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89515" w14:textId="77777777" w:rsidR="00AC6F3C" w:rsidRDefault="00570E88">
      <w:pPr>
        <w:pStyle w:val="BodyText"/>
        <w:rPr>
          <w:rFonts w:ascii="Times New Roman"/>
        </w:rPr>
      </w:pPr>
      <w:r>
        <w:rPr>
          <w:noProof/>
        </w:rPr>
        <w:drawing>
          <wp:anchor distT="0" distB="0" distL="0" distR="0" simplePos="0" relativeHeight="472833536" behindDoc="1" locked="0" layoutInCell="1" allowOverlap="1" wp14:anchorId="31AE3276" wp14:editId="02D2A154">
            <wp:simplePos x="0" y="0"/>
            <wp:positionH relativeFrom="page">
              <wp:posOffset>352342</wp:posOffset>
            </wp:positionH>
            <wp:positionV relativeFrom="page">
              <wp:posOffset>360006</wp:posOffset>
            </wp:positionV>
            <wp:extent cx="6847655" cy="997200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847655" cy="9972002"/>
                    </a:xfrm>
                    <a:prstGeom prst="rect">
                      <a:avLst/>
                    </a:prstGeom>
                  </pic:spPr>
                </pic:pic>
              </a:graphicData>
            </a:graphic>
          </wp:anchor>
        </w:drawing>
      </w:r>
    </w:p>
    <w:p w14:paraId="0EBC177B" w14:textId="77777777" w:rsidR="00AC6F3C" w:rsidRDefault="00AC6F3C">
      <w:pPr>
        <w:pStyle w:val="BodyText"/>
        <w:rPr>
          <w:rFonts w:ascii="Times New Roman"/>
        </w:rPr>
      </w:pPr>
    </w:p>
    <w:p w14:paraId="60DD7CC8" w14:textId="77777777" w:rsidR="00AC6F3C" w:rsidRDefault="00AC6F3C">
      <w:pPr>
        <w:pStyle w:val="BodyText"/>
        <w:rPr>
          <w:rFonts w:ascii="Times New Roman"/>
        </w:rPr>
      </w:pPr>
    </w:p>
    <w:p w14:paraId="2C090037" w14:textId="77777777" w:rsidR="00AC6F3C" w:rsidRDefault="00AC6F3C">
      <w:pPr>
        <w:pStyle w:val="BodyText"/>
        <w:rPr>
          <w:rFonts w:ascii="Times New Roman"/>
        </w:rPr>
      </w:pPr>
    </w:p>
    <w:p w14:paraId="705A059C" w14:textId="77777777" w:rsidR="00AC6F3C" w:rsidRDefault="00AC6F3C">
      <w:pPr>
        <w:pStyle w:val="BodyText"/>
        <w:rPr>
          <w:rFonts w:ascii="Times New Roman"/>
        </w:rPr>
      </w:pPr>
    </w:p>
    <w:p w14:paraId="48962463" w14:textId="77777777" w:rsidR="00AC6F3C" w:rsidRDefault="00AC6F3C">
      <w:pPr>
        <w:pStyle w:val="BodyText"/>
        <w:rPr>
          <w:rFonts w:ascii="Times New Roman"/>
        </w:rPr>
      </w:pPr>
    </w:p>
    <w:p w14:paraId="42FEC767" w14:textId="77777777" w:rsidR="00AC6F3C" w:rsidRDefault="00AC6F3C">
      <w:pPr>
        <w:pStyle w:val="BodyText"/>
        <w:rPr>
          <w:rFonts w:ascii="Times New Roman"/>
        </w:rPr>
      </w:pPr>
    </w:p>
    <w:p w14:paraId="4334814D" w14:textId="77777777" w:rsidR="00AC6F3C" w:rsidRDefault="00AC6F3C">
      <w:pPr>
        <w:pStyle w:val="BodyText"/>
        <w:rPr>
          <w:rFonts w:ascii="Times New Roman"/>
        </w:rPr>
      </w:pPr>
    </w:p>
    <w:p w14:paraId="50513A5E" w14:textId="77777777" w:rsidR="00AC6F3C" w:rsidRDefault="00AC6F3C">
      <w:pPr>
        <w:pStyle w:val="BodyText"/>
        <w:rPr>
          <w:rFonts w:ascii="Times New Roman"/>
        </w:rPr>
      </w:pPr>
    </w:p>
    <w:p w14:paraId="5739085B" w14:textId="77777777" w:rsidR="00AC6F3C" w:rsidRDefault="00AC6F3C">
      <w:pPr>
        <w:pStyle w:val="BodyText"/>
        <w:rPr>
          <w:rFonts w:ascii="Times New Roman"/>
        </w:rPr>
      </w:pPr>
    </w:p>
    <w:p w14:paraId="42026D97" w14:textId="77777777" w:rsidR="00AC6F3C" w:rsidRDefault="00AC6F3C">
      <w:pPr>
        <w:pStyle w:val="BodyText"/>
        <w:rPr>
          <w:rFonts w:ascii="Times New Roman"/>
        </w:rPr>
      </w:pPr>
    </w:p>
    <w:p w14:paraId="72330E39" w14:textId="77777777" w:rsidR="00AC6F3C" w:rsidRDefault="00AC6F3C">
      <w:pPr>
        <w:pStyle w:val="BodyText"/>
        <w:rPr>
          <w:rFonts w:ascii="Times New Roman"/>
        </w:rPr>
      </w:pPr>
    </w:p>
    <w:p w14:paraId="2BB58EC7" w14:textId="77777777" w:rsidR="00AC6F3C" w:rsidRDefault="00AC6F3C">
      <w:pPr>
        <w:pStyle w:val="BodyText"/>
        <w:rPr>
          <w:rFonts w:ascii="Times New Roman"/>
        </w:rPr>
      </w:pPr>
    </w:p>
    <w:p w14:paraId="6F333BB0" w14:textId="77777777" w:rsidR="00AC6F3C" w:rsidRDefault="00AC6F3C">
      <w:pPr>
        <w:pStyle w:val="BodyText"/>
        <w:rPr>
          <w:rFonts w:ascii="Times New Roman"/>
        </w:rPr>
      </w:pPr>
    </w:p>
    <w:p w14:paraId="1B85AF26" w14:textId="77777777" w:rsidR="00AC6F3C" w:rsidRDefault="00AC6F3C">
      <w:pPr>
        <w:pStyle w:val="BodyText"/>
        <w:rPr>
          <w:rFonts w:ascii="Times New Roman"/>
        </w:rPr>
      </w:pPr>
    </w:p>
    <w:p w14:paraId="729D00F8" w14:textId="77777777" w:rsidR="00AC6F3C" w:rsidRDefault="00AC6F3C">
      <w:pPr>
        <w:pStyle w:val="BodyText"/>
        <w:rPr>
          <w:rFonts w:ascii="Times New Roman"/>
        </w:rPr>
      </w:pPr>
    </w:p>
    <w:p w14:paraId="0C3B24D4" w14:textId="77777777" w:rsidR="00AC6F3C" w:rsidRDefault="00AC6F3C">
      <w:pPr>
        <w:pStyle w:val="BodyText"/>
        <w:spacing w:before="8"/>
        <w:rPr>
          <w:rFonts w:ascii="Times New Roman"/>
          <w:sz w:val="23"/>
        </w:rPr>
      </w:pPr>
    </w:p>
    <w:p w14:paraId="5400A0DF" w14:textId="77777777" w:rsidR="00AC6F3C" w:rsidRDefault="00570E88">
      <w:pPr>
        <w:pStyle w:val="Title"/>
        <w:spacing w:line="180" w:lineRule="auto"/>
        <w:rPr>
          <w:rFonts w:ascii="Arial"/>
        </w:rPr>
      </w:pPr>
      <w:r>
        <w:rPr>
          <w:color w:val="FFFFFF"/>
          <w:spacing w:val="33"/>
        </w:rPr>
        <w:t xml:space="preserve">ANNUAL </w:t>
      </w:r>
      <w:r>
        <w:rPr>
          <w:color w:val="FFFFFF"/>
          <w:spacing w:val="31"/>
        </w:rPr>
        <w:t xml:space="preserve">REPORT </w:t>
      </w:r>
      <w:r>
        <w:rPr>
          <w:rFonts w:ascii="Arial"/>
          <w:color w:val="FFFFFF"/>
          <w:spacing w:val="-2"/>
        </w:rPr>
        <w:t>2022-23</w:t>
      </w:r>
    </w:p>
    <w:p w14:paraId="37286C45" w14:textId="77777777" w:rsidR="00AC6F3C" w:rsidRDefault="00AC6F3C">
      <w:pPr>
        <w:pStyle w:val="BodyText"/>
      </w:pPr>
    </w:p>
    <w:p w14:paraId="24CE6411" w14:textId="77777777" w:rsidR="00AC6F3C" w:rsidRDefault="00AC6F3C">
      <w:pPr>
        <w:pStyle w:val="BodyText"/>
      </w:pPr>
    </w:p>
    <w:p w14:paraId="1CE1A137" w14:textId="77777777" w:rsidR="00AC6F3C" w:rsidRDefault="00AC6F3C">
      <w:pPr>
        <w:pStyle w:val="BodyText"/>
      </w:pPr>
    </w:p>
    <w:p w14:paraId="16F287EF" w14:textId="77777777" w:rsidR="00AC6F3C" w:rsidRDefault="00AC6F3C">
      <w:pPr>
        <w:pStyle w:val="BodyText"/>
      </w:pPr>
    </w:p>
    <w:p w14:paraId="7155A434" w14:textId="77777777" w:rsidR="00AC6F3C" w:rsidRDefault="00AC6F3C">
      <w:pPr>
        <w:pStyle w:val="BodyText"/>
      </w:pPr>
    </w:p>
    <w:p w14:paraId="7D894A8F" w14:textId="77777777" w:rsidR="00AC6F3C" w:rsidRDefault="00AC6F3C">
      <w:pPr>
        <w:pStyle w:val="BodyText"/>
      </w:pPr>
    </w:p>
    <w:p w14:paraId="16FE50E7" w14:textId="77777777" w:rsidR="00AC6F3C" w:rsidRDefault="00AC6F3C">
      <w:pPr>
        <w:pStyle w:val="BodyText"/>
      </w:pPr>
    </w:p>
    <w:p w14:paraId="3572789F" w14:textId="77777777" w:rsidR="00AC6F3C" w:rsidRDefault="00AC6F3C">
      <w:pPr>
        <w:pStyle w:val="BodyText"/>
      </w:pPr>
    </w:p>
    <w:p w14:paraId="038A4947" w14:textId="77777777" w:rsidR="00AC6F3C" w:rsidRDefault="00AC6F3C">
      <w:pPr>
        <w:pStyle w:val="BodyText"/>
      </w:pPr>
    </w:p>
    <w:p w14:paraId="6B29D047" w14:textId="77777777" w:rsidR="00AC6F3C" w:rsidRDefault="00AC6F3C">
      <w:pPr>
        <w:pStyle w:val="BodyText"/>
      </w:pPr>
    </w:p>
    <w:p w14:paraId="3E28296E" w14:textId="77777777" w:rsidR="00AC6F3C" w:rsidRDefault="00AC6F3C">
      <w:pPr>
        <w:pStyle w:val="BodyText"/>
      </w:pPr>
    </w:p>
    <w:p w14:paraId="25CA41B2" w14:textId="77777777" w:rsidR="00AC6F3C" w:rsidRDefault="00AC6F3C">
      <w:pPr>
        <w:pStyle w:val="BodyText"/>
      </w:pPr>
    </w:p>
    <w:p w14:paraId="5B47103F" w14:textId="77777777" w:rsidR="00AC6F3C" w:rsidRDefault="00AC6F3C">
      <w:pPr>
        <w:pStyle w:val="BodyText"/>
      </w:pPr>
    </w:p>
    <w:p w14:paraId="50471EC5" w14:textId="77777777" w:rsidR="00AC6F3C" w:rsidRDefault="00AC6F3C">
      <w:pPr>
        <w:pStyle w:val="BodyText"/>
      </w:pPr>
    </w:p>
    <w:p w14:paraId="53745C42" w14:textId="77777777" w:rsidR="00AC6F3C" w:rsidRDefault="00AC6F3C">
      <w:pPr>
        <w:pStyle w:val="BodyText"/>
      </w:pPr>
    </w:p>
    <w:p w14:paraId="32043103" w14:textId="77777777" w:rsidR="00AC6F3C" w:rsidRDefault="00AC6F3C">
      <w:pPr>
        <w:pStyle w:val="BodyText"/>
      </w:pPr>
    </w:p>
    <w:p w14:paraId="65D8FC2E" w14:textId="77777777" w:rsidR="00AC6F3C" w:rsidRDefault="00AC6F3C">
      <w:pPr>
        <w:pStyle w:val="BodyText"/>
      </w:pPr>
    </w:p>
    <w:p w14:paraId="504F6479" w14:textId="77777777" w:rsidR="00AC6F3C" w:rsidRDefault="00AC6F3C">
      <w:pPr>
        <w:pStyle w:val="BodyText"/>
      </w:pPr>
    </w:p>
    <w:p w14:paraId="10CE6827" w14:textId="77777777" w:rsidR="00AC6F3C" w:rsidRDefault="00AC6F3C">
      <w:pPr>
        <w:pStyle w:val="BodyText"/>
      </w:pPr>
    </w:p>
    <w:p w14:paraId="597E4CC0" w14:textId="77777777" w:rsidR="00AC6F3C" w:rsidRDefault="00AC6F3C">
      <w:pPr>
        <w:pStyle w:val="BodyText"/>
      </w:pPr>
    </w:p>
    <w:p w14:paraId="5D533E82" w14:textId="77777777" w:rsidR="00AC6F3C" w:rsidRDefault="00AC6F3C">
      <w:pPr>
        <w:pStyle w:val="BodyText"/>
      </w:pPr>
    </w:p>
    <w:p w14:paraId="5D91FC7B" w14:textId="77777777" w:rsidR="00AC6F3C" w:rsidRDefault="00AC6F3C">
      <w:pPr>
        <w:pStyle w:val="BodyText"/>
      </w:pPr>
    </w:p>
    <w:p w14:paraId="448FF32B" w14:textId="77777777" w:rsidR="00AC6F3C" w:rsidRDefault="00AC6F3C">
      <w:pPr>
        <w:pStyle w:val="BodyText"/>
        <w:spacing w:before="11"/>
        <w:rPr>
          <w:sz w:val="15"/>
        </w:rPr>
      </w:pPr>
    </w:p>
    <w:p w14:paraId="61709575" w14:textId="77777777" w:rsidR="00AC6F3C" w:rsidRDefault="00570E88">
      <w:pPr>
        <w:spacing w:before="88"/>
        <w:ind w:left="121"/>
        <w:rPr>
          <w:b/>
          <w:sz w:val="36"/>
        </w:rPr>
      </w:pPr>
      <w:r>
        <w:rPr>
          <w:b/>
          <w:color w:val="FFFFFF"/>
          <w:spacing w:val="10"/>
          <w:sz w:val="36"/>
        </w:rPr>
        <w:t>LEADING</w:t>
      </w:r>
      <w:r>
        <w:rPr>
          <w:b/>
          <w:color w:val="FFFFFF"/>
          <w:spacing w:val="15"/>
          <w:sz w:val="36"/>
        </w:rPr>
        <w:t xml:space="preserve"> </w:t>
      </w:r>
      <w:r>
        <w:rPr>
          <w:b/>
          <w:color w:val="FFFFFF"/>
          <w:spacing w:val="10"/>
          <w:sz w:val="36"/>
        </w:rPr>
        <w:t>SOLICITORS</w:t>
      </w:r>
      <w:r>
        <w:rPr>
          <w:b/>
          <w:color w:val="FFFFFF"/>
          <w:spacing w:val="17"/>
          <w:sz w:val="36"/>
        </w:rPr>
        <w:t xml:space="preserve"> </w:t>
      </w:r>
      <w:r>
        <w:rPr>
          <w:b/>
          <w:color w:val="FFFFFF"/>
          <w:sz w:val="36"/>
        </w:rPr>
        <w:t>IN</w:t>
      </w:r>
      <w:r>
        <w:rPr>
          <w:b/>
          <w:color w:val="FFFFFF"/>
          <w:spacing w:val="18"/>
          <w:sz w:val="36"/>
        </w:rPr>
        <w:t xml:space="preserve"> </w:t>
      </w:r>
      <w:r>
        <w:rPr>
          <w:b/>
          <w:color w:val="FFFFFF"/>
          <w:spacing w:val="10"/>
          <w:sz w:val="36"/>
        </w:rPr>
        <w:t>QUEENSLAND</w:t>
      </w:r>
    </w:p>
    <w:p w14:paraId="3722855E" w14:textId="77777777" w:rsidR="00AC6F3C" w:rsidRDefault="00AC6F3C">
      <w:pPr>
        <w:rPr>
          <w:sz w:val="36"/>
        </w:rPr>
        <w:sectPr w:rsidR="00AC6F3C">
          <w:type w:val="continuous"/>
          <w:pgSz w:w="11910" w:h="16840"/>
          <w:pgMar w:top="1920" w:right="1160" w:bottom="280" w:left="1160" w:header="720" w:footer="720" w:gutter="0"/>
          <w:cols w:space="720"/>
        </w:sectPr>
      </w:pPr>
    </w:p>
    <w:p w14:paraId="42633526" w14:textId="77777777" w:rsidR="00AC6F3C" w:rsidRDefault="00AC6F3C">
      <w:pPr>
        <w:pStyle w:val="BodyText"/>
        <w:rPr>
          <w:b/>
        </w:rPr>
      </w:pPr>
    </w:p>
    <w:p w14:paraId="72FAD003" w14:textId="77777777" w:rsidR="00AC6F3C" w:rsidRDefault="00AC6F3C">
      <w:pPr>
        <w:pStyle w:val="BodyText"/>
        <w:rPr>
          <w:b/>
        </w:rPr>
      </w:pPr>
    </w:p>
    <w:p w14:paraId="1B0B01CC" w14:textId="77777777" w:rsidR="00AC6F3C" w:rsidRDefault="00AC6F3C">
      <w:pPr>
        <w:pStyle w:val="BodyText"/>
        <w:rPr>
          <w:b/>
        </w:rPr>
      </w:pPr>
    </w:p>
    <w:p w14:paraId="1050A895" w14:textId="77777777" w:rsidR="00AC6F3C" w:rsidRDefault="00AC6F3C">
      <w:pPr>
        <w:pStyle w:val="BodyText"/>
        <w:rPr>
          <w:b/>
        </w:rPr>
      </w:pPr>
    </w:p>
    <w:p w14:paraId="01601BD2" w14:textId="77777777" w:rsidR="00AC6F3C" w:rsidRDefault="00AC6F3C">
      <w:pPr>
        <w:pStyle w:val="BodyText"/>
        <w:rPr>
          <w:b/>
        </w:rPr>
      </w:pPr>
    </w:p>
    <w:p w14:paraId="5F1809E6" w14:textId="77777777" w:rsidR="00AC6F3C" w:rsidRDefault="00AC6F3C">
      <w:pPr>
        <w:pStyle w:val="BodyText"/>
        <w:rPr>
          <w:b/>
        </w:rPr>
      </w:pPr>
    </w:p>
    <w:p w14:paraId="3840A8C1" w14:textId="77777777" w:rsidR="00AC6F3C" w:rsidRDefault="00AC6F3C">
      <w:pPr>
        <w:pStyle w:val="BodyText"/>
        <w:rPr>
          <w:b/>
        </w:rPr>
      </w:pPr>
    </w:p>
    <w:p w14:paraId="2396BE25" w14:textId="77777777" w:rsidR="00AC6F3C" w:rsidRDefault="00AC6F3C">
      <w:pPr>
        <w:pStyle w:val="BodyText"/>
        <w:rPr>
          <w:b/>
        </w:rPr>
      </w:pPr>
    </w:p>
    <w:p w14:paraId="69095699" w14:textId="77777777" w:rsidR="00AC6F3C" w:rsidRDefault="00AC6F3C">
      <w:pPr>
        <w:pStyle w:val="BodyText"/>
        <w:rPr>
          <w:b/>
        </w:rPr>
      </w:pPr>
    </w:p>
    <w:p w14:paraId="264C1E86" w14:textId="77777777" w:rsidR="00AC6F3C" w:rsidRDefault="00AC6F3C">
      <w:pPr>
        <w:pStyle w:val="BodyText"/>
        <w:rPr>
          <w:b/>
        </w:rPr>
      </w:pPr>
    </w:p>
    <w:p w14:paraId="513BC695" w14:textId="77777777" w:rsidR="00AC6F3C" w:rsidRDefault="00AC6F3C">
      <w:pPr>
        <w:pStyle w:val="BodyText"/>
        <w:rPr>
          <w:b/>
        </w:rPr>
      </w:pPr>
    </w:p>
    <w:p w14:paraId="7D3E1C0A" w14:textId="77777777" w:rsidR="00AC6F3C" w:rsidRDefault="00AC6F3C">
      <w:pPr>
        <w:pStyle w:val="BodyText"/>
        <w:rPr>
          <w:b/>
        </w:rPr>
      </w:pPr>
    </w:p>
    <w:p w14:paraId="52C6AAA3" w14:textId="77777777" w:rsidR="00AC6F3C" w:rsidRDefault="00AC6F3C">
      <w:pPr>
        <w:pStyle w:val="BodyText"/>
        <w:rPr>
          <w:b/>
        </w:rPr>
      </w:pPr>
    </w:p>
    <w:p w14:paraId="2A8D048F" w14:textId="77777777" w:rsidR="00AC6F3C" w:rsidRDefault="00AC6F3C">
      <w:pPr>
        <w:pStyle w:val="BodyText"/>
        <w:rPr>
          <w:b/>
        </w:rPr>
      </w:pPr>
    </w:p>
    <w:p w14:paraId="7EF4B784" w14:textId="77777777" w:rsidR="00AC6F3C" w:rsidRDefault="00AC6F3C">
      <w:pPr>
        <w:pStyle w:val="BodyText"/>
        <w:rPr>
          <w:b/>
        </w:rPr>
      </w:pPr>
    </w:p>
    <w:p w14:paraId="0D312D6E" w14:textId="77777777" w:rsidR="00AC6F3C" w:rsidRDefault="00AC6F3C">
      <w:pPr>
        <w:pStyle w:val="BodyText"/>
        <w:rPr>
          <w:b/>
        </w:rPr>
      </w:pPr>
    </w:p>
    <w:p w14:paraId="32A88CC9" w14:textId="77777777" w:rsidR="00AC6F3C" w:rsidRDefault="00AC6F3C">
      <w:pPr>
        <w:pStyle w:val="BodyText"/>
        <w:rPr>
          <w:b/>
        </w:rPr>
      </w:pPr>
    </w:p>
    <w:p w14:paraId="072DBADD" w14:textId="77777777" w:rsidR="00AC6F3C" w:rsidRDefault="00AC6F3C">
      <w:pPr>
        <w:pStyle w:val="BodyText"/>
        <w:rPr>
          <w:b/>
        </w:rPr>
      </w:pPr>
    </w:p>
    <w:p w14:paraId="00665A79" w14:textId="77777777" w:rsidR="00AC6F3C" w:rsidRDefault="00AC6F3C">
      <w:pPr>
        <w:pStyle w:val="BodyText"/>
        <w:rPr>
          <w:b/>
        </w:rPr>
      </w:pPr>
    </w:p>
    <w:p w14:paraId="71A9918C" w14:textId="77777777" w:rsidR="00AC6F3C" w:rsidRDefault="00AC6F3C">
      <w:pPr>
        <w:pStyle w:val="BodyText"/>
        <w:rPr>
          <w:b/>
        </w:rPr>
      </w:pPr>
    </w:p>
    <w:p w14:paraId="11418D8B" w14:textId="77777777" w:rsidR="00AC6F3C" w:rsidRDefault="00AC6F3C">
      <w:pPr>
        <w:pStyle w:val="BodyText"/>
        <w:rPr>
          <w:b/>
        </w:rPr>
      </w:pPr>
    </w:p>
    <w:p w14:paraId="1ADFBBBB" w14:textId="77777777" w:rsidR="00AC6F3C" w:rsidRDefault="00AC6F3C">
      <w:pPr>
        <w:pStyle w:val="BodyText"/>
        <w:spacing w:before="9"/>
        <w:rPr>
          <w:b/>
          <w:sz w:val="17"/>
        </w:rPr>
      </w:pPr>
    </w:p>
    <w:p w14:paraId="1431AB2F" w14:textId="77777777" w:rsidR="00AC6F3C" w:rsidRDefault="00570E88">
      <w:pPr>
        <w:pStyle w:val="BodyText"/>
        <w:spacing w:line="20" w:lineRule="exact"/>
        <w:ind w:left="1958"/>
        <w:rPr>
          <w:sz w:val="2"/>
        </w:rPr>
      </w:pPr>
      <w:r>
        <w:rPr>
          <w:noProof/>
          <w:sz w:val="2"/>
        </w:rPr>
        <mc:AlternateContent>
          <mc:Choice Requires="wpg">
            <w:drawing>
              <wp:inline distT="0" distB="0" distL="0" distR="0" wp14:anchorId="6583B96D" wp14:editId="096D875C">
                <wp:extent cx="3600450" cy="12700"/>
                <wp:effectExtent l="9525" t="0" r="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12700"/>
                          <a:chOff x="0" y="0"/>
                          <a:chExt cx="3600450" cy="12700"/>
                        </a:xfrm>
                      </wpg:grpSpPr>
                      <wps:wsp>
                        <wps:cNvPr id="3" name="Graphic 3"/>
                        <wps:cNvSpPr/>
                        <wps:spPr>
                          <a:xfrm>
                            <a:off x="0" y="6350"/>
                            <a:ext cx="3600450" cy="1270"/>
                          </a:xfrm>
                          <a:custGeom>
                            <a:avLst/>
                            <a:gdLst/>
                            <a:ahLst/>
                            <a:cxnLst/>
                            <a:rect l="l" t="t" r="r" b="b"/>
                            <a:pathLst>
                              <a:path w="3600450">
                                <a:moveTo>
                                  <a:pt x="0" y="0"/>
                                </a:moveTo>
                                <a:lnTo>
                                  <a:pt x="3600005"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637B9E" id="Group 2" o:spid="_x0000_s1026" style="width:283.5pt;height:1pt;mso-position-horizontal-relative:char;mso-position-vertical-relative:line" coordsize="36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">
                <v:shape id="Graphic 3" o:spid="_x0000_s1027" style="position:absolute;top:63;width:36004;height:13;visibility:visible;mso-wrap-style:square;v-text-anchor:top" coordsize="360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" path="m,l3600005,e" filled="f" strokeweight="1pt">
                  <v:path arrowok="t"/>
                </v:shape>
                <w10:anchorlock/>
              </v:group>
            </w:pict>
          </mc:Fallback>
        </mc:AlternateContent>
      </w:r>
    </w:p>
    <w:p w14:paraId="5080F108" w14:textId="77777777" w:rsidR="00AC6F3C" w:rsidRDefault="00AC6F3C">
      <w:pPr>
        <w:pStyle w:val="BodyText"/>
        <w:spacing w:before="3"/>
        <w:rPr>
          <w:b/>
          <w:sz w:val="14"/>
        </w:rPr>
      </w:pPr>
    </w:p>
    <w:p w14:paraId="7DAB9A44" w14:textId="77777777" w:rsidR="00AC6F3C" w:rsidRDefault="00570E88">
      <w:pPr>
        <w:spacing w:before="92" w:line="249" w:lineRule="auto"/>
        <w:ind w:left="2158" w:right="2157"/>
        <w:jc w:val="center"/>
        <w:rPr>
          <w:b/>
          <w:sz w:val="26"/>
        </w:rPr>
      </w:pPr>
      <w:r>
        <w:rPr>
          <w:b/>
          <w:sz w:val="26"/>
        </w:rPr>
        <w:t>We</w:t>
      </w:r>
      <w:r>
        <w:rPr>
          <w:b/>
          <w:spacing w:val="-8"/>
          <w:sz w:val="26"/>
        </w:rPr>
        <w:t xml:space="preserve"> </w:t>
      </w:r>
      <w:r>
        <w:rPr>
          <w:b/>
          <w:sz w:val="26"/>
        </w:rPr>
        <w:t>acknowledge</w:t>
      </w:r>
      <w:r>
        <w:rPr>
          <w:b/>
          <w:spacing w:val="-8"/>
          <w:sz w:val="26"/>
        </w:rPr>
        <w:t xml:space="preserve"> </w:t>
      </w:r>
      <w:r>
        <w:rPr>
          <w:b/>
          <w:sz w:val="26"/>
        </w:rPr>
        <w:t>the</w:t>
      </w:r>
      <w:r>
        <w:rPr>
          <w:b/>
          <w:spacing w:val="-8"/>
          <w:sz w:val="26"/>
        </w:rPr>
        <w:t xml:space="preserve"> </w:t>
      </w:r>
      <w:r>
        <w:rPr>
          <w:b/>
          <w:sz w:val="26"/>
        </w:rPr>
        <w:t>First</w:t>
      </w:r>
      <w:r>
        <w:rPr>
          <w:b/>
          <w:spacing w:val="-8"/>
          <w:sz w:val="26"/>
        </w:rPr>
        <w:t xml:space="preserve"> </w:t>
      </w:r>
      <w:r>
        <w:rPr>
          <w:b/>
          <w:sz w:val="26"/>
        </w:rPr>
        <w:t>Nations</w:t>
      </w:r>
      <w:r>
        <w:rPr>
          <w:b/>
          <w:spacing w:val="-8"/>
          <w:sz w:val="26"/>
        </w:rPr>
        <w:t xml:space="preserve"> </w:t>
      </w:r>
      <w:r>
        <w:rPr>
          <w:b/>
          <w:sz w:val="26"/>
        </w:rPr>
        <w:t>peoples as the original inhabitants of this land.</w:t>
      </w:r>
    </w:p>
    <w:p w14:paraId="3B4A2527" w14:textId="77777777" w:rsidR="00AC6F3C" w:rsidRDefault="00570E88">
      <w:pPr>
        <w:spacing w:before="172" w:line="249" w:lineRule="auto"/>
        <w:ind w:left="2012" w:right="2009" w:hanging="1"/>
        <w:jc w:val="center"/>
        <w:rPr>
          <w:b/>
          <w:sz w:val="26"/>
        </w:rPr>
      </w:pPr>
      <w:r>
        <w:rPr>
          <w:b/>
          <w:sz w:val="26"/>
        </w:rPr>
        <w:t xml:space="preserve">We </w:t>
      </w:r>
      <w:proofErr w:type="spellStart"/>
      <w:r>
        <w:rPr>
          <w:b/>
          <w:sz w:val="26"/>
        </w:rPr>
        <w:t>recognise</w:t>
      </w:r>
      <w:proofErr w:type="spellEnd"/>
      <w:r>
        <w:rPr>
          <w:b/>
          <w:sz w:val="26"/>
        </w:rPr>
        <w:t xml:space="preserve">, </w:t>
      </w:r>
      <w:proofErr w:type="gramStart"/>
      <w:r>
        <w:rPr>
          <w:b/>
          <w:sz w:val="26"/>
        </w:rPr>
        <w:t>respect</w:t>
      </w:r>
      <w:proofErr w:type="gramEnd"/>
      <w:r>
        <w:rPr>
          <w:b/>
          <w:sz w:val="26"/>
        </w:rPr>
        <w:t xml:space="preserve"> and celebrate the cultural distinctions of First Nations peoples and</w:t>
      </w:r>
      <w:r>
        <w:rPr>
          <w:b/>
          <w:spacing w:val="-6"/>
          <w:sz w:val="26"/>
        </w:rPr>
        <w:t xml:space="preserve"> </w:t>
      </w:r>
      <w:r>
        <w:rPr>
          <w:b/>
          <w:sz w:val="26"/>
        </w:rPr>
        <w:t>value</w:t>
      </w:r>
      <w:r>
        <w:rPr>
          <w:b/>
          <w:spacing w:val="-6"/>
          <w:sz w:val="26"/>
        </w:rPr>
        <w:t xml:space="preserve"> </w:t>
      </w:r>
      <w:r>
        <w:rPr>
          <w:b/>
          <w:sz w:val="26"/>
        </w:rPr>
        <w:t>their</w:t>
      </w:r>
      <w:r>
        <w:rPr>
          <w:b/>
          <w:spacing w:val="-6"/>
          <w:sz w:val="26"/>
        </w:rPr>
        <w:t xml:space="preserve"> </w:t>
      </w:r>
      <w:r>
        <w:rPr>
          <w:b/>
          <w:sz w:val="26"/>
        </w:rPr>
        <w:t>rich</w:t>
      </w:r>
      <w:r>
        <w:rPr>
          <w:b/>
          <w:spacing w:val="-6"/>
          <w:sz w:val="26"/>
        </w:rPr>
        <w:t xml:space="preserve"> </w:t>
      </w:r>
      <w:r>
        <w:rPr>
          <w:b/>
          <w:sz w:val="26"/>
        </w:rPr>
        <w:t>and</w:t>
      </w:r>
      <w:r>
        <w:rPr>
          <w:b/>
          <w:spacing w:val="-6"/>
          <w:sz w:val="26"/>
        </w:rPr>
        <w:t xml:space="preserve"> </w:t>
      </w:r>
      <w:r>
        <w:rPr>
          <w:b/>
          <w:sz w:val="26"/>
        </w:rPr>
        <w:t>positive</w:t>
      </w:r>
      <w:r>
        <w:rPr>
          <w:b/>
          <w:spacing w:val="-6"/>
          <w:sz w:val="26"/>
        </w:rPr>
        <w:t xml:space="preserve"> </w:t>
      </w:r>
      <w:r>
        <w:rPr>
          <w:b/>
          <w:sz w:val="26"/>
        </w:rPr>
        <w:t>contribution to not only Queensland but also to the broader Australian society.</w:t>
      </w:r>
    </w:p>
    <w:p w14:paraId="26802C26" w14:textId="77777777" w:rsidR="00AC6F3C" w:rsidRDefault="00570E88">
      <w:pPr>
        <w:pStyle w:val="BodyText"/>
        <w:spacing w:before="10"/>
        <w:rPr>
          <w:b/>
          <w:sz w:val="27"/>
        </w:rPr>
      </w:pPr>
      <w:r>
        <w:rPr>
          <w:noProof/>
        </w:rPr>
        <mc:AlternateContent>
          <mc:Choice Requires="wps">
            <w:drawing>
              <wp:anchor distT="0" distB="0" distL="0" distR="0" simplePos="0" relativeHeight="487588864" behindDoc="1" locked="0" layoutInCell="1" allowOverlap="1" wp14:anchorId="49EE8919" wp14:editId="5F0E5228">
                <wp:simplePos x="0" y="0"/>
                <wp:positionH relativeFrom="page">
                  <wp:posOffset>1979999</wp:posOffset>
                </wp:positionH>
                <wp:positionV relativeFrom="paragraph">
                  <wp:posOffset>218849</wp:posOffset>
                </wp:positionV>
                <wp:extent cx="36004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270"/>
                        </a:xfrm>
                        <a:custGeom>
                          <a:avLst/>
                          <a:gdLst/>
                          <a:ahLst/>
                          <a:cxnLst/>
                          <a:rect l="l" t="t" r="r" b="b"/>
                          <a:pathLst>
                            <a:path w="3600450">
                              <a:moveTo>
                                <a:pt x="0" y="0"/>
                              </a:moveTo>
                              <a:lnTo>
                                <a:pt x="360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F052A" id="Graphic 4" o:spid="_x0000_s1026" style="position:absolute;margin-left:155.9pt;margin-top:17.25pt;width:28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60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" path="m,l3600005,e" filled="f" strokeweight="1pt">
                <v:path arrowok="t"/>
                <w10:wrap type="topAndBottom" anchorx="page"/>
              </v:shape>
            </w:pict>
          </mc:Fallback>
        </mc:AlternateContent>
      </w:r>
    </w:p>
    <w:p w14:paraId="1E2A859F" w14:textId="77777777" w:rsidR="00AC6F3C" w:rsidRDefault="00AC6F3C">
      <w:pPr>
        <w:rPr>
          <w:sz w:val="27"/>
        </w:rPr>
        <w:sectPr w:rsidR="00AC6F3C">
          <w:pgSz w:w="11910" w:h="16840"/>
          <w:pgMar w:top="1920" w:right="1160" w:bottom="280" w:left="1160" w:header="720" w:footer="720" w:gutter="0"/>
          <w:cols w:space="720"/>
        </w:sectPr>
      </w:pPr>
    </w:p>
    <w:p w14:paraId="6054FA1A" w14:textId="77777777" w:rsidR="00AC6F3C" w:rsidRDefault="00570E88">
      <w:pPr>
        <w:pStyle w:val="Heading2"/>
        <w:spacing w:before="154"/>
        <w:ind w:left="115"/>
      </w:pPr>
      <w:bookmarkStart w:id="0" w:name="About_this_report"/>
      <w:bookmarkStart w:id="1" w:name="Our_commitment_to_accessibility"/>
      <w:bookmarkStart w:id="2" w:name="Feedback"/>
      <w:bookmarkStart w:id="3" w:name="_bookmark0"/>
      <w:bookmarkEnd w:id="0"/>
      <w:bookmarkEnd w:id="1"/>
      <w:bookmarkEnd w:id="2"/>
      <w:bookmarkEnd w:id="3"/>
      <w:r>
        <w:lastRenderedPageBreak/>
        <w:t>About</w:t>
      </w:r>
      <w:r>
        <w:rPr>
          <w:spacing w:val="-2"/>
        </w:rPr>
        <w:t xml:space="preserve"> </w:t>
      </w:r>
      <w:r>
        <w:t>this</w:t>
      </w:r>
      <w:r>
        <w:rPr>
          <w:spacing w:val="-1"/>
        </w:rPr>
        <w:t xml:space="preserve"> </w:t>
      </w:r>
      <w:r>
        <w:rPr>
          <w:spacing w:val="-2"/>
        </w:rPr>
        <w:t>report</w:t>
      </w:r>
    </w:p>
    <w:p w14:paraId="370BB361" w14:textId="77777777" w:rsidR="00AC6F3C" w:rsidRDefault="00570E88">
      <w:pPr>
        <w:spacing w:before="289"/>
        <w:ind w:left="115" w:right="629"/>
        <w:rPr>
          <w:i/>
          <w:sz w:val="20"/>
        </w:rPr>
      </w:pPr>
      <w:r>
        <w:rPr>
          <w:i/>
          <w:sz w:val="20"/>
        </w:rPr>
        <w:t>Queensland</w:t>
      </w:r>
      <w:r>
        <w:rPr>
          <w:i/>
          <w:spacing w:val="-4"/>
          <w:sz w:val="20"/>
        </w:rPr>
        <w:t xml:space="preserve"> </w:t>
      </w:r>
      <w:r>
        <w:rPr>
          <w:i/>
          <w:sz w:val="20"/>
        </w:rPr>
        <w:t>Law</w:t>
      </w:r>
      <w:r>
        <w:rPr>
          <w:i/>
          <w:spacing w:val="-4"/>
          <w:sz w:val="20"/>
        </w:rPr>
        <w:t xml:space="preserve"> </w:t>
      </w:r>
      <w:r>
        <w:rPr>
          <w:i/>
          <w:sz w:val="20"/>
        </w:rPr>
        <w:t>Society’s</w:t>
      </w:r>
      <w:r>
        <w:rPr>
          <w:i/>
          <w:spacing w:val="-4"/>
          <w:sz w:val="20"/>
        </w:rPr>
        <w:t xml:space="preserve"> </w:t>
      </w:r>
      <w:r>
        <w:rPr>
          <w:i/>
          <w:sz w:val="20"/>
        </w:rPr>
        <w:t>2022-23</w:t>
      </w:r>
      <w:r>
        <w:rPr>
          <w:i/>
          <w:spacing w:val="-4"/>
          <w:sz w:val="20"/>
        </w:rPr>
        <w:t xml:space="preserve"> </w:t>
      </w:r>
      <w:r>
        <w:rPr>
          <w:i/>
          <w:sz w:val="20"/>
        </w:rPr>
        <w:t>annual</w:t>
      </w:r>
      <w:r>
        <w:rPr>
          <w:i/>
          <w:spacing w:val="-4"/>
          <w:sz w:val="20"/>
        </w:rPr>
        <w:t xml:space="preserve"> </w:t>
      </w:r>
      <w:r>
        <w:rPr>
          <w:i/>
          <w:sz w:val="20"/>
        </w:rPr>
        <w:t>report</w:t>
      </w:r>
      <w:r>
        <w:rPr>
          <w:i/>
          <w:spacing w:val="-4"/>
          <w:sz w:val="20"/>
        </w:rPr>
        <w:t xml:space="preserve"> </w:t>
      </w:r>
      <w:r>
        <w:rPr>
          <w:i/>
          <w:sz w:val="20"/>
        </w:rPr>
        <w:t>presents</w:t>
      </w:r>
      <w:r>
        <w:rPr>
          <w:i/>
          <w:spacing w:val="-4"/>
          <w:sz w:val="20"/>
        </w:rPr>
        <w:t xml:space="preserve"> </w:t>
      </w:r>
      <w:r>
        <w:rPr>
          <w:i/>
          <w:sz w:val="20"/>
        </w:rPr>
        <w:t>our</w:t>
      </w:r>
      <w:r>
        <w:rPr>
          <w:i/>
          <w:spacing w:val="-4"/>
          <w:sz w:val="20"/>
        </w:rPr>
        <w:t xml:space="preserve"> </w:t>
      </w:r>
      <w:r>
        <w:rPr>
          <w:i/>
          <w:sz w:val="20"/>
        </w:rPr>
        <w:t>corporate</w:t>
      </w:r>
      <w:r>
        <w:rPr>
          <w:i/>
          <w:spacing w:val="-4"/>
          <w:sz w:val="20"/>
        </w:rPr>
        <w:t xml:space="preserve"> </w:t>
      </w:r>
      <w:r>
        <w:rPr>
          <w:i/>
          <w:sz w:val="20"/>
        </w:rPr>
        <w:t>performance</w:t>
      </w:r>
      <w:r>
        <w:rPr>
          <w:i/>
          <w:spacing w:val="-4"/>
          <w:sz w:val="20"/>
        </w:rPr>
        <w:t xml:space="preserve"> </w:t>
      </w:r>
      <w:r>
        <w:rPr>
          <w:i/>
          <w:sz w:val="20"/>
        </w:rPr>
        <w:t>information for the period 1 July 2022 to 30 June 2023.</w:t>
      </w:r>
    </w:p>
    <w:p w14:paraId="56ED5459" w14:textId="77777777" w:rsidR="00AC6F3C" w:rsidRDefault="00570E88">
      <w:pPr>
        <w:pStyle w:val="BodyText"/>
        <w:spacing w:before="170"/>
        <w:ind w:left="115"/>
      </w:pPr>
      <w:r>
        <w:t>This</w:t>
      </w:r>
      <w:r>
        <w:rPr>
          <w:spacing w:val="-2"/>
        </w:rPr>
        <w:t xml:space="preserve"> </w:t>
      </w:r>
      <w:r>
        <w:t>report</w:t>
      </w:r>
      <w:r>
        <w:rPr>
          <w:spacing w:val="-1"/>
        </w:rPr>
        <w:t xml:space="preserve"> </w:t>
      </w:r>
      <w:r>
        <w:t>records</w:t>
      </w:r>
      <w:r>
        <w:rPr>
          <w:spacing w:val="-2"/>
        </w:rPr>
        <w:t xml:space="preserve"> </w:t>
      </w:r>
      <w:r>
        <w:t>our</w:t>
      </w:r>
      <w:r>
        <w:rPr>
          <w:spacing w:val="-1"/>
        </w:rPr>
        <w:t xml:space="preserve"> </w:t>
      </w:r>
      <w:r>
        <w:t>activities,</w:t>
      </w:r>
      <w:r>
        <w:rPr>
          <w:spacing w:val="-2"/>
        </w:rPr>
        <w:t xml:space="preserve"> </w:t>
      </w:r>
      <w:r>
        <w:t>achievements</w:t>
      </w:r>
      <w:r>
        <w:rPr>
          <w:spacing w:val="-1"/>
        </w:rPr>
        <w:t xml:space="preserve"> </w:t>
      </w:r>
      <w:r>
        <w:t>and</w:t>
      </w:r>
      <w:r>
        <w:rPr>
          <w:spacing w:val="-2"/>
        </w:rPr>
        <w:t xml:space="preserve"> </w:t>
      </w:r>
      <w:r>
        <w:t>challenges</w:t>
      </w:r>
      <w:r>
        <w:rPr>
          <w:spacing w:val="-1"/>
        </w:rPr>
        <w:t xml:space="preserve"> </w:t>
      </w:r>
      <w:r>
        <w:t>for</w:t>
      </w:r>
      <w:r>
        <w:rPr>
          <w:spacing w:val="-2"/>
        </w:rPr>
        <w:t xml:space="preserve"> </w:t>
      </w:r>
      <w:r>
        <w:t>the</w:t>
      </w:r>
      <w:r>
        <w:rPr>
          <w:spacing w:val="-1"/>
        </w:rPr>
        <w:t xml:space="preserve"> </w:t>
      </w:r>
      <w:r>
        <w:t>2022-23</w:t>
      </w:r>
      <w:r>
        <w:rPr>
          <w:spacing w:val="-2"/>
        </w:rPr>
        <w:t xml:space="preserve"> </w:t>
      </w:r>
      <w:r>
        <w:t>financial</w:t>
      </w:r>
      <w:r>
        <w:rPr>
          <w:spacing w:val="-1"/>
        </w:rPr>
        <w:t xml:space="preserve"> </w:t>
      </w:r>
      <w:proofErr w:type="gramStart"/>
      <w:r>
        <w:rPr>
          <w:spacing w:val="-4"/>
        </w:rPr>
        <w:t>year</w:t>
      </w:r>
      <w:proofErr w:type="gramEnd"/>
    </w:p>
    <w:p w14:paraId="69C9B871" w14:textId="77777777" w:rsidR="00AC6F3C" w:rsidRDefault="00570E88">
      <w:pPr>
        <w:pStyle w:val="BodyText"/>
        <w:ind w:left="115"/>
      </w:pPr>
      <w:r>
        <w:t>and</w:t>
      </w:r>
      <w:r>
        <w:rPr>
          <w:spacing w:val="-2"/>
        </w:rPr>
        <w:t xml:space="preserve"> </w:t>
      </w:r>
      <w:r>
        <w:t>evaluates</w:t>
      </w:r>
      <w:r>
        <w:rPr>
          <w:spacing w:val="-2"/>
        </w:rPr>
        <w:t xml:space="preserve"> </w:t>
      </w:r>
      <w:r>
        <w:t>them</w:t>
      </w:r>
      <w:r>
        <w:rPr>
          <w:spacing w:val="-2"/>
        </w:rPr>
        <w:t xml:space="preserve"> </w:t>
      </w:r>
      <w:r>
        <w:t>against</w:t>
      </w:r>
      <w:r>
        <w:rPr>
          <w:spacing w:val="-1"/>
        </w:rPr>
        <w:t xml:space="preserve"> </w:t>
      </w:r>
      <w:r>
        <w:t>our</w:t>
      </w:r>
      <w:r>
        <w:rPr>
          <w:spacing w:val="-2"/>
        </w:rPr>
        <w:t xml:space="preserve"> </w:t>
      </w:r>
      <w:r>
        <w:t>strategic</w:t>
      </w:r>
      <w:r>
        <w:rPr>
          <w:spacing w:val="-2"/>
        </w:rPr>
        <w:t xml:space="preserve"> </w:t>
      </w:r>
      <w:r>
        <w:t>and</w:t>
      </w:r>
      <w:r>
        <w:rPr>
          <w:spacing w:val="-1"/>
        </w:rPr>
        <w:t xml:space="preserve"> </w:t>
      </w:r>
      <w:r>
        <w:t>corporate</w:t>
      </w:r>
      <w:r>
        <w:rPr>
          <w:spacing w:val="-2"/>
        </w:rPr>
        <w:t xml:space="preserve"> </w:t>
      </w:r>
      <w:r>
        <w:t>planning</w:t>
      </w:r>
      <w:r>
        <w:rPr>
          <w:spacing w:val="-2"/>
        </w:rPr>
        <w:t xml:space="preserve"> </w:t>
      </w:r>
      <w:r>
        <w:t>goals</w:t>
      </w:r>
      <w:r>
        <w:rPr>
          <w:spacing w:val="-2"/>
        </w:rPr>
        <w:t xml:space="preserve"> </w:t>
      </w:r>
      <w:r>
        <w:t>and</w:t>
      </w:r>
      <w:r>
        <w:rPr>
          <w:spacing w:val="-1"/>
        </w:rPr>
        <w:t xml:space="preserve"> </w:t>
      </w:r>
      <w:r>
        <w:t>targets.</w:t>
      </w:r>
      <w:r>
        <w:rPr>
          <w:spacing w:val="-2"/>
        </w:rPr>
        <w:t xml:space="preserve"> </w:t>
      </w:r>
      <w:r>
        <w:t>It</w:t>
      </w:r>
      <w:r>
        <w:rPr>
          <w:spacing w:val="-2"/>
        </w:rPr>
        <w:t xml:space="preserve"> </w:t>
      </w:r>
      <w:r>
        <w:t>also</w:t>
      </w:r>
      <w:r>
        <w:rPr>
          <w:spacing w:val="-1"/>
        </w:rPr>
        <w:t xml:space="preserve"> </w:t>
      </w:r>
      <w:proofErr w:type="gramStart"/>
      <w:r>
        <w:rPr>
          <w:spacing w:val="-2"/>
        </w:rPr>
        <w:t>provides</w:t>
      </w:r>
      <w:proofErr w:type="gramEnd"/>
    </w:p>
    <w:p w14:paraId="7AB5A648" w14:textId="77777777" w:rsidR="00AC6F3C" w:rsidRDefault="00570E88">
      <w:pPr>
        <w:pStyle w:val="BodyText"/>
        <w:ind w:left="115"/>
      </w:pPr>
      <w:r>
        <w:t>a</w:t>
      </w:r>
      <w:r>
        <w:rPr>
          <w:spacing w:val="-3"/>
        </w:rPr>
        <w:t xml:space="preserve"> </w:t>
      </w:r>
      <w:r>
        <w:t>summary</w:t>
      </w:r>
      <w:r>
        <w:rPr>
          <w:spacing w:val="-2"/>
        </w:rPr>
        <w:t xml:space="preserve"> </w:t>
      </w:r>
      <w:r>
        <w:t>of</w:t>
      </w:r>
      <w:r>
        <w:rPr>
          <w:spacing w:val="-2"/>
        </w:rPr>
        <w:t xml:space="preserve"> </w:t>
      </w:r>
      <w:r>
        <w:t>our</w:t>
      </w:r>
      <w:r>
        <w:rPr>
          <w:spacing w:val="-2"/>
        </w:rPr>
        <w:t xml:space="preserve"> </w:t>
      </w:r>
      <w:r>
        <w:t>corporate</w:t>
      </w:r>
      <w:r>
        <w:rPr>
          <w:spacing w:val="-3"/>
        </w:rPr>
        <w:t xml:space="preserve"> </w:t>
      </w:r>
      <w:r>
        <w:t>performance</w:t>
      </w:r>
      <w:r>
        <w:rPr>
          <w:spacing w:val="-2"/>
        </w:rPr>
        <w:t xml:space="preserve"> </w:t>
      </w:r>
      <w:r>
        <w:t>and</w:t>
      </w:r>
      <w:r>
        <w:rPr>
          <w:spacing w:val="-2"/>
        </w:rPr>
        <w:t xml:space="preserve"> </w:t>
      </w:r>
      <w:r>
        <w:t>priorities</w:t>
      </w:r>
      <w:r>
        <w:rPr>
          <w:spacing w:val="-2"/>
        </w:rPr>
        <w:t xml:space="preserve"> </w:t>
      </w:r>
      <w:r>
        <w:t>for</w:t>
      </w:r>
      <w:r>
        <w:rPr>
          <w:spacing w:val="-3"/>
        </w:rPr>
        <w:t xml:space="preserve"> </w:t>
      </w:r>
      <w:r>
        <w:t>initiatives</w:t>
      </w:r>
      <w:r>
        <w:rPr>
          <w:spacing w:val="-2"/>
        </w:rPr>
        <w:t xml:space="preserve"> </w:t>
      </w:r>
      <w:r>
        <w:t>in</w:t>
      </w:r>
      <w:r>
        <w:rPr>
          <w:spacing w:val="-2"/>
        </w:rPr>
        <w:t xml:space="preserve"> </w:t>
      </w:r>
      <w:r>
        <w:t>2023-24</w:t>
      </w:r>
      <w:r>
        <w:rPr>
          <w:spacing w:val="-2"/>
        </w:rPr>
        <w:t xml:space="preserve"> </w:t>
      </w:r>
      <w:r>
        <w:t>and</w:t>
      </w:r>
      <w:r>
        <w:rPr>
          <w:spacing w:val="-2"/>
        </w:rPr>
        <w:t xml:space="preserve"> beyond.</w:t>
      </w:r>
    </w:p>
    <w:p w14:paraId="25B91331" w14:textId="77777777" w:rsidR="00AC6F3C" w:rsidRDefault="00570E88">
      <w:pPr>
        <w:pStyle w:val="BodyText"/>
        <w:spacing w:before="170"/>
        <w:ind w:left="115" w:right="629"/>
      </w:pPr>
      <w:r>
        <w:t>It has been a year of significant achievement for QLS. We commenced the refurbishment of Law Society</w:t>
      </w:r>
      <w:r>
        <w:rPr>
          <w:spacing w:val="-3"/>
        </w:rPr>
        <w:t xml:space="preserve"> </w:t>
      </w:r>
      <w:r>
        <w:t>House,</w:t>
      </w:r>
      <w:r>
        <w:rPr>
          <w:spacing w:val="-3"/>
        </w:rPr>
        <w:t xml:space="preserve"> </w:t>
      </w:r>
      <w:r>
        <w:t>designed</w:t>
      </w:r>
      <w:r>
        <w:rPr>
          <w:spacing w:val="-3"/>
        </w:rPr>
        <w:t xml:space="preserve"> </w:t>
      </w:r>
      <w:r>
        <w:t>to</w:t>
      </w:r>
      <w:r>
        <w:rPr>
          <w:spacing w:val="-3"/>
        </w:rPr>
        <w:t xml:space="preserve"> </w:t>
      </w:r>
      <w:r>
        <w:t>establish</w:t>
      </w:r>
      <w:r>
        <w:rPr>
          <w:spacing w:val="-3"/>
        </w:rPr>
        <w:t xml:space="preserve"> </w:t>
      </w:r>
      <w:r>
        <w:t>a</w:t>
      </w:r>
      <w:r>
        <w:rPr>
          <w:spacing w:val="-3"/>
        </w:rPr>
        <w:t xml:space="preserve"> </w:t>
      </w:r>
      <w:r>
        <w:t>hub</w:t>
      </w:r>
      <w:r>
        <w:rPr>
          <w:spacing w:val="-3"/>
        </w:rPr>
        <w:t xml:space="preserve"> </w:t>
      </w:r>
      <w:r>
        <w:t>for</w:t>
      </w:r>
      <w:r>
        <w:rPr>
          <w:spacing w:val="-3"/>
        </w:rPr>
        <w:t xml:space="preserve"> </w:t>
      </w:r>
      <w:r>
        <w:t>the</w:t>
      </w:r>
      <w:r>
        <w:rPr>
          <w:spacing w:val="-3"/>
        </w:rPr>
        <w:t xml:space="preserve"> </w:t>
      </w:r>
      <w:r>
        <w:t>profession</w:t>
      </w:r>
      <w:r>
        <w:rPr>
          <w:spacing w:val="-3"/>
        </w:rPr>
        <w:t xml:space="preserve"> </w:t>
      </w:r>
      <w:r>
        <w:t>and</w:t>
      </w:r>
      <w:r>
        <w:rPr>
          <w:spacing w:val="-3"/>
        </w:rPr>
        <w:t xml:space="preserve"> </w:t>
      </w:r>
      <w:r>
        <w:t>foster</w:t>
      </w:r>
      <w:r>
        <w:rPr>
          <w:spacing w:val="-3"/>
        </w:rPr>
        <w:t xml:space="preserve"> </w:t>
      </w:r>
      <w:r>
        <w:t>connection</w:t>
      </w:r>
      <w:r>
        <w:rPr>
          <w:spacing w:val="-3"/>
        </w:rPr>
        <w:t xml:space="preserve"> </w:t>
      </w:r>
      <w:r>
        <w:t>and</w:t>
      </w:r>
      <w:r>
        <w:rPr>
          <w:spacing w:val="-3"/>
        </w:rPr>
        <w:t xml:space="preserve"> </w:t>
      </w:r>
      <w:r>
        <w:t>collegiality amongst members.</w:t>
      </w:r>
    </w:p>
    <w:p w14:paraId="4821FC2B" w14:textId="77777777" w:rsidR="00AC6F3C" w:rsidRDefault="00570E88">
      <w:pPr>
        <w:pStyle w:val="BodyText"/>
        <w:spacing w:before="170"/>
        <w:ind w:left="115"/>
        <w:jc w:val="both"/>
      </w:pPr>
      <w:r>
        <w:t>We</w:t>
      </w:r>
      <w:r>
        <w:rPr>
          <w:spacing w:val="-3"/>
        </w:rPr>
        <w:t xml:space="preserve"> </w:t>
      </w:r>
      <w:r>
        <w:t>launched</w:t>
      </w:r>
      <w:r>
        <w:rPr>
          <w:spacing w:val="-3"/>
        </w:rPr>
        <w:t xml:space="preserve"> </w:t>
      </w:r>
      <w:r>
        <w:t>into</w:t>
      </w:r>
      <w:r>
        <w:rPr>
          <w:spacing w:val="-3"/>
        </w:rPr>
        <w:t xml:space="preserve"> </w:t>
      </w:r>
      <w:r>
        <w:t>the</w:t>
      </w:r>
      <w:r>
        <w:rPr>
          <w:spacing w:val="-2"/>
        </w:rPr>
        <w:t xml:space="preserve"> </w:t>
      </w:r>
      <w:r>
        <w:t>second</w:t>
      </w:r>
      <w:r>
        <w:rPr>
          <w:spacing w:val="-3"/>
        </w:rPr>
        <w:t xml:space="preserve"> </w:t>
      </w:r>
      <w:r>
        <w:t>year</w:t>
      </w:r>
      <w:r>
        <w:rPr>
          <w:spacing w:val="-3"/>
        </w:rPr>
        <w:t xml:space="preserve"> </w:t>
      </w:r>
      <w:r>
        <w:t>of</w:t>
      </w:r>
      <w:r>
        <w:rPr>
          <w:spacing w:val="-3"/>
        </w:rPr>
        <w:t xml:space="preserve"> </w:t>
      </w:r>
      <w:r>
        <w:t>our</w:t>
      </w:r>
      <w:r>
        <w:rPr>
          <w:spacing w:val="-2"/>
        </w:rPr>
        <w:t xml:space="preserve"> </w:t>
      </w:r>
      <w:r>
        <w:t>strategic</w:t>
      </w:r>
      <w:r>
        <w:rPr>
          <w:spacing w:val="-3"/>
        </w:rPr>
        <w:t xml:space="preserve"> </w:t>
      </w:r>
      <w:r>
        <w:t>plan,</w:t>
      </w:r>
      <w:r>
        <w:rPr>
          <w:spacing w:val="-3"/>
        </w:rPr>
        <w:t xml:space="preserve"> </w:t>
      </w:r>
      <w:r>
        <w:t>furthering</w:t>
      </w:r>
      <w:r>
        <w:rPr>
          <w:spacing w:val="-3"/>
        </w:rPr>
        <w:t xml:space="preserve"> </w:t>
      </w:r>
      <w:r>
        <w:t>our</w:t>
      </w:r>
      <w:r>
        <w:rPr>
          <w:spacing w:val="-2"/>
        </w:rPr>
        <w:t xml:space="preserve"> </w:t>
      </w:r>
      <w:r>
        <w:t>vision</w:t>
      </w:r>
      <w:r>
        <w:rPr>
          <w:spacing w:val="-3"/>
        </w:rPr>
        <w:t xml:space="preserve"> </w:t>
      </w:r>
      <w:r>
        <w:t>of</w:t>
      </w:r>
      <w:r>
        <w:rPr>
          <w:spacing w:val="-3"/>
        </w:rPr>
        <w:t xml:space="preserve"> </w:t>
      </w:r>
      <w:r>
        <w:t>Leading</w:t>
      </w:r>
      <w:r>
        <w:rPr>
          <w:spacing w:val="-2"/>
        </w:rPr>
        <w:t xml:space="preserve"> Solicitors</w:t>
      </w:r>
    </w:p>
    <w:p w14:paraId="5AD3CE64" w14:textId="77777777" w:rsidR="00AC6F3C" w:rsidRDefault="00570E88">
      <w:pPr>
        <w:pStyle w:val="BodyText"/>
        <w:ind w:left="115" w:right="629"/>
        <w:jc w:val="both"/>
      </w:pPr>
      <w:r>
        <w:t>in</w:t>
      </w:r>
      <w:r>
        <w:rPr>
          <w:spacing w:val="-3"/>
        </w:rPr>
        <w:t xml:space="preserve"> </w:t>
      </w:r>
      <w:r>
        <w:t>Queensland</w:t>
      </w:r>
      <w:r>
        <w:rPr>
          <w:spacing w:val="-3"/>
        </w:rPr>
        <w:t xml:space="preserve"> </w:t>
      </w:r>
      <w:r>
        <w:t>and</w:t>
      </w:r>
      <w:r>
        <w:rPr>
          <w:spacing w:val="-3"/>
        </w:rPr>
        <w:t xml:space="preserve"> </w:t>
      </w:r>
      <w:r>
        <w:t>our</w:t>
      </w:r>
      <w:r>
        <w:rPr>
          <w:spacing w:val="-3"/>
        </w:rPr>
        <w:t xml:space="preserve"> </w:t>
      </w:r>
      <w:r>
        <w:t>purpose</w:t>
      </w:r>
      <w:r>
        <w:rPr>
          <w:spacing w:val="-3"/>
        </w:rPr>
        <w:t xml:space="preserve"> </w:t>
      </w:r>
      <w:r>
        <w:t>of</w:t>
      </w:r>
      <w:r>
        <w:rPr>
          <w:spacing w:val="-3"/>
        </w:rPr>
        <w:t xml:space="preserve"> </w:t>
      </w:r>
      <w:r>
        <w:t>Good</w:t>
      </w:r>
      <w:r>
        <w:rPr>
          <w:spacing w:val="-3"/>
        </w:rPr>
        <w:t xml:space="preserve"> </w:t>
      </w:r>
      <w:r>
        <w:t>Law,</w:t>
      </w:r>
      <w:r>
        <w:rPr>
          <w:spacing w:val="-3"/>
        </w:rPr>
        <w:t xml:space="preserve"> </w:t>
      </w:r>
      <w:r>
        <w:t>Good</w:t>
      </w:r>
      <w:r>
        <w:rPr>
          <w:spacing w:val="-3"/>
        </w:rPr>
        <w:t xml:space="preserve"> </w:t>
      </w:r>
      <w:r>
        <w:t>Lawyers,</w:t>
      </w:r>
      <w:r>
        <w:rPr>
          <w:spacing w:val="-3"/>
        </w:rPr>
        <w:t xml:space="preserve"> </w:t>
      </w:r>
      <w:r>
        <w:t>Public</w:t>
      </w:r>
      <w:r>
        <w:rPr>
          <w:spacing w:val="-3"/>
        </w:rPr>
        <w:t xml:space="preserve"> </w:t>
      </w:r>
      <w:r>
        <w:t>Good.</w:t>
      </w:r>
      <w:r>
        <w:rPr>
          <w:spacing w:val="-13"/>
        </w:rPr>
        <w:t xml:space="preserve"> </w:t>
      </w:r>
      <w:r>
        <w:t>Across</w:t>
      </w:r>
      <w:r>
        <w:rPr>
          <w:spacing w:val="-3"/>
        </w:rPr>
        <w:t xml:space="preserve"> </w:t>
      </w:r>
      <w:r>
        <w:t>the</w:t>
      </w:r>
      <w:r>
        <w:rPr>
          <w:spacing w:val="-3"/>
        </w:rPr>
        <w:t xml:space="preserve"> </w:t>
      </w:r>
      <w:r>
        <w:t>organisation, we</w:t>
      </w:r>
      <w:r>
        <w:rPr>
          <w:spacing w:val="-2"/>
        </w:rPr>
        <w:t xml:space="preserve"> </w:t>
      </w:r>
      <w:r>
        <w:t>are</w:t>
      </w:r>
      <w:r>
        <w:rPr>
          <w:spacing w:val="-2"/>
        </w:rPr>
        <w:t xml:space="preserve"> </w:t>
      </w:r>
      <w:r>
        <w:t>continuing</w:t>
      </w:r>
      <w:r>
        <w:rPr>
          <w:spacing w:val="-2"/>
        </w:rPr>
        <w:t xml:space="preserve"> </w:t>
      </w:r>
      <w:r>
        <w:t>to</w:t>
      </w:r>
      <w:r>
        <w:rPr>
          <w:spacing w:val="-2"/>
        </w:rPr>
        <w:t xml:space="preserve"> </w:t>
      </w:r>
      <w:r>
        <w:t>advance</w:t>
      </w:r>
      <w:r>
        <w:rPr>
          <w:spacing w:val="-2"/>
        </w:rPr>
        <w:t xml:space="preserve"> </w:t>
      </w:r>
      <w:r>
        <w:t>and</w:t>
      </w:r>
      <w:r>
        <w:rPr>
          <w:spacing w:val="-2"/>
        </w:rPr>
        <w:t xml:space="preserve"> </w:t>
      </w:r>
      <w:r>
        <w:t>deliver</w:t>
      </w:r>
      <w:r>
        <w:rPr>
          <w:spacing w:val="-2"/>
        </w:rPr>
        <w:t xml:space="preserve"> </w:t>
      </w:r>
      <w:r>
        <w:t>on</w:t>
      </w:r>
      <w:r>
        <w:rPr>
          <w:spacing w:val="-2"/>
        </w:rPr>
        <w:t xml:space="preserve"> </w:t>
      </w:r>
      <w:r>
        <w:t>new</w:t>
      </w:r>
      <w:r>
        <w:rPr>
          <w:spacing w:val="-2"/>
        </w:rPr>
        <w:t xml:space="preserve"> </w:t>
      </w:r>
      <w:r>
        <w:t>goals</w:t>
      </w:r>
      <w:r>
        <w:rPr>
          <w:spacing w:val="-2"/>
        </w:rPr>
        <w:t xml:space="preserve"> </w:t>
      </w:r>
      <w:r>
        <w:t>and</w:t>
      </w:r>
      <w:r>
        <w:rPr>
          <w:spacing w:val="-2"/>
        </w:rPr>
        <w:t xml:space="preserve"> </w:t>
      </w:r>
      <w:r>
        <w:t>projects</w:t>
      </w:r>
      <w:r>
        <w:rPr>
          <w:spacing w:val="-2"/>
        </w:rPr>
        <w:t xml:space="preserve"> </w:t>
      </w:r>
      <w:r>
        <w:t>and</w:t>
      </w:r>
      <w:r>
        <w:rPr>
          <w:spacing w:val="-2"/>
        </w:rPr>
        <w:t xml:space="preserve"> </w:t>
      </w:r>
      <w:r>
        <w:t>our</w:t>
      </w:r>
      <w:r>
        <w:rPr>
          <w:spacing w:val="-2"/>
        </w:rPr>
        <w:t xml:space="preserve"> </w:t>
      </w:r>
      <w:r>
        <w:t>progress</w:t>
      </w:r>
      <w:r>
        <w:rPr>
          <w:spacing w:val="-2"/>
        </w:rPr>
        <w:t xml:space="preserve"> </w:t>
      </w:r>
      <w:r>
        <w:t>in</w:t>
      </w:r>
      <w:r>
        <w:rPr>
          <w:spacing w:val="-2"/>
        </w:rPr>
        <w:t xml:space="preserve"> </w:t>
      </w:r>
      <w:r>
        <w:t>our</w:t>
      </w:r>
      <w:r>
        <w:rPr>
          <w:spacing w:val="-2"/>
        </w:rPr>
        <w:t xml:space="preserve"> </w:t>
      </w:r>
      <w:r>
        <w:t xml:space="preserve">second year of the strategic plan </w:t>
      </w:r>
      <w:proofErr w:type="gramStart"/>
      <w:r>
        <w:t>is outlined</w:t>
      </w:r>
      <w:proofErr w:type="gramEnd"/>
      <w:r>
        <w:t xml:space="preserve"> in this document.</w:t>
      </w:r>
    </w:p>
    <w:p w14:paraId="0AA1CB31" w14:textId="77777777" w:rsidR="00AC6F3C" w:rsidRDefault="00570E88">
      <w:pPr>
        <w:spacing w:before="170"/>
        <w:ind w:left="115" w:right="469"/>
        <w:jc w:val="both"/>
        <w:rPr>
          <w:sz w:val="20"/>
        </w:rPr>
      </w:pPr>
      <w:r>
        <w:rPr>
          <w:sz w:val="20"/>
        </w:rPr>
        <w:t>QLS</w:t>
      </w:r>
      <w:r>
        <w:rPr>
          <w:spacing w:val="-2"/>
          <w:sz w:val="20"/>
        </w:rPr>
        <w:t xml:space="preserve"> </w:t>
      </w:r>
      <w:proofErr w:type="gramStart"/>
      <w:r>
        <w:rPr>
          <w:sz w:val="20"/>
        </w:rPr>
        <w:t>is</w:t>
      </w:r>
      <w:r>
        <w:rPr>
          <w:spacing w:val="-2"/>
          <w:sz w:val="20"/>
        </w:rPr>
        <w:t xml:space="preserve"> </w:t>
      </w:r>
      <w:r>
        <w:rPr>
          <w:sz w:val="20"/>
        </w:rPr>
        <w:t>incorporated</w:t>
      </w:r>
      <w:proofErr w:type="gramEnd"/>
      <w:r>
        <w:rPr>
          <w:spacing w:val="-2"/>
          <w:sz w:val="20"/>
        </w:rPr>
        <w:t xml:space="preserve"> </w:t>
      </w:r>
      <w:r>
        <w:rPr>
          <w:sz w:val="20"/>
        </w:rPr>
        <w:t>under</w:t>
      </w:r>
      <w:r>
        <w:rPr>
          <w:spacing w:val="-2"/>
          <w:sz w:val="20"/>
        </w:rPr>
        <w:t xml:space="preserve"> </w:t>
      </w:r>
      <w:r>
        <w:rPr>
          <w:sz w:val="20"/>
        </w:rPr>
        <w:t>the</w:t>
      </w:r>
      <w:r>
        <w:rPr>
          <w:spacing w:val="-2"/>
          <w:sz w:val="20"/>
        </w:rPr>
        <w:t xml:space="preserve"> </w:t>
      </w:r>
      <w:r>
        <w:rPr>
          <w:i/>
          <w:sz w:val="20"/>
        </w:rPr>
        <w:t>Legal</w:t>
      </w:r>
      <w:r>
        <w:rPr>
          <w:i/>
          <w:spacing w:val="-2"/>
          <w:sz w:val="20"/>
        </w:rPr>
        <w:t xml:space="preserve"> </w:t>
      </w:r>
      <w:r>
        <w:rPr>
          <w:i/>
          <w:sz w:val="20"/>
        </w:rPr>
        <w:t>Profession</w:t>
      </w:r>
      <w:r>
        <w:rPr>
          <w:i/>
          <w:spacing w:val="-10"/>
          <w:sz w:val="20"/>
        </w:rPr>
        <w:t xml:space="preserve"> </w:t>
      </w:r>
      <w:r>
        <w:rPr>
          <w:i/>
          <w:sz w:val="20"/>
        </w:rPr>
        <w:t>Act</w:t>
      </w:r>
      <w:r>
        <w:rPr>
          <w:i/>
          <w:spacing w:val="-2"/>
          <w:sz w:val="20"/>
        </w:rPr>
        <w:t xml:space="preserve"> </w:t>
      </w:r>
      <w:r>
        <w:rPr>
          <w:i/>
          <w:sz w:val="20"/>
        </w:rPr>
        <w:t>2007</w:t>
      </w:r>
      <w:r>
        <w:rPr>
          <w:i/>
          <w:spacing w:val="-2"/>
          <w:sz w:val="20"/>
        </w:rPr>
        <w:t xml:space="preserve"> </w:t>
      </w:r>
      <w:r>
        <w:rPr>
          <w:sz w:val="20"/>
        </w:rPr>
        <w:t>and</w:t>
      </w:r>
      <w:r>
        <w:rPr>
          <w:spacing w:val="-2"/>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statutory</w:t>
      </w:r>
      <w:r>
        <w:rPr>
          <w:spacing w:val="-2"/>
          <w:sz w:val="20"/>
        </w:rPr>
        <w:t xml:space="preserve"> </w:t>
      </w:r>
      <w:r>
        <w:rPr>
          <w:sz w:val="20"/>
        </w:rPr>
        <w:t>body</w:t>
      </w:r>
      <w:r>
        <w:rPr>
          <w:spacing w:val="-2"/>
          <w:sz w:val="20"/>
        </w:rPr>
        <w:t xml:space="preserve"> </w:t>
      </w:r>
      <w:r>
        <w:rPr>
          <w:sz w:val="20"/>
        </w:rPr>
        <w:t>under</w:t>
      </w:r>
      <w:r>
        <w:rPr>
          <w:spacing w:val="-2"/>
          <w:sz w:val="20"/>
        </w:rPr>
        <w:t xml:space="preserve"> </w:t>
      </w:r>
      <w:r>
        <w:rPr>
          <w:sz w:val="20"/>
        </w:rPr>
        <w:t xml:space="preserve">the </w:t>
      </w:r>
      <w:r>
        <w:rPr>
          <w:i/>
          <w:sz w:val="20"/>
        </w:rPr>
        <w:t>Financial</w:t>
      </w:r>
      <w:r>
        <w:rPr>
          <w:i/>
          <w:spacing w:val="-10"/>
          <w:sz w:val="20"/>
        </w:rPr>
        <w:t xml:space="preserve"> </w:t>
      </w:r>
      <w:r>
        <w:rPr>
          <w:i/>
          <w:sz w:val="20"/>
        </w:rPr>
        <w:t>Accountability</w:t>
      </w:r>
      <w:r>
        <w:rPr>
          <w:i/>
          <w:spacing w:val="-10"/>
          <w:sz w:val="20"/>
        </w:rPr>
        <w:t xml:space="preserve"> </w:t>
      </w:r>
      <w:r>
        <w:rPr>
          <w:i/>
          <w:sz w:val="20"/>
        </w:rPr>
        <w:t>Act</w:t>
      </w:r>
      <w:r>
        <w:rPr>
          <w:i/>
          <w:spacing w:val="-2"/>
          <w:sz w:val="20"/>
        </w:rPr>
        <w:t xml:space="preserve"> </w:t>
      </w:r>
      <w:r>
        <w:rPr>
          <w:i/>
          <w:sz w:val="20"/>
        </w:rPr>
        <w:t>2009</w:t>
      </w:r>
      <w:r>
        <w:rPr>
          <w:sz w:val="20"/>
        </w:rPr>
        <w:t>.</w:t>
      </w:r>
      <w:r>
        <w:rPr>
          <w:spacing w:val="-6"/>
          <w:sz w:val="20"/>
        </w:rPr>
        <w:t xml:space="preserve"> </w:t>
      </w:r>
      <w:r>
        <w:rPr>
          <w:sz w:val="20"/>
        </w:rPr>
        <w:t>The</w:t>
      </w:r>
      <w:r>
        <w:rPr>
          <w:spacing w:val="-2"/>
          <w:sz w:val="20"/>
        </w:rPr>
        <w:t xml:space="preserve"> </w:t>
      </w:r>
      <w:r>
        <w:rPr>
          <w:sz w:val="20"/>
        </w:rPr>
        <w:t>QLS</w:t>
      </w:r>
      <w:r>
        <w:rPr>
          <w:spacing w:val="-2"/>
          <w:sz w:val="20"/>
        </w:rPr>
        <w:t xml:space="preserve"> </w:t>
      </w:r>
      <w:r>
        <w:rPr>
          <w:sz w:val="20"/>
        </w:rPr>
        <w:t>Council</w:t>
      </w:r>
      <w:r>
        <w:rPr>
          <w:spacing w:val="-2"/>
          <w:sz w:val="20"/>
        </w:rPr>
        <w:t xml:space="preserve"> </w:t>
      </w:r>
      <w:r>
        <w:rPr>
          <w:sz w:val="20"/>
        </w:rPr>
        <w:t>is</w:t>
      </w:r>
      <w:r>
        <w:rPr>
          <w:spacing w:val="-2"/>
          <w:sz w:val="20"/>
        </w:rPr>
        <w:t xml:space="preserve"> </w:t>
      </w:r>
      <w:r>
        <w:rPr>
          <w:sz w:val="20"/>
        </w:rPr>
        <w:t>responsible</w:t>
      </w:r>
      <w:r>
        <w:rPr>
          <w:spacing w:val="-2"/>
          <w:sz w:val="20"/>
        </w:rPr>
        <w:t xml:space="preserve"> </w:t>
      </w:r>
      <w:r>
        <w:rPr>
          <w:sz w:val="20"/>
        </w:rPr>
        <w:t>for</w:t>
      </w:r>
      <w:r>
        <w:rPr>
          <w:spacing w:val="-2"/>
          <w:sz w:val="20"/>
        </w:rPr>
        <w:t xml:space="preserve"> </w:t>
      </w:r>
      <w:r>
        <w:rPr>
          <w:sz w:val="20"/>
        </w:rPr>
        <w:t>overseeing</w:t>
      </w:r>
      <w:r>
        <w:rPr>
          <w:spacing w:val="-2"/>
          <w:sz w:val="20"/>
        </w:rPr>
        <w:t xml:space="preserve"> </w:t>
      </w:r>
      <w:r>
        <w:rPr>
          <w:sz w:val="20"/>
        </w:rPr>
        <w:t>our</w:t>
      </w:r>
      <w:r>
        <w:rPr>
          <w:spacing w:val="-2"/>
          <w:sz w:val="20"/>
        </w:rPr>
        <w:t xml:space="preserve"> </w:t>
      </w:r>
      <w:r>
        <w:rPr>
          <w:sz w:val="20"/>
        </w:rPr>
        <w:t>governance</w:t>
      </w:r>
      <w:r>
        <w:rPr>
          <w:spacing w:val="-2"/>
          <w:sz w:val="20"/>
        </w:rPr>
        <w:t xml:space="preserve"> </w:t>
      </w:r>
      <w:r>
        <w:rPr>
          <w:sz w:val="20"/>
        </w:rPr>
        <w:t>and setting the strategic direction.</w:t>
      </w:r>
    </w:p>
    <w:p w14:paraId="7BFCC9C0" w14:textId="77777777" w:rsidR="00AC6F3C" w:rsidRDefault="00570E88">
      <w:pPr>
        <w:pStyle w:val="BodyText"/>
        <w:spacing w:before="171" w:line="244" w:lineRule="auto"/>
        <w:ind w:left="115" w:right="438"/>
      </w:pPr>
      <w:r>
        <w:t>This</w:t>
      </w:r>
      <w:r>
        <w:rPr>
          <w:spacing w:val="-3"/>
        </w:rPr>
        <w:t xml:space="preserve"> </w:t>
      </w:r>
      <w:r>
        <w:t>annual</w:t>
      </w:r>
      <w:r>
        <w:rPr>
          <w:spacing w:val="-3"/>
        </w:rPr>
        <w:t xml:space="preserve"> </w:t>
      </w:r>
      <w:r>
        <w:t>report</w:t>
      </w:r>
      <w:r>
        <w:rPr>
          <w:spacing w:val="-3"/>
        </w:rPr>
        <w:t xml:space="preserve"> </w:t>
      </w:r>
      <w:r>
        <w:t>complies</w:t>
      </w:r>
      <w:r>
        <w:rPr>
          <w:spacing w:val="-3"/>
        </w:rPr>
        <w:t xml:space="preserve"> </w:t>
      </w:r>
      <w:r>
        <w:t>with</w:t>
      </w:r>
      <w:r>
        <w:rPr>
          <w:spacing w:val="-3"/>
        </w:rPr>
        <w:t xml:space="preserve"> </w:t>
      </w:r>
      <w:r>
        <w:t>Queensland</w:t>
      </w:r>
      <w:r>
        <w:rPr>
          <w:spacing w:val="-3"/>
        </w:rPr>
        <w:t xml:space="preserve"> </w:t>
      </w:r>
      <w:r>
        <w:t>Government</w:t>
      </w:r>
      <w:r>
        <w:rPr>
          <w:spacing w:val="-3"/>
        </w:rPr>
        <w:t xml:space="preserve"> </w:t>
      </w:r>
      <w:r>
        <w:t>reporting</w:t>
      </w:r>
      <w:r>
        <w:rPr>
          <w:spacing w:val="-3"/>
        </w:rPr>
        <w:t xml:space="preserve"> </w:t>
      </w:r>
      <w:r>
        <w:t>requirements.</w:t>
      </w:r>
      <w:r>
        <w:rPr>
          <w:spacing w:val="-7"/>
        </w:rPr>
        <w:t xml:space="preserve"> </w:t>
      </w:r>
      <w:r>
        <w:t>This</w:t>
      </w:r>
      <w:r>
        <w:rPr>
          <w:spacing w:val="-3"/>
        </w:rPr>
        <w:t xml:space="preserve"> </w:t>
      </w:r>
      <w:r>
        <w:t>report</w:t>
      </w:r>
      <w:r>
        <w:rPr>
          <w:spacing w:val="-3"/>
        </w:rPr>
        <w:t xml:space="preserve"> </w:t>
      </w:r>
      <w:r>
        <w:t>aligns with QLS’s current operational plan and corporate performance against our strategic objectives of Advocate, Regulate, Guide, Educate, Connect, and Grow.</w:t>
      </w:r>
    </w:p>
    <w:p w14:paraId="2BD4B85F" w14:textId="77777777" w:rsidR="00AC6F3C" w:rsidRDefault="00AC6F3C">
      <w:pPr>
        <w:pStyle w:val="BodyText"/>
      </w:pPr>
    </w:p>
    <w:p w14:paraId="1AB1E476" w14:textId="77777777" w:rsidR="00AC6F3C" w:rsidRDefault="00570E88">
      <w:pPr>
        <w:pStyle w:val="BodyText"/>
        <w:rPr>
          <w:sz w:val="23"/>
        </w:rPr>
      </w:pPr>
      <w:r>
        <w:rPr>
          <w:noProof/>
        </w:rPr>
        <mc:AlternateContent>
          <mc:Choice Requires="wps">
            <w:drawing>
              <wp:anchor distT="0" distB="0" distL="0" distR="0" simplePos="0" relativeHeight="487589376" behindDoc="1" locked="0" layoutInCell="1" allowOverlap="1" wp14:anchorId="4372ACB6" wp14:editId="21589657">
                <wp:simplePos x="0" y="0"/>
                <wp:positionH relativeFrom="page">
                  <wp:posOffset>809999</wp:posOffset>
                </wp:positionH>
                <wp:positionV relativeFrom="paragraph">
                  <wp:posOffset>183381</wp:posOffset>
                </wp:positionV>
                <wp:extent cx="594042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F6A1A1" id="Graphic 7" o:spid="_x0000_s1026" style="position:absolute;margin-left:63.8pt;margin-top:14.45pt;width:467.7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" path="m,l5939993,e" filled="f" strokeweight="2pt">
                <v:path arrowok="t"/>
                <w10:wrap type="topAndBottom" anchorx="page"/>
              </v:shape>
            </w:pict>
          </mc:Fallback>
        </mc:AlternateContent>
      </w:r>
    </w:p>
    <w:p w14:paraId="35965570" w14:textId="77777777" w:rsidR="00AC6F3C" w:rsidRDefault="00570E88">
      <w:pPr>
        <w:pStyle w:val="Heading2"/>
        <w:spacing w:before="154"/>
        <w:ind w:left="115"/>
      </w:pPr>
      <w:r>
        <w:t>Our</w:t>
      </w:r>
      <w:r>
        <w:rPr>
          <w:spacing w:val="-1"/>
        </w:rPr>
        <w:t xml:space="preserve"> </w:t>
      </w:r>
      <w:r>
        <w:t>commitment</w:t>
      </w:r>
      <w:r>
        <w:rPr>
          <w:spacing w:val="-1"/>
        </w:rPr>
        <w:t xml:space="preserve"> </w:t>
      </w:r>
      <w:r>
        <w:t xml:space="preserve">to </w:t>
      </w:r>
      <w:r>
        <w:rPr>
          <w:spacing w:val="-2"/>
        </w:rPr>
        <w:t>accessibility</w:t>
      </w:r>
    </w:p>
    <w:p w14:paraId="635889F8" w14:textId="77777777" w:rsidR="00AC6F3C" w:rsidRDefault="00570E88">
      <w:pPr>
        <w:spacing w:before="299"/>
        <w:ind w:left="115"/>
        <w:jc w:val="both"/>
        <w:rPr>
          <w:sz w:val="20"/>
        </w:rPr>
      </w:pPr>
      <w:r>
        <w:rPr>
          <w:sz w:val="20"/>
        </w:rPr>
        <w:t>This</w:t>
      </w:r>
      <w:r>
        <w:rPr>
          <w:spacing w:val="-7"/>
          <w:sz w:val="20"/>
        </w:rPr>
        <w:t xml:space="preserve"> </w:t>
      </w:r>
      <w:r>
        <w:rPr>
          <w:sz w:val="20"/>
        </w:rPr>
        <w:t>annual</w:t>
      </w:r>
      <w:r>
        <w:rPr>
          <w:spacing w:val="-5"/>
          <w:sz w:val="20"/>
        </w:rPr>
        <w:t xml:space="preserve"> </w:t>
      </w:r>
      <w:r>
        <w:rPr>
          <w:sz w:val="20"/>
        </w:rPr>
        <w:t>report</w:t>
      </w:r>
      <w:r>
        <w:rPr>
          <w:spacing w:val="-4"/>
          <w:sz w:val="20"/>
        </w:rPr>
        <w:t xml:space="preserve"> </w:t>
      </w:r>
      <w:r>
        <w:rPr>
          <w:sz w:val="20"/>
        </w:rPr>
        <w:t>can</w:t>
      </w:r>
      <w:r>
        <w:rPr>
          <w:spacing w:val="-5"/>
          <w:sz w:val="20"/>
        </w:rPr>
        <w:t xml:space="preserve"> </w:t>
      </w:r>
      <w:proofErr w:type="gramStart"/>
      <w:r>
        <w:rPr>
          <w:sz w:val="20"/>
        </w:rPr>
        <w:t>be</w:t>
      </w:r>
      <w:r>
        <w:rPr>
          <w:spacing w:val="-5"/>
          <w:sz w:val="20"/>
        </w:rPr>
        <w:t xml:space="preserve"> </w:t>
      </w:r>
      <w:r>
        <w:rPr>
          <w:sz w:val="20"/>
        </w:rPr>
        <w:t>accessed</w:t>
      </w:r>
      <w:proofErr w:type="gramEnd"/>
      <w:r>
        <w:rPr>
          <w:spacing w:val="-4"/>
          <w:sz w:val="20"/>
        </w:rPr>
        <w:t xml:space="preserve"> </w:t>
      </w:r>
      <w:r>
        <w:rPr>
          <w:sz w:val="20"/>
        </w:rPr>
        <w:t>at</w:t>
      </w:r>
      <w:r>
        <w:rPr>
          <w:spacing w:val="-5"/>
          <w:sz w:val="20"/>
        </w:rPr>
        <w:t xml:space="preserve"> </w:t>
      </w:r>
      <w:hyperlink r:id="rId8">
        <w:r>
          <w:rPr>
            <w:b/>
            <w:sz w:val="20"/>
            <w:u w:val="single"/>
          </w:rPr>
          <w:t>qls.com.au/</w:t>
        </w:r>
        <w:proofErr w:type="spellStart"/>
        <w:r>
          <w:rPr>
            <w:b/>
            <w:sz w:val="20"/>
            <w:u w:val="single"/>
          </w:rPr>
          <w:t>annualreports</w:t>
        </w:r>
        <w:proofErr w:type="spellEnd"/>
      </w:hyperlink>
      <w:r>
        <w:rPr>
          <w:sz w:val="20"/>
        </w:rPr>
        <w:t>,</w:t>
      </w:r>
      <w:r>
        <w:rPr>
          <w:spacing w:val="-5"/>
          <w:sz w:val="20"/>
        </w:rPr>
        <w:t xml:space="preserve"> </w:t>
      </w:r>
      <w:r>
        <w:rPr>
          <w:sz w:val="20"/>
        </w:rPr>
        <w:t>via</w:t>
      </w:r>
      <w:r>
        <w:rPr>
          <w:spacing w:val="-4"/>
          <w:sz w:val="20"/>
        </w:rPr>
        <w:t xml:space="preserve"> </w:t>
      </w:r>
      <w:r>
        <w:rPr>
          <w:sz w:val="20"/>
        </w:rPr>
        <w:t>the</w:t>
      </w:r>
      <w:r>
        <w:rPr>
          <w:spacing w:val="-5"/>
          <w:sz w:val="20"/>
        </w:rPr>
        <w:t xml:space="preserve"> </w:t>
      </w:r>
      <w:r>
        <w:rPr>
          <w:sz w:val="20"/>
        </w:rPr>
        <w:t>Queensland</w:t>
      </w:r>
      <w:r>
        <w:rPr>
          <w:spacing w:val="-4"/>
          <w:sz w:val="20"/>
        </w:rPr>
        <w:t xml:space="preserve"> </w:t>
      </w:r>
      <w:r>
        <w:rPr>
          <w:spacing w:val="-2"/>
          <w:sz w:val="20"/>
        </w:rPr>
        <w:t>Parliament</w:t>
      </w:r>
    </w:p>
    <w:p w14:paraId="56B1D897" w14:textId="77777777" w:rsidR="00AC6F3C" w:rsidRDefault="00570E88">
      <w:pPr>
        <w:pStyle w:val="BodyText"/>
        <w:spacing w:before="10"/>
        <w:ind w:left="115"/>
        <w:jc w:val="both"/>
      </w:pPr>
      <w:r>
        <w:t>website</w:t>
      </w:r>
      <w:r>
        <w:rPr>
          <w:spacing w:val="-3"/>
        </w:rPr>
        <w:t xml:space="preserve"> </w:t>
      </w:r>
      <w:r>
        <w:t>or</w:t>
      </w:r>
      <w:r>
        <w:rPr>
          <w:spacing w:val="-2"/>
        </w:rPr>
        <w:t xml:space="preserve"> </w:t>
      </w:r>
      <w:r>
        <w:t>in</w:t>
      </w:r>
      <w:r>
        <w:rPr>
          <w:spacing w:val="-2"/>
        </w:rPr>
        <w:t xml:space="preserve"> </w:t>
      </w:r>
      <w:r>
        <w:t>print</w:t>
      </w:r>
      <w:r>
        <w:rPr>
          <w:spacing w:val="-2"/>
        </w:rPr>
        <w:t xml:space="preserve"> </w:t>
      </w:r>
      <w:r>
        <w:t>form</w:t>
      </w:r>
      <w:r>
        <w:rPr>
          <w:spacing w:val="-2"/>
        </w:rPr>
        <w:t xml:space="preserve"> </w:t>
      </w:r>
      <w:r>
        <w:t>by</w:t>
      </w:r>
      <w:r>
        <w:rPr>
          <w:spacing w:val="-2"/>
        </w:rPr>
        <w:t xml:space="preserve"> </w:t>
      </w:r>
      <w:r>
        <w:t>contacting</w:t>
      </w:r>
      <w:r>
        <w:rPr>
          <w:spacing w:val="-2"/>
        </w:rPr>
        <w:t xml:space="preserve"> </w:t>
      </w:r>
      <w:r>
        <w:t>us</w:t>
      </w:r>
      <w:r>
        <w:rPr>
          <w:spacing w:val="-2"/>
        </w:rPr>
        <w:t xml:space="preserve"> </w:t>
      </w:r>
      <w:r>
        <w:t>(see</w:t>
      </w:r>
      <w:r>
        <w:rPr>
          <w:spacing w:val="-2"/>
        </w:rPr>
        <w:t xml:space="preserve"> below).</w:t>
      </w:r>
    </w:p>
    <w:p w14:paraId="7FCF0F77" w14:textId="77777777" w:rsidR="00AC6F3C" w:rsidRDefault="00570E88">
      <w:pPr>
        <w:pStyle w:val="BodyText"/>
        <w:spacing w:before="180" w:line="249" w:lineRule="auto"/>
        <w:ind w:left="115" w:right="438"/>
      </w:pPr>
      <w:r>
        <w:t>Our</w:t>
      </w:r>
      <w:r>
        <w:rPr>
          <w:spacing w:val="-3"/>
        </w:rPr>
        <w:t xml:space="preserve"> </w:t>
      </w:r>
      <w:r>
        <w:t>website</w:t>
      </w:r>
      <w:r>
        <w:rPr>
          <w:spacing w:val="-3"/>
        </w:rPr>
        <w:t xml:space="preserve"> </w:t>
      </w:r>
      <w:hyperlink r:id="rId9">
        <w:r>
          <w:rPr>
            <w:b/>
            <w:u w:val="single"/>
          </w:rPr>
          <w:t>qls.com.au</w:t>
        </w:r>
      </w:hyperlink>
      <w:r>
        <w:rPr>
          <w:b/>
          <w:spacing w:val="-3"/>
        </w:rPr>
        <w:t xml:space="preserve"> </w:t>
      </w:r>
      <w:r>
        <w:t>also</w:t>
      </w:r>
      <w:r>
        <w:rPr>
          <w:spacing w:val="-3"/>
        </w:rPr>
        <w:t xml:space="preserve"> </w:t>
      </w:r>
      <w:r>
        <w:t>contains</w:t>
      </w:r>
      <w:r>
        <w:rPr>
          <w:spacing w:val="-3"/>
        </w:rPr>
        <w:t xml:space="preserve"> </w:t>
      </w:r>
      <w:r>
        <w:t>the</w:t>
      </w:r>
      <w:r>
        <w:rPr>
          <w:spacing w:val="-3"/>
        </w:rPr>
        <w:t xml:space="preserve"> </w:t>
      </w:r>
      <w:r>
        <w:t>required</w:t>
      </w:r>
      <w:r>
        <w:rPr>
          <w:spacing w:val="-3"/>
        </w:rPr>
        <w:t xml:space="preserve"> </w:t>
      </w:r>
      <w:r>
        <w:t>reporting</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3"/>
        </w:rPr>
        <w:t xml:space="preserve"> </w:t>
      </w:r>
      <w:r>
        <w:t>Council</w:t>
      </w:r>
      <w:r>
        <w:rPr>
          <w:spacing w:val="-3"/>
        </w:rPr>
        <w:t xml:space="preserve"> </w:t>
      </w:r>
      <w:r>
        <w:t>of</w:t>
      </w:r>
      <w:r>
        <w:rPr>
          <w:spacing w:val="-3"/>
        </w:rPr>
        <w:t xml:space="preserve"> </w:t>
      </w:r>
      <w:r>
        <w:t xml:space="preserve">Queensland Law Society as a government body. Recent annual reports can </w:t>
      </w:r>
      <w:proofErr w:type="gramStart"/>
      <w:r>
        <w:t>be accessed</w:t>
      </w:r>
      <w:proofErr w:type="gramEnd"/>
      <w:r>
        <w:t xml:space="preserve"> via our website.</w:t>
      </w:r>
    </w:p>
    <w:p w14:paraId="459136AD" w14:textId="77777777" w:rsidR="00AC6F3C" w:rsidRDefault="00570E88">
      <w:pPr>
        <w:pStyle w:val="BodyText"/>
        <w:spacing w:before="172" w:line="249" w:lineRule="auto"/>
        <w:ind w:left="942" w:right="438"/>
      </w:pPr>
      <w:r>
        <w:rPr>
          <w:noProof/>
        </w:rPr>
        <mc:AlternateContent>
          <mc:Choice Requires="wpg">
            <w:drawing>
              <wp:anchor distT="0" distB="0" distL="0" distR="0" simplePos="0" relativeHeight="15731712" behindDoc="0" locked="0" layoutInCell="1" allowOverlap="1" wp14:anchorId="5E8C4160" wp14:editId="45B4DB70">
                <wp:simplePos x="0" y="0"/>
                <wp:positionH relativeFrom="page">
                  <wp:posOffset>810005</wp:posOffset>
                </wp:positionH>
                <wp:positionV relativeFrom="paragraph">
                  <wp:posOffset>92773</wp:posOffset>
                </wp:positionV>
                <wp:extent cx="417830" cy="4178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417830"/>
                          <a:chOff x="0" y="0"/>
                          <a:chExt cx="417830" cy="417830"/>
                        </a:xfrm>
                      </wpg:grpSpPr>
                      <wps:wsp>
                        <wps:cNvPr id="9" name="Graphic 9"/>
                        <wps:cNvSpPr/>
                        <wps:spPr>
                          <a:xfrm>
                            <a:off x="0" y="0"/>
                            <a:ext cx="417830" cy="417830"/>
                          </a:xfrm>
                          <a:custGeom>
                            <a:avLst/>
                            <a:gdLst/>
                            <a:ahLst/>
                            <a:cxnLst/>
                            <a:rect l="l" t="t" r="r" b="b"/>
                            <a:pathLst>
                              <a:path w="417830" h="417830">
                                <a:moveTo>
                                  <a:pt x="417258" y="0"/>
                                </a:moveTo>
                                <a:lnTo>
                                  <a:pt x="0" y="0"/>
                                </a:lnTo>
                                <a:lnTo>
                                  <a:pt x="0" y="417271"/>
                                </a:lnTo>
                                <a:lnTo>
                                  <a:pt x="417258" y="417271"/>
                                </a:lnTo>
                                <a:lnTo>
                                  <a:pt x="417258" y="0"/>
                                </a:lnTo>
                                <a:close/>
                              </a:path>
                            </a:pathLst>
                          </a:custGeom>
                          <a:solidFill>
                            <a:srgbClr val="0054A4"/>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23482" y="92184"/>
                            <a:ext cx="370297" cy="269976"/>
                          </a:xfrm>
                          <a:prstGeom prst="rect">
                            <a:avLst/>
                          </a:prstGeom>
                        </pic:spPr>
                      </pic:pic>
                    </wpg:wgp>
                  </a:graphicData>
                </a:graphic>
              </wp:anchor>
            </w:drawing>
          </mc:Choice>
          <mc:Fallback>
            <w:pict>
              <v:group w14:anchorId="72774C78" id="Group 8" o:spid="_x0000_s1026" style="position:absolute;margin-left:63.8pt;margin-top:7.3pt;width:32.9pt;height:32.9pt;z-index:15731712;mso-wrap-distance-left:0;mso-wrap-distance-right:0;mso-position-horizontal-relative:page" coordsize="417830,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">
                <v:shape id="Graphic 9" o:spid="_x0000_s1027" style="position:absolute;width:417830;height:417830;visibility:visible;mso-wrap-style:square;v-text-anchor:top"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" path="m417258,l,,,417271r417258,l417258,xe" fillcolor="#0054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3482;top:92184;width:370297;height:26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">
                  <v:imagedata r:id="rId11" o:title=""/>
                </v:shape>
                <w10:wrap anchorx="page"/>
              </v:group>
            </w:pict>
          </mc:Fallback>
        </mc:AlternateContent>
      </w:r>
      <w:r>
        <w:t>Please</w:t>
      </w:r>
      <w:r>
        <w:rPr>
          <w:spacing w:val="-3"/>
        </w:rPr>
        <w:t xml:space="preserve"> </w:t>
      </w:r>
      <w:r>
        <w:t>contact</w:t>
      </w:r>
      <w:r>
        <w:rPr>
          <w:spacing w:val="-3"/>
        </w:rPr>
        <w:t xml:space="preserve"> </w:t>
      </w:r>
      <w:r>
        <w:t>us</w:t>
      </w:r>
      <w:r>
        <w:rPr>
          <w:spacing w:val="-3"/>
        </w:rPr>
        <w:t xml:space="preserve"> </w:t>
      </w:r>
      <w:r>
        <w:t>if</w:t>
      </w:r>
      <w:r>
        <w:rPr>
          <w:spacing w:val="-3"/>
        </w:rPr>
        <w:t xml:space="preserve"> </w:t>
      </w:r>
      <w:r>
        <w:t>you</w:t>
      </w:r>
      <w:r>
        <w:rPr>
          <w:spacing w:val="-3"/>
        </w:rPr>
        <w:t xml:space="preserve"> </w:t>
      </w:r>
      <w:r>
        <w:t>require</w:t>
      </w:r>
      <w:r>
        <w:rPr>
          <w:spacing w:val="-3"/>
        </w:rPr>
        <w:t xml:space="preserve"> </w:t>
      </w:r>
      <w:r>
        <w:t>assistance</w:t>
      </w:r>
      <w:r>
        <w:rPr>
          <w:spacing w:val="-3"/>
        </w:rPr>
        <w:t xml:space="preserve"> </w:t>
      </w:r>
      <w:r>
        <w:t>in</w:t>
      </w:r>
      <w:r>
        <w:rPr>
          <w:spacing w:val="-3"/>
        </w:rPr>
        <w:t xml:space="preserve"> </w:t>
      </w:r>
      <w:r>
        <w:t>understanding</w:t>
      </w:r>
      <w:r>
        <w:rPr>
          <w:spacing w:val="-3"/>
        </w:rPr>
        <w:t xml:space="preserve"> </w:t>
      </w:r>
      <w:r>
        <w:t>the</w:t>
      </w:r>
      <w:r>
        <w:rPr>
          <w:spacing w:val="-3"/>
        </w:rPr>
        <w:t xml:space="preserve"> </w:t>
      </w:r>
      <w:r>
        <w:t>annual</w:t>
      </w:r>
      <w:r>
        <w:rPr>
          <w:spacing w:val="-3"/>
        </w:rPr>
        <w:t xml:space="preserve"> </w:t>
      </w:r>
      <w:r>
        <w:t>report</w:t>
      </w:r>
      <w:r>
        <w:rPr>
          <w:spacing w:val="-3"/>
        </w:rPr>
        <w:t xml:space="preserve"> </w:t>
      </w:r>
      <w:r>
        <w:t>or</w:t>
      </w:r>
      <w:r>
        <w:rPr>
          <w:spacing w:val="-3"/>
        </w:rPr>
        <w:t xml:space="preserve"> </w:t>
      </w:r>
      <w:r>
        <w:t>for</w:t>
      </w:r>
      <w:r>
        <w:rPr>
          <w:spacing w:val="-3"/>
        </w:rPr>
        <w:t xml:space="preserve"> </w:t>
      </w:r>
      <w:r>
        <w:t xml:space="preserve">referral to interpreter services. Our open data reports can </w:t>
      </w:r>
      <w:proofErr w:type="gramStart"/>
      <w:r>
        <w:t>be accessed</w:t>
      </w:r>
      <w:proofErr w:type="gramEnd"/>
      <w:r>
        <w:t xml:space="preserve"> via </w:t>
      </w:r>
      <w:hyperlink r:id="rId12">
        <w:r>
          <w:rPr>
            <w:b/>
            <w:u w:val="single"/>
          </w:rPr>
          <w:t>data.qld.gov.au</w:t>
        </w:r>
      </w:hyperlink>
      <w:r>
        <w:t>.</w:t>
      </w:r>
    </w:p>
    <w:p w14:paraId="6EEB5ACB" w14:textId="77777777" w:rsidR="00AC6F3C" w:rsidRDefault="00AC6F3C">
      <w:pPr>
        <w:pStyle w:val="BodyText"/>
      </w:pPr>
    </w:p>
    <w:p w14:paraId="560716AE" w14:textId="77777777" w:rsidR="00AC6F3C" w:rsidRDefault="00570E88">
      <w:pPr>
        <w:pStyle w:val="BodyText"/>
        <w:spacing w:before="7"/>
        <w:rPr>
          <w:sz w:val="22"/>
        </w:rPr>
      </w:pPr>
      <w:r>
        <w:rPr>
          <w:noProof/>
        </w:rPr>
        <mc:AlternateContent>
          <mc:Choice Requires="wps">
            <w:drawing>
              <wp:anchor distT="0" distB="0" distL="0" distR="0" simplePos="0" relativeHeight="487589888" behindDoc="1" locked="0" layoutInCell="1" allowOverlap="1" wp14:anchorId="4653302E" wp14:editId="006C1C0C">
                <wp:simplePos x="0" y="0"/>
                <wp:positionH relativeFrom="page">
                  <wp:posOffset>809999</wp:posOffset>
                </wp:positionH>
                <wp:positionV relativeFrom="paragraph">
                  <wp:posOffset>180542</wp:posOffset>
                </wp:positionV>
                <wp:extent cx="59404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C28596" id="Graphic 11" o:spid="_x0000_s1026" style="position:absolute;margin-left:63.8pt;margin-top:14.2pt;width:467.7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" path="m,l5939993,e" filled="f" strokeweight="2pt">
                <v:path arrowok="t"/>
                <w10:wrap type="topAndBottom" anchorx="page"/>
              </v:shape>
            </w:pict>
          </mc:Fallback>
        </mc:AlternateContent>
      </w:r>
    </w:p>
    <w:p w14:paraId="68FDF1A4" w14:textId="77777777" w:rsidR="00AC6F3C" w:rsidRDefault="00570E88">
      <w:pPr>
        <w:pStyle w:val="Heading2"/>
        <w:spacing w:before="154"/>
        <w:ind w:left="115"/>
      </w:pPr>
      <w:r>
        <w:rPr>
          <w:spacing w:val="-2"/>
        </w:rPr>
        <w:t>Feedback</w:t>
      </w:r>
    </w:p>
    <w:p w14:paraId="712C1803" w14:textId="77777777" w:rsidR="00AC6F3C" w:rsidRDefault="00570E88">
      <w:pPr>
        <w:pStyle w:val="BodyText"/>
        <w:spacing w:before="119" w:line="400" w:lineRule="atLeast"/>
        <w:ind w:left="115" w:right="1639"/>
      </w:pPr>
      <w:r>
        <w:t>If</w:t>
      </w:r>
      <w:r>
        <w:rPr>
          <w:spacing w:val="-3"/>
        </w:rPr>
        <w:t xml:space="preserve"> </w:t>
      </w:r>
      <w:r>
        <w:t>you</w:t>
      </w:r>
      <w:r>
        <w:rPr>
          <w:spacing w:val="-3"/>
        </w:rPr>
        <w:t xml:space="preserve"> </w:t>
      </w:r>
      <w:r>
        <w:t>have</w:t>
      </w:r>
      <w:r>
        <w:rPr>
          <w:spacing w:val="-3"/>
        </w:rPr>
        <w:t xml:space="preserve"> </w:t>
      </w:r>
      <w:r>
        <w:t>feedback</w:t>
      </w:r>
      <w:r>
        <w:rPr>
          <w:spacing w:val="-3"/>
        </w:rPr>
        <w:t xml:space="preserve"> </w:t>
      </w:r>
      <w:r>
        <w:t>or</w:t>
      </w:r>
      <w:r>
        <w:rPr>
          <w:spacing w:val="-3"/>
        </w:rPr>
        <w:t xml:space="preserve"> </w:t>
      </w:r>
      <w:r>
        <w:t>questions</w:t>
      </w:r>
      <w:r>
        <w:rPr>
          <w:spacing w:val="-3"/>
        </w:rPr>
        <w:t xml:space="preserve"> </w:t>
      </w:r>
      <w:r>
        <w:t>about</w:t>
      </w:r>
      <w:r>
        <w:rPr>
          <w:spacing w:val="-3"/>
        </w:rPr>
        <w:t xml:space="preserve"> </w:t>
      </w:r>
      <w:r>
        <w:t>content</w:t>
      </w:r>
      <w:r>
        <w:rPr>
          <w:spacing w:val="-3"/>
        </w:rPr>
        <w:t xml:space="preserve"> </w:t>
      </w:r>
      <w:r>
        <w:t>in</w:t>
      </w:r>
      <w:r>
        <w:rPr>
          <w:spacing w:val="-3"/>
        </w:rPr>
        <w:t xml:space="preserve"> </w:t>
      </w:r>
      <w:r>
        <w:t>this</w:t>
      </w:r>
      <w:r>
        <w:rPr>
          <w:spacing w:val="-3"/>
        </w:rPr>
        <w:t xml:space="preserve"> </w:t>
      </w:r>
      <w:r>
        <w:t>annual</w:t>
      </w:r>
      <w:r>
        <w:rPr>
          <w:spacing w:val="-3"/>
        </w:rPr>
        <w:t xml:space="preserve"> </w:t>
      </w:r>
      <w:r>
        <w:t>report,</w:t>
      </w:r>
      <w:r>
        <w:rPr>
          <w:spacing w:val="-3"/>
        </w:rPr>
        <w:t xml:space="preserve"> </w:t>
      </w:r>
      <w:r>
        <w:t>please</w:t>
      </w:r>
      <w:r>
        <w:rPr>
          <w:spacing w:val="-3"/>
        </w:rPr>
        <w:t xml:space="preserve"> </w:t>
      </w:r>
      <w:r>
        <w:t>contact: Law Society House, 179 Ann Street Brisbane Qld 4000</w:t>
      </w:r>
    </w:p>
    <w:p w14:paraId="43A21976" w14:textId="77777777" w:rsidR="00AC6F3C" w:rsidRDefault="00570E88">
      <w:pPr>
        <w:pStyle w:val="BodyText"/>
        <w:ind w:left="115"/>
      </w:pPr>
      <w:r>
        <w:t>1300</w:t>
      </w:r>
      <w:r>
        <w:rPr>
          <w:spacing w:val="-3"/>
        </w:rPr>
        <w:t xml:space="preserve"> </w:t>
      </w:r>
      <w:r>
        <w:t>367</w:t>
      </w:r>
      <w:r>
        <w:rPr>
          <w:spacing w:val="-2"/>
        </w:rPr>
        <w:t xml:space="preserve"> </w:t>
      </w:r>
      <w:r>
        <w:rPr>
          <w:spacing w:val="-5"/>
        </w:rPr>
        <w:t>757</w:t>
      </w:r>
    </w:p>
    <w:p w14:paraId="3CB78CC6" w14:textId="77777777" w:rsidR="00AC6F3C" w:rsidRDefault="006A61CC">
      <w:pPr>
        <w:ind w:left="115"/>
        <w:rPr>
          <w:b/>
          <w:sz w:val="20"/>
        </w:rPr>
      </w:pPr>
      <w:hyperlink r:id="rId13">
        <w:r w:rsidR="00570E88">
          <w:rPr>
            <w:b/>
            <w:spacing w:val="-2"/>
            <w:sz w:val="20"/>
            <w:u w:val="single"/>
          </w:rPr>
          <w:t>info@qls.com.au</w:t>
        </w:r>
      </w:hyperlink>
    </w:p>
    <w:p w14:paraId="68A057A7" w14:textId="77777777" w:rsidR="00AC6F3C" w:rsidRDefault="00AC6F3C">
      <w:pPr>
        <w:pStyle w:val="BodyText"/>
        <w:rPr>
          <w:b/>
        </w:rPr>
      </w:pPr>
    </w:p>
    <w:p w14:paraId="6A4F85B2" w14:textId="77777777" w:rsidR="00AC6F3C" w:rsidRDefault="00570E88">
      <w:pPr>
        <w:pStyle w:val="BodyText"/>
        <w:spacing w:before="11"/>
        <w:rPr>
          <w:b/>
          <w:sz w:val="11"/>
        </w:rPr>
      </w:pPr>
      <w:r>
        <w:rPr>
          <w:noProof/>
        </w:rPr>
        <mc:AlternateContent>
          <mc:Choice Requires="wps">
            <w:drawing>
              <wp:anchor distT="0" distB="0" distL="0" distR="0" simplePos="0" relativeHeight="487590400" behindDoc="1" locked="0" layoutInCell="1" allowOverlap="1" wp14:anchorId="4E7CA8D6" wp14:editId="1F660797">
                <wp:simplePos x="0" y="0"/>
                <wp:positionH relativeFrom="page">
                  <wp:posOffset>809999</wp:posOffset>
                </wp:positionH>
                <wp:positionV relativeFrom="paragraph">
                  <wp:posOffset>102672</wp:posOffset>
                </wp:positionV>
                <wp:extent cx="28257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1270"/>
                        </a:xfrm>
                        <a:custGeom>
                          <a:avLst/>
                          <a:gdLst/>
                          <a:ahLst/>
                          <a:cxnLst/>
                          <a:rect l="l" t="t" r="r" b="b"/>
                          <a:pathLst>
                            <a:path w="282575">
                              <a:moveTo>
                                <a:pt x="0" y="0"/>
                              </a:moveTo>
                              <a:lnTo>
                                <a:pt x="282448"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D84AF2" id="Graphic 12" o:spid="_x0000_s1026" style="position:absolute;margin-left:63.8pt;margin-top:8.1pt;width:22.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82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" path="m,l282448,e" filled="f" strokeweight=".63pt">
                <v:path arrowok="t"/>
                <w10:wrap type="topAndBottom" anchorx="page"/>
              </v:shape>
            </w:pict>
          </mc:Fallback>
        </mc:AlternateContent>
      </w:r>
    </w:p>
    <w:p w14:paraId="07C8EA50" w14:textId="77777777" w:rsidR="00AC6F3C" w:rsidRDefault="00AC6F3C">
      <w:pPr>
        <w:pStyle w:val="BodyText"/>
        <w:spacing w:before="10"/>
        <w:rPr>
          <w:b/>
          <w:sz w:val="6"/>
        </w:rPr>
      </w:pPr>
    </w:p>
    <w:p w14:paraId="41D1C113" w14:textId="77777777" w:rsidR="00AC6F3C" w:rsidRDefault="00570E88">
      <w:pPr>
        <w:pStyle w:val="BodyText"/>
        <w:spacing w:before="93"/>
        <w:ind w:left="115"/>
      </w:pPr>
      <w:r>
        <w:t>ISSN:</w:t>
      </w:r>
      <w:r>
        <w:rPr>
          <w:spacing w:val="-5"/>
        </w:rPr>
        <w:t xml:space="preserve"> </w:t>
      </w:r>
      <w:r>
        <w:t>2205-</w:t>
      </w:r>
      <w:r>
        <w:rPr>
          <w:spacing w:val="-4"/>
        </w:rPr>
        <w:t>4820</w:t>
      </w:r>
    </w:p>
    <w:p w14:paraId="26E8D0B8" w14:textId="77777777" w:rsidR="00AC6F3C" w:rsidRDefault="00570E88">
      <w:pPr>
        <w:pStyle w:val="BodyText"/>
        <w:spacing w:before="170"/>
        <w:ind w:left="115"/>
      </w:pPr>
      <w:r>
        <w:t>©</w:t>
      </w:r>
      <w:r>
        <w:rPr>
          <w:spacing w:val="-5"/>
        </w:rPr>
        <w:t xml:space="preserve"> </w:t>
      </w:r>
      <w:r>
        <w:t>Queensland</w:t>
      </w:r>
      <w:r>
        <w:rPr>
          <w:spacing w:val="-4"/>
        </w:rPr>
        <w:t xml:space="preserve"> </w:t>
      </w:r>
      <w:r>
        <w:t>Law</w:t>
      </w:r>
      <w:r>
        <w:rPr>
          <w:spacing w:val="-5"/>
        </w:rPr>
        <w:t xml:space="preserve"> </w:t>
      </w:r>
      <w:r>
        <w:t>Society</w:t>
      </w:r>
      <w:r>
        <w:rPr>
          <w:spacing w:val="-4"/>
        </w:rPr>
        <w:t xml:space="preserve"> </w:t>
      </w:r>
      <w:r>
        <w:t>Incorporated</w:t>
      </w:r>
      <w:r>
        <w:rPr>
          <w:spacing w:val="-4"/>
        </w:rPr>
        <w:t xml:space="preserve"> 2023</w:t>
      </w:r>
    </w:p>
    <w:p w14:paraId="4C9BDC03" w14:textId="77777777" w:rsidR="00AC6F3C" w:rsidRDefault="00AC6F3C">
      <w:pPr>
        <w:sectPr w:rsidR="00AC6F3C">
          <w:headerReference w:type="default" r:id="rId14"/>
          <w:footerReference w:type="default" r:id="rId15"/>
          <w:pgSz w:w="11910" w:h="16840"/>
          <w:pgMar w:top="1020" w:right="1160" w:bottom="520" w:left="1160" w:header="829" w:footer="336" w:gutter="0"/>
          <w:pgNumType w:start="3"/>
          <w:cols w:space="720"/>
        </w:sectPr>
      </w:pPr>
    </w:p>
    <w:p w14:paraId="12544FA3" w14:textId="77777777" w:rsidR="00AC6F3C" w:rsidRDefault="00570E88">
      <w:pPr>
        <w:pStyle w:val="BodyText"/>
        <w:spacing w:before="76"/>
        <w:ind w:right="113"/>
        <w:jc w:val="right"/>
      </w:pPr>
      <w:r>
        <w:lastRenderedPageBreak/>
        <w:t xml:space="preserve">7 September </w:t>
      </w:r>
      <w:r>
        <w:rPr>
          <w:spacing w:val="-4"/>
        </w:rPr>
        <w:t>2023</w:t>
      </w:r>
    </w:p>
    <w:p w14:paraId="477FCCF2" w14:textId="77777777" w:rsidR="00AC6F3C" w:rsidRDefault="00AC6F3C">
      <w:pPr>
        <w:pStyle w:val="BodyText"/>
      </w:pPr>
    </w:p>
    <w:p w14:paraId="0CE64A9E" w14:textId="77777777" w:rsidR="00AC6F3C" w:rsidRDefault="00AC6F3C">
      <w:pPr>
        <w:pStyle w:val="BodyText"/>
      </w:pPr>
    </w:p>
    <w:p w14:paraId="79C935AF" w14:textId="77777777" w:rsidR="00AC6F3C" w:rsidRDefault="00AC6F3C">
      <w:pPr>
        <w:pStyle w:val="BodyText"/>
      </w:pPr>
    </w:p>
    <w:p w14:paraId="371D73CF" w14:textId="77777777" w:rsidR="00AC6F3C" w:rsidRDefault="00AC6F3C">
      <w:pPr>
        <w:pStyle w:val="BodyText"/>
      </w:pPr>
    </w:p>
    <w:p w14:paraId="7FF0A223" w14:textId="77777777" w:rsidR="00AC6F3C" w:rsidRDefault="00AC6F3C">
      <w:pPr>
        <w:pStyle w:val="BodyText"/>
      </w:pPr>
    </w:p>
    <w:p w14:paraId="4D892607" w14:textId="77777777" w:rsidR="00AC6F3C" w:rsidRDefault="00AC6F3C">
      <w:pPr>
        <w:pStyle w:val="BodyText"/>
        <w:spacing w:before="7"/>
        <w:rPr>
          <w:sz w:val="22"/>
        </w:rPr>
      </w:pPr>
    </w:p>
    <w:p w14:paraId="2184CA90" w14:textId="77777777" w:rsidR="00AC6F3C" w:rsidRDefault="00570E88">
      <w:pPr>
        <w:pStyle w:val="BodyText"/>
        <w:ind w:left="115"/>
      </w:pPr>
      <w:r>
        <w:t>The</w:t>
      </w:r>
      <w:r>
        <w:rPr>
          <w:spacing w:val="-8"/>
        </w:rPr>
        <w:t xml:space="preserve"> </w:t>
      </w:r>
      <w:proofErr w:type="spellStart"/>
      <w:r>
        <w:t>Honourable</w:t>
      </w:r>
      <w:proofErr w:type="spellEnd"/>
      <w:r>
        <w:rPr>
          <w:spacing w:val="-12"/>
        </w:rPr>
        <w:t xml:space="preserve"> </w:t>
      </w:r>
      <w:r>
        <w:t>Yvette</w:t>
      </w:r>
      <w:r>
        <w:rPr>
          <w:spacing w:val="-8"/>
        </w:rPr>
        <w:t xml:space="preserve"> </w:t>
      </w:r>
      <w:r>
        <w:t>D’Ath</w:t>
      </w:r>
      <w:r>
        <w:rPr>
          <w:spacing w:val="-7"/>
        </w:rPr>
        <w:t xml:space="preserve"> </w:t>
      </w:r>
      <w:r>
        <w:rPr>
          <w:spacing w:val="-5"/>
        </w:rPr>
        <w:t>MP</w:t>
      </w:r>
    </w:p>
    <w:p w14:paraId="7E5BBEFD" w14:textId="77777777" w:rsidR="00AC6F3C" w:rsidRDefault="00570E88">
      <w:pPr>
        <w:pStyle w:val="BodyText"/>
        <w:spacing w:before="10"/>
        <w:ind w:left="115"/>
      </w:pPr>
      <w:r>
        <w:t>Attorney-General</w:t>
      </w:r>
      <w:r>
        <w:rPr>
          <w:spacing w:val="-7"/>
        </w:rPr>
        <w:t xml:space="preserve"> </w:t>
      </w:r>
      <w:r>
        <w:t>and</w:t>
      </w:r>
      <w:r>
        <w:rPr>
          <w:spacing w:val="-5"/>
        </w:rPr>
        <w:t xml:space="preserve"> </w:t>
      </w:r>
      <w:r>
        <w:t>Minister</w:t>
      </w:r>
      <w:r>
        <w:rPr>
          <w:spacing w:val="-4"/>
        </w:rPr>
        <w:t xml:space="preserve"> </w:t>
      </w:r>
      <w:r>
        <w:t>for</w:t>
      </w:r>
      <w:r>
        <w:rPr>
          <w:spacing w:val="-5"/>
        </w:rPr>
        <w:t xml:space="preserve"> </w:t>
      </w:r>
      <w:r>
        <w:t>Justice</w:t>
      </w:r>
      <w:r>
        <w:rPr>
          <w:spacing w:val="-4"/>
        </w:rPr>
        <w:t xml:space="preserve"> </w:t>
      </w:r>
      <w:r>
        <w:rPr>
          <w:spacing w:val="-5"/>
        </w:rPr>
        <w:t>and</w:t>
      </w:r>
    </w:p>
    <w:p w14:paraId="20BAF775" w14:textId="77777777" w:rsidR="00AC6F3C" w:rsidRDefault="00570E88">
      <w:pPr>
        <w:pStyle w:val="BodyText"/>
        <w:spacing w:before="10" w:line="249" w:lineRule="auto"/>
        <w:ind w:left="115" w:right="4121"/>
      </w:pPr>
      <w:r>
        <w:t>Minister</w:t>
      </w:r>
      <w:r>
        <w:rPr>
          <w:spacing w:val="-5"/>
        </w:rPr>
        <w:t xml:space="preserve"> </w:t>
      </w:r>
      <w:r>
        <w:t>for</w:t>
      </w:r>
      <w:r>
        <w:rPr>
          <w:spacing w:val="-5"/>
        </w:rPr>
        <w:t xml:space="preserve"> </w:t>
      </w:r>
      <w:r>
        <w:t>the</w:t>
      </w:r>
      <w:r>
        <w:rPr>
          <w:spacing w:val="-5"/>
        </w:rPr>
        <w:t xml:space="preserve"> </w:t>
      </w:r>
      <w:r>
        <w:t>Prevention</w:t>
      </w:r>
      <w:r>
        <w:rPr>
          <w:spacing w:val="-5"/>
        </w:rPr>
        <w:t xml:space="preserve"> </w:t>
      </w:r>
      <w:r>
        <w:t>of</w:t>
      </w:r>
      <w:r>
        <w:rPr>
          <w:spacing w:val="-5"/>
        </w:rPr>
        <w:t xml:space="preserve"> </w:t>
      </w:r>
      <w:r>
        <w:t>Domestic</w:t>
      </w:r>
      <w:r>
        <w:rPr>
          <w:spacing w:val="-5"/>
        </w:rPr>
        <w:t xml:space="preserve"> </w:t>
      </w:r>
      <w:r>
        <w:t>and</w:t>
      </w:r>
      <w:r>
        <w:rPr>
          <w:spacing w:val="-5"/>
        </w:rPr>
        <w:t xml:space="preserve"> </w:t>
      </w:r>
      <w:r>
        <w:t>Family</w:t>
      </w:r>
      <w:r>
        <w:rPr>
          <w:spacing w:val="-5"/>
        </w:rPr>
        <w:t xml:space="preserve"> </w:t>
      </w:r>
      <w:r>
        <w:t>Violence 1 William Street</w:t>
      </w:r>
    </w:p>
    <w:p w14:paraId="3FB40D9C" w14:textId="77777777" w:rsidR="00AC6F3C" w:rsidRDefault="00570E88">
      <w:pPr>
        <w:pStyle w:val="BodyText"/>
        <w:spacing w:before="2"/>
        <w:ind w:left="115"/>
      </w:pPr>
      <w:r>
        <w:t>Brisbane</w:t>
      </w:r>
      <w:r>
        <w:rPr>
          <w:spacing w:val="-5"/>
        </w:rPr>
        <w:t xml:space="preserve"> </w:t>
      </w:r>
      <w:r>
        <w:t>QLD</w:t>
      </w:r>
      <w:r>
        <w:rPr>
          <w:spacing w:val="-4"/>
        </w:rPr>
        <w:t xml:space="preserve"> 4000</w:t>
      </w:r>
    </w:p>
    <w:p w14:paraId="797AE5CC" w14:textId="77777777" w:rsidR="00AC6F3C" w:rsidRDefault="00AC6F3C">
      <w:pPr>
        <w:pStyle w:val="BodyText"/>
        <w:rPr>
          <w:sz w:val="22"/>
        </w:rPr>
      </w:pPr>
    </w:p>
    <w:p w14:paraId="7ACEB1ED" w14:textId="77777777" w:rsidR="00AC6F3C" w:rsidRDefault="00AC6F3C">
      <w:pPr>
        <w:pStyle w:val="BodyText"/>
        <w:rPr>
          <w:sz w:val="22"/>
        </w:rPr>
      </w:pPr>
    </w:p>
    <w:p w14:paraId="668CC3D0" w14:textId="77777777" w:rsidR="00AC6F3C" w:rsidRDefault="00AC6F3C">
      <w:pPr>
        <w:pStyle w:val="BodyText"/>
        <w:rPr>
          <w:sz w:val="22"/>
        </w:rPr>
      </w:pPr>
    </w:p>
    <w:p w14:paraId="4140E000" w14:textId="77777777" w:rsidR="00AC6F3C" w:rsidRDefault="00AC6F3C">
      <w:pPr>
        <w:pStyle w:val="BodyText"/>
        <w:spacing w:before="11"/>
      </w:pPr>
    </w:p>
    <w:p w14:paraId="70DE26E1" w14:textId="77777777" w:rsidR="00AC6F3C" w:rsidRDefault="00570E88">
      <w:pPr>
        <w:pStyle w:val="BodyText"/>
        <w:ind w:left="115"/>
      </w:pPr>
      <w:r>
        <w:t>Dear</w:t>
      </w:r>
      <w:r>
        <w:rPr>
          <w:spacing w:val="-11"/>
        </w:rPr>
        <w:t xml:space="preserve"> </w:t>
      </w:r>
      <w:r>
        <w:rPr>
          <w:spacing w:val="-2"/>
        </w:rPr>
        <w:t>Attorney</w:t>
      </w:r>
    </w:p>
    <w:p w14:paraId="15867F80" w14:textId="77777777" w:rsidR="00AC6F3C" w:rsidRDefault="00AC6F3C">
      <w:pPr>
        <w:pStyle w:val="BodyText"/>
        <w:rPr>
          <w:sz w:val="22"/>
        </w:rPr>
      </w:pPr>
    </w:p>
    <w:p w14:paraId="63D60B6B" w14:textId="77777777" w:rsidR="00AC6F3C" w:rsidRDefault="00AC6F3C">
      <w:pPr>
        <w:pStyle w:val="BodyText"/>
        <w:spacing w:before="4"/>
        <w:rPr>
          <w:sz w:val="29"/>
        </w:rPr>
      </w:pPr>
    </w:p>
    <w:p w14:paraId="2580F15F" w14:textId="77777777" w:rsidR="00AC6F3C" w:rsidRDefault="00570E88">
      <w:pPr>
        <w:pStyle w:val="BodyText"/>
        <w:spacing w:line="249" w:lineRule="auto"/>
        <w:ind w:left="115"/>
      </w:pPr>
      <w:r>
        <w:t>I</w:t>
      </w:r>
      <w:r>
        <w:rPr>
          <w:spacing w:val="-3"/>
        </w:rPr>
        <w:t xml:space="preserve"> </w:t>
      </w:r>
      <w:r>
        <w:t>am</w:t>
      </w:r>
      <w:r>
        <w:rPr>
          <w:spacing w:val="-3"/>
        </w:rPr>
        <w:t xml:space="preserve"> </w:t>
      </w:r>
      <w:r>
        <w:t>pleased</w:t>
      </w:r>
      <w:r>
        <w:rPr>
          <w:spacing w:val="-3"/>
        </w:rPr>
        <w:t xml:space="preserve"> </w:t>
      </w:r>
      <w:r>
        <w:t>to</w:t>
      </w:r>
      <w:r>
        <w:rPr>
          <w:spacing w:val="-3"/>
        </w:rPr>
        <w:t xml:space="preserve"> </w:t>
      </w:r>
      <w:r>
        <w:t>submit</w:t>
      </w:r>
      <w:r>
        <w:rPr>
          <w:spacing w:val="-3"/>
        </w:rPr>
        <w:t xml:space="preserve"> </w:t>
      </w:r>
      <w:r>
        <w:t>for</w:t>
      </w:r>
      <w:r>
        <w:rPr>
          <w:spacing w:val="-3"/>
        </w:rPr>
        <w:t xml:space="preserve"> </w:t>
      </w:r>
      <w:r>
        <w:t>presentation</w:t>
      </w:r>
      <w:r>
        <w:rPr>
          <w:spacing w:val="-3"/>
        </w:rPr>
        <w:t xml:space="preserve"> </w:t>
      </w:r>
      <w:r>
        <w:t>to</w:t>
      </w:r>
      <w:r>
        <w:rPr>
          <w:spacing w:val="-3"/>
        </w:rPr>
        <w:t xml:space="preserve"> </w:t>
      </w:r>
      <w:r>
        <w:t>the</w:t>
      </w:r>
      <w:r>
        <w:rPr>
          <w:spacing w:val="-3"/>
        </w:rPr>
        <w:t xml:space="preserve"> </w:t>
      </w:r>
      <w:r>
        <w:t>Parliament</w:t>
      </w:r>
      <w:r>
        <w:rPr>
          <w:spacing w:val="-3"/>
        </w:rPr>
        <w:t xml:space="preserve"> </w:t>
      </w:r>
      <w:r>
        <w:t>the</w:t>
      </w:r>
      <w:r>
        <w:rPr>
          <w:spacing w:val="-13"/>
        </w:rPr>
        <w:t xml:space="preserve"> </w:t>
      </w:r>
      <w:r>
        <w:t>Annual</w:t>
      </w:r>
      <w:r>
        <w:rPr>
          <w:spacing w:val="-3"/>
        </w:rPr>
        <w:t xml:space="preserve"> </w:t>
      </w:r>
      <w:r>
        <w:t>Report</w:t>
      </w:r>
      <w:r>
        <w:rPr>
          <w:spacing w:val="-3"/>
        </w:rPr>
        <w:t xml:space="preserve"> </w:t>
      </w:r>
      <w:r>
        <w:t>2022-23</w:t>
      </w:r>
      <w:r>
        <w:rPr>
          <w:spacing w:val="-3"/>
        </w:rPr>
        <w:t xml:space="preserve"> </w:t>
      </w:r>
      <w:r>
        <w:t>and</w:t>
      </w:r>
      <w:r>
        <w:rPr>
          <w:spacing w:val="-3"/>
        </w:rPr>
        <w:t xml:space="preserve"> </w:t>
      </w:r>
      <w:r>
        <w:t>financial statements for Queensland Law Society.</w:t>
      </w:r>
    </w:p>
    <w:p w14:paraId="5EB899C2" w14:textId="77777777" w:rsidR="00AC6F3C" w:rsidRDefault="00570E88">
      <w:pPr>
        <w:pStyle w:val="BodyText"/>
        <w:spacing w:before="171"/>
        <w:ind w:left="115"/>
      </w:pPr>
      <w:r>
        <w:t>I</w:t>
      </w:r>
      <w:r>
        <w:rPr>
          <w:spacing w:val="-1"/>
        </w:rPr>
        <w:t xml:space="preserve"> </w:t>
      </w:r>
      <w:r>
        <w:t>certify</w:t>
      </w:r>
      <w:r>
        <w:rPr>
          <w:spacing w:val="-1"/>
        </w:rPr>
        <w:t xml:space="preserve"> </w:t>
      </w:r>
      <w:r>
        <w:t>that</w:t>
      </w:r>
      <w:r>
        <w:rPr>
          <w:spacing w:val="-1"/>
        </w:rPr>
        <w:t xml:space="preserve"> </w:t>
      </w:r>
      <w:r>
        <w:t>this</w:t>
      </w:r>
      <w:r>
        <w:rPr>
          <w:spacing w:val="-12"/>
        </w:rPr>
        <w:t xml:space="preserve"> </w:t>
      </w:r>
      <w:r>
        <w:t>Annual</w:t>
      </w:r>
      <w:r>
        <w:rPr>
          <w:spacing w:val="-1"/>
        </w:rPr>
        <w:t xml:space="preserve"> </w:t>
      </w:r>
      <w:r>
        <w:t>Report</w:t>
      </w:r>
      <w:r>
        <w:rPr>
          <w:spacing w:val="-1"/>
        </w:rPr>
        <w:t xml:space="preserve"> </w:t>
      </w:r>
      <w:r>
        <w:t xml:space="preserve">complies </w:t>
      </w:r>
      <w:r>
        <w:rPr>
          <w:spacing w:val="-2"/>
        </w:rPr>
        <w:t>with:</w:t>
      </w:r>
    </w:p>
    <w:p w14:paraId="6AEF95EB" w14:textId="77777777" w:rsidR="00AC6F3C" w:rsidRDefault="00570E88">
      <w:pPr>
        <w:pStyle w:val="ListParagraph"/>
        <w:numPr>
          <w:ilvl w:val="0"/>
          <w:numId w:val="85"/>
        </w:numPr>
        <w:tabs>
          <w:tab w:val="left" w:pos="455"/>
        </w:tabs>
        <w:spacing w:line="249" w:lineRule="auto"/>
        <w:ind w:right="1138"/>
        <w:rPr>
          <w:sz w:val="20"/>
        </w:rPr>
      </w:pPr>
      <w:r>
        <w:rPr>
          <w:sz w:val="20"/>
        </w:rPr>
        <w:t>the</w:t>
      </w:r>
      <w:r>
        <w:rPr>
          <w:spacing w:val="-3"/>
          <w:sz w:val="20"/>
        </w:rPr>
        <w:t xml:space="preserve"> </w:t>
      </w:r>
      <w:r>
        <w:rPr>
          <w:sz w:val="20"/>
        </w:rPr>
        <w:t>prescribed</w:t>
      </w:r>
      <w:r>
        <w:rPr>
          <w:spacing w:val="-3"/>
          <w:sz w:val="20"/>
        </w:rPr>
        <w:t xml:space="preserve"> </w:t>
      </w:r>
      <w:r>
        <w:rPr>
          <w:sz w:val="20"/>
        </w:rPr>
        <w:t>requirements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i/>
          <w:sz w:val="20"/>
        </w:rPr>
        <w:t>Financial</w:t>
      </w:r>
      <w:r>
        <w:rPr>
          <w:i/>
          <w:spacing w:val="-11"/>
          <w:sz w:val="20"/>
        </w:rPr>
        <w:t xml:space="preserve"> </w:t>
      </w:r>
      <w:r>
        <w:rPr>
          <w:i/>
          <w:sz w:val="20"/>
        </w:rPr>
        <w:t>Accountability</w:t>
      </w:r>
      <w:r>
        <w:rPr>
          <w:i/>
          <w:spacing w:val="-11"/>
          <w:sz w:val="20"/>
        </w:rPr>
        <w:t xml:space="preserve"> </w:t>
      </w:r>
      <w:r>
        <w:rPr>
          <w:i/>
          <w:sz w:val="20"/>
        </w:rPr>
        <w:t>Act</w:t>
      </w:r>
      <w:r>
        <w:rPr>
          <w:i/>
          <w:spacing w:val="-3"/>
          <w:sz w:val="20"/>
        </w:rPr>
        <w:t xml:space="preserve"> </w:t>
      </w:r>
      <w:r>
        <w:rPr>
          <w:i/>
          <w:sz w:val="20"/>
        </w:rPr>
        <w:t>2009</w:t>
      </w:r>
      <w:r>
        <w:rPr>
          <w:i/>
          <w:spacing w:val="-3"/>
          <w:sz w:val="20"/>
        </w:rPr>
        <w:t xml:space="preserve"> </w:t>
      </w:r>
      <w:r>
        <w:rPr>
          <w:sz w:val="20"/>
        </w:rPr>
        <w:t>and</w:t>
      </w:r>
      <w:r>
        <w:rPr>
          <w:spacing w:val="-3"/>
          <w:sz w:val="20"/>
        </w:rPr>
        <w:t xml:space="preserve"> </w:t>
      </w:r>
      <w:r>
        <w:rPr>
          <w:sz w:val="20"/>
        </w:rPr>
        <w:t>the</w:t>
      </w:r>
      <w:r>
        <w:rPr>
          <w:spacing w:val="-3"/>
          <w:sz w:val="20"/>
        </w:rPr>
        <w:t xml:space="preserve"> </w:t>
      </w:r>
      <w:r>
        <w:rPr>
          <w:i/>
          <w:sz w:val="20"/>
        </w:rPr>
        <w:t>Financial</w:t>
      </w:r>
      <w:r>
        <w:rPr>
          <w:i/>
          <w:spacing w:val="-3"/>
          <w:sz w:val="20"/>
        </w:rPr>
        <w:t xml:space="preserve"> </w:t>
      </w:r>
      <w:r>
        <w:rPr>
          <w:i/>
          <w:sz w:val="20"/>
        </w:rPr>
        <w:t>and Performance Management Standard 2019</w:t>
      </w:r>
      <w:r>
        <w:rPr>
          <w:sz w:val="20"/>
        </w:rPr>
        <w:t>, and</w:t>
      </w:r>
    </w:p>
    <w:p w14:paraId="04574E89" w14:textId="77777777" w:rsidR="00AC6F3C" w:rsidRDefault="00570E88">
      <w:pPr>
        <w:pStyle w:val="ListParagraph"/>
        <w:numPr>
          <w:ilvl w:val="0"/>
          <w:numId w:val="85"/>
        </w:numPr>
        <w:tabs>
          <w:tab w:val="left" w:pos="455"/>
        </w:tabs>
        <w:spacing w:before="172"/>
        <w:ind w:hanging="340"/>
        <w:rPr>
          <w:sz w:val="20"/>
        </w:rPr>
      </w:pPr>
      <w:r>
        <w:rPr>
          <w:sz w:val="20"/>
        </w:rPr>
        <w:t>the</w:t>
      </w:r>
      <w:r>
        <w:rPr>
          <w:spacing w:val="-2"/>
          <w:sz w:val="20"/>
        </w:rPr>
        <w:t xml:space="preserve"> </w:t>
      </w:r>
      <w:r>
        <w:rPr>
          <w:sz w:val="20"/>
        </w:rPr>
        <w:t>detailed</w:t>
      </w:r>
      <w:r>
        <w:rPr>
          <w:spacing w:val="-2"/>
          <w:sz w:val="20"/>
        </w:rPr>
        <w:t xml:space="preserve"> </w:t>
      </w:r>
      <w:r>
        <w:rPr>
          <w:sz w:val="20"/>
        </w:rPr>
        <w:t>requirements</w:t>
      </w:r>
      <w:r>
        <w:rPr>
          <w:spacing w:val="-1"/>
          <w:sz w:val="20"/>
        </w:rPr>
        <w:t xml:space="preserve"> </w:t>
      </w:r>
      <w:r>
        <w:rPr>
          <w:sz w:val="20"/>
        </w:rPr>
        <w:t>set</w:t>
      </w:r>
      <w:r>
        <w:rPr>
          <w:spacing w:val="-2"/>
          <w:sz w:val="20"/>
        </w:rPr>
        <w:t xml:space="preserve"> </w:t>
      </w:r>
      <w:r>
        <w:rPr>
          <w:sz w:val="20"/>
        </w:rPr>
        <w:t>out</w:t>
      </w:r>
      <w:r>
        <w:rPr>
          <w:spacing w:val="-1"/>
          <w:sz w:val="20"/>
        </w:rPr>
        <w:t xml:space="preserve"> </w:t>
      </w:r>
      <w:r>
        <w:rPr>
          <w:sz w:val="20"/>
        </w:rPr>
        <w:t>in</w:t>
      </w:r>
      <w:r>
        <w:rPr>
          <w:spacing w:val="-2"/>
          <w:sz w:val="20"/>
        </w:rPr>
        <w:t xml:space="preserve"> </w:t>
      </w:r>
      <w:r>
        <w:rPr>
          <w:sz w:val="20"/>
        </w:rPr>
        <w:t>the</w:t>
      </w:r>
      <w:r>
        <w:rPr>
          <w:spacing w:val="-12"/>
          <w:sz w:val="20"/>
        </w:rPr>
        <w:t xml:space="preserve"> </w:t>
      </w:r>
      <w:r>
        <w:rPr>
          <w:sz w:val="20"/>
        </w:rPr>
        <w:t>Annual</w:t>
      </w:r>
      <w:r>
        <w:rPr>
          <w:spacing w:val="-2"/>
          <w:sz w:val="20"/>
        </w:rPr>
        <w:t xml:space="preserve"> </w:t>
      </w:r>
      <w:r>
        <w:rPr>
          <w:sz w:val="20"/>
        </w:rPr>
        <w:t>report</w:t>
      </w:r>
      <w:r>
        <w:rPr>
          <w:spacing w:val="-1"/>
          <w:sz w:val="20"/>
        </w:rPr>
        <w:t xml:space="preserve"> </w:t>
      </w:r>
      <w:r>
        <w:rPr>
          <w:sz w:val="20"/>
        </w:rPr>
        <w:t>requirements</w:t>
      </w:r>
      <w:r>
        <w:rPr>
          <w:spacing w:val="-2"/>
          <w:sz w:val="20"/>
        </w:rPr>
        <w:t xml:space="preserve"> </w:t>
      </w:r>
      <w:r>
        <w:rPr>
          <w:sz w:val="20"/>
        </w:rPr>
        <w:t>for</w:t>
      </w:r>
      <w:r>
        <w:rPr>
          <w:spacing w:val="-1"/>
          <w:sz w:val="20"/>
        </w:rPr>
        <w:t xml:space="preserve"> </w:t>
      </w:r>
      <w:proofErr w:type="gramStart"/>
      <w:r>
        <w:rPr>
          <w:spacing w:val="-2"/>
          <w:sz w:val="20"/>
        </w:rPr>
        <w:t>Queensland</w:t>
      </w:r>
      <w:proofErr w:type="gramEnd"/>
    </w:p>
    <w:p w14:paraId="246CA27B" w14:textId="77777777" w:rsidR="00AC6F3C" w:rsidRDefault="00570E88">
      <w:pPr>
        <w:pStyle w:val="BodyText"/>
        <w:spacing w:before="10"/>
        <w:ind w:left="60" w:right="6719"/>
        <w:jc w:val="center"/>
      </w:pPr>
      <w:r>
        <w:t xml:space="preserve">Government </w:t>
      </w:r>
      <w:r>
        <w:rPr>
          <w:spacing w:val="-2"/>
        </w:rPr>
        <w:t>agencies.</w:t>
      </w:r>
    </w:p>
    <w:p w14:paraId="76A211D0" w14:textId="77777777" w:rsidR="00AC6F3C" w:rsidRDefault="00570E88">
      <w:pPr>
        <w:pStyle w:val="BodyText"/>
        <w:spacing w:before="180"/>
        <w:ind w:left="115"/>
      </w:pPr>
      <w:r>
        <w:t>A</w:t>
      </w:r>
      <w:r>
        <w:rPr>
          <w:spacing w:val="-16"/>
        </w:rPr>
        <w:t xml:space="preserve"> </w:t>
      </w:r>
      <w:r>
        <w:t>checklist</w:t>
      </w:r>
      <w:r>
        <w:rPr>
          <w:spacing w:val="-3"/>
        </w:rPr>
        <w:t xml:space="preserve"> </w:t>
      </w:r>
      <w:r>
        <w:t>outlining</w:t>
      </w:r>
      <w:r>
        <w:rPr>
          <w:spacing w:val="-3"/>
        </w:rPr>
        <w:t xml:space="preserve"> </w:t>
      </w:r>
      <w:r>
        <w:t>the</w:t>
      </w:r>
      <w:r>
        <w:rPr>
          <w:spacing w:val="-3"/>
        </w:rPr>
        <w:t xml:space="preserve"> </w:t>
      </w:r>
      <w:r>
        <w:t>annual</w:t>
      </w:r>
      <w:r>
        <w:rPr>
          <w:spacing w:val="-3"/>
        </w:rPr>
        <w:t xml:space="preserve"> </w:t>
      </w:r>
      <w:r>
        <w:t>reporting</w:t>
      </w:r>
      <w:r>
        <w:rPr>
          <w:spacing w:val="-3"/>
        </w:rPr>
        <w:t xml:space="preserve"> </w:t>
      </w:r>
      <w:r>
        <w:t>requirements</w:t>
      </w:r>
      <w:r>
        <w:rPr>
          <w:spacing w:val="-3"/>
        </w:rPr>
        <w:t xml:space="preserve"> </w:t>
      </w:r>
      <w:r>
        <w:t>can</w:t>
      </w:r>
      <w:r>
        <w:rPr>
          <w:spacing w:val="-3"/>
        </w:rPr>
        <w:t xml:space="preserve"> </w:t>
      </w:r>
      <w:proofErr w:type="gramStart"/>
      <w:r>
        <w:t>be</w:t>
      </w:r>
      <w:r>
        <w:rPr>
          <w:spacing w:val="-3"/>
        </w:rPr>
        <w:t xml:space="preserve"> </w:t>
      </w:r>
      <w:r>
        <w:t>found</w:t>
      </w:r>
      <w:proofErr w:type="gramEnd"/>
      <w:r>
        <w:rPr>
          <w:spacing w:val="-3"/>
        </w:rPr>
        <w:t xml:space="preserve"> </w:t>
      </w:r>
      <w:r>
        <w:t>on</w:t>
      </w:r>
      <w:r>
        <w:rPr>
          <w:spacing w:val="-3"/>
        </w:rPr>
        <w:t xml:space="preserve"> </w:t>
      </w:r>
      <w:r>
        <w:t>pages</w:t>
      </w:r>
      <w:r>
        <w:rPr>
          <w:spacing w:val="-2"/>
        </w:rPr>
        <w:t xml:space="preserve"> </w:t>
      </w:r>
      <w:r>
        <w:t>222-</w:t>
      </w:r>
      <w:r>
        <w:rPr>
          <w:spacing w:val="-5"/>
        </w:rPr>
        <w:t>223</w:t>
      </w:r>
    </w:p>
    <w:p w14:paraId="42923D31" w14:textId="77777777" w:rsidR="00AC6F3C" w:rsidRDefault="00570E88">
      <w:pPr>
        <w:pStyle w:val="BodyText"/>
        <w:spacing w:before="10"/>
        <w:ind w:left="115"/>
      </w:pPr>
      <w:r>
        <w:t xml:space="preserve">of this </w:t>
      </w:r>
      <w:r>
        <w:rPr>
          <w:spacing w:val="-2"/>
        </w:rPr>
        <w:t>document.</w:t>
      </w:r>
    </w:p>
    <w:p w14:paraId="7F42588A" w14:textId="77777777" w:rsidR="00AC6F3C" w:rsidRDefault="00AC6F3C">
      <w:pPr>
        <w:pStyle w:val="BodyText"/>
        <w:rPr>
          <w:sz w:val="22"/>
        </w:rPr>
      </w:pPr>
    </w:p>
    <w:p w14:paraId="2F4B9ADF" w14:textId="77777777" w:rsidR="00AC6F3C" w:rsidRDefault="00AC6F3C">
      <w:pPr>
        <w:pStyle w:val="BodyText"/>
        <w:spacing w:before="4"/>
        <w:rPr>
          <w:sz w:val="29"/>
        </w:rPr>
      </w:pPr>
    </w:p>
    <w:p w14:paraId="028136DB" w14:textId="77777777" w:rsidR="00AC6F3C" w:rsidRDefault="00570E88">
      <w:pPr>
        <w:pStyle w:val="BodyText"/>
        <w:ind w:left="115"/>
      </w:pPr>
      <w:r>
        <w:rPr>
          <w:spacing w:val="-2"/>
        </w:rPr>
        <w:t>Yours</w:t>
      </w:r>
      <w:r>
        <w:rPr>
          <w:spacing w:val="-9"/>
        </w:rPr>
        <w:t xml:space="preserve"> </w:t>
      </w:r>
      <w:r>
        <w:rPr>
          <w:spacing w:val="-2"/>
        </w:rPr>
        <w:t>sincerely</w:t>
      </w:r>
    </w:p>
    <w:p w14:paraId="32221ADE" w14:textId="080B4309" w:rsidR="00AC6F3C" w:rsidRDefault="00AC6F3C">
      <w:pPr>
        <w:pStyle w:val="BodyText"/>
        <w:spacing w:before="4"/>
        <w:rPr>
          <w:sz w:val="19"/>
        </w:rPr>
      </w:pPr>
    </w:p>
    <w:p w14:paraId="616D900A" w14:textId="77777777" w:rsidR="00AC6F3C" w:rsidRDefault="00AC6F3C">
      <w:pPr>
        <w:pStyle w:val="BodyText"/>
        <w:spacing w:before="4"/>
        <w:rPr>
          <w:sz w:val="29"/>
        </w:rPr>
      </w:pPr>
    </w:p>
    <w:p w14:paraId="433BB4DC" w14:textId="77777777" w:rsidR="00AC6F3C" w:rsidRDefault="00570E88">
      <w:pPr>
        <w:ind w:left="115"/>
        <w:rPr>
          <w:b/>
          <w:sz w:val="20"/>
        </w:rPr>
      </w:pPr>
      <w:r>
        <w:rPr>
          <w:b/>
          <w:sz w:val="20"/>
        </w:rPr>
        <w:t>Chloé</w:t>
      </w:r>
      <w:r>
        <w:rPr>
          <w:b/>
          <w:spacing w:val="-4"/>
          <w:sz w:val="20"/>
        </w:rPr>
        <w:t xml:space="preserve"> </w:t>
      </w:r>
      <w:proofErr w:type="spellStart"/>
      <w:r>
        <w:rPr>
          <w:b/>
          <w:spacing w:val="-2"/>
          <w:sz w:val="20"/>
        </w:rPr>
        <w:t>Kopilović</w:t>
      </w:r>
      <w:proofErr w:type="spellEnd"/>
    </w:p>
    <w:p w14:paraId="649644F8" w14:textId="77777777" w:rsidR="00AC6F3C" w:rsidRDefault="00570E88">
      <w:pPr>
        <w:pStyle w:val="BodyText"/>
        <w:spacing w:before="10"/>
        <w:ind w:left="115"/>
      </w:pPr>
      <w:r>
        <w:rPr>
          <w:spacing w:val="-2"/>
        </w:rPr>
        <w:t>President</w:t>
      </w:r>
    </w:p>
    <w:p w14:paraId="73E0D141" w14:textId="77777777" w:rsidR="00AC6F3C" w:rsidRDefault="00AC6F3C">
      <w:pPr>
        <w:pStyle w:val="BodyText"/>
        <w:rPr>
          <w:sz w:val="22"/>
        </w:rPr>
      </w:pPr>
    </w:p>
    <w:p w14:paraId="12C8B1C9" w14:textId="77777777" w:rsidR="00AC6F3C" w:rsidRDefault="00AC6F3C">
      <w:pPr>
        <w:pStyle w:val="BodyText"/>
        <w:spacing w:before="4"/>
        <w:rPr>
          <w:sz w:val="29"/>
        </w:rPr>
      </w:pPr>
    </w:p>
    <w:p w14:paraId="38593992" w14:textId="77777777" w:rsidR="00AC6F3C" w:rsidRDefault="00570E88">
      <w:pPr>
        <w:ind w:left="119" w:right="6719"/>
        <w:jc w:val="center"/>
        <w:rPr>
          <w:b/>
          <w:sz w:val="20"/>
        </w:rPr>
      </w:pPr>
      <w:r>
        <w:rPr>
          <w:sz w:val="20"/>
        </w:rPr>
        <w:t xml:space="preserve">Email: </w:t>
      </w:r>
      <w:hyperlink r:id="rId16">
        <w:r>
          <w:rPr>
            <w:b/>
            <w:spacing w:val="-2"/>
            <w:sz w:val="20"/>
            <w:u w:val="single"/>
          </w:rPr>
          <w:t>president@qls.com.au</w:t>
        </w:r>
      </w:hyperlink>
    </w:p>
    <w:p w14:paraId="52026FCD" w14:textId="77777777" w:rsidR="00AC6F3C" w:rsidRDefault="00AC6F3C">
      <w:pPr>
        <w:jc w:val="center"/>
        <w:rPr>
          <w:sz w:val="20"/>
        </w:rPr>
        <w:sectPr w:rsidR="00AC6F3C">
          <w:headerReference w:type="default" r:id="rId17"/>
          <w:footerReference w:type="default" r:id="rId18"/>
          <w:pgSz w:w="11910" w:h="16840"/>
          <w:pgMar w:top="1140" w:right="1160" w:bottom="520" w:left="1160" w:header="0" w:footer="336" w:gutter="0"/>
          <w:cols w:space="720"/>
        </w:sectPr>
      </w:pPr>
    </w:p>
    <w:p w14:paraId="4287FC8A" w14:textId="77777777" w:rsidR="00AC6F3C" w:rsidRDefault="00570E88">
      <w:pPr>
        <w:pStyle w:val="Heading1"/>
        <w:spacing w:before="154"/>
        <w:ind w:left="123"/>
      </w:pPr>
      <w:bookmarkStart w:id="4" w:name="Contents"/>
      <w:bookmarkStart w:id="5" w:name="_bookmark1"/>
      <w:bookmarkEnd w:id="4"/>
      <w:bookmarkEnd w:id="5"/>
      <w:r>
        <w:rPr>
          <w:spacing w:val="13"/>
        </w:rPr>
        <w:lastRenderedPageBreak/>
        <w:t>CONTENTS</w:t>
      </w:r>
    </w:p>
    <w:p w14:paraId="75F017A4" w14:textId="77777777" w:rsidR="00AC6F3C" w:rsidRDefault="00AC6F3C">
      <w:pPr>
        <w:sectPr w:rsidR="00AC6F3C">
          <w:headerReference w:type="default" r:id="rId19"/>
          <w:footerReference w:type="default" r:id="rId20"/>
          <w:pgSz w:w="11910" w:h="16840"/>
          <w:pgMar w:top="1020" w:right="1160" w:bottom="348" w:left="1160" w:header="829" w:footer="336" w:gutter="0"/>
          <w:pgNumType w:start="5"/>
          <w:cols w:space="720"/>
        </w:sectPr>
      </w:pPr>
    </w:p>
    <w:sdt>
      <w:sdtPr>
        <w:id w:val="662358056"/>
        <w:docPartObj>
          <w:docPartGallery w:val="Table of Contents"/>
          <w:docPartUnique/>
        </w:docPartObj>
      </w:sdtPr>
      <w:sdtEndPr/>
      <w:sdtContent>
        <w:p w14:paraId="16C7E2CB" w14:textId="77777777" w:rsidR="00AC6F3C" w:rsidRDefault="00570E88">
          <w:pPr>
            <w:pStyle w:val="TOC2"/>
            <w:tabs>
              <w:tab w:val="right" w:pos="9469"/>
            </w:tabs>
            <w:spacing w:before="650"/>
          </w:pPr>
          <w:r>
            <w:rPr>
              <w:noProof/>
            </w:rPr>
            <mc:AlternateContent>
              <mc:Choice Requires="wps">
                <w:drawing>
                  <wp:anchor distT="0" distB="0" distL="0" distR="0" simplePos="0" relativeHeight="15732736" behindDoc="0" locked="0" layoutInCell="1" allowOverlap="1" wp14:anchorId="31F354EC" wp14:editId="5F0DACE3">
                    <wp:simplePos x="0" y="0"/>
                    <wp:positionH relativeFrom="page">
                      <wp:posOffset>809999</wp:posOffset>
                    </wp:positionH>
                    <wp:positionV relativeFrom="paragraph">
                      <wp:posOffset>333350</wp:posOffset>
                    </wp:positionV>
                    <wp:extent cx="594042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756E5" id="Graphic 17" o:spid="_x0000_s1026" style="position:absolute;margin-left:63.8pt;margin-top:26.25pt;width:467.7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" path="m,l5939993,e" filled="f" strokeweight="1pt">
                    <v:path arrowok="t"/>
                    <w10:wrap anchorx="page"/>
                  </v:shape>
                </w:pict>
              </mc:Fallback>
            </mc:AlternateContent>
          </w:r>
          <w:hyperlink w:anchor="_bookmark0" w:history="1">
            <w:r>
              <w:t>ABOUT</w:t>
            </w:r>
            <w:r>
              <w:rPr>
                <w:spacing w:val="36"/>
              </w:rPr>
              <w:t xml:space="preserve"> </w:t>
            </w:r>
            <w:r>
              <w:t>THIS</w:t>
            </w:r>
            <w:r>
              <w:rPr>
                <w:spacing w:val="36"/>
              </w:rPr>
              <w:t xml:space="preserve"> </w:t>
            </w:r>
            <w:r>
              <w:rPr>
                <w:spacing w:val="-2"/>
              </w:rPr>
              <w:t>REPORT</w:t>
            </w:r>
            <w:r>
              <w:tab/>
            </w:r>
            <w:r>
              <w:rPr>
                <w:spacing w:val="-10"/>
              </w:rPr>
              <w:t>3</w:t>
            </w:r>
          </w:hyperlink>
        </w:p>
        <w:p w14:paraId="0D545519" w14:textId="77777777" w:rsidR="00AC6F3C" w:rsidRDefault="00570E88">
          <w:pPr>
            <w:pStyle w:val="TOC2"/>
            <w:tabs>
              <w:tab w:val="right" w:pos="9469"/>
            </w:tabs>
          </w:pPr>
          <w:r>
            <w:rPr>
              <w:noProof/>
            </w:rPr>
            <mc:AlternateContent>
              <mc:Choice Requires="wps">
                <w:drawing>
                  <wp:anchor distT="0" distB="0" distL="0" distR="0" simplePos="0" relativeHeight="15733248" behindDoc="0" locked="0" layoutInCell="1" allowOverlap="1" wp14:anchorId="2AAE616C" wp14:editId="7EDC47B8">
                    <wp:simplePos x="0" y="0"/>
                    <wp:positionH relativeFrom="page">
                      <wp:posOffset>809999</wp:posOffset>
                    </wp:positionH>
                    <wp:positionV relativeFrom="paragraph">
                      <wp:posOffset>198042</wp:posOffset>
                    </wp:positionV>
                    <wp:extent cx="594042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05EF5" id="Graphic 18" o:spid="_x0000_s1026" style="position:absolute;margin-left:63.8pt;margin-top:15.6pt;width:467.7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" path="m,l5939993,e" filled="f" strokeweight="1pt">
                    <v:path arrowok="t"/>
                    <w10:wrap anchorx="page"/>
                  </v:shape>
                </w:pict>
              </mc:Fallback>
            </mc:AlternateContent>
          </w:r>
          <w:hyperlink w:anchor="_bookmark0" w:history="1">
            <w:r>
              <w:t>OUR</w:t>
            </w:r>
            <w:r>
              <w:rPr>
                <w:spacing w:val="39"/>
              </w:rPr>
              <w:t xml:space="preserve"> </w:t>
            </w:r>
            <w:r>
              <w:t>COMMITMENT</w:t>
            </w:r>
            <w:r>
              <w:rPr>
                <w:spacing w:val="40"/>
              </w:rPr>
              <w:t xml:space="preserve"> </w:t>
            </w:r>
            <w:r>
              <w:t>TO</w:t>
            </w:r>
            <w:r>
              <w:rPr>
                <w:spacing w:val="28"/>
              </w:rPr>
              <w:t xml:space="preserve"> </w:t>
            </w:r>
            <w:r>
              <w:rPr>
                <w:spacing w:val="-2"/>
              </w:rPr>
              <w:t>ACCESSIBILITY</w:t>
            </w:r>
            <w:r>
              <w:tab/>
            </w:r>
            <w:r>
              <w:rPr>
                <w:spacing w:val="-10"/>
              </w:rPr>
              <w:t>3</w:t>
            </w:r>
          </w:hyperlink>
        </w:p>
        <w:p w14:paraId="77516144" w14:textId="77777777" w:rsidR="00AC6F3C" w:rsidRDefault="00570E88">
          <w:pPr>
            <w:pStyle w:val="TOC2"/>
            <w:tabs>
              <w:tab w:val="right" w:pos="9469"/>
            </w:tabs>
          </w:pPr>
          <w:r>
            <w:rPr>
              <w:noProof/>
            </w:rPr>
            <mc:AlternateContent>
              <mc:Choice Requires="wps">
                <w:drawing>
                  <wp:anchor distT="0" distB="0" distL="0" distR="0" simplePos="0" relativeHeight="15733760" behindDoc="0" locked="0" layoutInCell="1" allowOverlap="1" wp14:anchorId="63B855BA" wp14:editId="31BDB263">
                    <wp:simplePos x="0" y="0"/>
                    <wp:positionH relativeFrom="page">
                      <wp:posOffset>809999</wp:posOffset>
                    </wp:positionH>
                    <wp:positionV relativeFrom="paragraph">
                      <wp:posOffset>197988</wp:posOffset>
                    </wp:positionV>
                    <wp:extent cx="594042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0AB2AE" id="Graphic 19" o:spid="_x0000_s1026" style="position:absolute;margin-left:63.8pt;margin-top:15.6pt;width:467.7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" path="m,l5939993,e" filled="f" strokeweight="1pt">
                    <v:path arrowok="t"/>
                    <w10:wrap anchorx="page"/>
                  </v:shape>
                </w:pict>
              </mc:Fallback>
            </mc:AlternateContent>
          </w:r>
          <w:hyperlink w:anchor="_bookmark0" w:history="1">
            <w:r>
              <w:rPr>
                <w:spacing w:val="-2"/>
              </w:rPr>
              <w:t>FEEDBACK</w:t>
            </w:r>
            <w:r>
              <w:tab/>
            </w:r>
            <w:r>
              <w:rPr>
                <w:spacing w:val="-10"/>
              </w:rPr>
              <w:t>3</w:t>
            </w:r>
          </w:hyperlink>
        </w:p>
        <w:p w14:paraId="080D6EF5" w14:textId="77777777" w:rsidR="00AC6F3C" w:rsidRDefault="00570E88">
          <w:pPr>
            <w:pStyle w:val="TOC1"/>
            <w:tabs>
              <w:tab w:val="right" w:pos="9469"/>
            </w:tabs>
            <w:spacing w:before="438"/>
          </w:pPr>
          <w:r>
            <w:rPr>
              <w:noProof/>
            </w:rPr>
            <mc:AlternateContent>
              <mc:Choice Requires="wps">
                <w:drawing>
                  <wp:anchor distT="0" distB="0" distL="0" distR="0" simplePos="0" relativeHeight="15734272" behindDoc="0" locked="0" layoutInCell="1" allowOverlap="1" wp14:anchorId="5571566E" wp14:editId="780DAB53">
                    <wp:simplePos x="0" y="0"/>
                    <wp:positionH relativeFrom="page">
                      <wp:posOffset>809999</wp:posOffset>
                    </wp:positionH>
                    <wp:positionV relativeFrom="paragraph">
                      <wp:posOffset>198571</wp:posOffset>
                    </wp:positionV>
                    <wp:extent cx="594042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B2E0CE" id="Graphic 20" o:spid="_x0000_s1026" style="position:absolute;margin-left:63.8pt;margin-top:15.65pt;width:467.7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" path="m,l5939993,e" filled="f" strokeweight="1pt">
                    <v:path arrowok="t"/>
                    <w10:wrap anchorx="page"/>
                  </v:shape>
                </w:pict>
              </mc:Fallback>
            </mc:AlternateContent>
          </w:r>
          <w:hyperlink w:anchor="_bookmark1" w:history="1">
            <w:r>
              <w:rPr>
                <w:spacing w:val="-2"/>
              </w:rPr>
              <w:t>CONTENTS</w:t>
            </w:r>
            <w:r>
              <w:tab/>
            </w:r>
            <w:r>
              <w:rPr>
                <w:spacing w:val="-10"/>
              </w:rPr>
              <w:t>5</w:t>
            </w:r>
          </w:hyperlink>
        </w:p>
        <w:p w14:paraId="06666D39" w14:textId="77777777" w:rsidR="00AC6F3C" w:rsidRDefault="00570E88">
          <w:pPr>
            <w:pStyle w:val="TOC2"/>
            <w:tabs>
              <w:tab w:val="right" w:pos="9469"/>
            </w:tabs>
          </w:pPr>
          <w:r>
            <w:rPr>
              <w:noProof/>
            </w:rPr>
            <mc:AlternateContent>
              <mc:Choice Requires="wps">
                <w:drawing>
                  <wp:anchor distT="0" distB="0" distL="0" distR="0" simplePos="0" relativeHeight="15734784" behindDoc="0" locked="0" layoutInCell="1" allowOverlap="1" wp14:anchorId="3F728889" wp14:editId="27ECD380">
                    <wp:simplePos x="0" y="0"/>
                    <wp:positionH relativeFrom="page">
                      <wp:posOffset>809999</wp:posOffset>
                    </wp:positionH>
                    <wp:positionV relativeFrom="paragraph">
                      <wp:posOffset>197883</wp:posOffset>
                    </wp:positionV>
                    <wp:extent cx="594042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38C27" id="Graphic 21" o:spid="_x0000_s1026" style="position:absolute;margin-left:63.8pt;margin-top:15.6pt;width:467.7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" path="m,l5939993,e" filled="f" strokeweight="1pt">
                    <v:path arrowok="t"/>
                    <w10:wrap anchorx="page"/>
                  </v:shape>
                </w:pict>
              </mc:Fallback>
            </mc:AlternateContent>
          </w:r>
          <w:hyperlink w:anchor="_bookmark2" w:history="1">
            <w:r>
              <w:t>ABOUT</w:t>
            </w:r>
            <w:r>
              <w:rPr>
                <w:spacing w:val="40"/>
              </w:rPr>
              <w:t xml:space="preserve"> </w:t>
            </w:r>
            <w:r>
              <w:rPr>
                <w:spacing w:val="-5"/>
              </w:rPr>
              <w:t>US</w:t>
            </w:r>
            <w:r>
              <w:tab/>
            </w:r>
            <w:r>
              <w:rPr>
                <w:spacing w:val="-10"/>
              </w:rPr>
              <w:t>8</w:t>
            </w:r>
          </w:hyperlink>
        </w:p>
        <w:p w14:paraId="2278CA5F" w14:textId="77777777" w:rsidR="00AC6F3C" w:rsidRDefault="00570E88">
          <w:pPr>
            <w:pStyle w:val="TOC2"/>
            <w:tabs>
              <w:tab w:val="right" w:pos="9469"/>
            </w:tabs>
          </w:pPr>
          <w:r>
            <w:rPr>
              <w:noProof/>
            </w:rPr>
            <mc:AlternateContent>
              <mc:Choice Requires="wps">
                <w:drawing>
                  <wp:anchor distT="0" distB="0" distL="0" distR="0" simplePos="0" relativeHeight="15735296" behindDoc="0" locked="0" layoutInCell="1" allowOverlap="1" wp14:anchorId="437AA646" wp14:editId="53499DED">
                    <wp:simplePos x="0" y="0"/>
                    <wp:positionH relativeFrom="page">
                      <wp:posOffset>809999</wp:posOffset>
                    </wp:positionH>
                    <wp:positionV relativeFrom="paragraph">
                      <wp:posOffset>197831</wp:posOffset>
                    </wp:positionV>
                    <wp:extent cx="594042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1946E5" id="Graphic 22" o:spid="_x0000_s1026" style="position:absolute;margin-left:63.8pt;margin-top:15.6pt;width:467.7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" path="m,l5939993,e" filled="f" strokeweight="1pt">
                    <v:path arrowok="t"/>
                    <w10:wrap anchorx="page"/>
                  </v:shape>
                </w:pict>
              </mc:Fallback>
            </mc:AlternateContent>
          </w:r>
          <w:hyperlink w:anchor="_bookmark3" w:history="1">
            <w:r>
              <w:t>KEY</w:t>
            </w:r>
            <w:r>
              <w:rPr>
                <w:spacing w:val="50"/>
              </w:rPr>
              <w:t xml:space="preserve"> </w:t>
            </w:r>
            <w:r>
              <w:t>PERFORMANCE</w:t>
            </w:r>
            <w:r>
              <w:rPr>
                <w:spacing w:val="58"/>
              </w:rPr>
              <w:t xml:space="preserve"> </w:t>
            </w:r>
            <w:r>
              <w:rPr>
                <w:spacing w:val="-2"/>
              </w:rPr>
              <w:t>INDICATORS</w:t>
            </w:r>
            <w:r>
              <w:tab/>
            </w:r>
            <w:r>
              <w:rPr>
                <w:spacing w:val="-5"/>
              </w:rPr>
              <w:t>10</w:t>
            </w:r>
          </w:hyperlink>
        </w:p>
        <w:p w14:paraId="0EF86DDD" w14:textId="77777777" w:rsidR="00AC6F3C" w:rsidRDefault="006A61CC">
          <w:pPr>
            <w:pStyle w:val="TOC3"/>
            <w:tabs>
              <w:tab w:val="right" w:pos="9469"/>
            </w:tabs>
            <w:spacing w:before="87"/>
          </w:pPr>
          <w:hyperlink w:anchor="_bookmark3" w:history="1">
            <w:r w:rsidR="00570E88">
              <w:t>Performance</w:t>
            </w:r>
            <w:r w:rsidR="00570E88">
              <w:rPr>
                <w:spacing w:val="-10"/>
              </w:rPr>
              <w:t xml:space="preserve"> </w:t>
            </w:r>
            <w:r w:rsidR="00570E88">
              <w:rPr>
                <w:spacing w:val="-2"/>
              </w:rPr>
              <w:t>overview</w:t>
            </w:r>
            <w:r w:rsidR="00570E88">
              <w:tab/>
            </w:r>
            <w:proofErr w:type="gramStart"/>
            <w:r w:rsidR="00570E88">
              <w:rPr>
                <w:spacing w:val="-5"/>
              </w:rPr>
              <w:t>10</w:t>
            </w:r>
            <w:proofErr w:type="gramEnd"/>
          </w:hyperlink>
        </w:p>
        <w:p w14:paraId="6B9B7878" w14:textId="77777777" w:rsidR="00AC6F3C" w:rsidRDefault="006A61CC">
          <w:pPr>
            <w:pStyle w:val="TOC3"/>
            <w:tabs>
              <w:tab w:val="right" w:pos="9469"/>
            </w:tabs>
          </w:pPr>
          <w:hyperlink w:anchor="_bookmark4" w:history="1">
            <w:r w:rsidR="00570E88">
              <w:t>Our</w:t>
            </w:r>
            <w:r w:rsidR="00570E88">
              <w:rPr>
                <w:spacing w:val="-3"/>
              </w:rPr>
              <w:t xml:space="preserve"> </w:t>
            </w:r>
            <w:r w:rsidR="00570E88">
              <w:t>operating</w:t>
            </w:r>
            <w:r w:rsidR="00570E88">
              <w:rPr>
                <w:spacing w:val="-2"/>
              </w:rPr>
              <w:t xml:space="preserve"> </w:t>
            </w:r>
            <w:r w:rsidR="00570E88">
              <w:t>plan</w:t>
            </w:r>
            <w:r w:rsidR="00570E88">
              <w:rPr>
                <w:spacing w:val="-2"/>
              </w:rPr>
              <w:t xml:space="preserve"> </w:t>
            </w:r>
            <w:r w:rsidR="00570E88">
              <w:t>2022-</w:t>
            </w:r>
            <w:r w:rsidR="00570E88">
              <w:rPr>
                <w:spacing w:val="-5"/>
              </w:rPr>
              <w:t>23</w:t>
            </w:r>
            <w:r w:rsidR="00570E88">
              <w:tab/>
            </w:r>
            <w:r w:rsidR="00570E88">
              <w:rPr>
                <w:spacing w:val="-5"/>
              </w:rPr>
              <w:t>11</w:t>
            </w:r>
          </w:hyperlink>
        </w:p>
        <w:p w14:paraId="466994D8" w14:textId="77777777" w:rsidR="00AC6F3C" w:rsidRDefault="00570E88">
          <w:pPr>
            <w:pStyle w:val="TOC2"/>
            <w:tabs>
              <w:tab w:val="right" w:pos="9469"/>
            </w:tabs>
            <w:spacing w:before="445"/>
          </w:pPr>
          <w:r>
            <w:rPr>
              <w:noProof/>
            </w:rPr>
            <mc:AlternateContent>
              <mc:Choice Requires="wps">
                <w:drawing>
                  <wp:anchor distT="0" distB="0" distL="0" distR="0" simplePos="0" relativeHeight="15735808" behindDoc="0" locked="0" layoutInCell="1" allowOverlap="1" wp14:anchorId="4A3C6669" wp14:editId="0A31B7C5">
                    <wp:simplePos x="0" y="0"/>
                    <wp:positionH relativeFrom="page">
                      <wp:posOffset>809999</wp:posOffset>
                    </wp:positionH>
                    <wp:positionV relativeFrom="paragraph">
                      <wp:posOffset>203175</wp:posOffset>
                    </wp:positionV>
                    <wp:extent cx="594042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31777E" id="Graphic 23" o:spid="_x0000_s1026" style="position:absolute;margin-left:63.8pt;margin-top:16pt;width:467.7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" path="m,l5939993,e" filled="f" strokeweight="1pt">
                    <v:path arrowok="t"/>
                    <w10:wrap anchorx="page"/>
                  </v:shape>
                </w:pict>
              </mc:Fallback>
            </mc:AlternateContent>
          </w:r>
          <w:hyperlink w:anchor="_bookmark5" w:history="1">
            <w:r>
              <w:t>PRESIDENT’S</w:t>
            </w:r>
            <w:r>
              <w:rPr>
                <w:spacing w:val="46"/>
                <w:w w:val="150"/>
              </w:rPr>
              <w:t xml:space="preserve"> </w:t>
            </w:r>
            <w:r>
              <w:rPr>
                <w:spacing w:val="-2"/>
              </w:rPr>
              <w:t>REVIEW</w:t>
            </w:r>
            <w:r>
              <w:tab/>
            </w:r>
            <w:r>
              <w:rPr>
                <w:spacing w:val="-5"/>
              </w:rPr>
              <w:t>18</w:t>
            </w:r>
          </w:hyperlink>
        </w:p>
        <w:p w14:paraId="5B80090B" w14:textId="77777777" w:rsidR="00AC6F3C" w:rsidRDefault="006A61CC">
          <w:pPr>
            <w:pStyle w:val="TOC3"/>
            <w:tabs>
              <w:tab w:val="right" w:pos="9469"/>
            </w:tabs>
            <w:spacing w:before="87"/>
          </w:pPr>
          <w:hyperlink w:anchor="_bookmark5" w:history="1">
            <w:r w:rsidR="00570E88">
              <w:t>150</w:t>
            </w:r>
            <w:r w:rsidR="00570E88">
              <w:rPr>
                <w:spacing w:val="-3"/>
              </w:rPr>
              <w:t xml:space="preserve"> </w:t>
            </w:r>
            <w:r w:rsidR="00570E88">
              <w:t>years</w:t>
            </w:r>
            <w:r w:rsidR="00570E88">
              <w:rPr>
                <w:spacing w:val="-2"/>
              </w:rPr>
              <w:t xml:space="preserve"> </w:t>
            </w:r>
            <w:r w:rsidR="00570E88">
              <w:t>of</w:t>
            </w:r>
            <w:r w:rsidR="00570E88">
              <w:rPr>
                <w:spacing w:val="-2"/>
              </w:rPr>
              <w:t xml:space="preserve"> </w:t>
            </w:r>
            <w:r w:rsidR="00570E88">
              <w:t>the</w:t>
            </w:r>
            <w:r w:rsidR="00570E88">
              <w:rPr>
                <w:spacing w:val="-3"/>
              </w:rPr>
              <w:t xml:space="preserve"> </w:t>
            </w:r>
            <w:r w:rsidR="00570E88">
              <w:t>Society</w:t>
            </w:r>
            <w:r w:rsidR="00570E88">
              <w:rPr>
                <w:spacing w:val="-2"/>
              </w:rPr>
              <w:t xml:space="preserve"> </w:t>
            </w:r>
            <w:r w:rsidR="00570E88">
              <w:t>as</w:t>
            </w:r>
            <w:r w:rsidR="00570E88">
              <w:rPr>
                <w:spacing w:val="-2"/>
              </w:rPr>
              <w:t xml:space="preserve"> </w:t>
            </w:r>
            <w:r w:rsidR="00570E88">
              <w:t>a</w:t>
            </w:r>
            <w:r w:rsidR="00570E88">
              <w:rPr>
                <w:spacing w:val="-3"/>
              </w:rPr>
              <w:t xml:space="preserve"> </w:t>
            </w:r>
            <w:r w:rsidR="00570E88">
              <w:t>force</w:t>
            </w:r>
            <w:r w:rsidR="00570E88">
              <w:rPr>
                <w:spacing w:val="-2"/>
              </w:rPr>
              <w:t xml:space="preserve"> </w:t>
            </w:r>
            <w:r w:rsidR="00570E88">
              <w:t>for</w:t>
            </w:r>
            <w:r w:rsidR="00570E88">
              <w:rPr>
                <w:spacing w:val="-2"/>
              </w:rPr>
              <w:t xml:space="preserve"> </w:t>
            </w:r>
            <w:r w:rsidR="00570E88">
              <w:rPr>
                <w:spacing w:val="-4"/>
              </w:rPr>
              <w:t>good</w:t>
            </w:r>
            <w:r w:rsidR="00570E88">
              <w:tab/>
            </w:r>
            <w:proofErr w:type="gramStart"/>
            <w:r w:rsidR="00570E88">
              <w:rPr>
                <w:spacing w:val="-5"/>
              </w:rPr>
              <w:t>18</w:t>
            </w:r>
            <w:proofErr w:type="gramEnd"/>
          </w:hyperlink>
        </w:p>
        <w:p w14:paraId="59E7DE62" w14:textId="77777777" w:rsidR="00AC6F3C" w:rsidRDefault="006A61CC">
          <w:pPr>
            <w:pStyle w:val="TOC3"/>
            <w:tabs>
              <w:tab w:val="right" w:pos="9469"/>
            </w:tabs>
          </w:pPr>
          <w:hyperlink w:anchor="_bookmark6" w:history="1">
            <w:r w:rsidR="00570E88">
              <w:t>The</w:t>
            </w:r>
            <w:r w:rsidR="00570E88">
              <w:rPr>
                <w:spacing w:val="-4"/>
              </w:rPr>
              <w:t xml:space="preserve"> </w:t>
            </w:r>
            <w:r w:rsidR="00570E88">
              <w:t>importance</w:t>
            </w:r>
            <w:r w:rsidR="00570E88">
              <w:rPr>
                <w:spacing w:val="-3"/>
              </w:rPr>
              <w:t xml:space="preserve"> </w:t>
            </w:r>
            <w:r w:rsidR="00570E88">
              <w:t>of</w:t>
            </w:r>
            <w:r w:rsidR="00570E88">
              <w:rPr>
                <w:spacing w:val="-3"/>
              </w:rPr>
              <w:t xml:space="preserve"> </w:t>
            </w:r>
            <w:r w:rsidR="00570E88">
              <w:t>our</w:t>
            </w:r>
            <w:r w:rsidR="00570E88">
              <w:rPr>
                <w:spacing w:val="-3"/>
              </w:rPr>
              <w:t xml:space="preserve"> </w:t>
            </w:r>
            <w:r w:rsidR="00570E88">
              <w:rPr>
                <w:spacing w:val="-2"/>
              </w:rPr>
              <w:t>regions</w:t>
            </w:r>
            <w:r w:rsidR="00570E88">
              <w:tab/>
            </w:r>
            <w:proofErr w:type="gramStart"/>
            <w:r w:rsidR="00570E88">
              <w:rPr>
                <w:spacing w:val="-5"/>
              </w:rPr>
              <w:t>19</w:t>
            </w:r>
            <w:proofErr w:type="gramEnd"/>
          </w:hyperlink>
        </w:p>
        <w:p w14:paraId="2F4B4B51" w14:textId="77777777" w:rsidR="00AC6F3C" w:rsidRDefault="006A61CC">
          <w:pPr>
            <w:pStyle w:val="TOC3"/>
            <w:tabs>
              <w:tab w:val="right" w:pos="9469"/>
            </w:tabs>
          </w:pPr>
          <w:hyperlink w:anchor="_bookmark6" w:history="1">
            <w:r w:rsidR="00570E88">
              <w:t>A</w:t>
            </w:r>
            <w:r w:rsidR="00570E88">
              <w:rPr>
                <w:spacing w:val="-10"/>
              </w:rPr>
              <w:t xml:space="preserve"> </w:t>
            </w:r>
            <w:r w:rsidR="00570E88">
              <w:t>voice</w:t>
            </w:r>
            <w:r w:rsidR="00570E88">
              <w:rPr>
                <w:spacing w:val="-2"/>
              </w:rPr>
              <w:t xml:space="preserve"> </w:t>
            </w:r>
            <w:r w:rsidR="00570E88">
              <w:t>for</w:t>
            </w:r>
            <w:r w:rsidR="00570E88">
              <w:rPr>
                <w:spacing w:val="-2"/>
              </w:rPr>
              <w:t xml:space="preserve"> </w:t>
            </w:r>
            <w:r w:rsidR="00570E88">
              <w:t>the</w:t>
            </w:r>
            <w:r w:rsidR="00570E88">
              <w:rPr>
                <w:spacing w:val="-2"/>
              </w:rPr>
              <w:t xml:space="preserve"> future</w:t>
            </w:r>
            <w:r w:rsidR="00570E88">
              <w:tab/>
            </w:r>
            <w:proofErr w:type="gramStart"/>
            <w:r w:rsidR="00570E88">
              <w:rPr>
                <w:spacing w:val="-5"/>
              </w:rPr>
              <w:t>19</w:t>
            </w:r>
            <w:proofErr w:type="gramEnd"/>
          </w:hyperlink>
        </w:p>
        <w:p w14:paraId="7695239C" w14:textId="77777777" w:rsidR="00AC6F3C" w:rsidRDefault="00570E88">
          <w:pPr>
            <w:pStyle w:val="TOC2"/>
            <w:tabs>
              <w:tab w:val="right" w:pos="9469"/>
            </w:tabs>
            <w:spacing w:before="446"/>
          </w:pPr>
          <w:r>
            <w:rPr>
              <w:noProof/>
            </w:rPr>
            <mc:AlternateContent>
              <mc:Choice Requires="wps">
                <w:drawing>
                  <wp:anchor distT="0" distB="0" distL="0" distR="0" simplePos="0" relativeHeight="15736320" behindDoc="0" locked="0" layoutInCell="1" allowOverlap="1" wp14:anchorId="3063AA14" wp14:editId="7A808CDD">
                    <wp:simplePos x="0" y="0"/>
                    <wp:positionH relativeFrom="page">
                      <wp:posOffset>809999</wp:posOffset>
                    </wp:positionH>
                    <wp:positionV relativeFrom="paragraph">
                      <wp:posOffset>203809</wp:posOffset>
                    </wp:positionV>
                    <wp:extent cx="594042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57601F" id="Graphic 24" o:spid="_x0000_s1026" style="position:absolute;margin-left:63.8pt;margin-top:16.05pt;width:467.7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" path="m,l5939993,e" filled="f" strokeweight="1pt">
                    <v:path arrowok="t"/>
                    <w10:wrap anchorx="page"/>
                  </v:shape>
                </w:pict>
              </mc:Fallback>
            </mc:AlternateContent>
          </w:r>
          <w:hyperlink w:anchor="_bookmark7" w:history="1">
            <w:r>
              <w:t>CEO</w:t>
            </w:r>
            <w:r>
              <w:rPr>
                <w:spacing w:val="24"/>
              </w:rPr>
              <w:t xml:space="preserve"> </w:t>
            </w:r>
            <w:r>
              <w:rPr>
                <w:spacing w:val="-2"/>
              </w:rPr>
              <w:t>REVIEW</w:t>
            </w:r>
            <w:r>
              <w:tab/>
            </w:r>
            <w:r>
              <w:rPr>
                <w:spacing w:val="-5"/>
              </w:rPr>
              <w:t>21</w:t>
            </w:r>
          </w:hyperlink>
        </w:p>
        <w:p w14:paraId="528418EC" w14:textId="77777777" w:rsidR="00AC6F3C" w:rsidRDefault="00570E88">
          <w:pPr>
            <w:pStyle w:val="TOC2"/>
            <w:tabs>
              <w:tab w:val="right" w:pos="9469"/>
            </w:tabs>
          </w:pPr>
          <w:r>
            <w:rPr>
              <w:noProof/>
            </w:rPr>
            <mc:AlternateContent>
              <mc:Choice Requires="wps">
                <w:drawing>
                  <wp:anchor distT="0" distB="0" distL="0" distR="0" simplePos="0" relativeHeight="15736832" behindDoc="0" locked="0" layoutInCell="1" allowOverlap="1" wp14:anchorId="30A9050E" wp14:editId="5F33ACD8">
                    <wp:simplePos x="0" y="0"/>
                    <wp:positionH relativeFrom="page">
                      <wp:posOffset>809999</wp:posOffset>
                    </wp:positionH>
                    <wp:positionV relativeFrom="paragraph">
                      <wp:posOffset>198040</wp:posOffset>
                    </wp:positionV>
                    <wp:extent cx="594042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315E2" id="Graphic 25" o:spid="_x0000_s1026" style="position:absolute;margin-left:63.8pt;margin-top:15.6pt;width:467.7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" path="m,l5939993,e" filled="f" strokeweight="1pt">
                    <v:path arrowok="t"/>
                    <w10:wrap anchorx="page"/>
                  </v:shape>
                </w:pict>
              </mc:Fallback>
            </mc:AlternateContent>
          </w:r>
          <w:hyperlink w:anchor="_bookmark8" w:history="1">
            <w:r>
              <w:t>OUR</w:t>
            </w:r>
            <w:r>
              <w:rPr>
                <w:spacing w:val="24"/>
              </w:rPr>
              <w:t xml:space="preserve"> </w:t>
            </w:r>
            <w:r>
              <w:rPr>
                <w:spacing w:val="-2"/>
              </w:rPr>
              <w:t>COUNCIL</w:t>
            </w:r>
            <w:r>
              <w:tab/>
            </w:r>
            <w:r>
              <w:rPr>
                <w:spacing w:val="-5"/>
              </w:rPr>
              <w:t>23</w:t>
            </w:r>
          </w:hyperlink>
        </w:p>
        <w:p w14:paraId="30BCFC50" w14:textId="77777777" w:rsidR="00AC6F3C" w:rsidRDefault="006A61CC">
          <w:pPr>
            <w:pStyle w:val="TOC3"/>
            <w:tabs>
              <w:tab w:val="right" w:pos="9469"/>
            </w:tabs>
            <w:spacing w:before="87"/>
          </w:pPr>
          <w:hyperlink w:anchor="_bookmark8" w:history="1">
            <w:r w:rsidR="00570E88">
              <w:t>QLS</w:t>
            </w:r>
            <w:r w:rsidR="00570E88">
              <w:rPr>
                <w:spacing w:val="-4"/>
              </w:rPr>
              <w:t xml:space="preserve"> </w:t>
            </w:r>
            <w:r w:rsidR="00570E88">
              <w:t>Future</w:t>
            </w:r>
            <w:r w:rsidR="00570E88">
              <w:rPr>
                <w:spacing w:val="-3"/>
              </w:rPr>
              <w:t xml:space="preserve"> </w:t>
            </w:r>
            <w:r w:rsidR="00570E88">
              <w:t>Leaders</w:t>
            </w:r>
            <w:r w:rsidR="00570E88">
              <w:rPr>
                <w:spacing w:val="-3"/>
              </w:rPr>
              <w:t xml:space="preserve"> </w:t>
            </w:r>
            <w:r w:rsidR="00570E88">
              <w:t>Committee</w:t>
            </w:r>
            <w:r w:rsidR="00570E88">
              <w:rPr>
                <w:spacing w:val="-3"/>
              </w:rPr>
              <w:t xml:space="preserve"> </w:t>
            </w:r>
            <w:r w:rsidR="00570E88">
              <w:t>(FLC)</w:t>
            </w:r>
            <w:r w:rsidR="00570E88">
              <w:rPr>
                <w:spacing w:val="-3"/>
              </w:rPr>
              <w:t xml:space="preserve"> </w:t>
            </w:r>
            <w:r w:rsidR="00570E88">
              <w:t>Election</w:t>
            </w:r>
            <w:r w:rsidR="00570E88">
              <w:rPr>
                <w:spacing w:val="-3"/>
              </w:rPr>
              <w:t xml:space="preserve"> </w:t>
            </w:r>
            <w:r w:rsidR="00570E88">
              <w:rPr>
                <w:spacing w:val="-4"/>
              </w:rPr>
              <w:t>2023</w:t>
            </w:r>
            <w:r w:rsidR="00570E88">
              <w:tab/>
            </w:r>
            <w:r w:rsidR="00570E88">
              <w:rPr>
                <w:spacing w:val="-5"/>
              </w:rPr>
              <w:t>23</w:t>
            </w:r>
          </w:hyperlink>
        </w:p>
        <w:p w14:paraId="5D285616" w14:textId="77777777" w:rsidR="00AC6F3C" w:rsidRDefault="006A61CC">
          <w:pPr>
            <w:pStyle w:val="TOC3"/>
            <w:tabs>
              <w:tab w:val="right" w:pos="9469"/>
            </w:tabs>
          </w:pPr>
          <w:hyperlink w:anchor="_bookmark9" w:history="1">
            <w:r w:rsidR="00570E88">
              <w:t>Other</w:t>
            </w:r>
            <w:r w:rsidR="00570E88">
              <w:rPr>
                <w:spacing w:val="-4"/>
              </w:rPr>
              <w:t xml:space="preserve"> </w:t>
            </w:r>
            <w:r w:rsidR="00570E88">
              <w:rPr>
                <w:spacing w:val="-2"/>
              </w:rPr>
              <w:t>committees</w:t>
            </w:r>
            <w:r w:rsidR="00570E88">
              <w:tab/>
            </w:r>
            <w:proofErr w:type="gramStart"/>
            <w:r w:rsidR="00570E88">
              <w:rPr>
                <w:spacing w:val="-5"/>
              </w:rPr>
              <w:t>25</w:t>
            </w:r>
            <w:proofErr w:type="gramEnd"/>
          </w:hyperlink>
        </w:p>
        <w:p w14:paraId="6F7B7FB4" w14:textId="77777777" w:rsidR="00AC6F3C" w:rsidRDefault="00570E88">
          <w:pPr>
            <w:pStyle w:val="TOC2"/>
            <w:tabs>
              <w:tab w:val="right" w:pos="9469"/>
            </w:tabs>
            <w:spacing w:before="445"/>
          </w:pPr>
          <w:r>
            <w:rPr>
              <w:noProof/>
            </w:rPr>
            <mc:AlternateContent>
              <mc:Choice Requires="wps">
                <w:drawing>
                  <wp:anchor distT="0" distB="0" distL="0" distR="0" simplePos="0" relativeHeight="15737344" behindDoc="0" locked="0" layoutInCell="1" allowOverlap="1" wp14:anchorId="5C7AD49A" wp14:editId="6F3AF4A1">
                    <wp:simplePos x="0" y="0"/>
                    <wp:positionH relativeFrom="page">
                      <wp:posOffset>809999</wp:posOffset>
                    </wp:positionH>
                    <wp:positionV relativeFrom="paragraph">
                      <wp:posOffset>203174</wp:posOffset>
                    </wp:positionV>
                    <wp:extent cx="594042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C6B9FC" id="Graphic 26" o:spid="_x0000_s1026" style="position:absolute;margin-left:63.8pt;margin-top:16pt;width:467.7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" path="m,l5939993,e" filled="f" strokeweight="1pt">
                    <v:path arrowok="t"/>
                    <w10:wrap anchorx="page"/>
                  </v:shape>
                </w:pict>
              </mc:Fallback>
            </mc:AlternateContent>
          </w:r>
          <w:hyperlink w:anchor="_bookmark10" w:history="1">
            <w:r>
              <w:t>PROFESSION</w:t>
            </w:r>
            <w:r>
              <w:rPr>
                <w:spacing w:val="80"/>
              </w:rPr>
              <w:t xml:space="preserve"> </w:t>
            </w:r>
            <w:r>
              <w:rPr>
                <w:spacing w:val="-2"/>
              </w:rPr>
              <w:t>SNAPSHOT</w:t>
            </w:r>
            <w:r>
              <w:rPr>
                <w:spacing w:val="-2"/>
                <w:position w:val="8"/>
                <w:sz w:val="14"/>
              </w:rPr>
              <w:t>#</w:t>
            </w:r>
            <w:r>
              <w:rPr>
                <w:position w:val="8"/>
                <w:sz w:val="14"/>
              </w:rPr>
              <w:tab/>
            </w:r>
            <w:proofErr w:type="gramStart"/>
            <w:r>
              <w:rPr>
                <w:spacing w:val="-5"/>
              </w:rPr>
              <w:t>28</w:t>
            </w:r>
            <w:proofErr w:type="gramEnd"/>
          </w:hyperlink>
        </w:p>
        <w:p w14:paraId="6FDF03F0" w14:textId="77777777" w:rsidR="00AC6F3C" w:rsidRDefault="006A61CC">
          <w:pPr>
            <w:pStyle w:val="TOC3"/>
            <w:tabs>
              <w:tab w:val="right" w:pos="9469"/>
            </w:tabs>
            <w:spacing w:before="87"/>
          </w:pPr>
          <w:hyperlink w:anchor="_bookmark10" w:history="1">
            <w:r w:rsidR="00570E88">
              <w:t>Total</w:t>
            </w:r>
            <w:r w:rsidR="00570E88">
              <w:rPr>
                <w:spacing w:val="-8"/>
              </w:rPr>
              <w:t xml:space="preserve"> </w:t>
            </w:r>
            <w:r w:rsidR="00570E88">
              <w:t>QLS</w:t>
            </w:r>
            <w:r w:rsidR="00570E88">
              <w:rPr>
                <w:spacing w:val="-7"/>
              </w:rPr>
              <w:t xml:space="preserve"> </w:t>
            </w:r>
            <w:r w:rsidR="00570E88">
              <w:rPr>
                <w:spacing w:val="-2"/>
              </w:rPr>
              <w:t>Members</w:t>
            </w:r>
            <w:r w:rsidR="00570E88">
              <w:tab/>
            </w:r>
            <w:r w:rsidR="00570E88">
              <w:rPr>
                <w:spacing w:val="-5"/>
              </w:rPr>
              <w:t>28</w:t>
            </w:r>
          </w:hyperlink>
        </w:p>
        <w:p w14:paraId="59A70F96" w14:textId="77777777" w:rsidR="00AC6F3C" w:rsidRDefault="006A61CC">
          <w:pPr>
            <w:pStyle w:val="TOC3"/>
            <w:tabs>
              <w:tab w:val="right" w:pos="9469"/>
            </w:tabs>
          </w:pPr>
          <w:hyperlink w:anchor="_bookmark10" w:history="1">
            <w:r w:rsidR="00570E88">
              <w:t>Total</w:t>
            </w:r>
            <w:r w:rsidR="00570E88">
              <w:rPr>
                <w:spacing w:val="-5"/>
              </w:rPr>
              <w:t xml:space="preserve"> </w:t>
            </w:r>
            <w:r w:rsidR="00570E88">
              <w:t>Queensland</w:t>
            </w:r>
            <w:r w:rsidR="00570E88">
              <w:rPr>
                <w:spacing w:val="-5"/>
              </w:rPr>
              <w:t xml:space="preserve"> </w:t>
            </w:r>
            <w:proofErr w:type="spellStart"/>
            <w:r w:rsidR="00570E88">
              <w:t>Practising</w:t>
            </w:r>
            <w:proofErr w:type="spellEnd"/>
            <w:r w:rsidR="00570E88">
              <w:rPr>
                <w:spacing w:val="-5"/>
              </w:rPr>
              <w:t xml:space="preserve"> </w:t>
            </w:r>
            <w:r w:rsidR="00570E88">
              <w:rPr>
                <w:spacing w:val="-2"/>
              </w:rPr>
              <w:t>Certificates</w:t>
            </w:r>
            <w:r w:rsidR="00570E88">
              <w:rPr>
                <w:rFonts w:ascii="Times New Roman"/>
                <w:b w:val="0"/>
              </w:rPr>
              <w:tab/>
            </w:r>
            <w:r w:rsidR="00570E88">
              <w:rPr>
                <w:spacing w:val="-5"/>
              </w:rPr>
              <w:t>28</w:t>
            </w:r>
          </w:hyperlink>
        </w:p>
        <w:p w14:paraId="790DE201" w14:textId="77777777" w:rsidR="00AC6F3C" w:rsidRDefault="006A61CC">
          <w:pPr>
            <w:pStyle w:val="TOC3"/>
            <w:tabs>
              <w:tab w:val="right" w:pos="9469"/>
            </w:tabs>
          </w:pPr>
          <w:hyperlink w:anchor="_bookmark10" w:history="1">
            <w:proofErr w:type="spellStart"/>
            <w:r w:rsidR="00570E88">
              <w:t>Practising</w:t>
            </w:r>
            <w:proofErr w:type="spellEnd"/>
            <w:r w:rsidR="00570E88">
              <w:rPr>
                <w:spacing w:val="-4"/>
              </w:rPr>
              <w:t xml:space="preserve"> </w:t>
            </w:r>
            <w:r w:rsidR="00570E88">
              <w:t>Certificate</w:t>
            </w:r>
            <w:r w:rsidR="00570E88">
              <w:rPr>
                <w:spacing w:val="-4"/>
              </w:rPr>
              <w:t xml:space="preserve"> </w:t>
            </w:r>
            <w:r w:rsidR="00570E88">
              <w:t>by</w:t>
            </w:r>
            <w:r w:rsidR="00570E88">
              <w:rPr>
                <w:spacing w:val="-3"/>
              </w:rPr>
              <w:t xml:space="preserve"> </w:t>
            </w:r>
            <w:r w:rsidR="00570E88">
              <w:rPr>
                <w:spacing w:val="-4"/>
              </w:rPr>
              <w:t>type</w:t>
            </w:r>
            <w:r w:rsidR="00570E88">
              <w:rPr>
                <w:rFonts w:ascii="Times New Roman"/>
                <w:b w:val="0"/>
              </w:rPr>
              <w:tab/>
            </w:r>
            <w:r w:rsidR="00570E88">
              <w:rPr>
                <w:spacing w:val="-5"/>
              </w:rPr>
              <w:t>28</w:t>
            </w:r>
          </w:hyperlink>
        </w:p>
        <w:p w14:paraId="24A42B83" w14:textId="77777777" w:rsidR="00AC6F3C" w:rsidRDefault="006A61CC">
          <w:pPr>
            <w:pStyle w:val="TOC3"/>
            <w:tabs>
              <w:tab w:val="right" w:pos="9469"/>
            </w:tabs>
          </w:pPr>
          <w:hyperlink w:anchor="_bookmark10" w:history="1">
            <w:r w:rsidR="00570E88">
              <w:t>Total</w:t>
            </w:r>
            <w:r w:rsidR="00570E88">
              <w:rPr>
                <w:spacing w:val="-8"/>
              </w:rPr>
              <w:t xml:space="preserve"> </w:t>
            </w:r>
            <w:r w:rsidR="00570E88">
              <w:t>membership</w:t>
            </w:r>
            <w:r w:rsidR="00570E88">
              <w:rPr>
                <w:spacing w:val="-5"/>
              </w:rPr>
              <w:t xml:space="preserve"> </w:t>
            </w:r>
            <w:r w:rsidR="00570E88">
              <w:t>by</w:t>
            </w:r>
            <w:r w:rsidR="00570E88">
              <w:rPr>
                <w:spacing w:val="-5"/>
              </w:rPr>
              <w:t xml:space="preserve"> </w:t>
            </w:r>
            <w:r w:rsidR="00570E88">
              <w:rPr>
                <w:spacing w:val="-2"/>
              </w:rPr>
              <w:t>Category</w:t>
            </w:r>
            <w:r w:rsidR="00570E88">
              <w:tab/>
            </w:r>
            <w:r w:rsidR="00570E88">
              <w:rPr>
                <w:spacing w:val="-5"/>
              </w:rPr>
              <w:t>28</w:t>
            </w:r>
          </w:hyperlink>
        </w:p>
        <w:p w14:paraId="492610D6" w14:textId="77777777" w:rsidR="00AC6F3C" w:rsidRDefault="006A61CC">
          <w:pPr>
            <w:pStyle w:val="TOC3"/>
            <w:tabs>
              <w:tab w:val="right" w:pos="9469"/>
            </w:tabs>
          </w:pPr>
          <w:hyperlink w:anchor="_bookmark11" w:history="1">
            <w:r w:rsidR="00570E88">
              <w:t>Where</w:t>
            </w:r>
            <w:r w:rsidR="00570E88">
              <w:rPr>
                <w:spacing w:val="-4"/>
              </w:rPr>
              <w:t xml:space="preserve"> </w:t>
            </w:r>
            <w:r w:rsidR="00570E88">
              <w:t>our</w:t>
            </w:r>
            <w:r w:rsidR="00570E88">
              <w:rPr>
                <w:spacing w:val="-4"/>
              </w:rPr>
              <w:t xml:space="preserve"> </w:t>
            </w:r>
            <w:r w:rsidR="00570E88">
              <w:t>members</w:t>
            </w:r>
            <w:r w:rsidR="00570E88">
              <w:rPr>
                <w:spacing w:val="-4"/>
              </w:rPr>
              <w:t xml:space="preserve"> </w:t>
            </w:r>
            <w:proofErr w:type="spellStart"/>
            <w:r w:rsidR="00570E88">
              <w:rPr>
                <w:spacing w:val="-2"/>
              </w:rPr>
              <w:t>practise</w:t>
            </w:r>
            <w:proofErr w:type="spellEnd"/>
            <w:r w:rsidR="00570E88">
              <w:tab/>
            </w:r>
            <w:proofErr w:type="gramStart"/>
            <w:r w:rsidR="00570E88">
              <w:rPr>
                <w:spacing w:val="-5"/>
              </w:rPr>
              <w:t>29</w:t>
            </w:r>
            <w:proofErr w:type="gramEnd"/>
          </w:hyperlink>
        </w:p>
        <w:p w14:paraId="5460D030" w14:textId="77777777" w:rsidR="00AC6F3C" w:rsidRDefault="006A61CC">
          <w:pPr>
            <w:pStyle w:val="TOC3"/>
            <w:tabs>
              <w:tab w:val="right" w:pos="9469"/>
            </w:tabs>
          </w:pPr>
          <w:hyperlink w:anchor="_bookmark11" w:history="1">
            <w:r w:rsidR="00570E88">
              <w:t>Full</w:t>
            </w:r>
            <w:r w:rsidR="00570E88">
              <w:rPr>
                <w:spacing w:val="-3"/>
              </w:rPr>
              <w:t xml:space="preserve"> </w:t>
            </w:r>
            <w:r w:rsidR="00570E88">
              <w:t>members</w:t>
            </w:r>
            <w:r w:rsidR="00570E88">
              <w:rPr>
                <w:spacing w:val="-2"/>
              </w:rPr>
              <w:t xml:space="preserve"> </w:t>
            </w:r>
            <w:r w:rsidR="00570E88">
              <w:t>by</w:t>
            </w:r>
            <w:r w:rsidR="00570E88">
              <w:rPr>
                <w:spacing w:val="-2"/>
              </w:rPr>
              <w:t xml:space="preserve"> generation</w:t>
            </w:r>
            <w:r w:rsidR="00570E88">
              <w:tab/>
            </w:r>
            <w:proofErr w:type="gramStart"/>
            <w:r w:rsidR="00570E88">
              <w:rPr>
                <w:spacing w:val="-5"/>
              </w:rPr>
              <w:t>29</w:t>
            </w:r>
            <w:proofErr w:type="gramEnd"/>
          </w:hyperlink>
        </w:p>
        <w:p w14:paraId="211F913D" w14:textId="77777777" w:rsidR="00AC6F3C" w:rsidRDefault="006A61CC">
          <w:pPr>
            <w:pStyle w:val="TOC3"/>
            <w:tabs>
              <w:tab w:val="right" w:pos="9469"/>
            </w:tabs>
          </w:pPr>
          <w:hyperlink w:anchor="_bookmark11" w:history="1">
            <w:r w:rsidR="00570E88">
              <w:t>Gender</w:t>
            </w:r>
            <w:r w:rsidR="00570E88">
              <w:rPr>
                <w:spacing w:val="-5"/>
              </w:rPr>
              <w:t xml:space="preserve"> </w:t>
            </w:r>
            <w:r w:rsidR="00570E88">
              <w:rPr>
                <w:spacing w:val="-2"/>
              </w:rPr>
              <w:t>Balance</w:t>
            </w:r>
            <w:r w:rsidR="00570E88">
              <w:tab/>
            </w:r>
            <w:r w:rsidR="00570E88">
              <w:rPr>
                <w:spacing w:val="-5"/>
              </w:rPr>
              <w:t>29</w:t>
            </w:r>
          </w:hyperlink>
        </w:p>
        <w:p w14:paraId="531395CB" w14:textId="77777777" w:rsidR="00AC6F3C" w:rsidRDefault="00570E88">
          <w:pPr>
            <w:pStyle w:val="TOC1"/>
            <w:tabs>
              <w:tab w:val="right" w:pos="9469"/>
            </w:tabs>
            <w:spacing w:before="446"/>
          </w:pPr>
          <w:r>
            <w:rPr>
              <w:noProof/>
            </w:rPr>
            <mc:AlternateContent>
              <mc:Choice Requires="wps">
                <w:drawing>
                  <wp:anchor distT="0" distB="0" distL="0" distR="0" simplePos="0" relativeHeight="15737856" behindDoc="0" locked="0" layoutInCell="1" allowOverlap="1" wp14:anchorId="43C7B8C7" wp14:editId="60088089">
                    <wp:simplePos x="0" y="0"/>
                    <wp:positionH relativeFrom="page">
                      <wp:posOffset>809999</wp:posOffset>
                    </wp:positionH>
                    <wp:positionV relativeFrom="paragraph">
                      <wp:posOffset>203809</wp:posOffset>
                    </wp:positionV>
                    <wp:extent cx="594042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264381" id="Graphic 27" o:spid="_x0000_s1026" style="position:absolute;margin-left:63.8pt;margin-top:16.05pt;width:467.7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" path="m,l5939993,e" filled="f" strokeweight="1pt">
                    <v:path arrowok="t"/>
                    <w10:wrap anchorx="page"/>
                  </v:shape>
                </w:pict>
              </mc:Fallback>
            </mc:AlternateContent>
          </w:r>
          <w:hyperlink w:anchor="_bookmark12" w:history="1">
            <w:r>
              <w:rPr>
                <w:spacing w:val="-2"/>
              </w:rPr>
              <w:t>ADVOCATE</w:t>
            </w:r>
            <w:r>
              <w:tab/>
            </w:r>
            <w:r>
              <w:rPr>
                <w:spacing w:val="-5"/>
              </w:rPr>
              <w:t>30</w:t>
            </w:r>
          </w:hyperlink>
        </w:p>
        <w:p w14:paraId="31667546" w14:textId="77777777" w:rsidR="00AC6F3C" w:rsidRDefault="006A61CC">
          <w:pPr>
            <w:pStyle w:val="TOC3"/>
            <w:tabs>
              <w:tab w:val="right" w:pos="9469"/>
            </w:tabs>
            <w:spacing w:before="86"/>
          </w:pPr>
          <w:hyperlink w:anchor="_bookmark12" w:history="1">
            <w:r w:rsidR="00570E88">
              <w:t>Advocating</w:t>
            </w:r>
            <w:r w:rsidR="00570E88">
              <w:rPr>
                <w:spacing w:val="-1"/>
              </w:rPr>
              <w:t xml:space="preserve"> </w:t>
            </w:r>
            <w:r w:rsidR="00570E88">
              <w:t>for</w:t>
            </w:r>
            <w:r w:rsidR="00570E88">
              <w:rPr>
                <w:spacing w:val="-1"/>
              </w:rPr>
              <w:t xml:space="preserve"> </w:t>
            </w:r>
            <w:r w:rsidR="00570E88">
              <w:t xml:space="preserve">good </w:t>
            </w:r>
            <w:r w:rsidR="00570E88">
              <w:rPr>
                <w:spacing w:val="-5"/>
              </w:rPr>
              <w:t>law</w:t>
            </w:r>
            <w:r w:rsidR="00570E88">
              <w:tab/>
            </w:r>
            <w:proofErr w:type="gramStart"/>
            <w:r w:rsidR="00570E88">
              <w:rPr>
                <w:spacing w:val="-5"/>
              </w:rPr>
              <w:t>30</w:t>
            </w:r>
            <w:proofErr w:type="gramEnd"/>
          </w:hyperlink>
        </w:p>
        <w:p w14:paraId="42ADC0D1" w14:textId="77777777" w:rsidR="00AC6F3C" w:rsidRDefault="006A61CC">
          <w:pPr>
            <w:pStyle w:val="TOC3"/>
            <w:tabs>
              <w:tab w:val="right" w:pos="9469"/>
            </w:tabs>
            <w:spacing w:before="96" w:after="240"/>
          </w:pPr>
          <w:hyperlink w:anchor="_bookmark13" w:history="1">
            <w:r w:rsidR="00570E88">
              <w:t>Delayed</w:t>
            </w:r>
            <w:r w:rsidR="00570E88">
              <w:rPr>
                <w:spacing w:val="-5"/>
              </w:rPr>
              <w:t xml:space="preserve"> </w:t>
            </w:r>
            <w:r w:rsidR="00570E88">
              <w:t>judgements</w:t>
            </w:r>
            <w:r w:rsidR="00570E88">
              <w:rPr>
                <w:spacing w:val="-4"/>
              </w:rPr>
              <w:t xml:space="preserve"> </w:t>
            </w:r>
            <w:r w:rsidR="00570E88">
              <w:rPr>
                <w:spacing w:val="-2"/>
              </w:rPr>
              <w:t>service</w:t>
            </w:r>
            <w:r w:rsidR="00570E88">
              <w:tab/>
            </w:r>
            <w:proofErr w:type="gramStart"/>
            <w:r w:rsidR="00570E88">
              <w:rPr>
                <w:spacing w:val="-5"/>
              </w:rPr>
              <w:t>47</w:t>
            </w:r>
            <w:proofErr w:type="gramEnd"/>
          </w:hyperlink>
        </w:p>
        <w:p w14:paraId="1ECAE938" w14:textId="77777777" w:rsidR="00AC6F3C" w:rsidRDefault="006A61CC">
          <w:pPr>
            <w:pStyle w:val="TOC3"/>
            <w:tabs>
              <w:tab w:val="right" w:pos="9469"/>
            </w:tabs>
            <w:spacing w:before="86"/>
          </w:pPr>
          <w:hyperlink w:anchor="_bookmark14" w:history="1">
            <w:r w:rsidR="00570E88">
              <w:rPr>
                <w:spacing w:val="-2"/>
              </w:rPr>
              <w:t>Regulation</w:t>
            </w:r>
            <w:r w:rsidR="00570E88">
              <w:tab/>
            </w:r>
            <w:proofErr w:type="gramStart"/>
            <w:r w:rsidR="00570E88">
              <w:rPr>
                <w:spacing w:val="-5"/>
              </w:rPr>
              <w:t>50</w:t>
            </w:r>
            <w:proofErr w:type="gramEnd"/>
          </w:hyperlink>
        </w:p>
        <w:p w14:paraId="6961D445" w14:textId="77777777" w:rsidR="00AC6F3C" w:rsidRDefault="006A61CC">
          <w:pPr>
            <w:pStyle w:val="TOC3"/>
            <w:tabs>
              <w:tab w:val="right" w:pos="9469"/>
            </w:tabs>
          </w:pPr>
          <w:hyperlink w:anchor="_bookmark15" w:history="1">
            <w:r w:rsidR="00570E88">
              <w:t xml:space="preserve">Lexon </w:t>
            </w:r>
            <w:r w:rsidR="00570E88">
              <w:rPr>
                <w:spacing w:val="-2"/>
              </w:rPr>
              <w:t>Insurance</w:t>
            </w:r>
            <w:r w:rsidR="00570E88">
              <w:tab/>
            </w:r>
            <w:r w:rsidR="00570E88">
              <w:rPr>
                <w:spacing w:val="-5"/>
              </w:rPr>
              <w:t>52</w:t>
            </w:r>
          </w:hyperlink>
        </w:p>
        <w:p w14:paraId="69194D7B" w14:textId="77777777" w:rsidR="00AC6F3C" w:rsidRDefault="00570E88">
          <w:pPr>
            <w:pStyle w:val="TOC1"/>
            <w:tabs>
              <w:tab w:val="right" w:pos="9469"/>
            </w:tabs>
            <w:spacing w:before="446"/>
          </w:pPr>
          <w:r>
            <w:rPr>
              <w:noProof/>
            </w:rPr>
            <mc:AlternateContent>
              <mc:Choice Requires="wps">
                <w:drawing>
                  <wp:anchor distT="0" distB="0" distL="0" distR="0" simplePos="0" relativeHeight="15738368" behindDoc="0" locked="0" layoutInCell="1" allowOverlap="1" wp14:anchorId="4137E43B" wp14:editId="183B8AD2">
                    <wp:simplePos x="0" y="0"/>
                    <wp:positionH relativeFrom="page">
                      <wp:posOffset>809999</wp:posOffset>
                    </wp:positionH>
                    <wp:positionV relativeFrom="paragraph">
                      <wp:posOffset>203808</wp:posOffset>
                    </wp:positionV>
                    <wp:extent cx="594042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43E6BA" id="Graphic 28" o:spid="_x0000_s1026" style="position:absolute;margin-left:63.8pt;margin-top:16.05pt;width:467.7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" path="m,l5940005,e" filled="f" strokeweight="1pt">
                    <v:path arrowok="t"/>
                    <w10:wrap anchorx="page"/>
                  </v:shape>
                </w:pict>
              </mc:Fallback>
            </mc:AlternateContent>
          </w:r>
          <w:hyperlink w:anchor="_bookmark16" w:history="1">
            <w:r>
              <w:rPr>
                <w:spacing w:val="-2"/>
              </w:rPr>
              <w:t>GUIDE</w:t>
            </w:r>
            <w:r>
              <w:tab/>
            </w:r>
            <w:r>
              <w:rPr>
                <w:spacing w:val="-5"/>
              </w:rPr>
              <w:t>54</w:t>
            </w:r>
          </w:hyperlink>
        </w:p>
        <w:p w14:paraId="0ABE4F8A" w14:textId="77777777" w:rsidR="00AC6F3C" w:rsidRDefault="006A61CC">
          <w:pPr>
            <w:pStyle w:val="TOC3"/>
            <w:tabs>
              <w:tab w:val="right" w:pos="9469"/>
            </w:tabs>
            <w:spacing w:before="87"/>
          </w:pPr>
          <w:hyperlink w:anchor="_bookmark16" w:history="1">
            <w:r w:rsidR="00570E88">
              <w:t>QLS</w:t>
            </w:r>
            <w:r w:rsidR="00570E88">
              <w:rPr>
                <w:spacing w:val="-3"/>
              </w:rPr>
              <w:t xml:space="preserve"> </w:t>
            </w:r>
            <w:r w:rsidR="00570E88">
              <w:t>Ethics</w:t>
            </w:r>
            <w:r w:rsidR="00570E88">
              <w:rPr>
                <w:spacing w:val="-3"/>
              </w:rPr>
              <w:t xml:space="preserve"> </w:t>
            </w:r>
            <w:r w:rsidR="00570E88">
              <w:t>and</w:t>
            </w:r>
            <w:r w:rsidR="00570E88">
              <w:rPr>
                <w:spacing w:val="-3"/>
              </w:rPr>
              <w:t xml:space="preserve"> </w:t>
            </w:r>
            <w:r w:rsidR="00570E88">
              <w:t>Practice</w:t>
            </w:r>
            <w:r w:rsidR="00570E88">
              <w:rPr>
                <w:spacing w:val="-3"/>
              </w:rPr>
              <w:t xml:space="preserve"> </w:t>
            </w:r>
            <w:r w:rsidR="00570E88">
              <w:rPr>
                <w:spacing w:val="-2"/>
              </w:rPr>
              <w:t>Centre</w:t>
            </w:r>
            <w:r w:rsidR="00570E88">
              <w:tab/>
            </w:r>
            <w:r w:rsidR="00570E88">
              <w:rPr>
                <w:spacing w:val="-5"/>
              </w:rPr>
              <w:t>54</w:t>
            </w:r>
          </w:hyperlink>
        </w:p>
        <w:p w14:paraId="41FE0B2B" w14:textId="77777777" w:rsidR="00AC6F3C" w:rsidRDefault="006A61CC">
          <w:pPr>
            <w:pStyle w:val="TOC3"/>
            <w:tabs>
              <w:tab w:val="right" w:pos="9469"/>
            </w:tabs>
          </w:pPr>
          <w:hyperlink w:anchor="_bookmark17" w:history="1">
            <w:r w:rsidR="00570E88">
              <w:t>QLS</w:t>
            </w:r>
            <w:r w:rsidR="00570E88">
              <w:rPr>
                <w:spacing w:val="-3"/>
              </w:rPr>
              <w:t xml:space="preserve"> </w:t>
            </w:r>
            <w:r w:rsidR="00570E88">
              <w:t>Senior</w:t>
            </w:r>
            <w:r w:rsidR="00570E88">
              <w:rPr>
                <w:spacing w:val="-2"/>
              </w:rPr>
              <w:t xml:space="preserve"> Counsellors</w:t>
            </w:r>
            <w:r w:rsidR="00570E88">
              <w:tab/>
            </w:r>
            <w:r w:rsidR="00570E88">
              <w:rPr>
                <w:spacing w:val="-5"/>
              </w:rPr>
              <w:t>59</w:t>
            </w:r>
          </w:hyperlink>
        </w:p>
        <w:p w14:paraId="49FF46A3" w14:textId="77777777" w:rsidR="00AC6F3C" w:rsidRDefault="006A61CC">
          <w:pPr>
            <w:pStyle w:val="TOC3"/>
            <w:tabs>
              <w:tab w:val="right" w:pos="9469"/>
            </w:tabs>
          </w:pPr>
          <w:hyperlink w:anchor="_bookmark18" w:history="1">
            <w:r w:rsidR="00570E88">
              <w:rPr>
                <w:spacing w:val="-2"/>
              </w:rPr>
              <w:t>Cybersecurity</w:t>
            </w:r>
            <w:r w:rsidR="00570E88">
              <w:tab/>
            </w:r>
            <w:proofErr w:type="gramStart"/>
            <w:r w:rsidR="00570E88">
              <w:rPr>
                <w:spacing w:val="-5"/>
              </w:rPr>
              <w:t>61</w:t>
            </w:r>
            <w:proofErr w:type="gramEnd"/>
          </w:hyperlink>
        </w:p>
        <w:p w14:paraId="6145C922" w14:textId="77777777" w:rsidR="00AC6F3C" w:rsidRDefault="00570E88">
          <w:pPr>
            <w:pStyle w:val="TOC1"/>
            <w:tabs>
              <w:tab w:val="right" w:pos="9469"/>
            </w:tabs>
            <w:spacing w:before="445"/>
          </w:pPr>
          <w:r>
            <w:rPr>
              <w:noProof/>
            </w:rPr>
            <mc:AlternateContent>
              <mc:Choice Requires="wps">
                <w:drawing>
                  <wp:anchor distT="0" distB="0" distL="0" distR="0" simplePos="0" relativeHeight="15738880" behindDoc="0" locked="0" layoutInCell="1" allowOverlap="1" wp14:anchorId="3F495688" wp14:editId="7B897ABE">
                    <wp:simplePos x="0" y="0"/>
                    <wp:positionH relativeFrom="page">
                      <wp:posOffset>809999</wp:posOffset>
                    </wp:positionH>
                    <wp:positionV relativeFrom="paragraph">
                      <wp:posOffset>203175</wp:posOffset>
                    </wp:positionV>
                    <wp:extent cx="594042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4C68A" id="Graphic 29" o:spid="_x0000_s1026" style="position:absolute;margin-left:63.8pt;margin-top:16pt;width:467.7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" path="m,l5940005,e" filled="f" strokeweight="1pt">
                    <v:path arrowok="t"/>
                    <w10:wrap anchorx="page"/>
                  </v:shape>
                </w:pict>
              </mc:Fallback>
            </mc:AlternateContent>
          </w:r>
          <w:hyperlink w:anchor="_bookmark19" w:history="1">
            <w:r>
              <w:rPr>
                <w:spacing w:val="-2"/>
              </w:rPr>
              <w:t>EDUCATE</w:t>
            </w:r>
            <w:r>
              <w:tab/>
            </w:r>
            <w:r>
              <w:rPr>
                <w:spacing w:val="-5"/>
              </w:rPr>
              <w:t>65</w:t>
            </w:r>
          </w:hyperlink>
        </w:p>
        <w:p w14:paraId="4D420919" w14:textId="77777777" w:rsidR="00AC6F3C" w:rsidRDefault="006A61CC">
          <w:pPr>
            <w:pStyle w:val="TOC3"/>
            <w:tabs>
              <w:tab w:val="right" w:pos="9469"/>
            </w:tabs>
            <w:spacing w:before="87"/>
          </w:pPr>
          <w:hyperlink w:anchor="_bookmark19" w:history="1">
            <w:r w:rsidR="00570E88">
              <w:t xml:space="preserve">QLS Education Mission </w:t>
            </w:r>
            <w:r w:rsidR="00570E88">
              <w:rPr>
                <w:spacing w:val="-2"/>
              </w:rPr>
              <w:t>Statement</w:t>
            </w:r>
            <w:r w:rsidR="00570E88">
              <w:tab/>
            </w:r>
            <w:r w:rsidR="00570E88">
              <w:rPr>
                <w:spacing w:val="-5"/>
              </w:rPr>
              <w:t>65</w:t>
            </w:r>
          </w:hyperlink>
        </w:p>
        <w:p w14:paraId="7963E590" w14:textId="77777777" w:rsidR="00AC6F3C" w:rsidRDefault="006A61CC">
          <w:pPr>
            <w:pStyle w:val="TOC3"/>
            <w:tabs>
              <w:tab w:val="right" w:pos="9469"/>
            </w:tabs>
          </w:pPr>
          <w:hyperlink w:anchor="_bookmark20" w:history="1">
            <w:r w:rsidR="00570E88">
              <w:t>2022-23</w:t>
            </w:r>
            <w:r w:rsidR="00570E88">
              <w:rPr>
                <w:spacing w:val="-5"/>
              </w:rPr>
              <w:t xml:space="preserve"> </w:t>
            </w:r>
            <w:r w:rsidR="00570E88">
              <w:t>Key</w:t>
            </w:r>
            <w:r w:rsidR="00570E88">
              <w:rPr>
                <w:spacing w:val="-11"/>
              </w:rPr>
              <w:t xml:space="preserve"> </w:t>
            </w:r>
            <w:r w:rsidR="00570E88">
              <w:rPr>
                <w:spacing w:val="-2"/>
              </w:rPr>
              <w:t>Achievements</w:t>
            </w:r>
            <w:r w:rsidR="00570E88">
              <w:tab/>
            </w:r>
            <w:r w:rsidR="00570E88">
              <w:rPr>
                <w:spacing w:val="-5"/>
              </w:rPr>
              <w:t>66</w:t>
            </w:r>
          </w:hyperlink>
        </w:p>
        <w:p w14:paraId="086AAB38" w14:textId="77777777" w:rsidR="00AC6F3C" w:rsidRDefault="006A61CC">
          <w:pPr>
            <w:pStyle w:val="TOC3"/>
            <w:tabs>
              <w:tab w:val="right" w:pos="9469"/>
            </w:tabs>
          </w:pPr>
          <w:hyperlink w:anchor="_bookmark21" w:history="1">
            <w:r w:rsidR="00570E88">
              <w:t>Practice</w:t>
            </w:r>
            <w:r w:rsidR="00570E88">
              <w:rPr>
                <w:spacing w:val="-4"/>
              </w:rPr>
              <w:t xml:space="preserve"> </w:t>
            </w:r>
            <w:r w:rsidR="00570E88">
              <w:t>Management</w:t>
            </w:r>
            <w:r w:rsidR="00570E88">
              <w:rPr>
                <w:spacing w:val="-3"/>
              </w:rPr>
              <w:t xml:space="preserve"> </w:t>
            </w:r>
            <w:r w:rsidR="00570E88">
              <w:rPr>
                <w:spacing w:val="-2"/>
              </w:rPr>
              <w:t>Course</w:t>
            </w:r>
            <w:r w:rsidR="00570E88">
              <w:tab/>
            </w:r>
            <w:r w:rsidR="00570E88">
              <w:rPr>
                <w:spacing w:val="-5"/>
              </w:rPr>
              <w:t>67</w:t>
            </w:r>
          </w:hyperlink>
        </w:p>
        <w:p w14:paraId="7F373804" w14:textId="77777777" w:rsidR="00AC6F3C" w:rsidRDefault="006A61CC">
          <w:pPr>
            <w:pStyle w:val="TOC3"/>
            <w:tabs>
              <w:tab w:val="right" w:pos="9469"/>
            </w:tabs>
          </w:pPr>
          <w:hyperlink w:anchor="_bookmark21" w:history="1">
            <w:r w:rsidR="00570E88">
              <w:t>Specialist</w:t>
            </w:r>
            <w:r w:rsidR="00570E88">
              <w:rPr>
                <w:spacing w:val="-8"/>
              </w:rPr>
              <w:t xml:space="preserve"> </w:t>
            </w:r>
            <w:r w:rsidR="00570E88">
              <w:rPr>
                <w:spacing w:val="-2"/>
              </w:rPr>
              <w:t>Accreditation</w:t>
            </w:r>
            <w:r w:rsidR="00570E88">
              <w:tab/>
            </w:r>
            <w:r w:rsidR="00570E88">
              <w:rPr>
                <w:spacing w:val="-7"/>
              </w:rPr>
              <w:t>67</w:t>
            </w:r>
          </w:hyperlink>
        </w:p>
        <w:p w14:paraId="046CE5E5" w14:textId="77777777" w:rsidR="00AC6F3C" w:rsidRDefault="00570E88">
          <w:pPr>
            <w:pStyle w:val="TOC1"/>
            <w:tabs>
              <w:tab w:val="right" w:pos="9469"/>
            </w:tabs>
            <w:spacing w:before="446"/>
          </w:pPr>
          <w:r>
            <w:rPr>
              <w:noProof/>
            </w:rPr>
            <mc:AlternateContent>
              <mc:Choice Requires="wps">
                <w:drawing>
                  <wp:anchor distT="0" distB="0" distL="0" distR="0" simplePos="0" relativeHeight="15739392" behindDoc="0" locked="0" layoutInCell="1" allowOverlap="1" wp14:anchorId="6436B4F8" wp14:editId="21C9884E">
                    <wp:simplePos x="0" y="0"/>
                    <wp:positionH relativeFrom="page">
                      <wp:posOffset>809999</wp:posOffset>
                    </wp:positionH>
                    <wp:positionV relativeFrom="paragraph">
                      <wp:posOffset>203808</wp:posOffset>
                    </wp:positionV>
                    <wp:extent cx="594042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811007" id="Graphic 30" o:spid="_x0000_s1026" style="position:absolute;margin-left:63.8pt;margin-top:16.05pt;width:467.7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" path="m,l5940005,e" filled="f" strokeweight="1pt">
                    <v:path arrowok="t"/>
                    <w10:wrap anchorx="page"/>
                  </v:shape>
                </w:pict>
              </mc:Fallback>
            </mc:AlternateContent>
          </w:r>
          <w:hyperlink w:anchor="_bookmark22" w:history="1">
            <w:r>
              <w:rPr>
                <w:spacing w:val="-2"/>
              </w:rPr>
              <w:t>CONNECT</w:t>
            </w:r>
            <w:r>
              <w:tab/>
            </w:r>
            <w:r>
              <w:rPr>
                <w:spacing w:val="-5"/>
              </w:rPr>
              <w:t>69</w:t>
            </w:r>
          </w:hyperlink>
        </w:p>
        <w:p w14:paraId="60BC4028" w14:textId="77777777" w:rsidR="00AC6F3C" w:rsidRDefault="006A61CC">
          <w:pPr>
            <w:pStyle w:val="TOC3"/>
            <w:tabs>
              <w:tab w:val="right" w:pos="9469"/>
            </w:tabs>
            <w:spacing w:before="86"/>
          </w:pPr>
          <w:hyperlink w:anchor="_bookmark22" w:history="1">
            <w:r w:rsidR="00570E88">
              <w:t>Celebrating</w:t>
            </w:r>
            <w:r w:rsidR="00570E88">
              <w:rPr>
                <w:spacing w:val="-1"/>
              </w:rPr>
              <w:t xml:space="preserve"> </w:t>
            </w:r>
            <w:r w:rsidR="00570E88">
              <w:t>150</w:t>
            </w:r>
            <w:r w:rsidR="00570E88">
              <w:rPr>
                <w:spacing w:val="-1"/>
              </w:rPr>
              <w:t xml:space="preserve"> </w:t>
            </w:r>
            <w:r w:rsidR="00570E88">
              <w:rPr>
                <w:spacing w:val="-2"/>
              </w:rPr>
              <w:t>years</w:t>
            </w:r>
            <w:r w:rsidR="00570E88">
              <w:tab/>
            </w:r>
            <w:proofErr w:type="gramStart"/>
            <w:r w:rsidR="00570E88">
              <w:rPr>
                <w:spacing w:val="-5"/>
              </w:rPr>
              <w:t>69</w:t>
            </w:r>
            <w:proofErr w:type="gramEnd"/>
          </w:hyperlink>
        </w:p>
        <w:p w14:paraId="30F620B0" w14:textId="77777777" w:rsidR="00AC6F3C" w:rsidRDefault="006A61CC">
          <w:pPr>
            <w:pStyle w:val="TOC3"/>
            <w:tabs>
              <w:tab w:val="right" w:pos="9469"/>
            </w:tabs>
          </w:pPr>
          <w:hyperlink w:anchor="_bookmark22" w:history="1">
            <w:r w:rsidR="00570E88">
              <w:t>Here</w:t>
            </w:r>
            <w:r w:rsidR="00570E88">
              <w:rPr>
                <w:spacing w:val="-3"/>
              </w:rPr>
              <w:t xml:space="preserve"> </w:t>
            </w:r>
            <w:r w:rsidR="00570E88">
              <w:t>for</w:t>
            </w:r>
            <w:r w:rsidR="00570E88">
              <w:rPr>
                <w:spacing w:val="-2"/>
              </w:rPr>
              <w:t xml:space="preserve"> </w:t>
            </w:r>
            <w:r w:rsidR="00570E88">
              <w:t>our</w:t>
            </w:r>
            <w:r w:rsidR="00570E88">
              <w:rPr>
                <w:spacing w:val="-2"/>
              </w:rPr>
              <w:t xml:space="preserve"> members</w:t>
            </w:r>
            <w:r w:rsidR="00570E88">
              <w:tab/>
            </w:r>
            <w:proofErr w:type="gramStart"/>
            <w:r w:rsidR="00570E88">
              <w:rPr>
                <w:spacing w:val="-5"/>
              </w:rPr>
              <w:t>69</w:t>
            </w:r>
            <w:proofErr w:type="gramEnd"/>
          </w:hyperlink>
        </w:p>
        <w:p w14:paraId="6D50D7D3" w14:textId="77777777" w:rsidR="00AC6F3C" w:rsidRDefault="006A61CC">
          <w:pPr>
            <w:pStyle w:val="TOC3"/>
            <w:tabs>
              <w:tab w:val="right" w:pos="9469"/>
            </w:tabs>
            <w:spacing w:before="96"/>
          </w:pPr>
          <w:hyperlink w:anchor="_bookmark23" w:history="1">
            <w:proofErr w:type="spellStart"/>
            <w:r w:rsidR="00570E88">
              <w:rPr>
                <w:spacing w:val="-2"/>
              </w:rPr>
              <w:t>LawCare</w:t>
            </w:r>
            <w:proofErr w:type="spellEnd"/>
            <w:r w:rsidR="00570E88">
              <w:tab/>
            </w:r>
            <w:r w:rsidR="00570E88">
              <w:rPr>
                <w:spacing w:val="-5"/>
              </w:rPr>
              <w:t>72</w:t>
            </w:r>
          </w:hyperlink>
        </w:p>
        <w:p w14:paraId="5174BC54" w14:textId="77777777" w:rsidR="00AC6F3C" w:rsidRDefault="006A61CC">
          <w:pPr>
            <w:pStyle w:val="TOC3"/>
            <w:tabs>
              <w:tab w:val="right" w:pos="9469"/>
            </w:tabs>
          </w:pPr>
          <w:hyperlink w:anchor="_bookmark23" w:history="1">
            <w:r w:rsidR="00570E88">
              <w:t>The</w:t>
            </w:r>
            <w:r w:rsidR="00570E88">
              <w:rPr>
                <w:spacing w:val="-6"/>
              </w:rPr>
              <w:t xml:space="preserve"> </w:t>
            </w:r>
            <w:r w:rsidR="00570E88">
              <w:t>public</w:t>
            </w:r>
            <w:r w:rsidR="00570E88">
              <w:rPr>
                <w:spacing w:val="-3"/>
              </w:rPr>
              <w:t xml:space="preserve"> </w:t>
            </w:r>
            <w:r w:rsidR="00570E88">
              <w:t>good:</w:t>
            </w:r>
            <w:r w:rsidR="00570E88">
              <w:rPr>
                <w:spacing w:val="-4"/>
              </w:rPr>
              <w:t xml:space="preserve"> </w:t>
            </w:r>
            <w:r w:rsidR="00570E88">
              <w:t>our</w:t>
            </w:r>
            <w:r w:rsidR="00570E88">
              <w:rPr>
                <w:spacing w:val="-3"/>
              </w:rPr>
              <w:t xml:space="preserve"> </w:t>
            </w:r>
            <w:r w:rsidR="00570E88">
              <w:t>corporate</w:t>
            </w:r>
            <w:r w:rsidR="00570E88">
              <w:rPr>
                <w:spacing w:val="-3"/>
              </w:rPr>
              <w:t xml:space="preserve"> </w:t>
            </w:r>
            <w:r w:rsidR="00570E88">
              <w:rPr>
                <w:spacing w:val="-2"/>
              </w:rPr>
              <w:t>citizenship</w:t>
            </w:r>
            <w:r w:rsidR="00570E88">
              <w:tab/>
            </w:r>
            <w:proofErr w:type="gramStart"/>
            <w:r w:rsidR="00570E88">
              <w:rPr>
                <w:spacing w:val="-5"/>
              </w:rPr>
              <w:t>72</w:t>
            </w:r>
            <w:proofErr w:type="gramEnd"/>
          </w:hyperlink>
        </w:p>
        <w:p w14:paraId="0669B3F7" w14:textId="77777777" w:rsidR="00AC6F3C" w:rsidRDefault="006A61CC">
          <w:pPr>
            <w:pStyle w:val="TOC3"/>
            <w:tabs>
              <w:tab w:val="right" w:pos="9469"/>
            </w:tabs>
          </w:pPr>
          <w:hyperlink w:anchor="_bookmark24" w:history="1">
            <w:r w:rsidR="00570E88">
              <w:t>Our</w:t>
            </w:r>
            <w:r w:rsidR="00570E88">
              <w:rPr>
                <w:spacing w:val="-2"/>
              </w:rPr>
              <w:t xml:space="preserve"> publications</w:t>
            </w:r>
            <w:r w:rsidR="00570E88">
              <w:tab/>
            </w:r>
            <w:proofErr w:type="gramStart"/>
            <w:r w:rsidR="00570E88">
              <w:rPr>
                <w:spacing w:val="-5"/>
              </w:rPr>
              <w:t>73</w:t>
            </w:r>
            <w:proofErr w:type="gramEnd"/>
          </w:hyperlink>
        </w:p>
        <w:p w14:paraId="2029CF38" w14:textId="77777777" w:rsidR="00AC6F3C" w:rsidRDefault="006A61CC">
          <w:pPr>
            <w:pStyle w:val="TOC3"/>
            <w:tabs>
              <w:tab w:val="right" w:pos="9469"/>
            </w:tabs>
          </w:pPr>
          <w:hyperlink w:anchor="_bookmark25" w:history="1">
            <w:proofErr w:type="spellStart"/>
            <w:r w:rsidR="00570E88">
              <w:t>Recognising</w:t>
            </w:r>
            <w:proofErr w:type="spellEnd"/>
            <w:r w:rsidR="00570E88">
              <w:rPr>
                <w:spacing w:val="-1"/>
              </w:rPr>
              <w:t xml:space="preserve"> </w:t>
            </w:r>
            <w:r w:rsidR="00570E88">
              <w:t>and celebrating</w:t>
            </w:r>
            <w:r w:rsidR="00570E88">
              <w:rPr>
                <w:spacing w:val="-1"/>
              </w:rPr>
              <w:t xml:space="preserve"> </w:t>
            </w:r>
            <w:r w:rsidR="00570E88">
              <w:t xml:space="preserve">our </w:t>
            </w:r>
            <w:r w:rsidR="00570E88">
              <w:rPr>
                <w:spacing w:val="-2"/>
              </w:rPr>
              <w:t>members</w:t>
            </w:r>
            <w:r w:rsidR="00570E88">
              <w:tab/>
            </w:r>
            <w:proofErr w:type="gramStart"/>
            <w:r w:rsidR="00570E88">
              <w:rPr>
                <w:spacing w:val="-5"/>
              </w:rPr>
              <w:t>74</w:t>
            </w:r>
            <w:proofErr w:type="gramEnd"/>
          </w:hyperlink>
        </w:p>
        <w:p w14:paraId="7EFF4B91" w14:textId="77777777" w:rsidR="00AC6F3C" w:rsidRDefault="006A61CC">
          <w:pPr>
            <w:pStyle w:val="TOC3"/>
            <w:tabs>
              <w:tab w:val="right" w:pos="9469"/>
            </w:tabs>
          </w:pPr>
          <w:hyperlink w:anchor="_bookmark26" w:history="1">
            <w:r w:rsidR="00570E88">
              <w:t>Our</w:t>
            </w:r>
            <w:r w:rsidR="00570E88">
              <w:rPr>
                <w:spacing w:val="-4"/>
              </w:rPr>
              <w:t xml:space="preserve"> </w:t>
            </w:r>
            <w:r w:rsidR="00570E88">
              <w:t>diverse</w:t>
            </w:r>
            <w:r w:rsidR="00570E88">
              <w:rPr>
                <w:spacing w:val="-4"/>
              </w:rPr>
              <w:t xml:space="preserve"> </w:t>
            </w:r>
            <w:r w:rsidR="00570E88">
              <w:t>and</w:t>
            </w:r>
            <w:r w:rsidR="00570E88">
              <w:rPr>
                <w:spacing w:val="-4"/>
              </w:rPr>
              <w:t xml:space="preserve"> </w:t>
            </w:r>
            <w:r w:rsidR="00570E88">
              <w:t>inclusive</w:t>
            </w:r>
            <w:r w:rsidR="00570E88">
              <w:rPr>
                <w:spacing w:val="-4"/>
              </w:rPr>
              <w:t xml:space="preserve"> </w:t>
            </w:r>
            <w:r w:rsidR="00570E88">
              <w:rPr>
                <w:spacing w:val="-2"/>
              </w:rPr>
              <w:t>profession</w:t>
            </w:r>
            <w:r w:rsidR="00570E88">
              <w:tab/>
            </w:r>
            <w:proofErr w:type="gramStart"/>
            <w:r w:rsidR="00570E88">
              <w:rPr>
                <w:spacing w:val="-5"/>
              </w:rPr>
              <w:t>75</w:t>
            </w:r>
            <w:proofErr w:type="gramEnd"/>
          </w:hyperlink>
        </w:p>
        <w:p w14:paraId="2302EAAB" w14:textId="77777777" w:rsidR="00AC6F3C" w:rsidRDefault="006A61CC">
          <w:pPr>
            <w:pStyle w:val="TOC3"/>
            <w:tabs>
              <w:tab w:val="right" w:pos="9469"/>
            </w:tabs>
          </w:pPr>
          <w:hyperlink w:anchor="_bookmark26" w:history="1">
            <w:r w:rsidR="00570E88">
              <w:t>The</w:t>
            </w:r>
            <w:r w:rsidR="00570E88">
              <w:rPr>
                <w:spacing w:val="-3"/>
              </w:rPr>
              <w:t xml:space="preserve"> </w:t>
            </w:r>
            <w:r w:rsidR="00570E88">
              <w:t>First</w:t>
            </w:r>
            <w:r w:rsidR="00570E88">
              <w:rPr>
                <w:spacing w:val="-3"/>
              </w:rPr>
              <w:t xml:space="preserve"> </w:t>
            </w:r>
            <w:r w:rsidR="00570E88">
              <w:t>Nations</w:t>
            </w:r>
            <w:r w:rsidR="00570E88">
              <w:rPr>
                <w:spacing w:val="-3"/>
              </w:rPr>
              <w:t xml:space="preserve"> </w:t>
            </w:r>
            <w:r w:rsidR="00570E88">
              <w:t>Cultural</w:t>
            </w:r>
            <w:r w:rsidR="00570E88">
              <w:rPr>
                <w:spacing w:val="-3"/>
              </w:rPr>
              <w:t xml:space="preserve"> </w:t>
            </w:r>
            <w:r w:rsidR="00570E88">
              <w:t>Outreach</w:t>
            </w:r>
            <w:r w:rsidR="00570E88">
              <w:rPr>
                <w:spacing w:val="-3"/>
              </w:rPr>
              <w:t xml:space="preserve"> </w:t>
            </w:r>
            <w:r w:rsidR="00570E88">
              <w:t>Strategy</w:t>
            </w:r>
            <w:r w:rsidR="00570E88">
              <w:rPr>
                <w:spacing w:val="-3"/>
              </w:rPr>
              <w:t xml:space="preserve"> </w:t>
            </w:r>
            <w:r w:rsidR="00570E88">
              <w:t>2020-25</w:t>
            </w:r>
            <w:r w:rsidR="00570E88">
              <w:rPr>
                <w:spacing w:val="-3"/>
              </w:rPr>
              <w:t xml:space="preserve"> </w:t>
            </w:r>
            <w:r w:rsidR="00570E88">
              <w:rPr>
                <w:spacing w:val="-2"/>
              </w:rPr>
              <w:t>(COS)</w:t>
            </w:r>
            <w:r w:rsidR="00570E88">
              <w:tab/>
            </w:r>
            <w:proofErr w:type="gramStart"/>
            <w:r w:rsidR="00570E88">
              <w:rPr>
                <w:spacing w:val="-5"/>
              </w:rPr>
              <w:t>75</w:t>
            </w:r>
            <w:proofErr w:type="gramEnd"/>
          </w:hyperlink>
        </w:p>
        <w:p w14:paraId="41F178AA" w14:textId="77777777" w:rsidR="00AC6F3C" w:rsidRDefault="006A61CC">
          <w:pPr>
            <w:pStyle w:val="TOC3"/>
            <w:tabs>
              <w:tab w:val="right" w:pos="9469"/>
            </w:tabs>
          </w:pPr>
          <w:hyperlink w:anchor="_bookmark27" w:history="1">
            <w:r w:rsidR="00570E88">
              <w:t>District</w:t>
            </w:r>
            <w:r w:rsidR="00570E88">
              <w:rPr>
                <w:spacing w:val="-2"/>
              </w:rPr>
              <w:t xml:space="preserve"> </w:t>
            </w:r>
            <w:r w:rsidR="00570E88">
              <w:t>Law</w:t>
            </w:r>
            <w:r w:rsidR="00570E88">
              <w:rPr>
                <w:spacing w:val="-8"/>
              </w:rPr>
              <w:t xml:space="preserve"> </w:t>
            </w:r>
            <w:r w:rsidR="00570E88">
              <w:rPr>
                <w:spacing w:val="-2"/>
              </w:rPr>
              <w:t>Associations</w:t>
            </w:r>
            <w:r w:rsidR="00570E88">
              <w:tab/>
            </w:r>
            <w:r w:rsidR="00570E88">
              <w:rPr>
                <w:spacing w:val="-7"/>
              </w:rPr>
              <w:t>80</w:t>
            </w:r>
          </w:hyperlink>
        </w:p>
        <w:p w14:paraId="67AEE3BA" w14:textId="77777777" w:rsidR="00AC6F3C" w:rsidRDefault="006A61CC">
          <w:pPr>
            <w:pStyle w:val="TOC3"/>
            <w:tabs>
              <w:tab w:val="right" w:pos="9469"/>
            </w:tabs>
          </w:pPr>
          <w:hyperlink w:anchor="_bookmark27" w:history="1">
            <w:r w:rsidR="00570E88">
              <w:t>The</w:t>
            </w:r>
            <w:r w:rsidR="00570E88">
              <w:rPr>
                <w:spacing w:val="-2"/>
              </w:rPr>
              <w:t xml:space="preserve"> </w:t>
            </w:r>
            <w:r w:rsidR="00570E88">
              <w:t>future</w:t>
            </w:r>
            <w:r w:rsidR="00570E88">
              <w:rPr>
                <w:spacing w:val="-2"/>
              </w:rPr>
              <w:t xml:space="preserve"> </w:t>
            </w:r>
            <w:r w:rsidR="00570E88">
              <w:t>of</w:t>
            </w:r>
            <w:r w:rsidR="00570E88">
              <w:rPr>
                <w:spacing w:val="-2"/>
              </w:rPr>
              <w:t xml:space="preserve"> </w:t>
            </w:r>
            <w:r w:rsidR="00570E88">
              <w:t>the</w:t>
            </w:r>
            <w:r w:rsidR="00570E88">
              <w:rPr>
                <w:spacing w:val="-2"/>
              </w:rPr>
              <w:t xml:space="preserve"> </w:t>
            </w:r>
            <w:r w:rsidR="00570E88">
              <w:t>profession</w:t>
            </w:r>
            <w:r w:rsidR="00570E88">
              <w:rPr>
                <w:spacing w:val="-2"/>
              </w:rPr>
              <w:t xml:space="preserve"> </w:t>
            </w:r>
            <w:r w:rsidR="00570E88">
              <w:t>–</w:t>
            </w:r>
            <w:r w:rsidR="00570E88">
              <w:rPr>
                <w:spacing w:val="-2"/>
              </w:rPr>
              <w:t xml:space="preserve"> </w:t>
            </w:r>
            <w:r w:rsidR="00570E88">
              <w:t>our</w:t>
            </w:r>
            <w:r w:rsidR="00570E88">
              <w:rPr>
                <w:spacing w:val="-2"/>
              </w:rPr>
              <w:t xml:space="preserve"> </w:t>
            </w:r>
            <w:r w:rsidR="00570E88">
              <w:t>future</w:t>
            </w:r>
            <w:r w:rsidR="00570E88">
              <w:rPr>
                <w:spacing w:val="-2"/>
              </w:rPr>
              <w:t xml:space="preserve"> leaders</w:t>
            </w:r>
            <w:r w:rsidR="00570E88">
              <w:tab/>
            </w:r>
            <w:proofErr w:type="gramStart"/>
            <w:r w:rsidR="00570E88">
              <w:rPr>
                <w:spacing w:val="-5"/>
              </w:rPr>
              <w:t>80</w:t>
            </w:r>
            <w:proofErr w:type="gramEnd"/>
          </w:hyperlink>
        </w:p>
        <w:p w14:paraId="3B634BD5" w14:textId="77777777" w:rsidR="00AC6F3C" w:rsidRDefault="00570E88">
          <w:pPr>
            <w:pStyle w:val="TOC1"/>
            <w:tabs>
              <w:tab w:val="right" w:pos="9469"/>
            </w:tabs>
            <w:spacing w:before="446"/>
          </w:pPr>
          <w:r>
            <w:rPr>
              <w:noProof/>
            </w:rPr>
            <mc:AlternateContent>
              <mc:Choice Requires="wps">
                <w:drawing>
                  <wp:anchor distT="0" distB="0" distL="0" distR="0" simplePos="0" relativeHeight="15739904" behindDoc="0" locked="0" layoutInCell="1" allowOverlap="1" wp14:anchorId="4B7ED5A0" wp14:editId="5BD64B4B">
                    <wp:simplePos x="0" y="0"/>
                    <wp:positionH relativeFrom="page">
                      <wp:posOffset>809999</wp:posOffset>
                    </wp:positionH>
                    <wp:positionV relativeFrom="paragraph">
                      <wp:posOffset>203809</wp:posOffset>
                    </wp:positionV>
                    <wp:extent cx="594042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041F1" id="Graphic 31" o:spid="_x0000_s1026" style="position:absolute;margin-left:63.8pt;margin-top:16.05pt;width:467.7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" path="m,l5940005,e" filled="f" strokeweight="1pt">
                    <v:path arrowok="t"/>
                    <w10:wrap anchorx="page"/>
                  </v:shape>
                </w:pict>
              </mc:Fallback>
            </mc:AlternateContent>
          </w:r>
          <w:hyperlink w:anchor="_bookmark28" w:history="1">
            <w:r>
              <w:rPr>
                <w:spacing w:val="-4"/>
              </w:rPr>
              <w:t>GROW</w:t>
            </w:r>
            <w:r>
              <w:tab/>
            </w:r>
            <w:r>
              <w:rPr>
                <w:spacing w:val="-5"/>
              </w:rPr>
              <w:t>83</w:t>
            </w:r>
          </w:hyperlink>
        </w:p>
        <w:p w14:paraId="6B610E7B" w14:textId="77777777" w:rsidR="00AC6F3C" w:rsidRDefault="006A61CC">
          <w:pPr>
            <w:pStyle w:val="TOC3"/>
            <w:tabs>
              <w:tab w:val="right" w:pos="9469"/>
            </w:tabs>
            <w:spacing w:before="86"/>
          </w:pPr>
          <w:hyperlink w:anchor="_bookmark28" w:history="1">
            <w:r w:rsidR="00570E88">
              <w:t>Our</w:t>
            </w:r>
            <w:r w:rsidR="00570E88">
              <w:rPr>
                <w:spacing w:val="-2"/>
              </w:rPr>
              <w:t xml:space="preserve"> people</w:t>
            </w:r>
            <w:r w:rsidR="00570E88">
              <w:tab/>
            </w:r>
            <w:proofErr w:type="gramStart"/>
            <w:r w:rsidR="00570E88">
              <w:rPr>
                <w:spacing w:val="-5"/>
              </w:rPr>
              <w:t>83</w:t>
            </w:r>
            <w:proofErr w:type="gramEnd"/>
          </w:hyperlink>
        </w:p>
        <w:p w14:paraId="0575784D" w14:textId="77777777" w:rsidR="00AC6F3C" w:rsidRDefault="006A61CC">
          <w:pPr>
            <w:pStyle w:val="TOC3"/>
            <w:tabs>
              <w:tab w:val="right" w:pos="9469"/>
            </w:tabs>
          </w:pPr>
          <w:hyperlink w:anchor="_bookmark29" w:history="1">
            <w:r w:rsidR="00570E88">
              <w:t>Our</w:t>
            </w:r>
            <w:r w:rsidR="00570E88">
              <w:rPr>
                <w:spacing w:val="-3"/>
              </w:rPr>
              <w:t xml:space="preserve"> </w:t>
            </w:r>
            <w:r w:rsidR="00570E88">
              <w:t>working</w:t>
            </w:r>
            <w:r w:rsidR="00570E88">
              <w:rPr>
                <w:spacing w:val="-1"/>
              </w:rPr>
              <w:t xml:space="preserve"> </w:t>
            </w:r>
            <w:r w:rsidR="00570E88">
              <w:rPr>
                <w:spacing w:val="-2"/>
              </w:rPr>
              <w:t>environment</w:t>
            </w:r>
            <w:r w:rsidR="00570E88">
              <w:tab/>
            </w:r>
            <w:proofErr w:type="gramStart"/>
            <w:r w:rsidR="00570E88">
              <w:rPr>
                <w:spacing w:val="-5"/>
              </w:rPr>
              <w:t>86</w:t>
            </w:r>
            <w:proofErr w:type="gramEnd"/>
          </w:hyperlink>
        </w:p>
        <w:p w14:paraId="0694DFF1" w14:textId="77777777" w:rsidR="00AC6F3C" w:rsidRDefault="006A61CC">
          <w:pPr>
            <w:pStyle w:val="TOC3"/>
            <w:tabs>
              <w:tab w:val="right" w:pos="9469"/>
            </w:tabs>
          </w:pPr>
          <w:hyperlink w:anchor="_bookmark30" w:history="1">
            <w:r w:rsidR="00570E88">
              <w:rPr>
                <w:spacing w:val="-2"/>
              </w:rPr>
              <w:t>Committees</w:t>
            </w:r>
            <w:r w:rsidR="00570E88">
              <w:tab/>
            </w:r>
            <w:proofErr w:type="gramStart"/>
            <w:r w:rsidR="00570E88">
              <w:rPr>
                <w:spacing w:val="-5"/>
              </w:rPr>
              <w:t>90</w:t>
            </w:r>
            <w:proofErr w:type="gramEnd"/>
          </w:hyperlink>
        </w:p>
        <w:p w14:paraId="185FDC59" w14:textId="77777777" w:rsidR="00AC6F3C" w:rsidRDefault="006A61CC">
          <w:pPr>
            <w:pStyle w:val="TOC3"/>
            <w:tabs>
              <w:tab w:val="right" w:pos="9469"/>
            </w:tabs>
            <w:spacing w:after="240"/>
          </w:pPr>
          <w:hyperlink w:anchor="_bookmark31" w:history="1">
            <w:r w:rsidR="00570E88">
              <w:t>Information</w:t>
            </w:r>
            <w:r w:rsidR="00570E88">
              <w:rPr>
                <w:spacing w:val="-3"/>
              </w:rPr>
              <w:t xml:space="preserve"> </w:t>
            </w:r>
            <w:r w:rsidR="00570E88">
              <w:t>Management</w:t>
            </w:r>
            <w:r w:rsidR="00570E88">
              <w:rPr>
                <w:spacing w:val="-3"/>
              </w:rPr>
              <w:t xml:space="preserve"> </w:t>
            </w:r>
            <w:r w:rsidR="00570E88">
              <w:t>strategic</w:t>
            </w:r>
            <w:r w:rsidR="00570E88">
              <w:rPr>
                <w:spacing w:val="-2"/>
              </w:rPr>
              <w:t xml:space="preserve"> objectives</w:t>
            </w:r>
            <w:r w:rsidR="00570E88">
              <w:tab/>
            </w:r>
            <w:proofErr w:type="gramStart"/>
            <w:r w:rsidR="00570E88">
              <w:rPr>
                <w:spacing w:val="-5"/>
              </w:rPr>
              <w:t>94</w:t>
            </w:r>
            <w:proofErr w:type="gramEnd"/>
          </w:hyperlink>
        </w:p>
        <w:p w14:paraId="3094F3DC" w14:textId="77777777" w:rsidR="00AC6F3C" w:rsidRDefault="006A61CC">
          <w:pPr>
            <w:pStyle w:val="TOC3"/>
            <w:tabs>
              <w:tab w:val="right" w:pos="9469"/>
            </w:tabs>
            <w:spacing w:before="86"/>
          </w:pPr>
          <w:hyperlink w:anchor="_bookmark32" w:history="1">
            <w:r w:rsidR="00570E88">
              <w:t>Our</w:t>
            </w:r>
            <w:r w:rsidR="00570E88">
              <w:rPr>
                <w:spacing w:val="-3"/>
              </w:rPr>
              <w:t xml:space="preserve"> </w:t>
            </w:r>
            <w:r w:rsidR="00570E88">
              <w:t>financial</w:t>
            </w:r>
            <w:r w:rsidR="00570E88">
              <w:rPr>
                <w:spacing w:val="-1"/>
              </w:rPr>
              <w:t xml:space="preserve"> </w:t>
            </w:r>
            <w:r w:rsidR="00570E88">
              <w:rPr>
                <w:spacing w:val="-2"/>
              </w:rPr>
              <w:t>performance</w:t>
            </w:r>
          </w:hyperlink>
          <w:r w:rsidR="00570E88">
            <w:rPr>
              <w:rFonts w:ascii="Times New Roman"/>
              <w:b w:val="0"/>
            </w:rPr>
            <w:tab/>
          </w:r>
          <w:proofErr w:type="gramStart"/>
          <w:r w:rsidR="00570E88">
            <w:rPr>
              <w:spacing w:val="-5"/>
            </w:rPr>
            <w:t>97</w:t>
          </w:r>
          <w:proofErr w:type="gramEnd"/>
        </w:p>
        <w:p w14:paraId="5D5C1B3B" w14:textId="77777777" w:rsidR="00AC6F3C" w:rsidRDefault="006A61CC">
          <w:pPr>
            <w:pStyle w:val="TOC3"/>
            <w:tabs>
              <w:tab w:val="right" w:pos="9469"/>
            </w:tabs>
          </w:pPr>
          <w:hyperlink w:anchor="_bookmark33" w:history="1">
            <w:r w:rsidR="00570E88">
              <w:t>QUEENSLAND</w:t>
            </w:r>
            <w:r w:rsidR="00570E88">
              <w:rPr>
                <w:spacing w:val="-8"/>
              </w:rPr>
              <w:t xml:space="preserve"> </w:t>
            </w:r>
            <w:r w:rsidR="00570E88">
              <w:t>LAW</w:t>
            </w:r>
            <w:r w:rsidR="00570E88">
              <w:rPr>
                <w:spacing w:val="-8"/>
              </w:rPr>
              <w:t xml:space="preserve"> </w:t>
            </w:r>
            <w:r w:rsidR="00570E88">
              <w:t>SOCIETY</w:t>
            </w:r>
            <w:r w:rsidR="00570E88">
              <w:rPr>
                <w:spacing w:val="-10"/>
              </w:rPr>
              <w:t xml:space="preserve"> </w:t>
            </w:r>
            <w:r w:rsidR="00570E88">
              <w:rPr>
                <w:spacing w:val="-2"/>
              </w:rPr>
              <w:t>INCORPORATED</w:t>
            </w:r>
            <w:r w:rsidR="00570E88">
              <w:tab/>
            </w:r>
            <w:r w:rsidR="00570E88">
              <w:rPr>
                <w:spacing w:val="-5"/>
              </w:rPr>
              <w:t>98</w:t>
            </w:r>
          </w:hyperlink>
        </w:p>
        <w:p w14:paraId="318D9E3F" w14:textId="77777777" w:rsidR="00AC6F3C" w:rsidRDefault="006A61CC">
          <w:pPr>
            <w:pStyle w:val="TOC3"/>
            <w:tabs>
              <w:tab w:val="right" w:pos="9469"/>
            </w:tabs>
          </w:pPr>
          <w:hyperlink w:anchor="_bookmark34" w:history="1">
            <w:r w:rsidR="00570E88">
              <w:t>LAW</w:t>
            </w:r>
            <w:r w:rsidR="00570E88">
              <w:rPr>
                <w:spacing w:val="-5"/>
              </w:rPr>
              <w:t xml:space="preserve"> </w:t>
            </w:r>
            <w:r w:rsidR="00570E88">
              <w:t>CLAIMS</w:t>
            </w:r>
            <w:r w:rsidR="00570E88">
              <w:rPr>
                <w:spacing w:val="-4"/>
              </w:rPr>
              <w:t xml:space="preserve"> </w:t>
            </w:r>
            <w:r w:rsidR="00570E88">
              <w:t>LEVY</w:t>
            </w:r>
            <w:r w:rsidR="00570E88">
              <w:rPr>
                <w:spacing w:val="-8"/>
              </w:rPr>
              <w:t xml:space="preserve"> </w:t>
            </w:r>
            <w:r w:rsidR="00570E88">
              <w:rPr>
                <w:spacing w:val="-4"/>
              </w:rPr>
              <w:t>FUND</w:t>
            </w:r>
            <w:r w:rsidR="00570E88">
              <w:tab/>
            </w:r>
            <w:r w:rsidR="00570E88">
              <w:rPr>
                <w:spacing w:val="-5"/>
              </w:rPr>
              <w:t>162</w:t>
            </w:r>
          </w:hyperlink>
        </w:p>
        <w:p w14:paraId="20FC9B60" w14:textId="77777777" w:rsidR="00AC6F3C" w:rsidRDefault="006A61CC">
          <w:pPr>
            <w:pStyle w:val="TOC3"/>
            <w:tabs>
              <w:tab w:val="right" w:pos="9469"/>
            </w:tabs>
          </w:pPr>
          <w:hyperlink w:anchor="_bookmark35" w:history="1">
            <w:r w:rsidR="00570E88">
              <w:t>QLS</w:t>
            </w:r>
            <w:r w:rsidR="00570E88">
              <w:rPr>
                <w:spacing w:val="-2"/>
              </w:rPr>
              <w:t xml:space="preserve"> </w:t>
            </w:r>
            <w:r w:rsidR="00570E88">
              <w:t>SOLICITOR</w:t>
            </w:r>
            <w:r w:rsidR="00570E88">
              <w:rPr>
                <w:spacing w:val="-1"/>
              </w:rPr>
              <w:t xml:space="preserve"> </w:t>
            </w:r>
            <w:r w:rsidR="00570E88">
              <w:t>SUPPORT</w:t>
            </w:r>
            <w:r w:rsidR="00570E88">
              <w:rPr>
                <w:spacing w:val="-1"/>
              </w:rPr>
              <w:t xml:space="preserve"> </w:t>
            </w:r>
            <w:r w:rsidR="00570E88">
              <w:t>PTY</w:t>
            </w:r>
            <w:r w:rsidR="00570E88">
              <w:rPr>
                <w:spacing w:val="-5"/>
              </w:rPr>
              <w:t xml:space="preserve"> LTD</w:t>
            </w:r>
            <w:r w:rsidR="00570E88">
              <w:tab/>
            </w:r>
            <w:r w:rsidR="00570E88">
              <w:rPr>
                <w:spacing w:val="-5"/>
              </w:rPr>
              <w:t>182</w:t>
            </w:r>
          </w:hyperlink>
        </w:p>
        <w:p w14:paraId="15E1661A" w14:textId="77777777" w:rsidR="00AC6F3C" w:rsidRDefault="006A61CC">
          <w:pPr>
            <w:pStyle w:val="TOC3"/>
            <w:tabs>
              <w:tab w:val="right" w:pos="9469"/>
            </w:tabs>
          </w:pPr>
          <w:hyperlink w:anchor="_bookmark36" w:history="1">
            <w:r w:rsidR="00570E88">
              <w:t>LEGAL</w:t>
            </w:r>
            <w:r w:rsidR="00570E88">
              <w:rPr>
                <w:spacing w:val="-4"/>
              </w:rPr>
              <w:t xml:space="preserve"> </w:t>
            </w:r>
            <w:r w:rsidR="00570E88">
              <w:t>PRACTITIONERS’</w:t>
            </w:r>
            <w:r w:rsidR="00570E88">
              <w:rPr>
                <w:spacing w:val="-12"/>
              </w:rPr>
              <w:t xml:space="preserve"> </w:t>
            </w:r>
            <w:r w:rsidR="00570E88">
              <w:t>FIDELITY</w:t>
            </w:r>
            <w:r w:rsidR="00570E88">
              <w:rPr>
                <w:spacing w:val="-4"/>
              </w:rPr>
              <w:t xml:space="preserve"> </w:t>
            </w:r>
            <w:r w:rsidR="00570E88">
              <w:t xml:space="preserve">GUARANTEE </w:t>
            </w:r>
            <w:r w:rsidR="00570E88">
              <w:rPr>
                <w:spacing w:val="-4"/>
              </w:rPr>
              <w:t>FUND</w:t>
            </w:r>
            <w:r w:rsidR="00570E88">
              <w:tab/>
            </w:r>
            <w:r w:rsidR="00570E88">
              <w:rPr>
                <w:spacing w:val="-5"/>
              </w:rPr>
              <w:t>201</w:t>
            </w:r>
          </w:hyperlink>
        </w:p>
        <w:p w14:paraId="0316BE14" w14:textId="77777777" w:rsidR="00AC6F3C" w:rsidRDefault="00570E88">
          <w:pPr>
            <w:pStyle w:val="TOC2"/>
            <w:tabs>
              <w:tab w:val="right" w:pos="9469"/>
            </w:tabs>
            <w:spacing w:before="446"/>
          </w:pPr>
          <w:r>
            <w:rPr>
              <w:noProof/>
            </w:rPr>
            <mc:AlternateContent>
              <mc:Choice Requires="wps">
                <w:drawing>
                  <wp:anchor distT="0" distB="0" distL="0" distR="0" simplePos="0" relativeHeight="15740416" behindDoc="0" locked="0" layoutInCell="1" allowOverlap="1" wp14:anchorId="471352DD" wp14:editId="4B5EC13A">
                    <wp:simplePos x="0" y="0"/>
                    <wp:positionH relativeFrom="page">
                      <wp:posOffset>809999</wp:posOffset>
                    </wp:positionH>
                    <wp:positionV relativeFrom="paragraph">
                      <wp:posOffset>203809</wp:posOffset>
                    </wp:positionV>
                    <wp:extent cx="594042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11425" id="Graphic 32" o:spid="_x0000_s1026" style="position:absolute;margin-left:63.8pt;margin-top:16.05pt;width:467.7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" path="m,l5940005,e" filled="f" strokeweight="1pt">
                    <v:path arrowok="t"/>
                    <w10:wrap anchorx="page"/>
                  </v:shape>
                </w:pict>
              </mc:Fallback>
            </mc:AlternateContent>
          </w:r>
          <w:hyperlink w:anchor="_bookmark37" w:history="1">
            <w:r>
              <w:t>COMPLIANCE</w:t>
            </w:r>
            <w:r>
              <w:rPr>
                <w:spacing w:val="46"/>
                <w:w w:val="150"/>
              </w:rPr>
              <w:t xml:space="preserve"> </w:t>
            </w:r>
            <w:r>
              <w:rPr>
                <w:spacing w:val="-2"/>
              </w:rPr>
              <w:t>CHECKLIST</w:t>
            </w:r>
            <w:r>
              <w:tab/>
            </w:r>
            <w:r>
              <w:rPr>
                <w:spacing w:val="-5"/>
              </w:rPr>
              <w:t>222</w:t>
            </w:r>
          </w:hyperlink>
        </w:p>
        <w:p w14:paraId="1A86B572" w14:textId="77777777" w:rsidR="00AC6F3C" w:rsidRDefault="00570E88">
          <w:pPr>
            <w:pStyle w:val="TOC2"/>
            <w:tabs>
              <w:tab w:val="right" w:pos="9469"/>
            </w:tabs>
            <w:spacing w:before="438"/>
            <w:ind w:left="120"/>
          </w:pPr>
          <w:r>
            <w:rPr>
              <w:noProof/>
            </w:rPr>
            <mc:AlternateContent>
              <mc:Choice Requires="wps">
                <w:drawing>
                  <wp:anchor distT="0" distB="0" distL="0" distR="0" simplePos="0" relativeHeight="15740928" behindDoc="0" locked="0" layoutInCell="1" allowOverlap="1" wp14:anchorId="0D2798DA" wp14:editId="431FA150">
                    <wp:simplePos x="0" y="0"/>
                    <wp:positionH relativeFrom="page">
                      <wp:posOffset>809999</wp:posOffset>
                    </wp:positionH>
                    <wp:positionV relativeFrom="paragraph">
                      <wp:posOffset>198677</wp:posOffset>
                    </wp:positionV>
                    <wp:extent cx="594042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0F999" id="Graphic 33" o:spid="_x0000_s1026" style="position:absolute;margin-left:63.8pt;margin-top:15.65pt;width:467.75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" path="m,l5940005,e" filled="f" strokeweight="1pt">
                    <v:path arrowok="t"/>
                    <w10:wrap anchorx="page"/>
                  </v:shape>
                </w:pict>
              </mc:Fallback>
            </mc:AlternateContent>
          </w:r>
          <w:hyperlink w:anchor="_bookmark38" w:history="1">
            <w:r>
              <w:rPr>
                <w:spacing w:val="-2"/>
              </w:rPr>
              <w:t>GLOSSARY</w:t>
            </w:r>
            <w:r>
              <w:tab/>
            </w:r>
            <w:r>
              <w:rPr>
                <w:spacing w:val="-5"/>
              </w:rPr>
              <w:t>224</w:t>
            </w:r>
          </w:hyperlink>
        </w:p>
        <w:p w14:paraId="3CEBA863" w14:textId="77777777" w:rsidR="00AC6F3C" w:rsidRDefault="00570E88">
          <w:pPr>
            <w:pStyle w:val="TOC2"/>
            <w:tabs>
              <w:tab w:val="right" w:pos="9469"/>
            </w:tabs>
            <w:ind w:left="120"/>
          </w:pPr>
          <w:r>
            <w:rPr>
              <w:noProof/>
            </w:rPr>
            <mc:AlternateContent>
              <mc:Choice Requires="wps">
                <w:drawing>
                  <wp:anchor distT="0" distB="0" distL="0" distR="0" simplePos="0" relativeHeight="15741440" behindDoc="0" locked="0" layoutInCell="1" allowOverlap="1" wp14:anchorId="2F7C43CB" wp14:editId="4D419265">
                    <wp:simplePos x="0" y="0"/>
                    <wp:positionH relativeFrom="page">
                      <wp:posOffset>809999</wp:posOffset>
                    </wp:positionH>
                    <wp:positionV relativeFrom="paragraph">
                      <wp:posOffset>197988</wp:posOffset>
                    </wp:positionV>
                    <wp:extent cx="594042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4000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385FD" id="Graphic 34" o:spid="_x0000_s1026" style="position:absolute;margin-left:63.8pt;margin-top:15.6pt;width:467.7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EgIAAFw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" path="m,l5940005,e" filled="f" strokeweight="1pt">
                    <v:path arrowok="t"/>
                    <w10:wrap anchorx="page"/>
                  </v:shape>
                </w:pict>
              </mc:Fallback>
            </mc:AlternateContent>
          </w:r>
          <w:hyperlink w:anchor="_bookmark39" w:history="1">
            <w:r>
              <w:rPr>
                <w:spacing w:val="-2"/>
              </w:rPr>
              <w:t>INDEX</w:t>
            </w:r>
            <w:r>
              <w:tab/>
            </w:r>
            <w:r>
              <w:rPr>
                <w:spacing w:val="-5"/>
              </w:rPr>
              <w:t>226</w:t>
            </w:r>
          </w:hyperlink>
        </w:p>
      </w:sdtContent>
    </w:sdt>
    <w:p w14:paraId="37A7C3DE" w14:textId="77777777" w:rsidR="00AC6F3C" w:rsidRDefault="00AC6F3C">
      <w:pPr>
        <w:sectPr w:rsidR="00AC6F3C">
          <w:type w:val="continuous"/>
          <w:pgSz w:w="11910" w:h="16840"/>
          <w:pgMar w:top="1503" w:right="1160" w:bottom="348" w:left="1160" w:header="829" w:footer="336" w:gutter="0"/>
          <w:cols w:space="720"/>
        </w:sectPr>
      </w:pPr>
    </w:p>
    <w:p w14:paraId="3A11F6B0" w14:textId="77777777" w:rsidR="00AC6F3C" w:rsidRDefault="00570E88">
      <w:pPr>
        <w:pStyle w:val="BodyText"/>
        <w:spacing w:line="20" w:lineRule="exact"/>
        <w:ind w:left="115"/>
        <w:rPr>
          <w:sz w:val="2"/>
        </w:rPr>
      </w:pPr>
      <w:r>
        <w:rPr>
          <w:noProof/>
          <w:sz w:val="2"/>
        </w:rPr>
        <w:lastRenderedPageBreak/>
        <mc:AlternateContent>
          <mc:Choice Requires="wpg">
            <w:drawing>
              <wp:inline distT="0" distB="0" distL="0" distR="0" wp14:anchorId="679A09C0" wp14:editId="1B74FB85">
                <wp:extent cx="5940425" cy="25400"/>
                <wp:effectExtent l="19050" t="0" r="3175"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37" name="Graphic 37"/>
                        <wps:cNvSpPr/>
                        <wps:spPr>
                          <a:xfrm>
                            <a:off x="0" y="1270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41EC5D" id="Group 36"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Fw7622oCAACWBQAADgAAAAAAAAAAAAAAAAAuAgAA&#10;ZHJzL2Uyb0RvYy54bWxQSwECLQAUAAYACAAAACEAzcNg/dwAAAADAQAADwAAAAAAAAAAAAAAAADE&#10;BAAAZHJzL2Rvd25yZXYueG1sUEsFBgAAAAAEAAQA8wAAAM0FAAAAAA==&#10;">
                <v:shape id="Graphic 37"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" path="m,l5939993,e" filled="f" strokeweight="2pt">
                  <v:path arrowok="t"/>
                </v:shape>
                <w10:anchorlock/>
              </v:group>
            </w:pict>
          </mc:Fallback>
        </mc:AlternateContent>
      </w:r>
    </w:p>
    <w:p w14:paraId="5E318C03" w14:textId="77777777" w:rsidR="00AC6F3C" w:rsidRDefault="00570E88">
      <w:pPr>
        <w:pStyle w:val="Heading2"/>
        <w:ind w:left="115"/>
      </w:pPr>
      <w:bookmarkStart w:id="6" w:name="About_us"/>
      <w:bookmarkStart w:id="7" w:name="_bookmark2"/>
      <w:bookmarkEnd w:id="6"/>
      <w:bookmarkEnd w:id="7"/>
      <w:r>
        <w:t xml:space="preserve">About </w:t>
      </w:r>
      <w:r>
        <w:rPr>
          <w:spacing w:val="-5"/>
        </w:rPr>
        <w:t>us</w:t>
      </w:r>
    </w:p>
    <w:p w14:paraId="2DD53345" w14:textId="77777777" w:rsidR="00AC6F3C" w:rsidRDefault="00570E88">
      <w:pPr>
        <w:spacing w:before="299"/>
        <w:ind w:left="115"/>
        <w:rPr>
          <w:i/>
          <w:sz w:val="20"/>
        </w:rPr>
      </w:pPr>
      <w:r>
        <w:rPr>
          <w:i/>
          <w:sz w:val="20"/>
        </w:rPr>
        <w:t xml:space="preserve">Our </w:t>
      </w:r>
      <w:r>
        <w:rPr>
          <w:i/>
          <w:spacing w:val="-2"/>
          <w:sz w:val="20"/>
        </w:rPr>
        <w:t>vision</w:t>
      </w:r>
    </w:p>
    <w:p w14:paraId="671CB249" w14:textId="77777777" w:rsidR="00AC6F3C" w:rsidRDefault="00570E88">
      <w:pPr>
        <w:spacing w:before="180"/>
        <w:ind w:left="115"/>
        <w:rPr>
          <w:i/>
          <w:sz w:val="20"/>
        </w:rPr>
      </w:pPr>
      <w:r>
        <w:rPr>
          <w:i/>
          <w:sz w:val="20"/>
        </w:rPr>
        <w:t>Leading</w:t>
      </w:r>
      <w:r>
        <w:rPr>
          <w:i/>
          <w:spacing w:val="-3"/>
          <w:sz w:val="20"/>
        </w:rPr>
        <w:t xml:space="preserve"> </w:t>
      </w:r>
      <w:r>
        <w:rPr>
          <w:i/>
          <w:sz w:val="20"/>
        </w:rPr>
        <w:t>Solicitors</w:t>
      </w:r>
      <w:r>
        <w:rPr>
          <w:i/>
          <w:spacing w:val="-2"/>
          <w:sz w:val="20"/>
        </w:rPr>
        <w:t xml:space="preserve"> </w:t>
      </w:r>
      <w:r>
        <w:rPr>
          <w:i/>
          <w:sz w:val="20"/>
        </w:rPr>
        <w:t>in</w:t>
      </w:r>
      <w:r>
        <w:rPr>
          <w:i/>
          <w:spacing w:val="-2"/>
          <w:sz w:val="20"/>
        </w:rPr>
        <w:t xml:space="preserve"> Queensland</w:t>
      </w:r>
    </w:p>
    <w:p w14:paraId="52F07AA7" w14:textId="77777777" w:rsidR="00AC6F3C" w:rsidRDefault="00570E88">
      <w:pPr>
        <w:pStyle w:val="BodyText"/>
        <w:spacing w:before="180" w:line="249" w:lineRule="auto"/>
        <w:ind w:left="115"/>
      </w:pPr>
      <w:r>
        <w:t>Queensland Law Society Incorporated (QLS) is the leading membership representative body and co- regulator</w:t>
      </w:r>
      <w:r>
        <w:rPr>
          <w:spacing w:val="-3"/>
        </w:rPr>
        <w:t xml:space="preserve"> </w:t>
      </w:r>
      <w:r>
        <w:t>for</w:t>
      </w:r>
      <w:r>
        <w:rPr>
          <w:spacing w:val="-3"/>
        </w:rPr>
        <w:t xml:space="preserve"> </w:t>
      </w:r>
      <w:r>
        <w:t>the</w:t>
      </w:r>
      <w:r>
        <w:rPr>
          <w:spacing w:val="-3"/>
        </w:rPr>
        <w:t xml:space="preserve"> </w:t>
      </w:r>
      <w:r>
        <w:t>legal</w:t>
      </w:r>
      <w:r>
        <w:rPr>
          <w:spacing w:val="-3"/>
        </w:rPr>
        <w:t xml:space="preserve"> </w:t>
      </w:r>
      <w:r>
        <w:t>profession</w:t>
      </w:r>
      <w:r>
        <w:rPr>
          <w:spacing w:val="-3"/>
        </w:rPr>
        <w:t xml:space="preserve"> </w:t>
      </w:r>
      <w:r>
        <w:t>of</w:t>
      </w:r>
      <w:r>
        <w:rPr>
          <w:spacing w:val="-3"/>
        </w:rPr>
        <w:t xml:space="preserve"> </w:t>
      </w:r>
      <w:r>
        <w:t>solicitors</w:t>
      </w:r>
      <w:r>
        <w:rPr>
          <w:spacing w:val="-3"/>
        </w:rPr>
        <w:t xml:space="preserve"> </w:t>
      </w:r>
      <w:r>
        <w:t>in</w:t>
      </w:r>
      <w:r>
        <w:rPr>
          <w:spacing w:val="-3"/>
        </w:rPr>
        <w:t xml:space="preserve"> </w:t>
      </w:r>
      <w:r>
        <w:t>Queensland</w:t>
      </w:r>
      <w:r>
        <w:rPr>
          <w:spacing w:val="-3"/>
        </w:rPr>
        <w:t xml:space="preserve"> </w:t>
      </w:r>
      <w:r>
        <w:t>and</w:t>
      </w:r>
      <w:r>
        <w:rPr>
          <w:spacing w:val="-3"/>
        </w:rPr>
        <w:t xml:space="preserve"> </w:t>
      </w:r>
      <w:r>
        <w:t>oversees</w:t>
      </w:r>
      <w:r>
        <w:rPr>
          <w:spacing w:val="-3"/>
        </w:rPr>
        <w:t xml:space="preserve"> </w:t>
      </w:r>
      <w:r>
        <w:t>the</w:t>
      </w:r>
      <w:r>
        <w:rPr>
          <w:spacing w:val="-3"/>
        </w:rPr>
        <w:t xml:space="preserve"> </w:t>
      </w:r>
      <w:r>
        <w:t>professional</w:t>
      </w:r>
      <w:r>
        <w:rPr>
          <w:spacing w:val="-3"/>
        </w:rPr>
        <w:t xml:space="preserve"> </w:t>
      </w:r>
      <w:r>
        <w:t>conduct</w:t>
      </w:r>
      <w:r>
        <w:rPr>
          <w:spacing w:val="-3"/>
        </w:rPr>
        <w:t xml:space="preserve"> </w:t>
      </w:r>
      <w:r>
        <w:t>of 14,917</w:t>
      </w:r>
      <w:r>
        <w:rPr>
          <w:position w:val="7"/>
          <w:sz w:val="11"/>
        </w:rPr>
        <w:t>1</w:t>
      </w:r>
      <w:r>
        <w:rPr>
          <w:spacing w:val="34"/>
          <w:position w:val="7"/>
          <w:sz w:val="11"/>
        </w:rPr>
        <w:t xml:space="preserve"> </w:t>
      </w:r>
      <w:proofErr w:type="spellStart"/>
      <w:r>
        <w:t>practising</w:t>
      </w:r>
      <w:proofErr w:type="spellEnd"/>
      <w:r>
        <w:t xml:space="preserve"> solicitors. The Society also provides leadership, </w:t>
      </w:r>
      <w:proofErr w:type="gramStart"/>
      <w:r>
        <w:t>guidance</w:t>
      </w:r>
      <w:proofErr w:type="gramEnd"/>
      <w:r>
        <w:t xml:space="preserve"> and support to 12,328</w:t>
      </w:r>
      <w:r>
        <w:rPr>
          <w:position w:val="7"/>
          <w:sz w:val="11"/>
        </w:rPr>
        <w:t>2</w:t>
      </w:r>
      <w:r>
        <w:rPr>
          <w:spacing w:val="40"/>
          <w:position w:val="7"/>
          <w:sz w:val="11"/>
        </w:rPr>
        <w:t xml:space="preserve"> </w:t>
      </w:r>
      <w:r>
        <w:t>members, across several categories spanning the breadth of a solicitor’s career.</w:t>
      </w:r>
    </w:p>
    <w:p w14:paraId="6E9E343A" w14:textId="77777777" w:rsidR="00AC6F3C" w:rsidRDefault="00570E88">
      <w:pPr>
        <w:pStyle w:val="BodyText"/>
        <w:spacing w:before="174" w:line="249" w:lineRule="auto"/>
        <w:ind w:left="115" w:right="93"/>
      </w:pPr>
      <w:r>
        <w:t xml:space="preserve">QLS </w:t>
      </w:r>
      <w:proofErr w:type="gramStart"/>
      <w:r>
        <w:t>is continued</w:t>
      </w:r>
      <w:proofErr w:type="gramEnd"/>
      <w:r>
        <w:t xml:space="preserve"> in existence under the </w:t>
      </w:r>
      <w:r>
        <w:rPr>
          <w:i/>
        </w:rPr>
        <w:t>Legal Profession</w:t>
      </w:r>
      <w:r>
        <w:rPr>
          <w:i/>
          <w:spacing w:val="-3"/>
        </w:rPr>
        <w:t xml:space="preserve"> </w:t>
      </w:r>
      <w:r>
        <w:rPr>
          <w:i/>
        </w:rPr>
        <w:t xml:space="preserve">Act 2007 </w:t>
      </w:r>
      <w:r>
        <w:t>and is empowered by the</w:t>
      </w:r>
      <w:r>
        <w:rPr>
          <w:spacing w:val="-6"/>
        </w:rPr>
        <w:t xml:space="preserve"> </w:t>
      </w:r>
      <w:r>
        <w:t>Act to regulate the solicitors’</w:t>
      </w:r>
      <w:r>
        <w:rPr>
          <w:spacing w:val="-2"/>
        </w:rPr>
        <w:t xml:space="preserve"> </w:t>
      </w:r>
      <w:r>
        <w:t>branch of the legal profession in a co-regulatory capacity with the Legal Services Commission</w:t>
      </w:r>
      <w:r>
        <w:rPr>
          <w:spacing w:val="-2"/>
        </w:rPr>
        <w:t xml:space="preserve"> </w:t>
      </w:r>
      <w:r>
        <w:t>and</w:t>
      </w:r>
      <w:r>
        <w:rPr>
          <w:spacing w:val="-3"/>
        </w:rPr>
        <w:t xml:space="preserve"> </w:t>
      </w:r>
      <w:r>
        <w:t>the</w:t>
      </w:r>
      <w:r>
        <w:rPr>
          <w:spacing w:val="-3"/>
        </w:rPr>
        <w:t xml:space="preserve"> </w:t>
      </w:r>
      <w:r>
        <w:t>Bar</w:t>
      </w:r>
      <w:r>
        <w:rPr>
          <w:spacing w:val="-14"/>
        </w:rPr>
        <w:t xml:space="preserve"> </w:t>
      </w:r>
      <w:r>
        <w:t>Association</w:t>
      </w:r>
      <w:r>
        <w:rPr>
          <w:spacing w:val="-2"/>
        </w:rPr>
        <w:t xml:space="preserve"> </w:t>
      </w:r>
      <w:r>
        <w:t>of</w:t>
      </w:r>
      <w:r>
        <w:rPr>
          <w:spacing w:val="-3"/>
        </w:rPr>
        <w:t xml:space="preserve"> </w:t>
      </w:r>
      <w:r>
        <w:t>Queensland.</w:t>
      </w:r>
      <w:r>
        <w:rPr>
          <w:spacing w:val="-6"/>
        </w:rPr>
        <w:t xml:space="preserve"> </w:t>
      </w:r>
      <w:r>
        <w:t>The</w:t>
      </w:r>
      <w:r>
        <w:rPr>
          <w:spacing w:val="-3"/>
        </w:rPr>
        <w:t xml:space="preserve"> </w:t>
      </w:r>
      <w:r>
        <w:t>three</w:t>
      </w:r>
      <w:r>
        <w:rPr>
          <w:spacing w:val="-3"/>
        </w:rPr>
        <w:t xml:space="preserve"> </w:t>
      </w:r>
      <w:r>
        <w:t>bodies</w:t>
      </w:r>
      <w:r>
        <w:rPr>
          <w:spacing w:val="-2"/>
        </w:rPr>
        <w:t xml:space="preserve"> </w:t>
      </w:r>
      <w:r>
        <w:t>work</w:t>
      </w:r>
      <w:r>
        <w:rPr>
          <w:spacing w:val="-3"/>
        </w:rPr>
        <w:t xml:space="preserve"> </w:t>
      </w:r>
      <w:r>
        <w:t>together</w:t>
      </w:r>
      <w:r>
        <w:rPr>
          <w:spacing w:val="-3"/>
        </w:rPr>
        <w:t xml:space="preserve"> </w:t>
      </w:r>
      <w:r>
        <w:t>to</w:t>
      </w:r>
      <w:r>
        <w:rPr>
          <w:spacing w:val="-3"/>
        </w:rPr>
        <w:t xml:space="preserve"> </w:t>
      </w:r>
      <w:r>
        <w:t>administer</w:t>
      </w:r>
      <w:r>
        <w:rPr>
          <w:spacing w:val="-2"/>
        </w:rPr>
        <w:t xml:space="preserve"> </w:t>
      </w:r>
      <w:r>
        <w:t>the</w:t>
      </w:r>
      <w:r>
        <w:rPr>
          <w:spacing w:val="-14"/>
        </w:rPr>
        <w:t xml:space="preserve"> </w:t>
      </w:r>
      <w:r>
        <w:t xml:space="preserve">Act in the interests of the administration of justice with respect to </w:t>
      </w:r>
      <w:proofErr w:type="spellStart"/>
      <w:r>
        <w:t>practising</w:t>
      </w:r>
      <w:proofErr w:type="spellEnd"/>
      <w:r>
        <w:t xml:space="preserve"> certificates.</w:t>
      </w:r>
    </w:p>
    <w:p w14:paraId="464693ED" w14:textId="77777777" w:rsidR="00AC6F3C" w:rsidRDefault="00570E88">
      <w:pPr>
        <w:pStyle w:val="BodyText"/>
        <w:spacing w:before="173" w:line="249" w:lineRule="auto"/>
        <w:ind w:left="115"/>
      </w:pPr>
      <w:r>
        <w:t>While</w:t>
      </w:r>
      <w:r>
        <w:rPr>
          <w:spacing w:val="-3"/>
        </w:rPr>
        <w:t xml:space="preserve"> </w:t>
      </w:r>
      <w:r>
        <w:t>we</w:t>
      </w:r>
      <w:r>
        <w:rPr>
          <w:spacing w:val="-3"/>
        </w:rPr>
        <w:t xml:space="preserve"> </w:t>
      </w:r>
      <w:r>
        <w:t>have</w:t>
      </w:r>
      <w:r>
        <w:rPr>
          <w:spacing w:val="-3"/>
        </w:rPr>
        <w:t xml:space="preserve"> </w:t>
      </w:r>
      <w:r>
        <w:t>regulatory</w:t>
      </w:r>
      <w:r>
        <w:rPr>
          <w:spacing w:val="-3"/>
        </w:rPr>
        <w:t xml:space="preserve"> </w:t>
      </w:r>
      <w:r>
        <w:t>powers,</w:t>
      </w:r>
      <w:r>
        <w:rPr>
          <w:spacing w:val="-3"/>
        </w:rPr>
        <w:t xml:space="preserve"> </w:t>
      </w:r>
      <w:r>
        <w:t>in</w:t>
      </w:r>
      <w:r>
        <w:rPr>
          <w:spacing w:val="-3"/>
        </w:rPr>
        <w:t xml:space="preserve"> </w:t>
      </w:r>
      <w:r>
        <w:t>keeping</w:t>
      </w:r>
      <w:r>
        <w:rPr>
          <w:spacing w:val="-3"/>
        </w:rPr>
        <w:t xml:space="preserve"> </w:t>
      </w:r>
      <w:r>
        <w:t>with</w:t>
      </w:r>
      <w:r>
        <w:rPr>
          <w:spacing w:val="-3"/>
        </w:rPr>
        <w:t xml:space="preserve"> </w:t>
      </w:r>
      <w:r>
        <w:t>our</w:t>
      </w:r>
      <w:r>
        <w:rPr>
          <w:spacing w:val="-3"/>
        </w:rPr>
        <w:t xml:space="preserve"> </w:t>
      </w:r>
      <w:r>
        <w:t>vision,</w:t>
      </w:r>
      <w:r>
        <w:rPr>
          <w:spacing w:val="-3"/>
        </w:rPr>
        <w:t xml:space="preserve"> </w:t>
      </w:r>
      <w:r>
        <w:t>QLS</w:t>
      </w:r>
      <w:r>
        <w:rPr>
          <w:spacing w:val="-3"/>
        </w:rPr>
        <w:t xml:space="preserve"> </w:t>
      </w:r>
      <w:r>
        <w:t>is</w:t>
      </w:r>
      <w:r>
        <w:rPr>
          <w:spacing w:val="-3"/>
        </w:rPr>
        <w:t xml:space="preserve"> </w:t>
      </w:r>
      <w:r>
        <w:t>a</w:t>
      </w:r>
      <w:r>
        <w:rPr>
          <w:spacing w:val="-3"/>
        </w:rPr>
        <w:t xml:space="preserve"> </w:t>
      </w:r>
      <w:r>
        <w:t>versatile,</w:t>
      </w:r>
      <w:r>
        <w:rPr>
          <w:spacing w:val="-3"/>
        </w:rPr>
        <w:t xml:space="preserve"> </w:t>
      </w:r>
      <w:proofErr w:type="gramStart"/>
      <w:r>
        <w:t>responsive</w:t>
      </w:r>
      <w:proofErr w:type="gramEnd"/>
      <w:r>
        <w:rPr>
          <w:spacing w:val="-3"/>
        </w:rPr>
        <w:t xml:space="preserve"> </w:t>
      </w:r>
      <w:r>
        <w:t>and</w:t>
      </w:r>
      <w:r>
        <w:rPr>
          <w:spacing w:val="-3"/>
        </w:rPr>
        <w:t xml:space="preserve"> </w:t>
      </w:r>
      <w:r>
        <w:t>collegiate representative</w:t>
      </w:r>
      <w:r>
        <w:rPr>
          <w:spacing w:val="-3"/>
        </w:rPr>
        <w:t xml:space="preserve"> </w:t>
      </w:r>
      <w:r>
        <w:t>body.</w:t>
      </w:r>
      <w:r>
        <w:rPr>
          <w:spacing w:val="-3"/>
        </w:rPr>
        <w:t xml:space="preserve"> </w:t>
      </w:r>
      <w:r>
        <w:t>We</w:t>
      </w:r>
      <w:r>
        <w:rPr>
          <w:spacing w:val="-3"/>
        </w:rPr>
        <w:t xml:space="preserve"> </w:t>
      </w:r>
      <w:r>
        <w:t>support</w:t>
      </w:r>
      <w:r>
        <w:rPr>
          <w:spacing w:val="-3"/>
        </w:rPr>
        <w:t xml:space="preserve"> </w:t>
      </w:r>
      <w:r>
        <w:t>and</w:t>
      </w:r>
      <w:r>
        <w:rPr>
          <w:spacing w:val="-3"/>
        </w:rPr>
        <w:t xml:space="preserve"> </w:t>
      </w:r>
      <w:r>
        <w:t>advocate</w:t>
      </w:r>
      <w:r>
        <w:rPr>
          <w:spacing w:val="-3"/>
        </w:rPr>
        <w:t xml:space="preserve"> </w:t>
      </w:r>
      <w:r>
        <w:t>on</w:t>
      </w:r>
      <w:r>
        <w:rPr>
          <w:spacing w:val="-3"/>
        </w:rPr>
        <w:t xml:space="preserve"> </w:t>
      </w:r>
      <w:r>
        <w:t>behalf</w:t>
      </w:r>
      <w:r>
        <w:rPr>
          <w:spacing w:val="-3"/>
        </w:rPr>
        <w:t xml:space="preserve"> </w:t>
      </w:r>
      <w:r>
        <w:t>of</w:t>
      </w:r>
      <w:r>
        <w:rPr>
          <w:spacing w:val="-3"/>
        </w:rPr>
        <w:t xml:space="preserve"> </w:t>
      </w:r>
      <w:r>
        <w:t>the</w:t>
      </w:r>
      <w:r>
        <w:rPr>
          <w:spacing w:val="-3"/>
        </w:rPr>
        <w:t xml:space="preserve"> </w:t>
      </w:r>
      <w:r>
        <w:t>Queensland</w:t>
      </w:r>
      <w:r>
        <w:rPr>
          <w:spacing w:val="-3"/>
        </w:rPr>
        <w:t xml:space="preserve"> </w:t>
      </w:r>
      <w:r>
        <w:t>legal</w:t>
      </w:r>
      <w:r>
        <w:rPr>
          <w:spacing w:val="-3"/>
        </w:rPr>
        <w:t xml:space="preserve"> </w:t>
      </w:r>
      <w:r>
        <w:t>profession,</w:t>
      </w:r>
      <w:r>
        <w:rPr>
          <w:spacing w:val="-3"/>
        </w:rPr>
        <w:t xml:space="preserve"> </w:t>
      </w:r>
      <w:r>
        <w:t>and</w:t>
      </w:r>
      <w:r>
        <w:rPr>
          <w:spacing w:val="-3"/>
        </w:rPr>
        <w:t xml:space="preserve"> </w:t>
      </w:r>
      <w:r>
        <w:t xml:space="preserve">engage with government, the public and the legal sector on issues of importance to the profession and the wider community We represent the profession with courage, </w:t>
      </w:r>
      <w:proofErr w:type="gramStart"/>
      <w:r>
        <w:t>fidelity</w:t>
      </w:r>
      <w:proofErr w:type="gramEnd"/>
      <w:r>
        <w:t xml:space="preserve"> and service in an ethically sound, calm and professional manner and much of our work advances the public good. Our purpose is </w:t>
      </w:r>
      <w:r>
        <w:rPr>
          <w:i/>
        </w:rPr>
        <w:t xml:space="preserve">good law, good lawyers, public good </w:t>
      </w:r>
      <w:r>
        <w:t>and to:</w:t>
      </w:r>
    </w:p>
    <w:p w14:paraId="1CA5B282" w14:textId="77777777" w:rsidR="00AC6F3C" w:rsidRDefault="00570E88">
      <w:pPr>
        <w:pStyle w:val="ListParagraph"/>
        <w:numPr>
          <w:ilvl w:val="0"/>
          <w:numId w:val="84"/>
        </w:numPr>
        <w:tabs>
          <w:tab w:val="left" w:pos="455"/>
        </w:tabs>
        <w:spacing w:before="175"/>
        <w:ind w:hanging="340"/>
        <w:rPr>
          <w:sz w:val="20"/>
        </w:rPr>
      </w:pPr>
      <w:r>
        <w:rPr>
          <w:sz w:val="20"/>
        </w:rPr>
        <w:t>be</w:t>
      </w:r>
      <w:r>
        <w:rPr>
          <w:spacing w:val="-3"/>
          <w:sz w:val="20"/>
        </w:rPr>
        <w:t xml:space="preserve"> </w:t>
      </w:r>
      <w:r>
        <w:rPr>
          <w:sz w:val="20"/>
        </w:rPr>
        <w:t>the</w:t>
      </w:r>
      <w:r>
        <w:rPr>
          <w:spacing w:val="-3"/>
          <w:sz w:val="20"/>
        </w:rPr>
        <w:t xml:space="preserve"> </w:t>
      </w:r>
      <w:r>
        <w:rPr>
          <w:sz w:val="20"/>
        </w:rPr>
        <w:t>authoritative</w:t>
      </w:r>
      <w:r>
        <w:rPr>
          <w:spacing w:val="-3"/>
          <w:sz w:val="20"/>
        </w:rPr>
        <w:t xml:space="preserve"> </w:t>
      </w:r>
      <w:r>
        <w:rPr>
          <w:sz w:val="20"/>
        </w:rPr>
        <w:t>voice</w:t>
      </w:r>
      <w:r>
        <w:rPr>
          <w:spacing w:val="-3"/>
          <w:sz w:val="20"/>
        </w:rPr>
        <w:t xml:space="preserve"> </w:t>
      </w:r>
      <w:r>
        <w:rPr>
          <w:sz w:val="20"/>
        </w:rPr>
        <w:t>of</w:t>
      </w:r>
      <w:r>
        <w:rPr>
          <w:spacing w:val="-3"/>
          <w:sz w:val="20"/>
        </w:rPr>
        <w:t xml:space="preserve"> </w:t>
      </w:r>
      <w:r>
        <w:rPr>
          <w:sz w:val="20"/>
        </w:rPr>
        <w:t>solicitors</w:t>
      </w:r>
      <w:r>
        <w:rPr>
          <w:spacing w:val="-3"/>
          <w:sz w:val="20"/>
        </w:rPr>
        <w:t xml:space="preserve"> </w:t>
      </w:r>
      <w:r>
        <w:rPr>
          <w:sz w:val="20"/>
        </w:rPr>
        <w:t>in</w:t>
      </w:r>
      <w:r>
        <w:rPr>
          <w:spacing w:val="-2"/>
          <w:sz w:val="20"/>
        </w:rPr>
        <w:t xml:space="preserve"> </w:t>
      </w:r>
      <w:proofErr w:type="gramStart"/>
      <w:r>
        <w:rPr>
          <w:spacing w:val="-2"/>
          <w:sz w:val="20"/>
        </w:rPr>
        <w:t>Queensland</w:t>
      </w:r>
      <w:proofErr w:type="gramEnd"/>
    </w:p>
    <w:p w14:paraId="1BBDDCAD" w14:textId="77777777" w:rsidR="00AC6F3C" w:rsidRDefault="00570E88">
      <w:pPr>
        <w:pStyle w:val="ListParagraph"/>
        <w:numPr>
          <w:ilvl w:val="0"/>
          <w:numId w:val="84"/>
        </w:numPr>
        <w:tabs>
          <w:tab w:val="left" w:pos="455"/>
        </w:tabs>
        <w:ind w:hanging="340"/>
        <w:rPr>
          <w:sz w:val="20"/>
        </w:rPr>
      </w:pPr>
      <w:r>
        <w:rPr>
          <w:sz w:val="20"/>
        </w:rPr>
        <w:t>help</w:t>
      </w:r>
      <w:r>
        <w:rPr>
          <w:spacing w:val="-3"/>
          <w:sz w:val="20"/>
        </w:rPr>
        <w:t xml:space="preserve"> </w:t>
      </w:r>
      <w:r>
        <w:rPr>
          <w:sz w:val="20"/>
        </w:rPr>
        <w:t>our</w:t>
      </w:r>
      <w:r>
        <w:rPr>
          <w:spacing w:val="-1"/>
          <w:sz w:val="20"/>
        </w:rPr>
        <w:t xml:space="preserve"> </w:t>
      </w:r>
      <w:r>
        <w:rPr>
          <w:sz w:val="20"/>
        </w:rPr>
        <w:t>members</w:t>
      </w:r>
      <w:r>
        <w:rPr>
          <w:spacing w:val="-1"/>
          <w:sz w:val="20"/>
        </w:rPr>
        <w:t xml:space="preserve"> </w:t>
      </w:r>
      <w:proofErr w:type="gramStart"/>
      <w:r>
        <w:rPr>
          <w:spacing w:val="-2"/>
          <w:sz w:val="20"/>
        </w:rPr>
        <w:t>succeed</w:t>
      </w:r>
      <w:proofErr w:type="gramEnd"/>
    </w:p>
    <w:p w14:paraId="5DC79C35" w14:textId="77777777" w:rsidR="00AC6F3C" w:rsidRDefault="00570E88">
      <w:pPr>
        <w:pStyle w:val="ListParagraph"/>
        <w:numPr>
          <w:ilvl w:val="0"/>
          <w:numId w:val="84"/>
        </w:numPr>
        <w:tabs>
          <w:tab w:val="left" w:pos="455"/>
        </w:tabs>
        <w:ind w:hanging="340"/>
        <w:rPr>
          <w:sz w:val="20"/>
        </w:rPr>
      </w:pPr>
      <w:r>
        <w:rPr>
          <w:sz w:val="20"/>
        </w:rPr>
        <w:t>connect</w:t>
      </w:r>
      <w:r>
        <w:rPr>
          <w:spacing w:val="-6"/>
          <w:sz w:val="20"/>
        </w:rPr>
        <w:t xml:space="preserve"> </w:t>
      </w:r>
      <w:r>
        <w:rPr>
          <w:sz w:val="20"/>
        </w:rPr>
        <w:t>the</w:t>
      </w:r>
      <w:r>
        <w:rPr>
          <w:spacing w:val="-4"/>
          <w:sz w:val="20"/>
        </w:rPr>
        <w:t xml:space="preserve"> </w:t>
      </w:r>
      <w:r>
        <w:rPr>
          <w:sz w:val="20"/>
        </w:rPr>
        <w:t>profession</w:t>
      </w:r>
      <w:r>
        <w:rPr>
          <w:spacing w:val="-4"/>
          <w:sz w:val="20"/>
        </w:rPr>
        <w:t xml:space="preserve"> </w:t>
      </w:r>
      <w:r>
        <w:rPr>
          <w:sz w:val="20"/>
        </w:rPr>
        <w:t>with</w:t>
      </w:r>
      <w:r>
        <w:rPr>
          <w:spacing w:val="-3"/>
          <w:sz w:val="20"/>
        </w:rPr>
        <w:t xml:space="preserve"> </w:t>
      </w:r>
      <w:r>
        <w:rPr>
          <w:sz w:val="20"/>
        </w:rPr>
        <w:t>QLS</w:t>
      </w:r>
      <w:r>
        <w:rPr>
          <w:spacing w:val="-4"/>
          <w:sz w:val="20"/>
        </w:rPr>
        <w:t xml:space="preserve"> </w:t>
      </w:r>
      <w:r>
        <w:rPr>
          <w:sz w:val="20"/>
        </w:rPr>
        <w:t>and</w:t>
      </w:r>
      <w:r>
        <w:rPr>
          <w:spacing w:val="-4"/>
          <w:sz w:val="20"/>
        </w:rPr>
        <w:t xml:space="preserve"> </w:t>
      </w:r>
      <w:r>
        <w:rPr>
          <w:sz w:val="20"/>
        </w:rPr>
        <w:t>each</w:t>
      </w:r>
      <w:r>
        <w:rPr>
          <w:spacing w:val="-4"/>
          <w:sz w:val="20"/>
        </w:rPr>
        <w:t xml:space="preserve"> </w:t>
      </w:r>
      <w:r>
        <w:rPr>
          <w:sz w:val="20"/>
        </w:rPr>
        <w:t>other,</w:t>
      </w:r>
      <w:r>
        <w:rPr>
          <w:spacing w:val="-3"/>
          <w:sz w:val="20"/>
        </w:rPr>
        <w:t xml:space="preserve"> </w:t>
      </w:r>
      <w:r>
        <w:rPr>
          <w:spacing w:val="-5"/>
          <w:sz w:val="20"/>
        </w:rPr>
        <w:t>and</w:t>
      </w:r>
    </w:p>
    <w:p w14:paraId="4DC08268" w14:textId="77777777" w:rsidR="00AC6F3C" w:rsidRDefault="00570E88">
      <w:pPr>
        <w:pStyle w:val="ListParagraph"/>
        <w:numPr>
          <w:ilvl w:val="0"/>
          <w:numId w:val="84"/>
        </w:numPr>
        <w:tabs>
          <w:tab w:val="left" w:pos="455"/>
        </w:tabs>
        <w:ind w:hanging="340"/>
        <w:rPr>
          <w:sz w:val="20"/>
        </w:rPr>
      </w:pPr>
      <w:r>
        <w:rPr>
          <w:sz w:val="20"/>
        </w:rPr>
        <w:t>respect,</w:t>
      </w:r>
      <w:r>
        <w:rPr>
          <w:spacing w:val="-3"/>
          <w:sz w:val="20"/>
        </w:rPr>
        <w:t xml:space="preserve"> </w:t>
      </w:r>
      <w:r>
        <w:rPr>
          <w:sz w:val="20"/>
        </w:rPr>
        <w:t>protect</w:t>
      </w:r>
      <w:r>
        <w:rPr>
          <w:spacing w:val="-3"/>
          <w:sz w:val="20"/>
        </w:rPr>
        <w:t xml:space="preserve"> </w:t>
      </w:r>
      <w:r>
        <w:rPr>
          <w:sz w:val="20"/>
        </w:rPr>
        <w:t>and</w:t>
      </w:r>
      <w:r>
        <w:rPr>
          <w:spacing w:val="-3"/>
          <w:sz w:val="20"/>
        </w:rPr>
        <w:t xml:space="preserve"> </w:t>
      </w:r>
      <w:r>
        <w:rPr>
          <w:sz w:val="20"/>
        </w:rPr>
        <w:t>promote</w:t>
      </w:r>
      <w:r>
        <w:rPr>
          <w:spacing w:val="-3"/>
          <w:sz w:val="20"/>
        </w:rPr>
        <w:t xml:space="preserve"> </w:t>
      </w:r>
      <w:r>
        <w:rPr>
          <w:sz w:val="20"/>
        </w:rPr>
        <w:t>human</w:t>
      </w:r>
      <w:r>
        <w:rPr>
          <w:spacing w:val="-3"/>
          <w:sz w:val="20"/>
        </w:rPr>
        <w:t xml:space="preserve"> </w:t>
      </w:r>
      <w:r>
        <w:rPr>
          <w:sz w:val="20"/>
        </w:rPr>
        <w:t>rights</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decision-making</w:t>
      </w:r>
      <w:r>
        <w:rPr>
          <w:spacing w:val="-3"/>
          <w:sz w:val="20"/>
        </w:rPr>
        <w:t xml:space="preserve"> </w:t>
      </w:r>
      <w:r>
        <w:rPr>
          <w:spacing w:val="-2"/>
          <w:sz w:val="20"/>
        </w:rPr>
        <w:t>actions.</w:t>
      </w:r>
    </w:p>
    <w:p w14:paraId="6D57B1DC" w14:textId="77777777" w:rsidR="00AC6F3C" w:rsidRDefault="00570E88">
      <w:pPr>
        <w:pStyle w:val="BodyText"/>
        <w:spacing w:before="180"/>
        <w:ind w:left="115"/>
      </w:pPr>
      <w:r>
        <w:t>QLS</w:t>
      </w:r>
      <w:r>
        <w:rPr>
          <w:spacing w:val="-2"/>
        </w:rPr>
        <w:t xml:space="preserve"> </w:t>
      </w:r>
      <w:r>
        <w:t>empowers</w:t>
      </w:r>
      <w:r>
        <w:rPr>
          <w:spacing w:val="-1"/>
        </w:rPr>
        <w:t xml:space="preserve"> </w:t>
      </w:r>
      <w:r>
        <w:t>good</w:t>
      </w:r>
      <w:r>
        <w:rPr>
          <w:spacing w:val="-2"/>
        </w:rPr>
        <w:t xml:space="preserve"> </w:t>
      </w:r>
      <w:r>
        <w:t>lawyers,</w:t>
      </w:r>
      <w:r>
        <w:rPr>
          <w:spacing w:val="-1"/>
        </w:rPr>
        <w:t xml:space="preserve"> </w:t>
      </w:r>
      <w:r>
        <w:t>advocates</w:t>
      </w:r>
      <w:r>
        <w:rPr>
          <w:spacing w:val="-2"/>
        </w:rPr>
        <w:t xml:space="preserve"> </w:t>
      </w:r>
      <w:r>
        <w:t>for</w:t>
      </w:r>
      <w:r>
        <w:rPr>
          <w:spacing w:val="-1"/>
        </w:rPr>
        <w:t xml:space="preserve"> </w:t>
      </w:r>
      <w:r>
        <w:t>good</w:t>
      </w:r>
      <w:r>
        <w:rPr>
          <w:spacing w:val="-2"/>
        </w:rPr>
        <w:t xml:space="preserve"> </w:t>
      </w:r>
      <w:proofErr w:type="gramStart"/>
      <w:r>
        <w:t>law</w:t>
      </w:r>
      <w:proofErr w:type="gramEnd"/>
      <w:r>
        <w:rPr>
          <w:spacing w:val="-1"/>
        </w:rPr>
        <w:t xml:space="preserve"> </w:t>
      </w:r>
      <w:r>
        <w:t>and</w:t>
      </w:r>
      <w:r>
        <w:rPr>
          <w:spacing w:val="-1"/>
        </w:rPr>
        <w:t xml:space="preserve"> </w:t>
      </w:r>
      <w:r>
        <w:t>serves</w:t>
      </w:r>
      <w:r>
        <w:rPr>
          <w:spacing w:val="-2"/>
        </w:rPr>
        <w:t xml:space="preserve"> </w:t>
      </w:r>
      <w:r>
        <w:t>the</w:t>
      </w:r>
      <w:r>
        <w:rPr>
          <w:spacing w:val="-1"/>
        </w:rPr>
        <w:t xml:space="preserve"> </w:t>
      </w:r>
      <w:r>
        <w:t>public</w:t>
      </w:r>
      <w:r>
        <w:rPr>
          <w:spacing w:val="-2"/>
        </w:rPr>
        <w:t xml:space="preserve"> </w:t>
      </w:r>
      <w:r>
        <w:t>good</w:t>
      </w:r>
      <w:r>
        <w:rPr>
          <w:spacing w:val="-1"/>
        </w:rPr>
        <w:t xml:space="preserve"> </w:t>
      </w:r>
      <w:r>
        <w:t>by</w:t>
      </w:r>
      <w:r>
        <w:rPr>
          <w:spacing w:val="-2"/>
        </w:rPr>
        <w:t xml:space="preserve"> </w:t>
      </w:r>
      <w:r>
        <w:t>providing</w:t>
      </w:r>
      <w:r>
        <w:rPr>
          <w:spacing w:val="-1"/>
        </w:rPr>
        <w:t xml:space="preserve"> </w:t>
      </w:r>
      <w:r>
        <w:t>a</w:t>
      </w:r>
      <w:r>
        <w:rPr>
          <w:spacing w:val="-1"/>
        </w:rPr>
        <w:t xml:space="preserve"> </w:t>
      </w:r>
      <w:r>
        <w:rPr>
          <w:spacing w:val="-2"/>
        </w:rPr>
        <w:t>clear</w:t>
      </w:r>
    </w:p>
    <w:p w14:paraId="584F3C35" w14:textId="77777777" w:rsidR="00AC6F3C" w:rsidRDefault="00570E88">
      <w:pPr>
        <w:pStyle w:val="BodyText"/>
        <w:spacing w:before="10"/>
        <w:ind w:left="115"/>
      </w:pPr>
      <w:r>
        <w:t>and</w:t>
      </w:r>
      <w:r>
        <w:rPr>
          <w:spacing w:val="-4"/>
        </w:rPr>
        <w:t xml:space="preserve"> </w:t>
      </w:r>
      <w:r>
        <w:t>reasoned</w:t>
      </w:r>
      <w:r>
        <w:rPr>
          <w:spacing w:val="-3"/>
        </w:rPr>
        <w:t xml:space="preserve"> </w:t>
      </w:r>
      <w:r>
        <w:t>voice</w:t>
      </w:r>
      <w:r>
        <w:rPr>
          <w:spacing w:val="-3"/>
        </w:rPr>
        <w:t xml:space="preserve"> </w:t>
      </w:r>
      <w:r>
        <w:t>for</w:t>
      </w:r>
      <w:r>
        <w:rPr>
          <w:spacing w:val="-3"/>
        </w:rPr>
        <w:t xml:space="preserve"> </w:t>
      </w:r>
      <w:r>
        <w:t>solicitors</w:t>
      </w:r>
      <w:r>
        <w:rPr>
          <w:spacing w:val="-3"/>
        </w:rPr>
        <w:t xml:space="preserve"> </w:t>
      </w:r>
      <w:r>
        <w:t>and</w:t>
      </w:r>
      <w:r>
        <w:rPr>
          <w:spacing w:val="-3"/>
        </w:rPr>
        <w:t xml:space="preserve"> </w:t>
      </w:r>
      <w:r>
        <w:t>the</w:t>
      </w:r>
      <w:r>
        <w:rPr>
          <w:spacing w:val="-3"/>
        </w:rPr>
        <w:t xml:space="preserve"> </w:t>
      </w:r>
      <w:r>
        <w:t>legal</w:t>
      </w:r>
      <w:r>
        <w:rPr>
          <w:spacing w:val="-3"/>
        </w:rPr>
        <w:t xml:space="preserve"> </w:t>
      </w:r>
      <w:r>
        <w:t>profession</w:t>
      </w:r>
      <w:r>
        <w:rPr>
          <w:spacing w:val="-3"/>
        </w:rPr>
        <w:t xml:space="preserve"> </w:t>
      </w:r>
      <w:r>
        <w:t>in</w:t>
      </w:r>
      <w:r>
        <w:rPr>
          <w:spacing w:val="-3"/>
        </w:rPr>
        <w:t xml:space="preserve"> </w:t>
      </w:r>
      <w:r>
        <w:rPr>
          <w:spacing w:val="-2"/>
        </w:rPr>
        <w:t>Queensland.</w:t>
      </w:r>
    </w:p>
    <w:p w14:paraId="72C59DAF" w14:textId="77777777" w:rsidR="00AC6F3C" w:rsidRDefault="00570E88">
      <w:pPr>
        <w:pStyle w:val="BodyText"/>
        <w:spacing w:before="180" w:line="249" w:lineRule="auto"/>
        <w:ind w:left="115"/>
      </w:pPr>
      <w:r>
        <w:t>Our purpose aligns with the Queensland Government’s objectives for the community by supporting members</w:t>
      </w:r>
      <w:r>
        <w:rPr>
          <w:spacing w:val="-2"/>
        </w:rPr>
        <w:t xml:space="preserve"> </w:t>
      </w:r>
      <w:r>
        <w:t>and</w:t>
      </w:r>
      <w:r>
        <w:rPr>
          <w:spacing w:val="-2"/>
        </w:rPr>
        <w:t xml:space="preserve"> </w:t>
      </w:r>
      <w:r>
        <w:t>investing</w:t>
      </w:r>
      <w:r>
        <w:rPr>
          <w:spacing w:val="-2"/>
        </w:rPr>
        <w:t xml:space="preserve"> </w:t>
      </w:r>
      <w:r>
        <w:t>in</w:t>
      </w:r>
      <w:r>
        <w:rPr>
          <w:spacing w:val="-2"/>
        </w:rPr>
        <w:t xml:space="preserve"> </w:t>
      </w:r>
      <w:r>
        <w:t>skills</w:t>
      </w:r>
      <w:r>
        <w:rPr>
          <w:spacing w:val="-2"/>
        </w:rPr>
        <w:t xml:space="preserve"> </w:t>
      </w:r>
      <w:r>
        <w:t>to</w:t>
      </w:r>
      <w:r>
        <w:rPr>
          <w:spacing w:val="-2"/>
        </w:rPr>
        <w:t xml:space="preserve"> </w:t>
      </w:r>
      <w:r>
        <w:t>support</w:t>
      </w:r>
      <w:r>
        <w:rPr>
          <w:spacing w:val="-2"/>
        </w:rPr>
        <w:t xml:space="preserve"> </w:t>
      </w:r>
      <w:r>
        <w:t>members</w:t>
      </w:r>
      <w:r>
        <w:rPr>
          <w:spacing w:val="-2"/>
        </w:rPr>
        <w:t xml:space="preserve"> </w:t>
      </w:r>
      <w:r>
        <w:t>to</w:t>
      </w:r>
      <w:r>
        <w:rPr>
          <w:spacing w:val="-2"/>
        </w:rPr>
        <w:t xml:space="preserve"> </w:t>
      </w:r>
      <w:r>
        <w:t>find</w:t>
      </w:r>
      <w:r>
        <w:rPr>
          <w:spacing w:val="-2"/>
        </w:rPr>
        <w:t xml:space="preserve"> </w:t>
      </w:r>
      <w:r>
        <w:t>meaningful</w:t>
      </w:r>
      <w:r>
        <w:rPr>
          <w:spacing w:val="-2"/>
        </w:rPr>
        <w:t xml:space="preserve"> </w:t>
      </w:r>
      <w:r>
        <w:t>jobs</w:t>
      </w:r>
      <w:r>
        <w:rPr>
          <w:spacing w:val="-2"/>
        </w:rPr>
        <w:t xml:space="preserve"> </w:t>
      </w:r>
      <w:r>
        <w:t>and</w:t>
      </w:r>
      <w:r>
        <w:rPr>
          <w:spacing w:val="-2"/>
        </w:rPr>
        <w:t xml:space="preserve"> </w:t>
      </w:r>
      <w:r>
        <w:t>set</w:t>
      </w:r>
      <w:r>
        <w:rPr>
          <w:spacing w:val="-2"/>
        </w:rPr>
        <w:t xml:space="preserve"> </w:t>
      </w:r>
      <w:r>
        <w:t>up</w:t>
      </w:r>
      <w:r>
        <w:rPr>
          <w:spacing w:val="-2"/>
        </w:rPr>
        <w:t xml:space="preserve"> </w:t>
      </w:r>
      <w:r>
        <w:t>pathways</w:t>
      </w:r>
      <w:r>
        <w:rPr>
          <w:spacing w:val="-2"/>
        </w:rPr>
        <w:t xml:space="preserve"> </w:t>
      </w:r>
      <w:r>
        <w:t>for</w:t>
      </w:r>
      <w:r>
        <w:rPr>
          <w:spacing w:val="-2"/>
        </w:rPr>
        <w:t xml:space="preserve"> </w:t>
      </w:r>
      <w:r>
        <w:t xml:space="preserve">the </w:t>
      </w:r>
      <w:r>
        <w:rPr>
          <w:spacing w:val="-2"/>
        </w:rPr>
        <w:t>future.</w:t>
      </w:r>
    </w:p>
    <w:p w14:paraId="223F3A03" w14:textId="77777777" w:rsidR="00AC6F3C" w:rsidRDefault="00570E88">
      <w:pPr>
        <w:pStyle w:val="BodyText"/>
        <w:spacing w:before="173"/>
        <w:ind w:left="115"/>
      </w:pPr>
      <w:r>
        <w:t>Across</w:t>
      </w:r>
      <w:r>
        <w:rPr>
          <w:spacing w:val="-2"/>
        </w:rPr>
        <w:t xml:space="preserve"> </w:t>
      </w:r>
      <w:proofErr w:type="gramStart"/>
      <w:r>
        <w:t>many</w:t>
      </w:r>
      <w:proofErr w:type="gramEnd"/>
      <w:r>
        <w:rPr>
          <w:spacing w:val="-2"/>
        </w:rPr>
        <w:t xml:space="preserve"> </w:t>
      </w:r>
      <w:r>
        <w:t>platforms</w:t>
      </w:r>
      <w:r>
        <w:rPr>
          <w:spacing w:val="-1"/>
        </w:rPr>
        <w:t xml:space="preserve"> </w:t>
      </w:r>
      <w:r>
        <w:t>and</w:t>
      </w:r>
      <w:r>
        <w:rPr>
          <w:spacing w:val="-2"/>
        </w:rPr>
        <w:t xml:space="preserve"> </w:t>
      </w:r>
      <w:r>
        <w:t>in</w:t>
      </w:r>
      <w:r>
        <w:rPr>
          <w:spacing w:val="-1"/>
        </w:rPr>
        <w:t xml:space="preserve"> </w:t>
      </w:r>
      <w:r>
        <w:t>conjunction</w:t>
      </w:r>
      <w:r>
        <w:rPr>
          <w:spacing w:val="-2"/>
        </w:rPr>
        <w:t xml:space="preserve"> </w:t>
      </w:r>
      <w:r>
        <w:t>with</w:t>
      </w:r>
      <w:r>
        <w:rPr>
          <w:spacing w:val="-2"/>
        </w:rPr>
        <w:t xml:space="preserve"> </w:t>
      </w:r>
      <w:r>
        <w:t>our</w:t>
      </w:r>
      <w:r>
        <w:rPr>
          <w:spacing w:val="-1"/>
        </w:rPr>
        <w:t xml:space="preserve"> </w:t>
      </w:r>
      <w:r>
        <w:t>members,</w:t>
      </w:r>
      <w:r>
        <w:rPr>
          <w:spacing w:val="-2"/>
        </w:rPr>
        <w:t xml:space="preserve"> </w:t>
      </w:r>
      <w:r>
        <w:t>QLS</w:t>
      </w:r>
      <w:r>
        <w:rPr>
          <w:spacing w:val="-1"/>
        </w:rPr>
        <w:t xml:space="preserve"> </w:t>
      </w:r>
      <w:r>
        <w:rPr>
          <w:spacing w:val="-2"/>
        </w:rPr>
        <w:t>provides:</w:t>
      </w:r>
    </w:p>
    <w:p w14:paraId="6EA14D3E" w14:textId="77777777" w:rsidR="00AC6F3C" w:rsidRDefault="00570E88">
      <w:pPr>
        <w:pStyle w:val="ListParagraph"/>
        <w:numPr>
          <w:ilvl w:val="0"/>
          <w:numId w:val="84"/>
        </w:numPr>
        <w:tabs>
          <w:tab w:val="left" w:pos="455"/>
        </w:tabs>
        <w:spacing w:line="249" w:lineRule="auto"/>
        <w:ind w:right="231"/>
        <w:rPr>
          <w:sz w:val="20"/>
        </w:rPr>
      </w:pPr>
      <w:r>
        <w:rPr>
          <w:sz w:val="20"/>
        </w:rPr>
        <w:t>regulation</w:t>
      </w:r>
      <w:r>
        <w:rPr>
          <w:spacing w:val="-3"/>
          <w:sz w:val="20"/>
        </w:rPr>
        <w:t xml:space="preserve"> </w:t>
      </w:r>
      <w:r>
        <w:rPr>
          <w:sz w:val="20"/>
        </w:rPr>
        <w:t>of</w:t>
      </w:r>
      <w:r>
        <w:rPr>
          <w:spacing w:val="-3"/>
          <w:sz w:val="20"/>
        </w:rPr>
        <w:t xml:space="preserve"> </w:t>
      </w:r>
      <w:r>
        <w:rPr>
          <w:sz w:val="20"/>
        </w:rPr>
        <w:t>trust</w:t>
      </w:r>
      <w:r>
        <w:rPr>
          <w:spacing w:val="-3"/>
          <w:sz w:val="20"/>
        </w:rPr>
        <w:t xml:space="preserve"> </w:t>
      </w:r>
      <w:r>
        <w:rPr>
          <w:sz w:val="20"/>
        </w:rPr>
        <w:t>account</w:t>
      </w:r>
      <w:r>
        <w:rPr>
          <w:spacing w:val="-3"/>
          <w:sz w:val="20"/>
        </w:rPr>
        <w:t xml:space="preserve"> </w:t>
      </w:r>
      <w:r>
        <w:rPr>
          <w:sz w:val="20"/>
        </w:rPr>
        <w:t>provisions</w:t>
      </w:r>
      <w:r>
        <w:rPr>
          <w:spacing w:val="-3"/>
          <w:sz w:val="20"/>
        </w:rPr>
        <w:t xml:space="preserve"> </w:t>
      </w:r>
      <w:r>
        <w:rPr>
          <w:sz w:val="20"/>
        </w:rPr>
        <w:t>of</w:t>
      </w:r>
      <w:r>
        <w:rPr>
          <w:spacing w:val="-3"/>
          <w:sz w:val="20"/>
        </w:rPr>
        <w:t xml:space="preserve"> </w:t>
      </w:r>
      <w:r>
        <w:rPr>
          <w:sz w:val="20"/>
        </w:rPr>
        <w:t>the</w:t>
      </w:r>
      <w:r>
        <w:rPr>
          <w:spacing w:val="-4"/>
          <w:sz w:val="20"/>
        </w:rPr>
        <w:t xml:space="preserve"> </w:t>
      </w:r>
      <w:r>
        <w:rPr>
          <w:i/>
          <w:sz w:val="20"/>
        </w:rPr>
        <w:t>Legal</w:t>
      </w:r>
      <w:r>
        <w:rPr>
          <w:i/>
          <w:spacing w:val="-3"/>
          <w:sz w:val="20"/>
        </w:rPr>
        <w:t xml:space="preserve"> </w:t>
      </w:r>
      <w:r>
        <w:rPr>
          <w:i/>
          <w:sz w:val="20"/>
        </w:rPr>
        <w:t>Profession</w:t>
      </w:r>
      <w:r>
        <w:rPr>
          <w:i/>
          <w:spacing w:val="-10"/>
          <w:sz w:val="20"/>
        </w:rPr>
        <w:t xml:space="preserve"> </w:t>
      </w:r>
      <w:r>
        <w:rPr>
          <w:i/>
          <w:sz w:val="20"/>
        </w:rPr>
        <w:t>Act</w:t>
      </w:r>
      <w:r>
        <w:rPr>
          <w:i/>
          <w:spacing w:val="-3"/>
          <w:sz w:val="20"/>
        </w:rPr>
        <w:t xml:space="preserve"> </w:t>
      </w:r>
      <w:r>
        <w:rPr>
          <w:i/>
          <w:sz w:val="20"/>
        </w:rPr>
        <w:t>2007</w:t>
      </w:r>
      <w:r>
        <w:rPr>
          <w:sz w:val="20"/>
        </w:rPr>
        <w:t>,</w:t>
      </w:r>
      <w:r>
        <w:rPr>
          <w:spacing w:val="-3"/>
          <w:sz w:val="20"/>
        </w:rPr>
        <w:t xml:space="preserve"> </w:t>
      </w:r>
      <w:r>
        <w:rPr>
          <w:sz w:val="20"/>
        </w:rPr>
        <w:t>external</w:t>
      </w:r>
      <w:r>
        <w:rPr>
          <w:spacing w:val="-3"/>
          <w:sz w:val="20"/>
        </w:rPr>
        <w:t xml:space="preserve"> </w:t>
      </w:r>
      <w:r>
        <w:rPr>
          <w:sz w:val="20"/>
        </w:rPr>
        <w:t>administration</w:t>
      </w:r>
      <w:r>
        <w:rPr>
          <w:spacing w:val="-3"/>
          <w:sz w:val="20"/>
        </w:rPr>
        <w:t xml:space="preserve"> </w:t>
      </w:r>
      <w:r>
        <w:rPr>
          <w:sz w:val="20"/>
        </w:rPr>
        <w:t>of</w:t>
      </w:r>
      <w:r>
        <w:rPr>
          <w:spacing w:val="-3"/>
          <w:sz w:val="20"/>
        </w:rPr>
        <w:t xml:space="preserve"> </w:t>
      </w:r>
      <w:r>
        <w:rPr>
          <w:sz w:val="20"/>
        </w:rPr>
        <w:t>law practices and management of the Legal Practitioners’ Fidelity Guarantee Fund</w:t>
      </w:r>
    </w:p>
    <w:p w14:paraId="3D1D40A7" w14:textId="77777777" w:rsidR="00AC6F3C" w:rsidRDefault="00570E88">
      <w:pPr>
        <w:pStyle w:val="ListParagraph"/>
        <w:numPr>
          <w:ilvl w:val="0"/>
          <w:numId w:val="84"/>
        </w:numPr>
        <w:tabs>
          <w:tab w:val="left" w:pos="455"/>
        </w:tabs>
        <w:spacing w:before="171"/>
        <w:ind w:hanging="340"/>
        <w:rPr>
          <w:sz w:val="20"/>
        </w:rPr>
      </w:pPr>
      <w:r>
        <w:rPr>
          <w:sz w:val="20"/>
        </w:rPr>
        <w:t>records</w:t>
      </w:r>
      <w:r>
        <w:rPr>
          <w:spacing w:val="-5"/>
          <w:sz w:val="20"/>
        </w:rPr>
        <w:t xml:space="preserve"> </w:t>
      </w:r>
      <w:r>
        <w:rPr>
          <w:sz w:val="20"/>
        </w:rPr>
        <w:t>administration</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issuing</w:t>
      </w:r>
      <w:r>
        <w:rPr>
          <w:spacing w:val="-4"/>
          <w:sz w:val="20"/>
        </w:rPr>
        <w:t xml:space="preserve"> </w:t>
      </w:r>
      <w:r>
        <w:rPr>
          <w:sz w:val="20"/>
        </w:rPr>
        <w:t>of</w:t>
      </w:r>
      <w:r>
        <w:rPr>
          <w:spacing w:val="-4"/>
          <w:sz w:val="20"/>
        </w:rPr>
        <w:t xml:space="preserve"> </w:t>
      </w:r>
      <w:proofErr w:type="spellStart"/>
      <w:r>
        <w:rPr>
          <w:sz w:val="20"/>
        </w:rPr>
        <w:t>practising</w:t>
      </w:r>
      <w:proofErr w:type="spellEnd"/>
      <w:r>
        <w:rPr>
          <w:spacing w:val="-4"/>
          <w:sz w:val="20"/>
        </w:rPr>
        <w:t xml:space="preserve"> </w:t>
      </w:r>
      <w:r>
        <w:rPr>
          <w:spacing w:val="-2"/>
          <w:sz w:val="20"/>
        </w:rPr>
        <w:t>certificates</w:t>
      </w:r>
    </w:p>
    <w:p w14:paraId="26462DB2" w14:textId="77777777" w:rsidR="00AC6F3C" w:rsidRDefault="00570E88">
      <w:pPr>
        <w:pStyle w:val="ListParagraph"/>
        <w:numPr>
          <w:ilvl w:val="0"/>
          <w:numId w:val="84"/>
        </w:numPr>
        <w:tabs>
          <w:tab w:val="left" w:pos="455"/>
        </w:tabs>
        <w:ind w:hanging="340"/>
        <w:rPr>
          <w:sz w:val="20"/>
        </w:rPr>
      </w:pPr>
      <w:r>
        <w:rPr>
          <w:sz w:val="20"/>
        </w:rPr>
        <w:t>professional</w:t>
      </w:r>
      <w:r>
        <w:rPr>
          <w:spacing w:val="-7"/>
          <w:sz w:val="20"/>
        </w:rPr>
        <w:t xml:space="preserve"> </w:t>
      </w:r>
      <w:r>
        <w:rPr>
          <w:sz w:val="20"/>
        </w:rPr>
        <w:t>indemnity</w:t>
      </w:r>
      <w:r>
        <w:rPr>
          <w:spacing w:val="-4"/>
          <w:sz w:val="20"/>
        </w:rPr>
        <w:t xml:space="preserve"> </w:t>
      </w:r>
      <w:r>
        <w:rPr>
          <w:sz w:val="20"/>
        </w:rPr>
        <w:t>insurance</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members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Queensland</w:t>
      </w:r>
      <w:r>
        <w:rPr>
          <w:spacing w:val="-4"/>
          <w:sz w:val="20"/>
        </w:rPr>
        <w:t xml:space="preserve"> </w:t>
      </w:r>
      <w:r>
        <w:rPr>
          <w:sz w:val="20"/>
        </w:rPr>
        <w:t>legal</w:t>
      </w:r>
      <w:r>
        <w:rPr>
          <w:spacing w:val="-5"/>
          <w:sz w:val="20"/>
        </w:rPr>
        <w:t xml:space="preserve"> </w:t>
      </w:r>
      <w:r>
        <w:rPr>
          <w:sz w:val="20"/>
        </w:rPr>
        <w:t>profession</w:t>
      </w:r>
      <w:r>
        <w:rPr>
          <w:spacing w:val="-4"/>
          <w:sz w:val="20"/>
        </w:rPr>
        <w:t xml:space="preserve"> </w:t>
      </w:r>
      <w:r>
        <w:rPr>
          <w:sz w:val="20"/>
        </w:rPr>
        <w:t>through</w:t>
      </w:r>
      <w:r>
        <w:rPr>
          <w:spacing w:val="-4"/>
          <w:sz w:val="20"/>
        </w:rPr>
        <w:t xml:space="preserve"> </w:t>
      </w:r>
      <w:r>
        <w:rPr>
          <w:spacing w:val="-2"/>
          <w:sz w:val="20"/>
        </w:rPr>
        <w:t>Lexon</w:t>
      </w:r>
    </w:p>
    <w:p w14:paraId="6D53D622" w14:textId="77777777" w:rsidR="00AC6F3C" w:rsidRDefault="00570E88">
      <w:pPr>
        <w:pStyle w:val="BodyText"/>
        <w:spacing w:before="10"/>
        <w:ind w:left="455"/>
      </w:pPr>
      <w:r>
        <w:t>Insurance</w:t>
      </w:r>
      <w:r>
        <w:rPr>
          <w:spacing w:val="-5"/>
        </w:rPr>
        <w:t xml:space="preserve"> </w:t>
      </w:r>
      <w:r>
        <w:t>Pte</w:t>
      </w:r>
      <w:r>
        <w:rPr>
          <w:spacing w:val="-5"/>
        </w:rPr>
        <w:t xml:space="preserve"> </w:t>
      </w:r>
      <w:r>
        <w:rPr>
          <w:spacing w:val="-2"/>
        </w:rPr>
        <w:t>Limited</w:t>
      </w:r>
    </w:p>
    <w:p w14:paraId="444AD9B3" w14:textId="77777777" w:rsidR="00AC6F3C" w:rsidRDefault="00570E88">
      <w:pPr>
        <w:pStyle w:val="ListParagraph"/>
        <w:numPr>
          <w:ilvl w:val="0"/>
          <w:numId w:val="84"/>
        </w:numPr>
        <w:tabs>
          <w:tab w:val="left" w:pos="455"/>
        </w:tabs>
        <w:spacing w:line="249" w:lineRule="auto"/>
        <w:ind w:right="377"/>
        <w:rPr>
          <w:sz w:val="20"/>
        </w:rPr>
      </w:pPr>
      <w:r>
        <w:rPr>
          <w:sz w:val="20"/>
        </w:rPr>
        <w:t>Advancing</w:t>
      </w:r>
      <w:r>
        <w:rPr>
          <w:spacing w:val="-3"/>
          <w:sz w:val="20"/>
        </w:rPr>
        <w:t xml:space="preserve"> </w:t>
      </w:r>
      <w:r>
        <w:rPr>
          <w:sz w:val="20"/>
        </w:rPr>
        <w:t>the</w:t>
      </w:r>
      <w:r>
        <w:rPr>
          <w:spacing w:val="-3"/>
          <w:sz w:val="20"/>
        </w:rPr>
        <w:t xml:space="preserve"> </w:t>
      </w:r>
      <w:r>
        <w:rPr>
          <w:sz w:val="20"/>
        </w:rPr>
        <w:t>public</w:t>
      </w:r>
      <w:r>
        <w:rPr>
          <w:spacing w:val="-3"/>
          <w:sz w:val="20"/>
        </w:rPr>
        <w:t xml:space="preserve"> </w:t>
      </w:r>
      <w:r>
        <w:rPr>
          <w:sz w:val="20"/>
        </w:rPr>
        <w:t>good,</w:t>
      </w:r>
      <w:r>
        <w:rPr>
          <w:spacing w:val="-3"/>
          <w:sz w:val="20"/>
        </w:rPr>
        <w:t xml:space="preserve"> </w:t>
      </w:r>
      <w:r>
        <w:rPr>
          <w:sz w:val="20"/>
        </w:rPr>
        <w:t>support</w:t>
      </w:r>
      <w:r>
        <w:rPr>
          <w:spacing w:val="-3"/>
          <w:sz w:val="20"/>
        </w:rPr>
        <w:t xml:space="preserve"> </w:t>
      </w:r>
      <w:r>
        <w:rPr>
          <w:sz w:val="20"/>
        </w:rPr>
        <w:t>and</w:t>
      </w:r>
      <w:r>
        <w:rPr>
          <w:spacing w:val="-3"/>
          <w:sz w:val="20"/>
        </w:rPr>
        <w:t xml:space="preserve"> </w:t>
      </w:r>
      <w:r>
        <w:rPr>
          <w:sz w:val="20"/>
        </w:rPr>
        <w:t>advancement</w:t>
      </w:r>
      <w:r>
        <w:rPr>
          <w:spacing w:val="-3"/>
          <w:sz w:val="20"/>
        </w:rPr>
        <w:t xml:space="preserve"> </w:t>
      </w:r>
      <w:r>
        <w:rPr>
          <w:sz w:val="20"/>
        </w:rPr>
        <w:t>of</w:t>
      </w:r>
      <w:r>
        <w:rPr>
          <w:spacing w:val="-3"/>
          <w:sz w:val="20"/>
        </w:rPr>
        <w:t xml:space="preserve"> </w:t>
      </w:r>
      <w:r>
        <w:rPr>
          <w:sz w:val="20"/>
        </w:rPr>
        <w:t>First</w:t>
      </w:r>
      <w:r>
        <w:rPr>
          <w:spacing w:val="-3"/>
          <w:sz w:val="20"/>
        </w:rPr>
        <w:t xml:space="preserve"> </w:t>
      </w:r>
      <w:r>
        <w:rPr>
          <w:sz w:val="20"/>
        </w:rPr>
        <w:t>Nations</w:t>
      </w:r>
      <w:r>
        <w:rPr>
          <w:spacing w:val="-3"/>
          <w:sz w:val="20"/>
        </w:rPr>
        <w:t xml:space="preserve"> </w:t>
      </w:r>
      <w:r>
        <w:rPr>
          <w:sz w:val="20"/>
        </w:rPr>
        <w:t>Community</w:t>
      </w:r>
      <w:r>
        <w:rPr>
          <w:spacing w:val="-3"/>
          <w:sz w:val="20"/>
        </w:rPr>
        <w:t xml:space="preserve"> </w:t>
      </w:r>
      <w:r>
        <w:rPr>
          <w:sz w:val="20"/>
        </w:rPr>
        <w:t>through</w:t>
      </w:r>
      <w:r>
        <w:rPr>
          <w:spacing w:val="-3"/>
          <w:sz w:val="20"/>
        </w:rPr>
        <w:t xml:space="preserve"> </w:t>
      </w:r>
      <w:r>
        <w:rPr>
          <w:sz w:val="20"/>
        </w:rPr>
        <w:t>the</w:t>
      </w:r>
      <w:r>
        <w:rPr>
          <w:spacing w:val="-3"/>
          <w:sz w:val="20"/>
        </w:rPr>
        <w:t xml:space="preserve"> </w:t>
      </w:r>
      <w:r>
        <w:rPr>
          <w:sz w:val="20"/>
        </w:rPr>
        <w:t>First Nations Cultural Outreach Strategy 2020-25</w:t>
      </w:r>
    </w:p>
    <w:p w14:paraId="068E91E8" w14:textId="77777777" w:rsidR="00AC6F3C" w:rsidRDefault="00570E88">
      <w:pPr>
        <w:pStyle w:val="ListParagraph"/>
        <w:numPr>
          <w:ilvl w:val="0"/>
          <w:numId w:val="84"/>
        </w:numPr>
        <w:tabs>
          <w:tab w:val="left" w:pos="455"/>
        </w:tabs>
        <w:spacing w:before="172" w:line="249" w:lineRule="auto"/>
        <w:ind w:right="170"/>
        <w:rPr>
          <w:sz w:val="20"/>
        </w:rPr>
      </w:pPr>
      <w:r>
        <w:rPr>
          <w:sz w:val="20"/>
        </w:rPr>
        <w:t>high-quality,</w:t>
      </w:r>
      <w:r>
        <w:rPr>
          <w:spacing w:val="-5"/>
          <w:sz w:val="20"/>
        </w:rPr>
        <w:t xml:space="preserve"> </w:t>
      </w:r>
      <w:r>
        <w:rPr>
          <w:sz w:val="20"/>
        </w:rPr>
        <w:t>ethical</w:t>
      </w:r>
      <w:r>
        <w:rPr>
          <w:spacing w:val="-5"/>
          <w:sz w:val="20"/>
        </w:rPr>
        <w:t xml:space="preserve"> </w:t>
      </w:r>
      <w:r>
        <w:rPr>
          <w:sz w:val="20"/>
        </w:rPr>
        <w:t>support</w:t>
      </w:r>
      <w:r>
        <w:rPr>
          <w:spacing w:val="-5"/>
          <w:sz w:val="20"/>
        </w:rPr>
        <w:t xml:space="preserve"> </w:t>
      </w:r>
      <w:r>
        <w:rPr>
          <w:sz w:val="20"/>
        </w:rPr>
        <w:t>and</w:t>
      </w:r>
      <w:r>
        <w:rPr>
          <w:spacing w:val="-5"/>
          <w:sz w:val="20"/>
        </w:rPr>
        <w:t xml:space="preserve"> </w:t>
      </w:r>
      <w:r>
        <w:rPr>
          <w:sz w:val="20"/>
        </w:rPr>
        <w:t>guidance</w:t>
      </w:r>
      <w:r>
        <w:rPr>
          <w:spacing w:val="-5"/>
          <w:sz w:val="20"/>
        </w:rPr>
        <w:t xml:space="preserve"> </w:t>
      </w:r>
      <w:r>
        <w:rPr>
          <w:sz w:val="20"/>
        </w:rPr>
        <w:t>to</w:t>
      </w:r>
      <w:r>
        <w:rPr>
          <w:spacing w:val="-5"/>
          <w:sz w:val="20"/>
        </w:rPr>
        <w:t xml:space="preserve"> </w:t>
      </w:r>
      <w:r>
        <w:rPr>
          <w:sz w:val="20"/>
        </w:rPr>
        <w:t>Queensland</w:t>
      </w:r>
      <w:r>
        <w:rPr>
          <w:spacing w:val="-5"/>
          <w:sz w:val="20"/>
        </w:rPr>
        <w:t xml:space="preserve"> </w:t>
      </w:r>
      <w:r>
        <w:rPr>
          <w:sz w:val="20"/>
        </w:rPr>
        <w:t>solicitors,</w:t>
      </w:r>
      <w:r>
        <w:rPr>
          <w:spacing w:val="-5"/>
          <w:sz w:val="20"/>
        </w:rPr>
        <w:t xml:space="preserve"> </w:t>
      </w:r>
      <w:r>
        <w:rPr>
          <w:sz w:val="20"/>
        </w:rPr>
        <w:t>including</w:t>
      </w:r>
      <w:r>
        <w:rPr>
          <w:spacing w:val="-5"/>
          <w:sz w:val="20"/>
        </w:rPr>
        <w:t xml:space="preserve"> </w:t>
      </w:r>
      <w:r>
        <w:rPr>
          <w:sz w:val="20"/>
        </w:rPr>
        <w:t>direct</w:t>
      </w:r>
      <w:r>
        <w:rPr>
          <w:spacing w:val="-5"/>
          <w:sz w:val="20"/>
        </w:rPr>
        <w:t xml:space="preserve"> </w:t>
      </w:r>
      <w:r>
        <w:rPr>
          <w:sz w:val="20"/>
        </w:rPr>
        <w:t>ethical</w:t>
      </w:r>
      <w:r>
        <w:rPr>
          <w:spacing w:val="-5"/>
          <w:sz w:val="20"/>
        </w:rPr>
        <w:t xml:space="preserve"> </w:t>
      </w:r>
      <w:r>
        <w:rPr>
          <w:sz w:val="20"/>
        </w:rPr>
        <w:t xml:space="preserve">consulting, bespoke educational </w:t>
      </w:r>
      <w:proofErr w:type="gramStart"/>
      <w:r>
        <w:rPr>
          <w:sz w:val="20"/>
        </w:rPr>
        <w:t>sessions</w:t>
      </w:r>
      <w:proofErr w:type="gramEnd"/>
      <w:r>
        <w:rPr>
          <w:sz w:val="20"/>
        </w:rPr>
        <w:t xml:space="preserve"> and published guidance statements, through our wholly owned incorporated legal practice QLS Solicitor Support Pty Ltd</w:t>
      </w:r>
    </w:p>
    <w:p w14:paraId="268017A5" w14:textId="77777777" w:rsidR="00AC6F3C" w:rsidRDefault="00570E88">
      <w:pPr>
        <w:pStyle w:val="ListParagraph"/>
        <w:numPr>
          <w:ilvl w:val="0"/>
          <w:numId w:val="84"/>
        </w:numPr>
        <w:tabs>
          <w:tab w:val="left" w:pos="455"/>
        </w:tabs>
        <w:spacing w:before="173" w:line="249" w:lineRule="auto"/>
        <w:ind w:right="456"/>
        <w:rPr>
          <w:sz w:val="20"/>
        </w:rPr>
      </w:pPr>
      <w:r>
        <w:rPr>
          <w:sz w:val="20"/>
        </w:rPr>
        <w:t>clear,</w:t>
      </w:r>
      <w:r>
        <w:rPr>
          <w:spacing w:val="-4"/>
          <w:sz w:val="20"/>
        </w:rPr>
        <w:t xml:space="preserve"> </w:t>
      </w:r>
      <w:proofErr w:type="gramStart"/>
      <w:r>
        <w:rPr>
          <w:sz w:val="20"/>
        </w:rPr>
        <w:t>considered</w:t>
      </w:r>
      <w:proofErr w:type="gramEnd"/>
      <w:r>
        <w:rPr>
          <w:spacing w:val="-4"/>
          <w:sz w:val="20"/>
        </w:rPr>
        <w:t xml:space="preserve"> </w:t>
      </w:r>
      <w:r>
        <w:rPr>
          <w:sz w:val="20"/>
        </w:rPr>
        <w:t>and</w:t>
      </w:r>
      <w:r>
        <w:rPr>
          <w:spacing w:val="-4"/>
          <w:sz w:val="20"/>
        </w:rPr>
        <w:t xml:space="preserve"> </w:t>
      </w:r>
      <w:r>
        <w:rPr>
          <w:sz w:val="20"/>
        </w:rPr>
        <w:t>balanced</w:t>
      </w:r>
      <w:r>
        <w:rPr>
          <w:spacing w:val="-4"/>
          <w:sz w:val="20"/>
        </w:rPr>
        <w:t xml:space="preserve"> </w:t>
      </w:r>
      <w:r>
        <w:rPr>
          <w:sz w:val="20"/>
        </w:rPr>
        <w:t>advocacy</w:t>
      </w:r>
      <w:r>
        <w:rPr>
          <w:spacing w:val="-4"/>
          <w:sz w:val="20"/>
        </w:rPr>
        <w:t xml:space="preserve"> </w:t>
      </w:r>
      <w:r>
        <w:rPr>
          <w:sz w:val="20"/>
        </w:rPr>
        <w:t>on</w:t>
      </w:r>
      <w:r>
        <w:rPr>
          <w:spacing w:val="-4"/>
          <w:sz w:val="20"/>
        </w:rPr>
        <w:t xml:space="preserve"> </w:t>
      </w:r>
      <w:r>
        <w:rPr>
          <w:sz w:val="20"/>
        </w:rPr>
        <w:t>matters</w:t>
      </w:r>
      <w:r>
        <w:rPr>
          <w:spacing w:val="-4"/>
          <w:sz w:val="20"/>
        </w:rPr>
        <w:t xml:space="preserve"> </w:t>
      </w:r>
      <w:r>
        <w:rPr>
          <w:sz w:val="20"/>
        </w:rPr>
        <w:t>of</w:t>
      </w:r>
      <w:r>
        <w:rPr>
          <w:spacing w:val="-4"/>
          <w:sz w:val="20"/>
        </w:rPr>
        <w:t xml:space="preserve"> </w:t>
      </w:r>
      <w:r>
        <w:rPr>
          <w:sz w:val="20"/>
        </w:rPr>
        <w:t>importance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legal</w:t>
      </w:r>
      <w:r>
        <w:rPr>
          <w:spacing w:val="-4"/>
          <w:sz w:val="20"/>
        </w:rPr>
        <w:t xml:space="preserve"> </w:t>
      </w:r>
      <w:r>
        <w:rPr>
          <w:sz w:val="20"/>
        </w:rPr>
        <w:t>profession</w:t>
      </w:r>
      <w:r>
        <w:rPr>
          <w:spacing w:val="-4"/>
          <w:sz w:val="20"/>
        </w:rPr>
        <w:t xml:space="preserve"> </w:t>
      </w:r>
      <w:r>
        <w:rPr>
          <w:sz w:val="20"/>
        </w:rPr>
        <w:t>and</w:t>
      </w:r>
      <w:r>
        <w:rPr>
          <w:spacing w:val="-4"/>
          <w:sz w:val="20"/>
        </w:rPr>
        <w:t xml:space="preserve"> </w:t>
      </w:r>
      <w:r>
        <w:rPr>
          <w:sz w:val="20"/>
        </w:rPr>
        <w:t>the broader community</w:t>
      </w:r>
    </w:p>
    <w:p w14:paraId="1B17EEC8" w14:textId="77777777" w:rsidR="00AC6F3C" w:rsidRDefault="00570E88">
      <w:pPr>
        <w:pStyle w:val="ListParagraph"/>
        <w:numPr>
          <w:ilvl w:val="0"/>
          <w:numId w:val="84"/>
        </w:numPr>
        <w:tabs>
          <w:tab w:val="left" w:pos="455"/>
        </w:tabs>
        <w:spacing w:before="171"/>
        <w:ind w:hanging="340"/>
        <w:rPr>
          <w:sz w:val="20"/>
        </w:rPr>
      </w:pPr>
      <w:r>
        <w:rPr>
          <w:sz w:val="20"/>
        </w:rPr>
        <w:t>accessible,</w:t>
      </w:r>
      <w:r>
        <w:rPr>
          <w:spacing w:val="-7"/>
          <w:sz w:val="20"/>
        </w:rPr>
        <w:t xml:space="preserve"> </w:t>
      </w:r>
      <w:r>
        <w:rPr>
          <w:sz w:val="20"/>
        </w:rPr>
        <w:t>high-quality,</w:t>
      </w:r>
      <w:r>
        <w:rPr>
          <w:spacing w:val="-5"/>
          <w:sz w:val="20"/>
        </w:rPr>
        <w:t xml:space="preserve"> </w:t>
      </w:r>
      <w:r>
        <w:rPr>
          <w:sz w:val="20"/>
        </w:rPr>
        <w:t>ongoing</w:t>
      </w:r>
      <w:r>
        <w:rPr>
          <w:spacing w:val="-5"/>
          <w:sz w:val="20"/>
        </w:rPr>
        <w:t xml:space="preserve"> </w:t>
      </w:r>
      <w:r>
        <w:rPr>
          <w:sz w:val="20"/>
        </w:rPr>
        <w:t>professional</w:t>
      </w:r>
      <w:r>
        <w:rPr>
          <w:spacing w:val="-5"/>
          <w:sz w:val="20"/>
        </w:rPr>
        <w:t xml:space="preserve"> </w:t>
      </w:r>
      <w:r>
        <w:rPr>
          <w:sz w:val="20"/>
        </w:rPr>
        <w:t>development</w:t>
      </w:r>
      <w:r>
        <w:rPr>
          <w:spacing w:val="-5"/>
          <w:sz w:val="20"/>
        </w:rPr>
        <w:t xml:space="preserve"> </w:t>
      </w:r>
      <w:r>
        <w:rPr>
          <w:sz w:val="20"/>
        </w:rPr>
        <w:t>and</w:t>
      </w:r>
      <w:r>
        <w:rPr>
          <w:spacing w:val="-5"/>
          <w:sz w:val="20"/>
        </w:rPr>
        <w:t xml:space="preserve"> </w:t>
      </w:r>
      <w:r>
        <w:rPr>
          <w:sz w:val="20"/>
        </w:rPr>
        <w:t>specialist</w:t>
      </w:r>
      <w:r>
        <w:rPr>
          <w:spacing w:val="-4"/>
          <w:sz w:val="20"/>
        </w:rPr>
        <w:t xml:space="preserve"> </w:t>
      </w:r>
      <w:r>
        <w:rPr>
          <w:spacing w:val="-2"/>
          <w:sz w:val="20"/>
        </w:rPr>
        <w:t>accreditation</w:t>
      </w:r>
    </w:p>
    <w:p w14:paraId="00304055" w14:textId="77777777" w:rsidR="00AC6F3C" w:rsidRDefault="00AC6F3C">
      <w:pPr>
        <w:pStyle w:val="BodyText"/>
      </w:pPr>
    </w:p>
    <w:p w14:paraId="5620AFE7" w14:textId="77777777" w:rsidR="00AC6F3C" w:rsidRDefault="00570E88">
      <w:pPr>
        <w:pStyle w:val="BodyText"/>
        <w:spacing w:before="6"/>
        <w:rPr>
          <w:sz w:val="23"/>
        </w:rPr>
      </w:pPr>
      <w:r>
        <w:rPr>
          <w:noProof/>
        </w:rPr>
        <mc:AlternateContent>
          <mc:Choice Requires="wps">
            <w:drawing>
              <wp:anchor distT="0" distB="0" distL="0" distR="0" simplePos="0" relativeHeight="487601664" behindDoc="1" locked="0" layoutInCell="1" allowOverlap="1" wp14:anchorId="71E1DEF3" wp14:editId="013314FB">
                <wp:simplePos x="0" y="0"/>
                <wp:positionH relativeFrom="page">
                  <wp:posOffset>809999</wp:posOffset>
                </wp:positionH>
                <wp:positionV relativeFrom="paragraph">
                  <wp:posOffset>187280</wp:posOffset>
                </wp:positionV>
                <wp:extent cx="9144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59EAA" id="Graphic 38" o:spid="_x0000_s1026" style="position:absolute;margin-left:63.8pt;margin-top:14.75pt;width:1in;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" path="m,l914400,e" filled="f" strokeweight=".5pt">
                <v:path arrowok="t"/>
                <w10:wrap type="topAndBottom" anchorx="page"/>
              </v:shape>
            </w:pict>
          </mc:Fallback>
        </mc:AlternateContent>
      </w:r>
    </w:p>
    <w:p w14:paraId="3F092582" w14:textId="77777777" w:rsidR="00AC6F3C" w:rsidRDefault="00AC6F3C">
      <w:pPr>
        <w:pStyle w:val="BodyText"/>
        <w:spacing w:before="8"/>
        <w:rPr>
          <w:sz w:val="9"/>
        </w:rPr>
      </w:pPr>
    </w:p>
    <w:p w14:paraId="5CF0C65D" w14:textId="77777777" w:rsidR="00AC6F3C" w:rsidRDefault="00570E88">
      <w:pPr>
        <w:spacing w:before="95"/>
        <w:ind w:left="115"/>
        <w:rPr>
          <w:sz w:val="16"/>
        </w:rPr>
      </w:pPr>
      <w:r>
        <w:rPr>
          <w:sz w:val="16"/>
        </w:rPr>
        <w:t>1</w:t>
      </w:r>
      <w:r>
        <w:rPr>
          <w:spacing w:val="27"/>
          <w:sz w:val="16"/>
        </w:rPr>
        <w:t xml:space="preserve"> </w:t>
      </w:r>
      <w:r>
        <w:rPr>
          <w:sz w:val="16"/>
        </w:rPr>
        <w:t>Membership</w:t>
      </w:r>
      <w:r>
        <w:rPr>
          <w:spacing w:val="-4"/>
          <w:sz w:val="16"/>
        </w:rPr>
        <w:t xml:space="preserve"> </w:t>
      </w:r>
      <w:r>
        <w:rPr>
          <w:sz w:val="16"/>
        </w:rPr>
        <w:t>and</w:t>
      </w:r>
      <w:r>
        <w:rPr>
          <w:spacing w:val="-4"/>
          <w:sz w:val="16"/>
        </w:rPr>
        <w:t xml:space="preserve"> </w:t>
      </w:r>
      <w:proofErr w:type="spellStart"/>
      <w:r>
        <w:rPr>
          <w:sz w:val="16"/>
        </w:rPr>
        <w:t>practising</w:t>
      </w:r>
      <w:proofErr w:type="spellEnd"/>
      <w:r>
        <w:rPr>
          <w:spacing w:val="-4"/>
          <w:sz w:val="16"/>
        </w:rPr>
        <w:t xml:space="preserve"> </w:t>
      </w:r>
      <w:r>
        <w:rPr>
          <w:sz w:val="16"/>
        </w:rPr>
        <w:t>certificate</w:t>
      </w:r>
      <w:r>
        <w:rPr>
          <w:spacing w:val="-4"/>
          <w:sz w:val="16"/>
        </w:rPr>
        <w:t xml:space="preserve"> </w:t>
      </w:r>
      <w:r>
        <w:rPr>
          <w:sz w:val="16"/>
        </w:rPr>
        <w:t>figures</w:t>
      </w:r>
      <w:r>
        <w:rPr>
          <w:spacing w:val="-4"/>
          <w:sz w:val="16"/>
        </w:rPr>
        <w:t xml:space="preserve"> </w:t>
      </w:r>
      <w:r>
        <w:rPr>
          <w:sz w:val="16"/>
        </w:rPr>
        <w:t>circulated</w:t>
      </w:r>
      <w:r>
        <w:rPr>
          <w:spacing w:val="-3"/>
          <w:sz w:val="16"/>
        </w:rPr>
        <w:t xml:space="preserve"> </w:t>
      </w:r>
      <w:r>
        <w:rPr>
          <w:sz w:val="16"/>
        </w:rPr>
        <w:t>through</w:t>
      </w:r>
      <w:r>
        <w:rPr>
          <w:spacing w:val="-4"/>
          <w:sz w:val="16"/>
        </w:rPr>
        <w:t xml:space="preserve"> </w:t>
      </w:r>
      <w:r>
        <w:rPr>
          <w:sz w:val="16"/>
        </w:rPr>
        <w:t>Dynamics</w:t>
      </w:r>
      <w:r>
        <w:rPr>
          <w:spacing w:val="-4"/>
          <w:sz w:val="16"/>
        </w:rPr>
        <w:t xml:space="preserve"> </w:t>
      </w:r>
      <w:r>
        <w:rPr>
          <w:sz w:val="16"/>
        </w:rPr>
        <w:t>software</w:t>
      </w:r>
      <w:r>
        <w:rPr>
          <w:spacing w:val="-4"/>
          <w:sz w:val="16"/>
        </w:rPr>
        <w:t xml:space="preserve"> </w:t>
      </w:r>
      <w:r>
        <w:rPr>
          <w:sz w:val="16"/>
        </w:rPr>
        <w:t>based</w:t>
      </w:r>
      <w:r>
        <w:rPr>
          <w:spacing w:val="-4"/>
          <w:sz w:val="16"/>
        </w:rPr>
        <w:t xml:space="preserve"> </w:t>
      </w:r>
      <w:r>
        <w:rPr>
          <w:sz w:val="16"/>
        </w:rPr>
        <w:t>on</w:t>
      </w:r>
      <w:r>
        <w:rPr>
          <w:spacing w:val="-4"/>
          <w:sz w:val="16"/>
        </w:rPr>
        <w:t xml:space="preserve"> </w:t>
      </w:r>
      <w:r>
        <w:rPr>
          <w:sz w:val="16"/>
        </w:rPr>
        <w:t>available</w:t>
      </w:r>
      <w:r>
        <w:rPr>
          <w:spacing w:val="-3"/>
          <w:sz w:val="16"/>
        </w:rPr>
        <w:t xml:space="preserve"> </w:t>
      </w:r>
      <w:r>
        <w:rPr>
          <w:sz w:val="16"/>
        </w:rPr>
        <w:t>data</w:t>
      </w:r>
      <w:r>
        <w:rPr>
          <w:spacing w:val="-4"/>
          <w:sz w:val="16"/>
        </w:rPr>
        <w:t xml:space="preserve"> </w:t>
      </w:r>
      <w:r>
        <w:rPr>
          <w:sz w:val="16"/>
        </w:rPr>
        <w:t>as</w:t>
      </w:r>
      <w:r>
        <w:rPr>
          <w:spacing w:val="-4"/>
          <w:sz w:val="16"/>
        </w:rPr>
        <w:t xml:space="preserve"> </w:t>
      </w:r>
      <w:proofErr w:type="gramStart"/>
      <w:r>
        <w:rPr>
          <w:sz w:val="16"/>
        </w:rPr>
        <w:t>at</w:t>
      </w:r>
      <w:proofErr w:type="gramEnd"/>
      <w:r>
        <w:rPr>
          <w:spacing w:val="-4"/>
          <w:sz w:val="16"/>
        </w:rPr>
        <w:t xml:space="preserve"> </w:t>
      </w:r>
      <w:r>
        <w:rPr>
          <w:sz w:val="16"/>
        </w:rPr>
        <w:t>30</w:t>
      </w:r>
      <w:r>
        <w:rPr>
          <w:spacing w:val="-4"/>
          <w:sz w:val="16"/>
        </w:rPr>
        <w:t xml:space="preserve"> </w:t>
      </w:r>
      <w:r>
        <w:rPr>
          <w:sz w:val="16"/>
        </w:rPr>
        <w:t>June</w:t>
      </w:r>
      <w:r>
        <w:rPr>
          <w:spacing w:val="-3"/>
          <w:sz w:val="16"/>
        </w:rPr>
        <w:t xml:space="preserve"> </w:t>
      </w:r>
      <w:r>
        <w:rPr>
          <w:spacing w:val="-4"/>
          <w:sz w:val="16"/>
        </w:rPr>
        <w:t>2023</w:t>
      </w:r>
    </w:p>
    <w:p w14:paraId="1BF6CB55" w14:textId="77777777" w:rsidR="00AC6F3C" w:rsidRDefault="00570E88">
      <w:pPr>
        <w:spacing w:before="93"/>
        <w:ind w:left="115"/>
        <w:rPr>
          <w:sz w:val="16"/>
        </w:rPr>
      </w:pPr>
      <w:r>
        <w:rPr>
          <w:sz w:val="16"/>
        </w:rPr>
        <w:t>2</w:t>
      </w:r>
      <w:r>
        <w:rPr>
          <w:spacing w:val="36"/>
          <w:sz w:val="16"/>
        </w:rPr>
        <w:t xml:space="preserve"> </w:t>
      </w:r>
      <w:r>
        <w:rPr>
          <w:spacing w:val="-4"/>
          <w:sz w:val="16"/>
        </w:rPr>
        <w:t>Ibid</w:t>
      </w:r>
    </w:p>
    <w:p w14:paraId="65E344C8" w14:textId="77777777" w:rsidR="00AC6F3C" w:rsidRDefault="00AC6F3C">
      <w:pPr>
        <w:rPr>
          <w:sz w:val="16"/>
        </w:rPr>
        <w:sectPr w:rsidR="00AC6F3C">
          <w:headerReference w:type="default" r:id="rId21"/>
          <w:footerReference w:type="default" r:id="rId22"/>
          <w:pgSz w:w="11910" w:h="16840"/>
          <w:pgMar w:top="980" w:right="1160" w:bottom="520" w:left="1160" w:header="0" w:footer="336" w:gutter="0"/>
          <w:cols w:space="720"/>
        </w:sectPr>
      </w:pPr>
    </w:p>
    <w:p w14:paraId="5AD2A2BE" w14:textId="77777777" w:rsidR="00AC6F3C" w:rsidRDefault="00570E88">
      <w:pPr>
        <w:pStyle w:val="ListParagraph"/>
        <w:numPr>
          <w:ilvl w:val="0"/>
          <w:numId w:val="84"/>
        </w:numPr>
        <w:tabs>
          <w:tab w:val="left" w:pos="455"/>
        </w:tabs>
        <w:spacing w:before="76"/>
        <w:ind w:hanging="340"/>
        <w:rPr>
          <w:sz w:val="20"/>
        </w:rPr>
      </w:pPr>
      <w:r>
        <w:rPr>
          <w:sz w:val="20"/>
        </w:rPr>
        <w:lastRenderedPageBreak/>
        <w:t>practical</w:t>
      </w:r>
      <w:r>
        <w:rPr>
          <w:spacing w:val="-6"/>
          <w:sz w:val="20"/>
        </w:rPr>
        <w:t xml:space="preserve"> </w:t>
      </w:r>
      <w:r>
        <w:rPr>
          <w:sz w:val="20"/>
        </w:rPr>
        <w:t>resources</w:t>
      </w:r>
      <w:r>
        <w:rPr>
          <w:spacing w:val="-4"/>
          <w:sz w:val="20"/>
        </w:rPr>
        <w:t xml:space="preserve"> </w:t>
      </w:r>
      <w:r>
        <w:rPr>
          <w:sz w:val="20"/>
        </w:rPr>
        <w:t>and</w:t>
      </w:r>
      <w:r>
        <w:rPr>
          <w:spacing w:val="-4"/>
          <w:sz w:val="20"/>
        </w:rPr>
        <w:t xml:space="preserve"> </w:t>
      </w:r>
      <w:r>
        <w:rPr>
          <w:sz w:val="20"/>
        </w:rPr>
        <w:t>opportunities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profession</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and</w:t>
      </w:r>
      <w:r>
        <w:rPr>
          <w:spacing w:val="-4"/>
          <w:sz w:val="20"/>
        </w:rPr>
        <w:t xml:space="preserve"> </w:t>
      </w:r>
      <w:r>
        <w:rPr>
          <w:sz w:val="20"/>
        </w:rPr>
        <w:t>develop</w:t>
      </w:r>
      <w:r>
        <w:rPr>
          <w:spacing w:val="-4"/>
          <w:sz w:val="20"/>
        </w:rPr>
        <w:t xml:space="preserve"> </w:t>
      </w:r>
      <w:r>
        <w:rPr>
          <w:sz w:val="20"/>
        </w:rPr>
        <w:t>professional</w:t>
      </w:r>
      <w:r>
        <w:rPr>
          <w:spacing w:val="-4"/>
          <w:sz w:val="20"/>
        </w:rPr>
        <w:t xml:space="preserve"> </w:t>
      </w:r>
      <w:proofErr w:type="gramStart"/>
      <w:r>
        <w:rPr>
          <w:spacing w:val="-2"/>
          <w:sz w:val="20"/>
        </w:rPr>
        <w:t>skills</w:t>
      </w:r>
      <w:proofErr w:type="gramEnd"/>
    </w:p>
    <w:p w14:paraId="5DBA370D" w14:textId="77777777" w:rsidR="00AC6F3C" w:rsidRDefault="00570E88">
      <w:pPr>
        <w:pStyle w:val="ListParagraph"/>
        <w:numPr>
          <w:ilvl w:val="0"/>
          <w:numId w:val="84"/>
        </w:numPr>
        <w:tabs>
          <w:tab w:val="left" w:pos="455"/>
        </w:tabs>
        <w:ind w:hanging="340"/>
        <w:rPr>
          <w:sz w:val="20"/>
        </w:rPr>
      </w:pPr>
      <w:r>
        <w:rPr>
          <w:sz w:val="20"/>
        </w:rPr>
        <w:t>referrals</w:t>
      </w:r>
      <w:r>
        <w:rPr>
          <w:spacing w:val="-5"/>
          <w:sz w:val="20"/>
        </w:rPr>
        <w:t xml:space="preserve"> </w:t>
      </w:r>
      <w:r>
        <w:rPr>
          <w:sz w:val="20"/>
        </w:rPr>
        <w:t>via</w:t>
      </w:r>
      <w:r>
        <w:rPr>
          <w:spacing w:val="-3"/>
          <w:sz w:val="20"/>
        </w:rPr>
        <w:t xml:space="preserve"> </w:t>
      </w:r>
      <w:r>
        <w:rPr>
          <w:sz w:val="20"/>
        </w:rPr>
        <w:t>our</w:t>
      </w:r>
      <w:r>
        <w:rPr>
          <w:spacing w:val="-2"/>
          <w:sz w:val="20"/>
        </w:rPr>
        <w:t xml:space="preserve"> </w:t>
      </w:r>
      <w:r>
        <w:rPr>
          <w:sz w:val="20"/>
        </w:rPr>
        <w:t>Find</w:t>
      </w:r>
      <w:r>
        <w:rPr>
          <w:spacing w:val="-3"/>
          <w:sz w:val="20"/>
        </w:rPr>
        <w:t xml:space="preserve"> </w:t>
      </w:r>
      <w:r>
        <w:rPr>
          <w:sz w:val="20"/>
        </w:rPr>
        <w:t>a</w:t>
      </w:r>
      <w:r>
        <w:rPr>
          <w:spacing w:val="-2"/>
          <w:sz w:val="20"/>
        </w:rPr>
        <w:t xml:space="preserve"> </w:t>
      </w:r>
      <w:r>
        <w:rPr>
          <w:sz w:val="20"/>
        </w:rPr>
        <w:t>Solicitor</w:t>
      </w:r>
      <w:r>
        <w:rPr>
          <w:spacing w:val="-3"/>
          <w:sz w:val="20"/>
        </w:rPr>
        <w:t xml:space="preserve"> </w:t>
      </w:r>
      <w:r>
        <w:rPr>
          <w:sz w:val="20"/>
        </w:rPr>
        <w:t>web</w:t>
      </w:r>
      <w:r>
        <w:rPr>
          <w:spacing w:val="-2"/>
          <w:sz w:val="20"/>
        </w:rPr>
        <w:t xml:space="preserve"> </w:t>
      </w:r>
      <w:r>
        <w:rPr>
          <w:sz w:val="20"/>
        </w:rPr>
        <w:t>search</w:t>
      </w:r>
      <w:r>
        <w:rPr>
          <w:spacing w:val="-3"/>
          <w:sz w:val="20"/>
        </w:rPr>
        <w:t xml:space="preserve"> </w:t>
      </w:r>
      <w:r>
        <w:rPr>
          <w:sz w:val="20"/>
        </w:rPr>
        <w:t>and</w:t>
      </w:r>
      <w:r>
        <w:rPr>
          <w:spacing w:val="-2"/>
          <w:sz w:val="20"/>
        </w:rPr>
        <w:t xml:space="preserve"> </w:t>
      </w:r>
      <w:r>
        <w:rPr>
          <w:sz w:val="20"/>
        </w:rPr>
        <w:t>promotion</w:t>
      </w:r>
      <w:r>
        <w:rPr>
          <w:spacing w:val="-3"/>
          <w:sz w:val="20"/>
        </w:rPr>
        <w:t xml:space="preserve"> </w:t>
      </w:r>
      <w:r>
        <w:rPr>
          <w:sz w:val="20"/>
        </w:rPr>
        <w:t>of</w:t>
      </w:r>
      <w:r>
        <w:rPr>
          <w:spacing w:val="-3"/>
          <w:sz w:val="20"/>
        </w:rPr>
        <w:t xml:space="preserve"> </w:t>
      </w:r>
      <w:r>
        <w:rPr>
          <w:sz w:val="20"/>
        </w:rPr>
        <w:t>solicitors’</w:t>
      </w:r>
      <w:r>
        <w:rPr>
          <w:spacing w:val="-9"/>
          <w:sz w:val="20"/>
        </w:rPr>
        <w:t xml:space="preserve"> </w:t>
      </w:r>
      <w:r>
        <w:rPr>
          <w:sz w:val="20"/>
        </w:rPr>
        <w:t>role</w:t>
      </w:r>
      <w:r>
        <w:rPr>
          <w:spacing w:val="-2"/>
          <w:sz w:val="20"/>
        </w:rPr>
        <w:t xml:space="preserve"> </w:t>
      </w:r>
      <w:r>
        <w:rPr>
          <w:sz w:val="20"/>
        </w:rPr>
        <w:t>in</w:t>
      </w:r>
      <w:r>
        <w:rPr>
          <w:spacing w:val="-3"/>
          <w:sz w:val="20"/>
        </w:rPr>
        <w:t xml:space="preserve"> </w:t>
      </w:r>
      <w:r>
        <w:rPr>
          <w:sz w:val="20"/>
        </w:rPr>
        <w:t>the</w:t>
      </w:r>
      <w:r>
        <w:rPr>
          <w:spacing w:val="-2"/>
          <w:sz w:val="20"/>
        </w:rPr>
        <w:t xml:space="preserve"> </w:t>
      </w:r>
      <w:proofErr w:type="gramStart"/>
      <w:r>
        <w:rPr>
          <w:spacing w:val="-2"/>
          <w:sz w:val="20"/>
        </w:rPr>
        <w:t>community</w:t>
      </w:r>
      <w:proofErr w:type="gramEnd"/>
    </w:p>
    <w:p w14:paraId="4BDEDA5E" w14:textId="77777777" w:rsidR="00AC6F3C" w:rsidRDefault="00570E88">
      <w:pPr>
        <w:pStyle w:val="ListParagraph"/>
        <w:numPr>
          <w:ilvl w:val="0"/>
          <w:numId w:val="84"/>
        </w:numPr>
        <w:tabs>
          <w:tab w:val="left" w:pos="455"/>
        </w:tabs>
        <w:ind w:hanging="340"/>
        <w:rPr>
          <w:sz w:val="20"/>
        </w:rPr>
      </w:pPr>
      <w:r>
        <w:rPr>
          <w:sz w:val="20"/>
        </w:rPr>
        <w:t>support</w:t>
      </w:r>
      <w:r>
        <w:rPr>
          <w:spacing w:val="-7"/>
          <w:sz w:val="20"/>
        </w:rPr>
        <w:t xml:space="preserve"> </w:t>
      </w:r>
      <w:r>
        <w:rPr>
          <w:sz w:val="20"/>
        </w:rPr>
        <w:t>for</w:t>
      </w:r>
      <w:r>
        <w:rPr>
          <w:spacing w:val="-4"/>
          <w:sz w:val="20"/>
        </w:rPr>
        <w:t xml:space="preserve"> </w:t>
      </w:r>
      <w:r>
        <w:rPr>
          <w:sz w:val="20"/>
        </w:rPr>
        <w:t>practitioners’</w:t>
      </w:r>
      <w:r>
        <w:rPr>
          <w:spacing w:val="-12"/>
          <w:sz w:val="20"/>
        </w:rPr>
        <w:t xml:space="preserve"> </w:t>
      </w:r>
      <w:r>
        <w:rPr>
          <w:sz w:val="20"/>
        </w:rPr>
        <w:t>mental</w:t>
      </w:r>
      <w:r>
        <w:rPr>
          <w:spacing w:val="-4"/>
          <w:sz w:val="20"/>
        </w:rPr>
        <w:t xml:space="preserve"> </w:t>
      </w:r>
      <w:r>
        <w:rPr>
          <w:sz w:val="20"/>
        </w:rPr>
        <w:t>health,</w:t>
      </w:r>
      <w:r>
        <w:rPr>
          <w:spacing w:val="-5"/>
          <w:sz w:val="20"/>
        </w:rPr>
        <w:t xml:space="preserve"> </w:t>
      </w:r>
      <w:r>
        <w:rPr>
          <w:sz w:val="20"/>
        </w:rPr>
        <w:t>including</w:t>
      </w:r>
      <w:r>
        <w:rPr>
          <w:spacing w:val="-4"/>
          <w:sz w:val="20"/>
        </w:rPr>
        <w:t xml:space="preserve"> </w:t>
      </w:r>
      <w:r>
        <w:rPr>
          <w:sz w:val="20"/>
        </w:rPr>
        <w:t>the</w:t>
      </w:r>
      <w:r>
        <w:rPr>
          <w:spacing w:val="-4"/>
          <w:sz w:val="20"/>
        </w:rPr>
        <w:t xml:space="preserve"> </w:t>
      </w:r>
      <w:proofErr w:type="spellStart"/>
      <w:r>
        <w:rPr>
          <w:sz w:val="20"/>
        </w:rPr>
        <w:t>LawCare</w:t>
      </w:r>
      <w:proofErr w:type="spellEnd"/>
      <w:r>
        <w:rPr>
          <w:spacing w:val="-4"/>
          <w:sz w:val="20"/>
        </w:rPr>
        <w:t xml:space="preserve"> </w:t>
      </w:r>
      <w:proofErr w:type="gramStart"/>
      <w:r>
        <w:rPr>
          <w:spacing w:val="-2"/>
          <w:sz w:val="20"/>
        </w:rPr>
        <w:t>service</w:t>
      </w:r>
      <w:proofErr w:type="gramEnd"/>
    </w:p>
    <w:p w14:paraId="3F6C3086" w14:textId="77777777" w:rsidR="00AC6F3C" w:rsidRDefault="00570E88">
      <w:pPr>
        <w:pStyle w:val="ListParagraph"/>
        <w:numPr>
          <w:ilvl w:val="0"/>
          <w:numId w:val="84"/>
        </w:numPr>
        <w:tabs>
          <w:tab w:val="left" w:pos="455"/>
        </w:tabs>
        <w:ind w:hanging="340"/>
        <w:rPr>
          <w:sz w:val="20"/>
        </w:rPr>
      </w:pPr>
      <w:r>
        <w:rPr>
          <w:sz w:val="20"/>
        </w:rPr>
        <w:t>support</w:t>
      </w:r>
      <w:r>
        <w:rPr>
          <w:spacing w:val="-2"/>
          <w:sz w:val="20"/>
        </w:rPr>
        <w:t xml:space="preserve"> </w:t>
      </w:r>
      <w:r>
        <w:rPr>
          <w:sz w:val="20"/>
        </w:rPr>
        <w:t>and</w:t>
      </w:r>
      <w:r>
        <w:rPr>
          <w:spacing w:val="-1"/>
          <w:sz w:val="20"/>
        </w:rPr>
        <w:t xml:space="preserve"> </w:t>
      </w:r>
      <w:r>
        <w:rPr>
          <w:sz w:val="20"/>
        </w:rPr>
        <w:t>guidance</w:t>
      </w:r>
      <w:r>
        <w:rPr>
          <w:spacing w:val="-1"/>
          <w:sz w:val="20"/>
        </w:rPr>
        <w:t xml:space="preserve"> </w:t>
      </w:r>
      <w:r>
        <w:rPr>
          <w:sz w:val="20"/>
        </w:rPr>
        <w:t>on</w:t>
      </w:r>
      <w:r>
        <w:rPr>
          <w:spacing w:val="-1"/>
          <w:sz w:val="20"/>
        </w:rPr>
        <w:t xml:space="preserve"> </w:t>
      </w:r>
      <w:r>
        <w:rPr>
          <w:sz w:val="20"/>
        </w:rPr>
        <w:t>trust</w:t>
      </w:r>
      <w:r>
        <w:rPr>
          <w:spacing w:val="-1"/>
          <w:sz w:val="20"/>
        </w:rPr>
        <w:t xml:space="preserve"> </w:t>
      </w:r>
      <w:r>
        <w:rPr>
          <w:sz w:val="20"/>
        </w:rPr>
        <w:t>account</w:t>
      </w:r>
      <w:r>
        <w:rPr>
          <w:spacing w:val="-1"/>
          <w:sz w:val="20"/>
        </w:rPr>
        <w:t xml:space="preserve"> </w:t>
      </w:r>
      <w:r>
        <w:rPr>
          <w:sz w:val="20"/>
        </w:rPr>
        <w:t>issues</w:t>
      </w:r>
      <w:r>
        <w:rPr>
          <w:spacing w:val="-1"/>
          <w:sz w:val="20"/>
        </w:rPr>
        <w:t xml:space="preserve"> </w:t>
      </w:r>
      <w:r>
        <w:rPr>
          <w:sz w:val="20"/>
        </w:rPr>
        <w:t>and</w:t>
      </w:r>
      <w:r>
        <w:rPr>
          <w:spacing w:val="-1"/>
          <w:sz w:val="20"/>
        </w:rPr>
        <w:t xml:space="preserve"> </w:t>
      </w:r>
      <w:r>
        <w:rPr>
          <w:sz w:val="20"/>
        </w:rPr>
        <w:t>trust</w:t>
      </w:r>
      <w:r>
        <w:rPr>
          <w:spacing w:val="-1"/>
          <w:sz w:val="20"/>
        </w:rPr>
        <w:t xml:space="preserve"> </w:t>
      </w:r>
      <w:r>
        <w:rPr>
          <w:sz w:val="20"/>
        </w:rPr>
        <w:t>account</w:t>
      </w:r>
      <w:r>
        <w:rPr>
          <w:spacing w:val="-1"/>
          <w:sz w:val="20"/>
        </w:rPr>
        <w:t xml:space="preserve"> </w:t>
      </w:r>
      <w:r>
        <w:rPr>
          <w:sz w:val="20"/>
        </w:rPr>
        <w:t>compliance,</w:t>
      </w:r>
      <w:r>
        <w:rPr>
          <w:spacing w:val="-1"/>
          <w:sz w:val="20"/>
        </w:rPr>
        <w:t xml:space="preserve"> </w:t>
      </w:r>
      <w:r>
        <w:rPr>
          <w:spacing w:val="-5"/>
          <w:sz w:val="20"/>
        </w:rPr>
        <w:t>and</w:t>
      </w:r>
    </w:p>
    <w:p w14:paraId="348E5F7E" w14:textId="77777777" w:rsidR="00AC6F3C" w:rsidRDefault="00570E88">
      <w:pPr>
        <w:pStyle w:val="ListParagraph"/>
        <w:numPr>
          <w:ilvl w:val="0"/>
          <w:numId w:val="84"/>
        </w:numPr>
        <w:tabs>
          <w:tab w:val="left" w:pos="455"/>
        </w:tabs>
        <w:ind w:hanging="340"/>
        <w:rPr>
          <w:sz w:val="20"/>
        </w:rPr>
      </w:pPr>
      <w:r>
        <w:rPr>
          <w:sz w:val="20"/>
        </w:rPr>
        <w:t>direct</w:t>
      </w:r>
      <w:r>
        <w:rPr>
          <w:spacing w:val="-2"/>
          <w:sz w:val="20"/>
        </w:rPr>
        <w:t xml:space="preserve"> </w:t>
      </w:r>
      <w:r>
        <w:rPr>
          <w:sz w:val="20"/>
        </w:rPr>
        <w:t>practice</w:t>
      </w:r>
      <w:r>
        <w:rPr>
          <w:spacing w:val="-2"/>
          <w:sz w:val="20"/>
        </w:rPr>
        <w:t xml:space="preserve"> </w:t>
      </w:r>
      <w:r>
        <w:rPr>
          <w:sz w:val="20"/>
        </w:rPr>
        <w:t>support</w:t>
      </w:r>
      <w:r>
        <w:rPr>
          <w:spacing w:val="-2"/>
          <w:sz w:val="20"/>
        </w:rPr>
        <w:t xml:space="preserve"> </w:t>
      </w:r>
      <w:r>
        <w:rPr>
          <w:sz w:val="20"/>
        </w:rPr>
        <w:t>consultancy</w:t>
      </w:r>
      <w:r>
        <w:rPr>
          <w:spacing w:val="-2"/>
          <w:sz w:val="20"/>
        </w:rPr>
        <w:t xml:space="preserve"> </w:t>
      </w:r>
      <w:r>
        <w:rPr>
          <w:sz w:val="20"/>
        </w:rPr>
        <w:t>services</w:t>
      </w:r>
      <w:r>
        <w:rPr>
          <w:spacing w:val="-2"/>
          <w:sz w:val="20"/>
        </w:rPr>
        <w:t xml:space="preserve"> </w:t>
      </w:r>
      <w:r>
        <w:rPr>
          <w:sz w:val="20"/>
        </w:rPr>
        <w:t>to</w:t>
      </w:r>
      <w:r>
        <w:rPr>
          <w:spacing w:val="-2"/>
          <w:sz w:val="20"/>
        </w:rPr>
        <w:t xml:space="preserve"> </w:t>
      </w:r>
      <w:r>
        <w:rPr>
          <w:sz w:val="20"/>
        </w:rPr>
        <w:t>new</w:t>
      </w:r>
      <w:r>
        <w:rPr>
          <w:spacing w:val="-2"/>
          <w:sz w:val="20"/>
        </w:rPr>
        <w:t xml:space="preserve"> </w:t>
      </w:r>
      <w:r>
        <w:rPr>
          <w:sz w:val="20"/>
        </w:rPr>
        <w:t>and</w:t>
      </w:r>
      <w:r>
        <w:rPr>
          <w:spacing w:val="-2"/>
          <w:sz w:val="20"/>
        </w:rPr>
        <w:t xml:space="preserve"> </w:t>
      </w:r>
      <w:r>
        <w:rPr>
          <w:sz w:val="20"/>
        </w:rPr>
        <w:t>developing</w:t>
      </w:r>
      <w:r>
        <w:rPr>
          <w:spacing w:val="-2"/>
          <w:sz w:val="20"/>
        </w:rPr>
        <w:t xml:space="preserve"> </w:t>
      </w:r>
      <w:r>
        <w:rPr>
          <w:sz w:val="20"/>
        </w:rPr>
        <w:t>law</w:t>
      </w:r>
      <w:r>
        <w:rPr>
          <w:spacing w:val="-2"/>
          <w:sz w:val="20"/>
        </w:rPr>
        <w:t xml:space="preserve"> </w:t>
      </w:r>
      <w:r>
        <w:rPr>
          <w:sz w:val="20"/>
        </w:rPr>
        <w:t>firms</w:t>
      </w:r>
      <w:r>
        <w:rPr>
          <w:spacing w:val="-2"/>
          <w:sz w:val="20"/>
        </w:rPr>
        <w:t xml:space="preserve"> </w:t>
      </w:r>
      <w:r>
        <w:rPr>
          <w:sz w:val="20"/>
        </w:rPr>
        <w:t>throughout</w:t>
      </w:r>
      <w:r>
        <w:rPr>
          <w:spacing w:val="-2"/>
          <w:sz w:val="20"/>
        </w:rPr>
        <w:t xml:space="preserve"> </w:t>
      </w:r>
      <w:r>
        <w:rPr>
          <w:sz w:val="20"/>
        </w:rPr>
        <w:t>the</w:t>
      </w:r>
      <w:r>
        <w:rPr>
          <w:spacing w:val="-1"/>
          <w:sz w:val="20"/>
        </w:rPr>
        <w:t xml:space="preserve"> </w:t>
      </w:r>
      <w:r>
        <w:rPr>
          <w:spacing w:val="-2"/>
          <w:sz w:val="20"/>
        </w:rPr>
        <w:t>state.</w:t>
      </w:r>
    </w:p>
    <w:p w14:paraId="54F2444E" w14:textId="77777777" w:rsidR="00AC6F3C" w:rsidRDefault="00AC6F3C">
      <w:pPr>
        <w:rPr>
          <w:sz w:val="20"/>
        </w:rPr>
        <w:sectPr w:rsidR="00AC6F3C">
          <w:headerReference w:type="default" r:id="rId23"/>
          <w:footerReference w:type="default" r:id="rId24"/>
          <w:pgSz w:w="11910" w:h="16840"/>
          <w:pgMar w:top="1140" w:right="1160" w:bottom="520" w:left="1160" w:header="0" w:footer="336" w:gutter="0"/>
          <w:cols w:space="720"/>
        </w:sectPr>
      </w:pPr>
    </w:p>
    <w:p w14:paraId="6D3354E0" w14:textId="77777777" w:rsidR="00AC6F3C" w:rsidRDefault="00570E88">
      <w:pPr>
        <w:pStyle w:val="BodyText"/>
        <w:spacing w:line="20" w:lineRule="exact"/>
        <w:ind w:left="115"/>
        <w:rPr>
          <w:sz w:val="2"/>
        </w:rPr>
      </w:pPr>
      <w:r>
        <w:rPr>
          <w:noProof/>
          <w:sz w:val="2"/>
        </w:rPr>
        <w:lastRenderedPageBreak/>
        <mc:AlternateContent>
          <mc:Choice Requires="wpg">
            <w:drawing>
              <wp:inline distT="0" distB="0" distL="0" distR="0" wp14:anchorId="1FB888AC" wp14:editId="055FFDC3">
                <wp:extent cx="5940425" cy="25400"/>
                <wp:effectExtent l="19050" t="0" r="3175"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42" name="Graphic 42"/>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1A92AD" id="Group 41"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">
                <v:shape id="Graphic 42"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" path="m,l5940005,e" filled="f" strokeweight="2pt">
                  <v:path arrowok="t"/>
                </v:shape>
                <w10:anchorlock/>
              </v:group>
            </w:pict>
          </mc:Fallback>
        </mc:AlternateContent>
      </w:r>
    </w:p>
    <w:p w14:paraId="654C0ED5" w14:textId="77777777" w:rsidR="00AC6F3C" w:rsidRDefault="00570E88">
      <w:pPr>
        <w:pStyle w:val="Heading2"/>
        <w:ind w:left="115"/>
      </w:pPr>
      <w:bookmarkStart w:id="8" w:name="Key_performance_indicators"/>
      <w:bookmarkStart w:id="9" w:name="Performance_overview"/>
      <w:bookmarkStart w:id="10" w:name="_bookmark3"/>
      <w:bookmarkEnd w:id="8"/>
      <w:bookmarkEnd w:id="9"/>
      <w:bookmarkEnd w:id="10"/>
      <w:r>
        <w:t>Key</w:t>
      </w:r>
      <w:r>
        <w:rPr>
          <w:spacing w:val="-6"/>
        </w:rPr>
        <w:t xml:space="preserve"> </w:t>
      </w:r>
      <w:r>
        <w:t>performance</w:t>
      </w:r>
      <w:r>
        <w:rPr>
          <w:spacing w:val="-6"/>
        </w:rPr>
        <w:t xml:space="preserve"> </w:t>
      </w:r>
      <w:r>
        <w:rPr>
          <w:spacing w:val="-2"/>
        </w:rPr>
        <w:t>indicators</w:t>
      </w:r>
    </w:p>
    <w:p w14:paraId="31E1EC27" w14:textId="77777777" w:rsidR="00AC6F3C" w:rsidRDefault="00AC6F3C">
      <w:pPr>
        <w:pStyle w:val="BodyText"/>
        <w:spacing w:before="6"/>
        <w:rPr>
          <w:b/>
          <w:sz w:val="43"/>
        </w:rPr>
      </w:pPr>
    </w:p>
    <w:p w14:paraId="432D67CA" w14:textId="77777777" w:rsidR="00AC6F3C" w:rsidRDefault="00570E88">
      <w:pPr>
        <w:pStyle w:val="Heading3"/>
        <w:ind w:left="115"/>
      </w:pPr>
      <w:r>
        <w:t>Performance</w:t>
      </w:r>
      <w:r>
        <w:rPr>
          <w:spacing w:val="-10"/>
        </w:rPr>
        <w:t xml:space="preserve"> </w:t>
      </w:r>
      <w:r>
        <w:rPr>
          <w:spacing w:val="-2"/>
        </w:rPr>
        <w:t>overview</w:t>
      </w:r>
    </w:p>
    <w:p w14:paraId="3FF37F22" w14:textId="77777777" w:rsidR="00AC6F3C" w:rsidRDefault="00AC6F3C">
      <w:pPr>
        <w:pStyle w:val="BodyText"/>
        <w:spacing w:before="7"/>
        <w:rPr>
          <w:b/>
          <w:sz w:val="29"/>
        </w:rPr>
      </w:pPr>
    </w:p>
    <w:p w14:paraId="7B611184" w14:textId="77777777" w:rsidR="00AC6F3C" w:rsidRDefault="00570E88">
      <w:pPr>
        <w:ind w:left="115"/>
        <w:rPr>
          <w:b/>
          <w:sz w:val="26"/>
        </w:rPr>
      </w:pPr>
      <w:r>
        <w:rPr>
          <w:b/>
          <w:sz w:val="26"/>
        </w:rPr>
        <w:t>Strategic</w:t>
      </w:r>
      <w:r>
        <w:rPr>
          <w:b/>
          <w:spacing w:val="-5"/>
          <w:sz w:val="26"/>
        </w:rPr>
        <w:t xml:space="preserve"> </w:t>
      </w:r>
      <w:r>
        <w:rPr>
          <w:b/>
          <w:sz w:val="26"/>
        </w:rPr>
        <w:t>and</w:t>
      </w:r>
      <w:r>
        <w:rPr>
          <w:b/>
          <w:spacing w:val="-4"/>
          <w:sz w:val="26"/>
        </w:rPr>
        <w:t xml:space="preserve"> </w:t>
      </w:r>
      <w:r>
        <w:rPr>
          <w:b/>
          <w:sz w:val="26"/>
        </w:rPr>
        <w:t>operational</w:t>
      </w:r>
      <w:r>
        <w:rPr>
          <w:b/>
          <w:spacing w:val="-5"/>
          <w:sz w:val="26"/>
        </w:rPr>
        <w:t xml:space="preserve"> </w:t>
      </w:r>
      <w:r>
        <w:rPr>
          <w:b/>
          <w:sz w:val="26"/>
        </w:rPr>
        <w:t>performance</w:t>
      </w:r>
      <w:r>
        <w:rPr>
          <w:b/>
          <w:spacing w:val="-4"/>
          <w:sz w:val="26"/>
        </w:rPr>
        <w:t xml:space="preserve"> </w:t>
      </w:r>
      <w:r>
        <w:rPr>
          <w:b/>
          <w:spacing w:val="-2"/>
          <w:sz w:val="26"/>
        </w:rPr>
        <w:t>overview</w:t>
      </w:r>
    </w:p>
    <w:p w14:paraId="55E9F0CF" w14:textId="77777777" w:rsidR="00AC6F3C" w:rsidRDefault="00570E88">
      <w:pPr>
        <w:pStyle w:val="BodyText"/>
        <w:spacing w:before="168" w:line="249" w:lineRule="auto"/>
        <w:ind w:left="115"/>
      </w:pPr>
      <w:r>
        <w:t xml:space="preserve">The 2022-23 </w:t>
      </w:r>
      <w:proofErr w:type="gramStart"/>
      <w:r>
        <w:t>financial year</w:t>
      </w:r>
      <w:proofErr w:type="gramEnd"/>
      <w:r>
        <w:t xml:space="preserve"> marks the second year of QLS’s four-year strategic plan 2021-25, which supports</w:t>
      </w:r>
      <w:r>
        <w:rPr>
          <w:spacing w:val="-3"/>
        </w:rPr>
        <w:t xml:space="preserve"> </w:t>
      </w:r>
      <w:r>
        <w:t>our</w:t>
      </w:r>
      <w:r>
        <w:rPr>
          <w:spacing w:val="-3"/>
        </w:rPr>
        <w:t xml:space="preserve"> </w:t>
      </w:r>
      <w:r>
        <w:t>vision</w:t>
      </w:r>
      <w:r>
        <w:rPr>
          <w:spacing w:val="-3"/>
        </w:rPr>
        <w:t xml:space="preserve"> </w:t>
      </w:r>
      <w:r>
        <w:t>of</w:t>
      </w:r>
      <w:r>
        <w:rPr>
          <w:spacing w:val="-3"/>
        </w:rPr>
        <w:t xml:space="preserve"> </w:t>
      </w:r>
      <w:r>
        <w:t>leading</w:t>
      </w:r>
      <w:r>
        <w:rPr>
          <w:spacing w:val="-3"/>
        </w:rPr>
        <w:t xml:space="preserve"> </w:t>
      </w:r>
      <w:r>
        <w:t>solicitors</w:t>
      </w:r>
      <w:r>
        <w:rPr>
          <w:spacing w:val="-3"/>
        </w:rPr>
        <w:t xml:space="preserve"> </w:t>
      </w:r>
      <w:r>
        <w:t>in</w:t>
      </w:r>
      <w:r>
        <w:rPr>
          <w:spacing w:val="-3"/>
        </w:rPr>
        <w:t xml:space="preserve"> </w:t>
      </w:r>
      <w:r>
        <w:t>Queensland</w:t>
      </w:r>
      <w:r>
        <w:rPr>
          <w:spacing w:val="-3"/>
        </w:rPr>
        <w:t xml:space="preserve"> </w:t>
      </w:r>
      <w:r>
        <w:t>and</w:t>
      </w:r>
      <w:r>
        <w:rPr>
          <w:spacing w:val="-3"/>
        </w:rPr>
        <w:t xml:space="preserve"> </w:t>
      </w:r>
      <w:r>
        <w:t>strengthens</w:t>
      </w:r>
      <w:r>
        <w:rPr>
          <w:spacing w:val="-3"/>
        </w:rPr>
        <w:t xml:space="preserve"> </w:t>
      </w:r>
      <w:r>
        <w:t>our</w:t>
      </w:r>
      <w:r>
        <w:rPr>
          <w:spacing w:val="-3"/>
        </w:rPr>
        <w:t xml:space="preserve"> </w:t>
      </w:r>
      <w:r>
        <w:t>purpose</w:t>
      </w:r>
      <w:r>
        <w:rPr>
          <w:spacing w:val="-3"/>
        </w:rPr>
        <w:t xml:space="preserve"> </w:t>
      </w:r>
      <w:r>
        <w:t>of</w:t>
      </w:r>
      <w:r>
        <w:rPr>
          <w:spacing w:val="-3"/>
        </w:rPr>
        <w:t xml:space="preserve"> </w:t>
      </w:r>
      <w:r>
        <w:t>good</w:t>
      </w:r>
      <w:r>
        <w:rPr>
          <w:spacing w:val="-3"/>
        </w:rPr>
        <w:t xml:space="preserve"> </w:t>
      </w:r>
      <w:r>
        <w:t>law,</w:t>
      </w:r>
      <w:r>
        <w:rPr>
          <w:spacing w:val="-3"/>
        </w:rPr>
        <w:t xml:space="preserve"> </w:t>
      </w:r>
      <w:r>
        <w:t>good lawyers, public good.</w:t>
      </w:r>
    </w:p>
    <w:p w14:paraId="0AC818C8" w14:textId="77777777" w:rsidR="00AC6F3C" w:rsidRDefault="00570E88">
      <w:pPr>
        <w:pStyle w:val="BodyText"/>
        <w:spacing w:before="172" w:line="249" w:lineRule="auto"/>
        <w:ind w:left="115"/>
      </w:pPr>
      <w:r>
        <w:t>Our</w:t>
      </w:r>
      <w:r>
        <w:rPr>
          <w:spacing w:val="-4"/>
        </w:rPr>
        <w:t xml:space="preserve"> </w:t>
      </w:r>
      <w:r>
        <w:t>four-year</w:t>
      </w:r>
      <w:r>
        <w:rPr>
          <w:spacing w:val="-4"/>
        </w:rPr>
        <w:t xml:space="preserve"> </w:t>
      </w:r>
      <w:r>
        <w:t>strategic</w:t>
      </w:r>
      <w:r>
        <w:rPr>
          <w:spacing w:val="-4"/>
        </w:rPr>
        <w:t xml:space="preserve"> </w:t>
      </w:r>
      <w:r>
        <w:t>plan</w:t>
      </w:r>
      <w:r>
        <w:rPr>
          <w:spacing w:val="-4"/>
        </w:rPr>
        <w:t xml:space="preserve"> </w:t>
      </w:r>
      <w:r>
        <w:t>outlines</w:t>
      </w:r>
      <w:r>
        <w:rPr>
          <w:spacing w:val="-4"/>
        </w:rPr>
        <w:t xml:space="preserve"> </w:t>
      </w:r>
      <w:r>
        <w:t>six</w:t>
      </w:r>
      <w:r>
        <w:rPr>
          <w:spacing w:val="-4"/>
        </w:rPr>
        <w:t xml:space="preserve"> </w:t>
      </w:r>
      <w:r>
        <w:t>strategic</w:t>
      </w:r>
      <w:r>
        <w:rPr>
          <w:spacing w:val="-4"/>
        </w:rPr>
        <w:t xml:space="preserve"> </w:t>
      </w:r>
      <w:r>
        <w:t>objectives</w:t>
      </w:r>
      <w:r>
        <w:rPr>
          <w:spacing w:val="-4"/>
        </w:rPr>
        <w:t xml:space="preserve"> </w:t>
      </w:r>
      <w:r>
        <w:t>and</w:t>
      </w:r>
      <w:r>
        <w:rPr>
          <w:spacing w:val="-4"/>
        </w:rPr>
        <w:t xml:space="preserve"> </w:t>
      </w:r>
      <w:r>
        <w:t>seven</w:t>
      </w:r>
      <w:r>
        <w:rPr>
          <w:spacing w:val="-4"/>
        </w:rPr>
        <w:t xml:space="preserve"> </w:t>
      </w:r>
      <w:r>
        <w:t>measures</w:t>
      </w:r>
      <w:r>
        <w:rPr>
          <w:spacing w:val="-4"/>
        </w:rPr>
        <w:t xml:space="preserve"> </w:t>
      </w:r>
      <w:r>
        <w:t>of</w:t>
      </w:r>
      <w:r>
        <w:rPr>
          <w:spacing w:val="-4"/>
        </w:rPr>
        <w:t xml:space="preserve"> </w:t>
      </w:r>
      <w:r>
        <w:t>success</w:t>
      </w:r>
      <w:r>
        <w:rPr>
          <w:spacing w:val="-4"/>
        </w:rPr>
        <w:t xml:space="preserve"> </w:t>
      </w:r>
      <w:r>
        <w:t>(key performance</w:t>
      </w:r>
      <w:r>
        <w:rPr>
          <w:spacing w:val="-5"/>
        </w:rPr>
        <w:t xml:space="preserve"> </w:t>
      </w:r>
      <w:r>
        <w:t>indicators</w:t>
      </w:r>
      <w:r>
        <w:rPr>
          <w:spacing w:val="-5"/>
        </w:rPr>
        <w:t xml:space="preserve"> </w:t>
      </w:r>
      <w:r>
        <w:t>[KPIs]).</w:t>
      </w:r>
      <w:r>
        <w:rPr>
          <w:spacing w:val="-5"/>
        </w:rPr>
        <w:t xml:space="preserve"> </w:t>
      </w:r>
      <w:r>
        <w:t>Measurement</w:t>
      </w:r>
      <w:r>
        <w:rPr>
          <w:spacing w:val="-5"/>
        </w:rPr>
        <w:t xml:space="preserve"> </w:t>
      </w:r>
      <w:r>
        <w:t>of</w:t>
      </w:r>
      <w:r>
        <w:rPr>
          <w:spacing w:val="-5"/>
        </w:rPr>
        <w:t xml:space="preserve"> </w:t>
      </w:r>
      <w:r>
        <w:t>the</w:t>
      </w:r>
      <w:r>
        <w:rPr>
          <w:spacing w:val="-5"/>
        </w:rPr>
        <w:t xml:space="preserve"> </w:t>
      </w:r>
      <w:r>
        <w:t>second</w:t>
      </w:r>
      <w:r>
        <w:rPr>
          <w:spacing w:val="-5"/>
        </w:rPr>
        <w:t xml:space="preserve"> </w:t>
      </w:r>
      <w:r>
        <w:t>year</w:t>
      </w:r>
      <w:r>
        <w:rPr>
          <w:spacing w:val="-5"/>
        </w:rPr>
        <w:t xml:space="preserve"> </w:t>
      </w:r>
      <w:r>
        <w:t>of</w:t>
      </w:r>
      <w:r>
        <w:rPr>
          <w:spacing w:val="-5"/>
        </w:rPr>
        <w:t xml:space="preserve"> </w:t>
      </w:r>
      <w:r>
        <w:t>our</w:t>
      </w:r>
      <w:r>
        <w:rPr>
          <w:spacing w:val="-5"/>
        </w:rPr>
        <w:t xml:space="preserve"> </w:t>
      </w:r>
      <w:r>
        <w:t>strategic</w:t>
      </w:r>
      <w:r>
        <w:rPr>
          <w:spacing w:val="-5"/>
        </w:rPr>
        <w:t xml:space="preserve"> </w:t>
      </w:r>
      <w:r>
        <w:t>plan</w:t>
      </w:r>
      <w:r>
        <w:rPr>
          <w:spacing w:val="-5"/>
        </w:rPr>
        <w:t xml:space="preserve"> </w:t>
      </w:r>
      <w:r>
        <w:t>is</w:t>
      </w:r>
      <w:r>
        <w:rPr>
          <w:spacing w:val="-5"/>
        </w:rPr>
        <w:t xml:space="preserve"> </w:t>
      </w:r>
      <w:r>
        <w:t>outlined</w:t>
      </w:r>
      <w:r>
        <w:rPr>
          <w:spacing w:val="-5"/>
        </w:rPr>
        <w:t xml:space="preserve"> </w:t>
      </w:r>
      <w:r>
        <w:t>in</w:t>
      </w:r>
      <w:r>
        <w:rPr>
          <w:spacing w:val="-5"/>
        </w:rPr>
        <w:t xml:space="preserve"> </w:t>
      </w:r>
      <w:r>
        <w:t xml:space="preserve">our </w:t>
      </w:r>
      <w:r>
        <w:rPr>
          <w:spacing w:val="-2"/>
        </w:rPr>
        <w:t>Operating</w:t>
      </w:r>
      <w:r>
        <w:rPr>
          <w:spacing w:val="-5"/>
        </w:rPr>
        <w:t xml:space="preserve"> </w:t>
      </w:r>
      <w:r>
        <w:rPr>
          <w:spacing w:val="-2"/>
        </w:rPr>
        <w:t>Plan</w:t>
      </w:r>
      <w:r>
        <w:rPr>
          <w:spacing w:val="-5"/>
        </w:rPr>
        <w:t xml:space="preserve"> </w:t>
      </w:r>
      <w:r>
        <w:rPr>
          <w:spacing w:val="-2"/>
        </w:rPr>
        <w:t>2022-23,</w:t>
      </w:r>
      <w:r>
        <w:rPr>
          <w:spacing w:val="-5"/>
        </w:rPr>
        <w:t xml:space="preserve"> </w:t>
      </w:r>
      <w:r>
        <w:rPr>
          <w:spacing w:val="-2"/>
        </w:rPr>
        <w:t>with</w:t>
      </w:r>
      <w:r>
        <w:rPr>
          <w:spacing w:val="-5"/>
        </w:rPr>
        <w:t xml:space="preserve"> </w:t>
      </w:r>
      <w:r>
        <w:rPr>
          <w:spacing w:val="-2"/>
        </w:rPr>
        <w:t>our</w:t>
      </w:r>
      <w:r>
        <w:rPr>
          <w:spacing w:val="-5"/>
        </w:rPr>
        <w:t xml:space="preserve"> </w:t>
      </w:r>
      <w:r>
        <w:rPr>
          <w:spacing w:val="-2"/>
        </w:rPr>
        <w:t>operating</w:t>
      </w:r>
      <w:r>
        <w:rPr>
          <w:spacing w:val="-5"/>
        </w:rPr>
        <w:t xml:space="preserve"> </w:t>
      </w:r>
      <w:r>
        <w:rPr>
          <w:spacing w:val="-2"/>
        </w:rPr>
        <w:t>plan</w:t>
      </w:r>
      <w:r>
        <w:rPr>
          <w:spacing w:val="-5"/>
        </w:rPr>
        <w:t xml:space="preserve"> </w:t>
      </w:r>
      <w:proofErr w:type="spellStart"/>
      <w:r>
        <w:rPr>
          <w:spacing w:val="-2"/>
        </w:rPr>
        <w:t>categorised</w:t>
      </w:r>
      <w:proofErr w:type="spellEnd"/>
      <w:r>
        <w:rPr>
          <w:spacing w:val="-5"/>
        </w:rPr>
        <w:t xml:space="preserve"> </w:t>
      </w:r>
      <w:r>
        <w:rPr>
          <w:spacing w:val="-2"/>
        </w:rPr>
        <w:t>by</w:t>
      </w:r>
      <w:r>
        <w:rPr>
          <w:spacing w:val="-5"/>
        </w:rPr>
        <w:t xml:space="preserve"> </w:t>
      </w:r>
      <w:r>
        <w:rPr>
          <w:spacing w:val="-2"/>
        </w:rPr>
        <w:t>strategic</w:t>
      </w:r>
      <w:r>
        <w:rPr>
          <w:spacing w:val="-5"/>
        </w:rPr>
        <w:t xml:space="preserve"> </w:t>
      </w:r>
      <w:r>
        <w:rPr>
          <w:spacing w:val="-2"/>
        </w:rPr>
        <w:t>objectives,</w:t>
      </w:r>
      <w:r>
        <w:rPr>
          <w:spacing w:val="-5"/>
        </w:rPr>
        <w:t xml:space="preserve"> </w:t>
      </w:r>
      <w:r>
        <w:rPr>
          <w:spacing w:val="-2"/>
        </w:rPr>
        <w:t>key</w:t>
      </w:r>
      <w:r>
        <w:rPr>
          <w:spacing w:val="-5"/>
        </w:rPr>
        <w:t xml:space="preserve"> </w:t>
      </w:r>
      <w:r>
        <w:rPr>
          <w:spacing w:val="-2"/>
        </w:rPr>
        <w:t>actions,</w:t>
      </w:r>
      <w:r>
        <w:rPr>
          <w:spacing w:val="-5"/>
        </w:rPr>
        <w:t xml:space="preserve"> </w:t>
      </w:r>
      <w:r>
        <w:rPr>
          <w:spacing w:val="-2"/>
        </w:rPr>
        <w:t xml:space="preserve">strategic </w:t>
      </w:r>
      <w:r>
        <w:t>KPIs</w:t>
      </w:r>
      <w:r>
        <w:rPr>
          <w:spacing w:val="-9"/>
        </w:rPr>
        <w:t xml:space="preserve"> </w:t>
      </w:r>
      <w:r>
        <w:t>and</w:t>
      </w:r>
      <w:r>
        <w:rPr>
          <w:spacing w:val="-9"/>
        </w:rPr>
        <w:t xml:space="preserve"> </w:t>
      </w:r>
      <w:r>
        <w:t>operational</w:t>
      </w:r>
      <w:r>
        <w:rPr>
          <w:spacing w:val="-9"/>
        </w:rPr>
        <w:t xml:space="preserve"> </w:t>
      </w:r>
      <w:r>
        <w:t>targets</w:t>
      </w:r>
      <w:r>
        <w:rPr>
          <w:spacing w:val="-9"/>
        </w:rPr>
        <w:t xml:space="preserve"> </w:t>
      </w:r>
      <w:r>
        <w:t>for</w:t>
      </w:r>
      <w:r>
        <w:rPr>
          <w:spacing w:val="-9"/>
        </w:rPr>
        <w:t xml:space="preserve"> </w:t>
      </w:r>
      <w:r>
        <w:t>the</w:t>
      </w:r>
      <w:r>
        <w:rPr>
          <w:spacing w:val="-9"/>
        </w:rPr>
        <w:t xml:space="preserve"> </w:t>
      </w:r>
      <w:proofErr w:type="gramStart"/>
      <w:r>
        <w:t>financial</w:t>
      </w:r>
      <w:r>
        <w:rPr>
          <w:spacing w:val="-9"/>
        </w:rPr>
        <w:t xml:space="preserve"> </w:t>
      </w:r>
      <w:r>
        <w:t>year</w:t>
      </w:r>
      <w:proofErr w:type="gramEnd"/>
      <w:r>
        <w:t>.</w:t>
      </w:r>
      <w:r>
        <w:rPr>
          <w:spacing w:val="-9"/>
        </w:rPr>
        <w:t xml:space="preserve"> </w:t>
      </w:r>
      <w:r>
        <w:t>Measures</w:t>
      </w:r>
      <w:r>
        <w:rPr>
          <w:spacing w:val="-9"/>
        </w:rPr>
        <w:t xml:space="preserve"> </w:t>
      </w:r>
      <w:r>
        <w:t>include</w:t>
      </w:r>
      <w:r>
        <w:rPr>
          <w:spacing w:val="-9"/>
        </w:rPr>
        <w:t xml:space="preserve"> </w:t>
      </w:r>
      <w:r>
        <w:t>both</w:t>
      </w:r>
      <w:r>
        <w:rPr>
          <w:spacing w:val="-9"/>
        </w:rPr>
        <w:t xml:space="preserve"> </w:t>
      </w:r>
      <w:r>
        <w:t>qualitative</w:t>
      </w:r>
      <w:r>
        <w:rPr>
          <w:spacing w:val="-9"/>
        </w:rPr>
        <w:t xml:space="preserve"> </w:t>
      </w:r>
      <w:r>
        <w:t>and</w:t>
      </w:r>
      <w:r>
        <w:rPr>
          <w:spacing w:val="-9"/>
        </w:rPr>
        <w:t xml:space="preserve"> </w:t>
      </w:r>
      <w:r>
        <w:t>quantitative assessments</w:t>
      </w:r>
      <w:r>
        <w:rPr>
          <w:spacing w:val="-3"/>
        </w:rPr>
        <w:t xml:space="preserve"> </w:t>
      </w:r>
      <w:r>
        <w:t>to</w:t>
      </w:r>
      <w:r>
        <w:rPr>
          <w:spacing w:val="-3"/>
        </w:rPr>
        <w:t xml:space="preserve"> </w:t>
      </w:r>
      <w:r>
        <w:t>gauge</w:t>
      </w:r>
      <w:r>
        <w:rPr>
          <w:spacing w:val="-3"/>
        </w:rPr>
        <w:t xml:space="preserve"> </w:t>
      </w:r>
      <w:r>
        <w:t>engagement</w:t>
      </w:r>
      <w:r>
        <w:rPr>
          <w:spacing w:val="-3"/>
        </w:rPr>
        <w:t xml:space="preserve"> </w:t>
      </w:r>
      <w:r>
        <w:t>across</w:t>
      </w:r>
      <w:r>
        <w:rPr>
          <w:spacing w:val="-3"/>
        </w:rPr>
        <w:t xml:space="preserve"> </w:t>
      </w:r>
      <w:r>
        <w:t>the</w:t>
      </w:r>
      <w:r>
        <w:rPr>
          <w:spacing w:val="-3"/>
        </w:rPr>
        <w:t xml:space="preserve"> </w:t>
      </w:r>
      <w:r>
        <w:t>membership,</w:t>
      </w:r>
      <w:r>
        <w:rPr>
          <w:spacing w:val="-3"/>
        </w:rPr>
        <w:t xml:space="preserve"> </w:t>
      </w:r>
      <w:proofErr w:type="gramStart"/>
      <w:r>
        <w:t>staff</w:t>
      </w:r>
      <w:proofErr w:type="gramEnd"/>
      <w:r>
        <w:rPr>
          <w:spacing w:val="-2"/>
        </w:rPr>
        <w:t xml:space="preserve"> </w:t>
      </w:r>
      <w:r>
        <w:t>and</w:t>
      </w:r>
      <w:r>
        <w:rPr>
          <w:spacing w:val="-3"/>
        </w:rPr>
        <w:t xml:space="preserve"> </w:t>
      </w:r>
      <w:r>
        <w:t>key</w:t>
      </w:r>
      <w:r>
        <w:rPr>
          <w:spacing w:val="-3"/>
        </w:rPr>
        <w:t xml:space="preserve"> </w:t>
      </w:r>
      <w:r>
        <w:t>stakeholders.</w:t>
      </w:r>
    </w:p>
    <w:p w14:paraId="396B737E" w14:textId="77777777" w:rsidR="00AC6F3C" w:rsidRDefault="00570E88">
      <w:pPr>
        <w:pStyle w:val="BodyText"/>
        <w:spacing w:before="174"/>
        <w:ind w:left="115"/>
      </w:pPr>
      <w:r>
        <w:t>A</w:t>
      </w:r>
      <w:r>
        <w:rPr>
          <w:spacing w:val="-13"/>
        </w:rPr>
        <w:t xml:space="preserve"> </w:t>
      </w:r>
      <w:r>
        <w:t>summary</w:t>
      </w:r>
      <w:r>
        <w:rPr>
          <w:spacing w:val="-3"/>
        </w:rPr>
        <w:t xml:space="preserve"> </w:t>
      </w:r>
      <w:r>
        <w:t>of</w:t>
      </w:r>
      <w:r>
        <w:rPr>
          <w:spacing w:val="-2"/>
        </w:rPr>
        <w:t xml:space="preserve"> </w:t>
      </w:r>
      <w:r>
        <w:t>QLS’s</w:t>
      </w:r>
      <w:r>
        <w:rPr>
          <w:spacing w:val="-3"/>
        </w:rPr>
        <w:t xml:space="preserve"> </w:t>
      </w:r>
      <w:r>
        <w:t>performance</w:t>
      </w:r>
      <w:r>
        <w:rPr>
          <w:spacing w:val="-2"/>
        </w:rPr>
        <w:t xml:space="preserve"> </w:t>
      </w:r>
      <w:r>
        <w:t>in</w:t>
      </w:r>
      <w:r>
        <w:rPr>
          <w:spacing w:val="-2"/>
        </w:rPr>
        <w:t xml:space="preserve"> </w:t>
      </w:r>
      <w:r>
        <w:t>the</w:t>
      </w:r>
      <w:r>
        <w:rPr>
          <w:spacing w:val="-3"/>
        </w:rPr>
        <w:t xml:space="preserve"> </w:t>
      </w:r>
      <w:r>
        <w:t>second</w:t>
      </w:r>
      <w:r>
        <w:rPr>
          <w:spacing w:val="-2"/>
        </w:rPr>
        <w:t xml:space="preserve"> </w:t>
      </w:r>
      <w:r>
        <w:t>year</w:t>
      </w:r>
      <w:r>
        <w:rPr>
          <w:spacing w:val="-3"/>
        </w:rPr>
        <w:t xml:space="preserve"> </w:t>
      </w:r>
      <w:r>
        <w:t>of</w:t>
      </w:r>
      <w:r>
        <w:rPr>
          <w:spacing w:val="-2"/>
        </w:rPr>
        <w:t xml:space="preserve"> </w:t>
      </w:r>
      <w:r>
        <w:t>its</w:t>
      </w:r>
      <w:r>
        <w:rPr>
          <w:spacing w:val="-2"/>
        </w:rPr>
        <w:t xml:space="preserve"> </w:t>
      </w:r>
      <w:r>
        <w:t>Strategic</w:t>
      </w:r>
      <w:r>
        <w:rPr>
          <w:spacing w:val="-3"/>
        </w:rPr>
        <w:t xml:space="preserve"> </w:t>
      </w:r>
      <w:r>
        <w:t>Plan</w:t>
      </w:r>
      <w:r>
        <w:rPr>
          <w:spacing w:val="-2"/>
        </w:rPr>
        <w:t xml:space="preserve"> </w:t>
      </w:r>
      <w:r>
        <w:t>2021-25</w:t>
      </w:r>
      <w:r>
        <w:rPr>
          <w:spacing w:val="-3"/>
        </w:rPr>
        <w:t xml:space="preserve"> </w:t>
      </w:r>
      <w:r>
        <w:t>and</w:t>
      </w:r>
      <w:r>
        <w:rPr>
          <w:spacing w:val="-2"/>
        </w:rPr>
        <w:t xml:space="preserve"> </w:t>
      </w:r>
      <w:r>
        <w:t>the</w:t>
      </w:r>
      <w:r>
        <w:rPr>
          <w:spacing w:val="-2"/>
        </w:rPr>
        <w:t xml:space="preserve"> annual</w:t>
      </w:r>
    </w:p>
    <w:p w14:paraId="6A3A8382" w14:textId="77777777" w:rsidR="00AC6F3C" w:rsidRDefault="00570E88">
      <w:pPr>
        <w:pStyle w:val="BodyText"/>
        <w:spacing w:before="10"/>
        <w:ind w:left="115"/>
      </w:pPr>
      <w:r>
        <w:t>Operating</w:t>
      </w:r>
      <w:r>
        <w:rPr>
          <w:spacing w:val="-4"/>
        </w:rPr>
        <w:t xml:space="preserve"> </w:t>
      </w:r>
      <w:r>
        <w:t>Plan</w:t>
      </w:r>
      <w:r>
        <w:rPr>
          <w:spacing w:val="-4"/>
        </w:rPr>
        <w:t xml:space="preserve"> </w:t>
      </w:r>
      <w:r>
        <w:t>2022-23</w:t>
      </w:r>
      <w:r>
        <w:rPr>
          <w:spacing w:val="-3"/>
        </w:rPr>
        <w:t xml:space="preserve"> </w:t>
      </w:r>
      <w:proofErr w:type="gramStart"/>
      <w:r>
        <w:t>is</w:t>
      </w:r>
      <w:r>
        <w:rPr>
          <w:spacing w:val="-4"/>
        </w:rPr>
        <w:t xml:space="preserve"> </w:t>
      </w:r>
      <w:r>
        <w:t>outlined</w:t>
      </w:r>
      <w:proofErr w:type="gramEnd"/>
      <w:r>
        <w:rPr>
          <w:spacing w:val="-3"/>
        </w:rPr>
        <w:t xml:space="preserve"> </w:t>
      </w:r>
      <w:r>
        <w:t>in</w:t>
      </w:r>
      <w:r>
        <w:rPr>
          <w:spacing w:val="-4"/>
        </w:rPr>
        <w:t xml:space="preserve"> </w:t>
      </w:r>
      <w:r>
        <w:t>this</w:t>
      </w:r>
      <w:r>
        <w:rPr>
          <w:spacing w:val="-3"/>
        </w:rPr>
        <w:t xml:space="preserve"> </w:t>
      </w:r>
      <w:r>
        <w:rPr>
          <w:spacing w:val="-2"/>
        </w:rPr>
        <w:t>report.</w:t>
      </w:r>
    </w:p>
    <w:p w14:paraId="61D41127" w14:textId="77777777" w:rsidR="00AC6F3C" w:rsidRDefault="00AC6F3C">
      <w:pPr>
        <w:pStyle w:val="BodyText"/>
        <w:spacing w:before="10"/>
        <w:rPr>
          <w:sz w:val="31"/>
        </w:rPr>
      </w:pPr>
    </w:p>
    <w:p w14:paraId="1FA2F9D5" w14:textId="77777777" w:rsidR="00AC6F3C" w:rsidRDefault="00570E88">
      <w:pPr>
        <w:ind w:left="115"/>
        <w:rPr>
          <w:b/>
          <w:sz w:val="26"/>
        </w:rPr>
      </w:pPr>
      <w:r>
        <w:rPr>
          <w:b/>
          <w:sz w:val="26"/>
        </w:rPr>
        <w:t>Strategic</w:t>
      </w:r>
      <w:r>
        <w:rPr>
          <w:b/>
          <w:spacing w:val="-9"/>
          <w:sz w:val="26"/>
        </w:rPr>
        <w:t xml:space="preserve"> </w:t>
      </w:r>
      <w:r>
        <w:rPr>
          <w:b/>
          <w:sz w:val="26"/>
        </w:rPr>
        <w:t>Plan</w:t>
      </w:r>
      <w:r>
        <w:rPr>
          <w:b/>
          <w:spacing w:val="-6"/>
          <w:sz w:val="26"/>
        </w:rPr>
        <w:t xml:space="preserve"> </w:t>
      </w:r>
      <w:r>
        <w:rPr>
          <w:b/>
          <w:sz w:val="26"/>
        </w:rPr>
        <w:t>2021-</w:t>
      </w:r>
      <w:r>
        <w:rPr>
          <w:b/>
          <w:spacing w:val="-5"/>
          <w:sz w:val="26"/>
        </w:rPr>
        <w:t>25</w:t>
      </w:r>
    </w:p>
    <w:p w14:paraId="4A573319" w14:textId="77777777" w:rsidR="00AC6F3C" w:rsidRDefault="00570E88">
      <w:pPr>
        <w:pStyle w:val="BodyText"/>
        <w:spacing w:before="167" w:line="249" w:lineRule="auto"/>
        <w:ind w:left="115" w:right="283"/>
      </w:pPr>
      <w:r>
        <w:t>On</w:t>
      </w:r>
      <w:r>
        <w:rPr>
          <w:spacing w:val="-2"/>
        </w:rPr>
        <w:t xml:space="preserve"> </w:t>
      </w:r>
      <w:r>
        <w:t>1</w:t>
      </w:r>
      <w:r>
        <w:rPr>
          <w:spacing w:val="-2"/>
        </w:rPr>
        <w:t xml:space="preserve"> </w:t>
      </w:r>
      <w:r>
        <w:t>July</w:t>
      </w:r>
      <w:r>
        <w:rPr>
          <w:spacing w:val="-2"/>
        </w:rPr>
        <w:t xml:space="preserve"> </w:t>
      </w:r>
      <w:r>
        <w:t>2021</w:t>
      </w:r>
      <w:r>
        <w:rPr>
          <w:spacing w:val="-2"/>
        </w:rPr>
        <w:t xml:space="preserve"> </w:t>
      </w:r>
      <w:r>
        <w:t>QLS</w:t>
      </w:r>
      <w:r>
        <w:rPr>
          <w:spacing w:val="-2"/>
        </w:rPr>
        <w:t xml:space="preserve"> </w:t>
      </w:r>
      <w:r>
        <w:t>embarked</w:t>
      </w:r>
      <w:r>
        <w:rPr>
          <w:spacing w:val="-2"/>
        </w:rPr>
        <w:t xml:space="preserve"> </w:t>
      </w:r>
      <w:r>
        <w:t>on</w:t>
      </w:r>
      <w:r>
        <w:rPr>
          <w:spacing w:val="-2"/>
        </w:rPr>
        <w:t xml:space="preserve"> </w:t>
      </w:r>
      <w:r>
        <w:t>its</w:t>
      </w:r>
      <w:r>
        <w:rPr>
          <w:spacing w:val="-2"/>
        </w:rPr>
        <w:t xml:space="preserve"> </w:t>
      </w:r>
      <w:r>
        <w:t>new</w:t>
      </w:r>
      <w:r>
        <w:rPr>
          <w:spacing w:val="-2"/>
        </w:rPr>
        <w:t xml:space="preserve"> </w:t>
      </w:r>
      <w:r>
        <w:t>Strategic</w:t>
      </w:r>
      <w:r>
        <w:rPr>
          <w:spacing w:val="-2"/>
        </w:rPr>
        <w:t xml:space="preserve"> </w:t>
      </w:r>
      <w:r>
        <w:t>Plan</w:t>
      </w:r>
      <w:r>
        <w:rPr>
          <w:spacing w:val="-2"/>
        </w:rPr>
        <w:t xml:space="preserve"> </w:t>
      </w:r>
      <w:r>
        <w:t>2021-25,</w:t>
      </w:r>
      <w:r>
        <w:rPr>
          <w:spacing w:val="-2"/>
        </w:rPr>
        <w:t xml:space="preserve"> </w:t>
      </w:r>
      <w:r>
        <w:t>which</w:t>
      </w:r>
      <w:r>
        <w:rPr>
          <w:spacing w:val="-2"/>
        </w:rPr>
        <w:t xml:space="preserve"> </w:t>
      </w:r>
      <w:r>
        <w:t>includes</w:t>
      </w:r>
      <w:r>
        <w:rPr>
          <w:spacing w:val="-2"/>
        </w:rPr>
        <w:t xml:space="preserve"> </w:t>
      </w:r>
      <w:proofErr w:type="gramStart"/>
      <w:r>
        <w:t>14</w:t>
      </w:r>
      <w:proofErr w:type="gramEnd"/>
      <w:r>
        <w:rPr>
          <w:spacing w:val="-2"/>
        </w:rPr>
        <w:t xml:space="preserve"> </w:t>
      </w:r>
      <w:r>
        <w:t>key</w:t>
      </w:r>
      <w:r>
        <w:rPr>
          <w:spacing w:val="-2"/>
        </w:rPr>
        <w:t xml:space="preserve"> </w:t>
      </w:r>
      <w:r>
        <w:t>strategies</w:t>
      </w:r>
      <w:r>
        <w:rPr>
          <w:spacing w:val="-2"/>
        </w:rPr>
        <w:t xml:space="preserve"> </w:t>
      </w:r>
      <w:r>
        <w:t xml:space="preserve">that align with our six strategic objectives. Intertwined with our strategies are an assessment of strategic opportunities and risks and challenges. On </w:t>
      </w:r>
      <w:proofErr w:type="gramStart"/>
      <w:r>
        <w:t>27</w:t>
      </w:r>
      <w:r>
        <w:rPr>
          <w:spacing w:val="-5"/>
        </w:rPr>
        <w:t xml:space="preserve"> </w:t>
      </w:r>
      <w:r>
        <w:t>April 2023</w:t>
      </w:r>
      <w:proofErr w:type="gramEnd"/>
      <w:r>
        <w:t xml:space="preserve"> the Strategic Plan was reviewed and revised by Council to add:</w:t>
      </w:r>
    </w:p>
    <w:p w14:paraId="0E50344E" w14:textId="77777777" w:rsidR="00AC6F3C" w:rsidRDefault="00570E88">
      <w:pPr>
        <w:pStyle w:val="ListParagraph"/>
        <w:numPr>
          <w:ilvl w:val="0"/>
          <w:numId w:val="84"/>
        </w:numPr>
        <w:tabs>
          <w:tab w:val="left" w:pos="455"/>
        </w:tabs>
        <w:spacing w:before="174" w:line="249" w:lineRule="auto"/>
        <w:ind w:right="582"/>
        <w:rPr>
          <w:sz w:val="20"/>
        </w:rPr>
      </w:pPr>
      <w:r>
        <w:rPr>
          <w:sz w:val="20"/>
        </w:rPr>
        <w:t>an</w:t>
      </w:r>
      <w:r>
        <w:rPr>
          <w:spacing w:val="-3"/>
          <w:sz w:val="20"/>
        </w:rPr>
        <w:t xml:space="preserve"> </w:t>
      </w:r>
      <w:r>
        <w:rPr>
          <w:sz w:val="20"/>
        </w:rPr>
        <w:t>additional</w:t>
      </w:r>
      <w:r>
        <w:rPr>
          <w:spacing w:val="-3"/>
          <w:sz w:val="20"/>
        </w:rPr>
        <w:t xml:space="preserve"> </w:t>
      </w:r>
      <w:r>
        <w:rPr>
          <w:sz w:val="20"/>
        </w:rPr>
        <w:t>purpose</w:t>
      </w:r>
      <w:r>
        <w:rPr>
          <w:spacing w:val="-3"/>
          <w:sz w:val="20"/>
        </w:rPr>
        <w:t xml:space="preserve"> </w:t>
      </w:r>
      <w:r>
        <w:rPr>
          <w:sz w:val="20"/>
        </w:rPr>
        <w:t>reflecting</w:t>
      </w:r>
      <w:r>
        <w:rPr>
          <w:spacing w:val="-3"/>
          <w:sz w:val="20"/>
        </w:rPr>
        <w:t xml:space="preserve"> </w:t>
      </w:r>
      <w:r>
        <w:rPr>
          <w:sz w:val="20"/>
        </w:rPr>
        <w:t>the</w:t>
      </w:r>
      <w:r>
        <w:rPr>
          <w:spacing w:val="-3"/>
          <w:sz w:val="20"/>
        </w:rPr>
        <w:t xml:space="preserve"> </w:t>
      </w:r>
      <w:r>
        <w:rPr>
          <w:sz w:val="20"/>
        </w:rPr>
        <w:t>Society’s</w:t>
      </w:r>
      <w:r>
        <w:rPr>
          <w:spacing w:val="-3"/>
          <w:sz w:val="20"/>
        </w:rPr>
        <w:t xml:space="preserve"> </w:t>
      </w:r>
      <w:r>
        <w:rPr>
          <w:sz w:val="20"/>
        </w:rPr>
        <w:t>co-regulation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profession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benefit</w:t>
      </w:r>
      <w:r>
        <w:rPr>
          <w:spacing w:val="-3"/>
          <w:sz w:val="20"/>
        </w:rPr>
        <w:t xml:space="preserve"> </w:t>
      </w:r>
      <w:r>
        <w:rPr>
          <w:sz w:val="20"/>
        </w:rPr>
        <w:t>of</w:t>
      </w:r>
      <w:r>
        <w:rPr>
          <w:spacing w:val="-3"/>
          <w:sz w:val="20"/>
        </w:rPr>
        <w:t xml:space="preserve"> </w:t>
      </w:r>
      <w:r>
        <w:rPr>
          <w:sz w:val="20"/>
        </w:rPr>
        <w:t xml:space="preserve">the profession and the </w:t>
      </w:r>
      <w:proofErr w:type="gramStart"/>
      <w:r>
        <w:rPr>
          <w:sz w:val="20"/>
        </w:rPr>
        <w:t>public</w:t>
      </w:r>
      <w:proofErr w:type="gramEnd"/>
    </w:p>
    <w:p w14:paraId="35F34F3B" w14:textId="77777777" w:rsidR="00AC6F3C" w:rsidRDefault="00570E88">
      <w:pPr>
        <w:pStyle w:val="ListParagraph"/>
        <w:numPr>
          <w:ilvl w:val="0"/>
          <w:numId w:val="84"/>
        </w:numPr>
        <w:tabs>
          <w:tab w:val="left" w:pos="455"/>
        </w:tabs>
        <w:spacing w:before="171"/>
        <w:ind w:hanging="340"/>
        <w:rPr>
          <w:sz w:val="20"/>
        </w:rPr>
      </w:pPr>
      <w:r>
        <w:rPr>
          <w:sz w:val="20"/>
        </w:rPr>
        <w:t>an</w:t>
      </w:r>
      <w:r>
        <w:rPr>
          <w:spacing w:val="-6"/>
          <w:sz w:val="20"/>
        </w:rPr>
        <w:t xml:space="preserve"> </w:t>
      </w:r>
      <w:r>
        <w:rPr>
          <w:sz w:val="20"/>
        </w:rPr>
        <w:t>additional</w:t>
      </w:r>
      <w:r>
        <w:rPr>
          <w:spacing w:val="-4"/>
          <w:sz w:val="20"/>
        </w:rPr>
        <w:t xml:space="preserve"> </w:t>
      </w:r>
      <w:r>
        <w:rPr>
          <w:sz w:val="20"/>
        </w:rPr>
        <w:t>strategy</w:t>
      </w:r>
      <w:r>
        <w:rPr>
          <w:spacing w:val="-3"/>
          <w:sz w:val="20"/>
        </w:rPr>
        <w:t xml:space="preserve"> </w:t>
      </w:r>
      <w:r>
        <w:rPr>
          <w:sz w:val="20"/>
        </w:rPr>
        <w:t>to</w:t>
      </w:r>
      <w:r>
        <w:rPr>
          <w:spacing w:val="-4"/>
          <w:sz w:val="20"/>
        </w:rPr>
        <w:t xml:space="preserve"> </w:t>
      </w:r>
      <w:r>
        <w:rPr>
          <w:sz w:val="20"/>
        </w:rPr>
        <w:t>support</w:t>
      </w:r>
      <w:r>
        <w:rPr>
          <w:spacing w:val="-4"/>
          <w:sz w:val="20"/>
        </w:rPr>
        <w:t xml:space="preserve"> </w:t>
      </w:r>
      <w:r>
        <w:rPr>
          <w:sz w:val="20"/>
        </w:rPr>
        <w:t>good</w:t>
      </w:r>
      <w:r>
        <w:rPr>
          <w:spacing w:val="-3"/>
          <w:sz w:val="20"/>
        </w:rPr>
        <w:t xml:space="preserve"> </w:t>
      </w:r>
      <w:r>
        <w:rPr>
          <w:sz w:val="20"/>
        </w:rPr>
        <w:t>corporate</w:t>
      </w:r>
      <w:r>
        <w:rPr>
          <w:spacing w:val="-4"/>
          <w:sz w:val="20"/>
        </w:rPr>
        <w:t xml:space="preserve"> </w:t>
      </w:r>
      <w:r>
        <w:rPr>
          <w:sz w:val="20"/>
        </w:rPr>
        <w:t>governance</w:t>
      </w:r>
      <w:r>
        <w:rPr>
          <w:spacing w:val="-4"/>
          <w:sz w:val="20"/>
        </w:rPr>
        <w:t xml:space="preserve"> </w:t>
      </w:r>
      <w:r>
        <w:rPr>
          <w:sz w:val="20"/>
        </w:rPr>
        <w:t>and</w:t>
      </w:r>
      <w:r>
        <w:rPr>
          <w:spacing w:val="-3"/>
          <w:sz w:val="20"/>
        </w:rPr>
        <w:t xml:space="preserve"> </w:t>
      </w:r>
      <w:r>
        <w:rPr>
          <w:sz w:val="20"/>
        </w:rPr>
        <w:t>best</w:t>
      </w:r>
      <w:r>
        <w:rPr>
          <w:spacing w:val="-4"/>
          <w:sz w:val="20"/>
        </w:rPr>
        <w:t xml:space="preserve"> </w:t>
      </w:r>
      <w:r>
        <w:rPr>
          <w:sz w:val="20"/>
        </w:rPr>
        <w:t>practice</w:t>
      </w:r>
      <w:r>
        <w:rPr>
          <w:spacing w:val="-3"/>
          <w:sz w:val="20"/>
        </w:rPr>
        <w:t xml:space="preserve"> </w:t>
      </w:r>
      <w:proofErr w:type="gramStart"/>
      <w:r>
        <w:rPr>
          <w:spacing w:val="-2"/>
          <w:sz w:val="20"/>
        </w:rPr>
        <w:t>governance</w:t>
      </w:r>
      <w:proofErr w:type="gramEnd"/>
    </w:p>
    <w:p w14:paraId="52335B6E" w14:textId="77777777" w:rsidR="00AC6F3C" w:rsidRDefault="00570E88">
      <w:pPr>
        <w:pStyle w:val="BodyText"/>
        <w:spacing w:before="10"/>
        <w:ind w:left="455"/>
      </w:pPr>
      <w:r>
        <w:t xml:space="preserve">arrangements </w:t>
      </w:r>
      <w:r>
        <w:rPr>
          <w:spacing w:val="-5"/>
        </w:rPr>
        <w:t>and</w:t>
      </w:r>
    </w:p>
    <w:p w14:paraId="1747725D" w14:textId="77777777" w:rsidR="00AC6F3C" w:rsidRDefault="00570E88">
      <w:pPr>
        <w:pStyle w:val="ListParagraph"/>
        <w:numPr>
          <w:ilvl w:val="0"/>
          <w:numId w:val="84"/>
        </w:numPr>
        <w:tabs>
          <w:tab w:val="left" w:pos="455"/>
        </w:tabs>
        <w:ind w:hanging="340"/>
        <w:rPr>
          <w:sz w:val="20"/>
        </w:rPr>
      </w:pPr>
      <w:r>
        <w:rPr>
          <w:sz w:val="20"/>
        </w:rPr>
        <w:t>mental</w:t>
      </w:r>
      <w:r>
        <w:rPr>
          <w:spacing w:val="-4"/>
          <w:sz w:val="20"/>
        </w:rPr>
        <w:t xml:space="preserve"> </w:t>
      </w:r>
      <w:r>
        <w:rPr>
          <w:sz w:val="20"/>
        </w:rPr>
        <w:t>health</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Society’s</w:t>
      </w:r>
      <w:r>
        <w:rPr>
          <w:spacing w:val="-3"/>
          <w:sz w:val="20"/>
        </w:rPr>
        <w:t xml:space="preserve"> </w:t>
      </w:r>
      <w:r>
        <w:rPr>
          <w:sz w:val="20"/>
        </w:rPr>
        <w:t>education</w:t>
      </w:r>
      <w:r>
        <w:rPr>
          <w:spacing w:val="-3"/>
          <w:sz w:val="20"/>
        </w:rPr>
        <w:t xml:space="preserve"> </w:t>
      </w:r>
      <w:r>
        <w:rPr>
          <w:spacing w:val="-2"/>
          <w:sz w:val="20"/>
        </w:rPr>
        <w:t>strategy.</w:t>
      </w:r>
    </w:p>
    <w:p w14:paraId="2AFB26BD" w14:textId="77777777" w:rsidR="00AC6F3C" w:rsidRDefault="00570E88">
      <w:pPr>
        <w:pStyle w:val="BodyText"/>
        <w:spacing w:before="180" w:line="249" w:lineRule="auto"/>
        <w:ind w:left="115" w:right="438"/>
      </w:pPr>
      <w:r>
        <w:t xml:space="preserve">Our strategic performance this </w:t>
      </w:r>
      <w:proofErr w:type="gramStart"/>
      <w:r>
        <w:t>financial year</w:t>
      </w:r>
      <w:proofErr w:type="gramEnd"/>
      <w:r>
        <w:t xml:space="preserve"> has continued to </w:t>
      </w:r>
      <w:proofErr w:type="spellStart"/>
      <w:r>
        <w:t>centre</w:t>
      </w:r>
      <w:proofErr w:type="spellEnd"/>
      <w:r>
        <w:t xml:space="preserve"> heavily on advancing the public good through pursuing our Guide objectives and furthering our legal policy work with our volunteer committee member base. Our vision for good lawyers has </w:t>
      </w:r>
      <w:proofErr w:type="gramStart"/>
      <w:r>
        <w:t>been strengthened</w:t>
      </w:r>
      <w:proofErr w:type="gramEnd"/>
      <w:r>
        <w:t xml:space="preserve"> through dedicated membership</w:t>
      </w:r>
      <w:r>
        <w:rPr>
          <w:spacing w:val="-4"/>
        </w:rPr>
        <w:t xml:space="preserve"> </w:t>
      </w:r>
      <w:r>
        <w:t>strategies</w:t>
      </w:r>
      <w:r>
        <w:rPr>
          <w:spacing w:val="-4"/>
        </w:rPr>
        <w:t xml:space="preserve"> </w:t>
      </w:r>
      <w:r>
        <w:t>designed</w:t>
      </w:r>
      <w:r>
        <w:rPr>
          <w:spacing w:val="-4"/>
        </w:rPr>
        <w:t xml:space="preserve"> </w:t>
      </w:r>
      <w:r>
        <w:t>to</w:t>
      </w:r>
      <w:r>
        <w:rPr>
          <w:spacing w:val="-4"/>
        </w:rPr>
        <w:t xml:space="preserve"> </w:t>
      </w:r>
      <w:r>
        <w:t>connect</w:t>
      </w:r>
      <w:r>
        <w:rPr>
          <w:spacing w:val="-4"/>
        </w:rPr>
        <w:t xml:space="preserve"> </w:t>
      </w:r>
      <w:r>
        <w:t>members</w:t>
      </w:r>
      <w:r>
        <w:rPr>
          <w:spacing w:val="-4"/>
        </w:rPr>
        <w:t xml:space="preserve"> </w:t>
      </w:r>
      <w:r>
        <w:t>with</w:t>
      </w:r>
      <w:r>
        <w:rPr>
          <w:spacing w:val="-4"/>
        </w:rPr>
        <w:t xml:space="preserve"> </w:t>
      </w:r>
      <w:r>
        <w:t>QLS</w:t>
      </w:r>
      <w:r>
        <w:rPr>
          <w:spacing w:val="-4"/>
        </w:rPr>
        <w:t xml:space="preserve"> </w:t>
      </w:r>
      <w:r>
        <w:t>and</w:t>
      </w:r>
      <w:r>
        <w:rPr>
          <w:spacing w:val="-4"/>
        </w:rPr>
        <w:t xml:space="preserve"> </w:t>
      </w:r>
      <w:r>
        <w:t>with</w:t>
      </w:r>
      <w:r>
        <w:rPr>
          <w:spacing w:val="-4"/>
        </w:rPr>
        <w:t xml:space="preserve"> </w:t>
      </w:r>
      <w:r>
        <w:t>each</w:t>
      </w:r>
      <w:r>
        <w:rPr>
          <w:spacing w:val="-4"/>
        </w:rPr>
        <w:t xml:space="preserve"> </w:t>
      </w:r>
      <w:r>
        <w:t>other,</w:t>
      </w:r>
      <w:r>
        <w:rPr>
          <w:spacing w:val="-4"/>
        </w:rPr>
        <w:t xml:space="preserve"> </w:t>
      </w:r>
      <w:r>
        <w:t>and</w:t>
      </w:r>
      <w:r>
        <w:rPr>
          <w:spacing w:val="-4"/>
        </w:rPr>
        <w:t xml:space="preserve"> </w:t>
      </w:r>
      <w:r>
        <w:t>through</w:t>
      </w:r>
      <w:r>
        <w:rPr>
          <w:spacing w:val="-4"/>
        </w:rPr>
        <w:t xml:space="preserve"> </w:t>
      </w:r>
      <w:r>
        <w:t>our work to develop a hub for members with the refurbishment of Law Society House.</w:t>
      </w:r>
    </w:p>
    <w:p w14:paraId="0009E90C" w14:textId="77777777" w:rsidR="00AC6F3C" w:rsidRDefault="00570E88">
      <w:pPr>
        <w:pStyle w:val="BodyText"/>
        <w:spacing w:before="175" w:line="249" w:lineRule="auto"/>
        <w:ind w:left="115"/>
      </w:pPr>
      <w:r>
        <w:t xml:space="preserve">Our strategic risks and challenges this </w:t>
      </w:r>
      <w:proofErr w:type="gramStart"/>
      <w:r>
        <w:t>financial year</w:t>
      </w:r>
      <w:proofErr w:type="gramEnd"/>
      <w:r>
        <w:t xml:space="preserve"> continued to focus on digital innovation and technology, with particular focus on preparing the Microsoft Dynamics client relationship management system</w:t>
      </w:r>
      <w:r>
        <w:rPr>
          <w:spacing w:val="-3"/>
        </w:rPr>
        <w:t xml:space="preserve"> </w:t>
      </w:r>
      <w:r>
        <w:t>(CRM)</w:t>
      </w:r>
      <w:r>
        <w:rPr>
          <w:spacing w:val="-3"/>
        </w:rPr>
        <w:t xml:space="preserve"> </w:t>
      </w:r>
      <w:r>
        <w:t>for</w:t>
      </w:r>
      <w:r>
        <w:rPr>
          <w:spacing w:val="-3"/>
        </w:rPr>
        <w:t xml:space="preserve"> </w:t>
      </w:r>
      <w:r>
        <w:t>its</w:t>
      </w:r>
      <w:r>
        <w:rPr>
          <w:spacing w:val="-3"/>
        </w:rPr>
        <w:t xml:space="preserve"> </w:t>
      </w:r>
      <w:r>
        <w:t>second</w:t>
      </w:r>
      <w:r>
        <w:rPr>
          <w:spacing w:val="-3"/>
        </w:rPr>
        <w:t xml:space="preserve"> </w:t>
      </w:r>
      <w:r>
        <w:t>year</w:t>
      </w:r>
      <w:r>
        <w:rPr>
          <w:spacing w:val="-3"/>
        </w:rPr>
        <w:t xml:space="preserve"> </w:t>
      </w:r>
      <w:r>
        <w:t>of</w:t>
      </w:r>
      <w:r>
        <w:rPr>
          <w:spacing w:val="-3"/>
        </w:rPr>
        <w:t xml:space="preserve"> </w:t>
      </w:r>
      <w:r>
        <w:t>renewals.</w:t>
      </w:r>
      <w:r>
        <w:rPr>
          <w:spacing w:val="-3"/>
        </w:rPr>
        <w:t xml:space="preserve"> </w:t>
      </w:r>
      <w:r>
        <w:t>Whilst</w:t>
      </w:r>
      <w:r>
        <w:rPr>
          <w:spacing w:val="-3"/>
        </w:rPr>
        <w:t xml:space="preserve"> </w:t>
      </w:r>
      <w:r>
        <w:t>it</w:t>
      </w:r>
      <w:r>
        <w:rPr>
          <w:spacing w:val="-3"/>
        </w:rPr>
        <w:t xml:space="preserve"> </w:t>
      </w:r>
      <w:r>
        <w:t>was</w:t>
      </w:r>
      <w:r>
        <w:rPr>
          <w:spacing w:val="-3"/>
        </w:rPr>
        <w:t xml:space="preserve"> </w:t>
      </w:r>
      <w:r>
        <w:t>pleasing</w:t>
      </w:r>
      <w:r>
        <w:rPr>
          <w:spacing w:val="-3"/>
        </w:rPr>
        <w:t xml:space="preserve"> </w:t>
      </w:r>
      <w:r>
        <w:t>to</w:t>
      </w:r>
      <w:r>
        <w:rPr>
          <w:spacing w:val="-3"/>
        </w:rPr>
        <w:t xml:space="preserve"> </w:t>
      </w:r>
      <w:r>
        <w:t>observe</w:t>
      </w:r>
      <w:r>
        <w:rPr>
          <w:spacing w:val="-3"/>
        </w:rPr>
        <w:t xml:space="preserve"> </w:t>
      </w:r>
      <w:r>
        <w:t>significant</w:t>
      </w:r>
      <w:r>
        <w:rPr>
          <w:spacing w:val="-3"/>
        </w:rPr>
        <w:t xml:space="preserve"> </w:t>
      </w:r>
      <w:r>
        <w:t xml:space="preserve">improvements from the previous year, there </w:t>
      </w:r>
      <w:proofErr w:type="gramStart"/>
      <w:r>
        <w:t>is continued</w:t>
      </w:r>
      <w:proofErr w:type="gramEnd"/>
      <w:r>
        <w:t xml:space="preserve"> learning and analysis ahead of next year’s renewals. The</w:t>
      </w:r>
    </w:p>
    <w:p w14:paraId="173E104F" w14:textId="77777777" w:rsidR="00AC6F3C" w:rsidRDefault="00570E88">
      <w:pPr>
        <w:pStyle w:val="BodyText"/>
        <w:spacing w:before="3" w:line="249" w:lineRule="auto"/>
        <w:ind w:left="115" w:right="438"/>
      </w:pPr>
      <w:r>
        <w:t>staff</w:t>
      </w:r>
      <w:r>
        <w:rPr>
          <w:spacing w:val="-3"/>
        </w:rPr>
        <w:t xml:space="preserve"> </w:t>
      </w:r>
      <w:r>
        <w:t>focus</w:t>
      </w:r>
      <w:r>
        <w:rPr>
          <w:spacing w:val="-3"/>
        </w:rPr>
        <w:t xml:space="preserve"> </w:t>
      </w:r>
      <w:r>
        <w:t>and</w:t>
      </w:r>
      <w:r>
        <w:rPr>
          <w:spacing w:val="-3"/>
        </w:rPr>
        <w:t xml:space="preserve"> </w:t>
      </w:r>
      <w:r>
        <w:t>increased</w:t>
      </w:r>
      <w:r>
        <w:rPr>
          <w:spacing w:val="-3"/>
        </w:rPr>
        <w:t xml:space="preserve"> </w:t>
      </w:r>
      <w:r>
        <w:t>resources</w:t>
      </w:r>
      <w:r>
        <w:rPr>
          <w:spacing w:val="-3"/>
        </w:rPr>
        <w:t xml:space="preserve"> </w:t>
      </w:r>
      <w:r>
        <w:t>on</w:t>
      </w:r>
      <w:r>
        <w:rPr>
          <w:spacing w:val="-3"/>
        </w:rPr>
        <w:t xml:space="preserve"> </w:t>
      </w:r>
      <w:r>
        <w:t>renewals</w:t>
      </w:r>
      <w:r>
        <w:rPr>
          <w:spacing w:val="-3"/>
        </w:rPr>
        <w:t xml:space="preserve"> </w:t>
      </w:r>
      <w:r>
        <w:t>has</w:t>
      </w:r>
      <w:r>
        <w:rPr>
          <w:spacing w:val="-3"/>
        </w:rPr>
        <w:t xml:space="preserve"> </w:t>
      </w:r>
      <w:r>
        <w:t>had</w:t>
      </w:r>
      <w:r>
        <w:rPr>
          <w:spacing w:val="-3"/>
        </w:rPr>
        <w:t xml:space="preserve"> </w:t>
      </w:r>
      <w:r>
        <w:t>a</w:t>
      </w:r>
      <w:r>
        <w:rPr>
          <w:spacing w:val="-3"/>
        </w:rPr>
        <w:t xml:space="preserve"> </w:t>
      </w:r>
      <w:r>
        <w:t>flow-on</w:t>
      </w:r>
      <w:r>
        <w:rPr>
          <w:spacing w:val="-3"/>
        </w:rPr>
        <w:t xml:space="preserve"> </w:t>
      </w:r>
      <w:r>
        <w:t>impact</w:t>
      </w:r>
      <w:r>
        <w:rPr>
          <w:spacing w:val="-3"/>
        </w:rPr>
        <w:t xml:space="preserve"> </w:t>
      </w:r>
      <w:r>
        <w:t>on</w:t>
      </w:r>
      <w:r>
        <w:rPr>
          <w:spacing w:val="-3"/>
        </w:rPr>
        <w:t xml:space="preserve"> </w:t>
      </w:r>
      <w:r>
        <w:t>one</w:t>
      </w:r>
      <w:r>
        <w:rPr>
          <w:spacing w:val="-3"/>
        </w:rPr>
        <w:t xml:space="preserve"> </w:t>
      </w:r>
      <w:r>
        <w:t>of</w:t>
      </w:r>
      <w:r>
        <w:rPr>
          <w:spacing w:val="-3"/>
        </w:rPr>
        <w:t xml:space="preserve"> </w:t>
      </w:r>
      <w:r>
        <w:t>the</w:t>
      </w:r>
      <w:r>
        <w:rPr>
          <w:spacing w:val="-3"/>
        </w:rPr>
        <w:t xml:space="preserve"> </w:t>
      </w:r>
      <w:r>
        <w:t>initiatives</w:t>
      </w:r>
      <w:r>
        <w:rPr>
          <w:spacing w:val="-3"/>
        </w:rPr>
        <w:t xml:space="preserve"> </w:t>
      </w:r>
      <w:r>
        <w:t>of the</w:t>
      </w:r>
      <w:r>
        <w:rPr>
          <w:spacing w:val="-2"/>
        </w:rPr>
        <w:t xml:space="preserve"> </w:t>
      </w:r>
      <w:r>
        <w:t>Regulate</w:t>
      </w:r>
      <w:r>
        <w:rPr>
          <w:spacing w:val="-2"/>
        </w:rPr>
        <w:t xml:space="preserve"> </w:t>
      </w:r>
      <w:r>
        <w:t>objective</w:t>
      </w:r>
      <w:r>
        <w:rPr>
          <w:spacing w:val="-2"/>
        </w:rPr>
        <w:t xml:space="preserve"> </w:t>
      </w:r>
      <w:r>
        <w:t>which</w:t>
      </w:r>
      <w:r>
        <w:rPr>
          <w:spacing w:val="-2"/>
        </w:rPr>
        <w:t xml:space="preserve"> </w:t>
      </w:r>
      <w:r>
        <w:t>is</w:t>
      </w:r>
      <w:r>
        <w:rPr>
          <w:spacing w:val="-2"/>
        </w:rPr>
        <w:t xml:space="preserve"> </w:t>
      </w:r>
      <w:proofErr w:type="gramStart"/>
      <w:r>
        <w:t>being</w:t>
      </w:r>
      <w:r>
        <w:rPr>
          <w:spacing w:val="-2"/>
        </w:rPr>
        <w:t xml:space="preserve"> </w:t>
      </w:r>
      <w:r>
        <w:t>managed</w:t>
      </w:r>
      <w:proofErr w:type="gramEnd"/>
      <w:r>
        <w:rPr>
          <w:spacing w:val="-2"/>
        </w:rPr>
        <w:t xml:space="preserve"> </w:t>
      </w:r>
      <w:r>
        <w:t>ahead</w:t>
      </w:r>
      <w:r>
        <w:rPr>
          <w:spacing w:val="-2"/>
        </w:rPr>
        <w:t xml:space="preserve"> </w:t>
      </w:r>
      <w:r>
        <w:t>of</w:t>
      </w:r>
      <w:r>
        <w:rPr>
          <w:spacing w:val="-2"/>
        </w:rPr>
        <w:t xml:space="preserve"> </w:t>
      </w:r>
      <w:r>
        <w:t>next</w:t>
      </w:r>
      <w:r>
        <w:rPr>
          <w:spacing w:val="-2"/>
        </w:rPr>
        <w:t xml:space="preserve"> </w:t>
      </w:r>
      <w:r>
        <w:t>year.</w:t>
      </w:r>
      <w:r>
        <w:rPr>
          <w:spacing w:val="-2"/>
        </w:rPr>
        <w:t xml:space="preserve"> </w:t>
      </w:r>
      <w:r>
        <w:t>Pleasingly,</w:t>
      </w:r>
      <w:r>
        <w:rPr>
          <w:spacing w:val="-2"/>
        </w:rPr>
        <w:t xml:space="preserve"> </w:t>
      </w:r>
      <w:r>
        <w:t>the</w:t>
      </w:r>
      <w:r>
        <w:rPr>
          <w:spacing w:val="-2"/>
        </w:rPr>
        <w:t xml:space="preserve"> </w:t>
      </w:r>
      <w:r>
        <w:t>strategic</w:t>
      </w:r>
      <w:r>
        <w:rPr>
          <w:spacing w:val="-2"/>
        </w:rPr>
        <w:t xml:space="preserve"> </w:t>
      </w:r>
      <w:r>
        <w:t>risk</w:t>
      </w:r>
      <w:r>
        <w:rPr>
          <w:spacing w:val="-2"/>
        </w:rPr>
        <w:t xml:space="preserve"> </w:t>
      </w:r>
      <w:r>
        <w:t>and</w:t>
      </w:r>
    </w:p>
    <w:p w14:paraId="43045ADA" w14:textId="77777777" w:rsidR="00AC6F3C" w:rsidRDefault="00570E88">
      <w:pPr>
        <w:pStyle w:val="BodyText"/>
        <w:spacing w:before="1" w:line="249" w:lineRule="auto"/>
        <w:ind w:left="115" w:right="93"/>
      </w:pPr>
      <w:r>
        <w:t>challenges</w:t>
      </w:r>
      <w:r>
        <w:rPr>
          <w:spacing w:val="-3"/>
        </w:rPr>
        <w:t xml:space="preserve"> </w:t>
      </w:r>
      <w:r>
        <w:t>relating</w:t>
      </w:r>
      <w:r>
        <w:rPr>
          <w:spacing w:val="-3"/>
        </w:rPr>
        <w:t xml:space="preserve"> </w:t>
      </w:r>
      <w:r>
        <w:t>to</w:t>
      </w:r>
      <w:r>
        <w:rPr>
          <w:spacing w:val="-3"/>
        </w:rPr>
        <w:t xml:space="preserve"> </w:t>
      </w:r>
      <w:r>
        <w:t>the</w:t>
      </w:r>
      <w:r>
        <w:rPr>
          <w:spacing w:val="-3"/>
        </w:rPr>
        <w:t xml:space="preserve"> </w:t>
      </w:r>
      <w:r>
        <w:t>aging</w:t>
      </w:r>
      <w:r>
        <w:rPr>
          <w:spacing w:val="-3"/>
        </w:rPr>
        <w:t xml:space="preserve"> </w:t>
      </w:r>
      <w:r>
        <w:t>physical</w:t>
      </w:r>
      <w:r>
        <w:rPr>
          <w:spacing w:val="-3"/>
        </w:rPr>
        <w:t xml:space="preserve"> </w:t>
      </w:r>
      <w:r>
        <w:t>infrastructure</w:t>
      </w:r>
      <w:r>
        <w:rPr>
          <w:spacing w:val="-3"/>
        </w:rPr>
        <w:t xml:space="preserve"> </w:t>
      </w:r>
      <w:r>
        <w:t>of</w:t>
      </w:r>
      <w:r>
        <w:rPr>
          <w:spacing w:val="-3"/>
        </w:rPr>
        <w:t xml:space="preserve"> </w:t>
      </w:r>
      <w:r>
        <w:t>Law</w:t>
      </w:r>
      <w:r>
        <w:rPr>
          <w:spacing w:val="-3"/>
        </w:rPr>
        <w:t xml:space="preserve"> </w:t>
      </w:r>
      <w:r>
        <w:t>Society</w:t>
      </w:r>
      <w:r>
        <w:rPr>
          <w:spacing w:val="-3"/>
        </w:rPr>
        <w:t xml:space="preserve"> </w:t>
      </w:r>
      <w:r>
        <w:t>House</w:t>
      </w:r>
      <w:r>
        <w:rPr>
          <w:spacing w:val="-3"/>
        </w:rPr>
        <w:t xml:space="preserve"> </w:t>
      </w:r>
      <w:r>
        <w:t>will</w:t>
      </w:r>
      <w:r>
        <w:rPr>
          <w:spacing w:val="-3"/>
        </w:rPr>
        <w:t xml:space="preserve"> </w:t>
      </w:r>
      <w:r>
        <w:t>be</w:t>
      </w:r>
      <w:r>
        <w:rPr>
          <w:spacing w:val="-3"/>
        </w:rPr>
        <w:t xml:space="preserve"> </w:t>
      </w:r>
      <w:r>
        <w:t>overcome</w:t>
      </w:r>
      <w:r>
        <w:rPr>
          <w:spacing w:val="-3"/>
        </w:rPr>
        <w:t xml:space="preserve"> </w:t>
      </w:r>
      <w:proofErr w:type="gramStart"/>
      <w:r>
        <w:t>as</w:t>
      </w:r>
      <w:r>
        <w:rPr>
          <w:spacing w:val="-3"/>
        </w:rPr>
        <w:t xml:space="preserve"> </w:t>
      </w:r>
      <w:r>
        <w:t>a</w:t>
      </w:r>
      <w:r>
        <w:rPr>
          <w:spacing w:val="-3"/>
        </w:rPr>
        <w:t xml:space="preserve"> </w:t>
      </w:r>
      <w:r>
        <w:t>result of</w:t>
      </w:r>
      <w:proofErr w:type="gramEnd"/>
      <w:r>
        <w:t xml:space="preserve"> the refurbishment of the building. The Society will continue to focus on its strategies and risk into the next </w:t>
      </w:r>
      <w:proofErr w:type="gramStart"/>
      <w:r>
        <w:t>financial year</w:t>
      </w:r>
      <w:proofErr w:type="gramEnd"/>
      <w:r>
        <w:t>, with a strong focus on Council governance, technology and education.</w:t>
      </w:r>
    </w:p>
    <w:p w14:paraId="191E2E84" w14:textId="77777777" w:rsidR="00AC6F3C" w:rsidRDefault="00AC6F3C">
      <w:pPr>
        <w:spacing w:line="249" w:lineRule="auto"/>
        <w:sectPr w:rsidR="00AC6F3C">
          <w:headerReference w:type="default" r:id="rId25"/>
          <w:footerReference w:type="default" r:id="rId26"/>
          <w:pgSz w:w="11910" w:h="16840"/>
          <w:pgMar w:top="980" w:right="1160" w:bottom="520" w:left="1160" w:header="0" w:footer="336" w:gutter="0"/>
          <w:cols w:space="720"/>
        </w:sectPr>
      </w:pPr>
    </w:p>
    <w:p w14:paraId="35EB2CA2" w14:textId="77777777" w:rsidR="00AC6F3C" w:rsidRDefault="00570E88">
      <w:pPr>
        <w:pStyle w:val="Heading3"/>
        <w:spacing w:before="72"/>
        <w:ind w:left="125"/>
      </w:pPr>
      <w:bookmarkStart w:id="11" w:name="Our_operating_plan_2022-23"/>
      <w:bookmarkStart w:id="12" w:name="_bookmark4"/>
      <w:bookmarkEnd w:id="11"/>
      <w:bookmarkEnd w:id="12"/>
      <w:r>
        <w:lastRenderedPageBreak/>
        <w:t>Our</w:t>
      </w:r>
      <w:r>
        <w:rPr>
          <w:spacing w:val="-5"/>
        </w:rPr>
        <w:t xml:space="preserve"> </w:t>
      </w:r>
      <w:r>
        <w:t>operating</w:t>
      </w:r>
      <w:r>
        <w:rPr>
          <w:spacing w:val="-2"/>
        </w:rPr>
        <w:t xml:space="preserve"> </w:t>
      </w:r>
      <w:r>
        <w:t>plan</w:t>
      </w:r>
      <w:r>
        <w:rPr>
          <w:spacing w:val="-2"/>
        </w:rPr>
        <w:t xml:space="preserve"> </w:t>
      </w:r>
      <w:r>
        <w:t>2022-</w:t>
      </w:r>
      <w:r>
        <w:rPr>
          <w:spacing w:val="-5"/>
        </w:rPr>
        <w:t>23</w:t>
      </w:r>
    </w:p>
    <w:p w14:paraId="1A1C22EA" w14:textId="77777777" w:rsidR="00AC6F3C" w:rsidRDefault="00AC6F3C">
      <w:pPr>
        <w:pStyle w:val="BodyText"/>
        <w:spacing w:before="7"/>
        <w:rPr>
          <w:b/>
          <w:sz w:val="23"/>
        </w:rPr>
      </w:pPr>
    </w:p>
    <w:tbl>
      <w:tblPr>
        <w:tblW w:w="0" w:type="auto"/>
        <w:tblInd w:w="118" w:type="dxa"/>
        <w:tblLayout w:type="fixed"/>
        <w:tblCellMar>
          <w:left w:w="0" w:type="dxa"/>
          <w:right w:w="0" w:type="dxa"/>
        </w:tblCellMar>
        <w:tblLook w:val="01E0" w:firstRow="1" w:lastRow="1" w:firstColumn="1" w:lastColumn="1" w:noHBand="0" w:noVBand="0"/>
      </w:tblPr>
      <w:tblGrid>
        <w:gridCol w:w="856"/>
        <w:gridCol w:w="373"/>
        <w:gridCol w:w="1801"/>
        <w:gridCol w:w="447"/>
        <w:gridCol w:w="2313"/>
        <w:gridCol w:w="925"/>
        <w:gridCol w:w="822"/>
        <w:gridCol w:w="1217"/>
        <w:gridCol w:w="470"/>
        <w:gridCol w:w="1341"/>
        <w:gridCol w:w="860"/>
        <w:gridCol w:w="1040"/>
        <w:gridCol w:w="495"/>
        <w:gridCol w:w="3041"/>
      </w:tblGrid>
      <w:tr w:rsidR="00AC6F3C" w14:paraId="372920DB" w14:textId="77777777">
        <w:trPr>
          <w:trHeight w:val="429"/>
        </w:trPr>
        <w:tc>
          <w:tcPr>
            <w:tcW w:w="856" w:type="dxa"/>
            <w:tcBorders>
              <w:bottom w:val="single" w:sz="8" w:space="0" w:color="000000"/>
            </w:tcBorders>
          </w:tcPr>
          <w:p w14:paraId="4474193D" w14:textId="77777777" w:rsidR="00AC6F3C" w:rsidRDefault="00570E88">
            <w:pPr>
              <w:pStyle w:val="TableParagraph"/>
              <w:spacing w:before="29" w:line="259" w:lineRule="auto"/>
              <w:ind w:left="71"/>
              <w:rPr>
                <w:b/>
                <w:sz w:val="15"/>
              </w:rPr>
            </w:pPr>
            <w:r>
              <w:rPr>
                <w:b/>
                <w:spacing w:val="-2"/>
                <w:sz w:val="15"/>
              </w:rPr>
              <w:t>Strategic</w:t>
            </w:r>
            <w:r>
              <w:rPr>
                <w:b/>
                <w:sz w:val="15"/>
              </w:rPr>
              <w:t xml:space="preserve"> </w:t>
            </w:r>
            <w:r>
              <w:rPr>
                <w:b/>
                <w:spacing w:val="-4"/>
                <w:sz w:val="15"/>
              </w:rPr>
              <w:t>Objective</w:t>
            </w:r>
          </w:p>
        </w:tc>
        <w:tc>
          <w:tcPr>
            <w:tcW w:w="2174" w:type="dxa"/>
            <w:gridSpan w:val="2"/>
            <w:tcBorders>
              <w:bottom w:val="single" w:sz="8" w:space="0" w:color="000000"/>
            </w:tcBorders>
          </w:tcPr>
          <w:p w14:paraId="34F915C6" w14:textId="77777777" w:rsidR="00AC6F3C" w:rsidRDefault="00AC6F3C">
            <w:pPr>
              <w:pStyle w:val="TableParagraph"/>
              <w:spacing w:before="8"/>
              <w:rPr>
                <w:b/>
                <w:sz w:val="18"/>
              </w:rPr>
            </w:pPr>
          </w:p>
          <w:p w14:paraId="52C513E3" w14:textId="77777777" w:rsidR="00AC6F3C" w:rsidRDefault="00570E88">
            <w:pPr>
              <w:pStyle w:val="TableParagraph"/>
              <w:ind w:left="122"/>
              <w:rPr>
                <w:b/>
                <w:sz w:val="15"/>
              </w:rPr>
            </w:pPr>
            <w:r>
              <w:rPr>
                <w:b/>
                <w:spacing w:val="-2"/>
                <w:sz w:val="15"/>
              </w:rPr>
              <w:t>Initiative</w:t>
            </w:r>
          </w:p>
        </w:tc>
        <w:tc>
          <w:tcPr>
            <w:tcW w:w="2760" w:type="dxa"/>
            <w:gridSpan w:val="2"/>
            <w:tcBorders>
              <w:bottom w:val="single" w:sz="8" w:space="0" w:color="000000"/>
            </w:tcBorders>
          </w:tcPr>
          <w:p w14:paraId="6D98C5D3" w14:textId="77777777" w:rsidR="00AC6F3C" w:rsidRDefault="00AC6F3C">
            <w:pPr>
              <w:pStyle w:val="TableParagraph"/>
              <w:spacing w:before="8"/>
              <w:rPr>
                <w:b/>
                <w:sz w:val="18"/>
              </w:rPr>
            </w:pPr>
          </w:p>
          <w:p w14:paraId="18EA321B" w14:textId="77777777" w:rsidR="00AC6F3C" w:rsidRDefault="00570E88">
            <w:pPr>
              <w:pStyle w:val="TableParagraph"/>
              <w:ind w:left="131"/>
              <w:rPr>
                <w:b/>
                <w:sz w:val="15"/>
              </w:rPr>
            </w:pPr>
            <w:r>
              <w:rPr>
                <w:b/>
                <w:spacing w:val="-5"/>
                <w:sz w:val="15"/>
              </w:rPr>
              <w:t xml:space="preserve">Key </w:t>
            </w:r>
            <w:r>
              <w:rPr>
                <w:b/>
                <w:spacing w:val="-2"/>
                <w:sz w:val="15"/>
              </w:rPr>
              <w:t>Action</w:t>
            </w:r>
          </w:p>
        </w:tc>
        <w:tc>
          <w:tcPr>
            <w:tcW w:w="925" w:type="dxa"/>
            <w:tcBorders>
              <w:bottom w:val="single" w:sz="8" w:space="0" w:color="000000"/>
            </w:tcBorders>
          </w:tcPr>
          <w:p w14:paraId="6B90F26C" w14:textId="77777777" w:rsidR="00AC6F3C" w:rsidRDefault="00570E88">
            <w:pPr>
              <w:pStyle w:val="TableParagraph"/>
              <w:spacing w:before="51" w:line="259" w:lineRule="auto"/>
              <w:ind w:left="276" w:right="47"/>
              <w:rPr>
                <w:b/>
                <w:sz w:val="14"/>
              </w:rPr>
            </w:pPr>
            <w:r>
              <w:rPr>
                <w:b/>
                <w:spacing w:val="-2"/>
                <w:sz w:val="14"/>
              </w:rPr>
              <w:t>Strategic</w:t>
            </w:r>
            <w:r>
              <w:rPr>
                <w:b/>
                <w:spacing w:val="40"/>
                <w:sz w:val="14"/>
              </w:rPr>
              <w:t xml:space="preserve"> </w:t>
            </w:r>
            <w:r>
              <w:rPr>
                <w:b/>
                <w:spacing w:val="-4"/>
                <w:sz w:val="14"/>
              </w:rPr>
              <w:t>KPI</w:t>
            </w:r>
          </w:p>
        </w:tc>
        <w:tc>
          <w:tcPr>
            <w:tcW w:w="822" w:type="dxa"/>
            <w:tcBorders>
              <w:bottom w:val="single" w:sz="8" w:space="0" w:color="000000"/>
            </w:tcBorders>
          </w:tcPr>
          <w:p w14:paraId="32B1176A" w14:textId="77777777" w:rsidR="00AC6F3C" w:rsidRDefault="00AC6F3C">
            <w:pPr>
              <w:pStyle w:val="TableParagraph"/>
              <w:spacing w:before="8"/>
              <w:rPr>
                <w:b/>
                <w:sz w:val="18"/>
              </w:rPr>
            </w:pPr>
          </w:p>
          <w:p w14:paraId="4EDC12DA" w14:textId="77777777" w:rsidR="00AC6F3C" w:rsidRDefault="00570E88">
            <w:pPr>
              <w:pStyle w:val="TableParagraph"/>
              <w:ind w:left="40" w:right="145"/>
              <w:jc w:val="center"/>
              <w:rPr>
                <w:b/>
                <w:sz w:val="15"/>
              </w:rPr>
            </w:pPr>
            <w:r>
              <w:rPr>
                <w:b/>
                <w:spacing w:val="-2"/>
                <w:sz w:val="15"/>
              </w:rPr>
              <w:t>Timeline</w:t>
            </w:r>
          </w:p>
        </w:tc>
        <w:tc>
          <w:tcPr>
            <w:tcW w:w="1217" w:type="dxa"/>
            <w:tcBorders>
              <w:bottom w:val="single" w:sz="8" w:space="0" w:color="000000"/>
            </w:tcBorders>
          </w:tcPr>
          <w:p w14:paraId="6BCC0AC3" w14:textId="77777777" w:rsidR="00AC6F3C" w:rsidRDefault="00AC6F3C">
            <w:pPr>
              <w:pStyle w:val="TableParagraph"/>
              <w:spacing w:before="8"/>
              <w:rPr>
                <w:b/>
                <w:sz w:val="18"/>
              </w:rPr>
            </w:pPr>
          </w:p>
          <w:p w14:paraId="0DC5C551" w14:textId="77777777" w:rsidR="00AC6F3C" w:rsidRDefault="00570E88">
            <w:pPr>
              <w:pStyle w:val="TableParagraph"/>
              <w:ind w:left="102"/>
              <w:rPr>
                <w:b/>
                <w:sz w:val="15"/>
              </w:rPr>
            </w:pPr>
            <w:r>
              <w:rPr>
                <w:b/>
                <w:spacing w:val="-2"/>
                <w:sz w:val="15"/>
              </w:rPr>
              <w:t>Accountability</w:t>
            </w:r>
          </w:p>
        </w:tc>
        <w:tc>
          <w:tcPr>
            <w:tcW w:w="1811" w:type="dxa"/>
            <w:gridSpan w:val="2"/>
            <w:tcBorders>
              <w:bottom w:val="single" w:sz="8" w:space="0" w:color="000000"/>
            </w:tcBorders>
          </w:tcPr>
          <w:p w14:paraId="772F6C3F" w14:textId="77777777" w:rsidR="00AC6F3C" w:rsidRDefault="00AC6F3C">
            <w:pPr>
              <w:pStyle w:val="TableParagraph"/>
              <w:spacing w:before="8"/>
              <w:rPr>
                <w:b/>
                <w:sz w:val="18"/>
              </w:rPr>
            </w:pPr>
          </w:p>
          <w:p w14:paraId="71589316" w14:textId="77777777" w:rsidR="00AC6F3C" w:rsidRDefault="00570E88">
            <w:pPr>
              <w:pStyle w:val="TableParagraph"/>
              <w:ind w:left="104"/>
              <w:rPr>
                <w:b/>
                <w:sz w:val="15"/>
              </w:rPr>
            </w:pPr>
            <w:r>
              <w:rPr>
                <w:b/>
                <w:spacing w:val="-4"/>
                <w:sz w:val="15"/>
              </w:rPr>
              <w:t>Performance</w:t>
            </w:r>
            <w:r>
              <w:rPr>
                <w:b/>
                <w:spacing w:val="9"/>
                <w:sz w:val="15"/>
              </w:rPr>
              <w:t xml:space="preserve"> </w:t>
            </w:r>
            <w:r>
              <w:rPr>
                <w:b/>
                <w:spacing w:val="-2"/>
                <w:sz w:val="15"/>
              </w:rPr>
              <w:t>target/KPI</w:t>
            </w:r>
          </w:p>
        </w:tc>
        <w:tc>
          <w:tcPr>
            <w:tcW w:w="860" w:type="dxa"/>
            <w:tcBorders>
              <w:bottom w:val="single" w:sz="8" w:space="0" w:color="000000"/>
            </w:tcBorders>
          </w:tcPr>
          <w:p w14:paraId="6E0FA9E7" w14:textId="77777777" w:rsidR="00AC6F3C" w:rsidRDefault="00570E88">
            <w:pPr>
              <w:pStyle w:val="TableParagraph"/>
              <w:spacing w:before="29" w:line="259" w:lineRule="auto"/>
              <w:ind w:left="93" w:right="182"/>
              <w:rPr>
                <w:b/>
                <w:sz w:val="15"/>
              </w:rPr>
            </w:pPr>
            <w:r>
              <w:rPr>
                <w:b/>
                <w:spacing w:val="-4"/>
                <w:sz w:val="15"/>
              </w:rPr>
              <w:t>Average</w:t>
            </w:r>
            <w:r>
              <w:rPr>
                <w:b/>
                <w:sz w:val="15"/>
              </w:rPr>
              <w:t xml:space="preserve"> </w:t>
            </w:r>
            <w:r>
              <w:rPr>
                <w:b/>
                <w:spacing w:val="-2"/>
                <w:sz w:val="15"/>
              </w:rPr>
              <w:t>Status</w:t>
            </w:r>
          </w:p>
        </w:tc>
        <w:tc>
          <w:tcPr>
            <w:tcW w:w="1040" w:type="dxa"/>
            <w:tcBorders>
              <w:bottom w:val="single" w:sz="8" w:space="0" w:color="000000"/>
            </w:tcBorders>
          </w:tcPr>
          <w:p w14:paraId="69F5E6F2" w14:textId="77777777" w:rsidR="00AC6F3C" w:rsidRDefault="00570E88">
            <w:pPr>
              <w:pStyle w:val="TableParagraph"/>
              <w:spacing w:before="29" w:line="259" w:lineRule="auto"/>
              <w:ind w:left="197" w:right="258"/>
              <w:rPr>
                <w:b/>
                <w:sz w:val="15"/>
              </w:rPr>
            </w:pPr>
            <w:r>
              <w:rPr>
                <w:b/>
                <w:spacing w:val="-4"/>
                <w:sz w:val="15"/>
              </w:rPr>
              <w:t>Average</w:t>
            </w:r>
            <w:r>
              <w:rPr>
                <w:b/>
                <w:sz w:val="15"/>
              </w:rPr>
              <w:t xml:space="preserve"> </w:t>
            </w:r>
            <w:r>
              <w:rPr>
                <w:b/>
                <w:spacing w:val="-2"/>
                <w:sz w:val="15"/>
              </w:rPr>
              <w:t>status</w:t>
            </w:r>
          </w:p>
        </w:tc>
        <w:tc>
          <w:tcPr>
            <w:tcW w:w="3536" w:type="dxa"/>
            <w:gridSpan w:val="2"/>
            <w:tcBorders>
              <w:bottom w:val="single" w:sz="8" w:space="0" w:color="000000"/>
            </w:tcBorders>
          </w:tcPr>
          <w:p w14:paraId="19A9BEA3" w14:textId="77777777" w:rsidR="00AC6F3C" w:rsidRDefault="00AC6F3C">
            <w:pPr>
              <w:pStyle w:val="TableParagraph"/>
              <w:spacing w:before="8"/>
              <w:rPr>
                <w:b/>
                <w:sz w:val="18"/>
              </w:rPr>
            </w:pPr>
          </w:p>
          <w:p w14:paraId="20033C33" w14:textId="77777777" w:rsidR="00AC6F3C" w:rsidRDefault="00570E88">
            <w:pPr>
              <w:pStyle w:val="TableParagraph"/>
              <w:ind w:left="121"/>
              <w:rPr>
                <w:b/>
                <w:sz w:val="15"/>
              </w:rPr>
            </w:pPr>
            <w:r>
              <w:rPr>
                <w:b/>
                <w:spacing w:val="-4"/>
                <w:sz w:val="15"/>
              </w:rPr>
              <w:t>2022-23 Report</w:t>
            </w:r>
          </w:p>
        </w:tc>
      </w:tr>
      <w:tr w:rsidR="00AC6F3C" w14:paraId="2E49053C" w14:textId="77777777">
        <w:trPr>
          <w:trHeight w:val="229"/>
        </w:trPr>
        <w:tc>
          <w:tcPr>
            <w:tcW w:w="856" w:type="dxa"/>
          </w:tcPr>
          <w:p w14:paraId="3FDE5178" w14:textId="77777777" w:rsidR="00AC6F3C" w:rsidRDefault="00570E88">
            <w:pPr>
              <w:pStyle w:val="TableParagraph"/>
              <w:spacing w:before="71" w:line="129" w:lineRule="exact"/>
              <w:ind w:left="85"/>
              <w:rPr>
                <w:b/>
                <w:sz w:val="15"/>
              </w:rPr>
            </w:pPr>
            <w:r>
              <w:rPr>
                <w:b/>
                <w:spacing w:val="-2"/>
                <w:sz w:val="15"/>
              </w:rPr>
              <w:t>Advocate</w:t>
            </w:r>
          </w:p>
        </w:tc>
        <w:tc>
          <w:tcPr>
            <w:tcW w:w="373" w:type="dxa"/>
          </w:tcPr>
          <w:p w14:paraId="4EE82F40" w14:textId="77777777" w:rsidR="00AC6F3C" w:rsidRDefault="00570E88">
            <w:pPr>
              <w:pStyle w:val="TableParagraph"/>
              <w:spacing w:before="71" w:line="129" w:lineRule="exact"/>
              <w:ind w:left="136"/>
              <w:rPr>
                <w:sz w:val="15"/>
              </w:rPr>
            </w:pPr>
            <w:r>
              <w:rPr>
                <w:spacing w:val="-5"/>
                <w:sz w:val="15"/>
              </w:rPr>
              <w:t>01.</w:t>
            </w:r>
          </w:p>
        </w:tc>
        <w:tc>
          <w:tcPr>
            <w:tcW w:w="1801" w:type="dxa"/>
          </w:tcPr>
          <w:p w14:paraId="3C698F1B" w14:textId="77777777" w:rsidR="00AC6F3C" w:rsidRDefault="00570E88">
            <w:pPr>
              <w:pStyle w:val="TableParagraph"/>
              <w:spacing w:before="71" w:line="129" w:lineRule="exact"/>
              <w:ind w:left="47"/>
              <w:rPr>
                <w:sz w:val="15"/>
              </w:rPr>
            </w:pPr>
            <w:r>
              <w:rPr>
                <w:spacing w:val="-4"/>
                <w:sz w:val="15"/>
              </w:rPr>
              <w:t>Continue</w:t>
            </w:r>
            <w:r>
              <w:rPr>
                <w:spacing w:val="-2"/>
                <w:sz w:val="15"/>
              </w:rPr>
              <w:t xml:space="preserve"> </w:t>
            </w:r>
            <w:r>
              <w:rPr>
                <w:spacing w:val="-4"/>
                <w:sz w:val="15"/>
              </w:rPr>
              <w:t>to</w:t>
            </w:r>
            <w:r>
              <w:rPr>
                <w:spacing w:val="-1"/>
                <w:sz w:val="15"/>
              </w:rPr>
              <w:t xml:space="preserve"> </w:t>
            </w:r>
            <w:r>
              <w:rPr>
                <w:spacing w:val="-4"/>
                <w:sz w:val="15"/>
              </w:rPr>
              <w:t>position</w:t>
            </w:r>
            <w:r>
              <w:rPr>
                <w:spacing w:val="-1"/>
                <w:sz w:val="15"/>
              </w:rPr>
              <w:t xml:space="preserve"> </w:t>
            </w:r>
            <w:r>
              <w:rPr>
                <w:spacing w:val="-5"/>
                <w:sz w:val="15"/>
              </w:rPr>
              <w:t>QLS</w:t>
            </w:r>
          </w:p>
        </w:tc>
        <w:tc>
          <w:tcPr>
            <w:tcW w:w="447" w:type="dxa"/>
          </w:tcPr>
          <w:p w14:paraId="38A3C504" w14:textId="77777777" w:rsidR="00AC6F3C" w:rsidRDefault="00570E88">
            <w:pPr>
              <w:pStyle w:val="TableParagraph"/>
              <w:spacing w:before="71" w:line="129" w:lineRule="exact"/>
              <w:ind w:left="145"/>
              <w:rPr>
                <w:sz w:val="15"/>
              </w:rPr>
            </w:pPr>
            <w:r>
              <w:rPr>
                <w:spacing w:val="-5"/>
                <w:sz w:val="15"/>
              </w:rPr>
              <w:t>1.1</w:t>
            </w:r>
          </w:p>
        </w:tc>
        <w:tc>
          <w:tcPr>
            <w:tcW w:w="2313" w:type="dxa"/>
          </w:tcPr>
          <w:p w14:paraId="7DCA0BDB" w14:textId="77777777" w:rsidR="00AC6F3C" w:rsidRDefault="00570E88">
            <w:pPr>
              <w:pStyle w:val="TableParagraph"/>
              <w:spacing w:before="71" w:line="129" w:lineRule="exact"/>
              <w:ind w:left="123"/>
              <w:rPr>
                <w:sz w:val="15"/>
              </w:rPr>
            </w:pPr>
            <w:r>
              <w:rPr>
                <w:spacing w:val="-4"/>
                <w:sz w:val="15"/>
              </w:rPr>
              <w:t>Advocate</w:t>
            </w:r>
            <w:r>
              <w:rPr>
                <w:spacing w:val="-6"/>
                <w:sz w:val="15"/>
              </w:rPr>
              <w:t xml:space="preserve"> </w:t>
            </w:r>
            <w:r>
              <w:rPr>
                <w:spacing w:val="-4"/>
                <w:sz w:val="15"/>
              </w:rPr>
              <w:t>to</w:t>
            </w:r>
            <w:r>
              <w:rPr>
                <w:spacing w:val="-5"/>
                <w:sz w:val="15"/>
              </w:rPr>
              <w:t xml:space="preserve"> </w:t>
            </w:r>
            <w:r>
              <w:rPr>
                <w:spacing w:val="-4"/>
                <w:sz w:val="15"/>
              </w:rPr>
              <w:t>and</w:t>
            </w:r>
            <w:r>
              <w:rPr>
                <w:spacing w:val="-5"/>
                <w:sz w:val="15"/>
              </w:rPr>
              <w:t xml:space="preserve"> </w:t>
            </w:r>
            <w:r>
              <w:rPr>
                <w:spacing w:val="-4"/>
                <w:sz w:val="15"/>
              </w:rPr>
              <w:t>engage</w:t>
            </w:r>
            <w:r>
              <w:rPr>
                <w:spacing w:val="-6"/>
                <w:sz w:val="15"/>
              </w:rPr>
              <w:t xml:space="preserve"> </w:t>
            </w:r>
            <w:r>
              <w:rPr>
                <w:spacing w:val="-4"/>
                <w:sz w:val="15"/>
              </w:rPr>
              <w:t>with</w:t>
            </w:r>
          </w:p>
        </w:tc>
        <w:tc>
          <w:tcPr>
            <w:tcW w:w="925" w:type="dxa"/>
          </w:tcPr>
          <w:p w14:paraId="4B35D5DB" w14:textId="77777777" w:rsidR="00AC6F3C" w:rsidRDefault="00570E88">
            <w:pPr>
              <w:pStyle w:val="TableParagraph"/>
              <w:spacing w:before="71" w:line="129" w:lineRule="exact"/>
              <w:ind w:left="290"/>
              <w:rPr>
                <w:b/>
                <w:sz w:val="15"/>
              </w:rPr>
            </w:pPr>
            <w:r>
              <w:rPr>
                <w:b/>
                <w:spacing w:val="-4"/>
                <w:sz w:val="15"/>
              </w:rPr>
              <w:t>KPI1</w:t>
            </w:r>
          </w:p>
        </w:tc>
        <w:tc>
          <w:tcPr>
            <w:tcW w:w="822" w:type="dxa"/>
          </w:tcPr>
          <w:p w14:paraId="6B5A11CA" w14:textId="77777777" w:rsidR="00AC6F3C" w:rsidRDefault="00570E88">
            <w:pPr>
              <w:pStyle w:val="TableParagraph"/>
              <w:spacing w:before="71" w:line="129" w:lineRule="exact"/>
              <w:ind w:left="40" w:right="62"/>
              <w:jc w:val="center"/>
              <w:rPr>
                <w:sz w:val="15"/>
              </w:rPr>
            </w:pPr>
            <w:r>
              <w:rPr>
                <w:spacing w:val="-4"/>
                <w:sz w:val="15"/>
              </w:rPr>
              <w:t>30-Jun-</w:t>
            </w:r>
            <w:r>
              <w:rPr>
                <w:spacing w:val="-5"/>
                <w:sz w:val="15"/>
              </w:rPr>
              <w:t>23</w:t>
            </w:r>
          </w:p>
        </w:tc>
        <w:tc>
          <w:tcPr>
            <w:tcW w:w="1217" w:type="dxa"/>
          </w:tcPr>
          <w:p w14:paraId="79696D69" w14:textId="77777777" w:rsidR="00AC6F3C" w:rsidRDefault="00570E88">
            <w:pPr>
              <w:pStyle w:val="TableParagraph"/>
              <w:spacing w:before="71" w:line="129" w:lineRule="exact"/>
              <w:ind w:left="117"/>
              <w:rPr>
                <w:sz w:val="15"/>
              </w:rPr>
            </w:pPr>
            <w:r>
              <w:rPr>
                <w:spacing w:val="-6"/>
                <w:sz w:val="15"/>
              </w:rPr>
              <w:t>Legal</w:t>
            </w:r>
            <w:r>
              <w:rPr>
                <w:spacing w:val="-3"/>
                <w:sz w:val="15"/>
              </w:rPr>
              <w:t xml:space="preserve"> </w:t>
            </w:r>
            <w:r>
              <w:rPr>
                <w:spacing w:val="-2"/>
                <w:sz w:val="15"/>
              </w:rPr>
              <w:t>Policy</w:t>
            </w:r>
          </w:p>
        </w:tc>
        <w:tc>
          <w:tcPr>
            <w:tcW w:w="470" w:type="dxa"/>
          </w:tcPr>
          <w:p w14:paraId="5C975F3C" w14:textId="77777777" w:rsidR="00AC6F3C" w:rsidRDefault="00570E88">
            <w:pPr>
              <w:pStyle w:val="TableParagraph"/>
              <w:spacing w:before="71" w:line="129" w:lineRule="exact"/>
              <w:ind w:left="118"/>
              <w:rPr>
                <w:sz w:val="15"/>
              </w:rPr>
            </w:pPr>
            <w:r>
              <w:rPr>
                <w:spacing w:val="-2"/>
                <w:sz w:val="15"/>
              </w:rPr>
              <w:t>1.1.1</w:t>
            </w:r>
          </w:p>
        </w:tc>
        <w:tc>
          <w:tcPr>
            <w:tcW w:w="1341" w:type="dxa"/>
          </w:tcPr>
          <w:p w14:paraId="362D7802" w14:textId="77777777" w:rsidR="00AC6F3C" w:rsidRDefault="00570E88">
            <w:pPr>
              <w:pStyle w:val="TableParagraph"/>
              <w:spacing w:before="71" w:line="129" w:lineRule="exact"/>
              <w:ind w:left="74"/>
              <w:rPr>
                <w:sz w:val="15"/>
              </w:rPr>
            </w:pPr>
            <w:r>
              <w:rPr>
                <w:spacing w:val="-4"/>
                <w:sz w:val="15"/>
              </w:rPr>
              <w:t>Ratio</w:t>
            </w:r>
            <w:r>
              <w:rPr>
                <w:spacing w:val="-3"/>
                <w:sz w:val="15"/>
              </w:rPr>
              <w:t xml:space="preserve"> </w:t>
            </w:r>
            <w:r>
              <w:rPr>
                <w:spacing w:val="-4"/>
                <w:sz w:val="15"/>
              </w:rPr>
              <w:t>of</w:t>
            </w:r>
            <w:r>
              <w:rPr>
                <w:spacing w:val="-3"/>
                <w:sz w:val="15"/>
              </w:rPr>
              <w:t xml:space="preserve"> </w:t>
            </w:r>
            <w:r>
              <w:rPr>
                <w:spacing w:val="-5"/>
                <w:sz w:val="15"/>
              </w:rPr>
              <w:t>1:4</w:t>
            </w:r>
          </w:p>
        </w:tc>
        <w:tc>
          <w:tcPr>
            <w:tcW w:w="860" w:type="dxa"/>
          </w:tcPr>
          <w:p w14:paraId="0961BE32" w14:textId="77777777" w:rsidR="00AC6F3C" w:rsidRDefault="00570E88">
            <w:pPr>
              <w:pStyle w:val="TableParagraph"/>
              <w:spacing w:before="70" w:line="129" w:lineRule="exact"/>
              <w:ind w:left="107"/>
              <w:rPr>
                <w:b/>
                <w:sz w:val="15"/>
              </w:rPr>
            </w:pPr>
            <w:r>
              <w:rPr>
                <w:b/>
                <w:spacing w:val="-2"/>
                <w:sz w:val="15"/>
              </w:rPr>
              <w:t>Green-</w:t>
            </w:r>
          </w:p>
        </w:tc>
        <w:tc>
          <w:tcPr>
            <w:tcW w:w="1040" w:type="dxa"/>
          </w:tcPr>
          <w:p w14:paraId="05CA3300" w14:textId="77777777" w:rsidR="00AC6F3C" w:rsidRDefault="00570E88">
            <w:pPr>
              <w:pStyle w:val="TableParagraph"/>
              <w:spacing w:before="70" w:line="129" w:lineRule="exact"/>
              <w:ind w:left="211"/>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495" w:type="dxa"/>
          </w:tcPr>
          <w:p w14:paraId="39132845" w14:textId="77777777" w:rsidR="00AC6F3C" w:rsidRDefault="00570E88">
            <w:pPr>
              <w:pStyle w:val="TableParagraph"/>
              <w:spacing w:before="70" w:line="129" w:lineRule="exact"/>
              <w:ind w:right="76"/>
              <w:jc w:val="right"/>
              <w:rPr>
                <w:sz w:val="15"/>
              </w:rPr>
            </w:pPr>
            <w:r>
              <w:rPr>
                <w:spacing w:val="-2"/>
                <w:sz w:val="15"/>
              </w:rPr>
              <w:t>1.1.1</w:t>
            </w:r>
          </w:p>
        </w:tc>
        <w:tc>
          <w:tcPr>
            <w:tcW w:w="3041" w:type="dxa"/>
          </w:tcPr>
          <w:p w14:paraId="2EFCAB6B" w14:textId="77777777" w:rsidR="00AC6F3C" w:rsidRDefault="00570E88">
            <w:pPr>
              <w:pStyle w:val="TableParagraph"/>
              <w:spacing w:before="70" w:line="129" w:lineRule="exact"/>
              <w:ind w:left="65"/>
              <w:rPr>
                <w:sz w:val="15"/>
              </w:rPr>
            </w:pPr>
            <w:r>
              <w:rPr>
                <w:spacing w:val="-6"/>
                <w:sz w:val="15"/>
              </w:rPr>
              <w:t>On</w:t>
            </w:r>
            <w:r>
              <w:rPr>
                <w:spacing w:val="-2"/>
                <w:sz w:val="15"/>
              </w:rPr>
              <w:t xml:space="preserve"> </w:t>
            </w:r>
            <w:r>
              <w:rPr>
                <w:spacing w:val="-6"/>
                <w:sz w:val="15"/>
              </w:rPr>
              <w:t>Track</w:t>
            </w:r>
            <w:r>
              <w:rPr>
                <w:spacing w:val="-1"/>
                <w:sz w:val="15"/>
              </w:rPr>
              <w:t xml:space="preserve"> </w:t>
            </w:r>
            <w:r>
              <w:rPr>
                <w:spacing w:val="-6"/>
                <w:sz w:val="15"/>
              </w:rPr>
              <w:t>and</w:t>
            </w:r>
            <w:r>
              <w:rPr>
                <w:spacing w:val="-1"/>
                <w:sz w:val="15"/>
              </w:rPr>
              <w:t xml:space="preserve"> </w:t>
            </w:r>
            <w:r>
              <w:rPr>
                <w:spacing w:val="-6"/>
                <w:sz w:val="15"/>
              </w:rPr>
              <w:t>ongoing</w:t>
            </w:r>
            <w:r>
              <w:rPr>
                <w:spacing w:val="-1"/>
                <w:sz w:val="15"/>
              </w:rPr>
              <w:t xml:space="preserve"> </w:t>
            </w:r>
            <w:r>
              <w:rPr>
                <w:spacing w:val="-6"/>
                <w:sz w:val="15"/>
              </w:rPr>
              <w:t>–</w:t>
            </w:r>
            <w:r>
              <w:rPr>
                <w:spacing w:val="-1"/>
                <w:sz w:val="15"/>
              </w:rPr>
              <w:t xml:space="preserve"> </w:t>
            </w:r>
            <w:r>
              <w:rPr>
                <w:spacing w:val="-6"/>
                <w:sz w:val="15"/>
              </w:rPr>
              <w:t>1:5</w:t>
            </w:r>
            <w:r>
              <w:rPr>
                <w:spacing w:val="-1"/>
                <w:sz w:val="15"/>
              </w:rPr>
              <w:t xml:space="preserve"> </w:t>
            </w:r>
            <w:r>
              <w:rPr>
                <w:spacing w:val="-6"/>
                <w:sz w:val="15"/>
              </w:rPr>
              <w:t>–</w:t>
            </w:r>
            <w:r>
              <w:rPr>
                <w:spacing w:val="-1"/>
                <w:sz w:val="15"/>
              </w:rPr>
              <w:t xml:space="preserve"> </w:t>
            </w:r>
            <w:r>
              <w:rPr>
                <w:spacing w:val="-6"/>
                <w:sz w:val="15"/>
              </w:rPr>
              <w:t>(214</w:t>
            </w:r>
          </w:p>
        </w:tc>
      </w:tr>
      <w:tr w:rsidR="00AC6F3C" w14:paraId="1C6CAB31" w14:textId="77777777">
        <w:trPr>
          <w:trHeight w:val="396"/>
        </w:trPr>
        <w:tc>
          <w:tcPr>
            <w:tcW w:w="856" w:type="dxa"/>
          </w:tcPr>
          <w:p w14:paraId="425A8EB6" w14:textId="77777777" w:rsidR="00AC6F3C" w:rsidRDefault="00AC6F3C">
            <w:pPr>
              <w:pStyle w:val="TableParagraph"/>
              <w:rPr>
                <w:rFonts w:ascii="Times New Roman"/>
                <w:sz w:val="14"/>
              </w:rPr>
            </w:pPr>
          </w:p>
        </w:tc>
        <w:tc>
          <w:tcPr>
            <w:tcW w:w="373" w:type="dxa"/>
          </w:tcPr>
          <w:p w14:paraId="2721B3A3" w14:textId="77777777" w:rsidR="00AC6F3C" w:rsidRDefault="00AC6F3C">
            <w:pPr>
              <w:pStyle w:val="TableParagraph"/>
              <w:rPr>
                <w:rFonts w:ascii="Times New Roman"/>
                <w:sz w:val="14"/>
              </w:rPr>
            </w:pPr>
          </w:p>
        </w:tc>
        <w:tc>
          <w:tcPr>
            <w:tcW w:w="1801" w:type="dxa"/>
          </w:tcPr>
          <w:p w14:paraId="52F52DAF" w14:textId="77777777" w:rsidR="00AC6F3C" w:rsidRDefault="00570E88">
            <w:pPr>
              <w:pStyle w:val="TableParagraph"/>
              <w:spacing w:before="31"/>
              <w:ind w:left="47"/>
              <w:rPr>
                <w:sz w:val="15"/>
              </w:rPr>
            </w:pPr>
            <w:r>
              <w:rPr>
                <w:spacing w:val="-4"/>
                <w:sz w:val="15"/>
              </w:rPr>
              <w:t>as</w:t>
            </w:r>
            <w:r>
              <w:rPr>
                <w:spacing w:val="-3"/>
                <w:sz w:val="15"/>
              </w:rPr>
              <w:t xml:space="preserve"> </w:t>
            </w:r>
            <w:r>
              <w:rPr>
                <w:spacing w:val="-4"/>
                <w:sz w:val="15"/>
              </w:rPr>
              <w:t>a</w:t>
            </w:r>
            <w:r>
              <w:rPr>
                <w:spacing w:val="-3"/>
                <w:sz w:val="15"/>
              </w:rPr>
              <w:t xml:space="preserve"> </w:t>
            </w:r>
            <w:r>
              <w:rPr>
                <w:spacing w:val="-4"/>
                <w:sz w:val="15"/>
              </w:rPr>
              <w:t>trusted</w:t>
            </w:r>
            <w:r>
              <w:rPr>
                <w:spacing w:val="-2"/>
                <w:sz w:val="15"/>
              </w:rPr>
              <w:t xml:space="preserve"> </w:t>
            </w:r>
            <w:r>
              <w:rPr>
                <w:spacing w:val="-4"/>
                <w:sz w:val="15"/>
              </w:rPr>
              <w:t>advisor</w:t>
            </w:r>
            <w:r>
              <w:rPr>
                <w:spacing w:val="-3"/>
                <w:sz w:val="15"/>
              </w:rPr>
              <w:t xml:space="preserve"> </w:t>
            </w:r>
            <w:r>
              <w:rPr>
                <w:spacing w:val="-5"/>
                <w:sz w:val="15"/>
              </w:rPr>
              <w:t>of</w:t>
            </w:r>
          </w:p>
          <w:p w14:paraId="22E678A1" w14:textId="77777777" w:rsidR="00AC6F3C" w:rsidRDefault="00570E88">
            <w:pPr>
              <w:pStyle w:val="TableParagraph"/>
              <w:spacing w:before="7" w:line="165" w:lineRule="exact"/>
              <w:ind w:left="47"/>
              <w:rPr>
                <w:sz w:val="15"/>
              </w:rPr>
            </w:pPr>
            <w:r>
              <w:rPr>
                <w:spacing w:val="-4"/>
                <w:sz w:val="15"/>
              </w:rPr>
              <w:t>law reform</w:t>
            </w:r>
            <w:r>
              <w:rPr>
                <w:spacing w:val="-3"/>
                <w:sz w:val="15"/>
              </w:rPr>
              <w:t xml:space="preserve"> </w:t>
            </w:r>
            <w:r>
              <w:rPr>
                <w:spacing w:val="-4"/>
                <w:sz w:val="15"/>
              </w:rPr>
              <w:t>in</w:t>
            </w:r>
            <w:r>
              <w:rPr>
                <w:spacing w:val="-3"/>
                <w:sz w:val="15"/>
              </w:rPr>
              <w:t xml:space="preserve"> </w:t>
            </w:r>
            <w:r>
              <w:rPr>
                <w:spacing w:val="-4"/>
                <w:sz w:val="15"/>
              </w:rPr>
              <w:t>Queensland</w:t>
            </w:r>
          </w:p>
        </w:tc>
        <w:tc>
          <w:tcPr>
            <w:tcW w:w="447" w:type="dxa"/>
          </w:tcPr>
          <w:p w14:paraId="7EAE7B19" w14:textId="77777777" w:rsidR="00AC6F3C" w:rsidRDefault="00AC6F3C">
            <w:pPr>
              <w:pStyle w:val="TableParagraph"/>
              <w:rPr>
                <w:rFonts w:ascii="Times New Roman"/>
                <w:sz w:val="14"/>
              </w:rPr>
            </w:pPr>
          </w:p>
        </w:tc>
        <w:tc>
          <w:tcPr>
            <w:tcW w:w="2313" w:type="dxa"/>
          </w:tcPr>
          <w:p w14:paraId="06B55A48" w14:textId="77777777" w:rsidR="00AC6F3C" w:rsidRDefault="00570E88">
            <w:pPr>
              <w:pStyle w:val="TableParagraph"/>
              <w:spacing w:before="31"/>
              <w:ind w:left="123"/>
              <w:rPr>
                <w:sz w:val="15"/>
              </w:rPr>
            </w:pPr>
            <w:r>
              <w:rPr>
                <w:spacing w:val="-4"/>
                <w:sz w:val="15"/>
              </w:rPr>
              <w:t>Parliament, Government</w:t>
            </w:r>
            <w:r>
              <w:rPr>
                <w:spacing w:val="-3"/>
                <w:sz w:val="15"/>
              </w:rPr>
              <w:t xml:space="preserve"> </w:t>
            </w:r>
            <w:r>
              <w:rPr>
                <w:spacing w:val="-5"/>
                <w:sz w:val="15"/>
              </w:rPr>
              <w:t>and</w:t>
            </w:r>
          </w:p>
          <w:p w14:paraId="76553AB8" w14:textId="77777777" w:rsidR="00AC6F3C" w:rsidRDefault="00570E88">
            <w:pPr>
              <w:pStyle w:val="TableParagraph"/>
              <w:spacing w:before="7" w:line="165" w:lineRule="exact"/>
              <w:ind w:left="123"/>
              <w:rPr>
                <w:sz w:val="15"/>
              </w:rPr>
            </w:pPr>
            <w:r>
              <w:rPr>
                <w:spacing w:val="-4"/>
                <w:sz w:val="15"/>
              </w:rPr>
              <w:t>stakeholders</w:t>
            </w:r>
            <w:r>
              <w:rPr>
                <w:spacing w:val="-3"/>
                <w:sz w:val="15"/>
              </w:rPr>
              <w:t xml:space="preserve"> </w:t>
            </w:r>
            <w:r>
              <w:rPr>
                <w:spacing w:val="-4"/>
                <w:sz w:val="15"/>
              </w:rPr>
              <w:t>to</w:t>
            </w:r>
            <w:r>
              <w:rPr>
                <w:spacing w:val="-2"/>
                <w:sz w:val="15"/>
              </w:rPr>
              <w:t xml:space="preserve"> </w:t>
            </w:r>
            <w:r>
              <w:rPr>
                <w:spacing w:val="-4"/>
                <w:sz w:val="15"/>
              </w:rPr>
              <w:t>raise</w:t>
            </w:r>
            <w:r>
              <w:rPr>
                <w:spacing w:val="-2"/>
                <w:sz w:val="15"/>
              </w:rPr>
              <w:t xml:space="preserve"> </w:t>
            </w:r>
            <w:r>
              <w:rPr>
                <w:spacing w:val="-4"/>
                <w:sz w:val="15"/>
              </w:rPr>
              <w:t>issues</w:t>
            </w:r>
            <w:r>
              <w:rPr>
                <w:spacing w:val="-3"/>
                <w:sz w:val="15"/>
              </w:rPr>
              <w:t xml:space="preserve"> </w:t>
            </w:r>
            <w:r>
              <w:rPr>
                <w:spacing w:val="-5"/>
                <w:sz w:val="15"/>
              </w:rPr>
              <w:t>of</w:t>
            </w:r>
          </w:p>
        </w:tc>
        <w:tc>
          <w:tcPr>
            <w:tcW w:w="925" w:type="dxa"/>
          </w:tcPr>
          <w:p w14:paraId="3EBA9862" w14:textId="77777777" w:rsidR="00AC6F3C" w:rsidRDefault="00AC6F3C">
            <w:pPr>
              <w:pStyle w:val="TableParagraph"/>
              <w:spacing w:before="4"/>
              <w:rPr>
                <w:b/>
                <w:sz w:val="18"/>
              </w:rPr>
            </w:pPr>
          </w:p>
          <w:p w14:paraId="1774C50A" w14:textId="77777777" w:rsidR="00AC6F3C" w:rsidRDefault="00570E88">
            <w:pPr>
              <w:pStyle w:val="TableParagraph"/>
              <w:spacing w:line="165" w:lineRule="exact"/>
              <w:ind w:left="290"/>
              <w:rPr>
                <w:b/>
                <w:sz w:val="15"/>
              </w:rPr>
            </w:pPr>
            <w:r>
              <w:rPr>
                <w:b/>
                <w:spacing w:val="-4"/>
                <w:sz w:val="15"/>
              </w:rPr>
              <w:t>KPI2</w:t>
            </w:r>
          </w:p>
        </w:tc>
        <w:tc>
          <w:tcPr>
            <w:tcW w:w="822" w:type="dxa"/>
          </w:tcPr>
          <w:p w14:paraId="75B7D783" w14:textId="77777777" w:rsidR="00AC6F3C" w:rsidRDefault="00AC6F3C">
            <w:pPr>
              <w:pStyle w:val="TableParagraph"/>
              <w:rPr>
                <w:rFonts w:ascii="Times New Roman"/>
                <w:sz w:val="14"/>
              </w:rPr>
            </w:pPr>
          </w:p>
        </w:tc>
        <w:tc>
          <w:tcPr>
            <w:tcW w:w="1217" w:type="dxa"/>
          </w:tcPr>
          <w:p w14:paraId="28D3B65A" w14:textId="77777777" w:rsidR="00AC6F3C" w:rsidRDefault="00AC6F3C">
            <w:pPr>
              <w:pStyle w:val="TableParagraph"/>
              <w:rPr>
                <w:rFonts w:ascii="Times New Roman"/>
                <w:sz w:val="14"/>
              </w:rPr>
            </w:pPr>
          </w:p>
        </w:tc>
        <w:tc>
          <w:tcPr>
            <w:tcW w:w="470" w:type="dxa"/>
          </w:tcPr>
          <w:p w14:paraId="5D07549D" w14:textId="77777777" w:rsidR="00AC6F3C" w:rsidRDefault="00AC6F3C">
            <w:pPr>
              <w:pStyle w:val="TableParagraph"/>
              <w:rPr>
                <w:rFonts w:ascii="Times New Roman"/>
                <w:sz w:val="14"/>
              </w:rPr>
            </w:pPr>
          </w:p>
        </w:tc>
        <w:tc>
          <w:tcPr>
            <w:tcW w:w="1341" w:type="dxa"/>
          </w:tcPr>
          <w:p w14:paraId="7D45F488" w14:textId="77777777" w:rsidR="00AC6F3C" w:rsidRDefault="00570E88">
            <w:pPr>
              <w:pStyle w:val="TableParagraph"/>
              <w:spacing w:before="16" w:line="180" w:lineRule="atLeast"/>
              <w:ind w:left="74" w:right="27"/>
              <w:rPr>
                <w:sz w:val="15"/>
              </w:rPr>
            </w:pPr>
            <w:proofErr w:type="gramStart"/>
            <w:r>
              <w:rPr>
                <w:sz w:val="15"/>
              </w:rPr>
              <w:t>proactive</w:t>
            </w:r>
            <w:proofErr w:type="gramEnd"/>
            <w:r>
              <w:rPr>
                <w:spacing w:val="-9"/>
                <w:sz w:val="15"/>
              </w:rPr>
              <w:t xml:space="preserve"> </w:t>
            </w:r>
            <w:r>
              <w:rPr>
                <w:sz w:val="15"/>
              </w:rPr>
              <w:t xml:space="preserve">to </w:t>
            </w:r>
            <w:r>
              <w:rPr>
                <w:spacing w:val="-4"/>
                <w:sz w:val="15"/>
              </w:rPr>
              <w:t>reactive</w:t>
            </w:r>
            <w:r>
              <w:rPr>
                <w:spacing w:val="-7"/>
                <w:sz w:val="15"/>
              </w:rPr>
              <w:t xml:space="preserve"> </w:t>
            </w:r>
            <w:r>
              <w:rPr>
                <w:spacing w:val="-4"/>
                <w:sz w:val="15"/>
              </w:rPr>
              <w:t>legal</w:t>
            </w:r>
          </w:p>
        </w:tc>
        <w:tc>
          <w:tcPr>
            <w:tcW w:w="860" w:type="dxa"/>
          </w:tcPr>
          <w:p w14:paraId="7FC2FC04" w14:textId="77777777" w:rsidR="00AC6F3C" w:rsidRDefault="00570E88">
            <w:pPr>
              <w:pStyle w:val="TableParagraph"/>
              <w:spacing w:before="31"/>
              <w:ind w:left="107"/>
              <w:rPr>
                <w:b/>
                <w:sz w:val="15"/>
              </w:rPr>
            </w:pPr>
            <w:r>
              <w:rPr>
                <w:b/>
                <w:spacing w:val="-2"/>
                <w:sz w:val="15"/>
              </w:rPr>
              <w:t>Yellow</w:t>
            </w:r>
          </w:p>
        </w:tc>
        <w:tc>
          <w:tcPr>
            <w:tcW w:w="1040" w:type="dxa"/>
          </w:tcPr>
          <w:p w14:paraId="764B13F8" w14:textId="77777777" w:rsidR="00AC6F3C" w:rsidRDefault="00570E88">
            <w:pPr>
              <w:pStyle w:val="TableParagraph"/>
              <w:spacing w:before="31"/>
              <w:ind w:left="211"/>
              <w:rPr>
                <w:b/>
                <w:sz w:val="15"/>
              </w:rPr>
            </w:pPr>
            <w:r>
              <w:rPr>
                <w:b/>
                <w:spacing w:val="-2"/>
                <w:sz w:val="15"/>
              </w:rPr>
              <w:t>ongoing</w:t>
            </w:r>
          </w:p>
        </w:tc>
        <w:tc>
          <w:tcPr>
            <w:tcW w:w="495" w:type="dxa"/>
          </w:tcPr>
          <w:p w14:paraId="394A0E4D" w14:textId="77777777" w:rsidR="00AC6F3C" w:rsidRDefault="00AC6F3C">
            <w:pPr>
              <w:pStyle w:val="TableParagraph"/>
              <w:rPr>
                <w:b/>
              </w:rPr>
            </w:pPr>
          </w:p>
          <w:p w14:paraId="69136787" w14:textId="77777777" w:rsidR="00AC6F3C" w:rsidRDefault="00570E88">
            <w:pPr>
              <w:pStyle w:val="TableParagraph"/>
              <w:spacing w:line="123" w:lineRule="exact"/>
              <w:ind w:right="60"/>
              <w:jc w:val="right"/>
              <w:rPr>
                <w:sz w:val="15"/>
              </w:rPr>
            </w:pPr>
            <w:r>
              <w:rPr>
                <w:spacing w:val="-2"/>
                <w:sz w:val="15"/>
              </w:rPr>
              <w:t>1.1.2</w:t>
            </w:r>
          </w:p>
        </w:tc>
        <w:tc>
          <w:tcPr>
            <w:tcW w:w="3041" w:type="dxa"/>
          </w:tcPr>
          <w:p w14:paraId="287791CB" w14:textId="77777777" w:rsidR="00AC6F3C" w:rsidRDefault="00570E88">
            <w:pPr>
              <w:pStyle w:val="TableParagraph"/>
              <w:spacing w:before="31"/>
              <w:ind w:left="65"/>
              <w:rPr>
                <w:sz w:val="15"/>
              </w:rPr>
            </w:pPr>
            <w:r>
              <w:rPr>
                <w:spacing w:val="-4"/>
                <w:sz w:val="15"/>
              </w:rPr>
              <w:t>submissions</w:t>
            </w:r>
            <w:r>
              <w:rPr>
                <w:spacing w:val="-3"/>
                <w:sz w:val="15"/>
              </w:rPr>
              <w:t xml:space="preserve"> </w:t>
            </w:r>
            <w:r>
              <w:rPr>
                <w:spacing w:val="-4"/>
                <w:sz w:val="15"/>
              </w:rPr>
              <w:t>–</w:t>
            </w:r>
            <w:r>
              <w:rPr>
                <w:spacing w:val="-2"/>
                <w:sz w:val="15"/>
              </w:rPr>
              <w:t xml:space="preserve"> </w:t>
            </w:r>
            <w:proofErr w:type="gramStart"/>
            <w:r>
              <w:rPr>
                <w:spacing w:val="-4"/>
                <w:sz w:val="15"/>
              </w:rPr>
              <w:t>proactive</w:t>
            </w:r>
            <w:proofErr w:type="gramEnd"/>
            <w:r>
              <w:rPr>
                <w:spacing w:val="-4"/>
                <w:sz w:val="15"/>
              </w:rPr>
              <w:t>:</w:t>
            </w:r>
            <w:r>
              <w:rPr>
                <w:spacing w:val="-2"/>
                <w:sz w:val="15"/>
              </w:rPr>
              <w:t xml:space="preserve"> </w:t>
            </w:r>
            <w:r>
              <w:rPr>
                <w:spacing w:val="-4"/>
                <w:sz w:val="15"/>
              </w:rPr>
              <w:t>38,</w:t>
            </w:r>
            <w:r>
              <w:rPr>
                <w:spacing w:val="-2"/>
                <w:sz w:val="15"/>
              </w:rPr>
              <w:t xml:space="preserve"> </w:t>
            </w:r>
            <w:r>
              <w:rPr>
                <w:spacing w:val="-4"/>
                <w:sz w:val="15"/>
              </w:rPr>
              <w:t>reactive:</w:t>
            </w:r>
            <w:r>
              <w:rPr>
                <w:spacing w:val="-2"/>
                <w:sz w:val="15"/>
              </w:rPr>
              <w:t xml:space="preserve"> </w:t>
            </w:r>
            <w:r>
              <w:rPr>
                <w:spacing w:val="-4"/>
                <w:sz w:val="15"/>
              </w:rPr>
              <w:t>176)</w:t>
            </w:r>
          </w:p>
          <w:p w14:paraId="0E20D3DE" w14:textId="77777777" w:rsidR="00AC6F3C" w:rsidRDefault="00570E88">
            <w:pPr>
              <w:pStyle w:val="TableParagraph"/>
              <w:spacing w:before="50" w:line="123" w:lineRule="exact"/>
              <w:ind w:left="65"/>
              <w:rPr>
                <w:sz w:val="15"/>
              </w:rPr>
            </w:pPr>
            <w:r>
              <w:rPr>
                <w:spacing w:val="-6"/>
                <w:sz w:val="15"/>
              </w:rPr>
              <w:t>On</w:t>
            </w:r>
            <w:r>
              <w:rPr>
                <w:spacing w:val="-2"/>
                <w:sz w:val="15"/>
              </w:rPr>
              <w:t xml:space="preserve"> </w:t>
            </w:r>
            <w:r>
              <w:rPr>
                <w:spacing w:val="-6"/>
                <w:sz w:val="15"/>
              </w:rPr>
              <w:t>Track</w:t>
            </w:r>
            <w:r>
              <w:rPr>
                <w:spacing w:val="-1"/>
                <w:sz w:val="15"/>
              </w:rPr>
              <w:t xml:space="preserve"> </w:t>
            </w:r>
            <w:r>
              <w:rPr>
                <w:spacing w:val="-6"/>
                <w:sz w:val="15"/>
              </w:rPr>
              <w:t>and</w:t>
            </w:r>
            <w:r>
              <w:rPr>
                <w:spacing w:val="-1"/>
                <w:sz w:val="15"/>
              </w:rPr>
              <w:t xml:space="preserve"> </w:t>
            </w:r>
            <w:r>
              <w:rPr>
                <w:spacing w:val="-6"/>
                <w:sz w:val="15"/>
              </w:rPr>
              <w:t>ongoing</w:t>
            </w:r>
            <w:r>
              <w:rPr>
                <w:spacing w:val="-2"/>
                <w:sz w:val="15"/>
              </w:rPr>
              <w:t xml:space="preserve"> </w:t>
            </w:r>
            <w:r>
              <w:rPr>
                <w:spacing w:val="-6"/>
                <w:sz w:val="15"/>
              </w:rPr>
              <w:t>–</w:t>
            </w:r>
            <w:r>
              <w:rPr>
                <w:spacing w:val="-1"/>
                <w:sz w:val="15"/>
              </w:rPr>
              <w:t xml:space="preserve"> </w:t>
            </w:r>
            <w:r>
              <w:rPr>
                <w:spacing w:val="-6"/>
                <w:sz w:val="15"/>
              </w:rPr>
              <w:t>176</w:t>
            </w:r>
            <w:r>
              <w:rPr>
                <w:spacing w:val="-1"/>
                <w:sz w:val="15"/>
              </w:rPr>
              <w:t xml:space="preserve"> </w:t>
            </w:r>
            <w:proofErr w:type="gramStart"/>
            <w:r>
              <w:rPr>
                <w:spacing w:val="-6"/>
                <w:sz w:val="15"/>
              </w:rPr>
              <w:t>stakeholder</w:t>
            </w:r>
            <w:proofErr w:type="gramEnd"/>
          </w:p>
        </w:tc>
      </w:tr>
    </w:tbl>
    <w:p w14:paraId="0FF02B7B" w14:textId="77777777" w:rsidR="00AC6F3C" w:rsidRDefault="00AC6F3C">
      <w:pPr>
        <w:spacing w:line="123" w:lineRule="exact"/>
        <w:rPr>
          <w:sz w:val="15"/>
        </w:rPr>
        <w:sectPr w:rsidR="00AC6F3C">
          <w:headerReference w:type="default" r:id="rId27"/>
          <w:footerReference w:type="default" r:id="rId28"/>
          <w:pgSz w:w="16840" w:h="11910" w:orient="landscape"/>
          <w:pgMar w:top="480" w:right="320" w:bottom="520" w:left="300" w:header="0" w:footer="336" w:gutter="0"/>
          <w:cols w:space="720"/>
        </w:sectPr>
      </w:pPr>
    </w:p>
    <w:p w14:paraId="0BC0B566" w14:textId="77777777" w:rsidR="00AC6F3C" w:rsidRDefault="00570E88">
      <w:pPr>
        <w:spacing w:line="249" w:lineRule="auto"/>
        <w:ind w:left="1386"/>
        <w:rPr>
          <w:sz w:val="15"/>
        </w:rPr>
      </w:pPr>
      <w:r>
        <w:rPr>
          <w:sz w:val="15"/>
        </w:rPr>
        <w:t xml:space="preserve">by engaging with Government in areas of legislative reform </w:t>
      </w:r>
      <w:r>
        <w:rPr>
          <w:spacing w:val="-4"/>
          <w:sz w:val="15"/>
        </w:rPr>
        <w:t>important</w:t>
      </w:r>
      <w:r>
        <w:rPr>
          <w:spacing w:val="-7"/>
          <w:sz w:val="15"/>
        </w:rPr>
        <w:t xml:space="preserve"> </w:t>
      </w:r>
      <w:r>
        <w:rPr>
          <w:spacing w:val="-4"/>
          <w:sz w:val="15"/>
        </w:rPr>
        <w:t>to</w:t>
      </w:r>
      <w:r>
        <w:rPr>
          <w:spacing w:val="-6"/>
          <w:sz w:val="15"/>
        </w:rPr>
        <w:t xml:space="preserve"> </w:t>
      </w:r>
      <w:r>
        <w:rPr>
          <w:spacing w:val="-4"/>
          <w:sz w:val="15"/>
        </w:rPr>
        <w:t>supporting</w:t>
      </w:r>
      <w:r>
        <w:rPr>
          <w:sz w:val="15"/>
        </w:rPr>
        <w:t xml:space="preserve"> the</w:t>
      </w:r>
      <w:r>
        <w:rPr>
          <w:spacing w:val="-11"/>
          <w:sz w:val="15"/>
        </w:rPr>
        <w:t xml:space="preserve"> </w:t>
      </w:r>
      <w:r>
        <w:rPr>
          <w:sz w:val="15"/>
        </w:rPr>
        <w:t>profession</w:t>
      </w:r>
      <w:r>
        <w:rPr>
          <w:spacing w:val="-10"/>
          <w:sz w:val="15"/>
        </w:rPr>
        <w:t xml:space="preserve"> </w:t>
      </w:r>
      <w:r>
        <w:rPr>
          <w:sz w:val="15"/>
        </w:rPr>
        <w:t>and</w:t>
      </w:r>
      <w:r>
        <w:rPr>
          <w:spacing w:val="-11"/>
          <w:sz w:val="15"/>
        </w:rPr>
        <w:t xml:space="preserve"> </w:t>
      </w:r>
      <w:r>
        <w:rPr>
          <w:sz w:val="15"/>
        </w:rPr>
        <w:t>the</w:t>
      </w:r>
    </w:p>
    <w:p w14:paraId="7AFBC7DE" w14:textId="77777777" w:rsidR="00AC6F3C" w:rsidRDefault="00570E88">
      <w:pPr>
        <w:spacing w:line="169" w:lineRule="exact"/>
        <w:ind w:left="295"/>
        <w:jc w:val="center"/>
        <w:rPr>
          <w:sz w:val="15"/>
        </w:rPr>
      </w:pPr>
      <w:r>
        <w:br w:type="column"/>
      </w:r>
      <w:r>
        <w:rPr>
          <w:spacing w:val="-4"/>
          <w:sz w:val="15"/>
        </w:rPr>
        <w:t>concern</w:t>
      </w:r>
      <w:r>
        <w:rPr>
          <w:spacing w:val="-2"/>
          <w:sz w:val="15"/>
        </w:rPr>
        <w:t xml:space="preserve"> </w:t>
      </w:r>
      <w:r>
        <w:rPr>
          <w:spacing w:val="-4"/>
          <w:sz w:val="15"/>
        </w:rPr>
        <w:t>to</w:t>
      </w:r>
      <w:r>
        <w:rPr>
          <w:spacing w:val="-1"/>
          <w:sz w:val="15"/>
        </w:rPr>
        <w:t xml:space="preserve"> </w:t>
      </w:r>
      <w:r>
        <w:rPr>
          <w:spacing w:val="-4"/>
          <w:sz w:val="15"/>
        </w:rPr>
        <w:t>the</w:t>
      </w:r>
      <w:r>
        <w:rPr>
          <w:spacing w:val="-2"/>
          <w:sz w:val="15"/>
        </w:rPr>
        <w:t xml:space="preserve"> </w:t>
      </w:r>
      <w:r>
        <w:rPr>
          <w:spacing w:val="-4"/>
          <w:sz w:val="15"/>
        </w:rPr>
        <w:t>profession</w:t>
      </w:r>
    </w:p>
    <w:p w14:paraId="282F8A3C" w14:textId="77777777" w:rsidR="00AC6F3C" w:rsidRDefault="00570E88">
      <w:pPr>
        <w:pStyle w:val="ListParagraph"/>
        <w:numPr>
          <w:ilvl w:val="1"/>
          <w:numId w:val="83"/>
        </w:numPr>
        <w:tabs>
          <w:tab w:val="left" w:pos="790"/>
        </w:tabs>
        <w:spacing w:before="50"/>
        <w:ind w:left="790" w:hanging="425"/>
        <w:jc w:val="center"/>
        <w:rPr>
          <w:sz w:val="15"/>
        </w:rPr>
      </w:pPr>
      <w:r>
        <w:rPr>
          <w:spacing w:val="-4"/>
          <w:sz w:val="15"/>
        </w:rPr>
        <w:t>Host the Committee</w:t>
      </w:r>
      <w:r>
        <w:rPr>
          <w:spacing w:val="-3"/>
          <w:sz w:val="15"/>
        </w:rPr>
        <w:t xml:space="preserve"> </w:t>
      </w:r>
      <w:r>
        <w:rPr>
          <w:spacing w:val="-4"/>
          <w:sz w:val="15"/>
        </w:rPr>
        <w:t>and Working</w:t>
      </w:r>
    </w:p>
    <w:p w14:paraId="42D6D991" w14:textId="77777777" w:rsidR="00AC6F3C" w:rsidRDefault="00570E88">
      <w:pPr>
        <w:spacing w:before="7"/>
        <w:ind w:left="813"/>
        <w:jc w:val="center"/>
        <w:rPr>
          <w:sz w:val="15"/>
        </w:rPr>
      </w:pPr>
      <w:r>
        <w:rPr>
          <w:spacing w:val="-4"/>
          <w:sz w:val="15"/>
        </w:rPr>
        <w:t>Group</w:t>
      </w:r>
      <w:r>
        <w:rPr>
          <w:spacing w:val="-6"/>
          <w:sz w:val="15"/>
        </w:rPr>
        <w:t xml:space="preserve"> </w:t>
      </w:r>
      <w:r>
        <w:rPr>
          <w:spacing w:val="-4"/>
          <w:sz w:val="15"/>
        </w:rPr>
        <w:t>Chairs</w:t>
      </w:r>
      <w:r>
        <w:rPr>
          <w:spacing w:val="-5"/>
          <w:sz w:val="15"/>
        </w:rPr>
        <w:t xml:space="preserve"> </w:t>
      </w:r>
      <w:r>
        <w:rPr>
          <w:spacing w:val="-4"/>
          <w:sz w:val="15"/>
        </w:rPr>
        <w:t>Development</w:t>
      </w:r>
      <w:r>
        <w:rPr>
          <w:spacing w:val="-5"/>
          <w:sz w:val="15"/>
        </w:rPr>
        <w:t xml:space="preserve"> </w:t>
      </w:r>
      <w:r>
        <w:rPr>
          <w:spacing w:val="-6"/>
          <w:sz w:val="15"/>
        </w:rPr>
        <w:t>Event</w:t>
      </w:r>
    </w:p>
    <w:p w14:paraId="47656B3D" w14:textId="77777777" w:rsidR="00AC6F3C" w:rsidRDefault="00570E88">
      <w:pPr>
        <w:spacing w:before="4"/>
        <w:rPr>
          <w:sz w:val="15"/>
        </w:rPr>
      </w:pPr>
      <w:r>
        <w:br w:type="column"/>
      </w:r>
    </w:p>
    <w:p w14:paraId="18CFDBA7" w14:textId="77777777" w:rsidR="00AC6F3C" w:rsidRDefault="00570E88">
      <w:pPr>
        <w:spacing w:line="501" w:lineRule="auto"/>
        <w:ind w:left="314" w:right="35"/>
        <w:rPr>
          <w:b/>
          <w:sz w:val="15"/>
        </w:rPr>
      </w:pPr>
      <w:r>
        <w:rPr>
          <w:b/>
          <w:spacing w:val="-8"/>
          <w:sz w:val="15"/>
        </w:rPr>
        <w:t>KPI3</w:t>
      </w:r>
      <w:r>
        <w:rPr>
          <w:b/>
          <w:sz w:val="15"/>
        </w:rPr>
        <w:t xml:space="preserve"> </w:t>
      </w:r>
      <w:r>
        <w:rPr>
          <w:b/>
          <w:spacing w:val="-8"/>
          <w:sz w:val="15"/>
        </w:rPr>
        <w:t>KPI4</w:t>
      </w:r>
    </w:p>
    <w:p w14:paraId="792A5CFF" w14:textId="77777777" w:rsidR="00AC6F3C" w:rsidRDefault="00570E88">
      <w:pPr>
        <w:spacing w:line="249" w:lineRule="auto"/>
        <w:ind w:left="1811"/>
        <w:rPr>
          <w:sz w:val="15"/>
        </w:rPr>
      </w:pPr>
      <w:r>
        <w:br w:type="column"/>
      </w:r>
      <w:r>
        <w:rPr>
          <w:spacing w:val="-4"/>
          <w:sz w:val="15"/>
        </w:rPr>
        <w:t>policy</w:t>
      </w:r>
      <w:r>
        <w:rPr>
          <w:spacing w:val="-7"/>
          <w:sz w:val="15"/>
        </w:rPr>
        <w:t xml:space="preserve"> </w:t>
      </w:r>
      <w:r>
        <w:rPr>
          <w:spacing w:val="-4"/>
          <w:sz w:val="15"/>
        </w:rPr>
        <w:t>submissions</w:t>
      </w:r>
      <w:r>
        <w:rPr>
          <w:sz w:val="15"/>
        </w:rPr>
        <w:t xml:space="preserve"> to</w:t>
      </w:r>
      <w:r>
        <w:rPr>
          <w:spacing w:val="-9"/>
          <w:sz w:val="15"/>
        </w:rPr>
        <w:t xml:space="preserve"> </w:t>
      </w:r>
      <w:r>
        <w:rPr>
          <w:sz w:val="15"/>
        </w:rPr>
        <w:t xml:space="preserve">relevant </w:t>
      </w:r>
      <w:r>
        <w:rPr>
          <w:spacing w:val="-2"/>
          <w:sz w:val="15"/>
        </w:rPr>
        <w:t>stakeholders</w:t>
      </w:r>
    </w:p>
    <w:p w14:paraId="693E9FD7" w14:textId="77777777" w:rsidR="00AC6F3C" w:rsidRDefault="00570E88">
      <w:pPr>
        <w:spacing w:before="41"/>
        <w:ind w:right="446"/>
        <w:jc w:val="right"/>
        <w:rPr>
          <w:sz w:val="15"/>
        </w:rPr>
      </w:pPr>
      <w:r>
        <w:rPr>
          <w:spacing w:val="-2"/>
          <w:sz w:val="15"/>
        </w:rPr>
        <w:t>1.1.2</w:t>
      </w:r>
      <w:r>
        <w:rPr>
          <w:spacing w:val="45"/>
          <w:sz w:val="15"/>
        </w:rPr>
        <w:t xml:space="preserve"> </w:t>
      </w:r>
      <w:r>
        <w:rPr>
          <w:spacing w:val="-2"/>
          <w:sz w:val="15"/>
        </w:rPr>
        <w:t>Achieve</w:t>
      </w:r>
      <w:r>
        <w:rPr>
          <w:spacing w:val="-9"/>
          <w:sz w:val="15"/>
        </w:rPr>
        <w:t xml:space="preserve"> </w:t>
      </w:r>
      <w:r>
        <w:rPr>
          <w:spacing w:val="-5"/>
          <w:sz w:val="15"/>
        </w:rPr>
        <w:t>200</w:t>
      </w:r>
    </w:p>
    <w:p w14:paraId="2286E907" w14:textId="77777777" w:rsidR="00AC6F3C" w:rsidRDefault="00570E88">
      <w:pPr>
        <w:spacing w:before="7"/>
        <w:ind w:right="491"/>
        <w:jc w:val="right"/>
        <w:rPr>
          <w:sz w:val="15"/>
        </w:rPr>
      </w:pPr>
      <w:r>
        <w:rPr>
          <w:spacing w:val="-2"/>
          <w:sz w:val="15"/>
        </w:rPr>
        <w:t>stakeholder</w:t>
      </w:r>
    </w:p>
    <w:p w14:paraId="2CA676EE" w14:textId="77777777" w:rsidR="00AC6F3C" w:rsidRDefault="00570E88">
      <w:pPr>
        <w:spacing w:before="39"/>
        <w:ind w:left="1811"/>
        <w:rPr>
          <w:sz w:val="15"/>
        </w:rPr>
      </w:pPr>
      <w:r>
        <w:br w:type="column"/>
      </w:r>
      <w:r>
        <w:rPr>
          <w:spacing w:val="-4"/>
          <w:sz w:val="15"/>
        </w:rPr>
        <w:t>consultations</w:t>
      </w:r>
      <w:r>
        <w:rPr>
          <w:sz w:val="15"/>
        </w:rPr>
        <w:t xml:space="preserve"> </w:t>
      </w:r>
      <w:r>
        <w:rPr>
          <w:spacing w:val="-4"/>
          <w:sz w:val="15"/>
        </w:rPr>
        <w:t>to</w:t>
      </w:r>
      <w:r>
        <w:rPr>
          <w:spacing w:val="1"/>
          <w:sz w:val="15"/>
        </w:rPr>
        <w:t xml:space="preserve"> </w:t>
      </w:r>
      <w:r>
        <w:rPr>
          <w:spacing w:val="-4"/>
          <w:sz w:val="15"/>
        </w:rPr>
        <w:t>date.</w:t>
      </w:r>
    </w:p>
    <w:p w14:paraId="092D4395" w14:textId="77777777" w:rsidR="00AC6F3C" w:rsidRDefault="00570E88">
      <w:pPr>
        <w:pStyle w:val="ListParagraph"/>
        <w:numPr>
          <w:ilvl w:val="2"/>
          <w:numId w:val="83"/>
        </w:numPr>
        <w:tabs>
          <w:tab w:val="left" w:pos="1806"/>
          <w:tab w:val="left" w:pos="1811"/>
        </w:tabs>
        <w:spacing w:before="50" w:line="249" w:lineRule="auto"/>
        <w:ind w:right="387"/>
        <w:rPr>
          <w:sz w:val="15"/>
        </w:rPr>
      </w:pPr>
      <w:r>
        <w:rPr>
          <w:spacing w:val="-4"/>
          <w:sz w:val="15"/>
        </w:rPr>
        <w:t>Achieved</w:t>
      </w:r>
      <w:r>
        <w:rPr>
          <w:spacing w:val="-7"/>
          <w:sz w:val="15"/>
        </w:rPr>
        <w:t xml:space="preserve"> </w:t>
      </w:r>
      <w:r>
        <w:rPr>
          <w:spacing w:val="-4"/>
          <w:sz w:val="15"/>
        </w:rPr>
        <w:t>–</w:t>
      </w:r>
      <w:r>
        <w:rPr>
          <w:spacing w:val="-6"/>
          <w:sz w:val="15"/>
        </w:rPr>
        <w:t xml:space="preserve"> </w:t>
      </w:r>
      <w:r>
        <w:rPr>
          <w:spacing w:val="-4"/>
          <w:sz w:val="15"/>
        </w:rPr>
        <w:t>Legal</w:t>
      </w:r>
      <w:r>
        <w:rPr>
          <w:spacing w:val="-7"/>
          <w:sz w:val="15"/>
        </w:rPr>
        <w:t xml:space="preserve"> </w:t>
      </w:r>
      <w:r>
        <w:rPr>
          <w:spacing w:val="-4"/>
          <w:sz w:val="15"/>
        </w:rPr>
        <w:t>Policy</w:t>
      </w:r>
      <w:r>
        <w:rPr>
          <w:spacing w:val="-6"/>
          <w:sz w:val="15"/>
        </w:rPr>
        <w:t xml:space="preserve"> </w:t>
      </w:r>
      <w:r>
        <w:rPr>
          <w:spacing w:val="-4"/>
          <w:sz w:val="15"/>
        </w:rPr>
        <w:t>Committee</w:t>
      </w:r>
      <w:r>
        <w:rPr>
          <w:spacing w:val="-7"/>
          <w:sz w:val="15"/>
        </w:rPr>
        <w:t xml:space="preserve"> </w:t>
      </w:r>
      <w:r>
        <w:rPr>
          <w:spacing w:val="-4"/>
          <w:sz w:val="15"/>
        </w:rPr>
        <w:t>Chairs</w:t>
      </w:r>
      <w:r>
        <w:rPr>
          <w:sz w:val="15"/>
        </w:rPr>
        <w:t xml:space="preserve"> and</w:t>
      </w:r>
      <w:r>
        <w:rPr>
          <w:spacing w:val="-3"/>
          <w:sz w:val="15"/>
        </w:rPr>
        <w:t xml:space="preserve"> </w:t>
      </w:r>
      <w:r>
        <w:rPr>
          <w:sz w:val="15"/>
        </w:rPr>
        <w:t>Deputy</w:t>
      </w:r>
      <w:r>
        <w:rPr>
          <w:spacing w:val="-3"/>
          <w:sz w:val="15"/>
        </w:rPr>
        <w:t xml:space="preserve"> </w:t>
      </w:r>
      <w:r>
        <w:rPr>
          <w:sz w:val="15"/>
        </w:rPr>
        <w:t>Chairs</w:t>
      </w:r>
      <w:r>
        <w:rPr>
          <w:spacing w:val="-3"/>
          <w:sz w:val="15"/>
        </w:rPr>
        <w:t xml:space="preserve"> </w:t>
      </w:r>
      <w:r>
        <w:rPr>
          <w:sz w:val="15"/>
        </w:rPr>
        <w:t>Event</w:t>
      </w:r>
      <w:r>
        <w:rPr>
          <w:spacing w:val="-3"/>
          <w:sz w:val="15"/>
        </w:rPr>
        <w:t xml:space="preserve"> </w:t>
      </w:r>
      <w:proofErr w:type="gramStart"/>
      <w:r>
        <w:rPr>
          <w:sz w:val="15"/>
        </w:rPr>
        <w:t>was</w:t>
      </w:r>
      <w:r>
        <w:rPr>
          <w:spacing w:val="-3"/>
          <w:sz w:val="15"/>
        </w:rPr>
        <w:t xml:space="preserve"> </w:t>
      </w:r>
      <w:r>
        <w:rPr>
          <w:sz w:val="15"/>
        </w:rPr>
        <w:t>held</w:t>
      </w:r>
      <w:proofErr w:type="gramEnd"/>
      <w:r>
        <w:rPr>
          <w:spacing w:val="-3"/>
          <w:sz w:val="15"/>
        </w:rPr>
        <w:t xml:space="preserve"> </w:t>
      </w:r>
      <w:r>
        <w:rPr>
          <w:sz w:val="15"/>
        </w:rPr>
        <w:t>on Wednesday 2 November 2022.</w:t>
      </w:r>
    </w:p>
    <w:p w14:paraId="28866AAB"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5" w:space="720" w:equalWidth="0">
            <w:col w:w="2859" w:space="40"/>
            <w:col w:w="2939" w:space="39"/>
            <w:col w:w="671" w:space="1049"/>
            <w:col w:w="3046" w:space="681"/>
            <w:col w:w="4896"/>
          </w:cols>
        </w:sectPr>
      </w:pPr>
    </w:p>
    <w:tbl>
      <w:tblPr>
        <w:tblW w:w="0" w:type="auto"/>
        <w:tblInd w:w="132" w:type="dxa"/>
        <w:tblLayout w:type="fixed"/>
        <w:tblCellMar>
          <w:left w:w="0" w:type="dxa"/>
          <w:right w:w="0" w:type="dxa"/>
        </w:tblCellMar>
        <w:tblLook w:val="01E0" w:firstRow="1" w:lastRow="1" w:firstColumn="1" w:lastColumn="1" w:noHBand="0" w:noVBand="0"/>
      </w:tblPr>
      <w:tblGrid>
        <w:gridCol w:w="844"/>
        <w:gridCol w:w="2246"/>
        <w:gridCol w:w="385"/>
        <w:gridCol w:w="2521"/>
        <w:gridCol w:w="583"/>
        <w:gridCol w:w="953"/>
        <w:gridCol w:w="1118"/>
        <w:gridCol w:w="577"/>
        <w:gridCol w:w="1362"/>
        <w:gridCol w:w="784"/>
        <w:gridCol w:w="1089"/>
        <w:gridCol w:w="494"/>
        <w:gridCol w:w="3034"/>
      </w:tblGrid>
      <w:tr w:rsidR="00AC6F3C" w14:paraId="42EB66B6" w14:textId="77777777">
        <w:trPr>
          <w:trHeight w:val="843"/>
        </w:trPr>
        <w:tc>
          <w:tcPr>
            <w:tcW w:w="844" w:type="dxa"/>
            <w:tcBorders>
              <w:bottom w:val="single" w:sz="2" w:space="0" w:color="000000"/>
            </w:tcBorders>
          </w:tcPr>
          <w:p w14:paraId="47B6FD29" w14:textId="77777777" w:rsidR="00AC6F3C" w:rsidRDefault="00AC6F3C">
            <w:pPr>
              <w:pStyle w:val="TableParagraph"/>
              <w:rPr>
                <w:rFonts w:ascii="Times New Roman"/>
                <w:sz w:val="14"/>
              </w:rPr>
            </w:pPr>
          </w:p>
        </w:tc>
        <w:tc>
          <w:tcPr>
            <w:tcW w:w="2246" w:type="dxa"/>
            <w:tcBorders>
              <w:bottom w:val="single" w:sz="2" w:space="0" w:color="000000"/>
            </w:tcBorders>
          </w:tcPr>
          <w:p w14:paraId="521ADBF8" w14:textId="77777777" w:rsidR="00AC6F3C" w:rsidRDefault="00570E88">
            <w:pPr>
              <w:pStyle w:val="TableParagraph"/>
              <w:spacing w:line="138" w:lineRule="exact"/>
              <w:ind w:left="417"/>
              <w:rPr>
                <w:sz w:val="15"/>
              </w:rPr>
            </w:pPr>
            <w:proofErr w:type="gramStart"/>
            <w:r>
              <w:rPr>
                <w:spacing w:val="-4"/>
                <w:sz w:val="15"/>
              </w:rPr>
              <w:t>community</w:t>
            </w:r>
            <w:r>
              <w:rPr>
                <w:spacing w:val="-1"/>
                <w:sz w:val="15"/>
              </w:rPr>
              <w:t xml:space="preserve"> </w:t>
            </w:r>
            <w:r>
              <w:rPr>
                <w:spacing w:val="-2"/>
                <w:sz w:val="15"/>
              </w:rPr>
              <w:t>generally</w:t>
            </w:r>
            <w:proofErr w:type="gramEnd"/>
            <w:r>
              <w:rPr>
                <w:spacing w:val="-2"/>
                <w:sz w:val="15"/>
              </w:rPr>
              <w:t>.</w:t>
            </w:r>
          </w:p>
        </w:tc>
        <w:tc>
          <w:tcPr>
            <w:tcW w:w="385" w:type="dxa"/>
            <w:tcBorders>
              <w:bottom w:val="single" w:sz="2" w:space="0" w:color="000000"/>
            </w:tcBorders>
          </w:tcPr>
          <w:p w14:paraId="6B759D45" w14:textId="77777777" w:rsidR="00AC6F3C" w:rsidRDefault="00AC6F3C">
            <w:pPr>
              <w:pStyle w:val="TableParagraph"/>
              <w:rPr>
                <w:rFonts w:ascii="Times New Roman"/>
                <w:sz w:val="14"/>
              </w:rPr>
            </w:pPr>
          </w:p>
        </w:tc>
        <w:tc>
          <w:tcPr>
            <w:tcW w:w="2521" w:type="dxa"/>
            <w:tcBorders>
              <w:bottom w:val="single" w:sz="2" w:space="0" w:color="000000"/>
            </w:tcBorders>
          </w:tcPr>
          <w:p w14:paraId="1A1F5AA7" w14:textId="77777777" w:rsidR="00AC6F3C" w:rsidRDefault="00AC6F3C">
            <w:pPr>
              <w:pStyle w:val="TableParagraph"/>
              <w:rPr>
                <w:rFonts w:ascii="Times New Roman"/>
                <w:sz w:val="14"/>
              </w:rPr>
            </w:pPr>
          </w:p>
        </w:tc>
        <w:tc>
          <w:tcPr>
            <w:tcW w:w="583" w:type="dxa"/>
            <w:tcBorders>
              <w:bottom w:val="single" w:sz="2" w:space="0" w:color="000000"/>
            </w:tcBorders>
          </w:tcPr>
          <w:p w14:paraId="3FE57270" w14:textId="77777777" w:rsidR="00AC6F3C" w:rsidRDefault="00570E88">
            <w:pPr>
              <w:pStyle w:val="TableParagraph"/>
              <w:spacing w:line="138" w:lineRule="exact"/>
              <w:ind w:left="70"/>
              <w:rPr>
                <w:b/>
                <w:sz w:val="15"/>
              </w:rPr>
            </w:pPr>
            <w:r>
              <w:rPr>
                <w:b/>
                <w:spacing w:val="-4"/>
                <w:sz w:val="15"/>
              </w:rPr>
              <w:t>KPI5</w:t>
            </w:r>
          </w:p>
        </w:tc>
        <w:tc>
          <w:tcPr>
            <w:tcW w:w="953" w:type="dxa"/>
            <w:tcBorders>
              <w:bottom w:val="single" w:sz="2" w:space="0" w:color="000000"/>
            </w:tcBorders>
          </w:tcPr>
          <w:p w14:paraId="60640E40" w14:textId="77777777" w:rsidR="00AC6F3C" w:rsidRDefault="00AC6F3C">
            <w:pPr>
              <w:pStyle w:val="TableParagraph"/>
              <w:rPr>
                <w:rFonts w:ascii="Times New Roman"/>
                <w:sz w:val="14"/>
              </w:rPr>
            </w:pPr>
          </w:p>
        </w:tc>
        <w:tc>
          <w:tcPr>
            <w:tcW w:w="1118" w:type="dxa"/>
            <w:tcBorders>
              <w:bottom w:val="single" w:sz="2" w:space="0" w:color="000000"/>
            </w:tcBorders>
          </w:tcPr>
          <w:p w14:paraId="798385BD" w14:textId="77777777" w:rsidR="00AC6F3C" w:rsidRDefault="00AC6F3C">
            <w:pPr>
              <w:pStyle w:val="TableParagraph"/>
              <w:rPr>
                <w:rFonts w:ascii="Times New Roman"/>
                <w:sz w:val="14"/>
              </w:rPr>
            </w:pPr>
          </w:p>
        </w:tc>
        <w:tc>
          <w:tcPr>
            <w:tcW w:w="577" w:type="dxa"/>
            <w:tcBorders>
              <w:bottom w:val="single" w:sz="2" w:space="0" w:color="000000"/>
            </w:tcBorders>
          </w:tcPr>
          <w:p w14:paraId="45AE915B" w14:textId="77777777" w:rsidR="00AC6F3C" w:rsidRDefault="00AC6F3C">
            <w:pPr>
              <w:pStyle w:val="TableParagraph"/>
              <w:rPr>
                <w:sz w:val="20"/>
              </w:rPr>
            </w:pPr>
          </w:p>
          <w:p w14:paraId="550B26E6" w14:textId="77777777" w:rsidR="00AC6F3C" w:rsidRDefault="00570E88">
            <w:pPr>
              <w:pStyle w:val="TableParagraph"/>
              <w:ind w:right="63"/>
              <w:jc w:val="right"/>
              <w:rPr>
                <w:sz w:val="15"/>
              </w:rPr>
            </w:pPr>
            <w:r>
              <w:rPr>
                <w:spacing w:val="-2"/>
                <w:sz w:val="15"/>
              </w:rPr>
              <w:t>1.2.1</w:t>
            </w:r>
          </w:p>
        </w:tc>
        <w:tc>
          <w:tcPr>
            <w:tcW w:w="1362" w:type="dxa"/>
            <w:tcBorders>
              <w:bottom w:val="single" w:sz="2" w:space="0" w:color="000000"/>
            </w:tcBorders>
          </w:tcPr>
          <w:p w14:paraId="27E03367" w14:textId="77777777" w:rsidR="00AC6F3C" w:rsidRDefault="00570E88">
            <w:pPr>
              <w:pStyle w:val="TableParagraph"/>
              <w:spacing w:before="8"/>
              <w:ind w:left="56"/>
              <w:rPr>
                <w:sz w:val="15"/>
              </w:rPr>
            </w:pPr>
            <w:r>
              <w:rPr>
                <w:spacing w:val="-2"/>
                <w:sz w:val="15"/>
              </w:rPr>
              <w:t>engagements</w:t>
            </w:r>
          </w:p>
          <w:p w14:paraId="5F20B4D5" w14:textId="77777777" w:rsidR="00AC6F3C" w:rsidRDefault="00570E88">
            <w:pPr>
              <w:pStyle w:val="TableParagraph"/>
              <w:spacing w:before="50" w:line="249" w:lineRule="auto"/>
              <w:ind w:left="56"/>
              <w:rPr>
                <w:sz w:val="15"/>
              </w:rPr>
            </w:pPr>
            <w:r>
              <w:rPr>
                <w:sz w:val="15"/>
              </w:rPr>
              <w:t>Committee</w:t>
            </w:r>
            <w:r>
              <w:rPr>
                <w:spacing w:val="-11"/>
                <w:sz w:val="15"/>
              </w:rPr>
              <w:t xml:space="preserve"> </w:t>
            </w:r>
            <w:r>
              <w:rPr>
                <w:sz w:val="15"/>
              </w:rPr>
              <w:t>and Working</w:t>
            </w:r>
            <w:r>
              <w:rPr>
                <w:spacing w:val="-11"/>
                <w:sz w:val="15"/>
              </w:rPr>
              <w:t xml:space="preserve"> </w:t>
            </w:r>
            <w:r>
              <w:rPr>
                <w:sz w:val="15"/>
              </w:rPr>
              <w:t xml:space="preserve">Group </w:t>
            </w:r>
            <w:r>
              <w:rPr>
                <w:spacing w:val="-6"/>
                <w:sz w:val="15"/>
              </w:rPr>
              <w:t>Chairs</w:t>
            </w:r>
            <w:r>
              <w:rPr>
                <w:spacing w:val="-10"/>
                <w:sz w:val="15"/>
              </w:rPr>
              <w:t xml:space="preserve"> </w:t>
            </w:r>
            <w:r>
              <w:rPr>
                <w:spacing w:val="-6"/>
                <w:sz w:val="15"/>
              </w:rPr>
              <w:t>event</w:t>
            </w:r>
            <w:r>
              <w:rPr>
                <w:spacing w:val="-10"/>
                <w:sz w:val="15"/>
              </w:rPr>
              <w:t xml:space="preserve"> </w:t>
            </w:r>
            <w:r>
              <w:rPr>
                <w:spacing w:val="-6"/>
                <w:sz w:val="15"/>
              </w:rPr>
              <w:t>hosted</w:t>
            </w:r>
          </w:p>
        </w:tc>
        <w:tc>
          <w:tcPr>
            <w:tcW w:w="5401" w:type="dxa"/>
            <w:gridSpan w:val="4"/>
            <w:tcBorders>
              <w:bottom w:val="single" w:sz="2" w:space="0" w:color="000000"/>
            </w:tcBorders>
          </w:tcPr>
          <w:p w14:paraId="04C634FC" w14:textId="77777777" w:rsidR="00AC6F3C" w:rsidRDefault="00AC6F3C">
            <w:pPr>
              <w:pStyle w:val="TableParagraph"/>
              <w:rPr>
                <w:rFonts w:ascii="Times New Roman"/>
                <w:sz w:val="14"/>
              </w:rPr>
            </w:pPr>
          </w:p>
        </w:tc>
      </w:tr>
      <w:tr w:rsidR="00AC6F3C" w14:paraId="66AA57CB" w14:textId="77777777">
        <w:trPr>
          <w:trHeight w:val="229"/>
        </w:trPr>
        <w:tc>
          <w:tcPr>
            <w:tcW w:w="844" w:type="dxa"/>
            <w:tcBorders>
              <w:top w:val="single" w:sz="2" w:space="0" w:color="000000"/>
            </w:tcBorders>
          </w:tcPr>
          <w:p w14:paraId="5BD032AD" w14:textId="77777777" w:rsidR="00AC6F3C" w:rsidRDefault="00570E88">
            <w:pPr>
              <w:pStyle w:val="TableParagraph"/>
              <w:spacing w:before="21"/>
              <w:ind w:left="70"/>
              <w:rPr>
                <w:b/>
                <w:sz w:val="15"/>
              </w:rPr>
            </w:pPr>
            <w:r>
              <w:rPr>
                <w:b/>
                <w:spacing w:val="-2"/>
                <w:sz w:val="15"/>
              </w:rPr>
              <w:t>Advocate</w:t>
            </w:r>
          </w:p>
        </w:tc>
        <w:tc>
          <w:tcPr>
            <w:tcW w:w="2246" w:type="dxa"/>
            <w:tcBorders>
              <w:top w:val="single" w:sz="2" w:space="0" w:color="000000"/>
            </w:tcBorders>
          </w:tcPr>
          <w:p w14:paraId="5D34F987" w14:textId="77777777" w:rsidR="00AC6F3C" w:rsidRDefault="00570E88">
            <w:pPr>
              <w:pStyle w:val="TableParagraph"/>
              <w:spacing w:before="21"/>
              <w:ind w:left="133"/>
              <w:rPr>
                <w:sz w:val="15"/>
              </w:rPr>
            </w:pPr>
            <w:r>
              <w:rPr>
                <w:spacing w:val="-2"/>
                <w:sz w:val="15"/>
              </w:rPr>
              <w:t>02.</w:t>
            </w:r>
            <w:r>
              <w:rPr>
                <w:spacing w:val="27"/>
                <w:sz w:val="15"/>
              </w:rPr>
              <w:t xml:space="preserve"> </w:t>
            </w:r>
            <w:r>
              <w:rPr>
                <w:spacing w:val="-2"/>
                <w:sz w:val="15"/>
              </w:rPr>
              <w:t>Publish</w:t>
            </w:r>
            <w:r>
              <w:rPr>
                <w:spacing w:val="-8"/>
                <w:sz w:val="15"/>
              </w:rPr>
              <w:t xml:space="preserve"> </w:t>
            </w:r>
            <w:r>
              <w:rPr>
                <w:spacing w:val="-2"/>
                <w:sz w:val="15"/>
              </w:rPr>
              <w:t>and</w:t>
            </w:r>
            <w:r>
              <w:rPr>
                <w:spacing w:val="-9"/>
                <w:sz w:val="15"/>
              </w:rPr>
              <w:t xml:space="preserve"> </w:t>
            </w:r>
            <w:r>
              <w:rPr>
                <w:spacing w:val="-2"/>
                <w:sz w:val="15"/>
              </w:rPr>
              <w:t>report</w:t>
            </w:r>
            <w:r>
              <w:rPr>
                <w:spacing w:val="-8"/>
                <w:sz w:val="15"/>
              </w:rPr>
              <w:t xml:space="preserve"> </w:t>
            </w:r>
            <w:r>
              <w:rPr>
                <w:spacing w:val="-5"/>
                <w:sz w:val="15"/>
              </w:rPr>
              <w:t>on</w:t>
            </w:r>
          </w:p>
        </w:tc>
        <w:tc>
          <w:tcPr>
            <w:tcW w:w="385" w:type="dxa"/>
            <w:tcBorders>
              <w:top w:val="single" w:sz="2" w:space="0" w:color="000000"/>
            </w:tcBorders>
          </w:tcPr>
          <w:p w14:paraId="54559259" w14:textId="77777777" w:rsidR="00AC6F3C" w:rsidRDefault="00570E88">
            <w:pPr>
              <w:pStyle w:val="TableParagraph"/>
              <w:spacing w:before="21"/>
              <w:ind w:left="70"/>
              <w:rPr>
                <w:sz w:val="15"/>
              </w:rPr>
            </w:pPr>
            <w:r>
              <w:rPr>
                <w:spacing w:val="-5"/>
                <w:sz w:val="15"/>
              </w:rPr>
              <w:t>2.1</w:t>
            </w:r>
          </w:p>
        </w:tc>
        <w:tc>
          <w:tcPr>
            <w:tcW w:w="2521" w:type="dxa"/>
            <w:tcBorders>
              <w:top w:val="single" w:sz="2" w:space="0" w:color="000000"/>
            </w:tcBorders>
          </w:tcPr>
          <w:p w14:paraId="71DC4628" w14:textId="77777777" w:rsidR="00AC6F3C" w:rsidRDefault="00570E88">
            <w:pPr>
              <w:pStyle w:val="TableParagraph"/>
              <w:spacing w:before="21"/>
              <w:ind w:left="110"/>
              <w:rPr>
                <w:sz w:val="15"/>
              </w:rPr>
            </w:pPr>
            <w:r>
              <w:rPr>
                <w:spacing w:val="-4"/>
                <w:sz w:val="15"/>
              </w:rPr>
              <w:t>Publish</w:t>
            </w:r>
            <w:r>
              <w:rPr>
                <w:spacing w:val="-1"/>
                <w:sz w:val="15"/>
              </w:rPr>
              <w:t xml:space="preserve"> </w:t>
            </w:r>
            <w:r>
              <w:rPr>
                <w:spacing w:val="-4"/>
                <w:sz w:val="15"/>
              </w:rPr>
              <w:t>the</w:t>
            </w:r>
            <w:r>
              <w:rPr>
                <w:spacing w:val="-1"/>
                <w:sz w:val="15"/>
              </w:rPr>
              <w:t xml:space="preserve"> </w:t>
            </w:r>
            <w:r>
              <w:rPr>
                <w:spacing w:val="-4"/>
                <w:sz w:val="15"/>
              </w:rPr>
              <w:t>reports</w:t>
            </w:r>
            <w:r>
              <w:rPr>
                <w:sz w:val="15"/>
              </w:rPr>
              <w:t xml:space="preserve"> </w:t>
            </w:r>
            <w:r>
              <w:rPr>
                <w:spacing w:val="-4"/>
                <w:sz w:val="15"/>
              </w:rPr>
              <w:t>of</w:t>
            </w:r>
            <w:r>
              <w:rPr>
                <w:spacing w:val="-1"/>
                <w:sz w:val="15"/>
              </w:rPr>
              <w:t xml:space="preserve"> </w:t>
            </w:r>
            <w:r>
              <w:rPr>
                <w:spacing w:val="-5"/>
                <w:sz w:val="15"/>
              </w:rPr>
              <w:t>the</w:t>
            </w:r>
          </w:p>
        </w:tc>
        <w:tc>
          <w:tcPr>
            <w:tcW w:w="583" w:type="dxa"/>
            <w:tcBorders>
              <w:top w:val="single" w:sz="2" w:space="0" w:color="000000"/>
            </w:tcBorders>
          </w:tcPr>
          <w:p w14:paraId="2A7C66F7" w14:textId="77777777" w:rsidR="00AC6F3C" w:rsidRDefault="00570E88">
            <w:pPr>
              <w:pStyle w:val="TableParagraph"/>
              <w:spacing w:before="21"/>
              <w:ind w:left="70"/>
              <w:rPr>
                <w:b/>
                <w:sz w:val="15"/>
              </w:rPr>
            </w:pPr>
            <w:r>
              <w:rPr>
                <w:b/>
                <w:spacing w:val="-4"/>
                <w:sz w:val="15"/>
              </w:rPr>
              <w:t>KPI4</w:t>
            </w:r>
          </w:p>
        </w:tc>
        <w:tc>
          <w:tcPr>
            <w:tcW w:w="953" w:type="dxa"/>
            <w:tcBorders>
              <w:top w:val="single" w:sz="2" w:space="0" w:color="000000"/>
            </w:tcBorders>
          </w:tcPr>
          <w:p w14:paraId="0186E415" w14:textId="77777777" w:rsidR="00AC6F3C" w:rsidRDefault="00570E88">
            <w:pPr>
              <w:pStyle w:val="TableParagraph"/>
              <w:spacing w:before="21"/>
              <w:ind w:right="106"/>
              <w:jc w:val="right"/>
              <w:rPr>
                <w:sz w:val="15"/>
              </w:rPr>
            </w:pPr>
            <w:r>
              <w:rPr>
                <w:spacing w:val="-4"/>
                <w:sz w:val="15"/>
              </w:rPr>
              <w:t>30-Jun-</w:t>
            </w:r>
            <w:r>
              <w:rPr>
                <w:spacing w:val="-5"/>
                <w:sz w:val="15"/>
              </w:rPr>
              <w:t>23</w:t>
            </w:r>
          </w:p>
        </w:tc>
        <w:tc>
          <w:tcPr>
            <w:tcW w:w="1118" w:type="dxa"/>
            <w:tcBorders>
              <w:top w:val="single" w:sz="2" w:space="0" w:color="000000"/>
            </w:tcBorders>
          </w:tcPr>
          <w:p w14:paraId="2EE89EA5" w14:textId="77777777" w:rsidR="00AC6F3C" w:rsidRDefault="00570E88">
            <w:pPr>
              <w:pStyle w:val="TableParagraph"/>
              <w:spacing w:before="21"/>
              <w:ind w:left="107"/>
              <w:rPr>
                <w:sz w:val="15"/>
              </w:rPr>
            </w:pPr>
            <w:r>
              <w:rPr>
                <w:spacing w:val="-6"/>
                <w:sz w:val="15"/>
              </w:rPr>
              <w:t>Legal</w:t>
            </w:r>
            <w:r>
              <w:rPr>
                <w:spacing w:val="-3"/>
                <w:sz w:val="15"/>
              </w:rPr>
              <w:t xml:space="preserve"> </w:t>
            </w:r>
            <w:r>
              <w:rPr>
                <w:spacing w:val="-2"/>
                <w:sz w:val="15"/>
              </w:rPr>
              <w:t>Policy</w:t>
            </w:r>
          </w:p>
        </w:tc>
        <w:tc>
          <w:tcPr>
            <w:tcW w:w="577" w:type="dxa"/>
            <w:tcBorders>
              <w:top w:val="single" w:sz="2" w:space="0" w:color="000000"/>
            </w:tcBorders>
          </w:tcPr>
          <w:p w14:paraId="2D1AEF71" w14:textId="77777777" w:rsidR="00AC6F3C" w:rsidRDefault="00570E88">
            <w:pPr>
              <w:pStyle w:val="TableParagraph"/>
              <w:spacing w:before="21"/>
              <w:ind w:right="78"/>
              <w:jc w:val="right"/>
              <w:rPr>
                <w:sz w:val="15"/>
              </w:rPr>
            </w:pPr>
            <w:r>
              <w:rPr>
                <w:spacing w:val="-2"/>
                <w:sz w:val="15"/>
              </w:rPr>
              <w:t>2.1.1</w:t>
            </w:r>
          </w:p>
        </w:tc>
        <w:tc>
          <w:tcPr>
            <w:tcW w:w="1362" w:type="dxa"/>
            <w:tcBorders>
              <w:top w:val="single" w:sz="2" w:space="0" w:color="000000"/>
            </w:tcBorders>
          </w:tcPr>
          <w:p w14:paraId="7D609CAC" w14:textId="77777777" w:rsidR="00AC6F3C" w:rsidRDefault="00570E88">
            <w:pPr>
              <w:pStyle w:val="TableParagraph"/>
              <w:spacing w:before="21"/>
              <w:ind w:left="56"/>
              <w:rPr>
                <w:sz w:val="15"/>
              </w:rPr>
            </w:pPr>
            <w:r>
              <w:rPr>
                <w:spacing w:val="-4"/>
                <w:sz w:val="15"/>
              </w:rPr>
              <w:t>Reports</w:t>
            </w:r>
            <w:r>
              <w:rPr>
                <w:spacing w:val="2"/>
                <w:sz w:val="15"/>
              </w:rPr>
              <w:t xml:space="preserve"> </w:t>
            </w:r>
            <w:r>
              <w:rPr>
                <w:spacing w:val="-2"/>
                <w:sz w:val="15"/>
              </w:rPr>
              <w:t>published</w:t>
            </w:r>
          </w:p>
        </w:tc>
        <w:tc>
          <w:tcPr>
            <w:tcW w:w="784" w:type="dxa"/>
            <w:tcBorders>
              <w:top w:val="single" w:sz="2" w:space="0" w:color="000000"/>
            </w:tcBorders>
          </w:tcPr>
          <w:p w14:paraId="7E677A23" w14:textId="77777777" w:rsidR="00AC6F3C" w:rsidRDefault="00570E88">
            <w:pPr>
              <w:pStyle w:val="TableParagraph"/>
              <w:spacing w:before="21"/>
              <w:ind w:left="69"/>
              <w:rPr>
                <w:b/>
                <w:sz w:val="15"/>
              </w:rPr>
            </w:pPr>
            <w:r>
              <w:rPr>
                <w:b/>
                <w:spacing w:val="-2"/>
                <w:sz w:val="15"/>
              </w:rPr>
              <w:t>Green-</w:t>
            </w:r>
          </w:p>
        </w:tc>
        <w:tc>
          <w:tcPr>
            <w:tcW w:w="1089" w:type="dxa"/>
            <w:tcBorders>
              <w:top w:val="single" w:sz="2" w:space="0" w:color="000000"/>
            </w:tcBorders>
          </w:tcPr>
          <w:p w14:paraId="62C59EDA" w14:textId="77777777" w:rsidR="00AC6F3C" w:rsidRDefault="00570E88">
            <w:pPr>
              <w:pStyle w:val="TableParagraph"/>
              <w:spacing w:before="21"/>
              <w:ind w:left="249"/>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494" w:type="dxa"/>
            <w:tcBorders>
              <w:top w:val="single" w:sz="2" w:space="0" w:color="000000"/>
            </w:tcBorders>
          </w:tcPr>
          <w:p w14:paraId="526C0110" w14:textId="77777777" w:rsidR="00AC6F3C" w:rsidRDefault="00570E88">
            <w:pPr>
              <w:pStyle w:val="TableParagraph"/>
              <w:spacing w:before="21"/>
              <w:ind w:right="80"/>
              <w:jc w:val="right"/>
              <w:rPr>
                <w:sz w:val="15"/>
              </w:rPr>
            </w:pPr>
            <w:r>
              <w:rPr>
                <w:spacing w:val="-2"/>
                <w:sz w:val="15"/>
              </w:rPr>
              <w:t>2.1.1</w:t>
            </w:r>
          </w:p>
        </w:tc>
        <w:tc>
          <w:tcPr>
            <w:tcW w:w="3034" w:type="dxa"/>
            <w:tcBorders>
              <w:top w:val="single" w:sz="2" w:space="0" w:color="000000"/>
            </w:tcBorders>
          </w:tcPr>
          <w:p w14:paraId="1471A3EC" w14:textId="77777777" w:rsidR="00AC6F3C" w:rsidRDefault="00570E88">
            <w:pPr>
              <w:pStyle w:val="TableParagraph"/>
              <w:spacing w:before="21"/>
              <w:ind w:left="55"/>
              <w:rPr>
                <w:sz w:val="15"/>
              </w:rPr>
            </w:pPr>
            <w:r>
              <w:rPr>
                <w:spacing w:val="-4"/>
                <w:sz w:val="15"/>
              </w:rPr>
              <w:t>On</w:t>
            </w:r>
            <w:r>
              <w:rPr>
                <w:spacing w:val="-2"/>
                <w:sz w:val="15"/>
              </w:rPr>
              <w:t xml:space="preserve"> </w:t>
            </w:r>
            <w:r>
              <w:rPr>
                <w:spacing w:val="-4"/>
                <w:sz w:val="15"/>
              </w:rPr>
              <w:t>track</w:t>
            </w:r>
            <w:r>
              <w:rPr>
                <w:spacing w:val="-2"/>
                <w:sz w:val="15"/>
              </w:rPr>
              <w:t xml:space="preserve"> </w:t>
            </w:r>
            <w:r>
              <w:rPr>
                <w:spacing w:val="-4"/>
                <w:sz w:val="15"/>
              </w:rPr>
              <w:t>and</w:t>
            </w:r>
            <w:r>
              <w:rPr>
                <w:spacing w:val="-2"/>
                <w:sz w:val="15"/>
              </w:rPr>
              <w:t xml:space="preserve"> </w:t>
            </w:r>
            <w:r>
              <w:rPr>
                <w:spacing w:val="-4"/>
                <w:sz w:val="15"/>
              </w:rPr>
              <w:t>ongoing</w:t>
            </w:r>
            <w:r>
              <w:rPr>
                <w:spacing w:val="-2"/>
                <w:sz w:val="15"/>
              </w:rPr>
              <w:t xml:space="preserve"> </w:t>
            </w:r>
            <w:r>
              <w:rPr>
                <w:spacing w:val="-4"/>
                <w:sz w:val="15"/>
              </w:rPr>
              <w:t>–</w:t>
            </w:r>
            <w:r>
              <w:rPr>
                <w:spacing w:val="-2"/>
                <w:sz w:val="15"/>
              </w:rPr>
              <w:t xml:space="preserve"> </w:t>
            </w:r>
            <w:r>
              <w:rPr>
                <w:spacing w:val="-4"/>
                <w:sz w:val="15"/>
              </w:rPr>
              <w:t>reports</w:t>
            </w:r>
            <w:r>
              <w:rPr>
                <w:spacing w:val="-2"/>
                <w:sz w:val="15"/>
              </w:rPr>
              <w:t xml:space="preserve"> </w:t>
            </w:r>
            <w:r>
              <w:rPr>
                <w:spacing w:val="-4"/>
                <w:sz w:val="15"/>
              </w:rPr>
              <w:t>received</w:t>
            </w:r>
            <w:r>
              <w:rPr>
                <w:spacing w:val="-2"/>
                <w:sz w:val="15"/>
              </w:rPr>
              <w:t xml:space="preserve"> </w:t>
            </w:r>
            <w:r>
              <w:rPr>
                <w:spacing w:val="-5"/>
                <w:sz w:val="15"/>
              </w:rPr>
              <w:t>and</w:t>
            </w:r>
          </w:p>
        </w:tc>
      </w:tr>
      <w:tr w:rsidR="00AC6F3C" w14:paraId="36FE165C" w14:textId="77777777">
        <w:trPr>
          <w:trHeight w:val="180"/>
        </w:trPr>
        <w:tc>
          <w:tcPr>
            <w:tcW w:w="844" w:type="dxa"/>
          </w:tcPr>
          <w:p w14:paraId="2FF6F664" w14:textId="77777777" w:rsidR="00AC6F3C" w:rsidRDefault="00AC6F3C">
            <w:pPr>
              <w:pStyle w:val="TableParagraph"/>
              <w:rPr>
                <w:rFonts w:ascii="Times New Roman"/>
                <w:sz w:val="12"/>
              </w:rPr>
            </w:pPr>
          </w:p>
        </w:tc>
        <w:tc>
          <w:tcPr>
            <w:tcW w:w="2246" w:type="dxa"/>
          </w:tcPr>
          <w:p w14:paraId="30572688" w14:textId="77777777" w:rsidR="00AC6F3C" w:rsidRDefault="00570E88">
            <w:pPr>
              <w:pStyle w:val="TableParagraph"/>
              <w:spacing w:line="144" w:lineRule="exact"/>
              <w:ind w:left="417"/>
              <w:rPr>
                <w:sz w:val="15"/>
              </w:rPr>
            </w:pPr>
            <w:r>
              <w:rPr>
                <w:spacing w:val="-4"/>
                <w:sz w:val="15"/>
              </w:rPr>
              <w:t>the</w:t>
            </w:r>
            <w:r>
              <w:rPr>
                <w:spacing w:val="-1"/>
                <w:sz w:val="15"/>
              </w:rPr>
              <w:t xml:space="preserve"> </w:t>
            </w:r>
            <w:r>
              <w:rPr>
                <w:spacing w:val="-4"/>
                <w:sz w:val="15"/>
              </w:rPr>
              <w:t>research</w:t>
            </w:r>
            <w:r>
              <w:rPr>
                <w:sz w:val="15"/>
              </w:rPr>
              <w:t xml:space="preserve"> </w:t>
            </w:r>
            <w:r>
              <w:rPr>
                <w:spacing w:val="-4"/>
                <w:sz w:val="15"/>
              </w:rPr>
              <w:t>projects</w:t>
            </w:r>
            <w:r>
              <w:rPr>
                <w:sz w:val="15"/>
              </w:rPr>
              <w:t xml:space="preserve"> </w:t>
            </w:r>
            <w:r>
              <w:rPr>
                <w:spacing w:val="-10"/>
                <w:sz w:val="15"/>
              </w:rPr>
              <w:t>–</w:t>
            </w:r>
          </w:p>
        </w:tc>
        <w:tc>
          <w:tcPr>
            <w:tcW w:w="385" w:type="dxa"/>
          </w:tcPr>
          <w:p w14:paraId="1A6DFED5" w14:textId="77777777" w:rsidR="00AC6F3C" w:rsidRDefault="00AC6F3C">
            <w:pPr>
              <w:pStyle w:val="TableParagraph"/>
              <w:rPr>
                <w:rFonts w:ascii="Times New Roman"/>
                <w:sz w:val="12"/>
              </w:rPr>
            </w:pPr>
          </w:p>
        </w:tc>
        <w:tc>
          <w:tcPr>
            <w:tcW w:w="2521" w:type="dxa"/>
          </w:tcPr>
          <w:p w14:paraId="08D5F98A" w14:textId="77777777" w:rsidR="00AC6F3C" w:rsidRDefault="00570E88">
            <w:pPr>
              <w:pStyle w:val="TableParagraph"/>
              <w:spacing w:line="144" w:lineRule="exact"/>
              <w:ind w:left="110"/>
              <w:rPr>
                <w:sz w:val="15"/>
              </w:rPr>
            </w:pPr>
            <w:r>
              <w:rPr>
                <w:spacing w:val="-4"/>
                <w:sz w:val="15"/>
              </w:rPr>
              <w:t>research</w:t>
            </w:r>
            <w:r>
              <w:rPr>
                <w:spacing w:val="-2"/>
                <w:sz w:val="15"/>
              </w:rPr>
              <w:t xml:space="preserve"> </w:t>
            </w:r>
            <w:r>
              <w:rPr>
                <w:spacing w:val="-4"/>
                <w:sz w:val="15"/>
              </w:rPr>
              <w:t>projects</w:t>
            </w:r>
            <w:r>
              <w:rPr>
                <w:spacing w:val="-1"/>
                <w:sz w:val="15"/>
              </w:rPr>
              <w:t xml:space="preserve"> </w:t>
            </w:r>
            <w:r>
              <w:rPr>
                <w:spacing w:val="-4"/>
                <w:sz w:val="15"/>
              </w:rPr>
              <w:t>–</w:t>
            </w:r>
            <w:r>
              <w:rPr>
                <w:spacing w:val="-1"/>
                <w:sz w:val="15"/>
              </w:rPr>
              <w:t xml:space="preserve"> </w:t>
            </w:r>
            <w:r>
              <w:rPr>
                <w:spacing w:val="-4"/>
                <w:sz w:val="15"/>
              </w:rPr>
              <w:t>Graduate</w:t>
            </w:r>
          </w:p>
        </w:tc>
        <w:tc>
          <w:tcPr>
            <w:tcW w:w="583" w:type="dxa"/>
          </w:tcPr>
          <w:p w14:paraId="13D2D38A" w14:textId="77777777" w:rsidR="00AC6F3C" w:rsidRDefault="00AC6F3C">
            <w:pPr>
              <w:pStyle w:val="TableParagraph"/>
              <w:rPr>
                <w:rFonts w:ascii="Times New Roman"/>
                <w:sz w:val="12"/>
              </w:rPr>
            </w:pPr>
          </w:p>
        </w:tc>
        <w:tc>
          <w:tcPr>
            <w:tcW w:w="953" w:type="dxa"/>
          </w:tcPr>
          <w:p w14:paraId="1A0A15A6" w14:textId="77777777" w:rsidR="00AC6F3C" w:rsidRDefault="00AC6F3C">
            <w:pPr>
              <w:pStyle w:val="TableParagraph"/>
              <w:rPr>
                <w:rFonts w:ascii="Times New Roman"/>
                <w:sz w:val="12"/>
              </w:rPr>
            </w:pPr>
          </w:p>
        </w:tc>
        <w:tc>
          <w:tcPr>
            <w:tcW w:w="1118" w:type="dxa"/>
          </w:tcPr>
          <w:p w14:paraId="0FED43D8" w14:textId="77777777" w:rsidR="00AC6F3C" w:rsidRDefault="00AC6F3C">
            <w:pPr>
              <w:pStyle w:val="TableParagraph"/>
              <w:rPr>
                <w:rFonts w:ascii="Times New Roman"/>
                <w:sz w:val="12"/>
              </w:rPr>
            </w:pPr>
          </w:p>
        </w:tc>
        <w:tc>
          <w:tcPr>
            <w:tcW w:w="577" w:type="dxa"/>
          </w:tcPr>
          <w:p w14:paraId="1C507456" w14:textId="77777777" w:rsidR="00AC6F3C" w:rsidRDefault="00AC6F3C">
            <w:pPr>
              <w:pStyle w:val="TableParagraph"/>
              <w:rPr>
                <w:rFonts w:ascii="Times New Roman"/>
                <w:sz w:val="12"/>
              </w:rPr>
            </w:pPr>
          </w:p>
        </w:tc>
        <w:tc>
          <w:tcPr>
            <w:tcW w:w="1362" w:type="dxa"/>
          </w:tcPr>
          <w:p w14:paraId="558BC9ED" w14:textId="77777777" w:rsidR="00AC6F3C" w:rsidRDefault="00570E88">
            <w:pPr>
              <w:pStyle w:val="TableParagraph"/>
              <w:spacing w:line="144" w:lineRule="exact"/>
              <w:ind w:left="56"/>
              <w:rPr>
                <w:sz w:val="15"/>
              </w:rPr>
            </w:pPr>
            <w:r>
              <w:rPr>
                <w:spacing w:val="-4"/>
                <w:sz w:val="15"/>
              </w:rPr>
              <w:t>on</w:t>
            </w:r>
            <w:r>
              <w:rPr>
                <w:spacing w:val="-7"/>
                <w:sz w:val="15"/>
              </w:rPr>
              <w:t xml:space="preserve"> </w:t>
            </w:r>
            <w:r>
              <w:rPr>
                <w:spacing w:val="-4"/>
                <w:sz w:val="15"/>
              </w:rPr>
              <w:t>QLS</w:t>
            </w:r>
            <w:r>
              <w:rPr>
                <w:spacing w:val="-6"/>
                <w:sz w:val="15"/>
              </w:rPr>
              <w:t xml:space="preserve"> </w:t>
            </w:r>
            <w:r>
              <w:rPr>
                <w:spacing w:val="-4"/>
                <w:sz w:val="15"/>
              </w:rPr>
              <w:t>website</w:t>
            </w:r>
          </w:p>
        </w:tc>
        <w:tc>
          <w:tcPr>
            <w:tcW w:w="784" w:type="dxa"/>
          </w:tcPr>
          <w:p w14:paraId="6ECE7C43" w14:textId="77777777" w:rsidR="00AC6F3C" w:rsidRDefault="00570E88">
            <w:pPr>
              <w:pStyle w:val="TableParagraph"/>
              <w:spacing w:line="144" w:lineRule="exact"/>
              <w:ind w:left="69"/>
              <w:rPr>
                <w:b/>
                <w:sz w:val="15"/>
              </w:rPr>
            </w:pPr>
            <w:r>
              <w:rPr>
                <w:b/>
                <w:spacing w:val="-2"/>
                <w:sz w:val="15"/>
              </w:rPr>
              <w:t>Yellow</w:t>
            </w:r>
          </w:p>
        </w:tc>
        <w:tc>
          <w:tcPr>
            <w:tcW w:w="1089" w:type="dxa"/>
          </w:tcPr>
          <w:p w14:paraId="0281F727" w14:textId="77777777" w:rsidR="00AC6F3C" w:rsidRDefault="00570E88">
            <w:pPr>
              <w:pStyle w:val="TableParagraph"/>
              <w:spacing w:line="144" w:lineRule="exact"/>
              <w:ind w:left="249"/>
              <w:rPr>
                <w:b/>
                <w:sz w:val="15"/>
              </w:rPr>
            </w:pPr>
            <w:r>
              <w:rPr>
                <w:b/>
                <w:spacing w:val="-2"/>
                <w:sz w:val="15"/>
              </w:rPr>
              <w:t>ongoing</w:t>
            </w:r>
          </w:p>
        </w:tc>
        <w:tc>
          <w:tcPr>
            <w:tcW w:w="494" w:type="dxa"/>
          </w:tcPr>
          <w:p w14:paraId="4EF33A5B" w14:textId="77777777" w:rsidR="00AC6F3C" w:rsidRDefault="00AC6F3C">
            <w:pPr>
              <w:pStyle w:val="TableParagraph"/>
              <w:rPr>
                <w:rFonts w:ascii="Times New Roman"/>
                <w:sz w:val="12"/>
              </w:rPr>
            </w:pPr>
          </w:p>
        </w:tc>
        <w:tc>
          <w:tcPr>
            <w:tcW w:w="3034" w:type="dxa"/>
          </w:tcPr>
          <w:p w14:paraId="64128ED3" w14:textId="77777777" w:rsidR="00AC6F3C" w:rsidRDefault="00570E88">
            <w:pPr>
              <w:pStyle w:val="TableParagraph"/>
              <w:spacing w:line="144" w:lineRule="exact"/>
              <w:ind w:left="55"/>
              <w:rPr>
                <w:sz w:val="15"/>
              </w:rPr>
            </w:pPr>
            <w:r>
              <w:rPr>
                <w:spacing w:val="-4"/>
                <w:sz w:val="15"/>
              </w:rPr>
              <w:t xml:space="preserve">to </w:t>
            </w:r>
            <w:proofErr w:type="gramStart"/>
            <w:r>
              <w:rPr>
                <w:spacing w:val="-4"/>
                <w:sz w:val="15"/>
              </w:rPr>
              <w:t>be</w:t>
            </w:r>
            <w:r>
              <w:rPr>
                <w:spacing w:val="-3"/>
                <w:sz w:val="15"/>
              </w:rPr>
              <w:t xml:space="preserve"> </w:t>
            </w:r>
            <w:r>
              <w:rPr>
                <w:spacing w:val="-4"/>
                <w:sz w:val="15"/>
              </w:rPr>
              <w:t>published</w:t>
            </w:r>
            <w:proofErr w:type="gramEnd"/>
            <w:r>
              <w:rPr>
                <w:spacing w:val="-4"/>
                <w:sz w:val="15"/>
              </w:rPr>
              <w:t xml:space="preserve"> in</w:t>
            </w:r>
            <w:r>
              <w:rPr>
                <w:spacing w:val="-3"/>
                <w:sz w:val="15"/>
              </w:rPr>
              <w:t xml:space="preserve"> </w:t>
            </w:r>
            <w:r>
              <w:rPr>
                <w:spacing w:val="-4"/>
                <w:sz w:val="15"/>
              </w:rPr>
              <w:t>23/24.</w:t>
            </w:r>
          </w:p>
        </w:tc>
      </w:tr>
      <w:tr w:rsidR="00AC6F3C" w14:paraId="0B3D7374" w14:textId="77777777">
        <w:trPr>
          <w:trHeight w:val="402"/>
        </w:trPr>
        <w:tc>
          <w:tcPr>
            <w:tcW w:w="844" w:type="dxa"/>
          </w:tcPr>
          <w:p w14:paraId="4CAC9BDE" w14:textId="77777777" w:rsidR="00AC6F3C" w:rsidRDefault="00AC6F3C">
            <w:pPr>
              <w:pStyle w:val="TableParagraph"/>
              <w:rPr>
                <w:rFonts w:ascii="Times New Roman"/>
                <w:sz w:val="14"/>
              </w:rPr>
            </w:pPr>
          </w:p>
        </w:tc>
        <w:tc>
          <w:tcPr>
            <w:tcW w:w="2246" w:type="dxa"/>
          </w:tcPr>
          <w:p w14:paraId="14E46253" w14:textId="77777777" w:rsidR="00AC6F3C" w:rsidRDefault="00570E88">
            <w:pPr>
              <w:pStyle w:val="TableParagraph"/>
              <w:spacing w:line="144" w:lineRule="exact"/>
              <w:ind w:left="417"/>
              <w:rPr>
                <w:sz w:val="15"/>
              </w:rPr>
            </w:pPr>
            <w:r>
              <w:rPr>
                <w:spacing w:val="-4"/>
                <w:sz w:val="15"/>
              </w:rPr>
              <w:t>Graduate readiness</w:t>
            </w:r>
            <w:r>
              <w:rPr>
                <w:spacing w:val="-3"/>
                <w:sz w:val="15"/>
              </w:rPr>
              <w:t xml:space="preserve"> </w:t>
            </w:r>
            <w:r>
              <w:rPr>
                <w:spacing w:val="-5"/>
                <w:sz w:val="15"/>
              </w:rPr>
              <w:t>and</w:t>
            </w:r>
          </w:p>
          <w:p w14:paraId="189CD95B" w14:textId="77777777" w:rsidR="00AC6F3C" w:rsidRDefault="00570E88">
            <w:pPr>
              <w:pStyle w:val="TableParagraph"/>
              <w:spacing w:before="7"/>
              <w:ind w:left="417"/>
              <w:rPr>
                <w:sz w:val="15"/>
              </w:rPr>
            </w:pPr>
            <w:r>
              <w:rPr>
                <w:spacing w:val="-4"/>
                <w:sz w:val="15"/>
              </w:rPr>
              <w:t>Practice</w:t>
            </w:r>
            <w:r>
              <w:rPr>
                <w:spacing w:val="1"/>
                <w:sz w:val="15"/>
              </w:rPr>
              <w:t xml:space="preserve"> </w:t>
            </w:r>
            <w:r>
              <w:rPr>
                <w:spacing w:val="-2"/>
                <w:sz w:val="15"/>
              </w:rPr>
              <w:t>readiness</w:t>
            </w:r>
          </w:p>
        </w:tc>
        <w:tc>
          <w:tcPr>
            <w:tcW w:w="385" w:type="dxa"/>
          </w:tcPr>
          <w:p w14:paraId="544B2B4F" w14:textId="77777777" w:rsidR="00AC6F3C" w:rsidRDefault="00AC6F3C">
            <w:pPr>
              <w:pStyle w:val="TableParagraph"/>
              <w:rPr>
                <w:rFonts w:ascii="Times New Roman"/>
                <w:sz w:val="14"/>
              </w:rPr>
            </w:pPr>
          </w:p>
        </w:tc>
        <w:tc>
          <w:tcPr>
            <w:tcW w:w="2521" w:type="dxa"/>
          </w:tcPr>
          <w:p w14:paraId="62C958D4" w14:textId="77777777" w:rsidR="00AC6F3C" w:rsidRDefault="00570E88">
            <w:pPr>
              <w:pStyle w:val="TableParagraph"/>
              <w:spacing w:line="144" w:lineRule="exact"/>
              <w:ind w:left="110"/>
              <w:rPr>
                <w:sz w:val="15"/>
              </w:rPr>
            </w:pPr>
            <w:r>
              <w:rPr>
                <w:spacing w:val="-4"/>
                <w:sz w:val="15"/>
              </w:rPr>
              <w:t>readiness</w:t>
            </w:r>
            <w:r>
              <w:rPr>
                <w:spacing w:val="-5"/>
                <w:sz w:val="15"/>
              </w:rPr>
              <w:t xml:space="preserve"> </w:t>
            </w:r>
            <w:r>
              <w:rPr>
                <w:spacing w:val="-4"/>
                <w:sz w:val="15"/>
              </w:rPr>
              <w:t>and</w:t>
            </w:r>
            <w:r>
              <w:rPr>
                <w:spacing w:val="-5"/>
                <w:sz w:val="15"/>
              </w:rPr>
              <w:t xml:space="preserve"> </w:t>
            </w:r>
            <w:r>
              <w:rPr>
                <w:spacing w:val="-4"/>
                <w:sz w:val="15"/>
              </w:rPr>
              <w:t>Future readiness</w:t>
            </w:r>
          </w:p>
          <w:p w14:paraId="6161A2C4" w14:textId="77777777" w:rsidR="00AC6F3C" w:rsidRDefault="00570E88">
            <w:pPr>
              <w:pStyle w:val="TableParagraph"/>
              <w:spacing w:before="7"/>
              <w:ind w:left="110"/>
              <w:rPr>
                <w:sz w:val="15"/>
              </w:rPr>
            </w:pPr>
            <w:r>
              <w:rPr>
                <w:spacing w:val="-4"/>
                <w:sz w:val="15"/>
              </w:rPr>
              <w:t>on</w:t>
            </w:r>
            <w:r>
              <w:rPr>
                <w:spacing w:val="-5"/>
                <w:sz w:val="15"/>
              </w:rPr>
              <w:t xml:space="preserve"> </w:t>
            </w:r>
            <w:r>
              <w:rPr>
                <w:spacing w:val="-4"/>
                <w:sz w:val="15"/>
              </w:rPr>
              <w:t>the</w:t>
            </w:r>
            <w:r>
              <w:rPr>
                <w:spacing w:val="-5"/>
                <w:sz w:val="15"/>
              </w:rPr>
              <w:t xml:space="preserve"> </w:t>
            </w:r>
            <w:r>
              <w:rPr>
                <w:spacing w:val="-4"/>
                <w:sz w:val="15"/>
              </w:rPr>
              <w:t>QLS</w:t>
            </w:r>
            <w:r>
              <w:rPr>
                <w:spacing w:val="-5"/>
                <w:sz w:val="15"/>
              </w:rPr>
              <w:t xml:space="preserve"> </w:t>
            </w:r>
            <w:r>
              <w:rPr>
                <w:spacing w:val="-4"/>
                <w:sz w:val="15"/>
              </w:rPr>
              <w:t>website</w:t>
            </w:r>
          </w:p>
        </w:tc>
        <w:tc>
          <w:tcPr>
            <w:tcW w:w="583" w:type="dxa"/>
          </w:tcPr>
          <w:p w14:paraId="79AE2CAA" w14:textId="77777777" w:rsidR="00AC6F3C" w:rsidRDefault="00570E88">
            <w:pPr>
              <w:pStyle w:val="TableParagraph"/>
              <w:spacing w:line="144" w:lineRule="exact"/>
              <w:ind w:left="70"/>
              <w:rPr>
                <w:b/>
                <w:sz w:val="15"/>
              </w:rPr>
            </w:pPr>
            <w:r>
              <w:rPr>
                <w:b/>
                <w:spacing w:val="-4"/>
                <w:sz w:val="15"/>
              </w:rPr>
              <w:t>KPI5</w:t>
            </w:r>
          </w:p>
        </w:tc>
        <w:tc>
          <w:tcPr>
            <w:tcW w:w="953" w:type="dxa"/>
          </w:tcPr>
          <w:p w14:paraId="29F47271" w14:textId="77777777" w:rsidR="00AC6F3C" w:rsidRDefault="00AC6F3C">
            <w:pPr>
              <w:pStyle w:val="TableParagraph"/>
              <w:rPr>
                <w:rFonts w:ascii="Times New Roman"/>
                <w:sz w:val="14"/>
              </w:rPr>
            </w:pPr>
          </w:p>
        </w:tc>
        <w:tc>
          <w:tcPr>
            <w:tcW w:w="1118" w:type="dxa"/>
          </w:tcPr>
          <w:p w14:paraId="21D7161F" w14:textId="77777777" w:rsidR="00AC6F3C" w:rsidRDefault="00AC6F3C">
            <w:pPr>
              <w:pStyle w:val="TableParagraph"/>
              <w:rPr>
                <w:rFonts w:ascii="Times New Roman"/>
                <w:sz w:val="14"/>
              </w:rPr>
            </w:pPr>
          </w:p>
        </w:tc>
        <w:tc>
          <w:tcPr>
            <w:tcW w:w="577" w:type="dxa"/>
          </w:tcPr>
          <w:p w14:paraId="53785829" w14:textId="77777777" w:rsidR="00AC6F3C" w:rsidRDefault="00570E88">
            <w:pPr>
              <w:pStyle w:val="TableParagraph"/>
              <w:spacing w:before="14"/>
              <w:ind w:right="56"/>
              <w:jc w:val="right"/>
              <w:rPr>
                <w:sz w:val="15"/>
              </w:rPr>
            </w:pPr>
            <w:r>
              <w:rPr>
                <w:spacing w:val="-2"/>
                <w:sz w:val="15"/>
              </w:rPr>
              <w:t>2.2.1</w:t>
            </w:r>
          </w:p>
        </w:tc>
        <w:tc>
          <w:tcPr>
            <w:tcW w:w="1362" w:type="dxa"/>
          </w:tcPr>
          <w:p w14:paraId="4ADAFFE0" w14:textId="77777777" w:rsidR="00AC6F3C" w:rsidRDefault="00570E88">
            <w:pPr>
              <w:pStyle w:val="TableParagraph"/>
              <w:spacing w:before="14"/>
              <w:ind w:left="56"/>
              <w:rPr>
                <w:sz w:val="15"/>
              </w:rPr>
            </w:pPr>
            <w:r>
              <w:rPr>
                <w:spacing w:val="-4"/>
                <w:sz w:val="15"/>
              </w:rPr>
              <w:t>Report</w:t>
            </w:r>
            <w:r>
              <w:rPr>
                <w:spacing w:val="1"/>
                <w:sz w:val="15"/>
              </w:rPr>
              <w:t xml:space="preserve"> </w:t>
            </w:r>
            <w:proofErr w:type="gramStart"/>
            <w:r>
              <w:rPr>
                <w:spacing w:val="-2"/>
                <w:sz w:val="15"/>
              </w:rPr>
              <w:t>submitted</w:t>
            </w:r>
            <w:proofErr w:type="gramEnd"/>
          </w:p>
          <w:p w14:paraId="4E970C31" w14:textId="77777777" w:rsidR="00AC6F3C" w:rsidRDefault="00570E88">
            <w:pPr>
              <w:pStyle w:val="TableParagraph"/>
              <w:spacing w:before="7"/>
              <w:ind w:left="56"/>
              <w:rPr>
                <w:sz w:val="15"/>
              </w:rPr>
            </w:pPr>
            <w:r>
              <w:rPr>
                <w:spacing w:val="-2"/>
                <w:sz w:val="15"/>
              </w:rPr>
              <w:t>to</w:t>
            </w:r>
            <w:r>
              <w:rPr>
                <w:spacing w:val="-9"/>
                <w:sz w:val="15"/>
              </w:rPr>
              <w:t xml:space="preserve"> </w:t>
            </w:r>
            <w:r>
              <w:rPr>
                <w:spacing w:val="-5"/>
                <w:sz w:val="15"/>
              </w:rPr>
              <w:t>CEO</w:t>
            </w:r>
          </w:p>
        </w:tc>
        <w:tc>
          <w:tcPr>
            <w:tcW w:w="784" w:type="dxa"/>
          </w:tcPr>
          <w:p w14:paraId="13BB8926" w14:textId="77777777" w:rsidR="00AC6F3C" w:rsidRDefault="00AC6F3C">
            <w:pPr>
              <w:pStyle w:val="TableParagraph"/>
              <w:rPr>
                <w:rFonts w:ascii="Times New Roman"/>
                <w:sz w:val="14"/>
              </w:rPr>
            </w:pPr>
          </w:p>
        </w:tc>
        <w:tc>
          <w:tcPr>
            <w:tcW w:w="1089" w:type="dxa"/>
          </w:tcPr>
          <w:p w14:paraId="1C892603" w14:textId="77777777" w:rsidR="00AC6F3C" w:rsidRDefault="00AC6F3C">
            <w:pPr>
              <w:pStyle w:val="TableParagraph"/>
              <w:rPr>
                <w:rFonts w:ascii="Times New Roman"/>
                <w:sz w:val="14"/>
              </w:rPr>
            </w:pPr>
          </w:p>
        </w:tc>
        <w:tc>
          <w:tcPr>
            <w:tcW w:w="494" w:type="dxa"/>
          </w:tcPr>
          <w:p w14:paraId="54840533" w14:textId="77777777" w:rsidR="00AC6F3C" w:rsidRDefault="00570E88">
            <w:pPr>
              <w:pStyle w:val="TableParagraph"/>
              <w:spacing w:before="14"/>
              <w:ind w:right="58"/>
              <w:jc w:val="right"/>
              <w:rPr>
                <w:sz w:val="15"/>
              </w:rPr>
            </w:pPr>
            <w:r>
              <w:rPr>
                <w:spacing w:val="-2"/>
                <w:sz w:val="15"/>
              </w:rPr>
              <w:t>2.2.1</w:t>
            </w:r>
          </w:p>
        </w:tc>
        <w:tc>
          <w:tcPr>
            <w:tcW w:w="3034" w:type="dxa"/>
          </w:tcPr>
          <w:p w14:paraId="67C853A3" w14:textId="77777777" w:rsidR="00AC6F3C" w:rsidRDefault="00570E88">
            <w:pPr>
              <w:pStyle w:val="TableParagraph"/>
              <w:spacing w:before="14" w:line="249" w:lineRule="auto"/>
              <w:ind w:left="55" w:right="410"/>
              <w:rPr>
                <w:sz w:val="15"/>
              </w:rPr>
            </w:pPr>
            <w:r>
              <w:rPr>
                <w:spacing w:val="-4"/>
                <w:sz w:val="15"/>
              </w:rPr>
              <w:t>Achieved</w:t>
            </w:r>
            <w:r>
              <w:rPr>
                <w:spacing w:val="-7"/>
                <w:sz w:val="15"/>
              </w:rPr>
              <w:t xml:space="preserve"> </w:t>
            </w:r>
            <w:r>
              <w:rPr>
                <w:spacing w:val="-4"/>
                <w:sz w:val="15"/>
              </w:rPr>
              <w:t>–</w:t>
            </w:r>
            <w:r>
              <w:rPr>
                <w:spacing w:val="-6"/>
                <w:sz w:val="15"/>
              </w:rPr>
              <w:t xml:space="preserve"> </w:t>
            </w:r>
            <w:r>
              <w:rPr>
                <w:spacing w:val="-4"/>
                <w:sz w:val="15"/>
              </w:rPr>
              <w:t>graduate</w:t>
            </w:r>
            <w:r>
              <w:rPr>
                <w:spacing w:val="-7"/>
                <w:sz w:val="15"/>
              </w:rPr>
              <w:t xml:space="preserve"> </w:t>
            </w:r>
            <w:r>
              <w:rPr>
                <w:spacing w:val="-4"/>
                <w:sz w:val="15"/>
              </w:rPr>
              <w:t>readiness</w:t>
            </w:r>
            <w:r>
              <w:rPr>
                <w:spacing w:val="-6"/>
                <w:sz w:val="15"/>
              </w:rPr>
              <w:t xml:space="preserve"> </w:t>
            </w:r>
            <w:r>
              <w:rPr>
                <w:spacing w:val="-4"/>
                <w:sz w:val="15"/>
              </w:rPr>
              <w:t>research</w:t>
            </w:r>
            <w:r>
              <w:rPr>
                <w:sz w:val="15"/>
              </w:rPr>
              <w:t xml:space="preserve"> report</w:t>
            </w:r>
            <w:r>
              <w:rPr>
                <w:spacing w:val="-11"/>
                <w:sz w:val="15"/>
              </w:rPr>
              <w:t xml:space="preserve"> </w:t>
            </w:r>
            <w:r>
              <w:rPr>
                <w:sz w:val="15"/>
              </w:rPr>
              <w:t>and</w:t>
            </w:r>
            <w:r>
              <w:rPr>
                <w:spacing w:val="-10"/>
                <w:sz w:val="15"/>
              </w:rPr>
              <w:t xml:space="preserve"> </w:t>
            </w:r>
            <w:r>
              <w:rPr>
                <w:sz w:val="15"/>
              </w:rPr>
              <w:t>Future</w:t>
            </w:r>
            <w:r>
              <w:rPr>
                <w:spacing w:val="-11"/>
                <w:sz w:val="15"/>
              </w:rPr>
              <w:t xml:space="preserve"> </w:t>
            </w:r>
            <w:r>
              <w:rPr>
                <w:sz w:val="15"/>
              </w:rPr>
              <w:t>readiness</w:t>
            </w:r>
            <w:r>
              <w:rPr>
                <w:spacing w:val="-10"/>
                <w:sz w:val="15"/>
              </w:rPr>
              <w:t xml:space="preserve"> </w:t>
            </w:r>
            <w:r>
              <w:rPr>
                <w:sz w:val="15"/>
              </w:rPr>
              <w:t>final</w:t>
            </w:r>
            <w:r>
              <w:rPr>
                <w:spacing w:val="-11"/>
                <w:sz w:val="15"/>
              </w:rPr>
              <w:t xml:space="preserve"> </w:t>
            </w:r>
            <w:r>
              <w:rPr>
                <w:sz w:val="15"/>
              </w:rPr>
              <w:t>report</w:t>
            </w:r>
          </w:p>
        </w:tc>
      </w:tr>
      <w:tr w:rsidR="00AC6F3C" w14:paraId="0DC59216" w14:textId="77777777">
        <w:trPr>
          <w:trHeight w:val="180"/>
        </w:trPr>
        <w:tc>
          <w:tcPr>
            <w:tcW w:w="844" w:type="dxa"/>
          </w:tcPr>
          <w:p w14:paraId="4F82D772" w14:textId="77777777" w:rsidR="00AC6F3C" w:rsidRDefault="00AC6F3C">
            <w:pPr>
              <w:pStyle w:val="TableParagraph"/>
              <w:rPr>
                <w:rFonts w:ascii="Times New Roman"/>
                <w:sz w:val="12"/>
              </w:rPr>
            </w:pPr>
          </w:p>
        </w:tc>
        <w:tc>
          <w:tcPr>
            <w:tcW w:w="2246" w:type="dxa"/>
          </w:tcPr>
          <w:p w14:paraId="699013FE" w14:textId="77777777" w:rsidR="00AC6F3C" w:rsidRDefault="00AC6F3C">
            <w:pPr>
              <w:pStyle w:val="TableParagraph"/>
              <w:rPr>
                <w:rFonts w:ascii="Times New Roman"/>
                <w:sz w:val="12"/>
              </w:rPr>
            </w:pPr>
          </w:p>
        </w:tc>
        <w:tc>
          <w:tcPr>
            <w:tcW w:w="385" w:type="dxa"/>
          </w:tcPr>
          <w:p w14:paraId="575BE079" w14:textId="77777777" w:rsidR="00AC6F3C" w:rsidRDefault="00570E88">
            <w:pPr>
              <w:pStyle w:val="TableParagraph"/>
              <w:spacing w:line="144" w:lineRule="exact"/>
              <w:ind w:left="70"/>
              <w:rPr>
                <w:sz w:val="15"/>
              </w:rPr>
            </w:pPr>
            <w:r>
              <w:rPr>
                <w:spacing w:val="-5"/>
                <w:sz w:val="15"/>
              </w:rPr>
              <w:t>2.2</w:t>
            </w:r>
          </w:p>
        </w:tc>
        <w:tc>
          <w:tcPr>
            <w:tcW w:w="2521" w:type="dxa"/>
          </w:tcPr>
          <w:p w14:paraId="7ABF5CB1" w14:textId="77777777" w:rsidR="00AC6F3C" w:rsidRDefault="00570E88">
            <w:pPr>
              <w:pStyle w:val="TableParagraph"/>
              <w:spacing w:line="144" w:lineRule="exact"/>
              <w:ind w:left="110"/>
              <w:rPr>
                <w:sz w:val="15"/>
              </w:rPr>
            </w:pPr>
            <w:r>
              <w:rPr>
                <w:spacing w:val="-4"/>
                <w:sz w:val="15"/>
              </w:rPr>
              <w:t>Report</w:t>
            </w:r>
            <w:r>
              <w:rPr>
                <w:spacing w:val="-2"/>
                <w:sz w:val="15"/>
              </w:rPr>
              <w:t xml:space="preserve"> </w:t>
            </w:r>
            <w:r>
              <w:rPr>
                <w:spacing w:val="-4"/>
                <w:sz w:val="15"/>
              </w:rPr>
              <w:t>on</w:t>
            </w:r>
            <w:r>
              <w:rPr>
                <w:spacing w:val="-2"/>
                <w:sz w:val="15"/>
              </w:rPr>
              <w:t xml:space="preserve"> </w:t>
            </w:r>
            <w:r>
              <w:rPr>
                <w:spacing w:val="-4"/>
                <w:sz w:val="15"/>
              </w:rPr>
              <w:t>the</w:t>
            </w:r>
            <w:r>
              <w:rPr>
                <w:spacing w:val="-2"/>
                <w:sz w:val="15"/>
              </w:rPr>
              <w:t xml:space="preserve"> </w:t>
            </w:r>
            <w:r>
              <w:rPr>
                <w:spacing w:val="-4"/>
                <w:sz w:val="15"/>
              </w:rPr>
              <w:t>research</w:t>
            </w:r>
            <w:r>
              <w:rPr>
                <w:spacing w:val="-2"/>
                <w:sz w:val="15"/>
              </w:rPr>
              <w:t xml:space="preserve"> </w:t>
            </w:r>
            <w:r>
              <w:rPr>
                <w:spacing w:val="-4"/>
                <w:sz w:val="15"/>
              </w:rPr>
              <w:t>projects</w:t>
            </w:r>
          </w:p>
        </w:tc>
        <w:tc>
          <w:tcPr>
            <w:tcW w:w="583" w:type="dxa"/>
          </w:tcPr>
          <w:p w14:paraId="1A53F13B" w14:textId="77777777" w:rsidR="00AC6F3C" w:rsidRDefault="00AC6F3C">
            <w:pPr>
              <w:pStyle w:val="TableParagraph"/>
              <w:rPr>
                <w:rFonts w:ascii="Times New Roman"/>
                <w:sz w:val="12"/>
              </w:rPr>
            </w:pPr>
          </w:p>
        </w:tc>
        <w:tc>
          <w:tcPr>
            <w:tcW w:w="953" w:type="dxa"/>
          </w:tcPr>
          <w:p w14:paraId="215A32E3" w14:textId="77777777" w:rsidR="00AC6F3C" w:rsidRDefault="00AC6F3C">
            <w:pPr>
              <w:pStyle w:val="TableParagraph"/>
              <w:rPr>
                <w:rFonts w:ascii="Times New Roman"/>
                <w:sz w:val="12"/>
              </w:rPr>
            </w:pPr>
          </w:p>
        </w:tc>
        <w:tc>
          <w:tcPr>
            <w:tcW w:w="1118" w:type="dxa"/>
          </w:tcPr>
          <w:p w14:paraId="1C5EE8C3" w14:textId="77777777" w:rsidR="00AC6F3C" w:rsidRDefault="00AC6F3C">
            <w:pPr>
              <w:pStyle w:val="TableParagraph"/>
              <w:rPr>
                <w:rFonts w:ascii="Times New Roman"/>
                <w:sz w:val="12"/>
              </w:rPr>
            </w:pPr>
          </w:p>
        </w:tc>
        <w:tc>
          <w:tcPr>
            <w:tcW w:w="577" w:type="dxa"/>
          </w:tcPr>
          <w:p w14:paraId="00144075" w14:textId="77777777" w:rsidR="00AC6F3C" w:rsidRDefault="00AC6F3C">
            <w:pPr>
              <w:pStyle w:val="TableParagraph"/>
              <w:rPr>
                <w:rFonts w:ascii="Times New Roman"/>
                <w:sz w:val="12"/>
              </w:rPr>
            </w:pPr>
          </w:p>
        </w:tc>
        <w:tc>
          <w:tcPr>
            <w:tcW w:w="1362" w:type="dxa"/>
          </w:tcPr>
          <w:p w14:paraId="23F98426" w14:textId="77777777" w:rsidR="00AC6F3C" w:rsidRDefault="00AC6F3C">
            <w:pPr>
              <w:pStyle w:val="TableParagraph"/>
              <w:rPr>
                <w:rFonts w:ascii="Times New Roman"/>
                <w:sz w:val="12"/>
              </w:rPr>
            </w:pPr>
          </w:p>
        </w:tc>
        <w:tc>
          <w:tcPr>
            <w:tcW w:w="784" w:type="dxa"/>
          </w:tcPr>
          <w:p w14:paraId="364F6FC3" w14:textId="77777777" w:rsidR="00AC6F3C" w:rsidRDefault="00AC6F3C">
            <w:pPr>
              <w:pStyle w:val="TableParagraph"/>
              <w:rPr>
                <w:rFonts w:ascii="Times New Roman"/>
                <w:sz w:val="12"/>
              </w:rPr>
            </w:pPr>
          </w:p>
        </w:tc>
        <w:tc>
          <w:tcPr>
            <w:tcW w:w="1089" w:type="dxa"/>
          </w:tcPr>
          <w:p w14:paraId="207F57AB" w14:textId="77777777" w:rsidR="00AC6F3C" w:rsidRDefault="00AC6F3C">
            <w:pPr>
              <w:pStyle w:val="TableParagraph"/>
              <w:rPr>
                <w:rFonts w:ascii="Times New Roman"/>
                <w:sz w:val="12"/>
              </w:rPr>
            </w:pPr>
          </w:p>
        </w:tc>
        <w:tc>
          <w:tcPr>
            <w:tcW w:w="494" w:type="dxa"/>
          </w:tcPr>
          <w:p w14:paraId="50530E11" w14:textId="77777777" w:rsidR="00AC6F3C" w:rsidRDefault="00AC6F3C">
            <w:pPr>
              <w:pStyle w:val="TableParagraph"/>
              <w:rPr>
                <w:rFonts w:ascii="Times New Roman"/>
                <w:sz w:val="12"/>
              </w:rPr>
            </w:pPr>
          </w:p>
        </w:tc>
        <w:tc>
          <w:tcPr>
            <w:tcW w:w="3034" w:type="dxa"/>
          </w:tcPr>
          <w:p w14:paraId="1D4F7EF0" w14:textId="77777777" w:rsidR="00AC6F3C" w:rsidRDefault="00570E88">
            <w:pPr>
              <w:pStyle w:val="TableParagraph"/>
              <w:spacing w:line="144" w:lineRule="exact"/>
              <w:ind w:left="55"/>
              <w:rPr>
                <w:sz w:val="15"/>
              </w:rPr>
            </w:pPr>
            <w:r>
              <w:rPr>
                <w:spacing w:val="-4"/>
                <w:sz w:val="15"/>
              </w:rPr>
              <w:t>submitted</w:t>
            </w:r>
            <w:r>
              <w:rPr>
                <w:spacing w:val="-3"/>
                <w:sz w:val="15"/>
              </w:rPr>
              <w:t xml:space="preserve"> </w:t>
            </w:r>
            <w:r>
              <w:rPr>
                <w:spacing w:val="-4"/>
                <w:sz w:val="15"/>
              </w:rPr>
              <w:t>to</w:t>
            </w:r>
            <w:r>
              <w:rPr>
                <w:spacing w:val="-2"/>
                <w:sz w:val="15"/>
              </w:rPr>
              <w:t xml:space="preserve"> </w:t>
            </w:r>
            <w:r>
              <w:rPr>
                <w:spacing w:val="-4"/>
                <w:sz w:val="15"/>
              </w:rPr>
              <w:t>CEO.</w:t>
            </w:r>
          </w:p>
        </w:tc>
      </w:tr>
      <w:tr w:rsidR="00AC6F3C" w14:paraId="7C2E795C" w14:textId="77777777">
        <w:trPr>
          <w:trHeight w:val="180"/>
        </w:trPr>
        <w:tc>
          <w:tcPr>
            <w:tcW w:w="844" w:type="dxa"/>
          </w:tcPr>
          <w:p w14:paraId="6F8201BF" w14:textId="77777777" w:rsidR="00AC6F3C" w:rsidRDefault="00AC6F3C">
            <w:pPr>
              <w:pStyle w:val="TableParagraph"/>
              <w:rPr>
                <w:rFonts w:ascii="Times New Roman"/>
                <w:sz w:val="12"/>
              </w:rPr>
            </w:pPr>
          </w:p>
        </w:tc>
        <w:tc>
          <w:tcPr>
            <w:tcW w:w="2246" w:type="dxa"/>
          </w:tcPr>
          <w:p w14:paraId="6989FF95" w14:textId="77777777" w:rsidR="00AC6F3C" w:rsidRDefault="00AC6F3C">
            <w:pPr>
              <w:pStyle w:val="TableParagraph"/>
              <w:rPr>
                <w:rFonts w:ascii="Times New Roman"/>
                <w:sz w:val="12"/>
              </w:rPr>
            </w:pPr>
          </w:p>
        </w:tc>
        <w:tc>
          <w:tcPr>
            <w:tcW w:w="385" w:type="dxa"/>
          </w:tcPr>
          <w:p w14:paraId="6E1EF96D" w14:textId="77777777" w:rsidR="00AC6F3C" w:rsidRDefault="00AC6F3C">
            <w:pPr>
              <w:pStyle w:val="TableParagraph"/>
              <w:rPr>
                <w:rFonts w:ascii="Times New Roman"/>
                <w:sz w:val="12"/>
              </w:rPr>
            </w:pPr>
          </w:p>
        </w:tc>
        <w:tc>
          <w:tcPr>
            <w:tcW w:w="2521" w:type="dxa"/>
          </w:tcPr>
          <w:p w14:paraId="3553C5EE" w14:textId="77777777" w:rsidR="00AC6F3C" w:rsidRDefault="00570E88">
            <w:pPr>
              <w:pStyle w:val="TableParagraph"/>
              <w:spacing w:line="144" w:lineRule="exact"/>
              <w:ind w:left="110"/>
              <w:rPr>
                <w:sz w:val="15"/>
              </w:rPr>
            </w:pPr>
            <w:r>
              <w:rPr>
                <w:spacing w:val="-4"/>
                <w:sz w:val="15"/>
              </w:rPr>
              <w:t xml:space="preserve">– Graduate readiness </w:t>
            </w:r>
            <w:r>
              <w:rPr>
                <w:spacing w:val="-5"/>
                <w:sz w:val="15"/>
              </w:rPr>
              <w:t>and</w:t>
            </w:r>
          </w:p>
        </w:tc>
        <w:tc>
          <w:tcPr>
            <w:tcW w:w="583" w:type="dxa"/>
          </w:tcPr>
          <w:p w14:paraId="69DD14B3" w14:textId="77777777" w:rsidR="00AC6F3C" w:rsidRDefault="00AC6F3C">
            <w:pPr>
              <w:pStyle w:val="TableParagraph"/>
              <w:rPr>
                <w:rFonts w:ascii="Times New Roman"/>
                <w:sz w:val="12"/>
              </w:rPr>
            </w:pPr>
          </w:p>
        </w:tc>
        <w:tc>
          <w:tcPr>
            <w:tcW w:w="953" w:type="dxa"/>
          </w:tcPr>
          <w:p w14:paraId="616FFDAD" w14:textId="77777777" w:rsidR="00AC6F3C" w:rsidRDefault="00AC6F3C">
            <w:pPr>
              <w:pStyle w:val="TableParagraph"/>
              <w:rPr>
                <w:rFonts w:ascii="Times New Roman"/>
                <w:sz w:val="12"/>
              </w:rPr>
            </w:pPr>
          </w:p>
        </w:tc>
        <w:tc>
          <w:tcPr>
            <w:tcW w:w="1118" w:type="dxa"/>
          </w:tcPr>
          <w:p w14:paraId="2063D035" w14:textId="77777777" w:rsidR="00AC6F3C" w:rsidRDefault="00AC6F3C">
            <w:pPr>
              <w:pStyle w:val="TableParagraph"/>
              <w:rPr>
                <w:rFonts w:ascii="Times New Roman"/>
                <w:sz w:val="12"/>
              </w:rPr>
            </w:pPr>
          </w:p>
        </w:tc>
        <w:tc>
          <w:tcPr>
            <w:tcW w:w="577" w:type="dxa"/>
          </w:tcPr>
          <w:p w14:paraId="30374C7C" w14:textId="77777777" w:rsidR="00AC6F3C" w:rsidRDefault="00AC6F3C">
            <w:pPr>
              <w:pStyle w:val="TableParagraph"/>
              <w:rPr>
                <w:rFonts w:ascii="Times New Roman"/>
                <w:sz w:val="12"/>
              </w:rPr>
            </w:pPr>
          </w:p>
        </w:tc>
        <w:tc>
          <w:tcPr>
            <w:tcW w:w="1362" w:type="dxa"/>
          </w:tcPr>
          <w:p w14:paraId="547DF29C" w14:textId="77777777" w:rsidR="00AC6F3C" w:rsidRDefault="00AC6F3C">
            <w:pPr>
              <w:pStyle w:val="TableParagraph"/>
              <w:rPr>
                <w:rFonts w:ascii="Times New Roman"/>
                <w:sz w:val="12"/>
              </w:rPr>
            </w:pPr>
          </w:p>
        </w:tc>
        <w:tc>
          <w:tcPr>
            <w:tcW w:w="784" w:type="dxa"/>
          </w:tcPr>
          <w:p w14:paraId="7ED12209" w14:textId="77777777" w:rsidR="00AC6F3C" w:rsidRDefault="00AC6F3C">
            <w:pPr>
              <w:pStyle w:val="TableParagraph"/>
              <w:rPr>
                <w:rFonts w:ascii="Times New Roman"/>
                <w:sz w:val="12"/>
              </w:rPr>
            </w:pPr>
          </w:p>
        </w:tc>
        <w:tc>
          <w:tcPr>
            <w:tcW w:w="1089" w:type="dxa"/>
          </w:tcPr>
          <w:p w14:paraId="3813AB88" w14:textId="77777777" w:rsidR="00AC6F3C" w:rsidRDefault="00AC6F3C">
            <w:pPr>
              <w:pStyle w:val="TableParagraph"/>
              <w:rPr>
                <w:rFonts w:ascii="Times New Roman"/>
                <w:sz w:val="12"/>
              </w:rPr>
            </w:pPr>
          </w:p>
        </w:tc>
        <w:tc>
          <w:tcPr>
            <w:tcW w:w="494" w:type="dxa"/>
          </w:tcPr>
          <w:p w14:paraId="65A84869" w14:textId="77777777" w:rsidR="00AC6F3C" w:rsidRDefault="00AC6F3C">
            <w:pPr>
              <w:pStyle w:val="TableParagraph"/>
              <w:rPr>
                <w:rFonts w:ascii="Times New Roman"/>
                <w:sz w:val="12"/>
              </w:rPr>
            </w:pPr>
          </w:p>
        </w:tc>
        <w:tc>
          <w:tcPr>
            <w:tcW w:w="3034" w:type="dxa"/>
          </w:tcPr>
          <w:p w14:paraId="03EED358" w14:textId="77777777" w:rsidR="00AC6F3C" w:rsidRDefault="00AC6F3C">
            <w:pPr>
              <w:pStyle w:val="TableParagraph"/>
              <w:rPr>
                <w:rFonts w:ascii="Times New Roman"/>
                <w:sz w:val="12"/>
              </w:rPr>
            </w:pPr>
          </w:p>
        </w:tc>
      </w:tr>
      <w:tr w:rsidR="00AC6F3C" w14:paraId="52738612" w14:textId="77777777">
        <w:trPr>
          <w:trHeight w:val="224"/>
        </w:trPr>
        <w:tc>
          <w:tcPr>
            <w:tcW w:w="844" w:type="dxa"/>
            <w:tcBorders>
              <w:bottom w:val="single" w:sz="2" w:space="0" w:color="000000"/>
            </w:tcBorders>
          </w:tcPr>
          <w:p w14:paraId="1DF2A693" w14:textId="77777777" w:rsidR="00AC6F3C" w:rsidRDefault="00AC6F3C">
            <w:pPr>
              <w:pStyle w:val="TableParagraph"/>
              <w:rPr>
                <w:rFonts w:ascii="Times New Roman"/>
                <w:sz w:val="14"/>
              </w:rPr>
            </w:pPr>
          </w:p>
        </w:tc>
        <w:tc>
          <w:tcPr>
            <w:tcW w:w="2246" w:type="dxa"/>
            <w:tcBorders>
              <w:bottom w:val="single" w:sz="2" w:space="0" w:color="000000"/>
            </w:tcBorders>
          </w:tcPr>
          <w:p w14:paraId="00ED1B77" w14:textId="77777777" w:rsidR="00AC6F3C" w:rsidRDefault="00AC6F3C">
            <w:pPr>
              <w:pStyle w:val="TableParagraph"/>
              <w:rPr>
                <w:rFonts w:ascii="Times New Roman"/>
                <w:sz w:val="14"/>
              </w:rPr>
            </w:pPr>
          </w:p>
        </w:tc>
        <w:tc>
          <w:tcPr>
            <w:tcW w:w="385" w:type="dxa"/>
            <w:tcBorders>
              <w:bottom w:val="single" w:sz="2" w:space="0" w:color="000000"/>
            </w:tcBorders>
          </w:tcPr>
          <w:p w14:paraId="23435157" w14:textId="77777777" w:rsidR="00AC6F3C" w:rsidRDefault="00AC6F3C">
            <w:pPr>
              <w:pStyle w:val="TableParagraph"/>
              <w:rPr>
                <w:rFonts w:ascii="Times New Roman"/>
                <w:sz w:val="14"/>
              </w:rPr>
            </w:pPr>
          </w:p>
        </w:tc>
        <w:tc>
          <w:tcPr>
            <w:tcW w:w="2521" w:type="dxa"/>
            <w:tcBorders>
              <w:bottom w:val="single" w:sz="2" w:space="0" w:color="000000"/>
            </w:tcBorders>
          </w:tcPr>
          <w:p w14:paraId="6894376B" w14:textId="77777777" w:rsidR="00AC6F3C" w:rsidRDefault="00570E88">
            <w:pPr>
              <w:pStyle w:val="TableParagraph"/>
              <w:spacing w:line="144" w:lineRule="exact"/>
              <w:ind w:left="110"/>
              <w:rPr>
                <w:sz w:val="15"/>
              </w:rPr>
            </w:pPr>
            <w:r>
              <w:rPr>
                <w:spacing w:val="-4"/>
                <w:sz w:val="15"/>
              </w:rPr>
              <w:t>Practice</w:t>
            </w:r>
            <w:r>
              <w:rPr>
                <w:spacing w:val="1"/>
                <w:sz w:val="15"/>
              </w:rPr>
              <w:t xml:space="preserve"> </w:t>
            </w:r>
            <w:r>
              <w:rPr>
                <w:spacing w:val="-2"/>
                <w:sz w:val="15"/>
              </w:rPr>
              <w:t>readiness</w:t>
            </w:r>
          </w:p>
        </w:tc>
        <w:tc>
          <w:tcPr>
            <w:tcW w:w="583" w:type="dxa"/>
            <w:tcBorders>
              <w:bottom w:val="single" w:sz="2" w:space="0" w:color="000000"/>
            </w:tcBorders>
          </w:tcPr>
          <w:p w14:paraId="191EEDC9" w14:textId="77777777" w:rsidR="00AC6F3C" w:rsidRDefault="00AC6F3C">
            <w:pPr>
              <w:pStyle w:val="TableParagraph"/>
              <w:rPr>
                <w:rFonts w:ascii="Times New Roman"/>
                <w:sz w:val="14"/>
              </w:rPr>
            </w:pPr>
          </w:p>
        </w:tc>
        <w:tc>
          <w:tcPr>
            <w:tcW w:w="953" w:type="dxa"/>
            <w:tcBorders>
              <w:bottom w:val="single" w:sz="2" w:space="0" w:color="000000"/>
            </w:tcBorders>
          </w:tcPr>
          <w:p w14:paraId="5294F503" w14:textId="77777777" w:rsidR="00AC6F3C" w:rsidRDefault="00AC6F3C">
            <w:pPr>
              <w:pStyle w:val="TableParagraph"/>
              <w:rPr>
                <w:rFonts w:ascii="Times New Roman"/>
                <w:sz w:val="14"/>
              </w:rPr>
            </w:pPr>
          </w:p>
        </w:tc>
        <w:tc>
          <w:tcPr>
            <w:tcW w:w="1118" w:type="dxa"/>
            <w:tcBorders>
              <w:bottom w:val="single" w:sz="2" w:space="0" w:color="000000"/>
            </w:tcBorders>
          </w:tcPr>
          <w:p w14:paraId="37884863" w14:textId="77777777" w:rsidR="00AC6F3C" w:rsidRDefault="00AC6F3C">
            <w:pPr>
              <w:pStyle w:val="TableParagraph"/>
              <w:rPr>
                <w:rFonts w:ascii="Times New Roman"/>
                <w:sz w:val="14"/>
              </w:rPr>
            </w:pPr>
          </w:p>
        </w:tc>
        <w:tc>
          <w:tcPr>
            <w:tcW w:w="577" w:type="dxa"/>
            <w:tcBorders>
              <w:bottom w:val="single" w:sz="2" w:space="0" w:color="000000"/>
            </w:tcBorders>
          </w:tcPr>
          <w:p w14:paraId="024DBEB5" w14:textId="77777777" w:rsidR="00AC6F3C" w:rsidRDefault="00AC6F3C">
            <w:pPr>
              <w:pStyle w:val="TableParagraph"/>
              <w:rPr>
                <w:rFonts w:ascii="Times New Roman"/>
                <w:sz w:val="14"/>
              </w:rPr>
            </w:pPr>
          </w:p>
        </w:tc>
        <w:tc>
          <w:tcPr>
            <w:tcW w:w="1362" w:type="dxa"/>
            <w:tcBorders>
              <w:bottom w:val="single" w:sz="2" w:space="0" w:color="000000"/>
            </w:tcBorders>
          </w:tcPr>
          <w:p w14:paraId="7B99D6D4" w14:textId="77777777" w:rsidR="00AC6F3C" w:rsidRDefault="00AC6F3C">
            <w:pPr>
              <w:pStyle w:val="TableParagraph"/>
              <w:rPr>
                <w:rFonts w:ascii="Times New Roman"/>
                <w:sz w:val="14"/>
              </w:rPr>
            </w:pPr>
          </w:p>
        </w:tc>
        <w:tc>
          <w:tcPr>
            <w:tcW w:w="784" w:type="dxa"/>
            <w:tcBorders>
              <w:bottom w:val="single" w:sz="2" w:space="0" w:color="000000"/>
            </w:tcBorders>
          </w:tcPr>
          <w:p w14:paraId="57D3823F" w14:textId="77777777" w:rsidR="00AC6F3C" w:rsidRDefault="00AC6F3C">
            <w:pPr>
              <w:pStyle w:val="TableParagraph"/>
              <w:rPr>
                <w:rFonts w:ascii="Times New Roman"/>
                <w:sz w:val="14"/>
              </w:rPr>
            </w:pPr>
          </w:p>
        </w:tc>
        <w:tc>
          <w:tcPr>
            <w:tcW w:w="1089" w:type="dxa"/>
            <w:tcBorders>
              <w:bottom w:val="single" w:sz="2" w:space="0" w:color="000000"/>
            </w:tcBorders>
          </w:tcPr>
          <w:p w14:paraId="683885C6" w14:textId="77777777" w:rsidR="00AC6F3C" w:rsidRDefault="00AC6F3C">
            <w:pPr>
              <w:pStyle w:val="TableParagraph"/>
              <w:rPr>
                <w:rFonts w:ascii="Times New Roman"/>
                <w:sz w:val="14"/>
              </w:rPr>
            </w:pPr>
          </w:p>
        </w:tc>
        <w:tc>
          <w:tcPr>
            <w:tcW w:w="494" w:type="dxa"/>
            <w:tcBorders>
              <w:bottom w:val="single" w:sz="2" w:space="0" w:color="000000"/>
            </w:tcBorders>
          </w:tcPr>
          <w:p w14:paraId="5B70E36E" w14:textId="77777777" w:rsidR="00AC6F3C" w:rsidRDefault="00AC6F3C">
            <w:pPr>
              <w:pStyle w:val="TableParagraph"/>
              <w:rPr>
                <w:rFonts w:ascii="Times New Roman"/>
                <w:sz w:val="14"/>
              </w:rPr>
            </w:pPr>
          </w:p>
        </w:tc>
        <w:tc>
          <w:tcPr>
            <w:tcW w:w="3034" w:type="dxa"/>
            <w:tcBorders>
              <w:bottom w:val="single" w:sz="2" w:space="0" w:color="000000"/>
            </w:tcBorders>
          </w:tcPr>
          <w:p w14:paraId="14D1DF63" w14:textId="77777777" w:rsidR="00AC6F3C" w:rsidRDefault="00AC6F3C">
            <w:pPr>
              <w:pStyle w:val="TableParagraph"/>
              <w:rPr>
                <w:rFonts w:ascii="Times New Roman"/>
                <w:sz w:val="14"/>
              </w:rPr>
            </w:pPr>
          </w:p>
        </w:tc>
      </w:tr>
      <w:tr w:rsidR="00AC6F3C" w14:paraId="0520A4CB" w14:textId="77777777">
        <w:trPr>
          <w:trHeight w:val="229"/>
        </w:trPr>
        <w:tc>
          <w:tcPr>
            <w:tcW w:w="844" w:type="dxa"/>
            <w:tcBorders>
              <w:top w:val="single" w:sz="2" w:space="0" w:color="000000"/>
            </w:tcBorders>
          </w:tcPr>
          <w:p w14:paraId="34EB47B7" w14:textId="77777777" w:rsidR="00AC6F3C" w:rsidRDefault="00570E88">
            <w:pPr>
              <w:pStyle w:val="TableParagraph"/>
              <w:spacing w:before="21"/>
              <w:ind w:left="70"/>
              <w:rPr>
                <w:b/>
                <w:sz w:val="15"/>
              </w:rPr>
            </w:pPr>
            <w:r>
              <w:rPr>
                <w:b/>
                <w:spacing w:val="-2"/>
                <w:sz w:val="15"/>
              </w:rPr>
              <w:t>Regulate</w:t>
            </w:r>
          </w:p>
        </w:tc>
        <w:tc>
          <w:tcPr>
            <w:tcW w:w="2246" w:type="dxa"/>
            <w:tcBorders>
              <w:top w:val="single" w:sz="2" w:space="0" w:color="000000"/>
            </w:tcBorders>
          </w:tcPr>
          <w:p w14:paraId="412B15E4" w14:textId="77777777" w:rsidR="00AC6F3C" w:rsidRDefault="00570E88">
            <w:pPr>
              <w:pStyle w:val="TableParagraph"/>
              <w:spacing w:before="21"/>
              <w:ind w:left="134"/>
              <w:rPr>
                <w:sz w:val="15"/>
              </w:rPr>
            </w:pPr>
            <w:r>
              <w:rPr>
                <w:spacing w:val="-2"/>
                <w:sz w:val="15"/>
              </w:rPr>
              <w:t>03.</w:t>
            </w:r>
            <w:r>
              <w:rPr>
                <w:spacing w:val="13"/>
                <w:sz w:val="15"/>
              </w:rPr>
              <w:t xml:space="preserve"> </w:t>
            </w:r>
            <w:r>
              <w:rPr>
                <w:spacing w:val="-2"/>
                <w:sz w:val="15"/>
              </w:rPr>
              <w:t>To</w:t>
            </w:r>
            <w:r>
              <w:rPr>
                <w:spacing w:val="-8"/>
                <w:sz w:val="15"/>
              </w:rPr>
              <w:t xml:space="preserve"> </w:t>
            </w:r>
            <w:r>
              <w:rPr>
                <w:spacing w:val="-2"/>
                <w:sz w:val="15"/>
              </w:rPr>
              <w:t>review</w:t>
            </w:r>
            <w:r>
              <w:rPr>
                <w:spacing w:val="-9"/>
                <w:sz w:val="15"/>
              </w:rPr>
              <w:t xml:space="preserve"> </w:t>
            </w:r>
            <w:r>
              <w:rPr>
                <w:spacing w:val="-2"/>
                <w:sz w:val="15"/>
              </w:rPr>
              <w:t>and</w:t>
            </w:r>
            <w:r>
              <w:rPr>
                <w:spacing w:val="-8"/>
                <w:sz w:val="15"/>
              </w:rPr>
              <w:t xml:space="preserve"> </w:t>
            </w:r>
            <w:r>
              <w:rPr>
                <w:spacing w:val="-2"/>
                <w:sz w:val="15"/>
              </w:rPr>
              <w:t>provide</w:t>
            </w:r>
          </w:p>
        </w:tc>
        <w:tc>
          <w:tcPr>
            <w:tcW w:w="385" w:type="dxa"/>
            <w:tcBorders>
              <w:top w:val="single" w:sz="2" w:space="0" w:color="000000"/>
            </w:tcBorders>
          </w:tcPr>
          <w:p w14:paraId="2CF3A093" w14:textId="77777777" w:rsidR="00AC6F3C" w:rsidRDefault="00570E88">
            <w:pPr>
              <w:pStyle w:val="TableParagraph"/>
              <w:spacing w:before="21"/>
              <w:ind w:left="70"/>
              <w:rPr>
                <w:sz w:val="15"/>
              </w:rPr>
            </w:pPr>
            <w:r>
              <w:rPr>
                <w:spacing w:val="-5"/>
                <w:sz w:val="15"/>
              </w:rPr>
              <w:t>3.1</w:t>
            </w:r>
          </w:p>
        </w:tc>
        <w:tc>
          <w:tcPr>
            <w:tcW w:w="2521" w:type="dxa"/>
            <w:tcBorders>
              <w:top w:val="single" w:sz="2" w:space="0" w:color="000000"/>
            </w:tcBorders>
          </w:tcPr>
          <w:p w14:paraId="1963EB97" w14:textId="77777777" w:rsidR="00AC6F3C" w:rsidRDefault="00570E88">
            <w:pPr>
              <w:pStyle w:val="TableParagraph"/>
              <w:spacing w:before="21"/>
              <w:ind w:left="111"/>
              <w:rPr>
                <w:sz w:val="15"/>
              </w:rPr>
            </w:pPr>
            <w:r>
              <w:rPr>
                <w:spacing w:val="-4"/>
                <w:sz w:val="15"/>
              </w:rPr>
              <w:t>Review Parts 2.4</w:t>
            </w:r>
            <w:r>
              <w:rPr>
                <w:spacing w:val="-3"/>
                <w:sz w:val="15"/>
              </w:rPr>
              <w:t xml:space="preserve"> </w:t>
            </w:r>
            <w:r>
              <w:rPr>
                <w:spacing w:val="-4"/>
                <w:sz w:val="15"/>
              </w:rPr>
              <w:t>and 2.8</w:t>
            </w:r>
            <w:r>
              <w:rPr>
                <w:spacing w:val="-3"/>
                <w:sz w:val="15"/>
              </w:rPr>
              <w:t xml:space="preserve"> </w:t>
            </w:r>
            <w:r>
              <w:rPr>
                <w:spacing w:val="-4"/>
                <w:sz w:val="15"/>
              </w:rPr>
              <w:t xml:space="preserve">of the </w:t>
            </w:r>
            <w:r>
              <w:rPr>
                <w:spacing w:val="-5"/>
                <w:sz w:val="15"/>
              </w:rPr>
              <w:t>LPA</w:t>
            </w:r>
          </w:p>
        </w:tc>
        <w:tc>
          <w:tcPr>
            <w:tcW w:w="583" w:type="dxa"/>
            <w:tcBorders>
              <w:top w:val="single" w:sz="2" w:space="0" w:color="000000"/>
            </w:tcBorders>
          </w:tcPr>
          <w:p w14:paraId="2951BE92" w14:textId="77777777" w:rsidR="00AC6F3C" w:rsidRDefault="00570E88">
            <w:pPr>
              <w:pStyle w:val="TableParagraph"/>
              <w:spacing w:before="21"/>
              <w:ind w:left="70"/>
              <w:rPr>
                <w:b/>
                <w:sz w:val="15"/>
              </w:rPr>
            </w:pPr>
            <w:r>
              <w:rPr>
                <w:b/>
                <w:spacing w:val="-4"/>
                <w:sz w:val="15"/>
              </w:rPr>
              <w:t>KPI5</w:t>
            </w:r>
          </w:p>
        </w:tc>
        <w:tc>
          <w:tcPr>
            <w:tcW w:w="953" w:type="dxa"/>
            <w:tcBorders>
              <w:top w:val="single" w:sz="2" w:space="0" w:color="000000"/>
            </w:tcBorders>
          </w:tcPr>
          <w:p w14:paraId="4008C227" w14:textId="77777777" w:rsidR="00AC6F3C" w:rsidRDefault="00570E88">
            <w:pPr>
              <w:pStyle w:val="TableParagraph"/>
              <w:spacing w:before="21"/>
              <w:ind w:right="106"/>
              <w:jc w:val="right"/>
              <w:rPr>
                <w:sz w:val="15"/>
              </w:rPr>
            </w:pPr>
            <w:r>
              <w:rPr>
                <w:spacing w:val="-4"/>
                <w:sz w:val="15"/>
              </w:rPr>
              <w:t>30-Jun-</w:t>
            </w:r>
            <w:r>
              <w:rPr>
                <w:spacing w:val="-5"/>
                <w:sz w:val="15"/>
              </w:rPr>
              <w:t>23</w:t>
            </w:r>
          </w:p>
        </w:tc>
        <w:tc>
          <w:tcPr>
            <w:tcW w:w="1118" w:type="dxa"/>
            <w:tcBorders>
              <w:top w:val="single" w:sz="2" w:space="0" w:color="000000"/>
            </w:tcBorders>
          </w:tcPr>
          <w:p w14:paraId="2B0D2737" w14:textId="77777777" w:rsidR="00AC6F3C" w:rsidRDefault="00570E88">
            <w:pPr>
              <w:pStyle w:val="TableParagraph"/>
              <w:spacing w:before="21"/>
              <w:ind w:left="107"/>
              <w:rPr>
                <w:sz w:val="15"/>
              </w:rPr>
            </w:pPr>
            <w:r>
              <w:rPr>
                <w:spacing w:val="-6"/>
                <w:sz w:val="15"/>
              </w:rPr>
              <w:t>Regulation</w:t>
            </w:r>
            <w:r>
              <w:rPr>
                <w:spacing w:val="1"/>
                <w:sz w:val="15"/>
              </w:rPr>
              <w:t xml:space="preserve"> </w:t>
            </w:r>
            <w:r>
              <w:rPr>
                <w:spacing w:val="-10"/>
                <w:sz w:val="15"/>
              </w:rPr>
              <w:t>&amp;</w:t>
            </w:r>
          </w:p>
        </w:tc>
        <w:tc>
          <w:tcPr>
            <w:tcW w:w="577" w:type="dxa"/>
            <w:tcBorders>
              <w:top w:val="single" w:sz="2" w:space="0" w:color="000000"/>
            </w:tcBorders>
          </w:tcPr>
          <w:p w14:paraId="32A622AD" w14:textId="77777777" w:rsidR="00AC6F3C" w:rsidRDefault="00570E88">
            <w:pPr>
              <w:pStyle w:val="TableParagraph"/>
              <w:spacing w:before="21"/>
              <w:ind w:right="78"/>
              <w:jc w:val="right"/>
              <w:rPr>
                <w:sz w:val="15"/>
              </w:rPr>
            </w:pPr>
            <w:r>
              <w:rPr>
                <w:spacing w:val="-2"/>
                <w:sz w:val="15"/>
              </w:rPr>
              <w:t>3.1.1</w:t>
            </w:r>
          </w:p>
        </w:tc>
        <w:tc>
          <w:tcPr>
            <w:tcW w:w="1362" w:type="dxa"/>
            <w:tcBorders>
              <w:top w:val="single" w:sz="2" w:space="0" w:color="000000"/>
            </w:tcBorders>
          </w:tcPr>
          <w:p w14:paraId="2A8D1B71" w14:textId="77777777" w:rsidR="00AC6F3C" w:rsidRDefault="00570E88">
            <w:pPr>
              <w:pStyle w:val="TableParagraph"/>
              <w:spacing w:before="21"/>
              <w:ind w:left="56"/>
              <w:rPr>
                <w:sz w:val="15"/>
              </w:rPr>
            </w:pPr>
            <w:r>
              <w:rPr>
                <w:spacing w:val="-2"/>
                <w:sz w:val="15"/>
              </w:rPr>
              <w:t>Recommendations</w:t>
            </w:r>
          </w:p>
        </w:tc>
        <w:tc>
          <w:tcPr>
            <w:tcW w:w="784" w:type="dxa"/>
            <w:tcBorders>
              <w:top w:val="single" w:sz="2" w:space="0" w:color="000000"/>
            </w:tcBorders>
          </w:tcPr>
          <w:p w14:paraId="02629AAB" w14:textId="77777777" w:rsidR="00AC6F3C" w:rsidRDefault="00570E88">
            <w:pPr>
              <w:pStyle w:val="TableParagraph"/>
              <w:spacing w:before="21"/>
              <w:ind w:left="69"/>
              <w:rPr>
                <w:b/>
                <w:sz w:val="15"/>
              </w:rPr>
            </w:pPr>
            <w:r>
              <w:rPr>
                <w:b/>
                <w:spacing w:val="-2"/>
                <w:sz w:val="15"/>
              </w:rPr>
              <w:t>Yellow</w:t>
            </w:r>
          </w:p>
        </w:tc>
        <w:tc>
          <w:tcPr>
            <w:tcW w:w="1089" w:type="dxa"/>
            <w:tcBorders>
              <w:top w:val="single" w:sz="2" w:space="0" w:color="000000"/>
            </w:tcBorders>
          </w:tcPr>
          <w:p w14:paraId="1BD432B8" w14:textId="77777777" w:rsidR="00AC6F3C" w:rsidRDefault="00570E88">
            <w:pPr>
              <w:pStyle w:val="TableParagraph"/>
              <w:spacing w:before="21"/>
              <w:ind w:left="249"/>
              <w:rPr>
                <w:b/>
                <w:sz w:val="15"/>
              </w:rPr>
            </w:pPr>
            <w:r>
              <w:rPr>
                <w:b/>
                <w:spacing w:val="-2"/>
                <w:sz w:val="15"/>
              </w:rPr>
              <w:t>Delayed</w:t>
            </w:r>
          </w:p>
        </w:tc>
        <w:tc>
          <w:tcPr>
            <w:tcW w:w="494" w:type="dxa"/>
            <w:tcBorders>
              <w:top w:val="single" w:sz="2" w:space="0" w:color="000000"/>
            </w:tcBorders>
          </w:tcPr>
          <w:p w14:paraId="36AA70D9" w14:textId="77777777" w:rsidR="00AC6F3C" w:rsidRDefault="00570E88">
            <w:pPr>
              <w:pStyle w:val="TableParagraph"/>
              <w:spacing w:before="21"/>
              <w:ind w:right="80"/>
              <w:jc w:val="right"/>
              <w:rPr>
                <w:sz w:val="15"/>
              </w:rPr>
            </w:pPr>
            <w:r>
              <w:rPr>
                <w:spacing w:val="-2"/>
                <w:sz w:val="15"/>
              </w:rPr>
              <w:t>3.1.1</w:t>
            </w:r>
          </w:p>
        </w:tc>
        <w:tc>
          <w:tcPr>
            <w:tcW w:w="3034" w:type="dxa"/>
            <w:tcBorders>
              <w:top w:val="single" w:sz="2" w:space="0" w:color="000000"/>
            </w:tcBorders>
          </w:tcPr>
          <w:p w14:paraId="43B8018F" w14:textId="77777777" w:rsidR="00AC6F3C" w:rsidRDefault="00570E88">
            <w:pPr>
              <w:pStyle w:val="TableParagraph"/>
              <w:spacing w:before="21"/>
              <w:ind w:left="55"/>
              <w:rPr>
                <w:sz w:val="15"/>
              </w:rPr>
            </w:pPr>
            <w:r>
              <w:rPr>
                <w:spacing w:val="-4"/>
                <w:sz w:val="15"/>
              </w:rPr>
              <w:t>Delayed</w:t>
            </w:r>
            <w:r>
              <w:rPr>
                <w:spacing w:val="-6"/>
                <w:sz w:val="15"/>
              </w:rPr>
              <w:t xml:space="preserve"> </w:t>
            </w:r>
            <w:r>
              <w:rPr>
                <w:spacing w:val="-4"/>
                <w:sz w:val="15"/>
              </w:rPr>
              <w:t>–</w:t>
            </w:r>
            <w:r>
              <w:rPr>
                <w:spacing w:val="-5"/>
                <w:sz w:val="15"/>
              </w:rPr>
              <w:t xml:space="preserve"> </w:t>
            </w:r>
            <w:r>
              <w:rPr>
                <w:spacing w:val="-4"/>
                <w:sz w:val="15"/>
              </w:rPr>
              <w:t>Due</w:t>
            </w:r>
            <w:r>
              <w:rPr>
                <w:spacing w:val="-5"/>
                <w:sz w:val="15"/>
              </w:rPr>
              <w:t xml:space="preserve"> </w:t>
            </w:r>
            <w:r>
              <w:rPr>
                <w:spacing w:val="-4"/>
                <w:sz w:val="15"/>
              </w:rPr>
              <w:t>to</w:t>
            </w:r>
            <w:r>
              <w:rPr>
                <w:spacing w:val="-5"/>
                <w:sz w:val="15"/>
              </w:rPr>
              <w:t xml:space="preserve"> </w:t>
            </w:r>
            <w:r>
              <w:rPr>
                <w:spacing w:val="-4"/>
                <w:sz w:val="15"/>
              </w:rPr>
              <w:t>competing</w:t>
            </w:r>
            <w:r>
              <w:rPr>
                <w:spacing w:val="-5"/>
                <w:sz w:val="15"/>
              </w:rPr>
              <w:t xml:space="preserve"> </w:t>
            </w:r>
            <w:r>
              <w:rPr>
                <w:spacing w:val="-4"/>
                <w:sz w:val="15"/>
              </w:rPr>
              <w:t>priorities</w:t>
            </w:r>
          </w:p>
        </w:tc>
      </w:tr>
      <w:tr w:rsidR="00AC6F3C" w14:paraId="60CC71D6" w14:textId="77777777">
        <w:trPr>
          <w:trHeight w:val="180"/>
        </w:trPr>
        <w:tc>
          <w:tcPr>
            <w:tcW w:w="844" w:type="dxa"/>
          </w:tcPr>
          <w:p w14:paraId="505EAB0E" w14:textId="77777777" w:rsidR="00AC6F3C" w:rsidRDefault="00AC6F3C">
            <w:pPr>
              <w:pStyle w:val="TableParagraph"/>
              <w:rPr>
                <w:rFonts w:ascii="Times New Roman"/>
                <w:sz w:val="12"/>
              </w:rPr>
            </w:pPr>
          </w:p>
        </w:tc>
        <w:tc>
          <w:tcPr>
            <w:tcW w:w="2246" w:type="dxa"/>
          </w:tcPr>
          <w:p w14:paraId="5AD51179" w14:textId="77777777" w:rsidR="00AC6F3C" w:rsidRDefault="00570E88">
            <w:pPr>
              <w:pStyle w:val="TableParagraph"/>
              <w:spacing w:line="144" w:lineRule="exact"/>
              <w:ind w:left="417"/>
              <w:rPr>
                <w:sz w:val="15"/>
              </w:rPr>
            </w:pPr>
            <w:r>
              <w:rPr>
                <w:spacing w:val="-2"/>
                <w:sz w:val="15"/>
              </w:rPr>
              <w:t>recommendations</w:t>
            </w:r>
          </w:p>
        </w:tc>
        <w:tc>
          <w:tcPr>
            <w:tcW w:w="385" w:type="dxa"/>
          </w:tcPr>
          <w:p w14:paraId="3B0C438C" w14:textId="77777777" w:rsidR="00AC6F3C" w:rsidRDefault="00AC6F3C">
            <w:pPr>
              <w:pStyle w:val="TableParagraph"/>
              <w:rPr>
                <w:rFonts w:ascii="Times New Roman"/>
                <w:sz w:val="12"/>
              </w:rPr>
            </w:pPr>
          </w:p>
        </w:tc>
        <w:tc>
          <w:tcPr>
            <w:tcW w:w="2521" w:type="dxa"/>
          </w:tcPr>
          <w:p w14:paraId="60881D9C" w14:textId="77777777" w:rsidR="00AC6F3C" w:rsidRDefault="00570E88">
            <w:pPr>
              <w:pStyle w:val="TableParagraph"/>
              <w:spacing w:line="144" w:lineRule="exact"/>
              <w:ind w:left="111"/>
              <w:rPr>
                <w:sz w:val="15"/>
              </w:rPr>
            </w:pPr>
            <w:r>
              <w:rPr>
                <w:spacing w:val="-4"/>
                <w:sz w:val="15"/>
              </w:rPr>
              <w:t>and</w:t>
            </w:r>
            <w:r>
              <w:rPr>
                <w:spacing w:val="-5"/>
                <w:sz w:val="15"/>
              </w:rPr>
              <w:t xml:space="preserve"> </w:t>
            </w:r>
            <w:r>
              <w:rPr>
                <w:spacing w:val="-4"/>
                <w:sz w:val="15"/>
              </w:rPr>
              <w:t>relevant subordinate</w:t>
            </w:r>
            <w:r>
              <w:rPr>
                <w:spacing w:val="-5"/>
                <w:sz w:val="15"/>
              </w:rPr>
              <w:t xml:space="preserve"> </w:t>
            </w:r>
            <w:r>
              <w:rPr>
                <w:spacing w:val="-4"/>
                <w:sz w:val="15"/>
              </w:rPr>
              <w:t>legislation</w:t>
            </w:r>
          </w:p>
        </w:tc>
        <w:tc>
          <w:tcPr>
            <w:tcW w:w="583" w:type="dxa"/>
          </w:tcPr>
          <w:p w14:paraId="60E4DC03" w14:textId="77777777" w:rsidR="00AC6F3C" w:rsidRDefault="00AC6F3C">
            <w:pPr>
              <w:pStyle w:val="TableParagraph"/>
              <w:rPr>
                <w:rFonts w:ascii="Times New Roman"/>
                <w:sz w:val="12"/>
              </w:rPr>
            </w:pPr>
          </w:p>
        </w:tc>
        <w:tc>
          <w:tcPr>
            <w:tcW w:w="953" w:type="dxa"/>
          </w:tcPr>
          <w:p w14:paraId="46D93FF9" w14:textId="77777777" w:rsidR="00AC6F3C" w:rsidRDefault="00AC6F3C">
            <w:pPr>
              <w:pStyle w:val="TableParagraph"/>
              <w:rPr>
                <w:rFonts w:ascii="Times New Roman"/>
                <w:sz w:val="12"/>
              </w:rPr>
            </w:pPr>
          </w:p>
        </w:tc>
        <w:tc>
          <w:tcPr>
            <w:tcW w:w="1118" w:type="dxa"/>
          </w:tcPr>
          <w:p w14:paraId="177807FB" w14:textId="77777777" w:rsidR="00AC6F3C" w:rsidRDefault="00570E88">
            <w:pPr>
              <w:pStyle w:val="TableParagraph"/>
              <w:spacing w:line="144" w:lineRule="exact"/>
              <w:ind w:left="107"/>
              <w:rPr>
                <w:sz w:val="15"/>
              </w:rPr>
            </w:pPr>
            <w:r>
              <w:rPr>
                <w:spacing w:val="-5"/>
                <w:sz w:val="15"/>
              </w:rPr>
              <w:t>OGC</w:t>
            </w:r>
          </w:p>
        </w:tc>
        <w:tc>
          <w:tcPr>
            <w:tcW w:w="577" w:type="dxa"/>
          </w:tcPr>
          <w:p w14:paraId="72D6D776" w14:textId="77777777" w:rsidR="00AC6F3C" w:rsidRDefault="00AC6F3C">
            <w:pPr>
              <w:pStyle w:val="TableParagraph"/>
              <w:rPr>
                <w:rFonts w:ascii="Times New Roman"/>
                <w:sz w:val="12"/>
              </w:rPr>
            </w:pPr>
          </w:p>
        </w:tc>
        <w:tc>
          <w:tcPr>
            <w:tcW w:w="1362" w:type="dxa"/>
          </w:tcPr>
          <w:p w14:paraId="3714BB4F" w14:textId="77777777" w:rsidR="00AC6F3C" w:rsidRDefault="00570E88">
            <w:pPr>
              <w:pStyle w:val="TableParagraph"/>
              <w:spacing w:line="144" w:lineRule="exact"/>
              <w:ind w:left="56"/>
              <w:rPr>
                <w:sz w:val="15"/>
              </w:rPr>
            </w:pPr>
            <w:r>
              <w:rPr>
                <w:spacing w:val="-4"/>
                <w:sz w:val="15"/>
              </w:rPr>
              <w:t>and</w:t>
            </w:r>
            <w:r>
              <w:rPr>
                <w:spacing w:val="-6"/>
                <w:sz w:val="15"/>
              </w:rPr>
              <w:t xml:space="preserve"> </w:t>
            </w:r>
            <w:r>
              <w:rPr>
                <w:spacing w:val="-2"/>
                <w:sz w:val="15"/>
              </w:rPr>
              <w:t>Report</w:t>
            </w:r>
          </w:p>
        </w:tc>
        <w:tc>
          <w:tcPr>
            <w:tcW w:w="784" w:type="dxa"/>
          </w:tcPr>
          <w:p w14:paraId="31629FD7" w14:textId="77777777" w:rsidR="00AC6F3C" w:rsidRDefault="00AC6F3C">
            <w:pPr>
              <w:pStyle w:val="TableParagraph"/>
              <w:rPr>
                <w:rFonts w:ascii="Times New Roman"/>
                <w:sz w:val="12"/>
              </w:rPr>
            </w:pPr>
          </w:p>
        </w:tc>
        <w:tc>
          <w:tcPr>
            <w:tcW w:w="1089" w:type="dxa"/>
          </w:tcPr>
          <w:p w14:paraId="2F9AC24A" w14:textId="77777777" w:rsidR="00AC6F3C" w:rsidRDefault="00AC6F3C">
            <w:pPr>
              <w:pStyle w:val="TableParagraph"/>
              <w:rPr>
                <w:rFonts w:ascii="Times New Roman"/>
                <w:sz w:val="12"/>
              </w:rPr>
            </w:pPr>
          </w:p>
        </w:tc>
        <w:tc>
          <w:tcPr>
            <w:tcW w:w="494" w:type="dxa"/>
          </w:tcPr>
          <w:p w14:paraId="5F1C59C9" w14:textId="77777777" w:rsidR="00AC6F3C" w:rsidRDefault="00AC6F3C">
            <w:pPr>
              <w:pStyle w:val="TableParagraph"/>
              <w:rPr>
                <w:rFonts w:ascii="Times New Roman"/>
                <w:sz w:val="12"/>
              </w:rPr>
            </w:pPr>
          </w:p>
        </w:tc>
        <w:tc>
          <w:tcPr>
            <w:tcW w:w="3034" w:type="dxa"/>
          </w:tcPr>
          <w:p w14:paraId="5DAD6A1B" w14:textId="77777777" w:rsidR="00AC6F3C" w:rsidRDefault="00570E88">
            <w:pPr>
              <w:pStyle w:val="TableParagraph"/>
              <w:spacing w:line="144" w:lineRule="exact"/>
              <w:ind w:left="55"/>
              <w:rPr>
                <w:sz w:val="15"/>
              </w:rPr>
            </w:pPr>
            <w:r>
              <w:rPr>
                <w:spacing w:val="-4"/>
                <w:sz w:val="15"/>
              </w:rPr>
              <w:t>with respect to Renewals, PSS Annual</w:t>
            </w:r>
          </w:p>
        </w:tc>
      </w:tr>
      <w:tr w:rsidR="00AC6F3C" w14:paraId="24D49321" w14:textId="77777777">
        <w:trPr>
          <w:trHeight w:val="180"/>
        </w:trPr>
        <w:tc>
          <w:tcPr>
            <w:tcW w:w="844" w:type="dxa"/>
          </w:tcPr>
          <w:p w14:paraId="1E380B64" w14:textId="77777777" w:rsidR="00AC6F3C" w:rsidRDefault="00AC6F3C">
            <w:pPr>
              <w:pStyle w:val="TableParagraph"/>
              <w:rPr>
                <w:rFonts w:ascii="Times New Roman"/>
                <w:sz w:val="12"/>
              </w:rPr>
            </w:pPr>
          </w:p>
        </w:tc>
        <w:tc>
          <w:tcPr>
            <w:tcW w:w="2246" w:type="dxa"/>
          </w:tcPr>
          <w:p w14:paraId="6719BD57" w14:textId="77777777" w:rsidR="00AC6F3C" w:rsidRDefault="00570E88">
            <w:pPr>
              <w:pStyle w:val="TableParagraph"/>
              <w:spacing w:line="144" w:lineRule="exact"/>
              <w:ind w:left="417"/>
              <w:rPr>
                <w:sz w:val="15"/>
              </w:rPr>
            </w:pPr>
            <w:r>
              <w:rPr>
                <w:spacing w:val="-4"/>
                <w:sz w:val="15"/>
              </w:rPr>
              <w:t>regarding</w:t>
            </w:r>
            <w:r>
              <w:rPr>
                <w:spacing w:val="-5"/>
                <w:sz w:val="15"/>
              </w:rPr>
              <w:t xml:space="preserve"> </w:t>
            </w:r>
            <w:r>
              <w:rPr>
                <w:spacing w:val="-4"/>
                <w:sz w:val="15"/>
              </w:rPr>
              <w:t>amendments</w:t>
            </w:r>
            <w:r>
              <w:rPr>
                <w:spacing w:val="-5"/>
                <w:sz w:val="15"/>
              </w:rPr>
              <w:t xml:space="preserve"> to</w:t>
            </w:r>
          </w:p>
        </w:tc>
        <w:tc>
          <w:tcPr>
            <w:tcW w:w="385" w:type="dxa"/>
          </w:tcPr>
          <w:p w14:paraId="61818D6B" w14:textId="77777777" w:rsidR="00AC6F3C" w:rsidRDefault="00AC6F3C">
            <w:pPr>
              <w:pStyle w:val="TableParagraph"/>
              <w:rPr>
                <w:rFonts w:ascii="Times New Roman"/>
                <w:sz w:val="12"/>
              </w:rPr>
            </w:pPr>
          </w:p>
        </w:tc>
        <w:tc>
          <w:tcPr>
            <w:tcW w:w="2521" w:type="dxa"/>
          </w:tcPr>
          <w:p w14:paraId="421B2168" w14:textId="77777777" w:rsidR="00AC6F3C" w:rsidRDefault="00570E88">
            <w:pPr>
              <w:pStyle w:val="TableParagraph"/>
              <w:spacing w:line="144" w:lineRule="exact"/>
              <w:ind w:left="111"/>
              <w:rPr>
                <w:sz w:val="15"/>
              </w:rPr>
            </w:pPr>
            <w:r>
              <w:rPr>
                <w:spacing w:val="-4"/>
                <w:sz w:val="15"/>
              </w:rPr>
              <w:t>and</w:t>
            </w:r>
            <w:r>
              <w:rPr>
                <w:spacing w:val="-6"/>
                <w:sz w:val="15"/>
              </w:rPr>
              <w:t xml:space="preserve"> </w:t>
            </w:r>
            <w:r>
              <w:rPr>
                <w:spacing w:val="-2"/>
                <w:sz w:val="15"/>
              </w:rPr>
              <w:t>rules</w:t>
            </w:r>
          </w:p>
        </w:tc>
        <w:tc>
          <w:tcPr>
            <w:tcW w:w="583" w:type="dxa"/>
          </w:tcPr>
          <w:p w14:paraId="25DD5CF6" w14:textId="77777777" w:rsidR="00AC6F3C" w:rsidRDefault="00AC6F3C">
            <w:pPr>
              <w:pStyle w:val="TableParagraph"/>
              <w:rPr>
                <w:rFonts w:ascii="Times New Roman"/>
                <w:sz w:val="12"/>
              </w:rPr>
            </w:pPr>
          </w:p>
        </w:tc>
        <w:tc>
          <w:tcPr>
            <w:tcW w:w="953" w:type="dxa"/>
          </w:tcPr>
          <w:p w14:paraId="38441C77" w14:textId="77777777" w:rsidR="00AC6F3C" w:rsidRDefault="00AC6F3C">
            <w:pPr>
              <w:pStyle w:val="TableParagraph"/>
              <w:rPr>
                <w:rFonts w:ascii="Times New Roman"/>
                <w:sz w:val="12"/>
              </w:rPr>
            </w:pPr>
          </w:p>
        </w:tc>
        <w:tc>
          <w:tcPr>
            <w:tcW w:w="1118" w:type="dxa"/>
          </w:tcPr>
          <w:p w14:paraId="2804C591" w14:textId="77777777" w:rsidR="00AC6F3C" w:rsidRDefault="00AC6F3C">
            <w:pPr>
              <w:pStyle w:val="TableParagraph"/>
              <w:rPr>
                <w:rFonts w:ascii="Times New Roman"/>
                <w:sz w:val="12"/>
              </w:rPr>
            </w:pPr>
          </w:p>
        </w:tc>
        <w:tc>
          <w:tcPr>
            <w:tcW w:w="577" w:type="dxa"/>
          </w:tcPr>
          <w:p w14:paraId="5A1C1853" w14:textId="77777777" w:rsidR="00AC6F3C" w:rsidRDefault="00AC6F3C">
            <w:pPr>
              <w:pStyle w:val="TableParagraph"/>
              <w:rPr>
                <w:rFonts w:ascii="Times New Roman"/>
                <w:sz w:val="12"/>
              </w:rPr>
            </w:pPr>
          </w:p>
        </w:tc>
        <w:tc>
          <w:tcPr>
            <w:tcW w:w="1362" w:type="dxa"/>
          </w:tcPr>
          <w:p w14:paraId="02DE2164" w14:textId="77777777" w:rsidR="00AC6F3C" w:rsidRDefault="00570E88">
            <w:pPr>
              <w:pStyle w:val="TableParagraph"/>
              <w:spacing w:line="144" w:lineRule="exact"/>
              <w:ind w:left="56"/>
              <w:rPr>
                <w:sz w:val="15"/>
              </w:rPr>
            </w:pPr>
            <w:r>
              <w:rPr>
                <w:spacing w:val="-6"/>
                <w:sz w:val="15"/>
              </w:rPr>
              <w:t>to</w:t>
            </w:r>
            <w:r>
              <w:rPr>
                <w:spacing w:val="-3"/>
                <w:sz w:val="15"/>
              </w:rPr>
              <w:t xml:space="preserve"> </w:t>
            </w:r>
            <w:r>
              <w:rPr>
                <w:spacing w:val="-6"/>
                <w:sz w:val="15"/>
              </w:rPr>
              <w:t>CEO</w:t>
            </w:r>
            <w:r>
              <w:rPr>
                <w:spacing w:val="-2"/>
                <w:sz w:val="15"/>
              </w:rPr>
              <w:t xml:space="preserve"> </w:t>
            </w:r>
            <w:r>
              <w:rPr>
                <w:spacing w:val="-6"/>
                <w:sz w:val="15"/>
              </w:rPr>
              <w:t>on</w:t>
            </w:r>
          </w:p>
        </w:tc>
        <w:tc>
          <w:tcPr>
            <w:tcW w:w="784" w:type="dxa"/>
          </w:tcPr>
          <w:p w14:paraId="1EB3A8C3" w14:textId="77777777" w:rsidR="00AC6F3C" w:rsidRDefault="00AC6F3C">
            <w:pPr>
              <w:pStyle w:val="TableParagraph"/>
              <w:rPr>
                <w:rFonts w:ascii="Times New Roman"/>
                <w:sz w:val="12"/>
              </w:rPr>
            </w:pPr>
          </w:p>
        </w:tc>
        <w:tc>
          <w:tcPr>
            <w:tcW w:w="1089" w:type="dxa"/>
          </w:tcPr>
          <w:p w14:paraId="6D5DF37E" w14:textId="77777777" w:rsidR="00AC6F3C" w:rsidRDefault="00AC6F3C">
            <w:pPr>
              <w:pStyle w:val="TableParagraph"/>
              <w:rPr>
                <w:rFonts w:ascii="Times New Roman"/>
                <w:sz w:val="12"/>
              </w:rPr>
            </w:pPr>
          </w:p>
        </w:tc>
        <w:tc>
          <w:tcPr>
            <w:tcW w:w="494" w:type="dxa"/>
          </w:tcPr>
          <w:p w14:paraId="48531186" w14:textId="77777777" w:rsidR="00AC6F3C" w:rsidRDefault="00AC6F3C">
            <w:pPr>
              <w:pStyle w:val="TableParagraph"/>
              <w:rPr>
                <w:rFonts w:ascii="Times New Roman"/>
                <w:sz w:val="12"/>
              </w:rPr>
            </w:pPr>
          </w:p>
        </w:tc>
        <w:tc>
          <w:tcPr>
            <w:tcW w:w="3034" w:type="dxa"/>
          </w:tcPr>
          <w:p w14:paraId="35D4191F" w14:textId="77777777" w:rsidR="00AC6F3C" w:rsidRDefault="00570E88">
            <w:pPr>
              <w:pStyle w:val="TableParagraph"/>
              <w:spacing w:line="144" w:lineRule="exact"/>
              <w:ind w:left="55"/>
              <w:rPr>
                <w:sz w:val="15"/>
              </w:rPr>
            </w:pPr>
            <w:r>
              <w:rPr>
                <w:spacing w:val="-4"/>
                <w:sz w:val="15"/>
              </w:rPr>
              <w:t>Reporting</w:t>
            </w:r>
            <w:r>
              <w:rPr>
                <w:spacing w:val="-3"/>
                <w:sz w:val="15"/>
              </w:rPr>
              <w:t xml:space="preserve"> </w:t>
            </w:r>
            <w:r>
              <w:rPr>
                <w:spacing w:val="-4"/>
                <w:sz w:val="15"/>
              </w:rPr>
              <w:t>in</w:t>
            </w:r>
            <w:r>
              <w:rPr>
                <w:spacing w:val="-2"/>
                <w:sz w:val="15"/>
              </w:rPr>
              <w:t xml:space="preserve"> </w:t>
            </w:r>
            <w:r>
              <w:rPr>
                <w:spacing w:val="-4"/>
                <w:sz w:val="15"/>
              </w:rPr>
              <w:t>Q3&amp;</w:t>
            </w:r>
            <w:proofErr w:type="gramStart"/>
            <w:r>
              <w:rPr>
                <w:spacing w:val="-4"/>
                <w:sz w:val="15"/>
              </w:rPr>
              <w:t>4</w:t>
            </w:r>
            <w:proofErr w:type="gramEnd"/>
            <w:r>
              <w:rPr>
                <w:spacing w:val="-2"/>
                <w:sz w:val="15"/>
              </w:rPr>
              <w:t xml:space="preserve"> </w:t>
            </w:r>
            <w:r>
              <w:rPr>
                <w:spacing w:val="-4"/>
                <w:sz w:val="15"/>
              </w:rPr>
              <w:t>and</w:t>
            </w:r>
            <w:r>
              <w:rPr>
                <w:spacing w:val="-2"/>
                <w:sz w:val="15"/>
              </w:rPr>
              <w:t xml:space="preserve"> </w:t>
            </w:r>
            <w:r>
              <w:rPr>
                <w:spacing w:val="-4"/>
                <w:sz w:val="15"/>
              </w:rPr>
              <w:t>workloads</w:t>
            </w:r>
            <w:r>
              <w:rPr>
                <w:spacing w:val="-2"/>
                <w:sz w:val="15"/>
              </w:rPr>
              <w:t xml:space="preserve"> </w:t>
            </w:r>
            <w:r>
              <w:rPr>
                <w:spacing w:val="-4"/>
                <w:sz w:val="15"/>
              </w:rPr>
              <w:t>across</w:t>
            </w:r>
          </w:p>
        </w:tc>
      </w:tr>
      <w:tr w:rsidR="00AC6F3C" w14:paraId="5C7974C7" w14:textId="77777777">
        <w:trPr>
          <w:trHeight w:val="180"/>
        </w:trPr>
        <w:tc>
          <w:tcPr>
            <w:tcW w:w="844" w:type="dxa"/>
          </w:tcPr>
          <w:p w14:paraId="0A1D1CCD" w14:textId="77777777" w:rsidR="00AC6F3C" w:rsidRDefault="00AC6F3C">
            <w:pPr>
              <w:pStyle w:val="TableParagraph"/>
              <w:rPr>
                <w:rFonts w:ascii="Times New Roman"/>
                <w:sz w:val="12"/>
              </w:rPr>
            </w:pPr>
          </w:p>
        </w:tc>
        <w:tc>
          <w:tcPr>
            <w:tcW w:w="2246" w:type="dxa"/>
          </w:tcPr>
          <w:p w14:paraId="19E6A6B6" w14:textId="77777777" w:rsidR="00AC6F3C" w:rsidRDefault="00570E88">
            <w:pPr>
              <w:pStyle w:val="TableParagraph"/>
              <w:spacing w:line="144" w:lineRule="exact"/>
              <w:ind w:left="417"/>
              <w:rPr>
                <w:sz w:val="15"/>
              </w:rPr>
            </w:pPr>
            <w:r>
              <w:rPr>
                <w:spacing w:val="-4"/>
                <w:sz w:val="15"/>
              </w:rPr>
              <w:t>Parts</w:t>
            </w:r>
            <w:r>
              <w:rPr>
                <w:spacing w:val="-3"/>
                <w:sz w:val="15"/>
              </w:rPr>
              <w:t xml:space="preserve"> </w:t>
            </w:r>
            <w:r>
              <w:rPr>
                <w:spacing w:val="-4"/>
                <w:sz w:val="15"/>
              </w:rPr>
              <w:t>2.4</w:t>
            </w:r>
            <w:r>
              <w:rPr>
                <w:spacing w:val="-3"/>
                <w:sz w:val="15"/>
              </w:rPr>
              <w:t xml:space="preserve"> </w:t>
            </w:r>
            <w:r>
              <w:rPr>
                <w:spacing w:val="-4"/>
                <w:sz w:val="15"/>
              </w:rPr>
              <w:t>and</w:t>
            </w:r>
            <w:r>
              <w:rPr>
                <w:spacing w:val="-2"/>
                <w:sz w:val="15"/>
              </w:rPr>
              <w:t xml:space="preserve"> </w:t>
            </w:r>
            <w:r>
              <w:rPr>
                <w:spacing w:val="-4"/>
                <w:sz w:val="15"/>
              </w:rPr>
              <w:t>2.8</w:t>
            </w:r>
            <w:r>
              <w:rPr>
                <w:spacing w:val="-3"/>
                <w:sz w:val="15"/>
              </w:rPr>
              <w:t xml:space="preserve"> </w:t>
            </w:r>
            <w:r>
              <w:rPr>
                <w:spacing w:val="-4"/>
                <w:sz w:val="15"/>
              </w:rPr>
              <w:t>of</w:t>
            </w:r>
            <w:r>
              <w:rPr>
                <w:spacing w:val="-3"/>
                <w:sz w:val="15"/>
              </w:rPr>
              <w:t xml:space="preserve"> </w:t>
            </w:r>
            <w:r>
              <w:rPr>
                <w:spacing w:val="-5"/>
                <w:sz w:val="15"/>
              </w:rPr>
              <w:t>the</w:t>
            </w:r>
          </w:p>
        </w:tc>
        <w:tc>
          <w:tcPr>
            <w:tcW w:w="385" w:type="dxa"/>
          </w:tcPr>
          <w:p w14:paraId="40965D79" w14:textId="77777777" w:rsidR="00AC6F3C" w:rsidRDefault="00AC6F3C">
            <w:pPr>
              <w:pStyle w:val="TableParagraph"/>
              <w:rPr>
                <w:rFonts w:ascii="Times New Roman"/>
                <w:sz w:val="12"/>
              </w:rPr>
            </w:pPr>
          </w:p>
        </w:tc>
        <w:tc>
          <w:tcPr>
            <w:tcW w:w="2521" w:type="dxa"/>
          </w:tcPr>
          <w:p w14:paraId="638CBE20" w14:textId="77777777" w:rsidR="00AC6F3C" w:rsidRDefault="00AC6F3C">
            <w:pPr>
              <w:pStyle w:val="TableParagraph"/>
              <w:rPr>
                <w:rFonts w:ascii="Times New Roman"/>
                <w:sz w:val="12"/>
              </w:rPr>
            </w:pPr>
          </w:p>
        </w:tc>
        <w:tc>
          <w:tcPr>
            <w:tcW w:w="583" w:type="dxa"/>
          </w:tcPr>
          <w:p w14:paraId="2966C34B" w14:textId="77777777" w:rsidR="00AC6F3C" w:rsidRDefault="00AC6F3C">
            <w:pPr>
              <w:pStyle w:val="TableParagraph"/>
              <w:rPr>
                <w:rFonts w:ascii="Times New Roman"/>
                <w:sz w:val="12"/>
              </w:rPr>
            </w:pPr>
          </w:p>
        </w:tc>
        <w:tc>
          <w:tcPr>
            <w:tcW w:w="953" w:type="dxa"/>
          </w:tcPr>
          <w:p w14:paraId="665EDCC6" w14:textId="77777777" w:rsidR="00AC6F3C" w:rsidRDefault="00AC6F3C">
            <w:pPr>
              <w:pStyle w:val="TableParagraph"/>
              <w:rPr>
                <w:rFonts w:ascii="Times New Roman"/>
                <w:sz w:val="12"/>
              </w:rPr>
            </w:pPr>
          </w:p>
        </w:tc>
        <w:tc>
          <w:tcPr>
            <w:tcW w:w="1118" w:type="dxa"/>
          </w:tcPr>
          <w:p w14:paraId="60489189" w14:textId="77777777" w:rsidR="00AC6F3C" w:rsidRDefault="00AC6F3C">
            <w:pPr>
              <w:pStyle w:val="TableParagraph"/>
              <w:rPr>
                <w:rFonts w:ascii="Times New Roman"/>
                <w:sz w:val="12"/>
              </w:rPr>
            </w:pPr>
          </w:p>
        </w:tc>
        <w:tc>
          <w:tcPr>
            <w:tcW w:w="577" w:type="dxa"/>
          </w:tcPr>
          <w:p w14:paraId="5B042D67" w14:textId="77777777" w:rsidR="00AC6F3C" w:rsidRDefault="00AC6F3C">
            <w:pPr>
              <w:pStyle w:val="TableParagraph"/>
              <w:rPr>
                <w:rFonts w:ascii="Times New Roman"/>
                <w:sz w:val="12"/>
              </w:rPr>
            </w:pPr>
          </w:p>
        </w:tc>
        <w:tc>
          <w:tcPr>
            <w:tcW w:w="1362" w:type="dxa"/>
          </w:tcPr>
          <w:p w14:paraId="4A4EB331" w14:textId="77777777" w:rsidR="00AC6F3C" w:rsidRDefault="00570E88">
            <w:pPr>
              <w:pStyle w:val="TableParagraph"/>
              <w:spacing w:line="144" w:lineRule="exact"/>
              <w:ind w:left="56"/>
              <w:rPr>
                <w:sz w:val="15"/>
              </w:rPr>
            </w:pPr>
            <w:r>
              <w:rPr>
                <w:spacing w:val="-2"/>
                <w:sz w:val="15"/>
              </w:rPr>
              <w:t>recommendations</w:t>
            </w:r>
          </w:p>
        </w:tc>
        <w:tc>
          <w:tcPr>
            <w:tcW w:w="784" w:type="dxa"/>
          </w:tcPr>
          <w:p w14:paraId="483D326C" w14:textId="77777777" w:rsidR="00AC6F3C" w:rsidRDefault="00AC6F3C">
            <w:pPr>
              <w:pStyle w:val="TableParagraph"/>
              <w:rPr>
                <w:rFonts w:ascii="Times New Roman"/>
                <w:sz w:val="12"/>
              </w:rPr>
            </w:pPr>
          </w:p>
        </w:tc>
        <w:tc>
          <w:tcPr>
            <w:tcW w:w="1089" w:type="dxa"/>
          </w:tcPr>
          <w:p w14:paraId="6EC427FB" w14:textId="77777777" w:rsidR="00AC6F3C" w:rsidRDefault="00AC6F3C">
            <w:pPr>
              <w:pStyle w:val="TableParagraph"/>
              <w:rPr>
                <w:rFonts w:ascii="Times New Roman"/>
                <w:sz w:val="12"/>
              </w:rPr>
            </w:pPr>
          </w:p>
        </w:tc>
        <w:tc>
          <w:tcPr>
            <w:tcW w:w="494" w:type="dxa"/>
          </w:tcPr>
          <w:p w14:paraId="763EC4B6" w14:textId="77777777" w:rsidR="00AC6F3C" w:rsidRDefault="00AC6F3C">
            <w:pPr>
              <w:pStyle w:val="TableParagraph"/>
              <w:rPr>
                <w:rFonts w:ascii="Times New Roman"/>
                <w:sz w:val="12"/>
              </w:rPr>
            </w:pPr>
          </w:p>
        </w:tc>
        <w:tc>
          <w:tcPr>
            <w:tcW w:w="3034" w:type="dxa"/>
          </w:tcPr>
          <w:p w14:paraId="610D761F" w14:textId="77777777" w:rsidR="00AC6F3C" w:rsidRDefault="00570E88">
            <w:pPr>
              <w:pStyle w:val="TableParagraph"/>
              <w:spacing w:line="144" w:lineRule="exact"/>
              <w:ind w:left="55"/>
              <w:rPr>
                <w:sz w:val="15"/>
              </w:rPr>
            </w:pPr>
            <w:r>
              <w:rPr>
                <w:spacing w:val="-4"/>
                <w:sz w:val="15"/>
              </w:rPr>
              <w:t>both</w:t>
            </w:r>
            <w:r>
              <w:rPr>
                <w:spacing w:val="-1"/>
                <w:sz w:val="15"/>
              </w:rPr>
              <w:t xml:space="preserve"> </w:t>
            </w:r>
            <w:r>
              <w:rPr>
                <w:spacing w:val="-4"/>
                <w:sz w:val="15"/>
              </w:rPr>
              <w:t>departments,</w:t>
            </w:r>
            <w:r>
              <w:rPr>
                <w:spacing w:val="-1"/>
                <w:sz w:val="15"/>
              </w:rPr>
              <w:t xml:space="preserve"> </w:t>
            </w:r>
            <w:r>
              <w:rPr>
                <w:spacing w:val="-4"/>
                <w:sz w:val="15"/>
              </w:rPr>
              <w:t>and</w:t>
            </w:r>
            <w:r>
              <w:rPr>
                <w:sz w:val="15"/>
              </w:rPr>
              <w:t xml:space="preserve"> </w:t>
            </w:r>
            <w:proofErr w:type="gramStart"/>
            <w:r>
              <w:rPr>
                <w:spacing w:val="-4"/>
                <w:sz w:val="15"/>
              </w:rPr>
              <w:t>very</w:t>
            </w:r>
            <w:r>
              <w:rPr>
                <w:spacing w:val="-1"/>
                <w:sz w:val="15"/>
              </w:rPr>
              <w:t xml:space="preserve"> </w:t>
            </w:r>
            <w:r>
              <w:rPr>
                <w:spacing w:val="-4"/>
                <w:sz w:val="15"/>
              </w:rPr>
              <w:t>limited</w:t>
            </w:r>
            <w:proofErr w:type="gramEnd"/>
            <w:r>
              <w:rPr>
                <w:sz w:val="15"/>
              </w:rPr>
              <w:t xml:space="preserve"> </w:t>
            </w:r>
            <w:r>
              <w:rPr>
                <w:spacing w:val="-4"/>
                <w:sz w:val="15"/>
              </w:rPr>
              <w:t>capacity</w:t>
            </w:r>
          </w:p>
        </w:tc>
      </w:tr>
      <w:tr w:rsidR="00AC6F3C" w14:paraId="1730C930" w14:textId="77777777">
        <w:trPr>
          <w:trHeight w:val="180"/>
        </w:trPr>
        <w:tc>
          <w:tcPr>
            <w:tcW w:w="844" w:type="dxa"/>
          </w:tcPr>
          <w:p w14:paraId="3A81D740" w14:textId="77777777" w:rsidR="00AC6F3C" w:rsidRDefault="00AC6F3C">
            <w:pPr>
              <w:pStyle w:val="TableParagraph"/>
              <w:rPr>
                <w:rFonts w:ascii="Times New Roman"/>
                <w:sz w:val="12"/>
              </w:rPr>
            </w:pPr>
          </w:p>
        </w:tc>
        <w:tc>
          <w:tcPr>
            <w:tcW w:w="2246" w:type="dxa"/>
          </w:tcPr>
          <w:p w14:paraId="222B8DBD" w14:textId="77777777" w:rsidR="00AC6F3C" w:rsidRDefault="00570E88">
            <w:pPr>
              <w:pStyle w:val="TableParagraph"/>
              <w:spacing w:line="144" w:lineRule="exact"/>
              <w:ind w:left="417"/>
              <w:rPr>
                <w:sz w:val="15"/>
              </w:rPr>
            </w:pPr>
            <w:r>
              <w:rPr>
                <w:spacing w:val="-6"/>
                <w:sz w:val="15"/>
              </w:rPr>
              <w:t>LPA</w:t>
            </w:r>
            <w:r>
              <w:rPr>
                <w:spacing w:val="-4"/>
                <w:sz w:val="15"/>
              </w:rPr>
              <w:t xml:space="preserve"> </w:t>
            </w:r>
            <w:r>
              <w:rPr>
                <w:spacing w:val="-6"/>
                <w:sz w:val="15"/>
              </w:rPr>
              <w:t>and</w:t>
            </w:r>
            <w:r>
              <w:rPr>
                <w:spacing w:val="-3"/>
                <w:sz w:val="15"/>
              </w:rPr>
              <w:t xml:space="preserve"> </w:t>
            </w:r>
            <w:r>
              <w:rPr>
                <w:spacing w:val="-6"/>
                <w:sz w:val="15"/>
              </w:rPr>
              <w:t>any</w:t>
            </w:r>
            <w:r>
              <w:rPr>
                <w:spacing w:val="-3"/>
                <w:sz w:val="15"/>
              </w:rPr>
              <w:t xml:space="preserve"> </w:t>
            </w:r>
            <w:r>
              <w:rPr>
                <w:spacing w:val="-6"/>
                <w:sz w:val="15"/>
              </w:rPr>
              <w:t>necessary</w:t>
            </w:r>
          </w:p>
        </w:tc>
        <w:tc>
          <w:tcPr>
            <w:tcW w:w="385" w:type="dxa"/>
          </w:tcPr>
          <w:p w14:paraId="7BE95D2E" w14:textId="77777777" w:rsidR="00AC6F3C" w:rsidRDefault="00AC6F3C">
            <w:pPr>
              <w:pStyle w:val="TableParagraph"/>
              <w:rPr>
                <w:rFonts w:ascii="Times New Roman"/>
                <w:sz w:val="12"/>
              </w:rPr>
            </w:pPr>
          </w:p>
        </w:tc>
        <w:tc>
          <w:tcPr>
            <w:tcW w:w="2521" w:type="dxa"/>
          </w:tcPr>
          <w:p w14:paraId="42A89F87" w14:textId="77777777" w:rsidR="00AC6F3C" w:rsidRDefault="00AC6F3C">
            <w:pPr>
              <w:pStyle w:val="TableParagraph"/>
              <w:rPr>
                <w:rFonts w:ascii="Times New Roman"/>
                <w:sz w:val="12"/>
              </w:rPr>
            </w:pPr>
          </w:p>
        </w:tc>
        <w:tc>
          <w:tcPr>
            <w:tcW w:w="583" w:type="dxa"/>
          </w:tcPr>
          <w:p w14:paraId="59FCD495" w14:textId="77777777" w:rsidR="00AC6F3C" w:rsidRDefault="00AC6F3C">
            <w:pPr>
              <w:pStyle w:val="TableParagraph"/>
              <w:rPr>
                <w:rFonts w:ascii="Times New Roman"/>
                <w:sz w:val="12"/>
              </w:rPr>
            </w:pPr>
          </w:p>
        </w:tc>
        <w:tc>
          <w:tcPr>
            <w:tcW w:w="953" w:type="dxa"/>
          </w:tcPr>
          <w:p w14:paraId="53745076" w14:textId="77777777" w:rsidR="00AC6F3C" w:rsidRDefault="00AC6F3C">
            <w:pPr>
              <w:pStyle w:val="TableParagraph"/>
              <w:rPr>
                <w:rFonts w:ascii="Times New Roman"/>
                <w:sz w:val="12"/>
              </w:rPr>
            </w:pPr>
          </w:p>
        </w:tc>
        <w:tc>
          <w:tcPr>
            <w:tcW w:w="1118" w:type="dxa"/>
          </w:tcPr>
          <w:p w14:paraId="303FB422" w14:textId="77777777" w:rsidR="00AC6F3C" w:rsidRDefault="00AC6F3C">
            <w:pPr>
              <w:pStyle w:val="TableParagraph"/>
              <w:rPr>
                <w:rFonts w:ascii="Times New Roman"/>
                <w:sz w:val="12"/>
              </w:rPr>
            </w:pPr>
          </w:p>
        </w:tc>
        <w:tc>
          <w:tcPr>
            <w:tcW w:w="577" w:type="dxa"/>
          </w:tcPr>
          <w:p w14:paraId="16EE3A18" w14:textId="77777777" w:rsidR="00AC6F3C" w:rsidRDefault="00AC6F3C">
            <w:pPr>
              <w:pStyle w:val="TableParagraph"/>
              <w:rPr>
                <w:rFonts w:ascii="Times New Roman"/>
                <w:sz w:val="12"/>
              </w:rPr>
            </w:pPr>
          </w:p>
        </w:tc>
        <w:tc>
          <w:tcPr>
            <w:tcW w:w="1362" w:type="dxa"/>
          </w:tcPr>
          <w:p w14:paraId="4C3777F8" w14:textId="77777777" w:rsidR="00AC6F3C" w:rsidRDefault="00570E88">
            <w:pPr>
              <w:pStyle w:val="TableParagraph"/>
              <w:spacing w:line="144" w:lineRule="exact"/>
              <w:ind w:left="56"/>
              <w:rPr>
                <w:sz w:val="15"/>
              </w:rPr>
            </w:pPr>
            <w:r>
              <w:rPr>
                <w:spacing w:val="-6"/>
                <w:sz w:val="15"/>
              </w:rPr>
              <w:t>for</w:t>
            </w:r>
            <w:r>
              <w:rPr>
                <w:spacing w:val="-2"/>
                <w:sz w:val="15"/>
              </w:rPr>
              <w:t xml:space="preserve"> </w:t>
            </w:r>
            <w:r>
              <w:rPr>
                <w:spacing w:val="-6"/>
                <w:sz w:val="15"/>
              </w:rPr>
              <w:t>LPA</w:t>
            </w:r>
            <w:r>
              <w:rPr>
                <w:spacing w:val="-2"/>
                <w:sz w:val="15"/>
              </w:rPr>
              <w:t xml:space="preserve"> </w:t>
            </w:r>
            <w:r>
              <w:rPr>
                <w:spacing w:val="-6"/>
                <w:sz w:val="15"/>
              </w:rPr>
              <w:t>advocacy</w:t>
            </w:r>
          </w:p>
        </w:tc>
        <w:tc>
          <w:tcPr>
            <w:tcW w:w="784" w:type="dxa"/>
          </w:tcPr>
          <w:p w14:paraId="0702495A" w14:textId="77777777" w:rsidR="00AC6F3C" w:rsidRDefault="00AC6F3C">
            <w:pPr>
              <w:pStyle w:val="TableParagraph"/>
              <w:rPr>
                <w:rFonts w:ascii="Times New Roman"/>
                <w:sz w:val="12"/>
              </w:rPr>
            </w:pPr>
          </w:p>
        </w:tc>
        <w:tc>
          <w:tcPr>
            <w:tcW w:w="1089" w:type="dxa"/>
          </w:tcPr>
          <w:p w14:paraId="7DC4B684" w14:textId="77777777" w:rsidR="00AC6F3C" w:rsidRDefault="00AC6F3C">
            <w:pPr>
              <w:pStyle w:val="TableParagraph"/>
              <w:rPr>
                <w:rFonts w:ascii="Times New Roman"/>
                <w:sz w:val="12"/>
              </w:rPr>
            </w:pPr>
          </w:p>
        </w:tc>
        <w:tc>
          <w:tcPr>
            <w:tcW w:w="494" w:type="dxa"/>
          </w:tcPr>
          <w:p w14:paraId="7E9AE853" w14:textId="77777777" w:rsidR="00AC6F3C" w:rsidRDefault="00AC6F3C">
            <w:pPr>
              <w:pStyle w:val="TableParagraph"/>
              <w:rPr>
                <w:rFonts w:ascii="Times New Roman"/>
                <w:sz w:val="12"/>
              </w:rPr>
            </w:pPr>
          </w:p>
        </w:tc>
        <w:tc>
          <w:tcPr>
            <w:tcW w:w="3034" w:type="dxa"/>
          </w:tcPr>
          <w:p w14:paraId="17CFBA75" w14:textId="77777777" w:rsidR="00AC6F3C" w:rsidRDefault="00570E88">
            <w:pPr>
              <w:pStyle w:val="TableParagraph"/>
              <w:spacing w:line="144" w:lineRule="exact"/>
              <w:ind w:left="55"/>
              <w:rPr>
                <w:sz w:val="15"/>
              </w:rPr>
            </w:pPr>
            <w:r>
              <w:rPr>
                <w:spacing w:val="-4"/>
                <w:sz w:val="15"/>
              </w:rPr>
              <w:t>in OGC</w:t>
            </w:r>
            <w:r>
              <w:rPr>
                <w:spacing w:val="-3"/>
                <w:sz w:val="15"/>
              </w:rPr>
              <w:t xml:space="preserve"> </w:t>
            </w:r>
            <w:r>
              <w:rPr>
                <w:spacing w:val="-4"/>
                <w:sz w:val="15"/>
              </w:rPr>
              <w:t>and Regulation,</w:t>
            </w:r>
            <w:r>
              <w:rPr>
                <w:spacing w:val="-3"/>
                <w:sz w:val="15"/>
              </w:rPr>
              <w:t xml:space="preserve"> </w:t>
            </w:r>
            <w:r>
              <w:rPr>
                <w:spacing w:val="-4"/>
                <w:sz w:val="15"/>
              </w:rPr>
              <w:t>this item</w:t>
            </w:r>
            <w:r>
              <w:rPr>
                <w:spacing w:val="-3"/>
                <w:sz w:val="15"/>
              </w:rPr>
              <w:t xml:space="preserve"> </w:t>
            </w:r>
            <w:r>
              <w:rPr>
                <w:spacing w:val="-4"/>
                <w:sz w:val="15"/>
              </w:rPr>
              <w:t>has been</w:t>
            </w:r>
          </w:p>
        </w:tc>
      </w:tr>
      <w:tr w:rsidR="00AC6F3C" w14:paraId="0D1F9FEF" w14:textId="77777777">
        <w:trPr>
          <w:trHeight w:val="180"/>
        </w:trPr>
        <w:tc>
          <w:tcPr>
            <w:tcW w:w="844" w:type="dxa"/>
          </w:tcPr>
          <w:p w14:paraId="45A2F022" w14:textId="77777777" w:rsidR="00AC6F3C" w:rsidRDefault="00AC6F3C">
            <w:pPr>
              <w:pStyle w:val="TableParagraph"/>
              <w:rPr>
                <w:rFonts w:ascii="Times New Roman"/>
                <w:sz w:val="12"/>
              </w:rPr>
            </w:pPr>
          </w:p>
        </w:tc>
        <w:tc>
          <w:tcPr>
            <w:tcW w:w="2246" w:type="dxa"/>
          </w:tcPr>
          <w:p w14:paraId="16E31CF3" w14:textId="77777777" w:rsidR="00AC6F3C" w:rsidRDefault="00570E88">
            <w:pPr>
              <w:pStyle w:val="TableParagraph"/>
              <w:spacing w:line="144" w:lineRule="exact"/>
              <w:ind w:left="417"/>
              <w:rPr>
                <w:sz w:val="15"/>
              </w:rPr>
            </w:pPr>
            <w:r>
              <w:rPr>
                <w:spacing w:val="-4"/>
                <w:sz w:val="15"/>
              </w:rPr>
              <w:t>amendments</w:t>
            </w:r>
            <w:r>
              <w:rPr>
                <w:spacing w:val="-6"/>
                <w:sz w:val="15"/>
              </w:rPr>
              <w:t xml:space="preserve"> </w:t>
            </w:r>
            <w:r>
              <w:rPr>
                <w:spacing w:val="-4"/>
                <w:sz w:val="15"/>
              </w:rPr>
              <w:t>to</w:t>
            </w:r>
            <w:r>
              <w:rPr>
                <w:spacing w:val="-5"/>
                <w:sz w:val="15"/>
              </w:rPr>
              <w:t xml:space="preserve"> </w:t>
            </w:r>
            <w:r>
              <w:rPr>
                <w:spacing w:val="-4"/>
                <w:sz w:val="15"/>
              </w:rPr>
              <w:t>the</w:t>
            </w:r>
            <w:r>
              <w:rPr>
                <w:spacing w:val="-6"/>
                <w:sz w:val="15"/>
              </w:rPr>
              <w:t xml:space="preserve"> </w:t>
            </w:r>
            <w:proofErr w:type="gramStart"/>
            <w:r>
              <w:rPr>
                <w:spacing w:val="-4"/>
                <w:sz w:val="15"/>
              </w:rPr>
              <w:t>Admin</w:t>
            </w:r>
            <w:proofErr w:type="gramEnd"/>
          </w:p>
        </w:tc>
        <w:tc>
          <w:tcPr>
            <w:tcW w:w="385" w:type="dxa"/>
          </w:tcPr>
          <w:p w14:paraId="21DA4C87" w14:textId="77777777" w:rsidR="00AC6F3C" w:rsidRDefault="00AC6F3C">
            <w:pPr>
              <w:pStyle w:val="TableParagraph"/>
              <w:rPr>
                <w:rFonts w:ascii="Times New Roman"/>
                <w:sz w:val="12"/>
              </w:rPr>
            </w:pPr>
          </w:p>
        </w:tc>
        <w:tc>
          <w:tcPr>
            <w:tcW w:w="2521" w:type="dxa"/>
          </w:tcPr>
          <w:p w14:paraId="4EB69E00" w14:textId="77777777" w:rsidR="00AC6F3C" w:rsidRDefault="00AC6F3C">
            <w:pPr>
              <w:pStyle w:val="TableParagraph"/>
              <w:rPr>
                <w:rFonts w:ascii="Times New Roman"/>
                <w:sz w:val="12"/>
              </w:rPr>
            </w:pPr>
          </w:p>
        </w:tc>
        <w:tc>
          <w:tcPr>
            <w:tcW w:w="583" w:type="dxa"/>
          </w:tcPr>
          <w:p w14:paraId="4ED8405D" w14:textId="77777777" w:rsidR="00AC6F3C" w:rsidRDefault="00AC6F3C">
            <w:pPr>
              <w:pStyle w:val="TableParagraph"/>
              <w:rPr>
                <w:rFonts w:ascii="Times New Roman"/>
                <w:sz w:val="12"/>
              </w:rPr>
            </w:pPr>
          </w:p>
        </w:tc>
        <w:tc>
          <w:tcPr>
            <w:tcW w:w="953" w:type="dxa"/>
          </w:tcPr>
          <w:p w14:paraId="592A0BDF" w14:textId="77777777" w:rsidR="00AC6F3C" w:rsidRDefault="00AC6F3C">
            <w:pPr>
              <w:pStyle w:val="TableParagraph"/>
              <w:rPr>
                <w:rFonts w:ascii="Times New Roman"/>
                <w:sz w:val="12"/>
              </w:rPr>
            </w:pPr>
          </w:p>
        </w:tc>
        <w:tc>
          <w:tcPr>
            <w:tcW w:w="1118" w:type="dxa"/>
          </w:tcPr>
          <w:p w14:paraId="3D164CEB" w14:textId="77777777" w:rsidR="00AC6F3C" w:rsidRDefault="00AC6F3C">
            <w:pPr>
              <w:pStyle w:val="TableParagraph"/>
              <w:rPr>
                <w:rFonts w:ascii="Times New Roman"/>
                <w:sz w:val="12"/>
              </w:rPr>
            </w:pPr>
          </w:p>
        </w:tc>
        <w:tc>
          <w:tcPr>
            <w:tcW w:w="577" w:type="dxa"/>
          </w:tcPr>
          <w:p w14:paraId="1B91A439" w14:textId="77777777" w:rsidR="00AC6F3C" w:rsidRDefault="00AC6F3C">
            <w:pPr>
              <w:pStyle w:val="TableParagraph"/>
              <w:rPr>
                <w:rFonts w:ascii="Times New Roman"/>
                <w:sz w:val="12"/>
              </w:rPr>
            </w:pPr>
          </w:p>
        </w:tc>
        <w:tc>
          <w:tcPr>
            <w:tcW w:w="1362" w:type="dxa"/>
          </w:tcPr>
          <w:p w14:paraId="3D55D1CF" w14:textId="77777777" w:rsidR="00AC6F3C" w:rsidRDefault="00570E88">
            <w:pPr>
              <w:pStyle w:val="TableParagraph"/>
              <w:spacing w:line="144" w:lineRule="exact"/>
              <w:ind w:left="56"/>
              <w:rPr>
                <w:sz w:val="15"/>
              </w:rPr>
            </w:pPr>
            <w:r>
              <w:rPr>
                <w:spacing w:val="-2"/>
                <w:sz w:val="15"/>
              </w:rPr>
              <w:t>to</w:t>
            </w:r>
            <w:r>
              <w:rPr>
                <w:spacing w:val="-9"/>
                <w:sz w:val="15"/>
              </w:rPr>
              <w:t xml:space="preserve"> </w:t>
            </w:r>
            <w:r>
              <w:rPr>
                <w:spacing w:val="-2"/>
                <w:sz w:val="15"/>
              </w:rPr>
              <w:t>Council</w:t>
            </w:r>
          </w:p>
        </w:tc>
        <w:tc>
          <w:tcPr>
            <w:tcW w:w="784" w:type="dxa"/>
          </w:tcPr>
          <w:p w14:paraId="205EC765" w14:textId="77777777" w:rsidR="00AC6F3C" w:rsidRDefault="00AC6F3C">
            <w:pPr>
              <w:pStyle w:val="TableParagraph"/>
              <w:rPr>
                <w:rFonts w:ascii="Times New Roman"/>
                <w:sz w:val="12"/>
              </w:rPr>
            </w:pPr>
          </w:p>
        </w:tc>
        <w:tc>
          <w:tcPr>
            <w:tcW w:w="1089" w:type="dxa"/>
          </w:tcPr>
          <w:p w14:paraId="6F143552" w14:textId="77777777" w:rsidR="00AC6F3C" w:rsidRDefault="00AC6F3C">
            <w:pPr>
              <w:pStyle w:val="TableParagraph"/>
              <w:rPr>
                <w:rFonts w:ascii="Times New Roman"/>
                <w:sz w:val="12"/>
              </w:rPr>
            </w:pPr>
          </w:p>
        </w:tc>
        <w:tc>
          <w:tcPr>
            <w:tcW w:w="494" w:type="dxa"/>
          </w:tcPr>
          <w:p w14:paraId="754E7D80" w14:textId="77777777" w:rsidR="00AC6F3C" w:rsidRDefault="00AC6F3C">
            <w:pPr>
              <w:pStyle w:val="TableParagraph"/>
              <w:rPr>
                <w:rFonts w:ascii="Times New Roman"/>
                <w:sz w:val="12"/>
              </w:rPr>
            </w:pPr>
          </w:p>
        </w:tc>
        <w:tc>
          <w:tcPr>
            <w:tcW w:w="3034" w:type="dxa"/>
          </w:tcPr>
          <w:p w14:paraId="5F319B4C" w14:textId="77777777" w:rsidR="00AC6F3C" w:rsidRDefault="00570E88">
            <w:pPr>
              <w:pStyle w:val="TableParagraph"/>
              <w:spacing w:line="144" w:lineRule="exact"/>
              <w:ind w:left="55"/>
              <w:rPr>
                <w:sz w:val="15"/>
              </w:rPr>
            </w:pPr>
            <w:r>
              <w:rPr>
                <w:spacing w:val="-4"/>
                <w:sz w:val="15"/>
              </w:rPr>
              <w:t>delayed</w:t>
            </w:r>
            <w:r>
              <w:rPr>
                <w:spacing w:val="-2"/>
                <w:sz w:val="15"/>
              </w:rPr>
              <w:t xml:space="preserve"> </w:t>
            </w:r>
            <w:r>
              <w:rPr>
                <w:spacing w:val="-4"/>
                <w:sz w:val="15"/>
              </w:rPr>
              <w:t>for</w:t>
            </w:r>
            <w:r>
              <w:rPr>
                <w:spacing w:val="-2"/>
                <w:sz w:val="15"/>
              </w:rPr>
              <w:t xml:space="preserve"> </w:t>
            </w:r>
            <w:r>
              <w:rPr>
                <w:spacing w:val="-4"/>
                <w:sz w:val="15"/>
              </w:rPr>
              <w:t>consideration</w:t>
            </w:r>
            <w:r>
              <w:rPr>
                <w:spacing w:val="-1"/>
                <w:sz w:val="15"/>
              </w:rPr>
              <w:t xml:space="preserve"> </w:t>
            </w:r>
            <w:r>
              <w:rPr>
                <w:spacing w:val="-4"/>
                <w:sz w:val="15"/>
              </w:rPr>
              <w:t>in</w:t>
            </w:r>
            <w:r>
              <w:rPr>
                <w:spacing w:val="-2"/>
                <w:sz w:val="15"/>
              </w:rPr>
              <w:t xml:space="preserve"> </w:t>
            </w:r>
            <w:r>
              <w:rPr>
                <w:spacing w:val="-4"/>
                <w:sz w:val="15"/>
              </w:rPr>
              <w:t>the</w:t>
            </w:r>
            <w:r>
              <w:rPr>
                <w:spacing w:val="-1"/>
                <w:sz w:val="15"/>
              </w:rPr>
              <w:t xml:space="preserve"> </w:t>
            </w:r>
            <w:r>
              <w:rPr>
                <w:spacing w:val="-4"/>
                <w:sz w:val="15"/>
              </w:rPr>
              <w:t>future</w:t>
            </w:r>
            <w:r>
              <w:rPr>
                <w:spacing w:val="-2"/>
                <w:sz w:val="15"/>
              </w:rPr>
              <w:t xml:space="preserve"> </w:t>
            </w:r>
            <w:r>
              <w:rPr>
                <w:spacing w:val="-4"/>
                <w:sz w:val="15"/>
              </w:rPr>
              <w:t>when</w:t>
            </w:r>
          </w:p>
        </w:tc>
      </w:tr>
      <w:tr w:rsidR="00AC6F3C" w14:paraId="03E0E63F" w14:textId="77777777">
        <w:trPr>
          <w:trHeight w:val="180"/>
        </w:trPr>
        <w:tc>
          <w:tcPr>
            <w:tcW w:w="844" w:type="dxa"/>
          </w:tcPr>
          <w:p w14:paraId="114747D4" w14:textId="77777777" w:rsidR="00AC6F3C" w:rsidRDefault="00AC6F3C">
            <w:pPr>
              <w:pStyle w:val="TableParagraph"/>
              <w:rPr>
                <w:rFonts w:ascii="Times New Roman"/>
                <w:sz w:val="12"/>
              </w:rPr>
            </w:pPr>
          </w:p>
        </w:tc>
        <w:tc>
          <w:tcPr>
            <w:tcW w:w="2246" w:type="dxa"/>
          </w:tcPr>
          <w:p w14:paraId="769B45BC" w14:textId="77777777" w:rsidR="00AC6F3C" w:rsidRDefault="00570E88">
            <w:pPr>
              <w:pStyle w:val="TableParagraph"/>
              <w:spacing w:line="144" w:lineRule="exact"/>
              <w:ind w:left="417"/>
              <w:rPr>
                <w:sz w:val="15"/>
              </w:rPr>
            </w:pPr>
            <w:r>
              <w:rPr>
                <w:spacing w:val="-4"/>
                <w:sz w:val="15"/>
              </w:rPr>
              <w:t>and Indemnity</w:t>
            </w:r>
            <w:r>
              <w:rPr>
                <w:spacing w:val="-3"/>
                <w:sz w:val="15"/>
              </w:rPr>
              <w:t xml:space="preserve"> </w:t>
            </w:r>
            <w:r>
              <w:rPr>
                <w:spacing w:val="-4"/>
                <w:sz w:val="15"/>
              </w:rPr>
              <w:t>Rule</w:t>
            </w:r>
            <w:r>
              <w:rPr>
                <w:spacing w:val="-3"/>
                <w:sz w:val="15"/>
              </w:rPr>
              <w:t xml:space="preserve"> </w:t>
            </w:r>
            <w:r>
              <w:rPr>
                <w:spacing w:val="-4"/>
                <w:sz w:val="15"/>
              </w:rPr>
              <w:t>arising</w:t>
            </w:r>
          </w:p>
        </w:tc>
        <w:tc>
          <w:tcPr>
            <w:tcW w:w="385" w:type="dxa"/>
          </w:tcPr>
          <w:p w14:paraId="3DCF4691" w14:textId="77777777" w:rsidR="00AC6F3C" w:rsidRDefault="00AC6F3C">
            <w:pPr>
              <w:pStyle w:val="TableParagraph"/>
              <w:rPr>
                <w:rFonts w:ascii="Times New Roman"/>
                <w:sz w:val="12"/>
              </w:rPr>
            </w:pPr>
          </w:p>
        </w:tc>
        <w:tc>
          <w:tcPr>
            <w:tcW w:w="2521" w:type="dxa"/>
          </w:tcPr>
          <w:p w14:paraId="53D2F986" w14:textId="77777777" w:rsidR="00AC6F3C" w:rsidRDefault="00AC6F3C">
            <w:pPr>
              <w:pStyle w:val="TableParagraph"/>
              <w:rPr>
                <w:rFonts w:ascii="Times New Roman"/>
                <w:sz w:val="12"/>
              </w:rPr>
            </w:pPr>
          </w:p>
        </w:tc>
        <w:tc>
          <w:tcPr>
            <w:tcW w:w="583" w:type="dxa"/>
          </w:tcPr>
          <w:p w14:paraId="5FBB6324" w14:textId="77777777" w:rsidR="00AC6F3C" w:rsidRDefault="00AC6F3C">
            <w:pPr>
              <w:pStyle w:val="TableParagraph"/>
              <w:rPr>
                <w:rFonts w:ascii="Times New Roman"/>
                <w:sz w:val="12"/>
              </w:rPr>
            </w:pPr>
          </w:p>
        </w:tc>
        <w:tc>
          <w:tcPr>
            <w:tcW w:w="953" w:type="dxa"/>
          </w:tcPr>
          <w:p w14:paraId="32D757A3" w14:textId="77777777" w:rsidR="00AC6F3C" w:rsidRDefault="00AC6F3C">
            <w:pPr>
              <w:pStyle w:val="TableParagraph"/>
              <w:rPr>
                <w:rFonts w:ascii="Times New Roman"/>
                <w:sz w:val="12"/>
              </w:rPr>
            </w:pPr>
          </w:p>
        </w:tc>
        <w:tc>
          <w:tcPr>
            <w:tcW w:w="1118" w:type="dxa"/>
          </w:tcPr>
          <w:p w14:paraId="0A49CFDA" w14:textId="77777777" w:rsidR="00AC6F3C" w:rsidRDefault="00AC6F3C">
            <w:pPr>
              <w:pStyle w:val="TableParagraph"/>
              <w:rPr>
                <w:rFonts w:ascii="Times New Roman"/>
                <w:sz w:val="12"/>
              </w:rPr>
            </w:pPr>
          </w:p>
        </w:tc>
        <w:tc>
          <w:tcPr>
            <w:tcW w:w="577" w:type="dxa"/>
          </w:tcPr>
          <w:p w14:paraId="4CB7842F" w14:textId="77777777" w:rsidR="00AC6F3C" w:rsidRDefault="00AC6F3C">
            <w:pPr>
              <w:pStyle w:val="TableParagraph"/>
              <w:rPr>
                <w:rFonts w:ascii="Times New Roman"/>
                <w:sz w:val="12"/>
              </w:rPr>
            </w:pPr>
          </w:p>
        </w:tc>
        <w:tc>
          <w:tcPr>
            <w:tcW w:w="1362" w:type="dxa"/>
          </w:tcPr>
          <w:p w14:paraId="3756DC70" w14:textId="77777777" w:rsidR="00AC6F3C" w:rsidRDefault="00570E88">
            <w:pPr>
              <w:pStyle w:val="TableParagraph"/>
              <w:spacing w:line="144" w:lineRule="exact"/>
              <w:ind w:left="56"/>
              <w:rPr>
                <w:sz w:val="15"/>
              </w:rPr>
            </w:pPr>
            <w:r>
              <w:rPr>
                <w:spacing w:val="-4"/>
                <w:sz w:val="15"/>
              </w:rPr>
              <w:t>and</w:t>
            </w:r>
            <w:r>
              <w:rPr>
                <w:spacing w:val="-6"/>
                <w:sz w:val="15"/>
              </w:rPr>
              <w:t xml:space="preserve"> </w:t>
            </w:r>
            <w:r>
              <w:rPr>
                <w:spacing w:val="-2"/>
                <w:sz w:val="15"/>
              </w:rPr>
              <w:t>relevant</w:t>
            </w:r>
          </w:p>
        </w:tc>
        <w:tc>
          <w:tcPr>
            <w:tcW w:w="784" w:type="dxa"/>
          </w:tcPr>
          <w:p w14:paraId="1A53749B" w14:textId="77777777" w:rsidR="00AC6F3C" w:rsidRDefault="00AC6F3C">
            <w:pPr>
              <w:pStyle w:val="TableParagraph"/>
              <w:rPr>
                <w:rFonts w:ascii="Times New Roman"/>
                <w:sz w:val="12"/>
              </w:rPr>
            </w:pPr>
          </w:p>
        </w:tc>
        <w:tc>
          <w:tcPr>
            <w:tcW w:w="1089" w:type="dxa"/>
          </w:tcPr>
          <w:p w14:paraId="0EAD0F77" w14:textId="77777777" w:rsidR="00AC6F3C" w:rsidRDefault="00AC6F3C">
            <w:pPr>
              <w:pStyle w:val="TableParagraph"/>
              <w:rPr>
                <w:rFonts w:ascii="Times New Roman"/>
                <w:sz w:val="12"/>
              </w:rPr>
            </w:pPr>
          </w:p>
        </w:tc>
        <w:tc>
          <w:tcPr>
            <w:tcW w:w="494" w:type="dxa"/>
          </w:tcPr>
          <w:p w14:paraId="203701B4" w14:textId="77777777" w:rsidR="00AC6F3C" w:rsidRDefault="00AC6F3C">
            <w:pPr>
              <w:pStyle w:val="TableParagraph"/>
              <w:rPr>
                <w:rFonts w:ascii="Times New Roman"/>
                <w:sz w:val="12"/>
              </w:rPr>
            </w:pPr>
          </w:p>
        </w:tc>
        <w:tc>
          <w:tcPr>
            <w:tcW w:w="3034" w:type="dxa"/>
          </w:tcPr>
          <w:p w14:paraId="79491614" w14:textId="77777777" w:rsidR="00AC6F3C" w:rsidRDefault="00570E88">
            <w:pPr>
              <w:pStyle w:val="TableParagraph"/>
              <w:spacing w:line="144" w:lineRule="exact"/>
              <w:ind w:left="55"/>
              <w:rPr>
                <w:sz w:val="15"/>
              </w:rPr>
            </w:pPr>
            <w:r>
              <w:rPr>
                <w:spacing w:val="-4"/>
                <w:sz w:val="15"/>
              </w:rPr>
              <w:t>there</w:t>
            </w:r>
            <w:r>
              <w:rPr>
                <w:spacing w:val="-1"/>
                <w:sz w:val="15"/>
              </w:rPr>
              <w:t xml:space="preserve"> </w:t>
            </w:r>
            <w:r>
              <w:rPr>
                <w:spacing w:val="-4"/>
                <w:sz w:val="15"/>
              </w:rPr>
              <w:t>is</w:t>
            </w:r>
            <w:r>
              <w:rPr>
                <w:spacing w:val="-1"/>
                <w:sz w:val="15"/>
              </w:rPr>
              <w:t xml:space="preserve"> </w:t>
            </w:r>
            <w:r>
              <w:rPr>
                <w:spacing w:val="-4"/>
                <w:sz w:val="15"/>
              </w:rPr>
              <w:t>resourcing</w:t>
            </w:r>
            <w:r>
              <w:rPr>
                <w:spacing w:val="-1"/>
                <w:sz w:val="15"/>
              </w:rPr>
              <w:t xml:space="preserve"> </w:t>
            </w:r>
            <w:r>
              <w:rPr>
                <w:spacing w:val="-4"/>
                <w:sz w:val="15"/>
              </w:rPr>
              <w:t>capability</w:t>
            </w:r>
          </w:p>
        </w:tc>
      </w:tr>
      <w:tr w:rsidR="00AC6F3C" w14:paraId="15EAA944" w14:textId="77777777">
        <w:trPr>
          <w:trHeight w:val="224"/>
        </w:trPr>
        <w:tc>
          <w:tcPr>
            <w:tcW w:w="844" w:type="dxa"/>
            <w:tcBorders>
              <w:bottom w:val="single" w:sz="2" w:space="0" w:color="000000"/>
            </w:tcBorders>
          </w:tcPr>
          <w:p w14:paraId="65ED9E6E" w14:textId="77777777" w:rsidR="00AC6F3C" w:rsidRDefault="00AC6F3C">
            <w:pPr>
              <w:pStyle w:val="TableParagraph"/>
              <w:rPr>
                <w:rFonts w:ascii="Times New Roman"/>
                <w:sz w:val="14"/>
              </w:rPr>
            </w:pPr>
          </w:p>
        </w:tc>
        <w:tc>
          <w:tcPr>
            <w:tcW w:w="2246" w:type="dxa"/>
            <w:tcBorders>
              <w:bottom w:val="single" w:sz="2" w:space="0" w:color="000000"/>
            </w:tcBorders>
          </w:tcPr>
          <w:p w14:paraId="67E3CDDB" w14:textId="77777777" w:rsidR="00AC6F3C" w:rsidRDefault="00570E88">
            <w:pPr>
              <w:pStyle w:val="TableParagraph"/>
              <w:spacing w:line="144" w:lineRule="exact"/>
              <w:ind w:left="417"/>
              <w:rPr>
                <w:sz w:val="15"/>
              </w:rPr>
            </w:pPr>
            <w:r>
              <w:rPr>
                <w:spacing w:val="-4"/>
                <w:sz w:val="15"/>
              </w:rPr>
              <w:t>out</w:t>
            </w:r>
            <w:r>
              <w:rPr>
                <w:spacing w:val="-7"/>
                <w:sz w:val="15"/>
              </w:rPr>
              <w:t xml:space="preserve"> </w:t>
            </w:r>
            <w:r>
              <w:rPr>
                <w:spacing w:val="-4"/>
                <w:sz w:val="15"/>
              </w:rPr>
              <w:t>of</w:t>
            </w:r>
            <w:r>
              <w:rPr>
                <w:spacing w:val="-6"/>
                <w:sz w:val="15"/>
              </w:rPr>
              <w:t xml:space="preserve"> </w:t>
            </w:r>
            <w:r>
              <w:rPr>
                <w:spacing w:val="-4"/>
                <w:sz w:val="15"/>
              </w:rPr>
              <w:t>the</w:t>
            </w:r>
            <w:r>
              <w:rPr>
                <w:spacing w:val="-6"/>
                <w:sz w:val="15"/>
              </w:rPr>
              <w:t xml:space="preserve"> </w:t>
            </w:r>
            <w:r>
              <w:rPr>
                <w:spacing w:val="-4"/>
                <w:sz w:val="15"/>
              </w:rPr>
              <w:t>LPA</w:t>
            </w:r>
            <w:r>
              <w:rPr>
                <w:spacing w:val="-6"/>
                <w:sz w:val="15"/>
              </w:rPr>
              <w:t xml:space="preserve"> </w:t>
            </w:r>
            <w:r>
              <w:rPr>
                <w:spacing w:val="-4"/>
                <w:sz w:val="15"/>
              </w:rPr>
              <w:t>proposals</w:t>
            </w:r>
          </w:p>
        </w:tc>
        <w:tc>
          <w:tcPr>
            <w:tcW w:w="385" w:type="dxa"/>
            <w:tcBorders>
              <w:bottom w:val="single" w:sz="2" w:space="0" w:color="000000"/>
            </w:tcBorders>
          </w:tcPr>
          <w:p w14:paraId="295D39FB" w14:textId="77777777" w:rsidR="00AC6F3C" w:rsidRDefault="00AC6F3C">
            <w:pPr>
              <w:pStyle w:val="TableParagraph"/>
              <w:rPr>
                <w:rFonts w:ascii="Times New Roman"/>
                <w:sz w:val="14"/>
              </w:rPr>
            </w:pPr>
          </w:p>
        </w:tc>
        <w:tc>
          <w:tcPr>
            <w:tcW w:w="2521" w:type="dxa"/>
            <w:tcBorders>
              <w:bottom w:val="single" w:sz="2" w:space="0" w:color="000000"/>
            </w:tcBorders>
          </w:tcPr>
          <w:p w14:paraId="7886097A" w14:textId="77777777" w:rsidR="00AC6F3C" w:rsidRDefault="00AC6F3C">
            <w:pPr>
              <w:pStyle w:val="TableParagraph"/>
              <w:rPr>
                <w:rFonts w:ascii="Times New Roman"/>
                <w:sz w:val="14"/>
              </w:rPr>
            </w:pPr>
          </w:p>
        </w:tc>
        <w:tc>
          <w:tcPr>
            <w:tcW w:w="583" w:type="dxa"/>
            <w:tcBorders>
              <w:bottom w:val="single" w:sz="2" w:space="0" w:color="000000"/>
            </w:tcBorders>
          </w:tcPr>
          <w:p w14:paraId="49268F78" w14:textId="77777777" w:rsidR="00AC6F3C" w:rsidRDefault="00AC6F3C">
            <w:pPr>
              <w:pStyle w:val="TableParagraph"/>
              <w:rPr>
                <w:rFonts w:ascii="Times New Roman"/>
                <w:sz w:val="14"/>
              </w:rPr>
            </w:pPr>
          </w:p>
        </w:tc>
        <w:tc>
          <w:tcPr>
            <w:tcW w:w="953" w:type="dxa"/>
            <w:tcBorders>
              <w:bottom w:val="single" w:sz="2" w:space="0" w:color="000000"/>
            </w:tcBorders>
          </w:tcPr>
          <w:p w14:paraId="675ADC10" w14:textId="77777777" w:rsidR="00AC6F3C" w:rsidRDefault="00AC6F3C">
            <w:pPr>
              <w:pStyle w:val="TableParagraph"/>
              <w:rPr>
                <w:rFonts w:ascii="Times New Roman"/>
                <w:sz w:val="14"/>
              </w:rPr>
            </w:pPr>
          </w:p>
        </w:tc>
        <w:tc>
          <w:tcPr>
            <w:tcW w:w="1118" w:type="dxa"/>
            <w:tcBorders>
              <w:bottom w:val="single" w:sz="2" w:space="0" w:color="000000"/>
            </w:tcBorders>
          </w:tcPr>
          <w:p w14:paraId="23B93A1D" w14:textId="77777777" w:rsidR="00AC6F3C" w:rsidRDefault="00AC6F3C">
            <w:pPr>
              <w:pStyle w:val="TableParagraph"/>
              <w:rPr>
                <w:rFonts w:ascii="Times New Roman"/>
                <w:sz w:val="14"/>
              </w:rPr>
            </w:pPr>
          </w:p>
        </w:tc>
        <w:tc>
          <w:tcPr>
            <w:tcW w:w="577" w:type="dxa"/>
            <w:tcBorders>
              <w:bottom w:val="single" w:sz="2" w:space="0" w:color="000000"/>
            </w:tcBorders>
          </w:tcPr>
          <w:p w14:paraId="13F73E62" w14:textId="77777777" w:rsidR="00AC6F3C" w:rsidRDefault="00AC6F3C">
            <w:pPr>
              <w:pStyle w:val="TableParagraph"/>
              <w:rPr>
                <w:rFonts w:ascii="Times New Roman"/>
                <w:sz w:val="14"/>
              </w:rPr>
            </w:pPr>
          </w:p>
        </w:tc>
        <w:tc>
          <w:tcPr>
            <w:tcW w:w="1362" w:type="dxa"/>
            <w:tcBorders>
              <w:bottom w:val="single" w:sz="2" w:space="0" w:color="000000"/>
            </w:tcBorders>
          </w:tcPr>
          <w:p w14:paraId="0F20F2E5" w14:textId="77777777" w:rsidR="00AC6F3C" w:rsidRDefault="00570E88">
            <w:pPr>
              <w:pStyle w:val="TableParagraph"/>
              <w:spacing w:line="144" w:lineRule="exact"/>
              <w:ind w:left="56"/>
              <w:rPr>
                <w:sz w:val="15"/>
              </w:rPr>
            </w:pPr>
            <w:r>
              <w:rPr>
                <w:spacing w:val="-2"/>
                <w:sz w:val="15"/>
              </w:rPr>
              <w:t>stakeholders</w:t>
            </w:r>
          </w:p>
        </w:tc>
        <w:tc>
          <w:tcPr>
            <w:tcW w:w="784" w:type="dxa"/>
            <w:tcBorders>
              <w:bottom w:val="single" w:sz="2" w:space="0" w:color="000000"/>
            </w:tcBorders>
          </w:tcPr>
          <w:p w14:paraId="7E1304FE" w14:textId="77777777" w:rsidR="00AC6F3C" w:rsidRDefault="00AC6F3C">
            <w:pPr>
              <w:pStyle w:val="TableParagraph"/>
              <w:rPr>
                <w:rFonts w:ascii="Times New Roman"/>
                <w:sz w:val="14"/>
              </w:rPr>
            </w:pPr>
          </w:p>
        </w:tc>
        <w:tc>
          <w:tcPr>
            <w:tcW w:w="1089" w:type="dxa"/>
            <w:tcBorders>
              <w:bottom w:val="single" w:sz="2" w:space="0" w:color="000000"/>
            </w:tcBorders>
          </w:tcPr>
          <w:p w14:paraId="3AB38141" w14:textId="77777777" w:rsidR="00AC6F3C" w:rsidRDefault="00AC6F3C">
            <w:pPr>
              <w:pStyle w:val="TableParagraph"/>
              <w:rPr>
                <w:rFonts w:ascii="Times New Roman"/>
                <w:sz w:val="14"/>
              </w:rPr>
            </w:pPr>
          </w:p>
        </w:tc>
        <w:tc>
          <w:tcPr>
            <w:tcW w:w="494" w:type="dxa"/>
            <w:tcBorders>
              <w:bottom w:val="single" w:sz="2" w:space="0" w:color="000000"/>
            </w:tcBorders>
          </w:tcPr>
          <w:p w14:paraId="1372738E" w14:textId="77777777" w:rsidR="00AC6F3C" w:rsidRDefault="00AC6F3C">
            <w:pPr>
              <w:pStyle w:val="TableParagraph"/>
              <w:rPr>
                <w:rFonts w:ascii="Times New Roman"/>
                <w:sz w:val="14"/>
              </w:rPr>
            </w:pPr>
          </w:p>
        </w:tc>
        <w:tc>
          <w:tcPr>
            <w:tcW w:w="3034" w:type="dxa"/>
            <w:tcBorders>
              <w:bottom w:val="single" w:sz="2" w:space="0" w:color="000000"/>
            </w:tcBorders>
          </w:tcPr>
          <w:p w14:paraId="28C7D95E" w14:textId="77777777" w:rsidR="00AC6F3C" w:rsidRDefault="00AC6F3C">
            <w:pPr>
              <w:pStyle w:val="TableParagraph"/>
              <w:rPr>
                <w:rFonts w:ascii="Times New Roman"/>
                <w:sz w:val="14"/>
              </w:rPr>
            </w:pPr>
          </w:p>
        </w:tc>
      </w:tr>
      <w:tr w:rsidR="00AC6F3C" w14:paraId="663400EB" w14:textId="77777777">
        <w:trPr>
          <w:trHeight w:val="229"/>
        </w:trPr>
        <w:tc>
          <w:tcPr>
            <w:tcW w:w="844" w:type="dxa"/>
            <w:tcBorders>
              <w:top w:val="single" w:sz="2" w:space="0" w:color="000000"/>
            </w:tcBorders>
          </w:tcPr>
          <w:p w14:paraId="666C5F6E" w14:textId="77777777" w:rsidR="00AC6F3C" w:rsidRDefault="00570E88">
            <w:pPr>
              <w:pStyle w:val="TableParagraph"/>
              <w:spacing w:before="21"/>
              <w:ind w:left="71"/>
              <w:rPr>
                <w:b/>
                <w:sz w:val="15"/>
              </w:rPr>
            </w:pPr>
            <w:r>
              <w:rPr>
                <w:b/>
                <w:spacing w:val="-2"/>
                <w:sz w:val="15"/>
              </w:rPr>
              <w:t>Regulate</w:t>
            </w:r>
          </w:p>
        </w:tc>
        <w:tc>
          <w:tcPr>
            <w:tcW w:w="2246" w:type="dxa"/>
            <w:tcBorders>
              <w:top w:val="single" w:sz="2" w:space="0" w:color="000000"/>
            </w:tcBorders>
          </w:tcPr>
          <w:p w14:paraId="6695F4F9" w14:textId="77777777" w:rsidR="00AC6F3C" w:rsidRDefault="00570E88">
            <w:pPr>
              <w:pStyle w:val="TableParagraph"/>
              <w:spacing w:before="21"/>
              <w:ind w:left="134"/>
              <w:rPr>
                <w:sz w:val="15"/>
              </w:rPr>
            </w:pPr>
            <w:r>
              <w:rPr>
                <w:spacing w:val="-4"/>
                <w:sz w:val="15"/>
              </w:rPr>
              <w:t>04.</w:t>
            </w:r>
            <w:r>
              <w:rPr>
                <w:spacing w:val="29"/>
                <w:sz w:val="15"/>
              </w:rPr>
              <w:t xml:space="preserve"> </w:t>
            </w:r>
            <w:r>
              <w:rPr>
                <w:spacing w:val="-4"/>
                <w:sz w:val="15"/>
              </w:rPr>
              <w:t>To</w:t>
            </w:r>
            <w:r>
              <w:rPr>
                <w:spacing w:val="-6"/>
                <w:sz w:val="15"/>
              </w:rPr>
              <w:t xml:space="preserve"> </w:t>
            </w:r>
            <w:r>
              <w:rPr>
                <w:spacing w:val="-4"/>
                <w:sz w:val="15"/>
              </w:rPr>
              <w:t>review</w:t>
            </w:r>
            <w:r>
              <w:rPr>
                <w:spacing w:val="-6"/>
                <w:sz w:val="15"/>
              </w:rPr>
              <w:t xml:space="preserve"> </w:t>
            </w:r>
            <w:r>
              <w:rPr>
                <w:spacing w:val="-4"/>
                <w:sz w:val="15"/>
              </w:rPr>
              <w:t>the</w:t>
            </w:r>
            <w:r>
              <w:rPr>
                <w:spacing w:val="-7"/>
                <w:sz w:val="15"/>
              </w:rPr>
              <w:t xml:space="preserve"> </w:t>
            </w:r>
            <w:r>
              <w:rPr>
                <w:spacing w:val="-4"/>
                <w:sz w:val="15"/>
              </w:rPr>
              <w:t>Tax</w:t>
            </w:r>
            <w:r>
              <w:rPr>
                <w:spacing w:val="-6"/>
                <w:sz w:val="15"/>
              </w:rPr>
              <w:t xml:space="preserve"> </w:t>
            </w:r>
            <w:r>
              <w:rPr>
                <w:spacing w:val="-5"/>
                <w:sz w:val="15"/>
              </w:rPr>
              <w:t>and</w:t>
            </w:r>
          </w:p>
        </w:tc>
        <w:tc>
          <w:tcPr>
            <w:tcW w:w="385" w:type="dxa"/>
            <w:tcBorders>
              <w:top w:val="single" w:sz="2" w:space="0" w:color="000000"/>
            </w:tcBorders>
          </w:tcPr>
          <w:p w14:paraId="21E3D185" w14:textId="77777777" w:rsidR="00AC6F3C" w:rsidRDefault="00570E88">
            <w:pPr>
              <w:pStyle w:val="TableParagraph"/>
              <w:spacing w:before="21"/>
              <w:ind w:left="70"/>
              <w:rPr>
                <w:sz w:val="15"/>
              </w:rPr>
            </w:pPr>
            <w:r>
              <w:rPr>
                <w:spacing w:val="-5"/>
                <w:sz w:val="15"/>
              </w:rPr>
              <w:t>4.1</w:t>
            </w:r>
          </w:p>
        </w:tc>
        <w:tc>
          <w:tcPr>
            <w:tcW w:w="2521" w:type="dxa"/>
            <w:tcBorders>
              <w:top w:val="single" w:sz="2" w:space="0" w:color="000000"/>
            </w:tcBorders>
          </w:tcPr>
          <w:p w14:paraId="3BE9A5B9" w14:textId="77777777" w:rsidR="00AC6F3C" w:rsidRDefault="00570E88">
            <w:pPr>
              <w:pStyle w:val="TableParagraph"/>
              <w:spacing w:before="21"/>
              <w:ind w:left="111"/>
              <w:rPr>
                <w:sz w:val="15"/>
              </w:rPr>
            </w:pPr>
            <w:r>
              <w:rPr>
                <w:spacing w:val="-4"/>
                <w:sz w:val="15"/>
              </w:rPr>
              <w:t>To</w:t>
            </w:r>
            <w:r>
              <w:rPr>
                <w:spacing w:val="-5"/>
                <w:sz w:val="15"/>
              </w:rPr>
              <w:t xml:space="preserve"> </w:t>
            </w:r>
            <w:r>
              <w:rPr>
                <w:spacing w:val="-4"/>
                <w:sz w:val="15"/>
              </w:rPr>
              <w:t>review</w:t>
            </w:r>
            <w:r>
              <w:rPr>
                <w:spacing w:val="-5"/>
                <w:sz w:val="15"/>
              </w:rPr>
              <w:t xml:space="preserve"> </w:t>
            </w:r>
            <w:r>
              <w:rPr>
                <w:spacing w:val="-4"/>
                <w:sz w:val="15"/>
              </w:rPr>
              <w:t>the</w:t>
            </w:r>
            <w:r>
              <w:rPr>
                <w:spacing w:val="-5"/>
                <w:sz w:val="15"/>
              </w:rPr>
              <w:t xml:space="preserve"> </w:t>
            </w:r>
            <w:r>
              <w:rPr>
                <w:spacing w:val="-4"/>
                <w:sz w:val="15"/>
              </w:rPr>
              <w:t>operation of</w:t>
            </w:r>
            <w:r>
              <w:rPr>
                <w:spacing w:val="-5"/>
                <w:sz w:val="15"/>
              </w:rPr>
              <w:t xml:space="preserve"> </w:t>
            </w:r>
            <w:r>
              <w:rPr>
                <w:spacing w:val="-4"/>
                <w:sz w:val="15"/>
              </w:rPr>
              <w:t>this</w:t>
            </w:r>
            <w:r>
              <w:rPr>
                <w:spacing w:val="-5"/>
                <w:sz w:val="15"/>
              </w:rPr>
              <w:t xml:space="preserve"> </w:t>
            </w:r>
            <w:r>
              <w:rPr>
                <w:spacing w:val="-4"/>
                <w:sz w:val="15"/>
              </w:rPr>
              <w:t>policy</w:t>
            </w:r>
          </w:p>
        </w:tc>
        <w:tc>
          <w:tcPr>
            <w:tcW w:w="583" w:type="dxa"/>
            <w:tcBorders>
              <w:top w:val="single" w:sz="2" w:space="0" w:color="000000"/>
            </w:tcBorders>
          </w:tcPr>
          <w:p w14:paraId="0D876BD9" w14:textId="77777777" w:rsidR="00AC6F3C" w:rsidRDefault="00570E88">
            <w:pPr>
              <w:pStyle w:val="TableParagraph"/>
              <w:spacing w:before="20"/>
              <w:ind w:left="70"/>
              <w:rPr>
                <w:b/>
                <w:sz w:val="15"/>
              </w:rPr>
            </w:pPr>
            <w:r>
              <w:rPr>
                <w:b/>
                <w:spacing w:val="-4"/>
                <w:sz w:val="15"/>
              </w:rPr>
              <w:t>KPI5</w:t>
            </w:r>
          </w:p>
        </w:tc>
        <w:tc>
          <w:tcPr>
            <w:tcW w:w="953" w:type="dxa"/>
            <w:tcBorders>
              <w:top w:val="single" w:sz="2" w:space="0" w:color="000000"/>
            </w:tcBorders>
          </w:tcPr>
          <w:p w14:paraId="1F411BCE" w14:textId="77777777" w:rsidR="00AC6F3C" w:rsidRDefault="00570E88">
            <w:pPr>
              <w:pStyle w:val="TableParagraph"/>
              <w:spacing w:before="20"/>
              <w:ind w:right="106"/>
              <w:jc w:val="right"/>
              <w:rPr>
                <w:sz w:val="15"/>
              </w:rPr>
            </w:pPr>
            <w:r>
              <w:rPr>
                <w:spacing w:val="-4"/>
                <w:sz w:val="15"/>
              </w:rPr>
              <w:t>30-Jun-</w:t>
            </w:r>
            <w:r>
              <w:rPr>
                <w:spacing w:val="-5"/>
                <w:sz w:val="15"/>
              </w:rPr>
              <w:t>23</w:t>
            </w:r>
          </w:p>
        </w:tc>
        <w:tc>
          <w:tcPr>
            <w:tcW w:w="1118" w:type="dxa"/>
            <w:tcBorders>
              <w:top w:val="single" w:sz="2" w:space="0" w:color="000000"/>
            </w:tcBorders>
          </w:tcPr>
          <w:p w14:paraId="1FD47B9D" w14:textId="77777777" w:rsidR="00AC6F3C" w:rsidRDefault="00570E88">
            <w:pPr>
              <w:pStyle w:val="TableParagraph"/>
              <w:spacing w:before="20"/>
              <w:ind w:left="107"/>
              <w:rPr>
                <w:sz w:val="15"/>
              </w:rPr>
            </w:pPr>
            <w:r>
              <w:rPr>
                <w:spacing w:val="-2"/>
                <w:sz w:val="15"/>
              </w:rPr>
              <w:t>Regulation</w:t>
            </w:r>
          </w:p>
        </w:tc>
        <w:tc>
          <w:tcPr>
            <w:tcW w:w="577" w:type="dxa"/>
            <w:tcBorders>
              <w:top w:val="single" w:sz="2" w:space="0" w:color="000000"/>
            </w:tcBorders>
          </w:tcPr>
          <w:p w14:paraId="3596FE58" w14:textId="77777777" w:rsidR="00AC6F3C" w:rsidRDefault="00570E88">
            <w:pPr>
              <w:pStyle w:val="TableParagraph"/>
              <w:spacing w:before="20"/>
              <w:ind w:right="80"/>
              <w:jc w:val="right"/>
              <w:rPr>
                <w:sz w:val="15"/>
              </w:rPr>
            </w:pPr>
            <w:r>
              <w:rPr>
                <w:spacing w:val="-2"/>
                <w:sz w:val="15"/>
              </w:rPr>
              <w:t>4.1.1</w:t>
            </w:r>
          </w:p>
        </w:tc>
        <w:tc>
          <w:tcPr>
            <w:tcW w:w="1362" w:type="dxa"/>
            <w:tcBorders>
              <w:top w:val="single" w:sz="2" w:space="0" w:color="000000"/>
            </w:tcBorders>
          </w:tcPr>
          <w:p w14:paraId="7CA8344E" w14:textId="77777777" w:rsidR="00AC6F3C" w:rsidRDefault="00570E88">
            <w:pPr>
              <w:pStyle w:val="TableParagraph"/>
              <w:spacing w:before="20"/>
              <w:ind w:left="56"/>
              <w:rPr>
                <w:sz w:val="15"/>
              </w:rPr>
            </w:pPr>
            <w:r>
              <w:rPr>
                <w:spacing w:val="-4"/>
                <w:sz w:val="15"/>
              </w:rPr>
              <w:t>Report</w:t>
            </w:r>
            <w:r>
              <w:rPr>
                <w:spacing w:val="-2"/>
                <w:sz w:val="15"/>
              </w:rPr>
              <w:t xml:space="preserve"> </w:t>
            </w:r>
            <w:r>
              <w:rPr>
                <w:spacing w:val="-4"/>
                <w:sz w:val="15"/>
              </w:rPr>
              <w:t>to</w:t>
            </w:r>
            <w:r>
              <w:rPr>
                <w:spacing w:val="-1"/>
                <w:sz w:val="15"/>
              </w:rPr>
              <w:t xml:space="preserve"> </w:t>
            </w:r>
            <w:r>
              <w:rPr>
                <w:spacing w:val="-5"/>
                <w:sz w:val="15"/>
              </w:rPr>
              <w:t>CEO</w:t>
            </w:r>
          </w:p>
        </w:tc>
        <w:tc>
          <w:tcPr>
            <w:tcW w:w="784" w:type="dxa"/>
            <w:tcBorders>
              <w:top w:val="single" w:sz="2" w:space="0" w:color="000000"/>
            </w:tcBorders>
          </w:tcPr>
          <w:p w14:paraId="5BEB9955" w14:textId="77777777" w:rsidR="00AC6F3C" w:rsidRDefault="00570E88">
            <w:pPr>
              <w:pStyle w:val="TableParagraph"/>
              <w:spacing w:before="20"/>
              <w:ind w:left="69"/>
              <w:rPr>
                <w:b/>
                <w:sz w:val="15"/>
              </w:rPr>
            </w:pPr>
            <w:r>
              <w:rPr>
                <w:b/>
                <w:spacing w:val="-2"/>
                <w:sz w:val="15"/>
              </w:rPr>
              <w:t>Green-</w:t>
            </w:r>
          </w:p>
        </w:tc>
        <w:tc>
          <w:tcPr>
            <w:tcW w:w="1089" w:type="dxa"/>
            <w:tcBorders>
              <w:top w:val="single" w:sz="2" w:space="0" w:color="000000"/>
            </w:tcBorders>
          </w:tcPr>
          <w:p w14:paraId="78663B99" w14:textId="77777777" w:rsidR="00AC6F3C" w:rsidRDefault="00570E88">
            <w:pPr>
              <w:pStyle w:val="TableParagraph"/>
              <w:spacing w:before="20"/>
              <w:ind w:left="249"/>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494" w:type="dxa"/>
            <w:tcBorders>
              <w:top w:val="single" w:sz="2" w:space="0" w:color="000000"/>
            </w:tcBorders>
          </w:tcPr>
          <w:p w14:paraId="0509681A" w14:textId="77777777" w:rsidR="00AC6F3C" w:rsidRDefault="00570E88">
            <w:pPr>
              <w:pStyle w:val="TableParagraph"/>
              <w:spacing w:before="20"/>
              <w:ind w:right="81"/>
              <w:jc w:val="right"/>
              <w:rPr>
                <w:sz w:val="15"/>
              </w:rPr>
            </w:pPr>
            <w:r>
              <w:rPr>
                <w:spacing w:val="-2"/>
                <w:sz w:val="15"/>
              </w:rPr>
              <w:t>4.1.1</w:t>
            </w:r>
          </w:p>
        </w:tc>
        <w:tc>
          <w:tcPr>
            <w:tcW w:w="3034" w:type="dxa"/>
            <w:tcBorders>
              <w:top w:val="single" w:sz="2" w:space="0" w:color="000000"/>
            </w:tcBorders>
          </w:tcPr>
          <w:p w14:paraId="54EB6950" w14:textId="77777777" w:rsidR="00AC6F3C" w:rsidRDefault="00570E88">
            <w:pPr>
              <w:pStyle w:val="TableParagraph"/>
              <w:spacing w:before="20"/>
              <w:ind w:left="55"/>
              <w:rPr>
                <w:sz w:val="15"/>
              </w:rPr>
            </w:pPr>
            <w:r>
              <w:rPr>
                <w:spacing w:val="-4"/>
                <w:sz w:val="15"/>
              </w:rPr>
              <w:t>On</w:t>
            </w:r>
            <w:r>
              <w:rPr>
                <w:spacing w:val="-5"/>
                <w:sz w:val="15"/>
              </w:rPr>
              <w:t xml:space="preserve"> </w:t>
            </w:r>
            <w:r>
              <w:rPr>
                <w:spacing w:val="-4"/>
                <w:sz w:val="15"/>
              </w:rPr>
              <w:t>track and ongoing – due to competing</w:t>
            </w:r>
          </w:p>
        </w:tc>
      </w:tr>
      <w:tr w:rsidR="00AC6F3C" w14:paraId="135B2CA3" w14:textId="77777777">
        <w:trPr>
          <w:trHeight w:val="174"/>
        </w:trPr>
        <w:tc>
          <w:tcPr>
            <w:tcW w:w="844" w:type="dxa"/>
          </w:tcPr>
          <w:p w14:paraId="741435EC" w14:textId="77777777" w:rsidR="00AC6F3C" w:rsidRDefault="00AC6F3C">
            <w:pPr>
              <w:pStyle w:val="TableParagraph"/>
              <w:rPr>
                <w:rFonts w:ascii="Times New Roman"/>
                <w:sz w:val="10"/>
              </w:rPr>
            </w:pPr>
          </w:p>
        </w:tc>
        <w:tc>
          <w:tcPr>
            <w:tcW w:w="2246" w:type="dxa"/>
          </w:tcPr>
          <w:p w14:paraId="466596EB" w14:textId="77777777" w:rsidR="00AC6F3C" w:rsidRDefault="00570E88">
            <w:pPr>
              <w:pStyle w:val="TableParagraph"/>
              <w:spacing w:line="145" w:lineRule="exact"/>
              <w:ind w:left="417"/>
              <w:rPr>
                <w:sz w:val="15"/>
              </w:rPr>
            </w:pPr>
            <w:r>
              <w:rPr>
                <w:spacing w:val="-4"/>
                <w:sz w:val="15"/>
              </w:rPr>
              <w:t>Superannuation</w:t>
            </w:r>
            <w:r>
              <w:rPr>
                <w:spacing w:val="-3"/>
                <w:sz w:val="15"/>
              </w:rPr>
              <w:t xml:space="preserve"> </w:t>
            </w:r>
            <w:r>
              <w:rPr>
                <w:spacing w:val="-4"/>
                <w:sz w:val="15"/>
              </w:rPr>
              <w:t>Policy</w:t>
            </w:r>
            <w:r>
              <w:rPr>
                <w:spacing w:val="-2"/>
                <w:sz w:val="15"/>
              </w:rPr>
              <w:t xml:space="preserve"> </w:t>
            </w:r>
            <w:r>
              <w:rPr>
                <w:spacing w:val="-4"/>
                <w:sz w:val="15"/>
              </w:rPr>
              <w:t>after</w:t>
            </w:r>
          </w:p>
        </w:tc>
        <w:tc>
          <w:tcPr>
            <w:tcW w:w="385" w:type="dxa"/>
          </w:tcPr>
          <w:p w14:paraId="425B9CB3" w14:textId="77777777" w:rsidR="00AC6F3C" w:rsidRDefault="00AC6F3C">
            <w:pPr>
              <w:pStyle w:val="TableParagraph"/>
              <w:rPr>
                <w:rFonts w:ascii="Times New Roman"/>
                <w:sz w:val="10"/>
              </w:rPr>
            </w:pPr>
          </w:p>
        </w:tc>
        <w:tc>
          <w:tcPr>
            <w:tcW w:w="2521" w:type="dxa"/>
          </w:tcPr>
          <w:p w14:paraId="4F974502" w14:textId="77777777" w:rsidR="00AC6F3C" w:rsidRDefault="00570E88">
            <w:pPr>
              <w:pStyle w:val="TableParagraph"/>
              <w:spacing w:line="145" w:lineRule="exact"/>
              <w:ind w:left="111"/>
              <w:rPr>
                <w:sz w:val="15"/>
              </w:rPr>
            </w:pPr>
            <w:r>
              <w:rPr>
                <w:spacing w:val="-4"/>
                <w:sz w:val="15"/>
              </w:rPr>
              <w:t>with</w:t>
            </w:r>
            <w:r>
              <w:rPr>
                <w:spacing w:val="-3"/>
                <w:sz w:val="15"/>
              </w:rPr>
              <w:t xml:space="preserve"> </w:t>
            </w:r>
            <w:r>
              <w:rPr>
                <w:spacing w:val="-4"/>
                <w:sz w:val="15"/>
              </w:rPr>
              <w:t>respect</w:t>
            </w:r>
            <w:r>
              <w:rPr>
                <w:spacing w:val="-2"/>
                <w:sz w:val="15"/>
              </w:rPr>
              <w:t xml:space="preserve"> </w:t>
            </w:r>
            <w:r>
              <w:rPr>
                <w:spacing w:val="-4"/>
                <w:sz w:val="15"/>
              </w:rPr>
              <w:t>to</w:t>
            </w:r>
            <w:r>
              <w:rPr>
                <w:spacing w:val="-3"/>
                <w:sz w:val="15"/>
              </w:rPr>
              <w:t xml:space="preserve"> </w:t>
            </w:r>
            <w:r>
              <w:rPr>
                <w:spacing w:val="-4"/>
                <w:sz w:val="15"/>
              </w:rPr>
              <w:t>all</w:t>
            </w:r>
            <w:r>
              <w:rPr>
                <w:spacing w:val="-2"/>
                <w:sz w:val="15"/>
              </w:rPr>
              <w:t xml:space="preserve"> </w:t>
            </w:r>
            <w:r>
              <w:rPr>
                <w:spacing w:val="-4"/>
                <w:sz w:val="15"/>
              </w:rPr>
              <w:t>facets</w:t>
            </w:r>
            <w:r>
              <w:rPr>
                <w:spacing w:val="-3"/>
                <w:sz w:val="15"/>
              </w:rPr>
              <w:t xml:space="preserve"> </w:t>
            </w:r>
            <w:r>
              <w:rPr>
                <w:spacing w:val="-4"/>
                <w:sz w:val="15"/>
              </w:rPr>
              <w:t>in</w:t>
            </w:r>
            <w:r>
              <w:rPr>
                <w:spacing w:val="-2"/>
                <w:sz w:val="15"/>
              </w:rPr>
              <w:t xml:space="preserve"> </w:t>
            </w:r>
            <w:r>
              <w:rPr>
                <w:spacing w:val="-4"/>
                <w:sz w:val="15"/>
              </w:rPr>
              <w:t>particular:</w:t>
            </w:r>
          </w:p>
        </w:tc>
        <w:tc>
          <w:tcPr>
            <w:tcW w:w="583" w:type="dxa"/>
          </w:tcPr>
          <w:p w14:paraId="793F5097" w14:textId="77777777" w:rsidR="00AC6F3C" w:rsidRDefault="00AC6F3C">
            <w:pPr>
              <w:pStyle w:val="TableParagraph"/>
              <w:rPr>
                <w:rFonts w:ascii="Times New Roman"/>
                <w:sz w:val="10"/>
              </w:rPr>
            </w:pPr>
          </w:p>
        </w:tc>
        <w:tc>
          <w:tcPr>
            <w:tcW w:w="953" w:type="dxa"/>
          </w:tcPr>
          <w:p w14:paraId="0D039C28" w14:textId="77777777" w:rsidR="00AC6F3C" w:rsidRDefault="00AC6F3C">
            <w:pPr>
              <w:pStyle w:val="TableParagraph"/>
              <w:rPr>
                <w:rFonts w:ascii="Times New Roman"/>
                <w:sz w:val="10"/>
              </w:rPr>
            </w:pPr>
          </w:p>
        </w:tc>
        <w:tc>
          <w:tcPr>
            <w:tcW w:w="1118" w:type="dxa"/>
          </w:tcPr>
          <w:p w14:paraId="5E8A6234" w14:textId="77777777" w:rsidR="00AC6F3C" w:rsidRDefault="00AC6F3C">
            <w:pPr>
              <w:pStyle w:val="TableParagraph"/>
              <w:rPr>
                <w:rFonts w:ascii="Times New Roman"/>
                <w:sz w:val="10"/>
              </w:rPr>
            </w:pPr>
          </w:p>
        </w:tc>
        <w:tc>
          <w:tcPr>
            <w:tcW w:w="577" w:type="dxa"/>
          </w:tcPr>
          <w:p w14:paraId="7DE63D27" w14:textId="77777777" w:rsidR="00AC6F3C" w:rsidRDefault="00AC6F3C">
            <w:pPr>
              <w:pStyle w:val="TableParagraph"/>
              <w:rPr>
                <w:rFonts w:ascii="Times New Roman"/>
                <w:sz w:val="10"/>
              </w:rPr>
            </w:pPr>
          </w:p>
        </w:tc>
        <w:tc>
          <w:tcPr>
            <w:tcW w:w="1362" w:type="dxa"/>
          </w:tcPr>
          <w:p w14:paraId="04C50053" w14:textId="77777777" w:rsidR="00AC6F3C" w:rsidRDefault="00AC6F3C">
            <w:pPr>
              <w:pStyle w:val="TableParagraph"/>
              <w:rPr>
                <w:rFonts w:ascii="Times New Roman"/>
                <w:sz w:val="10"/>
              </w:rPr>
            </w:pPr>
          </w:p>
        </w:tc>
        <w:tc>
          <w:tcPr>
            <w:tcW w:w="784" w:type="dxa"/>
          </w:tcPr>
          <w:p w14:paraId="14AA2D12" w14:textId="77777777" w:rsidR="00AC6F3C" w:rsidRDefault="00570E88">
            <w:pPr>
              <w:pStyle w:val="TableParagraph"/>
              <w:spacing w:line="144" w:lineRule="exact"/>
              <w:ind w:left="69"/>
              <w:rPr>
                <w:b/>
                <w:sz w:val="15"/>
              </w:rPr>
            </w:pPr>
            <w:r>
              <w:rPr>
                <w:b/>
                <w:spacing w:val="-2"/>
                <w:sz w:val="15"/>
              </w:rPr>
              <w:t>Yellow</w:t>
            </w:r>
          </w:p>
        </w:tc>
        <w:tc>
          <w:tcPr>
            <w:tcW w:w="1089" w:type="dxa"/>
          </w:tcPr>
          <w:p w14:paraId="5F8FD8DD" w14:textId="77777777" w:rsidR="00AC6F3C" w:rsidRDefault="00570E88">
            <w:pPr>
              <w:pStyle w:val="TableParagraph"/>
              <w:spacing w:line="144" w:lineRule="exact"/>
              <w:ind w:left="249"/>
              <w:rPr>
                <w:b/>
                <w:sz w:val="15"/>
              </w:rPr>
            </w:pPr>
            <w:r>
              <w:rPr>
                <w:b/>
                <w:spacing w:val="-2"/>
                <w:sz w:val="15"/>
              </w:rPr>
              <w:t>ongoing</w:t>
            </w:r>
          </w:p>
        </w:tc>
        <w:tc>
          <w:tcPr>
            <w:tcW w:w="494" w:type="dxa"/>
          </w:tcPr>
          <w:p w14:paraId="2C7F8182" w14:textId="77777777" w:rsidR="00AC6F3C" w:rsidRDefault="00AC6F3C">
            <w:pPr>
              <w:pStyle w:val="TableParagraph"/>
              <w:rPr>
                <w:rFonts w:ascii="Times New Roman"/>
                <w:sz w:val="10"/>
              </w:rPr>
            </w:pPr>
          </w:p>
        </w:tc>
        <w:tc>
          <w:tcPr>
            <w:tcW w:w="3034" w:type="dxa"/>
          </w:tcPr>
          <w:p w14:paraId="32982F4B" w14:textId="77777777" w:rsidR="00AC6F3C" w:rsidRDefault="00570E88">
            <w:pPr>
              <w:pStyle w:val="TableParagraph"/>
              <w:spacing w:line="144" w:lineRule="exact"/>
              <w:ind w:left="55"/>
              <w:rPr>
                <w:sz w:val="15"/>
              </w:rPr>
            </w:pPr>
            <w:r>
              <w:rPr>
                <w:spacing w:val="-4"/>
                <w:sz w:val="15"/>
              </w:rPr>
              <w:t>workloads a</w:t>
            </w:r>
            <w:r>
              <w:rPr>
                <w:spacing w:val="-3"/>
                <w:sz w:val="15"/>
              </w:rPr>
              <w:t xml:space="preserve"> </w:t>
            </w:r>
            <w:r>
              <w:rPr>
                <w:spacing w:val="-4"/>
                <w:sz w:val="15"/>
              </w:rPr>
              <w:t>review</w:t>
            </w:r>
            <w:r>
              <w:rPr>
                <w:spacing w:val="-3"/>
                <w:sz w:val="15"/>
              </w:rPr>
              <w:t xml:space="preserve"> </w:t>
            </w:r>
            <w:r>
              <w:rPr>
                <w:spacing w:val="-4"/>
                <w:sz w:val="15"/>
              </w:rPr>
              <w:t>of</w:t>
            </w:r>
            <w:r>
              <w:rPr>
                <w:spacing w:val="-3"/>
                <w:sz w:val="15"/>
              </w:rPr>
              <w:t xml:space="preserve"> </w:t>
            </w:r>
            <w:r>
              <w:rPr>
                <w:spacing w:val="-4"/>
                <w:sz w:val="15"/>
              </w:rPr>
              <w:t>the policy</w:t>
            </w:r>
            <w:r>
              <w:rPr>
                <w:spacing w:val="-3"/>
                <w:sz w:val="15"/>
              </w:rPr>
              <w:t xml:space="preserve"> </w:t>
            </w:r>
            <w:r>
              <w:rPr>
                <w:spacing w:val="-4"/>
                <w:sz w:val="15"/>
              </w:rPr>
              <w:t>has</w:t>
            </w:r>
            <w:r>
              <w:rPr>
                <w:spacing w:val="-3"/>
                <w:sz w:val="15"/>
              </w:rPr>
              <w:t xml:space="preserve"> </w:t>
            </w:r>
            <w:r>
              <w:rPr>
                <w:spacing w:val="-4"/>
                <w:sz w:val="15"/>
              </w:rPr>
              <w:t>begun</w:t>
            </w:r>
          </w:p>
        </w:tc>
      </w:tr>
    </w:tbl>
    <w:p w14:paraId="2BCC1B45" w14:textId="77777777" w:rsidR="00AC6F3C" w:rsidRDefault="00AC6F3C">
      <w:pPr>
        <w:spacing w:line="144" w:lineRule="exact"/>
        <w:rPr>
          <w:sz w:val="15"/>
        </w:rPr>
        <w:sectPr w:rsidR="00AC6F3C">
          <w:type w:val="continuous"/>
          <w:pgSz w:w="16840" w:h="11910" w:orient="landscape"/>
          <w:pgMar w:top="1920" w:right="320" w:bottom="280" w:left="300" w:header="0" w:footer="336" w:gutter="0"/>
          <w:cols w:space="720"/>
        </w:sectPr>
      </w:pPr>
    </w:p>
    <w:p w14:paraId="503EE66E" w14:textId="77777777" w:rsidR="00AC6F3C" w:rsidRDefault="00570E88">
      <w:pPr>
        <w:spacing w:line="154" w:lineRule="exact"/>
        <w:ind w:left="1386"/>
        <w:rPr>
          <w:sz w:val="15"/>
        </w:rPr>
      </w:pPr>
      <w:r>
        <w:rPr>
          <w:spacing w:val="-6"/>
          <w:sz w:val="15"/>
        </w:rPr>
        <w:t>12</w:t>
      </w:r>
      <w:r>
        <w:rPr>
          <w:spacing w:val="-1"/>
          <w:sz w:val="15"/>
        </w:rPr>
        <w:t xml:space="preserve"> </w:t>
      </w:r>
      <w:r>
        <w:rPr>
          <w:spacing w:val="-6"/>
          <w:sz w:val="15"/>
        </w:rPr>
        <w:t>months</w:t>
      </w:r>
      <w:r>
        <w:rPr>
          <w:sz w:val="15"/>
        </w:rPr>
        <w:t xml:space="preserve"> </w:t>
      </w:r>
      <w:r>
        <w:rPr>
          <w:spacing w:val="-6"/>
          <w:sz w:val="15"/>
        </w:rPr>
        <w:t>of</w:t>
      </w:r>
      <w:r>
        <w:rPr>
          <w:spacing w:val="-1"/>
          <w:sz w:val="15"/>
        </w:rPr>
        <w:t xml:space="preserve"> </w:t>
      </w:r>
      <w:r>
        <w:rPr>
          <w:spacing w:val="-6"/>
          <w:sz w:val="15"/>
        </w:rPr>
        <w:t>operation</w:t>
      </w:r>
    </w:p>
    <w:p w14:paraId="181AE4ED" w14:textId="77777777" w:rsidR="00AC6F3C" w:rsidRDefault="00570E88">
      <w:pPr>
        <w:pStyle w:val="ListParagraph"/>
        <w:numPr>
          <w:ilvl w:val="1"/>
          <w:numId w:val="84"/>
        </w:numPr>
        <w:tabs>
          <w:tab w:val="left" w:pos="974"/>
        </w:tabs>
        <w:spacing w:before="24"/>
        <w:ind w:hanging="141"/>
        <w:rPr>
          <w:sz w:val="15"/>
        </w:rPr>
      </w:pPr>
      <w:r>
        <w:br w:type="column"/>
      </w:r>
      <w:r>
        <w:rPr>
          <w:spacing w:val="-6"/>
          <w:sz w:val="15"/>
        </w:rPr>
        <w:t>The</w:t>
      </w:r>
      <w:r>
        <w:rPr>
          <w:spacing w:val="-3"/>
          <w:sz w:val="15"/>
        </w:rPr>
        <w:t xml:space="preserve"> </w:t>
      </w:r>
      <w:r>
        <w:rPr>
          <w:spacing w:val="-6"/>
          <w:sz w:val="15"/>
        </w:rPr>
        <w:t>number</w:t>
      </w:r>
      <w:r>
        <w:rPr>
          <w:spacing w:val="-3"/>
          <w:sz w:val="15"/>
        </w:rPr>
        <w:t xml:space="preserve"> </w:t>
      </w:r>
      <w:r>
        <w:rPr>
          <w:spacing w:val="-6"/>
          <w:sz w:val="15"/>
        </w:rPr>
        <w:t>and</w:t>
      </w:r>
      <w:r>
        <w:rPr>
          <w:spacing w:val="-3"/>
          <w:sz w:val="15"/>
        </w:rPr>
        <w:t xml:space="preserve"> </w:t>
      </w:r>
      <w:r>
        <w:rPr>
          <w:spacing w:val="-6"/>
          <w:sz w:val="15"/>
        </w:rPr>
        <w:t>types</w:t>
      </w:r>
      <w:r>
        <w:rPr>
          <w:spacing w:val="-3"/>
          <w:sz w:val="15"/>
        </w:rPr>
        <w:t xml:space="preserve"> </w:t>
      </w:r>
      <w:r>
        <w:rPr>
          <w:spacing w:val="-6"/>
          <w:sz w:val="15"/>
        </w:rPr>
        <w:t>of</w:t>
      </w:r>
    </w:p>
    <w:p w14:paraId="5ACD1F34" w14:textId="77777777" w:rsidR="00AC6F3C" w:rsidRDefault="00570E88">
      <w:pPr>
        <w:spacing w:before="7"/>
        <w:ind w:left="974"/>
        <w:rPr>
          <w:sz w:val="15"/>
        </w:rPr>
      </w:pPr>
      <w:r>
        <w:rPr>
          <w:spacing w:val="-2"/>
          <w:sz w:val="15"/>
        </w:rPr>
        <w:t>declaration</w:t>
      </w:r>
    </w:p>
    <w:p w14:paraId="0A32F632" w14:textId="77777777" w:rsidR="00AC6F3C" w:rsidRDefault="00570E88">
      <w:pPr>
        <w:pStyle w:val="ListParagraph"/>
        <w:numPr>
          <w:ilvl w:val="1"/>
          <w:numId w:val="84"/>
        </w:numPr>
        <w:tabs>
          <w:tab w:val="left" w:pos="141"/>
        </w:tabs>
        <w:spacing w:before="50"/>
        <w:ind w:left="141" w:right="211" w:hanging="141"/>
        <w:jc w:val="right"/>
        <w:rPr>
          <w:sz w:val="15"/>
        </w:rPr>
      </w:pPr>
      <w:r>
        <w:rPr>
          <w:spacing w:val="-6"/>
          <w:sz w:val="15"/>
        </w:rPr>
        <w:t>The</w:t>
      </w:r>
      <w:r>
        <w:rPr>
          <w:spacing w:val="3"/>
          <w:sz w:val="15"/>
        </w:rPr>
        <w:t xml:space="preserve"> </w:t>
      </w:r>
      <w:r>
        <w:rPr>
          <w:spacing w:val="-6"/>
          <w:sz w:val="15"/>
        </w:rPr>
        <w:t>enforcement</w:t>
      </w:r>
      <w:r>
        <w:rPr>
          <w:spacing w:val="3"/>
          <w:sz w:val="15"/>
        </w:rPr>
        <w:t xml:space="preserve"> </w:t>
      </w:r>
      <w:r>
        <w:rPr>
          <w:spacing w:val="-6"/>
          <w:sz w:val="15"/>
        </w:rPr>
        <w:t>practices</w:t>
      </w:r>
      <w:r>
        <w:rPr>
          <w:spacing w:val="3"/>
          <w:sz w:val="15"/>
        </w:rPr>
        <w:t xml:space="preserve"> </w:t>
      </w:r>
      <w:r>
        <w:rPr>
          <w:spacing w:val="-6"/>
          <w:sz w:val="15"/>
        </w:rPr>
        <w:t>that</w:t>
      </w:r>
    </w:p>
    <w:p w14:paraId="601B89A5" w14:textId="77777777" w:rsidR="00AC6F3C" w:rsidRDefault="00570E88">
      <w:pPr>
        <w:spacing w:before="8"/>
        <w:ind w:right="153"/>
        <w:jc w:val="right"/>
        <w:rPr>
          <w:sz w:val="15"/>
        </w:rPr>
      </w:pPr>
      <w:r>
        <w:rPr>
          <w:spacing w:val="-6"/>
          <w:sz w:val="15"/>
        </w:rPr>
        <w:t>have</w:t>
      </w:r>
      <w:r>
        <w:rPr>
          <w:spacing w:val="-5"/>
          <w:sz w:val="15"/>
        </w:rPr>
        <w:t xml:space="preserve"> </w:t>
      </w:r>
      <w:r>
        <w:rPr>
          <w:spacing w:val="-6"/>
          <w:sz w:val="15"/>
        </w:rPr>
        <w:t>developed</w:t>
      </w:r>
      <w:r>
        <w:rPr>
          <w:spacing w:val="-4"/>
          <w:sz w:val="15"/>
        </w:rPr>
        <w:t xml:space="preserve"> </w:t>
      </w:r>
      <w:r>
        <w:rPr>
          <w:spacing w:val="-6"/>
          <w:sz w:val="15"/>
        </w:rPr>
        <w:t>out</w:t>
      </w:r>
      <w:r>
        <w:rPr>
          <w:spacing w:val="-4"/>
          <w:sz w:val="15"/>
        </w:rPr>
        <w:t xml:space="preserve"> </w:t>
      </w:r>
      <w:r>
        <w:rPr>
          <w:spacing w:val="-6"/>
          <w:sz w:val="15"/>
        </w:rPr>
        <w:t>of</w:t>
      </w:r>
      <w:r>
        <w:rPr>
          <w:spacing w:val="-4"/>
          <w:sz w:val="15"/>
        </w:rPr>
        <w:t xml:space="preserve"> </w:t>
      </w:r>
      <w:r>
        <w:rPr>
          <w:spacing w:val="-6"/>
          <w:sz w:val="15"/>
        </w:rPr>
        <w:t>the</w:t>
      </w:r>
      <w:r>
        <w:rPr>
          <w:spacing w:val="-4"/>
          <w:sz w:val="15"/>
        </w:rPr>
        <w:t xml:space="preserve"> </w:t>
      </w:r>
      <w:proofErr w:type="gramStart"/>
      <w:r>
        <w:rPr>
          <w:spacing w:val="-6"/>
          <w:sz w:val="15"/>
        </w:rPr>
        <w:t>policy</w:t>
      </w:r>
      <w:proofErr w:type="gramEnd"/>
    </w:p>
    <w:p w14:paraId="1B7C6299" w14:textId="77777777" w:rsidR="00AC6F3C" w:rsidRDefault="00570E88">
      <w:pPr>
        <w:pStyle w:val="ListParagraph"/>
        <w:numPr>
          <w:ilvl w:val="1"/>
          <w:numId w:val="84"/>
        </w:numPr>
        <w:tabs>
          <w:tab w:val="left" w:pos="141"/>
        </w:tabs>
        <w:spacing w:before="50"/>
        <w:ind w:left="141" w:right="177" w:hanging="141"/>
        <w:jc w:val="right"/>
        <w:rPr>
          <w:sz w:val="15"/>
        </w:rPr>
      </w:pPr>
      <w:r>
        <w:rPr>
          <w:spacing w:val="-6"/>
          <w:sz w:val="15"/>
        </w:rPr>
        <w:t>The</w:t>
      </w:r>
      <w:r>
        <w:rPr>
          <w:spacing w:val="-1"/>
          <w:sz w:val="15"/>
        </w:rPr>
        <w:t xml:space="preserve"> </w:t>
      </w:r>
      <w:r>
        <w:rPr>
          <w:spacing w:val="-6"/>
          <w:sz w:val="15"/>
        </w:rPr>
        <w:t>cost</w:t>
      </w:r>
      <w:r>
        <w:rPr>
          <w:sz w:val="15"/>
        </w:rPr>
        <w:t xml:space="preserve"> </w:t>
      </w:r>
      <w:r>
        <w:rPr>
          <w:spacing w:val="-6"/>
          <w:sz w:val="15"/>
        </w:rPr>
        <w:t>of</w:t>
      </w:r>
      <w:r>
        <w:rPr>
          <w:sz w:val="15"/>
        </w:rPr>
        <w:t xml:space="preserve"> </w:t>
      </w:r>
      <w:r>
        <w:rPr>
          <w:spacing w:val="-6"/>
          <w:sz w:val="15"/>
        </w:rPr>
        <w:t>investigations</w:t>
      </w:r>
      <w:r>
        <w:rPr>
          <w:sz w:val="15"/>
        </w:rPr>
        <w:t xml:space="preserve"> </w:t>
      </w:r>
      <w:r>
        <w:rPr>
          <w:spacing w:val="-6"/>
          <w:sz w:val="15"/>
        </w:rPr>
        <w:t>under</w:t>
      </w:r>
    </w:p>
    <w:p w14:paraId="0DDF5164" w14:textId="77777777" w:rsidR="00AC6F3C" w:rsidRDefault="00570E88">
      <w:pPr>
        <w:spacing w:before="7"/>
        <w:ind w:left="974"/>
        <w:jc w:val="both"/>
        <w:rPr>
          <w:sz w:val="15"/>
        </w:rPr>
      </w:pPr>
      <w:r>
        <w:rPr>
          <w:spacing w:val="-5"/>
          <w:sz w:val="15"/>
        </w:rPr>
        <w:t>the</w:t>
      </w:r>
      <w:r>
        <w:rPr>
          <w:spacing w:val="-6"/>
          <w:sz w:val="15"/>
        </w:rPr>
        <w:t xml:space="preserve"> </w:t>
      </w:r>
      <w:r>
        <w:rPr>
          <w:spacing w:val="-2"/>
          <w:sz w:val="15"/>
        </w:rPr>
        <w:t>policy</w:t>
      </w:r>
    </w:p>
    <w:p w14:paraId="4B421995" w14:textId="77777777" w:rsidR="00AC6F3C" w:rsidRDefault="00570E88">
      <w:pPr>
        <w:pStyle w:val="ListParagraph"/>
        <w:numPr>
          <w:ilvl w:val="1"/>
          <w:numId w:val="84"/>
        </w:numPr>
        <w:tabs>
          <w:tab w:val="left" w:pos="974"/>
        </w:tabs>
        <w:spacing w:before="50" w:line="249" w:lineRule="auto"/>
        <w:ind w:right="411"/>
        <w:jc w:val="both"/>
        <w:rPr>
          <w:sz w:val="15"/>
        </w:rPr>
      </w:pPr>
      <w:r>
        <w:rPr>
          <w:spacing w:val="-6"/>
          <w:sz w:val="15"/>
        </w:rPr>
        <w:t>The</w:t>
      </w:r>
      <w:r>
        <w:rPr>
          <w:spacing w:val="-5"/>
          <w:sz w:val="15"/>
        </w:rPr>
        <w:t xml:space="preserve"> </w:t>
      </w:r>
      <w:r>
        <w:rPr>
          <w:spacing w:val="-6"/>
          <w:sz w:val="15"/>
        </w:rPr>
        <w:t>intelligence</w:t>
      </w:r>
      <w:r>
        <w:rPr>
          <w:spacing w:val="-4"/>
          <w:sz w:val="15"/>
        </w:rPr>
        <w:t xml:space="preserve"> </w:t>
      </w:r>
      <w:r>
        <w:rPr>
          <w:spacing w:val="-6"/>
          <w:sz w:val="15"/>
        </w:rPr>
        <w:t>value</w:t>
      </w:r>
      <w:r>
        <w:rPr>
          <w:spacing w:val="-5"/>
          <w:sz w:val="15"/>
        </w:rPr>
        <w:t xml:space="preserve"> </w:t>
      </w:r>
      <w:r>
        <w:rPr>
          <w:spacing w:val="-6"/>
          <w:sz w:val="15"/>
        </w:rPr>
        <w:t>of</w:t>
      </w:r>
      <w:r>
        <w:rPr>
          <w:spacing w:val="-4"/>
          <w:sz w:val="15"/>
        </w:rPr>
        <w:t xml:space="preserve"> </w:t>
      </w:r>
      <w:r>
        <w:rPr>
          <w:spacing w:val="-6"/>
          <w:sz w:val="15"/>
        </w:rPr>
        <w:t>the</w:t>
      </w:r>
      <w:r>
        <w:rPr>
          <w:sz w:val="15"/>
        </w:rPr>
        <w:t xml:space="preserve"> </w:t>
      </w:r>
      <w:r>
        <w:rPr>
          <w:spacing w:val="-2"/>
          <w:sz w:val="15"/>
        </w:rPr>
        <w:t>declarations</w:t>
      </w:r>
    </w:p>
    <w:p w14:paraId="41DC4212" w14:textId="77777777" w:rsidR="00AC6F3C" w:rsidRDefault="00570E88">
      <w:pPr>
        <w:pStyle w:val="ListParagraph"/>
        <w:numPr>
          <w:ilvl w:val="1"/>
          <w:numId w:val="84"/>
        </w:numPr>
        <w:tabs>
          <w:tab w:val="left" w:pos="974"/>
        </w:tabs>
        <w:spacing w:before="44" w:line="249" w:lineRule="auto"/>
        <w:ind w:right="327"/>
        <w:jc w:val="both"/>
        <w:rPr>
          <w:sz w:val="15"/>
        </w:rPr>
      </w:pPr>
      <w:r>
        <w:rPr>
          <w:spacing w:val="-6"/>
          <w:sz w:val="15"/>
        </w:rPr>
        <w:t>The</w:t>
      </w:r>
      <w:r>
        <w:rPr>
          <w:sz w:val="15"/>
        </w:rPr>
        <w:t xml:space="preserve"> </w:t>
      </w:r>
      <w:r>
        <w:rPr>
          <w:spacing w:val="-6"/>
          <w:sz w:val="15"/>
        </w:rPr>
        <w:t>philosophy</w:t>
      </w:r>
      <w:r>
        <w:rPr>
          <w:sz w:val="15"/>
        </w:rPr>
        <w:t xml:space="preserve"> </w:t>
      </w:r>
      <w:r>
        <w:rPr>
          <w:spacing w:val="-6"/>
          <w:sz w:val="15"/>
        </w:rPr>
        <w:t>underpinning</w:t>
      </w:r>
      <w:r>
        <w:rPr>
          <w:sz w:val="15"/>
        </w:rPr>
        <w:t xml:space="preserve"> </w:t>
      </w:r>
      <w:r>
        <w:rPr>
          <w:spacing w:val="-6"/>
          <w:sz w:val="15"/>
        </w:rPr>
        <w:t>the</w:t>
      </w:r>
      <w:r>
        <w:rPr>
          <w:spacing w:val="-5"/>
          <w:sz w:val="15"/>
        </w:rPr>
        <w:t xml:space="preserve"> </w:t>
      </w:r>
      <w:r>
        <w:rPr>
          <w:spacing w:val="-6"/>
          <w:sz w:val="15"/>
        </w:rPr>
        <w:t>disclosure</w:t>
      </w:r>
      <w:r>
        <w:rPr>
          <w:spacing w:val="-4"/>
          <w:sz w:val="15"/>
        </w:rPr>
        <w:t xml:space="preserve"> </w:t>
      </w:r>
      <w:r>
        <w:rPr>
          <w:spacing w:val="-6"/>
          <w:sz w:val="15"/>
        </w:rPr>
        <w:t>of</w:t>
      </w:r>
      <w:r>
        <w:rPr>
          <w:spacing w:val="-4"/>
          <w:sz w:val="15"/>
        </w:rPr>
        <w:t xml:space="preserve"> </w:t>
      </w:r>
      <w:r>
        <w:rPr>
          <w:spacing w:val="-6"/>
          <w:sz w:val="15"/>
        </w:rPr>
        <w:t>taxation</w:t>
      </w:r>
      <w:r>
        <w:rPr>
          <w:spacing w:val="-5"/>
          <w:sz w:val="15"/>
        </w:rPr>
        <w:t xml:space="preserve"> </w:t>
      </w:r>
      <w:r>
        <w:rPr>
          <w:spacing w:val="-6"/>
          <w:sz w:val="15"/>
        </w:rPr>
        <w:t>and</w:t>
      </w:r>
      <w:r>
        <w:rPr>
          <w:sz w:val="15"/>
        </w:rPr>
        <w:t xml:space="preserve"> superannuation</w:t>
      </w:r>
      <w:r>
        <w:rPr>
          <w:spacing w:val="-11"/>
          <w:sz w:val="15"/>
        </w:rPr>
        <w:t xml:space="preserve"> </w:t>
      </w:r>
      <w:proofErr w:type="gramStart"/>
      <w:r>
        <w:rPr>
          <w:sz w:val="15"/>
        </w:rPr>
        <w:t>breaches</w:t>
      </w:r>
      <w:proofErr w:type="gramEnd"/>
    </w:p>
    <w:p w14:paraId="39DF7751" w14:textId="77777777" w:rsidR="00AC6F3C" w:rsidRDefault="00570E88">
      <w:pPr>
        <w:pStyle w:val="ListParagraph"/>
        <w:numPr>
          <w:ilvl w:val="1"/>
          <w:numId w:val="84"/>
        </w:numPr>
        <w:tabs>
          <w:tab w:val="left" w:pos="974"/>
        </w:tabs>
        <w:spacing w:before="44" w:line="249" w:lineRule="auto"/>
        <w:ind w:right="54"/>
        <w:rPr>
          <w:sz w:val="15"/>
        </w:rPr>
      </w:pPr>
      <w:r>
        <w:rPr>
          <w:spacing w:val="-4"/>
          <w:sz w:val="15"/>
        </w:rPr>
        <w:t>The</w:t>
      </w:r>
      <w:r>
        <w:rPr>
          <w:spacing w:val="-10"/>
          <w:sz w:val="15"/>
        </w:rPr>
        <w:t xml:space="preserve"> </w:t>
      </w:r>
      <w:r>
        <w:rPr>
          <w:spacing w:val="-4"/>
          <w:sz w:val="15"/>
        </w:rPr>
        <w:t>efficacy</w:t>
      </w:r>
      <w:r>
        <w:rPr>
          <w:spacing w:val="-8"/>
          <w:sz w:val="15"/>
        </w:rPr>
        <w:t xml:space="preserve"> </w:t>
      </w:r>
      <w:r>
        <w:rPr>
          <w:spacing w:val="-4"/>
          <w:sz w:val="15"/>
        </w:rPr>
        <w:t>of</w:t>
      </w:r>
      <w:r>
        <w:rPr>
          <w:spacing w:val="-8"/>
          <w:sz w:val="15"/>
        </w:rPr>
        <w:t xml:space="preserve"> </w:t>
      </w:r>
      <w:r>
        <w:rPr>
          <w:spacing w:val="-4"/>
          <w:sz w:val="15"/>
        </w:rPr>
        <w:t>the</w:t>
      </w:r>
      <w:r>
        <w:rPr>
          <w:spacing w:val="-8"/>
          <w:sz w:val="15"/>
        </w:rPr>
        <w:t xml:space="preserve"> </w:t>
      </w:r>
      <w:r>
        <w:rPr>
          <w:spacing w:val="-4"/>
          <w:sz w:val="15"/>
        </w:rPr>
        <w:t>policy</w:t>
      </w:r>
      <w:r>
        <w:rPr>
          <w:spacing w:val="-8"/>
          <w:sz w:val="15"/>
        </w:rPr>
        <w:t xml:space="preserve"> </w:t>
      </w:r>
      <w:r>
        <w:rPr>
          <w:spacing w:val="-4"/>
          <w:sz w:val="15"/>
        </w:rPr>
        <w:t>vis-à-vis</w:t>
      </w:r>
      <w:r>
        <w:rPr>
          <w:sz w:val="15"/>
        </w:rPr>
        <w:t xml:space="preserve"> </w:t>
      </w:r>
      <w:r>
        <w:rPr>
          <w:spacing w:val="-4"/>
          <w:sz w:val="15"/>
        </w:rPr>
        <w:t>the</w:t>
      </w:r>
      <w:r>
        <w:rPr>
          <w:spacing w:val="-6"/>
          <w:sz w:val="15"/>
        </w:rPr>
        <w:t xml:space="preserve"> </w:t>
      </w:r>
      <w:r>
        <w:rPr>
          <w:spacing w:val="-4"/>
          <w:sz w:val="15"/>
        </w:rPr>
        <w:t>ATO</w:t>
      </w:r>
      <w:r>
        <w:rPr>
          <w:spacing w:val="-6"/>
          <w:sz w:val="15"/>
        </w:rPr>
        <w:t xml:space="preserve"> </w:t>
      </w:r>
      <w:r>
        <w:rPr>
          <w:spacing w:val="-4"/>
          <w:sz w:val="15"/>
        </w:rPr>
        <w:t>enforcement</w:t>
      </w:r>
      <w:r>
        <w:rPr>
          <w:spacing w:val="-6"/>
          <w:sz w:val="15"/>
        </w:rPr>
        <w:t xml:space="preserve"> </w:t>
      </w:r>
      <w:r>
        <w:rPr>
          <w:spacing w:val="-4"/>
          <w:sz w:val="15"/>
        </w:rPr>
        <w:t>operations</w:t>
      </w:r>
      <w:r>
        <w:rPr>
          <w:sz w:val="15"/>
        </w:rPr>
        <w:t xml:space="preserve"> and s68 LPA 2007</w:t>
      </w:r>
    </w:p>
    <w:p w14:paraId="4CF142E7" w14:textId="77777777" w:rsidR="00AC6F3C" w:rsidRDefault="00570E88">
      <w:pPr>
        <w:pStyle w:val="ListParagraph"/>
        <w:numPr>
          <w:ilvl w:val="1"/>
          <w:numId w:val="84"/>
        </w:numPr>
        <w:tabs>
          <w:tab w:val="left" w:pos="974"/>
        </w:tabs>
        <w:spacing w:before="44" w:line="249" w:lineRule="auto"/>
        <w:ind w:right="38"/>
        <w:rPr>
          <w:sz w:val="15"/>
        </w:rPr>
      </w:pPr>
      <w:r>
        <w:rPr>
          <w:spacing w:val="-4"/>
          <w:sz w:val="15"/>
        </w:rPr>
        <w:t>Whether</w:t>
      </w:r>
      <w:r>
        <w:rPr>
          <w:spacing w:val="-5"/>
          <w:sz w:val="15"/>
        </w:rPr>
        <w:t xml:space="preserve"> </w:t>
      </w:r>
      <w:r>
        <w:rPr>
          <w:spacing w:val="-4"/>
          <w:sz w:val="15"/>
        </w:rPr>
        <w:t>the</w:t>
      </w:r>
      <w:r>
        <w:rPr>
          <w:spacing w:val="-5"/>
          <w:sz w:val="15"/>
        </w:rPr>
        <w:t xml:space="preserve"> </w:t>
      </w:r>
      <w:r>
        <w:rPr>
          <w:spacing w:val="-4"/>
          <w:sz w:val="15"/>
        </w:rPr>
        <w:t>Society</w:t>
      </w:r>
      <w:r>
        <w:rPr>
          <w:spacing w:val="-5"/>
          <w:sz w:val="15"/>
        </w:rPr>
        <w:t xml:space="preserve"> </w:t>
      </w:r>
      <w:r>
        <w:rPr>
          <w:spacing w:val="-4"/>
          <w:sz w:val="15"/>
        </w:rPr>
        <w:t>should</w:t>
      </w:r>
      <w:r>
        <w:rPr>
          <w:spacing w:val="-5"/>
          <w:sz w:val="15"/>
        </w:rPr>
        <w:t xml:space="preserve"> </w:t>
      </w:r>
      <w:r>
        <w:rPr>
          <w:spacing w:val="-4"/>
          <w:sz w:val="15"/>
        </w:rPr>
        <w:t>seek</w:t>
      </w:r>
      <w:r>
        <w:rPr>
          <w:sz w:val="15"/>
        </w:rPr>
        <w:t xml:space="preserve"> incorporation</w:t>
      </w:r>
      <w:r>
        <w:rPr>
          <w:spacing w:val="-5"/>
          <w:sz w:val="15"/>
        </w:rPr>
        <w:t xml:space="preserve"> </w:t>
      </w:r>
      <w:r>
        <w:rPr>
          <w:sz w:val="15"/>
        </w:rPr>
        <w:t>of</w:t>
      </w:r>
      <w:r>
        <w:rPr>
          <w:spacing w:val="-5"/>
          <w:sz w:val="15"/>
        </w:rPr>
        <w:t xml:space="preserve"> </w:t>
      </w:r>
      <w:r>
        <w:rPr>
          <w:sz w:val="15"/>
        </w:rPr>
        <w:t>the</w:t>
      </w:r>
      <w:r>
        <w:rPr>
          <w:spacing w:val="-5"/>
          <w:sz w:val="15"/>
        </w:rPr>
        <w:t xml:space="preserve"> </w:t>
      </w:r>
      <w:r>
        <w:rPr>
          <w:sz w:val="15"/>
        </w:rPr>
        <w:t>policy</w:t>
      </w:r>
      <w:r>
        <w:rPr>
          <w:spacing w:val="-5"/>
          <w:sz w:val="15"/>
        </w:rPr>
        <w:t xml:space="preserve"> </w:t>
      </w:r>
      <w:r>
        <w:rPr>
          <w:sz w:val="15"/>
        </w:rPr>
        <w:t>as</w:t>
      </w:r>
      <w:r>
        <w:rPr>
          <w:spacing w:val="-5"/>
          <w:sz w:val="15"/>
        </w:rPr>
        <w:t xml:space="preserve"> </w:t>
      </w:r>
      <w:r>
        <w:rPr>
          <w:sz w:val="15"/>
        </w:rPr>
        <w:t xml:space="preserve">a </w:t>
      </w:r>
      <w:r>
        <w:rPr>
          <w:spacing w:val="-6"/>
          <w:sz w:val="15"/>
        </w:rPr>
        <w:t>suitability issue at ss9 and 46 LPA</w:t>
      </w:r>
    </w:p>
    <w:p w14:paraId="5EA08802" w14:textId="77777777" w:rsidR="00AC6F3C" w:rsidRDefault="00570E88">
      <w:pPr>
        <w:pStyle w:val="ListParagraph"/>
        <w:numPr>
          <w:ilvl w:val="1"/>
          <w:numId w:val="84"/>
        </w:numPr>
        <w:tabs>
          <w:tab w:val="left" w:pos="974"/>
        </w:tabs>
        <w:spacing w:before="45"/>
        <w:ind w:hanging="141"/>
        <w:rPr>
          <w:sz w:val="15"/>
        </w:rPr>
      </w:pPr>
      <w:r>
        <w:rPr>
          <w:spacing w:val="-7"/>
          <w:sz w:val="15"/>
        </w:rPr>
        <w:t>Funding</w:t>
      </w:r>
      <w:r>
        <w:rPr>
          <w:spacing w:val="-1"/>
          <w:sz w:val="15"/>
        </w:rPr>
        <w:t xml:space="preserve"> </w:t>
      </w:r>
      <w:r>
        <w:rPr>
          <w:spacing w:val="-2"/>
          <w:sz w:val="15"/>
        </w:rPr>
        <w:t>arrangements</w:t>
      </w:r>
    </w:p>
    <w:p w14:paraId="4F8EAABD" w14:textId="77777777" w:rsidR="00AC6F3C" w:rsidRDefault="00570E88">
      <w:pPr>
        <w:spacing w:line="154" w:lineRule="exact"/>
        <w:ind w:left="1386"/>
        <w:rPr>
          <w:sz w:val="15"/>
        </w:rPr>
      </w:pPr>
      <w:r>
        <w:br w:type="column"/>
      </w:r>
      <w:r>
        <w:rPr>
          <w:spacing w:val="-2"/>
          <w:sz w:val="15"/>
        </w:rPr>
        <w:lastRenderedPageBreak/>
        <w:t>with</w:t>
      </w:r>
      <w:r>
        <w:rPr>
          <w:spacing w:val="-9"/>
          <w:sz w:val="15"/>
        </w:rPr>
        <w:t xml:space="preserve"> </w:t>
      </w:r>
      <w:r>
        <w:rPr>
          <w:spacing w:val="-2"/>
          <w:sz w:val="15"/>
        </w:rPr>
        <w:t>a</w:t>
      </w:r>
      <w:r>
        <w:rPr>
          <w:spacing w:val="-8"/>
          <w:sz w:val="15"/>
        </w:rPr>
        <w:t xml:space="preserve"> </w:t>
      </w:r>
      <w:r>
        <w:rPr>
          <w:spacing w:val="-2"/>
          <w:sz w:val="15"/>
        </w:rPr>
        <w:t>critical</w:t>
      </w:r>
      <w:r>
        <w:rPr>
          <w:spacing w:val="-9"/>
          <w:sz w:val="15"/>
        </w:rPr>
        <w:t xml:space="preserve"> </w:t>
      </w:r>
      <w:r>
        <w:rPr>
          <w:spacing w:val="-2"/>
          <w:sz w:val="15"/>
        </w:rPr>
        <w:t>matter</w:t>
      </w:r>
      <w:r>
        <w:rPr>
          <w:spacing w:val="-8"/>
          <w:sz w:val="15"/>
        </w:rPr>
        <w:t xml:space="preserve"> </w:t>
      </w:r>
      <w:r>
        <w:rPr>
          <w:spacing w:val="-2"/>
          <w:sz w:val="15"/>
        </w:rPr>
        <w:t>that</w:t>
      </w:r>
      <w:r>
        <w:rPr>
          <w:spacing w:val="-8"/>
          <w:sz w:val="15"/>
        </w:rPr>
        <w:t xml:space="preserve"> </w:t>
      </w:r>
      <w:r>
        <w:rPr>
          <w:spacing w:val="-2"/>
          <w:sz w:val="15"/>
        </w:rPr>
        <w:t>is</w:t>
      </w:r>
      <w:r>
        <w:rPr>
          <w:spacing w:val="-9"/>
          <w:sz w:val="15"/>
        </w:rPr>
        <w:t xml:space="preserve"> </w:t>
      </w:r>
      <w:r>
        <w:rPr>
          <w:spacing w:val="-2"/>
          <w:sz w:val="15"/>
        </w:rPr>
        <w:t>to</w:t>
      </w:r>
      <w:r>
        <w:rPr>
          <w:spacing w:val="-8"/>
          <w:sz w:val="15"/>
        </w:rPr>
        <w:t xml:space="preserve"> </w:t>
      </w:r>
      <w:r>
        <w:rPr>
          <w:spacing w:val="-2"/>
          <w:sz w:val="15"/>
        </w:rPr>
        <w:t>set</w:t>
      </w:r>
      <w:r>
        <w:rPr>
          <w:spacing w:val="-9"/>
          <w:sz w:val="15"/>
        </w:rPr>
        <w:t xml:space="preserve"> </w:t>
      </w:r>
      <w:r>
        <w:rPr>
          <w:spacing w:val="-5"/>
          <w:sz w:val="15"/>
        </w:rPr>
        <w:t>the</w:t>
      </w:r>
    </w:p>
    <w:p w14:paraId="2F38F1B9" w14:textId="77777777" w:rsidR="00AC6F3C" w:rsidRDefault="00570E88">
      <w:pPr>
        <w:spacing w:before="7" w:line="249" w:lineRule="auto"/>
        <w:ind w:left="1386" w:right="329"/>
        <w:rPr>
          <w:sz w:val="15"/>
        </w:rPr>
      </w:pPr>
      <w:r>
        <w:rPr>
          <w:spacing w:val="-4"/>
          <w:sz w:val="15"/>
        </w:rPr>
        <w:t>underlying</w:t>
      </w:r>
      <w:r>
        <w:rPr>
          <w:spacing w:val="-5"/>
          <w:sz w:val="15"/>
        </w:rPr>
        <w:t xml:space="preserve"> </w:t>
      </w:r>
      <w:r>
        <w:rPr>
          <w:spacing w:val="-4"/>
          <w:sz w:val="15"/>
        </w:rPr>
        <w:t>foundation</w:t>
      </w:r>
      <w:r>
        <w:rPr>
          <w:spacing w:val="-5"/>
          <w:sz w:val="15"/>
        </w:rPr>
        <w:t xml:space="preserve"> </w:t>
      </w:r>
      <w:r>
        <w:rPr>
          <w:spacing w:val="-4"/>
          <w:sz w:val="15"/>
        </w:rPr>
        <w:t>of</w:t>
      </w:r>
      <w:r>
        <w:rPr>
          <w:spacing w:val="-5"/>
          <w:sz w:val="15"/>
        </w:rPr>
        <w:t xml:space="preserve"> </w:t>
      </w:r>
      <w:r>
        <w:rPr>
          <w:spacing w:val="-4"/>
          <w:sz w:val="15"/>
        </w:rPr>
        <w:t>the</w:t>
      </w:r>
      <w:r>
        <w:rPr>
          <w:spacing w:val="-5"/>
          <w:sz w:val="15"/>
        </w:rPr>
        <w:t xml:space="preserve"> </w:t>
      </w:r>
      <w:r>
        <w:rPr>
          <w:spacing w:val="-4"/>
          <w:sz w:val="15"/>
        </w:rPr>
        <w:t>policy</w:t>
      </w:r>
      <w:r>
        <w:rPr>
          <w:spacing w:val="-5"/>
          <w:sz w:val="15"/>
        </w:rPr>
        <w:t xml:space="preserve"> </w:t>
      </w:r>
      <w:r>
        <w:rPr>
          <w:spacing w:val="-4"/>
          <w:sz w:val="15"/>
        </w:rPr>
        <w:t>heard</w:t>
      </w:r>
      <w:r>
        <w:rPr>
          <w:sz w:val="15"/>
        </w:rPr>
        <w:t xml:space="preserve"> </w:t>
      </w:r>
      <w:r>
        <w:rPr>
          <w:sz w:val="15"/>
        </w:rPr>
        <w:t>and</w:t>
      </w:r>
      <w:r>
        <w:rPr>
          <w:spacing w:val="-3"/>
          <w:sz w:val="15"/>
        </w:rPr>
        <w:t xml:space="preserve"> </w:t>
      </w:r>
      <w:r>
        <w:rPr>
          <w:sz w:val="15"/>
        </w:rPr>
        <w:t>decided</w:t>
      </w:r>
      <w:r>
        <w:rPr>
          <w:spacing w:val="-3"/>
          <w:sz w:val="15"/>
        </w:rPr>
        <w:t xml:space="preserve"> </w:t>
      </w:r>
      <w:r>
        <w:rPr>
          <w:sz w:val="15"/>
        </w:rPr>
        <w:t>in</w:t>
      </w:r>
      <w:r>
        <w:rPr>
          <w:spacing w:val="-3"/>
          <w:sz w:val="15"/>
        </w:rPr>
        <w:t xml:space="preserve"> </w:t>
      </w:r>
      <w:r>
        <w:rPr>
          <w:sz w:val="15"/>
        </w:rPr>
        <w:t>June</w:t>
      </w:r>
      <w:r>
        <w:rPr>
          <w:spacing w:val="-3"/>
          <w:sz w:val="15"/>
        </w:rPr>
        <w:t xml:space="preserve"> </w:t>
      </w:r>
      <w:r>
        <w:rPr>
          <w:sz w:val="15"/>
        </w:rPr>
        <w:t>2023.</w:t>
      </w:r>
      <w:r>
        <w:rPr>
          <w:spacing w:val="-3"/>
          <w:sz w:val="15"/>
        </w:rPr>
        <w:t xml:space="preserve"> </w:t>
      </w:r>
      <w:r>
        <w:rPr>
          <w:sz w:val="15"/>
        </w:rPr>
        <w:t>This</w:t>
      </w:r>
      <w:r>
        <w:rPr>
          <w:spacing w:val="-3"/>
          <w:sz w:val="15"/>
        </w:rPr>
        <w:t xml:space="preserve"> </w:t>
      </w:r>
      <w:r>
        <w:rPr>
          <w:sz w:val="15"/>
        </w:rPr>
        <w:t>matter has</w:t>
      </w:r>
      <w:r>
        <w:rPr>
          <w:spacing w:val="-2"/>
          <w:sz w:val="15"/>
        </w:rPr>
        <w:t xml:space="preserve"> </w:t>
      </w:r>
      <w:proofErr w:type="gramStart"/>
      <w:r>
        <w:rPr>
          <w:sz w:val="15"/>
        </w:rPr>
        <w:t>been</w:t>
      </w:r>
      <w:r>
        <w:rPr>
          <w:spacing w:val="-2"/>
          <w:sz w:val="15"/>
        </w:rPr>
        <w:t xml:space="preserve"> </w:t>
      </w:r>
      <w:r>
        <w:rPr>
          <w:sz w:val="15"/>
        </w:rPr>
        <w:t>rolled</w:t>
      </w:r>
      <w:proofErr w:type="gramEnd"/>
      <w:r>
        <w:rPr>
          <w:spacing w:val="-2"/>
          <w:sz w:val="15"/>
        </w:rPr>
        <w:t xml:space="preserve"> </w:t>
      </w:r>
      <w:r>
        <w:rPr>
          <w:sz w:val="15"/>
        </w:rPr>
        <w:t>onto</w:t>
      </w:r>
      <w:r>
        <w:rPr>
          <w:spacing w:val="-2"/>
          <w:sz w:val="15"/>
        </w:rPr>
        <w:t xml:space="preserve"> </w:t>
      </w:r>
      <w:r>
        <w:rPr>
          <w:sz w:val="15"/>
        </w:rPr>
        <w:t>the</w:t>
      </w:r>
      <w:r>
        <w:rPr>
          <w:spacing w:val="-2"/>
          <w:sz w:val="15"/>
        </w:rPr>
        <w:t xml:space="preserve"> </w:t>
      </w:r>
      <w:r>
        <w:rPr>
          <w:sz w:val="15"/>
        </w:rPr>
        <w:t>23/24</w:t>
      </w:r>
      <w:r>
        <w:rPr>
          <w:spacing w:val="-2"/>
          <w:sz w:val="15"/>
        </w:rPr>
        <w:t xml:space="preserve"> </w:t>
      </w:r>
      <w:r>
        <w:rPr>
          <w:sz w:val="15"/>
        </w:rPr>
        <w:t>plan.</w:t>
      </w:r>
    </w:p>
    <w:p w14:paraId="369E109D"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3" w:space="720" w:equalWidth="0">
            <w:col w:w="2839" w:space="40"/>
            <w:col w:w="3120" w:space="5750"/>
            <w:col w:w="4471"/>
          </w:cols>
        </w:sectPr>
      </w:pPr>
    </w:p>
    <w:p w14:paraId="68F018AC" w14:textId="77777777" w:rsidR="00AC6F3C" w:rsidRDefault="00AC6F3C">
      <w:pPr>
        <w:pStyle w:val="BodyText"/>
        <w:spacing w:before="5"/>
        <w:rPr>
          <w:sz w:val="4"/>
        </w:rPr>
      </w:pPr>
    </w:p>
    <w:p w14:paraId="5DEF5CD1" w14:textId="77777777" w:rsidR="00AC6F3C" w:rsidRDefault="00570E88">
      <w:pPr>
        <w:pStyle w:val="BodyText"/>
        <w:spacing w:line="20" w:lineRule="exact"/>
        <w:ind w:left="122"/>
        <w:rPr>
          <w:sz w:val="2"/>
        </w:rPr>
      </w:pPr>
      <w:r>
        <w:rPr>
          <w:noProof/>
          <w:sz w:val="2"/>
        </w:rPr>
        <mc:AlternateContent>
          <mc:Choice Requires="wpg">
            <w:drawing>
              <wp:inline distT="0" distB="0" distL="0" distR="0" wp14:anchorId="4E96E78F" wp14:editId="0E3E469C">
                <wp:extent cx="10152380" cy="3175"/>
                <wp:effectExtent l="9525" t="0" r="0" b="63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45" name="Graphic 45"/>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46" name="Graphic 46"/>
                        <wps:cNvSpPr/>
                        <wps:spPr>
                          <a:xfrm>
                            <a:off x="575999"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47" name="Graphic 47"/>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48" name="Graphic 48"/>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49" name="Graphic 49"/>
                        <wps:cNvSpPr/>
                        <wps:spPr>
                          <a:xfrm>
                            <a:off x="4256999"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50" name="Graphic 50"/>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51" name="Graphic 51"/>
                        <wps:cNvSpPr/>
                        <wps:spPr>
                          <a:xfrm>
                            <a:off x="5579998"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52" name="Graphic 52"/>
                        <wps:cNvSpPr/>
                        <wps:spPr>
                          <a:xfrm>
                            <a:off x="6722998"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53" name="Graphic 53"/>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54" name="Graphic 54"/>
                        <wps:cNvSpPr/>
                        <wps:spPr>
                          <a:xfrm>
                            <a:off x="7946999"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6B4D09" id="Group 44" o:spid="_x0000_s1026" style="width:799.4pt;height:.25pt;mso-position-horizontal-relative:char;mso-position-vertical-relative:lin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">
                <v:shape id="Graphic 45"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" path="m,l575995,e" filled="f" strokeweight=".25pt">
                  <v:path arrowok="t"/>
                </v:shape>
                <v:shape id="Graphic 46" o:spid="_x0000_s1028" style="position:absolute;left:5759;top:15;width:13863;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" path="m,l1386001,e" filled="f" strokeweight=".25pt">
                  <v:path arrowok="t"/>
                </v:shape>
                <v:shape id="Graphic 47"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" path="m,l1845005,e" filled="f" strokeweight=".25pt">
                  <v:path arrowok="t"/>
                </v:shape>
                <v:shape id="Graphic 48"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" path="m,l449999,e" filled="f" strokeweight=".25pt">
                  <v:path arrowok="t"/>
                </v:shape>
                <v:shape id="Graphic 49" o:spid="_x0000_s1031" style="position:absolute;left:42569;top:15;width:5493;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" path="m,l548995,e" filled="f" strokeweight=".25pt">
                  <v:path arrowok="t"/>
                </v:shape>
                <v:shape id="Graphic 50"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" path="m,l774001,e" filled="f" strokeweight=".25pt">
                  <v:path arrowok="t"/>
                </v:shape>
                <v:shape id="Graphic 51" o:spid="_x0000_s1033" style="position:absolute;left:55799;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" path="m,l1143000,e" filled="f" strokeweight=".25pt">
                  <v:path arrowok="t"/>
                </v:shape>
                <v:shape id="Graphic 52" o:spid="_x0000_s1034" style="position:absolute;left:67229;top:15;width:6122;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" path="m,l612000,e" filled="f" strokeweight=".25pt">
                  <v:path arrowok="t"/>
                </v:shape>
                <v:shape id="Graphic 53"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" path="m,l612000,e" filled="f" strokeweight=".25pt">
                  <v:path arrowok="t"/>
                </v:shape>
                <v:shape id="Graphic 54" o:spid="_x0000_s1036" style="position:absolute;left:79469;top:15;width:22054;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" path="m,l2204999,e" filled="f" strokeweight=".25pt">
                  <v:path arrowok="t"/>
                </v:shape>
                <w10:anchorlock/>
              </v:group>
            </w:pict>
          </mc:Fallback>
        </mc:AlternateContent>
      </w:r>
    </w:p>
    <w:p w14:paraId="42C8B211" w14:textId="77777777" w:rsidR="00AC6F3C" w:rsidRDefault="00AC6F3C">
      <w:pPr>
        <w:spacing w:line="20" w:lineRule="exact"/>
        <w:rPr>
          <w:sz w:val="2"/>
        </w:rPr>
        <w:sectPr w:rsidR="00AC6F3C">
          <w:type w:val="continuous"/>
          <w:pgSz w:w="16840" w:h="11910" w:orient="landscape"/>
          <w:pgMar w:top="1920" w:right="320" w:bottom="280" w:left="300" w:header="0" w:footer="336" w:gutter="0"/>
          <w:cols w:space="720"/>
        </w:sectPr>
      </w:pPr>
    </w:p>
    <w:p w14:paraId="2863FE7C" w14:textId="77777777" w:rsidR="00AC6F3C" w:rsidRDefault="00AC6F3C">
      <w:pPr>
        <w:pStyle w:val="BodyText"/>
        <w:spacing w:before="5"/>
        <w:rPr>
          <w:sz w:val="2"/>
        </w:rPr>
      </w:pPr>
    </w:p>
    <w:tbl>
      <w:tblPr>
        <w:tblW w:w="0" w:type="auto"/>
        <w:tblInd w:w="132" w:type="dxa"/>
        <w:tblLayout w:type="fixed"/>
        <w:tblCellMar>
          <w:left w:w="0" w:type="dxa"/>
          <w:right w:w="0" w:type="dxa"/>
        </w:tblCellMar>
        <w:tblLook w:val="01E0" w:firstRow="1" w:lastRow="1" w:firstColumn="1" w:lastColumn="1" w:noHBand="0" w:noVBand="0"/>
      </w:tblPr>
      <w:tblGrid>
        <w:gridCol w:w="841"/>
        <w:gridCol w:w="1511"/>
        <w:gridCol w:w="2624"/>
        <w:gridCol w:w="1724"/>
        <w:gridCol w:w="788"/>
        <w:gridCol w:w="1251"/>
        <w:gridCol w:w="1811"/>
        <w:gridCol w:w="859"/>
        <w:gridCol w:w="963"/>
        <w:gridCol w:w="3610"/>
      </w:tblGrid>
      <w:tr w:rsidR="00AC6F3C" w14:paraId="644F8342" w14:textId="77777777">
        <w:trPr>
          <w:trHeight w:val="184"/>
        </w:trPr>
        <w:tc>
          <w:tcPr>
            <w:tcW w:w="841" w:type="dxa"/>
          </w:tcPr>
          <w:p w14:paraId="1F269964" w14:textId="77777777" w:rsidR="00AC6F3C" w:rsidRDefault="00570E88">
            <w:pPr>
              <w:pStyle w:val="TableParagraph"/>
              <w:spacing w:line="165" w:lineRule="exact"/>
              <w:ind w:left="56"/>
              <w:rPr>
                <w:b/>
                <w:sz w:val="15"/>
              </w:rPr>
            </w:pPr>
            <w:r>
              <w:rPr>
                <w:b/>
                <w:spacing w:val="-2"/>
                <w:sz w:val="15"/>
              </w:rPr>
              <w:t>Strategic</w:t>
            </w:r>
          </w:p>
        </w:tc>
        <w:tc>
          <w:tcPr>
            <w:tcW w:w="1511" w:type="dxa"/>
          </w:tcPr>
          <w:p w14:paraId="26D7499A" w14:textId="77777777" w:rsidR="00AC6F3C" w:rsidRDefault="00AC6F3C">
            <w:pPr>
              <w:pStyle w:val="TableParagraph"/>
              <w:rPr>
                <w:rFonts w:ascii="Times New Roman"/>
                <w:sz w:val="12"/>
              </w:rPr>
            </w:pPr>
          </w:p>
        </w:tc>
        <w:tc>
          <w:tcPr>
            <w:tcW w:w="2624" w:type="dxa"/>
          </w:tcPr>
          <w:p w14:paraId="2C2F5C3C" w14:textId="77777777" w:rsidR="00AC6F3C" w:rsidRDefault="00AC6F3C">
            <w:pPr>
              <w:pStyle w:val="TableParagraph"/>
              <w:rPr>
                <w:rFonts w:ascii="Times New Roman"/>
                <w:sz w:val="12"/>
              </w:rPr>
            </w:pPr>
          </w:p>
        </w:tc>
        <w:tc>
          <w:tcPr>
            <w:tcW w:w="1724" w:type="dxa"/>
          </w:tcPr>
          <w:p w14:paraId="2FF2219F" w14:textId="77777777" w:rsidR="00AC6F3C" w:rsidRDefault="00570E88">
            <w:pPr>
              <w:pStyle w:val="TableParagraph"/>
              <w:spacing w:before="21" w:line="144" w:lineRule="exact"/>
              <w:ind w:left="1075"/>
              <w:rPr>
                <w:b/>
                <w:sz w:val="14"/>
              </w:rPr>
            </w:pPr>
            <w:r>
              <w:rPr>
                <w:b/>
                <w:spacing w:val="-2"/>
                <w:sz w:val="14"/>
              </w:rPr>
              <w:t>Strategic</w:t>
            </w:r>
          </w:p>
        </w:tc>
        <w:tc>
          <w:tcPr>
            <w:tcW w:w="788" w:type="dxa"/>
          </w:tcPr>
          <w:p w14:paraId="77009099" w14:textId="77777777" w:rsidR="00AC6F3C" w:rsidRDefault="00AC6F3C">
            <w:pPr>
              <w:pStyle w:val="TableParagraph"/>
              <w:rPr>
                <w:rFonts w:ascii="Times New Roman"/>
                <w:sz w:val="12"/>
              </w:rPr>
            </w:pPr>
          </w:p>
        </w:tc>
        <w:tc>
          <w:tcPr>
            <w:tcW w:w="1251" w:type="dxa"/>
          </w:tcPr>
          <w:p w14:paraId="6BB8347E" w14:textId="77777777" w:rsidR="00AC6F3C" w:rsidRDefault="00AC6F3C">
            <w:pPr>
              <w:pStyle w:val="TableParagraph"/>
              <w:rPr>
                <w:rFonts w:ascii="Times New Roman"/>
                <w:sz w:val="12"/>
              </w:rPr>
            </w:pPr>
          </w:p>
        </w:tc>
        <w:tc>
          <w:tcPr>
            <w:tcW w:w="1811" w:type="dxa"/>
          </w:tcPr>
          <w:p w14:paraId="14C2A9CE" w14:textId="77777777" w:rsidR="00AC6F3C" w:rsidRDefault="00AC6F3C">
            <w:pPr>
              <w:pStyle w:val="TableParagraph"/>
              <w:rPr>
                <w:rFonts w:ascii="Times New Roman"/>
                <w:sz w:val="12"/>
              </w:rPr>
            </w:pPr>
          </w:p>
        </w:tc>
        <w:tc>
          <w:tcPr>
            <w:tcW w:w="859" w:type="dxa"/>
          </w:tcPr>
          <w:p w14:paraId="0AF90A32" w14:textId="77777777" w:rsidR="00AC6F3C" w:rsidRDefault="00570E88">
            <w:pPr>
              <w:pStyle w:val="TableParagraph"/>
              <w:spacing w:line="165" w:lineRule="exact"/>
              <w:ind w:left="94"/>
              <w:rPr>
                <w:b/>
                <w:sz w:val="15"/>
              </w:rPr>
            </w:pPr>
            <w:r>
              <w:rPr>
                <w:b/>
                <w:spacing w:val="-2"/>
                <w:sz w:val="15"/>
              </w:rPr>
              <w:t>Average</w:t>
            </w:r>
          </w:p>
        </w:tc>
        <w:tc>
          <w:tcPr>
            <w:tcW w:w="963" w:type="dxa"/>
          </w:tcPr>
          <w:p w14:paraId="0F08E926" w14:textId="77777777" w:rsidR="00AC6F3C" w:rsidRDefault="00570E88">
            <w:pPr>
              <w:pStyle w:val="TableParagraph"/>
              <w:spacing w:line="165" w:lineRule="exact"/>
              <w:ind w:left="176" w:right="168"/>
              <w:jc w:val="center"/>
              <w:rPr>
                <w:b/>
                <w:sz w:val="15"/>
              </w:rPr>
            </w:pPr>
            <w:r>
              <w:rPr>
                <w:b/>
                <w:spacing w:val="-2"/>
                <w:sz w:val="15"/>
              </w:rPr>
              <w:t>Average</w:t>
            </w:r>
          </w:p>
        </w:tc>
        <w:tc>
          <w:tcPr>
            <w:tcW w:w="3610" w:type="dxa"/>
          </w:tcPr>
          <w:p w14:paraId="63E50722" w14:textId="77777777" w:rsidR="00AC6F3C" w:rsidRDefault="00AC6F3C">
            <w:pPr>
              <w:pStyle w:val="TableParagraph"/>
              <w:rPr>
                <w:rFonts w:ascii="Times New Roman"/>
                <w:sz w:val="12"/>
              </w:rPr>
            </w:pPr>
          </w:p>
        </w:tc>
      </w:tr>
      <w:tr w:rsidR="00AC6F3C" w14:paraId="2A02BC0A" w14:textId="77777777">
        <w:trPr>
          <w:trHeight w:val="245"/>
        </w:trPr>
        <w:tc>
          <w:tcPr>
            <w:tcW w:w="841" w:type="dxa"/>
            <w:tcBorders>
              <w:bottom w:val="single" w:sz="8" w:space="0" w:color="000000"/>
            </w:tcBorders>
          </w:tcPr>
          <w:p w14:paraId="596B67FF" w14:textId="77777777" w:rsidR="00AC6F3C" w:rsidRDefault="00570E88">
            <w:pPr>
              <w:pStyle w:val="TableParagraph"/>
              <w:spacing w:before="1"/>
              <w:ind w:left="56"/>
              <w:rPr>
                <w:b/>
                <w:sz w:val="15"/>
              </w:rPr>
            </w:pPr>
            <w:r>
              <w:rPr>
                <w:b/>
                <w:spacing w:val="-2"/>
                <w:sz w:val="15"/>
              </w:rPr>
              <w:t>Objective</w:t>
            </w:r>
          </w:p>
        </w:tc>
        <w:tc>
          <w:tcPr>
            <w:tcW w:w="1511" w:type="dxa"/>
            <w:tcBorders>
              <w:bottom w:val="single" w:sz="8" w:space="0" w:color="000000"/>
            </w:tcBorders>
          </w:tcPr>
          <w:p w14:paraId="0881867E" w14:textId="77777777" w:rsidR="00AC6F3C" w:rsidRDefault="00570E88">
            <w:pPr>
              <w:pStyle w:val="TableParagraph"/>
              <w:spacing w:before="1"/>
              <w:ind w:left="122"/>
              <w:rPr>
                <w:b/>
                <w:sz w:val="15"/>
              </w:rPr>
            </w:pPr>
            <w:r>
              <w:rPr>
                <w:b/>
                <w:spacing w:val="-2"/>
                <w:sz w:val="15"/>
              </w:rPr>
              <w:t>Initiative</w:t>
            </w:r>
          </w:p>
        </w:tc>
        <w:tc>
          <w:tcPr>
            <w:tcW w:w="2624" w:type="dxa"/>
            <w:tcBorders>
              <w:bottom w:val="single" w:sz="8" w:space="0" w:color="000000"/>
            </w:tcBorders>
          </w:tcPr>
          <w:p w14:paraId="6C1155FB" w14:textId="77777777" w:rsidR="00AC6F3C" w:rsidRDefault="00570E88">
            <w:pPr>
              <w:pStyle w:val="TableParagraph"/>
              <w:spacing w:before="1"/>
              <w:ind w:left="794"/>
              <w:rPr>
                <w:b/>
                <w:sz w:val="15"/>
              </w:rPr>
            </w:pPr>
            <w:r>
              <w:rPr>
                <w:b/>
                <w:spacing w:val="-5"/>
                <w:sz w:val="15"/>
              </w:rPr>
              <w:t xml:space="preserve">Key </w:t>
            </w:r>
            <w:r>
              <w:rPr>
                <w:b/>
                <w:spacing w:val="-2"/>
                <w:sz w:val="15"/>
              </w:rPr>
              <w:t>Action</w:t>
            </w:r>
          </w:p>
        </w:tc>
        <w:tc>
          <w:tcPr>
            <w:tcW w:w="1724" w:type="dxa"/>
            <w:tcBorders>
              <w:bottom w:val="single" w:sz="8" w:space="0" w:color="000000"/>
            </w:tcBorders>
          </w:tcPr>
          <w:p w14:paraId="701C5F96" w14:textId="77777777" w:rsidR="00AC6F3C" w:rsidRDefault="00570E88">
            <w:pPr>
              <w:pStyle w:val="TableParagraph"/>
              <w:spacing w:before="10"/>
              <w:ind w:left="1075"/>
              <w:rPr>
                <w:b/>
                <w:sz w:val="14"/>
              </w:rPr>
            </w:pPr>
            <w:r>
              <w:rPr>
                <w:b/>
                <w:spacing w:val="-5"/>
                <w:sz w:val="14"/>
              </w:rPr>
              <w:t>KPI</w:t>
            </w:r>
          </w:p>
        </w:tc>
        <w:tc>
          <w:tcPr>
            <w:tcW w:w="788" w:type="dxa"/>
            <w:tcBorders>
              <w:bottom w:val="single" w:sz="8" w:space="0" w:color="000000"/>
            </w:tcBorders>
          </w:tcPr>
          <w:p w14:paraId="0B8C02CB" w14:textId="77777777" w:rsidR="00AC6F3C" w:rsidRDefault="00570E88">
            <w:pPr>
              <w:pStyle w:val="TableParagraph"/>
              <w:spacing w:before="1"/>
              <w:ind w:left="60"/>
              <w:rPr>
                <w:b/>
                <w:sz w:val="15"/>
              </w:rPr>
            </w:pPr>
            <w:r>
              <w:rPr>
                <w:b/>
                <w:spacing w:val="-2"/>
                <w:sz w:val="15"/>
              </w:rPr>
              <w:t>Timeline</w:t>
            </w:r>
          </w:p>
        </w:tc>
        <w:tc>
          <w:tcPr>
            <w:tcW w:w="1251" w:type="dxa"/>
            <w:tcBorders>
              <w:bottom w:val="single" w:sz="8" w:space="0" w:color="000000"/>
            </w:tcBorders>
          </w:tcPr>
          <w:p w14:paraId="1553DE9F" w14:textId="77777777" w:rsidR="00AC6F3C" w:rsidRDefault="00570E88">
            <w:pPr>
              <w:pStyle w:val="TableParagraph"/>
              <w:spacing w:before="1"/>
              <w:ind w:left="137"/>
              <w:rPr>
                <w:b/>
                <w:sz w:val="15"/>
              </w:rPr>
            </w:pPr>
            <w:r>
              <w:rPr>
                <w:b/>
                <w:spacing w:val="-2"/>
                <w:sz w:val="15"/>
              </w:rPr>
              <w:t>Accountability</w:t>
            </w:r>
          </w:p>
        </w:tc>
        <w:tc>
          <w:tcPr>
            <w:tcW w:w="1811" w:type="dxa"/>
            <w:tcBorders>
              <w:bottom w:val="single" w:sz="8" w:space="0" w:color="000000"/>
            </w:tcBorders>
          </w:tcPr>
          <w:p w14:paraId="4D902811" w14:textId="77777777" w:rsidR="00AC6F3C" w:rsidRDefault="00570E88">
            <w:pPr>
              <w:pStyle w:val="TableParagraph"/>
              <w:spacing w:before="1"/>
              <w:ind w:left="105"/>
              <w:rPr>
                <w:b/>
                <w:sz w:val="15"/>
              </w:rPr>
            </w:pPr>
            <w:r>
              <w:rPr>
                <w:b/>
                <w:spacing w:val="-4"/>
                <w:sz w:val="15"/>
              </w:rPr>
              <w:t>Performance</w:t>
            </w:r>
            <w:r>
              <w:rPr>
                <w:b/>
                <w:spacing w:val="9"/>
                <w:sz w:val="15"/>
              </w:rPr>
              <w:t xml:space="preserve"> </w:t>
            </w:r>
            <w:r>
              <w:rPr>
                <w:b/>
                <w:spacing w:val="-2"/>
                <w:sz w:val="15"/>
              </w:rPr>
              <w:t>target/KPI</w:t>
            </w:r>
          </w:p>
        </w:tc>
        <w:tc>
          <w:tcPr>
            <w:tcW w:w="859" w:type="dxa"/>
            <w:tcBorders>
              <w:bottom w:val="single" w:sz="8" w:space="0" w:color="000000"/>
            </w:tcBorders>
          </w:tcPr>
          <w:p w14:paraId="2E5DF7C2" w14:textId="77777777" w:rsidR="00AC6F3C" w:rsidRDefault="00570E88">
            <w:pPr>
              <w:pStyle w:val="TableParagraph"/>
              <w:spacing w:before="1"/>
              <w:ind w:left="94"/>
              <w:rPr>
                <w:b/>
                <w:sz w:val="15"/>
              </w:rPr>
            </w:pPr>
            <w:r>
              <w:rPr>
                <w:b/>
                <w:spacing w:val="-2"/>
                <w:sz w:val="15"/>
              </w:rPr>
              <w:t>Status</w:t>
            </w:r>
          </w:p>
        </w:tc>
        <w:tc>
          <w:tcPr>
            <w:tcW w:w="963" w:type="dxa"/>
            <w:tcBorders>
              <w:bottom w:val="single" w:sz="8" w:space="0" w:color="000000"/>
            </w:tcBorders>
          </w:tcPr>
          <w:p w14:paraId="65F69050" w14:textId="77777777" w:rsidR="00AC6F3C" w:rsidRDefault="00570E88">
            <w:pPr>
              <w:pStyle w:val="TableParagraph"/>
              <w:spacing w:before="1"/>
              <w:ind w:left="39" w:right="168"/>
              <w:jc w:val="center"/>
              <w:rPr>
                <w:b/>
                <w:sz w:val="15"/>
              </w:rPr>
            </w:pPr>
            <w:r>
              <w:rPr>
                <w:b/>
                <w:spacing w:val="-2"/>
                <w:sz w:val="15"/>
              </w:rPr>
              <w:t>status</w:t>
            </w:r>
          </w:p>
        </w:tc>
        <w:tc>
          <w:tcPr>
            <w:tcW w:w="3610" w:type="dxa"/>
            <w:tcBorders>
              <w:bottom w:val="single" w:sz="8" w:space="0" w:color="000000"/>
            </w:tcBorders>
          </w:tcPr>
          <w:p w14:paraId="3F0B27CD" w14:textId="77777777" w:rsidR="00AC6F3C" w:rsidRDefault="00570E88">
            <w:pPr>
              <w:pStyle w:val="TableParagraph"/>
              <w:spacing w:before="1"/>
              <w:ind w:left="199"/>
              <w:rPr>
                <w:b/>
                <w:sz w:val="15"/>
              </w:rPr>
            </w:pPr>
            <w:r>
              <w:rPr>
                <w:b/>
                <w:spacing w:val="-4"/>
                <w:sz w:val="15"/>
              </w:rPr>
              <w:t>2022-23 Report</w:t>
            </w:r>
          </w:p>
        </w:tc>
      </w:tr>
    </w:tbl>
    <w:p w14:paraId="45F499EF" w14:textId="77777777" w:rsidR="00AC6F3C" w:rsidRDefault="00AC6F3C">
      <w:pPr>
        <w:rPr>
          <w:sz w:val="15"/>
        </w:rPr>
        <w:sectPr w:rsidR="00AC6F3C">
          <w:headerReference w:type="default" r:id="rId29"/>
          <w:footerReference w:type="default" r:id="rId30"/>
          <w:pgSz w:w="16840" w:h="11910" w:orient="landscape"/>
          <w:pgMar w:top="620" w:right="320" w:bottom="520" w:left="300" w:header="0" w:footer="336" w:gutter="0"/>
          <w:cols w:space="720"/>
        </w:sectPr>
      </w:pPr>
    </w:p>
    <w:p w14:paraId="53C2388B" w14:textId="77777777" w:rsidR="00AC6F3C" w:rsidRDefault="00570E88">
      <w:pPr>
        <w:tabs>
          <w:tab w:val="left" w:pos="1103"/>
        </w:tabs>
        <w:spacing w:before="52"/>
        <w:ind w:left="196"/>
        <w:rPr>
          <w:sz w:val="15"/>
        </w:rPr>
      </w:pPr>
      <w:r>
        <w:rPr>
          <w:b/>
          <w:spacing w:val="-2"/>
          <w:sz w:val="15"/>
        </w:rPr>
        <w:t>Regulate</w:t>
      </w:r>
      <w:r>
        <w:rPr>
          <w:b/>
          <w:sz w:val="15"/>
        </w:rPr>
        <w:tab/>
      </w:r>
      <w:r>
        <w:rPr>
          <w:spacing w:val="-2"/>
          <w:sz w:val="15"/>
        </w:rPr>
        <w:t>05.</w:t>
      </w:r>
      <w:r>
        <w:rPr>
          <w:spacing w:val="12"/>
          <w:sz w:val="15"/>
        </w:rPr>
        <w:t xml:space="preserve"> </w:t>
      </w:r>
      <w:r>
        <w:rPr>
          <w:spacing w:val="-2"/>
          <w:sz w:val="15"/>
        </w:rPr>
        <w:t>To</w:t>
      </w:r>
      <w:r>
        <w:rPr>
          <w:spacing w:val="-9"/>
          <w:sz w:val="15"/>
        </w:rPr>
        <w:t xml:space="preserve"> </w:t>
      </w:r>
      <w:r>
        <w:rPr>
          <w:spacing w:val="-2"/>
          <w:sz w:val="15"/>
        </w:rPr>
        <w:t>develop</w:t>
      </w:r>
      <w:r>
        <w:rPr>
          <w:spacing w:val="-8"/>
          <w:sz w:val="15"/>
        </w:rPr>
        <w:t xml:space="preserve"> </w:t>
      </w:r>
      <w:r>
        <w:rPr>
          <w:spacing w:val="-2"/>
          <w:sz w:val="15"/>
        </w:rPr>
        <w:t>the</w:t>
      </w:r>
      <w:r>
        <w:rPr>
          <w:spacing w:val="-8"/>
          <w:sz w:val="15"/>
        </w:rPr>
        <w:t xml:space="preserve"> </w:t>
      </w:r>
      <w:r>
        <w:rPr>
          <w:spacing w:val="-2"/>
          <w:sz w:val="15"/>
        </w:rPr>
        <w:t>external</w:t>
      </w:r>
    </w:p>
    <w:p w14:paraId="5D001AB7" w14:textId="77777777" w:rsidR="00AC6F3C" w:rsidRDefault="00570E88">
      <w:pPr>
        <w:spacing w:before="8" w:line="249" w:lineRule="auto"/>
        <w:ind w:left="1386" w:right="119"/>
        <w:rPr>
          <w:sz w:val="15"/>
        </w:rPr>
      </w:pPr>
      <w:r>
        <w:rPr>
          <w:sz w:val="15"/>
        </w:rPr>
        <w:t>intervention</w:t>
      </w:r>
      <w:r>
        <w:rPr>
          <w:spacing w:val="-9"/>
          <w:sz w:val="15"/>
        </w:rPr>
        <w:t xml:space="preserve"> </w:t>
      </w:r>
      <w:r>
        <w:rPr>
          <w:sz w:val="15"/>
        </w:rPr>
        <w:t xml:space="preserve">capacity </w:t>
      </w:r>
      <w:r>
        <w:rPr>
          <w:spacing w:val="-4"/>
          <w:sz w:val="15"/>
        </w:rPr>
        <w:t>of</w:t>
      </w:r>
      <w:r>
        <w:rPr>
          <w:spacing w:val="-7"/>
          <w:sz w:val="15"/>
        </w:rPr>
        <w:t xml:space="preserve"> </w:t>
      </w:r>
      <w:r>
        <w:rPr>
          <w:spacing w:val="-4"/>
          <w:sz w:val="15"/>
        </w:rPr>
        <w:t>the</w:t>
      </w:r>
      <w:r>
        <w:rPr>
          <w:spacing w:val="-6"/>
          <w:sz w:val="15"/>
        </w:rPr>
        <w:t xml:space="preserve"> </w:t>
      </w:r>
      <w:r>
        <w:rPr>
          <w:spacing w:val="-4"/>
          <w:sz w:val="15"/>
        </w:rPr>
        <w:t>Society</w:t>
      </w:r>
      <w:r>
        <w:rPr>
          <w:spacing w:val="-7"/>
          <w:sz w:val="15"/>
        </w:rPr>
        <w:t xml:space="preserve"> </w:t>
      </w:r>
      <w:r>
        <w:rPr>
          <w:spacing w:val="-4"/>
          <w:sz w:val="15"/>
        </w:rPr>
        <w:t>to</w:t>
      </w:r>
      <w:r>
        <w:rPr>
          <w:spacing w:val="-6"/>
          <w:sz w:val="15"/>
        </w:rPr>
        <w:t xml:space="preserve"> </w:t>
      </w:r>
      <w:r>
        <w:rPr>
          <w:spacing w:val="-4"/>
          <w:sz w:val="15"/>
        </w:rPr>
        <w:t>serve</w:t>
      </w:r>
      <w:r>
        <w:rPr>
          <w:sz w:val="15"/>
        </w:rPr>
        <w:t xml:space="preserve"> the interests of the public,</w:t>
      </w:r>
      <w:r>
        <w:rPr>
          <w:spacing w:val="-11"/>
          <w:sz w:val="15"/>
        </w:rPr>
        <w:t xml:space="preserve"> </w:t>
      </w:r>
      <w:r>
        <w:rPr>
          <w:sz w:val="15"/>
        </w:rPr>
        <w:t>the</w:t>
      </w:r>
      <w:r>
        <w:rPr>
          <w:spacing w:val="-10"/>
          <w:sz w:val="15"/>
        </w:rPr>
        <w:t xml:space="preserve"> </w:t>
      </w:r>
      <w:proofErr w:type="gramStart"/>
      <w:r>
        <w:rPr>
          <w:sz w:val="15"/>
        </w:rPr>
        <w:t>profession</w:t>
      </w:r>
      <w:proofErr w:type="gramEnd"/>
    </w:p>
    <w:p w14:paraId="680DBFBC" w14:textId="77777777" w:rsidR="00AC6F3C" w:rsidRDefault="00570E88">
      <w:pPr>
        <w:spacing w:before="2"/>
        <w:ind w:left="1386"/>
        <w:rPr>
          <w:sz w:val="15"/>
        </w:rPr>
      </w:pPr>
      <w:r>
        <w:rPr>
          <w:spacing w:val="-4"/>
          <w:sz w:val="15"/>
        </w:rPr>
        <w:t>and</w:t>
      </w:r>
      <w:r>
        <w:rPr>
          <w:spacing w:val="-1"/>
          <w:sz w:val="15"/>
        </w:rPr>
        <w:t xml:space="preserve"> </w:t>
      </w:r>
      <w:r>
        <w:rPr>
          <w:spacing w:val="-4"/>
          <w:sz w:val="15"/>
        </w:rPr>
        <w:t>practitioners</w:t>
      </w:r>
      <w:r>
        <w:rPr>
          <w:sz w:val="15"/>
        </w:rPr>
        <w:t xml:space="preserve"> </w:t>
      </w:r>
      <w:r>
        <w:rPr>
          <w:spacing w:val="-4"/>
          <w:sz w:val="15"/>
        </w:rPr>
        <w:t>on</w:t>
      </w:r>
      <w:r>
        <w:rPr>
          <w:sz w:val="15"/>
        </w:rPr>
        <w:t xml:space="preserve"> </w:t>
      </w:r>
      <w:r>
        <w:rPr>
          <w:spacing w:val="-5"/>
          <w:sz w:val="15"/>
        </w:rPr>
        <w:t>the</w:t>
      </w:r>
    </w:p>
    <w:p w14:paraId="728186A8" w14:textId="77777777" w:rsidR="00AC6F3C" w:rsidRDefault="00570E88">
      <w:pPr>
        <w:spacing w:before="8"/>
        <w:ind w:left="1386"/>
        <w:rPr>
          <w:sz w:val="15"/>
        </w:rPr>
      </w:pPr>
      <w:r>
        <w:rPr>
          <w:spacing w:val="-4"/>
          <w:sz w:val="15"/>
        </w:rPr>
        <w:t>subject</w:t>
      </w:r>
      <w:r>
        <w:rPr>
          <w:spacing w:val="-3"/>
          <w:sz w:val="15"/>
        </w:rPr>
        <w:t xml:space="preserve"> </w:t>
      </w:r>
      <w:r>
        <w:rPr>
          <w:spacing w:val="-4"/>
          <w:sz w:val="15"/>
        </w:rPr>
        <w:t>of</w:t>
      </w:r>
      <w:r>
        <w:rPr>
          <w:spacing w:val="-3"/>
          <w:sz w:val="15"/>
        </w:rPr>
        <w:t xml:space="preserve"> </w:t>
      </w:r>
      <w:r>
        <w:rPr>
          <w:spacing w:val="-4"/>
          <w:sz w:val="15"/>
        </w:rPr>
        <w:t>intervention</w:t>
      </w:r>
    </w:p>
    <w:p w14:paraId="6E17C26E" w14:textId="77777777" w:rsidR="00AC6F3C" w:rsidRDefault="00570E88">
      <w:pPr>
        <w:pStyle w:val="ListParagraph"/>
        <w:numPr>
          <w:ilvl w:val="1"/>
          <w:numId w:val="82"/>
        </w:numPr>
        <w:tabs>
          <w:tab w:val="left" w:pos="621"/>
        </w:tabs>
        <w:spacing w:before="52" w:line="249" w:lineRule="auto"/>
        <w:ind w:right="483"/>
        <w:rPr>
          <w:sz w:val="15"/>
        </w:rPr>
      </w:pPr>
      <w:r>
        <w:br w:type="column"/>
      </w:r>
      <w:r>
        <w:rPr>
          <w:spacing w:val="-4"/>
          <w:sz w:val="15"/>
        </w:rPr>
        <w:t>Review</w:t>
      </w:r>
      <w:r>
        <w:rPr>
          <w:spacing w:val="-7"/>
          <w:sz w:val="15"/>
        </w:rPr>
        <w:t xml:space="preserve"> </w:t>
      </w:r>
      <w:r>
        <w:rPr>
          <w:spacing w:val="-4"/>
          <w:sz w:val="15"/>
        </w:rPr>
        <w:t>External</w:t>
      </w:r>
      <w:r>
        <w:rPr>
          <w:spacing w:val="-6"/>
          <w:sz w:val="15"/>
        </w:rPr>
        <w:t xml:space="preserve"> </w:t>
      </w:r>
      <w:r>
        <w:rPr>
          <w:spacing w:val="-4"/>
          <w:sz w:val="15"/>
        </w:rPr>
        <w:t>Intervention</w:t>
      </w:r>
      <w:r>
        <w:rPr>
          <w:sz w:val="15"/>
        </w:rPr>
        <w:t xml:space="preserve"> </w:t>
      </w:r>
      <w:r>
        <w:rPr>
          <w:spacing w:val="-2"/>
          <w:sz w:val="15"/>
        </w:rPr>
        <w:t>considering:</w:t>
      </w:r>
    </w:p>
    <w:p w14:paraId="208AE947" w14:textId="77777777" w:rsidR="00AC6F3C" w:rsidRDefault="00570E88">
      <w:pPr>
        <w:pStyle w:val="ListParagraph"/>
        <w:numPr>
          <w:ilvl w:val="0"/>
          <w:numId w:val="81"/>
        </w:numPr>
        <w:tabs>
          <w:tab w:val="left" w:pos="763"/>
        </w:tabs>
        <w:spacing w:before="44" w:line="249" w:lineRule="auto"/>
        <w:ind w:right="245"/>
        <w:rPr>
          <w:sz w:val="15"/>
        </w:rPr>
      </w:pPr>
      <w:r>
        <w:rPr>
          <w:spacing w:val="-6"/>
          <w:sz w:val="15"/>
        </w:rPr>
        <w:t>Current operations and staffing</w:t>
      </w:r>
      <w:r>
        <w:rPr>
          <w:sz w:val="15"/>
        </w:rPr>
        <w:t xml:space="preserve"> </w:t>
      </w:r>
      <w:r>
        <w:rPr>
          <w:spacing w:val="-2"/>
          <w:sz w:val="15"/>
        </w:rPr>
        <w:t>requirements</w:t>
      </w:r>
    </w:p>
    <w:p w14:paraId="0C241141" w14:textId="77777777" w:rsidR="00AC6F3C" w:rsidRDefault="00570E88">
      <w:pPr>
        <w:pStyle w:val="ListParagraph"/>
        <w:numPr>
          <w:ilvl w:val="0"/>
          <w:numId w:val="81"/>
        </w:numPr>
        <w:tabs>
          <w:tab w:val="left" w:pos="763"/>
        </w:tabs>
        <w:spacing w:before="44" w:line="249" w:lineRule="auto"/>
        <w:ind w:right="147"/>
        <w:rPr>
          <w:sz w:val="15"/>
        </w:rPr>
      </w:pPr>
      <w:r>
        <w:rPr>
          <w:sz w:val="15"/>
        </w:rPr>
        <w:t>The</w:t>
      </w:r>
      <w:r>
        <w:rPr>
          <w:spacing w:val="-5"/>
          <w:sz w:val="15"/>
        </w:rPr>
        <w:t xml:space="preserve"> </w:t>
      </w:r>
      <w:r>
        <w:rPr>
          <w:sz w:val="15"/>
        </w:rPr>
        <w:t>need</w:t>
      </w:r>
      <w:r>
        <w:rPr>
          <w:spacing w:val="-5"/>
          <w:sz w:val="15"/>
        </w:rPr>
        <w:t xml:space="preserve"> </w:t>
      </w:r>
      <w:r>
        <w:rPr>
          <w:sz w:val="15"/>
        </w:rPr>
        <w:t>for</w:t>
      </w:r>
      <w:r>
        <w:rPr>
          <w:spacing w:val="-5"/>
          <w:sz w:val="15"/>
        </w:rPr>
        <w:t xml:space="preserve"> </w:t>
      </w:r>
      <w:r>
        <w:rPr>
          <w:sz w:val="15"/>
        </w:rPr>
        <w:t>appointments</w:t>
      </w:r>
      <w:r>
        <w:rPr>
          <w:spacing w:val="-5"/>
          <w:sz w:val="15"/>
        </w:rPr>
        <w:t xml:space="preserve"> </w:t>
      </w:r>
      <w:r>
        <w:rPr>
          <w:sz w:val="15"/>
        </w:rPr>
        <w:t xml:space="preserve">of </w:t>
      </w:r>
      <w:r>
        <w:rPr>
          <w:spacing w:val="-6"/>
          <w:sz w:val="15"/>
        </w:rPr>
        <w:t>managers in an efficient external</w:t>
      </w:r>
      <w:r>
        <w:rPr>
          <w:sz w:val="15"/>
        </w:rPr>
        <w:t xml:space="preserve"> interventions</w:t>
      </w:r>
      <w:r>
        <w:rPr>
          <w:spacing w:val="-11"/>
          <w:sz w:val="15"/>
        </w:rPr>
        <w:t xml:space="preserve"> </w:t>
      </w:r>
      <w:r>
        <w:rPr>
          <w:sz w:val="15"/>
        </w:rPr>
        <w:t>scheme</w:t>
      </w:r>
    </w:p>
    <w:p w14:paraId="5EB69087" w14:textId="77777777" w:rsidR="00AC6F3C" w:rsidRDefault="00570E88">
      <w:pPr>
        <w:pStyle w:val="ListParagraph"/>
        <w:numPr>
          <w:ilvl w:val="0"/>
          <w:numId w:val="81"/>
        </w:numPr>
        <w:tabs>
          <w:tab w:val="left" w:pos="763"/>
        </w:tabs>
        <w:spacing w:before="44" w:line="249" w:lineRule="auto"/>
        <w:ind w:right="178"/>
        <w:rPr>
          <w:sz w:val="15"/>
        </w:rPr>
      </w:pPr>
      <w:r>
        <w:rPr>
          <w:spacing w:val="-2"/>
          <w:sz w:val="15"/>
        </w:rPr>
        <w:t>The</w:t>
      </w:r>
      <w:r>
        <w:rPr>
          <w:spacing w:val="-7"/>
          <w:sz w:val="15"/>
        </w:rPr>
        <w:t xml:space="preserve"> </w:t>
      </w:r>
      <w:r>
        <w:rPr>
          <w:spacing w:val="-2"/>
          <w:sz w:val="15"/>
        </w:rPr>
        <w:t>need</w:t>
      </w:r>
      <w:r>
        <w:rPr>
          <w:spacing w:val="-7"/>
          <w:sz w:val="15"/>
        </w:rPr>
        <w:t xml:space="preserve"> </w:t>
      </w:r>
      <w:r>
        <w:rPr>
          <w:spacing w:val="-2"/>
          <w:sz w:val="15"/>
        </w:rPr>
        <w:t>for</w:t>
      </w:r>
      <w:r>
        <w:rPr>
          <w:spacing w:val="-7"/>
          <w:sz w:val="15"/>
        </w:rPr>
        <w:t xml:space="preserve"> </w:t>
      </w:r>
      <w:r>
        <w:rPr>
          <w:spacing w:val="-2"/>
          <w:sz w:val="15"/>
        </w:rPr>
        <w:t>further</w:t>
      </w:r>
      <w:r>
        <w:rPr>
          <w:spacing w:val="-7"/>
          <w:sz w:val="15"/>
        </w:rPr>
        <w:t xml:space="preserve"> </w:t>
      </w:r>
      <w:r>
        <w:rPr>
          <w:spacing w:val="-2"/>
          <w:sz w:val="15"/>
        </w:rPr>
        <w:t>resources</w:t>
      </w:r>
      <w:r>
        <w:rPr>
          <w:sz w:val="15"/>
        </w:rPr>
        <w:t xml:space="preserve"> </w:t>
      </w:r>
      <w:r>
        <w:rPr>
          <w:spacing w:val="-4"/>
          <w:sz w:val="15"/>
        </w:rPr>
        <w:t>in</w:t>
      </w:r>
      <w:r>
        <w:rPr>
          <w:spacing w:val="-10"/>
          <w:sz w:val="15"/>
        </w:rPr>
        <w:t xml:space="preserve"> </w:t>
      </w:r>
      <w:r>
        <w:rPr>
          <w:spacing w:val="-4"/>
          <w:sz w:val="15"/>
        </w:rPr>
        <w:t>particular</w:t>
      </w:r>
      <w:r>
        <w:rPr>
          <w:spacing w:val="-8"/>
          <w:sz w:val="15"/>
        </w:rPr>
        <w:t xml:space="preserve"> </w:t>
      </w:r>
      <w:r>
        <w:rPr>
          <w:spacing w:val="-4"/>
          <w:sz w:val="15"/>
        </w:rPr>
        <w:t>the</w:t>
      </w:r>
      <w:r>
        <w:rPr>
          <w:spacing w:val="-8"/>
          <w:sz w:val="15"/>
        </w:rPr>
        <w:t xml:space="preserve"> </w:t>
      </w:r>
      <w:r>
        <w:rPr>
          <w:spacing w:val="-4"/>
          <w:sz w:val="15"/>
        </w:rPr>
        <w:t>tools</w:t>
      </w:r>
      <w:r>
        <w:rPr>
          <w:spacing w:val="-8"/>
          <w:sz w:val="15"/>
        </w:rPr>
        <w:t xml:space="preserve"> </w:t>
      </w:r>
      <w:r>
        <w:rPr>
          <w:spacing w:val="-4"/>
          <w:sz w:val="15"/>
        </w:rPr>
        <w:t>to</w:t>
      </w:r>
      <w:r>
        <w:rPr>
          <w:spacing w:val="-8"/>
          <w:sz w:val="15"/>
        </w:rPr>
        <w:t xml:space="preserve"> </w:t>
      </w:r>
      <w:r>
        <w:rPr>
          <w:spacing w:val="-4"/>
          <w:sz w:val="15"/>
        </w:rPr>
        <w:t>properly</w:t>
      </w:r>
      <w:r>
        <w:rPr>
          <w:sz w:val="15"/>
        </w:rPr>
        <w:t xml:space="preserve"> </w:t>
      </w:r>
      <w:r>
        <w:rPr>
          <w:spacing w:val="-4"/>
          <w:sz w:val="15"/>
        </w:rPr>
        <w:t>receive</w:t>
      </w:r>
      <w:r>
        <w:rPr>
          <w:spacing w:val="-10"/>
          <w:sz w:val="15"/>
        </w:rPr>
        <w:t xml:space="preserve"> </w:t>
      </w:r>
      <w:r>
        <w:rPr>
          <w:spacing w:val="-4"/>
          <w:sz w:val="15"/>
        </w:rPr>
        <w:t>and</w:t>
      </w:r>
      <w:r>
        <w:rPr>
          <w:spacing w:val="-8"/>
          <w:sz w:val="15"/>
        </w:rPr>
        <w:t xml:space="preserve"> </w:t>
      </w:r>
      <w:r>
        <w:rPr>
          <w:spacing w:val="-4"/>
          <w:sz w:val="15"/>
        </w:rPr>
        <w:t>interrogate</w:t>
      </w:r>
      <w:r>
        <w:rPr>
          <w:spacing w:val="-8"/>
          <w:sz w:val="15"/>
        </w:rPr>
        <w:t xml:space="preserve"> </w:t>
      </w:r>
      <w:r>
        <w:rPr>
          <w:spacing w:val="-4"/>
          <w:sz w:val="15"/>
        </w:rPr>
        <w:t>modern</w:t>
      </w:r>
      <w:r>
        <w:rPr>
          <w:sz w:val="15"/>
        </w:rPr>
        <w:t xml:space="preserve"> practice</w:t>
      </w:r>
      <w:r>
        <w:rPr>
          <w:spacing w:val="-11"/>
          <w:sz w:val="15"/>
        </w:rPr>
        <w:t xml:space="preserve"> </w:t>
      </w:r>
      <w:r>
        <w:rPr>
          <w:sz w:val="15"/>
        </w:rPr>
        <w:t>software.</w:t>
      </w:r>
    </w:p>
    <w:p w14:paraId="1CD36170" w14:textId="77777777" w:rsidR="00AC6F3C" w:rsidRDefault="00570E88">
      <w:pPr>
        <w:pStyle w:val="ListParagraph"/>
        <w:numPr>
          <w:ilvl w:val="0"/>
          <w:numId w:val="81"/>
        </w:numPr>
        <w:tabs>
          <w:tab w:val="left" w:pos="763"/>
        </w:tabs>
        <w:spacing w:before="45" w:line="249" w:lineRule="auto"/>
        <w:rPr>
          <w:sz w:val="15"/>
        </w:rPr>
      </w:pPr>
      <w:r>
        <w:rPr>
          <w:sz w:val="15"/>
        </w:rPr>
        <w:t xml:space="preserve">The increased use of the </w:t>
      </w:r>
      <w:r>
        <w:rPr>
          <w:spacing w:val="-2"/>
          <w:sz w:val="15"/>
        </w:rPr>
        <w:t>compulsory</w:t>
      </w:r>
      <w:r>
        <w:rPr>
          <w:spacing w:val="-9"/>
          <w:sz w:val="15"/>
        </w:rPr>
        <w:t xml:space="preserve"> </w:t>
      </w:r>
      <w:r>
        <w:rPr>
          <w:spacing w:val="-2"/>
          <w:sz w:val="15"/>
        </w:rPr>
        <w:t>powers</w:t>
      </w:r>
      <w:r>
        <w:rPr>
          <w:spacing w:val="-8"/>
          <w:sz w:val="15"/>
        </w:rPr>
        <w:t xml:space="preserve"> </w:t>
      </w:r>
      <w:r>
        <w:rPr>
          <w:spacing w:val="-2"/>
          <w:sz w:val="15"/>
        </w:rPr>
        <w:t>of</w:t>
      </w:r>
      <w:r>
        <w:rPr>
          <w:spacing w:val="-9"/>
          <w:sz w:val="15"/>
        </w:rPr>
        <w:t xml:space="preserve"> </w:t>
      </w:r>
      <w:r>
        <w:rPr>
          <w:spacing w:val="-2"/>
          <w:sz w:val="15"/>
        </w:rPr>
        <w:t>the</w:t>
      </w:r>
      <w:r>
        <w:rPr>
          <w:spacing w:val="-8"/>
          <w:sz w:val="15"/>
        </w:rPr>
        <w:t xml:space="preserve"> </w:t>
      </w:r>
      <w:r>
        <w:rPr>
          <w:spacing w:val="-2"/>
          <w:sz w:val="15"/>
        </w:rPr>
        <w:t>Society</w:t>
      </w:r>
      <w:r>
        <w:rPr>
          <w:sz w:val="15"/>
        </w:rPr>
        <w:t xml:space="preserve"> </w:t>
      </w:r>
      <w:r>
        <w:rPr>
          <w:spacing w:val="-4"/>
          <w:sz w:val="15"/>
        </w:rPr>
        <w:t>in</w:t>
      </w:r>
      <w:r>
        <w:rPr>
          <w:spacing w:val="-10"/>
          <w:sz w:val="15"/>
        </w:rPr>
        <w:t xml:space="preserve"> </w:t>
      </w:r>
      <w:r>
        <w:rPr>
          <w:spacing w:val="-4"/>
          <w:sz w:val="15"/>
        </w:rPr>
        <w:t>relation</w:t>
      </w:r>
      <w:r>
        <w:rPr>
          <w:spacing w:val="-8"/>
          <w:sz w:val="15"/>
        </w:rPr>
        <w:t xml:space="preserve"> </w:t>
      </w:r>
      <w:r>
        <w:rPr>
          <w:spacing w:val="-4"/>
          <w:sz w:val="15"/>
        </w:rPr>
        <w:t>to</w:t>
      </w:r>
      <w:r>
        <w:rPr>
          <w:spacing w:val="-8"/>
          <w:sz w:val="15"/>
        </w:rPr>
        <w:t xml:space="preserve"> </w:t>
      </w:r>
      <w:r>
        <w:rPr>
          <w:spacing w:val="-4"/>
          <w:sz w:val="15"/>
        </w:rPr>
        <w:t>Ext</w:t>
      </w:r>
      <w:r>
        <w:rPr>
          <w:spacing w:val="-8"/>
          <w:sz w:val="15"/>
        </w:rPr>
        <w:t xml:space="preserve"> </w:t>
      </w:r>
      <w:r>
        <w:rPr>
          <w:spacing w:val="-4"/>
          <w:sz w:val="15"/>
        </w:rPr>
        <w:t>Int,</w:t>
      </w:r>
      <w:r>
        <w:rPr>
          <w:spacing w:val="-8"/>
          <w:sz w:val="15"/>
        </w:rPr>
        <w:t xml:space="preserve"> </w:t>
      </w:r>
      <w:r>
        <w:rPr>
          <w:spacing w:val="-4"/>
          <w:sz w:val="15"/>
        </w:rPr>
        <w:t>especially</w:t>
      </w:r>
      <w:r>
        <w:rPr>
          <w:spacing w:val="-8"/>
          <w:sz w:val="15"/>
        </w:rPr>
        <w:t xml:space="preserve"> </w:t>
      </w:r>
      <w:r>
        <w:rPr>
          <w:spacing w:val="-4"/>
          <w:sz w:val="15"/>
        </w:rPr>
        <w:t>with</w:t>
      </w:r>
      <w:r>
        <w:rPr>
          <w:sz w:val="15"/>
        </w:rPr>
        <w:t xml:space="preserve"> a</w:t>
      </w:r>
      <w:r>
        <w:rPr>
          <w:spacing w:val="-11"/>
          <w:sz w:val="15"/>
        </w:rPr>
        <w:t xml:space="preserve"> </w:t>
      </w:r>
      <w:r>
        <w:rPr>
          <w:sz w:val="15"/>
        </w:rPr>
        <w:t>view</w:t>
      </w:r>
      <w:r>
        <w:rPr>
          <w:spacing w:val="-10"/>
          <w:sz w:val="15"/>
        </w:rPr>
        <w:t xml:space="preserve"> </w:t>
      </w:r>
      <w:r>
        <w:rPr>
          <w:sz w:val="15"/>
        </w:rPr>
        <w:t>to</w:t>
      </w:r>
      <w:r>
        <w:rPr>
          <w:spacing w:val="-11"/>
          <w:sz w:val="15"/>
        </w:rPr>
        <w:t xml:space="preserve"> </w:t>
      </w:r>
      <w:r>
        <w:rPr>
          <w:sz w:val="15"/>
        </w:rPr>
        <w:t>requiring</w:t>
      </w:r>
      <w:r>
        <w:rPr>
          <w:spacing w:val="-10"/>
          <w:sz w:val="15"/>
        </w:rPr>
        <w:t xml:space="preserve"> </w:t>
      </w:r>
      <w:r>
        <w:rPr>
          <w:sz w:val="15"/>
        </w:rPr>
        <w:t>LEAP</w:t>
      </w:r>
      <w:r>
        <w:rPr>
          <w:spacing w:val="-11"/>
          <w:sz w:val="15"/>
        </w:rPr>
        <w:t xml:space="preserve"> </w:t>
      </w:r>
      <w:r>
        <w:rPr>
          <w:sz w:val="15"/>
        </w:rPr>
        <w:t>to</w:t>
      </w:r>
      <w:r>
        <w:rPr>
          <w:spacing w:val="-10"/>
          <w:sz w:val="15"/>
        </w:rPr>
        <w:t xml:space="preserve"> </w:t>
      </w:r>
      <w:r>
        <w:rPr>
          <w:sz w:val="15"/>
        </w:rPr>
        <w:t>allow us</w:t>
      </w:r>
      <w:r>
        <w:rPr>
          <w:spacing w:val="-6"/>
          <w:sz w:val="15"/>
        </w:rPr>
        <w:t xml:space="preserve"> </w:t>
      </w:r>
      <w:r>
        <w:rPr>
          <w:sz w:val="15"/>
        </w:rPr>
        <w:t>free</w:t>
      </w:r>
      <w:r>
        <w:rPr>
          <w:spacing w:val="-6"/>
          <w:sz w:val="15"/>
        </w:rPr>
        <w:t xml:space="preserve"> </w:t>
      </w:r>
      <w:r>
        <w:rPr>
          <w:sz w:val="15"/>
        </w:rPr>
        <w:t>access</w:t>
      </w:r>
      <w:r>
        <w:rPr>
          <w:spacing w:val="-6"/>
          <w:sz w:val="15"/>
        </w:rPr>
        <w:t xml:space="preserve"> </w:t>
      </w:r>
      <w:r>
        <w:rPr>
          <w:sz w:val="15"/>
        </w:rPr>
        <w:t>to</w:t>
      </w:r>
      <w:r>
        <w:rPr>
          <w:spacing w:val="-6"/>
          <w:sz w:val="15"/>
        </w:rPr>
        <w:t xml:space="preserve"> </w:t>
      </w:r>
      <w:r>
        <w:rPr>
          <w:sz w:val="15"/>
        </w:rPr>
        <w:t>their</w:t>
      </w:r>
      <w:r>
        <w:rPr>
          <w:spacing w:val="-6"/>
          <w:sz w:val="15"/>
        </w:rPr>
        <w:t xml:space="preserve"> </w:t>
      </w:r>
      <w:r>
        <w:rPr>
          <w:sz w:val="15"/>
        </w:rPr>
        <w:t>material.</w:t>
      </w:r>
    </w:p>
    <w:p w14:paraId="744DC9B8" w14:textId="77777777" w:rsidR="00AC6F3C" w:rsidRDefault="00570E88">
      <w:pPr>
        <w:pStyle w:val="ListParagraph"/>
        <w:numPr>
          <w:ilvl w:val="0"/>
          <w:numId w:val="81"/>
        </w:numPr>
        <w:tabs>
          <w:tab w:val="left" w:pos="762"/>
        </w:tabs>
        <w:spacing w:before="45"/>
        <w:ind w:left="762" w:hanging="141"/>
        <w:rPr>
          <w:sz w:val="15"/>
        </w:rPr>
      </w:pPr>
      <w:r>
        <w:rPr>
          <w:noProof/>
        </w:rPr>
        <mc:AlternateContent>
          <mc:Choice Requires="wpg">
            <w:drawing>
              <wp:anchor distT="0" distB="0" distL="0" distR="0" simplePos="0" relativeHeight="15744512" behindDoc="0" locked="0" layoutInCell="1" allowOverlap="1" wp14:anchorId="06278ED0" wp14:editId="369E879F">
                <wp:simplePos x="0" y="0"/>
                <wp:positionH relativeFrom="page">
                  <wp:posOffset>269999</wp:posOffset>
                </wp:positionH>
                <wp:positionV relativeFrom="paragraph">
                  <wp:posOffset>170539</wp:posOffset>
                </wp:positionV>
                <wp:extent cx="10152380" cy="317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57" name="Graphic 57"/>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58" name="Graphic 58"/>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59" name="Graphic 59"/>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60" name="Graphic 60"/>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61" name="Graphic 61"/>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62" name="Graphic 62"/>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63" name="Graphic 63"/>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64" name="Graphic 64"/>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65" name="Graphic 65"/>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66" name="Graphic 66"/>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043B7E" id="Group 56" o:spid="_x0000_s1026" style="position:absolute;margin-left:21.25pt;margin-top:13.45pt;width:799.4pt;height:.25pt;z-index:15744512;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">
                <v:shape id="Graphic 57"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" path="m,l575995,e" filled="f" strokeweight=".25pt">
                  <v:path arrowok="t"/>
                </v:shape>
                <v:shape id="Graphic 58"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" path="m,l1386001,e" filled="f" strokeweight=".25pt">
                  <v:path arrowok="t"/>
                </v:shape>
                <v:shape id="Graphic 59"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" path="m,l1845005,e" filled="f" strokeweight=".25pt">
                  <v:path arrowok="t"/>
                </v:shape>
                <v:shape id="Graphic 60"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" path="m,l449999,e" filled="f" strokeweight=".25pt">
                  <v:path arrowok="t"/>
                </v:shape>
                <v:shape id="Graphic 61"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" path="m,l548995,e" filled="f" strokeweight=".25pt">
                  <v:path arrowok="t"/>
                </v:shape>
                <v:shape id="Graphic 62"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" path="m,l774001,e" filled="f" strokeweight=".25pt">
                  <v:path arrowok="t"/>
                </v:shape>
                <v:shape id="Graphic 63"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" path="m,l1143000,e" filled="f" strokeweight=".25pt">
                  <v:path arrowok="t"/>
                </v:shape>
                <v:shape id="Graphic 64"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" path="m,l612000,e" filled="f" strokeweight=".25pt">
                  <v:path arrowok="t"/>
                </v:shape>
                <v:shape id="Graphic 65"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" path="m,l612000,e" filled="f" strokeweight=".25pt">
                  <v:path arrowok="t"/>
                </v:shape>
                <v:shape id="Graphic 66"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" path="m,l2204999,e" filled="f" strokeweight=".25pt">
                  <v:path arrowok="t"/>
                </v:shape>
                <w10:wrap anchorx="page"/>
              </v:group>
            </w:pict>
          </mc:Fallback>
        </mc:AlternateContent>
      </w:r>
      <w:r>
        <w:rPr>
          <w:spacing w:val="-6"/>
          <w:sz w:val="15"/>
        </w:rPr>
        <w:t>The</w:t>
      </w:r>
      <w:r>
        <w:rPr>
          <w:sz w:val="15"/>
        </w:rPr>
        <w:t xml:space="preserve"> </w:t>
      </w:r>
      <w:r>
        <w:rPr>
          <w:spacing w:val="-6"/>
          <w:sz w:val="15"/>
        </w:rPr>
        <w:t>destruction</w:t>
      </w:r>
      <w:r>
        <w:rPr>
          <w:spacing w:val="1"/>
          <w:sz w:val="15"/>
        </w:rPr>
        <w:t xml:space="preserve"> </w:t>
      </w:r>
      <w:r>
        <w:rPr>
          <w:spacing w:val="-6"/>
          <w:sz w:val="15"/>
        </w:rPr>
        <w:t>of</w:t>
      </w:r>
      <w:r>
        <w:rPr>
          <w:spacing w:val="1"/>
          <w:sz w:val="15"/>
        </w:rPr>
        <w:t xml:space="preserve"> </w:t>
      </w:r>
      <w:r>
        <w:rPr>
          <w:spacing w:val="-6"/>
          <w:sz w:val="15"/>
        </w:rPr>
        <w:t>archived</w:t>
      </w:r>
      <w:r>
        <w:rPr>
          <w:spacing w:val="1"/>
          <w:sz w:val="15"/>
        </w:rPr>
        <w:t xml:space="preserve"> </w:t>
      </w:r>
      <w:r>
        <w:rPr>
          <w:spacing w:val="-6"/>
          <w:sz w:val="15"/>
        </w:rPr>
        <w:t>files.</w:t>
      </w:r>
    </w:p>
    <w:p w14:paraId="67409559" w14:textId="77777777" w:rsidR="00AC6F3C" w:rsidRDefault="00570E88">
      <w:pPr>
        <w:spacing w:before="52" w:line="501" w:lineRule="auto"/>
        <w:ind w:left="132" w:right="38"/>
        <w:jc w:val="both"/>
        <w:rPr>
          <w:b/>
          <w:sz w:val="15"/>
        </w:rPr>
      </w:pPr>
      <w:r>
        <w:br w:type="column"/>
      </w:r>
      <w:r>
        <w:rPr>
          <w:b/>
          <w:spacing w:val="-8"/>
          <w:sz w:val="15"/>
        </w:rPr>
        <w:t>KPI3</w:t>
      </w:r>
      <w:r>
        <w:rPr>
          <w:b/>
          <w:sz w:val="15"/>
        </w:rPr>
        <w:t xml:space="preserve"> </w:t>
      </w:r>
      <w:r>
        <w:rPr>
          <w:b/>
          <w:spacing w:val="-8"/>
          <w:sz w:val="15"/>
        </w:rPr>
        <w:t>KPI4</w:t>
      </w:r>
      <w:r>
        <w:rPr>
          <w:b/>
          <w:sz w:val="15"/>
        </w:rPr>
        <w:t xml:space="preserve"> </w:t>
      </w:r>
      <w:r>
        <w:rPr>
          <w:b/>
          <w:spacing w:val="-8"/>
          <w:sz w:val="15"/>
        </w:rPr>
        <w:t>KPI5</w:t>
      </w:r>
    </w:p>
    <w:p w14:paraId="33AE5AC3" w14:textId="77777777" w:rsidR="00AC6F3C" w:rsidRDefault="00570E88">
      <w:pPr>
        <w:tabs>
          <w:tab w:val="left" w:pos="864"/>
          <w:tab w:val="left" w:pos="2083"/>
          <w:tab w:val="left" w:pos="3883"/>
        </w:tabs>
        <w:spacing w:before="52"/>
        <w:ind w:right="38"/>
        <w:jc w:val="right"/>
        <w:rPr>
          <w:b/>
          <w:sz w:val="15"/>
        </w:rPr>
      </w:pPr>
      <w:r>
        <w:br w:type="column"/>
      </w:r>
      <w:r>
        <w:rPr>
          <w:spacing w:val="-4"/>
          <w:sz w:val="15"/>
        </w:rPr>
        <w:t>30-Jun-</w:t>
      </w:r>
      <w:r>
        <w:rPr>
          <w:spacing w:val="-5"/>
          <w:sz w:val="15"/>
        </w:rPr>
        <w:t>23</w:t>
      </w:r>
      <w:r>
        <w:rPr>
          <w:sz w:val="15"/>
        </w:rPr>
        <w:tab/>
      </w:r>
      <w:r>
        <w:rPr>
          <w:spacing w:val="-2"/>
          <w:sz w:val="15"/>
        </w:rPr>
        <w:t>Regulation</w:t>
      </w:r>
      <w:r>
        <w:rPr>
          <w:sz w:val="15"/>
        </w:rPr>
        <w:tab/>
      </w:r>
      <w:r>
        <w:rPr>
          <w:spacing w:val="-2"/>
          <w:sz w:val="15"/>
        </w:rPr>
        <w:t>5.1.1</w:t>
      </w:r>
      <w:r>
        <w:rPr>
          <w:spacing w:val="54"/>
          <w:sz w:val="15"/>
        </w:rPr>
        <w:t xml:space="preserve"> </w:t>
      </w:r>
      <w:r>
        <w:rPr>
          <w:spacing w:val="-2"/>
          <w:sz w:val="15"/>
        </w:rPr>
        <w:t>Report</w:t>
      </w:r>
      <w:r>
        <w:rPr>
          <w:spacing w:val="-9"/>
          <w:sz w:val="15"/>
        </w:rPr>
        <w:t xml:space="preserve"> </w:t>
      </w:r>
      <w:r>
        <w:rPr>
          <w:spacing w:val="-2"/>
          <w:sz w:val="15"/>
        </w:rPr>
        <w:t>to</w:t>
      </w:r>
      <w:r>
        <w:rPr>
          <w:spacing w:val="-8"/>
          <w:sz w:val="15"/>
        </w:rPr>
        <w:t xml:space="preserve"> </w:t>
      </w:r>
      <w:r>
        <w:rPr>
          <w:spacing w:val="-5"/>
          <w:sz w:val="15"/>
        </w:rPr>
        <w:t>CEO</w:t>
      </w:r>
      <w:r>
        <w:rPr>
          <w:sz w:val="15"/>
        </w:rPr>
        <w:tab/>
      </w:r>
      <w:r>
        <w:rPr>
          <w:b/>
          <w:spacing w:val="-2"/>
          <w:sz w:val="15"/>
        </w:rPr>
        <w:t>Green-</w:t>
      </w:r>
    </w:p>
    <w:p w14:paraId="42DCC61A" w14:textId="77777777" w:rsidR="00AC6F3C" w:rsidRDefault="00570E88">
      <w:pPr>
        <w:spacing w:before="8"/>
        <w:ind w:right="60"/>
        <w:jc w:val="right"/>
        <w:rPr>
          <w:b/>
          <w:sz w:val="15"/>
        </w:rPr>
      </w:pPr>
      <w:r>
        <w:rPr>
          <w:b/>
          <w:spacing w:val="-2"/>
          <w:sz w:val="15"/>
        </w:rPr>
        <w:t>Yellow</w:t>
      </w:r>
    </w:p>
    <w:p w14:paraId="2AA8B66D" w14:textId="77777777" w:rsidR="00AC6F3C" w:rsidRDefault="00570E88">
      <w:pPr>
        <w:spacing w:before="52" w:line="249" w:lineRule="auto"/>
        <w:ind w:left="196" w:right="-4"/>
        <w:rPr>
          <w:b/>
          <w:sz w:val="15"/>
        </w:rPr>
      </w:pPr>
      <w:r>
        <w:br w:type="column"/>
      </w:r>
      <w:r>
        <w:rPr>
          <w:b/>
          <w:spacing w:val="-6"/>
          <w:sz w:val="15"/>
        </w:rPr>
        <w:t>On</w:t>
      </w:r>
      <w:r>
        <w:rPr>
          <w:b/>
          <w:spacing w:val="-8"/>
          <w:sz w:val="15"/>
        </w:rPr>
        <w:t xml:space="preserve"> </w:t>
      </w:r>
      <w:r>
        <w:rPr>
          <w:b/>
          <w:spacing w:val="-6"/>
          <w:sz w:val="15"/>
        </w:rPr>
        <w:t>track</w:t>
      </w:r>
      <w:r>
        <w:rPr>
          <w:b/>
          <w:spacing w:val="-8"/>
          <w:sz w:val="15"/>
        </w:rPr>
        <w:t xml:space="preserve"> </w:t>
      </w:r>
      <w:r>
        <w:rPr>
          <w:b/>
          <w:spacing w:val="-6"/>
          <w:sz w:val="15"/>
        </w:rPr>
        <w:t>&amp;</w:t>
      </w:r>
      <w:r>
        <w:rPr>
          <w:b/>
          <w:sz w:val="15"/>
        </w:rPr>
        <w:t xml:space="preserve"> </w:t>
      </w:r>
      <w:r>
        <w:rPr>
          <w:b/>
          <w:spacing w:val="-2"/>
          <w:sz w:val="15"/>
        </w:rPr>
        <w:t>ongoing</w:t>
      </w:r>
    </w:p>
    <w:p w14:paraId="256B4B6A" w14:textId="77777777" w:rsidR="00AC6F3C" w:rsidRDefault="00570E88">
      <w:pPr>
        <w:pStyle w:val="ListParagraph"/>
        <w:numPr>
          <w:ilvl w:val="2"/>
          <w:numId w:val="82"/>
        </w:numPr>
        <w:tabs>
          <w:tab w:val="left" w:pos="616"/>
          <w:tab w:val="left" w:pos="621"/>
        </w:tabs>
        <w:spacing w:before="52" w:line="249" w:lineRule="auto"/>
        <w:ind w:right="321"/>
        <w:rPr>
          <w:sz w:val="15"/>
        </w:rPr>
      </w:pPr>
      <w:r>
        <w:br w:type="column"/>
      </w:r>
      <w:r>
        <w:rPr>
          <w:sz w:val="15"/>
        </w:rPr>
        <w:t xml:space="preserve">On track and ongoing – the review commenced during the </w:t>
      </w:r>
      <w:proofErr w:type="gramStart"/>
      <w:r>
        <w:rPr>
          <w:sz w:val="15"/>
        </w:rPr>
        <w:t>financial year</w:t>
      </w:r>
      <w:proofErr w:type="gramEnd"/>
      <w:r>
        <w:rPr>
          <w:sz w:val="15"/>
        </w:rPr>
        <w:t xml:space="preserve"> however</w:t>
      </w:r>
      <w:r>
        <w:rPr>
          <w:spacing w:val="-3"/>
          <w:sz w:val="15"/>
        </w:rPr>
        <w:t xml:space="preserve"> </w:t>
      </w:r>
      <w:r>
        <w:rPr>
          <w:sz w:val="15"/>
        </w:rPr>
        <w:t>its</w:t>
      </w:r>
      <w:r>
        <w:rPr>
          <w:spacing w:val="-3"/>
          <w:sz w:val="15"/>
        </w:rPr>
        <w:t xml:space="preserve"> </w:t>
      </w:r>
      <w:r>
        <w:rPr>
          <w:sz w:val="15"/>
        </w:rPr>
        <w:t>delivery</w:t>
      </w:r>
      <w:r>
        <w:rPr>
          <w:spacing w:val="-3"/>
          <w:sz w:val="15"/>
        </w:rPr>
        <w:t xml:space="preserve"> </w:t>
      </w:r>
      <w:r>
        <w:rPr>
          <w:sz w:val="15"/>
        </w:rPr>
        <w:t>was</w:t>
      </w:r>
      <w:r>
        <w:rPr>
          <w:spacing w:val="-3"/>
          <w:sz w:val="15"/>
        </w:rPr>
        <w:t xml:space="preserve"> </w:t>
      </w:r>
      <w:r>
        <w:rPr>
          <w:sz w:val="15"/>
        </w:rPr>
        <w:t>impacted</w:t>
      </w:r>
      <w:r>
        <w:rPr>
          <w:spacing w:val="-3"/>
          <w:sz w:val="15"/>
        </w:rPr>
        <w:t xml:space="preserve"> </w:t>
      </w:r>
      <w:r>
        <w:rPr>
          <w:sz w:val="15"/>
        </w:rPr>
        <w:t xml:space="preserve">by workload challenges and competing </w:t>
      </w:r>
      <w:r>
        <w:rPr>
          <w:spacing w:val="-2"/>
          <w:sz w:val="15"/>
        </w:rPr>
        <w:t>priorities</w:t>
      </w:r>
      <w:r>
        <w:rPr>
          <w:spacing w:val="-9"/>
          <w:sz w:val="15"/>
        </w:rPr>
        <w:t xml:space="preserve"> </w:t>
      </w:r>
      <w:r>
        <w:rPr>
          <w:spacing w:val="-2"/>
          <w:sz w:val="15"/>
        </w:rPr>
        <w:t>with</w:t>
      </w:r>
      <w:r>
        <w:rPr>
          <w:spacing w:val="-8"/>
          <w:sz w:val="15"/>
        </w:rPr>
        <w:t xml:space="preserve"> </w:t>
      </w:r>
      <w:r>
        <w:rPr>
          <w:spacing w:val="-2"/>
          <w:sz w:val="15"/>
        </w:rPr>
        <w:t>respect</w:t>
      </w:r>
      <w:r>
        <w:rPr>
          <w:spacing w:val="-9"/>
          <w:sz w:val="15"/>
        </w:rPr>
        <w:t xml:space="preserve"> </w:t>
      </w:r>
      <w:r>
        <w:rPr>
          <w:spacing w:val="-2"/>
          <w:sz w:val="15"/>
        </w:rPr>
        <w:t>to</w:t>
      </w:r>
      <w:r>
        <w:rPr>
          <w:spacing w:val="-8"/>
          <w:sz w:val="15"/>
        </w:rPr>
        <w:t xml:space="preserve"> </w:t>
      </w:r>
      <w:r>
        <w:rPr>
          <w:spacing w:val="-2"/>
          <w:sz w:val="15"/>
        </w:rPr>
        <w:t>renewals</w:t>
      </w:r>
      <w:r>
        <w:rPr>
          <w:spacing w:val="-9"/>
          <w:sz w:val="15"/>
        </w:rPr>
        <w:t xml:space="preserve"> </w:t>
      </w:r>
      <w:r>
        <w:rPr>
          <w:spacing w:val="-2"/>
          <w:sz w:val="15"/>
        </w:rPr>
        <w:t>and</w:t>
      </w:r>
      <w:r>
        <w:rPr>
          <w:spacing w:val="-8"/>
          <w:sz w:val="15"/>
        </w:rPr>
        <w:t xml:space="preserve"> </w:t>
      </w:r>
      <w:r>
        <w:rPr>
          <w:spacing w:val="-2"/>
          <w:sz w:val="15"/>
        </w:rPr>
        <w:t>PSS</w:t>
      </w:r>
      <w:r>
        <w:rPr>
          <w:sz w:val="15"/>
        </w:rPr>
        <w:t xml:space="preserve"> </w:t>
      </w:r>
      <w:r>
        <w:rPr>
          <w:spacing w:val="-2"/>
          <w:sz w:val="15"/>
        </w:rPr>
        <w:t>annual</w:t>
      </w:r>
      <w:r>
        <w:rPr>
          <w:spacing w:val="-6"/>
          <w:sz w:val="15"/>
        </w:rPr>
        <w:t xml:space="preserve"> </w:t>
      </w:r>
      <w:r>
        <w:rPr>
          <w:spacing w:val="-2"/>
          <w:sz w:val="15"/>
        </w:rPr>
        <w:t>reporting,</w:t>
      </w:r>
      <w:r>
        <w:rPr>
          <w:spacing w:val="-6"/>
          <w:sz w:val="15"/>
        </w:rPr>
        <w:t xml:space="preserve"> </w:t>
      </w:r>
      <w:r>
        <w:rPr>
          <w:spacing w:val="-2"/>
          <w:sz w:val="15"/>
        </w:rPr>
        <w:t>and</w:t>
      </w:r>
      <w:r>
        <w:rPr>
          <w:spacing w:val="-6"/>
          <w:sz w:val="15"/>
        </w:rPr>
        <w:t xml:space="preserve"> </w:t>
      </w:r>
      <w:r>
        <w:rPr>
          <w:spacing w:val="-2"/>
          <w:sz w:val="15"/>
        </w:rPr>
        <w:t>Regulation</w:t>
      </w:r>
      <w:r>
        <w:rPr>
          <w:spacing w:val="-6"/>
          <w:sz w:val="15"/>
        </w:rPr>
        <w:t xml:space="preserve"> </w:t>
      </w:r>
      <w:r>
        <w:rPr>
          <w:spacing w:val="-2"/>
          <w:sz w:val="15"/>
        </w:rPr>
        <w:t>workload</w:t>
      </w:r>
      <w:r>
        <w:rPr>
          <w:sz w:val="15"/>
        </w:rPr>
        <w:t xml:space="preserve"> </w:t>
      </w:r>
      <w:r>
        <w:rPr>
          <w:spacing w:val="-4"/>
          <w:sz w:val="15"/>
        </w:rPr>
        <w:t>capacity.</w:t>
      </w:r>
      <w:r>
        <w:rPr>
          <w:spacing w:val="-5"/>
          <w:sz w:val="15"/>
        </w:rPr>
        <w:t xml:space="preserve"> </w:t>
      </w:r>
      <w:r>
        <w:rPr>
          <w:spacing w:val="-4"/>
          <w:sz w:val="15"/>
        </w:rPr>
        <w:t>It</w:t>
      </w:r>
      <w:r>
        <w:rPr>
          <w:spacing w:val="-5"/>
          <w:sz w:val="15"/>
        </w:rPr>
        <w:t xml:space="preserve"> </w:t>
      </w:r>
      <w:proofErr w:type="gramStart"/>
      <w:r>
        <w:rPr>
          <w:spacing w:val="-4"/>
          <w:sz w:val="15"/>
        </w:rPr>
        <w:t>was</w:t>
      </w:r>
      <w:r>
        <w:rPr>
          <w:spacing w:val="-5"/>
          <w:sz w:val="15"/>
        </w:rPr>
        <w:t xml:space="preserve"> </w:t>
      </w:r>
      <w:r>
        <w:rPr>
          <w:spacing w:val="-4"/>
          <w:sz w:val="15"/>
        </w:rPr>
        <w:t>further</w:t>
      </w:r>
      <w:r>
        <w:rPr>
          <w:spacing w:val="-5"/>
          <w:sz w:val="15"/>
        </w:rPr>
        <w:t xml:space="preserve"> </w:t>
      </w:r>
      <w:r>
        <w:rPr>
          <w:spacing w:val="-4"/>
          <w:sz w:val="15"/>
        </w:rPr>
        <w:t>impacted</w:t>
      </w:r>
      <w:proofErr w:type="gramEnd"/>
      <w:r>
        <w:rPr>
          <w:spacing w:val="-5"/>
          <w:sz w:val="15"/>
        </w:rPr>
        <w:t xml:space="preserve"> </w:t>
      </w:r>
      <w:r>
        <w:rPr>
          <w:spacing w:val="-4"/>
          <w:sz w:val="15"/>
        </w:rPr>
        <w:t>by</w:t>
      </w:r>
      <w:r>
        <w:rPr>
          <w:spacing w:val="-5"/>
          <w:sz w:val="15"/>
        </w:rPr>
        <w:t xml:space="preserve"> </w:t>
      </w:r>
      <w:r>
        <w:rPr>
          <w:spacing w:val="-4"/>
          <w:sz w:val="15"/>
        </w:rPr>
        <w:t>the</w:t>
      </w:r>
      <w:r>
        <w:rPr>
          <w:spacing w:val="-5"/>
          <w:sz w:val="15"/>
        </w:rPr>
        <w:t xml:space="preserve"> </w:t>
      </w:r>
      <w:r>
        <w:rPr>
          <w:spacing w:val="-4"/>
          <w:sz w:val="15"/>
        </w:rPr>
        <w:t>size</w:t>
      </w:r>
      <w:r>
        <w:rPr>
          <w:sz w:val="15"/>
        </w:rPr>
        <w:t xml:space="preserve"> of</w:t>
      </w:r>
      <w:r>
        <w:rPr>
          <w:spacing w:val="-2"/>
          <w:sz w:val="15"/>
        </w:rPr>
        <w:t xml:space="preserve"> </w:t>
      </w:r>
      <w:r>
        <w:rPr>
          <w:sz w:val="15"/>
        </w:rPr>
        <w:t>appointments</w:t>
      </w:r>
      <w:r>
        <w:rPr>
          <w:spacing w:val="-2"/>
          <w:sz w:val="15"/>
        </w:rPr>
        <w:t xml:space="preserve"> </w:t>
      </w:r>
      <w:r>
        <w:rPr>
          <w:sz w:val="15"/>
        </w:rPr>
        <w:t>since</w:t>
      </w:r>
      <w:r>
        <w:rPr>
          <w:spacing w:val="-2"/>
          <w:sz w:val="15"/>
        </w:rPr>
        <w:t xml:space="preserve"> </w:t>
      </w:r>
      <w:r>
        <w:rPr>
          <w:sz w:val="15"/>
        </w:rPr>
        <w:t>1</w:t>
      </w:r>
      <w:r>
        <w:rPr>
          <w:spacing w:val="-2"/>
          <w:sz w:val="15"/>
        </w:rPr>
        <w:t xml:space="preserve"> </w:t>
      </w:r>
      <w:r>
        <w:rPr>
          <w:sz w:val="15"/>
        </w:rPr>
        <w:t>January</w:t>
      </w:r>
      <w:r>
        <w:rPr>
          <w:spacing w:val="-2"/>
          <w:sz w:val="15"/>
        </w:rPr>
        <w:t xml:space="preserve"> </w:t>
      </w:r>
      <w:r>
        <w:rPr>
          <w:sz w:val="15"/>
        </w:rPr>
        <w:t>2023.</w:t>
      </w:r>
    </w:p>
    <w:p w14:paraId="2038F6DA" w14:textId="77777777" w:rsidR="00AC6F3C" w:rsidRDefault="00570E88">
      <w:pPr>
        <w:spacing w:before="47"/>
        <w:ind w:left="621"/>
        <w:rPr>
          <w:sz w:val="15"/>
        </w:rPr>
      </w:pPr>
      <w:r>
        <w:rPr>
          <w:spacing w:val="-4"/>
          <w:sz w:val="15"/>
        </w:rPr>
        <w:t>The</w:t>
      </w:r>
      <w:r>
        <w:rPr>
          <w:spacing w:val="-1"/>
          <w:sz w:val="15"/>
        </w:rPr>
        <w:t xml:space="preserve"> </w:t>
      </w:r>
      <w:r>
        <w:rPr>
          <w:spacing w:val="-4"/>
          <w:sz w:val="15"/>
        </w:rPr>
        <w:t>proposal</w:t>
      </w:r>
      <w:r>
        <w:rPr>
          <w:spacing w:val="-1"/>
          <w:sz w:val="15"/>
        </w:rPr>
        <w:t xml:space="preserve"> </w:t>
      </w:r>
      <w:r>
        <w:rPr>
          <w:spacing w:val="-4"/>
          <w:sz w:val="15"/>
        </w:rPr>
        <w:t>for</w:t>
      </w:r>
      <w:r>
        <w:rPr>
          <w:spacing w:val="-1"/>
          <w:sz w:val="15"/>
        </w:rPr>
        <w:t xml:space="preserve"> </w:t>
      </w:r>
      <w:r>
        <w:rPr>
          <w:spacing w:val="-4"/>
          <w:sz w:val="15"/>
        </w:rPr>
        <w:t>destruction</w:t>
      </w:r>
      <w:r>
        <w:rPr>
          <w:spacing w:val="-1"/>
          <w:sz w:val="15"/>
        </w:rPr>
        <w:t xml:space="preserve"> </w:t>
      </w:r>
      <w:r>
        <w:rPr>
          <w:spacing w:val="-4"/>
          <w:sz w:val="15"/>
        </w:rPr>
        <w:t>of</w:t>
      </w:r>
      <w:r>
        <w:rPr>
          <w:spacing w:val="-1"/>
          <w:sz w:val="15"/>
        </w:rPr>
        <w:t xml:space="preserve"> </w:t>
      </w:r>
      <w:r>
        <w:rPr>
          <w:spacing w:val="-4"/>
          <w:sz w:val="15"/>
        </w:rPr>
        <w:t>Archive</w:t>
      </w:r>
    </w:p>
    <w:p w14:paraId="4462DEC3" w14:textId="77777777" w:rsidR="00AC6F3C" w:rsidRDefault="00570E88">
      <w:pPr>
        <w:spacing w:before="8" w:line="249" w:lineRule="auto"/>
        <w:ind w:left="621" w:right="237"/>
        <w:rPr>
          <w:sz w:val="15"/>
        </w:rPr>
      </w:pPr>
      <w:r>
        <w:rPr>
          <w:sz w:val="15"/>
        </w:rPr>
        <w:t>files</w:t>
      </w:r>
      <w:r>
        <w:rPr>
          <w:spacing w:val="-2"/>
          <w:sz w:val="15"/>
        </w:rPr>
        <w:t xml:space="preserve"> </w:t>
      </w:r>
      <w:proofErr w:type="gramStart"/>
      <w:r>
        <w:rPr>
          <w:sz w:val="15"/>
        </w:rPr>
        <w:t>is</w:t>
      </w:r>
      <w:proofErr w:type="gramEnd"/>
      <w:r>
        <w:rPr>
          <w:spacing w:val="-2"/>
          <w:sz w:val="15"/>
        </w:rPr>
        <w:t xml:space="preserve"> </w:t>
      </w:r>
      <w:r>
        <w:rPr>
          <w:sz w:val="15"/>
        </w:rPr>
        <w:t>ready</w:t>
      </w:r>
      <w:r>
        <w:rPr>
          <w:spacing w:val="-2"/>
          <w:sz w:val="15"/>
        </w:rPr>
        <w:t xml:space="preserve"> </w:t>
      </w:r>
      <w:r>
        <w:rPr>
          <w:sz w:val="15"/>
        </w:rPr>
        <w:t>for</w:t>
      </w:r>
      <w:r>
        <w:rPr>
          <w:spacing w:val="-2"/>
          <w:sz w:val="15"/>
        </w:rPr>
        <w:t xml:space="preserve"> </w:t>
      </w:r>
      <w:r>
        <w:rPr>
          <w:sz w:val="15"/>
        </w:rPr>
        <w:t>delivery</w:t>
      </w:r>
      <w:r>
        <w:rPr>
          <w:spacing w:val="-2"/>
          <w:sz w:val="15"/>
        </w:rPr>
        <w:t xml:space="preserve"> </w:t>
      </w:r>
      <w:r>
        <w:rPr>
          <w:sz w:val="15"/>
        </w:rPr>
        <w:t>to</w:t>
      </w:r>
      <w:r>
        <w:rPr>
          <w:spacing w:val="-2"/>
          <w:sz w:val="15"/>
        </w:rPr>
        <w:t xml:space="preserve"> </w:t>
      </w:r>
      <w:r>
        <w:rPr>
          <w:sz w:val="15"/>
        </w:rPr>
        <w:t>the</w:t>
      </w:r>
      <w:r>
        <w:rPr>
          <w:spacing w:val="-2"/>
          <w:sz w:val="15"/>
        </w:rPr>
        <w:t xml:space="preserve"> </w:t>
      </w:r>
      <w:r>
        <w:rPr>
          <w:sz w:val="15"/>
        </w:rPr>
        <w:t xml:space="preserve">CEO. </w:t>
      </w:r>
      <w:proofErr w:type="gramStart"/>
      <w:r>
        <w:rPr>
          <w:sz w:val="15"/>
        </w:rPr>
        <w:t>However</w:t>
      </w:r>
      <w:proofErr w:type="gramEnd"/>
      <w:r>
        <w:rPr>
          <w:spacing w:val="-11"/>
          <w:sz w:val="15"/>
        </w:rPr>
        <w:t xml:space="preserve"> </w:t>
      </w:r>
      <w:r>
        <w:rPr>
          <w:sz w:val="15"/>
        </w:rPr>
        <w:t>it</w:t>
      </w:r>
      <w:r>
        <w:rPr>
          <w:spacing w:val="-10"/>
          <w:sz w:val="15"/>
        </w:rPr>
        <w:t xml:space="preserve"> </w:t>
      </w:r>
      <w:r>
        <w:rPr>
          <w:sz w:val="15"/>
        </w:rPr>
        <w:t>has</w:t>
      </w:r>
      <w:r>
        <w:rPr>
          <w:spacing w:val="-11"/>
          <w:sz w:val="15"/>
        </w:rPr>
        <w:t xml:space="preserve"> </w:t>
      </w:r>
      <w:r>
        <w:rPr>
          <w:sz w:val="15"/>
        </w:rPr>
        <w:t>been</w:t>
      </w:r>
      <w:r>
        <w:rPr>
          <w:spacing w:val="-10"/>
          <w:sz w:val="15"/>
        </w:rPr>
        <w:t xml:space="preserve"> </w:t>
      </w:r>
      <w:r>
        <w:rPr>
          <w:sz w:val="15"/>
        </w:rPr>
        <w:t>usurped</w:t>
      </w:r>
      <w:r>
        <w:rPr>
          <w:spacing w:val="-11"/>
          <w:sz w:val="15"/>
        </w:rPr>
        <w:t xml:space="preserve"> </w:t>
      </w:r>
      <w:r>
        <w:rPr>
          <w:sz w:val="15"/>
        </w:rPr>
        <w:t>by</w:t>
      </w:r>
      <w:r>
        <w:rPr>
          <w:spacing w:val="-10"/>
          <w:sz w:val="15"/>
        </w:rPr>
        <w:t xml:space="preserve"> </w:t>
      </w:r>
      <w:r>
        <w:rPr>
          <w:sz w:val="15"/>
        </w:rPr>
        <w:t xml:space="preserve">proposed </w:t>
      </w:r>
      <w:r>
        <w:rPr>
          <w:spacing w:val="-4"/>
          <w:sz w:val="15"/>
        </w:rPr>
        <w:t>amendments</w:t>
      </w:r>
      <w:r>
        <w:rPr>
          <w:spacing w:val="-7"/>
          <w:sz w:val="15"/>
        </w:rPr>
        <w:t xml:space="preserve"> </w:t>
      </w:r>
      <w:r>
        <w:rPr>
          <w:spacing w:val="-4"/>
          <w:sz w:val="15"/>
        </w:rPr>
        <w:t>to</w:t>
      </w:r>
      <w:r>
        <w:rPr>
          <w:spacing w:val="-6"/>
          <w:sz w:val="15"/>
        </w:rPr>
        <w:t xml:space="preserve"> </w:t>
      </w:r>
      <w:r>
        <w:rPr>
          <w:spacing w:val="-4"/>
          <w:sz w:val="15"/>
        </w:rPr>
        <w:t>the</w:t>
      </w:r>
      <w:r>
        <w:rPr>
          <w:spacing w:val="-7"/>
          <w:sz w:val="15"/>
        </w:rPr>
        <w:t xml:space="preserve"> </w:t>
      </w:r>
      <w:r>
        <w:rPr>
          <w:spacing w:val="-4"/>
          <w:sz w:val="15"/>
        </w:rPr>
        <w:t>LPA</w:t>
      </w:r>
      <w:r>
        <w:rPr>
          <w:spacing w:val="-6"/>
          <w:sz w:val="15"/>
        </w:rPr>
        <w:t xml:space="preserve"> </w:t>
      </w:r>
      <w:r>
        <w:rPr>
          <w:spacing w:val="-4"/>
          <w:sz w:val="15"/>
        </w:rPr>
        <w:t>to</w:t>
      </w:r>
      <w:r>
        <w:rPr>
          <w:spacing w:val="-7"/>
          <w:sz w:val="15"/>
        </w:rPr>
        <w:t xml:space="preserve"> </w:t>
      </w:r>
      <w:r>
        <w:rPr>
          <w:spacing w:val="-4"/>
          <w:sz w:val="15"/>
        </w:rPr>
        <w:t>allow</w:t>
      </w:r>
      <w:r>
        <w:rPr>
          <w:spacing w:val="-6"/>
          <w:sz w:val="15"/>
        </w:rPr>
        <w:t xml:space="preserve"> </w:t>
      </w:r>
      <w:r>
        <w:rPr>
          <w:spacing w:val="-4"/>
          <w:sz w:val="15"/>
        </w:rPr>
        <w:t>destruction</w:t>
      </w:r>
      <w:r>
        <w:rPr>
          <w:sz w:val="15"/>
        </w:rPr>
        <w:t xml:space="preserve"> of</w:t>
      </w:r>
      <w:r>
        <w:rPr>
          <w:spacing w:val="-3"/>
          <w:sz w:val="15"/>
        </w:rPr>
        <w:t xml:space="preserve"> </w:t>
      </w:r>
      <w:r>
        <w:rPr>
          <w:sz w:val="15"/>
        </w:rPr>
        <w:t>client</w:t>
      </w:r>
      <w:r>
        <w:rPr>
          <w:spacing w:val="-3"/>
          <w:sz w:val="15"/>
        </w:rPr>
        <w:t xml:space="preserve"> </w:t>
      </w:r>
      <w:r>
        <w:rPr>
          <w:sz w:val="15"/>
        </w:rPr>
        <w:t>documents</w:t>
      </w:r>
      <w:r>
        <w:rPr>
          <w:spacing w:val="-3"/>
          <w:sz w:val="15"/>
        </w:rPr>
        <w:t xml:space="preserve"> </w:t>
      </w:r>
      <w:r>
        <w:rPr>
          <w:sz w:val="15"/>
        </w:rPr>
        <w:t>after</w:t>
      </w:r>
      <w:r>
        <w:rPr>
          <w:spacing w:val="-3"/>
          <w:sz w:val="15"/>
        </w:rPr>
        <w:t xml:space="preserve"> </w:t>
      </w:r>
      <w:r>
        <w:rPr>
          <w:sz w:val="15"/>
        </w:rPr>
        <w:t>7</w:t>
      </w:r>
      <w:r>
        <w:rPr>
          <w:spacing w:val="-3"/>
          <w:sz w:val="15"/>
        </w:rPr>
        <w:t xml:space="preserve"> </w:t>
      </w:r>
      <w:r>
        <w:rPr>
          <w:sz w:val="15"/>
        </w:rPr>
        <w:t>years.</w:t>
      </w:r>
      <w:r>
        <w:rPr>
          <w:spacing w:val="-3"/>
          <w:sz w:val="15"/>
        </w:rPr>
        <w:t xml:space="preserve"> </w:t>
      </w:r>
      <w:r>
        <w:rPr>
          <w:sz w:val="15"/>
        </w:rPr>
        <w:t>Those new</w:t>
      </w:r>
      <w:r>
        <w:rPr>
          <w:spacing w:val="-7"/>
          <w:sz w:val="15"/>
        </w:rPr>
        <w:t xml:space="preserve"> </w:t>
      </w:r>
      <w:r>
        <w:rPr>
          <w:sz w:val="15"/>
        </w:rPr>
        <w:t>laws</w:t>
      </w:r>
      <w:r>
        <w:rPr>
          <w:spacing w:val="-7"/>
          <w:sz w:val="15"/>
        </w:rPr>
        <w:t xml:space="preserve"> </w:t>
      </w:r>
      <w:r>
        <w:rPr>
          <w:sz w:val="15"/>
        </w:rPr>
        <w:t>are</w:t>
      </w:r>
      <w:r>
        <w:rPr>
          <w:spacing w:val="-7"/>
          <w:sz w:val="15"/>
        </w:rPr>
        <w:t xml:space="preserve"> </w:t>
      </w:r>
      <w:r>
        <w:rPr>
          <w:sz w:val="15"/>
        </w:rPr>
        <w:t>in</w:t>
      </w:r>
      <w:r>
        <w:rPr>
          <w:spacing w:val="-7"/>
          <w:sz w:val="15"/>
        </w:rPr>
        <w:t xml:space="preserve"> </w:t>
      </w:r>
      <w:r>
        <w:rPr>
          <w:sz w:val="15"/>
        </w:rPr>
        <w:t>draft</w:t>
      </w:r>
      <w:r>
        <w:rPr>
          <w:spacing w:val="-7"/>
          <w:sz w:val="15"/>
        </w:rPr>
        <w:t xml:space="preserve"> </w:t>
      </w:r>
      <w:r>
        <w:rPr>
          <w:sz w:val="15"/>
        </w:rPr>
        <w:t>awaiting</w:t>
      </w:r>
      <w:r>
        <w:rPr>
          <w:spacing w:val="-7"/>
          <w:sz w:val="15"/>
        </w:rPr>
        <w:t xml:space="preserve"> </w:t>
      </w:r>
      <w:r>
        <w:rPr>
          <w:sz w:val="15"/>
        </w:rPr>
        <w:t>introduction to</w:t>
      </w:r>
      <w:r>
        <w:rPr>
          <w:spacing w:val="-9"/>
          <w:sz w:val="15"/>
        </w:rPr>
        <w:t xml:space="preserve"> </w:t>
      </w:r>
      <w:r>
        <w:rPr>
          <w:sz w:val="15"/>
        </w:rPr>
        <w:t>Parliament.</w:t>
      </w:r>
    </w:p>
    <w:p w14:paraId="2008C951"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6" w:space="720" w:equalWidth="0">
            <w:col w:w="2922" w:space="168"/>
            <w:col w:w="2930" w:space="39"/>
            <w:col w:w="489" w:space="156"/>
            <w:col w:w="4582" w:space="266"/>
            <w:col w:w="907" w:space="55"/>
            <w:col w:w="3706"/>
          </w:cols>
        </w:sectPr>
      </w:pPr>
    </w:p>
    <w:p w14:paraId="0C1FE02D" w14:textId="77777777" w:rsidR="00AC6F3C" w:rsidRDefault="00570E88">
      <w:pPr>
        <w:tabs>
          <w:tab w:val="left" w:pos="1103"/>
        </w:tabs>
        <w:spacing w:before="107"/>
        <w:ind w:left="196"/>
        <w:rPr>
          <w:sz w:val="15"/>
        </w:rPr>
      </w:pPr>
      <w:r>
        <w:rPr>
          <w:b/>
          <w:spacing w:val="-2"/>
          <w:sz w:val="15"/>
        </w:rPr>
        <w:t>Guide</w:t>
      </w:r>
      <w:r>
        <w:rPr>
          <w:b/>
          <w:sz w:val="15"/>
        </w:rPr>
        <w:tab/>
      </w:r>
      <w:r>
        <w:rPr>
          <w:spacing w:val="-2"/>
          <w:sz w:val="15"/>
        </w:rPr>
        <w:t>06.</w:t>
      </w:r>
      <w:r>
        <w:rPr>
          <w:spacing w:val="16"/>
          <w:sz w:val="15"/>
        </w:rPr>
        <w:t xml:space="preserve"> </w:t>
      </w:r>
      <w:r>
        <w:rPr>
          <w:spacing w:val="-2"/>
          <w:sz w:val="15"/>
        </w:rPr>
        <w:t>Continue</w:t>
      </w:r>
      <w:r>
        <w:rPr>
          <w:spacing w:val="-8"/>
          <w:sz w:val="15"/>
        </w:rPr>
        <w:t xml:space="preserve"> </w:t>
      </w:r>
      <w:r>
        <w:rPr>
          <w:spacing w:val="-2"/>
          <w:sz w:val="15"/>
        </w:rPr>
        <w:t>to</w:t>
      </w:r>
      <w:r>
        <w:rPr>
          <w:spacing w:val="-8"/>
          <w:sz w:val="15"/>
        </w:rPr>
        <w:t xml:space="preserve"> </w:t>
      </w:r>
      <w:r>
        <w:rPr>
          <w:spacing w:val="-2"/>
          <w:sz w:val="15"/>
        </w:rPr>
        <w:t>provide</w:t>
      </w:r>
      <w:r>
        <w:rPr>
          <w:spacing w:val="-9"/>
          <w:sz w:val="15"/>
        </w:rPr>
        <w:t xml:space="preserve"> </w:t>
      </w:r>
      <w:r>
        <w:rPr>
          <w:spacing w:val="-5"/>
          <w:sz w:val="15"/>
        </w:rPr>
        <w:t>the</w:t>
      </w:r>
    </w:p>
    <w:p w14:paraId="3DE7D738" w14:textId="77777777" w:rsidR="00AC6F3C" w:rsidRDefault="00570E88">
      <w:pPr>
        <w:spacing w:before="8" w:line="249" w:lineRule="auto"/>
        <w:ind w:left="1386"/>
        <w:rPr>
          <w:sz w:val="15"/>
        </w:rPr>
      </w:pPr>
      <w:r>
        <w:rPr>
          <w:spacing w:val="-4"/>
          <w:sz w:val="15"/>
        </w:rPr>
        <w:t>practice advisory service</w:t>
      </w:r>
      <w:r>
        <w:rPr>
          <w:sz w:val="15"/>
        </w:rPr>
        <w:t xml:space="preserve"> and report on member </w:t>
      </w:r>
      <w:r>
        <w:rPr>
          <w:spacing w:val="-2"/>
          <w:sz w:val="15"/>
        </w:rPr>
        <w:t>satisfaction</w:t>
      </w:r>
    </w:p>
    <w:p w14:paraId="02385404" w14:textId="77777777" w:rsidR="00AC6F3C" w:rsidRDefault="00570E88">
      <w:pPr>
        <w:pStyle w:val="ListParagraph"/>
        <w:numPr>
          <w:ilvl w:val="1"/>
          <w:numId w:val="80"/>
        </w:numPr>
        <w:tabs>
          <w:tab w:val="left" w:pos="621"/>
        </w:tabs>
        <w:spacing w:before="107"/>
        <w:ind w:hanging="425"/>
        <w:rPr>
          <w:sz w:val="15"/>
        </w:rPr>
      </w:pPr>
      <w:r>
        <w:br w:type="column"/>
      </w:r>
      <w:r>
        <w:rPr>
          <w:spacing w:val="-4"/>
          <w:sz w:val="15"/>
        </w:rPr>
        <w:t>Quarterly</w:t>
      </w:r>
      <w:r>
        <w:rPr>
          <w:spacing w:val="2"/>
          <w:sz w:val="15"/>
        </w:rPr>
        <w:t xml:space="preserve"> </w:t>
      </w:r>
      <w:r>
        <w:rPr>
          <w:spacing w:val="-4"/>
          <w:sz w:val="15"/>
        </w:rPr>
        <w:t>report</w:t>
      </w:r>
      <w:r>
        <w:rPr>
          <w:spacing w:val="2"/>
          <w:sz w:val="15"/>
        </w:rPr>
        <w:t xml:space="preserve"> </w:t>
      </w:r>
      <w:r>
        <w:rPr>
          <w:spacing w:val="-4"/>
          <w:sz w:val="15"/>
        </w:rPr>
        <w:t>on</w:t>
      </w:r>
      <w:r>
        <w:rPr>
          <w:spacing w:val="3"/>
          <w:sz w:val="15"/>
        </w:rPr>
        <w:t xml:space="preserve"> </w:t>
      </w:r>
      <w:r>
        <w:rPr>
          <w:spacing w:val="-5"/>
          <w:sz w:val="15"/>
        </w:rPr>
        <w:t>the</w:t>
      </w:r>
    </w:p>
    <w:p w14:paraId="45FBDAAB" w14:textId="77777777" w:rsidR="00AC6F3C" w:rsidRDefault="00570E88">
      <w:pPr>
        <w:spacing w:before="8"/>
        <w:ind w:left="621"/>
        <w:rPr>
          <w:sz w:val="15"/>
        </w:rPr>
      </w:pPr>
      <w:r>
        <w:rPr>
          <w:spacing w:val="-4"/>
          <w:sz w:val="15"/>
        </w:rPr>
        <w:t>ILP</w:t>
      </w:r>
      <w:r>
        <w:rPr>
          <w:spacing w:val="-1"/>
          <w:sz w:val="15"/>
        </w:rPr>
        <w:t xml:space="preserve"> </w:t>
      </w:r>
      <w:r>
        <w:rPr>
          <w:spacing w:val="-4"/>
          <w:sz w:val="15"/>
        </w:rPr>
        <w:t>Strategic</w:t>
      </w:r>
      <w:r>
        <w:rPr>
          <w:spacing w:val="-1"/>
          <w:sz w:val="15"/>
        </w:rPr>
        <w:t xml:space="preserve"> </w:t>
      </w:r>
      <w:r>
        <w:rPr>
          <w:spacing w:val="-4"/>
          <w:sz w:val="15"/>
        </w:rPr>
        <w:t>Plan</w:t>
      </w:r>
    </w:p>
    <w:p w14:paraId="6A00BB52" w14:textId="77777777" w:rsidR="00AC6F3C" w:rsidRDefault="00570E88">
      <w:pPr>
        <w:spacing w:before="107" w:line="501" w:lineRule="auto"/>
        <w:ind w:left="196" w:right="38"/>
        <w:jc w:val="both"/>
        <w:rPr>
          <w:b/>
          <w:sz w:val="15"/>
        </w:rPr>
      </w:pPr>
      <w:r>
        <w:br w:type="column"/>
      </w:r>
      <w:r>
        <w:rPr>
          <w:b/>
          <w:spacing w:val="-8"/>
          <w:sz w:val="15"/>
        </w:rPr>
        <w:t>KPI1</w:t>
      </w:r>
      <w:r>
        <w:rPr>
          <w:b/>
          <w:sz w:val="15"/>
        </w:rPr>
        <w:t xml:space="preserve"> </w:t>
      </w:r>
      <w:r>
        <w:rPr>
          <w:b/>
          <w:spacing w:val="-8"/>
          <w:sz w:val="15"/>
        </w:rPr>
        <w:t>KPI2</w:t>
      </w:r>
      <w:r>
        <w:rPr>
          <w:b/>
          <w:sz w:val="15"/>
        </w:rPr>
        <w:t xml:space="preserve"> </w:t>
      </w:r>
      <w:r>
        <w:rPr>
          <w:b/>
          <w:spacing w:val="-8"/>
          <w:sz w:val="15"/>
        </w:rPr>
        <w:t>KPI3</w:t>
      </w:r>
      <w:r>
        <w:rPr>
          <w:b/>
          <w:sz w:val="15"/>
        </w:rPr>
        <w:t xml:space="preserve"> </w:t>
      </w:r>
      <w:r>
        <w:rPr>
          <w:b/>
          <w:spacing w:val="-8"/>
          <w:sz w:val="15"/>
        </w:rPr>
        <w:t>KPI4</w:t>
      </w:r>
    </w:p>
    <w:p w14:paraId="391F2A88" w14:textId="77777777" w:rsidR="00AC6F3C" w:rsidRDefault="00570E88">
      <w:pPr>
        <w:spacing w:line="171" w:lineRule="exact"/>
        <w:ind w:left="196"/>
        <w:rPr>
          <w:b/>
          <w:sz w:val="15"/>
        </w:rPr>
      </w:pPr>
      <w:r>
        <w:rPr>
          <w:noProof/>
        </w:rPr>
        <mc:AlternateContent>
          <mc:Choice Requires="wpg">
            <w:drawing>
              <wp:anchor distT="0" distB="0" distL="0" distR="0" simplePos="0" relativeHeight="15745024" behindDoc="0" locked="0" layoutInCell="1" allowOverlap="1" wp14:anchorId="7AC5B23B" wp14:editId="0D53689D">
                <wp:simplePos x="0" y="0"/>
                <wp:positionH relativeFrom="page">
                  <wp:posOffset>269999</wp:posOffset>
                </wp:positionH>
                <wp:positionV relativeFrom="paragraph">
                  <wp:posOffset>140697</wp:posOffset>
                </wp:positionV>
                <wp:extent cx="10152380" cy="31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68" name="Graphic 68"/>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69" name="Graphic 69"/>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70" name="Graphic 70"/>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71" name="Graphic 71"/>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72" name="Graphic 72"/>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73" name="Graphic 73"/>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74" name="Graphic 74"/>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75" name="Graphic 75"/>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76" name="Graphic 76"/>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77" name="Graphic 77"/>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4751BB" id="Group 67" o:spid="_x0000_s1026" style="position:absolute;margin-left:21.25pt;margin-top:11.1pt;width:799.4pt;height:.25pt;z-index:15745024;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">
                <v:shape id="Graphic 68"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" path="m,l575995,e" filled="f" strokeweight=".25pt">
                  <v:path arrowok="t"/>
                </v:shape>
                <v:shape id="Graphic 69"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" path="m,l1386001,e" filled="f" strokeweight=".25pt">
                  <v:path arrowok="t"/>
                </v:shape>
                <v:shape id="Graphic 70"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" path="m,l1845005,e" filled="f" strokeweight=".25pt">
                  <v:path arrowok="t"/>
                </v:shape>
                <v:shape id="Graphic 71"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" path="m,l449999,e" filled="f" strokeweight=".25pt">
                  <v:path arrowok="t"/>
                </v:shape>
                <v:shape id="Graphic 72"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" path="m,l548995,e" filled="f" strokeweight=".25pt">
                  <v:path arrowok="t"/>
                </v:shape>
                <v:shape id="Graphic 73"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" path="m,l774001,e" filled="f" strokeweight=".25pt">
                  <v:path arrowok="t"/>
                </v:shape>
                <v:shape id="Graphic 74"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" path="m,l1143000,e" filled="f" strokeweight=".25pt">
                  <v:path arrowok="t"/>
                </v:shape>
                <v:shape id="Graphic 75"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" path="m,l612000,e" filled="f" strokeweight=".25pt">
                  <v:path arrowok="t"/>
                </v:shape>
                <v:shape id="Graphic 76"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" path="m,l612000,e" filled="f" strokeweight=".25pt">
                  <v:path arrowok="t"/>
                </v:shape>
                <v:shape id="Graphic 77"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" path="m,l2204999,e" filled="f" strokeweight=".25pt">
                  <v:path arrowok="t"/>
                </v:shape>
                <w10:wrap anchorx="page"/>
              </v:group>
            </w:pict>
          </mc:Fallback>
        </mc:AlternateContent>
      </w:r>
      <w:r>
        <w:rPr>
          <w:b/>
          <w:spacing w:val="-4"/>
          <w:sz w:val="15"/>
        </w:rPr>
        <w:t>KPI5</w:t>
      </w:r>
    </w:p>
    <w:p w14:paraId="7BAF72E7" w14:textId="77777777" w:rsidR="00AC6F3C" w:rsidRDefault="00570E88">
      <w:pPr>
        <w:tabs>
          <w:tab w:val="left" w:pos="1060"/>
          <w:tab w:val="left" w:pos="2279"/>
        </w:tabs>
        <w:spacing w:before="107" w:line="249" w:lineRule="auto"/>
        <w:ind w:left="2704" w:right="38" w:hanging="2509"/>
        <w:rPr>
          <w:sz w:val="15"/>
        </w:rPr>
      </w:pPr>
      <w:r>
        <w:br w:type="column"/>
      </w:r>
      <w:r>
        <w:rPr>
          <w:spacing w:val="-2"/>
          <w:sz w:val="15"/>
        </w:rPr>
        <w:t>30-Jun-23</w:t>
      </w:r>
      <w:r>
        <w:rPr>
          <w:sz w:val="15"/>
        </w:rPr>
        <w:tab/>
      </w:r>
      <w:r>
        <w:rPr>
          <w:spacing w:val="-2"/>
          <w:sz w:val="15"/>
        </w:rPr>
        <w:t>Ethics</w:t>
      </w:r>
      <w:r>
        <w:rPr>
          <w:sz w:val="15"/>
        </w:rPr>
        <w:tab/>
      </w:r>
      <w:r>
        <w:rPr>
          <w:spacing w:val="-2"/>
          <w:sz w:val="15"/>
        </w:rPr>
        <w:t>6.1.1</w:t>
      </w:r>
      <w:r>
        <w:rPr>
          <w:spacing w:val="47"/>
          <w:sz w:val="15"/>
        </w:rPr>
        <w:t xml:space="preserve"> </w:t>
      </w:r>
      <w:r>
        <w:rPr>
          <w:spacing w:val="-2"/>
          <w:sz w:val="15"/>
        </w:rPr>
        <w:t>Quarterly</w:t>
      </w:r>
      <w:r>
        <w:rPr>
          <w:spacing w:val="-9"/>
          <w:sz w:val="15"/>
        </w:rPr>
        <w:t xml:space="preserve"> </w:t>
      </w:r>
      <w:r>
        <w:rPr>
          <w:spacing w:val="-2"/>
          <w:sz w:val="15"/>
        </w:rPr>
        <w:t>reports</w:t>
      </w:r>
      <w:r>
        <w:rPr>
          <w:sz w:val="15"/>
        </w:rPr>
        <w:t xml:space="preserve"> submitted</w:t>
      </w:r>
      <w:r>
        <w:rPr>
          <w:spacing w:val="-9"/>
          <w:sz w:val="15"/>
        </w:rPr>
        <w:t xml:space="preserve"> </w:t>
      </w:r>
      <w:r>
        <w:rPr>
          <w:sz w:val="15"/>
        </w:rPr>
        <w:t xml:space="preserve">to </w:t>
      </w:r>
      <w:r>
        <w:rPr>
          <w:spacing w:val="-2"/>
          <w:sz w:val="15"/>
        </w:rPr>
        <w:t>Council</w:t>
      </w:r>
    </w:p>
    <w:p w14:paraId="14D7FD69" w14:textId="77777777" w:rsidR="00AC6F3C" w:rsidRDefault="00570E88">
      <w:pPr>
        <w:spacing w:before="45"/>
        <w:ind w:left="2279"/>
        <w:rPr>
          <w:sz w:val="15"/>
        </w:rPr>
      </w:pPr>
      <w:r>
        <w:rPr>
          <w:spacing w:val="-2"/>
          <w:sz w:val="15"/>
        </w:rPr>
        <w:t>6.1.2</w:t>
      </w:r>
      <w:r>
        <w:rPr>
          <w:spacing w:val="46"/>
          <w:sz w:val="15"/>
        </w:rPr>
        <w:t xml:space="preserve"> </w:t>
      </w:r>
      <w:r>
        <w:rPr>
          <w:spacing w:val="-2"/>
          <w:sz w:val="15"/>
        </w:rPr>
        <w:t>Member</w:t>
      </w:r>
      <w:r>
        <w:rPr>
          <w:spacing w:val="-9"/>
          <w:sz w:val="15"/>
        </w:rPr>
        <w:t xml:space="preserve"> </w:t>
      </w:r>
      <w:r>
        <w:rPr>
          <w:spacing w:val="-2"/>
          <w:sz w:val="15"/>
        </w:rPr>
        <w:t>survey</w:t>
      </w:r>
    </w:p>
    <w:p w14:paraId="3D21516D" w14:textId="77777777" w:rsidR="00AC6F3C" w:rsidRDefault="00570E88">
      <w:pPr>
        <w:spacing w:before="7" w:line="249" w:lineRule="auto"/>
        <w:ind w:left="2704"/>
        <w:rPr>
          <w:sz w:val="15"/>
        </w:rPr>
      </w:pPr>
      <w:r>
        <w:rPr>
          <w:spacing w:val="-2"/>
          <w:sz w:val="15"/>
        </w:rPr>
        <w:t>demonstrates</w:t>
      </w:r>
      <w:r>
        <w:rPr>
          <w:sz w:val="15"/>
        </w:rPr>
        <w:t xml:space="preserve"> </w:t>
      </w:r>
      <w:r>
        <w:rPr>
          <w:spacing w:val="-4"/>
          <w:sz w:val="15"/>
        </w:rPr>
        <w:t>satisfaction</w:t>
      </w:r>
      <w:r>
        <w:rPr>
          <w:spacing w:val="-7"/>
          <w:sz w:val="15"/>
        </w:rPr>
        <w:t xml:space="preserve"> </w:t>
      </w:r>
      <w:r>
        <w:rPr>
          <w:spacing w:val="-4"/>
          <w:sz w:val="15"/>
        </w:rPr>
        <w:t>4/5</w:t>
      </w:r>
      <w:r>
        <w:rPr>
          <w:spacing w:val="-6"/>
          <w:sz w:val="15"/>
        </w:rPr>
        <w:t xml:space="preserve"> </w:t>
      </w:r>
      <w:r>
        <w:rPr>
          <w:spacing w:val="-4"/>
          <w:sz w:val="15"/>
        </w:rPr>
        <w:t>/</w:t>
      </w:r>
      <w:r>
        <w:rPr>
          <w:sz w:val="15"/>
        </w:rPr>
        <w:t xml:space="preserve"> </w:t>
      </w:r>
      <w:r>
        <w:rPr>
          <w:spacing w:val="-4"/>
          <w:sz w:val="15"/>
        </w:rPr>
        <w:t>80%</w:t>
      </w:r>
    </w:p>
    <w:p w14:paraId="423DA9D9" w14:textId="77777777" w:rsidR="00AC6F3C" w:rsidRDefault="00570E88">
      <w:pPr>
        <w:tabs>
          <w:tab w:val="left" w:pos="963"/>
          <w:tab w:val="left" w:pos="1927"/>
        </w:tabs>
        <w:spacing w:before="107"/>
        <w:ind w:right="601"/>
        <w:jc w:val="right"/>
        <w:rPr>
          <w:sz w:val="15"/>
        </w:rPr>
      </w:pPr>
      <w:r>
        <w:br w:type="column"/>
      </w:r>
      <w:r>
        <w:rPr>
          <w:b/>
          <w:spacing w:val="-2"/>
          <w:sz w:val="15"/>
        </w:rPr>
        <w:t>Green</w:t>
      </w:r>
      <w:r>
        <w:rPr>
          <w:b/>
          <w:sz w:val="15"/>
        </w:rPr>
        <w:tab/>
      </w:r>
      <w:r>
        <w:rPr>
          <w:b/>
          <w:spacing w:val="-2"/>
          <w:sz w:val="15"/>
        </w:rPr>
        <w:t>Achieved</w:t>
      </w:r>
      <w:r>
        <w:rPr>
          <w:b/>
          <w:sz w:val="15"/>
        </w:rPr>
        <w:tab/>
      </w:r>
      <w:r>
        <w:rPr>
          <w:spacing w:val="-4"/>
          <w:sz w:val="15"/>
        </w:rPr>
        <w:t>6.1.1</w:t>
      </w:r>
      <w:r>
        <w:rPr>
          <w:spacing w:val="72"/>
          <w:w w:val="150"/>
          <w:sz w:val="15"/>
        </w:rPr>
        <w:t xml:space="preserve"> </w:t>
      </w:r>
      <w:r>
        <w:rPr>
          <w:spacing w:val="-4"/>
          <w:sz w:val="15"/>
        </w:rPr>
        <w:t>Achieved</w:t>
      </w:r>
      <w:r>
        <w:rPr>
          <w:spacing w:val="-5"/>
          <w:sz w:val="15"/>
        </w:rPr>
        <w:t xml:space="preserve"> </w:t>
      </w:r>
      <w:r>
        <w:rPr>
          <w:spacing w:val="-4"/>
          <w:sz w:val="15"/>
        </w:rPr>
        <w:t>–</w:t>
      </w:r>
      <w:r>
        <w:rPr>
          <w:spacing w:val="-6"/>
          <w:sz w:val="15"/>
        </w:rPr>
        <w:t xml:space="preserve"> </w:t>
      </w:r>
      <w:r>
        <w:rPr>
          <w:spacing w:val="-4"/>
          <w:sz w:val="15"/>
        </w:rPr>
        <w:t>quarterly</w:t>
      </w:r>
      <w:r>
        <w:rPr>
          <w:spacing w:val="-5"/>
          <w:sz w:val="15"/>
        </w:rPr>
        <w:t xml:space="preserve"> </w:t>
      </w:r>
      <w:r>
        <w:rPr>
          <w:spacing w:val="-4"/>
          <w:sz w:val="15"/>
        </w:rPr>
        <w:t>reports</w:t>
      </w:r>
      <w:r>
        <w:rPr>
          <w:spacing w:val="-6"/>
          <w:sz w:val="15"/>
        </w:rPr>
        <w:t xml:space="preserve"> </w:t>
      </w:r>
      <w:r>
        <w:rPr>
          <w:spacing w:val="-4"/>
          <w:sz w:val="15"/>
        </w:rPr>
        <w:t>on</w:t>
      </w:r>
      <w:r>
        <w:rPr>
          <w:spacing w:val="-5"/>
          <w:sz w:val="15"/>
        </w:rPr>
        <w:t xml:space="preserve"> </w:t>
      </w:r>
      <w:r>
        <w:rPr>
          <w:spacing w:val="-4"/>
          <w:sz w:val="15"/>
        </w:rPr>
        <w:t>the</w:t>
      </w:r>
      <w:r>
        <w:rPr>
          <w:spacing w:val="-5"/>
          <w:sz w:val="15"/>
        </w:rPr>
        <w:t xml:space="preserve"> </w:t>
      </w:r>
      <w:proofErr w:type="gramStart"/>
      <w:r>
        <w:rPr>
          <w:spacing w:val="-5"/>
          <w:sz w:val="15"/>
        </w:rPr>
        <w:t>ILP</w:t>
      </w:r>
      <w:proofErr w:type="gramEnd"/>
    </w:p>
    <w:p w14:paraId="52A9CF36" w14:textId="77777777" w:rsidR="00AC6F3C" w:rsidRDefault="00570E88">
      <w:pPr>
        <w:spacing w:before="8"/>
        <w:ind w:right="513"/>
        <w:jc w:val="right"/>
        <w:rPr>
          <w:sz w:val="15"/>
        </w:rPr>
      </w:pPr>
      <w:r>
        <w:rPr>
          <w:spacing w:val="-4"/>
          <w:sz w:val="15"/>
        </w:rPr>
        <w:t>Strategic</w:t>
      </w:r>
      <w:r>
        <w:rPr>
          <w:spacing w:val="-3"/>
          <w:sz w:val="15"/>
        </w:rPr>
        <w:t xml:space="preserve"> </w:t>
      </w:r>
      <w:r>
        <w:rPr>
          <w:spacing w:val="-4"/>
          <w:sz w:val="15"/>
        </w:rPr>
        <w:t>Plan</w:t>
      </w:r>
      <w:r>
        <w:rPr>
          <w:spacing w:val="-3"/>
          <w:sz w:val="15"/>
        </w:rPr>
        <w:t xml:space="preserve"> </w:t>
      </w:r>
      <w:r>
        <w:rPr>
          <w:spacing w:val="-4"/>
          <w:sz w:val="15"/>
        </w:rPr>
        <w:t>were</w:t>
      </w:r>
      <w:r>
        <w:rPr>
          <w:spacing w:val="-3"/>
          <w:sz w:val="15"/>
        </w:rPr>
        <w:t xml:space="preserve"> </w:t>
      </w:r>
      <w:r>
        <w:rPr>
          <w:spacing w:val="-4"/>
          <w:sz w:val="15"/>
        </w:rPr>
        <w:t>submitted</w:t>
      </w:r>
      <w:r>
        <w:rPr>
          <w:spacing w:val="-3"/>
          <w:sz w:val="15"/>
        </w:rPr>
        <w:t xml:space="preserve"> </w:t>
      </w:r>
      <w:r>
        <w:rPr>
          <w:spacing w:val="-4"/>
          <w:sz w:val="15"/>
        </w:rPr>
        <w:t>to</w:t>
      </w:r>
      <w:r>
        <w:rPr>
          <w:spacing w:val="-3"/>
          <w:sz w:val="15"/>
        </w:rPr>
        <w:t xml:space="preserve"> </w:t>
      </w:r>
      <w:proofErr w:type="gramStart"/>
      <w:r>
        <w:rPr>
          <w:spacing w:val="-4"/>
          <w:sz w:val="15"/>
        </w:rPr>
        <w:t>Council</w:t>
      </w:r>
      <w:proofErr w:type="gramEnd"/>
    </w:p>
    <w:p w14:paraId="577F1B3D" w14:textId="77777777" w:rsidR="00AC6F3C" w:rsidRDefault="00570E88">
      <w:pPr>
        <w:spacing w:before="50" w:line="249" w:lineRule="auto"/>
        <w:ind w:left="2548" w:right="550" w:hanging="426"/>
        <w:rPr>
          <w:sz w:val="15"/>
        </w:rPr>
      </w:pPr>
      <w:r>
        <w:rPr>
          <w:spacing w:val="-4"/>
          <w:sz w:val="15"/>
        </w:rPr>
        <w:t>6.1.2</w:t>
      </w:r>
      <w:r>
        <w:rPr>
          <w:spacing w:val="65"/>
          <w:sz w:val="15"/>
        </w:rPr>
        <w:t xml:space="preserve"> </w:t>
      </w:r>
      <w:r>
        <w:rPr>
          <w:spacing w:val="-4"/>
          <w:sz w:val="15"/>
        </w:rPr>
        <w:t>Achieved</w:t>
      </w:r>
      <w:r>
        <w:rPr>
          <w:spacing w:val="-7"/>
          <w:sz w:val="15"/>
        </w:rPr>
        <w:t xml:space="preserve"> </w:t>
      </w:r>
      <w:r>
        <w:rPr>
          <w:spacing w:val="-4"/>
          <w:sz w:val="15"/>
        </w:rPr>
        <w:t>–</w:t>
      </w:r>
      <w:r>
        <w:rPr>
          <w:spacing w:val="-6"/>
          <w:sz w:val="15"/>
        </w:rPr>
        <w:t xml:space="preserve"> </w:t>
      </w:r>
      <w:r>
        <w:rPr>
          <w:spacing w:val="-4"/>
          <w:sz w:val="15"/>
        </w:rPr>
        <w:t>member</w:t>
      </w:r>
      <w:r>
        <w:rPr>
          <w:spacing w:val="-7"/>
          <w:sz w:val="15"/>
        </w:rPr>
        <w:t xml:space="preserve"> </w:t>
      </w:r>
      <w:r>
        <w:rPr>
          <w:spacing w:val="-4"/>
          <w:sz w:val="15"/>
        </w:rPr>
        <w:t>survey</w:t>
      </w:r>
      <w:r>
        <w:rPr>
          <w:spacing w:val="-6"/>
          <w:sz w:val="15"/>
        </w:rPr>
        <w:t xml:space="preserve"> </w:t>
      </w:r>
      <w:r>
        <w:rPr>
          <w:spacing w:val="-4"/>
          <w:sz w:val="15"/>
        </w:rPr>
        <w:t>satisfaction</w:t>
      </w:r>
      <w:r>
        <w:rPr>
          <w:sz w:val="15"/>
        </w:rPr>
        <w:t xml:space="preserve"> is</w:t>
      </w:r>
      <w:r>
        <w:rPr>
          <w:spacing w:val="-9"/>
          <w:sz w:val="15"/>
        </w:rPr>
        <w:t xml:space="preserve"> </w:t>
      </w:r>
      <w:r>
        <w:rPr>
          <w:sz w:val="15"/>
        </w:rPr>
        <w:t>97%</w:t>
      </w:r>
    </w:p>
    <w:p w14:paraId="4244DE15"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5" w:space="720" w:equalWidth="0">
            <w:col w:w="3009" w:space="81"/>
            <w:col w:w="2109" w:space="796"/>
            <w:col w:w="552" w:space="157"/>
            <w:col w:w="3832" w:space="51"/>
            <w:col w:w="5633"/>
          </w:cols>
        </w:sectPr>
      </w:pPr>
    </w:p>
    <w:p w14:paraId="6708AD2F" w14:textId="77777777" w:rsidR="00AC6F3C" w:rsidRDefault="00570E88">
      <w:pPr>
        <w:tabs>
          <w:tab w:val="left" w:pos="1103"/>
        </w:tabs>
        <w:spacing w:before="107"/>
        <w:ind w:left="196"/>
        <w:rPr>
          <w:sz w:val="15"/>
        </w:rPr>
      </w:pPr>
      <w:r>
        <w:rPr>
          <w:b/>
          <w:spacing w:val="-2"/>
          <w:sz w:val="15"/>
        </w:rPr>
        <w:t>Guide</w:t>
      </w:r>
      <w:r>
        <w:rPr>
          <w:b/>
          <w:sz w:val="15"/>
        </w:rPr>
        <w:tab/>
      </w:r>
      <w:r>
        <w:rPr>
          <w:spacing w:val="-2"/>
          <w:sz w:val="15"/>
        </w:rPr>
        <w:t>07.</w:t>
      </w:r>
      <w:r>
        <w:rPr>
          <w:spacing w:val="27"/>
          <w:sz w:val="15"/>
        </w:rPr>
        <w:t xml:space="preserve"> </w:t>
      </w:r>
      <w:r>
        <w:rPr>
          <w:spacing w:val="-2"/>
          <w:sz w:val="15"/>
        </w:rPr>
        <w:t>Continue</w:t>
      </w:r>
      <w:r>
        <w:rPr>
          <w:spacing w:val="-8"/>
          <w:sz w:val="15"/>
        </w:rPr>
        <w:t xml:space="preserve"> </w:t>
      </w:r>
      <w:r>
        <w:rPr>
          <w:spacing w:val="-2"/>
          <w:sz w:val="15"/>
        </w:rPr>
        <w:t>to</w:t>
      </w:r>
      <w:r>
        <w:rPr>
          <w:spacing w:val="-9"/>
          <w:sz w:val="15"/>
        </w:rPr>
        <w:t xml:space="preserve"> </w:t>
      </w:r>
      <w:r>
        <w:rPr>
          <w:spacing w:val="-2"/>
          <w:sz w:val="15"/>
        </w:rPr>
        <w:t>roll</w:t>
      </w:r>
      <w:r>
        <w:rPr>
          <w:spacing w:val="-8"/>
          <w:sz w:val="15"/>
        </w:rPr>
        <w:t xml:space="preserve"> </w:t>
      </w:r>
      <w:r>
        <w:rPr>
          <w:spacing w:val="-2"/>
          <w:sz w:val="15"/>
        </w:rPr>
        <w:t>out</w:t>
      </w:r>
      <w:r>
        <w:rPr>
          <w:spacing w:val="-9"/>
          <w:sz w:val="15"/>
        </w:rPr>
        <w:t xml:space="preserve"> </w:t>
      </w:r>
      <w:r>
        <w:rPr>
          <w:spacing w:val="-5"/>
          <w:sz w:val="15"/>
        </w:rPr>
        <w:t>the</w:t>
      </w:r>
    </w:p>
    <w:p w14:paraId="52E8D0F2" w14:textId="77777777" w:rsidR="00AC6F3C" w:rsidRDefault="00570E88">
      <w:pPr>
        <w:spacing w:before="7"/>
        <w:ind w:left="1386"/>
        <w:rPr>
          <w:sz w:val="15"/>
        </w:rPr>
      </w:pPr>
      <w:r>
        <w:rPr>
          <w:spacing w:val="-4"/>
          <w:sz w:val="15"/>
        </w:rPr>
        <w:t>locum</w:t>
      </w:r>
      <w:r>
        <w:rPr>
          <w:spacing w:val="-5"/>
          <w:sz w:val="15"/>
        </w:rPr>
        <w:t xml:space="preserve"> </w:t>
      </w:r>
      <w:r>
        <w:rPr>
          <w:spacing w:val="-2"/>
          <w:sz w:val="15"/>
        </w:rPr>
        <w:t>service</w:t>
      </w:r>
    </w:p>
    <w:p w14:paraId="48A4AAD5" w14:textId="77777777" w:rsidR="00AC6F3C" w:rsidRDefault="00570E88">
      <w:pPr>
        <w:pStyle w:val="ListParagraph"/>
        <w:numPr>
          <w:ilvl w:val="2"/>
          <w:numId w:val="79"/>
        </w:numPr>
        <w:tabs>
          <w:tab w:val="left" w:pos="617"/>
          <w:tab w:val="left" w:pos="3101"/>
        </w:tabs>
        <w:spacing w:before="107" w:line="501" w:lineRule="auto"/>
        <w:ind w:right="38" w:hanging="2906"/>
        <w:jc w:val="both"/>
        <w:rPr>
          <w:b/>
          <w:sz w:val="15"/>
        </w:rPr>
      </w:pPr>
      <w:r>
        <w:br w:type="column"/>
      </w:r>
      <w:r>
        <w:rPr>
          <w:sz w:val="15"/>
        </w:rPr>
        <w:t>Roll out the locum service</w:t>
      </w:r>
      <w:r>
        <w:rPr>
          <w:sz w:val="15"/>
        </w:rPr>
        <w:tab/>
      </w:r>
      <w:r>
        <w:rPr>
          <w:b/>
          <w:spacing w:val="-8"/>
          <w:sz w:val="15"/>
        </w:rPr>
        <w:t>KPI2</w:t>
      </w:r>
      <w:r>
        <w:rPr>
          <w:b/>
          <w:sz w:val="15"/>
        </w:rPr>
        <w:t xml:space="preserve"> </w:t>
      </w:r>
      <w:r>
        <w:rPr>
          <w:b/>
          <w:spacing w:val="-8"/>
          <w:sz w:val="15"/>
        </w:rPr>
        <w:t>KPI3</w:t>
      </w:r>
      <w:r>
        <w:rPr>
          <w:b/>
          <w:sz w:val="15"/>
        </w:rPr>
        <w:t xml:space="preserve"> </w:t>
      </w:r>
      <w:r>
        <w:rPr>
          <w:b/>
          <w:spacing w:val="-8"/>
          <w:sz w:val="15"/>
        </w:rPr>
        <w:t>KPI4</w:t>
      </w:r>
      <w:r>
        <w:rPr>
          <w:b/>
          <w:sz w:val="15"/>
        </w:rPr>
        <w:t xml:space="preserve"> </w:t>
      </w:r>
      <w:r>
        <w:rPr>
          <w:b/>
          <w:spacing w:val="-8"/>
          <w:sz w:val="15"/>
        </w:rPr>
        <w:t>KPI5</w:t>
      </w:r>
    </w:p>
    <w:p w14:paraId="703A7BD4" w14:textId="77777777" w:rsidR="00AC6F3C" w:rsidRDefault="00570E88">
      <w:pPr>
        <w:tabs>
          <w:tab w:val="left" w:pos="1060"/>
        </w:tabs>
        <w:spacing w:before="107"/>
        <w:ind w:left="196"/>
        <w:rPr>
          <w:sz w:val="15"/>
        </w:rPr>
      </w:pPr>
      <w:r>
        <w:br w:type="column"/>
      </w:r>
      <w:r>
        <w:rPr>
          <w:spacing w:val="-4"/>
          <w:sz w:val="15"/>
        </w:rPr>
        <w:t>30-Jun-</w:t>
      </w:r>
      <w:r>
        <w:rPr>
          <w:spacing w:val="-5"/>
          <w:sz w:val="15"/>
        </w:rPr>
        <w:t>23</w:t>
      </w:r>
      <w:r>
        <w:rPr>
          <w:sz w:val="15"/>
        </w:rPr>
        <w:tab/>
      </w:r>
      <w:r>
        <w:rPr>
          <w:spacing w:val="-6"/>
          <w:sz w:val="15"/>
        </w:rPr>
        <w:t>Ethics</w:t>
      </w:r>
      <w:r>
        <w:rPr>
          <w:sz w:val="15"/>
        </w:rPr>
        <w:t xml:space="preserve"> </w:t>
      </w:r>
      <w:r>
        <w:rPr>
          <w:spacing w:val="-12"/>
          <w:sz w:val="15"/>
        </w:rPr>
        <w:t>&amp;</w:t>
      </w:r>
    </w:p>
    <w:p w14:paraId="0EAD54AD" w14:textId="77777777" w:rsidR="00AC6F3C" w:rsidRDefault="00570E88">
      <w:pPr>
        <w:spacing w:before="7"/>
        <w:ind w:left="1060"/>
        <w:rPr>
          <w:sz w:val="15"/>
        </w:rPr>
      </w:pPr>
      <w:r>
        <w:rPr>
          <w:spacing w:val="-6"/>
          <w:sz w:val="15"/>
        </w:rPr>
        <w:t>Membership</w:t>
      </w:r>
      <w:r>
        <w:rPr>
          <w:sz w:val="15"/>
        </w:rPr>
        <w:t xml:space="preserve"> </w:t>
      </w:r>
      <w:r>
        <w:rPr>
          <w:spacing w:val="-10"/>
          <w:sz w:val="15"/>
        </w:rPr>
        <w:t>&amp;</w:t>
      </w:r>
    </w:p>
    <w:p w14:paraId="2A96309D" w14:textId="77777777" w:rsidR="00AC6F3C" w:rsidRDefault="00570E88">
      <w:pPr>
        <w:spacing w:before="8"/>
        <w:ind w:left="1060"/>
        <w:rPr>
          <w:sz w:val="15"/>
        </w:rPr>
      </w:pPr>
      <w:r>
        <w:rPr>
          <w:spacing w:val="-2"/>
          <w:sz w:val="15"/>
        </w:rPr>
        <w:t>Engagement</w:t>
      </w:r>
    </w:p>
    <w:p w14:paraId="5ED3C09D" w14:textId="77777777" w:rsidR="00AC6F3C" w:rsidRDefault="00570E88">
      <w:pPr>
        <w:pStyle w:val="ListParagraph"/>
        <w:numPr>
          <w:ilvl w:val="2"/>
          <w:numId w:val="78"/>
        </w:numPr>
        <w:tabs>
          <w:tab w:val="left" w:pos="618"/>
        </w:tabs>
        <w:spacing w:before="107"/>
        <w:ind w:left="618" w:hanging="422"/>
        <w:rPr>
          <w:sz w:val="15"/>
        </w:rPr>
      </w:pPr>
      <w:r>
        <w:br w:type="column"/>
      </w:r>
      <w:r>
        <w:rPr>
          <w:spacing w:val="-4"/>
          <w:sz w:val="15"/>
        </w:rPr>
        <w:t>The</w:t>
      </w:r>
      <w:r>
        <w:rPr>
          <w:spacing w:val="-7"/>
          <w:sz w:val="15"/>
        </w:rPr>
        <w:t xml:space="preserve"> </w:t>
      </w:r>
      <w:r>
        <w:rPr>
          <w:spacing w:val="-4"/>
          <w:sz w:val="15"/>
        </w:rPr>
        <w:t>number</w:t>
      </w:r>
      <w:r>
        <w:rPr>
          <w:spacing w:val="-6"/>
          <w:sz w:val="15"/>
        </w:rPr>
        <w:t xml:space="preserve"> </w:t>
      </w:r>
      <w:r>
        <w:rPr>
          <w:spacing w:val="-5"/>
          <w:sz w:val="15"/>
        </w:rPr>
        <w:t>of</w:t>
      </w:r>
    </w:p>
    <w:p w14:paraId="7C912F1B" w14:textId="77777777" w:rsidR="00AC6F3C" w:rsidRDefault="00570E88">
      <w:pPr>
        <w:spacing w:before="7"/>
        <w:ind w:left="621"/>
        <w:rPr>
          <w:sz w:val="15"/>
        </w:rPr>
      </w:pPr>
      <w:r>
        <w:rPr>
          <w:spacing w:val="-4"/>
          <w:sz w:val="15"/>
        </w:rPr>
        <w:t>locums</w:t>
      </w:r>
      <w:r>
        <w:rPr>
          <w:spacing w:val="-3"/>
          <w:sz w:val="15"/>
        </w:rPr>
        <w:t xml:space="preserve"> </w:t>
      </w:r>
      <w:proofErr w:type="gramStart"/>
      <w:r>
        <w:rPr>
          <w:spacing w:val="-5"/>
          <w:sz w:val="15"/>
        </w:rPr>
        <w:t>increases</w:t>
      </w:r>
      <w:proofErr w:type="gramEnd"/>
    </w:p>
    <w:p w14:paraId="68C92A79" w14:textId="77777777" w:rsidR="00AC6F3C" w:rsidRDefault="00570E88">
      <w:pPr>
        <w:spacing w:before="8"/>
        <w:ind w:left="621"/>
        <w:rPr>
          <w:sz w:val="15"/>
        </w:rPr>
      </w:pPr>
      <w:r>
        <w:rPr>
          <w:spacing w:val="-6"/>
          <w:sz w:val="15"/>
        </w:rPr>
        <w:t>by</w:t>
      </w:r>
      <w:r>
        <w:rPr>
          <w:spacing w:val="-4"/>
          <w:sz w:val="15"/>
        </w:rPr>
        <w:t xml:space="preserve"> </w:t>
      </w:r>
      <w:r>
        <w:rPr>
          <w:spacing w:val="-5"/>
          <w:sz w:val="15"/>
        </w:rPr>
        <w:t>25%</w:t>
      </w:r>
    </w:p>
    <w:p w14:paraId="086F53FB" w14:textId="77777777" w:rsidR="00AC6F3C" w:rsidRDefault="00570E88">
      <w:pPr>
        <w:pStyle w:val="ListParagraph"/>
        <w:numPr>
          <w:ilvl w:val="2"/>
          <w:numId w:val="78"/>
        </w:numPr>
        <w:tabs>
          <w:tab w:val="left" w:pos="618"/>
        </w:tabs>
        <w:spacing w:before="50"/>
        <w:ind w:left="618" w:hanging="422"/>
        <w:rPr>
          <w:sz w:val="15"/>
        </w:rPr>
      </w:pPr>
      <w:r>
        <w:rPr>
          <w:spacing w:val="-4"/>
          <w:sz w:val="15"/>
        </w:rPr>
        <w:t>Conduct</w:t>
      </w:r>
      <w:r>
        <w:rPr>
          <w:spacing w:val="-3"/>
          <w:sz w:val="15"/>
        </w:rPr>
        <w:t xml:space="preserve"> </w:t>
      </w:r>
      <w:r>
        <w:rPr>
          <w:spacing w:val="-10"/>
          <w:sz w:val="15"/>
        </w:rPr>
        <w:t>a</w:t>
      </w:r>
    </w:p>
    <w:p w14:paraId="31F56680" w14:textId="77777777" w:rsidR="00AC6F3C" w:rsidRDefault="00570E88">
      <w:pPr>
        <w:spacing w:before="7" w:line="249" w:lineRule="auto"/>
        <w:ind w:left="621" w:right="39"/>
        <w:rPr>
          <w:sz w:val="15"/>
        </w:rPr>
      </w:pPr>
      <w:r>
        <w:rPr>
          <w:noProof/>
        </w:rPr>
        <mc:AlternateContent>
          <mc:Choice Requires="wpg">
            <w:drawing>
              <wp:anchor distT="0" distB="0" distL="0" distR="0" simplePos="0" relativeHeight="15745536" behindDoc="0" locked="0" layoutInCell="1" allowOverlap="1" wp14:anchorId="53E10728" wp14:editId="7ADC653D">
                <wp:simplePos x="0" y="0"/>
                <wp:positionH relativeFrom="page">
                  <wp:posOffset>269999</wp:posOffset>
                </wp:positionH>
                <wp:positionV relativeFrom="paragraph">
                  <wp:posOffset>489426</wp:posOffset>
                </wp:positionV>
                <wp:extent cx="10152380" cy="317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79" name="Graphic 79"/>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80" name="Graphic 80"/>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81" name="Graphic 81"/>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82" name="Graphic 82"/>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83" name="Graphic 83"/>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84" name="Graphic 84"/>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85" name="Graphic 85"/>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86" name="Graphic 86"/>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87" name="Graphic 87"/>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88" name="Graphic 88"/>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BDC4E5" id="Group 78" o:spid="_x0000_s1026" style="position:absolute;margin-left:21.25pt;margin-top:38.55pt;width:799.4pt;height:.25pt;z-index:15745536;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">
                <v:shape id="Graphic 79"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" path="m,l575995,e" filled="f" strokeweight=".25pt">
                  <v:path arrowok="t"/>
                </v:shape>
                <v:shape id="Graphic 80"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" path="m,l1386001,e" filled="f" strokeweight=".25pt">
                  <v:path arrowok="t"/>
                </v:shape>
                <v:shape id="Graphic 81"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" path="m,l1845005,e" filled="f" strokeweight=".25pt">
                  <v:path arrowok="t"/>
                </v:shape>
                <v:shape id="Graphic 82"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" path="m,l449999,e" filled="f" strokeweight=".25pt">
                  <v:path arrowok="t"/>
                </v:shape>
                <v:shape id="Graphic 83"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" path="m,l548995,e" filled="f" strokeweight=".25pt">
                  <v:path arrowok="t"/>
                </v:shape>
                <v:shape id="Graphic 84"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" path="m,l774001,e" filled="f" strokeweight=".25pt">
                  <v:path arrowok="t"/>
                </v:shape>
                <v:shape id="Graphic 85"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" path="m,l1143000,e" filled="f" strokeweight=".25pt">
                  <v:path arrowok="t"/>
                </v:shape>
                <v:shape id="Graphic 86"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" path="m,l612000,e" filled="f" strokeweight=".25pt">
                  <v:path arrowok="t"/>
                </v:shape>
                <v:shape id="Graphic 87"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" path="m,l612000,e" filled="f" strokeweight=".25pt">
                  <v:path arrowok="t"/>
                </v:shape>
                <v:shape id="Graphic 88"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" path="m,l2204999,e" filled="f" strokeweight=".25pt">
                  <v:path arrowok="t"/>
                </v:shape>
                <w10:wrap anchorx="page"/>
              </v:group>
            </w:pict>
          </mc:Fallback>
        </mc:AlternateContent>
      </w:r>
      <w:r>
        <w:rPr>
          <w:spacing w:val="-2"/>
          <w:sz w:val="15"/>
        </w:rPr>
        <w:t>marketing</w:t>
      </w:r>
      <w:r>
        <w:rPr>
          <w:sz w:val="15"/>
        </w:rPr>
        <w:t xml:space="preserve"> </w:t>
      </w:r>
      <w:r>
        <w:rPr>
          <w:spacing w:val="-4"/>
          <w:sz w:val="15"/>
        </w:rPr>
        <w:t>campaign</w:t>
      </w:r>
      <w:r>
        <w:rPr>
          <w:spacing w:val="-7"/>
          <w:sz w:val="15"/>
        </w:rPr>
        <w:t xml:space="preserve"> </w:t>
      </w:r>
      <w:r>
        <w:rPr>
          <w:spacing w:val="-4"/>
          <w:sz w:val="15"/>
        </w:rPr>
        <w:t>for</w:t>
      </w:r>
      <w:r>
        <w:rPr>
          <w:spacing w:val="-6"/>
          <w:sz w:val="15"/>
        </w:rPr>
        <w:t xml:space="preserve"> </w:t>
      </w:r>
      <w:r>
        <w:rPr>
          <w:spacing w:val="-4"/>
          <w:sz w:val="15"/>
        </w:rPr>
        <w:t>the</w:t>
      </w:r>
      <w:r>
        <w:rPr>
          <w:sz w:val="15"/>
        </w:rPr>
        <w:t xml:space="preserve"> </w:t>
      </w:r>
      <w:r>
        <w:rPr>
          <w:spacing w:val="-2"/>
          <w:sz w:val="15"/>
        </w:rPr>
        <w:t>locum</w:t>
      </w:r>
      <w:r>
        <w:rPr>
          <w:spacing w:val="-9"/>
          <w:sz w:val="15"/>
        </w:rPr>
        <w:t xml:space="preserve"> </w:t>
      </w:r>
      <w:r>
        <w:rPr>
          <w:spacing w:val="-2"/>
          <w:sz w:val="15"/>
        </w:rPr>
        <w:t>service</w:t>
      </w:r>
      <w:r>
        <w:rPr>
          <w:spacing w:val="-8"/>
          <w:sz w:val="15"/>
        </w:rPr>
        <w:t xml:space="preserve"> </w:t>
      </w:r>
      <w:r>
        <w:rPr>
          <w:spacing w:val="-2"/>
          <w:sz w:val="15"/>
        </w:rPr>
        <w:t>to</w:t>
      </w:r>
      <w:r>
        <w:rPr>
          <w:sz w:val="15"/>
        </w:rPr>
        <w:t xml:space="preserve"> </w:t>
      </w:r>
      <w:r>
        <w:rPr>
          <w:spacing w:val="-2"/>
          <w:sz w:val="15"/>
        </w:rPr>
        <w:t>members</w:t>
      </w:r>
    </w:p>
    <w:p w14:paraId="2E6A1DAF" w14:textId="77777777" w:rsidR="00AC6F3C" w:rsidRDefault="00570E88">
      <w:pPr>
        <w:tabs>
          <w:tab w:val="left" w:pos="1159"/>
          <w:tab w:val="left" w:pos="2123"/>
        </w:tabs>
        <w:spacing w:before="107"/>
        <w:ind w:left="196"/>
        <w:rPr>
          <w:sz w:val="15"/>
        </w:rPr>
      </w:pPr>
      <w:r>
        <w:br w:type="column"/>
      </w:r>
      <w:r>
        <w:rPr>
          <w:b/>
          <w:spacing w:val="-2"/>
          <w:sz w:val="15"/>
        </w:rPr>
        <w:t>Green</w:t>
      </w:r>
      <w:r>
        <w:rPr>
          <w:b/>
          <w:sz w:val="15"/>
        </w:rPr>
        <w:tab/>
      </w:r>
      <w:r>
        <w:rPr>
          <w:b/>
          <w:spacing w:val="-2"/>
          <w:sz w:val="15"/>
        </w:rPr>
        <w:t>Achieved</w:t>
      </w:r>
      <w:r>
        <w:rPr>
          <w:b/>
          <w:sz w:val="15"/>
        </w:rPr>
        <w:tab/>
      </w:r>
      <w:r>
        <w:rPr>
          <w:spacing w:val="-4"/>
          <w:sz w:val="15"/>
        </w:rPr>
        <w:t>7.1.1</w:t>
      </w:r>
      <w:r>
        <w:rPr>
          <w:spacing w:val="73"/>
          <w:sz w:val="15"/>
        </w:rPr>
        <w:t xml:space="preserve"> </w:t>
      </w:r>
      <w:r>
        <w:rPr>
          <w:spacing w:val="-4"/>
          <w:sz w:val="15"/>
        </w:rPr>
        <w:t>Achieved</w:t>
      </w:r>
      <w:r>
        <w:rPr>
          <w:spacing w:val="-6"/>
          <w:sz w:val="15"/>
        </w:rPr>
        <w:t xml:space="preserve"> </w:t>
      </w:r>
      <w:r>
        <w:rPr>
          <w:spacing w:val="-4"/>
          <w:sz w:val="15"/>
        </w:rPr>
        <w:t>–</w:t>
      </w:r>
      <w:r>
        <w:rPr>
          <w:spacing w:val="-6"/>
          <w:sz w:val="15"/>
        </w:rPr>
        <w:t xml:space="preserve"> </w:t>
      </w:r>
      <w:r>
        <w:rPr>
          <w:spacing w:val="-4"/>
          <w:sz w:val="15"/>
        </w:rPr>
        <w:t>member</w:t>
      </w:r>
      <w:r>
        <w:rPr>
          <w:spacing w:val="-7"/>
          <w:sz w:val="15"/>
        </w:rPr>
        <w:t xml:space="preserve"> </w:t>
      </w:r>
      <w:r>
        <w:rPr>
          <w:spacing w:val="-4"/>
          <w:sz w:val="15"/>
        </w:rPr>
        <w:t>locum</w:t>
      </w:r>
      <w:r>
        <w:rPr>
          <w:spacing w:val="-6"/>
          <w:sz w:val="15"/>
        </w:rPr>
        <w:t xml:space="preserve"> </w:t>
      </w:r>
      <w:r>
        <w:rPr>
          <w:spacing w:val="-4"/>
          <w:sz w:val="15"/>
        </w:rPr>
        <w:t>increased</w:t>
      </w:r>
      <w:r>
        <w:rPr>
          <w:spacing w:val="-7"/>
          <w:sz w:val="15"/>
        </w:rPr>
        <w:t xml:space="preserve"> </w:t>
      </w:r>
      <w:r>
        <w:rPr>
          <w:spacing w:val="-4"/>
          <w:sz w:val="15"/>
        </w:rPr>
        <w:t>by</w:t>
      </w:r>
      <w:r>
        <w:rPr>
          <w:spacing w:val="-6"/>
          <w:sz w:val="15"/>
        </w:rPr>
        <w:t xml:space="preserve"> </w:t>
      </w:r>
      <w:r>
        <w:rPr>
          <w:spacing w:val="-5"/>
          <w:sz w:val="15"/>
        </w:rPr>
        <w:t>25%</w:t>
      </w:r>
    </w:p>
    <w:p w14:paraId="38018C9B" w14:textId="77777777" w:rsidR="00AC6F3C" w:rsidRDefault="00570E88">
      <w:pPr>
        <w:pStyle w:val="ListParagraph"/>
        <w:numPr>
          <w:ilvl w:val="2"/>
          <w:numId w:val="79"/>
        </w:numPr>
        <w:tabs>
          <w:tab w:val="left" w:pos="2544"/>
          <w:tab w:val="left" w:pos="2548"/>
        </w:tabs>
        <w:spacing w:before="50" w:line="249" w:lineRule="auto"/>
        <w:ind w:left="2548" w:right="235"/>
        <w:jc w:val="left"/>
        <w:rPr>
          <w:sz w:val="15"/>
        </w:rPr>
      </w:pPr>
      <w:r>
        <w:rPr>
          <w:spacing w:val="-4"/>
          <w:sz w:val="15"/>
        </w:rPr>
        <w:t>Achieved</w:t>
      </w:r>
      <w:r>
        <w:rPr>
          <w:spacing w:val="-7"/>
          <w:sz w:val="15"/>
        </w:rPr>
        <w:t xml:space="preserve"> </w:t>
      </w:r>
      <w:r>
        <w:rPr>
          <w:spacing w:val="-4"/>
          <w:sz w:val="15"/>
        </w:rPr>
        <w:t>–</w:t>
      </w:r>
      <w:r>
        <w:rPr>
          <w:spacing w:val="-6"/>
          <w:sz w:val="15"/>
        </w:rPr>
        <w:t xml:space="preserve"> </w:t>
      </w:r>
      <w:r>
        <w:rPr>
          <w:spacing w:val="-4"/>
          <w:sz w:val="15"/>
        </w:rPr>
        <w:t>conducted</w:t>
      </w:r>
      <w:r>
        <w:rPr>
          <w:spacing w:val="-7"/>
          <w:sz w:val="15"/>
        </w:rPr>
        <w:t xml:space="preserve"> </w:t>
      </w:r>
      <w:r>
        <w:rPr>
          <w:spacing w:val="-4"/>
          <w:sz w:val="15"/>
        </w:rPr>
        <w:t>a</w:t>
      </w:r>
      <w:r>
        <w:rPr>
          <w:spacing w:val="-6"/>
          <w:sz w:val="15"/>
        </w:rPr>
        <w:t xml:space="preserve"> </w:t>
      </w:r>
      <w:r>
        <w:rPr>
          <w:spacing w:val="-4"/>
          <w:sz w:val="15"/>
        </w:rPr>
        <w:t>marketing</w:t>
      </w:r>
      <w:r>
        <w:rPr>
          <w:spacing w:val="-7"/>
          <w:sz w:val="15"/>
        </w:rPr>
        <w:t xml:space="preserve"> </w:t>
      </w:r>
      <w:r>
        <w:rPr>
          <w:spacing w:val="-4"/>
          <w:sz w:val="15"/>
        </w:rPr>
        <w:t>campaign</w:t>
      </w:r>
      <w:r>
        <w:rPr>
          <w:sz w:val="15"/>
        </w:rPr>
        <w:t xml:space="preserve"> for the locum service to </w:t>
      </w:r>
      <w:proofErr w:type="gramStart"/>
      <w:r>
        <w:rPr>
          <w:sz w:val="15"/>
        </w:rPr>
        <w:t>members</w:t>
      </w:r>
      <w:proofErr w:type="gramEnd"/>
    </w:p>
    <w:p w14:paraId="2E7BDB78"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5" w:space="720" w:equalWidth="0">
            <w:col w:w="2857" w:space="232"/>
            <w:col w:w="3458" w:space="157"/>
            <w:col w:w="2008" w:space="75"/>
            <w:col w:w="1729" w:space="72"/>
            <w:col w:w="5632"/>
          </w:cols>
        </w:sectPr>
      </w:pPr>
    </w:p>
    <w:p w14:paraId="609F572B" w14:textId="77777777" w:rsidR="00AC6F3C" w:rsidRDefault="00570E88">
      <w:pPr>
        <w:tabs>
          <w:tab w:val="left" w:pos="1103"/>
        </w:tabs>
        <w:spacing w:before="102"/>
        <w:ind w:left="196"/>
        <w:rPr>
          <w:sz w:val="15"/>
        </w:rPr>
      </w:pPr>
      <w:r>
        <w:rPr>
          <w:b/>
          <w:spacing w:val="-2"/>
          <w:sz w:val="15"/>
        </w:rPr>
        <w:t>Guide</w:t>
      </w:r>
      <w:r>
        <w:rPr>
          <w:b/>
          <w:sz w:val="15"/>
        </w:rPr>
        <w:tab/>
      </w:r>
      <w:r>
        <w:rPr>
          <w:spacing w:val="-2"/>
          <w:sz w:val="15"/>
        </w:rPr>
        <w:t>08.</w:t>
      </w:r>
      <w:r>
        <w:rPr>
          <w:spacing w:val="20"/>
          <w:sz w:val="15"/>
        </w:rPr>
        <w:t xml:space="preserve"> </w:t>
      </w:r>
      <w:r>
        <w:rPr>
          <w:spacing w:val="-2"/>
          <w:sz w:val="15"/>
        </w:rPr>
        <w:t>Promote</w:t>
      </w:r>
      <w:r>
        <w:rPr>
          <w:spacing w:val="-9"/>
          <w:sz w:val="15"/>
        </w:rPr>
        <w:t xml:space="preserve"> </w:t>
      </w:r>
      <w:r>
        <w:rPr>
          <w:spacing w:val="-2"/>
          <w:sz w:val="15"/>
        </w:rPr>
        <w:t>public</w:t>
      </w:r>
      <w:r>
        <w:rPr>
          <w:spacing w:val="-8"/>
          <w:sz w:val="15"/>
        </w:rPr>
        <w:t xml:space="preserve"> </w:t>
      </w:r>
      <w:r>
        <w:rPr>
          <w:spacing w:val="-2"/>
          <w:sz w:val="15"/>
        </w:rPr>
        <w:t>trust</w:t>
      </w:r>
      <w:r>
        <w:rPr>
          <w:spacing w:val="-8"/>
          <w:sz w:val="15"/>
        </w:rPr>
        <w:t xml:space="preserve"> </w:t>
      </w:r>
      <w:r>
        <w:rPr>
          <w:spacing w:val="-5"/>
          <w:sz w:val="15"/>
        </w:rPr>
        <w:t>and</w:t>
      </w:r>
    </w:p>
    <w:p w14:paraId="5BDFFEE3" w14:textId="77777777" w:rsidR="00AC6F3C" w:rsidRDefault="00570E88">
      <w:pPr>
        <w:spacing w:before="8" w:line="249" w:lineRule="auto"/>
        <w:ind w:left="1386"/>
        <w:rPr>
          <w:sz w:val="15"/>
        </w:rPr>
      </w:pPr>
      <w:r>
        <w:rPr>
          <w:sz w:val="15"/>
        </w:rPr>
        <w:t xml:space="preserve">confidence in long term </w:t>
      </w:r>
      <w:r>
        <w:rPr>
          <w:spacing w:val="-4"/>
          <w:sz w:val="15"/>
        </w:rPr>
        <w:t>relationships</w:t>
      </w:r>
      <w:r>
        <w:rPr>
          <w:spacing w:val="-7"/>
          <w:sz w:val="15"/>
        </w:rPr>
        <w:t xml:space="preserve"> </w:t>
      </w:r>
      <w:r>
        <w:rPr>
          <w:spacing w:val="-4"/>
          <w:sz w:val="15"/>
        </w:rPr>
        <w:t>between</w:t>
      </w:r>
      <w:r>
        <w:rPr>
          <w:spacing w:val="-6"/>
          <w:sz w:val="15"/>
        </w:rPr>
        <w:t xml:space="preserve"> </w:t>
      </w:r>
      <w:r>
        <w:rPr>
          <w:spacing w:val="-4"/>
          <w:sz w:val="15"/>
        </w:rPr>
        <w:t>law</w:t>
      </w:r>
      <w:r>
        <w:rPr>
          <w:sz w:val="15"/>
        </w:rPr>
        <w:t xml:space="preserve"> firms</w:t>
      </w:r>
      <w:r>
        <w:rPr>
          <w:spacing w:val="-11"/>
          <w:sz w:val="15"/>
        </w:rPr>
        <w:t xml:space="preserve"> </w:t>
      </w:r>
      <w:r>
        <w:rPr>
          <w:sz w:val="15"/>
        </w:rPr>
        <w:t>and</w:t>
      </w:r>
      <w:r>
        <w:rPr>
          <w:spacing w:val="-10"/>
          <w:sz w:val="15"/>
        </w:rPr>
        <w:t xml:space="preserve"> </w:t>
      </w:r>
      <w:r>
        <w:rPr>
          <w:sz w:val="15"/>
        </w:rPr>
        <w:t>the</w:t>
      </w:r>
      <w:r>
        <w:rPr>
          <w:spacing w:val="-11"/>
          <w:sz w:val="15"/>
        </w:rPr>
        <w:t xml:space="preserve"> </w:t>
      </w:r>
      <w:r>
        <w:rPr>
          <w:sz w:val="15"/>
        </w:rPr>
        <w:t>community through</w:t>
      </w:r>
      <w:r>
        <w:rPr>
          <w:spacing w:val="-11"/>
          <w:sz w:val="15"/>
        </w:rPr>
        <w:t xml:space="preserve"> </w:t>
      </w:r>
      <w:r>
        <w:rPr>
          <w:sz w:val="15"/>
        </w:rPr>
        <w:t>the</w:t>
      </w:r>
      <w:r>
        <w:rPr>
          <w:spacing w:val="-10"/>
          <w:sz w:val="15"/>
        </w:rPr>
        <w:t xml:space="preserve"> </w:t>
      </w:r>
      <w:r>
        <w:rPr>
          <w:sz w:val="15"/>
        </w:rPr>
        <w:t>promotion</w:t>
      </w:r>
      <w:r>
        <w:rPr>
          <w:spacing w:val="-11"/>
          <w:sz w:val="15"/>
        </w:rPr>
        <w:t xml:space="preserve"> </w:t>
      </w:r>
      <w:r>
        <w:rPr>
          <w:sz w:val="15"/>
        </w:rPr>
        <w:t>of business</w:t>
      </w:r>
      <w:r>
        <w:rPr>
          <w:spacing w:val="-9"/>
          <w:sz w:val="15"/>
        </w:rPr>
        <w:t xml:space="preserve"> </w:t>
      </w:r>
      <w:r>
        <w:rPr>
          <w:sz w:val="15"/>
        </w:rPr>
        <w:t>viability</w:t>
      </w:r>
    </w:p>
    <w:p w14:paraId="3B422461" w14:textId="77777777" w:rsidR="00AC6F3C" w:rsidRDefault="00570E88">
      <w:pPr>
        <w:spacing w:before="102" w:line="249" w:lineRule="auto"/>
        <w:ind w:left="621" w:hanging="426"/>
        <w:rPr>
          <w:sz w:val="15"/>
        </w:rPr>
      </w:pPr>
      <w:r>
        <w:br w:type="column"/>
      </w:r>
      <w:r>
        <w:rPr>
          <w:spacing w:val="-4"/>
          <w:sz w:val="15"/>
        </w:rPr>
        <w:t>8.1.1</w:t>
      </w:r>
      <w:r>
        <w:rPr>
          <w:spacing w:val="55"/>
          <w:sz w:val="15"/>
        </w:rPr>
        <w:t xml:space="preserve"> </w:t>
      </w:r>
      <w:r>
        <w:rPr>
          <w:spacing w:val="-4"/>
          <w:sz w:val="15"/>
        </w:rPr>
        <w:t>Prepare</w:t>
      </w:r>
      <w:r>
        <w:rPr>
          <w:spacing w:val="-6"/>
          <w:sz w:val="15"/>
        </w:rPr>
        <w:t xml:space="preserve"> </w:t>
      </w:r>
      <w:r>
        <w:rPr>
          <w:spacing w:val="-4"/>
          <w:sz w:val="15"/>
        </w:rPr>
        <w:t>Guidance</w:t>
      </w:r>
      <w:r>
        <w:rPr>
          <w:spacing w:val="-7"/>
          <w:sz w:val="15"/>
        </w:rPr>
        <w:t xml:space="preserve"> </w:t>
      </w:r>
      <w:r>
        <w:rPr>
          <w:spacing w:val="-4"/>
          <w:sz w:val="15"/>
        </w:rPr>
        <w:t>material</w:t>
      </w:r>
      <w:r>
        <w:rPr>
          <w:spacing w:val="-6"/>
          <w:sz w:val="15"/>
        </w:rPr>
        <w:t xml:space="preserve"> </w:t>
      </w:r>
      <w:r>
        <w:rPr>
          <w:spacing w:val="-4"/>
          <w:sz w:val="15"/>
        </w:rPr>
        <w:t>on</w:t>
      </w:r>
      <w:r>
        <w:rPr>
          <w:sz w:val="15"/>
        </w:rPr>
        <w:t xml:space="preserve"> business</w:t>
      </w:r>
      <w:r>
        <w:rPr>
          <w:spacing w:val="-9"/>
          <w:sz w:val="15"/>
        </w:rPr>
        <w:t xml:space="preserve"> </w:t>
      </w:r>
      <w:proofErr w:type="gramStart"/>
      <w:r>
        <w:rPr>
          <w:sz w:val="15"/>
        </w:rPr>
        <w:t>viability</w:t>
      </w:r>
      <w:proofErr w:type="gramEnd"/>
    </w:p>
    <w:p w14:paraId="737A75E0" w14:textId="77777777" w:rsidR="00AC6F3C" w:rsidRDefault="00570E88">
      <w:pPr>
        <w:spacing w:before="102" w:line="501" w:lineRule="auto"/>
        <w:ind w:left="196" w:right="38"/>
        <w:jc w:val="both"/>
        <w:rPr>
          <w:b/>
          <w:sz w:val="15"/>
        </w:rPr>
      </w:pPr>
      <w:r>
        <w:br w:type="column"/>
      </w:r>
      <w:r>
        <w:rPr>
          <w:b/>
          <w:spacing w:val="-8"/>
          <w:sz w:val="15"/>
        </w:rPr>
        <w:t>KPI3</w:t>
      </w:r>
      <w:r>
        <w:rPr>
          <w:b/>
          <w:sz w:val="15"/>
        </w:rPr>
        <w:t xml:space="preserve"> </w:t>
      </w:r>
      <w:r>
        <w:rPr>
          <w:b/>
          <w:spacing w:val="-8"/>
          <w:sz w:val="15"/>
        </w:rPr>
        <w:t>KPI4</w:t>
      </w:r>
      <w:r>
        <w:rPr>
          <w:b/>
          <w:sz w:val="15"/>
        </w:rPr>
        <w:t xml:space="preserve"> </w:t>
      </w:r>
      <w:r>
        <w:rPr>
          <w:b/>
          <w:spacing w:val="-8"/>
          <w:sz w:val="15"/>
        </w:rPr>
        <w:t>KPI5</w:t>
      </w:r>
    </w:p>
    <w:p w14:paraId="3C090E02" w14:textId="77777777" w:rsidR="00AC6F3C" w:rsidRDefault="00570E88">
      <w:pPr>
        <w:tabs>
          <w:tab w:val="left" w:pos="1060"/>
          <w:tab w:val="left" w:pos="2279"/>
        </w:tabs>
        <w:spacing w:before="102" w:line="249" w:lineRule="auto"/>
        <w:ind w:left="2705" w:hanging="2509"/>
        <w:rPr>
          <w:sz w:val="15"/>
        </w:rPr>
      </w:pPr>
      <w:r>
        <w:br w:type="column"/>
      </w:r>
      <w:r>
        <w:rPr>
          <w:spacing w:val="-2"/>
          <w:sz w:val="15"/>
        </w:rPr>
        <w:t>30-Jun-23</w:t>
      </w:r>
      <w:r>
        <w:rPr>
          <w:sz w:val="15"/>
        </w:rPr>
        <w:tab/>
      </w:r>
      <w:r>
        <w:rPr>
          <w:spacing w:val="-2"/>
          <w:sz w:val="15"/>
        </w:rPr>
        <w:t>Ethics</w:t>
      </w:r>
      <w:r>
        <w:rPr>
          <w:sz w:val="15"/>
        </w:rPr>
        <w:tab/>
      </w:r>
      <w:r>
        <w:rPr>
          <w:spacing w:val="-4"/>
          <w:sz w:val="15"/>
        </w:rPr>
        <w:t>8.1.1</w:t>
      </w:r>
      <w:r>
        <w:rPr>
          <w:spacing w:val="46"/>
          <w:sz w:val="15"/>
        </w:rPr>
        <w:t xml:space="preserve"> </w:t>
      </w:r>
      <w:r>
        <w:rPr>
          <w:spacing w:val="-4"/>
          <w:sz w:val="15"/>
        </w:rPr>
        <w:t>Guidance</w:t>
      </w:r>
      <w:r>
        <w:rPr>
          <w:spacing w:val="-6"/>
          <w:sz w:val="15"/>
        </w:rPr>
        <w:t xml:space="preserve"> </w:t>
      </w:r>
      <w:r>
        <w:rPr>
          <w:spacing w:val="-4"/>
          <w:sz w:val="15"/>
        </w:rPr>
        <w:t>material</w:t>
      </w:r>
      <w:r>
        <w:rPr>
          <w:sz w:val="15"/>
        </w:rPr>
        <w:t xml:space="preserve"> on</w:t>
      </w:r>
      <w:r>
        <w:rPr>
          <w:spacing w:val="-9"/>
          <w:sz w:val="15"/>
        </w:rPr>
        <w:t xml:space="preserve"> </w:t>
      </w:r>
      <w:r>
        <w:rPr>
          <w:sz w:val="15"/>
        </w:rPr>
        <w:t xml:space="preserve">business </w:t>
      </w:r>
      <w:r>
        <w:rPr>
          <w:spacing w:val="-2"/>
          <w:sz w:val="15"/>
        </w:rPr>
        <w:t>viability</w:t>
      </w:r>
      <w:r>
        <w:rPr>
          <w:spacing w:val="-9"/>
          <w:sz w:val="15"/>
        </w:rPr>
        <w:t xml:space="preserve"> </w:t>
      </w:r>
      <w:r>
        <w:rPr>
          <w:spacing w:val="-2"/>
          <w:sz w:val="15"/>
        </w:rPr>
        <w:t>published</w:t>
      </w:r>
      <w:r>
        <w:rPr>
          <w:sz w:val="15"/>
        </w:rPr>
        <w:t xml:space="preserve"> </w:t>
      </w:r>
      <w:r>
        <w:rPr>
          <w:spacing w:val="-2"/>
          <w:sz w:val="15"/>
        </w:rPr>
        <w:t>online</w:t>
      </w:r>
    </w:p>
    <w:p w14:paraId="426B317A" w14:textId="77777777" w:rsidR="00AC6F3C" w:rsidRDefault="00570E88">
      <w:pPr>
        <w:tabs>
          <w:tab w:val="left" w:pos="1135"/>
          <w:tab w:val="left" w:pos="2099"/>
        </w:tabs>
        <w:spacing w:before="102"/>
        <w:ind w:left="172"/>
        <w:rPr>
          <w:sz w:val="15"/>
        </w:rPr>
      </w:pPr>
      <w:r>
        <w:br w:type="column"/>
      </w:r>
      <w:r>
        <w:rPr>
          <w:b/>
          <w:spacing w:val="-2"/>
          <w:sz w:val="15"/>
        </w:rPr>
        <w:t>Green</w:t>
      </w:r>
      <w:r>
        <w:rPr>
          <w:b/>
          <w:sz w:val="15"/>
        </w:rPr>
        <w:tab/>
      </w:r>
      <w:r>
        <w:rPr>
          <w:b/>
          <w:spacing w:val="-2"/>
          <w:sz w:val="15"/>
        </w:rPr>
        <w:t>Achieved</w:t>
      </w:r>
      <w:r>
        <w:rPr>
          <w:b/>
          <w:sz w:val="15"/>
        </w:rPr>
        <w:tab/>
      </w:r>
      <w:r>
        <w:rPr>
          <w:spacing w:val="-4"/>
          <w:sz w:val="15"/>
        </w:rPr>
        <w:t>8.1.1</w:t>
      </w:r>
      <w:r>
        <w:rPr>
          <w:spacing w:val="77"/>
          <w:sz w:val="15"/>
        </w:rPr>
        <w:t xml:space="preserve"> </w:t>
      </w:r>
      <w:r>
        <w:rPr>
          <w:spacing w:val="-4"/>
          <w:sz w:val="15"/>
        </w:rPr>
        <w:t>Achieved</w:t>
      </w:r>
      <w:r>
        <w:rPr>
          <w:spacing w:val="-6"/>
          <w:sz w:val="15"/>
        </w:rPr>
        <w:t xml:space="preserve"> </w:t>
      </w:r>
      <w:r>
        <w:rPr>
          <w:spacing w:val="-4"/>
          <w:sz w:val="15"/>
        </w:rPr>
        <w:t>–</w:t>
      </w:r>
      <w:r>
        <w:rPr>
          <w:spacing w:val="-6"/>
          <w:sz w:val="15"/>
        </w:rPr>
        <w:t xml:space="preserve"> </w:t>
      </w:r>
      <w:r>
        <w:rPr>
          <w:spacing w:val="-4"/>
          <w:sz w:val="15"/>
        </w:rPr>
        <w:t>guidance</w:t>
      </w:r>
      <w:r>
        <w:rPr>
          <w:spacing w:val="-7"/>
          <w:sz w:val="15"/>
        </w:rPr>
        <w:t xml:space="preserve"> </w:t>
      </w:r>
      <w:r>
        <w:rPr>
          <w:spacing w:val="-4"/>
          <w:sz w:val="15"/>
        </w:rPr>
        <w:t>material</w:t>
      </w:r>
      <w:r>
        <w:rPr>
          <w:spacing w:val="-6"/>
          <w:sz w:val="15"/>
        </w:rPr>
        <w:t xml:space="preserve"> </w:t>
      </w:r>
      <w:r>
        <w:rPr>
          <w:spacing w:val="-5"/>
          <w:sz w:val="15"/>
        </w:rPr>
        <w:t>on</w:t>
      </w:r>
    </w:p>
    <w:p w14:paraId="2555EB7D" w14:textId="77777777" w:rsidR="00AC6F3C" w:rsidRDefault="00570E88">
      <w:pPr>
        <w:spacing w:before="8" w:line="249" w:lineRule="auto"/>
        <w:ind w:left="2524" w:right="624"/>
        <w:rPr>
          <w:sz w:val="15"/>
        </w:rPr>
      </w:pPr>
      <w:r>
        <w:rPr>
          <w:spacing w:val="-4"/>
          <w:sz w:val="15"/>
        </w:rPr>
        <w:t>business</w:t>
      </w:r>
      <w:r>
        <w:rPr>
          <w:spacing w:val="-6"/>
          <w:sz w:val="15"/>
        </w:rPr>
        <w:t xml:space="preserve"> </w:t>
      </w:r>
      <w:r>
        <w:rPr>
          <w:spacing w:val="-4"/>
          <w:sz w:val="15"/>
        </w:rPr>
        <w:t>viability</w:t>
      </w:r>
      <w:r>
        <w:rPr>
          <w:spacing w:val="-6"/>
          <w:sz w:val="15"/>
        </w:rPr>
        <w:t xml:space="preserve"> </w:t>
      </w:r>
      <w:r>
        <w:rPr>
          <w:spacing w:val="-4"/>
          <w:sz w:val="15"/>
        </w:rPr>
        <w:t>has</w:t>
      </w:r>
      <w:r>
        <w:rPr>
          <w:spacing w:val="-6"/>
          <w:sz w:val="15"/>
        </w:rPr>
        <w:t xml:space="preserve"> </w:t>
      </w:r>
      <w:r>
        <w:rPr>
          <w:spacing w:val="-4"/>
          <w:sz w:val="15"/>
        </w:rPr>
        <w:t>been</w:t>
      </w:r>
      <w:r>
        <w:rPr>
          <w:spacing w:val="-6"/>
          <w:sz w:val="15"/>
        </w:rPr>
        <w:t xml:space="preserve"> </w:t>
      </w:r>
      <w:r>
        <w:rPr>
          <w:spacing w:val="-4"/>
          <w:sz w:val="15"/>
        </w:rPr>
        <w:t>published</w:t>
      </w:r>
      <w:r>
        <w:rPr>
          <w:sz w:val="15"/>
        </w:rPr>
        <w:t xml:space="preserve"> on the QLS </w:t>
      </w:r>
      <w:proofErr w:type="gramStart"/>
      <w:r>
        <w:rPr>
          <w:sz w:val="15"/>
        </w:rPr>
        <w:t>website</w:t>
      </w:r>
      <w:proofErr w:type="gramEnd"/>
    </w:p>
    <w:p w14:paraId="6C37EFE7"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5" w:space="720" w:equalWidth="0">
            <w:col w:w="3023" w:space="66"/>
            <w:col w:w="2566" w:space="340"/>
            <w:col w:w="552" w:space="157"/>
            <w:col w:w="3868" w:space="40"/>
            <w:col w:w="5608"/>
          </w:cols>
        </w:sectPr>
      </w:pPr>
    </w:p>
    <w:p w14:paraId="38FB546C" w14:textId="77777777" w:rsidR="00AC6F3C" w:rsidRDefault="00AC6F3C">
      <w:pPr>
        <w:pStyle w:val="BodyText"/>
        <w:spacing w:before="4"/>
        <w:rPr>
          <w:sz w:val="7"/>
        </w:rPr>
      </w:pPr>
    </w:p>
    <w:p w14:paraId="1CE29578" w14:textId="77777777" w:rsidR="00AC6F3C" w:rsidRDefault="00570E88">
      <w:pPr>
        <w:pStyle w:val="BodyText"/>
        <w:spacing w:line="20" w:lineRule="exact"/>
        <w:ind w:left="122"/>
        <w:rPr>
          <w:sz w:val="2"/>
        </w:rPr>
      </w:pPr>
      <w:r>
        <w:rPr>
          <w:noProof/>
          <w:sz w:val="2"/>
        </w:rPr>
        <mc:AlternateContent>
          <mc:Choice Requires="wpg">
            <w:drawing>
              <wp:inline distT="0" distB="0" distL="0" distR="0" wp14:anchorId="7424E1F3" wp14:editId="45FD0CCE">
                <wp:extent cx="10152380" cy="3175"/>
                <wp:effectExtent l="9525" t="0" r="0"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90" name="Graphic 90"/>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91" name="Graphic 91"/>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92" name="Graphic 92"/>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93" name="Graphic 93"/>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94" name="Graphic 94"/>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95" name="Graphic 95"/>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96" name="Graphic 96"/>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97" name="Graphic 97"/>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98" name="Graphic 98"/>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99" name="Graphic 99"/>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381E99" id="Group 89" o:spid="_x0000_s1026" style="width:799.4pt;height:.25pt;mso-position-horizontal-relative:char;mso-position-vertical-relative:lin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">
                <v:shape id="Graphic 90"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" path="m,l575995,e" filled="f" strokeweight=".25pt">
                  <v:path arrowok="t"/>
                </v:shape>
                <v:shape id="Graphic 91"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" path="m,l1386001,e" filled="f" strokeweight=".25pt">
                  <v:path arrowok="t"/>
                </v:shape>
                <v:shape id="Graphic 92"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" path="m,l1845005,e" filled="f" strokeweight=".25pt">
                  <v:path arrowok="t"/>
                </v:shape>
                <v:shape id="Graphic 93"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" path="m,l449999,e" filled="f" strokeweight=".25pt">
                  <v:path arrowok="t"/>
                </v:shape>
                <v:shape id="Graphic 94"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" path="m,l548995,e" filled="f" strokeweight=".25pt">
                  <v:path arrowok="t"/>
                </v:shape>
                <v:shape id="Graphic 95"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" path="m,l774001,e" filled="f" strokeweight=".25pt">
                  <v:path arrowok="t"/>
                </v:shape>
                <v:shape id="Graphic 96"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" path="m,l1143000,e" filled="f" strokeweight=".25pt">
                  <v:path arrowok="t"/>
                </v:shape>
                <v:shape id="Graphic 97"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" path="m,l612000,e" filled="f" strokeweight=".25pt">
                  <v:path arrowok="t"/>
                </v:shape>
                <v:shape id="Graphic 98"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" path="m,l612000,e" filled="f" strokeweight=".25pt">
                  <v:path arrowok="t"/>
                </v:shape>
                <v:shape id="Graphic 99"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" path="m,l2204999,e" filled="f" strokeweight=".25pt">
                  <v:path arrowok="t"/>
                </v:shape>
                <w10:anchorlock/>
              </v:group>
            </w:pict>
          </mc:Fallback>
        </mc:AlternateContent>
      </w:r>
    </w:p>
    <w:p w14:paraId="3B8CD517" w14:textId="77777777" w:rsidR="00AC6F3C" w:rsidRDefault="00AC6F3C">
      <w:pPr>
        <w:spacing w:line="20" w:lineRule="exact"/>
        <w:rPr>
          <w:sz w:val="2"/>
        </w:rPr>
        <w:sectPr w:rsidR="00AC6F3C">
          <w:type w:val="continuous"/>
          <w:pgSz w:w="16840" w:h="11910" w:orient="landscape"/>
          <w:pgMar w:top="1920" w:right="320" w:bottom="280" w:left="300" w:header="0" w:footer="336" w:gutter="0"/>
          <w:cols w:space="720"/>
        </w:sectPr>
      </w:pPr>
    </w:p>
    <w:p w14:paraId="24D7AB8C" w14:textId="77777777" w:rsidR="00AC6F3C" w:rsidRDefault="00AC6F3C">
      <w:pPr>
        <w:pStyle w:val="BodyText"/>
        <w:spacing w:before="5"/>
        <w:rPr>
          <w:sz w:val="2"/>
        </w:rPr>
      </w:pPr>
    </w:p>
    <w:tbl>
      <w:tblPr>
        <w:tblW w:w="0" w:type="auto"/>
        <w:tblInd w:w="132" w:type="dxa"/>
        <w:tblLayout w:type="fixed"/>
        <w:tblCellMar>
          <w:left w:w="0" w:type="dxa"/>
          <w:right w:w="0" w:type="dxa"/>
        </w:tblCellMar>
        <w:tblLook w:val="01E0" w:firstRow="1" w:lastRow="1" w:firstColumn="1" w:lastColumn="1" w:noHBand="0" w:noVBand="0"/>
      </w:tblPr>
      <w:tblGrid>
        <w:gridCol w:w="841"/>
        <w:gridCol w:w="2195"/>
        <w:gridCol w:w="2927"/>
        <w:gridCol w:w="738"/>
        <w:gridCol w:w="822"/>
        <w:gridCol w:w="1217"/>
        <w:gridCol w:w="1811"/>
        <w:gridCol w:w="859"/>
        <w:gridCol w:w="1039"/>
        <w:gridCol w:w="3534"/>
      </w:tblGrid>
      <w:tr w:rsidR="00AC6F3C" w14:paraId="412D4485" w14:textId="77777777">
        <w:trPr>
          <w:trHeight w:val="429"/>
        </w:trPr>
        <w:tc>
          <w:tcPr>
            <w:tcW w:w="841" w:type="dxa"/>
            <w:tcBorders>
              <w:bottom w:val="single" w:sz="8" w:space="0" w:color="000000"/>
            </w:tcBorders>
          </w:tcPr>
          <w:p w14:paraId="00DCEBAF" w14:textId="77777777" w:rsidR="00AC6F3C" w:rsidRDefault="00570E88">
            <w:pPr>
              <w:pStyle w:val="TableParagraph"/>
              <w:spacing w:line="259" w:lineRule="auto"/>
              <w:ind w:left="56"/>
              <w:rPr>
                <w:b/>
                <w:sz w:val="15"/>
              </w:rPr>
            </w:pPr>
            <w:r>
              <w:rPr>
                <w:b/>
                <w:spacing w:val="-2"/>
                <w:sz w:val="15"/>
              </w:rPr>
              <w:t>Strategic</w:t>
            </w:r>
            <w:r>
              <w:rPr>
                <w:b/>
                <w:sz w:val="15"/>
              </w:rPr>
              <w:t xml:space="preserve"> </w:t>
            </w:r>
            <w:r>
              <w:rPr>
                <w:b/>
                <w:spacing w:val="-4"/>
                <w:sz w:val="15"/>
              </w:rPr>
              <w:t>Objective</w:t>
            </w:r>
          </w:p>
        </w:tc>
        <w:tc>
          <w:tcPr>
            <w:tcW w:w="2195" w:type="dxa"/>
            <w:tcBorders>
              <w:bottom w:val="single" w:sz="8" w:space="0" w:color="000000"/>
            </w:tcBorders>
          </w:tcPr>
          <w:p w14:paraId="364A598A" w14:textId="77777777" w:rsidR="00AC6F3C" w:rsidRDefault="00AC6F3C">
            <w:pPr>
              <w:pStyle w:val="TableParagraph"/>
              <w:spacing w:before="1"/>
              <w:rPr>
                <w:sz w:val="16"/>
              </w:rPr>
            </w:pPr>
          </w:p>
          <w:p w14:paraId="5D59C91E" w14:textId="77777777" w:rsidR="00AC6F3C" w:rsidRDefault="00570E88">
            <w:pPr>
              <w:pStyle w:val="TableParagraph"/>
              <w:ind w:left="122"/>
              <w:rPr>
                <w:b/>
                <w:sz w:val="15"/>
              </w:rPr>
            </w:pPr>
            <w:r>
              <w:rPr>
                <w:b/>
                <w:spacing w:val="-2"/>
                <w:sz w:val="15"/>
              </w:rPr>
              <w:t>Initiative</w:t>
            </w:r>
          </w:p>
        </w:tc>
        <w:tc>
          <w:tcPr>
            <w:tcW w:w="2927" w:type="dxa"/>
            <w:tcBorders>
              <w:bottom w:val="single" w:sz="8" w:space="0" w:color="000000"/>
            </w:tcBorders>
          </w:tcPr>
          <w:p w14:paraId="58855BDD" w14:textId="77777777" w:rsidR="00AC6F3C" w:rsidRDefault="00AC6F3C">
            <w:pPr>
              <w:pStyle w:val="TableParagraph"/>
              <w:spacing w:before="1"/>
              <w:rPr>
                <w:sz w:val="16"/>
              </w:rPr>
            </w:pPr>
          </w:p>
          <w:p w14:paraId="0F221092" w14:textId="77777777" w:rsidR="00AC6F3C" w:rsidRDefault="00570E88">
            <w:pPr>
              <w:pStyle w:val="TableParagraph"/>
              <w:ind w:left="110"/>
              <w:rPr>
                <w:b/>
                <w:sz w:val="15"/>
              </w:rPr>
            </w:pPr>
            <w:r>
              <w:rPr>
                <w:b/>
                <w:spacing w:val="-5"/>
                <w:sz w:val="15"/>
              </w:rPr>
              <w:t xml:space="preserve">Key </w:t>
            </w:r>
            <w:r>
              <w:rPr>
                <w:b/>
                <w:spacing w:val="-2"/>
                <w:sz w:val="15"/>
              </w:rPr>
              <w:t>Action</w:t>
            </w:r>
          </w:p>
        </w:tc>
        <w:tc>
          <w:tcPr>
            <w:tcW w:w="738" w:type="dxa"/>
            <w:tcBorders>
              <w:bottom w:val="single" w:sz="8" w:space="0" w:color="000000"/>
            </w:tcBorders>
          </w:tcPr>
          <w:p w14:paraId="28E25801" w14:textId="77777777" w:rsidR="00AC6F3C" w:rsidRDefault="00570E88">
            <w:pPr>
              <w:pStyle w:val="TableParagraph"/>
              <w:spacing w:before="21" w:line="259" w:lineRule="auto"/>
              <w:ind w:left="88" w:right="48"/>
              <w:rPr>
                <w:b/>
                <w:sz w:val="14"/>
              </w:rPr>
            </w:pPr>
            <w:r>
              <w:rPr>
                <w:b/>
                <w:spacing w:val="-2"/>
                <w:sz w:val="14"/>
              </w:rPr>
              <w:t>Strategic</w:t>
            </w:r>
            <w:r>
              <w:rPr>
                <w:b/>
                <w:spacing w:val="40"/>
                <w:sz w:val="14"/>
              </w:rPr>
              <w:t xml:space="preserve"> </w:t>
            </w:r>
            <w:r>
              <w:rPr>
                <w:b/>
                <w:spacing w:val="-4"/>
                <w:sz w:val="14"/>
              </w:rPr>
              <w:t>KPI</w:t>
            </w:r>
          </w:p>
        </w:tc>
        <w:tc>
          <w:tcPr>
            <w:tcW w:w="822" w:type="dxa"/>
            <w:tcBorders>
              <w:bottom w:val="single" w:sz="8" w:space="0" w:color="000000"/>
            </w:tcBorders>
          </w:tcPr>
          <w:p w14:paraId="0E56E33A" w14:textId="77777777" w:rsidR="00AC6F3C" w:rsidRDefault="00AC6F3C">
            <w:pPr>
              <w:pStyle w:val="TableParagraph"/>
              <w:spacing w:before="1"/>
              <w:rPr>
                <w:sz w:val="16"/>
              </w:rPr>
            </w:pPr>
          </w:p>
          <w:p w14:paraId="3657D8C6" w14:textId="77777777" w:rsidR="00AC6F3C" w:rsidRDefault="00570E88">
            <w:pPr>
              <w:pStyle w:val="TableParagraph"/>
              <w:ind w:left="40" w:right="146"/>
              <w:jc w:val="center"/>
              <w:rPr>
                <w:b/>
                <w:sz w:val="15"/>
              </w:rPr>
            </w:pPr>
            <w:r>
              <w:rPr>
                <w:b/>
                <w:spacing w:val="-2"/>
                <w:sz w:val="15"/>
              </w:rPr>
              <w:t>Timeline</w:t>
            </w:r>
          </w:p>
        </w:tc>
        <w:tc>
          <w:tcPr>
            <w:tcW w:w="1217" w:type="dxa"/>
            <w:tcBorders>
              <w:bottom w:val="single" w:sz="8" w:space="0" w:color="000000"/>
            </w:tcBorders>
          </w:tcPr>
          <w:p w14:paraId="63240050" w14:textId="77777777" w:rsidR="00AC6F3C" w:rsidRDefault="00AC6F3C">
            <w:pPr>
              <w:pStyle w:val="TableParagraph"/>
              <w:spacing w:before="1"/>
              <w:rPr>
                <w:sz w:val="16"/>
              </w:rPr>
            </w:pPr>
          </w:p>
          <w:p w14:paraId="772CFBD7" w14:textId="77777777" w:rsidR="00AC6F3C" w:rsidRDefault="00570E88">
            <w:pPr>
              <w:pStyle w:val="TableParagraph"/>
              <w:ind w:left="102"/>
              <w:rPr>
                <w:b/>
                <w:sz w:val="15"/>
              </w:rPr>
            </w:pPr>
            <w:r>
              <w:rPr>
                <w:b/>
                <w:spacing w:val="-2"/>
                <w:sz w:val="15"/>
              </w:rPr>
              <w:t>Accountability</w:t>
            </w:r>
          </w:p>
        </w:tc>
        <w:tc>
          <w:tcPr>
            <w:tcW w:w="1811" w:type="dxa"/>
            <w:tcBorders>
              <w:bottom w:val="single" w:sz="8" w:space="0" w:color="000000"/>
            </w:tcBorders>
          </w:tcPr>
          <w:p w14:paraId="13C64DD6" w14:textId="77777777" w:rsidR="00AC6F3C" w:rsidRDefault="00AC6F3C">
            <w:pPr>
              <w:pStyle w:val="TableParagraph"/>
              <w:spacing w:before="1"/>
              <w:rPr>
                <w:sz w:val="16"/>
              </w:rPr>
            </w:pPr>
          </w:p>
          <w:p w14:paraId="39A4BF6B" w14:textId="77777777" w:rsidR="00AC6F3C" w:rsidRDefault="00570E88">
            <w:pPr>
              <w:pStyle w:val="TableParagraph"/>
              <w:ind w:left="104"/>
              <w:rPr>
                <w:b/>
                <w:sz w:val="15"/>
              </w:rPr>
            </w:pPr>
            <w:r>
              <w:rPr>
                <w:b/>
                <w:spacing w:val="-4"/>
                <w:sz w:val="15"/>
              </w:rPr>
              <w:t>Performance</w:t>
            </w:r>
            <w:r>
              <w:rPr>
                <w:b/>
                <w:spacing w:val="9"/>
                <w:sz w:val="15"/>
              </w:rPr>
              <w:t xml:space="preserve"> </w:t>
            </w:r>
            <w:r>
              <w:rPr>
                <w:b/>
                <w:spacing w:val="-2"/>
                <w:sz w:val="15"/>
              </w:rPr>
              <w:t>target/KPI</w:t>
            </w:r>
          </w:p>
        </w:tc>
        <w:tc>
          <w:tcPr>
            <w:tcW w:w="859" w:type="dxa"/>
            <w:tcBorders>
              <w:bottom w:val="single" w:sz="8" w:space="0" w:color="000000"/>
            </w:tcBorders>
          </w:tcPr>
          <w:p w14:paraId="005039F3" w14:textId="77777777" w:rsidR="00AC6F3C" w:rsidRDefault="00570E88">
            <w:pPr>
              <w:pStyle w:val="TableParagraph"/>
              <w:spacing w:line="259" w:lineRule="auto"/>
              <w:ind w:left="93" w:right="181"/>
              <w:rPr>
                <w:b/>
                <w:sz w:val="15"/>
              </w:rPr>
            </w:pPr>
            <w:r>
              <w:rPr>
                <w:b/>
                <w:spacing w:val="-4"/>
                <w:sz w:val="15"/>
              </w:rPr>
              <w:t>Average</w:t>
            </w:r>
            <w:r>
              <w:rPr>
                <w:b/>
                <w:sz w:val="15"/>
              </w:rPr>
              <w:t xml:space="preserve"> </w:t>
            </w:r>
            <w:r>
              <w:rPr>
                <w:b/>
                <w:spacing w:val="-2"/>
                <w:sz w:val="15"/>
              </w:rPr>
              <w:t>Status</w:t>
            </w:r>
          </w:p>
        </w:tc>
        <w:tc>
          <w:tcPr>
            <w:tcW w:w="1039" w:type="dxa"/>
            <w:tcBorders>
              <w:bottom w:val="single" w:sz="8" w:space="0" w:color="000000"/>
            </w:tcBorders>
          </w:tcPr>
          <w:p w14:paraId="20CBDD18" w14:textId="77777777" w:rsidR="00AC6F3C" w:rsidRDefault="00570E88">
            <w:pPr>
              <w:pStyle w:val="TableParagraph"/>
              <w:spacing w:line="259" w:lineRule="auto"/>
              <w:ind w:left="197" w:right="257"/>
              <w:rPr>
                <w:b/>
                <w:sz w:val="15"/>
              </w:rPr>
            </w:pPr>
            <w:r>
              <w:rPr>
                <w:b/>
                <w:spacing w:val="-4"/>
                <w:sz w:val="15"/>
              </w:rPr>
              <w:t>Average</w:t>
            </w:r>
            <w:r>
              <w:rPr>
                <w:b/>
                <w:sz w:val="15"/>
              </w:rPr>
              <w:t xml:space="preserve"> </w:t>
            </w:r>
            <w:r>
              <w:rPr>
                <w:b/>
                <w:spacing w:val="-2"/>
                <w:sz w:val="15"/>
              </w:rPr>
              <w:t>status</w:t>
            </w:r>
          </w:p>
        </w:tc>
        <w:tc>
          <w:tcPr>
            <w:tcW w:w="3534" w:type="dxa"/>
            <w:tcBorders>
              <w:bottom w:val="single" w:sz="8" w:space="0" w:color="000000"/>
            </w:tcBorders>
          </w:tcPr>
          <w:p w14:paraId="47EDB5F1" w14:textId="77777777" w:rsidR="00AC6F3C" w:rsidRDefault="00AC6F3C">
            <w:pPr>
              <w:pStyle w:val="TableParagraph"/>
              <w:spacing w:before="1"/>
              <w:rPr>
                <w:sz w:val="16"/>
              </w:rPr>
            </w:pPr>
          </w:p>
          <w:p w14:paraId="0569A6B6" w14:textId="77777777" w:rsidR="00AC6F3C" w:rsidRDefault="00570E88">
            <w:pPr>
              <w:pStyle w:val="TableParagraph"/>
              <w:ind w:left="122"/>
              <w:rPr>
                <w:b/>
                <w:sz w:val="15"/>
              </w:rPr>
            </w:pPr>
            <w:r>
              <w:rPr>
                <w:b/>
                <w:spacing w:val="-4"/>
                <w:sz w:val="15"/>
              </w:rPr>
              <w:t>2022-23 Report</w:t>
            </w:r>
          </w:p>
        </w:tc>
      </w:tr>
      <w:tr w:rsidR="00AC6F3C" w14:paraId="19904272" w14:textId="77777777">
        <w:trPr>
          <w:trHeight w:val="229"/>
        </w:trPr>
        <w:tc>
          <w:tcPr>
            <w:tcW w:w="841" w:type="dxa"/>
            <w:tcBorders>
              <w:top w:val="single" w:sz="8" w:space="0" w:color="000000"/>
            </w:tcBorders>
          </w:tcPr>
          <w:p w14:paraId="00AA8932" w14:textId="77777777" w:rsidR="00AC6F3C" w:rsidRDefault="00570E88">
            <w:pPr>
              <w:pStyle w:val="TableParagraph"/>
              <w:spacing w:before="51" w:line="159" w:lineRule="exact"/>
              <w:ind w:left="70"/>
              <w:rPr>
                <w:b/>
                <w:sz w:val="15"/>
              </w:rPr>
            </w:pPr>
            <w:r>
              <w:rPr>
                <w:b/>
                <w:spacing w:val="-2"/>
                <w:sz w:val="15"/>
              </w:rPr>
              <w:t>Educate</w:t>
            </w:r>
          </w:p>
        </w:tc>
        <w:tc>
          <w:tcPr>
            <w:tcW w:w="2195" w:type="dxa"/>
            <w:tcBorders>
              <w:top w:val="single" w:sz="8" w:space="0" w:color="000000"/>
            </w:tcBorders>
          </w:tcPr>
          <w:p w14:paraId="295E05B4" w14:textId="77777777" w:rsidR="00AC6F3C" w:rsidRDefault="00570E88">
            <w:pPr>
              <w:pStyle w:val="TableParagraph"/>
              <w:spacing w:before="51" w:line="159" w:lineRule="exact"/>
              <w:ind w:left="136"/>
              <w:rPr>
                <w:sz w:val="15"/>
              </w:rPr>
            </w:pPr>
            <w:r>
              <w:rPr>
                <w:spacing w:val="-2"/>
                <w:sz w:val="15"/>
              </w:rPr>
              <w:t>09.</w:t>
            </w:r>
            <w:r>
              <w:rPr>
                <w:spacing w:val="27"/>
                <w:sz w:val="15"/>
              </w:rPr>
              <w:t xml:space="preserve"> </w:t>
            </w:r>
            <w:r>
              <w:rPr>
                <w:spacing w:val="-2"/>
                <w:sz w:val="15"/>
              </w:rPr>
              <w:t>Continue</w:t>
            </w:r>
            <w:r>
              <w:rPr>
                <w:spacing w:val="-8"/>
                <w:sz w:val="15"/>
              </w:rPr>
              <w:t xml:space="preserve"> </w:t>
            </w:r>
            <w:r>
              <w:rPr>
                <w:spacing w:val="-2"/>
                <w:sz w:val="15"/>
              </w:rPr>
              <w:t>the</w:t>
            </w:r>
            <w:r>
              <w:rPr>
                <w:spacing w:val="-9"/>
                <w:sz w:val="15"/>
              </w:rPr>
              <w:t xml:space="preserve"> </w:t>
            </w:r>
            <w:r>
              <w:rPr>
                <w:spacing w:val="-2"/>
                <w:sz w:val="15"/>
              </w:rPr>
              <w:t>accreditation</w:t>
            </w:r>
          </w:p>
        </w:tc>
        <w:tc>
          <w:tcPr>
            <w:tcW w:w="2927" w:type="dxa"/>
            <w:tcBorders>
              <w:top w:val="single" w:sz="8" w:space="0" w:color="000000"/>
            </w:tcBorders>
          </w:tcPr>
          <w:p w14:paraId="170D8942" w14:textId="77777777" w:rsidR="00AC6F3C" w:rsidRDefault="00570E88">
            <w:pPr>
              <w:pStyle w:val="TableParagraph"/>
              <w:spacing w:before="51" w:line="159" w:lineRule="exact"/>
              <w:ind w:left="124"/>
              <w:rPr>
                <w:sz w:val="15"/>
              </w:rPr>
            </w:pPr>
            <w:r>
              <w:rPr>
                <w:spacing w:val="-4"/>
                <w:sz w:val="15"/>
              </w:rPr>
              <w:t>9.1.1</w:t>
            </w:r>
            <w:r>
              <w:rPr>
                <w:spacing w:val="69"/>
                <w:w w:val="150"/>
                <w:sz w:val="15"/>
              </w:rPr>
              <w:t xml:space="preserve"> </w:t>
            </w:r>
            <w:r>
              <w:rPr>
                <w:spacing w:val="-4"/>
                <w:sz w:val="15"/>
              </w:rPr>
              <w:t>Deliver</w:t>
            </w:r>
            <w:r>
              <w:rPr>
                <w:spacing w:val="-6"/>
                <w:sz w:val="15"/>
              </w:rPr>
              <w:t xml:space="preserve"> </w:t>
            </w:r>
            <w:r>
              <w:rPr>
                <w:spacing w:val="-4"/>
                <w:sz w:val="15"/>
              </w:rPr>
              <w:t>the</w:t>
            </w:r>
            <w:r>
              <w:rPr>
                <w:spacing w:val="-7"/>
                <w:sz w:val="15"/>
              </w:rPr>
              <w:t xml:space="preserve"> </w:t>
            </w:r>
            <w:r>
              <w:rPr>
                <w:spacing w:val="-4"/>
                <w:sz w:val="15"/>
              </w:rPr>
              <w:t>accreditation</w:t>
            </w:r>
            <w:r>
              <w:rPr>
                <w:spacing w:val="-6"/>
                <w:sz w:val="15"/>
              </w:rPr>
              <w:t xml:space="preserve"> </w:t>
            </w:r>
            <w:r>
              <w:rPr>
                <w:spacing w:val="-4"/>
                <w:sz w:val="15"/>
              </w:rPr>
              <w:t>programs</w:t>
            </w:r>
          </w:p>
        </w:tc>
        <w:tc>
          <w:tcPr>
            <w:tcW w:w="738" w:type="dxa"/>
            <w:tcBorders>
              <w:top w:val="single" w:sz="8" w:space="0" w:color="000000"/>
            </w:tcBorders>
          </w:tcPr>
          <w:p w14:paraId="7D577729" w14:textId="77777777" w:rsidR="00AC6F3C" w:rsidRDefault="00570E88">
            <w:pPr>
              <w:pStyle w:val="TableParagraph"/>
              <w:spacing w:before="51" w:line="159" w:lineRule="exact"/>
              <w:ind w:left="103"/>
              <w:rPr>
                <w:b/>
                <w:sz w:val="15"/>
              </w:rPr>
            </w:pPr>
            <w:r>
              <w:rPr>
                <w:b/>
                <w:spacing w:val="-4"/>
                <w:sz w:val="15"/>
              </w:rPr>
              <w:t>KPI1</w:t>
            </w:r>
          </w:p>
        </w:tc>
        <w:tc>
          <w:tcPr>
            <w:tcW w:w="822" w:type="dxa"/>
            <w:tcBorders>
              <w:top w:val="single" w:sz="8" w:space="0" w:color="000000"/>
            </w:tcBorders>
          </w:tcPr>
          <w:p w14:paraId="1F8361B6" w14:textId="77777777" w:rsidR="00AC6F3C" w:rsidRDefault="00570E88">
            <w:pPr>
              <w:pStyle w:val="TableParagraph"/>
              <w:spacing w:before="51" w:line="159" w:lineRule="exact"/>
              <w:ind w:left="40" w:right="64"/>
              <w:jc w:val="center"/>
              <w:rPr>
                <w:sz w:val="15"/>
              </w:rPr>
            </w:pPr>
            <w:r>
              <w:rPr>
                <w:spacing w:val="-4"/>
                <w:sz w:val="15"/>
              </w:rPr>
              <w:t>30-Jun-</w:t>
            </w:r>
            <w:r>
              <w:rPr>
                <w:spacing w:val="-5"/>
                <w:sz w:val="15"/>
              </w:rPr>
              <w:t>23</w:t>
            </w:r>
          </w:p>
        </w:tc>
        <w:tc>
          <w:tcPr>
            <w:tcW w:w="1217" w:type="dxa"/>
            <w:tcBorders>
              <w:top w:val="single" w:sz="8" w:space="0" w:color="000000"/>
            </w:tcBorders>
          </w:tcPr>
          <w:p w14:paraId="0E483E17" w14:textId="77777777" w:rsidR="00AC6F3C" w:rsidRDefault="00570E88">
            <w:pPr>
              <w:pStyle w:val="TableParagraph"/>
              <w:spacing w:before="51" w:line="159" w:lineRule="exact"/>
              <w:ind w:left="116"/>
              <w:rPr>
                <w:sz w:val="15"/>
              </w:rPr>
            </w:pPr>
            <w:r>
              <w:rPr>
                <w:spacing w:val="-2"/>
                <w:sz w:val="15"/>
              </w:rPr>
              <w:t>Education</w:t>
            </w:r>
          </w:p>
        </w:tc>
        <w:tc>
          <w:tcPr>
            <w:tcW w:w="1811" w:type="dxa"/>
            <w:tcBorders>
              <w:top w:val="single" w:sz="8" w:space="0" w:color="000000"/>
            </w:tcBorders>
          </w:tcPr>
          <w:p w14:paraId="0482A9F6" w14:textId="77777777" w:rsidR="00AC6F3C" w:rsidRDefault="00570E88">
            <w:pPr>
              <w:pStyle w:val="TableParagraph"/>
              <w:spacing w:before="51" w:line="159" w:lineRule="exact"/>
              <w:ind w:left="118"/>
              <w:rPr>
                <w:sz w:val="15"/>
              </w:rPr>
            </w:pPr>
            <w:r>
              <w:rPr>
                <w:spacing w:val="-2"/>
                <w:sz w:val="15"/>
              </w:rPr>
              <w:t>9.1.1</w:t>
            </w:r>
            <w:r>
              <w:rPr>
                <w:spacing w:val="50"/>
                <w:sz w:val="15"/>
              </w:rPr>
              <w:t xml:space="preserve"> </w:t>
            </w:r>
            <w:r>
              <w:rPr>
                <w:spacing w:val="-2"/>
                <w:sz w:val="15"/>
              </w:rPr>
              <w:t>Deliver</w:t>
            </w:r>
            <w:r>
              <w:rPr>
                <w:spacing w:val="-9"/>
                <w:sz w:val="15"/>
              </w:rPr>
              <w:t xml:space="preserve"> </w:t>
            </w:r>
            <w:r>
              <w:rPr>
                <w:spacing w:val="-5"/>
                <w:sz w:val="15"/>
              </w:rPr>
              <w:t>the</w:t>
            </w:r>
          </w:p>
        </w:tc>
        <w:tc>
          <w:tcPr>
            <w:tcW w:w="859" w:type="dxa"/>
            <w:tcBorders>
              <w:top w:val="single" w:sz="8" w:space="0" w:color="000000"/>
            </w:tcBorders>
          </w:tcPr>
          <w:p w14:paraId="23BEFF49" w14:textId="77777777" w:rsidR="00AC6F3C" w:rsidRDefault="00570E88">
            <w:pPr>
              <w:pStyle w:val="TableParagraph"/>
              <w:spacing w:before="50" w:line="159" w:lineRule="exact"/>
              <w:ind w:left="107"/>
              <w:rPr>
                <w:b/>
                <w:sz w:val="15"/>
              </w:rPr>
            </w:pPr>
            <w:r>
              <w:rPr>
                <w:b/>
                <w:spacing w:val="-2"/>
                <w:sz w:val="15"/>
              </w:rPr>
              <w:t>Green-</w:t>
            </w:r>
          </w:p>
        </w:tc>
        <w:tc>
          <w:tcPr>
            <w:tcW w:w="1039" w:type="dxa"/>
            <w:tcBorders>
              <w:top w:val="single" w:sz="8" w:space="0" w:color="000000"/>
            </w:tcBorders>
          </w:tcPr>
          <w:p w14:paraId="715460D8" w14:textId="77777777" w:rsidR="00AC6F3C" w:rsidRDefault="00570E88">
            <w:pPr>
              <w:pStyle w:val="TableParagraph"/>
              <w:spacing w:before="50" w:line="159" w:lineRule="exact"/>
              <w:ind w:left="212"/>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3534" w:type="dxa"/>
            <w:tcBorders>
              <w:top w:val="single" w:sz="8" w:space="0" w:color="000000"/>
            </w:tcBorders>
          </w:tcPr>
          <w:p w14:paraId="4D1429B1" w14:textId="77777777" w:rsidR="00AC6F3C" w:rsidRDefault="00570E88">
            <w:pPr>
              <w:pStyle w:val="TableParagraph"/>
              <w:spacing w:before="51" w:line="159" w:lineRule="exact"/>
              <w:ind w:left="136"/>
              <w:rPr>
                <w:sz w:val="15"/>
              </w:rPr>
            </w:pPr>
            <w:r>
              <w:rPr>
                <w:spacing w:val="-6"/>
                <w:sz w:val="15"/>
              </w:rPr>
              <w:t>9.1.1</w:t>
            </w:r>
            <w:r>
              <w:rPr>
                <w:spacing w:val="76"/>
                <w:sz w:val="15"/>
              </w:rPr>
              <w:t xml:space="preserve"> </w:t>
            </w:r>
            <w:r>
              <w:rPr>
                <w:spacing w:val="-6"/>
                <w:sz w:val="15"/>
              </w:rPr>
              <w:t>Delayed</w:t>
            </w:r>
            <w:r>
              <w:rPr>
                <w:spacing w:val="-10"/>
                <w:sz w:val="15"/>
              </w:rPr>
              <w:t xml:space="preserve"> </w:t>
            </w:r>
            <w:r>
              <w:rPr>
                <w:spacing w:val="-6"/>
                <w:sz w:val="15"/>
              </w:rPr>
              <w:t>–</w:t>
            </w:r>
            <w:r>
              <w:rPr>
                <w:spacing w:val="-10"/>
                <w:sz w:val="15"/>
              </w:rPr>
              <w:t xml:space="preserve"> </w:t>
            </w:r>
            <w:r>
              <w:rPr>
                <w:spacing w:val="-6"/>
                <w:sz w:val="15"/>
              </w:rPr>
              <w:t>due</w:t>
            </w:r>
            <w:r>
              <w:rPr>
                <w:spacing w:val="-10"/>
                <w:sz w:val="15"/>
              </w:rPr>
              <w:t xml:space="preserve"> </w:t>
            </w:r>
            <w:r>
              <w:rPr>
                <w:spacing w:val="-6"/>
                <w:sz w:val="15"/>
              </w:rPr>
              <w:t>to</w:t>
            </w:r>
            <w:r>
              <w:rPr>
                <w:spacing w:val="-10"/>
                <w:sz w:val="15"/>
              </w:rPr>
              <w:t xml:space="preserve"> </w:t>
            </w:r>
            <w:r>
              <w:rPr>
                <w:spacing w:val="-6"/>
                <w:sz w:val="15"/>
              </w:rPr>
              <w:t>capacity</w:t>
            </w:r>
            <w:r>
              <w:rPr>
                <w:spacing w:val="-10"/>
                <w:sz w:val="15"/>
              </w:rPr>
              <w:t xml:space="preserve"> </w:t>
            </w:r>
            <w:r>
              <w:rPr>
                <w:spacing w:val="-6"/>
                <w:sz w:val="15"/>
              </w:rPr>
              <w:t>issues</w:t>
            </w:r>
            <w:r>
              <w:rPr>
                <w:spacing w:val="-10"/>
                <w:sz w:val="15"/>
              </w:rPr>
              <w:t xml:space="preserve"> </w:t>
            </w:r>
            <w:r>
              <w:rPr>
                <w:spacing w:val="-6"/>
                <w:sz w:val="15"/>
              </w:rPr>
              <w:t>with</w:t>
            </w:r>
          </w:p>
        </w:tc>
      </w:tr>
      <w:tr w:rsidR="00AC6F3C" w14:paraId="6CB2A398" w14:textId="77777777">
        <w:trPr>
          <w:trHeight w:val="353"/>
        </w:trPr>
        <w:tc>
          <w:tcPr>
            <w:tcW w:w="841" w:type="dxa"/>
          </w:tcPr>
          <w:p w14:paraId="4E51CC68" w14:textId="77777777" w:rsidR="00AC6F3C" w:rsidRDefault="00AC6F3C">
            <w:pPr>
              <w:pStyle w:val="TableParagraph"/>
              <w:rPr>
                <w:rFonts w:ascii="Times New Roman"/>
                <w:sz w:val="14"/>
              </w:rPr>
            </w:pPr>
          </w:p>
        </w:tc>
        <w:tc>
          <w:tcPr>
            <w:tcW w:w="2195" w:type="dxa"/>
          </w:tcPr>
          <w:p w14:paraId="331B8614" w14:textId="77777777" w:rsidR="00AC6F3C" w:rsidRDefault="00570E88">
            <w:pPr>
              <w:pStyle w:val="TableParagraph"/>
              <w:spacing w:before="1"/>
              <w:ind w:left="420"/>
              <w:rPr>
                <w:sz w:val="15"/>
              </w:rPr>
            </w:pPr>
            <w:r>
              <w:rPr>
                <w:spacing w:val="-4"/>
                <w:sz w:val="15"/>
              </w:rPr>
              <w:t>programs in</w:t>
            </w:r>
            <w:r>
              <w:rPr>
                <w:spacing w:val="-3"/>
                <w:sz w:val="15"/>
              </w:rPr>
              <w:t xml:space="preserve"> </w:t>
            </w:r>
            <w:r>
              <w:rPr>
                <w:spacing w:val="-4"/>
                <w:sz w:val="15"/>
              </w:rPr>
              <w:t>Practice</w:t>
            </w:r>
          </w:p>
          <w:p w14:paraId="41F36E01" w14:textId="77777777" w:rsidR="00AC6F3C" w:rsidRDefault="00570E88">
            <w:pPr>
              <w:pStyle w:val="TableParagraph"/>
              <w:spacing w:before="8" w:line="152" w:lineRule="exact"/>
              <w:ind w:left="420"/>
              <w:rPr>
                <w:sz w:val="15"/>
              </w:rPr>
            </w:pPr>
            <w:r>
              <w:rPr>
                <w:spacing w:val="-4"/>
                <w:sz w:val="15"/>
              </w:rPr>
              <w:t>Management</w:t>
            </w:r>
            <w:r>
              <w:rPr>
                <w:spacing w:val="-6"/>
                <w:sz w:val="15"/>
              </w:rPr>
              <w:t xml:space="preserve"> </w:t>
            </w:r>
            <w:r>
              <w:rPr>
                <w:spacing w:val="-4"/>
                <w:sz w:val="15"/>
              </w:rPr>
              <w:t>for</w:t>
            </w:r>
            <w:r>
              <w:rPr>
                <w:spacing w:val="-5"/>
                <w:sz w:val="15"/>
              </w:rPr>
              <w:t xml:space="preserve"> </w:t>
            </w:r>
            <w:r>
              <w:rPr>
                <w:spacing w:val="-4"/>
                <w:sz w:val="15"/>
              </w:rPr>
              <w:t>practice</w:t>
            </w:r>
          </w:p>
        </w:tc>
        <w:tc>
          <w:tcPr>
            <w:tcW w:w="2927" w:type="dxa"/>
          </w:tcPr>
          <w:p w14:paraId="32CFF3CE" w14:textId="77777777" w:rsidR="00AC6F3C" w:rsidRDefault="00570E88">
            <w:pPr>
              <w:pStyle w:val="TableParagraph"/>
              <w:spacing w:before="1"/>
              <w:ind w:left="549"/>
              <w:rPr>
                <w:sz w:val="15"/>
              </w:rPr>
            </w:pPr>
            <w:r>
              <w:rPr>
                <w:spacing w:val="-4"/>
                <w:sz w:val="15"/>
              </w:rPr>
              <w:t>in</w:t>
            </w:r>
            <w:r>
              <w:rPr>
                <w:spacing w:val="-3"/>
                <w:sz w:val="15"/>
              </w:rPr>
              <w:t xml:space="preserve"> </w:t>
            </w:r>
            <w:r>
              <w:rPr>
                <w:spacing w:val="-4"/>
                <w:sz w:val="15"/>
              </w:rPr>
              <w:t>Practice</w:t>
            </w:r>
            <w:r>
              <w:rPr>
                <w:spacing w:val="-3"/>
                <w:sz w:val="15"/>
              </w:rPr>
              <w:t xml:space="preserve"> </w:t>
            </w:r>
            <w:r>
              <w:rPr>
                <w:spacing w:val="-4"/>
                <w:sz w:val="15"/>
              </w:rPr>
              <w:t>Management</w:t>
            </w:r>
            <w:r>
              <w:rPr>
                <w:spacing w:val="-3"/>
                <w:sz w:val="15"/>
              </w:rPr>
              <w:t xml:space="preserve"> </w:t>
            </w:r>
            <w:r>
              <w:rPr>
                <w:spacing w:val="-4"/>
                <w:sz w:val="15"/>
              </w:rPr>
              <w:t>for</w:t>
            </w:r>
            <w:r>
              <w:rPr>
                <w:spacing w:val="-3"/>
                <w:sz w:val="15"/>
              </w:rPr>
              <w:t xml:space="preserve"> </w:t>
            </w:r>
            <w:r>
              <w:rPr>
                <w:spacing w:val="-4"/>
                <w:sz w:val="15"/>
              </w:rPr>
              <w:t>practice</w:t>
            </w:r>
          </w:p>
          <w:p w14:paraId="6EC8FEB3" w14:textId="77777777" w:rsidR="00AC6F3C" w:rsidRDefault="00570E88">
            <w:pPr>
              <w:pStyle w:val="TableParagraph"/>
              <w:spacing w:before="8" w:line="152" w:lineRule="exact"/>
              <w:ind w:left="549"/>
              <w:rPr>
                <w:sz w:val="15"/>
              </w:rPr>
            </w:pPr>
            <w:r>
              <w:rPr>
                <w:spacing w:val="-2"/>
                <w:sz w:val="15"/>
              </w:rPr>
              <w:t>managers</w:t>
            </w:r>
          </w:p>
        </w:tc>
        <w:tc>
          <w:tcPr>
            <w:tcW w:w="738" w:type="dxa"/>
          </w:tcPr>
          <w:p w14:paraId="2FE00334" w14:textId="77777777" w:rsidR="00AC6F3C" w:rsidRDefault="00AC6F3C">
            <w:pPr>
              <w:pStyle w:val="TableParagraph"/>
              <w:spacing w:before="8"/>
              <w:rPr>
                <w:sz w:val="15"/>
              </w:rPr>
            </w:pPr>
          </w:p>
          <w:p w14:paraId="3FE7A434" w14:textId="77777777" w:rsidR="00AC6F3C" w:rsidRDefault="00570E88">
            <w:pPr>
              <w:pStyle w:val="TableParagraph"/>
              <w:spacing w:before="1" w:line="153" w:lineRule="exact"/>
              <w:ind w:left="103"/>
              <w:rPr>
                <w:b/>
                <w:sz w:val="15"/>
              </w:rPr>
            </w:pPr>
            <w:r>
              <w:rPr>
                <w:b/>
                <w:spacing w:val="-4"/>
                <w:sz w:val="15"/>
              </w:rPr>
              <w:t>KPI2</w:t>
            </w:r>
          </w:p>
        </w:tc>
        <w:tc>
          <w:tcPr>
            <w:tcW w:w="822" w:type="dxa"/>
          </w:tcPr>
          <w:p w14:paraId="34932F37" w14:textId="77777777" w:rsidR="00AC6F3C" w:rsidRDefault="00AC6F3C">
            <w:pPr>
              <w:pStyle w:val="TableParagraph"/>
              <w:rPr>
                <w:rFonts w:ascii="Times New Roman"/>
                <w:sz w:val="14"/>
              </w:rPr>
            </w:pPr>
          </w:p>
        </w:tc>
        <w:tc>
          <w:tcPr>
            <w:tcW w:w="1217" w:type="dxa"/>
          </w:tcPr>
          <w:p w14:paraId="0D872009" w14:textId="77777777" w:rsidR="00AC6F3C" w:rsidRDefault="00AC6F3C">
            <w:pPr>
              <w:pStyle w:val="TableParagraph"/>
              <w:rPr>
                <w:rFonts w:ascii="Times New Roman"/>
                <w:sz w:val="14"/>
              </w:rPr>
            </w:pPr>
          </w:p>
        </w:tc>
        <w:tc>
          <w:tcPr>
            <w:tcW w:w="1811" w:type="dxa"/>
          </w:tcPr>
          <w:p w14:paraId="13E49E96" w14:textId="77777777" w:rsidR="00AC6F3C" w:rsidRDefault="00570E88">
            <w:pPr>
              <w:pStyle w:val="TableParagraph"/>
              <w:spacing w:before="1"/>
              <w:ind w:left="543"/>
              <w:rPr>
                <w:sz w:val="15"/>
              </w:rPr>
            </w:pPr>
            <w:r>
              <w:rPr>
                <w:spacing w:val="-2"/>
                <w:sz w:val="15"/>
              </w:rPr>
              <w:t>accreditation</w:t>
            </w:r>
          </w:p>
          <w:p w14:paraId="44A4A580" w14:textId="77777777" w:rsidR="00AC6F3C" w:rsidRDefault="00570E88">
            <w:pPr>
              <w:pStyle w:val="TableParagraph"/>
              <w:spacing w:before="8" w:line="153" w:lineRule="exact"/>
              <w:ind w:left="543"/>
              <w:rPr>
                <w:sz w:val="15"/>
              </w:rPr>
            </w:pPr>
            <w:r>
              <w:rPr>
                <w:spacing w:val="-2"/>
                <w:sz w:val="15"/>
              </w:rPr>
              <w:t>programs</w:t>
            </w:r>
          </w:p>
        </w:tc>
        <w:tc>
          <w:tcPr>
            <w:tcW w:w="859" w:type="dxa"/>
          </w:tcPr>
          <w:p w14:paraId="7B6E0480" w14:textId="77777777" w:rsidR="00AC6F3C" w:rsidRDefault="00570E88">
            <w:pPr>
              <w:pStyle w:val="TableParagraph"/>
              <w:spacing w:before="1"/>
              <w:ind w:left="107"/>
              <w:rPr>
                <w:b/>
                <w:sz w:val="15"/>
              </w:rPr>
            </w:pPr>
            <w:r>
              <w:rPr>
                <w:b/>
                <w:spacing w:val="-2"/>
                <w:sz w:val="15"/>
              </w:rPr>
              <w:t>Yellow</w:t>
            </w:r>
          </w:p>
        </w:tc>
        <w:tc>
          <w:tcPr>
            <w:tcW w:w="1039" w:type="dxa"/>
          </w:tcPr>
          <w:p w14:paraId="46AF9D02" w14:textId="77777777" w:rsidR="00AC6F3C" w:rsidRDefault="00570E88">
            <w:pPr>
              <w:pStyle w:val="TableParagraph"/>
              <w:spacing w:before="1"/>
              <w:ind w:left="212"/>
              <w:rPr>
                <w:b/>
                <w:sz w:val="15"/>
              </w:rPr>
            </w:pPr>
            <w:r>
              <w:rPr>
                <w:b/>
                <w:spacing w:val="-2"/>
                <w:sz w:val="15"/>
              </w:rPr>
              <w:t>ongoing</w:t>
            </w:r>
          </w:p>
        </w:tc>
        <w:tc>
          <w:tcPr>
            <w:tcW w:w="3534" w:type="dxa"/>
          </w:tcPr>
          <w:p w14:paraId="5A272EF7" w14:textId="77777777" w:rsidR="00AC6F3C" w:rsidRDefault="00570E88">
            <w:pPr>
              <w:pStyle w:val="TableParagraph"/>
              <w:spacing w:before="1"/>
              <w:ind w:left="562"/>
              <w:rPr>
                <w:sz w:val="15"/>
              </w:rPr>
            </w:pPr>
            <w:r>
              <w:rPr>
                <w:w w:val="90"/>
                <w:sz w:val="15"/>
              </w:rPr>
              <w:t>redevelopment</w:t>
            </w:r>
            <w:r>
              <w:rPr>
                <w:spacing w:val="-1"/>
                <w:w w:val="90"/>
                <w:sz w:val="15"/>
              </w:rPr>
              <w:t xml:space="preserve"> </w:t>
            </w:r>
            <w:r>
              <w:rPr>
                <w:w w:val="90"/>
                <w:sz w:val="15"/>
              </w:rPr>
              <w:t>of</w:t>
            </w:r>
            <w:r>
              <w:rPr>
                <w:spacing w:val="-4"/>
                <w:sz w:val="15"/>
              </w:rPr>
              <w:t xml:space="preserve"> </w:t>
            </w:r>
            <w:r>
              <w:rPr>
                <w:w w:val="90"/>
                <w:sz w:val="15"/>
              </w:rPr>
              <w:t>building</w:t>
            </w:r>
            <w:r>
              <w:rPr>
                <w:spacing w:val="-1"/>
                <w:w w:val="90"/>
                <w:sz w:val="15"/>
              </w:rPr>
              <w:t xml:space="preserve"> </w:t>
            </w:r>
            <w:r>
              <w:rPr>
                <w:w w:val="90"/>
                <w:sz w:val="15"/>
              </w:rPr>
              <w:t>no</w:t>
            </w:r>
            <w:r>
              <w:rPr>
                <w:spacing w:val="-4"/>
                <w:sz w:val="15"/>
              </w:rPr>
              <w:t xml:space="preserve"> </w:t>
            </w:r>
            <w:r>
              <w:rPr>
                <w:w w:val="90"/>
                <w:sz w:val="15"/>
              </w:rPr>
              <w:t>suitable</w:t>
            </w:r>
            <w:r>
              <w:rPr>
                <w:spacing w:val="-4"/>
                <w:sz w:val="15"/>
              </w:rPr>
              <w:t xml:space="preserve"> </w:t>
            </w:r>
            <w:r>
              <w:rPr>
                <w:spacing w:val="-2"/>
                <w:w w:val="90"/>
                <w:sz w:val="15"/>
              </w:rPr>
              <w:t>space</w:t>
            </w:r>
          </w:p>
          <w:p w14:paraId="2C41A062" w14:textId="77777777" w:rsidR="00AC6F3C" w:rsidRDefault="00570E88">
            <w:pPr>
              <w:pStyle w:val="TableParagraph"/>
              <w:spacing w:before="8" w:line="153" w:lineRule="exact"/>
              <w:ind w:left="562"/>
              <w:rPr>
                <w:sz w:val="15"/>
              </w:rPr>
            </w:pPr>
            <w:r>
              <w:rPr>
                <w:w w:val="90"/>
                <w:sz w:val="15"/>
              </w:rPr>
              <w:t>available</w:t>
            </w:r>
            <w:r>
              <w:rPr>
                <w:spacing w:val="-3"/>
                <w:w w:val="90"/>
                <w:sz w:val="15"/>
              </w:rPr>
              <w:t xml:space="preserve"> </w:t>
            </w:r>
            <w:r>
              <w:rPr>
                <w:w w:val="90"/>
                <w:sz w:val="15"/>
              </w:rPr>
              <w:t>to</w:t>
            </w:r>
            <w:r>
              <w:rPr>
                <w:spacing w:val="-2"/>
                <w:w w:val="90"/>
                <w:sz w:val="15"/>
              </w:rPr>
              <w:t xml:space="preserve"> </w:t>
            </w:r>
            <w:r>
              <w:rPr>
                <w:w w:val="90"/>
                <w:sz w:val="15"/>
              </w:rPr>
              <w:t>run</w:t>
            </w:r>
            <w:r>
              <w:rPr>
                <w:spacing w:val="-3"/>
                <w:w w:val="90"/>
                <w:sz w:val="15"/>
              </w:rPr>
              <w:t xml:space="preserve"> </w:t>
            </w:r>
            <w:r>
              <w:rPr>
                <w:w w:val="90"/>
                <w:sz w:val="15"/>
              </w:rPr>
              <w:t>pilot</w:t>
            </w:r>
            <w:r>
              <w:rPr>
                <w:spacing w:val="-2"/>
                <w:w w:val="90"/>
                <w:sz w:val="15"/>
              </w:rPr>
              <w:t xml:space="preserve"> </w:t>
            </w:r>
            <w:r>
              <w:rPr>
                <w:w w:val="90"/>
                <w:sz w:val="15"/>
              </w:rPr>
              <w:t>until</w:t>
            </w:r>
            <w:r>
              <w:rPr>
                <w:spacing w:val="-3"/>
                <w:w w:val="90"/>
                <w:sz w:val="15"/>
              </w:rPr>
              <w:t xml:space="preserve"> </w:t>
            </w:r>
            <w:r>
              <w:rPr>
                <w:w w:val="90"/>
                <w:sz w:val="15"/>
              </w:rPr>
              <w:t>after</w:t>
            </w:r>
            <w:r>
              <w:rPr>
                <w:spacing w:val="-2"/>
                <w:w w:val="90"/>
                <w:sz w:val="15"/>
              </w:rPr>
              <w:t xml:space="preserve"> renovations</w:t>
            </w:r>
          </w:p>
        </w:tc>
      </w:tr>
    </w:tbl>
    <w:p w14:paraId="1C3AEFD0" w14:textId="77777777" w:rsidR="00AC6F3C" w:rsidRDefault="00AC6F3C">
      <w:pPr>
        <w:spacing w:line="153" w:lineRule="exact"/>
        <w:rPr>
          <w:sz w:val="15"/>
        </w:rPr>
        <w:sectPr w:rsidR="00AC6F3C">
          <w:headerReference w:type="default" r:id="rId31"/>
          <w:footerReference w:type="default" r:id="rId32"/>
          <w:pgSz w:w="16840" w:h="11910" w:orient="landscape"/>
          <w:pgMar w:top="620" w:right="320" w:bottom="520" w:left="300" w:header="0" w:footer="336" w:gutter="0"/>
          <w:cols w:space="720"/>
        </w:sectPr>
      </w:pPr>
    </w:p>
    <w:p w14:paraId="1C0EC021" w14:textId="77777777" w:rsidR="00AC6F3C" w:rsidRDefault="00570E88">
      <w:pPr>
        <w:spacing w:before="10" w:line="249" w:lineRule="auto"/>
        <w:ind w:left="1386" w:right="-6"/>
        <w:rPr>
          <w:sz w:val="15"/>
        </w:rPr>
      </w:pPr>
      <w:r>
        <w:rPr>
          <w:spacing w:val="-4"/>
          <w:sz w:val="15"/>
        </w:rPr>
        <w:t>managers</w:t>
      </w:r>
      <w:r>
        <w:rPr>
          <w:spacing w:val="-7"/>
          <w:sz w:val="15"/>
        </w:rPr>
        <w:t xml:space="preserve"> </w:t>
      </w:r>
      <w:r>
        <w:rPr>
          <w:spacing w:val="-4"/>
          <w:sz w:val="15"/>
        </w:rPr>
        <w:t>and</w:t>
      </w:r>
      <w:r>
        <w:rPr>
          <w:spacing w:val="-6"/>
          <w:sz w:val="15"/>
        </w:rPr>
        <w:t xml:space="preserve"> </w:t>
      </w:r>
      <w:r>
        <w:rPr>
          <w:spacing w:val="-4"/>
          <w:sz w:val="15"/>
        </w:rPr>
        <w:t>First</w:t>
      </w:r>
      <w:r>
        <w:rPr>
          <w:spacing w:val="-7"/>
          <w:sz w:val="15"/>
        </w:rPr>
        <w:t xml:space="preserve"> </w:t>
      </w:r>
      <w:r>
        <w:rPr>
          <w:spacing w:val="-4"/>
          <w:sz w:val="15"/>
        </w:rPr>
        <w:t>Nations</w:t>
      </w:r>
      <w:r>
        <w:rPr>
          <w:sz w:val="15"/>
        </w:rPr>
        <w:t xml:space="preserve"> Cultural Competence and explore</w:t>
      </w:r>
      <w:r>
        <w:rPr>
          <w:spacing w:val="-11"/>
          <w:sz w:val="15"/>
        </w:rPr>
        <w:t xml:space="preserve"> </w:t>
      </w:r>
      <w:r>
        <w:rPr>
          <w:sz w:val="15"/>
        </w:rPr>
        <w:t>options</w:t>
      </w:r>
      <w:r>
        <w:rPr>
          <w:spacing w:val="-10"/>
          <w:sz w:val="15"/>
        </w:rPr>
        <w:t xml:space="preserve"> </w:t>
      </w:r>
      <w:r>
        <w:rPr>
          <w:sz w:val="15"/>
        </w:rPr>
        <w:t>for</w:t>
      </w:r>
      <w:r>
        <w:rPr>
          <w:spacing w:val="-11"/>
          <w:sz w:val="15"/>
        </w:rPr>
        <w:t xml:space="preserve"> </w:t>
      </w:r>
      <w:r>
        <w:rPr>
          <w:sz w:val="15"/>
        </w:rPr>
        <w:t>general practitioner</w:t>
      </w:r>
      <w:r>
        <w:rPr>
          <w:spacing w:val="-9"/>
          <w:sz w:val="15"/>
        </w:rPr>
        <w:t xml:space="preserve"> </w:t>
      </w:r>
      <w:proofErr w:type="gramStart"/>
      <w:r>
        <w:rPr>
          <w:sz w:val="15"/>
        </w:rPr>
        <w:t>solicitors</w:t>
      </w:r>
      <w:proofErr w:type="gramEnd"/>
    </w:p>
    <w:p w14:paraId="7CED62FD" w14:textId="77777777" w:rsidR="00AC6F3C" w:rsidRDefault="00AC6F3C">
      <w:pPr>
        <w:pStyle w:val="BodyText"/>
        <w:rPr>
          <w:sz w:val="16"/>
        </w:rPr>
      </w:pPr>
    </w:p>
    <w:p w14:paraId="39FB7C2C" w14:textId="77777777" w:rsidR="00AC6F3C" w:rsidRDefault="00AC6F3C">
      <w:pPr>
        <w:pStyle w:val="BodyText"/>
        <w:rPr>
          <w:sz w:val="16"/>
        </w:rPr>
      </w:pPr>
    </w:p>
    <w:p w14:paraId="7FD76BFD" w14:textId="77777777" w:rsidR="00AC6F3C" w:rsidRDefault="00AC6F3C">
      <w:pPr>
        <w:pStyle w:val="BodyText"/>
        <w:rPr>
          <w:sz w:val="16"/>
        </w:rPr>
      </w:pPr>
    </w:p>
    <w:p w14:paraId="0656B81C" w14:textId="77777777" w:rsidR="00AC6F3C" w:rsidRDefault="00AC6F3C">
      <w:pPr>
        <w:pStyle w:val="BodyText"/>
        <w:rPr>
          <w:sz w:val="16"/>
        </w:rPr>
      </w:pPr>
    </w:p>
    <w:p w14:paraId="47E1AC90" w14:textId="77777777" w:rsidR="00AC6F3C" w:rsidRDefault="00AC6F3C">
      <w:pPr>
        <w:pStyle w:val="BodyText"/>
        <w:rPr>
          <w:sz w:val="16"/>
        </w:rPr>
      </w:pPr>
    </w:p>
    <w:p w14:paraId="37A5F877" w14:textId="77777777" w:rsidR="00AC6F3C" w:rsidRDefault="00AC6F3C">
      <w:pPr>
        <w:pStyle w:val="BodyText"/>
        <w:rPr>
          <w:sz w:val="16"/>
        </w:rPr>
      </w:pPr>
    </w:p>
    <w:p w14:paraId="7539B323" w14:textId="77777777" w:rsidR="00AC6F3C" w:rsidRDefault="00AC6F3C">
      <w:pPr>
        <w:pStyle w:val="BodyText"/>
        <w:rPr>
          <w:sz w:val="16"/>
        </w:rPr>
      </w:pPr>
    </w:p>
    <w:p w14:paraId="419A319D" w14:textId="77777777" w:rsidR="00AC6F3C" w:rsidRDefault="00AC6F3C">
      <w:pPr>
        <w:pStyle w:val="BodyText"/>
        <w:rPr>
          <w:sz w:val="16"/>
        </w:rPr>
      </w:pPr>
    </w:p>
    <w:p w14:paraId="536E1D17" w14:textId="77777777" w:rsidR="00AC6F3C" w:rsidRDefault="00AC6F3C">
      <w:pPr>
        <w:pStyle w:val="BodyText"/>
        <w:rPr>
          <w:sz w:val="16"/>
        </w:rPr>
      </w:pPr>
    </w:p>
    <w:p w14:paraId="425ED904" w14:textId="77777777" w:rsidR="00AC6F3C" w:rsidRDefault="00AC6F3C">
      <w:pPr>
        <w:pStyle w:val="BodyText"/>
        <w:rPr>
          <w:sz w:val="16"/>
        </w:rPr>
      </w:pPr>
    </w:p>
    <w:p w14:paraId="4BB84A3D" w14:textId="77777777" w:rsidR="00AC6F3C" w:rsidRDefault="00AC6F3C">
      <w:pPr>
        <w:pStyle w:val="BodyText"/>
        <w:spacing w:before="9"/>
        <w:rPr>
          <w:sz w:val="12"/>
        </w:rPr>
      </w:pPr>
    </w:p>
    <w:p w14:paraId="7804F38D" w14:textId="77777777" w:rsidR="00AC6F3C" w:rsidRDefault="00570E88">
      <w:pPr>
        <w:tabs>
          <w:tab w:val="left" w:pos="1103"/>
        </w:tabs>
        <w:ind w:left="196"/>
        <w:rPr>
          <w:sz w:val="15"/>
        </w:rPr>
      </w:pPr>
      <w:r>
        <w:rPr>
          <w:noProof/>
        </w:rPr>
        <mc:AlternateContent>
          <mc:Choice Requires="wpg">
            <w:drawing>
              <wp:anchor distT="0" distB="0" distL="0" distR="0" simplePos="0" relativeHeight="15746560" behindDoc="0" locked="0" layoutInCell="1" allowOverlap="1" wp14:anchorId="17E11979" wp14:editId="319AFA3E">
                <wp:simplePos x="0" y="0"/>
                <wp:positionH relativeFrom="page">
                  <wp:posOffset>269999</wp:posOffset>
                </wp:positionH>
                <wp:positionV relativeFrom="paragraph">
                  <wp:posOffset>-35556</wp:posOffset>
                </wp:positionV>
                <wp:extent cx="10152380" cy="317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02" name="Graphic 102"/>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03" name="Graphic 103"/>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04" name="Graphic 104"/>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05" name="Graphic 105"/>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06" name="Graphic 106"/>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07" name="Graphic 107"/>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08" name="Graphic 108"/>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09" name="Graphic 109"/>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10" name="Graphic 110"/>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11" name="Graphic 111"/>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914B8C" id="Group 101" o:spid="_x0000_s1026" style="position:absolute;margin-left:21.25pt;margin-top:-2.8pt;width:799.4pt;height:.25pt;z-index:15746560;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">
                <v:shape id="Graphic 102"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" path="m,l575995,e" filled="f" strokeweight=".25pt">
                  <v:path arrowok="t"/>
                </v:shape>
                <v:shape id="Graphic 103"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" path="m,l1386001,e" filled="f" strokeweight=".25pt">
                  <v:path arrowok="t"/>
                </v:shape>
                <v:shape id="Graphic 104"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" path="m,l1845005,e" filled="f" strokeweight=".25pt">
                  <v:path arrowok="t"/>
                </v:shape>
                <v:shape id="Graphic 105"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" path="m,l449999,e" filled="f" strokeweight=".25pt">
                  <v:path arrowok="t"/>
                </v:shape>
                <v:shape id="Graphic 106"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" path="m,l548995,e" filled="f" strokeweight=".25pt">
                  <v:path arrowok="t"/>
                </v:shape>
                <v:shape id="Graphic 107"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" path="m,l774001,e" filled="f" strokeweight=".25pt">
                  <v:path arrowok="t"/>
                </v:shape>
                <v:shape id="Graphic 108"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" path="m,l1143000,e" filled="f" strokeweight=".25pt">
                  <v:path arrowok="t"/>
                </v:shape>
                <v:shape id="Graphic 109"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" path="m,l612000,e" filled="f" strokeweight=".25pt">
                  <v:path arrowok="t"/>
                </v:shape>
                <v:shape id="Graphic 110"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" path="m,l612000,e" filled="f" strokeweight=".25pt">
                  <v:path arrowok="t"/>
                </v:shape>
                <v:shape id="Graphic 111"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" path="m,l2204999,e" filled="f" strokeweight=".25pt">
                  <v:path arrowok="t"/>
                </v:shape>
                <w10:wrap anchorx="page"/>
              </v:group>
            </w:pict>
          </mc:Fallback>
        </mc:AlternateContent>
      </w:r>
      <w:r>
        <w:rPr>
          <w:b/>
          <w:spacing w:val="-2"/>
          <w:sz w:val="15"/>
        </w:rPr>
        <w:t>Educate</w:t>
      </w:r>
      <w:r>
        <w:rPr>
          <w:b/>
          <w:sz w:val="15"/>
        </w:rPr>
        <w:tab/>
      </w:r>
      <w:proofErr w:type="gramStart"/>
      <w:r>
        <w:rPr>
          <w:spacing w:val="-2"/>
          <w:sz w:val="15"/>
        </w:rPr>
        <w:t>10</w:t>
      </w:r>
      <w:proofErr w:type="gramEnd"/>
      <w:r>
        <w:rPr>
          <w:spacing w:val="-2"/>
          <w:sz w:val="15"/>
        </w:rPr>
        <w:t>.</w:t>
      </w:r>
      <w:r>
        <w:rPr>
          <w:spacing w:val="22"/>
          <w:sz w:val="15"/>
        </w:rPr>
        <w:t xml:space="preserve"> </w:t>
      </w:r>
      <w:r>
        <w:rPr>
          <w:spacing w:val="-2"/>
          <w:sz w:val="15"/>
        </w:rPr>
        <w:t>Deliver</w:t>
      </w:r>
      <w:r>
        <w:rPr>
          <w:spacing w:val="-8"/>
          <w:sz w:val="15"/>
        </w:rPr>
        <w:t xml:space="preserve"> </w:t>
      </w:r>
      <w:r>
        <w:rPr>
          <w:spacing w:val="-2"/>
          <w:sz w:val="15"/>
        </w:rPr>
        <w:t>leading</w:t>
      </w:r>
      <w:r>
        <w:rPr>
          <w:spacing w:val="-8"/>
          <w:sz w:val="15"/>
        </w:rPr>
        <w:t xml:space="preserve"> </w:t>
      </w:r>
      <w:proofErr w:type="gramStart"/>
      <w:r>
        <w:rPr>
          <w:spacing w:val="-2"/>
          <w:sz w:val="15"/>
        </w:rPr>
        <w:t>educational</w:t>
      </w:r>
      <w:proofErr w:type="gramEnd"/>
    </w:p>
    <w:p w14:paraId="71006FEA" w14:textId="77777777" w:rsidR="00AC6F3C" w:rsidRDefault="00570E88">
      <w:pPr>
        <w:spacing w:before="8" w:line="249" w:lineRule="auto"/>
        <w:ind w:left="1386" w:right="-4"/>
        <w:rPr>
          <w:sz w:val="15"/>
        </w:rPr>
      </w:pPr>
      <w:r>
        <w:rPr>
          <w:sz w:val="15"/>
        </w:rPr>
        <w:t xml:space="preserve">workshops on Sexual </w:t>
      </w:r>
      <w:r>
        <w:rPr>
          <w:spacing w:val="-4"/>
          <w:sz w:val="15"/>
        </w:rPr>
        <w:t>Harassment</w:t>
      </w:r>
      <w:r>
        <w:rPr>
          <w:spacing w:val="-11"/>
          <w:sz w:val="15"/>
        </w:rPr>
        <w:t xml:space="preserve"> </w:t>
      </w:r>
      <w:r>
        <w:rPr>
          <w:spacing w:val="-4"/>
          <w:sz w:val="15"/>
        </w:rPr>
        <w:t>and</w:t>
      </w:r>
      <w:r>
        <w:rPr>
          <w:spacing w:val="-9"/>
          <w:sz w:val="15"/>
        </w:rPr>
        <w:t xml:space="preserve"> </w:t>
      </w:r>
      <w:r>
        <w:rPr>
          <w:spacing w:val="-4"/>
          <w:sz w:val="15"/>
        </w:rPr>
        <w:t>Workplace</w:t>
      </w:r>
      <w:r>
        <w:rPr>
          <w:sz w:val="15"/>
        </w:rPr>
        <w:t xml:space="preserve"> Culture</w:t>
      </w:r>
      <w:r>
        <w:rPr>
          <w:spacing w:val="-9"/>
          <w:sz w:val="15"/>
        </w:rPr>
        <w:t xml:space="preserve"> </w:t>
      </w:r>
      <w:r>
        <w:rPr>
          <w:sz w:val="15"/>
        </w:rPr>
        <w:t>workshop</w:t>
      </w:r>
    </w:p>
    <w:p w14:paraId="38D2626A" w14:textId="77777777" w:rsidR="00AC6F3C" w:rsidRDefault="00570E88">
      <w:pPr>
        <w:pStyle w:val="ListParagraph"/>
        <w:numPr>
          <w:ilvl w:val="2"/>
          <w:numId w:val="77"/>
        </w:numPr>
        <w:tabs>
          <w:tab w:val="left" w:pos="522"/>
          <w:tab w:val="left" w:pos="526"/>
        </w:tabs>
        <w:spacing w:before="53" w:line="249" w:lineRule="auto"/>
        <w:ind w:right="441"/>
        <w:jc w:val="both"/>
        <w:rPr>
          <w:sz w:val="15"/>
        </w:rPr>
      </w:pPr>
      <w:r>
        <w:br w:type="column"/>
      </w:r>
      <w:r>
        <w:rPr>
          <w:spacing w:val="-4"/>
          <w:sz w:val="15"/>
        </w:rPr>
        <w:t>Deliver</w:t>
      </w:r>
      <w:r>
        <w:rPr>
          <w:spacing w:val="-7"/>
          <w:sz w:val="15"/>
        </w:rPr>
        <w:t xml:space="preserve"> </w:t>
      </w:r>
      <w:r>
        <w:rPr>
          <w:spacing w:val="-4"/>
          <w:sz w:val="15"/>
        </w:rPr>
        <w:t>First</w:t>
      </w:r>
      <w:r>
        <w:rPr>
          <w:spacing w:val="-6"/>
          <w:sz w:val="15"/>
        </w:rPr>
        <w:t xml:space="preserve"> </w:t>
      </w:r>
      <w:r>
        <w:rPr>
          <w:spacing w:val="-4"/>
          <w:sz w:val="15"/>
        </w:rPr>
        <w:t>Nations</w:t>
      </w:r>
      <w:r>
        <w:rPr>
          <w:spacing w:val="-7"/>
          <w:sz w:val="15"/>
        </w:rPr>
        <w:t xml:space="preserve"> </w:t>
      </w:r>
      <w:r>
        <w:rPr>
          <w:spacing w:val="-4"/>
          <w:sz w:val="15"/>
        </w:rPr>
        <w:t>Cultural</w:t>
      </w:r>
      <w:r>
        <w:rPr>
          <w:sz w:val="15"/>
        </w:rPr>
        <w:t xml:space="preserve"> </w:t>
      </w:r>
      <w:r>
        <w:rPr>
          <w:spacing w:val="-4"/>
          <w:sz w:val="15"/>
        </w:rPr>
        <w:t>Competence</w:t>
      </w:r>
      <w:r>
        <w:rPr>
          <w:spacing w:val="-7"/>
          <w:sz w:val="15"/>
        </w:rPr>
        <w:t xml:space="preserve"> </w:t>
      </w:r>
      <w:r>
        <w:rPr>
          <w:spacing w:val="-4"/>
          <w:sz w:val="15"/>
        </w:rPr>
        <w:t>course</w:t>
      </w:r>
      <w:r>
        <w:rPr>
          <w:spacing w:val="-6"/>
          <w:sz w:val="15"/>
        </w:rPr>
        <w:t xml:space="preserve"> </w:t>
      </w:r>
      <w:r>
        <w:rPr>
          <w:spacing w:val="-4"/>
          <w:sz w:val="15"/>
        </w:rPr>
        <w:t>to</w:t>
      </w:r>
      <w:r>
        <w:rPr>
          <w:spacing w:val="-7"/>
          <w:sz w:val="15"/>
        </w:rPr>
        <w:t xml:space="preserve"> </w:t>
      </w:r>
      <w:r>
        <w:rPr>
          <w:spacing w:val="-4"/>
          <w:sz w:val="15"/>
        </w:rPr>
        <w:t>1500</w:t>
      </w:r>
      <w:r>
        <w:rPr>
          <w:sz w:val="15"/>
        </w:rPr>
        <w:t xml:space="preserve"> </w:t>
      </w:r>
      <w:proofErr w:type="gramStart"/>
      <w:r>
        <w:rPr>
          <w:spacing w:val="-2"/>
          <w:sz w:val="15"/>
        </w:rPr>
        <w:t>delegates</w:t>
      </w:r>
      <w:proofErr w:type="gramEnd"/>
    </w:p>
    <w:p w14:paraId="7A164077" w14:textId="77777777" w:rsidR="00AC6F3C" w:rsidRDefault="00570E88">
      <w:pPr>
        <w:pStyle w:val="ListParagraph"/>
        <w:numPr>
          <w:ilvl w:val="2"/>
          <w:numId w:val="77"/>
        </w:numPr>
        <w:tabs>
          <w:tab w:val="left" w:pos="522"/>
          <w:tab w:val="left" w:pos="526"/>
        </w:tabs>
        <w:spacing w:before="44" w:line="249" w:lineRule="auto"/>
        <w:ind w:right="49"/>
        <w:rPr>
          <w:sz w:val="15"/>
        </w:rPr>
      </w:pPr>
      <w:r>
        <w:rPr>
          <w:sz w:val="15"/>
        </w:rPr>
        <w:t xml:space="preserve">Explore and research options for </w:t>
      </w:r>
      <w:r>
        <w:rPr>
          <w:spacing w:val="-4"/>
          <w:sz w:val="15"/>
        </w:rPr>
        <w:t>Specialist Accreditation for general</w:t>
      </w:r>
      <w:r>
        <w:rPr>
          <w:sz w:val="15"/>
        </w:rPr>
        <w:t xml:space="preserve"> practitioner</w:t>
      </w:r>
      <w:r>
        <w:rPr>
          <w:spacing w:val="-9"/>
          <w:sz w:val="15"/>
        </w:rPr>
        <w:t xml:space="preserve"> </w:t>
      </w:r>
      <w:proofErr w:type="gramStart"/>
      <w:r>
        <w:rPr>
          <w:sz w:val="15"/>
        </w:rPr>
        <w:t>solicitors</w:t>
      </w:r>
      <w:proofErr w:type="gramEnd"/>
    </w:p>
    <w:p w14:paraId="42B40BC4" w14:textId="77777777" w:rsidR="00AC6F3C" w:rsidRDefault="00AC6F3C">
      <w:pPr>
        <w:pStyle w:val="BodyText"/>
        <w:rPr>
          <w:sz w:val="16"/>
        </w:rPr>
      </w:pPr>
    </w:p>
    <w:p w14:paraId="103445D5" w14:textId="77777777" w:rsidR="00AC6F3C" w:rsidRDefault="00AC6F3C">
      <w:pPr>
        <w:pStyle w:val="BodyText"/>
        <w:rPr>
          <w:sz w:val="16"/>
        </w:rPr>
      </w:pPr>
    </w:p>
    <w:p w14:paraId="4067B7DF" w14:textId="77777777" w:rsidR="00AC6F3C" w:rsidRDefault="00AC6F3C">
      <w:pPr>
        <w:pStyle w:val="BodyText"/>
        <w:rPr>
          <w:sz w:val="16"/>
        </w:rPr>
      </w:pPr>
    </w:p>
    <w:p w14:paraId="6605C864" w14:textId="77777777" w:rsidR="00AC6F3C" w:rsidRDefault="00AC6F3C">
      <w:pPr>
        <w:pStyle w:val="BodyText"/>
        <w:rPr>
          <w:sz w:val="16"/>
        </w:rPr>
      </w:pPr>
    </w:p>
    <w:p w14:paraId="06E59121" w14:textId="77777777" w:rsidR="00AC6F3C" w:rsidRDefault="00AC6F3C">
      <w:pPr>
        <w:pStyle w:val="BodyText"/>
        <w:rPr>
          <w:sz w:val="16"/>
        </w:rPr>
      </w:pPr>
    </w:p>
    <w:p w14:paraId="2FFD4893" w14:textId="77777777" w:rsidR="00AC6F3C" w:rsidRDefault="00AC6F3C">
      <w:pPr>
        <w:pStyle w:val="BodyText"/>
        <w:rPr>
          <w:sz w:val="16"/>
        </w:rPr>
      </w:pPr>
    </w:p>
    <w:p w14:paraId="22D601FA" w14:textId="77777777" w:rsidR="00AC6F3C" w:rsidRDefault="00AC6F3C">
      <w:pPr>
        <w:pStyle w:val="BodyText"/>
        <w:rPr>
          <w:sz w:val="16"/>
        </w:rPr>
      </w:pPr>
    </w:p>
    <w:p w14:paraId="07168DBE" w14:textId="77777777" w:rsidR="00AC6F3C" w:rsidRDefault="00AC6F3C">
      <w:pPr>
        <w:pStyle w:val="BodyText"/>
        <w:rPr>
          <w:sz w:val="22"/>
        </w:rPr>
      </w:pPr>
    </w:p>
    <w:p w14:paraId="0748752A" w14:textId="77777777" w:rsidR="00AC6F3C" w:rsidRDefault="00570E88">
      <w:pPr>
        <w:pStyle w:val="ListParagraph"/>
        <w:numPr>
          <w:ilvl w:val="2"/>
          <w:numId w:val="76"/>
        </w:numPr>
        <w:tabs>
          <w:tab w:val="left" w:pos="522"/>
          <w:tab w:val="left" w:pos="527"/>
        </w:tabs>
        <w:spacing w:before="0" w:line="249" w:lineRule="auto"/>
        <w:rPr>
          <w:sz w:val="15"/>
        </w:rPr>
      </w:pPr>
      <w:r>
        <w:rPr>
          <w:sz w:val="15"/>
        </w:rPr>
        <w:t>Deliver leading educational workshops</w:t>
      </w:r>
      <w:r>
        <w:rPr>
          <w:spacing w:val="-11"/>
          <w:sz w:val="15"/>
        </w:rPr>
        <w:t xml:space="preserve"> </w:t>
      </w:r>
      <w:r>
        <w:rPr>
          <w:sz w:val="15"/>
        </w:rPr>
        <w:t>on</w:t>
      </w:r>
      <w:r>
        <w:rPr>
          <w:spacing w:val="-10"/>
          <w:sz w:val="15"/>
        </w:rPr>
        <w:t xml:space="preserve"> </w:t>
      </w:r>
      <w:r>
        <w:rPr>
          <w:sz w:val="15"/>
        </w:rPr>
        <w:t>Sexual</w:t>
      </w:r>
      <w:r>
        <w:rPr>
          <w:spacing w:val="-11"/>
          <w:sz w:val="15"/>
        </w:rPr>
        <w:t xml:space="preserve"> </w:t>
      </w:r>
      <w:r>
        <w:rPr>
          <w:sz w:val="15"/>
        </w:rPr>
        <w:t xml:space="preserve">Harassment </w:t>
      </w:r>
      <w:r>
        <w:rPr>
          <w:spacing w:val="-4"/>
          <w:sz w:val="15"/>
        </w:rPr>
        <w:t>and</w:t>
      </w:r>
      <w:r>
        <w:rPr>
          <w:spacing w:val="-7"/>
          <w:sz w:val="15"/>
        </w:rPr>
        <w:t xml:space="preserve"> </w:t>
      </w:r>
      <w:r>
        <w:rPr>
          <w:spacing w:val="-4"/>
          <w:sz w:val="15"/>
        </w:rPr>
        <w:t>Workplace</w:t>
      </w:r>
      <w:r>
        <w:rPr>
          <w:spacing w:val="-6"/>
          <w:sz w:val="15"/>
        </w:rPr>
        <w:t xml:space="preserve"> </w:t>
      </w:r>
      <w:r>
        <w:rPr>
          <w:spacing w:val="-4"/>
          <w:sz w:val="15"/>
        </w:rPr>
        <w:t>Culture</w:t>
      </w:r>
      <w:r>
        <w:rPr>
          <w:spacing w:val="-7"/>
          <w:sz w:val="15"/>
        </w:rPr>
        <w:t xml:space="preserve"> </w:t>
      </w:r>
      <w:r>
        <w:rPr>
          <w:spacing w:val="-4"/>
          <w:sz w:val="15"/>
        </w:rPr>
        <w:t>workshop</w:t>
      </w:r>
      <w:r>
        <w:rPr>
          <w:spacing w:val="-6"/>
          <w:sz w:val="15"/>
        </w:rPr>
        <w:t xml:space="preserve"> </w:t>
      </w:r>
      <w:r>
        <w:rPr>
          <w:spacing w:val="-4"/>
          <w:sz w:val="15"/>
        </w:rPr>
        <w:t>to</w:t>
      </w:r>
      <w:r>
        <w:rPr>
          <w:sz w:val="15"/>
        </w:rPr>
        <w:t xml:space="preserve"> 1,000</w:t>
      </w:r>
      <w:r>
        <w:rPr>
          <w:spacing w:val="-9"/>
          <w:sz w:val="15"/>
        </w:rPr>
        <w:t xml:space="preserve"> </w:t>
      </w:r>
      <w:proofErr w:type="gramStart"/>
      <w:r>
        <w:rPr>
          <w:sz w:val="15"/>
        </w:rPr>
        <w:t>delegates</w:t>
      </w:r>
      <w:proofErr w:type="gramEnd"/>
    </w:p>
    <w:p w14:paraId="01C37626" w14:textId="77777777" w:rsidR="00AC6F3C" w:rsidRDefault="00570E88">
      <w:pPr>
        <w:spacing w:before="6"/>
        <w:rPr>
          <w:sz w:val="16"/>
        </w:rPr>
      </w:pPr>
      <w:r>
        <w:br w:type="column"/>
      </w:r>
    </w:p>
    <w:p w14:paraId="42983186" w14:textId="77777777" w:rsidR="00AC6F3C" w:rsidRDefault="00570E88">
      <w:pPr>
        <w:spacing w:line="501" w:lineRule="auto"/>
        <w:ind w:left="182" w:right="38"/>
        <w:jc w:val="both"/>
        <w:rPr>
          <w:b/>
          <w:sz w:val="15"/>
        </w:rPr>
      </w:pPr>
      <w:r>
        <w:rPr>
          <w:b/>
          <w:spacing w:val="-6"/>
          <w:sz w:val="15"/>
        </w:rPr>
        <w:t>KPI3</w:t>
      </w:r>
      <w:r>
        <w:rPr>
          <w:b/>
          <w:sz w:val="15"/>
        </w:rPr>
        <w:t xml:space="preserve"> </w:t>
      </w:r>
      <w:r>
        <w:rPr>
          <w:b/>
          <w:spacing w:val="-6"/>
          <w:sz w:val="15"/>
        </w:rPr>
        <w:t>KPI4</w:t>
      </w:r>
      <w:r>
        <w:rPr>
          <w:b/>
          <w:sz w:val="15"/>
        </w:rPr>
        <w:t xml:space="preserve"> </w:t>
      </w:r>
      <w:r>
        <w:rPr>
          <w:b/>
          <w:spacing w:val="-6"/>
          <w:sz w:val="15"/>
        </w:rPr>
        <w:t>KPI5</w:t>
      </w:r>
      <w:r>
        <w:rPr>
          <w:b/>
          <w:sz w:val="15"/>
        </w:rPr>
        <w:t xml:space="preserve"> </w:t>
      </w:r>
      <w:r>
        <w:rPr>
          <w:b/>
          <w:spacing w:val="-7"/>
          <w:sz w:val="15"/>
        </w:rPr>
        <w:t>KPI6</w:t>
      </w:r>
    </w:p>
    <w:p w14:paraId="63B0B17B" w14:textId="77777777" w:rsidR="00AC6F3C" w:rsidRDefault="00AC6F3C">
      <w:pPr>
        <w:pStyle w:val="BodyText"/>
        <w:rPr>
          <w:b/>
          <w:sz w:val="16"/>
        </w:rPr>
      </w:pPr>
    </w:p>
    <w:p w14:paraId="0C959753" w14:textId="77777777" w:rsidR="00AC6F3C" w:rsidRDefault="00AC6F3C">
      <w:pPr>
        <w:pStyle w:val="BodyText"/>
        <w:rPr>
          <w:b/>
          <w:sz w:val="16"/>
        </w:rPr>
      </w:pPr>
    </w:p>
    <w:p w14:paraId="61DB043F" w14:textId="77777777" w:rsidR="00AC6F3C" w:rsidRDefault="00AC6F3C">
      <w:pPr>
        <w:pStyle w:val="BodyText"/>
        <w:rPr>
          <w:b/>
          <w:sz w:val="16"/>
        </w:rPr>
      </w:pPr>
    </w:p>
    <w:p w14:paraId="2A3ECE76" w14:textId="77777777" w:rsidR="00AC6F3C" w:rsidRDefault="00AC6F3C">
      <w:pPr>
        <w:pStyle w:val="BodyText"/>
        <w:rPr>
          <w:b/>
          <w:sz w:val="16"/>
        </w:rPr>
      </w:pPr>
    </w:p>
    <w:p w14:paraId="46835C15" w14:textId="77777777" w:rsidR="00AC6F3C" w:rsidRDefault="00AC6F3C">
      <w:pPr>
        <w:pStyle w:val="BodyText"/>
        <w:rPr>
          <w:b/>
          <w:sz w:val="16"/>
        </w:rPr>
      </w:pPr>
    </w:p>
    <w:p w14:paraId="38707BF4" w14:textId="77777777" w:rsidR="00AC6F3C" w:rsidRDefault="00AC6F3C">
      <w:pPr>
        <w:pStyle w:val="BodyText"/>
        <w:spacing w:before="2"/>
        <w:rPr>
          <w:b/>
          <w:sz w:val="14"/>
        </w:rPr>
      </w:pPr>
    </w:p>
    <w:p w14:paraId="4E500FD0" w14:textId="77777777" w:rsidR="00AC6F3C" w:rsidRDefault="00570E88">
      <w:pPr>
        <w:spacing w:line="501" w:lineRule="auto"/>
        <w:ind w:left="182" w:right="39"/>
        <w:jc w:val="both"/>
        <w:rPr>
          <w:b/>
          <w:sz w:val="15"/>
        </w:rPr>
      </w:pPr>
      <w:r>
        <w:rPr>
          <w:b/>
          <w:spacing w:val="-8"/>
          <w:sz w:val="15"/>
        </w:rPr>
        <w:t>KPI1</w:t>
      </w:r>
      <w:r>
        <w:rPr>
          <w:b/>
          <w:sz w:val="15"/>
        </w:rPr>
        <w:t xml:space="preserve"> </w:t>
      </w:r>
      <w:r>
        <w:rPr>
          <w:b/>
          <w:spacing w:val="-8"/>
          <w:sz w:val="15"/>
        </w:rPr>
        <w:t>KPI4</w:t>
      </w:r>
      <w:r>
        <w:rPr>
          <w:b/>
          <w:sz w:val="15"/>
        </w:rPr>
        <w:t xml:space="preserve"> </w:t>
      </w:r>
      <w:r>
        <w:rPr>
          <w:b/>
          <w:spacing w:val="-8"/>
          <w:sz w:val="15"/>
        </w:rPr>
        <w:t>KPI5</w:t>
      </w:r>
    </w:p>
    <w:p w14:paraId="707B8609" w14:textId="77777777" w:rsidR="00AC6F3C" w:rsidRDefault="00570E88">
      <w:pPr>
        <w:spacing w:before="10" w:line="249" w:lineRule="auto"/>
        <w:ind w:left="2704" w:right="-9"/>
        <w:rPr>
          <w:sz w:val="15"/>
        </w:rPr>
      </w:pPr>
      <w:r>
        <w:br w:type="column"/>
      </w:r>
      <w:r>
        <w:rPr>
          <w:sz w:val="15"/>
        </w:rPr>
        <w:t>in</w:t>
      </w:r>
      <w:r>
        <w:rPr>
          <w:spacing w:val="-9"/>
          <w:sz w:val="15"/>
        </w:rPr>
        <w:t xml:space="preserve"> </w:t>
      </w:r>
      <w:r>
        <w:rPr>
          <w:sz w:val="15"/>
        </w:rPr>
        <w:t>Practice Management</w:t>
      </w:r>
      <w:r>
        <w:rPr>
          <w:spacing w:val="-9"/>
          <w:sz w:val="15"/>
        </w:rPr>
        <w:t xml:space="preserve"> </w:t>
      </w:r>
      <w:r>
        <w:rPr>
          <w:sz w:val="15"/>
        </w:rPr>
        <w:t>for practice</w:t>
      </w:r>
      <w:r>
        <w:rPr>
          <w:spacing w:val="-11"/>
          <w:sz w:val="15"/>
        </w:rPr>
        <w:t xml:space="preserve"> </w:t>
      </w:r>
      <w:r>
        <w:rPr>
          <w:sz w:val="15"/>
        </w:rPr>
        <w:t xml:space="preserve">managers </w:t>
      </w:r>
      <w:r>
        <w:rPr>
          <w:spacing w:val="-4"/>
          <w:sz w:val="15"/>
        </w:rPr>
        <w:t>at</w:t>
      </w:r>
      <w:r>
        <w:rPr>
          <w:spacing w:val="-5"/>
          <w:sz w:val="15"/>
        </w:rPr>
        <w:t xml:space="preserve"> </w:t>
      </w:r>
      <w:r>
        <w:rPr>
          <w:spacing w:val="-4"/>
          <w:sz w:val="15"/>
        </w:rPr>
        <w:t>least</w:t>
      </w:r>
      <w:r>
        <w:rPr>
          <w:spacing w:val="-5"/>
          <w:sz w:val="15"/>
        </w:rPr>
        <w:t xml:space="preserve"> </w:t>
      </w:r>
      <w:r>
        <w:rPr>
          <w:spacing w:val="-4"/>
          <w:sz w:val="15"/>
        </w:rPr>
        <w:t>once a</w:t>
      </w:r>
      <w:r>
        <w:rPr>
          <w:spacing w:val="-5"/>
          <w:sz w:val="15"/>
        </w:rPr>
        <w:t xml:space="preserve"> </w:t>
      </w:r>
      <w:r>
        <w:rPr>
          <w:spacing w:val="-6"/>
          <w:sz w:val="15"/>
        </w:rPr>
        <w:t>year</w:t>
      </w:r>
    </w:p>
    <w:p w14:paraId="4DD2018D" w14:textId="77777777" w:rsidR="00AC6F3C" w:rsidRDefault="00570E88">
      <w:pPr>
        <w:pStyle w:val="ListParagraph"/>
        <w:numPr>
          <w:ilvl w:val="2"/>
          <w:numId w:val="75"/>
        </w:numPr>
        <w:tabs>
          <w:tab w:val="left" w:pos="2701"/>
        </w:tabs>
        <w:spacing w:before="45"/>
        <w:ind w:left="2701" w:hanging="422"/>
        <w:rPr>
          <w:sz w:val="15"/>
        </w:rPr>
      </w:pPr>
      <w:r>
        <w:rPr>
          <w:spacing w:val="-4"/>
          <w:sz w:val="15"/>
        </w:rPr>
        <w:t>Deliver</w:t>
      </w:r>
      <w:r>
        <w:rPr>
          <w:spacing w:val="-2"/>
          <w:sz w:val="15"/>
        </w:rPr>
        <w:t xml:space="preserve"> First</w:t>
      </w:r>
    </w:p>
    <w:p w14:paraId="0C9268D9" w14:textId="77777777" w:rsidR="00AC6F3C" w:rsidRDefault="00570E88">
      <w:pPr>
        <w:spacing w:before="8" w:line="249" w:lineRule="auto"/>
        <w:ind w:left="2704" w:right="-9"/>
        <w:rPr>
          <w:sz w:val="15"/>
        </w:rPr>
      </w:pPr>
      <w:r>
        <w:rPr>
          <w:spacing w:val="-4"/>
          <w:sz w:val="15"/>
        </w:rPr>
        <w:t>Nations</w:t>
      </w:r>
      <w:r>
        <w:rPr>
          <w:spacing w:val="-7"/>
          <w:sz w:val="15"/>
        </w:rPr>
        <w:t xml:space="preserve"> </w:t>
      </w:r>
      <w:r>
        <w:rPr>
          <w:spacing w:val="-4"/>
          <w:sz w:val="15"/>
        </w:rPr>
        <w:t>Cultural</w:t>
      </w:r>
      <w:r>
        <w:rPr>
          <w:sz w:val="15"/>
        </w:rPr>
        <w:t xml:space="preserve"> </w:t>
      </w:r>
      <w:r>
        <w:rPr>
          <w:spacing w:val="-2"/>
          <w:sz w:val="15"/>
        </w:rPr>
        <w:t>Competence</w:t>
      </w:r>
      <w:r>
        <w:rPr>
          <w:sz w:val="15"/>
        </w:rPr>
        <w:t xml:space="preserve"> course</w:t>
      </w:r>
      <w:r>
        <w:rPr>
          <w:spacing w:val="-6"/>
          <w:sz w:val="15"/>
        </w:rPr>
        <w:t xml:space="preserve"> </w:t>
      </w:r>
      <w:r>
        <w:rPr>
          <w:sz w:val="15"/>
        </w:rPr>
        <w:t>to</w:t>
      </w:r>
      <w:r>
        <w:rPr>
          <w:spacing w:val="-6"/>
          <w:sz w:val="15"/>
        </w:rPr>
        <w:t xml:space="preserve"> </w:t>
      </w:r>
      <w:r>
        <w:rPr>
          <w:sz w:val="15"/>
        </w:rPr>
        <w:t xml:space="preserve">1500 </w:t>
      </w:r>
      <w:r>
        <w:rPr>
          <w:spacing w:val="-2"/>
          <w:sz w:val="15"/>
        </w:rPr>
        <w:t>delegates</w:t>
      </w:r>
    </w:p>
    <w:p w14:paraId="67CD1283" w14:textId="77777777" w:rsidR="00AC6F3C" w:rsidRDefault="00570E88">
      <w:pPr>
        <w:pStyle w:val="ListParagraph"/>
        <w:numPr>
          <w:ilvl w:val="2"/>
          <w:numId w:val="75"/>
        </w:numPr>
        <w:tabs>
          <w:tab w:val="left" w:pos="2700"/>
          <w:tab w:val="left" w:pos="2704"/>
        </w:tabs>
        <w:spacing w:before="45" w:line="249" w:lineRule="auto"/>
        <w:ind w:right="1"/>
        <w:jc w:val="both"/>
        <w:rPr>
          <w:sz w:val="15"/>
        </w:rPr>
      </w:pPr>
      <w:r>
        <w:rPr>
          <w:spacing w:val="-2"/>
          <w:sz w:val="15"/>
        </w:rPr>
        <w:t>Paper</w:t>
      </w:r>
      <w:r>
        <w:rPr>
          <w:spacing w:val="-9"/>
          <w:sz w:val="15"/>
        </w:rPr>
        <w:t xml:space="preserve"> </w:t>
      </w:r>
      <w:r>
        <w:rPr>
          <w:spacing w:val="-2"/>
          <w:sz w:val="15"/>
        </w:rPr>
        <w:t>submitted</w:t>
      </w:r>
      <w:r>
        <w:rPr>
          <w:spacing w:val="-8"/>
          <w:sz w:val="15"/>
        </w:rPr>
        <w:t xml:space="preserve"> </w:t>
      </w:r>
      <w:r>
        <w:rPr>
          <w:spacing w:val="-2"/>
          <w:sz w:val="15"/>
        </w:rPr>
        <w:t>to</w:t>
      </w:r>
      <w:r>
        <w:rPr>
          <w:sz w:val="15"/>
        </w:rPr>
        <w:t xml:space="preserve"> </w:t>
      </w:r>
      <w:r>
        <w:rPr>
          <w:spacing w:val="-2"/>
          <w:sz w:val="15"/>
        </w:rPr>
        <w:t>CEO</w:t>
      </w:r>
      <w:r>
        <w:rPr>
          <w:spacing w:val="-9"/>
          <w:sz w:val="15"/>
        </w:rPr>
        <w:t xml:space="preserve"> </w:t>
      </w:r>
      <w:r>
        <w:rPr>
          <w:spacing w:val="-2"/>
          <w:sz w:val="15"/>
        </w:rPr>
        <w:t>on</w:t>
      </w:r>
      <w:r>
        <w:rPr>
          <w:spacing w:val="-8"/>
          <w:sz w:val="15"/>
        </w:rPr>
        <w:t xml:space="preserve"> </w:t>
      </w:r>
      <w:r>
        <w:rPr>
          <w:spacing w:val="-2"/>
          <w:sz w:val="15"/>
        </w:rPr>
        <w:t>options</w:t>
      </w:r>
      <w:r>
        <w:rPr>
          <w:spacing w:val="-9"/>
          <w:sz w:val="15"/>
        </w:rPr>
        <w:t xml:space="preserve"> </w:t>
      </w:r>
      <w:r>
        <w:rPr>
          <w:spacing w:val="-2"/>
          <w:sz w:val="15"/>
        </w:rPr>
        <w:t>for</w:t>
      </w:r>
      <w:r>
        <w:rPr>
          <w:sz w:val="15"/>
        </w:rPr>
        <w:t xml:space="preserve"> </w:t>
      </w:r>
      <w:r>
        <w:rPr>
          <w:spacing w:val="-4"/>
          <w:sz w:val="15"/>
        </w:rPr>
        <w:t>general</w:t>
      </w:r>
      <w:r>
        <w:rPr>
          <w:spacing w:val="-7"/>
          <w:sz w:val="15"/>
        </w:rPr>
        <w:t xml:space="preserve"> </w:t>
      </w:r>
      <w:r>
        <w:rPr>
          <w:spacing w:val="-4"/>
          <w:sz w:val="15"/>
        </w:rPr>
        <w:t>practitioner</w:t>
      </w:r>
      <w:r>
        <w:rPr>
          <w:sz w:val="15"/>
        </w:rPr>
        <w:t xml:space="preserve"> </w:t>
      </w:r>
      <w:proofErr w:type="gramStart"/>
      <w:r>
        <w:rPr>
          <w:spacing w:val="-2"/>
          <w:sz w:val="15"/>
        </w:rPr>
        <w:t>solicitors</w:t>
      </w:r>
      <w:proofErr w:type="gramEnd"/>
    </w:p>
    <w:p w14:paraId="414C28F2" w14:textId="77777777" w:rsidR="00AC6F3C" w:rsidRDefault="00AC6F3C">
      <w:pPr>
        <w:pStyle w:val="BodyText"/>
        <w:rPr>
          <w:sz w:val="16"/>
        </w:rPr>
      </w:pPr>
    </w:p>
    <w:p w14:paraId="21CBA156" w14:textId="77777777" w:rsidR="00AC6F3C" w:rsidRDefault="00570E88">
      <w:pPr>
        <w:tabs>
          <w:tab w:val="left" w:pos="1060"/>
          <w:tab w:val="left" w:pos="2279"/>
        </w:tabs>
        <w:spacing w:before="98"/>
        <w:ind w:left="196"/>
        <w:rPr>
          <w:sz w:val="15"/>
        </w:rPr>
      </w:pPr>
      <w:r>
        <w:rPr>
          <w:spacing w:val="-4"/>
          <w:sz w:val="15"/>
        </w:rPr>
        <w:t>30-Jun-</w:t>
      </w:r>
      <w:r>
        <w:rPr>
          <w:spacing w:val="-5"/>
          <w:sz w:val="15"/>
        </w:rPr>
        <w:t>23</w:t>
      </w:r>
      <w:r>
        <w:rPr>
          <w:sz w:val="15"/>
        </w:rPr>
        <w:tab/>
      </w:r>
      <w:r>
        <w:rPr>
          <w:spacing w:val="-2"/>
          <w:sz w:val="15"/>
        </w:rPr>
        <w:t>Education</w:t>
      </w:r>
      <w:r>
        <w:rPr>
          <w:sz w:val="15"/>
        </w:rPr>
        <w:tab/>
      </w:r>
      <w:r>
        <w:rPr>
          <w:spacing w:val="-6"/>
          <w:sz w:val="15"/>
        </w:rPr>
        <w:t>10.1.1</w:t>
      </w:r>
      <w:r>
        <w:rPr>
          <w:spacing w:val="4"/>
          <w:sz w:val="15"/>
        </w:rPr>
        <w:t xml:space="preserve"> </w:t>
      </w:r>
      <w:r>
        <w:rPr>
          <w:spacing w:val="-6"/>
          <w:sz w:val="15"/>
        </w:rPr>
        <w:t>The</w:t>
      </w:r>
      <w:r>
        <w:rPr>
          <w:spacing w:val="-5"/>
          <w:sz w:val="15"/>
        </w:rPr>
        <w:t xml:space="preserve"> </w:t>
      </w:r>
      <w:r>
        <w:rPr>
          <w:spacing w:val="-6"/>
          <w:sz w:val="15"/>
        </w:rPr>
        <w:t>educational</w:t>
      </w:r>
    </w:p>
    <w:p w14:paraId="1BF9166B" w14:textId="77777777" w:rsidR="00AC6F3C" w:rsidRDefault="00570E88">
      <w:pPr>
        <w:spacing w:before="7"/>
        <w:ind w:left="2704"/>
        <w:rPr>
          <w:sz w:val="15"/>
        </w:rPr>
      </w:pPr>
      <w:r>
        <w:rPr>
          <w:spacing w:val="-2"/>
          <w:sz w:val="15"/>
        </w:rPr>
        <w:t>workshops</w:t>
      </w:r>
    </w:p>
    <w:p w14:paraId="3DDDC6DC" w14:textId="77777777" w:rsidR="00AC6F3C" w:rsidRDefault="00570E88">
      <w:pPr>
        <w:spacing w:before="8" w:line="249" w:lineRule="auto"/>
        <w:ind w:left="2704" w:right="19"/>
        <w:rPr>
          <w:sz w:val="15"/>
        </w:rPr>
      </w:pPr>
      <w:r>
        <w:rPr>
          <w:sz w:val="15"/>
        </w:rPr>
        <w:t>on</w:t>
      </w:r>
      <w:r>
        <w:rPr>
          <w:spacing w:val="-9"/>
          <w:sz w:val="15"/>
        </w:rPr>
        <w:t xml:space="preserve"> </w:t>
      </w:r>
      <w:r>
        <w:rPr>
          <w:sz w:val="15"/>
        </w:rPr>
        <w:t>Sexual Harassment</w:t>
      </w:r>
      <w:r>
        <w:rPr>
          <w:spacing w:val="-9"/>
          <w:sz w:val="15"/>
        </w:rPr>
        <w:t xml:space="preserve"> </w:t>
      </w:r>
      <w:r>
        <w:rPr>
          <w:sz w:val="15"/>
        </w:rPr>
        <w:t xml:space="preserve">and </w:t>
      </w:r>
      <w:r>
        <w:rPr>
          <w:spacing w:val="-2"/>
          <w:sz w:val="15"/>
        </w:rPr>
        <w:t>Workplace</w:t>
      </w:r>
      <w:r>
        <w:rPr>
          <w:spacing w:val="-9"/>
          <w:sz w:val="15"/>
        </w:rPr>
        <w:t xml:space="preserve"> </w:t>
      </w:r>
      <w:r>
        <w:rPr>
          <w:spacing w:val="-2"/>
          <w:sz w:val="15"/>
        </w:rPr>
        <w:t>Culture</w:t>
      </w:r>
      <w:r>
        <w:rPr>
          <w:sz w:val="15"/>
        </w:rPr>
        <w:t xml:space="preserve"> workshop</w:t>
      </w:r>
      <w:r>
        <w:rPr>
          <w:spacing w:val="-9"/>
          <w:sz w:val="15"/>
        </w:rPr>
        <w:t xml:space="preserve"> </w:t>
      </w:r>
      <w:proofErr w:type="gramStart"/>
      <w:r>
        <w:rPr>
          <w:sz w:val="15"/>
        </w:rPr>
        <w:t>are delivered</w:t>
      </w:r>
      <w:proofErr w:type="gramEnd"/>
      <w:r>
        <w:rPr>
          <w:spacing w:val="-10"/>
          <w:sz w:val="15"/>
        </w:rPr>
        <w:t xml:space="preserve"> </w:t>
      </w:r>
      <w:r>
        <w:rPr>
          <w:sz w:val="15"/>
        </w:rPr>
        <w:t>to</w:t>
      </w:r>
      <w:r>
        <w:rPr>
          <w:spacing w:val="-10"/>
          <w:sz w:val="15"/>
        </w:rPr>
        <w:t xml:space="preserve"> </w:t>
      </w:r>
      <w:r>
        <w:rPr>
          <w:sz w:val="15"/>
        </w:rPr>
        <w:t>1,000 delegates</w:t>
      </w:r>
      <w:r>
        <w:rPr>
          <w:spacing w:val="-9"/>
          <w:sz w:val="15"/>
        </w:rPr>
        <w:t xml:space="preserve"> </w:t>
      </w:r>
      <w:r>
        <w:rPr>
          <w:sz w:val="15"/>
        </w:rPr>
        <w:t xml:space="preserve">and </w:t>
      </w:r>
      <w:r>
        <w:rPr>
          <w:spacing w:val="-4"/>
          <w:sz w:val="15"/>
        </w:rPr>
        <w:t>have</w:t>
      </w:r>
      <w:r>
        <w:rPr>
          <w:spacing w:val="-7"/>
          <w:sz w:val="15"/>
        </w:rPr>
        <w:t xml:space="preserve"> </w:t>
      </w:r>
      <w:r>
        <w:rPr>
          <w:spacing w:val="-4"/>
          <w:sz w:val="15"/>
        </w:rPr>
        <w:t>a</w:t>
      </w:r>
      <w:r>
        <w:rPr>
          <w:spacing w:val="-6"/>
          <w:sz w:val="15"/>
        </w:rPr>
        <w:t xml:space="preserve"> </w:t>
      </w:r>
      <w:r>
        <w:rPr>
          <w:spacing w:val="-4"/>
          <w:sz w:val="15"/>
        </w:rPr>
        <w:t>rating</w:t>
      </w:r>
      <w:r>
        <w:rPr>
          <w:spacing w:val="-7"/>
          <w:sz w:val="15"/>
        </w:rPr>
        <w:t xml:space="preserve"> </w:t>
      </w:r>
      <w:r>
        <w:rPr>
          <w:spacing w:val="-4"/>
          <w:sz w:val="15"/>
        </w:rPr>
        <w:t>of</w:t>
      </w:r>
      <w:r>
        <w:rPr>
          <w:spacing w:val="-6"/>
          <w:sz w:val="15"/>
        </w:rPr>
        <w:t xml:space="preserve"> </w:t>
      </w:r>
      <w:r>
        <w:rPr>
          <w:spacing w:val="-4"/>
          <w:sz w:val="15"/>
        </w:rPr>
        <w:t>4/5</w:t>
      </w:r>
    </w:p>
    <w:p w14:paraId="0022C469" w14:textId="77777777" w:rsidR="00AC6F3C" w:rsidRDefault="00570E88">
      <w:pPr>
        <w:rPr>
          <w:sz w:val="16"/>
        </w:rPr>
      </w:pPr>
      <w:r>
        <w:br w:type="column"/>
      </w:r>
    </w:p>
    <w:p w14:paraId="50D5A57E" w14:textId="77777777" w:rsidR="00AC6F3C" w:rsidRDefault="00AC6F3C">
      <w:pPr>
        <w:pStyle w:val="BodyText"/>
        <w:rPr>
          <w:sz w:val="16"/>
        </w:rPr>
      </w:pPr>
    </w:p>
    <w:p w14:paraId="2F3AB934" w14:textId="77777777" w:rsidR="00AC6F3C" w:rsidRDefault="00AC6F3C">
      <w:pPr>
        <w:pStyle w:val="BodyText"/>
        <w:rPr>
          <w:sz w:val="16"/>
        </w:rPr>
      </w:pPr>
    </w:p>
    <w:p w14:paraId="7ADFCD5D" w14:textId="77777777" w:rsidR="00AC6F3C" w:rsidRDefault="00AC6F3C">
      <w:pPr>
        <w:pStyle w:val="BodyText"/>
        <w:rPr>
          <w:sz w:val="16"/>
        </w:rPr>
      </w:pPr>
    </w:p>
    <w:p w14:paraId="76D661F1" w14:textId="77777777" w:rsidR="00AC6F3C" w:rsidRDefault="00AC6F3C">
      <w:pPr>
        <w:pStyle w:val="BodyText"/>
        <w:rPr>
          <w:sz w:val="16"/>
        </w:rPr>
      </w:pPr>
    </w:p>
    <w:p w14:paraId="19784FD1" w14:textId="77777777" w:rsidR="00AC6F3C" w:rsidRDefault="00AC6F3C">
      <w:pPr>
        <w:pStyle w:val="BodyText"/>
        <w:rPr>
          <w:sz w:val="16"/>
        </w:rPr>
      </w:pPr>
    </w:p>
    <w:p w14:paraId="379AC2BE" w14:textId="77777777" w:rsidR="00AC6F3C" w:rsidRDefault="00AC6F3C">
      <w:pPr>
        <w:pStyle w:val="BodyText"/>
        <w:rPr>
          <w:sz w:val="16"/>
        </w:rPr>
      </w:pPr>
    </w:p>
    <w:p w14:paraId="472DC73E" w14:textId="77777777" w:rsidR="00AC6F3C" w:rsidRDefault="00AC6F3C">
      <w:pPr>
        <w:pStyle w:val="BodyText"/>
        <w:rPr>
          <w:sz w:val="16"/>
        </w:rPr>
      </w:pPr>
    </w:p>
    <w:p w14:paraId="424175A8" w14:textId="77777777" w:rsidR="00AC6F3C" w:rsidRDefault="00AC6F3C">
      <w:pPr>
        <w:pStyle w:val="BodyText"/>
        <w:rPr>
          <w:sz w:val="16"/>
        </w:rPr>
      </w:pPr>
    </w:p>
    <w:p w14:paraId="644B8997" w14:textId="77777777" w:rsidR="00AC6F3C" w:rsidRDefault="00AC6F3C">
      <w:pPr>
        <w:pStyle w:val="BodyText"/>
        <w:rPr>
          <w:sz w:val="16"/>
        </w:rPr>
      </w:pPr>
    </w:p>
    <w:p w14:paraId="40EA64B6" w14:textId="77777777" w:rsidR="00AC6F3C" w:rsidRDefault="00AC6F3C">
      <w:pPr>
        <w:pStyle w:val="BodyText"/>
        <w:rPr>
          <w:sz w:val="16"/>
        </w:rPr>
      </w:pPr>
    </w:p>
    <w:p w14:paraId="7B266172" w14:textId="77777777" w:rsidR="00AC6F3C" w:rsidRDefault="00AC6F3C">
      <w:pPr>
        <w:pStyle w:val="BodyText"/>
        <w:rPr>
          <w:sz w:val="16"/>
        </w:rPr>
      </w:pPr>
    </w:p>
    <w:p w14:paraId="0A754F9F" w14:textId="77777777" w:rsidR="00AC6F3C" w:rsidRDefault="00AC6F3C">
      <w:pPr>
        <w:pStyle w:val="BodyText"/>
        <w:rPr>
          <w:sz w:val="16"/>
        </w:rPr>
      </w:pPr>
    </w:p>
    <w:p w14:paraId="517C4E51" w14:textId="77777777" w:rsidR="00AC6F3C" w:rsidRDefault="00AC6F3C">
      <w:pPr>
        <w:pStyle w:val="BodyText"/>
        <w:rPr>
          <w:sz w:val="16"/>
        </w:rPr>
      </w:pPr>
    </w:p>
    <w:p w14:paraId="28D5652D" w14:textId="77777777" w:rsidR="00AC6F3C" w:rsidRDefault="00570E88">
      <w:pPr>
        <w:spacing w:before="139" w:line="249" w:lineRule="auto"/>
        <w:ind w:left="101" w:right="35"/>
        <w:rPr>
          <w:b/>
          <w:sz w:val="15"/>
        </w:rPr>
      </w:pPr>
      <w:r>
        <w:rPr>
          <w:b/>
          <w:spacing w:val="-6"/>
          <w:sz w:val="15"/>
        </w:rPr>
        <w:t>Green-</w:t>
      </w:r>
      <w:r>
        <w:rPr>
          <w:b/>
          <w:sz w:val="15"/>
        </w:rPr>
        <w:t xml:space="preserve"> </w:t>
      </w:r>
      <w:r>
        <w:rPr>
          <w:b/>
          <w:spacing w:val="-5"/>
          <w:sz w:val="15"/>
        </w:rPr>
        <w:t>Yellow</w:t>
      </w:r>
    </w:p>
    <w:p w14:paraId="1D972A78" w14:textId="77777777" w:rsidR="00AC6F3C" w:rsidRDefault="00570E88">
      <w:pPr>
        <w:rPr>
          <w:b/>
          <w:sz w:val="16"/>
        </w:rPr>
      </w:pPr>
      <w:r>
        <w:br w:type="column"/>
      </w:r>
    </w:p>
    <w:p w14:paraId="4B44FD22" w14:textId="77777777" w:rsidR="00AC6F3C" w:rsidRDefault="00AC6F3C">
      <w:pPr>
        <w:pStyle w:val="BodyText"/>
        <w:rPr>
          <w:b/>
          <w:sz w:val="16"/>
        </w:rPr>
      </w:pPr>
    </w:p>
    <w:p w14:paraId="30AFDC64" w14:textId="77777777" w:rsidR="00AC6F3C" w:rsidRDefault="00AC6F3C">
      <w:pPr>
        <w:pStyle w:val="BodyText"/>
        <w:rPr>
          <w:b/>
          <w:sz w:val="16"/>
        </w:rPr>
      </w:pPr>
    </w:p>
    <w:p w14:paraId="65A6B667" w14:textId="77777777" w:rsidR="00AC6F3C" w:rsidRDefault="00AC6F3C">
      <w:pPr>
        <w:pStyle w:val="BodyText"/>
        <w:rPr>
          <w:b/>
          <w:sz w:val="16"/>
        </w:rPr>
      </w:pPr>
    </w:p>
    <w:p w14:paraId="47B07199" w14:textId="77777777" w:rsidR="00AC6F3C" w:rsidRDefault="00AC6F3C">
      <w:pPr>
        <w:pStyle w:val="BodyText"/>
        <w:rPr>
          <w:b/>
          <w:sz w:val="16"/>
        </w:rPr>
      </w:pPr>
    </w:p>
    <w:p w14:paraId="5702CECD" w14:textId="77777777" w:rsidR="00AC6F3C" w:rsidRDefault="00AC6F3C">
      <w:pPr>
        <w:pStyle w:val="BodyText"/>
        <w:rPr>
          <w:b/>
          <w:sz w:val="16"/>
        </w:rPr>
      </w:pPr>
    </w:p>
    <w:p w14:paraId="21C46E9C" w14:textId="77777777" w:rsidR="00AC6F3C" w:rsidRDefault="00AC6F3C">
      <w:pPr>
        <w:pStyle w:val="BodyText"/>
        <w:rPr>
          <w:b/>
          <w:sz w:val="16"/>
        </w:rPr>
      </w:pPr>
    </w:p>
    <w:p w14:paraId="07D40BE0" w14:textId="77777777" w:rsidR="00AC6F3C" w:rsidRDefault="00AC6F3C">
      <w:pPr>
        <w:pStyle w:val="BodyText"/>
        <w:rPr>
          <w:b/>
          <w:sz w:val="16"/>
        </w:rPr>
      </w:pPr>
    </w:p>
    <w:p w14:paraId="6CD84280" w14:textId="77777777" w:rsidR="00AC6F3C" w:rsidRDefault="00AC6F3C">
      <w:pPr>
        <w:pStyle w:val="BodyText"/>
        <w:rPr>
          <w:b/>
          <w:sz w:val="16"/>
        </w:rPr>
      </w:pPr>
    </w:p>
    <w:p w14:paraId="3F7C1632" w14:textId="77777777" w:rsidR="00AC6F3C" w:rsidRDefault="00AC6F3C">
      <w:pPr>
        <w:pStyle w:val="BodyText"/>
        <w:rPr>
          <w:b/>
          <w:sz w:val="16"/>
        </w:rPr>
      </w:pPr>
    </w:p>
    <w:p w14:paraId="166C5302" w14:textId="77777777" w:rsidR="00AC6F3C" w:rsidRDefault="00AC6F3C">
      <w:pPr>
        <w:pStyle w:val="BodyText"/>
        <w:rPr>
          <w:b/>
          <w:sz w:val="16"/>
        </w:rPr>
      </w:pPr>
    </w:p>
    <w:p w14:paraId="54B93B35" w14:textId="77777777" w:rsidR="00AC6F3C" w:rsidRDefault="00AC6F3C">
      <w:pPr>
        <w:pStyle w:val="BodyText"/>
        <w:rPr>
          <w:b/>
          <w:sz w:val="16"/>
        </w:rPr>
      </w:pPr>
    </w:p>
    <w:p w14:paraId="61214508" w14:textId="77777777" w:rsidR="00AC6F3C" w:rsidRDefault="00AC6F3C">
      <w:pPr>
        <w:pStyle w:val="BodyText"/>
        <w:rPr>
          <w:b/>
          <w:sz w:val="16"/>
        </w:rPr>
      </w:pPr>
    </w:p>
    <w:p w14:paraId="54622982" w14:textId="77777777" w:rsidR="00AC6F3C" w:rsidRDefault="00AC6F3C">
      <w:pPr>
        <w:pStyle w:val="BodyText"/>
        <w:rPr>
          <w:b/>
          <w:sz w:val="16"/>
        </w:rPr>
      </w:pPr>
    </w:p>
    <w:p w14:paraId="54DF45C1" w14:textId="77777777" w:rsidR="00AC6F3C" w:rsidRDefault="00570E88">
      <w:pPr>
        <w:spacing w:before="139" w:line="249" w:lineRule="auto"/>
        <w:ind w:left="196" w:right="-3"/>
        <w:rPr>
          <w:b/>
          <w:sz w:val="15"/>
        </w:rPr>
      </w:pPr>
      <w:r>
        <w:rPr>
          <w:b/>
          <w:spacing w:val="-6"/>
          <w:sz w:val="15"/>
        </w:rPr>
        <w:t>On</w:t>
      </w:r>
      <w:r>
        <w:rPr>
          <w:b/>
          <w:spacing w:val="-8"/>
          <w:sz w:val="15"/>
        </w:rPr>
        <w:t xml:space="preserve"> </w:t>
      </w:r>
      <w:r>
        <w:rPr>
          <w:b/>
          <w:spacing w:val="-6"/>
          <w:sz w:val="15"/>
        </w:rPr>
        <w:t>track</w:t>
      </w:r>
      <w:r>
        <w:rPr>
          <w:b/>
          <w:spacing w:val="-8"/>
          <w:sz w:val="15"/>
        </w:rPr>
        <w:t xml:space="preserve"> </w:t>
      </w:r>
      <w:r>
        <w:rPr>
          <w:b/>
          <w:spacing w:val="-6"/>
          <w:sz w:val="15"/>
        </w:rPr>
        <w:t>&amp;</w:t>
      </w:r>
      <w:r>
        <w:rPr>
          <w:b/>
          <w:sz w:val="15"/>
        </w:rPr>
        <w:t xml:space="preserve"> </w:t>
      </w:r>
      <w:r>
        <w:rPr>
          <w:b/>
          <w:spacing w:val="-2"/>
          <w:sz w:val="15"/>
        </w:rPr>
        <w:t>ongoing</w:t>
      </w:r>
    </w:p>
    <w:p w14:paraId="1483DBAD" w14:textId="77777777" w:rsidR="00AC6F3C" w:rsidRDefault="00570E88">
      <w:pPr>
        <w:spacing w:before="10" w:line="249" w:lineRule="auto"/>
        <w:ind w:left="621" w:right="143"/>
        <w:rPr>
          <w:sz w:val="15"/>
        </w:rPr>
      </w:pPr>
      <w:r>
        <w:br w:type="column"/>
      </w:r>
      <w:r>
        <w:rPr>
          <w:w w:val="90"/>
          <w:sz w:val="15"/>
        </w:rPr>
        <w:t>completed in 2023. Further staff capacity issues</w:t>
      </w:r>
      <w:r>
        <w:rPr>
          <w:sz w:val="15"/>
        </w:rPr>
        <w:t xml:space="preserve"> </w:t>
      </w:r>
      <w:r>
        <w:rPr>
          <w:spacing w:val="-2"/>
          <w:sz w:val="15"/>
        </w:rPr>
        <w:t>to</w:t>
      </w:r>
      <w:r>
        <w:rPr>
          <w:spacing w:val="-10"/>
          <w:sz w:val="15"/>
        </w:rPr>
        <w:t xml:space="preserve"> </w:t>
      </w:r>
      <w:r>
        <w:rPr>
          <w:spacing w:val="-2"/>
          <w:sz w:val="15"/>
        </w:rPr>
        <w:t>add</w:t>
      </w:r>
      <w:r>
        <w:rPr>
          <w:spacing w:val="-10"/>
          <w:sz w:val="15"/>
        </w:rPr>
        <w:t xml:space="preserve"> </w:t>
      </w:r>
      <w:r>
        <w:rPr>
          <w:spacing w:val="-2"/>
          <w:sz w:val="15"/>
        </w:rPr>
        <w:t>a</w:t>
      </w:r>
      <w:r>
        <w:rPr>
          <w:spacing w:val="-10"/>
          <w:sz w:val="15"/>
        </w:rPr>
        <w:t xml:space="preserve"> </w:t>
      </w:r>
      <w:r>
        <w:rPr>
          <w:spacing w:val="-2"/>
          <w:sz w:val="15"/>
        </w:rPr>
        <w:t>further</w:t>
      </w:r>
      <w:r>
        <w:rPr>
          <w:spacing w:val="-10"/>
          <w:sz w:val="15"/>
        </w:rPr>
        <w:t xml:space="preserve"> </w:t>
      </w:r>
      <w:r>
        <w:rPr>
          <w:spacing w:val="-2"/>
          <w:sz w:val="15"/>
        </w:rPr>
        <w:t>five-day</w:t>
      </w:r>
      <w:r>
        <w:rPr>
          <w:spacing w:val="-10"/>
          <w:sz w:val="15"/>
        </w:rPr>
        <w:t xml:space="preserve"> </w:t>
      </w:r>
      <w:r>
        <w:rPr>
          <w:spacing w:val="-2"/>
          <w:sz w:val="15"/>
        </w:rPr>
        <w:t>training</w:t>
      </w:r>
      <w:r>
        <w:rPr>
          <w:spacing w:val="-10"/>
          <w:sz w:val="15"/>
        </w:rPr>
        <w:t xml:space="preserve"> </w:t>
      </w:r>
      <w:r>
        <w:rPr>
          <w:spacing w:val="-2"/>
          <w:sz w:val="15"/>
        </w:rPr>
        <w:t>course</w:t>
      </w:r>
      <w:r>
        <w:rPr>
          <w:spacing w:val="-10"/>
          <w:sz w:val="15"/>
        </w:rPr>
        <w:t xml:space="preserve"> </w:t>
      </w:r>
      <w:r>
        <w:rPr>
          <w:spacing w:val="-2"/>
          <w:sz w:val="15"/>
        </w:rPr>
        <w:t>make</w:t>
      </w:r>
      <w:r>
        <w:rPr>
          <w:sz w:val="15"/>
        </w:rPr>
        <w:t xml:space="preserve"> </w:t>
      </w:r>
      <w:r>
        <w:rPr>
          <w:spacing w:val="-2"/>
          <w:sz w:val="15"/>
        </w:rPr>
        <w:t>this</w:t>
      </w:r>
      <w:r>
        <w:rPr>
          <w:spacing w:val="-10"/>
          <w:sz w:val="15"/>
        </w:rPr>
        <w:t xml:space="preserve"> </w:t>
      </w:r>
      <w:r>
        <w:rPr>
          <w:spacing w:val="-2"/>
          <w:sz w:val="15"/>
        </w:rPr>
        <w:t>challenging.</w:t>
      </w:r>
      <w:r>
        <w:rPr>
          <w:spacing w:val="-10"/>
          <w:sz w:val="15"/>
        </w:rPr>
        <w:t xml:space="preserve"> </w:t>
      </w:r>
      <w:r>
        <w:rPr>
          <w:spacing w:val="-2"/>
          <w:sz w:val="15"/>
        </w:rPr>
        <w:t>Will</w:t>
      </w:r>
      <w:r>
        <w:rPr>
          <w:spacing w:val="-10"/>
          <w:sz w:val="15"/>
        </w:rPr>
        <w:t xml:space="preserve"> </w:t>
      </w:r>
      <w:r>
        <w:rPr>
          <w:spacing w:val="-2"/>
          <w:sz w:val="15"/>
        </w:rPr>
        <w:t>reassess</w:t>
      </w:r>
      <w:r>
        <w:rPr>
          <w:spacing w:val="-10"/>
          <w:sz w:val="15"/>
        </w:rPr>
        <w:t xml:space="preserve"> </w:t>
      </w:r>
      <w:r>
        <w:rPr>
          <w:spacing w:val="-2"/>
          <w:sz w:val="15"/>
        </w:rPr>
        <w:t>delivery</w:t>
      </w:r>
      <w:r>
        <w:rPr>
          <w:spacing w:val="-10"/>
          <w:sz w:val="15"/>
        </w:rPr>
        <w:t xml:space="preserve"> </w:t>
      </w:r>
      <w:r>
        <w:rPr>
          <w:spacing w:val="-2"/>
          <w:sz w:val="15"/>
        </w:rPr>
        <w:t>of</w:t>
      </w:r>
      <w:r>
        <w:rPr>
          <w:spacing w:val="-10"/>
          <w:sz w:val="15"/>
        </w:rPr>
        <w:t xml:space="preserve"> </w:t>
      </w:r>
      <w:r>
        <w:rPr>
          <w:spacing w:val="-2"/>
          <w:sz w:val="15"/>
        </w:rPr>
        <w:t>this</w:t>
      </w:r>
      <w:r>
        <w:rPr>
          <w:sz w:val="15"/>
        </w:rPr>
        <w:t xml:space="preserve"> course</w:t>
      </w:r>
      <w:r>
        <w:rPr>
          <w:spacing w:val="-11"/>
          <w:sz w:val="15"/>
        </w:rPr>
        <w:t xml:space="preserve"> </w:t>
      </w:r>
      <w:r>
        <w:rPr>
          <w:sz w:val="15"/>
        </w:rPr>
        <w:t>and</w:t>
      </w:r>
      <w:r>
        <w:rPr>
          <w:spacing w:val="-10"/>
          <w:sz w:val="15"/>
        </w:rPr>
        <w:t xml:space="preserve"> </w:t>
      </w:r>
      <w:r>
        <w:rPr>
          <w:sz w:val="15"/>
        </w:rPr>
        <w:t>demand</w:t>
      </w:r>
      <w:r>
        <w:rPr>
          <w:spacing w:val="-11"/>
          <w:sz w:val="15"/>
        </w:rPr>
        <w:t xml:space="preserve"> </w:t>
      </w:r>
      <w:r>
        <w:rPr>
          <w:sz w:val="15"/>
        </w:rPr>
        <w:t>in</w:t>
      </w:r>
      <w:r>
        <w:rPr>
          <w:spacing w:val="-10"/>
          <w:sz w:val="15"/>
        </w:rPr>
        <w:t xml:space="preserve"> </w:t>
      </w:r>
      <w:r>
        <w:rPr>
          <w:sz w:val="15"/>
        </w:rPr>
        <w:t>new</w:t>
      </w:r>
      <w:r>
        <w:rPr>
          <w:spacing w:val="-11"/>
          <w:sz w:val="15"/>
        </w:rPr>
        <w:t xml:space="preserve"> </w:t>
      </w:r>
      <w:r>
        <w:rPr>
          <w:sz w:val="15"/>
        </w:rPr>
        <w:t>FY.</w:t>
      </w:r>
    </w:p>
    <w:p w14:paraId="218F382B" w14:textId="77777777" w:rsidR="00AC6F3C" w:rsidRDefault="00570E88">
      <w:pPr>
        <w:pStyle w:val="ListParagraph"/>
        <w:numPr>
          <w:ilvl w:val="2"/>
          <w:numId w:val="74"/>
        </w:numPr>
        <w:tabs>
          <w:tab w:val="left" w:pos="617"/>
          <w:tab w:val="left" w:pos="621"/>
        </w:tabs>
        <w:spacing w:before="45" w:line="249" w:lineRule="auto"/>
        <w:ind w:right="205"/>
        <w:rPr>
          <w:sz w:val="15"/>
        </w:rPr>
      </w:pPr>
      <w:r>
        <w:rPr>
          <w:sz w:val="15"/>
        </w:rPr>
        <w:t>On</w:t>
      </w:r>
      <w:r>
        <w:rPr>
          <w:spacing w:val="-2"/>
          <w:sz w:val="15"/>
        </w:rPr>
        <w:t xml:space="preserve"> </w:t>
      </w:r>
      <w:r>
        <w:rPr>
          <w:sz w:val="15"/>
        </w:rPr>
        <w:t>track</w:t>
      </w:r>
      <w:r>
        <w:rPr>
          <w:spacing w:val="-2"/>
          <w:sz w:val="15"/>
        </w:rPr>
        <w:t xml:space="preserve"> </w:t>
      </w:r>
      <w:r>
        <w:rPr>
          <w:sz w:val="15"/>
        </w:rPr>
        <w:t>and</w:t>
      </w:r>
      <w:r>
        <w:rPr>
          <w:spacing w:val="-2"/>
          <w:sz w:val="15"/>
        </w:rPr>
        <w:t xml:space="preserve"> </w:t>
      </w:r>
      <w:r>
        <w:rPr>
          <w:sz w:val="15"/>
        </w:rPr>
        <w:t>ongoing</w:t>
      </w:r>
      <w:r>
        <w:rPr>
          <w:spacing w:val="-2"/>
          <w:sz w:val="15"/>
        </w:rPr>
        <w:t xml:space="preserve"> </w:t>
      </w:r>
      <w:r>
        <w:rPr>
          <w:sz w:val="15"/>
        </w:rPr>
        <w:t>–</w:t>
      </w:r>
      <w:r>
        <w:rPr>
          <w:spacing w:val="-2"/>
          <w:sz w:val="15"/>
        </w:rPr>
        <w:t xml:space="preserve"> </w:t>
      </w:r>
      <w:r>
        <w:rPr>
          <w:sz w:val="15"/>
        </w:rPr>
        <w:t>self-paced</w:t>
      </w:r>
      <w:r>
        <w:rPr>
          <w:spacing w:val="-2"/>
          <w:sz w:val="15"/>
        </w:rPr>
        <w:t xml:space="preserve"> </w:t>
      </w:r>
      <w:r>
        <w:rPr>
          <w:sz w:val="15"/>
        </w:rPr>
        <w:t>LMS module</w:t>
      </w:r>
      <w:r>
        <w:rPr>
          <w:spacing w:val="-6"/>
          <w:sz w:val="15"/>
        </w:rPr>
        <w:t xml:space="preserve"> </w:t>
      </w:r>
      <w:r>
        <w:rPr>
          <w:sz w:val="15"/>
        </w:rPr>
        <w:t>available</w:t>
      </w:r>
      <w:r>
        <w:rPr>
          <w:spacing w:val="-6"/>
          <w:sz w:val="15"/>
        </w:rPr>
        <w:t xml:space="preserve"> </w:t>
      </w:r>
      <w:r>
        <w:rPr>
          <w:sz w:val="15"/>
        </w:rPr>
        <w:t>via</w:t>
      </w:r>
      <w:r>
        <w:rPr>
          <w:spacing w:val="-6"/>
          <w:sz w:val="15"/>
        </w:rPr>
        <w:t xml:space="preserve"> </w:t>
      </w:r>
      <w:r>
        <w:rPr>
          <w:sz w:val="15"/>
        </w:rPr>
        <w:t>shop</w:t>
      </w:r>
      <w:r>
        <w:rPr>
          <w:spacing w:val="-6"/>
          <w:sz w:val="15"/>
        </w:rPr>
        <w:t xml:space="preserve"> </w:t>
      </w:r>
      <w:r>
        <w:rPr>
          <w:sz w:val="15"/>
        </w:rPr>
        <w:t>to</w:t>
      </w:r>
      <w:r>
        <w:rPr>
          <w:spacing w:val="-6"/>
          <w:sz w:val="15"/>
        </w:rPr>
        <w:t xml:space="preserve"> </w:t>
      </w:r>
      <w:proofErr w:type="gramStart"/>
      <w:r>
        <w:rPr>
          <w:sz w:val="15"/>
        </w:rPr>
        <w:t>general</w:t>
      </w:r>
      <w:r>
        <w:rPr>
          <w:spacing w:val="-6"/>
          <w:sz w:val="15"/>
        </w:rPr>
        <w:t xml:space="preserve"> </w:t>
      </w:r>
      <w:r>
        <w:rPr>
          <w:sz w:val="15"/>
        </w:rPr>
        <w:t>public</w:t>
      </w:r>
      <w:proofErr w:type="gramEnd"/>
      <w:r>
        <w:rPr>
          <w:sz w:val="15"/>
        </w:rPr>
        <w:t xml:space="preserve"> for</w:t>
      </w:r>
      <w:r>
        <w:rPr>
          <w:spacing w:val="-4"/>
          <w:sz w:val="15"/>
        </w:rPr>
        <w:t xml:space="preserve"> </w:t>
      </w:r>
      <w:r>
        <w:rPr>
          <w:sz w:val="15"/>
        </w:rPr>
        <w:t>the</w:t>
      </w:r>
      <w:r>
        <w:rPr>
          <w:spacing w:val="-4"/>
          <w:sz w:val="15"/>
        </w:rPr>
        <w:t xml:space="preserve"> </w:t>
      </w:r>
      <w:r>
        <w:rPr>
          <w:sz w:val="15"/>
        </w:rPr>
        <w:t>First</w:t>
      </w:r>
      <w:r>
        <w:rPr>
          <w:spacing w:val="-4"/>
          <w:sz w:val="15"/>
        </w:rPr>
        <w:t xml:space="preserve"> </w:t>
      </w:r>
      <w:r>
        <w:rPr>
          <w:sz w:val="15"/>
        </w:rPr>
        <w:t>Nations</w:t>
      </w:r>
      <w:r>
        <w:rPr>
          <w:spacing w:val="-4"/>
          <w:sz w:val="15"/>
        </w:rPr>
        <w:t xml:space="preserve"> </w:t>
      </w:r>
      <w:r>
        <w:rPr>
          <w:sz w:val="15"/>
        </w:rPr>
        <w:t>Cultural</w:t>
      </w:r>
      <w:r>
        <w:rPr>
          <w:spacing w:val="-4"/>
          <w:sz w:val="15"/>
        </w:rPr>
        <w:t xml:space="preserve"> </w:t>
      </w:r>
      <w:r>
        <w:rPr>
          <w:sz w:val="15"/>
        </w:rPr>
        <w:t>Competence course.</w:t>
      </w:r>
      <w:r>
        <w:rPr>
          <w:spacing w:val="-2"/>
          <w:sz w:val="15"/>
        </w:rPr>
        <w:t xml:space="preserve"> </w:t>
      </w:r>
      <w:r>
        <w:rPr>
          <w:sz w:val="15"/>
        </w:rPr>
        <w:t>Small</w:t>
      </w:r>
      <w:r>
        <w:rPr>
          <w:spacing w:val="-2"/>
          <w:sz w:val="15"/>
        </w:rPr>
        <w:t xml:space="preserve"> </w:t>
      </w:r>
      <w:r>
        <w:rPr>
          <w:sz w:val="15"/>
        </w:rPr>
        <w:t>uptake</w:t>
      </w:r>
      <w:r>
        <w:rPr>
          <w:spacing w:val="-2"/>
          <w:sz w:val="15"/>
        </w:rPr>
        <w:t xml:space="preserve"> </w:t>
      </w:r>
      <w:r>
        <w:rPr>
          <w:sz w:val="15"/>
        </w:rPr>
        <w:t>as</w:t>
      </w:r>
      <w:r>
        <w:rPr>
          <w:spacing w:val="-2"/>
          <w:sz w:val="15"/>
        </w:rPr>
        <w:t xml:space="preserve"> </w:t>
      </w:r>
      <w:r>
        <w:rPr>
          <w:sz w:val="15"/>
        </w:rPr>
        <w:t>the</w:t>
      </w:r>
      <w:r>
        <w:rPr>
          <w:spacing w:val="-2"/>
          <w:sz w:val="15"/>
        </w:rPr>
        <w:t xml:space="preserve"> </w:t>
      </w:r>
      <w:r>
        <w:rPr>
          <w:sz w:val="15"/>
        </w:rPr>
        <w:t>LMS</w:t>
      </w:r>
      <w:r>
        <w:rPr>
          <w:spacing w:val="-2"/>
          <w:sz w:val="15"/>
        </w:rPr>
        <w:t xml:space="preserve"> </w:t>
      </w:r>
      <w:proofErr w:type="gramStart"/>
      <w:r>
        <w:rPr>
          <w:sz w:val="15"/>
        </w:rPr>
        <w:t>was launched</w:t>
      </w:r>
      <w:proofErr w:type="gramEnd"/>
      <w:r>
        <w:rPr>
          <w:spacing w:val="-5"/>
          <w:sz w:val="15"/>
        </w:rPr>
        <w:t xml:space="preserve"> </w:t>
      </w:r>
      <w:r>
        <w:rPr>
          <w:sz w:val="15"/>
        </w:rPr>
        <w:t>in</w:t>
      </w:r>
      <w:r>
        <w:rPr>
          <w:spacing w:val="-5"/>
          <w:sz w:val="15"/>
        </w:rPr>
        <w:t xml:space="preserve"> </w:t>
      </w:r>
      <w:r>
        <w:rPr>
          <w:sz w:val="15"/>
        </w:rPr>
        <w:t>Q3</w:t>
      </w:r>
      <w:r>
        <w:rPr>
          <w:spacing w:val="-5"/>
          <w:sz w:val="15"/>
        </w:rPr>
        <w:t xml:space="preserve"> </w:t>
      </w:r>
      <w:r>
        <w:rPr>
          <w:sz w:val="15"/>
        </w:rPr>
        <w:t>but</w:t>
      </w:r>
      <w:r>
        <w:rPr>
          <w:spacing w:val="-5"/>
          <w:sz w:val="15"/>
        </w:rPr>
        <w:t xml:space="preserve"> </w:t>
      </w:r>
      <w:r>
        <w:rPr>
          <w:sz w:val="15"/>
        </w:rPr>
        <w:t>there</w:t>
      </w:r>
      <w:r>
        <w:rPr>
          <w:spacing w:val="-5"/>
          <w:sz w:val="15"/>
        </w:rPr>
        <w:t xml:space="preserve"> </w:t>
      </w:r>
      <w:r>
        <w:rPr>
          <w:sz w:val="15"/>
        </w:rPr>
        <w:t>has</w:t>
      </w:r>
      <w:r>
        <w:rPr>
          <w:spacing w:val="-5"/>
          <w:sz w:val="15"/>
        </w:rPr>
        <w:t xml:space="preserve"> </w:t>
      </w:r>
      <w:r>
        <w:rPr>
          <w:sz w:val="15"/>
        </w:rPr>
        <w:t>been</w:t>
      </w:r>
      <w:r>
        <w:rPr>
          <w:spacing w:val="-5"/>
          <w:sz w:val="15"/>
        </w:rPr>
        <w:t xml:space="preserve"> </w:t>
      </w:r>
      <w:r>
        <w:rPr>
          <w:sz w:val="15"/>
        </w:rPr>
        <w:t xml:space="preserve">interest </w:t>
      </w:r>
      <w:r>
        <w:rPr>
          <w:spacing w:val="-4"/>
          <w:sz w:val="15"/>
        </w:rPr>
        <w:t>from</w:t>
      </w:r>
      <w:r>
        <w:rPr>
          <w:spacing w:val="-7"/>
          <w:sz w:val="15"/>
        </w:rPr>
        <w:t xml:space="preserve"> </w:t>
      </w:r>
      <w:r>
        <w:rPr>
          <w:spacing w:val="-4"/>
          <w:sz w:val="15"/>
        </w:rPr>
        <w:t>stakeholders.</w:t>
      </w:r>
      <w:r>
        <w:rPr>
          <w:spacing w:val="-6"/>
          <w:sz w:val="15"/>
        </w:rPr>
        <w:t xml:space="preserve"> </w:t>
      </w:r>
      <w:r>
        <w:rPr>
          <w:spacing w:val="-4"/>
          <w:sz w:val="15"/>
        </w:rPr>
        <w:t>To</w:t>
      </w:r>
      <w:r>
        <w:rPr>
          <w:spacing w:val="-7"/>
          <w:sz w:val="15"/>
        </w:rPr>
        <w:t xml:space="preserve"> </w:t>
      </w:r>
      <w:r>
        <w:rPr>
          <w:spacing w:val="-4"/>
          <w:sz w:val="15"/>
        </w:rPr>
        <w:t>continue</w:t>
      </w:r>
      <w:r>
        <w:rPr>
          <w:spacing w:val="-6"/>
          <w:sz w:val="15"/>
        </w:rPr>
        <w:t xml:space="preserve"> </w:t>
      </w:r>
      <w:r>
        <w:rPr>
          <w:spacing w:val="-4"/>
          <w:sz w:val="15"/>
        </w:rPr>
        <w:t>into</w:t>
      </w:r>
      <w:r>
        <w:rPr>
          <w:spacing w:val="-7"/>
          <w:sz w:val="15"/>
        </w:rPr>
        <w:t xml:space="preserve"> </w:t>
      </w:r>
      <w:r>
        <w:rPr>
          <w:spacing w:val="-4"/>
          <w:sz w:val="15"/>
        </w:rPr>
        <w:t>FY</w:t>
      </w:r>
      <w:r>
        <w:rPr>
          <w:spacing w:val="-6"/>
          <w:sz w:val="15"/>
        </w:rPr>
        <w:t xml:space="preserve"> </w:t>
      </w:r>
      <w:r>
        <w:rPr>
          <w:spacing w:val="-4"/>
          <w:sz w:val="15"/>
        </w:rPr>
        <w:t>23/24.</w:t>
      </w:r>
    </w:p>
    <w:p w14:paraId="0E6A8591" w14:textId="77777777" w:rsidR="00AC6F3C" w:rsidRDefault="00570E88">
      <w:pPr>
        <w:pStyle w:val="ListParagraph"/>
        <w:numPr>
          <w:ilvl w:val="2"/>
          <w:numId w:val="74"/>
        </w:numPr>
        <w:tabs>
          <w:tab w:val="left" w:pos="617"/>
          <w:tab w:val="left" w:pos="621"/>
        </w:tabs>
        <w:spacing w:before="46" w:line="249" w:lineRule="auto"/>
        <w:ind w:right="235"/>
        <w:rPr>
          <w:sz w:val="15"/>
        </w:rPr>
      </w:pPr>
      <w:r>
        <w:rPr>
          <w:sz w:val="15"/>
        </w:rPr>
        <w:t>Completed</w:t>
      </w:r>
      <w:r>
        <w:rPr>
          <w:spacing w:val="-3"/>
          <w:sz w:val="15"/>
        </w:rPr>
        <w:t xml:space="preserve"> </w:t>
      </w:r>
      <w:r>
        <w:rPr>
          <w:sz w:val="15"/>
        </w:rPr>
        <w:t>–</w:t>
      </w:r>
      <w:r>
        <w:rPr>
          <w:spacing w:val="-3"/>
          <w:sz w:val="15"/>
        </w:rPr>
        <w:t xml:space="preserve"> </w:t>
      </w:r>
      <w:r>
        <w:rPr>
          <w:sz w:val="15"/>
        </w:rPr>
        <w:t>update</w:t>
      </w:r>
      <w:r>
        <w:rPr>
          <w:spacing w:val="-3"/>
          <w:sz w:val="15"/>
        </w:rPr>
        <w:t xml:space="preserve"> </w:t>
      </w:r>
      <w:r>
        <w:rPr>
          <w:sz w:val="15"/>
        </w:rPr>
        <w:t>to</w:t>
      </w:r>
      <w:r>
        <w:rPr>
          <w:spacing w:val="-3"/>
          <w:sz w:val="15"/>
        </w:rPr>
        <w:t xml:space="preserve"> </w:t>
      </w:r>
      <w:r>
        <w:rPr>
          <w:sz w:val="15"/>
        </w:rPr>
        <w:t>CEO</w:t>
      </w:r>
      <w:r>
        <w:rPr>
          <w:spacing w:val="-3"/>
          <w:sz w:val="15"/>
        </w:rPr>
        <w:t xml:space="preserve"> </w:t>
      </w:r>
      <w:r>
        <w:rPr>
          <w:sz w:val="15"/>
        </w:rPr>
        <w:t>that</w:t>
      </w:r>
      <w:r>
        <w:rPr>
          <w:spacing w:val="-3"/>
          <w:sz w:val="15"/>
        </w:rPr>
        <w:t xml:space="preserve"> </w:t>
      </w:r>
      <w:r>
        <w:rPr>
          <w:sz w:val="15"/>
        </w:rPr>
        <w:t xml:space="preserve">initial </w:t>
      </w:r>
      <w:r>
        <w:rPr>
          <w:spacing w:val="-4"/>
          <w:sz w:val="15"/>
        </w:rPr>
        <w:t>approach</w:t>
      </w:r>
      <w:r>
        <w:rPr>
          <w:spacing w:val="-7"/>
          <w:sz w:val="15"/>
        </w:rPr>
        <w:t xml:space="preserve"> </w:t>
      </w:r>
      <w:r>
        <w:rPr>
          <w:spacing w:val="-4"/>
          <w:sz w:val="15"/>
        </w:rPr>
        <w:t>has</w:t>
      </w:r>
      <w:r>
        <w:rPr>
          <w:spacing w:val="-6"/>
          <w:sz w:val="15"/>
        </w:rPr>
        <w:t xml:space="preserve"> </w:t>
      </w:r>
      <w:r>
        <w:rPr>
          <w:spacing w:val="-4"/>
          <w:sz w:val="15"/>
        </w:rPr>
        <w:t>been</w:t>
      </w:r>
      <w:r>
        <w:rPr>
          <w:spacing w:val="-7"/>
          <w:sz w:val="15"/>
        </w:rPr>
        <w:t xml:space="preserve"> </w:t>
      </w:r>
      <w:r>
        <w:rPr>
          <w:spacing w:val="-4"/>
          <w:sz w:val="15"/>
        </w:rPr>
        <w:t>made</w:t>
      </w:r>
      <w:r>
        <w:rPr>
          <w:spacing w:val="-6"/>
          <w:sz w:val="15"/>
        </w:rPr>
        <w:t xml:space="preserve"> </w:t>
      </w:r>
      <w:r>
        <w:rPr>
          <w:spacing w:val="-4"/>
          <w:sz w:val="15"/>
        </w:rPr>
        <w:t>to</w:t>
      </w:r>
      <w:r>
        <w:rPr>
          <w:spacing w:val="-7"/>
          <w:sz w:val="15"/>
        </w:rPr>
        <w:t xml:space="preserve"> </w:t>
      </w:r>
      <w:r>
        <w:rPr>
          <w:spacing w:val="-4"/>
          <w:sz w:val="15"/>
        </w:rPr>
        <w:t>NSWLS</w:t>
      </w:r>
      <w:r>
        <w:rPr>
          <w:spacing w:val="-6"/>
          <w:sz w:val="15"/>
        </w:rPr>
        <w:t xml:space="preserve"> </w:t>
      </w:r>
      <w:r>
        <w:rPr>
          <w:spacing w:val="-4"/>
          <w:sz w:val="15"/>
        </w:rPr>
        <w:t>and</w:t>
      </w:r>
      <w:r>
        <w:rPr>
          <w:spacing w:val="-6"/>
          <w:sz w:val="15"/>
        </w:rPr>
        <w:t xml:space="preserve"> </w:t>
      </w:r>
      <w:r>
        <w:rPr>
          <w:spacing w:val="-4"/>
          <w:sz w:val="15"/>
        </w:rPr>
        <w:t>LIV</w:t>
      </w:r>
      <w:r>
        <w:rPr>
          <w:sz w:val="15"/>
        </w:rPr>
        <w:t xml:space="preserve"> who</w:t>
      </w:r>
      <w:r>
        <w:rPr>
          <w:spacing w:val="-2"/>
          <w:sz w:val="15"/>
        </w:rPr>
        <w:t xml:space="preserve"> </w:t>
      </w:r>
      <w:proofErr w:type="gramStart"/>
      <w:r>
        <w:rPr>
          <w:sz w:val="15"/>
        </w:rPr>
        <w:t>wouldn't</w:t>
      </w:r>
      <w:proofErr w:type="gramEnd"/>
      <w:r>
        <w:rPr>
          <w:spacing w:val="-2"/>
          <w:sz w:val="15"/>
        </w:rPr>
        <w:t xml:space="preserve"> </w:t>
      </w:r>
      <w:r>
        <w:rPr>
          <w:sz w:val="15"/>
        </w:rPr>
        <w:t>support</w:t>
      </w:r>
      <w:r>
        <w:rPr>
          <w:spacing w:val="-2"/>
          <w:sz w:val="15"/>
        </w:rPr>
        <w:t xml:space="preserve"> </w:t>
      </w:r>
      <w:r>
        <w:rPr>
          <w:sz w:val="15"/>
        </w:rPr>
        <w:t>the</w:t>
      </w:r>
      <w:r>
        <w:rPr>
          <w:spacing w:val="-2"/>
          <w:sz w:val="15"/>
        </w:rPr>
        <w:t xml:space="preserve"> </w:t>
      </w:r>
      <w:r>
        <w:rPr>
          <w:sz w:val="15"/>
        </w:rPr>
        <w:t>option</w:t>
      </w:r>
      <w:r>
        <w:rPr>
          <w:spacing w:val="-2"/>
          <w:sz w:val="15"/>
        </w:rPr>
        <w:t xml:space="preserve"> </w:t>
      </w:r>
      <w:r>
        <w:rPr>
          <w:sz w:val="15"/>
        </w:rPr>
        <w:t>as</w:t>
      </w:r>
      <w:r>
        <w:rPr>
          <w:spacing w:val="-2"/>
          <w:sz w:val="15"/>
        </w:rPr>
        <w:t xml:space="preserve"> </w:t>
      </w:r>
      <w:r>
        <w:rPr>
          <w:sz w:val="15"/>
        </w:rPr>
        <w:t>part</w:t>
      </w:r>
      <w:r>
        <w:rPr>
          <w:spacing w:val="-2"/>
          <w:sz w:val="15"/>
        </w:rPr>
        <w:t xml:space="preserve"> </w:t>
      </w:r>
      <w:r>
        <w:rPr>
          <w:sz w:val="15"/>
        </w:rPr>
        <w:t>of their</w:t>
      </w:r>
      <w:r>
        <w:rPr>
          <w:spacing w:val="-9"/>
          <w:sz w:val="15"/>
        </w:rPr>
        <w:t xml:space="preserve"> </w:t>
      </w:r>
      <w:r>
        <w:rPr>
          <w:sz w:val="15"/>
        </w:rPr>
        <w:t>scheme.</w:t>
      </w:r>
    </w:p>
    <w:p w14:paraId="2792CB24" w14:textId="77777777" w:rsidR="00AC6F3C" w:rsidRDefault="00570E88">
      <w:pPr>
        <w:pStyle w:val="ListParagraph"/>
        <w:numPr>
          <w:ilvl w:val="2"/>
          <w:numId w:val="73"/>
        </w:numPr>
        <w:tabs>
          <w:tab w:val="left" w:pos="616"/>
          <w:tab w:val="left" w:pos="621"/>
        </w:tabs>
        <w:spacing w:before="102" w:line="249" w:lineRule="auto"/>
        <w:ind w:right="317"/>
        <w:rPr>
          <w:sz w:val="15"/>
        </w:rPr>
      </w:pPr>
      <w:r>
        <w:rPr>
          <w:spacing w:val="-2"/>
          <w:sz w:val="15"/>
        </w:rPr>
        <w:t>On</w:t>
      </w:r>
      <w:r>
        <w:rPr>
          <w:spacing w:val="-5"/>
          <w:sz w:val="15"/>
        </w:rPr>
        <w:t xml:space="preserve"> </w:t>
      </w:r>
      <w:r>
        <w:rPr>
          <w:spacing w:val="-2"/>
          <w:sz w:val="15"/>
        </w:rPr>
        <w:t>track</w:t>
      </w:r>
      <w:r>
        <w:rPr>
          <w:spacing w:val="-5"/>
          <w:sz w:val="15"/>
        </w:rPr>
        <w:t xml:space="preserve"> </w:t>
      </w:r>
      <w:r>
        <w:rPr>
          <w:spacing w:val="-2"/>
          <w:sz w:val="15"/>
        </w:rPr>
        <w:t>and</w:t>
      </w:r>
      <w:r>
        <w:rPr>
          <w:spacing w:val="-5"/>
          <w:sz w:val="15"/>
        </w:rPr>
        <w:t xml:space="preserve"> </w:t>
      </w:r>
      <w:r>
        <w:rPr>
          <w:spacing w:val="-2"/>
          <w:sz w:val="15"/>
        </w:rPr>
        <w:t>ongoing</w:t>
      </w:r>
      <w:r>
        <w:rPr>
          <w:spacing w:val="-5"/>
          <w:sz w:val="15"/>
        </w:rPr>
        <w:t xml:space="preserve"> </w:t>
      </w:r>
      <w:r>
        <w:rPr>
          <w:spacing w:val="-2"/>
          <w:sz w:val="15"/>
        </w:rPr>
        <w:t>–</w:t>
      </w:r>
      <w:r>
        <w:rPr>
          <w:spacing w:val="-5"/>
          <w:sz w:val="15"/>
        </w:rPr>
        <w:t xml:space="preserve"> </w:t>
      </w:r>
      <w:r>
        <w:rPr>
          <w:spacing w:val="-2"/>
          <w:sz w:val="15"/>
        </w:rPr>
        <w:t>ongoing</w:t>
      </w:r>
      <w:r>
        <w:rPr>
          <w:spacing w:val="-5"/>
          <w:sz w:val="15"/>
        </w:rPr>
        <w:t xml:space="preserve"> </w:t>
      </w:r>
      <w:r>
        <w:rPr>
          <w:spacing w:val="-2"/>
          <w:sz w:val="15"/>
        </w:rPr>
        <w:t>campaign</w:t>
      </w:r>
      <w:r>
        <w:rPr>
          <w:sz w:val="15"/>
        </w:rPr>
        <w:t xml:space="preserve"> to</w:t>
      </w:r>
      <w:r>
        <w:rPr>
          <w:spacing w:val="-4"/>
          <w:sz w:val="15"/>
        </w:rPr>
        <w:t xml:space="preserve"> </w:t>
      </w:r>
      <w:r>
        <w:rPr>
          <w:sz w:val="15"/>
        </w:rPr>
        <w:t>promote</w:t>
      </w:r>
      <w:r>
        <w:rPr>
          <w:spacing w:val="-4"/>
          <w:sz w:val="15"/>
        </w:rPr>
        <w:t xml:space="preserve"> </w:t>
      </w:r>
      <w:r>
        <w:rPr>
          <w:sz w:val="15"/>
        </w:rPr>
        <w:t>bespoke</w:t>
      </w:r>
      <w:r>
        <w:rPr>
          <w:spacing w:val="-4"/>
          <w:sz w:val="15"/>
        </w:rPr>
        <w:t xml:space="preserve"> </w:t>
      </w:r>
      <w:r>
        <w:rPr>
          <w:sz w:val="15"/>
        </w:rPr>
        <w:t>sessions</w:t>
      </w:r>
      <w:r>
        <w:rPr>
          <w:spacing w:val="-4"/>
          <w:sz w:val="15"/>
        </w:rPr>
        <w:t xml:space="preserve"> </w:t>
      </w:r>
      <w:r>
        <w:rPr>
          <w:sz w:val="15"/>
        </w:rPr>
        <w:t>to</w:t>
      </w:r>
      <w:r>
        <w:rPr>
          <w:spacing w:val="-4"/>
          <w:sz w:val="15"/>
        </w:rPr>
        <w:t xml:space="preserve"> </w:t>
      </w:r>
      <w:r>
        <w:rPr>
          <w:sz w:val="15"/>
        </w:rPr>
        <w:t>firms</w:t>
      </w:r>
      <w:r>
        <w:rPr>
          <w:spacing w:val="-4"/>
          <w:sz w:val="15"/>
        </w:rPr>
        <w:t xml:space="preserve"> </w:t>
      </w:r>
      <w:r>
        <w:rPr>
          <w:sz w:val="15"/>
        </w:rPr>
        <w:t>as part</w:t>
      </w:r>
      <w:r>
        <w:rPr>
          <w:spacing w:val="-11"/>
          <w:sz w:val="15"/>
        </w:rPr>
        <w:t xml:space="preserve"> </w:t>
      </w:r>
      <w:r>
        <w:rPr>
          <w:sz w:val="15"/>
        </w:rPr>
        <w:t>of</w:t>
      </w:r>
      <w:r>
        <w:rPr>
          <w:spacing w:val="-10"/>
          <w:sz w:val="15"/>
        </w:rPr>
        <w:t xml:space="preserve"> </w:t>
      </w:r>
      <w:r>
        <w:rPr>
          <w:sz w:val="15"/>
        </w:rPr>
        <w:t>the</w:t>
      </w:r>
      <w:r>
        <w:rPr>
          <w:spacing w:val="-11"/>
          <w:sz w:val="15"/>
        </w:rPr>
        <w:t xml:space="preserve"> </w:t>
      </w:r>
      <w:r>
        <w:rPr>
          <w:sz w:val="15"/>
        </w:rPr>
        <w:t>response</w:t>
      </w:r>
      <w:r>
        <w:rPr>
          <w:spacing w:val="-10"/>
          <w:sz w:val="15"/>
        </w:rPr>
        <w:t xml:space="preserve"> </w:t>
      </w:r>
      <w:r>
        <w:rPr>
          <w:sz w:val="15"/>
        </w:rPr>
        <w:t>to</w:t>
      </w:r>
      <w:r>
        <w:rPr>
          <w:spacing w:val="-11"/>
          <w:sz w:val="15"/>
        </w:rPr>
        <w:t xml:space="preserve"> </w:t>
      </w:r>
      <w:r>
        <w:rPr>
          <w:sz w:val="15"/>
        </w:rPr>
        <w:t>the</w:t>
      </w:r>
      <w:r>
        <w:rPr>
          <w:spacing w:val="-10"/>
          <w:sz w:val="15"/>
        </w:rPr>
        <w:t xml:space="preserve"> </w:t>
      </w:r>
      <w:proofErr w:type="spellStart"/>
      <w:r>
        <w:rPr>
          <w:sz w:val="15"/>
        </w:rPr>
        <w:t>Respect@work</w:t>
      </w:r>
      <w:proofErr w:type="spellEnd"/>
      <w:r>
        <w:rPr>
          <w:sz w:val="15"/>
        </w:rPr>
        <w:t xml:space="preserve"> </w:t>
      </w:r>
      <w:r>
        <w:rPr>
          <w:spacing w:val="-4"/>
          <w:sz w:val="15"/>
        </w:rPr>
        <w:t>Bill</w:t>
      </w:r>
      <w:r>
        <w:rPr>
          <w:spacing w:val="-6"/>
          <w:sz w:val="15"/>
        </w:rPr>
        <w:t xml:space="preserve"> </w:t>
      </w:r>
      <w:r>
        <w:rPr>
          <w:spacing w:val="-4"/>
          <w:sz w:val="15"/>
        </w:rPr>
        <w:t>passing</w:t>
      </w:r>
      <w:r>
        <w:rPr>
          <w:spacing w:val="-6"/>
          <w:sz w:val="15"/>
        </w:rPr>
        <w:t xml:space="preserve"> </w:t>
      </w:r>
      <w:r>
        <w:rPr>
          <w:spacing w:val="-4"/>
          <w:sz w:val="15"/>
        </w:rPr>
        <w:t>parliament</w:t>
      </w:r>
      <w:r>
        <w:rPr>
          <w:spacing w:val="-6"/>
          <w:sz w:val="15"/>
        </w:rPr>
        <w:t xml:space="preserve"> </w:t>
      </w:r>
      <w:r>
        <w:rPr>
          <w:spacing w:val="-4"/>
          <w:sz w:val="15"/>
        </w:rPr>
        <w:t>and</w:t>
      </w:r>
      <w:r>
        <w:rPr>
          <w:spacing w:val="-6"/>
          <w:sz w:val="15"/>
        </w:rPr>
        <w:t xml:space="preserve"> </w:t>
      </w:r>
      <w:r>
        <w:rPr>
          <w:spacing w:val="-4"/>
          <w:sz w:val="15"/>
        </w:rPr>
        <w:t>the</w:t>
      </w:r>
      <w:r>
        <w:rPr>
          <w:spacing w:val="-6"/>
          <w:sz w:val="15"/>
        </w:rPr>
        <w:t xml:space="preserve"> </w:t>
      </w:r>
      <w:r>
        <w:rPr>
          <w:spacing w:val="-4"/>
          <w:sz w:val="15"/>
        </w:rPr>
        <w:t>new</w:t>
      </w:r>
      <w:r>
        <w:rPr>
          <w:spacing w:val="-6"/>
          <w:sz w:val="15"/>
        </w:rPr>
        <w:t xml:space="preserve"> </w:t>
      </w:r>
      <w:r>
        <w:rPr>
          <w:spacing w:val="-4"/>
          <w:sz w:val="15"/>
        </w:rPr>
        <w:t>positive</w:t>
      </w:r>
      <w:r>
        <w:rPr>
          <w:sz w:val="15"/>
        </w:rPr>
        <w:t xml:space="preserve"> obligation placed on employers.</w:t>
      </w:r>
    </w:p>
    <w:p w14:paraId="4587F826" w14:textId="77777777" w:rsidR="00AC6F3C" w:rsidRDefault="00570E88">
      <w:pPr>
        <w:spacing w:before="46" w:line="249" w:lineRule="auto"/>
        <w:ind w:left="621" w:right="143"/>
        <w:rPr>
          <w:sz w:val="15"/>
        </w:rPr>
      </w:pPr>
      <w:r>
        <w:rPr>
          <w:sz w:val="15"/>
        </w:rPr>
        <w:t>Ran</w:t>
      </w:r>
      <w:r>
        <w:rPr>
          <w:spacing w:val="-1"/>
          <w:sz w:val="15"/>
        </w:rPr>
        <w:t xml:space="preserve"> </w:t>
      </w:r>
      <w:r>
        <w:rPr>
          <w:sz w:val="15"/>
        </w:rPr>
        <w:t>bespoke</w:t>
      </w:r>
      <w:r>
        <w:rPr>
          <w:spacing w:val="-1"/>
          <w:sz w:val="15"/>
        </w:rPr>
        <w:t xml:space="preserve"> </w:t>
      </w:r>
      <w:r>
        <w:rPr>
          <w:sz w:val="15"/>
        </w:rPr>
        <w:t>in-house</w:t>
      </w:r>
      <w:r>
        <w:rPr>
          <w:spacing w:val="-1"/>
          <w:sz w:val="15"/>
        </w:rPr>
        <w:t xml:space="preserve"> </w:t>
      </w:r>
      <w:r>
        <w:rPr>
          <w:sz w:val="15"/>
        </w:rPr>
        <w:t>sessions</w:t>
      </w:r>
      <w:r>
        <w:rPr>
          <w:spacing w:val="-1"/>
          <w:sz w:val="15"/>
        </w:rPr>
        <w:t xml:space="preserve"> </w:t>
      </w:r>
      <w:r>
        <w:rPr>
          <w:sz w:val="15"/>
        </w:rPr>
        <w:t>and</w:t>
      </w:r>
      <w:r>
        <w:rPr>
          <w:spacing w:val="-1"/>
          <w:sz w:val="15"/>
        </w:rPr>
        <w:t xml:space="preserve"> </w:t>
      </w:r>
      <w:r>
        <w:rPr>
          <w:sz w:val="15"/>
        </w:rPr>
        <w:t xml:space="preserve">a </w:t>
      </w:r>
      <w:r>
        <w:rPr>
          <w:spacing w:val="-4"/>
          <w:sz w:val="15"/>
        </w:rPr>
        <w:t>roadshow</w:t>
      </w:r>
      <w:r>
        <w:rPr>
          <w:spacing w:val="-6"/>
          <w:sz w:val="15"/>
        </w:rPr>
        <w:t xml:space="preserve"> </w:t>
      </w:r>
      <w:r>
        <w:rPr>
          <w:spacing w:val="-4"/>
          <w:sz w:val="15"/>
        </w:rPr>
        <w:t>of</w:t>
      </w:r>
      <w:r>
        <w:rPr>
          <w:spacing w:val="-6"/>
          <w:sz w:val="15"/>
        </w:rPr>
        <w:t xml:space="preserve"> </w:t>
      </w:r>
      <w:r>
        <w:rPr>
          <w:spacing w:val="-4"/>
          <w:sz w:val="15"/>
        </w:rPr>
        <w:t>events</w:t>
      </w:r>
      <w:r>
        <w:rPr>
          <w:spacing w:val="-6"/>
          <w:sz w:val="15"/>
        </w:rPr>
        <w:t xml:space="preserve"> </w:t>
      </w:r>
      <w:r>
        <w:rPr>
          <w:spacing w:val="-4"/>
          <w:sz w:val="15"/>
        </w:rPr>
        <w:t>across</w:t>
      </w:r>
      <w:r>
        <w:rPr>
          <w:spacing w:val="-6"/>
          <w:sz w:val="15"/>
        </w:rPr>
        <w:t xml:space="preserve"> </w:t>
      </w:r>
      <w:r>
        <w:rPr>
          <w:spacing w:val="-4"/>
          <w:sz w:val="15"/>
        </w:rPr>
        <w:t>Queensland.</w:t>
      </w:r>
      <w:r>
        <w:rPr>
          <w:spacing w:val="-6"/>
          <w:sz w:val="15"/>
        </w:rPr>
        <w:t xml:space="preserve"> </w:t>
      </w:r>
      <w:r>
        <w:rPr>
          <w:spacing w:val="-4"/>
          <w:sz w:val="15"/>
        </w:rPr>
        <w:t>Over</w:t>
      </w:r>
      <w:r>
        <w:rPr>
          <w:sz w:val="15"/>
        </w:rPr>
        <w:t xml:space="preserve"> </w:t>
      </w:r>
      <w:proofErr w:type="gramStart"/>
      <w:r>
        <w:rPr>
          <w:spacing w:val="-4"/>
          <w:sz w:val="15"/>
        </w:rPr>
        <w:t>500</w:t>
      </w:r>
      <w:proofErr w:type="gramEnd"/>
      <w:r>
        <w:rPr>
          <w:spacing w:val="-7"/>
          <w:sz w:val="15"/>
        </w:rPr>
        <w:t xml:space="preserve"> </w:t>
      </w:r>
      <w:r>
        <w:rPr>
          <w:spacing w:val="-4"/>
          <w:sz w:val="15"/>
        </w:rPr>
        <w:t>delegates</w:t>
      </w:r>
      <w:r>
        <w:rPr>
          <w:spacing w:val="-6"/>
          <w:sz w:val="15"/>
        </w:rPr>
        <w:t xml:space="preserve"> </w:t>
      </w:r>
      <w:r>
        <w:rPr>
          <w:spacing w:val="-4"/>
          <w:sz w:val="15"/>
        </w:rPr>
        <w:t>trained</w:t>
      </w:r>
      <w:r>
        <w:rPr>
          <w:spacing w:val="-7"/>
          <w:sz w:val="15"/>
        </w:rPr>
        <w:t xml:space="preserve"> </w:t>
      </w:r>
      <w:r>
        <w:rPr>
          <w:spacing w:val="-4"/>
          <w:sz w:val="15"/>
        </w:rPr>
        <w:t>in</w:t>
      </w:r>
      <w:r>
        <w:rPr>
          <w:spacing w:val="-6"/>
          <w:sz w:val="15"/>
        </w:rPr>
        <w:t xml:space="preserve"> </w:t>
      </w:r>
      <w:r>
        <w:rPr>
          <w:spacing w:val="-4"/>
          <w:sz w:val="15"/>
        </w:rPr>
        <w:t>Feb</w:t>
      </w:r>
      <w:r>
        <w:rPr>
          <w:spacing w:val="-7"/>
          <w:sz w:val="15"/>
        </w:rPr>
        <w:t xml:space="preserve"> </w:t>
      </w:r>
      <w:r>
        <w:rPr>
          <w:spacing w:val="-4"/>
          <w:sz w:val="15"/>
        </w:rPr>
        <w:t>–</w:t>
      </w:r>
      <w:r>
        <w:rPr>
          <w:spacing w:val="-6"/>
          <w:sz w:val="15"/>
        </w:rPr>
        <w:t xml:space="preserve"> </w:t>
      </w:r>
      <w:r>
        <w:rPr>
          <w:spacing w:val="-4"/>
          <w:sz w:val="15"/>
        </w:rPr>
        <w:t>June</w:t>
      </w:r>
      <w:r>
        <w:rPr>
          <w:spacing w:val="-6"/>
          <w:sz w:val="15"/>
        </w:rPr>
        <w:t xml:space="preserve"> </w:t>
      </w:r>
      <w:r>
        <w:rPr>
          <w:spacing w:val="-4"/>
          <w:sz w:val="15"/>
        </w:rPr>
        <w:t>2023</w:t>
      </w:r>
      <w:r>
        <w:rPr>
          <w:spacing w:val="-7"/>
          <w:sz w:val="15"/>
        </w:rPr>
        <w:t xml:space="preserve"> </w:t>
      </w:r>
      <w:r>
        <w:rPr>
          <w:spacing w:val="-4"/>
          <w:sz w:val="15"/>
        </w:rPr>
        <w:t>and</w:t>
      </w:r>
      <w:r>
        <w:rPr>
          <w:sz w:val="15"/>
        </w:rPr>
        <w:t xml:space="preserve"> </w:t>
      </w:r>
      <w:r>
        <w:rPr>
          <w:spacing w:val="-4"/>
          <w:sz w:val="15"/>
        </w:rPr>
        <w:t>this is ongoing with strong demand continuing</w:t>
      </w:r>
      <w:r>
        <w:rPr>
          <w:sz w:val="15"/>
        </w:rPr>
        <w:t xml:space="preserve"> for first quarter 23/24.</w:t>
      </w:r>
    </w:p>
    <w:p w14:paraId="0C479C01" w14:textId="77777777" w:rsidR="00AC6F3C" w:rsidRDefault="00570E88">
      <w:pPr>
        <w:spacing w:before="45" w:line="249" w:lineRule="auto"/>
        <w:ind w:left="621" w:right="143"/>
        <w:rPr>
          <w:sz w:val="15"/>
        </w:rPr>
      </w:pPr>
      <w:r>
        <w:rPr>
          <w:noProof/>
        </w:rPr>
        <mc:AlternateContent>
          <mc:Choice Requires="wpg">
            <w:drawing>
              <wp:anchor distT="0" distB="0" distL="0" distR="0" simplePos="0" relativeHeight="15747072" behindDoc="0" locked="0" layoutInCell="1" allowOverlap="1" wp14:anchorId="217EFAB6" wp14:editId="1F64D7F5">
                <wp:simplePos x="0" y="0"/>
                <wp:positionH relativeFrom="page">
                  <wp:posOffset>269999</wp:posOffset>
                </wp:positionH>
                <wp:positionV relativeFrom="paragraph">
                  <wp:posOffset>284751</wp:posOffset>
                </wp:positionV>
                <wp:extent cx="10152380" cy="31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13" name="Graphic 113"/>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14" name="Graphic 114"/>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15" name="Graphic 115"/>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17" name="Graphic 117"/>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18" name="Graphic 118"/>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19" name="Graphic 119"/>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20" name="Graphic 120"/>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21" name="Graphic 121"/>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22" name="Graphic 122"/>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26612E" id="Group 112" o:spid="_x0000_s1026" style="position:absolute;margin-left:21.25pt;margin-top:22.4pt;width:799.4pt;height:.25pt;z-index:15747072;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">
                <v:shape id="Graphic 113"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" path="m,l575995,e" filled="f" strokeweight=".25pt">
                  <v:path arrowok="t"/>
                </v:shape>
                <v:shape id="Graphic 114"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" path="m,l1386001,e" filled="f" strokeweight=".25pt">
                  <v:path arrowok="t"/>
                </v:shape>
                <v:shape id="Graphic 115"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" path="m,l1845005,e" filled="f" strokeweight=".25pt">
                  <v:path arrowok="t"/>
                </v:shape>
                <v:shape id="Graphic 116"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" path="m,l449999,e" filled="f" strokeweight=".25pt">
                  <v:path arrowok="t"/>
                </v:shape>
                <v:shape id="Graphic 117"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" path="m,l548995,e" filled="f" strokeweight=".25pt">
                  <v:path arrowok="t"/>
                </v:shape>
                <v:shape id="Graphic 118"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" path="m,l774001,e" filled="f" strokeweight=".25pt">
                  <v:path arrowok="t"/>
                </v:shape>
                <v:shape id="Graphic 119"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" path="m,l1143000,e" filled="f" strokeweight=".25pt">
                  <v:path arrowok="t"/>
                </v:shape>
                <v:shape id="Graphic 120"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" path="m,l612000,e" filled="f" strokeweight=".25pt">
                  <v:path arrowok="t"/>
                </v:shape>
                <v:shape id="Graphic 121"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" path="m,l612000,e" filled="f" strokeweight=".25pt">
                  <v:path arrowok="t"/>
                </v:shape>
                <v:shape id="Graphic 122"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" path="m,l2204999,e" filled="f" strokeweight=".25pt">
                  <v:path arrowok="t"/>
                </v:shape>
                <w10:wrap anchorx="page"/>
              </v:group>
            </w:pict>
          </mc:Fallback>
        </mc:AlternateContent>
      </w:r>
      <w:r>
        <w:rPr>
          <w:spacing w:val="-4"/>
          <w:sz w:val="15"/>
        </w:rPr>
        <w:t>Being</w:t>
      </w:r>
      <w:r>
        <w:rPr>
          <w:spacing w:val="-7"/>
          <w:sz w:val="15"/>
        </w:rPr>
        <w:t xml:space="preserve"> </w:t>
      </w:r>
      <w:r>
        <w:rPr>
          <w:spacing w:val="-4"/>
          <w:sz w:val="15"/>
        </w:rPr>
        <w:t>an</w:t>
      </w:r>
      <w:r>
        <w:rPr>
          <w:spacing w:val="-6"/>
          <w:sz w:val="15"/>
        </w:rPr>
        <w:t xml:space="preserve"> </w:t>
      </w:r>
      <w:r>
        <w:rPr>
          <w:spacing w:val="-4"/>
          <w:sz w:val="15"/>
        </w:rPr>
        <w:t>Active</w:t>
      </w:r>
      <w:r>
        <w:rPr>
          <w:spacing w:val="-7"/>
          <w:sz w:val="15"/>
        </w:rPr>
        <w:t xml:space="preserve"> </w:t>
      </w:r>
      <w:r>
        <w:rPr>
          <w:spacing w:val="-4"/>
          <w:sz w:val="15"/>
        </w:rPr>
        <w:t>Bystander</w:t>
      </w:r>
      <w:r>
        <w:rPr>
          <w:spacing w:val="-6"/>
          <w:sz w:val="15"/>
        </w:rPr>
        <w:t xml:space="preserve"> </w:t>
      </w:r>
      <w:r>
        <w:rPr>
          <w:spacing w:val="-4"/>
          <w:sz w:val="15"/>
        </w:rPr>
        <w:t>Pilot</w:t>
      </w:r>
      <w:r>
        <w:rPr>
          <w:spacing w:val="-7"/>
          <w:sz w:val="15"/>
        </w:rPr>
        <w:t xml:space="preserve"> </w:t>
      </w:r>
      <w:r>
        <w:rPr>
          <w:spacing w:val="-4"/>
          <w:sz w:val="15"/>
        </w:rPr>
        <w:t>workshop</w:t>
      </w:r>
      <w:r>
        <w:rPr>
          <w:spacing w:val="-6"/>
          <w:sz w:val="15"/>
        </w:rPr>
        <w:t xml:space="preserve"> </w:t>
      </w:r>
      <w:r>
        <w:rPr>
          <w:spacing w:val="-4"/>
          <w:sz w:val="15"/>
        </w:rPr>
        <w:t>ran</w:t>
      </w:r>
      <w:r>
        <w:rPr>
          <w:sz w:val="15"/>
        </w:rPr>
        <w:t xml:space="preserve"> in</w:t>
      </w:r>
      <w:r>
        <w:rPr>
          <w:spacing w:val="-9"/>
          <w:sz w:val="15"/>
        </w:rPr>
        <w:t xml:space="preserve"> </w:t>
      </w:r>
      <w:r>
        <w:rPr>
          <w:sz w:val="15"/>
        </w:rPr>
        <w:t>May.</w:t>
      </w:r>
    </w:p>
    <w:p w14:paraId="32388FCE"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7" w:space="720" w:equalWidth="0">
            <w:col w:w="3145" w:space="40"/>
            <w:col w:w="2785" w:space="39"/>
            <w:col w:w="540" w:space="155"/>
            <w:col w:w="3938" w:space="40"/>
            <w:col w:w="604" w:space="265"/>
            <w:col w:w="908" w:space="56"/>
            <w:col w:w="3705"/>
          </w:cols>
        </w:sectPr>
      </w:pPr>
    </w:p>
    <w:p w14:paraId="3EF1A994" w14:textId="77777777" w:rsidR="00AC6F3C" w:rsidRDefault="00570E88">
      <w:pPr>
        <w:tabs>
          <w:tab w:val="left" w:pos="1103"/>
        </w:tabs>
        <w:spacing w:before="101"/>
        <w:ind w:left="196"/>
        <w:rPr>
          <w:sz w:val="15"/>
        </w:rPr>
      </w:pPr>
      <w:r>
        <w:rPr>
          <w:b/>
          <w:spacing w:val="-2"/>
          <w:sz w:val="15"/>
        </w:rPr>
        <w:t>Educate</w:t>
      </w:r>
      <w:r>
        <w:rPr>
          <w:b/>
          <w:sz w:val="15"/>
        </w:rPr>
        <w:tab/>
      </w:r>
      <w:proofErr w:type="gramStart"/>
      <w:r>
        <w:rPr>
          <w:spacing w:val="-2"/>
          <w:sz w:val="15"/>
        </w:rPr>
        <w:t>11</w:t>
      </w:r>
      <w:proofErr w:type="gramEnd"/>
      <w:r>
        <w:rPr>
          <w:spacing w:val="-2"/>
          <w:sz w:val="15"/>
        </w:rPr>
        <w:t>.</w:t>
      </w:r>
      <w:r>
        <w:rPr>
          <w:spacing w:val="27"/>
          <w:sz w:val="15"/>
        </w:rPr>
        <w:t xml:space="preserve"> </w:t>
      </w:r>
      <w:r>
        <w:rPr>
          <w:spacing w:val="-2"/>
          <w:sz w:val="15"/>
        </w:rPr>
        <w:t>Continue</w:t>
      </w:r>
      <w:r>
        <w:rPr>
          <w:spacing w:val="-9"/>
          <w:sz w:val="15"/>
        </w:rPr>
        <w:t xml:space="preserve"> </w:t>
      </w:r>
      <w:r>
        <w:rPr>
          <w:spacing w:val="-2"/>
          <w:sz w:val="15"/>
        </w:rPr>
        <w:t>to</w:t>
      </w:r>
      <w:r>
        <w:rPr>
          <w:spacing w:val="-8"/>
          <w:sz w:val="15"/>
        </w:rPr>
        <w:t xml:space="preserve"> </w:t>
      </w:r>
      <w:proofErr w:type="gramStart"/>
      <w:r>
        <w:rPr>
          <w:spacing w:val="-2"/>
          <w:sz w:val="15"/>
        </w:rPr>
        <w:t>develop</w:t>
      </w:r>
      <w:proofErr w:type="gramEnd"/>
    </w:p>
    <w:p w14:paraId="58036124" w14:textId="77777777" w:rsidR="00AC6F3C" w:rsidRDefault="00570E88">
      <w:pPr>
        <w:spacing w:before="7" w:line="249" w:lineRule="auto"/>
        <w:ind w:left="1386"/>
        <w:rPr>
          <w:sz w:val="15"/>
        </w:rPr>
      </w:pPr>
      <w:r>
        <w:rPr>
          <w:sz w:val="15"/>
        </w:rPr>
        <w:t xml:space="preserve">and lead high-quality, accessible and well </w:t>
      </w:r>
      <w:r>
        <w:rPr>
          <w:spacing w:val="-4"/>
          <w:sz w:val="15"/>
        </w:rPr>
        <w:t>attended</w:t>
      </w:r>
      <w:r>
        <w:rPr>
          <w:spacing w:val="-7"/>
          <w:sz w:val="15"/>
        </w:rPr>
        <w:t xml:space="preserve"> </w:t>
      </w:r>
      <w:r>
        <w:rPr>
          <w:spacing w:val="-4"/>
          <w:sz w:val="15"/>
        </w:rPr>
        <w:t>CPD</w:t>
      </w:r>
      <w:r>
        <w:rPr>
          <w:spacing w:val="-6"/>
          <w:sz w:val="15"/>
        </w:rPr>
        <w:t xml:space="preserve"> </w:t>
      </w:r>
      <w:proofErr w:type="gramStart"/>
      <w:r>
        <w:rPr>
          <w:spacing w:val="-4"/>
          <w:sz w:val="15"/>
        </w:rPr>
        <w:t>conferences</w:t>
      </w:r>
      <w:proofErr w:type="gramEnd"/>
    </w:p>
    <w:p w14:paraId="14B27BC5" w14:textId="77777777" w:rsidR="00AC6F3C" w:rsidRDefault="00570E88">
      <w:pPr>
        <w:pStyle w:val="ListParagraph"/>
        <w:numPr>
          <w:ilvl w:val="2"/>
          <w:numId w:val="72"/>
        </w:numPr>
        <w:tabs>
          <w:tab w:val="left" w:pos="559"/>
          <w:tab w:val="left" w:pos="564"/>
        </w:tabs>
        <w:spacing w:before="101" w:line="249" w:lineRule="auto"/>
        <w:rPr>
          <w:sz w:val="15"/>
        </w:rPr>
      </w:pPr>
      <w:r>
        <w:br w:type="column"/>
      </w:r>
      <w:r>
        <w:rPr>
          <w:sz w:val="15"/>
        </w:rPr>
        <w:t xml:space="preserve">Continue to develop and lead </w:t>
      </w:r>
      <w:r>
        <w:rPr>
          <w:spacing w:val="-4"/>
          <w:sz w:val="15"/>
        </w:rPr>
        <w:t>outstanding</w:t>
      </w:r>
      <w:r>
        <w:rPr>
          <w:spacing w:val="-7"/>
          <w:sz w:val="15"/>
        </w:rPr>
        <w:t xml:space="preserve"> </w:t>
      </w:r>
      <w:r>
        <w:rPr>
          <w:spacing w:val="-4"/>
          <w:sz w:val="15"/>
        </w:rPr>
        <w:t>and</w:t>
      </w:r>
      <w:r>
        <w:rPr>
          <w:spacing w:val="-6"/>
          <w:sz w:val="15"/>
        </w:rPr>
        <w:t xml:space="preserve"> </w:t>
      </w:r>
      <w:r>
        <w:rPr>
          <w:spacing w:val="-4"/>
          <w:sz w:val="15"/>
        </w:rPr>
        <w:t>well</w:t>
      </w:r>
      <w:r>
        <w:rPr>
          <w:spacing w:val="-7"/>
          <w:sz w:val="15"/>
        </w:rPr>
        <w:t xml:space="preserve"> </w:t>
      </w:r>
      <w:r>
        <w:rPr>
          <w:spacing w:val="-4"/>
          <w:sz w:val="15"/>
        </w:rPr>
        <w:t>attended</w:t>
      </w:r>
      <w:r>
        <w:rPr>
          <w:spacing w:val="-6"/>
          <w:sz w:val="15"/>
        </w:rPr>
        <w:t xml:space="preserve"> </w:t>
      </w:r>
      <w:r>
        <w:rPr>
          <w:spacing w:val="-4"/>
          <w:sz w:val="15"/>
        </w:rPr>
        <w:t>CPD</w:t>
      </w:r>
      <w:r>
        <w:rPr>
          <w:sz w:val="15"/>
        </w:rPr>
        <w:t xml:space="preserve"> </w:t>
      </w:r>
      <w:proofErr w:type="gramStart"/>
      <w:r>
        <w:rPr>
          <w:spacing w:val="-2"/>
          <w:sz w:val="15"/>
        </w:rPr>
        <w:t>conferences</w:t>
      </w:r>
      <w:proofErr w:type="gramEnd"/>
    </w:p>
    <w:p w14:paraId="1E42F84E" w14:textId="77777777" w:rsidR="00AC6F3C" w:rsidRDefault="00570E88">
      <w:pPr>
        <w:spacing w:before="101" w:line="501" w:lineRule="auto"/>
        <w:ind w:left="196" w:right="38"/>
        <w:jc w:val="both"/>
        <w:rPr>
          <w:b/>
          <w:sz w:val="15"/>
        </w:rPr>
      </w:pPr>
      <w:r>
        <w:br w:type="column"/>
      </w:r>
      <w:r>
        <w:rPr>
          <w:b/>
          <w:spacing w:val="-8"/>
          <w:sz w:val="15"/>
        </w:rPr>
        <w:t>KPI1</w:t>
      </w:r>
      <w:r>
        <w:rPr>
          <w:b/>
          <w:sz w:val="15"/>
        </w:rPr>
        <w:t xml:space="preserve"> </w:t>
      </w:r>
      <w:r>
        <w:rPr>
          <w:b/>
          <w:spacing w:val="-8"/>
          <w:sz w:val="15"/>
        </w:rPr>
        <w:t>KPI3</w:t>
      </w:r>
      <w:r>
        <w:rPr>
          <w:b/>
          <w:sz w:val="15"/>
        </w:rPr>
        <w:t xml:space="preserve"> </w:t>
      </w:r>
      <w:r>
        <w:rPr>
          <w:b/>
          <w:spacing w:val="-8"/>
          <w:sz w:val="15"/>
        </w:rPr>
        <w:t>KPI4</w:t>
      </w:r>
      <w:r>
        <w:rPr>
          <w:b/>
          <w:sz w:val="15"/>
        </w:rPr>
        <w:t xml:space="preserve"> </w:t>
      </w:r>
      <w:r>
        <w:rPr>
          <w:b/>
          <w:spacing w:val="-8"/>
          <w:sz w:val="15"/>
        </w:rPr>
        <w:t>KPI5</w:t>
      </w:r>
    </w:p>
    <w:p w14:paraId="0A3C839C" w14:textId="77777777" w:rsidR="00AC6F3C" w:rsidRDefault="00570E88">
      <w:pPr>
        <w:tabs>
          <w:tab w:val="left" w:pos="1060"/>
          <w:tab w:val="left" w:pos="2279"/>
        </w:tabs>
        <w:spacing w:before="101"/>
        <w:ind w:left="196"/>
        <w:rPr>
          <w:sz w:val="15"/>
        </w:rPr>
      </w:pPr>
      <w:r>
        <w:br w:type="column"/>
      </w:r>
      <w:r>
        <w:rPr>
          <w:spacing w:val="-4"/>
          <w:sz w:val="15"/>
        </w:rPr>
        <w:t>30-Jun-</w:t>
      </w:r>
      <w:r>
        <w:rPr>
          <w:spacing w:val="-5"/>
          <w:sz w:val="15"/>
        </w:rPr>
        <w:t>23</w:t>
      </w:r>
      <w:r>
        <w:rPr>
          <w:sz w:val="15"/>
        </w:rPr>
        <w:tab/>
      </w:r>
      <w:r>
        <w:rPr>
          <w:spacing w:val="-2"/>
          <w:sz w:val="15"/>
        </w:rPr>
        <w:t>Education</w:t>
      </w:r>
      <w:r>
        <w:rPr>
          <w:sz w:val="15"/>
        </w:rPr>
        <w:tab/>
      </w:r>
      <w:r>
        <w:rPr>
          <w:spacing w:val="-6"/>
          <w:sz w:val="15"/>
        </w:rPr>
        <w:t>11.1.1</w:t>
      </w:r>
      <w:r>
        <w:rPr>
          <w:spacing w:val="11"/>
          <w:sz w:val="15"/>
        </w:rPr>
        <w:t xml:space="preserve"> </w:t>
      </w:r>
      <w:r>
        <w:rPr>
          <w:spacing w:val="-6"/>
          <w:sz w:val="15"/>
        </w:rPr>
        <w:t>Program</w:t>
      </w:r>
      <w:r>
        <w:rPr>
          <w:spacing w:val="-5"/>
          <w:sz w:val="15"/>
        </w:rPr>
        <w:t xml:space="preserve"> </w:t>
      </w:r>
      <w:r>
        <w:rPr>
          <w:spacing w:val="-6"/>
          <w:sz w:val="15"/>
        </w:rPr>
        <w:t>of</w:t>
      </w:r>
    </w:p>
    <w:p w14:paraId="4E919EC9" w14:textId="77777777" w:rsidR="00AC6F3C" w:rsidRDefault="00570E88">
      <w:pPr>
        <w:spacing w:before="7" w:line="249" w:lineRule="auto"/>
        <w:ind w:left="2704" w:right="229"/>
        <w:rPr>
          <w:sz w:val="15"/>
        </w:rPr>
      </w:pPr>
      <w:r>
        <w:rPr>
          <w:spacing w:val="-2"/>
          <w:sz w:val="15"/>
        </w:rPr>
        <w:t>conferences</w:t>
      </w:r>
      <w:r>
        <w:rPr>
          <w:sz w:val="15"/>
        </w:rPr>
        <w:t xml:space="preserve"> delivered</w:t>
      </w:r>
      <w:r>
        <w:rPr>
          <w:spacing w:val="-9"/>
          <w:sz w:val="15"/>
        </w:rPr>
        <w:t xml:space="preserve"> </w:t>
      </w:r>
      <w:r>
        <w:rPr>
          <w:sz w:val="15"/>
        </w:rPr>
        <w:t xml:space="preserve">by </w:t>
      </w:r>
      <w:r>
        <w:rPr>
          <w:spacing w:val="-4"/>
          <w:sz w:val="15"/>
        </w:rPr>
        <w:t>30</w:t>
      </w:r>
      <w:r>
        <w:rPr>
          <w:spacing w:val="-7"/>
          <w:sz w:val="15"/>
        </w:rPr>
        <w:t xml:space="preserve"> </w:t>
      </w:r>
      <w:r>
        <w:rPr>
          <w:spacing w:val="-4"/>
          <w:sz w:val="15"/>
        </w:rPr>
        <w:t>June</w:t>
      </w:r>
      <w:r>
        <w:rPr>
          <w:spacing w:val="-6"/>
          <w:sz w:val="15"/>
        </w:rPr>
        <w:t xml:space="preserve"> </w:t>
      </w:r>
      <w:r>
        <w:rPr>
          <w:spacing w:val="-4"/>
          <w:sz w:val="15"/>
        </w:rPr>
        <w:t>2023</w:t>
      </w:r>
      <w:r>
        <w:rPr>
          <w:sz w:val="15"/>
        </w:rPr>
        <w:t xml:space="preserve"> </w:t>
      </w:r>
      <w:r>
        <w:rPr>
          <w:spacing w:val="-2"/>
          <w:sz w:val="15"/>
        </w:rPr>
        <w:t>and</w:t>
      </w:r>
      <w:r>
        <w:rPr>
          <w:spacing w:val="-9"/>
          <w:sz w:val="15"/>
        </w:rPr>
        <w:t xml:space="preserve"> </w:t>
      </w:r>
      <w:r>
        <w:rPr>
          <w:spacing w:val="-2"/>
          <w:sz w:val="15"/>
        </w:rPr>
        <w:t>report</w:t>
      </w:r>
      <w:r>
        <w:rPr>
          <w:spacing w:val="-8"/>
          <w:sz w:val="15"/>
        </w:rPr>
        <w:t xml:space="preserve"> </w:t>
      </w:r>
      <w:r>
        <w:rPr>
          <w:spacing w:val="-2"/>
          <w:sz w:val="15"/>
        </w:rPr>
        <w:t>on</w:t>
      </w:r>
      <w:r>
        <w:rPr>
          <w:sz w:val="15"/>
        </w:rPr>
        <w:t xml:space="preserve"> </w:t>
      </w:r>
      <w:r>
        <w:rPr>
          <w:spacing w:val="-2"/>
          <w:sz w:val="15"/>
        </w:rPr>
        <w:t>profitability,</w:t>
      </w:r>
    </w:p>
    <w:p w14:paraId="438557D1" w14:textId="77777777" w:rsidR="00AC6F3C" w:rsidRDefault="00570E88">
      <w:pPr>
        <w:spacing w:before="3" w:line="249" w:lineRule="auto"/>
        <w:ind w:left="2704" w:right="-1"/>
        <w:rPr>
          <w:sz w:val="15"/>
        </w:rPr>
      </w:pPr>
      <w:r>
        <w:rPr>
          <w:noProof/>
        </w:rPr>
        <mc:AlternateContent>
          <mc:Choice Requires="wpg">
            <w:drawing>
              <wp:anchor distT="0" distB="0" distL="0" distR="0" simplePos="0" relativeHeight="15747584" behindDoc="0" locked="0" layoutInCell="1" allowOverlap="1" wp14:anchorId="7ABDA28C" wp14:editId="5811DF2D">
                <wp:simplePos x="0" y="0"/>
                <wp:positionH relativeFrom="page">
                  <wp:posOffset>269999</wp:posOffset>
                </wp:positionH>
                <wp:positionV relativeFrom="paragraph">
                  <wp:posOffset>372371</wp:posOffset>
                </wp:positionV>
                <wp:extent cx="10152380" cy="317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24" name="Graphic 124"/>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25" name="Graphic 125"/>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26" name="Graphic 126"/>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27" name="Graphic 127"/>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28" name="Graphic 128"/>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29" name="Graphic 129"/>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30" name="Graphic 130"/>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31" name="Graphic 131"/>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32" name="Graphic 132"/>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33" name="Graphic 133"/>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177F50" id="Group 123" o:spid="_x0000_s1026" style="position:absolute;margin-left:21.25pt;margin-top:29.3pt;width:799.4pt;height:.25pt;z-index:15747584;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">
                <v:shape id="Graphic 124"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" path="m,l575995,e" filled="f" strokeweight=".25pt">
                  <v:path arrowok="t"/>
                </v:shape>
                <v:shape id="Graphic 125"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" path="m,l1386001,e" filled="f" strokeweight=".25pt">
                  <v:path arrowok="t"/>
                </v:shape>
                <v:shape id="Graphic 126"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" path="m,l1845005,e" filled="f" strokeweight=".25pt">
                  <v:path arrowok="t"/>
                </v:shape>
                <v:shape id="Graphic 127"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" path="m,l449999,e" filled="f" strokeweight=".25pt">
                  <v:path arrowok="t"/>
                </v:shape>
                <v:shape id="Graphic 128"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" path="m,l548995,e" filled="f" strokeweight=".25pt">
                  <v:path arrowok="t"/>
                </v:shape>
                <v:shape id="Graphic 129"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" path="m,l774001,e" filled="f" strokeweight=".25pt">
                  <v:path arrowok="t"/>
                </v:shape>
                <v:shape id="Graphic 130"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" path="m,l1143000,e" filled="f" strokeweight=".25pt">
                  <v:path arrowok="t"/>
                </v:shape>
                <v:shape id="Graphic 131"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" path="m,l612000,e" filled="f" strokeweight=".25pt">
                  <v:path arrowok="t"/>
                </v:shape>
                <v:shape id="Graphic 132"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" path="m,l612000,e" filled="f" strokeweight=".25pt">
                  <v:path arrowok="t"/>
                </v:shape>
                <v:shape id="Graphic 133"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" path="m,l2204999,e" filled="f" strokeweight=".25pt">
                  <v:path arrowok="t"/>
                </v:shape>
                <w10:wrap anchorx="page"/>
              </v:group>
            </w:pict>
          </mc:Fallback>
        </mc:AlternateContent>
      </w:r>
      <w:r>
        <w:rPr>
          <w:sz w:val="15"/>
        </w:rPr>
        <w:t>accessibility</w:t>
      </w:r>
      <w:r>
        <w:rPr>
          <w:spacing w:val="-11"/>
          <w:sz w:val="15"/>
        </w:rPr>
        <w:t xml:space="preserve"> </w:t>
      </w:r>
      <w:r>
        <w:rPr>
          <w:sz w:val="15"/>
        </w:rPr>
        <w:t xml:space="preserve">and </w:t>
      </w:r>
      <w:r>
        <w:rPr>
          <w:spacing w:val="-4"/>
          <w:sz w:val="15"/>
        </w:rPr>
        <w:t>attendance</w:t>
      </w:r>
      <w:r>
        <w:rPr>
          <w:spacing w:val="-7"/>
          <w:sz w:val="15"/>
        </w:rPr>
        <w:t xml:space="preserve"> </w:t>
      </w:r>
      <w:r>
        <w:rPr>
          <w:spacing w:val="-4"/>
          <w:sz w:val="15"/>
        </w:rPr>
        <w:t>to</w:t>
      </w:r>
      <w:r>
        <w:rPr>
          <w:spacing w:val="-6"/>
          <w:sz w:val="15"/>
        </w:rPr>
        <w:t xml:space="preserve"> </w:t>
      </w:r>
      <w:r>
        <w:rPr>
          <w:spacing w:val="-4"/>
          <w:sz w:val="15"/>
        </w:rPr>
        <w:t>the</w:t>
      </w:r>
      <w:r>
        <w:rPr>
          <w:sz w:val="15"/>
        </w:rPr>
        <w:t xml:space="preserve"> </w:t>
      </w:r>
      <w:r>
        <w:rPr>
          <w:spacing w:val="-4"/>
          <w:sz w:val="15"/>
        </w:rPr>
        <w:t>CEO</w:t>
      </w:r>
    </w:p>
    <w:p w14:paraId="6D86BBBF" w14:textId="77777777" w:rsidR="00AC6F3C" w:rsidRDefault="00570E88">
      <w:pPr>
        <w:tabs>
          <w:tab w:val="left" w:pos="1159"/>
          <w:tab w:val="left" w:pos="2123"/>
        </w:tabs>
        <w:spacing w:before="91"/>
        <w:ind w:left="196"/>
        <w:rPr>
          <w:sz w:val="15"/>
        </w:rPr>
      </w:pPr>
      <w:r>
        <w:br w:type="column"/>
      </w:r>
      <w:r>
        <w:rPr>
          <w:b/>
          <w:spacing w:val="-2"/>
          <w:sz w:val="15"/>
        </w:rPr>
        <w:t>Green</w:t>
      </w:r>
      <w:r>
        <w:rPr>
          <w:b/>
          <w:sz w:val="15"/>
        </w:rPr>
        <w:tab/>
      </w:r>
      <w:r>
        <w:rPr>
          <w:b/>
          <w:spacing w:val="-2"/>
          <w:position w:val="1"/>
          <w:sz w:val="15"/>
        </w:rPr>
        <w:t>Completed</w:t>
      </w:r>
      <w:r>
        <w:rPr>
          <w:b/>
          <w:position w:val="1"/>
          <w:sz w:val="15"/>
        </w:rPr>
        <w:tab/>
      </w:r>
      <w:r>
        <w:rPr>
          <w:spacing w:val="-6"/>
          <w:position w:val="1"/>
          <w:sz w:val="15"/>
        </w:rPr>
        <w:t>11.1.1</w:t>
      </w:r>
      <w:r>
        <w:rPr>
          <w:spacing w:val="34"/>
          <w:position w:val="1"/>
          <w:sz w:val="15"/>
        </w:rPr>
        <w:t xml:space="preserve"> </w:t>
      </w:r>
      <w:r>
        <w:rPr>
          <w:spacing w:val="-6"/>
          <w:position w:val="1"/>
          <w:sz w:val="15"/>
        </w:rPr>
        <w:t>Completed</w:t>
      </w:r>
      <w:r>
        <w:rPr>
          <w:spacing w:val="-5"/>
          <w:position w:val="1"/>
          <w:sz w:val="15"/>
        </w:rPr>
        <w:t xml:space="preserve"> </w:t>
      </w:r>
      <w:r>
        <w:rPr>
          <w:spacing w:val="-6"/>
          <w:position w:val="1"/>
          <w:sz w:val="15"/>
        </w:rPr>
        <w:t>–</w:t>
      </w:r>
      <w:r>
        <w:rPr>
          <w:spacing w:val="-4"/>
          <w:position w:val="1"/>
          <w:sz w:val="15"/>
        </w:rPr>
        <w:t xml:space="preserve"> </w:t>
      </w:r>
      <w:r>
        <w:rPr>
          <w:spacing w:val="-6"/>
          <w:position w:val="1"/>
          <w:sz w:val="15"/>
        </w:rPr>
        <w:t>program</w:t>
      </w:r>
      <w:r>
        <w:rPr>
          <w:spacing w:val="-5"/>
          <w:position w:val="1"/>
          <w:sz w:val="15"/>
        </w:rPr>
        <w:t xml:space="preserve"> </w:t>
      </w:r>
      <w:r>
        <w:rPr>
          <w:spacing w:val="-6"/>
          <w:position w:val="1"/>
          <w:sz w:val="15"/>
        </w:rPr>
        <w:t>of</w:t>
      </w:r>
      <w:r>
        <w:rPr>
          <w:spacing w:val="-4"/>
          <w:position w:val="1"/>
          <w:sz w:val="15"/>
        </w:rPr>
        <w:t xml:space="preserve"> </w:t>
      </w:r>
      <w:proofErr w:type="gramStart"/>
      <w:r>
        <w:rPr>
          <w:spacing w:val="-6"/>
          <w:position w:val="1"/>
          <w:sz w:val="15"/>
        </w:rPr>
        <w:t>conferences</w:t>
      </w:r>
      <w:proofErr w:type="gramEnd"/>
    </w:p>
    <w:p w14:paraId="64DD91E2" w14:textId="77777777" w:rsidR="00AC6F3C" w:rsidRDefault="00570E88">
      <w:pPr>
        <w:spacing w:before="2" w:line="249" w:lineRule="auto"/>
        <w:ind w:left="2548" w:right="111"/>
        <w:rPr>
          <w:sz w:val="15"/>
        </w:rPr>
      </w:pPr>
      <w:r>
        <w:rPr>
          <w:sz w:val="15"/>
        </w:rPr>
        <w:t>delivered</w:t>
      </w:r>
      <w:r>
        <w:rPr>
          <w:spacing w:val="-4"/>
          <w:sz w:val="15"/>
        </w:rPr>
        <w:t xml:space="preserve"> </w:t>
      </w:r>
      <w:r>
        <w:rPr>
          <w:sz w:val="15"/>
        </w:rPr>
        <w:t>by</w:t>
      </w:r>
      <w:r>
        <w:rPr>
          <w:spacing w:val="-5"/>
          <w:sz w:val="15"/>
        </w:rPr>
        <w:t xml:space="preserve"> </w:t>
      </w:r>
      <w:r>
        <w:rPr>
          <w:sz w:val="15"/>
        </w:rPr>
        <w:t>30</w:t>
      </w:r>
      <w:r>
        <w:rPr>
          <w:spacing w:val="-4"/>
          <w:sz w:val="15"/>
        </w:rPr>
        <w:t xml:space="preserve"> </w:t>
      </w:r>
      <w:r>
        <w:rPr>
          <w:sz w:val="15"/>
        </w:rPr>
        <w:t>June</w:t>
      </w:r>
      <w:r>
        <w:rPr>
          <w:spacing w:val="-5"/>
          <w:sz w:val="15"/>
        </w:rPr>
        <w:t xml:space="preserve"> </w:t>
      </w:r>
      <w:r>
        <w:rPr>
          <w:sz w:val="15"/>
        </w:rPr>
        <w:t>2023</w:t>
      </w:r>
      <w:r>
        <w:rPr>
          <w:spacing w:val="-4"/>
          <w:sz w:val="15"/>
        </w:rPr>
        <w:t xml:space="preserve"> </w:t>
      </w:r>
      <w:r>
        <w:rPr>
          <w:sz w:val="15"/>
        </w:rPr>
        <w:t>and</w:t>
      </w:r>
      <w:r>
        <w:rPr>
          <w:spacing w:val="-5"/>
          <w:sz w:val="15"/>
        </w:rPr>
        <w:t xml:space="preserve"> </w:t>
      </w:r>
      <w:r>
        <w:rPr>
          <w:sz w:val="15"/>
        </w:rPr>
        <w:t>update</w:t>
      </w:r>
      <w:r>
        <w:rPr>
          <w:spacing w:val="-4"/>
          <w:sz w:val="15"/>
        </w:rPr>
        <w:t xml:space="preserve"> </w:t>
      </w:r>
      <w:r>
        <w:rPr>
          <w:sz w:val="15"/>
        </w:rPr>
        <w:t xml:space="preserve">to </w:t>
      </w:r>
      <w:r>
        <w:rPr>
          <w:spacing w:val="-4"/>
          <w:sz w:val="15"/>
        </w:rPr>
        <w:t>CEO on Council on profitability, accessibility</w:t>
      </w:r>
      <w:r>
        <w:rPr>
          <w:sz w:val="15"/>
        </w:rPr>
        <w:t xml:space="preserve"> and</w:t>
      </w:r>
      <w:r>
        <w:rPr>
          <w:spacing w:val="-9"/>
          <w:sz w:val="15"/>
        </w:rPr>
        <w:t xml:space="preserve"> </w:t>
      </w:r>
      <w:proofErr w:type="gramStart"/>
      <w:r>
        <w:rPr>
          <w:sz w:val="15"/>
        </w:rPr>
        <w:t>attendance</w:t>
      </w:r>
      <w:proofErr w:type="gramEnd"/>
    </w:p>
    <w:p w14:paraId="233282EA"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5" w:space="720" w:equalWidth="0">
            <w:col w:w="3107" w:space="40"/>
            <w:col w:w="2800" w:space="48"/>
            <w:col w:w="552" w:space="157"/>
            <w:col w:w="3810" w:space="74"/>
            <w:col w:w="5632"/>
          </w:cols>
        </w:sectPr>
      </w:pPr>
    </w:p>
    <w:p w14:paraId="63D50F7E" w14:textId="77777777" w:rsidR="00AC6F3C" w:rsidRDefault="00570E88">
      <w:pPr>
        <w:spacing w:before="102"/>
        <w:ind w:left="196"/>
        <w:jc w:val="both"/>
        <w:rPr>
          <w:sz w:val="15"/>
        </w:rPr>
      </w:pPr>
      <w:proofErr w:type="gramStart"/>
      <w:r>
        <w:rPr>
          <w:b/>
          <w:sz w:val="15"/>
        </w:rPr>
        <w:t>Educate</w:t>
      </w:r>
      <w:r>
        <w:rPr>
          <w:b/>
          <w:spacing w:val="79"/>
          <w:w w:val="150"/>
          <w:sz w:val="15"/>
        </w:rPr>
        <w:t xml:space="preserve">  </w:t>
      </w:r>
      <w:r>
        <w:rPr>
          <w:sz w:val="15"/>
        </w:rPr>
        <w:t>12</w:t>
      </w:r>
      <w:proofErr w:type="gramEnd"/>
      <w:r>
        <w:rPr>
          <w:sz w:val="15"/>
        </w:rPr>
        <w:t>.</w:t>
      </w:r>
      <w:r>
        <w:rPr>
          <w:spacing w:val="31"/>
          <w:sz w:val="15"/>
        </w:rPr>
        <w:t xml:space="preserve"> </w:t>
      </w:r>
      <w:r>
        <w:rPr>
          <w:sz w:val="15"/>
        </w:rPr>
        <w:t>Create</w:t>
      </w:r>
      <w:r>
        <w:rPr>
          <w:spacing w:val="-10"/>
          <w:sz w:val="15"/>
        </w:rPr>
        <w:t xml:space="preserve"> </w:t>
      </w:r>
      <w:r>
        <w:rPr>
          <w:sz w:val="15"/>
        </w:rPr>
        <w:t>a</w:t>
      </w:r>
      <w:r>
        <w:rPr>
          <w:spacing w:val="-10"/>
          <w:sz w:val="15"/>
        </w:rPr>
        <w:t xml:space="preserve"> </w:t>
      </w:r>
      <w:r>
        <w:rPr>
          <w:sz w:val="15"/>
        </w:rPr>
        <w:t>suite</w:t>
      </w:r>
      <w:r>
        <w:rPr>
          <w:spacing w:val="-11"/>
          <w:sz w:val="15"/>
        </w:rPr>
        <w:t xml:space="preserve"> </w:t>
      </w:r>
      <w:r>
        <w:rPr>
          <w:sz w:val="15"/>
        </w:rPr>
        <w:t>of</w:t>
      </w:r>
      <w:r>
        <w:rPr>
          <w:spacing w:val="-10"/>
          <w:sz w:val="15"/>
        </w:rPr>
        <w:t xml:space="preserve"> </w:t>
      </w:r>
      <w:proofErr w:type="gramStart"/>
      <w:r>
        <w:rPr>
          <w:spacing w:val="-4"/>
          <w:sz w:val="15"/>
        </w:rPr>
        <w:t>resources</w:t>
      </w:r>
      <w:proofErr w:type="gramEnd"/>
    </w:p>
    <w:p w14:paraId="7FC02F5C" w14:textId="77777777" w:rsidR="00AC6F3C" w:rsidRDefault="00570E88">
      <w:pPr>
        <w:spacing w:before="7"/>
        <w:ind w:left="1386"/>
        <w:jc w:val="both"/>
        <w:rPr>
          <w:sz w:val="15"/>
        </w:rPr>
      </w:pPr>
      <w:r>
        <w:rPr>
          <w:spacing w:val="-4"/>
          <w:sz w:val="15"/>
        </w:rPr>
        <w:t>and</w:t>
      </w:r>
      <w:r>
        <w:rPr>
          <w:spacing w:val="-6"/>
          <w:sz w:val="15"/>
        </w:rPr>
        <w:t xml:space="preserve"> </w:t>
      </w:r>
      <w:r>
        <w:rPr>
          <w:spacing w:val="-2"/>
          <w:sz w:val="15"/>
        </w:rPr>
        <w:t>professional</w:t>
      </w:r>
    </w:p>
    <w:p w14:paraId="0AE5CD6B" w14:textId="77777777" w:rsidR="00AC6F3C" w:rsidRDefault="00570E88">
      <w:pPr>
        <w:spacing w:before="8"/>
        <w:ind w:left="1386"/>
        <w:jc w:val="both"/>
        <w:rPr>
          <w:sz w:val="15"/>
        </w:rPr>
      </w:pPr>
      <w:r>
        <w:rPr>
          <w:spacing w:val="-5"/>
          <w:sz w:val="15"/>
        </w:rPr>
        <w:t>development</w:t>
      </w:r>
      <w:r>
        <w:rPr>
          <w:spacing w:val="2"/>
          <w:sz w:val="15"/>
        </w:rPr>
        <w:t xml:space="preserve"> </w:t>
      </w:r>
      <w:r>
        <w:rPr>
          <w:spacing w:val="-4"/>
          <w:sz w:val="15"/>
        </w:rPr>
        <w:t>for:</w:t>
      </w:r>
    </w:p>
    <w:p w14:paraId="2D06320D" w14:textId="77777777" w:rsidR="00AC6F3C" w:rsidRDefault="00570E88">
      <w:pPr>
        <w:pStyle w:val="ListParagraph"/>
        <w:numPr>
          <w:ilvl w:val="0"/>
          <w:numId w:val="71"/>
        </w:numPr>
        <w:tabs>
          <w:tab w:val="left" w:pos="1528"/>
        </w:tabs>
        <w:spacing w:before="50" w:line="249" w:lineRule="auto"/>
        <w:ind w:right="283"/>
        <w:jc w:val="both"/>
        <w:rPr>
          <w:sz w:val="15"/>
        </w:rPr>
      </w:pPr>
      <w:r>
        <w:rPr>
          <w:spacing w:val="-6"/>
          <w:sz w:val="15"/>
        </w:rPr>
        <w:t>Family</w:t>
      </w:r>
      <w:r>
        <w:rPr>
          <w:spacing w:val="-5"/>
          <w:sz w:val="15"/>
        </w:rPr>
        <w:t xml:space="preserve"> </w:t>
      </w:r>
      <w:r>
        <w:rPr>
          <w:spacing w:val="-6"/>
          <w:sz w:val="15"/>
        </w:rPr>
        <w:t>and</w:t>
      </w:r>
      <w:r>
        <w:rPr>
          <w:spacing w:val="-4"/>
          <w:sz w:val="15"/>
        </w:rPr>
        <w:t xml:space="preserve"> </w:t>
      </w:r>
      <w:r>
        <w:rPr>
          <w:spacing w:val="-6"/>
          <w:sz w:val="15"/>
        </w:rPr>
        <w:t>domestic</w:t>
      </w:r>
      <w:r>
        <w:rPr>
          <w:sz w:val="15"/>
        </w:rPr>
        <w:t xml:space="preserve"> </w:t>
      </w:r>
      <w:r>
        <w:rPr>
          <w:spacing w:val="-4"/>
          <w:sz w:val="15"/>
        </w:rPr>
        <w:t>violence</w:t>
      </w:r>
      <w:r>
        <w:rPr>
          <w:spacing w:val="-7"/>
          <w:sz w:val="15"/>
        </w:rPr>
        <w:t xml:space="preserve"> </w:t>
      </w:r>
      <w:r>
        <w:rPr>
          <w:spacing w:val="-4"/>
          <w:sz w:val="15"/>
        </w:rPr>
        <w:t>and</w:t>
      </w:r>
      <w:r>
        <w:rPr>
          <w:spacing w:val="-6"/>
          <w:sz w:val="15"/>
        </w:rPr>
        <w:t xml:space="preserve"> </w:t>
      </w:r>
      <w:r>
        <w:rPr>
          <w:spacing w:val="-4"/>
          <w:sz w:val="15"/>
        </w:rPr>
        <w:t>trauma</w:t>
      </w:r>
      <w:r>
        <w:rPr>
          <w:sz w:val="15"/>
        </w:rPr>
        <w:t xml:space="preserve"> informed</w:t>
      </w:r>
      <w:r>
        <w:rPr>
          <w:spacing w:val="-11"/>
          <w:sz w:val="15"/>
        </w:rPr>
        <w:t xml:space="preserve"> </w:t>
      </w:r>
      <w:r>
        <w:rPr>
          <w:sz w:val="15"/>
        </w:rPr>
        <w:t>practice</w:t>
      </w:r>
    </w:p>
    <w:p w14:paraId="61BAEEB1" w14:textId="77777777" w:rsidR="00AC6F3C" w:rsidRDefault="00570E88">
      <w:pPr>
        <w:pStyle w:val="ListParagraph"/>
        <w:numPr>
          <w:ilvl w:val="0"/>
          <w:numId w:val="71"/>
        </w:numPr>
        <w:tabs>
          <w:tab w:val="left" w:pos="1527"/>
        </w:tabs>
        <w:spacing w:before="44"/>
        <w:ind w:left="1527" w:hanging="141"/>
        <w:jc w:val="both"/>
        <w:rPr>
          <w:sz w:val="15"/>
        </w:rPr>
      </w:pPr>
      <w:r>
        <w:rPr>
          <w:spacing w:val="-6"/>
          <w:sz w:val="15"/>
        </w:rPr>
        <w:t>Career</w:t>
      </w:r>
      <w:r>
        <w:rPr>
          <w:spacing w:val="-1"/>
          <w:sz w:val="15"/>
        </w:rPr>
        <w:t xml:space="preserve"> </w:t>
      </w:r>
      <w:r>
        <w:rPr>
          <w:spacing w:val="-2"/>
          <w:sz w:val="15"/>
        </w:rPr>
        <w:t>transition</w:t>
      </w:r>
    </w:p>
    <w:p w14:paraId="5B63F190" w14:textId="77777777" w:rsidR="00AC6F3C" w:rsidRDefault="00570E88">
      <w:pPr>
        <w:pStyle w:val="ListParagraph"/>
        <w:numPr>
          <w:ilvl w:val="0"/>
          <w:numId w:val="71"/>
        </w:numPr>
        <w:tabs>
          <w:tab w:val="left" w:pos="1527"/>
        </w:tabs>
        <w:spacing w:before="50"/>
        <w:ind w:left="1527" w:hanging="141"/>
        <w:jc w:val="both"/>
        <w:rPr>
          <w:sz w:val="15"/>
        </w:rPr>
      </w:pPr>
      <w:r>
        <w:rPr>
          <w:spacing w:val="-6"/>
          <w:sz w:val="15"/>
        </w:rPr>
        <w:t>Natural</w:t>
      </w:r>
      <w:r>
        <w:rPr>
          <w:spacing w:val="1"/>
          <w:sz w:val="15"/>
        </w:rPr>
        <w:t xml:space="preserve"> </w:t>
      </w:r>
      <w:r>
        <w:rPr>
          <w:spacing w:val="-6"/>
          <w:sz w:val="15"/>
        </w:rPr>
        <w:t>disaster</w:t>
      </w:r>
      <w:r>
        <w:rPr>
          <w:spacing w:val="1"/>
          <w:sz w:val="15"/>
        </w:rPr>
        <w:t xml:space="preserve"> </w:t>
      </w:r>
      <w:r>
        <w:rPr>
          <w:spacing w:val="-6"/>
          <w:sz w:val="15"/>
        </w:rPr>
        <w:t>and</w:t>
      </w:r>
    </w:p>
    <w:p w14:paraId="2437056B" w14:textId="77777777" w:rsidR="00AC6F3C" w:rsidRDefault="00570E88">
      <w:pPr>
        <w:spacing w:before="7"/>
        <w:ind w:left="1528"/>
        <w:jc w:val="both"/>
        <w:rPr>
          <w:sz w:val="15"/>
        </w:rPr>
      </w:pPr>
      <w:r>
        <w:rPr>
          <w:spacing w:val="-7"/>
          <w:sz w:val="15"/>
        </w:rPr>
        <w:t>pandemic</w:t>
      </w:r>
      <w:r>
        <w:rPr>
          <w:spacing w:val="4"/>
          <w:sz w:val="15"/>
        </w:rPr>
        <w:t xml:space="preserve"> </w:t>
      </w:r>
      <w:r>
        <w:rPr>
          <w:spacing w:val="-2"/>
          <w:sz w:val="15"/>
        </w:rPr>
        <w:t>recovery</w:t>
      </w:r>
    </w:p>
    <w:p w14:paraId="6DD7A71F" w14:textId="77777777" w:rsidR="00AC6F3C" w:rsidRDefault="00570E88">
      <w:pPr>
        <w:pStyle w:val="ListParagraph"/>
        <w:numPr>
          <w:ilvl w:val="2"/>
          <w:numId w:val="70"/>
        </w:numPr>
        <w:tabs>
          <w:tab w:val="left" w:pos="573"/>
          <w:tab w:val="left" w:pos="578"/>
        </w:tabs>
        <w:spacing w:before="101" w:line="249" w:lineRule="auto"/>
        <w:ind w:right="229"/>
        <w:rPr>
          <w:sz w:val="15"/>
        </w:rPr>
      </w:pPr>
      <w:r>
        <w:br w:type="column"/>
      </w:r>
      <w:r>
        <w:rPr>
          <w:spacing w:val="-4"/>
          <w:sz w:val="15"/>
        </w:rPr>
        <w:t>Resources</w:t>
      </w:r>
      <w:r>
        <w:rPr>
          <w:spacing w:val="-7"/>
          <w:sz w:val="15"/>
        </w:rPr>
        <w:t xml:space="preserve"> </w:t>
      </w:r>
      <w:proofErr w:type="gramStart"/>
      <w:r>
        <w:rPr>
          <w:spacing w:val="-4"/>
          <w:sz w:val="15"/>
        </w:rPr>
        <w:t>are</w:t>
      </w:r>
      <w:r>
        <w:rPr>
          <w:spacing w:val="-6"/>
          <w:sz w:val="15"/>
        </w:rPr>
        <w:t xml:space="preserve"> </w:t>
      </w:r>
      <w:r>
        <w:rPr>
          <w:spacing w:val="-4"/>
          <w:sz w:val="15"/>
        </w:rPr>
        <w:t>published</w:t>
      </w:r>
      <w:proofErr w:type="gramEnd"/>
      <w:r>
        <w:rPr>
          <w:spacing w:val="-7"/>
          <w:sz w:val="15"/>
        </w:rPr>
        <w:t xml:space="preserve"> </w:t>
      </w:r>
      <w:r>
        <w:rPr>
          <w:spacing w:val="-4"/>
          <w:sz w:val="15"/>
        </w:rPr>
        <w:t>on</w:t>
      </w:r>
      <w:r>
        <w:rPr>
          <w:spacing w:val="-6"/>
          <w:sz w:val="15"/>
        </w:rPr>
        <w:t xml:space="preserve"> </w:t>
      </w:r>
      <w:r>
        <w:rPr>
          <w:spacing w:val="-4"/>
          <w:sz w:val="15"/>
        </w:rPr>
        <w:t>the</w:t>
      </w:r>
      <w:r>
        <w:rPr>
          <w:sz w:val="15"/>
        </w:rPr>
        <w:t xml:space="preserve"> website</w:t>
      </w:r>
      <w:r>
        <w:rPr>
          <w:spacing w:val="-9"/>
          <w:sz w:val="15"/>
        </w:rPr>
        <w:t xml:space="preserve"> </w:t>
      </w:r>
      <w:r>
        <w:rPr>
          <w:sz w:val="15"/>
        </w:rPr>
        <w:t>on:</w:t>
      </w:r>
    </w:p>
    <w:p w14:paraId="05333485" w14:textId="77777777" w:rsidR="00AC6F3C" w:rsidRDefault="00570E88">
      <w:pPr>
        <w:pStyle w:val="ListParagraph"/>
        <w:numPr>
          <w:ilvl w:val="3"/>
          <w:numId w:val="70"/>
        </w:numPr>
        <w:tabs>
          <w:tab w:val="left" w:pos="719"/>
        </w:tabs>
        <w:spacing w:before="44"/>
        <w:ind w:left="719" w:hanging="141"/>
        <w:rPr>
          <w:sz w:val="15"/>
        </w:rPr>
      </w:pPr>
      <w:r>
        <w:rPr>
          <w:spacing w:val="-6"/>
          <w:sz w:val="15"/>
        </w:rPr>
        <w:t>Career</w:t>
      </w:r>
      <w:r>
        <w:rPr>
          <w:spacing w:val="-1"/>
          <w:sz w:val="15"/>
        </w:rPr>
        <w:t xml:space="preserve"> </w:t>
      </w:r>
      <w:proofErr w:type="gramStart"/>
      <w:r>
        <w:rPr>
          <w:spacing w:val="-2"/>
          <w:sz w:val="15"/>
        </w:rPr>
        <w:t>transition;</w:t>
      </w:r>
      <w:proofErr w:type="gramEnd"/>
    </w:p>
    <w:p w14:paraId="1872874B" w14:textId="77777777" w:rsidR="00AC6F3C" w:rsidRDefault="00570E88">
      <w:pPr>
        <w:pStyle w:val="ListParagraph"/>
        <w:numPr>
          <w:ilvl w:val="3"/>
          <w:numId w:val="70"/>
        </w:numPr>
        <w:tabs>
          <w:tab w:val="left" w:pos="719"/>
        </w:tabs>
        <w:spacing w:before="50"/>
        <w:ind w:left="719" w:hanging="141"/>
        <w:rPr>
          <w:sz w:val="15"/>
        </w:rPr>
      </w:pPr>
      <w:r>
        <w:rPr>
          <w:spacing w:val="-6"/>
          <w:sz w:val="15"/>
        </w:rPr>
        <w:t>Family</w:t>
      </w:r>
      <w:r>
        <w:rPr>
          <w:spacing w:val="-1"/>
          <w:sz w:val="15"/>
        </w:rPr>
        <w:t xml:space="preserve"> </w:t>
      </w:r>
      <w:r>
        <w:rPr>
          <w:spacing w:val="-6"/>
          <w:sz w:val="15"/>
        </w:rPr>
        <w:t>and</w:t>
      </w:r>
      <w:r>
        <w:rPr>
          <w:spacing w:val="-1"/>
          <w:sz w:val="15"/>
        </w:rPr>
        <w:t xml:space="preserve"> </w:t>
      </w:r>
      <w:r>
        <w:rPr>
          <w:spacing w:val="-6"/>
          <w:sz w:val="15"/>
        </w:rPr>
        <w:t>domestic</w:t>
      </w:r>
      <w:r>
        <w:rPr>
          <w:spacing w:val="-1"/>
          <w:sz w:val="15"/>
        </w:rPr>
        <w:t xml:space="preserve"> </w:t>
      </w:r>
      <w:r>
        <w:rPr>
          <w:spacing w:val="-6"/>
          <w:sz w:val="15"/>
        </w:rPr>
        <w:t>violence</w:t>
      </w:r>
      <w:r>
        <w:rPr>
          <w:spacing w:val="-1"/>
          <w:sz w:val="15"/>
        </w:rPr>
        <w:t xml:space="preserve"> </w:t>
      </w:r>
      <w:r>
        <w:rPr>
          <w:spacing w:val="-6"/>
          <w:sz w:val="15"/>
        </w:rPr>
        <w:t>and</w:t>
      </w:r>
    </w:p>
    <w:p w14:paraId="7CBD0BD4" w14:textId="77777777" w:rsidR="00AC6F3C" w:rsidRDefault="00570E88">
      <w:pPr>
        <w:spacing w:before="8"/>
        <w:ind w:left="720"/>
        <w:rPr>
          <w:sz w:val="15"/>
        </w:rPr>
      </w:pPr>
      <w:r>
        <w:rPr>
          <w:spacing w:val="-6"/>
          <w:sz w:val="15"/>
        </w:rPr>
        <w:t>trauma</w:t>
      </w:r>
      <w:r>
        <w:rPr>
          <w:sz w:val="15"/>
        </w:rPr>
        <w:t xml:space="preserve"> </w:t>
      </w:r>
      <w:r>
        <w:rPr>
          <w:spacing w:val="-6"/>
          <w:sz w:val="15"/>
        </w:rPr>
        <w:t>informed</w:t>
      </w:r>
      <w:r>
        <w:rPr>
          <w:sz w:val="15"/>
        </w:rPr>
        <w:t xml:space="preserve"> </w:t>
      </w:r>
      <w:proofErr w:type="gramStart"/>
      <w:r>
        <w:rPr>
          <w:spacing w:val="-6"/>
          <w:sz w:val="15"/>
        </w:rPr>
        <w:t>practice;</w:t>
      </w:r>
      <w:proofErr w:type="gramEnd"/>
    </w:p>
    <w:p w14:paraId="7B7BBE12" w14:textId="77777777" w:rsidR="00AC6F3C" w:rsidRDefault="00570E88">
      <w:pPr>
        <w:pStyle w:val="ListParagraph"/>
        <w:numPr>
          <w:ilvl w:val="3"/>
          <w:numId w:val="70"/>
        </w:numPr>
        <w:tabs>
          <w:tab w:val="left" w:pos="719"/>
        </w:tabs>
        <w:spacing w:before="50"/>
        <w:ind w:left="719" w:hanging="141"/>
        <w:rPr>
          <w:sz w:val="15"/>
        </w:rPr>
      </w:pPr>
      <w:r>
        <w:rPr>
          <w:spacing w:val="-6"/>
          <w:sz w:val="15"/>
        </w:rPr>
        <w:t>Natural</w:t>
      </w:r>
      <w:r>
        <w:rPr>
          <w:spacing w:val="-1"/>
          <w:sz w:val="15"/>
        </w:rPr>
        <w:t xml:space="preserve"> </w:t>
      </w:r>
      <w:r>
        <w:rPr>
          <w:spacing w:val="-6"/>
          <w:sz w:val="15"/>
        </w:rPr>
        <w:t>disaster</w:t>
      </w:r>
      <w:r>
        <w:rPr>
          <w:spacing w:val="-1"/>
          <w:sz w:val="15"/>
        </w:rPr>
        <w:t xml:space="preserve"> </w:t>
      </w:r>
      <w:r>
        <w:rPr>
          <w:spacing w:val="-6"/>
          <w:sz w:val="15"/>
        </w:rPr>
        <w:t>and</w:t>
      </w:r>
      <w:r>
        <w:rPr>
          <w:spacing w:val="-1"/>
          <w:sz w:val="15"/>
        </w:rPr>
        <w:t xml:space="preserve"> </w:t>
      </w:r>
      <w:r>
        <w:rPr>
          <w:spacing w:val="-6"/>
          <w:sz w:val="15"/>
        </w:rPr>
        <w:t>pandemic</w:t>
      </w:r>
    </w:p>
    <w:p w14:paraId="5537B4B2" w14:textId="77777777" w:rsidR="00AC6F3C" w:rsidRDefault="00570E88">
      <w:pPr>
        <w:spacing w:before="7"/>
        <w:ind w:left="720"/>
        <w:rPr>
          <w:sz w:val="15"/>
        </w:rPr>
      </w:pPr>
      <w:r>
        <w:rPr>
          <w:spacing w:val="-2"/>
          <w:sz w:val="15"/>
        </w:rPr>
        <w:t>recovery</w:t>
      </w:r>
    </w:p>
    <w:p w14:paraId="551BE9C1" w14:textId="77777777" w:rsidR="00AC6F3C" w:rsidRDefault="00570E88">
      <w:pPr>
        <w:pStyle w:val="ListParagraph"/>
        <w:numPr>
          <w:ilvl w:val="2"/>
          <w:numId w:val="70"/>
        </w:numPr>
        <w:tabs>
          <w:tab w:val="left" w:pos="573"/>
          <w:tab w:val="left" w:pos="578"/>
        </w:tabs>
        <w:spacing w:before="50" w:line="249" w:lineRule="auto"/>
        <w:ind w:right="15"/>
        <w:rPr>
          <w:sz w:val="15"/>
        </w:rPr>
      </w:pPr>
      <w:r>
        <w:rPr>
          <w:spacing w:val="-4"/>
          <w:sz w:val="15"/>
        </w:rPr>
        <w:t>A</w:t>
      </w:r>
      <w:r>
        <w:rPr>
          <w:spacing w:val="-7"/>
          <w:sz w:val="15"/>
        </w:rPr>
        <w:t xml:space="preserve"> </w:t>
      </w:r>
      <w:r>
        <w:rPr>
          <w:spacing w:val="-4"/>
          <w:sz w:val="15"/>
        </w:rPr>
        <w:t>competency</w:t>
      </w:r>
      <w:r>
        <w:rPr>
          <w:spacing w:val="-6"/>
          <w:sz w:val="15"/>
        </w:rPr>
        <w:t xml:space="preserve"> </w:t>
      </w:r>
      <w:r>
        <w:rPr>
          <w:spacing w:val="-4"/>
          <w:sz w:val="15"/>
        </w:rPr>
        <w:t>framework</w:t>
      </w:r>
      <w:r>
        <w:rPr>
          <w:spacing w:val="-7"/>
          <w:sz w:val="15"/>
        </w:rPr>
        <w:t xml:space="preserve"> </w:t>
      </w:r>
      <w:r>
        <w:rPr>
          <w:spacing w:val="-4"/>
          <w:sz w:val="15"/>
        </w:rPr>
        <w:t>and</w:t>
      </w:r>
      <w:r>
        <w:rPr>
          <w:spacing w:val="-6"/>
          <w:sz w:val="15"/>
        </w:rPr>
        <w:t xml:space="preserve"> </w:t>
      </w:r>
      <w:r>
        <w:rPr>
          <w:spacing w:val="-4"/>
          <w:sz w:val="15"/>
        </w:rPr>
        <w:t>CPD</w:t>
      </w:r>
      <w:r>
        <w:rPr>
          <w:sz w:val="15"/>
        </w:rPr>
        <w:t xml:space="preserve"> syllabus for domestic and family violence and trauma-informed practice is developed and an investigation of incorporating a mandatory CPD component for </w:t>
      </w:r>
      <w:r>
        <w:rPr>
          <w:sz w:val="15"/>
        </w:rPr>
        <w:t>junior practiti</w:t>
      </w:r>
      <w:r>
        <w:rPr>
          <w:sz w:val="15"/>
        </w:rPr>
        <w:t xml:space="preserve">oners is </w:t>
      </w:r>
      <w:proofErr w:type="gramStart"/>
      <w:r>
        <w:rPr>
          <w:sz w:val="15"/>
        </w:rPr>
        <w:t>undertaken</w:t>
      </w:r>
      <w:proofErr w:type="gramEnd"/>
    </w:p>
    <w:p w14:paraId="2AE369D4" w14:textId="77777777" w:rsidR="00AC6F3C" w:rsidRDefault="00570E88">
      <w:pPr>
        <w:spacing w:before="101" w:line="501" w:lineRule="auto"/>
        <w:ind w:left="196" w:right="38"/>
        <w:jc w:val="both"/>
        <w:rPr>
          <w:b/>
          <w:sz w:val="15"/>
        </w:rPr>
      </w:pPr>
      <w:r>
        <w:br w:type="column"/>
      </w:r>
      <w:r>
        <w:rPr>
          <w:b/>
          <w:spacing w:val="-8"/>
          <w:sz w:val="15"/>
        </w:rPr>
        <w:t>KPI3</w:t>
      </w:r>
      <w:r>
        <w:rPr>
          <w:b/>
          <w:sz w:val="15"/>
        </w:rPr>
        <w:t xml:space="preserve"> </w:t>
      </w:r>
      <w:r>
        <w:rPr>
          <w:b/>
          <w:spacing w:val="-8"/>
          <w:sz w:val="15"/>
        </w:rPr>
        <w:t>KPI4</w:t>
      </w:r>
      <w:r>
        <w:rPr>
          <w:b/>
          <w:sz w:val="15"/>
        </w:rPr>
        <w:t xml:space="preserve"> </w:t>
      </w:r>
      <w:r>
        <w:rPr>
          <w:b/>
          <w:spacing w:val="-8"/>
          <w:sz w:val="15"/>
        </w:rPr>
        <w:t>KPI5</w:t>
      </w:r>
    </w:p>
    <w:p w14:paraId="715FC640" w14:textId="77777777" w:rsidR="00AC6F3C" w:rsidRDefault="00570E88">
      <w:pPr>
        <w:tabs>
          <w:tab w:val="left" w:pos="1060"/>
        </w:tabs>
        <w:spacing w:before="101"/>
        <w:ind w:left="196"/>
        <w:rPr>
          <w:sz w:val="15"/>
        </w:rPr>
      </w:pPr>
      <w:r>
        <w:br w:type="column"/>
      </w:r>
      <w:r>
        <w:rPr>
          <w:spacing w:val="-4"/>
          <w:sz w:val="15"/>
        </w:rPr>
        <w:t>30-Jun-</w:t>
      </w:r>
      <w:r>
        <w:rPr>
          <w:spacing w:val="-5"/>
          <w:sz w:val="15"/>
        </w:rPr>
        <w:t>23</w:t>
      </w:r>
      <w:r>
        <w:rPr>
          <w:sz w:val="15"/>
        </w:rPr>
        <w:tab/>
      </w:r>
      <w:r>
        <w:rPr>
          <w:spacing w:val="-6"/>
          <w:sz w:val="15"/>
        </w:rPr>
        <w:t>For</w:t>
      </w:r>
      <w:r>
        <w:rPr>
          <w:spacing w:val="-7"/>
          <w:sz w:val="15"/>
        </w:rPr>
        <w:t xml:space="preserve"> </w:t>
      </w:r>
      <w:r>
        <w:rPr>
          <w:spacing w:val="-2"/>
          <w:sz w:val="15"/>
        </w:rPr>
        <w:t>12.1.1.</w:t>
      </w:r>
    </w:p>
    <w:p w14:paraId="02457619" w14:textId="77777777" w:rsidR="00AC6F3C" w:rsidRDefault="00570E88">
      <w:pPr>
        <w:spacing w:before="8"/>
        <w:ind w:left="1060"/>
        <w:rPr>
          <w:sz w:val="15"/>
        </w:rPr>
      </w:pPr>
      <w:r>
        <w:rPr>
          <w:spacing w:val="-7"/>
          <w:sz w:val="15"/>
        </w:rPr>
        <w:t>Advocacy</w:t>
      </w:r>
      <w:r>
        <w:rPr>
          <w:spacing w:val="5"/>
          <w:sz w:val="15"/>
        </w:rPr>
        <w:t xml:space="preserve"> </w:t>
      </w:r>
      <w:r>
        <w:rPr>
          <w:spacing w:val="-5"/>
          <w:sz w:val="15"/>
        </w:rPr>
        <w:t>a</w:t>
      </w:r>
      <w:r>
        <w:rPr>
          <w:spacing w:val="-5"/>
          <w:sz w:val="15"/>
        </w:rPr>
        <w:t>nd</w:t>
      </w:r>
    </w:p>
    <w:p w14:paraId="3DD03F79" w14:textId="77777777" w:rsidR="00AC6F3C" w:rsidRDefault="00570E88">
      <w:pPr>
        <w:spacing w:before="7"/>
        <w:ind w:left="1060"/>
        <w:rPr>
          <w:sz w:val="15"/>
        </w:rPr>
      </w:pPr>
      <w:r>
        <w:rPr>
          <w:spacing w:val="-2"/>
          <w:sz w:val="15"/>
        </w:rPr>
        <w:t>Ethics</w:t>
      </w:r>
    </w:p>
    <w:p w14:paraId="791FED1B" w14:textId="77777777" w:rsidR="00AC6F3C" w:rsidRDefault="00AC6F3C">
      <w:pPr>
        <w:pStyle w:val="BodyText"/>
        <w:spacing w:before="3"/>
        <w:rPr>
          <w:sz w:val="16"/>
        </w:rPr>
      </w:pPr>
    </w:p>
    <w:p w14:paraId="58D82815" w14:textId="77777777" w:rsidR="00AC6F3C" w:rsidRDefault="00570E88">
      <w:pPr>
        <w:spacing w:before="1"/>
        <w:ind w:left="1060"/>
        <w:rPr>
          <w:sz w:val="15"/>
        </w:rPr>
      </w:pPr>
      <w:r>
        <w:rPr>
          <w:spacing w:val="-6"/>
          <w:sz w:val="15"/>
        </w:rPr>
        <w:t>For</w:t>
      </w:r>
      <w:r>
        <w:rPr>
          <w:spacing w:val="-7"/>
          <w:sz w:val="15"/>
        </w:rPr>
        <w:t xml:space="preserve"> </w:t>
      </w:r>
      <w:r>
        <w:rPr>
          <w:spacing w:val="-2"/>
          <w:sz w:val="15"/>
        </w:rPr>
        <w:t>12.</w:t>
      </w:r>
      <w:r>
        <w:rPr>
          <w:spacing w:val="-2"/>
          <w:sz w:val="15"/>
        </w:rPr>
        <w:t>1.2</w:t>
      </w:r>
    </w:p>
    <w:p w14:paraId="77869075" w14:textId="77777777" w:rsidR="00AC6F3C" w:rsidRDefault="00570E88">
      <w:pPr>
        <w:spacing w:before="7"/>
        <w:ind w:left="1060"/>
        <w:rPr>
          <w:sz w:val="15"/>
        </w:rPr>
      </w:pPr>
      <w:r>
        <w:rPr>
          <w:spacing w:val="-2"/>
          <w:sz w:val="15"/>
        </w:rPr>
        <w:t>Education</w:t>
      </w:r>
    </w:p>
    <w:p w14:paraId="0060C8C0" w14:textId="77777777" w:rsidR="00AC6F3C" w:rsidRDefault="00570E88">
      <w:pPr>
        <w:pStyle w:val="ListParagraph"/>
        <w:numPr>
          <w:ilvl w:val="2"/>
          <w:numId w:val="69"/>
        </w:numPr>
        <w:tabs>
          <w:tab w:val="left" w:pos="617"/>
        </w:tabs>
        <w:spacing w:before="101"/>
        <w:ind w:left="617" w:hanging="421"/>
        <w:rPr>
          <w:sz w:val="15"/>
        </w:rPr>
      </w:pPr>
      <w:r>
        <w:br w:type="column"/>
      </w:r>
      <w:r>
        <w:rPr>
          <w:spacing w:val="-2"/>
          <w:sz w:val="15"/>
        </w:rPr>
        <w:lastRenderedPageBreak/>
        <w:t>Resources</w:t>
      </w:r>
    </w:p>
    <w:p w14:paraId="1C022520" w14:textId="77777777" w:rsidR="00AC6F3C" w:rsidRDefault="00570E88">
      <w:pPr>
        <w:spacing w:before="8" w:line="249" w:lineRule="auto"/>
        <w:ind w:left="621" w:right="123"/>
        <w:rPr>
          <w:sz w:val="15"/>
        </w:rPr>
      </w:pPr>
      <w:r>
        <w:rPr>
          <w:spacing w:val="-4"/>
          <w:sz w:val="15"/>
        </w:rPr>
        <w:t>published</w:t>
      </w:r>
      <w:r>
        <w:rPr>
          <w:spacing w:val="-7"/>
          <w:sz w:val="15"/>
        </w:rPr>
        <w:t xml:space="preserve"> </w:t>
      </w:r>
      <w:r>
        <w:rPr>
          <w:spacing w:val="-4"/>
          <w:sz w:val="15"/>
        </w:rPr>
        <w:t>on</w:t>
      </w:r>
      <w:r>
        <w:rPr>
          <w:spacing w:val="-6"/>
          <w:sz w:val="15"/>
        </w:rPr>
        <w:t xml:space="preserve"> </w:t>
      </w:r>
      <w:r>
        <w:rPr>
          <w:spacing w:val="-4"/>
          <w:sz w:val="15"/>
        </w:rPr>
        <w:t>the</w:t>
      </w:r>
      <w:r>
        <w:rPr>
          <w:sz w:val="15"/>
        </w:rPr>
        <w:t xml:space="preserve"> </w:t>
      </w:r>
      <w:proofErr w:type="gramStart"/>
      <w:r>
        <w:rPr>
          <w:spacing w:val="-2"/>
          <w:sz w:val="15"/>
        </w:rPr>
        <w:t>website</w:t>
      </w:r>
      <w:proofErr w:type="gramEnd"/>
    </w:p>
    <w:p w14:paraId="1956F905" w14:textId="77777777" w:rsidR="00AC6F3C" w:rsidRDefault="00570E88">
      <w:pPr>
        <w:pStyle w:val="ListParagraph"/>
        <w:numPr>
          <w:ilvl w:val="2"/>
          <w:numId w:val="69"/>
        </w:numPr>
        <w:tabs>
          <w:tab w:val="left" w:pos="617"/>
        </w:tabs>
        <w:spacing w:before="43"/>
        <w:ind w:left="617" w:hanging="421"/>
        <w:rPr>
          <w:sz w:val="15"/>
        </w:rPr>
      </w:pPr>
      <w:r>
        <w:rPr>
          <w:spacing w:val="-2"/>
          <w:sz w:val="15"/>
        </w:rPr>
        <w:t>Competency</w:t>
      </w:r>
    </w:p>
    <w:p w14:paraId="389C061D" w14:textId="77777777" w:rsidR="00AC6F3C" w:rsidRDefault="00570E88">
      <w:pPr>
        <w:spacing w:before="8" w:line="249" w:lineRule="auto"/>
        <w:ind w:left="621" w:right="22"/>
        <w:rPr>
          <w:sz w:val="15"/>
        </w:rPr>
      </w:pPr>
      <w:r>
        <w:rPr>
          <w:sz w:val="15"/>
        </w:rPr>
        <w:t>framework</w:t>
      </w:r>
      <w:r>
        <w:rPr>
          <w:spacing w:val="-9"/>
          <w:sz w:val="15"/>
        </w:rPr>
        <w:t xml:space="preserve"> </w:t>
      </w:r>
      <w:r>
        <w:rPr>
          <w:sz w:val="15"/>
        </w:rPr>
        <w:t xml:space="preserve">and </w:t>
      </w:r>
      <w:r>
        <w:rPr>
          <w:spacing w:val="-4"/>
          <w:sz w:val="15"/>
        </w:rPr>
        <w:t>CPD</w:t>
      </w:r>
      <w:r>
        <w:rPr>
          <w:spacing w:val="-7"/>
          <w:sz w:val="15"/>
        </w:rPr>
        <w:t xml:space="preserve"> </w:t>
      </w:r>
      <w:proofErr w:type="gramStart"/>
      <w:r>
        <w:rPr>
          <w:spacing w:val="-4"/>
          <w:sz w:val="15"/>
        </w:rPr>
        <w:t>is</w:t>
      </w:r>
      <w:r>
        <w:rPr>
          <w:spacing w:val="-6"/>
          <w:sz w:val="15"/>
        </w:rPr>
        <w:t xml:space="preserve"> </w:t>
      </w:r>
      <w:r>
        <w:rPr>
          <w:spacing w:val="-4"/>
          <w:sz w:val="15"/>
        </w:rPr>
        <w:t>developed</w:t>
      </w:r>
      <w:proofErr w:type="gramEnd"/>
      <w:r>
        <w:rPr>
          <w:sz w:val="15"/>
        </w:rPr>
        <w:t xml:space="preserve"> with</w:t>
      </w:r>
      <w:r>
        <w:rPr>
          <w:spacing w:val="-4"/>
          <w:sz w:val="15"/>
        </w:rPr>
        <w:t xml:space="preserve"> </w:t>
      </w:r>
      <w:r>
        <w:rPr>
          <w:sz w:val="15"/>
        </w:rPr>
        <w:t>a</w:t>
      </w:r>
      <w:r>
        <w:rPr>
          <w:spacing w:val="-4"/>
          <w:sz w:val="15"/>
        </w:rPr>
        <w:t xml:space="preserve"> </w:t>
      </w:r>
      <w:r>
        <w:rPr>
          <w:sz w:val="15"/>
        </w:rPr>
        <w:t>report</w:t>
      </w:r>
      <w:r>
        <w:rPr>
          <w:spacing w:val="-4"/>
          <w:sz w:val="15"/>
        </w:rPr>
        <w:t xml:space="preserve"> </w:t>
      </w:r>
      <w:r>
        <w:rPr>
          <w:sz w:val="15"/>
        </w:rPr>
        <w:t xml:space="preserve">and </w:t>
      </w:r>
      <w:r>
        <w:rPr>
          <w:spacing w:val="-4"/>
          <w:sz w:val="15"/>
        </w:rPr>
        <w:t>recommendations</w:t>
      </w:r>
      <w:r>
        <w:rPr>
          <w:sz w:val="15"/>
        </w:rPr>
        <w:t xml:space="preserve"> to the CEO on</w:t>
      </w:r>
    </w:p>
    <w:p w14:paraId="54A36372" w14:textId="77777777" w:rsidR="00AC6F3C" w:rsidRDefault="00570E88">
      <w:pPr>
        <w:spacing w:before="3" w:line="249" w:lineRule="auto"/>
        <w:ind w:left="621"/>
        <w:rPr>
          <w:sz w:val="15"/>
        </w:rPr>
      </w:pPr>
      <w:r>
        <w:rPr>
          <w:sz w:val="15"/>
        </w:rPr>
        <w:t xml:space="preserve">the processes to </w:t>
      </w:r>
      <w:r>
        <w:rPr>
          <w:spacing w:val="-2"/>
          <w:sz w:val="15"/>
        </w:rPr>
        <w:t>mandate</w:t>
      </w:r>
      <w:r>
        <w:rPr>
          <w:spacing w:val="-9"/>
          <w:sz w:val="15"/>
        </w:rPr>
        <w:t xml:space="preserve"> </w:t>
      </w:r>
      <w:r>
        <w:rPr>
          <w:spacing w:val="-2"/>
          <w:sz w:val="15"/>
        </w:rPr>
        <w:t>the</w:t>
      </w:r>
      <w:r>
        <w:rPr>
          <w:spacing w:val="-8"/>
          <w:sz w:val="15"/>
        </w:rPr>
        <w:t xml:space="preserve"> </w:t>
      </w:r>
      <w:r>
        <w:rPr>
          <w:spacing w:val="-2"/>
          <w:sz w:val="15"/>
        </w:rPr>
        <w:t>CPD</w:t>
      </w:r>
      <w:r>
        <w:rPr>
          <w:sz w:val="15"/>
        </w:rPr>
        <w:t xml:space="preserve"> component</w:t>
      </w:r>
      <w:r>
        <w:rPr>
          <w:spacing w:val="-9"/>
          <w:sz w:val="15"/>
        </w:rPr>
        <w:t xml:space="preserve"> </w:t>
      </w:r>
      <w:r>
        <w:rPr>
          <w:sz w:val="15"/>
        </w:rPr>
        <w:t xml:space="preserve">for </w:t>
      </w:r>
      <w:r>
        <w:rPr>
          <w:spacing w:val="-4"/>
          <w:sz w:val="15"/>
        </w:rPr>
        <w:t>junior</w:t>
      </w:r>
      <w:r>
        <w:rPr>
          <w:spacing w:val="-7"/>
          <w:sz w:val="15"/>
        </w:rPr>
        <w:t xml:space="preserve"> </w:t>
      </w:r>
      <w:proofErr w:type="gramStart"/>
      <w:r>
        <w:rPr>
          <w:spacing w:val="-4"/>
          <w:sz w:val="15"/>
        </w:rPr>
        <w:t>practitioners</w:t>
      </w:r>
      <w:proofErr w:type="gramEnd"/>
    </w:p>
    <w:p w14:paraId="1B2AEF3F" w14:textId="77777777" w:rsidR="00AC6F3C" w:rsidRDefault="00570E88">
      <w:pPr>
        <w:spacing w:before="101" w:line="249" w:lineRule="auto"/>
        <w:ind w:left="160" w:right="34"/>
        <w:rPr>
          <w:b/>
          <w:sz w:val="15"/>
        </w:rPr>
      </w:pPr>
      <w:r>
        <w:br w:type="column"/>
      </w:r>
      <w:r>
        <w:rPr>
          <w:b/>
          <w:spacing w:val="-6"/>
          <w:sz w:val="15"/>
        </w:rPr>
        <w:t>Green-</w:t>
      </w:r>
      <w:r>
        <w:rPr>
          <w:b/>
          <w:sz w:val="15"/>
        </w:rPr>
        <w:t xml:space="preserve"> </w:t>
      </w:r>
      <w:r>
        <w:rPr>
          <w:b/>
          <w:spacing w:val="-2"/>
          <w:sz w:val="15"/>
        </w:rPr>
        <w:t>yellow</w:t>
      </w:r>
    </w:p>
    <w:p w14:paraId="59290DC4" w14:textId="77777777" w:rsidR="00AC6F3C" w:rsidRDefault="00570E88">
      <w:pPr>
        <w:spacing w:before="95" w:line="249" w:lineRule="auto"/>
        <w:ind w:left="196" w:right="-3"/>
        <w:rPr>
          <w:b/>
          <w:sz w:val="15"/>
        </w:rPr>
      </w:pPr>
      <w:r>
        <w:br w:type="column"/>
      </w:r>
      <w:r>
        <w:rPr>
          <w:b/>
          <w:spacing w:val="-6"/>
          <w:sz w:val="15"/>
        </w:rPr>
        <w:t>On</w:t>
      </w:r>
      <w:r>
        <w:rPr>
          <w:b/>
          <w:spacing w:val="-8"/>
          <w:sz w:val="15"/>
        </w:rPr>
        <w:t xml:space="preserve"> </w:t>
      </w:r>
      <w:r>
        <w:rPr>
          <w:b/>
          <w:spacing w:val="-6"/>
          <w:sz w:val="15"/>
        </w:rPr>
        <w:t>track</w:t>
      </w:r>
      <w:r>
        <w:rPr>
          <w:b/>
          <w:spacing w:val="-8"/>
          <w:sz w:val="15"/>
        </w:rPr>
        <w:t xml:space="preserve"> </w:t>
      </w:r>
      <w:r>
        <w:rPr>
          <w:b/>
          <w:spacing w:val="-6"/>
          <w:sz w:val="15"/>
        </w:rPr>
        <w:t>&amp;</w:t>
      </w:r>
      <w:r>
        <w:rPr>
          <w:b/>
          <w:sz w:val="15"/>
        </w:rPr>
        <w:t xml:space="preserve"> </w:t>
      </w:r>
      <w:r>
        <w:rPr>
          <w:b/>
          <w:spacing w:val="-2"/>
          <w:sz w:val="15"/>
        </w:rPr>
        <w:t>ongoing</w:t>
      </w:r>
    </w:p>
    <w:p w14:paraId="1701F5CB" w14:textId="77777777" w:rsidR="00AC6F3C" w:rsidRDefault="00570E88">
      <w:pPr>
        <w:pStyle w:val="ListParagraph"/>
        <w:numPr>
          <w:ilvl w:val="2"/>
          <w:numId w:val="68"/>
        </w:numPr>
        <w:tabs>
          <w:tab w:val="left" w:pos="616"/>
          <w:tab w:val="left" w:pos="621"/>
        </w:tabs>
        <w:spacing w:before="95" w:line="249" w:lineRule="auto"/>
        <w:ind w:right="535"/>
        <w:rPr>
          <w:sz w:val="15"/>
        </w:rPr>
      </w:pPr>
      <w:r>
        <w:br w:type="column"/>
      </w:r>
      <w:r>
        <w:rPr>
          <w:sz w:val="15"/>
        </w:rPr>
        <w:t>Achieved</w:t>
      </w:r>
      <w:r>
        <w:rPr>
          <w:spacing w:val="-2"/>
          <w:sz w:val="15"/>
        </w:rPr>
        <w:t xml:space="preserve"> </w:t>
      </w:r>
      <w:r>
        <w:rPr>
          <w:sz w:val="15"/>
        </w:rPr>
        <w:t>–</w:t>
      </w:r>
      <w:r>
        <w:rPr>
          <w:spacing w:val="-2"/>
          <w:sz w:val="15"/>
        </w:rPr>
        <w:t xml:space="preserve"> </w:t>
      </w:r>
      <w:r>
        <w:rPr>
          <w:sz w:val="15"/>
        </w:rPr>
        <w:t>resources</w:t>
      </w:r>
      <w:r>
        <w:rPr>
          <w:spacing w:val="-2"/>
          <w:sz w:val="15"/>
        </w:rPr>
        <w:t xml:space="preserve"> </w:t>
      </w:r>
      <w:r>
        <w:rPr>
          <w:sz w:val="15"/>
        </w:rPr>
        <w:t>and</w:t>
      </w:r>
      <w:r>
        <w:rPr>
          <w:spacing w:val="-2"/>
          <w:sz w:val="15"/>
        </w:rPr>
        <w:t xml:space="preserve"> </w:t>
      </w:r>
      <w:r>
        <w:rPr>
          <w:sz w:val="15"/>
        </w:rPr>
        <w:t xml:space="preserve">workshops published and undertaken for career </w:t>
      </w:r>
      <w:r>
        <w:rPr>
          <w:spacing w:val="-2"/>
          <w:sz w:val="15"/>
        </w:rPr>
        <w:t>transition,</w:t>
      </w:r>
      <w:r>
        <w:rPr>
          <w:spacing w:val="-9"/>
          <w:sz w:val="15"/>
        </w:rPr>
        <w:t xml:space="preserve"> </w:t>
      </w:r>
      <w:r>
        <w:rPr>
          <w:spacing w:val="-2"/>
          <w:sz w:val="15"/>
        </w:rPr>
        <w:t>family</w:t>
      </w:r>
      <w:r>
        <w:rPr>
          <w:spacing w:val="-8"/>
          <w:sz w:val="15"/>
        </w:rPr>
        <w:t xml:space="preserve"> </w:t>
      </w:r>
      <w:r>
        <w:rPr>
          <w:spacing w:val="-2"/>
          <w:sz w:val="15"/>
        </w:rPr>
        <w:t>and</w:t>
      </w:r>
      <w:r>
        <w:rPr>
          <w:spacing w:val="-9"/>
          <w:sz w:val="15"/>
        </w:rPr>
        <w:t xml:space="preserve"> </w:t>
      </w:r>
      <w:r>
        <w:rPr>
          <w:spacing w:val="-2"/>
          <w:sz w:val="15"/>
        </w:rPr>
        <w:t>DV</w:t>
      </w:r>
      <w:r>
        <w:rPr>
          <w:spacing w:val="-8"/>
          <w:sz w:val="15"/>
        </w:rPr>
        <w:t xml:space="preserve"> </w:t>
      </w:r>
      <w:r>
        <w:rPr>
          <w:spacing w:val="-2"/>
          <w:sz w:val="15"/>
        </w:rPr>
        <w:t>and</w:t>
      </w:r>
      <w:r>
        <w:rPr>
          <w:spacing w:val="-9"/>
          <w:sz w:val="15"/>
        </w:rPr>
        <w:t xml:space="preserve"> </w:t>
      </w:r>
      <w:r>
        <w:rPr>
          <w:spacing w:val="-2"/>
          <w:sz w:val="15"/>
        </w:rPr>
        <w:t>continuing</w:t>
      </w:r>
      <w:r>
        <w:rPr>
          <w:sz w:val="15"/>
        </w:rPr>
        <w:t xml:space="preserve"> </w:t>
      </w:r>
      <w:r>
        <w:rPr>
          <w:spacing w:val="-4"/>
          <w:sz w:val="15"/>
        </w:rPr>
        <w:t>locum</w:t>
      </w:r>
      <w:r>
        <w:rPr>
          <w:spacing w:val="-6"/>
          <w:sz w:val="15"/>
        </w:rPr>
        <w:t xml:space="preserve"> </w:t>
      </w:r>
      <w:r>
        <w:rPr>
          <w:spacing w:val="-4"/>
          <w:sz w:val="15"/>
        </w:rPr>
        <w:t>resources</w:t>
      </w:r>
      <w:r>
        <w:rPr>
          <w:spacing w:val="-6"/>
          <w:sz w:val="15"/>
        </w:rPr>
        <w:t xml:space="preserve"> </w:t>
      </w:r>
      <w:r>
        <w:rPr>
          <w:spacing w:val="-4"/>
          <w:sz w:val="15"/>
        </w:rPr>
        <w:t>for</w:t>
      </w:r>
      <w:r>
        <w:rPr>
          <w:spacing w:val="-6"/>
          <w:sz w:val="15"/>
        </w:rPr>
        <w:t xml:space="preserve"> </w:t>
      </w:r>
      <w:r>
        <w:rPr>
          <w:spacing w:val="-4"/>
          <w:sz w:val="15"/>
        </w:rPr>
        <w:t>natural</w:t>
      </w:r>
      <w:r>
        <w:rPr>
          <w:spacing w:val="-6"/>
          <w:sz w:val="15"/>
        </w:rPr>
        <w:t xml:space="preserve"> </w:t>
      </w:r>
      <w:r>
        <w:rPr>
          <w:spacing w:val="-4"/>
          <w:sz w:val="15"/>
        </w:rPr>
        <w:t>disaster</w:t>
      </w:r>
      <w:r>
        <w:rPr>
          <w:spacing w:val="-6"/>
          <w:sz w:val="15"/>
        </w:rPr>
        <w:t xml:space="preserve"> </w:t>
      </w:r>
      <w:r>
        <w:rPr>
          <w:spacing w:val="-4"/>
          <w:sz w:val="15"/>
        </w:rPr>
        <w:t>and</w:t>
      </w:r>
      <w:r>
        <w:rPr>
          <w:sz w:val="15"/>
        </w:rPr>
        <w:t xml:space="preserve"> pandemic</w:t>
      </w:r>
      <w:r>
        <w:rPr>
          <w:spacing w:val="-9"/>
          <w:sz w:val="15"/>
        </w:rPr>
        <w:t xml:space="preserve"> </w:t>
      </w:r>
      <w:proofErr w:type="gramStart"/>
      <w:r>
        <w:rPr>
          <w:sz w:val="15"/>
        </w:rPr>
        <w:t>recovery</w:t>
      </w:r>
      <w:proofErr w:type="gramEnd"/>
    </w:p>
    <w:p w14:paraId="413F1B34" w14:textId="77777777" w:rsidR="00AC6F3C" w:rsidRDefault="00570E88">
      <w:pPr>
        <w:pStyle w:val="ListParagraph"/>
        <w:numPr>
          <w:ilvl w:val="2"/>
          <w:numId w:val="68"/>
        </w:numPr>
        <w:tabs>
          <w:tab w:val="left" w:pos="616"/>
          <w:tab w:val="left" w:pos="621"/>
        </w:tabs>
        <w:spacing w:before="46" w:line="249" w:lineRule="auto"/>
        <w:ind w:right="224"/>
        <w:rPr>
          <w:sz w:val="15"/>
        </w:rPr>
      </w:pPr>
      <w:r>
        <w:rPr>
          <w:sz w:val="15"/>
        </w:rPr>
        <w:t>On track and ongoing – proposed competency</w:t>
      </w:r>
      <w:r>
        <w:rPr>
          <w:spacing w:val="-8"/>
          <w:sz w:val="15"/>
        </w:rPr>
        <w:t xml:space="preserve"> </w:t>
      </w:r>
      <w:r>
        <w:rPr>
          <w:sz w:val="15"/>
        </w:rPr>
        <w:t>framework</w:t>
      </w:r>
      <w:r>
        <w:rPr>
          <w:spacing w:val="-8"/>
          <w:sz w:val="15"/>
        </w:rPr>
        <w:t xml:space="preserve"> </w:t>
      </w:r>
      <w:r>
        <w:rPr>
          <w:sz w:val="15"/>
        </w:rPr>
        <w:t>has</w:t>
      </w:r>
      <w:r>
        <w:rPr>
          <w:spacing w:val="-8"/>
          <w:sz w:val="15"/>
        </w:rPr>
        <w:t xml:space="preserve"> </w:t>
      </w:r>
      <w:proofErr w:type="gramStart"/>
      <w:r>
        <w:rPr>
          <w:sz w:val="15"/>
        </w:rPr>
        <w:t>been</w:t>
      </w:r>
      <w:r>
        <w:rPr>
          <w:spacing w:val="-8"/>
          <w:sz w:val="15"/>
        </w:rPr>
        <w:t xml:space="preserve"> </w:t>
      </w:r>
      <w:r>
        <w:rPr>
          <w:sz w:val="15"/>
        </w:rPr>
        <w:t>reviewed</w:t>
      </w:r>
      <w:proofErr w:type="gramEnd"/>
      <w:r>
        <w:rPr>
          <w:sz w:val="15"/>
        </w:rPr>
        <w:t xml:space="preserve"> by</w:t>
      </w:r>
      <w:r>
        <w:rPr>
          <w:spacing w:val="-3"/>
          <w:sz w:val="15"/>
        </w:rPr>
        <w:t xml:space="preserve"> </w:t>
      </w:r>
      <w:r>
        <w:rPr>
          <w:sz w:val="15"/>
        </w:rPr>
        <w:t>QLS</w:t>
      </w:r>
      <w:r>
        <w:rPr>
          <w:spacing w:val="-3"/>
          <w:sz w:val="15"/>
        </w:rPr>
        <w:t xml:space="preserve"> </w:t>
      </w:r>
      <w:r>
        <w:rPr>
          <w:sz w:val="15"/>
        </w:rPr>
        <w:t>Ethics</w:t>
      </w:r>
      <w:r>
        <w:rPr>
          <w:spacing w:val="-3"/>
          <w:sz w:val="15"/>
        </w:rPr>
        <w:t xml:space="preserve"> </w:t>
      </w:r>
      <w:r>
        <w:rPr>
          <w:sz w:val="15"/>
        </w:rPr>
        <w:t>Committee,</w:t>
      </w:r>
      <w:r>
        <w:rPr>
          <w:spacing w:val="-3"/>
          <w:sz w:val="15"/>
        </w:rPr>
        <w:t xml:space="preserve"> </w:t>
      </w:r>
      <w:r>
        <w:rPr>
          <w:sz w:val="15"/>
        </w:rPr>
        <w:t>Criminal</w:t>
      </w:r>
      <w:r>
        <w:rPr>
          <w:spacing w:val="-3"/>
          <w:sz w:val="15"/>
        </w:rPr>
        <w:t xml:space="preserve"> </w:t>
      </w:r>
      <w:r>
        <w:rPr>
          <w:sz w:val="15"/>
        </w:rPr>
        <w:t xml:space="preserve">Law </w:t>
      </w:r>
      <w:r>
        <w:rPr>
          <w:spacing w:val="-2"/>
          <w:sz w:val="15"/>
        </w:rPr>
        <w:t>Committee,</w:t>
      </w:r>
      <w:r>
        <w:rPr>
          <w:spacing w:val="-6"/>
          <w:sz w:val="15"/>
        </w:rPr>
        <w:t xml:space="preserve"> </w:t>
      </w:r>
      <w:r>
        <w:rPr>
          <w:spacing w:val="-2"/>
          <w:sz w:val="15"/>
        </w:rPr>
        <w:t>and</w:t>
      </w:r>
      <w:r>
        <w:rPr>
          <w:spacing w:val="-6"/>
          <w:sz w:val="15"/>
        </w:rPr>
        <w:t xml:space="preserve"> </w:t>
      </w:r>
      <w:r>
        <w:rPr>
          <w:spacing w:val="-2"/>
          <w:sz w:val="15"/>
        </w:rPr>
        <w:t>Family</w:t>
      </w:r>
      <w:r>
        <w:rPr>
          <w:spacing w:val="-6"/>
          <w:sz w:val="15"/>
        </w:rPr>
        <w:t xml:space="preserve"> </w:t>
      </w:r>
      <w:r>
        <w:rPr>
          <w:spacing w:val="-2"/>
          <w:sz w:val="15"/>
        </w:rPr>
        <w:t>Law</w:t>
      </w:r>
      <w:r>
        <w:rPr>
          <w:spacing w:val="-6"/>
          <w:sz w:val="15"/>
        </w:rPr>
        <w:t xml:space="preserve"> </w:t>
      </w:r>
      <w:r>
        <w:rPr>
          <w:spacing w:val="-2"/>
          <w:sz w:val="15"/>
        </w:rPr>
        <w:t>Committee</w:t>
      </w:r>
      <w:r>
        <w:rPr>
          <w:spacing w:val="-6"/>
          <w:sz w:val="15"/>
        </w:rPr>
        <w:t xml:space="preserve"> </w:t>
      </w:r>
      <w:r>
        <w:rPr>
          <w:spacing w:val="-2"/>
          <w:sz w:val="15"/>
        </w:rPr>
        <w:t>and</w:t>
      </w:r>
      <w:r>
        <w:rPr>
          <w:sz w:val="15"/>
        </w:rPr>
        <w:t xml:space="preserve"> submitted</w:t>
      </w:r>
      <w:r>
        <w:rPr>
          <w:spacing w:val="-3"/>
          <w:sz w:val="15"/>
        </w:rPr>
        <w:t xml:space="preserve"> </w:t>
      </w:r>
      <w:r>
        <w:rPr>
          <w:sz w:val="15"/>
        </w:rPr>
        <w:t>to</w:t>
      </w:r>
      <w:r>
        <w:rPr>
          <w:spacing w:val="-3"/>
          <w:sz w:val="15"/>
        </w:rPr>
        <w:t xml:space="preserve"> </w:t>
      </w:r>
      <w:r>
        <w:rPr>
          <w:sz w:val="15"/>
        </w:rPr>
        <w:t>Council.</w:t>
      </w:r>
      <w:r>
        <w:rPr>
          <w:spacing w:val="-3"/>
          <w:sz w:val="15"/>
        </w:rPr>
        <w:t xml:space="preserve"> </w:t>
      </w:r>
      <w:r>
        <w:rPr>
          <w:sz w:val="15"/>
        </w:rPr>
        <w:t>A-G’s</w:t>
      </w:r>
      <w:r>
        <w:rPr>
          <w:spacing w:val="-3"/>
          <w:sz w:val="15"/>
        </w:rPr>
        <w:t xml:space="preserve"> </w:t>
      </w:r>
      <w:r>
        <w:rPr>
          <w:sz w:val="15"/>
        </w:rPr>
        <w:t>department</w:t>
      </w:r>
      <w:r>
        <w:rPr>
          <w:spacing w:val="-3"/>
          <w:sz w:val="15"/>
        </w:rPr>
        <w:t xml:space="preserve"> </w:t>
      </w:r>
      <w:r>
        <w:rPr>
          <w:sz w:val="15"/>
        </w:rPr>
        <w:t xml:space="preserve">to </w:t>
      </w:r>
      <w:r>
        <w:rPr>
          <w:spacing w:val="-4"/>
          <w:sz w:val="15"/>
        </w:rPr>
        <w:t>form</w:t>
      </w:r>
      <w:r>
        <w:rPr>
          <w:spacing w:val="-5"/>
          <w:sz w:val="15"/>
        </w:rPr>
        <w:t xml:space="preserve"> </w:t>
      </w:r>
      <w:r>
        <w:rPr>
          <w:spacing w:val="-4"/>
          <w:sz w:val="15"/>
        </w:rPr>
        <w:t>a</w:t>
      </w:r>
      <w:r>
        <w:rPr>
          <w:spacing w:val="-5"/>
          <w:sz w:val="15"/>
        </w:rPr>
        <w:t xml:space="preserve"> </w:t>
      </w:r>
      <w:r>
        <w:rPr>
          <w:spacing w:val="-4"/>
          <w:sz w:val="15"/>
        </w:rPr>
        <w:t>working</w:t>
      </w:r>
      <w:r>
        <w:rPr>
          <w:spacing w:val="-5"/>
          <w:sz w:val="15"/>
        </w:rPr>
        <w:t xml:space="preserve"> </w:t>
      </w:r>
      <w:r>
        <w:rPr>
          <w:spacing w:val="-4"/>
          <w:sz w:val="15"/>
        </w:rPr>
        <w:t>group</w:t>
      </w:r>
      <w:r>
        <w:rPr>
          <w:spacing w:val="-5"/>
          <w:sz w:val="15"/>
        </w:rPr>
        <w:t xml:space="preserve"> </w:t>
      </w:r>
      <w:r>
        <w:rPr>
          <w:spacing w:val="-4"/>
          <w:sz w:val="15"/>
        </w:rPr>
        <w:t>to</w:t>
      </w:r>
      <w:r>
        <w:rPr>
          <w:spacing w:val="-5"/>
          <w:sz w:val="15"/>
        </w:rPr>
        <w:t xml:space="preserve"> </w:t>
      </w:r>
      <w:r>
        <w:rPr>
          <w:spacing w:val="-4"/>
          <w:sz w:val="15"/>
        </w:rPr>
        <w:t>advise</w:t>
      </w:r>
      <w:r>
        <w:rPr>
          <w:spacing w:val="-5"/>
          <w:sz w:val="15"/>
        </w:rPr>
        <w:t xml:space="preserve"> </w:t>
      </w:r>
      <w:r>
        <w:rPr>
          <w:spacing w:val="-4"/>
          <w:sz w:val="15"/>
        </w:rPr>
        <w:t>on</w:t>
      </w:r>
      <w:r>
        <w:rPr>
          <w:spacing w:val="-5"/>
          <w:sz w:val="15"/>
        </w:rPr>
        <w:t xml:space="preserve"> </w:t>
      </w:r>
      <w:r>
        <w:rPr>
          <w:spacing w:val="-4"/>
          <w:sz w:val="15"/>
        </w:rPr>
        <w:t>training</w:t>
      </w:r>
      <w:r>
        <w:rPr>
          <w:spacing w:val="-5"/>
          <w:sz w:val="15"/>
        </w:rPr>
        <w:t xml:space="preserve"> </w:t>
      </w:r>
      <w:r>
        <w:rPr>
          <w:spacing w:val="-4"/>
          <w:sz w:val="15"/>
        </w:rPr>
        <w:t>for</w:t>
      </w:r>
      <w:r>
        <w:rPr>
          <w:sz w:val="15"/>
        </w:rPr>
        <w:t xml:space="preserve"> their preferred training supplier.</w:t>
      </w:r>
    </w:p>
    <w:p w14:paraId="2D03650C"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8" w:space="720" w:equalWidth="0">
            <w:col w:w="3094" w:space="40"/>
            <w:col w:w="2823" w:space="39"/>
            <w:col w:w="552" w:space="156"/>
            <w:col w:w="1983" w:space="101"/>
            <w:col w:w="1796" w:space="39"/>
            <w:col w:w="662" w:space="266"/>
            <w:col w:w="908" w:space="56"/>
            <w:col w:w="3705"/>
          </w:cols>
        </w:sectPr>
      </w:pPr>
    </w:p>
    <w:p w14:paraId="764837F3" w14:textId="77777777" w:rsidR="00AC6F3C" w:rsidRDefault="00AC6F3C">
      <w:pPr>
        <w:pStyle w:val="BodyText"/>
        <w:spacing w:before="1"/>
        <w:rPr>
          <w:sz w:val="4"/>
        </w:rPr>
      </w:pPr>
    </w:p>
    <w:p w14:paraId="4B976721" w14:textId="77777777" w:rsidR="00AC6F3C" w:rsidRDefault="00570E88">
      <w:pPr>
        <w:pStyle w:val="BodyText"/>
        <w:spacing w:line="20" w:lineRule="exact"/>
        <w:ind w:left="122"/>
        <w:rPr>
          <w:sz w:val="2"/>
        </w:rPr>
      </w:pPr>
      <w:r>
        <w:rPr>
          <w:noProof/>
          <w:sz w:val="2"/>
        </w:rPr>
        <mc:AlternateContent>
          <mc:Choice Requires="wpg">
            <w:drawing>
              <wp:inline distT="0" distB="0" distL="0" distR="0" wp14:anchorId="40ABA72D" wp14:editId="14393D6C">
                <wp:extent cx="10152380" cy="3175"/>
                <wp:effectExtent l="9525"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35" name="Graphic 135"/>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36" name="Graphic 136"/>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37" name="Graphic 137"/>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38" name="Graphic 138"/>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40" name="Graphic 140"/>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41" name="Graphic 141"/>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42" name="Graphic 142"/>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43" name="Graphic 143"/>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44" name="Graphic 144"/>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5B9B43" id="Group 134" o:spid="_x0000_s1026" style="width:799.4pt;height:.25pt;mso-position-horizontal-relative:char;mso-position-vertical-relative:lin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">
                <v:shape id="Graphic 135"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" path="m,l575995,e" filled="f" strokeweight=".25pt">
                  <v:path arrowok="t"/>
                </v:shape>
                <v:shape id="Graphic 136"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" path="m,l1386001,e" filled="f" strokeweight=".25pt">
                  <v:path arrowok="t"/>
                </v:shape>
                <v:shape id="Graphic 137"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" path="m,l1845005,e" filled="f" strokeweight=".25pt">
                  <v:path arrowok="t"/>
                </v:shape>
                <v:shape id="Graphic 138"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" path="m,l449999,e" filled="f" strokeweight=".25pt">
                  <v:path arrowok="t"/>
                </v:shape>
                <v:shape id="Graphic 139"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" path="m,l548995,e" filled="f" strokeweight=".25pt">
                  <v:path arrowok="t"/>
                </v:shape>
                <v:shape id="Graphic 140"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" path="m,l774001,e" filled="f" strokeweight=".25pt">
                  <v:path arrowok="t"/>
                </v:shape>
                <v:shape id="Graphic 141"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" path="m,l1143000,e" filled="f" strokeweight=".25pt">
                  <v:path arrowok="t"/>
                </v:shape>
                <v:shape id="Graphic 142"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" path="m,l612000,e" filled="f" strokeweight=".25pt">
                  <v:path arrowok="t"/>
                </v:shape>
                <v:shape id="Graphic 143"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" path="m,l612000,e" filled="f" strokeweight=".25pt">
                  <v:path arrowok="t"/>
                </v:shape>
                <v:shape id="Graphic 144"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" path="m,l2204999,e" filled="f" strokeweight=".25pt">
                  <v:path arrowok="t"/>
                </v:shape>
                <w10:anchorlock/>
              </v:group>
            </w:pict>
          </mc:Fallback>
        </mc:AlternateContent>
      </w:r>
    </w:p>
    <w:p w14:paraId="0A5C2E97" w14:textId="77777777" w:rsidR="00AC6F3C" w:rsidRDefault="00AC6F3C">
      <w:pPr>
        <w:spacing w:line="20" w:lineRule="exact"/>
        <w:rPr>
          <w:sz w:val="2"/>
        </w:rPr>
        <w:sectPr w:rsidR="00AC6F3C">
          <w:type w:val="continuous"/>
          <w:pgSz w:w="16840" w:h="11910" w:orient="landscape"/>
          <w:pgMar w:top="1920" w:right="320" w:bottom="280" w:left="300" w:header="0" w:footer="336"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841"/>
        <w:gridCol w:w="2144"/>
        <w:gridCol w:w="2967"/>
        <w:gridCol w:w="748"/>
        <w:gridCol w:w="821"/>
        <w:gridCol w:w="1216"/>
        <w:gridCol w:w="1810"/>
        <w:gridCol w:w="858"/>
        <w:gridCol w:w="996"/>
        <w:gridCol w:w="3576"/>
      </w:tblGrid>
      <w:tr w:rsidR="00AC6F3C" w14:paraId="4C136C87" w14:textId="77777777">
        <w:trPr>
          <w:trHeight w:val="429"/>
        </w:trPr>
        <w:tc>
          <w:tcPr>
            <w:tcW w:w="841" w:type="dxa"/>
            <w:tcBorders>
              <w:bottom w:val="single" w:sz="8" w:space="0" w:color="000000"/>
            </w:tcBorders>
          </w:tcPr>
          <w:p w14:paraId="0D7402EB" w14:textId="77777777" w:rsidR="00AC6F3C" w:rsidRDefault="00570E88">
            <w:pPr>
              <w:pStyle w:val="TableParagraph"/>
              <w:spacing w:before="24" w:line="259" w:lineRule="auto"/>
              <w:ind w:left="56"/>
              <w:rPr>
                <w:b/>
                <w:sz w:val="15"/>
              </w:rPr>
            </w:pPr>
            <w:r>
              <w:rPr>
                <w:b/>
                <w:spacing w:val="-2"/>
                <w:sz w:val="15"/>
              </w:rPr>
              <w:lastRenderedPageBreak/>
              <w:t>Strategic</w:t>
            </w:r>
            <w:r>
              <w:rPr>
                <w:b/>
                <w:sz w:val="15"/>
              </w:rPr>
              <w:t xml:space="preserve"> </w:t>
            </w:r>
            <w:r>
              <w:rPr>
                <w:b/>
                <w:spacing w:val="-4"/>
                <w:sz w:val="15"/>
              </w:rPr>
              <w:t>Objective</w:t>
            </w:r>
          </w:p>
        </w:tc>
        <w:tc>
          <w:tcPr>
            <w:tcW w:w="2144" w:type="dxa"/>
            <w:tcBorders>
              <w:bottom w:val="single" w:sz="8" w:space="0" w:color="000000"/>
            </w:tcBorders>
          </w:tcPr>
          <w:p w14:paraId="36A09D5B" w14:textId="77777777" w:rsidR="00AC6F3C" w:rsidRDefault="00AC6F3C">
            <w:pPr>
              <w:pStyle w:val="TableParagraph"/>
              <w:spacing w:before="2"/>
              <w:rPr>
                <w:sz w:val="18"/>
              </w:rPr>
            </w:pPr>
          </w:p>
          <w:p w14:paraId="4AC17770" w14:textId="77777777" w:rsidR="00AC6F3C" w:rsidRDefault="00570E88">
            <w:pPr>
              <w:pStyle w:val="TableParagraph"/>
              <w:spacing w:before="1"/>
              <w:ind w:left="122"/>
              <w:rPr>
                <w:b/>
                <w:sz w:val="15"/>
              </w:rPr>
            </w:pPr>
            <w:r>
              <w:rPr>
                <w:b/>
                <w:spacing w:val="-2"/>
                <w:sz w:val="15"/>
              </w:rPr>
              <w:t>Initiative</w:t>
            </w:r>
          </w:p>
        </w:tc>
        <w:tc>
          <w:tcPr>
            <w:tcW w:w="2967" w:type="dxa"/>
            <w:tcBorders>
              <w:bottom w:val="single" w:sz="8" w:space="0" w:color="000000"/>
            </w:tcBorders>
          </w:tcPr>
          <w:p w14:paraId="7B0FD32F" w14:textId="77777777" w:rsidR="00AC6F3C" w:rsidRDefault="00AC6F3C">
            <w:pPr>
              <w:pStyle w:val="TableParagraph"/>
              <w:spacing w:before="2"/>
              <w:rPr>
                <w:sz w:val="18"/>
              </w:rPr>
            </w:pPr>
          </w:p>
          <w:p w14:paraId="2925A790" w14:textId="77777777" w:rsidR="00AC6F3C" w:rsidRDefault="00570E88">
            <w:pPr>
              <w:pStyle w:val="TableParagraph"/>
              <w:spacing w:before="1"/>
              <w:ind w:left="161"/>
              <w:rPr>
                <w:b/>
                <w:sz w:val="15"/>
              </w:rPr>
            </w:pPr>
            <w:r>
              <w:rPr>
                <w:b/>
                <w:spacing w:val="-5"/>
                <w:sz w:val="15"/>
              </w:rPr>
              <w:t xml:space="preserve">Key </w:t>
            </w:r>
            <w:r>
              <w:rPr>
                <w:b/>
                <w:spacing w:val="-2"/>
                <w:sz w:val="15"/>
              </w:rPr>
              <w:t>Action</w:t>
            </w:r>
          </w:p>
        </w:tc>
        <w:tc>
          <w:tcPr>
            <w:tcW w:w="748" w:type="dxa"/>
            <w:tcBorders>
              <w:bottom w:val="single" w:sz="8" w:space="0" w:color="000000"/>
            </w:tcBorders>
          </w:tcPr>
          <w:p w14:paraId="249A11F6" w14:textId="77777777" w:rsidR="00AC6F3C" w:rsidRDefault="00570E88">
            <w:pPr>
              <w:pStyle w:val="TableParagraph"/>
              <w:spacing w:before="45" w:line="259" w:lineRule="auto"/>
              <w:ind w:left="99" w:right="47"/>
              <w:rPr>
                <w:b/>
                <w:sz w:val="14"/>
              </w:rPr>
            </w:pPr>
            <w:r>
              <w:rPr>
                <w:b/>
                <w:spacing w:val="-2"/>
                <w:sz w:val="14"/>
              </w:rPr>
              <w:t>Strategic</w:t>
            </w:r>
            <w:r>
              <w:rPr>
                <w:b/>
                <w:spacing w:val="40"/>
                <w:sz w:val="14"/>
              </w:rPr>
              <w:t xml:space="preserve"> </w:t>
            </w:r>
            <w:r>
              <w:rPr>
                <w:b/>
                <w:spacing w:val="-4"/>
                <w:sz w:val="14"/>
              </w:rPr>
              <w:t>KPI</w:t>
            </w:r>
          </w:p>
        </w:tc>
        <w:tc>
          <w:tcPr>
            <w:tcW w:w="821" w:type="dxa"/>
            <w:tcBorders>
              <w:bottom w:val="single" w:sz="8" w:space="0" w:color="000000"/>
            </w:tcBorders>
          </w:tcPr>
          <w:p w14:paraId="45AFCB41" w14:textId="77777777" w:rsidR="00AC6F3C" w:rsidRDefault="00AC6F3C">
            <w:pPr>
              <w:pStyle w:val="TableParagraph"/>
              <w:spacing w:before="2"/>
              <w:rPr>
                <w:sz w:val="18"/>
              </w:rPr>
            </w:pPr>
          </w:p>
          <w:p w14:paraId="041561FF" w14:textId="77777777" w:rsidR="00AC6F3C" w:rsidRDefault="00570E88">
            <w:pPr>
              <w:pStyle w:val="TableParagraph"/>
              <w:spacing w:before="1"/>
              <w:ind w:left="42" w:right="145"/>
              <w:jc w:val="center"/>
              <w:rPr>
                <w:b/>
                <w:sz w:val="15"/>
              </w:rPr>
            </w:pPr>
            <w:r>
              <w:rPr>
                <w:b/>
                <w:spacing w:val="-2"/>
                <w:sz w:val="15"/>
              </w:rPr>
              <w:t>Timeline</w:t>
            </w:r>
          </w:p>
        </w:tc>
        <w:tc>
          <w:tcPr>
            <w:tcW w:w="1216" w:type="dxa"/>
            <w:tcBorders>
              <w:bottom w:val="single" w:sz="8" w:space="0" w:color="000000"/>
            </w:tcBorders>
          </w:tcPr>
          <w:p w14:paraId="435D1DE5" w14:textId="77777777" w:rsidR="00AC6F3C" w:rsidRDefault="00AC6F3C">
            <w:pPr>
              <w:pStyle w:val="TableParagraph"/>
              <w:spacing w:before="2"/>
              <w:rPr>
                <w:sz w:val="18"/>
              </w:rPr>
            </w:pPr>
          </w:p>
          <w:p w14:paraId="6650C51D" w14:textId="77777777" w:rsidR="00AC6F3C" w:rsidRDefault="00570E88">
            <w:pPr>
              <w:pStyle w:val="TableParagraph"/>
              <w:spacing w:before="1"/>
              <w:ind w:left="83" w:right="78"/>
              <w:jc w:val="center"/>
              <w:rPr>
                <w:b/>
                <w:sz w:val="15"/>
              </w:rPr>
            </w:pPr>
            <w:r>
              <w:rPr>
                <w:b/>
                <w:spacing w:val="-2"/>
                <w:sz w:val="15"/>
              </w:rPr>
              <w:t>Accountability</w:t>
            </w:r>
          </w:p>
        </w:tc>
        <w:tc>
          <w:tcPr>
            <w:tcW w:w="1810" w:type="dxa"/>
            <w:tcBorders>
              <w:bottom w:val="single" w:sz="8" w:space="0" w:color="000000"/>
            </w:tcBorders>
          </w:tcPr>
          <w:p w14:paraId="43A6CB18" w14:textId="77777777" w:rsidR="00AC6F3C" w:rsidRDefault="00AC6F3C">
            <w:pPr>
              <w:pStyle w:val="TableParagraph"/>
              <w:spacing w:before="2"/>
              <w:rPr>
                <w:sz w:val="18"/>
              </w:rPr>
            </w:pPr>
          </w:p>
          <w:p w14:paraId="70CA1E39" w14:textId="77777777" w:rsidR="00AC6F3C" w:rsidRDefault="00570E88">
            <w:pPr>
              <w:pStyle w:val="TableParagraph"/>
              <w:spacing w:before="1"/>
              <w:ind w:left="107"/>
              <w:rPr>
                <w:b/>
                <w:sz w:val="15"/>
              </w:rPr>
            </w:pPr>
            <w:r>
              <w:rPr>
                <w:b/>
                <w:spacing w:val="-4"/>
                <w:sz w:val="15"/>
              </w:rPr>
              <w:t>Performance</w:t>
            </w:r>
            <w:r>
              <w:rPr>
                <w:b/>
                <w:spacing w:val="9"/>
                <w:sz w:val="15"/>
              </w:rPr>
              <w:t xml:space="preserve"> </w:t>
            </w:r>
            <w:r>
              <w:rPr>
                <w:b/>
                <w:spacing w:val="-2"/>
                <w:sz w:val="15"/>
              </w:rPr>
              <w:t>target/KPI</w:t>
            </w:r>
          </w:p>
        </w:tc>
        <w:tc>
          <w:tcPr>
            <w:tcW w:w="858" w:type="dxa"/>
            <w:tcBorders>
              <w:bottom w:val="single" w:sz="8" w:space="0" w:color="000000"/>
            </w:tcBorders>
          </w:tcPr>
          <w:p w14:paraId="14F66DFD" w14:textId="77777777" w:rsidR="00AC6F3C" w:rsidRDefault="00570E88">
            <w:pPr>
              <w:pStyle w:val="TableParagraph"/>
              <w:spacing w:before="24" w:line="259" w:lineRule="auto"/>
              <w:ind w:left="97" w:right="176"/>
              <w:rPr>
                <w:b/>
                <w:sz w:val="15"/>
              </w:rPr>
            </w:pPr>
            <w:r>
              <w:rPr>
                <w:b/>
                <w:spacing w:val="-4"/>
                <w:sz w:val="15"/>
              </w:rPr>
              <w:t>Average</w:t>
            </w:r>
            <w:r>
              <w:rPr>
                <w:b/>
                <w:sz w:val="15"/>
              </w:rPr>
              <w:t xml:space="preserve"> </w:t>
            </w:r>
            <w:r>
              <w:rPr>
                <w:b/>
                <w:spacing w:val="-2"/>
                <w:sz w:val="15"/>
              </w:rPr>
              <w:t>Status</w:t>
            </w:r>
          </w:p>
        </w:tc>
        <w:tc>
          <w:tcPr>
            <w:tcW w:w="996" w:type="dxa"/>
            <w:tcBorders>
              <w:bottom w:val="single" w:sz="8" w:space="0" w:color="000000"/>
            </w:tcBorders>
          </w:tcPr>
          <w:p w14:paraId="4CE6515C" w14:textId="77777777" w:rsidR="00AC6F3C" w:rsidRDefault="00570E88">
            <w:pPr>
              <w:pStyle w:val="TableParagraph"/>
              <w:spacing w:before="24" w:line="259" w:lineRule="auto"/>
              <w:ind w:left="202" w:right="209"/>
              <w:rPr>
                <w:b/>
                <w:sz w:val="15"/>
              </w:rPr>
            </w:pPr>
            <w:r>
              <w:rPr>
                <w:b/>
                <w:spacing w:val="-4"/>
                <w:sz w:val="15"/>
              </w:rPr>
              <w:t>Average</w:t>
            </w:r>
            <w:r>
              <w:rPr>
                <w:b/>
                <w:sz w:val="15"/>
              </w:rPr>
              <w:t xml:space="preserve"> </w:t>
            </w:r>
            <w:r>
              <w:rPr>
                <w:b/>
                <w:spacing w:val="-2"/>
                <w:sz w:val="15"/>
              </w:rPr>
              <w:t>status</w:t>
            </w:r>
          </w:p>
        </w:tc>
        <w:tc>
          <w:tcPr>
            <w:tcW w:w="3576" w:type="dxa"/>
            <w:tcBorders>
              <w:bottom w:val="single" w:sz="8" w:space="0" w:color="000000"/>
            </w:tcBorders>
          </w:tcPr>
          <w:p w14:paraId="3ACC1714" w14:textId="77777777" w:rsidR="00AC6F3C" w:rsidRDefault="00AC6F3C">
            <w:pPr>
              <w:pStyle w:val="TableParagraph"/>
              <w:spacing w:before="2"/>
              <w:rPr>
                <w:sz w:val="18"/>
              </w:rPr>
            </w:pPr>
          </w:p>
          <w:p w14:paraId="429E403E" w14:textId="77777777" w:rsidR="00AC6F3C" w:rsidRDefault="00570E88">
            <w:pPr>
              <w:pStyle w:val="TableParagraph"/>
              <w:spacing w:before="1"/>
              <w:ind w:left="170"/>
              <w:rPr>
                <w:b/>
                <w:sz w:val="15"/>
              </w:rPr>
            </w:pPr>
            <w:r>
              <w:rPr>
                <w:b/>
                <w:spacing w:val="-4"/>
                <w:sz w:val="15"/>
              </w:rPr>
              <w:t>2022-23 Report</w:t>
            </w:r>
          </w:p>
        </w:tc>
      </w:tr>
      <w:tr w:rsidR="00AC6F3C" w14:paraId="19764B61" w14:textId="77777777">
        <w:trPr>
          <w:trHeight w:val="226"/>
        </w:trPr>
        <w:tc>
          <w:tcPr>
            <w:tcW w:w="841" w:type="dxa"/>
            <w:tcBorders>
              <w:top w:val="single" w:sz="8" w:space="0" w:color="000000"/>
            </w:tcBorders>
          </w:tcPr>
          <w:p w14:paraId="2037675D" w14:textId="77777777" w:rsidR="00AC6F3C" w:rsidRDefault="00570E88">
            <w:pPr>
              <w:pStyle w:val="TableParagraph"/>
              <w:spacing w:before="75" w:line="132" w:lineRule="exact"/>
              <w:ind w:left="70"/>
              <w:rPr>
                <w:b/>
                <w:sz w:val="15"/>
              </w:rPr>
            </w:pPr>
            <w:r>
              <w:rPr>
                <w:b/>
                <w:spacing w:val="-2"/>
                <w:sz w:val="15"/>
              </w:rPr>
              <w:t>Connect</w:t>
            </w:r>
          </w:p>
        </w:tc>
        <w:tc>
          <w:tcPr>
            <w:tcW w:w="2144" w:type="dxa"/>
            <w:tcBorders>
              <w:top w:val="single" w:sz="8" w:space="0" w:color="000000"/>
            </w:tcBorders>
          </w:tcPr>
          <w:p w14:paraId="088518FB" w14:textId="77777777" w:rsidR="00AC6F3C" w:rsidRDefault="00570E88">
            <w:pPr>
              <w:pStyle w:val="TableParagraph"/>
              <w:spacing w:before="75" w:line="132" w:lineRule="exact"/>
              <w:ind w:left="136"/>
              <w:rPr>
                <w:sz w:val="15"/>
              </w:rPr>
            </w:pPr>
            <w:r>
              <w:rPr>
                <w:spacing w:val="-4"/>
                <w:sz w:val="15"/>
              </w:rPr>
              <w:t>13.</w:t>
            </w:r>
            <w:r>
              <w:rPr>
                <w:spacing w:val="47"/>
                <w:sz w:val="15"/>
              </w:rPr>
              <w:t xml:space="preserve"> </w:t>
            </w:r>
            <w:r>
              <w:rPr>
                <w:spacing w:val="-4"/>
                <w:sz w:val="15"/>
              </w:rPr>
              <w:t>Continue</w:t>
            </w:r>
            <w:r>
              <w:rPr>
                <w:spacing w:val="-5"/>
                <w:sz w:val="15"/>
              </w:rPr>
              <w:t xml:space="preserve"> </w:t>
            </w:r>
            <w:r>
              <w:rPr>
                <w:spacing w:val="-4"/>
                <w:sz w:val="15"/>
              </w:rPr>
              <w:t>to</w:t>
            </w:r>
            <w:r>
              <w:rPr>
                <w:spacing w:val="-6"/>
                <w:sz w:val="15"/>
              </w:rPr>
              <w:t xml:space="preserve"> </w:t>
            </w:r>
            <w:r>
              <w:rPr>
                <w:spacing w:val="-4"/>
                <w:sz w:val="15"/>
              </w:rPr>
              <w:t>implement</w:t>
            </w:r>
            <w:r>
              <w:rPr>
                <w:spacing w:val="-5"/>
                <w:sz w:val="15"/>
              </w:rPr>
              <w:t xml:space="preserve"> </w:t>
            </w:r>
            <w:r>
              <w:rPr>
                <w:spacing w:val="-10"/>
                <w:sz w:val="15"/>
              </w:rPr>
              <w:t>a</w:t>
            </w:r>
          </w:p>
        </w:tc>
        <w:tc>
          <w:tcPr>
            <w:tcW w:w="2967" w:type="dxa"/>
            <w:tcBorders>
              <w:top w:val="single" w:sz="8" w:space="0" w:color="000000"/>
            </w:tcBorders>
          </w:tcPr>
          <w:p w14:paraId="751BFF84" w14:textId="77777777" w:rsidR="00AC6F3C" w:rsidRDefault="00570E88">
            <w:pPr>
              <w:pStyle w:val="TableParagraph"/>
              <w:spacing w:before="75" w:line="132" w:lineRule="exact"/>
              <w:ind w:left="175"/>
              <w:rPr>
                <w:sz w:val="15"/>
              </w:rPr>
            </w:pPr>
            <w:r>
              <w:rPr>
                <w:spacing w:val="-6"/>
                <w:sz w:val="15"/>
              </w:rPr>
              <w:t>13.1.1</w:t>
            </w:r>
            <w:r>
              <w:rPr>
                <w:spacing w:val="25"/>
                <w:sz w:val="15"/>
              </w:rPr>
              <w:t xml:space="preserve"> </w:t>
            </w:r>
            <w:r>
              <w:rPr>
                <w:spacing w:val="-6"/>
                <w:sz w:val="15"/>
              </w:rPr>
              <w:t>Implement</w:t>
            </w:r>
            <w:r>
              <w:rPr>
                <w:spacing w:val="-2"/>
                <w:sz w:val="15"/>
              </w:rPr>
              <w:t xml:space="preserve"> </w:t>
            </w:r>
            <w:r>
              <w:rPr>
                <w:spacing w:val="-6"/>
                <w:sz w:val="15"/>
              </w:rPr>
              <w:t>a</w:t>
            </w:r>
            <w:r>
              <w:rPr>
                <w:spacing w:val="-2"/>
                <w:sz w:val="15"/>
              </w:rPr>
              <w:t xml:space="preserve"> </w:t>
            </w:r>
            <w:r>
              <w:rPr>
                <w:spacing w:val="-6"/>
                <w:sz w:val="15"/>
              </w:rPr>
              <w:t>revised</w:t>
            </w:r>
            <w:r>
              <w:rPr>
                <w:spacing w:val="-3"/>
                <w:sz w:val="15"/>
              </w:rPr>
              <w:t xml:space="preserve"> </w:t>
            </w:r>
            <w:r>
              <w:rPr>
                <w:spacing w:val="-6"/>
                <w:sz w:val="15"/>
              </w:rPr>
              <w:t>member</w:t>
            </w:r>
          </w:p>
        </w:tc>
        <w:tc>
          <w:tcPr>
            <w:tcW w:w="748" w:type="dxa"/>
            <w:tcBorders>
              <w:top w:val="single" w:sz="8" w:space="0" w:color="000000"/>
            </w:tcBorders>
          </w:tcPr>
          <w:p w14:paraId="4E265CD8" w14:textId="77777777" w:rsidR="00AC6F3C" w:rsidRDefault="00570E88">
            <w:pPr>
              <w:pStyle w:val="TableParagraph"/>
              <w:spacing w:before="75" w:line="132" w:lineRule="exact"/>
              <w:ind w:left="114"/>
              <w:rPr>
                <w:b/>
                <w:sz w:val="15"/>
              </w:rPr>
            </w:pPr>
            <w:r>
              <w:rPr>
                <w:b/>
                <w:spacing w:val="-4"/>
                <w:sz w:val="15"/>
              </w:rPr>
              <w:t>KPI1</w:t>
            </w:r>
          </w:p>
        </w:tc>
        <w:tc>
          <w:tcPr>
            <w:tcW w:w="821" w:type="dxa"/>
            <w:tcBorders>
              <w:top w:val="single" w:sz="8" w:space="0" w:color="000000"/>
            </w:tcBorders>
          </w:tcPr>
          <w:p w14:paraId="30C4A7E8" w14:textId="77777777" w:rsidR="00AC6F3C" w:rsidRDefault="00570E88">
            <w:pPr>
              <w:pStyle w:val="TableParagraph"/>
              <w:spacing w:before="75" w:line="132" w:lineRule="exact"/>
              <w:ind w:left="42" w:right="63"/>
              <w:jc w:val="center"/>
              <w:rPr>
                <w:sz w:val="15"/>
              </w:rPr>
            </w:pPr>
            <w:r>
              <w:rPr>
                <w:spacing w:val="-4"/>
                <w:sz w:val="15"/>
              </w:rPr>
              <w:t>30-Jun-</w:t>
            </w:r>
            <w:r>
              <w:rPr>
                <w:spacing w:val="-5"/>
                <w:sz w:val="15"/>
              </w:rPr>
              <w:t>23</w:t>
            </w:r>
          </w:p>
        </w:tc>
        <w:tc>
          <w:tcPr>
            <w:tcW w:w="1216" w:type="dxa"/>
            <w:tcBorders>
              <w:top w:val="single" w:sz="8" w:space="0" w:color="000000"/>
            </w:tcBorders>
          </w:tcPr>
          <w:p w14:paraId="036A362B" w14:textId="77777777" w:rsidR="00AC6F3C" w:rsidRDefault="00570E88">
            <w:pPr>
              <w:pStyle w:val="TableParagraph"/>
              <w:spacing w:before="75" w:line="132" w:lineRule="exact"/>
              <w:ind w:left="13" w:right="82"/>
              <w:jc w:val="center"/>
              <w:rPr>
                <w:sz w:val="15"/>
              </w:rPr>
            </w:pPr>
            <w:r>
              <w:rPr>
                <w:spacing w:val="-6"/>
                <w:sz w:val="15"/>
              </w:rPr>
              <w:t>Membership</w:t>
            </w:r>
            <w:r>
              <w:rPr>
                <w:sz w:val="15"/>
              </w:rPr>
              <w:t xml:space="preserve"> </w:t>
            </w:r>
            <w:r>
              <w:rPr>
                <w:spacing w:val="-10"/>
                <w:sz w:val="15"/>
              </w:rPr>
              <w:t>&amp;</w:t>
            </w:r>
          </w:p>
        </w:tc>
        <w:tc>
          <w:tcPr>
            <w:tcW w:w="1810" w:type="dxa"/>
            <w:tcBorders>
              <w:top w:val="single" w:sz="8" w:space="0" w:color="000000"/>
            </w:tcBorders>
          </w:tcPr>
          <w:p w14:paraId="1CACBCA8" w14:textId="77777777" w:rsidR="00AC6F3C" w:rsidRDefault="00570E88">
            <w:pPr>
              <w:pStyle w:val="TableParagraph"/>
              <w:spacing w:before="75" w:line="132" w:lineRule="exact"/>
              <w:ind w:left="121"/>
              <w:rPr>
                <w:sz w:val="15"/>
              </w:rPr>
            </w:pPr>
            <w:r>
              <w:rPr>
                <w:spacing w:val="-6"/>
                <w:sz w:val="15"/>
              </w:rPr>
              <w:t>13.1.1</w:t>
            </w:r>
            <w:r>
              <w:rPr>
                <w:spacing w:val="21"/>
                <w:sz w:val="15"/>
              </w:rPr>
              <w:t xml:space="preserve"> </w:t>
            </w:r>
            <w:r>
              <w:rPr>
                <w:spacing w:val="-6"/>
                <w:sz w:val="15"/>
              </w:rPr>
              <w:t>Report</w:t>
            </w:r>
            <w:r>
              <w:rPr>
                <w:spacing w:val="-5"/>
                <w:sz w:val="15"/>
              </w:rPr>
              <w:t xml:space="preserve"> </w:t>
            </w:r>
            <w:r>
              <w:rPr>
                <w:spacing w:val="-6"/>
                <w:sz w:val="15"/>
              </w:rPr>
              <w:t>to</w:t>
            </w:r>
            <w:r>
              <w:rPr>
                <w:spacing w:val="-5"/>
                <w:sz w:val="15"/>
              </w:rPr>
              <w:t xml:space="preserve"> </w:t>
            </w:r>
            <w:r>
              <w:rPr>
                <w:spacing w:val="-6"/>
                <w:sz w:val="15"/>
              </w:rPr>
              <w:t>CEO</w:t>
            </w:r>
          </w:p>
        </w:tc>
        <w:tc>
          <w:tcPr>
            <w:tcW w:w="858" w:type="dxa"/>
            <w:tcBorders>
              <w:top w:val="single" w:sz="8" w:space="0" w:color="000000"/>
            </w:tcBorders>
          </w:tcPr>
          <w:p w14:paraId="29CE32E1" w14:textId="77777777" w:rsidR="00AC6F3C" w:rsidRDefault="00570E88">
            <w:pPr>
              <w:pStyle w:val="TableParagraph"/>
              <w:spacing w:before="75" w:line="132" w:lineRule="exact"/>
              <w:ind w:left="111"/>
              <w:rPr>
                <w:b/>
                <w:sz w:val="15"/>
              </w:rPr>
            </w:pPr>
            <w:r>
              <w:rPr>
                <w:b/>
                <w:spacing w:val="-2"/>
                <w:sz w:val="15"/>
              </w:rPr>
              <w:t>Green</w:t>
            </w:r>
          </w:p>
        </w:tc>
        <w:tc>
          <w:tcPr>
            <w:tcW w:w="996" w:type="dxa"/>
            <w:tcBorders>
              <w:top w:val="single" w:sz="8" w:space="0" w:color="000000"/>
            </w:tcBorders>
          </w:tcPr>
          <w:p w14:paraId="66829DE7" w14:textId="77777777" w:rsidR="00AC6F3C" w:rsidRDefault="00570E88">
            <w:pPr>
              <w:pStyle w:val="TableParagraph"/>
              <w:spacing w:before="69" w:line="137" w:lineRule="exact"/>
              <w:ind w:left="217"/>
              <w:rPr>
                <w:b/>
                <w:sz w:val="15"/>
              </w:rPr>
            </w:pPr>
            <w:r>
              <w:rPr>
                <w:b/>
                <w:spacing w:val="-2"/>
                <w:sz w:val="15"/>
              </w:rPr>
              <w:t>Achieved</w:t>
            </w:r>
          </w:p>
        </w:tc>
        <w:tc>
          <w:tcPr>
            <w:tcW w:w="3576" w:type="dxa"/>
            <w:tcBorders>
              <w:top w:val="single" w:sz="8" w:space="0" w:color="000000"/>
            </w:tcBorders>
          </w:tcPr>
          <w:p w14:paraId="3BF0A1A7" w14:textId="77777777" w:rsidR="00AC6F3C" w:rsidRDefault="00570E88">
            <w:pPr>
              <w:pStyle w:val="TableParagraph"/>
              <w:spacing w:before="69" w:line="137" w:lineRule="exact"/>
              <w:ind w:left="184"/>
              <w:rPr>
                <w:sz w:val="15"/>
              </w:rPr>
            </w:pPr>
            <w:r>
              <w:rPr>
                <w:spacing w:val="-6"/>
                <w:sz w:val="15"/>
              </w:rPr>
              <w:t>13.1.1</w:t>
            </w:r>
            <w:r>
              <w:rPr>
                <w:spacing w:val="29"/>
                <w:sz w:val="15"/>
              </w:rPr>
              <w:t xml:space="preserve"> </w:t>
            </w:r>
            <w:r>
              <w:rPr>
                <w:spacing w:val="-6"/>
                <w:sz w:val="15"/>
              </w:rPr>
              <w:t>Achieved</w:t>
            </w:r>
            <w:r>
              <w:rPr>
                <w:spacing w:val="-1"/>
                <w:sz w:val="15"/>
              </w:rPr>
              <w:t xml:space="preserve"> </w:t>
            </w:r>
            <w:r>
              <w:rPr>
                <w:spacing w:val="-6"/>
                <w:sz w:val="15"/>
              </w:rPr>
              <w:t>–</w:t>
            </w:r>
            <w:r>
              <w:rPr>
                <w:sz w:val="15"/>
              </w:rPr>
              <w:t xml:space="preserve"> </w:t>
            </w:r>
            <w:r>
              <w:rPr>
                <w:spacing w:val="-6"/>
                <w:sz w:val="15"/>
              </w:rPr>
              <w:t>implemented</w:t>
            </w:r>
            <w:r>
              <w:rPr>
                <w:sz w:val="15"/>
              </w:rPr>
              <w:t xml:space="preserve"> </w:t>
            </w:r>
            <w:r>
              <w:rPr>
                <w:spacing w:val="-6"/>
                <w:sz w:val="15"/>
              </w:rPr>
              <w:t>a</w:t>
            </w:r>
            <w:r>
              <w:rPr>
                <w:sz w:val="15"/>
              </w:rPr>
              <w:t xml:space="preserve"> </w:t>
            </w:r>
            <w:r>
              <w:rPr>
                <w:spacing w:val="-6"/>
                <w:sz w:val="15"/>
              </w:rPr>
              <w:t>revised</w:t>
            </w:r>
            <w:r>
              <w:rPr>
                <w:spacing w:val="-1"/>
                <w:sz w:val="15"/>
              </w:rPr>
              <w:t xml:space="preserve"> </w:t>
            </w:r>
            <w:r>
              <w:rPr>
                <w:spacing w:val="-6"/>
                <w:sz w:val="15"/>
              </w:rPr>
              <w:t>member</w:t>
            </w:r>
          </w:p>
        </w:tc>
      </w:tr>
      <w:tr w:rsidR="00AC6F3C" w14:paraId="1E4055BB" w14:textId="77777777">
        <w:trPr>
          <w:trHeight w:val="180"/>
        </w:trPr>
        <w:tc>
          <w:tcPr>
            <w:tcW w:w="841" w:type="dxa"/>
          </w:tcPr>
          <w:p w14:paraId="6A367531" w14:textId="77777777" w:rsidR="00AC6F3C" w:rsidRDefault="00AC6F3C">
            <w:pPr>
              <w:pStyle w:val="TableParagraph"/>
              <w:rPr>
                <w:rFonts w:ascii="Times New Roman"/>
                <w:sz w:val="12"/>
              </w:rPr>
            </w:pPr>
          </w:p>
        </w:tc>
        <w:tc>
          <w:tcPr>
            <w:tcW w:w="2144" w:type="dxa"/>
          </w:tcPr>
          <w:p w14:paraId="463AD867" w14:textId="77777777" w:rsidR="00AC6F3C" w:rsidRDefault="00570E88">
            <w:pPr>
              <w:pStyle w:val="TableParagraph"/>
              <w:spacing w:before="28" w:line="132" w:lineRule="exact"/>
              <w:ind w:right="157"/>
              <w:jc w:val="right"/>
              <w:rPr>
                <w:sz w:val="15"/>
              </w:rPr>
            </w:pPr>
            <w:r>
              <w:rPr>
                <w:spacing w:val="-4"/>
                <w:sz w:val="15"/>
              </w:rPr>
              <w:t>revised</w:t>
            </w:r>
            <w:r>
              <w:rPr>
                <w:spacing w:val="-6"/>
                <w:sz w:val="15"/>
              </w:rPr>
              <w:t xml:space="preserve"> </w:t>
            </w:r>
            <w:r>
              <w:rPr>
                <w:spacing w:val="-4"/>
                <w:sz w:val="15"/>
              </w:rPr>
              <w:t>member</w:t>
            </w:r>
            <w:r>
              <w:rPr>
                <w:spacing w:val="-6"/>
                <w:sz w:val="15"/>
              </w:rPr>
              <w:t xml:space="preserve"> </w:t>
            </w:r>
            <w:r>
              <w:rPr>
                <w:spacing w:val="-4"/>
                <w:sz w:val="15"/>
              </w:rPr>
              <w:t>benefits</w:t>
            </w:r>
          </w:p>
        </w:tc>
        <w:tc>
          <w:tcPr>
            <w:tcW w:w="2967" w:type="dxa"/>
          </w:tcPr>
          <w:p w14:paraId="5A8CCE12" w14:textId="77777777" w:rsidR="00AC6F3C" w:rsidRDefault="00570E88">
            <w:pPr>
              <w:pStyle w:val="TableParagraph"/>
              <w:spacing w:before="28" w:line="132" w:lineRule="exact"/>
              <w:ind w:left="600"/>
              <w:rPr>
                <w:sz w:val="15"/>
              </w:rPr>
            </w:pPr>
            <w:r>
              <w:rPr>
                <w:spacing w:val="-4"/>
                <w:sz w:val="15"/>
              </w:rPr>
              <w:t>benefits</w:t>
            </w:r>
            <w:r>
              <w:rPr>
                <w:spacing w:val="-3"/>
                <w:sz w:val="15"/>
              </w:rPr>
              <w:t xml:space="preserve"> </w:t>
            </w:r>
            <w:r>
              <w:rPr>
                <w:spacing w:val="-4"/>
                <w:sz w:val="15"/>
              </w:rPr>
              <w:t>program</w:t>
            </w:r>
            <w:r>
              <w:rPr>
                <w:spacing w:val="-2"/>
                <w:sz w:val="15"/>
              </w:rPr>
              <w:t xml:space="preserve"> </w:t>
            </w:r>
            <w:r>
              <w:rPr>
                <w:spacing w:val="-4"/>
                <w:sz w:val="15"/>
              </w:rPr>
              <w:t>and</w:t>
            </w:r>
            <w:r>
              <w:rPr>
                <w:spacing w:val="-2"/>
                <w:sz w:val="15"/>
              </w:rPr>
              <w:t xml:space="preserve"> </w:t>
            </w:r>
            <w:r>
              <w:rPr>
                <w:spacing w:val="-4"/>
                <w:sz w:val="15"/>
              </w:rPr>
              <w:t>member</w:t>
            </w:r>
          </w:p>
        </w:tc>
        <w:tc>
          <w:tcPr>
            <w:tcW w:w="748" w:type="dxa"/>
          </w:tcPr>
          <w:p w14:paraId="66CA5C88" w14:textId="77777777" w:rsidR="00AC6F3C" w:rsidRDefault="00AC6F3C">
            <w:pPr>
              <w:pStyle w:val="TableParagraph"/>
              <w:rPr>
                <w:rFonts w:ascii="Times New Roman"/>
                <w:sz w:val="12"/>
              </w:rPr>
            </w:pPr>
          </w:p>
        </w:tc>
        <w:tc>
          <w:tcPr>
            <w:tcW w:w="821" w:type="dxa"/>
          </w:tcPr>
          <w:p w14:paraId="7C4CBEFF" w14:textId="77777777" w:rsidR="00AC6F3C" w:rsidRDefault="00AC6F3C">
            <w:pPr>
              <w:pStyle w:val="TableParagraph"/>
              <w:rPr>
                <w:rFonts w:ascii="Times New Roman"/>
                <w:sz w:val="12"/>
              </w:rPr>
            </w:pPr>
          </w:p>
        </w:tc>
        <w:tc>
          <w:tcPr>
            <w:tcW w:w="1216" w:type="dxa"/>
          </w:tcPr>
          <w:p w14:paraId="27482490" w14:textId="77777777" w:rsidR="00AC6F3C" w:rsidRDefault="00570E88">
            <w:pPr>
              <w:pStyle w:val="TableParagraph"/>
              <w:spacing w:before="28" w:line="132" w:lineRule="exact"/>
              <w:ind w:left="83" w:right="262"/>
              <w:jc w:val="center"/>
              <w:rPr>
                <w:sz w:val="15"/>
              </w:rPr>
            </w:pPr>
            <w:r>
              <w:rPr>
                <w:spacing w:val="-2"/>
                <w:sz w:val="15"/>
              </w:rPr>
              <w:t>Engagement</w:t>
            </w:r>
          </w:p>
        </w:tc>
        <w:tc>
          <w:tcPr>
            <w:tcW w:w="1810" w:type="dxa"/>
          </w:tcPr>
          <w:p w14:paraId="15AF7FC2" w14:textId="77777777" w:rsidR="00AC6F3C" w:rsidRDefault="00570E88">
            <w:pPr>
              <w:pStyle w:val="TableParagraph"/>
              <w:spacing w:before="28" w:line="132" w:lineRule="exact"/>
              <w:ind w:left="546"/>
              <w:rPr>
                <w:sz w:val="15"/>
              </w:rPr>
            </w:pPr>
            <w:r>
              <w:rPr>
                <w:spacing w:val="-4"/>
                <w:sz w:val="15"/>
              </w:rPr>
              <w:t>on</w:t>
            </w:r>
            <w:r>
              <w:rPr>
                <w:spacing w:val="-6"/>
                <w:sz w:val="15"/>
              </w:rPr>
              <w:t xml:space="preserve"> </w:t>
            </w:r>
            <w:r>
              <w:rPr>
                <w:spacing w:val="-2"/>
                <w:sz w:val="15"/>
              </w:rPr>
              <w:t>member</w:t>
            </w:r>
          </w:p>
        </w:tc>
        <w:tc>
          <w:tcPr>
            <w:tcW w:w="858" w:type="dxa"/>
          </w:tcPr>
          <w:p w14:paraId="08C4E7FB" w14:textId="77777777" w:rsidR="00AC6F3C" w:rsidRDefault="00AC6F3C">
            <w:pPr>
              <w:pStyle w:val="TableParagraph"/>
              <w:rPr>
                <w:rFonts w:ascii="Times New Roman"/>
                <w:sz w:val="12"/>
              </w:rPr>
            </w:pPr>
          </w:p>
        </w:tc>
        <w:tc>
          <w:tcPr>
            <w:tcW w:w="996" w:type="dxa"/>
          </w:tcPr>
          <w:p w14:paraId="05044BFF" w14:textId="77777777" w:rsidR="00AC6F3C" w:rsidRDefault="00AC6F3C">
            <w:pPr>
              <w:pStyle w:val="TableParagraph"/>
              <w:rPr>
                <w:rFonts w:ascii="Times New Roman"/>
                <w:sz w:val="12"/>
              </w:rPr>
            </w:pPr>
          </w:p>
        </w:tc>
        <w:tc>
          <w:tcPr>
            <w:tcW w:w="3576" w:type="dxa"/>
          </w:tcPr>
          <w:p w14:paraId="10E437E0" w14:textId="77777777" w:rsidR="00AC6F3C" w:rsidRDefault="00570E88">
            <w:pPr>
              <w:pStyle w:val="TableParagraph"/>
              <w:spacing w:before="22" w:line="137" w:lineRule="exact"/>
              <w:ind w:right="217"/>
              <w:jc w:val="right"/>
              <w:rPr>
                <w:sz w:val="15"/>
              </w:rPr>
            </w:pPr>
            <w:r>
              <w:rPr>
                <w:spacing w:val="-4"/>
                <w:sz w:val="15"/>
              </w:rPr>
              <w:t>benefits program and member engagement</w:t>
            </w:r>
          </w:p>
        </w:tc>
      </w:tr>
      <w:tr w:rsidR="00AC6F3C" w14:paraId="4DD15C80" w14:textId="77777777">
        <w:trPr>
          <w:trHeight w:val="179"/>
        </w:trPr>
        <w:tc>
          <w:tcPr>
            <w:tcW w:w="841" w:type="dxa"/>
          </w:tcPr>
          <w:p w14:paraId="2525BA1B" w14:textId="77777777" w:rsidR="00AC6F3C" w:rsidRDefault="00AC6F3C">
            <w:pPr>
              <w:pStyle w:val="TableParagraph"/>
              <w:rPr>
                <w:rFonts w:ascii="Times New Roman"/>
                <w:sz w:val="12"/>
              </w:rPr>
            </w:pPr>
          </w:p>
        </w:tc>
        <w:tc>
          <w:tcPr>
            <w:tcW w:w="2144" w:type="dxa"/>
          </w:tcPr>
          <w:p w14:paraId="3361691D" w14:textId="77777777" w:rsidR="00AC6F3C" w:rsidRDefault="00570E88">
            <w:pPr>
              <w:pStyle w:val="TableParagraph"/>
              <w:spacing w:before="28" w:line="132" w:lineRule="exact"/>
              <w:ind w:left="420"/>
              <w:rPr>
                <w:sz w:val="15"/>
              </w:rPr>
            </w:pPr>
            <w:r>
              <w:rPr>
                <w:spacing w:val="-4"/>
                <w:sz w:val="15"/>
              </w:rPr>
              <w:t>program</w:t>
            </w:r>
            <w:r>
              <w:rPr>
                <w:spacing w:val="-5"/>
                <w:sz w:val="15"/>
              </w:rPr>
              <w:t xml:space="preserve"> </w:t>
            </w:r>
            <w:r>
              <w:rPr>
                <w:spacing w:val="-4"/>
                <w:sz w:val="15"/>
              </w:rPr>
              <w:t>and</w:t>
            </w:r>
            <w:r>
              <w:rPr>
                <w:spacing w:val="-5"/>
                <w:sz w:val="15"/>
              </w:rPr>
              <w:t xml:space="preserve"> </w:t>
            </w:r>
            <w:r>
              <w:rPr>
                <w:spacing w:val="-4"/>
                <w:sz w:val="15"/>
              </w:rPr>
              <w:t>member</w:t>
            </w:r>
          </w:p>
        </w:tc>
        <w:tc>
          <w:tcPr>
            <w:tcW w:w="2967" w:type="dxa"/>
          </w:tcPr>
          <w:p w14:paraId="3B0A4611" w14:textId="77777777" w:rsidR="00AC6F3C" w:rsidRDefault="00570E88">
            <w:pPr>
              <w:pStyle w:val="TableParagraph"/>
              <w:spacing w:before="28" w:line="132" w:lineRule="exact"/>
              <w:ind w:left="600"/>
              <w:rPr>
                <w:sz w:val="15"/>
              </w:rPr>
            </w:pPr>
            <w:r>
              <w:rPr>
                <w:spacing w:val="-4"/>
                <w:sz w:val="15"/>
              </w:rPr>
              <w:t>engagement</w:t>
            </w:r>
            <w:r>
              <w:rPr>
                <w:spacing w:val="-3"/>
                <w:sz w:val="15"/>
              </w:rPr>
              <w:t xml:space="preserve"> </w:t>
            </w:r>
            <w:r>
              <w:rPr>
                <w:spacing w:val="-4"/>
                <w:sz w:val="15"/>
              </w:rPr>
              <w:t>strategies</w:t>
            </w:r>
            <w:r>
              <w:rPr>
                <w:spacing w:val="-3"/>
                <w:sz w:val="15"/>
              </w:rPr>
              <w:t xml:space="preserve"> </w:t>
            </w:r>
            <w:r>
              <w:rPr>
                <w:spacing w:val="-4"/>
                <w:sz w:val="15"/>
              </w:rPr>
              <w:t>for</w:t>
            </w:r>
            <w:r>
              <w:rPr>
                <w:spacing w:val="-2"/>
                <w:sz w:val="15"/>
              </w:rPr>
              <w:t xml:space="preserve"> </w:t>
            </w:r>
            <w:r>
              <w:rPr>
                <w:spacing w:val="-5"/>
                <w:sz w:val="15"/>
              </w:rPr>
              <w:t>QLS</w:t>
            </w:r>
          </w:p>
        </w:tc>
        <w:tc>
          <w:tcPr>
            <w:tcW w:w="748" w:type="dxa"/>
          </w:tcPr>
          <w:p w14:paraId="142ECD6D" w14:textId="77777777" w:rsidR="00AC6F3C" w:rsidRDefault="00570E88">
            <w:pPr>
              <w:pStyle w:val="TableParagraph"/>
              <w:spacing w:before="28" w:line="132" w:lineRule="exact"/>
              <w:ind w:left="114"/>
              <w:rPr>
                <w:b/>
                <w:sz w:val="15"/>
              </w:rPr>
            </w:pPr>
            <w:r>
              <w:rPr>
                <w:b/>
                <w:spacing w:val="-4"/>
                <w:sz w:val="15"/>
              </w:rPr>
              <w:t>KPI2</w:t>
            </w:r>
          </w:p>
        </w:tc>
        <w:tc>
          <w:tcPr>
            <w:tcW w:w="821" w:type="dxa"/>
          </w:tcPr>
          <w:p w14:paraId="628B7A81" w14:textId="77777777" w:rsidR="00AC6F3C" w:rsidRDefault="00AC6F3C">
            <w:pPr>
              <w:pStyle w:val="TableParagraph"/>
              <w:rPr>
                <w:rFonts w:ascii="Times New Roman"/>
                <w:sz w:val="12"/>
              </w:rPr>
            </w:pPr>
          </w:p>
        </w:tc>
        <w:tc>
          <w:tcPr>
            <w:tcW w:w="1216" w:type="dxa"/>
          </w:tcPr>
          <w:p w14:paraId="1BE791A3" w14:textId="77777777" w:rsidR="00AC6F3C" w:rsidRDefault="00AC6F3C">
            <w:pPr>
              <w:pStyle w:val="TableParagraph"/>
              <w:rPr>
                <w:rFonts w:ascii="Times New Roman"/>
                <w:sz w:val="12"/>
              </w:rPr>
            </w:pPr>
          </w:p>
        </w:tc>
        <w:tc>
          <w:tcPr>
            <w:tcW w:w="1810" w:type="dxa"/>
          </w:tcPr>
          <w:p w14:paraId="1DCAEDD6" w14:textId="77777777" w:rsidR="00AC6F3C" w:rsidRDefault="00570E88">
            <w:pPr>
              <w:pStyle w:val="TableParagraph"/>
              <w:spacing w:before="28" w:line="132" w:lineRule="exact"/>
              <w:ind w:left="546"/>
              <w:rPr>
                <w:sz w:val="15"/>
              </w:rPr>
            </w:pPr>
            <w:r>
              <w:rPr>
                <w:spacing w:val="-2"/>
                <w:sz w:val="15"/>
              </w:rPr>
              <w:t>engagement</w:t>
            </w:r>
          </w:p>
        </w:tc>
        <w:tc>
          <w:tcPr>
            <w:tcW w:w="858" w:type="dxa"/>
          </w:tcPr>
          <w:p w14:paraId="0D12F97F" w14:textId="77777777" w:rsidR="00AC6F3C" w:rsidRDefault="00AC6F3C">
            <w:pPr>
              <w:pStyle w:val="TableParagraph"/>
              <w:rPr>
                <w:rFonts w:ascii="Times New Roman"/>
                <w:sz w:val="12"/>
              </w:rPr>
            </w:pPr>
          </w:p>
        </w:tc>
        <w:tc>
          <w:tcPr>
            <w:tcW w:w="996" w:type="dxa"/>
          </w:tcPr>
          <w:p w14:paraId="2BFA2CF1" w14:textId="77777777" w:rsidR="00AC6F3C" w:rsidRDefault="00AC6F3C">
            <w:pPr>
              <w:pStyle w:val="TableParagraph"/>
              <w:rPr>
                <w:rFonts w:ascii="Times New Roman"/>
                <w:sz w:val="12"/>
              </w:rPr>
            </w:pPr>
          </w:p>
        </w:tc>
        <w:tc>
          <w:tcPr>
            <w:tcW w:w="3576" w:type="dxa"/>
          </w:tcPr>
          <w:p w14:paraId="379AEF0B" w14:textId="77777777" w:rsidR="00AC6F3C" w:rsidRDefault="00570E88">
            <w:pPr>
              <w:pStyle w:val="TableParagraph"/>
              <w:spacing w:before="22" w:line="137" w:lineRule="exact"/>
              <w:ind w:right="293"/>
              <w:jc w:val="right"/>
              <w:rPr>
                <w:sz w:val="15"/>
              </w:rPr>
            </w:pPr>
            <w:r>
              <w:rPr>
                <w:spacing w:val="-4"/>
                <w:sz w:val="15"/>
              </w:rPr>
              <w:t>strategies for</w:t>
            </w:r>
            <w:r>
              <w:rPr>
                <w:spacing w:val="-3"/>
                <w:sz w:val="15"/>
              </w:rPr>
              <w:t xml:space="preserve"> </w:t>
            </w:r>
            <w:r>
              <w:rPr>
                <w:spacing w:val="-4"/>
                <w:sz w:val="15"/>
              </w:rPr>
              <w:t>QLS</w:t>
            </w:r>
            <w:r>
              <w:rPr>
                <w:spacing w:val="-3"/>
                <w:sz w:val="15"/>
              </w:rPr>
              <w:t xml:space="preserve"> </w:t>
            </w:r>
            <w:r>
              <w:rPr>
                <w:spacing w:val="-4"/>
                <w:sz w:val="15"/>
              </w:rPr>
              <w:t>Future</w:t>
            </w:r>
            <w:r>
              <w:rPr>
                <w:spacing w:val="-3"/>
                <w:sz w:val="15"/>
              </w:rPr>
              <w:t xml:space="preserve"> </w:t>
            </w:r>
            <w:r>
              <w:rPr>
                <w:spacing w:val="-4"/>
                <w:sz w:val="15"/>
              </w:rPr>
              <w:t>Leaders, District</w:t>
            </w:r>
          </w:p>
        </w:tc>
      </w:tr>
      <w:tr w:rsidR="00AC6F3C" w14:paraId="0F2CA402" w14:textId="77777777">
        <w:trPr>
          <w:trHeight w:val="182"/>
        </w:trPr>
        <w:tc>
          <w:tcPr>
            <w:tcW w:w="841" w:type="dxa"/>
          </w:tcPr>
          <w:p w14:paraId="73D67CBA" w14:textId="77777777" w:rsidR="00AC6F3C" w:rsidRDefault="00AC6F3C">
            <w:pPr>
              <w:pStyle w:val="TableParagraph"/>
              <w:rPr>
                <w:rFonts w:ascii="Times New Roman"/>
                <w:sz w:val="12"/>
              </w:rPr>
            </w:pPr>
          </w:p>
        </w:tc>
        <w:tc>
          <w:tcPr>
            <w:tcW w:w="2144" w:type="dxa"/>
          </w:tcPr>
          <w:p w14:paraId="067BF0CC" w14:textId="77777777" w:rsidR="00AC6F3C" w:rsidRDefault="00570E88">
            <w:pPr>
              <w:pStyle w:val="TableParagraph"/>
              <w:spacing w:before="28" w:line="134" w:lineRule="exact"/>
              <w:ind w:left="420"/>
              <w:rPr>
                <w:sz w:val="15"/>
              </w:rPr>
            </w:pPr>
            <w:r>
              <w:rPr>
                <w:spacing w:val="-5"/>
                <w:sz w:val="15"/>
              </w:rPr>
              <w:t>engagement</w:t>
            </w:r>
            <w:r>
              <w:rPr>
                <w:spacing w:val="2"/>
                <w:sz w:val="15"/>
              </w:rPr>
              <w:t xml:space="preserve"> </w:t>
            </w:r>
            <w:r>
              <w:rPr>
                <w:spacing w:val="-2"/>
                <w:sz w:val="15"/>
              </w:rPr>
              <w:t>strategies</w:t>
            </w:r>
          </w:p>
        </w:tc>
        <w:tc>
          <w:tcPr>
            <w:tcW w:w="2967" w:type="dxa"/>
          </w:tcPr>
          <w:p w14:paraId="5BD17416" w14:textId="77777777" w:rsidR="00AC6F3C" w:rsidRDefault="00570E88">
            <w:pPr>
              <w:pStyle w:val="TableParagraph"/>
              <w:spacing w:before="28" w:line="134" w:lineRule="exact"/>
              <w:ind w:left="600"/>
              <w:rPr>
                <w:sz w:val="15"/>
              </w:rPr>
            </w:pPr>
            <w:r>
              <w:rPr>
                <w:spacing w:val="-4"/>
                <w:sz w:val="15"/>
              </w:rPr>
              <w:t>Future</w:t>
            </w:r>
            <w:r>
              <w:rPr>
                <w:spacing w:val="-1"/>
                <w:sz w:val="15"/>
              </w:rPr>
              <w:t xml:space="preserve"> </w:t>
            </w:r>
            <w:r>
              <w:rPr>
                <w:spacing w:val="-4"/>
                <w:sz w:val="15"/>
              </w:rPr>
              <w:t>Leaders,</w:t>
            </w:r>
            <w:r>
              <w:rPr>
                <w:sz w:val="15"/>
              </w:rPr>
              <w:t xml:space="preserve"> </w:t>
            </w:r>
            <w:r>
              <w:rPr>
                <w:spacing w:val="-4"/>
                <w:sz w:val="15"/>
              </w:rPr>
              <w:t>District</w:t>
            </w:r>
            <w:r>
              <w:rPr>
                <w:sz w:val="15"/>
              </w:rPr>
              <w:t xml:space="preserve"> </w:t>
            </w:r>
            <w:r>
              <w:rPr>
                <w:spacing w:val="-5"/>
                <w:sz w:val="15"/>
              </w:rPr>
              <w:t>Law</w:t>
            </w:r>
          </w:p>
        </w:tc>
        <w:tc>
          <w:tcPr>
            <w:tcW w:w="748" w:type="dxa"/>
          </w:tcPr>
          <w:p w14:paraId="0D5F4FC1" w14:textId="77777777" w:rsidR="00AC6F3C" w:rsidRDefault="00AC6F3C">
            <w:pPr>
              <w:pStyle w:val="TableParagraph"/>
              <w:rPr>
                <w:rFonts w:ascii="Times New Roman"/>
                <w:sz w:val="12"/>
              </w:rPr>
            </w:pPr>
          </w:p>
        </w:tc>
        <w:tc>
          <w:tcPr>
            <w:tcW w:w="821" w:type="dxa"/>
          </w:tcPr>
          <w:p w14:paraId="1C8357D6" w14:textId="77777777" w:rsidR="00AC6F3C" w:rsidRDefault="00AC6F3C">
            <w:pPr>
              <w:pStyle w:val="TableParagraph"/>
              <w:rPr>
                <w:rFonts w:ascii="Times New Roman"/>
                <w:sz w:val="12"/>
              </w:rPr>
            </w:pPr>
          </w:p>
        </w:tc>
        <w:tc>
          <w:tcPr>
            <w:tcW w:w="1216" w:type="dxa"/>
          </w:tcPr>
          <w:p w14:paraId="75CD7379" w14:textId="77777777" w:rsidR="00AC6F3C" w:rsidRDefault="00AC6F3C">
            <w:pPr>
              <w:pStyle w:val="TableParagraph"/>
              <w:rPr>
                <w:rFonts w:ascii="Times New Roman"/>
                <w:sz w:val="12"/>
              </w:rPr>
            </w:pPr>
          </w:p>
        </w:tc>
        <w:tc>
          <w:tcPr>
            <w:tcW w:w="1810" w:type="dxa"/>
          </w:tcPr>
          <w:p w14:paraId="65D3D4C7" w14:textId="77777777" w:rsidR="00AC6F3C" w:rsidRDefault="00570E88">
            <w:pPr>
              <w:pStyle w:val="TableParagraph"/>
              <w:spacing w:before="28" w:line="134" w:lineRule="exact"/>
              <w:ind w:left="546"/>
              <w:rPr>
                <w:sz w:val="15"/>
              </w:rPr>
            </w:pPr>
            <w:r>
              <w:rPr>
                <w:spacing w:val="-4"/>
                <w:sz w:val="15"/>
              </w:rPr>
              <w:t>strategies</w:t>
            </w:r>
            <w:r>
              <w:rPr>
                <w:spacing w:val="1"/>
                <w:sz w:val="15"/>
              </w:rPr>
              <w:t xml:space="preserve"> </w:t>
            </w:r>
            <w:r>
              <w:rPr>
                <w:spacing w:val="-5"/>
                <w:sz w:val="15"/>
              </w:rPr>
              <w:t>and</w:t>
            </w:r>
          </w:p>
        </w:tc>
        <w:tc>
          <w:tcPr>
            <w:tcW w:w="858" w:type="dxa"/>
          </w:tcPr>
          <w:p w14:paraId="0A96BED2" w14:textId="77777777" w:rsidR="00AC6F3C" w:rsidRDefault="00AC6F3C">
            <w:pPr>
              <w:pStyle w:val="TableParagraph"/>
              <w:rPr>
                <w:rFonts w:ascii="Times New Roman"/>
                <w:sz w:val="12"/>
              </w:rPr>
            </w:pPr>
          </w:p>
        </w:tc>
        <w:tc>
          <w:tcPr>
            <w:tcW w:w="996" w:type="dxa"/>
          </w:tcPr>
          <w:p w14:paraId="542340AD" w14:textId="77777777" w:rsidR="00AC6F3C" w:rsidRDefault="00AC6F3C">
            <w:pPr>
              <w:pStyle w:val="TableParagraph"/>
              <w:rPr>
                <w:rFonts w:ascii="Times New Roman"/>
                <w:sz w:val="12"/>
              </w:rPr>
            </w:pPr>
          </w:p>
        </w:tc>
        <w:tc>
          <w:tcPr>
            <w:tcW w:w="3576" w:type="dxa"/>
          </w:tcPr>
          <w:p w14:paraId="67750423" w14:textId="77777777" w:rsidR="00AC6F3C" w:rsidRDefault="00570E88">
            <w:pPr>
              <w:pStyle w:val="TableParagraph"/>
              <w:spacing w:before="22" w:line="140" w:lineRule="exact"/>
              <w:ind w:right="358"/>
              <w:jc w:val="right"/>
              <w:rPr>
                <w:sz w:val="15"/>
              </w:rPr>
            </w:pPr>
            <w:r>
              <w:rPr>
                <w:spacing w:val="-4"/>
                <w:sz w:val="15"/>
              </w:rPr>
              <w:t>Law</w:t>
            </w:r>
            <w:r>
              <w:rPr>
                <w:spacing w:val="-2"/>
                <w:sz w:val="15"/>
              </w:rPr>
              <w:t xml:space="preserve"> </w:t>
            </w:r>
            <w:r>
              <w:rPr>
                <w:spacing w:val="-4"/>
                <w:sz w:val="15"/>
              </w:rPr>
              <w:t>Associations</w:t>
            </w:r>
            <w:r>
              <w:rPr>
                <w:spacing w:val="-1"/>
                <w:sz w:val="15"/>
              </w:rPr>
              <w:t xml:space="preserve"> </w:t>
            </w:r>
            <w:r>
              <w:rPr>
                <w:spacing w:val="-4"/>
                <w:sz w:val="15"/>
              </w:rPr>
              <w:t>and</w:t>
            </w:r>
            <w:r>
              <w:rPr>
                <w:spacing w:val="-1"/>
                <w:sz w:val="15"/>
              </w:rPr>
              <w:t xml:space="preserve"> </w:t>
            </w:r>
            <w:r>
              <w:rPr>
                <w:spacing w:val="-4"/>
                <w:sz w:val="15"/>
              </w:rPr>
              <w:t>regional</w:t>
            </w:r>
            <w:r>
              <w:rPr>
                <w:spacing w:val="-1"/>
                <w:sz w:val="15"/>
              </w:rPr>
              <w:t xml:space="preserve"> </w:t>
            </w:r>
            <w:r>
              <w:rPr>
                <w:spacing w:val="-4"/>
                <w:sz w:val="15"/>
              </w:rPr>
              <w:t>members:</w:t>
            </w:r>
          </w:p>
        </w:tc>
      </w:tr>
      <w:tr w:rsidR="00AC6F3C" w14:paraId="10337A55" w14:textId="77777777">
        <w:trPr>
          <w:trHeight w:val="210"/>
        </w:trPr>
        <w:tc>
          <w:tcPr>
            <w:tcW w:w="841" w:type="dxa"/>
          </w:tcPr>
          <w:p w14:paraId="3E9CACC7" w14:textId="77777777" w:rsidR="00AC6F3C" w:rsidRDefault="00AC6F3C">
            <w:pPr>
              <w:pStyle w:val="TableParagraph"/>
              <w:rPr>
                <w:rFonts w:ascii="Times New Roman"/>
                <w:sz w:val="14"/>
              </w:rPr>
            </w:pPr>
          </w:p>
        </w:tc>
        <w:tc>
          <w:tcPr>
            <w:tcW w:w="2144" w:type="dxa"/>
          </w:tcPr>
          <w:p w14:paraId="1B9D3625" w14:textId="77777777" w:rsidR="00AC6F3C" w:rsidRDefault="00570E88">
            <w:pPr>
              <w:pStyle w:val="TableParagraph"/>
              <w:spacing w:before="25" w:line="165" w:lineRule="exact"/>
              <w:ind w:right="189"/>
              <w:jc w:val="right"/>
              <w:rPr>
                <w:sz w:val="15"/>
              </w:rPr>
            </w:pPr>
            <w:r>
              <w:rPr>
                <w:spacing w:val="-4"/>
                <w:sz w:val="15"/>
              </w:rPr>
              <w:t>for</w:t>
            </w:r>
            <w:r>
              <w:rPr>
                <w:spacing w:val="-6"/>
                <w:sz w:val="15"/>
              </w:rPr>
              <w:t xml:space="preserve"> </w:t>
            </w:r>
            <w:r>
              <w:rPr>
                <w:spacing w:val="-4"/>
                <w:sz w:val="15"/>
              </w:rPr>
              <w:t>QLS</w:t>
            </w:r>
            <w:r>
              <w:rPr>
                <w:spacing w:val="-5"/>
                <w:sz w:val="15"/>
              </w:rPr>
              <w:t xml:space="preserve"> </w:t>
            </w:r>
            <w:r>
              <w:rPr>
                <w:spacing w:val="-4"/>
                <w:sz w:val="15"/>
              </w:rPr>
              <w:t>Future</w:t>
            </w:r>
            <w:r>
              <w:rPr>
                <w:spacing w:val="-5"/>
                <w:sz w:val="15"/>
              </w:rPr>
              <w:t xml:space="preserve"> </w:t>
            </w:r>
            <w:r>
              <w:rPr>
                <w:spacing w:val="-4"/>
                <w:sz w:val="15"/>
              </w:rPr>
              <w:t>Leaders,</w:t>
            </w:r>
          </w:p>
        </w:tc>
        <w:tc>
          <w:tcPr>
            <w:tcW w:w="2967" w:type="dxa"/>
          </w:tcPr>
          <w:p w14:paraId="7932F9D6" w14:textId="77777777" w:rsidR="00AC6F3C" w:rsidRDefault="00570E88">
            <w:pPr>
              <w:pStyle w:val="TableParagraph"/>
              <w:spacing w:before="25" w:line="165" w:lineRule="exact"/>
              <w:ind w:left="600"/>
              <w:rPr>
                <w:sz w:val="15"/>
              </w:rPr>
            </w:pPr>
            <w:r>
              <w:rPr>
                <w:spacing w:val="-4"/>
                <w:sz w:val="15"/>
              </w:rPr>
              <w:t>Associations</w:t>
            </w:r>
            <w:r>
              <w:rPr>
                <w:sz w:val="15"/>
              </w:rPr>
              <w:t xml:space="preserve"> </w:t>
            </w:r>
            <w:r>
              <w:rPr>
                <w:spacing w:val="-4"/>
                <w:sz w:val="15"/>
              </w:rPr>
              <w:t>and</w:t>
            </w:r>
            <w:r>
              <w:rPr>
                <w:spacing w:val="1"/>
                <w:sz w:val="15"/>
              </w:rPr>
              <w:t xml:space="preserve"> </w:t>
            </w:r>
            <w:r>
              <w:rPr>
                <w:spacing w:val="-4"/>
                <w:sz w:val="15"/>
              </w:rPr>
              <w:t>regional</w:t>
            </w:r>
            <w:r>
              <w:rPr>
                <w:spacing w:val="1"/>
                <w:sz w:val="15"/>
              </w:rPr>
              <w:t xml:space="preserve"> </w:t>
            </w:r>
            <w:r>
              <w:rPr>
                <w:spacing w:val="-4"/>
                <w:sz w:val="15"/>
              </w:rPr>
              <w:t>members</w:t>
            </w:r>
          </w:p>
        </w:tc>
        <w:tc>
          <w:tcPr>
            <w:tcW w:w="748" w:type="dxa"/>
          </w:tcPr>
          <w:p w14:paraId="33A78320" w14:textId="77777777" w:rsidR="00AC6F3C" w:rsidRDefault="00570E88">
            <w:pPr>
              <w:pStyle w:val="TableParagraph"/>
              <w:spacing w:before="25" w:line="165" w:lineRule="exact"/>
              <w:ind w:left="114"/>
              <w:rPr>
                <w:b/>
                <w:sz w:val="15"/>
              </w:rPr>
            </w:pPr>
            <w:r>
              <w:rPr>
                <w:b/>
                <w:spacing w:val="-4"/>
                <w:sz w:val="15"/>
              </w:rPr>
              <w:t>KPI3</w:t>
            </w:r>
          </w:p>
        </w:tc>
        <w:tc>
          <w:tcPr>
            <w:tcW w:w="821" w:type="dxa"/>
          </w:tcPr>
          <w:p w14:paraId="3C5E2A2F" w14:textId="77777777" w:rsidR="00AC6F3C" w:rsidRDefault="00AC6F3C">
            <w:pPr>
              <w:pStyle w:val="TableParagraph"/>
              <w:rPr>
                <w:rFonts w:ascii="Times New Roman"/>
                <w:sz w:val="14"/>
              </w:rPr>
            </w:pPr>
          </w:p>
        </w:tc>
        <w:tc>
          <w:tcPr>
            <w:tcW w:w="1216" w:type="dxa"/>
          </w:tcPr>
          <w:p w14:paraId="03851276" w14:textId="77777777" w:rsidR="00AC6F3C" w:rsidRDefault="00AC6F3C">
            <w:pPr>
              <w:pStyle w:val="TableParagraph"/>
              <w:rPr>
                <w:rFonts w:ascii="Times New Roman"/>
                <w:sz w:val="14"/>
              </w:rPr>
            </w:pPr>
          </w:p>
        </w:tc>
        <w:tc>
          <w:tcPr>
            <w:tcW w:w="1810" w:type="dxa"/>
          </w:tcPr>
          <w:p w14:paraId="2321F3FD" w14:textId="77777777" w:rsidR="00AC6F3C" w:rsidRDefault="00570E88">
            <w:pPr>
              <w:pStyle w:val="TableParagraph"/>
              <w:spacing w:before="25" w:line="165" w:lineRule="exact"/>
              <w:ind w:left="546"/>
              <w:rPr>
                <w:sz w:val="15"/>
              </w:rPr>
            </w:pPr>
            <w:r>
              <w:rPr>
                <w:spacing w:val="-2"/>
                <w:sz w:val="15"/>
              </w:rPr>
              <w:t>metrics</w:t>
            </w:r>
          </w:p>
        </w:tc>
        <w:tc>
          <w:tcPr>
            <w:tcW w:w="858" w:type="dxa"/>
          </w:tcPr>
          <w:p w14:paraId="6899F072" w14:textId="77777777" w:rsidR="00AC6F3C" w:rsidRDefault="00AC6F3C">
            <w:pPr>
              <w:pStyle w:val="TableParagraph"/>
              <w:rPr>
                <w:rFonts w:ascii="Times New Roman"/>
                <w:sz w:val="14"/>
              </w:rPr>
            </w:pPr>
          </w:p>
        </w:tc>
        <w:tc>
          <w:tcPr>
            <w:tcW w:w="996" w:type="dxa"/>
          </w:tcPr>
          <w:p w14:paraId="74AA46D0" w14:textId="77777777" w:rsidR="00AC6F3C" w:rsidRDefault="00AC6F3C">
            <w:pPr>
              <w:pStyle w:val="TableParagraph"/>
              <w:rPr>
                <w:rFonts w:ascii="Times New Roman"/>
                <w:sz w:val="14"/>
              </w:rPr>
            </w:pPr>
          </w:p>
        </w:tc>
        <w:tc>
          <w:tcPr>
            <w:tcW w:w="3576" w:type="dxa"/>
          </w:tcPr>
          <w:p w14:paraId="436B8E00" w14:textId="77777777" w:rsidR="00AC6F3C" w:rsidRDefault="00570E88">
            <w:pPr>
              <w:pStyle w:val="TableParagraph"/>
              <w:numPr>
                <w:ilvl w:val="0"/>
                <w:numId w:val="67"/>
              </w:numPr>
              <w:tabs>
                <w:tab w:val="left" w:pos="141"/>
              </w:tabs>
              <w:spacing w:before="62" w:line="128" w:lineRule="exact"/>
              <w:ind w:left="141" w:right="229" w:hanging="141"/>
              <w:jc w:val="right"/>
              <w:rPr>
                <w:sz w:val="15"/>
              </w:rPr>
            </w:pPr>
            <w:r>
              <w:rPr>
                <w:spacing w:val="-6"/>
                <w:sz w:val="15"/>
              </w:rPr>
              <w:t>DLAs</w:t>
            </w:r>
            <w:r>
              <w:rPr>
                <w:spacing w:val="-2"/>
                <w:sz w:val="15"/>
              </w:rPr>
              <w:t xml:space="preserve"> </w:t>
            </w:r>
            <w:r>
              <w:rPr>
                <w:spacing w:val="-6"/>
                <w:sz w:val="15"/>
              </w:rPr>
              <w:t>and</w:t>
            </w:r>
            <w:r>
              <w:rPr>
                <w:spacing w:val="-2"/>
                <w:sz w:val="15"/>
              </w:rPr>
              <w:t xml:space="preserve"> </w:t>
            </w:r>
            <w:r>
              <w:rPr>
                <w:spacing w:val="-6"/>
                <w:sz w:val="15"/>
              </w:rPr>
              <w:t>regional</w:t>
            </w:r>
            <w:r>
              <w:rPr>
                <w:spacing w:val="-2"/>
                <w:sz w:val="15"/>
              </w:rPr>
              <w:t xml:space="preserve"> </w:t>
            </w:r>
            <w:r>
              <w:rPr>
                <w:spacing w:val="-6"/>
                <w:sz w:val="15"/>
              </w:rPr>
              <w:t>members</w:t>
            </w:r>
            <w:r>
              <w:rPr>
                <w:spacing w:val="-2"/>
                <w:sz w:val="15"/>
              </w:rPr>
              <w:t xml:space="preserve"> </w:t>
            </w:r>
            <w:r>
              <w:rPr>
                <w:spacing w:val="-6"/>
                <w:sz w:val="15"/>
              </w:rPr>
              <w:t>–</w:t>
            </w:r>
            <w:r>
              <w:rPr>
                <w:spacing w:val="-1"/>
                <w:sz w:val="15"/>
              </w:rPr>
              <w:t xml:space="preserve"> </w:t>
            </w:r>
            <w:r>
              <w:rPr>
                <w:spacing w:val="-6"/>
                <w:sz w:val="15"/>
              </w:rPr>
              <w:t>supporting</w:t>
            </w:r>
          </w:p>
        </w:tc>
      </w:tr>
    </w:tbl>
    <w:p w14:paraId="21E8CAAD" w14:textId="77777777" w:rsidR="00AC6F3C" w:rsidRDefault="00AC6F3C">
      <w:pPr>
        <w:spacing w:line="128" w:lineRule="exact"/>
        <w:jc w:val="right"/>
        <w:rPr>
          <w:sz w:val="15"/>
        </w:rPr>
        <w:sectPr w:rsidR="00AC6F3C">
          <w:headerReference w:type="default" r:id="rId33"/>
          <w:footerReference w:type="default" r:id="rId34"/>
          <w:pgSz w:w="16840" w:h="11910" w:orient="landscape"/>
          <w:pgMar w:top="620" w:right="320" w:bottom="520" w:left="300" w:header="0" w:footer="336" w:gutter="0"/>
          <w:cols w:space="720"/>
        </w:sectPr>
      </w:pPr>
    </w:p>
    <w:p w14:paraId="7AB4005F" w14:textId="77777777" w:rsidR="00AC6F3C" w:rsidRDefault="00570E88">
      <w:pPr>
        <w:spacing w:before="3" w:line="249" w:lineRule="auto"/>
        <w:ind w:left="1386"/>
        <w:rPr>
          <w:sz w:val="15"/>
        </w:rPr>
      </w:pPr>
      <w:r>
        <w:rPr>
          <w:spacing w:val="-4"/>
          <w:sz w:val="15"/>
        </w:rPr>
        <w:t>District</w:t>
      </w:r>
      <w:r>
        <w:rPr>
          <w:spacing w:val="-7"/>
          <w:sz w:val="15"/>
        </w:rPr>
        <w:t xml:space="preserve"> </w:t>
      </w:r>
      <w:r>
        <w:rPr>
          <w:spacing w:val="-4"/>
          <w:sz w:val="15"/>
        </w:rPr>
        <w:t>Law</w:t>
      </w:r>
      <w:r>
        <w:rPr>
          <w:spacing w:val="-6"/>
          <w:sz w:val="15"/>
        </w:rPr>
        <w:t xml:space="preserve"> </w:t>
      </w:r>
      <w:r>
        <w:rPr>
          <w:spacing w:val="-4"/>
          <w:sz w:val="15"/>
        </w:rPr>
        <w:t>Associations</w:t>
      </w:r>
      <w:r>
        <w:rPr>
          <w:sz w:val="15"/>
        </w:rPr>
        <w:t xml:space="preserve"> and regional members</w:t>
      </w:r>
    </w:p>
    <w:p w14:paraId="667F3F2F" w14:textId="77777777" w:rsidR="00AC6F3C" w:rsidRDefault="00570E88">
      <w:pPr>
        <w:spacing w:before="11"/>
        <w:rPr>
          <w:sz w:val="15"/>
        </w:rPr>
      </w:pPr>
      <w:r>
        <w:br w:type="column"/>
      </w:r>
    </w:p>
    <w:p w14:paraId="3AA7E5E3" w14:textId="77777777" w:rsidR="00AC6F3C" w:rsidRDefault="00570E88">
      <w:pPr>
        <w:spacing w:line="501" w:lineRule="auto"/>
        <w:ind w:left="1122" w:right="38"/>
        <w:jc w:val="right"/>
        <w:rPr>
          <w:b/>
          <w:sz w:val="15"/>
        </w:rPr>
      </w:pPr>
      <w:r>
        <w:rPr>
          <w:b/>
          <w:spacing w:val="-8"/>
          <w:sz w:val="15"/>
        </w:rPr>
        <w:t>KPI4</w:t>
      </w:r>
      <w:r>
        <w:rPr>
          <w:b/>
          <w:sz w:val="15"/>
        </w:rPr>
        <w:t xml:space="preserve"> </w:t>
      </w:r>
      <w:r>
        <w:rPr>
          <w:b/>
          <w:spacing w:val="-8"/>
          <w:sz w:val="15"/>
        </w:rPr>
        <w:t>KPI5</w:t>
      </w:r>
    </w:p>
    <w:p w14:paraId="562AF9F3" w14:textId="77777777" w:rsidR="00AC6F3C" w:rsidRDefault="00570E88">
      <w:pPr>
        <w:spacing w:before="40" w:line="249" w:lineRule="auto"/>
        <w:ind w:left="1528" w:right="114"/>
        <w:rPr>
          <w:sz w:val="15"/>
        </w:rPr>
      </w:pPr>
      <w:r>
        <w:br w:type="column"/>
      </w:r>
      <w:r>
        <w:rPr>
          <w:sz w:val="15"/>
        </w:rPr>
        <w:t>DLA</w:t>
      </w:r>
      <w:r>
        <w:rPr>
          <w:spacing w:val="-9"/>
          <w:sz w:val="15"/>
        </w:rPr>
        <w:t xml:space="preserve"> </w:t>
      </w:r>
      <w:r>
        <w:rPr>
          <w:sz w:val="15"/>
        </w:rPr>
        <w:t>events</w:t>
      </w:r>
      <w:r>
        <w:rPr>
          <w:spacing w:val="-9"/>
          <w:sz w:val="15"/>
        </w:rPr>
        <w:t xml:space="preserve"> </w:t>
      </w:r>
      <w:r>
        <w:rPr>
          <w:sz w:val="15"/>
        </w:rPr>
        <w:t>and</w:t>
      </w:r>
      <w:r>
        <w:rPr>
          <w:spacing w:val="-9"/>
          <w:sz w:val="15"/>
        </w:rPr>
        <w:t xml:space="preserve"> </w:t>
      </w:r>
      <w:r>
        <w:rPr>
          <w:sz w:val="15"/>
        </w:rPr>
        <w:t>education</w:t>
      </w:r>
      <w:r>
        <w:rPr>
          <w:spacing w:val="-9"/>
          <w:sz w:val="15"/>
        </w:rPr>
        <w:t xml:space="preserve"> </w:t>
      </w:r>
      <w:r>
        <w:rPr>
          <w:sz w:val="15"/>
        </w:rPr>
        <w:t>through sponsorship,</w:t>
      </w:r>
      <w:r>
        <w:rPr>
          <w:spacing w:val="-8"/>
          <w:sz w:val="15"/>
        </w:rPr>
        <w:t xml:space="preserve"> </w:t>
      </w:r>
      <w:r>
        <w:rPr>
          <w:sz w:val="15"/>
        </w:rPr>
        <w:t>in-kind</w:t>
      </w:r>
      <w:r>
        <w:rPr>
          <w:spacing w:val="-8"/>
          <w:sz w:val="15"/>
        </w:rPr>
        <w:t xml:space="preserve"> </w:t>
      </w:r>
      <w:r>
        <w:rPr>
          <w:sz w:val="15"/>
        </w:rPr>
        <w:t>support</w:t>
      </w:r>
      <w:r>
        <w:rPr>
          <w:spacing w:val="-8"/>
          <w:sz w:val="15"/>
        </w:rPr>
        <w:t xml:space="preserve"> </w:t>
      </w:r>
      <w:r>
        <w:rPr>
          <w:sz w:val="15"/>
        </w:rPr>
        <w:t xml:space="preserve">and </w:t>
      </w:r>
      <w:r>
        <w:rPr>
          <w:spacing w:val="-6"/>
          <w:sz w:val="15"/>
        </w:rPr>
        <w:t>contributing speakers when appropriate. We</w:t>
      </w:r>
      <w:r>
        <w:rPr>
          <w:sz w:val="15"/>
        </w:rPr>
        <w:t xml:space="preserve"> </w:t>
      </w:r>
      <w:r>
        <w:rPr>
          <w:spacing w:val="-6"/>
          <w:sz w:val="15"/>
        </w:rPr>
        <w:t xml:space="preserve">have also </w:t>
      </w:r>
      <w:proofErr w:type="gramStart"/>
      <w:r>
        <w:rPr>
          <w:spacing w:val="-6"/>
          <w:sz w:val="15"/>
        </w:rPr>
        <w:t>worked</w:t>
      </w:r>
      <w:proofErr w:type="gramEnd"/>
      <w:r>
        <w:rPr>
          <w:spacing w:val="-6"/>
          <w:sz w:val="15"/>
        </w:rPr>
        <w:t xml:space="preserve"> with our corporate partner</w:t>
      </w:r>
      <w:r>
        <w:rPr>
          <w:sz w:val="15"/>
        </w:rPr>
        <w:t xml:space="preserve"> PEXA</w:t>
      </w:r>
      <w:r>
        <w:rPr>
          <w:spacing w:val="-11"/>
          <w:sz w:val="15"/>
        </w:rPr>
        <w:t xml:space="preserve"> </w:t>
      </w:r>
      <w:r>
        <w:rPr>
          <w:sz w:val="15"/>
        </w:rPr>
        <w:t>to</w:t>
      </w:r>
      <w:r>
        <w:rPr>
          <w:spacing w:val="-10"/>
          <w:sz w:val="15"/>
        </w:rPr>
        <w:t xml:space="preserve"> </w:t>
      </w:r>
      <w:r>
        <w:rPr>
          <w:sz w:val="15"/>
        </w:rPr>
        <w:t>deliver</w:t>
      </w:r>
      <w:r>
        <w:rPr>
          <w:spacing w:val="-10"/>
          <w:sz w:val="15"/>
        </w:rPr>
        <w:t xml:space="preserve"> </w:t>
      </w:r>
      <w:r>
        <w:rPr>
          <w:sz w:val="15"/>
        </w:rPr>
        <w:t>regional</w:t>
      </w:r>
      <w:r>
        <w:rPr>
          <w:spacing w:val="-11"/>
          <w:sz w:val="15"/>
        </w:rPr>
        <w:t xml:space="preserve"> </w:t>
      </w:r>
      <w:r>
        <w:rPr>
          <w:sz w:val="15"/>
        </w:rPr>
        <w:t>education</w:t>
      </w:r>
      <w:r>
        <w:rPr>
          <w:spacing w:val="-10"/>
          <w:sz w:val="15"/>
        </w:rPr>
        <w:t xml:space="preserve"> </w:t>
      </w:r>
      <w:r>
        <w:rPr>
          <w:sz w:val="15"/>
        </w:rPr>
        <w:t xml:space="preserve">on </w:t>
      </w:r>
      <w:r>
        <w:rPr>
          <w:spacing w:val="-4"/>
          <w:sz w:val="15"/>
        </w:rPr>
        <w:t>important</w:t>
      </w:r>
      <w:r>
        <w:rPr>
          <w:spacing w:val="-6"/>
          <w:sz w:val="15"/>
        </w:rPr>
        <w:t xml:space="preserve"> </w:t>
      </w:r>
      <w:r>
        <w:rPr>
          <w:spacing w:val="-4"/>
          <w:sz w:val="15"/>
        </w:rPr>
        <w:t>changes</w:t>
      </w:r>
      <w:r>
        <w:rPr>
          <w:spacing w:val="-6"/>
          <w:sz w:val="15"/>
        </w:rPr>
        <w:t xml:space="preserve"> </w:t>
      </w:r>
      <w:r>
        <w:rPr>
          <w:spacing w:val="-4"/>
          <w:sz w:val="15"/>
        </w:rPr>
        <w:t>to</w:t>
      </w:r>
      <w:r>
        <w:rPr>
          <w:spacing w:val="-6"/>
          <w:sz w:val="15"/>
        </w:rPr>
        <w:t xml:space="preserve"> </w:t>
      </w:r>
      <w:r>
        <w:rPr>
          <w:spacing w:val="-4"/>
          <w:sz w:val="15"/>
        </w:rPr>
        <w:t>the</w:t>
      </w:r>
      <w:r>
        <w:rPr>
          <w:spacing w:val="-6"/>
          <w:sz w:val="15"/>
        </w:rPr>
        <w:t xml:space="preserve"> </w:t>
      </w:r>
      <w:r>
        <w:rPr>
          <w:i/>
          <w:spacing w:val="-4"/>
          <w:sz w:val="15"/>
        </w:rPr>
        <w:t>Property</w:t>
      </w:r>
      <w:r>
        <w:rPr>
          <w:i/>
          <w:spacing w:val="-6"/>
          <w:sz w:val="15"/>
        </w:rPr>
        <w:t xml:space="preserve"> </w:t>
      </w:r>
      <w:r>
        <w:rPr>
          <w:i/>
          <w:spacing w:val="-4"/>
          <w:sz w:val="15"/>
        </w:rPr>
        <w:t>Law</w:t>
      </w:r>
      <w:r>
        <w:rPr>
          <w:i/>
          <w:spacing w:val="-6"/>
          <w:sz w:val="15"/>
        </w:rPr>
        <w:t xml:space="preserve"> </w:t>
      </w:r>
      <w:r>
        <w:rPr>
          <w:i/>
          <w:spacing w:val="-4"/>
          <w:sz w:val="15"/>
        </w:rPr>
        <w:t>Act</w:t>
      </w:r>
      <w:r>
        <w:rPr>
          <w:spacing w:val="-4"/>
          <w:sz w:val="15"/>
        </w:rPr>
        <w:t>.</w:t>
      </w:r>
    </w:p>
    <w:p w14:paraId="49C3B9DE" w14:textId="77777777" w:rsidR="00AC6F3C" w:rsidRDefault="00570E88">
      <w:pPr>
        <w:pStyle w:val="ListParagraph"/>
        <w:numPr>
          <w:ilvl w:val="3"/>
          <w:numId w:val="68"/>
        </w:numPr>
        <w:tabs>
          <w:tab w:val="left" w:pos="1528"/>
        </w:tabs>
        <w:spacing w:before="46" w:line="249" w:lineRule="auto"/>
        <w:ind w:right="235"/>
        <w:rPr>
          <w:sz w:val="15"/>
        </w:rPr>
      </w:pPr>
      <w:r>
        <w:rPr>
          <w:sz w:val="15"/>
        </w:rPr>
        <w:t>Work</w:t>
      </w:r>
      <w:r>
        <w:rPr>
          <w:spacing w:val="-11"/>
          <w:sz w:val="15"/>
        </w:rPr>
        <w:t xml:space="preserve"> </w:t>
      </w:r>
      <w:r>
        <w:rPr>
          <w:sz w:val="15"/>
        </w:rPr>
        <w:t>has</w:t>
      </w:r>
      <w:r>
        <w:rPr>
          <w:spacing w:val="-10"/>
          <w:sz w:val="15"/>
        </w:rPr>
        <w:t xml:space="preserve"> </w:t>
      </w:r>
      <w:proofErr w:type="gramStart"/>
      <w:r>
        <w:rPr>
          <w:sz w:val="15"/>
        </w:rPr>
        <w:t>continued</w:t>
      </w:r>
      <w:r>
        <w:rPr>
          <w:spacing w:val="-11"/>
          <w:sz w:val="15"/>
        </w:rPr>
        <w:t xml:space="preserve"> </w:t>
      </w:r>
      <w:r>
        <w:rPr>
          <w:sz w:val="15"/>
        </w:rPr>
        <w:t>on</w:t>
      </w:r>
      <w:proofErr w:type="gramEnd"/>
      <w:r>
        <w:rPr>
          <w:spacing w:val="-10"/>
          <w:sz w:val="15"/>
        </w:rPr>
        <w:t xml:space="preserve"> </w:t>
      </w:r>
      <w:r>
        <w:rPr>
          <w:sz w:val="15"/>
        </w:rPr>
        <w:t>the</w:t>
      </w:r>
      <w:r>
        <w:rPr>
          <w:spacing w:val="-11"/>
          <w:sz w:val="15"/>
        </w:rPr>
        <w:t xml:space="preserve"> </w:t>
      </w:r>
      <w:r>
        <w:rPr>
          <w:sz w:val="15"/>
        </w:rPr>
        <w:t>new</w:t>
      </w:r>
      <w:r>
        <w:rPr>
          <w:spacing w:val="-10"/>
          <w:sz w:val="15"/>
        </w:rPr>
        <w:t xml:space="preserve"> </w:t>
      </w:r>
      <w:r>
        <w:rPr>
          <w:sz w:val="15"/>
        </w:rPr>
        <w:t xml:space="preserve">microsite </w:t>
      </w:r>
      <w:r>
        <w:rPr>
          <w:spacing w:val="-6"/>
          <w:sz w:val="15"/>
        </w:rPr>
        <w:t>You and the Law which will house the find a</w:t>
      </w:r>
      <w:r>
        <w:rPr>
          <w:sz w:val="15"/>
        </w:rPr>
        <w:t xml:space="preserve"> </w:t>
      </w:r>
      <w:r>
        <w:rPr>
          <w:spacing w:val="-6"/>
          <w:sz w:val="15"/>
        </w:rPr>
        <w:t xml:space="preserve">solicitor search and </w:t>
      </w:r>
      <w:proofErr w:type="spellStart"/>
      <w:r>
        <w:rPr>
          <w:spacing w:val="-6"/>
          <w:sz w:val="15"/>
        </w:rPr>
        <w:t>specialised</w:t>
      </w:r>
      <w:proofErr w:type="spellEnd"/>
      <w:r>
        <w:rPr>
          <w:spacing w:val="-6"/>
          <w:sz w:val="15"/>
        </w:rPr>
        <w:t xml:space="preserve"> community-</w:t>
      </w:r>
      <w:r>
        <w:rPr>
          <w:sz w:val="15"/>
        </w:rPr>
        <w:t xml:space="preserve"> focused</w:t>
      </w:r>
      <w:r>
        <w:rPr>
          <w:spacing w:val="-11"/>
          <w:sz w:val="15"/>
        </w:rPr>
        <w:t xml:space="preserve"> </w:t>
      </w:r>
      <w:r>
        <w:rPr>
          <w:sz w:val="15"/>
        </w:rPr>
        <w:t>content.</w:t>
      </w:r>
      <w:r>
        <w:rPr>
          <w:spacing w:val="-10"/>
          <w:sz w:val="15"/>
        </w:rPr>
        <w:t xml:space="preserve"> </w:t>
      </w:r>
      <w:r>
        <w:rPr>
          <w:sz w:val="15"/>
        </w:rPr>
        <w:t>Although</w:t>
      </w:r>
      <w:r>
        <w:rPr>
          <w:spacing w:val="-11"/>
          <w:sz w:val="15"/>
        </w:rPr>
        <w:t xml:space="preserve"> </w:t>
      </w:r>
      <w:r>
        <w:rPr>
          <w:sz w:val="15"/>
        </w:rPr>
        <w:t>this</w:t>
      </w:r>
      <w:r>
        <w:rPr>
          <w:spacing w:val="-10"/>
          <w:sz w:val="15"/>
        </w:rPr>
        <w:t xml:space="preserve"> </w:t>
      </w:r>
      <w:r>
        <w:rPr>
          <w:sz w:val="15"/>
        </w:rPr>
        <w:t>has</w:t>
      </w:r>
      <w:r>
        <w:rPr>
          <w:spacing w:val="-11"/>
          <w:sz w:val="15"/>
        </w:rPr>
        <w:t xml:space="preserve"> </w:t>
      </w:r>
      <w:r>
        <w:rPr>
          <w:sz w:val="15"/>
        </w:rPr>
        <w:t xml:space="preserve">been </w:t>
      </w:r>
      <w:proofErr w:type="gramStart"/>
      <w:r>
        <w:rPr>
          <w:sz w:val="15"/>
        </w:rPr>
        <w:t>somewhat</w:t>
      </w:r>
      <w:r>
        <w:rPr>
          <w:spacing w:val="-11"/>
          <w:sz w:val="15"/>
        </w:rPr>
        <w:t xml:space="preserve"> </w:t>
      </w:r>
      <w:r>
        <w:rPr>
          <w:sz w:val="15"/>
        </w:rPr>
        <w:t>delayed</w:t>
      </w:r>
      <w:proofErr w:type="gramEnd"/>
      <w:r>
        <w:rPr>
          <w:spacing w:val="-10"/>
          <w:sz w:val="15"/>
        </w:rPr>
        <w:t xml:space="preserve"> </w:t>
      </w:r>
      <w:r>
        <w:rPr>
          <w:sz w:val="15"/>
        </w:rPr>
        <w:t>due</w:t>
      </w:r>
      <w:r>
        <w:rPr>
          <w:spacing w:val="-11"/>
          <w:sz w:val="15"/>
        </w:rPr>
        <w:t xml:space="preserve"> </w:t>
      </w:r>
      <w:r>
        <w:rPr>
          <w:sz w:val="15"/>
        </w:rPr>
        <w:t>to</w:t>
      </w:r>
      <w:r>
        <w:rPr>
          <w:spacing w:val="-10"/>
          <w:sz w:val="15"/>
        </w:rPr>
        <w:t xml:space="preserve"> </w:t>
      </w:r>
      <w:r>
        <w:rPr>
          <w:sz w:val="15"/>
        </w:rPr>
        <w:t>issues</w:t>
      </w:r>
      <w:r>
        <w:rPr>
          <w:spacing w:val="-11"/>
          <w:sz w:val="15"/>
        </w:rPr>
        <w:t xml:space="preserve"> </w:t>
      </w:r>
      <w:r>
        <w:rPr>
          <w:sz w:val="15"/>
        </w:rPr>
        <w:t xml:space="preserve">with </w:t>
      </w:r>
      <w:r>
        <w:rPr>
          <w:spacing w:val="-2"/>
          <w:sz w:val="15"/>
        </w:rPr>
        <w:t>deploying</w:t>
      </w:r>
      <w:r>
        <w:rPr>
          <w:spacing w:val="-4"/>
          <w:sz w:val="15"/>
        </w:rPr>
        <w:t xml:space="preserve"> </w:t>
      </w:r>
      <w:r>
        <w:rPr>
          <w:spacing w:val="-2"/>
          <w:sz w:val="15"/>
        </w:rPr>
        <w:t>the</w:t>
      </w:r>
      <w:r>
        <w:rPr>
          <w:spacing w:val="-4"/>
          <w:sz w:val="15"/>
        </w:rPr>
        <w:t xml:space="preserve"> </w:t>
      </w:r>
      <w:r>
        <w:rPr>
          <w:spacing w:val="-2"/>
          <w:sz w:val="15"/>
        </w:rPr>
        <w:t>dynamic</w:t>
      </w:r>
      <w:r>
        <w:rPr>
          <w:spacing w:val="-4"/>
          <w:sz w:val="15"/>
        </w:rPr>
        <w:t xml:space="preserve"> </w:t>
      </w:r>
      <w:r>
        <w:rPr>
          <w:spacing w:val="-2"/>
          <w:sz w:val="15"/>
        </w:rPr>
        <w:t>register,</w:t>
      </w:r>
      <w:r>
        <w:rPr>
          <w:spacing w:val="-4"/>
          <w:sz w:val="15"/>
        </w:rPr>
        <w:t xml:space="preserve"> </w:t>
      </w:r>
      <w:r>
        <w:rPr>
          <w:spacing w:val="-2"/>
          <w:sz w:val="15"/>
        </w:rPr>
        <w:t>we</w:t>
      </w:r>
      <w:r>
        <w:rPr>
          <w:spacing w:val="-4"/>
          <w:sz w:val="15"/>
        </w:rPr>
        <w:t xml:space="preserve"> </w:t>
      </w:r>
      <w:r>
        <w:rPr>
          <w:spacing w:val="-2"/>
          <w:sz w:val="15"/>
        </w:rPr>
        <w:t>have</w:t>
      </w:r>
      <w:r>
        <w:rPr>
          <w:sz w:val="15"/>
        </w:rPr>
        <w:t xml:space="preserve"> continued</w:t>
      </w:r>
      <w:r>
        <w:rPr>
          <w:spacing w:val="-11"/>
          <w:sz w:val="15"/>
        </w:rPr>
        <w:t xml:space="preserve"> </w:t>
      </w:r>
      <w:r>
        <w:rPr>
          <w:sz w:val="15"/>
        </w:rPr>
        <w:t>to</w:t>
      </w:r>
      <w:r>
        <w:rPr>
          <w:spacing w:val="-10"/>
          <w:sz w:val="15"/>
        </w:rPr>
        <w:t xml:space="preserve"> </w:t>
      </w:r>
      <w:r>
        <w:rPr>
          <w:sz w:val="15"/>
        </w:rPr>
        <w:t>work</w:t>
      </w:r>
      <w:r>
        <w:rPr>
          <w:spacing w:val="-11"/>
          <w:sz w:val="15"/>
        </w:rPr>
        <w:t xml:space="preserve"> </w:t>
      </w:r>
      <w:r>
        <w:rPr>
          <w:sz w:val="15"/>
        </w:rPr>
        <w:t>on</w:t>
      </w:r>
      <w:r>
        <w:rPr>
          <w:spacing w:val="-10"/>
          <w:sz w:val="15"/>
        </w:rPr>
        <w:t xml:space="preserve"> </w:t>
      </w:r>
      <w:r>
        <w:rPr>
          <w:sz w:val="15"/>
        </w:rPr>
        <w:t>refining</w:t>
      </w:r>
      <w:r>
        <w:rPr>
          <w:spacing w:val="-11"/>
          <w:sz w:val="15"/>
        </w:rPr>
        <w:t xml:space="preserve"> </w:t>
      </w:r>
      <w:r>
        <w:rPr>
          <w:sz w:val="15"/>
        </w:rPr>
        <w:t>the</w:t>
      </w:r>
      <w:r>
        <w:rPr>
          <w:spacing w:val="-10"/>
          <w:sz w:val="15"/>
        </w:rPr>
        <w:t xml:space="preserve"> </w:t>
      </w:r>
      <w:r>
        <w:rPr>
          <w:sz w:val="15"/>
        </w:rPr>
        <w:t xml:space="preserve">content </w:t>
      </w:r>
      <w:r>
        <w:rPr>
          <w:spacing w:val="-2"/>
          <w:sz w:val="15"/>
        </w:rPr>
        <w:t>and</w:t>
      </w:r>
      <w:r>
        <w:rPr>
          <w:spacing w:val="-9"/>
          <w:sz w:val="15"/>
        </w:rPr>
        <w:t xml:space="preserve"> </w:t>
      </w:r>
      <w:r>
        <w:rPr>
          <w:spacing w:val="-2"/>
          <w:sz w:val="15"/>
        </w:rPr>
        <w:t>plans</w:t>
      </w:r>
      <w:r>
        <w:rPr>
          <w:spacing w:val="-8"/>
          <w:sz w:val="15"/>
        </w:rPr>
        <w:t xml:space="preserve"> </w:t>
      </w:r>
      <w:r>
        <w:rPr>
          <w:spacing w:val="-2"/>
          <w:sz w:val="15"/>
        </w:rPr>
        <w:t>to</w:t>
      </w:r>
      <w:r>
        <w:rPr>
          <w:spacing w:val="-9"/>
          <w:sz w:val="15"/>
        </w:rPr>
        <w:t xml:space="preserve"> </w:t>
      </w:r>
      <w:r>
        <w:rPr>
          <w:spacing w:val="-2"/>
          <w:sz w:val="15"/>
        </w:rPr>
        <w:t>launch</w:t>
      </w:r>
      <w:r>
        <w:rPr>
          <w:spacing w:val="-8"/>
          <w:sz w:val="15"/>
        </w:rPr>
        <w:t xml:space="preserve"> </w:t>
      </w:r>
      <w:r>
        <w:rPr>
          <w:spacing w:val="-2"/>
          <w:sz w:val="15"/>
        </w:rPr>
        <w:t>featured</w:t>
      </w:r>
      <w:r>
        <w:rPr>
          <w:spacing w:val="-9"/>
          <w:sz w:val="15"/>
        </w:rPr>
        <w:t xml:space="preserve"> </w:t>
      </w:r>
      <w:r>
        <w:rPr>
          <w:spacing w:val="-2"/>
          <w:sz w:val="15"/>
        </w:rPr>
        <w:t>listings</w:t>
      </w:r>
      <w:r>
        <w:rPr>
          <w:spacing w:val="-8"/>
          <w:sz w:val="15"/>
        </w:rPr>
        <w:t xml:space="preserve"> </w:t>
      </w:r>
      <w:r>
        <w:rPr>
          <w:spacing w:val="-2"/>
          <w:sz w:val="15"/>
        </w:rPr>
        <w:t>as</w:t>
      </w:r>
      <w:r>
        <w:rPr>
          <w:spacing w:val="-8"/>
          <w:sz w:val="15"/>
        </w:rPr>
        <w:t xml:space="preserve"> </w:t>
      </w:r>
      <w:r>
        <w:rPr>
          <w:spacing w:val="-2"/>
          <w:sz w:val="15"/>
        </w:rPr>
        <w:t>an</w:t>
      </w:r>
      <w:r>
        <w:rPr>
          <w:sz w:val="15"/>
        </w:rPr>
        <w:t xml:space="preserve"> additional</w:t>
      </w:r>
      <w:r>
        <w:rPr>
          <w:spacing w:val="-11"/>
          <w:sz w:val="15"/>
        </w:rPr>
        <w:t xml:space="preserve"> </w:t>
      </w:r>
      <w:r>
        <w:rPr>
          <w:sz w:val="15"/>
        </w:rPr>
        <w:t>revenue</w:t>
      </w:r>
      <w:r>
        <w:rPr>
          <w:spacing w:val="-10"/>
          <w:sz w:val="15"/>
        </w:rPr>
        <w:t xml:space="preserve"> </w:t>
      </w:r>
      <w:r>
        <w:rPr>
          <w:sz w:val="15"/>
        </w:rPr>
        <w:t>stream</w:t>
      </w:r>
      <w:r>
        <w:rPr>
          <w:spacing w:val="-11"/>
          <w:sz w:val="15"/>
        </w:rPr>
        <w:t xml:space="preserve"> </w:t>
      </w:r>
      <w:r>
        <w:rPr>
          <w:sz w:val="15"/>
        </w:rPr>
        <w:t>in</w:t>
      </w:r>
      <w:r>
        <w:rPr>
          <w:spacing w:val="-10"/>
          <w:sz w:val="15"/>
        </w:rPr>
        <w:t xml:space="preserve"> </w:t>
      </w:r>
      <w:r>
        <w:rPr>
          <w:sz w:val="15"/>
        </w:rPr>
        <w:t>FY24.</w:t>
      </w:r>
    </w:p>
    <w:p w14:paraId="74BE4446" w14:textId="77777777" w:rsidR="00AC6F3C" w:rsidRDefault="00570E88">
      <w:pPr>
        <w:pStyle w:val="ListParagraph"/>
        <w:numPr>
          <w:ilvl w:val="3"/>
          <w:numId w:val="68"/>
        </w:numPr>
        <w:tabs>
          <w:tab w:val="left" w:pos="1528"/>
        </w:tabs>
        <w:spacing w:before="48" w:line="249" w:lineRule="auto"/>
        <w:ind w:right="390"/>
        <w:rPr>
          <w:sz w:val="15"/>
        </w:rPr>
      </w:pPr>
      <w:r>
        <w:rPr>
          <w:spacing w:val="-6"/>
          <w:sz w:val="15"/>
        </w:rPr>
        <w:t>QLS</w:t>
      </w:r>
      <w:r>
        <w:rPr>
          <w:spacing w:val="-7"/>
          <w:sz w:val="15"/>
        </w:rPr>
        <w:t xml:space="preserve"> </w:t>
      </w:r>
      <w:r>
        <w:rPr>
          <w:spacing w:val="-6"/>
          <w:sz w:val="15"/>
        </w:rPr>
        <w:t>Excellence</w:t>
      </w:r>
      <w:r>
        <w:rPr>
          <w:spacing w:val="-7"/>
          <w:sz w:val="15"/>
        </w:rPr>
        <w:t xml:space="preserve"> </w:t>
      </w:r>
      <w:r>
        <w:rPr>
          <w:spacing w:val="-6"/>
          <w:sz w:val="15"/>
        </w:rPr>
        <w:t>in</w:t>
      </w:r>
      <w:r>
        <w:rPr>
          <w:spacing w:val="-7"/>
          <w:sz w:val="15"/>
        </w:rPr>
        <w:t xml:space="preserve"> </w:t>
      </w:r>
      <w:r>
        <w:rPr>
          <w:spacing w:val="-6"/>
          <w:sz w:val="15"/>
        </w:rPr>
        <w:t>Law</w:t>
      </w:r>
      <w:r>
        <w:rPr>
          <w:spacing w:val="-7"/>
          <w:sz w:val="15"/>
        </w:rPr>
        <w:t xml:space="preserve"> </w:t>
      </w:r>
      <w:r>
        <w:rPr>
          <w:spacing w:val="-6"/>
          <w:sz w:val="15"/>
        </w:rPr>
        <w:t>Awards</w:t>
      </w:r>
      <w:r>
        <w:rPr>
          <w:spacing w:val="-7"/>
          <w:sz w:val="15"/>
        </w:rPr>
        <w:t xml:space="preserve"> </w:t>
      </w:r>
      <w:r>
        <w:rPr>
          <w:spacing w:val="-6"/>
          <w:sz w:val="15"/>
        </w:rPr>
        <w:t>launched</w:t>
      </w:r>
      <w:r>
        <w:rPr>
          <w:sz w:val="15"/>
        </w:rPr>
        <w:t xml:space="preserve"> this</w:t>
      </w:r>
      <w:r>
        <w:rPr>
          <w:spacing w:val="-11"/>
          <w:sz w:val="15"/>
        </w:rPr>
        <w:t xml:space="preserve"> </w:t>
      </w:r>
      <w:proofErr w:type="gramStart"/>
      <w:r>
        <w:rPr>
          <w:sz w:val="15"/>
        </w:rPr>
        <w:t>financial</w:t>
      </w:r>
      <w:r>
        <w:rPr>
          <w:spacing w:val="-10"/>
          <w:sz w:val="15"/>
        </w:rPr>
        <w:t xml:space="preserve"> </w:t>
      </w:r>
      <w:r>
        <w:rPr>
          <w:sz w:val="15"/>
        </w:rPr>
        <w:t>year</w:t>
      </w:r>
      <w:proofErr w:type="gramEnd"/>
      <w:r>
        <w:rPr>
          <w:spacing w:val="-11"/>
          <w:sz w:val="15"/>
        </w:rPr>
        <w:t xml:space="preserve"> </w:t>
      </w:r>
      <w:r>
        <w:rPr>
          <w:sz w:val="15"/>
        </w:rPr>
        <w:t>were</w:t>
      </w:r>
      <w:r>
        <w:rPr>
          <w:spacing w:val="-10"/>
          <w:sz w:val="15"/>
        </w:rPr>
        <w:t xml:space="preserve"> </w:t>
      </w:r>
      <w:r>
        <w:rPr>
          <w:sz w:val="15"/>
        </w:rPr>
        <w:t>very</w:t>
      </w:r>
      <w:r>
        <w:rPr>
          <w:spacing w:val="-11"/>
          <w:sz w:val="15"/>
        </w:rPr>
        <w:t xml:space="preserve"> </w:t>
      </w:r>
      <w:r>
        <w:rPr>
          <w:sz w:val="15"/>
        </w:rPr>
        <w:t xml:space="preserve">successful </w:t>
      </w:r>
      <w:r>
        <w:rPr>
          <w:spacing w:val="-4"/>
          <w:sz w:val="15"/>
        </w:rPr>
        <w:t>in</w:t>
      </w:r>
      <w:r>
        <w:rPr>
          <w:spacing w:val="-10"/>
          <w:sz w:val="15"/>
        </w:rPr>
        <w:t xml:space="preserve"> </w:t>
      </w:r>
      <w:r>
        <w:rPr>
          <w:spacing w:val="-4"/>
          <w:sz w:val="15"/>
        </w:rPr>
        <w:t>engaging</w:t>
      </w:r>
      <w:r>
        <w:rPr>
          <w:spacing w:val="-8"/>
          <w:sz w:val="15"/>
        </w:rPr>
        <w:t xml:space="preserve"> </w:t>
      </w:r>
      <w:r>
        <w:rPr>
          <w:spacing w:val="-4"/>
          <w:sz w:val="15"/>
        </w:rPr>
        <w:t>the</w:t>
      </w:r>
      <w:r>
        <w:rPr>
          <w:spacing w:val="-8"/>
          <w:sz w:val="15"/>
        </w:rPr>
        <w:t xml:space="preserve"> </w:t>
      </w:r>
      <w:r>
        <w:rPr>
          <w:spacing w:val="-4"/>
          <w:sz w:val="15"/>
        </w:rPr>
        <w:t>profession</w:t>
      </w:r>
      <w:r>
        <w:rPr>
          <w:spacing w:val="-8"/>
          <w:sz w:val="15"/>
        </w:rPr>
        <w:t xml:space="preserve"> </w:t>
      </w:r>
      <w:r>
        <w:rPr>
          <w:spacing w:val="-4"/>
          <w:sz w:val="15"/>
        </w:rPr>
        <w:t>and</w:t>
      </w:r>
      <w:r>
        <w:rPr>
          <w:spacing w:val="-8"/>
          <w:sz w:val="15"/>
        </w:rPr>
        <w:t xml:space="preserve"> </w:t>
      </w:r>
      <w:r>
        <w:rPr>
          <w:spacing w:val="-4"/>
          <w:sz w:val="15"/>
        </w:rPr>
        <w:t>providing</w:t>
      </w:r>
      <w:r>
        <w:rPr>
          <w:sz w:val="15"/>
        </w:rPr>
        <w:t xml:space="preserve"> a</w:t>
      </w:r>
      <w:r>
        <w:rPr>
          <w:spacing w:val="-9"/>
          <w:sz w:val="15"/>
        </w:rPr>
        <w:t xml:space="preserve"> </w:t>
      </w:r>
      <w:r>
        <w:rPr>
          <w:sz w:val="15"/>
        </w:rPr>
        <w:t>forum</w:t>
      </w:r>
      <w:r>
        <w:rPr>
          <w:spacing w:val="-9"/>
          <w:sz w:val="15"/>
        </w:rPr>
        <w:t xml:space="preserve"> </w:t>
      </w:r>
      <w:r>
        <w:rPr>
          <w:sz w:val="15"/>
        </w:rPr>
        <w:t>to</w:t>
      </w:r>
      <w:r>
        <w:rPr>
          <w:spacing w:val="-9"/>
          <w:sz w:val="15"/>
        </w:rPr>
        <w:t xml:space="preserve"> </w:t>
      </w:r>
      <w:proofErr w:type="spellStart"/>
      <w:r>
        <w:rPr>
          <w:sz w:val="15"/>
        </w:rPr>
        <w:t>recognise</w:t>
      </w:r>
      <w:proofErr w:type="spellEnd"/>
      <w:r>
        <w:rPr>
          <w:spacing w:val="-9"/>
          <w:sz w:val="15"/>
        </w:rPr>
        <w:t xml:space="preserve"> </w:t>
      </w:r>
      <w:r>
        <w:rPr>
          <w:sz w:val="15"/>
        </w:rPr>
        <w:t>excellence</w:t>
      </w:r>
      <w:r>
        <w:rPr>
          <w:spacing w:val="-9"/>
          <w:sz w:val="15"/>
        </w:rPr>
        <w:t xml:space="preserve"> </w:t>
      </w:r>
      <w:r>
        <w:rPr>
          <w:sz w:val="15"/>
        </w:rPr>
        <w:t>in</w:t>
      </w:r>
    </w:p>
    <w:p w14:paraId="424E2E56" w14:textId="77777777" w:rsidR="00AC6F3C" w:rsidRDefault="00570E88">
      <w:pPr>
        <w:spacing w:before="3" w:line="249" w:lineRule="auto"/>
        <w:ind w:left="1528" w:right="114"/>
        <w:rPr>
          <w:sz w:val="15"/>
        </w:rPr>
      </w:pPr>
      <w:r>
        <w:rPr>
          <w:spacing w:val="-6"/>
          <w:sz w:val="15"/>
        </w:rPr>
        <w:t>practitioners from target segments including</w:t>
      </w:r>
      <w:r>
        <w:rPr>
          <w:sz w:val="15"/>
        </w:rPr>
        <w:t xml:space="preserve"> emerging</w:t>
      </w:r>
      <w:r>
        <w:rPr>
          <w:spacing w:val="-11"/>
          <w:sz w:val="15"/>
        </w:rPr>
        <w:t xml:space="preserve"> </w:t>
      </w:r>
      <w:r>
        <w:rPr>
          <w:sz w:val="15"/>
        </w:rPr>
        <w:t>leaders,</w:t>
      </w:r>
      <w:r>
        <w:rPr>
          <w:spacing w:val="-10"/>
          <w:sz w:val="15"/>
        </w:rPr>
        <w:t xml:space="preserve"> </w:t>
      </w:r>
      <w:r>
        <w:rPr>
          <w:sz w:val="15"/>
        </w:rPr>
        <w:t>in-house</w:t>
      </w:r>
      <w:r>
        <w:rPr>
          <w:spacing w:val="-11"/>
          <w:sz w:val="15"/>
        </w:rPr>
        <w:t xml:space="preserve"> </w:t>
      </w:r>
      <w:r>
        <w:rPr>
          <w:sz w:val="15"/>
        </w:rPr>
        <w:t xml:space="preserve">counsel, </w:t>
      </w:r>
      <w:r>
        <w:rPr>
          <w:spacing w:val="-4"/>
          <w:sz w:val="15"/>
        </w:rPr>
        <w:t xml:space="preserve">regional </w:t>
      </w:r>
      <w:proofErr w:type="gramStart"/>
      <w:r>
        <w:rPr>
          <w:spacing w:val="-4"/>
          <w:sz w:val="15"/>
        </w:rPr>
        <w:t>practitioners</w:t>
      </w:r>
      <w:proofErr w:type="gramEnd"/>
      <w:r>
        <w:rPr>
          <w:spacing w:val="-4"/>
          <w:sz w:val="15"/>
        </w:rPr>
        <w:t xml:space="preserve"> and small firms / sole</w:t>
      </w:r>
      <w:r>
        <w:rPr>
          <w:sz w:val="15"/>
        </w:rPr>
        <w:t xml:space="preserve"> practitioners</w:t>
      </w:r>
      <w:r>
        <w:rPr>
          <w:spacing w:val="-11"/>
          <w:sz w:val="15"/>
        </w:rPr>
        <w:t xml:space="preserve"> </w:t>
      </w:r>
      <w:r>
        <w:rPr>
          <w:sz w:val="15"/>
        </w:rPr>
        <w:t>which</w:t>
      </w:r>
      <w:r>
        <w:rPr>
          <w:spacing w:val="-10"/>
          <w:sz w:val="15"/>
        </w:rPr>
        <w:t xml:space="preserve"> </w:t>
      </w:r>
      <w:r>
        <w:rPr>
          <w:sz w:val="15"/>
        </w:rPr>
        <w:t>are</w:t>
      </w:r>
      <w:r>
        <w:rPr>
          <w:spacing w:val="-11"/>
          <w:sz w:val="15"/>
        </w:rPr>
        <w:t xml:space="preserve"> </w:t>
      </w:r>
      <w:r>
        <w:rPr>
          <w:sz w:val="15"/>
        </w:rPr>
        <w:t>a</w:t>
      </w:r>
      <w:r>
        <w:rPr>
          <w:spacing w:val="-10"/>
          <w:sz w:val="15"/>
        </w:rPr>
        <w:t xml:space="preserve"> </w:t>
      </w:r>
      <w:r>
        <w:rPr>
          <w:sz w:val="15"/>
        </w:rPr>
        <w:t>major</w:t>
      </w:r>
      <w:r>
        <w:rPr>
          <w:spacing w:val="-11"/>
          <w:sz w:val="15"/>
        </w:rPr>
        <w:t xml:space="preserve"> </w:t>
      </w:r>
      <w:r>
        <w:rPr>
          <w:sz w:val="15"/>
        </w:rPr>
        <w:t>part</w:t>
      </w:r>
      <w:r>
        <w:rPr>
          <w:spacing w:val="-10"/>
          <w:sz w:val="15"/>
        </w:rPr>
        <w:t xml:space="preserve"> </w:t>
      </w:r>
      <w:r>
        <w:rPr>
          <w:sz w:val="15"/>
        </w:rPr>
        <w:t>of</w:t>
      </w:r>
      <w:r>
        <w:rPr>
          <w:spacing w:val="-10"/>
          <w:sz w:val="15"/>
        </w:rPr>
        <w:t xml:space="preserve"> </w:t>
      </w:r>
      <w:r>
        <w:rPr>
          <w:sz w:val="15"/>
        </w:rPr>
        <w:t>the Brisbane</w:t>
      </w:r>
      <w:r>
        <w:rPr>
          <w:spacing w:val="-3"/>
          <w:sz w:val="15"/>
        </w:rPr>
        <w:t xml:space="preserve"> </w:t>
      </w:r>
      <w:r>
        <w:rPr>
          <w:sz w:val="15"/>
        </w:rPr>
        <w:t>suburban</w:t>
      </w:r>
      <w:r>
        <w:rPr>
          <w:spacing w:val="-3"/>
          <w:sz w:val="15"/>
        </w:rPr>
        <w:t xml:space="preserve"> </w:t>
      </w:r>
      <w:r>
        <w:rPr>
          <w:sz w:val="15"/>
        </w:rPr>
        <w:t>segment.</w:t>
      </w:r>
    </w:p>
    <w:p w14:paraId="4C546B4A" w14:textId="77777777" w:rsidR="00AC6F3C" w:rsidRDefault="00570E88">
      <w:pPr>
        <w:pStyle w:val="ListParagraph"/>
        <w:numPr>
          <w:ilvl w:val="3"/>
          <w:numId w:val="68"/>
        </w:numPr>
        <w:tabs>
          <w:tab w:val="left" w:pos="1528"/>
        </w:tabs>
        <w:spacing w:before="45" w:line="249" w:lineRule="auto"/>
        <w:ind w:right="392"/>
        <w:rPr>
          <w:sz w:val="15"/>
        </w:rPr>
      </w:pPr>
      <w:r>
        <w:rPr>
          <w:spacing w:val="-4"/>
          <w:sz w:val="15"/>
        </w:rPr>
        <w:t>Successfully transitioned new members</w:t>
      </w:r>
      <w:r>
        <w:rPr>
          <w:sz w:val="15"/>
        </w:rPr>
        <w:t xml:space="preserve"> into</w:t>
      </w:r>
      <w:r>
        <w:rPr>
          <w:spacing w:val="-11"/>
          <w:sz w:val="15"/>
        </w:rPr>
        <w:t xml:space="preserve"> </w:t>
      </w:r>
      <w:r>
        <w:rPr>
          <w:sz w:val="15"/>
        </w:rPr>
        <w:t>the</w:t>
      </w:r>
      <w:r>
        <w:rPr>
          <w:spacing w:val="-10"/>
          <w:sz w:val="15"/>
        </w:rPr>
        <w:t xml:space="preserve"> </w:t>
      </w:r>
      <w:r>
        <w:rPr>
          <w:sz w:val="15"/>
        </w:rPr>
        <w:t>FLC</w:t>
      </w:r>
      <w:r>
        <w:rPr>
          <w:spacing w:val="-11"/>
          <w:sz w:val="15"/>
        </w:rPr>
        <w:t xml:space="preserve"> </w:t>
      </w:r>
      <w:r>
        <w:rPr>
          <w:sz w:val="15"/>
        </w:rPr>
        <w:t>including</w:t>
      </w:r>
      <w:r>
        <w:rPr>
          <w:spacing w:val="-10"/>
          <w:sz w:val="15"/>
        </w:rPr>
        <w:t xml:space="preserve"> </w:t>
      </w:r>
      <w:r>
        <w:rPr>
          <w:sz w:val="15"/>
        </w:rPr>
        <w:t>both</w:t>
      </w:r>
      <w:r>
        <w:rPr>
          <w:spacing w:val="-11"/>
          <w:sz w:val="15"/>
        </w:rPr>
        <w:t xml:space="preserve"> </w:t>
      </w:r>
      <w:r>
        <w:rPr>
          <w:sz w:val="15"/>
        </w:rPr>
        <w:t xml:space="preserve">appointed </w:t>
      </w:r>
      <w:r>
        <w:rPr>
          <w:spacing w:val="-4"/>
          <w:sz w:val="15"/>
        </w:rPr>
        <w:t>members</w:t>
      </w:r>
      <w:r>
        <w:rPr>
          <w:spacing w:val="-10"/>
          <w:sz w:val="15"/>
        </w:rPr>
        <w:t xml:space="preserve"> </w:t>
      </w:r>
      <w:r>
        <w:rPr>
          <w:spacing w:val="-4"/>
          <w:sz w:val="15"/>
        </w:rPr>
        <w:t>and</w:t>
      </w:r>
      <w:r>
        <w:rPr>
          <w:spacing w:val="-8"/>
          <w:sz w:val="15"/>
        </w:rPr>
        <w:t xml:space="preserve"> </w:t>
      </w:r>
      <w:r>
        <w:rPr>
          <w:spacing w:val="-4"/>
          <w:sz w:val="15"/>
        </w:rPr>
        <w:t>those</w:t>
      </w:r>
      <w:r>
        <w:rPr>
          <w:spacing w:val="-8"/>
          <w:sz w:val="15"/>
        </w:rPr>
        <w:t xml:space="preserve"> </w:t>
      </w:r>
      <w:r>
        <w:rPr>
          <w:spacing w:val="-4"/>
          <w:sz w:val="15"/>
        </w:rPr>
        <w:t>elected</w:t>
      </w:r>
      <w:r>
        <w:rPr>
          <w:spacing w:val="-8"/>
          <w:sz w:val="15"/>
        </w:rPr>
        <w:t xml:space="preserve"> </w:t>
      </w:r>
      <w:r>
        <w:rPr>
          <w:spacing w:val="-4"/>
          <w:sz w:val="15"/>
        </w:rPr>
        <w:t>in</w:t>
      </w:r>
      <w:r>
        <w:rPr>
          <w:spacing w:val="-8"/>
          <w:sz w:val="15"/>
        </w:rPr>
        <w:t xml:space="preserve"> </w:t>
      </w:r>
      <w:r>
        <w:rPr>
          <w:spacing w:val="-4"/>
          <w:sz w:val="15"/>
        </w:rPr>
        <w:t>late</w:t>
      </w:r>
      <w:r>
        <w:rPr>
          <w:spacing w:val="-8"/>
          <w:sz w:val="15"/>
        </w:rPr>
        <w:t xml:space="preserve"> </w:t>
      </w:r>
      <w:r>
        <w:rPr>
          <w:spacing w:val="-4"/>
          <w:sz w:val="15"/>
        </w:rPr>
        <w:t>2022.</w:t>
      </w:r>
      <w:r>
        <w:rPr>
          <w:sz w:val="15"/>
        </w:rPr>
        <w:t xml:space="preserve"> </w:t>
      </w:r>
      <w:r>
        <w:rPr>
          <w:spacing w:val="-6"/>
          <w:sz w:val="15"/>
        </w:rPr>
        <w:t xml:space="preserve">We continued to </w:t>
      </w:r>
      <w:proofErr w:type="gramStart"/>
      <w:r>
        <w:rPr>
          <w:spacing w:val="-6"/>
          <w:sz w:val="15"/>
        </w:rPr>
        <w:t>work</w:t>
      </w:r>
      <w:proofErr w:type="gramEnd"/>
      <w:r>
        <w:rPr>
          <w:spacing w:val="-6"/>
          <w:sz w:val="15"/>
        </w:rPr>
        <w:t xml:space="preserve"> with the committee</w:t>
      </w:r>
      <w:r>
        <w:rPr>
          <w:sz w:val="15"/>
        </w:rPr>
        <w:t xml:space="preserve"> </w:t>
      </w:r>
      <w:r>
        <w:rPr>
          <w:spacing w:val="-2"/>
          <w:sz w:val="15"/>
        </w:rPr>
        <w:t>on</w:t>
      </w:r>
      <w:r>
        <w:rPr>
          <w:spacing w:val="-7"/>
          <w:sz w:val="15"/>
        </w:rPr>
        <w:t xml:space="preserve"> </w:t>
      </w:r>
      <w:r>
        <w:rPr>
          <w:spacing w:val="-2"/>
          <w:sz w:val="15"/>
        </w:rPr>
        <w:t>initiatives</w:t>
      </w:r>
      <w:r>
        <w:rPr>
          <w:spacing w:val="-7"/>
          <w:sz w:val="15"/>
        </w:rPr>
        <w:t xml:space="preserve"> </w:t>
      </w:r>
      <w:r>
        <w:rPr>
          <w:spacing w:val="-2"/>
          <w:sz w:val="15"/>
        </w:rPr>
        <w:t>such</w:t>
      </w:r>
      <w:r>
        <w:rPr>
          <w:spacing w:val="-7"/>
          <w:sz w:val="15"/>
        </w:rPr>
        <w:t xml:space="preserve"> </w:t>
      </w:r>
      <w:r>
        <w:rPr>
          <w:spacing w:val="-2"/>
          <w:sz w:val="15"/>
        </w:rPr>
        <w:t>as</w:t>
      </w:r>
      <w:r>
        <w:rPr>
          <w:spacing w:val="-7"/>
          <w:sz w:val="15"/>
        </w:rPr>
        <w:t xml:space="preserve"> </w:t>
      </w:r>
      <w:r>
        <w:rPr>
          <w:spacing w:val="-2"/>
          <w:sz w:val="15"/>
        </w:rPr>
        <w:t>the</w:t>
      </w:r>
      <w:r>
        <w:rPr>
          <w:spacing w:val="-7"/>
          <w:sz w:val="15"/>
        </w:rPr>
        <w:t xml:space="preserve"> </w:t>
      </w:r>
      <w:r>
        <w:rPr>
          <w:spacing w:val="-2"/>
          <w:sz w:val="15"/>
        </w:rPr>
        <w:t>FLC</w:t>
      </w:r>
      <w:r>
        <w:rPr>
          <w:spacing w:val="-7"/>
          <w:sz w:val="15"/>
        </w:rPr>
        <w:t xml:space="preserve"> </w:t>
      </w:r>
      <w:r>
        <w:rPr>
          <w:spacing w:val="-2"/>
          <w:sz w:val="15"/>
        </w:rPr>
        <w:t>Hub,</w:t>
      </w:r>
      <w:r>
        <w:rPr>
          <w:spacing w:val="-7"/>
          <w:sz w:val="15"/>
        </w:rPr>
        <w:t xml:space="preserve"> </w:t>
      </w:r>
      <w:r>
        <w:rPr>
          <w:spacing w:val="-2"/>
          <w:sz w:val="15"/>
        </w:rPr>
        <w:t>The</w:t>
      </w:r>
      <w:r>
        <w:rPr>
          <w:sz w:val="15"/>
        </w:rPr>
        <w:t xml:space="preserve"> </w:t>
      </w:r>
      <w:proofErr w:type="spellStart"/>
      <w:r>
        <w:rPr>
          <w:spacing w:val="-4"/>
          <w:sz w:val="15"/>
        </w:rPr>
        <w:t>Callover</w:t>
      </w:r>
      <w:proofErr w:type="spellEnd"/>
      <w:r>
        <w:rPr>
          <w:spacing w:val="-10"/>
          <w:sz w:val="15"/>
        </w:rPr>
        <w:t xml:space="preserve"> </w:t>
      </w:r>
      <w:r>
        <w:rPr>
          <w:spacing w:val="-4"/>
          <w:sz w:val="15"/>
        </w:rPr>
        <w:t>Podcast</w:t>
      </w:r>
      <w:r>
        <w:rPr>
          <w:spacing w:val="-8"/>
          <w:sz w:val="15"/>
        </w:rPr>
        <w:t xml:space="preserve"> </w:t>
      </w:r>
      <w:r>
        <w:rPr>
          <w:spacing w:val="-4"/>
          <w:sz w:val="15"/>
        </w:rPr>
        <w:t>and</w:t>
      </w:r>
      <w:r>
        <w:rPr>
          <w:spacing w:val="-8"/>
          <w:sz w:val="15"/>
        </w:rPr>
        <w:t xml:space="preserve"> </w:t>
      </w:r>
      <w:r>
        <w:rPr>
          <w:spacing w:val="-4"/>
          <w:sz w:val="15"/>
        </w:rPr>
        <w:t>events</w:t>
      </w:r>
      <w:r>
        <w:rPr>
          <w:spacing w:val="-8"/>
          <w:sz w:val="15"/>
        </w:rPr>
        <w:t xml:space="preserve"> </w:t>
      </w:r>
      <w:r>
        <w:rPr>
          <w:spacing w:val="-4"/>
          <w:sz w:val="15"/>
        </w:rPr>
        <w:t>such</w:t>
      </w:r>
      <w:r>
        <w:rPr>
          <w:spacing w:val="-8"/>
          <w:sz w:val="15"/>
        </w:rPr>
        <w:t xml:space="preserve"> </w:t>
      </w:r>
      <w:r>
        <w:rPr>
          <w:spacing w:val="-4"/>
          <w:sz w:val="15"/>
        </w:rPr>
        <w:t>as</w:t>
      </w:r>
      <w:r>
        <w:rPr>
          <w:spacing w:val="-8"/>
          <w:sz w:val="15"/>
        </w:rPr>
        <w:t xml:space="preserve"> </w:t>
      </w:r>
      <w:r>
        <w:rPr>
          <w:spacing w:val="-4"/>
          <w:sz w:val="15"/>
        </w:rPr>
        <w:t>the</w:t>
      </w:r>
      <w:r>
        <w:rPr>
          <w:sz w:val="15"/>
        </w:rPr>
        <w:t xml:space="preserve"> Young Lawyers Ball</w:t>
      </w:r>
    </w:p>
    <w:p w14:paraId="5DA4CBC0"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3" w:space="720" w:equalWidth="0">
            <w:col w:w="3016" w:space="1788"/>
            <w:col w:w="1743" w:space="5203"/>
            <w:col w:w="4470"/>
          </w:cols>
        </w:sectPr>
      </w:pPr>
    </w:p>
    <w:tbl>
      <w:tblPr>
        <w:tblW w:w="0" w:type="auto"/>
        <w:tblInd w:w="132" w:type="dxa"/>
        <w:tblLayout w:type="fixed"/>
        <w:tblCellMar>
          <w:left w:w="0" w:type="dxa"/>
          <w:right w:w="0" w:type="dxa"/>
        </w:tblCellMar>
        <w:tblLook w:val="01E0" w:firstRow="1" w:lastRow="1" w:firstColumn="1" w:lastColumn="1" w:noHBand="0" w:noVBand="0"/>
      </w:tblPr>
      <w:tblGrid>
        <w:gridCol w:w="810"/>
        <w:gridCol w:w="405"/>
        <w:gridCol w:w="1825"/>
        <w:gridCol w:w="2894"/>
        <w:gridCol w:w="643"/>
        <w:gridCol w:w="952"/>
        <w:gridCol w:w="870"/>
        <w:gridCol w:w="2086"/>
        <w:gridCol w:w="879"/>
        <w:gridCol w:w="1087"/>
        <w:gridCol w:w="3526"/>
      </w:tblGrid>
      <w:tr w:rsidR="00AC6F3C" w14:paraId="4BCE3A15" w14:textId="77777777">
        <w:trPr>
          <w:trHeight w:val="226"/>
        </w:trPr>
        <w:tc>
          <w:tcPr>
            <w:tcW w:w="810" w:type="dxa"/>
            <w:tcBorders>
              <w:top w:val="single" w:sz="2" w:space="0" w:color="000000"/>
            </w:tcBorders>
          </w:tcPr>
          <w:p w14:paraId="162964BC" w14:textId="77777777" w:rsidR="00AC6F3C" w:rsidRDefault="00570E88">
            <w:pPr>
              <w:pStyle w:val="TableParagraph"/>
              <w:spacing w:before="75" w:line="132" w:lineRule="exact"/>
              <w:ind w:left="71"/>
              <w:rPr>
                <w:b/>
                <w:sz w:val="15"/>
              </w:rPr>
            </w:pPr>
            <w:r>
              <w:rPr>
                <w:b/>
                <w:spacing w:val="-2"/>
                <w:sz w:val="15"/>
              </w:rPr>
              <w:t>Connect</w:t>
            </w:r>
          </w:p>
        </w:tc>
        <w:tc>
          <w:tcPr>
            <w:tcW w:w="405" w:type="dxa"/>
            <w:tcBorders>
              <w:top w:val="single" w:sz="2" w:space="0" w:color="000000"/>
            </w:tcBorders>
          </w:tcPr>
          <w:p w14:paraId="4D0A4DEC" w14:textId="77777777" w:rsidR="00AC6F3C" w:rsidRDefault="00570E88">
            <w:pPr>
              <w:pStyle w:val="TableParagraph"/>
              <w:spacing w:before="75" w:line="132" w:lineRule="exact"/>
              <w:ind w:left="168"/>
              <w:rPr>
                <w:sz w:val="15"/>
              </w:rPr>
            </w:pPr>
            <w:r>
              <w:rPr>
                <w:spacing w:val="-5"/>
                <w:sz w:val="15"/>
              </w:rPr>
              <w:t>14.</w:t>
            </w:r>
          </w:p>
        </w:tc>
        <w:tc>
          <w:tcPr>
            <w:tcW w:w="1825" w:type="dxa"/>
            <w:tcBorders>
              <w:top w:val="single" w:sz="2" w:space="0" w:color="000000"/>
            </w:tcBorders>
          </w:tcPr>
          <w:p w14:paraId="1F5C3778" w14:textId="77777777" w:rsidR="00AC6F3C" w:rsidRDefault="00570E88">
            <w:pPr>
              <w:pStyle w:val="TableParagraph"/>
              <w:spacing w:before="75" w:line="132" w:lineRule="exact"/>
              <w:ind w:left="46"/>
              <w:rPr>
                <w:sz w:val="15"/>
              </w:rPr>
            </w:pPr>
            <w:r>
              <w:rPr>
                <w:spacing w:val="-6"/>
                <w:sz w:val="15"/>
              </w:rPr>
              <w:t>Continue</w:t>
            </w:r>
            <w:r>
              <w:rPr>
                <w:spacing w:val="-1"/>
                <w:sz w:val="15"/>
              </w:rPr>
              <w:t xml:space="preserve"> </w:t>
            </w:r>
            <w:r>
              <w:rPr>
                <w:spacing w:val="-6"/>
                <w:sz w:val="15"/>
              </w:rPr>
              <w:t>the</w:t>
            </w:r>
            <w:r>
              <w:rPr>
                <w:spacing w:val="-1"/>
                <w:sz w:val="15"/>
              </w:rPr>
              <w:t xml:space="preserve"> </w:t>
            </w:r>
            <w:r>
              <w:rPr>
                <w:spacing w:val="-6"/>
                <w:sz w:val="15"/>
              </w:rPr>
              <w:t>First</w:t>
            </w:r>
            <w:r>
              <w:rPr>
                <w:spacing w:val="-1"/>
                <w:sz w:val="15"/>
              </w:rPr>
              <w:t xml:space="preserve"> </w:t>
            </w:r>
            <w:r>
              <w:rPr>
                <w:spacing w:val="-6"/>
                <w:sz w:val="15"/>
              </w:rPr>
              <w:t>Nations</w:t>
            </w:r>
          </w:p>
        </w:tc>
        <w:tc>
          <w:tcPr>
            <w:tcW w:w="2894" w:type="dxa"/>
            <w:tcBorders>
              <w:top w:val="single" w:sz="2" w:space="0" w:color="000000"/>
            </w:tcBorders>
          </w:tcPr>
          <w:p w14:paraId="2FC8BD2D" w14:textId="77777777" w:rsidR="00AC6F3C" w:rsidRDefault="00570E88">
            <w:pPr>
              <w:pStyle w:val="TableParagraph"/>
              <w:spacing w:before="75" w:line="132" w:lineRule="exact"/>
              <w:ind w:left="120"/>
              <w:rPr>
                <w:sz w:val="15"/>
              </w:rPr>
            </w:pPr>
            <w:r>
              <w:rPr>
                <w:spacing w:val="-4"/>
                <w:sz w:val="15"/>
              </w:rPr>
              <w:t>14.1.1</w:t>
            </w:r>
            <w:r>
              <w:rPr>
                <w:spacing w:val="11"/>
                <w:sz w:val="15"/>
              </w:rPr>
              <w:t xml:space="preserve"> </w:t>
            </w:r>
            <w:r>
              <w:rPr>
                <w:spacing w:val="-4"/>
                <w:sz w:val="15"/>
              </w:rPr>
              <w:t>Roll</w:t>
            </w:r>
            <w:r>
              <w:rPr>
                <w:spacing w:val="-6"/>
                <w:sz w:val="15"/>
              </w:rPr>
              <w:t xml:space="preserve"> </w:t>
            </w:r>
            <w:r>
              <w:rPr>
                <w:spacing w:val="-4"/>
                <w:sz w:val="15"/>
              </w:rPr>
              <w:t>out</w:t>
            </w:r>
            <w:r>
              <w:rPr>
                <w:spacing w:val="-7"/>
                <w:sz w:val="15"/>
              </w:rPr>
              <w:t xml:space="preserve"> </w:t>
            </w:r>
            <w:r>
              <w:rPr>
                <w:spacing w:val="-4"/>
                <w:sz w:val="15"/>
              </w:rPr>
              <w:t>the</w:t>
            </w:r>
            <w:r>
              <w:rPr>
                <w:spacing w:val="-6"/>
                <w:sz w:val="15"/>
              </w:rPr>
              <w:t xml:space="preserve"> </w:t>
            </w:r>
            <w:r>
              <w:rPr>
                <w:spacing w:val="-4"/>
                <w:sz w:val="15"/>
              </w:rPr>
              <w:t>third</w:t>
            </w:r>
            <w:r>
              <w:rPr>
                <w:spacing w:val="-7"/>
                <w:sz w:val="15"/>
              </w:rPr>
              <w:t xml:space="preserve"> </w:t>
            </w:r>
            <w:r>
              <w:rPr>
                <w:spacing w:val="-4"/>
                <w:sz w:val="15"/>
              </w:rPr>
              <w:t>year</w:t>
            </w:r>
            <w:r>
              <w:rPr>
                <w:spacing w:val="-6"/>
                <w:sz w:val="15"/>
              </w:rPr>
              <w:t xml:space="preserve"> </w:t>
            </w:r>
            <w:r>
              <w:rPr>
                <w:spacing w:val="-4"/>
                <w:sz w:val="15"/>
              </w:rPr>
              <w:t>of</w:t>
            </w:r>
            <w:r>
              <w:rPr>
                <w:spacing w:val="-7"/>
                <w:sz w:val="15"/>
              </w:rPr>
              <w:t xml:space="preserve"> </w:t>
            </w:r>
            <w:r>
              <w:rPr>
                <w:spacing w:val="-4"/>
                <w:sz w:val="15"/>
              </w:rPr>
              <w:t>the</w:t>
            </w:r>
            <w:r>
              <w:rPr>
                <w:spacing w:val="-6"/>
                <w:sz w:val="15"/>
              </w:rPr>
              <w:t xml:space="preserve"> </w:t>
            </w:r>
            <w:r>
              <w:rPr>
                <w:spacing w:val="-4"/>
                <w:sz w:val="15"/>
              </w:rPr>
              <w:t>First</w:t>
            </w:r>
          </w:p>
        </w:tc>
        <w:tc>
          <w:tcPr>
            <w:tcW w:w="643" w:type="dxa"/>
            <w:tcBorders>
              <w:top w:val="single" w:sz="2" w:space="0" w:color="000000"/>
            </w:tcBorders>
          </w:tcPr>
          <w:p w14:paraId="430E453C" w14:textId="77777777" w:rsidR="00AC6F3C" w:rsidRDefault="00570E88">
            <w:pPr>
              <w:pStyle w:val="TableParagraph"/>
              <w:spacing w:before="75" w:line="132" w:lineRule="exact"/>
              <w:ind w:left="132"/>
              <w:rPr>
                <w:b/>
                <w:sz w:val="15"/>
              </w:rPr>
            </w:pPr>
            <w:r>
              <w:rPr>
                <w:b/>
                <w:spacing w:val="-4"/>
                <w:sz w:val="15"/>
              </w:rPr>
              <w:t>KPI3</w:t>
            </w:r>
          </w:p>
        </w:tc>
        <w:tc>
          <w:tcPr>
            <w:tcW w:w="952" w:type="dxa"/>
            <w:tcBorders>
              <w:top w:val="single" w:sz="2" w:space="0" w:color="000000"/>
            </w:tcBorders>
          </w:tcPr>
          <w:p w14:paraId="1582D921" w14:textId="77777777" w:rsidR="00AC6F3C" w:rsidRDefault="00570E88">
            <w:pPr>
              <w:pStyle w:val="TableParagraph"/>
              <w:spacing w:before="75" w:line="132" w:lineRule="exact"/>
              <w:ind w:left="198"/>
              <w:rPr>
                <w:sz w:val="15"/>
              </w:rPr>
            </w:pPr>
            <w:r>
              <w:rPr>
                <w:spacing w:val="-4"/>
                <w:sz w:val="15"/>
              </w:rPr>
              <w:t>30-Jun-</w:t>
            </w:r>
            <w:r>
              <w:rPr>
                <w:spacing w:val="-5"/>
                <w:sz w:val="15"/>
              </w:rPr>
              <w:t>23</w:t>
            </w:r>
          </w:p>
        </w:tc>
        <w:tc>
          <w:tcPr>
            <w:tcW w:w="870" w:type="dxa"/>
            <w:tcBorders>
              <w:top w:val="single" w:sz="2" w:space="0" w:color="000000"/>
            </w:tcBorders>
          </w:tcPr>
          <w:p w14:paraId="57D081A8" w14:textId="77777777" w:rsidR="00AC6F3C" w:rsidRDefault="00570E88">
            <w:pPr>
              <w:pStyle w:val="TableParagraph"/>
              <w:spacing w:before="75" w:line="132" w:lineRule="exact"/>
              <w:ind w:left="110"/>
              <w:rPr>
                <w:sz w:val="15"/>
              </w:rPr>
            </w:pPr>
            <w:r>
              <w:rPr>
                <w:spacing w:val="-5"/>
                <w:sz w:val="15"/>
              </w:rPr>
              <w:t>COS</w:t>
            </w:r>
          </w:p>
        </w:tc>
        <w:tc>
          <w:tcPr>
            <w:tcW w:w="2086" w:type="dxa"/>
            <w:tcBorders>
              <w:top w:val="single" w:sz="2" w:space="0" w:color="000000"/>
            </w:tcBorders>
          </w:tcPr>
          <w:p w14:paraId="750AEC7C" w14:textId="77777777" w:rsidR="00AC6F3C" w:rsidRDefault="00570E88">
            <w:pPr>
              <w:pStyle w:val="TableParagraph"/>
              <w:spacing w:before="75" w:line="132" w:lineRule="exact"/>
              <w:ind w:right="190"/>
              <w:jc w:val="right"/>
              <w:rPr>
                <w:sz w:val="15"/>
              </w:rPr>
            </w:pPr>
            <w:r>
              <w:rPr>
                <w:spacing w:val="-6"/>
                <w:sz w:val="15"/>
              </w:rPr>
              <w:t>14.1.1</w:t>
            </w:r>
            <w:r>
              <w:rPr>
                <w:spacing w:val="12"/>
                <w:sz w:val="15"/>
              </w:rPr>
              <w:t xml:space="preserve"> </w:t>
            </w:r>
            <w:r>
              <w:rPr>
                <w:spacing w:val="-6"/>
                <w:sz w:val="15"/>
              </w:rPr>
              <w:t>Achieved</w:t>
            </w:r>
            <w:r>
              <w:rPr>
                <w:spacing w:val="-5"/>
                <w:sz w:val="15"/>
              </w:rPr>
              <w:t xml:space="preserve"> </w:t>
            </w:r>
            <w:r>
              <w:rPr>
                <w:spacing w:val="-6"/>
                <w:sz w:val="15"/>
              </w:rPr>
              <w:t>action</w:t>
            </w:r>
          </w:p>
        </w:tc>
        <w:tc>
          <w:tcPr>
            <w:tcW w:w="879" w:type="dxa"/>
            <w:tcBorders>
              <w:top w:val="single" w:sz="2" w:space="0" w:color="000000"/>
            </w:tcBorders>
          </w:tcPr>
          <w:p w14:paraId="3F1F44D0" w14:textId="77777777" w:rsidR="00AC6F3C" w:rsidRDefault="00570E88">
            <w:pPr>
              <w:pStyle w:val="TableParagraph"/>
              <w:spacing w:before="74" w:line="132" w:lineRule="exact"/>
              <w:ind w:left="142" w:right="210"/>
              <w:jc w:val="center"/>
              <w:rPr>
                <w:b/>
                <w:sz w:val="15"/>
              </w:rPr>
            </w:pPr>
            <w:r>
              <w:rPr>
                <w:b/>
                <w:spacing w:val="-2"/>
                <w:sz w:val="15"/>
              </w:rPr>
              <w:t>Green-</w:t>
            </w:r>
          </w:p>
        </w:tc>
        <w:tc>
          <w:tcPr>
            <w:tcW w:w="1087" w:type="dxa"/>
            <w:tcBorders>
              <w:top w:val="single" w:sz="2" w:space="0" w:color="000000"/>
            </w:tcBorders>
          </w:tcPr>
          <w:p w14:paraId="2D9FAB77" w14:textId="77777777" w:rsidR="00AC6F3C" w:rsidRDefault="00570E88">
            <w:pPr>
              <w:pStyle w:val="TableParagraph"/>
              <w:spacing w:before="69" w:line="137" w:lineRule="exact"/>
              <w:ind w:left="258"/>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3526" w:type="dxa"/>
            <w:tcBorders>
              <w:top w:val="single" w:sz="2" w:space="0" w:color="000000"/>
            </w:tcBorders>
          </w:tcPr>
          <w:p w14:paraId="6181CE25" w14:textId="77777777" w:rsidR="00AC6F3C" w:rsidRDefault="00570E88">
            <w:pPr>
              <w:pStyle w:val="TableParagraph"/>
              <w:spacing w:before="69" w:line="137" w:lineRule="exact"/>
              <w:ind w:left="134"/>
              <w:rPr>
                <w:sz w:val="15"/>
              </w:rPr>
            </w:pPr>
            <w:r>
              <w:rPr>
                <w:spacing w:val="-4"/>
                <w:sz w:val="15"/>
              </w:rPr>
              <w:t>14.1.1</w:t>
            </w:r>
            <w:r>
              <w:rPr>
                <w:spacing w:val="6"/>
                <w:sz w:val="15"/>
              </w:rPr>
              <w:t xml:space="preserve"> </w:t>
            </w:r>
            <w:r>
              <w:rPr>
                <w:spacing w:val="-4"/>
                <w:sz w:val="15"/>
              </w:rPr>
              <w:t>On</w:t>
            </w:r>
            <w:r>
              <w:rPr>
                <w:spacing w:val="-6"/>
                <w:sz w:val="15"/>
              </w:rPr>
              <w:t xml:space="preserve"> </w:t>
            </w:r>
            <w:r>
              <w:rPr>
                <w:spacing w:val="-4"/>
                <w:sz w:val="15"/>
              </w:rPr>
              <w:t>track</w:t>
            </w:r>
            <w:r>
              <w:rPr>
                <w:spacing w:val="-7"/>
                <w:sz w:val="15"/>
              </w:rPr>
              <w:t xml:space="preserve"> </w:t>
            </w:r>
            <w:r>
              <w:rPr>
                <w:spacing w:val="-4"/>
                <w:sz w:val="15"/>
              </w:rPr>
              <w:t>and</w:t>
            </w:r>
            <w:r>
              <w:rPr>
                <w:spacing w:val="-6"/>
                <w:sz w:val="15"/>
              </w:rPr>
              <w:t xml:space="preserve"> </w:t>
            </w:r>
            <w:r>
              <w:rPr>
                <w:spacing w:val="-4"/>
                <w:sz w:val="15"/>
              </w:rPr>
              <w:t>ongoing</w:t>
            </w:r>
            <w:r>
              <w:rPr>
                <w:spacing w:val="-6"/>
                <w:sz w:val="15"/>
              </w:rPr>
              <w:t xml:space="preserve"> </w:t>
            </w:r>
            <w:r>
              <w:rPr>
                <w:spacing w:val="-4"/>
                <w:sz w:val="15"/>
              </w:rPr>
              <w:t>–</w:t>
            </w:r>
            <w:r>
              <w:rPr>
                <w:spacing w:val="-7"/>
                <w:sz w:val="15"/>
              </w:rPr>
              <w:t xml:space="preserve"> </w:t>
            </w:r>
            <w:r>
              <w:rPr>
                <w:spacing w:val="-4"/>
                <w:sz w:val="15"/>
              </w:rPr>
              <w:t>see</w:t>
            </w:r>
            <w:r>
              <w:rPr>
                <w:spacing w:val="-6"/>
                <w:sz w:val="15"/>
              </w:rPr>
              <w:t xml:space="preserve"> </w:t>
            </w:r>
            <w:r>
              <w:rPr>
                <w:spacing w:val="-4"/>
                <w:sz w:val="15"/>
              </w:rPr>
              <w:t>First</w:t>
            </w:r>
            <w:r>
              <w:rPr>
                <w:spacing w:val="-7"/>
                <w:sz w:val="15"/>
              </w:rPr>
              <w:t xml:space="preserve"> </w:t>
            </w:r>
            <w:r>
              <w:rPr>
                <w:spacing w:val="-4"/>
                <w:sz w:val="15"/>
              </w:rPr>
              <w:t>Nations</w:t>
            </w:r>
          </w:p>
        </w:tc>
      </w:tr>
      <w:tr w:rsidR="00AC6F3C" w14:paraId="4D821806" w14:textId="77777777">
        <w:trPr>
          <w:trHeight w:val="182"/>
        </w:trPr>
        <w:tc>
          <w:tcPr>
            <w:tcW w:w="810" w:type="dxa"/>
          </w:tcPr>
          <w:p w14:paraId="41970CE6" w14:textId="77777777" w:rsidR="00AC6F3C" w:rsidRDefault="00AC6F3C">
            <w:pPr>
              <w:pStyle w:val="TableParagraph"/>
              <w:rPr>
                <w:rFonts w:ascii="Times New Roman"/>
                <w:sz w:val="12"/>
              </w:rPr>
            </w:pPr>
          </w:p>
        </w:tc>
        <w:tc>
          <w:tcPr>
            <w:tcW w:w="405" w:type="dxa"/>
          </w:tcPr>
          <w:p w14:paraId="5AD6A227" w14:textId="77777777" w:rsidR="00AC6F3C" w:rsidRDefault="00AC6F3C">
            <w:pPr>
              <w:pStyle w:val="TableParagraph"/>
              <w:rPr>
                <w:rFonts w:ascii="Times New Roman"/>
                <w:sz w:val="12"/>
              </w:rPr>
            </w:pPr>
          </w:p>
        </w:tc>
        <w:tc>
          <w:tcPr>
            <w:tcW w:w="1825" w:type="dxa"/>
          </w:tcPr>
          <w:p w14:paraId="7717A0C2" w14:textId="77777777" w:rsidR="00AC6F3C" w:rsidRDefault="00570E88">
            <w:pPr>
              <w:pStyle w:val="TableParagraph"/>
              <w:spacing w:before="28" w:line="135" w:lineRule="exact"/>
              <w:ind w:left="46"/>
              <w:rPr>
                <w:sz w:val="15"/>
              </w:rPr>
            </w:pPr>
            <w:r>
              <w:rPr>
                <w:spacing w:val="-6"/>
                <w:sz w:val="15"/>
              </w:rPr>
              <w:t>Cultural</w:t>
            </w:r>
            <w:r>
              <w:rPr>
                <w:spacing w:val="1"/>
                <w:sz w:val="15"/>
              </w:rPr>
              <w:t xml:space="preserve"> </w:t>
            </w:r>
            <w:r>
              <w:rPr>
                <w:spacing w:val="-6"/>
                <w:sz w:val="15"/>
              </w:rPr>
              <w:t>Outreach</w:t>
            </w:r>
            <w:r>
              <w:rPr>
                <w:spacing w:val="2"/>
                <w:sz w:val="15"/>
              </w:rPr>
              <w:t xml:space="preserve"> </w:t>
            </w:r>
            <w:r>
              <w:rPr>
                <w:spacing w:val="-6"/>
                <w:sz w:val="15"/>
              </w:rPr>
              <w:t>Strategy</w:t>
            </w:r>
          </w:p>
        </w:tc>
        <w:tc>
          <w:tcPr>
            <w:tcW w:w="2894" w:type="dxa"/>
          </w:tcPr>
          <w:p w14:paraId="607F3693" w14:textId="77777777" w:rsidR="00AC6F3C" w:rsidRDefault="00570E88">
            <w:pPr>
              <w:pStyle w:val="TableParagraph"/>
              <w:spacing w:before="28" w:line="135" w:lineRule="exact"/>
              <w:ind w:left="546"/>
              <w:rPr>
                <w:sz w:val="15"/>
              </w:rPr>
            </w:pPr>
            <w:r>
              <w:rPr>
                <w:spacing w:val="-4"/>
                <w:sz w:val="15"/>
              </w:rPr>
              <w:t>Nations</w:t>
            </w:r>
            <w:r>
              <w:rPr>
                <w:spacing w:val="-1"/>
                <w:sz w:val="15"/>
              </w:rPr>
              <w:t xml:space="preserve"> </w:t>
            </w:r>
            <w:r>
              <w:rPr>
                <w:spacing w:val="-4"/>
                <w:sz w:val="15"/>
              </w:rPr>
              <w:t>Cultural</w:t>
            </w:r>
            <w:r>
              <w:rPr>
                <w:sz w:val="15"/>
              </w:rPr>
              <w:t xml:space="preserve"> </w:t>
            </w:r>
            <w:r>
              <w:rPr>
                <w:spacing w:val="-4"/>
                <w:sz w:val="15"/>
              </w:rPr>
              <w:t>Outreach</w:t>
            </w:r>
            <w:r>
              <w:rPr>
                <w:spacing w:val="-1"/>
                <w:sz w:val="15"/>
              </w:rPr>
              <w:t xml:space="preserve"> </w:t>
            </w:r>
            <w:r>
              <w:rPr>
                <w:spacing w:val="-4"/>
                <w:sz w:val="15"/>
              </w:rPr>
              <w:t>Strategy</w:t>
            </w:r>
          </w:p>
        </w:tc>
        <w:tc>
          <w:tcPr>
            <w:tcW w:w="643" w:type="dxa"/>
          </w:tcPr>
          <w:p w14:paraId="0B5D883C" w14:textId="77777777" w:rsidR="00AC6F3C" w:rsidRDefault="00AC6F3C">
            <w:pPr>
              <w:pStyle w:val="TableParagraph"/>
              <w:rPr>
                <w:rFonts w:ascii="Times New Roman"/>
                <w:sz w:val="12"/>
              </w:rPr>
            </w:pPr>
          </w:p>
        </w:tc>
        <w:tc>
          <w:tcPr>
            <w:tcW w:w="952" w:type="dxa"/>
          </w:tcPr>
          <w:p w14:paraId="1E402FAE" w14:textId="77777777" w:rsidR="00AC6F3C" w:rsidRDefault="00AC6F3C">
            <w:pPr>
              <w:pStyle w:val="TableParagraph"/>
              <w:rPr>
                <w:rFonts w:ascii="Times New Roman"/>
                <w:sz w:val="12"/>
              </w:rPr>
            </w:pPr>
          </w:p>
        </w:tc>
        <w:tc>
          <w:tcPr>
            <w:tcW w:w="870" w:type="dxa"/>
          </w:tcPr>
          <w:p w14:paraId="1F71DD6F" w14:textId="77777777" w:rsidR="00AC6F3C" w:rsidRDefault="00AC6F3C">
            <w:pPr>
              <w:pStyle w:val="TableParagraph"/>
              <w:rPr>
                <w:rFonts w:ascii="Times New Roman"/>
                <w:sz w:val="12"/>
              </w:rPr>
            </w:pPr>
          </w:p>
        </w:tc>
        <w:tc>
          <w:tcPr>
            <w:tcW w:w="2086" w:type="dxa"/>
          </w:tcPr>
          <w:p w14:paraId="6E48C024" w14:textId="77777777" w:rsidR="00AC6F3C" w:rsidRDefault="00570E88">
            <w:pPr>
              <w:pStyle w:val="TableParagraph"/>
              <w:spacing w:before="28" w:line="135" w:lineRule="exact"/>
              <w:ind w:right="247"/>
              <w:jc w:val="right"/>
              <w:rPr>
                <w:sz w:val="15"/>
              </w:rPr>
            </w:pPr>
            <w:r>
              <w:rPr>
                <w:spacing w:val="-4"/>
                <w:sz w:val="15"/>
              </w:rPr>
              <w:t xml:space="preserve">items set out </w:t>
            </w:r>
            <w:r>
              <w:rPr>
                <w:spacing w:val="-5"/>
                <w:sz w:val="15"/>
              </w:rPr>
              <w:t>in</w:t>
            </w:r>
          </w:p>
        </w:tc>
        <w:tc>
          <w:tcPr>
            <w:tcW w:w="879" w:type="dxa"/>
          </w:tcPr>
          <w:p w14:paraId="78001697" w14:textId="77777777" w:rsidR="00AC6F3C" w:rsidRDefault="00570E88">
            <w:pPr>
              <w:pStyle w:val="TableParagraph"/>
              <w:spacing w:before="28" w:line="135" w:lineRule="exact"/>
              <w:ind w:left="126" w:right="217"/>
              <w:jc w:val="center"/>
              <w:rPr>
                <w:b/>
                <w:sz w:val="15"/>
              </w:rPr>
            </w:pPr>
            <w:r>
              <w:rPr>
                <w:b/>
                <w:spacing w:val="-2"/>
                <w:sz w:val="15"/>
              </w:rPr>
              <w:t>Yellow</w:t>
            </w:r>
          </w:p>
        </w:tc>
        <w:tc>
          <w:tcPr>
            <w:tcW w:w="1087" w:type="dxa"/>
          </w:tcPr>
          <w:p w14:paraId="366FA640" w14:textId="77777777" w:rsidR="00AC6F3C" w:rsidRDefault="00570E88">
            <w:pPr>
              <w:pStyle w:val="TableParagraph"/>
              <w:spacing w:before="22" w:line="140" w:lineRule="exact"/>
              <w:ind w:left="258"/>
              <w:rPr>
                <w:b/>
                <w:sz w:val="15"/>
              </w:rPr>
            </w:pPr>
            <w:r>
              <w:rPr>
                <w:b/>
                <w:spacing w:val="-2"/>
                <w:sz w:val="15"/>
              </w:rPr>
              <w:t>ongoing</w:t>
            </w:r>
          </w:p>
        </w:tc>
        <w:tc>
          <w:tcPr>
            <w:tcW w:w="3526" w:type="dxa"/>
          </w:tcPr>
          <w:p w14:paraId="7449C7C7" w14:textId="77777777" w:rsidR="00AC6F3C" w:rsidRDefault="00570E88">
            <w:pPr>
              <w:pStyle w:val="TableParagraph"/>
              <w:spacing w:before="22" w:line="140" w:lineRule="exact"/>
              <w:ind w:left="560"/>
              <w:rPr>
                <w:sz w:val="15"/>
              </w:rPr>
            </w:pPr>
            <w:r>
              <w:rPr>
                <w:spacing w:val="-4"/>
                <w:sz w:val="15"/>
              </w:rPr>
              <w:t>Plan</w:t>
            </w:r>
            <w:r>
              <w:rPr>
                <w:spacing w:val="-6"/>
                <w:sz w:val="15"/>
              </w:rPr>
              <w:t xml:space="preserve"> </w:t>
            </w:r>
            <w:r>
              <w:rPr>
                <w:spacing w:val="-4"/>
                <w:sz w:val="15"/>
              </w:rPr>
              <w:t>2022-</w:t>
            </w:r>
            <w:r>
              <w:rPr>
                <w:spacing w:val="-5"/>
                <w:sz w:val="15"/>
              </w:rPr>
              <w:t>23.</w:t>
            </w:r>
          </w:p>
        </w:tc>
      </w:tr>
      <w:tr w:rsidR="00AC6F3C" w14:paraId="3D4A7540" w14:textId="77777777">
        <w:trPr>
          <w:trHeight w:val="210"/>
        </w:trPr>
        <w:tc>
          <w:tcPr>
            <w:tcW w:w="810" w:type="dxa"/>
          </w:tcPr>
          <w:p w14:paraId="12E08C67" w14:textId="77777777" w:rsidR="00AC6F3C" w:rsidRDefault="00AC6F3C">
            <w:pPr>
              <w:pStyle w:val="TableParagraph"/>
              <w:rPr>
                <w:rFonts w:ascii="Times New Roman"/>
                <w:sz w:val="14"/>
              </w:rPr>
            </w:pPr>
          </w:p>
        </w:tc>
        <w:tc>
          <w:tcPr>
            <w:tcW w:w="405" w:type="dxa"/>
          </w:tcPr>
          <w:p w14:paraId="4B770650" w14:textId="77777777" w:rsidR="00AC6F3C" w:rsidRDefault="00AC6F3C">
            <w:pPr>
              <w:pStyle w:val="TableParagraph"/>
              <w:rPr>
                <w:rFonts w:ascii="Times New Roman"/>
                <w:sz w:val="14"/>
              </w:rPr>
            </w:pPr>
          </w:p>
        </w:tc>
        <w:tc>
          <w:tcPr>
            <w:tcW w:w="1825" w:type="dxa"/>
          </w:tcPr>
          <w:p w14:paraId="3039FC10" w14:textId="77777777" w:rsidR="00AC6F3C" w:rsidRDefault="00570E88">
            <w:pPr>
              <w:pStyle w:val="TableParagraph"/>
              <w:spacing w:before="25" w:line="165" w:lineRule="exact"/>
              <w:ind w:left="46"/>
              <w:rPr>
                <w:sz w:val="15"/>
              </w:rPr>
            </w:pPr>
            <w:r>
              <w:rPr>
                <w:spacing w:val="-6"/>
                <w:sz w:val="15"/>
              </w:rPr>
              <w:t>and</w:t>
            </w:r>
            <w:r>
              <w:rPr>
                <w:spacing w:val="-4"/>
                <w:sz w:val="15"/>
              </w:rPr>
              <w:t xml:space="preserve"> </w:t>
            </w:r>
            <w:r>
              <w:rPr>
                <w:spacing w:val="-6"/>
                <w:sz w:val="15"/>
              </w:rPr>
              <w:t>annual</w:t>
            </w:r>
            <w:r>
              <w:rPr>
                <w:spacing w:val="-3"/>
                <w:sz w:val="15"/>
              </w:rPr>
              <w:t xml:space="preserve"> </w:t>
            </w:r>
            <w:r>
              <w:rPr>
                <w:spacing w:val="-6"/>
                <w:sz w:val="15"/>
              </w:rPr>
              <w:t>First</w:t>
            </w:r>
            <w:r>
              <w:rPr>
                <w:spacing w:val="-3"/>
                <w:sz w:val="15"/>
              </w:rPr>
              <w:t xml:space="preserve"> </w:t>
            </w:r>
            <w:r>
              <w:rPr>
                <w:spacing w:val="-6"/>
                <w:sz w:val="15"/>
              </w:rPr>
              <w:t>Nations</w:t>
            </w:r>
          </w:p>
        </w:tc>
        <w:tc>
          <w:tcPr>
            <w:tcW w:w="2894" w:type="dxa"/>
          </w:tcPr>
          <w:p w14:paraId="3B87B2DA" w14:textId="77777777" w:rsidR="00AC6F3C" w:rsidRDefault="00570E88">
            <w:pPr>
              <w:pStyle w:val="TableParagraph"/>
              <w:spacing w:before="25" w:line="165" w:lineRule="exact"/>
              <w:ind w:left="546"/>
              <w:rPr>
                <w:sz w:val="15"/>
              </w:rPr>
            </w:pPr>
            <w:r>
              <w:rPr>
                <w:spacing w:val="-4"/>
                <w:sz w:val="15"/>
              </w:rPr>
              <w:t>and</w:t>
            </w:r>
            <w:r>
              <w:rPr>
                <w:spacing w:val="-3"/>
                <w:sz w:val="15"/>
              </w:rPr>
              <w:t xml:space="preserve"> </w:t>
            </w:r>
            <w:r>
              <w:rPr>
                <w:spacing w:val="-4"/>
                <w:sz w:val="15"/>
              </w:rPr>
              <w:t>annual</w:t>
            </w:r>
            <w:r>
              <w:rPr>
                <w:spacing w:val="-3"/>
                <w:sz w:val="15"/>
              </w:rPr>
              <w:t xml:space="preserve"> </w:t>
            </w:r>
            <w:r>
              <w:rPr>
                <w:spacing w:val="-4"/>
                <w:sz w:val="15"/>
              </w:rPr>
              <w:t>First</w:t>
            </w:r>
            <w:r>
              <w:rPr>
                <w:spacing w:val="-3"/>
                <w:sz w:val="15"/>
              </w:rPr>
              <w:t xml:space="preserve"> </w:t>
            </w:r>
            <w:r>
              <w:rPr>
                <w:spacing w:val="-4"/>
                <w:sz w:val="15"/>
              </w:rPr>
              <w:t>Nations</w:t>
            </w:r>
            <w:r>
              <w:rPr>
                <w:spacing w:val="-3"/>
                <w:sz w:val="15"/>
              </w:rPr>
              <w:t xml:space="preserve"> </w:t>
            </w:r>
            <w:r>
              <w:rPr>
                <w:spacing w:val="-4"/>
                <w:sz w:val="15"/>
              </w:rPr>
              <w:t>Plan</w:t>
            </w:r>
          </w:p>
        </w:tc>
        <w:tc>
          <w:tcPr>
            <w:tcW w:w="643" w:type="dxa"/>
          </w:tcPr>
          <w:p w14:paraId="5FE52225" w14:textId="77777777" w:rsidR="00AC6F3C" w:rsidRDefault="00570E88">
            <w:pPr>
              <w:pStyle w:val="TableParagraph"/>
              <w:spacing w:before="25" w:line="165" w:lineRule="exact"/>
              <w:ind w:left="132"/>
              <w:rPr>
                <w:b/>
                <w:sz w:val="15"/>
              </w:rPr>
            </w:pPr>
            <w:r>
              <w:rPr>
                <w:b/>
                <w:spacing w:val="-4"/>
                <w:sz w:val="15"/>
              </w:rPr>
              <w:t>KPI4</w:t>
            </w:r>
          </w:p>
        </w:tc>
        <w:tc>
          <w:tcPr>
            <w:tcW w:w="952" w:type="dxa"/>
          </w:tcPr>
          <w:p w14:paraId="745BD42F" w14:textId="77777777" w:rsidR="00AC6F3C" w:rsidRDefault="00AC6F3C">
            <w:pPr>
              <w:pStyle w:val="TableParagraph"/>
              <w:rPr>
                <w:rFonts w:ascii="Times New Roman"/>
                <w:sz w:val="14"/>
              </w:rPr>
            </w:pPr>
          </w:p>
        </w:tc>
        <w:tc>
          <w:tcPr>
            <w:tcW w:w="870" w:type="dxa"/>
          </w:tcPr>
          <w:p w14:paraId="01E7FAC0" w14:textId="77777777" w:rsidR="00AC6F3C" w:rsidRDefault="00AC6F3C">
            <w:pPr>
              <w:pStyle w:val="TableParagraph"/>
              <w:rPr>
                <w:rFonts w:ascii="Times New Roman"/>
                <w:sz w:val="14"/>
              </w:rPr>
            </w:pPr>
          </w:p>
        </w:tc>
        <w:tc>
          <w:tcPr>
            <w:tcW w:w="2086" w:type="dxa"/>
          </w:tcPr>
          <w:p w14:paraId="3B8B4BFA" w14:textId="77777777" w:rsidR="00AC6F3C" w:rsidRDefault="00570E88">
            <w:pPr>
              <w:pStyle w:val="TableParagraph"/>
              <w:spacing w:before="25" w:line="165" w:lineRule="exact"/>
              <w:ind w:right="160"/>
              <w:jc w:val="right"/>
              <w:rPr>
                <w:sz w:val="15"/>
              </w:rPr>
            </w:pPr>
            <w:r>
              <w:rPr>
                <w:spacing w:val="-4"/>
                <w:sz w:val="15"/>
              </w:rPr>
              <w:t>the First</w:t>
            </w:r>
            <w:r>
              <w:rPr>
                <w:spacing w:val="-1"/>
                <w:sz w:val="15"/>
              </w:rPr>
              <w:t xml:space="preserve"> </w:t>
            </w:r>
            <w:r>
              <w:rPr>
                <w:spacing w:val="-4"/>
                <w:sz w:val="15"/>
              </w:rPr>
              <w:t>Nations</w:t>
            </w:r>
          </w:p>
        </w:tc>
        <w:tc>
          <w:tcPr>
            <w:tcW w:w="879" w:type="dxa"/>
          </w:tcPr>
          <w:p w14:paraId="69EE8073" w14:textId="77777777" w:rsidR="00AC6F3C" w:rsidRDefault="00AC6F3C">
            <w:pPr>
              <w:pStyle w:val="TableParagraph"/>
              <w:rPr>
                <w:rFonts w:ascii="Times New Roman"/>
                <w:sz w:val="14"/>
              </w:rPr>
            </w:pPr>
          </w:p>
        </w:tc>
        <w:tc>
          <w:tcPr>
            <w:tcW w:w="1087" w:type="dxa"/>
          </w:tcPr>
          <w:p w14:paraId="7DC2A952" w14:textId="77777777" w:rsidR="00AC6F3C" w:rsidRDefault="00AC6F3C">
            <w:pPr>
              <w:pStyle w:val="TableParagraph"/>
              <w:rPr>
                <w:rFonts w:ascii="Times New Roman"/>
                <w:sz w:val="14"/>
              </w:rPr>
            </w:pPr>
          </w:p>
        </w:tc>
        <w:tc>
          <w:tcPr>
            <w:tcW w:w="3526" w:type="dxa"/>
          </w:tcPr>
          <w:p w14:paraId="2FE69E0F" w14:textId="77777777" w:rsidR="00AC6F3C" w:rsidRDefault="00570E88">
            <w:pPr>
              <w:pStyle w:val="TableParagraph"/>
              <w:spacing w:before="62" w:line="128" w:lineRule="exact"/>
              <w:ind w:left="134"/>
              <w:rPr>
                <w:sz w:val="15"/>
              </w:rPr>
            </w:pPr>
            <w:r>
              <w:rPr>
                <w:spacing w:val="-4"/>
                <w:sz w:val="15"/>
              </w:rPr>
              <w:t>14.1.2</w:t>
            </w:r>
            <w:r>
              <w:rPr>
                <w:sz w:val="15"/>
              </w:rPr>
              <w:t xml:space="preserve"> </w:t>
            </w:r>
            <w:r>
              <w:rPr>
                <w:spacing w:val="-4"/>
                <w:sz w:val="15"/>
              </w:rPr>
              <w:t>Achieved</w:t>
            </w:r>
            <w:r>
              <w:rPr>
                <w:spacing w:val="-6"/>
                <w:sz w:val="15"/>
              </w:rPr>
              <w:t xml:space="preserve"> </w:t>
            </w:r>
            <w:r>
              <w:rPr>
                <w:spacing w:val="-4"/>
                <w:sz w:val="15"/>
              </w:rPr>
              <w:t>–</w:t>
            </w:r>
            <w:r>
              <w:rPr>
                <w:spacing w:val="-6"/>
                <w:sz w:val="15"/>
              </w:rPr>
              <w:t xml:space="preserve"> </w:t>
            </w:r>
            <w:r>
              <w:rPr>
                <w:spacing w:val="-4"/>
                <w:sz w:val="15"/>
              </w:rPr>
              <w:t>reported</w:t>
            </w:r>
            <w:r>
              <w:rPr>
                <w:spacing w:val="-7"/>
                <w:sz w:val="15"/>
              </w:rPr>
              <w:t xml:space="preserve"> </w:t>
            </w:r>
            <w:r>
              <w:rPr>
                <w:spacing w:val="-4"/>
                <w:sz w:val="15"/>
              </w:rPr>
              <w:t>to</w:t>
            </w:r>
            <w:r>
              <w:rPr>
                <w:spacing w:val="-6"/>
                <w:sz w:val="15"/>
              </w:rPr>
              <w:t xml:space="preserve"> </w:t>
            </w:r>
            <w:r>
              <w:rPr>
                <w:spacing w:val="-4"/>
                <w:sz w:val="15"/>
              </w:rPr>
              <w:t>Council</w:t>
            </w:r>
            <w:r>
              <w:rPr>
                <w:spacing w:val="-7"/>
                <w:sz w:val="15"/>
              </w:rPr>
              <w:t xml:space="preserve"> </w:t>
            </w:r>
            <w:r>
              <w:rPr>
                <w:spacing w:val="-4"/>
                <w:sz w:val="15"/>
              </w:rPr>
              <w:t>on</w:t>
            </w:r>
            <w:r>
              <w:rPr>
                <w:spacing w:val="-6"/>
                <w:sz w:val="15"/>
              </w:rPr>
              <w:t xml:space="preserve"> </w:t>
            </w:r>
            <w:r>
              <w:rPr>
                <w:spacing w:val="-4"/>
                <w:sz w:val="15"/>
              </w:rPr>
              <w:t>2021-</w:t>
            </w:r>
            <w:r>
              <w:rPr>
                <w:spacing w:val="-5"/>
                <w:sz w:val="15"/>
              </w:rPr>
              <w:t>22</w:t>
            </w:r>
          </w:p>
        </w:tc>
      </w:tr>
    </w:tbl>
    <w:p w14:paraId="6C80DCE2" w14:textId="77777777" w:rsidR="00AC6F3C" w:rsidRDefault="00AC6F3C">
      <w:pPr>
        <w:spacing w:line="128" w:lineRule="exact"/>
        <w:rPr>
          <w:sz w:val="15"/>
        </w:rPr>
        <w:sectPr w:rsidR="00AC6F3C">
          <w:type w:val="continuous"/>
          <w:pgSz w:w="16840" w:h="11910" w:orient="landscape"/>
          <w:pgMar w:top="1920" w:right="320" w:bottom="280" w:left="300" w:header="0" w:footer="336" w:gutter="0"/>
          <w:cols w:space="720"/>
        </w:sectPr>
      </w:pPr>
    </w:p>
    <w:p w14:paraId="26A6B2A1" w14:textId="77777777" w:rsidR="00AC6F3C" w:rsidRDefault="00570E88">
      <w:pPr>
        <w:spacing w:before="15" w:line="249" w:lineRule="auto"/>
        <w:ind w:left="1386"/>
        <w:rPr>
          <w:sz w:val="15"/>
        </w:rPr>
      </w:pPr>
      <w:r>
        <w:rPr>
          <w:sz w:val="15"/>
        </w:rPr>
        <w:t xml:space="preserve">Plan with a focus on </w:t>
      </w:r>
      <w:r>
        <w:rPr>
          <w:spacing w:val="-6"/>
          <w:sz w:val="15"/>
        </w:rPr>
        <w:t>profession cultural support</w:t>
      </w:r>
      <w:r>
        <w:rPr>
          <w:sz w:val="15"/>
        </w:rPr>
        <w:t xml:space="preserve"> and</w:t>
      </w:r>
      <w:r>
        <w:rPr>
          <w:spacing w:val="-11"/>
          <w:sz w:val="15"/>
        </w:rPr>
        <w:t xml:space="preserve"> </w:t>
      </w:r>
      <w:r>
        <w:rPr>
          <w:sz w:val="15"/>
        </w:rPr>
        <w:t>education</w:t>
      </w:r>
    </w:p>
    <w:p w14:paraId="641F8CF3" w14:textId="77777777" w:rsidR="00AC6F3C" w:rsidRDefault="00570E88">
      <w:pPr>
        <w:spacing w:before="11"/>
        <w:rPr>
          <w:sz w:val="16"/>
        </w:rPr>
      </w:pPr>
      <w:r>
        <w:br w:type="column"/>
      </w:r>
    </w:p>
    <w:p w14:paraId="296F248A" w14:textId="77777777" w:rsidR="00AC6F3C" w:rsidRDefault="00570E88">
      <w:pPr>
        <w:spacing w:line="501" w:lineRule="auto"/>
        <w:ind w:left="1111" w:right="38"/>
        <w:jc w:val="right"/>
        <w:rPr>
          <w:b/>
          <w:sz w:val="15"/>
        </w:rPr>
      </w:pPr>
      <w:r>
        <w:rPr>
          <w:b/>
          <w:spacing w:val="-6"/>
          <w:sz w:val="15"/>
        </w:rPr>
        <w:t>KPI5</w:t>
      </w:r>
      <w:r>
        <w:rPr>
          <w:b/>
          <w:sz w:val="15"/>
        </w:rPr>
        <w:t xml:space="preserve"> </w:t>
      </w:r>
      <w:r>
        <w:rPr>
          <w:b/>
          <w:spacing w:val="-7"/>
          <w:sz w:val="15"/>
        </w:rPr>
        <w:t>KPI6</w:t>
      </w:r>
    </w:p>
    <w:p w14:paraId="27D988F1" w14:textId="77777777" w:rsidR="00AC6F3C" w:rsidRDefault="00570E88">
      <w:pPr>
        <w:spacing w:before="15"/>
        <w:ind w:right="464"/>
        <w:jc w:val="right"/>
        <w:rPr>
          <w:sz w:val="15"/>
        </w:rPr>
      </w:pPr>
      <w:r>
        <w:br w:type="column"/>
      </w:r>
      <w:r>
        <w:rPr>
          <w:spacing w:val="-4"/>
          <w:sz w:val="15"/>
        </w:rPr>
        <w:t>Annual Plan</w:t>
      </w:r>
    </w:p>
    <w:p w14:paraId="5F6751FA" w14:textId="77777777" w:rsidR="00AC6F3C" w:rsidRDefault="00570E88">
      <w:pPr>
        <w:pStyle w:val="ListParagraph"/>
        <w:numPr>
          <w:ilvl w:val="2"/>
          <w:numId w:val="66"/>
        </w:numPr>
        <w:tabs>
          <w:tab w:val="left" w:pos="421"/>
        </w:tabs>
        <w:spacing w:before="50"/>
        <w:ind w:left="421" w:right="444" w:hanging="421"/>
        <w:jc w:val="right"/>
        <w:rPr>
          <w:sz w:val="15"/>
        </w:rPr>
      </w:pPr>
      <w:r>
        <w:rPr>
          <w:spacing w:val="-4"/>
          <w:sz w:val="15"/>
        </w:rPr>
        <w:t>Reported</w:t>
      </w:r>
      <w:r>
        <w:rPr>
          <w:sz w:val="15"/>
        </w:rPr>
        <w:t xml:space="preserve"> </w:t>
      </w:r>
      <w:r>
        <w:rPr>
          <w:spacing w:val="-5"/>
          <w:sz w:val="15"/>
        </w:rPr>
        <w:t>on</w:t>
      </w:r>
    </w:p>
    <w:p w14:paraId="19C0C827" w14:textId="77777777" w:rsidR="00AC6F3C" w:rsidRDefault="00570E88">
      <w:pPr>
        <w:spacing w:before="8" w:line="249" w:lineRule="auto"/>
        <w:ind w:left="1812" w:right="187"/>
        <w:rPr>
          <w:sz w:val="15"/>
        </w:rPr>
      </w:pPr>
      <w:r>
        <w:rPr>
          <w:spacing w:val="-4"/>
          <w:sz w:val="15"/>
        </w:rPr>
        <w:t>achievements</w:t>
      </w:r>
      <w:r>
        <w:rPr>
          <w:spacing w:val="-7"/>
          <w:sz w:val="15"/>
        </w:rPr>
        <w:t xml:space="preserve"> </w:t>
      </w:r>
      <w:r>
        <w:rPr>
          <w:spacing w:val="-4"/>
          <w:sz w:val="15"/>
        </w:rPr>
        <w:t>to</w:t>
      </w:r>
      <w:r>
        <w:rPr>
          <w:sz w:val="15"/>
        </w:rPr>
        <w:t xml:space="preserve"> Council, in the Annual</w:t>
      </w:r>
      <w:r>
        <w:rPr>
          <w:spacing w:val="-9"/>
          <w:sz w:val="15"/>
        </w:rPr>
        <w:t xml:space="preserve"> </w:t>
      </w:r>
      <w:r>
        <w:rPr>
          <w:sz w:val="15"/>
        </w:rPr>
        <w:t>Report and</w:t>
      </w:r>
      <w:r>
        <w:rPr>
          <w:spacing w:val="-11"/>
          <w:sz w:val="15"/>
        </w:rPr>
        <w:t xml:space="preserve"> </w:t>
      </w:r>
      <w:r>
        <w:rPr>
          <w:sz w:val="15"/>
        </w:rPr>
        <w:t>on</w:t>
      </w:r>
      <w:r>
        <w:rPr>
          <w:spacing w:val="-10"/>
          <w:sz w:val="15"/>
        </w:rPr>
        <w:t xml:space="preserve"> </w:t>
      </w:r>
      <w:r>
        <w:rPr>
          <w:sz w:val="15"/>
        </w:rPr>
        <w:t>the</w:t>
      </w:r>
      <w:r>
        <w:rPr>
          <w:spacing w:val="-11"/>
          <w:sz w:val="15"/>
        </w:rPr>
        <w:t xml:space="preserve"> </w:t>
      </w:r>
      <w:r>
        <w:rPr>
          <w:sz w:val="15"/>
        </w:rPr>
        <w:t xml:space="preserve">QLS </w:t>
      </w:r>
      <w:r>
        <w:rPr>
          <w:spacing w:val="-2"/>
          <w:sz w:val="15"/>
        </w:rPr>
        <w:t>website</w:t>
      </w:r>
    </w:p>
    <w:p w14:paraId="13CB3BF7" w14:textId="77777777" w:rsidR="00AC6F3C" w:rsidRDefault="00570E88">
      <w:pPr>
        <w:pStyle w:val="ListParagraph"/>
        <w:numPr>
          <w:ilvl w:val="2"/>
          <w:numId w:val="66"/>
        </w:numPr>
        <w:tabs>
          <w:tab w:val="left" w:pos="1806"/>
          <w:tab w:val="left" w:pos="1811"/>
        </w:tabs>
        <w:spacing w:before="45" w:line="249" w:lineRule="auto"/>
        <w:ind w:left="1811" w:right="38"/>
        <w:rPr>
          <w:sz w:val="15"/>
        </w:rPr>
      </w:pPr>
      <w:r>
        <w:rPr>
          <w:sz w:val="15"/>
        </w:rPr>
        <w:t>Annual</w:t>
      </w:r>
      <w:r>
        <w:rPr>
          <w:spacing w:val="-9"/>
          <w:sz w:val="15"/>
        </w:rPr>
        <w:t xml:space="preserve"> </w:t>
      </w:r>
      <w:r>
        <w:rPr>
          <w:sz w:val="15"/>
        </w:rPr>
        <w:t xml:space="preserve">financial </w:t>
      </w:r>
      <w:r>
        <w:rPr>
          <w:spacing w:val="-4"/>
          <w:sz w:val="15"/>
        </w:rPr>
        <w:t>targets</w:t>
      </w:r>
      <w:r>
        <w:rPr>
          <w:spacing w:val="-7"/>
          <w:sz w:val="15"/>
        </w:rPr>
        <w:t xml:space="preserve"> </w:t>
      </w:r>
      <w:r>
        <w:rPr>
          <w:spacing w:val="-4"/>
          <w:sz w:val="15"/>
        </w:rPr>
        <w:t>for</w:t>
      </w:r>
      <w:r>
        <w:rPr>
          <w:spacing w:val="-6"/>
          <w:sz w:val="15"/>
        </w:rPr>
        <w:t xml:space="preserve"> </w:t>
      </w:r>
      <w:r>
        <w:rPr>
          <w:spacing w:val="-4"/>
          <w:sz w:val="15"/>
        </w:rPr>
        <w:t>the</w:t>
      </w:r>
      <w:r>
        <w:rPr>
          <w:spacing w:val="-7"/>
          <w:sz w:val="15"/>
        </w:rPr>
        <w:t xml:space="preserve"> </w:t>
      </w:r>
      <w:r>
        <w:rPr>
          <w:spacing w:val="-4"/>
          <w:sz w:val="15"/>
        </w:rPr>
        <w:t>First</w:t>
      </w:r>
      <w:r>
        <w:rPr>
          <w:sz w:val="15"/>
        </w:rPr>
        <w:t xml:space="preserve"> Nations</w:t>
      </w:r>
      <w:r>
        <w:rPr>
          <w:spacing w:val="-9"/>
          <w:sz w:val="15"/>
        </w:rPr>
        <w:t xml:space="preserve"> </w:t>
      </w:r>
      <w:r>
        <w:rPr>
          <w:sz w:val="15"/>
        </w:rPr>
        <w:t>Annual Plan</w:t>
      </w:r>
      <w:r>
        <w:rPr>
          <w:spacing w:val="-9"/>
          <w:sz w:val="15"/>
        </w:rPr>
        <w:t xml:space="preserve"> </w:t>
      </w:r>
      <w:proofErr w:type="gramStart"/>
      <w:r>
        <w:rPr>
          <w:sz w:val="15"/>
        </w:rPr>
        <w:t>achieved</w:t>
      </w:r>
      <w:proofErr w:type="gramEnd"/>
    </w:p>
    <w:p w14:paraId="76C82441" w14:textId="77777777" w:rsidR="00AC6F3C" w:rsidRDefault="00570E88">
      <w:pPr>
        <w:spacing w:before="52"/>
        <w:ind w:left="1812"/>
        <w:rPr>
          <w:sz w:val="15"/>
        </w:rPr>
      </w:pPr>
      <w:r>
        <w:br w:type="column"/>
      </w:r>
      <w:r>
        <w:rPr>
          <w:spacing w:val="-4"/>
          <w:sz w:val="15"/>
        </w:rPr>
        <w:t>at August</w:t>
      </w:r>
      <w:r>
        <w:rPr>
          <w:spacing w:val="-3"/>
          <w:sz w:val="15"/>
        </w:rPr>
        <w:t xml:space="preserve"> </w:t>
      </w:r>
      <w:r>
        <w:rPr>
          <w:spacing w:val="-4"/>
          <w:sz w:val="15"/>
        </w:rPr>
        <w:t>2022</w:t>
      </w:r>
      <w:r>
        <w:rPr>
          <w:spacing w:val="-3"/>
          <w:sz w:val="15"/>
        </w:rPr>
        <w:t xml:space="preserve"> </w:t>
      </w:r>
      <w:r>
        <w:rPr>
          <w:spacing w:val="-4"/>
          <w:sz w:val="15"/>
        </w:rPr>
        <w:t>Council</w:t>
      </w:r>
      <w:r>
        <w:rPr>
          <w:spacing w:val="-3"/>
          <w:sz w:val="15"/>
        </w:rPr>
        <w:t xml:space="preserve"> </w:t>
      </w:r>
      <w:r>
        <w:rPr>
          <w:spacing w:val="-4"/>
          <w:sz w:val="15"/>
        </w:rPr>
        <w:t>meeting. Reporting</w:t>
      </w:r>
    </w:p>
    <w:p w14:paraId="7723D449" w14:textId="77777777" w:rsidR="00AC6F3C" w:rsidRDefault="00570E88">
      <w:pPr>
        <w:spacing w:before="7" w:line="249" w:lineRule="auto"/>
        <w:ind w:left="1812" w:right="385"/>
        <w:rPr>
          <w:sz w:val="15"/>
        </w:rPr>
      </w:pPr>
      <w:proofErr w:type="gramStart"/>
      <w:r>
        <w:rPr>
          <w:sz w:val="15"/>
        </w:rPr>
        <w:t>is</w:t>
      </w:r>
      <w:r>
        <w:rPr>
          <w:spacing w:val="-7"/>
          <w:sz w:val="15"/>
        </w:rPr>
        <w:t xml:space="preserve"> </w:t>
      </w:r>
      <w:r>
        <w:rPr>
          <w:sz w:val="15"/>
        </w:rPr>
        <w:t>also</w:t>
      </w:r>
      <w:r>
        <w:rPr>
          <w:spacing w:val="-7"/>
          <w:sz w:val="15"/>
        </w:rPr>
        <w:t xml:space="preserve"> </w:t>
      </w:r>
      <w:r>
        <w:rPr>
          <w:sz w:val="15"/>
        </w:rPr>
        <w:t>included</w:t>
      </w:r>
      <w:proofErr w:type="gramEnd"/>
      <w:r>
        <w:rPr>
          <w:spacing w:val="-7"/>
          <w:sz w:val="15"/>
        </w:rPr>
        <w:t xml:space="preserve"> </w:t>
      </w:r>
      <w:r>
        <w:rPr>
          <w:sz w:val="15"/>
        </w:rPr>
        <w:t>in</w:t>
      </w:r>
      <w:r>
        <w:rPr>
          <w:spacing w:val="-7"/>
          <w:sz w:val="15"/>
        </w:rPr>
        <w:t xml:space="preserve"> </w:t>
      </w:r>
      <w:r>
        <w:rPr>
          <w:sz w:val="15"/>
        </w:rPr>
        <w:t>Annual</w:t>
      </w:r>
      <w:r>
        <w:rPr>
          <w:spacing w:val="-7"/>
          <w:sz w:val="15"/>
        </w:rPr>
        <w:t xml:space="preserve"> </w:t>
      </w:r>
      <w:r>
        <w:rPr>
          <w:sz w:val="15"/>
        </w:rPr>
        <w:t>Report,</w:t>
      </w:r>
      <w:r>
        <w:rPr>
          <w:spacing w:val="-7"/>
          <w:sz w:val="15"/>
        </w:rPr>
        <w:t xml:space="preserve"> </w:t>
      </w:r>
      <w:r>
        <w:rPr>
          <w:sz w:val="15"/>
        </w:rPr>
        <w:t>which is</w:t>
      </w:r>
      <w:r>
        <w:rPr>
          <w:spacing w:val="-11"/>
          <w:sz w:val="15"/>
        </w:rPr>
        <w:t xml:space="preserve"> </w:t>
      </w:r>
      <w:r>
        <w:rPr>
          <w:sz w:val="15"/>
        </w:rPr>
        <w:t>published</w:t>
      </w:r>
      <w:r>
        <w:rPr>
          <w:spacing w:val="-10"/>
          <w:sz w:val="15"/>
        </w:rPr>
        <w:t xml:space="preserve"> </w:t>
      </w:r>
      <w:r>
        <w:rPr>
          <w:sz w:val="15"/>
        </w:rPr>
        <w:t>on</w:t>
      </w:r>
      <w:r>
        <w:rPr>
          <w:spacing w:val="-11"/>
          <w:sz w:val="15"/>
        </w:rPr>
        <w:t xml:space="preserve"> </w:t>
      </w:r>
      <w:r>
        <w:rPr>
          <w:sz w:val="15"/>
        </w:rPr>
        <w:t>the</w:t>
      </w:r>
      <w:r>
        <w:rPr>
          <w:spacing w:val="-10"/>
          <w:sz w:val="15"/>
        </w:rPr>
        <w:t xml:space="preserve"> </w:t>
      </w:r>
      <w:r>
        <w:rPr>
          <w:sz w:val="15"/>
        </w:rPr>
        <w:t>website</w:t>
      </w:r>
      <w:r>
        <w:rPr>
          <w:spacing w:val="-11"/>
          <w:sz w:val="15"/>
        </w:rPr>
        <w:t xml:space="preserve"> </w:t>
      </w:r>
      <w:r>
        <w:rPr>
          <w:sz w:val="15"/>
        </w:rPr>
        <w:t>and</w:t>
      </w:r>
      <w:r>
        <w:rPr>
          <w:spacing w:val="-10"/>
          <w:sz w:val="15"/>
        </w:rPr>
        <w:t xml:space="preserve"> </w:t>
      </w:r>
      <w:r>
        <w:rPr>
          <w:sz w:val="15"/>
        </w:rPr>
        <w:t>tabled</w:t>
      </w:r>
      <w:r>
        <w:rPr>
          <w:spacing w:val="-10"/>
          <w:sz w:val="15"/>
        </w:rPr>
        <w:t xml:space="preserve"> </w:t>
      </w:r>
      <w:r>
        <w:rPr>
          <w:sz w:val="15"/>
        </w:rPr>
        <w:t xml:space="preserve">in </w:t>
      </w:r>
      <w:r>
        <w:rPr>
          <w:spacing w:val="-4"/>
          <w:sz w:val="15"/>
        </w:rPr>
        <w:t>Parliament.</w:t>
      </w:r>
      <w:r>
        <w:rPr>
          <w:spacing w:val="-5"/>
          <w:sz w:val="15"/>
        </w:rPr>
        <w:t xml:space="preserve"> </w:t>
      </w:r>
      <w:r>
        <w:rPr>
          <w:spacing w:val="-4"/>
          <w:sz w:val="15"/>
        </w:rPr>
        <w:t>Reporting</w:t>
      </w:r>
      <w:r>
        <w:rPr>
          <w:spacing w:val="-5"/>
          <w:sz w:val="15"/>
        </w:rPr>
        <w:t xml:space="preserve"> </w:t>
      </w:r>
      <w:r>
        <w:rPr>
          <w:spacing w:val="-4"/>
          <w:sz w:val="15"/>
        </w:rPr>
        <w:t>of</w:t>
      </w:r>
      <w:r>
        <w:rPr>
          <w:spacing w:val="-5"/>
          <w:sz w:val="15"/>
        </w:rPr>
        <w:t xml:space="preserve"> </w:t>
      </w:r>
      <w:r>
        <w:rPr>
          <w:spacing w:val="-4"/>
          <w:sz w:val="15"/>
        </w:rPr>
        <w:t>2022-23</w:t>
      </w:r>
      <w:r>
        <w:rPr>
          <w:spacing w:val="-6"/>
          <w:sz w:val="15"/>
        </w:rPr>
        <w:t xml:space="preserve"> </w:t>
      </w:r>
      <w:r>
        <w:rPr>
          <w:spacing w:val="-4"/>
          <w:sz w:val="15"/>
        </w:rPr>
        <w:t>will</w:t>
      </w:r>
      <w:r>
        <w:rPr>
          <w:spacing w:val="-5"/>
          <w:sz w:val="15"/>
        </w:rPr>
        <w:t xml:space="preserve"> </w:t>
      </w:r>
      <w:r>
        <w:rPr>
          <w:spacing w:val="-4"/>
          <w:sz w:val="15"/>
        </w:rPr>
        <w:t>take</w:t>
      </w:r>
      <w:r>
        <w:rPr>
          <w:sz w:val="15"/>
        </w:rPr>
        <w:t xml:space="preserve"> place in August 2023.</w:t>
      </w:r>
    </w:p>
    <w:p w14:paraId="3493EC55" w14:textId="77777777" w:rsidR="00AC6F3C" w:rsidRDefault="00570E88">
      <w:pPr>
        <w:spacing w:before="45"/>
        <w:ind w:left="1386"/>
        <w:rPr>
          <w:sz w:val="15"/>
        </w:rPr>
      </w:pPr>
      <w:r>
        <w:rPr>
          <w:spacing w:val="-4"/>
          <w:sz w:val="15"/>
        </w:rPr>
        <w:t>14.1.3</w:t>
      </w:r>
      <w:r>
        <w:rPr>
          <w:spacing w:val="3"/>
          <w:sz w:val="15"/>
        </w:rPr>
        <w:t xml:space="preserve"> </w:t>
      </w:r>
      <w:r>
        <w:rPr>
          <w:spacing w:val="-4"/>
          <w:sz w:val="15"/>
        </w:rPr>
        <w:t>Achieved</w:t>
      </w:r>
      <w:r>
        <w:rPr>
          <w:spacing w:val="-7"/>
          <w:sz w:val="15"/>
        </w:rPr>
        <w:t xml:space="preserve"> </w:t>
      </w:r>
      <w:r>
        <w:rPr>
          <w:spacing w:val="-4"/>
          <w:sz w:val="15"/>
        </w:rPr>
        <w:t>–</w:t>
      </w:r>
      <w:r>
        <w:rPr>
          <w:spacing w:val="-6"/>
          <w:sz w:val="15"/>
        </w:rPr>
        <w:t xml:space="preserve"> </w:t>
      </w:r>
      <w:r>
        <w:rPr>
          <w:spacing w:val="-4"/>
          <w:sz w:val="15"/>
        </w:rPr>
        <w:t>overall</w:t>
      </w:r>
      <w:r>
        <w:rPr>
          <w:spacing w:val="-7"/>
          <w:sz w:val="15"/>
        </w:rPr>
        <w:t xml:space="preserve"> </w:t>
      </w:r>
      <w:r>
        <w:rPr>
          <w:spacing w:val="-4"/>
          <w:sz w:val="15"/>
        </w:rPr>
        <w:t>financial</w:t>
      </w:r>
      <w:r>
        <w:rPr>
          <w:spacing w:val="-6"/>
          <w:sz w:val="15"/>
        </w:rPr>
        <w:t xml:space="preserve"> </w:t>
      </w:r>
      <w:proofErr w:type="gramStart"/>
      <w:r>
        <w:rPr>
          <w:spacing w:val="-4"/>
          <w:sz w:val="15"/>
        </w:rPr>
        <w:t>budgeting</w:t>
      </w:r>
      <w:proofErr w:type="gramEnd"/>
    </w:p>
    <w:p w14:paraId="29DE3D71" w14:textId="77777777" w:rsidR="00AC6F3C" w:rsidRDefault="00570E88">
      <w:pPr>
        <w:spacing w:before="8"/>
        <w:ind w:left="1812"/>
        <w:rPr>
          <w:sz w:val="15"/>
        </w:rPr>
      </w:pPr>
      <w:r>
        <w:rPr>
          <w:spacing w:val="-4"/>
          <w:sz w:val="15"/>
        </w:rPr>
        <w:t>targets</w:t>
      </w:r>
      <w:r>
        <w:rPr>
          <w:spacing w:val="1"/>
          <w:sz w:val="15"/>
        </w:rPr>
        <w:t xml:space="preserve"> </w:t>
      </w:r>
      <w:proofErr w:type="gramStart"/>
      <w:r>
        <w:rPr>
          <w:spacing w:val="-2"/>
          <w:sz w:val="15"/>
        </w:rPr>
        <w:t>achieved</w:t>
      </w:r>
      <w:proofErr w:type="gramEnd"/>
    </w:p>
    <w:p w14:paraId="4DE7D33E" w14:textId="77777777" w:rsidR="00AC6F3C" w:rsidRDefault="00AC6F3C">
      <w:pPr>
        <w:rPr>
          <w:sz w:val="15"/>
        </w:rPr>
        <w:sectPr w:rsidR="00AC6F3C">
          <w:type w:val="continuous"/>
          <w:pgSz w:w="16840" w:h="11910" w:orient="landscape"/>
          <w:pgMar w:top="1920" w:right="320" w:bottom="280" w:left="300" w:header="0" w:footer="336" w:gutter="0"/>
          <w:cols w:num="4" w:space="720" w:equalWidth="0">
            <w:col w:w="3074" w:space="1731"/>
            <w:col w:w="1744" w:space="1047"/>
            <w:col w:w="3049" w:space="680"/>
            <w:col w:w="4895"/>
          </w:cols>
        </w:sectPr>
      </w:pPr>
    </w:p>
    <w:p w14:paraId="519FDE65" w14:textId="77777777" w:rsidR="00AC6F3C" w:rsidRDefault="00AC6F3C">
      <w:pPr>
        <w:pStyle w:val="BodyText"/>
        <w:rPr>
          <w:sz w:val="4"/>
        </w:rPr>
      </w:pPr>
    </w:p>
    <w:p w14:paraId="7D239F9B" w14:textId="77777777" w:rsidR="00AC6F3C" w:rsidRDefault="00570E88">
      <w:pPr>
        <w:pStyle w:val="BodyText"/>
        <w:spacing w:line="20" w:lineRule="exact"/>
        <w:ind w:left="122"/>
        <w:rPr>
          <w:sz w:val="2"/>
        </w:rPr>
      </w:pPr>
      <w:r>
        <w:rPr>
          <w:noProof/>
          <w:sz w:val="2"/>
        </w:rPr>
        <mc:AlternateContent>
          <mc:Choice Requires="wpg">
            <w:drawing>
              <wp:inline distT="0" distB="0" distL="0" distR="0" wp14:anchorId="72F60411" wp14:editId="6306E3FA">
                <wp:extent cx="10152380" cy="3175"/>
                <wp:effectExtent l="9525" t="0" r="0" b="63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47" name="Graphic 147"/>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48" name="Graphic 148"/>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49" name="Graphic 149"/>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50" name="Graphic 150"/>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51" name="Graphic 151"/>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53" name="Graphic 153"/>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54" name="Graphic 154"/>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55" name="Graphic 155"/>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56" name="Graphic 156"/>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EF6C59" id="Group 146" o:spid="_x0000_s1026" style="width:799.4pt;height:.25pt;mso-position-horizontal-relative:char;mso-position-vertical-relative:lin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">
                <v:shape id="Graphic 147"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" path="m,l575995,e" filled="f" strokeweight=".25pt">
                  <v:path arrowok="t"/>
                </v:shape>
                <v:shape id="Graphic 148"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" path="m,l1386001,e" filled="f" strokeweight=".25pt">
                  <v:path arrowok="t"/>
                </v:shape>
                <v:shape id="Graphic 149"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" path="m,l1845005,e" filled="f" strokeweight=".25pt">
                  <v:path arrowok="t"/>
                </v:shape>
                <v:shape id="Graphic 150"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" path="m,l449999,e" filled="f" strokeweight=".25pt">
                  <v:path arrowok="t"/>
                </v:shape>
                <v:shape id="Graphic 151"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" path="m,l548995,e" filled="f" strokeweight=".25pt">
                  <v:path arrowok="t"/>
                </v:shape>
                <v:shape id="Graphic 152"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" path="m,l774001,e" filled="f" strokeweight=".25pt">
                  <v:path arrowok="t"/>
                </v:shape>
                <v:shape id="Graphic 153"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" path="m,l1143000,e" filled="f" strokeweight=".25pt">
                  <v:path arrowok="t"/>
                </v:shape>
                <v:shape id="Graphic 154"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" path="m,l612000,e" filled="f" strokeweight=".25pt">
                  <v:path arrowok="t"/>
                </v:shape>
                <v:shape id="Graphic 155"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" path="m,l612000,e" filled="f" strokeweight=".25pt">
                  <v:path arrowok="t"/>
                </v:shape>
                <v:shape id="Graphic 156"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" path="m,l2204999,e" filled="f" strokeweight=".25pt">
                  <v:path arrowok="t"/>
                </v:shape>
                <w10:anchorlock/>
              </v:group>
            </w:pict>
          </mc:Fallback>
        </mc:AlternateContent>
      </w:r>
    </w:p>
    <w:p w14:paraId="5AAEF21F" w14:textId="77777777" w:rsidR="00AC6F3C" w:rsidRDefault="00AC6F3C">
      <w:pPr>
        <w:spacing w:line="20" w:lineRule="exact"/>
        <w:rPr>
          <w:sz w:val="2"/>
        </w:rPr>
        <w:sectPr w:rsidR="00AC6F3C">
          <w:type w:val="continuous"/>
          <w:pgSz w:w="16840" w:h="11910" w:orient="landscape"/>
          <w:pgMar w:top="1920" w:right="320" w:bottom="280" w:left="300" w:header="0" w:footer="336"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841"/>
        <w:gridCol w:w="2164"/>
        <w:gridCol w:w="2972"/>
        <w:gridCol w:w="723"/>
        <w:gridCol w:w="821"/>
        <w:gridCol w:w="1216"/>
        <w:gridCol w:w="1810"/>
        <w:gridCol w:w="858"/>
        <w:gridCol w:w="1038"/>
        <w:gridCol w:w="3533"/>
      </w:tblGrid>
      <w:tr w:rsidR="00AC6F3C" w14:paraId="322D8388" w14:textId="77777777">
        <w:trPr>
          <w:trHeight w:val="429"/>
        </w:trPr>
        <w:tc>
          <w:tcPr>
            <w:tcW w:w="841" w:type="dxa"/>
            <w:tcBorders>
              <w:bottom w:val="single" w:sz="8" w:space="0" w:color="000000"/>
            </w:tcBorders>
          </w:tcPr>
          <w:p w14:paraId="048B7000" w14:textId="77777777" w:rsidR="00AC6F3C" w:rsidRDefault="00570E88">
            <w:pPr>
              <w:pStyle w:val="TableParagraph"/>
              <w:spacing w:before="29" w:line="259" w:lineRule="auto"/>
              <w:ind w:left="56"/>
              <w:rPr>
                <w:b/>
                <w:sz w:val="15"/>
              </w:rPr>
            </w:pPr>
            <w:r>
              <w:rPr>
                <w:b/>
                <w:spacing w:val="-2"/>
                <w:sz w:val="15"/>
              </w:rPr>
              <w:lastRenderedPageBreak/>
              <w:t>Strategic</w:t>
            </w:r>
            <w:r>
              <w:rPr>
                <w:b/>
                <w:sz w:val="15"/>
              </w:rPr>
              <w:t xml:space="preserve"> </w:t>
            </w:r>
            <w:r>
              <w:rPr>
                <w:b/>
                <w:spacing w:val="-4"/>
                <w:sz w:val="15"/>
              </w:rPr>
              <w:t>Objective</w:t>
            </w:r>
          </w:p>
        </w:tc>
        <w:tc>
          <w:tcPr>
            <w:tcW w:w="2164" w:type="dxa"/>
            <w:tcBorders>
              <w:bottom w:val="single" w:sz="8" w:space="0" w:color="000000"/>
            </w:tcBorders>
          </w:tcPr>
          <w:p w14:paraId="74545037" w14:textId="77777777" w:rsidR="00AC6F3C" w:rsidRDefault="00AC6F3C">
            <w:pPr>
              <w:pStyle w:val="TableParagraph"/>
              <w:spacing w:before="8"/>
              <w:rPr>
                <w:sz w:val="18"/>
              </w:rPr>
            </w:pPr>
          </w:p>
          <w:p w14:paraId="6196523A" w14:textId="77777777" w:rsidR="00AC6F3C" w:rsidRDefault="00570E88">
            <w:pPr>
              <w:pStyle w:val="TableParagraph"/>
              <w:ind w:left="122"/>
              <w:rPr>
                <w:b/>
                <w:sz w:val="15"/>
              </w:rPr>
            </w:pPr>
            <w:r>
              <w:rPr>
                <w:b/>
                <w:spacing w:val="-2"/>
                <w:sz w:val="15"/>
              </w:rPr>
              <w:t>Initiative</w:t>
            </w:r>
          </w:p>
        </w:tc>
        <w:tc>
          <w:tcPr>
            <w:tcW w:w="2972" w:type="dxa"/>
            <w:tcBorders>
              <w:bottom w:val="single" w:sz="8" w:space="0" w:color="000000"/>
            </w:tcBorders>
          </w:tcPr>
          <w:p w14:paraId="5EDD6BD6" w14:textId="77777777" w:rsidR="00AC6F3C" w:rsidRDefault="00AC6F3C">
            <w:pPr>
              <w:pStyle w:val="TableParagraph"/>
              <w:spacing w:before="8"/>
              <w:rPr>
                <w:sz w:val="18"/>
              </w:rPr>
            </w:pPr>
          </w:p>
          <w:p w14:paraId="6F7ED8BD" w14:textId="77777777" w:rsidR="00AC6F3C" w:rsidRDefault="00570E88">
            <w:pPr>
              <w:pStyle w:val="TableParagraph"/>
              <w:ind w:left="141"/>
              <w:rPr>
                <w:b/>
                <w:sz w:val="15"/>
              </w:rPr>
            </w:pPr>
            <w:r>
              <w:rPr>
                <w:b/>
                <w:spacing w:val="-5"/>
                <w:sz w:val="15"/>
              </w:rPr>
              <w:t xml:space="preserve">Key </w:t>
            </w:r>
            <w:r>
              <w:rPr>
                <w:b/>
                <w:spacing w:val="-2"/>
                <w:sz w:val="15"/>
              </w:rPr>
              <w:t>Action</w:t>
            </w:r>
          </w:p>
        </w:tc>
        <w:tc>
          <w:tcPr>
            <w:tcW w:w="723" w:type="dxa"/>
            <w:tcBorders>
              <w:bottom w:val="single" w:sz="8" w:space="0" w:color="000000"/>
            </w:tcBorders>
          </w:tcPr>
          <w:p w14:paraId="704DCF5B" w14:textId="77777777" w:rsidR="00AC6F3C" w:rsidRDefault="00570E88">
            <w:pPr>
              <w:pStyle w:val="TableParagraph"/>
              <w:spacing w:before="51" w:line="259" w:lineRule="auto"/>
              <w:ind w:left="74" w:right="47"/>
              <w:rPr>
                <w:b/>
                <w:sz w:val="14"/>
              </w:rPr>
            </w:pPr>
            <w:r>
              <w:rPr>
                <w:b/>
                <w:spacing w:val="-2"/>
                <w:sz w:val="14"/>
              </w:rPr>
              <w:t>Strategic</w:t>
            </w:r>
            <w:r>
              <w:rPr>
                <w:b/>
                <w:spacing w:val="40"/>
                <w:sz w:val="14"/>
              </w:rPr>
              <w:t xml:space="preserve"> </w:t>
            </w:r>
            <w:r>
              <w:rPr>
                <w:b/>
                <w:spacing w:val="-4"/>
                <w:sz w:val="14"/>
              </w:rPr>
              <w:t>KPI</w:t>
            </w:r>
          </w:p>
        </w:tc>
        <w:tc>
          <w:tcPr>
            <w:tcW w:w="821" w:type="dxa"/>
            <w:tcBorders>
              <w:bottom w:val="single" w:sz="8" w:space="0" w:color="000000"/>
            </w:tcBorders>
          </w:tcPr>
          <w:p w14:paraId="7418CA45" w14:textId="77777777" w:rsidR="00AC6F3C" w:rsidRDefault="00AC6F3C">
            <w:pPr>
              <w:pStyle w:val="TableParagraph"/>
              <w:spacing w:before="8"/>
              <w:rPr>
                <w:sz w:val="18"/>
              </w:rPr>
            </w:pPr>
          </w:p>
          <w:p w14:paraId="7614AEC7" w14:textId="77777777" w:rsidR="00AC6F3C" w:rsidRDefault="00570E88">
            <w:pPr>
              <w:pStyle w:val="TableParagraph"/>
              <w:ind w:left="42" w:right="145"/>
              <w:jc w:val="center"/>
              <w:rPr>
                <w:b/>
                <w:sz w:val="15"/>
              </w:rPr>
            </w:pPr>
            <w:r>
              <w:rPr>
                <w:b/>
                <w:spacing w:val="-2"/>
                <w:sz w:val="15"/>
              </w:rPr>
              <w:t>Timeline</w:t>
            </w:r>
          </w:p>
        </w:tc>
        <w:tc>
          <w:tcPr>
            <w:tcW w:w="1216" w:type="dxa"/>
            <w:tcBorders>
              <w:bottom w:val="single" w:sz="8" w:space="0" w:color="000000"/>
            </w:tcBorders>
          </w:tcPr>
          <w:p w14:paraId="1281EFEC" w14:textId="77777777" w:rsidR="00AC6F3C" w:rsidRDefault="00AC6F3C">
            <w:pPr>
              <w:pStyle w:val="TableParagraph"/>
              <w:spacing w:before="8"/>
              <w:rPr>
                <w:sz w:val="18"/>
              </w:rPr>
            </w:pPr>
          </w:p>
          <w:p w14:paraId="1DDDEC4E" w14:textId="77777777" w:rsidR="00AC6F3C" w:rsidRDefault="00570E88">
            <w:pPr>
              <w:pStyle w:val="TableParagraph"/>
              <w:ind w:left="83" w:right="78"/>
              <w:jc w:val="center"/>
              <w:rPr>
                <w:b/>
                <w:sz w:val="15"/>
              </w:rPr>
            </w:pPr>
            <w:r>
              <w:rPr>
                <w:b/>
                <w:spacing w:val="-2"/>
                <w:sz w:val="15"/>
              </w:rPr>
              <w:t>Accountability</w:t>
            </w:r>
          </w:p>
        </w:tc>
        <w:tc>
          <w:tcPr>
            <w:tcW w:w="1810" w:type="dxa"/>
            <w:tcBorders>
              <w:bottom w:val="single" w:sz="8" w:space="0" w:color="000000"/>
            </w:tcBorders>
          </w:tcPr>
          <w:p w14:paraId="65BF2F52" w14:textId="77777777" w:rsidR="00AC6F3C" w:rsidRDefault="00AC6F3C">
            <w:pPr>
              <w:pStyle w:val="TableParagraph"/>
              <w:spacing w:before="8"/>
              <w:rPr>
                <w:sz w:val="18"/>
              </w:rPr>
            </w:pPr>
          </w:p>
          <w:p w14:paraId="72874576" w14:textId="77777777" w:rsidR="00AC6F3C" w:rsidRDefault="00570E88">
            <w:pPr>
              <w:pStyle w:val="TableParagraph"/>
              <w:ind w:left="107"/>
              <w:rPr>
                <w:b/>
                <w:sz w:val="15"/>
              </w:rPr>
            </w:pPr>
            <w:r>
              <w:rPr>
                <w:b/>
                <w:spacing w:val="-4"/>
                <w:sz w:val="15"/>
              </w:rPr>
              <w:t>Performance</w:t>
            </w:r>
            <w:r>
              <w:rPr>
                <w:b/>
                <w:spacing w:val="9"/>
                <w:sz w:val="15"/>
              </w:rPr>
              <w:t xml:space="preserve"> </w:t>
            </w:r>
            <w:r>
              <w:rPr>
                <w:b/>
                <w:spacing w:val="-2"/>
                <w:sz w:val="15"/>
              </w:rPr>
              <w:t>target/KPI</w:t>
            </w:r>
          </w:p>
        </w:tc>
        <w:tc>
          <w:tcPr>
            <w:tcW w:w="858" w:type="dxa"/>
            <w:tcBorders>
              <w:bottom w:val="single" w:sz="8" w:space="0" w:color="000000"/>
            </w:tcBorders>
          </w:tcPr>
          <w:p w14:paraId="4A80B68E" w14:textId="77777777" w:rsidR="00AC6F3C" w:rsidRDefault="00570E88">
            <w:pPr>
              <w:pStyle w:val="TableParagraph"/>
              <w:spacing w:before="29" w:line="259" w:lineRule="auto"/>
              <w:ind w:left="97" w:right="176"/>
              <w:rPr>
                <w:b/>
                <w:sz w:val="15"/>
              </w:rPr>
            </w:pPr>
            <w:r>
              <w:rPr>
                <w:b/>
                <w:spacing w:val="-4"/>
                <w:sz w:val="15"/>
              </w:rPr>
              <w:t>Average</w:t>
            </w:r>
            <w:r>
              <w:rPr>
                <w:b/>
                <w:sz w:val="15"/>
              </w:rPr>
              <w:t xml:space="preserve"> </w:t>
            </w:r>
            <w:r>
              <w:rPr>
                <w:b/>
                <w:spacing w:val="-2"/>
                <w:sz w:val="15"/>
              </w:rPr>
              <w:t>Status</w:t>
            </w:r>
          </w:p>
        </w:tc>
        <w:tc>
          <w:tcPr>
            <w:tcW w:w="1038" w:type="dxa"/>
            <w:tcBorders>
              <w:bottom w:val="single" w:sz="8" w:space="0" w:color="000000"/>
            </w:tcBorders>
          </w:tcPr>
          <w:p w14:paraId="46E834A3" w14:textId="77777777" w:rsidR="00AC6F3C" w:rsidRDefault="00570E88">
            <w:pPr>
              <w:pStyle w:val="TableParagraph"/>
              <w:spacing w:before="29" w:line="259" w:lineRule="auto"/>
              <w:ind w:left="202" w:right="251"/>
              <w:rPr>
                <w:b/>
                <w:sz w:val="15"/>
              </w:rPr>
            </w:pPr>
            <w:r>
              <w:rPr>
                <w:b/>
                <w:spacing w:val="-4"/>
                <w:sz w:val="15"/>
              </w:rPr>
              <w:t>Average</w:t>
            </w:r>
            <w:r>
              <w:rPr>
                <w:b/>
                <w:sz w:val="15"/>
              </w:rPr>
              <w:t xml:space="preserve"> </w:t>
            </w:r>
            <w:r>
              <w:rPr>
                <w:b/>
                <w:spacing w:val="-2"/>
                <w:sz w:val="15"/>
              </w:rPr>
              <w:t>status</w:t>
            </w:r>
          </w:p>
        </w:tc>
        <w:tc>
          <w:tcPr>
            <w:tcW w:w="3533" w:type="dxa"/>
            <w:tcBorders>
              <w:bottom w:val="single" w:sz="8" w:space="0" w:color="000000"/>
            </w:tcBorders>
          </w:tcPr>
          <w:p w14:paraId="55381CE4" w14:textId="77777777" w:rsidR="00AC6F3C" w:rsidRDefault="00AC6F3C">
            <w:pPr>
              <w:pStyle w:val="TableParagraph"/>
              <w:spacing w:before="8"/>
              <w:rPr>
                <w:sz w:val="18"/>
              </w:rPr>
            </w:pPr>
          </w:p>
          <w:p w14:paraId="64B94233" w14:textId="77777777" w:rsidR="00AC6F3C" w:rsidRDefault="00570E88">
            <w:pPr>
              <w:pStyle w:val="TableParagraph"/>
              <w:ind w:left="128"/>
              <w:rPr>
                <w:b/>
                <w:sz w:val="15"/>
              </w:rPr>
            </w:pPr>
            <w:r>
              <w:rPr>
                <w:b/>
                <w:spacing w:val="-4"/>
                <w:sz w:val="15"/>
              </w:rPr>
              <w:t>2022-23 Report</w:t>
            </w:r>
          </w:p>
        </w:tc>
      </w:tr>
      <w:tr w:rsidR="00AC6F3C" w14:paraId="7AC7E75B" w14:textId="77777777">
        <w:trPr>
          <w:trHeight w:val="226"/>
        </w:trPr>
        <w:tc>
          <w:tcPr>
            <w:tcW w:w="841" w:type="dxa"/>
            <w:tcBorders>
              <w:top w:val="single" w:sz="8" w:space="0" w:color="000000"/>
            </w:tcBorders>
          </w:tcPr>
          <w:p w14:paraId="171BCC8E" w14:textId="77777777" w:rsidR="00AC6F3C" w:rsidRDefault="00570E88">
            <w:pPr>
              <w:pStyle w:val="TableParagraph"/>
              <w:spacing w:before="81" w:line="126" w:lineRule="exact"/>
              <w:ind w:left="70"/>
              <w:rPr>
                <w:b/>
                <w:sz w:val="15"/>
              </w:rPr>
            </w:pPr>
            <w:r>
              <w:rPr>
                <w:b/>
                <w:spacing w:val="-2"/>
                <w:sz w:val="15"/>
              </w:rPr>
              <w:t>Connect</w:t>
            </w:r>
          </w:p>
        </w:tc>
        <w:tc>
          <w:tcPr>
            <w:tcW w:w="2164" w:type="dxa"/>
            <w:tcBorders>
              <w:top w:val="single" w:sz="8" w:space="0" w:color="000000"/>
            </w:tcBorders>
          </w:tcPr>
          <w:p w14:paraId="20831664" w14:textId="77777777" w:rsidR="00AC6F3C" w:rsidRDefault="00570E88">
            <w:pPr>
              <w:pStyle w:val="TableParagraph"/>
              <w:spacing w:before="81" w:line="126" w:lineRule="exact"/>
              <w:ind w:left="136"/>
              <w:rPr>
                <w:sz w:val="15"/>
              </w:rPr>
            </w:pPr>
            <w:r>
              <w:rPr>
                <w:spacing w:val="-2"/>
                <w:sz w:val="15"/>
              </w:rPr>
              <w:t>15.</w:t>
            </w:r>
            <w:r>
              <w:rPr>
                <w:spacing w:val="22"/>
                <w:sz w:val="15"/>
              </w:rPr>
              <w:t xml:space="preserve"> </w:t>
            </w:r>
            <w:r>
              <w:rPr>
                <w:spacing w:val="-2"/>
                <w:sz w:val="15"/>
              </w:rPr>
              <w:t>Implement</w:t>
            </w:r>
            <w:r>
              <w:rPr>
                <w:spacing w:val="-8"/>
                <w:sz w:val="15"/>
              </w:rPr>
              <w:t xml:space="preserve"> </w:t>
            </w:r>
            <w:r>
              <w:rPr>
                <w:spacing w:val="-2"/>
                <w:sz w:val="15"/>
              </w:rPr>
              <w:t>strategy</w:t>
            </w:r>
          </w:p>
        </w:tc>
        <w:tc>
          <w:tcPr>
            <w:tcW w:w="2972" w:type="dxa"/>
            <w:tcBorders>
              <w:top w:val="single" w:sz="8" w:space="0" w:color="000000"/>
            </w:tcBorders>
          </w:tcPr>
          <w:p w14:paraId="5FFEB3A6" w14:textId="77777777" w:rsidR="00AC6F3C" w:rsidRDefault="00570E88">
            <w:pPr>
              <w:pStyle w:val="TableParagraph"/>
              <w:spacing w:before="81" w:line="126" w:lineRule="exact"/>
              <w:ind w:left="155"/>
              <w:rPr>
                <w:sz w:val="15"/>
              </w:rPr>
            </w:pPr>
            <w:r>
              <w:rPr>
                <w:spacing w:val="-4"/>
                <w:sz w:val="15"/>
              </w:rPr>
              <w:t>15.1.1</w:t>
            </w:r>
            <w:r>
              <w:rPr>
                <w:sz w:val="15"/>
              </w:rPr>
              <w:t xml:space="preserve"> </w:t>
            </w:r>
            <w:r>
              <w:rPr>
                <w:spacing w:val="-4"/>
                <w:sz w:val="15"/>
              </w:rPr>
              <w:t>Develop</w:t>
            </w:r>
            <w:r>
              <w:rPr>
                <w:spacing w:val="-6"/>
                <w:sz w:val="15"/>
              </w:rPr>
              <w:t xml:space="preserve"> </w:t>
            </w:r>
            <w:r>
              <w:rPr>
                <w:spacing w:val="-4"/>
                <w:sz w:val="15"/>
              </w:rPr>
              <w:t>strategy</w:t>
            </w:r>
            <w:r>
              <w:rPr>
                <w:spacing w:val="-7"/>
                <w:sz w:val="15"/>
              </w:rPr>
              <w:t xml:space="preserve"> </w:t>
            </w:r>
            <w:r>
              <w:rPr>
                <w:spacing w:val="-4"/>
                <w:sz w:val="15"/>
              </w:rPr>
              <w:t>to</w:t>
            </w:r>
            <w:r>
              <w:rPr>
                <w:spacing w:val="-6"/>
                <w:sz w:val="15"/>
              </w:rPr>
              <w:t xml:space="preserve"> </w:t>
            </w:r>
            <w:r>
              <w:rPr>
                <w:spacing w:val="-4"/>
                <w:sz w:val="15"/>
              </w:rPr>
              <w:t>convert</w:t>
            </w:r>
            <w:r>
              <w:rPr>
                <w:spacing w:val="-6"/>
                <w:sz w:val="15"/>
              </w:rPr>
              <w:t xml:space="preserve"> </w:t>
            </w:r>
            <w:r>
              <w:rPr>
                <w:spacing w:val="-5"/>
                <w:sz w:val="15"/>
              </w:rPr>
              <w:t>and</w:t>
            </w:r>
          </w:p>
        </w:tc>
        <w:tc>
          <w:tcPr>
            <w:tcW w:w="723" w:type="dxa"/>
            <w:tcBorders>
              <w:top w:val="single" w:sz="8" w:space="0" w:color="000000"/>
            </w:tcBorders>
          </w:tcPr>
          <w:p w14:paraId="493EBF6C" w14:textId="77777777" w:rsidR="00AC6F3C" w:rsidRDefault="00570E88">
            <w:pPr>
              <w:pStyle w:val="TableParagraph"/>
              <w:spacing w:before="81" w:line="126" w:lineRule="exact"/>
              <w:ind w:left="89"/>
              <w:rPr>
                <w:b/>
                <w:sz w:val="15"/>
              </w:rPr>
            </w:pPr>
            <w:r>
              <w:rPr>
                <w:b/>
                <w:spacing w:val="-4"/>
                <w:sz w:val="15"/>
              </w:rPr>
              <w:t>KPI2</w:t>
            </w:r>
          </w:p>
        </w:tc>
        <w:tc>
          <w:tcPr>
            <w:tcW w:w="821" w:type="dxa"/>
            <w:tcBorders>
              <w:top w:val="single" w:sz="8" w:space="0" w:color="000000"/>
            </w:tcBorders>
          </w:tcPr>
          <w:p w14:paraId="07425D17" w14:textId="77777777" w:rsidR="00AC6F3C" w:rsidRDefault="00570E88">
            <w:pPr>
              <w:pStyle w:val="TableParagraph"/>
              <w:spacing w:before="81" w:line="126" w:lineRule="exact"/>
              <w:ind w:left="42" w:right="63"/>
              <w:jc w:val="center"/>
              <w:rPr>
                <w:sz w:val="15"/>
              </w:rPr>
            </w:pPr>
            <w:r>
              <w:rPr>
                <w:spacing w:val="-4"/>
                <w:sz w:val="15"/>
              </w:rPr>
              <w:t>30-Jun-</w:t>
            </w:r>
            <w:r>
              <w:rPr>
                <w:spacing w:val="-5"/>
                <w:sz w:val="15"/>
              </w:rPr>
              <w:t>23</w:t>
            </w:r>
          </w:p>
        </w:tc>
        <w:tc>
          <w:tcPr>
            <w:tcW w:w="1216" w:type="dxa"/>
            <w:tcBorders>
              <w:top w:val="single" w:sz="8" w:space="0" w:color="000000"/>
            </w:tcBorders>
          </w:tcPr>
          <w:p w14:paraId="17FA0071" w14:textId="77777777" w:rsidR="00AC6F3C" w:rsidRDefault="00570E88">
            <w:pPr>
              <w:pStyle w:val="TableParagraph"/>
              <w:spacing w:before="81" w:line="126" w:lineRule="exact"/>
              <w:ind w:left="12" w:right="82"/>
              <w:jc w:val="center"/>
              <w:rPr>
                <w:sz w:val="15"/>
              </w:rPr>
            </w:pPr>
            <w:r>
              <w:rPr>
                <w:spacing w:val="-6"/>
                <w:sz w:val="15"/>
              </w:rPr>
              <w:t>Membership</w:t>
            </w:r>
            <w:r>
              <w:rPr>
                <w:sz w:val="15"/>
              </w:rPr>
              <w:t xml:space="preserve"> </w:t>
            </w:r>
            <w:r>
              <w:rPr>
                <w:spacing w:val="-10"/>
                <w:sz w:val="15"/>
              </w:rPr>
              <w:t>&amp;</w:t>
            </w:r>
          </w:p>
        </w:tc>
        <w:tc>
          <w:tcPr>
            <w:tcW w:w="1810" w:type="dxa"/>
            <w:tcBorders>
              <w:top w:val="single" w:sz="8" w:space="0" w:color="000000"/>
            </w:tcBorders>
          </w:tcPr>
          <w:p w14:paraId="6CEFB4A8" w14:textId="77777777" w:rsidR="00AC6F3C" w:rsidRDefault="00570E88">
            <w:pPr>
              <w:pStyle w:val="TableParagraph"/>
              <w:spacing w:before="81" w:line="126" w:lineRule="exact"/>
              <w:ind w:left="121"/>
              <w:rPr>
                <w:sz w:val="15"/>
              </w:rPr>
            </w:pPr>
            <w:r>
              <w:rPr>
                <w:spacing w:val="-6"/>
                <w:sz w:val="15"/>
              </w:rPr>
              <w:t>15.1.1</w:t>
            </w:r>
            <w:r>
              <w:rPr>
                <w:sz w:val="15"/>
              </w:rPr>
              <w:t xml:space="preserve"> </w:t>
            </w:r>
            <w:r>
              <w:rPr>
                <w:spacing w:val="-6"/>
                <w:sz w:val="15"/>
              </w:rPr>
              <w:t>A</w:t>
            </w:r>
            <w:r>
              <w:rPr>
                <w:spacing w:val="-5"/>
                <w:sz w:val="15"/>
              </w:rPr>
              <w:t xml:space="preserve"> </w:t>
            </w:r>
            <w:r>
              <w:rPr>
                <w:spacing w:val="-6"/>
                <w:sz w:val="15"/>
              </w:rPr>
              <w:t>PC</w:t>
            </w:r>
            <w:r>
              <w:rPr>
                <w:spacing w:val="-5"/>
                <w:sz w:val="15"/>
              </w:rPr>
              <w:t xml:space="preserve"> </w:t>
            </w:r>
            <w:r>
              <w:rPr>
                <w:spacing w:val="-6"/>
                <w:sz w:val="15"/>
              </w:rPr>
              <w:t>to</w:t>
            </w:r>
          </w:p>
        </w:tc>
        <w:tc>
          <w:tcPr>
            <w:tcW w:w="858" w:type="dxa"/>
            <w:tcBorders>
              <w:top w:val="single" w:sz="8" w:space="0" w:color="000000"/>
            </w:tcBorders>
          </w:tcPr>
          <w:p w14:paraId="42F2876B" w14:textId="77777777" w:rsidR="00AC6F3C" w:rsidRDefault="00570E88">
            <w:pPr>
              <w:pStyle w:val="TableParagraph"/>
              <w:spacing w:before="81" w:line="126" w:lineRule="exact"/>
              <w:ind w:left="111"/>
              <w:rPr>
                <w:b/>
                <w:sz w:val="15"/>
              </w:rPr>
            </w:pPr>
            <w:r>
              <w:rPr>
                <w:b/>
                <w:spacing w:val="-2"/>
                <w:sz w:val="15"/>
              </w:rPr>
              <w:t>Green-</w:t>
            </w:r>
          </w:p>
        </w:tc>
        <w:tc>
          <w:tcPr>
            <w:tcW w:w="1038" w:type="dxa"/>
            <w:tcBorders>
              <w:top w:val="single" w:sz="8" w:space="0" w:color="000000"/>
            </w:tcBorders>
          </w:tcPr>
          <w:p w14:paraId="6D41ED68" w14:textId="77777777" w:rsidR="00AC6F3C" w:rsidRDefault="00570E88">
            <w:pPr>
              <w:pStyle w:val="TableParagraph"/>
              <w:spacing w:before="75" w:line="132" w:lineRule="exact"/>
              <w:ind w:left="217"/>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3533" w:type="dxa"/>
            <w:tcBorders>
              <w:top w:val="single" w:sz="8" w:space="0" w:color="000000"/>
            </w:tcBorders>
          </w:tcPr>
          <w:p w14:paraId="153DB14F" w14:textId="77777777" w:rsidR="00AC6F3C" w:rsidRDefault="00570E88">
            <w:pPr>
              <w:pStyle w:val="TableParagraph"/>
              <w:spacing w:before="75" w:line="132" w:lineRule="exact"/>
              <w:ind w:left="142"/>
              <w:rPr>
                <w:sz w:val="15"/>
              </w:rPr>
            </w:pPr>
            <w:r>
              <w:rPr>
                <w:spacing w:val="-4"/>
                <w:sz w:val="15"/>
              </w:rPr>
              <w:t>15.1.1</w:t>
            </w:r>
            <w:r>
              <w:rPr>
                <w:spacing w:val="8"/>
                <w:sz w:val="15"/>
              </w:rPr>
              <w:t xml:space="preserve"> </w:t>
            </w:r>
            <w:r>
              <w:rPr>
                <w:spacing w:val="-4"/>
                <w:sz w:val="15"/>
              </w:rPr>
              <w:t>On</w:t>
            </w:r>
            <w:r>
              <w:rPr>
                <w:spacing w:val="-6"/>
                <w:sz w:val="15"/>
              </w:rPr>
              <w:t xml:space="preserve"> </w:t>
            </w:r>
            <w:r>
              <w:rPr>
                <w:spacing w:val="-4"/>
                <w:sz w:val="15"/>
              </w:rPr>
              <w:t>track</w:t>
            </w:r>
            <w:r>
              <w:rPr>
                <w:spacing w:val="-7"/>
                <w:sz w:val="15"/>
              </w:rPr>
              <w:t xml:space="preserve"> </w:t>
            </w:r>
            <w:r>
              <w:rPr>
                <w:spacing w:val="-4"/>
                <w:sz w:val="15"/>
              </w:rPr>
              <w:t>and</w:t>
            </w:r>
            <w:r>
              <w:rPr>
                <w:spacing w:val="-6"/>
                <w:sz w:val="15"/>
              </w:rPr>
              <w:t xml:space="preserve"> </w:t>
            </w:r>
            <w:r>
              <w:rPr>
                <w:spacing w:val="-4"/>
                <w:sz w:val="15"/>
              </w:rPr>
              <w:t>ongoing</w:t>
            </w:r>
            <w:r>
              <w:rPr>
                <w:spacing w:val="-6"/>
                <w:sz w:val="15"/>
              </w:rPr>
              <w:t xml:space="preserve"> </w:t>
            </w:r>
            <w:r>
              <w:rPr>
                <w:spacing w:val="-4"/>
                <w:sz w:val="15"/>
              </w:rPr>
              <w:t>–</w:t>
            </w:r>
            <w:r>
              <w:rPr>
                <w:spacing w:val="-7"/>
                <w:sz w:val="15"/>
              </w:rPr>
              <w:t xml:space="preserve"> </w:t>
            </w:r>
            <w:r>
              <w:rPr>
                <w:spacing w:val="-4"/>
                <w:sz w:val="15"/>
              </w:rPr>
              <w:t>As</w:t>
            </w:r>
            <w:r>
              <w:rPr>
                <w:spacing w:val="-6"/>
                <w:sz w:val="15"/>
              </w:rPr>
              <w:t xml:space="preserve"> </w:t>
            </w:r>
            <w:r>
              <w:rPr>
                <w:spacing w:val="-4"/>
                <w:sz w:val="15"/>
              </w:rPr>
              <w:t>of</w:t>
            </w:r>
            <w:r>
              <w:rPr>
                <w:spacing w:val="-7"/>
                <w:sz w:val="15"/>
              </w:rPr>
              <w:t xml:space="preserve"> </w:t>
            </w:r>
            <w:r>
              <w:rPr>
                <w:spacing w:val="-4"/>
                <w:sz w:val="15"/>
              </w:rPr>
              <w:t>30</w:t>
            </w:r>
            <w:r>
              <w:rPr>
                <w:spacing w:val="-6"/>
                <w:sz w:val="15"/>
              </w:rPr>
              <w:t xml:space="preserve"> </w:t>
            </w:r>
            <w:r>
              <w:rPr>
                <w:spacing w:val="-4"/>
                <w:sz w:val="15"/>
              </w:rPr>
              <w:t>June</w:t>
            </w:r>
            <w:r>
              <w:rPr>
                <w:spacing w:val="-7"/>
                <w:sz w:val="15"/>
              </w:rPr>
              <w:t xml:space="preserve"> </w:t>
            </w:r>
            <w:r>
              <w:rPr>
                <w:spacing w:val="-4"/>
                <w:sz w:val="15"/>
              </w:rPr>
              <w:t>2023</w:t>
            </w:r>
          </w:p>
        </w:tc>
      </w:tr>
      <w:tr w:rsidR="00AC6F3C" w14:paraId="0B2C3475" w14:textId="77777777">
        <w:trPr>
          <w:trHeight w:val="579"/>
        </w:trPr>
        <w:tc>
          <w:tcPr>
            <w:tcW w:w="841" w:type="dxa"/>
          </w:tcPr>
          <w:p w14:paraId="62038F15" w14:textId="77777777" w:rsidR="00AC6F3C" w:rsidRDefault="00AC6F3C">
            <w:pPr>
              <w:pStyle w:val="TableParagraph"/>
              <w:rPr>
                <w:rFonts w:ascii="Times New Roman"/>
                <w:sz w:val="14"/>
              </w:rPr>
            </w:pPr>
          </w:p>
        </w:tc>
        <w:tc>
          <w:tcPr>
            <w:tcW w:w="2164" w:type="dxa"/>
          </w:tcPr>
          <w:p w14:paraId="3D9510BD" w14:textId="77777777" w:rsidR="00AC6F3C" w:rsidRDefault="00570E88">
            <w:pPr>
              <w:pStyle w:val="TableParagraph"/>
              <w:spacing w:before="19" w:line="180" w:lineRule="atLeast"/>
              <w:ind w:left="420"/>
              <w:rPr>
                <w:sz w:val="15"/>
              </w:rPr>
            </w:pPr>
            <w:r>
              <w:rPr>
                <w:sz w:val="15"/>
              </w:rPr>
              <w:t xml:space="preserve">to convert and retain membership in target </w:t>
            </w:r>
            <w:r>
              <w:rPr>
                <w:spacing w:val="-4"/>
                <w:sz w:val="15"/>
              </w:rPr>
              <w:t>areas,</w:t>
            </w:r>
            <w:r>
              <w:rPr>
                <w:spacing w:val="-7"/>
                <w:sz w:val="15"/>
              </w:rPr>
              <w:t xml:space="preserve"> </w:t>
            </w:r>
            <w:r>
              <w:rPr>
                <w:spacing w:val="-4"/>
                <w:sz w:val="15"/>
              </w:rPr>
              <w:t>in</w:t>
            </w:r>
            <w:r>
              <w:rPr>
                <w:spacing w:val="-6"/>
                <w:sz w:val="15"/>
              </w:rPr>
              <w:t xml:space="preserve"> </w:t>
            </w:r>
            <w:r>
              <w:rPr>
                <w:spacing w:val="-4"/>
                <w:sz w:val="15"/>
              </w:rPr>
              <w:t>particular</w:t>
            </w:r>
            <w:r>
              <w:rPr>
                <w:spacing w:val="-7"/>
                <w:sz w:val="15"/>
              </w:rPr>
              <w:t xml:space="preserve"> </w:t>
            </w:r>
            <w:r>
              <w:rPr>
                <w:spacing w:val="-4"/>
                <w:sz w:val="15"/>
              </w:rPr>
              <w:t>young</w:t>
            </w:r>
          </w:p>
        </w:tc>
        <w:tc>
          <w:tcPr>
            <w:tcW w:w="2972" w:type="dxa"/>
          </w:tcPr>
          <w:p w14:paraId="1AB00305" w14:textId="77777777" w:rsidR="00AC6F3C" w:rsidRDefault="00570E88">
            <w:pPr>
              <w:pStyle w:val="TableParagraph"/>
              <w:spacing w:before="19" w:line="180" w:lineRule="atLeast"/>
              <w:ind w:left="580"/>
              <w:rPr>
                <w:sz w:val="15"/>
              </w:rPr>
            </w:pPr>
            <w:r>
              <w:rPr>
                <w:spacing w:val="-4"/>
                <w:sz w:val="15"/>
              </w:rPr>
              <w:t>retain</w:t>
            </w:r>
            <w:r>
              <w:rPr>
                <w:spacing w:val="-7"/>
                <w:sz w:val="15"/>
              </w:rPr>
              <w:t xml:space="preserve"> </w:t>
            </w:r>
            <w:r>
              <w:rPr>
                <w:spacing w:val="-4"/>
                <w:sz w:val="15"/>
              </w:rPr>
              <w:t>membership</w:t>
            </w:r>
            <w:r>
              <w:rPr>
                <w:spacing w:val="-6"/>
                <w:sz w:val="15"/>
              </w:rPr>
              <w:t xml:space="preserve"> </w:t>
            </w:r>
            <w:r>
              <w:rPr>
                <w:spacing w:val="-4"/>
                <w:sz w:val="15"/>
              </w:rPr>
              <w:t>in</w:t>
            </w:r>
            <w:r>
              <w:rPr>
                <w:spacing w:val="-7"/>
                <w:sz w:val="15"/>
              </w:rPr>
              <w:t xml:space="preserve"> </w:t>
            </w:r>
            <w:r>
              <w:rPr>
                <w:spacing w:val="-4"/>
                <w:sz w:val="15"/>
              </w:rPr>
              <w:t>target</w:t>
            </w:r>
            <w:r>
              <w:rPr>
                <w:spacing w:val="-6"/>
                <w:sz w:val="15"/>
              </w:rPr>
              <w:t xml:space="preserve"> </w:t>
            </w:r>
            <w:r>
              <w:rPr>
                <w:spacing w:val="-4"/>
                <w:sz w:val="15"/>
              </w:rPr>
              <w:t>areas,</w:t>
            </w:r>
            <w:r>
              <w:rPr>
                <w:spacing w:val="-7"/>
                <w:sz w:val="15"/>
              </w:rPr>
              <w:t xml:space="preserve"> </w:t>
            </w:r>
            <w:r>
              <w:rPr>
                <w:spacing w:val="-4"/>
                <w:sz w:val="15"/>
              </w:rPr>
              <w:t>in</w:t>
            </w:r>
            <w:r>
              <w:rPr>
                <w:sz w:val="15"/>
              </w:rPr>
              <w:t xml:space="preserve"> particular</w:t>
            </w:r>
            <w:r>
              <w:rPr>
                <w:spacing w:val="-11"/>
                <w:sz w:val="15"/>
              </w:rPr>
              <w:t xml:space="preserve"> </w:t>
            </w:r>
            <w:r>
              <w:rPr>
                <w:sz w:val="15"/>
              </w:rPr>
              <w:t>young</w:t>
            </w:r>
            <w:r>
              <w:rPr>
                <w:spacing w:val="-10"/>
                <w:sz w:val="15"/>
              </w:rPr>
              <w:t xml:space="preserve"> </w:t>
            </w:r>
            <w:r>
              <w:rPr>
                <w:sz w:val="15"/>
              </w:rPr>
              <w:t>lawyers,</w:t>
            </w:r>
            <w:r>
              <w:rPr>
                <w:spacing w:val="-11"/>
                <w:sz w:val="15"/>
              </w:rPr>
              <w:t xml:space="preserve"> </w:t>
            </w:r>
            <w:r>
              <w:rPr>
                <w:sz w:val="15"/>
              </w:rPr>
              <w:t>corporate PC</w:t>
            </w:r>
            <w:r>
              <w:rPr>
                <w:spacing w:val="-11"/>
                <w:sz w:val="15"/>
              </w:rPr>
              <w:t xml:space="preserve"> </w:t>
            </w:r>
            <w:r>
              <w:rPr>
                <w:sz w:val="15"/>
              </w:rPr>
              <w:t>holders</w:t>
            </w:r>
            <w:r>
              <w:rPr>
                <w:spacing w:val="-10"/>
                <w:sz w:val="15"/>
              </w:rPr>
              <w:t xml:space="preserve"> </w:t>
            </w:r>
            <w:r>
              <w:rPr>
                <w:sz w:val="15"/>
              </w:rPr>
              <w:t>and</w:t>
            </w:r>
            <w:r>
              <w:rPr>
                <w:spacing w:val="-11"/>
                <w:sz w:val="15"/>
              </w:rPr>
              <w:t xml:space="preserve"> </w:t>
            </w:r>
            <w:r>
              <w:rPr>
                <w:sz w:val="15"/>
              </w:rPr>
              <w:t>Brisbane</w:t>
            </w:r>
            <w:r>
              <w:rPr>
                <w:spacing w:val="-10"/>
                <w:sz w:val="15"/>
              </w:rPr>
              <w:t xml:space="preserve"> </w:t>
            </w:r>
            <w:r>
              <w:rPr>
                <w:sz w:val="15"/>
              </w:rPr>
              <w:t>suburban</w:t>
            </w:r>
          </w:p>
        </w:tc>
        <w:tc>
          <w:tcPr>
            <w:tcW w:w="723" w:type="dxa"/>
          </w:tcPr>
          <w:p w14:paraId="6D70A0EB" w14:textId="77777777" w:rsidR="00AC6F3C" w:rsidRDefault="00AC6F3C">
            <w:pPr>
              <w:pStyle w:val="TableParagraph"/>
              <w:spacing w:before="7"/>
              <w:rPr>
                <w:sz w:val="18"/>
              </w:rPr>
            </w:pPr>
          </w:p>
          <w:p w14:paraId="14DA49DD" w14:textId="77777777" w:rsidR="00AC6F3C" w:rsidRDefault="00570E88">
            <w:pPr>
              <w:pStyle w:val="TableParagraph"/>
              <w:ind w:left="89"/>
              <w:rPr>
                <w:b/>
                <w:sz w:val="15"/>
              </w:rPr>
            </w:pPr>
            <w:r>
              <w:rPr>
                <w:b/>
                <w:spacing w:val="-4"/>
                <w:sz w:val="15"/>
              </w:rPr>
              <w:t>KPI3</w:t>
            </w:r>
          </w:p>
        </w:tc>
        <w:tc>
          <w:tcPr>
            <w:tcW w:w="821" w:type="dxa"/>
          </w:tcPr>
          <w:p w14:paraId="15506BBE" w14:textId="77777777" w:rsidR="00AC6F3C" w:rsidRDefault="00AC6F3C">
            <w:pPr>
              <w:pStyle w:val="TableParagraph"/>
              <w:rPr>
                <w:rFonts w:ascii="Times New Roman"/>
                <w:sz w:val="14"/>
              </w:rPr>
            </w:pPr>
          </w:p>
        </w:tc>
        <w:tc>
          <w:tcPr>
            <w:tcW w:w="1216" w:type="dxa"/>
          </w:tcPr>
          <w:p w14:paraId="4942244D" w14:textId="77777777" w:rsidR="00AC6F3C" w:rsidRDefault="00570E88">
            <w:pPr>
              <w:pStyle w:val="TableParagraph"/>
              <w:spacing w:before="34"/>
              <w:ind w:left="83" w:right="262"/>
              <w:jc w:val="center"/>
              <w:rPr>
                <w:sz w:val="15"/>
              </w:rPr>
            </w:pPr>
            <w:r>
              <w:rPr>
                <w:spacing w:val="-2"/>
                <w:sz w:val="15"/>
              </w:rPr>
              <w:t>Engagement</w:t>
            </w:r>
          </w:p>
        </w:tc>
        <w:tc>
          <w:tcPr>
            <w:tcW w:w="1810" w:type="dxa"/>
          </w:tcPr>
          <w:p w14:paraId="0977745E" w14:textId="77777777" w:rsidR="00AC6F3C" w:rsidRDefault="00570E88">
            <w:pPr>
              <w:pStyle w:val="TableParagraph"/>
              <w:spacing w:before="34" w:line="249" w:lineRule="auto"/>
              <w:ind w:left="546" w:right="82"/>
              <w:rPr>
                <w:sz w:val="15"/>
              </w:rPr>
            </w:pPr>
            <w:r>
              <w:rPr>
                <w:spacing w:val="-2"/>
                <w:sz w:val="15"/>
              </w:rPr>
              <w:t>membership</w:t>
            </w:r>
            <w:r>
              <w:rPr>
                <w:sz w:val="15"/>
              </w:rPr>
              <w:t xml:space="preserve"> </w:t>
            </w:r>
            <w:r>
              <w:rPr>
                <w:spacing w:val="-4"/>
                <w:sz w:val="15"/>
              </w:rPr>
              <w:t>conversion</w:t>
            </w:r>
            <w:r>
              <w:rPr>
                <w:spacing w:val="-7"/>
                <w:sz w:val="15"/>
              </w:rPr>
              <w:t xml:space="preserve"> </w:t>
            </w:r>
            <w:r>
              <w:rPr>
                <w:spacing w:val="-4"/>
                <w:sz w:val="15"/>
              </w:rPr>
              <w:t>of</w:t>
            </w:r>
            <w:r>
              <w:rPr>
                <w:spacing w:val="-6"/>
                <w:sz w:val="15"/>
              </w:rPr>
              <w:t xml:space="preserve"> </w:t>
            </w:r>
            <w:r>
              <w:rPr>
                <w:spacing w:val="-4"/>
                <w:sz w:val="15"/>
              </w:rPr>
              <w:t>85%</w:t>
            </w:r>
          </w:p>
          <w:p w14:paraId="46B7FE2F" w14:textId="77777777" w:rsidR="00AC6F3C" w:rsidRDefault="00570E88">
            <w:pPr>
              <w:pStyle w:val="TableParagraph"/>
              <w:spacing w:before="44" w:line="122" w:lineRule="exact"/>
              <w:ind w:left="121"/>
              <w:rPr>
                <w:sz w:val="15"/>
              </w:rPr>
            </w:pPr>
            <w:r>
              <w:rPr>
                <w:spacing w:val="-4"/>
                <w:sz w:val="15"/>
              </w:rPr>
              <w:t>15.1.2</w:t>
            </w:r>
            <w:r>
              <w:rPr>
                <w:spacing w:val="1"/>
                <w:sz w:val="15"/>
              </w:rPr>
              <w:t xml:space="preserve"> </w:t>
            </w:r>
            <w:r>
              <w:rPr>
                <w:spacing w:val="-4"/>
                <w:sz w:val="15"/>
              </w:rPr>
              <w:t>Reporting</w:t>
            </w:r>
            <w:r>
              <w:rPr>
                <w:spacing w:val="-7"/>
                <w:sz w:val="15"/>
              </w:rPr>
              <w:t xml:space="preserve"> </w:t>
            </w:r>
            <w:r>
              <w:rPr>
                <w:spacing w:val="-4"/>
                <w:sz w:val="15"/>
              </w:rPr>
              <w:t>to</w:t>
            </w:r>
            <w:r>
              <w:rPr>
                <w:spacing w:val="-6"/>
                <w:sz w:val="15"/>
              </w:rPr>
              <w:t xml:space="preserve"> </w:t>
            </w:r>
            <w:r>
              <w:rPr>
                <w:spacing w:val="-5"/>
                <w:sz w:val="15"/>
              </w:rPr>
              <w:t>the</w:t>
            </w:r>
          </w:p>
        </w:tc>
        <w:tc>
          <w:tcPr>
            <w:tcW w:w="858" w:type="dxa"/>
          </w:tcPr>
          <w:p w14:paraId="1B9F2838" w14:textId="77777777" w:rsidR="00AC6F3C" w:rsidRDefault="00570E88">
            <w:pPr>
              <w:pStyle w:val="TableParagraph"/>
              <w:spacing w:before="34"/>
              <w:ind w:left="111"/>
              <w:rPr>
                <w:b/>
                <w:sz w:val="15"/>
              </w:rPr>
            </w:pPr>
            <w:r>
              <w:rPr>
                <w:b/>
                <w:spacing w:val="-2"/>
                <w:sz w:val="15"/>
              </w:rPr>
              <w:t>Yellow</w:t>
            </w:r>
          </w:p>
        </w:tc>
        <w:tc>
          <w:tcPr>
            <w:tcW w:w="1038" w:type="dxa"/>
          </w:tcPr>
          <w:p w14:paraId="43D6A956" w14:textId="77777777" w:rsidR="00AC6F3C" w:rsidRDefault="00570E88">
            <w:pPr>
              <w:pStyle w:val="TableParagraph"/>
              <w:spacing w:before="28"/>
              <w:ind w:left="217"/>
              <w:rPr>
                <w:b/>
                <w:sz w:val="15"/>
              </w:rPr>
            </w:pPr>
            <w:r>
              <w:rPr>
                <w:b/>
                <w:spacing w:val="-2"/>
                <w:sz w:val="15"/>
              </w:rPr>
              <w:t>ongoing</w:t>
            </w:r>
          </w:p>
        </w:tc>
        <w:tc>
          <w:tcPr>
            <w:tcW w:w="3533" w:type="dxa"/>
          </w:tcPr>
          <w:p w14:paraId="1D2B1C8A" w14:textId="77777777" w:rsidR="00AC6F3C" w:rsidRDefault="00570E88">
            <w:pPr>
              <w:pStyle w:val="TableParagraph"/>
              <w:spacing w:before="28" w:line="249" w:lineRule="auto"/>
              <w:ind w:left="567"/>
              <w:rPr>
                <w:sz w:val="8"/>
              </w:rPr>
            </w:pPr>
            <w:r>
              <w:rPr>
                <w:spacing w:val="-6"/>
                <w:sz w:val="15"/>
              </w:rPr>
              <w:t>11,455</w:t>
            </w:r>
            <w:r>
              <w:rPr>
                <w:spacing w:val="-1"/>
                <w:sz w:val="15"/>
              </w:rPr>
              <w:t xml:space="preserve"> </w:t>
            </w:r>
            <w:r>
              <w:rPr>
                <w:spacing w:val="-6"/>
                <w:sz w:val="15"/>
              </w:rPr>
              <w:t>full</w:t>
            </w:r>
            <w:r>
              <w:rPr>
                <w:spacing w:val="-1"/>
                <w:sz w:val="15"/>
              </w:rPr>
              <w:t xml:space="preserve"> </w:t>
            </w:r>
            <w:r>
              <w:rPr>
                <w:spacing w:val="-6"/>
                <w:sz w:val="15"/>
              </w:rPr>
              <w:t>members</w:t>
            </w:r>
            <w:r>
              <w:rPr>
                <w:spacing w:val="-1"/>
                <w:sz w:val="15"/>
              </w:rPr>
              <w:t xml:space="preserve"> </w:t>
            </w:r>
            <w:r>
              <w:rPr>
                <w:spacing w:val="-6"/>
                <w:sz w:val="15"/>
              </w:rPr>
              <w:t>and</w:t>
            </w:r>
            <w:r>
              <w:rPr>
                <w:spacing w:val="-1"/>
                <w:sz w:val="15"/>
              </w:rPr>
              <w:t xml:space="preserve"> </w:t>
            </w:r>
            <w:r>
              <w:rPr>
                <w:spacing w:val="-6"/>
                <w:sz w:val="15"/>
              </w:rPr>
              <w:t>14,917</w:t>
            </w:r>
            <w:r>
              <w:rPr>
                <w:spacing w:val="-1"/>
                <w:sz w:val="15"/>
              </w:rPr>
              <w:t xml:space="preserve"> </w:t>
            </w:r>
            <w:r>
              <w:rPr>
                <w:spacing w:val="-6"/>
                <w:sz w:val="15"/>
              </w:rPr>
              <w:t>PC</w:t>
            </w:r>
            <w:r>
              <w:rPr>
                <w:spacing w:val="-1"/>
                <w:sz w:val="15"/>
              </w:rPr>
              <w:t xml:space="preserve"> </w:t>
            </w:r>
            <w:r>
              <w:rPr>
                <w:spacing w:val="-6"/>
                <w:sz w:val="15"/>
              </w:rPr>
              <w:t>holders</w:t>
            </w:r>
            <w:r>
              <w:rPr>
                <w:spacing w:val="-1"/>
                <w:sz w:val="15"/>
              </w:rPr>
              <w:t xml:space="preserve"> </w:t>
            </w:r>
            <w:r>
              <w:rPr>
                <w:spacing w:val="-6"/>
                <w:sz w:val="15"/>
              </w:rPr>
              <w:t>–</w:t>
            </w:r>
            <w:r>
              <w:rPr>
                <w:sz w:val="15"/>
              </w:rPr>
              <w:t xml:space="preserve"> 76.79% conversion rate</w:t>
            </w:r>
            <w:r>
              <w:rPr>
                <w:position w:val="5"/>
                <w:sz w:val="8"/>
              </w:rPr>
              <w:t>#</w:t>
            </w:r>
          </w:p>
          <w:p w14:paraId="19F29AE0" w14:textId="77777777" w:rsidR="00AC6F3C" w:rsidRDefault="00570E88">
            <w:pPr>
              <w:pStyle w:val="TableParagraph"/>
              <w:spacing w:before="44" w:line="128" w:lineRule="exact"/>
              <w:ind w:left="142"/>
              <w:rPr>
                <w:sz w:val="15"/>
              </w:rPr>
            </w:pPr>
            <w:r>
              <w:rPr>
                <w:spacing w:val="-4"/>
                <w:sz w:val="15"/>
              </w:rPr>
              <w:t>15.1.2 On</w:t>
            </w:r>
            <w:r>
              <w:rPr>
                <w:spacing w:val="-6"/>
                <w:sz w:val="15"/>
              </w:rPr>
              <w:t xml:space="preserve"> </w:t>
            </w:r>
            <w:r>
              <w:rPr>
                <w:spacing w:val="-4"/>
                <w:sz w:val="15"/>
              </w:rPr>
              <w:t>track</w:t>
            </w:r>
            <w:r>
              <w:rPr>
                <w:spacing w:val="-7"/>
                <w:sz w:val="15"/>
              </w:rPr>
              <w:t xml:space="preserve"> </w:t>
            </w:r>
            <w:r>
              <w:rPr>
                <w:spacing w:val="-4"/>
                <w:sz w:val="15"/>
              </w:rPr>
              <w:t>and</w:t>
            </w:r>
            <w:r>
              <w:rPr>
                <w:spacing w:val="-6"/>
                <w:sz w:val="15"/>
              </w:rPr>
              <w:t xml:space="preserve"> </w:t>
            </w:r>
            <w:r>
              <w:rPr>
                <w:spacing w:val="-4"/>
                <w:sz w:val="15"/>
              </w:rPr>
              <w:t>ongoing:</w:t>
            </w:r>
          </w:p>
        </w:tc>
      </w:tr>
    </w:tbl>
    <w:p w14:paraId="39E51F02" w14:textId="77777777" w:rsidR="00AC6F3C" w:rsidRDefault="00AC6F3C">
      <w:pPr>
        <w:spacing w:line="128" w:lineRule="exact"/>
        <w:rPr>
          <w:sz w:val="15"/>
        </w:rPr>
        <w:sectPr w:rsidR="00AC6F3C">
          <w:headerReference w:type="default" r:id="rId35"/>
          <w:footerReference w:type="default" r:id="rId36"/>
          <w:pgSz w:w="16840" w:h="11910" w:orient="landscape"/>
          <w:pgMar w:top="620" w:right="320" w:bottom="520" w:left="300" w:header="0" w:footer="336" w:gutter="0"/>
          <w:cols w:space="720"/>
        </w:sectPr>
      </w:pPr>
    </w:p>
    <w:p w14:paraId="25E3538A" w14:textId="77777777" w:rsidR="00AC6F3C" w:rsidRDefault="00570E88">
      <w:pPr>
        <w:spacing w:line="249" w:lineRule="auto"/>
        <w:ind w:left="1386"/>
        <w:rPr>
          <w:sz w:val="15"/>
        </w:rPr>
      </w:pPr>
      <w:r>
        <w:rPr>
          <w:spacing w:val="-4"/>
          <w:sz w:val="15"/>
        </w:rPr>
        <w:t>lawyers,</w:t>
      </w:r>
      <w:r>
        <w:rPr>
          <w:spacing w:val="-7"/>
          <w:sz w:val="15"/>
        </w:rPr>
        <w:t xml:space="preserve"> </w:t>
      </w:r>
      <w:r>
        <w:rPr>
          <w:spacing w:val="-4"/>
          <w:sz w:val="15"/>
        </w:rPr>
        <w:t>corporate</w:t>
      </w:r>
      <w:r>
        <w:rPr>
          <w:spacing w:val="-6"/>
          <w:sz w:val="15"/>
        </w:rPr>
        <w:t xml:space="preserve"> </w:t>
      </w:r>
      <w:r>
        <w:rPr>
          <w:spacing w:val="-4"/>
          <w:sz w:val="15"/>
        </w:rPr>
        <w:t>PC</w:t>
      </w:r>
      <w:r>
        <w:rPr>
          <w:sz w:val="15"/>
        </w:rPr>
        <w:t xml:space="preserve"> holders</w:t>
      </w:r>
      <w:r>
        <w:rPr>
          <w:spacing w:val="-11"/>
          <w:sz w:val="15"/>
        </w:rPr>
        <w:t xml:space="preserve"> </w:t>
      </w:r>
      <w:r>
        <w:rPr>
          <w:sz w:val="15"/>
        </w:rPr>
        <w:t>and</w:t>
      </w:r>
      <w:r>
        <w:rPr>
          <w:spacing w:val="-10"/>
          <w:sz w:val="15"/>
        </w:rPr>
        <w:t xml:space="preserve"> </w:t>
      </w:r>
      <w:r>
        <w:rPr>
          <w:sz w:val="15"/>
        </w:rPr>
        <w:t xml:space="preserve">Brisbane </w:t>
      </w:r>
      <w:r>
        <w:rPr>
          <w:spacing w:val="-4"/>
          <w:sz w:val="15"/>
        </w:rPr>
        <w:t>suburban</w:t>
      </w:r>
      <w:r>
        <w:rPr>
          <w:spacing w:val="-7"/>
          <w:sz w:val="15"/>
        </w:rPr>
        <w:t xml:space="preserve"> </w:t>
      </w:r>
      <w:r>
        <w:rPr>
          <w:spacing w:val="-4"/>
          <w:sz w:val="15"/>
        </w:rPr>
        <w:t>practitioners</w:t>
      </w:r>
    </w:p>
    <w:p w14:paraId="1D08975F" w14:textId="77777777" w:rsidR="00AC6F3C" w:rsidRDefault="00AC6F3C">
      <w:pPr>
        <w:pStyle w:val="BodyText"/>
        <w:rPr>
          <w:sz w:val="16"/>
        </w:rPr>
      </w:pPr>
    </w:p>
    <w:p w14:paraId="6DA3E0DD" w14:textId="77777777" w:rsidR="00AC6F3C" w:rsidRDefault="00AC6F3C">
      <w:pPr>
        <w:pStyle w:val="BodyText"/>
        <w:rPr>
          <w:sz w:val="16"/>
        </w:rPr>
      </w:pPr>
    </w:p>
    <w:p w14:paraId="42F677D2" w14:textId="77777777" w:rsidR="00AC6F3C" w:rsidRDefault="00AC6F3C">
      <w:pPr>
        <w:pStyle w:val="BodyText"/>
        <w:rPr>
          <w:sz w:val="16"/>
        </w:rPr>
      </w:pPr>
    </w:p>
    <w:p w14:paraId="045F7EBF" w14:textId="77777777" w:rsidR="00AC6F3C" w:rsidRDefault="00AC6F3C">
      <w:pPr>
        <w:pStyle w:val="BodyText"/>
        <w:rPr>
          <w:sz w:val="16"/>
        </w:rPr>
      </w:pPr>
    </w:p>
    <w:p w14:paraId="5E8E157D" w14:textId="77777777" w:rsidR="00AC6F3C" w:rsidRDefault="00AC6F3C">
      <w:pPr>
        <w:pStyle w:val="BodyText"/>
        <w:rPr>
          <w:sz w:val="16"/>
        </w:rPr>
      </w:pPr>
    </w:p>
    <w:p w14:paraId="0BDB4DC8" w14:textId="77777777" w:rsidR="00AC6F3C" w:rsidRDefault="00AC6F3C">
      <w:pPr>
        <w:pStyle w:val="BodyText"/>
        <w:rPr>
          <w:sz w:val="16"/>
        </w:rPr>
      </w:pPr>
    </w:p>
    <w:p w14:paraId="77439E4F" w14:textId="77777777" w:rsidR="00AC6F3C" w:rsidRDefault="00AC6F3C">
      <w:pPr>
        <w:pStyle w:val="BodyText"/>
        <w:rPr>
          <w:sz w:val="16"/>
        </w:rPr>
      </w:pPr>
    </w:p>
    <w:p w14:paraId="781D46CA" w14:textId="77777777" w:rsidR="00AC6F3C" w:rsidRDefault="00AC6F3C">
      <w:pPr>
        <w:pStyle w:val="BodyText"/>
        <w:rPr>
          <w:sz w:val="16"/>
        </w:rPr>
      </w:pPr>
    </w:p>
    <w:p w14:paraId="1631AA99" w14:textId="77777777" w:rsidR="00AC6F3C" w:rsidRDefault="00AC6F3C">
      <w:pPr>
        <w:pStyle w:val="BodyText"/>
        <w:rPr>
          <w:sz w:val="16"/>
        </w:rPr>
      </w:pPr>
    </w:p>
    <w:p w14:paraId="0A6A62C3" w14:textId="77777777" w:rsidR="00AC6F3C" w:rsidRDefault="00AC6F3C">
      <w:pPr>
        <w:pStyle w:val="BodyText"/>
        <w:rPr>
          <w:sz w:val="16"/>
        </w:rPr>
      </w:pPr>
    </w:p>
    <w:p w14:paraId="2E5B88A4" w14:textId="77777777" w:rsidR="00AC6F3C" w:rsidRDefault="00AC6F3C">
      <w:pPr>
        <w:pStyle w:val="BodyText"/>
        <w:rPr>
          <w:sz w:val="16"/>
        </w:rPr>
      </w:pPr>
    </w:p>
    <w:p w14:paraId="0895BF18" w14:textId="77777777" w:rsidR="00AC6F3C" w:rsidRDefault="00AC6F3C">
      <w:pPr>
        <w:pStyle w:val="BodyText"/>
        <w:rPr>
          <w:sz w:val="16"/>
        </w:rPr>
      </w:pPr>
    </w:p>
    <w:p w14:paraId="73D0A214" w14:textId="77777777" w:rsidR="00AC6F3C" w:rsidRDefault="00AC6F3C">
      <w:pPr>
        <w:pStyle w:val="BodyText"/>
        <w:rPr>
          <w:sz w:val="16"/>
        </w:rPr>
      </w:pPr>
    </w:p>
    <w:p w14:paraId="25E6D978" w14:textId="77777777" w:rsidR="00AC6F3C" w:rsidRDefault="00AC6F3C">
      <w:pPr>
        <w:pStyle w:val="BodyText"/>
        <w:rPr>
          <w:sz w:val="16"/>
        </w:rPr>
      </w:pPr>
    </w:p>
    <w:p w14:paraId="2431A258" w14:textId="77777777" w:rsidR="00AC6F3C" w:rsidRDefault="00AC6F3C">
      <w:pPr>
        <w:pStyle w:val="BodyText"/>
        <w:rPr>
          <w:sz w:val="16"/>
        </w:rPr>
      </w:pPr>
    </w:p>
    <w:p w14:paraId="1F2DC3F7" w14:textId="77777777" w:rsidR="00AC6F3C" w:rsidRDefault="00AC6F3C">
      <w:pPr>
        <w:pStyle w:val="BodyText"/>
        <w:rPr>
          <w:sz w:val="16"/>
        </w:rPr>
      </w:pPr>
    </w:p>
    <w:p w14:paraId="39C3A4D6" w14:textId="77777777" w:rsidR="00AC6F3C" w:rsidRDefault="00AC6F3C">
      <w:pPr>
        <w:pStyle w:val="BodyText"/>
        <w:rPr>
          <w:sz w:val="16"/>
        </w:rPr>
      </w:pPr>
    </w:p>
    <w:p w14:paraId="219771DF" w14:textId="77777777" w:rsidR="00AC6F3C" w:rsidRDefault="00AC6F3C">
      <w:pPr>
        <w:pStyle w:val="BodyText"/>
        <w:rPr>
          <w:sz w:val="16"/>
        </w:rPr>
      </w:pPr>
    </w:p>
    <w:p w14:paraId="49F84078" w14:textId="77777777" w:rsidR="00AC6F3C" w:rsidRDefault="00AC6F3C">
      <w:pPr>
        <w:pStyle w:val="BodyText"/>
        <w:rPr>
          <w:sz w:val="16"/>
        </w:rPr>
      </w:pPr>
    </w:p>
    <w:p w14:paraId="53CE07DF" w14:textId="77777777" w:rsidR="00AC6F3C" w:rsidRDefault="00AC6F3C">
      <w:pPr>
        <w:pStyle w:val="BodyText"/>
        <w:spacing w:before="7"/>
        <w:rPr>
          <w:sz w:val="15"/>
        </w:rPr>
      </w:pPr>
    </w:p>
    <w:p w14:paraId="2210CC68" w14:textId="77777777" w:rsidR="00AC6F3C" w:rsidRDefault="00570E88">
      <w:pPr>
        <w:tabs>
          <w:tab w:val="left" w:pos="1103"/>
        </w:tabs>
        <w:ind w:left="196"/>
        <w:rPr>
          <w:sz w:val="15"/>
        </w:rPr>
      </w:pPr>
      <w:r>
        <w:rPr>
          <w:noProof/>
        </w:rPr>
        <mc:AlternateContent>
          <mc:Choice Requires="wpg">
            <w:drawing>
              <wp:anchor distT="0" distB="0" distL="0" distR="0" simplePos="0" relativeHeight="15748608" behindDoc="0" locked="0" layoutInCell="1" allowOverlap="1" wp14:anchorId="1A64EBED" wp14:editId="2CBBB179">
                <wp:simplePos x="0" y="0"/>
                <wp:positionH relativeFrom="page">
                  <wp:posOffset>269999</wp:posOffset>
                </wp:positionH>
                <wp:positionV relativeFrom="paragraph">
                  <wp:posOffset>-35447</wp:posOffset>
                </wp:positionV>
                <wp:extent cx="10152380" cy="317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59" name="Graphic 159"/>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60" name="Graphic 160"/>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61" name="Graphic 161"/>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62" name="Graphic 162"/>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63" name="Graphic 163"/>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64" name="Graphic 164"/>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65" name="Graphic 165"/>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66" name="Graphic 166"/>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67" name="Graphic 167"/>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68" name="Graphic 168"/>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966D38" id="Group 158" o:spid="_x0000_s1026" style="position:absolute;margin-left:21.25pt;margin-top:-2.8pt;width:799.4pt;height:.25pt;z-index:15748608;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">
                <v:shape id="Graphic 159"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" path="m,l575995,e" filled="f" strokeweight=".25pt">
                  <v:path arrowok="t"/>
                </v:shape>
                <v:shape id="Graphic 160"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" path="m,l1386001,e" filled="f" strokeweight=".25pt">
                  <v:path arrowok="t"/>
                </v:shape>
                <v:shape id="Graphic 161"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" path="m,l1845005,e" filled="f" strokeweight=".25pt">
                  <v:path arrowok="t"/>
                </v:shape>
                <v:shape id="Graphic 162"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" path="m,l449999,e" filled="f" strokeweight=".25pt">
                  <v:path arrowok="t"/>
                </v:shape>
                <v:shape id="Graphic 163"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" path="m,l548995,e" filled="f" strokeweight=".25pt">
                  <v:path arrowok="t"/>
                </v:shape>
                <v:shape id="Graphic 164"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" path="m,l774001,e" filled="f" strokeweight=".25pt">
                  <v:path arrowok="t"/>
                </v:shape>
                <v:shape id="Graphic 165"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" path="m,l1143000,e" filled="f" strokeweight=".25pt">
                  <v:path arrowok="t"/>
                </v:shape>
                <v:shape id="Graphic 166"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" path="m,l612000,e" filled="f" strokeweight=".25pt">
                  <v:path arrowok="t"/>
                </v:shape>
                <v:shape id="Graphic 167"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" path="m,l612000,e" filled="f" strokeweight=".25pt">
                  <v:path arrowok="t"/>
                </v:shape>
                <v:shape id="Graphic 168"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" path="m,l2204999,e" filled="f" strokeweight=".25pt">
                  <v:path arrowok="t"/>
                </v:shape>
                <w10:wrap anchorx="page"/>
              </v:group>
            </w:pict>
          </mc:Fallback>
        </mc:AlternateContent>
      </w:r>
      <w:r>
        <w:rPr>
          <w:b/>
          <w:spacing w:val="-4"/>
          <w:sz w:val="15"/>
        </w:rPr>
        <w:t>Grow</w:t>
      </w:r>
      <w:r>
        <w:rPr>
          <w:b/>
          <w:sz w:val="15"/>
        </w:rPr>
        <w:tab/>
      </w:r>
      <w:proofErr w:type="gramStart"/>
      <w:r>
        <w:rPr>
          <w:spacing w:val="-2"/>
          <w:sz w:val="15"/>
        </w:rPr>
        <w:t>16</w:t>
      </w:r>
      <w:proofErr w:type="gramEnd"/>
      <w:r>
        <w:rPr>
          <w:spacing w:val="-2"/>
          <w:sz w:val="15"/>
        </w:rPr>
        <w:t>.</w:t>
      </w:r>
      <w:r>
        <w:rPr>
          <w:spacing w:val="17"/>
          <w:sz w:val="15"/>
        </w:rPr>
        <w:t xml:space="preserve"> </w:t>
      </w:r>
      <w:r>
        <w:rPr>
          <w:spacing w:val="-2"/>
          <w:sz w:val="15"/>
        </w:rPr>
        <w:t>Continue</w:t>
      </w:r>
      <w:r>
        <w:rPr>
          <w:spacing w:val="-8"/>
          <w:sz w:val="15"/>
        </w:rPr>
        <w:t xml:space="preserve"> </w:t>
      </w:r>
      <w:r>
        <w:rPr>
          <w:spacing w:val="-2"/>
          <w:sz w:val="15"/>
        </w:rPr>
        <w:t>to</w:t>
      </w:r>
      <w:r>
        <w:rPr>
          <w:spacing w:val="-9"/>
          <w:sz w:val="15"/>
        </w:rPr>
        <w:t xml:space="preserve"> </w:t>
      </w:r>
      <w:r>
        <w:rPr>
          <w:spacing w:val="-2"/>
          <w:sz w:val="15"/>
        </w:rPr>
        <w:t>enhance</w:t>
      </w:r>
      <w:r>
        <w:rPr>
          <w:spacing w:val="-8"/>
          <w:sz w:val="15"/>
        </w:rPr>
        <w:t xml:space="preserve"> </w:t>
      </w:r>
      <w:proofErr w:type="gramStart"/>
      <w:r>
        <w:rPr>
          <w:spacing w:val="-5"/>
          <w:sz w:val="15"/>
        </w:rPr>
        <w:t>our</w:t>
      </w:r>
      <w:proofErr w:type="gramEnd"/>
    </w:p>
    <w:p w14:paraId="797E75D0" w14:textId="77777777" w:rsidR="00AC6F3C" w:rsidRDefault="00570E88">
      <w:pPr>
        <w:spacing w:before="7" w:line="249" w:lineRule="auto"/>
        <w:ind w:left="1386"/>
        <w:rPr>
          <w:sz w:val="15"/>
        </w:rPr>
      </w:pPr>
      <w:r>
        <w:rPr>
          <w:sz w:val="15"/>
        </w:rPr>
        <w:t>data-driven</w:t>
      </w:r>
      <w:r>
        <w:rPr>
          <w:spacing w:val="-9"/>
          <w:sz w:val="15"/>
        </w:rPr>
        <w:t xml:space="preserve"> </w:t>
      </w:r>
      <w:r>
        <w:rPr>
          <w:sz w:val="15"/>
        </w:rPr>
        <w:t xml:space="preserve">business </w:t>
      </w:r>
      <w:r>
        <w:rPr>
          <w:spacing w:val="-4"/>
          <w:sz w:val="15"/>
        </w:rPr>
        <w:t>model</w:t>
      </w:r>
      <w:r>
        <w:rPr>
          <w:spacing w:val="-7"/>
          <w:sz w:val="15"/>
        </w:rPr>
        <w:t xml:space="preserve"> </w:t>
      </w:r>
      <w:r>
        <w:rPr>
          <w:spacing w:val="-4"/>
          <w:sz w:val="15"/>
        </w:rPr>
        <w:t>with</w:t>
      </w:r>
      <w:r>
        <w:rPr>
          <w:spacing w:val="-6"/>
          <w:sz w:val="15"/>
        </w:rPr>
        <w:t xml:space="preserve"> </w:t>
      </w:r>
      <w:r>
        <w:rPr>
          <w:spacing w:val="-4"/>
          <w:sz w:val="15"/>
        </w:rPr>
        <w:t>accurate</w:t>
      </w:r>
      <w:r>
        <w:rPr>
          <w:spacing w:val="-7"/>
          <w:sz w:val="15"/>
        </w:rPr>
        <w:t xml:space="preserve"> </w:t>
      </w:r>
      <w:r>
        <w:rPr>
          <w:spacing w:val="-4"/>
          <w:sz w:val="15"/>
        </w:rPr>
        <w:t>data,</w:t>
      </w:r>
      <w:r>
        <w:rPr>
          <w:sz w:val="15"/>
        </w:rPr>
        <w:t xml:space="preserve"> enhanced </w:t>
      </w:r>
      <w:proofErr w:type="gramStart"/>
      <w:r>
        <w:rPr>
          <w:sz w:val="15"/>
        </w:rPr>
        <w:t>analytics</w:t>
      </w:r>
      <w:proofErr w:type="gramEnd"/>
      <w:r>
        <w:rPr>
          <w:sz w:val="15"/>
        </w:rPr>
        <w:t xml:space="preserve"> and trend</w:t>
      </w:r>
      <w:r>
        <w:rPr>
          <w:spacing w:val="-9"/>
          <w:sz w:val="15"/>
        </w:rPr>
        <w:t xml:space="preserve"> </w:t>
      </w:r>
      <w:r>
        <w:rPr>
          <w:sz w:val="15"/>
        </w:rPr>
        <w:t>analysis.</w:t>
      </w:r>
    </w:p>
    <w:p w14:paraId="037AAA12" w14:textId="77777777" w:rsidR="00AC6F3C" w:rsidRDefault="00570E88">
      <w:pPr>
        <w:spacing w:line="168" w:lineRule="exact"/>
        <w:ind w:left="621"/>
        <w:rPr>
          <w:sz w:val="15"/>
        </w:rPr>
      </w:pPr>
      <w:r>
        <w:br w:type="column"/>
      </w:r>
      <w:r>
        <w:rPr>
          <w:spacing w:val="-2"/>
          <w:sz w:val="15"/>
        </w:rPr>
        <w:t>practitioners</w:t>
      </w:r>
    </w:p>
    <w:p w14:paraId="13DB319C" w14:textId="77777777" w:rsidR="00AC6F3C" w:rsidRDefault="00AC6F3C">
      <w:pPr>
        <w:pStyle w:val="BodyText"/>
        <w:rPr>
          <w:sz w:val="16"/>
        </w:rPr>
      </w:pPr>
    </w:p>
    <w:p w14:paraId="5B0AE292" w14:textId="77777777" w:rsidR="00AC6F3C" w:rsidRDefault="00AC6F3C">
      <w:pPr>
        <w:pStyle w:val="BodyText"/>
        <w:rPr>
          <w:sz w:val="16"/>
        </w:rPr>
      </w:pPr>
    </w:p>
    <w:p w14:paraId="4BA2DE05" w14:textId="77777777" w:rsidR="00AC6F3C" w:rsidRDefault="00AC6F3C">
      <w:pPr>
        <w:pStyle w:val="BodyText"/>
        <w:rPr>
          <w:sz w:val="16"/>
        </w:rPr>
      </w:pPr>
    </w:p>
    <w:p w14:paraId="422C3DA2" w14:textId="77777777" w:rsidR="00AC6F3C" w:rsidRDefault="00AC6F3C">
      <w:pPr>
        <w:pStyle w:val="BodyText"/>
        <w:rPr>
          <w:sz w:val="16"/>
        </w:rPr>
      </w:pPr>
    </w:p>
    <w:p w14:paraId="36454532" w14:textId="77777777" w:rsidR="00AC6F3C" w:rsidRDefault="00AC6F3C">
      <w:pPr>
        <w:pStyle w:val="BodyText"/>
        <w:rPr>
          <w:sz w:val="16"/>
        </w:rPr>
      </w:pPr>
    </w:p>
    <w:p w14:paraId="1A7C64BC" w14:textId="77777777" w:rsidR="00AC6F3C" w:rsidRDefault="00AC6F3C">
      <w:pPr>
        <w:pStyle w:val="BodyText"/>
        <w:rPr>
          <w:sz w:val="16"/>
        </w:rPr>
      </w:pPr>
    </w:p>
    <w:p w14:paraId="31314468" w14:textId="77777777" w:rsidR="00AC6F3C" w:rsidRDefault="00AC6F3C">
      <w:pPr>
        <w:pStyle w:val="BodyText"/>
        <w:rPr>
          <w:sz w:val="16"/>
        </w:rPr>
      </w:pPr>
    </w:p>
    <w:p w14:paraId="4A1A27E4" w14:textId="77777777" w:rsidR="00AC6F3C" w:rsidRDefault="00AC6F3C">
      <w:pPr>
        <w:pStyle w:val="BodyText"/>
        <w:rPr>
          <w:sz w:val="16"/>
        </w:rPr>
      </w:pPr>
    </w:p>
    <w:p w14:paraId="6879350F" w14:textId="77777777" w:rsidR="00AC6F3C" w:rsidRDefault="00AC6F3C">
      <w:pPr>
        <w:pStyle w:val="BodyText"/>
        <w:rPr>
          <w:sz w:val="16"/>
        </w:rPr>
      </w:pPr>
    </w:p>
    <w:p w14:paraId="0CF57B7C" w14:textId="77777777" w:rsidR="00AC6F3C" w:rsidRDefault="00AC6F3C">
      <w:pPr>
        <w:pStyle w:val="BodyText"/>
        <w:rPr>
          <w:sz w:val="16"/>
        </w:rPr>
      </w:pPr>
    </w:p>
    <w:p w14:paraId="408F0143" w14:textId="77777777" w:rsidR="00AC6F3C" w:rsidRDefault="00AC6F3C">
      <w:pPr>
        <w:pStyle w:val="BodyText"/>
        <w:rPr>
          <w:sz w:val="16"/>
        </w:rPr>
      </w:pPr>
    </w:p>
    <w:p w14:paraId="4930508A" w14:textId="77777777" w:rsidR="00AC6F3C" w:rsidRDefault="00AC6F3C">
      <w:pPr>
        <w:pStyle w:val="BodyText"/>
        <w:rPr>
          <w:sz w:val="16"/>
        </w:rPr>
      </w:pPr>
    </w:p>
    <w:p w14:paraId="5D8E98DF" w14:textId="77777777" w:rsidR="00AC6F3C" w:rsidRDefault="00AC6F3C">
      <w:pPr>
        <w:pStyle w:val="BodyText"/>
        <w:rPr>
          <w:sz w:val="16"/>
        </w:rPr>
      </w:pPr>
    </w:p>
    <w:p w14:paraId="428B7B94" w14:textId="77777777" w:rsidR="00AC6F3C" w:rsidRDefault="00AC6F3C">
      <w:pPr>
        <w:pStyle w:val="BodyText"/>
        <w:rPr>
          <w:sz w:val="16"/>
        </w:rPr>
      </w:pPr>
    </w:p>
    <w:p w14:paraId="7C10AB10" w14:textId="77777777" w:rsidR="00AC6F3C" w:rsidRDefault="00AC6F3C">
      <w:pPr>
        <w:pStyle w:val="BodyText"/>
        <w:rPr>
          <w:sz w:val="16"/>
        </w:rPr>
      </w:pPr>
    </w:p>
    <w:p w14:paraId="267F7DE6" w14:textId="77777777" w:rsidR="00AC6F3C" w:rsidRDefault="00AC6F3C">
      <w:pPr>
        <w:pStyle w:val="BodyText"/>
        <w:rPr>
          <w:sz w:val="16"/>
        </w:rPr>
      </w:pPr>
    </w:p>
    <w:p w14:paraId="040DA86A" w14:textId="77777777" w:rsidR="00AC6F3C" w:rsidRDefault="00AC6F3C">
      <w:pPr>
        <w:pStyle w:val="BodyText"/>
        <w:rPr>
          <w:sz w:val="16"/>
        </w:rPr>
      </w:pPr>
    </w:p>
    <w:p w14:paraId="1B02A567" w14:textId="77777777" w:rsidR="00AC6F3C" w:rsidRDefault="00AC6F3C">
      <w:pPr>
        <w:pStyle w:val="BodyText"/>
        <w:rPr>
          <w:sz w:val="16"/>
        </w:rPr>
      </w:pPr>
    </w:p>
    <w:p w14:paraId="4F90316A" w14:textId="77777777" w:rsidR="00AC6F3C" w:rsidRDefault="00AC6F3C">
      <w:pPr>
        <w:pStyle w:val="BodyText"/>
        <w:rPr>
          <w:sz w:val="16"/>
        </w:rPr>
      </w:pPr>
    </w:p>
    <w:p w14:paraId="69C496E8" w14:textId="77777777" w:rsidR="00AC6F3C" w:rsidRDefault="00AC6F3C">
      <w:pPr>
        <w:pStyle w:val="BodyText"/>
        <w:rPr>
          <w:sz w:val="16"/>
        </w:rPr>
      </w:pPr>
    </w:p>
    <w:p w14:paraId="35DE3599" w14:textId="77777777" w:rsidR="00AC6F3C" w:rsidRDefault="00AC6F3C">
      <w:pPr>
        <w:pStyle w:val="BodyText"/>
        <w:rPr>
          <w:sz w:val="16"/>
        </w:rPr>
      </w:pPr>
    </w:p>
    <w:p w14:paraId="28BAF6F7" w14:textId="77777777" w:rsidR="00AC6F3C" w:rsidRDefault="00AC6F3C">
      <w:pPr>
        <w:pStyle w:val="BodyText"/>
        <w:spacing w:before="9"/>
        <w:rPr>
          <w:sz w:val="15"/>
        </w:rPr>
      </w:pPr>
    </w:p>
    <w:p w14:paraId="27A1270A" w14:textId="77777777" w:rsidR="00AC6F3C" w:rsidRDefault="00570E88">
      <w:pPr>
        <w:pStyle w:val="ListParagraph"/>
        <w:numPr>
          <w:ilvl w:val="2"/>
          <w:numId w:val="65"/>
        </w:numPr>
        <w:tabs>
          <w:tab w:val="left" w:pos="617"/>
        </w:tabs>
        <w:spacing w:before="0"/>
        <w:ind w:left="617" w:hanging="421"/>
        <w:rPr>
          <w:sz w:val="15"/>
        </w:rPr>
      </w:pPr>
      <w:r>
        <w:rPr>
          <w:spacing w:val="-4"/>
          <w:sz w:val="15"/>
        </w:rPr>
        <w:t>Build</w:t>
      </w:r>
      <w:r>
        <w:rPr>
          <w:spacing w:val="-5"/>
          <w:sz w:val="15"/>
        </w:rPr>
        <w:t xml:space="preserve"> </w:t>
      </w:r>
      <w:r>
        <w:rPr>
          <w:spacing w:val="-4"/>
          <w:sz w:val="15"/>
        </w:rPr>
        <w:t>new</w:t>
      </w:r>
      <w:r>
        <w:rPr>
          <w:spacing w:val="-5"/>
          <w:sz w:val="15"/>
        </w:rPr>
        <w:t xml:space="preserve"> </w:t>
      </w:r>
      <w:r>
        <w:rPr>
          <w:spacing w:val="-4"/>
          <w:sz w:val="15"/>
        </w:rPr>
        <w:t>data</w:t>
      </w:r>
      <w:r>
        <w:rPr>
          <w:spacing w:val="-5"/>
          <w:sz w:val="15"/>
        </w:rPr>
        <w:t xml:space="preserve"> </w:t>
      </w:r>
      <w:proofErr w:type="gramStart"/>
      <w:r>
        <w:rPr>
          <w:spacing w:val="-4"/>
          <w:sz w:val="15"/>
        </w:rPr>
        <w:t>lake</w:t>
      </w:r>
      <w:proofErr w:type="gramEnd"/>
    </w:p>
    <w:p w14:paraId="6C638525" w14:textId="77777777" w:rsidR="00AC6F3C" w:rsidRDefault="00570E88">
      <w:pPr>
        <w:pStyle w:val="ListParagraph"/>
        <w:numPr>
          <w:ilvl w:val="2"/>
          <w:numId w:val="65"/>
        </w:numPr>
        <w:tabs>
          <w:tab w:val="left" w:pos="616"/>
          <w:tab w:val="left" w:pos="621"/>
        </w:tabs>
        <w:spacing w:before="50" w:line="249" w:lineRule="auto"/>
        <w:ind w:right="38"/>
        <w:rPr>
          <w:sz w:val="15"/>
        </w:rPr>
      </w:pPr>
      <w:r>
        <w:rPr>
          <w:spacing w:val="-4"/>
          <w:sz w:val="15"/>
        </w:rPr>
        <w:t>Complete</w:t>
      </w:r>
      <w:r>
        <w:rPr>
          <w:spacing w:val="-7"/>
          <w:sz w:val="15"/>
        </w:rPr>
        <w:t xml:space="preserve"> </w:t>
      </w:r>
      <w:r>
        <w:rPr>
          <w:spacing w:val="-4"/>
          <w:sz w:val="15"/>
        </w:rPr>
        <w:t>new</w:t>
      </w:r>
      <w:r>
        <w:rPr>
          <w:spacing w:val="-6"/>
          <w:sz w:val="15"/>
        </w:rPr>
        <w:t xml:space="preserve"> </w:t>
      </w:r>
      <w:r>
        <w:rPr>
          <w:spacing w:val="-4"/>
          <w:sz w:val="15"/>
        </w:rPr>
        <w:t>data</w:t>
      </w:r>
      <w:r>
        <w:rPr>
          <w:spacing w:val="-7"/>
          <w:sz w:val="15"/>
        </w:rPr>
        <w:t xml:space="preserve"> </w:t>
      </w:r>
      <w:r>
        <w:rPr>
          <w:spacing w:val="-4"/>
          <w:sz w:val="15"/>
        </w:rPr>
        <w:t>models</w:t>
      </w:r>
      <w:r>
        <w:rPr>
          <w:spacing w:val="-6"/>
          <w:sz w:val="15"/>
        </w:rPr>
        <w:t xml:space="preserve"> </w:t>
      </w:r>
      <w:r>
        <w:rPr>
          <w:spacing w:val="-4"/>
          <w:sz w:val="15"/>
        </w:rPr>
        <w:t>from</w:t>
      </w:r>
      <w:r>
        <w:rPr>
          <w:sz w:val="15"/>
        </w:rPr>
        <w:t xml:space="preserve"> </w:t>
      </w:r>
      <w:r>
        <w:rPr>
          <w:spacing w:val="-4"/>
          <w:sz w:val="15"/>
        </w:rPr>
        <w:t>CRM</w:t>
      </w:r>
    </w:p>
    <w:p w14:paraId="40F7C677" w14:textId="77777777" w:rsidR="00AC6F3C" w:rsidRDefault="00570E88">
      <w:pPr>
        <w:spacing w:line="501" w:lineRule="auto"/>
        <w:ind w:left="196" w:right="38"/>
        <w:jc w:val="both"/>
        <w:rPr>
          <w:b/>
          <w:sz w:val="15"/>
        </w:rPr>
      </w:pPr>
      <w:r>
        <w:br w:type="column"/>
      </w:r>
      <w:r>
        <w:rPr>
          <w:b/>
          <w:spacing w:val="-6"/>
          <w:sz w:val="15"/>
        </w:rPr>
        <w:t>KPI4</w:t>
      </w:r>
      <w:r>
        <w:rPr>
          <w:b/>
          <w:sz w:val="15"/>
        </w:rPr>
        <w:t xml:space="preserve"> </w:t>
      </w:r>
      <w:r>
        <w:rPr>
          <w:b/>
          <w:spacing w:val="-6"/>
          <w:sz w:val="15"/>
        </w:rPr>
        <w:t>KPI5</w:t>
      </w:r>
      <w:r>
        <w:rPr>
          <w:b/>
          <w:sz w:val="15"/>
        </w:rPr>
        <w:t xml:space="preserve"> </w:t>
      </w:r>
      <w:r>
        <w:rPr>
          <w:b/>
          <w:spacing w:val="-7"/>
          <w:sz w:val="15"/>
        </w:rPr>
        <w:t>KPI6</w:t>
      </w:r>
    </w:p>
    <w:p w14:paraId="7C859DF7" w14:textId="77777777" w:rsidR="00AC6F3C" w:rsidRDefault="00AC6F3C">
      <w:pPr>
        <w:pStyle w:val="BodyText"/>
        <w:rPr>
          <w:b/>
          <w:sz w:val="16"/>
        </w:rPr>
      </w:pPr>
    </w:p>
    <w:p w14:paraId="2D0A0BA9" w14:textId="77777777" w:rsidR="00AC6F3C" w:rsidRDefault="00AC6F3C">
      <w:pPr>
        <w:pStyle w:val="BodyText"/>
        <w:rPr>
          <w:b/>
          <w:sz w:val="16"/>
        </w:rPr>
      </w:pPr>
    </w:p>
    <w:p w14:paraId="756E20D7" w14:textId="77777777" w:rsidR="00AC6F3C" w:rsidRDefault="00AC6F3C">
      <w:pPr>
        <w:pStyle w:val="BodyText"/>
        <w:rPr>
          <w:b/>
          <w:sz w:val="16"/>
        </w:rPr>
      </w:pPr>
    </w:p>
    <w:p w14:paraId="1CEEDF21" w14:textId="77777777" w:rsidR="00AC6F3C" w:rsidRDefault="00AC6F3C">
      <w:pPr>
        <w:pStyle w:val="BodyText"/>
        <w:rPr>
          <w:b/>
          <w:sz w:val="16"/>
        </w:rPr>
      </w:pPr>
    </w:p>
    <w:p w14:paraId="12F2B4C1" w14:textId="77777777" w:rsidR="00AC6F3C" w:rsidRDefault="00AC6F3C">
      <w:pPr>
        <w:pStyle w:val="BodyText"/>
        <w:rPr>
          <w:b/>
          <w:sz w:val="16"/>
        </w:rPr>
      </w:pPr>
    </w:p>
    <w:p w14:paraId="040D19B2" w14:textId="77777777" w:rsidR="00AC6F3C" w:rsidRDefault="00AC6F3C">
      <w:pPr>
        <w:pStyle w:val="BodyText"/>
        <w:rPr>
          <w:b/>
          <w:sz w:val="16"/>
        </w:rPr>
      </w:pPr>
    </w:p>
    <w:p w14:paraId="059F8361" w14:textId="77777777" w:rsidR="00AC6F3C" w:rsidRDefault="00AC6F3C">
      <w:pPr>
        <w:pStyle w:val="BodyText"/>
        <w:rPr>
          <w:b/>
          <w:sz w:val="16"/>
        </w:rPr>
      </w:pPr>
    </w:p>
    <w:p w14:paraId="537FDF2D" w14:textId="77777777" w:rsidR="00AC6F3C" w:rsidRDefault="00AC6F3C">
      <w:pPr>
        <w:pStyle w:val="BodyText"/>
        <w:rPr>
          <w:b/>
          <w:sz w:val="16"/>
        </w:rPr>
      </w:pPr>
    </w:p>
    <w:p w14:paraId="6BA1B15D" w14:textId="77777777" w:rsidR="00AC6F3C" w:rsidRDefault="00AC6F3C">
      <w:pPr>
        <w:pStyle w:val="BodyText"/>
        <w:rPr>
          <w:b/>
          <w:sz w:val="16"/>
        </w:rPr>
      </w:pPr>
    </w:p>
    <w:p w14:paraId="351E2BD4" w14:textId="77777777" w:rsidR="00AC6F3C" w:rsidRDefault="00AC6F3C">
      <w:pPr>
        <w:pStyle w:val="BodyText"/>
        <w:rPr>
          <w:b/>
          <w:sz w:val="16"/>
        </w:rPr>
      </w:pPr>
    </w:p>
    <w:p w14:paraId="61844559" w14:textId="77777777" w:rsidR="00AC6F3C" w:rsidRDefault="00AC6F3C">
      <w:pPr>
        <w:pStyle w:val="BodyText"/>
        <w:rPr>
          <w:b/>
          <w:sz w:val="16"/>
        </w:rPr>
      </w:pPr>
    </w:p>
    <w:p w14:paraId="2A653F4D" w14:textId="77777777" w:rsidR="00AC6F3C" w:rsidRDefault="00AC6F3C">
      <w:pPr>
        <w:pStyle w:val="BodyText"/>
        <w:rPr>
          <w:b/>
          <w:sz w:val="16"/>
        </w:rPr>
      </w:pPr>
    </w:p>
    <w:p w14:paraId="093A29E5" w14:textId="77777777" w:rsidR="00AC6F3C" w:rsidRDefault="00AC6F3C">
      <w:pPr>
        <w:pStyle w:val="BodyText"/>
        <w:rPr>
          <w:b/>
          <w:sz w:val="16"/>
        </w:rPr>
      </w:pPr>
    </w:p>
    <w:p w14:paraId="1765DD28" w14:textId="77777777" w:rsidR="00AC6F3C" w:rsidRDefault="00AC6F3C">
      <w:pPr>
        <w:pStyle w:val="BodyText"/>
        <w:rPr>
          <w:b/>
          <w:sz w:val="16"/>
        </w:rPr>
      </w:pPr>
    </w:p>
    <w:p w14:paraId="39E20C64" w14:textId="77777777" w:rsidR="00AC6F3C" w:rsidRDefault="00AC6F3C">
      <w:pPr>
        <w:pStyle w:val="BodyText"/>
        <w:rPr>
          <w:b/>
          <w:sz w:val="16"/>
        </w:rPr>
      </w:pPr>
    </w:p>
    <w:p w14:paraId="30022F65" w14:textId="77777777" w:rsidR="00AC6F3C" w:rsidRDefault="00AC6F3C">
      <w:pPr>
        <w:pStyle w:val="BodyText"/>
        <w:rPr>
          <w:b/>
          <w:sz w:val="16"/>
        </w:rPr>
      </w:pPr>
    </w:p>
    <w:p w14:paraId="5EE11214" w14:textId="77777777" w:rsidR="00AC6F3C" w:rsidRDefault="00AC6F3C">
      <w:pPr>
        <w:pStyle w:val="BodyText"/>
        <w:spacing w:before="4"/>
        <w:rPr>
          <w:b/>
          <w:sz w:val="16"/>
        </w:rPr>
      </w:pPr>
    </w:p>
    <w:p w14:paraId="7B7F61AD" w14:textId="77777777" w:rsidR="00AC6F3C" w:rsidRDefault="00570E88">
      <w:pPr>
        <w:spacing w:line="501" w:lineRule="auto"/>
        <w:ind w:left="196" w:right="38"/>
        <w:jc w:val="both"/>
        <w:rPr>
          <w:b/>
          <w:sz w:val="15"/>
        </w:rPr>
      </w:pPr>
      <w:r>
        <w:rPr>
          <w:b/>
          <w:spacing w:val="-6"/>
          <w:sz w:val="15"/>
        </w:rPr>
        <w:t>KPI4</w:t>
      </w:r>
      <w:r>
        <w:rPr>
          <w:b/>
          <w:sz w:val="15"/>
        </w:rPr>
        <w:t xml:space="preserve"> </w:t>
      </w:r>
      <w:r>
        <w:rPr>
          <w:b/>
          <w:spacing w:val="-6"/>
          <w:sz w:val="15"/>
        </w:rPr>
        <w:t>KPI5</w:t>
      </w:r>
      <w:r>
        <w:rPr>
          <w:b/>
          <w:sz w:val="15"/>
        </w:rPr>
        <w:t xml:space="preserve"> </w:t>
      </w:r>
      <w:r>
        <w:rPr>
          <w:b/>
          <w:spacing w:val="-7"/>
          <w:sz w:val="15"/>
        </w:rPr>
        <w:t>KPI6</w:t>
      </w:r>
    </w:p>
    <w:p w14:paraId="60D336F0" w14:textId="77777777" w:rsidR="00AC6F3C" w:rsidRDefault="00570E88">
      <w:pPr>
        <w:rPr>
          <w:b/>
          <w:sz w:val="16"/>
        </w:rPr>
      </w:pPr>
      <w:r>
        <w:br w:type="column"/>
      </w:r>
    </w:p>
    <w:p w14:paraId="21EF703A" w14:textId="77777777" w:rsidR="00AC6F3C" w:rsidRDefault="00AC6F3C">
      <w:pPr>
        <w:pStyle w:val="BodyText"/>
        <w:rPr>
          <w:b/>
          <w:sz w:val="16"/>
        </w:rPr>
      </w:pPr>
    </w:p>
    <w:p w14:paraId="79B12F24" w14:textId="77777777" w:rsidR="00AC6F3C" w:rsidRDefault="00AC6F3C">
      <w:pPr>
        <w:pStyle w:val="BodyText"/>
        <w:rPr>
          <w:b/>
          <w:sz w:val="16"/>
        </w:rPr>
      </w:pPr>
    </w:p>
    <w:p w14:paraId="1D6A829F" w14:textId="77777777" w:rsidR="00AC6F3C" w:rsidRDefault="00AC6F3C">
      <w:pPr>
        <w:pStyle w:val="BodyText"/>
        <w:rPr>
          <w:b/>
          <w:sz w:val="16"/>
        </w:rPr>
      </w:pPr>
    </w:p>
    <w:p w14:paraId="1A21E20F" w14:textId="77777777" w:rsidR="00AC6F3C" w:rsidRDefault="00AC6F3C">
      <w:pPr>
        <w:pStyle w:val="BodyText"/>
        <w:rPr>
          <w:b/>
          <w:sz w:val="16"/>
        </w:rPr>
      </w:pPr>
    </w:p>
    <w:p w14:paraId="20EA1A31" w14:textId="77777777" w:rsidR="00AC6F3C" w:rsidRDefault="00AC6F3C">
      <w:pPr>
        <w:pStyle w:val="BodyText"/>
        <w:rPr>
          <w:b/>
          <w:sz w:val="16"/>
        </w:rPr>
      </w:pPr>
    </w:p>
    <w:p w14:paraId="4FFB7AE1" w14:textId="77777777" w:rsidR="00AC6F3C" w:rsidRDefault="00AC6F3C">
      <w:pPr>
        <w:pStyle w:val="BodyText"/>
        <w:rPr>
          <w:b/>
          <w:sz w:val="16"/>
        </w:rPr>
      </w:pPr>
    </w:p>
    <w:p w14:paraId="7DA5E29A" w14:textId="77777777" w:rsidR="00AC6F3C" w:rsidRDefault="00AC6F3C">
      <w:pPr>
        <w:pStyle w:val="BodyText"/>
        <w:rPr>
          <w:b/>
          <w:sz w:val="16"/>
        </w:rPr>
      </w:pPr>
    </w:p>
    <w:p w14:paraId="5FF3181E" w14:textId="77777777" w:rsidR="00AC6F3C" w:rsidRDefault="00AC6F3C">
      <w:pPr>
        <w:pStyle w:val="BodyText"/>
        <w:rPr>
          <w:b/>
          <w:sz w:val="16"/>
        </w:rPr>
      </w:pPr>
    </w:p>
    <w:p w14:paraId="0BF11F94" w14:textId="77777777" w:rsidR="00AC6F3C" w:rsidRDefault="00AC6F3C">
      <w:pPr>
        <w:pStyle w:val="BodyText"/>
        <w:rPr>
          <w:b/>
          <w:sz w:val="16"/>
        </w:rPr>
      </w:pPr>
    </w:p>
    <w:p w14:paraId="3C551ABA" w14:textId="77777777" w:rsidR="00AC6F3C" w:rsidRDefault="00AC6F3C">
      <w:pPr>
        <w:pStyle w:val="BodyText"/>
        <w:rPr>
          <w:b/>
          <w:sz w:val="16"/>
        </w:rPr>
      </w:pPr>
    </w:p>
    <w:p w14:paraId="27EF209F" w14:textId="77777777" w:rsidR="00AC6F3C" w:rsidRDefault="00AC6F3C">
      <w:pPr>
        <w:pStyle w:val="BodyText"/>
        <w:rPr>
          <w:b/>
          <w:sz w:val="16"/>
        </w:rPr>
      </w:pPr>
    </w:p>
    <w:p w14:paraId="1BC33F71" w14:textId="77777777" w:rsidR="00AC6F3C" w:rsidRDefault="00AC6F3C">
      <w:pPr>
        <w:pStyle w:val="BodyText"/>
        <w:rPr>
          <w:b/>
          <w:sz w:val="16"/>
        </w:rPr>
      </w:pPr>
    </w:p>
    <w:p w14:paraId="2C659710" w14:textId="77777777" w:rsidR="00AC6F3C" w:rsidRDefault="00AC6F3C">
      <w:pPr>
        <w:pStyle w:val="BodyText"/>
        <w:rPr>
          <w:b/>
          <w:sz w:val="16"/>
        </w:rPr>
      </w:pPr>
    </w:p>
    <w:p w14:paraId="5060FF74" w14:textId="77777777" w:rsidR="00AC6F3C" w:rsidRDefault="00AC6F3C">
      <w:pPr>
        <w:pStyle w:val="BodyText"/>
        <w:rPr>
          <w:b/>
          <w:sz w:val="16"/>
        </w:rPr>
      </w:pPr>
    </w:p>
    <w:p w14:paraId="3434D949" w14:textId="77777777" w:rsidR="00AC6F3C" w:rsidRDefault="00AC6F3C">
      <w:pPr>
        <w:pStyle w:val="BodyText"/>
        <w:rPr>
          <w:b/>
          <w:sz w:val="16"/>
        </w:rPr>
      </w:pPr>
    </w:p>
    <w:p w14:paraId="6A809EAF" w14:textId="77777777" w:rsidR="00AC6F3C" w:rsidRDefault="00AC6F3C">
      <w:pPr>
        <w:pStyle w:val="BodyText"/>
        <w:rPr>
          <w:b/>
          <w:sz w:val="16"/>
        </w:rPr>
      </w:pPr>
    </w:p>
    <w:p w14:paraId="63547F41" w14:textId="77777777" w:rsidR="00AC6F3C" w:rsidRDefault="00AC6F3C">
      <w:pPr>
        <w:pStyle w:val="BodyText"/>
        <w:rPr>
          <w:b/>
          <w:sz w:val="16"/>
        </w:rPr>
      </w:pPr>
    </w:p>
    <w:p w14:paraId="3BA2DF18" w14:textId="77777777" w:rsidR="00AC6F3C" w:rsidRDefault="00AC6F3C">
      <w:pPr>
        <w:pStyle w:val="BodyText"/>
        <w:rPr>
          <w:b/>
          <w:sz w:val="16"/>
        </w:rPr>
      </w:pPr>
    </w:p>
    <w:p w14:paraId="72556692" w14:textId="77777777" w:rsidR="00AC6F3C" w:rsidRDefault="00AC6F3C">
      <w:pPr>
        <w:pStyle w:val="BodyText"/>
        <w:rPr>
          <w:b/>
          <w:sz w:val="16"/>
        </w:rPr>
      </w:pPr>
    </w:p>
    <w:p w14:paraId="514CDA7C" w14:textId="77777777" w:rsidR="00AC6F3C" w:rsidRDefault="00AC6F3C">
      <w:pPr>
        <w:pStyle w:val="BodyText"/>
        <w:rPr>
          <w:b/>
          <w:sz w:val="16"/>
        </w:rPr>
      </w:pPr>
    </w:p>
    <w:p w14:paraId="0C66B32C" w14:textId="77777777" w:rsidR="00AC6F3C" w:rsidRDefault="00AC6F3C">
      <w:pPr>
        <w:pStyle w:val="BodyText"/>
        <w:rPr>
          <w:b/>
          <w:sz w:val="16"/>
        </w:rPr>
      </w:pPr>
    </w:p>
    <w:p w14:paraId="5AF45694" w14:textId="77777777" w:rsidR="00AC6F3C" w:rsidRDefault="00AC6F3C">
      <w:pPr>
        <w:pStyle w:val="BodyText"/>
        <w:spacing w:before="4"/>
        <w:rPr>
          <w:b/>
          <w:sz w:val="14"/>
        </w:rPr>
      </w:pPr>
    </w:p>
    <w:p w14:paraId="6AAA636C" w14:textId="77777777" w:rsidR="00AC6F3C" w:rsidRDefault="00570E88">
      <w:pPr>
        <w:tabs>
          <w:tab w:val="left" w:pos="1060"/>
        </w:tabs>
        <w:spacing w:before="1"/>
        <w:ind w:left="196"/>
        <w:rPr>
          <w:sz w:val="15"/>
        </w:rPr>
      </w:pPr>
      <w:r>
        <w:rPr>
          <w:spacing w:val="-4"/>
          <w:sz w:val="15"/>
        </w:rPr>
        <w:t>30-Jun-</w:t>
      </w:r>
      <w:r>
        <w:rPr>
          <w:spacing w:val="-5"/>
          <w:sz w:val="15"/>
        </w:rPr>
        <w:t>23</w:t>
      </w:r>
      <w:r>
        <w:rPr>
          <w:sz w:val="15"/>
        </w:rPr>
        <w:tab/>
      </w:r>
      <w:r>
        <w:rPr>
          <w:spacing w:val="-2"/>
          <w:sz w:val="15"/>
        </w:rPr>
        <w:t>Information</w:t>
      </w:r>
    </w:p>
    <w:p w14:paraId="25B52983" w14:textId="77777777" w:rsidR="00AC6F3C" w:rsidRDefault="00570E88">
      <w:pPr>
        <w:spacing w:before="7"/>
        <w:ind w:left="1060"/>
        <w:rPr>
          <w:sz w:val="15"/>
        </w:rPr>
      </w:pPr>
      <w:r>
        <w:rPr>
          <w:spacing w:val="-4"/>
          <w:sz w:val="15"/>
        </w:rPr>
        <w:t>Management</w:t>
      </w:r>
    </w:p>
    <w:p w14:paraId="3206430F" w14:textId="77777777" w:rsidR="00AC6F3C" w:rsidRDefault="00570E88">
      <w:pPr>
        <w:spacing w:before="38"/>
        <w:ind w:left="621"/>
        <w:rPr>
          <w:sz w:val="15"/>
        </w:rPr>
      </w:pPr>
      <w:r>
        <w:br w:type="column"/>
      </w:r>
      <w:r>
        <w:rPr>
          <w:spacing w:val="-4"/>
          <w:sz w:val="15"/>
        </w:rPr>
        <w:t>CEO</w:t>
      </w:r>
      <w:r>
        <w:rPr>
          <w:spacing w:val="-6"/>
          <w:sz w:val="15"/>
        </w:rPr>
        <w:t xml:space="preserve"> </w:t>
      </w:r>
      <w:r>
        <w:rPr>
          <w:spacing w:val="-4"/>
          <w:sz w:val="15"/>
        </w:rPr>
        <w:t>on</w:t>
      </w:r>
      <w:r>
        <w:rPr>
          <w:spacing w:val="-7"/>
          <w:sz w:val="15"/>
        </w:rPr>
        <w:t xml:space="preserve"> </w:t>
      </w:r>
      <w:r>
        <w:rPr>
          <w:spacing w:val="-4"/>
          <w:sz w:val="15"/>
        </w:rPr>
        <w:t>the</w:t>
      </w:r>
      <w:r>
        <w:rPr>
          <w:spacing w:val="-6"/>
          <w:sz w:val="15"/>
        </w:rPr>
        <w:t xml:space="preserve"> </w:t>
      </w:r>
      <w:r>
        <w:rPr>
          <w:spacing w:val="-5"/>
          <w:sz w:val="15"/>
        </w:rPr>
        <w:t>testing</w:t>
      </w:r>
    </w:p>
    <w:p w14:paraId="35476054" w14:textId="77777777" w:rsidR="00AC6F3C" w:rsidRDefault="00570E88">
      <w:pPr>
        <w:spacing w:before="7" w:line="249" w:lineRule="auto"/>
        <w:ind w:left="621" w:right="19"/>
        <w:rPr>
          <w:sz w:val="15"/>
        </w:rPr>
      </w:pPr>
      <w:r>
        <w:rPr>
          <w:sz w:val="15"/>
        </w:rPr>
        <w:t>of a business case for the establishment</w:t>
      </w:r>
      <w:r>
        <w:rPr>
          <w:spacing w:val="-9"/>
          <w:sz w:val="15"/>
        </w:rPr>
        <w:t xml:space="preserve"> </w:t>
      </w:r>
      <w:r>
        <w:rPr>
          <w:sz w:val="15"/>
        </w:rPr>
        <w:t xml:space="preserve">of </w:t>
      </w:r>
      <w:r>
        <w:rPr>
          <w:spacing w:val="-4"/>
          <w:sz w:val="15"/>
        </w:rPr>
        <w:t>targeted</w:t>
      </w:r>
      <w:r>
        <w:rPr>
          <w:spacing w:val="-7"/>
          <w:sz w:val="15"/>
        </w:rPr>
        <w:t xml:space="preserve"> </w:t>
      </w:r>
      <w:r>
        <w:rPr>
          <w:spacing w:val="-4"/>
          <w:sz w:val="15"/>
        </w:rPr>
        <w:t>Brisbane</w:t>
      </w:r>
      <w:r>
        <w:rPr>
          <w:sz w:val="15"/>
        </w:rPr>
        <w:t xml:space="preserve"> suburban</w:t>
      </w:r>
      <w:r>
        <w:rPr>
          <w:spacing w:val="-9"/>
          <w:sz w:val="15"/>
        </w:rPr>
        <w:t xml:space="preserve"> </w:t>
      </w:r>
      <w:r>
        <w:rPr>
          <w:sz w:val="15"/>
        </w:rPr>
        <w:t xml:space="preserve">DLA </w:t>
      </w:r>
      <w:r>
        <w:rPr>
          <w:spacing w:val="-2"/>
          <w:sz w:val="15"/>
        </w:rPr>
        <w:t>committees</w:t>
      </w:r>
    </w:p>
    <w:p w14:paraId="0E47541B" w14:textId="77777777" w:rsidR="00AC6F3C" w:rsidRDefault="00AC6F3C">
      <w:pPr>
        <w:pStyle w:val="BodyText"/>
        <w:rPr>
          <w:sz w:val="16"/>
        </w:rPr>
      </w:pPr>
    </w:p>
    <w:p w14:paraId="61723E43" w14:textId="77777777" w:rsidR="00AC6F3C" w:rsidRDefault="00AC6F3C">
      <w:pPr>
        <w:pStyle w:val="BodyText"/>
        <w:rPr>
          <w:sz w:val="16"/>
        </w:rPr>
      </w:pPr>
    </w:p>
    <w:p w14:paraId="76CB81DA" w14:textId="77777777" w:rsidR="00AC6F3C" w:rsidRDefault="00AC6F3C">
      <w:pPr>
        <w:pStyle w:val="BodyText"/>
        <w:rPr>
          <w:sz w:val="16"/>
        </w:rPr>
      </w:pPr>
    </w:p>
    <w:p w14:paraId="78418F83" w14:textId="77777777" w:rsidR="00AC6F3C" w:rsidRDefault="00AC6F3C">
      <w:pPr>
        <w:pStyle w:val="BodyText"/>
        <w:rPr>
          <w:sz w:val="16"/>
        </w:rPr>
      </w:pPr>
    </w:p>
    <w:p w14:paraId="062B9698" w14:textId="77777777" w:rsidR="00AC6F3C" w:rsidRDefault="00AC6F3C">
      <w:pPr>
        <w:pStyle w:val="BodyText"/>
        <w:rPr>
          <w:sz w:val="16"/>
        </w:rPr>
      </w:pPr>
    </w:p>
    <w:p w14:paraId="513CFE63" w14:textId="77777777" w:rsidR="00AC6F3C" w:rsidRDefault="00AC6F3C">
      <w:pPr>
        <w:pStyle w:val="BodyText"/>
        <w:rPr>
          <w:sz w:val="16"/>
        </w:rPr>
      </w:pPr>
    </w:p>
    <w:p w14:paraId="2BF80C82" w14:textId="77777777" w:rsidR="00AC6F3C" w:rsidRDefault="00AC6F3C">
      <w:pPr>
        <w:pStyle w:val="BodyText"/>
        <w:rPr>
          <w:sz w:val="16"/>
        </w:rPr>
      </w:pPr>
    </w:p>
    <w:p w14:paraId="6604AA52" w14:textId="77777777" w:rsidR="00AC6F3C" w:rsidRDefault="00AC6F3C">
      <w:pPr>
        <w:pStyle w:val="BodyText"/>
        <w:rPr>
          <w:sz w:val="16"/>
        </w:rPr>
      </w:pPr>
    </w:p>
    <w:p w14:paraId="5C06F67C" w14:textId="77777777" w:rsidR="00AC6F3C" w:rsidRDefault="00AC6F3C">
      <w:pPr>
        <w:pStyle w:val="BodyText"/>
        <w:rPr>
          <w:sz w:val="16"/>
        </w:rPr>
      </w:pPr>
    </w:p>
    <w:p w14:paraId="122AE611" w14:textId="77777777" w:rsidR="00AC6F3C" w:rsidRDefault="00AC6F3C">
      <w:pPr>
        <w:pStyle w:val="BodyText"/>
        <w:rPr>
          <w:sz w:val="16"/>
        </w:rPr>
      </w:pPr>
    </w:p>
    <w:p w14:paraId="12C8C6B0" w14:textId="77777777" w:rsidR="00AC6F3C" w:rsidRDefault="00AC6F3C">
      <w:pPr>
        <w:pStyle w:val="BodyText"/>
        <w:rPr>
          <w:sz w:val="16"/>
        </w:rPr>
      </w:pPr>
    </w:p>
    <w:p w14:paraId="3B7AFD5E" w14:textId="77777777" w:rsidR="00AC6F3C" w:rsidRDefault="00AC6F3C">
      <w:pPr>
        <w:pStyle w:val="BodyText"/>
        <w:rPr>
          <w:sz w:val="16"/>
        </w:rPr>
      </w:pPr>
    </w:p>
    <w:p w14:paraId="7856D829" w14:textId="77777777" w:rsidR="00AC6F3C" w:rsidRDefault="00AC6F3C">
      <w:pPr>
        <w:pStyle w:val="BodyText"/>
        <w:rPr>
          <w:sz w:val="16"/>
        </w:rPr>
      </w:pPr>
    </w:p>
    <w:p w14:paraId="36AF9501" w14:textId="77777777" w:rsidR="00AC6F3C" w:rsidRDefault="00AC6F3C">
      <w:pPr>
        <w:pStyle w:val="BodyText"/>
        <w:rPr>
          <w:sz w:val="16"/>
        </w:rPr>
      </w:pPr>
    </w:p>
    <w:p w14:paraId="08F427CD" w14:textId="77777777" w:rsidR="00AC6F3C" w:rsidRDefault="00AC6F3C">
      <w:pPr>
        <w:pStyle w:val="BodyText"/>
        <w:rPr>
          <w:sz w:val="16"/>
        </w:rPr>
      </w:pPr>
    </w:p>
    <w:p w14:paraId="19A78E2F" w14:textId="77777777" w:rsidR="00AC6F3C" w:rsidRDefault="00AC6F3C">
      <w:pPr>
        <w:pStyle w:val="BodyText"/>
        <w:spacing w:before="10"/>
        <w:rPr>
          <w:sz w:val="13"/>
        </w:rPr>
      </w:pPr>
    </w:p>
    <w:p w14:paraId="4C066914" w14:textId="77777777" w:rsidR="00AC6F3C" w:rsidRDefault="00570E88">
      <w:pPr>
        <w:pStyle w:val="ListParagraph"/>
        <w:numPr>
          <w:ilvl w:val="2"/>
          <w:numId w:val="64"/>
        </w:numPr>
        <w:tabs>
          <w:tab w:val="left" w:pos="617"/>
        </w:tabs>
        <w:spacing w:before="0"/>
        <w:ind w:left="617" w:hanging="421"/>
        <w:rPr>
          <w:sz w:val="15"/>
        </w:rPr>
      </w:pPr>
      <w:r>
        <w:rPr>
          <w:spacing w:val="-4"/>
          <w:sz w:val="15"/>
        </w:rPr>
        <w:t>Data</w:t>
      </w:r>
      <w:r>
        <w:rPr>
          <w:spacing w:val="-5"/>
          <w:sz w:val="15"/>
        </w:rPr>
        <w:t xml:space="preserve"> </w:t>
      </w:r>
      <w:r>
        <w:rPr>
          <w:spacing w:val="-4"/>
          <w:sz w:val="15"/>
        </w:rPr>
        <w:t>lake</w:t>
      </w:r>
    </w:p>
    <w:p w14:paraId="2CFA1376" w14:textId="77777777" w:rsidR="00AC6F3C" w:rsidRDefault="00570E88">
      <w:pPr>
        <w:spacing w:before="8"/>
        <w:ind w:left="621"/>
        <w:rPr>
          <w:sz w:val="15"/>
        </w:rPr>
      </w:pPr>
      <w:r>
        <w:rPr>
          <w:spacing w:val="-4"/>
          <w:sz w:val="15"/>
        </w:rPr>
        <w:t>completed</w:t>
      </w:r>
      <w:r>
        <w:rPr>
          <w:spacing w:val="-6"/>
          <w:sz w:val="15"/>
        </w:rPr>
        <w:t xml:space="preserve"> </w:t>
      </w:r>
      <w:r>
        <w:rPr>
          <w:spacing w:val="-4"/>
          <w:sz w:val="15"/>
        </w:rPr>
        <w:t>by</w:t>
      </w:r>
      <w:r>
        <w:rPr>
          <w:spacing w:val="-6"/>
          <w:sz w:val="15"/>
        </w:rPr>
        <w:t xml:space="preserve"> </w:t>
      </w:r>
      <w:proofErr w:type="gramStart"/>
      <w:r>
        <w:rPr>
          <w:spacing w:val="-5"/>
          <w:sz w:val="15"/>
        </w:rPr>
        <w:t>end</w:t>
      </w:r>
      <w:proofErr w:type="gramEnd"/>
    </w:p>
    <w:p w14:paraId="10C95EA0" w14:textId="77777777" w:rsidR="00AC6F3C" w:rsidRDefault="00570E88">
      <w:pPr>
        <w:spacing w:before="7"/>
        <w:ind w:left="621"/>
        <w:rPr>
          <w:sz w:val="15"/>
        </w:rPr>
      </w:pPr>
      <w:r>
        <w:rPr>
          <w:spacing w:val="-2"/>
          <w:sz w:val="15"/>
        </w:rPr>
        <w:t>of</w:t>
      </w:r>
      <w:r>
        <w:rPr>
          <w:spacing w:val="-9"/>
          <w:sz w:val="15"/>
        </w:rPr>
        <w:t xml:space="preserve"> </w:t>
      </w:r>
      <w:r>
        <w:rPr>
          <w:spacing w:val="-4"/>
          <w:sz w:val="15"/>
        </w:rPr>
        <w:t>2022</w:t>
      </w:r>
    </w:p>
    <w:p w14:paraId="183FE1EA" w14:textId="77777777" w:rsidR="00AC6F3C" w:rsidRDefault="00570E88">
      <w:pPr>
        <w:pStyle w:val="ListParagraph"/>
        <w:numPr>
          <w:ilvl w:val="2"/>
          <w:numId w:val="64"/>
        </w:numPr>
        <w:tabs>
          <w:tab w:val="left" w:pos="617"/>
        </w:tabs>
        <w:spacing w:before="50"/>
        <w:ind w:left="617" w:hanging="421"/>
        <w:rPr>
          <w:sz w:val="15"/>
        </w:rPr>
      </w:pPr>
      <w:r>
        <w:rPr>
          <w:spacing w:val="-5"/>
          <w:sz w:val="15"/>
        </w:rPr>
        <w:t>Completed</w:t>
      </w:r>
      <w:r>
        <w:rPr>
          <w:spacing w:val="2"/>
          <w:sz w:val="15"/>
        </w:rPr>
        <w:t xml:space="preserve"> </w:t>
      </w:r>
      <w:proofErr w:type="gramStart"/>
      <w:r>
        <w:rPr>
          <w:spacing w:val="-4"/>
          <w:sz w:val="15"/>
        </w:rPr>
        <w:t>base</w:t>
      </w:r>
      <w:proofErr w:type="gramEnd"/>
    </w:p>
    <w:p w14:paraId="65CA93EA" w14:textId="77777777" w:rsidR="00AC6F3C" w:rsidRDefault="00570E88">
      <w:pPr>
        <w:spacing w:before="8"/>
        <w:ind w:left="621"/>
        <w:rPr>
          <w:sz w:val="15"/>
        </w:rPr>
      </w:pPr>
      <w:r>
        <w:rPr>
          <w:noProof/>
        </w:rPr>
        <mc:AlternateContent>
          <mc:Choice Requires="wpg">
            <w:drawing>
              <wp:anchor distT="0" distB="0" distL="0" distR="0" simplePos="0" relativeHeight="15749120" behindDoc="0" locked="0" layoutInCell="1" allowOverlap="1" wp14:anchorId="379448A6" wp14:editId="4EB3CC0A">
                <wp:simplePos x="0" y="0"/>
                <wp:positionH relativeFrom="page">
                  <wp:posOffset>269999</wp:posOffset>
                </wp:positionH>
                <wp:positionV relativeFrom="paragraph">
                  <wp:posOffset>147021</wp:posOffset>
                </wp:positionV>
                <wp:extent cx="10152380" cy="317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70" name="Graphic 170"/>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71" name="Graphic 171"/>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72" name="Graphic 172"/>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73" name="Graphic 173"/>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74" name="Graphic 174"/>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75" name="Graphic 175"/>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76" name="Graphic 176"/>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77" name="Graphic 177"/>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78" name="Graphic 178"/>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79" name="Graphic 179"/>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F7138C" id="Group 169" o:spid="_x0000_s1026" style="position:absolute;margin-left:21.25pt;margin-top:11.6pt;width:799.4pt;height:.25pt;z-index:15749120;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">
                <v:shape id="Graphic 170"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" path="m,l575995,e" filled="f" strokeweight=".25pt">
                  <v:path arrowok="t"/>
                </v:shape>
                <v:shape id="Graphic 171"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" path="m,l1386001,e" filled="f" strokeweight=".25pt">
                  <v:path arrowok="t"/>
                </v:shape>
                <v:shape id="Graphic 172"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" path="m,l1845005,e" filled="f" strokeweight=".25pt">
                  <v:path arrowok="t"/>
                </v:shape>
                <v:shape id="Graphic 173"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" path="m,l449999,e" filled="f" strokeweight=".25pt">
                  <v:path arrowok="t"/>
                </v:shape>
                <v:shape id="Graphic 174"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" path="m,l548995,e" filled="f" strokeweight=".25pt">
                  <v:path arrowok="t"/>
                </v:shape>
                <v:shape id="Graphic 175"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" path="m,l774001,e" filled="f" strokeweight=".25pt">
                  <v:path arrowok="t"/>
                </v:shape>
                <v:shape id="Graphic 176"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" path="m,l1143000,e" filled="f" strokeweight=".25pt">
                  <v:path arrowok="t"/>
                </v:shape>
                <v:shape id="Graphic 177"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" path="m,l612000,e" filled="f" strokeweight=".25pt">
                  <v:path arrowok="t"/>
                </v:shape>
                <v:shape id="Graphic 178"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" path="m,l612000,e" filled="f" strokeweight=".25pt">
                  <v:path arrowok="t"/>
                </v:shape>
                <v:shape id="Graphic 179"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" path="m,l2204999,e" filled="f" strokeweight=".25pt">
                  <v:path arrowok="t"/>
                </v:shape>
                <w10:wrap anchorx="page"/>
              </v:group>
            </w:pict>
          </mc:Fallback>
        </mc:AlternateContent>
      </w:r>
      <w:r>
        <w:rPr>
          <w:spacing w:val="-4"/>
          <w:sz w:val="15"/>
        </w:rPr>
        <w:t xml:space="preserve">data </w:t>
      </w:r>
      <w:r>
        <w:rPr>
          <w:spacing w:val="-2"/>
          <w:sz w:val="15"/>
        </w:rPr>
        <w:t>models</w:t>
      </w:r>
    </w:p>
    <w:p w14:paraId="279963E8" w14:textId="77777777" w:rsidR="00AC6F3C" w:rsidRDefault="00570E88">
      <w:pPr>
        <w:rPr>
          <w:sz w:val="16"/>
        </w:rPr>
      </w:pPr>
      <w:r>
        <w:br w:type="column"/>
      </w:r>
    </w:p>
    <w:p w14:paraId="429A8456" w14:textId="77777777" w:rsidR="00AC6F3C" w:rsidRDefault="00AC6F3C">
      <w:pPr>
        <w:pStyle w:val="BodyText"/>
        <w:rPr>
          <w:sz w:val="16"/>
        </w:rPr>
      </w:pPr>
    </w:p>
    <w:p w14:paraId="3CD3B4E7" w14:textId="77777777" w:rsidR="00AC6F3C" w:rsidRDefault="00AC6F3C">
      <w:pPr>
        <w:pStyle w:val="BodyText"/>
        <w:rPr>
          <w:sz w:val="16"/>
        </w:rPr>
      </w:pPr>
    </w:p>
    <w:p w14:paraId="20CFDDB5" w14:textId="77777777" w:rsidR="00AC6F3C" w:rsidRDefault="00AC6F3C">
      <w:pPr>
        <w:pStyle w:val="BodyText"/>
        <w:rPr>
          <w:sz w:val="16"/>
        </w:rPr>
      </w:pPr>
    </w:p>
    <w:p w14:paraId="61792FC9" w14:textId="77777777" w:rsidR="00AC6F3C" w:rsidRDefault="00AC6F3C">
      <w:pPr>
        <w:pStyle w:val="BodyText"/>
        <w:rPr>
          <w:sz w:val="16"/>
        </w:rPr>
      </w:pPr>
    </w:p>
    <w:p w14:paraId="012B135B" w14:textId="77777777" w:rsidR="00AC6F3C" w:rsidRDefault="00AC6F3C">
      <w:pPr>
        <w:pStyle w:val="BodyText"/>
        <w:rPr>
          <w:sz w:val="16"/>
        </w:rPr>
      </w:pPr>
    </w:p>
    <w:p w14:paraId="6C923BA9" w14:textId="77777777" w:rsidR="00AC6F3C" w:rsidRDefault="00AC6F3C">
      <w:pPr>
        <w:pStyle w:val="BodyText"/>
        <w:rPr>
          <w:sz w:val="16"/>
        </w:rPr>
      </w:pPr>
    </w:p>
    <w:p w14:paraId="4107A5AD" w14:textId="77777777" w:rsidR="00AC6F3C" w:rsidRDefault="00AC6F3C">
      <w:pPr>
        <w:pStyle w:val="BodyText"/>
        <w:rPr>
          <w:sz w:val="16"/>
        </w:rPr>
      </w:pPr>
    </w:p>
    <w:p w14:paraId="5D6BB6C9" w14:textId="77777777" w:rsidR="00AC6F3C" w:rsidRDefault="00AC6F3C">
      <w:pPr>
        <w:pStyle w:val="BodyText"/>
        <w:rPr>
          <w:sz w:val="16"/>
        </w:rPr>
      </w:pPr>
    </w:p>
    <w:p w14:paraId="08502E2A" w14:textId="77777777" w:rsidR="00AC6F3C" w:rsidRDefault="00AC6F3C">
      <w:pPr>
        <w:pStyle w:val="BodyText"/>
        <w:rPr>
          <w:sz w:val="16"/>
        </w:rPr>
      </w:pPr>
    </w:p>
    <w:p w14:paraId="0707BF61" w14:textId="77777777" w:rsidR="00AC6F3C" w:rsidRDefault="00AC6F3C">
      <w:pPr>
        <w:pStyle w:val="BodyText"/>
        <w:rPr>
          <w:sz w:val="16"/>
        </w:rPr>
      </w:pPr>
    </w:p>
    <w:p w14:paraId="4F458F9B" w14:textId="77777777" w:rsidR="00AC6F3C" w:rsidRDefault="00AC6F3C">
      <w:pPr>
        <w:pStyle w:val="BodyText"/>
        <w:rPr>
          <w:sz w:val="16"/>
        </w:rPr>
      </w:pPr>
    </w:p>
    <w:p w14:paraId="3AA2FCF5" w14:textId="77777777" w:rsidR="00AC6F3C" w:rsidRDefault="00AC6F3C">
      <w:pPr>
        <w:pStyle w:val="BodyText"/>
        <w:rPr>
          <w:sz w:val="16"/>
        </w:rPr>
      </w:pPr>
    </w:p>
    <w:p w14:paraId="19CF2011" w14:textId="77777777" w:rsidR="00AC6F3C" w:rsidRDefault="00AC6F3C">
      <w:pPr>
        <w:pStyle w:val="BodyText"/>
        <w:rPr>
          <w:sz w:val="16"/>
        </w:rPr>
      </w:pPr>
    </w:p>
    <w:p w14:paraId="3A0DF695" w14:textId="77777777" w:rsidR="00AC6F3C" w:rsidRDefault="00AC6F3C">
      <w:pPr>
        <w:pStyle w:val="BodyText"/>
        <w:rPr>
          <w:sz w:val="16"/>
        </w:rPr>
      </w:pPr>
    </w:p>
    <w:p w14:paraId="44B973C4" w14:textId="77777777" w:rsidR="00AC6F3C" w:rsidRDefault="00AC6F3C">
      <w:pPr>
        <w:pStyle w:val="BodyText"/>
        <w:rPr>
          <w:sz w:val="16"/>
        </w:rPr>
      </w:pPr>
    </w:p>
    <w:p w14:paraId="199B048A" w14:textId="77777777" w:rsidR="00AC6F3C" w:rsidRDefault="00AC6F3C">
      <w:pPr>
        <w:pStyle w:val="BodyText"/>
        <w:rPr>
          <w:sz w:val="16"/>
        </w:rPr>
      </w:pPr>
    </w:p>
    <w:p w14:paraId="6B09EFE8" w14:textId="77777777" w:rsidR="00AC6F3C" w:rsidRDefault="00AC6F3C">
      <w:pPr>
        <w:pStyle w:val="BodyText"/>
        <w:rPr>
          <w:sz w:val="16"/>
        </w:rPr>
      </w:pPr>
    </w:p>
    <w:p w14:paraId="774585F3" w14:textId="77777777" w:rsidR="00AC6F3C" w:rsidRDefault="00AC6F3C">
      <w:pPr>
        <w:pStyle w:val="BodyText"/>
        <w:rPr>
          <w:sz w:val="16"/>
        </w:rPr>
      </w:pPr>
    </w:p>
    <w:p w14:paraId="4130A00E" w14:textId="77777777" w:rsidR="00AC6F3C" w:rsidRDefault="00AC6F3C">
      <w:pPr>
        <w:pStyle w:val="BodyText"/>
        <w:rPr>
          <w:sz w:val="16"/>
        </w:rPr>
      </w:pPr>
    </w:p>
    <w:p w14:paraId="01791EC5" w14:textId="77777777" w:rsidR="00AC6F3C" w:rsidRDefault="00AC6F3C">
      <w:pPr>
        <w:pStyle w:val="BodyText"/>
        <w:rPr>
          <w:sz w:val="16"/>
        </w:rPr>
      </w:pPr>
    </w:p>
    <w:p w14:paraId="1E9E0B57" w14:textId="77777777" w:rsidR="00AC6F3C" w:rsidRDefault="00AC6F3C">
      <w:pPr>
        <w:pStyle w:val="BodyText"/>
        <w:rPr>
          <w:sz w:val="16"/>
        </w:rPr>
      </w:pPr>
    </w:p>
    <w:p w14:paraId="3025BCAF" w14:textId="77777777" w:rsidR="00AC6F3C" w:rsidRDefault="00AC6F3C">
      <w:pPr>
        <w:pStyle w:val="BodyText"/>
        <w:spacing w:before="4"/>
        <w:rPr>
          <w:sz w:val="14"/>
        </w:rPr>
      </w:pPr>
    </w:p>
    <w:p w14:paraId="32C44DC5" w14:textId="77777777" w:rsidR="00AC6F3C" w:rsidRDefault="00570E88">
      <w:pPr>
        <w:spacing w:before="1" w:line="249" w:lineRule="auto"/>
        <w:ind w:left="135" w:right="35"/>
        <w:rPr>
          <w:b/>
          <w:sz w:val="15"/>
        </w:rPr>
      </w:pPr>
      <w:r>
        <w:rPr>
          <w:b/>
          <w:spacing w:val="-6"/>
          <w:sz w:val="15"/>
        </w:rPr>
        <w:t>Green-</w:t>
      </w:r>
      <w:r>
        <w:rPr>
          <w:b/>
          <w:sz w:val="15"/>
        </w:rPr>
        <w:t xml:space="preserve"> </w:t>
      </w:r>
      <w:r>
        <w:rPr>
          <w:b/>
          <w:spacing w:val="-5"/>
          <w:sz w:val="15"/>
        </w:rPr>
        <w:t>Yellow</w:t>
      </w:r>
    </w:p>
    <w:p w14:paraId="2FE845A3" w14:textId="77777777" w:rsidR="00AC6F3C" w:rsidRDefault="00570E88">
      <w:pPr>
        <w:rPr>
          <w:b/>
          <w:sz w:val="16"/>
        </w:rPr>
      </w:pPr>
      <w:r>
        <w:br w:type="column"/>
      </w:r>
    </w:p>
    <w:p w14:paraId="7CC44FD9" w14:textId="77777777" w:rsidR="00AC6F3C" w:rsidRDefault="00AC6F3C">
      <w:pPr>
        <w:pStyle w:val="BodyText"/>
        <w:rPr>
          <w:b/>
          <w:sz w:val="16"/>
        </w:rPr>
      </w:pPr>
    </w:p>
    <w:p w14:paraId="123820EC" w14:textId="77777777" w:rsidR="00AC6F3C" w:rsidRDefault="00AC6F3C">
      <w:pPr>
        <w:pStyle w:val="BodyText"/>
        <w:rPr>
          <w:b/>
          <w:sz w:val="16"/>
        </w:rPr>
      </w:pPr>
    </w:p>
    <w:p w14:paraId="0E53BAF4" w14:textId="77777777" w:rsidR="00AC6F3C" w:rsidRDefault="00AC6F3C">
      <w:pPr>
        <w:pStyle w:val="BodyText"/>
        <w:rPr>
          <w:b/>
          <w:sz w:val="16"/>
        </w:rPr>
      </w:pPr>
    </w:p>
    <w:p w14:paraId="3D37E57A" w14:textId="77777777" w:rsidR="00AC6F3C" w:rsidRDefault="00AC6F3C">
      <w:pPr>
        <w:pStyle w:val="BodyText"/>
        <w:rPr>
          <w:b/>
          <w:sz w:val="16"/>
        </w:rPr>
      </w:pPr>
    </w:p>
    <w:p w14:paraId="246B540F" w14:textId="77777777" w:rsidR="00AC6F3C" w:rsidRDefault="00AC6F3C">
      <w:pPr>
        <w:pStyle w:val="BodyText"/>
        <w:rPr>
          <w:b/>
          <w:sz w:val="16"/>
        </w:rPr>
      </w:pPr>
    </w:p>
    <w:p w14:paraId="44849C04" w14:textId="77777777" w:rsidR="00AC6F3C" w:rsidRDefault="00AC6F3C">
      <w:pPr>
        <w:pStyle w:val="BodyText"/>
        <w:rPr>
          <w:b/>
          <w:sz w:val="16"/>
        </w:rPr>
      </w:pPr>
    </w:p>
    <w:p w14:paraId="2E6213C1" w14:textId="77777777" w:rsidR="00AC6F3C" w:rsidRDefault="00AC6F3C">
      <w:pPr>
        <w:pStyle w:val="BodyText"/>
        <w:rPr>
          <w:b/>
          <w:sz w:val="16"/>
        </w:rPr>
      </w:pPr>
    </w:p>
    <w:p w14:paraId="039CA5D7" w14:textId="77777777" w:rsidR="00AC6F3C" w:rsidRDefault="00AC6F3C">
      <w:pPr>
        <w:pStyle w:val="BodyText"/>
        <w:rPr>
          <w:b/>
          <w:sz w:val="16"/>
        </w:rPr>
      </w:pPr>
    </w:p>
    <w:p w14:paraId="2B92CA9A" w14:textId="77777777" w:rsidR="00AC6F3C" w:rsidRDefault="00AC6F3C">
      <w:pPr>
        <w:pStyle w:val="BodyText"/>
        <w:rPr>
          <w:b/>
          <w:sz w:val="16"/>
        </w:rPr>
      </w:pPr>
    </w:p>
    <w:p w14:paraId="397330D7" w14:textId="77777777" w:rsidR="00AC6F3C" w:rsidRDefault="00AC6F3C">
      <w:pPr>
        <w:pStyle w:val="BodyText"/>
        <w:rPr>
          <w:b/>
          <w:sz w:val="16"/>
        </w:rPr>
      </w:pPr>
    </w:p>
    <w:p w14:paraId="1325791B" w14:textId="77777777" w:rsidR="00AC6F3C" w:rsidRDefault="00AC6F3C">
      <w:pPr>
        <w:pStyle w:val="BodyText"/>
        <w:rPr>
          <w:b/>
          <w:sz w:val="16"/>
        </w:rPr>
      </w:pPr>
    </w:p>
    <w:p w14:paraId="1FA3C1D9" w14:textId="77777777" w:rsidR="00AC6F3C" w:rsidRDefault="00AC6F3C">
      <w:pPr>
        <w:pStyle w:val="BodyText"/>
        <w:rPr>
          <w:b/>
          <w:sz w:val="16"/>
        </w:rPr>
      </w:pPr>
    </w:p>
    <w:p w14:paraId="68506EC8" w14:textId="77777777" w:rsidR="00AC6F3C" w:rsidRDefault="00AC6F3C">
      <w:pPr>
        <w:pStyle w:val="BodyText"/>
        <w:rPr>
          <w:b/>
          <w:sz w:val="16"/>
        </w:rPr>
      </w:pPr>
    </w:p>
    <w:p w14:paraId="70B6DD66" w14:textId="77777777" w:rsidR="00AC6F3C" w:rsidRDefault="00AC6F3C">
      <w:pPr>
        <w:pStyle w:val="BodyText"/>
        <w:rPr>
          <w:b/>
          <w:sz w:val="16"/>
        </w:rPr>
      </w:pPr>
    </w:p>
    <w:p w14:paraId="32587DBA" w14:textId="77777777" w:rsidR="00AC6F3C" w:rsidRDefault="00AC6F3C">
      <w:pPr>
        <w:pStyle w:val="BodyText"/>
        <w:rPr>
          <w:b/>
          <w:sz w:val="16"/>
        </w:rPr>
      </w:pPr>
    </w:p>
    <w:p w14:paraId="07DC232A" w14:textId="77777777" w:rsidR="00AC6F3C" w:rsidRDefault="00AC6F3C">
      <w:pPr>
        <w:pStyle w:val="BodyText"/>
        <w:rPr>
          <w:b/>
          <w:sz w:val="16"/>
        </w:rPr>
      </w:pPr>
    </w:p>
    <w:p w14:paraId="233DA686" w14:textId="77777777" w:rsidR="00AC6F3C" w:rsidRDefault="00AC6F3C">
      <w:pPr>
        <w:pStyle w:val="BodyText"/>
        <w:rPr>
          <w:b/>
          <w:sz w:val="16"/>
        </w:rPr>
      </w:pPr>
    </w:p>
    <w:p w14:paraId="0F2A393A" w14:textId="77777777" w:rsidR="00AC6F3C" w:rsidRDefault="00AC6F3C">
      <w:pPr>
        <w:pStyle w:val="BodyText"/>
        <w:rPr>
          <w:b/>
          <w:sz w:val="16"/>
        </w:rPr>
      </w:pPr>
    </w:p>
    <w:p w14:paraId="61E211AD" w14:textId="77777777" w:rsidR="00AC6F3C" w:rsidRDefault="00AC6F3C">
      <w:pPr>
        <w:pStyle w:val="BodyText"/>
        <w:rPr>
          <w:b/>
          <w:sz w:val="16"/>
        </w:rPr>
      </w:pPr>
    </w:p>
    <w:p w14:paraId="38CD0F1C" w14:textId="77777777" w:rsidR="00AC6F3C" w:rsidRDefault="00AC6F3C">
      <w:pPr>
        <w:pStyle w:val="BodyText"/>
        <w:rPr>
          <w:b/>
          <w:sz w:val="16"/>
        </w:rPr>
      </w:pPr>
    </w:p>
    <w:p w14:paraId="2DC98947" w14:textId="77777777" w:rsidR="00AC6F3C" w:rsidRDefault="00AC6F3C">
      <w:pPr>
        <w:pStyle w:val="BodyText"/>
        <w:rPr>
          <w:b/>
          <w:sz w:val="16"/>
        </w:rPr>
      </w:pPr>
    </w:p>
    <w:p w14:paraId="27A4360C" w14:textId="77777777" w:rsidR="00AC6F3C" w:rsidRDefault="00AC6F3C">
      <w:pPr>
        <w:pStyle w:val="BodyText"/>
        <w:spacing w:before="10"/>
        <w:rPr>
          <w:b/>
          <w:sz w:val="13"/>
        </w:rPr>
      </w:pPr>
    </w:p>
    <w:p w14:paraId="61BA2840" w14:textId="77777777" w:rsidR="00AC6F3C" w:rsidRDefault="00570E88">
      <w:pPr>
        <w:spacing w:line="249" w:lineRule="auto"/>
        <w:ind w:left="196" w:right="-3"/>
        <w:rPr>
          <w:b/>
          <w:sz w:val="15"/>
        </w:rPr>
      </w:pPr>
      <w:r>
        <w:rPr>
          <w:b/>
          <w:spacing w:val="-6"/>
          <w:sz w:val="15"/>
        </w:rPr>
        <w:t>On</w:t>
      </w:r>
      <w:r>
        <w:rPr>
          <w:b/>
          <w:spacing w:val="-8"/>
          <w:sz w:val="15"/>
        </w:rPr>
        <w:t xml:space="preserve"> </w:t>
      </w:r>
      <w:r>
        <w:rPr>
          <w:b/>
          <w:spacing w:val="-6"/>
          <w:sz w:val="15"/>
        </w:rPr>
        <w:t>track</w:t>
      </w:r>
      <w:r>
        <w:rPr>
          <w:b/>
          <w:spacing w:val="-8"/>
          <w:sz w:val="15"/>
        </w:rPr>
        <w:t xml:space="preserve"> </w:t>
      </w:r>
      <w:r>
        <w:rPr>
          <w:b/>
          <w:spacing w:val="-6"/>
          <w:sz w:val="15"/>
        </w:rPr>
        <w:t>&amp;</w:t>
      </w:r>
      <w:r>
        <w:rPr>
          <w:b/>
          <w:sz w:val="15"/>
        </w:rPr>
        <w:t xml:space="preserve"> </w:t>
      </w:r>
      <w:r>
        <w:rPr>
          <w:b/>
          <w:spacing w:val="-2"/>
          <w:sz w:val="15"/>
        </w:rPr>
        <w:t>ongoing</w:t>
      </w:r>
    </w:p>
    <w:p w14:paraId="3DA6FA70" w14:textId="77777777" w:rsidR="00AC6F3C" w:rsidRDefault="00570E88">
      <w:pPr>
        <w:pStyle w:val="ListParagraph"/>
        <w:numPr>
          <w:ilvl w:val="3"/>
          <w:numId w:val="64"/>
        </w:numPr>
        <w:tabs>
          <w:tab w:val="left" w:pos="762"/>
        </w:tabs>
        <w:spacing w:before="75" w:line="249" w:lineRule="auto"/>
        <w:ind w:right="300"/>
        <w:rPr>
          <w:sz w:val="15"/>
        </w:rPr>
      </w:pPr>
      <w:r>
        <w:br w:type="column"/>
      </w:r>
      <w:r>
        <w:rPr>
          <w:spacing w:val="-4"/>
          <w:sz w:val="15"/>
        </w:rPr>
        <w:t>Suburban</w:t>
      </w:r>
      <w:r>
        <w:rPr>
          <w:spacing w:val="-5"/>
          <w:sz w:val="15"/>
        </w:rPr>
        <w:t xml:space="preserve"> </w:t>
      </w:r>
      <w:r>
        <w:rPr>
          <w:spacing w:val="-4"/>
          <w:sz w:val="15"/>
        </w:rPr>
        <w:t>practitioner</w:t>
      </w:r>
      <w:r>
        <w:rPr>
          <w:spacing w:val="-5"/>
          <w:sz w:val="15"/>
        </w:rPr>
        <w:t xml:space="preserve"> </w:t>
      </w:r>
      <w:r>
        <w:rPr>
          <w:spacing w:val="-4"/>
          <w:sz w:val="15"/>
        </w:rPr>
        <w:t>engagement</w:t>
      </w:r>
      <w:r>
        <w:rPr>
          <w:spacing w:val="-5"/>
          <w:sz w:val="15"/>
        </w:rPr>
        <w:t xml:space="preserve"> </w:t>
      </w:r>
      <w:r>
        <w:rPr>
          <w:spacing w:val="-4"/>
          <w:sz w:val="15"/>
        </w:rPr>
        <w:t>plan</w:t>
      </w:r>
      <w:r>
        <w:rPr>
          <w:spacing w:val="-5"/>
          <w:sz w:val="15"/>
        </w:rPr>
        <w:t xml:space="preserve"> </w:t>
      </w:r>
      <w:r>
        <w:rPr>
          <w:spacing w:val="-4"/>
          <w:sz w:val="15"/>
        </w:rPr>
        <w:t>–</w:t>
      </w:r>
      <w:r>
        <w:rPr>
          <w:sz w:val="15"/>
        </w:rPr>
        <w:t xml:space="preserve"> </w:t>
      </w:r>
      <w:r>
        <w:rPr>
          <w:spacing w:val="-6"/>
          <w:sz w:val="15"/>
        </w:rPr>
        <w:t>ongoing. Further investigation will continue</w:t>
      </w:r>
      <w:r>
        <w:rPr>
          <w:sz w:val="15"/>
        </w:rPr>
        <w:t xml:space="preserve"> </w:t>
      </w:r>
      <w:r>
        <w:rPr>
          <w:spacing w:val="-2"/>
          <w:sz w:val="15"/>
        </w:rPr>
        <w:t>after</w:t>
      </w:r>
      <w:r>
        <w:rPr>
          <w:spacing w:val="-9"/>
          <w:sz w:val="15"/>
        </w:rPr>
        <w:t xml:space="preserve"> </w:t>
      </w:r>
      <w:r>
        <w:rPr>
          <w:spacing w:val="-2"/>
          <w:sz w:val="15"/>
        </w:rPr>
        <w:t>renewals</w:t>
      </w:r>
      <w:r>
        <w:rPr>
          <w:spacing w:val="-8"/>
          <w:sz w:val="15"/>
        </w:rPr>
        <w:t xml:space="preserve"> </w:t>
      </w:r>
      <w:r>
        <w:rPr>
          <w:spacing w:val="-2"/>
          <w:sz w:val="15"/>
        </w:rPr>
        <w:t>when</w:t>
      </w:r>
      <w:r>
        <w:rPr>
          <w:spacing w:val="-9"/>
          <w:sz w:val="15"/>
        </w:rPr>
        <w:t xml:space="preserve"> </w:t>
      </w:r>
      <w:r>
        <w:rPr>
          <w:spacing w:val="-2"/>
          <w:sz w:val="15"/>
        </w:rPr>
        <w:t>we</w:t>
      </w:r>
      <w:r>
        <w:rPr>
          <w:spacing w:val="-8"/>
          <w:sz w:val="15"/>
        </w:rPr>
        <w:t xml:space="preserve"> </w:t>
      </w:r>
      <w:proofErr w:type="gramStart"/>
      <w:r>
        <w:rPr>
          <w:spacing w:val="-2"/>
          <w:sz w:val="15"/>
        </w:rPr>
        <w:t>will</w:t>
      </w:r>
      <w:r>
        <w:rPr>
          <w:spacing w:val="-9"/>
          <w:sz w:val="15"/>
        </w:rPr>
        <w:t xml:space="preserve"> </w:t>
      </w:r>
      <w:r>
        <w:rPr>
          <w:spacing w:val="-2"/>
          <w:sz w:val="15"/>
        </w:rPr>
        <w:t>have</w:t>
      </w:r>
      <w:proofErr w:type="gramEnd"/>
      <w:r>
        <w:rPr>
          <w:spacing w:val="-8"/>
          <w:sz w:val="15"/>
        </w:rPr>
        <w:t xml:space="preserve"> </w:t>
      </w:r>
      <w:r>
        <w:rPr>
          <w:spacing w:val="-2"/>
          <w:sz w:val="15"/>
        </w:rPr>
        <w:t>a</w:t>
      </w:r>
      <w:r>
        <w:rPr>
          <w:spacing w:val="-8"/>
          <w:sz w:val="15"/>
        </w:rPr>
        <w:t xml:space="preserve"> </w:t>
      </w:r>
      <w:r>
        <w:rPr>
          <w:spacing w:val="-2"/>
          <w:sz w:val="15"/>
        </w:rPr>
        <w:t>better</w:t>
      </w:r>
      <w:r>
        <w:rPr>
          <w:sz w:val="15"/>
        </w:rPr>
        <w:t xml:space="preserve"> idea</w:t>
      </w:r>
      <w:r>
        <w:rPr>
          <w:spacing w:val="-11"/>
          <w:sz w:val="15"/>
        </w:rPr>
        <w:t xml:space="preserve"> </w:t>
      </w:r>
      <w:r>
        <w:rPr>
          <w:sz w:val="15"/>
        </w:rPr>
        <w:t>of</w:t>
      </w:r>
      <w:r>
        <w:rPr>
          <w:spacing w:val="-10"/>
          <w:sz w:val="15"/>
        </w:rPr>
        <w:t xml:space="preserve"> </w:t>
      </w:r>
      <w:r>
        <w:rPr>
          <w:sz w:val="15"/>
        </w:rPr>
        <w:t>which</w:t>
      </w:r>
      <w:r>
        <w:rPr>
          <w:spacing w:val="-11"/>
          <w:sz w:val="15"/>
        </w:rPr>
        <w:t xml:space="preserve"> </w:t>
      </w:r>
      <w:r>
        <w:rPr>
          <w:sz w:val="15"/>
        </w:rPr>
        <w:t>suburban</w:t>
      </w:r>
      <w:r>
        <w:rPr>
          <w:spacing w:val="-10"/>
          <w:sz w:val="15"/>
        </w:rPr>
        <w:t xml:space="preserve"> </w:t>
      </w:r>
      <w:r>
        <w:rPr>
          <w:sz w:val="15"/>
        </w:rPr>
        <w:t>areas</w:t>
      </w:r>
      <w:r>
        <w:rPr>
          <w:spacing w:val="-10"/>
          <w:sz w:val="15"/>
        </w:rPr>
        <w:t xml:space="preserve"> </w:t>
      </w:r>
      <w:r>
        <w:rPr>
          <w:sz w:val="15"/>
        </w:rPr>
        <w:t>hold</w:t>
      </w:r>
      <w:r>
        <w:rPr>
          <w:spacing w:val="-11"/>
          <w:sz w:val="15"/>
        </w:rPr>
        <w:t xml:space="preserve"> </w:t>
      </w:r>
      <w:r>
        <w:rPr>
          <w:sz w:val="15"/>
        </w:rPr>
        <w:t>the greatest</w:t>
      </w:r>
      <w:r>
        <w:rPr>
          <w:spacing w:val="-11"/>
          <w:sz w:val="15"/>
        </w:rPr>
        <w:t xml:space="preserve"> </w:t>
      </w:r>
      <w:r>
        <w:rPr>
          <w:sz w:val="15"/>
        </w:rPr>
        <w:t>conversion</w:t>
      </w:r>
      <w:r>
        <w:rPr>
          <w:spacing w:val="-10"/>
          <w:sz w:val="15"/>
        </w:rPr>
        <w:t xml:space="preserve"> </w:t>
      </w:r>
      <w:r>
        <w:rPr>
          <w:sz w:val="15"/>
        </w:rPr>
        <w:t>opportunities.</w:t>
      </w:r>
    </w:p>
    <w:p w14:paraId="49E276B3" w14:textId="77777777" w:rsidR="00AC6F3C" w:rsidRDefault="00570E88">
      <w:pPr>
        <w:pStyle w:val="ListParagraph"/>
        <w:numPr>
          <w:ilvl w:val="3"/>
          <w:numId w:val="64"/>
        </w:numPr>
        <w:tabs>
          <w:tab w:val="left" w:pos="762"/>
        </w:tabs>
        <w:spacing w:before="45" w:line="249" w:lineRule="auto"/>
        <w:ind w:right="244"/>
        <w:rPr>
          <w:sz w:val="15"/>
        </w:rPr>
      </w:pPr>
      <w:r>
        <w:rPr>
          <w:sz w:val="15"/>
        </w:rPr>
        <w:t>In-house</w:t>
      </w:r>
      <w:r>
        <w:rPr>
          <w:spacing w:val="-11"/>
          <w:sz w:val="15"/>
        </w:rPr>
        <w:t xml:space="preserve"> </w:t>
      </w:r>
      <w:r>
        <w:rPr>
          <w:sz w:val="15"/>
        </w:rPr>
        <w:t>Counsel</w:t>
      </w:r>
      <w:r>
        <w:rPr>
          <w:spacing w:val="-10"/>
          <w:sz w:val="15"/>
        </w:rPr>
        <w:t xml:space="preserve"> </w:t>
      </w:r>
      <w:r>
        <w:rPr>
          <w:sz w:val="15"/>
        </w:rPr>
        <w:t>–</w:t>
      </w:r>
      <w:r>
        <w:rPr>
          <w:spacing w:val="-11"/>
          <w:sz w:val="15"/>
        </w:rPr>
        <w:t xml:space="preserve"> </w:t>
      </w:r>
      <w:r>
        <w:rPr>
          <w:sz w:val="15"/>
        </w:rPr>
        <w:t>breakfast</w:t>
      </w:r>
      <w:r>
        <w:rPr>
          <w:spacing w:val="-10"/>
          <w:sz w:val="15"/>
        </w:rPr>
        <w:t xml:space="preserve"> </w:t>
      </w:r>
      <w:r>
        <w:rPr>
          <w:sz w:val="15"/>
        </w:rPr>
        <w:t>series</w:t>
      </w:r>
      <w:r>
        <w:rPr>
          <w:spacing w:val="-11"/>
          <w:sz w:val="15"/>
        </w:rPr>
        <w:t xml:space="preserve"> </w:t>
      </w:r>
      <w:r>
        <w:rPr>
          <w:sz w:val="15"/>
        </w:rPr>
        <w:t>has become</w:t>
      </w:r>
      <w:r>
        <w:rPr>
          <w:spacing w:val="-11"/>
          <w:sz w:val="15"/>
        </w:rPr>
        <w:t xml:space="preserve"> </w:t>
      </w:r>
      <w:r>
        <w:rPr>
          <w:sz w:val="15"/>
        </w:rPr>
        <w:t>well</w:t>
      </w:r>
      <w:r>
        <w:rPr>
          <w:spacing w:val="-10"/>
          <w:sz w:val="15"/>
        </w:rPr>
        <w:t xml:space="preserve"> </w:t>
      </w:r>
      <w:r>
        <w:rPr>
          <w:sz w:val="15"/>
        </w:rPr>
        <w:t>established</w:t>
      </w:r>
      <w:r>
        <w:rPr>
          <w:spacing w:val="-11"/>
          <w:sz w:val="15"/>
        </w:rPr>
        <w:t xml:space="preserve"> </w:t>
      </w:r>
      <w:r>
        <w:rPr>
          <w:sz w:val="15"/>
        </w:rPr>
        <w:t>over</w:t>
      </w:r>
      <w:r>
        <w:rPr>
          <w:spacing w:val="-10"/>
          <w:sz w:val="15"/>
        </w:rPr>
        <w:t xml:space="preserve"> </w:t>
      </w:r>
      <w:r>
        <w:rPr>
          <w:sz w:val="15"/>
        </w:rPr>
        <w:t>the</w:t>
      </w:r>
      <w:r>
        <w:rPr>
          <w:spacing w:val="-11"/>
          <w:sz w:val="15"/>
        </w:rPr>
        <w:t xml:space="preserve"> </w:t>
      </w:r>
      <w:r>
        <w:rPr>
          <w:sz w:val="15"/>
        </w:rPr>
        <w:t xml:space="preserve">22-23 </w:t>
      </w:r>
      <w:r>
        <w:rPr>
          <w:spacing w:val="-6"/>
          <w:sz w:val="15"/>
        </w:rPr>
        <w:t>year and has successfully generated strong</w:t>
      </w:r>
      <w:r>
        <w:rPr>
          <w:sz w:val="15"/>
        </w:rPr>
        <w:t xml:space="preserve"> engagement</w:t>
      </w:r>
      <w:r>
        <w:rPr>
          <w:spacing w:val="-11"/>
          <w:sz w:val="15"/>
        </w:rPr>
        <w:t xml:space="preserve"> </w:t>
      </w:r>
      <w:r>
        <w:rPr>
          <w:sz w:val="15"/>
        </w:rPr>
        <w:t>that</w:t>
      </w:r>
      <w:r>
        <w:rPr>
          <w:spacing w:val="-10"/>
          <w:sz w:val="15"/>
        </w:rPr>
        <w:t xml:space="preserve"> </w:t>
      </w:r>
      <w:r>
        <w:rPr>
          <w:sz w:val="15"/>
        </w:rPr>
        <w:t>will</w:t>
      </w:r>
      <w:r>
        <w:rPr>
          <w:spacing w:val="-11"/>
          <w:sz w:val="15"/>
        </w:rPr>
        <w:t xml:space="preserve"> </w:t>
      </w:r>
      <w:r>
        <w:rPr>
          <w:sz w:val="15"/>
        </w:rPr>
        <w:t>be</w:t>
      </w:r>
      <w:r>
        <w:rPr>
          <w:spacing w:val="-10"/>
          <w:sz w:val="15"/>
        </w:rPr>
        <w:t xml:space="preserve"> </w:t>
      </w:r>
      <w:r>
        <w:rPr>
          <w:sz w:val="15"/>
        </w:rPr>
        <w:t>the</w:t>
      </w:r>
      <w:r>
        <w:rPr>
          <w:spacing w:val="-11"/>
          <w:sz w:val="15"/>
        </w:rPr>
        <w:t xml:space="preserve"> </w:t>
      </w:r>
      <w:r>
        <w:rPr>
          <w:sz w:val="15"/>
        </w:rPr>
        <w:t>basis</w:t>
      </w:r>
      <w:r>
        <w:rPr>
          <w:spacing w:val="-10"/>
          <w:sz w:val="15"/>
        </w:rPr>
        <w:t xml:space="preserve"> </w:t>
      </w:r>
      <w:r>
        <w:rPr>
          <w:sz w:val="15"/>
        </w:rPr>
        <w:t>for</w:t>
      </w:r>
      <w:r>
        <w:rPr>
          <w:spacing w:val="-10"/>
          <w:sz w:val="15"/>
        </w:rPr>
        <w:t xml:space="preserve"> </w:t>
      </w:r>
      <w:proofErr w:type="gramStart"/>
      <w:r>
        <w:rPr>
          <w:sz w:val="15"/>
        </w:rPr>
        <w:t>an</w:t>
      </w:r>
      <w:proofErr w:type="gramEnd"/>
      <w:r>
        <w:rPr>
          <w:sz w:val="15"/>
        </w:rPr>
        <w:t xml:space="preserve"> continuing</w:t>
      </w:r>
      <w:r>
        <w:rPr>
          <w:spacing w:val="-11"/>
          <w:sz w:val="15"/>
        </w:rPr>
        <w:t xml:space="preserve"> </w:t>
      </w:r>
      <w:r>
        <w:rPr>
          <w:sz w:val="15"/>
        </w:rPr>
        <w:t>to</w:t>
      </w:r>
      <w:r>
        <w:rPr>
          <w:spacing w:val="-10"/>
          <w:sz w:val="15"/>
        </w:rPr>
        <w:t xml:space="preserve"> </w:t>
      </w:r>
      <w:r>
        <w:rPr>
          <w:sz w:val="15"/>
        </w:rPr>
        <w:t>expand</w:t>
      </w:r>
      <w:r>
        <w:rPr>
          <w:spacing w:val="-11"/>
          <w:sz w:val="15"/>
        </w:rPr>
        <w:t xml:space="preserve"> </w:t>
      </w:r>
      <w:r>
        <w:rPr>
          <w:sz w:val="15"/>
        </w:rPr>
        <w:t>in-house</w:t>
      </w:r>
      <w:r>
        <w:rPr>
          <w:spacing w:val="-10"/>
          <w:sz w:val="15"/>
        </w:rPr>
        <w:t xml:space="preserve"> </w:t>
      </w:r>
      <w:r>
        <w:rPr>
          <w:sz w:val="15"/>
        </w:rPr>
        <w:t>focused activities in FY23-24.</w:t>
      </w:r>
    </w:p>
    <w:p w14:paraId="0FF08CF8" w14:textId="77777777" w:rsidR="00AC6F3C" w:rsidRDefault="00570E88">
      <w:pPr>
        <w:pStyle w:val="ListParagraph"/>
        <w:numPr>
          <w:ilvl w:val="3"/>
          <w:numId w:val="64"/>
        </w:numPr>
        <w:tabs>
          <w:tab w:val="left" w:pos="762"/>
        </w:tabs>
        <w:spacing w:before="46" w:line="249" w:lineRule="auto"/>
        <w:ind w:right="363"/>
        <w:rPr>
          <w:sz w:val="15"/>
        </w:rPr>
      </w:pPr>
      <w:r>
        <w:rPr>
          <w:sz w:val="15"/>
        </w:rPr>
        <w:t>Young</w:t>
      </w:r>
      <w:r>
        <w:rPr>
          <w:spacing w:val="-11"/>
          <w:sz w:val="15"/>
        </w:rPr>
        <w:t xml:space="preserve"> </w:t>
      </w:r>
      <w:r>
        <w:rPr>
          <w:sz w:val="15"/>
        </w:rPr>
        <w:t>Lawyers</w:t>
      </w:r>
      <w:r>
        <w:rPr>
          <w:spacing w:val="-10"/>
          <w:sz w:val="15"/>
        </w:rPr>
        <w:t xml:space="preserve"> </w:t>
      </w:r>
      <w:r>
        <w:rPr>
          <w:sz w:val="15"/>
        </w:rPr>
        <w:t>strategy</w:t>
      </w:r>
      <w:r>
        <w:rPr>
          <w:spacing w:val="-11"/>
          <w:sz w:val="15"/>
        </w:rPr>
        <w:t xml:space="preserve"> </w:t>
      </w:r>
      <w:r>
        <w:rPr>
          <w:sz w:val="15"/>
        </w:rPr>
        <w:t>has</w:t>
      </w:r>
      <w:r>
        <w:rPr>
          <w:spacing w:val="-10"/>
          <w:sz w:val="15"/>
        </w:rPr>
        <w:t xml:space="preserve"> </w:t>
      </w:r>
      <w:r>
        <w:rPr>
          <w:sz w:val="15"/>
        </w:rPr>
        <w:t>been</w:t>
      </w:r>
      <w:r>
        <w:rPr>
          <w:spacing w:val="-11"/>
          <w:sz w:val="15"/>
        </w:rPr>
        <w:t xml:space="preserve"> </w:t>
      </w:r>
      <w:r>
        <w:rPr>
          <w:sz w:val="15"/>
        </w:rPr>
        <w:t xml:space="preserve">two- </w:t>
      </w:r>
      <w:r>
        <w:rPr>
          <w:spacing w:val="-4"/>
          <w:sz w:val="15"/>
        </w:rPr>
        <w:t>pronged.</w:t>
      </w:r>
      <w:r>
        <w:rPr>
          <w:spacing w:val="-10"/>
          <w:sz w:val="15"/>
        </w:rPr>
        <w:t xml:space="preserve"> </w:t>
      </w:r>
      <w:r>
        <w:rPr>
          <w:spacing w:val="-4"/>
          <w:sz w:val="15"/>
        </w:rPr>
        <w:t>We</w:t>
      </w:r>
      <w:r>
        <w:rPr>
          <w:spacing w:val="-8"/>
          <w:sz w:val="15"/>
        </w:rPr>
        <w:t xml:space="preserve"> </w:t>
      </w:r>
      <w:r>
        <w:rPr>
          <w:spacing w:val="-4"/>
          <w:sz w:val="15"/>
        </w:rPr>
        <w:t>have</w:t>
      </w:r>
      <w:r>
        <w:rPr>
          <w:spacing w:val="-8"/>
          <w:sz w:val="15"/>
        </w:rPr>
        <w:t xml:space="preserve"> </w:t>
      </w:r>
      <w:r>
        <w:rPr>
          <w:spacing w:val="-4"/>
          <w:sz w:val="15"/>
        </w:rPr>
        <w:t>focused</w:t>
      </w:r>
      <w:r>
        <w:rPr>
          <w:spacing w:val="-8"/>
          <w:sz w:val="15"/>
        </w:rPr>
        <w:t xml:space="preserve"> </w:t>
      </w:r>
      <w:r>
        <w:rPr>
          <w:spacing w:val="-4"/>
          <w:sz w:val="15"/>
        </w:rPr>
        <w:t>on</w:t>
      </w:r>
      <w:r>
        <w:rPr>
          <w:spacing w:val="-8"/>
          <w:sz w:val="15"/>
        </w:rPr>
        <w:t xml:space="preserve"> </w:t>
      </w:r>
      <w:r>
        <w:rPr>
          <w:spacing w:val="-4"/>
          <w:sz w:val="15"/>
        </w:rPr>
        <w:t>continuing</w:t>
      </w:r>
      <w:r>
        <w:rPr>
          <w:sz w:val="15"/>
        </w:rPr>
        <w:t xml:space="preserve"> </w:t>
      </w:r>
      <w:r>
        <w:rPr>
          <w:spacing w:val="-6"/>
          <w:sz w:val="15"/>
        </w:rPr>
        <w:t>to engage current members of the cohort,</w:t>
      </w:r>
      <w:r>
        <w:rPr>
          <w:sz w:val="15"/>
        </w:rPr>
        <w:t xml:space="preserve"> which</w:t>
      </w:r>
      <w:r>
        <w:rPr>
          <w:spacing w:val="-11"/>
          <w:sz w:val="15"/>
        </w:rPr>
        <w:t xml:space="preserve"> </w:t>
      </w:r>
      <w:r>
        <w:rPr>
          <w:sz w:val="15"/>
        </w:rPr>
        <w:t>has</w:t>
      </w:r>
      <w:r>
        <w:rPr>
          <w:spacing w:val="-10"/>
          <w:sz w:val="15"/>
        </w:rPr>
        <w:t xml:space="preserve"> </w:t>
      </w:r>
      <w:r>
        <w:rPr>
          <w:sz w:val="15"/>
        </w:rPr>
        <w:t>expanded</w:t>
      </w:r>
      <w:r>
        <w:rPr>
          <w:spacing w:val="-11"/>
          <w:sz w:val="15"/>
        </w:rPr>
        <w:t xml:space="preserve"> </w:t>
      </w:r>
      <w:r>
        <w:rPr>
          <w:sz w:val="15"/>
        </w:rPr>
        <w:t>to</w:t>
      </w:r>
      <w:r>
        <w:rPr>
          <w:spacing w:val="-10"/>
          <w:sz w:val="15"/>
        </w:rPr>
        <w:t xml:space="preserve"> </w:t>
      </w:r>
      <w:r>
        <w:rPr>
          <w:sz w:val="15"/>
        </w:rPr>
        <w:t>include</w:t>
      </w:r>
      <w:r>
        <w:rPr>
          <w:spacing w:val="-11"/>
          <w:sz w:val="15"/>
        </w:rPr>
        <w:t xml:space="preserve"> </w:t>
      </w:r>
      <w:r>
        <w:rPr>
          <w:sz w:val="15"/>
        </w:rPr>
        <w:t>newly admitted</w:t>
      </w:r>
      <w:r>
        <w:rPr>
          <w:spacing w:val="-10"/>
          <w:sz w:val="15"/>
        </w:rPr>
        <w:t xml:space="preserve"> </w:t>
      </w:r>
      <w:r>
        <w:rPr>
          <w:sz w:val="15"/>
        </w:rPr>
        <w:t>lawyers</w:t>
      </w:r>
      <w:r>
        <w:rPr>
          <w:spacing w:val="-10"/>
          <w:sz w:val="15"/>
        </w:rPr>
        <w:t xml:space="preserve"> </w:t>
      </w:r>
      <w:r>
        <w:rPr>
          <w:sz w:val="15"/>
        </w:rPr>
        <w:t>at</w:t>
      </w:r>
      <w:r>
        <w:rPr>
          <w:spacing w:val="-10"/>
          <w:sz w:val="15"/>
        </w:rPr>
        <w:t xml:space="preserve"> </w:t>
      </w:r>
      <w:r>
        <w:rPr>
          <w:sz w:val="15"/>
        </w:rPr>
        <w:t>our</w:t>
      </w:r>
      <w:r>
        <w:rPr>
          <w:spacing w:val="-10"/>
          <w:sz w:val="15"/>
        </w:rPr>
        <w:t xml:space="preserve"> </w:t>
      </w:r>
      <w:r>
        <w:rPr>
          <w:sz w:val="15"/>
        </w:rPr>
        <w:t>Welcome</w:t>
      </w:r>
      <w:r>
        <w:rPr>
          <w:spacing w:val="-10"/>
          <w:sz w:val="15"/>
        </w:rPr>
        <w:t xml:space="preserve"> </w:t>
      </w:r>
      <w:r>
        <w:rPr>
          <w:sz w:val="15"/>
        </w:rPr>
        <w:t>to</w:t>
      </w:r>
    </w:p>
    <w:p w14:paraId="1A5CB4B4" w14:textId="77777777" w:rsidR="00AC6F3C" w:rsidRDefault="00570E88">
      <w:pPr>
        <w:spacing w:before="3" w:line="249" w:lineRule="auto"/>
        <w:ind w:left="762" w:right="211"/>
        <w:rPr>
          <w:sz w:val="15"/>
        </w:rPr>
      </w:pPr>
      <w:r>
        <w:rPr>
          <w:sz w:val="15"/>
        </w:rPr>
        <w:t>the</w:t>
      </w:r>
      <w:r>
        <w:rPr>
          <w:spacing w:val="-11"/>
          <w:sz w:val="15"/>
        </w:rPr>
        <w:t xml:space="preserve"> </w:t>
      </w:r>
      <w:r>
        <w:rPr>
          <w:sz w:val="15"/>
        </w:rPr>
        <w:t>Profession</w:t>
      </w:r>
      <w:r>
        <w:rPr>
          <w:spacing w:val="-10"/>
          <w:sz w:val="15"/>
        </w:rPr>
        <w:t xml:space="preserve"> </w:t>
      </w:r>
      <w:r>
        <w:rPr>
          <w:sz w:val="15"/>
        </w:rPr>
        <w:t>events</w:t>
      </w:r>
      <w:r>
        <w:rPr>
          <w:spacing w:val="-11"/>
          <w:sz w:val="15"/>
        </w:rPr>
        <w:t xml:space="preserve"> </w:t>
      </w:r>
      <w:r>
        <w:rPr>
          <w:sz w:val="15"/>
        </w:rPr>
        <w:t>implemented</w:t>
      </w:r>
      <w:r>
        <w:rPr>
          <w:spacing w:val="-10"/>
          <w:sz w:val="15"/>
        </w:rPr>
        <w:t xml:space="preserve"> </w:t>
      </w:r>
      <w:r>
        <w:rPr>
          <w:sz w:val="15"/>
        </w:rPr>
        <w:t xml:space="preserve">this </w:t>
      </w:r>
      <w:r>
        <w:rPr>
          <w:spacing w:val="-4"/>
          <w:sz w:val="15"/>
        </w:rPr>
        <w:t xml:space="preserve">year. </w:t>
      </w:r>
      <w:proofErr w:type="gramStart"/>
      <w:r>
        <w:rPr>
          <w:spacing w:val="-4"/>
          <w:sz w:val="15"/>
        </w:rPr>
        <w:t>Additionally</w:t>
      </w:r>
      <w:proofErr w:type="gramEnd"/>
      <w:r>
        <w:rPr>
          <w:spacing w:val="-4"/>
          <w:sz w:val="15"/>
        </w:rPr>
        <w:t xml:space="preserve"> we have also worked to</w:t>
      </w:r>
      <w:r>
        <w:rPr>
          <w:sz w:val="15"/>
        </w:rPr>
        <w:t xml:space="preserve"> increase</w:t>
      </w:r>
      <w:r>
        <w:rPr>
          <w:spacing w:val="-11"/>
          <w:sz w:val="15"/>
        </w:rPr>
        <w:t xml:space="preserve"> </w:t>
      </w:r>
      <w:r>
        <w:rPr>
          <w:sz w:val="15"/>
        </w:rPr>
        <w:t>engagement</w:t>
      </w:r>
      <w:r>
        <w:rPr>
          <w:spacing w:val="-10"/>
          <w:sz w:val="15"/>
        </w:rPr>
        <w:t xml:space="preserve"> </w:t>
      </w:r>
      <w:r>
        <w:rPr>
          <w:sz w:val="15"/>
        </w:rPr>
        <w:t>with</w:t>
      </w:r>
      <w:r>
        <w:rPr>
          <w:spacing w:val="-11"/>
          <w:sz w:val="15"/>
        </w:rPr>
        <w:t xml:space="preserve"> </w:t>
      </w:r>
      <w:r>
        <w:rPr>
          <w:sz w:val="15"/>
        </w:rPr>
        <w:t>law</w:t>
      </w:r>
      <w:r>
        <w:rPr>
          <w:spacing w:val="-10"/>
          <w:sz w:val="15"/>
        </w:rPr>
        <w:t xml:space="preserve"> </w:t>
      </w:r>
      <w:r>
        <w:rPr>
          <w:sz w:val="15"/>
        </w:rPr>
        <w:t>students (some</w:t>
      </w:r>
      <w:r>
        <w:rPr>
          <w:spacing w:val="-9"/>
          <w:sz w:val="15"/>
        </w:rPr>
        <w:t xml:space="preserve"> </w:t>
      </w:r>
      <w:r>
        <w:rPr>
          <w:sz w:val="15"/>
        </w:rPr>
        <w:t>of</w:t>
      </w:r>
      <w:r>
        <w:rPr>
          <w:spacing w:val="-9"/>
          <w:sz w:val="15"/>
        </w:rPr>
        <w:t xml:space="preserve"> </w:t>
      </w:r>
      <w:r>
        <w:rPr>
          <w:sz w:val="15"/>
        </w:rPr>
        <w:t>whom</w:t>
      </w:r>
      <w:r>
        <w:rPr>
          <w:spacing w:val="-9"/>
          <w:sz w:val="15"/>
        </w:rPr>
        <w:t xml:space="preserve"> </w:t>
      </w:r>
      <w:r>
        <w:rPr>
          <w:sz w:val="15"/>
        </w:rPr>
        <w:t>will</w:t>
      </w:r>
      <w:r>
        <w:rPr>
          <w:spacing w:val="-9"/>
          <w:sz w:val="15"/>
        </w:rPr>
        <w:t xml:space="preserve"> </w:t>
      </w:r>
      <w:r>
        <w:rPr>
          <w:sz w:val="15"/>
        </w:rPr>
        <w:t>become</w:t>
      </w:r>
      <w:r>
        <w:rPr>
          <w:spacing w:val="-9"/>
          <w:sz w:val="15"/>
        </w:rPr>
        <w:t xml:space="preserve"> </w:t>
      </w:r>
      <w:r>
        <w:rPr>
          <w:sz w:val="15"/>
        </w:rPr>
        <w:t>our</w:t>
      </w:r>
      <w:r>
        <w:rPr>
          <w:spacing w:val="-9"/>
          <w:sz w:val="15"/>
        </w:rPr>
        <w:t xml:space="preserve"> </w:t>
      </w:r>
      <w:r>
        <w:rPr>
          <w:sz w:val="15"/>
        </w:rPr>
        <w:t xml:space="preserve">new </w:t>
      </w:r>
      <w:r>
        <w:rPr>
          <w:spacing w:val="-6"/>
          <w:sz w:val="15"/>
        </w:rPr>
        <w:t>young lawyers in the future) by reactivating</w:t>
      </w:r>
      <w:r>
        <w:rPr>
          <w:sz w:val="15"/>
        </w:rPr>
        <w:t xml:space="preserve"> engagement</w:t>
      </w:r>
      <w:r>
        <w:rPr>
          <w:spacing w:val="-11"/>
          <w:sz w:val="15"/>
        </w:rPr>
        <w:t xml:space="preserve"> </w:t>
      </w:r>
      <w:r>
        <w:rPr>
          <w:sz w:val="15"/>
        </w:rPr>
        <w:t>with</w:t>
      </w:r>
      <w:r>
        <w:rPr>
          <w:spacing w:val="-10"/>
          <w:sz w:val="15"/>
        </w:rPr>
        <w:t xml:space="preserve"> </w:t>
      </w:r>
      <w:r>
        <w:rPr>
          <w:sz w:val="15"/>
        </w:rPr>
        <w:t>student</w:t>
      </w:r>
      <w:r>
        <w:rPr>
          <w:spacing w:val="-11"/>
          <w:sz w:val="15"/>
        </w:rPr>
        <w:t xml:space="preserve"> </w:t>
      </w:r>
      <w:r>
        <w:rPr>
          <w:sz w:val="15"/>
        </w:rPr>
        <w:t>law</w:t>
      </w:r>
      <w:r>
        <w:rPr>
          <w:spacing w:val="-10"/>
          <w:sz w:val="15"/>
        </w:rPr>
        <w:t xml:space="preserve"> </w:t>
      </w:r>
      <w:r>
        <w:rPr>
          <w:sz w:val="15"/>
        </w:rPr>
        <w:t>societies</w:t>
      </w:r>
    </w:p>
    <w:p w14:paraId="718D101D" w14:textId="77777777" w:rsidR="00AC6F3C" w:rsidRDefault="00570E88">
      <w:pPr>
        <w:pStyle w:val="ListParagraph"/>
        <w:numPr>
          <w:ilvl w:val="2"/>
          <w:numId w:val="63"/>
        </w:numPr>
        <w:tabs>
          <w:tab w:val="left" w:pos="617"/>
        </w:tabs>
        <w:spacing w:before="92"/>
        <w:ind w:left="617" w:hanging="421"/>
        <w:rPr>
          <w:sz w:val="15"/>
        </w:rPr>
      </w:pPr>
      <w:r>
        <w:rPr>
          <w:spacing w:val="-4"/>
          <w:sz w:val="15"/>
        </w:rPr>
        <w:t>Completed</w:t>
      </w:r>
      <w:r>
        <w:rPr>
          <w:spacing w:val="-6"/>
          <w:sz w:val="15"/>
        </w:rPr>
        <w:t xml:space="preserve"> </w:t>
      </w:r>
      <w:r>
        <w:rPr>
          <w:spacing w:val="-4"/>
          <w:sz w:val="15"/>
        </w:rPr>
        <w:t>–</w:t>
      </w:r>
      <w:r>
        <w:rPr>
          <w:spacing w:val="-5"/>
          <w:sz w:val="15"/>
        </w:rPr>
        <w:t xml:space="preserve"> </w:t>
      </w:r>
      <w:r>
        <w:rPr>
          <w:spacing w:val="-4"/>
          <w:sz w:val="15"/>
        </w:rPr>
        <w:t>annual</w:t>
      </w:r>
      <w:r>
        <w:rPr>
          <w:spacing w:val="-5"/>
          <w:sz w:val="15"/>
        </w:rPr>
        <w:t xml:space="preserve"> </w:t>
      </w:r>
      <w:r>
        <w:rPr>
          <w:spacing w:val="-4"/>
          <w:sz w:val="15"/>
        </w:rPr>
        <w:t>data</w:t>
      </w:r>
      <w:r>
        <w:rPr>
          <w:spacing w:val="-5"/>
          <w:sz w:val="15"/>
        </w:rPr>
        <w:t xml:space="preserve"> </w:t>
      </w:r>
      <w:r>
        <w:rPr>
          <w:spacing w:val="-4"/>
          <w:sz w:val="15"/>
        </w:rPr>
        <w:t>lake</w:t>
      </w:r>
      <w:r>
        <w:rPr>
          <w:spacing w:val="-5"/>
          <w:sz w:val="15"/>
        </w:rPr>
        <w:t xml:space="preserve"> </w:t>
      </w:r>
      <w:proofErr w:type="gramStart"/>
      <w:r>
        <w:rPr>
          <w:spacing w:val="-4"/>
          <w:sz w:val="15"/>
        </w:rPr>
        <w:t>completed</w:t>
      </w:r>
      <w:proofErr w:type="gramEnd"/>
    </w:p>
    <w:p w14:paraId="4BB0279D" w14:textId="77777777" w:rsidR="00AC6F3C" w:rsidRDefault="00570E88">
      <w:pPr>
        <w:pStyle w:val="ListParagraph"/>
        <w:numPr>
          <w:ilvl w:val="2"/>
          <w:numId w:val="63"/>
        </w:numPr>
        <w:tabs>
          <w:tab w:val="left" w:pos="616"/>
          <w:tab w:val="left" w:pos="621"/>
        </w:tabs>
        <w:spacing w:before="50" w:line="249" w:lineRule="auto"/>
        <w:ind w:right="436"/>
        <w:rPr>
          <w:sz w:val="15"/>
        </w:rPr>
      </w:pPr>
      <w:r>
        <w:rPr>
          <w:spacing w:val="-4"/>
          <w:sz w:val="15"/>
        </w:rPr>
        <w:t>On</w:t>
      </w:r>
      <w:r>
        <w:rPr>
          <w:spacing w:val="-7"/>
          <w:sz w:val="15"/>
        </w:rPr>
        <w:t xml:space="preserve"> </w:t>
      </w:r>
      <w:r>
        <w:rPr>
          <w:spacing w:val="-4"/>
          <w:sz w:val="15"/>
        </w:rPr>
        <w:t>track</w:t>
      </w:r>
      <w:r>
        <w:rPr>
          <w:spacing w:val="-6"/>
          <w:sz w:val="15"/>
        </w:rPr>
        <w:t xml:space="preserve"> </w:t>
      </w:r>
      <w:r>
        <w:rPr>
          <w:spacing w:val="-4"/>
          <w:sz w:val="15"/>
        </w:rPr>
        <w:t>and</w:t>
      </w:r>
      <w:r>
        <w:rPr>
          <w:spacing w:val="-7"/>
          <w:sz w:val="15"/>
        </w:rPr>
        <w:t xml:space="preserve"> </w:t>
      </w:r>
      <w:r>
        <w:rPr>
          <w:spacing w:val="-4"/>
          <w:sz w:val="15"/>
        </w:rPr>
        <w:t>ongoing</w:t>
      </w:r>
      <w:r>
        <w:rPr>
          <w:spacing w:val="-6"/>
          <w:sz w:val="15"/>
        </w:rPr>
        <w:t xml:space="preserve"> </w:t>
      </w:r>
      <w:r>
        <w:rPr>
          <w:spacing w:val="-4"/>
          <w:sz w:val="15"/>
        </w:rPr>
        <w:t>–</w:t>
      </w:r>
      <w:r>
        <w:rPr>
          <w:spacing w:val="-7"/>
          <w:sz w:val="15"/>
        </w:rPr>
        <w:t xml:space="preserve"> </w:t>
      </w:r>
      <w:r>
        <w:rPr>
          <w:spacing w:val="-4"/>
          <w:sz w:val="15"/>
        </w:rPr>
        <w:t>base</w:t>
      </w:r>
      <w:r>
        <w:rPr>
          <w:spacing w:val="-6"/>
          <w:sz w:val="15"/>
        </w:rPr>
        <w:t xml:space="preserve"> </w:t>
      </w:r>
      <w:r>
        <w:rPr>
          <w:spacing w:val="-4"/>
          <w:sz w:val="15"/>
        </w:rPr>
        <w:t>data</w:t>
      </w:r>
      <w:r>
        <w:rPr>
          <w:spacing w:val="-6"/>
          <w:sz w:val="15"/>
        </w:rPr>
        <w:t xml:space="preserve"> </w:t>
      </w:r>
      <w:r>
        <w:rPr>
          <w:spacing w:val="-4"/>
          <w:sz w:val="15"/>
        </w:rPr>
        <w:t>models</w:t>
      </w:r>
      <w:r>
        <w:rPr>
          <w:sz w:val="15"/>
        </w:rPr>
        <w:t xml:space="preserve"> from</w:t>
      </w:r>
      <w:r>
        <w:rPr>
          <w:spacing w:val="-2"/>
          <w:sz w:val="15"/>
        </w:rPr>
        <w:t xml:space="preserve"> </w:t>
      </w:r>
      <w:r>
        <w:rPr>
          <w:sz w:val="15"/>
        </w:rPr>
        <w:t>CRM</w:t>
      </w:r>
      <w:r>
        <w:rPr>
          <w:spacing w:val="-2"/>
          <w:sz w:val="15"/>
        </w:rPr>
        <w:t xml:space="preserve"> </w:t>
      </w:r>
      <w:r>
        <w:rPr>
          <w:sz w:val="15"/>
        </w:rPr>
        <w:t>are</w:t>
      </w:r>
      <w:r>
        <w:rPr>
          <w:spacing w:val="-2"/>
          <w:sz w:val="15"/>
        </w:rPr>
        <w:t xml:space="preserve"> </w:t>
      </w:r>
      <w:r>
        <w:rPr>
          <w:sz w:val="15"/>
        </w:rPr>
        <w:t>continuing</w:t>
      </w:r>
      <w:r>
        <w:rPr>
          <w:spacing w:val="-2"/>
          <w:sz w:val="15"/>
        </w:rPr>
        <w:t xml:space="preserve"> </w:t>
      </w:r>
      <w:r>
        <w:rPr>
          <w:sz w:val="15"/>
        </w:rPr>
        <w:t>into</w:t>
      </w:r>
      <w:r>
        <w:rPr>
          <w:spacing w:val="-2"/>
          <w:sz w:val="15"/>
        </w:rPr>
        <w:t xml:space="preserve"> </w:t>
      </w:r>
      <w:r>
        <w:rPr>
          <w:sz w:val="15"/>
        </w:rPr>
        <w:t>the</w:t>
      </w:r>
      <w:r>
        <w:rPr>
          <w:spacing w:val="-2"/>
          <w:sz w:val="15"/>
        </w:rPr>
        <w:t xml:space="preserve"> </w:t>
      </w:r>
      <w:r>
        <w:rPr>
          <w:sz w:val="15"/>
        </w:rPr>
        <w:t>next financial</w:t>
      </w:r>
      <w:r>
        <w:rPr>
          <w:spacing w:val="-9"/>
          <w:sz w:val="15"/>
        </w:rPr>
        <w:t xml:space="preserve"> </w:t>
      </w:r>
      <w:proofErr w:type="gramStart"/>
      <w:r>
        <w:rPr>
          <w:sz w:val="15"/>
        </w:rPr>
        <w:t>year</w:t>
      </w:r>
      <w:proofErr w:type="gramEnd"/>
    </w:p>
    <w:p w14:paraId="3FEC8E46" w14:textId="77777777" w:rsidR="00AC6F3C" w:rsidRDefault="00AC6F3C">
      <w:pPr>
        <w:spacing w:line="249" w:lineRule="auto"/>
        <w:rPr>
          <w:sz w:val="15"/>
        </w:rPr>
        <w:sectPr w:rsidR="00AC6F3C">
          <w:type w:val="continuous"/>
          <w:pgSz w:w="16840" w:h="11910" w:orient="landscape"/>
          <w:pgMar w:top="1920" w:right="320" w:bottom="280" w:left="300" w:header="0" w:footer="336" w:gutter="0"/>
          <w:cols w:num="8" w:space="720" w:equalWidth="0">
            <w:col w:w="3014" w:space="76"/>
            <w:col w:w="2714" w:space="192"/>
            <w:col w:w="554" w:space="154"/>
            <w:col w:w="1924" w:space="159"/>
            <w:col w:w="1821" w:space="40"/>
            <w:col w:w="638" w:space="266"/>
            <w:col w:w="908" w:space="56"/>
            <w:col w:w="3704"/>
          </w:cols>
        </w:sectPr>
      </w:pPr>
    </w:p>
    <w:p w14:paraId="711ADDE8" w14:textId="77777777" w:rsidR="00AC6F3C" w:rsidRDefault="00AC6F3C">
      <w:pPr>
        <w:pStyle w:val="BodyText"/>
      </w:pPr>
    </w:p>
    <w:p w14:paraId="2EBFFC40" w14:textId="77777777" w:rsidR="00AC6F3C" w:rsidRDefault="00AC6F3C">
      <w:pPr>
        <w:pStyle w:val="BodyText"/>
      </w:pPr>
    </w:p>
    <w:p w14:paraId="163CFD8B" w14:textId="77777777" w:rsidR="00AC6F3C" w:rsidRDefault="00AC6F3C">
      <w:pPr>
        <w:pStyle w:val="BodyText"/>
      </w:pPr>
    </w:p>
    <w:p w14:paraId="3CD76C40" w14:textId="77777777" w:rsidR="00AC6F3C" w:rsidRDefault="00AC6F3C">
      <w:pPr>
        <w:pStyle w:val="BodyText"/>
      </w:pPr>
    </w:p>
    <w:p w14:paraId="2F60BA47" w14:textId="77777777" w:rsidR="00AC6F3C" w:rsidRDefault="00AC6F3C">
      <w:pPr>
        <w:pStyle w:val="BodyText"/>
      </w:pPr>
    </w:p>
    <w:p w14:paraId="2CD70644" w14:textId="77777777" w:rsidR="00AC6F3C" w:rsidRDefault="00AC6F3C">
      <w:pPr>
        <w:pStyle w:val="BodyText"/>
      </w:pPr>
    </w:p>
    <w:p w14:paraId="50183BB0" w14:textId="77777777" w:rsidR="00AC6F3C" w:rsidRDefault="00AC6F3C">
      <w:pPr>
        <w:pStyle w:val="BodyText"/>
      </w:pPr>
    </w:p>
    <w:p w14:paraId="4CB6B8BC" w14:textId="77777777" w:rsidR="00AC6F3C" w:rsidRDefault="00AC6F3C">
      <w:pPr>
        <w:pStyle w:val="BodyText"/>
      </w:pPr>
    </w:p>
    <w:p w14:paraId="18D9F06C" w14:textId="77777777" w:rsidR="00AC6F3C" w:rsidRDefault="00AC6F3C">
      <w:pPr>
        <w:pStyle w:val="BodyText"/>
      </w:pPr>
    </w:p>
    <w:p w14:paraId="7BE916D4" w14:textId="77777777" w:rsidR="00AC6F3C" w:rsidRDefault="00AC6F3C">
      <w:pPr>
        <w:pStyle w:val="BodyText"/>
      </w:pPr>
    </w:p>
    <w:p w14:paraId="381DBAAD" w14:textId="77777777" w:rsidR="00AC6F3C" w:rsidRDefault="00AC6F3C">
      <w:pPr>
        <w:pStyle w:val="BodyText"/>
      </w:pPr>
    </w:p>
    <w:p w14:paraId="678F5BD5" w14:textId="77777777" w:rsidR="00AC6F3C" w:rsidRDefault="00AC6F3C">
      <w:pPr>
        <w:pStyle w:val="BodyText"/>
      </w:pPr>
    </w:p>
    <w:p w14:paraId="01C2E42F" w14:textId="77777777" w:rsidR="00AC6F3C" w:rsidRDefault="00AC6F3C">
      <w:pPr>
        <w:pStyle w:val="BodyText"/>
      </w:pPr>
    </w:p>
    <w:p w14:paraId="2CB87E78" w14:textId="77777777" w:rsidR="00AC6F3C" w:rsidRDefault="00AC6F3C">
      <w:pPr>
        <w:pStyle w:val="BodyText"/>
      </w:pPr>
    </w:p>
    <w:p w14:paraId="3CD89F8F" w14:textId="77777777" w:rsidR="00AC6F3C" w:rsidRDefault="00AC6F3C">
      <w:pPr>
        <w:pStyle w:val="BodyText"/>
      </w:pPr>
    </w:p>
    <w:p w14:paraId="5D6DF2E2" w14:textId="77777777" w:rsidR="00AC6F3C" w:rsidRDefault="00AC6F3C">
      <w:pPr>
        <w:pStyle w:val="BodyText"/>
        <w:spacing w:before="7"/>
        <w:rPr>
          <w:sz w:val="16"/>
        </w:rPr>
      </w:pPr>
    </w:p>
    <w:p w14:paraId="5E0BC24F" w14:textId="77777777" w:rsidR="00AC6F3C" w:rsidRDefault="00570E88">
      <w:pPr>
        <w:spacing w:before="96"/>
        <w:ind w:left="9188"/>
        <w:rPr>
          <w:sz w:val="13"/>
        </w:rPr>
      </w:pPr>
      <w:r>
        <w:rPr>
          <w:spacing w:val="-4"/>
          <w:position w:val="4"/>
          <w:sz w:val="7"/>
        </w:rPr>
        <w:lastRenderedPageBreak/>
        <w:t>#</w:t>
      </w:r>
      <w:r>
        <w:rPr>
          <w:spacing w:val="-4"/>
          <w:sz w:val="13"/>
        </w:rPr>
        <w:t>Membership</w:t>
      </w:r>
      <w:r>
        <w:rPr>
          <w:spacing w:val="-5"/>
          <w:sz w:val="13"/>
        </w:rPr>
        <w:t xml:space="preserve"> </w:t>
      </w:r>
      <w:r>
        <w:rPr>
          <w:spacing w:val="-4"/>
          <w:sz w:val="13"/>
        </w:rPr>
        <w:t xml:space="preserve">and </w:t>
      </w:r>
      <w:proofErr w:type="spellStart"/>
      <w:r>
        <w:rPr>
          <w:spacing w:val="-4"/>
          <w:sz w:val="13"/>
        </w:rPr>
        <w:t>practising</w:t>
      </w:r>
      <w:proofErr w:type="spellEnd"/>
      <w:r>
        <w:rPr>
          <w:spacing w:val="-4"/>
          <w:sz w:val="13"/>
        </w:rPr>
        <w:t xml:space="preserve"> certificate figures circulated through Dynamics software based</w:t>
      </w:r>
      <w:r>
        <w:rPr>
          <w:spacing w:val="-5"/>
          <w:sz w:val="13"/>
        </w:rPr>
        <w:t xml:space="preserve"> </w:t>
      </w:r>
      <w:r>
        <w:rPr>
          <w:spacing w:val="-4"/>
          <w:sz w:val="13"/>
        </w:rPr>
        <w:t xml:space="preserve">on available data as </w:t>
      </w:r>
      <w:proofErr w:type="gramStart"/>
      <w:r>
        <w:rPr>
          <w:spacing w:val="-4"/>
          <w:sz w:val="13"/>
        </w:rPr>
        <w:t>at</w:t>
      </w:r>
      <w:proofErr w:type="gramEnd"/>
      <w:r>
        <w:rPr>
          <w:spacing w:val="-4"/>
          <w:sz w:val="13"/>
        </w:rPr>
        <w:t xml:space="preserve"> 30 June 2023</w:t>
      </w:r>
    </w:p>
    <w:p w14:paraId="042A345C" w14:textId="77777777" w:rsidR="00AC6F3C" w:rsidRDefault="00AC6F3C">
      <w:pPr>
        <w:rPr>
          <w:sz w:val="13"/>
        </w:rPr>
        <w:sectPr w:rsidR="00AC6F3C">
          <w:type w:val="continuous"/>
          <w:pgSz w:w="16840" w:h="11910" w:orient="landscape"/>
          <w:pgMar w:top="1920" w:right="320" w:bottom="280" w:left="300" w:header="0" w:footer="336" w:gutter="0"/>
          <w:cols w:space="720"/>
        </w:sectPr>
      </w:pPr>
    </w:p>
    <w:p w14:paraId="622750DC" w14:textId="77777777" w:rsidR="00AC6F3C" w:rsidRDefault="00AC6F3C">
      <w:pPr>
        <w:pStyle w:val="BodyText"/>
        <w:spacing w:before="5"/>
        <w:rPr>
          <w:sz w:val="2"/>
        </w:rPr>
      </w:pPr>
    </w:p>
    <w:tbl>
      <w:tblPr>
        <w:tblW w:w="0" w:type="auto"/>
        <w:tblInd w:w="118" w:type="dxa"/>
        <w:tblLayout w:type="fixed"/>
        <w:tblCellMar>
          <w:left w:w="0" w:type="dxa"/>
          <w:right w:w="0" w:type="dxa"/>
        </w:tblCellMar>
        <w:tblLook w:val="01E0" w:firstRow="1" w:lastRow="1" w:firstColumn="1" w:lastColumn="1" w:noHBand="0" w:noVBand="0"/>
      </w:tblPr>
      <w:tblGrid>
        <w:gridCol w:w="856"/>
        <w:gridCol w:w="378"/>
        <w:gridCol w:w="1862"/>
        <w:gridCol w:w="2824"/>
        <w:gridCol w:w="797"/>
        <w:gridCol w:w="822"/>
        <w:gridCol w:w="1217"/>
        <w:gridCol w:w="1838"/>
        <w:gridCol w:w="833"/>
        <w:gridCol w:w="1040"/>
        <w:gridCol w:w="527"/>
        <w:gridCol w:w="3009"/>
      </w:tblGrid>
      <w:tr w:rsidR="00AC6F3C" w14:paraId="1938A360" w14:textId="77777777">
        <w:trPr>
          <w:trHeight w:val="429"/>
        </w:trPr>
        <w:tc>
          <w:tcPr>
            <w:tcW w:w="856" w:type="dxa"/>
            <w:tcBorders>
              <w:bottom w:val="single" w:sz="8" w:space="0" w:color="000000"/>
            </w:tcBorders>
          </w:tcPr>
          <w:p w14:paraId="195604E8" w14:textId="77777777" w:rsidR="00AC6F3C" w:rsidRDefault="00570E88">
            <w:pPr>
              <w:pStyle w:val="TableParagraph"/>
              <w:spacing w:line="259" w:lineRule="auto"/>
              <w:ind w:left="71"/>
              <w:rPr>
                <w:b/>
                <w:sz w:val="15"/>
              </w:rPr>
            </w:pPr>
            <w:r>
              <w:rPr>
                <w:b/>
                <w:spacing w:val="-2"/>
                <w:sz w:val="15"/>
              </w:rPr>
              <w:t>Strategic</w:t>
            </w:r>
            <w:r>
              <w:rPr>
                <w:b/>
                <w:sz w:val="15"/>
              </w:rPr>
              <w:t xml:space="preserve"> </w:t>
            </w:r>
            <w:r>
              <w:rPr>
                <w:b/>
                <w:spacing w:val="-4"/>
                <w:sz w:val="15"/>
              </w:rPr>
              <w:t>Objective</w:t>
            </w:r>
          </w:p>
        </w:tc>
        <w:tc>
          <w:tcPr>
            <w:tcW w:w="2240" w:type="dxa"/>
            <w:gridSpan w:val="2"/>
            <w:tcBorders>
              <w:bottom w:val="single" w:sz="8" w:space="0" w:color="000000"/>
            </w:tcBorders>
          </w:tcPr>
          <w:p w14:paraId="1406EADC" w14:textId="77777777" w:rsidR="00AC6F3C" w:rsidRDefault="00AC6F3C">
            <w:pPr>
              <w:pStyle w:val="TableParagraph"/>
              <w:spacing w:before="1"/>
              <w:rPr>
                <w:sz w:val="16"/>
              </w:rPr>
            </w:pPr>
          </w:p>
          <w:p w14:paraId="686CC4B3" w14:textId="77777777" w:rsidR="00AC6F3C" w:rsidRDefault="00570E88">
            <w:pPr>
              <w:pStyle w:val="TableParagraph"/>
              <w:ind w:left="122"/>
              <w:rPr>
                <w:b/>
                <w:sz w:val="15"/>
              </w:rPr>
            </w:pPr>
            <w:r>
              <w:rPr>
                <w:b/>
                <w:spacing w:val="-2"/>
                <w:sz w:val="15"/>
              </w:rPr>
              <w:t>Initiative</w:t>
            </w:r>
          </w:p>
        </w:tc>
        <w:tc>
          <w:tcPr>
            <w:tcW w:w="2824" w:type="dxa"/>
            <w:tcBorders>
              <w:bottom w:val="single" w:sz="8" w:space="0" w:color="000000"/>
            </w:tcBorders>
          </w:tcPr>
          <w:p w14:paraId="2FC2EB82" w14:textId="77777777" w:rsidR="00AC6F3C" w:rsidRDefault="00AC6F3C">
            <w:pPr>
              <w:pStyle w:val="TableParagraph"/>
              <w:spacing w:before="1"/>
              <w:rPr>
                <w:sz w:val="16"/>
              </w:rPr>
            </w:pPr>
          </w:p>
          <w:p w14:paraId="63D1A3F4" w14:textId="77777777" w:rsidR="00AC6F3C" w:rsidRDefault="00570E88">
            <w:pPr>
              <w:pStyle w:val="TableParagraph"/>
              <w:ind w:left="64"/>
              <w:rPr>
                <w:b/>
                <w:sz w:val="15"/>
              </w:rPr>
            </w:pPr>
            <w:r>
              <w:rPr>
                <w:b/>
                <w:spacing w:val="-5"/>
                <w:sz w:val="15"/>
              </w:rPr>
              <w:t xml:space="preserve">Key </w:t>
            </w:r>
            <w:r>
              <w:rPr>
                <w:b/>
                <w:spacing w:val="-2"/>
                <w:sz w:val="15"/>
              </w:rPr>
              <w:t>Action</w:t>
            </w:r>
          </w:p>
        </w:tc>
        <w:tc>
          <w:tcPr>
            <w:tcW w:w="797" w:type="dxa"/>
            <w:tcBorders>
              <w:bottom w:val="single" w:sz="8" w:space="0" w:color="000000"/>
            </w:tcBorders>
          </w:tcPr>
          <w:p w14:paraId="7C8BBDA6" w14:textId="77777777" w:rsidR="00AC6F3C" w:rsidRDefault="00570E88">
            <w:pPr>
              <w:pStyle w:val="TableParagraph"/>
              <w:spacing w:before="21" w:line="259" w:lineRule="auto"/>
              <w:ind w:left="146" w:right="49"/>
              <w:rPr>
                <w:b/>
                <w:sz w:val="14"/>
              </w:rPr>
            </w:pPr>
            <w:r>
              <w:rPr>
                <w:b/>
                <w:spacing w:val="-2"/>
                <w:sz w:val="14"/>
              </w:rPr>
              <w:t>Strategic</w:t>
            </w:r>
            <w:r>
              <w:rPr>
                <w:b/>
                <w:spacing w:val="40"/>
                <w:sz w:val="14"/>
              </w:rPr>
              <w:t xml:space="preserve"> </w:t>
            </w:r>
            <w:r>
              <w:rPr>
                <w:b/>
                <w:spacing w:val="-4"/>
                <w:sz w:val="14"/>
              </w:rPr>
              <w:t>KPI</w:t>
            </w:r>
          </w:p>
        </w:tc>
        <w:tc>
          <w:tcPr>
            <w:tcW w:w="822" w:type="dxa"/>
            <w:tcBorders>
              <w:bottom w:val="single" w:sz="8" w:space="0" w:color="000000"/>
            </w:tcBorders>
          </w:tcPr>
          <w:p w14:paraId="17F78CBB" w14:textId="77777777" w:rsidR="00AC6F3C" w:rsidRDefault="00AC6F3C">
            <w:pPr>
              <w:pStyle w:val="TableParagraph"/>
              <w:spacing w:before="1"/>
              <w:rPr>
                <w:sz w:val="16"/>
              </w:rPr>
            </w:pPr>
          </w:p>
          <w:p w14:paraId="0EDEAC7E" w14:textId="77777777" w:rsidR="00AC6F3C" w:rsidRDefault="00570E88">
            <w:pPr>
              <w:pStyle w:val="TableParagraph"/>
              <w:ind w:left="38" w:right="147"/>
              <w:jc w:val="center"/>
              <w:rPr>
                <w:b/>
                <w:sz w:val="15"/>
              </w:rPr>
            </w:pPr>
            <w:r>
              <w:rPr>
                <w:b/>
                <w:spacing w:val="-2"/>
                <w:sz w:val="15"/>
              </w:rPr>
              <w:t>Timeline</w:t>
            </w:r>
          </w:p>
        </w:tc>
        <w:tc>
          <w:tcPr>
            <w:tcW w:w="1217" w:type="dxa"/>
            <w:tcBorders>
              <w:bottom w:val="single" w:sz="8" w:space="0" w:color="000000"/>
            </w:tcBorders>
          </w:tcPr>
          <w:p w14:paraId="0F8C06FD" w14:textId="77777777" w:rsidR="00AC6F3C" w:rsidRDefault="00AC6F3C">
            <w:pPr>
              <w:pStyle w:val="TableParagraph"/>
              <w:spacing w:before="1"/>
              <w:rPr>
                <w:sz w:val="16"/>
              </w:rPr>
            </w:pPr>
          </w:p>
          <w:p w14:paraId="09F4C7A5" w14:textId="77777777" w:rsidR="00AC6F3C" w:rsidRDefault="00570E88">
            <w:pPr>
              <w:pStyle w:val="TableParagraph"/>
              <w:ind w:left="100"/>
              <w:rPr>
                <w:b/>
                <w:sz w:val="15"/>
              </w:rPr>
            </w:pPr>
            <w:r>
              <w:rPr>
                <w:b/>
                <w:spacing w:val="-2"/>
                <w:sz w:val="15"/>
              </w:rPr>
              <w:t>Accountability</w:t>
            </w:r>
          </w:p>
        </w:tc>
        <w:tc>
          <w:tcPr>
            <w:tcW w:w="1838" w:type="dxa"/>
            <w:tcBorders>
              <w:bottom w:val="single" w:sz="8" w:space="0" w:color="000000"/>
            </w:tcBorders>
          </w:tcPr>
          <w:p w14:paraId="0E9BAD1B" w14:textId="77777777" w:rsidR="00AC6F3C" w:rsidRDefault="00AC6F3C">
            <w:pPr>
              <w:pStyle w:val="TableParagraph"/>
              <w:spacing w:before="1"/>
              <w:rPr>
                <w:sz w:val="16"/>
              </w:rPr>
            </w:pPr>
          </w:p>
          <w:p w14:paraId="054CA613" w14:textId="77777777" w:rsidR="00AC6F3C" w:rsidRDefault="00570E88">
            <w:pPr>
              <w:pStyle w:val="TableParagraph"/>
              <w:ind w:left="102"/>
              <w:rPr>
                <w:b/>
                <w:sz w:val="15"/>
              </w:rPr>
            </w:pPr>
            <w:r>
              <w:rPr>
                <w:b/>
                <w:spacing w:val="-4"/>
                <w:sz w:val="15"/>
              </w:rPr>
              <w:t>Performance</w:t>
            </w:r>
            <w:r>
              <w:rPr>
                <w:b/>
                <w:spacing w:val="9"/>
                <w:sz w:val="15"/>
              </w:rPr>
              <w:t xml:space="preserve"> </w:t>
            </w:r>
            <w:r>
              <w:rPr>
                <w:b/>
                <w:spacing w:val="-2"/>
                <w:sz w:val="15"/>
              </w:rPr>
              <w:t>target/KPI</w:t>
            </w:r>
          </w:p>
        </w:tc>
        <w:tc>
          <w:tcPr>
            <w:tcW w:w="833" w:type="dxa"/>
            <w:tcBorders>
              <w:bottom w:val="single" w:sz="8" w:space="0" w:color="000000"/>
            </w:tcBorders>
          </w:tcPr>
          <w:p w14:paraId="688BE265" w14:textId="77777777" w:rsidR="00AC6F3C" w:rsidRDefault="00570E88">
            <w:pPr>
              <w:pStyle w:val="TableParagraph"/>
              <w:spacing w:line="259" w:lineRule="auto"/>
              <w:ind w:left="64" w:right="184"/>
              <w:rPr>
                <w:b/>
                <w:sz w:val="15"/>
              </w:rPr>
            </w:pPr>
            <w:r>
              <w:rPr>
                <w:b/>
                <w:spacing w:val="-4"/>
                <w:sz w:val="15"/>
              </w:rPr>
              <w:t>Average</w:t>
            </w:r>
            <w:r>
              <w:rPr>
                <w:b/>
                <w:sz w:val="15"/>
              </w:rPr>
              <w:t xml:space="preserve"> </w:t>
            </w:r>
            <w:r>
              <w:rPr>
                <w:b/>
                <w:spacing w:val="-2"/>
                <w:sz w:val="15"/>
              </w:rPr>
              <w:t>Status</w:t>
            </w:r>
          </w:p>
        </w:tc>
        <w:tc>
          <w:tcPr>
            <w:tcW w:w="1040" w:type="dxa"/>
            <w:tcBorders>
              <w:bottom w:val="single" w:sz="8" w:space="0" w:color="000000"/>
            </w:tcBorders>
          </w:tcPr>
          <w:p w14:paraId="59791F12" w14:textId="77777777" w:rsidR="00AC6F3C" w:rsidRDefault="00570E88">
            <w:pPr>
              <w:pStyle w:val="TableParagraph"/>
              <w:spacing w:line="259" w:lineRule="auto"/>
              <w:ind w:left="195" w:right="260"/>
              <w:rPr>
                <w:b/>
                <w:sz w:val="15"/>
              </w:rPr>
            </w:pPr>
            <w:r>
              <w:rPr>
                <w:b/>
                <w:spacing w:val="-4"/>
                <w:sz w:val="15"/>
              </w:rPr>
              <w:t>Average</w:t>
            </w:r>
            <w:r>
              <w:rPr>
                <w:b/>
                <w:sz w:val="15"/>
              </w:rPr>
              <w:t xml:space="preserve"> </w:t>
            </w:r>
            <w:r>
              <w:rPr>
                <w:b/>
                <w:spacing w:val="-2"/>
                <w:sz w:val="15"/>
              </w:rPr>
              <w:t>status</w:t>
            </w:r>
          </w:p>
        </w:tc>
        <w:tc>
          <w:tcPr>
            <w:tcW w:w="3536" w:type="dxa"/>
            <w:gridSpan w:val="2"/>
            <w:tcBorders>
              <w:bottom w:val="single" w:sz="8" w:space="0" w:color="000000"/>
            </w:tcBorders>
          </w:tcPr>
          <w:p w14:paraId="16A9E256" w14:textId="77777777" w:rsidR="00AC6F3C" w:rsidRDefault="00AC6F3C">
            <w:pPr>
              <w:pStyle w:val="TableParagraph"/>
              <w:spacing w:before="1"/>
              <w:rPr>
                <w:sz w:val="16"/>
              </w:rPr>
            </w:pPr>
          </w:p>
          <w:p w14:paraId="0E5CCD32" w14:textId="77777777" w:rsidR="00AC6F3C" w:rsidRDefault="00570E88">
            <w:pPr>
              <w:pStyle w:val="TableParagraph"/>
              <w:ind w:left="119"/>
              <w:rPr>
                <w:b/>
                <w:sz w:val="15"/>
              </w:rPr>
            </w:pPr>
            <w:r>
              <w:rPr>
                <w:b/>
                <w:spacing w:val="-4"/>
                <w:sz w:val="15"/>
              </w:rPr>
              <w:t>2022-23 Report</w:t>
            </w:r>
          </w:p>
        </w:tc>
      </w:tr>
      <w:tr w:rsidR="00AC6F3C" w14:paraId="34FB7C3F" w14:textId="77777777">
        <w:trPr>
          <w:trHeight w:val="223"/>
        </w:trPr>
        <w:tc>
          <w:tcPr>
            <w:tcW w:w="16003" w:type="dxa"/>
            <w:gridSpan w:val="12"/>
          </w:tcPr>
          <w:p w14:paraId="2CE053CC" w14:textId="77777777" w:rsidR="00AC6F3C" w:rsidRDefault="00570E88">
            <w:pPr>
              <w:pStyle w:val="TableParagraph"/>
              <w:tabs>
                <w:tab w:val="left" w:pos="992"/>
                <w:tab w:val="left" w:pos="3174"/>
                <w:tab w:val="left" w:pos="6080"/>
                <w:tab w:val="left" w:pos="6789"/>
                <w:tab w:val="left" w:pos="7653"/>
                <w:tab w:val="left" w:pos="8872"/>
                <w:tab w:val="left" w:pos="11636"/>
                <w:tab w:val="left" w:pos="12600"/>
              </w:tabs>
              <w:spacing w:before="41" w:line="162" w:lineRule="exact"/>
              <w:ind w:left="85"/>
              <w:rPr>
                <w:sz w:val="15"/>
              </w:rPr>
            </w:pPr>
            <w:r>
              <w:rPr>
                <w:b/>
                <w:spacing w:val="-4"/>
                <w:sz w:val="15"/>
              </w:rPr>
              <w:t>Grow</w:t>
            </w:r>
            <w:r>
              <w:rPr>
                <w:b/>
                <w:sz w:val="15"/>
              </w:rPr>
              <w:tab/>
            </w:r>
            <w:proofErr w:type="gramStart"/>
            <w:r>
              <w:rPr>
                <w:spacing w:val="-4"/>
                <w:sz w:val="15"/>
              </w:rPr>
              <w:t>17</w:t>
            </w:r>
            <w:proofErr w:type="gramEnd"/>
            <w:r>
              <w:rPr>
                <w:spacing w:val="-4"/>
                <w:sz w:val="15"/>
              </w:rPr>
              <w:t>.</w:t>
            </w:r>
            <w:r>
              <w:rPr>
                <w:spacing w:val="44"/>
                <w:sz w:val="15"/>
              </w:rPr>
              <w:t xml:space="preserve"> </w:t>
            </w:r>
            <w:r>
              <w:rPr>
                <w:spacing w:val="-4"/>
                <w:sz w:val="15"/>
              </w:rPr>
              <w:t>Implement</w:t>
            </w:r>
            <w:r>
              <w:rPr>
                <w:spacing w:val="-6"/>
                <w:sz w:val="15"/>
              </w:rPr>
              <w:t xml:space="preserve"> </w:t>
            </w:r>
            <w:r>
              <w:rPr>
                <w:spacing w:val="-4"/>
                <w:sz w:val="15"/>
              </w:rPr>
              <w:t>Law</w:t>
            </w:r>
            <w:r>
              <w:rPr>
                <w:spacing w:val="-7"/>
                <w:sz w:val="15"/>
              </w:rPr>
              <w:t xml:space="preserve"> </w:t>
            </w:r>
            <w:r>
              <w:rPr>
                <w:spacing w:val="-4"/>
                <w:sz w:val="15"/>
              </w:rPr>
              <w:t>Society</w:t>
            </w:r>
            <w:r>
              <w:rPr>
                <w:sz w:val="15"/>
              </w:rPr>
              <w:tab/>
            </w:r>
            <w:r>
              <w:rPr>
                <w:spacing w:val="-6"/>
                <w:sz w:val="15"/>
              </w:rPr>
              <w:t>17.1.1</w:t>
            </w:r>
            <w:r>
              <w:rPr>
                <w:spacing w:val="39"/>
                <w:sz w:val="15"/>
              </w:rPr>
              <w:t xml:space="preserve"> </w:t>
            </w:r>
            <w:r>
              <w:rPr>
                <w:spacing w:val="-6"/>
                <w:sz w:val="15"/>
              </w:rPr>
              <w:t>Implement</w:t>
            </w:r>
            <w:r>
              <w:rPr>
                <w:spacing w:val="-4"/>
                <w:sz w:val="15"/>
              </w:rPr>
              <w:t xml:space="preserve"> </w:t>
            </w:r>
            <w:r>
              <w:rPr>
                <w:spacing w:val="-6"/>
                <w:sz w:val="15"/>
              </w:rPr>
              <w:t>Law</w:t>
            </w:r>
            <w:r>
              <w:rPr>
                <w:spacing w:val="-4"/>
                <w:sz w:val="15"/>
              </w:rPr>
              <w:t xml:space="preserve"> </w:t>
            </w:r>
            <w:r>
              <w:rPr>
                <w:spacing w:val="-6"/>
                <w:sz w:val="15"/>
              </w:rPr>
              <w:t>Society</w:t>
            </w:r>
            <w:r>
              <w:rPr>
                <w:spacing w:val="-4"/>
                <w:sz w:val="15"/>
              </w:rPr>
              <w:t xml:space="preserve"> </w:t>
            </w:r>
            <w:r>
              <w:rPr>
                <w:spacing w:val="-6"/>
                <w:sz w:val="15"/>
              </w:rPr>
              <w:t>House</w:t>
            </w:r>
            <w:r>
              <w:rPr>
                <w:sz w:val="15"/>
              </w:rPr>
              <w:tab/>
            </w:r>
            <w:r>
              <w:rPr>
                <w:b/>
                <w:spacing w:val="-4"/>
                <w:sz w:val="15"/>
              </w:rPr>
              <w:t>KPI5</w:t>
            </w:r>
            <w:r>
              <w:rPr>
                <w:b/>
                <w:sz w:val="15"/>
              </w:rPr>
              <w:tab/>
            </w:r>
            <w:r>
              <w:rPr>
                <w:spacing w:val="-4"/>
                <w:sz w:val="15"/>
              </w:rPr>
              <w:t>30-Jun-</w:t>
            </w:r>
            <w:r>
              <w:rPr>
                <w:spacing w:val="-5"/>
                <w:sz w:val="15"/>
              </w:rPr>
              <w:t>23</w:t>
            </w:r>
            <w:r>
              <w:rPr>
                <w:sz w:val="15"/>
              </w:rPr>
              <w:tab/>
            </w:r>
            <w:r>
              <w:rPr>
                <w:spacing w:val="-2"/>
                <w:sz w:val="15"/>
              </w:rPr>
              <w:t>Finance</w:t>
            </w:r>
            <w:r>
              <w:rPr>
                <w:sz w:val="15"/>
              </w:rPr>
              <w:tab/>
            </w:r>
            <w:r>
              <w:rPr>
                <w:spacing w:val="-2"/>
                <w:sz w:val="15"/>
              </w:rPr>
              <w:t>17.1.1</w:t>
            </w:r>
            <w:r>
              <w:rPr>
                <w:spacing w:val="9"/>
                <w:sz w:val="15"/>
              </w:rPr>
              <w:t xml:space="preserve"> </w:t>
            </w:r>
            <w:r>
              <w:rPr>
                <w:spacing w:val="-2"/>
                <w:sz w:val="15"/>
              </w:rPr>
              <w:t>Building</w:t>
            </w:r>
            <w:r>
              <w:rPr>
                <w:spacing w:val="-8"/>
                <w:sz w:val="15"/>
              </w:rPr>
              <w:t xml:space="preserve"> </w:t>
            </w:r>
            <w:r>
              <w:rPr>
                <w:spacing w:val="-2"/>
                <w:sz w:val="15"/>
              </w:rPr>
              <w:t>contractor</w:t>
            </w:r>
            <w:r>
              <w:rPr>
                <w:spacing w:val="67"/>
                <w:w w:val="150"/>
                <w:sz w:val="15"/>
              </w:rPr>
              <w:t xml:space="preserve"> </w:t>
            </w:r>
            <w:r>
              <w:rPr>
                <w:b/>
                <w:spacing w:val="-2"/>
                <w:sz w:val="15"/>
              </w:rPr>
              <w:t>Green</w:t>
            </w:r>
            <w:r>
              <w:rPr>
                <w:b/>
                <w:sz w:val="15"/>
              </w:rPr>
              <w:tab/>
            </w:r>
            <w:r>
              <w:rPr>
                <w:b/>
                <w:spacing w:val="-2"/>
                <w:position w:val="1"/>
                <w:sz w:val="15"/>
              </w:rPr>
              <w:t>Achieved</w:t>
            </w:r>
            <w:r>
              <w:rPr>
                <w:b/>
                <w:position w:val="1"/>
                <w:sz w:val="15"/>
              </w:rPr>
              <w:tab/>
            </w:r>
            <w:r>
              <w:rPr>
                <w:spacing w:val="-6"/>
                <w:position w:val="1"/>
                <w:sz w:val="15"/>
              </w:rPr>
              <w:t>17.1.1</w:t>
            </w:r>
            <w:r>
              <w:rPr>
                <w:spacing w:val="40"/>
                <w:position w:val="1"/>
                <w:sz w:val="15"/>
              </w:rPr>
              <w:t xml:space="preserve"> </w:t>
            </w:r>
            <w:r>
              <w:rPr>
                <w:spacing w:val="-6"/>
                <w:position w:val="1"/>
                <w:sz w:val="15"/>
              </w:rPr>
              <w:t>Achieved</w:t>
            </w:r>
            <w:r>
              <w:rPr>
                <w:spacing w:val="-3"/>
                <w:position w:val="1"/>
                <w:sz w:val="15"/>
              </w:rPr>
              <w:t xml:space="preserve"> </w:t>
            </w:r>
            <w:r>
              <w:rPr>
                <w:spacing w:val="-6"/>
                <w:position w:val="1"/>
                <w:sz w:val="15"/>
              </w:rPr>
              <w:t>–</w:t>
            </w:r>
            <w:r>
              <w:rPr>
                <w:spacing w:val="-3"/>
                <w:position w:val="1"/>
                <w:sz w:val="15"/>
              </w:rPr>
              <w:t xml:space="preserve"> </w:t>
            </w:r>
            <w:r>
              <w:rPr>
                <w:spacing w:val="-6"/>
                <w:position w:val="1"/>
                <w:sz w:val="15"/>
              </w:rPr>
              <w:t>Law</w:t>
            </w:r>
            <w:r>
              <w:rPr>
                <w:spacing w:val="-3"/>
                <w:position w:val="1"/>
                <w:sz w:val="15"/>
              </w:rPr>
              <w:t xml:space="preserve"> </w:t>
            </w:r>
            <w:r>
              <w:rPr>
                <w:spacing w:val="-6"/>
                <w:position w:val="1"/>
                <w:sz w:val="15"/>
              </w:rPr>
              <w:t>Society</w:t>
            </w:r>
            <w:r>
              <w:rPr>
                <w:spacing w:val="-3"/>
                <w:position w:val="1"/>
                <w:sz w:val="15"/>
              </w:rPr>
              <w:t xml:space="preserve"> </w:t>
            </w:r>
            <w:r>
              <w:rPr>
                <w:spacing w:val="-6"/>
                <w:position w:val="1"/>
                <w:sz w:val="15"/>
              </w:rPr>
              <w:t>House</w:t>
            </w:r>
            <w:r>
              <w:rPr>
                <w:spacing w:val="-3"/>
                <w:position w:val="1"/>
                <w:sz w:val="15"/>
              </w:rPr>
              <w:t xml:space="preserve"> </w:t>
            </w:r>
            <w:r>
              <w:rPr>
                <w:spacing w:val="-6"/>
                <w:position w:val="1"/>
                <w:sz w:val="15"/>
              </w:rPr>
              <w:t>refurbishment</w:t>
            </w:r>
          </w:p>
        </w:tc>
      </w:tr>
      <w:tr w:rsidR="00AC6F3C" w14:paraId="5A175E8D" w14:textId="77777777">
        <w:trPr>
          <w:trHeight w:val="183"/>
        </w:trPr>
        <w:tc>
          <w:tcPr>
            <w:tcW w:w="856" w:type="dxa"/>
          </w:tcPr>
          <w:p w14:paraId="2EDA4D23" w14:textId="77777777" w:rsidR="00AC6F3C" w:rsidRDefault="00AC6F3C">
            <w:pPr>
              <w:pStyle w:val="TableParagraph"/>
              <w:rPr>
                <w:rFonts w:ascii="Times New Roman"/>
                <w:sz w:val="10"/>
              </w:rPr>
            </w:pPr>
          </w:p>
        </w:tc>
        <w:tc>
          <w:tcPr>
            <w:tcW w:w="378" w:type="dxa"/>
          </w:tcPr>
          <w:p w14:paraId="07CDFFCD" w14:textId="77777777" w:rsidR="00AC6F3C" w:rsidRDefault="00AC6F3C">
            <w:pPr>
              <w:pStyle w:val="TableParagraph"/>
              <w:rPr>
                <w:rFonts w:ascii="Times New Roman"/>
                <w:sz w:val="10"/>
              </w:rPr>
            </w:pPr>
          </w:p>
        </w:tc>
        <w:tc>
          <w:tcPr>
            <w:tcW w:w="1862" w:type="dxa"/>
          </w:tcPr>
          <w:p w14:paraId="04DB04E9" w14:textId="77777777" w:rsidR="00AC6F3C" w:rsidRDefault="00570E88">
            <w:pPr>
              <w:pStyle w:val="TableParagraph"/>
              <w:spacing w:line="156" w:lineRule="exact"/>
              <w:ind w:left="41"/>
              <w:rPr>
                <w:sz w:val="15"/>
              </w:rPr>
            </w:pPr>
            <w:r>
              <w:rPr>
                <w:spacing w:val="-5"/>
                <w:sz w:val="15"/>
              </w:rPr>
              <w:t>House</w:t>
            </w:r>
            <w:r>
              <w:rPr>
                <w:spacing w:val="-1"/>
                <w:sz w:val="15"/>
              </w:rPr>
              <w:t xml:space="preserve"> </w:t>
            </w:r>
            <w:r>
              <w:rPr>
                <w:spacing w:val="-2"/>
                <w:sz w:val="15"/>
              </w:rPr>
              <w:t>project</w:t>
            </w:r>
          </w:p>
        </w:tc>
        <w:tc>
          <w:tcPr>
            <w:tcW w:w="2824" w:type="dxa"/>
          </w:tcPr>
          <w:p w14:paraId="61582347" w14:textId="77777777" w:rsidR="00AC6F3C" w:rsidRDefault="00570E88">
            <w:pPr>
              <w:pStyle w:val="TableParagraph"/>
              <w:spacing w:line="156" w:lineRule="exact"/>
              <w:ind w:left="504"/>
              <w:rPr>
                <w:sz w:val="15"/>
              </w:rPr>
            </w:pPr>
            <w:r>
              <w:rPr>
                <w:spacing w:val="-5"/>
                <w:sz w:val="15"/>
              </w:rPr>
              <w:t>refurbishment</w:t>
            </w:r>
            <w:r>
              <w:rPr>
                <w:spacing w:val="15"/>
                <w:sz w:val="15"/>
              </w:rPr>
              <w:t xml:space="preserve"> </w:t>
            </w:r>
            <w:r>
              <w:rPr>
                <w:spacing w:val="-2"/>
                <w:sz w:val="15"/>
              </w:rPr>
              <w:t>project</w:t>
            </w:r>
          </w:p>
        </w:tc>
        <w:tc>
          <w:tcPr>
            <w:tcW w:w="797" w:type="dxa"/>
          </w:tcPr>
          <w:p w14:paraId="0D4E4352" w14:textId="77777777" w:rsidR="00AC6F3C" w:rsidRDefault="00AC6F3C">
            <w:pPr>
              <w:pStyle w:val="TableParagraph"/>
              <w:rPr>
                <w:rFonts w:ascii="Times New Roman"/>
                <w:sz w:val="10"/>
              </w:rPr>
            </w:pPr>
          </w:p>
        </w:tc>
        <w:tc>
          <w:tcPr>
            <w:tcW w:w="822" w:type="dxa"/>
          </w:tcPr>
          <w:p w14:paraId="0E79632E" w14:textId="77777777" w:rsidR="00AC6F3C" w:rsidRDefault="00AC6F3C">
            <w:pPr>
              <w:pStyle w:val="TableParagraph"/>
              <w:rPr>
                <w:rFonts w:ascii="Times New Roman"/>
                <w:sz w:val="10"/>
              </w:rPr>
            </w:pPr>
          </w:p>
        </w:tc>
        <w:tc>
          <w:tcPr>
            <w:tcW w:w="1217" w:type="dxa"/>
          </w:tcPr>
          <w:p w14:paraId="61DE8CA3" w14:textId="77777777" w:rsidR="00AC6F3C" w:rsidRDefault="00AC6F3C">
            <w:pPr>
              <w:pStyle w:val="TableParagraph"/>
              <w:rPr>
                <w:rFonts w:ascii="Times New Roman"/>
                <w:sz w:val="10"/>
              </w:rPr>
            </w:pPr>
          </w:p>
        </w:tc>
        <w:tc>
          <w:tcPr>
            <w:tcW w:w="1838" w:type="dxa"/>
          </w:tcPr>
          <w:p w14:paraId="31C63A82" w14:textId="77777777" w:rsidR="00AC6F3C" w:rsidRDefault="00570E88">
            <w:pPr>
              <w:pStyle w:val="TableParagraph"/>
              <w:spacing w:line="156" w:lineRule="exact"/>
              <w:ind w:left="541"/>
              <w:rPr>
                <w:sz w:val="15"/>
              </w:rPr>
            </w:pPr>
            <w:r>
              <w:rPr>
                <w:spacing w:val="-5"/>
                <w:sz w:val="15"/>
              </w:rPr>
              <w:t>appointed</w:t>
            </w:r>
            <w:r>
              <w:rPr>
                <w:spacing w:val="6"/>
                <w:sz w:val="15"/>
              </w:rPr>
              <w:t xml:space="preserve"> </w:t>
            </w:r>
            <w:r>
              <w:rPr>
                <w:spacing w:val="-5"/>
                <w:sz w:val="15"/>
              </w:rPr>
              <w:t>and</w:t>
            </w:r>
          </w:p>
        </w:tc>
        <w:tc>
          <w:tcPr>
            <w:tcW w:w="833" w:type="dxa"/>
          </w:tcPr>
          <w:p w14:paraId="1CBF5948" w14:textId="77777777" w:rsidR="00AC6F3C" w:rsidRDefault="00AC6F3C">
            <w:pPr>
              <w:pStyle w:val="TableParagraph"/>
              <w:rPr>
                <w:rFonts w:ascii="Times New Roman"/>
                <w:sz w:val="10"/>
              </w:rPr>
            </w:pPr>
          </w:p>
        </w:tc>
        <w:tc>
          <w:tcPr>
            <w:tcW w:w="1040" w:type="dxa"/>
          </w:tcPr>
          <w:p w14:paraId="73D0E0A4" w14:textId="77777777" w:rsidR="00AC6F3C" w:rsidRDefault="00AC6F3C">
            <w:pPr>
              <w:pStyle w:val="TableParagraph"/>
              <w:rPr>
                <w:rFonts w:ascii="Times New Roman"/>
                <w:sz w:val="10"/>
              </w:rPr>
            </w:pPr>
          </w:p>
        </w:tc>
        <w:tc>
          <w:tcPr>
            <w:tcW w:w="527" w:type="dxa"/>
          </w:tcPr>
          <w:p w14:paraId="2F46EA57" w14:textId="77777777" w:rsidR="00AC6F3C" w:rsidRDefault="00AC6F3C">
            <w:pPr>
              <w:pStyle w:val="TableParagraph"/>
              <w:rPr>
                <w:rFonts w:ascii="Times New Roman"/>
                <w:sz w:val="10"/>
              </w:rPr>
            </w:pPr>
          </w:p>
        </w:tc>
        <w:tc>
          <w:tcPr>
            <w:tcW w:w="3009" w:type="dxa"/>
          </w:tcPr>
          <w:p w14:paraId="4E98E1B3" w14:textId="77777777" w:rsidR="00AC6F3C" w:rsidRDefault="00570E88">
            <w:pPr>
              <w:pStyle w:val="TableParagraph"/>
              <w:spacing w:line="157" w:lineRule="exact"/>
              <w:ind w:left="31"/>
              <w:rPr>
                <w:sz w:val="15"/>
              </w:rPr>
            </w:pPr>
            <w:r>
              <w:rPr>
                <w:spacing w:val="-4"/>
                <w:sz w:val="15"/>
              </w:rPr>
              <w:t>project</w:t>
            </w:r>
            <w:r>
              <w:rPr>
                <w:spacing w:val="-1"/>
                <w:sz w:val="15"/>
              </w:rPr>
              <w:t xml:space="preserve"> </w:t>
            </w:r>
            <w:proofErr w:type="gramStart"/>
            <w:r>
              <w:rPr>
                <w:spacing w:val="-4"/>
                <w:sz w:val="15"/>
              </w:rPr>
              <w:t>implemented,</w:t>
            </w:r>
            <w:proofErr w:type="gramEnd"/>
            <w:r>
              <w:rPr>
                <w:sz w:val="15"/>
              </w:rPr>
              <w:t xml:space="preserve"> </w:t>
            </w:r>
            <w:r>
              <w:rPr>
                <w:spacing w:val="-4"/>
                <w:sz w:val="15"/>
              </w:rPr>
              <w:t>contractor</w:t>
            </w:r>
            <w:r>
              <w:rPr>
                <w:sz w:val="15"/>
              </w:rPr>
              <w:t xml:space="preserve"> </w:t>
            </w:r>
            <w:r>
              <w:rPr>
                <w:spacing w:val="-4"/>
                <w:sz w:val="15"/>
              </w:rPr>
              <w:t>appointed</w:t>
            </w:r>
          </w:p>
        </w:tc>
      </w:tr>
      <w:tr w:rsidR="00AC6F3C" w14:paraId="1E6F7108" w14:textId="77777777">
        <w:trPr>
          <w:trHeight w:val="179"/>
        </w:trPr>
        <w:tc>
          <w:tcPr>
            <w:tcW w:w="856" w:type="dxa"/>
          </w:tcPr>
          <w:p w14:paraId="4D932ED9" w14:textId="77777777" w:rsidR="00AC6F3C" w:rsidRDefault="00AC6F3C">
            <w:pPr>
              <w:pStyle w:val="TableParagraph"/>
              <w:rPr>
                <w:rFonts w:ascii="Times New Roman"/>
                <w:sz w:val="12"/>
              </w:rPr>
            </w:pPr>
          </w:p>
        </w:tc>
        <w:tc>
          <w:tcPr>
            <w:tcW w:w="378" w:type="dxa"/>
          </w:tcPr>
          <w:p w14:paraId="22791CB1" w14:textId="77777777" w:rsidR="00AC6F3C" w:rsidRDefault="00AC6F3C">
            <w:pPr>
              <w:pStyle w:val="TableParagraph"/>
              <w:rPr>
                <w:rFonts w:ascii="Times New Roman"/>
                <w:sz w:val="12"/>
              </w:rPr>
            </w:pPr>
          </w:p>
        </w:tc>
        <w:tc>
          <w:tcPr>
            <w:tcW w:w="1862" w:type="dxa"/>
          </w:tcPr>
          <w:p w14:paraId="1B4E6E52" w14:textId="77777777" w:rsidR="00AC6F3C" w:rsidRDefault="00AC6F3C">
            <w:pPr>
              <w:pStyle w:val="TableParagraph"/>
              <w:rPr>
                <w:rFonts w:ascii="Times New Roman"/>
                <w:sz w:val="12"/>
              </w:rPr>
            </w:pPr>
          </w:p>
        </w:tc>
        <w:tc>
          <w:tcPr>
            <w:tcW w:w="2824" w:type="dxa"/>
          </w:tcPr>
          <w:p w14:paraId="2AEB0639" w14:textId="77777777" w:rsidR="00AC6F3C" w:rsidRDefault="00AC6F3C">
            <w:pPr>
              <w:pStyle w:val="TableParagraph"/>
              <w:rPr>
                <w:rFonts w:ascii="Times New Roman"/>
                <w:sz w:val="12"/>
              </w:rPr>
            </w:pPr>
          </w:p>
        </w:tc>
        <w:tc>
          <w:tcPr>
            <w:tcW w:w="797" w:type="dxa"/>
          </w:tcPr>
          <w:p w14:paraId="155A88A9" w14:textId="77777777" w:rsidR="00AC6F3C" w:rsidRDefault="00570E88">
            <w:pPr>
              <w:pStyle w:val="TableParagraph"/>
              <w:spacing w:before="4" w:line="156" w:lineRule="exact"/>
              <w:ind w:left="160"/>
              <w:rPr>
                <w:b/>
                <w:sz w:val="15"/>
              </w:rPr>
            </w:pPr>
            <w:r>
              <w:rPr>
                <w:b/>
                <w:spacing w:val="-4"/>
                <w:sz w:val="15"/>
              </w:rPr>
              <w:t>KPI6</w:t>
            </w:r>
          </w:p>
        </w:tc>
        <w:tc>
          <w:tcPr>
            <w:tcW w:w="822" w:type="dxa"/>
          </w:tcPr>
          <w:p w14:paraId="4D39679A" w14:textId="77777777" w:rsidR="00AC6F3C" w:rsidRDefault="00AC6F3C">
            <w:pPr>
              <w:pStyle w:val="TableParagraph"/>
              <w:rPr>
                <w:rFonts w:ascii="Times New Roman"/>
                <w:sz w:val="12"/>
              </w:rPr>
            </w:pPr>
          </w:p>
        </w:tc>
        <w:tc>
          <w:tcPr>
            <w:tcW w:w="1217" w:type="dxa"/>
          </w:tcPr>
          <w:p w14:paraId="2E485F3B" w14:textId="77777777" w:rsidR="00AC6F3C" w:rsidRDefault="00AC6F3C">
            <w:pPr>
              <w:pStyle w:val="TableParagraph"/>
              <w:rPr>
                <w:rFonts w:ascii="Times New Roman"/>
                <w:sz w:val="12"/>
              </w:rPr>
            </w:pPr>
          </w:p>
        </w:tc>
        <w:tc>
          <w:tcPr>
            <w:tcW w:w="1838" w:type="dxa"/>
          </w:tcPr>
          <w:p w14:paraId="297A1D92" w14:textId="77777777" w:rsidR="00AC6F3C" w:rsidRDefault="00570E88">
            <w:pPr>
              <w:pStyle w:val="TableParagraph"/>
              <w:spacing w:before="4" w:line="156" w:lineRule="exact"/>
              <w:ind w:left="541"/>
              <w:rPr>
                <w:sz w:val="15"/>
              </w:rPr>
            </w:pPr>
            <w:r>
              <w:rPr>
                <w:spacing w:val="-4"/>
                <w:sz w:val="15"/>
              </w:rPr>
              <w:t>building</w:t>
            </w:r>
            <w:r>
              <w:rPr>
                <w:spacing w:val="-1"/>
                <w:sz w:val="15"/>
              </w:rPr>
              <w:t xml:space="preserve"> </w:t>
            </w:r>
            <w:r>
              <w:rPr>
                <w:spacing w:val="-2"/>
                <w:sz w:val="15"/>
              </w:rPr>
              <w:t>works</w:t>
            </w:r>
          </w:p>
        </w:tc>
        <w:tc>
          <w:tcPr>
            <w:tcW w:w="833" w:type="dxa"/>
          </w:tcPr>
          <w:p w14:paraId="4CCD3A49" w14:textId="77777777" w:rsidR="00AC6F3C" w:rsidRDefault="00AC6F3C">
            <w:pPr>
              <w:pStyle w:val="TableParagraph"/>
              <w:rPr>
                <w:rFonts w:ascii="Times New Roman"/>
                <w:sz w:val="12"/>
              </w:rPr>
            </w:pPr>
          </w:p>
        </w:tc>
        <w:tc>
          <w:tcPr>
            <w:tcW w:w="1040" w:type="dxa"/>
          </w:tcPr>
          <w:p w14:paraId="7841F0F6" w14:textId="77777777" w:rsidR="00AC6F3C" w:rsidRDefault="00AC6F3C">
            <w:pPr>
              <w:pStyle w:val="TableParagraph"/>
              <w:rPr>
                <w:rFonts w:ascii="Times New Roman"/>
                <w:sz w:val="12"/>
              </w:rPr>
            </w:pPr>
          </w:p>
        </w:tc>
        <w:tc>
          <w:tcPr>
            <w:tcW w:w="527" w:type="dxa"/>
          </w:tcPr>
          <w:p w14:paraId="14C60388" w14:textId="77777777" w:rsidR="00AC6F3C" w:rsidRDefault="00AC6F3C">
            <w:pPr>
              <w:pStyle w:val="TableParagraph"/>
              <w:rPr>
                <w:rFonts w:ascii="Times New Roman"/>
                <w:sz w:val="12"/>
              </w:rPr>
            </w:pPr>
          </w:p>
        </w:tc>
        <w:tc>
          <w:tcPr>
            <w:tcW w:w="3009" w:type="dxa"/>
          </w:tcPr>
          <w:p w14:paraId="0B823D1E" w14:textId="77777777" w:rsidR="00AC6F3C" w:rsidRDefault="00570E88">
            <w:pPr>
              <w:pStyle w:val="TableParagraph"/>
              <w:spacing w:line="160" w:lineRule="exact"/>
              <w:ind w:left="31"/>
              <w:rPr>
                <w:sz w:val="15"/>
              </w:rPr>
            </w:pPr>
            <w:r>
              <w:rPr>
                <w:spacing w:val="-4"/>
                <w:sz w:val="15"/>
              </w:rPr>
              <w:t>and building works commenced. Council</w:t>
            </w:r>
          </w:p>
        </w:tc>
      </w:tr>
      <w:tr w:rsidR="00AC6F3C" w14:paraId="55D38465" w14:textId="77777777">
        <w:trPr>
          <w:trHeight w:val="180"/>
        </w:trPr>
        <w:tc>
          <w:tcPr>
            <w:tcW w:w="856" w:type="dxa"/>
          </w:tcPr>
          <w:p w14:paraId="344FFE2C" w14:textId="77777777" w:rsidR="00AC6F3C" w:rsidRDefault="00AC6F3C">
            <w:pPr>
              <w:pStyle w:val="TableParagraph"/>
              <w:rPr>
                <w:rFonts w:ascii="Times New Roman"/>
                <w:sz w:val="12"/>
              </w:rPr>
            </w:pPr>
          </w:p>
        </w:tc>
        <w:tc>
          <w:tcPr>
            <w:tcW w:w="378" w:type="dxa"/>
          </w:tcPr>
          <w:p w14:paraId="7BD6B5A6" w14:textId="77777777" w:rsidR="00AC6F3C" w:rsidRDefault="00AC6F3C">
            <w:pPr>
              <w:pStyle w:val="TableParagraph"/>
              <w:rPr>
                <w:rFonts w:ascii="Times New Roman"/>
                <w:sz w:val="12"/>
              </w:rPr>
            </w:pPr>
          </w:p>
        </w:tc>
        <w:tc>
          <w:tcPr>
            <w:tcW w:w="1862" w:type="dxa"/>
          </w:tcPr>
          <w:p w14:paraId="77038F12" w14:textId="77777777" w:rsidR="00AC6F3C" w:rsidRDefault="00AC6F3C">
            <w:pPr>
              <w:pStyle w:val="TableParagraph"/>
              <w:rPr>
                <w:rFonts w:ascii="Times New Roman"/>
                <w:sz w:val="12"/>
              </w:rPr>
            </w:pPr>
          </w:p>
        </w:tc>
        <w:tc>
          <w:tcPr>
            <w:tcW w:w="2824" w:type="dxa"/>
          </w:tcPr>
          <w:p w14:paraId="5E94A9C9" w14:textId="77777777" w:rsidR="00AC6F3C" w:rsidRDefault="00AC6F3C">
            <w:pPr>
              <w:pStyle w:val="TableParagraph"/>
              <w:rPr>
                <w:rFonts w:ascii="Times New Roman"/>
                <w:sz w:val="12"/>
              </w:rPr>
            </w:pPr>
          </w:p>
        </w:tc>
        <w:tc>
          <w:tcPr>
            <w:tcW w:w="797" w:type="dxa"/>
          </w:tcPr>
          <w:p w14:paraId="084274CA" w14:textId="77777777" w:rsidR="00AC6F3C" w:rsidRDefault="00AC6F3C">
            <w:pPr>
              <w:pStyle w:val="TableParagraph"/>
              <w:rPr>
                <w:rFonts w:ascii="Times New Roman"/>
                <w:sz w:val="12"/>
              </w:rPr>
            </w:pPr>
          </w:p>
        </w:tc>
        <w:tc>
          <w:tcPr>
            <w:tcW w:w="822" w:type="dxa"/>
          </w:tcPr>
          <w:p w14:paraId="78872B04" w14:textId="77777777" w:rsidR="00AC6F3C" w:rsidRDefault="00AC6F3C">
            <w:pPr>
              <w:pStyle w:val="TableParagraph"/>
              <w:rPr>
                <w:rFonts w:ascii="Times New Roman"/>
                <w:sz w:val="12"/>
              </w:rPr>
            </w:pPr>
          </w:p>
        </w:tc>
        <w:tc>
          <w:tcPr>
            <w:tcW w:w="1217" w:type="dxa"/>
          </w:tcPr>
          <w:p w14:paraId="748A3D26" w14:textId="77777777" w:rsidR="00AC6F3C" w:rsidRDefault="00AC6F3C">
            <w:pPr>
              <w:pStyle w:val="TableParagraph"/>
              <w:rPr>
                <w:rFonts w:ascii="Times New Roman"/>
                <w:sz w:val="12"/>
              </w:rPr>
            </w:pPr>
          </w:p>
        </w:tc>
        <w:tc>
          <w:tcPr>
            <w:tcW w:w="1838" w:type="dxa"/>
          </w:tcPr>
          <w:p w14:paraId="7658CF04" w14:textId="77777777" w:rsidR="00AC6F3C" w:rsidRDefault="00570E88">
            <w:pPr>
              <w:pStyle w:val="TableParagraph"/>
              <w:spacing w:before="4" w:line="156" w:lineRule="exact"/>
              <w:ind w:left="541"/>
              <w:rPr>
                <w:sz w:val="15"/>
              </w:rPr>
            </w:pPr>
            <w:r>
              <w:rPr>
                <w:spacing w:val="-2"/>
                <w:sz w:val="15"/>
              </w:rPr>
              <w:t>commenced</w:t>
            </w:r>
          </w:p>
        </w:tc>
        <w:tc>
          <w:tcPr>
            <w:tcW w:w="833" w:type="dxa"/>
          </w:tcPr>
          <w:p w14:paraId="480AC22A" w14:textId="77777777" w:rsidR="00AC6F3C" w:rsidRDefault="00AC6F3C">
            <w:pPr>
              <w:pStyle w:val="TableParagraph"/>
              <w:rPr>
                <w:rFonts w:ascii="Times New Roman"/>
                <w:sz w:val="12"/>
              </w:rPr>
            </w:pPr>
          </w:p>
        </w:tc>
        <w:tc>
          <w:tcPr>
            <w:tcW w:w="1040" w:type="dxa"/>
          </w:tcPr>
          <w:p w14:paraId="5FC7ACE2" w14:textId="77777777" w:rsidR="00AC6F3C" w:rsidRDefault="00AC6F3C">
            <w:pPr>
              <w:pStyle w:val="TableParagraph"/>
              <w:rPr>
                <w:rFonts w:ascii="Times New Roman"/>
                <w:sz w:val="12"/>
              </w:rPr>
            </w:pPr>
          </w:p>
        </w:tc>
        <w:tc>
          <w:tcPr>
            <w:tcW w:w="527" w:type="dxa"/>
          </w:tcPr>
          <w:p w14:paraId="0A403BF6" w14:textId="77777777" w:rsidR="00AC6F3C" w:rsidRDefault="00AC6F3C">
            <w:pPr>
              <w:pStyle w:val="TableParagraph"/>
              <w:rPr>
                <w:rFonts w:ascii="Times New Roman"/>
                <w:sz w:val="12"/>
              </w:rPr>
            </w:pPr>
          </w:p>
        </w:tc>
        <w:tc>
          <w:tcPr>
            <w:tcW w:w="3009" w:type="dxa"/>
          </w:tcPr>
          <w:p w14:paraId="5D490862" w14:textId="77777777" w:rsidR="00AC6F3C" w:rsidRDefault="00570E88">
            <w:pPr>
              <w:pStyle w:val="TableParagraph"/>
              <w:spacing w:line="160" w:lineRule="exact"/>
              <w:ind w:left="31"/>
              <w:rPr>
                <w:sz w:val="15"/>
              </w:rPr>
            </w:pPr>
            <w:r>
              <w:rPr>
                <w:spacing w:val="-4"/>
                <w:sz w:val="15"/>
              </w:rPr>
              <w:t>approved</w:t>
            </w:r>
            <w:r>
              <w:rPr>
                <w:spacing w:val="-3"/>
                <w:sz w:val="15"/>
              </w:rPr>
              <w:t xml:space="preserve"> </w:t>
            </w:r>
            <w:r>
              <w:rPr>
                <w:spacing w:val="-4"/>
                <w:sz w:val="15"/>
              </w:rPr>
              <w:t>the</w:t>
            </w:r>
            <w:r>
              <w:rPr>
                <w:spacing w:val="-2"/>
                <w:sz w:val="15"/>
              </w:rPr>
              <w:t xml:space="preserve"> </w:t>
            </w:r>
            <w:r>
              <w:rPr>
                <w:spacing w:val="-4"/>
                <w:sz w:val="15"/>
              </w:rPr>
              <w:t>refurbishment</w:t>
            </w:r>
            <w:r>
              <w:rPr>
                <w:spacing w:val="-3"/>
                <w:sz w:val="15"/>
              </w:rPr>
              <w:t xml:space="preserve"> </w:t>
            </w:r>
            <w:r>
              <w:rPr>
                <w:spacing w:val="-4"/>
                <w:sz w:val="15"/>
              </w:rPr>
              <w:t>project</w:t>
            </w:r>
            <w:r>
              <w:rPr>
                <w:spacing w:val="-2"/>
                <w:sz w:val="15"/>
              </w:rPr>
              <w:t xml:space="preserve"> </w:t>
            </w:r>
            <w:r>
              <w:rPr>
                <w:spacing w:val="-4"/>
                <w:sz w:val="15"/>
              </w:rPr>
              <w:t>on</w:t>
            </w:r>
            <w:r>
              <w:rPr>
                <w:spacing w:val="-3"/>
                <w:sz w:val="15"/>
              </w:rPr>
              <w:t xml:space="preserve"> </w:t>
            </w:r>
            <w:proofErr w:type="gramStart"/>
            <w:r>
              <w:rPr>
                <w:spacing w:val="-5"/>
                <w:sz w:val="15"/>
              </w:rPr>
              <w:t>25</w:t>
            </w:r>
            <w:proofErr w:type="gramEnd"/>
          </w:p>
        </w:tc>
      </w:tr>
      <w:tr w:rsidR="00AC6F3C" w14:paraId="6E63727C" w14:textId="77777777">
        <w:trPr>
          <w:trHeight w:val="180"/>
        </w:trPr>
        <w:tc>
          <w:tcPr>
            <w:tcW w:w="856" w:type="dxa"/>
          </w:tcPr>
          <w:p w14:paraId="2E8B0D01" w14:textId="77777777" w:rsidR="00AC6F3C" w:rsidRDefault="00AC6F3C">
            <w:pPr>
              <w:pStyle w:val="TableParagraph"/>
              <w:rPr>
                <w:rFonts w:ascii="Times New Roman"/>
                <w:sz w:val="12"/>
              </w:rPr>
            </w:pPr>
          </w:p>
        </w:tc>
        <w:tc>
          <w:tcPr>
            <w:tcW w:w="378" w:type="dxa"/>
          </w:tcPr>
          <w:p w14:paraId="277EB1F0" w14:textId="77777777" w:rsidR="00AC6F3C" w:rsidRDefault="00AC6F3C">
            <w:pPr>
              <w:pStyle w:val="TableParagraph"/>
              <w:rPr>
                <w:rFonts w:ascii="Times New Roman"/>
                <w:sz w:val="12"/>
              </w:rPr>
            </w:pPr>
          </w:p>
        </w:tc>
        <w:tc>
          <w:tcPr>
            <w:tcW w:w="1862" w:type="dxa"/>
          </w:tcPr>
          <w:p w14:paraId="427CFE1B" w14:textId="77777777" w:rsidR="00AC6F3C" w:rsidRDefault="00AC6F3C">
            <w:pPr>
              <w:pStyle w:val="TableParagraph"/>
              <w:rPr>
                <w:rFonts w:ascii="Times New Roman"/>
                <w:sz w:val="12"/>
              </w:rPr>
            </w:pPr>
          </w:p>
        </w:tc>
        <w:tc>
          <w:tcPr>
            <w:tcW w:w="2824" w:type="dxa"/>
          </w:tcPr>
          <w:p w14:paraId="502D3B4F" w14:textId="77777777" w:rsidR="00AC6F3C" w:rsidRDefault="00AC6F3C">
            <w:pPr>
              <w:pStyle w:val="TableParagraph"/>
              <w:rPr>
                <w:rFonts w:ascii="Times New Roman"/>
                <w:sz w:val="12"/>
              </w:rPr>
            </w:pPr>
          </w:p>
        </w:tc>
        <w:tc>
          <w:tcPr>
            <w:tcW w:w="797" w:type="dxa"/>
          </w:tcPr>
          <w:p w14:paraId="724915F2" w14:textId="77777777" w:rsidR="00AC6F3C" w:rsidRDefault="00570E88">
            <w:pPr>
              <w:pStyle w:val="TableParagraph"/>
              <w:spacing w:before="4" w:line="156" w:lineRule="exact"/>
              <w:ind w:left="160"/>
              <w:rPr>
                <w:b/>
                <w:sz w:val="15"/>
              </w:rPr>
            </w:pPr>
            <w:r>
              <w:rPr>
                <w:b/>
                <w:spacing w:val="-4"/>
                <w:sz w:val="15"/>
              </w:rPr>
              <w:t>KPI7</w:t>
            </w:r>
          </w:p>
        </w:tc>
        <w:tc>
          <w:tcPr>
            <w:tcW w:w="822" w:type="dxa"/>
          </w:tcPr>
          <w:p w14:paraId="78DBD35B" w14:textId="77777777" w:rsidR="00AC6F3C" w:rsidRDefault="00AC6F3C">
            <w:pPr>
              <w:pStyle w:val="TableParagraph"/>
              <w:rPr>
                <w:rFonts w:ascii="Times New Roman"/>
                <w:sz w:val="12"/>
              </w:rPr>
            </w:pPr>
          </w:p>
        </w:tc>
        <w:tc>
          <w:tcPr>
            <w:tcW w:w="1217" w:type="dxa"/>
          </w:tcPr>
          <w:p w14:paraId="2448405F" w14:textId="77777777" w:rsidR="00AC6F3C" w:rsidRDefault="00AC6F3C">
            <w:pPr>
              <w:pStyle w:val="TableParagraph"/>
              <w:rPr>
                <w:rFonts w:ascii="Times New Roman"/>
                <w:sz w:val="12"/>
              </w:rPr>
            </w:pPr>
          </w:p>
        </w:tc>
        <w:tc>
          <w:tcPr>
            <w:tcW w:w="1838" w:type="dxa"/>
          </w:tcPr>
          <w:p w14:paraId="02DA4F29" w14:textId="77777777" w:rsidR="00AC6F3C" w:rsidRDefault="00AC6F3C">
            <w:pPr>
              <w:pStyle w:val="TableParagraph"/>
              <w:rPr>
                <w:rFonts w:ascii="Times New Roman"/>
                <w:sz w:val="12"/>
              </w:rPr>
            </w:pPr>
          </w:p>
        </w:tc>
        <w:tc>
          <w:tcPr>
            <w:tcW w:w="833" w:type="dxa"/>
          </w:tcPr>
          <w:p w14:paraId="0C1B98C9" w14:textId="77777777" w:rsidR="00AC6F3C" w:rsidRDefault="00AC6F3C">
            <w:pPr>
              <w:pStyle w:val="TableParagraph"/>
              <w:rPr>
                <w:rFonts w:ascii="Times New Roman"/>
                <w:sz w:val="12"/>
              </w:rPr>
            </w:pPr>
          </w:p>
        </w:tc>
        <w:tc>
          <w:tcPr>
            <w:tcW w:w="1040" w:type="dxa"/>
          </w:tcPr>
          <w:p w14:paraId="19C1160A" w14:textId="77777777" w:rsidR="00AC6F3C" w:rsidRDefault="00AC6F3C">
            <w:pPr>
              <w:pStyle w:val="TableParagraph"/>
              <w:rPr>
                <w:rFonts w:ascii="Times New Roman"/>
                <w:sz w:val="12"/>
              </w:rPr>
            </w:pPr>
          </w:p>
        </w:tc>
        <w:tc>
          <w:tcPr>
            <w:tcW w:w="527" w:type="dxa"/>
          </w:tcPr>
          <w:p w14:paraId="1F773EE3" w14:textId="77777777" w:rsidR="00AC6F3C" w:rsidRDefault="00AC6F3C">
            <w:pPr>
              <w:pStyle w:val="TableParagraph"/>
              <w:rPr>
                <w:rFonts w:ascii="Times New Roman"/>
                <w:sz w:val="12"/>
              </w:rPr>
            </w:pPr>
          </w:p>
        </w:tc>
        <w:tc>
          <w:tcPr>
            <w:tcW w:w="3009" w:type="dxa"/>
          </w:tcPr>
          <w:p w14:paraId="3CB45D13" w14:textId="77777777" w:rsidR="00AC6F3C" w:rsidRDefault="00570E88">
            <w:pPr>
              <w:pStyle w:val="TableParagraph"/>
              <w:spacing w:line="160" w:lineRule="exact"/>
              <w:ind w:left="31"/>
              <w:rPr>
                <w:sz w:val="15"/>
              </w:rPr>
            </w:pPr>
            <w:r>
              <w:rPr>
                <w:spacing w:val="-4"/>
                <w:sz w:val="15"/>
              </w:rPr>
              <w:t>August 2022 and building works commenced</w:t>
            </w:r>
          </w:p>
        </w:tc>
      </w:tr>
      <w:tr w:rsidR="00AC6F3C" w14:paraId="00969E23" w14:textId="77777777">
        <w:trPr>
          <w:trHeight w:val="177"/>
        </w:trPr>
        <w:tc>
          <w:tcPr>
            <w:tcW w:w="856" w:type="dxa"/>
          </w:tcPr>
          <w:p w14:paraId="782BF9A0" w14:textId="77777777" w:rsidR="00AC6F3C" w:rsidRDefault="00AC6F3C">
            <w:pPr>
              <w:pStyle w:val="TableParagraph"/>
              <w:rPr>
                <w:rFonts w:ascii="Times New Roman"/>
                <w:sz w:val="10"/>
              </w:rPr>
            </w:pPr>
          </w:p>
        </w:tc>
        <w:tc>
          <w:tcPr>
            <w:tcW w:w="378" w:type="dxa"/>
          </w:tcPr>
          <w:p w14:paraId="4A14759F" w14:textId="77777777" w:rsidR="00AC6F3C" w:rsidRDefault="00AC6F3C">
            <w:pPr>
              <w:pStyle w:val="TableParagraph"/>
              <w:rPr>
                <w:rFonts w:ascii="Times New Roman"/>
                <w:sz w:val="10"/>
              </w:rPr>
            </w:pPr>
          </w:p>
        </w:tc>
        <w:tc>
          <w:tcPr>
            <w:tcW w:w="1862" w:type="dxa"/>
          </w:tcPr>
          <w:p w14:paraId="0DF13067" w14:textId="77777777" w:rsidR="00AC6F3C" w:rsidRDefault="00AC6F3C">
            <w:pPr>
              <w:pStyle w:val="TableParagraph"/>
              <w:rPr>
                <w:rFonts w:ascii="Times New Roman"/>
                <w:sz w:val="10"/>
              </w:rPr>
            </w:pPr>
          </w:p>
        </w:tc>
        <w:tc>
          <w:tcPr>
            <w:tcW w:w="2824" w:type="dxa"/>
          </w:tcPr>
          <w:p w14:paraId="78DA9883" w14:textId="77777777" w:rsidR="00AC6F3C" w:rsidRDefault="00AC6F3C">
            <w:pPr>
              <w:pStyle w:val="TableParagraph"/>
              <w:rPr>
                <w:rFonts w:ascii="Times New Roman"/>
                <w:sz w:val="10"/>
              </w:rPr>
            </w:pPr>
          </w:p>
        </w:tc>
        <w:tc>
          <w:tcPr>
            <w:tcW w:w="797" w:type="dxa"/>
          </w:tcPr>
          <w:p w14:paraId="7519C329" w14:textId="77777777" w:rsidR="00AC6F3C" w:rsidRDefault="00AC6F3C">
            <w:pPr>
              <w:pStyle w:val="TableParagraph"/>
              <w:rPr>
                <w:rFonts w:ascii="Times New Roman"/>
                <w:sz w:val="10"/>
              </w:rPr>
            </w:pPr>
          </w:p>
        </w:tc>
        <w:tc>
          <w:tcPr>
            <w:tcW w:w="822" w:type="dxa"/>
          </w:tcPr>
          <w:p w14:paraId="7860F98C" w14:textId="77777777" w:rsidR="00AC6F3C" w:rsidRDefault="00AC6F3C">
            <w:pPr>
              <w:pStyle w:val="TableParagraph"/>
              <w:rPr>
                <w:rFonts w:ascii="Times New Roman"/>
                <w:sz w:val="10"/>
              </w:rPr>
            </w:pPr>
          </w:p>
        </w:tc>
        <w:tc>
          <w:tcPr>
            <w:tcW w:w="1217" w:type="dxa"/>
          </w:tcPr>
          <w:p w14:paraId="3B52613A" w14:textId="77777777" w:rsidR="00AC6F3C" w:rsidRDefault="00AC6F3C">
            <w:pPr>
              <w:pStyle w:val="TableParagraph"/>
              <w:rPr>
                <w:rFonts w:ascii="Times New Roman"/>
                <w:sz w:val="10"/>
              </w:rPr>
            </w:pPr>
          </w:p>
        </w:tc>
        <w:tc>
          <w:tcPr>
            <w:tcW w:w="1838" w:type="dxa"/>
          </w:tcPr>
          <w:p w14:paraId="6268C12A" w14:textId="77777777" w:rsidR="00AC6F3C" w:rsidRDefault="00AC6F3C">
            <w:pPr>
              <w:pStyle w:val="TableParagraph"/>
              <w:rPr>
                <w:rFonts w:ascii="Times New Roman"/>
                <w:sz w:val="10"/>
              </w:rPr>
            </w:pPr>
          </w:p>
        </w:tc>
        <w:tc>
          <w:tcPr>
            <w:tcW w:w="833" w:type="dxa"/>
          </w:tcPr>
          <w:p w14:paraId="67C752F4" w14:textId="77777777" w:rsidR="00AC6F3C" w:rsidRDefault="00AC6F3C">
            <w:pPr>
              <w:pStyle w:val="TableParagraph"/>
              <w:rPr>
                <w:rFonts w:ascii="Times New Roman"/>
                <w:sz w:val="10"/>
              </w:rPr>
            </w:pPr>
          </w:p>
        </w:tc>
        <w:tc>
          <w:tcPr>
            <w:tcW w:w="1040" w:type="dxa"/>
          </w:tcPr>
          <w:p w14:paraId="64C64DA7" w14:textId="77777777" w:rsidR="00AC6F3C" w:rsidRDefault="00AC6F3C">
            <w:pPr>
              <w:pStyle w:val="TableParagraph"/>
              <w:rPr>
                <w:rFonts w:ascii="Times New Roman"/>
                <w:sz w:val="10"/>
              </w:rPr>
            </w:pPr>
          </w:p>
        </w:tc>
        <w:tc>
          <w:tcPr>
            <w:tcW w:w="527" w:type="dxa"/>
          </w:tcPr>
          <w:p w14:paraId="269DF8E7" w14:textId="77777777" w:rsidR="00AC6F3C" w:rsidRDefault="00AC6F3C">
            <w:pPr>
              <w:pStyle w:val="TableParagraph"/>
              <w:rPr>
                <w:rFonts w:ascii="Times New Roman"/>
                <w:sz w:val="10"/>
              </w:rPr>
            </w:pPr>
          </w:p>
        </w:tc>
        <w:tc>
          <w:tcPr>
            <w:tcW w:w="3009" w:type="dxa"/>
          </w:tcPr>
          <w:p w14:paraId="15628BB7" w14:textId="77777777" w:rsidR="00AC6F3C" w:rsidRDefault="00570E88">
            <w:pPr>
              <w:pStyle w:val="TableParagraph"/>
              <w:spacing w:line="157" w:lineRule="exact"/>
              <w:ind w:left="31"/>
              <w:rPr>
                <w:sz w:val="15"/>
              </w:rPr>
            </w:pPr>
            <w:r>
              <w:rPr>
                <w:spacing w:val="-4"/>
                <w:sz w:val="15"/>
              </w:rPr>
              <w:t>on</w:t>
            </w:r>
            <w:r>
              <w:rPr>
                <w:spacing w:val="-5"/>
                <w:sz w:val="15"/>
              </w:rPr>
              <w:t xml:space="preserve"> </w:t>
            </w:r>
            <w:r>
              <w:rPr>
                <w:spacing w:val="-4"/>
                <w:sz w:val="15"/>
              </w:rPr>
              <w:t>10</w:t>
            </w:r>
            <w:r>
              <w:rPr>
                <w:spacing w:val="-5"/>
                <w:sz w:val="15"/>
              </w:rPr>
              <w:t xml:space="preserve"> </w:t>
            </w:r>
            <w:r>
              <w:rPr>
                <w:spacing w:val="-4"/>
                <w:sz w:val="15"/>
              </w:rPr>
              <w:t>October</w:t>
            </w:r>
            <w:r>
              <w:rPr>
                <w:spacing w:val="-5"/>
                <w:sz w:val="15"/>
              </w:rPr>
              <w:t xml:space="preserve"> </w:t>
            </w:r>
            <w:r>
              <w:rPr>
                <w:spacing w:val="-4"/>
                <w:sz w:val="15"/>
              </w:rPr>
              <w:t>2022.</w:t>
            </w:r>
            <w:r>
              <w:rPr>
                <w:spacing w:val="-5"/>
                <w:sz w:val="15"/>
              </w:rPr>
              <w:t xml:space="preserve"> </w:t>
            </w:r>
            <w:r>
              <w:rPr>
                <w:spacing w:val="-4"/>
                <w:sz w:val="15"/>
              </w:rPr>
              <w:t>The</w:t>
            </w:r>
            <w:r>
              <w:rPr>
                <w:spacing w:val="-5"/>
                <w:sz w:val="15"/>
              </w:rPr>
              <w:t xml:space="preserve"> </w:t>
            </w:r>
            <w:r>
              <w:rPr>
                <w:spacing w:val="-4"/>
                <w:sz w:val="15"/>
              </w:rPr>
              <w:t>construction</w:t>
            </w:r>
          </w:p>
        </w:tc>
      </w:tr>
      <w:tr w:rsidR="00AC6F3C" w14:paraId="5FDBCF9B" w14:textId="77777777">
        <w:trPr>
          <w:trHeight w:val="180"/>
        </w:trPr>
        <w:tc>
          <w:tcPr>
            <w:tcW w:w="856" w:type="dxa"/>
          </w:tcPr>
          <w:p w14:paraId="2D3D501A" w14:textId="77777777" w:rsidR="00AC6F3C" w:rsidRDefault="00AC6F3C">
            <w:pPr>
              <w:pStyle w:val="TableParagraph"/>
              <w:rPr>
                <w:rFonts w:ascii="Times New Roman"/>
                <w:sz w:val="12"/>
              </w:rPr>
            </w:pPr>
          </w:p>
        </w:tc>
        <w:tc>
          <w:tcPr>
            <w:tcW w:w="378" w:type="dxa"/>
          </w:tcPr>
          <w:p w14:paraId="2436AF71" w14:textId="77777777" w:rsidR="00AC6F3C" w:rsidRDefault="00AC6F3C">
            <w:pPr>
              <w:pStyle w:val="TableParagraph"/>
              <w:rPr>
                <w:rFonts w:ascii="Times New Roman"/>
                <w:sz w:val="12"/>
              </w:rPr>
            </w:pPr>
          </w:p>
        </w:tc>
        <w:tc>
          <w:tcPr>
            <w:tcW w:w="1862" w:type="dxa"/>
          </w:tcPr>
          <w:p w14:paraId="60F557A8" w14:textId="77777777" w:rsidR="00AC6F3C" w:rsidRDefault="00AC6F3C">
            <w:pPr>
              <w:pStyle w:val="TableParagraph"/>
              <w:rPr>
                <w:rFonts w:ascii="Times New Roman"/>
                <w:sz w:val="12"/>
              </w:rPr>
            </w:pPr>
          </w:p>
        </w:tc>
        <w:tc>
          <w:tcPr>
            <w:tcW w:w="2824" w:type="dxa"/>
          </w:tcPr>
          <w:p w14:paraId="3F30A2CF" w14:textId="77777777" w:rsidR="00AC6F3C" w:rsidRDefault="00AC6F3C">
            <w:pPr>
              <w:pStyle w:val="TableParagraph"/>
              <w:rPr>
                <w:rFonts w:ascii="Times New Roman"/>
                <w:sz w:val="12"/>
              </w:rPr>
            </w:pPr>
          </w:p>
        </w:tc>
        <w:tc>
          <w:tcPr>
            <w:tcW w:w="797" w:type="dxa"/>
          </w:tcPr>
          <w:p w14:paraId="47E2A808" w14:textId="77777777" w:rsidR="00AC6F3C" w:rsidRDefault="00AC6F3C">
            <w:pPr>
              <w:pStyle w:val="TableParagraph"/>
              <w:rPr>
                <w:rFonts w:ascii="Times New Roman"/>
                <w:sz w:val="12"/>
              </w:rPr>
            </w:pPr>
          </w:p>
        </w:tc>
        <w:tc>
          <w:tcPr>
            <w:tcW w:w="822" w:type="dxa"/>
          </w:tcPr>
          <w:p w14:paraId="5D5503A9" w14:textId="77777777" w:rsidR="00AC6F3C" w:rsidRDefault="00AC6F3C">
            <w:pPr>
              <w:pStyle w:val="TableParagraph"/>
              <w:rPr>
                <w:rFonts w:ascii="Times New Roman"/>
                <w:sz w:val="12"/>
              </w:rPr>
            </w:pPr>
          </w:p>
        </w:tc>
        <w:tc>
          <w:tcPr>
            <w:tcW w:w="1217" w:type="dxa"/>
          </w:tcPr>
          <w:p w14:paraId="217A528C" w14:textId="77777777" w:rsidR="00AC6F3C" w:rsidRDefault="00AC6F3C">
            <w:pPr>
              <w:pStyle w:val="TableParagraph"/>
              <w:rPr>
                <w:rFonts w:ascii="Times New Roman"/>
                <w:sz w:val="12"/>
              </w:rPr>
            </w:pPr>
          </w:p>
        </w:tc>
        <w:tc>
          <w:tcPr>
            <w:tcW w:w="1838" w:type="dxa"/>
          </w:tcPr>
          <w:p w14:paraId="6CBD8AC4" w14:textId="77777777" w:rsidR="00AC6F3C" w:rsidRDefault="00AC6F3C">
            <w:pPr>
              <w:pStyle w:val="TableParagraph"/>
              <w:rPr>
                <w:rFonts w:ascii="Times New Roman"/>
                <w:sz w:val="12"/>
              </w:rPr>
            </w:pPr>
          </w:p>
        </w:tc>
        <w:tc>
          <w:tcPr>
            <w:tcW w:w="833" w:type="dxa"/>
          </w:tcPr>
          <w:p w14:paraId="3E816D1A" w14:textId="77777777" w:rsidR="00AC6F3C" w:rsidRDefault="00AC6F3C">
            <w:pPr>
              <w:pStyle w:val="TableParagraph"/>
              <w:rPr>
                <w:rFonts w:ascii="Times New Roman"/>
                <w:sz w:val="12"/>
              </w:rPr>
            </w:pPr>
          </w:p>
        </w:tc>
        <w:tc>
          <w:tcPr>
            <w:tcW w:w="1040" w:type="dxa"/>
          </w:tcPr>
          <w:p w14:paraId="06434781" w14:textId="77777777" w:rsidR="00AC6F3C" w:rsidRDefault="00AC6F3C">
            <w:pPr>
              <w:pStyle w:val="TableParagraph"/>
              <w:rPr>
                <w:rFonts w:ascii="Times New Roman"/>
                <w:sz w:val="12"/>
              </w:rPr>
            </w:pPr>
          </w:p>
        </w:tc>
        <w:tc>
          <w:tcPr>
            <w:tcW w:w="527" w:type="dxa"/>
          </w:tcPr>
          <w:p w14:paraId="5E1AD729" w14:textId="77777777" w:rsidR="00AC6F3C" w:rsidRDefault="00AC6F3C">
            <w:pPr>
              <w:pStyle w:val="TableParagraph"/>
              <w:rPr>
                <w:rFonts w:ascii="Times New Roman"/>
                <w:sz w:val="12"/>
              </w:rPr>
            </w:pPr>
          </w:p>
        </w:tc>
        <w:tc>
          <w:tcPr>
            <w:tcW w:w="3009" w:type="dxa"/>
          </w:tcPr>
          <w:p w14:paraId="46BD1BAE" w14:textId="77777777" w:rsidR="00AC6F3C" w:rsidRDefault="00570E88">
            <w:pPr>
              <w:pStyle w:val="TableParagraph"/>
              <w:spacing w:before="1" w:line="159" w:lineRule="exact"/>
              <w:ind w:left="31"/>
              <w:rPr>
                <w:sz w:val="15"/>
              </w:rPr>
            </w:pPr>
            <w:r>
              <w:rPr>
                <w:spacing w:val="-4"/>
                <w:sz w:val="15"/>
              </w:rPr>
              <w:t>contract</w:t>
            </w:r>
            <w:r>
              <w:rPr>
                <w:spacing w:val="-6"/>
                <w:sz w:val="15"/>
              </w:rPr>
              <w:t xml:space="preserve"> </w:t>
            </w:r>
            <w:r>
              <w:rPr>
                <w:spacing w:val="-4"/>
                <w:sz w:val="15"/>
              </w:rPr>
              <w:t>has</w:t>
            </w:r>
            <w:r>
              <w:rPr>
                <w:spacing w:val="-5"/>
                <w:sz w:val="15"/>
              </w:rPr>
              <w:t xml:space="preserve"> </w:t>
            </w:r>
            <w:proofErr w:type="gramStart"/>
            <w:r>
              <w:rPr>
                <w:spacing w:val="-4"/>
                <w:sz w:val="15"/>
              </w:rPr>
              <w:t>been</w:t>
            </w:r>
            <w:r>
              <w:rPr>
                <w:spacing w:val="-6"/>
                <w:sz w:val="15"/>
              </w:rPr>
              <w:t xml:space="preserve"> </w:t>
            </w:r>
            <w:r>
              <w:rPr>
                <w:spacing w:val="-4"/>
                <w:sz w:val="15"/>
              </w:rPr>
              <w:t>signed</w:t>
            </w:r>
            <w:proofErr w:type="gramEnd"/>
            <w:r>
              <w:rPr>
                <w:spacing w:val="-4"/>
                <w:sz w:val="15"/>
              </w:rPr>
              <w:t>.</w:t>
            </w:r>
            <w:r>
              <w:rPr>
                <w:spacing w:val="-5"/>
                <w:sz w:val="15"/>
              </w:rPr>
              <w:t xml:space="preserve"> </w:t>
            </w:r>
            <w:r>
              <w:rPr>
                <w:spacing w:val="-4"/>
                <w:sz w:val="15"/>
              </w:rPr>
              <w:t>To</w:t>
            </w:r>
            <w:r>
              <w:rPr>
                <w:spacing w:val="-6"/>
                <w:sz w:val="15"/>
              </w:rPr>
              <w:t xml:space="preserve"> </w:t>
            </w:r>
            <w:r>
              <w:rPr>
                <w:spacing w:val="-4"/>
                <w:sz w:val="15"/>
              </w:rPr>
              <w:t>manage</w:t>
            </w:r>
          </w:p>
        </w:tc>
      </w:tr>
      <w:tr w:rsidR="00AC6F3C" w14:paraId="7DA521E1" w14:textId="77777777">
        <w:trPr>
          <w:trHeight w:val="180"/>
        </w:trPr>
        <w:tc>
          <w:tcPr>
            <w:tcW w:w="856" w:type="dxa"/>
          </w:tcPr>
          <w:p w14:paraId="0EB84EA5" w14:textId="77777777" w:rsidR="00AC6F3C" w:rsidRDefault="00AC6F3C">
            <w:pPr>
              <w:pStyle w:val="TableParagraph"/>
              <w:rPr>
                <w:rFonts w:ascii="Times New Roman"/>
                <w:sz w:val="12"/>
              </w:rPr>
            </w:pPr>
          </w:p>
        </w:tc>
        <w:tc>
          <w:tcPr>
            <w:tcW w:w="378" w:type="dxa"/>
          </w:tcPr>
          <w:p w14:paraId="4FADC18B" w14:textId="77777777" w:rsidR="00AC6F3C" w:rsidRDefault="00AC6F3C">
            <w:pPr>
              <w:pStyle w:val="TableParagraph"/>
              <w:rPr>
                <w:rFonts w:ascii="Times New Roman"/>
                <w:sz w:val="12"/>
              </w:rPr>
            </w:pPr>
          </w:p>
        </w:tc>
        <w:tc>
          <w:tcPr>
            <w:tcW w:w="1862" w:type="dxa"/>
          </w:tcPr>
          <w:p w14:paraId="57E6D4C6" w14:textId="77777777" w:rsidR="00AC6F3C" w:rsidRDefault="00AC6F3C">
            <w:pPr>
              <w:pStyle w:val="TableParagraph"/>
              <w:rPr>
                <w:rFonts w:ascii="Times New Roman"/>
                <w:sz w:val="12"/>
              </w:rPr>
            </w:pPr>
          </w:p>
        </w:tc>
        <w:tc>
          <w:tcPr>
            <w:tcW w:w="2824" w:type="dxa"/>
          </w:tcPr>
          <w:p w14:paraId="4D7DA39E" w14:textId="77777777" w:rsidR="00AC6F3C" w:rsidRDefault="00AC6F3C">
            <w:pPr>
              <w:pStyle w:val="TableParagraph"/>
              <w:rPr>
                <w:rFonts w:ascii="Times New Roman"/>
                <w:sz w:val="12"/>
              </w:rPr>
            </w:pPr>
          </w:p>
        </w:tc>
        <w:tc>
          <w:tcPr>
            <w:tcW w:w="797" w:type="dxa"/>
          </w:tcPr>
          <w:p w14:paraId="67FACF9E" w14:textId="77777777" w:rsidR="00AC6F3C" w:rsidRDefault="00AC6F3C">
            <w:pPr>
              <w:pStyle w:val="TableParagraph"/>
              <w:rPr>
                <w:rFonts w:ascii="Times New Roman"/>
                <w:sz w:val="12"/>
              </w:rPr>
            </w:pPr>
          </w:p>
        </w:tc>
        <w:tc>
          <w:tcPr>
            <w:tcW w:w="822" w:type="dxa"/>
          </w:tcPr>
          <w:p w14:paraId="1BFBDDD5" w14:textId="77777777" w:rsidR="00AC6F3C" w:rsidRDefault="00AC6F3C">
            <w:pPr>
              <w:pStyle w:val="TableParagraph"/>
              <w:rPr>
                <w:rFonts w:ascii="Times New Roman"/>
                <w:sz w:val="12"/>
              </w:rPr>
            </w:pPr>
          </w:p>
        </w:tc>
        <w:tc>
          <w:tcPr>
            <w:tcW w:w="1217" w:type="dxa"/>
          </w:tcPr>
          <w:p w14:paraId="2879EA67" w14:textId="77777777" w:rsidR="00AC6F3C" w:rsidRDefault="00AC6F3C">
            <w:pPr>
              <w:pStyle w:val="TableParagraph"/>
              <w:rPr>
                <w:rFonts w:ascii="Times New Roman"/>
                <w:sz w:val="12"/>
              </w:rPr>
            </w:pPr>
          </w:p>
        </w:tc>
        <w:tc>
          <w:tcPr>
            <w:tcW w:w="1838" w:type="dxa"/>
          </w:tcPr>
          <w:p w14:paraId="682249D5" w14:textId="77777777" w:rsidR="00AC6F3C" w:rsidRDefault="00AC6F3C">
            <w:pPr>
              <w:pStyle w:val="TableParagraph"/>
              <w:rPr>
                <w:rFonts w:ascii="Times New Roman"/>
                <w:sz w:val="12"/>
              </w:rPr>
            </w:pPr>
          </w:p>
        </w:tc>
        <w:tc>
          <w:tcPr>
            <w:tcW w:w="833" w:type="dxa"/>
          </w:tcPr>
          <w:p w14:paraId="0677571C" w14:textId="77777777" w:rsidR="00AC6F3C" w:rsidRDefault="00AC6F3C">
            <w:pPr>
              <w:pStyle w:val="TableParagraph"/>
              <w:rPr>
                <w:rFonts w:ascii="Times New Roman"/>
                <w:sz w:val="12"/>
              </w:rPr>
            </w:pPr>
          </w:p>
        </w:tc>
        <w:tc>
          <w:tcPr>
            <w:tcW w:w="1040" w:type="dxa"/>
          </w:tcPr>
          <w:p w14:paraId="2B5581C6" w14:textId="77777777" w:rsidR="00AC6F3C" w:rsidRDefault="00AC6F3C">
            <w:pPr>
              <w:pStyle w:val="TableParagraph"/>
              <w:rPr>
                <w:rFonts w:ascii="Times New Roman"/>
                <w:sz w:val="12"/>
              </w:rPr>
            </w:pPr>
          </w:p>
        </w:tc>
        <w:tc>
          <w:tcPr>
            <w:tcW w:w="527" w:type="dxa"/>
          </w:tcPr>
          <w:p w14:paraId="0A60500A" w14:textId="77777777" w:rsidR="00AC6F3C" w:rsidRDefault="00AC6F3C">
            <w:pPr>
              <w:pStyle w:val="TableParagraph"/>
              <w:rPr>
                <w:rFonts w:ascii="Times New Roman"/>
                <w:sz w:val="12"/>
              </w:rPr>
            </w:pPr>
          </w:p>
        </w:tc>
        <w:tc>
          <w:tcPr>
            <w:tcW w:w="3009" w:type="dxa"/>
          </w:tcPr>
          <w:p w14:paraId="2BEB5192" w14:textId="77777777" w:rsidR="00AC6F3C" w:rsidRDefault="00570E88">
            <w:pPr>
              <w:pStyle w:val="TableParagraph"/>
              <w:spacing w:before="1" w:line="159" w:lineRule="exact"/>
              <w:ind w:left="31"/>
              <w:rPr>
                <w:sz w:val="15"/>
              </w:rPr>
            </w:pPr>
            <w:r>
              <w:rPr>
                <w:spacing w:val="-4"/>
                <w:sz w:val="15"/>
              </w:rPr>
              <w:t>the</w:t>
            </w:r>
            <w:r>
              <w:rPr>
                <w:spacing w:val="-2"/>
                <w:sz w:val="15"/>
              </w:rPr>
              <w:t xml:space="preserve"> </w:t>
            </w:r>
            <w:r>
              <w:rPr>
                <w:spacing w:val="-4"/>
                <w:sz w:val="15"/>
              </w:rPr>
              <w:t>project</w:t>
            </w:r>
            <w:r>
              <w:rPr>
                <w:spacing w:val="-2"/>
                <w:sz w:val="15"/>
              </w:rPr>
              <w:t xml:space="preserve"> </w:t>
            </w:r>
            <w:r>
              <w:rPr>
                <w:spacing w:val="-4"/>
                <w:sz w:val="15"/>
              </w:rPr>
              <w:t>internally,</w:t>
            </w:r>
            <w:r>
              <w:rPr>
                <w:spacing w:val="-1"/>
                <w:sz w:val="15"/>
              </w:rPr>
              <w:t xml:space="preserve"> </w:t>
            </w:r>
            <w:r>
              <w:rPr>
                <w:spacing w:val="-4"/>
                <w:sz w:val="15"/>
              </w:rPr>
              <w:t>a</w:t>
            </w:r>
            <w:r>
              <w:rPr>
                <w:spacing w:val="-2"/>
                <w:sz w:val="15"/>
              </w:rPr>
              <w:t xml:space="preserve"> </w:t>
            </w:r>
            <w:r>
              <w:rPr>
                <w:spacing w:val="-4"/>
                <w:sz w:val="15"/>
              </w:rPr>
              <w:t>Project</w:t>
            </w:r>
            <w:r>
              <w:rPr>
                <w:spacing w:val="-1"/>
                <w:sz w:val="15"/>
              </w:rPr>
              <w:t xml:space="preserve"> </w:t>
            </w:r>
            <w:r>
              <w:rPr>
                <w:spacing w:val="-4"/>
                <w:sz w:val="15"/>
              </w:rPr>
              <w:t>Steering</w:t>
            </w:r>
          </w:p>
        </w:tc>
      </w:tr>
      <w:tr w:rsidR="00AC6F3C" w14:paraId="2A3574CC" w14:textId="77777777">
        <w:trPr>
          <w:trHeight w:val="180"/>
        </w:trPr>
        <w:tc>
          <w:tcPr>
            <w:tcW w:w="856" w:type="dxa"/>
          </w:tcPr>
          <w:p w14:paraId="4311BEC2" w14:textId="77777777" w:rsidR="00AC6F3C" w:rsidRDefault="00AC6F3C">
            <w:pPr>
              <w:pStyle w:val="TableParagraph"/>
              <w:rPr>
                <w:rFonts w:ascii="Times New Roman"/>
                <w:sz w:val="12"/>
              </w:rPr>
            </w:pPr>
          </w:p>
        </w:tc>
        <w:tc>
          <w:tcPr>
            <w:tcW w:w="378" w:type="dxa"/>
          </w:tcPr>
          <w:p w14:paraId="1ACFE26F" w14:textId="77777777" w:rsidR="00AC6F3C" w:rsidRDefault="00AC6F3C">
            <w:pPr>
              <w:pStyle w:val="TableParagraph"/>
              <w:rPr>
                <w:rFonts w:ascii="Times New Roman"/>
                <w:sz w:val="12"/>
              </w:rPr>
            </w:pPr>
          </w:p>
        </w:tc>
        <w:tc>
          <w:tcPr>
            <w:tcW w:w="1862" w:type="dxa"/>
          </w:tcPr>
          <w:p w14:paraId="342E7A84" w14:textId="77777777" w:rsidR="00AC6F3C" w:rsidRDefault="00AC6F3C">
            <w:pPr>
              <w:pStyle w:val="TableParagraph"/>
              <w:rPr>
                <w:rFonts w:ascii="Times New Roman"/>
                <w:sz w:val="12"/>
              </w:rPr>
            </w:pPr>
          </w:p>
        </w:tc>
        <w:tc>
          <w:tcPr>
            <w:tcW w:w="2824" w:type="dxa"/>
          </w:tcPr>
          <w:p w14:paraId="761EEAA6" w14:textId="77777777" w:rsidR="00AC6F3C" w:rsidRDefault="00AC6F3C">
            <w:pPr>
              <w:pStyle w:val="TableParagraph"/>
              <w:rPr>
                <w:rFonts w:ascii="Times New Roman"/>
                <w:sz w:val="12"/>
              </w:rPr>
            </w:pPr>
          </w:p>
        </w:tc>
        <w:tc>
          <w:tcPr>
            <w:tcW w:w="797" w:type="dxa"/>
          </w:tcPr>
          <w:p w14:paraId="1B1CD433" w14:textId="77777777" w:rsidR="00AC6F3C" w:rsidRDefault="00AC6F3C">
            <w:pPr>
              <w:pStyle w:val="TableParagraph"/>
              <w:rPr>
                <w:rFonts w:ascii="Times New Roman"/>
                <w:sz w:val="12"/>
              </w:rPr>
            </w:pPr>
          </w:p>
        </w:tc>
        <w:tc>
          <w:tcPr>
            <w:tcW w:w="822" w:type="dxa"/>
          </w:tcPr>
          <w:p w14:paraId="3C055F9A" w14:textId="77777777" w:rsidR="00AC6F3C" w:rsidRDefault="00AC6F3C">
            <w:pPr>
              <w:pStyle w:val="TableParagraph"/>
              <w:rPr>
                <w:rFonts w:ascii="Times New Roman"/>
                <w:sz w:val="12"/>
              </w:rPr>
            </w:pPr>
          </w:p>
        </w:tc>
        <w:tc>
          <w:tcPr>
            <w:tcW w:w="1217" w:type="dxa"/>
          </w:tcPr>
          <w:p w14:paraId="35315DD4" w14:textId="77777777" w:rsidR="00AC6F3C" w:rsidRDefault="00AC6F3C">
            <w:pPr>
              <w:pStyle w:val="TableParagraph"/>
              <w:rPr>
                <w:rFonts w:ascii="Times New Roman"/>
                <w:sz w:val="12"/>
              </w:rPr>
            </w:pPr>
          </w:p>
        </w:tc>
        <w:tc>
          <w:tcPr>
            <w:tcW w:w="1838" w:type="dxa"/>
          </w:tcPr>
          <w:p w14:paraId="41E96169" w14:textId="77777777" w:rsidR="00AC6F3C" w:rsidRDefault="00AC6F3C">
            <w:pPr>
              <w:pStyle w:val="TableParagraph"/>
              <w:rPr>
                <w:rFonts w:ascii="Times New Roman"/>
                <w:sz w:val="12"/>
              </w:rPr>
            </w:pPr>
          </w:p>
        </w:tc>
        <w:tc>
          <w:tcPr>
            <w:tcW w:w="833" w:type="dxa"/>
          </w:tcPr>
          <w:p w14:paraId="314AD95B" w14:textId="77777777" w:rsidR="00AC6F3C" w:rsidRDefault="00AC6F3C">
            <w:pPr>
              <w:pStyle w:val="TableParagraph"/>
              <w:rPr>
                <w:rFonts w:ascii="Times New Roman"/>
                <w:sz w:val="12"/>
              </w:rPr>
            </w:pPr>
          </w:p>
        </w:tc>
        <w:tc>
          <w:tcPr>
            <w:tcW w:w="1040" w:type="dxa"/>
          </w:tcPr>
          <w:p w14:paraId="1F81343A" w14:textId="77777777" w:rsidR="00AC6F3C" w:rsidRDefault="00AC6F3C">
            <w:pPr>
              <w:pStyle w:val="TableParagraph"/>
              <w:rPr>
                <w:rFonts w:ascii="Times New Roman"/>
                <w:sz w:val="12"/>
              </w:rPr>
            </w:pPr>
          </w:p>
        </w:tc>
        <w:tc>
          <w:tcPr>
            <w:tcW w:w="527" w:type="dxa"/>
          </w:tcPr>
          <w:p w14:paraId="3ABD6971" w14:textId="77777777" w:rsidR="00AC6F3C" w:rsidRDefault="00AC6F3C">
            <w:pPr>
              <w:pStyle w:val="TableParagraph"/>
              <w:rPr>
                <w:rFonts w:ascii="Times New Roman"/>
                <w:sz w:val="12"/>
              </w:rPr>
            </w:pPr>
          </w:p>
        </w:tc>
        <w:tc>
          <w:tcPr>
            <w:tcW w:w="3009" w:type="dxa"/>
          </w:tcPr>
          <w:p w14:paraId="0F82DBC3" w14:textId="77777777" w:rsidR="00AC6F3C" w:rsidRDefault="00570E88">
            <w:pPr>
              <w:pStyle w:val="TableParagraph"/>
              <w:spacing w:before="1" w:line="159" w:lineRule="exact"/>
              <w:ind w:left="31"/>
              <w:rPr>
                <w:sz w:val="15"/>
              </w:rPr>
            </w:pPr>
            <w:r>
              <w:rPr>
                <w:spacing w:val="-4"/>
                <w:sz w:val="15"/>
              </w:rPr>
              <w:t>Committee</w:t>
            </w:r>
            <w:r>
              <w:rPr>
                <w:spacing w:val="-5"/>
                <w:sz w:val="15"/>
              </w:rPr>
              <w:t xml:space="preserve"> </w:t>
            </w:r>
            <w:r>
              <w:rPr>
                <w:spacing w:val="-4"/>
                <w:sz w:val="15"/>
              </w:rPr>
              <w:t>chaired</w:t>
            </w:r>
            <w:r>
              <w:rPr>
                <w:spacing w:val="-5"/>
                <w:sz w:val="15"/>
              </w:rPr>
              <w:t xml:space="preserve"> </w:t>
            </w:r>
            <w:r>
              <w:rPr>
                <w:spacing w:val="-4"/>
                <w:sz w:val="15"/>
              </w:rPr>
              <w:t>by</w:t>
            </w:r>
            <w:r>
              <w:rPr>
                <w:spacing w:val="-5"/>
                <w:sz w:val="15"/>
              </w:rPr>
              <w:t xml:space="preserve"> </w:t>
            </w:r>
            <w:r>
              <w:rPr>
                <w:spacing w:val="-4"/>
                <w:sz w:val="15"/>
              </w:rPr>
              <w:t>the</w:t>
            </w:r>
            <w:r>
              <w:rPr>
                <w:spacing w:val="-5"/>
                <w:sz w:val="15"/>
              </w:rPr>
              <w:t xml:space="preserve"> </w:t>
            </w:r>
            <w:r>
              <w:rPr>
                <w:spacing w:val="-4"/>
                <w:sz w:val="15"/>
              </w:rPr>
              <w:t>CEO</w:t>
            </w:r>
            <w:r>
              <w:rPr>
                <w:spacing w:val="-5"/>
                <w:sz w:val="15"/>
              </w:rPr>
              <w:t xml:space="preserve"> </w:t>
            </w:r>
            <w:r>
              <w:rPr>
                <w:spacing w:val="-4"/>
                <w:sz w:val="15"/>
              </w:rPr>
              <w:t>and</w:t>
            </w:r>
            <w:r>
              <w:rPr>
                <w:spacing w:val="-5"/>
                <w:sz w:val="15"/>
              </w:rPr>
              <w:t xml:space="preserve"> </w:t>
            </w:r>
            <w:r>
              <w:rPr>
                <w:spacing w:val="-4"/>
                <w:sz w:val="15"/>
              </w:rPr>
              <w:t>a</w:t>
            </w:r>
            <w:r>
              <w:rPr>
                <w:spacing w:val="-5"/>
                <w:sz w:val="15"/>
              </w:rPr>
              <w:t xml:space="preserve"> </w:t>
            </w:r>
            <w:r>
              <w:rPr>
                <w:spacing w:val="-4"/>
                <w:sz w:val="15"/>
              </w:rPr>
              <w:t>Project</w:t>
            </w:r>
          </w:p>
        </w:tc>
      </w:tr>
      <w:tr w:rsidR="00AC6F3C" w14:paraId="708836D4" w14:textId="77777777">
        <w:trPr>
          <w:trHeight w:val="180"/>
        </w:trPr>
        <w:tc>
          <w:tcPr>
            <w:tcW w:w="856" w:type="dxa"/>
          </w:tcPr>
          <w:p w14:paraId="5FCE8F59" w14:textId="77777777" w:rsidR="00AC6F3C" w:rsidRDefault="00AC6F3C">
            <w:pPr>
              <w:pStyle w:val="TableParagraph"/>
              <w:rPr>
                <w:rFonts w:ascii="Times New Roman"/>
                <w:sz w:val="12"/>
              </w:rPr>
            </w:pPr>
          </w:p>
        </w:tc>
        <w:tc>
          <w:tcPr>
            <w:tcW w:w="378" w:type="dxa"/>
          </w:tcPr>
          <w:p w14:paraId="125E2FFD" w14:textId="77777777" w:rsidR="00AC6F3C" w:rsidRDefault="00AC6F3C">
            <w:pPr>
              <w:pStyle w:val="TableParagraph"/>
              <w:rPr>
                <w:rFonts w:ascii="Times New Roman"/>
                <w:sz w:val="12"/>
              </w:rPr>
            </w:pPr>
          </w:p>
        </w:tc>
        <w:tc>
          <w:tcPr>
            <w:tcW w:w="1862" w:type="dxa"/>
          </w:tcPr>
          <w:p w14:paraId="4263AA8B" w14:textId="77777777" w:rsidR="00AC6F3C" w:rsidRDefault="00AC6F3C">
            <w:pPr>
              <w:pStyle w:val="TableParagraph"/>
              <w:rPr>
                <w:rFonts w:ascii="Times New Roman"/>
                <w:sz w:val="12"/>
              </w:rPr>
            </w:pPr>
          </w:p>
        </w:tc>
        <w:tc>
          <w:tcPr>
            <w:tcW w:w="2824" w:type="dxa"/>
          </w:tcPr>
          <w:p w14:paraId="049261BA" w14:textId="77777777" w:rsidR="00AC6F3C" w:rsidRDefault="00AC6F3C">
            <w:pPr>
              <w:pStyle w:val="TableParagraph"/>
              <w:rPr>
                <w:rFonts w:ascii="Times New Roman"/>
                <w:sz w:val="12"/>
              </w:rPr>
            </w:pPr>
          </w:p>
        </w:tc>
        <w:tc>
          <w:tcPr>
            <w:tcW w:w="797" w:type="dxa"/>
          </w:tcPr>
          <w:p w14:paraId="7EBBDE21" w14:textId="77777777" w:rsidR="00AC6F3C" w:rsidRDefault="00AC6F3C">
            <w:pPr>
              <w:pStyle w:val="TableParagraph"/>
              <w:rPr>
                <w:rFonts w:ascii="Times New Roman"/>
                <w:sz w:val="12"/>
              </w:rPr>
            </w:pPr>
          </w:p>
        </w:tc>
        <w:tc>
          <w:tcPr>
            <w:tcW w:w="822" w:type="dxa"/>
          </w:tcPr>
          <w:p w14:paraId="084595B9" w14:textId="77777777" w:rsidR="00AC6F3C" w:rsidRDefault="00AC6F3C">
            <w:pPr>
              <w:pStyle w:val="TableParagraph"/>
              <w:rPr>
                <w:rFonts w:ascii="Times New Roman"/>
                <w:sz w:val="12"/>
              </w:rPr>
            </w:pPr>
          </w:p>
        </w:tc>
        <w:tc>
          <w:tcPr>
            <w:tcW w:w="1217" w:type="dxa"/>
          </w:tcPr>
          <w:p w14:paraId="708D85E3" w14:textId="77777777" w:rsidR="00AC6F3C" w:rsidRDefault="00AC6F3C">
            <w:pPr>
              <w:pStyle w:val="TableParagraph"/>
              <w:rPr>
                <w:rFonts w:ascii="Times New Roman"/>
                <w:sz w:val="12"/>
              </w:rPr>
            </w:pPr>
          </w:p>
        </w:tc>
        <w:tc>
          <w:tcPr>
            <w:tcW w:w="1838" w:type="dxa"/>
          </w:tcPr>
          <w:p w14:paraId="005651B3" w14:textId="77777777" w:rsidR="00AC6F3C" w:rsidRDefault="00AC6F3C">
            <w:pPr>
              <w:pStyle w:val="TableParagraph"/>
              <w:rPr>
                <w:rFonts w:ascii="Times New Roman"/>
                <w:sz w:val="12"/>
              </w:rPr>
            </w:pPr>
          </w:p>
        </w:tc>
        <w:tc>
          <w:tcPr>
            <w:tcW w:w="833" w:type="dxa"/>
          </w:tcPr>
          <w:p w14:paraId="0A88F9CD" w14:textId="77777777" w:rsidR="00AC6F3C" w:rsidRDefault="00AC6F3C">
            <w:pPr>
              <w:pStyle w:val="TableParagraph"/>
              <w:rPr>
                <w:rFonts w:ascii="Times New Roman"/>
                <w:sz w:val="12"/>
              </w:rPr>
            </w:pPr>
          </w:p>
        </w:tc>
        <w:tc>
          <w:tcPr>
            <w:tcW w:w="1040" w:type="dxa"/>
          </w:tcPr>
          <w:p w14:paraId="43E3E2AC" w14:textId="77777777" w:rsidR="00AC6F3C" w:rsidRDefault="00AC6F3C">
            <w:pPr>
              <w:pStyle w:val="TableParagraph"/>
              <w:rPr>
                <w:rFonts w:ascii="Times New Roman"/>
                <w:sz w:val="12"/>
              </w:rPr>
            </w:pPr>
          </w:p>
        </w:tc>
        <w:tc>
          <w:tcPr>
            <w:tcW w:w="527" w:type="dxa"/>
          </w:tcPr>
          <w:p w14:paraId="187BC75B" w14:textId="77777777" w:rsidR="00AC6F3C" w:rsidRDefault="00AC6F3C">
            <w:pPr>
              <w:pStyle w:val="TableParagraph"/>
              <w:rPr>
                <w:rFonts w:ascii="Times New Roman"/>
                <w:sz w:val="12"/>
              </w:rPr>
            </w:pPr>
          </w:p>
        </w:tc>
        <w:tc>
          <w:tcPr>
            <w:tcW w:w="3009" w:type="dxa"/>
          </w:tcPr>
          <w:p w14:paraId="5F9BA14F" w14:textId="77777777" w:rsidR="00AC6F3C" w:rsidRDefault="00570E88">
            <w:pPr>
              <w:pStyle w:val="TableParagraph"/>
              <w:spacing w:before="1" w:line="159" w:lineRule="exact"/>
              <w:ind w:left="31"/>
              <w:rPr>
                <w:sz w:val="15"/>
              </w:rPr>
            </w:pPr>
            <w:r>
              <w:rPr>
                <w:spacing w:val="-4"/>
                <w:sz w:val="15"/>
              </w:rPr>
              <w:t>Building</w:t>
            </w:r>
            <w:r>
              <w:rPr>
                <w:spacing w:val="-5"/>
                <w:sz w:val="15"/>
              </w:rPr>
              <w:t xml:space="preserve"> </w:t>
            </w:r>
            <w:r>
              <w:rPr>
                <w:spacing w:val="-4"/>
                <w:sz w:val="15"/>
              </w:rPr>
              <w:t>Committee chaired by</w:t>
            </w:r>
            <w:r>
              <w:rPr>
                <w:spacing w:val="-5"/>
                <w:sz w:val="15"/>
              </w:rPr>
              <w:t xml:space="preserve"> </w:t>
            </w:r>
            <w:r>
              <w:rPr>
                <w:spacing w:val="-4"/>
                <w:sz w:val="15"/>
              </w:rPr>
              <w:t>the CFO have</w:t>
            </w:r>
          </w:p>
        </w:tc>
      </w:tr>
      <w:tr w:rsidR="00AC6F3C" w14:paraId="163D4015" w14:textId="77777777">
        <w:trPr>
          <w:trHeight w:val="180"/>
        </w:trPr>
        <w:tc>
          <w:tcPr>
            <w:tcW w:w="856" w:type="dxa"/>
          </w:tcPr>
          <w:p w14:paraId="34AC48C5" w14:textId="77777777" w:rsidR="00AC6F3C" w:rsidRDefault="00AC6F3C">
            <w:pPr>
              <w:pStyle w:val="TableParagraph"/>
              <w:rPr>
                <w:rFonts w:ascii="Times New Roman"/>
                <w:sz w:val="12"/>
              </w:rPr>
            </w:pPr>
          </w:p>
        </w:tc>
        <w:tc>
          <w:tcPr>
            <w:tcW w:w="378" w:type="dxa"/>
          </w:tcPr>
          <w:p w14:paraId="50707AD1" w14:textId="77777777" w:rsidR="00AC6F3C" w:rsidRDefault="00AC6F3C">
            <w:pPr>
              <w:pStyle w:val="TableParagraph"/>
              <w:rPr>
                <w:rFonts w:ascii="Times New Roman"/>
                <w:sz w:val="12"/>
              </w:rPr>
            </w:pPr>
          </w:p>
        </w:tc>
        <w:tc>
          <w:tcPr>
            <w:tcW w:w="1862" w:type="dxa"/>
          </w:tcPr>
          <w:p w14:paraId="0624882F" w14:textId="77777777" w:rsidR="00AC6F3C" w:rsidRDefault="00AC6F3C">
            <w:pPr>
              <w:pStyle w:val="TableParagraph"/>
              <w:rPr>
                <w:rFonts w:ascii="Times New Roman"/>
                <w:sz w:val="12"/>
              </w:rPr>
            </w:pPr>
          </w:p>
        </w:tc>
        <w:tc>
          <w:tcPr>
            <w:tcW w:w="2824" w:type="dxa"/>
          </w:tcPr>
          <w:p w14:paraId="428927E6" w14:textId="77777777" w:rsidR="00AC6F3C" w:rsidRDefault="00AC6F3C">
            <w:pPr>
              <w:pStyle w:val="TableParagraph"/>
              <w:rPr>
                <w:rFonts w:ascii="Times New Roman"/>
                <w:sz w:val="12"/>
              </w:rPr>
            </w:pPr>
          </w:p>
        </w:tc>
        <w:tc>
          <w:tcPr>
            <w:tcW w:w="797" w:type="dxa"/>
          </w:tcPr>
          <w:p w14:paraId="22CC7E92" w14:textId="77777777" w:rsidR="00AC6F3C" w:rsidRDefault="00AC6F3C">
            <w:pPr>
              <w:pStyle w:val="TableParagraph"/>
              <w:rPr>
                <w:rFonts w:ascii="Times New Roman"/>
                <w:sz w:val="12"/>
              </w:rPr>
            </w:pPr>
          </w:p>
        </w:tc>
        <w:tc>
          <w:tcPr>
            <w:tcW w:w="822" w:type="dxa"/>
          </w:tcPr>
          <w:p w14:paraId="1A205C9E" w14:textId="77777777" w:rsidR="00AC6F3C" w:rsidRDefault="00AC6F3C">
            <w:pPr>
              <w:pStyle w:val="TableParagraph"/>
              <w:rPr>
                <w:rFonts w:ascii="Times New Roman"/>
                <w:sz w:val="12"/>
              </w:rPr>
            </w:pPr>
          </w:p>
        </w:tc>
        <w:tc>
          <w:tcPr>
            <w:tcW w:w="1217" w:type="dxa"/>
          </w:tcPr>
          <w:p w14:paraId="668DC800" w14:textId="77777777" w:rsidR="00AC6F3C" w:rsidRDefault="00AC6F3C">
            <w:pPr>
              <w:pStyle w:val="TableParagraph"/>
              <w:rPr>
                <w:rFonts w:ascii="Times New Roman"/>
                <w:sz w:val="12"/>
              </w:rPr>
            </w:pPr>
          </w:p>
        </w:tc>
        <w:tc>
          <w:tcPr>
            <w:tcW w:w="1838" w:type="dxa"/>
          </w:tcPr>
          <w:p w14:paraId="683EA773" w14:textId="77777777" w:rsidR="00AC6F3C" w:rsidRDefault="00AC6F3C">
            <w:pPr>
              <w:pStyle w:val="TableParagraph"/>
              <w:rPr>
                <w:rFonts w:ascii="Times New Roman"/>
                <w:sz w:val="12"/>
              </w:rPr>
            </w:pPr>
          </w:p>
        </w:tc>
        <w:tc>
          <w:tcPr>
            <w:tcW w:w="833" w:type="dxa"/>
          </w:tcPr>
          <w:p w14:paraId="46AAE5DB" w14:textId="77777777" w:rsidR="00AC6F3C" w:rsidRDefault="00AC6F3C">
            <w:pPr>
              <w:pStyle w:val="TableParagraph"/>
              <w:rPr>
                <w:rFonts w:ascii="Times New Roman"/>
                <w:sz w:val="12"/>
              </w:rPr>
            </w:pPr>
          </w:p>
        </w:tc>
        <w:tc>
          <w:tcPr>
            <w:tcW w:w="1040" w:type="dxa"/>
          </w:tcPr>
          <w:p w14:paraId="2540DECC" w14:textId="77777777" w:rsidR="00AC6F3C" w:rsidRDefault="00AC6F3C">
            <w:pPr>
              <w:pStyle w:val="TableParagraph"/>
              <w:rPr>
                <w:rFonts w:ascii="Times New Roman"/>
                <w:sz w:val="12"/>
              </w:rPr>
            </w:pPr>
          </w:p>
        </w:tc>
        <w:tc>
          <w:tcPr>
            <w:tcW w:w="527" w:type="dxa"/>
          </w:tcPr>
          <w:p w14:paraId="44B00297" w14:textId="77777777" w:rsidR="00AC6F3C" w:rsidRDefault="00AC6F3C">
            <w:pPr>
              <w:pStyle w:val="TableParagraph"/>
              <w:rPr>
                <w:rFonts w:ascii="Times New Roman"/>
                <w:sz w:val="12"/>
              </w:rPr>
            </w:pPr>
          </w:p>
        </w:tc>
        <w:tc>
          <w:tcPr>
            <w:tcW w:w="3009" w:type="dxa"/>
          </w:tcPr>
          <w:p w14:paraId="2F602376" w14:textId="77777777" w:rsidR="00AC6F3C" w:rsidRDefault="00570E88">
            <w:pPr>
              <w:pStyle w:val="TableParagraph"/>
              <w:spacing w:before="1" w:line="159" w:lineRule="exact"/>
              <w:ind w:left="31"/>
              <w:rPr>
                <w:sz w:val="15"/>
              </w:rPr>
            </w:pPr>
            <w:proofErr w:type="gramStart"/>
            <w:r>
              <w:rPr>
                <w:spacing w:val="-4"/>
                <w:sz w:val="15"/>
              </w:rPr>
              <w:t>been</w:t>
            </w:r>
            <w:r>
              <w:rPr>
                <w:spacing w:val="-5"/>
                <w:sz w:val="15"/>
              </w:rPr>
              <w:t xml:space="preserve"> </w:t>
            </w:r>
            <w:r>
              <w:rPr>
                <w:spacing w:val="-4"/>
                <w:sz w:val="15"/>
              </w:rPr>
              <w:t>established</w:t>
            </w:r>
            <w:proofErr w:type="gramEnd"/>
            <w:r>
              <w:rPr>
                <w:spacing w:val="-5"/>
                <w:sz w:val="15"/>
              </w:rPr>
              <w:t xml:space="preserve"> </w:t>
            </w:r>
            <w:r>
              <w:rPr>
                <w:spacing w:val="-4"/>
                <w:sz w:val="15"/>
              </w:rPr>
              <w:t>and are</w:t>
            </w:r>
            <w:r>
              <w:rPr>
                <w:spacing w:val="-5"/>
                <w:sz w:val="15"/>
              </w:rPr>
              <w:t xml:space="preserve"> </w:t>
            </w:r>
            <w:r>
              <w:rPr>
                <w:spacing w:val="-4"/>
                <w:sz w:val="15"/>
              </w:rPr>
              <w:t>meeting</w:t>
            </w:r>
            <w:r>
              <w:rPr>
                <w:spacing w:val="-5"/>
                <w:sz w:val="15"/>
              </w:rPr>
              <w:t xml:space="preserve"> </w:t>
            </w:r>
            <w:r>
              <w:rPr>
                <w:spacing w:val="-4"/>
                <w:sz w:val="15"/>
              </w:rPr>
              <w:t xml:space="preserve">weekly. </w:t>
            </w:r>
            <w:r>
              <w:rPr>
                <w:spacing w:val="-5"/>
                <w:sz w:val="15"/>
              </w:rPr>
              <w:t>In</w:t>
            </w:r>
          </w:p>
        </w:tc>
      </w:tr>
      <w:tr w:rsidR="00AC6F3C" w14:paraId="18F59156" w14:textId="77777777">
        <w:trPr>
          <w:trHeight w:val="180"/>
        </w:trPr>
        <w:tc>
          <w:tcPr>
            <w:tcW w:w="856" w:type="dxa"/>
          </w:tcPr>
          <w:p w14:paraId="46D033C7" w14:textId="77777777" w:rsidR="00AC6F3C" w:rsidRDefault="00AC6F3C">
            <w:pPr>
              <w:pStyle w:val="TableParagraph"/>
              <w:rPr>
                <w:rFonts w:ascii="Times New Roman"/>
                <w:sz w:val="12"/>
              </w:rPr>
            </w:pPr>
          </w:p>
        </w:tc>
        <w:tc>
          <w:tcPr>
            <w:tcW w:w="378" w:type="dxa"/>
          </w:tcPr>
          <w:p w14:paraId="3C5F4471" w14:textId="77777777" w:rsidR="00AC6F3C" w:rsidRDefault="00AC6F3C">
            <w:pPr>
              <w:pStyle w:val="TableParagraph"/>
              <w:rPr>
                <w:rFonts w:ascii="Times New Roman"/>
                <w:sz w:val="12"/>
              </w:rPr>
            </w:pPr>
          </w:p>
        </w:tc>
        <w:tc>
          <w:tcPr>
            <w:tcW w:w="1862" w:type="dxa"/>
          </w:tcPr>
          <w:p w14:paraId="2DD17327" w14:textId="77777777" w:rsidR="00AC6F3C" w:rsidRDefault="00AC6F3C">
            <w:pPr>
              <w:pStyle w:val="TableParagraph"/>
              <w:rPr>
                <w:rFonts w:ascii="Times New Roman"/>
                <w:sz w:val="12"/>
              </w:rPr>
            </w:pPr>
          </w:p>
        </w:tc>
        <w:tc>
          <w:tcPr>
            <w:tcW w:w="2824" w:type="dxa"/>
          </w:tcPr>
          <w:p w14:paraId="573B5950" w14:textId="77777777" w:rsidR="00AC6F3C" w:rsidRDefault="00AC6F3C">
            <w:pPr>
              <w:pStyle w:val="TableParagraph"/>
              <w:rPr>
                <w:rFonts w:ascii="Times New Roman"/>
                <w:sz w:val="12"/>
              </w:rPr>
            </w:pPr>
          </w:p>
        </w:tc>
        <w:tc>
          <w:tcPr>
            <w:tcW w:w="797" w:type="dxa"/>
          </w:tcPr>
          <w:p w14:paraId="1ADE2A1B" w14:textId="77777777" w:rsidR="00AC6F3C" w:rsidRDefault="00AC6F3C">
            <w:pPr>
              <w:pStyle w:val="TableParagraph"/>
              <w:rPr>
                <w:rFonts w:ascii="Times New Roman"/>
                <w:sz w:val="12"/>
              </w:rPr>
            </w:pPr>
          </w:p>
        </w:tc>
        <w:tc>
          <w:tcPr>
            <w:tcW w:w="822" w:type="dxa"/>
          </w:tcPr>
          <w:p w14:paraId="580211B1" w14:textId="77777777" w:rsidR="00AC6F3C" w:rsidRDefault="00AC6F3C">
            <w:pPr>
              <w:pStyle w:val="TableParagraph"/>
              <w:rPr>
                <w:rFonts w:ascii="Times New Roman"/>
                <w:sz w:val="12"/>
              </w:rPr>
            </w:pPr>
          </w:p>
        </w:tc>
        <w:tc>
          <w:tcPr>
            <w:tcW w:w="1217" w:type="dxa"/>
          </w:tcPr>
          <w:p w14:paraId="626DA2DE" w14:textId="77777777" w:rsidR="00AC6F3C" w:rsidRDefault="00AC6F3C">
            <w:pPr>
              <w:pStyle w:val="TableParagraph"/>
              <w:rPr>
                <w:rFonts w:ascii="Times New Roman"/>
                <w:sz w:val="12"/>
              </w:rPr>
            </w:pPr>
          </w:p>
        </w:tc>
        <w:tc>
          <w:tcPr>
            <w:tcW w:w="1838" w:type="dxa"/>
          </w:tcPr>
          <w:p w14:paraId="230E0A3F" w14:textId="77777777" w:rsidR="00AC6F3C" w:rsidRDefault="00AC6F3C">
            <w:pPr>
              <w:pStyle w:val="TableParagraph"/>
              <w:rPr>
                <w:rFonts w:ascii="Times New Roman"/>
                <w:sz w:val="12"/>
              </w:rPr>
            </w:pPr>
          </w:p>
        </w:tc>
        <w:tc>
          <w:tcPr>
            <w:tcW w:w="833" w:type="dxa"/>
          </w:tcPr>
          <w:p w14:paraId="6CABE66E" w14:textId="77777777" w:rsidR="00AC6F3C" w:rsidRDefault="00AC6F3C">
            <w:pPr>
              <w:pStyle w:val="TableParagraph"/>
              <w:rPr>
                <w:rFonts w:ascii="Times New Roman"/>
                <w:sz w:val="12"/>
              </w:rPr>
            </w:pPr>
          </w:p>
        </w:tc>
        <w:tc>
          <w:tcPr>
            <w:tcW w:w="1040" w:type="dxa"/>
          </w:tcPr>
          <w:p w14:paraId="19B3F81C" w14:textId="77777777" w:rsidR="00AC6F3C" w:rsidRDefault="00AC6F3C">
            <w:pPr>
              <w:pStyle w:val="TableParagraph"/>
              <w:rPr>
                <w:rFonts w:ascii="Times New Roman"/>
                <w:sz w:val="12"/>
              </w:rPr>
            </w:pPr>
          </w:p>
        </w:tc>
        <w:tc>
          <w:tcPr>
            <w:tcW w:w="527" w:type="dxa"/>
          </w:tcPr>
          <w:p w14:paraId="2841FE40" w14:textId="77777777" w:rsidR="00AC6F3C" w:rsidRDefault="00AC6F3C">
            <w:pPr>
              <w:pStyle w:val="TableParagraph"/>
              <w:rPr>
                <w:rFonts w:ascii="Times New Roman"/>
                <w:sz w:val="12"/>
              </w:rPr>
            </w:pPr>
          </w:p>
        </w:tc>
        <w:tc>
          <w:tcPr>
            <w:tcW w:w="3009" w:type="dxa"/>
          </w:tcPr>
          <w:p w14:paraId="06C399F2" w14:textId="77777777" w:rsidR="00AC6F3C" w:rsidRDefault="00570E88">
            <w:pPr>
              <w:pStyle w:val="TableParagraph"/>
              <w:spacing w:before="1" w:line="159" w:lineRule="exact"/>
              <w:ind w:left="31"/>
              <w:rPr>
                <w:sz w:val="15"/>
              </w:rPr>
            </w:pPr>
            <w:r>
              <w:rPr>
                <w:spacing w:val="-4"/>
                <w:sz w:val="15"/>
              </w:rPr>
              <w:t>addition,</w:t>
            </w:r>
            <w:r>
              <w:rPr>
                <w:spacing w:val="-3"/>
                <w:sz w:val="15"/>
              </w:rPr>
              <w:t xml:space="preserve"> </w:t>
            </w:r>
            <w:r>
              <w:rPr>
                <w:spacing w:val="-4"/>
                <w:sz w:val="15"/>
              </w:rPr>
              <w:t>the</w:t>
            </w:r>
            <w:r>
              <w:rPr>
                <w:spacing w:val="-3"/>
                <w:sz w:val="15"/>
              </w:rPr>
              <w:t xml:space="preserve"> </w:t>
            </w:r>
            <w:r>
              <w:rPr>
                <w:spacing w:val="-4"/>
                <w:sz w:val="15"/>
              </w:rPr>
              <w:t>QLS</w:t>
            </w:r>
            <w:r>
              <w:rPr>
                <w:spacing w:val="-2"/>
                <w:sz w:val="15"/>
              </w:rPr>
              <w:t xml:space="preserve"> </w:t>
            </w:r>
            <w:r>
              <w:rPr>
                <w:spacing w:val="-4"/>
                <w:sz w:val="15"/>
              </w:rPr>
              <w:t>intranet</w:t>
            </w:r>
            <w:r>
              <w:rPr>
                <w:spacing w:val="-3"/>
                <w:sz w:val="15"/>
              </w:rPr>
              <w:t xml:space="preserve"> </w:t>
            </w:r>
            <w:r>
              <w:rPr>
                <w:spacing w:val="-4"/>
                <w:sz w:val="15"/>
              </w:rPr>
              <w:t>site</w:t>
            </w:r>
            <w:r>
              <w:rPr>
                <w:spacing w:val="-2"/>
                <w:sz w:val="15"/>
              </w:rPr>
              <w:t xml:space="preserve"> </w:t>
            </w:r>
            <w:r>
              <w:rPr>
                <w:spacing w:val="-4"/>
                <w:sz w:val="15"/>
              </w:rPr>
              <w:t>has</w:t>
            </w:r>
            <w:r>
              <w:rPr>
                <w:spacing w:val="-3"/>
                <w:sz w:val="15"/>
              </w:rPr>
              <w:t xml:space="preserve"> </w:t>
            </w:r>
            <w:r>
              <w:rPr>
                <w:spacing w:val="-4"/>
                <w:sz w:val="15"/>
              </w:rPr>
              <w:t>a</w:t>
            </w:r>
            <w:r>
              <w:rPr>
                <w:spacing w:val="-2"/>
                <w:sz w:val="15"/>
              </w:rPr>
              <w:t xml:space="preserve"> </w:t>
            </w:r>
            <w:r>
              <w:rPr>
                <w:spacing w:val="-4"/>
                <w:sz w:val="15"/>
              </w:rPr>
              <w:t>section</w:t>
            </w:r>
          </w:p>
        </w:tc>
      </w:tr>
      <w:tr w:rsidR="00AC6F3C" w14:paraId="1C7D2631" w14:textId="77777777">
        <w:trPr>
          <w:trHeight w:val="180"/>
        </w:trPr>
        <w:tc>
          <w:tcPr>
            <w:tcW w:w="856" w:type="dxa"/>
          </w:tcPr>
          <w:p w14:paraId="1FD56177" w14:textId="77777777" w:rsidR="00AC6F3C" w:rsidRDefault="00AC6F3C">
            <w:pPr>
              <w:pStyle w:val="TableParagraph"/>
              <w:rPr>
                <w:rFonts w:ascii="Times New Roman"/>
                <w:sz w:val="12"/>
              </w:rPr>
            </w:pPr>
          </w:p>
        </w:tc>
        <w:tc>
          <w:tcPr>
            <w:tcW w:w="378" w:type="dxa"/>
          </w:tcPr>
          <w:p w14:paraId="5808E82C" w14:textId="77777777" w:rsidR="00AC6F3C" w:rsidRDefault="00AC6F3C">
            <w:pPr>
              <w:pStyle w:val="TableParagraph"/>
              <w:rPr>
                <w:rFonts w:ascii="Times New Roman"/>
                <w:sz w:val="12"/>
              </w:rPr>
            </w:pPr>
          </w:p>
        </w:tc>
        <w:tc>
          <w:tcPr>
            <w:tcW w:w="1862" w:type="dxa"/>
          </w:tcPr>
          <w:p w14:paraId="68BFC6EF" w14:textId="77777777" w:rsidR="00AC6F3C" w:rsidRDefault="00AC6F3C">
            <w:pPr>
              <w:pStyle w:val="TableParagraph"/>
              <w:rPr>
                <w:rFonts w:ascii="Times New Roman"/>
                <w:sz w:val="12"/>
              </w:rPr>
            </w:pPr>
          </w:p>
        </w:tc>
        <w:tc>
          <w:tcPr>
            <w:tcW w:w="2824" w:type="dxa"/>
          </w:tcPr>
          <w:p w14:paraId="203FAEB2" w14:textId="77777777" w:rsidR="00AC6F3C" w:rsidRDefault="00AC6F3C">
            <w:pPr>
              <w:pStyle w:val="TableParagraph"/>
              <w:rPr>
                <w:rFonts w:ascii="Times New Roman"/>
                <w:sz w:val="12"/>
              </w:rPr>
            </w:pPr>
          </w:p>
        </w:tc>
        <w:tc>
          <w:tcPr>
            <w:tcW w:w="797" w:type="dxa"/>
          </w:tcPr>
          <w:p w14:paraId="461D9D68" w14:textId="77777777" w:rsidR="00AC6F3C" w:rsidRDefault="00AC6F3C">
            <w:pPr>
              <w:pStyle w:val="TableParagraph"/>
              <w:rPr>
                <w:rFonts w:ascii="Times New Roman"/>
                <w:sz w:val="12"/>
              </w:rPr>
            </w:pPr>
          </w:p>
        </w:tc>
        <w:tc>
          <w:tcPr>
            <w:tcW w:w="822" w:type="dxa"/>
          </w:tcPr>
          <w:p w14:paraId="792C8834" w14:textId="77777777" w:rsidR="00AC6F3C" w:rsidRDefault="00AC6F3C">
            <w:pPr>
              <w:pStyle w:val="TableParagraph"/>
              <w:rPr>
                <w:rFonts w:ascii="Times New Roman"/>
                <w:sz w:val="12"/>
              </w:rPr>
            </w:pPr>
          </w:p>
        </w:tc>
        <w:tc>
          <w:tcPr>
            <w:tcW w:w="1217" w:type="dxa"/>
          </w:tcPr>
          <w:p w14:paraId="3C722289" w14:textId="77777777" w:rsidR="00AC6F3C" w:rsidRDefault="00AC6F3C">
            <w:pPr>
              <w:pStyle w:val="TableParagraph"/>
              <w:rPr>
                <w:rFonts w:ascii="Times New Roman"/>
                <w:sz w:val="12"/>
              </w:rPr>
            </w:pPr>
          </w:p>
        </w:tc>
        <w:tc>
          <w:tcPr>
            <w:tcW w:w="1838" w:type="dxa"/>
          </w:tcPr>
          <w:p w14:paraId="01A3AE20" w14:textId="77777777" w:rsidR="00AC6F3C" w:rsidRDefault="00AC6F3C">
            <w:pPr>
              <w:pStyle w:val="TableParagraph"/>
              <w:rPr>
                <w:rFonts w:ascii="Times New Roman"/>
                <w:sz w:val="12"/>
              </w:rPr>
            </w:pPr>
          </w:p>
        </w:tc>
        <w:tc>
          <w:tcPr>
            <w:tcW w:w="833" w:type="dxa"/>
          </w:tcPr>
          <w:p w14:paraId="7F5BB89E" w14:textId="77777777" w:rsidR="00AC6F3C" w:rsidRDefault="00AC6F3C">
            <w:pPr>
              <w:pStyle w:val="TableParagraph"/>
              <w:rPr>
                <w:rFonts w:ascii="Times New Roman"/>
                <w:sz w:val="12"/>
              </w:rPr>
            </w:pPr>
          </w:p>
        </w:tc>
        <w:tc>
          <w:tcPr>
            <w:tcW w:w="1040" w:type="dxa"/>
          </w:tcPr>
          <w:p w14:paraId="7CC69209" w14:textId="77777777" w:rsidR="00AC6F3C" w:rsidRDefault="00AC6F3C">
            <w:pPr>
              <w:pStyle w:val="TableParagraph"/>
              <w:rPr>
                <w:rFonts w:ascii="Times New Roman"/>
                <w:sz w:val="12"/>
              </w:rPr>
            </w:pPr>
          </w:p>
        </w:tc>
        <w:tc>
          <w:tcPr>
            <w:tcW w:w="527" w:type="dxa"/>
          </w:tcPr>
          <w:p w14:paraId="68DD6CC3" w14:textId="77777777" w:rsidR="00AC6F3C" w:rsidRDefault="00AC6F3C">
            <w:pPr>
              <w:pStyle w:val="TableParagraph"/>
              <w:rPr>
                <w:rFonts w:ascii="Times New Roman"/>
                <w:sz w:val="12"/>
              </w:rPr>
            </w:pPr>
          </w:p>
        </w:tc>
        <w:tc>
          <w:tcPr>
            <w:tcW w:w="3009" w:type="dxa"/>
          </w:tcPr>
          <w:p w14:paraId="11A25AAC" w14:textId="77777777" w:rsidR="00AC6F3C" w:rsidRDefault="00570E88">
            <w:pPr>
              <w:pStyle w:val="TableParagraph"/>
              <w:spacing w:before="1" w:line="159" w:lineRule="exact"/>
              <w:ind w:left="31"/>
              <w:rPr>
                <w:sz w:val="15"/>
              </w:rPr>
            </w:pPr>
            <w:r>
              <w:rPr>
                <w:spacing w:val="-4"/>
                <w:sz w:val="15"/>
              </w:rPr>
              <w:t>dedicated</w:t>
            </w:r>
            <w:r>
              <w:rPr>
                <w:spacing w:val="-2"/>
                <w:sz w:val="15"/>
              </w:rPr>
              <w:t xml:space="preserve"> </w:t>
            </w:r>
            <w:r>
              <w:rPr>
                <w:spacing w:val="-4"/>
                <w:sz w:val="15"/>
              </w:rPr>
              <w:t>to</w:t>
            </w:r>
            <w:r>
              <w:rPr>
                <w:spacing w:val="-1"/>
                <w:sz w:val="15"/>
              </w:rPr>
              <w:t xml:space="preserve"> </w:t>
            </w:r>
            <w:r>
              <w:rPr>
                <w:spacing w:val="-4"/>
                <w:sz w:val="15"/>
              </w:rPr>
              <w:t>the</w:t>
            </w:r>
            <w:r>
              <w:rPr>
                <w:spacing w:val="-1"/>
                <w:sz w:val="15"/>
              </w:rPr>
              <w:t xml:space="preserve"> </w:t>
            </w:r>
            <w:r>
              <w:rPr>
                <w:spacing w:val="-4"/>
                <w:sz w:val="15"/>
              </w:rPr>
              <w:t>refurbishment</w:t>
            </w:r>
            <w:r>
              <w:rPr>
                <w:spacing w:val="-1"/>
                <w:sz w:val="15"/>
              </w:rPr>
              <w:t xml:space="preserve"> </w:t>
            </w:r>
            <w:r>
              <w:rPr>
                <w:spacing w:val="-4"/>
                <w:sz w:val="15"/>
              </w:rPr>
              <w:t>project</w:t>
            </w:r>
            <w:r>
              <w:rPr>
                <w:spacing w:val="-1"/>
                <w:sz w:val="15"/>
              </w:rPr>
              <w:t xml:space="preserve"> </w:t>
            </w:r>
            <w:r>
              <w:rPr>
                <w:spacing w:val="-4"/>
                <w:sz w:val="15"/>
              </w:rPr>
              <w:t>with</w:t>
            </w:r>
          </w:p>
        </w:tc>
      </w:tr>
      <w:tr w:rsidR="00AC6F3C" w14:paraId="2782839A" w14:textId="77777777">
        <w:trPr>
          <w:trHeight w:val="201"/>
        </w:trPr>
        <w:tc>
          <w:tcPr>
            <w:tcW w:w="856" w:type="dxa"/>
          </w:tcPr>
          <w:p w14:paraId="082EF800" w14:textId="77777777" w:rsidR="00AC6F3C" w:rsidRDefault="00AC6F3C">
            <w:pPr>
              <w:pStyle w:val="TableParagraph"/>
              <w:rPr>
                <w:rFonts w:ascii="Times New Roman"/>
                <w:sz w:val="14"/>
              </w:rPr>
            </w:pPr>
          </w:p>
        </w:tc>
        <w:tc>
          <w:tcPr>
            <w:tcW w:w="378" w:type="dxa"/>
          </w:tcPr>
          <w:p w14:paraId="0CECD572" w14:textId="77777777" w:rsidR="00AC6F3C" w:rsidRDefault="00AC6F3C">
            <w:pPr>
              <w:pStyle w:val="TableParagraph"/>
              <w:rPr>
                <w:rFonts w:ascii="Times New Roman"/>
                <w:sz w:val="14"/>
              </w:rPr>
            </w:pPr>
          </w:p>
        </w:tc>
        <w:tc>
          <w:tcPr>
            <w:tcW w:w="1862" w:type="dxa"/>
          </w:tcPr>
          <w:p w14:paraId="74C527CA" w14:textId="77777777" w:rsidR="00AC6F3C" w:rsidRDefault="00AC6F3C">
            <w:pPr>
              <w:pStyle w:val="TableParagraph"/>
              <w:rPr>
                <w:rFonts w:ascii="Times New Roman"/>
                <w:sz w:val="14"/>
              </w:rPr>
            </w:pPr>
          </w:p>
        </w:tc>
        <w:tc>
          <w:tcPr>
            <w:tcW w:w="2824" w:type="dxa"/>
          </w:tcPr>
          <w:p w14:paraId="4A94651F" w14:textId="77777777" w:rsidR="00AC6F3C" w:rsidRDefault="00AC6F3C">
            <w:pPr>
              <w:pStyle w:val="TableParagraph"/>
              <w:rPr>
                <w:rFonts w:ascii="Times New Roman"/>
                <w:sz w:val="14"/>
              </w:rPr>
            </w:pPr>
          </w:p>
        </w:tc>
        <w:tc>
          <w:tcPr>
            <w:tcW w:w="797" w:type="dxa"/>
          </w:tcPr>
          <w:p w14:paraId="39F8301A" w14:textId="77777777" w:rsidR="00AC6F3C" w:rsidRDefault="00AC6F3C">
            <w:pPr>
              <w:pStyle w:val="TableParagraph"/>
              <w:rPr>
                <w:rFonts w:ascii="Times New Roman"/>
                <w:sz w:val="14"/>
              </w:rPr>
            </w:pPr>
          </w:p>
        </w:tc>
        <w:tc>
          <w:tcPr>
            <w:tcW w:w="822" w:type="dxa"/>
          </w:tcPr>
          <w:p w14:paraId="015A271F" w14:textId="77777777" w:rsidR="00AC6F3C" w:rsidRDefault="00AC6F3C">
            <w:pPr>
              <w:pStyle w:val="TableParagraph"/>
              <w:rPr>
                <w:rFonts w:ascii="Times New Roman"/>
                <w:sz w:val="14"/>
              </w:rPr>
            </w:pPr>
          </w:p>
        </w:tc>
        <w:tc>
          <w:tcPr>
            <w:tcW w:w="1217" w:type="dxa"/>
          </w:tcPr>
          <w:p w14:paraId="7A9B8349" w14:textId="77777777" w:rsidR="00AC6F3C" w:rsidRDefault="00AC6F3C">
            <w:pPr>
              <w:pStyle w:val="TableParagraph"/>
              <w:rPr>
                <w:rFonts w:ascii="Times New Roman"/>
                <w:sz w:val="14"/>
              </w:rPr>
            </w:pPr>
          </w:p>
        </w:tc>
        <w:tc>
          <w:tcPr>
            <w:tcW w:w="1838" w:type="dxa"/>
          </w:tcPr>
          <w:p w14:paraId="3B087C1C" w14:textId="77777777" w:rsidR="00AC6F3C" w:rsidRDefault="00AC6F3C">
            <w:pPr>
              <w:pStyle w:val="TableParagraph"/>
              <w:rPr>
                <w:rFonts w:ascii="Times New Roman"/>
                <w:sz w:val="14"/>
              </w:rPr>
            </w:pPr>
          </w:p>
        </w:tc>
        <w:tc>
          <w:tcPr>
            <w:tcW w:w="833" w:type="dxa"/>
          </w:tcPr>
          <w:p w14:paraId="4F8E1576" w14:textId="77777777" w:rsidR="00AC6F3C" w:rsidRDefault="00AC6F3C">
            <w:pPr>
              <w:pStyle w:val="TableParagraph"/>
              <w:rPr>
                <w:rFonts w:ascii="Times New Roman"/>
                <w:sz w:val="14"/>
              </w:rPr>
            </w:pPr>
          </w:p>
        </w:tc>
        <w:tc>
          <w:tcPr>
            <w:tcW w:w="1040" w:type="dxa"/>
          </w:tcPr>
          <w:p w14:paraId="18DA4129" w14:textId="77777777" w:rsidR="00AC6F3C" w:rsidRDefault="00AC6F3C">
            <w:pPr>
              <w:pStyle w:val="TableParagraph"/>
              <w:rPr>
                <w:rFonts w:ascii="Times New Roman"/>
                <w:sz w:val="14"/>
              </w:rPr>
            </w:pPr>
          </w:p>
        </w:tc>
        <w:tc>
          <w:tcPr>
            <w:tcW w:w="527" w:type="dxa"/>
          </w:tcPr>
          <w:p w14:paraId="08028DF3" w14:textId="77777777" w:rsidR="00AC6F3C" w:rsidRDefault="00AC6F3C">
            <w:pPr>
              <w:pStyle w:val="TableParagraph"/>
              <w:rPr>
                <w:rFonts w:ascii="Times New Roman"/>
                <w:sz w:val="14"/>
              </w:rPr>
            </w:pPr>
          </w:p>
        </w:tc>
        <w:tc>
          <w:tcPr>
            <w:tcW w:w="3009" w:type="dxa"/>
          </w:tcPr>
          <w:p w14:paraId="650C64C3" w14:textId="77777777" w:rsidR="00AC6F3C" w:rsidRDefault="00570E88">
            <w:pPr>
              <w:pStyle w:val="TableParagraph"/>
              <w:spacing w:before="1"/>
              <w:ind w:left="31"/>
              <w:rPr>
                <w:sz w:val="15"/>
              </w:rPr>
            </w:pPr>
            <w:r>
              <w:rPr>
                <w:spacing w:val="-4"/>
                <w:sz w:val="15"/>
              </w:rPr>
              <w:t>extensive</w:t>
            </w:r>
            <w:r>
              <w:rPr>
                <w:spacing w:val="-5"/>
                <w:sz w:val="15"/>
              </w:rPr>
              <w:t xml:space="preserve"> </w:t>
            </w:r>
            <w:r>
              <w:rPr>
                <w:spacing w:val="-4"/>
                <w:sz w:val="15"/>
              </w:rPr>
              <w:t>information</w:t>
            </w:r>
            <w:r>
              <w:rPr>
                <w:spacing w:val="-5"/>
                <w:sz w:val="15"/>
              </w:rPr>
              <w:t xml:space="preserve"> </w:t>
            </w:r>
            <w:r>
              <w:rPr>
                <w:spacing w:val="-4"/>
                <w:sz w:val="15"/>
              </w:rPr>
              <w:t>and FAQs</w:t>
            </w:r>
            <w:r>
              <w:rPr>
                <w:spacing w:val="-5"/>
                <w:sz w:val="15"/>
              </w:rPr>
              <w:t xml:space="preserve"> </w:t>
            </w:r>
            <w:r>
              <w:rPr>
                <w:spacing w:val="-4"/>
                <w:sz w:val="15"/>
              </w:rPr>
              <w:t>for</w:t>
            </w:r>
            <w:r>
              <w:rPr>
                <w:spacing w:val="-5"/>
                <w:sz w:val="15"/>
              </w:rPr>
              <w:t xml:space="preserve"> </w:t>
            </w:r>
            <w:r>
              <w:rPr>
                <w:spacing w:val="-4"/>
                <w:sz w:val="15"/>
              </w:rPr>
              <w:t>staff.</w:t>
            </w:r>
          </w:p>
        </w:tc>
      </w:tr>
      <w:tr w:rsidR="00AC6F3C" w14:paraId="6F658E1C" w14:textId="77777777">
        <w:trPr>
          <w:trHeight w:val="201"/>
        </w:trPr>
        <w:tc>
          <w:tcPr>
            <w:tcW w:w="856" w:type="dxa"/>
          </w:tcPr>
          <w:p w14:paraId="54FF80F6" w14:textId="77777777" w:rsidR="00AC6F3C" w:rsidRDefault="00AC6F3C">
            <w:pPr>
              <w:pStyle w:val="TableParagraph"/>
              <w:rPr>
                <w:rFonts w:ascii="Times New Roman"/>
                <w:sz w:val="14"/>
              </w:rPr>
            </w:pPr>
          </w:p>
        </w:tc>
        <w:tc>
          <w:tcPr>
            <w:tcW w:w="378" w:type="dxa"/>
          </w:tcPr>
          <w:p w14:paraId="69034B49" w14:textId="77777777" w:rsidR="00AC6F3C" w:rsidRDefault="00AC6F3C">
            <w:pPr>
              <w:pStyle w:val="TableParagraph"/>
              <w:rPr>
                <w:rFonts w:ascii="Times New Roman"/>
                <w:sz w:val="14"/>
              </w:rPr>
            </w:pPr>
          </w:p>
        </w:tc>
        <w:tc>
          <w:tcPr>
            <w:tcW w:w="1862" w:type="dxa"/>
          </w:tcPr>
          <w:p w14:paraId="3E6C1B44" w14:textId="77777777" w:rsidR="00AC6F3C" w:rsidRDefault="00AC6F3C">
            <w:pPr>
              <w:pStyle w:val="TableParagraph"/>
              <w:rPr>
                <w:rFonts w:ascii="Times New Roman"/>
                <w:sz w:val="14"/>
              </w:rPr>
            </w:pPr>
          </w:p>
        </w:tc>
        <w:tc>
          <w:tcPr>
            <w:tcW w:w="2824" w:type="dxa"/>
          </w:tcPr>
          <w:p w14:paraId="545EE12F" w14:textId="77777777" w:rsidR="00AC6F3C" w:rsidRDefault="00AC6F3C">
            <w:pPr>
              <w:pStyle w:val="TableParagraph"/>
              <w:rPr>
                <w:rFonts w:ascii="Times New Roman"/>
                <w:sz w:val="14"/>
              </w:rPr>
            </w:pPr>
          </w:p>
        </w:tc>
        <w:tc>
          <w:tcPr>
            <w:tcW w:w="797" w:type="dxa"/>
          </w:tcPr>
          <w:p w14:paraId="56F1ADFA" w14:textId="77777777" w:rsidR="00AC6F3C" w:rsidRDefault="00AC6F3C">
            <w:pPr>
              <w:pStyle w:val="TableParagraph"/>
              <w:rPr>
                <w:rFonts w:ascii="Times New Roman"/>
                <w:sz w:val="14"/>
              </w:rPr>
            </w:pPr>
          </w:p>
        </w:tc>
        <w:tc>
          <w:tcPr>
            <w:tcW w:w="822" w:type="dxa"/>
          </w:tcPr>
          <w:p w14:paraId="10AC2ADD" w14:textId="77777777" w:rsidR="00AC6F3C" w:rsidRDefault="00AC6F3C">
            <w:pPr>
              <w:pStyle w:val="TableParagraph"/>
              <w:rPr>
                <w:rFonts w:ascii="Times New Roman"/>
                <w:sz w:val="14"/>
              </w:rPr>
            </w:pPr>
          </w:p>
        </w:tc>
        <w:tc>
          <w:tcPr>
            <w:tcW w:w="1217" w:type="dxa"/>
          </w:tcPr>
          <w:p w14:paraId="37F507FF" w14:textId="77777777" w:rsidR="00AC6F3C" w:rsidRDefault="00AC6F3C">
            <w:pPr>
              <w:pStyle w:val="TableParagraph"/>
              <w:rPr>
                <w:rFonts w:ascii="Times New Roman"/>
                <w:sz w:val="14"/>
              </w:rPr>
            </w:pPr>
          </w:p>
        </w:tc>
        <w:tc>
          <w:tcPr>
            <w:tcW w:w="1838" w:type="dxa"/>
          </w:tcPr>
          <w:p w14:paraId="4E40A5D1" w14:textId="77777777" w:rsidR="00AC6F3C" w:rsidRDefault="00AC6F3C">
            <w:pPr>
              <w:pStyle w:val="TableParagraph"/>
              <w:rPr>
                <w:rFonts w:ascii="Times New Roman"/>
                <w:sz w:val="14"/>
              </w:rPr>
            </w:pPr>
          </w:p>
        </w:tc>
        <w:tc>
          <w:tcPr>
            <w:tcW w:w="833" w:type="dxa"/>
          </w:tcPr>
          <w:p w14:paraId="21261726" w14:textId="77777777" w:rsidR="00AC6F3C" w:rsidRDefault="00AC6F3C">
            <w:pPr>
              <w:pStyle w:val="TableParagraph"/>
              <w:rPr>
                <w:rFonts w:ascii="Times New Roman"/>
                <w:sz w:val="14"/>
              </w:rPr>
            </w:pPr>
          </w:p>
        </w:tc>
        <w:tc>
          <w:tcPr>
            <w:tcW w:w="1040" w:type="dxa"/>
          </w:tcPr>
          <w:p w14:paraId="4D52C693" w14:textId="77777777" w:rsidR="00AC6F3C" w:rsidRDefault="00AC6F3C">
            <w:pPr>
              <w:pStyle w:val="TableParagraph"/>
              <w:rPr>
                <w:rFonts w:ascii="Times New Roman"/>
                <w:sz w:val="14"/>
              </w:rPr>
            </w:pPr>
          </w:p>
        </w:tc>
        <w:tc>
          <w:tcPr>
            <w:tcW w:w="527" w:type="dxa"/>
          </w:tcPr>
          <w:p w14:paraId="7B98D0F6" w14:textId="77777777" w:rsidR="00AC6F3C" w:rsidRDefault="00AC6F3C">
            <w:pPr>
              <w:pStyle w:val="TableParagraph"/>
              <w:rPr>
                <w:rFonts w:ascii="Times New Roman"/>
                <w:sz w:val="14"/>
              </w:rPr>
            </w:pPr>
          </w:p>
        </w:tc>
        <w:tc>
          <w:tcPr>
            <w:tcW w:w="3009" w:type="dxa"/>
          </w:tcPr>
          <w:p w14:paraId="30956C39" w14:textId="77777777" w:rsidR="00AC6F3C" w:rsidRDefault="00570E88">
            <w:pPr>
              <w:pStyle w:val="TableParagraph"/>
              <w:spacing w:before="22" w:line="159" w:lineRule="exact"/>
              <w:ind w:left="31"/>
              <w:rPr>
                <w:sz w:val="15"/>
              </w:rPr>
            </w:pPr>
            <w:r>
              <w:rPr>
                <w:spacing w:val="-4"/>
                <w:sz w:val="15"/>
              </w:rPr>
              <w:t>Stage</w:t>
            </w:r>
            <w:r>
              <w:rPr>
                <w:spacing w:val="-5"/>
                <w:sz w:val="15"/>
              </w:rPr>
              <w:t xml:space="preserve"> </w:t>
            </w:r>
            <w:r>
              <w:rPr>
                <w:spacing w:val="-4"/>
                <w:sz w:val="15"/>
              </w:rPr>
              <w:t>1</w:t>
            </w:r>
            <w:r>
              <w:rPr>
                <w:spacing w:val="-5"/>
                <w:sz w:val="15"/>
              </w:rPr>
              <w:t xml:space="preserve"> </w:t>
            </w:r>
            <w:r>
              <w:rPr>
                <w:spacing w:val="-4"/>
                <w:sz w:val="15"/>
              </w:rPr>
              <w:t>being</w:t>
            </w:r>
            <w:r>
              <w:rPr>
                <w:spacing w:val="-5"/>
                <w:sz w:val="15"/>
              </w:rPr>
              <w:t xml:space="preserve"> </w:t>
            </w:r>
            <w:r>
              <w:rPr>
                <w:spacing w:val="-4"/>
                <w:sz w:val="15"/>
              </w:rPr>
              <w:t>level</w:t>
            </w:r>
            <w:r>
              <w:rPr>
                <w:spacing w:val="-5"/>
                <w:sz w:val="15"/>
              </w:rPr>
              <w:t xml:space="preserve"> </w:t>
            </w:r>
            <w:r>
              <w:rPr>
                <w:spacing w:val="-4"/>
                <w:sz w:val="15"/>
              </w:rPr>
              <w:t>4</w:t>
            </w:r>
            <w:r>
              <w:rPr>
                <w:spacing w:val="-5"/>
                <w:sz w:val="15"/>
              </w:rPr>
              <w:t xml:space="preserve"> </w:t>
            </w:r>
            <w:proofErr w:type="gramStart"/>
            <w:r>
              <w:rPr>
                <w:spacing w:val="-4"/>
                <w:sz w:val="15"/>
              </w:rPr>
              <w:t>was</w:t>
            </w:r>
            <w:r>
              <w:rPr>
                <w:spacing w:val="-5"/>
                <w:sz w:val="15"/>
              </w:rPr>
              <w:t xml:space="preserve"> </w:t>
            </w:r>
            <w:r>
              <w:rPr>
                <w:spacing w:val="-4"/>
                <w:sz w:val="15"/>
              </w:rPr>
              <w:t>completed</w:t>
            </w:r>
            <w:proofErr w:type="gramEnd"/>
          </w:p>
        </w:tc>
      </w:tr>
      <w:tr w:rsidR="00AC6F3C" w14:paraId="6F777891" w14:textId="77777777">
        <w:trPr>
          <w:trHeight w:val="201"/>
        </w:trPr>
        <w:tc>
          <w:tcPr>
            <w:tcW w:w="856" w:type="dxa"/>
          </w:tcPr>
          <w:p w14:paraId="2609CC59" w14:textId="77777777" w:rsidR="00AC6F3C" w:rsidRDefault="00AC6F3C">
            <w:pPr>
              <w:pStyle w:val="TableParagraph"/>
              <w:rPr>
                <w:rFonts w:ascii="Times New Roman"/>
                <w:sz w:val="14"/>
              </w:rPr>
            </w:pPr>
          </w:p>
        </w:tc>
        <w:tc>
          <w:tcPr>
            <w:tcW w:w="378" w:type="dxa"/>
          </w:tcPr>
          <w:p w14:paraId="60F135B1" w14:textId="77777777" w:rsidR="00AC6F3C" w:rsidRDefault="00AC6F3C">
            <w:pPr>
              <w:pStyle w:val="TableParagraph"/>
              <w:rPr>
                <w:rFonts w:ascii="Times New Roman"/>
                <w:sz w:val="14"/>
              </w:rPr>
            </w:pPr>
          </w:p>
        </w:tc>
        <w:tc>
          <w:tcPr>
            <w:tcW w:w="1862" w:type="dxa"/>
          </w:tcPr>
          <w:p w14:paraId="20A5AC75" w14:textId="77777777" w:rsidR="00AC6F3C" w:rsidRDefault="00AC6F3C">
            <w:pPr>
              <w:pStyle w:val="TableParagraph"/>
              <w:rPr>
                <w:rFonts w:ascii="Times New Roman"/>
                <w:sz w:val="14"/>
              </w:rPr>
            </w:pPr>
          </w:p>
        </w:tc>
        <w:tc>
          <w:tcPr>
            <w:tcW w:w="2824" w:type="dxa"/>
          </w:tcPr>
          <w:p w14:paraId="0ED5C03A" w14:textId="77777777" w:rsidR="00AC6F3C" w:rsidRDefault="00AC6F3C">
            <w:pPr>
              <w:pStyle w:val="TableParagraph"/>
              <w:rPr>
                <w:rFonts w:ascii="Times New Roman"/>
                <w:sz w:val="14"/>
              </w:rPr>
            </w:pPr>
          </w:p>
        </w:tc>
        <w:tc>
          <w:tcPr>
            <w:tcW w:w="797" w:type="dxa"/>
          </w:tcPr>
          <w:p w14:paraId="393C1BA1" w14:textId="77777777" w:rsidR="00AC6F3C" w:rsidRDefault="00AC6F3C">
            <w:pPr>
              <w:pStyle w:val="TableParagraph"/>
              <w:rPr>
                <w:rFonts w:ascii="Times New Roman"/>
                <w:sz w:val="14"/>
              </w:rPr>
            </w:pPr>
          </w:p>
        </w:tc>
        <w:tc>
          <w:tcPr>
            <w:tcW w:w="822" w:type="dxa"/>
          </w:tcPr>
          <w:p w14:paraId="51FCCFEC" w14:textId="77777777" w:rsidR="00AC6F3C" w:rsidRDefault="00AC6F3C">
            <w:pPr>
              <w:pStyle w:val="TableParagraph"/>
              <w:rPr>
                <w:rFonts w:ascii="Times New Roman"/>
                <w:sz w:val="14"/>
              </w:rPr>
            </w:pPr>
          </w:p>
        </w:tc>
        <w:tc>
          <w:tcPr>
            <w:tcW w:w="1217" w:type="dxa"/>
          </w:tcPr>
          <w:p w14:paraId="6AC161CE" w14:textId="77777777" w:rsidR="00AC6F3C" w:rsidRDefault="00AC6F3C">
            <w:pPr>
              <w:pStyle w:val="TableParagraph"/>
              <w:rPr>
                <w:rFonts w:ascii="Times New Roman"/>
                <w:sz w:val="14"/>
              </w:rPr>
            </w:pPr>
          </w:p>
        </w:tc>
        <w:tc>
          <w:tcPr>
            <w:tcW w:w="1838" w:type="dxa"/>
          </w:tcPr>
          <w:p w14:paraId="17D20A35" w14:textId="77777777" w:rsidR="00AC6F3C" w:rsidRDefault="00AC6F3C">
            <w:pPr>
              <w:pStyle w:val="TableParagraph"/>
              <w:rPr>
                <w:rFonts w:ascii="Times New Roman"/>
                <w:sz w:val="14"/>
              </w:rPr>
            </w:pPr>
          </w:p>
        </w:tc>
        <w:tc>
          <w:tcPr>
            <w:tcW w:w="833" w:type="dxa"/>
          </w:tcPr>
          <w:p w14:paraId="6FDE5C15" w14:textId="77777777" w:rsidR="00AC6F3C" w:rsidRDefault="00AC6F3C">
            <w:pPr>
              <w:pStyle w:val="TableParagraph"/>
              <w:rPr>
                <w:rFonts w:ascii="Times New Roman"/>
                <w:sz w:val="14"/>
              </w:rPr>
            </w:pPr>
          </w:p>
        </w:tc>
        <w:tc>
          <w:tcPr>
            <w:tcW w:w="1040" w:type="dxa"/>
          </w:tcPr>
          <w:p w14:paraId="407F80BF" w14:textId="77777777" w:rsidR="00AC6F3C" w:rsidRDefault="00AC6F3C">
            <w:pPr>
              <w:pStyle w:val="TableParagraph"/>
              <w:rPr>
                <w:rFonts w:ascii="Times New Roman"/>
                <w:sz w:val="14"/>
              </w:rPr>
            </w:pPr>
          </w:p>
        </w:tc>
        <w:tc>
          <w:tcPr>
            <w:tcW w:w="527" w:type="dxa"/>
          </w:tcPr>
          <w:p w14:paraId="767B079C" w14:textId="77777777" w:rsidR="00AC6F3C" w:rsidRDefault="00AC6F3C">
            <w:pPr>
              <w:pStyle w:val="TableParagraph"/>
              <w:rPr>
                <w:rFonts w:ascii="Times New Roman"/>
                <w:sz w:val="14"/>
              </w:rPr>
            </w:pPr>
          </w:p>
        </w:tc>
        <w:tc>
          <w:tcPr>
            <w:tcW w:w="3009" w:type="dxa"/>
          </w:tcPr>
          <w:p w14:paraId="68DFDEE9" w14:textId="77777777" w:rsidR="00AC6F3C" w:rsidRDefault="00570E88">
            <w:pPr>
              <w:pStyle w:val="TableParagraph"/>
              <w:spacing w:before="1"/>
              <w:ind w:left="31"/>
              <w:rPr>
                <w:sz w:val="15"/>
              </w:rPr>
            </w:pPr>
            <w:r>
              <w:rPr>
                <w:spacing w:val="-4"/>
                <w:sz w:val="15"/>
              </w:rPr>
              <w:t>on</w:t>
            </w:r>
            <w:r>
              <w:rPr>
                <w:spacing w:val="-6"/>
                <w:sz w:val="15"/>
              </w:rPr>
              <w:t xml:space="preserve"> </w:t>
            </w:r>
            <w:r>
              <w:rPr>
                <w:spacing w:val="-4"/>
                <w:sz w:val="15"/>
              </w:rPr>
              <w:t>19</w:t>
            </w:r>
            <w:r>
              <w:rPr>
                <w:spacing w:val="-5"/>
                <w:sz w:val="15"/>
              </w:rPr>
              <w:t xml:space="preserve"> </w:t>
            </w:r>
            <w:r>
              <w:rPr>
                <w:spacing w:val="-4"/>
                <w:sz w:val="15"/>
              </w:rPr>
              <w:t>January</w:t>
            </w:r>
            <w:r>
              <w:rPr>
                <w:spacing w:val="-5"/>
                <w:sz w:val="15"/>
              </w:rPr>
              <w:t xml:space="preserve"> </w:t>
            </w:r>
            <w:r>
              <w:rPr>
                <w:spacing w:val="-4"/>
                <w:sz w:val="15"/>
              </w:rPr>
              <w:t>2023.</w:t>
            </w:r>
          </w:p>
        </w:tc>
      </w:tr>
      <w:tr w:rsidR="00AC6F3C" w14:paraId="3BC38360" w14:textId="77777777">
        <w:trPr>
          <w:trHeight w:val="201"/>
        </w:trPr>
        <w:tc>
          <w:tcPr>
            <w:tcW w:w="856" w:type="dxa"/>
          </w:tcPr>
          <w:p w14:paraId="55595068" w14:textId="77777777" w:rsidR="00AC6F3C" w:rsidRDefault="00AC6F3C">
            <w:pPr>
              <w:pStyle w:val="TableParagraph"/>
              <w:rPr>
                <w:rFonts w:ascii="Times New Roman"/>
                <w:sz w:val="14"/>
              </w:rPr>
            </w:pPr>
          </w:p>
        </w:tc>
        <w:tc>
          <w:tcPr>
            <w:tcW w:w="378" w:type="dxa"/>
          </w:tcPr>
          <w:p w14:paraId="5E6E77D4" w14:textId="77777777" w:rsidR="00AC6F3C" w:rsidRDefault="00AC6F3C">
            <w:pPr>
              <w:pStyle w:val="TableParagraph"/>
              <w:rPr>
                <w:rFonts w:ascii="Times New Roman"/>
                <w:sz w:val="14"/>
              </w:rPr>
            </w:pPr>
          </w:p>
        </w:tc>
        <w:tc>
          <w:tcPr>
            <w:tcW w:w="1862" w:type="dxa"/>
          </w:tcPr>
          <w:p w14:paraId="4EF7D5E2" w14:textId="77777777" w:rsidR="00AC6F3C" w:rsidRDefault="00AC6F3C">
            <w:pPr>
              <w:pStyle w:val="TableParagraph"/>
              <w:rPr>
                <w:rFonts w:ascii="Times New Roman"/>
                <w:sz w:val="14"/>
              </w:rPr>
            </w:pPr>
          </w:p>
        </w:tc>
        <w:tc>
          <w:tcPr>
            <w:tcW w:w="2824" w:type="dxa"/>
          </w:tcPr>
          <w:p w14:paraId="14D51F16" w14:textId="77777777" w:rsidR="00AC6F3C" w:rsidRDefault="00AC6F3C">
            <w:pPr>
              <w:pStyle w:val="TableParagraph"/>
              <w:rPr>
                <w:rFonts w:ascii="Times New Roman"/>
                <w:sz w:val="14"/>
              </w:rPr>
            </w:pPr>
          </w:p>
        </w:tc>
        <w:tc>
          <w:tcPr>
            <w:tcW w:w="797" w:type="dxa"/>
          </w:tcPr>
          <w:p w14:paraId="4F165C9E" w14:textId="77777777" w:rsidR="00AC6F3C" w:rsidRDefault="00AC6F3C">
            <w:pPr>
              <w:pStyle w:val="TableParagraph"/>
              <w:rPr>
                <w:rFonts w:ascii="Times New Roman"/>
                <w:sz w:val="14"/>
              </w:rPr>
            </w:pPr>
          </w:p>
        </w:tc>
        <w:tc>
          <w:tcPr>
            <w:tcW w:w="822" w:type="dxa"/>
          </w:tcPr>
          <w:p w14:paraId="27EBFA22" w14:textId="77777777" w:rsidR="00AC6F3C" w:rsidRDefault="00AC6F3C">
            <w:pPr>
              <w:pStyle w:val="TableParagraph"/>
              <w:rPr>
                <w:rFonts w:ascii="Times New Roman"/>
                <w:sz w:val="14"/>
              </w:rPr>
            </w:pPr>
          </w:p>
        </w:tc>
        <w:tc>
          <w:tcPr>
            <w:tcW w:w="1217" w:type="dxa"/>
          </w:tcPr>
          <w:p w14:paraId="22E7B0F0" w14:textId="77777777" w:rsidR="00AC6F3C" w:rsidRDefault="00AC6F3C">
            <w:pPr>
              <w:pStyle w:val="TableParagraph"/>
              <w:rPr>
                <w:rFonts w:ascii="Times New Roman"/>
                <w:sz w:val="14"/>
              </w:rPr>
            </w:pPr>
          </w:p>
        </w:tc>
        <w:tc>
          <w:tcPr>
            <w:tcW w:w="1838" w:type="dxa"/>
          </w:tcPr>
          <w:p w14:paraId="2D7B9EB6" w14:textId="77777777" w:rsidR="00AC6F3C" w:rsidRDefault="00AC6F3C">
            <w:pPr>
              <w:pStyle w:val="TableParagraph"/>
              <w:rPr>
                <w:rFonts w:ascii="Times New Roman"/>
                <w:sz w:val="14"/>
              </w:rPr>
            </w:pPr>
          </w:p>
        </w:tc>
        <w:tc>
          <w:tcPr>
            <w:tcW w:w="833" w:type="dxa"/>
          </w:tcPr>
          <w:p w14:paraId="7A847671" w14:textId="77777777" w:rsidR="00AC6F3C" w:rsidRDefault="00AC6F3C">
            <w:pPr>
              <w:pStyle w:val="TableParagraph"/>
              <w:rPr>
                <w:rFonts w:ascii="Times New Roman"/>
                <w:sz w:val="14"/>
              </w:rPr>
            </w:pPr>
          </w:p>
        </w:tc>
        <w:tc>
          <w:tcPr>
            <w:tcW w:w="1040" w:type="dxa"/>
          </w:tcPr>
          <w:p w14:paraId="46C0D472" w14:textId="77777777" w:rsidR="00AC6F3C" w:rsidRDefault="00AC6F3C">
            <w:pPr>
              <w:pStyle w:val="TableParagraph"/>
              <w:rPr>
                <w:rFonts w:ascii="Times New Roman"/>
                <w:sz w:val="14"/>
              </w:rPr>
            </w:pPr>
          </w:p>
        </w:tc>
        <w:tc>
          <w:tcPr>
            <w:tcW w:w="527" w:type="dxa"/>
          </w:tcPr>
          <w:p w14:paraId="6EA2FBF1" w14:textId="77777777" w:rsidR="00AC6F3C" w:rsidRDefault="00AC6F3C">
            <w:pPr>
              <w:pStyle w:val="TableParagraph"/>
              <w:rPr>
                <w:rFonts w:ascii="Times New Roman"/>
                <w:sz w:val="14"/>
              </w:rPr>
            </w:pPr>
          </w:p>
        </w:tc>
        <w:tc>
          <w:tcPr>
            <w:tcW w:w="3009" w:type="dxa"/>
          </w:tcPr>
          <w:p w14:paraId="7DA84748" w14:textId="77777777" w:rsidR="00AC6F3C" w:rsidRDefault="00570E88">
            <w:pPr>
              <w:pStyle w:val="TableParagraph"/>
              <w:spacing w:before="22" w:line="159" w:lineRule="exact"/>
              <w:ind w:left="31"/>
              <w:rPr>
                <w:sz w:val="15"/>
              </w:rPr>
            </w:pPr>
            <w:r>
              <w:rPr>
                <w:spacing w:val="-4"/>
                <w:sz w:val="15"/>
              </w:rPr>
              <w:t>Stage</w:t>
            </w:r>
            <w:r>
              <w:rPr>
                <w:spacing w:val="-5"/>
                <w:sz w:val="15"/>
              </w:rPr>
              <w:t xml:space="preserve"> </w:t>
            </w:r>
            <w:r>
              <w:rPr>
                <w:spacing w:val="-4"/>
                <w:sz w:val="15"/>
              </w:rPr>
              <w:t>2</w:t>
            </w:r>
            <w:r>
              <w:rPr>
                <w:spacing w:val="-5"/>
                <w:sz w:val="15"/>
              </w:rPr>
              <w:t xml:space="preserve"> </w:t>
            </w:r>
            <w:r>
              <w:rPr>
                <w:spacing w:val="-4"/>
                <w:sz w:val="15"/>
              </w:rPr>
              <w:t>being</w:t>
            </w:r>
            <w:r>
              <w:rPr>
                <w:spacing w:val="-5"/>
                <w:sz w:val="15"/>
              </w:rPr>
              <w:t xml:space="preserve"> </w:t>
            </w:r>
            <w:r>
              <w:rPr>
                <w:spacing w:val="-4"/>
                <w:sz w:val="15"/>
              </w:rPr>
              <w:t>levels</w:t>
            </w:r>
            <w:r>
              <w:rPr>
                <w:spacing w:val="-5"/>
                <w:sz w:val="15"/>
              </w:rPr>
              <w:t xml:space="preserve"> </w:t>
            </w:r>
            <w:r>
              <w:rPr>
                <w:spacing w:val="-4"/>
                <w:sz w:val="15"/>
              </w:rPr>
              <w:t>5</w:t>
            </w:r>
            <w:r>
              <w:rPr>
                <w:spacing w:val="-5"/>
                <w:sz w:val="15"/>
              </w:rPr>
              <w:t xml:space="preserve"> </w:t>
            </w:r>
            <w:r>
              <w:rPr>
                <w:spacing w:val="-4"/>
                <w:sz w:val="15"/>
              </w:rPr>
              <w:t>and</w:t>
            </w:r>
            <w:r>
              <w:rPr>
                <w:spacing w:val="-5"/>
                <w:sz w:val="15"/>
              </w:rPr>
              <w:t xml:space="preserve"> </w:t>
            </w:r>
            <w:r>
              <w:rPr>
                <w:spacing w:val="-4"/>
                <w:sz w:val="15"/>
              </w:rPr>
              <w:t>6</w:t>
            </w:r>
            <w:r>
              <w:rPr>
                <w:spacing w:val="-5"/>
                <w:sz w:val="15"/>
              </w:rPr>
              <w:t xml:space="preserve"> </w:t>
            </w:r>
            <w:proofErr w:type="gramStart"/>
            <w:r>
              <w:rPr>
                <w:spacing w:val="-4"/>
                <w:sz w:val="15"/>
              </w:rPr>
              <w:t>was</w:t>
            </w:r>
            <w:r>
              <w:rPr>
                <w:spacing w:val="-5"/>
                <w:sz w:val="15"/>
              </w:rPr>
              <w:t xml:space="preserve"> </w:t>
            </w:r>
            <w:r>
              <w:rPr>
                <w:spacing w:val="-4"/>
                <w:sz w:val="15"/>
              </w:rPr>
              <w:t>completed</w:t>
            </w:r>
            <w:proofErr w:type="gramEnd"/>
          </w:p>
        </w:tc>
      </w:tr>
      <w:tr w:rsidR="00AC6F3C" w14:paraId="5B397E77" w14:textId="77777777">
        <w:trPr>
          <w:trHeight w:val="201"/>
        </w:trPr>
        <w:tc>
          <w:tcPr>
            <w:tcW w:w="856" w:type="dxa"/>
          </w:tcPr>
          <w:p w14:paraId="5693DB35" w14:textId="77777777" w:rsidR="00AC6F3C" w:rsidRDefault="00AC6F3C">
            <w:pPr>
              <w:pStyle w:val="TableParagraph"/>
              <w:rPr>
                <w:rFonts w:ascii="Times New Roman"/>
                <w:sz w:val="14"/>
              </w:rPr>
            </w:pPr>
          </w:p>
        </w:tc>
        <w:tc>
          <w:tcPr>
            <w:tcW w:w="378" w:type="dxa"/>
          </w:tcPr>
          <w:p w14:paraId="014D5839" w14:textId="77777777" w:rsidR="00AC6F3C" w:rsidRDefault="00AC6F3C">
            <w:pPr>
              <w:pStyle w:val="TableParagraph"/>
              <w:rPr>
                <w:rFonts w:ascii="Times New Roman"/>
                <w:sz w:val="14"/>
              </w:rPr>
            </w:pPr>
          </w:p>
        </w:tc>
        <w:tc>
          <w:tcPr>
            <w:tcW w:w="1862" w:type="dxa"/>
          </w:tcPr>
          <w:p w14:paraId="0F3E3FA1" w14:textId="77777777" w:rsidR="00AC6F3C" w:rsidRDefault="00AC6F3C">
            <w:pPr>
              <w:pStyle w:val="TableParagraph"/>
              <w:rPr>
                <w:rFonts w:ascii="Times New Roman"/>
                <w:sz w:val="14"/>
              </w:rPr>
            </w:pPr>
          </w:p>
        </w:tc>
        <w:tc>
          <w:tcPr>
            <w:tcW w:w="2824" w:type="dxa"/>
          </w:tcPr>
          <w:p w14:paraId="621BAA73" w14:textId="77777777" w:rsidR="00AC6F3C" w:rsidRDefault="00AC6F3C">
            <w:pPr>
              <w:pStyle w:val="TableParagraph"/>
              <w:rPr>
                <w:rFonts w:ascii="Times New Roman"/>
                <w:sz w:val="14"/>
              </w:rPr>
            </w:pPr>
          </w:p>
        </w:tc>
        <w:tc>
          <w:tcPr>
            <w:tcW w:w="797" w:type="dxa"/>
          </w:tcPr>
          <w:p w14:paraId="5A66F480" w14:textId="77777777" w:rsidR="00AC6F3C" w:rsidRDefault="00AC6F3C">
            <w:pPr>
              <w:pStyle w:val="TableParagraph"/>
              <w:rPr>
                <w:rFonts w:ascii="Times New Roman"/>
                <w:sz w:val="14"/>
              </w:rPr>
            </w:pPr>
          </w:p>
        </w:tc>
        <w:tc>
          <w:tcPr>
            <w:tcW w:w="822" w:type="dxa"/>
          </w:tcPr>
          <w:p w14:paraId="3ABEB841" w14:textId="77777777" w:rsidR="00AC6F3C" w:rsidRDefault="00AC6F3C">
            <w:pPr>
              <w:pStyle w:val="TableParagraph"/>
              <w:rPr>
                <w:rFonts w:ascii="Times New Roman"/>
                <w:sz w:val="14"/>
              </w:rPr>
            </w:pPr>
          </w:p>
        </w:tc>
        <w:tc>
          <w:tcPr>
            <w:tcW w:w="1217" w:type="dxa"/>
          </w:tcPr>
          <w:p w14:paraId="41AF62B7" w14:textId="77777777" w:rsidR="00AC6F3C" w:rsidRDefault="00AC6F3C">
            <w:pPr>
              <w:pStyle w:val="TableParagraph"/>
              <w:rPr>
                <w:rFonts w:ascii="Times New Roman"/>
                <w:sz w:val="14"/>
              </w:rPr>
            </w:pPr>
          </w:p>
        </w:tc>
        <w:tc>
          <w:tcPr>
            <w:tcW w:w="1838" w:type="dxa"/>
          </w:tcPr>
          <w:p w14:paraId="006ADCCD" w14:textId="77777777" w:rsidR="00AC6F3C" w:rsidRDefault="00AC6F3C">
            <w:pPr>
              <w:pStyle w:val="TableParagraph"/>
              <w:rPr>
                <w:rFonts w:ascii="Times New Roman"/>
                <w:sz w:val="14"/>
              </w:rPr>
            </w:pPr>
          </w:p>
        </w:tc>
        <w:tc>
          <w:tcPr>
            <w:tcW w:w="833" w:type="dxa"/>
          </w:tcPr>
          <w:p w14:paraId="1EA5618B" w14:textId="77777777" w:rsidR="00AC6F3C" w:rsidRDefault="00AC6F3C">
            <w:pPr>
              <w:pStyle w:val="TableParagraph"/>
              <w:rPr>
                <w:rFonts w:ascii="Times New Roman"/>
                <w:sz w:val="14"/>
              </w:rPr>
            </w:pPr>
          </w:p>
        </w:tc>
        <w:tc>
          <w:tcPr>
            <w:tcW w:w="1040" w:type="dxa"/>
          </w:tcPr>
          <w:p w14:paraId="499BC665" w14:textId="77777777" w:rsidR="00AC6F3C" w:rsidRDefault="00AC6F3C">
            <w:pPr>
              <w:pStyle w:val="TableParagraph"/>
              <w:rPr>
                <w:rFonts w:ascii="Times New Roman"/>
                <w:sz w:val="14"/>
              </w:rPr>
            </w:pPr>
          </w:p>
        </w:tc>
        <w:tc>
          <w:tcPr>
            <w:tcW w:w="527" w:type="dxa"/>
          </w:tcPr>
          <w:p w14:paraId="7816FF2C" w14:textId="77777777" w:rsidR="00AC6F3C" w:rsidRDefault="00AC6F3C">
            <w:pPr>
              <w:pStyle w:val="TableParagraph"/>
              <w:rPr>
                <w:rFonts w:ascii="Times New Roman"/>
                <w:sz w:val="14"/>
              </w:rPr>
            </w:pPr>
          </w:p>
        </w:tc>
        <w:tc>
          <w:tcPr>
            <w:tcW w:w="3009" w:type="dxa"/>
          </w:tcPr>
          <w:p w14:paraId="2548217D" w14:textId="77777777" w:rsidR="00AC6F3C" w:rsidRDefault="00570E88">
            <w:pPr>
              <w:pStyle w:val="TableParagraph"/>
              <w:spacing w:before="1"/>
              <w:ind w:left="31"/>
              <w:rPr>
                <w:sz w:val="15"/>
              </w:rPr>
            </w:pPr>
            <w:r>
              <w:rPr>
                <w:spacing w:val="-2"/>
                <w:sz w:val="15"/>
              </w:rPr>
              <w:t>on</w:t>
            </w:r>
            <w:r>
              <w:rPr>
                <w:spacing w:val="-9"/>
                <w:sz w:val="15"/>
              </w:rPr>
              <w:t xml:space="preserve"> </w:t>
            </w:r>
            <w:r>
              <w:rPr>
                <w:spacing w:val="-2"/>
                <w:sz w:val="15"/>
              </w:rPr>
              <w:t>26</w:t>
            </w:r>
            <w:r>
              <w:rPr>
                <w:spacing w:val="-8"/>
                <w:sz w:val="15"/>
              </w:rPr>
              <w:t xml:space="preserve"> </w:t>
            </w:r>
            <w:r>
              <w:rPr>
                <w:spacing w:val="-2"/>
                <w:sz w:val="15"/>
              </w:rPr>
              <w:t>April</w:t>
            </w:r>
            <w:r>
              <w:rPr>
                <w:spacing w:val="-8"/>
                <w:sz w:val="15"/>
              </w:rPr>
              <w:t xml:space="preserve"> </w:t>
            </w:r>
            <w:r>
              <w:rPr>
                <w:spacing w:val="-2"/>
                <w:sz w:val="15"/>
              </w:rPr>
              <w:t>2023.</w:t>
            </w:r>
          </w:p>
        </w:tc>
      </w:tr>
      <w:tr w:rsidR="00AC6F3C" w14:paraId="4E0BCAF6" w14:textId="77777777">
        <w:trPr>
          <w:trHeight w:val="201"/>
        </w:trPr>
        <w:tc>
          <w:tcPr>
            <w:tcW w:w="856" w:type="dxa"/>
          </w:tcPr>
          <w:p w14:paraId="47B59510" w14:textId="77777777" w:rsidR="00AC6F3C" w:rsidRDefault="00AC6F3C">
            <w:pPr>
              <w:pStyle w:val="TableParagraph"/>
              <w:rPr>
                <w:rFonts w:ascii="Times New Roman"/>
                <w:sz w:val="14"/>
              </w:rPr>
            </w:pPr>
          </w:p>
        </w:tc>
        <w:tc>
          <w:tcPr>
            <w:tcW w:w="378" w:type="dxa"/>
          </w:tcPr>
          <w:p w14:paraId="1C246DFE" w14:textId="77777777" w:rsidR="00AC6F3C" w:rsidRDefault="00AC6F3C">
            <w:pPr>
              <w:pStyle w:val="TableParagraph"/>
              <w:rPr>
                <w:rFonts w:ascii="Times New Roman"/>
                <w:sz w:val="14"/>
              </w:rPr>
            </w:pPr>
          </w:p>
        </w:tc>
        <w:tc>
          <w:tcPr>
            <w:tcW w:w="1862" w:type="dxa"/>
          </w:tcPr>
          <w:p w14:paraId="3C9C6152" w14:textId="77777777" w:rsidR="00AC6F3C" w:rsidRDefault="00AC6F3C">
            <w:pPr>
              <w:pStyle w:val="TableParagraph"/>
              <w:rPr>
                <w:rFonts w:ascii="Times New Roman"/>
                <w:sz w:val="14"/>
              </w:rPr>
            </w:pPr>
          </w:p>
        </w:tc>
        <w:tc>
          <w:tcPr>
            <w:tcW w:w="2824" w:type="dxa"/>
          </w:tcPr>
          <w:p w14:paraId="564E5B88" w14:textId="77777777" w:rsidR="00AC6F3C" w:rsidRDefault="00AC6F3C">
            <w:pPr>
              <w:pStyle w:val="TableParagraph"/>
              <w:rPr>
                <w:rFonts w:ascii="Times New Roman"/>
                <w:sz w:val="14"/>
              </w:rPr>
            </w:pPr>
          </w:p>
        </w:tc>
        <w:tc>
          <w:tcPr>
            <w:tcW w:w="797" w:type="dxa"/>
          </w:tcPr>
          <w:p w14:paraId="171A5AF5" w14:textId="77777777" w:rsidR="00AC6F3C" w:rsidRDefault="00AC6F3C">
            <w:pPr>
              <w:pStyle w:val="TableParagraph"/>
              <w:rPr>
                <w:rFonts w:ascii="Times New Roman"/>
                <w:sz w:val="14"/>
              </w:rPr>
            </w:pPr>
          </w:p>
        </w:tc>
        <w:tc>
          <w:tcPr>
            <w:tcW w:w="822" w:type="dxa"/>
          </w:tcPr>
          <w:p w14:paraId="692027B7" w14:textId="77777777" w:rsidR="00AC6F3C" w:rsidRDefault="00AC6F3C">
            <w:pPr>
              <w:pStyle w:val="TableParagraph"/>
              <w:rPr>
                <w:rFonts w:ascii="Times New Roman"/>
                <w:sz w:val="14"/>
              </w:rPr>
            </w:pPr>
          </w:p>
        </w:tc>
        <w:tc>
          <w:tcPr>
            <w:tcW w:w="1217" w:type="dxa"/>
          </w:tcPr>
          <w:p w14:paraId="11A098F6" w14:textId="77777777" w:rsidR="00AC6F3C" w:rsidRDefault="00AC6F3C">
            <w:pPr>
              <w:pStyle w:val="TableParagraph"/>
              <w:rPr>
                <w:rFonts w:ascii="Times New Roman"/>
                <w:sz w:val="14"/>
              </w:rPr>
            </w:pPr>
          </w:p>
        </w:tc>
        <w:tc>
          <w:tcPr>
            <w:tcW w:w="1838" w:type="dxa"/>
          </w:tcPr>
          <w:p w14:paraId="5918C40C" w14:textId="77777777" w:rsidR="00AC6F3C" w:rsidRDefault="00AC6F3C">
            <w:pPr>
              <w:pStyle w:val="TableParagraph"/>
              <w:rPr>
                <w:rFonts w:ascii="Times New Roman"/>
                <w:sz w:val="14"/>
              </w:rPr>
            </w:pPr>
          </w:p>
        </w:tc>
        <w:tc>
          <w:tcPr>
            <w:tcW w:w="833" w:type="dxa"/>
          </w:tcPr>
          <w:p w14:paraId="2625E06B" w14:textId="77777777" w:rsidR="00AC6F3C" w:rsidRDefault="00AC6F3C">
            <w:pPr>
              <w:pStyle w:val="TableParagraph"/>
              <w:rPr>
                <w:rFonts w:ascii="Times New Roman"/>
                <w:sz w:val="14"/>
              </w:rPr>
            </w:pPr>
          </w:p>
        </w:tc>
        <w:tc>
          <w:tcPr>
            <w:tcW w:w="1040" w:type="dxa"/>
          </w:tcPr>
          <w:p w14:paraId="161F3D78" w14:textId="77777777" w:rsidR="00AC6F3C" w:rsidRDefault="00AC6F3C">
            <w:pPr>
              <w:pStyle w:val="TableParagraph"/>
              <w:rPr>
                <w:rFonts w:ascii="Times New Roman"/>
                <w:sz w:val="14"/>
              </w:rPr>
            </w:pPr>
          </w:p>
        </w:tc>
        <w:tc>
          <w:tcPr>
            <w:tcW w:w="527" w:type="dxa"/>
          </w:tcPr>
          <w:p w14:paraId="4785DAD7" w14:textId="77777777" w:rsidR="00AC6F3C" w:rsidRDefault="00AC6F3C">
            <w:pPr>
              <w:pStyle w:val="TableParagraph"/>
              <w:rPr>
                <w:rFonts w:ascii="Times New Roman"/>
                <w:sz w:val="14"/>
              </w:rPr>
            </w:pPr>
          </w:p>
        </w:tc>
        <w:tc>
          <w:tcPr>
            <w:tcW w:w="3009" w:type="dxa"/>
          </w:tcPr>
          <w:p w14:paraId="7529576C" w14:textId="77777777" w:rsidR="00AC6F3C" w:rsidRDefault="00570E88">
            <w:pPr>
              <w:pStyle w:val="TableParagraph"/>
              <w:spacing w:before="22" w:line="159" w:lineRule="exact"/>
              <w:ind w:left="31"/>
              <w:rPr>
                <w:sz w:val="15"/>
              </w:rPr>
            </w:pPr>
            <w:r>
              <w:rPr>
                <w:spacing w:val="-4"/>
                <w:sz w:val="15"/>
              </w:rPr>
              <w:t>Stage</w:t>
            </w:r>
            <w:r>
              <w:rPr>
                <w:spacing w:val="-5"/>
                <w:sz w:val="15"/>
              </w:rPr>
              <w:t xml:space="preserve"> </w:t>
            </w:r>
            <w:r>
              <w:rPr>
                <w:spacing w:val="-4"/>
                <w:sz w:val="15"/>
              </w:rPr>
              <w:t>3</w:t>
            </w:r>
            <w:r>
              <w:rPr>
                <w:spacing w:val="-5"/>
                <w:sz w:val="15"/>
              </w:rPr>
              <w:t xml:space="preserve"> </w:t>
            </w:r>
            <w:r>
              <w:rPr>
                <w:spacing w:val="-4"/>
                <w:sz w:val="15"/>
              </w:rPr>
              <w:t>being End</w:t>
            </w:r>
            <w:r>
              <w:rPr>
                <w:spacing w:val="-5"/>
                <w:sz w:val="15"/>
              </w:rPr>
              <w:t xml:space="preserve"> </w:t>
            </w:r>
            <w:r>
              <w:rPr>
                <w:spacing w:val="-4"/>
                <w:sz w:val="15"/>
              </w:rPr>
              <w:t>of Trip</w:t>
            </w:r>
            <w:r>
              <w:rPr>
                <w:spacing w:val="-5"/>
                <w:sz w:val="15"/>
              </w:rPr>
              <w:t xml:space="preserve"> </w:t>
            </w:r>
            <w:r>
              <w:rPr>
                <w:spacing w:val="-4"/>
                <w:sz w:val="15"/>
              </w:rPr>
              <w:t>facilities</w:t>
            </w:r>
            <w:r>
              <w:rPr>
                <w:spacing w:val="-5"/>
                <w:sz w:val="15"/>
              </w:rPr>
              <w:t xml:space="preserve"> </w:t>
            </w:r>
            <w:r>
              <w:rPr>
                <w:spacing w:val="-4"/>
                <w:sz w:val="15"/>
              </w:rPr>
              <w:t>is complete</w:t>
            </w:r>
          </w:p>
        </w:tc>
      </w:tr>
      <w:tr w:rsidR="00AC6F3C" w14:paraId="69B18F95" w14:textId="77777777">
        <w:trPr>
          <w:trHeight w:val="180"/>
        </w:trPr>
        <w:tc>
          <w:tcPr>
            <w:tcW w:w="856" w:type="dxa"/>
          </w:tcPr>
          <w:p w14:paraId="35761B9B" w14:textId="77777777" w:rsidR="00AC6F3C" w:rsidRDefault="00AC6F3C">
            <w:pPr>
              <w:pStyle w:val="TableParagraph"/>
              <w:rPr>
                <w:rFonts w:ascii="Times New Roman"/>
                <w:sz w:val="12"/>
              </w:rPr>
            </w:pPr>
          </w:p>
        </w:tc>
        <w:tc>
          <w:tcPr>
            <w:tcW w:w="378" w:type="dxa"/>
          </w:tcPr>
          <w:p w14:paraId="0F0DD3CA" w14:textId="77777777" w:rsidR="00AC6F3C" w:rsidRDefault="00AC6F3C">
            <w:pPr>
              <w:pStyle w:val="TableParagraph"/>
              <w:rPr>
                <w:rFonts w:ascii="Times New Roman"/>
                <w:sz w:val="12"/>
              </w:rPr>
            </w:pPr>
          </w:p>
        </w:tc>
        <w:tc>
          <w:tcPr>
            <w:tcW w:w="1862" w:type="dxa"/>
          </w:tcPr>
          <w:p w14:paraId="2082B4FE" w14:textId="77777777" w:rsidR="00AC6F3C" w:rsidRDefault="00AC6F3C">
            <w:pPr>
              <w:pStyle w:val="TableParagraph"/>
              <w:rPr>
                <w:rFonts w:ascii="Times New Roman"/>
                <w:sz w:val="12"/>
              </w:rPr>
            </w:pPr>
          </w:p>
        </w:tc>
        <w:tc>
          <w:tcPr>
            <w:tcW w:w="2824" w:type="dxa"/>
          </w:tcPr>
          <w:p w14:paraId="51662820" w14:textId="77777777" w:rsidR="00AC6F3C" w:rsidRDefault="00AC6F3C">
            <w:pPr>
              <w:pStyle w:val="TableParagraph"/>
              <w:rPr>
                <w:rFonts w:ascii="Times New Roman"/>
                <w:sz w:val="12"/>
              </w:rPr>
            </w:pPr>
          </w:p>
        </w:tc>
        <w:tc>
          <w:tcPr>
            <w:tcW w:w="797" w:type="dxa"/>
          </w:tcPr>
          <w:p w14:paraId="571E21C6" w14:textId="77777777" w:rsidR="00AC6F3C" w:rsidRDefault="00AC6F3C">
            <w:pPr>
              <w:pStyle w:val="TableParagraph"/>
              <w:rPr>
                <w:rFonts w:ascii="Times New Roman"/>
                <w:sz w:val="12"/>
              </w:rPr>
            </w:pPr>
          </w:p>
        </w:tc>
        <w:tc>
          <w:tcPr>
            <w:tcW w:w="822" w:type="dxa"/>
          </w:tcPr>
          <w:p w14:paraId="3A029414" w14:textId="77777777" w:rsidR="00AC6F3C" w:rsidRDefault="00AC6F3C">
            <w:pPr>
              <w:pStyle w:val="TableParagraph"/>
              <w:rPr>
                <w:rFonts w:ascii="Times New Roman"/>
                <w:sz w:val="12"/>
              </w:rPr>
            </w:pPr>
          </w:p>
        </w:tc>
        <w:tc>
          <w:tcPr>
            <w:tcW w:w="1217" w:type="dxa"/>
          </w:tcPr>
          <w:p w14:paraId="0FF7935E" w14:textId="77777777" w:rsidR="00AC6F3C" w:rsidRDefault="00AC6F3C">
            <w:pPr>
              <w:pStyle w:val="TableParagraph"/>
              <w:rPr>
                <w:rFonts w:ascii="Times New Roman"/>
                <w:sz w:val="12"/>
              </w:rPr>
            </w:pPr>
          </w:p>
        </w:tc>
        <w:tc>
          <w:tcPr>
            <w:tcW w:w="1838" w:type="dxa"/>
          </w:tcPr>
          <w:p w14:paraId="27DD374B" w14:textId="77777777" w:rsidR="00AC6F3C" w:rsidRDefault="00AC6F3C">
            <w:pPr>
              <w:pStyle w:val="TableParagraph"/>
              <w:rPr>
                <w:rFonts w:ascii="Times New Roman"/>
                <w:sz w:val="12"/>
              </w:rPr>
            </w:pPr>
          </w:p>
        </w:tc>
        <w:tc>
          <w:tcPr>
            <w:tcW w:w="833" w:type="dxa"/>
          </w:tcPr>
          <w:p w14:paraId="6C9F1049" w14:textId="77777777" w:rsidR="00AC6F3C" w:rsidRDefault="00AC6F3C">
            <w:pPr>
              <w:pStyle w:val="TableParagraph"/>
              <w:rPr>
                <w:rFonts w:ascii="Times New Roman"/>
                <w:sz w:val="12"/>
              </w:rPr>
            </w:pPr>
          </w:p>
        </w:tc>
        <w:tc>
          <w:tcPr>
            <w:tcW w:w="1040" w:type="dxa"/>
          </w:tcPr>
          <w:p w14:paraId="2D40AAC5" w14:textId="77777777" w:rsidR="00AC6F3C" w:rsidRDefault="00AC6F3C">
            <w:pPr>
              <w:pStyle w:val="TableParagraph"/>
              <w:rPr>
                <w:rFonts w:ascii="Times New Roman"/>
                <w:sz w:val="12"/>
              </w:rPr>
            </w:pPr>
          </w:p>
        </w:tc>
        <w:tc>
          <w:tcPr>
            <w:tcW w:w="527" w:type="dxa"/>
          </w:tcPr>
          <w:p w14:paraId="24E410EC" w14:textId="77777777" w:rsidR="00AC6F3C" w:rsidRDefault="00AC6F3C">
            <w:pPr>
              <w:pStyle w:val="TableParagraph"/>
              <w:rPr>
                <w:rFonts w:ascii="Times New Roman"/>
                <w:sz w:val="12"/>
              </w:rPr>
            </w:pPr>
          </w:p>
        </w:tc>
        <w:tc>
          <w:tcPr>
            <w:tcW w:w="3009" w:type="dxa"/>
          </w:tcPr>
          <w:p w14:paraId="5C6A00E7" w14:textId="77777777" w:rsidR="00AC6F3C" w:rsidRDefault="00570E88">
            <w:pPr>
              <w:pStyle w:val="TableParagraph"/>
              <w:spacing w:before="1" w:line="159" w:lineRule="exact"/>
              <w:ind w:left="31"/>
              <w:rPr>
                <w:sz w:val="15"/>
              </w:rPr>
            </w:pPr>
            <w:r>
              <w:rPr>
                <w:spacing w:val="-4"/>
                <w:sz w:val="15"/>
              </w:rPr>
              <w:t>save</w:t>
            </w:r>
            <w:r>
              <w:rPr>
                <w:spacing w:val="-2"/>
                <w:sz w:val="15"/>
              </w:rPr>
              <w:t xml:space="preserve"> </w:t>
            </w:r>
            <w:r>
              <w:rPr>
                <w:spacing w:val="-4"/>
                <w:sz w:val="15"/>
              </w:rPr>
              <w:t>for</w:t>
            </w:r>
            <w:r>
              <w:rPr>
                <w:spacing w:val="-2"/>
                <w:sz w:val="15"/>
              </w:rPr>
              <w:t xml:space="preserve"> </w:t>
            </w:r>
            <w:r>
              <w:rPr>
                <w:spacing w:val="-4"/>
                <w:sz w:val="15"/>
              </w:rPr>
              <w:t>modifications</w:t>
            </w:r>
            <w:r>
              <w:rPr>
                <w:spacing w:val="-1"/>
                <w:sz w:val="15"/>
              </w:rPr>
              <w:t xml:space="preserve"> </w:t>
            </w:r>
            <w:r>
              <w:rPr>
                <w:spacing w:val="-4"/>
                <w:sz w:val="15"/>
              </w:rPr>
              <w:t>to</w:t>
            </w:r>
            <w:r>
              <w:rPr>
                <w:spacing w:val="-2"/>
                <w:sz w:val="15"/>
              </w:rPr>
              <w:t xml:space="preserve"> </w:t>
            </w:r>
            <w:r>
              <w:rPr>
                <w:spacing w:val="-4"/>
                <w:sz w:val="15"/>
              </w:rPr>
              <w:t>the</w:t>
            </w:r>
            <w:r>
              <w:rPr>
                <w:spacing w:val="-2"/>
                <w:sz w:val="15"/>
              </w:rPr>
              <w:t xml:space="preserve"> </w:t>
            </w:r>
            <w:r>
              <w:rPr>
                <w:spacing w:val="-4"/>
                <w:sz w:val="15"/>
              </w:rPr>
              <w:t>stairs</w:t>
            </w:r>
            <w:r>
              <w:rPr>
                <w:spacing w:val="-1"/>
                <w:sz w:val="15"/>
              </w:rPr>
              <w:t xml:space="preserve"> </w:t>
            </w:r>
            <w:r>
              <w:rPr>
                <w:spacing w:val="-4"/>
                <w:sz w:val="15"/>
              </w:rPr>
              <w:t>to</w:t>
            </w:r>
            <w:r>
              <w:rPr>
                <w:spacing w:val="-2"/>
                <w:sz w:val="15"/>
              </w:rPr>
              <w:t xml:space="preserve"> </w:t>
            </w:r>
            <w:r>
              <w:rPr>
                <w:spacing w:val="-4"/>
                <w:sz w:val="15"/>
              </w:rPr>
              <w:t>ensure</w:t>
            </w:r>
          </w:p>
        </w:tc>
      </w:tr>
      <w:tr w:rsidR="00AC6F3C" w14:paraId="3AEAD7AF" w14:textId="77777777">
        <w:trPr>
          <w:trHeight w:val="180"/>
        </w:trPr>
        <w:tc>
          <w:tcPr>
            <w:tcW w:w="856" w:type="dxa"/>
          </w:tcPr>
          <w:p w14:paraId="5BDE3605" w14:textId="77777777" w:rsidR="00AC6F3C" w:rsidRDefault="00AC6F3C">
            <w:pPr>
              <w:pStyle w:val="TableParagraph"/>
              <w:rPr>
                <w:rFonts w:ascii="Times New Roman"/>
                <w:sz w:val="12"/>
              </w:rPr>
            </w:pPr>
          </w:p>
        </w:tc>
        <w:tc>
          <w:tcPr>
            <w:tcW w:w="378" w:type="dxa"/>
          </w:tcPr>
          <w:p w14:paraId="76CB576C" w14:textId="77777777" w:rsidR="00AC6F3C" w:rsidRDefault="00AC6F3C">
            <w:pPr>
              <w:pStyle w:val="TableParagraph"/>
              <w:rPr>
                <w:rFonts w:ascii="Times New Roman"/>
                <w:sz w:val="12"/>
              </w:rPr>
            </w:pPr>
          </w:p>
        </w:tc>
        <w:tc>
          <w:tcPr>
            <w:tcW w:w="1862" w:type="dxa"/>
          </w:tcPr>
          <w:p w14:paraId="71E5C2DE" w14:textId="77777777" w:rsidR="00AC6F3C" w:rsidRDefault="00AC6F3C">
            <w:pPr>
              <w:pStyle w:val="TableParagraph"/>
              <w:rPr>
                <w:rFonts w:ascii="Times New Roman"/>
                <w:sz w:val="12"/>
              </w:rPr>
            </w:pPr>
          </w:p>
        </w:tc>
        <w:tc>
          <w:tcPr>
            <w:tcW w:w="2824" w:type="dxa"/>
          </w:tcPr>
          <w:p w14:paraId="1671A993" w14:textId="77777777" w:rsidR="00AC6F3C" w:rsidRDefault="00AC6F3C">
            <w:pPr>
              <w:pStyle w:val="TableParagraph"/>
              <w:rPr>
                <w:rFonts w:ascii="Times New Roman"/>
                <w:sz w:val="12"/>
              </w:rPr>
            </w:pPr>
          </w:p>
        </w:tc>
        <w:tc>
          <w:tcPr>
            <w:tcW w:w="797" w:type="dxa"/>
          </w:tcPr>
          <w:p w14:paraId="218327AC" w14:textId="77777777" w:rsidR="00AC6F3C" w:rsidRDefault="00AC6F3C">
            <w:pPr>
              <w:pStyle w:val="TableParagraph"/>
              <w:rPr>
                <w:rFonts w:ascii="Times New Roman"/>
                <w:sz w:val="12"/>
              </w:rPr>
            </w:pPr>
          </w:p>
        </w:tc>
        <w:tc>
          <w:tcPr>
            <w:tcW w:w="822" w:type="dxa"/>
          </w:tcPr>
          <w:p w14:paraId="3F95BEF6" w14:textId="77777777" w:rsidR="00AC6F3C" w:rsidRDefault="00AC6F3C">
            <w:pPr>
              <w:pStyle w:val="TableParagraph"/>
              <w:rPr>
                <w:rFonts w:ascii="Times New Roman"/>
                <w:sz w:val="12"/>
              </w:rPr>
            </w:pPr>
          </w:p>
        </w:tc>
        <w:tc>
          <w:tcPr>
            <w:tcW w:w="1217" w:type="dxa"/>
          </w:tcPr>
          <w:p w14:paraId="6ECBB629" w14:textId="77777777" w:rsidR="00AC6F3C" w:rsidRDefault="00AC6F3C">
            <w:pPr>
              <w:pStyle w:val="TableParagraph"/>
              <w:rPr>
                <w:rFonts w:ascii="Times New Roman"/>
                <w:sz w:val="12"/>
              </w:rPr>
            </w:pPr>
          </w:p>
        </w:tc>
        <w:tc>
          <w:tcPr>
            <w:tcW w:w="1838" w:type="dxa"/>
          </w:tcPr>
          <w:p w14:paraId="18183816" w14:textId="77777777" w:rsidR="00AC6F3C" w:rsidRDefault="00AC6F3C">
            <w:pPr>
              <w:pStyle w:val="TableParagraph"/>
              <w:rPr>
                <w:rFonts w:ascii="Times New Roman"/>
                <w:sz w:val="12"/>
              </w:rPr>
            </w:pPr>
          </w:p>
        </w:tc>
        <w:tc>
          <w:tcPr>
            <w:tcW w:w="833" w:type="dxa"/>
          </w:tcPr>
          <w:p w14:paraId="742C5AC3" w14:textId="77777777" w:rsidR="00AC6F3C" w:rsidRDefault="00AC6F3C">
            <w:pPr>
              <w:pStyle w:val="TableParagraph"/>
              <w:rPr>
                <w:rFonts w:ascii="Times New Roman"/>
                <w:sz w:val="12"/>
              </w:rPr>
            </w:pPr>
          </w:p>
        </w:tc>
        <w:tc>
          <w:tcPr>
            <w:tcW w:w="1040" w:type="dxa"/>
          </w:tcPr>
          <w:p w14:paraId="64A2E293" w14:textId="77777777" w:rsidR="00AC6F3C" w:rsidRDefault="00AC6F3C">
            <w:pPr>
              <w:pStyle w:val="TableParagraph"/>
              <w:rPr>
                <w:rFonts w:ascii="Times New Roman"/>
                <w:sz w:val="12"/>
              </w:rPr>
            </w:pPr>
          </w:p>
        </w:tc>
        <w:tc>
          <w:tcPr>
            <w:tcW w:w="527" w:type="dxa"/>
          </w:tcPr>
          <w:p w14:paraId="57DB056E" w14:textId="77777777" w:rsidR="00AC6F3C" w:rsidRDefault="00AC6F3C">
            <w:pPr>
              <w:pStyle w:val="TableParagraph"/>
              <w:rPr>
                <w:rFonts w:ascii="Times New Roman"/>
                <w:sz w:val="12"/>
              </w:rPr>
            </w:pPr>
          </w:p>
        </w:tc>
        <w:tc>
          <w:tcPr>
            <w:tcW w:w="3009" w:type="dxa"/>
          </w:tcPr>
          <w:p w14:paraId="086C399C" w14:textId="77777777" w:rsidR="00AC6F3C" w:rsidRDefault="00570E88">
            <w:pPr>
              <w:pStyle w:val="TableParagraph"/>
              <w:spacing w:before="1" w:line="159" w:lineRule="exact"/>
              <w:ind w:left="31"/>
              <w:rPr>
                <w:sz w:val="15"/>
              </w:rPr>
            </w:pPr>
            <w:r>
              <w:rPr>
                <w:spacing w:val="-4"/>
                <w:sz w:val="15"/>
              </w:rPr>
              <w:t>compliance.</w:t>
            </w:r>
            <w:r>
              <w:rPr>
                <w:sz w:val="15"/>
              </w:rPr>
              <w:t xml:space="preserve"> </w:t>
            </w:r>
            <w:r>
              <w:rPr>
                <w:spacing w:val="-4"/>
                <w:sz w:val="15"/>
              </w:rPr>
              <w:t>Council</w:t>
            </w:r>
            <w:r>
              <w:rPr>
                <w:sz w:val="15"/>
              </w:rPr>
              <w:t xml:space="preserve"> </w:t>
            </w:r>
            <w:r>
              <w:rPr>
                <w:spacing w:val="-4"/>
                <w:sz w:val="15"/>
              </w:rPr>
              <w:t>receives</w:t>
            </w:r>
            <w:r>
              <w:rPr>
                <w:sz w:val="15"/>
              </w:rPr>
              <w:t xml:space="preserve"> </w:t>
            </w:r>
            <w:r>
              <w:rPr>
                <w:spacing w:val="-4"/>
                <w:sz w:val="15"/>
              </w:rPr>
              <w:t>regular</w:t>
            </w:r>
            <w:r>
              <w:rPr>
                <w:sz w:val="15"/>
              </w:rPr>
              <w:t xml:space="preserve"> </w:t>
            </w:r>
            <w:r>
              <w:rPr>
                <w:spacing w:val="-4"/>
                <w:sz w:val="15"/>
              </w:rPr>
              <w:t>updates</w:t>
            </w:r>
          </w:p>
        </w:tc>
      </w:tr>
      <w:tr w:rsidR="00AC6F3C" w14:paraId="6A9E2A57" w14:textId="77777777">
        <w:trPr>
          <w:trHeight w:val="219"/>
        </w:trPr>
        <w:tc>
          <w:tcPr>
            <w:tcW w:w="856" w:type="dxa"/>
            <w:tcBorders>
              <w:bottom w:val="single" w:sz="2" w:space="0" w:color="000000"/>
            </w:tcBorders>
          </w:tcPr>
          <w:p w14:paraId="5E612F63" w14:textId="77777777" w:rsidR="00AC6F3C" w:rsidRDefault="00AC6F3C">
            <w:pPr>
              <w:pStyle w:val="TableParagraph"/>
              <w:rPr>
                <w:rFonts w:ascii="Times New Roman"/>
                <w:sz w:val="14"/>
              </w:rPr>
            </w:pPr>
          </w:p>
        </w:tc>
        <w:tc>
          <w:tcPr>
            <w:tcW w:w="378" w:type="dxa"/>
            <w:tcBorders>
              <w:bottom w:val="single" w:sz="2" w:space="0" w:color="000000"/>
            </w:tcBorders>
          </w:tcPr>
          <w:p w14:paraId="5163C87F" w14:textId="77777777" w:rsidR="00AC6F3C" w:rsidRDefault="00AC6F3C">
            <w:pPr>
              <w:pStyle w:val="TableParagraph"/>
              <w:rPr>
                <w:rFonts w:ascii="Times New Roman"/>
                <w:sz w:val="14"/>
              </w:rPr>
            </w:pPr>
          </w:p>
        </w:tc>
        <w:tc>
          <w:tcPr>
            <w:tcW w:w="1862" w:type="dxa"/>
            <w:tcBorders>
              <w:bottom w:val="single" w:sz="2" w:space="0" w:color="000000"/>
            </w:tcBorders>
          </w:tcPr>
          <w:p w14:paraId="7C0FA0AD" w14:textId="77777777" w:rsidR="00AC6F3C" w:rsidRDefault="00AC6F3C">
            <w:pPr>
              <w:pStyle w:val="TableParagraph"/>
              <w:rPr>
                <w:rFonts w:ascii="Times New Roman"/>
                <w:sz w:val="14"/>
              </w:rPr>
            </w:pPr>
          </w:p>
        </w:tc>
        <w:tc>
          <w:tcPr>
            <w:tcW w:w="2824" w:type="dxa"/>
            <w:tcBorders>
              <w:bottom w:val="single" w:sz="2" w:space="0" w:color="000000"/>
            </w:tcBorders>
          </w:tcPr>
          <w:p w14:paraId="7E94064E" w14:textId="77777777" w:rsidR="00AC6F3C" w:rsidRDefault="00AC6F3C">
            <w:pPr>
              <w:pStyle w:val="TableParagraph"/>
              <w:rPr>
                <w:rFonts w:ascii="Times New Roman"/>
                <w:sz w:val="14"/>
              </w:rPr>
            </w:pPr>
          </w:p>
        </w:tc>
        <w:tc>
          <w:tcPr>
            <w:tcW w:w="797" w:type="dxa"/>
            <w:tcBorders>
              <w:bottom w:val="single" w:sz="2" w:space="0" w:color="000000"/>
            </w:tcBorders>
          </w:tcPr>
          <w:p w14:paraId="0FC2C91D" w14:textId="77777777" w:rsidR="00AC6F3C" w:rsidRDefault="00AC6F3C">
            <w:pPr>
              <w:pStyle w:val="TableParagraph"/>
              <w:rPr>
                <w:rFonts w:ascii="Times New Roman"/>
                <w:sz w:val="14"/>
              </w:rPr>
            </w:pPr>
          </w:p>
        </w:tc>
        <w:tc>
          <w:tcPr>
            <w:tcW w:w="822" w:type="dxa"/>
            <w:tcBorders>
              <w:bottom w:val="single" w:sz="2" w:space="0" w:color="000000"/>
            </w:tcBorders>
          </w:tcPr>
          <w:p w14:paraId="3EAA0ADE" w14:textId="77777777" w:rsidR="00AC6F3C" w:rsidRDefault="00AC6F3C">
            <w:pPr>
              <w:pStyle w:val="TableParagraph"/>
              <w:rPr>
                <w:rFonts w:ascii="Times New Roman"/>
                <w:sz w:val="14"/>
              </w:rPr>
            </w:pPr>
          </w:p>
        </w:tc>
        <w:tc>
          <w:tcPr>
            <w:tcW w:w="1217" w:type="dxa"/>
            <w:tcBorders>
              <w:bottom w:val="single" w:sz="2" w:space="0" w:color="000000"/>
            </w:tcBorders>
          </w:tcPr>
          <w:p w14:paraId="1C6FBC5E" w14:textId="77777777" w:rsidR="00AC6F3C" w:rsidRDefault="00AC6F3C">
            <w:pPr>
              <w:pStyle w:val="TableParagraph"/>
              <w:rPr>
                <w:rFonts w:ascii="Times New Roman"/>
                <w:sz w:val="14"/>
              </w:rPr>
            </w:pPr>
          </w:p>
        </w:tc>
        <w:tc>
          <w:tcPr>
            <w:tcW w:w="1838" w:type="dxa"/>
            <w:tcBorders>
              <w:bottom w:val="single" w:sz="2" w:space="0" w:color="000000"/>
            </w:tcBorders>
          </w:tcPr>
          <w:p w14:paraId="059A3433" w14:textId="77777777" w:rsidR="00AC6F3C" w:rsidRDefault="00AC6F3C">
            <w:pPr>
              <w:pStyle w:val="TableParagraph"/>
              <w:rPr>
                <w:rFonts w:ascii="Times New Roman"/>
                <w:sz w:val="14"/>
              </w:rPr>
            </w:pPr>
          </w:p>
        </w:tc>
        <w:tc>
          <w:tcPr>
            <w:tcW w:w="833" w:type="dxa"/>
            <w:tcBorders>
              <w:bottom w:val="single" w:sz="2" w:space="0" w:color="000000"/>
            </w:tcBorders>
          </w:tcPr>
          <w:p w14:paraId="07D13809" w14:textId="77777777" w:rsidR="00AC6F3C" w:rsidRDefault="00AC6F3C">
            <w:pPr>
              <w:pStyle w:val="TableParagraph"/>
              <w:rPr>
                <w:rFonts w:ascii="Times New Roman"/>
                <w:sz w:val="14"/>
              </w:rPr>
            </w:pPr>
          </w:p>
        </w:tc>
        <w:tc>
          <w:tcPr>
            <w:tcW w:w="1040" w:type="dxa"/>
            <w:tcBorders>
              <w:bottom w:val="single" w:sz="2" w:space="0" w:color="000000"/>
            </w:tcBorders>
          </w:tcPr>
          <w:p w14:paraId="005F6AE5" w14:textId="77777777" w:rsidR="00AC6F3C" w:rsidRDefault="00AC6F3C">
            <w:pPr>
              <w:pStyle w:val="TableParagraph"/>
              <w:rPr>
                <w:rFonts w:ascii="Times New Roman"/>
                <w:sz w:val="14"/>
              </w:rPr>
            </w:pPr>
          </w:p>
        </w:tc>
        <w:tc>
          <w:tcPr>
            <w:tcW w:w="527" w:type="dxa"/>
            <w:tcBorders>
              <w:bottom w:val="single" w:sz="2" w:space="0" w:color="000000"/>
            </w:tcBorders>
          </w:tcPr>
          <w:p w14:paraId="67947A74" w14:textId="77777777" w:rsidR="00AC6F3C" w:rsidRDefault="00AC6F3C">
            <w:pPr>
              <w:pStyle w:val="TableParagraph"/>
              <w:rPr>
                <w:rFonts w:ascii="Times New Roman"/>
                <w:sz w:val="14"/>
              </w:rPr>
            </w:pPr>
          </w:p>
        </w:tc>
        <w:tc>
          <w:tcPr>
            <w:tcW w:w="3009" w:type="dxa"/>
            <w:tcBorders>
              <w:bottom w:val="single" w:sz="2" w:space="0" w:color="000000"/>
            </w:tcBorders>
          </w:tcPr>
          <w:p w14:paraId="462A94E0" w14:textId="77777777" w:rsidR="00AC6F3C" w:rsidRDefault="00570E88">
            <w:pPr>
              <w:pStyle w:val="TableParagraph"/>
              <w:spacing w:before="1"/>
              <w:ind w:left="31"/>
              <w:rPr>
                <w:sz w:val="15"/>
              </w:rPr>
            </w:pPr>
            <w:r>
              <w:rPr>
                <w:spacing w:val="-4"/>
                <w:sz w:val="15"/>
              </w:rPr>
              <w:t>on</w:t>
            </w:r>
            <w:r>
              <w:rPr>
                <w:spacing w:val="-3"/>
                <w:sz w:val="15"/>
              </w:rPr>
              <w:t xml:space="preserve"> </w:t>
            </w:r>
            <w:r>
              <w:rPr>
                <w:spacing w:val="-4"/>
                <w:sz w:val="15"/>
              </w:rPr>
              <w:t>the</w:t>
            </w:r>
            <w:r>
              <w:rPr>
                <w:spacing w:val="-2"/>
                <w:sz w:val="15"/>
              </w:rPr>
              <w:t xml:space="preserve"> </w:t>
            </w:r>
            <w:r>
              <w:rPr>
                <w:spacing w:val="-4"/>
                <w:sz w:val="15"/>
              </w:rPr>
              <w:t>project</w:t>
            </w:r>
            <w:r>
              <w:rPr>
                <w:spacing w:val="-3"/>
                <w:sz w:val="15"/>
              </w:rPr>
              <w:t xml:space="preserve"> </w:t>
            </w:r>
            <w:r>
              <w:rPr>
                <w:spacing w:val="-4"/>
                <w:sz w:val="15"/>
              </w:rPr>
              <w:t>in</w:t>
            </w:r>
            <w:r>
              <w:rPr>
                <w:spacing w:val="-2"/>
                <w:sz w:val="15"/>
              </w:rPr>
              <w:t xml:space="preserve"> </w:t>
            </w:r>
            <w:r>
              <w:rPr>
                <w:spacing w:val="-4"/>
                <w:sz w:val="15"/>
              </w:rPr>
              <w:t>the</w:t>
            </w:r>
            <w:r>
              <w:rPr>
                <w:spacing w:val="-2"/>
                <w:sz w:val="15"/>
              </w:rPr>
              <w:t xml:space="preserve"> </w:t>
            </w:r>
            <w:r>
              <w:rPr>
                <w:spacing w:val="-4"/>
                <w:sz w:val="15"/>
              </w:rPr>
              <w:t>Finance</w:t>
            </w:r>
            <w:r>
              <w:rPr>
                <w:spacing w:val="-3"/>
                <w:sz w:val="15"/>
              </w:rPr>
              <w:t xml:space="preserve"> </w:t>
            </w:r>
            <w:r>
              <w:rPr>
                <w:spacing w:val="-4"/>
                <w:sz w:val="15"/>
              </w:rPr>
              <w:t>Report.</w:t>
            </w:r>
          </w:p>
        </w:tc>
      </w:tr>
      <w:tr w:rsidR="00AC6F3C" w14:paraId="7B9FF06F" w14:textId="77777777">
        <w:trPr>
          <w:trHeight w:val="226"/>
        </w:trPr>
        <w:tc>
          <w:tcPr>
            <w:tcW w:w="856" w:type="dxa"/>
            <w:tcBorders>
              <w:top w:val="single" w:sz="2" w:space="0" w:color="000000"/>
            </w:tcBorders>
          </w:tcPr>
          <w:p w14:paraId="50CB4B0F" w14:textId="77777777" w:rsidR="00AC6F3C" w:rsidRDefault="00570E88">
            <w:pPr>
              <w:pStyle w:val="TableParagraph"/>
              <w:spacing w:before="51" w:line="156" w:lineRule="exact"/>
              <w:ind w:left="85"/>
              <w:rPr>
                <w:b/>
                <w:sz w:val="15"/>
              </w:rPr>
            </w:pPr>
            <w:r>
              <w:rPr>
                <w:b/>
                <w:spacing w:val="-4"/>
                <w:sz w:val="15"/>
              </w:rPr>
              <w:t>Grow</w:t>
            </w:r>
          </w:p>
        </w:tc>
        <w:tc>
          <w:tcPr>
            <w:tcW w:w="378" w:type="dxa"/>
            <w:tcBorders>
              <w:top w:val="single" w:sz="2" w:space="0" w:color="000000"/>
            </w:tcBorders>
          </w:tcPr>
          <w:p w14:paraId="220B572B" w14:textId="77777777" w:rsidR="00AC6F3C" w:rsidRDefault="00570E88">
            <w:pPr>
              <w:pStyle w:val="TableParagraph"/>
              <w:spacing w:before="51" w:line="156" w:lineRule="exact"/>
              <w:ind w:right="44"/>
              <w:jc w:val="right"/>
              <w:rPr>
                <w:sz w:val="15"/>
              </w:rPr>
            </w:pPr>
            <w:r>
              <w:rPr>
                <w:spacing w:val="-5"/>
                <w:sz w:val="15"/>
              </w:rPr>
              <w:t>18.</w:t>
            </w:r>
          </w:p>
        </w:tc>
        <w:tc>
          <w:tcPr>
            <w:tcW w:w="1862" w:type="dxa"/>
            <w:tcBorders>
              <w:top w:val="single" w:sz="2" w:space="0" w:color="000000"/>
            </w:tcBorders>
          </w:tcPr>
          <w:p w14:paraId="281BC27F" w14:textId="77777777" w:rsidR="00AC6F3C" w:rsidRDefault="00570E88">
            <w:pPr>
              <w:pStyle w:val="TableParagraph"/>
              <w:spacing w:before="51" w:line="156" w:lineRule="exact"/>
              <w:ind w:left="41"/>
              <w:rPr>
                <w:sz w:val="15"/>
              </w:rPr>
            </w:pPr>
            <w:r>
              <w:rPr>
                <w:spacing w:val="-4"/>
                <w:sz w:val="15"/>
              </w:rPr>
              <w:t>Implement</w:t>
            </w:r>
            <w:r>
              <w:rPr>
                <w:spacing w:val="-5"/>
                <w:sz w:val="15"/>
              </w:rPr>
              <w:t xml:space="preserve"> </w:t>
            </w:r>
            <w:r>
              <w:rPr>
                <w:spacing w:val="-4"/>
                <w:sz w:val="15"/>
              </w:rPr>
              <w:t>year 2</w:t>
            </w:r>
            <w:r>
              <w:rPr>
                <w:spacing w:val="-5"/>
                <w:sz w:val="15"/>
              </w:rPr>
              <w:t xml:space="preserve"> </w:t>
            </w:r>
            <w:r>
              <w:rPr>
                <w:spacing w:val="-4"/>
                <w:sz w:val="15"/>
              </w:rPr>
              <w:t>of the</w:t>
            </w:r>
            <w:r>
              <w:rPr>
                <w:spacing w:val="-5"/>
                <w:sz w:val="15"/>
              </w:rPr>
              <w:t xml:space="preserve"> </w:t>
            </w:r>
            <w:proofErr w:type="gramStart"/>
            <w:r>
              <w:rPr>
                <w:spacing w:val="-10"/>
                <w:sz w:val="15"/>
              </w:rPr>
              <w:t>4</w:t>
            </w:r>
            <w:proofErr w:type="gramEnd"/>
          </w:p>
        </w:tc>
        <w:tc>
          <w:tcPr>
            <w:tcW w:w="2824" w:type="dxa"/>
            <w:tcBorders>
              <w:top w:val="single" w:sz="2" w:space="0" w:color="000000"/>
            </w:tcBorders>
          </w:tcPr>
          <w:p w14:paraId="4C014C9D" w14:textId="77777777" w:rsidR="00AC6F3C" w:rsidRDefault="00570E88">
            <w:pPr>
              <w:pStyle w:val="TableParagraph"/>
              <w:spacing w:before="51" w:line="156" w:lineRule="exact"/>
              <w:ind w:left="79"/>
              <w:rPr>
                <w:sz w:val="15"/>
              </w:rPr>
            </w:pPr>
            <w:r>
              <w:rPr>
                <w:spacing w:val="-6"/>
                <w:sz w:val="15"/>
              </w:rPr>
              <w:t>18.1.1</w:t>
            </w:r>
            <w:r>
              <w:rPr>
                <w:spacing w:val="24"/>
                <w:sz w:val="15"/>
              </w:rPr>
              <w:t xml:space="preserve"> </w:t>
            </w:r>
            <w:r>
              <w:rPr>
                <w:spacing w:val="-6"/>
                <w:sz w:val="15"/>
              </w:rPr>
              <w:t>Implement</w:t>
            </w:r>
            <w:r>
              <w:rPr>
                <w:spacing w:val="-2"/>
                <w:sz w:val="15"/>
              </w:rPr>
              <w:t xml:space="preserve"> </w:t>
            </w:r>
            <w:r>
              <w:rPr>
                <w:spacing w:val="-6"/>
                <w:sz w:val="15"/>
              </w:rPr>
              <w:t>year</w:t>
            </w:r>
            <w:r>
              <w:rPr>
                <w:spacing w:val="-2"/>
                <w:sz w:val="15"/>
              </w:rPr>
              <w:t xml:space="preserve"> </w:t>
            </w:r>
            <w:r>
              <w:rPr>
                <w:spacing w:val="-6"/>
                <w:sz w:val="15"/>
              </w:rPr>
              <w:t>2</w:t>
            </w:r>
            <w:r>
              <w:rPr>
                <w:spacing w:val="-2"/>
                <w:sz w:val="15"/>
              </w:rPr>
              <w:t xml:space="preserve"> </w:t>
            </w:r>
            <w:r>
              <w:rPr>
                <w:spacing w:val="-6"/>
                <w:sz w:val="15"/>
              </w:rPr>
              <w:t>of</w:t>
            </w:r>
            <w:r>
              <w:rPr>
                <w:spacing w:val="-3"/>
                <w:sz w:val="15"/>
              </w:rPr>
              <w:t xml:space="preserve"> </w:t>
            </w:r>
            <w:r>
              <w:rPr>
                <w:spacing w:val="-6"/>
                <w:sz w:val="15"/>
              </w:rPr>
              <w:t>the</w:t>
            </w:r>
            <w:r>
              <w:rPr>
                <w:spacing w:val="-2"/>
                <w:sz w:val="15"/>
              </w:rPr>
              <w:t xml:space="preserve"> </w:t>
            </w:r>
            <w:r>
              <w:rPr>
                <w:spacing w:val="-6"/>
                <w:sz w:val="15"/>
              </w:rPr>
              <w:t>4</w:t>
            </w:r>
            <w:r>
              <w:rPr>
                <w:spacing w:val="-2"/>
                <w:sz w:val="15"/>
              </w:rPr>
              <w:t xml:space="preserve"> </w:t>
            </w:r>
            <w:proofErr w:type="gramStart"/>
            <w:r>
              <w:rPr>
                <w:spacing w:val="-6"/>
                <w:sz w:val="15"/>
              </w:rPr>
              <w:t>year</w:t>
            </w:r>
            <w:proofErr w:type="gramEnd"/>
          </w:p>
        </w:tc>
        <w:tc>
          <w:tcPr>
            <w:tcW w:w="797" w:type="dxa"/>
            <w:tcBorders>
              <w:top w:val="single" w:sz="2" w:space="0" w:color="000000"/>
            </w:tcBorders>
          </w:tcPr>
          <w:p w14:paraId="68E51200" w14:textId="77777777" w:rsidR="00AC6F3C" w:rsidRDefault="00570E88">
            <w:pPr>
              <w:pStyle w:val="TableParagraph"/>
              <w:spacing w:before="51" w:line="156" w:lineRule="exact"/>
              <w:ind w:left="160"/>
              <w:rPr>
                <w:b/>
                <w:sz w:val="15"/>
              </w:rPr>
            </w:pPr>
            <w:r>
              <w:rPr>
                <w:b/>
                <w:spacing w:val="-4"/>
                <w:sz w:val="15"/>
              </w:rPr>
              <w:t>KPI5</w:t>
            </w:r>
          </w:p>
        </w:tc>
        <w:tc>
          <w:tcPr>
            <w:tcW w:w="822" w:type="dxa"/>
            <w:tcBorders>
              <w:top w:val="single" w:sz="2" w:space="0" w:color="000000"/>
            </w:tcBorders>
          </w:tcPr>
          <w:p w14:paraId="36F08A94" w14:textId="77777777" w:rsidR="00AC6F3C" w:rsidRDefault="00570E88">
            <w:pPr>
              <w:pStyle w:val="TableParagraph"/>
              <w:spacing w:before="51" w:line="156" w:lineRule="exact"/>
              <w:ind w:left="40" w:right="67"/>
              <w:jc w:val="center"/>
              <w:rPr>
                <w:sz w:val="15"/>
              </w:rPr>
            </w:pPr>
            <w:r>
              <w:rPr>
                <w:spacing w:val="-4"/>
                <w:sz w:val="15"/>
              </w:rPr>
              <w:t>30-Jun-</w:t>
            </w:r>
            <w:r>
              <w:rPr>
                <w:spacing w:val="-5"/>
                <w:sz w:val="15"/>
              </w:rPr>
              <w:t>23</w:t>
            </w:r>
          </w:p>
        </w:tc>
        <w:tc>
          <w:tcPr>
            <w:tcW w:w="1217" w:type="dxa"/>
            <w:tcBorders>
              <w:top w:val="single" w:sz="2" w:space="0" w:color="000000"/>
            </w:tcBorders>
          </w:tcPr>
          <w:p w14:paraId="45011DEA" w14:textId="77777777" w:rsidR="00AC6F3C" w:rsidRDefault="00570E88">
            <w:pPr>
              <w:pStyle w:val="TableParagraph"/>
              <w:spacing w:before="51" w:line="156" w:lineRule="exact"/>
              <w:ind w:left="114"/>
              <w:rPr>
                <w:sz w:val="15"/>
              </w:rPr>
            </w:pPr>
            <w:r>
              <w:rPr>
                <w:spacing w:val="-2"/>
                <w:sz w:val="15"/>
              </w:rPr>
              <w:t>Finance</w:t>
            </w:r>
          </w:p>
        </w:tc>
        <w:tc>
          <w:tcPr>
            <w:tcW w:w="1838" w:type="dxa"/>
            <w:tcBorders>
              <w:top w:val="single" w:sz="2" w:space="0" w:color="000000"/>
            </w:tcBorders>
          </w:tcPr>
          <w:p w14:paraId="56E58527" w14:textId="77777777" w:rsidR="00AC6F3C" w:rsidRDefault="00570E88">
            <w:pPr>
              <w:pStyle w:val="TableParagraph"/>
              <w:spacing w:before="51" w:line="156" w:lineRule="exact"/>
              <w:ind w:left="116"/>
              <w:rPr>
                <w:sz w:val="15"/>
              </w:rPr>
            </w:pPr>
            <w:r>
              <w:rPr>
                <w:spacing w:val="-6"/>
                <w:sz w:val="15"/>
              </w:rPr>
              <w:t>18.1.1</w:t>
            </w:r>
            <w:r>
              <w:rPr>
                <w:spacing w:val="16"/>
                <w:sz w:val="15"/>
              </w:rPr>
              <w:t xml:space="preserve"> </w:t>
            </w:r>
            <w:r>
              <w:rPr>
                <w:spacing w:val="-6"/>
                <w:sz w:val="15"/>
              </w:rPr>
              <w:t>Deliver</w:t>
            </w:r>
            <w:r>
              <w:rPr>
                <w:spacing w:val="-5"/>
                <w:sz w:val="15"/>
              </w:rPr>
              <w:t xml:space="preserve"> </w:t>
            </w:r>
            <w:r>
              <w:rPr>
                <w:spacing w:val="-6"/>
                <w:sz w:val="15"/>
              </w:rPr>
              <w:t>the</w:t>
            </w:r>
          </w:p>
        </w:tc>
        <w:tc>
          <w:tcPr>
            <w:tcW w:w="833" w:type="dxa"/>
            <w:tcBorders>
              <w:top w:val="single" w:sz="2" w:space="0" w:color="000000"/>
            </w:tcBorders>
          </w:tcPr>
          <w:p w14:paraId="3E321FA1" w14:textId="77777777" w:rsidR="00AC6F3C" w:rsidRDefault="00570E88">
            <w:pPr>
              <w:pStyle w:val="TableParagraph"/>
              <w:spacing w:before="51" w:line="156" w:lineRule="exact"/>
              <w:ind w:left="78"/>
              <w:rPr>
                <w:b/>
                <w:sz w:val="15"/>
              </w:rPr>
            </w:pPr>
            <w:r>
              <w:rPr>
                <w:b/>
                <w:spacing w:val="-2"/>
                <w:sz w:val="15"/>
              </w:rPr>
              <w:t>Green-</w:t>
            </w:r>
          </w:p>
        </w:tc>
        <w:tc>
          <w:tcPr>
            <w:tcW w:w="1040" w:type="dxa"/>
            <w:tcBorders>
              <w:top w:val="single" w:sz="2" w:space="0" w:color="000000"/>
            </w:tcBorders>
          </w:tcPr>
          <w:p w14:paraId="23F443FF" w14:textId="77777777" w:rsidR="00AC6F3C" w:rsidRDefault="00570E88">
            <w:pPr>
              <w:pStyle w:val="TableParagraph"/>
              <w:spacing w:before="45" w:line="162" w:lineRule="exact"/>
              <w:ind w:left="209"/>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527" w:type="dxa"/>
            <w:tcBorders>
              <w:top w:val="single" w:sz="2" w:space="0" w:color="000000"/>
            </w:tcBorders>
          </w:tcPr>
          <w:p w14:paraId="6CE165AD" w14:textId="77777777" w:rsidR="00AC6F3C" w:rsidRDefault="00570E88">
            <w:pPr>
              <w:pStyle w:val="TableParagraph"/>
              <w:spacing w:before="45" w:line="162" w:lineRule="exact"/>
              <w:ind w:right="40"/>
              <w:jc w:val="right"/>
              <w:rPr>
                <w:sz w:val="15"/>
              </w:rPr>
            </w:pPr>
            <w:r>
              <w:rPr>
                <w:spacing w:val="-2"/>
                <w:sz w:val="15"/>
              </w:rPr>
              <w:t>18.1.1</w:t>
            </w:r>
          </w:p>
        </w:tc>
        <w:tc>
          <w:tcPr>
            <w:tcW w:w="3009" w:type="dxa"/>
            <w:tcBorders>
              <w:top w:val="single" w:sz="2" w:space="0" w:color="000000"/>
            </w:tcBorders>
          </w:tcPr>
          <w:p w14:paraId="1E068819" w14:textId="77777777" w:rsidR="00AC6F3C" w:rsidRDefault="00570E88">
            <w:pPr>
              <w:pStyle w:val="TableParagraph"/>
              <w:spacing w:before="45" w:line="161" w:lineRule="exact"/>
              <w:ind w:left="31"/>
              <w:rPr>
                <w:sz w:val="15"/>
              </w:rPr>
            </w:pPr>
            <w:r>
              <w:rPr>
                <w:spacing w:val="-4"/>
                <w:sz w:val="15"/>
              </w:rPr>
              <w:t>Achieved – The</w:t>
            </w:r>
            <w:r>
              <w:rPr>
                <w:spacing w:val="-3"/>
                <w:sz w:val="15"/>
              </w:rPr>
              <w:t xml:space="preserve"> </w:t>
            </w:r>
            <w:r>
              <w:rPr>
                <w:spacing w:val="-4"/>
                <w:sz w:val="15"/>
              </w:rPr>
              <w:t>underlying Operating</w:t>
            </w:r>
          </w:p>
        </w:tc>
      </w:tr>
      <w:tr w:rsidR="00AC6F3C" w14:paraId="70AF0B9E" w14:textId="77777777">
        <w:trPr>
          <w:trHeight w:val="180"/>
        </w:trPr>
        <w:tc>
          <w:tcPr>
            <w:tcW w:w="856" w:type="dxa"/>
          </w:tcPr>
          <w:p w14:paraId="41D7CBDC" w14:textId="77777777" w:rsidR="00AC6F3C" w:rsidRDefault="00AC6F3C">
            <w:pPr>
              <w:pStyle w:val="TableParagraph"/>
              <w:rPr>
                <w:rFonts w:ascii="Times New Roman"/>
                <w:sz w:val="12"/>
              </w:rPr>
            </w:pPr>
          </w:p>
        </w:tc>
        <w:tc>
          <w:tcPr>
            <w:tcW w:w="378" w:type="dxa"/>
          </w:tcPr>
          <w:p w14:paraId="0EB48261" w14:textId="77777777" w:rsidR="00AC6F3C" w:rsidRDefault="00AC6F3C">
            <w:pPr>
              <w:pStyle w:val="TableParagraph"/>
              <w:rPr>
                <w:rFonts w:ascii="Times New Roman"/>
                <w:sz w:val="12"/>
              </w:rPr>
            </w:pPr>
          </w:p>
        </w:tc>
        <w:tc>
          <w:tcPr>
            <w:tcW w:w="1862" w:type="dxa"/>
          </w:tcPr>
          <w:p w14:paraId="3DFA7358" w14:textId="77777777" w:rsidR="00AC6F3C" w:rsidRDefault="00570E88">
            <w:pPr>
              <w:pStyle w:val="TableParagraph"/>
              <w:spacing w:before="4" w:line="156" w:lineRule="exact"/>
              <w:ind w:left="41"/>
              <w:rPr>
                <w:sz w:val="15"/>
              </w:rPr>
            </w:pPr>
            <w:r>
              <w:rPr>
                <w:spacing w:val="-4"/>
                <w:sz w:val="15"/>
              </w:rPr>
              <w:t>year</w:t>
            </w:r>
            <w:r>
              <w:rPr>
                <w:spacing w:val="-2"/>
                <w:sz w:val="15"/>
              </w:rPr>
              <w:t xml:space="preserve"> </w:t>
            </w:r>
            <w:r>
              <w:rPr>
                <w:spacing w:val="-4"/>
                <w:sz w:val="15"/>
              </w:rPr>
              <w:t>financial</w:t>
            </w:r>
            <w:r>
              <w:rPr>
                <w:spacing w:val="-1"/>
                <w:sz w:val="15"/>
              </w:rPr>
              <w:t xml:space="preserve"> </w:t>
            </w:r>
            <w:r>
              <w:rPr>
                <w:spacing w:val="-4"/>
                <w:sz w:val="15"/>
              </w:rPr>
              <w:t>road</w:t>
            </w:r>
            <w:r>
              <w:rPr>
                <w:spacing w:val="-2"/>
                <w:sz w:val="15"/>
              </w:rPr>
              <w:t xml:space="preserve"> </w:t>
            </w:r>
            <w:r>
              <w:rPr>
                <w:spacing w:val="-5"/>
                <w:sz w:val="15"/>
              </w:rPr>
              <w:t>map</w:t>
            </w:r>
          </w:p>
        </w:tc>
        <w:tc>
          <w:tcPr>
            <w:tcW w:w="2824" w:type="dxa"/>
          </w:tcPr>
          <w:p w14:paraId="4C27C1F9" w14:textId="77777777" w:rsidR="00AC6F3C" w:rsidRDefault="00570E88">
            <w:pPr>
              <w:pStyle w:val="TableParagraph"/>
              <w:spacing w:before="4" w:line="156" w:lineRule="exact"/>
              <w:ind w:left="504"/>
              <w:rPr>
                <w:sz w:val="15"/>
              </w:rPr>
            </w:pPr>
            <w:r>
              <w:rPr>
                <w:spacing w:val="-4"/>
                <w:sz w:val="15"/>
              </w:rPr>
              <w:t>financial</w:t>
            </w:r>
            <w:r>
              <w:rPr>
                <w:sz w:val="15"/>
              </w:rPr>
              <w:t xml:space="preserve"> </w:t>
            </w:r>
            <w:r>
              <w:rPr>
                <w:spacing w:val="-4"/>
                <w:sz w:val="15"/>
              </w:rPr>
              <w:t>road</w:t>
            </w:r>
            <w:r>
              <w:rPr>
                <w:spacing w:val="1"/>
                <w:sz w:val="15"/>
              </w:rPr>
              <w:t xml:space="preserve"> </w:t>
            </w:r>
            <w:r>
              <w:rPr>
                <w:spacing w:val="-5"/>
                <w:sz w:val="15"/>
              </w:rPr>
              <w:t>map</w:t>
            </w:r>
          </w:p>
        </w:tc>
        <w:tc>
          <w:tcPr>
            <w:tcW w:w="797" w:type="dxa"/>
          </w:tcPr>
          <w:p w14:paraId="2C49407B" w14:textId="77777777" w:rsidR="00AC6F3C" w:rsidRDefault="00AC6F3C">
            <w:pPr>
              <w:pStyle w:val="TableParagraph"/>
              <w:rPr>
                <w:rFonts w:ascii="Times New Roman"/>
                <w:sz w:val="12"/>
              </w:rPr>
            </w:pPr>
          </w:p>
        </w:tc>
        <w:tc>
          <w:tcPr>
            <w:tcW w:w="822" w:type="dxa"/>
          </w:tcPr>
          <w:p w14:paraId="113B6C0E" w14:textId="77777777" w:rsidR="00AC6F3C" w:rsidRDefault="00AC6F3C">
            <w:pPr>
              <w:pStyle w:val="TableParagraph"/>
              <w:rPr>
                <w:rFonts w:ascii="Times New Roman"/>
                <w:sz w:val="12"/>
              </w:rPr>
            </w:pPr>
          </w:p>
        </w:tc>
        <w:tc>
          <w:tcPr>
            <w:tcW w:w="1217" w:type="dxa"/>
          </w:tcPr>
          <w:p w14:paraId="2FACFF7F" w14:textId="77777777" w:rsidR="00AC6F3C" w:rsidRDefault="00AC6F3C">
            <w:pPr>
              <w:pStyle w:val="TableParagraph"/>
              <w:rPr>
                <w:rFonts w:ascii="Times New Roman"/>
                <w:sz w:val="12"/>
              </w:rPr>
            </w:pPr>
          </w:p>
        </w:tc>
        <w:tc>
          <w:tcPr>
            <w:tcW w:w="1838" w:type="dxa"/>
          </w:tcPr>
          <w:p w14:paraId="1AD27DA3" w14:textId="77777777" w:rsidR="00AC6F3C" w:rsidRDefault="00570E88">
            <w:pPr>
              <w:pStyle w:val="TableParagraph"/>
              <w:spacing w:before="4" w:line="156" w:lineRule="exact"/>
              <w:ind w:right="62"/>
              <w:jc w:val="right"/>
              <w:rPr>
                <w:sz w:val="15"/>
              </w:rPr>
            </w:pPr>
            <w:r>
              <w:rPr>
                <w:spacing w:val="-5"/>
                <w:sz w:val="15"/>
              </w:rPr>
              <w:t>budgeted</w:t>
            </w:r>
            <w:r>
              <w:rPr>
                <w:spacing w:val="1"/>
                <w:sz w:val="15"/>
              </w:rPr>
              <w:t xml:space="preserve"> </w:t>
            </w:r>
            <w:r>
              <w:rPr>
                <w:spacing w:val="-2"/>
                <w:sz w:val="15"/>
              </w:rPr>
              <w:t>operating</w:t>
            </w:r>
          </w:p>
        </w:tc>
        <w:tc>
          <w:tcPr>
            <w:tcW w:w="833" w:type="dxa"/>
          </w:tcPr>
          <w:p w14:paraId="182A892B" w14:textId="77777777" w:rsidR="00AC6F3C" w:rsidRDefault="00570E88">
            <w:pPr>
              <w:pStyle w:val="TableParagraph"/>
              <w:spacing w:before="4" w:line="156" w:lineRule="exact"/>
              <w:ind w:left="78"/>
              <w:rPr>
                <w:b/>
                <w:sz w:val="15"/>
              </w:rPr>
            </w:pPr>
            <w:r>
              <w:rPr>
                <w:b/>
                <w:spacing w:val="-2"/>
                <w:sz w:val="15"/>
              </w:rPr>
              <w:t>Yellow</w:t>
            </w:r>
          </w:p>
        </w:tc>
        <w:tc>
          <w:tcPr>
            <w:tcW w:w="1040" w:type="dxa"/>
          </w:tcPr>
          <w:p w14:paraId="32DCFDE1" w14:textId="77777777" w:rsidR="00AC6F3C" w:rsidRDefault="00570E88">
            <w:pPr>
              <w:pStyle w:val="TableParagraph"/>
              <w:spacing w:line="160" w:lineRule="exact"/>
              <w:ind w:left="209"/>
              <w:rPr>
                <w:b/>
                <w:sz w:val="15"/>
              </w:rPr>
            </w:pPr>
            <w:r>
              <w:rPr>
                <w:b/>
                <w:spacing w:val="-2"/>
                <w:sz w:val="15"/>
              </w:rPr>
              <w:t>ongoing</w:t>
            </w:r>
          </w:p>
        </w:tc>
        <w:tc>
          <w:tcPr>
            <w:tcW w:w="527" w:type="dxa"/>
          </w:tcPr>
          <w:p w14:paraId="6304709C" w14:textId="77777777" w:rsidR="00AC6F3C" w:rsidRDefault="00AC6F3C">
            <w:pPr>
              <w:pStyle w:val="TableParagraph"/>
              <w:rPr>
                <w:rFonts w:ascii="Times New Roman"/>
                <w:sz w:val="12"/>
              </w:rPr>
            </w:pPr>
          </w:p>
        </w:tc>
        <w:tc>
          <w:tcPr>
            <w:tcW w:w="3009" w:type="dxa"/>
          </w:tcPr>
          <w:p w14:paraId="3C6102A3" w14:textId="77777777" w:rsidR="00AC6F3C" w:rsidRDefault="00570E88">
            <w:pPr>
              <w:pStyle w:val="TableParagraph"/>
              <w:spacing w:line="160" w:lineRule="exact"/>
              <w:ind w:left="31"/>
              <w:rPr>
                <w:sz w:val="15"/>
              </w:rPr>
            </w:pPr>
            <w:r>
              <w:rPr>
                <w:spacing w:val="-4"/>
                <w:sz w:val="15"/>
              </w:rPr>
              <w:t>Surplus</w:t>
            </w:r>
            <w:r>
              <w:rPr>
                <w:spacing w:val="-1"/>
                <w:sz w:val="15"/>
              </w:rPr>
              <w:t xml:space="preserve"> </w:t>
            </w:r>
            <w:r>
              <w:rPr>
                <w:spacing w:val="-4"/>
                <w:sz w:val="15"/>
              </w:rPr>
              <w:t>of</w:t>
            </w:r>
            <w:r>
              <w:rPr>
                <w:spacing w:val="-1"/>
                <w:sz w:val="15"/>
              </w:rPr>
              <w:t xml:space="preserve"> </w:t>
            </w:r>
            <w:r>
              <w:rPr>
                <w:spacing w:val="-4"/>
                <w:sz w:val="15"/>
              </w:rPr>
              <w:t>$594k,</w:t>
            </w:r>
            <w:r>
              <w:rPr>
                <w:spacing w:val="-1"/>
                <w:sz w:val="15"/>
              </w:rPr>
              <w:t xml:space="preserve"> </w:t>
            </w:r>
            <w:r>
              <w:rPr>
                <w:spacing w:val="-4"/>
                <w:sz w:val="15"/>
              </w:rPr>
              <w:t>before</w:t>
            </w:r>
            <w:r>
              <w:rPr>
                <w:spacing w:val="-1"/>
                <w:sz w:val="15"/>
              </w:rPr>
              <w:t xml:space="preserve"> </w:t>
            </w:r>
            <w:r>
              <w:rPr>
                <w:spacing w:val="-4"/>
                <w:sz w:val="15"/>
              </w:rPr>
              <w:t>accounting</w:t>
            </w:r>
            <w:r>
              <w:rPr>
                <w:spacing w:val="-1"/>
                <w:sz w:val="15"/>
              </w:rPr>
              <w:t xml:space="preserve"> </w:t>
            </w:r>
            <w:r>
              <w:rPr>
                <w:spacing w:val="-5"/>
                <w:sz w:val="15"/>
              </w:rPr>
              <w:t>for</w:t>
            </w:r>
          </w:p>
        </w:tc>
      </w:tr>
      <w:tr w:rsidR="00AC6F3C" w14:paraId="7ACB5EC3" w14:textId="77777777">
        <w:trPr>
          <w:trHeight w:val="180"/>
        </w:trPr>
        <w:tc>
          <w:tcPr>
            <w:tcW w:w="856" w:type="dxa"/>
          </w:tcPr>
          <w:p w14:paraId="065D9587" w14:textId="77777777" w:rsidR="00AC6F3C" w:rsidRDefault="00AC6F3C">
            <w:pPr>
              <w:pStyle w:val="TableParagraph"/>
              <w:rPr>
                <w:rFonts w:ascii="Times New Roman"/>
                <w:sz w:val="12"/>
              </w:rPr>
            </w:pPr>
          </w:p>
        </w:tc>
        <w:tc>
          <w:tcPr>
            <w:tcW w:w="378" w:type="dxa"/>
          </w:tcPr>
          <w:p w14:paraId="4F3E0986" w14:textId="77777777" w:rsidR="00AC6F3C" w:rsidRDefault="00AC6F3C">
            <w:pPr>
              <w:pStyle w:val="TableParagraph"/>
              <w:rPr>
                <w:rFonts w:ascii="Times New Roman"/>
                <w:sz w:val="12"/>
              </w:rPr>
            </w:pPr>
          </w:p>
        </w:tc>
        <w:tc>
          <w:tcPr>
            <w:tcW w:w="1862" w:type="dxa"/>
          </w:tcPr>
          <w:p w14:paraId="1A003D56" w14:textId="77777777" w:rsidR="00AC6F3C" w:rsidRDefault="00AC6F3C">
            <w:pPr>
              <w:pStyle w:val="TableParagraph"/>
              <w:rPr>
                <w:rFonts w:ascii="Times New Roman"/>
                <w:sz w:val="12"/>
              </w:rPr>
            </w:pPr>
          </w:p>
        </w:tc>
        <w:tc>
          <w:tcPr>
            <w:tcW w:w="2824" w:type="dxa"/>
          </w:tcPr>
          <w:p w14:paraId="163DD60D" w14:textId="77777777" w:rsidR="00AC6F3C" w:rsidRDefault="00AC6F3C">
            <w:pPr>
              <w:pStyle w:val="TableParagraph"/>
              <w:rPr>
                <w:rFonts w:ascii="Times New Roman"/>
                <w:sz w:val="12"/>
              </w:rPr>
            </w:pPr>
          </w:p>
        </w:tc>
        <w:tc>
          <w:tcPr>
            <w:tcW w:w="797" w:type="dxa"/>
          </w:tcPr>
          <w:p w14:paraId="5D4960FA" w14:textId="77777777" w:rsidR="00AC6F3C" w:rsidRDefault="00570E88">
            <w:pPr>
              <w:pStyle w:val="TableParagraph"/>
              <w:spacing w:before="4" w:line="156" w:lineRule="exact"/>
              <w:ind w:left="160"/>
              <w:rPr>
                <w:b/>
                <w:sz w:val="15"/>
              </w:rPr>
            </w:pPr>
            <w:r>
              <w:rPr>
                <w:b/>
                <w:spacing w:val="-4"/>
                <w:sz w:val="15"/>
              </w:rPr>
              <w:t>KPI6</w:t>
            </w:r>
          </w:p>
        </w:tc>
        <w:tc>
          <w:tcPr>
            <w:tcW w:w="822" w:type="dxa"/>
          </w:tcPr>
          <w:p w14:paraId="631A2FC2" w14:textId="77777777" w:rsidR="00AC6F3C" w:rsidRDefault="00AC6F3C">
            <w:pPr>
              <w:pStyle w:val="TableParagraph"/>
              <w:rPr>
                <w:rFonts w:ascii="Times New Roman"/>
                <w:sz w:val="12"/>
              </w:rPr>
            </w:pPr>
          </w:p>
        </w:tc>
        <w:tc>
          <w:tcPr>
            <w:tcW w:w="1217" w:type="dxa"/>
          </w:tcPr>
          <w:p w14:paraId="7EA7169D" w14:textId="77777777" w:rsidR="00AC6F3C" w:rsidRDefault="00AC6F3C">
            <w:pPr>
              <w:pStyle w:val="TableParagraph"/>
              <w:rPr>
                <w:rFonts w:ascii="Times New Roman"/>
                <w:sz w:val="12"/>
              </w:rPr>
            </w:pPr>
          </w:p>
        </w:tc>
        <w:tc>
          <w:tcPr>
            <w:tcW w:w="1838" w:type="dxa"/>
          </w:tcPr>
          <w:p w14:paraId="6B1B8FE0" w14:textId="77777777" w:rsidR="00AC6F3C" w:rsidRDefault="00570E88">
            <w:pPr>
              <w:pStyle w:val="TableParagraph"/>
              <w:spacing w:before="4" w:line="156" w:lineRule="exact"/>
              <w:ind w:left="541"/>
              <w:rPr>
                <w:sz w:val="15"/>
              </w:rPr>
            </w:pPr>
            <w:r>
              <w:rPr>
                <w:spacing w:val="-2"/>
                <w:sz w:val="15"/>
              </w:rPr>
              <w:t>surplus</w:t>
            </w:r>
          </w:p>
        </w:tc>
        <w:tc>
          <w:tcPr>
            <w:tcW w:w="833" w:type="dxa"/>
          </w:tcPr>
          <w:p w14:paraId="1B6B748C" w14:textId="77777777" w:rsidR="00AC6F3C" w:rsidRDefault="00AC6F3C">
            <w:pPr>
              <w:pStyle w:val="TableParagraph"/>
              <w:rPr>
                <w:rFonts w:ascii="Times New Roman"/>
                <w:sz w:val="12"/>
              </w:rPr>
            </w:pPr>
          </w:p>
        </w:tc>
        <w:tc>
          <w:tcPr>
            <w:tcW w:w="1040" w:type="dxa"/>
          </w:tcPr>
          <w:p w14:paraId="0462CF31" w14:textId="77777777" w:rsidR="00AC6F3C" w:rsidRDefault="00AC6F3C">
            <w:pPr>
              <w:pStyle w:val="TableParagraph"/>
              <w:rPr>
                <w:rFonts w:ascii="Times New Roman"/>
                <w:sz w:val="12"/>
              </w:rPr>
            </w:pPr>
          </w:p>
        </w:tc>
        <w:tc>
          <w:tcPr>
            <w:tcW w:w="527" w:type="dxa"/>
          </w:tcPr>
          <w:p w14:paraId="5DB34458" w14:textId="77777777" w:rsidR="00AC6F3C" w:rsidRDefault="00AC6F3C">
            <w:pPr>
              <w:pStyle w:val="TableParagraph"/>
              <w:rPr>
                <w:rFonts w:ascii="Times New Roman"/>
                <w:sz w:val="12"/>
              </w:rPr>
            </w:pPr>
          </w:p>
        </w:tc>
        <w:tc>
          <w:tcPr>
            <w:tcW w:w="3009" w:type="dxa"/>
          </w:tcPr>
          <w:p w14:paraId="4151D0FD" w14:textId="77777777" w:rsidR="00AC6F3C" w:rsidRDefault="00570E88">
            <w:pPr>
              <w:pStyle w:val="TableParagraph"/>
              <w:spacing w:line="160" w:lineRule="exact"/>
              <w:ind w:left="31"/>
              <w:rPr>
                <w:sz w:val="15"/>
              </w:rPr>
            </w:pPr>
            <w:r>
              <w:rPr>
                <w:spacing w:val="-4"/>
                <w:sz w:val="15"/>
              </w:rPr>
              <w:t>the</w:t>
            </w:r>
            <w:r>
              <w:rPr>
                <w:spacing w:val="-1"/>
                <w:sz w:val="15"/>
              </w:rPr>
              <w:t xml:space="preserve"> </w:t>
            </w:r>
            <w:r>
              <w:rPr>
                <w:spacing w:val="-4"/>
                <w:sz w:val="15"/>
              </w:rPr>
              <w:t>refurbishment</w:t>
            </w:r>
            <w:r>
              <w:rPr>
                <w:spacing w:val="-1"/>
                <w:sz w:val="15"/>
              </w:rPr>
              <w:t xml:space="preserve"> </w:t>
            </w:r>
            <w:r>
              <w:rPr>
                <w:spacing w:val="-4"/>
                <w:sz w:val="15"/>
              </w:rPr>
              <w:t>project,</w:t>
            </w:r>
            <w:r>
              <w:rPr>
                <w:spacing w:val="-1"/>
                <w:sz w:val="15"/>
              </w:rPr>
              <w:t xml:space="preserve"> </w:t>
            </w:r>
            <w:r>
              <w:rPr>
                <w:spacing w:val="-4"/>
                <w:sz w:val="15"/>
              </w:rPr>
              <w:t>has</w:t>
            </w:r>
            <w:r>
              <w:rPr>
                <w:spacing w:val="-1"/>
                <w:sz w:val="15"/>
              </w:rPr>
              <w:t xml:space="preserve"> </w:t>
            </w:r>
            <w:r>
              <w:rPr>
                <w:spacing w:val="-4"/>
                <w:sz w:val="15"/>
              </w:rPr>
              <w:t>enabled</w:t>
            </w:r>
            <w:r>
              <w:rPr>
                <w:spacing w:val="-1"/>
                <w:sz w:val="15"/>
              </w:rPr>
              <w:t xml:space="preserve"> </w:t>
            </w:r>
            <w:r>
              <w:rPr>
                <w:spacing w:val="-5"/>
                <w:sz w:val="15"/>
              </w:rPr>
              <w:t>the</w:t>
            </w:r>
          </w:p>
        </w:tc>
      </w:tr>
      <w:tr w:rsidR="00AC6F3C" w14:paraId="4BAF1F92" w14:textId="77777777">
        <w:trPr>
          <w:trHeight w:val="177"/>
        </w:trPr>
        <w:tc>
          <w:tcPr>
            <w:tcW w:w="856" w:type="dxa"/>
          </w:tcPr>
          <w:p w14:paraId="66FF4B69" w14:textId="77777777" w:rsidR="00AC6F3C" w:rsidRDefault="00AC6F3C">
            <w:pPr>
              <w:pStyle w:val="TableParagraph"/>
              <w:rPr>
                <w:rFonts w:ascii="Times New Roman"/>
                <w:sz w:val="10"/>
              </w:rPr>
            </w:pPr>
          </w:p>
        </w:tc>
        <w:tc>
          <w:tcPr>
            <w:tcW w:w="378" w:type="dxa"/>
          </w:tcPr>
          <w:p w14:paraId="6AFCDCA0" w14:textId="77777777" w:rsidR="00AC6F3C" w:rsidRDefault="00AC6F3C">
            <w:pPr>
              <w:pStyle w:val="TableParagraph"/>
              <w:rPr>
                <w:rFonts w:ascii="Times New Roman"/>
                <w:sz w:val="10"/>
              </w:rPr>
            </w:pPr>
          </w:p>
        </w:tc>
        <w:tc>
          <w:tcPr>
            <w:tcW w:w="1862" w:type="dxa"/>
          </w:tcPr>
          <w:p w14:paraId="01A8CC08" w14:textId="77777777" w:rsidR="00AC6F3C" w:rsidRDefault="00AC6F3C">
            <w:pPr>
              <w:pStyle w:val="TableParagraph"/>
              <w:rPr>
                <w:rFonts w:ascii="Times New Roman"/>
                <w:sz w:val="10"/>
              </w:rPr>
            </w:pPr>
          </w:p>
        </w:tc>
        <w:tc>
          <w:tcPr>
            <w:tcW w:w="2824" w:type="dxa"/>
          </w:tcPr>
          <w:p w14:paraId="43A80395" w14:textId="77777777" w:rsidR="00AC6F3C" w:rsidRDefault="00AC6F3C">
            <w:pPr>
              <w:pStyle w:val="TableParagraph"/>
              <w:rPr>
                <w:rFonts w:ascii="Times New Roman"/>
                <w:sz w:val="10"/>
              </w:rPr>
            </w:pPr>
          </w:p>
        </w:tc>
        <w:tc>
          <w:tcPr>
            <w:tcW w:w="797" w:type="dxa"/>
          </w:tcPr>
          <w:p w14:paraId="1F9E3935" w14:textId="77777777" w:rsidR="00AC6F3C" w:rsidRDefault="00AC6F3C">
            <w:pPr>
              <w:pStyle w:val="TableParagraph"/>
              <w:rPr>
                <w:rFonts w:ascii="Times New Roman"/>
                <w:sz w:val="10"/>
              </w:rPr>
            </w:pPr>
          </w:p>
        </w:tc>
        <w:tc>
          <w:tcPr>
            <w:tcW w:w="822" w:type="dxa"/>
          </w:tcPr>
          <w:p w14:paraId="14056F89" w14:textId="77777777" w:rsidR="00AC6F3C" w:rsidRDefault="00AC6F3C">
            <w:pPr>
              <w:pStyle w:val="TableParagraph"/>
              <w:rPr>
                <w:rFonts w:ascii="Times New Roman"/>
                <w:sz w:val="10"/>
              </w:rPr>
            </w:pPr>
          </w:p>
        </w:tc>
        <w:tc>
          <w:tcPr>
            <w:tcW w:w="1217" w:type="dxa"/>
          </w:tcPr>
          <w:p w14:paraId="2F94A6F9" w14:textId="77777777" w:rsidR="00AC6F3C" w:rsidRDefault="00AC6F3C">
            <w:pPr>
              <w:pStyle w:val="TableParagraph"/>
              <w:rPr>
                <w:rFonts w:ascii="Times New Roman"/>
                <w:sz w:val="10"/>
              </w:rPr>
            </w:pPr>
          </w:p>
        </w:tc>
        <w:tc>
          <w:tcPr>
            <w:tcW w:w="1838" w:type="dxa"/>
          </w:tcPr>
          <w:p w14:paraId="74D66DE1" w14:textId="77777777" w:rsidR="00AC6F3C" w:rsidRDefault="00AC6F3C">
            <w:pPr>
              <w:pStyle w:val="TableParagraph"/>
              <w:rPr>
                <w:rFonts w:ascii="Times New Roman"/>
                <w:sz w:val="10"/>
              </w:rPr>
            </w:pPr>
          </w:p>
        </w:tc>
        <w:tc>
          <w:tcPr>
            <w:tcW w:w="833" w:type="dxa"/>
          </w:tcPr>
          <w:p w14:paraId="61423F41" w14:textId="77777777" w:rsidR="00AC6F3C" w:rsidRDefault="00AC6F3C">
            <w:pPr>
              <w:pStyle w:val="TableParagraph"/>
              <w:rPr>
                <w:rFonts w:ascii="Times New Roman"/>
                <w:sz w:val="10"/>
              </w:rPr>
            </w:pPr>
          </w:p>
        </w:tc>
        <w:tc>
          <w:tcPr>
            <w:tcW w:w="1040" w:type="dxa"/>
          </w:tcPr>
          <w:p w14:paraId="45819DD2" w14:textId="77777777" w:rsidR="00AC6F3C" w:rsidRDefault="00AC6F3C">
            <w:pPr>
              <w:pStyle w:val="TableParagraph"/>
              <w:rPr>
                <w:rFonts w:ascii="Times New Roman"/>
                <w:sz w:val="10"/>
              </w:rPr>
            </w:pPr>
          </w:p>
        </w:tc>
        <w:tc>
          <w:tcPr>
            <w:tcW w:w="527" w:type="dxa"/>
          </w:tcPr>
          <w:p w14:paraId="189048C6" w14:textId="77777777" w:rsidR="00AC6F3C" w:rsidRDefault="00AC6F3C">
            <w:pPr>
              <w:pStyle w:val="TableParagraph"/>
              <w:rPr>
                <w:rFonts w:ascii="Times New Roman"/>
                <w:sz w:val="10"/>
              </w:rPr>
            </w:pPr>
          </w:p>
        </w:tc>
        <w:tc>
          <w:tcPr>
            <w:tcW w:w="3009" w:type="dxa"/>
          </w:tcPr>
          <w:p w14:paraId="72449258" w14:textId="77777777" w:rsidR="00AC6F3C" w:rsidRDefault="00570E88">
            <w:pPr>
              <w:pStyle w:val="TableParagraph"/>
              <w:spacing w:line="157" w:lineRule="exact"/>
              <w:ind w:left="31"/>
              <w:rPr>
                <w:sz w:val="15"/>
              </w:rPr>
            </w:pPr>
            <w:r>
              <w:rPr>
                <w:spacing w:val="-4"/>
                <w:sz w:val="15"/>
              </w:rPr>
              <w:t>Society</w:t>
            </w:r>
            <w:r>
              <w:rPr>
                <w:spacing w:val="-1"/>
                <w:sz w:val="15"/>
              </w:rPr>
              <w:t xml:space="preserve"> </w:t>
            </w:r>
            <w:r>
              <w:rPr>
                <w:spacing w:val="-4"/>
                <w:sz w:val="15"/>
              </w:rPr>
              <w:t>to</w:t>
            </w:r>
            <w:r>
              <w:rPr>
                <w:spacing w:val="-1"/>
                <w:sz w:val="15"/>
              </w:rPr>
              <w:t xml:space="preserve"> </w:t>
            </w:r>
            <w:r>
              <w:rPr>
                <w:spacing w:val="-4"/>
                <w:sz w:val="15"/>
              </w:rPr>
              <w:t>replenish</w:t>
            </w:r>
            <w:r>
              <w:rPr>
                <w:spacing w:val="-1"/>
                <w:sz w:val="15"/>
              </w:rPr>
              <w:t xml:space="preserve"> </w:t>
            </w:r>
            <w:r>
              <w:rPr>
                <w:spacing w:val="-4"/>
                <w:sz w:val="15"/>
              </w:rPr>
              <w:t>cash</w:t>
            </w:r>
            <w:r>
              <w:rPr>
                <w:spacing w:val="-1"/>
                <w:sz w:val="15"/>
              </w:rPr>
              <w:t xml:space="preserve"> </w:t>
            </w:r>
            <w:r>
              <w:rPr>
                <w:spacing w:val="-4"/>
                <w:sz w:val="15"/>
              </w:rPr>
              <w:t>reserves</w:t>
            </w:r>
            <w:r>
              <w:rPr>
                <w:sz w:val="15"/>
              </w:rPr>
              <w:t xml:space="preserve"> </w:t>
            </w:r>
            <w:r>
              <w:rPr>
                <w:spacing w:val="-4"/>
                <w:sz w:val="15"/>
              </w:rPr>
              <w:t>in</w:t>
            </w:r>
            <w:r>
              <w:rPr>
                <w:spacing w:val="-1"/>
                <w:sz w:val="15"/>
              </w:rPr>
              <w:t xml:space="preserve"> </w:t>
            </w:r>
            <w:r>
              <w:rPr>
                <w:spacing w:val="-4"/>
                <w:sz w:val="15"/>
              </w:rPr>
              <w:t>line</w:t>
            </w:r>
          </w:p>
        </w:tc>
      </w:tr>
      <w:tr w:rsidR="00AC6F3C" w14:paraId="7EBE61F3" w14:textId="77777777">
        <w:trPr>
          <w:trHeight w:val="230"/>
        </w:trPr>
        <w:tc>
          <w:tcPr>
            <w:tcW w:w="856" w:type="dxa"/>
            <w:tcBorders>
              <w:bottom w:val="single" w:sz="2" w:space="0" w:color="000000"/>
            </w:tcBorders>
          </w:tcPr>
          <w:p w14:paraId="185B0992" w14:textId="77777777" w:rsidR="00AC6F3C" w:rsidRDefault="00AC6F3C">
            <w:pPr>
              <w:pStyle w:val="TableParagraph"/>
              <w:rPr>
                <w:rFonts w:ascii="Times New Roman"/>
                <w:sz w:val="14"/>
              </w:rPr>
            </w:pPr>
          </w:p>
        </w:tc>
        <w:tc>
          <w:tcPr>
            <w:tcW w:w="378" w:type="dxa"/>
            <w:tcBorders>
              <w:bottom w:val="single" w:sz="2" w:space="0" w:color="000000"/>
            </w:tcBorders>
          </w:tcPr>
          <w:p w14:paraId="778ADE3B" w14:textId="77777777" w:rsidR="00AC6F3C" w:rsidRDefault="00AC6F3C">
            <w:pPr>
              <w:pStyle w:val="TableParagraph"/>
              <w:rPr>
                <w:rFonts w:ascii="Times New Roman"/>
                <w:sz w:val="14"/>
              </w:rPr>
            </w:pPr>
          </w:p>
        </w:tc>
        <w:tc>
          <w:tcPr>
            <w:tcW w:w="1862" w:type="dxa"/>
            <w:tcBorders>
              <w:bottom w:val="single" w:sz="2" w:space="0" w:color="000000"/>
            </w:tcBorders>
          </w:tcPr>
          <w:p w14:paraId="257C867B" w14:textId="77777777" w:rsidR="00AC6F3C" w:rsidRDefault="00AC6F3C">
            <w:pPr>
              <w:pStyle w:val="TableParagraph"/>
              <w:rPr>
                <w:rFonts w:ascii="Times New Roman"/>
                <w:sz w:val="14"/>
              </w:rPr>
            </w:pPr>
          </w:p>
        </w:tc>
        <w:tc>
          <w:tcPr>
            <w:tcW w:w="2824" w:type="dxa"/>
            <w:tcBorders>
              <w:bottom w:val="single" w:sz="2" w:space="0" w:color="000000"/>
            </w:tcBorders>
          </w:tcPr>
          <w:p w14:paraId="353FD8B4" w14:textId="77777777" w:rsidR="00AC6F3C" w:rsidRDefault="00AC6F3C">
            <w:pPr>
              <w:pStyle w:val="TableParagraph"/>
              <w:rPr>
                <w:rFonts w:ascii="Times New Roman"/>
                <w:sz w:val="14"/>
              </w:rPr>
            </w:pPr>
          </w:p>
        </w:tc>
        <w:tc>
          <w:tcPr>
            <w:tcW w:w="797" w:type="dxa"/>
            <w:tcBorders>
              <w:bottom w:val="single" w:sz="2" w:space="0" w:color="000000"/>
            </w:tcBorders>
          </w:tcPr>
          <w:p w14:paraId="6D6937D2" w14:textId="77777777" w:rsidR="00AC6F3C" w:rsidRDefault="00570E88">
            <w:pPr>
              <w:pStyle w:val="TableParagraph"/>
              <w:spacing w:before="6"/>
              <w:ind w:left="160"/>
              <w:rPr>
                <w:b/>
                <w:sz w:val="15"/>
              </w:rPr>
            </w:pPr>
            <w:r>
              <w:rPr>
                <w:b/>
                <w:spacing w:val="-4"/>
                <w:sz w:val="15"/>
              </w:rPr>
              <w:t>KPI7</w:t>
            </w:r>
          </w:p>
        </w:tc>
        <w:tc>
          <w:tcPr>
            <w:tcW w:w="822" w:type="dxa"/>
            <w:tcBorders>
              <w:bottom w:val="single" w:sz="2" w:space="0" w:color="000000"/>
            </w:tcBorders>
          </w:tcPr>
          <w:p w14:paraId="788F6999" w14:textId="77777777" w:rsidR="00AC6F3C" w:rsidRDefault="00AC6F3C">
            <w:pPr>
              <w:pStyle w:val="TableParagraph"/>
              <w:rPr>
                <w:rFonts w:ascii="Times New Roman"/>
                <w:sz w:val="14"/>
              </w:rPr>
            </w:pPr>
          </w:p>
        </w:tc>
        <w:tc>
          <w:tcPr>
            <w:tcW w:w="1217" w:type="dxa"/>
            <w:tcBorders>
              <w:bottom w:val="single" w:sz="2" w:space="0" w:color="000000"/>
            </w:tcBorders>
          </w:tcPr>
          <w:p w14:paraId="30D30B98" w14:textId="77777777" w:rsidR="00AC6F3C" w:rsidRDefault="00AC6F3C">
            <w:pPr>
              <w:pStyle w:val="TableParagraph"/>
              <w:rPr>
                <w:rFonts w:ascii="Times New Roman"/>
                <w:sz w:val="14"/>
              </w:rPr>
            </w:pPr>
          </w:p>
        </w:tc>
        <w:tc>
          <w:tcPr>
            <w:tcW w:w="1838" w:type="dxa"/>
            <w:tcBorders>
              <w:bottom w:val="single" w:sz="2" w:space="0" w:color="000000"/>
            </w:tcBorders>
          </w:tcPr>
          <w:p w14:paraId="2B70872F" w14:textId="77777777" w:rsidR="00AC6F3C" w:rsidRDefault="00AC6F3C">
            <w:pPr>
              <w:pStyle w:val="TableParagraph"/>
              <w:rPr>
                <w:rFonts w:ascii="Times New Roman"/>
                <w:sz w:val="14"/>
              </w:rPr>
            </w:pPr>
          </w:p>
        </w:tc>
        <w:tc>
          <w:tcPr>
            <w:tcW w:w="833" w:type="dxa"/>
            <w:tcBorders>
              <w:bottom w:val="single" w:sz="2" w:space="0" w:color="000000"/>
            </w:tcBorders>
          </w:tcPr>
          <w:p w14:paraId="16FEDC0F" w14:textId="77777777" w:rsidR="00AC6F3C" w:rsidRDefault="00AC6F3C">
            <w:pPr>
              <w:pStyle w:val="TableParagraph"/>
              <w:rPr>
                <w:rFonts w:ascii="Times New Roman"/>
                <w:sz w:val="14"/>
              </w:rPr>
            </w:pPr>
          </w:p>
        </w:tc>
        <w:tc>
          <w:tcPr>
            <w:tcW w:w="1040" w:type="dxa"/>
            <w:tcBorders>
              <w:bottom w:val="single" w:sz="2" w:space="0" w:color="000000"/>
            </w:tcBorders>
          </w:tcPr>
          <w:p w14:paraId="4A4CF7F3" w14:textId="77777777" w:rsidR="00AC6F3C" w:rsidRDefault="00AC6F3C">
            <w:pPr>
              <w:pStyle w:val="TableParagraph"/>
              <w:rPr>
                <w:rFonts w:ascii="Times New Roman"/>
                <w:sz w:val="14"/>
              </w:rPr>
            </w:pPr>
          </w:p>
        </w:tc>
        <w:tc>
          <w:tcPr>
            <w:tcW w:w="527" w:type="dxa"/>
            <w:tcBorders>
              <w:bottom w:val="single" w:sz="2" w:space="0" w:color="000000"/>
            </w:tcBorders>
          </w:tcPr>
          <w:p w14:paraId="05D11094" w14:textId="77777777" w:rsidR="00AC6F3C" w:rsidRDefault="00AC6F3C">
            <w:pPr>
              <w:pStyle w:val="TableParagraph"/>
              <w:rPr>
                <w:rFonts w:ascii="Times New Roman"/>
                <w:sz w:val="14"/>
              </w:rPr>
            </w:pPr>
          </w:p>
        </w:tc>
        <w:tc>
          <w:tcPr>
            <w:tcW w:w="3009" w:type="dxa"/>
            <w:tcBorders>
              <w:bottom w:val="single" w:sz="2" w:space="0" w:color="000000"/>
            </w:tcBorders>
          </w:tcPr>
          <w:p w14:paraId="4075B570" w14:textId="77777777" w:rsidR="00AC6F3C" w:rsidRDefault="00570E88">
            <w:pPr>
              <w:pStyle w:val="TableParagraph"/>
              <w:spacing w:before="1"/>
              <w:ind w:left="31"/>
              <w:rPr>
                <w:sz w:val="8"/>
              </w:rPr>
            </w:pPr>
            <w:r>
              <w:rPr>
                <w:spacing w:val="-4"/>
                <w:sz w:val="15"/>
              </w:rPr>
              <w:t>with</w:t>
            </w:r>
            <w:r>
              <w:rPr>
                <w:spacing w:val="-1"/>
                <w:sz w:val="15"/>
              </w:rPr>
              <w:t xml:space="preserve"> </w:t>
            </w:r>
            <w:r>
              <w:rPr>
                <w:spacing w:val="-4"/>
                <w:sz w:val="15"/>
              </w:rPr>
              <w:t>the</w:t>
            </w:r>
            <w:r>
              <w:rPr>
                <w:sz w:val="15"/>
              </w:rPr>
              <w:t xml:space="preserve"> </w:t>
            </w:r>
            <w:r>
              <w:rPr>
                <w:spacing w:val="-4"/>
                <w:sz w:val="15"/>
              </w:rPr>
              <w:t>4-year</w:t>
            </w:r>
            <w:r>
              <w:rPr>
                <w:sz w:val="15"/>
              </w:rPr>
              <w:t xml:space="preserve"> </w:t>
            </w:r>
            <w:r>
              <w:rPr>
                <w:spacing w:val="-4"/>
                <w:sz w:val="15"/>
              </w:rPr>
              <w:t>financial</w:t>
            </w:r>
            <w:r>
              <w:rPr>
                <w:sz w:val="15"/>
              </w:rPr>
              <w:t xml:space="preserve"> </w:t>
            </w:r>
            <w:r>
              <w:rPr>
                <w:spacing w:val="-4"/>
                <w:sz w:val="15"/>
              </w:rPr>
              <w:t>road</w:t>
            </w:r>
            <w:r>
              <w:rPr>
                <w:sz w:val="15"/>
              </w:rPr>
              <w:t xml:space="preserve"> </w:t>
            </w:r>
            <w:r>
              <w:rPr>
                <w:spacing w:val="-4"/>
                <w:sz w:val="15"/>
              </w:rPr>
              <w:t>map</w:t>
            </w:r>
            <w:r>
              <w:rPr>
                <w:spacing w:val="-4"/>
                <w:position w:val="5"/>
                <w:sz w:val="8"/>
              </w:rPr>
              <w:t>#</w:t>
            </w:r>
          </w:p>
        </w:tc>
      </w:tr>
      <w:tr w:rsidR="00AC6F3C" w14:paraId="1BD95ABD" w14:textId="77777777">
        <w:trPr>
          <w:trHeight w:val="226"/>
        </w:trPr>
        <w:tc>
          <w:tcPr>
            <w:tcW w:w="856" w:type="dxa"/>
            <w:tcBorders>
              <w:top w:val="single" w:sz="2" w:space="0" w:color="000000"/>
            </w:tcBorders>
          </w:tcPr>
          <w:p w14:paraId="68C0A66E" w14:textId="77777777" w:rsidR="00AC6F3C" w:rsidRDefault="00570E88">
            <w:pPr>
              <w:pStyle w:val="TableParagraph"/>
              <w:spacing w:before="51" w:line="156" w:lineRule="exact"/>
              <w:ind w:left="85"/>
              <w:rPr>
                <w:b/>
                <w:sz w:val="15"/>
              </w:rPr>
            </w:pPr>
            <w:r>
              <w:rPr>
                <w:b/>
                <w:spacing w:val="-4"/>
                <w:sz w:val="15"/>
              </w:rPr>
              <w:t>Grow</w:t>
            </w:r>
          </w:p>
        </w:tc>
        <w:tc>
          <w:tcPr>
            <w:tcW w:w="378" w:type="dxa"/>
            <w:tcBorders>
              <w:top w:val="single" w:sz="2" w:space="0" w:color="000000"/>
            </w:tcBorders>
          </w:tcPr>
          <w:p w14:paraId="41BDAD3E" w14:textId="77777777" w:rsidR="00AC6F3C" w:rsidRDefault="00570E88">
            <w:pPr>
              <w:pStyle w:val="TableParagraph"/>
              <w:spacing w:before="51" w:line="156" w:lineRule="exact"/>
              <w:ind w:right="46"/>
              <w:jc w:val="right"/>
              <w:rPr>
                <w:sz w:val="15"/>
              </w:rPr>
            </w:pPr>
            <w:r>
              <w:rPr>
                <w:spacing w:val="-5"/>
                <w:sz w:val="15"/>
              </w:rPr>
              <w:t>19.</w:t>
            </w:r>
          </w:p>
        </w:tc>
        <w:tc>
          <w:tcPr>
            <w:tcW w:w="1862" w:type="dxa"/>
            <w:tcBorders>
              <w:top w:val="single" w:sz="2" w:space="0" w:color="000000"/>
            </w:tcBorders>
          </w:tcPr>
          <w:p w14:paraId="24ABF0DA" w14:textId="77777777" w:rsidR="00AC6F3C" w:rsidRDefault="00570E88">
            <w:pPr>
              <w:pStyle w:val="TableParagraph"/>
              <w:spacing w:before="51" w:line="156" w:lineRule="exact"/>
              <w:ind w:left="41"/>
              <w:rPr>
                <w:sz w:val="15"/>
              </w:rPr>
            </w:pPr>
            <w:r>
              <w:rPr>
                <w:spacing w:val="-4"/>
                <w:sz w:val="15"/>
              </w:rPr>
              <w:t>Continue</w:t>
            </w:r>
            <w:r>
              <w:rPr>
                <w:spacing w:val="-2"/>
                <w:sz w:val="15"/>
              </w:rPr>
              <w:t xml:space="preserve"> </w:t>
            </w:r>
            <w:r>
              <w:rPr>
                <w:spacing w:val="-4"/>
                <w:sz w:val="15"/>
              </w:rPr>
              <w:t>with</w:t>
            </w:r>
            <w:r>
              <w:rPr>
                <w:spacing w:val="-2"/>
                <w:sz w:val="15"/>
              </w:rPr>
              <w:t xml:space="preserve"> </w:t>
            </w:r>
            <w:r>
              <w:rPr>
                <w:spacing w:val="-4"/>
                <w:sz w:val="15"/>
              </w:rPr>
              <w:t>the</w:t>
            </w:r>
            <w:r>
              <w:rPr>
                <w:spacing w:val="-2"/>
                <w:sz w:val="15"/>
              </w:rPr>
              <w:t xml:space="preserve"> </w:t>
            </w:r>
            <w:r>
              <w:rPr>
                <w:spacing w:val="-5"/>
                <w:sz w:val="15"/>
              </w:rPr>
              <w:t>QLS</w:t>
            </w:r>
          </w:p>
        </w:tc>
        <w:tc>
          <w:tcPr>
            <w:tcW w:w="2824" w:type="dxa"/>
            <w:tcBorders>
              <w:top w:val="single" w:sz="2" w:space="0" w:color="000000"/>
            </w:tcBorders>
          </w:tcPr>
          <w:p w14:paraId="7343A00D" w14:textId="77777777" w:rsidR="00AC6F3C" w:rsidRDefault="00570E88">
            <w:pPr>
              <w:pStyle w:val="TableParagraph"/>
              <w:spacing w:before="51" w:line="156" w:lineRule="exact"/>
              <w:ind w:left="79"/>
              <w:rPr>
                <w:sz w:val="15"/>
              </w:rPr>
            </w:pPr>
            <w:r>
              <w:rPr>
                <w:spacing w:val="-6"/>
                <w:sz w:val="15"/>
              </w:rPr>
              <w:t>19.1.1</w:t>
            </w:r>
            <w:r>
              <w:rPr>
                <w:spacing w:val="25"/>
                <w:sz w:val="15"/>
              </w:rPr>
              <w:t xml:space="preserve"> </w:t>
            </w:r>
            <w:r>
              <w:rPr>
                <w:spacing w:val="-6"/>
                <w:sz w:val="15"/>
              </w:rPr>
              <w:t>Prepare</w:t>
            </w:r>
            <w:r>
              <w:rPr>
                <w:spacing w:val="-2"/>
                <w:sz w:val="15"/>
              </w:rPr>
              <w:t xml:space="preserve"> </w:t>
            </w:r>
            <w:r>
              <w:rPr>
                <w:spacing w:val="-6"/>
                <w:sz w:val="15"/>
              </w:rPr>
              <w:t>a</w:t>
            </w:r>
            <w:r>
              <w:rPr>
                <w:spacing w:val="-2"/>
                <w:sz w:val="15"/>
              </w:rPr>
              <w:t xml:space="preserve"> </w:t>
            </w:r>
            <w:r>
              <w:rPr>
                <w:spacing w:val="-6"/>
                <w:sz w:val="15"/>
              </w:rPr>
              <w:t>QLS</w:t>
            </w:r>
            <w:r>
              <w:rPr>
                <w:spacing w:val="-2"/>
                <w:sz w:val="15"/>
              </w:rPr>
              <w:t xml:space="preserve"> </w:t>
            </w:r>
            <w:r>
              <w:rPr>
                <w:spacing w:val="-6"/>
                <w:sz w:val="15"/>
              </w:rPr>
              <w:t>Council</w:t>
            </w:r>
            <w:r>
              <w:rPr>
                <w:spacing w:val="-2"/>
                <w:sz w:val="15"/>
              </w:rPr>
              <w:t xml:space="preserve"> </w:t>
            </w:r>
            <w:r>
              <w:rPr>
                <w:spacing w:val="-6"/>
                <w:sz w:val="15"/>
              </w:rPr>
              <w:t>terms</w:t>
            </w:r>
          </w:p>
        </w:tc>
        <w:tc>
          <w:tcPr>
            <w:tcW w:w="797" w:type="dxa"/>
            <w:tcBorders>
              <w:top w:val="single" w:sz="2" w:space="0" w:color="000000"/>
            </w:tcBorders>
          </w:tcPr>
          <w:p w14:paraId="04601028" w14:textId="77777777" w:rsidR="00AC6F3C" w:rsidRDefault="00570E88">
            <w:pPr>
              <w:pStyle w:val="TableParagraph"/>
              <w:spacing w:before="51" w:line="156" w:lineRule="exact"/>
              <w:ind w:left="160"/>
              <w:rPr>
                <w:b/>
                <w:sz w:val="15"/>
              </w:rPr>
            </w:pPr>
            <w:r>
              <w:rPr>
                <w:b/>
                <w:spacing w:val="-4"/>
                <w:sz w:val="15"/>
              </w:rPr>
              <w:t>KPI3</w:t>
            </w:r>
          </w:p>
        </w:tc>
        <w:tc>
          <w:tcPr>
            <w:tcW w:w="822" w:type="dxa"/>
            <w:tcBorders>
              <w:top w:val="single" w:sz="2" w:space="0" w:color="000000"/>
            </w:tcBorders>
          </w:tcPr>
          <w:p w14:paraId="745884B4" w14:textId="77777777" w:rsidR="00AC6F3C" w:rsidRDefault="00570E88">
            <w:pPr>
              <w:pStyle w:val="TableParagraph"/>
              <w:spacing w:before="51" w:line="156" w:lineRule="exact"/>
              <w:ind w:left="40" w:right="67"/>
              <w:jc w:val="center"/>
              <w:rPr>
                <w:sz w:val="15"/>
              </w:rPr>
            </w:pPr>
            <w:r>
              <w:rPr>
                <w:spacing w:val="-4"/>
                <w:sz w:val="15"/>
              </w:rPr>
              <w:t>30-Jun-</w:t>
            </w:r>
            <w:r>
              <w:rPr>
                <w:spacing w:val="-5"/>
                <w:sz w:val="15"/>
              </w:rPr>
              <w:t>23</w:t>
            </w:r>
          </w:p>
        </w:tc>
        <w:tc>
          <w:tcPr>
            <w:tcW w:w="1217" w:type="dxa"/>
            <w:tcBorders>
              <w:top w:val="single" w:sz="2" w:space="0" w:color="000000"/>
            </w:tcBorders>
          </w:tcPr>
          <w:p w14:paraId="02E7D3BF" w14:textId="77777777" w:rsidR="00AC6F3C" w:rsidRDefault="00570E88">
            <w:pPr>
              <w:pStyle w:val="TableParagraph"/>
              <w:spacing w:before="51" w:line="156" w:lineRule="exact"/>
              <w:ind w:left="114"/>
              <w:rPr>
                <w:sz w:val="15"/>
              </w:rPr>
            </w:pPr>
            <w:r>
              <w:rPr>
                <w:spacing w:val="-2"/>
                <w:sz w:val="15"/>
              </w:rPr>
              <w:t>Governance</w:t>
            </w:r>
          </w:p>
        </w:tc>
        <w:tc>
          <w:tcPr>
            <w:tcW w:w="1838" w:type="dxa"/>
            <w:tcBorders>
              <w:top w:val="single" w:sz="2" w:space="0" w:color="000000"/>
            </w:tcBorders>
          </w:tcPr>
          <w:p w14:paraId="12B2FEA9" w14:textId="77777777" w:rsidR="00AC6F3C" w:rsidRDefault="00570E88">
            <w:pPr>
              <w:pStyle w:val="TableParagraph"/>
              <w:spacing w:before="51" w:line="156" w:lineRule="exact"/>
              <w:ind w:left="116"/>
              <w:rPr>
                <w:sz w:val="15"/>
              </w:rPr>
            </w:pPr>
            <w:r>
              <w:rPr>
                <w:spacing w:val="-6"/>
                <w:sz w:val="15"/>
              </w:rPr>
              <w:t>19.1.1</w:t>
            </w:r>
            <w:r>
              <w:rPr>
                <w:spacing w:val="20"/>
                <w:sz w:val="15"/>
              </w:rPr>
              <w:t xml:space="preserve"> </w:t>
            </w:r>
            <w:r>
              <w:rPr>
                <w:spacing w:val="-6"/>
                <w:sz w:val="15"/>
              </w:rPr>
              <w:t>Present</w:t>
            </w:r>
            <w:r>
              <w:rPr>
                <w:spacing w:val="-5"/>
                <w:sz w:val="15"/>
              </w:rPr>
              <w:t xml:space="preserve"> </w:t>
            </w:r>
            <w:r>
              <w:rPr>
                <w:spacing w:val="-6"/>
                <w:sz w:val="15"/>
              </w:rPr>
              <w:t>the</w:t>
            </w:r>
            <w:r>
              <w:rPr>
                <w:spacing w:val="-5"/>
                <w:sz w:val="15"/>
              </w:rPr>
              <w:t xml:space="preserve"> </w:t>
            </w:r>
            <w:r>
              <w:rPr>
                <w:spacing w:val="-6"/>
                <w:sz w:val="15"/>
              </w:rPr>
              <w:t>QLS</w:t>
            </w:r>
          </w:p>
        </w:tc>
        <w:tc>
          <w:tcPr>
            <w:tcW w:w="833" w:type="dxa"/>
            <w:tcBorders>
              <w:top w:val="single" w:sz="2" w:space="0" w:color="000000"/>
            </w:tcBorders>
          </w:tcPr>
          <w:p w14:paraId="77E05CAE" w14:textId="77777777" w:rsidR="00AC6F3C" w:rsidRDefault="00570E88">
            <w:pPr>
              <w:pStyle w:val="TableParagraph"/>
              <w:spacing w:before="51" w:line="156" w:lineRule="exact"/>
              <w:ind w:left="78"/>
              <w:rPr>
                <w:b/>
                <w:sz w:val="15"/>
              </w:rPr>
            </w:pPr>
            <w:r>
              <w:rPr>
                <w:b/>
                <w:spacing w:val="-2"/>
                <w:sz w:val="15"/>
              </w:rPr>
              <w:t>Green-</w:t>
            </w:r>
          </w:p>
        </w:tc>
        <w:tc>
          <w:tcPr>
            <w:tcW w:w="1040" w:type="dxa"/>
            <w:tcBorders>
              <w:top w:val="single" w:sz="2" w:space="0" w:color="000000"/>
            </w:tcBorders>
          </w:tcPr>
          <w:p w14:paraId="75507465" w14:textId="77777777" w:rsidR="00AC6F3C" w:rsidRDefault="00570E88">
            <w:pPr>
              <w:pStyle w:val="TableParagraph"/>
              <w:spacing w:before="45" w:line="162" w:lineRule="exact"/>
              <w:ind w:left="209"/>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527" w:type="dxa"/>
            <w:tcBorders>
              <w:top w:val="single" w:sz="2" w:space="0" w:color="000000"/>
            </w:tcBorders>
          </w:tcPr>
          <w:p w14:paraId="2A8E4A31" w14:textId="77777777" w:rsidR="00AC6F3C" w:rsidRDefault="00570E88">
            <w:pPr>
              <w:pStyle w:val="TableParagraph"/>
              <w:spacing w:before="45" w:line="162" w:lineRule="exact"/>
              <w:ind w:right="30"/>
              <w:jc w:val="right"/>
              <w:rPr>
                <w:sz w:val="15"/>
              </w:rPr>
            </w:pPr>
            <w:r>
              <w:rPr>
                <w:spacing w:val="-2"/>
                <w:sz w:val="15"/>
              </w:rPr>
              <w:t>19.1.1</w:t>
            </w:r>
          </w:p>
        </w:tc>
        <w:tc>
          <w:tcPr>
            <w:tcW w:w="3009" w:type="dxa"/>
            <w:tcBorders>
              <w:top w:val="single" w:sz="2" w:space="0" w:color="000000"/>
            </w:tcBorders>
          </w:tcPr>
          <w:p w14:paraId="2FC10B40" w14:textId="77777777" w:rsidR="00AC6F3C" w:rsidRDefault="00570E88">
            <w:pPr>
              <w:pStyle w:val="TableParagraph"/>
              <w:spacing w:before="45" w:line="162" w:lineRule="exact"/>
              <w:ind w:left="31"/>
              <w:rPr>
                <w:sz w:val="15"/>
              </w:rPr>
            </w:pPr>
            <w:r>
              <w:rPr>
                <w:spacing w:val="-4"/>
                <w:sz w:val="15"/>
              </w:rPr>
              <w:t>On</w:t>
            </w:r>
            <w:r>
              <w:rPr>
                <w:spacing w:val="-5"/>
                <w:sz w:val="15"/>
              </w:rPr>
              <w:t xml:space="preserve"> </w:t>
            </w:r>
            <w:r>
              <w:rPr>
                <w:spacing w:val="-4"/>
                <w:sz w:val="15"/>
              </w:rPr>
              <w:t>track</w:t>
            </w:r>
            <w:r>
              <w:rPr>
                <w:spacing w:val="-5"/>
                <w:sz w:val="15"/>
              </w:rPr>
              <w:t xml:space="preserve"> </w:t>
            </w:r>
            <w:r>
              <w:rPr>
                <w:spacing w:val="-4"/>
                <w:sz w:val="15"/>
              </w:rPr>
              <w:t>and</w:t>
            </w:r>
            <w:r>
              <w:rPr>
                <w:spacing w:val="-5"/>
                <w:sz w:val="15"/>
              </w:rPr>
              <w:t xml:space="preserve"> </w:t>
            </w:r>
            <w:r>
              <w:rPr>
                <w:spacing w:val="-4"/>
                <w:sz w:val="15"/>
              </w:rPr>
              <w:t>ongoing</w:t>
            </w:r>
            <w:r>
              <w:rPr>
                <w:spacing w:val="-5"/>
                <w:sz w:val="15"/>
              </w:rPr>
              <w:t xml:space="preserve"> </w:t>
            </w:r>
            <w:r>
              <w:rPr>
                <w:spacing w:val="-4"/>
                <w:sz w:val="15"/>
              </w:rPr>
              <w:t>–</w:t>
            </w:r>
            <w:r>
              <w:rPr>
                <w:spacing w:val="-5"/>
                <w:sz w:val="15"/>
              </w:rPr>
              <w:t xml:space="preserve"> </w:t>
            </w:r>
            <w:r>
              <w:rPr>
                <w:spacing w:val="-4"/>
                <w:sz w:val="15"/>
              </w:rPr>
              <w:t>Council</w:t>
            </w:r>
            <w:r>
              <w:rPr>
                <w:spacing w:val="-5"/>
                <w:sz w:val="15"/>
              </w:rPr>
              <w:t xml:space="preserve"> </w:t>
            </w:r>
            <w:r>
              <w:rPr>
                <w:spacing w:val="-4"/>
                <w:sz w:val="15"/>
              </w:rPr>
              <w:t>Term</w:t>
            </w:r>
            <w:r>
              <w:rPr>
                <w:spacing w:val="-5"/>
                <w:sz w:val="15"/>
              </w:rPr>
              <w:t xml:space="preserve"> and</w:t>
            </w:r>
          </w:p>
        </w:tc>
      </w:tr>
      <w:tr w:rsidR="00AC6F3C" w14:paraId="0700DB39" w14:textId="77777777">
        <w:trPr>
          <w:trHeight w:val="180"/>
        </w:trPr>
        <w:tc>
          <w:tcPr>
            <w:tcW w:w="856" w:type="dxa"/>
          </w:tcPr>
          <w:p w14:paraId="7C7AB8E2" w14:textId="77777777" w:rsidR="00AC6F3C" w:rsidRDefault="00AC6F3C">
            <w:pPr>
              <w:pStyle w:val="TableParagraph"/>
              <w:rPr>
                <w:rFonts w:ascii="Times New Roman"/>
                <w:sz w:val="12"/>
              </w:rPr>
            </w:pPr>
          </w:p>
        </w:tc>
        <w:tc>
          <w:tcPr>
            <w:tcW w:w="378" w:type="dxa"/>
          </w:tcPr>
          <w:p w14:paraId="0B13A719" w14:textId="77777777" w:rsidR="00AC6F3C" w:rsidRDefault="00AC6F3C">
            <w:pPr>
              <w:pStyle w:val="TableParagraph"/>
              <w:rPr>
                <w:rFonts w:ascii="Times New Roman"/>
                <w:sz w:val="12"/>
              </w:rPr>
            </w:pPr>
          </w:p>
        </w:tc>
        <w:tc>
          <w:tcPr>
            <w:tcW w:w="1862" w:type="dxa"/>
          </w:tcPr>
          <w:p w14:paraId="0BFE1A44" w14:textId="77777777" w:rsidR="00AC6F3C" w:rsidRDefault="00570E88">
            <w:pPr>
              <w:pStyle w:val="TableParagraph"/>
              <w:spacing w:before="4" w:line="156" w:lineRule="exact"/>
              <w:ind w:left="41"/>
              <w:rPr>
                <w:sz w:val="15"/>
              </w:rPr>
            </w:pPr>
            <w:r>
              <w:rPr>
                <w:spacing w:val="-4"/>
                <w:sz w:val="15"/>
              </w:rPr>
              <w:t>Council</w:t>
            </w:r>
            <w:r>
              <w:rPr>
                <w:spacing w:val="-2"/>
                <w:sz w:val="15"/>
              </w:rPr>
              <w:t xml:space="preserve"> </w:t>
            </w:r>
            <w:r>
              <w:rPr>
                <w:spacing w:val="-4"/>
                <w:sz w:val="15"/>
              </w:rPr>
              <w:t>terms</w:t>
            </w:r>
            <w:r>
              <w:rPr>
                <w:spacing w:val="-1"/>
                <w:sz w:val="15"/>
              </w:rPr>
              <w:t xml:space="preserve"> </w:t>
            </w:r>
            <w:r>
              <w:rPr>
                <w:spacing w:val="-4"/>
                <w:sz w:val="15"/>
              </w:rPr>
              <w:t>strategy</w:t>
            </w:r>
          </w:p>
        </w:tc>
        <w:tc>
          <w:tcPr>
            <w:tcW w:w="2824" w:type="dxa"/>
          </w:tcPr>
          <w:p w14:paraId="2E424E50" w14:textId="77777777" w:rsidR="00AC6F3C" w:rsidRDefault="00570E88">
            <w:pPr>
              <w:pStyle w:val="TableParagraph"/>
              <w:spacing w:before="4" w:line="156" w:lineRule="exact"/>
              <w:ind w:left="504"/>
              <w:rPr>
                <w:sz w:val="15"/>
              </w:rPr>
            </w:pPr>
            <w:r>
              <w:rPr>
                <w:spacing w:val="-4"/>
                <w:sz w:val="15"/>
              </w:rPr>
              <w:t>proposal and strategy</w:t>
            </w:r>
            <w:r>
              <w:rPr>
                <w:spacing w:val="-3"/>
                <w:sz w:val="15"/>
              </w:rPr>
              <w:t xml:space="preserve"> </w:t>
            </w:r>
            <w:r>
              <w:rPr>
                <w:spacing w:val="-4"/>
                <w:sz w:val="15"/>
              </w:rPr>
              <w:t xml:space="preserve">to achieve </w:t>
            </w:r>
            <w:r>
              <w:rPr>
                <w:spacing w:val="-10"/>
                <w:sz w:val="15"/>
              </w:rPr>
              <w:t>a</w:t>
            </w:r>
          </w:p>
        </w:tc>
        <w:tc>
          <w:tcPr>
            <w:tcW w:w="797" w:type="dxa"/>
          </w:tcPr>
          <w:p w14:paraId="40C321F6" w14:textId="77777777" w:rsidR="00AC6F3C" w:rsidRDefault="00AC6F3C">
            <w:pPr>
              <w:pStyle w:val="TableParagraph"/>
              <w:rPr>
                <w:rFonts w:ascii="Times New Roman"/>
                <w:sz w:val="12"/>
              </w:rPr>
            </w:pPr>
          </w:p>
        </w:tc>
        <w:tc>
          <w:tcPr>
            <w:tcW w:w="822" w:type="dxa"/>
          </w:tcPr>
          <w:p w14:paraId="18FABE79" w14:textId="77777777" w:rsidR="00AC6F3C" w:rsidRDefault="00AC6F3C">
            <w:pPr>
              <w:pStyle w:val="TableParagraph"/>
              <w:rPr>
                <w:rFonts w:ascii="Times New Roman"/>
                <w:sz w:val="12"/>
              </w:rPr>
            </w:pPr>
          </w:p>
        </w:tc>
        <w:tc>
          <w:tcPr>
            <w:tcW w:w="1217" w:type="dxa"/>
          </w:tcPr>
          <w:p w14:paraId="6669F535" w14:textId="77777777" w:rsidR="00AC6F3C" w:rsidRDefault="00AC6F3C">
            <w:pPr>
              <w:pStyle w:val="TableParagraph"/>
              <w:rPr>
                <w:rFonts w:ascii="Times New Roman"/>
                <w:sz w:val="12"/>
              </w:rPr>
            </w:pPr>
          </w:p>
        </w:tc>
        <w:tc>
          <w:tcPr>
            <w:tcW w:w="1838" w:type="dxa"/>
          </w:tcPr>
          <w:p w14:paraId="09F0D683" w14:textId="77777777" w:rsidR="00AC6F3C" w:rsidRDefault="00570E88">
            <w:pPr>
              <w:pStyle w:val="TableParagraph"/>
              <w:spacing w:before="4" w:line="156" w:lineRule="exact"/>
              <w:ind w:left="542"/>
              <w:rPr>
                <w:sz w:val="15"/>
              </w:rPr>
            </w:pPr>
            <w:r>
              <w:rPr>
                <w:spacing w:val="-4"/>
                <w:sz w:val="15"/>
              </w:rPr>
              <w:t>Council</w:t>
            </w:r>
            <w:r>
              <w:rPr>
                <w:spacing w:val="-2"/>
                <w:sz w:val="15"/>
              </w:rPr>
              <w:t xml:space="preserve"> terms</w:t>
            </w:r>
          </w:p>
        </w:tc>
        <w:tc>
          <w:tcPr>
            <w:tcW w:w="833" w:type="dxa"/>
          </w:tcPr>
          <w:p w14:paraId="77621469" w14:textId="77777777" w:rsidR="00AC6F3C" w:rsidRDefault="00570E88">
            <w:pPr>
              <w:pStyle w:val="TableParagraph"/>
              <w:spacing w:before="4" w:line="156" w:lineRule="exact"/>
              <w:ind w:left="78"/>
              <w:rPr>
                <w:b/>
                <w:sz w:val="15"/>
              </w:rPr>
            </w:pPr>
            <w:r>
              <w:rPr>
                <w:b/>
                <w:spacing w:val="-2"/>
                <w:sz w:val="15"/>
              </w:rPr>
              <w:t>Yellow</w:t>
            </w:r>
          </w:p>
        </w:tc>
        <w:tc>
          <w:tcPr>
            <w:tcW w:w="1040" w:type="dxa"/>
          </w:tcPr>
          <w:p w14:paraId="08B60286" w14:textId="77777777" w:rsidR="00AC6F3C" w:rsidRDefault="00570E88">
            <w:pPr>
              <w:pStyle w:val="TableParagraph"/>
              <w:spacing w:line="160" w:lineRule="exact"/>
              <w:ind w:left="209"/>
              <w:rPr>
                <w:b/>
                <w:sz w:val="15"/>
              </w:rPr>
            </w:pPr>
            <w:r>
              <w:rPr>
                <w:b/>
                <w:spacing w:val="-2"/>
                <w:sz w:val="15"/>
              </w:rPr>
              <w:t>ongoing</w:t>
            </w:r>
          </w:p>
        </w:tc>
        <w:tc>
          <w:tcPr>
            <w:tcW w:w="527" w:type="dxa"/>
          </w:tcPr>
          <w:p w14:paraId="498B8441" w14:textId="77777777" w:rsidR="00AC6F3C" w:rsidRDefault="00AC6F3C">
            <w:pPr>
              <w:pStyle w:val="TableParagraph"/>
              <w:rPr>
                <w:rFonts w:ascii="Times New Roman"/>
                <w:sz w:val="12"/>
              </w:rPr>
            </w:pPr>
          </w:p>
        </w:tc>
        <w:tc>
          <w:tcPr>
            <w:tcW w:w="3009" w:type="dxa"/>
          </w:tcPr>
          <w:p w14:paraId="085D8696" w14:textId="77777777" w:rsidR="00AC6F3C" w:rsidRDefault="00570E88">
            <w:pPr>
              <w:pStyle w:val="TableParagraph"/>
              <w:spacing w:line="160" w:lineRule="exact"/>
              <w:ind w:left="31"/>
              <w:rPr>
                <w:sz w:val="15"/>
              </w:rPr>
            </w:pPr>
            <w:r>
              <w:rPr>
                <w:spacing w:val="-4"/>
                <w:sz w:val="15"/>
              </w:rPr>
              <w:t>Structure</w:t>
            </w:r>
            <w:r>
              <w:rPr>
                <w:spacing w:val="-2"/>
                <w:sz w:val="15"/>
              </w:rPr>
              <w:t xml:space="preserve"> </w:t>
            </w:r>
            <w:r>
              <w:rPr>
                <w:spacing w:val="-4"/>
                <w:sz w:val="15"/>
              </w:rPr>
              <w:t>proposals</w:t>
            </w:r>
            <w:r>
              <w:rPr>
                <w:spacing w:val="-1"/>
                <w:sz w:val="15"/>
              </w:rPr>
              <w:t xml:space="preserve"> </w:t>
            </w:r>
            <w:r>
              <w:rPr>
                <w:spacing w:val="-4"/>
                <w:sz w:val="15"/>
              </w:rPr>
              <w:t>discussed</w:t>
            </w:r>
            <w:r>
              <w:rPr>
                <w:spacing w:val="-1"/>
                <w:sz w:val="15"/>
              </w:rPr>
              <w:t xml:space="preserve"> </w:t>
            </w:r>
            <w:r>
              <w:rPr>
                <w:spacing w:val="-4"/>
                <w:sz w:val="15"/>
              </w:rPr>
              <w:t>by</w:t>
            </w:r>
            <w:r>
              <w:rPr>
                <w:spacing w:val="-2"/>
                <w:sz w:val="15"/>
              </w:rPr>
              <w:t xml:space="preserve"> </w:t>
            </w:r>
            <w:r>
              <w:rPr>
                <w:spacing w:val="-4"/>
                <w:sz w:val="15"/>
              </w:rPr>
              <w:t>Council</w:t>
            </w:r>
          </w:p>
        </w:tc>
      </w:tr>
      <w:tr w:rsidR="00AC6F3C" w14:paraId="4C7074FF" w14:textId="77777777">
        <w:trPr>
          <w:trHeight w:val="180"/>
        </w:trPr>
        <w:tc>
          <w:tcPr>
            <w:tcW w:w="856" w:type="dxa"/>
          </w:tcPr>
          <w:p w14:paraId="46E6CC0F" w14:textId="77777777" w:rsidR="00AC6F3C" w:rsidRDefault="00AC6F3C">
            <w:pPr>
              <w:pStyle w:val="TableParagraph"/>
              <w:rPr>
                <w:rFonts w:ascii="Times New Roman"/>
                <w:sz w:val="12"/>
              </w:rPr>
            </w:pPr>
          </w:p>
        </w:tc>
        <w:tc>
          <w:tcPr>
            <w:tcW w:w="378" w:type="dxa"/>
          </w:tcPr>
          <w:p w14:paraId="1F2F37B0" w14:textId="77777777" w:rsidR="00AC6F3C" w:rsidRDefault="00AC6F3C">
            <w:pPr>
              <w:pStyle w:val="TableParagraph"/>
              <w:rPr>
                <w:rFonts w:ascii="Times New Roman"/>
                <w:sz w:val="12"/>
              </w:rPr>
            </w:pPr>
          </w:p>
        </w:tc>
        <w:tc>
          <w:tcPr>
            <w:tcW w:w="1862" w:type="dxa"/>
          </w:tcPr>
          <w:p w14:paraId="7178256A" w14:textId="77777777" w:rsidR="00AC6F3C" w:rsidRDefault="00570E88">
            <w:pPr>
              <w:pStyle w:val="TableParagraph"/>
              <w:spacing w:before="4" w:line="156" w:lineRule="exact"/>
              <w:ind w:left="41"/>
              <w:rPr>
                <w:sz w:val="15"/>
              </w:rPr>
            </w:pPr>
            <w:r>
              <w:rPr>
                <w:spacing w:val="-4"/>
                <w:sz w:val="15"/>
              </w:rPr>
              <w:t>to</w:t>
            </w:r>
            <w:r>
              <w:rPr>
                <w:spacing w:val="-6"/>
                <w:sz w:val="15"/>
              </w:rPr>
              <w:t xml:space="preserve"> </w:t>
            </w:r>
            <w:r>
              <w:rPr>
                <w:spacing w:val="-4"/>
                <w:sz w:val="15"/>
              </w:rPr>
              <w:t>achieve</w:t>
            </w:r>
            <w:r>
              <w:rPr>
                <w:spacing w:val="-5"/>
                <w:sz w:val="15"/>
              </w:rPr>
              <w:t xml:space="preserve"> </w:t>
            </w:r>
            <w:r>
              <w:rPr>
                <w:spacing w:val="-4"/>
                <w:sz w:val="15"/>
              </w:rPr>
              <w:t>a</w:t>
            </w:r>
            <w:r>
              <w:rPr>
                <w:spacing w:val="-6"/>
                <w:sz w:val="15"/>
              </w:rPr>
              <w:t xml:space="preserve"> </w:t>
            </w:r>
            <w:r>
              <w:rPr>
                <w:spacing w:val="-4"/>
                <w:sz w:val="15"/>
              </w:rPr>
              <w:t>modern</w:t>
            </w:r>
          </w:p>
        </w:tc>
        <w:tc>
          <w:tcPr>
            <w:tcW w:w="2824" w:type="dxa"/>
          </w:tcPr>
          <w:p w14:paraId="2940427A" w14:textId="77777777" w:rsidR="00AC6F3C" w:rsidRDefault="00570E88">
            <w:pPr>
              <w:pStyle w:val="TableParagraph"/>
              <w:spacing w:before="4" w:line="156" w:lineRule="exact"/>
              <w:ind w:left="504"/>
              <w:rPr>
                <w:sz w:val="15"/>
              </w:rPr>
            </w:pPr>
            <w:r>
              <w:rPr>
                <w:spacing w:val="-4"/>
                <w:sz w:val="15"/>
              </w:rPr>
              <w:t>modern</w:t>
            </w:r>
            <w:r>
              <w:rPr>
                <w:spacing w:val="-3"/>
                <w:sz w:val="15"/>
              </w:rPr>
              <w:t xml:space="preserve"> </w:t>
            </w:r>
            <w:r>
              <w:rPr>
                <w:spacing w:val="-4"/>
                <w:sz w:val="15"/>
              </w:rPr>
              <w:t>and</w:t>
            </w:r>
            <w:r>
              <w:rPr>
                <w:spacing w:val="-2"/>
                <w:sz w:val="15"/>
              </w:rPr>
              <w:t xml:space="preserve"> </w:t>
            </w:r>
            <w:r>
              <w:rPr>
                <w:spacing w:val="-4"/>
                <w:sz w:val="15"/>
              </w:rPr>
              <w:t>efficient</w:t>
            </w:r>
            <w:r>
              <w:rPr>
                <w:spacing w:val="-3"/>
                <w:sz w:val="15"/>
              </w:rPr>
              <w:t xml:space="preserve"> </w:t>
            </w:r>
            <w:r>
              <w:rPr>
                <w:spacing w:val="-4"/>
                <w:sz w:val="15"/>
              </w:rPr>
              <w:t>governance</w:t>
            </w:r>
          </w:p>
        </w:tc>
        <w:tc>
          <w:tcPr>
            <w:tcW w:w="797" w:type="dxa"/>
          </w:tcPr>
          <w:p w14:paraId="21431C9C" w14:textId="77777777" w:rsidR="00AC6F3C" w:rsidRDefault="00570E88">
            <w:pPr>
              <w:pStyle w:val="TableParagraph"/>
              <w:spacing w:before="4" w:line="156" w:lineRule="exact"/>
              <w:ind w:left="160"/>
              <w:rPr>
                <w:b/>
                <w:sz w:val="15"/>
              </w:rPr>
            </w:pPr>
            <w:r>
              <w:rPr>
                <w:b/>
                <w:spacing w:val="-4"/>
                <w:sz w:val="15"/>
              </w:rPr>
              <w:t>KPI4</w:t>
            </w:r>
          </w:p>
        </w:tc>
        <w:tc>
          <w:tcPr>
            <w:tcW w:w="822" w:type="dxa"/>
          </w:tcPr>
          <w:p w14:paraId="26AD61CB" w14:textId="77777777" w:rsidR="00AC6F3C" w:rsidRDefault="00AC6F3C">
            <w:pPr>
              <w:pStyle w:val="TableParagraph"/>
              <w:rPr>
                <w:rFonts w:ascii="Times New Roman"/>
                <w:sz w:val="12"/>
              </w:rPr>
            </w:pPr>
          </w:p>
        </w:tc>
        <w:tc>
          <w:tcPr>
            <w:tcW w:w="1217" w:type="dxa"/>
          </w:tcPr>
          <w:p w14:paraId="648D6968" w14:textId="77777777" w:rsidR="00AC6F3C" w:rsidRDefault="00AC6F3C">
            <w:pPr>
              <w:pStyle w:val="TableParagraph"/>
              <w:rPr>
                <w:rFonts w:ascii="Times New Roman"/>
                <w:sz w:val="12"/>
              </w:rPr>
            </w:pPr>
          </w:p>
        </w:tc>
        <w:tc>
          <w:tcPr>
            <w:tcW w:w="1838" w:type="dxa"/>
          </w:tcPr>
          <w:p w14:paraId="2011B19F" w14:textId="77777777" w:rsidR="00AC6F3C" w:rsidRDefault="00570E88">
            <w:pPr>
              <w:pStyle w:val="TableParagraph"/>
              <w:spacing w:before="4" w:line="156" w:lineRule="exact"/>
              <w:ind w:left="542"/>
              <w:rPr>
                <w:sz w:val="15"/>
              </w:rPr>
            </w:pPr>
            <w:r>
              <w:rPr>
                <w:spacing w:val="-4"/>
                <w:sz w:val="15"/>
              </w:rPr>
              <w:t>proposal</w:t>
            </w:r>
            <w:r>
              <w:rPr>
                <w:spacing w:val="-1"/>
                <w:sz w:val="15"/>
              </w:rPr>
              <w:t xml:space="preserve"> </w:t>
            </w:r>
            <w:r>
              <w:rPr>
                <w:spacing w:val="-5"/>
                <w:sz w:val="15"/>
              </w:rPr>
              <w:t>and</w:t>
            </w:r>
          </w:p>
        </w:tc>
        <w:tc>
          <w:tcPr>
            <w:tcW w:w="833" w:type="dxa"/>
          </w:tcPr>
          <w:p w14:paraId="61D7D762" w14:textId="77777777" w:rsidR="00AC6F3C" w:rsidRDefault="00AC6F3C">
            <w:pPr>
              <w:pStyle w:val="TableParagraph"/>
              <w:rPr>
                <w:rFonts w:ascii="Times New Roman"/>
                <w:sz w:val="12"/>
              </w:rPr>
            </w:pPr>
          </w:p>
        </w:tc>
        <w:tc>
          <w:tcPr>
            <w:tcW w:w="1040" w:type="dxa"/>
          </w:tcPr>
          <w:p w14:paraId="306EB467" w14:textId="77777777" w:rsidR="00AC6F3C" w:rsidRDefault="00AC6F3C">
            <w:pPr>
              <w:pStyle w:val="TableParagraph"/>
              <w:rPr>
                <w:rFonts w:ascii="Times New Roman"/>
                <w:sz w:val="12"/>
              </w:rPr>
            </w:pPr>
          </w:p>
        </w:tc>
        <w:tc>
          <w:tcPr>
            <w:tcW w:w="527" w:type="dxa"/>
          </w:tcPr>
          <w:p w14:paraId="220B992E" w14:textId="77777777" w:rsidR="00AC6F3C" w:rsidRDefault="00AC6F3C">
            <w:pPr>
              <w:pStyle w:val="TableParagraph"/>
              <w:rPr>
                <w:rFonts w:ascii="Times New Roman"/>
                <w:sz w:val="12"/>
              </w:rPr>
            </w:pPr>
          </w:p>
        </w:tc>
        <w:tc>
          <w:tcPr>
            <w:tcW w:w="3009" w:type="dxa"/>
          </w:tcPr>
          <w:p w14:paraId="3200314F" w14:textId="77777777" w:rsidR="00AC6F3C" w:rsidRDefault="00570E88">
            <w:pPr>
              <w:pStyle w:val="TableParagraph"/>
              <w:spacing w:line="160" w:lineRule="exact"/>
              <w:ind w:left="31"/>
              <w:rPr>
                <w:sz w:val="15"/>
              </w:rPr>
            </w:pPr>
            <w:r>
              <w:rPr>
                <w:spacing w:val="-4"/>
                <w:sz w:val="15"/>
              </w:rPr>
              <w:t>in</w:t>
            </w:r>
            <w:r>
              <w:rPr>
                <w:spacing w:val="-3"/>
                <w:sz w:val="15"/>
              </w:rPr>
              <w:t xml:space="preserve"> </w:t>
            </w:r>
            <w:r>
              <w:rPr>
                <w:spacing w:val="-4"/>
                <w:sz w:val="15"/>
              </w:rPr>
              <w:t>October</w:t>
            </w:r>
            <w:r>
              <w:rPr>
                <w:spacing w:val="-2"/>
                <w:sz w:val="15"/>
              </w:rPr>
              <w:t xml:space="preserve"> </w:t>
            </w:r>
            <w:r>
              <w:rPr>
                <w:spacing w:val="-4"/>
                <w:sz w:val="15"/>
              </w:rPr>
              <w:t>2022,</w:t>
            </w:r>
            <w:r>
              <w:rPr>
                <w:spacing w:val="-2"/>
                <w:sz w:val="15"/>
              </w:rPr>
              <w:t xml:space="preserve"> </w:t>
            </w:r>
            <w:r>
              <w:rPr>
                <w:spacing w:val="-4"/>
                <w:sz w:val="15"/>
              </w:rPr>
              <w:t>February</w:t>
            </w:r>
            <w:r>
              <w:rPr>
                <w:spacing w:val="-2"/>
                <w:sz w:val="15"/>
              </w:rPr>
              <w:t xml:space="preserve"> </w:t>
            </w:r>
            <w:r>
              <w:rPr>
                <w:spacing w:val="-4"/>
                <w:sz w:val="15"/>
              </w:rPr>
              <w:t>2023,</w:t>
            </w:r>
            <w:r>
              <w:rPr>
                <w:spacing w:val="-2"/>
                <w:sz w:val="15"/>
              </w:rPr>
              <w:t xml:space="preserve"> </w:t>
            </w:r>
            <w:r>
              <w:rPr>
                <w:spacing w:val="-4"/>
                <w:sz w:val="15"/>
              </w:rPr>
              <w:t>March</w:t>
            </w:r>
          </w:p>
        </w:tc>
      </w:tr>
      <w:tr w:rsidR="00AC6F3C" w14:paraId="498A0F4B" w14:textId="77777777">
        <w:trPr>
          <w:trHeight w:val="180"/>
        </w:trPr>
        <w:tc>
          <w:tcPr>
            <w:tcW w:w="856" w:type="dxa"/>
          </w:tcPr>
          <w:p w14:paraId="1145378D" w14:textId="77777777" w:rsidR="00AC6F3C" w:rsidRDefault="00AC6F3C">
            <w:pPr>
              <w:pStyle w:val="TableParagraph"/>
              <w:rPr>
                <w:rFonts w:ascii="Times New Roman"/>
                <w:sz w:val="12"/>
              </w:rPr>
            </w:pPr>
          </w:p>
        </w:tc>
        <w:tc>
          <w:tcPr>
            <w:tcW w:w="378" w:type="dxa"/>
          </w:tcPr>
          <w:p w14:paraId="2770D8B1" w14:textId="77777777" w:rsidR="00AC6F3C" w:rsidRDefault="00AC6F3C">
            <w:pPr>
              <w:pStyle w:val="TableParagraph"/>
              <w:rPr>
                <w:rFonts w:ascii="Times New Roman"/>
                <w:sz w:val="12"/>
              </w:rPr>
            </w:pPr>
          </w:p>
        </w:tc>
        <w:tc>
          <w:tcPr>
            <w:tcW w:w="1862" w:type="dxa"/>
          </w:tcPr>
          <w:p w14:paraId="2F35C82E" w14:textId="77777777" w:rsidR="00AC6F3C" w:rsidRDefault="00570E88">
            <w:pPr>
              <w:pStyle w:val="TableParagraph"/>
              <w:spacing w:before="4" w:line="156" w:lineRule="exact"/>
              <w:ind w:left="41"/>
              <w:rPr>
                <w:sz w:val="15"/>
              </w:rPr>
            </w:pPr>
            <w:r>
              <w:rPr>
                <w:spacing w:val="-4"/>
                <w:sz w:val="15"/>
              </w:rPr>
              <w:t>and</w:t>
            </w:r>
            <w:r>
              <w:rPr>
                <w:spacing w:val="-3"/>
                <w:sz w:val="15"/>
              </w:rPr>
              <w:t xml:space="preserve"> </w:t>
            </w:r>
            <w:r>
              <w:rPr>
                <w:spacing w:val="-4"/>
                <w:sz w:val="15"/>
              </w:rPr>
              <w:t>efficient</w:t>
            </w:r>
            <w:r>
              <w:rPr>
                <w:spacing w:val="-2"/>
                <w:sz w:val="15"/>
              </w:rPr>
              <w:t xml:space="preserve"> </w:t>
            </w:r>
            <w:r>
              <w:rPr>
                <w:spacing w:val="-4"/>
                <w:sz w:val="15"/>
              </w:rPr>
              <w:t>governance</w:t>
            </w:r>
          </w:p>
        </w:tc>
        <w:tc>
          <w:tcPr>
            <w:tcW w:w="2824" w:type="dxa"/>
          </w:tcPr>
          <w:p w14:paraId="3D4D6A4C" w14:textId="77777777" w:rsidR="00AC6F3C" w:rsidRDefault="00570E88">
            <w:pPr>
              <w:pStyle w:val="TableParagraph"/>
              <w:spacing w:before="4" w:line="156" w:lineRule="exact"/>
              <w:ind w:left="504"/>
              <w:rPr>
                <w:sz w:val="15"/>
              </w:rPr>
            </w:pPr>
            <w:r>
              <w:rPr>
                <w:spacing w:val="-4"/>
                <w:sz w:val="15"/>
              </w:rPr>
              <w:t>structure</w:t>
            </w:r>
            <w:r>
              <w:rPr>
                <w:spacing w:val="1"/>
                <w:sz w:val="15"/>
              </w:rPr>
              <w:t xml:space="preserve"> </w:t>
            </w:r>
            <w:r>
              <w:rPr>
                <w:spacing w:val="-4"/>
                <w:sz w:val="15"/>
              </w:rPr>
              <w:t>for</w:t>
            </w:r>
            <w:r>
              <w:rPr>
                <w:spacing w:val="2"/>
                <w:sz w:val="15"/>
              </w:rPr>
              <w:t xml:space="preserve"> </w:t>
            </w:r>
            <w:r>
              <w:rPr>
                <w:spacing w:val="-5"/>
                <w:sz w:val="15"/>
              </w:rPr>
              <w:t>QLS</w:t>
            </w:r>
          </w:p>
        </w:tc>
        <w:tc>
          <w:tcPr>
            <w:tcW w:w="797" w:type="dxa"/>
          </w:tcPr>
          <w:p w14:paraId="5DF3BA6D" w14:textId="77777777" w:rsidR="00AC6F3C" w:rsidRDefault="00AC6F3C">
            <w:pPr>
              <w:pStyle w:val="TableParagraph"/>
              <w:rPr>
                <w:rFonts w:ascii="Times New Roman"/>
                <w:sz w:val="12"/>
              </w:rPr>
            </w:pPr>
          </w:p>
        </w:tc>
        <w:tc>
          <w:tcPr>
            <w:tcW w:w="822" w:type="dxa"/>
          </w:tcPr>
          <w:p w14:paraId="6A43D91D" w14:textId="77777777" w:rsidR="00AC6F3C" w:rsidRDefault="00AC6F3C">
            <w:pPr>
              <w:pStyle w:val="TableParagraph"/>
              <w:rPr>
                <w:rFonts w:ascii="Times New Roman"/>
                <w:sz w:val="12"/>
              </w:rPr>
            </w:pPr>
          </w:p>
        </w:tc>
        <w:tc>
          <w:tcPr>
            <w:tcW w:w="1217" w:type="dxa"/>
          </w:tcPr>
          <w:p w14:paraId="47ED0E7E" w14:textId="77777777" w:rsidR="00AC6F3C" w:rsidRDefault="00AC6F3C">
            <w:pPr>
              <w:pStyle w:val="TableParagraph"/>
              <w:rPr>
                <w:rFonts w:ascii="Times New Roman"/>
                <w:sz w:val="12"/>
              </w:rPr>
            </w:pPr>
          </w:p>
        </w:tc>
        <w:tc>
          <w:tcPr>
            <w:tcW w:w="1838" w:type="dxa"/>
          </w:tcPr>
          <w:p w14:paraId="6C51D342" w14:textId="77777777" w:rsidR="00AC6F3C" w:rsidRDefault="00570E88">
            <w:pPr>
              <w:pStyle w:val="TableParagraph"/>
              <w:spacing w:before="4" w:line="156" w:lineRule="exact"/>
              <w:ind w:right="112"/>
              <w:jc w:val="right"/>
              <w:rPr>
                <w:sz w:val="15"/>
              </w:rPr>
            </w:pPr>
            <w:r>
              <w:rPr>
                <w:spacing w:val="-4"/>
                <w:sz w:val="15"/>
              </w:rPr>
              <w:t>strategy</w:t>
            </w:r>
            <w:r>
              <w:rPr>
                <w:spacing w:val="-3"/>
                <w:sz w:val="15"/>
              </w:rPr>
              <w:t xml:space="preserve"> </w:t>
            </w:r>
            <w:r>
              <w:rPr>
                <w:spacing w:val="-4"/>
                <w:sz w:val="15"/>
              </w:rPr>
              <w:t>to</w:t>
            </w:r>
            <w:r>
              <w:rPr>
                <w:spacing w:val="-2"/>
                <w:sz w:val="15"/>
              </w:rPr>
              <w:t xml:space="preserve"> </w:t>
            </w:r>
            <w:r>
              <w:rPr>
                <w:spacing w:val="-4"/>
                <w:sz w:val="15"/>
              </w:rPr>
              <w:t>Council</w:t>
            </w:r>
          </w:p>
        </w:tc>
        <w:tc>
          <w:tcPr>
            <w:tcW w:w="833" w:type="dxa"/>
          </w:tcPr>
          <w:p w14:paraId="1A2282DD" w14:textId="77777777" w:rsidR="00AC6F3C" w:rsidRDefault="00AC6F3C">
            <w:pPr>
              <w:pStyle w:val="TableParagraph"/>
              <w:rPr>
                <w:rFonts w:ascii="Times New Roman"/>
                <w:sz w:val="12"/>
              </w:rPr>
            </w:pPr>
          </w:p>
        </w:tc>
        <w:tc>
          <w:tcPr>
            <w:tcW w:w="1040" w:type="dxa"/>
          </w:tcPr>
          <w:p w14:paraId="390323BD" w14:textId="77777777" w:rsidR="00AC6F3C" w:rsidRDefault="00AC6F3C">
            <w:pPr>
              <w:pStyle w:val="TableParagraph"/>
              <w:rPr>
                <w:rFonts w:ascii="Times New Roman"/>
                <w:sz w:val="12"/>
              </w:rPr>
            </w:pPr>
          </w:p>
        </w:tc>
        <w:tc>
          <w:tcPr>
            <w:tcW w:w="527" w:type="dxa"/>
          </w:tcPr>
          <w:p w14:paraId="487EE021" w14:textId="77777777" w:rsidR="00AC6F3C" w:rsidRDefault="00AC6F3C">
            <w:pPr>
              <w:pStyle w:val="TableParagraph"/>
              <w:rPr>
                <w:rFonts w:ascii="Times New Roman"/>
                <w:sz w:val="12"/>
              </w:rPr>
            </w:pPr>
          </w:p>
        </w:tc>
        <w:tc>
          <w:tcPr>
            <w:tcW w:w="3009" w:type="dxa"/>
          </w:tcPr>
          <w:p w14:paraId="46691CFE" w14:textId="77777777" w:rsidR="00AC6F3C" w:rsidRDefault="00570E88">
            <w:pPr>
              <w:pStyle w:val="TableParagraph"/>
              <w:spacing w:line="160" w:lineRule="exact"/>
              <w:ind w:left="31"/>
              <w:rPr>
                <w:sz w:val="15"/>
              </w:rPr>
            </w:pPr>
            <w:r>
              <w:rPr>
                <w:spacing w:val="-4"/>
                <w:sz w:val="15"/>
              </w:rPr>
              <w:t>2023</w:t>
            </w:r>
            <w:r>
              <w:rPr>
                <w:spacing w:val="-6"/>
                <w:sz w:val="15"/>
              </w:rPr>
              <w:t xml:space="preserve"> </w:t>
            </w:r>
            <w:r>
              <w:rPr>
                <w:spacing w:val="-4"/>
                <w:sz w:val="15"/>
              </w:rPr>
              <w:t>and</w:t>
            </w:r>
            <w:r>
              <w:rPr>
                <w:spacing w:val="-6"/>
                <w:sz w:val="15"/>
              </w:rPr>
              <w:t xml:space="preserve"> </w:t>
            </w:r>
            <w:r>
              <w:rPr>
                <w:spacing w:val="-4"/>
                <w:sz w:val="15"/>
              </w:rPr>
              <w:t>June</w:t>
            </w:r>
            <w:r>
              <w:rPr>
                <w:spacing w:val="-6"/>
                <w:sz w:val="15"/>
              </w:rPr>
              <w:t xml:space="preserve"> </w:t>
            </w:r>
            <w:r>
              <w:rPr>
                <w:spacing w:val="-4"/>
                <w:sz w:val="15"/>
              </w:rPr>
              <w:t>2023.</w:t>
            </w:r>
            <w:r>
              <w:rPr>
                <w:spacing w:val="-6"/>
                <w:sz w:val="15"/>
              </w:rPr>
              <w:t xml:space="preserve"> </w:t>
            </w:r>
            <w:r>
              <w:rPr>
                <w:spacing w:val="-4"/>
                <w:sz w:val="15"/>
              </w:rPr>
              <w:t>CEO</w:t>
            </w:r>
            <w:r>
              <w:rPr>
                <w:spacing w:val="-5"/>
                <w:sz w:val="15"/>
              </w:rPr>
              <w:t xml:space="preserve"> </w:t>
            </w:r>
            <w:r>
              <w:rPr>
                <w:spacing w:val="-4"/>
                <w:sz w:val="15"/>
              </w:rPr>
              <w:t>has</w:t>
            </w:r>
            <w:r>
              <w:rPr>
                <w:spacing w:val="-6"/>
                <w:sz w:val="15"/>
              </w:rPr>
              <w:t xml:space="preserve"> </w:t>
            </w:r>
            <w:proofErr w:type="spellStart"/>
            <w:r>
              <w:rPr>
                <w:spacing w:val="-4"/>
                <w:sz w:val="15"/>
              </w:rPr>
              <w:t>organised</w:t>
            </w:r>
            <w:proofErr w:type="spellEnd"/>
          </w:p>
        </w:tc>
      </w:tr>
      <w:tr w:rsidR="00AC6F3C" w14:paraId="58CCE6AA" w14:textId="77777777">
        <w:trPr>
          <w:trHeight w:val="180"/>
        </w:trPr>
        <w:tc>
          <w:tcPr>
            <w:tcW w:w="856" w:type="dxa"/>
          </w:tcPr>
          <w:p w14:paraId="507993FA" w14:textId="77777777" w:rsidR="00AC6F3C" w:rsidRDefault="00AC6F3C">
            <w:pPr>
              <w:pStyle w:val="TableParagraph"/>
              <w:rPr>
                <w:rFonts w:ascii="Times New Roman"/>
                <w:sz w:val="12"/>
              </w:rPr>
            </w:pPr>
          </w:p>
        </w:tc>
        <w:tc>
          <w:tcPr>
            <w:tcW w:w="378" w:type="dxa"/>
          </w:tcPr>
          <w:p w14:paraId="632EAE97" w14:textId="77777777" w:rsidR="00AC6F3C" w:rsidRDefault="00AC6F3C">
            <w:pPr>
              <w:pStyle w:val="TableParagraph"/>
              <w:rPr>
                <w:rFonts w:ascii="Times New Roman"/>
                <w:sz w:val="12"/>
              </w:rPr>
            </w:pPr>
          </w:p>
        </w:tc>
        <w:tc>
          <w:tcPr>
            <w:tcW w:w="1862" w:type="dxa"/>
          </w:tcPr>
          <w:p w14:paraId="10ECCFB8" w14:textId="77777777" w:rsidR="00AC6F3C" w:rsidRDefault="00570E88">
            <w:pPr>
              <w:pStyle w:val="TableParagraph"/>
              <w:spacing w:before="4" w:line="156" w:lineRule="exact"/>
              <w:ind w:left="41"/>
              <w:rPr>
                <w:sz w:val="15"/>
              </w:rPr>
            </w:pPr>
            <w:r>
              <w:rPr>
                <w:spacing w:val="-4"/>
                <w:sz w:val="15"/>
              </w:rPr>
              <w:t>structure</w:t>
            </w:r>
            <w:r>
              <w:rPr>
                <w:spacing w:val="1"/>
                <w:sz w:val="15"/>
              </w:rPr>
              <w:t xml:space="preserve"> </w:t>
            </w:r>
            <w:r>
              <w:rPr>
                <w:spacing w:val="-4"/>
                <w:sz w:val="15"/>
              </w:rPr>
              <w:t>for</w:t>
            </w:r>
            <w:r>
              <w:rPr>
                <w:spacing w:val="2"/>
                <w:sz w:val="15"/>
              </w:rPr>
              <w:t xml:space="preserve"> </w:t>
            </w:r>
            <w:r>
              <w:rPr>
                <w:spacing w:val="-5"/>
                <w:sz w:val="15"/>
              </w:rPr>
              <w:t>QLS</w:t>
            </w:r>
          </w:p>
        </w:tc>
        <w:tc>
          <w:tcPr>
            <w:tcW w:w="2824" w:type="dxa"/>
          </w:tcPr>
          <w:p w14:paraId="67E978CB" w14:textId="77777777" w:rsidR="00AC6F3C" w:rsidRDefault="00AC6F3C">
            <w:pPr>
              <w:pStyle w:val="TableParagraph"/>
              <w:rPr>
                <w:rFonts w:ascii="Times New Roman"/>
                <w:sz w:val="12"/>
              </w:rPr>
            </w:pPr>
          </w:p>
        </w:tc>
        <w:tc>
          <w:tcPr>
            <w:tcW w:w="797" w:type="dxa"/>
          </w:tcPr>
          <w:p w14:paraId="02CBF15F" w14:textId="77777777" w:rsidR="00AC6F3C" w:rsidRDefault="00570E88">
            <w:pPr>
              <w:pStyle w:val="TableParagraph"/>
              <w:spacing w:before="4" w:line="156" w:lineRule="exact"/>
              <w:ind w:left="160"/>
              <w:rPr>
                <w:b/>
                <w:sz w:val="15"/>
              </w:rPr>
            </w:pPr>
            <w:r>
              <w:rPr>
                <w:b/>
                <w:spacing w:val="-4"/>
                <w:sz w:val="15"/>
              </w:rPr>
              <w:t>KPI5</w:t>
            </w:r>
          </w:p>
        </w:tc>
        <w:tc>
          <w:tcPr>
            <w:tcW w:w="822" w:type="dxa"/>
          </w:tcPr>
          <w:p w14:paraId="64F77305" w14:textId="77777777" w:rsidR="00AC6F3C" w:rsidRDefault="00AC6F3C">
            <w:pPr>
              <w:pStyle w:val="TableParagraph"/>
              <w:rPr>
                <w:rFonts w:ascii="Times New Roman"/>
                <w:sz w:val="12"/>
              </w:rPr>
            </w:pPr>
          </w:p>
        </w:tc>
        <w:tc>
          <w:tcPr>
            <w:tcW w:w="1217" w:type="dxa"/>
          </w:tcPr>
          <w:p w14:paraId="040478CA" w14:textId="77777777" w:rsidR="00AC6F3C" w:rsidRDefault="00AC6F3C">
            <w:pPr>
              <w:pStyle w:val="TableParagraph"/>
              <w:rPr>
                <w:rFonts w:ascii="Times New Roman"/>
                <w:sz w:val="12"/>
              </w:rPr>
            </w:pPr>
          </w:p>
        </w:tc>
        <w:tc>
          <w:tcPr>
            <w:tcW w:w="1838" w:type="dxa"/>
          </w:tcPr>
          <w:p w14:paraId="3A9A8C10" w14:textId="77777777" w:rsidR="00AC6F3C" w:rsidRDefault="00570E88">
            <w:pPr>
              <w:pStyle w:val="TableParagraph"/>
              <w:spacing w:before="4" w:line="156" w:lineRule="exact"/>
              <w:ind w:left="542"/>
              <w:rPr>
                <w:sz w:val="15"/>
              </w:rPr>
            </w:pPr>
            <w:r>
              <w:rPr>
                <w:spacing w:val="-4"/>
                <w:sz w:val="15"/>
              </w:rPr>
              <w:t>for feedback</w:t>
            </w:r>
            <w:r>
              <w:rPr>
                <w:spacing w:val="-3"/>
                <w:sz w:val="15"/>
              </w:rPr>
              <w:t xml:space="preserve"> </w:t>
            </w:r>
            <w:r>
              <w:rPr>
                <w:spacing w:val="-5"/>
                <w:sz w:val="15"/>
              </w:rPr>
              <w:t>and</w:t>
            </w:r>
          </w:p>
        </w:tc>
        <w:tc>
          <w:tcPr>
            <w:tcW w:w="833" w:type="dxa"/>
          </w:tcPr>
          <w:p w14:paraId="55FC21DF" w14:textId="77777777" w:rsidR="00AC6F3C" w:rsidRDefault="00AC6F3C">
            <w:pPr>
              <w:pStyle w:val="TableParagraph"/>
              <w:rPr>
                <w:rFonts w:ascii="Times New Roman"/>
                <w:sz w:val="12"/>
              </w:rPr>
            </w:pPr>
          </w:p>
        </w:tc>
        <w:tc>
          <w:tcPr>
            <w:tcW w:w="1040" w:type="dxa"/>
          </w:tcPr>
          <w:p w14:paraId="44AC3C9B" w14:textId="77777777" w:rsidR="00AC6F3C" w:rsidRDefault="00AC6F3C">
            <w:pPr>
              <w:pStyle w:val="TableParagraph"/>
              <w:rPr>
                <w:rFonts w:ascii="Times New Roman"/>
                <w:sz w:val="12"/>
              </w:rPr>
            </w:pPr>
          </w:p>
        </w:tc>
        <w:tc>
          <w:tcPr>
            <w:tcW w:w="527" w:type="dxa"/>
          </w:tcPr>
          <w:p w14:paraId="1E9DE2EC" w14:textId="77777777" w:rsidR="00AC6F3C" w:rsidRDefault="00AC6F3C">
            <w:pPr>
              <w:pStyle w:val="TableParagraph"/>
              <w:rPr>
                <w:rFonts w:ascii="Times New Roman"/>
                <w:sz w:val="12"/>
              </w:rPr>
            </w:pPr>
          </w:p>
        </w:tc>
        <w:tc>
          <w:tcPr>
            <w:tcW w:w="3009" w:type="dxa"/>
          </w:tcPr>
          <w:p w14:paraId="2A173EB1" w14:textId="77777777" w:rsidR="00AC6F3C" w:rsidRDefault="00570E88">
            <w:pPr>
              <w:pStyle w:val="TableParagraph"/>
              <w:spacing w:line="160" w:lineRule="exact"/>
              <w:ind w:left="31"/>
              <w:rPr>
                <w:sz w:val="15"/>
              </w:rPr>
            </w:pPr>
            <w:r>
              <w:rPr>
                <w:spacing w:val="-4"/>
                <w:sz w:val="15"/>
              </w:rPr>
              <w:t>quotations</w:t>
            </w:r>
            <w:r>
              <w:rPr>
                <w:spacing w:val="-1"/>
                <w:sz w:val="15"/>
              </w:rPr>
              <w:t xml:space="preserve"> </w:t>
            </w:r>
            <w:r>
              <w:rPr>
                <w:spacing w:val="-4"/>
                <w:sz w:val="15"/>
              </w:rPr>
              <w:t>for</w:t>
            </w:r>
            <w:r>
              <w:rPr>
                <w:sz w:val="15"/>
              </w:rPr>
              <w:t xml:space="preserve"> </w:t>
            </w:r>
            <w:r>
              <w:rPr>
                <w:spacing w:val="-4"/>
                <w:sz w:val="15"/>
              </w:rPr>
              <w:t>an</w:t>
            </w:r>
            <w:r>
              <w:rPr>
                <w:sz w:val="15"/>
              </w:rPr>
              <w:t xml:space="preserve"> </w:t>
            </w:r>
            <w:r>
              <w:rPr>
                <w:spacing w:val="-4"/>
                <w:sz w:val="15"/>
              </w:rPr>
              <w:t>external</w:t>
            </w:r>
            <w:r>
              <w:rPr>
                <w:sz w:val="15"/>
              </w:rPr>
              <w:t xml:space="preserve"> </w:t>
            </w:r>
            <w:r>
              <w:rPr>
                <w:spacing w:val="-4"/>
                <w:sz w:val="15"/>
              </w:rPr>
              <w:t>facilitator</w:t>
            </w:r>
            <w:r>
              <w:rPr>
                <w:sz w:val="15"/>
              </w:rPr>
              <w:t xml:space="preserve"> </w:t>
            </w:r>
            <w:r>
              <w:rPr>
                <w:spacing w:val="-4"/>
                <w:sz w:val="15"/>
              </w:rPr>
              <w:t>to</w:t>
            </w:r>
            <w:r>
              <w:rPr>
                <w:sz w:val="15"/>
              </w:rPr>
              <w:t xml:space="preserve"> </w:t>
            </w:r>
            <w:r>
              <w:rPr>
                <w:spacing w:val="-4"/>
                <w:sz w:val="15"/>
              </w:rPr>
              <w:t>quote</w:t>
            </w:r>
          </w:p>
        </w:tc>
      </w:tr>
      <w:tr w:rsidR="00AC6F3C" w14:paraId="36177328" w14:textId="77777777">
        <w:trPr>
          <w:trHeight w:val="180"/>
        </w:trPr>
        <w:tc>
          <w:tcPr>
            <w:tcW w:w="856" w:type="dxa"/>
          </w:tcPr>
          <w:p w14:paraId="47B9E3D8" w14:textId="77777777" w:rsidR="00AC6F3C" w:rsidRDefault="00AC6F3C">
            <w:pPr>
              <w:pStyle w:val="TableParagraph"/>
              <w:rPr>
                <w:rFonts w:ascii="Times New Roman"/>
                <w:sz w:val="12"/>
              </w:rPr>
            </w:pPr>
          </w:p>
        </w:tc>
        <w:tc>
          <w:tcPr>
            <w:tcW w:w="378" w:type="dxa"/>
          </w:tcPr>
          <w:p w14:paraId="4166B860" w14:textId="77777777" w:rsidR="00AC6F3C" w:rsidRDefault="00AC6F3C">
            <w:pPr>
              <w:pStyle w:val="TableParagraph"/>
              <w:rPr>
                <w:rFonts w:ascii="Times New Roman"/>
                <w:sz w:val="12"/>
              </w:rPr>
            </w:pPr>
          </w:p>
        </w:tc>
        <w:tc>
          <w:tcPr>
            <w:tcW w:w="1862" w:type="dxa"/>
          </w:tcPr>
          <w:p w14:paraId="1CBC0BBA" w14:textId="77777777" w:rsidR="00AC6F3C" w:rsidRDefault="00AC6F3C">
            <w:pPr>
              <w:pStyle w:val="TableParagraph"/>
              <w:rPr>
                <w:rFonts w:ascii="Times New Roman"/>
                <w:sz w:val="12"/>
              </w:rPr>
            </w:pPr>
          </w:p>
        </w:tc>
        <w:tc>
          <w:tcPr>
            <w:tcW w:w="2824" w:type="dxa"/>
          </w:tcPr>
          <w:p w14:paraId="751A91AB" w14:textId="77777777" w:rsidR="00AC6F3C" w:rsidRDefault="00AC6F3C">
            <w:pPr>
              <w:pStyle w:val="TableParagraph"/>
              <w:rPr>
                <w:rFonts w:ascii="Times New Roman"/>
                <w:sz w:val="12"/>
              </w:rPr>
            </w:pPr>
          </w:p>
        </w:tc>
        <w:tc>
          <w:tcPr>
            <w:tcW w:w="797" w:type="dxa"/>
          </w:tcPr>
          <w:p w14:paraId="175348AE" w14:textId="77777777" w:rsidR="00AC6F3C" w:rsidRDefault="00AC6F3C">
            <w:pPr>
              <w:pStyle w:val="TableParagraph"/>
              <w:rPr>
                <w:rFonts w:ascii="Times New Roman"/>
                <w:sz w:val="12"/>
              </w:rPr>
            </w:pPr>
          </w:p>
        </w:tc>
        <w:tc>
          <w:tcPr>
            <w:tcW w:w="822" w:type="dxa"/>
          </w:tcPr>
          <w:p w14:paraId="711802EA" w14:textId="77777777" w:rsidR="00AC6F3C" w:rsidRDefault="00AC6F3C">
            <w:pPr>
              <w:pStyle w:val="TableParagraph"/>
              <w:rPr>
                <w:rFonts w:ascii="Times New Roman"/>
                <w:sz w:val="12"/>
              </w:rPr>
            </w:pPr>
          </w:p>
        </w:tc>
        <w:tc>
          <w:tcPr>
            <w:tcW w:w="1217" w:type="dxa"/>
          </w:tcPr>
          <w:p w14:paraId="4134C4B1" w14:textId="77777777" w:rsidR="00AC6F3C" w:rsidRDefault="00AC6F3C">
            <w:pPr>
              <w:pStyle w:val="TableParagraph"/>
              <w:rPr>
                <w:rFonts w:ascii="Times New Roman"/>
                <w:sz w:val="12"/>
              </w:rPr>
            </w:pPr>
          </w:p>
        </w:tc>
        <w:tc>
          <w:tcPr>
            <w:tcW w:w="1838" w:type="dxa"/>
          </w:tcPr>
          <w:p w14:paraId="206A938B" w14:textId="77777777" w:rsidR="00AC6F3C" w:rsidRDefault="00570E88">
            <w:pPr>
              <w:pStyle w:val="TableParagraph"/>
              <w:spacing w:before="4" w:line="156" w:lineRule="exact"/>
              <w:ind w:left="542"/>
              <w:rPr>
                <w:sz w:val="15"/>
              </w:rPr>
            </w:pPr>
            <w:r>
              <w:rPr>
                <w:spacing w:val="-2"/>
                <w:sz w:val="15"/>
              </w:rPr>
              <w:t>consultation</w:t>
            </w:r>
          </w:p>
        </w:tc>
        <w:tc>
          <w:tcPr>
            <w:tcW w:w="833" w:type="dxa"/>
          </w:tcPr>
          <w:p w14:paraId="33AAFBC9" w14:textId="77777777" w:rsidR="00AC6F3C" w:rsidRDefault="00AC6F3C">
            <w:pPr>
              <w:pStyle w:val="TableParagraph"/>
              <w:rPr>
                <w:rFonts w:ascii="Times New Roman"/>
                <w:sz w:val="12"/>
              </w:rPr>
            </w:pPr>
          </w:p>
        </w:tc>
        <w:tc>
          <w:tcPr>
            <w:tcW w:w="1040" w:type="dxa"/>
          </w:tcPr>
          <w:p w14:paraId="418A2204" w14:textId="77777777" w:rsidR="00AC6F3C" w:rsidRDefault="00AC6F3C">
            <w:pPr>
              <w:pStyle w:val="TableParagraph"/>
              <w:rPr>
                <w:rFonts w:ascii="Times New Roman"/>
                <w:sz w:val="12"/>
              </w:rPr>
            </w:pPr>
          </w:p>
        </w:tc>
        <w:tc>
          <w:tcPr>
            <w:tcW w:w="527" w:type="dxa"/>
          </w:tcPr>
          <w:p w14:paraId="6B47BEAE" w14:textId="77777777" w:rsidR="00AC6F3C" w:rsidRDefault="00AC6F3C">
            <w:pPr>
              <w:pStyle w:val="TableParagraph"/>
              <w:rPr>
                <w:rFonts w:ascii="Times New Roman"/>
                <w:sz w:val="12"/>
              </w:rPr>
            </w:pPr>
          </w:p>
        </w:tc>
        <w:tc>
          <w:tcPr>
            <w:tcW w:w="3009" w:type="dxa"/>
          </w:tcPr>
          <w:p w14:paraId="3A6B0123" w14:textId="77777777" w:rsidR="00AC6F3C" w:rsidRDefault="00570E88">
            <w:pPr>
              <w:pStyle w:val="TableParagraph"/>
              <w:spacing w:line="160" w:lineRule="exact"/>
              <w:ind w:left="31"/>
              <w:rPr>
                <w:sz w:val="15"/>
              </w:rPr>
            </w:pPr>
            <w:r>
              <w:rPr>
                <w:spacing w:val="-4"/>
                <w:sz w:val="15"/>
              </w:rPr>
              <w:t>and</w:t>
            </w:r>
            <w:r>
              <w:rPr>
                <w:spacing w:val="-1"/>
                <w:sz w:val="15"/>
              </w:rPr>
              <w:t xml:space="preserve"> </w:t>
            </w:r>
            <w:r>
              <w:rPr>
                <w:spacing w:val="-4"/>
                <w:sz w:val="15"/>
              </w:rPr>
              <w:t>assist</w:t>
            </w:r>
            <w:r>
              <w:rPr>
                <w:sz w:val="15"/>
              </w:rPr>
              <w:t xml:space="preserve"> </w:t>
            </w:r>
            <w:r>
              <w:rPr>
                <w:spacing w:val="-4"/>
                <w:sz w:val="15"/>
              </w:rPr>
              <w:t>the</w:t>
            </w:r>
            <w:r>
              <w:rPr>
                <w:sz w:val="15"/>
              </w:rPr>
              <w:t xml:space="preserve"> </w:t>
            </w:r>
            <w:r>
              <w:rPr>
                <w:spacing w:val="-4"/>
                <w:sz w:val="15"/>
              </w:rPr>
              <w:t>consultation</w:t>
            </w:r>
            <w:r>
              <w:rPr>
                <w:spacing w:val="-1"/>
                <w:sz w:val="15"/>
              </w:rPr>
              <w:t xml:space="preserve"> </w:t>
            </w:r>
            <w:r>
              <w:rPr>
                <w:spacing w:val="-4"/>
                <w:sz w:val="15"/>
              </w:rPr>
              <w:t>process</w:t>
            </w:r>
            <w:r>
              <w:rPr>
                <w:sz w:val="15"/>
              </w:rPr>
              <w:t xml:space="preserve"> </w:t>
            </w:r>
            <w:r>
              <w:rPr>
                <w:spacing w:val="-5"/>
                <w:sz w:val="15"/>
              </w:rPr>
              <w:t>for</w:t>
            </w:r>
          </w:p>
        </w:tc>
      </w:tr>
      <w:tr w:rsidR="00AC6F3C" w14:paraId="3294682C" w14:textId="77777777">
        <w:trPr>
          <w:trHeight w:val="177"/>
        </w:trPr>
        <w:tc>
          <w:tcPr>
            <w:tcW w:w="856" w:type="dxa"/>
          </w:tcPr>
          <w:p w14:paraId="3CA99E66" w14:textId="77777777" w:rsidR="00AC6F3C" w:rsidRDefault="00AC6F3C">
            <w:pPr>
              <w:pStyle w:val="TableParagraph"/>
              <w:rPr>
                <w:rFonts w:ascii="Times New Roman"/>
                <w:sz w:val="10"/>
              </w:rPr>
            </w:pPr>
          </w:p>
        </w:tc>
        <w:tc>
          <w:tcPr>
            <w:tcW w:w="378" w:type="dxa"/>
          </w:tcPr>
          <w:p w14:paraId="522E72DD" w14:textId="77777777" w:rsidR="00AC6F3C" w:rsidRDefault="00AC6F3C">
            <w:pPr>
              <w:pStyle w:val="TableParagraph"/>
              <w:rPr>
                <w:rFonts w:ascii="Times New Roman"/>
                <w:sz w:val="10"/>
              </w:rPr>
            </w:pPr>
          </w:p>
        </w:tc>
        <w:tc>
          <w:tcPr>
            <w:tcW w:w="1862" w:type="dxa"/>
          </w:tcPr>
          <w:p w14:paraId="5AF970E2" w14:textId="77777777" w:rsidR="00AC6F3C" w:rsidRDefault="00AC6F3C">
            <w:pPr>
              <w:pStyle w:val="TableParagraph"/>
              <w:rPr>
                <w:rFonts w:ascii="Times New Roman"/>
                <w:sz w:val="10"/>
              </w:rPr>
            </w:pPr>
          </w:p>
        </w:tc>
        <w:tc>
          <w:tcPr>
            <w:tcW w:w="2824" w:type="dxa"/>
          </w:tcPr>
          <w:p w14:paraId="2E6C7DD2" w14:textId="77777777" w:rsidR="00AC6F3C" w:rsidRDefault="00AC6F3C">
            <w:pPr>
              <w:pStyle w:val="TableParagraph"/>
              <w:rPr>
                <w:rFonts w:ascii="Times New Roman"/>
                <w:sz w:val="10"/>
              </w:rPr>
            </w:pPr>
          </w:p>
        </w:tc>
        <w:tc>
          <w:tcPr>
            <w:tcW w:w="797" w:type="dxa"/>
          </w:tcPr>
          <w:p w14:paraId="1323B476" w14:textId="77777777" w:rsidR="00AC6F3C" w:rsidRDefault="00AC6F3C">
            <w:pPr>
              <w:pStyle w:val="TableParagraph"/>
              <w:rPr>
                <w:rFonts w:ascii="Times New Roman"/>
                <w:sz w:val="10"/>
              </w:rPr>
            </w:pPr>
          </w:p>
        </w:tc>
        <w:tc>
          <w:tcPr>
            <w:tcW w:w="822" w:type="dxa"/>
          </w:tcPr>
          <w:p w14:paraId="5BCEDE2B" w14:textId="77777777" w:rsidR="00AC6F3C" w:rsidRDefault="00AC6F3C">
            <w:pPr>
              <w:pStyle w:val="TableParagraph"/>
              <w:rPr>
                <w:rFonts w:ascii="Times New Roman"/>
                <w:sz w:val="10"/>
              </w:rPr>
            </w:pPr>
          </w:p>
        </w:tc>
        <w:tc>
          <w:tcPr>
            <w:tcW w:w="1217" w:type="dxa"/>
          </w:tcPr>
          <w:p w14:paraId="2A2E0684" w14:textId="77777777" w:rsidR="00AC6F3C" w:rsidRDefault="00AC6F3C">
            <w:pPr>
              <w:pStyle w:val="TableParagraph"/>
              <w:rPr>
                <w:rFonts w:ascii="Times New Roman"/>
                <w:sz w:val="10"/>
              </w:rPr>
            </w:pPr>
          </w:p>
        </w:tc>
        <w:tc>
          <w:tcPr>
            <w:tcW w:w="1838" w:type="dxa"/>
          </w:tcPr>
          <w:p w14:paraId="42BCC933" w14:textId="77777777" w:rsidR="00AC6F3C" w:rsidRDefault="00AC6F3C">
            <w:pPr>
              <w:pStyle w:val="TableParagraph"/>
              <w:rPr>
                <w:rFonts w:ascii="Times New Roman"/>
                <w:sz w:val="10"/>
              </w:rPr>
            </w:pPr>
          </w:p>
        </w:tc>
        <w:tc>
          <w:tcPr>
            <w:tcW w:w="833" w:type="dxa"/>
          </w:tcPr>
          <w:p w14:paraId="5F7F7BCC" w14:textId="77777777" w:rsidR="00AC6F3C" w:rsidRDefault="00AC6F3C">
            <w:pPr>
              <w:pStyle w:val="TableParagraph"/>
              <w:rPr>
                <w:rFonts w:ascii="Times New Roman"/>
                <w:sz w:val="10"/>
              </w:rPr>
            </w:pPr>
          </w:p>
        </w:tc>
        <w:tc>
          <w:tcPr>
            <w:tcW w:w="1040" w:type="dxa"/>
          </w:tcPr>
          <w:p w14:paraId="38BD2BE2" w14:textId="77777777" w:rsidR="00AC6F3C" w:rsidRDefault="00AC6F3C">
            <w:pPr>
              <w:pStyle w:val="TableParagraph"/>
              <w:rPr>
                <w:rFonts w:ascii="Times New Roman"/>
                <w:sz w:val="10"/>
              </w:rPr>
            </w:pPr>
          </w:p>
        </w:tc>
        <w:tc>
          <w:tcPr>
            <w:tcW w:w="527" w:type="dxa"/>
          </w:tcPr>
          <w:p w14:paraId="4C4950B9" w14:textId="77777777" w:rsidR="00AC6F3C" w:rsidRDefault="00AC6F3C">
            <w:pPr>
              <w:pStyle w:val="TableParagraph"/>
              <w:rPr>
                <w:rFonts w:ascii="Times New Roman"/>
                <w:sz w:val="10"/>
              </w:rPr>
            </w:pPr>
          </w:p>
        </w:tc>
        <w:tc>
          <w:tcPr>
            <w:tcW w:w="3009" w:type="dxa"/>
          </w:tcPr>
          <w:p w14:paraId="33AA97F5" w14:textId="77777777" w:rsidR="00AC6F3C" w:rsidRDefault="00570E88">
            <w:pPr>
              <w:pStyle w:val="TableParagraph"/>
              <w:spacing w:line="157" w:lineRule="exact"/>
              <w:ind w:left="31"/>
              <w:rPr>
                <w:sz w:val="15"/>
              </w:rPr>
            </w:pPr>
            <w:r>
              <w:rPr>
                <w:spacing w:val="-4"/>
                <w:sz w:val="15"/>
              </w:rPr>
              <w:t>both governance</w:t>
            </w:r>
            <w:r>
              <w:rPr>
                <w:spacing w:val="-3"/>
                <w:sz w:val="15"/>
              </w:rPr>
              <w:t xml:space="preserve"> </w:t>
            </w:r>
            <w:r>
              <w:rPr>
                <w:spacing w:val="-4"/>
                <w:sz w:val="15"/>
              </w:rPr>
              <w:t>terms</w:t>
            </w:r>
            <w:r>
              <w:rPr>
                <w:spacing w:val="-3"/>
                <w:sz w:val="15"/>
              </w:rPr>
              <w:t xml:space="preserve"> </w:t>
            </w:r>
            <w:r>
              <w:rPr>
                <w:spacing w:val="-4"/>
                <w:sz w:val="15"/>
              </w:rPr>
              <w:t>and</w:t>
            </w:r>
            <w:r>
              <w:rPr>
                <w:spacing w:val="-3"/>
                <w:sz w:val="15"/>
              </w:rPr>
              <w:t xml:space="preserve"> </w:t>
            </w:r>
            <w:r>
              <w:rPr>
                <w:spacing w:val="-4"/>
                <w:sz w:val="15"/>
              </w:rPr>
              <w:t>this</w:t>
            </w:r>
            <w:r>
              <w:rPr>
                <w:spacing w:val="-3"/>
                <w:sz w:val="15"/>
              </w:rPr>
              <w:t xml:space="preserve"> </w:t>
            </w:r>
            <w:r>
              <w:rPr>
                <w:spacing w:val="-4"/>
                <w:sz w:val="15"/>
              </w:rPr>
              <w:t>has</w:t>
            </w:r>
            <w:r>
              <w:rPr>
                <w:spacing w:val="-3"/>
                <w:sz w:val="15"/>
              </w:rPr>
              <w:t xml:space="preserve"> </w:t>
            </w:r>
            <w:r>
              <w:rPr>
                <w:spacing w:val="-4"/>
                <w:sz w:val="15"/>
              </w:rPr>
              <w:t>been</w:t>
            </w:r>
          </w:p>
        </w:tc>
      </w:tr>
      <w:tr w:rsidR="00AC6F3C" w14:paraId="5FAC0F6B" w14:textId="77777777">
        <w:trPr>
          <w:trHeight w:val="180"/>
        </w:trPr>
        <w:tc>
          <w:tcPr>
            <w:tcW w:w="856" w:type="dxa"/>
          </w:tcPr>
          <w:p w14:paraId="026D357B" w14:textId="77777777" w:rsidR="00AC6F3C" w:rsidRDefault="00AC6F3C">
            <w:pPr>
              <w:pStyle w:val="TableParagraph"/>
              <w:rPr>
                <w:rFonts w:ascii="Times New Roman"/>
                <w:sz w:val="12"/>
              </w:rPr>
            </w:pPr>
          </w:p>
        </w:tc>
        <w:tc>
          <w:tcPr>
            <w:tcW w:w="378" w:type="dxa"/>
          </w:tcPr>
          <w:p w14:paraId="32A96CD4" w14:textId="77777777" w:rsidR="00AC6F3C" w:rsidRDefault="00AC6F3C">
            <w:pPr>
              <w:pStyle w:val="TableParagraph"/>
              <w:rPr>
                <w:rFonts w:ascii="Times New Roman"/>
                <w:sz w:val="12"/>
              </w:rPr>
            </w:pPr>
          </w:p>
        </w:tc>
        <w:tc>
          <w:tcPr>
            <w:tcW w:w="1862" w:type="dxa"/>
          </w:tcPr>
          <w:p w14:paraId="28C0BCE3" w14:textId="77777777" w:rsidR="00AC6F3C" w:rsidRDefault="00AC6F3C">
            <w:pPr>
              <w:pStyle w:val="TableParagraph"/>
              <w:rPr>
                <w:rFonts w:ascii="Times New Roman"/>
                <w:sz w:val="12"/>
              </w:rPr>
            </w:pPr>
          </w:p>
        </w:tc>
        <w:tc>
          <w:tcPr>
            <w:tcW w:w="2824" w:type="dxa"/>
          </w:tcPr>
          <w:p w14:paraId="051B1FF8" w14:textId="77777777" w:rsidR="00AC6F3C" w:rsidRDefault="00AC6F3C">
            <w:pPr>
              <w:pStyle w:val="TableParagraph"/>
              <w:rPr>
                <w:rFonts w:ascii="Times New Roman"/>
                <w:sz w:val="12"/>
              </w:rPr>
            </w:pPr>
          </w:p>
        </w:tc>
        <w:tc>
          <w:tcPr>
            <w:tcW w:w="797" w:type="dxa"/>
          </w:tcPr>
          <w:p w14:paraId="7CA615DA" w14:textId="77777777" w:rsidR="00AC6F3C" w:rsidRDefault="00AC6F3C">
            <w:pPr>
              <w:pStyle w:val="TableParagraph"/>
              <w:rPr>
                <w:rFonts w:ascii="Times New Roman"/>
                <w:sz w:val="12"/>
              </w:rPr>
            </w:pPr>
          </w:p>
        </w:tc>
        <w:tc>
          <w:tcPr>
            <w:tcW w:w="822" w:type="dxa"/>
          </w:tcPr>
          <w:p w14:paraId="0AA14535" w14:textId="77777777" w:rsidR="00AC6F3C" w:rsidRDefault="00AC6F3C">
            <w:pPr>
              <w:pStyle w:val="TableParagraph"/>
              <w:rPr>
                <w:rFonts w:ascii="Times New Roman"/>
                <w:sz w:val="12"/>
              </w:rPr>
            </w:pPr>
          </w:p>
        </w:tc>
        <w:tc>
          <w:tcPr>
            <w:tcW w:w="1217" w:type="dxa"/>
          </w:tcPr>
          <w:p w14:paraId="67E8C337" w14:textId="77777777" w:rsidR="00AC6F3C" w:rsidRDefault="00AC6F3C">
            <w:pPr>
              <w:pStyle w:val="TableParagraph"/>
              <w:rPr>
                <w:rFonts w:ascii="Times New Roman"/>
                <w:sz w:val="12"/>
              </w:rPr>
            </w:pPr>
          </w:p>
        </w:tc>
        <w:tc>
          <w:tcPr>
            <w:tcW w:w="1838" w:type="dxa"/>
          </w:tcPr>
          <w:p w14:paraId="67960153" w14:textId="77777777" w:rsidR="00AC6F3C" w:rsidRDefault="00AC6F3C">
            <w:pPr>
              <w:pStyle w:val="TableParagraph"/>
              <w:rPr>
                <w:rFonts w:ascii="Times New Roman"/>
                <w:sz w:val="12"/>
              </w:rPr>
            </w:pPr>
          </w:p>
        </w:tc>
        <w:tc>
          <w:tcPr>
            <w:tcW w:w="833" w:type="dxa"/>
          </w:tcPr>
          <w:p w14:paraId="00BDC006" w14:textId="77777777" w:rsidR="00AC6F3C" w:rsidRDefault="00AC6F3C">
            <w:pPr>
              <w:pStyle w:val="TableParagraph"/>
              <w:rPr>
                <w:rFonts w:ascii="Times New Roman"/>
                <w:sz w:val="12"/>
              </w:rPr>
            </w:pPr>
          </w:p>
        </w:tc>
        <w:tc>
          <w:tcPr>
            <w:tcW w:w="1040" w:type="dxa"/>
          </w:tcPr>
          <w:p w14:paraId="0A7C44C1" w14:textId="77777777" w:rsidR="00AC6F3C" w:rsidRDefault="00AC6F3C">
            <w:pPr>
              <w:pStyle w:val="TableParagraph"/>
              <w:rPr>
                <w:rFonts w:ascii="Times New Roman"/>
                <w:sz w:val="12"/>
              </w:rPr>
            </w:pPr>
          </w:p>
        </w:tc>
        <w:tc>
          <w:tcPr>
            <w:tcW w:w="527" w:type="dxa"/>
          </w:tcPr>
          <w:p w14:paraId="5C6657C9" w14:textId="77777777" w:rsidR="00AC6F3C" w:rsidRDefault="00AC6F3C">
            <w:pPr>
              <w:pStyle w:val="TableParagraph"/>
              <w:rPr>
                <w:rFonts w:ascii="Times New Roman"/>
                <w:sz w:val="12"/>
              </w:rPr>
            </w:pPr>
          </w:p>
        </w:tc>
        <w:tc>
          <w:tcPr>
            <w:tcW w:w="3009" w:type="dxa"/>
          </w:tcPr>
          <w:p w14:paraId="5D429DC9" w14:textId="77777777" w:rsidR="00AC6F3C" w:rsidRDefault="00570E88">
            <w:pPr>
              <w:pStyle w:val="TableParagraph"/>
              <w:spacing w:before="1" w:line="159" w:lineRule="exact"/>
              <w:ind w:left="31"/>
              <w:rPr>
                <w:sz w:val="15"/>
              </w:rPr>
            </w:pPr>
            <w:r>
              <w:rPr>
                <w:spacing w:val="-4"/>
                <w:sz w:val="15"/>
              </w:rPr>
              <w:t>approved</w:t>
            </w:r>
            <w:r>
              <w:rPr>
                <w:spacing w:val="-5"/>
                <w:sz w:val="15"/>
              </w:rPr>
              <w:t xml:space="preserve"> </w:t>
            </w:r>
            <w:r>
              <w:rPr>
                <w:spacing w:val="-4"/>
                <w:sz w:val="15"/>
              </w:rPr>
              <w:t>by</w:t>
            </w:r>
            <w:r>
              <w:rPr>
                <w:spacing w:val="-5"/>
                <w:sz w:val="15"/>
              </w:rPr>
              <w:t xml:space="preserve"> </w:t>
            </w:r>
            <w:r>
              <w:rPr>
                <w:spacing w:val="-4"/>
                <w:sz w:val="15"/>
              </w:rPr>
              <w:t>Council at</w:t>
            </w:r>
            <w:r>
              <w:rPr>
                <w:spacing w:val="-5"/>
                <w:sz w:val="15"/>
              </w:rPr>
              <w:t xml:space="preserve"> </w:t>
            </w:r>
            <w:r>
              <w:rPr>
                <w:spacing w:val="-4"/>
                <w:sz w:val="15"/>
              </w:rPr>
              <w:t>the June</w:t>
            </w:r>
            <w:r>
              <w:rPr>
                <w:spacing w:val="-5"/>
                <w:sz w:val="15"/>
              </w:rPr>
              <w:t xml:space="preserve"> </w:t>
            </w:r>
            <w:r>
              <w:rPr>
                <w:spacing w:val="-4"/>
                <w:sz w:val="15"/>
              </w:rPr>
              <w:t>meeting.</w:t>
            </w:r>
          </w:p>
        </w:tc>
      </w:tr>
      <w:tr w:rsidR="00AC6F3C" w14:paraId="5B00E5A2" w14:textId="77777777">
        <w:trPr>
          <w:trHeight w:val="218"/>
        </w:trPr>
        <w:tc>
          <w:tcPr>
            <w:tcW w:w="856" w:type="dxa"/>
            <w:tcBorders>
              <w:bottom w:val="single" w:sz="2" w:space="0" w:color="000000"/>
            </w:tcBorders>
          </w:tcPr>
          <w:p w14:paraId="66D86F2F" w14:textId="77777777" w:rsidR="00AC6F3C" w:rsidRDefault="00AC6F3C">
            <w:pPr>
              <w:pStyle w:val="TableParagraph"/>
              <w:rPr>
                <w:rFonts w:ascii="Times New Roman"/>
                <w:sz w:val="14"/>
              </w:rPr>
            </w:pPr>
          </w:p>
        </w:tc>
        <w:tc>
          <w:tcPr>
            <w:tcW w:w="378" w:type="dxa"/>
            <w:tcBorders>
              <w:bottom w:val="single" w:sz="2" w:space="0" w:color="000000"/>
            </w:tcBorders>
          </w:tcPr>
          <w:p w14:paraId="182E4CD2" w14:textId="77777777" w:rsidR="00AC6F3C" w:rsidRDefault="00AC6F3C">
            <w:pPr>
              <w:pStyle w:val="TableParagraph"/>
              <w:rPr>
                <w:rFonts w:ascii="Times New Roman"/>
                <w:sz w:val="14"/>
              </w:rPr>
            </w:pPr>
          </w:p>
        </w:tc>
        <w:tc>
          <w:tcPr>
            <w:tcW w:w="1862" w:type="dxa"/>
            <w:tcBorders>
              <w:bottom w:val="single" w:sz="2" w:space="0" w:color="000000"/>
            </w:tcBorders>
          </w:tcPr>
          <w:p w14:paraId="4345D999" w14:textId="77777777" w:rsidR="00AC6F3C" w:rsidRDefault="00AC6F3C">
            <w:pPr>
              <w:pStyle w:val="TableParagraph"/>
              <w:rPr>
                <w:rFonts w:ascii="Times New Roman"/>
                <w:sz w:val="14"/>
              </w:rPr>
            </w:pPr>
          </w:p>
        </w:tc>
        <w:tc>
          <w:tcPr>
            <w:tcW w:w="2824" w:type="dxa"/>
            <w:tcBorders>
              <w:bottom w:val="single" w:sz="2" w:space="0" w:color="000000"/>
            </w:tcBorders>
          </w:tcPr>
          <w:p w14:paraId="69B99D18" w14:textId="77777777" w:rsidR="00AC6F3C" w:rsidRDefault="00AC6F3C">
            <w:pPr>
              <w:pStyle w:val="TableParagraph"/>
              <w:rPr>
                <w:rFonts w:ascii="Times New Roman"/>
                <w:sz w:val="14"/>
              </w:rPr>
            </w:pPr>
          </w:p>
        </w:tc>
        <w:tc>
          <w:tcPr>
            <w:tcW w:w="797" w:type="dxa"/>
            <w:tcBorders>
              <w:bottom w:val="single" w:sz="2" w:space="0" w:color="000000"/>
            </w:tcBorders>
          </w:tcPr>
          <w:p w14:paraId="10CC8BBF" w14:textId="77777777" w:rsidR="00AC6F3C" w:rsidRDefault="00AC6F3C">
            <w:pPr>
              <w:pStyle w:val="TableParagraph"/>
              <w:rPr>
                <w:rFonts w:ascii="Times New Roman"/>
                <w:sz w:val="14"/>
              </w:rPr>
            </w:pPr>
          </w:p>
        </w:tc>
        <w:tc>
          <w:tcPr>
            <w:tcW w:w="822" w:type="dxa"/>
            <w:tcBorders>
              <w:bottom w:val="single" w:sz="2" w:space="0" w:color="000000"/>
            </w:tcBorders>
          </w:tcPr>
          <w:p w14:paraId="1219D2B1" w14:textId="77777777" w:rsidR="00AC6F3C" w:rsidRDefault="00AC6F3C">
            <w:pPr>
              <w:pStyle w:val="TableParagraph"/>
              <w:rPr>
                <w:rFonts w:ascii="Times New Roman"/>
                <w:sz w:val="14"/>
              </w:rPr>
            </w:pPr>
          </w:p>
        </w:tc>
        <w:tc>
          <w:tcPr>
            <w:tcW w:w="1217" w:type="dxa"/>
            <w:tcBorders>
              <w:bottom w:val="single" w:sz="2" w:space="0" w:color="000000"/>
            </w:tcBorders>
          </w:tcPr>
          <w:p w14:paraId="03B47B8A" w14:textId="77777777" w:rsidR="00AC6F3C" w:rsidRDefault="00AC6F3C">
            <w:pPr>
              <w:pStyle w:val="TableParagraph"/>
              <w:rPr>
                <w:rFonts w:ascii="Times New Roman"/>
                <w:sz w:val="14"/>
              </w:rPr>
            </w:pPr>
          </w:p>
        </w:tc>
        <w:tc>
          <w:tcPr>
            <w:tcW w:w="1838" w:type="dxa"/>
            <w:tcBorders>
              <w:bottom w:val="single" w:sz="2" w:space="0" w:color="000000"/>
            </w:tcBorders>
          </w:tcPr>
          <w:p w14:paraId="3DF40931" w14:textId="77777777" w:rsidR="00AC6F3C" w:rsidRDefault="00AC6F3C">
            <w:pPr>
              <w:pStyle w:val="TableParagraph"/>
              <w:rPr>
                <w:rFonts w:ascii="Times New Roman"/>
                <w:sz w:val="14"/>
              </w:rPr>
            </w:pPr>
          </w:p>
        </w:tc>
        <w:tc>
          <w:tcPr>
            <w:tcW w:w="833" w:type="dxa"/>
            <w:tcBorders>
              <w:bottom w:val="single" w:sz="2" w:space="0" w:color="000000"/>
            </w:tcBorders>
          </w:tcPr>
          <w:p w14:paraId="56116F25" w14:textId="77777777" w:rsidR="00AC6F3C" w:rsidRDefault="00AC6F3C">
            <w:pPr>
              <w:pStyle w:val="TableParagraph"/>
              <w:rPr>
                <w:rFonts w:ascii="Times New Roman"/>
                <w:sz w:val="14"/>
              </w:rPr>
            </w:pPr>
          </w:p>
        </w:tc>
        <w:tc>
          <w:tcPr>
            <w:tcW w:w="1040" w:type="dxa"/>
            <w:tcBorders>
              <w:bottom w:val="single" w:sz="2" w:space="0" w:color="000000"/>
            </w:tcBorders>
          </w:tcPr>
          <w:p w14:paraId="75E1D02E" w14:textId="77777777" w:rsidR="00AC6F3C" w:rsidRDefault="00AC6F3C">
            <w:pPr>
              <w:pStyle w:val="TableParagraph"/>
              <w:rPr>
                <w:rFonts w:ascii="Times New Roman"/>
                <w:sz w:val="14"/>
              </w:rPr>
            </w:pPr>
          </w:p>
        </w:tc>
        <w:tc>
          <w:tcPr>
            <w:tcW w:w="527" w:type="dxa"/>
            <w:tcBorders>
              <w:bottom w:val="single" w:sz="2" w:space="0" w:color="000000"/>
            </w:tcBorders>
          </w:tcPr>
          <w:p w14:paraId="72FC6A92" w14:textId="77777777" w:rsidR="00AC6F3C" w:rsidRDefault="00AC6F3C">
            <w:pPr>
              <w:pStyle w:val="TableParagraph"/>
              <w:rPr>
                <w:rFonts w:ascii="Times New Roman"/>
                <w:sz w:val="14"/>
              </w:rPr>
            </w:pPr>
          </w:p>
        </w:tc>
        <w:tc>
          <w:tcPr>
            <w:tcW w:w="3009" w:type="dxa"/>
            <w:tcBorders>
              <w:bottom w:val="single" w:sz="2" w:space="0" w:color="000000"/>
            </w:tcBorders>
          </w:tcPr>
          <w:p w14:paraId="5891589A" w14:textId="77777777" w:rsidR="00AC6F3C" w:rsidRDefault="00570E88">
            <w:pPr>
              <w:pStyle w:val="TableParagraph"/>
              <w:spacing w:before="1"/>
              <w:ind w:left="31"/>
              <w:rPr>
                <w:sz w:val="15"/>
              </w:rPr>
            </w:pPr>
            <w:r>
              <w:rPr>
                <w:spacing w:val="-4"/>
                <w:sz w:val="15"/>
              </w:rPr>
              <w:t>This</w:t>
            </w:r>
            <w:r>
              <w:rPr>
                <w:spacing w:val="-1"/>
                <w:sz w:val="15"/>
              </w:rPr>
              <w:t xml:space="preserve"> </w:t>
            </w:r>
            <w:r>
              <w:rPr>
                <w:spacing w:val="-4"/>
                <w:sz w:val="15"/>
              </w:rPr>
              <w:t>will</w:t>
            </w:r>
            <w:r>
              <w:rPr>
                <w:spacing w:val="-1"/>
                <w:sz w:val="15"/>
              </w:rPr>
              <w:t xml:space="preserve"> </w:t>
            </w:r>
            <w:r>
              <w:rPr>
                <w:spacing w:val="-4"/>
                <w:sz w:val="15"/>
              </w:rPr>
              <w:t>continue</w:t>
            </w:r>
            <w:r>
              <w:rPr>
                <w:sz w:val="15"/>
              </w:rPr>
              <w:t xml:space="preserve"> </w:t>
            </w:r>
            <w:r>
              <w:rPr>
                <w:spacing w:val="-4"/>
                <w:sz w:val="15"/>
              </w:rPr>
              <w:t>into</w:t>
            </w:r>
            <w:r>
              <w:rPr>
                <w:spacing w:val="-1"/>
                <w:sz w:val="15"/>
              </w:rPr>
              <w:t xml:space="preserve"> </w:t>
            </w:r>
            <w:r>
              <w:rPr>
                <w:spacing w:val="-4"/>
                <w:sz w:val="15"/>
              </w:rPr>
              <w:t>the</w:t>
            </w:r>
            <w:r>
              <w:rPr>
                <w:sz w:val="15"/>
              </w:rPr>
              <w:t xml:space="preserve"> </w:t>
            </w:r>
            <w:r>
              <w:rPr>
                <w:spacing w:val="-4"/>
                <w:sz w:val="15"/>
              </w:rPr>
              <w:t>next</w:t>
            </w:r>
            <w:r>
              <w:rPr>
                <w:spacing w:val="-1"/>
                <w:sz w:val="15"/>
              </w:rPr>
              <w:t xml:space="preserve"> </w:t>
            </w:r>
            <w:proofErr w:type="gramStart"/>
            <w:r>
              <w:rPr>
                <w:spacing w:val="-4"/>
                <w:sz w:val="15"/>
              </w:rPr>
              <w:t>financial</w:t>
            </w:r>
            <w:r>
              <w:rPr>
                <w:spacing w:val="-1"/>
                <w:sz w:val="15"/>
              </w:rPr>
              <w:t xml:space="preserve"> </w:t>
            </w:r>
            <w:r>
              <w:rPr>
                <w:spacing w:val="-4"/>
                <w:sz w:val="15"/>
              </w:rPr>
              <w:t>year</w:t>
            </w:r>
            <w:proofErr w:type="gramEnd"/>
          </w:p>
        </w:tc>
      </w:tr>
      <w:tr w:rsidR="00AC6F3C" w14:paraId="681489FC" w14:textId="77777777">
        <w:trPr>
          <w:trHeight w:val="229"/>
        </w:trPr>
        <w:tc>
          <w:tcPr>
            <w:tcW w:w="856" w:type="dxa"/>
          </w:tcPr>
          <w:p w14:paraId="4C7661F3" w14:textId="77777777" w:rsidR="00AC6F3C" w:rsidRDefault="00570E88">
            <w:pPr>
              <w:pStyle w:val="TableParagraph"/>
              <w:spacing w:before="48" w:line="159" w:lineRule="exact"/>
              <w:ind w:left="85"/>
              <w:rPr>
                <w:b/>
                <w:sz w:val="15"/>
              </w:rPr>
            </w:pPr>
            <w:r>
              <w:rPr>
                <w:b/>
                <w:spacing w:val="-4"/>
                <w:sz w:val="15"/>
              </w:rPr>
              <w:t>Grow</w:t>
            </w:r>
          </w:p>
        </w:tc>
        <w:tc>
          <w:tcPr>
            <w:tcW w:w="378" w:type="dxa"/>
          </w:tcPr>
          <w:p w14:paraId="749888E8" w14:textId="77777777" w:rsidR="00AC6F3C" w:rsidRDefault="00570E88">
            <w:pPr>
              <w:pStyle w:val="TableParagraph"/>
              <w:spacing w:before="48" w:line="159" w:lineRule="exact"/>
              <w:ind w:right="40"/>
              <w:jc w:val="right"/>
              <w:rPr>
                <w:sz w:val="15"/>
              </w:rPr>
            </w:pPr>
            <w:r>
              <w:rPr>
                <w:spacing w:val="-5"/>
                <w:sz w:val="15"/>
              </w:rPr>
              <w:t>20.</w:t>
            </w:r>
          </w:p>
        </w:tc>
        <w:tc>
          <w:tcPr>
            <w:tcW w:w="1862" w:type="dxa"/>
          </w:tcPr>
          <w:p w14:paraId="1AC9201F" w14:textId="77777777" w:rsidR="00AC6F3C" w:rsidRDefault="00570E88">
            <w:pPr>
              <w:pStyle w:val="TableParagraph"/>
              <w:spacing w:before="48" w:line="159" w:lineRule="exact"/>
              <w:ind w:left="42"/>
              <w:rPr>
                <w:sz w:val="15"/>
              </w:rPr>
            </w:pPr>
            <w:r>
              <w:rPr>
                <w:spacing w:val="-4"/>
                <w:sz w:val="15"/>
              </w:rPr>
              <w:t>Maintain</w:t>
            </w:r>
            <w:r>
              <w:rPr>
                <w:spacing w:val="-3"/>
                <w:sz w:val="15"/>
              </w:rPr>
              <w:t xml:space="preserve"> </w:t>
            </w:r>
            <w:r>
              <w:rPr>
                <w:spacing w:val="-4"/>
                <w:sz w:val="15"/>
              </w:rPr>
              <w:t>a</w:t>
            </w:r>
            <w:r>
              <w:rPr>
                <w:spacing w:val="-2"/>
                <w:sz w:val="15"/>
              </w:rPr>
              <w:t xml:space="preserve"> </w:t>
            </w:r>
            <w:r>
              <w:rPr>
                <w:spacing w:val="-4"/>
                <w:sz w:val="15"/>
              </w:rPr>
              <w:t>quality,</w:t>
            </w:r>
            <w:r>
              <w:rPr>
                <w:spacing w:val="-3"/>
                <w:sz w:val="15"/>
              </w:rPr>
              <w:t xml:space="preserve"> </w:t>
            </w:r>
            <w:r>
              <w:rPr>
                <w:spacing w:val="-4"/>
                <w:sz w:val="15"/>
              </w:rPr>
              <w:t>modern</w:t>
            </w:r>
          </w:p>
        </w:tc>
        <w:tc>
          <w:tcPr>
            <w:tcW w:w="2824" w:type="dxa"/>
          </w:tcPr>
          <w:p w14:paraId="30E21835" w14:textId="77777777" w:rsidR="00AC6F3C" w:rsidRDefault="00570E88">
            <w:pPr>
              <w:pStyle w:val="TableParagraph"/>
              <w:spacing w:before="48" w:line="159" w:lineRule="exact"/>
              <w:ind w:left="79"/>
              <w:rPr>
                <w:sz w:val="15"/>
              </w:rPr>
            </w:pPr>
            <w:r>
              <w:rPr>
                <w:spacing w:val="-4"/>
                <w:sz w:val="15"/>
              </w:rPr>
              <w:t>20.1.1</w:t>
            </w:r>
            <w:r>
              <w:rPr>
                <w:spacing w:val="1"/>
                <w:sz w:val="15"/>
              </w:rPr>
              <w:t xml:space="preserve"> </w:t>
            </w:r>
            <w:r>
              <w:rPr>
                <w:spacing w:val="-4"/>
                <w:sz w:val="15"/>
              </w:rPr>
              <w:t>Maintain</w:t>
            </w:r>
            <w:r>
              <w:rPr>
                <w:spacing w:val="-7"/>
                <w:sz w:val="15"/>
              </w:rPr>
              <w:t xml:space="preserve"> </w:t>
            </w:r>
            <w:r>
              <w:rPr>
                <w:spacing w:val="-4"/>
                <w:sz w:val="15"/>
              </w:rPr>
              <w:t>a</w:t>
            </w:r>
            <w:r>
              <w:rPr>
                <w:spacing w:val="-6"/>
                <w:sz w:val="15"/>
              </w:rPr>
              <w:t xml:space="preserve"> </w:t>
            </w:r>
            <w:r>
              <w:rPr>
                <w:spacing w:val="-4"/>
                <w:sz w:val="15"/>
              </w:rPr>
              <w:t>quality,</w:t>
            </w:r>
            <w:r>
              <w:rPr>
                <w:spacing w:val="-7"/>
                <w:sz w:val="15"/>
              </w:rPr>
              <w:t xml:space="preserve"> </w:t>
            </w:r>
            <w:r>
              <w:rPr>
                <w:spacing w:val="-4"/>
                <w:sz w:val="15"/>
              </w:rPr>
              <w:t>modern</w:t>
            </w:r>
            <w:r>
              <w:rPr>
                <w:spacing w:val="-6"/>
                <w:sz w:val="15"/>
              </w:rPr>
              <w:t xml:space="preserve"> </w:t>
            </w:r>
            <w:r>
              <w:rPr>
                <w:spacing w:val="-5"/>
                <w:sz w:val="15"/>
              </w:rPr>
              <w:t>and</w:t>
            </w:r>
          </w:p>
        </w:tc>
        <w:tc>
          <w:tcPr>
            <w:tcW w:w="797" w:type="dxa"/>
          </w:tcPr>
          <w:p w14:paraId="6CC78603" w14:textId="77777777" w:rsidR="00AC6F3C" w:rsidRDefault="00570E88">
            <w:pPr>
              <w:pStyle w:val="TableParagraph"/>
              <w:spacing w:before="48" w:line="159" w:lineRule="exact"/>
              <w:ind w:left="160"/>
              <w:rPr>
                <w:b/>
                <w:sz w:val="15"/>
              </w:rPr>
            </w:pPr>
            <w:r>
              <w:rPr>
                <w:b/>
                <w:spacing w:val="-4"/>
                <w:sz w:val="15"/>
              </w:rPr>
              <w:t>KPI4</w:t>
            </w:r>
          </w:p>
        </w:tc>
        <w:tc>
          <w:tcPr>
            <w:tcW w:w="822" w:type="dxa"/>
          </w:tcPr>
          <w:p w14:paraId="3D6D1C59" w14:textId="77777777" w:rsidR="00AC6F3C" w:rsidRDefault="00570E88">
            <w:pPr>
              <w:pStyle w:val="TableParagraph"/>
              <w:spacing w:before="48" w:line="159" w:lineRule="exact"/>
              <w:ind w:left="40" w:right="66"/>
              <w:jc w:val="center"/>
              <w:rPr>
                <w:sz w:val="15"/>
              </w:rPr>
            </w:pPr>
            <w:r>
              <w:rPr>
                <w:spacing w:val="-4"/>
                <w:sz w:val="15"/>
              </w:rPr>
              <w:t>30-Jun-</w:t>
            </w:r>
            <w:r>
              <w:rPr>
                <w:spacing w:val="-5"/>
                <w:sz w:val="15"/>
              </w:rPr>
              <w:t>23</w:t>
            </w:r>
          </w:p>
        </w:tc>
        <w:tc>
          <w:tcPr>
            <w:tcW w:w="1217" w:type="dxa"/>
          </w:tcPr>
          <w:p w14:paraId="1DE55488" w14:textId="77777777" w:rsidR="00AC6F3C" w:rsidRDefault="00570E88">
            <w:pPr>
              <w:pStyle w:val="TableParagraph"/>
              <w:spacing w:before="48" w:line="159" w:lineRule="exact"/>
              <w:ind w:left="115"/>
              <w:rPr>
                <w:sz w:val="15"/>
              </w:rPr>
            </w:pPr>
            <w:r>
              <w:rPr>
                <w:spacing w:val="-2"/>
                <w:sz w:val="15"/>
              </w:rPr>
              <w:t>Information</w:t>
            </w:r>
          </w:p>
        </w:tc>
        <w:tc>
          <w:tcPr>
            <w:tcW w:w="1838" w:type="dxa"/>
          </w:tcPr>
          <w:p w14:paraId="01E8A2DA" w14:textId="77777777" w:rsidR="00AC6F3C" w:rsidRDefault="00570E88">
            <w:pPr>
              <w:pStyle w:val="TableParagraph"/>
              <w:spacing w:before="48" w:line="159" w:lineRule="exact"/>
              <w:ind w:left="117"/>
              <w:rPr>
                <w:sz w:val="15"/>
              </w:rPr>
            </w:pPr>
            <w:r>
              <w:rPr>
                <w:spacing w:val="-6"/>
                <w:sz w:val="15"/>
              </w:rPr>
              <w:t>20.1.1</w:t>
            </w:r>
            <w:r>
              <w:rPr>
                <w:spacing w:val="15"/>
                <w:sz w:val="15"/>
              </w:rPr>
              <w:t xml:space="preserve"> </w:t>
            </w:r>
            <w:r>
              <w:rPr>
                <w:spacing w:val="-6"/>
                <w:sz w:val="15"/>
              </w:rPr>
              <w:t>Help</w:t>
            </w:r>
            <w:r>
              <w:rPr>
                <w:spacing w:val="-5"/>
                <w:sz w:val="15"/>
              </w:rPr>
              <w:t xml:space="preserve"> </w:t>
            </w:r>
            <w:r>
              <w:rPr>
                <w:spacing w:val="-6"/>
                <w:sz w:val="15"/>
              </w:rPr>
              <w:t>desk</w:t>
            </w:r>
            <w:r>
              <w:rPr>
                <w:spacing w:val="-5"/>
                <w:sz w:val="15"/>
              </w:rPr>
              <w:t xml:space="preserve"> </w:t>
            </w:r>
            <w:r>
              <w:rPr>
                <w:spacing w:val="-6"/>
                <w:sz w:val="15"/>
              </w:rPr>
              <w:t>initial</w:t>
            </w:r>
          </w:p>
        </w:tc>
        <w:tc>
          <w:tcPr>
            <w:tcW w:w="833" w:type="dxa"/>
          </w:tcPr>
          <w:p w14:paraId="54BC3692" w14:textId="77777777" w:rsidR="00AC6F3C" w:rsidRDefault="00570E88">
            <w:pPr>
              <w:pStyle w:val="TableParagraph"/>
              <w:spacing w:before="48" w:line="159" w:lineRule="exact"/>
              <w:ind w:left="79"/>
              <w:rPr>
                <w:b/>
                <w:sz w:val="15"/>
              </w:rPr>
            </w:pPr>
            <w:r>
              <w:rPr>
                <w:b/>
                <w:spacing w:val="-2"/>
                <w:sz w:val="15"/>
              </w:rPr>
              <w:t>Green</w:t>
            </w:r>
          </w:p>
        </w:tc>
        <w:tc>
          <w:tcPr>
            <w:tcW w:w="4576" w:type="dxa"/>
            <w:gridSpan w:val="3"/>
          </w:tcPr>
          <w:p w14:paraId="538673C7" w14:textId="77777777" w:rsidR="00AC6F3C" w:rsidRDefault="00570E88">
            <w:pPr>
              <w:pStyle w:val="TableParagraph"/>
              <w:tabs>
                <w:tab w:val="left" w:pos="1173"/>
              </w:tabs>
              <w:spacing w:before="48" w:line="159" w:lineRule="exact"/>
              <w:ind w:left="209"/>
              <w:rPr>
                <w:sz w:val="15"/>
              </w:rPr>
            </w:pPr>
            <w:r>
              <w:rPr>
                <w:b/>
                <w:spacing w:val="-2"/>
                <w:sz w:val="15"/>
              </w:rPr>
              <w:t>Achieved</w:t>
            </w:r>
            <w:r>
              <w:rPr>
                <w:b/>
                <w:sz w:val="15"/>
              </w:rPr>
              <w:tab/>
            </w:r>
            <w:r>
              <w:rPr>
                <w:spacing w:val="-4"/>
                <w:sz w:val="15"/>
              </w:rPr>
              <w:t>20.1.1</w:t>
            </w:r>
            <w:r>
              <w:rPr>
                <w:spacing w:val="3"/>
                <w:sz w:val="15"/>
              </w:rPr>
              <w:t xml:space="preserve"> </w:t>
            </w:r>
            <w:r>
              <w:rPr>
                <w:spacing w:val="-4"/>
                <w:sz w:val="15"/>
              </w:rPr>
              <w:t>Achieved</w:t>
            </w:r>
            <w:r>
              <w:rPr>
                <w:spacing w:val="-6"/>
                <w:sz w:val="15"/>
              </w:rPr>
              <w:t xml:space="preserve"> </w:t>
            </w:r>
            <w:r>
              <w:rPr>
                <w:spacing w:val="-4"/>
                <w:sz w:val="15"/>
              </w:rPr>
              <w:t>–</w:t>
            </w:r>
            <w:r>
              <w:rPr>
                <w:spacing w:val="-7"/>
                <w:sz w:val="15"/>
              </w:rPr>
              <w:t xml:space="preserve"> </w:t>
            </w:r>
            <w:r>
              <w:rPr>
                <w:spacing w:val="-4"/>
                <w:sz w:val="15"/>
              </w:rPr>
              <w:t>help</w:t>
            </w:r>
            <w:r>
              <w:rPr>
                <w:spacing w:val="-6"/>
                <w:sz w:val="15"/>
              </w:rPr>
              <w:t xml:space="preserve"> </w:t>
            </w:r>
            <w:r>
              <w:rPr>
                <w:spacing w:val="-4"/>
                <w:sz w:val="15"/>
              </w:rPr>
              <w:t>desk</w:t>
            </w:r>
            <w:r>
              <w:rPr>
                <w:spacing w:val="-7"/>
                <w:sz w:val="15"/>
              </w:rPr>
              <w:t xml:space="preserve"> </w:t>
            </w:r>
            <w:r>
              <w:rPr>
                <w:spacing w:val="-4"/>
                <w:sz w:val="15"/>
              </w:rPr>
              <w:t>response</w:t>
            </w:r>
            <w:r>
              <w:rPr>
                <w:spacing w:val="-6"/>
                <w:sz w:val="15"/>
              </w:rPr>
              <w:t xml:space="preserve"> </w:t>
            </w:r>
            <w:r>
              <w:rPr>
                <w:spacing w:val="-4"/>
                <w:sz w:val="15"/>
              </w:rPr>
              <w:t>time</w:t>
            </w:r>
            <w:r>
              <w:rPr>
                <w:spacing w:val="-6"/>
                <w:sz w:val="15"/>
              </w:rPr>
              <w:t xml:space="preserve"> </w:t>
            </w:r>
            <w:r>
              <w:rPr>
                <w:spacing w:val="-4"/>
                <w:sz w:val="15"/>
              </w:rPr>
              <w:t>is</w:t>
            </w:r>
            <w:r>
              <w:rPr>
                <w:spacing w:val="-7"/>
                <w:sz w:val="15"/>
              </w:rPr>
              <w:t xml:space="preserve"> </w:t>
            </w:r>
            <w:r>
              <w:rPr>
                <w:spacing w:val="-4"/>
                <w:sz w:val="15"/>
              </w:rPr>
              <w:t>within</w:t>
            </w:r>
          </w:p>
        </w:tc>
      </w:tr>
      <w:tr w:rsidR="00AC6F3C" w14:paraId="3620CAA1" w14:textId="77777777">
        <w:trPr>
          <w:trHeight w:val="173"/>
        </w:trPr>
        <w:tc>
          <w:tcPr>
            <w:tcW w:w="856" w:type="dxa"/>
          </w:tcPr>
          <w:p w14:paraId="76FE6993" w14:textId="77777777" w:rsidR="00AC6F3C" w:rsidRDefault="00AC6F3C">
            <w:pPr>
              <w:pStyle w:val="TableParagraph"/>
              <w:rPr>
                <w:rFonts w:ascii="Times New Roman"/>
                <w:sz w:val="10"/>
              </w:rPr>
            </w:pPr>
          </w:p>
        </w:tc>
        <w:tc>
          <w:tcPr>
            <w:tcW w:w="378" w:type="dxa"/>
          </w:tcPr>
          <w:p w14:paraId="19253539" w14:textId="77777777" w:rsidR="00AC6F3C" w:rsidRDefault="00AC6F3C">
            <w:pPr>
              <w:pStyle w:val="TableParagraph"/>
              <w:rPr>
                <w:rFonts w:ascii="Times New Roman"/>
                <w:sz w:val="10"/>
              </w:rPr>
            </w:pPr>
          </w:p>
        </w:tc>
        <w:tc>
          <w:tcPr>
            <w:tcW w:w="1862" w:type="dxa"/>
          </w:tcPr>
          <w:p w14:paraId="43779942" w14:textId="77777777" w:rsidR="00AC6F3C" w:rsidRDefault="00570E88">
            <w:pPr>
              <w:pStyle w:val="TableParagraph"/>
              <w:spacing w:before="1" w:line="152" w:lineRule="exact"/>
              <w:ind w:left="42"/>
              <w:rPr>
                <w:sz w:val="15"/>
              </w:rPr>
            </w:pPr>
            <w:r>
              <w:rPr>
                <w:spacing w:val="-4"/>
                <w:sz w:val="15"/>
              </w:rPr>
              <w:t>and</w:t>
            </w:r>
            <w:r>
              <w:rPr>
                <w:spacing w:val="-3"/>
                <w:sz w:val="15"/>
              </w:rPr>
              <w:t xml:space="preserve"> </w:t>
            </w:r>
            <w:r>
              <w:rPr>
                <w:spacing w:val="-4"/>
                <w:sz w:val="15"/>
              </w:rPr>
              <w:t>efficient</w:t>
            </w:r>
            <w:r>
              <w:rPr>
                <w:spacing w:val="-3"/>
                <w:sz w:val="15"/>
              </w:rPr>
              <w:t xml:space="preserve"> </w:t>
            </w:r>
            <w:r>
              <w:rPr>
                <w:spacing w:val="-4"/>
                <w:sz w:val="15"/>
              </w:rPr>
              <w:t>IT</w:t>
            </w:r>
            <w:r>
              <w:rPr>
                <w:spacing w:val="-2"/>
                <w:sz w:val="15"/>
              </w:rPr>
              <w:t xml:space="preserve"> </w:t>
            </w:r>
            <w:r>
              <w:rPr>
                <w:spacing w:val="-4"/>
                <w:sz w:val="15"/>
              </w:rPr>
              <w:t>environment</w:t>
            </w:r>
          </w:p>
        </w:tc>
        <w:tc>
          <w:tcPr>
            <w:tcW w:w="2824" w:type="dxa"/>
          </w:tcPr>
          <w:p w14:paraId="5E3F52BD" w14:textId="77777777" w:rsidR="00AC6F3C" w:rsidRDefault="00570E88">
            <w:pPr>
              <w:pStyle w:val="TableParagraph"/>
              <w:spacing w:before="1" w:line="152" w:lineRule="exact"/>
              <w:ind w:left="504"/>
              <w:rPr>
                <w:sz w:val="15"/>
              </w:rPr>
            </w:pPr>
            <w:r>
              <w:rPr>
                <w:spacing w:val="-4"/>
                <w:sz w:val="15"/>
              </w:rPr>
              <w:t>efficient</w:t>
            </w:r>
            <w:r>
              <w:rPr>
                <w:spacing w:val="-2"/>
                <w:sz w:val="15"/>
              </w:rPr>
              <w:t xml:space="preserve"> </w:t>
            </w:r>
            <w:r>
              <w:rPr>
                <w:spacing w:val="-4"/>
                <w:sz w:val="15"/>
              </w:rPr>
              <w:t>IT</w:t>
            </w:r>
            <w:r>
              <w:rPr>
                <w:spacing w:val="-1"/>
                <w:sz w:val="15"/>
              </w:rPr>
              <w:t xml:space="preserve"> </w:t>
            </w:r>
            <w:r>
              <w:rPr>
                <w:spacing w:val="-4"/>
                <w:sz w:val="15"/>
              </w:rPr>
              <w:t>environment</w:t>
            </w:r>
          </w:p>
        </w:tc>
        <w:tc>
          <w:tcPr>
            <w:tcW w:w="797" w:type="dxa"/>
          </w:tcPr>
          <w:p w14:paraId="3E560DBA" w14:textId="77777777" w:rsidR="00AC6F3C" w:rsidRDefault="00AC6F3C">
            <w:pPr>
              <w:pStyle w:val="TableParagraph"/>
              <w:rPr>
                <w:rFonts w:ascii="Times New Roman"/>
                <w:sz w:val="10"/>
              </w:rPr>
            </w:pPr>
          </w:p>
        </w:tc>
        <w:tc>
          <w:tcPr>
            <w:tcW w:w="822" w:type="dxa"/>
          </w:tcPr>
          <w:p w14:paraId="06597616" w14:textId="77777777" w:rsidR="00AC6F3C" w:rsidRDefault="00AC6F3C">
            <w:pPr>
              <w:pStyle w:val="TableParagraph"/>
              <w:rPr>
                <w:rFonts w:ascii="Times New Roman"/>
                <w:sz w:val="10"/>
              </w:rPr>
            </w:pPr>
          </w:p>
        </w:tc>
        <w:tc>
          <w:tcPr>
            <w:tcW w:w="1217" w:type="dxa"/>
          </w:tcPr>
          <w:p w14:paraId="3113D17B" w14:textId="77777777" w:rsidR="00AC6F3C" w:rsidRDefault="00570E88">
            <w:pPr>
              <w:pStyle w:val="TableParagraph"/>
              <w:spacing w:before="1" w:line="152" w:lineRule="exact"/>
              <w:ind w:left="115"/>
              <w:rPr>
                <w:sz w:val="15"/>
              </w:rPr>
            </w:pPr>
            <w:r>
              <w:rPr>
                <w:spacing w:val="-2"/>
                <w:sz w:val="15"/>
              </w:rPr>
              <w:t>Management</w:t>
            </w:r>
          </w:p>
        </w:tc>
        <w:tc>
          <w:tcPr>
            <w:tcW w:w="1838" w:type="dxa"/>
          </w:tcPr>
          <w:p w14:paraId="60582AF5" w14:textId="77777777" w:rsidR="00AC6F3C" w:rsidRDefault="00570E88">
            <w:pPr>
              <w:pStyle w:val="TableParagraph"/>
              <w:spacing w:before="1" w:line="152" w:lineRule="exact"/>
              <w:ind w:left="542"/>
              <w:rPr>
                <w:sz w:val="15"/>
              </w:rPr>
            </w:pPr>
            <w:r>
              <w:rPr>
                <w:spacing w:val="-4"/>
                <w:sz w:val="15"/>
              </w:rPr>
              <w:t>response</w:t>
            </w:r>
            <w:r>
              <w:rPr>
                <w:spacing w:val="-3"/>
                <w:sz w:val="15"/>
              </w:rPr>
              <w:t xml:space="preserve"> </w:t>
            </w:r>
            <w:r>
              <w:rPr>
                <w:spacing w:val="-4"/>
                <w:sz w:val="15"/>
              </w:rPr>
              <w:t>time</w:t>
            </w:r>
            <w:r>
              <w:rPr>
                <w:spacing w:val="-3"/>
                <w:sz w:val="15"/>
              </w:rPr>
              <w:t xml:space="preserve"> </w:t>
            </w:r>
            <w:r>
              <w:rPr>
                <w:spacing w:val="-5"/>
                <w:sz w:val="15"/>
              </w:rPr>
              <w:t>is</w:t>
            </w:r>
          </w:p>
        </w:tc>
        <w:tc>
          <w:tcPr>
            <w:tcW w:w="833" w:type="dxa"/>
          </w:tcPr>
          <w:p w14:paraId="3174D996" w14:textId="77777777" w:rsidR="00AC6F3C" w:rsidRDefault="00AC6F3C">
            <w:pPr>
              <w:pStyle w:val="TableParagraph"/>
              <w:rPr>
                <w:rFonts w:ascii="Times New Roman"/>
                <w:sz w:val="10"/>
              </w:rPr>
            </w:pPr>
          </w:p>
        </w:tc>
        <w:tc>
          <w:tcPr>
            <w:tcW w:w="4576" w:type="dxa"/>
            <w:gridSpan w:val="3"/>
          </w:tcPr>
          <w:p w14:paraId="6ACC2E80" w14:textId="77777777" w:rsidR="00AC6F3C" w:rsidRDefault="00570E88">
            <w:pPr>
              <w:pStyle w:val="TableParagraph"/>
              <w:spacing w:before="1" w:line="153" w:lineRule="exact"/>
              <w:ind w:left="1578" w:right="2400"/>
              <w:jc w:val="center"/>
              <w:rPr>
                <w:sz w:val="15"/>
              </w:rPr>
            </w:pPr>
            <w:r>
              <w:rPr>
                <w:spacing w:val="-6"/>
                <w:sz w:val="15"/>
              </w:rPr>
              <w:t>24</w:t>
            </w:r>
            <w:r>
              <w:rPr>
                <w:spacing w:val="-4"/>
                <w:sz w:val="15"/>
              </w:rPr>
              <w:t xml:space="preserve"> </w:t>
            </w:r>
            <w:r>
              <w:rPr>
                <w:spacing w:val="-2"/>
                <w:sz w:val="15"/>
              </w:rPr>
              <w:t>hours</w:t>
            </w:r>
          </w:p>
        </w:tc>
      </w:tr>
      <w:tr w:rsidR="00AC6F3C" w14:paraId="5D17F01F" w14:textId="77777777">
        <w:trPr>
          <w:trHeight w:val="222"/>
        </w:trPr>
        <w:tc>
          <w:tcPr>
            <w:tcW w:w="16003" w:type="dxa"/>
            <w:gridSpan w:val="12"/>
          </w:tcPr>
          <w:p w14:paraId="230A4C25" w14:textId="77777777" w:rsidR="00AC6F3C" w:rsidRDefault="00570E88">
            <w:pPr>
              <w:pStyle w:val="TableParagraph"/>
              <w:tabs>
                <w:tab w:val="left" w:pos="9298"/>
                <w:tab w:val="left" w:pos="12600"/>
              </w:tabs>
              <w:spacing w:before="10" w:line="192" w:lineRule="exact"/>
              <w:ind w:left="6080"/>
              <w:rPr>
                <w:sz w:val="15"/>
              </w:rPr>
            </w:pPr>
            <w:r>
              <w:rPr>
                <w:b/>
                <w:spacing w:val="-4"/>
                <w:position w:val="4"/>
                <w:sz w:val="15"/>
              </w:rPr>
              <w:t>KPI5</w:t>
            </w:r>
            <w:r>
              <w:rPr>
                <w:b/>
                <w:position w:val="4"/>
                <w:sz w:val="15"/>
              </w:rPr>
              <w:tab/>
            </w:r>
            <w:r>
              <w:rPr>
                <w:spacing w:val="-4"/>
                <w:position w:val="4"/>
                <w:sz w:val="15"/>
              </w:rPr>
              <w:t>within</w:t>
            </w:r>
            <w:r>
              <w:rPr>
                <w:spacing w:val="-3"/>
                <w:position w:val="4"/>
                <w:sz w:val="15"/>
              </w:rPr>
              <w:t xml:space="preserve"> </w:t>
            </w:r>
            <w:r>
              <w:rPr>
                <w:spacing w:val="-4"/>
                <w:position w:val="4"/>
                <w:sz w:val="15"/>
              </w:rPr>
              <w:t>24</w:t>
            </w:r>
            <w:r>
              <w:rPr>
                <w:spacing w:val="-3"/>
                <w:position w:val="4"/>
                <w:sz w:val="15"/>
              </w:rPr>
              <w:t xml:space="preserve"> </w:t>
            </w:r>
            <w:r>
              <w:rPr>
                <w:spacing w:val="-4"/>
                <w:position w:val="4"/>
                <w:sz w:val="15"/>
              </w:rPr>
              <w:t>hours</w:t>
            </w:r>
            <w:r>
              <w:rPr>
                <w:position w:val="4"/>
                <w:sz w:val="15"/>
              </w:rPr>
              <w:tab/>
            </w:r>
            <w:r>
              <w:rPr>
                <w:spacing w:val="-4"/>
                <w:sz w:val="15"/>
              </w:rPr>
              <w:t>20.1.2</w:t>
            </w:r>
            <w:r>
              <w:rPr>
                <w:sz w:val="15"/>
              </w:rPr>
              <w:t xml:space="preserve"> </w:t>
            </w:r>
            <w:r>
              <w:rPr>
                <w:spacing w:val="-4"/>
                <w:sz w:val="15"/>
              </w:rPr>
              <w:t>Achieved</w:t>
            </w:r>
            <w:r>
              <w:rPr>
                <w:spacing w:val="-6"/>
                <w:sz w:val="15"/>
              </w:rPr>
              <w:t xml:space="preserve"> </w:t>
            </w:r>
            <w:r>
              <w:rPr>
                <w:spacing w:val="-4"/>
                <w:sz w:val="15"/>
              </w:rPr>
              <w:t>–</w:t>
            </w:r>
            <w:r>
              <w:rPr>
                <w:spacing w:val="-6"/>
                <w:sz w:val="15"/>
              </w:rPr>
              <w:t xml:space="preserve"> </w:t>
            </w:r>
            <w:r>
              <w:rPr>
                <w:spacing w:val="-4"/>
                <w:sz w:val="15"/>
              </w:rPr>
              <w:t>the</w:t>
            </w:r>
            <w:r>
              <w:rPr>
                <w:spacing w:val="-6"/>
                <w:sz w:val="15"/>
              </w:rPr>
              <w:t xml:space="preserve"> </w:t>
            </w:r>
            <w:r>
              <w:rPr>
                <w:spacing w:val="-4"/>
                <w:sz w:val="15"/>
              </w:rPr>
              <w:t>average</w:t>
            </w:r>
            <w:r>
              <w:rPr>
                <w:spacing w:val="-6"/>
                <w:sz w:val="15"/>
              </w:rPr>
              <w:t xml:space="preserve"> </w:t>
            </w:r>
            <w:r>
              <w:rPr>
                <w:spacing w:val="-4"/>
                <w:sz w:val="15"/>
              </w:rPr>
              <w:t>resolution</w:t>
            </w:r>
            <w:r>
              <w:rPr>
                <w:spacing w:val="-6"/>
                <w:sz w:val="15"/>
              </w:rPr>
              <w:t xml:space="preserve"> </w:t>
            </w:r>
            <w:r>
              <w:rPr>
                <w:spacing w:val="-4"/>
                <w:sz w:val="15"/>
              </w:rPr>
              <w:t>of</w:t>
            </w:r>
            <w:r>
              <w:rPr>
                <w:spacing w:val="-6"/>
                <w:sz w:val="15"/>
              </w:rPr>
              <w:t xml:space="preserve"> </w:t>
            </w:r>
            <w:r>
              <w:rPr>
                <w:spacing w:val="-4"/>
                <w:sz w:val="15"/>
              </w:rPr>
              <w:t>tickets</w:t>
            </w:r>
          </w:p>
        </w:tc>
      </w:tr>
    </w:tbl>
    <w:p w14:paraId="7A63B671" w14:textId="77777777" w:rsidR="00AC6F3C" w:rsidRDefault="00AC6F3C">
      <w:pPr>
        <w:spacing w:line="192" w:lineRule="exact"/>
        <w:rPr>
          <w:sz w:val="15"/>
        </w:rPr>
        <w:sectPr w:rsidR="00AC6F3C">
          <w:headerReference w:type="default" r:id="rId37"/>
          <w:footerReference w:type="default" r:id="rId38"/>
          <w:pgSz w:w="16840" w:h="11910" w:orient="landscape"/>
          <w:pgMar w:top="620" w:right="320" w:bottom="520" w:left="300" w:header="0" w:footer="336" w:gutter="0"/>
          <w:cols w:space="720"/>
        </w:sectPr>
      </w:pPr>
    </w:p>
    <w:p w14:paraId="5E5AFD71" w14:textId="77777777" w:rsidR="00AC6F3C" w:rsidRDefault="00AC6F3C">
      <w:pPr>
        <w:pStyle w:val="BodyText"/>
        <w:spacing w:before="5"/>
        <w:rPr>
          <w:sz w:val="13"/>
        </w:rPr>
      </w:pPr>
    </w:p>
    <w:p w14:paraId="63B9C392" w14:textId="77777777" w:rsidR="00AC6F3C" w:rsidRDefault="00570E88">
      <w:pPr>
        <w:spacing w:before="1"/>
        <w:jc w:val="right"/>
        <w:rPr>
          <w:b/>
          <w:sz w:val="15"/>
        </w:rPr>
      </w:pPr>
      <w:r>
        <w:rPr>
          <w:b/>
          <w:spacing w:val="-4"/>
          <w:sz w:val="15"/>
        </w:rPr>
        <w:t>KPI6</w:t>
      </w:r>
    </w:p>
    <w:p w14:paraId="6890AAFA" w14:textId="77777777" w:rsidR="00AC6F3C" w:rsidRDefault="00570E88">
      <w:pPr>
        <w:pStyle w:val="ListParagraph"/>
        <w:numPr>
          <w:ilvl w:val="2"/>
          <w:numId w:val="62"/>
        </w:numPr>
        <w:tabs>
          <w:tab w:val="left" w:pos="2855"/>
          <w:tab w:val="left" w:pos="2860"/>
        </w:tabs>
        <w:spacing w:before="17" w:line="249" w:lineRule="auto"/>
        <w:jc w:val="both"/>
        <w:rPr>
          <w:sz w:val="15"/>
        </w:rPr>
      </w:pPr>
      <w:r>
        <w:br w:type="column"/>
      </w:r>
      <w:proofErr w:type="gramStart"/>
      <w:r>
        <w:rPr>
          <w:spacing w:val="-4"/>
          <w:sz w:val="15"/>
        </w:rPr>
        <w:t>50%</w:t>
      </w:r>
      <w:proofErr w:type="gramEnd"/>
      <w:r>
        <w:rPr>
          <w:spacing w:val="-7"/>
          <w:sz w:val="15"/>
        </w:rPr>
        <w:t xml:space="preserve"> </w:t>
      </w:r>
      <w:r>
        <w:rPr>
          <w:spacing w:val="-4"/>
          <w:sz w:val="15"/>
        </w:rPr>
        <w:t>resolution</w:t>
      </w:r>
      <w:r>
        <w:rPr>
          <w:spacing w:val="-6"/>
          <w:sz w:val="15"/>
        </w:rPr>
        <w:t xml:space="preserve"> </w:t>
      </w:r>
      <w:r>
        <w:rPr>
          <w:spacing w:val="-4"/>
          <w:sz w:val="15"/>
        </w:rPr>
        <w:t>of</w:t>
      </w:r>
      <w:r>
        <w:rPr>
          <w:sz w:val="15"/>
        </w:rPr>
        <w:t xml:space="preserve"> </w:t>
      </w:r>
      <w:r>
        <w:rPr>
          <w:spacing w:val="-2"/>
          <w:sz w:val="15"/>
        </w:rPr>
        <w:t>tickets</w:t>
      </w:r>
      <w:r>
        <w:rPr>
          <w:spacing w:val="-9"/>
          <w:sz w:val="15"/>
        </w:rPr>
        <w:t xml:space="preserve"> </w:t>
      </w:r>
      <w:r>
        <w:rPr>
          <w:spacing w:val="-2"/>
          <w:sz w:val="15"/>
        </w:rPr>
        <w:t>within</w:t>
      </w:r>
      <w:r>
        <w:rPr>
          <w:spacing w:val="-8"/>
          <w:sz w:val="15"/>
        </w:rPr>
        <w:t xml:space="preserve"> </w:t>
      </w:r>
      <w:r>
        <w:rPr>
          <w:spacing w:val="-2"/>
          <w:sz w:val="15"/>
        </w:rPr>
        <w:t>one</w:t>
      </w:r>
      <w:r>
        <w:rPr>
          <w:sz w:val="15"/>
        </w:rPr>
        <w:t xml:space="preserve"> </w:t>
      </w:r>
      <w:r>
        <w:rPr>
          <w:spacing w:val="-4"/>
          <w:sz w:val="15"/>
        </w:rPr>
        <w:t>week</w:t>
      </w:r>
    </w:p>
    <w:p w14:paraId="10FC2B17" w14:textId="77777777" w:rsidR="00AC6F3C" w:rsidRDefault="00570E88">
      <w:pPr>
        <w:pStyle w:val="ListParagraph"/>
        <w:numPr>
          <w:ilvl w:val="2"/>
          <w:numId w:val="62"/>
        </w:numPr>
        <w:tabs>
          <w:tab w:val="left" w:pos="2856"/>
        </w:tabs>
        <w:spacing w:before="45"/>
        <w:ind w:left="2856" w:hanging="421"/>
        <w:jc w:val="both"/>
        <w:rPr>
          <w:sz w:val="15"/>
        </w:rPr>
      </w:pPr>
      <w:r>
        <w:rPr>
          <w:spacing w:val="-4"/>
          <w:sz w:val="15"/>
        </w:rPr>
        <w:t>Switch</w:t>
      </w:r>
      <w:r>
        <w:rPr>
          <w:spacing w:val="-2"/>
          <w:sz w:val="15"/>
        </w:rPr>
        <w:t xml:space="preserve"> </w:t>
      </w:r>
      <w:proofErr w:type="gramStart"/>
      <w:r>
        <w:rPr>
          <w:spacing w:val="-4"/>
          <w:sz w:val="15"/>
        </w:rPr>
        <w:t>over</w:t>
      </w:r>
      <w:proofErr w:type="gramEnd"/>
    </w:p>
    <w:p w14:paraId="350DC4E8" w14:textId="77777777" w:rsidR="00AC6F3C" w:rsidRDefault="00570E88">
      <w:pPr>
        <w:spacing w:before="7"/>
        <w:ind w:left="2860"/>
        <w:rPr>
          <w:sz w:val="15"/>
        </w:rPr>
      </w:pPr>
      <w:r>
        <w:rPr>
          <w:spacing w:val="-4"/>
          <w:sz w:val="15"/>
        </w:rPr>
        <w:t xml:space="preserve">of data </w:t>
      </w:r>
      <w:proofErr w:type="spellStart"/>
      <w:r>
        <w:rPr>
          <w:spacing w:val="-4"/>
          <w:sz w:val="15"/>
        </w:rPr>
        <w:t>centre</w:t>
      </w:r>
      <w:proofErr w:type="spellEnd"/>
    </w:p>
    <w:p w14:paraId="6C47D0EB" w14:textId="77777777" w:rsidR="00AC6F3C" w:rsidRDefault="00570E88">
      <w:pPr>
        <w:spacing w:before="8"/>
        <w:ind w:left="2860"/>
        <w:rPr>
          <w:sz w:val="15"/>
        </w:rPr>
      </w:pPr>
      <w:r>
        <w:rPr>
          <w:spacing w:val="-2"/>
          <w:sz w:val="15"/>
        </w:rPr>
        <w:t>configuration</w:t>
      </w:r>
    </w:p>
    <w:p w14:paraId="1A26C301" w14:textId="77777777" w:rsidR="00AC6F3C" w:rsidRDefault="00570E88">
      <w:pPr>
        <w:spacing w:before="17"/>
        <w:ind w:left="2584"/>
        <w:rPr>
          <w:sz w:val="15"/>
        </w:rPr>
      </w:pPr>
      <w:r>
        <w:br w:type="column"/>
      </w:r>
      <w:r>
        <w:rPr>
          <w:spacing w:val="-4"/>
          <w:sz w:val="15"/>
        </w:rPr>
        <w:t>takes</w:t>
      </w:r>
      <w:r>
        <w:rPr>
          <w:spacing w:val="-3"/>
          <w:sz w:val="15"/>
        </w:rPr>
        <w:t xml:space="preserve"> </w:t>
      </w:r>
      <w:r>
        <w:rPr>
          <w:spacing w:val="-4"/>
          <w:sz w:val="15"/>
        </w:rPr>
        <w:t>place</w:t>
      </w:r>
      <w:r>
        <w:rPr>
          <w:spacing w:val="-3"/>
          <w:sz w:val="15"/>
        </w:rPr>
        <w:t xml:space="preserve"> </w:t>
      </w:r>
      <w:r>
        <w:rPr>
          <w:spacing w:val="-4"/>
          <w:sz w:val="15"/>
        </w:rPr>
        <w:t>within</w:t>
      </w:r>
      <w:r>
        <w:rPr>
          <w:spacing w:val="-2"/>
          <w:sz w:val="15"/>
        </w:rPr>
        <w:t xml:space="preserve"> </w:t>
      </w:r>
      <w:r>
        <w:rPr>
          <w:spacing w:val="-4"/>
          <w:sz w:val="15"/>
        </w:rPr>
        <w:t>one</w:t>
      </w:r>
      <w:r>
        <w:rPr>
          <w:spacing w:val="-3"/>
          <w:sz w:val="15"/>
        </w:rPr>
        <w:t xml:space="preserve"> </w:t>
      </w:r>
      <w:r>
        <w:rPr>
          <w:spacing w:val="-4"/>
          <w:sz w:val="15"/>
        </w:rPr>
        <w:t>week.</w:t>
      </w:r>
    </w:p>
    <w:p w14:paraId="5C13CC1D" w14:textId="77777777" w:rsidR="00AC6F3C" w:rsidRDefault="00570E88">
      <w:pPr>
        <w:spacing w:before="50" w:line="249" w:lineRule="auto"/>
        <w:ind w:left="2584" w:hanging="426"/>
        <w:rPr>
          <w:sz w:val="15"/>
        </w:rPr>
      </w:pPr>
      <w:r>
        <w:rPr>
          <w:noProof/>
        </w:rPr>
        <mc:AlternateContent>
          <mc:Choice Requires="wpg">
            <w:drawing>
              <wp:anchor distT="0" distB="0" distL="0" distR="0" simplePos="0" relativeHeight="15749632" behindDoc="0" locked="0" layoutInCell="1" allowOverlap="1" wp14:anchorId="62A77D43" wp14:editId="4E7D672E">
                <wp:simplePos x="0" y="0"/>
                <wp:positionH relativeFrom="page">
                  <wp:posOffset>269999</wp:posOffset>
                </wp:positionH>
                <wp:positionV relativeFrom="paragraph">
                  <wp:posOffset>630917</wp:posOffset>
                </wp:positionV>
                <wp:extent cx="10152380" cy="317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82" name="Graphic 182"/>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83" name="Graphic 183"/>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84" name="Graphic 184"/>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85" name="Graphic 185"/>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86" name="Graphic 186"/>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187" name="Graphic 187"/>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188" name="Graphic 188"/>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189" name="Graphic 189"/>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90" name="Graphic 190"/>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191" name="Graphic 191"/>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5AFF80" id="Group 181" o:spid="_x0000_s1026" style="position:absolute;margin-left:21.25pt;margin-top:49.7pt;width:799.4pt;height:.25pt;z-index:15749632;mso-wrap-distance-left:0;mso-wrap-distance-right:0;mso-position-horizontal-relative:pag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">
                <v:shape id="Graphic 182"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" path="m,l575995,e" filled="f" strokeweight=".25pt">
                  <v:path arrowok="t"/>
                </v:shape>
                <v:shape id="Graphic 183"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" path="m,l1386001,e" filled="f" strokeweight=".25pt">
                  <v:path arrowok="t"/>
                </v:shape>
                <v:shape id="Graphic 184"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" path="m,l1845005,e" filled="f" strokeweight=".25pt">
                  <v:path arrowok="t"/>
                </v:shape>
                <v:shape id="Graphic 185"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" path="m,l449999,e" filled="f" strokeweight=".25pt">
                  <v:path arrowok="t"/>
                </v:shape>
                <v:shape id="Graphic 186"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" path="m,l548995,e" filled="f" strokeweight=".25pt">
                  <v:path arrowok="t"/>
                </v:shape>
                <v:shape id="Graphic 187"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" path="m,l774001,e" filled="f" strokeweight=".25pt">
                  <v:path arrowok="t"/>
                </v:shape>
                <v:shape id="Graphic 188"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" path="m,l1143000,e" filled="f" strokeweight=".25pt">
                  <v:path arrowok="t"/>
                </v:shape>
                <v:shape id="Graphic 189"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" path="m,l612000,e" filled="f" strokeweight=".25pt">
                  <v:path arrowok="t"/>
                </v:shape>
                <v:shape id="Graphic 190"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" path="m,l612000,e" filled="f" strokeweight=".25pt">
                  <v:path arrowok="t"/>
                </v:shape>
                <v:shape id="Graphic 191"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" path="m,l2204999,e" filled="f" strokeweight=".25pt">
                  <v:path arrowok="t"/>
                </v:shape>
                <w10:wrap anchorx="page"/>
              </v:group>
            </w:pict>
          </mc:Fallback>
        </mc:AlternateContent>
      </w:r>
      <w:r>
        <w:rPr>
          <w:spacing w:val="-4"/>
          <w:sz w:val="15"/>
        </w:rPr>
        <w:t>20.1.3</w:t>
      </w:r>
      <w:r>
        <w:rPr>
          <w:spacing w:val="-7"/>
          <w:sz w:val="15"/>
        </w:rPr>
        <w:t xml:space="preserve"> </w:t>
      </w:r>
      <w:r>
        <w:rPr>
          <w:spacing w:val="-4"/>
          <w:sz w:val="15"/>
        </w:rPr>
        <w:t>Achieved</w:t>
      </w:r>
      <w:r>
        <w:rPr>
          <w:spacing w:val="-6"/>
          <w:sz w:val="15"/>
        </w:rPr>
        <w:t xml:space="preserve"> </w:t>
      </w:r>
      <w:r>
        <w:rPr>
          <w:spacing w:val="-4"/>
          <w:sz w:val="15"/>
        </w:rPr>
        <w:t>–</w:t>
      </w:r>
      <w:r>
        <w:rPr>
          <w:spacing w:val="-7"/>
          <w:sz w:val="15"/>
        </w:rPr>
        <w:t xml:space="preserve"> </w:t>
      </w:r>
      <w:r>
        <w:rPr>
          <w:spacing w:val="-4"/>
          <w:sz w:val="15"/>
        </w:rPr>
        <w:t>switch</w:t>
      </w:r>
      <w:r>
        <w:rPr>
          <w:spacing w:val="-6"/>
          <w:sz w:val="15"/>
        </w:rPr>
        <w:t xml:space="preserve"> </w:t>
      </w:r>
      <w:r>
        <w:rPr>
          <w:spacing w:val="-4"/>
          <w:sz w:val="15"/>
        </w:rPr>
        <w:t>over</w:t>
      </w:r>
      <w:r>
        <w:rPr>
          <w:spacing w:val="-7"/>
          <w:sz w:val="15"/>
        </w:rPr>
        <w:t xml:space="preserve"> </w:t>
      </w:r>
      <w:r>
        <w:rPr>
          <w:spacing w:val="-4"/>
          <w:sz w:val="15"/>
        </w:rPr>
        <w:t>of</w:t>
      </w:r>
      <w:r>
        <w:rPr>
          <w:spacing w:val="-6"/>
          <w:sz w:val="15"/>
        </w:rPr>
        <w:t xml:space="preserve"> </w:t>
      </w:r>
      <w:r>
        <w:rPr>
          <w:spacing w:val="-4"/>
          <w:sz w:val="15"/>
        </w:rPr>
        <w:t>data</w:t>
      </w:r>
      <w:r>
        <w:rPr>
          <w:spacing w:val="-6"/>
          <w:sz w:val="15"/>
        </w:rPr>
        <w:t xml:space="preserve"> </w:t>
      </w:r>
      <w:proofErr w:type="spellStart"/>
      <w:r>
        <w:rPr>
          <w:spacing w:val="-4"/>
          <w:sz w:val="15"/>
        </w:rPr>
        <w:t>centre</w:t>
      </w:r>
      <w:proofErr w:type="spellEnd"/>
      <w:r>
        <w:rPr>
          <w:sz w:val="15"/>
        </w:rPr>
        <w:t xml:space="preserve"> configuration</w:t>
      </w:r>
      <w:r>
        <w:rPr>
          <w:spacing w:val="-9"/>
          <w:sz w:val="15"/>
        </w:rPr>
        <w:t xml:space="preserve"> </w:t>
      </w:r>
      <w:proofErr w:type="gramStart"/>
      <w:r>
        <w:rPr>
          <w:sz w:val="15"/>
        </w:rPr>
        <w:t>completed</w:t>
      </w:r>
      <w:proofErr w:type="gramEnd"/>
    </w:p>
    <w:p w14:paraId="7E8A4AB3" w14:textId="77777777" w:rsidR="00AC6F3C" w:rsidRDefault="00AC6F3C">
      <w:pPr>
        <w:pStyle w:val="BodyText"/>
        <w:rPr>
          <w:sz w:val="16"/>
        </w:rPr>
      </w:pPr>
    </w:p>
    <w:p w14:paraId="1A60B0E3" w14:textId="77777777" w:rsidR="00AC6F3C" w:rsidRDefault="00AC6F3C">
      <w:pPr>
        <w:pStyle w:val="BodyText"/>
        <w:rPr>
          <w:sz w:val="16"/>
        </w:rPr>
      </w:pPr>
    </w:p>
    <w:p w14:paraId="0A6EB1AF" w14:textId="77777777" w:rsidR="00AC6F3C" w:rsidRDefault="00AC6F3C">
      <w:pPr>
        <w:pStyle w:val="BodyText"/>
        <w:rPr>
          <w:sz w:val="16"/>
        </w:rPr>
      </w:pPr>
    </w:p>
    <w:p w14:paraId="53A34969" w14:textId="77777777" w:rsidR="00AC6F3C" w:rsidRDefault="00AC6F3C">
      <w:pPr>
        <w:pStyle w:val="BodyText"/>
        <w:rPr>
          <w:sz w:val="16"/>
        </w:rPr>
      </w:pPr>
    </w:p>
    <w:p w14:paraId="3A441BE2" w14:textId="77777777" w:rsidR="00AC6F3C" w:rsidRDefault="00AC6F3C">
      <w:pPr>
        <w:pStyle w:val="BodyText"/>
        <w:rPr>
          <w:sz w:val="16"/>
        </w:rPr>
      </w:pPr>
    </w:p>
    <w:p w14:paraId="61EE85AA" w14:textId="77777777" w:rsidR="00AC6F3C" w:rsidRDefault="00AC6F3C">
      <w:pPr>
        <w:pStyle w:val="BodyText"/>
        <w:rPr>
          <w:sz w:val="16"/>
        </w:rPr>
      </w:pPr>
    </w:p>
    <w:p w14:paraId="168ABF6D" w14:textId="77777777" w:rsidR="00AC6F3C" w:rsidRDefault="00AC6F3C">
      <w:pPr>
        <w:pStyle w:val="BodyText"/>
        <w:rPr>
          <w:sz w:val="16"/>
        </w:rPr>
      </w:pPr>
    </w:p>
    <w:p w14:paraId="63DE64F4" w14:textId="77777777" w:rsidR="00AC6F3C" w:rsidRDefault="00AC6F3C">
      <w:pPr>
        <w:pStyle w:val="BodyText"/>
        <w:rPr>
          <w:sz w:val="16"/>
        </w:rPr>
      </w:pPr>
    </w:p>
    <w:p w14:paraId="65D3D2DC" w14:textId="77777777" w:rsidR="00AC6F3C" w:rsidRDefault="00AC6F3C">
      <w:pPr>
        <w:pStyle w:val="BodyText"/>
        <w:spacing w:before="8"/>
      </w:pPr>
    </w:p>
    <w:p w14:paraId="0A4D232F" w14:textId="77777777" w:rsidR="00AC6F3C" w:rsidRDefault="00570E88">
      <w:pPr>
        <w:ind w:left="2986"/>
        <w:rPr>
          <w:sz w:val="13"/>
        </w:rPr>
      </w:pPr>
      <w:r>
        <w:rPr>
          <w:spacing w:val="-4"/>
          <w:position w:val="4"/>
          <w:sz w:val="7"/>
        </w:rPr>
        <w:t>#</w:t>
      </w:r>
      <w:r>
        <w:rPr>
          <w:spacing w:val="-4"/>
          <w:sz w:val="13"/>
        </w:rPr>
        <w:t>To</w:t>
      </w:r>
      <w:r>
        <w:rPr>
          <w:spacing w:val="-7"/>
          <w:sz w:val="13"/>
        </w:rPr>
        <w:t xml:space="preserve"> </w:t>
      </w:r>
      <w:r>
        <w:rPr>
          <w:spacing w:val="-4"/>
          <w:sz w:val="13"/>
        </w:rPr>
        <w:t>read</w:t>
      </w:r>
      <w:r>
        <w:rPr>
          <w:spacing w:val="-6"/>
          <w:sz w:val="13"/>
        </w:rPr>
        <w:t xml:space="preserve"> </w:t>
      </w:r>
      <w:r>
        <w:rPr>
          <w:spacing w:val="-4"/>
          <w:sz w:val="13"/>
        </w:rPr>
        <w:t>more</w:t>
      </w:r>
      <w:r>
        <w:rPr>
          <w:spacing w:val="-6"/>
          <w:sz w:val="13"/>
        </w:rPr>
        <w:t xml:space="preserve"> </w:t>
      </w:r>
      <w:r>
        <w:rPr>
          <w:spacing w:val="-4"/>
          <w:sz w:val="13"/>
        </w:rPr>
        <w:t>about</w:t>
      </w:r>
      <w:r>
        <w:rPr>
          <w:spacing w:val="-6"/>
          <w:sz w:val="13"/>
        </w:rPr>
        <w:t xml:space="preserve"> </w:t>
      </w:r>
      <w:r>
        <w:rPr>
          <w:spacing w:val="-4"/>
          <w:sz w:val="13"/>
        </w:rPr>
        <w:t>the</w:t>
      </w:r>
      <w:r>
        <w:rPr>
          <w:spacing w:val="-7"/>
          <w:sz w:val="13"/>
        </w:rPr>
        <w:t xml:space="preserve"> </w:t>
      </w:r>
      <w:r>
        <w:rPr>
          <w:spacing w:val="-4"/>
          <w:sz w:val="13"/>
        </w:rPr>
        <w:t>financials,</w:t>
      </w:r>
      <w:r>
        <w:rPr>
          <w:spacing w:val="-6"/>
          <w:sz w:val="13"/>
        </w:rPr>
        <w:t xml:space="preserve"> </w:t>
      </w:r>
      <w:r>
        <w:rPr>
          <w:spacing w:val="-4"/>
          <w:sz w:val="13"/>
        </w:rPr>
        <w:t>see</w:t>
      </w:r>
      <w:r>
        <w:rPr>
          <w:spacing w:val="-6"/>
          <w:sz w:val="13"/>
        </w:rPr>
        <w:t xml:space="preserve"> </w:t>
      </w:r>
      <w:r>
        <w:rPr>
          <w:spacing w:val="-4"/>
          <w:sz w:val="13"/>
        </w:rPr>
        <w:t>page</w:t>
      </w:r>
      <w:r>
        <w:rPr>
          <w:spacing w:val="-6"/>
          <w:sz w:val="13"/>
        </w:rPr>
        <w:t xml:space="preserve"> </w:t>
      </w:r>
      <w:r>
        <w:rPr>
          <w:spacing w:val="-5"/>
          <w:sz w:val="13"/>
        </w:rPr>
        <w:t>97</w:t>
      </w:r>
    </w:p>
    <w:p w14:paraId="4C4B6CB5" w14:textId="77777777" w:rsidR="00AC6F3C" w:rsidRDefault="00AC6F3C">
      <w:pPr>
        <w:rPr>
          <w:sz w:val="13"/>
        </w:rPr>
        <w:sectPr w:rsidR="00AC6F3C">
          <w:type w:val="continuous"/>
          <w:pgSz w:w="16840" w:h="11910" w:orient="landscape"/>
          <w:pgMar w:top="1920" w:right="320" w:bottom="280" w:left="300" w:header="0" w:footer="336" w:gutter="0"/>
          <w:cols w:num="3" w:space="720" w:equalWidth="0">
            <w:col w:w="6509" w:space="40"/>
            <w:col w:w="3964" w:space="39"/>
            <w:col w:w="5668"/>
          </w:cols>
        </w:sectPr>
      </w:pPr>
    </w:p>
    <w:p w14:paraId="04964329" w14:textId="77777777" w:rsidR="00AC6F3C" w:rsidRDefault="00AC6F3C">
      <w:pPr>
        <w:pStyle w:val="BodyText"/>
        <w:spacing w:before="5"/>
        <w:rPr>
          <w:sz w:val="2"/>
        </w:rPr>
      </w:pPr>
    </w:p>
    <w:tbl>
      <w:tblPr>
        <w:tblW w:w="0" w:type="auto"/>
        <w:tblInd w:w="132" w:type="dxa"/>
        <w:tblLayout w:type="fixed"/>
        <w:tblCellMar>
          <w:left w:w="0" w:type="dxa"/>
          <w:right w:w="0" w:type="dxa"/>
        </w:tblCellMar>
        <w:tblLook w:val="01E0" w:firstRow="1" w:lastRow="1" w:firstColumn="1" w:lastColumn="1" w:noHBand="0" w:noVBand="0"/>
      </w:tblPr>
      <w:tblGrid>
        <w:gridCol w:w="841"/>
        <w:gridCol w:w="1980"/>
        <w:gridCol w:w="3037"/>
        <w:gridCol w:w="843"/>
        <w:gridCol w:w="822"/>
        <w:gridCol w:w="1217"/>
        <w:gridCol w:w="1811"/>
        <w:gridCol w:w="859"/>
        <w:gridCol w:w="1039"/>
        <w:gridCol w:w="3534"/>
      </w:tblGrid>
      <w:tr w:rsidR="00AC6F3C" w14:paraId="2D97C015" w14:textId="77777777">
        <w:trPr>
          <w:trHeight w:val="429"/>
        </w:trPr>
        <w:tc>
          <w:tcPr>
            <w:tcW w:w="841" w:type="dxa"/>
            <w:tcBorders>
              <w:bottom w:val="single" w:sz="8" w:space="0" w:color="000000"/>
            </w:tcBorders>
          </w:tcPr>
          <w:p w14:paraId="139B227C" w14:textId="77777777" w:rsidR="00AC6F3C" w:rsidRDefault="00570E88">
            <w:pPr>
              <w:pStyle w:val="TableParagraph"/>
              <w:spacing w:line="259" w:lineRule="auto"/>
              <w:ind w:left="56"/>
              <w:rPr>
                <w:b/>
                <w:sz w:val="15"/>
              </w:rPr>
            </w:pPr>
            <w:r>
              <w:rPr>
                <w:b/>
                <w:spacing w:val="-2"/>
                <w:sz w:val="15"/>
              </w:rPr>
              <w:t>Strategic</w:t>
            </w:r>
            <w:r>
              <w:rPr>
                <w:b/>
                <w:sz w:val="15"/>
              </w:rPr>
              <w:t xml:space="preserve"> </w:t>
            </w:r>
            <w:r>
              <w:rPr>
                <w:b/>
                <w:spacing w:val="-4"/>
                <w:sz w:val="15"/>
              </w:rPr>
              <w:t>Objective</w:t>
            </w:r>
          </w:p>
        </w:tc>
        <w:tc>
          <w:tcPr>
            <w:tcW w:w="1980" w:type="dxa"/>
            <w:tcBorders>
              <w:bottom w:val="single" w:sz="8" w:space="0" w:color="000000"/>
            </w:tcBorders>
          </w:tcPr>
          <w:p w14:paraId="4186B76E" w14:textId="77777777" w:rsidR="00AC6F3C" w:rsidRDefault="00AC6F3C">
            <w:pPr>
              <w:pStyle w:val="TableParagraph"/>
              <w:spacing w:before="1"/>
              <w:rPr>
                <w:sz w:val="16"/>
              </w:rPr>
            </w:pPr>
          </w:p>
          <w:p w14:paraId="6837BC44" w14:textId="77777777" w:rsidR="00AC6F3C" w:rsidRDefault="00570E88">
            <w:pPr>
              <w:pStyle w:val="TableParagraph"/>
              <w:ind w:left="122"/>
              <w:rPr>
                <w:b/>
                <w:sz w:val="15"/>
              </w:rPr>
            </w:pPr>
            <w:r>
              <w:rPr>
                <w:b/>
                <w:spacing w:val="-2"/>
                <w:sz w:val="15"/>
              </w:rPr>
              <w:t>Initiative</w:t>
            </w:r>
          </w:p>
        </w:tc>
        <w:tc>
          <w:tcPr>
            <w:tcW w:w="3037" w:type="dxa"/>
            <w:tcBorders>
              <w:bottom w:val="single" w:sz="8" w:space="0" w:color="000000"/>
            </w:tcBorders>
          </w:tcPr>
          <w:p w14:paraId="3D3E7D95" w14:textId="77777777" w:rsidR="00AC6F3C" w:rsidRDefault="00AC6F3C">
            <w:pPr>
              <w:pStyle w:val="TableParagraph"/>
              <w:spacing w:before="1"/>
              <w:rPr>
                <w:sz w:val="16"/>
              </w:rPr>
            </w:pPr>
          </w:p>
          <w:p w14:paraId="216480CB" w14:textId="77777777" w:rsidR="00AC6F3C" w:rsidRDefault="00570E88">
            <w:pPr>
              <w:pStyle w:val="TableParagraph"/>
              <w:ind w:left="325"/>
              <w:rPr>
                <w:b/>
                <w:sz w:val="15"/>
              </w:rPr>
            </w:pPr>
            <w:r>
              <w:rPr>
                <w:b/>
                <w:spacing w:val="-5"/>
                <w:sz w:val="15"/>
              </w:rPr>
              <w:t xml:space="preserve">Key </w:t>
            </w:r>
            <w:r>
              <w:rPr>
                <w:b/>
                <w:spacing w:val="-2"/>
                <w:sz w:val="15"/>
              </w:rPr>
              <w:t>Action</w:t>
            </w:r>
          </w:p>
        </w:tc>
        <w:tc>
          <w:tcPr>
            <w:tcW w:w="843" w:type="dxa"/>
            <w:tcBorders>
              <w:bottom w:val="single" w:sz="8" w:space="0" w:color="000000"/>
            </w:tcBorders>
          </w:tcPr>
          <w:p w14:paraId="27ADA00C" w14:textId="77777777" w:rsidR="00AC6F3C" w:rsidRDefault="00570E88">
            <w:pPr>
              <w:pStyle w:val="TableParagraph"/>
              <w:spacing w:before="21" w:line="259" w:lineRule="auto"/>
              <w:ind w:left="193" w:right="48"/>
              <w:rPr>
                <w:b/>
                <w:sz w:val="14"/>
              </w:rPr>
            </w:pPr>
            <w:r>
              <w:rPr>
                <w:b/>
                <w:spacing w:val="-2"/>
                <w:sz w:val="14"/>
              </w:rPr>
              <w:t>Strategic</w:t>
            </w:r>
            <w:r>
              <w:rPr>
                <w:b/>
                <w:spacing w:val="40"/>
                <w:sz w:val="14"/>
              </w:rPr>
              <w:t xml:space="preserve"> </w:t>
            </w:r>
            <w:r>
              <w:rPr>
                <w:b/>
                <w:spacing w:val="-4"/>
                <w:sz w:val="14"/>
              </w:rPr>
              <w:t>KPI</w:t>
            </w:r>
          </w:p>
        </w:tc>
        <w:tc>
          <w:tcPr>
            <w:tcW w:w="822" w:type="dxa"/>
            <w:tcBorders>
              <w:bottom w:val="single" w:sz="8" w:space="0" w:color="000000"/>
            </w:tcBorders>
          </w:tcPr>
          <w:p w14:paraId="4AE1BDF5" w14:textId="77777777" w:rsidR="00AC6F3C" w:rsidRDefault="00AC6F3C">
            <w:pPr>
              <w:pStyle w:val="TableParagraph"/>
              <w:spacing w:before="1"/>
              <w:rPr>
                <w:sz w:val="16"/>
              </w:rPr>
            </w:pPr>
          </w:p>
          <w:p w14:paraId="5141326D" w14:textId="77777777" w:rsidR="00AC6F3C" w:rsidRDefault="00570E88">
            <w:pPr>
              <w:pStyle w:val="TableParagraph"/>
              <w:ind w:left="40" w:right="146"/>
              <w:jc w:val="center"/>
              <w:rPr>
                <w:b/>
                <w:sz w:val="15"/>
              </w:rPr>
            </w:pPr>
            <w:r>
              <w:rPr>
                <w:b/>
                <w:spacing w:val="-2"/>
                <w:sz w:val="15"/>
              </w:rPr>
              <w:t>Timeline</w:t>
            </w:r>
          </w:p>
        </w:tc>
        <w:tc>
          <w:tcPr>
            <w:tcW w:w="1217" w:type="dxa"/>
            <w:tcBorders>
              <w:bottom w:val="single" w:sz="8" w:space="0" w:color="000000"/>
            </w:tcBorders>
          </w:tcPr>
          <w:p w14:paraId="4D3851F2" w14:textId="77777777" w:rsidR="00AC6F3C" w:rsidRDefault="00AC6F3C">
            <w:pPr>
              <w:pStyle w:val="TableParagraph"/>
              <w:spacing w:before="1"/>
              <w:rPr>
                <w:sz w:val="16"/>
              </w:rPr>
            </w:pPr>
          </w:p>
          <w:p w14:paraId="04AC7C4C" w14:textId="77777777" w:rsidR="00AC6F3C" w:rsidRDefault="00570E88">
            <w:pPr>
              <w:pStyle w:val="TableParagraph"/>
              <w:ind w:left="102"/>
              <w:rPr>
                <w:b/>
                <w:sz w:val="15"/>
              </w:rPr>
            </w:pPr>
            <w:r>
              <w:rPr>
                <w:b/>
                <w:spacing w:val="-2"/>
                <w:sz w:val="15"/>
              </w:rPr>
              <w:t>Accountability</w:t>
            </w:r>
          </w:p>
        </w:tc>
        <w:tc>
          <w:tcPr>
            <w:tcW w:w="1811" w:type="dxa"/>
            <w:tcBorders>
              <w:bottom w:val="single" w:sz="8" w:space="0" w:color="000000"/>
            </w:tcBorders>
          </w:tcPr>
          <w:p w14:paraId="682918BE" w14:textId="77777777" w:rsidR="00AC6F3C" w:rsidRDefault="00AC6F3C">
            <w:pPr>
              <w:pStyle w:val="TableParagraph"/>
              <w:spacing w:before="1"/>
              <w:rPr>
                <w:sz w:val="16"/>
              </w:rPr>
            </w:pPr>
          </w:p>
          <w:p w14:paraId="0BA72684" w14:textId="77777777" w:rsidR="00AC6F3C" w:rsidRDefault="00570E88">
            <w:pPr>
              <w:pStyle w:val="TableParagraph"/>
              <w:ind w:left="104"/>
              <w:rPr>
                <w:b/>
                <w:sz w:val="15"/>
              </w:rPr>
            </w:pPr>
            <w:r>
              <w:rPr>
                <w:b/>
                <w:spacing w:val="-4"/>
                <w:sz w:val="15"/>
              </w:rPr>
              <w:t>Performance</w:t>
            </w:r>
            <w:r>
              <w:rPr>
                <w:b/>
                <w:spacing w:val="9"/>
                <w:sz w:val="15"/>
              </w:rPr>
              <w:t xml:space="preserve"> </w:t>
            </w:r>
            <w:r>
              <w:rPr>
                <w:b/>
                <w:spacing w:val="-2"/>
                <w:sz w:val="15"/>
              </w:rPr>
              <w:t>target/KPI</w:t>
            </w:r>
          </w:p>
        </w:tc>
        <w:tc>
          <w:tcPr>
            <w:tcW w:w="859" w:type="dxa"/>
            <w:tcBorders>
              <w:bottom w:val="single" w:sz="8" w:space="0" w:color="000000"/>
            </w:tcBorders>
          </w:tcPr>
          <w:p w14:paraId="267D423D" w14:textId="77777777" w:rsidR="00AC6F3C" w:rsidRDefault="00570E88">
            <w:pPr>
              <w:pStyle w:val="TableParagraph"/>
              <w:spacing w:line="259" w:lineRule="auto"/>
              <w:ind w:left="93" w:right="181"/>
              <w:rPr>
                <w:b/>
                <w:sz w:val="15"/>
              </w:rPr>
            </w:pPr>
            <w:r>
              <w:rPr>
                <w:b/>
                <w:spacing w:val="-4"/>
                <w:sz w:val="15"/>
              </w:rPr>
              <w:t>Average</w:t>
            </w:r>
            <w:r>
              <w:rPr>
                <w:b/>
                <w:sz w:val="15"/>
              </w:rPr>
              <w:t xml:space="preserve"> </w:t>
            </w:r>
            <w:r>
              <w:rPr>
                <w:b/>
                <w:spacing w:val="-2"/>
                <w:sz w:val="15"/>
              </w:rPr>
              <w:t>Status</w:t>
            </w:r>
          </w:p>
        </w:tc>
        <w:tc>
          <w:tcPr>
            <w:tcW w:w="1039" w:type="dxa"/>
            <w:tcBorders>
              <w:bottom w:val="single" w:sz="8" w:space="0" w:color="000000"/>
            </w:tcBorders>
          </w:tcPr>
          <w:p w14:paraId="2E62DF0D" w14:textId="77777777" w:rsidR="00AC6F3C" w:rsidRDefault="00570E88">
            <w:pPr>
              <w:pStyle w:val="TableParagraph"/>
              <w:spacing w:line="259" w:lineRule="auto"/>
              <w:ind w:left="197" w:right="257"/>
              <w:rPr>
                <w:b/>
                <w:sz w:val="15"/>
              </w:rPr>
            </w:pPr>
            <w:r>
              <w:rPr>
                <w:b/>
                <w:spacing w:val="-4"/>
                <w:sz w:val="15"/>
              </w:rPr>
              <w:t>Average</w:t>
            </w:r>
            <w:r>
              <w:rPr>
                <w:b/>
                <w:sz w:val="15"/>
              </w:rPr>
              <w:t xml:space="preserve"> </w:t>
            </w:r>
            <w:r>
              <w:rPr>
                <w:b/>
                <w:spacing w:val="-2"/>
                <w:sz w:val="15"/>
              </w:rPr>
              <w:t>status</w:t>
            </w:r>
          </w:p>
        </w:tc>
        <w:tc>
          <w:tcPr>
            <w:tcW w:w="3534" w:type="dxa"/>
            <w:tcBorders>
              <w:bottom w:val="single" w:sz="8" w:space="0" w:color="000000"/>
            </w:tcBorders>
          </w:tcPr>
          <w:p w14:paraId="2213B4BD" w14:textId="77777777" w:rsidR="00AC6F3C" w:rsidRDefault="00AC6F3C">
            <w:pPr>
              <w:pStyle w:val="TableParagraph"/>
              <w:spacing w:before="1"/>
              <w:rPr>
                <w:sz w:val="16"/>
              </w:rPr>
            </w:pPr>
          </w:p>
          <w:p w14:paraId="69098748" w14:textId="77777777" w:rsidR="00AC6F3C" w:rsidRDefault="00570E88">
            <w:pPr>
              <w:pStyle w:val="TableParagraph"/>
              <w:ind w:left="122"/>
              <w:rPr>
                <w:b/>
                <w:sz w:val="15"/>
              </w:rPr>
            </w:pPr>
            <w:r>
              <w:rPr>
                <w:b/>
                <w:spacing w:val="-4"/>
                <w:sz w:val="15"/>
              </w:rPr>
              <w:t>2022-23 Report</w:t>
            </w:r>
          </w:p>
        </w:tc>
      </w:tr>
      <w:tr w:rsidR="00AC6F3C" w14:paraId="5A179328" w14:textId="77777777">
        <w:trPr>
          <w:trHeight w:val="223"/>
        </w:trPr>
        <w:tc>
          <w:tcPr>
            <w:tcW w:w="841" w:type="dxa"/>
            <w:tcBorders>
              <w:top w:val="single" w:sz="8" w:space="0" w:color="000000"/>
            </w:tcBorders>
          </w:tcPr>
          <w:p w14:paraId="31B0A0D3" w14:textId="77777777" w:rsidR="00AC6F3C" w:rsidRDefault="00570E88">
            <w:pPr>
              <w:pStyle w:val="TableParagraph"/>
              <w:spacing w:before="51" w:line="152" w:lineRule="exact"/>
              <w:ind w:left="70"/>
              <w:rPr>
                <w:b/>
                <w:sz w:val="15"/>
              </w:rPr>
            </w:pPr>
            <w:r>
              <w:rPr>
                <w:b/>
                <w:spacing w:val="-4"/>
                <w:sz w:val="15"/>
              </w:rPr>
              <w:t>Grow</w:t>
            </w:r>
          </w:p>
        </w:tc>
        <w:tc>
          <w:tcPr>
            <w:tcW w:w="1980" w:type="dxa"/>
            <w:tcBorders>
              <w:top w:val="single" w:sz="8" w:space="0" w:color="000000"/>
            </w:tcBorders>
          </w:tcPr>
          <w:p w14:paraId="60168529" w14:textId="77777777" w:rsidR="00AC6F3C" w:rsidRDefault="00570E88">
            <w:pPr>
              <w:pStyle w:val="TableParagraph"/>
              <w:spacing w:before="51" w:line="152" w:lineRule="exact"/>
              <w:ind w:left="136"/>
              <w:rPr>
                <w:sz w:val="15"/>
              </w:rPr>
            </w:pPr>
            <w:r>
              <w:rPr>
                <w:spacing w:val="-4"/>
                <w:sz w:val="15"/>
              </w:rPr>
              <w:t>21.</w:t>
            </w:r>
            <w:r>
              <w:rPr>
                <w:spacing w:val="37"/>
                <w:sz w:val="15"/>
              </w:rPr>
              <w:t xml:space="preserve"> </w:t>
            </w:r>
            <w:r>
              <w:rPr>
                <w:spacing w:val="-4"/>
                <w:sz w:val="15"/>
              </w:rPr>
              <w:t>Improve</w:t>
            </w:r>
            <w:r>
              <w:rPr>
                <w:spacing w:val="-6"/>
                <w:sz w:val="15"/>
              </w:rPr>
              <w:t xml:space="preserve"> </w:t>
            </w:r>
            <w:r>
              <w:rPr>
                <w:spacing w:val="-4"/>
                <w:sz w:val="15"/>
              </w:rPr>
              <w:t>QLS’s</w:t>
            </w:r>
            <w:r>
              <w:rPr>
                <w:spacing w:val="-6"/>
                <w:sz w:val="15"/>
              </w:rPr>
              <w:t xml:space="preserve"> </w:t>
            </w:r>
            <w:r>
              <w:rPr>
                <w:spacing w:val="-5"/>
                <w:sz w:val="15"/>
              </w:rPr>
              <w:t>new</w:t>
            </w:r>
          </w:p>
        </w:tc>
        <w:tc>
          <w:tcPr>
            <w:tcW w:w="3037" w:type="dxa"/>
            <w:tcBorders>
              <w:top w:val="single" w:sz="8" w:space="0" w:color="000000"/>
            </w:tcBorders>
          </w:tcPr>
          <w:p w14:paraId="5AFF4CCF" w14:textId="77777777" w:rsidR="00AC6F3C" w:rsidRDefault="00570E88">
            <w:pPr>
              <w:pStyle w:val="TableParagraph"/>
              <w:spacing w:before="51" w:line="152" w:lineRule="exact"/>
              <w:ind w:left="339"/>
              <w:rPr>
                <w:sz w:val="15"/>
              </w:rPr>
            </w:pPr>
            <w:r>
              <w:rPr>
                <w:spacing w:val="-6"/>
                <w:sz w:val="15"/>
              </w:rPr>
              <w:t>21.1.1</w:t>
            </w:r>
            <w:r>
              <w:rPr>
                <w:spacing w:val="17"/>
                <w:sz w:val="15"/>
              </w:rPr>
              <w:t xml:space="preserve"> </w:t>
            </w:r>
            <w:r>
              <w:rPr>
                <w:spacing w:val="-6"/>
                <w:sz w:val="15"/>
              </w:rPr>
              <w:t>Improve</w:t>
            </w:r>
            <w:r>
              <w:rPr>
                <w:spacing w:val="-5"/>
                <w:sz w:val="15"/>
              </w:rPr>
              <w:t xml:space="preserve"> </w:t>
            </w:r>
            <w:r>
              <w:rPr>
                <w:spacing w:val="-6"/>
                <w:sz w:val="15"/>
              </w:rPr>
              <w:t>QLS’s</w:t>
            </w:r>
            <w:r>
              <w:rPr>
                <w:spacing w:val="-5"/>
                <w:sz w:val="15"/>
              </w:rPr>
              <w:t xml:space="preserve"> </w:t>
            </w:r>
            <w:proofErr w:type="gramStart"/>
            <w:r>
              <w:rPr>
                <w:spacing w:val="-6"/>
                <w:sz w:val="15"/>
              </w:rPr>
              <w:t>new</w:t>
            </w:r>
            <w:r>
              <w:rPr>
                <w:spacing w:val="-5"/>
                <w:sz w:val="15"/>
              </w:rPr>
              <w:t xml:space="preserve"> </w:t>
            </w:r>
            <w:r>
              <w:rPr>
                <w:spacing w:val="-6"/>
                <w:sz w:val="15"/>
              </w:rPr>
              <w:t>technologies</w:t>
            </w:r>
            <w:proofErr w:type="gramEnd"/>
          </w:p>
        </w:tc>
        <w:tc>
          <w:tcPr>
            <w:tcW w:w="843" w:type="dxa"/>
            <w:tcBorders>
              <w:top w:val="single" w:sz="8" w:space="0" w:color="000000"/>
            </w:tcBorders>
          </w:tcPr>
          <w:p w14:paraId="0F329604" w14:textId="77777777" w:rsidR="00AC6F3C" w:rsidRDefault="00570E88">
            <w:pPr>
              <w:pStyle w:val="TableParagraph"/>
              <w:spacing w:before="51" w:line="152" w:lineRule="exact"/>
              <w:ind w:left="208"/>
              <w:rPr>
                <w:b/>
                <w:sz w:val="15"/>
              </w:rPr>
            </w:pPr>
            <w:r>
              <w:rPr>
                <w:b/>
                <w:spacing w:val="-4"/>
                <w:sz w:val="15"/>
              </w:rPr>
              <w:t>KPI4</w:t>
            </w:r>
          </w:p>
        </w:tc>
        <w:tc>
          <w:tcPr>
            <w:tcW w:w="822" w:type="dxa"/>
            <w:tcBorders>
              <w:top w:val="single" w:sz="8" w:space="0" w:color="000000"/>
            </w:tcBorders>
          </w:tcPr>
          <w:p w14:paraId="22B1D1C0" w14:textId="77777777" w:rsidR="00AC6F3C" w:rsidRDefault="00570E88">
            <w:pPr>
              <w:pStyle w:val="TableParagraph"/>
              <w:spacing w:before="51" w:line="152" w:lineRule="exact"/>
              <w:ind w:left="40" w:right="64"/>
              <w:jc w:val="center"/>
              <w:rPr>
                <w:sz w:val="15"/>
              </w:rPr>
            </w:pPr>
            <w:r>
              <w:rPr>
                <w:spacing w:val="-4"/>
                <w:sz w:val="15"/>
              </w:rPr>
              <w:t>30-Jun-</w:t>
            </w:r>
            <w:r>
              <w:rPr>
                <w:spacing w:val="-5"/>
                <w:sz w:val="15"/>
              </w:rPr>
              <w:t>23</w:t>
            </w:r>
          </w:p>
        </w:tc>
        <w:tc>
          <w:tcPr>
            <w:tcW w:w="1217" w:type="dxa"/>
            <w:tcBorders>
              <w:top w:val="single" w:sz="8" w:space="0" w:color="000000"/>
            </w:tcBorders>
          </w:tcPr>
          <w:p w14:paraId="1AC8725E" w14:textId="77777777" w:rsidR="00AC6F3C" w:rsidRDefault="00570E88">
            <w:pPr>
              <w:pStyle w:val="TableParagraph"/>
              <w:spacing w:before="51" w:line="152" w:lineRule="exact"/>
              <w:ind w:left="116"/>
              <w:rPr>
                <w:sz w:val="15"/>
              </w:rPr>
            </w:pPr>
            <w:r>
              <w:rPr>
                <w:spacing w:val="-2"/>
                <w:sz w:val="15"/>
              </w:rPr>
              <w:t>Information</w:t>
            </w:r>
          </w:p>
        </w:tc>
        <w:tc>
          <w:tcPr>
            <w:tcW w:w="1811" w:type="dxa"/>
            <w:tcBorders>
              <w:top w:val="single" w:sz="8" w:space="0" w:color="000000"/>
            </w:tcBorders>
          </w:tcPr>
          <w:p w14:paraId="16D83BCB" w14:textId="77777777" w:rsidR="00AC6F3C" w:rsidRDefault="00570E88">
            <w:pPr>
              <w:pStyle w:val="TableParagraph"/>
              <w:spacing w:before="51" w:line="152" w:lineRule="exact"/>
              <w:ind w:left="118"/>
              <w:rPr>
                <w:sz w:val="15"/>
              </w:rPr>
            </w:pPr>
            <w:r>
              <w:rPr>
                <w:spacing w:val="-8"/>
                <w:sz w:val="15"/>
              </w:rPr>
              <w:t>21.1.1</w:t>
            </w:r>
            <w:r>
              <w:rPr>
                <w:spacing w:val="10"/>
                <w:sz w:val="15"/>
              </w:rPr>
              <w:t xml:space="preserve"> </w:t>
            </w:r>
            <w:r>
              <w:rPr>
                <w:spacing w:val="-2"/>
                <w:sz w:val="15"/>
              </w:rPr>
              <w:t>Implement</w:t>
            </w:r>
          </w:p>
        </w:tc>
        <w:tc>
          <w:tcPr>
            <w:tcW w:w="859" w:type="dxa"/>
            <w:tcBorders>
              <w:top w:val="single" w:sz="8" w:space="0" w:color="000000"/>
            </w:tcBorders>
          </w:tcPr>
          <w:p w14:paraId="007AA4B4" w14:textId="77777777" w:rsidR="00AC6F3C" w:rsidRDefault="00570E88">
            <w:pPr>
              <w:pStyle w:val="TableParagraph"/>
              <w:spacing w:before="51" w:line="153" w:lineRule="exact"/>
              <w:ind w:left="107"/>
              <w:rPr>
                <w:b/>
                <w:sz w:val="15"/>
              </w:rPr>
            </w:pPr>
            <w:r>
              <w:rPr>
                <w:b/>
                <w:spacing w:val="-2"/>
                <w:sz w:val="15"/>
              </w:rPr>
              <w:t>Green-</w:t>
            </w:r>
          </w:p>
        </w:tc>
        <w:tc>
          <w:tcPr>
            <w:tcW w:w="1039" w:type="dxa"/>
            <w:tcBorders>
              <w:top w:val="single" w:sz="8" w:space="0" w:color="000000"/>
            </w:tcBorders>
          </w:tcPr>
          <w:p w14:paraId="7C0D4B94" w14:textId="77777777" w:rsidR="00AC6F3C" w:rsidRDefault="00570E88">
            <w:pPr>
              <w:pStyle w:val="TableParagraph"/>
              <w:spacing w:before="51" w:line="153" w:lineRule="exact"/>
              <w:ind w:left="212"/>
              <w:rPr>
                <w:b/>
                <w:sz w:val="15"/>
              </w:rPr>
            </w:pPr>
            <w:r>
              <w:rPr>
                <w:b/>
                <w:spacing w:val="-6"/>
                <w:sz w:val="15"/>
              </w:rPr>
              <w:t>On</w:t>
            </w:r>
            <w:r>
              <w:rPr>
                <w:b/>
                <w:spacing w:val="-2"/>
                <w:sz w:val="15"/>
              </w:rPr>
              <w:t xml:space="preserve"> </w:t>
            </w:r>
            <w:r>
              <w:rPr>
                <w:b/>
                <w:spacing w:val="-6"/>
                <w:sz w:val="15"/>
              </w:rPr>
              <w:t>track</w:t>
            </w:r>
            <w:r>
              <w:rPr>
                <w:b/>
                <w:spacing w:val="-1"/>
                <w:sz w:val="15"/>
              </w:rPr>
              <w:t xml:space="preserve"> </w:t>
            </w:r>
            <w:r>
              <w:rPr>
                <w:b/>
                <w:spacing w:val="-10"/>
                <w:sz w:val="15"/>
              </w:rPr>
              <w:t>&amp;</w:t>
            </w:r>
          </w:p>
        </w:tc>
        <w:tc>
          <w:tcPr>
            <w:tcW w:w="3534" w:type="dxa"/>
            <w:tcBorders>
              <w:top w:val="single" w:sz="8" w:space="0" w:color="000000"/>
            </w:tcBorders>
          </w:tcPr>
          <w:p w14:paraId="251963D4" w14:textId="77777777" w:rsidR="00AC6F3C" w:rsidRDefault="00570E88">
            <w:pPr>
              <w:pStyle w:val="TableParagraph"/>
              <w:spacing w:before="51" w:line="153" w:lineRule="exact"/>
              <w:ind w:left="136"/>
              <w:rPr>
                <w:sz w:val="15"/>
              </w:rPr>
            </w:pPr>
            <w:r>
              <w:rPr>
                <w:spacing w:val="-6"/>
                <w:sz w:val="15"/>
              </w:rPr>
              <w:t>21.1.1</w:t>
            </w:r>
            <w:r>
              <w:rPr>
                <w:spacing w:val="34"/>
                <w:sz w:val="15"/>
              </w:rPr>
              <w:t xml:space="preserve"> </w:t>
            </w:r>
            <w:r>
              <w:rPr>
                <w:spacing w:val="-6"/>
                <w:sz w:val="15"/>
              </w:rPr>
              <w:t>Completed</w:t>
            </w:r>
            <w:r>
              <w:rPr>
                <w:spacing w:val="1"/>
                <w:sz w:val="15"/>
              </w:rPr>
              <w:t xml:space="preserve"> </w:t>
            </w:r>
            <w:r>
              <w:rPr>
                <w:spacing w:val="-6"/>
                <w:sz w:val="15"/>
              </w:rPr>
              <w:t>–</w:t>
            </w:r>
            <w:r>
              <w:rPr>
                <w:sz w:val="15"/>
              </w:rPr>
              <w:t xml:space="preserve"> </w:t>
            </w:r>
            <w:r>
              <w:rPr>
                <w:spacing w:val="-6"/>
                <w:sz w:val="15"/>
              </w:rPr>
              <w:t>communities</w:t>
            </w:r>
            <w:r>
              <w:rPr>
                <w:sz w:val="15"/>
              </w:rPr>
              <w:t xml:space="preserve"> </w:t>
            </w:r>
            <w:r>
              <w:rPr>
                <w:spacing w:val="-6"/>
                <w:sz w:val="15"/>
              </w:rPr>
              <w:t>module</w:t>
            </w:r>
            <w:r>
              <w:rPr>
                <w:spacing w:val="1"/>
                <w:sz w:val="15"/>
              </w:rPr>
              <w:t xml:space="preserve"> </w:t>
            </w:r>
            <w:r>
              <w:rPr>
                <w:spacing w:val="-6"/>
                <w:sz w:val="15"/>
              </w:rPr>
              <w:t>completed</w:t>
            </w:r>
          </w:p>
        </w:tc>
      </w:tr>
    </w:tbl>
    <w:p w14:paraId="557548E3" w14:textId="77777777" w:rsidR="00AC6F3C" w:rsidRDefault="00AC6F3C">
      <w:pPr>
        <w:spacing w:line="153" w:lineRule="exact"/>
        <w:rPr>
          <w:sz w:val="15"/>
        </w:rPr>
        <w:sectPr w:rsidR="00AC6F3C">
          <w:headerReference w:type="default" r:id="rId39"/>
          <w:footerReference w:type="default" r:id="rId40"/>
          <w:pgSz w:w="16840" w:h="11910" w:orient="landscape"/>
          <w:pgMar w:top="620" w:right="320" w:bottom="520" w:left="300" w:header="0" w:footer="336" w:gutter="0"/>
          <w:cols w:space="720"/>
        </w:sectPr>
      </w:pPr>
    </w:p>
    <w:p w14:paraId="0F7A00C3" w14:textId="77777777" w:rsidR="00AC6F3C" w:rsidRDefault="00AC6F3C">
      <w:pPr>
        <w:pStyle w:val="BodyText"/>
        <w:rPr>
          <w:sz w:val="16"/>
        </w:rPr>
      </w:pPr>
    </w:p>
    <w:p w14:paraId="567BF994" w14:textId="77777777" w:rsidR="00AC6F3C" w:rsidRDefault="00AC6F3C">
      <w:pPr>
        <w:pStyle w:val="BodyText"/>
        <w:rPr>
          <w:sz w:val="16"/>
        </w:rPr>
      </w:pPr>
    </w:p>
    <w:p w14:paraId="6D227A34" w14:textId="77777777" w:rsidR="00AC6F3C" w:rsidRDefault="00AC6F3C">
      <w:pPr>
        <w:pStyle w:val="BodyText"/>
        <w:spacing w:before="9"/>
        <w:rPr>
          <w:sz w:val="15"/>
        </w:rPr>
      </w:pPr>
    </w:p>
    <w:p w14:paraId="5EB71C1E" w14:textId="77777777" w:rsidR="00AC6F3C" w:rsidRDefault="00570E88">
      <w:pPr>
        <w:jc w:val="right"/>
        <w:rPr>
          <w:b/>
          <w:sz w:val="15"/>
        </w:rPr>
      </w:pPr>
      <w:r>
        <w:rPr>
          <w:b/>
          <w:spacing w:val="-4"/>
          <w:sz w:val="15"/>
        </w:rPr>
        <w:t>KPI6</w:t>
      </w:r>
    </w:p>
    <w:p w14:paraId="31BE9539" w14:textId="77777777" w:rsidR="00AC6F3C" w:rsidRDefault="00570E88">
      <w:pPr>
        <w:rPr>
          <w:b/>
          <w:sz w:val="16"/>
        </w:rPr>
      </w:pPr>
      <w:r>
        <w:br w:type="column"/>
      </w:r>
    </w:p>
    <w:p w14:paraId="776F7BE1" w14:textId="77777777" w:rsidR="00AC6F3C" w:rsidRDefault="00AC6F3C">
      <w:pPr>
        <w:pStyle w:val="BodyText"/>
        <w:spacing w:before="9"/>
        <w:rPr>
          <w:b/>
          <w:sz w:val="19"/>
        </w:rPr>
      </w:pPr>
    </w:p>
    <w:p w14:paraId="0AF04E38" w14:textId="77777777" w:rsidR="00AC6F3C" w:rsidRDefault="00570E88">
      <w:pPr>
        <w:pStyle w:val="ListParagraph"/>
        <w:numPr>
          <w:ilvl w:val="2"/>
          <w:numId w:val="61"/>
        </w:numPr>
        <w:tabs>
          <w:tab w:val="left" w:pos="2855"/>
          <w:tab w:val="left" w:pos="2860"/>
        </w:tabs>
        <w:spacing w:before="0" w:line="249" w:lineRule="auto"/>
        <w:rPr>
          <w:sz w:val="15"/>
        </w:rPr>
      </w:pPr>
      <w:r>
        <w:rPr>
          <w:spacing w:val="-4"/>
          <w:sz w:val="15"/>
        </w:rPr>
        <w:t>Implement</w:t>
      </w:r>
      <w:r>
        <w:rPr>
          <w:spacing w:val="-7"/>
          <w:sz w:val="15"/>
        </w:rPr>
        <w:t xml:space="preserve"> </w:t>
      </w:r>
      <w:r>
        <w:rPr>
          <w:spacing w:val="-4"/>
          <w:sz w:val="15"/>
        </w:rPr>
        <w:t>Release</w:t>
      </w:r>
      <w:r>
        <w:rPr>
          <w:sz w:val="15"/>
        </w:rPr>
        <w:t xml:space="preserve"> 1 of the CRM</w:t>
      </w:r>
    </w:p>
    <w:p w14:paraId="3FF567FA" w14:textId="77777777" w:rsidR="00AC6F3C" w:rsidRDefault="00570E88">
      <w:pPr>
        <w:pStyle w:val="ListParagraph"/>
        <w:numPr>
          <w:ilvl w:val="2"/>
          <w:numId w:val="61"/>
        </w:numPr>
        <w:tabs>
          <w:tab w:val="left" w:pos="2856"/>
        </w:tabs>
        <w:spacing w:before="44"/>
        <w:ind w:left="2856" w:hanging="421"/>
        <w:rPr>
          <w:sz w:val="15"/>
        </w:rPr>
      </w:pPr>
      <w:r>
        <w:rPr>
          <w:spacing w:val="-5"/>
          <w:sz w:val="15"/>
        </w:rPr>
        <w:t>Upgrade</w:t>
      </w:r>
      <w:r>
        <w:rPr>
          <w:spacing w:val="2"/>
          <w:sz w:val="15"/>
        </w:rPr>
        <w:t xml:space="preserve"> </w:t>
      </w:r>
      <w:r>
        <w:rPr>
          <w:spacing w:val="-5"/>
          <w:sz w:val="15"/>
        </w:rPr>
        <w:t>of</w:t>
      </w:r>
    </w:p>
    <w:p w14:paraId="44A2AD0C" w14:textId="77777777" w:rsidR="00AC6F3C" w:rsidRDefault="00570E88">
      <w:pPr>
        <w:spacing w:before="8" w:line="249" w:lineRule="auto"/>
        <w:ind w:left="2860"/>
        <w:rPr>
          <w:sz w:val="15"/>
        </w:rPr>
      </w:pPr>
      <w:r>
        <w:rPr>
          <w:spacing w:val="-6"/>
          <w:sz w:val="15"/>
        </w:rPr>
        <w:t>Website</w:t>
      </w:r>
      <w:r>
        <w:rPr>
          <w:spacing w:val="-5"/>
          <w:sz w:val="15"/>
        </w:rPr>
        <w:t xml:space="preserve"> </w:t>
      </w:r>
      <w:r>
        <w:rPr>
          <w:spacing w:val="-6"/>
          <w:sz w:val="15"/>
        </w:rPr>
        <w:t>CMS</w:t>
      </w:r>
      <w:r>
        <w:rPr>
          <w:spacing w:val="-5"/>
          <w:sz w:val="15"/>
        </w:rPr>
        <w:t xml:space="preserve"> </w:t>
      </w:r>
      <w:r>
        <w:rPr>
          <w:spacing w:val="-6"/>
          <w:sz w:val="15"/>
        </w:rPr>
        <w:t>from</w:t>
      </w:r>
      <w:r>
        <w:rPr>
          <w:sz w:val="15"/>
        </w:rPr>
        <w:t xml:space="preserve"> v12 to v13</w:t>
      </w:r>
    </w:p>
    <w:p w14:paraId="2FD58D49" w14:textId="77777777" w:rsidR="00AC6F3C" w:rsidRDefault="00570E88">
      <w:pPr>
        <w:pStyle w:val="ListParagraph"/>
        <w:numPr>
          <w:ilvl w:val="2"/>
          <w:numId w:val="60"/>
        </w:numPr>
        <w:tabs>
          <w:tab w:val="left" w:pos="2452"/>
          <w:tab w:val="left" w:pos="2457"/>
        </w:tabs>
        <w:spacing w:before="52" w:line="249" w:lineRule="auto"/>
        <w:ind w:right="278"/>
        <w:jc w:val="both"/>
        <w:rPr>
          <w:sz w:val="15"/>
        </w:rPr>
      </w:pPr>
      <w:r>
        <w:br w:type="column"/>
      </w:r>
      <w:r>
        <w:rPr>
          <w:spacing w:val="-4"/>
          <w:sz w:val="15"/>
        </w:rPr>
        <w:t>On</w:t>
      </w:r>
      <w:r>
        <w:rPr>
          <w:spacing w:val="-6"/>
          <w:sz w:val="15"/>
        </w:rPr>
        <w:t xml:space="preserve"> </w:t>
      </w:r>
      <w:r>
        <w:rPr>
          <w:spacing w:val="-4"/>
          <w:sz w:val="15"/>
        </w:rPr>
        <w:t>track</w:t>
      </w:r>
      <w:r>
        <w:rPr>
          <w:spacing w:val="-6"/>
          <w:sz w:val="15"/>
        </w:rPr>
        <w:t xml:space="preserve"> </w:t>
      </w:r>
      <w:r>
        <w:rPr>
          <w:spacing w:val="-4"/>
          <w:sz w:val="15"/>
        </w:rPr>
        <w:t>and</w:t>
      </w:r>
      <w:r>
        <w:rPr>
          <w:spacing w:val="-6"/>
          <w:sz w:val="15"/>
        </w:rPr>
        <w:t xml:space="preserve"> </w:t>
      </w:r>
      <w:r>
        <w:rPr>
          <w:spacing w:val="-4"/>
          <w:sz w:val="15"/>
        </w:rPr>
        <w:t>ongoing</w:t>
      </w:r>
      <w:r>
        <w:rPr>
          <w:spacing w:val="-6"/>
          <w:sz w:val="15"/>
        </w:rPr>
        <w:t xml:space="preserve"> </w:t>
      </w:r>
      <w:r>
        <w:rPr>
          <w:spacing w:val="-4"/>
          <w:sz w:val="15"/>
        </w:rPr>
        <w:t>–</w:t>
      </w:r>
      <w:r>
        <w:rPr>
          <w:spacing w:val="-6"/>
          <w:sz w:val="15"/>
        </w:rPr>
        <w:t xml:space="preserve"> </w:t>
      </w:r>
      <w:r>
        <w:rPr>
          <w:spacing w:val="-4"/>
          <w:sz w:val="15"/>
        </w:rPr>
        <w:t>implement</w:t>
      </w:r>
      <w:r>
        <w:rPr>
          <w:spacing w:val="-6"/>
          <w:sz w:val="15"/>
        </w:rPr>
        <w:t xml:space="preserve"> </w:t>
      </w:r>
      <w:r>
        <w:rPr>
          <w:spacing w:val="-4"/>
          <w:sz w:val="15"/>
        </w:rPr>
        <w:t>release</w:t>
      </w:r>
      <w:r>
        <w:rPr>
          <w:spacing w:val="-6"/>
          <w:sz w:val="15"/>
        </w:rPr>
        <w:t xml:space="preserve"> </w:t>
      </w:r>
      <w:r>
        <w:rPr>
          <w:spacing w:val="-4"/>
          <w:sz w:val="15"/>
        </w:rPr>
        <w:t>1</w:t>
      </w:r>
      <w:r>
        <w:rPr>
          <w:sz w:val="15"/>
        </w:rPr>
        <w:t xml:space="preserve"> </w:t>
      </w:r>
      <w:r>
        <w:rPr>
          <w:spacing w:val="-2"/>
          <w:sz w:val="15"/>
        </w:rPr>
        <w:t>of</w:t>
      </w:r>
      <w:r>
        <w:rPr>
          <w:spacing w:val="-9"/>
          <w:sz w:val="15"/>
        </w:rPr>
        <w:t xml:space="preserve"> </w:t>
      </w:r>
      <w:r>
        <w:rPr>
          <w:spacing w:val="-2"/>
          <w:sz w:val="15"/>
        </w:rPr>
        <w:t>the</w:t>
      </w:r>
      <w:r>
        <w:rPr>
          <w:spacing w:val="-8"/>
          <w:sz w:val="15"/>
        </w:rPr>
        <w:t xml:space="preserve"> </w:t>
      </w:r>
      <w:r>
        <w:rPr>
          <w:spacing w:val="-2"/>
          <w:sz w:val="15"/>
        </w:rPr>
        <w:t>CRM</w:t>
      </w:r>
      <w:r>
        <w:rPr>
          <w:spacing w:val="-9"/>
          <w:sz w:val="15"/>
        </w:rPr>
        <w:t xml:space="preserve"> </w:t>
      </w:r>
      <w:r>
        <w:rPr>
          <w:spacing w:val="-2"/>
          <w:sz w:val="15"/>
        </w:rPr>
        <w:t>is</w:t>
      </w:r>
      <w:r>
        <w:rPr>
          <w:spacing w:val="-8"/>
          <w:sz w:val="15"/>
        </w:rPr>
        <w:t xml:space="preserve"> </w:t>
      </w:r>
      <w:r>
        <w:rPr>
          <w:spacing w:val="-2"/>
          <w:sz w:val="15"/>
        </w:rPr>
        <w:t>ongoing</w:t>
      </w:r>
      <w:r>
        <w:rPr>
          <w:spacing w:val="-9"/>
          <w:sz w:val="15"/>
        </w:rPr>
        <w:t xml:space="preserve"> </w:t>
      </w:r>
      <w:r>
        <w:rPr>
          <w:spacing w:val="-2"/>
          <w:sz w:val="15"/>
        </w:rPr>
        <w:t>and</w:t>
      </w:r>
      <w:r>
        <w:rPr>
          <w:spacing w:val="-8"/>
          <w:sz w:val="15"/>
        </w:rPr>
        <w:t xml:space="preserve"> </w:t>
      </w:r>
      <w:r>
        <w:rPr>
          <w:spacing w:val="-2"/>
          <w:sz w:val="15"/>
        </w:rPr>
        <w:t>will</w:t>
      </w:r>
      <w:r>
        <w:rPr>
          <w:spacing w:val="-8"/>
          <w:sz w:val="15"/>
        </w:rPr>
        <w:t xml:space="preserve"> </w:t>
      </w:r>
      <w:r>
        <w:rPr>
          <w:spacing w:val="-2"/>
          <w:sz w:val="15"/>
        </w:rPr>
        <w:t>continue</w:t>
      </w:r>
      <w:r>
        <w:rPr>
          <w:spacing w:val="-9"/>
          <w:sz w:val="15"/>
        </w:rPr>
        <w:t xml:space="preserve"> </w:t>
      </w:r>
      <w:r>
        <w:rPr>
          <w:spacing w:val="-2"/>
          <w:sz w:val="15"/>
        </w:rPr>
        <w:t>into</w:t>
      </w:r>
      <w:r>
        <w:rPr>
          <w:sz w:val="15"/>
        </w:rPr>
        <w:t xml:space="preserve"> the next financial </w:t>
      </w:r>
      <w:proofErr w:type="gramStart"/>
      <w:r>
        <w:rPr>
          <w:sz w:val="15"/>
        </w:rPr>
        <w:t>year</w:t>
      </w:r>
      <w:proofErr w:type="gramEnd"/>
    </w:p>
    <w:p w14:paraId="2E9A00E3" w14:textId="77777777" w:rsidR="00AC6F3C" w:rsidRDefault="00570E88">
      <w:pPr>
        <w:pStyle w:val="ListParagraph"/>
        <w:numPr>
          <w:ilvl w:val="2"/>
          <w:numId w:val="60"/>
        </w:numPr>
        <w:tabs>
          <w:tab w:val="left" w:pos="2452"/>
          <w:tab w:val="left" w:pos="2457"/>
        </w:tabs>
        <w:spacing w:before="44" w:line="249" w:lineRule="auto"/>
        <w:ind w:right="408"/>
        <w:jc w:val="both"/>
        <w:rPr>
          <w:sz w:val="15"/>
        </w:rPr>
      </w:pPr>
      <w:r>
        <w:rPr>
          <w:noProof/>
        </w:rPr>
        <mc:AlternateContent>
          <mc:Choice Requires="wps">
            <w:drawing>
              <wp:anchor distT="0" distB="0" distL="0" distR="0" simplePos="0" relativeHeight="15754240" behindDoc="0" locked="0" layoutInCell="1" allowOverlap="1" wp14:anchorId="3BEC2282" wp14:editId="6CF4A40C">
                <wp:simplePos x="0" y="0"/>
                <wp:positionH relativeFrom="page">
                  <wp:posOffset>1001156</wp:posOffset>
                </wp:positionH>
                <wp:positionV relativeFrom="paragraph">
                  <wp:posOffset>-365755</wp:posOffset>
                </wp:positionV>
                <wp:extent cx="7075170" cy="2197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5170" cy="2197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81"/>
                              <w:gridCol w:w="2561"/>
                              <w:gridCol w:w="1358"/>
                              <w:gridCol w:w="1863"/>
                              <w:gridCol w:w="1502"/>
                              <w:gridCol w:w="986"/>
                              <w:gridCol w:w="874"/>
                            </w:tblGrid>
                            <w:tr w:rsidR="00AC6F3C" w14:paraId="1EBD6676" w14:textId="77777777">
                              <w:trPr>
                                <w:trHeight w:val="173"/>
                              </w:trPr>
                              <w:tc>
                                <w:tcPr>
                                  <w:tcW w:w="1881" w:type="dxa"/>
                                </w:tcPr>
                                <w:p w14:paraId="4D3F4C9F" w14:textId="77777777" w:rsidR="00AC6F3C" w:rsidRDefault="00570E88">
                                  <w:pPr>
                                    <w:pStyle w:val="TableParagraph"/>
                                    <w:spacing w:line="154" w:lineRule="exact"/>
                                    <w:ind w:left="50"/>
                                    <w:rPr>
                                      <w:sz w:val="15"/>
                                    </w:rPr>
                                  </w:pPr>
                                  <w:r>
                                    <w:rPr>
                                      <w:spacing w:val="-4"/>
                                      <w:sz w:val="15"/>
                                    </w:rPr>
                                    <w:t>technologies</w:t>
                                  </w:r>
                                  <w:r>
                                    <w:rPr>
                                      <w:spacing w:val="-2"/>
                                      <w:sz w:val="15"/>
                                    </w:rPr>
                                    <w:t xml:space="preserve"> </w:t>
                                  </w:r>
                                  <w:r>
                                    <w:rPr>
                                      <w:spacing w:val="-4"/>
                                      <w:sz w:val="15"/>
                                    </w:rPr>
                                    <w:t>and</w:t>
                                  </w:r>
                                  <w:r>
                                    <w:rPr>
                                      <w:spacing w:val="-2"/>
                                      <w:sz w:val="15"/>
                                    </w:rPr>
                                    <w:t xml:space="preserve"> </w:t>
                                  </w:r>
                                  <w:r>
                                    <w:rPr>
                                      <w:spacing w:val="-5"/>
                                      <w:sz w:val="15"/>
                                    </w:rPr>
                                    <w:t>key</w:t>
                                  </w:r>
                                </w:p>
                              </w:tc>
                              <w:tc>
                                <w:tcPr>
                                  <w:tcW w:w="2561" w:type="dxa"/>
                                </w:tcPr>
                                <w:p w14:paraId="106B5CEF" w14:textId="77777777" w:rsidR="00AC6F3C" w:rsidRDefault="00570E88">
                                  <w:pPr>
                                    <w:pStyle w:val="TableParagraph"/>
                                    <w:spacing w:line="154" w:lineRule="exact"/>
                                    <w:ind w:left="493"/>
                                    <w:rPr>
                                      <w:sz w:val="15"/>
                                    </w:rPr>
                                  </w:pPr>
                                  <w:r>
                                    <w:rPr>
                                      <w:spacing w:val="-4"/>
                                      <w:sz w:val="15"/>
                                    </w:rPr>
                                    <w:t>and</w:t>
                                  </w:r>
                                  <w:r>
                                    <w:rPr>
                                      <w:spacing w:val="-6"/>
                                      <w:sz w:val="15"/>
                                    </w:rPr>
                                    <w:t xml:space="preserve"> </w:t>
                                  </w:r>
                                  <w:r>
                                    <w:rPr>
                                      <w:spacing w:val="-4"/>
                                      <w:sz w:val="15"/>
                                    </w:rPr>
                                    <w:t>key</w:t>
                                  </w:r>
                                  <w:r>
                                    <w:rPr>
                                      <w:spacing w:val="-6"/>
                                      <w:sz w:val="15"/>
                                    </w:rPr>
                                    <w:t xml:space="preserve"> </w:t>
                                  </w:r>
                                  <w:r>
                                    <w:rPr>
                                      <w:spacing w:val="-4"/>
                                      <w:sz w:val="15"/>
                                    </w:rPr>
                                    <w:t>business</w:t>
                                  </w:r>
                                  <w:r>
                                    <w:rPr>
                                      <w:spacing w:val="-6"/>
                                      <w:sz w:val="15"/>
                                    </w:rPr>
                                    <w:t xml:space="preserve"> </w:t>
                                  </w:r>
                                  <w:r>
                                    <w:rPr>
                                      <w:spacing w:val="-4"/>
                                      <w:sz w:val="15"/>
                                    </w:rPr>
                                    <w:t>systems</w:t>
                                  </w:r>
                                </w:p>
                              </w:tc>
                              <w:tc>
                                <w:tcPr>
                                  <w:tcW w:w="1358" w:type="dxa"/>
                                </w:tcPr>
                                <w:p w14:paraId="01D90941" w14:textId="77777777" w:rsidR="00AC6F3C" w:rsidRDefault="00AC6F3C">
                                  <w:pPr>
                                    <w:pStyle w:val="TableParagraph"/>
                                    <w:rPr>
                                      <w:rFonts w:ascii="Times New Roman"/>
                                      <w:sz w:val="10"/>
                                    </w:rPr>
                                  </w:pPr>
                                </w:p>
                              </w:tc>
                              <w:tc>
                                <w:tcPr>
                                  <w:tcW w:w="1863" w:type="dxa"/>
                                </w:tcPr>
                                <w:p w14:paraId="7E44C093" w14:textId="77777777" w:rsidR="00AC6F3C" w:rsidRDefault="00570E88">
                                  <w:pPr>
                                    <w:pStyle w:val="TableParagraph"/>
                                    <w:spacing w:line="154" w:lineRule="exact"/>
                                    <w:ind w:left="628"/>
                                    <w:rPr>
                                      <w:sz w:val="15"/>
                                    </w:rPr>
                                  </w:pPr>
                                  <w:r>
                                    <w:rPr>
                                      <w:spacing w:val="-2"/>
                                      <w:sz w:val="15"/>
                                    </w:rPr>
                                    <w:t>Management</w:t>
                                  </w:r>
                                </w:p>
                              </w:tc>
                              <w:tc>
                                <w:tcPr>
                                  <w:tcW w:w="1502" w:type="dxa"/>
                                </w:tcPr>
                                <w:p w14:paraId="2E9CCFED" w14:textId="77777777" w:rsidR="00AC6F3C" w:rsidRDefault="00570E88">
                                  <w:pPr>
                                    <w:pStyle w:val="TableParagraph"/>
                                    <w:spacing w:line="154" w:lineRule="exact"/>
                                    <w:ind w:left="409"/>
                                    <w:rPr>
                                      <w:sz w:val="15"/>
                                    </w:rPr>
                                  </w:pPr>
                                  <w:r>
                                    <w:rPr>
                                      <w:spacing w:val="-2"/>
                                      <w:sz w:val="15"/>
                                    </w:rPr>
                                    <w:t>communities</w:t>
                                  </w:r>
                                </w:p>
                              </w:tc>
                              <w:tc>
                                <w:tcPr>
                                  <w:tcW w:w="986" w:type="dxa"/>
                                </w:tcPr>
                                <w:p w14:paraId="50E17FB4" w14:textId="77777777" w:rsidR="00AC6F3C" w:rsidRDefault="00570E88">
                                  <w:pPr>
                                    <w:pStyle w:val="TableParagraph"/>
                                    <w:spacing w:line="154" w:lineRule="exact"/>
                                    <w:ind w:left="282"/>
                                    <w:rPr>
                                      <w:b/>
                                      <w:sz w:val="15"/>
                                    </w:rPr>
                                  </w:pPr>
                                  <w:r>
                                    <w:rPr>
                                      <w:b/>
                                      <w:spacing w:val="-2"/>
                                      <w:sz w:val="15"/>
                                    </w:rPr>
                                    <w:t>Yellow</w:t>
                                  </w:r>
                                </w:p>
                              </w:tc>
                              <w:tc>
                                <w:tcPr>
                                  <w:tcW w:w="874" w:type="dxa"/>
                                </w:tcPr>
                                <w:p w14:paraId="75ECF69A" w14:textId="77777777" w:rsidR="00AC6F3C" w:rsidRDefault="00570E88">
                                  <w:pPr>
                                    <w:pStyle w:val="TableParagraph"/>
                                    <w:spacing w:line="154" w:lineRule="exact"/>
                                    <w:ind w:left="259"/>
                                    <w:rPr>
                                      <w:b/>
                                      <w:sz w:val="15"/>
                                    </w:rPr>
                                  </w:pPr>
                                  <w:r>
                                    <w:rPr>
                                      <w:b/>
                                      <w:spacing w:val="-2"/>
                                      <w:sz w:val="15"/>
                                    </w:rPr>
                                    <w:t>ongoing</w:t>
                                  </w:r>
                                </w:p>
                              </w:tc>
                            </w:tr>
                            <w:tr w:rsidR="00AC6F3C" w14:paraId="572942DC" w14:textId="77777777">
                              <w:trPr>
                                <w:trHeight w:val="173"/>
                              </w:trPr>
                              <w:tc>
                                <w:tcPr>
                                  <w:tcW w:w="1881" w:type="dxa"/>
                                </w:tcPr>
                                <w:p w14:paraId="631081B9" w14:textId="77777777" w:rsidR="00AC6F3C" w:rsidRDefault="00570E88">
                                  <w:pPr>
                                    <w:pStyle w:val="TableParagraph"/>
                                    <w:spacing w:before="1" w:line="152" w:lineRule="exact"/>
                                    <w:ind w:left="50"/>
                                    <w:rPr>
                                      <w:sz w:val="15"/>
                                    </w:rPr>
                                  </w:pPr>
                                  <w:r>
                                    <w:rPr>
                                      <w:spacing w:val="-4"/>
                                      <w:sz w:val="15"/>
                                    </w:rPr>
                                    <w:t>business</w:t>
                                  </w:r>
                                  <w:r>
                                    <w:rPr>
                                      <w:spacing w:val="-2"/>
                                      <w:sz w:val="15"/>
                                    </w:rPr>
                                    <w:t xml:space="preserve"> systems</w:t>
                                  </w:r>
                                </w:p>
                              </w:tc>
                              <w:tc>
                                <w:tcPr>
                                  <w:tcW w:w="2561" w:type="dxa"/>
                                </w:tcPr>
                                <w:p w14:paraId="0B4D93A4" w14:textId="77777777" w:rsidR="00AC6F3C" w:rsidRDefault="00AC6F3C">
                                  <w:pPr>
                                    <w:pStyle w:val="TableParagraph"/>
                                    <w:rPr>
                                      <w:rFonts w:ascii="Times New Roman"/>
                                      <w:sz w:val="10"/>
                                    </w:rPr>
                                  </w:pPr>
                                </w:p>
                              </w:tc>
                              <w:tc>
                                <w:tcPr>
                                  <w:tcW w:w="1358" w:type="dxa"/>
                                </w:tcPr>
                                <w:p w14:paraId="3A25B09A" w14:textId="77777777" w:rsidR="00AC6F3C" w:rsidRDefault="00570E88">
                                  <w:pPr>
                                    <w:pStyle w:val="TableParagraph"/>
                                    <w:spacing w:before="1" w:line="152" w:lineRule="exact"/>
                                    <w:ind w:left="412"/>
                                    <w:rPr>
                                      <w:b/>
                                      <w:sz w:val="15"/>
                                    </w:rPr>
                                  </w:pPr>
                                  <w:r>
                                    <w:rPr>
                                      <w:b/>
                                      <w:spacing w:val="-4"/>
                                      <w:sz w:val="15"/>
                                    </w:rPr>
                                    <w:t>KPI5</w:t>
                                  </w:r>
                                </w:p>
                              </w:tc>
                              <w:tc>
                                <w:tcPr>
                                  <w:tcW w:w="1863" w:type="dxa"/>
                                </w:tcPr>
                                <w:p w14:paraId="52F4DC5C" w14:textId="77777777" w:rsidR="00AC6F3C" w:rsidRDefault="00AC6F3C">
                                  <w:pPr>
                                    <w:pStyle w:val="TableParagraph"/>
                                    <w:rPr>
                                      <w:rFonts w:ascii="Times New Roman"/>
                                      <w:sz w:val="10"/>
                                    </w:rPr>
                                  </w:pPr>
                                </w:p>
                              </w:tc>
                              <w:tc>
                                <w:tcPr>
                                  <w:tcW w:w="1502" w:type="dxa"/>
                                </w:tcPr>
                                <w:p w14:paraId="16B69C27" w14:textId="77777777" w:rsidR="00AC6F3C" w:rsidRDefault="00570E88">
                                  <w:pPr>
                                    <w:pStyle w:val="TableParagraph"/>
                                    <w:spacing w:before="1" w:line="152" w:lineRule="exact"/>
                                    <w:ind w:left="409"/>
                                    <w:rPr>
                                      <w:sz w:val="15"/>
                                    </w:rPr>
                                  </w:pPr>
                                  <w:r>
                                    <w:rPr>
                                      <w:spacing w:val="-2"/>
                                      <w:sz w:val="15"/>
                                    </w:rPr>
                                    <w:t>module</w:t>
                                  </w:r>
                                </w:p>
                              </w:tc>
                              <w:tc>
                                <w:tcPr>
                                  <w:tcW w:w="986" w:type="dxa"/>
                                </w:tcPr>
                                <w:p w14:paraId="769138C4" w14:textId="77777777" w:rsidR="00AC6F3C" w:rsidRDefault="00AC6F3C">
                                  <w:pPr>
                                    <w:pStyle w:val="TableParagraph"/>
                                    <w:rPr>
                                      <w:rFonts w:ascii="Times New Roman"/>
                                      <w:sz w:val="10"/>
                                    </w:rPr>
                                  </w:pPr>
                                </w:p>
                              </w:tc>
                              <w:tc>
                                <w:tcPr>
                                  <w:tcW w:w="874" w:type="dxa"/>
                                </w:tcPr>
                                <w:p w14:paraId="3C3BA4AD" w14:textId="77777777" w:rsidR="00AC6F3C" w:rsidRDefault="00AC6F3C">
                                  <w:pPr>
                                    <w:pStyle w:val="TableParagraph"/>
                                    <w:rPr>
                                      <w:rFonts w:ascii="Times New Roman"/>
                                      <w:sz w:val="10"/>
                                    </w:rPr>
                                  </w:pPr>
                                </w:p>
                              </w:tc>
                            </w:tr>
                          </w:tbl>
                          <w:p w14:paraId="64F6CCBC" w14:textId="77777777" w:rsidR="00AC6F3C" w:rsidRDefault="00AC6F3C">
                            <w:pPr>
                              <w:pStyle w:val="BodyText"/>
                            </w:pPr>
                          </w:p>
                        </w:txbxContent>
                      </wps:txbx>
                      <wps:bodyPr wrap="square" lIns="0" tIns="0" rIns="0" bIns="0" rtlCol="0">
                        <a:noAutofit/>
                      </wps:bodyPr>
                    </wps:wsp>
                  </a:graphicData>
                </a:graphic>
              </wp:anchor>
            </w:drawing>
          </mc:Choice>
          <mc:Fallback>
            <w:pict>
              <v:shapetype w14:anchorId="3BEC2282" id="_x0000_t202" coordsize="21600,21600" o:spt="202" path="m,l,21600r21600,l21600,xe">
                <v:stroke joinstyle="miter"/>
                <v:path gradientshapeok="t" o:connecttype="rect"/>
              </v:shapetype>
              <v:shape id="Textbox 193" o:spid="_x0000_s1026" type="#_x0000_t202" style="position:absolute;left:0;text-align:left;margin-left:78.85pt;margin-top:-28.8pt;width:557.1pt;height:17.3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81"/>
                        <w:gridCol w:w="2561"/>
                        <w:gridCol w:w="1358"/>
                        <w:gridCol w:w="1863"/>
                        <w:gridCol w:w="1502"/>
                        <w:gridCol w:w="986"/>
                        <w:gridCol w:w="874"/>
                      </w:tblGrid>
                      <w:tr w:rsidR="00AC6F3C" w14:paraId="1EBD6676" w14:textId="77777777">
                        <w:trPr>
                          <w:trHeight w:val="173"/>
                        </w:trPr>
                        <w:tc>
                          <w:tcPr>
                            <w:tcW w:w="1881" w:type="dxa"/>
                          </w:tcPr>
                          <w:p w14:paraId="4D3F4C9F" w14:textId="77777777" w:rsidR="00AC6F3C" w:rsidRDefault="00570E88">
                            <w:pPr>
                              <w:pStyle w:val="TableParagraph"/>
                              <w:spacing w:line="154" w:lineRule="exact"/>
                              <w:ind w:left="50"/>
                              <w:rPr>
                                <w:sz w:val="15"/>
                              </w:rPr>
                            </w:pPr>
                            <w:r>
                              <w:rPr>
                                <w:spacing w:val="-4"/>
                                <w:sz w:val="15"/>
                              </w:rPr>
                              <w:t>technologies</w:t>
                            </w:r>
                            <w:r>
                              <w:rPr>
                                <w:spacing w:val="-2"/>
                                <w:sz w:val="15"/>
                              </w:rPr>
                              <w:t xml:space="preserve"> </w:t>
                            </w:r>
                            <w:r>
                              <w:rPr>
                                <w:spacing w:val="-4"/>
                                <w:sz w:val="15"/>
                              </w:rPr>
                              <w:t>and</w:t>
                            </w:r>
                            <w:r>
                              <w:rPr>
                                <w:spacing w:val="-2"/>
                                <w:sz w:val="15"/>
                              </w:rPr>
                              <w:t xml:space="preserve"> </w:t>
                            </w:r>
                            <w:r>
                              <w:rPr>
                                <w:spacing w:val="-5"/>
                                <w:sz w:val="15"/>
                              </w:rPr>
                              <w:t>key</w:t>
                            </w:r>
                          </w:p>
                        </w:tc>
                        <w:tc>
                          <w:tcPr>
                            <w:tcW w:w="2561" w:type="dxa"/>
                          </w:tcPr>
                          <w:p w14:paraId="106B5CEF" w14:textId="77777777" w:rsidR="00AC6F3C" w:rsidRDefault="00570E88">
                            <w:pPr>
                              <w:pStyle w:val="TableParagraph"/>
                              <w:spacing w:line="154" w:lineRule="exact"/>
                              <w:ind w:left="493"/>
                              <w:rPr>
                                <w:sz w:val="15"/>
                              </w:rPr>
                            </w:pPr>
                            <w:r>
                              <w:rPr>
                                <w:spacing w:val="-4"/>
                                <w:sz w:val="15"/>
                              </w:rPr>
                              <w:t>and</w:t>
                            </w:r>
                            <w:r>
                              <w:rPr>
                                <w:spacing w:val="-6"/>
                                <w:sz w:val="15"/>
                              </w:rPr>
                              <w:t xml:space="preserve"> </w:t>
                            </w:r>
                            <w:r>
                              <w:rPr>
                                <w:spacing w:val="-4"/>
                                <w:sz w:val="15"/>
                              </w:rPr>
                              <w:t>key</w:t>
                            </w:r>
                            <w:r>
                              <w:rPr>
                                <w:spacing w:val="-6"/>
                                <w:sz w:val="15"/>
                              </w:rPr>
                              <w:t xml:space="preserve"> </w:t>
                            </w:r>
                            <w:r>
                              <w:rPr>
                                <w:spacing w:val="-4"/>
                                <w:sz w:val="15"/>
                              </w:rPr>
                              <w:t>business</w:t>
                            </w:r>
                            <w:r>
                              <w:rPr>
                                <w:spacing w:val="-6"/>
                                <w:sz w:val="15"/>
                              </w:rPr>
                              <w:t xml:space="preserve"> </w:t>
                            </w:r>
                            <w:r>
                              <w:rPr>
                                <w:spacing w:val="-4"/>
                                <w:sz w:val="15"/>
                              </w:rPr>
                              <w:t>systems</w:t>
                            </w:r>
                          </w:p>
                        </w:tc>
                        <w:tc>
                          <w:tcPr>
                            <w:tcW w:w="1358" w:type="dxa"/>
                          </w:tcPr>
                          <w:p w14:paraId="01D90941" w14:textId="77777777" w:rsidR="00AC6F3C" w:rsidRDefault="00AC6F3C">
                            <w:pPr>
                              <w:pStyle w:val="TableParagraph"/>
                              <w:rPr>
                                <w:rFonts w:ascii="Times New Roman"/>
                                <w:sz w:val="10"/>
                              </w:rPr>
                            </w:pPr>
                          </w:p>
                        </w:tc>
                        <w:tc>
                          <w:tcPr>
                            <w:tcW w:w="1863" w:type="dxa"/>
                          </w:tcPr>
                          <w:p w14:paraId="7E44C093" w14:textId="77777777" w:rsidR="00AC6F3C" w:rsidRDefault="00570E88">
                            <w:pPr>
                              <w:pStyle w:val="TableParagraph"/>
                              <w:spacing w:line="154" w:lineRule="exact"/>
                              <w:ind w:left="628"/>
                              <w:rPr>
                                <w:sz w:val="15"/>
                              </w:rPr>
                            </w:pPr>
                            <w:r>
                              <w:rPr>
                                <w:spacing w:val="-2"/>
                                <w:sz w:val="15"/>
                              </w:rPr>
                              <w:t>Management</w:t>
                            </w:r>
                          </w:p>
                        </w:tc>
                        <w:tc>
                          <w:tcPr>
                            <w:tcW w:w="1502" w:type="dxa"/>
                          </w:tcPr>
                          <w:p w14:paraId="2E9CCFED" w14:textId="77777777" w:rsidR="00AC6F3C" w:rsidRDefault="00570E88">
                            <w:pPr>
                              <w:pStyle w:val="TableParagraph"/>
                              <w:spacing w:line="154" w:lineRule="exact"/>
                              <w:ind w:left="409"/>
                              <w:rPr>
                                <w:sz w:val="15"/>
                              </w:rPr>
                            </w:pPr>
                            <w:r>
                              <w:rPr>
                                <w:spacing w:val="-2"/>
                                <w:sz w:val="15"/>
                              </w:rPr>
                              <w:t>communities</w:t>
                            </w:r>
                          </w:p>
                        </w:tc>
                        <w:tc>
                          <w:tcPr>
                            <w:tcW w:w="986" w:type="dxa"/>
                          </w:tcPr>
                          <w:p w14:paraId="50E17FB4" w14:textId="77777777" w:rsidR="00AC6F3C" w:rsidRDefault="00570E88">
                            <w:pPr>
                              <w:pStyle w:val="TableParagraph"/>
                              <w:spacing w:line="154" w:lineRule="exact"/>
                              <w:ind w:left="282"/>
                              <w:rPr>
                                <w:b/>
                                <w:sz w:val="15"/>
                              </w:rPr>
                            </w:pPr>
                            <w:r>
                              <w:rPr>
                                <w:b/>
                                <w:spacing w:val="-2"/>
                                <w:sz w:val="15"/>
                              </w:rPr>
                              <w:t>Yellow</w:t>
                            </w:r>
                          </w:p>
                        </w:tc>
                        <w:tc>
                          <w:tcPr>
                            <w:tcW w:w="874" w:type="dxa"/>
                          </w:tcPr>
                          <w:p w14:paraId="75ECF69A" w14:textId="77777777" w:rsidR="00AC6F3C" w:rsidRDefault="00570E88">
                            <w:pPr>
                              <w:pStyle w:val="TableParagraph"/>
                              <w:spacing w:line="154" w:lineRule="exact"/>
                              <w:ind w:left="259"/>
                              <w:rPr>
                                <w:b/>
                                <w:sz w:val="15"/>
                              </w:rPr>
                            </w:pPr>
                            <w:r>
                              <w:rPr>
                                <w:b/>
                                <w:spacing w:val="-2"/>
                                <w:sz w:val="15"/>
                              </w:rPr>
                              <w:t>ongoing</w:t>
                            </w:r>
                          </w:p>
                        </w:tc>
                      </w:tr>
                      <w:tr w:rsidR="00AC6F3C" w14:paraId="572942DC" w14:textId="77777777">
                        <w:trPr>
                          <w:trHeight w:val="173"/>
                        </w:trPr>
                        <w:tc>
                          <w:tcPr>
                            <w:tcW w:w="1881" w:type="dxa"/>
                          </w:tcPr>
                          <w:p w14:paraId="631081B9" w14:textId="77777777" w:rsidR="00AC6F3C" w:rsidRDefault="00570E88">
                            <w:pPr>
                              <w:pStyle w:val="TableParagraph"/>
                              <w:spacing w:before="1" w:line="152" w:lineRule="exact"/>
                              <w:ind w:left="50"/>
                              <w:rPr>
                                <w:sz w:val="15"/>
                              </w:rPr>
                            </w:pPr>
                            <w:r>
                              <w:rPr>
                                <w:spacing w:val="-4"/>
                                <w:sz w:val="15"/>
                              </w:rPr>
                              <w:t>business</w:t>
                            </w:r>
                            <w:r>
                              <w:rPr>
                                <w:spacing w:val="-2"/>
                                <w:sz w:val="15"/>
                              </w:rPr>
                              <w:t xml:space="preserve"> systems</w:t>
                            </w:r>
                          </w:p>
                        </w:tc>
                        <w:tc>
                          <w:tcPr>
                            <w:tcW w:w="2561" w:type="dxa"/>
                          </w:tcPr>
                          <w:p w14:paraId="0B4D93A4" w14:textId="77777777" w:rsidR="00AC6F3C" w:rsidRDefault="00AC6F3C">
                            <w:pPr>
                              <w:pStyle w:val="TableParagraph"/>
                              <w:rPr>
                                <w:rFonts w:ascii="Times New Roman"/>
                                <w:sz w:val="10"/>
                              </w:rPr>
                            </w:pPr>
                          </w:p>
                        </w:tc>
                        <w:tc>
                          <w:tcPr>
                            <w:tcW w:w="1358" w:type="dxa"/>
                          </w:tcPr>
                          <w:p w14:paraId="3A25B09A" w14:textId="77777777" w:rsidR="00AC6F3C" w:rsidRDefault="00570E88">
                            <w:pPr>
                              <w:pStyle w:val="TableParagraph"/>
                              <w:spacing w:before="1" w:line="152" w:lineRule="exact"/>
                              <w:ind w:left="412"/>
                              <w:rPr>
                                <w:b/>
                                <w:sz w:val="15"/>
                              </w:rPr>
                            </w:pPr>
                            <w:r>
                              <w:rPr>
                                <w:b/>
                                <w:spacing w:val="-4"/>
                                <w:sz w:val="15"/>
                              </w:rPr>
                              <w:t>KPI5</w:t>
                            </w:r>
                          </w:p>
                        </w:tc>
                        <w:tc>
                          <w:tcPr>
                            <w:tcW w:w="1863" w:type="dxa"/>
                          </w:tcPr>
                          <w:p w14:paraId="52F4DC5C" w14:textId="77777777" w:rsidR="00AC6F3C" w:rsidRDefault="00AC6F3C">
                            <w:pPr>
                              <w:pStyle w:val="TableParagraph"/>
                              <w:rPr>
                                <w:rFonts w:ascii="Times New Roman"/>
                                <w:sz w:val="10"/>
                              </w:rPr>
                            </w:pPr>
                          </w:p>
                        </w:tc>
                        <w:tc>
                          <w:tcPr>
                            <w:tcW w:w="1502" w:type="dxa"/>
                          </w:tcPr>
                          <w:p w14:paraId="16B69C27" w14:textId="77777777" w:rsidR="00AC6F3C" w:rsidRDefault="00570E88">
                            <w:pPr>
                              <w:pStyle w:val="TableParagraph"/>
                              <w:spacing w:before="1" w:line="152" w:lineRule="exact"/>
                              <w:ind w:left="409"/>
                              <w:rPr>
                                <w:sz w:val="15"/>
                              </w:rPr>
                            </w:pPr>
                            <w:r>
                              <w:rPr>
                                <w:spacing w:val="-2"/>
                                <w:sz w:val="15"/>
                              </w:rPr>
                              <w:t>module</w:t>
                            </w:r>
                          </w:p>
                        </w:tc>
                        <w:tc>
                          <w:tcPr>
                            <w:tcW w:w="986" w:type="dxa"/>
                          </w:tcPr>
                          <w:p w14:paraId="769138C4" w14:textId="77777777" w:rsidR="00AC6F3C" w:rsidRDefault="00AC6F3C">
                            <w:pPr>
                              <w:pStyle w:val="TableParagraph"/>
                              <w:rPr>
                                <w:rFonts w:ascii="Times New Roman"/>
                                <w:sz w:val="10"/>
                              </w:rPr>
                            </w:pPr>
                          </w:p>
                        </w:tc>
                        <w:tc>
                          <w:tcPr>
                            <w:tcW w:w="874" w:type="dxa"/>
                          </w:tcPr>
                          <w:p w14:paraId="3C3BA4AD" w14:textId="77777777" w:rsidR="00AC6F3C" w:rsidRDefault="00AC6F3C">
                            <w:pPr>
                              <w:pStyle w:val="TableParagraph"/>
                              <w:rPr>
                                <w:rFonts w:ascii="Times New Roman"/>
                                <w:sz w:val="10"/>
                              </w:rPr>
                            </w:pPr>
                          </w:p>
                        </w:tc>
                      </w:tr>
                    </w:tbl>
                    <w:p w14:paraId="64F6CCBC" w14:textId="77777777" w:rsidR="00AC6F3C" w:rsidRDefault="00AC6F3C">
                      <w:pPr>
                        <w:pStyle w:val="BodyText"/>
                      </w:pPr>
                    </w:p>
                  </w:txbxContent>
                </v:textbox>
                <w10:wrap anchorx="page"/>
              </v:shape>
            </w:pict>
          </mc:Fallback>
        </mc:AlternateContent>
      </w:r>
      <w:r>
        <w:rPr>
          <w:spacing w:val="-4"/>
          <w:sz w:val="15"/>
        </w:rPr>
        <w:t>On</w:t>
      </w:r>
      <w:r>
        <w:rPr>
          <w:spacing w:val="-6"/>
          <w:sz w:val="15"/>
        </w:rPr>
        <w:t xml:space="preserve"> </w:t>
      </w:r>
      <w:r>
        <w:rPr>
          <w:spacing w:val="-4"/>
          <w:sz w:val="15"/>
        </w:rPr>
        <w:t>track</w:t>
      </w:r>
      <w:r>
        <w:rPr>
          <w:spacing w:val="-6"/>
          <w:sz w:val="15"/>
        </w:rPr>
        <w:t xml:space="preserve"> </w:t>
      </w:r>
      <w:r>
        <w:rPr>
          <w:spacing w:val="-4"/>
          <w:sz w:val="15"/>
        </w:rPr>
        <w:t>and</w:t>
      </w:r>
      <w:r>
        <w:rPr>
          <w:spacing w:val="-6"/>
          <w:sz w:val="15"/>
        </w:rPr>
        <w:t xml:space="preserve"> </w:t>
      </w:r>
      <w:r>
        <w:rPr>
          <w:spacing w:val="-4"/>
          <w:sz w:val="15"/>
        </w:rPr>
        <w:t>ongoing</w:t>
      </w:r>
      <w:r>
        <w:rPr>
          <w:spacing w:val="-6"/>
          <w:sz w:val="15"/>
        </w:rPr>
        <w:t xml:space="preserve"> </w:t>
      </w:r>
      <w:r>
        <w:rPr>
          <w:spacing w:val="-4"/>
          <w:sz w:val="15"/>
        </w:rPr>
        <w:t>–</w:t>
      </w:r>
      <w:r>
        <w:rPr>
          <w:spacing w:val="-6"/>
          <w:sz w:val="15"/>
        </w:rPr>
        <w:t xml:space="preserve"> </w:t>
      </w:r>
      <w:r>
        <w:rPr>
          <w:spacing w:val="-4"/>
          <w:sz w:val="15"/>
        </w:rPr>
        <w:t>the</w:t>
      </w:r>
      <w:r>
        <w:rPr>
          <w:spacing w:val="-6"/>
          <w:sz w:val="15"/>
        </w:rPr>
        <w:t xml:space="preserve"> </w:t>
      </w:r>
      <w:r>
        <w:rPr>
          <w:spacing w:val="-4"/>
          <w:sz w:val="15"/>
        </w:rPr>
        <w:t>upgrade</w:t>
      </w:r>
      <w:r>
        <w:rPr>
          <w:spacing w:val="-6"/>
          <w:sz w:val="15"/>
        </w:rPr>
        <w:t xml:space="preserve"> </w:t>
      </w:r>
      <w:r>
        <w:rPr>
          <w:spacing w:val="-4"/>
          <w:sz w:val="15"/>
        </w:rPr>
        <w:t>of</w:t>
      </w:r>
      <w:r>
        <w:rPr>
          <w:spacing w:val="-6"/>
          <w:sz w:val="15"/>
        </w:rPr>
        <w:t xml:space="preserve"> </w:t>
      </w:r>
      <w:r>
        <w:rPr>
          <w:spacing w:val="-4"/>
          <w:sz w:val="15"/>
        </w:rPr>
        <w:t>the</w:t>
      </w:r>
      <w:r>
        <w:rPr>
          <w:sz w:val="15"/>
        </w:rPr>
        <w:t xml:space="preserve"> </w:t>
      </w:r>
      <w:r>
        <w:rPr>
          <w:spacing w:val="-4"/>
          <w:sz w:val="15"/>
        </w:rPr>
        <w:t>website</w:t>
      </w:r>
      <w:r>
        <w:rPr>
          <w:spacing w:val="-7"/>
          <w:sz w:val="15"/>
        </w:rPr>
        <w:t xml:space="preserve"> </w:t>
      </w:r>
      <w:r>
        <w:rPr>
          <w:spacing w:val="-4"/>
          <w:sz w:val="15"/>
        </w:rPr>
        <w:t>CMS</w:t>
      </w:r>
      <w:r>
        <w:rPr>
          <w:spacing w:val="-6"/>
          <w:sz w:val="15"/>
        </w:rPr>
        <w:t xml:space="preserve"> </w:t>
      </w:r>
      <w:r>
        <w:rPr>
          <w:spacing w:val="-4"/>
          <w:sz w:val="15"/>
        </w:rPr>
        <w:t>from</w:t>
      </w:r>
      <w:r>
        <w:rPr>
          <w:spacing w:val="-7"/>
          <w:sz w:val="15"/>
        </w:rPr>
        <w:t xml:space="preserve"> </w:t>
      </w:r>
      <w:r>
        <w:rPr>
          <w:spacing w:val="-4"/>
          <w:sz w:val="15"/>
        </w:rPr>
        <w:t>v12</w:t>
      </w:r>
      <w:r>
        <w:rPr>
          <w:spacing w:val="-6"/>
          <w:sz w:val="15"/>
        </w:rPr>
        <w:t xml:space="preserve"> </w:t>
      </w:r>
      <w:r>
        <w:rPr>
          <w:spacing w:val="-4"/>
          <w:sz w:val="15"/>
        </w:rPr>
        <w:t>to</w:t>
      </w:r>
      <w:r>
        <w:rPr>
          <w:spacing w:val="-7"/>
          <w:sz w:val="15"/>
        </w:rPr>
        <w:t xml:space="preserve"> </w:t>
      </w:r>
      <w:r>
        <w:rPr>
          <w:spacing w:val="-4"/>
          <w:sz w:val="15"/>
        </w:rPr>
        <w:t>v13</w:t>
      </w:r>
      <w:r>
        <w:rPr>
          <w:spacing w:val="-6"/>
          <w:sz w:val="15"/>
        </w:rPr>
        <w:t xml:space="preserve"> </w:t>
      </w:r>
      <w:r>
        <w:rPr>
          <w:spacing w:val="-4"/>
          <w:sz w:val="15"/>
        </w:rPr>
        <w:t>will</w:t>
      </w:r>
      <w:r>
        <w:rPr>
          <w:spacing w:val="-6"/>
          <w:sz w:val="15"/>
        </w:rPr>
        <w:t xml:space="preserve"> </w:t>
      </w:r>
      <w:r>
        <w:rPr>
          <w:spacing w:val="-4"/>
          <w:sz w:val="15"/>
        </w:rPr>
        <w:t>continue</w:t>
      </w:r>
      <w:r>
        <w:rPr>
          <w:sz w:val="15"/>
        </w:rPr>
        <w:t xml:space="preserve"> into the new financial </w:t>
      </w:r>
      <w:proofErr w:type="gramStart"/>
      <w:r>
        <w:rPr>
          <w:sz w:val="15"/>
        </w:rPr>
        <w:t>year</w:t>
      </w:r>
      <w:proofErr w:type="gramEnd"/>
    </w:p>
    <w:p w14:paraId="6520D65C" w14:textId="77777777" w:rsidR="00AC6F3C" w:rsidRDefault="00AC6F3C">
      <w:pPr>
        <w:spacing w:line="249" w:lineRule="auto"/>
        <w:jc w:val="both"/>
        <w:rPr>
          <w:sz w:val="15"/>
        </w:rPr>
        <w:sectPr w:rsidR="00AC6F3C">
          <w:type w:val="continuous"/>
          <w:pgSz w:w="16840" w:h="11910" w:orient="landscape"/>
          <w:pgMar w:top="1920" w:right="320" w:bottom="280" w:left="300" w:header="0" w:footer="336" w:gutter="0"/>
          <w:cols w:num="3" w:space="720" w:equalWidth="0">
            <w:col w:w="6509" w:space="40"/>
            <w:col w:w="4091" w:space="39"/>
            <w:col w:w="5541"/>
          </w:cols>
        </w:sectPr>
      </w:pPr>
    </w:p>
    <w:p w14:paraId="37CC75B8" w14:textId="77777777" w:rsidR="00AC6F3C" w:rsidRDefault="00AC6F3C">
      <w:pPr>
        <w:pStyle w:val="BodyText"/>
        <w:spacing w:before="5"/>
        <w:rPr>
          <w:sz w:val="19"/>
        </w:rPr>
      </w:pPr>
    </w:p>
    <w:p w14:paraId="39CCD5B5" w14:textId="77777777" w:rsidR="00AC6F3C" w:rsidRDefault="00570E88">
      <w:pPr>
        <w:pStyle w:val="BodyText"/>
        <w:spacing w:line="20" w:lineRule="exact"/>
        <w:ind w:left="122"/>
        <w:rPr>
          <w:sz w:val="2"/>
        </w:rPr>
      </w:pPr>
      <w:r>
        <w:rPr>
          <w:noProof/>
          <w:sz w:val="2"/>
        </w:rPr>
        <mc:AlternateContent>
          <mc:Choice Requires="wpg">
            <w:drawing>
              <wp:inline distT="0" distB="0" distL="0" distR="0" wp14:anchorId="004663DD" wp14:editId="2771C05F">
                <wp:extent cx="10152380" cy="3175"/>
                <wp:effectExtent l="9525" t="0" r="0" b="635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3175"/>
                          <a:chOff x="0" y="0"/>
                          <a:chExt cx="10152380" cy="3175"/>
                        </a:xfrm>
                      </wpg:grpSpPr>
                      <wps:wsp>
                        <wps:cNvPr id="195" name="Graphic 195"/>
                        <wps:cNvSpPr/>
                        <wps:spPr>
                          <a:xfrm>
                            <a:off x="0" y="1587"/>
                            <a:ext cx="576580" cy="1270"/>
                          </a:xfrm>
                          <a:custGeom>
                            <a:avLst/>
                            <a:gdLst/>
                            <a:ahLst/>
                            <a:cxnLst/>
                            <a:rect l="l" t="t" r="r" b="b"/>
                            <a:pathLst>
                              <a:path w="576580">
                                <a:moveTo>
                                  <a:pt x="0" y="0"/>
                                </a:moveTo>
                                <a:lnTo>
                                  <a:pt x="575995" y="0"/>
                                </a:lnTo>
                              </a:path>
                            </a:pathLst>
                          </a:custGeom>
                          <a:ln w="3175">
                            <a:solidFill>
                              <a:srgbClr val="000000"/>
                            </a:solidFill>
                            <a:prstDash val="solid"/>
                          </a:ln>
                        </wps:spPr>
                        <wps:bodyPr wrap="square" lIns="0" tIns="0" rIns="0" bIns="0" rtlCol="0">
                          <a:prstTxWarp prst="textNoShape">
                            <a:avLst/>
                          </a:prstTxWarp>
                          <a:noAutofit/>
                        </wps:bodyPr>
                      </wps:wsp>
                      <wps:wsp>
                        <wps:cNvPr id="196" name="Graphic 196"/>
                        <wps:cNvSpPr/>
                        <wps:spPr>
                          <a:xfrm>
                            <a:off x="576000" y="1587"/>
                            <a:ext cx="1386205" cy="1270"/>
                          </a:xfrm>
                          <a:custGeom>
                            <a:avLst/>
                            <a:gdLst/>
                            <a:ahLst/>
                            <a:cxnLst/>
                            <a:rect l="l" t="t" r="r" b="b"/>
                            <a:pathLst>
                              <a:path w="1386205">
                                <a:moveTo>
                                  <a:pt x="0" y="0"/>
                                </a:moveTo>
                                <a:lnTo>
                                  <a:pt x="1386001" y="0"/>
                                </a:lnTo>
                              </a:path>
                            </a:pathLst>
                          </a:custGeom>
                          <a:ln w="3175">
                            <a:solidFill>
                              <a:srgbClr val="000000"/>
                            </a:solidFill>
                            <a:prstDash val="solid"/>
                          </a:ln>
                        </wps:spPr>
                        <wps:bodyPr wrap="square" lIns="0" tIns="0" rIns="0" bIns="0" rtlCol="0">
                          <a:prstTxWarp prst="textNoShape">
                            <a:avLst/>
                          </a:prstTxWarp>
                          <a:noAutofit/>
                        </wps:bodyPr>
                      </wps:wsp>
                      <wps:wsp>
                        <wps:cNvPr id="197" name="Graphic 197"/>
                        <wps:cNvSpPr/>
                        <wps:spPr>
                          <a:xfrm>
                            <a:off x="1962000" y="1587"/>
                            <a:ext cx="1845310" cy="1270"/>
                          </a:xfrm>
                          <a:custGeom>
                            <a:avLst/>
                            <a:gdLst/>
                            <a:ahLst/>
                            <a:cxnLst/>
                            <a:rect l="l" t="t" r="r" b="b"/>
                            <a:pathLst>
                              <a:path w="1845310">
                                <a:moveTo>
                                  <a:pt x="0" y="0"/>
                                </a:moveTo>
                                <a:lnTo>
                                  <a:pt x="1845005" y="0"/>
                                </a:lnTo>
                              </a:path>
                            </a:pathLst>
                          </a:custGeom>
                          <a:ln w="3175">
                            <a:solidFill>
                              <a:srgbClr val="000000"/>
                            </a:solidFill>
                            <a:prstDash val="solid"/>
                          </a:ln>
                        </wps:spPr>
                        <wps:bodyPr wrap="square" lIns="0" tIns="0" rIns="0" bIns="0" rtlCol="0">
                          <a:prstTxWarp prst="textNoShape">
                            <a:avLst/>
                          </a:prstTxWarp>
                          <a:noAutofit/>
                        </wps:bodyPr>
                      </wps:wsp>
                      <wps:wsp>
                        <wps:cNvPr id="198" name="Graphic 198"/>
                        <wps:cNvSpPr/>
                        <wps:spPr>
                          <a:xfrm>
                            <a:off x="3807000" y="1587"/>
                            <a:ext cx="450215" cy="1270"/>
                          </a:xfrm>
                          <a:custGeom>
                            <a:avLst/>
                            <a:gdLst/>
                            <a:ahLst/>
                            <a:cxnLst/>
                            <a:rect l="l" t="t" r="r" b="b"/>
                            <a:pathLst>
                              <a:path w="450215">
                                <a:moveTo>
                                  <a:pt x="0" y="0"/>
                                </a:moveTo>
                                <a:lnTo>
                                  <a:pt x="449999" y="0"/>
                                </a:lnTo>
                              </a:path>
                            </a:pathLst>
                          </a:custGeom>
                          <a:ln w="3175">
                            <a:solidFill>
                              <a:srgbClr val="000000"/>
                            </a:solidFill>
                            <a:prstDash val="solid"/>
                          </a:ln>
                        </wps:spPr>
                        <wps:bodyPr wrap="square" lIns="0" tIns="0" rIns="0" bIns="0" rtlCol="0">
                          <a:prstTxWarp prst="textNoShape">
                            <a:avLst/>
                          </a:prstTxWarp>
                          <a:noAutofit/>
                        </wps:bodyPr>
                      </wps:wsp>
                      <wps:wsp>
                        <wps:cNvPr id="199" name="Graphic 199"/>
                        <wps:cNvSpPr/>
                        <wps:spPr>
                          <a:xfrm>
                            <a:off x="4257000" y="1587"/>
                            <a:ext cx="549275" cy="1270"/>
                          </a:xfrm>
                          <a:custGeom>
                            <a:avLst/>
                            <a:gdLst/>
                            <a:ahLst/>
                            <a:cxnLst/>
                            <a:rect l="l" t="t" r="r" b="b"/>
                            <a:pathLst>
                              <a:path w="549275">
                                <a:moveTo>
                                  <a:pt x="0" y="0"/>
                                </a:moveTo>
                                <a:lnTo>
                                  <a:pt x="548995" y="0"/>
                                </a:lnTo>
                              </a:path>
                            </a:pathLst>
                          </a:custGeom>
                          <a:ln w="3175">
                            <a:solidFill>
                              <a:srgbClr val="000000"/>
                            </a:solidFill>
                            <a:prstDash val="solid"/>
                          </a:ln>
                        </wps:spPr>
                        <wps:bodyPr wrap="square" lIns="0" tIns="0" rIns="0" bIns="0" rtlCol="0">
                          <a:prstTxWarp prst="textNoShape">
                            <a:avLst/>
                          </a:prstTxWarp>
                          <a:noAutofit/>
                        </wps:bodyPr>
                      </wps:wsp>
                      <wps:wsp>
                        <wps:cNvPr id="200" name="Graphic 200"/>
                        <wps:cNvSpPr/>
                        <wps:spPr>
                          <a:xfrm>
                            <a:off x="4806000" y="1587"/>
                            <a:ext cx="774065" cy="1270"/>
                          </a:xfrm>
                          <a:custGeom>
                            <a:avLst/>
                            <a:gdLst/>
                            <a:ahLst/>
                            <a:cxnLst/>
                            <a:rect l="l" t="t" r="r" b="b"/>
                            <a:pathLst>
                              <a:path w="774065">
                                <a:moveTo>
                                  <a:pt x="0" y="0"/>
                                </a:moveTo>
                                <a:lnTo>
                                  <a:pt x="774001" y="0"/>
                                </a:lnTo>
                              </a:path>
                            </a:pathLst>
                          </a:custGeom>
                          <a:ln w="3175">
                            <a:solidFill>
                              <a:srgbClr val="000000"/>
                            </a:solidFill>
                            <a:prstDash val="solid"/>
                          </a:ln>
                        </wps:spPr>
                        <wps:bodyPr wrap="square" lIns="0" tIns="0" rIns="0" bIns="0" rtlCol="0">
                          <a:prstTxWarp prst="textNoShape">
                            <a:avLst/>
                          </a:prstTxWarp>
                          <a:noAutofit/>
                        </wps:bodyPr>
                      </wps:wsp>
                      <wps:wsp>
                        <wps:cNvPr id="201" name="Graphic 201"/>
                        <wps:cNvSpPr/>
                        <wps:spPr>
                          <a:xfrm>
                            <a:off x="5580000" y="1587"/>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wps:wsp>
                        <wps:cNvPr id="202" name="Graphic 202"/>
                        <wps:cNvSpPr/>
                        <wps:spPr>
                          <a:xfrm>
                            <a:off x="6723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203" name="Graphic 203"/>
                        <wps:cNvSpPr/>
                        <wps:spPr>
                          <a:xfrm>
                            <a:off x="7335000" y="1587"/>
                            <a:ext cx="612140" cy="1270"/>
                          </a:xfrm>
                          <a:custGeom>
                            <a:avLst/>
                            <a:gdLst/>
                            <a:ahLst/>
                            <a:cxnLst/>
                            <a:rect l="l" t="t" r="r" b="b"/>
                            <a:pathLst>
                              <a:path w="612140">
                                <a:moveTo>
                                  <a:pt x="0" y="0"/>
                                </a:moveTo>
                                <a:lnTo>
                                  <a:pt x="612000" y="0"/>
                                </a:lnTo>
                              </a:path>
                            </a:pathLst>
                          </a:custGeom>
                          <a:ln w="3175">
                            <a:solidFill>
                              <a:srgbClr val="000000"/>
                            </a:solidFill>
                            <a:prstDash val="solid"/>
                          </a:ln>
                        </wps:spPr>
                        <wps:bodyPr wrap="square" lIns="0" tIns="0" rIns="0" bIns="0" rtlCol="0">
                          <a:prstTxWarp prst="textNoShape">
                            <a:avLst/>
                          </a:prstTxWarp>
                          <a:noAutofit/>
                        </wps:bodyPr>
                      </wps:wsp>
                      <wps:wsp>
                        <wps:cNvPr id="204" name="Graphic 204"/>
                        <wps:cNvSpPr/>
                        <wps:spPr>
                          <a:xfrm>
                            <a:off x="7947000" y="1587"/>
                            <a:ext cx="2205355" cy="1270"/>
                          </a:xfrm>
                          <a:custGeom>
                            <a:avLst/>
                            <a:gdLst/>
                            <a:ahLst/>
                            <a:cxnLst/>
                            <a:rect l="l" t="t" r="r" b="b"/>
                            <a:pathLst>
                              <a:path w="2205355">
                                <a:moveTo>
                                  <a:pt x="0" y="0"/>
                                </a:moveTo>
                                <a:lnTo>
                                  <a:pt x="220499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689E10" id="Group 194" o:spid="_x0000_s1026" style="width:799.4pt;height:.25pt;mso-position-horizontal-relative:char;mso-position-vertical-relative:line" coordsize="101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">
                <v:shape id="Graphic 195" o:spid="_x0000_s1027" style="position:absolute;top:1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" path="m,l575995,e" filled="f" strokeweight=".25pt">
                  <v:path arrowok="t"/>
                </v:shape>
                <v:shape id="Graphic 196" o:spid="_x0000_s1028" style="position:absolute;left:5760;top:15;width:13862;height:13;visibility:visible;mso-wrap-style:square;v-text-anchor:top" coordsize="138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" path="m,l1386001,e" filled="f" strokeweight=".25pt">
                  <v:path arrowok="t"/>
                </v:shape>
                <v:shape id="Graphic 197" o:spid="_x0000_s1029" style="position:absolute;left:19620;top:15;width:18453;height:13;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" path="m,l1845005,e" filled="f" strokeweight=".25pt">
                  <v:path arrowok="t"/>
                </v:shape>
                <v:shape id="Graphic 198" o:spid="_x0000_s1030" style="position:absolute;left:38070;top:15;width:4502;height:13;visibility:visible;mso-wrap-style:square;v-text-anchor:top" coordsize="450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" path="m,l449999,e" filled="f" strokeweight=".25pt">
                  <v:path arrowok="t"/>
                </v:shape>
                <v:shape id="Graphic 199" o:spid="_x0000_s1031" style="position:absolute;left:42570;top:15;width:5492;height:13;visibility:visible;mso-wrap-style:square;v-text-anchor:top" coordsize="54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" path="m,l548995,e" filled="f" strokeweight=".25pt">
                  <v:path arrowok="t"/>
                </v:shape>
                <v:shape id="Graphic 200" o:spid="_x0000_s1032" style="position:absolute;left:48060;top:15;width:7740;height:13;visibility:visible;mso-wrap-style:square;v-text-anchor:top" coordsize="774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" path="m,l774001,e" filled="f" strokeweight=".25pt">
                  <v:path arrowok="t"/>
                </v:shape>
                <v:shape id="Graphic 201" o:spid="_x0000_s1033" style="position:absolute;left:55800;top:15;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" path="m,l1143000,e" filled="f" strokeweight=".25pt">
                  <v:path arrowok="t"/>
                </v:shape>
                <v:shape id="Graphic 202" o:spid="_x0000_s1034" style="position:absolute;left:6723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" path="m,l612000,e" filled="f" strokeweight=".25pt">
                  <v:path arrowok="t"/>
                </v:shape>
                <v:shape id="Graphic 203" o:spid="_x0000_s1035" style="position:absolute;left:73350;top:15;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" path="m,l612000,e" filled="f" strokeweight=".25pt">
                  <v:path arrowok="t"/>
                </v:shape>
                <v:shape id="Graphic 204" o:spid="_x0000_s1036" style="position:absolute;left:79470;top:15;width:22053;height:13;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" path="m,l2204999,e" filled="f" strokeweight=".25pt">
                  <v:path arrowok="t"/>
                </v:shape>
                <w10:anchorlock/>
              </v:group>
            </w:pict>
          </mc:Fallback>
        </mc:AlternateContent>
      </w:r>
    </w:p>
    <w:p w14:paraId="022F4DA2" w14:textId="77777777" w:rsidR="00AC6F3C" w:rsidRDefault="00AC6F3C">
      <w:pPr>
        <w:pStyle w:val="BodyText"/>
      </w:pPr>
    </w:p>
    <w:p w14:paraId="6BC20143" w14:textId="77777777" w:rsidR="00AC6F3C" w:rsidRDefault="00AC6F3C">
      <w:pPr>
        <w:pStyle w:val="BodyText"/>
        <w:spacing w:before="9"/>
        <w:rPr>
          <w:sz w:val="15"/>
        </w:rPr>
      </w:pPr>
    </w:p>
    <w:tbl>
      <w:tblPr>
        <w:tblW w:w="0" w:type="auto"/>
        <w:tblInd w:w="132" w:type="dxa"/>
        <w:tblLayout w:type="fixed"/>
        <w:tblCellMar>
          <w:left w:w="0" w:type="dxa"/>
          <w:right w:w="0" w:type="dxa"/>
        </w:tblCellMar>
        <w:tblLook w:val="01E0" w:firstRow="1" w:lastRow="1" w:firstColumn="1" w:lastColumn="1" w:noHBand="0" w:noVBand="0"/>
      </w:tblPr>
      <w:tblGrid>
        <w:gridCol w:w="1289"/>
        <w:gridCol w:w="5541"/>
        <w:gridCol w:w="2170"/>
        <w:gridCol w:w="1687"/>
        <w:gridCol w:w="2498"/>
        <w:gridCol w:w="1928"/>
      </w:tblGrid>
      <w:tr w:rsidR="00AC6F3C" w14:paraId="3755E285" w14:textId="77777777">
        <w:trPr>
          <w:trHeight w:val="470"/>
        </w:trPr>
        <w:tc>
          <w:tcPr>
            <w:tcW w:w="1289" w:type="dxa"/>
            <w:tcBorders>
              <w:bottom w:val="single" w:sz="8" w:space="0" w:color="000000"/>
            </w:tcBorders>
          </w:tcPr>
          <w:p w14:paraId="0CB75723" w14:textId="77777777" w:rsidR="00AC6F3C" w:rsidRDefault="00AC6F3C">
            <w:pPr>
              <w:pStyle w:val="TableParagraph"/>
              <w:spacing w:before="7"/>
              <w:rPr>
                <w:sz w:val="19"/>
              </w:rPr>
            </w:pPr>
          </w:p>
          <w:p w14:paraId="7096A491" w14:textId="77777777" w:rsidR="00AC6F3C" w:rsidRDefault="00570E88">
            <w:pPr>
              <w:pStyle w:val="TableParagraph"/>
              <w:ind w:left="85"/>
              <w:rPr>
                <w:b/>
                <w:sz w:val="15"/>
              </w:rPr>
            </w:pPr>
            <w:r>
              <w:rPr>
                <w:b/>
                <w:spacing w:val="-2"/>
                <w:sz w:val="15"/>
              </w:rPr>
              <w:t>Strategic</w:t>
            </w:r>
            <w:r>
              <w:rPr>
                <w:b/>
                <w:spacing w:val="-7"/>
                <w:sz w:val="15"/>
              </w:rPr>
              <w:t xml:space="preserve"> </w:t>
            </w:r>
            <w:r>
              <w:rPr>
                <w:b/>
                <w:spacing w:val="-4"/>
                <w:sz w:val="15"/>
              </w:rPr>
              <w:t>KPIs</w:t>
            </w:r>
          </w:p>
        </w:tc>
        <w:tc>
          <w:tcPr>
            <w:tcW w:w="5541" w:type="dxa"/>
            <w:tcBorders>
              <w:bottom w:val="single" w:sz="8" w:space="0" w:color="000000"/>
            </w:tcBorders>
          </w:tcPr>
          <w:p w14:paraId="5E343A1F" w14:textId="77777777" w:rsidR="00AC6F3C" w:rsidRDefault="00AC6F3C">
            <w:pPr>
              <w:pStyle w:val="TableParagraph"/>
              <w:spacing w:before="7"/>
              <w:rPr>
                <w:sz w:val="19"/>
              </w:rPr>
            </w:pPr>
          </w:p>
          <w:p w14:paraId="14A6A363" w14:textId="77777777" w:rsidR="00AC6F3C" w:rsidRDefault="00570E88">
            <w:pPr>
              <w:pStyle w:val="TableParagraph"/>
              <w:ind w:left="213"/>
              <w:rPr>
                <w:b/>
                <w:sz w:val="15"/>
              </w:rPr>
            </w:pPr>
            <w:r>
              <w:rPr>
                <w:b/>
                <w:spacing w:val="-2"/>
                <w:sz w:val="15"/>
              </w:rPr>
              <w:t>Strategic</w:t>
            </w:r>
            <w:r>
              <w:rPr>
                <w:b/>
                <w:spacing w:val="-8"/>
                <w:sz w:val="15"/>
              </w:rPr>
              <w:t xml:space="preserve"> </w:t>
            </w:r>
            <w:r>
              <w:rPr>
                <w:b/>
                <w:spacing w:val="-2"/>
                <w:sz w:val="15"/>
              </w:rPr>
              <w:t>KPIs</w:t>
            </w:r>
            <w:r>
              <w:rPr>
                <w:b/>
                <w:spacing w:val="-7"/>
                <w:sz w:val="15"/>
              </w:rPr>
              <w:t xml:space="preserve"> </w:t>
            </w:r>
            <w:r>
              <w:rPr>
                <w:b/>
                <w:spacing w:val="-2"/>
                <w:sz w:val="15"/>
              </w:rPr>
              <w:t>description</w:t>
            </w:r>
          </w:p>
        </w:tc>
        <w:tc>
          <w:tcPr>
            <w:tcW w:w="2170" w:type="dxa"/>
            <w:tcBorders>
              <w:bottom w:val="single" w:sz="8" w:space="0" w:color="000000"/>
            </w:tcBorders>
          </w:tcPr>
          <w:p w14:paraId="57D6C48F" w14:textId="77777777" w:rsidR="00AC6F3C" w:rsidRDefault="00570E88">
            <w:pPr>
              <w:pStyle w:val="TableParagraph"/>
              <w:spacing w:line="172" w:lineRule="exact"/>
              <w:ind w:left="233"/>
              <w:rPr>
                <w:b/>
                <w:sz w:val="15"/>
              </w:rPr>
            </w:pPr>
            <w:r>
              <w:rPr>
                <w:b/>
                <w:spacing w:val="-2"/>
                <w:sz w:val="15"/>
              </w:rPr>
              <w:t>First</w:t>
            </w:r>
            <w:r>
              <w:rPr>
                <w:b/>
                <w:spacing w:val="-8"/>
                <w:sz w:val="15"/>
              </w:rPr>
              <w:t xml:space="preserve"> </w:t>
            </w:r>
            <w:r>
              <w:rPr>
                <w:b/>
                <w:spacing w:val="-2"/>
                <w:sz w:val="15"/>
              </w:rPr>
              <w:t>year</w:t>
            </w:r>
            <w:r>
              <w:rPr>
                <w:b/>
                <w:spacing w:val="-8"/>
                <w:sz w:val="15"/>
              </w:rPr>
              <w:t xml:space="preserve"> </w:t>
            </w:r>
            <w:r>
              <w:rPr>
                <w:b/>
                <w:spacing w:val="-2"/>
                <w:sz w:val="15"/>
              </w:rPr>
              <w:t>of</w:t>
            </w:r>
            <w:r>
              <w:rPr>
                <w:b/>
                <w:spacing w:val="-8"/>
                <w:sz w:val="15"/>
              </w:rPr>
              <w:t xml:space="preserve"> </w:t>
            </w:r>
            <w:r>
              <w:rPr>
                <w:b/>
                <w:spacing w:val="-2"/>
                <w:sz w:val="15"/>
              </w:rPr>
              <w:t>Strategic</w:t>
            </w:r>
            <w:r>
              <w:rPr>
                <w:b/>
                <w:spacing w:val="-8"/>
                <w:sz w:val="15"/>
              </w:rPr>
              <w:t xml:space="preserve"> </w:t>
            </w:r>
            <w:r>
              <w:rPr>
                <w:b/>
                <w:spacing w:val="-4"/>
                <w:sz w:val="15"/>
              </w:rPr>
              <w:t>Plan</w:t>
            </w:r>
          </w:p>
          <w:p w14:paraId="653F999C" w14:textId="77777777" w:rsidR="00AC6F3C" w:rsidRDefault="00570E88">
            <w:pPr>
              <w:pStyle w:val="TableParagraph"/>
              <w:spacing w:before="54"/>
              <w:ind w:left="233"/>
              <w:rPr>
                <w:b/>
                <w:sz w:val="15"/>
              </w:rPr>
            </w:pPr>
            <w:r>
              <w:rPr>
                <w:b/>
                <w:spacing w:val="-2"/>
                <w:sz w:val="15"/>
              </w:rPr>
              <w:t>Status</w:t>
            </w:r>
            <w:r>
              <w:rPr>
                <w:b/>
                <w:spacing w:val="-9"/>
                <w:sz w:val="15"/>
              </w:rPr>
              <w:t xml:space="preserve"> </w:t>
            </w:r>
            <w:r>
              <w:rPr>
                <w:b/>
                <w:spacing w:val="-2"/>
                <w:sz w:val="15"/>
              </w:rPr>
              <w:t>(average)</w:t>
            </w:r>
          </w:p>
        </w:tc>
        <w:tc>
          <w:tcPr>
            <w:tcW w:w="1687" w:type="dxa"/>
            <w:tcBorders>
              <w:bottom w:val="single" w:sz="8" w:space="0" w:color="000000"/>
            </w:tcBorders>
          </w:tcPr>
          <w:p w14:paraId="53F4D295" w14:textId="77777777" w:rsidR="00AC6F3C" w:rsidRDefault="00AC6F3C">
            <w:pPr>
              <w:pStyle w:val="TableParagraph"/>
              <w:spacing w:before="7"/>
              <w:rPr>
                <w:sz w:val="19"/>
              </w:rPr>
            </w:pPr>
          </w:p>
          <w:p w14:paraId="723F80F5" w14:textId="77777777" w:rsidR="00AC6F3C" w:rsidRDefault="00570E88">
            <w:pPr>
              <w:pStyle w:val="TableParagraph"/>
              <w:ind w:left="104"/>
              <w:rPr>
                <w:b/>
                <w:sz w:val="15"/>
              </w:rPr>
            </w:pPr>
            <w:r>
              <w:rPr>
                <w:b/>
                <w:spacing w:val="-2"/>
                <w:sz w:val="15"/>
              </w:rPr>
              <w:t>Status</w:t>
            </w:r>
            <w:r>
              <w:rPr>
                <w:b/>
                <w:spacing w:val="-9"/>
                <w:sz w:val="15"/>
              </w:rPr>
              <w:t xml:space="preserve"> </w:t>
            </w:r>
            <w:r>
              <w:rPr>
                <w:b/>
                <w:spacing w:val="-2"/>
                <w:sz w:val="15"/>
              </w:rPr>
              <w:t>(average)</w:t>
            </w:r>
          </w:p>
        </w:tc>
        <w:tc>
          <w:tcPr>
            <w:tcW w:w="2498" w:type="dxa"/>
            <w:tcBorders>
              <w:bottom w:val="single" w:sz="8" w:space="0" w:color="000000"/>
            </w:tcBorders>
          </w:tcPr>
          <w:p w14:paraId="09432740" w14:textId="77777777" w:rsidR="00AC6F3C" w:rsidRDefault="00570E88">
            <w:pPr>
              <w:pStyle w:val="TableParagraph"/>
              <w:spacing w:line="172" w:lineRule="exact"/>
              <w:ind w:left="458" w:right="-15"/>
              <w:rPr>
                <w:b/>
                <w:sz w:val="15"/>
              </w:rPr>
            </w:pPr>
            <w:r>
              <w:rPr>
                <w:b/>
                <w:spacing w:val="-2"/>
                <w:sz w:val="15"/>
              </w:rPr>
              <w:t>Second</w:t>
            </w:r>
            <w:r>
              <w:rPr>
                <w:b/>
                <w:spacing w:val="-9"/>
                <w:sz w:val="15"/>
              </w:rPr>
              <w:t xml:space="preserve"> </w:t>
            </w:r>
            <w:r>
              <w:rPr>
                <w:b/>
                <w:spacing w:val="-2"/>
                <w:sz w:val="15"/>
              </w:rPr>
              <w:t>year</w:t>
            </w:r>
            <w:r>
              <w:rPr>
                <w:b/>
                <w:spacing w:val="-8"/>
                <w:sz w:val="15"/>
              </w:rPr>
              <w:t xml:space="preserve"> </w:t>
            </w:r>
            <w:r>
              <w:rPr>
                <w:b/>
                <w:spacing w:val="-2"/>
                <w:sz w:val="15"/>
              </w:rPr>
              <w:t>of</w:t>
            </w:r>
            <w:r>
              <w:rPr>
                <w:b/>
                <w:spacing w:val="-8"/>
                <w:sz w:val="15"/>
              </w:rPr>
              <w:t xml:space="preserve"> </w:t>
            </w:r>
            <w:r>
              <w:rPr>
                <w:b/>
                <w:spacing w:val="-2"/>
                <w:sz w:val="15"/>
              </w:rPr>
              <w:t>Strategic</w:t>
            </w:r>
            <w:r>
              <w:rPr>
                <w:b/>
                <w:spacing w:val="-8"/>
                <w:sz w:val="15"/>
              </w:rPr>
              <w:t xml:space="preserve"> </w:t>
            </w:r>
            <w:r>
              <w:rPr>
                <w:b/>
                <w:spacing w:val="-4"/>
                <w:sz w:val="15"/>
              </w:rPr>
              <w:t>Plan</w:t>
            </w:r>
          </w:p>
          <w:p w14:paraId="7045799F" w14:textId="77777777" w:rsidR="00AC6F3C" w:rsidRDefault="00570E88">
            <w:pPr>
              <w:pStyle w:val="TableParagraph"/>
              <w:spacing w:before="54"/>
              <w:ind w:left="458"/>
              <w:rPr>
                <w:b/>
                <w:sz w:val="15"/>
              </w:rPr>
            </w:pPr>
            <w:r>
              <w:rPr>
                <w:b/>
                <w:spacing w:val="-2"/>
                <w:sz w:val="15"/>
              </w:rPr>
              <w:t>Status</w:t>
            </w:r>
            <w:r>
              <w:rPr>
                <w:b/>
                <w:spacing w:val="-9"/>
                <w:sz w:val="15"/>
              </w:rPr>
              <w:t xml:space="preserve"> </w:t>
            </w:r>
            <w:r>
              <w:rPr>
                <w:b/>
                <w:spacing w:val="-2"/>
                <w:sz w:val="15"/>
              </w:rPr>
              <w:t>(average)</w:t>
            </w:r>
          </w:p>
        </w:tc>
        <w:tc>
          <w:tcPr>
            <w:tcW w:w="1928" w:type="dxa"/>
            <w:tcBorders>
              <w:bottom w:val="single" w:sz="8" w:space="0" w:color="000000"/>
            </w:tcBorders>
          </w:tcPr>
          <w:p w14:paraId="3457AB85" w14:textId="77777777" w:rsidR="00AC6F3C" w:rsidRDefault="00AC6F3C">
            <w:pPr>
              <w:pStyle w:val="TableParagraph"/>
              <w:spacing w:before="7"/>
              <w:rPr>
                <w:sz w:val="19"/>
              </w:rPr>
            </w:pPr>
          </w:p>
          <w:p w14:paraId="225BD061" w14:textId="77777777" w:rsidR="00AC6F3C" w:rsidRDefault="00570E88">
            <w:pPr>
              <w:pStyle w:val="TableParagraph"/>
              <w:ind w:left="1"/>
              <w:rPr>
                <w:b/>
                <w:sz w:val="15"/>
              </w:rPr>
            </w:pPr>
            <w:r>
              <w:rPr>
                <w:b/>
                <w:spacing w:val="-2"/>
                <w:sz w:val="15"/>
              </w:rPr>
              <w:t>Status</w:t>
            </w:r>
            <w:r>
              <w:rPr>
                <w:b/>
                <w:spacing w:val="-9"/>
                <w:sz w:val="15"/>
              </w:rPr>
              <w:t xml:space="preserve"> </w:t>
            </w:r>
            <w:r>
              <w:rPr>
                <w:b/>
                <w:spacing w:val="-2"/>
                <w:sz w:val="15"/>
              </w:rPr>
              <w:t>(average)</w:t>
            </w:r>
          </w:p>
        </w:tc>
      </w:tr>
      <w:tr w:rsidR="00AC6F3C" w14:paraId="5D358DFF" w14:textId="77777777">
        <w:trPr>
          <w:trHeight w:val="334"/>
        </w:trPr>
        <w:tc>
          <w:tcPr>
            <w:tcW w:w="1289" w:type="dxa"/>
            <w:tcBorders>
              <w:top w:val="single" w:sz="8" w:space="0" w:color="000000"/>
              <w:bottom w:val="single" w:sz="2" w:space="0" w:color="000000"/>
            </w:tcBorders>
          </w:tcPr>
          <w:p w14:paraId="74DFD484" w14:textId="77777777" w:rsidR="00AC6F3C" w:rsidRDefault="00570E88">
            <w:pPr>
              <w:pStyle w:val="TableParagraph"/>
              <w:spacing w:before="83"/>
              <w:ind w:left="84"/>
              <w:rPr>
                <w:b/>
                <w:sz w:val="15"/>
              </w:rPr>
            </w:pPr>
            <w:r>
              <w:rPr>
                <w:b/>
                <w:spacing w:val="-4"/>
                <w:sz w:val="15"/>
              </w:rPr>
              <w:t>KPI1</w:t>
            </w:r>
          </w:p>
        </w:tc>
        <w:tc>
          <w:tcPr>
            <w:tcW w:w="5541" w:type="dxa"/>
            <w:tcBorders>
              <w:top w:val="single" w:sz="8" w:space="0" w:color="000000"/>
              <w:bottom w:val="single" w:sz="2" w:space="0" w:color="000000"/>
            </w:tcBorders>
          </w:tcPr>
          <w:p w14:paraId="49E8C1BD" w14:textId="77777777" w:rsidR="00AC6F3C" w:rsidRDefault="00570E88">
            <w:pPr>
              <w:pStyle w:val="TableParagraph"/>
              <w:spacing w:before="83"/>
              <w:ind w:left="213"/>
              <w:rPr>
                <w:sz w:val="15"/>
              </w:rPr>
            </w:pPr>
            <w:r>
              <w:rPr>
                <w:spacing w:val="-4"/>
                <w:sz w:val="15"/>
              </w:rPr>
              <w:t>Growing</w:t>
            </w:r>
            <w:r>
              <w:rPr>
                <w:spacing w:val="-2"/>
                <w:sz w:val="15"/>
              </w:rPr>
              <w:t xml:space="preserve"> </w:t>
            </w:r>
            <w:r>
              <w:rPr>
                <w:spacing w:val="-4"/>
                <w:sz w:val="15"/>
              </w:rPr>
              <w:t>membership</w:t>
            </w:r>
            <w:r>
              <w:rPr>
                <w:spacing w:val="-1"/>
                <w:sz w:val="15"/>
              </w:rPr>
              <w:t xml:space="preserve"> </w:t>
            </w:r>
            <w:r>
              <w:rPr>
                <w:spacing w:val="-4"/>
                <w:sz w:val="15"/>
              </w:rPr>
              <w:t>engagement</w:t>
            </w:r>
            <w:r>
              <w:rPr>
                <w:spacing w:val="-1"/>
                <w:sz w:val="15"/>
              </w:rPr>
              <w:t xml:space="preserve"> </w:t>
            </w:r>
            <w:r>
              <w:rPr>
                <w:spacing w:val="-4"/>
                <w:sz w:val="15"/>
              </w:rPr>
              <w:t>and</w:t>
            </w:r>
            <w:r>
              <w:rPr>
                <w:spacing w:val="-1"/>
                <w:sz w:val="15"/>
              </w:rPr>
              <w:t xml:space="preserve"> </w:t>
            </w:r>
            <w:r>
              <w:rPr>
                <w:spacing w:val="-4"/>
                <w:sz w:val="15"/>
              </w:rPr>
              <w:t>attendance</w:t>
            </w:r>
            <w:r>
              <w:rPr>
                <w:spacing w:val="-1"/>
                <w:sz w:val="15"/>
              </w:rPr>
              <w:t xml:space="preserve"> </w:t>
            </w:r>
            <w:r>
              <w:rPr>
                <w:spacing w:val="-4"/>
                <w:sz w:val="15"/>
              </w:rPr>
              <w:t>numbers</w:t>
            </w:r>
            <w:r>
              <w:rPr>
                <w:spacing w:val="-1"/>
                <w:sz w:val="15"/>
              </w:rPr>
              <w:t xml:space="preserve"> </w:t>
            </w:r>
            <w:r>
              <w:rPr>
                <w:spacing w:val="-4"/>
                <w:sz w:val="15"/>
              </w:rPr>
              <w:t>to</w:t>
            </w:r>
            <w:r>
              <w:rPr>
                <w:spacing w:val="-1"/>
                <w:sz w:val="15"/>
              </w:rPr>
              <w:t xml:space="preserve"> </w:t>
            </w:r>
            <w:r>
              <w:rPr>
                <w:spacing w:val="-4"/>
                <w:sz w:val="15"/>
              </w:rPr>
              <w:t>events</w:t>
            </w:r>
            <w:r>
              <w:rPr>
                <w:spacing w:val="-2"/>
                <w:sz w:val="15"/>
              </w:rPr>
              <w:t xml:space="preserve"> </w:t>
            </w:r>
            <w:r>
              <w:rPr>
                <w:spacing w:val="-4"/>
                <w:sz w:val="15"/>
              </w:rPr>
              <w:t>and</w:t>
            </w:r>
            <w:r>
              <w:rPr>
                <w:spacing w:val="-1"/>
                <w:sz w:val="15"/>
              </w:rPr>
              <w:t xml:space="preserve"> </w:t>
            </w:r>
            <w:r>
              <w:rPr>
                <w:spacing w:val="-5"/>
                <w:sz w:val="15"/>
              </w:rPr>
              <w:t>CPD</w:t>
            </w:r>
          </w:p>
        </w:tc>
        <w:tc>
          <w:tcPr>
            <w:tcW w:w="2170" w:type="dxa"/>
            <w:tcBorders>
              <w:top w:val="single" w:sz="8" w:space="0" w:color="000000"/>
              <w:bottom w:val="single" w:sz="2" w:space="0" w:color="000000"/>
            </w:tcBorders>
          </w:tcPr>
          <w:p w14:paraId="015D5E2F" w14:textId="77777777" w:rsidR="00AC6F3C" w:rsidRDefault="00570E88">
            <w:pPr>
              <w:pStyle w:val="TableParagraph"/>
              <w:spacing w:before="83"/>
              <w:ind w:left="236"/>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8" w:space="0" w:color="000000"/>
              <w:bottom w:val="single" w:sz="2" w:space="0" w:color="000000"/>
            </w:tcBorders>
          </w:tcPr>
          <w:p w14:paraId="75F2E17A" w14:textId="77777777" w:rsidR="00AC6F3C" w:rsidRDefault="00570E88">
            <w:pPr>
              <w:pStyle w:val="TableParagraph"/>
              <w:spacing w:before="83"/>
              <w:ind w:left="104"/>
              <w:rPr>
                <w:sz w:val="15"/>
              </w:rPr>
            </w:pPr>
            <w:proofErr w:type="gramStart"/>
            <w:r>
              <w:rPr>
                <w:spacing w:val="-5"/>
                <w:sz w:val="15"/>
              </w:rPr>
              <w:t>Green-</w:t>
            </w:r>
            <w:r>
              <w:rPr>
                <w:spacing w:val="-2"/>
                <w:sz w:val="15"/>
              </w:rPr>
              <w:t>Yellow</w:t>
            </w:r>
            <w:proofErr w:type="gramEnd"/>
          </w:p>
        </w:tc>
        <w:tc>
          <w:tcPr>
            <w:tcW w:w="2498" w:type="dxa"/>
            <w:tcBorders>
              <w:top w:val="single" w:sz="8" w:space="0" w:color="000000"/>
              <w:bottom w:val="single" w:sz="2" w:space="0" w:color="000000"/>
            </w:tcBorders>
          </w:tcPr>
          <w:p w14:paraId="01C0EC34"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8" w:space="0" w:color="000000"/>
              <w:bottom w:val="single" w:sz="2" w:space="0" w:color="000000"/>
            </w:tcBorders>
          </w:tcPr>
          <w:p w14:paraId="61322EAD" w14:textId="77777777" w:rsidR="00AC6F3C" w:rsidRDefault="00570E88">
            <w:pPr>
              <w:pStyle w:val="TableParagraph"/>
              <w:spacing w:before="83"/>
              <w:ind w:left="1"/>
              <w:rPr>
                <w:sz w:val="15"/>
              </w:rPr>
            </w:pPr>
            <w:proofErr w:type="gramStart"/>
            <w:r>
              <w:rPr>
                <w:spacing w:val="-5"/>
                <w:sz w:val="15"/>
              </w:rPr>
              <w:t>Green-</w:t>
            </w:r>
            <w:r>
              <w:rPr>
                <w:spacing w:val="-2"/>
                <w:sz w:val="15"/>
              </w:rPr>
              <w:t>Yellow</w:t>
            </w:r>
            <w:proofErr w:type="gramEnd"/>
          </w:p>
        </w:tc>
      </w:tr>
      <w:tr w:rsidR="00AC6F3C" w14:paraId="646DD0E7" w14:textId="77777777">
        <w:trPr>
          <w:trHeight w:val="334"/>
        </w:trPr>
        <w:tc>
          <w:tcPr>
            <w:tcW w:w="1289" w:type="dxa"/>
            <w:tcBorders>
              <w:top w:val="single" w:sz="2" w:space="0" w:color="000000"/>
              <w:bottom w:val="single" w:sz="2" w:space="0" w:color="000000"/>
            </w:tcBorders>
          </w:tcPr>
          <w:p w14:paraId="6A9556BC" w14:textId="77777777" w:rsidR="00AC6F3C" w:rsidRDefault="00570E88">
            <w:pPr>
              <w:pStyle w:val="TableParagraph"/>
              <w:spacing w:before="83"/>
              <w:ind w:left="84"/>
              <w:rPr>
                <w:b/>
                <w:sz w:val="15"/>
              </w:rPr>
            </w:pPr>
            <w:r>
              <w:rPr>
                <w:b/>
                <w:spacing w:val="-4"/>
                <w:sz w:val="15"/>
              </w:rPr>
              <w:t>KPI2</w:t>
            </w:r>
          </w:p>
        </w:tc>
        <w:tc>
          <w:tcPr>
            <w:tcW w:w="5541" w:type="dxa"/>
            <w:tcBorders>
              <w:top w:val="single" w:sz="2" w:space="0" w:color="000000"/>
              <w:bottom w:val="single" w:sz="2" w:space="0" w:color="000000"/>
            </w:tcBorders>
          </w:tcPr>
          <w:p w14:paraId="7E2D6819" w14:textId="77777777" w:rsidR="00AC6F3C" w:rsidRDefault="00570E88">
            <w:pPr>
              <w:pStyle w:val="TableParagraph"/>
              <w:spacing w:before="83"/>
              <w:ind w:left="213"/>
              <w:rPr>
                <w:sz w:val="15"/>
              </w:rPr>
            </w:pPr>
            <w:r>
              <w:rPr>
                <w:spacing w:val="-4"/>
                <w:sz w:val="15"/>
              </w:rPr>
              <w:t>Growing</w:t>
            </w:r>
            <w:r>
              <w:rPr>
                <w:sz w:val="15"/>
              </w:rPr>
              <w:t xml:space="preserve"> </w:t>
            </w:r>
            <w:r>
              <w:rPr>
                <w:spacing w:val="-4"/>
                <w:sz w:val="15"/>
              </w:rPr>
              <w:t>membership</w:t>
            </w:r>
            <w:r>
              <w:rPr>
                <w:sz w:val="15"/>
              </w:rPr>
              <w:t xml:space="preserve"> </w:t>
            </w:r>
            <w:r>
              <w:rPr>
                <w:spacing w:val="-4"/>
                <w:sz w:val="15"/>
              </w:rPr>
              <w:t>to</w:t>
            </w:r>
            <w:r>
              <w:rPr>
                <w:sz w:val="15"/>
              </w:rPr>
              <w:t xml:space="preserve"> </w:t>
            </w:r>
            <w:r>
              <w:rPr>
                <w:spacing w:val="-4"/>
                <w:sz w:val="15"/>
              </w:rPr>
              <w:t>PC</w:t>
            </w:r>
            <w:r>
              <w:rPr>
                <w:sz w:val="15"/>
              </w:rPr>
              <w:t xml:space="preserve"> </w:t>
            </w:r>
            <w:r>
              <w:rPr>
                <w:spacing w:val="-4"/>
                <w:sz w:val="15"/>
              </w:rPr>
              <w:t>conversion</w:t>
            </w:r>
            <w:r>
              <w:rPr>
                <w:spacing w:val="1"/>
                <w:sz w:val="15"/>
              </w:rPr>
              <w:t xml:space="preserve"> </w:t>
            </w:r>
            <w:r>
              <w:rPr>
                <w:spacing w:val="-4"/>
                <w:sz w:val="15"/>
              </w:rPr>
              <w:t>rate</w:t>
            </w:r>
          </w:p>
        </w:tc>
        <w:tc>
          <w:tcPr>
            <w:tcW w:w="2170" w:type="dxa"/>
            <w:tcBorders>
              <w:top w:val="single" w:sz="2" w:space="0" w:color="000000"/>
              <w:bottom w:val="single" w:sz="2" w:space="0" w:color="000000"/>
            </w:tcBorders>
          </w:tcPr>
          <w:p w14:paraId="2EFF8650" w14:textId="77777777" w:rsidR="00AC6F3C" w:rsidRDefault="00570E88">
            <w:pPr>
              <w:pStyle w:val="TableParagraph"/>
              <w:spacing w:before="83"/>
              <w:ind w:left="236"/>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2" w:space="0" w:color="000000"/>
              <w:bottom w:val="single" w:sz="2" w:space="0" w:color="000000"/>
            </w:tcBorders>
          </w:tcPr>
          <w:p w14:paraId="1BD06F06" w14:textId="77777777" w:rsidR="00AC6F3C" w:rsidRDefault="00570E88">
            <w:pPr>
              <w:pStyle w:val="TableParagraph"/>
              <w:spacing w:before="83"/>
              <w:ind w:left="104"/>
              <w:rPr>
                <w:sz w:val="15"/>
              </w:rPr>
            </w:pPr>
            <w:proofErr w:type="gramStart"/>
            <w:r>
              <w:rPr>
                <w:spacing w:val="-5"/>
                <w:sz w:val="15"/>
              </w:rPr>
              <w:t>Green-</w:t>
            </w:r>
            <w:r>
              <w:rPr>
                <w:spacing w:val="-2"/>
                <w:sz w:val="15"/>
              </w:rPr>
              <w:t>Yellow</w:t>
            </w:r>
            <w:proofErr w:type="gramEnd"/>
          </w:p>
        </w:tc>
        <w:tc>
          <w:tcPr>
            <w:tcW w:w="2498" w:type="dxa"/>
            <w:tcBorders>
              <w:top w:val="single" w:sz="2" w:space="0" w:color="000000"/>
              <w:bottom w:val="single" w:sz="2" w:space="0" w:color="000000"/>
            </w:tcBorders>
          </w:tcPr>
          <w:p w14:paraId="2640095B"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01B3A92D" w14:textId="77777777" w:rsidR="00AC6F3C" w:rsidRDefault="00570E88">
            <w:pPr>
              <w:pStyle w:val="TableParagraph"/>
              <w:spacing w:before="83"/>
              <w:ind w:left="1"/>
              <w:rPr>
                <w:sz w:val="15"/>
              </w:rPr>
            </w:pPr>
            <w:proofErr w:type="gramStart"/>
            <w:r>
              <w:rPr>
                <w:spacing w:val="-5"/>
                <w:sz w:val="15"/>
              </w:rPr>
              <w:t>Green-</w:t>
            </w:r>
            <w:r>
              <w:rPr>
                <w:spacing w:val="-2"/>
                <w:sz w:val="15"/>
              </w:rPr>
              <w:t>Yellow</w:t>
            </w:r>
            <w:proofErr w:type="gramEnd"/>
          </w:p>
        </w:tc>
      </w:tr>
      <w:tr w:rsidR="00AC6F3C" w14:paraId="5989C911" w14:textId="77777777">
        <w:trPr>
          <w:trHeight w:val="334"/>
        </w:trPr>
        <w:tc>
          <w:tcPr>
            <w:tcW w:w="1289" w:type="dxa"/>
            <w:tcBorders>
              <w:top w:val="single" w:sz="2" w:space="0" w:color="000000"/>
              <w:bottom w:val="single" w:sz="2" w:space="0" w:color="000000"/>
            </w:tcBorders>
          </w:tcPr>
          <w:p w14:paraId="63F4188B" w14:textId="77777777" w:rsidR="00AC6F3C" w:rsidRDefault="00570E88">
            <w:pPr>
              <w:pStyle w:val="TableParagraph"/>
              <w:spacing w:before="83"/>
              <w:ind w:left="84"/>
              <w:rPr>
                <w:b/>
                <w:sz w:val="15"/>
              </w:rPr>
            </w:pPr>
            <w:r>
              <w:rPr>
                <w:b/>
                <w:spacing w:val="-4"/>
                <w:sz w:val="15"/>
              </w:rPr>
              <w:t>KPI3</w:t>
            </w:r>
          </w:p>
        </w:tc>
        <w:tc>
          <w:tcPr>
            <w:tcW w:w="5541" w:type="dxa"/>
            <w:tcBorders>
              <w:top w:val="single" w:sz="2" w:space="0" w:color="000000"/>
              <w:bottom w:val="single" w:sz="2" w:space="0" w:color="000000"/>
            </w:tcBorders>
          </w:tcPr>
          <w:p w14:paraId="265E692F" w14:textId="77777777" w:rsidR="00AC6F3C" w:rsidRDefault="00570E88">
            <w:pPr>
              <w:pStyle w:val="TableParagraph"/>
              <w:spacing w:before="83"/>
              <w:ind w:left="212"/>
              <w:rPr>
                <w:sz w:val="15"/>
              </w:rPr>
            </w:pPr>
            <w:r>
              <w:rPr>
                <w:spacing w:val="-4"/>
                <w:sz w:val="15"/>
              </w:rPr>
              <w:t>Thriving,</w:t>
            </w:r>
            <w:r>
              <w:rPr>
                <w:sz w:val="15"/>
              </w:rPr>
              <w:t xml:space="preserve"> </w:t>
            </w:r>
            <w:r>
              <w:rPr>
                <w:spacing w:val="-4"/>
                <w:sz w:val="15"/>
              </w:rPr>
              <w:t>engaged</w:t>
            </w:r>
            <w:r>
              <w:rPr>
                <w:spacing w:val="1"/>
                <w:sz w:val="15"/>
              </w:rPr>
              <w:t xml:space="preserve"> </w:t>
            </w:r>
            <w:r>
              <w:rPr>
                <w:spacing w:val="-4"/>
                <w:sz w:val="15"/>
              </w:rPr>
              <w:t>and</w:t>
            </w:r>
            <w:r>
              <w:rPr>
                <w:sz w:val="15"/>
              </w:rPr>
              <w:t xml:space="preserve"> </w:t>
            </w:r>
            <w:r>
              <w:rPr>
                <w:spacing w:val="-4"/>
                <w:sz w:val="15"/>
              </w:rPr>
              <w:t>high</w:t>
            </w:r>
            <w:r>
              <w:rPr>
                <w:spacing w:val="1"/>
                <w:sz w:val="15"/>
              </w:rPr>
              <w:t xml:space="preserve"> </w:t>
            </w:r>
            <w:r>
              <w:rPr>
                <w:spacing w:val="-4"/>
                <w:sz w:val="15"/>
              </w:rPr>
              <w:t>quality</w:t>
            </w:r>
            <w:r>
              <w:rPr>
                <w:sz w:val="15"/>
              </w:rPr>
              <w:t xml:space="preserve"> </w:t>
            </w:r>
            <w:r>
              <w:rPr>
                <w:spacing w:val="-4"/>
                <w:sz w:val="15"/>
              </w:rPr>
              <w:t>QLS</w:t>
            </w:r>
            <w:r>
              <w:rPr>
                <w:spacing w:val="1"/>
                <w:sz w:val="15"/>
              </w:rPr>
              <w:t xml:space="preserve"> </w:t>
            </w:r>
            <w:r>
              <w:rPr>
                <w:spacing w:val="-4"/>
                <w:sz w:val="15"/>
              </w:rPr>
              <w:t>committee</w:t>
            </w:r>
            <w:r>
              <w:rPr>
                <w:sz w:val="15"/>
              </w:rPr>
              <w:t xml:space="preserve"> </w:t>
            </w:r>
            <w:r>
              <w:rPr>
                <w:spacing w:val="-4"/>
                <w:sz w:val="15"/>
              </w:rPr>
              <w:t>volunteer</w:t>
            </w:r>
            <w:r>
              <w:rPr>
                <w:spacing w:val="1"/>
                <w:sz w:val="15"/>
              </w:rPr>
              <w:t xml:space="preserve"> </w:t>
            </w:r>
            <w:r>
              <w:rPr>
                <w:spacing w:val="-4"/>
                <w:sz w:val="15"/>
              </w:rPr>
              <w:t>base</w:t>
            </w:r>
          </w:p>
        </w:tc>
        <w:tc>
          <w:tcPr>
            <w:tcW w:w="2170" w:type="dxa"/>
            <w:tcBorders>
              <w:top w:val="single" w:sz="2" w:space="0" w:color="000000"/>
              <w:bottom w:val="single" w:sz="2" w:space="0" w:color="000000"/>
            </w:tcBorders>
          </w:tcPr>
          <w:p w14:paraId="0EF5FE01" w14:textId="77777777" w:rsidR="00AC6F3C" w:rsidRDefault="00570E88">
            <w:pPr>
              <w:pStyle w:val="TableParagraph"/>
              <w:spacing w:before="83"/>
              <w:ind w:left="236"/>
              <w:rPr>
                <w:sz w:val="15"/>
              </w:rPr>
            </w:pPr>
            <w:r>
              <w:rPr>
                <w:spacing w:val="-2"/>
                <w:sz w:val="15"/>
              </w:rPr>
              <w:t>ACHIEVED</w:t>
            </w:r>
          </w:p>
        </w:tc>
        <w:tc>
          <w:tcPr>
            <w:tcW w:w="1687" w:type="dxa"/>
            <w:tcBorders>
              <w:top w:val="single" w:sz="2" w:space="0" w:color="000000"/>
              <w:bottom w:val="single" w:sz="2" w:space="0" w:color="000000"/>
            </w:tcBorders>
          </w:tcPr>
          <w:p w14:paraId="0E1E1C3F" w14:textId="77777777" w:rsidR="00AC6F3C" w:rsidRDefault="00570E88">
            <w:pPr>
              <w:pStyle w:val="TableParagraph"/>
              <w:spacing w:before="83"/>
              <w:ind w:left="104"/>
              <w:rPr>
                <w:sz w:val="15"/>
              </w:rPr>
            </w:pPr>
            <w:r>
              <w:rPr>
                <w:spacing w:val="-2"/>
                <w:sz w:val="15"/>
              </w:rPr>
              <w:t>Green</w:t>
            </w:r>
          </w:p>
        </w:tc>
        <w:tc>
          <w:tcPr>
            <w:tcW w:w="2498" w:type="dxa"/>
            <w:tcBorders>
              <w:top w:val="single" w:sz="2" w:space="0" w:color="000000"/>
              <w:bottom w:val="single" w:sz="2" w:space="0" w:color="000000"/>
            </w:tcBorders>
          </w:tcPr>
          <w:p w14:paraId="342E52FC"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70326CEE" w14:textId="77777777" w:rsidR="00AC6F3C" w:rsidRDefault="00570E88">
            <w:pPr>
              <w:pStyle w:val="TableParagraph"/>
              <w:spacing w:before="83"/>
              <w:ind w:left="1"/>
              <w:rPr>
                <w:sz w:val="15"/>
              </w:rPr>
            </w:pPr>
            <w:proofErr w:type="gramStart"/>
            <w:r>
              <w:rPr>
                <w:spacing w:val="-5"/>
                <w:sz w:val="15"/>
              </w:rPr>
              <w:t>Green-</w:t>
            </w:r>
            <w:r>
              <w:rPr>
                <w:spacing w:val="-2"/>
                <w:sz w:val="15"/>
              </w:rPr>
              <w:t>Yellow</w:t>
            </w:r>
            <w:proofErr w:type="gramEnd"/>
          </w:p>
        </w:tc>
      </w:tr>
      <w:tr w:rsidR="00AC6F3C" w14:paraId="7E3EBEB9" w14:textId="77777777">
        <w:trPr>
          <w:trHeight w:val="334"/>
        </w:trPr>
        <w:tc>
          <w:tcPr>
            <w:tcW w:w="1289" w:type="dxa"/>
            <w:tcBorders>
              <w:top w:val="single" w:sz="2" w:space="0" w:color="000000"/>
              <w:bottom w:val="single" w:sz="2" w:space="0" w:color="000000"/>
            </w:tcBorders>
          </w:tcPr>
          <w:p w14:paraId="15F36C84" w14:textId="77777777" w:rsidR="00AC6F3C" w:rsidRDefault="00570E88">
            <w:pPr>
              <w:pStyle w:val="TableParagraph"/>
              <w:spacing w:before="83"/>
              <w:ind w:left="84"/>
              <w:rPr>
                <w:b/>
                <w:sz w:val="15"/>
              </w:rPr>
            </w:pPr>
            <w:r>
              <w:rPr>
                <w:b/>
                <w:spacing w:val="-4"/>
                <w:sz w:val="15"/>
              </w:rPr>
              <w:t>KPI4</w:t>
            </w:r>
          </w:p>
        </w:tc>
        <w:tc>
          <w:tcPr>
            <w:tcW w:w="5541" w:type="dxa"/>
            <w:tcBorders>
              <w:top w:val="single" w:sz="2" w:space="0" w:color="000000"/>
              <w:bottom w:val="single" w:sz="2" w:space="0" w:color="000000"/>
            </w:tcBorders>
          </w:tcPr>
          <w:p w14:paraId="3696C78A" w14:textId="77777777" w:rsidR="00AC6F3C" w:rsidRDefault="00570E88">
            <w:pPr>
              <w:pStyle w:val="TableParagraph"/>
              <w:spacing w:before="83"/>
              <w:ind w:left="212"/>
              <w:rPr>
                <w:sz w:val="15"/>
              </w:rPr>
            </w:pPr>
            <w:proofErr w:type="gramStart"/>
            <w:r>
              <w:rPr>
                <w:spacing w:val="-4"/>
                <w:sz w:val="15"/>
              </w:rPr>
              <w:t>High</w:t>
            </w:r>
            <w:r>
              <w:rPr>
                <w:spacing w:val="-2"/>
                <w:sz w:val="15"/>
              </w:rPr>
              <w:t xml:space="preserve"> </w:t>
            </w:r>
            <w:r>
              <w:rPr>
                <w:spacing w:val="-4"/>
                <w:sz w:val="15"/>
              </w:rPr>
              <w:t>levels</w:t>
            </w:r>
            <w:proofErr w:type="gramEnd"/>
            <w:r>
              <w:rPr>
                <w:spacing w:val="-1"/>
                <w:sz w:val="15"/>
              </w:rPr>
              <w:t xml:space="preserve"> </w:t>
            </w:r>
            <w:r>
              <w:rPr>
                <w:spacing w:val="-4"/>
                <w:sz w:val="15"/>
              </w:rPr>
              <w:t>of</w:t>
            </w:r>
            <w:r>
              <w:rPr>
                <w:spacing w:val="-1"/>
                <w:sz w:val="15"/>
              </w:rPr>
              <w:t xml:space="preserve"> </w:t>
            </w:r>
            <w:r>
              <w:rPr>
                <w:spacing w:val="-4"/>
                <w:sz w:val="15"/>
              </w:rPr>
              <w:t>profession</w:t>
            </w:r>
            <w:r>
              <w:rPr>
                <w:spacing w:val="-1"/>
                <w:sz w:val="15"/>
              </w:rPr>
              <w:t xml:space="preserve"> </w:t>
            </w:r>
            <w:r>
              <w:rPr>
                <w:spacing w:val="-4"/>
                <w:sz w:val="15"/>
              </w:rPr>
              <w:t>and</w:t>
            </w:r>
            <w:r>
              <w:rPr>
                <w:spacing w:val="-1"/>
                <w:sz w:val="15"/>
              </w:rPr>
              <w:t xml:space="preserve"> </w:t>
            </w:r>
            <w:r>
              <w:rPr>
                <w:spacing w:val="-4"/>
                <w:sz w:val="15"/>
              </w:rPr>
              <w:t>member</w:t>
            </w:r>
            <w:r>
              <w:rPr>
                <w:spacing w:val="-1"/>
                <w:sz w:val="15"/>
              </w:rPr>
              <w:t xml:space="preserve"> </w:t>
            </w:r>
            <w:r>
              <w:rPr>
                <w:spacing w:val="-4"/>
                <w:sz w:val="15"/>
              </w:rPr>
              <w:t>engagement</w:t>
            </w:r>
            <w:r>
              <w:rPr>
                <w:spacing w:val="-1"/>
                <w:sz w:val="15"/>
              </w:rPr>
              <w:t xml:space="preserve"> </w:t>
            </w:r>
            <w:r>
              <w:rPr>
                <w:spacing w:val="-4"/>
                <w:sz w:val="15"/>
              </w:rPr>
              <w:t>with</w:t>
            </w:r>
            <w:r>
              <w:rPr>
                <w:spacing w:val="-2"/>
                <w:sz w:val="15"/>
              </w:rPr>
              <w:t xml:space="preserve"> </w:t>
            </w:r>
            <w:r>
              <w:rPr>
                <w:spacing w:val="-4"/>
                <w:sz w:val="15"/>
              </w:rPr>
              <w:t>QLS</w:t>
            </w:r>
            <w:r>
              <w:rPr>
                <w:spacing w:val="-1"/>
                <w:sz w:val="15"/>
              </w:rPr>
              <w:t xml:space="preserve"> </w:t>
            </w:r>
            <w:r>
              <w:rPr>
                <w:spacing w:val="-4"/>
                <w:sz w:val="15"/>
              </w:rPr>
              <w:t>communications</w:t>
            </w:r>
          </w:p>
        </w:tc>
        <w:tc>
          <w:tcPr>
            <w:tcW w:w="2170" w:type="dxa"/>
            <w:tcBorders>
              <w:top w:val="single" w:sz="2" w:space="0" w:color="000000"/>
              <w:bottom w:val="single" w:sz="2" w:space="0" w:color="000000"/>
            </w:tcBorders>
          </w:tcPr>
          <w:p w14:paraId="5171CCD4" w14:textId="77777777" w:rsidR="00AC6F3C" w:rsidRDefault="00570E88">
            <w:pPr>
              <w:pStyle w:val="TableParagraph"/>
              <w:spacing w:before="83"/>
              <w:ind w:left="235"/>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2" w:space="0" w:color="000000"/>
              <w:bottom w:val="single" w:sz="2" w:space="0" w:color="000000"/>
            </w:tcBorders>
          </w:tcPr>
          <w:p w14:paraId="15CBB6BD" w14:textId="77777777" w:rsidR="00AC6F3C" w:rsidRDefault="00570E88">
            <w:pPr>
              <w:pStyle w:val="TableParagraph"/>
              <w:spacing w:before="83"/>
              <w:ind w:left="104"/>
              <w:rPr>
                <w:sz w:val="15"/>
              </w:rPr>
            </w:pPr>
            <w:proofErr w:type="gramStart"/>
            <w:r>
              <w:rPr>
                <w:spacing w:val="-5"/>
                <w:sz w:val="15"/>
              </w:rPr>
              <w:t>Green-</w:t>
            </w:r>
            <w:r>
              <w:rPr>
                <w:spacing w:val="-2"/>
                <w:sz w:val="15"/>
              </w:rPr>
              <w:t>Yellow</w:t>
            </w:r>
            <w:proofErr w:type="gramEnd"/>
          </w:p>
        </w:tc>
        <w:tc>
          <w:tcPr>
            <w:tcW w:w="2498" w:type="dxa"/>
            <w:tcBorders>
              <w:top w:val="single" w:sz="2" w:space="0" w:color="000000"/>
              <w:bottom w:val="single" w:sz="2" w:space="0" w:color="000000"/>
            </w:tcBorders>
          </w:tcPr>
          <w:p w14:paraId="432E1C58"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5B0231D6" w14:textId="77777777" w:rsidR="00AC6F3C" w:rsidRDefault="00570E88">
            <w:pPr>
              <w:pStyle w:val="TableParagraph"/>
              <w:spacing w:before="83"/>
              <w:ind w:left="1"/>
              <w:rPr>
                <w:sz w:val="15"/>
              </w:rPr>
            </w:pPr>
            <w:proofErr w:type="gramStart"/>
            <w:r>
              <w:rPr>
                <w:spacing w:val="-5"/>
                <w:sz w:val="15"/>
              </w:rPr>
              <w:t>Green-</w:t>
            </w:r>
            <w:r>
              <w:rPr>
                <w:spacing w:val="-2"/>
                <w:sz w:val="15"/>
              </w:rPr>
              <w:t>Yellow</w:t>
            </w:r>
            <w:proofErr w:type="gramEnd"/>
          </w:p>
        </w:tc>
      </w:tr>
      <w:tr w:rsidR="00AC6F3C" w14:paraId="30D71A37" w14:textId="77777777">
        <w:trPr>
          <w:trHeight w:val="334"/>
        </w:trPr>
        <w:tc>
          <w:tcPr>
            <w:tcW w:w="1289" w:type="dxa"/>
            <w:tcBorders>
              <w:top w:val="single" w:sz="2" w:space="0" w:color="000000"/>
              <w:bottom w:val="single" w:sz="2" w:space="0" w:color="000000"/>
            </w:tcBorders>
          </w:tcPr>
          <w:p w14:paraId="4827B332" w14:textId="77777777" w:rsidR="00AC6F3C" w:rsidRDefault="00570E88">
            <w:pPr>
              <w:pStyle w:val="TableParagraph"/>
              <w:spacing w:before="83"/>
              <w:ind w:left="84"/>
              <w:rPr>
                <w:b/>
                <w:sz w:val="15"/>
              </w:rPr>
            </w:pPr>
            <w:r>
              <w:rPr>
                <w:b/>
                <w:spacing w:val="-4"/>
                <w:sz w:val="15"/>
              </w:rPr>
              <w:t>KPI5</w:t>
            </w:r>
          </w:p>
        </w:tc>
        <w:tc>
          <w:tcPr>
            <w:tcW w:w="5541" w:type="dxa"/>
            <w:tcBorders>
              <w:top w:val="single" w:sz="2" w:space="0" w:color="000000"/>
              <w:bottom w:val="single" w:sz="2" w:space="0" w:color="000000"/>
            </w:tcBorders>
          </w:tcPr>
          <w:p w14:paraId="361265E6" w14:textId="77777777" w:rsidR="00AC6F3C" w:rsidRDefault="00570E88">
            <w:pPr>
              <w:pStyle w:val="TableParagraph"/>
              <w:spacing w:before="83"/>
              <w:ind w:left="212"/>
              <w:rPr>
                <w:sz w:val="15"/>
              </w:rPr>
            </w:pPr>
            <w:r>
              <w:rPr>
                <w:spacing w:val="-4"/>
                <w:sz w:val="15"/>
              </w:rPr>
              <w:t>An</w:t>
            </w:r>
            <w:r>
              <w:rPr>
                <w:sz w:val="15"/>
              </w:rPr>
              <w:t xml:space="preserve"> </w:t>
            </w:r>
            <w:r>
              <w:rPr>
                <w:spacing w:val="-4"/>
                <w:sz w:val="15"/>
              </w:rPr>
              <w:t>engaged,</w:t>
            </w:r>
            <w:r>
              <w:rPr>
                <w:spacing w:val="1"/>
                <w:sz w:val="15"/>
              </w:rPr>
              <w:t xml:space="preserve"> </w:t>
            </w:r>
            <w:r>
              <w:rPr>
                <w:spacing w:val="-4"/>
                <w:sz w:val="15"/>
              </w:rPr>
              <w:t>high</w:t>
            </w:r>
            <w:r>
              <w:rPr>
                <w:spacing w:val="1"/>
                <w:sz w:val="15"/>
              </w:rPr>
              <w:t xml:space="preserve"> </w:t>
            </w:r>
            <w:r>
              <w:rPr>
                <w:spacing w:val="-4"/>
                <w:sz w:val="15"/>
              </w:rPr>
              <w:t>performing</w:t>
            </w:r>
            <w:r>
              <w:rPr>
                <w:sz w:val="15"/>
              </w:rPr>
              <w:t xml:space="preserve"> </w:t>
            </w:r>
            <w:r>
              <w:rPr>
                <w:spacing w:val="-4"/>
                <w:sz w:val="15"/>
              </w:rPr>
              <w:t>and</w:t>
            </w:r>
            <w:r>
              <w:rPr>
                <w:spacing w:val="1"/>
                <w:sz w:val="15"/>
              </w:rPr>
              <w:t xml:space="preserve"> </w:t>
            </w:r>
            <w:r>
              <w:rPr>
                <w:spacing w:val="-4"/>
                <w:sz w:val="15"/>
              </w:rPr>
              <w:t>productive</w:t>
            </w:r>
            <w:r>
              <w:rPr>
                <w:spacing w:val="1"/>
                <w:sz w:val="15"/>
              </w:rPr>
              <w:t xml:space="preserve"> </w:t>
            </w:r>
            <w:r>
              <w:rPr>
                <w:spacing w:val="-4"/>
                <w:sz w:val="15"/>
              </w:rPr>
              <w:t>QLS</w:t>
            </w:r>
            <w:r>
              <w:rPr>
                <w:sz w:val="15"/>
              </w:rPr>
              <w:t xml:space="preserve"> </w:t>
            </w:r>
            <w:r>
              <w:rPr>
                <w:spacing w:val="-4"/>
                <w:sz w:val="15"/>
              </w:rPr>
              <w:t>team</w:t>
            </w:r>
          </w:p>
        </w:tc>
        <w:tc>
          <w:tcPr>
            <w:tcW w:w="2170" w:type="dxa"/>
            <w:tcBorders>
              <w:top w:val="single" w:sz="2" w:space="0" w:color="000000"/>
              <w:bottom w:val="single" w:sz="2" w:space="0" w:color="000000"/>
            </w:tcBorders>
          </w:tcPr>
          <w:p w14:paraId="7ADBEF22" w14:textId="77777777" w:rsidR="00AC6F3C" w:rsidRDefault="00570E88">
            <w:pPr>
              <w:pStyle w:val="TableParagraph"/>
              <w:spacing w:before="83"/>
              <w:ind w:left="235"/>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2" w:space="0" w:color="000000"/>
              <w:bottom w:val="single" w:sz="2" w:space="0" w:color="000000"/>
            </w:tcBorders>
          </w:tcPr>
          <w:p w14:paraId="6271EF99" w14:textId="77777777" w:rsidR="00AC6F3C" w:rsidRDefault="00570E88">
            <w:pPr>
              <w:pStyle w:val="TableParagraph"/>
              <w:spacing w:before="83"/>
              <w:ind w:left="104"/>
              <w:rPr>
                <w:sz w:val="15"/>
              </w:rPr>
            </w:pPr>
            <w:proofErr w:type="gramStart"/>
            <w:r>
              <w:rPr>
                <w:spacing w:val="-5"/>
                <w:sz w:val="15"/>
              </w:rPr>
              <w:t>Green-</w:t>
            </w:r>
            <w:r>
              <w:rPr>
                <w:spacing w:val="-2"/>
                <w:sz w:val="15"/>
              </w:rPr>
              <w:t>Yellow</w:t>
            </w:r>
            <w:proofErr w:type="gramEnd"/>
          </w:p>
        </w:tc>
        <w:tc>
          <w:tcPr>
            <w:tcW w:w="2498" w:type="dxa"/>
            <w:tcBorders>
              <w:top w:val="single" w:sz="2" w:space="0" w:color="000000"/>
              <w:bottom w:val="single" w:sz="2" w:space="0" w:color="000000"/>
            </w:tcBorders>
          </w:tcPr>
          <w:p w14:paraId="4801B159"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03FD8B56" w14:textId="77777777" w:rsidR="00AC6F3C" w:rsidRDefault="00570E88">
            <w:pPr>
              <w:pStyle w:val="TableParagraph"/>
              <w:spacing w:before="83"/>
              <w:rPr>
                <w:sz w:val="15"/>
              </w:rPr>
            </w:pPr>
            <w:proofErr w:type="gramStart"/>
            <w:r>
              <w:rPr>
                <w:spacing w:val="-5"/>
                <w:sz w:val="15"/>
              </w:rPr>
              <w:t>Green-</w:t>
            </w:r>
            <w:r>
              <w:rPr>
                <w:spacing w:val="-2"/>
                <w:sz w:val="15"/>
              </w:rPr>
              <w:t>Yellow</w:t>
            </w:r>
            <w:proofErr w:type="gramEnd"/>
          </w:p>
        </w:tc>
      </w:tr>
      <w:tr w:rsidR="00AC6F3C" w14:paraId="26F544F6" w14:textId="77777777">
        <w:trPr>
          <w:trHeight w:val="334"/>
        </w:trPr>
        <w:tc>
          <w:tcPr>
            <w:tcW w:w="1289" w:type="dxa"/>
            <w:tcBorders>
              <w:top w:val="single" w:sz="2" w:space="0" w:color="000000"/>
              <w:bottom w:val="single" w:sz="2" w:space="0" w:color="000000"/>
            </w:tcBorders>
          </w:tcPr>
          <w:p w14:paraId="47157DC2" w14:textId="77777777" w:rsidR="00AC6F3C" w:rsidRDefault="00570E88">
            <w:pPr>
              <w:pStyle w:val="TableParagraph"/>
              <w:spacing w:before="83"/>
              <w:ind w:left="84"/>
              <w:rPr>
                <w:b/>
                <w:sz w:val="15"/>
              </w:rPr>
            </w:pPr>
            <w:r>
              <w:rPr>
                <w:b/>
                <w:spacing w:val="-4"/>
                <w:sz w:val="15"/>
              </w:rPr>
              <w:t>KPI6</w:t>
            </w:r>
          </w:p>
        </w:tc>
        <w:tc>
          <w:tcPr>
            <w:tcW w:w="5541" w:type="dxa"/>
            <w:tcBorders>
              <w:top w:val="single" w:sz="2" w:space="0" w:color="000000"/>
              <w:bottom w:val="single" w:sz="2" w:space="0" w:color="000000"/>
            </w:tcBorders>
          </w:tcPr>
          <w:p w14:paraId="1E8643C9" w14:textId="77777777" w:rsidR="00AC6F3C" w:rsidRDefault="00570E88">
            <w:pPr>
              <w:pStyle w:val="TableParagraph"/>
              <w:spacing w:before="83"/>
              <w:ind w:left="212"/>
              <w:rPr>
                <w:sz w:val="15"/>
              </w:rPr>
            </w:pPr>
            <w:r>
              <w:rPr>
                <w:spacing w:val="-4"/>
                <w:sz w:val="15"/>
              </w:rPr>
              <w:t>Annual</w:t>
            </w:r>
            <w:r>
              <w:rPr>
                <w:spacing w:val="5"/>
                <w:sz w:val="15"/>
              </w:rPr>
              <w:t xml:space="preserve"> </w:t>
            </w:r>
            <w:r>
              <w:rPr>
                <w:spacing w:val="-4"/>
                <w:sz w:val="15"/>
              </w:rPr>
              <w:t>financial</w:t>
            </w:r>
            <w:r>
              <w:rPr>
                <w:spacing w:val="6"/>
                <w:sz w:val="15"/>
              </w:rPr>
              <w:t xml:space="preserve"> </w:t>
            </w:r>
            <w:r>
              <w:rPr>
                <w:spacing w:val="-4"/>
                <w:sz w:val="15"/>
              </w:rPr>
              <w:t>targets</w:t>
            </w:r>
            <w:r>
              <w:rPr>
                <w:spacing w:val="5"/>
                <w:sz w:val="15"/>
              </w:rPr>
              <w:t xml:space="preserve"> </w:t>
            </w:r>
            <w:r>
              <w:rPr>
                <w:spacing w:val="-4"/>
                <w:sz w:val="15"/>
              </w:rPr>
              <w:t>and</w:t>
            </w:r>
            <w:r>
              <w:rPr>
                <w:spacing w:val="6"/>
                <w:sz w:val="15"/>
              </w:rPr>
              <w:t xml:space="preserve"> </w:t>
            </w:r>
            <w:r>
              <w:rPr>
                <w:spacing w:val="-4"/>
                <w:sz w:val="15"/>
              </w:rPr>
              <w:t>non-financial</w:t>
            </w:r>
            <w:r>
              <w:rPr>
                <w:spacing w:val="6"/>
                <w:sz w:val="15"/>
              </w:rPr>
              <w:t xml:space="preserve"> </w:t>
            </w:r>
            <w:r>
              <w:rPr>
                <w:spacing w:val="-4"/>
                <w:sz w:val="15"/>
              </w:rPr>
              <w:t>performance</w:t>
            </w:r>
            <w:r>
              <w:rPr>
                <w:spacing w:val="5"/>
                <w:sz w:val="15"/>
              </w:rPr>
              <w:t xml:space="preserve"> </w:t>
            </w:r>
            <w:r>
              <w:rPr>
                <w:spacing w:val="-4"/>
                <w:sz w:val="15"/>
              </w:rPr>
              <w:t>targets</w:t>
            </w:r>
            <w:r>
              <w:rPr>
                <w:spacing w:val="6"/>
                <w:sz w:val="15"/>
              </w:rPr>
              <w:t xml:space="preserve"> </w:t>
            </w:r>
            <w:r>
              <w:rPr>
                <w:spacing w:val="-4"/>
                <w:sz w:val="15"/>
              </w:rPr>
              <w:t>achieved</w:t>
            </w:r>
          </w:p>
        </w:tc>
        <w:tc>
          <w:tcPr>
            <w:tcW w:w="2170" w:type="dxa"/>
            <w:tcBorders>
              <w:top w:val="single" w:sz="2" w:space="0" w:color="000000"/>
              <w:bottom w:val="single" w:sz="2" w:space="0" w:color="000000"/>
            </w:tcBorders>
          </w:tcPr>
          <w:p w14:paraId="1FE3345D" w14:textId="77777777" w:rsidR="00AC6F3C" w:rsidRDefault="00570E88">
            <w:pPr>
              <w:pStyle w:val="TableParagraph"/>
              <w:spacing w:before="83"/>
              <w:ind w:left="235"/>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2" w:space="0" w:color="000000"/>
              <w:bottom w:val="single" w:sz="2" w:space="0" w:color="000000"/>
            </w:tcBorders>
          </w:tcPr>
          <w:p w14:paraId="6A5C8C0E" w14:textId="77777777" w:rsidR="00AC6F3C" w:rsidRDefault="00570E88">
            <w:pPr>
              <w:pStyle w:val="TableParagraph"/>
              <w:spacing w:before="83"/>
              <w:ind w:left="103"/>
              <w:rPr>
                <w:sz w:val="15"/>
              </w:rPr>
            </w:pPr>
            <w:proofErr w:type="gramStart"/>
            <w:r>
              <w:rPr>
                <w:spacing w:val="-5"/>
                <w:sz w:val="15"/>
              </w:rPr>
              <w:t>Green-</w:t>
            </w:r>
            <w:r>
              <w:rPr>
                <w:spacing w:val="-2"/>
                <w:sz w:val="15"/>
              </w:rPr>
              <w:t>Yellow</w:t>
            </w:r>
            <w:proofErr w:type="gramEnd"/>
          </w:p>
        </w:tc>
        <w:tc>
          <w:tcPr>
            <w:tcW w:w="2498" w:type="dxa"/>
            <w:tcBorders>
              <w:top w:val="single" w:sz="2" w:space="0" w:color="000000"/>
              <w:bottom w:val="single" w:sz="2" w:space="0" w:color="000000"/>
            </w:tcBorders>
          </w:tcPr>
          <w:p w14:paraId="7B75DEBB" w14:textId="77777777" w:rsidR="00AC6F3C" w:rsidRDefault="00570E88">
            <w:pPr>
              <w:pStyle w:val="TableParagraph"/>
              <w:spacing w:before="83"/>
              <w:ind w:right="402"/>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73EEB07B" w14:textId="77777777" w:rsidR="00AC6F3C" w:rsidRDefault="00570E88">
            <w:pPr>
              <w:pStyle w:val="TableParagraph"/>
              <w:spacing w:before="83"/>
              <w:rPr>
                <w:sz w:val="15"/>
              </w:rPr>
            </w:pPr>
            <w:proofErr w:type="gramStart"/>
            <w:r>
              <w:rPr>
                <w:spacing w:val="-5"/>
                <w:sz w:val="15"/>
              </w:rPr>
              <w:t>Green-</w:t>
            </w:r>
            <w:r>
              <w:rPr>
                <w:spacing w:val="-2"/>
                <w:sz w:val="15"/>
              </w:rPr>
              <w:t>Yellow</w:t>
            </w:r>
            <w:proofErr w:type="gramEnd"/>
          </w:p>
        </w:tc>
      </w:tr>
      <w:tr w:rsidR="00AC6F3C" w14:paraId="18BE0BCA" w14:textId="77777777">
        <w:trPr>
          <w:trHeight w:val="334"/>
        </w:trPr>
        <w:tc>
          <w:tcPr>
            <w:tcW w:w="1289" w:type="dxa"/>
            <w:tcBorders>
              <w:top w:val="single" w:sz="2" w:space="0" w:color="000000"/>
              <w:bottom w:val="single" w:sz="2" w:space="0" w:color="000000"/>
            </w:tcBorders>
          </w:tcPr>
          <w:p w14:paraId="2A6368F6" w14:textId="77777777" w:rsidR="00AC6F3C" w:rsidRDefault="00570E88">
            <w:pPr>
              <w:pStyle w:val="TableParagraph"/>
              <w:spacing w:before="83"/>
              <w:ind w:left="84"/>
              <w:rPr>
                <w:b/>
                <w:sz w:val="15"/>
              </w:rPr>
            </w:pPr>
            <w:r>
              <w:rPr>
                <w:b/>
                <w:spacing w:val="-4"/>
                <w:sz w:val="15"/>
              </w:rPr>
              <w:t>KPI7</w:t>
            </w:r>
          </w:p>
        </w:tc>
        <w:tc>
          <w:tcPr>
            <w:tcW w:w="5541" w:type="dxa"/>
            <w:tcBorders>
              <w:top w:val="single" w:sz="2" w:space="0" w:color="000000"/>
              <w:bottom w:val="single" w:sz="2" w:space="0" w:color="000000"/>
            </w:tcBorders>
          </w:tcPr>
          <w:p w14:paraId="42BE65CE" w14:textId="77777777" w:rsidR="00AC6F3C" w:rsidRDefault="00570E88">
            <w:pPr>
              <w:pStyle w:val="TableParagraph"/>
              <w:spacing w:before="83"/>
              <w:ind w:left="212"/>
              <w:rPr>
                <w:sz w:val="15"/>
              </w:rPr>
            </w:pPr>
            <w:r>
              <w:rPr>
                <w:spacing w:val="-4"/>
                <w:sz w:val="15"/>
              </w:rPr>
              <w:t>Return</w:t>
            </w:r>
            <w:r>
              <w:rPr>
                <w:spacing w:val="-2"/>
                <w:sz w:val="15"/>
              </w:rPr>
              <w:t xml:space="preserve"> </w:t>
            </w:r>
            <w:r>
              <w:rPr>
                <w:spacing w:val="-4"/>
                <w:sz w:val="15"/>
              </w:rPr>
              <w:t>on</w:t>
            </w:r>
            <w:r>
              <w:rPr>
                <w:spacing w:val="-1"/>
                <w:sz w:val="15"/>
              </w:rPr>
              <w:t xml:space="preserve"> </w:t>
            </w:r>
            <w:r>
              <w:rPr>
                <w:spacing w:val="-4"/>
                <w:sz w:val="15"/>
              </w:rPr>
              <w:t>investment</w:t>
            </w:r>
            <w:r>
              <w:rPr>
                <w:spacing w:val="-1"/>
                <w:sz w:val="15"/>
              </w:rPr>
              <w:t xml:space="preserve"> </w:t>
            </w:r>
            <w:r>
              <w:rPr>
                <w:spacing w:val="-4"/>
                <w:sz w:val="15"/>
              </w:rPr>
              <w:t>on</w:t>
            </w:r>
            <w:r>
              <w:rPr>
                <w:spacing w:val="-1"/>
                <w:sz w:val="15"/>
              </w:rPr>
              <w:t xml:space="preserve"> </w:t>
            </w:r>
            <w:r>
              <w:rPr>
                <w:spacing w:val="-4"/>
                <w:sz w:val="15"/>
              </w:rPr>
              <w:t>upgrades</w:t>
            </w:r>
            <w:r>
              <w:rPr>
                <w:spacing w:val="-1"/>
                <w:sz w:val="15"/>
              </w:rPr>
              <w:t xml:space="preserve"> </w:t>
            </w:r>
            <w:r>
              <w:rPr>
                <w:spacing w:val="-4"/>
                <w:sz w:val="15"/>
              </w:rPr>
              <w:t>to</w:t>
            </w:r>
            <w:r>
              <w:rPr>
                <w:spacing w:val="-2"/>
                <w:sz w:val="15"/>
              </w:rPr>
              <w:t xml:space="preserve"> </w:t>
            </w:r>
            <w:r>
              <w:rPr>
                <w:spacing w:val="-4"/>
                <w:sz w:val="15"/>
              </w:rPr>
              <w:t>Law</w:t>
            </w:r>
            <w:r>
              <w:rPr>
                <w:spacing w:val="-1"/>
                <w:sz w:val="15"/>
              </w:rPr>
              <w:t xml:space="preserve"> </w:t>
            </w:r>
            <w:r>
              <w:rPr>
                <w:spacing w:val="-4"/>
                <w:sz w:val="15"/>
              </w:rPr>
              <w:t>Society</w:t>
            </w:r>
            <w:r>
              <w:rPr>
                <w:spacing w:val="-1"/>
                <w:sz w:val="15"/>
              </w:rPr>
              <w:t xml:space="preserve"> </w:t>
            </w:r>
            <w:r>
              <w:rPr>
                <w:spacing w:val="-4"/>
                <w:sz w:val="15"/>
              </w:rPr>
              <w:t>House</w:t>
            </w:r>
          </w:p>
        </w:tc>
        <w:tc>
          <w:tcPr>
            <w:tcW w:w="2170" w:type="dxa"/>
            <w:tcBorders>
              <w:top w:val="single" w:sz="2" w:space="0" w:color="000000"/>
              <w:bottom w:val="single" w:sz="2" w:space="0" w:color="000000"/>
            </w:tcBorders>
          </w:tcPr>
          <w:p w14:paraId="1D5471C5" w14:textId="77777777" w:rsidR="00AC6F3C" w:rsidRDefault="00570E88">
            <w:pPr>
              <w:pStyle w:val="TableParagraph"/>
              <w:spacing w:before="83"/>
              <w:ind w:left="235"/>
              <w:rPr>
                <w:sz w:val="15"/>
              </w:rPr>
            </w:pPr>
            <w:r>
              <w:rPr>
                <w:sz w:val="15"/>
              </w:rPr>
              <w:t>ON TRACK</w:t>
            </w:r>
            <w:r>
              <w:rPr>
                <w:spacing w:val="-1"/>
                <w:sz w:val="15"/>
              </w:rPr>
              <w:t xml:space="preserve"> </w:t>
            </w:r>
            <w:r>
              <w:rPr>
                <w:sz w:val="15"/>
              </w:rPr>
              <w:t>&amp;</w:t>
            </w:r>
            <w:r>
              <w:rPr>
                <w:spacing w:val="-2"/>
                <w:sz w:val="15"/>
              </w:rPr>
              <w:t xml:space="preserve"> ONGOING</w:t>
            </w:r>
          </w:p>
        </w:tc>
        <w:tc>
          <w:tcPr>
            <w:tcW w:w="1687" w:type="dxa"/>
            <w:tcBorders>
              <w:top w:val="single" w:sz="2" w:space="0" w:color="000000"/>
              <w:bottom w:val="single" w:sz="2" w:space="0" w:color="000000"/>
            </w:tcBorders>
          </w:tcPr>
          <w:p w14:paraId="4B9D558D" w14:textId="77777777" w:rsidR="00AC6F3C" w:rsidRDefault="00570E88">
            <w:pPr>
              <w:pStyle w:val="TableParagraph"/>
              <w:spacing w:before="83"/>
              <w:ind w:left="103"/>
              <w:rPr>
                <w:sz w:val="15"/>
              </w:rPr>
            </w:pPr>
            <w:proofErr w:type="gramStart"/>
            <w:r>
              <w:rPr>
                <w:spacing w:val="-5"/>
                <w:sz w:val="15"/>
              </w:rPr>
              <w:t>Green-</w:t>
            </w:r>
            <w:r>
              <w:rPr>
                <w:spacing w:val="-2"/>
                <w:sz w:val="15"/>
              </w:rPr>
              <w:t>Yellow</w:t>
            </w:r>
            <w:proofErr w:type="gramEnd"/>
          </w:p>
        </w:tc>
        <w:tc>
          <w:tcPr>
            <w:tcW w:w="2498" w:type="dxa"/>
            <w:tcBorders>
              <w:top w:val="single" w:sz="2" w:space="0" w:color="000000"/>
              <w:bottom w:val="single" w:sz="2" w:space="0" w:color="000000"/>
            </w:tcBorders>
          </w:tcPr>
          <w:p w14:paraId="6DE7EAE5" w14:textId="77777777" w:rsidR="00AC6F3C" w:rsidRDefault="00570E88">
            <w:pPr>
              <w:pStyle w:val="TableParagraph"/>
              <w:spacing w:before="83"/>
              <w:ind w:right="403"/>
              <w:jc w:val="right"/>
              <w:rPr>
                <w:sz w:val="15"/>
              </w:rPr>
            </w:pPr>
            <w:r>
              <w:rPr>
                <w:spacing w:val="-2"/>
                <w:sz w:val="15"/>
              </w:rPr>
              <w:t>ON</w:t>
            </w:r>
            <w:r>
              <w:rPr>
                <w:spacing w:val="-8"/>
                <w:sz w:val="15"/>
              </w:rPr>
              <w:t xml:space="preserve"> </w:t>
            </w:r>
            <w:r>
              <w:rPr>
                <w:spacing w:val="-2"/>
                <w:sz w:val="15"/>
              </w:rPr>
              <w:t>TRACK</w:t>
            </w:r>
            <w:r>
              <w:rPr>
                <w:spacing w:val="-8"/>
                <w:sz w:val="15"/>
              </w:rPr>
              <w:t xml:space="preserve"> </w:t>
            </w:r>
            <w:r>
              <w:rPr>
                <w:spacing w:val="-2"/>
                <w:sz w:val="15"/>
              </w:rPr>
              <w:t>&amp;</w:t>
            </w:r>
            <w:r>
              <w:rPr>
                <w:spacing w:val="-7"/>
                <w:sz w:val="15"/>
              </w:rPr>
              <w:t xml:space="preserve"> </w:t>
            </w:r>
            <w:r>
              <w:rPr>
                <w:spacing w:val="-2"/>
                <w:sz w:val="15"/>
              </w:rPr>
              <w:t>ONGOING</w:t>
            </w:r>
          </w:p>
        </w:tc>
        <w:tc>
          <w:tcPr>
            <w:tcW w:w="1928" w:type="dxa"/>
            <w:tcBorders>
              <w:top w:val="single" w:sz="2" w:space="0" w:color="000000"/>
              <w:bottom w:val="single" w:sz="2" w:space="0" w:color="000000"/>
            </w:tcBorders>
          </w:tcPr>
          <w:p w14:paraId="752B49E0" w14:textId="77777777" w:rsidR="00AC6F3C" w:rsidRDefault="00570E88">
            <w:pPr>
              <w:pStyle w:val="TableParagraph"/>
              <w:spacing w:before="83"/>
              <w:rPr>
                <w:sz w:val="15"/>
              </w:rPr>
            </w:pPr>
            <w:proofErr w:type="gramStart"/>
            <w:r>
              <w:rPr>
                <w:spacing w:val="-5"/>
                <w:sz w:val="15"/>
              </w:rPr>
              <w:t>Green-</w:t>
            </w:r>
            <w:r>
              <w:rPr>
                <w:spacing w:val="-2"/>
                <w:sz w:val="15"/>
              </w:rPr>
              <w:t>Yellow</w:t>
            </w:r>
            <w:proofErr w:type="gramEnd"/>
          </w:p>
        </w:tc>
      </w:tr>
      <w:tr w:rsidR="00AC6F3C" w14:paraId="686D1C47" w14:textId="77777777">
        <w:trPr>
          <w:trHeight w:val="633"/>
        </w:trPr>
        <w:tc>
          <w:tcPr>
            <w:tcW w:w="1289" w:type="dxa"/>
            <w:tcBorders>
              <w:top w:val="single" w:sz="2" w:space="0" w:color="000000"/>
            </w:tcBorders>
          </w:tcPr>
          <w:p w14:paraId="4DD71023" w14:textId="77777777" w:rsidR="00AC6F3C" w:rsidRDefault="00AC6F3C">
            <w:pPr>
              <w:pStyle w:val="TableParagraph"/>
              <w:rPr>
                <w:sz w:val="16"/>
              </w:rPr>
            </w:pPr>
          </w:p>
          <w:p w14:paraId="4E92DAB1" w14:textId="77777777" w:rsidR="00AC6F3C" w:rsidRDefault="00AC6F3C">
            <w:pPr>
              <w:pStyle w:val="TableParagraph"/>
              <w:spacing w:before="6"/>
              <w:rPr>
                <w:sz w:val="18"/>
              </w:rPr>
            </w:pPr>
          </w:p>
          <w:p w14:paraId="72DC992E" w14:textId="77777777" w:rsidR="00AC6F3C" w:rsidRDefault="00570E88">
            <w:pPr>
              <w:pStyle w:val="TableParagraph"/>
              <w:ind w:left="85"/>
              <w:rPr>
                <w:b/>
                <w:sz w:val="15"/>
              </w:rPr>
            </w:pPr>
            <w:r>
              <w:rPr>
                <w:b/>
                <w:spacing w:val="-5"/>
                <w:sz w:val="15"/>
              </w:rPr>
              <w:t>Key</w:t>
            </w:r>
          </w:p>
        </w:tc>
        <w:tc>
          <w:tcPr>
            <w:tcW w:w="5541" w:type="dxa"/>
            <w:tcBorders>
              <w:top w:val="single" w:sz="2" w:space="0" w:color="000000"/>
            </w:tcBorders>
          </w:tcPr>
          <w:p w14:paraId="13ED7499" w14:textId="77777777" w:rsidR="00AC6F3C" w:rsidRDefault="00AC6F3C">
            <w:pPr>
              <w:pStyle w:val="TableParagraph"/>
              <w:rPr>
                <w:rFonts w:ascii="Times New Roman"/>
                <w:sz w:val="14"/>
              </w:rPr>
            </w:pPr>
          </w:p>
        </w:tc>
        <w:tc>
          <w:tcPr>
            <w:tcW w:w="2170" w:type="dxa"/>
            <w:tcBorders>
              <w:top w:val="single" w:sz="2" w:space="0" w:color="000000"/>
            </w:tcBorders>
          </w:tcPr>
          <w:p w14:paraId="179EC0DD" w14:textId="77777777" w:rsidR="00AC6F3C" w:rsidRDefault="00AC6F3C">
            <w:pPr>
              <w:pStyle w:val="TableParagraph"/>
              <w:rPr>
                <w:rFonts w:ascii="Times New Roman"/>
                <w:sz w:val="14"/>
              </w:rPr>
            </w:pPr>
          </w:p>
        </w:tc>
        <w:tc>
          <w:tcPr>
            <w:tcW w:w="1687" w:type="dxa"/>
            <w:tcBorders>
              <w:top w:val="single" w:sz="2" w:space="0" w:color="000000"/>
            </w:tcBorders>
          </w:tcPr>
          <w:p w14:paraId="4059A95D" w14:textId="77777777" w:rsidR="00AC6F3C" w:rsidRDefault="00AC6F3C">
            <w:pPr>
              <w:pStyle w:val="TableParagraph"/>
              <w:rPr>
                <w:rFonts w:ascii="Times New Roman"/>
                <w:sz w:val="14"/>
              </w:rPr>
            </w:pPr>
          </w:p>
        </w:tc>
        <w:tc>
          <w:tcPr>
            <w:tcW w:w="2498" w:type="dxa"/>
            <w:tcBorders>
              <w:top w:val="single" w:sz="2" w:space="0" w:color="000000"/>
            </w:tcBorders>
          </w:tcPr>
          <w:p w14:paraId="4AC32EC6" w14:textId="77777777" w:rsidR="00AC6F3C" w:rsidRDefault="00AC6F3C">
            <w:pPr>
              <w:pStyle w:val="TableParagraph"/>
              <w:rPr>
                <w:rFonts w:ascii="Times New Roman"/>
                <w:sz w:val="14"/>
              </w:rPr>
            </w:pPr>
          </w:p>
        </w:tc>
        <w:tc>
          <w:tcPr>
            <w:tcW w:w="1928" w:type="dxa"/>
            <w:tcBorders>
              <w:top w:val="single" w:sz="2" w:space="0" w:color="000000"/>
            </w:tcBorders>
          </w:tcPr>
          <w:p w14:paraId="3CE6418A" w14:textId="77777777" w:rsidR="00AC6F3C" w:rsidRDefault="00AC6F3C">
            <w:pPr>
              <w:pStyle w:val="TableParagraph"/>
              <w:rPr>
                <w:rFonts w:ascii="Times New Roman"/>
                <w:sz w:val="14"/>
              </w:rPr>
            </w:pPr>
          </w:p>
        </w:tc>
      </w:tr>
    </w:tbl>
    <w:p w14:paraId="3CE2C522" w14:textId="77777777" w:rsidR="00AC6F3C" w:rsidRDefault="00570E88">
      <w:pPr>
        <w:pStyle w:val="BodyText"/>
        <w:spacing w:line="20" w:lineRule="exact"/>
        <w:ind w:left="125"/>
        <w:rPr>
          <w:sz w:val="2"/>
        </w:rPr>
      </w:pPr>
      <w:r>
        <w:rPr>
          <w:noProof/>
          <w:sz w:val="2"/>
        </w:rPr>
        <mc:AlternateContent>
          <mc:Choice Requires="wpg">
            <w:drawing>
              <wp:inline distT="0" distB="0" distL="0" distR="0" wp14:anchorId="51EDC0FF" wp14:editId="2911DF9D">
                <wp:extent cx="1447800" cy="12700"/>
                <wp:effectExtent l="9525" t="0" r="0" b="635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12700"/>
                          <a:chOff x="0" y="0"/>
                          <a:chExt cx="1447800" cy="12700"/>
                        </a:xfrm>
                      </wpg:grpSpPr>
                      <wps:wsp>
                        <wps:cNvPr id="206" name="Graphic 206"/>
                        <wps:cNvSpPr/>
                        <wps:spPr>
                          <a:xfrm>
                            <a:off x="0" y="6350"/>
                            <a:ext cx="1447800" cy="1270"/>
                          </a:xfrm>
                          <a:custGeom>
                            <a:avLst/>
                            <a:gdLst/>
                            <a:ahLst/>
                            <a:cxnLst/>
                            <a:rect l="l" t="t" r="r" b="b"/>
                            <a:pathLst>
                              <a:path w="1447800">
                                <a:moveTo>
                                  <a:pt x="0" y="0"/>
                                </a:moveTo>
                                <a:lnTo>
                                  <a:pt x="1447203"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B0047" id="Group 205" o:spid="_x0000_s1026" style="width:114pt;height:1pt;mso-position-horizontal-relative:char;mso-position-vertical-relative:line" coordsize="144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">
                <v:shape id="Graphic 206" o:spid="_x0000_s1027" style="position:absolute;top:63;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" path="m,l1447203,e" filled="f" strokeweight="1pt">
                  <v:path arrowok="t"/>
                </v:shape>
                <w10:anchorlock/>
              </v:group>
            </w:pict>
          </mc:Fallback>
        </mc:AlternateContent>
      </w:r>
    </w:p>
    <w:p w14:paraId="62B16E0F" w14:textId="77777777" w:rsidR="00AC6F3C" w:rsidRDefault="00570E88">
      <w:pPr>
        <w:spacing w:before="39" w:line="393" w:lineRule="auto"/>
        <w:ind w:left="212" w:right="14282"/>
        <w:rPr>
          <w:sz w:val="15"/>
        </w:rPr>
      </w:pPr>
      <w:r>
        <w:rPr>
          <w:noProof/>
        </w:rPr>
        <mc:AlternateContent>
          <mc:Choice Requires="wps">
            <w:drawing>
              <wp:anchor distT="0" distB="0" distL="0" distR="0" simplePos="0" relativeHeight="15751168" behindDoc="0" locked="0" layoutInCell="1" allowOverlap="1" wp14:anchorId="2DBC4FDF" wp14:editId="2C50DC94">
                <wp:simplePos x="0" y="0"/>
                <wp:positionH relativeFrom="page">
                  <wp:posOffset>269999</wp:posOffset>
                </wp:positionH>
                <wp:positionV relativeFrom="paragraph">
                  <wp:posOffset>168078</wp:posOffset>
                </wp:positionV>
                <wp:extent cx="144780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1D64F6" id="Graphic 207" o:spid="_x0000_s1026" style="position:absolute;margin-left:21.25pt;margin-top:13.25pt;width:114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" path="m,l1447203,e" filled="f" strokeweight=".25pt">
                <v:path arrowok="t"/>
                <w10:wrap anchorx="page"/>
              </v:shape>
            </w:pict>
          </mc:Fallback>
        </mc:AlternateContent>
      </w:r>
      <w:r>
        <w:rPr>
          <w:noProof/>
        </w:rPr>
        <mc:AlternateContent>
          <mc:Choice Requires="wps">
            <w:drawing>
              <wp:anchor distT="0" distB="0" distL="0" distR="0" simplePos="0" relativeHeight="15751680" behindDoc="0" locked="0" layoutInCell="1" allowOverlap="1" wp14:anchorId="352AE6F1" wp14:editId="49EA88D6">
                <wp:simplePos x="0" y="0"/>
                <wp:positionH relativeFrom="page">
                  <wp:posOffset>269999</wp:posOffset>
                </wp:positionH>
                <wp:positionV relativeFrom="paragraph">
                  <wp:posOffset>347735</wp:posOffset>
                </wp:positionV>
                <wp:extent cx="1447800"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22A824" id="Graphic 208" o:spid="_x0000_s1026" style="position:absolute;margin-left:21.25pt;margin-top:27.4pt;width:114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" path="m,l1447203,e" filled="f" strokeweight=".25pt">
                <v:path arrowok="t"/>
                <w10:wrap anchorx="page"/>
              </v:shape>
            </w:pict>
          </mc:Fallback>
        </mc:AlternateContent>
      </w:r>
      <w:r>
        <w:rPr>
          <w:noProof/>
        </w:rPr>
        <mc:AlternateContent>
          <mc:Choice Requires="wps">
            <w:drawing>
              <wp:anchor distT="0" distB="0" distL="0" distR="0" simplePos="0" relativeHeight="15752192" behindDoc="0" locked="0" layoutInCell="1" allowOverlap="1" wp14:anchorId="4590590D" wp14:editId="4DB5235C">
                <wp:simplePos x="0" y="0"/>
                <wp:positionH relativeFrom="page">
                  <wp:posOffset>269999</wp:posOffset>
                </wp:positionH>
                <wp:positionV relativeFrom="paragraph">
                  <wp:posOffset>527390</wp:posOffset>
                </wp:positionV>
                <wp:extent cx="144780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A3155" id="Graphic 209" o:spid="_x0000_s1026" style="position:absolute;margin-left:21.25pt;margin-top:41.55pt;width:114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" path="m,l1447203,e" filled="f" strokeweight=".25pt">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391A5FE2" wp14:editId="43DD2450">
                <wp:simplePos x="0" y="0"/>
                <wp:positionH relativeFrom="page">
                  <wp:posOffset>269999</wp:posOffset>
                </wp:positionH>
                <wp:positionV relativeFrom="paragraph">
                  <wp:posOffset>707047</wp:posOffset>
                </wp:positionV>
                <wp:extent cx="144780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7071BB" id="Graphic 210" o:spid="_x0000_s1026" style="position:absolute;margin-left:21.25pt;margin-top:55.65pt;width:114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" path="m,l1447203,e" filled="f" strokeweight=".25pt">
                <v:path arrowok="t"/>
                <w10:wrap anchorx="page"/>
              </v:shape>
            </w:pict>
          </mc:Fallback>
        </mc:AlternateContent>
      </w:r>
      <w:r>
        <w:rPr>
          <w:spacing w:val="-2"/>
          <w:sz w:val="15"/>
        </w:rPr>
        <w:t>ACHIEVED/COMPLETED</w:t>
      </w:r>
      <w:r>
        <w:rPr>
          <w:sz w:val="15"/>
        </w:rPr>
        <w:t xml:space="preserve"> ON TRACK &amp; ONGOING </w:t>
      </w:r>
      <w:r>
        <w:rPr>
          <w:spacing w:val="-2"/>
          <w:sz w:val="15"/>
        </w:rPr>
        <w:t>CANCELLED</w:t>
      </w:r>
      <w:r>
        <w:rPr>
          <w:spacing w:val="80"/>
          <w:w w:val="150"/>
          <w:sz w:val="15"/>
        </w:rPr>
        <w:t xml:space="preserve"> </w:t>
      </w:r>
      <w:r>
        <w:rPr>
          <w:spacing w:val="-2"/>
          <w:sz w:val="15"/>
        </w:rPr>
        <w:t>DEFERRED</w:t>
      </w:r>
    </w:p>
    <w:p w14:paraId="4BD824F1" w14:textId="77777777" w:rsidR="00AC6F3C" w:rsidRDefault="00570E88">
      <w:pPr>
        <w:spacing w:line="393" w:lineRule="auto"/>
        <w:ind w:left="212" w:right="14941"/>
        <w:rPr>
          <w:sz w:val="15"/>
        </w:rPr>
      </w:pPr>
      <w:r>
        <w:rPr>
          <w:noProof/>
        </w:rPr>
        <mc:AlternateContent>
          <mc:Choice Requires="wps">
            <w:drawing>
              <wp:anchor distT="0" distB="0" distL="0" distR="0" simplePos="0" relativeHeight="15753216" behindDoc="0" locked="0" layoutInCell="1" allowOverlap="1" wp14:anchorId="15C6E848" wp14:editId="0AC9D61F">
                <wp:simplePos x="0" y="0"/>
                <wp:positionH relativeFrom="page">
                  <wp:posOffset>269999</wp:posOffset>
                </wp:positionH>
                <wp:positionV relativeFrom="paragraph">
                  <wp:posOffset>143435</wp:posOffset>
                </wp:positionV>
                <wp:extent cx="144780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109B4C" id="Graphic 211" o:spid="_x0000_s1026" style="position:absolute;margin-left:21.25pt;margin-top:11.3pt;width:114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" path="m,l1447203,e" filled="f" strokeweight=".25pt">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7C280D12" wp14:editId="278A5304">
                <wp:simplePos x="0" y="0"/>
                <wp:positionH relativeFrom="page">
                  <wp:posOffset>269999</wp:posOffset>
                </wp:positionH>
                <wp:positionV relativeFrom="paragraph">
                  <wp:posOffset>323091</wp:posOffset>
                </wp:positionV>
                <wp:extent cx="144780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203"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4B758" id="Graphic 212" o:spid="_x0000_s1026" style="position:absolute;margin-left:21.25pt;margin-top:25.45pt;width:114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" path="m,l1447203,e" filled="f" strokeweight=".25pt">
                <v:path arrowok="t"/>
                <w10:wrap anchorx="page"/>
              </v:shape>
            </w:pict>
          </mc:Fallback>
        </mc:AlternateContent>
      </w:r>
      <w:r>
        <w:rPr>
          <w:spacing w:val="-2"/>
          <w:sz w:val="15"/>
        </w:rPr>
        <w:t>DELAYED</w:t>
      </w:r>
      <w:r>
        <w:rPr>
          <w:spacing w:val="80"/>
          <w:sz w:val="15"/>
        </w:rPr>
        <w:t xml:space="preserve"> </w:t>
      </w:r>
      <w:r>
        <w:rPr>
          <w:sz w:val="15"/>
        </w:rPr>
        <w:t>NOT</w:t>
      </w:r>
      <w:r>
        <w:rPr>
          <w:spacing w:val="-11"/>
          <w:sz w:val="15"/>
        </w:rPr>
        <w:t xml:space="preserve"> </w:t>
      </w:r>
      <w:r>
        <w:rPr>
          <w:sz w:val="15"/>
        </w:rPr>
        <w:t>STARTED</w:t>
      </w:r>
    </w:p>
    <w:p w14:paraId="3E0E162E" w14:textId="77777777" w:rsidR="00AC6F3C" w:rsidRDefault="00AC6F3C">
      <w:pPr>
        <w:spacing w:line="393" w:lineRule="auto"/>
        <w:rPr>
          <w:sz w:val="15"/>
        </w:rPr>
        <w:sectPr w:rsidR="00AC6F3C">
          <w:type w:val="continuous"/>
          <w:pgSz w:w="16840" w:h="11910" w:orient="landscape"/>
          <w:pgMar w:top="1920" w:right="320" w:bottom="280" w:left="300" w:header="0" w:footer="336" w:gutter="0"/>
          <w:cols w:space="720"/>
        </w:sectPr>
      </w:pPr>
    </w:p>
    <w:p w14:paraId="3D75BA61"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009F9474" wp14:editId="050ECB02">
                <wp:extent cx="5940425" cy="25400"/>
                <wp:effectExtent l="19050" t="0" r="3175" b="317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215" name="Graphic 215"/>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E48E10" id="Group 214"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">
                <v:shape id="Graphic 215"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" path="m,l5940005,e" filled="f" strokeweight="2pt">
                  <v:path arrowok="t"/>
                </v:shape>
                <w10:anchorlock/>
              </v:group>
            </w:pict>
          </mc:Fallback>
        </mc:AlternateContent>
      </w:r>
    </w:p>
    <w:p w14:paraId="687BE2A5" w14:textId="77777777" w:rsidR="00AC6F3C" w:rsidRDefault="00570E88">
      <w:pPr>
        <w:pStyle w:val="Heading2"/>
      </w:pPr>
      <w:bookmarkStart w:id="13" w:name="President’s_review"/>
      <w:bookmarkStart w:id="14" w:name="150_years_of_the_Society_as_a_force_for_"/>
      <w:bookmarkStart w:id="15" w:name="_bookmark5"/>
      <w:bookmarkEnd w:id="13"/>
      <w:bookmarkEnd w:id="14"/>
      <w:bookmarkEnd w:id="15"/>
      <w:r>
        <w:t>President’s</w:t>
      </w:r>
      <w:r>
        <w:rPr>
          <w:spacing w:val="-17"/>
        </w:rPr>
        <w:t xml:space="preserve"> </w:t>
      </w:r>
      <w:r>
        <w:rPr>
          <w:spacing w:val="-2"/>
        </w:rPr>
        <w:t>review</w:t>
      </w:r>
    </w:p>
    <w:p w14:paraId="73B2B1C0" w14:textId="77777777" w:rsidR="00AC6F3C" w:rsidRDefault="00570E88">
      <w:pPr>
        <w:pStyle w:val="BodyText"/>
        <w:spacing w:before="299" w:line="249" w:lineRule="auto"/>
        <w:ind w:left="815"/>
      </w:pPr>
      <w:r>
        <w:t>QLS</w:t>
      </w:r>
      <w:r>
        <w:rPr>
          <w:spacing w:val="-3"/>
        </w:rPr>
        <w:t xml:space="preserve"> </w:t>
      </w:r>
      <w:proofErr w:type="gramStart"/>
      <w:r>
        <w:t>was</w:t>
      </w:r>
      <w:r>
        <w:rPr>
          <w:spacing w:val="-3"/>
        </w:rPr>
        <w:t xml:space="preserve"> </w:t>
      </w:r>
      <w:r>
        <w:t>established</w:t>
      </w:r>
      <w:proofErr w:type="gramEnd"/>
      <w:r>
        <w:rPr>
          <w:spacing w:val="-3"/>
        </w:rPr>
        <w:t xml:space="preserve"> </w:t>
      </w:r>
      <w:r>
        <w:t>on</w:t>
      </w:r>
      <w:r>
        <w:rPr>
          <w:spacing w:val="-3"/>
        </w:rPr>
        <w:t xml:space="preserve"> </w:t>
      </w:r>
      <w:r>
        <w:t>the</w:t>
      </w:r>
      <w:r>
        <w:rPr>
          <w:spacing w:val="-3"/>
        </w:rPr>
        <w:t xml:space="preserve"> </w:t>
      </w:r>
      <w:r>
        <w:t>principles</w:t>
      </w:r>
      <w:r>
        <w:rPr>
          <w:spacing w:val="-3"/>
        </w:rPr>
        <w:t xml:space="preserve"> </w:t>
      </w:r>
      <w:r>
        <w:t>of</w:t>
      </w:r>
      <w:r>
        <w:rPr>
          <w:spacing w:val="-3"/>
        </w:rPr>
        <w:t xml:space="preserve"> </w:t>
      </w:r>
      <w:r>
        <w:t>creating</w:t>
      </w:r>
      <w:r>
        <w:rPr>
          <w:spacing w:val="-3"/>
        </w:rPr>
        <w:t xml:space="preserve"> </w:t>
      </w:r>
      <w:r>
        <w:t>a</w:t>
      </w:r>
      <w:r>
        <w:rPr>
          <w:spacing w:val="-3"/>
        </w:rPr>
        <w:t xml:space="preserve"> </w:t>
      </w:r>
      <w:r>
        <w:t>governing</w:t>
      </w:r>
      <w:r>
        <w:rPr>
          <w:spacing w:val="-3"/>
        </w:rPr>
        <w:t xml:space="preserve"> </w:t>
      </w:r>
      <w:r>
        <w:t>body</w:t>
      </w:r>
      <w:r>
        <w:rPr>
          <w:spacing w:val="-3"/>
        </w:rPr>
        <w:t xml:space="preserve"> </w:t>
      </w:r>
      <w:r>
        <w:t>for</w:t>
      </w:r>
      <w:r>
        <w:rPr>
          <w:spacing w:val="-3"/>
        </w:rPr>
        <w:t xml:space="preserve"> </w:t>
      </w:r>
      <w:r>
        <w:t>the</w:t>
      </w:r>
      <w:r>
        <w:rPr>
          <w:spacing w:val="-3"/>
        </w:rPr>
        <w:t xml:space="preserve"> </w:t>
      </w:r>
      <w:r>
        <w:t>profession,</w:t>
      </w:r>
      <w:r>
        <w:rPr>
          <w:spacing w:val="-3"/>
        </w:rPr>
        <w:t xml:space="preserve"> </w:t>
      </w:r>
      <w:r>
        <w:t>built</w:t>
      </w:r>
      <w:r>
        <w:rPr>
          <w:spacing w:val="-3"/>
        </w:rPr>
        <w:t xml:space="preserve"> </w:t>
      </w:r>
      <w:r>
        <w:t>on</w:t>
      </w:r>
      <w:r>
        <w:rPr>
          <w:spacing w:val="-3"/>
        </w:rPr>
        <w:t xml:space="preserve"> </w:t>
      </w:r>
      <w:r>
        <w:t>solid objectives relevant to the legal practice of the day.</w:t>
      </w:r>
    </w:p>
    <w:p w14:paraId="2959FC7A" w14:textId="77777777" w:rsidR="00AC6F3C" w:rsidRDefault="00570E88">
      <w:pPr>
        <w:pStyle w:val="BodyText"/>
        <w:spacing w:before="172" w:line="249" w:lineRule="auto"/>
        <w:ind w:left="815" w:right="468"/>
      </w:pPr>
      <w:r>
        <w:t>Today,</w:t>
      </w:r>
      <w:r>
        <w:rPr>
          <w:spacing w:val="-5"/>
        </w:rPr>
        <w:t xml:space="preserve"> </w:t>
      </w:r>
      <w:r>
        <w:t>QLS</w:t>
      </w:r>
      <w:r>
        <w:rPr>
          <w:spacing w:val="-5"/>
        </w:rPr>
        <w:t xml:space="preserve"> </w:t>
      </w:r>
      <w:r>
        <w:t>retains</w:t>
      </w:r>
      <w:r>
        <w:rPr>
          <w:spacing w:val="-5"/>
        </w:rPr>
        <w:t xml:space="preserve"> </w:t>
      </w:r>
      <w:r>
        <w:t>the</w:t>
      </w:r>
      <w:r>
        <w:rPr>
          <w:spacing w:val="-5"/>
        </w:rPr>
        <w:t xml:space="preserve"> </w:t>
      </w:r>
      <w:r>
        <w:t>mantle</w:t>
      </w:r>
      <w:r>
        <w:rPr>
          <w:spacing w:val="-5"/>
        </w:rPr>
        <w:t xml:space="preserve"> </w:t>
      </w:r>
      <w:r>
        <w:t>of</w:t>
      </w:r>
      <w:r>
        <w:rPr>
          <w:spacing w:val="-5"/>
        </w:rPr>
        <w:t xml:space="preserve"> </w:t>
      </w:r>
      <w:r>
        <w:t>the</w:t>
      </w:r>
      <w:r>
        <w:rPr>
          <w:spacing w:val="-5"/>
        </w:rPr>
        <w:t xml:space="preserve"> </w:t>
      </w:r>
      <w:r>
        <w:t>peak</w:t>
      </w:r>
      <w:r>
        <w:rPr>
          <w:spacing w:val="-5"/>
        </w:rPr>
        <w:t xml:space="preserve"> </w:t>
      </w:r>
      <w:r>
        <w:t>representative</w:t>
      </w:r>
      <w:r>
        <w:rPr>
          <w:spacing w:val="-5"/>
        </w:rPr>
        <w:t xml:space="preserve"> </w:t>
      </w:r>
      <w:r>
        <w:t>body</w:t>
      </w:r>
      <w:r>
        <w:rPr>
          <w:spacing w:val="-5"/>
        </w:rPr>
        <w:t xml:space="preserve"> </w:t>
      </w:r>
      <w:r>
        <w:t>for</w:t>
      </w:r>
      <w:r>
        <w:rPr>
          <w:spacing w:val="-5"/>
        </w:rPr>
        <w:t xml:space="preserve"> </w:t>
      </w:r>
      <w:r>
        <w:t>our</w:t>
      </w:r>
      <w:r>
        <w:rPr>
          <w:spacing w:val="-5"/>
        </w:rPr>
        <w:t xml:space="preserve"> </w:t>
      </w:r>
      <w:r>
        <w:t>members.</w:t>
      </w:r>
      <w:r>
        <w:rPr>
          <w:spacing w:val="-5"/>
        </w:rPr>
        <w:t xml:space="preserve"> </w:t>
      </w:r>
      <w:r>
        <w:t>We</w:t>
      </w:r>
      <w:r>
        <w:rPr>
          <w:spacing w:val="-5"/>
        </w:rPr>
        <w:t xml:space="preserve"> </w:t>
      </w:r>
      <w:r>
        <w:t>empower</w:t>
      </w:r>
      <w:r>
        <w:rPr>
          <w:spacing w:val="-5"/>
        </w:rPr>
        <w:t xml:space="preserve"> </w:t>
      </w:r>
      <w:r>
        <w:t>good lawyers, advocate strongly and consistently for good law, and continually work to serve the public good in all that we do.</w:t>
      </w:r>
    </w:p>
    <w:p w14:paraId="7C37932F" w14:textId="77777777" w:rsidR="00AC6F3C" w:rsidRDefault="00570E88">
      <w:pPr>
        <w:pStyle w:val="BodyText"/>
        <w:spacing w:before="173"/>
        <w:ind w:left="815"/>
      </w:pPr>
      <w:r>
        <w:t>We</w:t>
      </w:r>
      <w:r>
        <w:rPr>
          <w:spacing w:val="-6"/>
        </w:rPr>
        <w:t xml:space="preserve"> </w:t>
      </w:r>
      <w:r>
        <w:t>pride</w:t>
      </w:r>
      <w:r>
        <w:rPr>
          <w:spacing w:val="-3"/>
        </w:rPr>
        <w:t xml:space="preserve"> </w:t>
      </w:r>
      <w:r>
        <w:t>ourselves</w:t>
      </w:r>
      <w:r>
        <w:rPr>
          <w:spacing w:val="-3"/>
        </w:rPr>
        <w:t xml:space="preserve"> </w:t>
      </w:r>
      <w:r>
        <w:t>on</w:t>
      </w:r>
      <w:r>
        <w:rPr>
          <w:spacing w:val="-4"/>
        </w:rPr>
        <w:t xml:space="preserve"> </w:t>
      </w:r>
      <w:r>
        <w:t>giving</w:t>
      </w:r>
      <w:r>
        <w:rPr>
          <w:spacing w:val="-3"/>
        </w:rPr>
        <w:t xml:space="preserve"> </w:t>
      </w:r>
      <w:r>
        <w:t>solicitors</w:t>
      </w:r>
      <w:r>
        <w:rPr>
          <w:spacing w:val="-3"/>
        </w:rPr>
        <w:t xml:space="preserve"> </w:t>
      </w:r>
      <w:r>
        <w:t>and</w:t>
      </w:r>
      <w:r>
        <w:rPr>
          <w:spacing w:val="-3"/>
        </w:rPr>
        <w:t xml:space="preserve"> </w:t>
      </w:r>
      <w:r>
        <w:t>the</w:t>
      </w:r>
      <w:r>
        <w:rPr>
          <w:spacing w:val="-4"/>
        </w:rPr>
        <w:t xml:space="preserve"> </w:t>
      </w:r>
      <w:r>
        <w:t>legal</w:t>
      </w:r>
      <w:r>
        <w:rPr>
          <w:spacing w:val="-3"/>
        </w:rPr>
        <w:t xml:space="preserve"> </w:t>
      </w:r>
      <w:r>
        <w:t>profession</w:t>
      </w:r>
      <w:r>
        <w:rPr>
          <w:spacing w:val="-3"/>
        </w:rPr>
        <w:t xml:space="preserve"> </w:t>
      </w:r>
      <w:r>
        <w:t>an</w:t>
      </w:r>
      <w:r>
        <w:rPr>
          <w:spacing w:val="-4"/>
        </w:rPr>
        <w:t xml:space="preserve"> </w:t>
      </w:r>
      <w:r>
        <w:t>authoritative</w:t>
      </w:r>
      <w:r>
        <w:rPr>
          <w:spacing w:val="-3"/>
        </w:rPr>
        <w:t xml:space="preserve"> </w:t>
      </w:r>
      <w:r>
        <w:t>voice,</w:t>
      </w:r>
      <w:r>
        <w:rPr>
          <w:spacing w:val="-3"/>
        </w:rPr>
        <w:t xml:space="preserve"> </w:t>
      </w:r>
      <w:r>
        <w:t>and</w:t>
      </w:r>
      <w:r>
        <w:rPr>
          <w:spacing w:val="-3"/>
        </w:rPr>
        <w:t xml:space="preserve"> </w:t>
      </w:r>
      <w:proofErr w:type="gramStart"/>
      <w:r>
        <w:rPr>
          <w:spacing w:val="-2"/>
        </w:rPr>
        <w:t>engaging</w:t>
      </w:r>
      <w:proofErr w:type="gramEnd"/>
    </w:p>
    <w:p w14:paraId="7B165B1F" w14:textId="77777777" w:rsidR="00AC6F3C" w:rsidRDefault="00570E88">
      <w:pPr>
        <w:pStyle w:val="BodyText"/>
        <w:spacing w:before="10"/>
        <w:ind w:left="815"/>
      </w:pPr>
      <w:r>
        <w:t>with</w:t>
      </w:r>
      <w:r>
        <w:rPr>
          <w:spacing w:val="-2"/>
        </w:rPr>
        <w:t xml:space="preserve"> </w:t>
      </w:r>
      <w:r>
        <w:t>the</w:t>
      </w:r>
      <w:r>
        <w:rPr>
          <w:spacing w:val="-1"/>
        </w:rPr>
        <w:t xml:space="preserve"> </w:t>
      </w:r>
      <w:r>
        <w:t>government</w:t>
      </w:r>
      <w:r>
        <w:rPr>
          <w:spacing w:val="-1"/>
        </w:rPr>
        <w:t xml:space="preserve"> </w:t>
      </w:r>
      <w:r>
        <w:t>and</w:t>
      </w:r>
      <w:r>
        <w:rPr>
          <w:spacing w:val="-1"/>
        </w:rPr>
        <w:t xml:space="preserve"> </w:t>
      </w:r>
      <w:r>
        <w:t>the</w:t>
      </w:r>
      <w:r>
        <w:rPr>
          <w:spacing w:val="-1"/>
        </w:rPr>
        <w:t xml:space="preserve"> </w:t>
      </w:r>
      <w:r>
        <w:t>community</w:t>
      </w:r>
      <w:r>
        <w:rPr>
          <w:spacing w:val="-2"/>
        </w:rPr>
        <w:t xml:space="preserve"> </w:t>
      </w:r>
      <w:r>
        <w:t>on</w:t>
      </w:r>
      <w:r>
        <w:rPr>
          <w:spacing w:val="-1"/>
        </w:rPr>
        <w:t xml:space="preserve"> </w:t>
      </w:r>
      <w:r>
        <w:t>the</w:t>
      </w:r>
      <w:r>
        <w:rPr>
          <w:spacing w:val="-1"/>
        </w:rPr>
        <w:t xml:space="preserve"> </w:t>
      </w:r>
      <w:r>
        <w:t>issues</w:t>
      </w:r>
      <w:r>
        <w:rPr>
          <w:spacing w:val="-1"/>
        </w:rPr>
        <w:t xml:space="preserve"> </w:t>
      </w:r>
      <w:r>
        <w:t>that</w:t>
      </w:r>
      <w:r>
        <w:rPr>
          <w:spacing w:val="-1"/>
        </w:rPr>
        <w:t xml:space="preserve"> </w:t>
      </w:r>
      <w:r>
        <w:rPr>
          <w:spacing w:val="-2"/>
        </w:rPr>
        <w:t>matter.</w:t>
      </w:r>
    </w:p>
    <w:p w14:paraId="23B2A794" w14:textId="77777777" w:rsidR="00AC6F3C" w:rsidRDefault="00570E88">
      <w:pPr>
        <w:pStyle w:val="BodyText"/>
        <w:spacing w:before="180"/>
        <w:ind w:left="815"/>
      </w:pPr>
      <w:r>
        <w:t>At</w:t>
      </w:r>
      <w:r>
        <w:rPr>
          <w:spacing w:val="-2"/>
        </w:rPr>
        <w:t xml:space="preserve"> </w:t>
      </w:r>
      <w:r>
        <w:t>the</w:t>
      </w:r>
      <w:r>
        <w:rPr>
          <w:spacing w:val="-1"/>
        </w:rPr>
        <w:t xml:space="preserve"> </w:t>
      </w:r>
      <w:r>
        <w:t>heart</w:t>
      </w:r>
      <w:r>
        <w:rPr>
          <w:spacing w:val="-2"/>
        </w:rPr>
        <w:t xml:space="preserve"> </w:t>
      </w:r>
      <w:r>
        <w:t>of</w:t>
      </w:r>
      <w:r>
        <w:rPr>
          <w:spacing w:val="-1"/>
        </w:rPr>
        <w:t xml:space="preserve"> </w:t>
      </w:r>
      <w:r>
        <w:t>it</w:t>
      </w:r>
      <w:r>
        <w:rPr>
          <w:spacing w:val="-2"/>
        </w:rPr>
        <w:t xml:space="preserve"> </w:t>
      </w:r>
      <w:r>
        <w:t>all</w:t>
      </w:r>
      <w:r>
        <w:rPr>
          <w:spacing w:val="-1"/>
        </w:rPr>
        <w:t xml:space="preserve"> </w:t>
      </w:r>
      <w:r>
        <w:t>is</w:t>
      </w:r>
      <w:r>
        <w:rPr>
          <w:spacing w:val="-2"/>
        </w:rPr>
        <w:t xml:space="preserve"> </w:t>
      </w:r>
      <w:r>
        <w:t>collegiality</w:t>
      </w:r>
      <w:r>
        <w:rPr>
          <w:spacing w:val="-1"/>
        </w:rPr>
        <w:t xml:space="preserve"> </w:t>
      </w:r>
      <w:r>
        <w:t>–</w:t>
      </w:r>
      <w:r>
        <w:rPr>
          <w:spacing w:val="-2"/>
        </w:rPr>
        <w:t xml:space="preserve"> </w:t>
      </w:r>
      <w:r>
        <w:t>a</w:t>
      </w:r>
      <w:r>
        <w:rPr>
          <w:spacing w:val="-1"/>
        </w:rPr>
        <w:t xml:space="preserve"> </w:t>
      </w:r>
      <w:r>
        <w:t>theme</w:t>
      </w:r>
      <w:r>
        <w:rPr>
          <w:spacing w:val="-2"/>
        </w:rPr>
        <w:t xml:space="preserve"> </w:t>
      </w:r>
      <w:r>
        <w:t>I</w:t>
      </w:r>
      <w:r>
        <w:rPr>
          <w:spacing w:val="-1"/>
        </w:rPr>
        <w:t xml:space="preserve"> </w:t>
      </w:r>
      <w:r>
        <w:t>have</w:t>
      </w:r>
      <w:r>
        <w:rPr>
          <w:spacing w:val="-2"/>
        </w:rPr>
        <w:t xml:space="preserve"> </w:t>
      </w:r>
      <w:r>
        <w:t>focused</w:t>
      </w:r>
      <w:r>
        <w:rPr>
          <w:spacing w:val="-1"/>
        </w:rPr>
        <w:t xml:space="preserve"> </w:t>
      </w:r>
      <w:r>
        <w:t>on</w:t>
      </w:r>
      <w:r>
        <w:rPr>
          <w:spacing w:val="-2"/>
        </w:rPr>
        <w:t xml:space="preserve"> </w:t>
      </w:r>
      <w:r>
        <w:t>during</w:t>
      </w:r>
      <w:r>
        <w:rPr>
          <w:spacing w:val="-1"/>
        </w:rPr>
        <w:t xml:space="preserve"> </w:t>
      </w:r>
      <w:r>
        <w:t>my</w:t>
      </w:r>
      <w:r>
        <w:rPr>
          <w:spacing w:val="-2"/>
        </w:rPr>
        <w:t xml:space="preserve"> </w:t>
      </w:r>
      <w:r>
        <w:t>tenure</w:t>
      </w:r>
      <w:r>
        <w:rPr>
          <w:spacing w:val="-1"/>
        </w:rPr>
        <w:t xml:space="preserve"> </w:t>
      </w:r>
      <w:r>
        <w:t>as</w:t>
      </w:r>
      <w:r>
        <w:rPr>
          <w:spacing w:val="-1"/>
        </w:rPr>
        <w:t xml:space="preserve"> </w:t>
      </w:r>
      <w:r>
        <w:rPr>
          <w:spacing w:val="-2"/>
        </w:rPr>
        <w:t>President.</w:t>
      </w:r>
    </w:p>
    <w:p w14:paraId="17D3A139" w14:textId="77777777" w:rsidR="00AC6F3C" w:rsidRDefault="00570E88">
      <w:pPr>
        <w:pStyle w:val="BodyText"/>
        <w:spacing w:before="180" w:line="249" w:lineRule="auto"/>
        <w:ind w:left="815" w:right="468"/>
      </w:pPr>
      <w:r>
        <w:t>In 2019, the then Law Council of</w:t>
      </w:r>
      <w:r>
        <w:rPr>
          <w:spacing w:val="-5"/>
        </w:rPr>
        <w:t xml:space="preserve"> </w:t>
      </w:r>
      <w:r>
        <w:t>Australia President</w:t>
      </w:r>
      <w:r>
        <w:rPr>
          <w:spacing w:val="-5"/>
        </w:rPr>
        <w:t xml:space="preserve"> </w:t>
      </w:r>
      <w:r>
        <w:t>Arthur Moses SC said, “</w:t>
      </w:r>
      <w:proofErr w:type="gramStart"/>
      <w:r>
        <w:t>I believe that the collegiality</w:t>
      </w:r>
      <w:r>
        <w:rPr>
          <w:spacing w:val="-2"/>
        </w:rPr>
        <w:t xml:space="preserve"> </w:t>
      </w:r>
      <w:r>
        <w:t>of</w:t>
      </w:r>
      <w:r>
        <w:rPr>
          <w:spacing w:val="-2"/>
        </w:rPr>
        <w:t xml:space="preserve"> </w:t>
      </w:r>
      <w:r>
        <w:t>the</w:t>
      </w:r>
      <w:r>
        <w:rPr>
          <w:spacing w:val="-2"/>
        </w:rPr>
        <w:t xml:space="preserve"> </w:t>
      </w:r>
      <w:r>
        <w:t>law</w:t>
      </w:r>
      <w:proofErr w:type="gramEnd"/>
      <w:r>
        <w:rPr>
          <w:spacing w:val="-2"/>
        </w:rPr>
        <w:t xml:space="preserve"> </w:t>
      </w:r>
      <w:r>
        <w:t>is</w:t>
      </w:r>
      <w:r>
        <w:rPr>
          <w:spacing w:val="-2"/>
        </w:rPr>
        <w:t xml:space="preserve"> </w:t>
      </w:r>
      <w:r>
        <w:t>one</w:t>
      </w:r>
      <w:r>
        <w:rPr>
          <w:spacing w:val="-2"/>
        </w:rPr>
        <w:t xml:space="preserve"> </w:t>
      </w:r>
      <w:r>
        <w:t>of</w:t>
      </w:r>
      <w:r>
        <w:rPr>
          <w:spacing w:val="-2"/>
        </w:rPr>
        <w:t xml:space="preserve"> </w:t>
      </w:r>
      <w:r>
        <w:t>its</w:t>
      </w:r>
      <w:r>
        <w:rPr>
          <w:spacing w:val="-2"/>
        </w:rPr>
        <w:t xml:space="preserve"> </w:t>
      </w:r>
      <w:r>
        <w:t>greatest</w:t>
      </w:r>
      <w:r>
        <w:rPr>
          <w:spacing w:val="-2"/>
        </w:rPr>
        <w:t xml:space="preserve"> </w:t>
      </w:r>
      <w:r>
        <w:t>strengths.</w:t>
      </w:r>
      <w:r>
        <w:rPr>
          <w:spacing w:val="-13"/>
        </w:rPr>
        <w:t xml:space="preserve"> </w:t>
      </w:r>
      <w:r>
        <w:t>And</w:t>
      </w:r>
      <w:r>
        <w:rPr>
          <w:spacing w:val="-2"/>
        </w:rPr>
        <w:t xml:space="preserve"> </w:t>
      </w:r>
      <w:r>
        <w:t>it</w:t>
      </w:r>
      <w:r>
        <w:rPr>
          <w:spacing w:val="-2"/>
        </w:rPr>
        <w:t xml:space="preserve"> </w:t>
      </w:r>
      <w:r>
        <w:t>is</w:t>
      </w:r>
      <w:r>
        <w:rPr>
          <w:spacing w:val="-2"/>
        </w:rPr>
        <w:t xml:space="preserve"> </w:t>
      </w:r>
      <w:r>
        <w:t>this</w:t>
      </w:r>
      <w:r>
        <w:rPr>
          <w:spacing w:val="-2"/>
        </w:rPr>
        <w:t xml:space="preserve"> </w:t>
      </w:r>
      <w:r>
        <w:t>sense</w:t>
      </w:r>
      <w:r>
        <w:rPr>
          <w:spacing w:val="-2"/>
        </w:rPr>
        <w:t xml:space="preserve"> </w:t>
      </w:r>
      <w:r>
        <w:t>of</w:t>
      </w:r>
      <w:r>
        <w:rPr>
          <w:spacing w:val="-2"/>
        </w:rPr>
        <w:t xml:space="preserve"> </w:t>
      </w:r>
      <w:r>
        <w:t>kinship</w:t>
      </w:r>
      <w:r>
        <w:rPr>
          <w:spacing w:val="-2"/>
        </w:rPr>
        <w:t xml:space="preserve"> </w:t>
      </w:r>
      <w:r>
        <w:t>and</w:t>
      </w:r>
      <w:r>
        <w:rPr>
          <w:spacing w:val="-2"/>
        </w:rPr>
        <w:t xml:space="preserve"> </w:t>
      </w:r>
      <w:r>
        <w:t>common mission that should encourage us to check in, speak up and reach out.”</w:t>
      </w:r>
    </w:p>
    <w:p w14:paraId="2CDCD3FC" w14:textId="77777777" w:rsidR="00AC6F3C" w:rsidRDefault="00570E88">
      <w:pPr>
        <w:pStyle w:val="BodyText"/>
        <w:spacing w:before="172" w:line="249" w:lineRule="auto"/>
        <w:ind w:left="815" w:right="468"/>
      </w:pPr>
      <w:r>
        <w:t>Building relationships and connections is critical in the law, especially in the early part of our careers, not</w:t>
      </w:r>
      <w:r>
        <w:rPr>
          <w:spacing w:val="-2"/>
        </w:rPr>
        <w:t xml:space="preserve"> </w:t>
      </w:r>
      <w:r>
        <w:t>just</w:t>
      </w:r>
      <w:r>
        <w:rPr>
          <w:spacing w:val="-2"/>
        </w:rPr>
        <w:t xml:space="preserve"> </w:t>
      </w:r>
      <w:r>
        <w:t>for</w:t>
      </w:r>
      <w:r>
        <w:rPr>
          <w:spacing w:val="-2"/>
        </w:rPr>
        <w:t xml:space="preserve"> </w:t>
      </w:r>
      <w:r>
        <w:t>our</w:t>
      </w:r>
      <w:r>
        <w:rPr>
          <w:spacing w:val="-2"/>
        </w:rPr>
        <w:t xml:space="preserve"> </w:t>
      </w:r>
      <w:r>
        <w:t>health</w:t>
      </w:r>
      <w:r>
        <w:rPr>
          <w:spacing w:val="-2"/>
        </w:rPr>
        <w:t xml:space="preserve"> </w:t>
      </w:r>
      <w:r>
        <w:t>and</w:t>
      </w:r>
      <w:r>
        <w:rPr>
          <w:spacing w:val="-2"/>
        </w:rPr>
        <w:t xml:space="preserve"> </w:t>
      </w:r>
      <w:r>
        <w:t>wellbeing</w:t>
      </w:r>
      <w:r>
        <w:rPr>
          <w:spacing w:val="-2"/>
        </w:rPr>
        <w:t xml:space="preserve"> </w:t>
      </w:r>
      <w:r>
        <w:t>but</w:t>
      </w:r>
      <w:r>
        <w:rPr>
          <w:spacing w:val="-2"/>
        </w:rPr>
        <w:t xml:space="preserve"> </w:t>
      </w:r>
      <w:r>
        <w:t>for</w:t>
      </w:r>
      <w:r>
        <w:rPr>
          <w:spacing w:val="-2"/>
        </w:rPr>
        <w:t xml:space="preserve"> </w:t>
      </w:r>
      <w:r>
        <w:t>our</w:t>
      </w:r>
      <w:r>
        <w:rPr>
          <w:spacing w:val="-2"/>
        </w:rPr>
        <w:t xml:space="preserve"> </w:t>
      </w:r>
      <w:r>
        <w:t>practice</w:t>
      </w:r>
      <w:r>
        <w:rPr>
          <w:spacing w:val="-2"/>
        </w:rPr>
        <w:t xml:space="preserve"> </w:t>
      </w:r>
      <w:r>
        <w:t>and</w:t>
      </w:r>
      <w:r>
        <w:rPr>
          <w:spacing w:val="-2"/>
        </w:rPr>
        <w:t xml:space="preserve"> </w:t>
      </w:r>
      <w:r>
        <w:t>achieving</w:t>
      </w:r>
      <w:r>
        <w:rPr>
          <w:spacing w:val="-2"/>
        </w:rPr>
        <w:t xml:space="preserve"> </w:t>
      </w:r>
      <w:r>
        <w:t>better</w:t>
      </w:r>
      <w:r>
        <w:rPr>
          <w:spacing w:val="-2"/>
        </w:rPr>
        <w:t xml:space="preserve"> </w:t>
      </w:r>
      <w:r>
        <w:t>outcomes</w:t>
      </w:r>
      <w:r>
        <w:rPr>
          <w:spacing w:val="-2"/>
        </w:rPr>
        <w:t xml:space="preserve"> </w:t>
      </w:r>
      <w:r>
        <w:t>for</w:t>
      </w:r>
      <w:r>
        <w:rPr>
          <w:spacing w:val="-2"/>
        </w:rPr>
        <w:t xml:space="preserve"> </w:t>
      </w:r>
      <w:r>
        <w:t>our</w:t>
      </w:r>
      <w:r>
        <w:rPr>
          <w:spacing w:val="-2"/>
        </w:rPr>
        <w:t xml:space="preserve"> </w:t>
      </w:r>
      <w:r>
        <w:t>clients.</w:t>
      </w:r>
    </w:p>
    <w:p w14:paraId="2EBD40F1" w14:textId="77777777" w:rsidR="00AC6F3C" w:rsidRDefault="00570E88">
      <w:pPr>
        <w:pStyle w:val="BodyText"/>
        <w:spacing w:before="172" w:line="249" w:lineRule="auto"/>
        <w:ind w:left="815" w:right="632"/>
      </w:pPr>
      <w:r>
        <w:t>The</w:t>
      </w:r>
      <w:r>
        <w:rPr>
          <w:spacing w:val="-3"/>
        </w:rPr>
        <w:t xml:space="preserve"> </w:t>
      </w:r>
      <w:r>
        <w:t>spirit</w:t>
      </w:r>
      <w:r>
        <w:rPr>
          <w:spacing w:val="-3"/>
        </w:rPr>
        <w:t xml:space="preserve"> </w:t>
      </w:r>
      <w:r>
        <w:t>of</w:t>
      </w:r>
      <w:r>
        <w:rPr>
          <w:spacing w:val="-3"/>
        </w:rPr>
        <w:t xml:space="preserve"> </w:t>
      </w:r>
      <w:r>
        <w:t>collegiality</w:t>
      </w:r>
      <w:r>
        <w:rPr>
          <w:spacing w:val="-3"/>
        </w:rPr>
        <w:t xml:space="preserve"> </w:t>
      </w:r>
      <w:r>
        <w:t>has</w:t>
      </w:r>
      <w:r>
        <w:rPr>
          <w:spacing w:val="-3"/>
        </w:rPr>
        <w:t xml:space="preserve"> </w:t>
      </w:r>
      <w:r>
        <w:t>been</w:t>
      </w:r>
      <w:r>
        <w:rPr>
          <w:spacing w:val="-3"/>
        </w:rPr>
        <w:t xml:space="preserve"> </w:t>
      </w:r>
      <w:r>
        <w:t>part</w:t>
      </w:r>
      <w:r>
        <w:rPr>
          <w:spacing w:val="-3"/>
        </w:rPr>
        <w:t xml:space="preserve"> </w:t>
      </w:r>
      <w:r>
        <w:t>of</w:t>
      </w:r>
      <w:r>
        <w:rPr>
          <w:spacing w:val="-3"/>
        </w:rPr>
        <w:t xml:space="preserve"> </w:t>
      </w:r>
      <w:r>
        <w:t>the</w:t>
      </w:r>
      <w:r>
        <w:rPr>
          <w:spacing w:val="-3"/>
        </w:rPr>
        <w:t xml:space="preserve"> </w:t>
      </w:r>
      <w:r>
        <w:t>QLS’s</w:t>
      </w:r>
      <w:r>
        <w:rPr>
          <w:spacing w:val="-3"/>
        </w:rPr>
        <w:t xml:space="preserve"> </w:t>
      </w:r>
      <w:r>
        <w:t>purpose</w:t>
      </w:r>
      <w:r>
        <w:rPr>
          <w:spacing w:val="-3"/>
        </w:rPr>
        <w:t xml:space="preserve"> </w:t>
      </w:r>
      <w:r>
        <w:t>since</w:t>
      </w:r>
      <w:r>
        <w:rPr>
          <w:spacing w:val="-3"/>
        </w:rPr>
        <w:t xml:space="preserve"> </w:t>
      </w:r>
      <w:r>
        <w:t>its</w:t>
      </w:r>
      <w:r>
        <w:rPr>
          <w:spacing w:val="-3"/>
        </w:rPr>
        <w:t xml:space="preserve"> </w:t>
      </w:r>
      <w:r>
        <w:t>first</w:t>
      </w:r>
      <w:r>
        <w:rPr>
          <w:spacing w:val="-3"/>
        </w:rPr>
        <w:t xml:space="preserve"> </w:t>
      </w:r>
      <w:r>
        <w:t>inception</w:t>
      </w:r>
      <w:r>
        <w:rPr>
          <w:spacing w:val="-3"/>
        </w:rPr>
        <w:t xml:space="preserve"> </w:t>
      </w:r>
      <w:r>
        <w:t>in</w:t>
      </w:r>
      <w:r>
        <w:rPr>
          <w:spacing w:val="-3"/>
        </w:rPr>
        <w:t xml:space="preserve"> </w:t>
      </w:r>
      <w:r>
        <w:t>1873.</w:t>
      </w:r>
      <w:r>
        <w:rPr>
          <w:spacing w:val="-6"/>
        </w:rPr>
        <w:t xml:space="preserve"> </w:t>
      </w:r>
      <w:r>
        <w:t xml:space="preserve">Those first </w:t>
      </w:r>
      <w:proofErr w:type="gramStart"/>
      <w:r>
        <w:t>15</w:t>
      </w:r>
      <w:proofErr w:type="gramEnd"/>
      <w:r>
        <w:t xml:space="preserve"> solicitors who came together to represent the profession wanted to ensure a standard of ethics was maintained, in the spirit of integrity and professionalism.</w:t>
      </w:r>
    </w:p>
    <w:p w14:paraId="2D712196" w14:textId="77777777" w:rsidR="00AC6F3C" w:rsidRDefault="00570E88">
      <w:pPr>
        <w:pStyle w:val="BodyText"/>
        <w:spacing w:before="172" w:line="249" w:lineRule="auto"/>
        <w:ind w:left="815" w:right="468"/>
      </w:pPr>
      <w:r>
        <w:t xml:space="preserve">Collegiality is the hallmark of our profession – and I know my career has thus far </w:t>
      </w:r>
      <w:proofErr w:type="gramStart"/>
      <w:r>
        <w:t>been enriched</w:t>
      </w:r>
      <w:proofErr w:type="gramEnd"/>
      <w:r>
        <w:t xml:space="preserve"> by having</w:t>
      </w:r>
      <w:r>
        <w:rPr>
          <w:spacing w:val="-3"/>
        </w:rPr>
        <w:t xml:space="preserve"> </w:t>
      </w:r>
      <w:r>
        <w:t>those</w:t>
      </w:r>
      <w:r>
        <w:rPr>
          <w:spacing w:val="-3"/>
        </w:rPr>
        <w:t xml:space="preserve"> </w:t>
      </w:r>
      <w:r>
        <w:t>professional</w:t>
      </w:r>
      <w:r>
        <w:rPr>
          <w:spacing w:val="-3"/>
        </w:rPr>
        <w:t xml:space="preserve"> </w:t>
      </w:r>
      <w:r>
        <w:t>relationships.</w:t>
      </w:r>
      <w:r>
        <w:rPr>
          <w:spacing w:val="-3"/>
        </w:rPr>
        <w:t xml:space="preserve"> </w:t>
      </w:r>
      <w:proofErr w:type="gramStart"/>
      <w:r>
        <w:t>It’s</w:t>
      </w:r>
      <w:proofErr w:type="gramEnd"/>
      <w:r>
        <w:rPr>
          <w:spacing w:val="-3"/>
        </w:rPr>
        <w:t xml:space="preserve"> </w:t>
      </w:r>
      <w:r>
        <w:t>critical</w:t>
      </w:r>
      <w:r>
        <w:rPr>
          <w:spacing w:val="-3"/>
        </w:rPr>
        <w:t xml:space="preserve"> </w:t>
      </w:r>
      <w:r>
        <w:t>that</w:t>
      </w:r>
      <w:r>
        <w:rPr>
          <w:spacing w:val="-3"/>
        </w:rPr>
        <w:t xml:space="preserve"> </w:t>
      </w:r>
      <w:r>
        <w:t>our</w:t>
      </w:r>
      <w:r>
        <w:rPr>
          <w:spacing w:val="-3"/>
        </w:rPr>
        <w:t xml:space="preserve"> </w:t>
      </w:r>
      <w:r>
        <w:t>next</w:t>
      </w:r>
      <w:r>
        <w:rPr>
          <w:spacing w:val="-3"/>
        </w:rPr>
        <w:t xml:space="preserve"> </w:t>
      </w:r>
      <w:r>
        <w:t>generation</w:t>
      </w:r>
      <w:r>
        <w:rPr>
          <w:spacing w:val="-3"/>
        </w:rPr>
        <w:t xml:space="preserve"> </w:t>
      </w:r>
      <w:r>
        <w:t>of</w:t>
      </w:r>
      <w:r>
        <w:rPr>
          <w:spacing w:val="-3"/>
        </w:rPr>
        <w:t xml:space="preserve"> </w:t>
      </w:r>
      <w:r>
        <w:t>practitioners</w:t>
      </w:r>
      <w:r>
        <w:rPr>
          <w:spacing w:val="-3"/>
        </w:rPr>
        <w:t xml:space="preserve"> </w:t>
      </w:r>
      <w:r>
        <w:t>will</w:t>
      </w:r>
      <w:r>
        <w:rPr>
          <w:spacing w:val="-3"/>
        </w:rPr>
        <w:t xml:space="preserve"> </w:t>
      </w:r>
      <w:r>
        <w:t>know what it is to have a mentor, to work in an environment where they can grow and build a friendship circle with their colleagues.</w:t>
      </w:r>
    </w:p>
    <w:p w14:paraId="68224EA2" w14:textId="77777777" w:rsidR="00AC6F3C" w:rsidRDefault="00570E88">
      <w:pPr>
        <w:pStyle w:val="BodyText"/>
        <w:spacing w:before="173" w:line="249" w:lineRule="auto"/>
        <w:ind w:left="815" w:right="539"/>
      </w:pPr>
      <w:r>
        <w:t>Indeed,</w:t>
      </w:r>
      <w:r>
        <w:rPr>
          <w:spacing w:val="-2"/>
        </w:rPr>
        <w:t xml:space="preserve"> </w:t>
      </w:r>
      <w:r>
        <w:t>connecting</w:t>
      </w:r>
      <w:r>
        <w:rPr>
          <w:spacing w:val="-2"/>
        </w:rPr>
        <w:t xml:space="preserve"> </w:t>
      </w:r>
      <w:r>
        <w:t>the</w:t>
      </w:r>
      <w:r>
        <w:rPr>
          <w:spacing w:val="-2"/>
        </w:rPr>
        <w:t xml:space="preserve"> </w:t>
      </w:r>
      <w:r>
        <w:t>profession</w:t>
      </w:r>
      <w:r>
        <w:rPr>
          <w:spacing w:val="-2"/>
        </w:rPr>
        <w:t xml:space="preserve"> </w:t>
      </w:r>
      <w:r>
        <w:t>with</w:t>
      </w:r>
      <w:r>
        <w:rPr>
          <w:spacing w:val="-2"/>
        </w:rPr>
        <w:t xml:space="preserve"> </w:t>
      </w:r>
      <w:r>
        <w:t>QLS</w:t>
      </w:r>
      <w:r>
        <w:rPr>
          <w:spacing w:val="-2"/>
        </w:rPr>
        <w:t xml:space="preserve"> </w:t>
      </w:r>
      <w:r>
        <w:t>and</w:t>
      </w:r>
      <w:r>
        <w:rPr>
          <w:spacing w:val="-2"/>
        </w:rPr>
        <w:t xml:space="preserve"> </w:t>
      </w:r>
      <w:r>
        <w:t>each</w:t>
      </w:r>
      <w:r>
        <w:rPr>
          <w:spacing w:val="-2"/>
        </w:rPr>
        <w:t xml:space="preserve"> </w:t>
      </w:r>
      <w:r>
        <w:t>other</w:t>
      </w:r>
      <w:r>
        <w:rPr>
          <w:spacing w:val="-2"/>
        </w:rPr>
        <w:t xml:space="preserve"> </w:t>
      </w:r>
      <w:r>
        <w:t>is</w:t>
      </w:r>
      <w:r>
        <w:rPr>
          <w:spacing w:val="-2"/>
        </w:rPr>
        <w:t xml:space="preserve"> </w:t>
      </w:r>
      <w:r>
        <w:t>a</w:t>
      </w:r>
      <w:r>
        <w:rPr>
          <w:spacing w:val="-2"/>
        </w:rPr>
        <w:t xml:space="preserve"> </w:t>
      </w:r>
      <w:r>
        <w:t>key</w:t>
      </w:r>
      <w:r>
        <w:rPr>
          <w:spacing w:val="-2"/>
        </w:rPr>
        <w:t xml:space="preserve"> </w:t>
      </w:r>
      <w:r>
        <w:t>part</w:t>
      </w:r>
      <w:r>
        <w:rPr>
          <w:spacing w:val="-2"/>
        </w:rPr>
        <w:t xml:space="preserve"> </w:t>
      </w:r>
      <w:r>
        <w:t>of</w:t>
      </w:r>
      <w:r>
        <w:rPr>
          <w:spacing w:val="-2"/>
        </w:rPr>
        <w:t xml:space="preserve"> </w:t>
      </w:r>
      <w:r>
        <w:t>our</w:t>
      </w:r>
      <w:r>
        <w:rPr>
          <w:spacing w:val="-2"/>
        </w:rPr>
        <w:t xml:space="preserve"> </w:t>
      </w:r>
      <w:r>
        <w:t>purpose,</w:t>
      </w:r>
      <w:r>
        <w:rPr>
          <w:spacing w:val="-2"/>
        </w:rPr>
        <w:t xml:space="preserve"> </w:t>
      </w:r>
      <w:r>
        <w:t>as</w:t>
      </w:r>
      <w:r>
        <w:rPr>
          <w:spacing w:val="-2"/>
        </w:rPr>
        <w:t xml:space="preserve"> </w:t>
      </w:r>
      <w:r>
        <w:t>set</w:t>
      </w:r>
      <w:r>
        <w:rPr>
          <w:spacing w:val="-2"/>
        </w:rPr>
        <w:t xml:space="preserve"> </w:t>
      </w:r>
      <w:r>
        <w:t>out</w:t>
      </w:r>
      <w:r>
        <w:rPr>
          <w:spacing w:val="-2"/>
        </w:rPr>
        <w:t xml:space="preserve"> </w:t>
      </w:r>
      <w:r>
        <w:t>in our</w:t>
      </w:r>
      <w:r>
        <w:rPr>
          <w:spacing w:val="-1"/>
        </w:rPr>
        <w:t xml:space="preserve"> </w:t>
      </w:r>
      <w:r>
        <w:t>Strategic</w:t>
      </w:r>
      <w:r>
        <w:rPr>
          <w:spacing w:val="-1"/>
        </w:rPr>
        <w:t xml:space="preserve"> </w:t>
      </w:r>
      <w:r>
        <w:t>Plan</w:t>
      </w:r>
      <w:r>
        <w:rPr>
          <w:spacing w:val="-1"/>
        </w:rPr>
        <w:t xml:space="preserve"> </w:t>
      </w:r>
      <w:r>
        <w:t>2021-25.</w:t>
      </w:r>
      <w:r>
        <w:rPr>
          <w:spacing w:val="-5"/>
        </w:rPr>
        <w:t xml:space="preserve"> </w:t>
      </w:r>
      <w:r>
        <w:t>This</w:t>
      </w:r>
      <w:r>
        <w:rPr>
          <w:spacing w:val="-1"/>
        </w:rPr>
        <w:t xml:space="preserve"> </w:t>
      </w:r>
      <w:r>
        <w:t>also</w:t>
      </w:r>
      <w:r>
        <w:rPr>
          <w:spacing w:val="-1"/>
        </w:rPr>
        <w:t xml:space="preserve"> </w:t>
      </w:r>
      <w:r>
        <w:t>outlines</w:t>
      </w:r>
      <w:r>
        <w:rPr>
          <w:spacing w:val="-1"/>
        </w:rPr>
        <w:t xml:space="preserve"> </w:t>
      </w:r>
      <w:r>
        <w:t>our</w:t>
      </w:r>
      <w:r>
        <w:rPr>
          <w:spacing w:val="-1"/>
        </w:rPr>
        <w:t xml:space="preserve"> </w:t>
      </w:r>
      <w:r>
        <w:t>vision,</w:t>
      </w:r>
      <w:r>
        <w:rPr>
          <w:spacing w:val="-1"/>
        </w:rPr>
        <w:t xml:space="preserve"> </w:t>
      </w:r>
      <w:r>
        <w:t>and</w:t>
      </w:r>
      <w:r>
        <w:rPr>
          <w:spacing w:val="-1"/>
        </w:rPr>
        <w:t xml:space="preserve"> </w:t>
      </w:r>
      <w:r>
        <w:t>the</w:t>
      </w:r>
      <w:r>
        <w:rPr>
          <w:spacing w:val="-1"/>
        </w:rPr>
        <w:t xml:space="preserve"> </w:t>
      </w:r>
      <w:r>
        <w:t>strategies</w:t>
      </w:r>
      <w:r>
        <w:rPr>
          <w:spacing w:val="-1"/>
        </w:rPr>
        <w:t xml:space="preserve"> </w:t>
      </w:r>
      <w:r>
        <w:t>that</w:t>
      </w:r>
      <w:r>
        <w:rPr>
          <w:spacing w:val="-1"/>
        </w:rPr>
        <w:t xml:space="preserve"> </w:t>
      </w:r>
      <w:r>
        <w:t>continue</w:t>
      </w:r>
      <w:r>
        <w:rPr>
          <w:spacing w:val="-1"/>
        </w:rPr>
        <w:t xml:space="preserve"> </w:t>
      </w:r>
      <w:r>
        <w:t>to</w:t>
      </w:r>
      <w:r>
        <w:rPr>
          <w:spacing w:val="-1"/>
        </w:rPr>
        <w:t xml:space="preserve"> </w:t>
      </w:r>
      <w:r>
        <w:t xml:space="preserve">underpin and advance our work. 2022-23 was the second year of this plan, and throughout this report, it is evident that we have continued to build on this </w:t>
      </w:r>
      <w:proofErr w:type="gramStart"/>
      <w:r>
        <w:t>strong foundation</w:t>
      </w:r>
      <w:proofErr w:type="gramEnd"/>
      <w:r>
        <w:t>. We remain an authoritative voice, co-regulating the profession for its benefit and that of the public, helping our members succeed, and respecting, protecting, and promoting human rights in our decision-making and actions.</w:t>
      </w:r>
    </w:p>
    <w:p w14:paraId="072F8036" w14:textId="77777777" w:rsidR="00AC6F3C" w:rsidRDefault="00AC6F3C">
      <w:pPr>
        <w:pStyle w:val="BodyText"/>
        <w:spacing w:before="9"/>
        <w:rPr>
          <w:sz w:val="32"/>
        </w:rPr>
      </w:pPr>
    </w:p>
    <w:p w14:paraId="4456458C" w14:textId="77777777" w:rsidR="00AC6F3C" w:rsidRDefault="00570E88">
      <w:pPr>
        <w:pStyle w:val="Heading3"/>
        <w:spacing w:before="1"/>
      </w:pPr>
      <w:r>
        <w:t>150</w:t>
      </w:r>
      <w:r>
        <w:rPr>
          <w:spacing w:val="-3"/>
        </w:rPr>
        <w:t xml:space="preserve"> </w:t>
      </w:r>
      <w:r>
        <w:t>years</w:t>
      </w:r>
      <w:r>
        <w:rPr>
          <w:spacing w:val="-2"/>
        </w:rPr>
        <w:t xml:space="preserve"> </w:t>
      </w:r>
      <w:r>
        <w:t>of</w:t>
      </w:r>
      <w:r>
        <w:rPr>
          <w:spacing w:val="-2"/>
        </w:rPr>
        <w:t xml:space="preserve"> </w:t>
      </w:r>
      <w:r>
        <w:t>the</w:t>
      </w:r>
      <w:r>
        <w:rPr>
          <w:spacing w:val="-3"/>
        </w:rPr>
        <w:t xml:space="preserve"> </w:t>
      </w:r>
      <w:r>
        <w:t>Society</w:t>
      </w:r>
      <w:r>
        <w:rPr>
          <w:spacing w:val="-2"/>
        </w:rPr>
        <w:t xml:space="preserve"> </w:t>
      </w:r>
      <w:r>
        <w:t>as</w:t>
      </w:r>
      <w:r>
        <w:rPr>
          <w:spacing w:val="-2"/>
        </w:rPr>
        <w:t xml:space="preserve"> </w:t>
      </w:r>
      <w:r>
        <w:t>a</w:t>
      </w:r>
      <w:r>
        <w:rPr>
          <w:spacing w:val="-3"/>
        </w:rPr>
        <w:t xml:space="preserve"> </w:t>
      </w:r>
      <w:r>
        <w:t>force</w:t>
      </w:r>
      <w:r>
        <w:rPr>
          <w:spacing w:val="-2"/>
        </w:rPr>
        <w:t xml:space="preserve"> </w:t>
      </w:r>
      <w:r>
        <w:t>for</w:t>
      </w:r>
      <w:r>
        <w:rPr>
          <w:spacing w:val="-2"/>
        </w:rPr>
        <w:t xml:space="preserve"> </w:t>
      </w:r>
      <w:r>
        <w:rPr>
          <w:spacing w:val="-4"/>
        </w:rPr>
        <w:t>good</w:t>
      </w:r>
    </w:p>
    <w:p w14:paraId="3CB6F2F6" w14:textId="77777777" w:rsidR="00AC6F3C" w:rsidRDefault="00570E88">
      <w:pPr>
        <w:pStyle w:val="BodyText"/>
        <w:spacing w:before="154"/>
        <w:ind w:left="815"/>
      </w:pPr>
      <w:r>
        <w:t>In</w:t>
      </w:r>
      <w:r>
        <w:rPr>
          <w:spacing w:val="-2"/>
        </w:rPr>
        <w:t xml:space="preserve"> </w:t>
      </w:r>
      <w:r>
        <w:t>2023,</w:t>
      </w:r>
      <w:r>
        <w:rPr>
          <w:spacing w:val="-1"/>
        </w:rPr>
        <w:t xml:space="preserve"> </w:t>
      </w:r>
      <w:r>
        <w:t>Queensland</w:t>
      </w:r>
      <w:r>
        <w:rPr>
          <w:spacing w:val="-1"/>
        </w:rPr>
        <w:t xml:space="preserve"> </w:t>
      </w:r>
      <w:r>
        <w:t>Law</w:t>
      </w:r>
      <w:r>
        <w:rPr>
          <w:spacing w:val="-1"/>
        </w:rPr>
        <w:t xml:space="preserve"> </w:t>
      </w:r>
      <w:r>
        <w:t>Society</w:t>
      </w:r>
      <w:r>
        <w:rPr>
          <w:spacing w:val="-1"/>
        </w:rPr>
        <w:t xml:space="preserve"> </w:t>
      </w:r>
      <w:r>
        <w:t>celebrates</w:t>
      </w:r>
      <w:r>
        <w:rPr>
          <w:spacing w:val="-1"/>
        </w:rPr>
        <w:t xml:space="preserve"> </w:t>
      </w:r>
      <w:r>
        <w:t>150</w:t>
      </w:r>
      <w:r>
        <w:rPr>
          <w:spacing w:val="-1"/>
        </w:rPr>
        <w:t xml:space="preserve"> </w:t>
      </w:r>
      <w:r>
        <w:t>years</w:t>
      </w:r>
      <w:r>
        <w:rPr>
          <w:spacing w:val="-2"/>
        </w:rPr>
        <w:t xml:space="preserve"> </w:t>
      </w:r>
      <w:r>
        <w:t>of</w:t>
      </w:r>
      <w:r>
        <w:rPr>
          <w:spacing w:val="-1"/>
        </w:rPr>
        <w:t xml:space="preserve"> </w:t>
      </w:r>
      <w:r>
        <w:t>leadership,</w:t>
      </w:r>
      <w:r>
        <w:rPr>
          <w:spacing w:val="-1"/>
        </w:rPr>
        <w:t xml:space="preserve"> </w:t>
      </w:r>
      <w:r>
        <w:t>guidance,</w:t>
      </w:r>
      <w:r>
        <w:rPr>
          <w:spacing w:val="-1"/>
        </w:rPr>
        <w:t xml:space="preserve"> </w:t>
      </w:r>
      <w:r>
        <w:t>and</w:t>
      </w:r>
      <w:r>
        <w:rPr>
          <w:spacing w:val="-1"/>
        </w:rPr>
        <w:t xml:space="preserve"> </w:t>
      </w:r>
      <w:r>
        <w:t>support</w:t>
      </w:r>
      <w:r>
        <w:rPr>
          <w:spacing w:val="-1"/>
        </w:rPr>
        <w:t xml:space="preserve"> </w:t>
      </w:r>
      <w:r>
        <w:t>of</w:t>
      </w:r>
      <w:r>
        <w:rPr>
          <w:spacing w:val="-1"/>
        </w:rPr>
        <w:t xml:space="preserve"> </w:t>
      </w:r>
      <w:r>
        <w:rPr>
          <w:spacing w:val="-5"/>
        </w:rPr>
        <w:t>the</w:t>
      </w:r>
    </w:p>
    <w:p w14:paraId="51939ECF" w14:textId="77777777" w:rsidR="00AC6F3C" w:rsidRDefault="00570E88">
      <w:pPr>
        <w:pStyle w:val="BodyText"/>
        <w:spacing w:before="10"/>
        <w:ind w:left="815"/>
      </w:pPr>
      <w:r>
        <w:t>legal</w:t>
      </w:r>
      <w:r>
        <w:rPr>
          <w:spacing w:val="-4"/>
        </w:rPr>
        <w:t xml:space="preserve"> </w:t>
      </w:r>
      <w:r>
        <w:t>profession</w:t>
      </w:r>
      <w:r>
        <w:rPr>
          <w:spacing w:val="-3"/>
        </w:rPr>
        <w:t xml:space="preserve"> </w:t>
      </w:r>
      <w:r>
        <w:t>in</w:t>
      </w:r>
      <w:r>
        <w:rPr>
          <w:spacing w:val="-4"/>
        </w:rPr>
        <w:t xml:space="preserve"> </w:t>
      </w:r>
      <w:r>
        <w:t>our</w:t>
      </w:r>
      <w:r>
        <w:rPr>
          <w:spacing w:val="-3"/>
        </w:rPr>
        <w:t xml:space="preserve"> </w:t>
      </w:r>
      <w:r>
        <w:rPr>
          <w:spacing w:val="-2"/>
        </w:rPr>
        <w:t>state.</w:t>
      </w:r>
    </w:p>
    <w:p w14:paraId="27404411" w14:textId="77777777" w:rsidR="00AC6F3C" w:rsidRDefault="00570E88">
      <w:pPr>
        <w:pStyle w:val="BodyText"/>
        <w:spacing w:before="180" w:line="249" w:lineRule="auto"/>
        <w:ind w:left="815" w:right="990"/>
      </w:pPr>
      <w:r>
        <w:t>Our</w:t>
      </w:r>
      <w:r>
        <w:rPr>
          <w:spacing w:val="-2"/>
        </w:rPr>
        <w:t xml:space="preserve"> </w:t>
      </w:r>
      <w:r>
        <w:t>sesquicentennial</w:t>
      </w:r>
      <w:r>
        <w:rPr>
          <w:spacing w:val="-2"/>
        </w:rPr>
        <w:t xml:space="preserve"> </w:t>
      </w:r>
      <w:r>
        <w:t>is</w:t>
      </w:r>
      <w:r>
        <w:rPr>
          <w:spacing w:val="-2"/>
        </w:rPr>
        <w:t xml:space="preserve"> </w:t>
      </w:r>
      <w:r>
        <w:t>a</w:t>
      </w:r>
      <w:r>
        <w:rPr>
          <w:spacing w:val="-2"/>
        </w:rPr>
        <w:t xml:space="preserve"> </w:t>
      </w:r>
      <w:r>
        <w:t>time</w:t>
      </w:r>
      <w:r>
        <w:rPr>
          <w:spacing w:val="-2"/>
        </w:rPr>
        <w:t xml:space="preserve"> </w:t>
      </w:r>
      <w:r>
        <w:t>for</w:t>
      </w:r>
      <w:r>
        <w:rPr>
          <w:spacing w:val="-2"/>
        </w:rPr>
        <w:t xml:space="preserve"> </w:t>
      </w:r>
      <w:r>
        <w:t>QLS,</w:t>
      </w:r>
      <w:r>
        <w:rPr>
          <w:spacing w:val="-2"/>
        </w:rPr>
        <w:t xml:space="preserve"> </w:t>
      </w:r>
      <w:r>
        <w:t>and</w:t>
      </w:r>
      <w:r>
        <w:rPr>
          <w:spacing w:val="-2"/>
        </w:rPr>
        <w:t xml:space="preserve"> </w:t>
      </w:r>
      <w:r>
        <w:t>us</w:t>
      </w:r>
      <w:r>
        <w:rPr>
          <w:spacing w:val="-2"/>
        </w:rPr>
        <w:t xml:space="preserve"> </w:t>
      </w:r>
      <w:r>
        <w:t>as</w:t>
      </w:r>
      <w:r>
        <w:rPr>
          <w:spacing w:val="-2"/>
        </w:rPr>
        <w:t xml:space="preserve"> </w:t>
      </w:r>
      <w:r>
        <w:t>a</w:t>
      </w:r>
      <w:r>
        <w:rPr>
          <w:spacing w:val="-2"/>
        </w:rPr>
        <w:t xml:space="preserve"> </w:t>
      </w:r>
      <w:r>
        <w:t>profession,</w:t>
      </w:r>
      <w:r>
        <w:rPr>
          <w:spacing w:val="-2"/>
        </w:rPr>
        <w:t xml:space="preserve"> </w:t>
      </w:r>
      <w:r>
        <w:t>to</w:t>
      </w:r>
      <w:r>
        <w:rPr>
          <w:spacing w:val="-2"/>
        </w:rPr>
        <w:t xml:space="preserve"> </w:t>
      </w:r>
      <w:r>
        <w:t>pause</w:t>
      </w:r>
      <w:r>
        <w:rPr>
          <w:spacing w:val="-2"/>
        </w:rPr>
        <w:t xml:space="preserve"> </w:t>
      </w:r>
      <w:r>
        <w:t>and</w:t>
      </w:r>
      <w:r>
        <w:rPr>
          <w:spacing w:val="-2"/>
        </w:rPr>
        <w:t xml:space="preserve"> </w:t>
      </w:r>
      <w:r>
        <w:t>reflect</w:t>
      </w:r>
      <w:r>
        <w:rPr>
          <w:spacing w:val="-2"/>
        </w:rPr>
        <w:t xml:space="preserve"> </w:t>
      </w:r>
      <w:r>
        <w:t>on</w:t>
      </w:r>
      <w:r>
        <w:rPr>
          <w:spacing w:val="-2"/>
        </w:rPr>
        <w:t xml:space="preserve"> </w:t>
      </w:r>
      <w:r>
        <w:t>how</w:t>
      </w:r>
      <w:r>
        <w:rPr>
          <w:spacing w:val="-2"/>
        </w:rPr>
        <w:t xml:space="preserve"> </w:t>
      </w:r>
      <w:r>
        <w:t>far we have come, and to celebrate those who have served and contributed to our proud history, paving the way for the future.</w:t>
      </w:r>
    </w:p>
    <w:p w14:paraId="678003FC" w14:textId="77777777" w:rsidR="00AC6F3C" w:rsidRDefault="00570E88">
      <w:pPr>
        <w:pStyle w:val="BodyText"/>
        <w:spacing w:before="173" w:line="249" w:lineRule="auto"/>
        <w:ind w:left="815" w:right="468"/>
      </w:pPr>
      <w:r>
        <w:t xml:space="preserve">I </w:t>
      </w:r>
      <w:proofErr w:type="gramStart"/>
      <w:r>
        <w:t xml:space="preserve">am </w:t>
      </w:r>
      <w:proofErr w:type="spellStart"/>
      <w:r>
        <w:t>honoured</w:t>
      </w:r>
      <w:proofErr w:type="spellEnd"/>
      <w:proofErr w:type="gramEnd"/>
      <w:r>
        <w:t xml:space="preserve"> to be serving as President as we mark this significant milestone in history – and to have</w:t>
      </w:r>
      <w:r>
        <w:rPr>
          <w:spacing w:val="-3"/>
        </w:rPr>
        <w:t xml:space="preserve"> </w:t>
      </w:r>
      <w:r>
        <w:t>followed</w:t>
      </w:r>
      <w:r>
        <w:rPr>
          <w:spacing w:val="-3"/>
        </w:rPr>
        <w:t xml:space="preserve"> </w:t>
      </w:r>
      <w:r>
        <w:t>in</w:t>
      </w:r>
      <w:r>
        <w:rPr>
          <w:spacing w:val="-3"/>
        </w:rPr>
        <w:t xml:space="preserve"> </w:t>
      </w:r>
      <w:r>
        <w:t>the</w:t>
      </w:r>
      <w:r>
        <w:rPr>
          <w:spacing w:val="-3"/>
        </w:rPr>
        <w:t xml:space="preserve"> </w:t>
      </w:r>
      <w:r>
        <w:t>footsteps</w:t>
      </w:r>
      <w:r>
        <w:rPr>
          <w:spacing w:val="-3"/>
        </w:rPr>
        <w:t xml:space="preserve"> </w:t>
      </w:r>
      <w:r>
        <w:t>of</w:t>
      </w:r>
      <w:r>
        <w:rPr>
          <w:spacing w:val="-3"/>
        </w:rPr>
        <w:t xml:space="preserve"> </w:t>
      </w:r>
      <w:r>
        <w:t>the</w:t>
      </w:r>
      <w:r>
        <w:rPr>
          <w:spacing w:val="-3"/>
        </w:rPr>
        <w:t xml:space="preserve"> </w:t>
      </w:r>
      <w:r>
        <w:t>many</w:t>
      </w:r>
      <w:r>
        <w:rPr>
          <w:spacing w:val="-3"/>
        </w:rPr>
        <w:t xml:space="preserve"> </w:t>
      </w:r>
      <w:r>
        <w:t>trailblazing</w:t>
      </w:r>
      <w:r>
        <w:rPr>
          <w:spacing w:val="-3"/>
        </w:rPr>
        <w:t xml:space="preserve"> </w:t>
      </w:r>
      <w:r>
        <w:t>practitioners</w:t>
      </w:r>
      <w:r>
        <w:rPr>
          <w:spacing w:val="-3"/>
        </w:rPr>
        <w:t xml:space="preserve"> </w:t>
      </w:r>
      <w:r>
        <w:t>who</w:t>
      </w:r>
      <w:r>
        <w:rPr>
          <w:spacing w:val="-3"/>
        </w:rPr>
        <w:t xml:space="preserve"> </w:t>
      </w:r>
      <w:r>
        <w:t>have</w:t>
      </w:r>
      <w:r>
        <w:rPr>
          <w:spacing w:val="-3"/>
        </w:rPr>
        <w:t xml:space="preserve"> </w:t>
      </w:r>
      <w:r>
        <w:t>served</w:t>
      </w:r>
      <w:r>
        <w:rPr>
          <w:spacing w:val="-3"/>
        </w:rPr>
        <w:t xml:space="preserve"> </w:t>
      </w:r>
      <w:r>
        <w:t>QLS,</w:t>
      </w:r>
      <w:r>
        <w:rPr>
          <w:spacing w:val="-3"/>
        </w:rPr>
        <w:t xml:space="preserve"> </w:t>
      </w:r>
      <w:r>
        <w:t>in</w:t>
      </w:r>
      <w:r>
        <w:rPr>
          <w:spacing w:val="-3"/>
        </w:rPr>
        <w:t xml:space="preserve"> </w:t>
      </w:r>
      <w:r>
        <w:t>all</w:t>
      </w:r>
      <w:r>
        <w:rPr>
          <w:spacing w:val="-3"/>
        </w:rPr>
        <w:t xml:space="preserve"> </w:t>
      </w:r>
      <w:r>
        <w:t>its iterations, over the last 150 years.</w:t>
      </w:r>
    </w:p>
    <w:p w14:paraId="3525C326" w14:textId="77777777" w:rsidR="00AC6F3C" w:rsidRDefault="00570E88">
      <w:pPr>
        <w:pStyle w:val="BodyText"/>
        <w:spacing w:before="172" w:line="249" w:lineRule="auto"/>
        <w:ind w:left="815" w:right="632"/>
      </w:pPr>
      <w:r>
        <w:t xml:space="preserve">This includes the much-beloved doyenne of the QLS, Beryl Donkin, who became its first full-time employee in 1941. Known as tenacious and </w:t>
      </w:r>
      <w:proofErr w:type="gramStart"/>
      <w:r>
        <w:t>passionate</w:t>
      </w:r>
      <w:proofErr w:type="gramEnd"/>
      <w:r>
        <w:t>, Beryl took on the role despite naysayers who</w:t>
      </w:r>
      <w:r>
        <w:rPr>
          <w:spacing w:val="-3"/>
        </w:rPr>
        <w:t xml:space="preserve"> </w:t>
      </w:r>
      <w:r>
        <w:t>warned</w:t>
      </w:r>
      <w:r>
        <w:rPr>
          <w:spacing w:val="-3"/>
        </w:rPr>
        <w:t xml:space="preserve"> </w:t>
      </w:r>
      <w:r>
        <w:t>her</w:t>
      </w:r>
      <w:r>
        <w:rPr>
          <w:spacing w:val="-3"/>
        </w:rPr>
        <w:t xml:space="preserve"> </w:t>
      </w:r>
      <w:r>
        <w:t>against</w:t>
      </w:r>
      <w:r>
        <w:rPr>
          <w:spacing w:val="-3"/>
        </w:rPr>
        <w:t xml:space="preserve"> </w:t>
      </w:r>
      <w:r>
        <w:t>leaving</w:t>
      </w:r>
      <w:r>
        <w:rPr>
          <w:spacing w:val="-3"/>
        </w:rPr>
        <w:t xml:space="preserve"> </w:t>
      </w:r>
      <w:r>
        <w:t>a</w:t>
      </w:r>
      <w:r>
        <w:rPr>
          <w:spacing w:val="-3"/>
        </w:rPr>
        <w:t xml:space="preserve"> </w:t>
      </w:r>
      <w:r>
        <w:t>steady</w:t>
      </w:r>
      <w:r>
        <w:rPr>
          <w:spacing w:val="-3"/>
        </w:rPr>
        <w:t xml:space="preserve"> </w:t>
      </w:r>
      <w:r>
        <w:t>full-time</w:t>
      </w:r>
      <w:r>
        <w:rPr>
          <w:spacing w:val="-3"/>
        </w:rPr>
        <w:t xml:space="preserve"> </w:t>
      </w:r>
      <w:r>
        <w:t>role</w:t>
      </w:r>
      <w:r>
        <w:rPr>
          <w:spacing w:val="-3"/>
        </w:rPr>
        <w:t xml:space="preserve"> </w:t>
      </w:r>
      <w:r>
        <w:t>with</w:t>
      </w:r>
      <w:r>
        <w:rPr>
          <w:spacing w:val="-3"/>
        </w:rPr>
        <w:t xml:space="preserve"> </w:t>
      </w:r>
      <w:r>
        <w:t>the</w:t>
      </w:r>
      <w:r>
        <w:rPr>
          <w:spacing w:val="-3"/>
        </w:rPr>
        <w:t xml:space="preserve"> </w:t>
      </w:r>
      <w:r>
        <w:t>public</w:t>
      </w:r>
      <w:r>
        <w:rPr>
          <w:spacing w:val="-3"/>
        </w:rPr>
        <w:t xml:space="preserve"> </w:t>
      </w:r>
      <w:r>
        <w:t>service</w:t>
      </w:r>
      <w:r>
        <w:rPr>
          <w:spacing w:val="-3"/>
        </w:rPr>
        <w:t xml:space="preserve"> </w:t>
      </w:r>
      <w:r>
        <w:t>during</w:t>
      </w:r>
      <w:r>
        <w:rPr>
          <w:spacing w:val="-3"/>
        </w:rPr>
        <w:t xml:space="preserve"> </w:t>
      </w:r>
      <w:r>
        <w:t>wartime</w:t>
      </w:r>
      <w:r>
        <w:rPr>
          <w:spacing w:val="-3"/>
        </w:rPr>
        <w:t xml:space="preserve"> </w:t>
      </w:r>
      <w:r>
        <w:t>–</w:t>
      </w:r>
      <w:r>
        <w:rPr>
          <w:spacing w:val="-3"/>
        </w:rPr>
        <w:t xml:space="preserve"> </w:t>
      </w:r>
      <w:r>
        <w:t>and continued her dedicated service for more than 40 years.</w:t>
      </w:r>
    </w:p>
    <w:p w14:paraId="04BC522A" w14:textId="77777777" w:rsidR="00AC6F3C" w:rsidRDefault="00570E88">
      <w:pPr>
        <w:pStyle w:val="BodyText"/>
        <w:spacing w:before="174" w:line="249" w:lineRule="auto"/>
        <w:ind w:left="815"/>
      </w:pPr>
      <w:r>
        <w:t>Another</w:t>
      </w:r>
      <w:r>
        <w:rPr>
          <w:spacing w:val="-4"/>
        </w:rPr>
        <w:t xml:space="preserve"> </w:t>
      </w:r>
      <w:r>
        <w:t>pioneer</w:t>
      </w:r>
      <w:r>
        <w:rPr>
          <w:spacing w:val="-4"/>
        </w:rPr>
        <w:t xml:space="preserve"> </w:t>
      </w:r>
      <w:r>
        <w:t>of</w:t>
      </w:r>
      <w:r>
        <w:rPr>
          <w:spacing w:val="-4"/>
        </w:rPr>
        <w:t xml:space="preserve"> </w:t>
      </w:r>
      <w:r>
        <w:t>the</w:t>
      </w:r>
      <w:r>
        <w:rPr>
          <w:spacing w:val="-4"/>
        </w:rPr>
        <w:t xml:space="preserve"> </w:t>
      </w:r>
      <w:r>
        <w:t>profession</w:t>
      </w:r>
      <w:r>
        <w:rPr>
          <w:spacing w:val="-4"/>
        </w:rPr>
        <w:t xml:space="preserve"> </w:t>
      </w:r>
      <w:r>
        <w:t>was</w:t>
      </w:r>
      <w:r>
        <w:rPr>
          <w:spacing w:val="-14"/>
        </w:rPr>
        <w:t xml:space="preserve"> </w:t>
      </w:r>
      <w:r>
        <w:t>Agnes</w:t>
      </w:r>
      <w:r>
        <w:rPr>
          <w:spacing w:val="-4"/>
        </w:rPr>
        <w:t xml:space="preserve"> </w:t>
      </w:r>
      <w:r>
        <w:t>McWhinney</w:t>
      </w:r>
      <w:r>
        <w:rPr>
          <w:spacing w:val="-4"/>
        </w:rPr>
        <w:t xml:space="preserve"> </w:t>
      </w:r>
      <w:r>
        <w:t>–</w:t>
      </w:r>
      <w:r>
        <w:rPr>
          <w:spacing w:val="-4"/>
        </w:rPr>
        <w:t xml:space="preserve"> </w:t>
      </w:r>
      <w:r>
        <w:t>Queensland’s</w:t>
      </w:r>
      <w:r>
        <w:rPr>
          <w:spacing w:val="-4"/>
        </w:rPr>
        <w:t xml:space="preserve"> </w:t>
      </w:r>
      <w:r>
        <w:t>first</w:t>
      </w:r>
      <w:r>
        <w:rPr>
          <w:spacing w:val="-4"/>
        </w:rPr>
        <w:t xml:space="preserve"> </w:t>
      </w:r>
      <w:r>
        <w:t>admitted</w:t>
      </w:r>
      <w:r>
        <w:rPr>
          <w:spacing w:val="-4"/>
        </w:rPr>
        <w:t xml:space="preserve"> </w:t>
      </w:r>
      <w:r>
        <w:t>woman</w:t>
      </w:r>
      <w:r>
        <w:rPr>
          <w:spacing w:val="-4"/>
        </w:rPr>
        <w:t xml:space="preserve"> </w:t>
      </w:r>
      <w:r>
        <w:t>solicitor. Like myself,</w:t>
      </w:r>
      <w:r>
        <w:rPr>
          <w:spacing w:val="-5"/>
        </w:rPr>
        <w:t xml:space="preserve"> </w:t>
      </w:r>
      <w:r>
        <w:t>Agnes initially wanted to pursue a career in medicine, but developed an interest in law.</w:t>
      </w:r>
    </w:p>
    <w:p w14:paraId="47A8C211" w14:textId="77777777" w:rsidR="00AC6F3C" w:rsidRDefault="00570E88">
      <w:pPr>
        <w:pStyle w:val="BodyText"/>
        <w:spacing w:before="1" w:line="249" w:lineRule="auto"/>
        <w:ind w:left="815" w:right="234"/>
      </w:pPr>
      <w:r>
        <w:t>Today,</w:t>
      </w:r>
      <w:r>
        <w:rPr>
          <w:spacing w:val="-11"/>
        </w:rPr>
        <w:t xml:space="preserve"> </w:t>
      </w:r>
      <w:r>
        <w:t>QLS</w:t>
      </w:r>
      <w:r>
        <w:rPr>
          <w:spacing w:val="-7"/>
        </w:rPr>
        <w:t xml:space="preserve"> </w:t>
      </w:r>
      <w:r>
        <w:t>commemorates</w:t>
      </w:r>
      <w:r>
        <w:rPr>
          <w:spacing w:val="-14"/>
        </w:rPr>
        <w:t xml:space="preserve"> </w:t>
      </w:r>
      <w:r>
        <w:t>Agnes’</w:t>
      </w:r>
      <w:r>
        <w:rPr>
          <w:spacing w:val="-14"/>
        </w:rPr>
        <w:t xml:space="preserve"> </w:t>
      </w:r>
      <w:r>
        <w:t>extraordinary</w:t>
      </w:r>
      <w:r>
        <w:rPr>
          <w:spacing w:val="-7"/>
        </w:rPr>
        <w:t xml:space="preserve"> </w:t>
      </w:r>
      <w:r>
        <w:t>achievements</w:t>
      </w:r>
      <w:r>
        <w:rPr>
          <w:spacing w:val="-7"/>
        </w:rPr>
        <w:t xml:space="preserve"> </w:t>
      </w:r>
      <w:r>
        <w:t>with</w:t>
      </w:r>
      <w:r>
        <w:rPr>
          <w:spacing w:val="-7"/>
        </w:rPr>
        <w:t xml:space="preserve"> </w:t>
      </w:r>
      <w:r>
        <w:t>an</w:t>
      </w:r>
      <w:r>
        <w:rPr>
          <w:spacing w:val="-7"/>
        </w:rPr>
        <w:t xml:space="preserve"> </w:t>
      </w:r>
      <w:r>
        <w:t>annual</w:t>
      </w:r>
      <w:r>
        <w:rPr>
          <w:spacing w:val="-7"/>
        </w:rPr>
        <w:t xml:space="preserve"> </w:t>
      </w:r>
      <w:r>
        <w:t>Excellence</w:t>
      </w:r>
      <w:r>
        <w:rPr>
          <w:spacing w:val="-7"/>
        </w:rPr>
        <w:t xml:space="preserve"> </w:t>
      </w:r>
      <w:r>
        <w:t>in</w:t>
      </w:r>
      <w:r>
        <w:rPr>
          <w:spacing w:val="-7"/>
        </w:rPr>
        <w:t xml:space="preserve"> </w:t>
      </w:r>
      <w:r>
        <w:t>Law</w:t>
      </w:r>
      <w:r>
        <w:rPr>
          <w:spacing w:val="-14"/>
        </w:rPr>
        <w:t xml:space="preserve"> </w:t>
      </w:r>
      <w:r>
        <w:t xml:space="preserve">Award in her name. This </w:t>
      </w:r>
      <w:proofErr w:type="spellStart"/>
      <w:r>
        <w:t>recognises</w:t>
      </w:r>
      <w:proofErr w:type="spellEnd"/>
      <w:r>
        <w:t xml:space="preserve"> a female lawyer that like</w:t>
      </w:r>
      <w:r>
        <w:rPr>
          <w:spacing w:val="-5"/>
        </w:rPr>
        <w:t xml:space="preserve"> </w:t>
      </w:r>
      <w:r>
        <w:t>Agnes, has forged a path for themselves, their peers, and the community.</w:t>
      </w:r>
    </w:p>
    <w:p w14:paraId="3029D17B" w14:textId="77777777" w:rsidR="00AC6F3C" w:rsidRDefault="00AC6F3C">
      <w:pPr>
        <w:spacing w:line="249" w:lineRule="auto"/>
        <w:sectPr w:rsidR="00AC6F3C">
          <w:headerReference w:type="default" r:id="rId41"/>
          <w:footerReference w:type="default" r:id="rId42"/>
          <w:pgSz w:w="11910" w:h="16840"/>
          <w:pgMar w:top="980" w:right="1160" w:bottom="520" w:left="460" w:header="0" w:footer="336" w:gutter="0"/>
          <w:cols w:space="720"/>
        </w:sectPr>
      </w:pPr>
    </w:p>
    <w:p w14:paraId="4F562437" w14:textId="77777777" w:rsidR="00AC6F3C" w:rsidRDefault="00570E88">
      <w:pPr>
        <w:pStyle w:val="BodyText"/>
        <w:spacing w:before="76" w:line="249" w:lineRule="auto"/>
        <w:ind w:left="815" w:right="468"/>
      </w:pPr>
      <w:bookmarkStart w:id="16" w:name="The_importance_of_our_regions"/>
      <w:bookmarkStart w:id="17" w:name="A_voice_for_the_future"/>
      <w:bookmarkStart w:id="18" w:name="_bookmark6"/>
      <w:bookmarkEnd w:id="16"/>
      <w:bookmarkEnd w:id="17"/>
      <w:bookmarkEnd w:id="18"/>
      <w:r>
        <w:lastRenderedPageBreak/>
        <w:t>Today,</w:t>
      </w:r>
      <w:r>
        <w:rPr>
          <w:spacing w:val="-5"/>
        </w:rPr>
        <w:t xml:space="preserve"> </w:t>
      </w:r>
      <w:r>
        <w:t>eight</w:t>
      </w:r>
      <w:r>
        <w:rPr>
          <w:spacing w:val="-5"/>
        </w:rPr>
        <w:t xml:space="preserve"> </w:t>
      </w:r>
      <w:r>
        <w:t>out</w:t>
      </w:r>
      <w:r>
        <w:rPr>
          <w:spacing w:val="-5"/>
        </w:rPr>
        <w:t xml:space="preserve"> </w:t>
      </w:r>
      <w:r>
        <w:t>of</w:t>
      </w:r>
      <w:r>
        <w:rPr>
          <w:spacing w:val="-5"/>
        </w:rPr>
        <w:t xml:space="preserve"> </w:t>
      </w:r>
      <w:r>
        <w:t>our</w:t>
      </w:r>
      <w:r>
        <w:rPr>
          <w:spacing w:val="-5"/>
        </w:rPr>
        <w:t xml:space="preserve"> </w:t>
      </w:r>
      <w:proofErr w:type="gramStart"/>
      <w:r>
        <w:t>12</w:t>
      </w:r>
      <w:proofErr w:type="gramEnd"/>
      <w:r>
        <w:rPr>
          <w:spacing w:val="-5"/>
        </w:rPr>
        <w:t xml:space="preserve"> </w:t>
      </w:r>
      <w:r>
        <w:t>counsellors</w:t>
      </w:r>
      <w:r>
        <w:rPr>
          <w:spacing w:val="-5"/>
        </w:rPr>
        <w:t xml:space="preserve"> </w:t>
      </w:r>
      <w:r>
        <w:t>are</w:t>
      </w:r>
      <w:r>
        <w:rPr>
          <w:spacing w:val="-5"/>
        </w:rPr>
        <w:t xml:space="preserve"> </w:t>
      </w:r>
      <w:r>
        <w:t>women,</w:t>
      </w:r>
      <w:r>
        <w:rPr>
          <w:spacing w:val="-5"/>
        </w:rPr>
        <w:t xml:space="preserve"> </w:t>
      </w:r>
      <w:r>
        <w:t>and</w:t>
      </w:r>
      <w:r>
        <w:rPr>
          <w:spacing w:val="-5"/>
        </w:rPr>
        <w:t xml:space="preserve"> </w:t>
      </w:r>
      <w:r>
        <w:t>in</w:t>
      </w:r>
      <w:r>
        <w:rPr>
          <w:spacing w:val="-5"/>
        </w:rPr>
        <w:t xml:space="preserve"> </w:t>
      </w:r>
      <w:r>
        <w:t>2022-23</w:t>
      </w:r>
      <w:r>
        <w:rPr>
          <w:spacing w:val="-5"/>
        </w:rPr>
        <w:t xml:space="preserve"> </w:t>
      </w:r>
      <w:r>
        <w:t>we</w:t>
      </w:r>
      <w:r>
        <w:rPr>
          <w:spacing w:val="-5"/>
        </w:rPr>
        <w:t xml:space="preserve"> </w:t>
      </w:r>
      <w:r>
        <w:t>have</w:t>
      </w:r>
      <w:r>
        <w:rPr>
          <w:spacing w:val="-5"/>
        </w:rPr>
        <w:t xml:space="preserve"> </w:t>
      </w:r>
      <w:r>
        <w:t>women</w:t>
      </w:r>
      <w:r>
        <w:rPr>
          <w:spacing w:val="-5"/>
        </w:rPr>
        <w:t xml:space="preserve"> </w:t>
      </w:r>
      <w:r>
        <w:t>serving</w:t>
      </w:r>
      <w:r>
        <w:rPr>
          <w:spacing w:val="-5"/>
        </w:rPr>
        <w:t xml:space="preserve"> </w:t>
      </w:r>
      <w:r>
        <w:t>as</w:t>
      </w:r>
      <w:r>
        <w:rPr>
          <w:spacing w:val="-5"/>
        </w:rPr>
        <w:t xml:space="preserve"> </w:t>
      </w:r>
      <w:r>
        <w:t>QLS President, Vice President, and Immediate Past President.</w:t>
      </w:r>
      <w:r>
        <w:rPr>
          <w:spacing w:val="-2"/>
        </w:rPr>
        <w:t xml:space="preserve"> </w:t>
      </w:r>
      <w:r>
        <w:t>Approximately 52% of the Queensland solicitors’ branch is also comprised of women.</w:t>
      </w:r>
    </w:p>
    <w:p w14:paraId="36B8253A" w14:textId="77777777" w:rsidR="00AC6F3C" w:rsidRDefault="00570E88">
      <w:pPr>
        <w:pStyle w:val="BodyText"/>
        <w:spacing w:before="172" w:line="249" w:lineRule="auto"/>
        <w:ind w:left="815" w:right="375"/>
      </w:pPr>
      <w:r>
        <w:t>Having begun my tenure at age 35, I am the youngest female President to have held office – and took on</w:t>
      </w:r>
      <w:r>
        <w:rPr>
          <w:spacing w:val="-3"/>
        </w:rPr>
        <w:t xml:space="preserve"> </w:t>
      </w:r>
      <w:r>
        <w:t>this</w:t>
      </w:r>
      <w:r>
        <w:rPr>
          <w:spacing w:val="-3"/>
        </w:rPr>
        <w:t xml:space="preserve"> </w:t>
      </w:r>
      <w:r>
        <w:t>role</w:t>
      </w:r>
      <w:r>
        <w:rPr>
          <w:spacing w:val="-3"/>
        </w:rPr>
        <w:t xml:space="preserve"> </w:t>
      </w:r>
      <w:r>
        <w:t>quietly</w:t>
      </w:r>
      <w:r>
        <w:rPr>
          <w:spacing w:val="-3"/>
        </w:rPr>
        <w:t xml:space="preserve"> </w:t>
      </w:r>
      <w:r>
        <w:t>confident</w:t>
      </w:r>
      <w:r>
        <w:rPr>
          <w:spacing w:val="-3"/>
        </w:rPr>
        <w:t xml:space="preserve"> </w:t>
      </w:r>
      <w:r>
        <w:t>that</w:t>
      </w:r>
      <w:r>
        <w:rPr>
          <w:spacing w:val="-3"/>
        </w:rPr>
        <w:t xml:space="preserve"> </w:t>
      </w:r>
      <w:r>
        <w:t>I</w:t>
      </w:r>
      <w:r>
        <w:rPr>
          <w:spacing w:val="-3"/>
        </w:rPr>
        <w:t xml:space="preserve"> </w:t>
      </w:r>
      <w:r>
        <w:t>would</w:t>
      </w:r>
      <w:r>
        <w:rPr>
          <w:spacing w:val="-3"/>
        </w:rPr>
        <w:t xml:space="preserve"> </w:t>
      </w:r>
      <w:r>
        <w:t>rise</w:t>
      </w:r>
      <w:r>
        <w:rPr>
          <w:spacing w:val="-3"/>
        </w:rPr>
        <w:t xml:space="preserve"> </w:t>
      </w:r>
      <w:r>
        <w:t>to</w:t>
      </w:r>
      <w:r>
        <w:rPr>
          <w:spacing w:val="-3"/>
        </w:rPr>
        <w:t xml:space="preserve"> </w:t>
      </w:r>
      <w:r>
        <w:t>the</w:t>
      </w:r>
      <w:r>
        <w:rPr>
          <w:spacing w:val="-3"/>
        </w:rPr>
        <w:t xml:space="preserve"> </w:t>
      </w:r>
      <w:r>
        <w:t>challenge.</w:t>
      </w:r>
      <w:r>
        <w:rPr>
          <w:spacing w:val="-14"/>
        </w:rPr>
        <w:t xml:space="preserve"> </w:t>
      </w:r>
      <w:r>
        <w:t>As</w:t>
      </w:r>
      <w:r>
        <w:rPr>
          <w:spacing w:val="-2"/>
        </w:rPr>
        <w:t xml:space="preserve"> </w:t>
      </w:r>
      <w:r>
        <w:t>I</w:t>
      </w:r>
      <w:r>
        <w:rPr>
          <w:spacing w:val="-3"/>
        </w:rPr>
        <w:t xml:space="preserve"> </w:t>
      </w:r>
      <w:r>
        <w:t>said</w:t>
      </w:r>
      <w:r>
        <w:rPr>
          <w:spacing w:val="-3"/>
        </w:rPr>
        <w:t xml:space="preserve"> </w:t>
      </w: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year,</w:t>
      </w:r>
      <w:r>
        <w:rPr>
          <w:spacing w:val="-3"/>
        </w:rPr>
        <w:t xml:space="preserve"> </w:t>
      </w:r>
      <w:r>
        <w:t>as a person who is proud to be a lawyer, I can think of no more proud and humbling experience than to represent the profession I love.</w:t>
      </w:r>
    </w:p>
    <w:p w14:paraId="5178F457" w14:textId="77777777" w:rsidR="00AC6F3C" w:rsidRDefault="00AC6F3C">
      <w:pPr>
        <w:pStyle w:val="BodyText"/>
        <w:spacing w:before="7"/>
        <w:rPr>
          <w:sz w:val="32"/>
        </w:rPr>
      </w:pPr>
    </w:p>
    <w:p w14:paraId="28429861" w14:textId="77777777" w:rsidR="00AC6F3C" w:rsidRDefault="00570E88">
      <w:pPr>
        <w:pStyle w:val="Heading3"/>
      </w:pPr>
      <w:r>
        <w:t>The</w:t>
      </w:r>
      <w:r>
        <w:rPr>
          <w:spacing w:val="-4"/>
        </w:rPr>
        <w:t xml:space="preserve"> </w:t>
      </w:r>
      <w:r>
        <w:t>importance</w:t>
      </w:r>
      <w:r>
        <w:rPr>
          <w:spacing w:val="-3"/>
        </w:rPr>
        <w:t xml:space="preserve"> </w:t>
      </w:r>
      <w:r>
        <w:t>of</w:t>
      </w:r>
      <w:r>
        <w:rPr>
          <w:spacing w:val="-3"/>
        </w:rPr>
        <w:t xml:space="preserve"> </w:t>
      </w:r>
      <w:r>
        <w:t>our</w:t>
      </w:r>
      <w:r>
        <w:rPr>
          <w:spacing w:val="-3"/>
        </w:rPr>
        <w:t xml:space="preserve"> </w:t>
      </w:r>
      <w:r>
        <w:rPr>
          <w:spacing w:val="-2"/>
        </w:rPr>
        <w:t>regions</w:t>
      </w:r>
    </w:p>
    <w:p w14:paraId="1DDC94DC" w14:textId="77777777" w:rsidR="00AC6F3C" w:rsidRDefault="00570E88">
      <w:pPr>
        <w:pStyle w:val="BodyText"/>
        <w:spacing w:before="155" w:line="249" w:lineRule="auto"/>
        <w:ind w:left="815" w:right="234"/>
      </w:pPr>
      <w:r>
        <w:t xml:space="preserve">This year, I have been privileged to meet with </w:t>
      </w:r>
      <w:proofErr w:type="gramStart"/>
      <w:r>
        <w:t>many</w:t>
      </w:r>
      <w:proofErr w:type="gramEnd"/>
      <w:r>
        <w:t xml:space="preserve"> of the members who call regional and rural Queensland</w:t>
      </w:r>
      <w:r>
        <w:rPr>
          <w:spacing w:val="-3"/>
        </w:rPr>
        <w:t xml:space="preserve"> </w:t>
      </w:r>
      <w:r>
        <w:t>home.</w:t>
      </w:r>
      <w:r>
        <w:rPr>
          <w:spacing w:val="-3"/>
        </w:rPr>
        <w:t xml:space="preserve"> </w:t>
      </w:r>
      <w:r>
        <w:t>Our</w:t>
      </w:r>
      <w:r>
        <w:rPr>
          <w:spacing w:val="-3"/>
        </w:rPr>
        <w:t xml:space="preserve"> </w:t>
      </w:r>
      <w:r>
        <w:t>District</w:t>
      </w:r>
      <w:r>
        <w:rPr>
          <w:spacing w:val="-3"/>
        </w:rPr>
        <w:t xml:space="preserve"> </w:t>
      </w:r>
      <w:r>
        <w:t>Law</w:t>
      </w:r>
      <w:r>
        <w:rPr>
          <w:spacing w:val="-13"/>
        </w:rPr>
        <w:t xml:space="preserve"> </w:t>
      </w:r>
      <w:r>
        <w:t>Associations</w:t>
      </w:r>
      <w:r>
        <w:rPr>
          <w:spacing w:val="-3"/>
        </w:rPr>
        <w:t xml:space="preserve"> </w:t>
      </w:r>
      <w:r>
        <w:t>(DLAs)</w:t>
      </w:r>
      <w:r>
        <w:rPr>
          <w:spacing w:val="-3"/>
        </w:rPr>
        <w:t xml:space="preserve"> </w:t>
      </w:r>
      <w:r>
        <w:t>have</w:t>
      </w:r>
      <w:r>
        <w:rPr>
          <w:spacing w:val="-3"/>
        </w:rPr>
        <w:t xml:space="preserve"> </w:t>
      </w:r>
      <w:r>
        <w:t>long</w:t>
      </w:r>
      <w:r>
        <w:rPr>
          <w:spacing w:val="-3"/>
        </w:rPr>
        <w:t xml:space="preserve"> </w:t>
      </w:r>
      <w:r>
        <w:t>made</w:t>
      </w:r>
      <w:r>
        <w:rPr>
          <w:spacing w:val="-3"/>
        </w:rPr>
        <w:t xml:space="preserve"> </w:t>
      </w:r>
      <w:r>
        <w:t>important</w:t>
      </w:r>
      <w:r>
        <w:rPr>
          <w:spacing w:val="-3"/>
        </w:rPr>
        <w:t xml:space="preserve"> </w:t>
      </w:r>
      <w:r>
        <w:t>contributions</w:t>
      </w:r>
      <w:r>
        <w:rPr>
          <w:spacing w:val="-3"/>
        </w:rPr>
        <w:t xml:space="preserve"> </w:t>
      </w:r>
      <w:r>
        <w:t>to</w:t>
      </w:r>
      <w:r>
        <w:rPr>
          <w:spacing w:val="-3"/>
        </w:rPr>
        <w:t xml:space="preserve"> </w:t>
      </w:r>
      <w:r>
        <w:t xml:space="preserve">the QLS, especially in the post-war era, when </w:t>
      </w:r>
      <w:proofErr w:type="gramStart"/>
      <w:r>
        <w:t>new ideas</w:t>
      </w:r>
      <w:proofErr w:type="gramEnd"/>
      <w:r>
        <w:t xml:space="preserve"> emanating from the regions helped shape policy. DLAs are not only a source of connection, education, and support for regional practitioners; they play a critical role in ensuring the voices and concerns of these practitioners </w:t>
      </w:r>
      <w:proofErr w:type="gramStart"/>
      <w:r>
        <w:t>are represented</w:t>
      </w:r>
      <w:proofErr w:type="gramEnd"/>
      <w:r>
        <w:t>.</w:t>
      </w:r>
    </w:p>
    <w:p w14:paraId="32478AAC" w14:textId="77777777" w:rsidR="00AC6F3C" w:rsidRDefault="00570E88">
      <w:pPr>
        <w:pStyle w:val="BodyText"/>
        <w:spacing w:before="174" w:line="249" w:lineRule="auto"/>
        <w:ind w:left="815" w:right="234"/>
      </w:pPr>
      <w:r>
        <w:t xml:space="preserve">Having started and continuing my career as a resident of the Sunshine Coast, I know first-hand how important it is that </w:t>
      </w:r>
      <w:proofErr w:type="gramStart"/>
      <w:r>
        <w:t>each and every</w:t>
      </w:r>
      <w:proofErr w:type="gramEnd"/>
      <w:r>
        <w:t xml:space="preserve"> one of our members are </w:t>
      </w:r>
      <w:proofErr w:type="spellStart"/>
      <w:r>
        <w:t>recognised</w:t>
      </w:r>
      <w:proofErr w:type="spellEnd"/>
      <w:r>
        <w:t xml:space="preserve"> as an essential partner in the work of the QLS. During my visits to DLAs from the Sunshine Coast to Toowoomba, from Cairns to the Gold</w:t>
      </w:r>
      <w:r>
        <w:rPr>
          <w:spacing w:val="-2"/>
        </w:rPr>
        <w:t xml:space="preserve"> </w:t>
      </w:r>
      <w:r>
        <w:t>Coast,</w:t>
      </w:r>
      <w:r>
        <w:rPr>
          <w:spacing w:val="-2"/>
        </w:rPr>
        <w:t xml:space="preserve"> </w:t>
      </w:r>
      <w:r>
        <w:t>and</w:t>
      </w:r>
      <w:r>
        <w:rPr>
          <w:spacing w:val="-2"/>
        </w:rPr>
        <w:t xml:space="preserve"> </w:t>
      </w:r>
      <w:r>
        <w:t>beyond,</w:t>
      </w:r>
      <w:r>
        <w:rPr>
          <w:spacing w:val="-2"/>
        </w:rPr>
        <w:t xml:space="preserve"> </w:t>
      </w:r>
      <w:r>
        <w:t>it</w:t>
      </w:r>
      <w:r>
        <w:rPr>
          <w:spacing w:val="-2"/>
        </w:rPr>
        <w:t xml:space="preserve"> </w:t>
      </w:r>
      <w:r>
        <w:t>has</w:t>
      </w:r>
      <w:r>
        <w:rPr>
          <w:spacing w:val="-2"/>
        </w:rPr>
        <w:t xml:space="preserve"> </w:t>
      </w:r>
      <w:r>
        <w:t>been</w:t>
      </w:r>
      <w:r>
        <w:rPr>
          <w:spacing w:val="-2"/>
        </w:rPr>
        <w:t xml:space="preserve"> </w:t>
      </w:r>
      <w:r>
        <w:t>heartening</w:t>
      </w:r>
      <w:r>
        <w:rPr>
          <w:spacing w:val="-2"/>
        </w:rPr>
        <w:t xml:space="preserve"> </w:t>
      </w:r>
      <w:r>
        <w:t>to</w:t>
      </w:r>
      <w:r>
        <w:rPr>
          <w:spacing w:val="-2"/>
        </w:rPr>
        <w:t xml:space="preserve"> </w:t>
      </w:r>
      <w:r>
        <w:t>gain</w:t>
      </w:r>
      <w:r>
        <w:rPr>
          <w:spacing w:val="-2"/>
        </w:rPr>
        <w:t xml:space="preserve"> </w:t>
      </w:r>
      <w:r>
        <w:t>an</w:t>
      </w:r>
      <w:r>
        <w:rPr>
          <w:spacing w:val="-2"/>
        </w:rPr>
        <w:t xml:space="preserve"> </w:t>
      </w:r>
      <w:r>
        <w:t>insight</w:t>
      </w:r>
      <w:r>
        <w:rPr>
          <w:spacing w:val="-2"/>
        </w:rPr>
        <w:t xml:space="preserve"> </w:t>
      </w:r>
      <w:r>
        <w:t>to</w:t>
      </w:r>
      <w:r>
        <w:rPr>
          <w:spacing w:val="-2"/>
        </w:rPr>
        <w:t xml:space="preserve"> </w:t>
      </w:r>
      <w:r>
        <w:t>the</w:t>
      </w:r>
      <w:r>
        <w:rPr>
          <w:spacing w:val="-2"/>
        </w:rPr>
        <w:t xml:space="preserve"> </w:t>
      </w:r>
      <w:r>
        <w:t>work</w:t>
      </w:r>
      <w:r>
        <w:rPr>
          <w:spacing w:val="-2"/>
        </w:rPr>
        <w:t xml:space="preserve"> </w:t>
      </w:r>
      <w:proofErr w:type="gramStart"/>
      <w:r>
        <w:t>being</w:t>
      </w:r>
      <w:r>
        <w:rPr>
          <w:spacing w:val="-2"/>
        </w:rPr>
        <w:t xml:space="preserve"> </w:t>
      </w:r>
      <w:r>
        <w:t>done</w:t>
      </w:r>
      <w:proofErr w:type="gramEnd"/>
      <w:r>
        <w:t>,</w:t>
      </w:r>
      <w:r>
        <w:rPr>
          <w:spacing w:val="-2"/>
        </w:rPr>
        <w:t xml:space="preserve"> </w:t>
      </w:r>
      <w:r>
        <w:t>to</w:t>
      </w:r>
      <w:r>
        <w:rPr>
          <w:spacing w:val="-2"/>
        </w:rPr>
        <w:t xml:space="preserve"> </w:t>
      </w:r>
      <w:r>
        <w:t>hear</w:t>
      </w:r>
      <w:r>
        <w:rPr>
          <w:spacing w:val="-2"/>
        </w:rPr>
        <w:t xml:space="preserve"> </w:t>
      </w:r>
      <w:r>
        <w:t>of</w:t>
      </w:r>
      <w:r>
        <w:rPr>
          <w:spacing w:val="-2"/>
        </w:rPr>
        <w:t xml:space="preserve"> </w:t>
      </w:r>
      <w:r>
        <w:t>the unique challenges and wins, and how as a Society, we can continue to support the profession.</w:t>
      </w:r>
    </w:p>
    <w:p w14:paraId="7D9FBEA6" w14:textId="77777777" w:rsidR="00AC6F3C" w:rsidRDefault="00570E88">
      <w:pPr>
        <w:pStyle w:val="BodyText"/>
        <w:spacing w:before="174" w:line="249" w:lineRule="auto"/>
        <w:ind w:left="815" w:right="234"/>
      </w:pPr>
      <w:r>
        <w:t>Indeed, the design of the refurbished Law Society House, which will be completed this 150th year, is geared towards establishing a hub for the profession to foster connections and provide a collaborative workplace</w:t>
      </w:r>
      <w:r>
        <w:rPr>
          <w:spacing w:val="-3"/>
        </w:rPr>
        <w:t xml:space="preserve"> </w:t>
      </w:r>
      <w:r>
        <w:t>for</w:t>
      </w:r>
      <w:r>
        <w:rPr>
          <w:spacing w:val="-3"/>
        </w:rPr>
        <w:t xml:space="preserve"> </w:t>
      </w:r>
      <w:r>
        <w:t>the</w:t>
      </w:r>
      <w:r>
        <w:rPr>
          <w:spacing w:val="-3"/>
        </w:rPr>
        <w:t xml:space="preserve"> </w:t>
      </w:r>
      <w:r>
        <w:t>profession</w:t>
      </w:r>
      <w:r>
        <w:rPr>
          <w:spacing w:val="-3"/>
        </w:rPr>
        <w:t xml:space="preserve"> </w:t>
      </w:r>
      <w:r>
        <w:t>and</w:t>
      </w:r>
      <w:r>
        <w:rPr>
          <w:spacing w:val="-3"/>
        </w:rPr>
        <w:t xml:space="preserve"> </w:t>
      </w:r>
      <w:r>
        <w:t>staff</w:t>
      </w:r>
      <w:r>
        <w:rPr>
          <w:spacing w:val="-3"/>
        </w:rPr>
        <w:t xml:space="preserve"> </w:t>
      </w:r>
      <w:r>
        <w:t>of</w:t>
      </w:r>
      <w:r>
        <w:rPr>
          <w:spacing w:val="-3"/>
        </w:rPr>
        <w:t xml:space="preserve"> </w:t>
      </w:r>
      <w:r>
        <w:t>the</w:t>
      </w:r>
      <w:r>
        <w:rPr>
          <w:spacing w:val="-3"/>
        </w:rPr>
        <w:t xml:space="preserve"> </w:t>
      </w:r>
      <w:r>
        <w:t>QLS</w:t>
      </w:r>
      <w:r>
        <w:rPr>
          <w:spacing w:val="-3"/>
        </w:rPr>
        <w:t xml:space="preserve"> </w:t>
      </w:r>
      <w:r>
        <w:t>–</w:t>
      </w:r>
      <w:r>
        <w:rPr>
          <w:spacing w:val="-3"/>
        </w:rPr>
        <w:t xml:space="preserve"> </w:t>
      </w:r>
      <w:r>
        <w:t>and</w:t>
      </w:r>
      <w:r>
        <w:rPr>
          <w:spacing w:val="-3"/>
        </w:rPr>
        <w:t xml:space="preserve"> </w:t>
      </w:r>
      <w:r>
        <w:t>I</w:t>
      </w:r>
      <w:r>
        <w:rPr>
          <w:spacing w:val="-3"/>
        </w:rPr>
        <w:t xml:space="preserve"> </w:t>
      </w:r>
      <w:r>
        <w:t>would</w:t>
      </w:r>
      <w:r>
        <w:rPr>
          <w:spacing w:val="-3"/>
        </w:rPr>
        <w:t xml:space="preserve"> </w:t>
      </w:r>
      <w:r>
        <w:t>encourage</w:t>
      </w:r>
      <w:r>
        <w:rPr>
          <w:spacing w:val="-3"/>
        </w:rPr>
        <w:t xml:space="preserve"> </w:t>
      </w:r>
      <w:r>
        <w:t>everyone</w:t>
      </w:r>
      <w:r>
        <w:rPr>
          <w:spacing w:val="-3"/>
        </w:rPr>
        <w:t xml:space="preserve"> </w:t>
      </w:r>
      <w:r>
        <w:t>who</w:t>
      </w:r>
      <w:r>
        <w:rPr>
          <w:spacing w:val="-3"/>
        </w:rPr>
        <w:t xml:space="preserve"> </w:t>
      </w:r>
      <w:r>
        <w:t>visits</w:t>
      </w:r>
      <w:r>
        <w:rPr>
          <w:spacing w:val="-3"/>
        </w:rPr>
        <w:t xml:space="preserve"> </w:t>
      </w:r>
      <w:r>
        <w:t>Brisbane to consider this an extension of their own workplace.</w:t>
      </w:r>
    </w:p>
    <w:p w14:paraId="7461E229" w14:textId="77777777" w:rsidR="00AC6F3C" w:rsidRDefault="00AC6F3C">
      <w:pPr>
        <w:pStyle w:val="BodyText"/>
        <w:spacing w:before="7"/>
        <w:rPr>
          <w:sz w:val="32"/>
        </w:rPr>
      </w:pPr>
    </w:p>
    <w:p w14:paraId="6A2E2279" w14:textId="77777777" w:rsidR="00AC6F3C" w:rsidRDefault="00570E88">
      <w:pPr>
        <w:pStyle w:val="Heading3"/>
      </w:pPr>
      <w:r>
        <w:t>A</w:t>
      </w:r>
      <w:r>
        <w:rPr>
          <w:spacing w:val="-14"/>
        </w:rPr>
        <w:t xml:space="preserve"> </w:t>
      </w:r>
      <w:r>
        <w:t>voice</w:t>
      </w:r>
      <w:r>
        <w:rPr>
          <w:spacing w:val="-2"/>
        </w:rPr>
        <w:t xml:space="preserve"> </w:t>
      </w:r>
      <w:r>
        <w:t>for</w:t>
      </w:r>
      <w:r>
        <w:rPr>
          <w:spacing w:val="-2"/>
        </w:rPr>
        <w:t xml:space="preserve"> </w:t>
      </w:r>
      <w:r>
        <w:t>the</w:t>
      </w:r>
      <w:r>
        <w:rPr>
          <w:spacing w:val="-2"/>
        </w:rPr>
        <w:t xml:space="preserve"> future</w:t>
      </w:r>
    </w:p>
    <w:p w14:paraId="06ED653C" w14:textId="77777777" w:rsidR="00AC6F3C" w:rsidRDefault="00570E88">
      <w:pPr>
        <w:pStyle w:val="BodyText"/>
        <w:spacing w:before="155" w:line="249" w:lineRule="auto"/>
        <w:ind w:left="815"/>
      </w:pPr>
      <w:r>
        <w:t>Over</w:t>
      </w:r>
      <w:r>
        <w:rPr>
          <w:spacing w:val="-4"/>
        </w:rPr>
        <w:t xml:space="preserve"> </w:t>
      </w:r>
      <w:r>
        <w:t>the</w:t>
      </w:r>
      <w:r>
        <w:rPr>
          <w:spacing w:val="-4"/>
        </w:rPr>
        <w:t xml:space="preserve"> </w:t>
      </w:r>
      <w:r>
        <w:t>last</w:t>
      </w:r>
      <w:r>
        <w:rPr>
          <w:spacing w:val="-4"/>
        </w:rPr>
        <w:t xml:space="preserve"> </w:t>
      </w:r>
      <w:r>
        <w:t>year,</w:t>
      </w:r>
      <w:r>
        <w:rPr>
          <w:spacing w:val="-4"/>
        </w:rPr>
        <w:t xml:space="preserve"> </w:t>
      </w:r>
      <w:r>
        <w:t>the</w:t>
      </w:r>
      <w:r>
        <w:rPr>
          <w:spacing w:val="-4"/>
        </w:rPr>
        <w:t xml:space="preserve"> </w:t>
      </w:r>
      <w:r>
        <w:t>Society</w:t>
      </w:r>
      <w:r>
        <w:rPr>
          <w:spacing w:val="-4"/>
        </w:rPr>
        <w:t xml:space="preserve"> </w:t>
      </w:r>
      <w:r>
        <w:t>has</w:t>
      </w:r>
      <w:r>
        <w:rPr>
          <w:spacing w:val="-4"/>
        </w:rPr>
        <w:t xml:space="preserve"> </w:t>
      </w:r>
      <w:r>
        <w:t>continued</w:t>
      </w:r>
      <w:r>
        <w:rPr>
          <w:spacing w:val="-4"/>
        </w:rPr>
        <w:t xml:space="preserve"> </w:t>
      </w:r>
      <w:r>
        <w:t>its</w:t>
      </w:r>
      <w:r>
        <w:rPr>
          <w:spacing w:val="-4"/>
        </w:rPr>
        <w:t xml:space="preserve"> </w:t>
      </w:r>
      <w:r>
        <w:t>strong</w:t>
      </w:r>
      <w:r>
        <w:rPr>
          <w:spacing w:val="-4"/>
        </w:rPr>
        <w:t xml:space="preserve"> </w:t>
      </w:r>
      <w:r>
        <w:t>advocacy</w:t>
      </w:r>
      <w:r>
        <w:rPr>
          <w:spacing w:val="-4"/>
        </w:rPr>
        <w:t xml:space="preserve"> </w:t>
      </w:r>
      <w:r>
        <w:t>focus</w:t>
      </w:r>
      <w:r>
        <w:rPr>
          <w:spacing w:val="-4"/>
        </w:rPr>
        <w:t xml:space="preserve"> </w:t>
      </w:r>
      <w:r>
        <w:t>on</w:t>
      </w:r>
      <w:r>
        <w:rPr>
          <w:spacing w:val="-4"/>
        </w:rPr>
        <w:t xml:space="preserve"> </w:t>
      </w:r>
      <w:r>
        <w:t>key</w:t>
      </w:r>
      <w:r>
        <w:rPr>
          <w:spacing w:val="-4"/>
        </w:rPr>
        <w:t xml:space="preserve"> </w:t>
      </w:r>
      <w:r>
        <w:t>issues</w:t>
      </w:r>
      <w:r>
        <w:rPr>
          <w:spacing w:val="-4"/>
        </w:rPr>
        <w:t xml:space="preserve"> </w:t>
      </w:r>
      <w:r>
        <w:t>affecting</w:t>
      </w:r>
      <w:r>
        <w:rPr>
          <w:spacing w:val="-4"/>
        </w:rPr>
        <w:t xml:space="preserve"> </w:t>
      </w:r>
      <w:r>
        <w:t>the profession and the community.</w:t>
      </w:r>
    </w:p>
    <w:p w14:paraId="5C516A24" w14:textId="77777777" w:rsidR="00AC6F3C" w:rsidRDefault="00570E88">
      <w:pPr>
        <w:pStyle w:val="BodyText"/>
        <w:spacing w:before="171" w:line="249" w:lineRule="auto"/>
        <w:ind w:left="815"/>
      </w:pPr>
      <w:r>
        <w:t>The QLS Council has endorsed the Uluru Statement from the Heart and supports a constitutionally enshrined</w:t>
      </w:r>
      <w:r>
        <w:rPr>
          <w:spacing w:val="-14"/>
        </w:rPr>
        <w:t xml:space="preserve"> </w:t>
      </w:r>
      <w:r>
        <w:t>Aboriginal</w:t>
      </w:r>
      <w:r>
        <w:rPr>
          <w:spacing w:val="-7"/>
        </w:rPr>
        <w:t xml:space="preserve"> </w:t>
      </w:r>
      <w:r>
        <w:t>and</w:t>
      </w:r>
      <w:r>
        <w:rPr>
          <w:spacing w:val="-9"/>
        </w:rPr>
        <w:t xml:space="preserve"> </w:t>
      </w:r>
      <w:r>
        <w:t>Torres</w:t>
      </w:r>
      <w:r>
        <w:rPr>
          <w:spacing w:val="-6"/>
        </w:rPr>
        <w:t xml:space="preserve"> </w:t>
      </w:r>
      <w:r>
        <w:t>Strait</w:t>
      </w:r>
      <w:r>
        <w:rPr>
          <w:spacing w:val="-6"/>
        </w:rPr>
        <w:t xml:space="preserve"> </w:t>
      </w:r>
      <w:r>
        <w:t>Islander</w:t>
      </w:r>
      <w:r>
        <w:rPr>
          <w:spacing w:val="-6"/>
        </w:rPr>
        <w:t xml:space="preserve"> </w:t>
      </w:r>
      <w:r>
        <w:t>Voice</w:t>
      </w:r>
      <w:r>
        <w:rPr>
          <w:spacing w:val="-6"/>
        </w:rPr>
        <w:t xml:space="preserve"> </w:t>
      </w:r>
      <w:r>
        <w:t>to</w:t>
      </w:r>
      <w:r>
        <w:rPr>
          <w:spacing w:val="-6"/>
        </w:rPr>
        <w:t xml:space="preserve"> </w:t>
      </w:r>
      <w:r>
        <w:t>Parliament.</w:t>
      </w:r>
      <w:r>
        <w:rPr>
          <w:spacing w:val="-6"/>
        </w:rPr>
        <w:t xml:space="preserve"> </w:t>
      </w:r>
      <w:r>
        <w:t>Council</w:t>
      </w:r>
      <w:r>
        <w:rPr>
          <w:spacing w:val="-6"/>
        </w:rPr>
        <w:t xml:space="preserve"> </w:t>
      </w:r>
      <w:r>
        <w:t>also</w:t>
      </w:r>
      <w:r>
        <w:rPr>
          <w:spacing w:val="-6"/>
        </w:rPr>
        <w:t xml:space="preserve"> </w:t>
      </w:r>
      <w:r>
        <w:t>acknowledged</w:t>
      </w:r>
      <w:r>
        <w:rPr>
          <w:spacing w:val="-6"/>
        </w:rPr>
        <w:t xml:space="preserve"> </w:t>
      </w:r>
      <w:r>
        <w:t>that</w:t>
      </w:r>
      <w:r>
        <w:rPr>
          <w:spacing w:val="-6"/>
        </w:rPr>
        <w:t xml:space="preserve"> </w:t>
      </w:r>
      <w:r>
        <w:t>QLS members, legal professionals and the wider community will, in good faith, have differing views about</w:t>
      </w:r>
    </w:p>
    <w:p w14:paraId="3A61BB86" w14:textId="77777777" w:rsidR="00AC6F3C" w:rsidRDefault="00570E88">
      <w:pPr>
        <w:pStyle w:val="BodyText"/>
        <w:spacing w:before="3" w:line="249" w:lineRule="auto"/>
        <w:ind w:left="815" w:right="295"/>
      </w:pPr>
      <w:r>
        <w:t xml:space="preserve">the upcoming referendum on the Voice and will need to arrive at their own decisions on the issue, with an understanding of the arguments for and against. QLS remains committed to providing information and resources about the referendum, reconciliation, and good law. This position acknowledges and is respectful of the right of every individual to draw their own conclusions on this </w:t>
      </w:r>
      <w:proofErr w:type="gramStart"/>
      <w:r>
        <w:t>important issue</w:t>
      </w:r>
      <w:proofErr w:type="gramEnd"/>
      <w:r>
        <w:t>, which</w:t>
      </w:r>
      <w:r>
        <w:rPr>
          <w:spacing w:val="40"/>
        </w:rPr>
        <w:t xml:space="preserve"> </w:t>
      </w:r>
      <w:r>
        <w:t>will</w:t>
      </w:r>
      <w:r>
        <w:rPr>
          <w:spacing w:val="-2"/>
        </w:rPr>
        <w:t xml:space="preserve"> </w:t>
      </w:r>
      <w:r>
        <w:t>help</w:t>
      </w:r>
      <w:r>
        <w:rPr>
          <w:spacing w:val="-2"/>
        </w:rPr>
        <w:t xml:space="preserve"> </w:t>
      </w:r>
      <w:r>
        <w:t>frame</w:t>
      </w:r>
      <w:r>
        <w:rPr>
          <w:spacing w:val="-2"/>
        </w:rPr>
        <w:t xml:space="preserve"> </w:t>
      </w:r>
      <w:r>
        <w:t>the</w:t>
      </w:r>
      <w:r>
        <w:rPr>
          <w:spacing w:val="-2"/>
        </w:rPr>
        <w:t xml:space="preserve"> </w:t>
      </w:r>
      <w:r>
        <w:t>future</w:t>
      </w:r>
      <w:r>
        <w:rPr>
          <w:spacing w:val="-2"/>
        </w:rPr>
        <w:t xml:space="preserve"> </w:t>
      </w:r>
      <w:r>
        <w:t>of</w:t>
      </w:r>
      <w:r>
        <w:rPr>
          <w:spacing w:val="-2"/>
        </w:rPr>
        <w:t xml:space="preserve"> </w:t>
      </w:r>
      <w:r>
        <w:t>our</w:t>
      </w:r>
      <w:r>
        <w:rPr>
          <w:spacing w:val="-2"/>
        </w:rPr>
        <w:t xml:space="preserve"> </w:t>
      </w:r>
      <w:r>
        <w:t>Constitution.</w:t>
      </w:r>
      <w:r>
        <w:rPr>
          <w:spacing w:val="-2"/>
        </w:rPr>
        <w:t xml:space="preserve"> </w:t>
      </w:r>
      <w:r>
        <w:t>It</w:t>
      </w:r>
      <w:r>
        <w:rPr>
          <w:spacing w:val="-2"/>
        </w:rPr>
        <w:t xml:space="preserve"> </w:t>
      </w:r>
      <w:r>
        <w:t>is</w:t>
      </w:r>
      <w:r>
        <w:rPr>
          <w:spacing w:val="-2"/>
        </w:rPr>
        <w:t xml:space="preserve"> </w:t>
      </w:r>
      <w:r>
        <w:t>also</w:t>
      </w:r>
      <w:r>
        <w:rPr>
          <w:spacing w:val="-2"/>
        </w:rPr>
        <w:t xml:space="preserve"> </w:t>
      </w:r>
      <w:r>
        <w:t>consistent</w:t>
      </w:r>
      <w:r>
        <w:rPr>
          <w:spacing w:val="-2"/>
        </w:rPr>
        <w:t xml:space="preserve"> </w:t>
      </w:r>
      <w:r>
        <w:t>with</w:t>
      </w:r>
      <w:r>
        <w:rPr>
          <w:spacing w:val="-2"/>
        </w:rPr>
        <w:t xml:space="preserve"> </w:t>
      </w:r>
      <w:r>
        <w:t>longstanding</w:t>
      </w:r>
      <w:r>
        <w:rPr>
          <w:spacing w:val="-2"/>
        </w:rPr>
        <w:t xml:space="preserve"> </w:t>
      </w:r>
      <w:r>
        <w:t>QLS</w:t>
      </w:r>
      <w:r>
        <w:rPr>
          <w:spacing w:val="-2"/>
        </w:rPr>
        <w:t xml:space="preserve"> </w:t>
      </w:r>
      <w:r>
        <w:t>policy</w:t>
      </w:r>
      <w:r>
        <w:rPr>
          <w:spacing w:val="-2"/>
        </w:rPr>
        <w:t xml:space="preserve"> </w:t>
      </w:r>
      <w:r>
        <w:t>positions, including our 2022 Federal Election Call to Parties Statement, and the position of the Law Council of Australia, of which QLS is a constituent member.</w:t>
      </w:r>
    </w:p>
    <w:p w14:paraId="5263D25B" w14:textId="77777777" w:rsidR="00AC6F3C" w:rsidRDefault="00570E88">
      <w:pPr>
        <w:pStyle w:val="BodyText"/>
        <w:spacing w:before="175" w:line="249" w:lineRule="auto"/>
        <w:ind w:left="815" w:right="234"/>
      </w:pPr>
      <w:r>
        <w:t>The Society has continued to acknowledge the broad impact of youth justice on the Queensland community.</w:t>
      </w:r>
      <w:r>
        <w:rPr>
          <w:spacing w:val="-4"/>
        </w:rPr>
        <w:t xml:space="preserve"> </w:t>
      </w:r>
      <w:r>
        <w:t>We</w:t>
      </w:r>
      <w:r>
        <w:rPr>
          <w:spacing w:val="-4"/>
        </w:rPr>
        <w:t xml:space="preserve"> </w:t>
      </w:r>
      <w:proofErr w:type="spellStart"/>
      <w:r>
        <w:t>recognise</w:t>
      </w:r>
      <w:proofErr w:type="spellEnd"/>
      <w:r>
        <w:rPr>
          <w:spacing w:val="-4"/>
        </w:rPr>
        <w:t xml:space="preserve"> </w:t>
      </w:r>
      <w:r>
        <w:t>the</w:t>
      </w:r>
      <w:r>
        <w:rPr>
          <w:spacing w:val="-4"/>
        </w:rPr>
        <w:t xml:space="preserve"> </w:t>
      </w:r>
      <w:r>
        <w:t>grief</w:t>
      </w:r>
      <w:r>
        <w:rPr>
          <w:spacing w:val="-4"/>
        </w:rPr>
        <w:t xml:space="preserve"> </w:t>
      </w:r>
      <w:r>
        <w:t>of</w:t>
      </w:r>
      <w:r>
        <w:rPr>
          <w:spacing w:val="-4"/>
        </w:rPr>
        <w:t xml:space="preserve"> </w:t>
      </w:r>
      <w:r>
        <w:t>victims</w:t>
      </w:r>
      <w:r>
        <w:rPr>
          <w:spacing w:val="-4"/>
        </w:rPr>
        <w:t xml:space="preserve"> </w:t>
      </w:r>
      <w:r>
        <w:t>and</w:t>
      </w:r>
      <w:r>
        <w:rPr>
          <w:spacing w:val="-4"/>
        </w:rPr>
        <w:t xml:space="preserve"> </w:t>
      </w:r>
      <w:r>
        <w:t>their</w:t>
      </w:r>
      <w:r>
        <w:rPr>
          <w:spacing w:val="-4"/>
        </w:rPr>
        <w:t xml:space="preserve"> </w:t>
      </w:r>
      <w:r>
        <w:t>families,</w:t>
      </w:r>
      <w:r>
        <w:rPr>
          <w:spacing w:val="-4"/>
        </w:rPr>
        <w:t xml:space="preserve"> </w:t>
      </w:r>
      <w:r>
        <w:t>and</w:t>
      </w:r>
      <w:r>
        <w:rPr>
          <w:spacing w:val="-4"/>
        </w:rPr>
        <w:t xml:space="preserve"> </w:t>
      </w:r>
      <w:r>
        <w:t>the</w:t>
      </w:r>
      <w:r>
        <w:rPr>
          <w:spacing w:val="-4"/>
        </w:rPr>
        <w:t xml:space="preserve"> </w:t>
      </w:r>
      <w:r>
        <w:t>concerns</w:t>
      </w:r>
      <w:r>
        <w:rPr>
          <w:spacing w:val="-4"/>
        </w:rPr>
        <w:t xml:space="preserve"> </w:t>
      </w:r>
      <w:r>
        <w:t>held</w:t>
      </w:r>
      <w:r>
        <w:rPr>
          <w:spacing w:val="-4"/>
        </w:rPr>
        <w:t xml:space="preserve"> </w:t>
      </w:r>
      <w:r>
        <w:t>by</w:t>
      </w:r>
      <w:r>
        <w:rPr>
          <w:spacing w:val="-4"/>
        </w:rPr>
        <w:t xml:space="preserve"> </w:t>
      </w:r>
      <w:r>
        <w:t>those</w:t>
      </w:r>
      <w:r>
        <w:rPr>
          <w:spacing w:val="-4"/>
        </w:rPr>
        <w:t xml:space="preserve"> </w:t>
      </w:r>
      <w:r>
        <w:t>affected by youth crime. To this end, we have continued to pursue evidence-based policy and measures that ensure the safety of the community, and the rights of the most vulnerable who encounter the justice system – including children and young people.</w:t>
      </w:r>
    </w:p>
    <w:p w14:paraId="5A89BC42" w14:textId="77777777" w:rsidR="00AC6F3C" w:rsidRDefault="00570E88">
      <w:pPr>
        <w:pStyle w:val="BodyText"/>
        <w:spacing w:before="175" w:line="249" w:lineRule="auto"/>
        <w:ind w:left="815" w:right="468"/>
      </w:pPr>
      <w:r>
        <w:t>This</w:t>
      </w:r>
      <w:r>
        <w:rPr>
          <w:spacing w:val="-3"/>
        </w:rPr>
        <w:t xml:space="preserve"> </w:t>
      </w:r>
      <w:r>
        <w:t>year,</w:t>
      </w:r>
      <w:r>
        <w:rPr>
          <w:spacing w:val="-3"/>
        </w:rPr>
        <w:t xml:space="preserve"> </w:t>
      </w:r>
      <w:r>
        <w:t>our</w:t>
      </w:r>
      <w:r>
        <w:rPr>
          <w:spacing w:val="-3"/>
        </w:rPr>
        <w:t xml:space="preserve"> </w:t>
      </w:r>
      <w:r>
        <w:t>Children’s</w:t>
      </w:r>
      <w:r>
        <w:rPr>
          <w:spacing w:val="-3"/>
        </w:rPr>
        <w:t xml:space="preserve"> </w:t>
      </w:r>
      <w:r>
        <w:t>Law,</w:t>
      </w:r>
      <w:r>
        <w:rPr>
          <w:spacing w:val="-3"/>
        </w:rPr>
        <w:t xml:space="preserve"> </w:t>
      </w:r>
      <w:r>
        <w:t>Criminal</w:t>
      </w:r>
      <w:r>
        <w:rPr>
          <w:spacing w:val="-3"/>
        </w:rPr>
        <w:t xml:space="preserve"> </w:t>
      </w:r>
      <w:r>
        <w:t>Law,</w:t>
      </w:r>
      <w:r>
        <w:rPr>
          <w:spacing w:val="-3"/>
        </w:rPr>
        <w:t xml:space="preserve"> </w:t>
      </w:r>
      <w:r>
        <w:t>Human</w:t>
      </w:r>
      <w:r>
        <w:rPr>
          <w:spacing w:val="-3"/>
        </w:rPr>
        <w:t xml:space="preserve"> </w:t>
      </w:r>
      <w:r>
        <w:t>Rights</w:t>
      </w:r>
      <w:r>
        <w:rPr>
          <w:spacing w:val="-3"/>
        </w:rPr>
        <w:t xml:space="preserve"> </w:t>
      </w:r>
      <w:r>
        <w:t>and</w:t>
      </w:r>
      <w:r>
        <w:rPr>
          <w:spacing w:val="-3"/>
        </w:rPr>
        <w:t xml:space="preserve"> </w:t>
      </w:r>
      <w:r>
        <w:t>Public</w:t>
      </w:r>
      <w:r>
        <w:rPr>
          <w:spacing w:val="-3"/>
        </w:rPr>
        <w:t xml:space="preserve"> </w:t>
      </w:r>
      <w:r>
        <w:t>Law</w:t>
      </w:r>
      <w:r>
        <w:rPr>
          <w:spacing w:val="-3"/>
        </w:rPr>
        <w:t xml:space="preserve"> </w:t>
      </w:r>
      <w:r>
        <w:t>committees</w:t>
      </w:r>
      <w:r>
        <w:rPr>
          <w:spacing w:val="-3"/>
        </w:rPr>
        <w:t xml:space="preserve"> </w:t>
      </w:r>
      <w:r>
        <w:t>collaborated as</w:t>
      </w:r>
      <w:r>
        <w:rPr>
          <w:spacing w:val="-3"/>
        </w:rPr>
        <w:t xml:space="preserve"> </w:t>
      </w:r>
      <w:r>
        <w:t>the</w:t>
      </w:r>
      <w:r>
        <w:rPr>
          <w:spacing w:val="-2"/>
        </w:rPr>
        <w:t xml:space="preserve"> </w:t>
      </w:r>
      <w:r>
        <w:t>Society</w:t>
      </w:r>
      <w:r>
        <w:rPr>
          <w:spacing w:val="-3"/>
        </w:rPr>
        <w:t xml:space="preserve"> </w:t>
      </w:r>
      <w:r>
        <w:t>strongly</w:t>
      </w:r>
      <w:r>
        <w:rPr>
          <w:spacing w:val="-2"/>
        </w:rPr>
        <w:t xml:space="preserve"> </w:t>
      </w:r>
      <w:r>
        <w:t>opposed</w:t>
      </w:r>
      <w:r>
        <w:rPr>
          <w:spacing w:val="-3"/>
        </w:rPr>
        <w:t xml:space="preserve"> </w:t>
      </w:r>
      <w:r>
        <w:t>the</w:t>
      </w:r>
      <w:r>
        <w:rPr>
          <w:spacing w:val="-2"/>
        </w:rPr>
        <w:t xml:space="preserve"> </w:t>
      </w:r>
      <w:r>
        <w:t>proposed</w:t>
      </w:r>
      <w:r>
        <w:rPr>
          <w:spacing w:val="-3"/>
        </w:rPr>
        <w:t xml:space="preserve"> </w:t>
      </w:r>
      <w:r>
        <w:t>changes</w:t>
      </w:r>
      <w:r>
        <w:rPr>
          <w:spacing w:val="-2"/>
        </w:rPr>
        <w:t xml:space="preserve"> </w:t>
      </w:r>
      <w:r>
        <w:t>to</w:t>
      </w:r>
      <w:r>
        <w:rPr>
          <w:spacing w:val="-3"/>
        </w:rPr>
        <w:t xml:space="preserve"> </w:t>
      </w:r>
      <w:r>
        <w:t>the</w:t>
      </w:r>
      <w:r>
        <w:rPr>
          <w:spacing w:val="-2"/>
        </w:rPr>
        <w:t xml:space="preserve"> </w:t>
      </w:r>
      <w:r>
        <w:t>Strengthening</w:t>
      </w:r>
      <w:r>
        <w:rPr>
          <w:spacing w:val="-3"/>
        </w:rPr>
        <w:t xml:space="preserve"> </w:t>
      </w:r>
      <w:r>
        <w:t>Community</w:t>
      </w:r>
      <w:r>
        <w:rPr>
          <w:spacing w:val="-2"/>
        </w:rPr>
        <w:t xml:space="preserve"> </w:t>
      </w:r>
      <w:r>
        <w:t>Safety</w:t>
      </w:r>
      <w:r>
        <w:rPr>
          <w:spacing w:val="-2"/>
        </w:rPr>
        <w:t xml:space="preserve"> Bill.</w:t>
      </w:r>
    </w:p>
    <w:p w14:paraId="71080997" w14:textId="77777777" w:rsidR="00AC6F3C" w:rsidRDefault="00570E88">
      <w:pPr>
        <w:pStyle w:val="BodyText"/>
        <w:spacing w:before="1" w:line="249" w:lineRule="auto"/>
        <w:ind w:left="815" w:right="157"/>
      </w:pPr>
      <w:r>
        <w:t>We called upon the state government and opposition to consult experts in youth justice to implement measures</w:t>
      </w:r>
      <w:r>
        <w:rPr>
          <w:spacing w:val="-3"/>
        </w:rPr>
        <w:t xml:space="preserve"> </w:t>
      </w:r>
      <w:r>
        <w:t>that</w:t>
      </w:r>
      <w:r>
        <w:rPr>
          <w:spacing w:val="-3"/>
        </w:rPr>
        <w:t xml:space="preserve"> </w:t>
      </w:r>
      <w:r>
        <w:t>will</w:t>
      </w:r>
      <w:r>
        <w:rPr>
          <w:spacing w:val="-3"/>
        </w:rPr>
        <w:t xml:space="preserve"> </w:t>
      </w:r>
      <w:r>
        <w:t>work</w:t>
      </w:r>
      <w:r>
        <w:rPr>
          <w:spacing w:val="-3"/>
        </w:rPr>
        <w:t xml:space="preserve"> </w:t>
      </w:r>
      <w:r>
        <w:t>to</w:t>
      </w:r>
      <w:r>
        <w:rPr>
          <w:spacing w:val="-3"/>
        </w:rPr>
        <w:t xml:space="preserve"> </w:t>
      </w:r>
      <w:r>
        <w:t>address</w:t>
      </w:r>
      <w:r>
        <w:rPr>
          <w:spacing w:val="-3"/>
        </w:rPr>
        <w:t xml:space="preserve"> </w:t>
      </w:r>
      <w:r>
        <w:t>youth</w:t>
      </w:r>
      <w:r>
        <w:rPr>
          <w:spacing w:val="-3"/>
        </w:rPr>
        <w:t xml:space="preserve"> </w:t>
      </w:r>
      <w:r>
        <w:t>crime.</w:t>
      </w:r>
      <w:r>
        <w:rPr>
          <w:spacing w:val="-3"/>
        </w:rPr>
        <w:t xml:space="preserve"> </w:t>
      </w:r>
      <w:r>
        <w:t>We</w:t>
      </w:r>
      <w:r>
        <w:rPr>
          <w:spacing w:val="-3"/>
        </w:rPr>
        <w:t xml:space="preserve"> </w:t>
      </w:r>
      <w:r>
        <w:t>appealed</w:t>
      </w:r>
      <w:r>
        <w:rPr>
          <w:spacing w:val="-3"/>
        </w:rPr>
        <w:t xml:space="preserve"> </w:t>
      </w:r>
      <w:r>
        <w:t>to</w:t>
      </w:r>
      <w:r>
        <w:rPr>
          <w:spacing w:val="-3"/>
        </w:rPr>
        <w:t xml:space="preserve"> </w:t>
      </w:r>
      <w:r>
        <w:t>the</w:t>
      </w:r>
      <w:r>
        <w:rPr>
          <w:spacing w:val="-3"/>
        </w:rPr>
        <w:t xml:space="preserve"> </w:t>
      </w:r>
      <w:r>
        <w:t>government</w:t>
      </w:r>
      <w:r>
        <w:rPr>
          <w:spacing w:val="-3"/>
        </w:rPr>
        <w:t xml:space="preserve"> </w:t>
      </w:r>
      <w:r>
        <w:t>to</w:t>
      </w:r>
      <w:r>
        <w:rPr>
          <w:spacing w:val="-3"/>
        </w:rPr>
        <w:t xml:space="preserve"> </w:t>
      </w:r>
      <w:r>
        <w:t>invest</w:t>
      </w:r>
      <w:r>
        <w:rPr>
          <w:spacing w:val="-3"/>
        </w:rPr>
        <w:t xml:space="preserve"> </w:t>
      </w:r>
      <w:r>
        <w:t>in</w:t>
      </w:r>
      <w:r>
        <w:rPr>
          <w:spacing w:val="-3"/>
        </w:rPr>
        <w:t xml:space="preserve"> </w:t>
      </w:r>
      <w:r>
        <w:t xml:space="preserve">communities with higher rates of offending, to empower them to invest in programs and services to tackle the underlying causes of crime. We will continue to advocate for this type of reinvestment to reduce criminal </w:t>
      </w:r>
      <w:proofErr w:type="spellStart"/>
      <w:r>
        <w:t>behaviour</w:t>
      </w:r>
      <w:proofErr w:type="spellEnd"/>
      <w:r>
        <w:t xml:space="preserve"> and recidivism rates, with an alternative focus on existing criminal </w:t>
      </w:r>
      <w:proofErr w:type="spellStart"/>
      <w:r>
        <w:t>behaviour</w:t>
      </w:r>
      <w:proofErr w:type="spellEnd"/>
      <w:r>
        <w:t>, and preventing people from entering the criminal justice system in the first place.</w:t>
      </w:r>
    </w:p>
    <w:p w14:paraId="5C64C8FC" w14:textId="77777777" w:rsidR="00AC6F3C" w:rsidRDefault="00AC6F3C">
      <w:pPr>
        <w:spacing w:line="249" w:lineRule="auto"/>
        <w:sectPr w:rsidR="00AC6F3C">
          <w:headerReference w:type="default" r:id="rId43"/>
          <w:footerReference w:type="default" r:id="rId44"/>
          <w:pgSz w:w="11910" w:h="16840"/>
          <w:pgMar w:top="1140" w:right="1160" w:bottom="520" w:left="460" w:header="0" w:footer="336" w:gutter="0"/>
          <w:cols w:space="720"/>
        </w:sectPr>
      </w:pPr>
    </w:p>
    <w:p w14:paraId="217F5160" w14:textId="77777777" w:rsidR="00AC6F3C" w:rsidRDefault="00570E88">
      <w:pPr>
        <w:pStyle w:val="BodyText"/>
        <w:spacing w:before="76" w:line="249" w:lineRule="auto"/>
        <w:ind w:left="815" w:right="375"/>
      </w:pPr>
      <w:r>
        <w:lastRenderedPageBreak/>
        <w:t xml:space="preserve">Domestic and family violence continues to be a significant issue for Queensland, and the profession. The Society has continued to make its voice heard, including in response to the findings of the Queensland Women’s Safety and Justice Taskforce </w:t>
      </w:r>
      <w:r>
        <w:rPr>
          <w:i/>
        </w:rPr>
        <w:t>Hear her Voice – Report Two</w:t>
      </w:r>
      <w:r>
        <w:t>, focusing on the systemic</w:t>
      </w:r>
      <w:r>
        <w:rPr>
          <w:spacing w:val="-3"/>
        </w:rPr>
        <w:t xml:space="preserve"> </w:t>
      </w:r>
      <w:r>
        <w:t>change</w:t>
      </w:r>
      <w:r>
        <w:rPr>
          <w:spacing w:val="-3"/>
        </w:rPr>
        <w:t xml:space="preserve"> </w:t>
      </w:r>
      <w:r>
        <w:t>required</w:t>
      </w:r>
      <w:r>
        <w:rPr>
          <w:spacing w:val="-3"/>
        </w:rPr>
        <w:t xml:space="preserve"> </w:t>
      </w:r>
      <w:r>
        <w:t>to</w:t>
      </w:r>
      <w:r>
        <w:rPr>
          <w:spacing w:val="-3"/>
        </w:rPr>
        <w:t xml:space="preserve"> </w:t>
      </w:r>
      <w:r>
        <w:t>improve</w:t>
      </w:r>
      <w:r>
        <w:rPr>
          <w:spacing w:val="-3"/>
        </w:rPr>
        <w:t xml:space="preserve"> </w:t>
      </w:r>
      <w:r>
        <w:t>the</w:t>
      </w:r>
      <w:r>
        <w:rPr>
          <w:spacing w:val="-3"/>
        </w:rPr>
        <w:t xml:space="preserve"> </w:t>
      </w:r>
      <w:r>
        <w:t>experiences</w:t>
      </w:r>
      <w:r>
        <w:rPr>
          <w:spacing w:val="-3"/>
        </w:rPr>
        <w:t xml:space="preserve"> </w:t>
      </w:r>
      <w:r>
        <w:t>of</w:t>
      </w:r>
      <w:r>
        <w:rPr>
          <w:spacing w:val="-3"/>
        </w:rPr>
        <w:t xml:space="preserve"> </w:t>
      </w:r>
      <w:r>
        <w:t>women</w:t>
      </w:r>
      <w:r>
        <w:rPr>
          <w:spacing w:val="-3"/>
        </w:rPr>
        <w:t xml:space="preserve"> </w:t>
      </w:r>
      <w:r>
        <w:t>and</w:t>
      </w:r>
      <w:r>
        <w:rPr>
          <w:spacing w:val="-3"/>
        </w:rPr>
        <w:t xml:space="preserve"> </w:t>
      </w:r>
      <w:r>
        <w:t>girls</w:t>
      </w:r>
      <w:r>
        <w:rPr>
          <w:spacing w:val="-3"/>
        </w:rPr>
        <w:t xml:space="preserve"> </w:t>
      </w:r>
      <w:r>
        <w:t>in</w:t>
      </w:r>
      <w:r>
        <w:rPr>
          <w:spacing w:val="-3"/>
        </w:rPr>
        <w:t xml:space="preserve"> </w:t>
      </w:r>
      <w:r>
        <w:t>the</w:t>
      </w:r>
      <w:r>
        <w:rPr>
          <w:spacing w:val="-3"/>
        </w:rPr>
        <w:t xml:space="preserve"> </w:t>
      </w:r>
      <w:r>
        <w:t>criminal</w:t>
      </w:r>
      <w:r>
        <w:rPr>
          <w:spacing w:val="-3"/>
        </w:rPr>
        <w:t xml:space="preserve"> </w:t>
      </w:r>
      <w:r>
        <w:t>justice</w:t>
      </w:r>
      <w:r>
        <w:rPr>
          <w:spacing w:val="-3"/>
        </w:rPr>
        <w:t xml:space="preserve"> </w:t>
      </w:r>
      <w:r>
        <w:t>system as victim-survivors of sexual violence, or as accused persons and offenders. We welcomed the $225 million allocated over five years in the 2023 state budget in response to this report, which includes a focus on extensive law reform on this issue.</w:t>
      </w:r>
    </w:p>
    <w:p w14:paraId="2C61A3F2" w14:textId="77777777" w:rsidR="00AC6F3C" w:rsidRDefault="00570E88">
      <w:pPr>
        <w:pStyle w:val="BodyText"/>
        <w:spacing w:before="175" w:line="249" w:lineRule="auto"/>
        <w:ind w:left="815" w:right="468"/>
      </w:pPr>
      <w:r>
        <w:t>We have and will continue to engage with experts including our Domestic and Family Violence Committee and Criminal Law Committee, to deliver an up-to-date, trauma-informed response on proposed</w:t>
      </w:r>
      <w:r>
        <w:rPr>
          <w:spacing w:val="-3"/>
        </w:rPr>
        <w:t xml:space="preserve"> </w:t>
      </w:r>
      <w:r>
        <w:t>changes</w:t>
      </w:r>
      <w:r>
        <w:rPr>
          <w:spacing w:val="-3"/>
        </w:rPr>
        <w:t xml:space="preserve"> </w:t>
      </w:r>
      <w:r>
        <w:t>to</w:t>
      </w:r>
      <w:r>
        <w:rPr>
          <w:spacing w:val="-3"/>
        </w:rPr>
        <w:t xml:space="preserve"> </w:t>
      </w:r>
      <w:r>
        <w:t>critical</w:t>
      </w:r>
      <w:r>
        <w:rPr>
          <w:spacing w:val="-3"/>
        </w:rPr>
        <w:t xml:space="preserve"> </w:t>
      </w:r>
      <w:r>
        <w:t>pieces</w:t>
      </w:r>
      <w:r>
        <w:rPr>
          <w:spacing w:val="-3"/>
        </w:rPr>
        <w:t xml:space="preserve"> </w:t>
      </w:r>
      <w:r>
        <w:t>of</w:t>
      </w:r>
      <w:r>
        <w:rPr>
          <w:spacing w:val="-3"/>
        </w:rPr>
        <w:t xml:space="preserve"> </w:t>
      </w:r>
      <w:r>
        <w:t>legislation.</w:t>
      </w:r>
      <w:r>
        <w:rPr>
          <w:spacing w:val="-3"/>
        </w:rPr>
        <w:t xml:space="preserve"> </w:t>
      </w:r>
      <w:r>
        <w:t>We</w:t>
      </w:r>
      <w:r>
        <w:rPr>
          <w:spacing w:val="-3"/>
        </w:rPr>
        <w:t xml:space="preserve"> </w:t>
      </w:r>
      <w:r>
        <w:t>are</w:t>
      </w:r>
      <w:r>
        <w:rPr>
          <w:spacing w:val="-3"/>
        </w:rPr>
        <w:t xml:space="preserve"> </w:t>
      </w:r>
      <w:r>
        <w:t>also</w:t>
      </w:r>
      <w:r>
        <w:rPr>
          <w:spacing w:val="-3"/>
        </w:rPr>
        <w:t xml:space="preserve"> </w:t>
      </w:r>
      <w:r>
        <w:t>building</w:t>
      </w:r>
      <w:r>
        <w:rPr>
          <w:spacing w:val="-3"/>
        </w:rPr>
        <w:t xml:space="preserve"> </w:t>
      </w:r>
      <w:r>
        <w:t>on</w:t>
      </w:r>
      <w:r>
        <w:rPr>
          <w:spacing w:val="-3"/>
        </w:rPr>
        <w:t xml:space="preserve"> </w:t>
      </w:r>
      <w:r>
        <w:t>the</w:t>
      </w:r>
      <w:r>
        <w:rPr>
          <w:spacing w:val="-3"/>
        </w:rPr>
        <w:t xml:space="preserve"> </w:t>
      </w:r>
      <w:r>
        <w:t>best</w:t>
      </w:r>
      <w:r>
        <w:rPr>
          <w:spacing w:val="-3"/>
        </w:rPr>
        <w:t xml:space="preserve"> </w:t>
      </w:r>
      <w:r>
        <w:t>practice</w:t>
      </w:r>
      <w:r>
        <w:rPr>
          <w:spacing w:val="-3"/>
        </w:rPr>
        <w:t xml:space="preserve"> </w:t>
      </w:r>
      <w:r>
        <w:t>framework developed in collaboration with Legal</w:t>
      </w:r>
      <w:r>
        <w:rPr>
          <w:spacing w:val="-6"/>
        </w:rPr>
        <w:t xml:space="preserve"> </w:t>
      </w:r>
      <w:r>
        <w:t xml:space="preserve">Aid Queensland and planning for whole of profession </w:t>
      </w:r>
      <w:proofErr w:type="gramStart"/>
      <w:r>
        <w:t>training</w:t>
      </w:r>
      <w:proofErr w:type="gramEnd"/>
    </w:p>
    <w:p w14:paraId="38DB4D1C" w14:textId="77777777" w:rsidR="00AC6F3C" w:rsidRDefault="00570E88">
      <w:pPr>
        <w:spacing w:before="4" w:line="249" w:lineRule="auto"/>
        <w:ind w:left="815" w:right="234"/>
        <w:rPr>
          <w:sz w:val="20"/>
        </w:rPr>
      </w:pPr>
      <w:r>
        <w:rPr>
          <w:sz w:val="20"/>
        </w:rPr>
        <w:t xml:space="preserve">to increase </w:t>
      </w:r>
      <w:proofErr w:type="gramStart"/>
      <w:r>
        <w:rPr>
          <w:sz w:val="20"/>
        </w:rPr>
        <w:t>practitioners</w:t>
      </w:r>
      <w:proofErr w:type="gramEnd"/>
      <w:r>
        <w:rPr>
          <w:sz w:val="20"/>
        </w:rPr>
        <w:t xml:space="preserve"> competency in relation to domestic and family violence. These initiatives are particularly important as the Queensland Government invites consultation as it works towards enacting the </w:t>
      </w:r>
      <w:r>
        <w:rPr>
          <w:i/>
          <w:sz w:val="20"/>
        </w:rPr>
        <w:t>Domestic and Family Violence Protection (Combating Coercive Control) and Other Legislation Amendment</w:t>
      </w:r>
      <w:r>
        <w:rPr>
          <w:i/>
          <w:spacing w:val="-13"/>
          <w:sz w:val="20"/>
        </w:rPr>
        <w:t xml:space="preserve"> </w:t>
      </w:r>
      <w:r>
        <w:rPr>
          <w:i/>
          <w:sz w:val="20"/>
        </w:rPr>
        <w:t>Act</w:t>
      </w:r>
      <w:r>
        <w:rPr>
          <w:i/>
          <w:spacing w:val="-6"/>
          <w:sz w:val="20"/>
        </w:rPr>
        <w:t xml:space="preserve"> </w:t>
      </w:r>
      <w:r>
        <w:rPr>
          <w:i/>
          <w:sz w:val="20"/>
        </w:rPr>
        <w:t>2023</w:t>
      </w:r>
      <w:r>
        <w:rPr>
          <w:i/>
          <w:spacing w:val="-7"/>
          <w:sz w:val="20"/>
        </w:rPr>
        <w:t xml:space="preserve"> </w:t>
      </w:r>
      <w:r>
        <w:rPr>
          <w:sz w:val="20"/>
        </w:rPr>
        <w:t>later</w:t>
      </w:r>
      <w:r>
        <w:rPr>
          <w:spacing w:val="-6"/>
          <w:sz w:val="20"/>
        </w:rPr>
        <w:t xml:space="preserve"> </w:t>
      </w:r>
      <w:r>
        <w:rPr>
          <w:sz w:val="20"/>
        </w:rPr>
        <w:t>this</w:t>
      </w:r>
      <w:r>
        <w:rPr>
          <w:spacing w:val="-6"/>
          <w:sz w:val="20"/>
        </w:rPr>
        <w:t xml:space="preserve"> </w:t>
      </w:r>
      <w:r>
        <w:rPr>
          <w:sz w:val="20"/>
        </w:rPr>
        <w:t>year,</w:t>
      </w:r>
      <w:r>
        <w:rPr>
          <w:spacing w:val="-6"/>
          <w:sz w:val="20"/>
        </w:rPr>
        <w:t xml:space="preserve"> </w:t>
      </w:r>
      <w:r>
        <w:rPr>
          <w:sz w:val="20"/>
        </w:rPr>
        <w:t>in</w:t>
      </w:r>
      <w:r>
        <w:rPr>
          <w:spacing w:val="-6"/>
          <w:sz w:val="20"/>
        </w:rPr>
        <w:t xml:space="preserve"> </w:t>
      </w:r>
      <w:r>
        <w:rPr>
          <w:sz w:val="20"/>
        </w:rPr>
        <w:t>response</w:t>
      </w:r>
      <w:r>
        <w:rPr>
          <w:spacing w:val="-6"/>
          <w:sz w:val="20"/>
        </w:rPr>
        <w:t xml:space="preserve"> </w:t>
      </w:r>
      <w:r>
        <w:rPr>
          <w:sz w:val="20"/>
        </w:rPr>
        <w:t>to</w:t>
      </w:r>
      <w:r>
        <w:rPr>
          <w:spacing w:val="-6"/>
          <w:sz w:val="20"/>
        </w:rPr>
        <w:t xml:space="preserve"> </w:t>
      </w:r>
      <w:r>
        <w:rPr>
          <w:sz w:val="20"/>
        </w:rPr>
        <w:t>the</w:t>
      </w:r>
      <w:r>
        <w:rPr>
          <w:spacing w:val="-9"/>
          <w:sz w:val="20"/>
        </w:rPr>
        <w:t xml:space="preserve"> </w:t>
      </w:r>
      <w:r>
        <w:rPr>
          <w:sz w:val="20"/>
        </w:rPr>
        <w:t>Taskforce’s</w:t>
      </w:r>
      <w:r>
        <w:rPr>
          <w:spacing w:val="-6"/>
          <w:sz w:val="20"/>
        </w:rPr>
        <w:t xml:space="preserve"> </w:t>
      </w:r>
      <w:r>
        <w:rPr>
          <w:sz w:val="20"/>
        </w:rPr>
        <w:t>recommendations.</w:t>
      </w:r>
      <w:r>
        <w:rPr>
          <w:spacing w:val="-6"/>
          <w:sz w:val="20"/>
        </w:rPr>
        <w:t xml:space="preserve"> </w:t>
      </w:r>
      <w:r>
        <w:rPr>
          <w:sz w:val="20"/>
        </w:rPr>
        <w:t>Further</w:t>
      </w:r>
      <w:r>
        <w:rPr>
          <w:spacing w:val="-6"/>
          <w:sz w:val="20"/>
        </w:rPr>
        <w:t xml:space="preserve"> </w:t>
      </w:r>
      <w:r>
        <w:rPr>
          <w:sz w:val="20"/>
        </w:rPr>
        <w:t xml:space="preserve">reporting on these initiatives will </w:t>
      </w:r>
      <w:proofErr w:type="gramStart"/>
      <w:r>
        <w:rPr>
          <w:sz w:val="20"/>
        </w:rPr>
        <w:t>be included</w:t>
      </w:r>
      <w:proofErr w:type="gramEnd"/>
      <w:r>
        <w:rPr>
          <w:sz w:val="20"/>
        </w:rPr>
        <w:t xml:space="preserve"> in the 2023-24</w:t>
      </w:r>
      <w:r>
        <w:rPr>
          <w:spacing w:val="-1"/>
          <w:sz w:val="20"/>
        </w:rPr>
        <w:t xml:space="preserve"> </w:t>
      </w:r>
      <w:r>
        <w:rPr>
          <w:sz w:val="20"/>
        </w:rPr>
        <w:t>Annual Report.</w:t>
      </w:r>
    </w:p>
    <w:p w14:paraId="502A0EFA" w14:textId="77777777" w:rsidR="00AC6F3C" w:rsidRDefault="00570E88">
      <w:pPr>
        <w:pStyle w:val="BodyText"/>
        <w:spacing w:before="174" w:line="249" w:lineRule="auto"/>
        <w:ind w:left="815" w:right="234"/>
      </w:pPr>
      <w:r>
        <w:t>This</w:t>
      </w:r>
      <w:r>
        <w:rPr>
          <w:spacing w:val="-2"/>
        </w:rPr>
        <w:t xml:space="preserve"> </w:t>
      </w:r>
      <w:r>
        <w:t>is</w:t>
      </w:r>
      <w:r>
        <w:rPr>
          <w:spacing w:val="-2"/>
        </w:rPr>
        <w:t xml:space="preserve"> </w:t>
      </w:r>
      <w:r>
        <w:t>just</w:t>
      </w:r>
      <w:r>
        <w:rPr>
          <w:spacing w:val="-2"/>
        </w:rPr>
        <w:t xml:space="preserve"> </w:t>
      </w:r>
      <w:r>
        <w:t>a</w:t>
      </w:r>
      <w:r>
        <w:rPr>
          <w:spacing w:val="-2"/>
        </w:rPr>
        <w:t xml:space="preserve"> </w:t>
      </w:r>
      <w:r>
        <w:t>small</w:t>
      </w:r>
      <w:r>
        <w:rPr>
          <w:spacing w:val="-2"/>
        </w:rPr>
        <w:t xml:space="preserve"> </w:t>
      </w:r>
      <w:r>
        <w:t>window</w:t>
      </w:r>
      <w:r>
        <w:rPr>
          <w:spacing w:val="-2"/>
        </w:rPr>
        <w:t xml:space="preserve"> </w:t>
      </w:r>
      <w:r>
        <w:t>into</w:t>
      </w:r>
      <w:r>
        <w:rPr>
          <w:spacing w:val="-2"/>
        </w:rPr>
        <w:t xml:space="preserve"> </w:t>
      </w:r>
      <w:r>
        <w:t>the</w:t>
      </w:r>
      <w:r>
        <w:rPr>
          <w:spacing w:val="-2"/>
        </w:rPr>
        <w:t xml:space="preserve"> </w:t>
      </w:r>
      <w:r>
        <w:t>work</w:t>
      </w:r>
      <w:r>
        <w:rPr>
          <w:spacing w:val="-2"/>
        </w:rPr>
        <w:t xml:space="preserve"> </w:t>
      </w:r>
      <w:r>
        <w:t>and</w:t>
      </w:r>
      <w:r>
        <w:rPr>
          <w:spacing w:val="-2"/>
        </w:rPr>
        <w:t xml:space="preserve"> </w:t>
      </w:r>
      <w:r>
        <w:t>achievements</w:t>
      </w:r>
      <w:r>
        <w:rPr>
          <w:spacing w:val="-2"/>
        </w:rPr>
        <w:t xml:space="preserve"> </w:t>
      </w:r>
      <w:r>
        <w:t>of</w:t>
      </w:r>
      <w:r>
        <w:rPr>
          <w:spacing w:val="-2"/>
        </w:rPr>
        <w:t xml:space="preserve"> </w:t>
      </w:r>
      <w:r>
        <w:t>the</w:t>
      </w:r>
      <w:r>
        <w:rPr>
          <w:spacing w:val="-2"/>
        </w:rPr>
        <w:t xml:space="preserve"> </w:t>
      </w:r>
      <w:r>
        <w:t>Society</w:t>
      </w:r>
      <w:r>
        <w:rPr>
          <w:spacing w:val="-2"/>
        </w:rPr>
        <w:t xml:space="preserve"> </w:t>
      </w:r>
      <w:r>
        <w:t>in</w:t>
      </w:r>
      <w:r>
        <w:rPr>
          <w:spacing w:val="-2"/>
        </w:rPr>
        <w:t xml:space="preserve"> </w:t>
      </w:r>
      <w:r>
        <w:t>2022-23,</w:t>
      </w:r>
      <w:r>
        <w:rPr>
          <w:spacing w:val="-2"/>
        </w:rPr>
        <w:t xml:space="preserve"> </w:t>
      </w:r>
      <w:r>
        <w:t>and</w:t>
      </w:r>
      <w:r>
        <w:rPr>
          <w:spacing w:val="-2"/>
        </w:rPr>
        <w:t xml:space="preserve"> </w:t>
      </w:r>
      <w:r>
        <w:t>I</w:t>
      </w:r>
      <w:r>
        <w:rPr>
          <w:spacing w:val="-2"/>
        </w:rPr>
        <w:t xml:space="preserve"> </w:t>
      </w:r>
      <w:r>
        <w:t>am</w:t>
      </w:r>
      <w:r>
        <w:rPr>
          <w:spacing w:val="-2"/>
        </w:rPr>
        <w:t xml:space="preserve"> </w:t>
      </w:r>
      <w:r>
        <w:t xml:space="preserve">certain that the remainder of my Presidency over the coming months will only serve to increase my pride and faith in the Society, and the </w:t>
      </w:r>
      <w:proofErr w:type="gramStart"/>
      <w:r>
        <w:t>profession as a whole</w:t>
      </w:r>
      <w:proofErr w:type="gramEnd"/>
      <w:r>
        <w:t>.</w:t>
      </w:r>
    </w:p>
    <w:p w14:paraId="788D648F" w14:textId="77777777" w:rsidR="00AC6F3C" w:rsidRDefault="00AC6F3C">
      <w:pPr>
        <w:spacing w:line="249" w:lineRule="auto"/>
        <w:sectPr w:rsidR="00AC6F3C">
          <w:headerReference w:type="default" r:id="rId45"/>
          <w:footerReference w:type="default" r:id="rId46"/>
          <w:pgSz w:w="11910" w:h="16840"/>
          <w:pgMar w:top="1140" w:right="1160" w:bottom="520" w:left="460" w:header="0" w:footer="336" w:gutter="0"/>
          <w:cols w:space="720"/>
        </w:sectPr>
      </w:pPr>
    </w:p>
    <w:p w14:paraId="6357B6B0"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238ECD4B" wp14:editId="386672BF">
                <wp:extent cx="5940425" cy="25400"/>
                <wp:effectExtent l="19050" t="0" r="3175" b="317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220" name="Graphic 220"/>
                        <wps:cNvSpPr/>
                        <wps:spPr>
                          <a:xfrm>
                            <a:off x="0" y="1270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C68711" id="Group 219"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OFLgA2oCAACYBQAADgAAAAAAAAAAAAAAAAAuAgAA&#10;ZHJzL2Uyb0RvYy54bWxQSwECLQAUAAYACAAAACEAzcNg/dwAAAADAQAADwAAAAAAAAAAAAAAAADE&#10;BAAAZHJzL2Rvd25yZXYueG1sUEsFBgAAAAAEAAQA8wAAAM0FAAAAAA==&#10;">
                <v:shape id="Graphic 220"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" path="m,l5939993,e" filled="f" strokeweight="2pt">
                  <v:path arrowok="t"/>
                </v:shape>
                <w10:anchorlock/>
              </v:group>
            </w:pict>
          </mc:Fallback>
        </mc:AlternateContent>
      </w:r>
    </w:p>
    <w:p w14:paraId="370857C7" w14:textId="77777777" w:rsidR="00AC6F3C" w:rsidRDefault="00570E88">
      <w:pPr>
        <w:pStyle w:val="Heading2"/>
      </w:pPr>
      <w:bookmarkStart w:id="19" w:name="CEO_Review_"/>
      <w:bookmarkStart w:id="20" w:name="_bookmark7"/>
      <w:bookmarkEnd w:id="19"/>
      <w:bookmarkEnd w:id="20"/>
      <w:r>
        <w:t xml:space="preserve">CEO </w:t>
      </w:r>
      <w:r>
        <w:rPr>
          <w:spacing w:val="-2"/>
        </w:rPr>
        <w:t>Review</w:t>
      </w:r>
    </w:p>
    <w:p w14:paraId="561C3EF7" w14:textId="77777777" w:rsidR="00AC6F3C" w:rsidRDefault="00570E88">
      <w:pPr>
        <w:pStyle w:val="BodyText"/>
        <w:spacing w:before="299" w:line="249" w:lineRule="auto"/>
        <w:ind w:left="815"/>
      </w:pPr>
      <w:r>
        <w:t>As I advised members at the</w:t>
      </w:r>
      <w:r>
        <w:rPr>
          <w:spacing w:val="-7"/>
        </w:rPr>
        <w:t xml:space="preserve"> </w:t>
      </w:r>
      <w:r>
        <w:t>AGM in 2022, my priorities for 2023 were the system implementation of the practicing</w:t>
      </w:r>
      <w:r>
        <w:rPr>
          <w:spacing w:val="-3"/>
        </w:rPr>
        <w:t xml:space="preserve"> </w:t>
      </w:r>
      <w:r>
        <w:t>certificate</w:t>
      </w:r>
      <w:r>
        <w:rPr>
          <w:spacing w:val="-3"/>
        </w:rPr>
        <w:t xml:space="preserve"> </w:t>
      </w:r>
      <w:r>
        <w:t>and</w:t>
      </w:r>
      <w:r>
        <w:rPr>
          <w:spacing w:val="-3"/>
        </w:rPr>
        <w:t xml:space="preserve"> </w:t>
      </w:r>
      <w:r>
        <w:t>membership</w:t>
      </w:r>
      <w:r>
        <w:rPr>
          <w:spacing w:val="-3"/>
        </w:rPr>
        <w:t xml:space="preserve"> </w:t>
      </w:r>
      <w:r>
        <w:t>renewal</w:t>
      </w:r>
      <w:r>
        <w:rPr>
          <w:spacing w:val="-3"/>
        </w:rPr>
        <w:t xml:space="preserve"> </w:t>
      </w:r>
      <w:r>
        <w:t>process</w:t>
      </w:r>
      <w:r>
        <w:rPr>
          <w:spacing w:val="-3"/>
        </w:rPr>
        <w:t xml:space="preserve"> </w:t>
      </w:r>
      <w:r>
        <w:t>for</w:t>
      </w:r>
      <w:r>
        <w:rPr>
          <w:spacing w:val="-3"/>
        </w:rPr>
        <w:t xml:space="preserve"> </w:t>
      </w:r>
      <w:r>
        <w:t>2023</w:t>
      </w:r>
      <w:r>
        <w:rPr>
          <w:spacing w:val="-3"/>
        </w:rPr>
        <w:t xml:space="preserve"> </w:t>
      </w:r>
      <w:r>
        <w:t>and</w:t>
      </w:r>
      <w:r>
        <w:rPr>
          <w:spacing w:val="-3"/>
        </w:rPr>
        <w:t xml:space="preserve"> </w:t>
      </w:r>
      <w:r>
        <w:t>refurbishment</w:t>
      </w:r>
      <w:r>
        <w:rPr>
          <w:spacing w:val="-3"/>
        </w:rPr>
        <w:t xml:space="preserve"> </w:t>
      </w:r>
      <w:r>
        <w:t>of</w:t>
      </w:r>
      <w:r>
        <w:rPr>
          <w:spacing w:val="-3"/>
        </w:rPr>
        <w:t xml:space="preserve"> </w:t>
      </w:r>
      <w:r>
        <w:t>Law</w:t>
      </w:r>
      <w:r>
        <w:rPr>
          <w:spacing w:val="-3"/>
        </w:rPr>
        <w:t xml:space="preserve"> </w:t>
      </w:r>
      <w:r>
        <w:t>Society</w:t>
      </w:r>
      <w:r>
        <w:rPr>
          <w:spacing w:val="-3"/>
        </w:rPr>
        <w:t xml:space="preserve"> </w:t>
      </w:r>
      <w:r>
        <w:t xml:space="preserve">House. Both these projects are long-term, multi-year initiatives which </w:t>
      </w:r>
      <w:proofErr w:type="gramStart"/>
      <w:r>
        <w:t>during the course of</w:t>
      </w:r>
      <w:proofErr w:type="gramEnd"/>
      <w:r>
        <w:t xml:space="preserve"> financial year 2023 progressed very well.</w:t>
      </w:r>
    </w:p>
    <w:p w14:paraId="14A8631F" w14:textId="77777777" w:rsidR="00AC6F3C" w:rsidRDefault="00570E88">
      <w:pPr>
        <w:pStyle w:val="BodyText"/>
        <w:spacing w:before="174" w:line="249" w:lineRule="auto"/>
        <w:ind w:left="815"/>
      </w:pPr>
      <w:r>
        <w:t xml:space="preserve">There were significant improvements made to the renewal system and portal and </w:t>
      </w:r>
      <w:proofErr w:type="gramStart"/>
      <w:r>
        <w:t>the vast majority of</w:t>
      </w:r>
      <w:proofErr w:type="gramEnd"/>
      <w:r>
        <w:t xml:space="preserve"> </w:t>
      </w:r>
      <w:proofErr w:type="spellStart"/>
      <w:r>
        <w:t>practising</w:t>
      </w:r>
      <w:proofErr w:type="spellEnd"/>
      <w:r>
        <w:rPr>
          <w:spacing w:val="-5"/>
        </w:rPr>
        <w:t xml:space="preserve"> </w:t>
      </w:r>
      <w:r>
        <w:t>certificates</w:t>
      </w:r>
      <w:r>
        <w:rPr>
          <w:spacing w:val="-5"/>
        </w:rPr>
        <w:t xml:space="preserve"> </w:t>
      </w:r>
      <w:r>
        <w:t>were</w:t>
      </w:r>
      <w:r>
        <w:rPr>
          <w:spacing w:val="-5"/>
        </w:rPr>
        <w:t xml:space="preserve"> </w:t>
      </w:r>
      <w:r>
        <w:t>issued</w:t>
      </w:r>
      <w:r>
        <w:rPr>
          <w:spacing w:val="-5"/>
        </w:rPr>
        <w:t xml:space="preserve"> </w:t>
      </w:r>
      <w:r>
        <w:t>smoothly</w:t>
      </w:r>
      <w:r>
        <w:rPr>
          <w:spacing w:val="-5"/>
        </w:rPr>
        <w:t xml:space="preserve"> </w:t>
      </w:r>
      <w:r>
        <w:t>and</w:t>
      </w:r>
      <w:r>
        <w:rPr>
          <w:spacing w:val="-5"/>
        </w:rPr>
        <w:t xml:space="preserve"> </w:t>
      </w:r>
      <w:r>
        <w:t>efficiently.</w:t>
      </w:r>
      <w:r>
        <w:rPr>
          <w:spacing w:val="-8"/>
        </w:rPr>
        <w:t xml:space="preserve"> </w:t>
      </w:r>
      <w:r>
        <w:t>There</w:t>
      </w:r>
      <w:r>
        <w:rPr>
          <w:spacing w:val="-5"/>
        </w:rPr>
        <w:t xml:space="preserve"> </w:t>
      </w:r>
      <w:r>
        <w:t>is</w:t>
      </w:r>
      <w:r>
        <w:rPr>
          <w:spacing w:val="-5"/>
        </w:rPr>
        <w:t xml:space="preserve"> </w:t>
      </w:r>
      <w:r>
        <w:t>still</w:t>
      </w:r>
      <w:r>
        <w:rPr>
          <w:spacing w:val="-5"/>
        </w:rPr>
        <w:t xml:space="preserve"> </w:t>
      </w:r>
      <w:r>
        <w:t>ongoing</w:t>
      </w:r>
      <w:r>
        <w:rPr>
          <w:spacing w:val="-5"/>
        </w:rPr>
        <w:t xml:space="preserve"> </w:t>
      </w:r>
      <w:r>
        <w:t>configuration</w:t>
      </w:r>
      <w:r>
        <w:rPr>
          <w:spacing w:val="-5"/>
        </w:rPr>
        <w:t xml:space="preserve"> </w:t>
      </w:r>
      <w:r>
        <w:t>required</w:t>
      </w:r>
      <w:r>
        <w:rPr>
          <w:spacing w:val="-5"/>
        </w:rPr>
        <w:t xml:space="preserve"> </w:t>
      </w:r>
      <w:r>
        <w:t xml:space="preserve">for some of the more complex renewals and that development will continue into the next </w:t>
      </w:r>
      <w:proofErr w:type="gramStart"/>
      <w:r>
        <w:t>financial year</w:t>
      </w:r>
      <w:proofErr w:type="gramEnd"/>
      <w:r>
        <w:t>.</w:t>
      </w:r>
    </w:p>
    <w:p w14:paraId="1AEF6A7D" w14:textId="77777777" w:rsidR="00AC6F3C" w:rsidRDefault="00570E88">
      <w:pPr>
        <w:pStyle w:val="BodyText"/>
        <w:spacing w:before="172" w:line="249" w:lineRule="auto"/>
        <w:ind w:left="815" w:right="157"/>
      </w:pPr>
      <w:r>
        <w:t xml:space="preserve">The Law Society House refurbishment has been </w:t>
      </w:r>
      <w:proofErr w:type="gramStart"/>
      <w:r>
        <w:t>a great success</w:t>
      </w:r>
      <w:proofErr w:type="gramEnd"/>
      <w:r>
        <w:t xml:space="preserve">. The staff floors have </w:t>
      </w:r>
      <w:proofErr w:type="gramStart"/>
      <w:r>
        <w:t>been completed</w:t>
      </w:r>
      <w:proofErr w:type="gramEnd"/>
      <w:r>
        <w:t xml:space="preserve"> as</w:t>
      </w:r>
      <w:r>
        <w:rPr>
          <w:spacing w:val="-4"/>
        </w:rPr>
        <w:t xml:space="preserve"> </w:t>
      </w:r>
      <w:r>
        <w:t>have</w:t>
      </w:r>
      <w:r>
        <w:rPr>
          <w:spacing w:val="-4"/>
        </w:rPr>
        <w:t xml:space="preserve"> </w:t>
      </w:r>
      <w:r>
        <w:t>the</w:t>
      </w:r>
      <w:r>
        <w:rPr>
          <w:spacing w:val="-4"/>
        </w:rPr>
        <w:t xml:space="preserve"> </w:t>
      </w:r>
      <w:r>
        <w:t>level</w:t>
      </w:r>
      <w:r>
        <w:rPr>
          <w:spacing w:val="-4"/>
        </w:rPr>
        <w:t xml:space="preserve"> </w:t>
      </w:r>
      <w:r>
        <w:t>6</w:t>
      </w:r>
      <w:r>
        <w:rPr>
          <w:spacing w:val="-4"/>
        </w:rPr>
        <w:t xml:space="preserve"> </w:t>
      </w:r>
      <w:r>
        <w:t>boardrooms</w:t>
      </w:r>
      <w:r>
        <w:rPr>
          <w:spacing w:val="-4"/>
        </w:rPr>
        <w:t xml:space="preserve"> </w:t>
      </w:r>
      <w:r>
        <w:t>and</w:t>
      </w:r>
      <w:r>
        <w:rPr>
          <w:spacing w:val="-4"/>
        </w:rPr>
        <w:t xml:space="preserve"> </w:t>
      </w:r>
      <w:r>
        <w:t>membership</w:t>
      </w:r>
      <w:r>
        <w:rPr>
          <w:spacing w:val="-4"/>
        </w:rPr>
        <w:t xml:space="preserve"> </w:t>
      </w:r>
      <w:r>
        <w:t>lounge.</w:t>
      </w:r>
      <w:r>
        <w:rPr>
          <w:spacing w:val="-7"/>
        </w:rPr>
        <w:t xml:space="preserve"> </w:t>
      </w:r>
      <w:r>
        <w:t>Tenants</w:t>
      </w:r>
      <w:r>
        <w:rPr>
          <w:spacing w:val="-4"/>
        </w:rPr>
        <w:t xml:space="preserve"> </w:t>
      </w:r>
      <w:r>
        <w:t>have</w:t>
      </w:r>
      <w:r>
        <w:rPr>
          <w:spacing w:val="-4"/>
        </w:rPr>
        <w:t xml:space="preserve"> </w:t>
      </w:r>
      <w:r>
        <w:t>moved</w:t>
      </w:r>
      <w:r>
        <w:rPr>
          <w:spacing w:val="-4"/>
        </w:rPr>
        <w:t xml:space="preserve"> </w:t>
      </w:r>
      <w:proofErr w:type="gramStart"/>
      <w:r>
        <w:t>in</w:t>
      </w:r>
      <w:r>
        <w:rPr>
          <w:spacing w:val="-4"/>
        </w:rPr>
        <w:t xml:space="preserve"> </w:t>
      </w:r>
      <w:r>
        <w:t>to</w:t>
      </w:r>
      <w:proofErr w:type="gramEnd"/>
      <w:r>
        <w:rPr>
          <w:spacing w:val="-4"/>
        </w:rPr>
        <w:t xml:space="preserve"> </w:t>
      </w:r>
      <w:r>
        <w:t>level</w:t>
      </w:r>
      <w:r>
        <w:rPr>
          <w:spacing w:val="-4"/>
        </w:rPr>
        <w:t xml:space="preserve"> </w:t>
      </w:r>
      <w:r>
        <w:t>6</w:t>
      </w:r>
      <w:r>
        <w:rPr>
          <w:spacing w:val="-4"/>
        </w:rPr>
        <w:t xml:space="preserve"> </w:t>
      </w:r>
      <w:r>
        <w:t>and</w:t>
      </w:r>
      <w:r>
        <w:rPr>
          <w:spacing w:val="-4"/>
        </w:rPr>
        <w:t xml:space="preserve"> </w:t>
      </w:r>
      <w:r>
        <w:t>staff</w:t>
      </w:r>
      <w:r>
        <w:rPr>
          <w:spacing w:val="-4"/>
        </w:rPr>
        <w:t xml:space="preserve"> </w:t>
      </w:r>
      <w:r>
        <w:t>have settled into their new work areas.</w:t>
      </w:r>
      <w:r>
        <w:rPr>
          <w:spacing w:val="-5"/>
        </w:rPr>
        <w:t xml:space="preserve"> </w:t>
      </w:r>
      <w:r>
        <w:t xml:space="preserve">All visitors, staff, </w:t>
      </w:r>
      <w:proofErr w:type="gramStart"/>
      <w:r>
        <w:t>tenants</w:t>
      </w:r>
      <w:proofErr w:type="gramEnd"/>
      <w:r>
        <w:t xml:space="preserve"> and owners have been very co-operative as we refurbished and occupied the building simultaneously.</w:t>
      </w:r>
    </w:p>
    <w:p w14:paraId="6DD50929" w14:textId="77777777" w:rsidR="00AC6F3C" w:rsidRDefault="00570E88">
      <w:pPr>
        <w:pStyle w:val="BodyText"/>
        <w:spacing w:before="173" w:line="249" w:lineRule="auto"/>
        <w:ind w:left="815"/>
      </w:pPr>
      <w:r>
        <w:t>The</w:t>
      </w:r>
      <w:r>
        <w:rPr>
          <w:spacing w:val="-3"/>
        </w:rPr>
        <w:t xml:space="preserve"> </w:t>
      </w:r>
      <w:r>
        <w:t>ground</w:t>
      </w:r>
      <w:r>
        <w:rPr>
          <w:spacing w:val="-3"/>
        </w:rPr>
        <w:t xml:space="preserve"> </w:t>
      </w:r>
      <w:r>
        <w:t>floor</w:t>
      </w:r>
      <w:r>
        <w:rPr>
          <w:spacing w:val="-3"/>
        </w:rPr>
        <w:t xml:space="preserve"> </w:t>
      </w:r>
      <w:r>
        <w:t>entrance,</w:t>
      </w:r>
      <w:r>
        <w:rPr>
          <w:spacing w:val="-3"/>
        </w:rPr>
        <w:t xml:space="preserve"> </w:t>
      </w:r>
      <w:r>
        <w:t>café</w:t>
      </w:r>
      <w:r>
        <w:rPr>
          <w:spacing w:val="-3"/>
        </w:rPr>
        <w:t xml:space="preserve"> </w:t>
      </w:r>
      <w:r>
        <w:t>and</w:t>
      </w:r>
      <w:r>
        <w:rPr>
          <w:spacing w:val="-3"/>
        </w:rPr>
        <w:t xml:space="preserve"> </w:t>
      </w:r>
      <w:r>
        <w:t>meeting</w:t>
      </w:r>
      <w:r>
        <w:rPr>
          <w:spacing w:val="-3"/>
        </w:rPr>
        <w:t xml:space="preserve"> </w:t>
      </w:r>
      <w:r>
        <w:t>rooms</w:t>
      </w:r>
      <w:r>
        <w:rPr>
          <w:spacing w:val="-3"/>
        </w:rPr>
        <w:t xml:space="preserve"> </w:t>
      </w:r>
      <w:r>
        <w:t>will</w:t>
      </w:r>
      <w:r>
        <w:rPr>
          <w:spacing w:val="-3"/>
        </w:rPr>
        <w:t xml:space="preserve"> </w:t>
      </w:r>
      <w:proofErr w:type="gramStart"/>
      <w:r>
        <w:t>be</w:t>
      </w:r>
      <w:r>
        <w:rPr>
          <w:spacing w:val="-3"/>
        </w:rPr>
        <w:t xml:space="preserve"> </w:t>
      </w:r>
      <w:r>
        <w:t>completed</w:t>
      </w:r>
      <w:proofErr w:type="gramEnd"/>
      <w:r>
        <w:rPr>
          <w:spacing w:val="-3"/>
        </w:rPr>
        <w:t xml:space="preserve"> </w:t>
      </w:r>
      <w:r>
        <w:t>in</w:t>
      </w:r>
      <w:r>
        <w:rPr>
          <w:spacing w:val="-3"/>
        </w:rPr>
        <w:t xml:space="preserve"> </w:t>
      </w:r>
      <w:r>
        <w:t>October</w:t>
      </w:r>
      <w:r>
        <w:rPr>
          <w:spacing w:val="-3"/>
        </w:rPr>
        <w:t xml:space="preserve"> </w:t>
      </w:r>
      <w:r>
        <w:t>2023.</w:t>
      </w:r>
      <w:r>
        <w:rPr>
          <w:spacing w:val="-6"/>
        </w:rPr>
        <w:t xml:space="preserve"> </w:t>
      </w:r>
      <w:r>
        <w:t>These</w:t>
      </w:r>
      <w:r>
        <w:rPr>
          <w:spacing w:val="-3"/>
        </w:rPr>
        <w:t xml:space="preserve"> </w:t>
      </w:r>
      <w:r>
        <w:t>are</w:t>
      </w:r>
      <w:r>
        <w:rPr>
          <w:spacing w:val="-3"/>
        </w:rPr>
        <w:t xml:space="preserve"> </w:t>
      </w:r>
      <w:r>
        <w:t xml:space="preserve">slightly delayed due to engineering difficulties in the building that have now </w:t>
      </w:r>
      <w:proofErr w:type="gramStart"/>
      <w:r>
        <w:t>been resolved</w:t>
      </w:r>
      <w:proofErr w:type="gramEnd"/>
      <w:r>
        <w:t>.</w:t>
      </w:r>
    </w:p>
    <w:p w14:paraId="20CD5C3D" w14:textId="77777777" w:rsidR="00AC6F3C" w:rsidRDefault="00570E88">
      <w:pPr>
        <w:pStyle w:val="BodyText"/>
        <w:spacing w:before="172" w:line="249" w:lineRule="auto"/>
        <w:ind w:left="815" w:right="112"/>
      </w:pPr>
      <w:r>
        <w:t xml:space="preserve">Another long-term strategy which </w:t>
      </w:r>
      <w:proofErr w:type="spellStart"/>
      <w:r>
        <w:t>materialised</w:t>
      </w:r>
      <w:proofErr w:type="spellEnd"/>
      <w:r>
        <w:t xml:space="preserve"> during this </w:t>
      </w:r>
      <w:proofErr w:type="gramStart"/>
      <w:r>
        <w:t>financial year</w:t>
      </w:r>
      <w:proofErr w:type="gramEnd"/>
      <w:r>
        <w:t xml:space="preserve"> was the completion of the important survey of the profession regarding the job readiness of graduates and newly admitted practitioners</w:t>
      </w:r>
      <w:r>
        <w:rPr>
          <w:spacing w:val="-3"/>
        </w:rPr>
        <w:t xml:space="preserve"> </w:t>
      </w:r>
      <w:r>
        <w:t>to</w:t>
      </w:r>
      <w:r>
        <w:rPr>
          <w:spacing w:val="-3"/>
        </w:rPr>
        <w:t xml:space="preserve"> </w:t>
      </w:r>
      <w:r>
        <w:t>private</w:t>
      </w:r>
      <w:r>
        <w:rPr>
          <w:spacing w:val="-3"/>
        </w:rPr>
        <w:t xml:space="preserve"> </w:t>
      </w:r>
      <w:r>
        <w:t>practice.</w:t>
      </w:r>
      <w:r>
        <w:rPr>
          <w:spacing w:val="-3"/>
        </w:rPr>
        <w:t xml:space="preserve"> </w:t>
      </w:r>
      <w:r>
        <w:t>For</w:t>
      </w:r>
      <w:r>
        <w:rPr>
          <w:spacing w:val="-3"/>
        </w:rPr>
        <w:t xml:space="preserve"> </w:t>
      </w:r>
      <w:r>
        <w:t>more</w:t>
      </w:r>
      <w:r>
        <w:rPr>
          <w:spacing w:val="-3"/>
        </w:rPr>
        <w:t xml:space="preserve"> </w:t>
      </w:r>
      <w:r>
        <w:t>information</w:t>
      </w:r>
      <w:r>
        <w:rPr>
          <w:spacing w:val="-3"/>
        </w:rPr>
        <w:t xml:space="preserve"> </w:t>
      </w:r>
      <w:r>
        <w:t>on</w:t>
      </w:r>
      <w:r>
        <w:rPr>
          <w:spacing w:val="-3"/>
        </w:rPr>
        <w:t xml:space="preserve"> </w:t>
      </w:r>
      <w:r>
        <w:t>this</w:t>
      </w:r>
      <w:r>
        <w:rPr>
          <w:spacing w:val="-3"/>
        </w:rPr>
        <w:t xml:space="preserve"> </w:t>
      </w:r>
      <w:r>
        <w:t>research,</w:t>
      </w:r>
      <w:r>
        <w:rPr>
          <w:spacing w:val="-3"/>
        </w:rPr>
        <w:t xml:space="preserve"> </w:t>
      </w:r>
      <w:r>
        <w:t>which</w:t>
      </w:r>
      <w:r>
        <w:rPr>
          <w:spacing w:val="-3"/>
        </w:rPr>
        <w:t xml:space="preserve"> </w:t>
      </w:r>
      <w:r>
        <w:t>we</w:t>
      </w:r>
      <w:r>
        <w:rPr>
          <w:spacing w:val="-3"/>
        </w:rPr>
        <w:t xml:space="preserve"> </w:t>
      </w:r>
      <w:r>
        <w:t>hope</w:t>
      </w:r>
      <w:r>
        <w:rPr>
          <w:spacing w:val="-3"/>
        </w:rPr>
        <w:t xml:space="preserve"> </w:t>
      </w:r>
      <w:r>
        <w:t>will</w:t>
      </w:r>
      <w:r>
        <w:rPr>
          <w:spacing w:val="-3"/>
        </w:rPr>
        <w:t xml:space="preserve"> </w:t>
      </w:r>
      <w:r>
        <w:t>influence</w:t>
      </w:r>
      <w:r>
        <w:rPr>
          <w:spacing w:val="-3"/>
        </w:rPr>
        <w:t xml:space="preserve"> </w:t>
      </w:r>
      <w:r>
        <w:t>future admission requirements in Australia, please refer to page 62.</w:t>
      </w:r>
    </w:p>
    <w:p w14:paraId="01584AD5" w14:textId="77777777" w:rsidR="00AC6F3C" w:rsidRDefault="00570E88">
      <w:pPr>
        <w:pStyle w:val="BodyText"/>
        <w:spacing w:before="173" w:line="249" w:lineRule="auto"/>
        <w:ind w:left="815" w:right="468"/>
      </w:pPr>
      <w:r>
        <w:t>A</w:t>
      </w:r>
      <w:r>
        <w:rPr>
          <w:spacing w:val="-13"/>
        </w:rPr>
        <w:t xml:space="preserve"> </w:t>
      </w:r>
      <w:r>
        <w:t>second</w:t>
      </w:r>
      <w:r>
        <w:rPr>
          <w:spacing w:val="-3"/>
        </w:rPr>
        <w:t xml:space="preserve"> </w:t>
      </w:r>
      <w:r>
        <w:t>research</w:t>
      </w:r>
      <w:r>
        <w:rPr>
          <w:spacing w:val="-3"/>
        </w:rPr>
        <w:t xml:space="preserve"> </w:t>
      </w:r>
      <w:r>
        <w:t>project</w:t>
      </w:r>
      <w:r>
        <w:rPr>
          <w:spacing w:val="-3"/>
        </w:rPr>
        <w:t xml:space="preserve"> </w:t>
      </w:r>
      <w:proofErr w:type="gramStart"/>
      <w:r>
        <w:t>was</w:t>
      </w:r>
      <w:r>
        <w:rPr>
          <w:spacing w:val="-3"/>
        </w:rPr>
        <w:t xml:space="preserve"> </w:t>
      </w:r>
      <w:r>
        <w:t>also</w:t>
      </w:r>
      <w:r>
        <w:rPr>
          <w:spacing w:val="-3"/>
        </w:rPr>
        <w:t xml:space="preserve"> </w:t>
      </w:r>
      <w:r>
        <w:t>commissioned</w:t>
      </w:r>
      <w:proofErr w:type="gramEnd"/>
      <w:r>
        <w:rPr>
          <w:spacing w:val="-3"/>
        </w:rPr>
        <w:t xml:space="preserve"> </w:t>
      </w:r>
      <w:r>
        <w:t>on</w:t>
      </w:r>
      <w:r>
        <w:rPr>
          <w:spacing w:val="-3"/>
        </w:rPr>
        <w:t xml:space="preserve"> </w:t>
      </w:r>
      <w:r>
        <w:t>the</w:t>
      </w:r>
      <w:r>
        <w:rPr>
          <w:spacing w:val="-3"/>
        </w:rPr>
        <w:t xml:space="preserve"> </w:t>
      </w:r>
      <w:r>
        <w:t>future</w:t>
      </w:r>
      <w:r>
        <w:rPr>
          <w:spacing w:val="-3"/>
        </w:rPr>
        <w:t xml:space="preserve"> </w:t>
      </w:r>
      <w:r>
        <w:t>readiness</w:t>
      </w:r>
      <w:r>
        <w:rPr>
          <w:spacing w:val="-3"/>
        </w:rPr>
        <w:t xml:space="preserve"> </w:t>
      </w:r>
      <w:r>
        <w:t>of</w:t>
      </w:r>
      <w:r>
        <w:rPr>
          <w:spacing w:val="-3"/>
        </w:rPr>
        <w:t xml:space="preserve"> </w:t>
      </w:r>
      <w:r>
        <w:t>practices</w:t>
      </w:r>
      <w:r>
        <w:rPr>
          <w:spacing w:val="-3"/>
        </w:rPr>
        <w:t xml:space="preserve"> </w:t>
      </w:r>
      <w:r>
        <w:t>in</w:t>
      </w:r>
      <w:r>
        <w:rPr>
          <w:spacing w:val="-3"/>
        </w:rPr>
        <w:t xml:space="preserve"> </w:t>
      </w:r>
      <w:r>
        <w:t>Queensland and their ability to deal with disruption. The overview of this research is on page 63 of this report.</w:t>
      </w:r>
    </w:p>
    <w:p w14:paraId="333B8979" w14:textId="77777777" w:rsidR="00AC6F3C" w:rsidRDefault="00570E88">
      <w:pPr>
        <w:pStyle w:val="BodyText"/>
        <w:spacing w:before="172" w:line="249" w:lineRule="auto"/>
        <w:ind w:left="815"/>
      </w:pPr>
      <w:r>
        <w:t>In terms of our education initiatives, the annual Symposium for 2023 was a return to a full face-to-face format and was a sell-out event at the Brisbane Convention and Exhibition Centre. There was also significant</w:t>
      </w:r>
      <w:r>
        <w:rPr>
          <w:spacing w:val="-3"/>
        </w:rPr>
        <w:t xml:space="preserve"> </w:t>
      </w:r>
      <w:r>
        <w:t>uptake</w:t>
      </w:r>
      <w:r>
        <w:rPr>
          <w:spacing w:val="-3"/>
        </w:rPr>
        <w:t xml:space="preserve"> </w:t>
      </w:r>
      <w:r>
        <w:t>for</w:t>
      </w:r>
      <w:r>
        <w:rPr>
          <w:spacing w:val="-3"/>
        </w:rPr>
        <w:t xml:space="preserve"> </w:t>
      </w:r>
      <w:r>
        <w:t>the</w:t>
      </w:r>
      <w:r>
        <w:rPr>
          <w:spacing w:val="-3"/>
        </w:rPr>
        <w:t xml:space="preserve"> </w:t>
      </w:r>
      <w:proofErr w:type="spellStart"/>
      <w:r>
        <w:t>eConveyancing</w:t>
      </w:r>
      <w:proofErr w:type="spellEnd"/>
      <w:r>
        <w:rPr>
          <w:spacing w:val="-3"/>
        </w:rPr>
        <w:t xml:space="preserve"> </w:t>
      </w:r>
      <w:r>
        <w:t>workshops</w:t>
      </w:r>
      <w:r>
        <w:rPr>
          <w:spacing w:val="-3"/>
        </w:rPr>
        <w:t xml:space="preserve"> </w:t>
      </w:r>
      <w:r>
        <w:t>across</w:t>
      </w:r>
      <w:r>
        <w:rPr>
          <w:spacing w:val="-3"/>
        </w:rPr>
        <w:t xml:space="preserve"> </w:t>
      </w:r>
      <w:r>
        <w:t>the</w:t>
      </w:r>
      <w:r>
        <w:rPr>
          <w:spacing w:val="-3"/>
        </w:rPr>
        <w:t xml:space="preserve"> </w:t>
      </w:r>
      <w:r>
        <w:t>state</w:t>
      </w:r>
      <w:r>
        <w:rPr>
          <w:spacing w:val="-3"/>
        </w:rPr>
        <w:t xml:space="preserve"> </w:t>
      </w:r>
      <w:r>
        <w:t>which</w:t>
      </w:r>
      <w:r>
        <w:rPr>
          <w:spacing w:val="-3"/>
        </w:rPr>
        <w:t xml:space="preserve"> </w:t>
      </w:r>
      <w:r>
        <w:t>attracted</w:t>
      </w:r>
      <w:r>
        <w:rPr>
          <w:spacing w:val="-3"/>
        </w:rPr>
        <w:t xml:space="preserve"> </w:t>
      </w:r>
      <w:r>
        <w:t>1,500</w:t>
      </w:r>
      <w:r>
        <w:rPr>
          <w:spacing w:val="-3"/>
        </w:rPr>
        <w:t xml:space="preserve"> </w:t>
      </w:r>
      <w:r>
        <w:t>attendees.</w:t>
      </w:r>
    </w:p>
    <w:p w14:paraId="0E15B45D" w14:textId="77777777" w:rsidR="00AC6F3C" w:rsidRDefault="00570E88">
      <w:pPr>
        <w:pStyle w:val="BodyText"/>
        <w:spacing w:before="2" w:line="249" w:lineRule="auto"/>
        <w:ind w:left="815" w:right="679"/>
      </w:pPr>
      <w:r>
        <w:t xml:space="preserve">During the </w:t>
      </w:r>
      <w:proofErr w:type="gramStart"/>
      <w:r>
        <w:t>financial year</w:t>
      </w:r>
      <w:proofErr w:type="gramEnd"/>
      <w:r>
        <w:t>, over 500 members across the state also attended Sexual Harassment</w:t>
      </w:r>
      <w:r>
        <w:rPr>
          <w:spacing w:val="40"/>
        </w:rPr>
        <w:t xml:space="preserve"> </w:t>
      </w:r>
      <w:r>
        <w:t xml:space="preserve">and Workplace Culture workshops in response to amendments to the </w:t>
      </w:r>
      <w:r>
        <w:rPr>
          <w:i/>
        </w:rPr>
        <w:t>Sex Discrimination</w:t>
      </w:r>
      <w:r>
        <w:rPr>
          <w:i/>
          <w:spacing w:val="-2"/>
        </w:rPr>
        <w:t xml:space="preserve"> </w:t>
      </w:r>
      <w:r>
        <w:rPr>
          <w:i/>
        </w:rPr>
        <w:t xml:space="preserve">Act 1984 </w:t>
      </w:r>
      <w:r>
        <w:t>(</w:t>
      </w:r>
      <w:proofErr w:type="spellStart"/>
      <w:r>
        <w:t>Cth</w:t>
      </w:r>
      <w:proofErr w:type="spellEnd"/>
      <w:r>
        <w:t>)</w:t>
      </w:r>
      <w:r>
        <w:rPr>
          <w:spacing w:val="-4"/>
        </w:rPr>
        <w:t xml:space="preserve"> </w:t>
      </w:r>
      <w:r>
        <w:t>and</w:t>
      </w:r>
      <w:r>
        <w:rPr>
          <w:spacing w:val="-4"/>
        </w:rPr>
        <w:t xml:space="preserve"> </w:t>
      </w:r>
      <w:r>
        <w:t>the</w:t>
      </w:r>
      <w:r>
        <w:rPr>
          <w:spacing w:val="-4"/>
        </w:rPr>
        <w:t xml:space="preserve"> </w:t>
      </w:r>
      <w:r>
        <w:rPr>
          <w:i/>
        </w:rPr>
        <w:t>Work</w:t>
      </w:r>
      <w:r>
        <w:rPr>
          <w:i/>
          <w:spacing w:val="-4"/>
        </w:rPr>
        <w:t xml:space="preserve"> </w:t>
      </w:r>
      <w:r>
        <w:rPr>
          <w:i/>
        </w:rPr>
        <w:t>Health</w:t>
      </w:r>
      <w:r>
        <w:rPr>
          <w:i/>
          <w:spacing w:val="-4"/>
        </w:rPr>
        <w:t xml:space="preserve"> </w:t>
      </w:r>
      <w:r>
        <w:rPr>
          <w:i/>
        </w:rPr>
        <w:t>and</w:t>
      </w:r>
      <w:r>
        <w:rPr>
          <w:i/>
          <w:spacing w:val="-4"/>
        </w:rPr>
        <w:t xml:space="preserve"> </w:t>
      </w:r>
      <w:r>
        <w:rPr>
          <w:i/>
        </w:rPr>
        <w:t>Safety</w:t>
      </w:r>
      <w:r>
        <w:rPr>
          <w:i/>
          <w:spacing w:val="-11"/>
        </w:rPr>
        <w:t xml:space="preserve"> </w:t>
      </w:r>
      <w:r>
        <w:rPr>
          <w:i/>
        </w:rPr>
        <w:t>Act</w:t>
      </w:r>
      <w:r>
        <w:rPr>
          <w:i/>
          <w:spacing w:val="-4"/>
        </w:rPr>
        <w:t xml:space="preserve"> </w:t>
      </w:r>
      <w:r>
        <w:rPr>
          <w:i/>
        </w:rPr>
        <w:t>2011</w:t>
      </w:r>
      <w:r>
        <w:rPr>
          <w:i/>
          <w:spacing w:val="-4"/>
        </w:rPr>
        <w:t xml:space="preserve"> </w:t>
      </w:r>
      <w:r>
        <w:t>(Qld).</w:t>
      </w:r>
      <w:r>
        <w:rPr>
          <w:spacing w:val="-4"/>
        </w:rPr>
        <w:t xml:space="preserve"> </w:t>
      </w:r>
      <w:r>
        <w:t>For</w:t>
      </w:r>
      <w:r>
        <w:rPr>
          <w:spacing w:val="-4"/>
        </w:rPr>
        <w:t xml:space="preserve"> </w:t>
      </w:r>
      <w:r>
        <w:t>more</w:t>
      </w:r>
      <w:r>
        <w:rPr>
          <w:spacing w:val="-4"/>
        </w:rPr>
        <w:t xml:space="preserve"> </w:t>
      </w:r>
      <w:r>
        <w:t>information</w:t>
      </w:r>
      <w:r>
        <w:rPr>
          <w:spacing w:val="-4"/>
        </w:rPr>
        <w:t xml:space="preserve"> </w:t>
      </w:r>
      <w:r>
        <w:t>on</w:t>
      </w:r>
      <w:r>
        <w:rPr>
          <w:spacing w:val="-4"/>
        </w:rPr>
        <w:t xml:space="preserve"> </w:t>
      </w:r>
      <w:r>
        <w:t>the</w:t>
      </w:r>
      <w:r>
        <w:rPr>
          <w:spacing w:val="-4"/>
        </w:rPr>
        <w:t xml:space="preserve"> </w:t>
      </w:r>
      <w:r>
        <w:t>education</w:t>
      </w:r>
      <w:r>
        <w:rPr>
          <w:spacing w:val="-4"/>
        </w:rPr>
        <w:t xml:space="preserve"> </w:t>
      </w:r>
      <w:r>
        <w:t>events throughout the year and their statistics please refer to page 65.</w:t>
      </w:r>
    </w:p>
    <w:p w14:paraId="71B504C0" w14:textId="77777777" w:rsidR="00AC6F3C" w:rsidRDefault="00570E88">
      <w:pPr>
        <w:pStyle w:val="BodyText"/>
        <w:spacing w:before="174" w:line="249" w:lineRule="auto"/>
        <w:ind w:left="815" w:right="234"/>
      </w:pPr>
      <w:r>
        <w:t>Highlights from the Policy area included the implementation of the Property Law Bill and the Council adopting</w:t>
      </w:r>
      <w:r>
        <w:rPr>
          <w:spacing w:val="-4"/>
        </w:rPr>
        <w:t xml:space="preserve"> </w:t>
      </w:r>
      <w:r>
        <w:t>a</w:t>
      </w:r>
      <w:r>
        <w:rPr>
          <w:spacing w:val="-4"/>
        </w:rPr>
        <w:t xml:space="preserve"> </w:t>
      </w:r>
      <w:r>
        <w:t>position</w:t>
      </w:r>
      <w:r>
        <w:rPr>
          <w:spacing w:val="-4"/>
        </w:rPr>
        <w:t xml:space="preserve"> </w:t>
      </w:r>
      <w:r>
        <w:t>on</w:t>
      </w:r>
      <w:r>
        <w:rPr>
          <w:spacing w:val="-8"/>
        </w:rPr>
        <w:t xml:space="preserve"> </w:t>
      </w:r>
      <w:r>
        <w:t>The</w:t>
      </w:r>
      <w:r>
        <w:rPr>
          <w:spacing w:val="-4"/>
        </w:rPr>
        <w:t xml:space="preserve"> </w:t>
      </w:r>
      <w:r>
        <w:t>Voice</w:t>
      </w:r>
      <w:r>
        <w:rPr>
          <w:spacing w:val="-4"/>
        </w:rPr>
        <w:t xml:space="preserve"> </w:t>
      </w:r>
      <w:r>
        <w:t>referendum,</w:t>
      </w:r>
      <w:r>
        <w:rPr>
          <w:spacing w:val="-4"/>
        </w:rPr>
        <w:t xml:space="preserve"> </w:t>
      </w:r>
      <w:r>
        <w:t>including</w:t>
      </w:r>
      <w:r>
        <w:rPr>
          <w:spacing w:val="-4"/>
        </w:rPr>
        <w:t xml:space="preserve"> </w:t>
      </w:r>
      <w:r>
        <w:t>an</w:t>
      </w:r>
      <w:r>
        <w:rPr>
          <w:spacing w:val="-4"/>
        </w:rPr>
        <w:t xml:space="preserve"> </w:t>
      </w:r>
      <w:r>
        <w:t>information</w:t>
      </w:r>
      <w:r>
        <w:rPr>
          <w:spacing w:val="-4"/>
        </w:rPr>
        <w:t xml:space="preserve"> </w:t>
      </w:r>
      <w:r>
        <w:t>campaign</w:t>
      </w:r>
      <w:r>
        <w:rPr>
          <w:spacing w:val="-4"/>
        </w:rPr>
        <w:t xml:space="preserve"> </w:t>
      </w:r>
      <w:r>
        <w:t>for</w:t>
      </w:r>
      <w:r>
        <w:rPr>
          <w:spacing w:val="-4"/>
        </w:rPr>
        <w:t xml:space="preserve"> </w:t>
      </w:r>
      <w:r>
        <w:t>members</w:t>
      </w:r>
      <w:r>
        <w:rPr>
          <w:spacing w:val="-4"/>
        </w:rPr>
        <w:t xml:space="preserve"> </w:t>
      </w:r>
      <w:r>
        <w:t>regarding the</w:t>
      </w:r>
      <w:r>
        <w:rPr>
          <w:spacing w:val="-4"/>
        </w:rPr>
        <w:t xml:space="preserve"> </w:t>
      </w:r>
      <w:r>
        <w:t>referendum.</w:t>
      </w:r>
      <w:r>
        <w:rPr>
          <w:spacing w:val="-4"/>
        </w:rPr>
        <w:t xml:space="preserve"> </w:t>
      </w:r>
      <w:r>
        <w:t>More</w:t>
      </w:r>
      <w:r>
        <w:rPr>
          <w:spacing w:val="-4"/>
        </w:rPr>
        <w:t xml:space="preserve"> </w:t>
      </w:r>
      <w:r>
        <w:t>information</w:t>
      </w:r>
      <w:r>
        <w:rPr>
          <w:spacing w:val="-4"/>
        </w:rPr>
        <w:t xml:space="preserve"> </w:t>
      </w:r>
      <w:r>
        <w:t>on</w:t>
      </w:r>
      <w:r>
        <w:rPr>
          <w:spacing w:val="-4"/>
        </w:rPr>
        <w:t xml:space="preserve"> </w:t>
      </w:r>
      <w:r>
        <w:t>the</w:t>
      </w:r>
      <w:r>
        <w:rPr>
          <w:spacing w:val="-4"/>
        </w:rPr>
        <w:t xml:space="preserve"> </w:t>
      </w:r>
      <w:r>
        <w:t>significant</w:t>
      </w:r>
      <w:r>
        <w:rPr>
          <w:spacing w:val="-4"/>
        </w:rPr>
        <w:t xml:space="preserve"> </w:t>
      </w:r>
      <w:r>
        <w:t>work</w:t>
      </w:r>
      <w:r>
        <w:rPr>
          <w:spacing w:val="-4"/>
        </w:rPr>
        <w:t xml:space="preserve"> </w:t>
      </w:r>
      <w:r>
        <w:t>completed</w:t>
      </w:r>
      <w:r>
        <w:rPr>
          <w:spacing w:val="-4"/>
        </w:rPr>
        <w:t xml:space="preserve"> </w:t>
      </w:r>
      <w:r>
        <w:t>by</w:t>
      </w:r>
      <w:r>
        <w:rPr>
          <w:spacing w:val="-4"/>
        </w:rPr>
        <w:t xml:space="preserve"> </w:t>
      </w:r>
      <w:r>
        <w:t>the</w:t>
      </w:r>
      <w:r>
        <w:rPr>
          <w:spacing w:val="-4"/>
        </w:rPr>
        <w:t xml:space="preserve"> </w:t>
      </w:r>
      <w:r>
        <w:t>Policy</w:t>
      </w:r>
      <w:r>
        <w:rPr>
          <w:spacing w:val="-8"/>
        </w:rPr>
        <w:t xml:space="preserve"> </w:t>
      </w:r>
      <w:r>
        <w:t>Team</w:t>
      </w:r>
      <w:r>
        <w:rPr>
          <w:spacing w:val="-4"/>
        </w:rPr>
        <w:t xml:space="preserve"> </w:t>
      </w:r>
      <w:r>
        <w:t>can</w:t>
      </w:r>
      <w:r>
        <w:rPr>
          <w:spacing w:val="-4"/>
        </w:rPr>
        <w:t xml:space="preserve"> </w:t>
      </w:r>
      <w:proofErr w:type="gramStart"/>
      <w:r>
        <w:t>be</w:t>
      </w:r>
      <w:r>
        <w:rPr>
          <w:spacing w:val="-4"/>
        </w:rPr>
        <w:t xml:space="preserve"> </w:t>
      </w:r>
      <w:r>
        <w:t>found</w:t>
      </w:r>
      <w:proofErr w:type="gramEnd"/>
      <w:r>
        <w:rPr>
          <w:spacing w:val="-4"/>
        </w:rPr>
        <w:t xml:space="preserve"> </w:t>
      </w:r>
      <w:r>
        <w:t>on page 30 of this report.</w:t>
      </w:r>
    </w:p>
    <w:p w14:paraId="48841B58" w14:textId="77777777" w:rsidR="00AC6F3C" w:rsidRDefault="00570E88">
      <w:pPr>
        <w:pStyle w:val="BodyText"/>
        <w:spacing w:before="173" w:line="249" w:lineRule="auto"/>
        <w:ind w:left="815"/>
      </w:pPr>
      <w:r>
        <w:t xml:space="preserve">The Ethics and Practice Centre took 3,934 calls </w:t>
      </w:r>
      <w:proofErr w:type="gramStart"/>
      <w:r>
        <w:t>during the course of</w:t>
      </w:r>
      <w:proofErr w:type="gramEnd"/>
      <w:r>
        <w:t xml:space="preserve"> the financial year which was a significant</w:t>
      </w:r>
      <w:r>
        <w:rPr>
          <w:spacing w:val="-3"/>
        </w:rPr>
        <w:t xml:space="preserve"> </w:t>
      </w:r>
      <w:r>
        <w:t>growth</w:t>
      </w:r>
      <w:r>
        <w:rPr>
          <w:spacing w:val="-3"/>
        </w:rPr>
        <w:t xml:space="preserve"> </w:t>
      </w:r>
      <w:r>
        <w:t>on</w:t>
      </w:r>
      <w:r>
        <w:rPr>
          <w:spacing w:val="-3"/>
        </w:rPr>
        <w:t xml:space="preserve"> </w:t>
      </w:r>
      <w:r>
        <w:t>the</w:t>
      </w:r>
      <w:r>
        <w:rPr>
          <w:spacing w:val="-3"/>
        </w:rPr>
        <w:t xml:space="preserve"> </w:t>
      </w:r>
      <w:r>
        <w:t>previous</w:t>
      </w:r>
      <w:r>
        <w:rPr>
          <w:spacing w:val="-3"/>
        </w:rPr>
        <w:t xml:space="preserve"> </w:t>
      </w:r>
      <w:r>
        <w:t>year</w:t>
      </w:r>
      <w:r>
        <w:rPr>
          <w:spacing w:val="-3"/>
        </w:rPr>
        <w:t xml:space="preserve"> </w:t>
      </w:r>
      <w:r>
        <w:t>and</w:t>
      </w:r>
      <w:r>
        <w:rPr>
          <w:spacing w:val="-3"/>
        </w:rPr>
        <w:t xml:space="preserve"> </w:t>
      </w:r>
      <w:r>
        <w:t>also</w:t>
      </w:r>
      <w:r>
        <w:rPr>
          <w:spacing w:val="-3"/>
        </w:rPr>
        <w:t xml:space="preserve"> </w:t>
      </w:r>
      <w:r>
        <w:t>completed</w:t>
      </w:r>
      <w:r>
        <w:rPr>
          <w:spacing w:val="-3"/>
        </w:rPr>
        <w:t xml:space="preserve"> </w:t>
      </w:r>
      <w:r>
        <w:t>283</w:t>
      </w:r>
      <w:r>
        <w:rPr>
          <w:spacing w:val="-3"/>
        </w:rPr>
        <w:t xml:space="preserve"> </w:t>
      </w:r>
      <w:r>
        <w:t>visits</w:t>
      </w:r>
      <w:r>
        <w:rPr>
          <w:spacing w:val="-3"/>
        </w:rPr>
        <w:t xml:space="preserve"> </w:t>
      </w:r>
      <w:r>
        <w:t>to</w:t>
      </w:r>
      <w:r>
        <w:rPr>
          <w:spacing w:val="-3"/>
        </w:rPr>
        <w:t xml:space="preserve"> </w:t>
      </w:r>
      <w:r>
        <w:t>practices</w:t>
      </w:r>
      <w:r>
        <w:rPr>
          <w:spacing w:val="-3"/>
        </w:rPr>
        <w:t xml:space="preserve"> </w:t>
      </w:r>
      <w:r>
        <w:t>within</w:t>
      </w:r>
      <w:r>
        <w:rPr>
          <w:spacing w:val="-3"/>
        </w:rPr>
        <w:t xml:space="preserve"> </w:t>
      </w:r>
      <w:r>
        <w:t>the</w:t>
      </w:r>
      <w:r>
        <w:rPr>
          <w:spacing w:val="-3"/>
        </w:rPr>
        <w:t xml:space="preserve"> </w:t>
      </w:r>
      <w:r>
        <w:t>state</w:t>
      </w:r>
      <w:r>
        <w:rPr>
          <w:spacing w:val="-3"/>
        </w:rPr>
        <w:t xml:space="preserve"> </w:t>
      </w:r>
      <w:r>
        <w:t>and delivered 107 ethics education sessions. For more information on the work of the Practice and Ethics Centre please refer to page 54.</w:t>
      </w:r>
    </w:p>
    <w:p w14:paraId="0F19DC42" w14:textId="77777777" w:rsidR="00AC6F3C" w:rsidRDefault="00570E88">
      <w:pPr>
        <w:pStyle w:val="BodyText"/>
        <w:spacing w:before="173" w:line="249" w:lineRule="auto"/>
        <w:ind w:left="815" w:right="573"/>
        <w:jc w:val="both"/>
      </w:pPr>
      <w:r>
        <w:t>The</w:t>
      </w:r>
      <w:r>
        <w:rPr>
          <w:spacing w:val="-3"/>
        </w:rPr>
        <w:t xml:space="preserve"> </w:t>
      </w:r>
      <w:r>
        <w:t>Regulation</w:t>
      </w:r>
      <w:r>
        <w:rPr>
          <w:spacing w:val="-3"/>
        </w:rPr>
        <w:t xml:space="preserve"> </w:t>
      </w:r>
      <w:r>
        <w:t>team</w:t>
      </w:r>
      <w:r>
        <w:rPr>
          <w:spacing w:val="-3"/>
        </w:rPr>
        <w:t xml:space="preserve"> </w:t>
      </w:r>
      <w:r>
        <w:t>were</w:t>
      </w:r>
      <w:r>
        <w:rPr>
          <w:spacing w:val="-3"/>
        </w:rPr>
        <w:t xml:space="preserve"> </w:t>
      </w:r>
      <w:r>
        <w:t>productive.</w:t>
      </w:r>
      <w:r>
        <w:rPr>
          <w:spacing w:val="-7"/>
        </w:rPr>
        <w:t xml:space="preserve"> </w:t>
      </w:r>
      <w:r>
        <w:t>There</w:t>
      </w:r>
      <w:r>
        <w:rPr>
          <w:spacing w:val="-3"/>
        </w:rPr>
        <w:t xml:space="preserve"> </w:t>
      </w:r>
      <w:r>
        <w:t>were</w:t>
      </w:r>
      <w:r>
        <w:rPr>
          <w:spacing w:val="-3"/>
        </w:rPr>
        <w:t xml:space="preserve"> </w:t>
      </w:r>
      <w:r>
        <w:t>six</w:t>
      </w:r>
      <w:r>
        <w:rPr>
          <w:spacing w:val="-3"/>
        </w:rPr>
        <w:t xml:space="preserve"> </w:t>
      </w:r>
      <w:r>
        <w:t>receiverships,</w:t>
      </w:r>
      <w:r>
        <w:rPr>
          <w:spacing w:val="-3"/>
        </w:rPr>
        <w:t xml:space="preserve"> </w:t>
      </w:r>
      <w:r>
        <w:t>156</w:t>
      </w:r>
      <w:r>
        <w:rPr>
          <w:spacing w:val="-3"/>
        </w:rPr>
        <w:t xml:space="preserve"> </w:t>
      </w:r>
      <w:r>
        <w:t>trust</w:t>
      </w:r>
      <w:r>
        <w:rPr>
          <w:spacing w:val="-3"/>
        </w:rPr>
        <w:t xml:space="preserve"> </w:t>
      </w:r>
      <w:r>
        <w:t>account</w:t>
      </w:r>
      <w:r>
        <w:rPr>
          <w:spacing w:val="-3"/>
        </w:rPr>
        <w:t xml:space="preserve"> </w:t>
      </w:r>
      <w:r>
        <w:t>investigations and</w:t>
      </w:r>
      <w:r>
        <w:rPr>
          <w:spacing w:val="-4"/>
        </w:rPr>
        <w:t xml:space="preserve"> </w:t>
      </w:r>
      <w:r>
        <w:t>345</w:t>
      </w:r>
      <w:r>
        <w:rPr>
          <w:spacing w:val="-3"/>
        </w:rPr>
        <w:t xml:space="preserve"> </w:t>
      </w:r>
      <w:r>
        <w:t>trust</w:t>
      </w:r>
      <w:r>
        <w:rPr>
          <w:spacing w:val="-3"/>
        </w:rPr>
        <w:t xml:space="preserve"> </w:t>
      </w:r>
      <w:r>
        <w:t>account</w:t>
      </w:r>
      <w:r>
        <w:rPr>
          <w:spacing w:val="-3"/>
        </w:rPr>
        <w:t xml:space="preserve"> </w:t>
      </w:r>
      <w:r>
        <w:t>reviews</w:t>
      </w:r>
      <w:r>
        <w:rPr>
          <w:spacing w:val="-3"/>
        </w:rPr>
        <w:t xml:space="preserve"> </w:t>
      </w:r>
      <w:r>
        <w:t>with</w:t>
      </w:r>
      <w:r>
        <w:rPr>
          <w:spacing w:val="-3"/>
        </w:rPr>
        <w:t xml:space="preserve"> </w:t>
      </w:r>
      <w:r>
        <w:t>the</w:t>
      </w:r>
      <w:r>
        <w:rPr>
          <w:spacing w:val="-7"/>
        </w:rPr>
        <w:t xml:space="preserve"> </w:t>
      </w:r>
      <w:r>
        <w:t>Trust</w:t>
      </w:r>
      <w:r>
        <w:rPr>
          <w:spacing w:val="-14"/>
        </w:rPr>
        <w:t xml:space="preserve"> </w:t>
      </w:r>
      <w:r>
        <w:t>Account</w:t>
      </w:r>
      <w:r>
        <w:rPr>
          <w:spacing w:val="-3"/>
        </w:rPr>
        <w:t xml:space="preserve"> </w:t>
      </w:r>
      <w:r>
        <w:t>Consultancy</w:t>
      </w:r>
      <w:r>
        <w:rPr>
          <w:spacing w:val="-3"/>
        </w:rPr>
        <w:t xml:space="preserve"> </w:t>
      </w:r>
      <w:r>
        <w:t>Service</w:t>
      </w:r>
      <w:r>
        <w:rPr>
          <w:spacing w:val="-3"/>
        </w:rPr>
        <w:t xml:space="preserve"> </w:t>
      </w:r>
      <w:r>
        <w:t>answering</w:t>
      </w:r>
      <w:r>
        <w:rPr>
          <w:spacing w:val="-3"/>
        </w:rPr>
        <w:t xml:space="preserve"> </w:t>
      </w:r>
      <w:r>
        <w:t>4,768</w:t>
      </w:r>
      <w:r>
        <w:rPr>
          <w:spacing w:val="-3"/>
        </w:rPr>
        <w:t xml:space="preserve"> </w:t>
      </w:r>
      <w:r>
        <w:t xml:space="preserve">requests for assistance. More regulatory information can </w:t>
      </w:r>
      <w:proofErr w:type="gramStart"/>
      <w:r>
        <w:t>be found</w:t>
      </w:r>
      <w:proofErr w:type="gramEnd"/>
      <w:r>
        <w:t xml:space="preserve"> on page 50.</w:t>
      </w:r>
    </w:p>
    <w:p w14:paraId="6E2388EB" w14:textId="77777777" w:rsidR="00AC6F3C" w:rsidRDefault="00570E88">
      <w:pPr>
        <w:pStyle w:val="BodyText"/>
        <w:spacing w:before="173" w:line="249" w:lineRule="auto"/>
        <w:ind w:left="815" w:right="468"/>
      </w:pPr>
      <w:r>
        <w:t xml:space="preserve">One of the annual highlights is the privilege to travel the state meeting practitioners and firms and </w:t>
      </w:r>
      <w:proofErr w:type="spellStart"/>
      <w:r>
        <w:t>recognising</w:t>
      </w:r>
      <w:proofErr w:type="spellEnd"/>
      <w:r>
        <w:rPr>
          <w:spacing w:val="-1"/>
        </w:rPr>
        <w:t xml:space="preserve"> </w:t>
      </w:r>
      <w:r>
        <w:t>those</w:t>
      </w:r>
      <w:r>
        <w:rPr>
          <w:spacing w:val="-1"/>
        </w:rPr>
        <w:t xml:space="preserve"> </w:t>
      </w:r>
      <w:r>
        <w:t>members</w:t>
      </w:r>
      <w:r>
        <w:rPr>
          <w:spacing w:val="-1"/>
        </w:rPr>
        <w:t xml:space="preserve"> </w:t>
      </w:r>
      <w:r>
        <w:t>who</w:t>
      </w:r>
      <w:r>
        <w:rPr>
          <w:spacing w:val="-1"/>
        </w:rPr>
        <w:t xml:space="preserve"> </w:t>
      </w:r>
      <w:r>
        <w:t>have</w:t>
      </w:r>
      <w:r>
        <w:rPr>
          <w:spacing w:val="-1"/>
        </w:rPr>
        <w:t xml:space="preserve"> </w:t>
      </w:r>
      <w:r>
        <w:t>contributed</w:t>
      </w:r>
      <w:r>
        <w:rPr>
          <w:spacing w:val="-1"/>
        </w:rPr>
        <w:t xml:space="preserve"> </w:t>
      </w:r>
      <w:r>
        <w:t>significantly</w:t>
      </w:r>
      <w:r>
        <w:rPr>
          <w:spacing w:val="-1"/>
        </w:rPr>
        <w:t xml:space="preserve"> </w:t>
      </w:r>
      <w:r>
        <w:t>to</w:t>
      </w:r>
      <w:r>
        <w:rPr>
          <w:spacing w:val="-1"/>
        </w:rPr>
        <w:t xml:space="preserve"> </w:t>
      </w:r>
      <w:r>
        <w:t>the</w:t>
      </w:r>
      <w:r>
        <w:rPr>
          <w:spacing w:val="-1"/>
        </w:rPr>
        <w:t xml:space="preserve"> </w:t>
      </w:r>
      <w:r>
        <w:t>profession</w:t>
      </w:r>
      <w:r>
        <w:rPr>
          <w:spacing w:val="-1"/>
        </w:rPr>
        <w:t xml:space="preserve"> </w:t>
      </w:r>
      <w:r>
        <w:t>through</w:t>
      </w:r>
      <w:r>
        <w:rPr>
          <w:spacing w:val="-1"/>
        </w:rPr>
        <w:t xml:space="preserve"> </w:t>
      </w:r>
      <w:r>
        <w:t>their</w:t>
      </w:r>
      <w:r>
        <w:rPr>
          <w:spacing w:val="-1"/>
        </w:rPr>
        <w:t xml:space="preserve"> </w:t>
      </w:r>
      <w:r>
        <w:t>roles</w:t>
      </w:r>
      <w:r>
        <w:rPr>
          <w:spacing w:val="-1"/>
        </w:rPr>
        <w:t xml:space="preserve"> </w:t>
      </w:r>
      <w:r>
        <w:t>as accredited</w:t>
      </w:r>
      <w:r>
        <w:rPr>
          <w:spacing w:val="-3"/>
        </w:rPr>
        <w:t xml:space="preserve"> </w:t>
      </w:r>
      <w:r>
        <w:t>specialists,</w:t>
      </w:r>
      <w:r>
        <w:rPr>
          <w:spacing w:val="-3"/>
        </w:rPr>
        <w:t xml:space="preserve"> </w:t>
      </w:r>
      <w:r>
        <w:t>senior</w:t>
      </w:r>
      <w:r>
        <w:rPr>
          <w:spacing w:val="-3"/>
        </w:rPr>
        <w:t xml:space="preserve"> </w:t>
      </w:r>
      <w:r>
        <w:t>counsellors,</w:t>
      </w:r>
      <w:r>
        <w:rPr>
          <w:spacing w:val="-3"/>
        </w:rPr>
        <w:t xml:space="preserve"> </w:t>
      </w:r>
      <w:r>
        <w:t>members</w:t>
      </w:r>
      <w:r>
        <w:rPr>
          <w:spacing w:val="-3"/>
        </w:rPr>
        <w:t xml:space="preserve"> </w:t>
      </w:r>
      <w:r>
        <w:t>of</w:t>
      </w:r>
      <w:r>
        <w:rPr>
          <w:spacing w:val="-3"/>
        </w:rPr>
        <w:t xml:space="preserve"> </w:t>
      </w:r>
      <w:r>
        <w:t>committees</w:t>
      </w:r>
      <w:r>
        <w:rPr>
          <w:spacing w:val="-3"/>
        </w:rPr>
        <w:t xml:space="preserve"> </w:t>
      </w:r>
      <w:r>
        <w:t>and</w:t>
      </w:r>
      <w:r>
        <w:rPr>
          <w:spacing w:val="-3"/>
        </w:rPr>
        <w:t xml:space="preserve"> </w:t>
      </w:r>
      <w:r>
        <w:t>working</w:t>
      </w:r>
      <w:r>
        <w:rPr>
          <w:spacing w:val="-3"/>
        </w:rPr>
        <w:t xml:space="preserve"> </w:t>
      </w:r>
      <w:r>
        <w:t>groups,</w:t>
      </w:r>
      <w:r>
        <w:rPr>
          <w:spacing w:val="-3"/>
        </w:rPr>
        <w:t xml:space="preserve"> </w:t>
      </w:r>
      <w:r>
        <w:t>and</w:t>
      </w:r>
      <w:r>
        <w:rPr>
          <w:spacing w:val="-3"/>
        </w:rPr>
        <w:t xml:space="preserve"> </w:t>
      </w:r>
      <w:r>
        <w:t>of</w:t>
      </w:r>
      <w:r>
        <w:rPr>
          <w:spacing w:val="-3"/>
        </w:rPr>
        <w:t xml:space="preserve"> </w:t>
      </w:r>
      <w:r>
        <w:t>course those members who have reached milestones of 25 years and 50 years of service and membership. For a full list of those members who achieved milestones please refer to page 70.</w:t>
      </w:r>
    </w:p>
    <w:p w14:paraId="6448A15F" w14:textId="77777777" w:rsidR="00AC6F3C" w:rsidRDefault="00570E88">
      <w:pPr>
        <w:pStyle w:val="BodyText"/>
        <w:spacing w:before="174" w:line="249" w:lineRule="auto"/>
        <w:ind w:left="815" w:right="565"/>
        <w:jc w:val="both"/>
      </w:pPr>
      <w:proofErr w:type="gramStart"/>
      <w:r>
        <w:t>Personally</w:t>
      </w:r>
      <w:proofErr w:type="gramEnd"/>
      <w:r>
        <w:rPr>
          <w:spacing w:val="-6"/>
        </w:rPr>
        <w:t xml:space="preserve"> </w:t>
      </w:r>
      <w:r>
        <w:t>I</w:t>
      </w:r>
      <w:r>
        <w:rPr>
          <w:spacing w:val="-6"/>
        </w:rPr>
        <w:t xml:space="preserve"> </w:t>
      </w:r>
      <w:r>
        <w:t>was</w:t>
      </w:r>
      <w:r>
        <w:rPr>
          <w:spacing w:val="-6"/>
        </w:rPr>
        <w:t xml:space="preserve"> </w:t>
      </w:r>
      <w:r>
        <w:t>able</w:t>
      </w:r>
      <w:r>
        <w:rPr>
          <w:spacing w:val="-6"/>
        </w:rPr>
        <w:t xml:space="preserve"> </w:t>
      </w:r>
      <w:r>
        <w:t>to</w:t>
      </w:r>
      <w:r>
        <w:rPr>
          <w:spacing w:val="-6"/>
        </w:rPr>
        <w:t xml:space="preserve"> </w:t>
      </w:r>
      <w:r>
        <w:t>travel</w:t>
      </w:r>
      <w:r>
        <w:rPr>
          <w:spacing w:val="-6"/>
        </w:rPr>
        <w:t xml:space="preserve"> </w:t>
      </w:r>
      <w:r>
        <w:t>and</w:t>
      </w:r>
      <w:r>
        <w:rPr>
          <w:spacing w:val="-6"/>
        </w:rPr>
        <w:t xml:space="preserve"> </w:t>
      </w:r>
      <w:r>
        <w:t>work</w:t>
      </w:r>
      <w:r>
        <w:rPr>
          <w:spacing w:val="-6"/>
        </w:rPr>
        <w:t xml:space="preserve"> </w:t>
      </w:r>
      <w:r>
        <w:t>in</w:t>
      </w:r>
      <w:r>
        <w:rPr>
          <w:spacing w:val="-6"/>
        </w:rPr>
        <w:t xml:space="preserve"> </w:t>
      </w:r>
      <w:r>
        <w:t>Cairns,</w:t>
      </w:r>
      <w:r>
        <w:rPr>
          <w:spacing w:val="-9"/>
        </w:rPr>
        <w:t xml:space="preserve"> </w:t>
      </w:r>
      <w:r>
        <w:t>Townsville,</w:t>
      </w:r>
      <w:r>
        <w:rPr>
          <w:spacing w:val="-6"/>
        </w:rPr>
        <w:t xml:space="preserve"> </w:t>
      </w:r>
      <w:r>
        <w:t>Rockhampton,</w:t>
      </w:r>
      <w:r>
        <w:rPr>
          <w:spacing w:val="-9"/>
        </w:rPr>
        <w:t xml:space="preserve"> </w:t>
      </w:r>
      <w:r>
        <w:t>Yeppoon,</w:t>
      </w:r>
      <w:r>
        <w:rPr>
          <w:spacing w:val="-6"/>
        </w:rPr>
        <w:t xml:space="preserve"> </w:t>
      </w:r>
      <w:r>
        <w:t>the</w:t>
      </w:r>
      <w:r>
        <w:rPr>
          <w:spacing w:val="-6"/>
        </w:rPr>
        <w:t xml:space="preserve"> </w:t>
      </w:r>
      <w:r>
        <w:t xml:space="preserve">Sunshine Coast, Toowoomba, </w:t>
      </w:r>
      <w:proofErr w:type="spellStart"/>
      <w:r>
        <w:t>Goondiwindi</w:t>
      </w:r>
      <w:proofErr w:type="spellEnd"/>
      <w:r>
        <w:t xml:space="preserve"> and the Gold Coast during the year.</w:t>
      </w:r>
    </w:p>
    <w:p w14:paraId="5163990B" w14:textId="77777777" w:rsidR="00AC6F3C" w:rsidRDefault="00AC6F3C">
      <w:pPr>
        <w:spacing w:line="249" w:lineRule="auto"/>
        <w:jc w:val="both"/>
        <w:sectPr w:rsidR="00AC6F3C">
          <w:headerReference w:type="default" r:id="rId47"/>
          <w:footerReference w:type="default" r:id="rId48"/>
          <w:pgSz w:w="11910" w:h="16840"/>
          <w:pgMar w:top="980" w:right="1160" w:bottom="520" w:left="460" w:header="0" w:footer="336" w:gutter="0"/>
          <w:cols w:space="720"/>
        </w:sectPr>
      </w:pPr>
    </w:p>
    <w:p w14:paraId="74F32B89" w14:textId="77777777" w:rsidR="00AC6F3C" w:rsidRDefault="00570E88">
      <w:pPr>
        <w:pStyle w:val="BodyText"/>
        <w:spacing w:before="76"/>
        <w:ind w:left="815"/>
      </w:pPr>
      <w:r>
        <w:lastRenderedPageBreak/>
        <w:t>At</w:t>
      </w:r>
      <w:r>
        <w:rPr>
          <w:spacing w:val="-2"/>
        </w:rPr>
        <w:t xml:space="preserve"> </w:t>
      </w:r>
      <w:r>
        <w:t>the</w:t>
      </w:r>
      <w:r>
        <w:rPr>
          <w:spacing w:val="-2"/>
        </w:rPr>
        <w:t xml:space="preserve"> </w:t>
      </w:r>
      <w:r>
        <w:t>end</w:t>
      </w:r>
      <w:r>
        <w:rPr>
          <w:spacing w:val="-1"/>
        </w:rPr>
        <w:t xml:space="preserve"> </w:t>
      </w:r>
      <w:r>
        <w:t>of</w:t>
      </w:r>
      <w:r>
        <w:rPr>
          <w:spacing w:val="-2"/>
        </w:rPr>
        <w:t xml:space="preserve"> </w:t>
      </w:r>
      <w:r>
        <w:t>this</w:t>
      </w:r>
      <w:r>
        <w:rPr>
          <w:spacing w:val="-1"/>
        </w:rPr>
        <w:t xml:space="preserve"> </w:t>
      </w:r>
      <w:r>
        <w:t>report,</w:t>
      </w:r>
      <w:r>
        <w:rPr>
          <w:spacing w:val="-2"/>
        </w:rPr>
        <w:t xml:space="preserve"> </w:t>
      </w:r>
      <w:r>
        <w:t>our</w:t>
      </w:r>
      <w:r>
        <w:rPr>
          <w:spacing w:val="-1"/>
        </w:rPr>
        <w:t xml:space="preserve"> </w:t>
      </w:r>
      <w:r>
        <w:t>financial</w:t>
      </w:r>
      <w:r>
        <w:rPr>
          <w:spacing w:val="-2"/>
        </w:rPr>
        <w:t xml:space="preserve"> </w:t>
      </w:r>
      <w:r>
        <w:t>results</w:t>
      </w:r>
      <w:r>
        <w:rPr>
          <w:spacing w:val="-1"/>
        </w:rPr>
        <w:t xml:space="preserve"> </w:t>
      </w:r>
      <w:r>
        <w:t>for</w:t>
      </w:r>
      <w:r>
        <w:rPr>
          <w:spacing w:val="-2"/>
        </w:rPr>
        <w:t xml:space="preserve"> </w:t>
      </w:r>
      <w:r>
        <w:t>the</w:t>
      </w:r>
      <w:r>
        <w:rPr>
          <w:spacing w:val="-2"/>
        </w:rPr>
        <w:t xml:space="preserve"> </w:t>
      </w:r>
      <w:r>
        <w:t>year</w:t>
      </w:r>
      <w:r>
        <w:rPr>
          <w:spacing w:val="-1"/>
        </w:rPr>
        <w:t xml:space="preserve"> </w:t>
      </w:r>
      <w:proofErr w:type="gramStart"/>
      <w:r>
        <w:t>are</w:t>
      </w:r>
      <w:r>
        <w:rPr>
          <w:spacing w:val="-2"/>
        </w:rPr>
        <w:t xml:space="preserve"> </w:t>
      </w:r>
      <w:r>
        <w:t>presented</w:t>
      </w:r>
      <w:proofErr w:type="gramEnd"/>
      <w:r>
        <w:t>.</w:t>
      </w:r>
      <w:r>
        <w:rPr>
          <w:spacing w:val="-1"/>
        </w:rPr>
        <w:t xml:space="preserve"> </w:t>
      </w:r>
      <w:r>
        <w:t>We</w:t>
      </w:r>
      <w:r>
        <w:rPr>
          <w:spacing w:val="-2"/>
        </w:rPr>
        <w:t xml:space="preserve"> </w:t>
      </w:r>
      <w:r>
        <w:t>were</w:t>
      </w:r>
      <w:r>
        <w:rPr>
          <w:spacing w:val="-1"/>
        </w:rPr>
        <w:t xml:space="preserve"> </w:t>
      </w:r>
      <w:r>
        <w:t>able</w:t>
      </w:r>
      <w:r>
        <w:rPr>
          <w:spacing w:val="-2"/>
        </w:rPr>
        <w:t xml:space="preserve"> </w:t>
      </w:r>
      <w:r>
        <w:t>to</w:t>
      </w:r>
      <w:r>
        <w:rPr>
          <w:spacing w:val="-1"/>
        </w:rPr>
        <w:t xml:space="preserve"> </w:t>
      </w:r>
      <w:proofErr w:type="gramStart"/>
      <w:r>
        <w:rPr>
          <w:spacing w:val="-2"/>
        </w:rPr>
        <w:t>achieve</w:t>
      </w:r>
      <w:proofErr w:type="gramEnd"/>
    </w:p>
    <w:p w14:paraId="2FDA203B" w14:textId="77777777" w:rsidR="00AC6F3C" w:rsidRDefault="00570E88">
      <w:pPr>
        <w:pStyle w:val="BodyText"/>
        <w:spacing w:before="10" w:line="249" w:lineRule="auto"/>
        <w:ind w:left="815"/>
      </w:pPr>
      <w:r>
        <w:t>an underlying Operating Surplus of $594k which continues to maintain the Society in a strong financial position. The platform is now set for the future with the development of fit-for-purpose premises for members</w:t>
      </w:r>
      <w:r>
        <w:rPr>
          <w:spacing w:val="-4"/>
        </w:rPr>
        <w:t xml:space="preserve"> </w:t>
      </w:r>
      <w:r>
        <w:t>and</w:t>
      </w:r>
      <w:r>
        <w:rPr>
          <w:spacing w:val="-4"/>
        </w:rPr>
        <w:t xml:space="preserve"> </w:t>
      </w:r>
      <w:r>
        <w:t>staff</w:t>
      </w:r>
      <w:r>
        <w:rPr>
          <w:spacing w:val="-4"/>
        </w:rPr>
        <w:t xml:space="preserve"> </w:t>
      </w:r>
      <w:r>
        <w:t>of</w:t>
      </w:r>
      <w:r>
        <w:rPr>
          <w:spacing w:val="-4"/>
        </w:rPr>
        <w:t xml:space="preserve"> </w:t>
      </w:r>
      <w:r>
        <w:t>the</w:t>
      </w:r>
      <w:r>
        <w:rPr>
          <w:spacing w:val="-4"/>
        </w:rPr>
        <w:t xml:space="preserve"> </w:t>
      </w:r>
      <w:r>
        <w:t>Society,</w:t>
      </w:r>
      <w:r>
        <w:rPr>
          <w:spacing w:val="-4"/>
        </w:rPr>
        <w:t xml:space="preserve"> </w:t>
      </w:r>
      <w:r>
        <w:t>and</w:t>
      </w:r>
      <w:r>
        <w:rPr>
          <w:spacing w:val="-4"/>
        </w:rPr>
        <w:t xml:space="preserve"> </w:t>
      </w:r>
      <w:r>
        <w:t>with</w:t>
      </w:r>
      <w:r>
        <w:rPr>
          <w:spacing w:val="-4"/>
        </w:rPr>
        <w:t xml:space="preserve"> </w:t>
      </w:r>
      <w:r>
        <w:t>our</w:t>
      </w:r>
      <w:r>
        <w:rPr>
          <w:spacing w:val="-4"/>
        </w:rPr>
        <w:t xml:space="preserve"> </w:t>
      </w:r>
      <w:r>
        <w:t>investments</w:t>
      </w:r>
      <w:r>
        <w:rPr>
          <w:spacing w:val="-4"/>
        </w:rPr>
        <w:t xml:space="preserve"> </w:t>
      </w:r>
      <w:r>
        <w:t>into</w:t>
      </w:r>
      <w:r>
        <w:rPr>
          <w:spacing w:val="-4"/>
        </w:rPr>
        <w:t xml:space="preserve"> </w:t>
      </w:r>
      <w:r>
        <w:t>technology</w:t>
      </w:r>
      <w:r>
        <w:rPr>
          <w:spacing w:val="-4"/>
        </w:rPr>
        <w:t xml:space="preserve"> </w:t>
      </w:r>
      <w:r>
        <w:t>where</w:t>
      </w:r>
      <w:r>
        <w:rPr>
          <w:spacing w:val="-4"/>
        </w:rPr>
        <w:t xml:space="preserve"> </w:t>
      </w:r>
      <w:r>
        <w:t>there</w:t>
      </w:r>
      <w:r>
        <w:rPr>
          <w:spacing w:val="-4"/>
        </w:rPr>
        <w:t xml:space="preserve"> </w:t>
      </w:r>
      <w:r>
        <w:t>will</w:t>
      </w:r>
      <w:r>
        <w:rPr>
          <w:spacing w:val="-4"/>
        </w:rPr>
        <w:t xml:space="preserve"> </w:t>
      </w:r>
      <w:r>
        <w:t>be</w:t>
      </w:r>
      <w:r>
        <w:rPr>
          <w:spacing w:val="-4"/>
        </w:rPr>
        <w:t xml:space="preserve"> </w:t>
      </w:r>
      <w:r>
        <w:t>significant improvement and enhancements for the benefit of members. For more information on the financials,</w:t>
      </w:r>
    </w:p>
    <w:p w14:paraId="5E133BD7" w14:textId="77777777" w:rsidR="00AC6F3C" w:rsidRDefault="00570E88">
      <w:pPr>
        <w:pStyle w:val="BodyText"/>
        <w:spacing w:before="3"/>
        <w:ind w:left="815"/>
      </w:pPr>
      <w:r>
        <w:t>see</w:t>
      </w:r>
      <w:r>
        <w:rPr>
          <w:spacing w:val="-3"/>
        </w:rPr>
        <w:t xml:space="preserve"> </w:t>
      </w:r>
      <w:r>
        <w:t>page</w:t>
      </w:r>
      <w:r>
        <w:rPr>
          <w:spacing w:val="-2"/>
        </w:rPr>
        <w:t xml:space="preserve"> </w:t>
      </w:r>
      <w:r>
        <w:rPr>
          <w:spacing w:val="-5"/>
        </w:rPr>
        <w:t>97.</w:t>
      </w:r>
    </w:p>
    <w:p w14:paraId="22EBA117" w14:textId="77777777" w:rsidR="00AC6F3C" w:rsidRDefault="00570E88">
      <w:pPr>
        <w:pStyle w:val="BodyText"/>
        <w:spacing w:before="180" w:line="249" w:lineRule="auto"/>
        <w:ind w:left="815" w:right="234"/>
      </w:pPr>
      <w:r>
        <w:t xml:space="preserve">For a second time the QLS </w:t>
      </w:r>
      <w:proofErr w:type="gramStart"/>
      <w:r>
        <w:t>was awarded</w:t>
      </w:r>
      <w:proofErr w:type="gramEnd"/>
      <w:r>
        <w:t xml:space="preserve"> the citation for Employer of Choice for Gender Equality by the Workplace</w:t>
      </w:r>
      <w:r>
        <w:rPr>
          <w:spacing w:val="-3"/>
        </w:rPr>
        <w:t xml:space="preserve"> </w:t>
      </w:r>
      <w:r>
        <w:t>Gender</w:t>
      </w:r>
      <w:r>
        <w:rPr>
          <w:spacing w:val="-3"/>
        </w:rPr>
        <w:t xml:space="preserve"> </w:t>
      </w:r>
      <w:r>
        <w:t>Equality</w:t>
      </w:r>
      <w:r>
        <w:rPr>
          <w:spacing w:val="-13"/>
        </w:rPr>
        <w:t xml:space="preserve"> </w:t>
      </w:r>
      <w:r>
        <w:t>Agency</w:t>
      </w:r>
      <w:r>
        <w:rPr>
          <w:spacing w:val="-3"/>
        </w:rPr>
        <w:t xml:space="preserve"> </w:t>
      </w:r>
      <w:r>
        <w:t>–</w:t>
      </w:r>
      <w:r>
        <w:rPr>
          <w:spacing w:val="-3"/>
        </w:rPr>
        <w:t xml:space="preserve"> </w:t>
      </w:r>
      <w:r>
        <w:t>one</w:t>
      </w:r>
      <w:r>
        <w:rPr>
          <w:spacing w:val="-3"/>
        </w:rPr>
        <w:t xml:space="preserve"> </w:t>
      </w:r>
      <w:r>
        <w:t>of</w:t>
      </w:r>
      <w:r>
        <w:rPr>
          <w:spacing w:val="-3"/>
        </w:rPr>
        <w:t xml:space="preserve"> </w:t>
      </w:r>
      <w:r>
        <w:t>only</w:t>
      </w:r>
      <w:r>
        <w:rPr>
          <w:spacing w:val="-3"/>
        </w:rPr>
        <w:t xml:space="preserve"> </w:t>
      </w:r>
      <w:r>
        <w:t>127</w:t>
      </w:r>
      <w:r>
        <w:rPr>
          <w:spacing w:val="-3"/>
        </w:rPr>
        <w:t xml:space="preserve"> </w:t>
      </w:r>
      <w:proofErr w:type="spellStart"/>
      <w:r>
        <w:t>organisations</w:t>
      </w:r>
      <w:proofErr w:type="spellEnd"/>
      <w:r>
        <w:rPr>
          <w:spacing w:val="-3"/>
        </w:rPr>
        <w:t xml:space="preserve"> </w:t>
      </w:r>
      <w:r>
        <w:t>in</w:t>
      </w:r>
      <w:r>
        <w:rPr>
          <w:spacing w:val="-13"/>
        </w:rPr>
        <w:t xml:space="preserve"> </w:t>
      </w:r>
      <w:r>
        <w:t>Australia</w:t>
      </w:r>
      <w:r>
        <w:rPr>
          <w:spacing w:val="-3"/>
        </w:rPr>
        <w:t xml:space="preserve"> </w:t>
      </w:r>
      <w:r>
        <w:t>and</w:t>
      </w:r>
      <w:r>
        <w:rPr>
          <w:spacing w:val="-3"/>
        </w:rPr>
        <w:t xml:space="preserve"> </w:t>
      </w:r>
      <w:r>
        <w:t>the</w:t>
      </w:r>
      <w:r>
        <w:rPr>
          <w:spacing w:val="-3"/>
        </w:rPr>
        <w:t xml:space="preserve"> </w:t>
      </w:r>
      <w:r>
        <w:t>only</w:t>
      </w:r>
      <w:r>
        <w:rPr>
          <w:spacing w:val="-3"/>
        </w:rPr>
        <w:t xml:space="preserve"> </w:t>
      </w:r>
      <w:r>
        <w:t>law</w:t>
      </w:r>
      <w:r>
        <w:rPr>
          <w:spacing w:val="-3"/>
        </w:rPr>
        <w:t xml:space="preserve"> </w:t>
      </w:r>
      <w:r>
        <w:t>society in</w:t>
      </w:r>
      <w:r>
        <w:rPr>
          <w:spacing w:val="-7"/>
        </w:rPr>
        <w:t xml:space="preserve"> </w:t>
      </w:r>
      <w:r>
        <w:t>Australia.</w:t>
      </w:r>
    </w:p>
    <w:p w14:paraId="448FBE1B" w14:textId="77777777" w:rsidR="00AC6F3C" w:rsidRDefault="00570E88">
      <w:pPr>
        <w:pStyle w:val="BodyText"/>
        <w:spacing w:before="172" w:line="249" w:lineRule="auto"/>
        <w:ind w:left="815" w:right="990"/>
      </w:pPr>
      <w:r>
        <w:t xml:space="preserve">Again, it has been a privilege to </w:t>
      </w:r>
      <w:proofErr w:type="gramStart"/>
      <w:r>
        <w:t>work</w:t>
      </w:r>
      <w:proofErr w:type="gramEnd"/>
      <w:r>
        <w:t xml:space="preserve"> with the Council and the staff of the Society over the last 12</w:t>
      </w:r>
      <w:r>
        <w:rPr>
          <w:spacing w:val="-3"/>
        </w:rPr>
        <w:t xml:space="preserve"> </w:t>
      </w:r>
      <w:r>
        <w:t>months,</w:t>
      </w:r>
      <w:r>
        <w:rPr>
          <w:spacing w:val="-3"/>
        </w:rPr>
        <w:t xml:space="preserve"> </w:t>
      </w:r>
      <w:r>
        <w:t>together</w:t>
      </w:r>
      <w:r>
        <w:rPr>
          <w:spacing w:val="-3"/>
        </w:rPr>
        <w:t xml:space="preserve"> </w:t>
      </w:r>
      <w:r>
        <w:t>with</w:t>
      </w:r>
      <w:r>
        <w:rPr>
          <w:spacing w:val="-3"/>
        </w:rPr>
        <w:t xml:space="preserve"> </w:t>
      </w:r>
      <w:r>
        <w:t>our</w:t>
      </w:r>
      <w:r>
        <w:rPr>
          <w:spacing w:val="-3"/>
        </w:rPr>
        <w:t xml:space="preserve"> </w:t>
      </w:r>
      <w:r>
        <w:t>many</w:t>
      </w:r>
      <w:r>
        <w:rPr>
          <w:spacing w:val="-3"/>
        </w:rPr>
        <w:t xml:space="preserve"> </w:t>
      </w:r>
      <w:r>
        <w:t>stakeholders</w:t>
      </w:r>
      <w:r>
        <w:rPr>
          <w:spacing w:val="-3"/>
        </w:rPr>
        <w:t xml:space="preserve"> </w:t>
      </w:r>
      <w:r>
        <w:t>in</w:t>
      </w:r>
      <w:r>
        <w:rPr>
          <w:spacing w:val="-3"/>
        </w:rPr>
        <w:t xml:space="preserve"> </w:t>
      </w:r>
      <w:r>
        <w:t>our</w:t>
      </w:r>
      <w:r>
        <w:rPr>
          <w:spacing w:val="-3"/>
        </w:rPr>
        <w:t xml:space="preserve"> </w:t>
      </w:r>
      <w:r>
        <w:t>pursuit</w:t>
      </w:r>
      <w:r>
        <w:rPr>
          <w:spacing w:val="-3"/>
        </w:rPr>
        <w:t xml:space="preserve"> </w:t>
      </w:r>
      <w:r>
        <w:t>of</w:t>
      </w:r>
      <w:r>
        <w:rPr>
          <w:spacing w:val="-3"/>
        </w:rPr>
        <w:t xml:space="preserve"> </w:t>
      </w:r>
      <w:r>
        <w:t>good</w:t>
      </w:r>
      <w:r>
        <w:rPr>
          <w:spacing w:val="-3"/>
        </w:rPr>
        <w:t xml:space="preserve"> </w:t>
      </w:r>
      <w:r>
        <w:t>law,</w:t>
      </w:r>
      <w:r>
        <w:rPr>
          <w:spacing w:val="-3"/>
        </w:rPr>
        <w:t xml:space="preserve"> </w:t>
      </w:r>
      <w:r>
        <w:t>good</w:t>
      </w:r>
      <w:r>
        <w:rPr>
          <w:spacing w:val="-3"/>
        </w:rPr>
        <w:t xml:space="preserve"> </w:t>
      </w:r>
      <w:r>
        <w:t>lawyers</w:t>
      </w:r>
      <w:r>
        <w:rPr>
          <w:spacing w:val="-3"/>
        </w:rPr>
        <w:t xml:space="preserve"> </w:t>
      </w:r>
      <w:r>
        <w:t>for</w:t>
      </w:r>
      <w:r>
        <w:rPr>
          <w:spacing w:val="-3"/>
        </w:rPr>
        <w:t xml:space="preserve"> </w:t>
      </w:r>
      <w:r>
        <w:t>the public good.</w:t>
      </w:r>
    </w:p>
    <w:p w14:paraId="597CE7FA" w14:textId="77777777" w:rsidR="00AC6F3C" w:rsidRDefault="00AC6F3C">
      <w:pPr>
        <w:spacing w:line="249" w:lineRule="auto"/>
        <w:sectPr w:rsidR="00AC6F3C">
          <w:headerReference w:type="default" r:id="rId49"/>
          <w:footerReference w:type="default" r:id="rId50"/>
          <w:pgSz w:w="11910" w:h="16840"/>
          <w:pgMar w:top="1140" w:right="1160" w:bottom="520" w:left="460" w:header="0" w:footer="336" w:gutter="0"/>
          <w:cols w:space="720"/>
        </w:sectPr>
      </w:pPr>
    </w:p>
    <w:p w14:paraId="27DC3751"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4D4CE24A" wp14:editId="19920B66">
                <wp:extent cx="5940425" cy="25400"/>
                <wp:effectExtent l="19050" t="0" r="3175" b="317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224" name="Graphic 224"/>
                        <wps:cNvSpPr/>
                        <wps:spPr>
                          <a:xfrm>
                            <a:off x="0" y="1270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41F28E" id="Group 223"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">
                <v:shape id="Graphic 224"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" path="m,l5939993,e" filled="f" strokeweight="2pt">
                  <v:path arrowok="t"/>
                </v:shape>
                <w10:anchorlock/>
              </v:group>
            </w:pict>
          </mc:Fallback>
        </mc:AlternateContent>
      </w:r>
    </w:p>
    <w:p w14:paraId="4642DB91" w14:textId="77777777" w:rsidR="00AC6F3C" w:rsidRDefault="00570E88">
      <w:pPr>
        <w:pStyle w:val="Heading2"/>
      </w:pPr>
      <w:bookmarkStart w:id="21" w:name="Our_Council"/>
      <w:bookmarkStart w:id="22" w:name="QLS_Future_Leaders_Committee_(FLC)_Elect"/>
      <w:bookmarkStart w:id="23" w:name="_bookmark8"/>
      <w:bookmarkEnd w:id="21"/>
      <w:bookmarkEnd w:id="22"/>
      <w:bookmarkEnd w:id="23"/>
      <w:r>
        <w:t>Our</w:t>
      </w:r>
      <w:r>
        <w:rPr>
          <w:spacing w:val="-2"/>
        </w:rPr>
        <w:t xml:space="preserve"> Council</w:t>
      </w:r>
    </w:p>
    <w:p w14:paraId="0DEE2BE9" w14:textId="77777777" w:rsidR="00AC6F3C" w:rsidRDefault="00570E88">
      <w:pPr>
        <w:pStyle w:val="BodyText"/>
        <w:spacing w:before="299" w:line="249" w:lineRule="auto"/>
        <w:ind w:left="815" w:right="234"/>
      </w:pP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rPr>
          <w:i/>
        </w:rPr>
        <w:t>Legal</w:t>
      </w:r>
      <w:r>
        <w:rPr>
          <w:i/>
          <w:spacing w:val="-4"/>
        </w:rPr>
        <w:t xml:space="preserve"> </w:t>
      </w:r>
      <w:r>
        <w:rPr>
          <w:i/>
        </w:rPr>
        <w:t>Profession</w:t>
      </w:r>
      <w:r>
        <w:rPr>
          <w:i/>
          <w:spacing w:val="-11"/>
        </w:rPr>
        <w:t xml:space="preserve"> </w:t>
      </w:r>
      <w:r>
        <w:rPr>
          <w:i/>
        </w:rPr>
        <w:t>Act</w:t>
      </w:r>
      <w:r>
        <w:rPr>
          <w:i/>
          <w:spacing w:val="-4"/>
        </w:rPr>
        <w:t xml:space="preserve"> </w:t>
      </w:r>
      <w:r>
        <w:rPr>
          <w:i/>
        </w:rPr>
        <w:t>2007</w:t>
      </w:r>
      <w:r>
        <w:rPr>
          <w:i/>
          <w:spacing w:val="-4"/>
        </w:rPr>
        <w:t xml:space="preserve"> </w:t>
      </w:r>
      <w:r>
        <w:t>(LPA),</w:t>
      </w:r>
      <w:r>
        <w:rPr>
          <w:spacing w:val="-4"/>
        </w:rPr>
        <w:t xml:space="preserve"> </w:t>
      </w:r>
      <w:r>
        <w:t>Queensland</w:t>
      </w:r>
      <w:r>
        <w:rPr>
          <w:spacing w:val="-4"/>
        </w:rPr>
        <w:t xml:space="preserve"> </w:t>
      </w:r>
      <w:r>
        <w:t>Law</w:t>
      </w:r>
      <w:r>
        <w:rPr>
          <w:spacing w:val="-4"/>
        </w:rPr>
        <w:t xml:space="preserve"> </w:t>
      </w:r>
      <w:r>
        <w:t>Society</w:t>
      </w:r>
      <w:r>
        <w:rPr>
          <w:spacing w:val="-4"/>
        </w:rPr>
        <w:t xml:space="preserve"> </w:t>
      </w:r>
      <w:r>
        <w:t>Council</w:t>
      </w:r>
      <w:r>
        <w:rPr>
          <w:spacing w:val="-4"/>
        </w:rPr>
        <w:t xml:space="preserve"> </w:t>
      </w:r>
      <w:r>
        <w:t>is</w:t>
      </w:r>
      <w:r>
        <w:rPr>
          <w:spacing w:val="-4"/>
        </w:rPr>
        <w:t xml:space="preserve"> </w:t>
      </w:r>
      <w:r>
        <w:t>comprised of</w:t>
      </w:r>
      <w:r>
        <w:rPr>
          <w:spacing w:val="-2"/>
        </w:rPr>
        <w:t xml:space="preserve"> </w:t>
      </w:r>
      <w:proofErr w:type="gramStart"/>
      <w:r>
        <w:t>12</w:t>
      </w:r>
      <w:proofErr w:type="gramEnd"/>
      <w:r>
        <w:rPr>
          <w:spacing w:val="-2"/>
        </w:rPr>
        <w:t xml:space="preserve"> </w:t>
      </w:r>
      <w:r>
        <w:t>elected</w:t>
      </w:r>
      <w:r>
        <w:rPr>
          <w:spacing w:val="-2"/>
        </w:rPr>
        <w:t xml:space="preserve"> </w:t>
      </w:r>
      <w:r>
        <w:t>members:</w:t>
      </w:r>
      <w:r>
        <w:rPr>
          <w:spacing w:val="-2"/>
        </w:rPr>
        <w:t xml:space="preserve"> </w:t>
      </w:r>
      <w:r>
        <w:t>four</w:t>
      </w:r>
      <w:r>
        <w:rPr>
          <w:spacing w:val="-2"/>
        </w:rPr>
        <w:t xml:space="preserve"> </w:t>
      </w:r>
      <w:r>
        <w:t>office</w:t>
      </w:r>
      <w:r>
        <w:rPr>
          <w:spacing w:val="-2"/>
        </w:rPr>
        <w:t xml:space="preserve"> </w:t>
      </w:r>
      <w:r>
        <w:t>bearers</w:t>
      </w:r>
      <w:r>
        <w:rPr>
          <w:spacing w:val="-2"/>
        </w:rPr>
        <w:t xml:space="preserve"> </w:t>
      </w:r>
      <w:r>
        <w:t>(President,</w:t>
      </w:r>
      <w:r>
        <w:rPr>
          <w:spacing w:val="-2"/>
        </w:rPr>
        <w:t xml:space="preserve"> </w:t>
      </w:r>
      <w:r>
        <w:t>Deputy</w:t>
      </w:r>
      <w:r>
        <w:rPr>
          <w:spacing w:val="-2"/>
        </w:rPr>
        <w:t xml:space="preserve"> </w:t>
      </w:r>
      <w:r>
        <w:t>President,</w:t>
      </w:r>
      <w:r>
        <w:rPr>
          <w:spacing w:val="-2"/>
        </w:rPr>
        <w:t xml:space="preserve"> </w:t>
      </w:r>
      <w:r>
        <w:t>Vice</w:t>
      </w:r>
      <w:r>
        <w:rPr>
          <w:spacing w:val="-2"/>
        </w:rPr>
        <w:t xml:space="preserve"> </w:t>
      </w:r>
      <w:r>
        <w:t>President</w:t>
      </w:r>
      <w:r>
        <w:rPr>
          <w:spacing w:val="-2"/>
        </w:rPr>
        <w:t xml:space="preserve"> </w:t>
      </w:r>
      <w:r>
        <w:t>and</w:t>
      </w:r>
      <w:r>
        <w:rPr>
          <w:spacing w:val="-2"/>
        </w:rPr>
        <w:t xml:space="preserve"> </w:t>
      </w:r>
      <w:r>
        <w:t>Immediate Past President) and eight members and one appointed member, the</w:t>
      </w:r>
      <w:r>
        <w:rPr>
          <w:spacing w:val="-5"/>
        </w:rPr>
        <w:t xml:space="preserve"> </w:t>
      </w:r>
      <w:r>
        <w:t>Attorney-General’s appointed Council representative.</w:t>
      </w:r>
    </w:p>
    <w:p w14:paraId="05174225" w14:textId="77777777" w:rsidR="00AC6F3C" w:rsidRDefault="00570E88">
      <w:pPr>
        <w:pStyle w:val="BodyText"/>
        <w:spacing w:before="174" w:line="249" w:lineRule="auto"/>
        <w:ind w:left="815" w:right="256"/>
      </w:pPr>
      <w:r>
        <w:t>The</w:t>
      </w:r>
      <w:r>
        <w:rPr>
          <w:spacing w:val="-3"/>
        </w:rPr>
        <w:t xml:space="preserve"> </w:t>
      </w:r>
      <w:r>
        <w:t>Council</w:t>
      </w:r>
      <w:r>
        <w:rPr>
          <w:spacing w:val="-3"/>
        </w:rPr>
        <w:t xml:space="preserve"> </w:t>
      </w:r>
      <w:proofErr w:type="gramStart"/>
      <w:r>
        <w:t>is</w:t>
      </w:r>
      <w:r>
        <w:rPr>
          <w:spacing w:val="-3"/>
        </w:rPr>
        <w:t xml:space="preserve"> </w:t>
      </w:r>
      <w:r>
        <w:t>elected</w:t>
      </w:r>
      <w:proofErr w:type="gramEnd"/>
      <w:r>
        <w:rPr>
          <w:spacing w:val="-3"/>
        </w:rPr>
        <w:t xml:space="preserve"> </w:t>
      </w:r>
      <w:r>
        <w:t>for</w:t>
      </w:r>
      <w:r>
        <w:rPr>
          <w:spacing w:val="-3"/>
        </w:rPr>
        <w:t xml:space="preserve"> </w:t>
      </w:r>
      <w:r>
        <w:t>a</w:t>
      </w:r>
      <w:r>
        <w:rPr>
          <w:spacing w:val="-3"/>
        </w:rPr>
        <w:t xml:space="preserve"> </w:t>
      </w:r>
      <w:r>
        <w:t>two-year</w:t>
      </w:r>
      <w:r>
        <w:rPr>
          <w:spacing w:val="-3"/>
        </w:rPr>
        <w:t xml:space="preserve"> </w:t>
      </w:r>
      <w:r>
        <w:t>term.</w:t>
      </w:r>
      <w:r>
        <w:rPr>
          <w:spacing w:val="-6"/>
        </w:rPr>
        <w:t xml:space="preserve"> </w:t>
      </w:r>
      <w:r>
        <w:t>The</w:t>
      </w:r>
      <w:r>
        <w:rPr>
          <w:spacing w:val="-3"/>
        </w:rPr>
        <w:t xml:space="preserve"> </w:t>
      </w:r>
      <w:r>
        <w:t>President</w:t>
      </w:r>
      <w:r>
        <w:rPr>
          <w:spacing w:val="-3"/>
        </w:rPr>
        <w:t xml:space="preserve"> </w:t>
      </w:r>
      <w:proofErr w:type="gramStart"/>
      <w:r>
        <w:t>is</w:t>
      </w:r>
      <w:r>
        <w:rPr>
          <w:spacing w:val="-3"/>
        </w:rPr>
        <w:t xml:space="preserve"> </w:t>
      </w:r>
      <w:r>
        <w:t>elected</w:t>
      </w:r>
      <w:proofErr w:type="gramEnd"/>
      <w:r>
        <w:rPr>
          <w:spacing w:val="-3"/>
        </w:rPr>
        <w:t xml:space="preserve"> </w:t>
      </w:r>
      <w:r>
        <w:t>for</w:t>
      </w:r>
      <w:r>
        <w:rPr>
          <w:spacing w:val="-3"/>
        </w:rPr>
        <w:t xml:space="preserve"> </w:t>
      </w:r>
      <w:r>
        <w:t>a</w:t>
      </w:r>
      <w:r>
        <w:rPr>
          <w:spacing w:val="-3"/>
        </w:rPr>
        <w:t xml:space="preserve"> </w:t>
      </w:r>
      <w:r>
        <w:t>term</w:t>
      </w:r>
      <w:r>
        <w:rPr>
          <w:spacing w:val="-3"/>
        </w:rPr>
        <w:t xml:space="preserve"> </w:t>
      </w:r>
      <w:r>
        <w:t>of</w:t>
      </w:r>
      <w:r>
        <w:rPr>
          <w:spacing w:val="-3"/>
        </w:rPr>
        <w:t xml:space="preserve"> </w:t>
      </w:r>
      <w:r>
        <w:t>one</w:t>
      </w:r>
      <w:r>
        <w:rPr>
          <w:spacing w:val="-3"/>
        </w:rPr>
        <w:t xml:space="preserve"> </w:t>
      </w:r>
      <w:r>
        <w:t>year.</w:t>
      </w:r>
      <w:r>
        <w:rPr>
          <w:spacing w:val="-3"/>
        </w:rPr>
        <w:t xml:space="preserve"> </w:t>
      </w:r>
      <w:r>
        <w:t>In</w:t>
      </w:r>
      <w:r>
        <w:rPr>
          <w:spacing w:val="-3"/>
        </w:rPr>
        <w:t xml:space="preserve"> </w:t>
      </w:r>
      <w:r>
        <w:t>the</w:t>
      </w:r>
      <w:r>
        <w:rPr>
          <w:spacing w:val="-3"/>
        </w:rPr>
        <w:t xml:space="preserve"> </w:t>
      </w:r>
      <w:r>
        <w:t xml:space="preserve">second year of the Council’s term, the elected Deputy President succeeds to the office of President, and the term one President becomes the Immediate Past President. The Immediate Past President from term one retires from Council. This means there are no more than 13 Council members in the first year and 12 Council members in the second year of a Council term. The </w:t>
      </w:r>
      <w:r>
        <w:rPr>
          <w:i/>
        </w:rPr>
        <w:t xml:space="preserve">Legal Profession (Society) Rules 2007 </w:t>
      </w:r>
      <w:r>
        <w:t xml:space="preserve">(the Rules) sets out where there is a vacancy in an elected role, the position is to </w:t>
      </w:r>
      <w:proofErr w:type="gramStart"/>
      <w:r>
        <w:t>be filled</w:t>
      </w:r>
      <w:proofErr w:type="gramEnd"/>
      <w:r>
        <w:t xml:space="preserve"> in either an election by the membership or appointment by the Council in accordance with the Rules. The QLS Council election </w:t>
      </w:r>
      <w:proofErr w:type="gramStart"/>
      <w:r>
        <w:t>was held</w:t>
      </w:r>
      <w:proofErr w:type="gramEnd"/>
      <w:r>
        <w:t xml:space="preserve"> in September 2021, for the Council term beginning on 1 January 2022 and concluding on 31 December 2023. The next Council election will </w:t>
      </w:r>
      <w:proofErr w:type="gramStart"/>
      <w:r>
        <w:t>be held</w:t>
      </w:r>
      <w:proofErr w:type="gramEnd"/>
      <w:r>
        <w:t xml:space="preserve"> in September 2023.</w:t>
      </w:r>
    </w:p>
    <w:p w14:paraId="68513744" w14:textId="77777777" w:rsidR="00AC6F3C" w:rsidRDefault="00570E88">
      <w:pPr>
        <w:pStyle w:val="BodyText"/>
        <w:spacing w:before="177" w:line="249" w:lineRule="auto"/>
        <w:ind w:left="815" w:right="322"/>
      </w:pPr>
      <w:r>
        <w:t>Our Council is responsible for leadership and governance of QLS, including the setting and review of the strategic plan and operating performance as reported via the CEO. The Council is also responsible for</w:t>
      </w:r>
      <w:r>
        <w:rPr>
          <w:spacing w:val="-3"/>
        </w:rPr>
        <w:t xml:space="preserve"> </w:t>
      </w:r>
      <w:r>
        <w:t>approving</w:t>
      </w:r>
      <w:r>
        <w:rPr>
          <w:spacing w:val="-3"/>
        </w:rPr>
        <w:t xml:space="preserve"> </w:t>
      </w:r>
      <w:r>
        <w:t>the</w:t>
      </w:r>
      <w:r>
        <w:rPr>
          <w:spacing w:val="-3"/>
        </w:rPr>
        <w:t xml:space="preserve"> </w:t>
      </w:r>
      <w:r>
        <w:t>annual</w:t>
      </w:r>
      <w:r>
        <w:rPr>
          <w:spacing w:val="-3"/>
        </w:rPr>
        <w:t xml:space="preserve"> </w:t>
      </w:r>
      <w:r>
        <w:t>budget,</w:t>
      </w:r>
      <w:r>
        <w:rPr>
          <w:spacing w:val="-3"/>
        </w:rPr>
        <w:t xml:space="preserve"> </w:t>
      </w:r>
      <w:r>
        <w:t>overseeing</w:t>
      </w:r>
      <w:r>
        <w:rPr>
          <w:spacing w:val="-3"/>
        </w:rPr>
        <w:t xml:space="preserve"> </w:t>
      </w:r>
      <w:r>
        <w:t>the</w:t>
      </w:r>
      <w:r>
        <w:rPr>
          <w:spacing w:val="-3"/>
        </w:rPr>
        <w:t xml:space="preserve"> </w:t>
      </w:r>
      <w:proofErr w:type="gramStart"/>
      <w:r>
        <w:t>financial</w:t>
      </w:r>
      <w:r>
        <w:rPr>
          <w:spacing w:val="-3"/>
        </w:rPr>
        <w:t xml:space="preserve"> </w:t>
      </w:r>
      <w:r>
        <w:t>management</w:t>
      </w:r>
      <w:proofErr w:type="gramEnd"/>
      <w:r>
        <w:rPr>
          <w:spacing w:val="-3"/>
        </w:rPr>
        <w:t xml:space="preserve"> </w:t>
      </w:r>
      <w:r>
        <w:t>of</w:t>
      </w:r>
      <w:r>
        <w:rPr>
          <w:spacing w:val="-3"/>
        </w:rPr>
        <w:t xml:space="preserve"> </w:t>
      </w:r>
      <w:r>
        <w:t>QLS’s</w:t>
      </w:r>
      <w:r>
        <w:rPr>
          <w:spacing w:val="-3"/>
        </w:rPr>
        <w:t xml:space="preserve"> </w:t>
      </w:r>
      <w:r>
        <w:t>affairs</w:t>
      </w:r>
      <w:r>
        <w:rPr>
          <w:spacing w:val="-3"/>
        </w:rPr>
        <w:t xml:space="preserve"> </w:t>
      </w:r>
      <w:r>
        <w:t>and</w:t>
      </w:r>
      <w:r>
        <w:rPr>
          <w:spacing w:val="-3"/>
        </w:rPr>
        <w:t xml:space="preserve"> </w:t>
      </w:r>
      <w:r>
        <w:t>its</w:t>
      </w:r>
      <w:r>
        <w:rPr>
          <w:spacing w:val="-3"/>
        </w:rPr>
        <w:t xml:space="preserve"> </w:t>
      </w:r>
      <w:r>
        <w:t>statutory duties. Our Council ensures QLS meets the needs of, and represents, our legal profession.</w:t>
      </w:r>
    </w:p>
    <w:p w14:paraId="0EC223E4" w14:textId="77777777" w:rsidR="00AC6F3C" w:rsidRDefault="00570E88">
      <w:pPr>
        <w:pStyle w:val="BodyText"/>
        <w:spacing w:before="173" w:line="249" w:lineRule="auto"/>
        <w:ind w:left="815" w:right="468"/>
      </w:pPr>
      <w:r>
        <w:t xml:space="preserve">QLS’s long established core values of respect, integrity and service </w:t>
      </w:r>
      <w:proofErr w:type="gramStart"/>
      <w:r>
        <w:t>are embedded</w:t>
      </w:r>
      <w:proofErr w:type="gramEnd"/>
      <w:r>
        <w:t xml:space="preserve"> in our Code of Conduct and the Council Charter and set the standards for stakeholder engagement.</w:t>
      </w:r>
      <w:r>
        <w:rPr>
          <w:spacing w:val="-1"/>
        </w:rPr>
        <w:t xml:space="preserve"> </w:t>
      </w:r>
      <w:r>
        <w:t>The Council is committed</w:t>
      </w:r>
      <w:r>
        <w:rPr>
          <w:spacing w:val="-3"/>
        </w:rPr>
        <w:t xml:space="preserve"> </w:t>
      </w:r>
      <w:r>
        <w:t>to</w:t>
      </w:r>
      <w:r>
        <w:rPr>
          <w:spacing w:val="-3"/>
        </w:rPr>
        <w:t xml:space="preserve"> </w:t>
      </w:r>
      <w:r>
        <w:t>excellence</w:t>
      </w:r>
      <w:r>
        <w:rPr>
          <w:spacing w:val="-3"/>
        </w:rPr>
        <w:t xml:space="preserve"> </w:t>
      </w:r>
      <w:r>
        <w:t>in</w:t>
      </w:r>
      <w:r>
        <w:rPr>
          <w:spacing w:val="-3"/>
        </w:rPr>
        <w:t xml:space="preserve"> </w:t>
      </w:r>
      <w:r>
        <w:t>corporate</w:t>
      </w:r>
      <w:r>
        <w:rPr>
          <w:spacing w:val="-3"/>
        </w:rPr>
        <w:t xml:space="preserve"> </w:t>
      </w:r>
      <w:r>
        <w:t>governance</w:t>
      </w:r>
      <w:r>
        <w:rPr>
          <w:spacing w:val="-3"/>
        </w:rPr>
        <w:t xml:space="preserve"> </w:t>
      </w:r>
      <w:r>
        <w:t>and</w:t>
      </w:r>
      <w:r>
        <w:rPr>
          <w:spacing w:val="-3"/>
        </w:rPr>
        <w:t xml:space="preserve"> </w:t>
      </w:r>
      <w:r>
        <w:t>references</w:t>
      </w:r>
      <w:r>
        <w:rPr>
          <w:spacing w:val="-3"/>
        </w:rPr>
        <w:t xml:space="preserve"> </w:t>
      </w:r>
      <w:r>
        <w:t>the</w:t>
      </w:r>
      <w:r>
        <w:rPr>
          <w:spacing w:val="-13"/>
        </w:rPr>
        <w:t xml:space="preserve"> </w:t>
      </w:r>
      <w:r>
        <w:t>Australian</w:t>
      </w:r>
      <w:r>
        <w:rPr>
          <w:spacing w:val="-3"/>
        </w:rPr>
        <w:t xml:space="preserve"> </w:t>
      </w:r>
      <w:r>
        <w:t>Institute</w:t>
      </w:r>
      <w:r>
        <w:rPr>
          <w:spacing w:val="-3"/>
        </w:rPr>
        <w:t xml:space="preserve"> </w:t>
      </w:r>
      <w:r>
        <w:t>of</w:t>
      </w:r>
      <w:r>
        <w:rPr>
          <w:spacing w:val="-3"/>
        </w:rPr>
        <w:t xml:space="preserve"> </w:t>
      </w:r>
      <w:r>
        <w:t xml:space="preserve">Company Directors’ Good Governance Principles and Guidance for Not-for-profit </w:t>
      </w:r>
      <w:proofErr w:type="spellStart"/>
      <w:r>
        <w:t>Organisations</w:t>
      </w:r>
      <w:proofErr w:type="spellEnd"/>
      <w:r>
        <w:t>, and the</w:t>
      </w:r>
      <w:r>
        <w:rPr>
          <w:spacing w:val="-2"/>
        </w:rPr>
        <w:t xml:space="preserve"> </w:t>
      </w:r>
      <w:r>
        <w:t>ASX Corporate Governance Principles and Recommendations as its benchmarks and as key guidance resources for QLS’s corporate governance, with the Governance Committee considering and noting the updated 4th edition of the</w:t>
      </w:r>
      <w:r>
        <w:rPr>
          <w:spacing w:val="-4"/>
        </w:rPr>
        <w:t xml:space="preserve"> </w:t>
      </w:r>
      <w:r>
        <w:t>ASX Corporate Governance Principles and Recommendations in the discharge of its work.</w:t>
      </w:r>
    </w:p>
    <w:p w14:paraId="48E7A2CA" w14:textId="77777777" w:rsidR="00AC6F3C" w:rsidRDefault="00570E88">
      <w:pPr>
        <w:pStyle w:val="BodyText"/>
        <w:spacing w:before="177" w:line="249" w:lineRule="auto"/>
        <w:ind w:left="815"/>
      </w:pPr>
      <w:r>
        <w:t>The Council has delegated responsibility for management and day-to-day operations to QLS’s CEO, and the</w:t>
      </w:r>
      <w:r>
        <w:rPr>
          <w:spacing w:val="-3"/>
        </w:rPr>
        <w:t xml:space="preserve"> </w:t>
      </w:r>
      <w:r>
        <w:t>CEO</w:t>
      </w:r>
      <w:r>
        <w:rPr>
          <w:spacing w:val="-3"/>
        </w:rPr>
        <w:t xml:space="preserve"> </w:t>
      </w:r>
      <w:r>
        <w:t>has</w:t>
      </w:r>
      <w:r>
        <w:rPr>
          <w:spacing w:val="-3"/>
        </w:rPr>
        <w:t xml:space="preserve"> </w:t>
      </w:r>
      <w:r>
        <w:t>the</w:t>
      </w:r>
      <w:r>
        <w:rPr>
          <w:spacing w:val="-3"/>
        </w:rPr>
        <w:t xml:space="preserve"> </w:t>
      </w:r>
      <w:r>
        <w:t>authority</w:t>
      </w:r>
      <w:r>
        <w:rPr>
          <w:spacing w:val="-3"/>
        </w:rPr>
        <w:t xml:space="preserve"> </w:t>
      </w:r>
      <w:r>
        <w:t>to</w:t>
      </w:r>
      <w:r>
        <w:rPr>
          <w:spacing w:val="-3"/>
        </w:rPr>
        <w:t xml:space="preserve"> </w:t>
      </w:r>
      <w:proofErr w:type="gramStart"/>
      <w:r>
        <w:t>carry</w:t>
      </w:r>
      <w:r>
        <w:rPr>
          <w:spacing w:val="-3"/>
        </w:rPr>
        <w:t xml:space="preserve"> </w:t>
      </w:r>
      <w:r>
        <w:t>out</w:t>
      </w:r>
      <w:proofErr w:type="gramEnd"/>
      <w:r>
        <w:rPr>
          <w:spacing w:val="-3"/>
        </w:rPr>
        <w:t xml:space="preserve"> </w:t>
      </w:r>
      <w:r>
        <w:t>these</w:t>
      </w:r>
      <w:r>
        <w:rPr>
          <w:spacing w:val="-3"/>
        </w:rPr>
        <w:t xml:space="preserve"> </w:t>
      </w:r>
      <w:r>
        <w:t>responsibilities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directions</w:t>
      </w:r>
      <w:r>
        <w:rPr>
          <w:spacing w:val="-3"/>
        </w:rPr>
        <w:t xml:space="preserve"> </w:t>
      </w:r>
      <w:r>
        <w:t>and</w:t>
      </w:r>
      <w:r>
        <w:rPr>
          <w:spacing w:val="-3"/>
        </w:rPr>
        <w:t xml:space="preserve"> </w:t>
      </w:r>
      <w:r>
        <w:t xml:space="preserve">policies established by the Council. The CEO supports the Council in </w:t>
      </w:r>
      <w:proofErr w:type="gramStart"/>
      <w:r>
        <w:t>carrying out</w:t>
      </w:r>
      <w:proofErr w:type="gramEnd"/>
      <w:r>
        <w:t xml:space="preserve"> its governance functions and ensures that QLS operates in compliance with all statutory obligations.</w:t>
      </w:r>
    </w:p>
    <w:p w14:paraId="795D0BBA" w14:textId="77777777" w:rsidR="00AC6F3C" w:rsidRDefault="00AC6F3C">
      <w:pPr>
        <w:pStyle w:val="BodyText"/>
        <w:spacing w:before="7"/>
        <w:rPr>
          <w:sz w:val="32"/>
        </w:rPr>
      </w:pPr>
    </w:p>
    <w:p w14:paraId="0197D171" w14:textId="77777777" w:rsidR="00AC6F3C" w:rsidRDefault="00570E88">
      <w:pPr>
        <w:pStyle w:val="Heading3"/>
      </w:pPr>
      <w:r>
        <w:t>QLS</w:t>
      </w:r>
      <w:r>
        <w:rPr>
          <w:spacing w:val="-4"/>
        </w:rPr>
        <w:t xml:space="preserve"> </w:t>
      </w:r>
      <w:r>
        <w:t>Future</w:t>
      </w:r>
      <w:r>
        <w:rPr>
          <w:spacing w:val="-3"/>
        </w:rPr>
        <w:t xml:space="preserve"> </w:t>
      </w:r>
      <w:r>
        <w:t>Leaders</w:t>
      </w:r>
      <w:r>
        <w:rPr>
          <w:spacing w:val="-3"/>
        </w:rPr>
        <w:t xml:space="preserve"> </w:t>
      </w:r>
      <w:r>
        <w:t>Committee</w:t>
      </w:r>
      <w:r>
        <w:rPr>
          <w:spacing w:val="-3"/>
        </w:rPr>
        <w:t xml:space="preserve"> </w:t>
      </w:r>
      <w:r>
        <w:t>(FLC)</w:t>
      </w:r>
      <w:r>
        <w:rPr>
          <w:spacing w:val="-3"/>
        </w:rPr>
        <w:t xml:space="preserve"> </w:t>
      </w:r>
      <w:r>
        <w:t>Election</w:t>
      </w:r>
      <w:r>
        <w:rPr>
          <w:spacing w:val="-3"/>
        </w:rPr>
        <w:t xml:space="preserve"> </w:t>
      </w:r>
      <w:r>
        <w:rPr>
          <w:spacing w:val="-4"/>
        </w:rPr>
        <w:t>2023</w:t>
      </w:r>
    </w:p>
    <w:p w14:paraId="384A7AB2" w14:textId="77777777" w:rsidR="00AC6F3C" w:rsidRDefault="00570E88">
      <w:pPr>
        <w:pStyle w:val="BodyText"/>
        <w:spacing w:before="155" w:line="249" w:lineRule="auto"/>
        <w:ind w:left="815" w:right="337"/>
      </w:pPr>
      <w:r>
        <w:t>Our</w:t>
      </w:r>
      <w:r>
        <w:rPr>
          <w:spacing w:val="-3"/>
        </w:rPr>
        <w:t xml:space="preserve"> </w:t>
      </w:r>
      <w:r>
        <w:t>second</w:t>
      </w:r>
      <w:r>
        <w:rPr>
          <w:spacing w:val="-3"/>
        </w:rPr>
        <w:t xml:space="preserve"> </w:t>
      </w:r>
      <w:r>
        <w:t>Future</w:t>
      </w:r>
      <w:r>
        <w:rPr>
          <w:spacing w:val="-3"/>
        </w:rPr>
        <w:t xml:space="preserve"> </w:t>
      </w:r>
      <w:r>
        <w:t>Leaders</w:t>
      </w:r>
      <w:r>
        <w:rPr>
          <w:spacing w:val="-3"/>
        </w:rPr>
        <w:t xml:space="preserve"> </w:t>
      </w:r>
      <w:r>
        <w:t>Committee</w:t>
      </w:r>
      <w:r>
        <w:rPr>
          <w:spacing w:val="-3"/>
        </w:rPr>
        <w:t xml:space="preserve"> </w:t>
      </w:r>
      <w:r>
        <w:t>election</w:t>
      </w:r>
      <w:r>
        <w:rPr>
          <w:spacing w:val="-3"/>
        </w:rPr>
        <w:t xml:space="preserve"> </w:t>
      </w:r>
      <w:proofErr w:type="gramStart"/>
      <w:r>
        <w:t>was</w:t>
      </w:r>
      <w:r>
        <w:rPr>
          <w:spacing w:val="-3"/>
        </w:rPr>
        <w:t xml:space="preserve"> </w:t>
      </w:r>
      <w:r>
        <w:t>held</w:t>
      </w:r>
      <w:proofErr w:type="gramEnd"/>
      <w:r>
        <w:rPr>
          <w:spacing w:val="-3"/>
        </w:rPr>
        <w:t xml:space="preserve"> </w:t>
      </w:r>
      <w:r>
        <w:t>in</w:t>
      </w:r>
      <w:r>
        <w:rPr>
          <w:spacing w:val="-3"/>
        </w:rPr>
        <w:t xml:space="preserve"> </w:t>
      </w:r>
      <w:r>
        <w:t>February</w:t>
      </w:r>
      <w:r>
        <w:rPr>
          <w:spacing w:val="-3"/>
        </w:rPr>
        <w:t xml:space="preserve"> </w:t>
      </w:r>
      <w:r>
        <w:t>2023.</w:t>
      </w:r>
      <w:r>
        <w:rPr>
          <w:spacing w:val="-7"/>
        </w:rPr>
        <w:t xml:space="preserve"> </w:t>
      </w:r>
      <w:r>
        <w:t>The</w:t>
      </w:r>
      <w:r>
        <w:rPr>
          <w:spacing w:val="-3"/>
        </w:rPr>
        <w:t xml:space="preserve"> </w:t>
      </w:r>
      <w:r>
        <w:t>conduct</w:t>
      </w:r>
      <w:r>
        <w:rPr>
          <w:spacing w:val="-3"/>
        </w:rPr>
        <w:t xml:space="preserve"> </w:t>
      </w:r>
      <w:r>
        <w:t>of</w:t>
      </w:r>
      <w:r>
        <w:rPr>
          <w:spacing w:val="-3"/>
        </w:rPr>
        <w:t xml:space="preserve"> </w:t>
      </w:r>
      <w:r>
        <w:t>the</w:t>
      </w:r>
      <w:r>
        <w:rPr>
          <w:spacing w:val="-3"/>
        </w:rPr>
        <w:t xml:space="preserve"> </w:t>
      </w:r>
      <w:r>
        <w:t xml:space="preserve">election </w:t>
      </w:r>
      <w:proofErr w:type="gramStart"/>
      <w:r>
        <w:t>was governed</w:t>
      </w:r>
      <w:proofErr w:type="gramEnd"/>
      <w:r>
        <w:t xml:space="preserve"> by the Future Leaders Committee Charter and Election By-Laws, and for the first time the</w:t>
      </w:r>
      <w:r>
        <w:rPr>
          <w:spacing w:val="-2"/>
        </w:rPr>
        <w:t xml:space="preserve"> </w:t>
      </w:r>
      <w:r>
        <w:t>FLC</w:t>
      </w:r>
      <w:r>
        <w:rPr>
          <w:spacing w:val="-2"/>
        </w:rPr>
        <w:t xml:space="preserve"> </w:t>
      </w:r>
      <w:r>
        <w:t>election</w:t>
      </w:r>
      <w:r>
        <w:rPr>
          <w:spacing w:val="-2"/>
        </w:rPr>
        <w:t xml:space="preserve"> </w:t>
      </w:r>
      <w:r>
        <w:t>was</w:t>
      </w:r>
      <w:r>
        <w:rPr>
          <w:spacing w:val="-2"/>
        </w:rPr>
        <w:t xml:space="preserve"> </w:t>
      </w:r>
      <w:r>
        <w:t>conducted</w:t>
      </w:r>
      <w:r>
        <w:rPr>
          <w:spacing w:val="-2"/>
        </w:rPr>
        <w:t xml:space="preserve"> </w:t>
      </w:r>
      <w:r>
        <w:t>by</w:t>
      </w:r>
      <w:r>
        <w:rPr>
          <w:spacing w:val="-6"/>
        </w:rPr>
        <w:t xml:space="preserve"> </w:t>
      </w:r>
      <w:proofErr w:type="spellStart"/>
      <w:r>
        <w:t>TrueVote</w:t>
      </w:r>
      <w:proofErr w:type="spellEnd"/>
      <w:r>
        <w:rPr>
          <w:spacing w:val="-2"/>
        </w:rPr>
        <w:t xml:space="preserve"> </w:t>
      </w:r>
      <w:proofErr w:type="spellStart"/>
      <w:r>
        <w:t>utilising</w:t>
      </w:r>
      <w:proofErr w:type="spellEnd"/>
      <w:r>
        <w:rPr>
          <w:spacing w:val="-2"/>
        </w:rPr>
        <w:t xml:space="preserve"> </w:t>
      </w:r>
      <w:r>
        <w:t>their</w:t>
      </w:r>
      <w:r>
        <w:rPr>
          <w:spacing w:val="-2"/>
        </w:rPr>
        <w:t xml:space="preserve"> </w:t>
      </w:r>
      <w:r>
        <w:t>online</w:t>
      </w:r>
      <w:r>
        <w:rPr>
          <w:spacing w:val="-2"/>
        </w:rPr>
        <w:t xml:space="preserve"> </w:t>
      </w:r>
      <w:r>
        <w:t>e-election</w:t>
      </w:r>
      <w:r>
        <w:rPr>
          <w:spacing w:val="-2"/>
        </w:rPr>
        <w:t xml:space="preserve"> </w:t>
      </w:r>
      <w:r>
        <w:t>platform.</w:t>
      </w:r>
      <w:r>
        <w:rPr>
          <w:spacing w:val="-6"/>
        </w:rPr>
        <w:t xml:space="preserve"> </w:t>
      </w:r>
      <w:r>
        <w:t>There</w:t>
      </w:r>
      <w:r>
        <w:rPr>
          <w:spacing w:val="-2"/>
        </w:rPr>
        <w:t xml:space="preserve"> </w:t>
      </w:r>
      <w:r>
        <w:t>were</w:t>
      </w:r>
      <w:r>
        <w:rPr>
          <w:spacing w:val="-2"/>
        </w:rPr>
        <w:t xml:space="preserve"> </w:t>
      </w:r>
      <w:r>
        <w:t>4,902 (2020: 4,588) QLS members eligible to participate in the election, with the election held entirely online.</w:t>
      </w:r>
    </w:p>
    <w:p w14:paraId="1C51E3AC" w14:textId="77777777" w:rsidR="00AC6F3C" w:rsidRDefault="00570E88">
      <w:pPr>
        <w:pStyle w:val="BodyText"/>
        <w:spacing w:before="173" w:line="249" w:lineRule="auto"/>
        <w:ind w:left="815" w:right="307"/>
      </w:pPr>
      <w:r>
        <w:t>By the close of the election, 608 (2020: 954) voted.</w:t>
      </w:r>
      <w:r>
        <w:rPr>
          <w:spacing w:val="-2"/>
        </w:rPr>
        <w:t xml:space="preserve"> </w:t>
      </w:r>
      <w:r>
        <w:t>The FLC election was the first election transitioning to</w:t>
      </w:r>
      <w:r>
        <w:rPr>
          <w:spacing w:val="-4"/>
        </w:rPr>
        <w:t xml:space="preserve"> </w:t>
      </w:r>
      <w:r>
        <w:t>a</w:t>
      </w:r>
      <w:r>
        <w:rPr>
          <w:spacing w:val="-4"/>
        </w:rPr>
        <w:t xml:space="preserve"> </w:t>
      </w:r>
      <w:r>
        <w:t>new</w:t>
      </w:r>
      <w:r>
        <w:rPr>
          <w:spacing w:val="-4"/>
        </w:rPr>
        <w:t xml:space="preserve"> </w:t>
      </w:r>
      <w:r>
        <w:t>governance</w:t>
      </w:r>
      <w:r>
        <w:rPr>
          <w:spacing w:val="-4"/>
        </w:rPr>
        <w:t xml:space="preserve"> </w:t>
      </w:r>
      <w:r>
        <w:t>structure</w:t>
      </w:r>
      <w:r>
        <w:rPr>
          <w:spacing w:val="-4"/>
        </w:rPr>
        <w:t xml:space="preserve"> </w:t>
      </w:r>
      <w:r>
        <w:t>where</w:t>
      </w:r>
      <w:r>
        <w:rPr>
          <w:spacing w:val="-4"/>
        </w:rPr>
        <w:t xml:space="preserve"> </w:t>
      </w:r>
      <w:r>
        <w:t>members</w:t>
      </w:r>
      <w:r>
        <w:rPr>
          <w:spacing w:val="-4"/>
        </w:rPr>
        <w:t xml:space="preserve"> </w:t>
      </w:r>
      <w:r>
        <w:t>would</w:t>
      </w:r>
      <w:r>
        <w:rPr>
          <w:spacing w:val="-4"/>
        </w:rPr>
        <w:t xml:space="preserve"> </w:t>
      </w:r>
      <w:proofErr w:type="gramStart"/>
      <w:r>
        <w:t>be</w:t>
      </w:r>
      <w:r>
        <w:rPr>
          <w:spacing w:val="-4"/>
        </w:rPr>
        <w:t xml:space="preserve"> </w:t>
      </w:r>
      <w:r>
        <w:t>elected</w:t>
      </w:r>
      <w:proofErr w:type="gramEnd"/>
      <w:r>
        <w:rPr>
          <w:spacing w:val="-4"/>
        </w:rPr>
        <w:t xml:space="preserve"> </w:t>
      </w:r>
      <w:r>
        <w:t>and</w:t>
      </w:r>
      <w:r>
        <w:rPr>
          <w:spacing w:val="-4"/>
        </w:rPr>
        <w:t xml:space="preserve"> </w:t>
      </w:r>
      <w:r>
        <w:t>appointed</w:t>
      </w:r>
      <w:r>
        <w:rPr>
          <w:spacing w:val="-4"/>
        </w:rPr>
        <w:t xml:space="preserve"> </w:t>
      </w:r>
      <w:r>
        <w:t>annually.</w:t>
      </w:r>
      <w:r>
        <w:rPr>
          <w:spacing w:val="-14"/>
        </w:rPr>
        <w:t xml:space="preserve"> </w:t>
      </w:r>
      <w:r>
        <w:t>As</w:t>
      </w:r>
      <w:r>
        <w:rPr>
          <w:spacing w:val="-4"/>
        </w:rPr>
        <w:t xml:space="preserve"> </w:t>
      </w:r>
      <w:r>
        <w:t>such</w:t>
      </w:r>
      <w:r>
        <w:rPr>
          <w:spacing w:val="-4"/>
        </w:rPr>
        <w:t xml:space="preserve"> </w:t>
      </w:r>
      <w:r>
        <w:t xml:space="preserve">there were six vacancies (blue ordinary member) and 10 in 2020. The voting participation was 12.4% (2020: 20.79%) and the next election for six vacancies (silver ordinary) will be in February 2024. Our website received traffic throughout the election, with 3,239-3670 impressions </w:t>
      </w:r>
      <w:proofErr w:type="spellStart"/>
      <w:r>
        <w:t>utilising</w:t>
      </w:r>
      <w:proofErr w:type="spellEnd"/>
      <w:r>
        <w:t xml:space="preserve"> paid advertising across two posts and between 38-39% open rate across EDMs.</w:t>
      </w:r>
    </w:p>
    <w:p w14:paraId="0C97F6BC" w14:textId="77777777" w:rsidR="00AC6F3C" w:rsidRDefault="00AC6F3C">
      <w:pPr>
        <w:spacing w:line="249" w:lineRule="auto"/>
        <w:sectPr w:rsidR="00AC6F3C">
          <w:headerReference w:type="default" r:id="rId51"/>
          <w:footerReference w:type="default" r:id="rId52"/>
          <w:pgSz w:w="11910" w:h="16840"/>
          <w:pgMar w:top="980" w:right="1160" w:bottom="520" w:left="460" w:header="0" w:footer="336" w:gutter="0"/>
          <w:cols w:space="720"/>
        </w:sectPr>
      </w:pPr>
    </w:p>
    <w:p w14:paraId="3CE13515" w14:textId="77777777" w:rsidR="00AC6F3C" w:rsidRDefault="00570E88">
      <w:pPr>
        <w:spacing w:before="63"/>
        <w:ind w:left="815"/>
        <w:rPr>
          <w:b/>
          <w:sz w:val="26"/>
        </w:rPr>
      </w:pPr>
      <w:r>
        <w:rPr>
          <w:b/>
          <w:sz w:val="26"/>
        </w:rPr>
        <w:lastRenderedPageBreak/>
        <w:t>Council</w:t>
      </w:r>
      <w:r>
        <w:rPr>
          <w:b/>
          <w:spacing w:val="-4"/>
          <w:sz w:val="26"/>
        </w:rPr>
        <w:t xml:space="preserve"> </w:t>
      </w:r>
      <w:r>
        <w:rPr>
          <w:b/>
          <w:sz w:val="26"/>
        </w:rPr>
        <w:t>sub-</w:t>
      </w:r>
      <w:r>
        <w:rPr>
          <w:b/>
          <w:spacing w:val="-2"/>
          <w:sz w:val="26"/>
        </w:rPr>
        <w:t>committees</w:t>
      </w:r>
    </w:p>
    <w:p w14:paraId="26BE359B" w14:textId="77777777" w:rsidR="00AC6F3C" w:rsidRDefault="00570E88">
      <w:pPr>
        <w:pStyle w:val="BodyText"/>
        <w:spacing w:before="167" w:line="249" w:lineRule="auto"/>
        <w:ind w:left="815" w:right="539"/>
      </w:pPr>
      <w:r>
        <w:t>QLS Council has delegated a range of its powers to committees to ensure the efficient management of</w:t>
      </w:r>
      <w:r>
        <w:rPr>
          <w:spacing w:val="-3"/>
        </w:rPr>
        <w:t xml:space="preserve"> </w:t>
      </w:r>
      <w:r>
        <w:t>QLS’s</w:t>
      </w:r>
      <w:r>
        <w:rPr>
          <w:spacing w:val="-3"/>
        </w:rPr>
        <w:t xml:space="preserve"> </w:t>
      </w:r>
      <w:r>
        <w:t>responsibilities.</w:t>
      </w:r>
      <w:r>
        <w:rPr>
          <w:spacing w:val="-3"/>
        </w:rPr>
        <w:t xml:space="preserve"> </w:t>
      </w:r>
      <w:r>
        <w:t>It</w:t>
      </w:r>
      <w:r>
        <w:rPr>
          <w:spacing w:val="-3"/>
        </w:rPr>
        <w:t xml:space="preserve"> </w:t>
      </w:r>
      <w:r>
        <w:t>operates</w:t>
      </w:r>
      <w:r>
        <w:rPr>
          <w:spacing w:val="-3"/>
        </w:rPr>
        <w:t xml:space="preserve"> </w:t>
      </w:r>
      <w:r>
        <w:t>three</w:t>
      </w:r>
      <w:r>
        <w:rPr>
          <w:spacing w:val="-3"/>
        </w:rPr>
        <w:t xml:space="preserve"> </w:t>
      </w:r>
      <w:r>
        <w:t>well-established</w:t>
      </w:r>
      <w:r>
        <w:rPr>
          <w:spacing w:val="-3"/>
        </w:rPr>
        <w:t xml:space="preserve"> </w:t>
      </w:r>
      <w:r>
        <w:t>subcommittees</w:t>
      </w:r>
      <w:r>
        <w:rPr>
          <w:spacing w:val="-3"/>
        </w:rPr>
        <w:t xml:space="preserve"> </w:t>
      </w:r>
      <w:r>
        <w:t>to</w:t>
      </w:r>
      <w:r>
        <w:rPr>
          <w:spacing w:val="-3"/>
        </w:rPr>
        <w:t xml:space="preserve"> </w:t>
      </w:r>
      <w:r>
        <w:t>help</w:t>
      </w:r>
      <w:r>
        <w:rPr>
          <w:spacing w:val="-3"/>
        </w:rPr>
        <w:t xml:space="preserve"> </w:t>
      </w:r>
      <w:r>
        <w:t>it</w:t>
      </w:r>
      <w:r>
        <w:rPr>
          <w:spacing w:val="-3"/>
        </w:rPr>
        <w:t xml:space="preserve"> </w:t>
      </w:r>
      <w:proofErr w:type="gramStart"/>
      <w:r>
        <w:t>carry</w:t>
      </w:r>
      <w:r>
        <w:rPr>
          <w:spacing w:val="-3"/>
        </w:rPr>
        <w:t xml:space="preserve"> </w:t>
      </w:r>
      <w:r>
        <w:t>out</w:t>
      </w:r>
      <w:proofErr w:type="gramEnd"/>
      <w:r>
        <w:rPr>
          <w:spacing w:val="-3"/>
        </w:rPr>
        <w:t xml:space="preserve"> </w:t>
      </w:r>
      <w:r>
        <w:t>its</w:t>
      </w:r>
      <w:r>
        <w:rPr>
          <w:spacing w:val="-3"/>
        </w:rPr>
        <w:t xml:space="preserve"> </w:t>
      </w:r>
      <w:r>
        <w:t xml:space="preserve">core </w:t>
      </w:r>
      <w:r>
        <w:rPr>
          <w:spacing w:val="-2"/>
        </w:rPr>
        <w:t>business:</w:t>
      </w:r>
    </w:p>
    <w:p w14:paraId="6A1B4004" w14:textId="77777777" w:rsidR="00AC6F3C" w:rsidRDefault="00570E88">
      <w:pPr>
        <w:pStyle w:val="ListParagraph"/>
        <w:numPr>
          <w:ilvl w:val="0"/>
          <w:numId w:val="59"/>
        </w:numPr>
        <w:tabs>
          <w:tab w:val="left" w:pos="1153"/>
          <w:tab w:val="left" w:pos="1155"/>
        </w:tabs>
        <w:spacing w:before="173" w:line="249" w:lineRule="auto"/>
        <w:ind w:right="380"/>
        <w:rPr>
          <w:sz w:val="20"/>
        </w:rPr>
      </w:pPr>
      <w:r>
        <w:rPr>
          <w:b/>
          <w:sz w:val="20"/>
        </w:rPr>
        <w:t>Executive</w:t>
      </w:r>
      <w:r>
        <w:rPr>
          <w:b/>
          <w:spacing w:val="-4"/>
          <w:sz w:val="20"/>
        </w:rPr>
        <w:t xml:space="preserve"> </w:t>
      </w:r>
      <w:r>
        <w:rPr>
          <w:b/>
          <w:sz w:val="20"/>
        </w:rPr>
        <w:t>Committee:</w:t>
      </w:r>
      <w:r>
        <w:rPr>
          <w:b/>
          <w:spacing w:val="-4"/>
          <w:sz w:val="20"/>
        </w:rPr>
        <w:t xml:space="preserve"> </w:t>
      </w:r>
      <w:r>
        <w:rPr>
          <w:sz w:val="20"/>
        </w:rPr>
        <w:t>Makes</w:t>
      </w:r>
      <w:r>
        <w:rPr>
          <w:spacing w:val="-4"/>
          <w:sz w:val="20"/>
        </w:rPr>
        <w:t xml:space="preserve"> </w:t>
      </w:r>
      <w:r>
        <w:rPr>
          <w:sz w:val="20"/>
        </w:rPr>
        <w:t>decisions</w:t>
      </w:r>
      <w:r>
        <w:rPr>
          <w:spacing w:val="-4"/>
          <w:sz w:val="20"/>
        </w:rPr>
        <w:t xml:space="preserve"> </w:t>
      </w:r>
      <w:r>
        <w:rPr>
          <w:sz w:val="20"/>
        </w:rPr>
        <w:t>on</w:t>
      </w:r>
      <w:r>
        <w:rPr>
          <w:spacing w:val="-4"/>
          <w:sz w:val="20"/>
        </w:rPr>
        <w:t xml:space="preserve"> </w:t>
      </w:r>
      <w:proofErr w:type="spellStart"/>
      <w:r>
        <w:rPr>
          <w:sz w:val="20"/>
        </w:rPr>
        <w:t>practising</w:t>
      </w:r>
      <w:proofErr w:type="spellEnd"/>
      <w:r>
        <w:rPr>
          <w:spacing w:val="-4"/>
          <w:sz w:val="20"/>
        </w:rPr>
        <w:t xml:space="preserve"> </w:t>
      </w:r>
      <w:r>
        <w:rPr>
          <w:sz w:val="20"/>
        </w:rPr>
        <w:t>certificate</w:t>
      </w:r>
      <w:r>
        <w:rPr>
          <w:spacing w:val="-4"/>
          <w:sz w:val="20"/>
        </w:rPr>
        <w:t xml:space="preserve"> </w:t>
      </w:r>
      <w:r>
        <w:rPr>
          <w:sz w:val="20"/>
        </w:rPr>
        <w:t>matters,</w:t>
      </w:r>
      <w:r>
        <w:rPr>
          <w:spacing w:val="-4"/>
          <w:sz w:val="20"/>
        </w:rPr>
        <w:t xml:space="preserve"> </w:t>
      </w:r>
      <w:r>
        <w:rPr>
          <w:sz w:val="20"/>
        </w:rPr>
        <w:t>external</w:t>
      </w:r>
      <w:r>
        <w:rPr>
          <w:spacing w:val="-4"/>
          <w:sz w:val="20"/>
        </w:rPr>
        <w:t xml:space="preserve"> </w:t>
      </w:r>
      <w:r>
        <w:rPr>
          <w:sz w:val="20"/>
        </w:rPr>
        <w:t>intervention</w:t>
      </w:r>
      <w:r>
        <w:rPr>
          <w:spacing w:val="-4"/>
          <w:sz w:val="20"/>
        </w:rPr>
        <w:t xml:space="preserve"> </w:t>
      </w:r>
      <w:r>
        <w:rPr>
          <w:sz w:val="20"/>
        </w:rPr>
        <w:t>and related occupational matters arising under the LPA, has delegated decision-making and considers operational matters, including QLS committee appointments and resignations where required.</w:t>
      </w:r>
    </w:p>
    <w:p w14:paraId="3273C8F3" w14:textId="77777777" w:rsidR="00AC6F3C" w:rsidRDefault="00570E88">
      <w:pPr>
        <w:pStyle w:val="ListParagraph"/>
        <w:numPr>
          <w:ilvl w:val="0"/>
          <w:numId w:val="59"/>
        </w:numPr>
        <w:tabs>
          <w:tab w:val="left" w:pos="1153"/>
          <w:tab w:val="left" w:pos="1155"/>
        </w:tabs>
        <w:spacing w:before="172" w:line="249" w:lineRule="auto"/>
        <w:ind w:right="391"/>
        <w:rPr>
          <w:sz w:val="20"/>
        </w:rPr>
      </w:pPr>
      <w:r>
        <w:rPr>
          <w:b/>
          <w:sz w:val="20"/>
        </w:rPr>
        <w:t>Finance</w:t>
      </w:r>
      <w:r>
        <w:rPr>
          <w:b/>
          <w:spacing w:val="-3"/>
          <w:sz w:val="20"/>
        </w:rPr>
        <w:t xml:space="preserve"> </w:t>
      </w:r>
      <w:r>
        <w:rPr>
          <w:b/>
          <w:sz w:val="20"/>
        </w:rPr>
        <w:t>and</w:t>
      </w:r>
      <w:r>
        <w:rPr>
          <w:b/>
          <w:spacing w:val="-3"/>
          <w:sz w:val="20"/>
        </w:rPr>
        <w:t xml:space="preserve"> </w:t>
      </w:r>
      <w:r>
        <w:rPr>
          <w:b/>
          <w:sz w:val="20"/>
        </w:rPr>
        <w:t>Risk</w:t>
      </w:r>
      <w:r>
        <w:rPr>
          <w:b/>
          <w:spacing w:val="-3"/>
          <w:sz w:val="20"/>
        </w:rPr>
        <w:t xml:space="preserve"> </w:t>
      </w:r>
      <w:r>
        <w:rPr>
          <w:b/>
          <w:sz w:val="20"/>
        </w:rPr>
        <w:t>Committee</w:t>
      </w:r>
      <w:r>
        <w:rPr>
          <w:b/>
          <w:spacing w:val="-3"/>
          <w:sz w:val="20"/>
        </w:rPr>
        <w:t xml:space="preserve"> </w:t>
      </w:r>
      <w:r>
        <w:rPr>
          <w:b/>
          <w:sz w:val="20"/>
        </w:rPr>
        <w:t>(FRC):</w:t>
      </w:r>
      <w:r>
        <w:rPr>
          <w:b/>
          <w:spacing w:val="-3"/>
          <w:sz w:val="20"/>
        </w:rPr>
        <w:t xml:space="preserve"> </w:t>
      </w:r>
      <w:r>
        <w:rPr>
          <w:sz w:val="20"/>
        </w:rPr>
        <w:t>Responsible</w:t>
      </w:r>
      <w:r>
        <w:rPr>
          <w:spacing w:val="-3"/>
          <w:sz w:val="20"/>
        </w:rPr>
        <w:t xml:space="preserve"> </w:t>
      </w:r>
      <w:r>
        <w:rPr>
          <w:sz w:val="20"/>
        </w:rPr>
        <w:t>for</w:t>
      </w:r>
      <w:r>
        <w:rPr>
          <w:spacing w:val="-3"/>
          <w:sz w:val="20"/>
        </w:rPr>
        <w:t xml:space="preserve"> </w:t>
      </w:r>
      <w:r>
        <w:rPr>
          <w:sz w:val="20"/>
        </w:rPr>
        <w:t>overseeing</w:t>
      </w:r>
      <w:r>
        <w:rPr>
          <w:spacing w:val="-3"/>
          <w:sz w:val="20"/>
        </w:rPr>
        <w:t xml:space="preserve"> </w:t>
      </w:r>
      <w:r>
        <w:rPr>
          <w:sz w:val="20"/>
        </w:rPr>
        <w:t>and</w:t>
      </w:r>
      <w:r>
        <w:rPr>
          <w:spacing w:val="-3"/>
          <w:sz w:val="20"/>
        </w:rPr>
        <w:t xml:space="preserve"> </w:t>
      </w:r>
      <w:r>
        <w:rPr>
          <w:sz w:val="20"/>
        </w:rPr>
        <w:t>ensuring</w:t>
      </w:r>
      <w:r>
        <w:rPr>
          <w:spacing w:val="-3"/>
          <w:sz w:val="20"/>
        </w:rPr>
        <w:t xml:space="preserve"> </w:t>
      </w:r>
      <w:r>
        <w:rPr>
          <w:sz w:val="20"/>
        </w:rPr>
        <w:t>the</w:t>
      </w:r>
      <w:r>
        <w:rPr>
          <w:spacing w:val="-3"/>
          <w:sz w:val="20"/>
        </w:rPr>
        <w:t xml:space="preserve"> </w:t>
      </w:r>
      <w:r>
        <w:rPr>
          <w:sz w:val="20"/>
        </w:rPr>
        <w:t>integrity</w:t>
      </w:r>
      <w:r>
        <w:rPr>
          <w:spacing w:val="-3"/>
          <w:sz w:val="20"/>
        </w:rPr>
        <w:t xml:space="preserve"> </w:t>
      </w:r>
      <w:r>
        <w:rPr>
          <w:sz w:val="20"/>
        </w:rPr>
        <w:t>of</w:t>
      </w:r>
      <w:r>
        <w:rPr>
          <w:spacing w:val="-3"/>
          <w:sz w:val="20"/>
        </w:rPr>
        <w:t xml:space="preserve"> </w:t>
      </w:r>
      <w:r>
        <w:rPr>
          <w:sz w:val="20"/>
        </w:rPr>
        <w:t>the financial</w:t>
      </w:r>
      <w:r>
        <w:rPr>
          <w:spacing w:val="-1"/>
          <w:sz w:val="20"/>
        </w:rPr>
        <w:t xml:space="preserve"> </w:t>
      </w:r>
      <w:r>
        <w:rPr>
          <w:sz w:val="20"/>
        </w:rPr>
        <w:t>reporting</w:t>
      </w:r>
      <w:r>
        <w:rPr>
          <w:spacing w:val="-1"/>
          <w:sz w:val="20"/>
        </w:rPr>
        <w:t xml:space="preserve"> </w:t>
      </w:r>
      <w:r>
        <w:rPr>
          <w:sz w:val="20"/>
        </w:rPr>
        <w:t>process,</w:t>
      </w:r>
      <w:r>
        <w:rPr>
          <w:spacing w:val="-1"/>
          <w:sz w:val="20"/>
        </w:rPr>
        <w:t xml:space="preserve"> </w:t>
      </w:r>
      <w:r>
        <w:rPr>
          <w:sz w:val="20"/>
        </w:rPr>
        <w:t>monitoring</w:t>
      </w:r>
      <w:r>
        <w:rPr>
          <w:spacing w:val="-1"/>
          <w:sz w:val="20"/>
        </w:rPr>
        <w:t xml:space="preserve"> </w:t>
      </w:r>
      <w:r>
        <w:rPr>
          <w:sz w:val="20"/>
        </w:rPr>
        <w:t>the</w:t>
      </w:r>
      <w:r>
        <w:rPr>
          <w:spacing w:val="-1"/>
          <w:sz w:val="20"/>
        </w:rPr>
        <w:t xml:space="preserve"> </w:t>
      </w:r>
      <w:r>
        <w:rPr>
          <w:sz w:val="20"/>
        </w:rPr>
        <w:t>QLS’s</w:t>
      </w:r>
      <w:r>
        <w:rPr>
          <w:spacing w:val="-1"/>
          <w:sz w:val="20"/>
        </w:rPr>
        <w:t xml:space="preserve"> </w:t>
      </w:r>
      <w:r>
        <w:rPr>
          <w:sz w:val="20"/>
        </w:rPr>
        <w:t>risk</w:t>
      </w:r>
      <w:r>
        <w:rPr>
          <w:spacing w:val="-1"/>
          <w:sz w:val="20"/>
        </w:rPr>
        <w:t xml:space="preserve"> </w:t>
      </w:r>
      <w:r>
        <w:rPr>
          <w:sz w:val="20"/>
        </w:rPr>
        <w:t>management</w:t>
      </w:r>
      <w:r>
        <w:rPr>
          <w:spacing w:val="-1"/>
          <w:sz w:val="20"/>
        </w:rPr>
        <w:t xml:space="preserve"> </w:t>
      </w:r>
      <w:r>
        <w:rPr>
          <w:sz w:val="20"/>
        </w:rPr>
        <w:t>framework,</w:t>
      </w:r>
      <w:r>
        <w:rPr>
          <w:spacing w:val="-1"/>
          <w:sz w:val="20"/>
        </w:rPr>
        <w:t xml:space="preserve"> </w:t>
      </w:r>
      <w:r>
        <w:rPr>
          <w:sz w:val="20"/>
        </w:rPr>
        <w:t>and</w:t>
      </w:r>
      <w:r>
        <w:rPr>
          <w:spacing w:val="-1"/>
          <w:sz w:val="20"/>
        </w:rPr>
        <w:t xml:space="preserve"> </w:t>
      </w:r>
      <w:r>
        <w:rPr>
          <w:sz w:val="20"/>
        </w:rPr>
        <w:t>overseeing</w:t>
      </w:r>
      <w:r>
        <w:rPr>
          <w:spacing w:val="-1"/>
          <w:sz w:val="20"/>
        </w:rPr>
        <w:t xml:space="preserve"> </w:t>
      </w:r>
      <w:r>
        <w:rPr>
          <w:sz w:val="20"/>
        </w:rPr>
        <w:t>the responsible investment of surplus funds in accordance with QLS’s investment policies as well as overseeing the QLS’s insurances.</w:t>
      </w:r>
    </w:p>
    <w:p w14:paraId="1EF0D08C" w14:textId="77777777" w:rsidR="00AC6F3C" w:rsidRDefault="00570E88">
      <w:pPr>
        <w:pStyle w:val="ListParagraph"/>
        <w:numPr>
          <w:ilvl w:val="0"/>
          <w:numId w:val="59"/>
        </w:numPr>
        <w:tabs>
          <w:tab w:val="left" w:pos="1153"/>
          <w:tab w:val="left" w:pos="1155"/>
        </w:tabs>
        <w:spacing w:before="173" w:line="249" w:lineRule="auto"/>
        <w:ind w:right="478"/>
        <w:rPr>
          <w:sz w:val="20"/>
        </w:rPr>
      </w:pPr>
      <w:r>
        <w:rPr>
          <w:b/>
          <w:sz w:val="20"/>
        </w:rPr>
        <w:t xml:space="preserve">Governance Committee: </w:t>
      </w:r>
      <w:r>
        <w:rPr>
          <w:sz w:val="20"/>
        </w:rPr>
        <w:t>Responsible for reviewing and providing recommendations to Council on</w:t>
      </w:r>
      <w:r>
        <w:rPr>
          <w:spacing w:val="-3"/>
          <w:sz w:val="20"/>
        </w:rPr>
        <w:t xml:space="preserve"> </w:t>
      </w:r>
      <w:r>
        <w:rPr>
          <w:sz w:val="20"/>
        </w:rPr>
        <w:t>corporate</w:t>
      </w:r>
      <w:r>
        <w:rPr>
          <w:spacing w:val="-3"/>
          <w:sz w:val="20"/>
        </w:rPr>
        <w:t xml:space="preserve"> </w:t>
      </w:r>
      <w:r>
        <w:rPr>
          <w:sz w:val="20"/>
        </w:rPr>
        <w:t>governance</w:t>
      </w:r>
      <w:r>
        <w:rPr>
          <w:spacing w:val="-3"/>
          <w:sz w:val="20"/>
        </w:rPr>
        <w:t xml:space="preserve"> </w:t>
      </w:r>
      <w:r>
        <w:rPr>
          <w:sz w:val="20"/>
        </w:rPr>
        <w:t>policies,</w:t>
      </w:r>
      <w:r>
        <w:rPr>
          <w:spacing w:val="-3"/>
          <w:sz w:val="20"/>
        </w:rPr>
        <w:t xml:space="preserve"> </w:t>
      </w:r>
      <w:proofErr w:type="gramStart"/>
      <w:r>
        <w:rPr>
          <w:sz w:val="20"/>
        </w:rPr>
        <w:t>processes</w:t>
      </w:r>
      <w:proofErr w:type="gramEnd"/>
      <w:r>
        <w:rPr>
          <w:spacing w:val="-3"/>
          <w:sz w:val="20"/>
        </w:rPr>
        <w:t xml:space="preserve"> </w:t>
      </w:r>
      <w:r>
        <w:rPr>
          <w:sz w:val="20"/>
        </w:rPr>
        <w:t>and</w:t>
      </w:r>
      <w:r>
        <w:rPr>
          <w:spacing w:val="-3"/>
          <w:sz w:val="20"/>
        </w:rPr>
        <w:t xml:space="preserve"> </w:t>
      </w:r>
      <w:r>
        <w:rPr>
          <w:sz w:val="20"/>
        </w:rPr>
        <w:t>practices</w:t>
      </w:r>
      <w:r>
        <w:rPr>
          <w:spacing w:val="-3"/>
          <w:sz w:val="20"/>
        </w:rPr>
        <w:t xml:space="preserve"> </w:t>
      </w:r>
      <w:r>
        <w:rPr>
          <w:sz w:val="20"/>
        </w:rPr>
        <w:t>in</w:t>
      </w:r>
      <w:r>
        <w:rPr>
          <w:spacing w:val="-3"/>
          <w:sz w:val="20"/>
        </w:rPr>
        <w:t xml:space="preserve"> </w:t>
      </w:r>
      <w:r>
        <w:rPr>
          <w:sz w:val="20"/>
        </w:rPr>
        <w:t>accordance</w:t>
      </w:r>
      <w:r>
        <w:rPr>
          <w:spacing w:val="-3"/>
          <w:sz w:val="20"/>
        </w:rPr>
        <w:t xml:space="preserve"> </w:t>
      </w:r>
      <w:r>
        <w:rPr>
          <w:sz w:val="20"/>
        </w:rPr>
        <w:t>with</w:t>
      </w:r>
      <w:r>
        <w:rPr>
          <w:spacing w:val="-3"/>
          <w:sz w:val="20"/>
        </w:rPr>
        <w:t xml:space="preserve"> </w:t>
      </w:r>
      <w:r>
        <w:rPr>
          <w:sz w:val="20"/>
        </w:rPr>
        <w:t>the</w:t>
      </w:r>
      <w:r>
        <w:rPr>
          <w:spacing w:val="-14"/>
          <w:sz w:val="20"/>
        </w:rPr>
        <w:t xml:space="preserve"> </w:t>
      </w:r>
      <w:r>
        <w:rPr>
          <w:sz w:val="20"/>
        </w:rPr>
        <w:t>ASX</w:t>
      </w:r>
      <w:r>
        <w:rPr>
          <w:spacing w:val="-3"/>
          <w:sz w:val="20"/>
        </w:rPr>
        <w:t xml:space="preserve"> </w:t>
      </w:r>
      <w:r>
        <w:rPr>
          <w:sz w:val="20"/>
        </w:rPr>
        <w:t>Corporate Governance Principles and Recommendations.</w:t>
      </w:r>
    </w:p>
    <w:p w14:paraId="177D3C2A" w14:textId="77777777" w:rsidR="00AC6F3C" w:rsidRDefault="00570E88">
      <w:pPr>
        <w:pStyle w:val="BodyText"/>
        <w:spacing w:before="173" w:line="249" w:lineRule="auto"/>
        <w:ind w:left="815" w:right="234"/>
      </w:pPr>
      <w:r>
        <w:t>During the year, following review and recommendations of the Governance Committee, the Council reviewed and approved amendments to the Council Charter, Policy Committee Charter and Council Travel Policy and reviewed the PMC Committee Charter, draft guidelines Specialist</w:t>
      </w:r>
      <w:r>
        <w:rPr>
          <w:spacing w:val="-4"/>
        </w:rPr>
        <w:t xml:space="preserve"> </w:t>
      </w:r>
      <w:r>
        <w:t>Accreditation Committees</w:t>
      </w:r>
      <w:r>
        <w:rPr>
          <w:spacing w:val="-4"/>
        </w:rPr>
        <w:t xml:space="preserve"> </w:t>
      </w:r>
      <w:r>
        <w:t>and</w:t>
      </w:r>
      <w:r>
        <w:rPr>
          <w:spacing w:val="-4"/>
        </w:rPr>
        <w:t xml:space="preserve"> </w:t>
      </w:r>
      <w:r>
        <w:t>Ethics</w:t>
      </w:r>
      <w:r>
        <w:rPr>
          <w:spacing w:val="-4"/>
        </w:rPr>
        <w:t xml:space="preserve"> </w:t>
      </w:r>
      <w:r>
        <w:t>Committee</w:t>
      </w:r>
      <w:r>
        <w:rPr>
          <w:spacing w:val="-4"/>
        </w:rPr>
        <w:t xml:space="preserve"> </w:t>
      </w:r>
      <w:r>
        <w:t>Charter.</w:t>
      </w:r>
      <w:r>
        <w:rPr>
          <w:spacing w:val="-4"/>
        </w:rPr>
        <w:t xml:space="preserve"> </w:t>
      </w:r>
      <w:r>
        <w:t>It</w:t>
      </w:r>
      <w:r>
        <w:rPr>
          <w:spacing w:val="-4"/>
        </w:rPr>
        <w:t xml:space="preserve"> </w:t>
      </w:r>
      <w:r>
        <w:t>also</w:t>
      </w:r>
      <w:r>
        <w:rPr>
          <w:spacing w:val="-4"/>
        </w:rPr>
        <w:t xml:space="preserve"> </w:t>
      </w:r>
      <w:r>
        <w:t>approved</w:t>
      </w:r>
      <w:r>
        <w:rPr>
          <w:spacing w:val="-4"/>
        </w:rPr>
        <w:t xml:space="preserve"> </w:t>
      </w:r>
      <w:r>
        <w:t>the</w:t>
      </w:r>
      <w:r>
        <w:rPr>
          <w:spacing w:val="-4"/>
        </w:rPr>
        <w:t xml:space="preserve"> </w:t>
      </w:r>
      <w:proofErr w:type="gramStart"/>
      <w:r>
        <w:t>delegations</w:t>
      </w:r>
      <w:proofErr w:type="gramEnd"/>
      <w:r>
        <w:rPr>
          <w:spacing w:val="-4"/>
        </w:rPr>
        <w:t xml:space="preserve"> </w:t>
      </w:r>
      <w:r>
        <w:t>manual</w:t>
      </w:r>
      <w:r>
        <w:rPr>
          <w:spacing w:val="-4"/>
        </w:rPr>
        <w:t xml:space="preserve"> </w:t>
      </w:r>
      <w:r>
        <w:t>and</w:t>
      </w:r>
      <w:r>
        <w:rPr>
          <w:spacing w:val="-4"/>
        </w:rPr>
        <w:t xml:space="preserve"> </w:t>
      </w:r>
      <w:r>
        <w:t>accepted</w:t>
      </w:r>
      <w:r>
        <w:rPr>
          <w:spacing w:val="-4"/>
        </w:rPr>
        <w:t xml:space="preserve"> </w:t>
      </w:r>
      <w:r>
        <w:t>the audit recommendations and performance audit recommendations by Queensland</w:t>
      </w:r>
      <w:r>
        <w:rPr>
          <w:spacing w:val="-7"/>
        </w:rPr>
        <w:t xml:space="preserve"> </w:t>
      </w:r>
      <w:r>
        <w:t xml:space="preserve">Audit Office (QAO). The Council has </w:t>
      </w:r>
      <w:proofErr w:type="gramStart"/>
      <w:r>
        <w:t>been kept</w:t>
      </w:r>
      <w:proofErr w:type="gramEnd"/>
      <w:r>
        <w:t xml:space="preserve"> up to date and noted interim audit reports and progress.</w:t>
      </w:r>
    </w:p>
    <w:p w14:paraId="3A79DEAA" w14:textId="77777777" w:rsidR="00AC6F3C" w:rsidRDefault="00570E88">
      <w:pPr>
        <w:pStyle w:val="BodyText"/>
        <w:spacing w:before="175" w:line="249" w:lineRule="auto"/>
        <w:ind w:left="815"/>
      </w:pPr>
      <w:r>
        <w:t>In</w:t>
      </w:r>
      <w:r>
        <w:rPr>
          <w:spacing w:val="-4"/>
        </w:rPr>
        <w:t xml:space="preserve"> </w:t>
      </w:r>
      <w:r>
        <w:t>this</w:t>
      </w:r>
      <w:r>
        <w:rPr>
          <w:spacing w:val="-4"/>
        </w:rPr>
        <w:t xml:space="preserve"> </w:t>
      </w:r>
      <w:proofErr w:type="gramStart"/>
      <w:r>
        <w:t>financial</w:t>
      </w:r>
      <w:r>
        <w:rPr>
          <w:spacing w:val="-4"/>
        </w:rPr>
        <w:t xml:space="preserve"> </w:t>
      </w:r>
      <w:r>
        <w:t>year</w:t>
      </w:r>
      <w:proofErr w:type="gramEnd"/>
      <w:r>
        <w:t>,</w:t>
      </w:r>
      <w:r>
        <w:rPr>
          <w:spacing w:val="-4"/>
        </w:rPr>
        <w:t xml:space="preserve"> </w:t>
      </w:r>
      <w:r>
        <w:t>the</w:t>
      </w:r>
      <w:r>
        <w:rPr>
          <w:spacing w:val="-4"/>
        </w:rPr>
        <w:t xml:space="preserve"> </w:t>
      </w:r>
      <w:r>
        <w:t>Executive</w:t>
      </w:r>
      <w:r>
        <w:rPr>
          <w:spacing w:val="-4"/>
        </w:rPr>
        <w:t xml:space="preserve"> </w:t>
      </w:r>
      <w:r>
        <w:t>Committee</w:t>
      </w:r>
      <w:r>
        <w:rPr>
          <w:spacing w:val="-4"/>
        </w:rPr>
        <w:t xml:space="preserve"> </w:t>
      </w:r>
      <w:r>
        <w:t>has</w:t>
      </w:r>
      <w:r>
        <w:rPr>
          <w:spacing w:val="-4"/>
        </w:rPr>
        <w:t xml:space="preserve"> </w:t>
      </w:r>
      <w:r>
        <w:t>considered</w:t>
      </w:r>
      <w:r>
        <w:rPr>
          <w:spacing w:val="-4"/>
        </w:rPr>
        <w:t xml:space="preserve"> </w:t>
      </w:r>
      <w:r>
        <w:t>and</w:t>
      </w:r>
      <w:r>
        <w:rPr>
          <w:spacing w:val="-4"/>
        </w:rPr>
        <w:t xml:space="preserve"> </w:t>
      </w:r>
      <w:r>
        <w:t>overseen</w:t>
      </w:r>
      <w:r>
        <w:rPr>
          <w:spacing w:val="-4"/>
        </w:rPr>
        <w:t xml:space="preserve"> </w:t>
      </w:r>
      <w:r>
        <w:t>approximately</w:t>
      </w:r>
      <w:r>
        <w:rPr>
          <w:spacing w:val="-4"/>
        </w:rPr>
        <w:t xml:space="preserve"> </w:t>
      </w:r>
      <w:r>
        <w:t>45</w:t>
      </w:r>
      <w:r>
        <w:rPr>
          <w:spacing w:val="-4"/>
        </w:rPr>
        <w:t xml:space="preserve"> </w:t>
      </w:r>
      <w:r>
        <w:t>matters (FY22:43) with correspondence for 9 matters (FY22:</w:t>
      </w:r>
      <w:r>
        <w:rPr>
          <w:spacing w:val="-27"/>
        </w:rPr>
        <w:t xml:space="preserve"> </w:t>
      </w:r>
      <w:r>
        <w:t>13). Of those correspondence matters:</w:t>
      </w:r>
    </w:p>
    <w:p w14:paraId="705FFD91" w14:textId="77777777" w:rsidR="00AC6F3C" w:rsidRDefault="00570E88">
      <w:pPr>
        <w:pStyle w:val="ListParagraph"/>
        <w:numPr>
          <w:ilvl w:val="1"/>
          <w:numId w:val="59"/>
        </w:numPr>
        <w:tabs>
          <w:tab w:val="left" w:pos="1155"/>
        </w:tabs>
        <w:spacing w:before="172"/>
        <w:ind w:hanging="340"/>
        <w:rPr>
          <w:sz w:val="20"/>
        </w:rPr>
      </w:pPr>
      <w:r>
        <w:rPr>
          <w:sz w:val="20"/>
        </w:rPr>
        <w:t>55%</w:t>
      </w:r>
      <w:r>
        <w:rPr>
          <w:spacing w:val="-2"/>
          <w:sz w:val="20"/>
        </w:rPr>
        <w:t xml:space="preserve"> </w:t>
      </w:r>
      <w:r>
        <w:rPr>
          <w:sz w:val="20"/>
        </w:rPr>
        <w:t>(FY22:</w:t>
      </w:r>
      <w:r>
        <w:rPr>
          <w:spacing w:val="-1"/>
          <w:sz w:val="20"/>
        </w:rPr>
        <w:t xml:space="preserve"> </w:t>
      </w:r>
      <w:r>
        <w:rPr>
          <w:sz w:val="20"/>
        </w:rPr>
        <w:t>23%)</w:t>
      </w:r>
      <w:r>
        <w:rPr>
          <w:spacing w:val="-2"/>
          <w:sz w:val="20"/>
        </w:rPr>
        <w:t xml:space="preserve"> </w:t>
      </w:r>
      <w:r>
        <w:rPr>
          <w:sz w:val="20"/>
        </w:rPr>
        <w:t>related</w:t>
      </w:r>
      <w:r>
        <w:rPr>
          <w:spacing w:val="-1"/>
          <w:sz w:val="20"/>
        </w:rPr>
        <w:t xml:space="preserve"> </w:t>
      </w:r>
      <w:r>
        <w:rPr>
          <w:sz w:val="20"/>
        </w:rPr>
        <w:t>to</w:t>
      </w:r>
      <w:r>
        <w:rPr>
          <w:spacing w:val="-2"/>
          <w:sz w:val="20"/>
        </w:rPr>
        <w:t xml:space="preserve"> </w:t>
      </w:r>
      <w:r>
        <w:rPr>
          <w:sz w:val="20"/>
        </w:rPr>
        <w:t>fitness</w:t>
      </w:r>
      <w:r>
        <w:rPr>
          <w:spacing w:val="-1"/>
          <w:sz w:val="20"/>
        </w:rPr>
        <w:t xml:space="preserve"> </w:t>
      </w:r>
      <w:proofErr w:type="gramStart"/>
      <w:r>
        <w:rPr>
          <w:spacing w:val="-2"/>
          <w:sz w:val="20"/>
        </w:rPr>
        <w:t>matters</w:t>
      </w:r>
      <w:proofErr w:type="gramEnd"/>
    </w:p>
    <w:p w14:paraId="2D8F8D67" w14:textId="77777777" w:rsidR="00AC6F3C" w:rsidRDefault="00570E88">
      <w:pPr>
        <w:pStyle w:val="ListParagraph"/>
        <w:numPr>
          <w:ilvl w:val="1"/>
          <w:numId w:val="59"/>
        </w:numPr>
        <w:tabs>
          <w:tab w:val="left" w:pos="1155"/>
        </w:tabs>
        <w:ind w:hanging="340"/>
        <w:rPr>
          <w:sz w:val="20"/>
        </w:rPr>
      </w:pPr>
      <w:proofErr w:type="gramStart"/>
      <w:r>
        <w:rPr>
          <w:sz w:val="20"/>
        </w:rPr>
        <w:t>33%</w:t>
      </w:r>
      <w:proofErr w:type="gramEnd"/>
      <w:r>
        <w:rPr>
          <w:spacing w:val="-2"/>
          <w:sz w:val="20"/>
        </w:rPr>
        <w:t xml:space="preserve"> </w:t>
      </w:r>
      <w:r>
        <w:rPr>
          <w:sz w:val="20"/>
        </w:rPr>
        <w:t>(FY22:</w:t>
      </w:r>
      <w:r>
        <w:rPr>
          <w:spacing w:val="-2"/>
          <w:sz w:val="20"/>
        </w:rPr>
        <w:t xml:space="preserve"> </w:t>
      </w:r>
      <w:r>
        <w:rPr>
          <w:sz w:val="20"/>
        </w:rPr>
        <w:t>69%)</w:t>
      </w:r>
      <w:r>
        <w:rPr>
          <w:spacing w:val="-1"/>
          <w:sz w:val="20"/>
        </w:rPr>
        <w:t xml:space="preserve"> </w:t>
      </w:r>
      <w:r>
        <w:rPr>
          <w:sz w:val="20"/>
        </w:rPr>
        <w:t>related</w:t>
      </w:r>
      <w:r>
        <w:rPr>
          <w:spacing w:val="-2"/>
          <w:sz w:val="20"/>
        </w:rPr>
        <w:t xml:space="preserve"> </w:t>
      </w:r>
      <w:r>
        <w:rPr>
          <w:sz w:val="20"/>
        </w:rPr>
        <w:t>to</w:t>
      </w:r>
      <w:r>
        <w:rPr>
          <w:spacing w:val="-1"/>
          <w:sz w:val="20"/>
        </w:rPr>
        <w:t xml:space="preserve"> </w:t>
      </w:r>
      <w:r>
        <w:rPr>
          <w:sz w:val="20"/>
        </w:rPr>
        <w:t>applications</w:t>
      </w:r>
      <w:r>
        <w:rPr>
          <w:spacing w:val="-2"/>
          <w:sz w:val="20"/>
        </w:rPr>
        <w:t xml:space="preserve"> </w:t>
      </w:r>
      <w:r>
        <w:rPr>
          <w:sz w:val="20"/>
        </w:rPr>
        <w:t>for</w:t>
      </w:r>
      <w:r>
        <w:rPr>
          <w:spacing w:val="-2"/>
          <w:sz w:val="20"/>
        </w:rPr>
        <w:t xml:space="preserve"> </w:t>
      </w:r>
      <w:r>
        <w:rPr>
          <w:sz w:val="20"/>
        </w:rPr>
        <w:t>a</w:t>
      </w:r>
      <w:r>
        <w:rPr>
          <w:spacing w:val="-1"/>
          <w:sz w:val="20"/>
        </w:rPr>
        <w:t xml:space="preserve"> </w:t>
      </w:r>
      <w:r>
        <w:rPr>
          <w:sz w:val="20"/>
        </w:rPr>
        <w:t>grant</w:t>
      </w:r>
      <w:r>
        <w:rPr>
          <w:spacing w:val="-2"/>
          <w:sz w:val="20"/>
        </w:rPr>
        <w:t xml:space="preserve"> </w:t>
      </w:r>
      <w:r>
        <w:rPr>
          <w:sz w:val="20"/>
        </w:rPr>
        <w:t>or</w:t>
      </w:r>
      <w:r>
        <w:rPr>
          <w:spacing w:val="-1"/>
          <w:sz w:val="20"/>
        </w:rPr>
        <w:t xml:space="preserve"> </w:t>
      </w:r>
      <w:r>
        <w:rPr>
          <w:sz w:val="20"/>
        </w:rPr>
        <w:t>renewal</w:t>
      </w:r>
      <w:r>
        <w:rPr>
          <w:spacing w:val="-2"/>
          <w:sz w:val="20"/>
        </w:rPr>
        <w:t xml:space="preserve"> </w:t>
      </w:r>
      <w:r>
        <w:rPr>
          <w:sz w:val="20"/>
        </w:rPr>
        <w:t>of</w:t>
      </w:r>
      <w:r>
        <w:rPr>
          <w:spacing w:val="-2"/>
          <w:sz w:val="20"/>
        </w:rPr>
        <w:t xml:space="preserve"> </w:t>
      </w:r>
      <w:r>
        <w:rPr>
          <w:sz w:val="20"/>
        </w:rPr>
        <w:t>a</w:t>
      </w:r>
      <w:r>
        <w:rPr>
          <w:spacing w:val="-1"/>
          <w:sz w:val="20"/>
        </w:rPr>
        <w:t xml:space="preserve"> </w:t>
      </w:r>
      <w:proofErr w:type="spellStart"/>
      <w:r>
        <w:rPr>
          <w:sz w:val="20"/>
        </w:rPr>
        <w:t>practising</w:t>
      </w:r>
      <w:proofErr w:type="spellEnd"/>
      <w:r>
        <w:rPr>
          <w:spacing w:val="-2"/>
          <w:sz w:val="20"/>
        </w:rPr>
        <w:t xml:space="preserve"> </w:t>
      </w:r>
      <w:r>
        <w:rPr>
          <w:sz w:val="20"/>
        </w:rPr>
        <w:t>certificate,</w:t>
      </w:r>
      <w:r>
        <w:rPr>
          <w:spacing w:val="-1"/>
          <w:sz w:val="20"/>
        </w:rPr>
        <w:t xml:space="preserve"> </w:t>
      </w:r>
      <w:r>
        <w:rPr>
          <w:spacing w:val="-5"/>
          <w:sz w:val="20"/>
        </w:rPr>
        <w:t>and</w:t>
      </w:r>
    </w:p>
    <w:p w14:paraId="77306748" w14:textId="77777777" w:rsidR="00AC6F3C" w:rsidRDefault="00570E88">
      <w:pPr>
        <w:pStyle w:val="ListParagraph"/>
        <w:numPr>
          <w:ilvl w:val="1"/>
          <w:numId w:val="59"/>
        </w:numPr>
        <w:tabs>
          <w:tab w:val="left" w:pos="1155"/>
        </w:tabs>
        <w:ind w:hanging="340"/>
        <w:rPr>
          <w:sz w:val="20"/>
        </w:rPr>
      </w:pPr>
      <w:proofErr w:type="gramStart"/>
      <w:r>
        <w:rPr>
          <w:sz w:val="20"/>
        </w:rPr>
        <w:t>11%</w:t>
      </w:r>
      <w:proofErr w:type="gramEnd"/>
      <w:r>
        <w:rPr>
          <w:spacing w:val="-5"/>
          <w:sz w:val="20"/>
        </w:rPr>
        <w:t xml:space="preserve"> </w:t>
      </w:r>
      <w:r>
        <w:rPr>
          <w:sz w:val="20"/>
        </w:rPr>
        <w:t>(FY22:</w:t>
      </w:r>
      <w:r>
        <w:rPr>
          <w:spacing w:val="-4"/>
          <w:sz w:val="20"/>
        </w:rPr>
        <w:t xml:space="preserve"> </w:t>
      </w:r>
      <w:r>
        <w:rPr>
          <w:sz w:val="20"/>
        </w:rPr>
        <w:t>7%)</w:t>
      </w:r>
      <w:r>
        <w:rPr>
          <w:spacing w:val="-5"/>
          <w:sz w:val="20"/>
        </w:rPr>
        <w:t xml:space="preserve"> </w:t>
      </w:r>
      <w:r>
        <w:rPr>
          <w:sz w:val="20"/>
        </w:rPr>
        <w:t>related</w:t>
      </w:r>
      <w:r>
        <w:rPr>
          <w:spacing w:val="-4"/>
          <w:sz w:val="20"/>
        </w:rPr>
        <w:t xml:space="preserve"> </w:t>
      </w:r>
      <w:r>
        <w:rPr>
          <w:sz w:val="20"/>
        </w:rPr>
        <w:t>to</w:t>
      </w:r>
      <w:r>
        <w:rPr>
          <w:spacing w:val="-5"/>
          <w:sz w:val="20"/>
        </w:rPr>
        <w:t xml:space="preserve"> </w:t>
      </w:r>
      <w:r>
        <w:rPr>
          <w:sz w:val="20"/>
        </w:rPr>
        <w:t>lay</w:t>
      </w:r>
      <w:r>
        <w:rPr>
          <w:spacing w:val="-4"/>
          <w:sz w:val="20"/>
        </w:rPr>
        <w:t xml:space="preserve"> </w:t>
      </w:r>
      <w:r>
        <w:rPr>
          <w:sz w:val="20"/>
        </w:rPr>
        <w:t>associate</w:t>
      </w:r>
      <w:r>
        <w:rPr>
          <w:spacing w:val="-4"/>
          <w:sz w:val="20"/>
        </w:rPr>
        <w:t xml:space="preserve"> </w:t>
      </w:r>
      <w:r>
        <w:rPr>
          <w:spacing w:val="-2"/>
          <w:sz w:val="20"/>
        </w:rPr>
        <w:t>applications.</w:t>
      </w:r>
    </w:p>
    <w:p w14:paraId="16F71E35" w14:textId="77777777" w:rsidR="00AC6F3C" w:rsidRDefault="00570E88">
      <w:pPr>
        <w:pStyle w:val="BodyText"/>
        <w:spacing w:before="180"/>
        <w:ind w:left="815"/>
      </w:pPr>
      <w:r>
        <w:t>The</w:t>
      </w:r>
      <w:r>
        <w:rPr>
          <w:spacing w:val="-1"/>
        </w:rPr>
        <w:t xml:space="preserve"> </w:t>
      </w:r>
      <w:r>
        <w:t>demographic</w:t>
      </w:r>
      <w:r>
        <w:rPr>
          <w:spacing w:val="-1"/>
        </w:rPr>
        <w:t xml:space="preserve"> </w:t>
      </w:r>
      <w:r>
        <w:t>of</w:t>
      </w:r>
      <w:r>
        <w:rPr>
          <w:spacing w:val="-1"/>
        </w:rPr>
        <w:t xml:space="preserve"> </w:t>
      </w:r>
      <w:r>
        <w:t>practitioners</w:t>
      </w:r>
      <w:r>
        <w:rPr>
          <w:spacing w:val="-1"/>
        </w:rPr>
        <w:t xml:space="preserve"> </w:t>
      </w:r>
      <w:r>
        <w:t>in</w:t>
      </w:r>
      <w:r>
        <w:rPr>
          <w:spacing w:val="-1"/>
        </w:rPr>
        <w:t xml:space="preserve"> </w:t>
      </w:r>
      <w:r>
        <w:t>these</w:t>
      </w:r>
      <w:r>
        <w:rPr>
          <w:spacing w:val="-1"/>
        </w:rPr>
        <w:t xml:space="preserve"> </w:t>
      </w:r>
      <w:r>
        <w:t>matters</w:t>
      </w:r>
      <w:r>
        <w:rPr>
          <w:spacing w:val="-1"/>
        </w:rPr>
        <w:t xml:space="preserve"> </w:t>
      </w:r>
      <w:r>
        <w:t>(with</w:t>
      </w:r>
      <w:r>
        <w:rPr>
          <w:spacing w:val="-1"/>
        </w:rPr>
        <w:t xml:space="preserve"> </w:t>
      </w:r>
      <w:r>
        <w:t>respect</w:t>
      </w:r>
      <w:r>
        <w:rPr>
          <w:spacing w:val="-1"/>
        </w:rPr>
        <w:t xml:space="preserve"> </w:t>
      </w:r>
      <w:r>
        <w:t>to</w:t>
      </w:r>
      <w:r>
        <w:rPr>
          <w:spacing w:val="-1"/>
        </w:rPr>
        <w:t xml:space="preserve"> </w:t>
      </w:r>
      <w:r>
        <w:t>correspondence)</w:t>
      </w:r>
      <w:r>
        <w:rPr>
          <w:spacing w:val="-1"/>
        </w:rPr>
        <w:t xml:space="preserve"> </w:t>
      </w:r>
      <w:r>
        <w:t>has</w:t>
      </w:r>
      <w:r>
        <w:rPr>
          <w:spacing w:val="-1"/>
        </w:rPr>
        <w:t xml:space="preserve"> </w:t>
      </w:r>
      <w:r>
        <w:rPr>
          <w:spacing w:val="-2"/>
        </w:rPr>
        <w:t>been:</w:t>
      </w:r>
    </w:p>
    <w:p w14:paraId="214EA435" w14:textId="77777777" w:rsidR="00AC6F3C" w:rsidRDefault="00570E88">
      <w:pPr>
        <w:pStyle w:val="ListParagraph"/>
        <w:numPr>
          <w:ilvl w:val="1"/>
          <w:numId w:val="59"/>
        </w:numPr>
        <w:tabs>
          <w:tab w:val="left" w:pos="1155"/>
        </w:tabs>
        <w:ind w:hanging="340"/>
        <w:rPr>
          <w:sz w:val="20"/>
        </w:rPr>
      </w:pPr>
      <w:r>
        <w:rPr>
          <w:sz w:val="20"/>
        </w:rPr>
        <w:t>100%</w:t>
      </w:r>
      <w:r>
        <w:rPr>
          <w:spacing w:val="-3"/>
          <w:sz w:val="20"/>
        </w:rPr>
        <w:t xml:space="preserve"> </w:t>
      </w:r>
      <w:r>
        <w:rPr>
          <w:sz w:val="20"/>
        </w:rPr>
        <w:t>(FY22:</w:t>
      </w:r>
      <w:r>
        <w:rPr>
          <w:spacing w:val="-1"/>
          <w:sz w:val="20"/>
        </w:rPr>
        <w:t xml:space="preserve"> </w:t>
      </w:r>
      <w:r>
        <w:rPr>
          <w:sz w:val="20"/>
        </w:rPr>
        <w:t>76%)</w:t>
      </w:r>
      <w:r>
        <w:rPr>
          <w:spacing w:val="-1"/>
          <w:sz w:val="20"/>
        </w:rPr>
        <w:t xml:space="preserve"> </w:t>
      </w:r>
      <w:r>
        <w:rPr>
          <w:spacing w:val="-4"/>
          <w:sz w:val="20"/>
        </w:rPr>
        <w:t>male</w:t>
      </w:r>
    </w:p>
    <w:p w14:paraId="60FE4DA2" w14:textId="77777777" w:rsidR="00AC6F3C" w:rsidRDefault="00570E88">
      <w:pPr>
        <w:pStyle w:val="ListParagraph"/>
        <w:numPr>
          <w:ilvl w:val="1"/>
          <w:numId w:val="59"/>
        </w:numPr>
        <w:tabs>
          <w:tab w:val="left" w:pos="1155"/>
        </w:tabs>
        <w:ind w:hanging="340"/>
        <w:rPr>
          <w:sz w:val="20"/>
        </w:rPr>
      </w:pPr>
      <w:proofErr w:type="gramStart"/>
      <w:r>
        <w:rPr>
          <w:sz w:val="20"/>
        </w:rPr>
        <w:t>0%</w:t>
      </w:r>
      <w:proofErr w:type="gramEnd"/>
      <w:r>
        <w:rPr>
          <w:spacing w:val="-1"/>
          <w:sz w:val="20"/>
        </w:rPr>
        <w:t xml:space="preserve"> </w:t>
      </w:r>
      <w:r>
        <w:rPr>
          <w:sz w:val="20"/>
        </w:rPr>
        <w:t xml:space="preserve">(FY22: 24%) </w:t>
      </w:r>
      <w:r>
        <w:rPr>
          <w:spacing w:val="-2"/>
          <w:sz w:val="20"/>
        </w:rPr>
        <w:t>female</w:t>
      </w:r>
    </w:p>
    <w:p w14:paraId="16F52B87" w14:textId="77777777" w:rsidR="00AC6F3C" w:rsidRDefault="00570E88">
      <w:pPr>
        <w:pStyle w:val="ListParagraph"/>
        <w:numPr>
          <w:ilvl w:val="1"/>
          <w:numId w:val="59"/>
        </w:numPr>
        <w:tabs>
          <w:tab w:val="left" w:pos="1155"/>
        </w:tabs>
        <w:ind w:hanging="340"/>
        <w:rPr>
          <w:sz w:val="20"/>
        </w:rPr>
      </w:pPr>
      <w:r>
        <w:rPr>
          <w:sz w:val="20"/>
        </w:rPr>
        <w:t>Average</w:t>
      </w:r>
      <w:r>
        <w:rPr>
          <w:spacing w:val="-4"/>
          <w:sz w:val="20"/>
        </w:rPr>
        <w:t xml:space="preserve"> </w:t>
      </w:r>
      <w:r>
        <w:rPr>
          <w:sz w:val="20"/>
        </w:rPr>
        <w:t>age</w:t>
      </w:r>
      <w:r>
        <w:rPr>
          <w:spacing w:val="-1"/>
          <w:sz w:val="20"/>
        </w:rPr>
        <w:t xml:space="preserve"> </w:t>
      </w:r>
      <w:r>
        <w:rPr>
          <w:sz w:val="20"/>
        </w:rPr>
        <w:t>49</w:t>
      </w:r>
      <w:r>
        <w:rPr>
          <w:spacing w:val="-2"/>
          <w:sz w:val="20"/>
        </w:rPr>
        <w:t xml:space="preserve"> </w:t>
      </w:r>
      <w:r>
        <w:rPr>
          <w:sz w:val="20"/>
        </w:rPr>
        <w:t>years</w:t>
      </w:r>
      <w:r>
        <w:rPr>
          <w:spacing w:val="-1"/>
          <w:sz w:val="20"/>
        </w:rPr>
        <w:t xml:space="preserve"> </w:t>
      </w:r>
      <w:r>
        <w:rPr>
          <w:sz w:val="20"/>
        </w:rPr>
        <w:t>(FY22:</w:t>
      </w:r>
      <w:r>
        <w:rPr>
          <w:spacing w:val="-2"/>
          <w:sz w:val="20"/>
        </w:rPr>
        <w:t xml:space="preserve"> </w:t>
      </w:r>
      <w:r>
        <w:rPr>
          <w:sz w:val="20"/>
        </w:rPr>
        <w:t>48</w:t>
      </w:r>
      <w:r>
        <w:rPr>
          <w:spacing w:val="-1"/>
          <w:sz w:val="20"/>
        </w:rPr>
        <w:t xml:space="preserve"> </w:t>
      </w:r>
      <w:r>
        <w:rPr>
          <w:sz w:val="20"/>
        </w:rPr>
        <w:t>years)</w:t>
      </w:r>
      <w:r>
        <w:rPr>
          <w:spacing w:val="-2"/>
          <w:sz w:val="20"/>
        </w:rPr>
        <w:t xml:space="preserve"> </w:t>
      </w:r>
      <w:r>
        <w:rPr>
          <w:sz w:val="20"/>
        </w:rPr>
        <w:t>(at</w:t>
      </w:r>
      <w:r>
        <w:rPr>
          <w:spacing w:val="-1"/>
          <w:sz w:val="20"/>
        </w:rPr>
        <w:t xml:space="preserve"> </w:t>
      </w:r>
      <w:r>
        <w:rPr>
          <w:sz w:val="20"/>
        </w:rPr>
        <w:t>time</w:t>
      </w:r>
      <w:r>
        <w:rPr>
          <w:spacing w:val="-2"/>
          <w:sz w:val="20"/>
        </w:rPr>
        <w:t xml:space="preserve"> </w:t>
      </w:r>
      <w:r>
        <w:rPr>
          <w:sz w:val="20"/>
        </w:rPr>
        <w:t>of</w:t>
      </w:r>
      <w:r>
        <w:rPr>
          <w:spacing w:val="-1"/>
          <w:sz w:val="20"/>
        </w:rPr>
        <w:t xml:space="preserve"> </w:t>
      </w:r>
      <w:r>
        <w:rPr>
          <w:sz w:val="20"/>
        </w:rPr>
        <w:t>decision),</w:t>
      </w:r>
      <w:r>
        <w:rPr>
          <w:spacing w:val="-1"/>
          <w:sz w:val="20"/>
        </w:rPr>
        <w:t xml:space="preserve"> </w:t>
      </w:r>
      <w:r>
        <w:rPr>
          <w:spacing w:val="-5"/>
          <w:sz w:val="20"/>
        </w:rPr>
        <w:t>and</w:t>
      </w:r>
    </w:p>
    <w:p w14:paraId="56938E31" w14:textId="77777777" w:rsidR="00AC6F3C" w:rsidRDefault="00570E88">
      <w:pPr>
        <w:pStyle w:val="ListParagraph"/>
        <w:numPr>
          <w:ilvl w:val="1"/>
          <w:numId w:val="59"/>
        </w:numPr>
        <w:tabs>
          <w:tab w:val="left" w:pos="1155"/>
        </w:tabs>
        <w:ind w:hanging="340"/>
        <w:rPr>
          <w:sz w:val="20"/>
        </w:rPr>
      </w:pPr>
      <w:r>
        <w:rPr>
          <w:sz w:val="20"/>
        </w:rPr>
        <w:t>Average</w:t>
      </w:r>
      <w:r>
        <w:rPr>
          <w:spacing w:val="-4"/>
          <w:sz w:val="20"/>
        </w:rPr>
        <w:t xml:space="preserve"> </w:t>
      </w:r>
      <w:r>
        <w:rPr>
          <w:sz w:val="20"/>
        </w:rPr>
        <w:t>PAE</w:t>
      </w:r>
      <w:r>
        <w:rPr>
          <w:spacing w:val="-4"/>
          <w:sz w:val="20"/>
        </w:rPr>
        <w:t xml:space="preserve"> </w:t>
      </w:r>
      <w:r>
        <w:rPr>
          <w:sz w:val="20"/>
        </w:rPr>
        <w:t>14.85</w:t>
      </w:r>
      <w:r>
        <w:rPr>
          <w:spacing w:val="-3"/>
          <w:sz w:val="20"/>
        </w:rPr>
        <w:t xml:space="preserve"> </w:t>
      </w:r>
      <w:r>
        <w:rPr>
          <w:sz w:val="20"/>
        </w:rPr>
        <w:t>(FY22:</w:t>
      </w:r>
      <w:r>
        <w:rPr>
          <w:spacing w:val="-4"/>
          <w:sz w:val="20"/>
        </w:rPr>
        <w:t xml:space="preserve"> </w:t>
      </w:r>
      <w:r>
        <w:rPr>
          <w:sz w:val="20"/>
        </w:rPr>
        <w:t>19</w:t>
      </w:r>
      <w:r>
        <w:rPr>
          <w:spacing w:val="-3"/>
          <w:sz w:val="20"/>
        </w:rPr>
        <w:t xml:space="preserve"> </w:t>
      </w:r>
      <w:r>
        <w:rPr>
          <w:sz w:val="20"/>
        </w:rPr>
        <w:t>years)</w:t>
      </w:r>
      <w:r>
        <w:rPr>
          <w:spacing w:val="-4"/>
          <w:sz w:val="20"/>
        </w:rPr>
        <w:t xml:space="preserve"> </w:t>
      </w:r>
      <w:r>
        <w:rPr>
          <w:sz w:val="20"/>
        </w:rPr>
        <w:t>(at</w:t>
      </w:r>
      <w:r>
        <w:rPr>
          <w:spacing w:val="-3"/>
          <w:sz w:val="20"/>
        </w:rPr>
        <w:t xml:space="preserve"> </w:t>
      </w:r>
      <w:r>
        <w:rPr>
          <w:sz w:val="20"/>
        </w:rPr>
        <w:t>time</w:t>
      </w:r>
      <w:r>
        <w:rPr>
          <w:spacing w:val="-4"/>
          <w:sz w:val="20"/>
        </w:rPr>
        <w:t xml:space="preserve"> </w:t>
      </w:r>
      <w:r>
        <w:rPr>
          <w:sz w:val="20"/>
        </w:rPr>
        <w:t>of</w:t>
      </w:r>
      <w:r>
        <w:rPr>
          <w:spacing w:val="-3"/>
          <w:sz w:val="20"/>
        </w:rPr>
        <w:t xml:space="preserve"> </w:t>
      </w:r>
      <w:r>
        <w:rPr>
          <w:spacing w:val="-2"/>
          <w:sz w:val="20"/>
        </w:rPr>
        <w:t>decision).</w:t>
      </w:r>
    </w:p>
    <w:p w14:paraId="75C2D7D2" w14:textId="77777777" w:rsidR="00AC6F3C" w:rsidRDefault="00570E88">
      <w:pPr>
        <w:pStyle w:val="BodyText"/>
        <w:spacing w:before="180" w:line="249" w:lineRule="auto"/>
        <w:ind w:left="815" w:right="506"/>
      </w:pPr>
      <w:r>
        <w:t xml:space="preserve">Our FRC </w:t>
      </w:r>
      <w:proofErr w:type="gramStart"/>
      <w:r>
        <w:t>is led</w:t>
      </w:r>
      <w:proofErr w:type="gramEnd"/>
      <w:r>
        <w:t xml:space="preserve"> by an independent chair, who is not a member of the Council but was appointed by the Council, based on a selection and recruitment process in</w:t>
      </w:r>
      <w:r>
        <w:rPr>
          <w:spacing w:val="-7"/>
        </w:rPr>
        <w:t xml:space="preserve"> </w:t>
      </w:r>
      <w:r>
        <w:t>April 2022 and who commenced 1 July 2022. The Chair provides leadership to the FRC in fulfilling its duties and responsibilities, with the benefit</w:t>
      </w:r>
      <w:r>
        <w:rPr>
          <w:spacing w:val="-3"/>
        </w:rPr>
        <w:t xml:space="preserve"> </w:t>
      </w:r>
      <w:r>
        <w:t>of</w:t>
      </w:r>
      <w:r>
        <w:rPr>
          <w:spacing w:val="-3"/>
        </w:rPr>
        <w:t xml:space="preserve"> </w:t>
      </w:r>
      <w:r>
        <w:t>having</w:t>
      </w:r>
      <w:r>
        <w:rPr>
          <w:spacing w:val="-3"/>
        </w:rPr>
        <w:t xml:space="preserve"> </w:t>
      </w:r>
      <w:r>
        <w:t>current</w:t>
      </w:r>
      <w:r>
        <w:rPr>
          <w:spacing w:val="-3"/>
        </w:rPr>
        <w:t xml:space="preserve"> </w:t>
      </w:r>
      <w:r>
        <w:t>accountancy</w:t>
      </w:r>
      <w:r>
        <w:rPr>
          <w:spacing w:val="-3"/>
        </w:rPr>
        <w:t xml:space="preserve"> </w:t>
      </w:r>
      <w:r>
        <w:t>qualifications</w:t>
      </w:r>
      <w:r>
        <w:rPr>
          <w:spacing w:val="-3"/>
        </w:rPr>
        <w:t xml:space="preserve"> </w:t>
      </w:r>
      <w:r>
        <w:t>and</w:t>
      </w:r>
      <w:r>
        <w:rPr>
          <w:spacing w:val="-3"/>
        </w:rPr>
        <w:t xml:space="preserve"> </w:t>
      </w:r>
      <w:r>
        <w:t>other</w:t>
      </w:r>
      <w:r>
        <w:rPr>
          <w:spacing w:val="-3"/>
        </w:rPr>
        <w:t xml:space="preserve"> </w:t>
      </w:r>
      <w:r>
        <w:t>financial</w:t>
      </w:r>
      <w:r>
        <w:rPr>
          <w:spacing w:val="-3"/>
        </w:rPr>
        <w:t xml:space="preserve"> </w:t>
      </w:r>
      <w:r>
        <w:t>expertise</w:t>
      </w:r>
      <w:r>
        <w:rPr>
          <w:spacing w:val="-3"/>
        </w:rPr>
        <w:t xml:space="preserve"> </w:t>
      </w:r>
      <w:r>
        <w:t>and</w:t>
      </w:r>
      <w:r>
        <w:rPr>
          <w:spacing w:val="-3"/>
        </w:rPr>
        <w:t xml:space="preserve"> </w:t>
      </w:r>
      <w:r>
        <w:t>experience.</w:t>
      </w:r>
      <w:r>
        <w:rPr>
          <w:spacing w:val="-3"/>
        </w:rPr>
        <w:t xml:space="preserve"> </w:t>
      </w:r>
      <w:r>
        <w:t xml:space="preserve">Our FRC Chair for this </w:t>
      </w:r>
      <w:proofErr w:type="gramStart"/>
      <w:r>
        <w:t>financial year</w:t>
      </w:r>
      <w:proofErr w:type="gramEnd"/>
      <w:r>
        <w:t xml:space="preserve"> is </w:t>
      </w:r>
      <w:proofErr w:type="spellStart"/>
      <w:r>
        <w:t>Mr</w:t>
      </w:r>
      <w:proofErr w:type="spellEnd"/>
      <w:r>
        <w:t xml:space="preserve"> Tim Cronin, Partner, PKF Brisbane. </w:t>
      </w:r>
      <w:proofErr w:type="spellStart"/>
      <w:r>
        <w:t>Mr</w:t>
      </w:r>
      <w:proofErr w:type="spellEnd"/>
      <w:r>
        <w:t xml:space="preserve"> Cronin is a member of</w:t>
      </w:r>
    </w:p>
    <w:p w14:paraId="4EDE9451" w14:textId="77777777" w:rsidR="00AC6F3C" w:rsidRDefault="00570E88">
      <w:pPr>
        <w:pStyle w:val="BodyText"/>
        <w:spacing w:before="4" w:line="249" w:lineRule="auto"/>
        <w:ind w:left="815" w:right="207"/>
      </w:pPr>
      <w:r>
        <w:t>Chartered</w:t>
      </w:r>
      <w:r>
        <w:rPr>
          <w:spacing w:val="-14"/>
        </w:rPr>
        <w:t xml:space="preserve"> </w:t>
      </w:r>
      <w:r>
        <w:t>Accountants</w:t>
      </w:r>
      <w:r>
        <w:rPr>
          <w:spacing w:val="-14"/>
        </w:rPr>
        <w:t xml:space="preserve"> </w:t>
      </w:r>
      <w:r>
        <w:t>Australia</w:t>
      </w:r>
      <w:r>
        <w:rPr>
          <w:spacing w:val="-3"/>
        </w:rPr>
        <w:t xml:space="preserve"> </w:t>
      </w:r>
      <w:r>
        <w:t>and</w:t>
      </w:r>
      <w:r>
        <w:rPr>
          <w:spacing w:val="-4"/>
        </w:rPr>
        <w:t xml:space="preserve"> </w:t>
      </w:r>
      <w:r>
        <w:t>New</w:t>
      </w:r>
      <w:r>
        <w:rPr>
          <w:spacing w:val="-4"/>
        </w:rPr>
        <w:t xml:space="preserve"> </w:t>
      </w:r>
      <w:r>
        <w:t>Zealand,</w:t>
      </w:r>
      <w:r>
        <w:rPr>
          <w:spacing w:val="-4"/>
        </w:rPr>
        <w:t xml:space="preserve"> </w:t>
      </w:r>
      <w:r>
        <w:t>is</w:t>
      </w:r>
      <w:r>
        <w:rPr>
          <w:spacing w:val="-4"/>
        </w:rPr>
        <w:t xml:space="preserve"> </w:t>
      </w:r>
      <w:r>
        <w:t>a</w:t>
      </w:r>
      <w:r>
        <w:rPr>
          <w:spacing w:val="-4"/>
        </w:rPr>
        <w:t xml:space="preserve"> </w:t>
      </w:r>
      <w:r>
        <w:t>certified</w:t>
      </w:r>
      <w:r>
        <w:rPr>
          <w:spacing w:val="-4"/>
        </w:rPr>
        <w:t xml:space="preserve"> </w:t>
      </w:r>
      <w:r>
        <w:t>internal</w:t>
      </w:r>
      <w:r>
        <w:rPr>
          <w:spacing w:val="-4"/>
        </w:rPr>
        <w:t xml:space="preserve"> </w:t>
      </w:r>
      <w:r>
        <w:t>auditor,</w:t>
      </w:r>
      <w:r>
        <w:rPr>
          <w:spacing w:val="-4"/>
        </w:rPr>
        <w:t xml:space="preserve"> </w:t>
      </w:r>
      <w:r>
        <w:t>holds</w:t>
      </w:r>
      <w:r>
        <w:rPr>
          <w:spacing w:val="-4"/>
        </w:rPr>
        <w:t xml:space="preserve"> </w:t>
      </w:r>
      <w:r>
        <w:t>certification</w:t>
      </w:r>
      <w:r>
        <w:rPr>
          <w:spacing w:val="-4"/>
        </w:rPr>
        <w:t xml:space="preserve"> </w:t>
      </w:r>
      <w:r>
        <w:t>in</w:t>
      </w:r>
      <w:r>
        <w:rPr>
          <w:spacing w:val="-4"/>
        </w:rPr>
        <w:t xml:space="preserve"> </w:t>
      </w:r>
      <w:r>
        <w:t xml:space="preserve">risk management assurance and certification in internal audit quality and assurance assessment. </w:t>
      </w:r>
      <w:proofErr w:type="spellStart"/>
      <w:r>
        <w:t>Mr</w:t>
      </w:r>
      <w:proofErr w:type="spellEnd"/>
      <w:r>
        <w:t xml:space="preserve"> Cronin is a registered company auditor and has over 30 years’</w:t>
      </w:r>
      <w:r>
        <w:rPr>
          <w:spacing w:val="-1"/>
        </w:rPr>
        <w:t xml:space="preserve"> </w:t>
      </w:r>
      <w:r>
        <w:t>experience as an assurance and risk adviser.</w:t>
      </w:r>
    </w:p>
    <w:p w14:paraId="4BECB92C" w14:textId="77777777" w:rsidR="00AC6F3C" w:rsidRDefault="00570E88">
      <w:pPr>
        <w:pStyle w:val="BodyText"/>
        <w:spacing w:before="172" w:line="249" w:lineRule="auto"/>
        <w:ind w:left="815" w:right="632"/>
      </w:pPr>
      <w:r>
        <w:t>During</w:t>
      </w:r>
      <w:r>
        <w:rPr>
          <w:spacing w:val="-5"/>
        </w:rPr>
        <w:t xml:space="preserve"> </w:t>
      </w:r>
      <w:r>
        <w:t>the</w:t>
      </w:r>
      <w:r>
        <w:rPr>
          <w:spacing w:val="-5"/>
        </w:rPr>
        <w:t xml:space="preserve"> </w:t>
      </w:r>
      <w:proofErr w:type="gramStart"/>
      <w:r>
        <w:t>financial</w:t>
      </w:r>
      <w:r>
        <w:rPr>
          <w:spacing w:val="-5"/>
        </w:rPr>
        <w:t xml:space="preserve"> </w:t>
      </w:r>
      <w:r>
        <w:t>year</w:t>
      </w:r>
      <w:proofErr w:type="gramEnd"/>
      <w:r>
        <w:t>,</w:t>
      </w:r>
      <w:r>
        <w:rPr>
          <w:spacing w:val="-5"/>
        </w:rPr>
        <w:t xml:space="preserve"> </w:t>
      </w:r>
      <w:r>
        <w:t>the</w:t>
      </w:r>
      <w:r>
        <w:rPr>
          <w:spacing w:val="-5"/>
        </w:rPr>
        <w:t xml:space="preserve"> </w:t>
      </w:r>
      <w:r>
        <w:t>FRC</w:t>
      </w:r>
      <w:r>
        <w:rPr>
          <w:spacing w:val="-5"/>
        </w:rPr>
        <w:t xml:space="preserve"> </w:t>
      </w:r>
      <w:r>
        <w:t>Chair</w:t>
      </w:r>
      <w:r>
        <w:rPr>
          <w:spacing w:val="-5"/>
        </w:rPr>
        <w:t xml:space="preserve"> </w:t>
      </w:r>
      <w:r>
        <w:t>received</w:t>
      </w:r>
      <w:r>
        <w:rPr>
          <w:spacing w:val="-5"/>
        </w:rPr>
        <w:t xml:space="preserve"> </w:t>
      </w:r>
      <w:r>
        <w:t>remuneration</w:t>
      </w:r>
      <w:r>
        <w:rPr>
          <w:spacing w:val="-5"/>
        </w:rPr>
        <w:t xml:space="preserve"> </w:t>
      </w:r>
      <w:r>
        <w:t>of</w:t>
      </w:r>
      <w:r>
        <w:rPr>
          <w:spacing w:val="-5"/>
        </w:rPr>
        <w:t xml:space="preserve"> </w:t>
      </w:r>
      <w:r>
        <w:t>$30,000</w:t>
      </w:r>
      <w:r>
        <w:rPr>
          <w:spacing w:val="-5"/>
        </w:rPr>
        <w:t xml:space="preserve"> </w:t>
      </w:r>
      <w:r>
        <w:t>per</w:t>
      </w:r>
      <w:r>
        <w:rPr>
          <w:spacing w:val="-5"/>
        </w:rPr>
        <w:t xml:space="preserve"> </w:t>
      </w:r>
      <w:r>
        <w:t>annum</w:t>
      </w:r>
      <w:r>
        <w:rPr>
          <w:spacing w:val="-5"/>
        </w:rPr>
        <w:t xml:space="preserve"> </w:t>
      </w:r>
      <w:r>
        <w:t>plus</w:t>
      </w:r>
      <w:r>
        <w:rPr>
          <w:spacing w:val="-5"/>
        </w:rPr>
        <w:t xml:space="preserve"> </w:t>
      </w:r>
      <w:r>
        <w:t xml:space="preserve">GST. QLS does not operate an internal audit function. Sufficiency of controls </w:t>
      </w:r>
      <w:proofErr w:type="gramStart"/>
      <w:r>
        <w:t>is assessed</w:t>
      </w:r>
      <w:proofErr w:type="gramEnd"/>
      <w:r>
        <w:t xml:space="preserve"> through the external audit process conducted by the Queensland</w:t>
      </w:r>
      <w:r>
        <w:rPr>
          <w:spacing w:val="-8"/>
        </w:rPr>
        <w:t xml:space="preserve"> </w:t>
      </w:r>
      <w:r>
        <w:t>Auditor-General and the FRC and Council consider risk and fraud risk on a quarterly basis.</w:t>
      </w:r>
    </w:p>
    <w:p w14:paraId="5388AD57" w14:textId="77777777" w:rsidR="00AC6F3C" w:rsidRDefault="00570E88">
      <w:pPr>
        <w:pStyle w:val="BodyText"/>
        <w:spacing w:before="174" w:line="249" w:lineRule="auto"/>
        <w:ind w:left="815" w:right="632"/>
      </w:pPr>
      <w:r>
        <w:t xml:space="preserve">During the year, the FRC – in observing its charter – addressed matters relating to </w:t>
      </w:r>
      <w:proofErr w:type="gramStart"/>
      <w:r>
        <w:t>financial management</w:t>
      </w:r>
      <w:proofErr w:type="gramEnd"/>
      <w:r>
        <w:rPr>
          <w:spacing w:val="-6"/>
        </w:rPr>
        <w:t xml:space="preserve"> </w:t>
      </w:r>
      <w:r>
        <w:t>and</w:t>
      </w:r>
      <w:r>
        <w:rPr>
          <w:spacing w:val="-6"/>
        </w:rPr>
        <w:t xml:space="preserve"> </w:t>
      </w:r>
      <w:r>
        <w:t>strategy,</w:t>
      </w:r>
      <w:r>
        <w:rPr>
          <w:spacing w:val="-6"/>
        </w:rPr>
        <w:t xml:space="preserve"> </w:t>
      </w:r>
      <w:r>
        <w:t>considered</w:t>
      </w:r>
      <w:r>
        <w:rPr>
          <w:spacing w:val="-6"/>
        </w:rPr>
        <w:t xml:space="preserve"> </w:t>
      </w:r>
      <w:r>
        <w:t>financial</w:t>
      </w:r>
      <w:r>
        <w:rPr>
          <w:spacing w:val="-6"/>
        </w:rPr>
        <w:t xml:space="preserve"> </w:t>
      </w:r>
      <w:r>
        <w:t>statements,</w:t>
      </w:r>
      <w:r>
        <w:rPr>
          <w:spacing w:val="-6"/>
        </w:rPr>
        <w:t xml:space="preserve"> </w:t>
      </w:r>
      <w:r>
        <w:t>investments,</w:t>
      </w:r>
      <w:r>
        <w:rPr>
          <w:spacing w:val="-6"/>
        </w:rPr>
        <w:t xml:space="preserve"> </w:t>
      </w:r>
      <w:r>
        <w:t>retained</w:t>
      </w:r>
      <w:r>
        <w:rPr>
          <w:spacing w:val="-6"/>
        </w:rPr>
        <w:t xml:space="preserve"> </w:t>
      </w:r>
      <w:r>
        <w:t>earnings,</w:t>
      </w:r>
      <w:r>
        <w:rPr>
          <w:spacing w:val="-6"/>
        </w:rPr>
        <w:t xml:space="preserve"> </w:t>
      </w:r>
      <w:r>
        <w:t>cyber risk, fraud and risk management, workplace health and safety reports and insurance and made recommendations to the Council.</w:t>
      </w:r>
    </w:p>
    <w:p w14:paraId="3D6ED313" w14:textId="77777777" w:rsidR="00AC6F3C" w:rsidRDefault="00AC6F3C">
      <w:pPr>
        <w:spacing w:line="249" w:lineRule="auto"/>
        <w:sectPr w:rsidR="00AC6F3C">
          <w:headerReference w:type="default" r:id="rId53"/>
          <w:footerReference w:type="default" r:id="rId54"/>
          <w:pgSz w:w="11910" w:h="16840"/>
          <w:pgMar w:top="1140" w:right="1160" w:bottom="520" w:left="460" w:header="0" w:footer="336" w:gutter="0"/>
          <w:cols w:space="720"/>
        </w:sectPr>
      </w:pPr>
    </w:p>
    <w:p w14:paraId="5FA44C07" w14:textId="77777777" w:rsidR="00AC6F3C" w:rsidRDefault="00570E88">
      <w:pPr>
        <w:spacing w:before="63"/>
        <w:ind w:left="815"/>
        <w:rPr>
          <w:b/>
          <w:sz w:val="26"/>
        </w:rPr>
      </w:pPr>
      <w:bookmarkStart w:id="24" w:name="Other_committees"/>
      <w:bookmarkStart w:id="25" w:name="_bookmark9"/>
      <w:bookmarkEnd w:id="24"/>
      <w:bookmarkEnd w:id="25"/>
      <w:r>
        <w:rPr>
          <w:b/>
          <w:sz w:val="26"/>
        </w:rPr>
        <w:lastRenderedPageBreak/>
        <w:t>Other</w:t>
      </w:r>
      <w:r>
        <w:rPr>
          <w:b/>
          <w:spacing w:val="-4"/>
          <w:sz w:val="26"/>
        </w:rPr>
        <w:t xml:space="preserve"> </w:t>
      </w:r>
      <w:r>
        <w:rPr>
          <w:b/>
          <w:spacing w:val="-2"/>
          <w:sz w:val="26"/>
        </w:rPr>
        <w:t>committees</w:t>
      </w:r>
    </w:p>
    <w:p w14:paraId="3D05975D" w14:textId="77777777" w:rsidR="00AC6F3C" w:rsidRDefault="00570E88">
      <w:pPr>
        <w:pStyle w:val="BodyText"/>
        <w:spacing w:before="167" w:line="249" w:lineRule="auto"/>
        <w:ind w:left="815" w:right="468"/>
      </w:pPr>
      <w:r>
        <w:t>Our</w:t>
      </w:r>
      <w:r>
        <w:rPr>
          <w:spacing w:val="-3"/>
        </w:rPr>
        <w:t xml:space="preserve"> </w:t>
      </w:r>
      <w:r>
        <w:t>Council</w:t>
      </w:r>
      <w:r>
        <w:rPr>
          <w:spacing w:val="-3"/>
        </w:rPr>
        <w:t xml:space="preserve"> </w:t>
      </w:r>
      <w:r>
        <w:t>has</w:t>
      </w:r>
      <w:r>
        <w:rPr>
          <w:spacing w:val="-3"/>
        </w:rPr>
        <w:t xml:space="preserve"> </w:t>
      </w:r>
      <w:r>
        <w:t>a</w:t>
      </w:r>
      <w:r>
        <w:rPr>
          <w:spacing w:val="-3"/>
        </w:rPr>
        <w:t xml:space="preserve"> </w:t>
      </w:r>
      <w:r>
        <w:t>number</w:t>
      </w:r>
      <w:r>
        <w:rPr>
          <w:spacing w:val="-3"/>
        </w:rPr>
        <w:t xml:space="preserve"> </w:t>
      </w:r>
      <w:r>
        <w:t>of</w:t>
      </w:r>
      <w:r>
        <w:rPr>
          <w:spacing w:val="-3"/>
        </w:rPr>
        <w:t xml:space="preserve"> </w:t>
      </w:r>
      <w:r>
        <w:t>long-standing</w:t>
      </w:r>
      <w:r>
        <w:rPr>
          <w:spacing w:val="-3"/>
        </w:rPr>
        <w:t xml:space="preserve"> </w:t>
      </w:r>
      <w:r>
        <w:t>committees</w:t>
      </w:r>
      <w:r>
        <w:rPr>
          <w:spacing w:val="-3"/>
        </w:rPr>
        <w:t xml:space="preserve"> </w:t>
      </w:r>
      <w:r>
        <w:t>that</w:t>
      </w:r>
      <w:r>
        <w:rPr>
          <w:spacing w:val="-3"/>
        </w:rPr>
        <w:t xml:space="preserve"> </w:t>
      </w:r>
      <w:r>
        <w:t>have</w:t>
      </w:r>
      <w:r>
        <w:rPr>
          <w:spacing w:val="-3"/>
        </w:rPr>
        <w:t xml:space="preserve"> </w:t>
      </w:r>
      <w:r>
        <w:t>been</w:t>
      </w:r>
      <w:r>
        <w:rPr>
          <w:spacing w:val="-3"/>
        </w:rPr>
        <w:t xml:space="preserve"> </w:t>
      </w:r>
      <w:r>
        <w:t>established</w:t>
      </w:r>
      <w:r>
        <w:rPr>
          <w:spacing w:val="-3"/>
        </w:rPr>
        <w:t xml:space="preserve"> </w:t>
      </w:r>
      <w:r>
        <w:t>to</w:t>
      </w:r>
      <w:r>
        <w:rPr>
          <w:spacing w:val="-3"/>
        </w:rPr>
        <w:t xml:space="preserve"> </w:t>
      </w:r>
      <w:r>
        <w:t>assist</w:t>
      </w:r>
      <w:r>
        <w:rPr>
          <w:spacing w:val="-3"/>
        </w:rPr>
        <w:t xml:space="preserve"> </w:t>
      </w:r>
      <w:r>
        <w:t>it</w:t>
      </w:r>
      <w:r>
        <w:rPr>
          <w:spacing w:val="-3"/>
        </w:rPr>
        <w:t xml:space="preserve"> </w:t>
      </w:r>
      <w:r>
        <w:t xml:space="preserve">in discharging its statutory responsibilities and to </w:t>
      </w:r>
      <w:proofErr w:type="gramStart"/>
      <w:r>
        <w:t>carry out</w:t>
      </w:r>
      <w:proofErr w:type="gramEnd"/>
      <w:r>
        <w:t xml:space="preserve"> other business of QLS. These include:</w:t>
      </w:r>
    </w:p>
    <w:p w14:paraId="1A8C9711" w14:textId="77777777" w:rsidR="00AC6F3C" w:rsidRDefault="00570E88">
      <w:pPr>
        <w:pStyle w:val="ListParagraph"/>
        <w:numPr>
          <w:ilvl w:val="1"/>
          <w:numId w:val="59"/>
        </w:numPr>
        <w:tabs>
          <w:tab w:val="left" w:pos="1155"/>
        </w:tabs>
        <w:spacing w:before="172" w:line="249" w:lineRule="auto"/>
        <w:ind w:right="781"/>
        <w:rPr>
          <w:sz w:val="20"/>
        </w:rPr>
      </w:pPr>
      <w:r>
        <w:rPr>
          <w:b/>
          <w:sz w:val="20"/>
        </w:rPr>
        <w:t>Committee</w:t>
      </w:r>
      <w:r>
        <w:rPr>
          <w:b/>
          <w:spacing w:val="-3"/>
          <w:sz w:val="20"/>
        </w:rPr>
        <w:t xml:space="preserve"> </w:t>
      </w:r>
      <w:r>
        <w:rPr>
          <w:b/>
          <w:sz w:val="20"/>
        </w:rPr>
        <w:t>of</w:t>
      </w:r>
      <w:r>
        <w:rPr>
          <w:b/>
          <w:spacing w:val="-3"/>
          <w:sz w:val="20"/>
        </w:rPr>
        <w:t xml:space="preserve"> </w:t>
      </w:r>
      <w:r>
        <w:rPr>
          <w:b/>
          <w:sz w:val="20"/>
        </w:rPr>
        <w:t>Management</w:t>
      </w:r>
      <w:r>
        <w:rPr>
          <w:b/>
          <w:spacing w:val="-3"/>
          <w:sz w:val="20"/>
        </w:rPr>
        <w:t xml:space="preserve"> </w:t>
      </w:r>
      <w:r>
        <w:rPr>
          <w:b/>
          <w:sz w:val="20"/>
        </w:rPr>
        <w:t>for</w:t>
      </w:r>
      <w:r>
        <w:rPr>
          <w:b/>
          <w:spacing w:val="-3"/>
          <w:sz w:val="20"/>
        </w:rPr>
        <w:t xml:space="preserve"> </w:t>
      </w:r>
      <w:r>
        <w:rPr>
          <w:b/>
          <w:sz w:val="20"/>
        </w:rPr>
        <w:t>the</w:t>
      </w:r>
      <w:r>
        <w:rPr>
          <w:b/>
          <w:spacing w:val="-3"/>
          <w:sz w:val="20"/>
        </w:rPr>
        <w:t xml:space="preserve"> </w:t>
      </w:r>
      <w:r>
        <w:rPr>
          <w:b/>
          <w:sz w:val="20"/>
        </w:rPr>
        <w:t>Fidelity</w:t>
      </w:r>
      <w:r>
        <w:rPr>
          <w:b/>
          <w:spacing w:val="-3"/>
          <w:sz w:val="20"/>
        </w:rPr>
        <w:t xml:space="preserve"> </w:t>
      </w:r>
      <w:r>
        <w:rPr>
          <w:b/>
          <w:sz w:val="20"/>
        </w:rPr>
        <w:t>Guarantee</w:t>
      </w:r>
      <w:r>
        <w:rPr>
          <w:b/>
          <w:spacing w:val="-3"/>
          <w:sz w:val="20"/>
        </w:rPr>
        <w:t xml:space="preserve"> </w:t>
      </w:r>
      <w:r>
        <w:rPr>
          <w:b/>
          <w:sz w:val="20"/>
        </w:rPr>
        <w:t>Fund:</w:t>
      </w:r>
      <w:r>
        <w:rPr>
          <w:b/>
          <w:spacing w:val="-3"/>
          <w:sz w:val="20"/>
        </w:rPr>
        <w:t xml:space="preserve"> </w:t>
      </w:r>
      <w:r>
        <w:rPr>
          <w:sz w:val="20"/>
        </w:rPr>
        <w:t>Established</w:t>
      </w:r>
      <w:r>
        <w:rPr>
          <w:spacing w:val="-3"/>
          <w:sz w:val="20"/>
        </w:rPr>
        <w:t xml:space="preserve"> </w:t>
      </w:r>
      <w:r>
        <w:rPr>
          <w:sz w:val="20"/>
        </w:rPr>
        <w:t>under</w:t>
      </w:r>
      <w:r>
        <w:rPr>
          <w:spacing w:val="-3"/>
          <w:sz w:val="20"/>
        </w:rPr>
        <w:t xml:space="preserve"> </w:t>
      </w:r>
      <w:r>
        <w:rPr>
          <w:sz w:val="20"/>
        </w:rPr>
        <w:t>s366</w:t>
      </w:r>
      <w:r>
        <w:rPr>
          <w:spacing w:val="-3"/>
          <w:sz w:val="20"/>
        </w:rPr>
        <w:t xml:space="preserve"> </w:t>
      </w:r>
      <w:r>
        <w:rPr>
          <w:sz w:val="20"/>
        </w:rPr>
        <w:t>of</w:t>
      </w:r>
      <w:r>
        <w:rPr>
          <w:spacing w:val="-3"/>
          <w:sz w:val="20"/>
        </w:rPr>
        <w:t xml:space="preserve"> </w:t>
      </w:r>
      <w:r>
        <w:rPr>
          <w:sz w:val="20"/>
        </w:rPr>
        <w:t>the LPA</w:t>
      </w:r>
      <w:r>
        <w:rPr>
          <w:spacing w:val="-6"/>
          <w:sz w:val="20"/>
        </w:rPr>
        <w:t xml:space="preserve"> </w:t>
      </w:r>
      <w:r>
        <w:rPr>
          <w:sz w:val="20"/>
        </w:rPr>
        <w:t>to exercise delegated powers of the Council in managing the Legal Practitioners’</w:t>
      </w:r>
      <w:r>
        <w:rPr>
          <w:spacing w:val="-1"/>
          <w:sz w:val="20"/>
        </w:rPr>
        <w:t xml:space="preserve"> </w:t>
      </w:r>
      <w:r>
        <w:rPr>
          <w:sz w:val="20"/>
        </w:rPr>
        <w:t>Fidelity Guarantee Fund.</w:t>
      </w:r>
    </w:p>
    <w:p w14:paraId="1E8C1735" w14:textId="77777777" w:rsidR="00AC6F3C" w:rsidRDefault="00570E88">
      <w:pPr>
        <w:pStyle w:val="ListParagraph"/>
        <w:numPr>
          <w:ilvl w:val="1"/>
          <w:numId w:val="59"/>
        </w:numPr>
        <w:tabs>
          <w:tab w:val="left" w:pos="1155"/>
        </w:tabs>
        <w:spacing w:before="172" w:line="249" w:lineRule="auto"/>
        <w:ind w:right="813"/>
        <w:rPr>
          <w:sz w:val="20"/>
        </w:rPr>
      </w:pPr>
      <w:r>
        <w:rPr>
          <w:b/>
          <w:sz w:val="20"/>
        </w:rPr>
        <w:t>Practice</w:t>
      </w:r>
      <w:r>
        <w:rPr>
          <w:b/>
          <w:spacing w:val="-4"/>
          <w:sz w:val="20"/>
        </w:rPr>
        <w:t xml:space="preserve"> </w:t>
      </w:r>
      <w:r>
        <w:rPr>
          <w:b/>
          <w:sz w:val="20"/>
        </w:rPr>
        <w:t>Management</w:t>
      </w:r>
      <w:r>
        <w:rPr>
          <w:b/>
          <w:spacing w:val="-4"/>
          <w:sz w:val="20"/>
        </w:rPr>
        <w:t xml:space="preserve"> </w:t>
      </w:r>
      <w:r>
        <w:rPr>
          <w:b/>
          <w:sz w:val="20"/>
        </w:rPr>
        <w:t>Course</w:t>
      </w:r>
      <w:r>
        <w:rPr>
          <w:b/>
          <w:spacing w:val="-4"/>
          <w:sz w:val="20"/>
        </w:rPr>
        <w:t xml:space="preserve"> </w:t>
      </w:r>
      <w:r>
        <w:rPr>
          <w:b/>
          <w:sz w:val="20"/>
        </w:rPr>
        <w:t>Committee:</w:t>
      </w:r>
      <w:r>
        <w:rPr>
          <w:b/>
          <w:spacing w:val="-4"/>
          <w:sz w:val="20"/>
        </w:rPr>
        <w:t xml:space="preserve"> </w:t>
      </w:r>
      <w:r>
        <w:rPr>
          <w:sz w:val="20"/>
        </w:rPr>
        <w:t>Established</w:t>
      </w:r>
      <w:r>
        <w:rPr>
          <w:spacing w:val="-4"/>
          <w:sz w:val="20"/>
        </w:rPr>
        <w:t xml:space="preserve"> </w:t>
      </w:r>
      <w:r>
        <w:rPr>
          <w:sz w:val="20"/>
        </w:rPr>
        <w:t>under</w:t>
      </w:r>
      <w:r>
        <w:rPr>
          <w:spacing w:val="-4"/>
          <w:sz w:val="20"/>
        </w:rPr>
        <w:t xml:space="preserve"> </w:t>
      </w:r>
      <w:r>
        <w:rPr>
          <w:sz w:val="20"/>
        </w:rPr>
        <w:t>Part</w:t>
      </w:r>
      <w:r>
        <w:rPr>
          <w:spacing w:val="-4"/>
          <w:sz w:val="20"/>
        </w:rPr>
        <w:t xml:space="preserve"> </w:t>
      </w:r>
      <w:r>
        <w:rPr>
          <w:sz w:val="20"/>
        </w:rPr>
        <w:t>5</w:t>
      </w:r>
      <w:r>
        <w:rPr>
          <w:spacing w:val="-4"/>
          <w:sz w:val="20"/>
        </w:rPr>
        <w:t xml:space="preserve"> </w:t>
      </w:r>
      <w:r>
        <w:rPr>
          <w:sz w:val="20"/>
        </w:rPr>
        <w:t>of</w:t>
      </w:r>
      <w:r>
        <w:rPr>
          <w:spacing w:val="-4"/>
          <w:sz w:val="20"/>
        </w:rPr>
        <w:t xml:space="preserve"> </w:t>
      </w:r>
      <w:r>
        <w:rPr>
          <w:sz w:val="20"/>
        </w:rPr>
        <w:t>the</w:t>
      </w:r>
      <w:r>
        <w:rPr>
          <w:spacing w:val="-4"/>
          <w:sz w:val="20"/>
        </w:rPr>
        <w:t xml:space="preserve"> </w:t>
      </w:r>
      <w:r>
        <w:rPr>
          <w:i/>
          <w:sz w:val="20"/>
        </w:rPr>
        <w:t>Queensland</w:t>
      </w:r>
      <w:r>
        <w:rPr>
          <w:i/>
          <w:spacing w:val="-4"/>
          <w:sz w:val="20"/>
        </w:rPr>
        <w:t xml:space="preserve"> </w:t>
      </w:r>
      <w:r>
        <w:rPr>
          <w:i/>
          <w:sz w:val="20"/>
        </w:rPr>
        <w:t xml:space="preserve">Law Society Administration Rule 2005 </w:t>
      </w:r>
      <w:r>
        <w:rPr>
          <w:sz w:val="20"/>
        </w:rPr>
        <w:t>to oversee the conduct and management of the Practice Management Course conducted by QLS.</w:t>
      </w:r>
    </w:p>
    <w:p w14:paraId="7F631049" w14:textId="77777777" w:rsidR="00AC6F3C" w:rsidRDefault="00570E88">
      <w:pPr>
        <w:pStyle w:val="ListParagraph"/>
        <w:numPr>
          <w:ilvl w:val="1"/>
          <w:numId w:val="59"/>
        </w:numPr>
        <w:tabs>
          <w:tab w:val="left" w:pos="1153"/>
          <w:tab w:val="left" w:pos="1155"/>
        </w:tabs>
        <w:spacing w:before="173" w:line="249" w:lineRule="auto"/>
        <w:ind w:right="386"/>
        <w:jc w:val="both"/>
        <w:rPr>
          <w:sz w:val="20"/>
        </w:rPr>
      </w:pPr>
      <w:r>
        <w:rPr>
          <w:b/>
          <w:sz w:val="20"/>
        </w:rPr>
        <w:t>Continuing</w:t>
      </w:r>
      <w:r>
        <w:rPr>
          <w:b/>
          <w:spacing w:val="-1"/>
          <w:sz w:val="20"/>
        </w:rPr>
        <w:t xml:space="preserve"> </w:t>
      </w:r>
      <w:r>
        <w:rPr>
          <w:b/>
          <w:sz w:val="20"/>
        </w:rPr>
        <w:t>Professional</w:t>
      </w:r>
      <w:r>
        <w:rPr>
          <w:b/>
          <w:spacing w:val="-1"/>
          <w:sz w:val="20"/>
        </w:rPr>
        <w:t xml:space="preserve"> </w:t>
      </w:r>
      <w:r>
        <w:rPr>
          <w:b/>
          <w:sz w:val="20"/>
        </w:rPr>
        <w:t>Development</w:t>
      </w:r>
      <w:r>
        <w:rPr>
          <w:b/>
          <w:spacing w:val="-1"/>
          <w:sz w:val="20"/>
        </w:rPr>
        <w:t xml:space="preserve"> </w:t>
      </w:r>
      <w:r>
        <w:rPr>
          <w:b/>
          <w:sz w:val="20"/>
        </w:rPr>
        <w:t>Committee:</w:t>
      </w:r>
      <w:r>
        <w:rPr>
          <w:b/>
          <w:spacing w:val="-2"/>
          <w:sz w:val="20"/>
        </w:rPr>
        <w:t xml:space="preserve"> </w:t>
      </w:r>
      <w:r>
        <w:rPr>
          <w:sz w:val="20"/>
        </w:rPr>
        <w:t>Established</w:t>
      </w:r>
      <w:r>
        <w:rPr>
          <w:spacing w:val="-1"/>
          <w:sz w:val="20"/>
        </w:rPr>
        <w:t xml:space="preserve"> </w:t>
      </w:r>
      <w:r>
        <w:rPr>
          <w:sz w:val="20"/>
        </w:rPr>
        <w:t>under</w:t>
      </w:r>
      <w:r>
        <w:rPr>
          <w:spacing w:val="-1"/>
          <w:sz w:val="20"/>
        </w:rPr>
        <w:t xml:space="preserve"> </w:t>
      </w:r>
      <w:r>
        <w:rPr>
          <w:sz w:val="20"/>
        </w:rPr>
        <w:t>Part</w:t>
      </w:r>
      <w:r>
        <w:rPr>
          <w:spacing w:val="-1"/>
          <w:sz w:val="20"/>
        </w:rPr>
        <w:t xml:space="preserve"> </w:t>
      </w:r>
      <w:r>
        <w:rPr>
          <w:sz w:val="20"/>
        </w:rPr>
        <w:t>6</w:t>
      </w:r>
      <w:r>
        <w:rPr>
          <w:spacing w:val="-1"/>
          <w:sz w:val="20"/>
        </w:rPr>
        <w:t xml:space="preserve"> </w:t>
      </w:r>
      <w:r>
        <w:rPr>
          <w:sz w:val="20"/>
        </w:rPr>
        <w:t>of</w:t>
      </w:r>
      <w:r>
        <w:rPr>
          <w:spacing w:val="-1"/>
          <w:sz w:val="20"/>
        </w:rPr>
        <w:t xml:space="preserve"> </w:t>
      </w:r>
      <w:r>
        <w:rPr>
          <w:sz w:val="20"/>
        </w:rPr>
        <w:t>the</w:t>
      </w:r>
      <w:r>
        <w:rPr>
          <w:spacing w:val="-1"/>
          <w:sz w:val="20"/>
        </w:rPr>
        <w:t xml:space="preserve"> </w:t>
      </w:r>
      <w:r>
        <w:rPr>
          <w:i/>
          <w:sz w:val="20"/>
        </w:rPr>
        <w:t>Queensland Law</w:t>
      </w:r>
      <w:r>
        <w:rPr>
          <w:i/>
          <w:spacing w:val="-3"/>
          <w:sz w:val="20"/>
        </w:rPr>
        <w:t xml:space="preserve"> </w:t>
      </w:r>
      <w:r>
        <w:rPr>
          <w:i/>
          <w:sz w:val="20"/>
        </w:rPr>
        <w:t>Society</w:t>
      </w:r>
      <w:r>
        <w:rPr>
          <w:i/>
          <w:spacing w:val="-11"/>
          <w:sz w:val="20"/>
        </w:rPr>
        <w:t xml:space="preserve"> </w:t>
      </w:r>
      <w:r>
        <w:rPr>
          <w:i/>
          <w:sz w:val="20"/>
        </w:rPr>
        <w:t>Administration</w:t>
      </w:r>
      <w:r>
        <w:rPr>
          <w:i/>
          <w:spacing w:val="-3"/>
          <w:sz w:val="20"/>
        </w:rPr>
        <w:t xml:space="preserve"> </w:t>
      </w:r>
      <w:r>
        <w:rPr>
          <w:i/>
          <w:sz w:val="20"/>
        </w:rPr>
        <w:t>Rule</w:t>
      </w:r>
      <w:r>
        <w:rPr>
          <w:i/>
          <w:spacing w:val="-3"/>
          <w:sz w:val="20"/>
        </w:rPr>
        <w:t xml:space="preserve"> </w:t>
      </w:r>
      <w:r>
        <w:rPr>
          <w:i/>
          <w:sz w:val="20"/>
        </w:rPr>
        <w:t>2005</w:t>
      </w:r>
      <w:r>
        <w:rPr>
          <w:i/>
          <w:spacing w:val="-3"/>
          <w:sz w:val="20"/>
        </w:rPr>
        <w:t xml:space="preserve"> </w:t>
      </w:r>
      <w:r>
        <w:rPr>
          <w:sz w:val="20"/>
        </w:rPr>
        <w:t>to</w:t>
      </w:r>
      <w:r>
        <w:rPr>
          <w:spacing w:val="-3"/>
          <w:sz w:val="20"/>
        </w:rPr>
        <w:t xml:space="preserve"> </w:t>
      </w:r>
      <w:r>
        <w:rPr>
          <w:sz w:val="20"/>
        </w:rPr>
        <w:t>assist</w:t>
      </w:r>
      <w:r>
        <w:rPr>
          <w:spacing w:val="-3"/>
          <w:sz w:val="20"/>
        </w:rPr>
        <w:t xml:space="preserve"> </w:t>
      </w:r>
      <w:r>
        <w:rPr>
          <w:sz w:val="20"/>
        </w:rPr>
        <w:t>Council</w:t>
      </w:r>
      <w:r>
        <w:rPr>
          <w:spacing w:val="-3"/>
          <w:sz w:val="20"/>
        </w:rPr>
        <w:t xml:space="preserve"> </w:t>
      </w:r>
      <w:r>
        <w:rPr>
          <w:sz w:val="20"/>
        </w:rPr>
        <w:t>in</w:t>
      </w:r>
      <w:r>
        <w:rPr>
          <w:spacing w:val="-3"/>
          <w:sz w:val="20"/>
        </w:rPr>
        <w:t xml:space="preserve"> </w:t>
      </w:r>
      <w:r>
        <w:rPr>
          <w:sz w:val="20"/>
        </w:rPr>
        <w:t>managing</w:t>
      </w:r>
      <w:r>
        <w:rPr>
          <w:spacing w:val="-3"/>
          <w:sz w:val="20"/>
        </w:rPr>
        <w:t xml:space="preserve"> </w:t>
      </w:r>
      <w:r>
        <w:rPr>
          <w:sz w:val="20"/>
        </w:rPr>
        <w:t>and</w:t>
      </w:r>
      <w:r>
        <w:rPr>
          <w:spacing w:val="-3"/>
          <w:sz w:val="20"/>
        </w:rPr>
        <w:t xml:space="preserve"> </w:t>
      </w:r>
      <w:r>
        <w:rPr>
          <w:sz w:val="20"/>
        </w:rPr>
        <w:t>monitoring</w:t>
      </w:r>
      <w:r>
        <w:rPr>
          <w:spacing w:val="-3"/>
          <w:sz w:val="20"/>
        </w:rPr>
        <w:t xml:space="preserve"> </w:t>
      </w:r>
      <w:r>
        <w:rPr>
          <w:sz w:val="20"/>
        </w:rPr>
        <w:t>the</w:t>
      </w:r>
      <w:r>
        <w:rPr>
          <w:spacing w:val="-3"/>
          <w:sz w:val="20"/>
        </w:rPr>
        <w:t xml:space="preserve"> </w:t>
      </w:r>
      <w:r>
        <w:rPr>
          <w:sz w:val="20"/>
        </w:rPr>
        <w:t>obligations of legal practitioners to complete Continuing Professional Development units each year.</w:t>
      </w:r>
    </w:p>
    <w:p w14:paraId="1674BE07" w14:textId="77777777" w:rsidR="00AC6F3C" w:rsidRDefault="00570E88">
      <w:pPr>
        <w:pStyle w:val="ListParagraph"/>
        <w:numPr>
          <w:ilvl w:val="1"/>
          <w:numId w:val="59"/>
        </w:numPr>
        <w:tabs>
          <w:tab w:val="left" w:pos="1155"/>
        </w:tabs>
        <w:spacing w:before="172" w:line="249" w:lineRule="auto"/>
        <w:ind w:right="579"/>
        <w:rPr>
          <w:sz w:val="20"/>
        </w:rPr>
      </w:pPr>
      <w:r>
        <w:rPr>
          <w:b/>
          <w:sz w:val="20"/>
        </w:rPr>
        <w:t>Ethics</w:t>
      </w:r>
      <w:r>
        <w:rPr>
          <w:b/>
          <w:spacing w:val="-3"/>
          <w:sz w:val="20"/>
        </w:rPr>
        <w:t xml:space="preserve"> </w:t>
      </w:r>
      <w:r>
        <w:rPr>
          <w:b/>
          <w:sz w:val="20"/>
        </w:rPr>
        <w:t>Committee:</w:t>
      </w:r>
      <w:r>
        <w:rPr>
          <w:b/>
          <w:spacing w:val="-3"/>
          <w:sz w:val="20"/>
        </w:rPr>
        <w:t xml:space="preserve"> </w:t>
      </w:r>
      <w:r>
        <w:rPr>
          <w:sz w:val="20"/>
        </w:rPr>
        <w:t>Established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Council</w:t>
      </w:r>
      <w:r>
        <w:rPr>
          <w:spacing w:val="-3"/>
          <w:sz w:val="20"/>
        </w:rPr>
        <w:t xml:space="preserve"> </w:t>
      </w:r>
      <w:r>
        <w:rPr>
          <w:sz w:val="20"/>
        </w:rPr>
        <w:t>to</w:t>
      </w:r>
      <w:r>
        <w:rPr>
          <w:spacing w:val="-3"/>
          <w:sz w:val="20"/>
        </w:rPr>
        <w:t xml:space="preserve"> </w:t>
      </w:r>
      <w:r>
        <w:rPr>
          <w:sz w:val="20"/>
        </w:rPr>
        <w:t>assist,</w:t>
      </w:r>
      <w:r>
        <w:rPr>
          <w:spacing w:val="-3"/>
          <w:sz w:val="20"/>
        </w:rPr>
        <w:t xml:space="preserve"> </w:t>
      </w:r>
      <w:r>
        <w:rPr>
          <w:sz w:val="20"/>
        </w:rPr>
        <w:t>advise</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on</w:t>
      </w:r>
      <w:r>
        <w:rPr>
          <w:spacing w:val="-3"/>
          <w:sz w:val="20"/>
        </w:rPr>
        <w:t xml:space="preserve"> </w:t>
      </w:r>
      <w:r>
        <w:rPr>
          <w:sz w:val="20"/>
        </w:rPr>
        <w:t>matters</w:t>
      </w:r>
      <w:r>
        <w:rPr>
          <w:spacing w:val="-3"/>
          <w:sz w:val="20"/>
        </w:rPr>
        <w:t xml:space="preserve"> </w:t>
      </w:r>
      <w:r>
        <w:rPr>
          <w:sz w:val="20"/>
        </w:rPr>
        <w:t>relating</w:t>
      </w:r>
      <w:r>
        <w:rPr>
          <w:spacing w:val="-3"/>
          <w:sz w:val="20"/>
        </w:rPr>
        <w:t xml:space="preserve"> </w:t>
      </w:r>
      <w:r>
        <w:rPr>
          <w:sz w:val="20"/>
        </w:rPr>
        <w:t>to lawyers’ professional ethics.</w:t>
      </w:r>
    </w:p>
    <w:p w14:paraId="17AACF9D" w14:textId="77777777" w:rsidR="00AC6F3C" w:rsidRDefault="00570E88">
      <w:pPr>
        <w:pStyle w:val="BodyText"/>
        <w:spacing w:before="172"/>
        <w:ind w:left="815"/>
      </w:pPr>
      <w:proofErr w:type="gramStart"/>
      <w:r>
        <w:rPr>
          <w:spacing w:val="-2"/>
        </w:rPr>
        <w:t>All</w:t>
      </w:r>
      <w:r>
        <w:rPr>
          <w:spacing w:val="-11"/>
        </w:rPr>
        <w:t xml:space="preserve"> </w:t>
      </w:r>
      <w:r>
        <w:rPr>
          <w:spacing w:val="-2"/>
        </w:rPr>
        <w:t>committee</w:t>
      </w:r>
      <w:r>
        <w:rPr>
          <w:spacing w:val="-11"/>
        </w:rPr>
        <w:t xml:space="preserve"> </w:t>
      </w:r>
      <w:r>
        <w:rPr>
          <w:spacing w:val="-2"/>
        </w:rPr>
        <w:t>chairs</w:t>
      </w:r>
      <w:r>
        <w:rPr>
          <w:spacing w:val="-11"/>
        </w:rPr>
        <w:t xml:space="preserve"> </w:t>
      </w:r>
      <w:r>
        <w:rPr>
          <w:spacing w:val="-2"/>
        </w:rPr>
        <w:t>and</w:t>
      </w:r>
      <w:r>
        <w:rPr>
          <w:spacing w:val="-11"/>
        </w:rPr>
        <w:t xml:space="preserve"> </w:t>
      </w:r>
      <w:r>
        <w:rPr>
          <w:spacing w:val="-2"/>
        </w:rPr>
        <w:t>members</w:t>
      </w:r>
      <w:r>
        <w:rPr>
          <w:spacing w:val="-11"/>
        </w:rPr>
        <w:t xml:space="preserve"> </w:t>
      </w:r>
      <w:r>
        <w:rPr>
          <w:spacing w:val="-2"/>
        </w:rPr>
        <w:t>are</w:t>
      </w:r>
      <w:r>
        <w:rPr>
          <w:spacing w:val="-11"/>
        </w:rPr>
        <w:t xml:space="preserve"> </w:t>
      </w:r>
      <w:r>
        <w:rPr>
          <w:spacing w:val="-2"/>
        </w:rPr>
        <w:t>appointed</w:t>
      </w:r>
      <w:r>
        <w:rPr>
          <w:spacing w:val="-10"/>
        </w:rPr>
        <w:t xml:space="preserve"> </w:t>
      </w:r>
      <w:r>
        <w:rPr>
          <w:spacing w:val="-2"/>
        </w:rPr>
        <w:t>by</w:t>
      </w:r>
      <w:r>
        <w:rPr>
          <w:spacing w:val="-11"/>
        </w:rPr>
        <w:t xml:space="preserve"> </w:t>
      </w:r>
      <w:r>
        <w:rPr>
          <w:spacing w:val="-2"/>
        </w:rPr>
        <w:t>the</w:t>
      </w:r>
      <w:r>
        <w:rPr>
          <w:spacing w:val="-11"/>
        </w:rPr>
        <w:t xml:space="preserve"> </w:t>
      </w:r>
      <w:r>
        <w:rPr>
          <w:spacing w:val="-2"/>
        </w:rPr>
        <w:t>Council</w:t>
      </w:r>
      <w:proofErr w:type="gramEnd"/>
      <w:r>
        <w:rPr>
          <w:spacing w:val="-2"/>
        </w:rPr>
        <w:t>.</w:t>
      </w:r>
      <w:r>
        <w:rPr>
          <w:spacing w:val="-11"/>
        </w:rPr>
        <w:t xml:space="preserve"> </w:t>
      </w:r>
      <w:r>
        <w:rPr>
          <w:spacing w:val="-2"/>
        </w:rPr>
        <w:t>Each</w:t>
      </w:r>
      <w:r>
        <w:rPr>
          <w:spacing w:val="-11"/>
        </w:rPr>
        <w:t xml:space="preserve"> </w:t>
      </w:r>
      <w:r>
        <w:rPr>
          <w:spacing w:val="-2"/>
        </w:rPr>
        <w:t>committee</w:t>
      </w:r>
      <w:r>
        <w:rPr>
          <w:spacing w:val="-11"/>
        </w:rPr>
        <w:t xml:space="preserve"> </w:t>
      </w:r>
      <w:proofErr w:type="gramStart"/>
      <w:r>
        <w:rPr>
          <w:spacing w:val="-2"/>
        </w:rPr>
        <w:t>is</w:t>
      </w:r>
      <w:r>
        <w:rPr>
          <w:spacing w:val="-10"/>
        </w:rPr>
        <w:t xml:space="preserve"> </w:t>
      </w:r>
      <w:r>
        <w:rPr>
          <w:spacing w:val="-2"/>
        </w:rPr>
        <w:t>supported</w:t>
      </w:r>
      <w:proofErr w:type="gramEnd"/>
      <w:r>
        <w:rPr>
          <w:spacing w:val="-11"/>
        </w:rPr>
        <w:t xml:space="preserve"> </w:t>
      </w:r>
      <w:r>
        <w:rPr>
          <w:spacing w:val="-2"/>
        </w:rPr>
        <w:t>by</w:t>
      </w:r>
      <w:r>
        <w:rPr>
          <w:spacing w:val="-11"/>
        </w:rPr>
        <w:t xml:space="preserve"> </w:t>
      </w:r>
      <w:r>
        <w:rPr>
          <w:spacing w:val="-2"/>
        </w:rPr>
        <w:t>QLS</w:t>
      </w:r>
      <w:r>
        <w:rPr>
          <w:spacing w:val="-11"/>
        </w:rPr>
        <w:t xml:space="preserve"> </w:t>
      </w:r>
      <w:r>
        <w:rPr>
          <w:spacing w:val="-2"/>
        </w:rPr>
        <w:t>staff.</w:t>
      </w:r>
    </w:p>
    <w:p w14:paraId="0EEB6EF0" w14:textId="77777777" w:rsidR="00AC6F3C" w:rsidRDefault="00570E88">
      <w:pPr>
        <w:pStyle w:val="Heading7"/>
        <w:spacing w:before="191"/>
        <w:ind w:left="815"/>
      </w:pPr>
      <w:r>
        <w:t>Council</w:t>
      </w:r>
      <w:r>
        <w:rPr>
          <w:spacing w:val="-4"/>
        </w:rPr>
        <w:t xml:space="preserve"> </w:t>
      </w:r>
      <w:r>
        <w:t>and</w:t>
      </w:r>
      <w:r>
        <w:rPr>
          <w:spacing w:val="-3"/>
        </w:rPr>
        <w:t xml:space="preserve"> </w:t>
      </w:r>
      <w:r>
        <w:t>Finance</w:t>
      </w:r>
      <w:r>
        <w:rPr>
          <w:spacing w:val="-4"/>
        </w:rPr>
        <w:t xml:space="preserve"> </w:t>
      </w:r>
      <w:r>
        <w:t>Risk</w:t>
      </w:r>
      <w:r>
        <w:rPr>
          <w:spacing w:val="-3"/>
        </w:rPr>
        <w:t xml:space="preserve"> </w:t>
      </w:r>
      <w:r>
        <w:t>committee</w:t>
      </w:r>
      <w:r>
        <w:rPr>
          <w:spacing w:val="-3"/>
        </w:rPr>
        <w:t xml:space="preserve"> </w:t>
      </w:r>
      <w:r>
        <w:rPr>
          <w:spacing w:val="-2"/>
        </w:rPr>
        <w:t>meetings</w:t>
      </w:r>
    </w:p>
    <w:p w14:paraId="790BA9CD" w14:textId="77777777" w:rsidR="00AC6F3C" w:rsidRDefault="00570E88">
      <w:pPr>
        <w:pStyle w:val="BodyText"/>
        <w:spacing w:before="172" w:line="249" w:lineRule="auto"/>
        <w:ind w:left="815"/>
        <w:rPr>
          <w:b/>
        </w:rPr>
      </w:pPr>
      <w:r>
        <w:t xml:space="preserve">During the </w:t>
      </w:r>
      <w:proofErr w:type="gramStart"/>
      <w:r>
        <w:t>financial year</w:t>
      </w:r>
      <w:proofErr w:type="gramEnd"/>
      <w:r>
        <w:t xml:space="preserve"> eight Council meetings and five Finance and Risk Committee (FRC) meetings were</w:t>
      </w:r>
      <w:r>
        <w:rPr>
          <w:spacing w:val="-3"/>
        </w:rPr>
        <w:t xml:space="preserve"> </w:t>
      </w:r>
      <w:r>
        <w:t>held.</w:t>
      </w:r>
      <w:r>
        <w:rPr>
          <w:spacing w:val="-7"/>
        </w:rPr>
        <w:t xml:space="preserve"> </w:t>
      </w:r>
      <w:r>
        <w:t>The</w:t>
      </w:r>
      <w:r>
        <w:rPr>
          <w:spacing w:val="-3"/>
        </w:rPr>
        <w:t xml:space="preserve"> </w:t>
      </w:r>
      <w:r>
        <w:t>attendance</w:t>
      </w:r>
      <w:r>
        <w:rPr>
          <w:spacing w:val="-3"/>
        </w:rPr>
        <w:t xml:space="preserve"> </w:t>
      </w:r>
      <w:r>
        <w:t>list</w:t>
      </w:r>
      <w:r>
        <w:rPr>
          <w:spacing w:val="-3"/>
        </w:rPr>
        <w:t xml:space="preserve"> </w:t>
      </w:r>
      <w:r>
        <w:t>for</w:t>
      </w:r>
      <w:r>
        <w:rPr>
          <w:spacing w:val="-3"/>
        </w:rPr>
        <w:t xml:space="preserve"> </w:t>
      </w:r>
      <w:r>
        <w:t>these</w:t>
      </w:r>
      <w:r>
        <w:rPr>
          <w:spacing w:val="-3"/>
        </w:rPr>
        <w:t xml:space="preserve"> </w:t>
      </w:r>
      <w:r>
        <w:t>Council</w:t>
      </w:r>
      <w:r>
        <w:rPr>
          <w:spacing w:val="-3"/>
        </w:rPr>
        <w:t xml:space="preserve"> </w:t>
      </w:r>
      <w:r>
        <w:t>and</w:t>
      </w:r>
      <w:r>
        <w:rPr>
          <w:spacing w:val="-3"/>
        </w:rPr>
        <w:t xml:space="preserve"> </w:t>
      </w:r>
      <w:r>
        <w:t>FRC</w:t>
      </w:r>
      <w:r>
        <w:rPr>
          <w:spacing w:val="-3"/>
        </w:rPr>
        <w:t xml:space="preserve"> </w:t>
      </w:r>
      <w:r>
        <w:t>meetings</w:t>
      </w:r>
      <w:r>
        <w:rPr>
          <w:spacing w:val="-3"/>
        </w:rPr>
        <w:t xml:space="preserve"> </w:t>
      </w:r>
      <w:r>
        <w:t>is</w:t>
      </w:r>
      <w:r>
        <w:rPr>
          <w:spacing w:val="-3"/>
        </w:rPr>
        <w:t xml:space="preserve"> </w:t>
      </w:r>
      <w:r>
        <w:t>set</w:t>
      </w:r>
      <w:r>
        <w:rPr>
          <w:spacing w:val="-3"/>
        </w:rPr>
        <w:t xml:space="preserve"> </w:t>
      </w:r>
      <w:r>
        <w:t>out</w:t>
      </w:r>
      <w:r>
        <w:rPr>
          <w:spacing w:val="-3"/>
        </w:rPr>
        <w:t xml:space="preserve"> </w:t>
      </w:r>
      <w:r>
        <w:t>below.</w:t>
      </w:r>
      <w:r>
        <w:rPr>
          <w:spacing w:val="-7"/>
        </w:rPr>
        <w:t xml:space="preserve"> </w:t>
      </w:r>
      <w:r>
        <w:t>The</w:t>
      </w:r>
      <w:r>
        <w:rPr>
          <w:spacing w:val="-3"/>
        </w:rPr>
        <w:t xml:space="preserve"> </w:t>
      </w:r>
      <w:r>
        <w:t>2022-23</w:t>
      </w:r>
      <w:r>
        <w:rPr>
          <w:spacing w:val="-3"/>
        </w:rPr>
        <w:t xml:space="preserve"> </w:t>
      </w:r>
      <w:r>
        <w:t xml:space="preserve">Council photo can </w:t>
      </w:r>
      <w:proofErr w:type="gramStart"/>
      <w:r>
        <w:t>be accessed</w:t>
      </w:r>
      <w:proofErr w:type="gramEnd"/>
      <w:r>
        <w:t xml:space="preserve"> on the website – </w:t>
      </w:r>
      <w:hyperlink r:id="rId55">
        <w:r>
          <w:rPr>
            <w:b/>
            <w:u w:val="single"/>
          </w:rPr>
          <w:t>qls.com.au</w:t>
        </w:r>
      </w:hyperlink>
    </w:p>
    <w:p w14:paraId="4F7E1BA7" w14:textId="77777777" w:rsidR="00AC6F3C" w:rsidRDefault="00AC6F3C">
      <w:pPr>
        <w:pStyle w:val="BodyText"/>
        <w:spacing w:before="9"/>
        <w:rPr>
          <w:b/>
          <w:sz w:val="22"/>
        </w:rPr>
      </w:pPr>
    </w:p>
    <w:p w14:paraId="33F7AB03" w14:textId="77777777" w:rsidR="00AC6F3C" w:rsidRDefault="00570E88">
      <w:pPr>
        <w:pStyle w:val="Heading9"/>
      </w:pPr>
      <w:r>
        <w:t>Meetings</w:t>
      </w:r>
      <w:r>
        <w:rPr>
          <w:spacing w:val="-6"/>
        </w:rPr>
        <w:t xml:space="preserve"> </w:t>
      </w:r>
      <w:r>
        <w:t>held</w:t>
      </w:r>
      <w:r>
        <w:rPr>
          <w:spacing w:val="-6"/>
        </w:rPr>
        <w:t xml:space="preserve"> </w:t>
      </w:r>
      <w:r>
        <w:t>2022-</w:t>
      </w:r>
      <w:r>
        <w:rPr>
          <w:spacing w:val="-5"/>
        </w:rPr>
        <w:t>23</w:t>
      </w:r>
    </w:p>
    <w:p w14:paraId="3F6867A9" w14:textId="77777777" w:rsidR="00AC6F3C" w:rsidRDefault="00AC6F3C">
      <w:pPr>
        <w:pStyle w:val="BodyText"/>
        <w:spacing w:before="6"/>
        <w:rPr>
          <w:b/>
          <w:sz w:val="25"/>
        </w:rPr>
      </w:pPr>
    </w:p>
    <w:p w14:paraId="235D8282" w14:textId="77777777" w:rsidR="00AC6F3C" w:rsidRDefault="00570E88">
      <w:pPr>
        <w:pStyle w:val="BodyText"/>
        <w:spacing w:line="20" w:lineRule="exact"/>
        <w:ind w:left="805"/>
        <w:rPr>
          <w:sz w:val="2"/>
        </w:rPr>
      </w:pPr>
      <w:r>
        <w:rPr>
          <w:noProof/>
          <w:sz w:val="2"/>
        </w:rPr>
        <mc:AlternateContent>
          <mc:Choice Requires="wpg">
            <w:drawing>
              <wp:inline distT="0" distB="0" distL="0" distR="0" wp14:anchorId="12CC0BB8" wp14:editId="38EA4625">
                <wp:extent cx="5937250" cy="12700"/>
                <wp:effectExtent l="9525" t="0" r="0" b="635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2700"/>
                          <a:chOff x="0" y="0"/>
                          <a:chExt cx="5937250" cy="12700"/>
                        </a:xfrm>
                      </wpg:grpSpPr>
                      <wps:wsp>
                        <wps:cNvPr id="235" name="Graphic 235"/>
                        <wps:cNvSpPr/>
                        <wps:spPr>
                          <a:xfrm>
                            <a:off x="0" y="6350"/>
                            <a:ext cx="1680210" cy="1270"/>
                          </a:xfrm>
                          <a:custGeom>
                            <a:avLst/>
                            <a:gdLst/>
                            <a:ahLst/>
                            <a:cxnLst/>
                            <a:rect l="l" t="t" r="r" b="b"/>
                            <a:pathLst>
                              <a:path w="1680210">
                                <a:moveTo>
                                  <a:pt x="0" y="0"/>
                                </a:moveTo>
                                <a:lnTo>
                                  <a:pt x="1679994" y="0"/>
                                </a:lnTo>
                              </a:path>
                            </a:pathLst>
                          </a:custGeom>
                          <a:ln w="12700">
                            <a:solidFill>
                              <a:srgbClr val="000000"/>
                            </a:solidFill>
                            <a:prstDash val="solid"/>
                          </a:ln>
                        </wps:spPr>
                        <wps:bodyPr wrap="square" lIns="0" tIns="0" rIns="0" bIns="0" rtlCol="0">
                          <a:prstTxWarp prst="textNoShape">
                            <a:avLst/>
                          </a:prstTxWarp>
                          <a:noAutofit/>
                        </wps:bodyPr>
                      </wps:wsp>
                      <wps:wsp>
                        <wps:cNvPr id="236" name="Graphic 236"/>
                        <wps:cNvSpPr/>
                        <wps:spPr>
                          <a:xfrm>
                            <a:off x="1679999" y="6350"/>
                            <a:ext cx="1737360" cy="1270"/>
                          </a:xfrm>
                          <a:custGeom>
                            <a:avLst/>
                            <a:gdLst/>
                            <a:ahLst/>
                            <a:cxnLst/>
                            <a:rect l="l" t="t" r="r" b="b"/>
                            <a:pathLst>
                              <a:path w="1737360">
                                <a:moveTo>
                                  <a:pt x="0" y="0"/>
                                </a:moveTo>
                                <a:lnTo>
                                  <a:pt x="1737004" y="0"/>
                                </a:lnTo>
                              </a:path>
                            </a:pathLst>
                          </a:custGeom>
                          <a:ln w="12700">
                            <a:solidFill>
                              <a:srgbClr val="000000"/>
                            </a:solidFill>
                            <a:prstDash val="solid"/>
                          </a:ln>
                        </wps:spPr>
                        <wps:bodyPr wrap="square" lIns="0" tIns="0" rIns="0" bIns="0" rtlCol="0">
                          <a:prstTxWarp prst="textNoShape">
                            <a:avLst/>
                          </a:prstTxWarp>
                          <a:noAutofit/>
                        </wps:bodyPr>
                      </wps:wsp>
                      <wps:wsp>
                        <wps:cNvPr id="237" name="Graphic 237"/>
                        <wps:cNvSpPr/>
                        <wps:spPr>
                          <a:xfrm>
                            <a:off x="341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38" name="Graphic 238"/>
                        <wps:cNvSpPr/>
                        <wps:spPr>
                          <a:xfrm>
                            <a:off x="404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39" name="Graphic 239"/>
                        <wps:cNvSpPr/>
                        <wps:spPr>
                          <a:xfrm>
                            <a:off x="467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40" name="Graphic 240"/>
                        <wps:cNvSpPr/>
                        <wps:spPr>
                          <a:xfrm>
                            <a:off x="530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FB4BAE" id="Group 234" o:spid="_x0000_s1026" style="width:467.5pt;height:1pt;mso-position-horizontal-relative:char;mso-position-vertical-relative:line" coordsize="593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">
                <v:shape id="Graphic 235" o:spid="_x0000_s1027" style="position:absolute;top:63;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" path="m,l1679994,e" filled="f" strokeweight="1pt">
                  <v:path arrowok="t"/>
                </v:shape>
                <v:shape id="Graphic 236" o:spid="_x0000_s1028" style="position:absolute;left:16799;top:63;width:17374;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" path="m,l1737004,e" filled="f" strokeweight="1pt">
                  <v:path arrowok="t"/>
                </v:shape>
                <v:shape id="Graphic 237" o:spid="_x0000_s1029" style="position:absolute;left:341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" path="m,l629996,e" filled="f" strokeweight="1pt">
                  <v:path arrowok="t"/>
                </v:shape>
                <v:shape id="Graphic 238" o:spid="_x0000_s1030" style="position:absolute;left:404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" path="m,l629996,e" filled="f" strokeweight="1pt">
                  <v:path arrowok="t"/>
                </v:shape>
                <v:shape id="Graphic 239" o:spid="_x0000_s1031" style="position:absolute;left:467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" path="m,l629996,e" filled="f" strokeweight="1pt">
                  <v:path arrowok="t"/>
                </v:shape>
                <v:shape id="Graphic 240" o:spid="_x0000_s1032" style="position:absolute;left:530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" path="m,l629996,e" filled="f" strokeweight="1pt">
                  <v:path arrowok="t"/>
                </v:shape>
                <w10:anchorlock/>
              </v:group>
            </w:pict>
          </mc:Fallback>
        </mc:AlternateContent>
      </w:r>
    </w:p>
    <w:p w14:paraId="55646CF9" w14:textId="77777777" w:rsidR="00AC6F3C" w:rsidRDefault="00AC6F3C">
      <w:pPr>
        <w:spacing w:line="20" w:lineRule="exact"/>
        <w:rPr>
          <w:sz w:val="2"/>
        </w:rPr>
        <w:sectPr w:rsidR="00AC6F3C">
          <w:headerReference w:type="default" r:id="rId56"/>
          <w:footerReference w:type="default" r:id="rId57"/>
          <w:pgSz w:w="11910" w:h="16840"/>
          <w:pgMar w:top="1140" w:right="1160" w:bottom="2080" w:left="460" w:header="0" w:footer="1889" w:gutter="0"/>
          <w:cols w:space="720"/>
        </w:sectPr>
      </w:pPr>
    </w:p>
    <w:p w14:paraId="08B56BB2" w14:textId="77777777" w:rsidR="00AC6F3C" w:rsidRDefault="00570E88">
      <w:pPr>
        <w:spacing w:before="65" w:line="249" w:lineRule="auto"/>
        <w:ind w:left="6858" w:hanging="210"/>
        <w:rPr>
          <w:b/>
          <w:sz w:val="18"/>
        </w:rPr>
      </w:pPr>
      <w:r>
        <w:rPr>
          <w:b/>
          <w:sz w:val="18"/>
        </w:rPr>
        <w:t>QLS</w:t>
      </w:r>
      <w:r>
        <w:rPr>
          <w:b/>
          <w:spacing w:val="-13"/>
          <w:sz w:val="18"/>
        </w:rPr>
        <w:t xml:space="preserve"> </w:t>
      </w:r>
      <w:r>
        <w:rPr>
          <w:b/>
          <w:sz w:val="18"/>
        </w:rPr>
        <w:t xml:space="preserve">Council </w:t>
      </w:r>
      <w:r>
        <w:rPr>
          <w:b/>
          <w:spacing w:val="-2"/>
          <w:sz w:val="18"/>
        </w:rPr>
        <w:t>2022-23</w:t>
      </w:r>
    </w:p>
    <w:p w14:paraId="32F139F9" w14:textId="77777777" w:rsidR="00AC6F3C" w:rsidRDefault="00570E88">
      <w:pPr>
        <w:spacing w:before="65" w:line="249" w:lineRule="auto"/>
        <w:ind w:left="1073" w:right="780" w:firstLine="170"/>
        <w:rPr>
          <w:b/>
          <w:sz w:val="18"/>
        </w:rPr>
      </w:pPr>
      <w:r>
        <w:br w:type="column"/>
      </w:r>
      <w:r>
        <w:rPr>
          <w:b/>
          <w:spacing w:val="-4"/>
          <w:sz w:val="18"/>
        </w:rPr>
        <w:t xml:space="preserve">FRC </w:t>
      </w:r>
      <w:r>
        <w:rPr>
          <w:b/>
          <w:spacing w:val="-2"/>
          <w:sz w:val="18"/>
        </w:rPr>
        <w:t>2022-23</w:t>
      </w:r>
    </w:p>
    <w:p w14:paraId="6B49C2AC" w14:textId="77777777" w:rsidR="00AC6F3C" w:rsidRDefault="00AC6F3C">
      <w:pPr>
        <w:spacing w:line="249" w:lineRule="auto"/>
        <w:rPr>
          <w:sz w:val="18"/>
        </w:rPr>
        <w:sectPr w:rsidR="00AC6F3C">
          <w:type w:val="continuous"/>
          <w:pgSz w:w="11910" w:h="16840"/>
          <w:pgMar w:top="1920" w:right="1160" w:bottom="280" w:left="460" w:header="0" w:footer="1889" w:gutter="0"/>
          <w:cols w:num="2" w:space="720" w:equalWidth="0">
            <w:col w:w="7730" w:space="40"/>
            <w:col w:w="2520"/>
          </w:cols>
        </w:sectPr>
      </w:pPr>
    </w:p>
    <w:p w14:paraId="07BE29B0" w14:textId="77777777" w:rsidR="00AC6F3C" w:rsidRDefault="00AC6F3C">
      <w:pPr>
        <w:pStyle w:val="BodyText"/>
        <w:spacing w:before="7"/>
        <w:rPr>
          <w:b/>
          <w:sz w:val="5"/>
        </w:rPr>
      </w:pPr>
    </w:p>
    <w:p w14:paraId="2551F950"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0E91CB0B" wp14:editId="0A27110F">
                <wp:extent cx="5937250" cy="3175"/>
                <wp:effectExtent l="9525" t="0" r="0" b="635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3175"/>
                          <a:chOff x="0" y="0"/>
                          <a:chExt cx="5937250" cy="3175"/>
                        </a:xfrm>
                      </wpg:grpSpPr>
                      <wps:wsp>
                        <wps:cNvPr id="242" name="Graphic 242"/>
                        <wps:cNvSpPr/>
                        <wps:spPr>
                          <a:xfrm>
                            <a:off x="0" y="1587"/>
                            <a:ext cx="1680210" cy="1270"/>
                          </a:xfrm>
                          <a:custGeom>
                            <a:avLst/>
                            <a:gdLst/>
                            <a:ahLst/>
                            <a:cxnLst/>
                            <a:rect l="l" t="t" r="r" b="b"/>
                            <a:pathLst>
                              <a:path w="1680210">
                                <a:moveTo>
                                  <a:pt x="0" y="0"/>
                                </a:moveTo>
                                <a:lnTo>
                                  <a:pt x="1679994" y="0"/>
                                </a:lnTo>
                              </a:path>
                            </a:pathLst>
                          </a:custGeom>
                          <a:ln w="3175">
                            <a:solidFill>
                              <a:srgbClr val="000000"/>
                            </a:solidFill>
                            <a:prstDash val="solid"/>
                          </a:ln>
                        </wps:spPr>
                        <wps:bodyPr wrap="square" lIns="0" tIns="0" rIns="0" bIns="0" rtlCol="0">
                          <a:prstTxWarp prst="textNoShape">
                            <a:avLst/>
                          </a:prstTxWarp>
                          <a:noAutofit/>
                        </wps:bodyPr>
                      </wps:wsp>
                      <wps:wsp>
                        <wps:cNvPr id="243" name="Graphic 243"/>
                        <wps:cNvSpPr/>
                        <wps:spPr>
                          <a:xfrm>
                            <a:off x="1679999" y="1587"/>
                            <a:ext cx="1737360" cy="1270"/>
                          </a:xfrm>
                          <a:custGeom>
                            <a:avLst/>
                            <a:gdLst/>
                            <a:ahLst/>
                            <a:cxnLst/>
                            <a:rect l="l" t="t" r="r" b="b"/>
                            <a:pathLst>
                              <a:path w="1737360">
                                <a:moveTo>
                                  <a:pt x="0" y="0"/>
                                </a:moveTo>
                                <a:lnTo>
                                  <a:pt x="1737004" y="0"/>
                                </a:lnTo>
                              </a:path>
                            </a:pathLst>
                          </a:custGeom>
                          <a:ln w="3175">
                            <a:solidFill>
                              <a:srgbClr val="000000"/>
                            </a:solidFill>
                            <a:prstDash val="solid"/>
                          </a:ln>
                        </wps:spPr>
                        <wps:bodyPr wrap="square" lIns="0" tIns="0" rIns="0" bIns="0" rtlCol="0">
                          <a:prstTxWarp prst="textNoShape">
                            <a:avLst/>
                          </a:prstTxWarp>
                          <a:noAutofit/>
                        </wps:bodyPr>
                      </wps:wsp>
                      <wps:wsp>
                        <wps:cNvPr id="244" name="Graphic 244"/>
                        <wps:cNvSpPr/>
                        <wps:spPr>
                          <a:xfrm>
                            <a:off x="341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45" name="Graphic 245"/>
                        <wps:cNvSpPr/>
                        <wps:spPr>
                          <a:xfrm>
                            <a:off x="404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46" name="Graphic 246"/>
                        <wps:cNvSpPr/>
                        <wps:spPr>
                          <a:xfrm>
                            <a:off x="467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47" name="Graphic 247"/>
                        <wps:cNvSpPr/>
                        <wps:spPr>
                          <a:xfrm>
                            <a:off x="530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53E6A6" id="Group 241" o:spid="_x0000_s1026" style="width:467.5pt;height:.25pt;mso-position-horizontal-relative:char;mso-position-vertical-relative:line" coordsize="59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">
                <v:shape id="Graphic 242" o:spid="_x0000_s1027" style="position:absolute;top:15;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" path="m,l1679994,e" filled="f" strokeweight=".25pt">
                  <v:path arrowok="t"/>
                </v:shape>
                <v:shape id="Graphic 243" o:spid="_x0000_s1028" style="position:absolute;left:16799;top:15;width:17374;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" path="m,l1737004,e" filled="f" strokeweight=".25pt">
                  <v:path arrowok="t"/>
                </v:shape>
                <v:shape id="Graphic 244" o:spid="_x0000_s1029" style="position:absolute;left:341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" path="m,l629996,e" filled="f" strokeweight=".25pt">
                  <v:path arrowok="t"/>
                </v:shape>
                <v:shape id="Graphic 245" o:spid="_x0000_s1030" style="position:absolute;left:404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" path="m,l629996,e" filled="f" strokeweight=".25pt">
                  <v:path arrowok="t"/>
                </v:shape>
                <v:shape id="Graphic 246" o:spid="_x0000_s1031" style="position:absolute;left:467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" path="m,l629996,e" filled="f" strokeweight=".25pt">
                  <v:path arrowok="t"/>
                </v:shape>
                <v:shape id="Graphic 247" o:spid="_x0000_s1032" style="position:absolute;left:530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" path="m,l629996,e" filled="f" strokeweight=".25pt">
                  <v:path arrowok="t"/>
                </v:shape>
                <w10:anchorlock/>
              </v:group>
            </w:pict>
          </mc:Fallback>
        </mc:AlternateContent>
      </w:r>
    </w:p>
    <w:p w14:paraId="54D64AA0" w14:textId="77777777" w:rsidR="00AC6F3C" w:rsidRDefault="00AC6F3C">
      <w:pPr>
        <w:pStyle w:val="BodyText"/>
        <w:spacing w:before="9"/>
        <w:rPr>
          <w:b/>
          <w:sz w:val="18"/>
        </w:rPr>
      </w:pPr>
    </w:p>
    <w:p w14:paraId="3BF9D0CA" w14:textId="77777777" w:rsidR="00AC6F3C" w:rsidRDefault="00570E88">
      <w:pPr>
        <w:tabs>
          <w:tab w:val="left" w:pos="8392"/>
        </w:tabs>
        <w:spacing w:before="95"/>
        <w:ind w:left="6408"/>
        <w:rPr>
          <w:b/>
          <w:sz w:val="16"/>
        </w:rPr>
      </w:pPr>
      <w:r>
        <w:rPr>
          <w:b/>
          <w:spacing w:val="-2"/>
          <w:sz w:val="16"/>
        </w:rPr>
        <w:t>Eligible</w:t>
      </w:r>
      <w:r>
        <w:rPr>
          <w:b/>
          <w:sz w:val="16"/>
        </w:rPr>
        <w:tab/>
      </w:r>
      <w:proofErr w:type="spellStart"/>
      <w:r>
        <w:rPr>
          <w:b/>
          <w:spacing w:val="-2"/>
          <w:sz w:val="16"/>
        </w:rPr>
        <w:t>Eligible</w:t>
      </w:r>
      <w:proofErr w:type="spellEnd"/>
    </w:p>
    <w:tbl>
      <w:tblPr>
        <w:tblW w:w="0" w:type="auto"/>
        <w:tblInd w:w="823" w:type="dxa"/>
        <w:tblLayout w:type="fixed"/>
        <w:tblCellMar>
          <w:left w:w="0" w:type="dxa"/>
          <w:right w:w="0" w:type="dxa"/>
        </w:tblCellMar>
        <w:tblLook w:val="01E0" w:firstRow="1" w:lastRow="1" w:firstColumn="1" w:lastColumn="1" w:noHBand="0" w:noVBand="0"/>
      </w:tblPr>
      <w:tblGrid>
        <w:gridCol w:w="2592"/>
        <w:gridCol w:w="2639"/>
        <w:gridCol w:w="1138"/>
        <w:gridCol w:w="1001"/>
        <w:gridCol w:w="983"/>
        <w:gridCol w:w="996"/>
      </w:tblGrid>
      <w:tr w:rsidR="00AC6F3C" w14:paraId="5D9FFD82" w14:textId="77777777">
        <w:trPr>
          <w:trHeight w:val="284"/>
        </w:trPr>
        <w:tc>
          <w:tcPr>
            <w:tcW w:w="2592" w:type="dxa"/>
            <w:tcBorders>
              <w:bottom w:val="single" w:sz="8" w:space="0" w:color="000000"/>
            </w:tcBorders>
          </w:tcPr>
          <w:p w14:paraId="79CBA81A" w14:textId="77777777" w:rsidR="00AC6F3C" w:rsidRDefault="00570E88">
            <w:pPr>
              <w:pStyle w:val="TableParagraph"/>
              <w:spacing w:line="200" w:lineRule="exact"/>
              <w:ind w:left="113"/>
              <w:rPr>
                <w:b/>
                <w:sz w:val="20"/>
              </w:rPr>
            </w:pPr>
            <w:r>
              <w:rPr>
                <w:b/>
                <w:sz w:val="20"/>
              </w:rPr>
              <w:t xml:space="preserve">Name, </w:t>
            </w:r>
            <w:r>
              <w:rPr>
                <w:b/>
                <w:spacing w:val="-4"/>
                <w:sz w:val="20"/>
              </w:rPr>
              <w:t>firm</w:t>
            </w:r>
          </w:p>
        </w:tc>
        <w:tc>
          <w:tcPr>
            <w:tcW w:w="2639" w:type="dxa"/>
            <w:tcBorders>
              <w:bottom w:val="single" w:sz="8" w:space="0" w:color="000000"/>
            </w:tcBorders>
          </w:tcPr>
          <w:p w14:paraId="14FCDBAB" w14:textId="77777777" w:rsidR="00AC6F3C" w:rsidRDefault="00570E88">
            <w:pPr>
              <w:pStyle w:val="TableParagraph"/>
              <w:spacing w:line="200" w:lineRule="exact"/>
              <w:ind w:left="166"/>
              <w:rPr>
                <w:b/>
                <w:sz w:val="20"/>
              </w:rPr>
            </w:pPr>
            <w:r>
              <w:rPr>
                <w:b/>
                <w:spacing w:val="-4"/>
                <w:sz w:val="20"/>
              </w:rPr>
              <w:t>Role</w:t>
            </w:r>
          </w:p>
        </w:tc>
        <w:tc>
          <w:tcPr>
            <w:tcW w:w="1138" w:type="dxa"/>
            <w:tcBorders>
              <w:bottom w:val="single" w:sz="8" w:space="0" w:color="000000"/>
            </w:tcBorders>
          </w:tcPr>
          <w:p w14:paraId="4383EA17" w14:textId="77777777" w:rsidR="00AC6F3C" w:rsidRDefault="00570E88">
            <w:pPr>
              <w:pStyle w:val="TableParagraph"/>
              <w:spacing w:before="8"/>
              <w:ind w:left="294" w:right="140"/>
              <w:jc w:val="center"/>
              <w:rPr>
                <w:b/>
                <w:sz w:val="16"/>
              </w:rPr>
            </w:pPr>
            <w:r>
              <w:rPr>
                <w:b/>
                <w:sz w:val="16"/>
              </w:rPr>
              <w:t xml:space="preserve">to </w:t>
            </w:r>
            <w:r>
              <w:rPr>
                <w:b/>
                <w:spacing w:val="-2"/>
                <w:sz w:val="16"/>
              </w:rPr>
              <w:t>attend</w:t>
            </w:r>
          </w:p>
        </w:tc>
        <w:tc>
          <w:tcPr>
            <w:tcW w:w="1001" w:type="dxa"/>
            <w:tcBorders>
              <w:bottom w:val="single" w:sz="8" w:space="0" w:color="000000"/>
            </w:tcBorders>
          </w:tcPr>
          <w:p w14:paraId="36B84C52" w14:textId="77777777" w:rsidR="00AC6F3C" w:rsidRDefault="00570E88">
            <w:pPr>
              <w:pStyle w:val="TableParagraph"/>
              <w:spacing w:before="8"/>
              <w:ind w:left="141" w:right="141"/>
              <w:jc w:val="center"/>
              <w:rPr>
                <w:b/>
                <w:sz w:val="16"/>
              </w:rPr>
            </w:pPr>
            <w:r>
              <w:rPr>
                <w:b/>
                <w:spacing w:val="-2"/>
                <w:sz w:val="16"/>
              </w:rPr>
              <w:t>Attended</w:t>
            </w:r>
          </w:p>
        </w:tc>
        <w:tc>
          <w:tcPr>
            <w:tcW w:w="983" w:type="dxa"/>
            <w:tcBorders>
              <w:bottom w:val="single" w:sz="8" w:space="0" w:color="000000"/>
            </w:tcBorders>
          </w:tcPr>
          <w:p w14:paraId="5754C911" w14:textId="77777777" w:rsidR="00AC6F3C" w:rsidRDefault="00570E88">
            <w:pPr>
              <w:pStyle w:val="TableParagraph"/>
              <w:spacing w:before="8"/>
              <w:ind w:left="139" w:right="139"/>
              <w:jc w:val="center"/>
              <w:rPr>
                <w:b/>
                <w:sz w:val="16"/>
              </w:rPr>
            </w:pPr>
            <w:r>
              <w:rPr>
                <w:b/>
                <w:sz w:val="16"/>
              </w:rPr>
              <w:t xml:space="preserve">to </w:t>
            </w:r>
            <w:r>
              <w:rPr>
                <w:b/>
                <w:spacing w:val="-2"/>
                <w:sz w:val="16"/>
              </w:rPr>
              <w:t>attend</w:t>
            </w:r>
          </w:p>
        </w:tc>
        <w:tc>
          <w:tcPr>
            <w:tcW w:w="996" w:type="dxa"/>
            <w:tcBorders>
              <w:bottom w:val="single" w:sz="8" w:space="0" w:color="000000"/>
            </w:tcBorders>
          </w:tcPr>
          <w:p w14:paraId="6AB284DD" w14:textId="77777777" w:rsidR="00AC6F3C" w:rsidRDefault="00570E88">
            <w:pPr>
              <w:pStyle w:val="TableParagraph"/>
              <w:spacing w:before="8"/>
              <w:ind w:left="141" w:right="137"/>
              <w:jc w:val="center"/>
              <w:rPr>
                <w:b/>
                <w:sz w:val="16"/>
              </w:rPr>
            </w:pPr>
            <w:r>
              <w:rPr>
                <w:b/>
                <w:spacing w:val="-2"/>
                <w:sz w:val="16"/>
              </w:rPr>
              <w:t>Attended</w:t>
            </w:r>
          </w:p>
        </w:tc>
      </w:tr>
      <w:tr w:rsidR="00AC6F3C" w14:paraId="3C974EBE" w14:textId="77777777">
        <w:trPr>
          <w:trHeight w:val="613"/>
        </w:trPr>
        <w:tc>
          <w:tcPr>
            <w:tcW w:w="2592" w:type="dxa"/>
            <w:tcBorders>
              <w:top w:val="single" w:sz="8" w:space="0" w:color="000000"/>
            </w:tcBorders>
          </w:tcPr>
          <w:p w14:paraId="5DCD3B4B" w14:textId="77777777" w:rsidR="00AC6F3C" w:rsidRDefault="00570E88">
            <w:pPr>
              <w:pStyle w:val="TableParagraph"/>
              <w:spacing w:before="45"/>
              <w:ind w:left="113"/>
              <w:rPr>
                <w:b/>
                <w:sz w:val="20"/>
              </w:rPr>
            </w:pPr>
            <w:r>
              <w:rPr>
                <w:b/>
                <w:sz w:val="20"/>
              </w:rPr>
              <w:t>Chloé</w:t>
            </w:r>
            <w:r>
              <w:rPr>
                <w:b/>
                <w:spacing w:val="-4"/>
                <w:sz w:val="20"/>
              </w:rPr>
              <w:t xml:space="preserve"> </w:t>
            </w:r>
            <w:proofErr w:type="spellStart"/>
            <w:r>
              <w:rPr>
                <w:b/>
                <w:spacing w:val="-2"/>
                <w:sz w:val="20"/>
              </w:rPr>
              <w:t>Kopilović</w:t>
            </w:r>
            <w:proofErr w:type="spellEnd"/>
          </w:p>
          <w:p w14:paraId="256888A2" w14:textId="77777777" w:rsidR="00AC6F3C" w:rsidRDefault="00570E88">
            <w:pPr>
              <w:pStyle w:val="TableParagraph"/>
              <w:spacing w:before="10"/>
              <w:ind w:left="113"/>
              <w:rPr>
                <w:sz w:val="20"/>
              </w:rPr>
            </w:pPr>
            <w:r>
              <w:rPr>
                <w:spacing w:val="-2"/>
                <w:sz w:val="20"/>
              </w:rPr>
              <w:t>Director</w:t>
            </w:r>
          </w:p>
        </w:tc>
        <w:tc>
          <w:tcPr>
            <w:tcW w:w="2639" w:type="dxa"/>
            <w:tcBorders>
              <w:top w:val="single" w:sz="8" w:space="0" w:color="000000"/>
            </w:tcBorders>
          </w:tcPr>
          <w:p w14:paraId="364E8745" w14:textId="77777777" w:rsidR="00AC6F3C" w:rsidRDefault="00570E88">
            <w:pPr>
              <w:pStyle w:val="TableParagraph"/>
              <w:spacing w:before="45"/>
              <w:ind w:left="166"/>
              <w:rPr>
                <w:b/>
                <w:sz w:val="20"/>
              </w:rPr>
            </w:pPr>
            <w:r>
              <w:rPr>
                <w:b/>
                <w:sz w:val="20"/>
              </w:rPr>
              <w:t xml:space="preserve">President </w:t>
            </w:r>
            <w:r>
              <w:rPr>
                <w:b/>
                <w:spacing w:val="-4"/>
                <w:sz w:val="20"/>
              </w:rPr>
              <w:t>2023</w:t>
            </w:r>
          </w:p>
          <w:p w14:paraId="7DA8226D" w14:textId="77777777" w:rsidR="00AC6F3C" w:rsidRDefault="00570E88">
            <w:pPr>
              <w:pStyle w:val="TableParagraph"/>
              <w:spacing w:before="10"/>
              <w:ind w:left="166"/>
              <w:rPr>
                <w:sz w:val="20"/>
              </w:rPr>
            </w:pPr>
            <w:r>
              <w:rPr>
                <w:sz w:val="20"/>
              </w:rPr>
              <w:t>(01.01.23-</w:t>
            </w:r>
            <w:r>
              <w:rPr>
                <w:spacing w:val="-2"/>
                <w:sz w:val="20"/>
              </w:rPr>
              <w:t>30.06.23)</w:t>
            </w:r>
          </w:p>
        </w:tc>
        <w:tc>
          <w:tcPr>
            <w:tcW w:w="1138" w:type="dxa"/>
            <w:tcBorders>
              <w:top w:val="single" w:sz="8" w:space="0" w:color="000000"/>
            </w:tcBorders>
          </w:tcPr>
          <w:p w14:paraId="363DB0ED" w14:textId="77777777" w:rsidR="00AC6F3C" w:rsidRDefault="00570E88">
            <w:pPr>
              <w:pStyle w:val="TableParagraph"/>
              <w:spacing w:before="45"/>
              <w:ind w:left="154"/>
              <w:jc w:val="center"/>
              <w:rPr>
                <w:sz w:val="20"/>
              </w:rPr>
            </w:pPr>
            <w:r>
              <w:rPr>
                <w:sz w:val="20"/>
              </w:rPr>
              <w:t>4</w:t>
            </w:r>
          </w:p>
        </w:tc>
        <w:tc>
          <w:tcPr>
            <w:tcW w:w="1001" w:type="dxa"/>
            <w:tcBorders>
              <w:top w:val="single" w:sz="8" w:space="0" w:color="000000"/>
            </w:tcBorders>
          </w:tcPr>
          <w:p w14:paraId="77B93B5A" w14:textId="77777777" w:rsidR="00AC6F3C" w:rsidRDefault="00570E88">
            <w:pPr>
              <w:pStyle w:val="TableParagraph"/>
              <w:spacing w:before="45"/>
              <w:jc w:val="center"/>
              <w:rPr>
                <w:sz w:val="20"/>
              </w:rPr>
            </w:pPr>
            <w:r>
              <w:rPr>
                <w:sz w:val="20"/>
              </w:rPr>
              <w:t>4</w:t>
            </w:r>
          </w:p>
        </w:tc>
        <w:tc>
          <w:tcPr>
            <w:tcW w:w="983" w:type="dxa"/>
            <w:tcBorders>
              <w:top w:val="single" w:sz="8" w:space="0" w:color="000000"/>
            </w:tcBorders>
          </w:tcPr>
          <w:p w14:paraId="1826E1EF" w14:textId="77777777" w:rsidR="00AC6F3C" w:rsidRDefault="00AC6F3C">
            <w:pPr>
              <w:pStyle w:val="TableParagraph"/>
              <w:rPr>
                <w:rFonts w:ascii="Times New Roman"/>
                <w:sz w:val="18"/>
              </w:rPr>
            </w:pPr>
          </w:p>
        </w:tc>
        <w:tc>
          <w:tcPr>
            <w:tcW w:w="996" w:type="dxa"/>
            <w:tcBorders>
              <w:top w:val="single" w:sz="8" w:space="0" w:color="000000"/>
            </w:tcBorders>
          </w:tcPr>
          <w:p w14:paraId="26B65994" w14:textId="77777777" w:rsidR="00AC6F3C" w:rsidRDefault="00AC6F3C">
            <w:pPr>
              <w:pStyle w:val="TableParagraph"/>
              <w:rPr>
                <w:rFonts w:ascii="Times New Roman"/>
                <w:sz w:val="18"/>
              </w:rPr>
            </w:pPr>
          </w:p>
        </w:tc>
      </w:tr>
      <w:tr w:rsidR="00AC6F3C" w14:paraId="21B859B7" w14:textId="77777777">
        <w:trPr>
          <w:trHeight w:val="612"/>
        </w:trPr>
        <w:tc>
          <w:tcPr>
            <w:tcW w:w="2592" w:type="dxa"/>
          </w:tcPr>
          <w:p w14:paraId="13B4AFE9" w14:textId="77777777" w:rsidR="00AC6F3C" w:rsidRDefault="00570E88">
            <w:pPr>
              <w:pStyle w:val="TableParagraph"/>
              <w:spacing w:line="142" w:lineRule="exact"/>
              <w:ind w:left="113"/>
              <w:rPr>
                <w:sz w:val="20"/>
              </w:rPr>
            </w:pPr>
            <w:r>
              <w:rPr>
                <w:sz w:val="20"/>
              </w:rPr>
              <w:t>Ferguson</w:t>
            </w:r>
            <w:r>
              <w:rPr>
                <w:spacing w:val="-6"/>
                <w:sz w:val="20"/>
              </w:rPr>
              <w:t xml:space="preserve"> </w:t>
            </w:r>
            <w:r>
              <w:rPr>
                <w:sz w:val="20"/>
              </w:rPr>
              <w:t>Cannon</w:t>
            </w:r>
            <w:r>
              <w:rPr>
                <w:spacing w:val="-6"/>
                <w:sz w:val="20"/>
              </w:rPr>
              <w:t xml:space="preserve"> </w:t>
            </w:r>
            <w:r>
              <w:rPr>
                <w:spacing w:val="-2"/>
                <w:sz w:val="20"/>
              </w:rPr>
              <w:t>Lawyers</w:t>
            </w:r>
          </w:p>
        </w:tc>
        <w:tc>
          <w:tcPr>
            <w:tcW w:w="2639" w:type="dxa"/>
          </w:tcPr>
          <w:p w14:paraId="15CD2BCE" w14:textId="77777777" w:rsidR="00AC6F3C" w:rsidRDefault="00570E88">
            <w:pPr>
              <w:pStyle w:val="TableParagraph"/>
              <w:spacing w:before="44"/>
              <w:ind w:left="166"/>
              <w:rPr>
                <w:b/>
                <w:sz w:val="20"/>
              </w:rPr>
            </w:pPr>
            <w:r>
              <w:rPr>
                <w:b/>
                <w:sz w:val="20"/>
              </w:rPr>
              <w:t>Deputy</w:t>
            </w:r>
            <w:r>
              <w:rPr>
                <w:b/>
                <w:spacing w:val="-3"/>
                <w:sz w:val="20"/>
              </w:rPr>
              <w:t xml:space="preserve"> </w:t>
            </w:r>
            <w:r>
              <w:rPr>
                <w:b/>
                <w:sz w:val="20"/>
              </w:rPr>
              <w:t>President</w:t>
            </w:r>
            <w:r>
              <w:rPr>
                <w:b/>
                <w:spacing w:val="-2"/>
                <w:sz w:val="20"/>
              </w:rPr>
              <w:t xml:space="preserve"> </w:t>
            </w:r>
            <w:r>
              <w:rPr>
                <w:b/>
                <w:spacing w:val="-4"/>
                <w:sz w:val="20"/>
              </w:rPr>
              <w:t>2022</w:t>
            </w:r>
          </w:p>
          <w:p w14:paraId="7B162D1D" w14:textId="77777777" w:rsidR="00AC6F3C" w:rsidRDefault="00570E88">
            <w:pPr>
              <w:pStyle w:val="TableParagraph"/>
              <w:spacing w:before="11"/>
              <w:ind w:left="166"/>
              <w:rPr>
                <w:sz w:val="20"/>
              </w:rPr>
            </w:pPr>
            <w:r>
              <w:rPr>
                <w:sz w:val="20"/>
              </w:rPr>
              <w:t>(01.07.22-</w:t>
            </w:r>
            <w:r>
              <w:rPr>
                <w:spacing w:val="-2"/>
                <w:sz w:val="20"/>
              </w:rPr>
              <w:t>31.12.22)</w:t>
            </w:r>
          </w:p>
        </w:tc>
        <w:tc>
          <w:tcPr>
            <w:tcW w:w="1138" w:type="dxa"/>
          </w:tcPr>
          <w:p w14:paraId="1CCDA2FB" w14:textId="77777777" w:rsidR="00AC6F3C" w:rsidRDefault="00570E88">
            <w:pPr>
              <w:pStyle w:val="TableParagraph"/>
              <w:spacing w:before="44"/>
              <w:ind w:left="154"/>
              <w:jc w:val="center"/>
              <w:rPr>
                <w:sz w:val="20"/>
              </w:rPr>
            </w:pPr>
            <w:r>
              <w:rPr>
                <w:sz w:val="20"/>
              </w:rPr>
              <w:t>3</w:t>
            </w:r>
          </w:p>
        </w:tc>
        <w:tc>
          <w:tcPr>
            <w:tcW w:w="1001" w:type="dxa"/>
          </w:tcPr>
          <w:p w14:paraId="17F22AF6" w14:textId="77777777" w:rsidR="00AC6F3C" w:rsidRDefault="00570E88">
            <w:pPr>
              <w:pStyle w:val="TableParagraph"/>
              <w:spacing w:before="44"/>
              <w:jc w:val="center"/>
              <w:rPr>
                <w:sz w:val="20"/>
              </w:rPr>
            </w:pPr>
            <w:r>
              <w:rPr>
                <w:sz w:val="20"/>
              </w:rPr>
              <w:t>3</w:t>
            </w:r>
          </w:p>
        </w:tc>
        <w:tc>
          <w:tcPr>
            <w:tcW w:w="983" w:type="dxa"/>
          </w:tcPr>
          <w:p w14:paraId="4066E68D" w14:textId="77777777" w:rsidR="00AC6F3C" w:rsidRDefault="00AC6F3C">
            <w:pPr>
              <w:pStyle w:val="TableParagraph"/>
              <w:rPr>
                <w:rFonts w:ascii="Times New Roman"/>
                <w:sz w:val="18"/>
              </w:rPr>
            </w:pPr>
          </w:p>
        </w:tc>
        <w:tc>
          <w:tcPr>
            <w:tcW w:w="996" w:type="dxa"/>
          </w:tcPr>
          <w:p w14:paraId="46A77821" w14:textId="77777777" w:rsidR="00AC6F3C" w:rsidRDefault="00AC6F3C">
            <w:pPr>
              <w:pStyle w:val="TableParagraph"/>
              <w:rPr>
                <w:rFonts w:ascii="Times New Roman"/>
                <w:sz w:val="18"/>
              </w:rPr>
            </w:pPr>
          </w:p>
        </w:tc>
      </w:tr>
      <w:tr w:rsidR="00AC6F3C" w14:paraId="3EF8FDCA" w14:textId="77777777">
        <w:trPr>
          <w:trHeight w:val="663"/>
        </w:trPr>
        <w:tc>
          <w:tcPr>
            <w:tcW w:w="2592" w:type="dxa"/>
            <w:tcBorders>
              <w:bottom w:val="single" w:sz="2" w:space="0" w:color="000000"/>
            </w:tcBorders>
          </w:tcPr>
          <w:p w14:paraId="38567F26" w14:textId="77777777" w:rsidR="00AC6F3C" w:rsidRDefault="00AC6F3C">
            <w:pPr>
              <w:pStyle w:val="TableParagraph"/>
              <w:rPr>
                <w:rFonts w:ascii="Times New Roman"/>
                <w:sz w:val="18"/>
              </w:rPr>
            </w:pPr>
          </w:p>
        </w:tc>
        <w:tc>
          <w:tcPr>
            <w:tcW w:w="2639" w:type="dxa"/>
            <w:tcBorders>
              <w:bottom w:val="single" w:sz="2" w:space="0" w:color="000000"/>
            </w:tcBorders>
          </w:tcPr>
          <w:p w14:paraId="69589B16" w14:textId="77777777" w:rsidR="00AC6F3C" w:rsidRDefault="00570E88">
            <w:pPr>
              <w:pStyle w:val="TableParagraph"/>
              <w:spacing w:before="44"/>
              <w:ind w:left="166"/>
              <w:rPr>
                <w:b/>
                <w:sz w:val="20"/>
              </w:rPr>
            </w:pP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0742835F" w14:textId="77777777" w:rsidR="00AC6F3C" w:rsidRDefault="00570E88">
            <w:pPr>
              <w:pStyle w:val="TableParagraph"/>
              <w:spacing w:before="11"/>
              <w:ind w:left="166"/>
              <w:rPr>
                <w:sz w:val="20"/>
              </w:rPr>
            </w:pPr>
            <w:r>
              <w:rPr>
                <w:sz w:val="20"/>
              </w:rPr>
              <w:t>(01.07.22-</w:t>
            </w:r>
            <w:r>
              <w:rPr>
                <w:spacing w:val="-2"/>
                <w:sz w:val="20"/>
              </w:rPr>
              <w:t>30.06.23)</w:t>
            </w:r>
          </w:p>
        </w:tc>
        <w:tc>
          <w:tcPr>
            <w:tcW w:w="1138" w:type="dxa"/>
            <w:tcBorders>
              <w:bottom w:val="single" w:sz="2" w:space="0" w:color="000000"/>
            </w:tcBorders>
          </w:tcPr>
          <w:p w14:paraId="1DB687F7" w14:textId="77777777" w:rsidR="00AC6F3C" w:rsidRDefault="00AC6F3C">
            <w:pPr>
              <w:pStyle w:val="TableParagraph"/>
              <w:rPr>
                <w:rFonts w:ascii="Times New Roman"/>
                <w:sz w:val="18"/>
              </w:rPr>
            </w:pPr>
          </w:p>
        </w:tc>
        <w:tc>
          <w:tcPr>
            <w:tcW w:w="1001" w:type="dxa"/>
            <w:tcBorders>
              <w:bottom w:val="single" w:sz="2" w:space="0" w:color="000000"/>
            </w:tcBorders>
          </w:tcPr>
          <w:p w14:paraId="7E8AC7E6" w14:textId="77777777" w:rsidR="00AC6F3C" w:rsidRDefault="00AC6F3C">
            <w:pPr>
              <w:pStyle w:val="TableParagraph"/>
              <w:rPr>
                <w:rFonts w:ascii="Times New Roman"/>
                <w:sz w:val="18"/>
              </w:rPr>
            </w:pPr>
          </w:p>
        </w:tc>
        <w:tc>
          <w:tcPr>
            <w:tcW w:w="983" w:type="dxa"/>
            <w:tcBorders>
              <w:bottom w:val="single" w:sz="2" w:space="0" w:color="000000"/>
            </w:tcBorders>
          </w:tcPr>
          <w:p w14:paraId="2D23B319" w14:textId="77777777" w:rsidR="00AC6F3C" w:rsidRDefault="00570E88">
            <w:pPr>
              <w:pStyle w:val="TableParagraph"/>
              <w:spacing w:before="44"/>
              <w:jc w:val="center"/>
              <w:rPr>
                <w:sz w:val="20"/>
              </w:rPr>
            </w:pPr>
            <w:r>
              <w:rPr>
                <w:sz w:val="20"/>
              </w:rPr>
              <w:t>5</w:t>
            </w:r>
          </w:p>
        </w:tc>
        <w:tc>
          <w:tcPr>
            <w:tcW w:w="996" w:type="dxa"/>
            <w:tcBorders>
              <w:bottom w:val="single" w:sz="2" w:space="0" w:color="000000"/>
            </w:tcBorders>
          </w:tcPr>
          <w:p w14:paraId="4D9A9954" w14:textId="77777777" w:rsidR="00AC6F3C" w:rsidRDefault="00570E88">
            <w:pPr>
              <w:pStyle w:val="TableParagraph"/>
              <w:spacing w:before="44"/>
              <w:ind w:left="5"/>
              <w:jc w:val="center"/>
              <w:rPr>
                <w:sz w:val="20"/>
              </w:rPr>
            </w:pPr>
            <w:r>
              <w:rPr>
                <w:sz w:val="20"/>
              </w:rPr>
              <w:t>5</w:t>
            </w:r>
          </w:p>
        </w:tc>
      </w:tr>
      <w:tr w:rsidR="00AC6F3C" w14:paraId="35E34D09" w14:textId="77777777">
        <w:trPr>
          <w:trHeight w:val="613"/>
        </w:trPr>
        <w:tc>
          <w:tcPr>
            <w:tcW w:w="2592" w:type="dxa"/>
            <w:tcBorders>
              <w:top w:val="single" w:sz="2" w:space="0" w:color="000000"/>
            </w:tcBorders>
          </w:tcPr>
          <w:p w14:paraId="712CF2CA" w14:textId="77777777" w:rsidR="00AC6F3C" w:rsidRDefault="00570E88">
            <w:pPr>
              <w:pStyle w:val="TableParagraph"/>
              <w:spacing w:before="45"/>
              <w:ind w:left="113"/>
              <w:rPr>
                <w:b/>
                <w:sz w:val="20"/>
              </w:rPr>
            </w:pPr>
            <w:r>
              <w:rPr>
                <w:b/>
                <w:sz w:val="20"/>
              </w:rPr>
              <w:t>Rebecca</w:t>
            </w:r>
            <w:r>
              <w:rPr>
                <w:b/>
                <w:spacing w:val="-6"/>
                <w:sz w:val="20"/>
              </w:rPr>
              <w:t xml:space="preserve"> </w:t>
            </w:r>
            <w:r>
              <w:rPr>
                <w:b/>
                <w:spacing w:val="-2"/>
                <w:sz w:val="20"/>
              </w:rPr>
              <w:t>Fogerty</w:t>
            </w:r>
          </w:p>
          <w:p w14:paraId="646B295D" w14:textId="77777777" w:rsidR="00AC6F3C" w:rsidRDefault="00570E88">
            <w:pPr>
              <w:pStyle w:val="TableParagraph"/>
              <w:spacing w:before="10"/>
              <w:ind w:left="113"/>
              <w:rPr>
                <w:sz w:val="20"/>
              </w:rPr>
            </w:pPr>
            <w:r>
              <w:rPr>
                <w:spacing w:val="-2"/>
                <w:sz w:val="20"/>
              </w:rPr>
              <w:t>Partner</w:t>
            </w:r>
          </w:p>
        </w:tc>
        <w:tc>
          <w:tcPr>
            <w:tcW w:w="2639" w:type="dxa"/>
            <w:tcBorders>
              <w:top w:val="single" w:sz="2" w:space="0" w:color="000000"/>
            </w:tcBorders>
          </w:tcPr>
          <w:p w14:paraId="7E1EC9E5" w14:textId="77777777" w:rsidR="00AC6F3C" w:rsidRDefault="00570E88">
            <w:pPr>
              <w:pStyle w:val="TableParagraph"/>
              <w:spacing w:before="45"/>
              <w:ind w:left="166"/>
              <w:rPr>
                <w:b/>
                <w:sz w:val="20"/>
              </w:rPr>
            </w:pPr>
            <w:r>
              <w:rPr>
                <w:b/>
                <w:sz w:val="20"/>
              </w:rPr>
              <w:t>Vice</w:t>
            </w:r>
            <w:r>
              <w:rPr>
                <w:b/>
                <w:spacing w:val="-6"/>
                <w:sz w:val="20"/>
              </w:rPr>
              <w:t xml:space="preserve"> </w:t>
            </w:r>
            <w:r>
              <w:rPr>
                <w:b/>
                <w:sz w:val="20"/>
              </w:rPr>
              <w:t>President</w:t>
            </w:r>
            <w:r>
              <w:rPr>
                <w:b/>
                <w:spacing w:val="-5"/>
                <w:sz w:val="20"/>
              </w:rPr>
              <w:t xml:space="preserve"> </w:t>
            </w:r>
            <w:r>
              <w:rPr>
                <w:b/>
                <w:sz w:val="20"/>
              </w:rPr>
              <w:t>2022-</w:t>
            </w:r>
            <w:r>
              <w:rPr>
                <w:b/>
                <w:spacing w:val="-5"/>
                <w:sz w:val="20"/>
              </w:rPr>
              <w:t>23</w:t>
            </w:r>
          </w:p>
          <w:p w14:paraId="7E3452B8" w14:textId="77777777" w:rsidR="00AC6F3C" w:rsidRDefault="00570E88">
            <w:pPr>
              <w:pStyle w:val="TableParagraph"/>
              <w:spacing w:before="10"/>
              <w:ind w:left="166"/>
              <w:rPr>
                <w:sz w:val="20"/>
              </w:rPr>
            </w:pPr>
            <w:r>
              <w:rPr>
                <w:sz w:val="20"/>
              </w:rPr>
              <w:t>(01.07.22-</w:t>
            </w:r>
            <w:r>
              <w:rPr>
                <w:spacing w:val="-2"/>
                <w:sz w:val="20"/>
              </w:rPr>
              <w:t>30.06.23)</w:t>
            </w:r>
          </w:p>
        </w:tc>
        <w:tc>
          <w:tcPr>
            <w:tcW w:w="1138" w:type="dxa"/>
            <w:tcBorders>
              <w:top w:val="single" w:sz="2" w:space="0" w:color="000000"/>
            </w:tcBorders>
          </w:tcPr>
          <w:p w14:paraId="385658DA" w14:textId="77777777" w:rsidR="00AC6F3C" w:rsidRDefault="00570E88">
            <w:pPr>
              <w:pStyle w:val="TableParagraph"/>
              <w:spacing w:before="45"/>
              <w:ind w:left="154"/>
              <w:jc w:val="center"/>
              <w:rPr>
                <w:sz w:val="20"/>
              </w:rPr>
            </w:pPr>
            <w:r>
              <w:rPr>
                <w:sz w:val="20"/>
              </w:rPr>
              <w:t>7</w:t>
            </w:r>
          </w:p>
        </w:tc>
        <w:tc>
          <w:tcPr>
            <w:tcW w:w="1001" w:type="dxa"/>
            <w:tcBorders>
              <w:top w:val="single" w:sz="2" w:space="0" w:color="000000"/>
            </w:tcBorders>
          </w:tcPr>
          <w:p w14:paraId="639B6E59" w14:textId="77777777" w:rsidR="00AC6F3C" w:rsidRDefault="00570E88">
            <w:pPr>
              <w:pStyle w:val="TableParagraph"/>
              <w:spacing w:before="45"/>
              <w:jc w:val="center"/>
              <w:rPr>
                <w:sz w:val="20"/>
              </w:rPr>
            </w:pPr>
            <w:r>
              <w:rPr>
                <w:sz w:val="20"/>
              </w:rPr>
              <w:t>7</w:t>
            </w:r>
          </w:p>
        </w:tc>
        <w:tc>
          <w:tcPr>
            <w:tcW w:w="983" w:type="dxa"/>
            <w:tcBorders>
              <w:top w:val="single" w:sz="2" w:space="0" w:color="000000"/>
            </w:tcBorders>
          </w:tcPr>
          <w:p w14:paraId="5CE52D4A" w14:textId="77777777" w:rsidR="00AC6F3C" w:rsidRDefault="00AC6F3C">
            <w:pPr>
              <w:pStyle w:val="TableParagraph"/>
              <w:rPr>
                <w:rFonts w:ascii="Times New Roman"/>
                <w:sz w:val="18"/>
              </w:rPr>
            </w:pPr>
          </w:p>
        </w:tc>
        <w:tc>
          <w:tcPr>
            <w:tcW w:w="996" w:type="dxa"/>
            <w:tcBorders>
              <w:top w:val="single" w:sz="2" w:space="0" w:color="000000"/>
            </w:tcBorders>
          </w:tcPr>
          <w:p w14:paraId="5F074B5E" w14:textId="77777777" w:rsidR="00AC6F3C" w:rsidRDefault="00AC6F3C">
            <w:pPr>
              <w:pStyle w:val="TableParagraph"/>
              <w:rPr>
                <w:rFonts w:ascii="Times New Roman"/>
                <w:sz w:val="18"/>
              </w:rPr>
            </w:pPr>
          </w:p>
        </w:tc>
      </w:tr>
      <w:tr w:rsidR="00AC6F3C" w14:paraId="231CAE2C" w14:textId="77777777">
        <w:trPr>
          <w:trHeight w:val="644"/>
        </w:trPr>
        <w:tc>
          <w:tcPr>
            <w:tcW w:w="2592" w:type="dxa"/>
            <w:tcBorders>
              <w:bottom w:val="single" w:sz="2" w:space="0" w:color="000000"/>
            </w:tcBorders>
          </w:tcPr>
          <w:p w14:paraId="6C0F1DB8" w14:textId="77777777" w:rsidR="00AC6F3C" w:rsidRDefault="00570E88">
            <w:pPr>
              <w:pStyle w:val="TableParagraph"/>
              <w:spacing w:line="142" w:lineRule="exact"/>
              <w:ind w:left="113"/>
              <w:rPr>
                <w:sz w:val="20"/>
              </w:rPr>
            </w:pPr>
            <w:r>
              <w:rPr>
                <w:sz w:val="20"/>
              </w:rPr>
              <w:t xml:space="preserve">Jasper Fogerty </w:t>
            </w:r>
            <w:r>
              <w:rPr>
                <w:spacing w:val="-2"/>
                <w:sz w:val="20"/>
              </w:rPr>
              <w:t>Lawyers</w:t>
            </w:r>
          </w:p>
        </w:tc>
        <w:tc>
          <w:tcPr>
            <w:tcW w:w="2639" w:type="dxa"/>
            <w:tcBorders>
              <w:bottom w:val="single" w:sz="2" w:space="0" w:color="000000"/>
            </w:tcBorders>
          </w:tcPr>
          <w:p w14:paraId="1AF418AD" w14:textId="77777777" w:rsidR="00AC6F3C" w:rsidRDefault="00570E88">
            <w:pPr>
              <w:pStyle w:val="TableParagraph"/>
              <w:spacing w:before="44"/>
              <w:ind w:left="166"/>
              <w:rPr>
                <w:b/>
                <w:sz w:val="20"/>
              </w:rPr>
            </w:pP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21637001" w14:textId="77777777" w:rsidR="00AC6F3C" w:rsidRDefault="00570E88">
            <w:pPr>
              <w:pStyle w:val="TableParagraph"/>
              <w:spacing w:before="11"/>
              <w:ind w:left="166"/>
              <w:rPr>
                <w:sz w:val="20"/>
              </w:rPr>
            </w:pPr>
            <w:r>
              <w:rPr>
                <w:sz w:val="20"/>
              </w:rPr>
              <w:t>(01.07.22-</w:t>
            </w:r>
            <w:r>
              <w:rPr>
                <w:spacing w:val="-2"/>
                <w:sz w:val="20"/>
              </w:rPr>
              <w:t>30.06.23)</w:t>
            </w:r>
          </w:p>
        </w:tc>
        <w:tc>
          <w:tcPr>
            <w:tcW w:w="1138" w:type="dxa"/>
            <w:tcBorders>
              <w:bottom w:val="single" w:sz="2" w:space="0" w:color="000000"/>
            </w:tcBorders>
          </w:tcPr>
          <w:p w14:paraId="7ECC90F4" w14:textId="77777777" w:rsidR="00AC6F3C" w:rsidRDefault="00AC6F3C">
            <w:pPr>
              <w:pStyle w:val="TableParagraph"/>
              <w:rPr>
                <w:rFonts w:ascii="Times New Roman"/>
                <w:sz w:val="18"/>
              </w:rPr>
            </w:pPr>
          </w:p>
        </w:tc>
        <w:tc>
          <w:tcPr>
            <w:tcW w:w="1001" w:type="dxa"/>
            <w:tcBorders>
              <w:bottom w:val="single" w:sz="2" w:space="0" w:color="000000"/>
            </w:tcBorders>
          </w:tcPr>
          <w:p w14:paraId="08E1E27F" w14:textId="77777777" w:rsidR="00AC6F3C" w:rsidRDefault="00AC6F3C">
            <w:pPr>
              <w:pStyle w:val="TableParagraph"/>
              <w:rPr>
                <w:rFonts w:ascii="Times New Roman"/>
                <w:sz w:val="18"/>
              </w:rPr>
            </w:pPr>
          </w:p>
        </w:tc>
        <w:tc>
          <w:tcPr>
            <w:tcW w:w="983" w:type="dxa"/>
            <w:tcBorders>
              <w:bottom w:val="single" w:sz="2" w:space="0" w:color="000000"/>
            </w:tcBorders>
          </w:tcPr>
          <w:p w14:paraId="5CBACD5E" w14:textId="77777777" w:rsidR="00AC6F3C" w:rsidRDefault="00570E88">
            <w:pPr>
              <w:pStyle w:val="TableParagraph"/>
              <w:spacing w:before="44"/>
              <w:jc w:val="center"/>
              <w:rPr>
                <w:sz w:val="20"/>
              </w:rPr>
            </w:pPr>
            <w:r>
              <w:rPr>
                <w:sz w:val="20"/>
              </w:rPr>
              <w:t>5</w:t>
            </w:r>
          </w:p>
        </w:tc>
        <w:tc>
          <w:tcPr>
            <w:tcW w:w="996" w:type="dxa"/>
            <w:tcBorders>
              <w:bottom w:val="single" w:sz="2" w:space="0" w:color="000000"/>
            </w:tcBorders>
          </w:tcPr>
          <w:p w14:paraId="056587F0" w14:textId="77777777" w:rsidR="00AC6F3C" w:rsidRDefault="00570E88">
            <w:pPr>
              <w:pStyle w:val="TableParagraph"/>
              <w:spacing w:before="44"/>
              <w:ind w:left="5"/>
              <w:jc w:val="center"/>
              <w:rPr>
                <w:sz w:val="20"/>
              </w:rPr>
            </w:pPr>
            <w:r>
              <w:rPr>
                <w:sz w:val="20"/>
              </w:rPr>
              <w:t>4</w:t>
            </w:r>
          </w:p>
        </w:tc>
      </w:tr>
      <w:tr w:rsidR="00AC6F3C" w14:paraId="7630B08D" w14:textId="77777777">
        <w:trPr>
          <w:trHeight w:val="778"/>
        </w:trPr>
        <w:tc>
          <w:tcPr>
            <w:tcW w:w="2592" w:type="dxa"/>
            <w:tcBorders>
              <w:top w:val="single" w:sz="2" w:space="0" w:color="000000"/>
            </w:tcBorders>
          </w:tcPr>
          <w:p w14:paraId="1E52995D" w14:textId="77777777" w:rsidR="00AC6F3C" w:rsidRDefault="00570E88">
            <w:pPr>
              <w:pStyle w:val="TableParagraph"/>
              <w:spacing w:before="41" w:line="249" w:lineRule="auto"/>
              <w:ind w:left="113" w:right="153"/>
              <w:rPr>
                <w:sz w:val="20"/>
              </w:rPr>
            </w:pPr>
            <w:r>
              <w:rPr>
                <w:b/>
                <w:sz w:val="20"/>
              </w:rPr>
              <w:t xml:space="preserve">Kara Thomson </w:t>
            </w:r>
            <w:r>
              <w:rPr>
                <w:sz w:val="20"/>
              </w:rPr>
              <w:t>Accredited Specialist – Personal</w:t>
            </w:r>
            <w:r>
              <w:rPr>
                <w:spacing w:val="-13"/>
                <w:sz w:val="20"/>
              </w:rPr>
              <w:t xml:space="preserve"> </w:t>
            </w:r>
            <w:r>
              <w:rPr>
                <w:sz w:val="20"/>
              </w:rPr>
              <w:t>Injury</w:t>
            </w:r>
            <w:r>
              <w:rPr>
                <w:spacing w:val="-13"/>
                <w:sz w:val="20"/>
              </w:rPr>
              <w:t xml:space="preserve"> </w:t>
            </w:r>
            <w:r>
              <w:rPr>
                <w:sz w:val="20"/>
              </w:rPr>
              <w:t>Law</w:t>
            </w:r>
            <w:r>
              <w:rPr>
                <w:spacing w:val="-13"/>
                <w:sz w:val="20"/>
              </w:rPr>
              <w:t xml:space="preserve"> </w:t>
            </w:r>
            <w:r>
              <w:rPr>
                <w:sz w:val="20"/>
              </w:rPr>
              <w:t>(Qld),</w:t>
            </w:r>
          </w:p>
        </w:tc>
        <w:tc>
          <w:tcPr>
            <w:tcW w:w="2639" w:type="dxa"/>
            <w:tcBorders>
              <w:top w:val="single" w:sz="2" w:space="0" w:color="000000"/>
            </w:tcBorders>
          </w:tcPr>
          <w:p w14:paraId="61D25448" w14:textId="77777777" w:rsidR="00AC6F3C" w:rsidRDefault="00570E88">
            <w:pPr>
              <w:pStyle w:val="TableParagraph"/>
              <w:spacing w:before="45" w:line="249" w:lineRule="auto"/>
              <w:ind w:left="166" w:right="999"/>
              <w:rPr>
                <w:b/>
                <w:sz w:val="20"/>
              </w:rPr>
            </w:pPr>
            <w:r>
              <w:rPr>
                <w:b/>
                <w:sz w:val="20"/>
              </w:rPr>
              <w:t>Immediate</w:t>
            </w:r>
            <w:r>
              <w:rPr>
                <w:b/>
                <w:spacing w:val="-14"/>
                <w:sz w:val="20"/>
              </w:rPr>
              <w:t xml:space="preserve"> </w:t>
            </w:r>
            <w:r>
              <w:rPr>
                <w:b/>
                <w:sz w:val="20"/>
              </w:rPr>
              <w:t>Past President 2023</w:t>
            </w:r>
          </w:p>
          <w:p w14:paraId="5CF843A4" w14:textId="77777777" w:rsidR="00AC6F3C" w:rsidRDefault="00570E88">
            <w:pPr>
              <w:pStyle w:val="TableParagraph"/>
              <w:spacing w:before="2"/>
              <w:ind w:left="166"/>
              <w:rPr>
                <w:sz w:val="20"/>
              </w:rPr>
            </w:pPr>
            <w:r>
              <w:rPr>
                <w:sz w:val="20"/>
              </w:rPr>
              <w:t>(01.01.23-</w:t>
            </w:r>
            <w:r>
              <w:rPr>
                <w:spacing w:val="-2"/>
                <w:sz w:val="20"/>
              </w:rPr>
              <w:t>30.06.23)</w:t>
            </w:r>
          </w:p>
        </w:tc>
        <w:tc>
          <w:tcPr>
            <w:tcW w:w="1138" w:type="dxa"/>
            <w:tcBorders>
              <w:top w:val="single" w:sz="2" w:space="0" w:color="000000"/>
            </w:tcBorders>
          </w:tcPr>
          <w:p w14:paraId="3B47E397" w14:textId="77777777" w:rsidR="00AC6F3C" w:rsidRDefault="00570E88">
            <w:pPr>
              <w:pStyle w:val="TableParagraph"/>
              <w:spacing w:before="45"/>
              <w:ind w:left="154"/>
              <w:jc w:val="center"/>
              <w:rPr>
                <w:sz w:val="20"/>
              </w:rPr>
            </w:pPr>
            <w:r>
              <w:rPr>
                <w:sz w:val="20"/>
              </w:rPr>
              <w:t>4</w:t>
            </w:r>
          </w:p>
        </w:tc>
        <w:tc>
          <w:tcPr>
            <w:tcW w:w="1001" w:type="dxa"/>
            <w:tcBorders>
              <w:top w:val="single" w:sz="2" w:space="0" w:color="000000"/>
            </w:tcBorders>
          </w:tcPr>
          <w:p w14:paraId="4FF2D8BE" w14:textId="77777777" w:rsidR="00AC6F3C" w:rsidRDefault="00570E88">
            <w:pPr>
              <w:pStyle w:val="TableParagraph"/>
              <w:spacing w:before="45"/>
              <w:jc w:val="center"/>
              <w:rPr>
                <w:sz w:val="20"/>
              </w:rPr>
            </w:pPr>
            <w:r>
              <w:rPr>
                <w:sz w:val="20"/>
              </w:rPr>
              <w:t>4</w:t>
            </w:r>
          </w:p>
        </w:tc>
        <w:tc>
          <w:tcPr>
            <w:tcW w:w="983" w:type="dxa"/>
            <w:tcBorders>
              <w:top w:val="single" w:sz="2" w:space="0" w:color="000000"/>
            </w:tcBorders>
          </w:tcPr>
          <w:p w14:paraId="3271D667" w14:textId="77777777" w:rsidR="00AC6F3C" w:rsidRDefault="00AC6F3C">
            <w:pPr>
              <w:pStyle w:val="TableParagraph"/>
              <w:rPr>
                <w:rFonts w:ascii="Times New Roman"/>
                <w:sz w:val="18"/>
              </w:rPr>
            </w:pPr>
          </w:p>
        </w:tc>
        <w:tc>
          <w:tcPr>
            <w:tcW w:w="996" w:type="dxa"/>
            <w:tcBorders>
              <w:top w:val="single" w:sz="2" w:space="0" w:color="000000"/>
            </w:tcBorders>
          </w:tcPr>
          <w:p w14:paraId="543AFE0A" w14:textId="77777777" w:rsidR="00AC6F3C" w:rsidRDefault="00AC6F3C">
            <w:pPr>
              <w:pStyle w:val="TableParagraph"/>
              <w:rPr>
                <w:rFonts w:ascii="Times New Roman"/>
                <w:sz w:val="18"/>
              </w:rPr>
            </w:pPr>
          </w:p>
        </w:tc>
      </w:tr>
    </w:tbl>
    <w:p w14:paraId="44F21925" w14:textId="77777777" w:rsidR="00AC6F3C" w:rsidRDefault="00570E88">
      <w:pPr>
        <w:pStyle w:val="BodyText"/>
        <w:spacing w:line="219" w:lineRule="exact"/>
        <w:ind w:left="928"/>
      </w:pPr>
      <w:r>
        <w:rPr>
          <w:noProof/>
        </w:rPr>
        <mc:AlternateContent>
          <mc:Choice Requires="wps">
            <w:drawing>
              <wp:anchor distT="0" distB="0" distL="0" distR="0" simplePos="0" relativeHeight="15757312" behindDoc="0" locked="0" layoutInCell="1" allowOverlap="1" wp14:anchorId="17C6186F" wp14:editId="25A425B4">
                <wp:simplePos x="0" y="0"/>
                <wp:positionH relativeFrom="page">
                  <wp:posOffset>2492106</wp:posOffset>
                </wp:positionH>
                <wp:positionV relativeFrom="paragraph">
                  <wp:posOffset>81485</wp:posOffset>
                </wp:positionV>
                <wp:extent cx="4045585" cy="68199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5585" cy="6819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98"/>
                              <w:gridCol w:w="1066"/>
                              <w:gridCol w:w="992"/>
                              <w:gridCol w:w="992"/>
                              <w:gridCol w:w="602"/>
                            </w:tblGrid>
                            <w:tr w:rsidR="00AC6F3C" w14:paraId="449D8824" w14:textId="77777777">
                              <w:trPr>
                                <w:trHeight w:val="537"/>
                              </w:trPr>
                              <w:tc>
                                <w:tcPr>
                                  <w:tcW w:w="2598" w:type="dxa"/>
                                </w:tcPr>
                                <w:p w14:paraId="3F19E08F" w14:textId="77777777" w:rsidR="00AC6F3C" w:rsidRDefault="00570E88">
                                  <w:pPr>
                                    <w:pStyle w:val="TableParagraph"/>
                                    <w:spacing w:line="223" w:lineRule="exact"/>
                                    <w:ind w:left="50"/>
                                    <w:rPr>
                                      <w:b/>
                                      <w:sz w:val="20"/>
                                    </w:rPr>
                                  </w:pPr>
                                  <w:r>
                                    <w:rPr>
                                      <w:b/>
                                      <w:sz w:val="20"/>
                                    </w:rPr>
                                    <w:t xml:space="preserve">President </w:t>
                                  </w:r>
                                  <w:r>
                                    <w:rPr>
                                      <w:b/>
                                      <w:spacing w:val="-4"/>
                                      <w:sz w:val="20"/>
                                    </w:rPr>
                                    <w:t>2022</w:t>
                                  </w:r>
                                </w:p>
                                <w:p w14:paraId="5EC8A131" w14:textId="77777777" w:rsidR="00AC6F3C" w:rsidRDefault="00570E88">
                                  <w:pPr>
                                    <w:pStyle w:val="TableParagraph"/>
                                    <w:spacing w:before="10"/>
                                    <w:ind w:left="50"/>
                                    <w:rPr>
                                      <w:sz w:val="20"/>
                                    </w:rPr>
                                  </w:pPr>
                                  <w:r>
                                    <w:rPr>
                                      <w:sz w:val="20"/>
                                    </w:rPr>
                                    <w:t>(01.07.22-</w:t>
                                  </w:r>
                                  <w:r>
                                    <w:rPr>
                                      <w:spacing w:val="-2"/>
                                      <w:sz w:val="20"/>
                                    </w:rPr>
                                    <w:t>31.12.22)</w:t>
                                  </w:r>
                                </w:p>
                              </w:tc>
                              <w:tc>
                                <w:tcPr>
                                  <w:tcW w:w="1066" w:type="dxa"/>
                                </w:tcPr>
                                <w:p w14:paraId="51DCCD6F" w14:textId="77777777" w:rsidR="00AC6F3C" w:rsidRDefault="00570E88">
                                  <w:pPr>
                                    <w:pStyle w:val="TableParagraph"/>
                                    <w:spacing w:line="223" w:lineRule="exact"/>
                                    <w:ind w:left="74"/>
                                    <w:jc w:val="center"/>
                                    <w:rPr>
                                      <w:sz w:val="20"/>
                                    </w:rPr>
                                  </w:pPr>
                                  <w:r>
                                    <w:rPr>
                                      <w:sz w:val="20"/>
                                    </w:rPr>
                                    <w:t>3</w:t>
                                  </w:r>
                                </w:p>
                              </w:tc>
                              <w:tc>
                                <w:tcPr>
                                  <w:tcW w:w="992" w:type="dxa"/>
                                </w:tcPr>
                                <w:p w14:paraId="1EC20619" w14:textId="77777777" w:rsidR="00AC6F3C" w:rsidRDefault="00570E88">
                                  <w:pPr>
                                    <w:pStyle w:val="TableParagraph"/>
                                    <w:spacing w:line="223" w:lineRule="exact"/>
                                    <w:jc w:val="center"/>
                                    <w:rPr>
                                      <w:sz w:val="20"/>
                                    </w:rPr>
                                  </w:pPr>
                                  <w:r>
                                    <w:rPr>
                                      <w:sz w:val="20"/>
                                    </w:rPr>
                                    <w:t>3</w:t>
                                  </w:r>
                                </w:p>
                              </w:tc>
                              <w:tc>
                                <w:tcPr>
                                  <w:tcW w:w="1594" w:type="dxa"/>
                                  <w:gridSpan w:val="2"/>
                                </w:tcPr>
                                <w:p w14:paraId="1470C0B4" w14:textId="77777777" w:rsidR="00AC6F3C" w:rsidRDefault="00AC6F3C">
                                  <w:pPr>
                                    <w:pStyle w:val="TableParagraph"/>
                                    <w:rPr>
                                      <w:rFonts w:ascii="Times New Roman"/>
                                      <w:sz w:val="18"/>
                                    </w:rPr>
                                  </w:pPr>
                                </w:p>
                              </w:tc>
                            </w:tr>
                            <w:tr w:rsidR="00AC6F3C" w14:paraId="3502E785" w14:textId="77777777">
                              <w:trPr>
                                <w:trHeight w:val="537"/>
                              </w:trPr>
                              <w:tc>
                                <w:tcPr>
                                  <w:tcW w:w="2598" w:type="dxa"/>
                                </w:tcPr>
                                <w:p w14:paraId="6A7CA33E" w14:textId="77777777" w:rsidR="00AC6F3C" w:rsidRDefault="00570E88">
                                  <w:pPr>
                                    <w:pStyle w:val="TableParagraph"/>
                                    <w:spacing w:before="68"/>
                                    <w:ind w:left="50"/>
                                    <w:rPr>
                                      <w:b/>
                                      <w:sz w:val="20"/>
                                    </w:rPr>
                                  </w:pP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4A8F7D61" w14:textId="77777777" w:rsidR="00AC6F3C" w:rsidRDefault="00570E88">
                                  <w:pPr>
                                    <w:pStyle w:val="TableParagraph"/>
                                    <w:spacing w:before="10" w:line="210" w:lineRule="exact"/>
                                    <w:ind w:left="50"/>
                                    <w:rPr>
                                      <w:sz w:val="20"/>
                                    </w:rPr>
                                  </w:pPr>
                                  <w:r>
                                    <w:rPr>
                                      <w:sz w:val="20"/>
                                    </w:rPr>
                                    <w:t>(01.07.22-</w:t>
                                  </w:r>
                                  <w:r>
                                    <w:rPr>
                                      <w:spacing w:val="-2"/>
                                      <w:sz w:val="20"/>
                                    </w:rPr>
                                    <w:t>30.06.23)</w:t>
                                  </w:r>
                                </w:p>
                              </w:tc>
                              <w:tc>
                                <w:tcPr>
                                  <w:tcW w:w="1066" w:type="dxa"/>
                                </w:tcPr>
                                <w:p w14:paraId="7DC9D5BD" w14:textId="77777777" w:rsidR="00AC6F3C" w:rsidRDefault="00AC6F3C">
                                  <w:pPr>
                                    <w:pStyle w:val="TableParagraph"/>
                                    <w:rPr>
                                      <w:rFonts w:ascii="Times New Roman"/>
                                      <w:sz w:val="18"/>
                                    </w:rPr>
                                  </w:pPr>
                                </w:p>
                              </w:tc>
                              <w:tc>
                                <w:tcPr>
                                  <w:tcW w:w="992" w:type="dxa"/>
                                </w:tcPr>
                                <w:p w14:paraId="4319BC41" w14:textId="77777777" w:rsidR="00AC6F3C" w:rsidRDefault="00AC6F3C">
                                  <w:pPr>
                                    <w:pStyle w:val="TableParagraph"/>
                                    <w:rPr>
                                      <w:rFonts w:ascii="Times New Roman"/>
                                      <w:sz w:val="18"/>
                                    </w:rPr>
                                  </w:pPr>
                                </w:p>
                              </w:tc>
                              <w:tc>
                                <w:tcPr>
                                  <w:tcW w:w="992" w:type="dxa"/>
                                </w:tcPr>
                                <w:p w14:paraId="4D57E88C" w14:textId="77777777" w:rsidR="00AC6F3C" w:rsidRDefault="00570E88">
                                  <w:pPr>
                                    <w:pStyle w:val="TableParagraph"/>
                                    <w:spacing w:before="68"/>
                                    <w:jc w:val="center"/>
                                    <w:rPr>
                                      <w:sz w:val="20"/>
                                    </w:rPr>
                                  </w:pPr>
                                  <w:r>
                                    <w:rPr>
                                      <w:sz w:val="20"/>
                                    </w:rPr>
                                    <w:t>5</w:t>
                                  </w:r>
                                </w:p>
                              </w:tc>
                              <w:tc>
                                <w:tcPr>
                                  <w:tcW w:w="602" w:type="dxa"/>
                                </w:tcPr>
                                <w:p w14:paraId="40812205" w14:textId="77777777" w:rsidR="00AC6F3C" w:rsidRDefault="00570E88">
                                  <w:pPr>
                                    <w:pStyle w:val="TableParagraph"/>
                                    <w:spacing w:before="68"/>
                                    <w:ind w:right="47"/>
                                    <w:jc w:val="right"/>
                                    <w:rPr>
                                      <w:sz w:val="20"/>
                                    </w:rPr>
                                  </w:pPr>
                                  <w:r>
                                    <w:rPr>
                                      <w:sz w:val="20"/>
                                    </w:rPr>
                                    <w:t>5</w:t>
                                  </w:r>
                                </w:p>
                              </w:tc>
                            </w:tr>
                          </w:tbl>
                          <w:p w14:paraId="4B789AA7" w14:textId="77777777" w:rsidR="00AC6F3C" w:rsidRDefault="00AC6F3C">
                            <w:pPr>
                              <w:pStyle w:val="BodyText"/>
                            </w:pPr>
                          </w:p>
                        </w:txbxContent>
                      </wps:txbx>
                      <wps:bodyPr wrap="square" lIns="0" tIns="0" rIns="0" bIns="0" rtlCol="0">
                        <a:noAutofit/>
                      </wps:bodyPr>
                    </wps:wsp>
                  </a:graphicData>
                </a:graphic>
              </wp:anchor>
            </w:drawing>
          </mc:Choice>
          <mc:Fallback>
            <w:pict>
              <v:shape w14:anchorId="17C6186F" id="Textbox 248" o:spid="_x0000_s1027" type="#_x0000_t202" style="position:absolute;left:0;text-align:left;margin-left:196.25pt;margin-top:6.4pt;width:318.55pt;height:53.7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98"/>
                        <w:gridCol w:w="1066"/>
                        <w:gridCol w:w="992"/>
                        <w:gridCol w:w="992"/>
                        <w:gridCol w:w="602"/>
                      </w:tblGrid>
                      <w:tr w:rsidR="00AC6F3C" w14:paraId="449D8824" w14:textId="77777777">
                        <w:trPr>
                          <w:trHeight w:val="537"/>
                        </w:trPr>
                        <w:tc>
                          <w:tcPr>
                            <w:tcW w:w="2598" w:type="dxa"/>
                          </w:tcPr>
                          <w:p w14:paraId="3F19E08F" w14:textId="77777777" w:rsidR="00AC6F3C" w:rsidRDefault="00570E88">
                            <w:pPr>
                              <w:pStyle w:val="TableParagraph"/>
                              <w:spacing w:line="223" w:lineRule="exact"/>
                              <w:ind w:left="50"/>
                              <w:rPr>
                                <w:b/>
                                <w:sz w:val="20"/>
                              </w:rPr>
                            </w:pPr>
                            <w:r>
                              <w:rPr>
                                <w:b/>
                                <w:sz w:val="20"/>
                              </w:rPr>
                              <w:t xml:space="preserve">President </w:t>
                            </w:r>
                            <w:r>
                              <w:rPr>
                                <w:b/>
                                <w:spacing w:val="-4"/>
                                <w:sz w:val="20"/>
                              </w:rPr>
                              <w:t>2022</w:t>
                            </w:r>
                          </w:p>
                          <w:p w14:paraId="5EC8A131" w14:textId="77777777" w:rsidR="00AC6F3C" w:rsidRDefault="00570E88">
                            <w:pPr>
                              <w:pStyle w:val="TableParagraph"/>
                              <w:spacing w:before="10"/>
                              <w:ind w:left="50"/>
                              <w:rPr>
                                <w:sz w:val="20"/>
                              </w:rPr>
                            </w:pPr>
                            <w:r>
                              <w:rPr>
                                <w:sz w:val="20"/>
                              </w:rPr>
                              <w:t>(01.07.22-</w:t>
                            </w:r>
                            <w:r>
                              <w:rPr>
                                <w:spacing w:val="-2"/>
                                <w:sz w:val="20"/>
                              </w:rPr>
                              <w:t>31.12.22)</w:t>
                            </w:r>
                          </w:p>
                        </w:tc>
                        <w:tc>
                          <w:tcPr>
                            <w:tcW w:w="1066" w:type="dxa"/>
                          </w:tcPr>
                          <w:p w14:paraId="51DCCD6F" w14:textId="77777777" w:rsidR="00AC6F3C" w:rsidRDefault="00570E88">
                            <w:pPr>
                              <w:pStyle w:val="TableParagraph"/>
                              <w:spacing w:line="223" w:lineRule="exact"/>
                              <w:ind w:left="74"/>
                              <w:jc w:val="center"/>
                              <w:rPr>
                                <w:sz w:val="20"/>
                              </w:rPr>
                            </w:pPr>
                            <w:r>
                              <w:rPr>
                                <w:sz w:val="20"/>
                              </w:rPr>
                              <w:t>3</w:t>
                            </w:r>
                          </w:p>
                        </w:tc>
                        <w:tc>
                          <w:tcPr>
                            <w:tcW w:w="992" w:type="dxa"/>
                          </w:tcPr>
                          <w:p w14:paraId="1EC20619" w14:textId="77777777" w:rsidR="00AC6F3C" w:rsidRDefault="00570E88">
                            <w:pPr>
                              <w:pStyle w:val="TableParagraph"/>
                              <w:spacing w:line="223" w:lineRule="exact"/>
                              <w:jc w:val="center"/>
                              <w:rPr>
                                <w:sz w:val="20"/>
                              </w:rPr>
                            </w:pPr>
                            <w:r>
                              <w:rPr>
                                <w:sz w:val="20"/>
                              </w:rPr>
                              <w:t>3</w:t>
                            </w:r>
                          </w:p>
                        </w:tc>
                        <w:tc>
                          <w:tcPr>
                            <w:tcW w:w="1594" w:type="dxa"/>
                            <w:gridSpan w:val="2"/>
                          </w:tcPr>
                          <w:p w14:paraId="1470C0B4" w14:textId="77777777" w:rsidR="00AC6F3C" w:rsidRDefault="00AC6F3C">
                            <w:pPr>
                              <w:pStyle w:val="TableParagraph"/>
                              <w:rPr>
                                <w:rFonts w:ascii="Times New Roman"/>
                                <w:sz w:val="18"/>
                              </w:rPr>
                            </w:pPr>
                          </w:p>
                        </w:tc>
                      </w:tr>
                      <w:tr w:rsidR="00AC6F3C" w14:paraId="3502E785" w14:textId="77777777">
                        <w:trPr>
                          <w:trHeight w:val="537"/>
                        </w:trPr>
                        <w:tc>
                          <w:tcPr>
                            <w:tcW w:w="2598" w:type="dxa"/>
                          </w:tcPr>
                          <w:p w14:paraId="6A7CA33E" w14:textId="77777777" w:rsidR="00AC6F3C" w:rsidRDefault="00570E88">
                            <w:pPr>
                              <w:pStyle w:val="TableParagraph"/>
                              <w:spacing w:before="68"/>
                              <w:ind w:left="50"/>
                              <w:rPr>
                                <w:b/>
                                <w:sz w:val="20"/>
                              </w:rPr>
                            </w:pP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4A8F7D61" w14:textId="77777777" w:rsidR="00AC6F3C" w:rsidRDefault="00570E88">
                            <w:pPr>
                              <w:pStyle w:val="TableParagraph"/>
                              <w:spacing w:before="10" w:line="210" w:lineRule="exact"/>
                              <w:ind w:left="50"/>
                              <w:rPr>
                                <w:sz w:val="20"/>
                              </w:rPr>
                            </w:pPr>
                            <w:r>
                              <w:rPr>
                                <w:sz w:val="20"/>
                              </w:rPr>
                              <w:t>(01.07.22-</w:t>
                            </w:r>
                            <w:r>
                              <w:rPr>
                                <w:spacing w:val="-2"/>
                                <w:sz w:val="20"/>
                              </w:rPr>
                              <w:t>30.06.23)</w:t>
                            </w:r>
                          </w:p>
                        </w:tc>
                        <w:tc>
                          <w:tcPr>
                            <w:tcW w:w="1066" w:type="dxa"/>
                          </w:tcPr>
                          <w:p w14:paraId="7DC9D5BD" w14:textId="77777777" w:rsidR="00AC6F3C" w:rsidRDefault="00AC6F3C">
                            <w:pPr>
                              <w:pStyle w:val="TableParagraph"/>
                              <w:rPr>
                                <w:rFonts w:ascii="Times New Roman"/>
                                <w:sz w:val="18"/>
                              </w:rPr>
                            </w:pPr>
                          </w:p>
                        </w:tc>
                        <w:tc>
                          <w:tcPr>
                            <w:tcW w:w="992" w:type="dxa"/>
                          </w:tcPr>
                          <w:p w14:paraId="4319BC41" w14:textId="77777777" w:rsidR="00AC6F3C" w:rsidRDefault="00AC6F3C">
                            <w:pPr>
                              <w:pStyle w:val="TableParagraph"/>
                              <w:rPr>
                                <w:rFonts w:ascii="Times New Roman"/>
                                <w:sz w:val="18"/>
                              </w:rPr>
                            </w:pPr>
                          </w:p>
                        </w:tc>
                        <w:tc>
                          <w:tcPr>
                            <w:tcW w:w="992" w:type="dxa"/>
                          </w:tcPr>
                          <w:p w14:paraId="4D57E88C" w14:textId="77777777" w:rsidR="00AC6F3C" w:rsidRDefault="00570E88">
                            <w:pPr>
                              <w:pStyle w:val="TableParagraph"/>
                              <w:spacing w:before="68"/>
                              <w:jc w:val="center"/>
                              <w:rPr>
                                <w:sz w:val="20"/>
                              </w:rPr>
                            </w:pPr>
                            <w:r>
                              <w:rPr>
                                <w:sz w:val="20"/>
                              </w:rPr>
                              <w:t>5</w:t>
                            </w:r>
                          </w:p>
                        </w:tc>
                        <w:tc>
                          <w:tcPr>
                            <w:tcW w:w="602" w:type="dxa"/>
                          </w:tcPr>
                          <w:p w14:paraId="40812205" w14:textId="77777777" w:rsidR="00AC6F3C" w:rsidRDefault="00570E88">
                            <w:pPr>
                              <w:pStyle w:val="TableParagraph"/>
                              <w:spacing w:before="68"/>
                              <w:ind w:right="47"/>
                              <w:jc w:val="right"/>
                              <w:rPr>
                                <w:sz w:val="20"/>
                              </w:rPr>
                            </w:pPr>
                            <w:r>
                              <w:rPr>
                                <w:sz w:val="20"/>
                              </w:rPr>
                              <w:t>5</w:t>
                            </w:r>
                          </w:p>
                        </w:tc>
                      </w:tr>
                    </w:tbl>
                    <w:p w14:paraId="4B789AA7" w14:textId="77777777" w:rsidR="00AC6F3C" w:rsidRDefault="00AC6F3C">
                      <w:pPr>
                        <w:pStyle w:val="BodyText"/>
                      </w:pPr>
                    </w:p>
                  </w:txbxContent>
                </v:textbox>
                <w10:wrap anchorx="page"/>
              </v:shape>
            </w:pict>
          </mc:Fallback>
        </mc:AlternateContent>
      </w:r>
      <w:r>
        <w:t>Hughes</w:t>
      </w:r>
      <w:r>
        <w:rPr>
          <w:spacing w:val="-1"/>
        </w:rPr>
        <w:t xml:space="preserve"> </w:t>
      </w:r>
      <w:r>
        <w:t>and</w:t>
      </w:r>
      <w:r>
        <w:rPr>
          <w:spacing w:val="-1"/>
        </w:rPr>
        <w:t xml:space="preserve"> </w:t>
      </w:r>
      <w:r>
        <w:t xml:space="preserve">Lewis </w:t>
      </w:r>
      <w:r>
        <w:rPr>
          <w:spacing w:val="-2"/>
        </w:rPr>
        <w:t>Legal</w:t>
      </w:r>
    </w:p>
    <w:p w14:paraId="16BB671A" w14:textId="77777777" w:rsidR="00AC6F3C" w:rsidRDefault="00AC6F3C">
      <w:pPr>
        <w:spacing w:line="219" w:lineRule="exact"/>
        <w:sectPr w:rsidR="00AC6F3C">
          <w:type w:val="continuous"/>
          <w:pgSz w:w="11910" w:h="16840"/>
          <w:pgMar w:top="1920" w:right="1160" w:bottom="280" w:left="460" w:header="0" w:footer="1889" w:gutter="0"/>
          <w:cols w:space="720"/>
        </w:sectPr>
      </w:pPr>
    </w:p>
    <w:p w14:paraId="2E6F0EF0" w14:textId="77777777" w:rsidR="00AC6F3C" w:rsidRDefault="00570E88">
      <w:pPr>
        <w:spacing w:before="83" w:line="249" w:lineRule="auto"/>
        <w:ind w:left="6858" w:hanging="210"/>
        <w:rPr>
          <w:b/>
          <w:sz w:val="18"/>
        </w:rPr>
      </w:pPr>
      <w:r>
        <w:rPr>
          <w:noProof/>
        </w:rPr>
        <w:lastRenderedPageBreak/>
        <mc:AlternateContent>
          <mc:Choice Requires="wpg">
            <w:drawing>
              <wp:anchor distT="0" distB="0" distL="0" distR="0" simplePos="0" relativeHeight="15758336" behindDoc="0" locked="0" layoutInCell="1" allowOverlap="1" wp14:anchorId="254739E4" wp14:editId="3884AEF4">
                <wp:simplePos x="0" y="0"/>
                <wp:positionH relativeFrom="page">
                  <wp:posOffset>809999</wp:posOffset>
                </wp:positionH>
                <wp:positionV relativeFrom="paragraph">
                  <wp:posOffset>-1646</wp:posOffset>
                </wp:positionV>
                <wp:extent cx="5937250" cy="1270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2700"/>
                          <a:chOff x="0" y="0"/>
                          <a:chExt cx="5937250" cy="12700"/>
                        </a:xfrm>
                      </wpg:grpSpPr>
                      <wps:wsp>
                        <wps:cNvPr id="258" name="Graphic 258"/>
                        <wps:cNvSpPr/>
                        <wps:spPr>
                          <a:xfrm>
                            <a:off x="0" y="6350"/>
                            <a:ext cx="1680210" cy="1270"/>
                          </a:xfrm>
                          <a:custGeom>
                            <a:avLst/>
                            <a:gdLst/>
                            <a:ahLst/>
                            <a:cxnLst/>
                            <a:rect l="l" t="t" r="r" b="b"/>
                            <a:pathLst>
                              <a:path w="1680210">
                                <a:moveTo>
                                  <a:pt x="0" y="0"/>
                                </a:moveTo>
                                <a:lnTo>
                                  <a:pt x="1679994" y="0"/>
                                </a:lnTo>
                              </a:path>
                            </a:pathLst>
                          </a:custGeom>
                          <a:ln w="12700">
                            <a:solidFill>
                              <a:srgbClr val="000000"/>
                            </a:solidFill>
                            <a:prstDash val="solid"/>
                          </a:ln>
                        </wps:spPr>
                        <wps:bodyPr wrap="square" lIns="0" tIns="0" rIns="0" bIns="0" rtlCol="0">
                          <a:prstTxWarp prst="textNoShape">
                            <a:avLst/>
                          </a:prstTxWarp>
                          <a:noAutofit/>
                        </wps:bodyPr>
                      </wps:wsp>
                      <wps:wsp>
                        <wps:cNvPr id="259" name="Graphic 259"/>
                        <wps:cNvSpPr/>
                        <wps:spPr>
                          <a:xfrm>
                            <a:off x="1680000" y="6350"/>
                            <a:ext cx="1737360" cy="1270"/>
                          </a:xfrm>
                          <a:custGeom>
                            <a:avLst/>
                            <a:gdLst/>
                            <a:ahLst/>
                            <a:cxnLst/>
                            <a:rect l="l" t="t" r="r" b="b"/>
                            <a:pathLst>
                              <a:path w="1737360">
                                <a:moveTo>
                                  <a:pt x="0" y="0"/>
                                </a:moveTo>
                                <a:lnTo>
                                  <a:pt x="1737004" y="0"/>
                                </a:lnTo>
                              </a:path>
                            </a:pathLst>
                          </a:custGeom>
                          <a:ln w="12700">
                            <a:solidFill>
                              <a:srgbClr val="000000"/>
                            </a:solidFill>
                            <a:prstDash val="solid"/>
                          </a:ln>
                        </wps:spPr>
                        <wps:bodyPr wrap="square" lIns="0" tIns="0" rIns="0" bIns="0" rtlCol="0">
                          <a:prstTxWarp prst="textNoShape">
                            <a:avLst/>
                          </a:prstTxWarp>
                          <a:noAutofit/>
                        </wps:bodyPr>
                      </wps:wsp>
                      <wps:wsp>
                        <wps:cNvPr id="260" name="Graphic 260"/>
                        <wps:cNvSpPr/>
                        <wps:spPr>
                          <a:xfrm>
                            <a:off x="341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61" name="Graphic 261"/>
                        <wps:cNvSpPr/>
                        <wps:spPr>
                          <a:xfrm>
                            <a:off x="404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62" name="Graphic 262"/>
                        <wps:cNvSpPr/>
                        <wps:spPr>
                          <a:xfrm>
                            <a:off x="467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s:wsp>
                        <wps:cNvPr id="263" name="Graphic 263"/>
                        <wps:cNvSpPr/>
                        <wps:spPr>
                          <a:xfrm>
                            <a:off x="5306999" y="6350"/>
                            <a:ext cx="630555" cy="1270"/>
                          </a:xfrm>
                          <a:custGeom>
                            <a:avLst/>
                            <a:gdLst/>
                            <a:ahLst/>
                            <a:cxnLst/>
                            <a:rect l="l" t="t" r="r" b="b"/>
                            <a:pathLst>
                              <a:path w="630555">
                                <a:moveTo>
                                  <a:pt x="0" y="0"/>
                                </a:moveTo>
                                <a:lnTo>
                                  <a:pt x="629996"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0DAE50" id="Group 257" o:spid="_x0000_s1026" style="position:absolute;margin-left:63.8pt;margin-top:-.15pt;width:467.5pt;height:1pt;z-index:15758336;mso-wrap-distance-left:0;mso-wrap-distance-right:0;mso-position-horizontal-relative:page" coordsize="593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">
                <v:shape id="Graphic 258" o:spid="_x0000_s1027" style="position:absolute;top:63;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" path="m,l1679994,e" filled="f" strokeweight="1pt">
                  <v:path arrowok="t"/>
                </v:shape>
                <v:shape id="Graphic 259" o:spid="_x0000_s1028" style="position:absolute;left:16800;top:63;width:17373;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" path="m,l1737004,e" filled="f" strokeweight="1pt">
                  <v:path arrowok="t"/>
                </v:shape>
                <v:shape id="Graphic 260" o:spid="_x0000_s1029" style="position:absolute;left:341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" path="m,l629996,e" filled="f" strokeweight="1pt">
                  <v:path arrowok="t"/>
                </v:shape>
                <v:shape id="Graphic 261" o:spid="_x0000_s1030" style="position:absolute;left:404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" path="m,l629996,e" filled="f" strokeweight="1pt">
                  <v:path arrowok="t"/>
                </v:shape>
                <v:shape id="Graphic 262" o:spid="_x0000_s1031" style="position:absolute;left:467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" path="m,l629996,e" filled="f" strokeweight="1pt">
                  <v:path arrowok="t"/>
                </v:shape>
                <v:shape id="Graphic 263" o:spid="_x0000_s1032" style="position:absolute;left:53069;top:63;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" path="m,l629996,e" filled="f" strokeweight="1pt">
                  <v:path arrowok="t"/>
                </v:shape>
                <w10:wrap anchorx="page"/>
              </v:group>
            </w:pict>
          </mc:Fallback>
        </mc:AlternateContent>
      </w:r>
      <w:r>
        <w:rPr>
          <w:b/>
          <w:sz w:val="18"/>
        </w:rPr>
        <w:t>QLS</w:t>
      </w:r>
      <w:r>
        <w:rPr>
          <w:b/>
          <w:spacing w:val="-13"/>
          <w:sz w:val="18"/>
        </w:rPr>
        <w:t xml:space="preserve"> </w:t>
      </w:r>
      <w:r>
        <w:rPr>
          <w:b/>
          <w:sz w:val="18"/>
        </w:rPr>
        <w:t xml:space="preserve">Council </w:t>
      </w:r>
      <w:r>
        <w:rPr>
          <w:b/>
          <w:spacing w:val="-2"/>
          <w:sz w:val="18"/>
        </w:rPr>
        <w:t>2022-23</w:t>
      </w:r>
    </w:p>
    <w:p w14:paraId="759CD364" w14:textId="77777777" w:rsidR="00AC6F3C" w:rsidRDefault="00570E88">
      <w:pPr>
        <w:spacing w:before="83" w:line="249" w:lineRule="auto"/>
        <w:ind w:left="1073" w:right="780" w:firstLine="170"/>
        <w:rPr>
          <w:b/>
          <w:sz w:val="18"/>
        </w:rPr>
      </w:pPr>
      <w:r>
        <w:br w:type="column"/>
      </w:r>
      <w:r>
        <w:rPr>
          <w:b/>
          <w:spacing w:val="-4"/>
          <w:sz w:val="18"/>
        </w:rPr>
        <w:t xml:space="preserve">FRC </w:t>
      </w:r>
      <w:r>
        <w:rPr>
          <w:b/>
          <w:spacing w:val="-2"/>
          <w:sz w:val="18"/>
        </w:rPr>
        <w:t>2022-23</w:t>
      </w:r>
    </w:p>
    <w:p w14:paraId="1C66AB1A" w14:textId="77777777" w:rsidR="00AC6F3C" w:rsidRDefault="00AC6F3C">
      <w:pPr>
        <w:spacing w:line="249" w:lineRule="auto"/>
        <w:rPr>
          <w:sz w:val="18"/>
        </w:rPr>
        <w:sectPr w:rsidR="00AC6F3C">
          <w:headerReference w:type="default" r:id="rId58"/>
          <w:footerReference w:type="default" r:id="rId59"/>
          <w:pgSz w:w="11910" w:h="16840"/>
          <w:pgMar w:top="1260" w:right="1160" w:bottom="2080" w:left="460" w:header="0" w:footer="1889" w:gutter="0"/>
          <w:cols w:num="2" w:space="720" w:equalWidth="0">
            <w:col w:w="7730" w:space="40"/>
            <w:col w:w="2520"/>
          </w:cols>
        </w:sectPr>
      </w:pPr>
    </w:p>
    <w:p w14:paraId="29BEBD05" w14:textId="77777777" w:rsidR="00AC6F3C" w:rsidRDefault="00AC6F3C">
      <w:pPr>
        <w:pStyle w:val="BodyText"/>
        <w:spacing w:before="7"/>
        <w:rPr>
          <w:b/>
          <w:sz w:val="5"/>
        </w:rPr>
      </w:pPr>
    </w:p>
    <w:p w14:paraId="1566219D"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55389949" wp14:editId="775D6CC5">
                <wp:extent cx="5937250" cy="3175"/>
                <wp:effectExtent l="9525" t="0" r="0" b="635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3175"/>
                          <a:chOff x="0" y="0"/>
                          <a:chExt cx="5937250" cy="3175"/>
                        </a:xfrm>
                      </wpg:grpSpPr>
                      <wps:wsp>
                        <wps:cNvPr id="265" name="Graphic 265"/>
                        <wps:cNvSpPr/>
                        <wps:spPr>
                          <a:xfrm>
                            <a:off x="0" y="1587"/>
                            <a:ext cx="1680210" cy="1270"/>
                          </a:xfrm>
                          <a:custGeom>
                            <a:avLst/>
                            <a:gdLst/>
                            <a:ahLst/>
                            <a:cxnLst/>
                            <a:rect l="l" t="t" r="r" b="b"/>
                            <a:pathLst>
                              <a:path w="1680210">
                                <a:moveTo>
                                  <a:pt x="0" y="0"/>
                                </a:moveTo>
                                <a:lnTo>
                                  <a:pt x="1679994" y="0"/>
                                </a:lnTo>
                              </a:path>
                            </a:pathLst>
                          </a:custGeom>
                          <a:ln w="3175">
                            <a:solidFill>
                              <a:srgbClr val="000000"/>
                            </a:solidFill>
                            <a:prstDash val="solid"/>
                          </a:ln>
                        </wps:spPr>
                        <wps:bodyPr wrap="square" lIns="0" tIns="0" rIns="0" bIns="0" rtlCol="0">
                          <a:prstTxWarp prst="textNoShape">
                            <a:avLst/>
                          </a:prstTxWarp>
                          <a:noAutofit/>
                        </wps:bodyPr>
                      </wps:wsp>
                      <wps:wsp>
                        <wps:cNvPr id="266" name="Graphic 266"/>
                        <wps:cNvSpPr/>
                        <wps:spPr>
                          <a:xfrm>
                            <a:off x="1680000" y="1587"/>
                            <a:ext cx="1737360" cy="1270"/>
                          </a:xfrm>
                          <a:custGeom>
                            <a:avLst/>
                            <a:gdLst/>
                            <a:ahLst/>
                            <a:cxnLst/>
                            <a:rect l="l" t="t" r="r" b="b"/>
                            <a:pathLst>
                              <a:path w="1737360">
                                <a:moveTo>
                                  <a:pt x="0" y="0"/>
                                </a:moveTo>
                                <a:lnTo>
                                  <a:pt x="1737004" y="0"/>
                                </a:lnTo>
                              </a:path>
                            </a:pathLst>
                          </a:custGeom>
                          <a:ln w="3175">
                            <a:solidFill>
                              <a:srgbClr val="000000"/>
                            </a:solidFill>
                            <a:prstDash val="solid"/>
                          </a:ln>
                        </wps:spPr>
                        <wps:bodyPr wrap="square" lIns="0" tIns="0" rIns="0" bIns="0" rtlCol="0">
                          <a:prstTxWarp prst="textNoShape">
                            <a:avLst/>
                          </a:prstTxWarp>
                          <a:noAutofit/>
                        </wps:bodyPr>
                      </wps:wsp>
                      <wps:wsp>
                        <wps:cNvPr id="267" name="Graphic 267"/>
                        <wps:cNvSpPr/>
                        <wps:spPr>
                          <a:xfrm>
                            <a:off x="341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68" name="Graphic 268"/>
                        <wps:cNvSpPr/>
                        <wps:spPr>
                          <a:xfrm>
                            <a:off x="404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69" name="Graphic 269"/>
                        <wps:cNvSpPr/>
                        <wps:spPr>
                          <a:xfrm>
                            <a:off x="467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70" name="Graphic 270"/>
                        <wps:cNvSpPr/>
                        <wps:spPr>
                          <a:xfrm>
                            <a:off x="530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8F2DEA" id="Group 264" o:spid="_x0000_s1026" style="width:467.5pt;height:.25pt;mso-position-horizontal-relative:char;mso-position-vertical-relative:line" coordsize="59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">
                <v:shape id="Graphic 265" o:spid="_x0000_s1027" style="position:absolute;top:15;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" path="m,l1679994,e" filled="f" strokeweight=".25pt">
                  <v:path arrowok="t"/>
                </v:shape>
                <v:shape id="Graphic 266" o:spid="_x0000_s1028" style="position:absolute;left:16800;top:15;width:17373;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" path="m,l1737004,e" filled="f" strokeweight=".25pt">
                  <v:path arrowok="t"/>
                </v:shape>
                <v:shape id="Graphic 267" o:spid="_x0000_s1029" style="position:absolute;left:341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" path="m,l629996,e" filled="f" strokeweight=".25pt">
                  <v:path arrowok="t"/>
                </v:shape>
                <v:shape id="Graphic 268" o:spid="_x0000_s1030" style="position:absolute;left:404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" path="m,l629996,e" filled="f" strokeweight=".25pt">
                  <v:path arrowok="t"/>
                </v:shape>
                <v:shape id="Graphic 269" o:spid="_x0000_s1031" style="position:absolute;left:467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" path="m,l629996,e" filled="f" strokeweight=".25pt">
                  <v:path arrowok="t"/>
                </v:shape>
                <v:shape id="Graphic 270" o:spid="_x0000_s1032" style="position:absolute;left:530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" path="m,l629996,e" filled="f" strokeweight=".25pt">
                  <v:path arrowok="t"/>
                </v:shape>
                <w10:anchorlock/>
              </v:group>
            </w:pict>
          </mc:Fallback>
        </mc:AlternateContent>
      </w:r>
    </w:p>
    <w:p w14:paraId="0A2451BD" w14:textId="77777777" w:rsidR="00AC6F3C" w:rsidRDefault="00AC6F3C">
      <w:pPr>
        <w:pStyle w:val="BodyText"/>
        <w:spacing w:before="8"/>
        <w:rPr>
          <w:b/>
          <w:sz w:val="18"/>
        </w:rPr>
      </w:pPr>
    </w:p>
    <w:p w14:paraId="2E608100" w14:textId="77777777" w:rsidR="00AC6F3C" w:rsidRDefault="00570E88">
      <w:pPr>
        <w:tabs>
          <w:tab w:val="left" w:pos="8392"/>
        </w:tabs>
        <w:spacing w:before="95"/>
        <w:ind w:left="6408"/>
        <w:rPr>
          <w:b/>
          <w:sz w:val="16"/>
        </w:rPr>
      </w:pPr>
      <w:r>
        <w:rPr>
          <w:b/>
          <w:spacing w:val="-2"/>
          <w:sz w:val="16"/>
        </w:rPr>
        <w:t>Eligible</w:t>
      </w:r>
      <w:r>
        <w:rPr>
          <w:b/>
          <w:sz w:val="16"/>
        </w:rPr>
        <w:tab/>
      </w:r>
      <w:proofErr w:type="spellStart"/>
      <w:r>
        <w:rPr>
          <w:b/>
          <w:spacing w:val="-2"/>
          <w:sz w:val="16"/>
        </w:rPr>
        <w:t>Eligible</w:t>
      </w:r>
      <w:proofErr w:type="spellEnd"/>
    </w:p>
    <w:p w14:paraId="47419F76" w14:textId="77777777" w:rsidR="00AC6F3C" w:rsidRDefault="00AC6F3C">
      <w:pPr>
        <w:pStyle w:val="BodyText"/>
        <w:rPr>
          <w:b/>
        </w:rPr>
      </w:pPr>
    </w:p>
    <w:p w14:paraId="3B8F5021" w14:textId="77777777" w:rsidR="00AC6F3C" w:rsidRDefault="00AC6F3C">
      <w:pPr>
        <w:pStyle w:val="BodyText"/>
        <w:rPr>
          <w:b/>
        </w:rPr>
      </w:pPr>
    </w:p>
    <w:p w14:paraId="0401C8CD" w14:textId="77777777" w:rsidR="00AC6F3C" w:rsidRDefault="00AC6F3C">
      <w:pPr>
        <w:pStyle w:val="BodyText"/>
        <w:rPr>
          <w:b/>
        </w:rPr>
      </w:pPr>
    </w:p>
    <w:p w14:paraId="53810689" w14:textId="77777777" w:rsidR="00AC6F3C" w:rsidRDefault="00AC6F3C">
      <w:pPr>
        <w:pStyle w:val="BodyText"/>
        <w:rPr>
          <w:b/>
          <w:sz w:val="25"/>
        </w:rPr>
      </w:pPr>
    </w:p>
    <w:p w14:paraId="17E49A1A" w14:textId="77777777" w:rsidR="00AC6F3C" w:rsidRDefault="00AC6F3C">
      <w:pPr>
        <w:rPr>
          <w:sz w:val="25"/>
        </w:rPr>
        <w:sectPr w:rsidR="00AC6F3C">
          <w:type w:val="continuous"/>
          <w:pgSz w:w="11910" w:h="16840"/>
          <w:pgMar w:top="1920" w:right="1160" w:bottom="280" w:left="460" w:header="0" w:footer="1889" w:gutter="0"/>
          <w:cols w:space="720"/>
        </w:sectPr>
      </w:pPr>
    </w:p>
    <w:p w14:paraId="37F8933D" w14:textId="77777777" w:rsidR="00AC6F3C" w:rsidRDefault="00570E88">
      <w:pPr>
        <w:pStyle w:val="BodyText"/>
        <w:spacing w:before="93"/>
        <w:ind w:left="928"/>
      </w:pPr>
      <w:r>
        <w:rPr>
          <w:spacing w:val="-2"/>
        </w:rPr>
        <w:t>Associates</w:t>
      </w:r>
    </w:p>
    <w:p w14:paraId="5635630D" w14:textId="77777777" w:rsidR="00AC6F3C" w:rsidRDefault="00570E88">
      <w:pPr>
        <w:spacing w:before="7"/>
        <w:rPr>
          <w:sz w:val="19"/>
        </w:rPr>
      </w:pPr>
      <w:r>
        <w:br w:type="column"/>
      </w:r>
    </w:p>
    <w:p w14:paraId="5925C608" w14:textId="77777777" w:rsidR="00AC6F3C" w:rsidRDefault="00570E88">
      <w:pPr>
        <w:pStyle w:val="BodyText"/>
        <w:ind w:left="928"/>
      </w:pPr>
      <w:r>
        <w:t>(01.07.22-</w:t>
      </w:r>
      <w:r>
        <w:rPr>
          <w:spacing w:val="-2"/>
        </w:rPr>
        <w:t>30.06.23)</w:t>
      </w:r>
    </w:p>
    <w:p w14:paraId="192B18B8" w14:textId="77777777" w:rsidR="00AC6F3C" w:rsidRDefault="00AC6F3C">
      <w:pPr>
        <w:sectPr w:rsidR="00AC6F3C">
          <w:type w:val="continuous"/>
          <w:pgSz w:w="11910" w:h="16840"/>
          <w:pgMar w:top="1920" w:right="1160" w:bottom="280" w:left="460" w:header="0" w:footer="1889" w:gutter="0"/>
          <w:cols w:num="2" w:space="720" w:equalWidth="0">
            <w:col w:w="1937" w:space="709"/>
            <w:col w:w="7644"/>
          </w:cols>
        </w:sectPr>
      </w:pPr>
    </w:p>
    <w:p w14:paraId="25600F55" w14:textId="77777777" w:rsidR="00AC6F3C" w:rsidRDefault="00570E88">
      <w:pPr>
        <w:pStyle w:val="BodyText"/>
      </w:pPr>
      <w:r>
        <w:rPr>
          <w:noProof/>
        </w:rPr>
        <mc:AlternateContent>
          <mc:Choice Requires="wps">
            <w:drawing>
              <wp:anchor distT="0" distB="0" distL="0" distR="0" simplePos="0" relativeHeight="15758848" behindDoc="0" locked="0" layoutInCell="1" allowOverlap="1" wp14:anchorId="5622A6F2" wp14:editId="0A6B629E">
                <wp:simplePos x="0" y="0"/>
                <wp:positionH relativeFrom="page">
                  <wp:posOffset>771899</wp:posOffset>
                </wp:positionH>
                <wp:positionV relativeFrom="page">
                  <wp:posOffset>1490616</wp:posOffset>
                </wp:positionV>
                <wp:extent cx="6013450" cy="766762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76676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166"/>
                              <w:gridCol w:w="1203"/>
                              <w:gridCol w:w="1001"/>
                              <w:gridCol w:w="983"/>
                              <w:gridCol w:w="996"/>
                            </w:tblGrid>
                            <w:tr w:rsidR="00AC6F3C" w14:paraId="4EE8D85A" w14:textId="77777777">
                              <w:trPr>
                                <w:trHeight w:val="284"/>
                              </w:trPr>
                              <w:tc>
                                <w:tcPr>
                                  <w:tcW w:w="5166" w:type="dxa"/>
                                  <w:tcBorders>
                                    <w:bottom w:val="single" w:sz="8" w:space="0" w:color="000000"/>
                                  </w:tcBorders>
                                </w:tcPr>
                                <w:p w14:paraId="4AC47D08" w14:textId="77777777" w:rsidR="00AC6F3C" w:rsidRDefault="00570E88">
                                  <w:pPr>
                                    <w:pStyle w:val="TableParagraph"/>
                                    <w:tabs>
                                      <w:tab w:val="left" w:pos="2758"/>
                                    </w:tabs>
                                    <w:spacing w:line="223" w:lineRule="exact"/>
                                    <w:ind w:left="113"/>
                                    <w:rPr>
                                      <w:b/>
                                      <w:sz w:val="20"/>
                                    </w:rPr>
                                  </w:pPr>
                                  <w:r>
                                    <w:rPr>
                                      <w:b/>
                                      <w:sz w:val="20"/>
                                    </w:rPr>
                                    <w:t xml:space="preserve">Name, </w:t>
                                  </w:r>
                                  <w:r>
                                    <w:rPr>
                                      <w:b/>
                                      <w:spacing w:val="-4"/>
                                      <w:sz w:val="20"/>
                                    </w:rPr>
                                    <w:t>firm</w:t>
                                  </w:r>
                                  <w:r>
                                    <w:rPr>
                                      <w:b/>
                                      <w:sz w:val="20"/>
                                    </w:rPr>
                                    <w:tab/>
                                  </w:r>
                                  <w:r>
                                    <w:rPr>
                                      <w:b/>
                                      <w:spacing w:val="-4"/>
                                      <w:sz w:val="20"/>
                                    </w:rPr>
                                    <w:t>Role</w:t>
                                  </w:r>
                                </w:p>
                              </w:tc>
                              <w:tc>
                                <w:tcPr>
                                  <w:tcW w:w="1203" w:type="dxa"/>
                                  <w:tcBorders>
                                    <w:bottom w:val="single" w:sz="8" w:space="0" w:color="000000"/>
                                  </w:tcBorders>
                                </w:tcPr>
                                <w:p w14:paraId="6EFD8939" w14:textId="77777777" w:rsidR="00AC6F3C" w:rsidRDefault="00570E88">
                                  <w:pPr>
                                    <w:pStyle w:val="TableParagraph"/>
                                    <w:spacing w:before="31"/>
                                    <w:ind w:left="359" w:right="140"/>
                                    <w:jc w:val="center"/>
                                    <w:rPr>
                                      <w:b/>
                                      <w:sz w:val="16"/>
                                    </w:rPr>
                                  </w:pPr>
                                  <w:r>
                                    <w:rPr>
                                      <w:b/>
                                      <w:sz w:val="16"/>
                                    </w:rPr>
                                    <w:t xml:space="preserve">to </w:t>
                                  </w:r>
                                  <w:r>
                                    <w:rPr>
                                      <w:b/>
                                      <w:spacing w:val="-2"/>
                                      <w:sz w:val="16"/>
                                    </w:rPr>
                                    <w:t>attend</w:t>
                                  </w:r>
                                </w:p>
                              </w:tc>
                              <w:tc>
                                <w:tcPr>
                                  <w:tcW w:w="1001" w:type="dxa"/>
                                  <w:tcBorders>
                                    <w:bottom w:val="single" w:sz="8" w:space="0" w:color="000000"/>
                                  </w:tcBorders>
                                </w:tcPr>
                                <w:p w14:paraId="0F865070" w14:textId="77777777" w:rsidR="00AC6F3C" w:rsidRDefault="00570E88">
                                  <w:pPr>
                                    <w:pStyle w:val="TableParagraph"/>
                                    <w:spacing w:before="31"/>
                                    <w:ind w:left="141" w:right="141"/>
                                    <w:jc w:val="center"/>
                                    <w:rPr>
                                      <w:b/>
                                      <w:sz w:val="16"/>
                                    </w:rPr>
                                  </w:pPr>
                                  <w:r>
                                    <w:rPr>
                                      <w:b/>
                                      <w:spacing w:val="-2"/>
                                      <w:sz w:val="16"/>
                                    </w:rPr>
                                    <w:t>Attended</w:t>
                                  </w:r>
                                </w:p>
                              </w:tc>
                              <w:tc>
                                <w:tcPr>
                                  <w:tcW w:w="983" w:type="dxa"/>
                                  <w:tcBorders>
                                    <w:bottom w:val="single" w:sz="8" w:space="0" w:color="000000"/>
                                  </w:tcBorders>
                                </w:tcPr>
                                <w:p w14:paraId="2EC88E90" w14:textId="77777777" w:rsidR="00AC6F3C" w:rsidRDefault="00570E88">
                                  <w:pPr>
                                    <w:pStyle w:val="TableParagraph"/>
                                    <w:spacing w:before="31"/>
                                    <w:ind w:left="139" w:right="139"/>
                                    <w:jc w:val="center"/>
                                    <w:rPr>
                                      <w:b/>
                                      <w:sz w:val="16"/>
                                    </w:rPr>
                                  </w:pPr>
                                  <w:r>
                                    <w:rPr>
                                      <w:b/>
                                      <w:sz w:val="16"/>
                                    </w:rPr>
                                    <w:t xml:space="preserve">to </w:t>
                                  </w:r>
                                  <w:r>
                                    <w:rPr>
                                      <w:b/>
                                      <w:spacing w:val="-2"/>
                                      <w:sz w:val="16"/>
                                    </w:rPr>
                                    <w:t>attend</w:t>
                                  </w:r>
                                </w:p>
                              </w:tc>
                              <w:tc>
                                <w:tcPr>
                                  <w:tcW w:w="996" w:type="dxa"/>
                                  <w:tcBorders>
                                    <w:bottom w:val="single" w:sz="8" w:space="0" w:color="000000"/>
                                  </w:tcBorders>
                                </w:tcPr>
                                <w:p w14:paraId="5F11F4CA" w14:textId="77777777" w:rsidR="00AC6F3C" w:rsidRDefault="00570E88">
                                  <w:pPr>
                                    <w:pStyle w:val="TableParagraph"/>
                                    <w:spacing w:before="31"/>
                                    <w:ind w:left="141" w:right="137"/>
                                    <w:jc w:val="center"/>
                                    <w:rPr>
                                      <w:b/>
                                      <w:sz w:val="16"/>
                                    </w:rPr>
                                  </w:pPr>
                                  <w:r>
                                    <w:rPr>
                                      <w:b/>
                                      <w:spacing w:val="-2"/>
                                      <w:sz w:val="16"/>
                                    </w:rPr>
                                    <w:t>Attended</w:t>
                                  </w:r>
                                </w:p>
                              </w:tc>
                            </w:tr>
                            <w:tr w:rsidR="00AC6F3C" w14:paraId="0251AE4B" w14:textId="77777777">
                              <w:trPr>
                                <w:trHeight w:val="613"/>
                              </w:trPr>
                              <w:tc>
                                <w:tcPr>
                                  <w:tcW w:w="5166" w:type="dxa"/>
                                  <w:tcBorders>
                                    <w:top w:val="single" w:sz="8" w:space="0" w:color="000000"/>
                                  </w:tcBorders>
                                </w:tcPr>
                                <w:p w14:paraId="55C0CEE8" w14:textId="77777777" w:rsidR="00AC6F3C" w:rsidRDefault="00570E88">
                                  <w:pPr>
                                    <w:pStyle w:val="TableParagraph"/>
                                    <w:tabs>
                                      <w:tab w:val="left" w:pos="2758"/>
                                    </w:tabs>
                                    <w:spacing w:before="69"/>
                                    <w:ind w:left="113"/>
                                    <w:rPr>
                                      <w:b/>
                                      <w:sz w:val="20"/>
                                    </w:rPr>
                                  </w:pPr>
                                  <w:r>
                                    <w:rPr>
                                      <w:b/>
                                      <w:sz w:val="20"/>
                                    </w:rPr>
                                    <w:t>Samantha</w:t>
                                  </w:r>
                                  <w:r>
                                    <w:rPr>
                                      <w:b/>
                                      <w:spacing w:val="-7"/>
                                      <w:sz w:val="20"/>
                                    </w:rPr>
                                    <w:t xml:space="preserve"> </w:t>
                                  </w:r>
                                  <w:r>
                                    <w:rPr>
                                      <w:b/>
                                      <w:spacing w:val="-2"/>
                                      <w:sz w:val="20"/>
                                    </w:rPr>
                                    <w:t>Bolton</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60CE8ECB" w14:textId="77777777" w:rsidR="00AC6F3C" w:rsidRDefault="00570E88">
                                  <w:pPr>
                                    <w:pStyle w:val="TableParagraph"/>
                                    <w:tabs>
                                      <w:tab w:val="left" w:pos="2758"/>
                                    </w:tabs>
                                    <w:spacing w:before="10"/>
                                    <w:ind w:left="113"/>
                                    <w:rPr>
                                      <w:sz w:val="20"/>
                                    </w:rPr>
                                  </w:pPr>
                                  <w:r>
                                    <w:rPr>
                                      <w:spacing w:val="-2"/>
                                      <w:sz w:val="20"/>
                                    </w:rPr>
                                    <w:t>Director</w:t>
                                  </w:r>
                                  <w:r>
                                    <w:rPr>
                                      <w:sz w:val="20"/>
                                    </w:rPr>
                                    <w:tab/>
                                    <w:t>(01.07.22-</w:t>
                                  </w:r>
                                  <w:r>
                                    <w:rPr>
                                      <w:spacing w:val="-2"/>
                                      <w:sz w:val="20"/>
                                    </w:rPr>
                                    <w:t>30.06.23)</w:t>
                                  </w:r>
                                </w:p>
                              </w:tc>
                              <w:tc>
                                <w:tcPr>
                                  <w:tcW w:w="1203" w:type="dxa"/>
                                  <w:tcBorders>
                                    <w:top w:val="single" w:sz="8" w:space="0" w:color="000000"/>
                                  </w:tcBorders>
                                </w:tcPr>
                                <w:p w14:paraId="6F48ECE4" w14:textId="77777777" w:rsidR="00AC6F3C" w:rsidRDefault="00570E88">
                                  <w:pPr>
                                    <w:pStyle w:val="TableParagraph"/>
                                    <w:spacing w:before="69"/>
                                    <w:ind w:left="219"/>
                                    <w:jc w:val="center"/>
                                    <w:rPr>
                                      <w:sz w:val="20"/>
                                    </w:rPr>
                                  </w:pPr>
                                  <w:r>
                                    <w:rPr>
                                      <w:sz w:val="20"/>
                                    </w:rPr>
                                    <w:t>7</w:t>
                                  </w:r>
                                </w:p>
                              </w:tc>
                              <w:tc>
                                <w:tcPr>
                                  <w:tcW w:w="1001" w:type="dxa"/>
                                  <w:tcBorders>
                                    <w:top w:val="single" w:sz="8" w:space="0" w:color="000000"/>
                                  </w:tcBorders>
                                </w:tcPr>
                                <w:p w14:paraId="5BB4DD4A" w14:textId="77777777" w:rsidR="00AC6F3C" w:rsidRDefault="00570E88">
                                  <w:pPr>
                                    <w:pStyle w:val="TableParagraph"/>
                                    <w:spacing w:before="69"/>
                                    <w:jc w:val="center"/>
                                    <w:rPr>
                                      <w:sz w:val="20"/>
                                    </w:rPr>
                                  </w:pPr>
                                  <w:r>
                                    <w:rPr>
                                      <w:sz w:val="20"/>
                                    </w:rPr>
                                    <w:t>6</w:t>
                                  </w:r>
                                </w:p>
                              </w:tc>
                              <w:tc>
                                <w:tcPr>
                                  <w:tcW w:w="983" w:type="dxa"/>
                                  <w:tcBorders>
                                    <w:top w:val="single" w:sz="8" w:space="0" w:color="000000"/>
                                  </w:tcBorders>
                                </w:tcPr>
                                <w:p w14:paraId="449A4077" w14:textId="77777777" w:rsidR="00AC6F3C" w:rsidRDefault="00AC6F3C">
                                  <w:pPr>
                                    <w:pStyle w:val="TableParagraph"/>
                                    <w:rPr>
                                      <w:rFonts w:ascii="Times New Roman"/>
                                      <w:sz w:val="18"/>
                                    </w:rPr>
                                  </w:pPr>
                                </w:p>
                              </w:tc>
                              <w:tc>
                                <w:tcPr>
                                  <w:tcW w:w="996" w:type="dxa"/>
                                  <w:tcBorders>
                                    <w:top w:val="single" w:sz="8" w:space="0" w:color="000000"/>
                                  </w:tcBorders>
                                </w:tcPr>
                                <w:p w14:paraId="6CA7F43D" w14:textId="77777777" w:rsidR="00AC6F3C" w:rsidRDefault="00AC6F3C">
                                  <w:pPr>
                                    <w:pStyle w:val="TableParagraph"/>
                                    <w:rPr>
                                      <w:rFonts w:ascii="Times New Roman"/>
                                      <w:sz w:val="18"/>
                                    </w:rPr>
                                  </w:pPr>
                                </w:p>
                              </w:tc>
                            </w:tr>
                            <w:tr w:rsidR="00AC6F3C" w14:paraId="79A164BB" w14:textId="77777777">
                              <w:trPr>
                                <w:trHeight w:val="606"/>
                              </w:trPr>
                              <w:tc>
                                <w:tcPr>
                                  <w:tcW w:w="5166" w:type="dxa"/>
                                  <w:tcBorders>
                                    <w:bottom w:val="single" w:sz="2" w:space="0" w:color="000000"/>
                                  </w:tcBorders>
                                </w:tcPr>
                                <w:p w14:paraId="1298168A" w14:textId="77777777" w:rsidR="00AC6F3C" w:rsidRDefault="00570E88">
                                  <w:pPr>
                                    <w:pStyle w:val="TableParagraph"/>
                                    <w:tabs>
                                      <w:tab w:val="left" w:pos="2758"/>
                                    </w:tabs>
                                    <w:spacing w:line="298" w:lineRule="exact"/>
                                    <w:ind w:left="113"/>
                                    <w:rPr>
                                      <w:b/>
                                      <w:sz w:val="20"/>
                                    </w:rPr>
                                  </w:pPr>
                                  <w:r>
                                    <w:rPr>
                                      <w:position w:val="13"/>
                                      <w:sz w:val="20"/>
                                    </w:rPr>
                                    <w:t>Pippa</w:t>
                                  </w:r>
                                  <w:r>
                                    <w:rPr>
                                      <w:spacing w:val="-5"/>
                                      <w:position w:val="13"/>
                                      <w:sz w:val="20"/>
                                    </w:rPr>
                                    <w:t xml:space="preserve"> </w:t>
                                  </w:r>
                                  <w:r>
                                    <w:rPr>
                                      <w:position w:val="13"/>
                                      <w:sz w:val="20"/>
                                    </w:rPr>
                                    <w:t>Colman</w:t>
                                  </w:r>
                                  <w:r>
                                    <w:rPr>
                                      <w:spacing w:val="-4"/>
                                      <w:position w:val="13"/>
                                      <w:sz w:val="20"/>
                                    </w:rPr>
                                    <w:t xml:space="preserve"> </w:t>
                                  </w:r>
                                  <w:r>
                                    <w:rPr>
                                      <w:spacing w:val="-10"/>
                                      <w:position w:val="13"/>
                                      <w:sz w:val="20"/>
                                    </w:rPr>
                                    <w:t>&amp;</w:t>
                                  </w:r>
                                  <w:r>
                                    <w:rPr>
                                      <w:position w:val="13"/>
                                      <w:sz w:val="20"/>
                                    </w:rPr>
                                    <w:tab/>
                                  </w: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tc>
                              <w:tc>
                                <w:tcPr>
                                  <w:tcW w:w="1203" w:type="dxa"/>
                                  <w:tcBorders>
                                    <w:bottom w:val="single" w:sz="2" w:space="0" w:color="000000"/>
                                  </w:tcBorders>
                                </w:tcPr>
                                <w:p w14:paraId="6FA574D0" w14:textId="77777777" w:rsidR="00AC6F3C" w:rsidRDefault="00AC6F3C">
                                  <w:pPr>
                                    <w:pStyle w:val="TableParagraph"/>
                                    <w:rPr>
                                      <w:rFonts w:ascii="Times New Roman"/>
                                      <w:sz w:val="18"/>
                                    </w:rPr>
                                  </w:pPr>
                                </w:p>
                              </w:tc>
                              <w:tc>
                                <w:tcPr>
                                  <w:tcW w:w="1001" w:type="dxa"/>
                                  <w:tcBorders>
                                    <w:bottom w:val="single" w:sz="2" w:space="0" w:color="000000"/>
                                  </w:tcBorders>
                                </w:tcPr>
                                <w:p w14:paraId="397F47C0" w14:textId="77777777" w:rsidR="00AC6F3C" w:rsidRDefault="00AC6F3C">
                                  <w:pPr>
                                    <w:pStyle w:val="TableParagraph"/>
                                    <w:rPr>
                                      <w:rFonts w:ascii="Times New Roman"/>
                                      <w:sz w:val="18"/>
                                    </w:rPr>
                                  </w:pPr>
                                </w:p>
                              </w:tc>
                              <w:tc>
                                <w:tcPr>
                                  <w:tcW w:w="983" w:type="dxa"/>
                                  <w:tcBorders>
                                    <w:bottom w:val="single" w:sz="2" w:space="0" w:color="000000"/>
                                  </w:tcBorders>
                                </w:tcPr>
                                <w:p w14:paraId="62F051B6" w14:textId="77777777" w:rsidR="00AC6F3C" w:rsidRDefault="00570E88">
                                  <w:pPr>
                                    <w:pStyle w:val="TableParagraph"/>
                                    <w:spacing w:before="68"/>
                                    <w:jc w:val="center"/>
                                    <w:rPr>
                                      <w:sz w:val="20"/>
                                    </w:rPr>
                                  </w:pPr>
                                  <w:r>
                                    <w:rPr>
                                      <w:sz w:val="20"/>
                                    </w:rPr>
                                    <w:t>5</w:t>
                                  </w:r>
                                </w:p>
                              </w:tc>
                              <w:tc>
                                <w:tcPr>
                                  <w:tcW w:w="996" w:type="dxa"/>
                                  <w:tcBorders>
                                    <w:bottom w:val="single" w:sz="2" w:space="0" w:color="000000"/>
                                  </w:tcBorders>
                                </w:tcPr>
                                <w:p w14:paraId="387B9F77" w14:textId="77777777" w:rsidR="00AC6F3C" w:rsidRDefault="00570E88">
                                  <w:pPr>
                                    <w:pStyle w:val="TableParagraph"/>
                                    <w:spacing w:before="68"/>
                                    <w:ind w:left="5"/>
                                    <w:jc w:val="center"/>
                                    <w:rPr>
                                      <w:sz w:val="20"/>
                                    </w:rPr>
                                  </w:pPr>
                                  <w:r>
                                    <w:rPr>
                                      <w:sz w:val="20"/>
                                    </w:rPr>
                                    <w:t>5</w:t>
                                  </w:r>
                                </w:p>
                              </w:tc>
                            </w:tr>
                            <w:tr w:rsidR="00AC6F3C" w14:paraId="40323083" w14:textId="77777777">
                              <w:trPr>
                                <w:trHeight w:val="847"/>
                              </w:trPr>
                              <w:tc>
                                <w:tcPr>
                                  <w:tcW w:w="5166" w:type="dxa"/>
                                  <w:tcBorders>
                                    <w:top w:val="single" w:sz="2" w:space="0" w:color="000000"/>
                                    <w:bottom w:val="single" w:sz="2" w:space="0" w:color="000000"/>
                                  </w:tcBorders>
                                </w:tcPr>
                                <w:p w14:paraId="3FA2453B" w14:textId="77777777" w:rsidR="00AC6F3C" w:rsidRDefault="00570E88">
                                  <w:pPr>
                                    <w:pStyle w:val="TableParagraph"/>
                                    <w:tabs>
                                      <w:tab w:val="left" w:pos="2758"/>
                                    </w:tabs>
                                    <w:spacing w:before="69" w:line="249" w:lineRule="auto"/>
                                    <w:ind w:left="113" w:right="627"/>
                                    <w:jc w:val="both"/>
                                    <w:rPr>
                                      <w:sz w:val="20"/>
                                    </w:rPr>
                                  </w:pPr>
                                  <w:r>
                                    <w:rPr>
                                      <w:b/>
                                      <w:sz w:val="20"/>
                                    </w:rPr>
                                    <w:t>Michele Davis</w:t>
                                  </w:r>
                                  <w:r>
                                    <w:rPr>
                                      <w:b/>
                                      <w:sz w:val="20"/>
                                    </w:rPr>
                                    <w:tab/>
                                    <w:t>Councillor</w:t>
                                  </w:r>
                                  <w:r>
                                    <w:rPr>
                                      <w:b/>
                                      <w:spacing w:val="-14"/>
                                      <w:sz w:val="20"/>
                                    </w:rPr>
                                    <w:t xml:space="preserve"> </w:t>
                                  </w:r>
                                  <w:r>
                                    <w:rPr>
                                      <w:b/>
                                      <w:sz w:val="20"/>
                                    </w:rPr>
                                    <w:t xml:space="preserve">2022-23 </w:t>
                                  </w:r>
                                  <w:r>
                                    <w:rPr>
                                      <w:sz w:val="20"/>
                                    </w:rPr>
                                    <w:t>Legal</w:t>
                                  </w:r>
                                  <w:r>
                                    <w:rPr>
                                      <w:spacing w:val="-3"/>
                                      <w:sz w:val="20"/>
                                    </w:rPr>
                                    <w:t xml:space="preserve"> </w:t>
                                  </w:r>
                                  <w:r>
                                    <w:rPr>
                                      <w:sz w:val="20"/>
                                    </w:rPr>
                                    <w:t>Practitioner</w:t>
                                  </w:r>
                                  <w:r>
                                    <w:rPr>
                                      <w:spacing w:val="-3"/>
                                      <w:sz w:val="20"/>
                                    </w:rPr>
                                    <w:t xml:space="preserve"> </w:t>
                                  </w:r>
                                  <w:r>
                                    <w:rPr>
                                      <w:sz w:val="20"/>
                                    </w:rPr>
                                    <w:t>Director</w:t>
                                  </w:r>
                                  <w:r>
                                    <w:rPr>
                                      <w:spacing w:val="40"/>
                                      <w:sz w:val="20"/>
                                    </w:rPr>
                                    <w:t xml:space="preserve"> </w:t>
                                  </w:r>
                                  <w:r>
                                    <w:rPr>
                                      <w:sz w:val="20"/>
                                    </w:rPr>
                                    <w:t>(01.07.22-30.06.23) Michele Davis Consulting</w:t>
                                  </w:r>
                                </w:p>
                              </w:tc>
                              <w:tc>
                                <w:tcPr>
                                  <w:tcW w:w="1203" w:type="dxa"/>
                                  <w:tcBorders>
                                    <w:top w:val="single" w:sz="2" w:space="0" w:color="000000"/>
                                    <w:bottom w:val="single" w:sz="2" w:space="0" w:color="000000"/>
                                  </w:tcBorders>
                                </w:tcPr>
                                <w:p w14:paraId="4F46C678"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6938C1DB" w14:textId="77777777" w:rsidR="00AC6F3C" w:rsidRDefault="00570E88">
                                  <w:pPr>
                                    <w:pStyle w:val="TableParagraph"/>
                                    <w:spacing w:before="69"/>
                                    <w:jc w:val="center"/>
                                    <w:rPr>
                                      <w:sz w:val="20"/>
                                    </w:rPr>
                                  </w:pPr>
                                  <w:r>
                                    <w:rPr>
                                      <w:sz w:val="20"/>
                                    </w:rPr>
                                    <w:t>4</w:t>
                                  </w:r>
                                </w:p>
                              </w:tc>
                              <w:tc>
                                <w:tcPr>
                                  <w:tcW w:w="983" w:type="dxa"/>
                                  <w:tcBorders>
                                    <w:top w:val="single" w:sz="2" w:space="0" w:color="000000"/>
                                    <w:bottom w:val="single" w:sz="2" w:space="0" w:color="000000"/>
                                  </w:tcBorders>
                                </w:tcPr>
                                <w:p w14:paraId="4171EDB6"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4AB94252" w14:textId="77777777" w:rsidR="00AC6F3C" w:rsidRDefault="00AC6F3C">
                                  <w:pPr>
                                    <w:pStyle w:val="TableParagraph"/>
                                    <w:rPr>
                                      <w:rFonts w:ascii="Times New Roman"/>
                                      <w:sz w:val="18"/>
                                    </w:rPr>
                                  </w:pPr>
                                </w:p>
                              </w:tc>
                            </w:tr>
                            <w:tr w:rsidR="00AC6F3C" w14:paraId="6146C3EF" w14:textId="77777777">
                              <w:trPr>
                                <w:trHeight w:val="847"/>
                              </w:trPr>
                              <w:tc>
                                <w:tcPr>
                                  <w:tcW w:w="5166" w:type="dxa"/>
                                  <w:tcBorders>
                                    <w:top w:val="single" w:sz="2" w:space="0" w:color="000000"/>
                                    <w:bottom w:val="single" w:sz="2" w:space="0" w:color="000000"/>
                                  </w:tcBorders>
                                </w:tcPr>
                                <w:p w14:paraId="607BDA91" w14:textId="77777777" w:rsidR="00AC6F3C" w:rsidRDefault="00570E88">
                                  <w:pPr>
                                    <w:pStyle w:val="TableParagraph"/>
                                    <w:tabs>
                                      <w:tab w:val="left" w:pos="2758"/>
                                    </w:tabs>
                                    <w:spacing w:before="69"/>
                                    <w:ind w:left="113"/>
                                    <w:rPr>
                                      <w:b/>
                                      <w:sz w:val="20"/>
                                    </w:rPr>
                                  </w:pPr>
                                  <w:r>
                                    <w:rPr>
                                      <w:b/>
                                      <w:sz w:val="20"/>
                                    </w:rPr>
                                    <w:t>Genevieve</w:t>
                                  </w:r>
                                  <w:r>
                                    <w:rPr>
                                      <w:b/>
                                      <w:spacing w:val="-8"/>
                                      <w:sz w:val="20"/>
                                    </w:rPr>
                                    <w:t xml:space="preserve"> </w:t>
                                  </w:r>
                                  <w:r>
                                    <w:rPr>
                                      <w:b/>
                                      <w:spacing w:val="-5"/>
                                      <w:sz w:val="20"/>
                                    </w:rPr>
                                    <w:t>Dee</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0A7CE9BC" w14:textId="77777777" w:rsidR="00AC6F3C" w:rsidRDefault="00570E88">
                                  <w:pPr>
                                    <w:pStyle w:val="TableParagraph"/>
                                    <w:tabs>
                                      <w:tab w:val="left" w:pos="2758"/>
                                    </w:tabs>
                                    <w:spacing w:before="10"/>
                                    <w:ind w:left="113"/>
                                    <w:rPr>
                                      <w:sz w:val="20"/>
                                    </w:rPr>
                                  </w:pPr>
                                  <w:r>
                                    <w:rPr>
                                      <w:spacing w:val="-2"/>
                                      <w:sz w:val="20"/>
                                    </w:rPr>
                                    <w:t>Partner</w:t>
                                  </w:r>
                                  <w:r>
                                    <w:rPr>
                                      <w:sz w:val="20"/>
                                    </w:rPr>
                                    <w:tab/>
                                    <w:t>(01.07.22-</w:t>
                                  </w:r>
                                  <w:r>
                                    <w:rPr>
                                      <w:spacing w:val="-2"/>
                                      <w:sz w:val="20"/>
                                    </w:rPr>
                                    <w:t>30.06.23)</w:t>
                                  </w:r>
                                </w:p>
                                <w:p w14:paraId="751F8AD7" w14:textId="77777777" w:rsidR="00AC6F3C" w:rsidRDefault="00570E88">
                                  <w:pPr>
                                    <w:pStyle w:val="TableParagraph"/>
                                    <w:spacing w:before="10"/>
                                    <w:ind w:left="113"/>
                                    <w:rPr>
                                      <w:sz w:val="20"/>
                                    </w:rPr>
                                  </w:pPr>
                                  <w:r>
                                    <w:rPr>
                                      <w:sz w:val="20"/>
                                    </w:rPr>
                                    <w:t xml:space="preserve">Lander &amp; </w:t>
                                  </w:r>
                                  <w:r>
                                    <w:rPr>
                                      <w:spacing w:val="-2"/>
                                      <w:sz w:val="20"/>
                                    </w:rPr>
                                    <w:t>Rogers</w:t>
                                  </w:r>
                                </w:p>
                              </w:tc>
                              <w:tc>
                                <w:tcPr>
                                  <w:tcW w:w="1203" w:type="dxa"/>
                                  <w:tcBorders>
                                    <w:top w:val="single" w:sz="2" w:space="0" w:color="000000"/>
                                    <w:bottom w:val="single" w:sz="2" w:space="0" w:color="000000"/>
                                  </w:tcBorders>
                                </w:tcPr>
                                <w:p w14:paraId="561E4720"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629B7B8D" w14:textId="77777777" w:rsidR="00AC6F3C" w:rsidRDefault="00570E88">
                                  <w:pPr>
                                    <w:pStyle w:val="TableParagraph"/>
                                    <w:spacing w:before="69"/>
                                    <w:jc w:val="center"/>
                                    <w:rPr>
                                      <w:sz w:val="20"/>
                                    </w:rPr>
                                  </w:pPr>
                                  <w:r>
                                    <w:rPr>
                                      <w:sz w:val="20"/>
                                    </w:rPr>
                                    <w:t>6</w:t>
                                  </w:r>
                                </w:p>
                              </w:tc>
                              <w:tc>
                                <w:tcPr>
                                  <w:tcW w:w="983" w:type="dxa"/>
                                  <w:tcBorders>
                                    <w:top w:val="single" w:sz="2" w:space="0" w:color="000000"/>
                                    <w:bottom w:val="single" w:sz="2" w:space="0" w:color="000000"/>
                                  </w:tcBorders>
                                </w:tcPr>
                                <w:p w14:paraId="01DFC3C4"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0065ED21" w14:textId="77777777" w:rsidR="00AC6F3C" w:rsidRDefault="00AC6F3C">
                                  <w:pPr>
                                    <w:pStyle w:val="TableParagraph"/>
                                    <w:rPr>
                                      <w:rFonts w:ascii="Times New Roman"/>
                                      <w:sz w:val="18"/>
                                    </w:rPr>
                                  </w:pPr>
                                </w:p>
                              </w:tc>
                            </w:tr>
                            <w:tr w:rsidR="00AC6F3C" w14:paraId="64CEAB5F" w14:textId="77777777">
                              <w:trPr>
                                <w:trHeight w:val="847"/>
                              </w:trPr>
                              <w:tc>
                                <w:tcPr>
                                  <w:tcW w:w="5166" w:type="dxa"/>
                                  <w:tcBorders>
                                    <w:top w:val="single" w:sz="2" w:space="0" w:color="000000"/>
                                    <w:bottom w:val="single" w:sz="2" w:space="0" w:color="000000"/>
                                  </w:tcBorders>
                                </w:tcPr>
                                <w:p w14:paraId="72D79A75" w14:textId="77777777" w:rsidR="00AC6F3C" w:rsidRDefault="00570E88">
                                  <w:pPr>
                                    <w:pStyle w:val="TableParagraph"/>
                                    <w:tabs>
                                      <w:tab w:val="left" w:pos="2758"/>
                                    </w:tabs>
                                    <w:spacing w:before="69"/>
                                    <w:ind w:left="113"/>
                                    <w:rPr>
                                      <w:b/>
                                      <w:sz w:val="20"/>
                                    </w:rPr>
                                  </w:pPr>
                                  <w:r>
                                    <w:rPr>
                                      <w:b/>
                                      <w:sz w:val="20"/>
                                    </w:rPr>
                                    <w:t xml:space="preserve">Sheetal </w:t>
                                  </w:r>
                                  <w:r>
                                    <w:rPr>
                                      <w:b/>
                                      <w:spacing w:val="-5"/>
                                      <w:sz w:val="20"/>
                                    </w:rPr>
                                    <w:t>Deo</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544D6700" w14:textId="77777777" w:rsidR="00AC6F3C" w:rsidRDefault="00570E88">
                                  <w:pPr>
                                    <w:pStyle w:val="TableParagraph"/>
                                    <w:tabs>
                                      <w:tab w:val="left" w:pos="2758"/>
                                    </w:tabs>
                                    <w:spacing w:before="10"/>
                                    <w:ind w:left="113"/>
                                    <w:rPr>
                                      <w:sz w:val="20"/>
                                    </w:rPr>
                                  </w:pPr>
                                  <w:r>
                                    <w:rPr>
                                      <w:spacing w:val="-2"/>
                                      <w:sz w:val="20"/>
                                    </w:rPr>
                                    <w:t>Principal</w:t>
                                  </w:r>
                                  <w:r>
                                    <w:rPr>
                                      <w:sz w:val="20"/>
                                    </w:rPr>
                                    <w:tab/>
                                    <w:t>(01.07.22-</w:t>
                                  </w:r>
                                  <w:r>
                                    <w:rPr>
                                      <w:spacing w:val="-2"/>
                                      <w:sz w:val="20"/>
                                    </w:rPr>
                                    <w:t>30.06.23)</w:t>
                                  </w:r>
                                </w:p>
                                <w:p w14:paraId="38754570" w14:textId="77777777" w:rsidR="00AC6F3C" w:rsidRDefault="00570E88">
                                  <w:pPr>
                                    <w:pStyle w:val="TableParagraph"/>
                                    <w:spacing w:before="10"/>
                                    <w:ind w:left="113"/>
                                    <w:rPr>
                                      <w:sz w:val="20"/>
                                    </w:rPr>
                                  </w:pPr>
                                  <w:r>
                                    <w:rPr>
                                      <w:sz w:val="20"/>
                                    </w:rPr>
                                    <w:t>Shakti</w:t>
                                  </w:r>
                                  <w:r>
                                    <w:rPr>
                                      <w:spacing w:val="-5"/>
                                      <w:sz w:val="20"/>
                                    </w:rPr>
                                    <w:t xml:space="preserve"> </w:t>
                                  </w:r>
                                  <w:r>
                                    <w:rPr>
                                      <w:sz w:val="20"/>
                                    </w:rPr>
                                    <w:t>Legal</w:t>
                                  </w:r>
                                  <w:r>
                                    <w:rPr>
                                      <w:spacing w:val="-4"/>
                                      <w:sz w:val="20"/>
                                    </w:rPr>
                                    <w:t xml:space="preserve"> </w:t>
                                  </w:r>
                                  <w:r>
                                    <w:rPr>
                                      <w:spacing w:val="-2"/>
                                      <w:sz w:val="20"/>
                                    </w:rPr>
                                    <w:t>Solutions</w:t>
                                  </w:r>
                                </w:p>
                              </w:tc>
                              <w:tc>
                                <w:tcPr>
                                  <w:tcW w:w="1203" w:type="dxa"/>
                                  <w:tcBorders>
                                    <w:top w:val="single" w:sz="2" w:space="0" w:color="000000"/>
                                    <w:bottom w:val="single" w:sz="2" w:space="0" w:color="000000"/>
                                  </w:tcBorders>
                                </w:tcPr>
                                <w:p w14:paraId="05F5BCBF"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3F56A3CF" w14:textId="77777777" w:rsidR="00AC6F3C" w:rsidRDefault="00570E88">
                                  <w:pPr>
                                    <w:pStyle w:val="TableParagraph"/>
                                    <w:spacing w:before="69"/>
                                    <w:jc w:val="center"/>
                                    <w:rPr>
                                      <w:sz w:val="20"/>
                                    </w:rPr>
                                  </w:pPr>
                                  <w:r>
                                    <w:rPr>
                                      <w:sz w:val="20"/>
                                    </w:rPr>
                                    <w:t>6</w:t>
                                  </w:r>
                                </w:p>
                              </w:tc>
                              <w:tc>
                                <w:tcPr>
                                  <w:tcW w:w="983" w:type="dxa"/>
                                  <w:tcBorders>
                                    <w:top w:val="single" w:sz="2" w:space="0" w:color="000000"/>
                                    <w:bottom w:val="single" w:sz="2" w:space="0" w:color="000000"/>
                                  </w:tcBorders>
                                </w:tcPr>
                                <w:p w14:paraId="79D70D6B"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4A2ABE2D" w14:textId="77777777" w:rsidR="00AC6F3C" w:rsidRDefault="00AC6F3C">
                                  <w:pPr>
                                    <w:pStyle w:val="TableParagraph"/>
                                    <w:rPr>
                                      <w:rFonts w:ascii="Times New Roman"/>
                                      <w:sz w:val="18"/>
                                    </w:rPr>
                                  </w:pPr>
                                </w:p>
                              </w:tc>
                            </w:tr>
                            <w:tr w:rsidR="00AC6F3C" w14:paraId="4480998D" w14:textId="77777777">
                              <w:trPr>
                                <w:trHeight w:val="613"/>
                              </w:trPr>
                              <w:tc>
                                <w:tcPr>
                                  <w:tcW w:w="5166" w:type="dxa"/>
                                  <w:tcBorders>
                                    <w:top w:val="single" w:sz="2" w:space="0" w:color="000000"/>
                                  </w:tcBorders>
                                </w:tcPr>
                                <w:p w14:paraId="67915259" w14:textId="77777777" w:rsidR="00AC6F3C" w:rsidRDefault="00570E88">
                                  <w:pPr>
                                    <w:pStyle w:val="TableParagraph"/>
                                    <w:tabs>
                                      <w:tab w:val="left" w:pos="2758"/>
                                    </w:tabs>
                                    <w:spacing w:before="69"/>
                                    <w:ind w:left="113"/>
                                    <w:rPr>
                                      <w:b/>
                                      <w:sz w:val="20"/>
                                    </w:rPr>
                                  </w:pPr>
                                  <w:r>
                                    <w:rPr>
                                      <w:b/>
                                      <w:sz w:val="20"/>
                                    </w:rPr>
                                    <w:t>Bridie</w:t>
                                  </w:r>
                                  <w:r>
                                    <w:rPr>
                                      <w:b/>
                                      <w:spacing w:val="-5"/>
                                      <w:sz w:val="20"/>
                                    </w:rPr>
                                    <w:t xml:space="preserve"> </w:t>
                                  </w:r>
                                  <w:r>
                                    <w:rPr>
                                      <w:b/>
                                      <w:spacing w:val="-2"/>
                                      <w:sz w:val="20"/>
                                    </w:rPr>
                                    <w:t>Edwards</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4D10FD51" w14:textId="77777777" w:rsidR="00AC6F3C" w:rsidRDefault="00570E88">
                                  <w:pPr>
                                    <w:pStyle w:val="TableParagraph"/>
                                    <w:tabs>
                                      <w:tab w:val="left" w:pos="2758"/>
                                    </w:tabs>
                                    <w:spacing w:before="10"/>
                                    <w:ind w:left="113"/>
                                    <w:rPr>
                                      <w:sz w:val="20"/>
                                    </w:rPr>
                                  </w:pPr>
                                  <w:r>
                                    <w:rPr>
                                      <w:spacing w:val="-2"/>
                                      <w:sz w:val="20"/>
                                    </w:rPr>
                                    <w:t>Lawyer</w:t>
                                  </w:r>
                                  <w:r>
                                    <w:rPr>
                                      <w:sz w:val="20"/>
                                    </w:rPr>
                                    <w:tab/>
                                    <w:t>(01.07.22-</w:t>
                                  </w:r>
                                  <w:r>
                                    <w:rPr>
                                      <w:spacing w:val="-2"/>
                                      <w:sz w:val="20"/>
                                    </w:rPr>
                                    <w:t>30.06.23)</w:t>
                                  </w:r>
                                </w:p>
                              </w:tc>
                              <w:tc>
                                <w:tcPr>
                                  <w:tcW w:w="1203" w:type="dxa"/>
                                  <w:tcBorders>
                                    <w:top w:val="single" w:sz="2" w:space="0" w:color="000000"/>
                                  </w:tcBorders>
                                </w:tcPr>
                                <w:p w14:paraId="1FD2F63A"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tcBorders>
                                </w:tcPr>
                                <w:p w14:paraId="7B3CD4D3" w14:textId="77777777" w:rsidR="00AC6F3C" w:rsidRDefault="00570E88">
                                  <w:pPr>
                                    <w:pStyle w:val="TableParagraph"/>
                                    <w:spacing w:before="69"/>
                                    <w:jc w:val="center"/>
                                    <w:rPr>
                                      <w:sz w:val="20"/>
                                    </w:rPr>
                                  </w:pPr>
                                  <w:r>
                                    <w:rPr>
                                      <w:sz w:val="20"/>
                                    </w:rPr>
                                    <w:t>4</w:t>
                                  </w:r>
                                </w:p>
                              </w:tc>
                              <w:tc>
                                <w:tcPr>
                                  <w:tcW w:w="983" w:type="dxa"/>
                                  <w:tcBorders>
                                    <w:top w:val="single" w:sz="2" w:space="0" w:color="000000"/>
                                  </w:tcBorders>
                                </w:tcPr>
                                <w:p w14:paraId="67BDA6F9" w14:textId="77777777" w:rsidR="00AC6F3C" w:rsidRDefault="00AC6F3C">
                                  <w:pPr>
                                    <w:pStyle w:val="TableParagraph"/>
                                    <w:rPr>
                                      <w:rFonts w:ascii="Times New Roman"/>
                                      <w:sz w:val="18"/>
                                    </w:rPr>
                                  </w:pPr>
                                </w:p>
                              </w:tc>
                              <w:tc>
                                <w:tcPr>
                                  <w:tcW w:w="996" w:type="dxa"/>
                                  <w:tcBorders>
                                    <w:top w:val="single" w:sz="2" w:space="0" w:color="000000"/>
                                  </w:tcBorders>
                                </w:tcPr>
                                <w:p w14:paraId="71BB9644" w14:textId="77777777" w:rsidR="00AC6F3C" w:rsidRDefault="00AC6F3C">
                                  <w:pPr>
                                    <w:pStyle w:val="TableParagraph"/>
                                    <w:rPr>
                                      <w:rFonts w:ascii="Times New Roman"/>
                                      <w:sz w:val="18"/>
                                    </w:rPr>
                                  </w:pPr>
                                </w:p>
                              </w:tc>
                            </w:tr>
                            <w:tr w:rsidR="00AC6F3C" w14:paraId="302E1BAA" w14:textId="77777777">
                              <w:trPr>
                                <w:trHeight w:val="606"/>
                              </w:trPr>
                              <w:tc>
                                <w:tcPr>
                                  <w:tcW w:w="5166" w:type="dxa"/>
                                  <w:tcBorders>
                                    <w:bottom w:val="single" w:sz="2" w:space="0" w:color="000000"/>
                                  </w:tcBorders>
                                </w:tcPr>
                                <w:p w14:paraId="148F90F7" w14:textId="77777777" w:rsidR="00AC6F3C" w:rsidRDefault="00570E88">
                                  <w:pPr>
                                    <w:pStyle w:val="TableParagraph"/>
                                    <w:tabs>
                                      <w:tab w:val="left" w:pos="2758"/>
                                    </w:tabs>
                                    <w:spacing w:line="156" w:lineRule="auto"/>
                                    <w:ind w:left="113"/>
                                    <w:rPr>
                                      <w:b/>
                                      <w:sz w:val="20"/>
                                    </w:rPr>
                                  </w:pPr>
                                  <w:r>
                                    <w:rPr>
                                      <w:sz w:val="20"/>
                                    </w:rPr>
                                    <w:t xml:space="preserve">Bradley + Bray </w:t>
                                  </w:r>
                                  <w:r>
                                    <w:rPr>
                                      <w:spacing w:val="-2"/>
                                      <w:sz w:val="20"/>
                                    </w:rPr>
                                    <w:t>Lawyers</w:t>
                                  </w:r>
                                  <w:r>
                                    <w:rPr>
                                      <w:sz w:val="20"/>
                                    </w:rPr>
                                    <w:tab/>
                                  </w:r>
                                  <w:r>
                                    <w:rPr>
                                      <w:b/>
                                      <w:position w:val="-12"/>
                                      <w:sz w:val="20"/>
                                    </w:rPr>
                                    <w:t>FRC</w:t>
                                  </w:r>
                                  <w:r>
                                    <w:rPr>
                                      <w:b/>
                                      <w:spacing w:val="-6"/>
                                      <w:position w:val="-12"/>
                                      <w:sz w:val="20"/>
                                    </w:rPr>
                                    <w:t xml:space="preserve"> </w:t>
                                  </w:r>
                                  <w:r>
                                    <w:rPr>
                                      <w:b/>
                                      <w:position w:val="-12"/>
                                      <w:sz w:val="20"/>
                                    </w:rPr>
                                    <w:t>member</w:t>
                                  </w:r>
                                  <w:r>
                                    <w:rPr>
                                      <w:b/>
                                      <w:spacing w:val="-6"/>
                                      <w:position w:val="-12"/>
                                      <w:sz w:val="20"/>
                                    </w:rPr>
                                    <w:t xml:space="preserve"> </w:t>
                                  </w:r>
                                  <w:r>
                                    <w:rPr>
                                      <w:b/>
                                      <w:position w:val="-12"/>
                                      <w:sz w:val="20"/>
                                    </w:rPr>
                                    <w:t>2022-</w:t>
                                  </w:r>
                                  <w:r>
                                    <w:rPr>
                                      <w:b/>
                                      <w:spacing w:val="-5"/>
                                      <w:position w:val="-12"/>
                                      <w:sz w:val="20"/>
                                    </w:rPr>
                                    <w:t>23</w:t>
                                  </w:r>
                                </w:p>
                                <w:p w14:paraId="62B905EE" w14:textId="77777777" w:rsidR="00AC6F3C" w:rsidRDefault="00570E88">
                                  <w:pPr>
                                    <w:pStyle w:val="TableParagraph"/>
                                    <w:spacing w:before="26"/>
                                    <w:ind w:left="2758"/>
                                    <w:rPr>
                                      <w:sz w:val="20"/>
                                    </w:rPr>
                                  </w:pPr>
                                  <w:r>
                                    <w:rPr>
                                      <w:sz w:val="20"/>
                                    </w:rPr>
                                    <w:t>(07.07.22-</w:t>
                                  </w:r>
                                  <w:r>
                                    <w:rPr>
                                      <w:spacing w:val="-2"/>
                                      <w:sz w:val="20"/>
                                    </w:rPr>
                                    <w:t>30.06.23)</w:t>
                                  </w:r>
                                </w:p>
                              </w:tc>
                              <w:tc>
                                <w:tcPr>
                                  <w:tcW w:w="1203" w:type="dxa"/>
                                  <w:tcBorders>
                                    <w:bottom w:val="single" w:sz="2" w:space="0" w:color="000000"/>
                                  </w:tcBorders>
                                </w:tcPr>
                                <w:p w14:paraId="6F25701F" w14:textId="77777777" w:rsidR="00AC6F3C" w:rsidRDefault="00AC6F3C">
                                  <w:pPr>
                                    <w:pStyle w:val="TableParagraph"/>
                                    <w:rPr>
                                      <w:rFonts w:ascii="Times New Roman"/>
                                      <w:sz w:val="18"/>
                                    </w:rPr>
                                  </w:pPr>
                                </w:p>
                              </w:tc>
                              <w:tc>
                                <w:tcPr>
                                  <w:tcW w:w="1001" w:type="dxa"/>
                                  <w:tcBorders>
                                    <w:bottom w:val="single" w:sz="2" w:space="0" w:color="000000"/>
                                  </w:tcBorders>
                                </w:tcPr>
                                <w:p w14:paraId="0A4B4E59" w14:textId="77777777" w:rsidR="00AC6F3C" w:rsidRDefault="00AC6F3C">
                                  <w:pPr>
                                    <w:pStyle w:val="TableParagraph"/>
                                    <w:rPr>
                                      <w:rFonts w:ascii="Times New Roman"/>
                                      <w:sz w:val="18"/>
                                    </w:rPr>
                                  </w:pPr>
                                </w:p>
                              </w:tc>
                              <w:tc>
                                <w:tcPr>
                                  <w:tcW w:w="983" w:type="dxa"/>
                                  <w:tcBorders>
                                    <w:bottom w:val="single" w:sz="2" w:space="0" w:color="000000"/>
                                  </w:tcBorders>
                                </w:tcPr>
                                <w:p w14:paraId="06097431" w14:textId="77777777" w:rsidR="00AC6F3C" w:rsidRDefault="00570E88">
                                  <w:pPr>
                                    <w:pStyle w:val="TableParagraph"/>
                                    <w:spacing w:before="68"/>
                                    <w:jc w:val="center"/>
                                    <w:rPr>
                                      <w:sz w:val="20"/>
                                    </w:rPr>
                                  </w:pPr>
                                  <w:r>
                                    <w:rPr>
                                      <w:sz w:val="20"/>
                                    </w:rPr>
                                    <w:t>5</w:t>
                                  </w:r>
                                </w:p>
                              </w:tc>
                              <w:tc>
                                <w:tcPr>
                                  <w:tcW w:w="996" w:type="dxa"/>
                                  <w:tcBorders>
                                    <w:bottom w:val="single" w:sz="2" w:space="0" w:color="000000"/>
                                  </w:tcBorders>
                                </w:tcPr>
                                <w:p w14:paraId="33BB36B2" w14:textId="77777777" w:rsidR="00AC6F3C" w:rsidRDefault="00570E88">
                                  <w:pPr>
                                    <w:pStyle w:val="TableParagraph"/>
                                    <w:spacing w:before="68"/>
                                    <w:ind w:left="5"/>
                                    <w:jc w:val="center"/>
                                    <w:rPr>
                                      <w:sz w:val="20"/>
                                    </w:rPr>
                                  </w:pPr>
                                  <w:r>
                                    <w:rPr>
                                      <w:sz w:val="20"/>
                                    </w:rPr>
                                    <w:t>3</w:t>
                                  </w:r>
                                </w:p>
                              </w:tc>
                            </w:tr>
                            <w:tr w:rsidR="00AC6F3C" w14:paraId="0DE84877" w14:textId="77777777">
                              <w:trPr>
                                <w:trHeight w:val="847"/>
                              </w:trPr>
                              <w:tc>
                                <w:tcPr>
                                  <w:tcW w:w="5166" w:type="dxa"/>
                                  <w:tcBorders>
                                    <w:top w:val="single" w:sz="2" w:space="0" w:color="000000"/>
                                    <w:bottom w:val="single" w:sz="2" w:space="0" w:color="000000"/>
                                  </w:tcBorders>
                                </w:tcPr>
                                <w:p w14:paraId="73E809CB" w14:textId="77777777" w:rsidR="00AC6F3C" w:rsidRDefault="00570E88">
                                  <w:pPr>
                                    <w:pStyle w:val="TableParagraph"/>
                                    <w:tabs>
                                      <w:tab w:val="left" w:pos="2758"/>
                                    </w:tabs>
                                    <w:spacing w:before="69"/>
                                    <w:ind w:left="113"/>
                                    <w:rPr>
                                      <w:b/>
                                      <w:sz w:val="20"/>
                                    </w:rPr>
                                  </w:pPr>
                                  <w:r>
                                    <w:rPr>
                                      <w:b/>
                                      <w:sz w:val="20"/>
                                    </w:rPr>
                                    <w:t>Peter</w:t>
                                  </w:r>
                                  <w:r>
                                    <w:rPr>
                                      <w:b/>
                                      <w:spacing w:val="-4"/>
                                      <w:sz w:val="20"/>
                                    </w:rPr>
                                    <w:t xml:space="preserve"> </w:t>
                                  </w:r>
                                  <w:r>
                                    <w:rPr>
                                      <w:b/>
                                      <w:spacing w:val="-2"/>
                                      <w:sz w:val="20"/>
                                    </w:rPr>
                                    <w:t>Jolly</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27CCA410" w14:textId="77777777" w:rsidR="00AC6F3C" w:rsidRDefault="00570E88">
                                  <w:pPr>
                                    <w:pStyle w:val="TableParagraph"/>
                                    <w:tabs>
                                      <w:tab w:val="left" w:pos="2758"/>
                                    </w:tabs>
                                    <w:spacing w:before="10"/>
                                    <w:ind w:left="113"/>
                                    <w:rPr>
                                      <w:sz w:val="20"/>
                                    </w:rPr>
                                  </w:pPr>
                                  <w:r>
                                    <w:rPr>
                                      <w:spacing w:val="-2"/>
                                      <w:sz w:val="20"/>
                                    </w:rPr>
                                    <w:t>Partner</w:t>
                                  </w:r>
                                  <w:r>
                                    <w:rPr>
                                      <w:sz w:val="20"/>
                                    </w:rPr>
                                    <w:tab/>
                                    <w:t>(01.07.22-</w:t>
                                  </w:r>
                                  <w:r>
                                    <w:rPr>
                                      <w:spacing w:val="-2"/>
                                      <w:sz w:val="20"/>
                                    </w:rPr>
                                    <w:t>30.06.23)</w:t>
                                  </w:r>
                                </w:p>
                                <w:p w14:paraId="70BEC244" w14:textId="77777777" w:rsidR="00AC6F3C" w:rsidRDefault="00570E88">
                                  <w:pPr>
                                    <w:pStyle w:val="TableParagraph"/>
                                    <w:spacing w:before="10"/>
                                    <w:ind w:left="113"/>
                                    <w:rPr>
                                      <w:sz w:val="20"/>
                                    </w:rPr>
                                  </w:pPr>
                                  <w:r>
                                    <w:rPr>
                                      <w:sz w:val="20"/>
                                    </w:rPr>
                                    <w:t>Thynne</w:t>
                                  </w:r>
                                  <w:r>
                                    <w:rPr>
                                      <w:spacing w:val="-3"/>
                                      <w:sz w:val="20"/>
                                    </w:rPr>
                                    <w:t xml:space="preserve"> </w:t>
                                  </w:r>
                                  <w:r>
                                    <w:rPr>
                                      <w:sz w:val="20"/>
                                    </w:rPr>
                                    <w:t>+</w:t>
                                  </w:r>
                                  <w:r>
                                    <w:rPr>
                                      <w:spacing w:val="-2"/>
                                      <w:sz w:val="20"/>
                                    </w:rPr>
                                    <w:t xml:space="preserve"> Macartney</w:t>
                                  </w:r>
                                </w:p>
                              </w:tc>
                              <w:tc>
                                <w:tcPr>
                                  <w:tcW w:w="1203" w:type="dxa"/>
                                  <w:tcBorders>
                                    <w:top w:val="single" w:sz="2" w:space="0" w:color="000000"/>
                                    <w:bottom w:val="single" w:sz="2" w:space="0" w:color="000000"/>
                                  </w:tcBorders>
                                </w:tcPr>
                                <w:p w14:paraId="612F9D57"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7AB40F82" w14:textId="77777777" w:rsidR="00AC6F3C" w:rsidRDefault="00570E88">
                                  <w:pPr>
                                    <w:pStyle w:val="TableParagraph"/>
                                    <w:spacing w:before="69"/>
                                    <w:jc w:val="center"/>
                                    <w:rPr>
                                      <w:sz w:val="20"/>
                                    </w:rPr>
                                  </w:pPr>
                                  <w:r>
                                    <w:rPr>
                                      <w:sz w:val="20"/>
                                    </w:rPr>
                                    <w:t>7</w:t>
                                  </w:r>
                                </w:p>
                              </w:tc>
                              <w:tc>
                                <w:tcPr>
                                  <w:tcW w:w="983" w:type="dxa"/>
                                  <w:tcBorders>
                                    <w:top w:val="single" w:sz="2" w:space="0" w:color="000000"/>
                                    <w:bottom w:val="single" w:sz="2" w:space="0" w:color="000000"/>
                                  </w:tcBorders>
                                </w:tcPr>
                                <w:p w14:paraId="68C3E68F"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3E70F15D" w14:textId="77777777" w:rsidR="00AC6F3C" w:rsidRDefault="00AC6F3C">
                                  <w:pPr>
                                    <w:pStyle w:val="TableParagraph"/>
                                    <w:rPr>
                                      <w:rFonts w:ascii="Times New Roman"/>
                                      <w:sz w:val="18"/>
                                    </w:rPr>
                                  </w:pPr>
                                </w:p>
                              </w:tc>
                            </w:tr>
                            <w:tr w:rsidR="00AC6F3C" w14:paraId="3627FE11" w14:textId="77777777">
                              <w:trPr>
                                <w:trHeight w:val="613"/>
                              </w:trPr>
                              <w:tc>
                                <w:tcPr>
                                  <w:tcW w:w="5166" w:type="dxa"/>
                                  <w:tcBorders>
                                    <w:top w:val="single" w:sz="2" w:space="0" w:color="000000"/>
                                  </w:tcBorders>
                                </w:tcPr>
                                <w:p w14:paraId="2330C23E" w14:textId="77777777" w:rsidR="00AC6F3C" w:rsidRDefault="00570E88">
                                  <w:pPr>
                                    <w:pStyle w:val="TableParagraph"/>
                                    <w:tabs>
                                      <w:tab w:val="left" w:pos="2758"/>
                                    </w:tabs>
                                    <w:spacing w:before="69"/>
                                    <w:ind w:left="113"/>
                                    <w:rPr>
                                      <w:b/>
                                      <w:sz w:val="20"/>
                                    </w:rPr>
                                  </w:pPr>
                                  <w:r>
                                    <w:rPr>
                                      <w:b/>
                                      <w:sz w:val="20"/>
                                    </w:rPr>
                                    <w:t xml:space="preserve">Justin </w:t>
                                  </w:r>
                                  <w:r>
                                    <w:rPr>
                                      <w:b/>
                                      <w:spacing w:val="-2"/>
                                      <w:sz w:val="20"/>
                                    </w:rPr>
                                    <w:t>McDonnell</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2098832A" w14:textId="77777777" w:rsidR="00AC6F3C" w:rsidRDefault="00570E88">
                                  <w:pPr>
                                    <w:pStyle w:val="TableParagraph"/>
                                    <w:tabs>
                                      <w:tab w:val="left" w:pos="2758"/>
                                    </w:tabs>
                                    <w:spacing w:before="10"/>
                                    <w:ind w:left="113"/>
                                    <w:rPr>
                                      <w:sz w:val="20"/>
                                    </w:rPr>
                                  </w:pPr>
                                  <w:r>
                                    <w:rPr>
                                      <w:sz w:val="20"/>
                                    </w:rPr>
                                    <w:t xml:space="preserve">Senior </w:t>
                                  </w:r>
                                  <w:r>
                                    <w:rPr>
                                      <w:spacing w:val="-2"/>
                                      <w:sz w:val="20"/>
                                    </w:rPr>
                                    <w:t>Consultant</w:t>
                                  </w:r>
                                  <w:r>
                                    <w:rPr>
                                      <w:sz w:val="20"/>
                                    </w:rPr>
                                    <w:tab/>
                                    <w:t>(16.09.22-</w:t>
                                  </w:r>
                                  <w:r>
                                    <w:rPr>
                                      <w:spacing w:val="-2"/>
                                      <w:sz w:val="20"/>
                                    </w:rPr>
                                    <w:t>30.06.23)</w:t>
                                  </w:r>
                                </w:p>
                              </w:tc>
                              <w:tc>
                                <w:tcPr>
                                  <w:tcW w:w="1203" w:type="dxa"/>
                                  <w:tcBorders>
                                    <w:top w:val="single" w:sz="2" w:space="0" w:color="000000"/>
                                  </w:tcBorders>
                                </w:tcPr>
                                <w:p w14:paraId="15ECB668" w14:textId="77777777" w:rsidR="00AC6F3C" w:rsidRDefault="00570E88">
                                  <w:pPr>
                                    <w:pStyle w:val="TableParagraph"/>
                                    <w:spacing w:before="69"/>
                                    <w:ind w:left="219"/>
                                    <w:jc w:val="center"/>
                                    <w:rPr>
                                      <w:sz w:val="20"/>
                                    </w:rPr>
                                  </w:pPr>
                                  <w:r>
                                    <w:rPr>
                                      <w:sz w:val="20"/>
                                    </w:rPr>
                                    <w:t>6</w:t>
                                  </w:r>
                                </w:p>
                              </w:tc>
                              <w:tc>
                                <w:tcPr>
                                  <w:tcW w:w="1001" w:type="dxa"/>
                                  <w:tcBorders>
                                    <w:top w:val="single" w:sz="2" w:space="0" w:color="000000"/>
                                  </w:tcBorders>
                                </w:tcPr>
                                <w:p w14:paraId="351E6695" w14:textId="77777777" w:rsidR="00AC6F3C" w:rsidRDefault="00570E88">
                                  <w:pPr>
                                    <w:pStyle w:val="TableParagraph"/>
                                    <w:spacing w:before="69"/>
                                    <w:jc w:val="center"/>
                                    <w:rPr>
                                      <w:sz w:val="20"/>
                                    </w:rPr>
                                  </w:pPr>
                                  <w:r>
                                    <w:rPr>
                                      <w:sz w:val="20"/>
                                    </w:rPr>
                                    <w:t>6</w:t>
                                  </w:r>
                                </w:p>
                              </w:tc>
                              <w:tc>
                                <w:tcPr>
                                  <w:tcW w:w="983" w:type="dxa"/>
                                  <w:tcBorders>
                                    <w:top w:val="single" w:sz="2" w:space="0" w:color="000000"/>
                                  </w:tcBorders>
                                </w:tcPr>
                                <w:p w14:paraId="6A5241CF" w14:textId="77777777" w:rsidR="00AC6F3C" w:rsidRDefault="00AC6F3C">
                                  <w:pPr>
                                    <w:pStyle w:val="TableParagraph"/>
                                    <w:rPr>
                                      <w:rFonts w:ascii="Times New Roman"/>
                                      <w:sz w:val="18"/>
                                    </w:rPr>
                                  </w:pPr>
                                </w:p>
                              </w:tc>
                              <w:tc>
                                <w:tcPr>
                                  <w:tcW w:w="996" w:type="dxa"/>
                                  <w:tcBorders>
                                    <w:top w:val="single" w:sz="2" w:space="0" w:color="000000"/>
                                  </w:tcBorders>
                                </w:tcPr>
                                <w:p w14:paraId="70B3A0AD" w14:textId="77777777" w:rsidR="00AC6F3C" w:rsidRDefault="00AC6F3C">
                                  <w:pPr>
                                    <w:pStyle w:val="TableParagraph"/>
                                    <w:rPr>
                                      <w:rFonts w:ascii="Times New Roman"/>
                                      <w:sz w:val="18"/>
                                    </w:rPr>
                                  </w:pPr>
                                </w:p>
                              </w:tc>
                            </w:tr>
                            <w:tr w:rsidR="00AC6F3C" w14:paraId="1995EA02" w14:textId="77777777">
                              <w:trPr>
                                <w:trHeight w:val="606"/>
                              </w:trPr>
                              <w:tc>
                                <w:tcPr>
                                  <w:tcW w:w="5166" w:type="dxa"/>
                                  <w:tcBorders>
                                    <w:bottom w:val="single" w:sz="2" w:space="0" w:color="000000"/>
                                  </w:tcBorders>
                                </w:tcPr>
                                <w:p w14:paraId="374A9756" w14:textId="77777777" w:rsidR="00AC6F3C" w:rsidRDefault="00570E88">
                                  <w:pPr>
                                    <w:pStyle w:val="TableParagraph"/>
                                    <w:tabs>
                                      <w:tab w:val="left" w:pos="2758"/>
                                    </w:tabs>
                                    <w:spacing w:line="156" w:lineRule="auto"/>
                                    <w:ind w:left="113"/>
                                    <w:rPr>
                                      <w:b/>
                                      <w:sz w:val="20"/>
                                    </w:rPr>
                                  </w:pPr>
                                  <w:r>
                                    <w:rPr>
                                      <w:sz w:val="20"/>
                                    </w:rPr>
                                    <w:t>King</w:t>
                                  </w:r>
                                  <w:r>
                                    <w:rPr>
                                      <w:spacing w:val="-3"/>
                                      <w:sz w:val="20"/>
                                    </w:rPr>
                                    <w:t xml:space="preserve"> </w:t>
                                  </w:r>
                                  <w:r>
                                    <w:rPr>
                                      <w:sz w:val="20"/>
                                    </w:rPr>
                                    <w:t>&amp;</w:t>
                                  </w:r>
                                  <w:r>
                                    <w:rPr>
                                      <w:spacing w:val="-3"/>
                                      <w:sz w:val="20"/>
                                    </w:rPr>
                                    <w:t xml:space="preserve"> </w:t>
                                  </w:r>
                                  <w:r>
                                    <w:rPr>
                                      <w:sz w:val="20"/>
                                    </w:rPr>
                                    <w:t>Wood</w:t>
                                  </w:r>
                                  <w:r>
                                    <w:rPr>
                                      <w:spacing w:val="-3"/>
                                      <w:sz w:val="20"/>
                                    </w:rPr>
                                    <w:t xml:space="preserve"> </w:t>
                                  </w:r>
                                  <w:r>
                                    <w:rPr>
                                      <w:spacing w:val="-2"/>
                                      <w:sz w:val="20"/>
                                    </w:rPr>
                                    <w:t>Mallesons</w:t>
                                  </w:r>
                                  <w:r>
                                    <w:rPr>
                                      <w:sz w:val="20"/>
                                    </w:rPr>
                                    <w:tab/>
                                  </w:r>
                                  <w:r>
                                    <w:rPr>
                                      <w:b/>
                                      <w:position w:val="-12"/>
                                      <w:sz w:val="20"/>
                                    </w:rPr>
                                    <w:t>FRC</w:t>
                                  </w:r>
                                  <w:r>
                                    <w:rPr>
                                      <w:b/>
                                      <w:spacing w:val="-4"/>
                                      <w:position w:val="-12"/>
                                      <w:sz w:val="20"/>
                                    </w:rPr>
                                    <w:t xml:space="preserve"> </w:t>
                                  </w:r>
                                  <w:r>
                                    <w:rPr>
                                      <w:b/>
                                      <w:position w:val="-12"/>
                                      <w:sz w:val="20"/>
                                    </w:rPr>
                                    <w:t>member</w:t>
                                  </w:r>
                                  <w:r>
                                    <w:rPr>
                                      <w:b/>
                                      <w:spacing w:val="-3"/>
                                      <w:position w:val="-12"/>
                                      <w:sz w:val="20"/>
                                    </w:rPr>
                                    <w:t xml:space="preserve"> </w:t>
                                  </w:r>
                                  <w:r>
                                    <w:rPr>
                                      <w:b/>
                                      <w:spacing w:val="-4"/>
                                      <w:position w:val="-12"/>
                                      <w:sz w:val="20"/>
                                    </w:rPr>
                                    <w:t>2023</w:t>
                                  </w:r>
                                </w:p>
                                <w:p w14:paraId="439C8AD2" w14:textId="77777777" w:rsidR="00AC6F3C" w:rsidRDefault="00570E88">
                                  <w:pPr>
                                    <w:pStyle w:val="TableParagraph"/>
                                    <w:spacing w:before="26"/>
                                    <w:ind w:left="2758"/>
                                    <w:rPr>
                                      <w:sz w:val="20"/>
                                    </w:rPr>
                                  </w:pPr>
                                  <w:r>
                                    <w:rPr>
                                      <w:sz w:val="20"/>
                                    </w:rPr>
                                    <w:t>(01.01.23-</w:t>
                                  </w:r>
                                  <w:r>
                                    <w:rPr>
                                      <w:spacing w:val="-2"/>
                                      <w:sz w:val="20"/>
                                    </w:rPr>
                                    <w:t>30.06.23)</w:t>
                                  </w:r>
                                </w:p>
                              </w:tc>
                              <w:tc>
                                <w:tcPr>
                                  <w:tcW w:w="1203" w:type="dxa"/>
                                  <w:tcBorders>
                                    <w:bottom w:val="single" w:sz="2" w:space="0" w:color="000000"/>
                                  </w:tcBorders>
                                </w:tcPr>
                                <w:p w14:paraId="67866630" w14:textId="77777777" w:rsidR="00AC6F3C" w:rsidRDefault="00AC6F3C">
                                  <w:pPr>
                                    <w:pStyle w:val="TableParagraph"/>
                                    <w:rPr>
                                      <w:rFonts w:ascii="Times New Roman"/>
                                      <w:sz w:val="18"/>
                                    </w:rPr>
                                  </w:pPr>
                                </w:p>
                              </w:tc>
                              <w:tc>
                                <w:tcPr>
                                  <w:tcW w:w="1001" w:type="dxa"/>
                                  <w:tcBorders>
                                    <w:bottom w:val="single" w:sz="2" w:space="0" w:color="000000"/>
                                  </w:tcBorders>
                                </w:tcPr>
                                <w:p w14:paraId="2A0B3FB7" w14:textId="77777777" w:rsidR="00AC6F3C" w:rsidRDefault="00AC6F3C">
                                  <w:pPr>
                                    <w:pStyle w:val="TableParagraph"/>
                                    <w:rPr>
                                      <w:rFonts w:ascii="Times New Roman"/>
                                      <w:sz w:val="18"/>
                                    </w:rPr>
                                  </w:pPr>
                                </w:p>
                              </w:tc>
                              <w:tc>
                                <w:tcPr>
                                  <w:tcW w:w="983" w:type="dxa"/>
                                  <w:tcBorders>
                                    <w:bottom w:val="single" w:sz="2" w:space="0" w:color="000000"/>
                                  </w:tcBorders>
                                </w:tcPr>
                                <w:p w14:paraId="0C982820" w14:textId="77777777" w:rsidR="00AC6F3C" w:rsidRDefault="00570E88">
                                  <w:pPr>
                                    <w:pStyle w:val="TableParagraph"/>
                                    <w:spacing w:before="68"/>
                                    <w:jc w:val="center"/>
                                    <w:rPr>
                                      <w:sz w:val="20"/>
                                    </w:rPr>
                                  </w:pPr>
                                  <w:r>
                                    <w:rPr>
                                      <w:sz w:val="20"/>
                                    </w:rPr>
                                    <w:t>3</w:t>
                                  </w:r>
                                </w:p>
                              </w:tc>
                              <w:tc>
                                <w:tcPr>
                                  <w:tcW w:w="996" w:type="dxa"/>
                                  <w:tcBorders>
                                    <w:bottom w:val="single" w:sz="2" w:space="0" w:color="000000"/>
                                  </w:tcBorders>
                                </w:tcPr>
                                <w:p w14:paraId="44480288" w14:textId="77777777" w:rsidR="00AC6F3C" w:rsidRDefault="00570E88">
                                  <w:pPr>
                                    <w:pStyle w:val="TableParagraph"/>
                                    <w:spacing w:before="68"/>
                                    <w:ind w:left="5"/>
                                    <w:jc w:val="center"/>
                                    <w:rPr>
                                      <w:sz w:val="20"/>
                                    </w:rPr>
                                  </w:pPr>
                                  <w:r>
                                    <w:rPr>
                                      <w:sz w:val="20"/>
                                    </w:rPr>
                                    <w:t>3</w:t>
                                  </w:r>
                                </w:p>
                              </w:tc>
                            </w:tr>
                            <w:tr w:rsidR="00AC6F3C" w14:paraId="753C6A2E" w14:textId="77777777">
                              <w:trPr>
                                <w:trHeight w:val="613"/>
                              </w:trPr>
                              <w:tc>
                                <w:tcPr>
                                  <w:tcW w:w="5166" w:type="dxa"/>
                                  <w:tcBorders>
                                    <w:top w:val="single" w:sz="2" w:space="0" w:color="000000"/>
                                  </w:tcBorders>
                                </w:tcPr>
                                <w:p w14:paraId="273F16F6" w14:textId="77777777" w:rsidR="00AC6F3C" w:rsidRDefault="00570E88">
                                  <w:pPr>
                                    <w:pStyle w:val="TableParagraph"/>
                                    <w:tabs>
                                      <w:tab w:val="left" w:pos="2758"/>
                                    </w:tabs>
                                    <w:spacing w:before="69"/>
                                    <w:ind w:left="113"/>
                                    <w:rPr>
                                      <w:b/>
                                      <w:sz w:val="20"/>
                                    </w:rPr>
                                  </w:pPr>
                                  <w:r>
                                    <w:rPr>
                                      <w:b/>
                                      <w:sz w:val="20"/>
                                    </w:rPr>
                                    <w:t xml:space="preserve">Dan </w:t>
                                  </w:r>
                                  <w:r>
                                    <w:rPr>
                                      <w:b/>
                                      <w:spacing w:val="-2"/>
                                      <w:sz w:val="20"/>
                                    </w:rPr>
                                    <w:t>Rogers</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3A6092BD" w14:textId="77777777" w:rsidR="00AC6F3C" w:rsidRDefault="00570E88">
                                  <w:pPr>
                                    <w:pStyle w:val="TableParagraph"/>
                                    <w:tabs>
                                      <w:tab w:val="left" w:pos="2758"/>
                                    </w:tabs>
                                    <w:spacing w:before="10"/>
                                    <w:ind w:left="113"/>
                                    <w:rPr>
                                      <w:sz w:val="20"/>
                                    </w:rPr>
                                  </w:pPr>
                                  <w:r>
                                    <w:rPr>
                                      <w:sz w:val="20"/>
                                    </w:rPr>
                                    <w:t>Legal</w:t>
                                  </w:r>
                                  <w:r>
                                    <w:rPr>
                                      <w:spacing w:val="-4"/>
                                      <w:sz w:val="20"/>
                                    </w:rPr>
                                    <w:t xml:space="preserve"> </w:t>
                                  </w:r>
                                  <w:r>
                                    <w:rPr>
                                      <w:spacing w:val="-2"/>
                                      <w:sz w:val="20"/>
                                    </w:rPr>
                                    <w:t>Director</w:t>
                                  </w:r>
                                  <w:r>
                                    <w:rPr>
                                      <w:sz w:val="20"/>
                                    </w:rPr>
                                    <w:tab/>
                                    <w:t>(26.10.22-</w:t>
                                  </w:r>
                                  <w:r>
                                    <w:rPr>
                                      <w:spacing w:val="-2"/>
                                      <w:sz w:val="20"/>
                                    </w:rPr>
                                    <w:t>30.06.23)</w:t>
                                  </w:r>
                                </w:p>
                              </w:tc>
                              <w:tc>
                                <w:tcPr>
                                  <w:tcW w:w="1203" w:type="dxa"/>
                                  <w:tcBorders>
                                    <w:top w:val="single" w:sz="2" w:space="0" w:color="000000"/>
                                  </w:tcBorders>
                                </w:tcPr>
                                <w:p w14:paraId="25EA3F6B" w14:textId="77777777" w:rsidR="00AC6F3C" w:rsidRDefault="00570E88">
                                  <w:pPr>
                                    <w:pStyle w:val="TableParagraph"/>
                                    <w:spacing w:before="69"/>
                                    <w:ind w:left="219"/>
                                    <w:jc w:val="center"/>
                                    <w:rPr>
                                      <w:sz w:val="20"/>
                                    </w:rPr>
                                  </w:pPr>
                                  <w:r>
                                    <w:rPr>
                                      <w:sz w:val="20"/>
                                    </w:rPr>
                                    <w:t>6</w:t>
                                  </w:r>
                                </w:p>
                              </w:tc>
                              <w:tc>
                                <w:tcPr>
                                  <w:tcW w:w="1001" w:type="dxa"/>
                                  <w:tcBorders>
                                    <w:top w:val="single" w:sz="2" w:space="0" w:color="000000"/>
                                  </w:tcBorders>
                                </w:tcPr>
                                <w:p w14:paraId="268FAEC9" w14:textId="77777777" w:rsidR="00AC6F3C" w:rsidRDefault="00570E88">
                                  <w:pPr>
                                    <w:pStyle w:val="TableParagraph"/>
                                    <w:spacing w:before="69"/>
                                    <w:jc w:val="center"/>
                                    <w:rPr>
                                      <w:sz w:val="20"/>
                                    </w:rPr>
                                  </w:pPr>
                                  <w:r>
                                    <w:rPr>
                                      <w:sz w:val="20"/>
                                    </w:rPr>
                                    <w:t>6</w:t>
                                  </w:r>
                                </w:p>
                              </w:tc>
                              <w:tc>
                                <w:tcPr>
                                  <w:tcW w:w="983" w:type="dxa"/>
                                  <w:tcBorders>
                                    <w:top w:val="single" w:sz="2" w:space="0" w:color="000000"/>
                                  </w:tcBorders>
                                </w:tcPr>
                                <w:p w14:paraId="7131105C" w14:textId="77777777" w:rsidR="00AC6F3C" w:rsidRDefault="00AC6F3C">
                                  <w:pPr>
                                    <w:pStyle w:val="TableParagraph"/>
                                    <w:rPr>
                                      <w:rFonts w:ascii="Times New Roman"/>
                                      <w:sz w:val="18"/>
                                    </w:rPr>
                                  </w:pPr>
                                </w:p>
                              </w:tc>
                              <w:tc>
                                <w:tcPr>
                                  <w:tcW w:w="996" w:type="dxa"/>
                                  <w:tcBorders>
                                    <w:top w:val="single" w:sz="2" w:space="0" w:color="000000"/>
                                  </w:tcBorders>
                                </w:tcPr>
                                <w:p w14:paraId="024D943C" w14:textId="77777777" w:rsidR="00AC6F3C" w:rsidRDefault="00AC6F3C">
                                  <w:pPr>
                                    <w:pStyle w:val="TableParagraph"/>
                                    <w:rPr>
                                      <w:rFonts w:ascii="Times New Roman"/>
                                      <w:sz w:val="18"/>
                                    </w:rPr>
                                  </w:pPr>
                                </w:p>
                              </w:tc>
                            </w:tr>
                            <w:tr w:rsidR="00AC6F3C" w14:paraId="2F0EECB7" w14:textId="77777777">
                              <w:trPr>
                                <w:trHeight w:val="606"/>
                              </w:trPr>
                              <w:tc>
                                <w:tcPr>
                                  <w:tcW w:w="5166" w:type="dxa"/>
                                  <w:tcBorders>
                                    <w:bottom w:val="single" w:sz="2" w:space="0" w:color="000000"/>
                                  </w:tcBorders>
                                </w:tcPr>
                                <w:p w14:paraId="29C2633F" w14:textId="77777777" w:rsidR="00AC6F3C" w:rsidRDefault="00570E88">
                                  <w:pPr>
                                    <w:pStyle w:val="TableParagraph"/>
                                    <w:tabs>
                                      <w:tab w:val="left" w:pos="2758"/>
                                    </w:tabs>
                                    <w:spacing w:line="156" w:lineRule="auto"/>
                                    <w:ind w:left="113"/>
                                    <w:rPr>
                                      <w:b/>
                                      <w:sz w:val="20"/>
                                    </w:rPr>
                                  </w:pPr>
                                  <w:r>
                                    <w:rPr>
                                      <w:sz w:val="20"/>
                                    </w:rPr>
                                    <w:t>Robertson</w:t>
                                  </w:r>
                                  <w:r>
                                    <w:rPr>
                                      <w:spacing w:val="-8"/>
                                      <w:sz w:val="20"/>
                                    </w:rPr>
                                    <w:t xml:space="preserve"> </w:t>
                                  </w:r>
                                  <w:r>
                                    <w:rPr>
                                      <w:spacing w:val="-2"/>
                                      <w:sz w:val="20"/>
                                    </w:rPr>
                                    <w:t>O’Gorman</w:t>
                                  </w:r>
                                  <w:r>
                                    <w:rPr>
                                      <w:sz w:val="20"/>
                                    </w:rPr>
                                    <w:tab/>
                                  </w:r>
                                  <w:r>
                                    <w:rPr>
                                      <w:b/>
                                      <w:position w:val="-12"/>
                                      <w:sz w:val="20"/>
                                    </w:rPr>
                                    <w:t>FRC</w:t>
                                  </w:r>
                                  <w:r>
                                    <w:rPr>
                                      <w:b/>
                                      <w:spacing w:val="-4"/>
                                      <w:position w:val="-12"/>
                                      <w:sz w:val="20"/>
                                    </w:rPr>
                                    <w:t xml:space="preserve"> </w:t>
                                  </w:r>
                                  <w:r>
                                    <w:rPr>
                                      <w:b/>
                                      <w:position w:val="-12"/>
                                      <w:sz w:val="20"/>
                                    </w:rPr>
                                    <w:t>member</w:t>
                                  </w:r>
                                  <w:r>
                                    <w:rPr>
                                      <w:b/>
                                      <w:spacing w:val="-3"/>
                                      <w:position w:val="-12"/>
                                      <w:sz w:val="20"/>
                                    </w:rPr>
                                    <w:t xml:space="preserve"> </w:t>
                                  </w:r>
                                  <w:r>
                                    <w:rPr>
                                      <w:b/>
                                      <w:spacing w:val="-4"/>
                                      <w:position w:val="-12"/>
                                      <w:sz w:val="20"/>
                                    </w:rPr>
                                    <w:t>2023</w:t>
                                  </w:r>
                                </w:p>
                                <w:p w14:paraId="21662E19" w14:textId="77777777" w:rsidR="00AC6F3C" w:rsidRDefault="00570E88">
                                  <w:pPr>
                                    <w:pStyle w:val="TableParagraph"/>
                                    <w:spacing w:before="26"/>
                                    <w:ind w:left="2758"/>
                                    <w:rPr>
                                      <w:sz w:val="20"/>
                                    </w:rPr>
                                  </w:pPr>
                                  <w:r>
                                    <w:rPr>
                                      <w:sz w:val="20"/>
                                    </w:rPr>
                                    <w:t>(01.01.23-</w:t>
                                  </w:r>
                                  <w:r>
                                    <w:rPr>
                                      <w:spacing w:val="-2"/>
                                      <w:sz w:val="20"/>
                                    </w:rPr>
                                    <w:t>30.06.23)</w:t>
                                  </w:r>
                                </w:p>
                              </w:tc>
                              <w:tc>
                                <w:tcPr>
                                  <w:tcW w:w="1203" w:type="dxa"/>
                                  <w:tcBorders>
                                    <w:bottom w:val="single" w:sz="2" w:space="0" w:color="000000"/>
                                  </w:tcBorders>
                                </w:tcPr>
                                <w:p w14:paraId="68033020" w14:textId="77777777" w:rsidR="00AC6F3C" w:rsidRDefault="00AC6F3C">
                                  <w:pPr>
                                    <w:pStyle w:val="TableParagraph"/>
                                    <w:rPr>
                                      <w:rFonts w:ascii="Times New Roman"/>
                                      <w:sz w:val="18"/>
                                    </w:rPr>
                                  </w:pPr>
                                </w:p>
                              </w:tc>
                              <w:tc>
                                <w:tcPr>
                                  <w:tcW w:w="1001" w:type="dxa"/>
                                  <w:tcBorders>
                                    <w:bottom w:val="single" w:sz="2" w:space="0" w:color="000000"/>
                                  </w:tcBorders>
                                </w:tcPr>
                                <w:p w14:paraId="5D5A1A8F" w14:textId="77777777" w:rsidR="00AC6F3C" w:rsidRDefault="00AC6F3C">
                                  <w:pPr>
                                    <w:pStyle w:val="TableParagraph"/>
                                    <w:rPr>
                                      <w:rFonts w:ascii="Times New Roman"/>
                                      <w:sz w:val="18"/>
                                    </w:rPr>
                                  </w:pPr>
                                </w:p>
                              </w:tc>
                              <w:tc>
                                <w:tcPr>
                                  <w:tcW w:w="983" w:type="dxa"/>
                                  <w:tcBorders>
                                    <w:bottom w:val="single" w:sz="2" w:space="0" w:color="000000"/>
                                  </w:tcBorders>
                                </w:tcPr>
                                <w:p w14:paraId="64B9BF1B" w14:textId="77777777" w:rsidR="00AC6F3C" w:rsidRDefault="00570E88">
                                  <w:pPr>
                                    <w:pStyle w:val="TableParagraph"/>
                                    <w:spacing w:before="68"/>
                                    <w:jc w:val="center"/>
                                    <w:rPr>
                                      <w:sz w:val="20"/>
                                    </w:rPr>
                                  </w:pPr>
                                  <w:r>
                                    <w:rPr>
                                      <w:sz w:val="20"/>
                                    </w:rPr>
                                    <w:t>3</w:t>
                                  </w:r>
                                </w:p>
                              </w:tc>
                              <w:tc>
                                <w:tcPr>
                                  <w:tcW w:w="996" w:type="dxa"/>
                                  <w:tcBorders>
                                    <w:bottom w:val="single" w:sz="2" w:space="0" w:color="000000"/>
                                  </w:tcBorders>
                                </w:tcPr>
                                <w:p w14:paraId="44E562DF" w14:textId="77777777" w:rsidR="00AC6F3C" w:rsidRDefault="00570E88">
                                  <w:pPr>
                                    <w:pStyle w:val="TableParagraph"/>
                                    <w:spacing w:before="68"/>
                                    <w:ind w:left="5"/>
                                    <w:jc w:val="center"/>
                                    <w:rPr>
                                      <w:sz w:val="20"/>
                                    </w:rPr>
                                  </w:pPr>
                                  <w:r>
                                    <w:rPr>
                                      <w:sz w:val="20"/>
                                    </w:rPr>
                                    <w:t>2</w:t>
                                  </w:r>
                                </w:p>
                              </w:tc>
                            </w:tr>
                            <w:tr w:rsidR="00AC6F3C" w14:paraId="658E0257" w14:textId="77777777">
                              <w:trPr>
                                <w:trHeight w:val="607"/>
                              </w:trPr>
                              <w:tc>
                                <w:tcPr>
                                  <w:tcW w:w="5166" w:type="dxa"/>
                                  <w:tcBorders>
                                    <w:top w:val="single" w:sz="2" w:space="0" w:color="000000"/>
                                    <w:bottom w:val="single" w:sz="2" w:space="0" w:color="000000"/>
                                  </w:tcBorders>
                                </w:tcPr>
                                <w:p w14:paraId="6A9BEAF1" w14:textId="77777777" w:rsidR="00AC6F3C" w:rsidRDefault="00570E88">
                                  <w:pPr>
                                    <w:pStyle w:val="TableParagraph"/>
                                    <w:tabs>
                                      <w:tab w:val="left" w:pos="2758"/>
                                    </w:tabs>
                                    <w:spacing w:before="69"/>
                                    <w:ind w:left="113"/>
                                    <w:rPr>
                                      <w:b/>
                                      <w:sz w:val="20"/>
                                    </w:rPr>
                                  </w:pPr>
                                  <w:r>
                                    <w:rPr>
                                      <w:b/>
                                      <w:sz w:val="20"/>
                                    </w:rPr>
                                    <w:t>James</w:t>
                                  </w:r>
                                  <w:r>
                                    <w:rPr>
                                      <w:b/>
                                      <w:spacing w:val="-4"/>
                                      <w:sz w:val="20"/>
                                    </w:rPr>
                                    <w:t xml:space="preserve"> </w:t>
                                  </w:r>
                                  <w:r>
                                    <w:rPr>
                                      <w:b/>
                                      <w:spacing w:val="-2"/>
                                      <w:sz w:val="20"/>
                                    </w:rPr>
                                    <w:t>Conomos</w:t>
                                  </w:r>
                                  <w:r>
                                    <w:rPr>
                                      <w:b/>
                                      <w:sz w:val="20"/>
                                    </w:rPr>
                                    <w:tab/>
                                    <w:t>Councillor</w:t>
                                  </w:r>
                                  <w:r>
                                    <w:rPr>
                                      <w:b/>
                                      <w:spacing w:val="-9"/>
                                      <w:sz w:val="20"/>
                                    </w:rPr>
                                    <w:t xml:space="preserve"> </w:t>
                                  </w:r>
                                  <w:r>
                                    <w:rPr>
                                      <w:b/>
                                      <w:spacing w:val="-4"/>
                                      <w:sz w:val="20"/>
                                    </w:rPr>
                                    <w:t>2023</w:t>
                                  </w:r>
                                </w:p>
                                <w:p w14:paraId="7A90FDCF" w14:textId="77777777" w:rsidR="00AC6F3C" w:rsidRDefault="00570E88">
                                  <w:pPr>
                                    <w:pStyle w:val="TableParagraph"/>
                                    <w:tabs>
                                      <w:tab w:val="left" w:pos="2758"/>
                                    </w:tabs>
                                    <w:spacing w:before="10"/>
                                    <w:ind w:left="113"/>
                                    <w:rPr>
                                      <w:sz w:val="20"/>
                                    </w:rPr>
                                  </w:pPr>
                                  <w:r>
                                    <w:rPr>
                                      <w:spacing w:val="-2"/>
                                      <w:sz w:val="20"/>
                                    </w:rPr>
                                    <w:t>Director</w:t>
                                  </w:r>
                                  <w:r>
                                    <w:rPr>
                                      <w:sz w:val="20"/>
                                    </w:rPr>
                                    <w:tab/>
                                    <w:t>(23.03.23-</w:t>
                                  </w:r>
                                  <w:r>
                                    <w:rPr>
                                      <w:spacing w:val="-2"/>
                                      <w:sz w:val="20"/>
                                    </w:rPr>
                                    <w:t>30.06.23)</w:t>
                                  </w:r>
                                </w:p>
                              </w:tc>
                              <w:tc>
                                <w:tcPr>
                                  <w:tcW w:w="1203" w:type="dxa"/>
                                  <w:tcBorders>
                                    <w:top w:val="single" w:sz="2" w:space="0" w:color="000000"/>
                                    <w:bottom w:val="single" w:sz="2" w:space="0" w:color="000000"/>
                                  </w:tcBorders>
                                </w:tcPr>
                                <w:p w14:paraId="2765DB5F" w14:textId="77777777" w:rsidR="00AC6F3C" w:rsidRDefault="00570E88">
                                  <w:pPr>
                                    <w:pStyle w:val="TableParagraph"/>
                                    <w:spacing w:before="69"/>
                                    <w:ind w:left="219"/>
                                    <w:jc w:val="center"/>
                                    <w:rPr>
                                      <w:sz w:val="20"/>
                                    </w:rPr>
                                  </w:pPr>
                                  <w:r>
                                    <w:rPr>
                                      <w:sz w:val="20"/>
                                    </w:rPr>
                                    <w:t>2</w:t>
                                  </w:r>
                                </w:p>
                              </w:tc>
                              <w:tc>
                                <w:tcPr>
                                  <w:tcW w:w="1001" w:type="dxa"/>
                                  <w:tcBorders>
                                    <w:top w:val="single" w:sz="2" w:space="0" w:color="000000"/>
                                    <w:bottom w:val="single" w:sz="2" w:space="0" w:color="000000"/>
                                  </w:tcBorders>
                                </w:tcPr>
                                <w:p w14:paraId="099D9804" w14:textId="77777777" w:rsidR="00AC6F3C" w:rsidRDefault="00570E88">
                                  <w:pPr>
                                    <w:pStyle w:val="TableParagraph"/>
                                    <w:spacing w:before="69"/>
                                    <w:jc w:val="center"/>
                                    <w:rPr>
                                      <w:sz w:val="20"/>
                                    </w:rPr>
                                  </w:pPr>
                                  <w:r>
                                    <w:rPr>
                                      <w:sz w:val="20"/>
                                    </w:rPr>
                                    <w:t>2</w:t>
                                  </w:r>
                                </w:p>
                              </w:tc>
                              <w:tc>
                                <w:tcPr>
                                  <w:tcW w:w="983" w:type="dxa"/>
                                  <w:tcBorders>
                                    <w:top w:val="single" w:sz="2" w:space="0" w:color="000000"/>
                                    <w:bottom w:val="single" w:sz="2" w:space="0" w:color="000000"/>
                                  </w:tcBorders>
                                </w:tcPr>
                                <w:p w14:paraId="7DDD9662"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38DF3200" w14:textId="77777777" w:rsidR="00AC6F3C" w:rsidRDefault="00AC6F3C">
                                  <w:pPr>
                                    <w:pStyle w:val="TableParagraph"/>
                                    <w:rPr>
                                      <w:rFonts w:ascii="Times New Roman"/>
                                      <w:sz w:val="18"/>
                                    </w:rPr>
                                  </w:pPr>
                                </w:p>
                              </w:tc>
                            </w:tr>
                            <w:tr w:rsidR="00AC6F3C" w14:paraId="1715A2AF" w14:textId="77777777">
                              <w:trPr>
                                <w:trHeight w:val="853"/>
                              </w:trPr>
                              <w:tc>
                                <w:tcPr>
                                  <w:tcW w:w="5166" w:type="dxa"/>
                                  <w:tcBorders>
                                    <w:top w:val="single" w:sz="2" w:space="0" w:color="000000"/>
                                  </w:tcBorders>
                                </w:tcPr>
                                <w:p w14:paraId="13FCA35E" w14:textId="77777777" w:rsidR="00AC6F3C" w:rsidRDefault="00570E88">
                                  <w:pPr>
                                    <w:pStyle w:val="TableParagraph"/>
                                    <w:tabs>
                                      <w:tab w:val="left" w:pos="2758"/>
                                    </w:tabs>
                                    <w:spacing w:before="69"/>
                                    <w:ind w:left="113"/>
                                    <w:rPr>
                                      <w:b/>
                                      <w:sz w:val="20"/>
                                    </w:rPr>
                                  </w:pPr>
                                  <w:r>
                                    <w:rPr>
                                      <w:b/>
                                      <w:sz w:val="20"/>
                                    </w:rPr>
                                    <w:t xml:space="preserve">Elizabeth </w:t>
                                  </w:r>
                                  <w:r>
                                    <w:rPr>
                                      <w:b/>
                                      <w:spacing w:val="-2"/>
                                      <w:sz w:val="20"/>
                                    </w:rPr>
                                    <w:t>Shearer</w:t>
                                  </w:r>
                                  <w:r>
                                    <w:rPr>
                                      <w:b/>
                                      <w:sz w:val="20"/>
                                    </w:rPr>
                                    <w:tab/>
                                    <w:t>Immediate</w:t>
                                  </w:r>
                                  <w:r>
                                    <w:rPr>
                                      <w:b/>
                                      <w:spacing w:val="-10"/>
                                      <w:sz w:val="20"/>
                                    </w:rPr>
                                    <w:t xml:space="preserve"> </w:t>
                                  </w:r>
                                  <w:r>
                                    <w:rPr>
                                      <w:b/>
                                      <w:spacing w:val="-4"/>
                                      <w:sz w:val="20"/>
                                    </w:rPr>
                                    <w:t>Past</w:t>
                                  </w:r>
                                </w:p>
                                <w:p w14:paraId="5E1405DE" w14:textId="77777777" w:rsidR="00AC6F3C" w:rsidRDefault="00570E88">
                                  <w:pPr>
                                    <w:pStyle w:val="TableParagraph"/>
                                    <w:tabs>
                                      <w:tab w:val="left" w:pos="2758"/>
                                    </w:tabs>
                                    <w:spacing w:before="10"/>
                                    <w:ind w:left="113"/>
                                    <w:rPr>
                                      <w:b/>
                                      <w:sz w:val="20"/>
                                    </w:rPr>
                                  </w:pPr>
                                  <w:r>
                                    <w:rPr>
                                      <w:spacing w:val="-2"/>
                                      <w:sz w:val="20"/>
                                    </w:rPr>
                                    <w:t>Director</w:t>
                                  </w:r>
                                  <w:r>
                                    <w:rPr>
                                      <w:sz w:val="20"/>
                                    </w:rPr>
                                    <w:tab/>
                                  </w:r>
                                  <w:r>
                                    <w:rPr>
                                      <w:b/>
                                      <w:sz w:val="20"/>
                                    </w:rPr>
                                    <w:t>President</w:t>
                                  </w:r>
                                  <w:r>
                                    <w:rPr>
                                      <w:b/>
                                      <w:spacing w:val="-2"/>
                                      <w:sz w:val="20"/>
                                    </w:rPr>
                                    <w:t xml:space="preserve"> </w:t>
                                  </w:r>
                                  <w:r>
                                    <w:rPr>
                                      <w:b/>
                                      <w:spacing w:val="-4"/>
                                      <w:sz w:val="20"/>
                                    </w:rPr>
                                    <w:t>2022</w:t>
                                  </w:r>
                                </w:p>
                                <w:p w14:paraId="413202BF" w14:textId="77777777" w:rsidR="00AC6F3C" w:rsidRDefault="00570E88">
                                  <w:pPr>
                                    <w:pStyle w:val="TableParagraph"/>
                                    <w:tabs>
                                      <w:tab w:val="left" w:pos="2758"/>
                                    </w:tabs>
                                    <w:spacing w:before="10"/>
                                    <w:ind w:left="113"/>
                                    <w:rPr>
                                      <w:sz w:val="20"/>
                                    </w:rPr>
                                  </w:pPr>
                                  <w:r>
                                    <w:rPr>
                                      <w:sz w:val="20"/>
                                    </w:rPr>
                                    <w:t>Shearer</w:t>
                                  </w:r>
                                  <w:r>
                                    <w:rPr>
                                      <w:spacing w:val="-2"/>
                                      <w:sz w:val="20"/>
                                    </w:rPr>
                                    <w:t xml:space="preserve"> </w:t>
                                  </w:r>
                                  <w:r>
                                    <w:rPr>
                                      <w:sz w:val="20"/>
                                    </w:rPr>
                                    <w:t>Doyle</w:t>
                                  </w:r>
                                  <w:r>
                                    <w:rPr>
                                      <w:spacing w:val="-2"/>
                                      <w:sz w:val="20"/>
                                    </w:rPr>
                                    <w:t xml:space="preserve"> </w:t>
                                  </w:r>
                                  <w:r>
                                    <w:rPr>
                                      <w:spacing w:val="-5"/>
                                      <w:sz w:val="20"/>
                                    </w:rPr>
                                    <w:t>Law</w:t>
                                  </w:r>
                                  <w:r>
                                    <w:rPr>
                                      <w:sz w:val="20"/>
                                    </w:rPr>
                                    <w:tab/>
                                    <w:t>(01.07.22-</w:t>
                                  </w:r>
                                  <w:r>
                                    <w:rPr>
                                      <w:spacing w:val="-2"/>
                                      <w:sz w:val="20"/>
                                    </w:rPr>
                                    <w:t>31.12.22)</w:t>
                                  </w:r>
                                </w:p>
                              </w:tc>
                              <w:tc>
                                <w:tcPr>
                                  <w:tcW w:w="1203" w:type="dxa"/>
                                  <w:tcBorders>
                                    <w:top w:val="single" w:sz="2" w:space="0" w:color="000000"/>
                                  </w:tcBorders>
                                </w:tcPr>
                                <w:p w14:paraId="36A01ED9" w14:textId="77777777" w:rsidR="00AC6F3C" w:rsidRDefault="00570E88">
                                  <w:pPr>
                                    <w:pStyle w:val="TableParagraph"/>
                                    <w:spacing w:before="69"/>
                                    <w:ind w:left="219"/>
                                    <w:jc w:val="center"/>
                                    <w:rPr>
                                      <w:sz w:val="20"/>
                                    </w:rPr>
                                  </w:pPr>
                                  <w:r>
                                    <w:rPr>
                                      <w:sz w:val="20"/>
                                    </w:rPr>
                                    <w:t>3</w:t>
                                  </w:r>
                                </w:p>
                              </w:tc>
                              <w:tc>
                                <w:tcPr>
                                  <w:tcW w:w="1001" w:type="dxa"/>
                                  <w:tcBorders>
                                    <w:top w:val="single" w:sz="2" w:space="0" w:color="000000"/>
                                  </w:tcBorders>
                                </w:tcPr>
                                <w:p w14:paraId="37CC2CEB" w14:textId="77777777" w:rsidR="00AC6F3C" w:rsidRDefault="00570E88">
                                  <w:pPr>
                                    <w:pStyle w:val="TableParagraph"/>
                                    <w:spacing w:before="69"/>
                                    <w:jc w:val="center"/>
                                    <w:rPr>
                                      <w:sz w:val="20"/>
                                    </w:rPr>
                                  </w:pPr>
                                  <w:r>
                                    <w:rPr>
                                      <w:sz w:val="20"/>
                                    </w:rPr>
                                    <w:t>3</w:t>
                                  </w:r>
                                </w:p>
                              </w:tc>
                              <w:tc>
                                <w:tcPr>
                                  <w:tcW w:w="983" w:type="dxa"/>
                                  <w:tcBorders>
                                    <w:top w:val="single" w:sz="2" w:space="0" w:color="000000"/>
                                  </w:tcBorders>
                                </w:tcPr>
                                <w:p w14:paraId="2EE41527" w14:textId="77777777" w:rsidR="00AC6F3C" w:rsidRDefault="00AC6F3C">
                                  <w:pPr>
                                    <w:pStyle w:val="TableParagraph"/>
                                    <w:rPr>
                                      <w:rFonts w:ascii="Times New Roman"/>
                                      <w:sz w:val="18"/>
                                    </w:rPr>
                                  </w:pPr>
                                </w:p>
                              </w:tc>
                              <w:tc>
                                <w:tcPr>
                                  <w:tcW w:w="996" w:type="dxa"/>
                                  <w:tcBorders>
                                    <w:top w:val="single" w:sz="2" w:space="0" w:color="000000"/>
                                  </w:tcBorders>
                                </w:tcPr>
                                <w:p w14:paraId="7F0C5494" w14:textId="77777777" w:rsidR="00AC6F3C" w:rsidRDefault="00AC6F3C">
                                  <w:pPr>
                                    <w:pStyle w:val="TableParagraph"/>
                                    <w:rPr>
                                      <w:rFonts w:ascii="Times New Roman"/>
                                      <w:sz w:val="18"/>
                                    </w:rPr>
                                  </w:pPr>
                                </w:p>
                              </w:tc>
                            </w:tr>
                            <w:tr w:rsidR="00AC6F3C" w14:paraId="4F3A42BD" w14:textId="77777777">
                              <w:trPr>
                                <w:trHeight w:val="606"/>
                              </w:trPr>
                              <w:tc>
                                <w:tcPr>
                                  <w:tcW w:w="5166" w:type="dxa"/>
                                  <w:tcBorders>
                                    <w:bottom w:val="single" w:sz="2" w:space="0" w:color="000000"/>
                                  </w:tcBorders>
                                </w:tcPr>
                                <w:p w14:paraId="340EE339" w14:textId="77777777" w:rsidR="00AC6F3C" w:rsidRDefault="00570E88">
                                  <w:pPr>
                                    <w:pStyle w:val="TableParagraph"/>
                                    <w:spacing w:before="68"/>
                                    <w:ind w:left="2758"/>
                                    <w:rPr>
                                      <w:b/>
                                      <w:sz w:val="20"/>
                                    </w:rPr>
                                  </w:pPr>
                                  <w:r>
                                    <w:rPr>
                                      <w:b/>
                                      <w:sz w:val="20"/>
                                    </w:rPr>
                                    <w:t>FRC</w:t>
                                  </w:r>
                                  <w:r>
                                    <w:rPr>
                                      <w:b/>
                                      <w:spacing w:val="-4"/>
                                      <w:sz w:val="20"/>
                                    </w:rPr>
                                    <w:t xml:space="preserve"> </w:t>
                                  </w:r>
                                  <w:r>
                                    <w:rPr>
                                      <w:b/>
                                      <w:sz w:val="20"/>
                                    </w:rPr>
                                    <w:t>member</w:t>
                                  </w:r>
                                  <w:r>
                                    <w:rPr>
                                      <w:b/>
                                      <w:spacing w:val="-3"/>
                                      <w:sz w:val="20"/>
                                    </w:rPr>
                                    <w:t xml:space="preserve"> </w:t>
                                  </w:r>
                                  <w:r>
                                    <w:rPr>
                                      <w:b/>
                                      <w:spacing w:val="-4"/>
                                      <w:sz w:val="20"/>
                                    </w:rPr>
                                    <w:t>2022</w:t>
                                  </w:r>
                                </w:p>
                                <w:p w14:paraId="3A2FDEC5" w14:textId="77777777" w:rsidR="00AC6F3C" w:rsidRDefault="00570E88">
                                  <w:pPr>
                                    <w:pStyle w:val="TableParagraph"/>
                                    <w:spacing w:before="10"/>
                                    <w:ind w:left="2758"/>
                                    <w:rPr>
                                      <w:sz w:val="20"/>
                                    </w:rPr>
                                  </w:pPr>
                                  <w:r>
                                    <w:rPr>
                                      <w:sz w:val="20"/>
                                    </w:rPr>
                                    <w:t>(01.07.22-</w:t>
                                  </w:r>
                                  <w:r>
                                    <w:rPr>
                                      <w:spacing w:val="-2"/>
                                      <w:sz w:val="20"/>
                                    </w:rPr>
                                    <w:t>31.12.22)</w:t>
                                  </w:r>
                                </w:p>
                              </w:tc>
                              <w:tc>
                                <w:tcPr>
                                  <w:tcW w:w="1203" w:type="dxa"/>
                                  <w:tcBorders>
                                    <w:bottom w:val="single" w:sz="2" w:space="0" w:color="000000"/>
                                  </w:tcBorders>
                                </w:tcPr>
                                <w:p w14:paraId="5981F5F8" w14:textId="77777777" w:rsidR="00AC6F3C" w:rsidRDefault="00AC6F3C">
                                  <w:pPr>
                                    <w:pStyle w:val="TableParagraph"/>
                                    <w:rPr>
                                      <w:rFonts w:ascii="Times New Roman"/>
                                      <w:sz w:val="18"/>
                                    </w:rPr>
                                  </w:pPr>
                                </w:p>
                              </w:tc>
                              <w:tc>
                                <w:tcPr>
                                  <w:tcW w:w="1001" w:type="dxa"/>
                                  <w:tcBorders>
                                    <w:bottom w:val="single" w:sz="2" w:space="0" w:color="000000"/>
                                  </w:tcBorders>
                                </w:tcPr>
                                <w:p w14:paraId="69C61318" w14:textId="77777777" w:rsidR="00AC6F3C" w:rsidRDefault="00AC6F3C">
                                  <w:pPr>
                                    <w:pStyle w:val="TableParagraph"/>
                                    <w:rPr>
                                      <w:rFonts w:ascii="Times New Roman"/>
                                      <w:sz w:val="18"/>
                                    </w:rPr>
                                  </w:pPr>
                                </w:p>
                              </w:tc>
                              <w:tc>
                                <w:tcPr>
                                  <w:tcW w:w="983" w:type="dxa"/>
                                  <w:tcBorders>
                                    <w:bottom w:val="single" w:sz="2" w:space="0" w:color="000000"/>
                                  </w:tcBorders>
                                </w:tcPr>
                                <w:p w14:paraId="6ED75E0D" w14:textId="77777777" w:rsidR="00AC6F3C" w:rsidRDefault="00570E88">
                                  <w:pPr>
                                    <w:pStyle w:val="TableParagraph"/>
                                    <w:spacing w:before="68"/>
                                    <w:jc w:val="center"/>
                                    <w:rPr>
                                      <w:sz w:val="20"/>
                                    </w:rPr>
                                  </w:pPr>
                                  <w:r>
                                    <w:rPr>
                                      <w:sz w:val="20"/>
                                    </w:rPr>
                                    <w:t>2</w:t>
                                  </w:r>
                                </w:p>
                              </w:tc>
                              <w:tc>
                                <w:tcPr>
                                  <w:tcW w:w="996" w:type="dxa"/>
                                  <w:tcBorders>
                                    <w:bottom w:val="single" w:sz="2" w:space="0" w:color="000000"/>
                                  </w:tcBorders>
                                </w:tcPr>
                                <w:p w14:paraId="57400CDC" w14:textId="77777777" w:rsidR="00AC6F3C" w:rsidRDefault="00570E88">
                                  <w:pPr>
                                    <w:pStyle w:val="TableParagraph"/>
                                    <w:spacing w:before="68"/>
                                    <w:ind w:left="5"/>
                                    <w:jc w:val="center"/>
                                    <w:rPr>
                                      <w:sz w:val="20"/>
                                    </w:rPr>
                                  </w:pPr>
                                  <w:r>
                                    <w:rPr>
                                      <w:sz w:val="20"/>
                                    </w:rPr>
                                    <w:t>2</w:t>
                                  </w:r>
                                </w:p>
                              </w:tc>
                            </w:tr>
                            <w:tr w:rsidR="00AC6F3C" w14:paraId="037A3DE0" w14:textId="77777777">
                              <w:trPr>
                                <w:trHeight w:val="847"/>
                              </w:trPr>
                              <w:tc>
                                <w:tcPr>
                                  <w:tcW w:w="5166" w:type="dxa"/>
                                  <w:tcBorders>
                                    <w:top w:val="single" w:sz="2" w:space="0" w:color="000000"/>
                                    <w:bottom w:val="single" w:sz="2" w:space="0" w:color="000000"/>
                                  </w:tcBorders>
                                </w:tcPr>
                                <w:p w14:paraId="091F3F4E" w14:textId="77777777" w:rsidR="00AC6F3C" w:rsidRDefault="00570E88">
                                  <w:pPr>
                                    <w:pStyle w:val="TableParagraph"/>
                                    <w:tabs>
                                      <w:tab w:val="left" w:pos="2758"/>
                                    </w:tabs>
                                    <w:spacing w:before="69"/>
                                    <w:ind w:left="113"/>
                                    <w:rPr>
                                      <w:b/>
                                      <w:sz w:val="20"/>
                                    </w:rPr>
                                  </w:pPr>
                                  <w:r>
                                    <w:rPr>
                                      <w:b/>
                                      <w:sz w:val="20"/>
                                    </w:rPr>
                                    <w:t xml:space="preserve">Allison </w:t>
                                  </w:r>
                                  <w:r>
                                    <w:rPr>
                                      <w:b/>
                                      <w:spacing w:val="-2"/>
                                      <w:sz w:val="20"/>
                                    </w:rPr>
                                    <w:t>Caputo</w:t>
                                  </w:r>
                                  <w:r>
                                    <w:rPr>
                                      <w:b/>
                                      <w:sz w:val="20"/>
                                    </w:rPr>
                                    <w:tab/>
                                    <w:t>Councillor</w:t>
                                  </w:r>
                                  <w:r>
                                    <w:rPr>
                                      <w:b/>
                                      <w:spacing w:val="-9"/>
                                      <w:sz w:val="20"/>
                                    </w:rPr>
                                    <w:t xml:space="preserve"> </w:t>
                                  </w:r>
                                  <w:r>
                                    <w:rPr>
                                      <w:b/>
                                      <w:spacing w:val="-4"/>
                                      <w:sz w:val="20"/>
                                    </w:rPr>
                                    <w:t>2022</w:t>
                                  </w:r>
                                </w:p>
                                <w:p w14:paraId="0ECC435E" w14:textId="77777777" w:rsidR="00AC6F3C" w:rsidRDefault="00570E88">
                                  <w:pPr>
                                    <w:pStyle w:val="TableParagraph"/>
                                    <w:tabs>
                                      <w:tab w:val="left" w:pos="2758"/>
                                    </w:tabs>
                                    <w:spacing w:before="10" w:line="249" w:lineRule="auto"/>
                                    <w:ind w:left="113" w:right="648"/>
                                    <w:rPr>
                                      <w:sz w:val="20"/>
                                    </w:rPr>
                                  </w:pPr>
                                  <w:r>
                                    <w:rPr>
                                      <w:sz w:val="20"/>
                                    </w:rPr>
                                    <w:t>Practice Director</w:t>
                                  </w:r>
                                  <w:r>
                                    <w:rPr>
                                      <w:sz w:val="20"/>
                                    </w:rPr>
                                    <w:tab/>
                                  </w:r>
                                  <w:r>
                                    <w:rPr>
                                      <w:spacing w:val="-2"/>
                                      <w:sz w:val="20"/>
                                    </w:rPr>
                                    <w:t xml:space="preserve">(01.07.22-09.01.23) </w:t>
                                  </w:r>
                                  <w:r>
                                    <w:rPr>
                                      <w:sz w:val="20"/>
                                    </w:rPr>
                                    <w:t>Women’s Legal Service</w:t>
                                  </w:r>
                                </w:p>
                              </w:tc>
                              <w:tc>
                                <w:tcPr>
                                  <w:tcW w:w="1203" w:type="dxa"/>
                                  <w:tcBorders>
                                    <w:top w:val="single" w:sz="2" w:space="0" w:color="000000"/>
                                    <w:bottom w:val="single" w:sz="2" w:space="0" w:color="000000"/>
                                  </w:tcBorders>
                                </w:tcPr>
                                <w:p w14:paraId="4D41312F" w14:textId="77777777" w:rsidR="00AC6F3C" w:rsidRDefault="00570E88">
                                  <w:pPr>
                                    <w:pStyle w:val="TableParagraph"/>
                                    <w:spacing w:before="69"/>
                                    <w:ind w:left="219"/>
                                    <w:jc w:val="center"/>
                                    <w:rPr>
                                      <w:sz w:val="20"/>
                                    </w:rPr>
                                  </w:pPr>
                                  <w:r>
                                    <w:rPr>
                                      <w:sz w:val="20"/>
                                    </w:rPr>
                                    <w:t>3</w:t>
                                  </w:r>
                                </w:p>
                              </w:tc>
                              <w:tc>
                                <w:tcPr>
                                  <w:tcW w:w="1001" w:type="dxa"/>
                                  <w:tcBorders>
                                    <w:top w:val="single" w:sz="2" w:space="0" w:color="000000"/>
                                    <w:bottom w:val="single" w:sz="2" w:space="0" w:color="000000"/>
                                  </w:tcBorders>
                                </w:tcPr>
                                <w:p w14:paraId="5908AF37" w14:textId="77777777" w:rsidR="00AC6F3C" w:rsidRDefault="00570E88">
                                  <w:pPr>
                                    <w:pStyle w:val="TableParagraph"/>
                                    <w:spacing w:before="69"/>
                                    <w:jc w:val="center"/>
                                    <w:rPr>
                                      <w:sz w:val="20"/>
                                    </w:rPr>
                                  </w:pPr>
                                  <w:r>
                                    <w:rPr>
                                      <w:sz w:val="20"/>
                                    </w:rPr>
                                    <w:t>2</w:t>
                                  </w:r>
                                </w:p>
                              </w:tc>
                              <w:tc>
                                <w:tcPr>
                                  <w:tcW w:w="983" w:type="dxa"/>
                                  <w:tcBorders>
                                    <w:top w:val="single" w:sz="2" w:space="0" w:color="000000"/>
                                    <w:bottom w:val="single" w:sz="2" w:space="0" w:color="000000"/>
                                  </w:tcBorders>
                                </w:tcPr>
                                <w:p w14:paraId="3D36B456"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76B11B89" w14:textId="77777777" w:rsidR="00AC6F3C" w:rsidRDefault="00AC6F3C">
                                  <w:pPr>
                                    <w:pStyle w:val="TableParagraph"/>
                                    <w:rPr>
                                      <w:rFonts w:ascii="Times New Roman"/>
                                      <w:sz w:val="18"/>
                                    </w:rPr>
                                  </w:pPr>
                                </w:p>
                              </w:tc>
                            </w:tr>
                            <w:tr w:rsidR="00AC6F3C" w14:paraId="07CCDD99" w14:textId="77777777">
                              <w:trPr>
                                <w:trHeight w:val="539"/>
                              </w:trPr>
                              <w:tc>
                                <w:tcPr>
                                  <w:tcW w:w="5166" w:type="dxa"/>
                                  <w:tcBorders>
                                    <w:top w:val="single" w:sz="2" w:space="0" w:color="000000"/>
                                  </w:tcBorders>
                                </w:tcPr>
                                <w:p w14:paraId="03A46B75" w14:textId="77777777" w:rsidR="00AC6F3C" w:rsidRDefault="00570E88">
                                  <w:pPr>
                                    <w:pStyle w:val="TableParagraph"/>
                                    <w:tabs>
                                      <w:tab w:val="left" w:pos="2758"/>
                                    </w:tabs>
                                    <w:spacing w:before="69"/>
                                    <w:ind w:left="113"/>
                                    <w:rPr>
                                      <w:b/>
                                      <w:sz w:val="20"/>
                                    </w:rPr>
                                  </w:pPr>
                                  <w:r>
                                    <w:rPr>
                                      <w:b/>
                                      <w:sz w:val="20"/>
                                    </w:rPr>
                                    <w:t>Timothy</w:t>
                                  </w:r>
                                  <w:r>
                                    <w:rPr>
                                      <w:b/>
                                      <w:spacing w:val="-9"/>
                                      <w:sz w:val="20"/>
                                    </w:rPr>
                                    <w:t xml:space="preserve"> </w:t>
                                  </w:r>
                                  <w:r>
                                    <w:rPr>
                                      <w:b/>
                                      <w:spacing w:val="-2"/>
                                      <w:sz w:val="20"/>
                                    </w:rPr>
                                    <w:t>Cronin</w:t>
                                  </w:r>
                                  <w:r>
                                    <w:rPr>
                                      <w:b/>
                                      <w:sz w:val="20"/>
                                    </w:rPr>
                                    <w:tab/>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55BB1A01" w14:textId="77777777" w:rsidR="00AC6F3C" w:rsidRDefault="00570E88">
                                  <w:pPr>
                                    <w:pStyle w:val="TableParagraph"/>
                                    <w:tabs>
                                      <w:tab w:val="left" w:pos="2758"/>
                                    </w:tabs>
                                    <w:spacing w:before="10" w:line="210" w:lineRule="exact"/>
                                    <w:ind w:left="113"/>
                                    <w:rPr>
                                      <w:sz w:val="20"/>
                                    </w:rPr>
                                  </w:pPr>
                                  <w:r>
                                    <w:rPr>
                                      <w:spacing w:val="-2"/>
                                      <w:sz w:val="20"/>
                                    </w:rPr>
                                    <w:t>Partner</w:t>
                                  </w:r>
                                  <w:r>
                                    <w:rPr>
                                      <w:sz w:val="20"/>
                                    </w:rPr>
                                    <w:tab/>
                                    <w:t>(01.07.22-</w:t>
                                  </w:r>
                                  <w:r>
                                    <w:rPr>
                                      <w:spacing w:val="-2"/>
                                      <w:sz w:val="20"/>
                                    </w:rPr>
                                    <w:t>30.06.23)</w:t>
                                  </w:r>
                                </w:p>
                              </w:tc>
                              <w:tc>
                                <w:tcPr>
                                  <w:tcW w:w="1203" w:type="dxa"/>
                                  <w:tcBorders>
                                    <w:top w:val="single" w:sz="2" w:space="0" w:color="000000"/>
                                  </w:tcBorders>
                                </w:tcPr>
                                <w:p w14:paraId="05E1828A" w14:textId="77777777" w:rsidR="00AC6F3C" w:rsidRDefault="00AC6F3C">
                                  <w:pPr>
                                    <w:pStyle w:val="TableParagraph"/>
                                    <w:rPr>
                                      <w:rFonts w:ascii="Times New Roman"/>
                                      <w:sz w:val="18"/>
                                    </w:rPr>
                                  </w:pPr>
                                </w:p>
                              </w:tc>
                              <w:tc>
                                <w:tcPr>
                                  <w:tcW w:w="1001" w:type="dxa"/>
                                  <w:tcBorders>
                                    <w:top w:val="single" w:sz="2" w:space="0" w:color="000000"/>
                                  </w:tcBorders>
                                </w:tcPr>
                                <w:p w14:paraId="3759AA5F" w14:textId="77777777" w:rsidR="00AC6F3C" w:rsidRDefault="00AC6F3C">
                                  <w:pPr>
                                    <w:pStyle w:val="TableParagraph"/>
                                    <w:rPr>
                                      <w:rFonts w:ascii="Times New Roman"/>
                                      <w:sz w:val="18"/>
                                    </w:rPr>
                                  </w:pPr>
                                </w:p>
                              </w:tc>
                              <w:tc>
                                <w:tcPr>
                                  <w:tcW w:w="983" w:type="dxa"/>
                                  <w:tcBorders>
                                    <w:top w:val="single" w:sz="2" w:space="0" w:color="000000"/>
                                  </w:tcBorders>
                                </w:tcPr>
                                <w:p w14:paraId="05E9C7DF" w14:textId="77777777" w:rsidR="00AC6F3C" w:rsidRDefault="00570E88">
                                  <w:pPr>
                                    <w:pStyle w:val="TableParagraph"/>
                                    <w:spacing w:before="69"/>
                                    <w:jc w:val="center"/>
                                    <w:rPr>
                                      <w:sz w:val="20"/>
                                    </w:rPr>
                                  </w:pPr>
                                  <w:r>
                                    <w:rPr>
                                      <w:sz w:val="20"/>
                                    </w:rPr>
                                    <w:t>5</w:t>
                                  </w:r>
                                </w:p>
                              </w:tc>
                              <w:tc>
                                <w:tcPr>
                                  <w:tcW w:w="996" w:type="dxa"/>
                                  <w:tcBorders>
                                    <w:top w:val="single" w:sz="2" w:space="0" w:color="000000"/>
                                  </w:tcBorders>
                                </w:tcPr>
                                <w:p w14:paraId="74A562D1" w14:textId="77777777" w:rsidR="00AC6F3C" w:rsidRDefault="00570E88">
                                  <w:pPr>
                                    <w:pStyle w:val="TableParagraph"/>
                                    <w:spacing w:before="69"/>
                                    <w:ind w:left="5"/>
                                    <w:jc w:val="center"/>
                                    <w:rPr>
                                      <w:sz w:val="20"/>
                                    </w:rPr>
                                  </w:pPr>
                                  <w:r>
                                    <w:rPr>
                                      <w:sz w:val="20"/>
                                    </w:rPr>
                                    <w:t>5</w:t>
                                  </w:r>
                                </w:p>
                              </w:tc>
                            </w:tr>
                          </w:tbl>
                          <w:p w14:paraId="595DD8D3" w14:textId="77777777" w:rsidR="00AC6F3C" w:rsidRDefault="00AC6F3C">
                            <w:pPr>
                              <w:pStyle w:val="BodyText"/>
                            </w:pPr>
                          </w:p>
                        </w:txbxContent>
                      </wps:txbx>
                      <wps:bodyPr wrap="square" lIns="0" tIns="0" rIns="0" bIns="0" rtlCol="0">
                        <a:noAutofit/>
                      </wps:bodyPr>
                    </wps:wsp>
                  </a:graphicData>
                </a:graphic>
              </wp:anchor>
            </w:drawing>
          </mc:Choice>
          <mc:Fallback>
            <w:pict>
              <v:shape w14:anchorId="5622A6F2" id="Textbox 271" o:spid="_x0000_s1028" type="#_x0000_t202" style="position:absolute;margin-left:60.8pt;margin-top:117.35pt;width:473.5pt;height:603.7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66"/>
                        <w:gridCol w:w="1203"/>
                        <w:gridCol w:w="1001"/>
                        <w:gridCol w:w="983"/>
                        <w:gridCol w:w="996"/>
                      </w:tblGrid>
                      <w:tr w:rsidR="00AC6F3C" w14:paraId="4EE8D85A" w14:textId="77777777">
                        <w:trPr>
                          <w:trHeight w:val="284"/>
                        </w:trPr>
                        <w:tc>
                          <w:tcPr>
                            <w:tcW w:w="5166" w:type="dxa"/>
                            <w:tcBorders>
                              <w:bottom w:val="single" w:sz="8" w:space="0" w:color="000000"/>
                            </w:tcBorders>
                          </w:tcPr>
                          <w:p w14:paraId="4AC47D08" w14:textId="77777777" w:rsidR="00AC6F3C" w:rsidRDefault="00570E88">
                            <w:pPr>
                              <w:pStyle w:val="TableParagraph"/>
                              <w:tabs>
                                <w:tab w:val="left" w:pos="2758"/>
                              </w:tabs>
                              <w:spacing w:line="223" w:lineRule="exact"/>
                              <w:ind w:left="113"/>
                              <w:rPr>
                                <w:b/>
                                <w:sz w:val="20"/>
                              </w:rPr>
                            </w:pPr>
                            <w:r>
                              <w:rPr>
                                <w:b/>
                                <w:sz w:val="20"/>
                              </w:rPr>
                              <w:t xml:space="preserve">Name, </w:t>
                            </w:r>
                            <w:r>
                              <w:rPr>
                                <w:b/>
                                <w:spacing w:val="-4"/>
                                <w:sz w:val="20"/>
                              </w:rPr>
                              <w:t>firm</w:t>
                            </w:r>
                            <w:r>
                              <w:rPr>
                                <w:b/>
                                <w:sz w:val="20"/>
                              </w:rPr>
                              <w:tab/>
                            </w:r>
                            <w:r>
                              <w:rPr>
                                <w:b/>
                                <w:spacing w:val="-4"/>
                                <w:sz w:val="20"/>
                              </w:rPr>
                              <w:t>Role</w:t>
                            </w:r>
                          </w:p>
                        </w:tc>
                        <w:tc>
                          <w:tcPr>
                            <w:tcW w:w="1203" w:type="dxa"/>
                            <w:tcBorders>
                              <w:bottom w:val="single" w:sz="8" w:space="0" w:color="000000"/>
                            </w:tcBorders>
                          </w:tcPr>
                          <w:p w14:paraId="6EFD8939" w14:textId="77777777" w:rsidR="00AC6F3C" w:rsidRDefault="00570E88">
                            <w:pPr>
                              <w:pStyle w:val="TableParagraph"/>
                              <w:spacing w:before="31"/>
                              <w:ind w:left="359" w:right="140"/>
                              <w:jc w:val="center"/>
                              <w:rPr>
                                <w:b/>
                                <w:sz w:val="16"/>
                              </w:rPr>
                            </w:pPr>
                            <w:r>
                              <w:rPr>
                                <w:b/>
                                <w:sz w:val="16"/>
                              </w:rPr>
                              <w:t xml:space="preserve">to </w:t>
                            </w:r>
                            <w:r>
                              <w:rPr>
                                <w:b/>
                                <w:spacing w:val="-2"/>
                                <w:sz w:val="16"/>
                              </w:rPr>
                              <w:t>attend</w:t>
                            </w:r>
                          </w:p>
                        </w:tc>
                        <w:tc>
                          <w:tcPr>
                            <w:tcW w:w="1001" w:type="dxa"/>
                            <w:tcBorders>
                              <w:bottom w:val="single" w:sz="8" w:space="0" w:color="000000"/>
                            </w:tcBorders>
                          </w:tcPr>
                          <w:p w14:paraId="0F865070" w14:textId="77777777" w:rsidR="00AC6F3C" w:rsidRDefault="00570E88">
                            <w:pPr>
                              <w:pStyle w:val="TableParagraph"/>
                              <w:spacing w:before="31"/>
                              <w:ind w:left="141" w:right="141"/>
                              <w:jc w:val="center"/>
                              <w:rPr>
                                <w:b/>
                                <w:sz w:val="16"/>
                              </w:rPr>
                            </w:pPr>
                            <w:r>
                              <w:rPr>
                                <w:b/>
                                <w:spacing w:val="-2"/>
                                <w:sz w:val="16"/>
                              </w:rPr>
                              <w:t>Attended</w:t>
                            </w:r>
                          </w:p>
                        </w:tc>
                        <w:tc>
                          <w:tcPr>
                            <w:tcW w:w="983" w:type="dxa"/>
                            <w:tcBorders>
                              <w:bottom w:val="single" w:sz="8" w:space="0" w:color="000000"/>
                            </w:tcBorders>
                          </w:tcPr>
                          <w:p w14:paraId="2EC88E90" w14:textId="77777777" w:rsidR="00AC6F3C" w:rsidRDefault="00570E88">
                            <w:pPr>
                              <w:pStyle w:val="TableParagraph"/>
                              <w:spacing w:before="31"/>
                              <w:ind w:left="139" w:right="139"/>
                              <w:jc w:val="center"/>
                              <w:rPr>
                                <w:b/>
                                <w:sz w:val="16"/>
                              </w:rPr>
                            </w:pPr>
                            <w:r>
                              <w:rPr>
                                <w:b/>
                                <w:sz w:val="16"/>
                              </w:rPr>
                              <w:t xml:space="preserve">to </w:t>
                            </w:r>
                            <w:r>
                              <w:rPr>
                                <w:b/>
                                <w:spacing w:val="-2"/>
                                <w:sz w:val="16"/>
                              </w:rPr>
                              <w:t>attend</w:t>
                            </w:r>
                          </w:p>
                        </w:tc>
                        <w:tc>
                          <w:tcPr>
                            <w:tcW w:w="996" w:type="dxa"/>
                            <w:tcBorders>
                              <w:bottom w:val="single" w:sz="8" w:space="0" w:color="000000"/>
                            </w:tcBorders>
                          </w:tcPr>
                          <w:p w14:paraId="5F11F4CA" w14:textId="77777777" w:rsidR="00AC6F3C" w:rsidRDefault="00570E88">
                            <w:pPr>
                              <w:pStyle w:val="TableParagraph"/>
                              <w:spacing w:before="31"/>
                              <w:ind w:left="141" w:right="137"/>
                              <w:jc w:val="center"/>
                              <w:rPr>
                                <w:b/>
                                <w:sz w:val="16"/>
                              </w:rPr>
                            </w:pPr>
                            <w:r>
                              <w:rPr>
                                <w:b/>
                                <w:spacing w:val="-2"/>
                                <w:sz w:val="16"/>
                              </w:rPr>
                              <w:t>Attended</w:t>
                            </w:r>
                          </w:p>
                        </w:tc>
                      </w:tr>
                      <w:tr w:rsidR="00AC6F3C" w14:paraId="0251AE4B" w14:textId="77777777">
                        <w:trPr>
                          <w:trHeight w:val="613"/>
                        </w:trPr>
                        <w:tc>
                          <w:tcPr>
                            <w:tcW w:w="5166" w:type="dxa"/>
                            <w:tcBorders>
                              <w:top w:val="single" w:sz="8" w:space="0" w:color="000000"/>
                            </w:tcBorders>
                          </w:tcPr>
                          <w:p w14:paraId="55C0CEE8" w14:textId="77777777" w:rsidR="00AC6F3C" w:rsidRDefault="00570E88">
                            <w:pPr>
                              <w:pStyle w:val="TableParagraph"/>
                              <w:tabs>
                                <w:tab w:val="left" w:pos="2758"/>
                              </w:tabs>
                              <w:spacing w:before="69"/>
                              <w:ind w:left="113"/>
                              <w:rPr>
                                <w:b/>
                                <w:sz w:val="20"/>
                              </w:rPr>
                            </w:pPr>
                            <w:r>
                              <w:rPr>
                                <w:b/>
                                <w:sz w:val="20"/>
                              </w:rPr>
                              <w:t>Samantha</w:t>
                            </w:r>
                            <w:r>
                              <w:rPr>
                                <w:b/>
                                <w:spacing w:val="-7"/>
                                <w:sz w:val="20"/>
                              </w:rPr>
                              <w:t xml:space="preserve"> </w:t>
                            </w:r>
                            <w:r>
                              <w:rPr>
                                <w:b/>
                                <w:spacing w:val="-2"/>
                                <w:sz w:val="20"/>
                              </w:rPr>
                              <w:t>Bolton</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60CE8ECB" w14:textId="77777777" w:rsidR="00AC6F3C" w:rsidRDefault="00570E88">
                            <w:pPr>
                              <w:pStyle w:val="TableParagraph"/>
                              <w:tabs>
                                <w:tab w:val="left" w:pos="2758"/>
                              </w:tabs>
                              <w:spacing w:before="10"/>
                              <w:ind w:left="113"/>
                              <w:rPr>
                                <w:sz w:val="20"/>
                              </w:rPr>
                            </w:pPr>
                            <w:r>
                              <w:rPr>
                                <w:spacing w:val="-2"/>
                                <w:sz w:val="20"/>
                              </w:rPr>
                              <w:t>Director</w:t>
                            </w:r>
                            <w:r>
                              <w:rPr>
                                <w:sz w:val="20"/>
                              </w:rPr>
                              <w:tab/>
                              <w:t>(01.07.22-</w:t>
                            </w:r>
                            <w:r>
                              <w:rPr>
                                <w:spacing w:val="-2"/>
                                <w:sz w:val="20"/>
                              </w:rPr>
                              <w:t>30.06.23)</w:t>
                            </w:r>
                          </w:p>
                        </w:tc>
                        <w:tc>
                          <w:tcPr>
                            <w:tcW w:w="1203" w:type="dxa"/>
                            <w:tcBorders>
                              <w:top w:val="single" w:sz="8" w:space="0" w:color="000000"/>
                            </w:tcBorders>
                          </w:tcPr>
                          <w:p w14:paraId="6F48ECE4" w14:textId="77777777" w:rsidR="00AC6F3C" w:rsidRDefault="00570E88">
                            <w:pPr>
                              <w:pStyle w:val="TableParagraph"/>
                              <w:spacing w:before="69"/>
                              <w:ind w:left="219"/>
                              <w:jc w:val="center"/>
                              <w:rPr>
                                <w:sz w:val="20"/>
                              </w:rPr>
                            </w:pPr>
                            <w:r>
                              <w:rPr>
                                <w:sz w:val="20"/>
                              </w:rPr>
                              <w:t>7</w:t>
                            </w:r>
                          </w:p>
                        </w:tc>
                        <w:tc>
                          <w:tcPr>
                            <w:tcW w:w="1001" w:type="dxa"/>
                            <w:tcBorders>
                              <w:top w:val="single" w:sz="8" w:space="0" w:color="000000"/>
                            </w:tcBorders>
                          </w:tcPr>
                          <w:p w14:paraId="5BB4DD4A" w14:textId="77777777" w:rsidR="00AC6F3C" w:rsidRDefault="00570E88">
                            <w:pPr>
                              <w:pStyle w:val="TableParagraph"/>
                              <w:spacing w:before="69"/>
                              <w:jc w:val="center"/>
                              <w:rPr>
                                <w:sz w:val="20"/>
                              </w:rPr>
                            </w:pPr>
                            <w:r>
                              <w:rPr>
                                <w:sz w:val="20"/>
                              </w:rPr>
                              <w:t>6</w:t>
                            </w:r>
                          </w:p>
                        </w:tc>
                        <w:tc>
                          <w:tcPr>
                            <w:tcW w:w="983" w:type="dxa"/>
                            <w:tcBorders>
                              <w:top w:val="single" w:sz="8" w:space="0" w:color="000000"/>
                            </w:tcBorders>
                          </w:tcPr>
                          <w:p w14:paraId="449A4077" w14:textId="77777777" w:rsidR="00AC6F3C" w:rsidRDefault="00AC6F3C">
                            <w:pPr>
                              <w:pStyle w:val="TableParagraph"/>
                              <w:rPr>
                                <w:rFonts w:ascii="Times New Roman"/>
                                <w:sz w:val="18"/>
                              </w:rPr>
                            </w:pPr>
                          </w:p>
                        </w:tc>
                        <w:tc>
                          <w:tcPr>
                            <w:tcW w:w="996" w:type="dxa"/>
                            <w:tcBorders>
                              <w:top w:val="single" w:sz="8" w:space="0" w:color="000000"/>
                            </w:tcBorders>
                          </w:tcPr>
                          <w:p w14:paraId="6CA7F43D" w14:textId="77777777" w:rsidR="00AC6F3C" w:rsidRDefault="00AC6F3C">
                            <w:pPr>
                              <w:pStyle w:val="TableParagraph"/>
                              <w:rPr>
                                <w:rFonts w:ascii="Times New Roman"/>
                                <w:sz w:val="18"/>
                              </w:rPr>
                            </w:pPr>
                          </w:p>
                        </w:tc>
                      </w:tr>
                      <w:tr w:rsidR="00AC6F3C" w14:paraId="79A164BB" w14:textId="77777777">
                        <w:trPr>
                          <w:trHeight w:val="606"/>
                        </w:trPr>
                        <w:tc>
                          <w:tcPr>
                            <w:tcW w:w="5166" w:type="dxa"/>
                            <w:tcBorders>
                              <w:bottom w:val="single" w:sz="2" w:space="0" w:color="000000"/>
                            </w:tcBorders>
                          </w:tcPr>
                          <w:p w14:paraId="1298168A" w14:textId="77777777" w:rsidR="00AC6F3C" w:rsidRDefault="00570E88">
                            <w:pPr>
                              <w:pStyle w:val="TableParagraph"/>
                              <w:tabs>
                                <w:tab w:val="left" w:pos="2758"/>
                              </w:tabs>
                              <w:spacing w:line="298" w:lineRule="exact"/>
                              <w:ind w:left="113"/>
                              <w:rPr>
                                <w:b/>
                                <w:sz w:val="20"/>
                              </w:rPr>
                            </w:pPr>
                            <w:r>
                              <w:rPr>
                                <w:position w:val="13"/>
                                <w:sz w:val="20"/>
                              </w:rPr>
                              <w:t>Pippa</w:t>
                            </w:r>
                            <w:r>
                              <w:rPr>
                                <w:spacing w:val="-5"/>
                                <w:position w:val="13"/>
                                <w:sz w:val="20"/>
                              </w:rPr>
                              <w:t xml:space="preserve"> </w:t>
                            </w:r>
                            <w:r>
                              <w:rPr>
                                <w:position w:val="13"/>
                                <w:sz w:val="20"/>
                              </w:rPr>
                              <w:t>Colman</w:t>
                            </w:r>
                            <w:r>
                              <w:rPr>
                                <w:spacing w:val="-4"/>
                                <w:position w:val="13"/>
                                <w:sz w:val="20"/>
                              </w:rPr>
                              <w:t xml:space="preserve"> </w:t>
                            </w:r>
                            <w:r>
                              <w:rPr>
                                <w:spacing w:val="-10"/>
                                <w:position w:val="13"/>
                                <w:sz w:val="20"/>
                              </w:rPr>
                              <w:t>&amp;</w:t>
                            </w:r>
                            <w:r>
                              <w:rPr>
                                <w:position w:val="13"/>
                                <w:sz w:val="20"/>
                              </w:rPr>
                              <w:tab/>
                            </w:r>
                            <w:r>
                              <w:rPr>
                                <w:b/>
                                <w:sz w:val="20"/>
                              </w:rPr>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tc>
                        <w:tc>
                          <w:tcPr>
                            <w:tcW w:w="1203" w:type="dxa"/>
                            <w:tcBorders>
                              <w:bottom w:val="single" w:sz="2" w:space="0" w:color="000000"/>
                            </w:tcBorders>
                          </w:tcPr>
                          <w:p w14:paraId="6FA574D0" w14:textId="77777777" w:rsidR="00AC6F3C" w:rsidRDefault="00AC6F3C">
                            <w:pPr>
                              <w:pStyle w:val="TableParagraph"/>
                              <w:rPr>
                                <w:rFonts w:ascii="Times New Roman"/>
                                <w:sz w:val="18"/>
                              </w:rPr>
                            </w:pPr>
                          </w:p>
                        </w:tc>
                        <w:tc>
                          <w:tcPr>
                            <w:tcW w:w="1001" w:type="dxa"/>
                            <w:tcBorders>
                              <w:bottom w:val="single" w:sz="2" w:space="0" w:color="000000"/>
                            </w:tcBorders>
                          </w:tcPr>
                          <w:p w14:paraId="397F47C0" w14:textId="77777777" w:rsidR="00AC6F3C" w:rsidRDefault="00AC6F3C">
                            <w:pPr>
                              <w:pStyle w:val="TableParagraph"/>
                              <w:rPr>
                                <w:rFonts w:ascii="Times New Roman"/>
                                <w:sz w:val="18"/>
                              </w:rPr>
                            </w:pPr>
                          </w:p>
                        </w:tc>
                        <w:tc>
                          <w:tcPr>
                            <w:tcW w:w="983" w:type="dxa"/>
                            <w:tcBorders>
                              <w:bottom w:val="single" w:sz="2" w:space="0" w:color="000000"/>
                            </w:tcBorders>
                          </w:tcPr>
                          <w:p w14:paraId="62F051B6" w14:textId="77777777" w:rsidR="00AC6F3C" w:rsidRDefault="00570E88">
                            <w:pPr>
                              <w:pStyle w:val="TableParagraph"/>
                              <w:spacing w:before="68"/>
                              <w:jc w:val="center"/>
                              <w:rPr>
                                <w:sz w:val="20"/>
                              </w:rPr>
                            </w:pPr>
                            <w:r>
                              <w:rPr>
                                <w:sz w:val="20"/>
                              </w:rPr>
                              <w:t>5</w:t>
                            </w:r>
                          </w:p>
                        </w:tc>
                        <w:tc>
                          <w:tcPr>
                            <w:tcW w:w="996" w:type="dxa"/>
                            <w:tcBorders>
                              <w:bottom w:val="single" w:sz="2" w:space="0" w:color="000000"/>
                            </w:tcBorders>
                          </w:tcPr>
                          <w:p w14:paraId="387B9F77" w14:textId="77777777" w:rsidR="00AC6F3C" w:rsidRDefault="00570E88">
                            <w:pPr>
                              <w:pStyle w:val="TableParagraph"/>
                              <w:spacing w:before="68"/>
                              <w:ind w:left="5"/>
                              <w:jc w:val="center"/>
                              <w:rPr>
                                <w:sz w:val="20"/>
                              </w:rPr>
                            </w:pPr>
                            <w:r>
                              <w:rPr>
                                <w:sz w:val="20"/>
                              </w:rPr>
                              <w:t>5</w:t>
                            </w:r>
                          </w:p>
                        </w:tc>
                      </w:tr>
                      <w:tr w:rsidR="00AC6F3C" w14:paraId="40323083" w14:textId="77777777">
                        <w:trPr>
                          <w:trHeight w:val="847"/>
                        </w:trPr>
                        <w:tc>
                          <w:tcPr>
                            <w:tcW w:w="5166" w:type="dxa"/>
                            <w:tcBorders>
                              <w:top w:val="single" w:sz="2" w:space="0" w:color="000000"/>
                              <w:bottom w:val="single" w:sz="2" w:space="0" w:color="000000"/>
                            </w:tcBorders>
                          </w:tcPr>
                          <w:p w14:paraId="3FA2453B" w14:textId="77777777" w:rsidR="00AC6F3C" w:rsidRDefault="00570E88">
                            <w:pPr>
                              <w:pStyle w:val="TableParagraph"/>
                              <w:tabs>
                                <w:tab w:val="left" w:pos="2758"/>
                              </w:tabs>
                              <w:spacing w:before="69" w:line="249" w:lineRule="auto"/>
                              <w:ind w:left="113" w:right="627"/>
                              <w:jc w:val="both"/>
                              <w:rPr>
                                <w:sz w:val="20"/>
                              </w:rPr>
                            </w:pPr>
                            <w:r>
                              <w:rPr>
                                <w:b/>
                                <w:sz w:val="20"/>
                              </w:rPr>
                              <w:t>Michele Davis</w:t>
                            </w:r>
                            <w:r>
                              <w:rPr>
                                <w:b/>
                                <w:sz w:val="20"/>
                              </w:rPr>
                              <w:tab/>
                              <w:t>Councillor</w:t>
                            </w:r>
                            <w:r>
                              <w:rPr>
                                <w:b/>
                                <w:spacing w:val="-14"/>
                                <w:sz w:val="20"/>
                              </w:rPr>
                              <w:t xml:space="preserve"> </w:t>
                            </w:r>
                            <w:r>
                              <w:rPr>
                                <w:b/>
                                <w:sz w:val="20"/>
                              </w:rPr>
                              <w:t xml:space="preserve">2022-23 </w:t>
                            </w:r>
                            <w:r>
                              <w:rPr>
                                <w:sz w:val="20"/>
                              </w:rPr>
                              <w:t>Legal</w:t>
                            </w:r>
                            <w:r>
                              <w:rPr>
                                <w:spacing w:val="-3"/>
                                <w:sz w:val="20"/>
                              </w:rPr>
                              <w:t xml:space="preserve"> </w:t>
                            </w:r>
                            <w:r>
                              <w:rPr>
                                <w:sz w:val="20"/>
                              </w:rPr>
                              <w:t>Practitioner</w:t>
                            </w:r>
                            <w:r>
                              <w:rPr>
                                <w:spacing w:val="-3"/>
                                <w:sz w:val="20"/>
                              </w:rPr>
                              <w:t xml:space="preserve"> </w:t>
                            </w:r>
                            <w:r>
                              <w:rPr>
                                <w:sz w:val="20"/>
                              </w:rPr>
                              <w:t>Director</w:t>
                            </w:r>
                            <w:r>
                              <w:rPr>
                                <w:spacing w:val="40"/>
                                <w:sz w:val="20"/>
                              </w:rPr>
                              <w:t xml:space="preserve"> </w:t>
                            </w:r>
                            <w:r>
                              <w:rPr>
                                <w:sz w:val="20"/>
                              </w:rPr>
                              <w:t>(01.07.22-30.06.23) Michele Davis Consulting</w:t>
                            </w:r>
                          </w:p>
                        </w:tc>
                        <w:tc>
                          <w:tcPr>
                            <w:tcW w:w="1203" w:type="dxa"/>
                            <w:tcBorders>
                              <w:top w:val="single" w:sz="2" w:space="0" w:color="000000"/>
                              <w:bottom w:val="single" w:sz="2" w:space="0" w:color="000000"/>
                            </w:tcBorders>
                          </w:tcPr>
                          <w:p w14:paraId="4F46C678"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6938C1DB" w14:textId="77777777" w:rsidR="00AC6F3C" w:rsidRDefault="00570E88">
                            <w:pPr>
                              <w:pStyle w:val="TableParagraph"/>
                              <w:spacing w:before="69"/>
                              <w:jc w:val="center"/>
                              <w:rPr>
                                <w:sz w:val="20"/>
                              </w:rPr>
                            </w:pPr>
                            <w:r>
                              <w:rPr>
                                <w:sz w:val="20"/>
                              </w:rPr>
                              <w:t>4</w:t>
                            </w:r>
                          </w:p>
                        </w:tc>
                        <w:tc>
                          <w:tcPr>
                            <w:tcW w:w="983" w:type="dxa"/>
                            <w:tcBorders>
                              <w:top w:val="single" w:sz="2" w:space="0" w:color="000000"/>
                              <w:bottom w:val="single" w:sz="2" w:space="0" w:color="000000"/>
                            </w:tcBorders>
                          </w:tcPr>
                          <w:p w14:paraId="4171EDB6"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4AB94252" w14:textId="77777777" w:rsidR="00AC6F3C" w:rsidRDefault="00AC6F3C">
                            <w:pPr>
                              <w:pStyle w:val="TableParagraph"/>
                              <w:rPr>
                                <w:rFonts w:ascii="Times New Roman"/>
                                <w:sz w:val="18"/>
                              </w:rPr>
                            </w:pPr>
                          </w:p>
                        </w:tc>
                      </w:tr>
                      <w:tr w:rsidR="00AC6F3C" w14:paraId="6146C3EF" w14:textId="77777777">
                        <w:trPr>
                          <w:trHeight w:val="847"/>
                        </w:trPr>
                        <w:tc>
                          <w:tcPr>
                            <w:tcW w:w="5166" w:type="dxa"/>
                            <w:tcBorders>
                              <w:top w:val="single" w:sz="2" w:space="0" w:color="000000"/>
                              <w:bottom w:val="single" w:sz="2" w:space="0" w:color="000000"/>
                            </w:tcBorders>
                          </w:tcPr>
                          <w:p w14:paraId="607BDA91" w14:textId="77777777" w:rsidR="00AC6F3C" w:rsidRDefault="00570E88">
                            <w:pPr>
                              <w:pStyle w:val="TableParagraph"/>
                              <w:tabs>
                                <w:tab w:val="left" w:pos="2758"/>
                              </w:tabs>
                              <w:spacing w:before="69"/>
                              <w:ind w:left="113"/>
                              <w:rPr>
                                <w:b/>
                                <w:sz w:val="20"/>
                              </w:rPr>
                            </w:pPr>
                            <w:r>
                              <w:rPr>
                                <w:b/>
                                <w:sz w:val="20"/>
                              </w:rPr>
                              <w:t>Genevieve</w:t>
                            </w:r>
                            <w:r>
                              <w:rPr>
                                <w:b/>
                                <w:spacing w:val="-8"/>
                                <w:sz w:val="20"/>
                              </w:rPr>
                              <w:t xml:space="preserve"> </w:t>
                            </w:r>
                            <w:r>
                              <w:rPr>
                                <w:b/>
                                <w:spacing w:val="-5"/>
                                <w:sz w:val="20"/>
                              </w:rPr>
                              <w:t>Dee</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0A7CE9BC" w14:textId="77777777" w:rsidR="00AC6F3C" w:rsidRDefault="00570E88">
                            <w:pPr>
                              <w:pStyle w:val="TableParagraph"/>
                              <w:tabs>
                                <w:tab w:val="left" w:pos="2758"/>
                              </w:tabs>
                              <w:spacing w:before="10"/>
                              <w:ind w:left="113"/>
                              <w:rPr>
                                <w:sz w:val="20"/>
                              </w:rPr>
                            </w:pPr>
                            <w:r>
                              <w:rPr>
                                <w:spacing w:val="-2"/>
                                <w:sz w:val="20"/>
                              </w:rPr>
                              <w:t>Partner</w:t>
                            </w:r>
                            <w:r>
                              <w:rPr>
                                <w:sz w:val="20"/>
                              </w:rPr>
                              <w:tab/>
                              <w:t>(01.07.22-</w:t>
                            </w:r>
                            <w:r>
                              <w:rPr>
                                <w:spacing w:val="-2"/>
                                <w:sz w:val="20"/>
                              </w:rPr>
                              <w:t>30.06.23)</w:t>
                            </w:r>
                          </w:p>
                          <w:p w14:paraId="751F8AD7" w14:textId="77777777" w:rsidR="00AC6F3C" w:rsidRDefault="00570E88">
                            <w:pPr>
                              <w:pStyle w:val="TableParagraph"/>
                              <w:spacing w:before="10"/>
                              <w:ind w:left="113"/>
                              <w:rPr>
                                <w:sz w:val="20"/>
                              </w:rPr>
                            </w:pPr>
                            <w:r>
                              <w:rPr>
                                <w:sz w:val="20"/>
                              </w:rPr>
                              <w:t xml:space="preserve">Lander &amp; </w:t>
                            </w:r>
                            <w:r>
                              <w:rPr>
                                <w:spacing w:val="-2"/>
                                <w:sz w:val="20"/>
                              </w:rPr>
                              <w:t>Rogers</w:t>
                            </w:r>
                          </w:p>
                        </w:tc>
                        <w:tc>
                          <w:tcPr>
                            <w:tcW w:w="1203" w:type="dxa"/>
                            <w:tcBorders>
                              <w:top w:val="single" w:sz="2" w:space="0" w:color="000000"/>
                              <w:bottom w:val="single" w:sz="2" w:space="0" w:color="000000"/>
                            </w:tcBorders>
                          </w:tcPr>
                          <w:p w14:paraId="561E4720"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629B7B8D" w14:textId="77777777" w:rsidR="00AC6F3C" w:rsidRDefault="00570E88">
                            <w:pPr>
                              <w:pStyle w:val="TableParagraph"/>
                              <w:spacing w:before="69"/>
                              <w:jc w:val="center"/>
                              <w:rPr>
                                <w:sz w:val="20"/>
                              </w:rPr>
                            </w:pPr>
                            <w:r>
                              <w:rPr>
                                <w:sz w:val="20"/>
                              </w:rPr>
                              <w:t>6</w:t>
                            </w:r>
                          </w:p>
                        </w:tc>
                        <w:tc>
                          <w:tcPr>
                            <w:tcW w:w="983" w:type="dxa"/>
                            <w:tcBorders>
                              <w:top w:val="single" w:sz="2" w:space="0" w:color="000000"/>
                              <w:bottom w:val="single" w:sz="2" w:space="0" w:color="000000"/>
                            </w:tcBorders>
                          </w:tcPr>
                          <w:p w14:paraId="01DFC3C4"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0065ED21" w14:textId="77777777" w:rsidR="00AC6F3C" w:rsidRDefault="00AC6F3C">
                            <w:pPr>
                              <w:pStyle w:val="TableParagraph"/>
                              <w:rPr>
                                <w:rFonts w:ascii="Times New Roman"/>
                                <w:sz w:val="18"/>
                              </w:rPr>
                            </w:pPr>
                          </w:p>
                        </w:tc>
                      </w:tr>
                      <w:tr w:rsidR="00AC6F3C" w14:paraId="64CEAB5F" w14:textId="77777777">
                        <w:trPr>
                          <w:trHeight w:val="847"/>
                        </w:trPr>
                        <w:tc>
                          <w:tcPr>
                            <w:tcW w:w="5166" w:type="dxa"/>
                            <w:tcBorders>
                              <w:top w:val="single" w:sz="2" w:space="0" w:color="000000"/>
                              <w:bottom w:val="single" w:sz="2" w:space="0" w:color="000000"/>
                            </w:tcBorders>
                          </w:tcPr>
                          <w:p w14:paraId="72D79A75" w14:textId="77777777" w:rsidR="00AC6F3C" w:rsidRDefault="00570E88">
                            <w:pPr>
                              <w:pStyle w:val="TableParagraph"/>
                              <w:tabs>
                                <w:tab w:val="left" w:pos="2758"/>
                              </w:tabs>
                              <w:spacing w:before="69"/>
                              <w:ind w:left="113"/>
                              <w:rPr>
                                <w:b/>
                                <w:sz w:val="20"/>
                              </w:rPr>
                            </w:pPr>
                            <w:r>
                              <w:rPr>
                                <w:b/>
                                <w:sz w:val="20"/>
                              </w:rPr>
                              <w:t xml:space="preserve">Sheetal </w:t>
                            </w:r>
                            <w:r>
                              <w:rPr>
                                <w:b/>
                                <w:spacing w:val="-5"/>
                                <w:sz w:val="20"/>
                              </w:rPr>
                              <w:t>Deo</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544D6700" w14:textId="77777777" w:rsidR="00AC6F3C" w:rsidRDefault="00570E88">
                            <w:pPr>
                              <w:pStyle w:val="TableParagraph"/>
                              <w:tabs>
                                <w:tab w:val="left" w:pos="2758"/>
                              </w:tabs>
                              <w:spacing w:before="10"/>
                              <w:ind w:left="113"/>
                              <w:rPr>
                                <w:sz w:val="20"/>
                              </w:rPr>
                            </w:pPr>
                            <w:r>
                              <w:rPr>
                                <w:spacing w:val="-2"/>
                                <w:sz w:val="20"/>
                              </w:rPr>
                              <w:t>Principal</w:t>
                            </w:r>
                            <w:r>
                              <w:rPr>
                                <w:sz w:val="20"/>
                              </w:rPr>
                              <w:tab/>
                              <w:t>(01.07.22-</w:t>
                            </w:r>
                            <w:r>
                              <w:rPr>
                                <w:spacing w:val="-2"/>
                                <w:sz w:val="20"/>
                              </w:rPr>
                              <w:t>30.06.23)</w:t>
                            </w:r>
                          </w:p>
                          <w:p w14:paraId="38754570" w14:textId="77777777" w:rsidR="00AC6F3C" w:rsidRDefault="00570E88">
                            <w:pPr>
                              <w:pStyle w:val="TableParagraph"/>
                              <w:spacing w:before="10"/>
                              <w:ind w:left="113"/>
                              <w:rPr>
                                <w:sz w:val="20"/>
                              </w:rPr>
                            </w:pPr>
                            <w:r>
                              <w:rPr>
                                <w:sz w:val="20"/>
                              </w:rPr>
                              <w:t>Shakti</w:t>
                            </w:r>
                            <w:r>
                              <w:rPr>
                                <w:spacing w:val="-5"/>
                                <w:sz w:val="20"/>
                              </w:rPr>
                              <w:t xml:space="preserve"> </w:t>
                            </w:r>
                            <w:r>
                              <w:rPr>
                                <w:sz w:val="20"/>
                              </w:rPr>
                              <w:t>Legal</w:t>
                            </w:r>
                            <w:r>
                              <w:rPr>
                                <w:spacing w:val="-4"/>
                                <w:sz w:val="20"/>
                              </w:rPr>
                              <w:t xml:space="preserve"> </w:t>
                            </w:r>
                            <w:r>
                              <w:rPr>
                                <w:spacing w:val="-2"/>
                                <w:sz w:val="20"/>
                              </w:rPr>
                              <w:t>Solutions</w:t>
                            </w:r>
                          </w:p>
                        </w:tc>
                        <w:tc>
                          <w:tcPr>
                            <w:tcW w:w="1203" w:type="dxa"/>
                            <w:tcBorders>
                              <w:top w:val="single" w:sz="2" w:space="0" w:color="000000"/>
                              <w:bottom w:val="single" w:sz="2" w:space="0" w:color="000000"/>
                            </w:tcBorders>
                          </w:tcPr>
                          <w:p w14:paraId="05F5BCBF"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3F56A3CF" w14:textId="77777777" w:rsidR="00AC6F3C" w:rsidRDefault="00570E88">
                            <w:pPr>
                              <w:pStyle w:val="TableParagraph"/>
                              <w:spacing w:before="69"/>
                              <w:jc w:val="center"/>
                              <w:rPr>
                                <w:sz w:val="20"/>
                              </w:rPr>
                            </w:pPr>
                            <w:r>
                              <w:rPr>
                                <w:sz w:val="20"/>
                              </w:rPr>
                              <w:t>6</w:t>
                            </w:r>
                          </w:p>
                        </w:tc>
                        <w:tc>
                          <w:tcPr>
                            <w:tcW w:w="983" w:type="dxa"/>
                            <w:tcBorders>
                              <w:top w:val="single" w:sz="2" w:space="0" w:color="000000"/>
                              <w:bottom w:val="single" w:sz="2" w:space="0" w:color="000000"/>
                            </w:tcBorders>
                          </w:tcPr>
                          <w:p w14:paraId="79D70D6B"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4A2ABE2D" w14:textId="77777777" w:rsidR="00AC6F3C" w:rsidRDefault="00AC6F3C">
                            <w:pPr>
                              <w:pStyle w:val="TableParagraph"/>
                              <w:rPr>
                                <w:rFonts w:ascii="Times New Roman"/>
                                <w:sz w:val="18"/>
                              </w:rPr>
                            </w:pPr>
                          </w:p>
                        </w:tc>
                      </w:tr>
                      <w:tr w:rsidR="00AC6F3C" w14:paraId="4480998D" w14:textId="77777777">
                        <w:trPr>
                          <w:trHeight w:val="613"/>
                        </w:trPr>
                        <w:tc>
                          <w:tcPr>
                            <w:tcW w:w="5166" w:type="dxa"/>
                            <w:tcBorders>
                              <w:top w:val="single" w:sz="2" w:space="0" w:color="000000"/>
                            </w:tcBorders>
                          </w:tcPr>
                          <w:p w14:paraId="67915259" w14:textId="77777777" w:rsidR="00AC6F3C" w:rsidRDefault="00570E88">
                            <w:pPr>
                              <w:pStyle w:val="TableParagraph"/>
                              <w:tabs>
                                <w:tab w:val="left" w:pos="2758"/>
                              </w:tabs>
                              <w:spacing w:before="69"/>
                              <w:ind w:left="113"/>
                              <w:rPr>
                                <w:b/>
                                <w:sz w:val="20"/>
                              </w:rPr>
                            </w:pPr>
                            <w:r>
                              <w:rPr>
                                <w:b/>
                                <w:sz w:val="20"/>
                              </w:rPr>
                              <w:t>Bridie</w:t>
                            </w:r>
                            <w:r>
                              <w:rPr>
                                <w:b/>
                                <w:spacing w:val="-5"/>
                                <w:sz w:val="20"/>
                              </w:rPr>
                              <w:t xml:space="preserve"> </w:t>
                            </w:r>
                            <w:r>
                              <w:rPr>
                                <w:b/>
                                <w:spacing w:val="-2"/>
                                <w:sz w:val="20"/>
                              </w:rPr>
                              <w:t>Edwards</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4D10FD51" w14:textId="77777777" w:rsidR="00AC6F3C" w:rsidRDefault="00570E88">
                            <w:pPr>
                              <w:pStyle w:val="TableParagraph"/>
                              <w:tabs>
                                <w:tab w:val="left" w:pos="2758"/>
                              </w:tabs>
                              <w:spacing w:before="10"/>
                              <w:ind w:left="113"/>
                              <w:rPr>
                                <w:sz w:val="20"/>
                              </w:rPr>
                            </w:pPr>
                            <w:r>
                              <w:rPr>
                                <w:spacing w:val="-2"/>
                                <w:sz w:val="20"/>
                              </w:rPr>
                              <w:t>Lawyer</w:t>
                            </w:r>
                            <w:r>
                              <w:rPr>
                                <w:sz w:val="20"/>
                              </w:rPr>
                              <w:tab/>
                              <w:t>(01.07.22-</w:t>
                            </w:r>
                            <w:r>
                              <w:rPr>
                                <w:spacing w:val="-2"/>
                                <w:sz w:val="20"/>
                              </w:rPr>
                              <w:t>30.06.23)</w:t>
                            </w:r>
                          </w:p>
                        </w:tc>
                        <w:tc>
                          <w:tcPr>
                            <w:tcW w:w="1203" w:type="dxa"/>
                            <w:tcBorders>
                              <w:top w:val="single" w:sz="2" w:space="0" w:color="000000"/>
                            </w:tcBorders>
                          </w:tcPr>
                          <w:p w14:paraId="1FD2F63A"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tcBorders>
                          </w:tcPr>
                          <w:p w14:paraId="7B3CD4D3" w14:textId="77777777" w:rsidR="00AC6F3C" w:rsidRDefault="00570E88">
                            <w:pPr>
                              <w:pStyle w:val="TableParagraph"/>
                              <w:spacing w:before="69"/>
                              <w:jc w:val="center"/>
                              <w:rPr>
                                <w:sz w:val="20"/>
                              </w:rPr>
                            </w:pPr>
                            <w:r>
                              <w:rPr>
                                <w:sz w:val="20"/>
                              </w:rPr>
                              <w:t>4</w:t>
                            </w:r>
                          </w:p>
                        </w:tc>
                        <w:tc>
                          <w:tcPr>
                            <w:tcW w:w="983" w:type="dxa"/>
                            <w:tcBorders>
                              <w:top w:val="single" w:sz="2" w:space="0" w:color="000000"/>
                            </w:tcBorders>
                          </w:tcPr>
                          <w:p w14:paraId="67BDA6F9" w14:textId="77777777" w:rsidR="00AC6F3C" w:rsidRDefault="00AC6F3C">
                            <w:pPr>
                              <w:pStyle w:val="TableParagraph"/>
                              <w:rPr>
                                <w:rFonts w:ascii="Times New Roman"/>
                                <w:sz w:val="18"/>
                              </w:rPr>
                            </w:pPr>
                          </w:p>
                        </w:tc>
                        <w:tc>
                          <w:tcPr>
                            <w:tcW w:w="996" w:type="dxa"/>
                            <w:tcBorders>
                              <w:top w:val="single" w:sz="2" w:space="0" w:color="000000"/>
                            </w:tcBorders>
                          </w:tcPr>
                          <w:p w14:paraId="71BB9644" w14:textId="77777777" w:rsidR="00AC6F3C" w:rsidRDefault="00AC6F3C">
                            <w:pPr>
                              <w:pStyle w:val="TableParagraph"/>
                              <w:rPr>
                                <w:rFonts w:ascii="Times New Roman"/>
                                <w:sz w:val="18"/>
                              </w:rPr>
                            </w:pPr>
                          </w:p>
                        </w:tc>
                      </w:tr>
                      <w:tr w:rsidR="00AC6F3C" w14:paraId="302E1BAA" w14:textId="77777777">
                        <w:trPr>
                          <w:trHeight w:val="606"/>
                        </w:trPr>
                        <w:tc>
                          <w:tcPr>
                            <w:tcW w:w="5166" w:type="dxa"/>
                            <w:tcBorders>
                              <w:bottom w:val="single" w:sz="2" w:space="0" w:color="000000"/>
                            </w:tcBorders>
                          </w:tcPr>
                          <w:p w14:paraId="148F90F7" w14:textId="77777777" w:rsidR="00AC6F3C" w:rsidRDefault="00570E88">
                            <w:pPr>
                              <w:pStyle w:val="TableParagraph"/>
                              <w:tabs>
                                <w:tab w:val="left" w:pos="2758"/>
                              </w:tabs>
                              <w:spacing w:line="156" w:lineRule="auto"/>
                              <w:ind w:left="113"/>
                              <w:rPr>
                                <w:b/>
                                <w:sz w:val="20"/>
                              </w:rPr>
                            </w:pPr>
                            <w:r>
                              <w:rPr>
                                <w:sz w:val="20"/>
                              </w:rPr>
                              <w:t xml:space="preserve">Bradley + Bray </w:t>
                            </w:r>
                            <w:r>
                              <w:rPr>
                                <w:spacing w:val="-2"/>
                                <w:sz w:val="20"/>
                              </w:rPr>
                              <w:t>Lawyers</w:t>
                            </w:r>
                            <w:r>
                              <w:rPr>
                                <w:sz w:val="20"/>
                              </w:rPr>
                              <w:tab/>
                            </w:r>
                            <w:r>
                              <w:rPr>
                                <w:b/>
                                <w:position w:val="-12"/>
                                <w:sz w:val="20"/>
                              </w:rPr>
                              <w:t>FRC</w:t>
                            </w:r>
                            <w:r>
                              <w:rPr>
                                <w:b/>
                                <w:spacing w:val="-6"/>
                                <w:position w:val="-12"/>
                                <w:sz w:val="20"/>
                              </w:rPr>
                              <w:t xml:space="preserve"> </w:t>
                            </w:r>
                            <w:r>
                              <w:rPr>
                                <w:b/>
                                <w:position w:val="-12"/>
                                <w:sz w:val="20"/>
                              </w:rPr>
                              <w:t>member</w:t>
                            </w:r>
                            <w:r>
                              <w:rPr>
                                <w:b/>
                                <w:spacing w:val="-6"/>
                                <w:position w:val="-12"/>
                                <w:sz w:val="20"/>
                              </w:rPr>
                              <w:t xml:space="preserve"> </w:t>
                            </w:r>
                            <w:r>
                              <w:rPr>
                                <w:b/>
                                <w:position w:val="-12"/>
                                <w:sz w:val="20"/>
                              </w:rPr>
                              <w:t>2022-</w:t>
                            </w:r>
                            <w:r>
                              <w:rPr>
                                <w:b/>
                                <w:spacing w:val="-5"/>
                                <w:position w:val="-12"/>
                                <w:sz w:val="20"/>
                              </w:rPr>
                              <w:t>23</w:t>
                            </w:r>
                          </w:p>
                          <w:p w14:paraId="62B905EE" w14:textId="77777777" w:rsidR="00AC6F3C" w:rsidRDefault="00570E88">
                            <w:pPr>
                              <w:pStyle w:val="TableParagraph"/>
                              <w:spacing w:before="26"/>
                              <w:ind w:left="2758"/>
                              <w:rPr>
                                <w:sz w:val="20"/>
                              </w:rPr>
                            </w:pPr>
                            <w:r>
                              <w:rPr>
                                <w:sz w:val="20"/>
                              </w:rPr>
                              <w:t>(07.07.22-</w:t>
                            </w:r>
                            <w:r>
                              <w:rPr>
                                <w:spacing w:val="-2"/>
                                <w:sz w:val="20"/>
                              </w:rPr>
                              <w:t>30.06.23)</w:t>
                            </w:r>
                          </w:p>
                        </w:tc>
                        <w:tc>
                          <w:tcPr>
                            <w:tcW w:w="1203" w:type="dxa"/>
                            <w:tcBorders>
                              <w:bottom w:val="single" w:sz="2" w:space="0" w:color="000000"/>
                            </w:tcBorders>
                          </w:tcPr>
                          <w:p w14:paraId="6F25701F" w14:textId="77777777" w:rsidR="00AC6F3C" w:rsidRDefault="00AC6F3C">
                            <w:pPr>
                              <w:pStyle w:val="TableParagraph"/>
                              <w:rPr>
                                <w:rFonts w:ascii="Times New Roman"/>
                                <w:sz w:val="18"/>
                              </w:rPr>
                            </w:pPr>
                          </w:p>
                        </w:tc>
                        <w:tc>
                          <w:tcPr>
                            <w:tcW w:w="1001" w:type="dxa"/>
                            <w:tcBorders>
                              <w:bottom w:val="single" w:sz="2" w:space="0" w:color="000000"/>
                            </w:tcBorders>
                          </w:tcPr>
                          <w:p w14:paraId="0A4B4E59" w14:textId="77777777" w:rsidR="00AC6F3C" w:rsidRDefault="00AC6F3C">
                            <w:pPr>
                              <w:pStyle w:val="TableParagraph"/>
                              <w:rPr>
                                <w:rFonts w:ascii="Times New Roman"/>
                                <w:sz w:val="18"/>
                              </w:rPr>
                            </w:pPr>
                          </w:p>
                        </w:tc>
                        <w:tc>
                          <w:tcPr>
                            <w:tcW w:w="983" w:type="dxa"/>
                            <w:tcBorders>
                              <w:bottom w:val="single" w:sz="2" w:space="0" w:color="000000"/>
                            </w:tcBorders>
                          </w:tcPr>
                          <w:p w14:paraId="06097431" w14:textId="77777777" w:rsidR="00AC6F3C" w:rsidRDefault="00570E88">
                            <w:pPr>
                              <w:pStyle w:val="TableParagraph"/>
                              <w:spacing w:before="68"/>
                              <w:jc w:val="center"/>
                              <w:rPr>
                                <w:sz w:val="20"/>
                              </w:rPr>
                            </w:pPr>
                            <w:r>
                              <w:rPr>
                                <w:sz w:val="20"/>
                              </w:rPr>
                              <w:t>5</w:t>
                            </w:r>
                          </w:p>
                        </w:tc>
                        <w:tc>
                          <w:tcPr>
                            <w:tcW w:w="996" w:type="dxa"/>
                            <w:tcBorders>
                              <w:bottom w:val="single" w:sz="2" w:space="0" w:color="000000"/>
                            </w:tcBorders>
                          </w:tcPr>
                          <w:p w14:paraId="33BB36B2" w14:textId="77777777" w:rsidR="00AC6F3C" w:rsidRDefault="00570E88">
                            <w:pPr>
                              <w:pStyle w:val="TableParagraph"/>
                              <w:spacing w:before="68"/>
                              <w:ind w:left="5"/>
                              <w:jc w:val="center"/>
                              <w:rPr>
                                <w:sz w:val="20"/>
                              </w:rPr>
                            </w:pPr>
                            <w:r>
                              <w:rPr>
                                <w:sz w:val="20"/>
                              </w:rPr>
                              <w:t>3</w:t>
                            </w:r>
                          </w:p>
                        </w:tc>
                      </w:tr>
                      <w:tr w:rsidR="00AC6F3C" w14:paraId="0DE84877" w14:textId="77777777">
                        <w:trPr>
                          <w:trHeight w:val="847"/>
                        </w:trPr>
                        <w:tc>
                          <w:tcPr>
                            <w:tcW w:w="5166" w:type="dxa"/>
                            <w:tcBorders>
                              <w:top w:val="single" w:sz="2" w:space="0" w:color="000000"/>
                              <w:bottom w:val="single" w:sz="2" w:space="0" w:color="000000"/>
                            </w:tcBorders>
                          </w:tcPr>
                          <w:p w14:paraId="73E809CB" w14:textId="77777777" w:rsidR="00AC6F3C" w:rsidRDefault="00570E88">
                            <w:pPr>
                              <w:pStyle w:val="TableParagraph"/>
                              <w:tabs>
                                <w:tab w:val="left" w:pos="2758"/>
                              </w:tabs>
                              <w:spacing w:before="69"/>
                              <w:ind w:left="113"/>
                              <w:rPr>
                                <w:b/>
                                <w:sz w:val="20"/>
                              </w:rPr>
                            </w:pPr>
                            <w:r>
                              <w:rPr>
                                <w:b/>
                                <w:sz w:val="20"/>
                              </w:rPr>
                              <w:t>Peter</w:t>
                            </w:r>
                            <w:r>
                              <w:rPr>
                                <w:b/>
                                <w:spacing w:val="-4"/>
                                <w:sz w:val="20"/>
                              </w:rPr>
                              <w:t xml:space="preserve"> </w:t>
                            </w:r>
                            <w:r>
                              <w:rPr>
                                <w:b/>
                                <w:spacing w:val="-2"/>
                                <w:sz w:val="20"/>
                              </w:rPr>
                              <w:t>Jolly</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27CCA410" w14:textId="77777777" w:rsidR="00AC6F3C" w:rsidRDefault="00570E88">
                            <w:pPr>
                              <w:pStyle w:val="TableParagraph"/>
                              <w:tabs>
                                <w:tab w:val="left" w:pos="2758"/>
                              </w:tabs>
                              <w:spacing w:before="10"/>
                              <w:ind w:left="113"/>
                              <w:rPr>
                                <w:sz w:val="20"/>
                              </w:rPr>
                            </w:pPr>
                            <w:r>
                              <w:rPr>
                                <w:spacing w:val="-2"/>
                                <w:sz w:val="20"/>
                              </w:rPr>
                              <w:t>Partner</w:t>
                            </w:r>
                            <w:r>
                              <w:rPr>
                                <w:sz w:val="20"/>
                              </w:rPr>
                              <w:tab/>
                              <w:t>(01.07.22-</w:t>
                            </w:r>
                            <w:r>
                              <w:rPr>
                                <w:spacing w:val="-2"/>
                                <w:sz w:val="20"/>
                              </w:rPr>
                              <w:t>30.06.23)</w:t>
                            </w:r>
                          </w:p>
                          <w:p w14:paraId="70BEC244" w14:textId="77777777" w:rsidR="00AC6F3C" w:rsidRDefault="00570E88">
                            <w:pPr>
                              <w:pStyle w:val="TableParagraph"/>
                              <w:spacing w:before="10"/>
                              <w:ind w:left="113"/>
                              <w:rPr>
                                <w:sz w:val="20"/>
                              </w:rPr>
                            </w:pPr>
                            <w:r>
                              <w:rPr>
                                <w:sz w:val="20"/>
                              </w:rPr>
                              <w:t>Thynne</w:t>
                            </w:r>
                            <w:r>
                              <w:rPr>
                                <w:spacing w:val="-3"/>
                                <w:sz w:val="20"/>
                              </w:rPr>
                              <w:t xml:space="preserve"> </w:t>
                            </w:r>
                            <w:r>
                              <w:rPr>
                                <w:sz w:val="20"/>
                              </w:rPr>
                              <w:t>+</w:t>
                            </w:r>
                            <w:r>
                              <w:rPr>
                                <w:spacing w:val="-2"/>
                                <w:sz w:val="20"/>
                              </w:rPr>
                              <w:t xml:space="preserve"> Macartney</w:t>
                            </w:r>
                          </w:p>
                        </w:tc>
                        <w:tc>
                          <w:tcPr>
                            <w:tcW w:w="1203" w:type="dxa"/>
                            <w:tcBorders>
                              <w:top w:val="single" w:sz="2" w:space="0" w:color="000000"/>
                              <w:bottom w:val="single" w:sz="2" w:space="0" w:color="000000"/>
                            </w:tcBorders>
                          </w:tcPr>
                          <w:p w14:paraId="612F9D57" w14:textId="77777777" w:rsidR="00AC6F3C" w:rsidRDefault="00570E88">
                            <w:pPr>
                              <w:pStyle w:val="TableParagraph"/>
                              <w:spacing w:before="69"/>
                              <w:ind w:left="219"/>
                              <w:jc w:val="center"/>
                              <w:rPr>
                                <w:sz w:val="20"/>
                              </w:rPr>
                            </w:pPr>
                            <w:r>
                              <w:rPr>
                                <w:sz w:val="20"/>
                              </w:rPr>
                              <w:t>7</w:t>
                            </w:r>
                          </w:p>
                        </w:tc>
                        <w:tc>
                          <w:tcPr>
                            <w:tcW w:w="1001" w:type="dxa"/>
                            <w:tcBorders>
                              <w:top w:val="single" w:sz="2" w:space="0" w:color="000000"/>
                              <w:bottom w:val="single" w:sz="2" w:space="0" w:color="000000"/>
                            </w:tcBorders>
                          </w:tcPr>
                          <w:p w14:paraId="7AB40F82" w14:textId="77777777" w:rsidR="00AC6F3C" w:rsidRDefault="00570E88">
                            <w:pPr>
                              <w:pStyle w:val="TableParagraph"/>
                              <w:spacing w:before="69"/>
                              <w:jc w:val="center"/>
                              <w:rPr>
                                <w:sz w:val="20"/>
                              </w:rPr>
                            </w:pPr>
                            <w:r>
                              <w:rPr>
                                <w:sz w:val="20"/>
                              </w:rPr>
                              <w:t>7</w:t>
                            </w:r>
                          </w:p>
                        </w:tc>
                        <w:tc>
                          <w:tcPr>
                            <w:tcW w:w="983" w:type="dxa"/>
                            <w:tcBorders>
                              <w:top w:val="single" w:sz="2" w:space="0" w:color="000000"/>
                              <w:bottom w:val="single" w:sz="2" w:space="0" w:color="000000"/>
                            </w:tcBorders>
                          </w:tcPr>
                          <w:p w14:paraId="68C3E68F"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3E70F15D" w14:textId="77777777" w:rsidR="00AC6F3C" w:rsidRDefault="00AC6F3C">
                            <w:pPr>
                              <w:pStyle w:val="TableParagraph"/>
                              <w:rPr>
                                <w:rFonts w:ascii="Times New Roman"/>
                                <w:sz w:val="18"/>
                              </w:rPr>
                            </w:pPr>
                          </w:p>
                        </w:tc>
                      </w:tr>
                      <w:tr w:rsidR="00AC6F3C" w14:paraId="3627FE11" w14:textId="77777777">
                        <w:trPr>
                          <w:trHeight w:val="613"/>
                        </w:trPr>
                        <w:tc>
                          <w:tcPr>
                            <w:tcW w:w="5166" w:type="dxa"/>
                            <w:tcBorders>
                              <w:top w:val="single" w:sz="2" w:space="0" w:color="000000"/>
                            </w:tcBorders>
                          </w:tcPr>
                          <w:p w14:paraId="2330C23E" w14:textId="77777777" w:rsidR="00AC6F3C" w:rsidRDefault="00570E88">
                            <w:pPr>
                              <w:pStyle w:val="TableParagraph"/>
                              <w:tabs>
                                <w:tab w:val="left" w:pos="2758"/>
                              </w:tabs>
                              <w:spacing w:before="69"/>
                              <w:ind w:left="113"/>
                              <w:rPr>
                                <w:b/>
                                <w:sz w:val="20"/>
                              </w:rPr>
                            </w:pPr>
                            <w:r>
                              <w:rPr>
                                <w:b/>
                                <w:sz w:val="20"/>
                              </w:rPr>
                              <w:t xml:space="preserve">Justin </w:t>
                            </w:r>
                            <w:r>
                              <w:rPr>
                                <w:b/>
                                <w:spacing w:val="-2"/>
                                <w:sz w:val="20"/>
                              </w:rPr>
                              <w:t>McDonnell</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2098832A" w14:textId="77777777" w:rsidR="00AC6F3C" w:rsidRDefault="00570E88">
                            <w:pPr>
                              <w:pStyle w:val="TableParagraph"/>
                              <w:tabs>
                                <w:tab w:val="left" w:pos="2758"/>
                              </w:tabs>
                              <w:spacing w:before="10"/>
                              <w:ind w:left="113"/>
                              <w:rPr>
                                <w:sz w:val="20"/>
                              </w:rPr>
                            </w:pPr>
                            <w:r>
                              <w:rPr>
                                <w:sz w:val="20"/>
                              </w:rPr>
                              <w:t xml:space="preserve">Senior </w:t>
                            </w:r>
                            <w:r>
                              <w:rPr>
                                <w:spacing w:val="-2"/>
                                <w:sz w:val="20"/>
                              </w:rPr>
                              <w:t>Consultant</w:t>
                            </w:r>
                            <w:r>
                              <w:rPr>
                                <w:sz w:val="20"/>
                              </w:rPr>
                              <w:tab/>
                              <w:t>(16.09.22-</w:t>
                            </w:r>
                            <w:r>
                              <w:rPr>
                                <w:spacing w:val="-2"/>
                                <w:sz w:val="20"/>
                              </w:rPr>
                              <w:t>30.06.23)</w:t>
                            </w:r>
                          </w:p>
                        </w:tc>
                        <w:tc>
                          <w:tcPr>
                            <w:tcW w:w="1203" w:type="dxa"/>
                            <w:tcBorders>
                              <w:top w:val="single" w:sz="2" w:space="0" w:color="000000"/>
                            </w:tcBorders>
                          </w:tcPr>
                          <w:p w14:paraId="15ECB668" w14:textId="77777777" w:rsidR="00AC6F3C" w:rsidRDefault="00570E88">
                            <w:pPr>
                              <w:pStyle w:val="TableParagraph"/>
                              <w:spacing w:before="69"/>
                              <w:ind w:left="219"/>
                              <w:jc w:val="center"/>
                              <w:rPr>
                                <w:sz w:val="20"/>
                              </w:rPr>
                            </w:pPr>
                            <w:r>
                              <w:rPr>
                                <w:sz w:val="20"/>
                              </w:rPr>
                              <w:t>6</w:t>
                            </w:r>
                          </w:p>
                        </w:tc>
                        <w:tc>
                          <w:tcPr>
                            <w:tcW w:w="1001" w:type="dxa"/>
                            <w:tcBorders>
                              <w:top w:val="single" w:sz="2" w:space="0" w:color="000000"/>
                            </w:tcBorders>
                          </w:tcPr>
                          <w:p w14:paraId="351E6695" w14:textId="77777777" w:rsidR="00AC6F3C" w:rsidRDefault="00570E88">
                            <w:pPr>
                              <w:pStyle w:val="TableParagraph"/>
                              <w:spacing w:before="69"/>
                              <w:jc w:val="center"/>
                              <w:rPr>
                                <w:sz w:val="20"/>
                              </w:rPr>
                            </w:pPr>
                            <w:r>
                              <w:rPr>
                                <w:sz w:val="20"/>
                              </w:rPr>
                              <w:t>6</w:t>
                            </w:r>
                          </w:p>
                        </w:tc>
                        <w:tc>
                          <w:tcPr>
                            <w:tcW w:w="983" w:type="dxa"/>
                            <w:tcBorders>
                              <w:top w:val="single" w:sz="2" w:space="0" w:color="000000"/>
                            </w:tcBorders>
                          </w:tcPr>
                          <w:p w14:paraId="6A5241CF" w14:textId="77777777" w:rsidR="00AC6F3C" w:rsidRDefault="00AC6F3C">
                            <w:pPr>
                              <w:pStyle w:val="TableParagraph"/>
                              <w:rPr>
                                <w:rFonts w:ascii="Times New Roman"/>
                                <w:sz w:val="18"/>
                              </w:rPr>
                            </w:pPr>
                          </w:p>
                        </w:tc>
                        <w:tc>
                          <w:tcPr>
                            <w:tcW w:w="996" w:type="dxa"/>
                            <w:tcBorders>
                              <w:top w:val="single" w:sz="2" w:space="0" w:color="000000"/>
                            </w:tcBorders>
                          </w:tcPr>
                          <w:p w14:paraId="70B3A0AD" w14:textId="77777777" w:rsidR="00AC6F3C" w:rsidRDefault="00AC6F3C">
                            <w:pPr>
                              <w:pStyle w:val="TableParagraph"/>
                              <w:rPr>
                                <w:rFonts w:ascii="Times New Roman"/>
                                <w:sz w:val="18"/>
                              </w:rPr>
                            </w:pPr>
                          </w:p>
                        </w:tc>
                      </w:tr>
                      <w:tr w:rsidR="00AC6F3C" w14:paraId="1995EA02" w14:textId="77777777">
                        <w:trPr>
                          <w:trHeight w:val="606"/>
                        </w:trPr>
                        <w:tc>
                          <w:tcPr>
                            <w:tcW w:w="5166" w:type="dxa"/>
                            <w:tcBorders>
                              <w:bottom w:val="single" w:sz="2" w:space="0" w:color="000000"/>
                            </w:tcBorders>
                          </w:tcPr>
                          <w:p w14:paraId="374A9756" w14:textId="77777777" w:rsidR="00AC6F3C" w:rsidRDefault="00570E88">
                            <w:pPr>
                              <w:pStyle w:val="TableParagraph"/>
                              <w:tabs>
                                <w:tab w:val="left" w:pos="2758"/>
                              </w:tabs>
                              <w:spacing w:line="156" w:lineRule="auto"/>
                              <w:ind w:left="113"/>
                              <w:rPr>
                                <w:b/>
                                <w:sz w:val="20"/>
                              </w:rPr>
                            </w:pPr>
                            <w:r>
                              <w:rPr>
                                <w:sz w:val="20"/>
                              </w:rPr>
                              <w:t>King</w:t>
                            </w:r>
                            <w:r>
                              <w:rPr>
                                <w:spacing w:val="-3"/>
                                <w:sz w:val="20"/>
                              </w:rPr>
                              <w:t xml:space="preserve"> </w:t>
                            </w:r>
                            <w:r>
                              <w:rPr>
                                <w:sz w:val="20"/>
                              </w:rPr>
                              <w:t>&amp;</w:t>
                            </w:r>
                            <w:r>
                              <w:rPr>
                                <w:spacing w:val="-3"/>
                                <w:sz w:val="20"/>
                              </w:rPr>
                              <w:t xml:space="preserve"> </w:t>
                            </w:r>
                            <w:r>
                              <w:rPr>
                                <w:sz w:val="20"/>
                              </w:rPr>
                              <w:t>Wood</w:t>
                            </w:r>
                            <w:r>
                              <w:rPr>
                                <w:spacing w:val="-3"/>
                                <w:sz w:val="20"/>
                              </w:rPr>
                              <w:t xml:space="preserve"> </w:t>
                            </w:r>
                            <w:r>
                              <w:rPr>
                                <w:spacing w:val="-2"/>
                                <w:sz w:val="20"/>
                              </w:rPr>
                              <w:t>Mallesons</w:t>
                            </w:r>
                            <w:r>
                              <w:rPr>
                                <w:sz w:val="20"/>
                              </w:rPr>
                              <w:tab/>
                            </w:r>
                            <w:r>
                              <w:rPr>
                                <w:b/>
                                <w:position w:val="-12"/>
                                <w:sz w:val="20"/>
                              </w:rPr>
                              <w:t>FRC</w:t>
                            </w:r>
                            <w:r>
                              <w:rPr>
                                <w:b/>
                                <w:spacing w:val="-4"/>
                                <w:position w:val="-12"/>
                                <w:sz w:val="20"/>
                              </w:rPr>
                              <w:t xml:space="preserve"> </w:t>
                            </w:r>
                            <w:r>
                              <w:rPr>
                                <w:b/>
                                <w:position w:val="-12"/>
                                <w:sz w:val="20"/>
                              </w:rPr>
                              <w:t>member</w:t>
                            </w:r>
                            <w:r>
                              <w:rPr>
                                <w:b/>
                                <w:spacing w:val="-3"/>
                                <w:position w:val="-12"/>
                                <w:sz w:val="20"/>
                              </w:rPr>
                              <w:t xml:space="preserve"> </w:t>
                            </w:r>
                            <w:r>
                              <w:rPr>
                                <w:b/>
                                <w:spacing w:val="-4"/>
                                <w:position w:val="-12"/>
                                <w:sz w:val="20"/>
                              </w:rPr>
                              <w:t>2023</w:t>
                            </w:r>
                          </w:p>
                          <w:p w14:paraId="439C8AD2" w14:textId="77777777" w:rsidR="00AC6F3C" w:rsidRDefault="00570E88">
                            <w:pPr>
                              <w:pStyle w:val="TableParagraph"/>
                              <w:spacing w:before="26"/>
                              <w:ind w:left="2758"/>
                              <w:rPr>
                                <w:sz w:val="20"/>
                              </w:rPr>
                            </w:pPr>
                            <w:r>
                              <w:rPr>
                                <w:sz w:val="20"/>
                              </w:rPr>
                              <w:t>(01.01.23-</w:t>
                            </w:r>
                            <w:r>
                              <w:rPr>
                                <w:spacing w:val="-2"/>
                                <w:sz w:val="20"/>
                              </w:rPr>
                              <w:t>30.06.23)</w:t>
                            </w:r>
                          </w:p>
                        </w:tc>
                        <w:tc>
                          <w:tcPr>
                            <w:tcW w:w="1203" w:type="dxa"/>
                            <w:tcBorders>
                              <w:bottom w:val="single" w:sz="2" w:space="0" w:color="000000"/>
                            </w:tcBorders>
                          </w:tcPr>
                          <w:p w14:paraId="67866630" w14:textId="77777777" w:rsidR="00AC6F3C" w:rsidRDefault="00AC6F3C">
                            <w:pPr>
                              <w:pStyle w:val="TableParagraph"/>
                              <w:rPr>
                                <w:rFonts w:ascii="Times New Roman"/>
                                <w:sz w:val="18"/>
                              </w:rPr>
                            </w:pPr>
                          </w:p>
                        </w:tc>
                        <w:tc>
                          <w:tcPr>
                            <w:tcW w:w="1001" w:type="dxa"/>
                            <w:tcBorders>
                              <w:bottom w:val="single" w:sz="2" w:space="0" w:color="000000"/>
                            </w:tcBorders>
                          </w:tcPr>
                          <w:p w14:paraId="2A0B3FB7" w14:textId="77777777" w:rsidR="00AC6F3C" w:rsidRDefault="00AC6F3C">
                            <w:pPr>
                              <w:pStyle w:val="TableParagraph"/>
                              <w:rPr>
                                <w:rFonts w:ascii="Times New Roman"/>
                                <w:sz w:val="18"/>
                              </w:rPr>
                            </w:pPr>
                          </w:p>
                        </w:tc>
                        <w:tc>
                          <w:tcPr>
                            <w:tcW w:w="983" w:type="dxa"/>
                            <w:tcBorders>
                              <w:bottom w:val="single" w:sz="2" w:space="0" w:color="000000"/>
                            </w:tcBorders>
                          </w:tcPr>
                          <w:p w14:paraId="0C982820" w14:textId="77777777" w:rsidR="00AC6F3C" w:rsidRDefault="00570E88">
                            <w:pPr>
                              <w:pStyle w:val="TableParagraph"/>
                              <w:spacing w:before="68"/>
                              <w:jc w:val="center"/>
                              <w:rPr>
                                <w:sz w:val="20"/>
                              </w:rPr>
                            </w:pPr>
                            <w:r>
                              <w:rPr>
                                <w:sz w:val="20"/>
                              </w:rPr>
                              <w:t>3</w:t>
                            </w:r>
                          </w:p>
                        </w:tc>
                        <w:tc>
                          <w:tcPr>
                            <w:tcW w:w="996" w:type="dxa"/>
                            <w:tcBorders>
                              <w:bottom w:val="single" w:sz="2" w:space="0" w:color="000000"/>
                            </w:tcBorders>
                          </w:tcPr>
                          <w:p w14:paraId="44480288" w14:textId="77777777" w:rsidR="00AC6F3C" w:rsidRDefault="00570E88">
                            <w:pPr>
                              <w:pStyle w:val="TableParagraph"/>
                              <w:spacing w:before="68"/>
                              <w:ind w:left="5"/>
                              <w:jc w:val="center"/>
                              <w:rPr>
                                <w:sz w:val="20"/>
                              </w:rPr>
                            </w:pPr>
                            <w:r>
                              <w:rPr>
                                <w:sz w:val="20"/>
                              </w:rPr>
                              <w:t>3</w:t>
                            </w:r>
                          </w:p>
                        </w:tc>
                      </w:tr>
                      <w:tr w:rsidR="00AC6F3C" w14:paraId="753C6A2E" w14:textId="77777777">
                        <w:trPr>
                          <w:trHeight w:val="613"/>
                        </w:trPr>
                        <w:tc>
                          <w:tcPr>
                            <w:tcW w:w="5166" w:type="dxa"/>
                            <w:tcBorders>
                              <w:top w:val="single" w:sz="2" w:space="0" w:color="000000"/>
                            </w:tcBorders>
                          </w:tcPr>
                          <w:p w14:paraId="273F16F6" w14:textId="77777777" w:rsidR="00AC6F3C" w:rsidRDefault="00570E88">
                            <w:pPr>
                              <w:pStyle w:val="TableParagraph"/>
                              <w:tabs>
                                <w:tab w:val="left" w:pos="2758"/>
                              </w:tabs>
                              <w:spacing w:before="69"/>
                              <w:ind w:left="113"/>
                              <w:rPr>
                                <w:b/>
                                <w:sz w:val="20"/>
                              </w:rPr>
                            </w:pPr>
                            <w:r>
                              <w:rPr>
                                <w:b/>
                                <w:sz w:val="20"/>
                              </w:rPr>
                              <w:t xml:space="preserve">Dan </w:t>
                            </w:r>
                            <w:r>
                              <w:rPr>
                                <w:b/>
                                <w:spacing w:val="-2"/>
                                <w:sz w:val="20"/>
                              </w:rPr>
                              <w:t>Rogers</w:t>
                            </w:r>
                            <w:r>
                              <w:rPr>
                                <w:b/>
                                <w:sz w:val="20"/>
                              </w:rPr>
                              <w:tab/>
                            </w:r>
                            <w:r>
                              <w:rPr>
                                <w:b/>
                                <w:spacing w:val="-2"/>
                                <w:sz w:val="20"/>
                              </w:rPr>
                              <w:t>Councillor</w:t>
                            </w:r>
                            <w:r>
                              <w:rPr>
                                <w:b/>
                                <w:spacing w:val="16"/>
                                <w:sz w:val="20"/>
                              </w:rPr>
                              <w:t xml:space="preserve"> </w:t>
                            </w:r>
                            <w:r>
                              <w:rPr>
                                <w:b/>
                                <w:spacing w:val="-2"/>
                                <w:sz w:val="20"/>
                              </w:rPr>
                              <w:t>2022-</w:t>
                            </w:r>
                            <w:r>
                              <w:rPr>
                                <w:b/>
                                <w:spacing w:val="-5"/>
                                <w:sz w:val="20"/>
                              </w:rPr>
                              <w:t>23</w:t>
                            </w:r>
                          </w:p>
                          <w:p w14:paraId="3A6092BD" w14:textId="77777777" w:rsidR="00AC6F3C" w:rsidRDefault="00570E88">
                            <w:pPr>
                              <w:pStyle w:val="TableParagraph"/>
                              <w:tabs>
                                <w:tab w:val="left" w:pos="2758"/>
                              </w:tabs>
                              <w:spacing w:before="10"/>
                              <w:ind w:left="113"/>
                              <w:rPr>
                                <w:sz w:val="20"/>
                              </w:rPr>
                            </w:pPr>
                            <w:r>
                              <w:rPr>
                                <w:sz w:val="20"/>
                              </w:rPr>
                              <w:t>Legal</w:t>
                            </w:r>
                            <w:r>
                              <w:rPr>
                                <w:spacing w:val="-4"/>
                                <w:sz w:val="20"/>
                              </w:rPr>
                              <w:t xml:space="preserve"> </w:t>
                            </w:r>
                            <w:r>
                              <w:rPr>
                                <w:spacing w:val="-2"/>
                                <w:sz w:val="20"/>
                              </w:rPr>
                              <w:t>Director</w:t>
                            </w:r>
                            <w:r>
                              <w:rPr>
                                <w:sz w:val="20"/>
                              </w:rPr>
                              <w:tab/>
                              <w:t>(26.10.22-</w:t>
                            </w:r>
                            <w:r>
                              <w:rPr>
                                <w:spacing w:val="-2"/>
                                <w:sz w:val="20"/>
                              </w:rPr>
                              <w:t>30.06.23)</w:t>
                            </w:r>
                          </w:p>
                        </w:tc>
                        <w:tc>
                          <w:tcPr>
                            <w:tcW w:w="1203" w:type="dxa"/>
                            <w:tcBorders>
                              <w:top w:val="single" w:sz="2" w:space="0" w:color="000000"/>
                            </w:tcBorders>
                          </w:tcPr>
                          <w:p w14:paraId="25EA3F6B" w14:textId="77777777" w:rsidR="00AC6F3C" w:rsidRDefault="00570E88">
                            <w:pPr>
                              <w:pStyle w:val="TableParagraph"/>
                              <w:spacing w:before="69"/>
                              <w:ind w:left="219"/>
                              <w:jc w:val="center"/>
                              <w:rPr>
                                <w:sz w:val="20"/>
                              </w:rPr>
                            </w:pPr>
                            <w:r>
                              <w:rPr>
                                <w:sz w:val="20"/>
                              </w:rPr>
                              <w:t>6</w:t>
                            </w:r>
                          </w:p>
                        </w:tc>
                        <w:tc>
                          <w:tcPr>
                            <w:tcW w:w="1001" w:type="dxa"/>
                            <w:tcBorders>
                              <w:top w:val="single" w:sz="2" w:space="0" w:color="000000"/>
                            </w:tcBorders>
                          </w:tcPr>
                          <w:p w14:paraId="268FAEC9" w14:textId="77777777" w:rsidR="00AC6F3C" w:rsidRDefault="00570E88">
                            <w:pPr>
                              <w:pStyle w:val="TableParagraph"/>
                              <w:spacing w:before="69"/>
                              <w:jc w:val="center"/>
                              <w:rPr>
                                <w:sz w:val="20"/>
                              </w:rPr>
                            </w:pPr>
                            <w:r>
                              <w:rPr>
                                <w:sz w:val="20"/>
                              </w:rPr>
                              <w:t>6</w:t>
                            </w:r>
                          </w:p>
                        </w:tc>
                        <w:tc>
                          <w:tcPr>
                            <w:tcW w:w="983" w:type="dxa"/>
                            <w:tcBorders>
                              <w:top w:val="single" w:sz="2" w:space="0" w:color="000000"/>
                            </w:tcBorders>
                          </w:tcPr>
                          <w:p w14:paraId="7131105C" w14:textId="77777777" w:rsidR="00AC6F3C" w:rsidRDefault="00AC6F3C">
                            <w:pPr>
                              <w:pStyle w:val="TableParagraph"/>
                              <w:rPr>
                                <w:rFonts w:ascii="Times New Roman"/>
                                <w:sz w:val="18"/>
                              </w:rPr>
                            </w:pPr>
                          </w:p>
                        </w:tc>
                        <w:tc>
                          <w:tcPr>
                            <w:tcW w:w="996" w:type="dxa"/>
                            <w:tcBorders>
                              <w:top w:val="single" w:sz="2" w:space="0" w:color="000000"/>
                            </w:tcBorders>
                          </w:tcPr>
                          <w:p w14:paraId="024D943C" w14:textId="77777777" w:rsidR="00AC6F3C" w:rsidRDefault="00AC6F3C">
                            <w:pPr>
                              <w:pStyle w:val="TableParagraph"/>
                              <w:rPr>
                                <w:rFonts w:ascii="Times New Roman"/>
                                <w:sz w:val="18"/>
                              </w:rPr>
                            </w:pPr>
                          </w:p>
                        </w:tc>
                      </w:tr>
                      <w:tr w:rsidR="00AC6F3C" w14:paraId="2F0EECB7" w14:textId="77777777">
                        <w:trPr>
                          <w:trHeight w:val="606"/>
                        </w:trPr>
                        <w:tc>
                          <w:tcPr>
                            <w:tcW w:w="5166" w:type="dxa"/>
                            <w:tcBorders>
                              <w:bottom w:val="single" w:sz="2" w:space="0" w:color="000000"/>
                            </w:tcBorders>
                          </w:tcPr>
                          <w:p w14:paraId="29C2633F" w14:textId="77777777" w:rsidR="00AC6F3C" w:rsidRDefault="00570E88">
                            <w:pPr>
                              <w:pStyle w:val="TableParagraph"/>
                              <w:tabs>
                                <w:tab w:val="left" w:pos="2758"/>
                              </w:tabs>
                              <w:spacing w:line="156" w:lineRule="auto"/>
                              <w:ind w:left="113"/>
                              <w:rPr>
                                <w:b/>
                                <w:sz w:val="20"/>
                              </w:rPr>
                            </w:pPr>
                            <w:r>
                              <w:rPr>
                                <w:sz w:val="20"/>
                              </w:rPr>
                              <w:t>Robertson</w:t>
                            </w:r>
                            <w:r>
                              <w:rPr>
                                <w:spacing w:val="-8"/>
                                <w:sz w:val="20"/>
                              </w:rPr>
                              <w:t xml:space="preserve"> </w:t>
                            </w:r>
                            <w:r>
                              <w:rPr>
                                <w:spacing w:val="-2"/>
                                <w:sz w:val="20"/>
                              </w:rPr>
                              <w:t>O’Gorman</w:t>
                            </w:r>
                            <w:r>
                              <w:rPr>
                                <w:sz w:val="20"/>
                              </w:rPr>
                              <w:tab/>
                            </w:r>
                            <w:r>
                              <w:rPr>
                                <w:b/>
                                <w:position w:val="-12"/>
                                <w:sz w:val="20"/>
                              </w:rPr>
                              <w:t>FRC</w:t>
                            </w:r>
                            <w:r>
                              <w:rPr>
                                <w:b/>
                                <w:spacing w:val="-4"/>
                                <w:position w:val="-12"/>
                                <w:sz w:val="20"/>
                              </w:rPr>
                              <w:t xml:space="preserve"> </w:t>
                            </w:r>
                            <w:r>
                              <w:rPr>
                                <w:b/>
                                <w:position w:val="-12"/>
                                <w:sz w:val="20"/>
                              </w:rPr>
                              <w:t>member</w:t>
                            </w:r>
                            <w:r>
                              <w:rPr>
                                <w:b/>
                                <w:spacing w:val="-3"/>
                                <w:position w:val="-12"/>
                                <w:sz w:val="20"/>
                              </w:rPr>
                              <w:t xml:space="preserve"> </w:t>
                            </w:r>
                            <w:r>
                              <w:rPr>
                                <w:b/>
                                <w:spacing w:val="-4"/>
                                <w:position w:val="-12"/>
                                <w:sz w:val="20"/>
                              </w:rPr>
                              <w:t>2023</w:t>
                            </w:r>
                          </w:p>
                          <w:p w14:paraId="21662E19" w14:textId="77777777" w:rsidR="00AC6F3C" w:rsidRDefault="00570E88">
                            <w:pPr>
                              <w:pStyle w:val="TableParagraph"/>
                              <w:spacing w:before="26"/>
                              <w:ind w:left="2758"/>
                              <w:rPr>
                                <w:sz w:val="20"/>
                              </w:rPr>
                            </w:pPr>
                            <w:r>
                              <w:rPr>
                                <w:sz w:val="20"/>
                              </w:rPr>
                              <w:t>(01.01.23-</w:t>
                            </w:r>
                            <w:r>
                              <w:rPr>
                                <w:spacing w:val="-2"/>
                                <w:sz w:val="20"/>
                              </w:rPr>
                              <w:t>30.06.23)</w:t>
                            </w:r>
                          </w:p>
                        </w:tc>
                        <w:tc>
                          <w:tcPr>
                            <w:tcW w:w="1203" w:type="dxa"/>
                            <w:tcBorders>
                              <w:bottom w:val="single" w:sz="2" w:space="0" w:color="000000"/>
                            </w:tcBorders>
                          </w:tcPr>
                          <w:p w14:paraId="68033020" w14:textId="77777777" w:rsidR="00AC6F3C" w:rsidRDefault="00AC6F3C">
                            <w:pPr>
                              <w:pStyle w:val="TableParagraph"/>
                              <w:rPr>
                                <w:rFonts w:ascii="Times New Roman"/>
                                <w:sz w:val="18"/>
                              </w:rPr>
                            </w:pPr>
                          </w:p>
                        </w:tc>
                        <w:tc>
                          <w:tcPr>
                            <w:tcW w:w="1001" w:type="dxa"/>
                            <w:tcBorders>
                              <w:bottom w:val="single" w:sz="2" w:space="0" w:color="000000"/>
                            </w:tcBorders>
                          </w:tcPr>
                          <w:p w14:paraId="5D5A1A8F" w14:textId="77777777" w:rsidR="00AC6F3C" w:rsidRDefault="00AC6F3C">
                            <w:pPr>
                              <w:pStyle w:val="TableParagraph"/>
                              <w:rPr>
                                <w:rFonts w:ascii="Times New Roman"/>
                                <w:sz w:val="18"/>
                              </w:rPr>
                            </w:pPr>
                          </w:p>
                        </w:tc>
                        <w:tc>
                          <w:tcPr>
                            <w:tcW w:w="983" w:type="dxa"/>
                            <w:tcBorders>
                              <w:bottom w:val="single" w:sz="2" w:space="0" w:color="000000"/>
                            </w:tcBorders>
                          </w:tcPr>
                          <w:p w14:paraId="64B9BF1B" w14:textId="77777777" w:rsidR="00AC6F3C" w:rsidRDefault="00570E88">
                            <w:pPr>
                              <w:pStyle w:val="TableParagraph"/>
                              <w:spacing w:before="68"/>
                              <w:jc w:val="center"/>
                              <w:rPr>
                                <w:sz w:val="20"/>
                              </w:rPr>
                            </w:pPr>
                            <w:r>
                              <w:rPr>
                                <w:sz w:val="20"/>
                              </w:rPr>
                              <w:t>3</w:t>
                            </w:r>
                          </w:p>
                        </w:tc>
                        <w:tc>
                          <w:tcPr>
                            <w:tcW w:w="996" w:type="dxa"/>
                            <w:tcBorders>
                              <w:bottom w:val="single" w:sz="2" w:space="0" w:color="000000"/>
                            </w:tcBorders>
                          </w:tcPr>
                          <w:p w14:paraId="44E562DF" w14:textId="77777777" w:rsidR="00AC6F3C" w:rsidRDefault="00570E88">
                            <w:pPr>
                              <w:pStyle w:val="TableParagraph"/>
                              <w:spacing w:before="68"/>
                              <w:ind w:left="5"/>
                              <w:jc w:val="center"/>
                              <w:rPr>
                                <w:sz w:val="20"/>
                              </w:rPr>
                            </w:pPr>
                            <w:r>
                              <w:rPr>
                                <w:sz w:val="20"/>
                              </w:rPr>
                              <w:t>2</w:t>
                            </w:r>
                          </w:p>
                        </w:tc>
                      </w:tr>
                      <w:tr w:rsidR="00AC6F3C" w14:paraId="658E0257" w14:textId="77777777">
                        <w:trPr>
                          <w:trHeight w:val="607"/>
                        </w:trPr>
                        <w:tc>
                          <w:tcPr>
                            <w:tcW w:w="5166" w:type="dxa"/>
                            <w:tcBorders>
                              <w:top w:val="single" w:sz="2" w:space="0" w:color="000000"/>
                              <w:bottom w:val="single" w:sz="2" w:space="0" w:color="000000"/>
                            </w:tcBorders>
                          </w:tcPr>
                          <w:p w14:paraId="6A9BEAF1" w14:textId="77777777" w:rsidR="00AC6F3C" w:rsidRDefault="00570E88">
                            <w:pPr>
                              <w:pStyle w:val="TableParagraph"/>
                              <w:tabs>
                                <w:tab w:val="left" w:pos="2758"/>
                              </w:tabs>
                              <w:spacing w:before="69"/>
                              <w:ind w:left="113"/>
                              <w:rPr>
                                <w:b/>
                                <w:sz w:val="20"/>
                              </w:rPr>
                            </w:pPr>
                            <w:r>
                              <w:rPr>
                                <w:b/>
                                <w:sz w:val="20"/>
                              </w:rPr>
                              <w:t>James</w:t>
                            </w:r>
                            <w:r>
                              <w:rPr>
                                <w:b/>
                                <w:spacing w:val="-4"/>
                                <w:sz w:val="20"/>
                              </w:rPr>
                              <w:t xml:space="preserve"> </w:t>
                            </w:r>
                            <w:r>
                              <w:rPr>
                                <w:b/>
                                <w:spacing w:val="-2"/>
                                <w:sz w:val="20"/>
                              </w:rPr>
                              <w:t>Conomos</w:t>
                            </w:r>
                            <w:r>
                              <w:rPr>
                                <w:b/>
                                <w:sz w:val="20"/>
                              </w:rPr>
                              <w:tab/>
                              <w:t>Councillor</w:t>
                            </w:r>
                            <w:r>
                              <w:rPr>
                                <w:b/>
                                <w:spacing w:val="-9"/>
                                <w:sz w:val="20"/>
                              </w:rPr>
                              <w:t xml:space="preserve"> </w:t>
                            </w:r>
                            <w:r>
                              <w:rPr>
                                <w:b/>
                                <w:spacing w:val="-4"/>
                                <w:sz w:val="20"/>
                              </w:rPr>
                              <w:t>2023</w:t>
                            </w:r>
                          </w:p>
                          <w:p w14:paraId="7A90FDCF" w14:textId="77777777" w:rsidR="00AC6F3C" w:rsidRDefault="00570E88">
                            <w:pPr>
                              <w:pStyle w:val="TableParagraph"/>
                              <w:tabs>
                                <w:tab w:val="left" w:pos="2758"/>
                              </w:tabs>
                              <w:spacing w:before="10"/>
                              <w:ind w:left="113"/>
                              <w:rPr>
                                <w:sz w:val="20"/>
                              </w:rPr>
                            </w:pPr>
                            <w:r>
                              <w:rPr>
                                <w:spacing w:val="-2"/>
                                <w:sz w:val="20"/>
                              </w:rPr>
                              <w:t>Director</w:t>
                            </w:r>
                            <w:r>
                              <w:rPr>
                                <w:sz w:val="20"/>
                              </w:rPr>
                              <w:tab/>
                              <w:t>(23.03.23-</w:t>
                            </w:r>
                            <w:r>
                              <w:rPr>
                                <w:spacing w:val="-2"/>
                                <w:sz w:val="20"/>
                              </w:rPr>
                              <w:t>30.06.23)</w:t>
                            </w:r>
                          </w:p>
                        </w:tc>
                        <w:tc>
                          <w:tcPr>
                            <w:tcW w:w="1203" w:type="dxa"/>
                            <w:tcBorders>
                              <w:top w:val="single" w:sz="2" w:space="0" w:color="000000"/>
                              <w:bottom w:val="single" w:sz="2" w:space="0" w:color="000000"/>
                            </w:tcBorders>
                          </w:tcPr>
                          <w:p w14:paraId="2765DB5F" w14:textId="77777777" w:rsidR="00AC6F3C" w:rsidRDefault="00570E88">
                            <w:pPr>
                              <w:pStyle w:val="TableParagraph"/>
                              <w:spacing w:before="69"/>
                              <w:ind w:left="219"/>
                              <w:jc w:val="center"/>
                              <w:rPr>
                                <w:sz w:val="20"/>
                              </w:rPr>
                            </w:pPr>
                            <w:r>
                              <w:rPr>
                                <w:sz w:val="20"/>
                              </w:rPr>
                              <w:t>2</w:t>
                            </w:r>
                          </w:p>
                        </w:tc>
                        <w:tc>
                          <w:tcPr>
                            <w:tcW w:w="1001" w:type="dxa"/>
                            <w:tcBorders>
                              <w:top w:val="single" w:sz="2" w:space="0" w:color="000000"/>
                              <w:bottom w:val="single" w:sz="2" w:space="0" w:color="000000"/>
                            </w:tcBorders>
                          </w:tcPr>
                          <w:p w14:paraId="099D9804" w14:textId="77777777" w:rsidR="00AC6F3C" w:rsidRDefault="00570E88">
                            <w:pPr>
                              <w:pStyle w:val="TableParagraph"/>
                              <w:spacing w:before="69"/>
                              <w:jc w:val="center"/>
                              <w:rPr>
                                <w:sz w:val="20"/>
                              </w:rPr>
                            </w:pPr>
                            <w:r>
                              <w:rPr>
                                <w:sz w:val="20"/>
                              </w:rPr>
                              <w:t>2</w:t>
                            </w:r>
                          </w:p>
                        </w:tc>
                        <w:tc>
                          <w:tcPr>
                            <w:tcW w:w="983" w:type="dxa"/>
                            <w:tcBorders>
                              <w:top w:val="single" w:sz="2" w:space="0" w:color="000000"/>
                              <w:bottom w:val="single" w:sz="2" w:space="0" w:color="000000"/>
                            </w:tcBorders>
                          </w:tcPr>
                          <w:p w14:paraId="7DDD9662"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38DF3200" w14:textId="77777777" w:rsidR="00AC6F3C" w:rsidRDefault="00AC6F3C">
                            <w:pPr>
                              <w:pStyle w:val="TableParagraph"/>
                              <w:rPr>
                                <w:rFonts w:ascii="Times New Roman"/>
                                <w:sz w:val="18"/>
                              </w:rPr>
                            </w:pPr>
                          </w:p>
                        </w:tc>
                      </w:tr>
                      <w:tr w:rsidR="00AC6F3C" w14:paraId="1715A2AF" w14:textId="77777777">
                        <w:trPr>
                          <w:trHeight w:val="853"/>
                        </w:trPr>
                        <w:tc>
                          <w:tcPr>
                            <w:tcW w:w="5166" w:type="dxa"/>
                            <w:tcBorders>
                              <w:top w:val="single" w:sz="2" w:space="0" w:color="000000"/>
                            </w:tcBorders>
                          </w:tcPr>
                          <w:p w14:paraId="13FCA35E" w14:textId="77777777" w:rsidR="00AC6F3C" w:rsidRDefault="00570E88">
                            <w:pPr>
                              <w:pStyle w:val="TableParagraph"/>
                              <w:tabs>
                                <w:tab w:val="left" w:pos="2758"/>
                              </w:tabs>
                              <w:spacing w:before="69"/>
                              <w:ind w:left="113"/>
                              <w:rPr>
                                <w:b/>
                                <w:sz w:val="20"/>
                              </w:rPr>
                            </w:pPr>
                            <w:r>
                              <w:rPr>
                                <w:b/>
                                <w:sz w:val="20"/>
                              </w:rPr>
                              <w:t xml:space="preserve">Elizabeth </w:t>
                            </w:r>
                            <w:r>
                              <w:rPr>
                                <w:b/>
                                <w:spacing w:val="-2"/>
                                <w:sz w:val="20"/>
                              </w:rPr>
                              <w:t>Shearer</w:t>
                            </w:r>
                            <w:r>
                              <w:rPr>
                                <w:b/>
                                <w:sz w:val="20"/>
                              </w:rPr>
                              <w:tab/>
                              <w:t>Immediate</w:t>
                            </w:r>
                            <w:r>
                              <w:rPr>
                                <w:b/>
                                <w:spacing w:val="-10"/>
                                <w:sz w:val="20"/>
                              </w:rPr>
                              <w:t xml:space="preserve"> </w:t>
                            </w:r>
                            <w:r>
                              <w:rPr>
                                <w:b/>
                                <w:spacing w:val="-4"/>
                                <w:sz w:val="20"/>
                              </w:rPr>
                              <w:t>Past</w:t>
                            </w:r>
                          </w:p>
                          <w:p w14:paraId="5E1405DE" w14:textId="77777777" w:rsidR="00AC6F3C" w:rsidRDefault="00570E88">
                            <w:pPr>
                              <w:pStyle w:val="TableParagraph"/>
                              <w:tabs>
                                <w:tab w:val="left" w:pos="2758"/>
                              </w:tabs>
                              <w:spacing w:before="10"/>
                              <w:ind w:left="113"/>
                              <w:rPr>
                                <w:b/>
                                <w:sz w:val="20"/>
                              </w:rPr>
                            </w:pPr>
                            <w:r>
                              <w:rPr>
                                <w:spacing w:val="-2"/>
                                <w:sz w:val="20"/>
                              </w:rPr>
                              <w:t>Director</w:t>
                            </w:r>
                            <w:r>
                              <w:rPr>
                                <w:sz w:val="20"/>
                              </w:rPr>
                              <w:tab/>
                            </w:r>
                            <w:r>
                              <w:rPr>
                                <w:b/>
                                <w:sz w:val="20"/>
                              </w:rPr>
                              <w:t>President</w:t>
                            </w:r>
                            <w:r>
                              <w:rPr>
                                <w:b/>
                                <w:spacing w:val="-2"/>
                                <w:sz w:val="20"/>
                              </w:rPr>
                              <w:t xml:space="preserve"> </w:t>
                            </w:r>
                            <w:r>
                              <w:rPr>
                                <w:b/>
                                <w:spacing w:val="-4"/>
                                <w:sz w:val="20"/>
                              </w:rPr>
                              <w:t>2022</w:t>
                            </w:r>
                          </w:p>
                          <w:p w14:paraId="413202BF" w14:textId="77777777" w:rsidR="00AC6F3C" w:rsidRDefault="00570E88">
                            <w:pPr>
                              <w:pStyle w:val="TableParagraph"/>
                              <w:tabs>
                                <w:tab w:val="left" w:pos="2758"/>
                              </w:tabs>
                              <w:spacing w:before="10"/>
                              <w:ind w:left="113"/>
                              <w:rPr>
                                <w:sz w:val="20"/>
                              </w:rPr>
                            </w:pPr>
                            <w:r>
                              <w:rPr>
                                <w:sz w:val="20"/>
                              </w:rPr>
                              <w:t>Shearer</w:t>
                            </w:r>
                            <w:r>
                              <w:rPr>
                                <w:spacing w:val="-2"/>
                                <w:sz w:val="20"/>
                              </w:rPr>
                              <w:t xml:space="preserve"> </w:t>
                            </w:r>
                            <w:r>
                              <w:rPr>
                                <w:sz w:val="20"/>
                              </w:rPr>
                              <w:t>Doyle</w:t>
                            </w:r>
                            <w:r>
                              <w:rPr>
                                <w:spacing w:val="-2"/>
                                <w:sz w:val="20"/>
                              </w:rPr>
                              <w:t xml:space="preserve"> </w:t>
                            </w:r>
                            <w:r>
                              <w:rPr>
                                <w:spacing w:val="-5"/>
                                <w:sz w:val="20"/>
                              </w:rPr>
                              <w:t>Law</w:t>
                            </w:r>
                            <w:r>
                              <w:rPr>
                                <w:sz w:val="20"/>
                              </w:rPr>
                              <w:tab/>
                              <w:t>(01.07.22-</w:t>
                            </w:r>
                            <w:r>
                              <w:rPr>
                                <w:spacing w:val="-2"/>
                                <w:sz w:val="20"/>
                              </w:rPr>
                              <w:t>31.12.22)</w:t>
                            </w:r>
                          </w:p>
                        </w:tc>
                        <w:tc>
                          <w:tcPr>
                            <w:tcW w:w="1203" w:type="dxa"/>
                            <w:tcBorders>
                              <w:top w:val="single" w:sz="2" w:space="0" w:color="000000"/>
                            </w:tcBorders>
                          </w:tcPr>
                          <w:p w14:paraId="36A01ED9" w14:textId="77777777" w:rsidR="00AC6F3C" w:rsidRDefault="00570E88">
                            <w:pPr>
                              <w:pStyle w:val="TableParagraph"/>
                              <w:spacing w:before="69"/>
                              <w:ind w:left="219"/>
                              <w:jc w:val="center"/>
                              <w:rPr>
                                <w:sz w:val="20"/>
                              </w:rPr>
                            </w:pPr>
                            <w:r>
                              <w:rPr>
                                <w:sz w:val="20"/>
                              </w:rPr>
                              <w:t>3</w:t>
                            </w:r>
                          </w:p>
                        </w:tc>
                        <w:tc>
                          <w:tcPr>
                            <w:tcW w:w="1001" w:type="dxa"/>
                            <w:tcBorders>
                              <w:top w:val="single" w:sz="2" w:space="0" w:color="000000"/>
                            </w:tcBorders>
                          </w:tcPr>
                          <w:p w14:paraId="37CC2CEB" w14:textId="77777777" w:rsidR="00AC6F3C" w:rsidRDefault="00570E88">
                            <w:pPr>
                              <w:pStyle w:val="TableParagraph"/>
                              <w:spacing w:before="69"/>
                              <w:jc w:val="center"/>
                              <w:rPr>
                                <w:sz w:val="20"/>
                              </w:rPr>
                            </w:pPr>
                            <w:r>
                              <w:rPr>
                                <w:sz w:val="20"/>
                              </w:rPr>
                              <w:t>3</w:t>
                            </w:r>
                          </w:p>
                        </w:tc>
                        <w:tc>
                          <w:tcPr>
                            <w:tcW w:w="983" w:type="dxa"/>
                            <w:tcBorders>
                              <w:top w:val="single" w:sz="2" w:space="0" w:color="000000"/>
                            </w:tcBorders>
                          </w:tcPr>
                          <w:p w14:paraId="2EE41527" w14:textId="77777777" w:rsidR="00AC6F3C" w:rsidRDefault="00AC6F3C">
                            <w:pPr>
                              <w:pStyle w:val="TableParagraph"/>
                              <w:rPr>
                                <w:rFonts w:ascii="Times New Roman"/>
                                <w:sz w:val="18"/>
                              </w:rPr>
                            </w:pPr>
                          </w:p>
                        </w:tc>
                        <w:tc>
                          <w:tcPr>
                            <w:tcW w:w="996" w:type="dxa"/>
                            <w:tcBorders>
                              <w:top w:val="single" w:sz="2" w:space="0" w:color="000000"/>
                            </w:tcBorders>
                          </w:tcPr>
                          <w:p w14:paraId="7F0C5494" w14:textId="77777777" w:rsidR="00AC6F3C" w:rsidRDefault="00AC6F3C">
                            <w:pPr>
                              <w:pStyle w:val="TableParagraph"/>
                              <w:rPr>
                                <w:rFonts w:ascii="Times New Roman"/>
                                <w:sz w:val="18"/>
                              </w:rPr>
                            </w:pPr>
                          </w:p>
                        </w:tc>
                      </w:tr>
                      <w:tr w:rsidR="00AC6F3C" w14:paraId="4F3A42BD" w14:textId="77777777">
                        <w:trPr>
                          <w:trHeight w:val="606"/>
                        </w:trPr>
                        <w:tc>
                          <w:tcPr>
                            <w:tcW w:w="5166" w:type="dxa"/>
                            <w:tcBorders>
                              <w:bottom w:val="single" w:sz="2" w:space="0" w:color="000000"/>
                            </w:tcBorders>
                          </w:tcPr>
                          <w:p w14:paraId="340EE339" w14:textId="77777777" w:rsidR="00AC6F3C" w:rsidRDefault="00570E88">
                            <w:pPr>
                              <w:pStyle w:val="TableParagraph"/>
                              <w:spacing w:before="68"/>
                              <w:ind w:left="2758"/>
                              <w:rPr>
                                <w:b/>
                                <w:sz w:val="20"/>
                              </w:rPr>
                            </w:pPr>
                            <w:r>
                              <w:rPr>
                                <w:b/>
                                <w:sz w:val="20"/>
                              </w:rPr>
                              <w:t>FRC</w:t>
                            </w:r>
                            <w:r>
                              <w:rPr>
                                <w:b/>
                                <w:spacing w:val="-4"/>
                                <w:sz w:val="20"/>
                              </w:rPr>
                              <w:t xml:space="preserve"> </w:t>
                            </w:r>
                            <w:r>
                              <w:rPr>
                                <w:b/>
                                <w:sz w:val="20"/>
                              </w:rPr>
                              <w:t>member</w:t>
                            </w:r>
                            <w:r>
                              <w:rPr>
                                <w:b/>
                                <w:spacing w:val="-3"/>
                                <w:sz w:val="20"/>
                              </w:rPr>
                              <w:t xml:space="preserve"> </w:t>
                            </w:r>
                            <w:r>
                              <w:rPr>
                                <w:b/>
                                <w:spacing w:val="-4"/>
                                <w:sz w:val="20"/>
                              </w:rPr>
                              <w:t>2022</w:t>
                            </w:r>
                          </w:p>
                          <w:p w14:paraId="3A2FDEC5" w14:textId="77777777" w:rsidR="00AC6F3C" w:rsidRDefault="00570E88">
                            <w:pPr>
                              <w:pStyle w:val="TableParagraph"/>
                              <w:spacing w:before="10"/>
                              <w:ind w:left="2758"/>
                              <w:rPr>
                                <w:sz w:val="20"/>
                              </w:rPr>
                            </w:pPr>
                            <w:r>
                              <w:rPr>
                                <w:sz w:val="20"/>
                              </w:rPr>
                              <w:t>(01.07.22-</w:t>
                            </w:r>
                            <w:r>
                              <w:rPr>
                                <w:spacing w:val="-2"/>
                                <w:sz w:val="20"/>
                              </w:rPr>
                              <w:t>31.12.22)</w:t>
                            </w:r>
                          </w:p>
                        </w:tc>
                        <w:tc>
                          <w:tcPr>
                            <w:tcW w:w="1203" w:type="dxa"/>
                            <w:tcBorders>
                              <w:bottom w:val="single" w:sz="2" w:space="0" w:color="000000"/>
                            </w:tcBorders>
                          </w:tcPr>
                          <w:p w14:paraId="5981F5F8" w14:textId="77777777" w:rsidR="00AC6F3C" w:rsidRDefault="00AC6F3C">
                            <w:pPr>
                              <w:pStyle w:val="TableParagraph"/>
                              <w:rPr>
                                <w:rFonts w:ascii="Times New Roman"/>
                                <w:sz w:val="18"/>
                              </w:rPr>
                            </w:pPr>
                          </w:p>
                        </w:tc>
                        <w:tc>
                          <w:tcPr>
                            <w:tcW w:w="1001" w:type="dxa"/>
                            <w:tcBorders>
                              <w:bottom w:val="single" w:sz="2" w:space="0" w:color="000000"/>
                            </w:tcBorders>
                          </w:tcPr>
                          <w:p w14:paraId="69C61318" w14:textId="77777777" w:rsidR="00AC6F3C" w:rsidRDefault="00AC6F3C">
                            <w:pPr>
                              <w:pStyle w:val="TableParagraph"/>
                              <w:rPr>
                                <w:rFonts w:ascii="Times New Roman"/>
                                <w:sz w:val="18"/>
                              </w:rPr>
                            </w:pPr>
                          </w:p>
                        </w:tc>
                        <w:tc>
                          <w:tcPr>
                            <w:tcW w:w="983" w:type="dxa"/>
                            <w:tcBorders>
                              <w:bottom w:val="single" w:sz="2" w:space="0" w:color="000000"/>
                            </w:tcBorders>
                          </w:tcPr>
                          <w:p w14:paraId="6ED75E0D" w14:textId="77777777" w:rsidR="00AC6F3C" w:rsidRDefault="00570E88">
                            <w:pPr>
                              <w:pStyle w:val="TableParagraph"/>
                              <w:spacing w:before="68"/>
                              <w:jc w:val="center"/>
                              <w:rPr>
                                <w:sz w:val="20"/>
                              </w:rPr>
                            </w:pPr>
                            <w:r>
                              <w:rPr>
                                <w:sz w:val="20"/>
                              </w:rPr>
                              <w:t>2</w:t>
                            </w:r>
                          </w:p>
                        </w:tc>
                        <w:tc>
                          <w:tcPr>
                            <w:tcW w:w="996" w:type="dxa"/>
                            <w:tcBorders>
                              <w:bottom w:val="single" w:sz="2" w:space="0" w:color="000000"/>
                            </w:tcBorders>
                          </w:tcPr>
                          <w:p w14:paraId="57400CDC" w14:textId="77777777" w:rsidR="00AC6F3C" w:rsidRDefault="00570E88">
                            <w:pPr>
                              <w:pStyle w:val="TableParagraph"/>
                              <w:spacing w:before="68"/>
                              <w:ind w:left="5"/>
                              <w:jc w:val="center"/>
                              <w:rPr>
                                <w:sz w:val="20"/>
                              </w:rPr>
                            </w:pPr>
                            <w:r>
                              <w:rPr>
                                <w:sz w:val="20"/>
                              </w:rPr>
                              <w:t>2</w:t>
                            </w:r>
                          </w:p>
                        </w:tc>
                      </w:tr>
                      <w:tr w:rsidR="00AC6F3C" w14:paraId="037A3DE0" w14:textId="77777777">
                        <w:trPr>
                          <w:trHeight w:val="847"/>
                        </w:trPr>
                        <w:tc>
                          <w:tcPr>
                            <w:tcW w:w="5166" w:type="dxa"/>
                            <w:tcBorders>
                              <w:top w:val="single" w:sz="2" w:space="0" w:color="000000"/>
                              <w:bottom w:val="single" w:sz="2" w:space="0" w:color="000000"/>
                            </w:tcBorders>
                          </w:tcPr>
                          <w:p w14:paraId="091F3F4E" w14:textId="77777777" w:rsidR="00AC6F3C" w:rsidRDefault="00570E88">
                            <w:pPr>
                              <w:pStyle w:val="TableParagraph"/>
                              <w:tabs>
                                <w:tab w:val="left" w:pos="2758"/>
                              </w:tabs>
                              <w:spacing w:before="69"/>
                              <w:ind w:left="113"/>
                              <w:rPr>
                                <w:b/>
                                <w:sz w:val="20"/>
                              </w:rPr>
                            </w:pPr>
                            <w:r>
                              <w:rPr>
                                <w:b/>
                                <w:sz w:val="20"/>
                              </w:rPr>
                              <w:t xml:space="preserve">Allison </w:t>
                            </w:r>
                            <w:r>
                              <w:rPr>
                                <w:b/>
                                <w:spacing w:val="-2"/>
                                <w:sz w:val="20"/>
                              </w:rPr>
                              <w:t>Caputo</w:t>
                            </w:r>
                            <w:r>
                              <w:rPr>
                                <w:b/>
                                <w:sz w:val="20"/>
                              </w:rPr>
                              <w:tab/>
                              <w:t>Councillor</w:t>
                            </w:r>
                            <w:r>
                              <w:rPr>
                                <w:b/>
                                <w:spacing w:val="-9"/>
                                <w:sz w:val="20"/>
                              </w:rPr>
                              <w:t xml:space="preserve"> </w:t>
                            </w:r>
                            <w:r>
                              <w:rPr>
                                <w:b/>
                                <w:spacing w:val="-4"/>
                                <w:sz w:val="20"/>
                              </w:rPr>
                              <w:t>2022</w:t>
                            </w:r>
                          </w:p>
                          <w:p w14:paraId="0ECC435E" w14:textId="77777777" w:rsidR="00AC6F3C" w:rsidRDefault="00570E88">
                            <w:pPr>
                              <w:pStyle w:val="TableParagraph"/>
                              <w:tabs>
                                <w:tab w:val="left" w:pos="2758"/>
                              </w:tabs>
                              <w:spacing w:before="10" w:line="249" w:lineRule="auto"/>
                              <w:ind w:left="113" w:right="648"/>
                              <w:rPr>
                                <w:sz w:val="20"/>
                              </w:rPr>
                            </w:pPr>
                            <w:r>
                              <w:rPr>
                                <w:sz w:val="20"/>
                              </w:rPr>
                              <w:t>Practice Director</w:t>
                            </w:r>
                            <w:r>
                              <w:rPr>
                                <w:sz w:val="20"/>
                              </w:rPr>
                              <w:tab/>
                            </w:r>
                            <w:r>
                              <w:rPr>
                                <w:spacing w:val="-2"/>
                                <w:sz w:val="20"/>
                              </w:rPr>
                              <w:t xml:space="preserve">(01.07.22-09.01.23) </w:t>
                            </w:r>
                            <w:r>
                              <w:rPr>
                                <w:sz w:val="20"/>
                              </w:rPr>
                              <w:t>Women’s Legal Service</w:t>
                            </w:r>
                          </w:p>
                        </w:tc>
                        <w:tc>
                          <w:tcPr>
                            <w:tcW w:w="1203" w:type="dxa"/>
                            <w:tcBorders>
                              <w:top w:val="single" w:sz="2" w:space="0" w:color="000000"/>
                              <w:bottom w:val="single" w:sz="2" w:space="0" w:color="000000"/>
                            </w:tcBorders>
                          </w:tcPr>
                          <w:p w14:paraId="4D41312F" w14:textId="77777777" w:rsidR="00AC6F3C" w:rsidRDefault="00570E88">
                            <w:pPr>
                              <w:pStyle w:val="TableParagraph"/>
                              <w:spacing w:before="69"/>
                              <w:ind w:left="219"/>
                              <w:jc w:val="center"/>
                              <w:rPr>
                                <w:sz w:val="20"/>
                              </w:rPr>
                            </w:pPr>
                            <w:r>
                              <w:rPr>
                                <w:sz w:val="20"/>
                              </w:rPr>
                              <w:t>3</w:t>
                            </w:r>
                          </w:p>
                        </w:tc>
                        <w:tc>
                          <w:tcPr>
                            <w:tcW w:w="1001" w:type="dxa"/>
                            <w:tcBorders>
                              <w:top w:val="single" w:sz="2" w:space="0" w:color="000000"/>
                              <w:bottom w:val="single" w:sz="2" w:space="0" w:color="000000"/>
                            </w:tcBorders>
                          </w:tcPr>
                          <w:p w14:paraId="5908AF37" w14:textId="77777777" w:rsidR="00AC6F3C" w:rsidRDefault="00570E88">
                            <w:pPr>
                              <w:pStyle w:val="TableParagraph"/>
                              <w:spacing w:before="69"/>
                              <w:jc w:val="center"/>
                              <w:rPr>
                                <w:sz w:val="20"/>
                              </w:rPr>
                            </w:pPr>
                            <w:r>
                              <w:rPr>
                                <w:sz w:val="20"/>
                              </w:rPr>
                              <w:t>2</w:t>
                            </w:r>
                          </w:p>
                        </w:tc>
                        <w:tc>
                          <w:tcPr>
                            <w:tcW w:w="983" w:type="dxa"/>
                            <w:tcBorders>
                              <w:top w:val="single" w:sz="2" w:space="0" w:color="000000"/>
                              <w:bottom w:val="single" w:sz="2" w:space="0" w:color="000000"/>
                            </w:tcBorders>
                          </w:tcPr>
                          <w:p w14:paraId="3D36B456" w14:textId="77777777" w:rsidR="00AC6F3C" w:rsidRDefault="00AC6F3C">
                            <w:pPr>
                              <w:pStyle w:val="TableParagraph"/>
                              <w:rPr>
                                <w:rFonts w:ascii="Times New Roman"/>
                                <w:sz w:val="18"/>
                              </w:rPr>
                            </w:pPr>
                          </w:p>
                        </w:tc>
                        <w:tc>
                          <w:tcPr>
                            <w:tcW w:w="996" w:type="dxa"/>
                            <w:tcBorders>
                              <w:top w:val="single" w:sz="2" w:space="0" w:color="000000"/>
                              <w:bottom w:val="single" w:sz="2" w:space="0" w:color="000000"/>
                            </w:tcBorders>
                          </w:tcPr>
                          <w:p w14:paraId="76B11B89" w14:textId="77777777" w:rsidR="00AC6F3C" w:rsidRDefault="00AC6F3C">
                            <w:pPr>
                              <w:pStyle w:val="TableParagraph"/>
                              <w:rPr>
                                <w:rFonts w:ascii="Times New Roman"/>
                                <w:sz w:val="18"/>
                              </w:rPr>
                            </w:pPr>
                          </w:p>
                        </w:tc>
                      </w:tr>
                      <w:tr w:rsidR="00AC6F3C" w14:paraId="07CCDD99" w14:textId="77777777">
                        <w:trPr>
                          <w:trHeight w:val="539"/>
                        </w:trPr>
                        <w:tc>
                          <w:tcPr>
                            <w:tcW w:w="5166" w:type="dxa"/>
                            <w:tcBorders>
                              <w:top w:val="single" w:sz="2" w:space="0" w:color="000000"/>
                            </w:tcBorders>
                          </w:tcPr>
                          <w:p w14:paraId="03A46B75" w14:textId="77777777" w:rsidR="00AC6F3C" w:rsidRDefault="00570E88">
                            <w:pPr>
                              <w:pStyle w:val="TableParagraph"/>
                              <w:tabs>
                                <w:tab w:val="left" w:pos="2758"/>
                              </w:tabs>
                              <w:spacing w:before="69"/>
                              <w:ind w:left="113"/>
                              <w:rPr>
                                <w:b/>
                                <w:sz w:val="20"/>
                              </w:rPr>
                            </w:pPr>
                            <w:r>
                              <w:rPr>
                                <w:b/>
                                <w:sz w:val="20"/>
                              </w:rPr>
                              <w:t>Timothy</w:t>
                            </w:r>
                            <w:r>
                              <w:rPr>
                                <w:b/>
                                <w:spacing w:val="-9"/>
                                <w:sz w:val="20"/>
                              </w:rPr>
                              <w:t xml:space="preserve"> </w:t>
                            </w:r>
                            <w:r>
                              <w:rPr>
                                <w:b/>
                                <w:spacing w:val="-2"/>
                                <w:sz w:val="20"/>
                              </w:rPr>
                              <w:t>Cronin</w:t>
                            </w:r>
                            <w:r>
                              <w:rPr>
                                <w:b/>
                                <w:sz w:val="20"/>
                              </w:rPr>
                              <w:tab/>
                              <w:t>FRC</w:t>
                            </w:r>
                            <w:r>
                              <w:rPr>
                                <w:b/>
                                <w:spacing w:val="-6"/>
                                <w:sz w:val="20"/>
                              </w:rPr>
                              <w:t xml:space="preserve"> </w:t>
                            </w:r>
                            <w:r>
                              <w:rPr>
                                <w:b/>
                                <w:sz w:val="20"/>
                              </w:rPr>
                              <w:t>member</w:t>
                            </w:r>
                            <w:r>
                              <w:rPr>
                                <w:b/>
                                <w:spacing w:val="-6"/>
                                <w:sz w:val="20"/>
                              </w:rPr>
                              <w:t xml:space="preserve"> </w:t>
                            </w:r>
                            <w:r>
                              <w:rPr>
                                <w:b/>
                                <w:sz w:val="20"/>
                              </w:rPr>
                              <w:t>2022-</w:t>
                            </w:r>
                            <w:r>
                              <w:rPr>
                                <w:b/>
                                <w:spacing w:val="-5"/>
                                <w:sz w:val="20"/>
                              </w:rPr>
                              <w:t>23</w:t>
                            </w:r>
                          </w:p>
                          <w:p w14:paraId="55BB1A01" w14:textId="77777777" w:rsidR="00AC6F3C" w:rsidRDefault="00570E88">
                            <w:pPr>
                              <w:pStyle w:val="TableParagraph"/>
                              <w:tabs>
                                <w:tab w:val="left" w:pos="2758"/>
                              </w:tabs>
                              <w:spacing w:before="10" w:line="210" w:lineRule="exact"/>
                              <w:ind w:left="113"/>
                              <w:rPr>
                                <w:sz w:val="20"/>
                              </w:rPr>
                            </w:pPr>
                            <w:r>
                              <w:rPr>
                                <w:spacing w:val="-2"/>
                                <w:sz w:val="20"/>
                              </w:rPr>
                              <w:t>Partner</w:t>
                            </w:r>
                            <w:r>
                              <w:rPr>
                                <w:sz w:val="20"/>
                              </w:rPr>
                              <w:tab/>
                              <w:t>(01.07.22-</w:t>
                            </w:r>
                            <w:r>
                              <w:rPr>
                                <w:spacing w:val="-2"/>
                                <w:sz w:val="20"/>
                              </w:rPr>
                              <w:t>30.06.23)</w:t>
                            </w:r>
                          </w:p>
                        </w:tc>
                        <w:tc>
                          <w:tcPr>
                            <w:tcW w:w="1203" w:type="dxa"/>
                            <w:tcBorders>
                              <w:top w:val="single" w:sz="2" w:space="0" w:color="000000"/>
                            </w:tcBorders>
                          </w:tcPr>
                          <w:p w14:paraId="05E1828A" w14:textId="77777777" w:rsidR="00AC6F3C" w:rsidRDefault="00AC6F3C">
                            <w:pPr>
                              <w:pStyle w:val="TableParagraph"/>
                              <w:rPr>
                                <w:rFonts w:ascii="Times New Roman"/>
                                <w:sz w:val="18"/>
                              </w:rPr>
                            </w:pPr>
                          </w:p>
                        </w:tc>
                        <w:tc>
                          <w:tcPr>
                            <w:tcW w:w="1001" w:type="dxa"/>
                            <w:tcBorders>
                              <w:top w:val="single" w:sz="2" w:space="0" w:color="000000"/>
                            </w:tcBorders>
                          </w:tcPr>
                          <w:p w14:paraId="3759AA5F" w14:textId="77777777" w:rsidR="00AC6F3C" w:rsidRDefault="00AC6F3C">
                            <w:pPr>
                              <w:pStyle w:val="TableParagraph"/>
                              <w:rPr>
                                <w:rFonts w:ascii="Times New Roman"/>
                                <w:sz w:val="18"/>
                              </w:rPr>
                            </w:pPr>
                          </w:p>
                        </w:tc>
                        <w:tc>
                          <w:tcPr>
                            <w:tcW w:w="983" w:type="dxa"/>
                            <w:tcBorders>
                              <w:top w:val="single" w:sz="2" w:space="0" w:color="000000"/>
                            </w:tcBorders>
                          </w:tcPr>
                          <w:p w14:paraId="05E9C7DF" w14:textId="77777777" w:rsidR="00AC6F3C" w:rsidRDefault="00570E88">
                            <w:pPr>
                              <w:pStyle w:val="TableParagraph"/>
                              <w:spacing w:before="69"/>
                              <w:jc w:val="center"/>
                              <w:rPr>
                                <w:sz w:val="20"/>
                              </w:rPr>
                            </w:pPr>
                            <w:r>
                              <w:rPr>
                                <w:sz w:val="20"/>
                              </w:rPr>
                              <w:t>5</w:t>
                            </w:r>
                          </w:p>
                        </w:tc>
                        <w:tc>
                          <w:tcPr>
                            <w:tcW w:w="996" w:type="dxa"/>
                            <w:tcBorders>
                              <w:top w:val="single" w:sz="2" w:space="0" w:color="000000"/>
                            </w:tcBorders>
                          </w:tcPr>
                          <w:p w14:paraId="74A562D1" w14:textId="77777777" w:rsidR="00AC6F3C" w:rsidRDefault="00570E88">
                            <w:pPr>
                              <w:pStyle w:val="TableParagraph"/>
                              <w:spacing w:before="69"/>
                              <w:ind w:left="5"/>
                              <w:jc w:val="center"/>
                              <w:rPr>
                                <w:sz w:val="20"/>
                              </w:rPr>
                            </w:pPr>
                            <w:r>
                              <w:rPr>
                                <w:sz w:val="20"/>
                              </w:rPr>
                              <w:t>5</w:t>
                            </w:r>
                          </w:p>
                        </w:tc>
                      </w:tr>
                    </w:tbl>
                    <w:p w14:paraId="595DD8D3" w14:textId="77777777" w:rsidR="00AC6F3C" w:rsidRDefault="00AC6F3C">
                      <w:pPr>
                        <w:pStyle w:val="BodyText"/>
                      </w:pPr>
                    </w:p>
                  </w:txbxContent>
                </v:textbox>
                <w10:wrap anchorx="page" anchory="page"/>
              </v:shape>
            </w:pict>
          </mc:Fallback>
        </mc:AlternateContent>
      </w:r>
    </w:p>
    <w:p w14:paraId="7138E41A" w14:textId="77777777" w:rsidR="00AC6F3C" w:rsidRDefault="00AC6F3C">
      <w:pPr>
        <w:pStyle w:val="BodyText"/>
      </w:pPr>
    </w:p>
    <w:p w14:paraId="2E93AA70" w14:textId="77777777" w:rsidR="00AC6F3C" w:rsidRDefault="00AC6F3C">
      <w:pPr>
        <w:pStyle w:val="BodyText"/>
      </w:pPr>
    </w:p>
    <w:p w14:paraId="71FE613A" w14:textId="77777777" w:rsidR="00AC6F3C" w:rsidRDefault="00AC6F3C">
      <w:pPr>
        <w:pStyle w:val="BodyText"/>
      </w:pPr>
    </w:p>
    <w:p w14:paraId="46E4E668" w14:textId="77777777" w:rsidR="00AC6F3C" w:rsidRDefault="00AC6F3C">
      <w:pPr>
        <w:pStyle w:val="BodyText"/>
      </w:pPr>
    </w:p>
    <w:p w14:paraId="5667F2D4" w14:textId="77777777" w:rsidR="00AC6F3C" w:rsidRDefault="00AC6F3C">
      <w:pPr>
        <w:pStyle w:val="BodyText"/>
      </w:pPr>
    </w:p>
    <w:p w14:paraId="6CDBA10E" w14:textId="77777777" w:rsidR="00AC6F3C" w:rsidRDefault="00AC6F3C">
      <w:pPr>
        <w:pStyle w:val="BodyText"/>
      </w:pPr>
    </w:p>
    <w:p w14:paraId="40BE8175" w14:textId="77777777" w:rsidR="00AC6F3C" w:rsidRDefault="00AC6F3C">
      <w:pPr>
        <w:pStyle w:val="BodyText"/>
      </w:pPr>
    </w:p>
    <w:p w14:paraId="67794A95" w14:textId="77777777" w:rsidR="00AC6F3C" w:rsidRDefault="00AC6F3C">
      <w:pPr>
        <w:pStyle w:val="BodyText"/>
      </w:pPr>
    </w:p>
    <w:p w14:paraId="332F113E" w14:textId="77777777" w:rsidR="00AC6F3C" w:rsidRDefault="00AC6F3C">
      <w:pPr>
        <w:pStyle w:val="BodyText"/>
      </w:pPr>
    </w:p>
    <w:p w14:paraId="2FB54C92" w14:textId="77777777" w:rsidR="00AC6F3C" w:rsidRDefault="00AC6F3C">
      <w:pPr>
        <w:pStyle w:val="BodyText"/>
      </w:pPr>
    </w:p>
    <w:p w14:paraId="594736BC" w14:textId="77777777" w:rsidR="00AC6F3C" w:rsidRDefault="00AC6F3C">
      <w:pPr>
        <w:pStyle w:val="BodyText"/>
      </w:pPr>
    </w:p>
    <w:p w14:paraId="1C0B9EE5" w14:textId="77777777" w:rsidR="00AC6F3C" w:rsidRDefault="00AC6F3C">
      <w:pPr>
        <w:pStyle w:val="BodyText"/>
      </w:pPr>
    </w:p>
    <w:p w14:paraId="04DB6D72" w14:textId="77777777" w:rsidR="00AC6F3C" w:rsidRDefault="00AC6F3C">
      <w:pPr>
        <w:pStyle w:val="BodyText"/>
      </w:pPr>
    </w:p>
    <w:p w14:paraId="71024F01" w14:textId="77777777" w:rsidR="00AC6F3C" w:rsidRDefault="00AC6F3C">
      <w:pPr>
        <w:pStyle w:val="BodyText"/>
      </w:pPr>
    </w:p>
    <w:p w14:paraId="009DDA18" w14:textId="77777777" w:rsidR="00AC6F3C" w:rsidRDefault="00AC6F3C">
      <w:pPr>
        <w:pStyle w:val="BodyText"/>
      </w:pPr>
    </w:p>
    <w:p w14:paraId="42C48098" w14:textId="77777777" w:rsidR="00AC6F3C" w:rsidRDefault="00AC6F3C">
      <w:pPr>
        <w:pStyle w:val="BodyText"/>
      </w:pPr>
    </w:p>
    <w:p w14:paraId="078611B4" w14:textId="77777777" w:rsidR="00AC6F3C" w:rsidRDefault="00AC6F3C">
      <w:pPr>
        <w:pStyle w:val="BodyText"/>
      </w:pPr>
    </w:p>
    <w:p w14:paraId="3D61D419" w14:textId="77777777" w:rsidR="00AC6F3C" w:rsidRDefault="00AC6F3C">
      <w:pPr>
        <w:pStyle w:val="BodyText"/>
      </w:pPr>
    </w:p>
    <w:p w14:paraId="6D129547" w14:textId="77777777" w:rsidR="00AC6F3C" w:rsidRDefault="00AC6F3C">
      <w:pPr>
        <w:pStyle w:val="BodyText"/>
      </w:pPr>
    </w:p>
    <w:p w14:paraId="7CF5A898" w14:textId="77777777" w:rsidR="00AC6F3C" w:rsidRDefault="00AC6F3C">
      <w:pPr>
        <w:pStyle w:val="BodyText"/>
      </w:pPr>
    </w:p>
    <w:p w14:paraId="7751CD52" w14:textId="77777777" w:rsidR="00AC6F3C" w:rsidRDefault="00AC6F3C">
      <w:pPr>
        <w:pStyle w:val="BodyText"/>
      </w:pPr>
    </w:p>
    <w:p w14:paraId="183EB79B" w14:textId="77777777" w:rsidR="00AC6F3C" w:rsidRDefault="00AC6F3C">
      <w:pPr>
        <w:pStyle w:val="BodyText"/>
      </w:pPr>
    </w:p>
    <w:p w14:paraId="39166FAE" w14:textId="77777777" w:rsidR="00AC6F3C" w:rsidRDefault="00AC6F3C">
      <w:pPr>
        <w:pStyle w:val="BodyText"/>
      </w:pPr>
    </w:p>
    <w:p w14:paraId="2CC72CCB" w14:textId="77777777" w:rsidR="00AC6F3C" w:rsidRDefault="00AC6F3C">
      <w:pPr>
        <w:pStyle w:val="BodyText"/>
      </w:pPr>
    </w:p>
    <w:p w14:paraId="700E45A1" w14:textId="77777777" w:rsidR="00AC6F3C" w:rsidRDefault="00AC6F3C">
      <w:pPr>
        <w:pStyle w:val="BodyText"/>
      </w:pPr>
    </w:p>
    <w:p w14:paraId="6E92222E" w14:textId="77777777" w:rsidR="00AC6F3C" w:rsidRDefault="00AC6F3C">
      <w:pPr>
        <w:pStyle w:val="BodyText"/>
      </w:pPr>
    </w:p>
    <w:p w14:paraId="77361FBD" w14:textId="77777777" w:rsidR="00AC6F3C" w:rsidRDefault="00AC6F3C">
      <w:pPr>
        <w:pStyle w:val="BodyText"/>
      </w:pPr>
    </w:p>
    <w:p w14:paraId="726C9E8D" w14:textId="77777777" w:rsidR="00AC6F3C" w:rsidRDefault="00AC6F3C">
      <w:pPr>
        <w:pStyle w:val="BodyText"/>
      </w:pPr>
    </w:p>
    <w:p w14:paraId="4C0B8208" w14:textId="77777777" w:rsidR="00AC6F3C" w:rsidRDefault="00AC6F3C">
      <w:pPr>
        <w:pStyle w:val="BodyText"/>
      </w:pPr>
    </w:p>
    <w:p w14:paraId="70883BA7" w14:textId="77777777" w:rsidR="00AC6F3C" w:rsidRDefault="00AC6F3C">
      <w:pPr>
        <w:pStyle w:val="BodyText"/>
      </w:pPr>
    </w:p>
    <w:p w14:paraId="35657233" w14:textId="77777777" w:rsidR="00AC6F3C" w:rsidRDefault="00AC6F3C">
      <w:pPr>
        <w:pStyle w:val="BodyText"/>
      </w:pPr>
    </w:p>
    <w:p w14:paraId="0FDAE42C" w14:textId="77777777" w:rsidR="00AC6F3C" w:rsidRDefault="00AC6F3C">
      <w:pPr>
        <w:pStyle w:val="BodyText"/>
      </w:pPr>
    </w:p>
    <w:p w14:paraId="5B703710" w14:textId="77777777" w:rsidR="00AC6F3C" w:rsidRDefault="00AC6F3C">
      <w:pPr>
        <w:pStyle w:val="BodyText"/>
      </w:pPr>
    </w:p>
    <w:p w14:paraId="7AFD3ACC" w14:textId="77777777" w:rsidR="00AC6F3C" w:rsidRDefault="00AC6F3C">
      <w:pPr>
        <w:pStyle w:val="BodyText"/>
      </w:pPr>
    </w:p>
    <w:p w14:paraId="5FC5AA14" w14:textId="77777777" w:rsidR="00AC6F3C" w:rsidRDefault="00AC6F3C">
      <w:pPr>
        <w:pStyle w:val="BodyText"/>
      </w:pPr>
    </w:p>
    <w:p w14:paraId="3D1AB8C7" w14:textId="77777777" w:rsidR="00AC6F3C" w:rsidRDefault="00AC6F3C">
      <w:pPr>
        <w:pStyle w:val="BodyText"/>
      </w:pPr>
    </w:p>
    <w:p w14:paraId="452F7944" w14:textId="77777777" w:rsidR="00AC6F3C" w:rsidRDefault="00AC6F3C">
      <w:pPr>
        <w:pStyle w:val="BodyText"/>
      </w:pPr>
    </w:p>
    <w:p w14:paraId="494C10C7" w14:textId="77777777" w:rsidR="00AC6F3C" w:rsidRDefault="00AC6F3C">
      <w:pPr>
        <w:pStyle w:val="BodyText"/>
      </w:pPr>
    </w:p>
    <w:p w14:paraId="062C6B6D" w14:textId="77777777" w:rsidR="00AC6F3C" w:rsidRDefault="00AC6F3C">
      <w:pPr>
        <w:pStyle w:val="BodyText"/>
      </w:pPr>
    </w:p>
    <w:p w14:paraId="7121F2DC" w14:textId="77777777" w:rsidR="00AC6F3C" w:rsidRDefault="00AC6F3C">
      <w:pPr>
        <w:pStyle w:val="BodyText"/>
      </w:pPr>
    </w:p>
    <w:p w14:paraId="3E6EDFF4" w14:textId="77777777" w:rsidR="00AC6F3C" w:rsidRDefault="00AC6F3C">
      <w:pPr>
        <w:pStyle w:val="BodyText"/>
      </w:pPr>
    </w:p>
    <w:p w14:paraId="3E925B33" w14:textId="77777777" w:rsidR="00AC6F3C" w:rsidRDefault="00AC6F3C">
      <w:pPr>
        <w:pStyle w:val="BodyText"/>
      </w:pPr>
    </w:p>
    <w:p w14:paraId="0FC178EA" w14:textId="77777777" w:rsidR="00AC6F3C" w:rsidRDefault="00AC6F3C">
      <w:pPr>
        <w:pStyle w:val="BodyText"/>
      </w:pPr>
    </w:p>
    <w:p w14:paraId="0C486421" w14:textId="77777777" w:rsidR="00AC6F3C" w:rsidRDefault="00AC6F3C">
      <w:pPr>
        <w:pStyle w:val="BodyText"/>
      </w:pPr>
    </w:p>
    <w:p w14:paraId="50360587" w14:textId="77777777" w:rsidR="00AC6F3C" w:rsidRDefault="00AC6F3C">
      <w:pPr>
        <w:pStyle w:val="BodyText"/>
        <w:spacing w:before="9"/>
        <w:rPr>
          <w:sz w:val="16"/>
        </w:rPr>
      </w:pPr>
    </w:p>
    <w:p w14:paraId="437EE715" w14:textId="77777777" w:rsidR="00AC6F3C" w:rsidRDefault="00570E88">
      <w:pPr>
        <w:pStyle w:val="BodyText"/>
        <w:spacing w:before="94"/>
        <w:ind w:left="928"/>
      </w:pPr>
      <w:r>
        <w:rPr>
          <w:spacing w:val="-5"/>
        </w:rPr>
        <w:lastRenderedPageBreak/>
        <w:t>PKF</w:t>
      </w:r>
    </w:p>
    <w:p w14:paraId="7673DEB4" w14:textId="77777777" w:rsidR="00AC6F3C" w:rsidRDefault="00AC6F3C">
      <w:pPr>
        <w:sectPr w:rsidR="00AC6F3C">
          <w:type w:val="continuous"/>
          <w:pgSz w:w="11910" w:h="16840"/>
          <w:pgMar w:top="1920" w:right="1160" w:bottom="280" w:left="460" w:header="0" w:footer="1889" w:gutter="0"/>
          <w:cols w:space="720"/>
        </w:sectPr>
      </w:pPr>
    </w:p>
    <w:p w14:paraId="56338392" w14:textId="77777777" w:rsidR="00AC6F3C" w:rsidRDefault="00570E88">
      <w:pPr>
        <w:spacing w:before="63"/>
        <w:ind w:left="815"/>
        <w:rPr>
          <w:b/>
          <w:sz w:val="26"/>
        </w:rPr>
      </w:pPr>
      <w:r>
        <w:rPr>
          <w:b/>
          <w:sz w:val="26"/>
        </w:rPr>
        <w:lastRenderedPageBreak/>
        <w:t>The</w:t>
      </w:r>
      <w:r>
        <w:rPr>
          <w:b/>
          <w:spacing w:val="-4"/>
          <w:sz w:val="26"/>
        </w:rPr>
        <w:t xml:space="preserve"> </w:t>
      </w:r>
      <w:r>
        <w:rPr>
          <w:b/>
          <w:sz w:val="26"/>
        </w:rPr>
        <w:t>legal</w:t>
      </w:r>
      <w:r>
        <w:rPr>
          <w:b/>
          <w:spacing w:val="-3"/>
          <w:sz w:val="26"/>
        </w:rPr>
        <w:t xml:space="preserve"> </w:t>
      </w:r>
      <w:r>
        <w:rPr>
          <w:b/>
          <w:sz w:val="26"/>
        </w:rPr>
        <w:t>landscape</w:t>
      </w:r>
      <w:r>
        <w:rPr>
          <w:b/>
          <w:spacing w:val="-3"/>
          <w:sz w:val="26"/>
        </w:rPr>
        <w:t xml:space="preserve"> </w:t>
      </w:r>
      <w:r>
        <w:rPr>
          <w:b/>
          <w:sz w:val="26"/>
        </w:rPr>
        <w:t>and</w:t>
      </w:r>
      <w:r>
        <w:rPr>
          <w:b/>
          <w:spacing w:val="-3"/>
          <w:sz w:val="26"/>
        </w:rPr>
        <w:t xml:space="preserve"> </w:t>
      </w:r>
      <w:proofErr w:type="gramStart"/>
      <w:r>
        <w:rPr>
          <w:b/>
          <w:sz w:val="26"/>
        </w:rPr>
        <w:t>plans</w:t>
      </w:r>
      <w:r>
        <w:rPr>
          <w:b/>
          <w:spacing w:val="-3"/>
          <w:sz w:val="26"/>
        </w:rPr>
        <w:t xml:space="preserve"> </w:t>
      </w:r>
      <w:r>
        <w:rPr>
          <w:b/>
          <w:sz w:val="26"/>
        </w:rPr>
        <w:t>for</w:t>
      </w:r>
      <w:r>
        <w:rPr>
          <w:b/>
          <w:spacing w:val="-3"/>
          <w:sz w:val="26"/>
        </w:rPr>
        <w:t xml:space="preserve"> </w:t>
      </w:r>
      <w:r>
        <w:rPr>
          <w:b/>
          <w:sz w:val="26"/>
        </w:rPr>
        <w:t>the</w:t>
      </w:r>
      <w:r>
        <w:rPr>
          <w:b/>
          <w:spacing w:val="-3"/>
          <w:sz w:val="26"/>
        </w:rPr>
        <w:t xml:space="preserve"> </w:t>
      </w:r>
      <w:r>
        <w:rPr>
          <w:b/>
          <w:sz w:val="26"/>
        </w:rPr>
        <w:t>future</w:t>
      </w:r>
      <w:proofErr w:type="gramEnd"/>
      <w:r>
        <w:rPr>
          <w:b/>
          <w:sz w:val="26"/>
        </w:rPr>
        <w:t>:</w:t>
      </w:r>
      <w:r>
        <w:rPr>
          <w:b/>
          <w:spacing w:val="-3"/>
          <w:sz w:val="26"/>
        </w:rPr>
        <w:t xml:space="preserve"> </w:t>
      </w:r>
      <w:r>
        <w:rPr>
          <w:b/>
          <w:sz w:val="26"/>
        </w:rPr>
        <w:t>Strategic</w:t>
      </w:r>
      <w:r>
        <w:rPr>
          <w:b/>
          <w:spacing w:val="-3"/>
          <w:sz w:val="26"/>
        </w:rPr>
        <w:t xml:space="preserve"> </w:t>
      </w:r>
      <w:r>
        <w:rPr>
          <w:b/>
          <w:sz w:val="26"/>
        </w:rPr>
        <w:t>Plan</w:t>
      </w:r>
      <w:r>
        <w:rPr>
          <w:b/>
          <w:spacing w:val="-3"/>
          <w:sz w:val="26"/>
        </w:rPr>
        <w:t xml:space="preserve"> </w:t>
      </w:r>
      <w:r>
        <w:rPr>
          <w:b/>
          <w:sz w:val="26"/>
        </w:rPr>
        <w:t>2021-</w:t>
      </w:r>
      <w:r>
        <w:rPr>
          <w:b/>
          <w:spacing w:val="-5"/>
          <w:sz w:val="26"/>
        </w:rPr>
        <w:t>25</w:t>
      </w:r>
    </w:p>
    <w:p w14:paraId="114B4C56" w14:textId="77777777" w:rsidR="00AC6F3C" w:rsidRDefault="00570E88">
      <w:pPr>
        <w:pStyle w:val="BodyText"/>
        <w:spacing w:before="167" w:line="249" w:lineRule="auto"/>
        <w:ind w:left="815" w:right="375"/>
      </w:pPr>
      <w:r>
        <w:t>This</w:t>
      </w:r>
      <w:r>
        <w:rPr>
          <w:spacing w:val="-3"/>
        </w:rPr>
        <w:t xml:space="preserve"> </w:t>
      </w:r>
      <w:r>
        <w:t>financial</w:t>
      </w:r>
      <w:r>
        <w:rPr>
          <w:spacing w:val="-3"/>
        </w:rPr>
        <w:t xml:space="preserve"> </w:t>
      </w:r>
      <w:r>
        <w:t>year</w:t>
      </w:r>
      <w:r>
        <w:rPr>
          <w:spacing w:val="-3"/>
        </w:rPr>
        <w:t xml:space="preserve"> </w:t>
      </w:r>
      <w:r>
        <w:t>the</w:t>
      </w:r>
      <w:r>
        <w:rPr>
          <w:spacing w:val="-3"/>
        </w:rPr>
        <w:t xml:space="preserve"> </w:t>
      </w:r>
      <w:r>
        <w:t>last</w:t>
      </w:r>
      <w:r>
        <w:rPr>
          <w:spacing w:val="-3"/>
        </w:rPr>
        <w:t xml:space="preserve"> </w:t>
      </w:r>
      <w:r>
        <w:t>vestiges</w:t>
      </w:r>
      <w:r>
        <w:rPr>
          <w:spacing w:val="-3"/>
        </w:rPr>
        <w:t xml:space="preserve"> </w:t>
      </w:r>
      <w:r>
        <w:t>of</w:t>
      </w:r>
      <w:r>
        <w:rPr>
          <w:spacing w:val="-3"/>
        </w:rPr>
        <w:t xml:space="preserve"> </w:t>
      </w:r>
      <w:r>
        <w:t>the</w:t>
      </w:r>
      <w:r>
        <w:rPr>
          <w:spacing w:val="-3"/>
        </w:rPr>
        <w:t xml:space="preserve"> </w:t>
      </w:r>
      <w:r>
        <w:t>pandemic</w:t>
      </w:r>
      <w:r>
        <w:rPr>
          <w:spacing w:val="-3"/>
        </w:rPr>
        <w:t xml:space="preserve"> </w:t>
      </w:r>
      <w:r>
        <w:t>have</w:t>
      </w:r>
      <w:r>
        <w:rPr>
          <w:spacing w:val="-3"/>
        </w:rPr>
        <w:t xml:space="preserve"> </w:t>
      </w:r>
      <w:r>
        <w:t>been</w:t>
      </w:r>
      <w:r>
        <w:rPr>
          <w:spacing w:val="-3"/>
        </w:rPr>
        <w:t xml:space="preserve"> </w:t>
      </w:r>
      <w:r>
        <w:t>mainly</w:t>
      </w:r>
      <w:r>
        <w:rPr>
          <w:spacing w:val="-3"/>
        </w:rPr>
        <w:t xml:space="preserve"> </w:t>
      </w:r>
      <w:r>
        <w:t>behind</w:t>
      </w:r>
      <w:r>
        <w:rPr>
          <w:spacing w:val="-3"/>
        </w:rPr>
        <w:t xml:space="preserve"> </w:t>
      </w:r>
      <w:r>
        <w:t>us,</w:t>
      </w:r>
      <w:r>
        <w:rPr>
          <w:spacing w:val="-3"/>
        </w:rPr>
        <w:t xml:space="preserve"> </w:t>
      </w:r>
      <w:r>
        <w:t>and</w:t>
      </w:r>
      <w:r>
        <w:rPr>
          <w:spacing w:val="-3"/>
        </w:rPr>
        <w:t xml:space="preserve"> </w:t>
      </w:r>
      <w:r>
        <w:t>the</w:t>
      </w:r>
      <w:r>
        <w:rPr>
          <w:spacing w:val="-3"/>
        </w:rPr>
        <w:t xml:space="preserve"> </w:t>
      </w:r>
      <w:r>
        <w:t xml:space="preserve">continuation of the return to “the new normal” has allowed us to </w:t>
      </w:r>
      <w:proofErr w:type="gramStart"/>
      <w:r>
        <w:t>hone in on</w:t>
      </w:r>
      <w:proofErr w:type="gramEnd"/>
      <w:r>
        <w:t xml:space="preserve"> our technological and digital initiatives and advancing the refurbishment of Law Society House. It is predicted that at the start of the new financial year, the refurbishment works will be </w:t>
      </w:r>
      <w:proofErr w:type="gramStart"/>
      <w:r>
        <w:t>completed</w:t>
      </w:r>
      <w:proofErr w:type="gramEnd"/>
      <w:r>
        <w:t xml:space="preserve"> and members will have an opportunity</w:t>
      </w:r>
    </w:p>
    <w:p w14:paraId="10BC3FFC" w14:textId="77777777" w:rsidR="00AC6F3C" w:rsidRDefault="00570E88">
      <w:pPr>
        <w:pStyle w:val="BodyText"/>
        <w:spacing w:before="4" w:line="427" w:lineRule="auto"/>
        <w:ind w:left="815" w:right="1424"/>
      </w:pPr>
      <w:r>
        <w:t>to</w:t>
      </w:r>
      <w:r>
        <w:rPr>
          <w:spacing w:val="-3"/>
        </w:rPr>
        <w:t xml:space="preserve"> </w:t>
      </w:r>
      <w:proofErr w:type="spellStart"/>
      <w:r>
        <w:t>utilise</w:t>
      </w:r>
      <w:proofErr w:type="spellEnd"/>
      <w:r>
        <w:rPr>
          <w:spacing w:val="-3"/>
        </w:rPr>
        <w:t xml:space="preserve"> </w:t>
      </w:r>
      <w:r>
        <w:t>arbitration</w:t>
      </w:r>
      <w:r>
        <w:rPr>
          <w:spacing w:val="-3"/>
        </w:rPr>
        <w:t xml:space="preserve"> </w:t>
      </w:r>
      <w:r>
        <w:t>and</w:t>
      </w:r>
      <w:r>
        <w:rPr>
          <w:spacing w:val="-3"/>
        </w:rPr>
        <w:t xml:space="preserve"> </w:t>
      </w:r>
      <w:r>
        <w:t>expanded</w:t>
      </w:r>
      <w:r>
        <w:rPr>
          <w:spacing w:val="-3"/>
        </w:rPr>
        <w:t xml:space="preserve"> </w:t>
      </w:r>
      <w:r>
        <w:t>member</w:t>
      </w:r>
      <w:r>
        <w:rPr>
          <w:spacing w:val="-3"/>
        </w:rPr>
        <w:t xml:space="preserve"> </w:t>
      </w:r>
      <w:r>
        <w:t>services</w:t>
      </w:r>
      <w:r>
        <w:rPr>
          <w:spacing w:val="-3"/>
        </w:rPr>
        <w:t xml:space="preserve"> </w:t>
      </w:r>
      <w:r>
        <w:t>and</w:t>
      </w:r>
      <w:r>
        <w:rPr>
          <w:spacing w:val="-3"/>
        </w:rPr>
        <w:t xml:space="preserve"> </w:t>
      </w:r>
      <w:r>
        <w:t>facilities</w:t>
      </w:r>
      <w:r>
        <w:rPr>
          <w:spacing w:val="-3"/>
        </w:rPr>
        <w:t xml:space="preserve"> </w:t>
      </w:r>
      <w:r>
        <w:t>at</w:t>
      </w:r>
      <w:r>
        <w:rPr>
          <w:spacing w:val="-3"/>
        </w:rPr>
        <w:t xml:space="preserve"> </w:t>
      </w:r>
      <w:r>
        <w:t>Law</w:t>
      </w:r>
      <w:r>
        <w:rPr>
          <w:spacing w:val="-3"/>
        </w:rPr>
        <w:t xml:space="preserve"> </w:t>
      </w:r>
      <w:r>
        <w:t>Society</w:t>
      </w:r>
      <w:r>
        <w:rPr>
          <w:spacing w:val="-3"/>
        </w:rPr>
        <w:t xml:space="preserve"> </w:t>
      </w:r>
      <w:r>
        <w:t>House. The plans and projects for the future include:</w:t>
      </w:r>
    </w:p>
    <w:p w14:paraId="20EF57A1" w14:textId="77777777" w:rsidR="00AC6F3C" w:rsidRDefault="00570E88">
      <w:pPr>
        <w:pStyle w:val="ListParagraph"/>
        <w:numPr>
          <w:ilvl w:val="1"/>
          <w:numId w:val="59"/>
        </w:numPr>
        <w:tabs>
          <w:tab w:val="left" w:pos="1155"/>
        </w:tabs>
        <w:spacing w:before="1"/>
        <w:ind w:hanging="340"/>
        <w:rPr>
          <w:sz w:val="20"/>
        </w:rPr>
      </w:pPr>
      <w:r>
        <w:rPr>
          <w:sz w:val="20"/>
        </w:rPr>
        <w:t>QLS</w:t>
      </w:r>
      <w:r>
        <w:rPr>
          <w:spacing w:val="-5"/>
          <w:sz w:val="20"/>
        </w:rPr>
        <w:t xml:space="preserve"> </w:t>
      </w:r>
      <w:r>
        <w:rPr>
          <w:sz w:val="20"/>
        </w:rPr>
        <w:t>Council</w:t>
      </w:r>
      <w:r>
        <w:rPr>
          <w:spacing w:val="-5"/>
          <w:sz w:val="20"/>
        </w:rPr>
        <w:t xml:space="preserve"> </w:t>
      </w:r>
      <w:r>
        <w:rPr>
          <w:sz w:val="20"/>
        </w:rPr>
        <w:t>governance</w:t>
      </w:r>
      <w:r>
        <w:rPr>
          <w:spacing w:val="-5"/>
          <w:sz w:val="20"/>
        </w:rPr>
        <w:t xml:space="preserve"> </w:t>
      </w:r>
      <w:r>
        <w:rPr>
          <w:spacing w:val="-2"/>
          <w:sz w:val="20"/>
        </w:rPr>
        <w:t>projects</w:t>
      </w:r>
    </w:p>
    <w:p w14:paraId="19016DFE" w14:textId="77777777" w:rsidR="00AC6F3C" w:rsidRDefault="00570E88">
      <w:pPr>
        <w:pStyle w:val="ListParagraph"/>
        <w:numPr>
          <w:ilvl w:val="1"/>
          <w:numId w:val="59"/>
        </w:numPr>
        <w:tabs>
          <w:tab w:val="left" w:pos="1155"/>
        </w:tabs>
        <w:ind w:hanging="340"/>
        <w:rPr>
          <w:sz w:val="20"/>
        </w:rPr>
      </w:pPr>
      <w:r>
        <w:rPr>
          <w:sz w:val="20"/>
        </w:rPr>
        <w:t>IT/</w:t>
      </w:r>
      <w:r>
        <w:rPr>
          <w:spacing w:val="-3"/>
          <w:sz w:val="20"/>
        </w:rPr>
        <w:t xml:space="preserve"> </w:t>
      </w:r>
      <w:r>
        <w:rPr>
          <w:sz w:val="20"/>
        </w:rPr>
        <w:t>Dynamics enhancements</w:t>
      </w:r>
      <w:r>
        <w:rPr>
          <w:spacing w:val="-1"/>
          <w:sz w:val="20"/>
        </w:rPr>
        <w:t xml:space="preserve"> </w:t>
      </w:r>
      <w:r>
        <w:rPr>
          <w:sz w:val="20"/>
        </w:rPr>
        <w:t xml:space="preserve">and </w:t>
      </w:r>
      <w:r>
        <w:rPr>
          <w:spacing w:val="-2"/>
          <w:sz w:val="20"/>
        </w:rPr>
        <w:t>refinements</w:t>
      </w:r>
    </w:p>
    <w:p w14:paraId="66E56D15" w14:textId="77777777" w:rsidR="00AC6F3C" w:rsidRDefault="00570E88">
      <w:pPr>
        <w:pStyle w:val="ListParagraph"/>
        <w:numPr>
          <w:ilvl w:val="1"/>
          <w:numId w:val="59"/>
        </w:numPr>
        <w:tabs>
          <w:tab w:val="left" w:pos="1155"/>
        </w:tabs>
        <w:ind w:hanging="340"/>
        <w:rPr>
          <w:sz w:val="20"/>
        </w:rPr>
      </w:pPr>
      <w:r>
        <w:rPr>
          <w:sz w:val="20"/>
        </w:rPr>
        <w:t>Domestic</w:t>
      </w:r>
      <w:r>
        <w:rPr>
          <w:spacing w:val="-5"/>
          <w:sz w:val="20"/>
        </w:rPr>
        <w:t xml:space="preserve"> </w:t>
      </w:r>
      <w:r>
        <w:rPr>
          <w:sz w:val="20"/>
        </w:rPr>
        <w:t>and</w:t>
      </w:r>
      <w:r>
        <w:rPr>
          <w:spacing w:val="-4"/>
          <w:sz w:val="20"/>
        </w:rPr>
        <w:t xml:space="preserve"> </w:t>
      </w:r>
      <w:r>
        <w:rPr>
          <w:sz w:val="20"/>
        </w:rPr>
        <w:t>Family</w:t>
      </w:r>
      <w:r>
        <w:rPr>
          <w:spacing w:val="-4"/>
          <w:sz w:val="20"/>
        </w:rPr>
        <w:t xml:space="preserve"> </w:t>
      </w:r>
      <w:r>
        <w:rPr>
          <w:sz w:val="20"/>
        </w:rPr>
        <w:t>Violence</w:t>
      </w:r>
      <w:r>
        <w:rPr>
          <w:spacing w:val="-4"/>
          <w:sz w:val="20"/>
        </w:rPr>
        <w:t xml:space="preserve"> </w:t>
      </w:r>
      <w:r>
        <w:rPr>
          <w:sz w:val="20"/>
        </w:rPr>
        <w:t>and</w:t>
      </w:r>
      <w:r>
        <w:rPr>
          <w:spacing w:val="-8"/>
          <w:sz w:val="20"/>
        </w:rPr>
        <w:t xml:space="preserve"> </w:t>
      </w:r>
      <w:r>
        <w:rPr>
          <w:sz w:val="20"/>
        </w:rPr>
        <w:t>Trauma</w:t>
      </w:r>
      <w:r>
        <w:rPr>
          <w:spacing w:val="-4"/>
          <w:sz w:val="20"/>
        </w:rPr>
        <w:t xml:space="preserve"> </w:t>
      </w:r>
      <w:r>
        <w:rPr>
          <w:sz w:val="20"/>
        </w:rPr>
        <w:t>Informed</w:t>
      </w:r>
      <w:r>
        <w:rPr>
          <w:spacing w:val="-4"/>
          <w:sz w:val="20"/>
        </w:rPr>
        <w:t xml:space="preserve"> </w:t>
      </w:r>
      <w:r>
        <w:rPr>
          <w:sz w:val="20"/>
        </w:rPr>
        <w:t>Practice,</w:t>
      </w:r>
      <w:r>
        <w:rPr>
          <w:spacing w:val="-4"/>
          <w:sz w:val="20"/>
        </w:rPr>
        <w:t xml:space="preserve"> </w:t>
      </w:r>
      <w:r>
        <w:rPr>
          <w:spacing w:val="-5"/>
          <w:sz w:val="20"/>
        </w:rPr>
        <w:t>and</w:t>
      </w:r>
    </w:p>
    <w:p w14:paraId="0A96A73B" w14:textId="77777777" w:rsidR="00AC6F3C" w:rsidRDefault="00570E88">
      <w:pPr>
        <w:pStyle w:val="ListParagraph"/>
        <w:numPr>
          <w:ilvl w:val="1"/>
          <w:numId w:val="59"/>
        </w:numPr>
        <w:tabs>
          <w:tab w:val="left" w:pos="1155"/>
        </w:tabs>
        <w:ind w:hanging="340"/>
        <w:rPr>
          <w:sz w:val="20"/>
        </w:rPr>
      </w:pPr>
      <w:r>
        <w:rPr>
          <w:sz w:val="20"/>
        </w:rPr>
        <w:t>Register</w:t>
      </w:r>
      <w:r>
        <w:rPr>
          <w:spacing w:val="-3"/>
          <w:sz w:val="20"/>
        </w:rPr>
        <w:t xml:space="preserve"> </w:t>
      </w:r>
      <w:r>
        <w:rPr>
          <w:sz w:val="20"/>
        </w:rPr>
        <w:t>and</w:t>
      </w:r>
      <w:r>
        <w:rPr>
          <w:spacing w:val="-3"/>
          <w:sz w:val="20"/>
        </w:rPr>
        <w:t xml:space="preserve"> </w:t>
      </w:r>
      <w:r>
        <w:rPr>
          <w:sz w:val="20"/>
        </w:rPr>
        <w:t>track</w:t>
      </w:r>
      <w:r>
        <w:rPr>
          <w:spacing w:val="-3"/>
          <w:sz w:val="20"/>
        </w:rPr>
        <w:t xml:space="preserve"> </w:t>
      </w:r>
      <w:r>
        <w:rPr>
          <w:sz w:val="20"/>
        </w:rPr>
        <w:t>Diversity</w:t>
      </w:r>
      <w:r>
        <w:rPr>
          <w:spacing w:val="-2"/>
          <w:sz w:val="20"/>
        </w:rPr>
        <w:t xml:space="preserve"> </w:t>
      </w:r>
      <w:r>
        <w:rPr>
          <w:sz w:val="20"/>
        </w:rPr>
        <w:t>Council</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Inclusive</w:t>
      </w:r>
      <w:r>
        <w:rPr>
          <w:spacing w:val="-3"/>
          <w:sz w:val="20"/>
        </w:rPr>
        <w:t xml:space="preserve"> </w:t>
      </w:r>
      <w:r>
        <w:rPr>
          <w:sz w:val="20"/>
        </w:rPr>
        <w:t>Employer</w:t>
      </w:r>
      <w:r>
        <w:rPr>
          <w:spacing w:val="-2"/>
          <w:sz w:val="20"/>
        </w:rPr>
        <w:t xml:space="preserve"> Index.</w:t>
      </w:r>
    </w:p>
    <w:p w14:paraId="509A4BCA" w14:textId="77777777" w:rsidR="00AC6F3C" w:rsidRDefault="00570E88">
      <w:pPr>
        <w:pStyle w:val="BodyText"/>
        <w:spacing w:before="180" w:line="249" w:lineRule="auto"/>
        <w:ind w:left="815" w:right="234"/>
      </w:pPr>
      <w:r>
        <w:t>Our future goals continue to include growing membership conversion, growing attendance numbers to events</w:t>
      </w:r>
      <w:r>
        <w:rPr>
          <w:spacing w:val="-3"/>
        </w:rPr>
        <w:t xml:space="preserve"> </w:t>
      </w:r>
      <w:r>
        <w:t>and</w:t>
      </w:r>
      <w:r>
        <w:rPr>
          <w:spacing w:val="-3"/>
        </w:rPr>
        <w:t xml:space="preserve"> </w:t>
      </w:r>
      <w:r>
        <w:t>education,</w:t>
      </w:r>
      <w:r>
        <w:rPr>
          <w:spacing w:val="-3"/>
        </w:rPr>
        <w:t xml:space="preserve"> </w:t>
      </w:r>
      <w:r>
        <w:t>grow</w:t>
      </w:r>
      <w:r>
        <w:rPr>
          <w:spacing w:val="-3"/>
        </w:rPr>
        <w:t xml:space="preserve"> </w:t>
      </w:r>
      <w:r>
        <w:t>member</w:t>
      </w:r>
      <w:r>
        <w:rPr>
          <w:spacing w:val="-3"/>
        </w:rPr>
        <w:t xml:space="preserve"> </w:t>
      </w:r>
      <w:r>
        <w:t>outreach,</w:t>
      </w:r>
      <w:r>
        <w:rPr>
          <w:spacing w:val="-3"/>
        </w:rPr>
        <w:t xml:space="preserve"> </w:t>
      </w:r>
      <w:r>
        <w:t>consultancy</w:t>
      </w:r>
      <w:r>
        <w:rPr>
          <w:spacing w:val="-3"/>
        </w:rPr>
        <w:t xml:space="preserve"> </w:t>
      </w:r>
      <w:r>
        <w:t>and</w:t>
      </w:r>
      <w:r>
        <w:rPr>
          <w:spacing w:val="-3"/>
        </w:rPr>
        <w:t xml:space="preserve"> </w:t>
      </w:r>
      <w:r>
        <w:t>supports,</w:t>
      </w:r>
      <w:r>
        <w:rPr>
          <w:spacing w:val="-3"/>
        </w:rPr>
        <w:t xml:space="preserve"> </w:t>
      </w:r>
      <w:r>
        <w:t>engaging</w:t>
      </w:r>
      <w:r>
        <w:rPr>
          <w:spacing w:val="-3"/>
        </w:rPr>
        <w:t xml:space="preserve"> </w:t>
      </w:r>
      <w:r>
        <w:t>our</w:t>
      </w:r>
      <w:r>
        <w:rPr>
          <w:spacing w:val="-3"/>
        </w:rPr>
        <w:t xml:space="preserve"> </w:t>
      </w:r>
      <w:r>
        <w:t>volunteer</w:t>
      </w:r>
      <w:r>
        <w:rPr>
          <w:spacing w:val="-3"/>
        </w:rPr>
        <w:t xml:space="preserve"> </w:t>
      </w:r>
      <w:r>
        <w:t xml:space="preserve">base and supporting, </w:t>
      </w:r>
      <w:proofErr w:type="gramStart"/>
      <w:r>
        <w:t>monitoring</w:t>
      </w:r>
      <w:proofErr w:type="gramEnd"/>
      <w:r>
        <w:t xml:space="preserve"> and responding to at-risk practices and practitioners.</w:t>
      </w:r>
    </w:p>
    <w:p w14:paraId="4A5A578E" w14:textId="77777777" w:rsidR="00AC6F3C" w:rsidRDefault="00570E88">
      <w:pPr>
        <w:pStyle w:val="BodyText"/>
        <w:spacing w:before="172"/>
        <w:ind w:left="815"/>
      </w:pPr>
      <w:r>
        <w:t>The</w:t>
      </w:r>
      <w:r>
        <w:rPr>
          <w:spacing w:val="-3"/>
        </w:rPr>
        <w:t xml:space="preserve"> </w:t>
      </w:r>
      <w:r>
        <w:t>QLS</w:t>
      </w:r>
      <w:r>
        <w:rPr>
          <w:spacing w:val="-3"/>
        </w:rPr>
        <w:t xml:space="preserve"> </w:t>
      </w:r>
      <w:r>
        <w:t>Strategic</w:t>
      </w:r>
      <w:r>
        <w:rPr>
          <w:spacing w:val="-2"/>
        </w:rPr>
        <w:t xml:space="preserve"> </w:t>
      </w:r>
      <w:r>
        <w:t>Plan</w:t>
      </w:r>
      <w:r>
        <w:rPr>
          <w:spacing w:val="-3"/>
        </w:rPr>
        <w:t xml:space="preserve"> </w:t>
      </w:r>
      <w:r>
        <w:t>2021-25</w:t>
      </w:r>
      <w:r>
        <w:rPr>
          <w:spacing w:val="-2"/>
        </w:rPr>
        <w:t xml:space="preserve"> </w:t>
      </w:r>
      <w:r>
        <w:t>is</w:t>
      </w:r>
      <w:r>
        <w:rPr>
          <w:spacing w:val="-3"/>
        </w:rPr>
        <w:t xml:space="preserve"> </w:t>
      </w:r>
      <w:r>
        <w:t>available</w:t>
      </w:r>
      <w:r>
        <w:rPr>
          <w:spacing w:val="-3"/>
        </w:rPr>
        <w:t xml:space="preserve"> </w:t>
      </w:r>
      <w:r>
        <w:t>on</w:t>
      </w:r>
      <w:r>
        <w:rPr>
          <w:spacing w:val="-2"/>
        </w:rPr>
        <w:t xml:space="preserve"> </w:t>
      </w:r>
      <w:r>
        <w:t>our</w:t>
      </w:r>
      <w:r>
        <w:rPr>
          <w:spacing w:val="-3"/>
        </w:rPr>
        <w:t xml:space="preserve"> </w:t>
      </w:r>
      <w:r>
        <w:t>website</w:t>
      </w:r>
      <w:r>
        <w:rPr>
          <w:spacing w:val="-2"/>
        </w:rPr>
        <w:t xml:space="preserve"> </w:t>
      </w:r>
      <w:hyperlink r:id="rId60">
        <w:r>
          <w:rPr>
            <w:b/>
            <w:spacing w:val="-2"/>
            <w:u w:val="single"/>
          </w:rPr>
          <w:t>qls.com.au</w:t>
        </w:r>
      </w:hyperlink>
      <w:r>
        <w:rPr>
          <w:spacing w:val="-2"/>
        </w:rPr>
        <w:t>.</w:t>
      </w:r>
    </w:p>
    <w:p w14:paraId="06DDADE5" w14:textId="77777777" w:rsidR="00AC6F3C" w:rsidRDefault="00AC6F3C">
      <w:pPr>
        <w:pStyle w:val="BodyText"/>
        <w:spacing w:before="10"/>
        <w:rPr>
          <w:sz w:val="31"/>
        </w:rPr>
      </w:pPr>
    </w:p>
    <w:p w14:paraId="0164CC5D" w14:textId="77777777" w:rsidR="00AC6F3C" w:rsidRDefault="00570E88">
      <w:pPr>
        <w:ind w:left="815"/>
        <w:rPr>
          <w:b/>
          <w:sz w:val="26"/>
        </w:rPr>
      </w:pPr>
      <w:r>
        <w:rPr>
          <w:b/>
          <w:sz w:val="26"/>
        </w:rPr>
        <w:t>Operating</w:t>
      </w:r>
      <w:r>
        <w:rPr>
          <w:b/>
          <w:spacing w:val="-3"/>
          <w:sz w:val="26"/>
        </w:rPr>
        <w:t xml:space="preserve"> </w:t>
      </w:r>
      <w:r>
        <w:rPr>
          <w:b/>
          <w:sz w:val="26"/>
        </w:rPr>
        <w:t>plan</w:t>
      </w:r>
      <w:r>
        <w:rPr>
          <w:b/>
          <w:spacing w:val="-2"/>
          <w:sz w:val="26"/>
        </w:rPr>
        <w:t xml:space="preserve"> </w:t>
      </w:r>
      <w:r>
        <w:rPr>
          <w:b/>
          <w:sz w:val="26"/>
        </w:rPr>
        <w:t>2023-</w:t>
      </w:r>
      <w:r>
        <w:rPr>
          <w:b/>
          <w:spacing w:val="-5"/>
          <w:sz w:val="26"/>
        </w:rPr>
        <w:t>24</w:t>
      </w:r>
    </w:p>
    <w:p w14:paraId="1300B8AC" w14:textId="77777777" w:rsidR="00AC6F3C" w:rsidRDefault="00570E88">
      <w:pPr>
        <w:pStyle w:val="BodyText"/>
        <w:spacing w:before="168" w:line="249" w:lineRule="auto"/>
        <w:ind w:left="815" w:right="256"/>
      </w:pPr>
      <w:r>
        <w:t>Our</w:t>
      </w:r>
      <w:r>
        <w:rPr>
          <w:spacing w:val="-3"/>
        </w:rPr>
        <w:t xml:space="preserve"> </w:t>
      </w:r>
      <w:r>
        <w:t>new</w:t>
      </w:r>
      <w:r>
        <w:rPr>
          <w:spacing w:val="-3"/>
        </w:rPr>
        <w:t xml:space="preserve"> </w:t>
      </w:r>
      <w:r>
        <w:t>operating</w:t>
      </w:r>
      <w:r>
        <w:rPr>
          <w:spacing w:val="-3"/>
        </w:rPr>
        <w:t xml:space="preserve"> </w:t>
      </w:r>
      <w:r>
        <w:t>plan</w:t>
      </w:r>
      <w:r>
        <w:rPr>
          <w:spacing w:val="-3"/>
        </w:rPr>
        <w:t xml:space="preserve"> </w:t>
      </w:r>
      <w:r>
        <w:t>2023-24,</w:t>
      </w:r>
      <w:r>
        <w:rPr>
          <w:spacing w:val="-3"/>
        </w:rPr>
        <w:t xml:space="preserve"> </w:t>
      </w:r>
      <w:r>
        <w:t>developed</w:t>
      </w:r>
      <w:r>
        <w:rPr>
          <w:spacing w:val="-3"/>
        </w:rPr>
        <w:t xml:space="preserve"> </w:t>
      </w:r>
      <w:r>
        <w:t>over</w:t>
      </w:r>
      <w:r>
        <w:rPr>
          <w:spacing w:val="-3"/>
        </w:rPr>
        <w:t xml:space="preserve"> </w:t>
      </w:r>
      <w:r>
        <w:t>the</w:t>
      </w:r>
      <w:r>
        <w:rPr>
          <w:spacing w:val="-3"/>
        </w:rPr>
        <w:t xml:space="preserve"> </w:t>
      </w:r>
      <w:proofErr w:type="gramStart"/>
      <w:r>
        <w:t>financial</w:t>
      </w:r>
      <w:r>
        <w:rPr>
          <w:spacing w:val="-3"/>
        </w:rPr>
        <w:t xml:space="preserve"> </w:t>
      </w:r>
      <w:r>
        <w:t>year</w:t>
      </w:r>
      <w:proofErr w:type="gramEnd"/>
      <w:r>
        <w:rPr>
          <w:spacing w:val="-3"/>
        </w:rPr>
        <w:t xml:space="preserve"> </w:t>
      </w:r>
      <w:r>
        <w:t>and</w:t>
      </w:r>
      <w:r>
        <w:rPr>
          <w:spacing w:val="-3"/>
        </w:rPr>
        <w:t xml:space="preserve"> </w:t>
      </w:r>
      <w:r>
        <w:t>effective</w:t>
      </w:r>
      <w:r>
        <w:rPr>
          <w:spacing w:val="-3"/>
        </w:rPr>
        <w:t xml:space="preserve"> </w:t>
      </w:r>
      <w:r>
        <w:t>1</w:t>
      </w:r>
      <w:r>
        <w:rPr>
          <w:spacing w:val="-3"/>
        </w:rPr>
        <w:t xml:space="preserve"> </w:t>
      </w:r>
      <w:r>
        <w:t>July</w:t>
      </w:r>
      <w:r>
        <w:rPr>
          <w:spacing w:val="-3"/>
        </w:rPr>
        <w:t xml:space="preserve"> </w:t>
      </w:r>
      <w:r>
        <w:t>2023,</w:t>
      </w:r>
      <w:r>
        <w:rPr>
          <w:spacing w:val="-3"/>
        </w:rPr>
        <w:t xml:space="preserve"> </w:t>
      </w:r>
      <w:r>
        <w:t>is</w:t>
      </w:r>
      <w:r>
        <w:rPr>
          <w:spacing w:val="-3"/>
        </w:rPr>
        <w:t xml:space="preserve"> </w:t>
      </w:r>
      <w:r>
        <w:t>the</w:t>
      </w:r>
      <w:r>
        <w:rPr>
          <w:spacing w:val="-3"/>
        </w:rPr>
        <w:t xml:space="preserve"> </w:t>
      </w:r>
      <w:r>
        <w:t xml:space="preserve">third plan under the 2021-25 Strategic Plan. Our new operation plan sets out </w:t>
      </w:r>
      <w:proofErr w:type="gramStart"/>
      <w:r>
        <w:t>23</w:t>
      </w:r>
      <w:proofErr w:type="gramEnd"/>
      <w:r>
        <w:t xml:space="preserve"> initiatives in advancing our six strategic objectives to see through the third year of the Strategic Plan 2021-25.</w:t>
      </w:r>
    </w:p>
    <w:p w14:paraId="1DB94A65" w14:textId="77777777" w:rsidR="00AC6F3C" w:rsidRDefault="00570E88">
      <w:pPr>
        <w:pStyle w:val="BodyText"/>
        <w:spacing w:before="172"/>
        <w:ind w:left="815"/>
      </w:pPr>
      <w:r>
        <w:t>The</w:t>
      </w:r>
      <w:r>
        <w:rPr>
          <w:spacing w:val="-3"/>
        </w:rPr>
        <w:t xml:space="preserve"> </w:t>
      </w:r>
      <w:r>
        <w:t>QLS</w:t>
      </w:r>
      <w:r>
        <w:rPr>
          <w:spacing w:val="-3"/>
        </w:rPr>
        <w:t xml:space="preserve"> </w:t>
      </w:r>
      <w:r>
        <w:t>Operating</w:t>
      </w:r>
      <w:r>
        <w:rPr>
          <w:spacing w:val="-3"/>
        </w:rPr>
        <w:t xml:space="preserve"> </w:t>
      </w:r>
      <w:r>
        <w:t>Plan</w:t>
      </w:r>
      <w:r>
        <w:rPr>
          <w:spacing w:val="-3"/>
        </w:rPr>
        <w:t xml:space="preserve"> </w:t>
      </w:r>
      <w:r>
        <w:t>2022-23</w:t>
      </w:r>
      <w:r>
        <w:rPr>
          <w:spacing w:val="-3"/>
        </w:rPr>
        <w:t xml:space="preserve"> </w:t>
      </w:r>
      <w:proofErr w:type="gramStart"/>
      <w:r>
        <w:t>at</w:t>
      </w:r>
      <w:r>
        <w:rPr>
          <w:spacing w:val="-3"/>
        </w:rPr>
        <w:t xml:space="preserve"> </w:t>
      </w:r>
      <w:r>
        <w:t>a</w:t>
      </w:r>
      <w:r>
        <w:rPr>
          <w:spacing w:val="-3"/>
        </w:rPr>
        <w:t xml:space="preserve"> </w:t>
      </w:r>
      <w:r>
        <w:t>glance</w:t>
      </w:r>
      <w:proofErr w:type="gramEnd"/>
      <w:r>
        <w:rPr>
          <w:spacing w:val="-3"/>
        </w:rPr>
        <w:t xml:space="preserve"> </w:t>
      </w:r>
      <w:r>
        <w:t>is</w:t>
      </w:r>
      <w:r>
        <w:rPr>
          <w:spacing w:val="-3"/>
        </w:rPr>
        <w:t xml:space="preserve"> </w:t>
      </w:r>
      <w:r>
        <w:t>available</w:t>
      </w:r>
      <w:r>
        <w:rPr>
          <w:spacing w:val="-3"/>
        </w:rPr>
        <w:t xml:space="preserve"> </w:t>
      </w:r>
      <w:r>
        <w:t>on</w:t>
      </w:r>
      <w:r>
        <w:rPr>
          <w:spacing w:val="-3"/>
        </w:rPr>
        <w:t xml:space="preserve"> </w:t>
      </w:r>
      <w:r>
        <w:t>our</w:t>
      </w:r>
      <w:r>
        <w:rPr>
          <w:spacing w:val="-3"/>
        </w:rPr>
        <w:t xml:space="preserve"> </w:t>
      </w:r>
      <w:r>
        <w:t>website</w:t>
      </w:r>
      <w:r>
        <w:rPr>
          <w:spacing w:val="-2"/>
        </w:rPr>
        <w:t xml:space="preserve"> </w:t>
      </w:r>
      <w:hyperlink r:id="rId61">
        <w:r>
          <w:rPr>
            <w:b/>
            <w:spacing w:val="-2"/>
            <w:u w:val="single"/>
          </w:rPr>
          <w:t>qls.com.au</w:t>
        </w:r>
      </w:hyperlink>
      <w:r>
        <w:rPr>
          <w:spacing w:val="-2"/>
        </w:rPr>
        <w:t>.</w:t>
      </w:r>
    </w:p>
    <w:p w14:paraId="6867D49A" w14:textId="77777777" w:rsidR="00AC6F3C" w:rsidRDefault="00AC6F3C">
      <w:pPr>
        <w:sectPr w:rsidR="00AC6F3C">
          <w:headerReference w:type="default" r:id="rId62"/>
          <w:footerReference w:type="default" r:id="rId63"/>
          <w:pgSz w:w="11910" w:h="16840"/>
          <w:pgMar w:top="1140" w:right="1160" w:bottom="520" w:left="460" w:header="0" w:footer="336" w:gutter="0"/>
          <w:cols w:space="720"/>
        </w:sectPr>
      </w:pPr>
    </w:p>
    <w:p w14:paraId="7253FA36"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54B2EC90" wp14:editId="6F2A2DBF">
                <wp:extent cx="5940425" cy="25400"/>
                <wp:effectExtent l="19050" t="0" r="3175" b="317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275" name="Graphic 275"/>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7E4D31" id="Group 274"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">
                <v:shape id="Graphic 275"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" path="m,l5940005,e" filled="f" strokeweight="2pt">
                  <v:path arrowok="t"/>
                </v:shape>
                <w10:anchorlock/>
              </v:group>
            </w:pict>
          </mc:Fallback>
        </mc:AlternateContent>
      </w:r>
    </w:p>
    <w:p w14:paraId="1AB2DF1B" w14:textId="77777777" w:rsidR="00AC6F3C" w:rsidRDefault="00570E88">
      <w:pPr>
        <w:pStyle w:val="Heading2"/>
        <w:rPr>
          <w:sz w:val="25"/>
        </w:rPr>
      </w:pPr>
      <w:bookmarkStart w:id="26" w:name="Profession_snapshot#"/>
      <w:bookmarkStart w:id="27" w:name="Total_QLS_Members"/>
      <w:bookmarkStart w:id="28" w:name="Total_Queensland_Practising_Certificates"/>
      <w:bookmarkStart w:id="29" w:name="Practising_Certificate_by_type_"/>
      <w:bookmarkStart w:id="30" w:name="Total_membership_by_Category_"/>
      <w:bookmarkStart w:id="31" w:name="_bookmark10"/>
      <w:bookmarkEnd w:id="26"/>
      <w:bookmarkEnd w:id="27"/>
      <w:bookmarkEnd w:id="28"/>
      <w:bookmarkEnd w:id="29"/>
      <w:bookmarkEnd w:id="30"/>
      <w:bookmarkEnd w:id="31"/>
      <w:r>
        <w:t xml:space="preserve">Profession </w:t>
      </w:r>
      <w:r>
        <w:rPr>
          <w:spacing w:val="-2"/>
        </w:rPr>
        <w:t>snapshot</w:t>
      </w:r>
      <w:r>
        <w:rPr>
          <w:spacing w:val="-2"/>
          <w:position w:val="15"/>
          <w:sz w:val="25"/>
        </w:rPr>
        <w:t>#</w:t>
      </w:r>
    </w:p>
    <w:p w14:paraId="5B25E174" w14:textId="77777777" w:rsidR="00AC6F3C" w:rsidRDefault="00AC6F3C">
      <w:pPr>
        <w:pStyle w:val="BodyText"/>
        <w:spacing w:before="6"/>
        <w:rPr>
          <w:b/>
          <w:sz w:val="43"/>
        </w:rPr>
      </w:pPr>
    </w:p>
    <w:p w14:paraId="57470664" w14:textId="77777777" w:rsidR="00AC6F3C" w:rsidRDefault="00570E88">
      <w:pPr>
        <w:pStyle w:val="Heading3"/>
      </w:pPr>
      <w:r>
        <w:t>Total</w:t>
      </w:r>
      <w:r>
        <w:rPr>
          <w:spacing w:val="-12"/>
        </w:rPr>
        <w:t xml:space="preserve"> </w:t>
      </w:r>
      <w:r>
        <w:t>QLS</w:t>
      </w:r>
      <w:r>
        <w:rPr>
          <w:spacing w:val="-12"/>
        </w:rPr>
        <w:t xml:space="preserve"> </w:t>
      </w:r>
      <w:r>
        <w:rPr>
          <w:spacing w:val="-2"/>
        </w:rPr>
        <w:t>Members</w:t>
      </w:r>
    </w:p>
    <w:p w14:paraId="5ACD0FB4" w14:textId="77777777" w:rsidR="00AC6F3C" w:rsidRDefault="00570E88">
      <w:pPr>
        <w:pStyle w:val="BodyText"/>
        <w:spacing w:before="155"/>
        <w:ind w:left="815"/>
      </w:pPr>
      <w:r>
        <w:rPr>
          <w:spacing w:val="-2"/>
        </w:rPr>
        <w:t>12,328</w:t>
      </w:r>
    </w:p>
    <w:p w14:paraId="07E06361" w14:textId="77777777" w:rsidR="00AC6F3C" w:rsidRDefault="00AC6F3C">
      <w:pPr>
        <w:pStyle w:val="BodyText"/>
        <w:rPr>
          <w:sz w:val="22"/>
        </w:rPr>
      </w:pPr>
    </w:p>
    <w:p w14:paraId="465144CC" w14:textId="77777777" w:rsidR="00AC6F3C" w:rsidRDefault="00570E88">
      <w:pPr>
        <w:pStyle w:val="Heading3"/>
        <w:spacing w:before="129"/>
      </w:pPr>
      <w:r>
        <w:t>Total</w:t>
      </w:r>
      <w:r>
        <w:rPr>
          <w:spacing w:val="-8"/>
        </w:rPr>
        <w:t xml:space="preserve"> </w:t>
      </w:r>
      <w:r>
        <w:t>Queensland</w:t>
      </w:r>
      <w:r>
        <w:rPr>
          <w:spacing w:val="-8"/>
        </w:rPr>
        <w:t xml:space="preserve"> </w:t>
      </w:r>
      <w:proofErr w:type="spellStart"/>
      <w:r>
        <w:t>Practising</w:t>
      </w:r>
      <w:proofErr w:type="spellEnd"/>
      <w:r>
        <w:rPr>
          <w:spacing w:val="-8"/>
        </w:rPr>
        <w:t xml:space="preserve"> </w:t>
      </w:r>
      <w:r>
        <w:rPr>
          <w:spacing w:val="-2"/>
        </w:rPr>
        <w:t>Certificates</w:t>
      </w:r>
    </w:p>
    <w:p w14:paraId="36C927AB" w14:textId="77777777" w:rsidR="00AC6F3C" w:rsidRDefault="00570E88">
      <w:pPr>
        <w:pStyle w:val="BodyText"/>
        <w:spacing w:before="154"/>
        <w:ind w:left="815"/>
      </w:pPr>
      <w:r>
        <w:rPr>
          <w:spacing w:val="-2"/>
        </w:rPr>
        <w:t>14,917</w:t>
      </w:r>
    </w:p>
    <w:p w14:paraId="5E0391A1" w14:textId="77777777" w:rsidR="00AC6F3C" w:rsidRDefault="00AC6F3C">
      <w:pPr>
        <w:pStyle w:val="BodyText"/>
        <w:rPr>
          <w:sz w:val="22"/>
        </w:rPr>
      </w:pPr>
    </w:p>
    <w:p w14:paraId="49F6A468" w14:textId="77777777" w:rsidR="00AC6F3C" w:rsidRDefault="00570E88">
      <w:pPr>
        <w:pStyle w:val="Heading3"/>
        <w:spacing w:before="129"/>
      </w:pPr>
      <w:proofErr w:type="spellStart"/>
      <w:r>
        <w:t>Practising</w:t>
      </w:r>
      <w:proofErr w:type="spellEnd"/>
      <w:r>
        <w:rPr>
          <w:spacing w:val="-6"/>
        </w:rPr>
        <w:t xml:space="preserve"> </w:t>
      </w:r>
      <w:r>
        <w:t>Certificate</w:t>
      </w:r>
      <w:r>
        <w:rPr>
          <w:spacing w:val="-4"/>
        </w:rPr>
        <w:t xml:space="preserve"> </w:t>
      </w:r>
      <w:r>
        <w:t>by</w:t>
      </w:r>
      <w:r>
        <w:rPr>
          <w:spacing w:val="-3"/>
        </w:rPr>
        <w:t xml:space="preserve"> </w:t>
      </w:r>
      <w:r>
        <w:rPr>
          <w:spacing w:val="-4"/>
        </w:rPr>
        <w:t>type</w:t>
      </w:r>
    </w:p>
    <w:p w14:paraId="160DF83C" w14:textId="77777777" w:rsidR="00AC6F3C" w:rsidRDefault="00AC6F3C">
      <w:pPr>
        <w:pStyle w:val="BodyText"/>
        <w:spacing w:before="1"/>
        <w:rPr>
          <w:b/>
          <w:sz w:val="24"/>
        </w:rPr>
      </w:pPr>
    </w:p>
    <w:tbl>
      <w:tblPr>
        <w:tblW w:w="0" w:type="auto"/>
        <w:tblInd w:w="823" w:type="dxa"/>
        <w:tblLayout w:type="fixed"/>
        <w:tblCellMar>
          <w:left w:w="0" w:type="dxa"/>
          <w:right w:w="0" w:type="dxa"/>
        </w:tblCellMar>
        <w:tblLook w:val="01E0" w:firstRow="1" w:lastRow="1" w:firstColumn="1" w:lastColumn="1" w:noHBand="0" w:noVBand="0"/>
      </w:tblPr>
      <w:tblGrid>
        <w:gridCol w:w="3263"/>
        <w:gridCol w:w="1407"/>
      </w:tblGrid>
      <w:tr w:rsidR="00AC6F3C" w14:paraId="3204E6E3" w14:textId="77777777">
        <w:trPr>
          <w:trHeight w:val="362"/>
        </w:trPr>
        <w:tc>
          <w:tcPr>
            <w:tcW w:w="3263" w:type="dxa"/>
            <w:tcBorders>
              <w:top w:val="single" w:sz="4" w:space="0" w:color="000000"/>
              <w:bottom w:val="single" w:sz="4" w:space="0" w:color="000000"/>
            </w:tcBorders>
          </w:tcPr>
          <w:p w14:paraId="30F8D018" w14:textId="77777777" w:rsidR="00AC6F3C" w:rsidRDefault="00570E88">
            <w:pPr>
              <w:pStyle w:val="TableParagraph"/>
              <w:spacing w:before="66"/>
              <w:ind w:left="113"/>
              <w:rPr>
                <w:b/>
                <w:sz w:val="20"/>
              </w:rPr>
            </w:pPr>
            <w:proofErr w:type="spellStart"/>
            <w:r>
              <w:rPr>
                <w:b/>
                <w:sz w:val="20"/>
              </w:rPr>
              <w:t>Practising</w:t>
            </w:r>
            <w:proofErr w:type="spellEnd"/>
            <w:r>
              <w:rPr>
                <w:b/>
                <w:spacing w:val="-5"/>
                <w:sz w:val="20"/>
              </w:rPr>
              <w:t xml:space="preserve"> </w:t>
            </w:r>
            <w:r>
              <w:rPr>
                <w:b/>
                <w:sz w:val="20"/>
              </w:rPr>
              <w:t>Certificate</w:t>
            </w:r>
            <w:r>
              <w:rPr>
                <w:b/>
                <w:spacing w:val="-5"/>
                <w:sz w:val="20"/>
              </w:rPr>
              <w:t xml:space="preserve"> </w:t>
            </w:r>
            <w:r>
              <w:rPr>
                <w:b/>
                <w:spacing w:val="-4"/>
                <w:sz w:val="20"/>
              </w:rPr>
              <w:t>type</w:t>
            </w:r>
          </w:p>
        </w:tc>
        <w:tc>
          <w:tcPr>
            <w:tcW w:w="1407" w:type="dxa"/>
            <w:tcBorders>
              <w:top w:val="single" w:sz="4" w:space="0" w:color="000000"/>
              <w:bottom w:val="single" w:sz="4" w:space="0" w:color="000000"/>
            </w:tcBorders>
          </w:tcPr>
          <w:p w14:paraId="5453E855" w14:textId="77777777" w:rsidR="00AC6F3C" w:rsidRDefault="00570E88">
            <w:pPr>
              <w:pStyle w:val="TableParagraph"/>
              <w:spacing w:before="66"/>
              <w:ind w:right="111"/>
              <w:jc w:val="right"/>
              <w:rPr>
                <w:b/>
                <w:sz w:val="20"/>
              </w:rPr>
            </w:pPr>
            <w:r>
              <w:rPr>
                <w:b/>
                <w:spacing w:val="-2"/>
                <w:sz w:val="20"/>
              </w:rPr>
              <w:t>Total</w:t>
            </w:r>
          </w:p>
        </w:tc>
      </w:tr>
      <w:tr w:rsidR="00AC6F3C" w14:paraId="376B7B4C" w14:textId="77777777">
        <w:trPr>
          <w:trHeight w:val="362"/>
        </w:trPr>
        <w:tc>
          <w:tcPr>
            <w:tcW w:w="3263" w:type="dxa"/>
            <w:tcBorders>
              <w:top w:val="single" w:sz="4" w:space="0" w:color="000000"/>
              <w:bottom w:val="single" w:sz="4" w:space="0" w:color="000000"/>
            </w:tcBorders>
          </w:tcPr>
          <w:p w14:paraId="011A5C6C" w14:textId="77777777" w:rsidR="00AC6F3C" w:rsidRDefault="00570E88">
            <w:pPr>
              <w:pStyle w:val="TableParagraph"/>
              <w:spacing w:before="66"/>
              <w:ind w:left="113"/>
              <w:rPr>
                <w:sz w:val="20"/>
              </w:rPr>
            </w:pPr>
            <w:r>
              <w:rPr>
                <w:sz w:val="20"/>
              </w:rPr>
              <w:t>Restricted</w:t>
            </w:r>
            <w:r>
              <w:rPr>
                <w:spacing w:val="-9"/>
                <w:sz w:val="20"/>
              </w:rPr>
              <w:t xml:space="preserve"> </w:t>
            </w:r>
            <w:r>
              <w:rPr>
                <w:spacing w:val="-2"/>
                <w:sz w:val="20"/>
              </w:rPr>
              <w:t>Employee</w:t>
            </w:r>
          </w:p>
        </w:tc>
        <w:tc>
          <w:tcPr>
            <w:tcW w:w="1407" w:type="dxa"/>
            <w:tcBorders>
              <w:top w:val="single" w:sz="4" w:space="0" w:color="000000"/>
              <w:bottom w:val="single" w:sz="4" w:space="0" w:color="000000"/>
            </w:tcBorders>
          </w:tcPr>
          <w:p w14:paraId="6B58596C" w14:textId="77777777" w:rsidR="00AC6F3C" w:rsidRDefault="00570E88">
            <w:pPr>
              <w:pStyle w:val="TableParagraph"/>
              <w:spacing w:before="66"/>
              <w:ind w:right="111"/>
              <w:jc w:val="right"/>
              <w:rPr>
                <w:sz w:val="20"/>
              </w:rPr>
            </w:pPr>
            <w:r>
              <w:rPr>
                <w:spacing w:val="-2"/>
                <w:sz w:val="20"/>
              </w:rPr>
              <w:t>3,344</w:t>
            </w:r>
          </w:p>
        </w:tc>
      </w:tr>
      <w:tr w:rsidR="00AC6F3C" w14:paraId="0552361B" w14:textId="77777777">
        <w:trPr>
          <w:trHeight w:val="362"/>
        </w:trPr>
        <w:tc>
          <w:tcPr>
            <w:tcW w:w="3263" w:type="dxa"/>
            <w:tcBorders>
              <w:top w:val="single" w:sz="4" w:space="0" w:color="000000"/>
              <w:bottom w:val="single" w:sz="4" w:space="0" w:color="000000"/>
            </w:tcBorders>
          </w:tcPr>
          <w:p w14:paraId="3165E9C1" w14:textId="77777777" w:rsidR="00AC6F3C" w:rsidRDefault="00570E88">
            <w:pPr>
              <w:pStyle w:val="TableParagraph"/>
              <w:spacing w:before="66"/>
              <w:ind w:left="113"/>
              <w:rPr>
                <w:sz w:val="20"/>
              </w:rPr>
            </w:pPr>
            <w:r>
              <w:rPr>
                <w:sz w:val="20"/>
              </w:rPr>
              <w:t>Unrestricted</w:t>
            </w:r>
            <w:r>
              <w:rPr>
                <w:spacing w:val="-11"/>
                <w:sz w:val="20"/>
              </w:rPr>
              <w:t xml:space="preserve"> </w:t>
            </w:r>
            <w:r>
              <w:rPr>
                <w:spacing w:val="-2"/>
                <w:sz w:val="20"/>
              </w:rPr>
              <w:t>Employee</w:t>
            </w:r>
          </w:p>
        </w:tc>
        <w:tc>
          <w:tcPr>
            <w:tcW w:w="1407" w:type="dxa"/>
            <w:tcBorders>
              <w:top w:val="single" w:sz="4" w:space="0" w:color="000000"/>
              <w:bottom w:val="single" w:sz="4" w:space="0" w:color="000000"/>
            </w:tcBorders>
          </w:tcPr>
          <w:p w14:paraId="2DC54E1B" w14:textId="77777777" w:rsidR="00AC6F3C" w:rsidRDefault="00570E88">
            <w:pPr>
              <w:pStyle w:val="TableParagraph"/>
              <w:spacing w:before="66"/>
              <w:ind w:right="111"/>
              <w:jc w:val="right"/>
              <w:rPr>
                <w:sz w:val="20"/>
              </w:rPr>
            </w:pPr>
            <w:r>
              <w:rPr>
                <w:spacing w:val="-2"/>
                <w:sz w:val="20"/>
              </w:rPr>
              <w:t>7,756</w:t>
            </w:r>
          </w:p>
        </w:tc>
      </w:tr>
      <w:tr w:rsidR="00AC6F3C" w14:paraId="2D24E6D7" w14:textId="77777777">
        <w:trPr>
          <w:trHeight w:val="362"/>
        </w:trPr>
        <w:tc>
          <w:tcPr>
            <w:tcW w:w="3263" w:type="dxa"/>
            <w:tcBorders>
              <w:top w:val="single" w:sz="4" w:space="0" w:color="000000"/>
              <w:bottom w:val="single" w:sz="4" w:space="0" w:color="000000"/>
            </w:tcBorders>
          </w:tcPr>
          <w:p w14:paraId="3DF26A8C" w14:textId="77777777" w:rsidR="00AC6F3C" w:rsidRDefault="00570E88">
            <w:pPr>
              <w:pStyle w:val="TableParagraph"/>
              <w:spacing w:before="66"/>
              <w:ind w:left="113"/>
              <w:rPr>
                <w:sz w:val="20"/>
              </w:rPr>
            </w:pPr>
            <w:r>
              <w:rPr>
                <w:sz w:val="20"/>
              </w:rPr>
              <w:t>Foreign</w:t>
            </w:r>
            <w:r>
              <w:rPr>
                <w:spacing w:val="-6"/>
                <w:sz w:val="20"/>
              </w:rPr>
              <w:t xml:space="preserve"> </w:t>
            </w:r>
            <w:r>
              <w:rPr>
                <w:spacing w:val="-5"/>
                <w:sz w:val="20"/>
              </w:rPr>
              <w:t>Law</w:t>
            </w:r>
          </w:p>
        </w:tc>
        <w:tc>
          <w:tcPr>
            <w:tcW w:w="1407" w:type="dxa"/>
            <w:tcBorders>
              <w:top w:val="single" w:sz="4" w:space="0" w:color="000000"/>
              <w:bottom w:val="single" w:sz="4" w:space="0" w:color="000000"/>
            </w:tcBorders>
          </w:tcPr>
          <w:p w14:paraId="17EE544E" w14:textId="77777777" w:rsidR="00AC6F3C" w:rsidRDefault="00570E88">
            <w:pPr>
              <w:pStyle w:val="TableParagraph"/>
              <w:spacing w:before="66"/>
              <w:ind w:right="111"/>
              <w:jc w:val="right"/>
              <w:rPr>
                <w:sz w:val="20"/>
              </w:rPr>
            </w:pPr>
            <w:r>
              <w:rPr>
                <w:spacing w:val="-5"/>
                <w:sz w:val="20"/>
              </w:rPr>
              <w:t>14</w:t>
            </w:r>
          </w:p>
        </w:tc>
      </w:tr>
      <w:tr w:rsidR="00AC6F3C" w14:paraId="32903007" w14:textId="77777777">
        <w:trPr>
          <w:trHeight w:val="362"/>
        </w:trPr>
        <w:tc>
          <w:tcPr>
            <w:tcW w:w="3263" w:type="dxa"/>
            <w:tcBorders>
              <w:top w:val="single" w:sz="4" w:space="0" w:color="000000"/>
              <w:bottom w:val="single" w:sz="4" w:space="0" w:color="000000"/>
            </w:tcBorders>
          </w:tcPr>
          <w:p w14:paraId="7BB889EA" w14:textId="77777777" w:rsidR="00AC6F3C" w:rsidRDefault="00570E88">
            <w:pPr>
              <w:pStyle w:val="TableParagraph"/>
              <w:spacing w:before="66"/>
              <w:ind w:left="113"/>
              <w:rPr>
                <w:sz w:val="20"/>
              </w:rPr>
            </w:pPr>
            <w:r>
              <w:rPr>
                <w:sz w:val="20"/>
              </w:rPr>
              <w:t>Limited</w:t>
            </w:r>
            <w:r>
              <w:rPr>
                <w:spacing w:val="-6"/>
                <w:sz w:val="20"/>
              </w:rPr>
              <w:t xml:space="preserve"> </w:t>
            </w:r>
            <w:r>
              <w:rPr>
                <w:spacing w:val="-2"/>
                <w:sz w:val="20"/>
              </w:rPr>
              <w:t>Principal</w:t>
            </w:r>
          </w:p>
        </w:tc>
        <w:tc>
          <w:tcPr>
            <w:tcW w:w="1407" w:type="dxa"/>
            <w:tcBorders>
              <w:top w:val="single" w:sz="4" w:space="0" w:color="000000"/>
              <w:bottom w:val="single" w:sz="4" w:space="0" w:color="000000"/>
            </w:tcBorders>
          </w:tcPr>
          <w:p w14:paraId="718FBE9B" w14:textId="77777777" w:rsidR="00AC6F3C" w:rsidRDefault="00570E88">
            <w:pPr>
              <w:pStyle w:val="TableParagraph"/>
              <w:spacing w:before="66"/>
              <w:ind w:right="111"/>
              <w:jc w:val="right"/>
              <w:rPr>
                <w:sz w:val="20"/>
              </w:rPr>
            </w:pPr>
            <w:r>
              <w:rPr>
                <w:spacing w:val="-5"/>
                <w:sz w:val="20"/>
              </w:rPr>
              <w:t>51</w:t>
            </w:r>
          </w:p>
        </w:tc>
      </w:tr>
      <w:tr w:rsidR="00AC6F3C" w14:paraId="6E0F5370" w14:textId="77777777">
        <w:trPr>
          <w:trHeight w:val="362"/>
        </w:trPr>
        <w:tc>
          <w:tcPr>
            <w:tcW w:w="3263" w:type="dxa"/>
            <w:tcBorders>
              <w:top w:val="single" w:sz="4" w:space="0" w:color="000000"/>
              <w:bottom w:val="single" w:sz="4" w:space="0" w:color="000000"/>
            </w:tcBorders>
          </w:tcPr>
          <w:p w14:paraId="608F4FC9" w14:textId="77777777" w:rsidR="00AC6F3C" w:rsidRDefault="00570E88">
            <w:pPr>
              <w:pStyle w:val="TableParagraph"/>
              <w:spacing w:before="66"/>
              <w:ind w:left="113"/>
              <w:rPr>
                <w:sz w:val="20"/>
              </w:rPr>
            </w:pPr>
            <w:r>
              <w:rPr>
                <w:sz w:val="20"/>
              </w:rPr>
              <w:t>Unrestricted</w:t>
            </w:r>
            <w:r>
              <w:rPr>
                <w:spacing w:val="-11"/>
                <w:sz w:val="20"/>
              </w:rPr>
              <w:t xml:space="preserve"> </w:t>
            </w:r>
            <w:r>
              <w:rPr>
                <w:spacing w:val="-2"/>
                <w:sz w:val="20"/>
              </w:rPr>
              <w:t>Principal</w:t>
            </w:r>
          </w:p>
        </w:tc>
        <w:tc>
          <w:tcPr>
            <w:tcW w:w="1407" w:type="dxa"/>
            <w:tcBorders>
              <w:top w:val="single" w:sz="4" w:space="0" w:color="000000"/>
              <w:bottom w:val="single" w:sz="4" w:space="0" w:color="000000"/>
            </w:tcBorders>
          </w:tcPr>
          <w:p w14:paraId="74F4CAA7" w14:textId="77777777" w:rsidR="00AC6F3C" w:rsidRDefault="00570E88">
            <w:pPr>
              <w:pStyle w:val="TableParagraph"/>
              <w:spacing w:before="66"/>
              <w:ind w:right="111"/>
              <w:jc w:val="right"/>
              <w:rPr>
                <w:sz w:val="20"/>
              </w:rPr>
            </w:pPr>
            <w:r>
              <w:rPr>
                <w:spacing w:val="-2"/>
                <w:sz w:val="20"/>
              </w:rPr>
              <w:t>3,648</w:t>
            </w:r>
          </w:p>
        </w:tc>
      </w:tr>
      <w:tr w:rsidR="00AC6F3C" w14:paraId="293D2FBA" w14:textId="77777777">
        <w:trPr>
          <w:trHeight w:val="362"/>
        </w:trPr>
        <w:tc>
          <w:tcPr>
            <w:tcW w:w="3263" w:type="dxa"/>
            <w:tcBorders>
              <w:top w:val="single" w:sz="4" w:space="0" w:color="000000"/>
              <w:bottom w:val="single" w:sz="4" w:space="0" w:color="000000"/>
            </w:tcBorders>
          </w:tcPr>
          <w:p w14:paraId="5D00E9BF" w14:textId="77777777" w:rsidR="00AC6F3C" w:rsidRDefault="00570E88">
            <w:pPr>
              <w:pStyle w:val="TableParagraph"/>
              <w:spacing w:before="66"/>
              <w:ind w:left="113"/>
              <w:rPr>
                <w:sz w:val="20"/>
              </w:rPr>
            </w:pPr>
            <w:r>
              <w:rPr>
                <w:sz w:val="20"/>
              </w:rPr>
              <w:t>Restricted</w:t>
            </w:r>
            <w:r>
              <w:rPr>
                <w:spacing w:val="-9"/>
                <w:sz w:val="20"/>
              </w:rPr>
              <w:t xml:space="preserve"> </w:t>
            </w:r>
            <w:r>
              <w:rPr>
                <w:spacing w:val="-2"/>
                <w:sz w:val="20"/>
              </w:rPr>
              <w:t>Principal</w:t>
            </w:r>
          </w:p>
        </w:tc>
        <w:tc>
          <w:tcPr>
            <w:tcW w:w="1407" w:type="dxa"/>
            <w:tcBorders>
              <w:top w:val="single" w:sz="4" w:space="0" w:color="000000"/>
              <w:bottom w:val="single" w:sz="4" w:space="0" w:color="000000"/>
            </w:tcBorders>
          </w:tcPr>
          <w:p w14:paraId="07141A2F" w14:textId="77777777" w:rsidR="00AC6F3C" w:rsidRDefault="00570E88">
            <w:pPr>
              <w:pStyle w:val="TableParagraph"/>
              <w:spacing w:before="66"/>
              <w:ind w:right="111"/>
              <w:jc w:val="right"/>
              <w:rPr>
                <w:sz w:val="20"/>
              </w:rPr>
            </w:pPr>
            <w:r>
              <w:rPr>
                <w:sz w:val="20"/>
              </w:rPr>
              <w:t>3</w:t>
            </w:r>
          </w:p>
        </w:tc>
      </w:tr>
      <w:tr w:rsidR="00AC6F3C" w14:paraId="6E3CE41F" w14:textId="77777777">
        <w:trPr>
          <w:trHeight w:val="362"/>
        </w:trPr>
        <w:tc>
          <w:tcPr>
            <w:tcW w:w="3263" w:type="dxa"/>
            <w:tcBorders>
              <w:top w:val="single" w:sz="4" w:space="0" w:color="000000"/>
              <w:bottom w:val="single" w:sz="4" w:space="0" w:color="000000"/>
            </w:tcBorders>
          </w:tcPr>
          <w:p w14:paraId="2B5CC452" w14:textId="77777777" w:rsidR="00AC6F3C" w:rsidRDefault="00570E88">
            <w:pPr>
              <w:pStyle w:val="TableParagraph"/>
              <w:spacing w:before="66"/>
              <w:ind w:left="113"/>
              <w:rPr>
                <w:sz w:val="20"/>
              </w:rPr>
            </w:pPr>
            <w:r>
              <w:rPr>
                <w:sz w:val="20"/>
              </w:rPr>
              <w:t>Unrestricted</w:t>
            </w:r>
            <w:r>
              <w:rPr>
                <w:spacing w:val="-11"/>
                <w:sz w:val="20"/>
              </w:rPr>
              <w:t xml:space="preserve"> </w:t>
            </w:r>
            <w:r>
              <w:rPr>
                <w:spacing w:val="-2"/>
                <w:sz w:val="20"/>
              </w:rPr>
              <w:t>Volunteer</w:t>
            </w:r>
          </w:p>
        </w:tc>
        <w:tc>
          <w:tcPr>
            <w:tcW w:w="1407" w:type="dxa"/>
            <w:tcBorders>
              <w:top w:val="single" w:sz="4" w:space="0" w:color="000000"/>
              <w:bottom w:val="single" w:sz="4" w:space="0" w:color="000000"/>
            </w:tcBorders>
          </w:tcPr>
          <w:p w14:paraId="20E437C9" w14:textId="77777777" w:rsidR="00AC6F3C" w:rsidRDefault="00570E88">
            <w:pPr>
              <w:pStyle w:val="TableParagraph"/>
              <w:spacing w:before="66"/>
              <w:ind w:right="111"/>
              <w:jc w:val="right"/>
              <w:rPr>
                <w:sz w:val="20"/>
              </w:rPr>
            </w:pPr>
            <w:r>
              <w:rPr>
                <w:spacing w:val="-5"/>
                <w:sz w:val="20"/>
              </w:rPr>
              <w:t>46</w:t>
            </w:r>
          </w:p>
        </w:tc>
      </w:tr>
      <w:tr w:rsidR="00AC6F3C" w14:paraId="359C1451" w14:textId="77777777">
        <w:trPr>
          <w:trHeight w:val="362"/>
        </w:trPr>
        <w:tc>
          <w:tcPr>
            <w:tcW w:w="3263" w:type="dxa"/>
            <w:tcBorders>
              <w:top w:val="single" w:sz="4" w:space="0" w:color="000000"/>
              <w:bottom w:val="single" w:sz="4" w:space="0" w:color="000000"/>
            </w:tcBorders>
          </w:tcPr>
          <w:p w14:paraId="31086BC1" w14:textId="77777777" w:rsidR="00AC6F3C" w:rsidRDefault="00570E88">
            <w:pPr>
              <w:pStyle w:val="TableParagraph"/>
              <w:spacing w:before="66"/>
              <w:ind w:left="113"/>
              <w:rPr>
                <w:sz w:val="20"/>
              </w:rPr>
            </w:pPr>
            <w:r>
              <w:rPr>
                <w:sz w:val="20"/>
              </w:rPr>
              <w:t>Restricted</w:t>
            </w:r>
            <w:r>
              <w:rPr>
                <w:spacing w:val="-9"/>
                <w:sz w:val="20"/>
              </w:rPr>
              <w:t xml:space="preserve"> </w:t>
            </w:r>
            <w:r>
              <w:rPr>
                <w:spacing w:val="-2"/>
                <w:sz w:val="20"/>
              </w:rPr>
              <w:t>Volunteer</w:t>
            </w:r>
          </w:p>
        </w:tc>
        <w:tc>
          <w:tcPr>
            <w:tcW w:w="1407" w:type="dxa"/>
            <w:tcBorders>
              <w:top w:val="single" w:sz="4" w:space="0" w:color="000000"/>
              <w:bottom w:val="single" w:sz="4" w:space="0" w:color="000000"/>
            </w:tcBorders>
          </w:tcPr>
          <w:p w14:paraId="2B1A9392" w14:textId="77777777" w:rsidR="00AC6F3C" w:rsidRDefault="00570E88">
            <w:pPr>
              <w:pStyle w:val="TableParagraph"/>
              <w:spacing w:before="66"/>
              <w:ind w:right="111"/>
              <w:jc w:val="right"/>
              <w:rPr>
                <w:sz w:val="20"/>
              </w:rPr>
            </w:pPr>
            <w:r>
              <w:rPr>
                <w:spacing w:val="-5"/>
                <w:sz w:val="20"/>
              </w:rPr>
              <w:t>55</w:t>
            </w:r>
          </w:p>
        </w:tc>
      </w:tr>
      <w:tr w:rsidR="00AC6F3C" w14:paraId="002FF84C" w14:textId="77777777">
        <w:trPr>
          <w:trHeight w:val="362"/>
        </w:trPr>
        <w:tc>
          <w:tcPr>
            <w:tcW w:w="3263" w:type="dxa"/>
            <w:tcBorders>
              <w:top w:val="single" w:sz="4" w:space="0" w:color="000000"/>
              <w:bottom w:val="single" w:sz="4" w:space="0" w:color="000000"/>
            </w:tcBorders>
          </w:tcPr>
          <w:p w14:paraId="3FC43DD2" w14:textId="77777777" w:rsidR="00AC6F3C" w:rsidRDefault="00570E88">
            <w:pPr>
              <w:pStyle w:val="TableParagraph"/>
              <w:spacing w:before="66"/>
              <w:ind w:left="113"/>
              <w:rPr>
                <w:b/>
                <w:sz w:val="20"/>
              </w:rPr>
            </w:pPr>
            <w:r>
              <w:rPr>
                <w:b/>
                <w:spacing w:val="-2"/>
                <w:sz w:val="20"/>
              </w:rPr>
              <w:t>Total</w:t>
            </w:r>
          </w:p>
        </w:tc>
        <w:tc>
          <w:tcPr>
            <w:tcW w:w="1407" w:type="dxa"/>
            <w:tcBorders>
              <w:top w:val="single" w:sz="4" w:space="0" w:color="000000"/>
              <w:bottom w:val="single" w:sz="4" w:space="0" w:color="000000"/>
            </w:tcBorders>
          </w:tcPr>
          <w:p w14:paraId="66846552" w14:textId="77777777" w:rsidR="00AC6F3C" w:rsidRDefault="00570E88">
            <w:pPr>
              <w:pStyle w:val="TableParagraph"/>
              <w:spacing w:before="66"/>
              <w:ind w:right="111"/>
              <w:jc w:val="right"/>
              <w:rPr>
                <w:b/>
                <w:sz w:val="20"/>
              </w:rPr>
            </w:pPr>
            <w:r>
              <w:rPr>
                <w:b/>
                <w:spacing w:val="-2"/>
                <w:sz w:val="20"/>
              </w:rPr>
              <w:t>14,917</w:t>
            </w:r>
          </w:p>
        </w:tc>
      </w:tr>
    </w:tbl>
    <w:p w14:paraId="4B55389A" w14:textId="77777777" w:rsidR="00AC6F3C" w:rsidRDefault="00AC6F3C">
      <w:pPr>
        <w:pStyle w:val="BodyText"/>
        <w:spacing w:before="6"/>
        <w:rPr>
          <w:b/>
          <w:sz w:val="51"/>
        </w:rPr>
      </w:pPr>
    </w:p>
    <w:p w14:paraId="1F69403E" w14:textId="77777777" w:rsidR="00AC6F3C" w:rsidRDefault="00570E88">
      <w:pPr>
        <w:pStyle w:val="Heading3"/>
      </w:pPr>
      <w:r>
        <w:t>Total</w:t>
      </w:r>
      <w:r>
        <w:rPr>
          <w:spacing w:val="-9"/>
        </w:rPr>
        <w:t xml:space="preserve"> </w:t>
      </w:r>
      <w:r>
        <w:t>membership</w:t>
      </w:r>
      <w:r>
        <w:rPr>
          <w:spacing w:val="-8"/>
        </w:rPr>
        <w:t xml:space="preserve"> </w:t>
      </w:r>
      <w:r>
        <w:t>by</w:t>
      </w:r>
      <w:r>
        <w:rPr>
          <w:spacing w:val="-8"/>
        </w:rPr>
        <w:t xml:space="preserve"> </w:t>
      </w:r>
      <w:r>
        <w:rPr>
          <w:spacing w:val="-2"/>
        </w:rPr>
        <w:t>Category</w:t>
      </w:r>
    </w:p>
    <w:p w14:paraId="23D259A6" w14:textId="77777777" w:rsidR="00AC6F3C" w:rsidRDefault="00AC6F3C">
      <w:pPr>
        <w:pStyle w:val="BodyText"/>
        <w:spacing w:before="1"/>
        <w:rPr>
          <w:b/>
          <w:sz w:val="24"/>
        </w:rPr>
      </w:pPr>
    </w:p>
    <w:tbl>
      <w:tblPr>
        <w:tblW w:w="0" w:type="auto"/>
        <w:tblInd w:w="823" w:type="dxa"/>
        <w:tblLayout w:type="fixed"/>
        <w:tblCellMar>
          <w:left w:w="0" w:type="dxa"/>
          <w:right w:w="0" w:type="dxa"/>
        </w:tblCellMar>
        <w:tblLook w:val="01E0" w:firstRow="1" w:lastRow="1" w:firstColumn="1" w:lastColumn="1" w:noHBand="0" w:noVBand="0"/>
      </w:tblPr>
      <w:tblGrid>
        <w:gridCol w:w="2857"/>
        <w:gridCol w:w="1813"/>
      </w:tblGrid>
      <w:tr w:rsidR="00AC6F3C" w14:paraId="24B80C6C" w14:textId="77777777">
        <w:trPr>
          <w:trHeight w:val="362"/>
        </w:trPr>
        <w:tc>
          <w:tcPr>
            <w:tcW w:w="2857" w:type="dxa"/>
            <w:tcBorders>
              <w:top w:val="single" w:sz="4" w:space="0" w:color="000000"/>
              <w:bottom w:val="single" w:sz="4" w:space="0" w:color="000000"/>
            </w:tcBorders>
          </w:tcPr>
          <w:p w14:paraId="57C607F3" w14:textId="77777777" w:rsidR="00AC6F3C" w:rsidRDefault="00AC6F3C">
            <w:pPr>
              <w:pStyle w:val="TableParagraph"/>
              <w:rPr>
                <w:rFonts w:ascii="Times New Roman"/>
                <w:sz w:val="20"/>
              </w:rPr>
            </w:pPr>
          </w:p>
        </w:tc>
        <w:tc>
          <w:tcPr>
            <w:tcW w:w="1813" w:type="dxa"/>
            <w:tcBorders>
              <w:top w:val="single" w:sz="4" w:space="0" w:color="000000"/>
              <w:bottom w:val="single" w:sz="4" w:space="0" w:color="000000"/>
            </w:tcBorders>
          </w:tcPr>
          <w:p w14:paraId="632BDC87" w14:textId="77777777" w:rsidR="00AC6F3C" w:rsidRDefault="00570E88">
            <w:pPr>
              <w:pStyle w:val="TableParagraph"/>
              <w:spacing w:before="66"/>
              <w:ind w:right="111"/>
              <w:jc w:val="right"/>
              <w:rPr>
                <w:b/>
                <w:sz w:val="20"/>
              </w:rPr>
            </w:pPr>
            <w:r>
              <w:rPr>
                <w:b/>
                <w:spacing w:val="-2"/>
                <w:sz w:val="20"/>
              </w:rPr>
              <w:t>Total</w:t>
            </w:r>
          </w:p>
        </w:tc>
      </w:tr>
      <w:tr w:rsidR="00AC6F3C" w14:paraId="1CA40F3E" w14:textId="77777777">
        <w:trPr>
          <w:trHeight w:val="362"/>
        </w:trPr>
        <w:tc>
          <w:tcPr>
            <w:tcW w:w="2857" w:type="dxa"/>
            <w:tcBorders>
              <w:top w:val="single" w:sz="4" w:space="0" w:color="000000"/>
              <w:bottom w:val="single" w:sz="4" w:space="0" w:color="000000"/>
            </w:tcBorders>
          </w:tcPr>
          <w:p w14:paraId="43C15BDB" w14:textId="77777777" w:rsidR="00AC6F3C" w:rsidRDefault="00570E88">
            <w:pPr>
              <w:pStyle w:val="TableParagraph"/>
              <w:spacing w:before="66"/>
              <w:ind w:left="113"/>
              <w:rPr>
                <w:sz w:val="20"/>
              </w:rPr>
            </w:pPr>
            <w:r>
              <w:rPr>
                <w:sz w:val="20"/>
              </w:rPr>
              <w:t>Full</w:t>
            </w:r>
            <w:r>
              <w:rPr>
                <w:spacing w:val="-3"/>
                <w:sz w:val="20"/>
              </w:rPr>
              <w:t xml:space="preserve"> </w:t>
            </w:r>
            <w:r>
              <w:rPr>
                <w:spacing w:val="-2"/>
                <w:sz w:val="20"/>
              </w:rPr>
              <w:t>member</w:t>
            </w:r>
          </w:p>
        </w:tc>
        <w:tc>
          <w:tcPr>
            <w:tcW w:w="1813" w:type="dxa"/>
            <w:tcBorders>
              <w:top w:val="single" w:sz="4" w:space="0" w:color="000000"/>
              <w:bottom w:val="single" w:sz="4" w:space="0" w:color="000000"/>
            </w:tcBorders>
          </w:tcPr>
          <w:p w14:paraId="6BEDCB7B" w14:textId="77777777" w:rsidR="00AC6F3C" w:rsidRDefault="00570E88">
            <w:pPr>
              <w:pStyle w:val="TableParagraph"/>
              <w:spacing w:before="66"/>
              <w:ind w:right="111"/>
              <w:jc w:val="right"/>
              <w:rPr>
                <w:sz w:val="20"/>
              </w:rPr>
            </w:pPr>
            <w:r>
              <w:rPr>
                <w:spacing w:val="-2"/>
                <w:sz w:val="20"/>
              </w:rPr>
              <w:t>11,455</w:t>
            </w:r>
          </w:p>
        </w:tc>
      </w:tr>
      <w:tr w:rsidR="00AC6F3C" w14:paraId="36F529E2" w14:textId="77777777">
        <w:trPr>
          <w:trHeight w:val="362"/>
        </w:trPr>
        <w:tc>
          <w:tcPr>
            <w:tcW w:w="2857" w:type="dxa"/>
            <w:tcBorders>
              <w:top w:val="single" w:sz="4" w:space="0" w:color="000000"/>
              <w:bottom w:val="single" w:sz="4" w:space="0" w:color="000000"/>
            </w:tcBorders>
          </w:tcPr>
          <w:p w14:paraId="5CE9842E" w14:textId="77777777" w:rsidR="00AC6F3C" w:rsidRDefault="00570E88">
            <w:pPr>
              <w:pStyle w:val="TableParagraph"/>
              <w:spacing w:before="66"/>
              <w:ind w:left="113"/>
              <w:rPr>
                <w:sz w:val="20"/>
              </w:rPr>
            </w:pPr>
            <w:r>
              <w:rPr>
                <w:sz w:val="20"/>
              </w:rPr>
              <w:t>Associate</w:t>
            </w:r>
            <w:r>
              <w:rPr>
                <w:spacing w:val="-8"/>
                <w:sz w:val="20"/>
              </w:rPr>
              <w:t xml:space="preserve"> </w:t>
            </w:r>
            <w:r>
              <w:rPr>
                <w:spacing w:val="-2"/>
                <w:sz w:val="20"/>
              </w:rPr>
              <w:t>Member</w:t>
            </w:r>
          </w:p>
        </w:tc>
        <w:tc>
          <w:tcPr>
            <w:tcW w:w="1813" w:type="dxa"/>
            <w:tcBorders>
              <w:top w:val="single" w:sz="4" w:space="0" w:color="000000"/>
              <w:bottom w:val="single" w:sz="4" w:space="0" w:color="000000"/>
            </w:tcBorders>
          </w:tcPr>
          <w:p w14:paraId="0580BD91" w14:textId="77777777" w:rsidR="00AC6F3C" w:rsidRDefault="00570E88">
            <w:pPr>
              <w:pStyle w:val="TableParagraph"/>
              <w:spacing w:before="66"/>
              <w:ind w:right="111"/>
              <w:jc w:val="right"/>
              <w:rPr>
                <w:sz w:val="20"/>
              </w:rPr>
            </w:pPr>
            <w:r>
              <w:rPr>
                <w:spacing w:val="-5"/>
                <w:sz w:val="20"/>
              </w:rPr>
              <w:t>248</w:t>
            </w:r>
          </w:p>
        </w:tc>
      </w:tr>
      <w:tr w:rsidR="00AC6F3C" w14:paraId="04B87A22" w14:textId="77777777">
        <w:trPr>
          <w:trHeight w:val="362"/>
        </w:trPr>
        <w:tc>
          <w:tcPr>
            <w:tcW w:w="2857" w:type="dxa"/>
            <w:tcBorders>
              <w:top w:val="single" w:sz="4" w:space="0" w:color="000000"/>
              <w:bottom w:val="single" w:sz="4" w:space="0" w:color="000000"/>
            </w:tcBorders>
          </w:tcPr>
          <w:p w14:paraId="7654A481" w14:textId="77777777" w:rsidR="00AC6F3C" w:rsidRDefault="00570E88">
            <w:pPr>
              <w:pStyle w:val="TableParagraph"/>
              <w:spacing w:before="66"/>
              <w:ind w:left="113"/>
              <w:rPr>
                <w:sz w:val="20"/>
              </w:rPr>
            </w:pPr>
            <w:r>
              <w:rPr>
                <w:sz w:val="20"/>
              </w:rPr>
              <w:t xml:space="preserve">Honorary </w:t>
            </w:r>
            <w:r>
              <w:rPr>
                <w:spacing w:val="-2"/>
                <w:sz w:val="20"/>
              </w:rPr>
              <w:t>Member</w:t>
            </w:r>
          </w:p>
        </w:tc>
        <w:tc>
          <w:tcPr>
            <w:tcW w:w="1813" w:type="dxa"/>
            <w:tcBorders>
              <w:top w:val="single" w:sz="4" w:space="0" w:color="000000"/>
              <w:bottom w:val="single" w:sz="4" w:space="0" w:color="000000"/>
            </w:tcBorders>
          </w:tcPr>
          <w:p w14:paraId="2837EE2A" w14:textId="77777777" w:rsidR="00AC6F3C" w:rsidRDefault="00570E88">
            <w:pPr>
              <w:pStyle w:val="TableParagraph"/>
              <w:spacing w:before="66"/>
              <w:ind w:right="111"/>
              <w:jc w:val="right"/>
              <w:rPr>
                <w:sz w:val="20"/>
              </w:rPr>
            </w:pPr>
            <w:r>
              <w:rPr>
                <w:spacing w:val="-5"/>
                <w:sz w:val="20"/>
              </w:rPr>
              <w:t>156</w:t>
            </w:r>
          </w:p>
        </w:tc>
      </w:tr>
      <w:tr w:rsidR="00AC6F3C" w14:paraId="7D64F1DE" w14:textId="77777777">
        <w:trPr>
          <w:trHeight w:val="362"/>
        </w:trPr>
        <w:tc>
          <w:tcPr>
            <w:tcW w:w="2857" w:type="dxa"/>
            <w:tcBorders>
              <w:top w:val="single" w:sz="4" w:space="0" w:color="000000"/>
              <w:bottom w:val="single" w:sz="4" w:space="0" w:color="000000"/>
            </w:tcBorders>
          </w:tcPr>
          <w:p w14:paraId="343218A9" w14:textId="77777777" w:rsidR="00AC6F3C" w:rsidRDefault="00570E88">
            <w:pPr>
              <w:pStyle w:val="TableParagraph"/>
              <w:spacing w:before="66"/>
              <w:ind w:left="113"/>
              <w:rPr>
                <w:sz w:val="20"/>
              </w:rPr>
            </w:pPr>
            <w:r>
              <w:rPr>
                <w:sz w:val="20"/>
              </w:rPr>
              <w:t xml:space="preserve">Student </w:t>
            </w:r>
            <w:r>
              <w:rPr>
                <w:spacing w:val="-2"/>
                <w:sz w:val="20"/>
              </w:rPr>
              <w:t>Member</w:t>
            </w:r>
          </w:p>
        </w:tc>
        <w:tc>
          <w:tcPr>
            <w:tcW w:w="1813" w:type="dxa"/>
            <w:tcBorders>
              <w:top w:val="single" w:sz="4" w:space="0" w:color="000000"/>
              <w:bottom w:val="single" w:sz="4" w:space="0" w:color="000000"/>
            </w:tcBorders>
          </w:tcPr>
          <w:p w14:paraId="00E8C89D" w14:textId="77777777" w:rsidR="00AC6F3C" w:rsidRDefault="00570E88">
            <w:pPr>
              <w:pStyle w:val="TableParagraph"/>
              <w:spacing w:before="66"/>
              <w:ind w:right="111"/>
              <w:jc w:val="right"/>
              <w:rPr>
                <w:sz w:val="20"/>
              </w:rPr>
            </w:pPr>
            <w:r>
              <w:rPr>
                <w:spacing w:val="-5"/>
                <w:sz w:val="20"/>
              </w:rPr>
              <w:t>469</w:t>
            </w:r>
          </w:p>
        </w:tc>
      </w:tr>
      <w:tr w:rsidR="00AC6F3C" w14:paraId="15EEC5AF" w14:textId="77777777">
        <w:trPr>
          <w:trHeight w:val="362"/>
        </w:trPr>
        <w:tc>
          <w:tcPr>
            <w:tcW w:w="2857" w:type="dxa"/>
            <w:tcBorders>
              <w:top w:val="single" w:sz="4" w:space="0" w:color="000000"/>
              <w:bottom w:val="single" w:sz="4" w:space="0" w:color="000000"/>
            </w:tcBorders>
          </w:tcPr>
          <w:p w14:paraId="249FD2C1" w14:textId="77777777" w:rsidR="00AC6F3C" w:rsidRDefault="00570E88">
            <w:pPr>
              <w:pStyle w:val="TableParagraph"/>
              <w:spacing w:before="66"/>
              <w:ind w:left="113"/>
              <w:rPr>
                <w:b/>
                <w:sz w:val="20"/>
              </w:rPr>
            </w:pPr>
            <w:r>
              <w:rPr>
                <w:b/>
                <w:spacing w:val="-2"/>
                <w:sz w:val="20"/>
              </w:rPr>
              <w:t>Total</w:t>
            </w:r>
          </w:p>
        </w:tc>
        <w:tc>
          <w:tcPr>
            <w:tcW w:w="1813" w:type="dxa"/>
            <w:tcBorders>
              <w:top w:val="single" w:sz="4" w:space="0" w:color="000000"/>
              <w:bottom w:val="single" w:sz="4" w:space="0" w:color="000000"/>
            </w:tcBorders>
          </w:tcPr>
          <w:p w14:paraId="2264F3EE" w14:textId="77777777" w:rsidR="00AC6F3C" w:rsidRDefault="00570E88">
            <w:pPr>
              <w:pStyle w:val="TableParagraph"/>
              <w:spacing w:before="66"/>
              <w:ind w:right="111"/>
              <w:jc w:val="right"/>
              <w:rPr>
                <w:b/>
                <w:sz w:val="20"/>
              </w:rPr>
            </w:pPr>
            <w:r>
              <w:rPr>
                <w:b/>
                <w:spacing w:val="-2"/>
                <w:sz w:val="20"/>
              </w:rPr>
              <w:t>12,328</w:t>
            </w:r>
          </w:p>
        </w:tc>
      </w:tr>
    </w:tbl>
    <w:p w14:paraId="04228459" w14:textId="77777777" w:rsidR="00AC6F3C" w:rsidRDefault="00AC6F3C">
      <w:pPr>
        <w:pStyle w:val="BodyText"/>
        <w:rPr>
          <w:b/>
          <w:sz w:val="36"/>
        </w:rPr>
      </w:pPr>
    </w:p>
    <w:p w14:paraId="3B3BFF88" w14:textId="77777777" w:rsidR="00AC6F3C" w:rsidRDefault="00AC6F3C">
      <w:pPr>
        <w:pStyle w:val="BodyText"/>
        <w:rPr>
          <w:b/>
          <w:sz w:val="36"/>
        </w:rPr>
      </w:pPr>
    </w:p>
    <w:p w14:paraId="07C6DCE6" w14:textId="77777777" w:rsidR="00AC6F3C" w:rsidRDefault="00AC6F3C">
      <w:pPr>
        <w:pStyle w:val="BodyText"/>
        <w:rPr>
          <w:b/>
          <w:sz w:val="36"/>
        </w:rPr>
      </w:pPr>
    </w:p>
    <w:p w14:paraId="73152AE2" w14:textId="77777777" w:rsidR="00AC6F3C" w:rsidRDefault="00AC6F3C">
      <w:pPr>
        <w:pStyle w:val="BodyText"/>
        <w:rPr>
          <w:b/>
          <w:sz w:val="36"/>
        </w:rPr>
      </w:pPr>
    </w:p>
    <w:p w14:paraId="0E1B1D4F" w14:textId="77777777" w:rsidR="00AC6F3C" w:rsidRDefault="00AC6F3C">
      <w:pPr>
        <w:pStyle w:val="BodyText"/>
        <w:rPr>
          <w:b/>
          <w:sz w:val="36"/>
        </w:rPr>
      </w:pPr>
    </w:p>
    <w:p w14:paraId="41402742" w14:textId="77777777" w:rsidR="00AC6F3C" w:rsidRDefault="00AC6F3C">
      <w:pPr>
        <w:pStyle w:val="BodyText"/>
        <w:rPr>
          <w:b/>
          <w:sz w:val="36"/>
        </w:rPr>
      </w:pPr>
    </w:p>
    <w:p w14:paraId="552ED45C" w14:textId="77777777" w:rsidR="00AC6F3C" w:rsidRDefault="00AC6F3C">
      <w:pPr>
        <w:pStyle w:val="BodyText"/>
        <w:spacing w:before="5"/>
        <w:rPr>
          <w:b/>
          <w:sz w:val="48"/>
        </w:rPr>
      </w:pPr>
    </w:p>
    <w:p w14:paraId="0095AEE8" w14:textId="77777777" w:rsidR="00AC6F3C" w:rsidRDefault="00570E88">
      <w:pPr>
        <w:ind w:left="815"/>
        <w:rPr>
          <w:sz w:val="13"/>
        </w:rPr>
      </w:pPr>
      <w:r>
        <w:rPr>
          <w:spacing w:val="-4"/>
          <w:position w:val="4"/>
          <w:sz w:val="7"/>
        </w:rPr>
        <w:t>#</w:t>
      </w:r>
      <w:r>
        <w:rPr>
          <w:spacing w:val="-4"/>
          <w:sz w:val="13"/>
        </w:rPr>
        <w:t>Membership</w:t>
      </w:r>
      <w:r>
        <w:rPr>
          <w:spacing w:val="-5"/>
          <w:sz w:val="13"/>
        </w:rPr>
        <w:t xml:space="preserve"> </w:t>
      </w:r>
      <w:r>
        <w:rPr>
          <w:spacing w:val="-4"/>
          <w:sz w:val="13"/>
        </w:rPr>
        <w:t xml:space="preserve">and </w:t>
      </w:r>
      <w:proofErr w:type="spellStart"/>
      <w:r>
        <w:rPr>
          <w:spacing w:val="-4"/>
          <w:sz w:val="13"/>
        </w:rPr>
        <w:t>practising</w:t>
      </w:r>
      <w:proofErr w:type="spellEnd"/>
      <w:r>
        <w:rPr>
          <w:spacing w:val="-4"/>
          <w:sz w:val="13"/>
        </w:rPr>
        <w:t xml:space="preserve"> certificate figures circulated through Dynamics software based</w:t>
      </w:r>
      <w:r>
        <w:rPr>
          <w:spacing w:val="-5"/>
          <w:sz w:val="13"/>
        </w:rPr>
        <w:t xml:space="preserve"> </w:t>
      </w:r>
      <w:r>
        <w:rPr>
          <w:spacing w:val="-4"/>
          <w:sz w:val="13"/>
        </w:rPr>
        <w:t xml:space="preserve">on available data as </w:t>
      </w:r>
      <w:proofErr w:type="gramStart"/>
      <w:r>
        <w:rPr>
          <w:spacing w:val="-4"/>
          <w:sz w:val="13"/>
        </w:rPr>
        <w:t>at</w:t>
      </w:r>
      <w:proofErr w:type="gramEnd"/>
      <w:r>
        <w:rPr>
          <w:spacing w:val="-4"/>
          <w:sz w:val="13"/>
        </w:rPr>
        <w:t xml:space="preserve"> 30 June 2023</w:t>
      </w:r>
    </w:p>
    <w:p w14:paraId="0963B9D3" w14:textId="77777777" w:rsidR="00AC6F3C" w:rsidRDefault="00AC6F3C">
      <w:pPr>
        <w:rPr>
          <w:sz w:val="13"/>
        </w:rPr>
        <w:sectPr w:rsidR="00AC6F3C">
          <w:headerReference w:type="default" r:id="rId64"/>
          <w:footerReference w:type="default" r:id="rId65"/>
          <w:pgSz w:w="11910" w:h="16840"/>
          <w:pgMar w:top="980" w:right="1160" w:bottom="520" w:left="460" w:header="0" w:footer="336" w:gutter="0"/>
          <w:cols w:space="720"/>
        </w:sectPr>
      </w:pPr>
    </w:p>
    <w:p w14:paraId="51DC8854" w14:textId="77777777" w:rsidR="00AC6F3C" w:rsidRDefault="00570E88">
      <w:pPr>
        <w:pStyle w:val="Heading3"/>
        <w:spacing w:before="70"/>
      </w:pPr>
      <w:bookmarkStart w:id="32" w:name="Where_our_members_practise"/>
      <w:bookmarkStart w:id="33" w:name="Full_members_by_generation"/>
      <w:bookmarkStart w:id="34" w:name="Gender_Balance"/>
      <w:bookmarkStart w:id="35" w:name="_bookmark11"/>
      <w:bookmarkEnd w:id="32"/>
      <w:bookmarkEnd w:id="33"/>
      <w:bookmarkEnd w:id="34"/>
      <w:bookmarkEnd w:id="35"/>
      <w:r>
        <w:lastRenderedPageBreak/>
        <w:t>Where</w:t>
      </w:r>
      <w:r>
        <w:rPr>
          <w:spacing w:val="-6"/>
        </w:rPr>
        <w:t xml:space="preserve"> </w:t>
      </w:r>
      <w:r>
        <w:t>our</w:t>
      </w:r>
      <w:r>
        <w:rPr>
          <w:spacing w:val="-4"/>
        </w:rPr>
        <w:t xml:space="preserve"> </w:t>
      </w:r>
      <w:proofErr w:type="gramStart"/>
      <w:r>
        <w:t>members</w:t>
      </w:r>
      <w:proofErr w:type="gramEnd"/>
      <w:r>
        <w:rPr>
          <w:spacing w:val="-4"/>
        </w:rPr>
        <w:t xml:space="preserve"> </w:t>
      </w:r>
      <w:proofErr w:type="spellStart"/>
      <w:r>
        <w:rPr>
          <w:spacing w:val="-2"/>
        </w:rPr>
        <w:t>practise</w:t>
      </w:r>
      <w:proofErr w:type="spellEnd"/>
    </w:p>
    <w:p w14:paraId="1466D818" w14:textId="77777777" w:rsidR="00AC6F3C" w:rsidRDefault="00AC6F3C">
      <w:pPr>
        <w:pStyle w:val="BodyText"/>
        <w:spacing w:before="1" w:after="1"/>
        <w:rPr>
          <w:b/>
          <w:sz w:val="24"/>
        </w:rPr>
      </w:pPr>
    </w:p>
    <w:tbl>
      <w:tblPr>
        <w:tblW w:w="0" w:type="auto"/>
        <w:tblInd w:w="823" w:type="dxa"/>
        <w:tblLayout w:type="fixed"/>
        <w:tblCellMar>
          <w:left w:w="0" w:type="dxa"/>
          <w:right w:w="0" w:type="dxa"/>
        </w:tblCellMar>
        <w:tblLook w:val="01E0" w:firstRow="1" w:lastRow="1" w:firstColumn="1" w:lastColumn="1" w:noHBand="0" w:noVBand="0"/>
      </w:tblPr>
      <w:tblGrid>
        <w:gridCol w:w="2048"/>
        <w:gridCol w:w="2626"/>
      </w:tblGrid>
      <w:tr w:rsidR="00AC6F3C" w14:paraId="29893FB9" w14:textId="77777777">
        <w:trPr>
          <w:trHeight w:val="362"/>
        </w:trPr>
        <w:tc>
          <w:tcPr>
            <w:tcW w:w="2048" w:type="dxa"/>
            <w:tcBorders>
              <w:top w:val="single" w:sz="4" w:space="0" w:color="000000"/>
              <w:bottom w:val="single" w:sz="4" w:space="0" w:color="000000"/>
            </w:tcBorders>
          </w:tcPr>
          <w:p w14:paraId="487CDD25" w14:textId="77777777" w:rsidR="00AC6F3C" w:rsidRDefault="00AC6F3C">
            <w:pPr>
              <w:pStyle w:val="TableParagraph"/>
              <w:rPr>
                <w:rFonts w:ascii="Times New Roman"/>
                <w:sz w:val="20"/>
              </w:rPr>
            </w:pPr>
          </w:p>
        </w:tc>
        <w:tc>
          <w:tcPr>
            <w:tcW w:w="2626" w:type="dxa"/>
            <w:tcBorders>
              <w:top w:val="single" w:sz="4" w:space="0" w:color="000000"/>
              <w:bottom w:val="single" w:sz="4" w:space="0" w:color="000000"/>
            </w:tcBorders>
          </w:tcPr>
          <w:p w14:paraId="793CB8C4" w14:textId="77777777" w:rsidR="00AC6F3C" w:rsidRDefault="00570E88">
            <w:pPr>
              <w:pStyle w:val="TableParagraph"/>
              <w:spacing w:before="66"/>
              <w:ind w:right="112"/>
              <w:jc w:val="right"/>
              <w:rPr>
                <w:b/>
                <w:sz w:val="20"/>
              </w:rPr>
            </w:pPr>
            <w:r>
              <w:rPr>
                <w:b/>
                <w:sz w:val="20"/>
              </w:rPr>
              <w:t xml:space="preserve">Full </w:t>
            </w:r>
            <w:r>
              <w:rPr>
                <w:b/>
                <w:spacing w:val="-2"/>
                <w:sz w:val="20"/>
              </w:rPr>
              <w:t>Members</w:t>
            </w:r>
          </w:p>
        </w:tc>
      </w:tr>
      <w:tr w:rsidR="00AC6F3C" w14:paraId="2E802AEC" w14:textId="77777777">
        <w:trPr>
          <w:trHeight w:val="362"/>
        </w:trPr>
        <w:tc>
          <w:tcPr>
            <w:tcW w:w="2048" w:type="dxa"/>
            <w:tcBorders>
              <w:top w:val="single" w:sz="4" w:space="0" w:color="000000"/>
              <w:bottom w:val="single" w:sz="4" w:space="0" w:color="000000"/>
            </w:tcBorders>
          </w:tcPr>
          <w:p w14:paraId="115E7440" w14:textId="77777777" w:rsidR="00AC6F3C" w:rsidRDefault="00570E88">
            <w:pPr>
              <w:pStyle w:val="TableParagraph"/>
              <w:spacing w:before="66"/>
              <w:ind w:left="113"/>
              <w:rPr>
                <w:sz w:val="20"/>
              </w:rPr>
            </w:pPr>
            <w:r>
              <w:rPr>
                <w:spacing w:val="-4"/>
                <w:sz w:val="20"/>
              </w:rPr>
              <w:t>Sole</w:t>
            </w:r>
          </w:p>
        </w:tc>
        <w:tc>
          <w:tcPr>
            <w:tcW w:w="2626" w:type="dxa"/>
            <w:tcBorders>
              <w:top w:val="single" w:sz="4" w:space="0" w:color="000000"/>
              <w:bottom w:val="single" w:sz="4" w:space="0" w:color="000000"/>
            </w:tcBorders>
          </w:tcPr>
          <w:p w14:paraId="6F9E7F22" w14:textId="77777777" w:rsidR="00AC6F3C" w:rsidRDefault="00570E88">
            <w:pPr>
              <w:pStyle w:val="TableParagraph"/>
              <w:spacing w:before="66"/>
              <w:ind w:right="112"/>
              <w:jc w:val="right"/>
              <w:rPr>
                <w:sz w:val="20"/>
              </w:rPr>
            </w:pPr>
            <w:r>
              <w:rPr>
                <w:spacing w:val="-2"/>
                <w:sz w:val="20"/>
              </w:rPr>
              <w:t>1,726</w:t>
            </w:r>
          </w:p>
        </w:tc>
      </w:tr>
      <w:tr w:rsidR="00AC6F3C" w14:paraId="3D583240" w14:textId="77777777">
        <w:trPr>
          <w:trHeight w:val="362"/>
        </w:trPr>
        <w:tc>
          <w:tcPr>
            <w:tcW w:w="2048" w:type="dxa"/>
            <w:tcBorders>
              <w:top w:val="single" w:sz="4" w:space="0" w:color="000000"/>
              <w:bottom w:val="single" w:sz="4" w:space="0" w:color="000000"/>
            </w:tcBorders>
          </w:tcPr>
          <w:p w14:paraId="05FB650C" w14:textId="77777777" w:rsidR="00AC6F3C" w:rsidRDefault="00570E88">
            <w:pPr>
              <w:pStyle w:val="TableParagraph"/>
              <w:spacing w:before="66"/>
              <w:ind w:left="113"/>
              <w:rPr>
                <w:sz w:val="20"/>
              </w:rPr>
            </w:pPr>
            <w:r>
              <w:rPr>
                <w:spacing w:val="-2"/>
                <w:sz w:val="20"/>
              </w:rPr>
              <w:t>Micro</w:t>
            </w:r>
          </w:p>
        </w:tc>
        <w:tc>
          <w:tcPr>
            <w:tcW w:w="2626" w:type="dxa"/>
            <w:tcBorders>
              <w:top w:val="single" w:sz="4" w:space="0" w:color="000000"/>
              <w:bottom w:val="single" w:sz="4" w:space="0" w:color="000000"/>
            </w:tcBorders>
          </w:tcPr>
          <w:p w14:paraId="18603183" w14:textId="77777777" w:rsidR="00AC6F3C" w:rsidRDefault="00570E88">
            <w:pPr>
              <w:pStyle w:val="TableParagraph"/>
              <w:spacing w:before="66"/>
              <w:ind w:right="112"/>
              <w:jc w:val="right"/>
              <w:rPr>
                <w:sz w:val="20"/>
              </w:rPr>
            </w:pPr>
            <w:r>
              <w:rPr>
                <w:spacing w:val="-2"/>
                <w:sz w:val="20"/>
              </w:rPr>
              <w:t>3,372</w:t>
            </w:r>
          </w:p>
        </w:tc>
      </w:tr>
      <w:tr w:rsidR="00AC6F3C" w14:paraId="0BE9D9CF" w14:textId="77777777">
        <w:trPr>
          <w:trHeight w:val="362"/>
        </w:trPr>
        <w:tc>
          <w:tcPr>
            <w:tcW w:w="2048" w:type="dxa"/>
            <w:tcBorders>
              <w:top w:val="single" w:sz="4" w:space="0" w:color="000000"/>
              <w:bottom w:val="single" w:sz="4" w:space="0" w:color="000000"/>
            </w:tcBorders>
          </w:tcPr>
          <w:p w14:paraId="7B8C9BE9" w14:textId="77777777" w:rsidR="00AC6F3C" w:rsidRDefault="00570E88">
            <w:pPr>
              <w:pStyle w:val="TableParagraph"/>
              <w:spacing w:before="66"/>
              <w:ind w:left="113"/>
              <w:rPr>
                <w:sz w:val="20"/>
              </w:rPr>
            </w:pPr>
            <w:r>
              <w:rPr>
                <w:spacing w:val="-2"/>
                <w:sz w:val="20"/>
              </w:rPr>
              <w:t>Small</w:t>
            </w:r>
          </w:p>
        </w:tc>
        <w:tc>
          <w:tcPr>
            <w:tcW w:w="2626" w:type="dxa"/>
            <w:tcBorders>
              <w:top w:val="single" w:sz="4" w:space="0" w:color="000000"/>
              <w:bottom w:val="single" w:sz="4" w:space="0" w:color="000000"/>
            </w:tcBorders>
          </w:tcPr>
          <w:p w14:paraId="5C46319A" w14:textId="77777777" w:rsidR="00AC6F3C" w:rsidRDefault="00570E88">
            <w:pPr>
              <w:pStyle w:val="TableParagraph"/>
              <w:spacing w:before="66"/>
              <w:ind w:right="112"/>
              <w:jc w:val="right"/>
              <w:rPr>
                <w:sz w:val="20"/>
              </w:rPr>
            </w:pPr>
            <w:r>
              <w:rPr>
                <w:spacing w:val="-2"/>
                <w:sz w:val="20"/>
              </w:rPr>
              <w:t>2,533</w:t>
            </w:r>
          </w:p>
        </w:tc>
      </w:tr>
      <w:tr w:rsidR="00AC6F3C" w14:paraId="60BF9D78" w14:textId="77777777">
        <w:trPr>
          <w:trHeight w:val="362"/>
        </w:trPr>
        <w:tc>
          <w:tcPr>
            <w:tcW w:w="2048" w:type="dxa"/>
            <w:tcBorders>
              <w:top w:val="single" w:sz="4" w:space="0" w:color="000000"/>
              <w:bottom w:val="single" w:sz="4" w:space="0" w:color="000000"/>
            </w:tcBorders>
          </w:tcPr>
          <w:p w14:paraId="25558D27" w14:textId="77777777" w:rsidR="00AC6F3C" w:rsidRDefault="00570E88">
            <w:pPr>
              <w:pStyle w:val="TableParagraph"/>
              <w:spacing w:before="66"/>
              <w:ind w:left="113"/>
              <w:rPr>
                <w:sz w:val="20"/>
              </w:rPr>
            </w:pPr>
            <w:r>
              <w:rPr>
                <w:spacing w:val="-2"/>
                <w:sz w:val="20"/>
              </w:rPr>
              <w:t>Medium</w:t>
            </w:r>
          </w:p>
        </w:tc>
        <w:tc>
          <w:tcPr>
            <w:tcW w:w="2626" w:type="dxa"/>
            <w:tcBorders>
              <w:top w:val="single" w:sz="4" w:space="0" w:color="000000"/>
              <w:bottom w:val="single" w:sz="4" w:space="0" w:color="000000"/>
            </w:tcBorders>
          </w:tcPr>
          <w:p w14:paraId="5E14D86C" w14:textId="77777777" w:rsidR="00AC6F3C" w:rsidRDefault="00570E88">
            <w:pPr>
              <w:pStyle w:val="TableParagraph"/>
              <w:spacing w:before="66"/>
              <w:ind w:right="112"/>
              <w:jc w:val="right"/>
              <w:rPr>
                <w:sz w:val="20"/>
              </w:rPr>
            </w:pPr>
            <w:r>
              <w:rPr>
                <w:spacing w:val="-2"/>
                <w:sz w:val="20"/>
              </w:rPr>
              <w:t>1,053</w:t>
            </w:r>
          </w:p>
        </w:tc>
      </w:tr>
      <w:tr w:rsidR="00AC6F3C" w14:paraId="7F6555D1" w14:textId="77777777">
        <w:trPr>
          <w:trHeight w:val="362"/>
        </w:trPr>
        <w:tc>
          <w:tcPr>
            <w:tcW w:w="2048" w:type="dxa"/>
            <w:tcBorders>
              <w:top w:val="single" w:sz="4" w:space="0" w:color="000000"/>
              <w:bottom w:val="single" w:sz="4" w:space="0" w:color="000000"/>
            </w:tcBorders>
          </w:tcPr>
          <w:p w14:paraId="3208F690" w14:textId="77777777" w:rsidR="00AC6F3C" w:rsidRDefault="00570E88">
            <w:pPr>
              <w:pStyle w:val="TableParagraph"/>
              <w:spacing w:before="66"/>
              <w:ind w:left="113"/>
              <w:rPr>
                <w:sz w:val="20"/>
              </w:rPr>
            </w:pPr>
            <w:r>
              <w:rPr>
                <w:spacing w:val="-2"/>
                <w:sz w:val="20"/>
              </w:rPr>
              <w:t>Large</w:t>
            </w:r>
          </w:p>
        </w:tc>
        <w:tc>
          <w:tcPr>
            <w:tcW w:w="2626" w:type="dxa"/>
            <w:tcBorders>
              <w:top w:val="single" w:sz="4" w:space="0" w:color="000000"/>
              <w:bottom w:val="single" w:sz="4" w:space="0" w:color="000000"/>
            </w:tcBorders>
          </w:tcPr>
          <w:p w14:paraId="1CE7B05B" w14:textId="77777777" w:rsidR="00AC6F3C" w:rsidRDefault="00570E88">
            <w:pPr>
              <w:pStyle w:val="TableParagraph"/>
              <w:spacing w:before="66"/>
              <w:ind w:right="112"/>
              <w:jc w:val="right"/>
              <w:rPr>
                <w:sz w:val="20"/>
              </w:rPr>
            </w:pPr>
            <w:r>
              <w:rPr>
                <w:spacing w:val="-2"/>
                <w:sz w:val="20"/>
              </w:rPr>
              <w:t>2,206</w:t>
            </w:r>
          </w:p>
        </w:tc>
      </w:tr>
      <w:tr w:rsidR="00AC6F3C" w14:paraId="22034D75" w14:textId="77777777">
        <w:trPr>
          <w:trHeight w:val="362"/>
        </w:trPr>
        <w:tc>
          <w:tcPr>
            <w:tcW w:w="2048" w:type="dxa"/>
            <w:tcBorders>
              <w:top w:val="single" w:sz="4" w:space="0" w:color="000000"/>
              <w:bottom w:val="single" w:sz="4" w:space="0" w:color="000000"/>
            </w:tcBorders>
          </w:tcPr>
          <w:p w14:paraId="6D9A2D0E" w14:textId="77777777" w:rsidR="00AC6F3C" w:rsidRDefault="00570E88">
            <w:pPr>
              <w:pStyle w:val="TableParagraph"/>
              <w:spacing w:before="66"/>
              <w:ind w:left="113"/>
              <w:rPr>
                <w:sz w:val="20"/>
              </w:rPr>
            </w:pPr>
            <w:r>
              <w:rPr>
                <w:spacing w:val="-2"/>
                <w:sz w:val="20"/>
              </w:rPr>
              <w:t>Other</w:t>
            </w:r>
          </w:p>
        </w:tc>
        <w:tc>
          <w:tcPr>
            <w:tcW w:w="2626" w:type="dxa"/>
            <w:tcBorders>
              <w:top w:val="single" w:sz="4" w:space="0" w:color="000000"/>
              <w:bottom w:val="single" w:sz="4" w:space="0" w:color="000000"/>
            </w:tcBorders>
          </w:tcPr>
          <w:p w14:paraId="4EBF7549" w14:textId="77777777" w:rsidR="00AC6F3C" w:rsidRDefault="00570E88">
            <w:pPr>
              <w:pStyle w:val="TableParagraph"/>
              <w:spacing w:before="66"/>
              <w:ind w:right="112"/>
              <w:jc w:val="right"/>
              <w:rPr>
                <w:sz w:val="20"/>
              </w:rPr>
            </w:pPr>
            <w:r>
              <w:rPr>
                <w:spacing w:val="-5"/>
                <w:sz w:val="20"/>
              </w:rPr>
              <w:t>565</w:t>
            </w:r>
          </w:p>
        </w:tc>
      </w:tr>
      <w:tr w:rsidR="00AC6F3C" w14:paraId="5C4A5A26" w14:textId="77777777">
        <w:trPr>
          <w:trHeight w:val="362"/>
        </w:trPr>
        <w:tc>
          <w:tcPr>
            <w:tcW w:w="2048" w:type="dxa"/>
            <w:tcBorders>
              <w:top w:val="single" w:sz="4" w:space="0" w:color="000000"/>
              <w:bottom w:val="single" w:sz="4" w:space="0" w:color="000000"/>
            </w:tcBorders>
          </w:tcPr>
          <w:p w14:paraId="73BF5678" w14:textId="77777777" w:rsidR="00AC6F3C" w:rsidRDefault="00570E88">
            <w:pPr>
              <w:pStyle w:val="TableParagraph"/>
              <w:spacing w:before="66"/>
              <w:ind w:left="113"/>
              <w:rPr>
                <w:b/>
                <w:sz w:val="20"/>
              </w:rPr>
            </w:pPr>
            <w:r>
              <w:rPr>
                <w:b/>
                <w:spacing w:val="-2"/>
                <w:sz w:val="20"/>
              </w:rPr>
              <w:t>Total</w:t>
            </w:r>
          </w:p>
        </w:tc>
        <w:tc>
          <w:tcPr>
            <w:tcW w:w="2626" w:type="dxa"/>
            <w:tcBorders>
              <w:top w:val="single" w:sz="4" w:space="0" w:color="000000"/>
              <w:bottom w:val="single" w:sz="4" w:space="0" w:color="000000"/>
            </w:tcBorders>
          </w:tcPr>
          <w:p w14:paraId="0E65390D" w14:textId="77777777" w:rsidR="00AC6F3C" w:rsidRDefault="00570E88">
            <w:pPr>
              <w:pStyle w:val="TableParagraph"/>
              <w:spacing w:before="66"/>
              <w:ind w:right="112"/>
              <w:jc w:val="right"/>
              <w:rPr>
                <w:b/>
                <w:sz w:val="20"/>
              </w:rPr>
            </w:pPr>
            <w:r>
              <w:rPr>
                <w:b/>
                <w:spacing w:val="-2"/>
                <w:sz w:val="20"/>
              </w:rPr>
              <w:t>11,455</w:t>
            </w:r>
          </w:p>
        </w:tc>
      </w:tr>
    </w:tbl>
    <w:p w14:paraId="2B714703" w14:textId="77777777" w:rsidR="00AC6F3C" w:rsidRDefault="00AC6F3C">
      <w:pPr>
        <w:pStyle w:val="BodyText"/>
        <w:spacing w:before="5"/>
        <w:rPr>
          <w:b/>
          <w:sz w:val="51"/>
        </w:rPr>
      </w:pPr>
    </w:p>
    <w:p w14:paraId="33BE0473" w14:textId="77777777" w:rsidR="00AC6F3C" w:rsidRDefault="00570E88">
      <w:pPr>
        <w:pStyle w:val="Heading3"/>
      </w:pPr>
      <w:r>
        <w:t>Full</w:t>
      </w:r>
      <w:r>
        <w:rPr>
          <w:spacing w:val="-3"/>
        </w:rPr>
        <w:t xml:space="preserve"> </w:t>
      </w:r>
      <w:r>
        <w:t>members</w:t>
      </w:r>
      <w:r>
        <w:rPr>
          <w:spacing w:val="-2"/>
        </w:rPr>
        <w:t xml:space="preserve"> </w:t>
      </w:r>
      <w:r>
        <w:t>by</w:t>
      </w:r>
      <w:r>
        <w:rPr>
          <w:spacing w:val="-2"/>
        </w:rPr>
        <w:t xml:space="preserve"> generation</w:t>
      </w:r>
    </w:p>
    <w:p w14:paraId="1BBD78C3" w14:textId="77777777" w:rsidR="00AC6F3C" w:rsidRDefault="00AC6F3C">
      <w:pPr>
        <w:pStyle w:val="BodyText"/>
        <w:spacing w:before="2"/>
        <w:rPr>
          <w:b/>
          <w:sz w:val="24"/>
        </w:rPr>
      </w:pPr>
    </w:p>
    <w:tbl>
      <w:tblPr>
        <w:tblW w:w="0" w:type="auto"/>
        <w:tblInd w:w="823" w:type="dxa"/>
        <w:tblLayout w:type="fixed"/>
        <w:tblCellMar>
          <w:left w:w="0" w:type="dxa"/>
          <w:right w:w="0" w:type="dxa"/>
        </w:tblCellMar>
        <w:tblLook w:val="01E0" w:firstRow="1" w:lastRow="1" w:firstColumn="1" w:lastColumn="1" w:noHBand="0" w:noVBand="0"/>
      </w:tblPr>
      <w:tblGrid>
        <w:gridCol w:w="1761"/>
        <w:gridCol w:w="2972"/>
        <w:gridCol w:w="2283"/>
      </w:tblGrid>
      <w:tr w:rsidR="00AC6F3C" w14:paraId="07D2F0AB" w14:textId="77777777">
        <w:trPr>
          <w:trHeight w:val="362"/>
        </w:trPr>
        <w:tc>
          <w:tcPr>
            <w:tcW w:w="1761" w:type="dxa"/>
            <w:tcBorders>
              <w:top w:val="single" w:sz="4" w:space="0" w:color="000000"/>
              <w:bottom w:val="single" w:sz="4" w:space="0" w:color="000000"/>
            </w:tcBorders>
          </w:tcPr>
          <w:p w14:paraId="4ECE812B" w14:textId="77777777" w:rsidR="00AC6F3C" w:rsidRDefault="00570E88">
            <w:pPr>
              <w:pStyle w:val="TableParagraph"/>
              <w:spacing w:before="66"/>
              <w:ind w:left="113"/>
              <w:rPr>
                <w:b/>
                <w:sz w:val="20"/>
              </w:rPr>
            </w:pPr>
            <w:r>
              <w:rPr>
                <w:b/>
                <w:spacing w:val="-4"/>
                <w:sz w:val="20"/>
              </w:rPr>
              <w:t>Year</w:t>
            </w:r>
          </w:p>
        </w:tc>
        <w:tc>
          <w:tcPr>
            <w:tcW w:w="2972" w:type="dxa"/>
            <w:tcBorders>
              <w:top w:val="single" w:sz="4" w:space="0" w:color="000000"/>
              <w:bottom w:val="single" w:sz="4" w:space="0" w:color="000000"/>
            </w:tcBorders>
          </w:tcPr>
          <w:p w14:paraId="633E2E87" w14:textId="77777777" w:rsidR="00AC6F3C" w:rsidRDefault="00570E88">
            <w:pPr>
              <w:pStyle w:val="TableParagraph"/>
              <w:spacing w:before="66"/>
              <w:ind w:left="690"/>
              <w:rPr>
                <w:b/>
                <w:sz w:val="20"/>
              </w:rPr>
            </w:pPr>
            <w:r>
              <w:rPr>
                <w:b/>
                <w:spacing w:val="-2"/>
                <w:sz w:val="20"/>
              </w:rPr>
              <w:t>Generation</w:t>
            </w:r>
          </w:p>
        </w:tc>
        <w:tc>
          <w:tcPr>
            <w:tcW w:w="2283" w:type="dxa"/>
            <w:tcBorders>
              <w:top w:val="single" w:sz="4" w:space="0" w:color="000000"/>
              <w:bottom w:val="single" w:sz="4" w:space="0" w:color="000000"/>
            </w:tcBorders>
          </w:tcPr>
          <w:p w14:paraId="638BDE10" w14:textId="77777777" w:rsidR="00AC6F3C" w:rsidRDefault="00570E88">
            <w:pPr>
              <w:pStyle w:val="TableParagraph"/>
              <w:spacing w:before="66"/>
              <w:ind w:right="111"/>
              <w:jc w:val="right"/>
              <w:rPr>
                <w:b/>
                <w:sz w:val="20"/>
              </w:rPr>
            </w:pPr>
            <w:r>
              <w:rPr>
                <w:b/>
                <w:sz w:val="20"/>
              </w:rPr>
              <w:t xml:space="preserve">Full </w:t>
            </w:r>
            <w:r>
              <w:rPr>
                <w:b/>
                <w:spacing w:val="-2"/>
                <w:sz w:val="20"/>
              </w:rPr>
              <w:t>Member</w:t>
            </w:r>
          </w:p>
        </w:tc>
      </w:tr>
      <w:tr w:rsidR="00AC6F3C" w14:paraId="5CA3A847" w14:textId="77777777">
        <w:trPr>
          <w:trHeight w:val="362"/>
        </w:trPr>
        <w:tc>
          <w:tcPr>
            <w:tcW w:w="1761" w:type="dxa"/>
            <w:tcBorders>
              <w:top w:val="single" w:sz="4" w:space="0" w:color="000000"/>
              <w:bottom w:val="single" w:sz="4" w:space="0" w:color="000000"/>
            </w:tcBorders>
          </w:tcPr>
          <w:p w14:paraId="42679654" w14:textId="77777777" w:rsidR="00AC6F3C" w:rsidRDefault="00570E88">
            <w:pPr>
              <w:pStyle w:val="TableParagraph"/>
              <w:spacing w:before="66"/>
              <w:ind w:left="113"/>
              <w:rPr>
                <w:sz w:val="20"/>
              </w:rPr>
            </w:pPr>
            <w:r>
              <w:rPr>
                <w:spacing w:val="-2"/>
                <w:sz w:val="20"/>
              </w:rPr>
              <w:t>1925-</w:t>
            </w:r>
            <w:r>
              <w:rPr>
                <w:spacing w:val="-4"/>
                <w:sz w:val="20"/>
              </w:rPr>
              <w:t>1945</w:t>
            </w:r>
          </w:p>
        </w:tc>
        <w:tc>
          <w:tcPr>
            <w:tcW w:w="2972" w:type="dxa"/>
            <w:tcBorders>
              <w:top w:val="single" w:sz="4" w:space="0" w:color="000000"/>
              <w:bottom w:val="single" w:sz="4" w:space="0" w:color="000000"/>
            </w:tcBorders>
          </w:tcPr>
          <w:p w14:paraId="1AFEF5ED" w14:textId="77777777" w:rsidR="00AC6F3C" w:rsidRDefault="00570E88">
            <w:pPr>
              <w:pStyle w:val="TableParagraph"/>
              <w:spacing w:before="66"/>
              <w:ind w:left="690"/>
              <w:rPr>
                <w:sz w:val="20"/>
              </w:rPr>
            </w:pPr>
            <w:r>
              <w:rPr>
                <w:spacing w:val="-2"/>
                <w:sz w:val="20"/>
              </w:rPr>
              <w:t>Builders</w:t>
            </w:r>
          </w:p>
        </w:tc>
        <w:tc>
          <w:tcPr>
            <w:tcW w:w="2283" w:type="dxa"/>
            <w:tcBorders>
              <w:top w:val="single" w:sz="4" w:space="0" w:color="000000"/>
              <w:bottom w:val="single" w:sz="4" w:space="0" w:color="000000"/>
            </w:tcBorders>
          </w:tcPr>
          <w:p w14:paraId="422D3DAB" w14:textId="77777777" w:rsidR="00AC6F3C" w:rsidRDefault="00570E88">
            <w:pPr>
              <w:pStyle w:val="TableParagraph"/>
              <w:spacing w:before="66"/>
              <w:ind w:right="111"/>
              <w:jc w:val="right"/>
              <w:rPr>
                <w:sz w:val="20"/>
              </w:rPr>
            </w:pPr>
            <w:r>
              <w:rPr>
                <w:spacing w:val="-5"/>
                <w:sz w:val="20"/>
              </w:rPr>
              <w:t>24</w:t>
            </w:r>
          </w:p>
        </w:tc>
      </w:tr>
      <w:tr w:rsidR="00AC6F3C" w14:paraId="58D90EBB" w14:textId="77777777">
        <w:trPr>
          <w:trHeight w:val="362"/>
        </w:trPr>
        <w:tc>
          <w:tcPr>
            <w:tcW w:w="1761" w:type="dxa"/>
            <w:tcBorders>
              <w:top w:val="single" w:sz="4" w:space="0" w:color="000000"/>
              <w:bottom w:val="single" w:sz="4" w:space="0" w:color="000000"/>
            </w:tcBorders>
          </w:tcPr>
          <w:p w14:paraId="0D7B9FDC" w14:textId="77777777" w:rsidR="00AC6F3C" w:rsidRDefault="00570E88">
            <w:pPr>
              <w:pStyle w:val="TableParagraph"/>
              <w:spacing w:before="66"/>
              <w:ind w:left="113"/>
              <w:rPr>
                <w:sz w:val="20"/>
              </w:rPr>
            </w:pPr>
            <w:r>
              <w:rPr>
                <w:spacing w:val="-2"/>
                <w:sz w:val="20"/>
              </w:rPr>
              <w:t>1946-</w:t>
            </w:r>
            <w:r>
              <w:rPr>
                <w:spacing w:val="-4"/>
                <w:sz w:val="20"/>
              </w:rPr>
              <w:t>1964</w:t>
            </w:r>
          </w:p>
        </w:tc>
        <w:tc>
          <w:tcPr>
            <w:tcW w:w="2972" w:type="dxa"/>
            <w:tcBorders>
              <w:top w:val="single" w:sz="4" w:space="0" w:color="000000"/>
              <w:bottom w:val="single" w:sz="4" w:space="0" w:color="000000"/>
            </w:tcBorders>
          </w:tcPr>
          <w:p w14:paraId="5AB07C42" w14:textId="77777777" w:rsidR="00AC6F3C" w:rsidRDefault="00570E88">
            <w:pPr>
              <w:pStyle w:val="TableParagraph"/>
              <w:spacing w:before="66"/>
              <w:ind w:left="690"/>
              <w:rPr>
                <w:sz w:val="20"/>
              </w:rPr>
            </w:pPr>
            <w:r>
              <w:rPr>
                <w:sz w:val="20"/>
              </w:rPr>
              <w:t xml:space="preserve">Baby </w:t>
            </w:r>
            <w:r>
              <w:rPr>
                <w:spacing w:val="-2"/>
                <w:sz w:val="20"/>
              </w:rPr>
              <w:t>boomers</w:t>
            </w:r>
          </w:p>
        </w:tc>
        <w:tc>
          <w:tcPr>
            <w:tcW w:w="2283" w:type="dxa"/>
            <w:tcBorders>
              <w:top w:val="single" w:sz="4" w:space="0" w:color="000000"/>
              <w:bottom w:val="single" w:sz="4" w:space="0" w:color="000000"/>
            </w:tcBorders>
          </w:tcPr>
          <w:p w14:paraId="3F9BD8CD" w14:textId="77777777" w:rsidR="00AC6F3C" w:rsidRDefault="00570E88">
            <w:pPr>
              <w:pStyle w:val="TableParagraph"/>
              <w:spacing w:before="66"/>
              <w:ind w:right="111"/>
              <w:jc w:val="right"/>
              <w:rPr>
                <w:sz w:val="20"/>
              </w:rPr>
            </w:pPr>
            <w:r>
              <w:rPr>
                <w:spacing w:val="-2"/>
                <w:sz w:val="20"/>
              </w:rPr>
              <w:t>1,580</w:t>
            </w:r>
          </w:p>
        </w:tc>
      </w:tr>
      <w:tr w:rsidR="00AC6F3C" w14:paraId="75BD8CC7" w14:textId="77777777">
        <w:trPr>
          <w:trHeight w:val="362"/>
        </w:trPr>
        <w:tc>
          <w:tcPr>
            <w:tcW w:w="1761" w:type="dxa"/>
            <w:tcBorders>
              <w:top w:val="single" w:sz="4" w:space="0" w:color="000000"/>
              <w:bottom w:val="single" w:sz="4" w:space="0" w:color="000000"/>
            </w:tcBorders>
          </w:tcPr>
          <w:p w14:paraId="1A17091B" w14:textId="77777777" w:rsidR="00AC6F3C" w:rsidRDefault="00570E88">
            <w:pPr>
              <w:pStyle w:val="TableParagraph"/>
              <w:spacing w:before="66"/>
              <w:ind w:left="113"/>
              <w:rPr>
                <w:sz w:val="20"/>
              </w:rPr>
            </w:pPr>
            <w:r>
              <w:rPr>
                <w:spacing w:val="-2"/>
                <w:sz w:val="20"/>
              </w:rPr>
              <w:t>1965-</w:t>
            </w:r>
            <w:r>
              <w:rPr>
                <w:spacing w:val="-4"/>
                <w:sz w:val="20"/>
              </w:rPr>
              <w:t>1979</w:t>
            </w:r>
          </w:p>
        </w:tc>
        <w:tc>
          <w:tcPr>
            <w:tcW w:w="2972" w:type="dxa"/>
            <w:tcBorders>
              <w:top w:val="single" w:sz="4" w:space="0" w:color="000000"/>
              <w:bottom w:val="single" w:sz="4" w:space="0" w:color="000000"/>
            </w:tcBorders>
          </w:tcPr>
          <w:p w14:paraId="00C51D3D" w14:textId="77777777" w:rsidR="00AC6F3C" w:rsidRDefault="00570E88">
            <w:pPr>
              <w:pStyle w:val="TableParagraph"/>
              <w:spacing w:before="66"/>
              <w:ind w:left="691"/>
              <w:rPr>
                <w:sz w:val="20"/>
              </w:rPr>
            </w:pPr>
            <w:r>
              <w:rPr>
                <w:sz w:val="20"/>
              </w:rPr>
              <w:t>X</w:t>
            </w:r>
          </w:p>
        </w:tc>
        <w:tc>
          <w:tcPr>
            <w:tcW w:w="2283" w:type="dxa"/>
            <w:tcBorders>
              <w:top w:val="single" w:sz="4" w:space="0" w:color="000000"/>
              <w:bottom w:val="single" w:sz="4" w:space="0" w:color="000000"/>
            </w:tcBorders>
          </w:tcPr>
          <w:p w14:paraId="24FF6B21" w14:textId="77777777" w:rsidR="00AC6F3C" w:rsidRDefault="00570E88">
            <w:pPr>
              <w:pStyle w:val="TableParagraph"/>
              <w:spacing w:before="66"/>
              <w:ind w:right="111"/>
              <w:jc w:val="right"/>
              <w:rPr>
                <w:sz w:val="20"/>
              </w:rPr>
            </w:pPr>
            <w:r>
              <w:rPr>
                <w:spacing w:val="-2"/>
                <w:sz w:val="20"/>
              </w:rPr>
              <w:t>3,253</w:t>
            </w:r>
          </w:p>
        </w:tc>
      </w:tr>
      <w:tr w:rsidR="00AC6F3C" w14:paraId="32226CC5" w14:textId="77777777">
        <w:trPr>
          <w:trHeight w:val="362"/>
        </w:trPr>
        <w:tc>
          <w:tcPr>
            <w:tcW w:w="1761" w:type="dxa"/>
            <w:tcBorders>
              <w:top w:val="single" w:sz="4" w:space="0" w:color="000000"/>
              <w:bottom w:val="single" w:sz="4" w:space="0" w:color="000000"/>
            </w:tcBorders>
          </w:tcPr>
          <w:p w14:paraId="03CEB80D" w14:textId="77777777" w:rsidR="00AC6F3C" w:rsidRDefault="00570E88">
            <w:pPr>
              <w:pStyle w:val="TableParagraph"/>
              <w:spacing w:before="66"/>
              <w:ind w:left="113"/>
              <w:rPr>
                <w:sz w:val="20"/>
              </w:rPr>
            </w:pPr>
            <w:r>
              <w:rPr>
                <w:spacing w:val="-2"/>
                <w:sz w:val="20"/>
              </w:rPr>
              <w:t>1980-</w:t>
            </w:r>
            <w:r>
              <w:rPr>
                <w:spacing w:val="-4"/>
                <w:sz w:val="20"/>
              </w:rPr>
              <w:t>1994</w:t>
            </w:r>
          </w:p>
        </w:tc>
        <w:tc>
          <w:tcPr>
            <w:tcW w:w="2972" w:type="dxa"/>
            <w:tcBorders>
              <w:top w:val="single" w:sz="4" w:space="0" w:color="000000"/>
              <w:bottom w:val="single" w:sz="4" w:space="0" w:color="000000"/>
            </w:tcBorders>
          </w:tcPr>
          <w:p w14:paraId="2C778F6F" w14:textId="77777777" w:rsidR="00AC6F3C" w:rsidRDefault="00570E88">
            <w:pPr>
              <w:pStyle w:val="TableParagraph"/>
              <w:spacing w:before="66"/>
              <w:ind w:left="691"/>
              <w:rPr>
                <w:sz w:val="20"/>
              </w:rPr>
            </w:pPr>
            <w:r>
              <w:rPr>
                <w:sz w:val="20"/>
              </w:rPr>
              <w:t>Y</w:t>
            </w:r>
          </w:p>
        </w:tc>
        <w:tc>
          <w:tcPr>
            <w:tcW w:w="2283" w:type="dxa"/>
            <w:tcBorders>
              <w:top w:val="single" w:sz="4" w:space="0" w:color="000000"/>
              <w:bottom w:val="single" w:sz="4" w:space="0" w:color="000000"/>
            </w:tcBorders>
          </w:tcPr>
          <w:p w14:paraId="01C65E75" w14:textId="77777777" w:rsidR="00AC6F3C" w:rsidRDefault="00570E88">
            <w:pPr>
              <w:pStyle w:val="TableParagraph"/>
              <w:spacing w:before="66"/>
              <w:ind w:right="111"/>
              <w:jc w:val="right"/>
              <w:rPr>
                <w:sz w:val="20"/>
              </w:rPr>
            </w:pPr>
            <w:r>
              <w:rPr>
                <w:spacing w:val="-2"/>
                <w:sz w:val="20"/>
              </w:rPr>
              <w:t>5,042</w:t>
            </w:r>
          </w:p>
        </w:tc>
      </w:tr>
      <w:tr w:rsidR="00AC6F3C" w14:paraId="219C6B30" w14:textId="77777777">
        <w:trPr>
          <w:trHeight w:val="362"/>
        </w:trPr>
        <w:tc>
          <w:tcPr>
            <w:tcW w:w="1761" w:type="dxa"/>
            <w:tcBorders>
              <w:top w:val="single" w:sz="4" w:space="0" w:color="000000"/>
              <w:bottom w:val="single" w:sz="4" w:space="0" w:color="000000"/>
            </w:tcBorders>
          </w:tcPr>
          <w:p w14:paraId="6DB3993B" w14:textId="77777777" w:rsidR="00AC6F3C" w:rsidRDefault="00570E88">
            <w:pPr>
              <w:pStyle w:val="TableParagraph"/>
              <w:spacing w:before="66"/>
              <w:ind w:left="113"/>
              <w:rPr>
                <w:sz w:val="20"/>
              </w:rPr>
            </w:pPr>
            <w:r>
              <w:rPr>
                <w:spacing w:val="-2"/>
                <w:sz w:val="20"/>
              </w:rPr>
              <w:t>1995-</w:t>
            </w:r>
            <w:r>
              <w:rPr>
                <w:spacing w:val="-4"/>
                <w:sz w:val="20"/>
              </w:rPr>
              <w:t>2010</w:t>
            </w:r>
          </w:p>
        </w:tc>
        <w:tc>
          <w:tcPr>
            <w:tcW w:w="2972" w:type="dxa"/>
            <w:tcBorders>
              <w:top w:val="single" w:sz="4" w:space="0" w:color="000000"/>
              <w:bottom w:val="single" w:sz="4" w:space="0" w:color="000000"/>
            </w:tcBorders>
          </w:tcPr>
          <w:p w14:paraId="1E0A7135" w14:textId="77777777" w:rsidR="00AC6F3C" w:rsidRDefault="00570E88">
            <w:pPr>
              <w:pStyle w:val="TableParagraph"/>
              <w:spacing w:before="66"/>
              <w:ind w:left="691"/>
              <w:rPr>
                <w:sz w:val="20"/>
              </w:rPr>
            </w:pPr>
            <w:r>
              <w:rPr>
                <w:sz w:val="20"/>
              </w:rPr>
              <w:t>Z</w:t>
            </w:r>
          </w:p>
        </w:tc>
        <w:tc>
          <w:tcPr>
            <w:tcW w:w="2283" w:type="dxa"/>
            <w:tcBorders>
              <w:top w:val="single" w:sz="4" w:space="0" w:color="000000"/>
              <w:bottom w:val="single" w:sz="4" w:space="0" w:color="000000"/>
            </w:tcBorders>
          </w:tcPr>
          <w:p w14:paraId="11A5D300" w14:textId="77777777" w:rsidR="00AC6F3C" w:rsidRDefault="00570E88">
            <w:pPr>
              <w:pStyle w:val="TableParagraph"/>
              <w:spacing w:before="66"/>
              <w:ind w:right="111"/>
              <w:jc w:val="right"/>
              <w:rPr>
                <w:sz w:val="20"/>
              </w:rPr>
            </w:pPr>
            <w:r>
              <w:rPr>
                <w:spacing w:val="-2"/>
                <w:sz w:val="20"/>
              </w:rPr>
              <w:t>1,504</w:t>
            </w:r>
          </w:p>
        </w:tc>
      </w:tr>
      <w:tr w:rsidR="00AC6F3C" w14:paraId="3BBCDD96" w14:textId="77777777">
        <w:trPr>
          <w:trHeight w:val="362"/>
        </w:trPr>
        <w:tc>
          <w:tcPr>
            <w:tcW w:w="1761" w:type="dxa"/>
            <w:tcBorders>
              <w:top w:val="single" w:sz="4" w:space="0" w:color="000000"/>
              <w:bottom w:val="single" w:sz="4" w:space="0" w:color="000000"/>
            </w:tcBorders>
          </w:tcPr>
          <w:p w14:paraId="08C8CF28" w14:textId="77777777" w:rsidR="00AC6F3C" w:rsidRDefault="00570E88">
            <w:pPr>
              <w:pStyle w:val="TableParagraph"/>
              <w:spacing w:before="66"/>
              <w:ind w:left="114"/>
              <w:rPr>
                <w:sz w:val="20"/>
              </w:rPr>
            </w:pPr>
            <w:r>
              <w:rPr>
                <w:sz w:val="20"/>
              </w:rPr>
              <w:t xml:space="preserve">NO </w:t>
            </w:r>
            <w:r>
              <w:rPr>
                <w:spacing w:val="-5"/>
                <w:sz w:val="20"/>
              </w:rPr>
              <w:t>DOB</w:t>
            </w:r>
          </w:p>
        </w:tc>
        <w:tc>
          <w:tcPr>
            <w:tcW w:w="2972" w:type="dxa"/>
            <w:tcBorders>
              <w:top w:val="single" w:sz="4" w:space="0" w:color="000000"/>
              <w:bottom w:val="single" w:sz="4" w:space="0" w:color="000000"/>
            </w:tcBorders>
          </w:tcPr>
          <w:p w14:paraId="1ABFE649" w14:textId="77777777" w:rsidR="00AC6F3C" w:rsidRDefault="00AC6F3C">
            <w:pPr>
              <w:pStyle w:val="TableParagraph"/>
              <w:rPr>
                <w:rFonts w:ascii="Times New Roman"/>
                <w:sz w:val="20"/>
              </w:rPr>
            </w:pPr>
          </w:p>
        </w:tc>
        <w:tc>
          <w:tcPr>
            <w:tcW w:w="2283" w:type="dxa"/>
            <w:tcBorders>
              <w:top w:val="single" w:sz="4" w:space="0" w:color="000000"/>
              <w:bottom w:val="single" w:sz="4" w:space="0" w:color="000000"/>
            </w:tcBorders>
          </w:tcPr>
          <w:p w14:paraId="4EF22D33" w14:textId="77777777" w:rsidR="00AC6F3C" w:rsidRDefault="00570E88">
            <w:pPr>
              <w:pStyle w:val="TableParagraph"/>
              <w:spacing w:before="66"/>
              <w:ind w:right="110"/>
              <w:jc w:val="right"/>
              <w:rPr>
                <w:sz w:val="20"/>
              </w:rPr>
            </w:pPr>
            <w:r>
              <w:rPr>
                <w:spacing w:val="-5"/>
                <w:sz w:val="20"/>
              </w:rPr>
              <w:t>52</w:t>
            </w:r>
          </w:p>
        </w:tc>
      </w:tr>
      <w:tr w:rsidR="00AC6F3C" w14:paraId="710CC824" w14:textId="77777777">
        <w:trPr>
          <w:trHeight w:val="362"/>
        </w:trPr>
        <w:tc>
          <w:tcPr>
            <w:tcW w:w="1761" w:type="dxa"/>
            <w:tcBorders>
              <w:top w:val="single" w:sz="4" w:space="0" w:color="000000"/>
              <w:bottom w:val="single" w:sz="4" w:space="0" w:color="000000"/>
            </w:tcBorders>
          </w:tcPr>
          <w:p w14:paraId="578D9816" w14:textId="77777777" w:rsidR="00AC6F3C" w:rsidRDefault="00570E88">
            <w:pPr>
              <w:pStyle w:val="TableParagraph"/>
              <w:spacing w:before="66"/>
              <w:ind w:left="114"/>
              <w:rPr>
                <w:b/>
                <w:sz w:val="20"/>
              </w:rPr>
            </w:pPr>
            <w:r>
              <w:rPr>
                <w:b/>
                <w:spacing w:val="-2"/>
                <w:sz w:val="20"/>
              </w:rPr>
              <w:t>Total</w:t>
            </w:r>
          </w:p>
        </w:tc>
        <w:tc>
          <w:tcPr>
            <w:tcW w:w="2972" w:type="dxa"/>
            <w:tcBorders>
              <w:top w:val="single" w:sz="4" w:space="0" w:color="000000"/>
              <w:bottom w:val="single" w:sz="4" w:space="0" w:color="000000"/>
            </w:tcBorders>
          </w:tcPr>
          <w:p w14:paraId="6E10609A" w14:textId="77777777" w:rsidR="00AC6F3C" w:rsidRDefault="00AC6F3C">
            <w:pPr>
              <w:pStyle w:val="TableParagraph"/>
              <w:rPr>
                <w:rFonts w:ascii="Times New Roman"/>
                <w:sz w:val="20"/>
              </w:rPr>
            </w:pPr>
          </w:p>
        </w:tc>
        <w:tc>
          <w:tcPr>
            <w:tcW w:w="2283" w:type="dxa"/>
            <w:tcBorders>
              <w:top w:val="single" w:sz="4" w:space="0" w:color="000000"/>
              <w:bottom w:val="single" w:sz="4" w:space="0" w:color="000000"/>
            </w:tcBorders>
          </w:tcPr>
          <w:p w14:paraId="0556E145" w14:textId="77777777" w:rsidR="00AC6F3C" w:rsidRDefault="00570E88">
            <w:pPr>
              <w:pStyle w:val="TableParagraph"/>
              <w:spacing w:before="66"/>
              <w:ind w:right="111"/>
              <w:jc w:val="right"/>
              <w:rPr>
                <w:b/>
                <w:sz w:val="20"/>
              </w:rPr>
            </w:pPr>
            <w:r>
              <w:rPr>
                <w:b/>
                <w:spacing w:val="-2"/>
                <w:sz w:val="20"/>
              </w:rPr>
              <w:t>11,455</w:t>
            </w:r>
          </w:p>
        </w:tc>
      </w:tr>
    </w:tbl>
    <w:p w14:paraId="1266F023" w14:textId="77777777" w:rsidR="00AC6F3C" w:rsidRDefault="00AC6F3C">
      <w:pPr>
        <w:pStyle w:val="BodyText"/>
        <w:spacing w:before="5"/>
        <w:rPr>
          <w:b/>
          <w:sz w:val="51"/>
        </w:rPr>
      </w:pPr>
    </w:p>
    <w:p w14:paraId="1217274A" w14:textId="77777777" w:rsidR="00AC6F3C" w:rsidRDefault="00570E88">
      <w:pPr>
        <w:pStyle w:val="Heading3"/>
      </w:pPr>
      <w:r>
        <w:t>Gender</w:t>
      </w:r>
      <w:r>
        <w:rPr>
          <w:spacing w:val="-5"/>
        </w:rPr>
        <w:t xml:space="preserve"> </w:t>
      </w:r>
      <w:r>
        <w:rPr>
          <w:spacing w:val="-2"/>
        </w:rPr>
        <w:t>Balance</w:t>
      </w:r>
    </w:p>
    <w:p w14:paraId="1D4AFAAE" w14:textId="77777777" w:rsidR="00AC6F3C" w:rsidRDefault="00AC6F3C">
      <w:pPr>
        <w:pStyle w:val="BodyText"/>
        <w:spacing w:before="2"/>
        <w:rPr>
          <w:b/>
          <w:sz w:val="24"/>
        </w:rPr>
      </w:pPr>
    </w:p>
    <w:tbl>
      <w:tblPr>
        <w:tblW w:w="0" w:type="auto"/>
        <w:tblInd w:w="823" w:type="dxa"/>
        <w:tblLayout w:type="fixed"/>
        <w:tblCellMar>
          <w:left w:w="0" w:type="dxa"/>
          <w:right w:w="0" w:type="dxa"/>
        </w:tblCellMar>
        <w:tblLook w:val="01E0" w:firstRow="1" w:lastRow="1" w:firstColumn="1" w:lastColumn="1" w:noHBand="0" w:noVBand="0"/>
      </w:tblPr>
      <w:tblGrid>
        <w:gridCol w:w="2108"/>
        <w:gridCol w:w="1758"/>
        <w:gridCol w:w="2432"/>
        <w:gridCol w:w="2000"/>
        <w:gridCol w:w="1055"/>
      </w:tblGrid>
      <w:tr w:rsidR="00AC6F3C" w14:paraId="08922718" w14:textId="77777777">
        <w:trPr>
          <w:trHeight w:val="602"/>
        </w:trPr>
        <w:tc>
          <w:tcPr>
            <w:tcW w:w="2108" w:type="dxa"/>
            <w:tcBorders>
              <w:top w:val="single" w:sz="4" w:space="0" w:color="000000"/>
              <w:bottom w:val="single" w:sz="4" w:space="0" w:color="000000"/>
            </w:tcBorders>
          </w:tcPr>
          <w:p w14:paraId="607FB2E9" w14:textId="77777777" w:rsidR="00AC6F3C" w:rsidRDefault="00AC6F3C">
            <w:pPr>
              <w:pStyle w:val="TableParagraph"/>
              <w:rPr>
                <w:rFonts w:ascii="Times New Roman"/>
                <w:sz w:val="20"/>
              </w:rPr>
            </w:pPr>
          </w:p>
        </w:tc>
        <w:tc>
          <w:tcPr>
            <w:tcW w:w="1758" w:type="dxa"/>
            <w:tcBorders>
              <w:top w:val="single" w:sz="4" w:space="0" w:color="000000"/>
              <w:bottom w:val="single" w:sz="4" w:space="0" w:color="000000"/>
            </w:tcBorders>
          </w:tcPr>
          <w:p w14:paraId="1DFF7C59" w14:textId="77777777" w:rsidR="00AC6F3C" w:rsidRDefault="00AC6F3C">
            <w:pPr>
              <w:pStyle w:val="TableParagraph"/>
              <w:spacing w:before="7"/>
              <w:rPr>
                <w:b/>
                <w:sz w:val="26"/>
              </w:rPr>
            </w:pPr>
          </w:p>
          <w:p w14:paraId="6D5224CA" w14:textId="77777777" w:rsidR="00AC6F3C" w:rsidRDefault="00570E88">
            <w:pPr>
              <w:pStyle w:val="TableParagraph"/>
              <w:ind w:left="338"/>
              <w:rPr>
                <w:b/>
                <w:sz w:val="20"/>
              </w:rPr>
            </w:pPr>
            <w:r>
              <w:rPr>
                <w:b/>
                <w:spacing w:val="-4"/>
                <w:sz w:val="20"/>
              </w:rPr>
              <w:t>Male</w:t>
            </w:r>
          </w:p>
        </w:tc>
        <w:tc>
          <w:tcPr>
            <w:tcW w:w="2432" w:type="dxa"/>
            <w:tcBorders>
              <w:top w:val="single" w:sz="4" w:space="0" w:color="000000"/>
              <w:bottom w:val="single" w:sz="4" w:space="0" w:color="000000"/>
            </w:tcBorders>
          </w:tcPr>
          <w:p w14:paraId="035A5E03" w14:textId="77777777" w:rsidR="00AC6F3C" w:rsidRDefault="00AC6F3C">
            <w:pPr>
              <w:pStyle w:val="TableParagraph"/>
              <w:spacing w:before="7"/>
              <w:rPr>
                <w:b/>
                <w:sz w:val="26"/>
              </w:rPr>
            </w:pPr>
          </w:p>
          <w:p w14:paraId="3CD539AF" w14:textId="77777777" w:rsidR="00AC6F3C" w:rsidRDefault="00570E88">
            <w:pPr>
              <w:pStyle w:val="TableParagraph"/>
              <w:ind w:left="919"/>
              <w:rPr>
                <w:b/>
                <w:sz w:val="20"/>
              </w:rPr>
            </w:pPr>
            <w:r>
              <w:rPr>
                <w:b/>
                <w:spacing w:val="-2"/>
                <w:sz w:val="20"/>
              </w:rPr>
              <w:t>Female</w:t>
            </w:r>
          </w:p>
        </w:tc>
        <w:tc>
          <w:tcPr>
            <w:tcW w:w="2000" w:type="dxa"/>
            <w:tcBorders>
              <w:top w:val="single" w:sz="4" w:space="0" w:color="000000"/>
              <w:bottom w:val="single" w:sz="4" w:space="0" w:color="000000"/>
            </w:tcBorders>
          </w:tcPr>
          <w:p w14:paraId="5B12C8F0" w14:textId="77777777" w:rsidR="00AC6F3C" w:rsidRDefault="00570E88">
            <w:pPr>
              <w:pStyle w:val="TableParagraph"/>
              <w:spacing w:before="66" w:line="249" w:lineRule="auto"/>
              <w:ind w:left="826" w:right="326"/>
              <w:rPr>
                <w:b/>
                <w:sz w:val="20"/>
              </w:rPr>
            </w:pPr>
            <w:r>
              <w:rPr>
                <w:b/>
                <w:spacing w:val="-4"/>
                <w:sz w:val="20"/>
              </w:rPr>
              <w:t xml:space="preserve">Not </w:t>
            </w:r>
            <w:r>
              <w:rPr>
                <w:b/>
                <w:spacing w:val="-2"/>
                <w:sz w:val="20"/>
              </w:rPr>
              <w:t>available</w:t>
            </w:r>
          </w:p>
        </w:tc>
        <w:tc>
          <w:tcPr>
            <w:tcW w:w="1055" w:type="dxa"/>
            <w:tcBorders>
              <w:top w:val="single" w:sz="4" w:space="0" w:color="000000"/>
              <w:bottom w:val="single" w:sz="4" w:space="0" w:color="000000"/>
            </w:tcBorders>
          </w:tcPr>
          <w:p w14:paraId="7AB37B45" w14:textId="77777777" w:rsidR="00AC6F3C" w:rsidRDefault="00AC6F3C">
            <w:pPr>
              <w:pStyle w:val="TableParagraph"/>
              <w:spacing w:before="7"/>
              <w:rPr>
                <w:b/>
                <w:sz w:val="26"/>
              </w:rPr>
            </w:pPr>
          </w:p>
          <w:p w14:paraId="528D0F56" w14:textId="77777777" w:rsidR="00AC6F3C" w:rsidRDefault="00570E88">
            <w:pPr>
              <w:pStyle w:val="TableParagraph"/>
              <w:ind w:right="109"/>
              <w:jc w:val="right"/>
              <w:rPr>
                <w:b/>
                <w:sz w:val="20"/>
              </w:rPr>
            </w:pPr>
            <w:r>
              <w:rPr>
                <w:b/>
                <w:spacing w:val="-2"/>
                <w:sz w:val="20"/>
              </w:rPr>
              <w:t>Total</w:t>
            </w:r>
          </w:p>
        </w:tc>
      </w:tr>
      <w:tr w:rsidR="00AC6F3C" w14:paraId="4E59B7C3" w14:textId="77777777">
        <w:trPr>
          <w:trHeight w:val="362"/>
        </w:trPr>
        <w:tc>
          <w:tcPr>
            <w:tcW w:w="2108" w:type="dxa"/>
            <w:tcBorders>
              <w:top w:val="single" w:sz="4" w:space="0" w:color="000000"/>
              <w:bottom w:val="single" w:sz="4" w:space="0" w:color="000000"/>
            </w:tcBorders>
          </w:tcPr>
          <w:p w14:paraId="69F276D1" w14:textId="77777777" w:rsidR="00AC6F3C" w:rsidRDefault="00570E88">
            <w:pPr>
              <w:pStyle w:val="TableParagraph"/>
              <w:spacing w:before="66"/>
              <w:ind w:left="113"/>
              <w:rPr>
                <w:sz w:val="20"/>
              </w:rPr>
            </w:pPr>
            <w:r>
              <w:rPr>
                <w:sz w:val="20"/>
              </w:rPr>
              <w:t>Full</w:t>
            </w:r>
            <w:r>
              <w:rPr>
                <w:spacing w:val="-3"/>
                <w:sz w:val="20"/>
              </w:rPr>
              <w:t xml:space="preserve"> </w:t>
            </w:r>
            <w:r>
              <w:rPr>
                <w:spacing w:val="-2"/>
                <w:sz w:val="20"/>
              </w:rPr>
              <w:t>Member</w:t>
            </w:r>
          </w:p>
        </w:tc>
        <w:tc>
          <w:tcPr>
            <w:tcW w:w="1758" w:type="dxa"/>
            <w:tcBorders>
              <w:top w:val="single" w:sz="4" w:space="0" w:color="000000"/>
              <w:bottom w:val="single" w:sz="4" w:space="0" w:color="000000"/>
            </w:tcBorders>
          </w:tcPr>
          <w:p w14:paraId="15C52B7C" w14:textId="77777777" w:rsidR="00AC6F3C" w:rsidRDefault="00570E88">
            <w:pPr>
              <w:pStyle w:val="TableParagraph"/>
              <w:spacing w:before="66"/>
              <w:ind w:left="339"/>
              <w:rPr>
                <w:sz w:val="20"/>
              </w:rPr>
            </w:pPr>
            <w:r>
              <w:rPr>
                <w:spacing w:val="-2"/>
                <w:sz w:val="20"/>
              </w:rPr>
              <w:t>5,276</w:t>
            </w:r>
          </w:p>
        </w:tc>
        <w:tc>
          <w:tcPr>
            <w:tcW w:w="2432" w:type="dxa"/>
            <w:tcBorders>
              <w:top w:val="single" w:sz="4" w:space="0" w:color="000000"/>
              <w:bottom w:val="single" w:sz="4" w:space="0" w:color="000000"/>
            </w:tcBorders>
          </w:tcPr>
          <w:p w14:paraId="4821FBAE" w14:textId="77777777" w:rsidR="00AC6F3C" w:rsidRDefault="00570E88">
            <w:pPr>
              <w:pStyle w:val="TableParagraph"/>
              <w:spacing w:before="66"/>
              <w:ind w:left="919"/>
              <w:rPr>
                <w:sz w:val="20"/>
              </w:rPr>
            </w:pPr>
            <w:r>
              <w:rPr>
                <w:spacing w:val="-2"/>
                <w:sz w:val="20"/>
              </w:rPr>
              <w:t>6,133</w:t>
            </w:r>
          </w:p>
        </w:tc>
        <w:tc>
          <w:tcPr>
            <w:tcW w:w="2000" w:type="dxa"/>
            <w:tcBorders>
              <w:top w:val="single" w:sz="4" w:space="0" w:color="000000"/>
              <w:bottom w:val="single" w:sz="4" w:space="0" w:color="000000"/>
            </w:tcBorders>
          </w:tcPr>
          <w:p w14:paraId="5AC10E90" w14:textId="77777777" w:rsidR="00AC6F3C" w:rsidRDefault="00570E88">
            <w:pPr>
              <w:pStyle w:val="TableParagraph"/>
              <w:spacing w:before="66"/>
              <w:ind w:left="826"/>
              <w:rPr>
                <w:sz w:val="20"/>
              </w:rPr>
            </w:pPr>
            <w:r>
              <w:rPr>
                <w:spacing w:val="-5"/>
                <w:sz w:val="20"/>
              </w:rPr>
              <w:t>46</w:t>
            </w:r>
          </w:p>
        </w:tc>
        <w:tc>
          <w:tcPr>
            <w:tcW w:w="1055" w:type="dxa"/>
            <w:tcBorders>
              <w:top w:val="single" w:sz="4" w:space="0" w:color="000000"/>
              <w:bottom w:val="single" w:sz="4" w:space="0" w:color="000000"/>
            </w:tcBorders>
          </w:tcPr>
          <w:p w14:paraId="3B5887AC" w14:textId="77777777" w:rsidR="00AC6F3C" w:rsidRDefault="00570E88">
            <w:pPr>
              <w:pStyle w:val="TableParagraph"/>
              <w:spacing w:before="66"/>
              <w:ind w:right="109"/>
              <w:jc w:val="right"/>
              <w:rPr>
                <w:sz w:val="20"/>
              </w:rPr>
            </w:pPr>
            <w:r>
              <w:rPr>
                <w:spacing w:val="-2"/>
                <w:sz w:val="20"/>
              </w:rPr>
              <w:t>11,455</w:t>
            </w:r>
          </w:p>
        </w:tc>
      </w:tr>
      <w:tr w:rsidR="00AC6F3C" w14:paraId="2515091B" w14:textId="77777777">
        <w:trPr>
          <w:trHeight w:val="362"/>
        </w:trPr>
        <w:tc>
          <w:tcPr>
            <w:tcW w:w="2108" w:type="dxa"/>
            <w:tcBorders>
              <w:top w:val="single" w:sz="4" w:space="0" w:color="000000"/>
              <w:bottom w:val="single" w:sz="4" w:space="0" w:color="000000"/>
            </w:tcBorders>
          </w:tcPr>
          <w:p w14:paraId="62EB8B5B" w14:textId="77777777" w:rsidR="00AC6F3C" w:rsidRDefault="00570E88">
            <w:pPr>
              <w:pStyle w:val="TableParagraph"/>
              <w:spacing w:before="66"/>
              <w:ind w:left="113"/>
              <w:rPr>
                <w:sz w:val="20"/>
              </w:rPr>
            </w:pPr>
            <w:r>
              <w:rPr>
                <w:sz w:val="20"/>
              </w:rPr>
              <w:t>Associate</w:t>
            </w:r>
            <w:r>
              <w:rPr>
                <w:spacing w:val="-8"/>
                <w:sz w:val="20"/>
              </w:rPr>
              <w:t xml:space="preserve"> </w:t>
            </w:r>
            <w:r>
              <w:rPr>
                <w:spacing w:val="-2"/>
                <w:sz w:val="20"/>
              </w:rPr>
              <w:t>Member</w:t>
            </w:r>
          </w:p>
        </w:tc>
        <w:tc>
          <w:tcPr>
            <w:tcW w:w="1758" w:type="dxa"/>
            <w:tcBorders>
              <w:top w:val="single" w:sz="4" w:space="0" w:color="000000"/>
              <w:bottom w:val="single" w:sz="4" w:space="0" w:color="000000"/>
            </w:tcBorders>
          </w:tcPr>
          <w:p w14:paraId="014E01E5" w14:textId="77777777" w:rsidR="00AC6F3C" w:rsidRDefault="00570E88">
            <w:pPr>
              <w:pStyle w:val="TableParagraph"/>
              <w:spacing w:before="66"/>
              <w:ind w:left="339"/>
              <w:rPr>
                <w:sz w:val="20"/>
              </w:rPr>
            </w:pPr>
            <w:r>
              <w:rPr>
                <w:spacing w:val="-5"/>
                <w:sz w:val="20"/>
              </w:rPr>
              <w:t>108</w:t>
            </w:r>
          </w:p>
        </w:tc>
        <w:tc>
          <w:tcPr>
            <w:tcW w:w="2432" w:type="dxa"/>
            <w:tcBorders>
              <w:top w:val="single" w:sz="4" w:space="0" w:color="000000"/>
              <w:bottom w:val="single" w:sz="4" w:space="0" w:color="000000"/>
            </w:tcBorders>
          </w:tcPr>
          <w:p w14:paraId="28AB6DE2" w14:textId="77777777" w:rsidR="00AC6F3C" w:rsidRDefault="00570E88">
            <w:pPr>
              <w:pStyle w:val="TableParagraph"/>
              <w:spacing w:before="66"/>
              <w:ind w:left="919"/>
              <w:rPr>
                <w:sz w:val="20"/>
              </w:rPr>
            </w:pPr>
            <w:r>
              <w:rPr>
                <w:spacing w:val="-5"/>
                <w:sz w:val="20"/>
              </w:rPr>
              <w:t>139</w:t>
            </w:r>
          </w:p>
        </w:tc>
        <w:tc>
          <w:tcPr>
            <w:tcW w:w="2000" w:type="dxa"/>
            <w:tcBorders>
              <w:top w:val="single" w:sz="4" w:space="0" w:color="000000"/>
              <w:bottom w:val="single" w:sz="4" w:space="0" w:color="000000"/>
            </w:tcBorders>
          </w:tcPr>
          <w:p w14:paraId="53A339B7" w14:textId="77777777" w:rsidR="00AC6F3C" w:rsidRDefault="00570E88">
            <w:pPr>
              <w:pStyle w:val="TableParagraph"/>
              <w:spacing w:before="66"/>
              <w:ind w:left="882"/>
              <w:rPr>
                <w:sz w:val="20"/>
              </w:rPr>
            </w:pPr>
            <w:r>
              <w:rPr>
                <w:sz w:val="20"/>
              </w:rPr>
              <w:t>1</w:t>
            </w:r>
          </w:p>
        </w:tc>
        <w:tc>
          <w:tcPr>
            <w:tcW w:w="1055" w:type="dxa"/>
            <w:tcBorders>
              <w:top w:val="single" w:sz="4" w:space="0" w:color="000000"/>
              <w:bottom w:val="single" w:sz="4" w:space="0" w:color="000000"/>
            </w:tcBorders>
          </w:tcPr>
          <w:p w14:paraId="37E9F2D1" w14:textId="77777777" w:rsidR="00AC6F3C" w:rsidRDefault="00570E88">
            <w:pPr>
              <w:pStyle w:val="TableParagraph"/>
              <w:spacing w:before="66"/>
              <w:ind w:right="109"/>
              <w:jc w:val="right"/>
              <w:rPr>
                <w:sz w:val="20"/>
              </w:rPr>
            </w:pPr>
            <w:r>
              <w:rPr>
                <w:spacing w:val="-5"/>
                <w:sz w:val="20"/>
              </w:rPr>
              <w:t>248</w:t>
            </w:r>
          </w:p>
        </w:tc>
      </w:tr>
      <w:tr w:rsidR="00AC6F3C" w14:paraId="2AB84E1A" w14:textId="77777777">
        <w:trPr>
          <w:trHeight w:val="362"/>
        </w:trPr>
        <w:tc>
          <w:tcPr>
            <w:tcW w:w="2108" w:type="dxa"/>
            <w:tcBorders>
              <w:top w:val="single" w:sz="4" w:space="0" w:color="000000"/>
              <w:bottom w:val="single" w:sz="4" w:space="0" w:color="000000"/>
            </w:tcBorders>
          </w:tcPr>
          <w:p w14:paraId="330B07BB" w14:textId="77777777" w:rsidR="00AC6F3C" w:rsidRDefault="00570E88">
            <w:pPr>
              <w:pStyle w:val="TableParagraph"/>
              <w:spacing w:before="66"/>
              <w:ind w:left="113"/>
              <w:rPr>
                <w:sz w:val="20"/>
              </w:rPr>
            </w:pPr>
            <w:r>
              <w:rPr>
                <w:spacing w:val="-2"/>
                <w:sz w:val="20"/>
              </w:rPr>
              <w:t>Honorary</w:t>
            </w:r>
          </w:p>
        </w:tc>
        <w:tc>
          <w:tcPr>
            <w:tcW w:w="1758" w:type="dxa"/>
            <w:tcBorders>
              <w:top w:val="single" w:sz="4" w:space="0" w:color="000000"/>
              <w:bottom w:val="single" w:sz="4" w:space="0" w:color="000000"/>
            </w:tcBorders>
          </w:tcPr>
          <w:p w14:paraId="4934703E" w14:textId="77777777" w:rsidR="00AC6F3C" w:rsidRDefault="00570E88">
            <w:pPr>
              <w:pStyle w:val="TableParagraph"/>
              <w:spacing w:before="66"/>
              <w:ind w:left="339"/>
              <w:rPr>
                <w:sz w:val="20"/>
              </w:rPr>
            </w:pPr>
            <w:r>
              <w:rPr>
                <w:spacing w:val="-5"/>
                <w:sz w:val="20"/>
              </w:rPr>
              <w:t>128</w:t>
            </w:r>
          </w:p>
        </w:tc>
        <w:tc>
          <w:tcPr>
            <w:tcW w:w="2432" w:type="dxa"/>
            <w:tcBorders>
              <w:top w:val="single" w:sz="4" w:space="0" w:color="000000"/>
              <w:bottom w:val="single" w:sz="4" w:space="0" w:color="000000"/>
            </w:tcBorders>
          </w:tcPr>
          <w:p w14:paraId="7BC2D628" w14:textId="77777777" w:rsidR="00AC6F3C" w:rsidRDefault="00570E88">
            <w:pPr>
              <w:pStyle w:val="TableParagraph"/>
              <w:spacing w:before="66"/>
              <w:ind w:left="920"/>
              <w:rPr>
                <w:sz w:val="20"/>
              </w:rPr>
            </w:pPr>
            <w:r>
              <w:rPr>
                <w:spacing w:val="-5"/>
                <w:sz w:val="20"/>
              </w:rPr>
              <w:t>28</w:t>
            </w:r>
          </w:p>
        </w:tc>
        <w:tc>
          <w:tcPr>
            <w:tcW w:w="2000" w:type="dxa"/>
            <w:tcBorders>
              <w:top w:val="single" w:sz="4" w:space="0" w:color="000000"/>
              <w:bottom w:val="single" w:sz="4" w:space="0" w:color="000000"/>
            </w:tcBorders>
          </w:tcPr>
          <w:p w14:paraId="7C9EC25A" w14:textId="77777777" w:rsidR="00AC6F3C" w:rsidRDefault="00AC6F3C">
            <w:pPr>
              <w:pStyle w:val="TableParagraph"/>
              <w:rPr>
                <w:rFonts w:ascii="Times New Roman"/>
                <w:sz w:val="20"/>
              </w:rPr>
            </w:pPr>
          </w:p>
        </w:tc>
        <w:tc>
          <w:tcPr>
            <w:tcW w:w="1055" w:type="dxa"/>
            <w:tcBorders>
              <w:top w:val="single" w:sz="4" w:space="0" w:color="000000"/>
              <w:bottom w:val="single" w:sz="4" w:space="0" w:color="000000"/>
            </w:tcBorders>
          </w:tcPr>
          <w:p w14:paraId="7192E06B" w14:textId="77777777" w:rsidR="00AC6F3C" w:rsidRDefault="00570E88">
            <w:pPr>
              <w:pStyle w:val="TableParagraph"/>
              <w:spacing w:before="66"/>
              <w:ind w:right="109"/>
              <w:jc w:val="right"/>
              <w:rPr>
                <w:sz w:val="20"/>
              </w:rPr>
            </w:pPr>
            <w:r>
              <w:rPr>
                <w:spacing w:val="-5"/>
                <w:sz w:val="20"/>
              </w:rPr>
              <w:t>156</w:t>
            </w:r>
          </w:p>
        </w:tc>
      </w:tr>
      <w:tr w:rsidR="00AC6F3C" w14:paraId="21E466D0" w14:textId="77777777">
        <w:trPr>
          <w:trHeight w:val="362"/>
        </w:trPr>
        <w:tc>
          <w:tcPr>
            <w:tcW w:w="2108" w:type="dxa"/>
            <w:tcBorders>
              <w:top w:val="single" w:sz="4" w:space="0" w:color="000000"/>
              <w:bottom w:val="single" w:sz="4" w:space="0" w:color="000000"/>
            </w:tcBorders>
          </w:tcPr>
          <w:p w14:paraId="7B98FE34" w14:textId="77777777" w:rsidR="00AC6F3C" w:rsidRDefault="00570E88">
            <w:pPr>
              <w:pStyle w:val="TableParagraph"/>
              <w:spacing w:before="66"/>
              <w:ind w:left="114"/>
              <w:rPr>
                <w:sz w:val="20"/>
              </w:rPr>
            </w:pPr>
            <w:r>
              <w:rPr>
                <w:sz w:val="20"/>
              </w:rPr>
              <w:t xml:space="preserve">Student </w:t>
            </w:r>
            <w:r>
              <w:rPr>
                <w:spacing w:val="-2"/>
                <w:sz w:val="20"/>
              </w:rPr>
              <w:t>Member</w:t>
            </w:r>
          </w:p>
        </w:tc>
        <w:tc>
          <w:tcPr>
            <w:tcW w:w="1758" w:type="dxa"/>
            <w:tcBorders>
              <w:top w:val="single" w:sz="4" w:space="0" w:color="000000"/>
              <w:bottom w:val="single" w:sz="4" w:space="0" w:color="000000"/>
            </w:tcBorders>
          </w:tcPr>
          <w:p w14:paraId="375D0B06" w14:textId="77777777" w:rsidR="00AC6F3C" w:rsidRDefault="00570E88">
            <w:pPr>
              <w:pStyle w:val="TableParagraph"/>
              <w:spacing w:before="66"/>
              <w:ind w:left="339"/>
              <w:rPr>
                <w:sz w:val="20"/>
              </w:rPr>
            </w:pPr>
            <w:r>
              <w:rPr>
                <w:spacing w:val="-5"/>
                <w:sz w:val="20"/>
              </w:rPr>
              <w:t>43</w:t>
            </w:r>
          </w:p>
        </w:tc>
        <w:tc>
          <w:tcPr>
            <w:tcW w:w="2432" w:type="dxa"/>
            <w:tcBorders>
              <w:top w:val="single" w:sz="4" w:space="0" w:color="000000"/>
              <w:bottom w:val="single" w:sz="4" w:space="0" w:color="000000"/>
            </w:tcBorders>
          </w:tcPr>
          <w:p w14:paraId="077CC205" w14:textId="77777777" w:rsidR="00AC6F3C" w:rsidRDefault="00570E88">
            <w:pPr>
              <w:pStyle w:val="TableParagraph"/>
              <w:spacing w:before="66"/>
              <w:ind w:left="920"/>
              <w:rPr>
                <w:sz w:val="20"/>
              </w:rPr>
            </w:pPr>
            <w:r>
              <w:rPr>
                <w:spacing w:val="-5"/>
                <w:sz w:val="20"/>
              </w:rPr>
              <w:t>83</w:t>
            </w:r>
          </w:p>
        </w:tc>
        <w:tc>
          <w:tcPr>
            <w:tcW w:w="2000" w:type="dxa"/>
            <w:tcBorders>
              <w:top w:val="single" w:sz="4" w:space="0" w:color="000000"/>
              <w:bottom w:val="single" w:sz="4" w:space="0" w:color="000000"/>
            </w:tcBorders>
          </w:tcPr>
          <w:p w14:paraId="582BEF50" w14:textId="77777777" w:rsidR="00AC6F3C" w:rsidRDefault="00570E88">
            <w:pPr>
              <w:pStyle w:val="TableParagraph"/>
              <w:spacing w:before="66"/>
              <w:ind w:left="826"/>
              <w:rPr>
                <w:sz w:val="20"/>
              </w:rPr>
            </w:pPr>
            <w:r>
              <w:rPr>
                <w:spacing w:val="-5"/>
                <w:sz w:val="20"/>
              </w:rPr>
              <w:t>343</w:t>
            </w:r>
          </w:p>
        </w:tc>
        <w:tc>
          <w:tcPr>
            <w:tcW w:w="1055" w:type="dxa"/>
            <w:tcBorders>
              <w:top w:val="single" w:sz="4" w:space="0" w:color="000000"/>
              <w:bottom w:val="single" w:sz="4" w:space="0" w:color="000000"/>
            </w:tcBorders>
          </w:tcPr>
          <w:p w14:paraId="2888C46E" w14:textId="77777777" w:rsidR="00AC6F3C" w:rsidRDefault="00570E88">
            <w:pPr>
              <w:pStyle w:val="TableParagraph"/>
              <w:spacing w:before="66"/>
              <w:ind w:right="109"/>
              <w:jc w:val="right"/>
              <w:rPr>
                <w:sz w:val="20"/>
              </w:rPr>
            </w:pPr>
            <w:r>
              <w:rPr>
                <w:spacing w:val="-5"/>
                <w:sz w:val="20"/>
              </w:rPr>
              <w:t>469</w:t>
            </w:r>
          </w:p>
        </w:tc>
      </w:tr>
      <w:tr w:rsidR="00AC6F3C" w14:paraId="17C18523" w14:textId="77777777">
        <w:trPr>
          <w:trHeight w:val="362"/>
        </w:trPr>
        <w:tc>
          <w:tcPr>
            <w:tcW w:w="2108" w:type="dxa"/>
            <w:tcBorders>
              <w:top w:val="single" w:sz="4" w:space="0" w:color="000000"/>
              <w:bottom w:val="single" w:sz="4" w:space="0" w:color="000000"/>
            </w:tcBorders>
          </w:tcPr>
          <w:p w14:paraId="5248EB8A" w14:textId="77777777" w:rsidR="00AC6F3C" w:rsidRDefault="00570E88">
            <w:pPr>
              <w:pStyle w:val="TableParagraph"/>
              <w:spacing w:before="66"/>
              <w:ind w:left="114"/>
              <w:rPr>
                <w:b/>
                <w:sz w:val="20"/>
              </w:rPr>
            </w:pPr>
            <w:r>
              <w:rPr>
                <w:b/>
                <w:spacing w:val="-2"/>
                <w:sz w:val="20"/>
              </w:rPr>
              <w:t>Total</w:t>
            </w:r>
          </w:p>
        </w:tc>
        <w:tc>
          <w:tcPr>
            <w:tcW w:w="1758" w:type="dxa"/>
            <w:tcBorders>
              <w:top w:val="single" w:sz="4" w:space="0" w:color="000000"/>
              <w:bottom w:val="single" w:sz="4" w:space="0" w:color="000000"/>
            </w:tcBorders>
          </w:tcPr>
          <w:p w14:paraId="5280ECE4" w14:textId="77777777" w:rsidR="00AC6F3C" w:rsidRDefault="00570E88">
            <w:pPr>
              <w:pStyle w:val="TableParagraph"/>
              <w:spacing w:before="66"/>
              <w:ind w:left="339"/>
              <w:rPr>
                <w:b/>
                <w:sz w:val="20"/>
              </w:rPr>
            </w:pPr>
            <w:r>
              <w:rPr>
                <w:b/>
                <w:spacing w:val="-2"/>
                <w:sz w:val="20"/>
              </w:rPr>
              <w:t>5,555</w:t>
            </w:r>
          </w:p>
        </w:tc>
        <w:tc>
          <w:tcPr>
            <w:tcW w:w="2432" w:type="dxa"/>
            <w:tcBorders>
              <w:top w:val="single" w:sz="4" w:space="0" w:color="000000"/>
              <w:bottom w:val="single" w:sz="4" w:space="0" w:color="000000"/>
            </w:tcBorders>
          </w:tcPr>
          <w:p w14:paraId="370CC5EA" w14:textId="77777777" w:rsidR="00AC6F3C" w:rsidRDefault="00570E88">
            <w:pPr>
              <w:pStyle w:val="TableParagraph"/>
              <w:spacing w:before="66"/>
              <w:ind w:left="920"/>
              <w:rPr>
                <w:b/>
                <w:sz w:val="20"/>
              </w:rPr>
            </w:pPr>
            <w:r>
              <w:rPr>
                <w:b/>
                <w:spacing w:val="-2"/>
                <w:sz w:val="20"/>
              </w:rPr>
              <w:t>6,383</w:t>
            </w:r>
          </w:p>
        </w:tc>
        <w:tc>
          <w:tcPr>
            <w:tcW w:w="2000" w:type="dxa"/>
            <w:tcBorders>
              <w:top w:val="single" w:sz="4" w:space="0" w:color="000000"/>
              <w:bottom w:val="single" w:sz="4" w:space="0" w:color="000000"/>
            </w:tcBorders>
          </w:tcPr>
          <w:p w14:paraId="001168BF" w14:textId="77777777" w:rsidR="00AC6F3C" w:rsidRDefault="00570E88">
            <w:pPr>
              <w:pStyle w:val="TableParagraph"/>
              <w:spacing w:before="66"/>
              <w:ind w:left="827"/>
              <w:rPr>
                <w:b/>
                <w:sz w:val="20"/>
              </w:rPr>
            </w:pPr>
            <w:r>
              <w:rPr>
                <w:b/>
                <w:spacing w:val="-5"/>
                <w:sz w:val="20"/>
              </w:rPr>
              <w:t>390</w:t>
            </w:r>
          </w:p>
        </w:tc>
        <w:tc>
          <w:tcPr>
            <w:tcW w:w="1055" w:type="dxa"/>
            <w:tcBorders>
              <w:top w:val="single" w:sz="4" w:space="0" w:color="000000"/>
              <w:bottom w:val="single" w:sz="4" w:space="0" w:color="000000"/>
            </w:tcBorders>
          </w:tcPr>
          <w:p w14:paraId="36EC067C" w14:textId="77777777" w:rsidR="00AC6F3C" w:rsidRDefault="00570E88">
            <w:pPr>
              <w:pStyle w:val="TableParagraph"/>
              <w:spacing w:before="66"/>
              <w:ind w:right="109"/>
              <w:jc w:val="right"/>
              <w:rPr>
                <w:b/>
                <w:sz w:val="20"/>
              </w:rPr>
            </w:pPr>
            <w:r>
              <w:rPr>
                <w:b/>
                <w:spacing w:val="-2"/>
                <w:sz w:val="20"/>
              </w:rPr>
              <w:t>12,328</w:t>
            </w:r>
          </w:p>
        </w:tc>
      </w:tr>
    </w:tbl>
    <w:p w14:paraId="761D58C4" w14:textId="77777777" w:rsidR="00AC6F3C" w:rsidRDefault="00570E88">
      <w:pPr>
        <w:spacing w:before="219"/>
        <w:ind w:left="816"/>
        <w:rPr>
          <w:i/>
          <w:sz w:val="20"/>
        </w:rPr>
      </w:pPr>
      <w:r>
        <w:rPr>
          <w:i/>
          <w:sz w:val="20"/>
        </w:rPr>
        <w:t>*Gender</w:t>
      </w:r>
      <w:r>
        <w:rPr>
          <w:i/>
          <w:spacing w:val="-2"/>
          <w:sz w:val="20"/>
        </w:rPr>
        <w:t xml:space="preserve"> </w:t>
      </w:r>
      <w:r>
        <w:rPr>
          <w:i/>
          <w:sz w:val="20"/>
        </w:rPr>
        <w:t>details</w:t>
      </w:r>
      <w:r>
        <w:rPr>
          <w:i/>
          <w:spacing w:val="-1"/>
          <w:sz w:val="20"/>
        </w:rPr>
        <w:t xml:space="preserve"> </w:t>
      </w:r>
      <w:proofErr w:type="gramStart"/>
      <w:r>
        <w:rPr>
          <w:i/>
          <w:sz w:val="20"/>
        </w:rPr>
        <w:t>were</w:t>
      </w:r>
      <w:r>
        <w:rPr>
          <w:i/>
          <w:spacing w:val="-1"/>
          <w:sz w:val="20"/>
        </w:rPr>
        <w:t xml:space="preserve"> </w:t>
      </w:r>
      <w:r>
        <w:rPr>
          <w:i/>
          <w:sz w:val="20"/>
        </w:rPr>
        <w:t>not</w:t>
      </w:r>
      <w:r>
        <w:rPr>
          <w:i/>
          <w:spacing w:val="-2"/>
          <w:sz w:val="20"/>
        </w:rPr>
        <w:t xml:space="preserve"> </w:t>
      </w:r>
      <w:r>
        <w:rPr>
          <w:i/>
          <w:sz w:val="20"/>
        </w:rPr>
        <w:t>captured</w:t>
      </w:r>
      <w:proofErr w:type="gramEnd"/>
      <w:r>
        <w:rPr>
          <w:i/>
          <w:spacing w:val="-1"/>
          <w:sz w:val="20"/>
        </w:rPr>
        <w:t xml:space="preserve"> </w:t>
      </w:r>
      <w:r>
        <w:rPr>
          <w:i/>
          <w:sz w:val="20"/>
        </w:rPr>
        <w:t>in</w:t>
      </w:r>
      <w:r>
        <w:rPr>
          <w:i/>
          <w:spacing w:val="-1"/>
          <w:sz w:val="20"/>
        </w:rPr>
        <w:t xml:space="preserve"> </w:t>
      </w:r>
      <w:r>
        <w:rPr>
          <w:i/>
          <w:sz w:val="20"/>
        </w:rPr>
        <w:t>data</w:t>
      </w:r>
      <w:r>
        <w:rPr>
          <w:i/>
          <w:spacing w:val="-1"/>
          <w:sz w:val="20"/>
        </w:rPr>
        <w:t xml:space="preserve"> </w:t>
      </w:r>
      <w:r>
        <w:rPr>
          <w:i/>
          <w:sz w:val="20"/>
        </w:rPr>
        <w:t>files</w:t>
      </w:r>
      <w:r>
        <w:rPr>
          <w:i/>
          <w:spacing w:val="-2"/>
          <w:sz w:val="20"/>
        </w:rPr>
        <w:t xml:space="preserve"> </w:t>
      </w:r>
      <w:r>
        <w:rPr>
          <w:i/>
          <w:sz w:val="20"/>
        </w:rPr>
        <w:t>for</w:t>
      </w:r>
      <w:r>
        <w:rPr>
          <w:i/>
          <w:spacing w:val="-1"/>
          <w:sz w:val="20"/>
        </w:rPr>
        <w:t xml:space="preserve"> </w:t>
      </w:r>
      <w:r>
        <w:rPr>
          <w:i/>
          <w:sz w:val="20"/>
        </w:rPr>
        <w:t>numerous</w:t>
      </w:r>
      <w:r>
        <w:rPr>
          <w:i/>
          <w:spacing w:val="-1"/>
          <w:sz w:val="20"/>
        </w:rPr>
        <w:t xml:space="preserve"> </w:t>
      </w:r>
      <w:r>
        <w:rPr>
          <w:i/>
          <w:sz w:val="20"/>
        </w:rPr>
        <w:t>student</w:t>
      </w:r>
      <w:r>
        <w:rPr>
          <w:i/>
          <w:spacing w:val="-1"/>
          <w:sz w:val="20"/>
        </w:rPr>
        <w:t xml:space="preserve"> </w:t>
      </w:r>
      <w:r>
        <w:rPr>
          <w:i/>
          <w:spacing w:val="-2"/>
          <w:sz w:val="20"/>
        </w:rPr>
        <w:t>members</w:t>
      </w:r>
    </w:p>
    <w:p w14:paraId="5EE35B3A" w14:textId="77777777" w:rsidR="00AC6F3C" w:rsidRDefault="00AC6F3C">
      <w:pPr>
        <w:rPr>
          <w:sz w:val="20"/>
        </w:rPr>
        <w:sectPr w:rsidR="00AC6F3C">
          <w:headerReference w:type="default" r:id="rId66"/>
          <w:footerReference w:type="default" r:id="rId67"/>
          <w:pgSz w:w="11910" w:h="16840"/>
          <w:pgMar w:top="1120" w:right="1160" w:bottom="520" w:left="460" w:header="0" w:footer="336" w:gutter="0"/>
          <w:cols w:space="720"/>
        </w:sectPr>
      </w:pPr>
    </w:p>
    <w:p w14:paraId="532F9C02"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4029E5A2" wp14:editId="225B4B66">
                <wp:extent cx="5940425" cy="25400"/>
                <wp:effectExtent l="19050" t="0" r="3175" b="3175"/>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279" name="Graphic 279"/>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CA0AE4" id="Group 278"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">
                <v:shape id="Graphic 279"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" path="m,l5940005,e" filled="f" strokeweight="2pt">
                  <v:path arrowok="t"/>
                </v:shape>
                <w10:anchorlock/>
              </v:group>
            </w:pict>
          </mc:Fallback>
        </mc:AlternateContent>
      </w:r>
    </w:p>
    <w:p w14:paraId="6480CDB1" w14:textId="77777777" w:rsidR="00AC6F3C" w:rsidRDefault="00570E88">
      <w:pPr>
        <w:pStyle w:val="Heading1"/>
      </w:pPr>
      <w:bookmarkStart w:id="36" w:name="ADVOCATE_"/>
      <w:bookmarkStart w:id="37" w:name="Advocating_for_good_law_"/>
      <w:bookmarkStart w:id="38" w:name="_bookmark12"/>
      <w:bookmarkEnd w:id="36"/>
      <w:bookmarkEnd w:id="37"/>
      <w:bookmarkEnd w:id="38"/>
      <w:r>
        <w:rPr>
          <w:spacing w:val="-2"/>
        </w:rPr>
        <w:t>ADVOCATE</w:t>
      </w:r>
    </w:p>
    <w:p w14:paraId="3C5FFEC1" w14:textId="77777777" w:rsidR="00AC6F3C" w:rsidRDefault="00570E88">
      <w:pPr>
        <w:spacing w:before="320"/>
        <w:ind w:left="815"/>
        <w:rPr>
          <w:b/>
          <w:sz w:val="28"/>
        </w:rPr>
      </w:pPr>
      <w:r>
        <w:rPr>
          <w:b/>
          <w:sz w:val="28"/>
        </w:rPr>
        <w:t>We</w:t>
      </w:r>
      <w:r>
        <w:rPr>
          <w:b/>
          <w:spacing w:val="-5"/>
          <w:sz w:val="28"/>
        </w:rPr>
        <w:t xml:space="preserve"> </w:t>
      </w:r>
      <w:r>
        <w:rPr>
          <w:b/>
          <w:sz w:val="28"/>
        </w:rPr>
        <w:t>advocate</w:t>
      </w:r>
      <w:r>
        <w:rPr>
          <w:b/>
          <w:spacing w:val="-3"/>
          <w:sz w:val="28"/>
        </w:rPr>
        <w:t xml:space="preserve"> </w:t>
      </w:r>
      <w:r>
        <w:rPr>
          <w:b/>
          <w:sz w:val="28"/>
        </w:rPr>
        <w:t>for</w:t>
      </w:r>
      <w:r>
        <w:rPr>
          <w:b/>
          <w:spacing w:val="-3"/>
          <w:sz w:val="28"/>
        </w:rPr>
        <w:t xml:space="preserve"> </w:t>
      </w:r>
      <w:r>
        <w:rPr>
          <w:b/>
          <w:sz w:val="28"/>
        </w:rPr>
        <w:t>the</w:t>
      </w:r>
      <w:r>
        <w:rPr>
          <w:b/>
          <w:spacing w:val="-3"/>
          <w:sz w:val="28"/>
        </w:rPr>
        <w:t xml:space="preserve"> </w:t>
      </w:r>
      <w:r>
        <w:rPr>
          <w:b/>
          <w:sz w:val="28"/>
        </w:rPr>
        <w:t>role</w:t>
      </w:r>
      <w:r>
        <w:rPr>
          <w:b/>
          <w:spacing w:val="-3"/>
          <w:sz w:val="28"/>
        </w:rPr>
        <w:t xml:space="preserve"> </w:t>
      </w:r>
      <w:r>
        <w:rPr>
          <w:b/>
          <w:sz w:val="28"/>
        </w:rPr>
        <w:t>of</w:t>
      </w:r>
      <w:r>
        <w:rPr>
          <w:b/>
          <w:spacing w:val="-2"/>
          <w:sz w:val="28"/>
        </w:rPr>
        <w:t xml:space="preserve"> </w:t>
      </w:r>
      <w:r>
        <w:rPr>
          <w:b/>
          <w:sz w:val="28"/>
        </w:rPr>
        <w:t>solicitors</w:t>
      </w:r>
      <w:r>
        <w:rPr>
          <w:b/>
          <w:spacing w:val="-3"/>
          <w:sz w:val="28"/>
        </w:rPr>
        <w:t xml:space="preserve"> </w:t>
      </w:r>
      <w:r>
        <w:rPr>
          <w:b/>
          <w:sz w:val="28"/>
        </w:rPr>
        <w:t>and</w:t>
      </w:r>
      <w:r>
        <w:rPr>
          <w:b/>
          <w:spacing w:val="-3"/>
          <w:sz w:val="28"/>
        </w:rPr>
        <w:t xml:space="preserve"> </w:t>
      </w:r>
      <w:r>
        <w:rPr>
          <w:b/>
          <w:sz w:val="28"/>
        </w:rPr>
        <w:t>for</w:t>
      </w:r>
      <w:r>
        <w:rPr>
          <w:b/>
          <w:spacing w:val="-3"/>
          <w:sz w:val="28"/>
        </w:rPr>
        <w:t xml:space="preserve"> </w:t>
      </w:r>
      <w:r>
        <w:rPr>
          <w:b/>
          <w:sz w:val="28"/>
        </w:rPr>
        <w:t>balanced</w:t>
      </w:r>
      <w:r>
        <w:rPr>
          <w:b/>
          <w:spacing w:val="-3"/>
          <w:sz w:val="28"/>
        </w:rPr>
        <w:t xml:space="preserve"> </w:t>
      </w:r>
      <w:r>
        <w:rPr>
          <w:b/>
          <w:sz w:val="28"/>
        </w:rPr>
        <w:t>laws</w:t>
      </w:r>
      <w:r>
        <w:rPr>
          <w:b/>
          <w:spacing w:val="-3"/>
          <w:sz w:val="28"/>
        </w:rPr>
        <w:t xml:space="preserve"> </w:t>
      </w:r>
      <w:r>
        <w:rPr>
          <w:b/>
          <w:sz w:val="28"/>
        </w:rPr>
        <w:t>and</w:t>
      </w:r>
      <w:r>
        <w:rPr>
          <w:b/>
          <w:spacing w:val="-2"/>
          <w:sz w:val="28"/>
        </w:rPr>
        <w:t xml:space="preserve"> </w:t>
      </w:r>
      <w:r>
        <w:rPr>
          <w:b/>
          <w:spacing w:val="-5"/>
          <w:sz w:val="28"/>
        </w:rPr>
        <w:t>the</w:t>
      </w:r>
    </w:p>
    <w:p w14:paraId="49BD0AD4" w14:textId="77777777" w:rsidR="00AC6F3C" w:rsidRDefault="00570E88">
      <w:pPr>
        <w:spacing w:before="14"/>
        <w:ind w:left="815"/>
        <w:rPr>
          <w:b/>
          <w:sz w:val="28"/>
        </w:rPr>
      </w:pPr>
      <w:r>
        <w:rPr>
          <w:b/>
          <w:sz w:val="28"/>
        </w:rPr>
        <w:t>rule</w:t>
      </w:r>
      <w:r>
        <w:rPr>
          <w:b/>
          <w:spacing w:val="-1"/>
          <w:sz w:val="28"/>
        </w:rPr>
        <w:t xml:space="preserve"> </w:t>
      </w:r>
      <w:r>
        <w:rPr>
          <w:b/>
          <w:sz w:val="28"/>
        </w:rPr>
        <w:t>of</w:t>
      </w:r>
      <w:r>
        <w:rPr>
          <w:b/>
          <w:spacing w:val="-1"/>
          <w:sz w:val="28"/>
        </w:rPr>
        <w:t xml:space="preserve"> </w:t>
      </w:r>
      <w:r>
        <w:rPr>
          <w:b/>
          <w:sz w:val="28"/>
        </w:rPr>
        <w:t>law</w:t>
      </w:r>
      <w:r>
        <w:rPr>
          <w:b/>
          <w:spacing w:val="-1"/>
          <w:sz w:val="28"/>
        </w:rPr>
        <w:t xml:space="preserve"> </w:t>
      </w:r>
      <w:r>
        <w:rPr>
          <w:b/>
          <w:sz w:val="28"/>
        </w:rPr>
        <w:t>for</w:t>
      </w:r>
      <w:r>
        <w:rPr>
          <w:b/>
          <w:spacing w:val="-1"/>
          <w:sz w:val="28"/>
        </w:rPr>
        <w:t xml:space="preserve"> </w:t>
      </w:r>
      <w:r>
        <w:rPr>
          <w:b/>
          <w:sz w:val="28"/>
        </w:rPr>
        <w:t>the</w:t>
      </w:r>
      <w:r>
        <w:rPr>
          <w:b/>
          <w:spacing w:val="-1"/>
          <w:sz w:val="28"/>
        </w:rPr>
        <w:t xml:space="preserve"> </w:t>
      </w:r>
      <w:r>
        <w:rPr>
          <w:b/>
          <w:sz w:val="28"/>
        </w:rPr>
        <w:t>benefit</w:t>
      </w:r>
      <w:r>
        <w:rPr>
          <w:b/>
          <w:spacing w:val="-1"/>
          <w:sz w:val="28"/>
        </w:rPr>
        <w:t xml:space="preserve"> </w:t>
      </w:r>
      <w:r>
        <w:rPr>
          <w:b/>
          <w:sz w:val="28"/>
        </w:rPr>
        <w:t>of</w:t>
      </w:r>
      <w:r>
        <w:rPr>
          <w:b/>
          <w:spacing w:val="-1"/>
          <w:sz w:val="28"/>
        </w:rPr>
        <w:t xml:space="preserve"> </w:t>
      </w:r>
      <w:r>
        <w:rPr>
          <w:b/>
          <w:sz w:val="28"/>
        </w:rPr>
        <w:t>the</w:t>
      </w:r>
      <w:r>
        <w:rPr>
          <w:b/>
          <w:spacing w:val="-1"/>
          <w:sz w:val="28"/>
        </w:rPr>
        <w:t xml:space="preserve"> </w:t>
      </w:r>
      <w:r>
        <w:rPr>
          <w:b/>
          <w:sz w:val="28"/>
        </w:rPr>
        <w:t>profession</w:t>
      </w:r>
      <w:r>
        <w:rPr>
          <w:b/>
          <w:spacing w:val="-1"/>
          <w:sz w:val="28"/>
        </w:rPr>
        <w:t xml:space="preserve"> </w:t>
      </w:r>
      <w:r>
        <w:rPr>
          <w:b/>
          <w:sz w:val="28"/>
        </w:rPr>
        <w:t>and</w:t>
      </w:r>
      <w:r>
        <w:rPr>
          <w:b/>
          <w:spacing w:val="-1"/>
          <w:sz w:val="28"/>
        </w:rPr>
        <w:t xml:space="preserve"> </w:t>
      </w:r>
      <w:r>
        <w:rPr>
          <w:b/>
          <w:sz w:val="28"/>
        </w:rPr>
        <w:t>the</w:t>
      </w:r>
      <w:r>
        <w:rPr>
          <w:b/>
          <w:spacing w:val="-1"/>
          <w:sz w:val="28"/>
        </w:rPr>
        <w:t xml:space="preserve"> </w:t>
      </w:r>
      <w:r>
        <w:rPr>
          <w:b/>
          <w:spacing w:val="-2"/>
          <w:sz w:val="28"/>
        </w:rPr>
        <w:t>community.</w:t>
      </w:r>
    </w:p>
    <w:p w14:paraId="74554340" w14:textId="77777777" w:rsidR="00AC6F3C" w:rsidRDefault="00AC6F3C">
      <w:pPr>
        <w:pStyle w:val="BodyText"/>
        <w:spacing w:before="8"/>
        <w:rPr>
          <w:b/>
          <w:sz w:val="31"/>
        </w:rPr>
      </w:pPr>
    </w:p>
    <w:p w14:paraId="0601DF19" w14:textId="77777777" w:rsidR="00AC6F3C" w:rsidRDefault="00570E88">
      <w:pPr>
        <w:pStyle w:val="Heading3"/>
        <w:spacing w:before="1"/>
      </w:pPr>
      <w:r>
        <w:t>Advocating</w:t>
      </w:r>
      <w:r>
        <w:rPr>
          <w:spacing w:val="-1"/>
        </w:rPr>
        <w:t xml:space="preserve"> </w:t>
      </w:r>
      <w:r>
        <w:t>for</w:t>
      </w:r>
      <w:r>
        <w:rPr>
          <w:spacing w:val="-1"/>
        </w:rPr>
        <w:t xml:space="preserve"> </w:t>
      </w:r>
      <w:r>
        <w:t xml:space="preserve">good </w:t>
      </w:r>
      <w:r>
        <w:rPr>
          <w:spacing w:val="-5"/>
        </w:rPr>
        <w:t>law</w:t>
      </w:r>
    </w:p>
    <w:p w14:paraId="10D8647A" w14:textId="77777777" w:rsidR="00AC6F3C" w:rsidRDefault="00570E88">
      <w:pPr>
        <w:pStyle w:val="BodyText"/>
        <w:spacing w:before="154" w:line="249" w:lineRule="auto"/>
        <w:ind w:left="815" w:right="234"/>
      </w:pPr>
      <w:r>
        <w:t>QLS’s</w:t>
      </w:r>
      <w:r>
        <w:rPr>
          <w:spacing w:val="-4"/>
        </w:rPr>
        <w:t xml:space="preserve"> </w:t>
      </w:r>
      <w:r>
        <w:t>29</w:t>
      </w:r>
      <w:r>
        <w:rPr>
          <w:spacing w:val="-4"/>
        </w:rPr>
        <w:t xml:space="preserve"> </w:t>
      </w:r>
      <w:r>
        <w:t>standing</w:t>
      </w:r>
      <w:r>
        <w:rPr>
          <w:spacing w:val="-4"/>
        </w:rPr>
        <w:t xml:space="preserve"> </w:t>
      </w:r>
      <w:r>
        <w:t>policy</w:t>
      </w:r>
      <w:r>
        <w:rPr>
          <w:spacing w:val="-4"/>
        </w:rPr>
        <w:t xml:space="preserve"> </w:t>
      </w:r>
      <w:r>
        <w:t>committees</w:t>
      </w:r>
      <w:r>
        <w:rPr>
          <w:spacing w:val="-4"/>
        </w:rPr>
        <w:t xml:space="preserve"> </w:t>
      </w:r>
      <w:r>
        <w:t>comprise</w:t>
      </w:r>
      <w:r>
        <w:rPr>
          <w:spacing w:val="-4"/>
        </w:rPr>
        <w:t xml:space="preserve"> </w:t>
      </w:r>
      <w:r>
        <w:t>over</w:t>
      </w:r>
      <w:r>
        <w:rPr>
          <w:spacing w:val="-4"/>
        </w:rPr>
        <w:t xml:space="preserve"> </w:t>
      </w:r>
      <w:r>
        <w:t>418</w:t>
      </w:r>
      <w:r>
        <w:rPr>
          <w:spacing w:val="-4"/>
        </w:rPr>
        <w:t xml:space="preserve"> </w:t>
      </w:r>
      <w:r>
        <w:t>volunteer</w:t>
      </w:r>
      <w:r>
        <w:rPr>
          <w:spacing w:val="-4"/>
        </w:rPr>
        <w:t xml:space="preserve"> </w:t>
      </w:r>
      <w:r>
        <w:t>committee</w:t>
      </w:r>
      <w:r>
        <w:rPr>
          <w:spacing w:val="-4"/>
        </w:rPr>
        <w:t xml:space="preserve"> </w:t>
      </w:r>
      <w:r>
        <w:t>members</w:t>
      </w:r>
      <w:r>
        <w:rPr>
          <w:spacing w:val="-4"/>
        </w:rPr>
        <w:t xml:space="preserve"> </w:t>
      </w:r>
      <w:r>
        <w:t>who</w:t>
      </w:r>
      <w:r>
        <w:rPr>
          <w:spacing w:val="-4"/>
        </w:rPr>
        <w:t xml:space="preserve"> </w:t>
      </w:r>
      <w:r>
        <w:t xml:space="preserve">contribute their expertise, </w:t>
      </w:r>
      <w:proofErr w:type="gramStart"/>
      <w:r>
        <w:t>knowledge</w:t>
      </w:r>
      <w:proofErr w:type="gramEnd"/>
      <w:r>
        <w:t xml:space="preserve"> and valuable time to advocating for good law for the public good. Their dedication enables QLS to develop sound and balanced submissions to government when seeking legislative and policy reform which will have a positive impact for both the legal profession and the Queensland community. Our committee members come from a range of professional backgrounds, ensuring that our advocacy is truly representative on key issues affecting practitioners in Queensland and the industries in which they </w:t>
      </w:r>
      <w:proofErr w:type="spellStart"/>
      <w:r>
        <w:t>practise</w:t>
      </w:r>
      <w:proofErr w:type="spellEnd"/>
      <w:r>
        <w:t>.</w:t>
      </w:r>
    </w:p>
    <w:p w14:paraId="58935E1B" w14:textId="77777777" w:rsidR="00AC6F3C" w:rsidRDefault="00570E88">
      <w:pPr>
        <w:pStyle w:val="BodyText"/>
        <w:spacing w:before="176" w:line="249" w:lineRule="auto"/>
        <w:ind w:left="815" w:right="468"/>
      </w:pPr>
      <w:r>
        <w:t xml:space="preserve">We value our relationship with the Queensland Government and the </w:t>
      </w:r>
      <w:proofErr w:type="gramStart"/>
      <w:r>
        <w:t>Opposition, and</w:t>
      </w:r>
      <w:proofErr w:type="gramEnd"/>
      <w:r>
        <w:t xml:space="preserve"> are regularly consulted on the development of policy positions and proposed legislative amendments, leading to better outcomes and responsive legislation. QLS also engages with the courts on procedural reform and</w:t>
      </w:r>
      <w:r>
        <w:rPr>
          <w:spacing w:val="-4"/>
        </w:rPr>
        <w:t xml:space="preserve"> </w:t>
      </w:r>
      <w:r>
        <w:t>practical</w:t>
      </w:r>
      <w:r>
        <w:rPr>
          <w:spacing w:val="-4"/>
        </w:rPr>
        <w:t xml:space="preserve"> </w:t>
      </w:r>
      <w:r>
        <w:t>issues</w:t>
      </w:r>
      <w:r>
        <w:rPr>
          <w:spacing w:val="-4"/>
        </w:rPr>
        <w:t xml:space="preserve"> </w:t>
      </w:r>
      <w:r>
        <w:t>affecting</w:t>
      </w:r>
      <w:r>
        <w:rPr>
          <w:spacing w:val="-4"/>
        </w:rPr>
        <w:t xml:space="preserve"> </w:t>
      </w:r>
      <w:r>
        <w:t>court</w:t>
      </w:r>
      <w:r>
        <w:rPr>
          <w:spacing w:val="-4"/>
        </w:rPr>
        <w:t xml:space="preserve"> </w:t>
      </w:r>
      <w:r>
        <w:t>users,</w:t>
      </w:r>
      <w:r>
        <w:rPr>
          <w:spacing w:val="-4"/>
        </w:rPr>
        <w:t xml:space="preserve"> </w:t>
      </w:r>
      <w:r>
        <w:t>including</w:t>
      </w:r>
      <w:r>
        <w:rPr>
          <w:spacing w:val="-4"/>
        </w:rPr>
        <w:t xml:space="preserve"> </w:t>
      </w:r>
      <w:r>
        <w:t>consultation</w:t>
      </w:r>
      <w:r>
        <w:rPr>
          <w:spacing w:val="-4"/>
        </w:rPr>
        <w:t xml:space="preserve"> </w:t>
      </w:r>
      <w:r>
        <w:t>on</w:t>
      </w:r>
      <w:r>
        <w:rPr>
          <w:spacing w:val="-4"/>
        </w:rPr>
        <w:t xml:space="preserve"> </w:t>
      </w:r>
      <w:r>
        <w:t>draft</w:t>
      </w:r>
      <w:r>
        <w:rPr>
          <w:spacing w:val="-4"/>
        </w:rPr>
        <w:t xml:space="preserve"> </w:t>
      </w:r>
      <w:r>
        <w:t>practice</w:t>
      </w:r>
      <w:r>
        <w:rPr>
          <w:spacing w:val="-4"/>
        </w:rPr>
        <w:t xml:space="preserve"> </w:t>
      </w:r>
      <w:r>
        <w:t>directions.</w:t>
      </w:r>
      <w:r>
        <w:rPr>
          <w:spacing w:val="-4"/>
        </w:rPr>
        <w:t xml:space="preserve"> </w:t>
      </w:r>
      <w:r>
        <w:t>We</w:t>
      </w:r>
      <w:r>
        <w:rPr>
          <w:spacing w:val="-4"/>
        </w:rPr>
        <w:t xml:space="preserve"> </w:t>
      </w:r>
      <w:r>
        <w:t xml:space="preserve">also appreciate the ongoing opportunities to be involved in </w:t>
      </w:r>
      <w:proofErr w:type="gramStart"/>
      <w:r>
        <w:t>a number of</w:t>
      </w:r>
      <w:proofErr w:type="gramEnd"/>
      <w:r>
        <w:t xml:space="preserve"> other Queensland Government consultative groups as outlined below.</w:t>
      </w:r>
    </w:p>
    <w:p w14:paraId="288E1E15" w14:textId="77777777" w:rsidR="00AC6F3C" w:rsidRDefault="00AC6F3C">
      <w:pPr>
        <w:pStyle w:val="BodyText"/>
        <w:spacing w:before="4"/>
        <w:rPr>
          <w:sz w:val="31"/>
        </w:rPr>
      </w:pPr>
    </w:p>
    <w:p w14:paraId="6F24D129" w14:textId="77777777" w:rsidR="00AC6F3C" w:rsidRDefault="00570E88">
      <w:pPr>
        <w:ind w:left="815"/>
        <w:rPr>
          <w:b/>
          <w:sz w:val="26"/>
        </w:rPr>
      </w:pPr>
      <w:r>
        <w:rPr>
          <w:b/>
          <w:sz w:val="26"/>
        </w:rPr>
        <w:t>A</w:t>
      </w:r>
      <w:r>
        <w:rPr>
          <w:b/>
          <w:spacing w:val="-11"/>
          <w:sz w:val="26"/>
        </w:rPr>
        <w:t xml:space="preserve"> </w:t>
      </w:r>
      <w:r>
        <w:rPr>
          <w:b/>
          <w:sz w:val="26"/>
        </w:rPr>
        <w:t>year</w:t>
      </w:r>
      <w:r>
        <w:rPr>
          <w:b/>
          <w:spacing w:val="-1"/>
          <w:sz w:val="26"/>
        </w:rPr>
        <w:t xml:space="preserve"> </w:t>
      </w:r>
      <w:r>
        <w:rPr>
          <w:b/>
          <w:sz w:val="26"/>
        </w:rPr>
        <w:t>of</w:t>
      </w:r>
      <w:r>
        <w:rPr>
          <w:b/>
          <w:spacing w:val="-1"/>
          <w:sz w:val="26"/>
        </w:rPr>
        <w:t xml:space="preserve"> </w:t>
      </w:r>
      <w:r>
        <w:rPr>
          <w:b/>
          <w:spacing w:val="-2"/>
          <w:sz w:val="26"/>
        </w:rPr>
        <w:t>achievement</w:t>
      </w:r>
    </w:p>
    <w:p w14:paraId="7279014F" w14:textId="77777777" w:rsidR="00AC6F3C" w:rsidRDefault="00AC6F3C">
      <w:pPr>
        <w:pStyle w:val="BodyText"/>
        <w:rPr>
          <w:b/>
        </w:rPr>
      </w:pPr>
    </w:p>
    <w:p w14:paraId="273437CD" w14:textId="77777777" w:rsidR="00AC6F3C" w:rsidRDefault="00AC6F3C">
      <w:pPr>
        <w:pStyle w:val="BodyText"/>
        <w:spacing w:before="5" w:after="1"/>
        <w:rPr>
          <w:b/>
        </w:rPr>
      </w:pPr>
    </w:p>
    <w:tbl>
      <w:tblPr>
        <w:tblW w:w="0" w:type="auto"/>
        <w:tblInd w:w="823" w:type="dxa"/>
        <w:tblLayout w:type="fixed"/>
        <w:tblCellMar>
          <w:left w:w="0" w:type="dxa"/>
          <w:right w:w="0" w:type="dxa"/>
        </w:tblCellMar>
        <w:tblLook w:val="01E0" w:firstRow="1" w:lastRow="1" w:firstColumn="1" w:lastColumn="1" w:noHBand="0" w:noVBand="0"/>
      </w:tblPr>
      <w:tblGrid>
        <w:gridCol w:w="6728"/>
        <w:gridCol w:w="2627"/>
      </w:tblGrid>
      <w:tr w:rsidR="00AC6F3C" w14:paraId="17EA6B8D" w14:textId="77777777">
        <w:trPr>
          <w:trHeight w:val="352"/>
        </w:trPr>
        <w:tc>
          <w:tcPr>
            <w:tcW w:w="6728" w:type="dxa"/>
            <w:tcBorders>
              <w:top w:val="single" w:sz="8" w:space="0" w:color="000000"/>
              <w:bottom w:val="single" w:sz="8" w:space="0" w:color="000000"/>
            </w:tcBorders>
          </w:tcPr>
          <w:p w14:paraId="194D6FF1" w14:textId="77777777" w:rsidR="00AC6F3C" w:rsidRDefault="00570E88">
            <w:pPr>
              <w:pStyle w:val="TableParagraph"/>
              <w:spacing w:before="61"/>
              <w:ind w:left="113"/>
              <w:rPr>
                <w:b/>
                <w:sz w:val="20"/>
              </w:rPr>
            </w:pPr>
            <w:r>
              <w:rPr>
                <w:b/>
                <w:sz w:val="20"/>
              </w:rPr>
              <w:t>Legal</w:t>
            </w:r>
            <w:r>
              <w:rPr>
                <w:b/>
                <w:spacing w:val="-3"/>
                <w:sz w:val="20"/>
              </w:rPr>
              <w:t xml:space="preserve"> </w:t>
            </w:r>
            <w:r>
              <w:rPr>
                <w:b/>
                <w:sz w:val="20"/>
              </w:rPr>
              <w:t>policy</w:t>
            </w:r>
            <w:r>
              <w:rPr>
                <w:b/>
                <w:spacing w:val="-2"/>
                <w:sz w:val="20"/>
              </w:rPr>
              <w:t xml:space="preserve"> statistics</w:t>
            </w:r>
          </w:p>
        </w:tc>
        <w:tc>
          <w:tcPr>
            <w:tcW w:w="2627" w:type="dxa"/>
            <w:tcBorders>
              <w:top w:val="single" w:sz="8" w:space="0" w:color="000000"/>
              <w:bottom w:val="single" w:sz="8" w:space="0" w:color="000000"/>
            </w:tcBorders>
          </w:tcPr>
          <w:p w14:paraId="4ACC3A6E" w14:textId="77777777" w:rsidR="00AC6F3C" w:rsidRDefault="00AC6F3C">
            <w:pPr>
              <w:pStyle w:val="TableParagraph"/>
              <w:rPr>
                <w:rFonts w:ascii="Times New Roman"/>
                <w:sz w:val="20"/>
              </w:rPr>
            </w:pPr>
          </w:p>
        </w:tc>
      </w:tr>
      <w:tr w:rsidR="00AC6F3C" w14:paraId="5A009882" w14:textId="77777777">
        <w:trPr>
          <w:trHeight w:val="607"/>
        </w:trPr>
        <w:tc>
          <w:tcPr>
            <w:tcW w:w="6728" w:type="dxa"/>
            <w:tcBorders>
              <w:top w:val="single" w:sz="8" w:space="0" w:color="000000"/>
              <w:bottom w:val="single" w:sz="2" w:space="0" w:color="000000"/>
            </w:tcBorders>
          </w:tcPr>
          <w:p w14:paraId="172CAEAE" w14:textId="77777777" w:rsidR="00AC6F3C" w:rsidRDefault="00570E88">
            <w:pPr>
              <w:pStyle w:val="TableParagraph"/>
              <w:spacing w:before="69"/>
              <w:ind w:left="113"/>
              <w:rPr>
                <w:sz w:val="20"/>
              </w:rPr>
            </w:pPr>
            <w:r>
              <w:rPr>
                <w:spacing w:val="-4"/>
                <w:sz w:val="20"/>
              </w:rPr>
              <w:t>Total</w:t>
            </w:r>
            <w:r>
              <w:rPr>
                <w:spacing w:val="-6"/>
                <w:sz w:val="20"/>
              </w:rPr>
              <w:t xml:space="preserve"> </w:t>
            </w:r>
            <w:r>
              <w:rPr>
                <w:spacing w:val="-2"/>
                <w:sz w:val="20"/>
              </w:rPr>
              <w:t>submissions</w:t>
            </w:r>
          </w:p>
        </w:tc>
        <w:tc>
          <w:tcPr>
            <w:tcW w:w="2627" w:type="dxa"/>
            <w:tcBorders>
              <w:top w:val="single" w:sz="8" w:space="0" w:color="000000"/>
              <w:bottom w:val="single" w:sz="2" w:space="0" w:color="000000"/>
            </w:tcBorders>
          </w:tcPr>
          <w:p w14:paraId="2836145E" w14:textId="77777777" w:rsidR="00AC6F3C" w:rsidRDefault="00570E88">
            <w:pPr>
              <w:pStyle w:val="TableParagraph"/>
              <w:spacing w:before="69"/>
              <w:ind w:left="1345"/>
              <w:rPr>
                <w:sz w:val="20"/>
              </w:rPr>
            </w:pPr>
            <w:proofErr w:type="gramStart"/>
            <w:r>
              <w:rPr>
                <w:sz w:val="20"/>
              </w:rPr>
              <w:t>Proactive</w:t>
            </w:r>
            <w:proofErr w:type="gramEnd"/>
            <w:r>
              <w:rPr>
                <w:sz w:val="20"/>
              </w:rPr>
              <w:t xml:space="preserve">: </w:t>
            </w:r>
            <w:r>
              <w:rPr>
                <w:spacing w:val="-5"/>
                <w:sz w:val="20"/>
              </w:rPr>
              <w:t>38</w:t>
            </w:r>
          </w:p>
          <w:p w14:paraId="3DB814BE" w14:textId="77777777" w:rsidR="00AC6F3C" w:rsidRDefault="00570E88">
            <w:pPr>
              <w:pStyle w:val="TableParagraph"/>
              <w:spacing w:before="10"/>
              <w:ind w:left="1289"/>
              <w:rPr>
                <w:sz w:val="20"/>
              </w:rPr>
            </w:pPr>
            <w:r>
              <w:rPr>
                <w:sz w:val="20"/>
              </w:rPr>
              <w:t xml:space="preserve">Reactive: </w:t>
            </w:r>
            <w:r>
              <w:rPr>
                <w:spacing w:val="-5"/>
                <w:sz w:val="20"/>
              </w:rPr>
              <w:t>176</w:t>
            </w:r>
          </w:p>
        </w:tc>
      </w:tr>
      <w:tr w:rsidR="00AC6F3C" w14:paraId="0AC2BA62" w14:textId="77777777">
        <w:trPr>
          <w:trHeight w:val="367"/>
        </w:trPr>
        <w:tc>
          <w:tcPr>
            <w:tcW w:w="6728" w:type="dxa"/>
            <w:tcBorders>
              <w:top w:val="single" w:sz="2" w:space="0" w:color="000000"/>
              <w:bottom w:val="single" w:sz="2" w:space="0" w:color="000000"/>
            </w:tcBorders>
          </w:tcPr>
          <w:p w14:paraId="63E7AB1C" w14:textId="77777777" w:rsidR="00AC6F3C" w:rsidRDefault="00570E88">
            <w:pPr>
              <w:pStyle w:val="TableParagraph"/>
              <w:spacing w:before="69"/>
              <w:ind w:left="113"/>
              <w:rPr>
                <w:sz w:val="20"/>
              </w:rPr>
            </w:pPr>
            <w:r>
              <w:rPr>
                <w:sz w:val="20"/>
              </w:rPr>
              <w:t>Mentions</w:t>
            </w:r>
            <w:r>
              <w:rPr>
                <w:spacing w:val="-1"/>
                <w:sz w:val="20"/>
              </w:rPr>
              <w:t xml:space="preserve"> </w:t>
            </w:r>
            <w:r>
              <w:rPr>
                <w:sz w:val="20"/>
              </w:rPr>
              <w:t xml:space="preserve">in </w:t>
            </w:r>
            <w:r>
              <w:rPr>
                <w:spacing w:val="-2"/>
                <w:sz w:val="20"/>
              </w:rPr>
              <w:t>Hansard</w:t>
            </w:r>
          </w:p>
        </w:tc>
        <w:tc>
          <w:tcPr>
            <w:tcW w:w="2627" w:type="dxa"/>
            <w:tcBorders>
              <w:top w:val="single" w:sz="2" w:space="0" w:color="000000"/>
              <w:bottom w:val="single" w:sz="2" w:space="0" w:color="000000"/>
            </w:tcBorders>
          </w:tcPr>
          <w:p w14:paraId="499C42FD" w14:textId="77777777" w:rsidR="00AC6F3C" w:rsidRDefault="00570E88">
            <w:pPr>
              <w:pStyle w:val="TableParagraph"/>
              <w:spacing w:before="69"/>
              <w:ind w:right="112"/>
              <w:jc w:val="right"/>
              <w:rPr>
                <w:sz w:val="20"/>
              </w:rPr>
            </w:pPr>
            <w:r>
              <w:rPr>
                <w:spacing w:val="-5"/>
                <w:sz w:val="20"/>
              </w:rPr>
              <w:t>107</w:t>
            </w:r>
          </w:p>
        </w:tc>
      </w:tr>
      <w:tr w:rsidR="00AC6F3C" w14:paraId="010ED73B" w14:textId="77777777">
        <w:trPr>
          <w:trHeight w:val="367"/>
        </w:trPr>
        <w:tc>
          <w:tcPr>
            <w:tcW w:w="6728" w:type="dxa"/>
            <w:tcBorders>
              <w:top w:val="single" w:sz="2" w:space="0" w:color="000000"/>
              <w:bottom w:val="single" w:sz="2" w:space="0" w:color="000000"/>
            </w:tcBorders>
          </w:tcPr>
          <w:p w14:paraId="6B74E63D" w14:textId="77777777" w:rsidR="00AC6F3C" w:rsidRDefault="00570E88">
            <w:pPr>
              <w:pStyle w:val="TableParagraph"/>
              <w:spacing w:before="69"/>
              <w:ind w:left="113"/>
              <w:rPr>
                <w:sz w:val="20"/>
              </w:rPr>
            </w:pPr>
            <w:r>
              <w:rPr>
                <w:sz w:val="20"/>
              </w:rPr>
              <w:t xml:space="preserve">Public </w:t>
            </w:r>
            <w:r>
              <w:rPr>
                <w:spacing w:val="-2"/>
                <w:sz w:val="20"/>
              </w:rPr>
              <w:t>hearings</w:t>
            </w:r>
          </w:p>
        </w:tc>
        <w:tc>
          <w:tcPr>
            <w:tcW w:w="2627" w:type="dxa"/>
            <w:tcBorders>
              <w:top w:val="single" w:sz="2" w:space="0" w:color="000000"/>
              <w:bottom w:val="single" w:sz="2" w:space="0" w:color="000000"/>
            </w:tcBorders>
          </w:tcPr>
          <w:p w14:paraId="7EB1AB8A" w14:textId="77777777" w:rsidR="00AC6F3C" w:rsidRDefault="00570E88">
            <w:pPr>
              <w:pStyle w:val="TableParagraph"/>
              <w:spacing w:before="69"/>
              <w:ind w:right="112"/>
              <w:jc w:val="right"/>
              <w:rPr>
                <w:sz w:val="20"/>
              </w:rPr>
            </w:pPr>
            <w:r>
              <w:rPr>
                <w:spacing w:val="-5"/>
                <w:sz w:val="20"/>
              </w:rPr>
              <w:t>21</w:t>
            </w:r>
          </w:p>
        </w:tc>
      </w:tr>
      <w:tr w:rsidR="00AC6F3C" w14:paraId="53643E70" w14:textId="77777777">
        <w:trPr>
          <w:trHeight w:val="367"/>
        </w:trPr>
        <w:tc>
          <w:tcPr>
            <w:tcW w:w="6728" w:type="dxa"/>
            <w:tcBorders>
              <w:top w:val="single" w:sz="2" w:space="0" w:color="000000"/>
              <w:bottom w:val="single" w:sz="2" w:space="0" w:color="000000"/>
            </w:tcBorders>
          </w:tcPr>
          <w:p w14:paraId="31639CEB" w14:textId="77777777" w:rsidR="00AC6F3C" w:rsidRDefault="00570E88">
            <w:pPr>
              <w:pStyle w:val="TableParagraph"/>
              <w:spacing w:before="69"/>
              <w:ind w:left="113"/>
              <w:rPr>
                <w:sz w:val="20"/>
              </w:rPr>
            </w:pPr>
            <w:r>
              <w:rPr>
                <w:sz w:val="20"/>
              </w:rPr>
              <w:t xml:space="preserve">Requests for </w:t>
            </w:r>
            <w:r>
              <w:rPr>
                <w:spacing w:val="-2"/>
                <w:sz w:val="20"/>
              </w:rPr>
              <w:t>comment</w:t>
            </w:r>
          </w:p>
        </w:tc>
        <w:tc>
          <w:tcPr>
            <w:tcW w:w="2627" w:type="dxa"/>
            <w:tcBorders>
              <w:top w:val="single" w:sz="2" w:space="0" w:color="000000"/>
              <w:bottom w:val="single" w:sz="2" w:space="0" w:color="000000"/>
            </w:tcBorders>
          </w:tcPr>
          <w:p w14:paraId="5587BCD6" w14:textId="77777777" w:rsidR="00AC6F3C" w:rsidRDefault="00570E88">
            <w:pPr>
              <w:pStyle w:val="TableParagraph"/>
              <w:spacing w:before="69"/>
              <w:ind w:right="112"/>
              <w:jc w:val="right"/>
              <w:rPr>
                <w:sz w:val="20"/>
              </w:rPr>
            </w:pPr>
            <w:r>
              <w:rPr>
                <w:spacing w:val="-5"/>
                <w:sz w:val="20"/>
              </w:rPr>
              <w:t>271</w:t>
            </w:r>
          </w:p>
        </w:tc>
      </w:tr>
      <w:tr w:rsidR="00AC6F3C" w14:paraId="33479903" w14:textId="77777777">
        <w:trPr>
          <w:trHeight w:val="367"/>
        </w:trPr>
        <w:tc>
          <w:tcPr>
            <w:tcW w:w="6728" w:type="dxa"/>
            <w:tcBorders>
              <w:top w:val="single" w:sz="2" w:space="0" w:color="000000"/>
              <w:bottom w:val="single" w:sz="2" w:space="0" w:color="000000"/>
            </w:tcBorders>
          </w:tcPr>
          <w:p w14:paraId="47BC2501" w14:textId="77777777" w:rsidR="00AC6F3C" w:rsidRDefault="00570E88">
            <w:pPr>
              <w:pStyle w:val="TableParagraph"/>
              <w:spacing w:before="69"/>
              <w:ind w:left="113"/>
              <w:rPr>
                <w:sz w:val="20"/>
              </w:rPr>
            </w:pPr>
            <w:r>
              <w:rPr>
                <w:sz w:val="20"/>
              </w:rPr>
              <w:t xml:space="preserve">Stakeholder </w:t>
            </w:r>
            <w:r>
              <w:rPr>
                <w:spacing w:val="-2"/>
                <w:sz w:val="20"/>
              </w:rPr>
              <w:t>consultations</w:t>
            </w:r>
          </w:p>
        </w:tc>
        <w:tc>
          <w:tcPr>
            <w:tcW w:w="2627" w:type="dxa"/>
            <w:tcBorders>
              <w:top w:val="single" w:sz="2" w:space="0" w:color="000000"/>
              <w:bottom w:val="single" w:sz="2" w:space="0" w:color="000000"/>
            </w:tcBorders>
          </w:tcPr>
          <w:p w14:paraId="17E47ACC" w14:textId="77777777" w:rsidR="00AC6F3C" w:rsidRDefault="00570E88">
            <w:pPr>
              <w:pStyle w:val="TableParagraph"/>
              <w:spacing w:before="69"/>
              <w:ind w:right="112"/>
              <w:jc w:val="right"/>
              <w:rPr>
                <w:sz w:val="20"/>
              </w:rPr>
            </w:pPr>
            <w:r>
              <w:rPr>
                <w:spacing w:val="-5"/>
                <w:sz w:val="20"/>
              </w:rPr>
              <w:t>176</w:t>
            </w:r>
          </w:p>
        </w:tc>
      </w:tr>
      <w:tr w:rsidR="00AC6F3C" w14:paraId="7C4C5561" w14:textId="77777777">
        <w:trPr>
          <w:trHeight w:val="367"/>
        </w:trPr>
        <w:tc>
          <w:tcPr>
            <w:tcW w:w="6728" w:type="dxa"/>
            <w:tcBorders>
              <w:top w:val="single" w:sz="2" w:space="0" w:color="000000"/>
              <w:bottom w:val="single" w:sz="2" w:space="0" w:color="000000"/>
            </w:tcBorders>
          </w:tcPr>
          <w:p w14:paraId="5CC5C4B5" w14:textId="77777777" w:rsidR="00AC6F3C" w:rsidRDefault="00570E88">
            <w:pPr>
              <w:pStyle w:val="TableParagraph"/>
              <w:spacing w:before="69"/>
              <w:ind w:left="113"/>
              <w:rPr>
                <w:sz w:val="20"/>
              </w:rPr>
            </w:pPr>
            <w:r>
              <w:rPr>
                <w:sz w:val="20"/>
              </w:rPr>
              <w:t>Total</w:t>
            </w:r>
            <w:r>
              <w:rPr>
                <w:spacing w:val="-9"/>
                <w:sz w:val="20"/>
              </w:rPr>
              <w:t xml:space="preserve"> </w:t>
            </w:r>
            <w:r>
              <w:rPr>
                <w:sz w:val="20"/>
              </w:rPr>
              <w:t>committee,</w:t>
            </w:r>
            <w:r>
              <w:rPr>
                <w:spacing w:val="-8"/>
                <w:sz w:val="20"/>
              </w:rPr>
              <w:t xml:space="preserve"> </w:t>
            </w:r>
            <w:r>
              <w:rPr>
                <w:sz w:val="20"/>
              </w:rPr>
              <w:t>subcommittee</w:t>
            </w:r>
            <w:r>
              <w:rPr>
                <w:spacing w:val="-8"/>
                <w:sz w:val="20"/>
              </w:rPr>
              <w:t xml:space="preserve"> </w:t>
            </w:r>
            <w:r>
              <w:rPr>
                <w:sz w:val="20"/>
              </w:rPr>
              <w:t>and</w:t>
            </w:r>
            <w:r>
              <w:rPr>
                <w:spacing w:val="-8"/>
                <w:sz w:val="20"/>
              </w:rPr>
              <w:t xml:space="preserve"> </w:t>
            </w:r>
            <w:r>
              <w:rPr>
                <w:sz w:val="20"/>
              </w:rPr>
              <w:t>working</w:t>
            </w:r>
            <w:r>
              <w:rPr>
                <w:spacing w:val="-8"/>
                <w:sz w:val="20"/>
              </w:rPr>
              <w:t xml:space="preserve"> </w:t>
            </w:r>
            <w:r>
              <w:rPr>
                <w:sz w:val="20"/>
              </w:rPr>
              <w:t>group</w:t>
            </w:r>
            <w:r>
              <w:rPr>
                <w:spacing w:val="-8"/>
                <w:sz w:val="20"/>
              </w:rPr>
              <w:t xml:space="preserve"> </w:t>
            </w:r>
            <w:r>
              <w:rPr>
                <w:spacing w:val="-2"/>
                <w:sz w:val="20"/>
              </w:rPr>
              <w:t>meetings</w:t>
            </w:r>
          </w:p>
        </w:tc>
        <w:tc>
          <w:tcPr>
            <w:tcW w:w="2627" w:type="dxa"/>
            <w:tcBorders>
              <w:top w:val="single" w:sz="2" w:space="0" w:color="000000"/>
              <w:bottom w:val="single" w:sz="2" w:space="0" w:color="000000"/>
            </w:tcBorders>
          </w:tcPr>
          <w:p w14:paraId="2A182B92" w14:textId="77777777" w:rsidR="00AC6F3C" w:rsidRDefault="00570E88">
            <w:pPr>
              <w:pStyle w:val="TableParagraph"/>
              <w:spacing w:before="69"/>
              <w:ind w:right="112"/>
              <w:jc w:val="right"/>
              <w:rPr>
                <w:sz w:val="20"/>
              </w:rPr>
            </w:pPr>
            <w:r>
              <w:rPr>
                <w:spacing w:val="-5"/>
                <w:sz w:val="20"/>
              </w:rPr>
              <w:t>144</w:t>
            </w:r>
          </w:p>
        </w:tc>
      </w:tr>
    </w:tbl>
    <w:p w14:paraId="1774662C" w14:textId="77777777" w:rsidR="00AC6F3C" w:rsidRDefault="00AC6F3C">
      <w:pPr>
        <w:pStyle w:val="BodyText"/>
        <w:rPr>
          <w:b/>
        </w:rPr>
      </w:pPr>
    </w:p>
    <w:p w14:paraId="67806A3E" w14:textId="77777777" w:rsidR="00AC6F3C" w:rsidRDefault="00AC6F3C">
      <w:pPr>
        <w:pStyle w:val="BodyText"/>
        <w:spacing w:before="8"/>
        <w:rPr>
          <w:b/>
          <w:sz w:val="21"/>
        </w:rPr>
      </w:pPr>
    </w:p>
    <w:p w14:paraId="4478B892" w14:textId="77777777" w:rsidR="00AC6F3C" w:rsidRDefault="00570E88">
      <w:pPr>
        <w:spacing w:before="91"/>
        <w:ind w:left="815"/>
        <w:rPr>
          <w:b/>
          <w:sz w:val="26"/>
        </w:rPr>
      </w:pPr>
      <w:r>
        <w:rPr>
          <w:b/>
          <w:sz w:val="26"/>
        </w:rPr>
        <w:t>Annual</w:t>
      </w:r>
      <w:r>
        <w:rPr>
          <w:b/>
          <w:spacing w:val="-3"/>
          <w:sz w:val="26"/>
        </w:rPr>
        <w:t xml:space="preserve"> </w:t>
      </w:r>
      <w:r>
        <w:rPr>
          <w:b/>
          <w:sz w:val="26"/>
        </w:rPr>
        <w:t>meeting</w:t>
      </w:r>
      <w:r>
        <w:rPr>
          <w:b/>
          <w:spacing w:val="-3"/>
          <w:sz w:val="26"/>
        </w:rPr>
        <w:t xml:space="preserve"> </w:t>
      </w:r>
      <w:r>
        <w:rPr>
          <w:b/>
          <w:sz w:val="26"/>
        </w:rPr>
        <w:t>of</w:t>
      </w:r>
      <w:r>
        <w:rPr>
          <w:b/>
          <w:spacing w:val="-2"/>
          <w:sz w:val="26"/>
        </w:rPr>
        <w:t xml:space="preserve"> </w:t>
      </w:r>
      <w:r>
        <w:rPr>
          <w:b/>
          <w:sz w:val="26"/>
        </w:rPr>
        <w:t>legal</w:t>
      </w:r>
      <w:r>
        <w:rPr>
          <w:b/>
          <w:spacing w:val="-3"/>
          <w:sz w:val="26"/>
        </w:rPr>
        <w:t xml:space="preserve"> </w:t>
      </w:r>
      <w:r>
        <w:rPr>
          <w:b/>
          <w:sz w:val="26"/>
        </w:rPr>
        <w:t>policy</w:t>
      </w:r>
      <w:r>
        <w:rPr>
          <w:b/>
          <w:spacing w:val="-2"/>
          <w:sz w:val="26"/>
        </w:rPr>
        <w:t xml:space="preserve"> </w:t>
      </w:r>
      <w:r>
        <w:rPr>
          <w:b/>
          <w:sz w:val="26"/>
        </w:rPr>
        <w:t>committee</w:t>
      </w:r>
      <w:r>
        <w:rPr>
          <w:b/>
          <w:spacing w:val="-3"/>
          <w:sz w:val="26"/>
        </w:rPr>
        <w:t xml:space="preserve"> </w:t>
      </w:r>
      <w:r>
        <w:rPr>
          <w:b/>
          <w:sz w:val="26"/>
        </w:rPr>
        <w:t>Chairs</w:t>
      </w:r>
      <w:r>
        <w:rPr>
          <w:b/>
          <w:spacing w:val="-2"/>
          <w:sz w:val="26"/>
        </w:rPr>
        <w:t xml:space="preserve"> </w:t>
      </w:r>
      <w:r>
        <w:rPr>
          <w:b/>
          <w:sz w:val="26"/>
        </w:rPr>
        <w:t>and</w:t>
      </w:r>
      <w:r>
        <w:rPr>
          <w:b/>
          <w:spacing w:val="-3"/>
          <w:sz w:val="26"/>
        </w:rPr>
        <w:t xml:space="preserve"> </w:t>
      </w:r>
      <w:r>
        <w:rPr>
          <w:b/>
          <w:sz w:val="26"/>
        </w:rPr>
        <w:t>Deputy</w:t>
      </w:r>
      <w:r>
        <w:rPr>
          <w:b/>
          <w:spacing w:val="-2"/>
          <w:sz w:val="26"/>
        </w:rPr>
        <w:t xml:space="preserve"> Chairs</w:t>
      </w:r>
    </w:p>
    <w:p w14:paraId="664D9007" w14:textId="77777777" w:rsidR="00AC6F3C" w:rsidRDefault="00570E88">
      <w:pPr>
        <w:pStyle w:val="BodyText"/>
        <w:spacing w:before="168" w:line="249" w:lineRule="auto"/>
        <w:ind w:left="815"/>
      </w:pPr>
      <w:r>
        <w:t>On 2 November 2022, the Queensland Law Society held its annual meeting of legal policy committee Chairs</w:t>
      </w:r>
      <w:r>
        <w:rPr>
          <w:spacing w:val="-3"/>
        </w:rPr>
        <w:t xml:space="preserve"> </w:t>
      </w:r>
      <w:r>
        <w:t>and</w:t>
      </w:r>
      <w:r>
        <w:rPr>
          <w:spacing w:val="-3"/>
        </w:rPr>
        <w:t xml:space="preserve"> </w:t>
      </w:r>
      <w:r>
        <w:t>Deputy</w:t>
      </w:r>
      <w:r>
        <w:rPr>
          <w:spacing w:val="-3"/>
        </w:rPr>
        <w:t xml:space="preserve"> </w:t>
      </w:r>
      <w:r>
        <w:t>Chairs.</w:t>
      </w:r>
      <w:r>
        <w:rPr>
          <w:spacing w:val="-3"/>
        </w:rPr>
        <w:t xml:space="preserve"> </w:t>
      </w:r>
      <w:r>
        <w:t>QLS</w:t>
      </w:r>
      <w:r>
        <w:rPr>
          <w:spacing w:val="-3"/>
        </w:rPr>
        <w:t xml:space="preserve"> </w:t>
      </w:r>
      <w:r>
        <w:t>was</w:t>
      </w:r>
      <w:r>
        <w:rPr>
          <w:spacing w:val="-3"/>
        </w:rPr>
        <w:t xml:space="preserve"> </w:t>
      </w:r>
      <w:r>
        <w:t>delighted</w:t>
      </w:r>
      <w:r>
        <w:rPr>
          <w:spacing w:val="-3"/>
        </w:rPr>
        <w:t xml:space="preserve"> </w:t>
      </w:r>
      <w:r>
        <w:t>to</w:t>
      </w:r>
      <w:r>
        <w:rPr>
          <w:spacing w:val="-3"/>
        </w:rPr>
        <w:t xml:space="preserve"> </w:t>
      </w:r>
      <w:r>
        <w:t>welcome</w:t>
      </w:r>
      <w:r>
        <w:rPr>
          <w:spacing w:val="-3"/>
        </w:rPr>
        <w:t xml:space="preserve"> </w:t>
      </w:r>
      <w:r>
        <w:t>Chris</w:t>
      </w:r>
      <w:r>
        <w:rPr>
          <w:spacing w:val="-3"/>
        </w:rPr>
        <w:t xml:space="preserve"> </w:t>
      </w:r>
      <w:r>
        <w:t>Corneil</w:t>
      </w:r>
      <w:r>
        <w:rPr>
          <w:spacing w:val="-3"/>
        </w:rPr>
        <w:t xml:space="preserve"> </w:t>
      </w:r>
      <w:r>
        <w:t>of</w:t>
      </w:r>
      <w:r>
        <w:rPr>
          <w:spacing w:val="-3"/>
        </w:rPr>
        <w:t xml:space="preserve"> </w:t>
      </w:r>
      <w:r>
        <w:t>ECI</w:t>
      </w:r>
      <w:r>
        <w:rPr>
          <w:spacing w:val="-3"/>
        </w:rPr>
        <w:t xml:space="preserve"> </w:t>
      </w:r>
      <w:r>
        <w:t>Partners</w:t>
      </w:r>
      <w:r>
        <w:rPr>
          <w:spacing w:val="-3"/>
        </w:rPr>
        <w:t xml:space="preserve"> </w:t>
      </w:r>
      <w:r>
        <w:t>who</w:t>
      </w:r>
      <w:r>
        <w:rPr>
          <w:spacing w:val="-3"/>
        </w:rPr>
        <w:t xml:space="preserve"> </w:t>
      </w:r>
      <w:r>
        <w:t>delivered</w:t>
      </w:r>
      <w:r>
        <w:rPr>
          <w:spacing w:val="-3"/>
        </w:rPr>
        <w:t xml:space="preserve"> </w:t>
      </w:r>
      <w:r>
        <w:t>a bespoke interactive workshop designed to further support the Chairs and Deputy Chairs in their roles.</w:t>
      </w:r>
    </w:p>
    <w:p w14:paraId="489B5853" w14:textId="77777777" w:rsidR="00AC6F3C" w:rsidRDefault="00570E88">
      <w:pPr>
        <w:pStyle w:val="BodyText"/>
        <w:spacing w:before="172" w:line="249" w:lineRule="auto"/>
        <w:ind w:left="815"/>
      </w:pPr>
      <w:r>
        <w:t xml:space="preserve">Following the workshop, the Chairs and Deputy Chairs </w:t>
      </w:r>
      <w:proofErr w:type="gramStart"/>
      <w:r>
        <w:t>were given</w:t>
      </w:r>
      <w:proofErr w:type="gramEnd"/>
      <w:r>
        <w:t xml:space="preserve"> the opportunity to network amongst themselves</w:t>
      </w:r>
      <w:r>
        <w:rPr>
          <w:spacing w:val="-2"/>
        </w:rPr>
        <w:t xml:space="preserve"> </w:t>
      </w:r>
      <w:r>
        <w:t>and</w:t>
      </w:r>
      <w:r>
        <w:rPr>
          <w:spacing w:val="-2"/>
        </w:rPr>
        <w:t xml:space="preserve"> </w:t>
      </w:r>
      <w:r>
        <w:t>to</w:t>
      </w:r>
      <w:r>
        <w:rPr>
          <w:spacing w:val="-2"/>
        </w:rPr>
        <w:t xml:space="preserve"> </w:t>
      </w:r>
      <w:r>
        <w:t>collaborate</w:t>
      </w:r>
      <w:r>
        <w:rPr>
          <w:spacing w:val="-2"/>
        </w:rPr>
        <w:t xml:space="preserve"> </w:t>
      </w:r>
      <w:r>
        <w:t>with</w:t>
      </w:r>
      <w:r>
        <w:rPr>
          <w:spacing w:val="-2"/>
        </w:rPr>
        <w:t xml:space="preserve"> </w:t>
      </w:r>
      <w:r>
        <w:t>peers</w:t>
      </w:r>
      <w:r>
        <w:rPr>
          <w:spacing w:val="-2"/>
        </w:rPr>
        <w:t xml:space="preserve"> </w:t>
      </w:r>
      <w:r>
        <w:t>across</w:t>
      </w:r>
      <w:r>
        <w:rPr>
          <w:spacing w:val="-2"/>
        </w:rPr>
        <w:t xml:space="preserve"> </w:t>
      </w:r>
      <w:r>
        <w:t>different</w:t>
      </w:r>
      <w:r>
        <w:rPr>
          <w:spacing w:val="-2"/>
        </w:rPr>
        <w:t xml:space="preserve"> </w:t>
      </w:r>
      <w:r>
        <w:t>practice</w:t>
      </w:r>
      <w:r>
        <w:rPr>
          <w:spacing w:val="-2"/>
        </w:rPr>
        <w:t xml:space="preserve"> </w:t>
      </w:r>
      <w:r>
        <w:t>areas.</w:t>
      </w:r>
      <w:r>
        <w:rPr>
          <w:spacing w:val="-6"/>
        </w:rPr>
        <w:t xml:space="preserve"> </w:t>
      </w:r>
      <w:r>
        <w:t>This</w:t>
      </w:r>
      <w:r>
        <w:rPr>
          <w:spacing w:val="-2"/>
        </w:rPr>
        <w:t xml:space="preserve"> </w:t>
      </w:r>
      <w:r>
        <w:t>was</w:t>
      </w:r>
      <w:r>
        <w:rPr>
          <w:spacing w:val="-2"/>
        </w:rPr>
        <w:t xml:space="preserve"> </w:t>
      </w:r>
      <w:proofErr w:type="gramStart"/>
      <w:r>
        <w:t>a</w:t>
      </w:r>
      <w:r>
        <w:rPr>
          <w:spacing w:val="-2"/>
        </w:rPr>
        <w:t xml:space="preserve"> </w:t>
      </w:r>
      <w:r>
        <w:t>great</w:t>
      </w:r>
      <w:r>
        <w:rPr>
          <w:spacing w:val="-2"/>
        </w:rPr>
        <w:t xml:space="preserve"> </w:t>
      </w:r>
      <w:r>
        <w:t>opportunity</w:t>
      </w:r>
      <w:proofErr w:type="gramEnd"/>
      <w:r>
        <w:rPr>
          <w:spacing w:val="-2"/>
        </w:rPr>
        <w:t xml:space="preserve"> </w:t>
      </w:r>
      <w:r>
        <w:t>for Chairs,</w:t>
      </w:r>
      <w:r>
        <w:rPr>
          <w:spacing w:val="-3"/>
        </w:rPr>
        <w:t xml:space="preserve"> </w:t>
      </w:r>
      <w:r>
        <w:t>Deputy</w:t>
      </w:r>
      <w:r>
        <w:rPr>
          <w:spacing w:val="-3"/>
        </w:rPr>
        <w:t xml:space="preserve"> </w:t>
      </w:r>
      <w:r>
        <w:t>Chairs</w:t>
      </w:r>
      <w:r>
        <w:rPr>
          <w:spacing w:val="-3"/>
        </w:rPr>
        <w:t xml:space="preserve"> </w:t>
      </w:r>
      <w:r>
        <w:t>and</w:t>
      </w:r>
      <w:r>
        <w:rPr>
          <w:spacing w:val="-3"/>
        </w:rPr>
        <w:t xml:space="preserve"> </w:t>
      </w:r>
      <w:r>
        <w:t>their</w:t>
      </w:r>
      <w:r>
        <w:rPr>
          <w:spacing w:val="-3"/>
        </w:rPr>
        <w:t xml:space="preserve"> </w:t>
      </w:r>
      <w:r>
        <w:t>respective</w:t>
      </w:r>
      <w:r>
        <w:rPr>
          <w:spacing w:val="-3"/>
        </w:rPr>
        <w:t xml:space="preserve"> </w:t>
      </w:r>
      <w:r>
        <w:t>policy</w:t>
      </w:r>
      <w:r>
        <w:rPr>
          <w:spacing w:val="-3"/>
        </w:rPr>
        <w:t xml:space="preserve"> </w:t>
      </w:r>
      <w:r>
        <w:t>solicitors</w:t>
      </w:r>
      <w:r>
        <w:rPr>
          <w:spacing w:val="-3"/>
        </w:rPr>
        <w:t xml:space="preserve"> </w:t>
      </w:r>
      <w:r>
        <w:t>to</w:t>
      </w:r>
      <w:r>
        <w:rPr>
          <w:spacing w:val="-3"/>
        </w:rPr>
        <w:t xml:space="preserve"> </w:t>
      </w:r>
      <w:r>
        <w:t>reflect</w:t>
      </w:r>
      <w:r>
        <w:rPr>
          <w:spacing w:val="-3"/>
        </w:rPr>
        <w:t xml:space="preserve"> </w:t>
      </w:r>
      <w:r>
        <w:t>on</w:t>
      </w:r>
      <w:r>
        <w:rPr>
          <w:spacing w:val="-3"/>
        </w:rPr>
        <w:t xml:space="preserve"> </w:t>
      </w:r>
      <w:r>
        <w:t>and</w:t>
      </w:r>
      <w:r>
        <w:rPr>
          <w:spacing w:val="-3"/>
        </w:rPr>
        <w:t xml:space="preserve"> </w:t>
      </w:r>
      <w:r>
        <w:t>celebrate</w:t>
      </w:r>
      <w:r>
        <w:rPr>
          <w:spacing w:val="-3"/>
        </w:rPr>
        <w:t xml:space="preserve"> </w:t>
      </w:r>
      <w:r>
        <w:t>achievements</w:t>
      </w:r>
      <w:r>
        <w:rPr>
          <w:spacing w:val="-3"/>
        </w:rPr>
        <w:t xml:space="preserve"> </w:t>
      </w:r>
      <w:r>
        <w:t>from the past year.</w:t>
      </w:r>
    </w:p>
    <w:p w14:paraId="0A9844B1" w14:textId="77777777" w:rsidR="00AC6F3C" w:rsidRDefault="00AC6F3C">
      <w:pPr>
        <w:spacing w:line="249" w:lineRule="auto"/>
        <w:sectPr w:rsidR="00AC6F3C">
          <w:headerReference w:type="default" r:id="rId68"/>
          <w:footerReference w:type="default" r:id="rId69"/>
          <w:pgSz w:w="11910" w:h="16840"/>
          <w:pgMar w:top="980" w:right="1160" w:bottom="520" w:left="460" w:header="0" w:footer="336" w:gutter="0"/>
          <w:cols w:space="720"/>
        </w:sectPr>
      </w:pPr>
    </w:p>
    <w:p w14:paraId="0E8FFA4B" w14:textId="77777777" w:rsidR="00AC6F3C" w:rsidRDefault="00570E88">
      <w:pPr>
        <w:spacing w:before="63"/>
        <w:ind w:left="815"/>
        <w:rPr>
          <w:b/>
          <w:sz w:val="26"/>
        </w:rPr>
      </w:pPr>
      <w:r>
        <w:rPr>
          <w:b/>
          <w:sz w:val="26"/>
        </w:rPr>
        <w:lastRenderedPageBreak/>
        <w:t>Access</w:t>
      </w:r>
      <w:r>
        <w:rPr>
          <w:b/>
          <w:spacing w:val="-2"/>
          <w:sz w:val="26"/>
        </w:rPr>
        <w:t xml:space="preserve"> </w:t>
      </w:r>
      <w:r>
        <w:rPr>
          <w:b/>
          <w:sz w:val="26"/>
        </w:rPr>
        <w:t>to</w:t>
      </w:r>
      <w:r>
        <w:rPr>
          <w:b/>
          <w:spacing w:val="-2"/>
          <w:sz w:val="26"/>
        </w:rPr>
        <w:t xml:space="preserve"> </w:t>
      </w:r>
      <w:r>
        <w:rPr>
          <w:b/>
          <w:sz w:val="26"/>
        </w:rPr>
        <w:t>Justice</w:t>
      </w:r>
      <w:r>
        <w:rPr>
          <w:b/>
          <w:spacing w:val="-1"/>
          <w:sz w:val="26"/>
        </w:rPr>
        <w:t xml:space="preserve"> </w:t>
      </w:r>
      <w:r>
        <w:rPr>
          <w:b/>
          <w:sz w:val="26"/>
        </w:rPr>
        <w:t>and</w:t>
      </w:r>
      <w:r>
        <w:rPr>
          <w:b/>
          <w:spacing w:val="-2"/>
          <w:sz w:val="26"/>
        </w:rPr>
        <w:t xml:space="preserve"> </w:t>
      </w:r>
      <w:r>
        <w:rPr>
          <w:b/>
          <w:sz w:val="26"/>
        </w:rPr>
        <w:t>Pro</w:t>
      </w:r>
      <w:r>
        <w:rPr>
          <w:b/>
          <w:spacing w:val="-1"/>
          <w:sz w:val="26"/>
        </w:rPr>
        <w:t xml:space="preserve"> </w:t>
      </w:r>
      <w:r>
        <w:rPr>
          <w:b/>
          <w:sz w:val="26"/>
        </w:rPr>
        <w:t>Bono</w:t>
      </w:r>
      <w:r>
        <w:rPr>
          <w:b/>
          <w:spacing w:val="-2"/>
          <w:sz w:val="26"/>
        </w:rPr>
        <w:t xml:space="preserve"> </w:t>
      </w:r>
      <w:r>
        <w:rPr>
          <w:b/>
          <w:sz w:val="26"/>
        </w:rPr>
        <w:t>Law</w:t>
      </w:r>
      <w:r>
        <w:rPr>
          <w:b/>
          <w:spacing w:val="-1"/>
          <w:sz w:val="26"/>
        </w:rPr>
        <w:t xml:space="preserve"> </w:t>
      </w:r>
      <w:r>
        <w:rPr>
          <w:b/>
          <w:spacing w:val="-2"/>
          <w:sz w:val="26"/>
        </w:rPr>
        <w:t>Committee</w:t>
      </w:r>
    </w:p>
    <w:p w14:paraId="4481C75E" w14:textId="77777777" w:rsidR="00AC6F3C" w:rsidRDefault="00570E88">
      <w:pPr>
        <w:pStyle w:val="ListParagraph"/>
        <w:numPr>
          <w:ilvl w:val="0"/>
          <w:numId w:val="58"/>
        </w:numPr>
        <w:tabs>
          <w:tab w:val="left" w:pos="1155"/>
        </w:tabs>
        <w:spacing w:before="167" w:line="249" w:lineRule="auto"/>
        <w:ind w:right="324"/>
        <w:rPr>
          <w:sz w:val="20"/>
        </w:rPr>
      </w:pPr>
      <w:r>
        <w:rPr>
          <w:sz w:val="20"/>
        </w:rPr>
        <w:t>The</w:t>
      </w:r>
      <w:r>
        <w:rPr>
          <w:spacing w:val="-14"/>
          <w:sz w:val="20"/>
        </w:rPr>
        <w:t xml:space="preserve"> </w:t>
      </w:r>
      <w:r>
        <w:rPr>
          <w:sz w:val="20"/>
        </w:rPr>
        <w:t>Access</w:t>
      </w:r>
      <w:r>
        <w:rPr>
          <w:spacing w:val="-3"/>
          <w:sz w:val="20"/>
        </w:rPr>
        <w:t xml:space="preserve"> </w:t>
      </w:r>
      <w:r>
        <w:rPr>
          <w:sz w:val="20"/>
        </w:rPr>
        <w:t>to</w:t>
      </w:r>
      <w:r>
        <w:rPr>
          <w:spacing w:val="-3"/>
          <w:sz w:val="20"/>
        </w:rPr>
        <w:t xml:space="preserve"> </w:t>
      </w:r>
      <w:r>
        <w:rPr>
          <w:sz w:val="20"/>
        </w:rPr>
        <w:t>Justice</w:t>
      </w:r>
      <w:r>
        <w:rPr>
          <w:spacing w:val="-3"/>
          <w:sz w:val="20"/>
        </w:rPr>
        <w:t xml:space="preserve"> </w:t>
      </w:r>
      <w:r>
        <w:rPr>
          <w:sz w:val="20"/>
        </w:rPr>
        <w:t>and</w:t>
      </w:r>
      <w:r>
        <w:rPr>
          <w:spacing w:val="-3"/>
          <w:sz w:val="20"/>
        </w:rPr>
        <w:t xml:space="preserve"> </w:t>
      </w:r>
      <w:r>
        <w:rPr>
          <w:sz w:val="20"/>
        </w:rPr>
        <w:t>Pro</w:t>
      </w:r>
      <w:r>
        <w:rPr>
          <w:spacing w:val="-3"/>
          <w:sz w:val="20"/>
        </w:rPr>
        <w:t xml:space="preserve"> </w:t>
      </w:r>
      <w:r>
        <w:rPr>
          <w:sz w:val="20"/>
        </w:rPr>
        <w:t>Bono</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has</w:t>
      </w:r>
      <w:r>
        <w:rPr>
          <w:spacing w:val="-3"/>
          <w:sz w:val="20"/>
        </w:rPr>
        <w:t xml:space="preserve"> </w:t>
      </w:r>
      <w:r>
        <w:rPr>
          <w:sz w:val="20"/>
        </w:rPr>
        <w:t>contributed</w:t>
      </w:r>
      <w:r>
        <w:rPr>
          <w:spacing w:val="-3"/>
          <w:sz w:val="20"/>
        </w:rPr>
        <w:t xml:space="preserve"> </w:t>
      </w:r>
      <w:r>
        <w:rPr>
          <w:sz w:val="20"/>
        </w:rPr>
        <w:t>to</w:t>
      </w:r>
      <w:r>
        <w:rPr>
          <w:spacing w:val="-3"/>
          <w:sz w:val="20"/>
        </w:rPr>
        <w:t xml:space="preserve"> </w:t>
      </w:r>
      <w:r>
        <w:rPr>
          <w:sz w:val="20"/>
        </w:rPr>
        <w:t>five</w:t>
      </w:r>
      <w:r>
        <w:rPr>
          <w:spacing w:val="-3"/>
          <w:sz w:val="20"/>
        </w:rPr>
        <w:t xml:space="preserve"> </w:t>
      </w:r>
      <w:r>
        <w:rPr>
          <w:sz w:val="20"/>
        </w:rPr>
        <w:t>submissions</w:t>
      </w:r>
      <w:r>
        <w:rPr>
          <w:spacing w:val="-3"/>
          <w:sz w:val="20"/>
        </w:rPr>
        <w:t xml:space="preserve"> </w:t>
      </w:r>
      <w:r>
        <w:rPr>
          <w:sz w:val="20"/>
        </w:rPr>
        <w:t>during</w:t>
      </w:r>
      <w:r>
        <w:rPr>
          <w:spacing w:val="-3"/>
          <w:sz w:val="20"/>
        </w:rPr>
        <w:t xml:space="preserve"> </w:t>
      </w:r>
      <w:r>
        <w:rPr>
          <w:sz w:val="20"/>
        </w:rPr>
        <w:t xml:space="preserve">this </w:t>
      </w:r>
      <w:proofErr w:type="gramStart"/>
      <w:r>
        <w:rPr>
          <w:sz w:val="20"/>
        </w:rPr>
        <w:t>financial year</w:t>
      </w:r>
      <w:proofErr w:type="gramEnd"/>
      <w:r>
        <w:rPr>
          <w:sz w:val="20"/>
        </w:rPr>
        <w:t>.</w:t>
      </w:r>
    </w:p>
    <w:p w14:paraId="41CA3CDC" w14:textId="77777777" w:rsidR="00AC6F3C" w:rsidRDefault="00570E88">
      <w:pPr>
        <w:pStyle w:val="ListParagraph"/>
        <w:numPr>
          <w:ilvl w:val="0"/>
          <w:numId w:val="58"/>
        </w:numPr>
        <w:tabs>
          <w:tab w:val="left" w:pos="1155"/>
        </w:tabs>
        <w:spacing w:before="172" w:line="249" w:lineRule="auto"/>
        <w:ind w:right="1091"/>
        <w:rPr>
          <w:sz w:val="20"/>
        </w:rPr>
      </w:pPr>
      <w:r>
        <w:rPr>
          <w:sz w:val="20"/>
        </w:rPr>
        <w:t>This</w:t>
      </w:r>
      <w:r>
        <w:rPr>
          <w:spacing w:val="-3"/>
          <w:sz w:val="20"/>
        </w:rPr>
        <w:t xml:space="preserve"> </w:t>
      </w:r>
      <w:r>
        <w:rPr>
          <w:sz w:val="20"/>
        </w:rPr>
        <w:t>included</w:t>
      </w:r>
      <w:r>
        <w:rPr>
          <w:spacing w:val="-3"/>
          <w:sz w:val="20"/>
        </w:rPr>
        <w:t xml:space="preserve"> </w:t>
      </w:r>
      <w:proofErr w:type="gramStart"/>
      <w:r>
        <w:rPr>
          <w:sz w:val="20"/>
        </w:rPr>
        <w:t>working</w:t>
      </w:r>
      <w:proofErr w:type="gramEnd"/>
      <w:r>
        <w:rPr>
          <w:spacing w:val="-3"/>
          <w:sz w:val="20"/>
        </w:rPr>
        <w:t xml:space="preserve"> </w:t>
      </w:r>
      <w:r>
        <w:rPr>
          <w:sz w:val="20"/>
        </w:rPr>
        <w:t>with</w:t>
      </w:r>
      <w:r>
        <w:rPr>
          <w:spacing w:val="-3"/>
          <w:sz w:val="20"/>
        </w:rPr>
        <w:t xml:space="preserve"> </w:t>
      </w:r>
      <w:r>
        <w:rPr>
          <w:sz w:val="20"/>
        </w:rPr>
        <w:t>various</w:t>
      </w:r>
      <w:r>
        <w:rPr>
          <w:spacing w:val="-3"/>
          <w:sz w:val="20"/>
        </w:rPr>
        <w:t xml:space="preserve"> </w:t>
      </w:r>
      <w:r>
        <w:rPr>
          <w:sz w:val="20"/>
        </w:rPr>
        <w:t>other</w:t>
      </w:r>
      <w:r>
        <w:rPr>
          <w:spacing w:val="-3"/>
          <w:sz w:val="20"/>
        </w:rPr>
        <w:t xml:space="preserve"> </w:t>
      </w:r>
      <w:r>
        <w:rPr>
          <w:sz w:val="20"/>
        </w:rPr>
        <w:t>committees</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inquiry</w:t>
      </w:r>
      <w:r>
        <w:rPr>
          <w:spacing w:val="-3"/>
          <w:sz w:val="20"/>
        </w:rPr>
        <w:t xml:space="preserve"> </w:t>
      </w:r>
      <w:r>
        <w:rPr>
          <w:sz w:val="20"/>
        </w:rPr>
        <w:t>into</w:t>
      </w:r>
      <w:r>
        <w:rPr>
          <w:spacing w:val="-3"/>
          <w:sz w:val="20"/>
        </w:rPr>
        <w:t xml:space="preserve"> </w:t>
      </w:r>
      <w:r>
        <w:rPr>
          <w:sz w:val="20"/>
        </w:rPr>
        <w:t>the Strengthening Community Safety Bill 2023.</w:t>
      </w:r>
    </w:p>
    <w:p w14:paraId="068DAA5A" w14:textId="77777777" w:rsidR="00AC6F3C" w:rsidRDefault="00570E88">
      <w:pPr>
        <w:pStyle w:val="ListParagraph"/>
        <w:numPr>
          <w:ilvl w:val="0"/>
          <w:numId w:val="58"/>
        </w:numPr>
        <w:tabs>
          <w:tab w:val="left" w:pos="1155"/>
        </w:tabs>
        <w:spacing w:before="172" w:line="249" w:lineRule="auto"/>
        <w:ind w:right="345"/>
        <w:rPr>
          <w:sz w:val="20"/>
        </w:rPr>
      </w:pPr>
      <w:r>
        <w:rPr>
          <w:sz w:val="20"/>
        </w:rPr>
        <w:t>The Committee made submissions to the Law Council of</w:t>
      </w:r>
      <w:r>
        <w:rPr>
          <w:spacing w:val="-5"/>
          <w:sz w:val="20"/>
        </w:rPr>
        <w:t xml:space="preserve"> </w:t>
      </w:r>
      <w:r>
        <w:rPr>
          <w:sz w:val="20"/>
        </w:rPr>
        <w:t xml:space="preserve">Australia on the availability and use of </w:t>
      </w:r>
      <w:proofErr w:type="spellStart"/>
      <w:r>
        <w:rPr>
          <w:sz w:val="20"/>
        </w:rPr>
        <w:t>authorised</w:t>
      </w:r>
      <w:proofErr w:type="spellEnd"/>
      <w:r>
        <w:rPr>
          <w:spacing w:val="-4"/>
          <w:sz w:val="20"/>
        </w:rPr>
        <w:t xml:space="preserve"> </w:t>
      </w:r>
      <w:r>
        <w:rPr>
          <w:sz w:val="20"/>
        </w:rPr>
        <w:t>reports</w:t>
      </w:r>
      <w:r>
        <w:rPr>
          <w:spacing w:val="-4"/>
          <w:sz w:val="20"/>
        </w:rPr>
        <w:t xml:space="preserve"> </w:t>
      </w:r>
      <w:r>
        <w:rPr>
          <w:sz w:val="20"/>
        </w:rPr>
        <w:t>and</w:t>
      </w:r>
      <w:r>
        <w:rPr>
          <w:spacing w:val="-4"/>
          <w:sz w:val="20"/>
        </w:rPr>
        <w:t xml:space="preserve"> </w:t>
      </w:r>
      <w:r>
        <w:rPr>
          <w:sz w:val="20"/>
        </w:rPr>
        <w:t>Draft</w:t>
      </w:r>
      <w:r>
        <w:rPr>
          <w:spacing w:val="-4"/>
          <w:sz w:val="20"/>
        </w:rPr>
        <w:t xml:space="preserve"> </w:t>
      </w:r>
      <w:r>
        <w:rPr>
          <w:sz w:val="20"/>
        </w:rPr>
        <w:t>Best</w:t>
      </w:r>
      <w:r>
        <w:rPr>
          <w:spacing w:val="-4"/>
          <w:sz w:val="20"/>
        </w:rPr>
        <w:t xml:space="preserve"> </w:t>
      </w:r>
      <w:r>
        <w:rPr>
          <w:sz w:val="20"/>
        </w:rPr>
        <w:t>Practice</w:t>
      </w:r>
      <w:r>
        <w:rPr>
          <w:spacing w:val="-4"/>
          <w:sz w:val="20"/>
        </w:rPr>
        <w:t xml:space="preserve"> </w:t>
      </w:r>
      <w:r>
        <w:rPr>
          <w:sz w:val="20"/>
        </w:rPr>
        <w:t>Principles</w:t>
      </w:r>
      <w:r>
        <w:rPr>
          <w:spacing w:val="-4"/>
          <w:sz w:val="20"/>
        </w:rPr>
        <w:t xml:space="preserve"> </w:t>
      </w:r>
      <w:r>
        <w:rPr>
          <w:sz w:val="20"/>
        </w:rPr>
        <w:t>for</w:t>
      </w:r>
      <w:r>
        <w:rPr>
          <w:spacing w:val="-4"/>
          <w:sz w:val="20"/>
        </w:rPr>
        <w:t xml:space="preserve"> </w:t>
      </w:r>
      <w:r>
        <w:rPr>
          <w:sz w:val="20"/>
        </w:rPr>
        <w:t>Courts</w:t>
      </w:r>
      <w:r>
        <w:rPr>
          <w:spacing w:val="-4"/>
          <w:sz w:val="20"/>
        </w:rPr>
        <w:t xml:space="preserve"> </w:t>
      </w:r>
      <w:r>
        <w:rPr>
          <w:sz w:val="20"/>
        </w:rPr>
        <w:t>and</w:t>
      </w:r>
      <w:r>
        <w:rPr>
          <w:spacing w:val="-7"/>
          <w:sz w:val="20"/>
        </w:rPr>
        <w:t xml:space="preserve"> </w:t>
      </w:r>
      <w:r>
        <w:rPr>
          <w:sz w:val="20"/>
        </w:rPr>
        <w:t>Tribunals</w:t>
      </w:r>
      <w:r>
        <w:rPr>
          <w:spacing w:val="-4"/>
          <w:sz w:val="20"/>
        </w:rPr>
        <w:t xml:space="preserve"> </w:t>
      </w:r>
      <w:r>
        <w:rPr>
          <w:sz w:val="20"/>
        </w:rPr>
        <w:t>when</w:t>
      </w:r>
      <w:r>
        <w:rPr>
          <w:spacing w:val="-4"/>
          <w:sz w:val="20"/>
        </w:rPr>
        <w:t xml:space="preserve"> </w:t>
      </w:r>
      <w:r>
        <w:rPr>
          <w:sz w:val="20"/>
        </w:rPr>
        <w:t>considering</w:t>
      </w:r>
      <w:r>
        <w:rPr>
          <w:spacing w:val="-4"/>
          <w:sz w:val="20"/>
        </w:rPr>
        <w:t xml:space="preserve"> </w:t>
      </w:r>
      <w:r>
        <w:rPr>
          <w:sz w:val="20"/>
        </w:rPr>
        <w:t>the appropriateness of online proceedings.</w:t>
      </w:r>
    </w:p>
    <w:p w14:paraId="03CCFDCA" w14:textId="77777777" w:rsidR="00AC6F3C" w:rsidRDefault="00570E88">
      <w:pPr>
        <w:pStyle w:val="ListParagraph"/>
        <w:numPr>
          <w:ilvl w:val="0"/>
          <w:numId w:val="58"/>
        </w:numPr>
        <w:tabs>
          <w:tab w:val="left" w:pos="1155"/>
        </w:tabs>
        <w:spacing w:before="172"/>
        <w:ind w:hanging="340"/>
        <w:rPr>
          <w:sz w:val="20"/>
        </w:rPr>
      </w:pPr>
      <w:r>
        <w:rPr>
          <w:sz w:val="20"/>
        </w:rPr>
        <w:t>In</w:t>
      </w:r>
      <w:r>
        <w:rPr>
          <w:spacing w:val="-5"/>
          <w:sz w:val="20"/>
        </w:rPr>
        <w:t xml:space="preserve"> </w:t>
      </w:r>
      <w:r>
        <w:rPr>
          <w:sz w:val="20"/>
        </w:rPr>
        <w:t>advance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review</w:t>
      </w:r>
      <w:r>
        <w:rPr>
          <w:spacing w:val="-5"/>
          <w:sz w:val="20"/>
        </w:rPr>
        <w:t xml:space="preserve"> </w:t>
      </w:r>
      <w:r>
        <w:rPr>
          <w:sz w:val="20"/>
        </w:rPr>
        <w:t>of</w:t>
      </w:r>
      <w:r>
        <w:rPr>
          <w:spacing w:val="-4"/>
          <w:sz w:val="20"/>
        </w:rPr>
        <w:t xml:space="preserve"> </w:t>
      </w:r>
      <w:r>
        <w:rPr>
          <w:sz w:val="20"/>
        </w:rPr>
        <w:t>the</w:t>
      </w:r>
      <w:r>
        <w:rPr>
          <w:spacing w:val="-5"/>
          <w:sz w:val="20"/>
        </w:rPr>
        <w:t xml:space="preserve"> </w:t>
      </w:r>
      <w:r>
        <w:rPr>
          <w:i/>
          <w:sz w:val="20"/>
        </w:rPr>
        <w:t>Queensland</w:t>
      </w:r>
      <w:r>
        <w:rPr>
          <w:i/>
          <w:spacing w:val="-5"/>
          <w:sz w:val="20"/>
        </w:rPr>
        <w:t xml:space="preserve"> </w:t>
      </w:r>
      <w:r>
        <w:rPr>
          <w:i/>
          <w:sz w:val="20"/>
        </w:rPr>
        <w:t>Civil</w:t>
      </w:r>
      <w:r>
        <w:rPr>
          <w:i/>
          <w:spacing w:val="-5"/>
          <w:sz w:val="20"/>
        </w:rPr>
        <w:t xml:space="preserve"> </w:t>
      </w:r>
      <w:r>
        <w:rPr>
          <w:i/>
          <w:sz w:val="20"/>
        </w:rPr>
        <w:t>and</w:t>
      </w:r>
      <w:r>
        <w:rPr>
          <w:i/>
          <w:spacing w:val="-12"/>
          <w:sz w:val="20"/>
        </w:rPr>
        <w:t xml:space="preserve"> </w:t>
      </w:r>
      <w:r>
        <w:rPr>
          <w:i/>
          <w:sz w:val="20"/>
        </w:rPr>
        <w:t>Administrative</w:t>
      </w:r>
      <w:r>
        <w:rPr>
          <w:i/>
          <w:spacing w:val="-5"/>
          <w:sz w:val="20"/>
        </w:rPr>
        <w:t xml:space="preserve"> </w:t>
      </w:r>
      <w:r>
        <w:rPr>
          <w:i/>
          <w:sz w:val="20"/>
        </w:rPr>
        <w:t>Tribunal</w:t>
      </w:r>
      <w:r>
        <w:rPr>
          <w:i/>
          <w:spacing w:val="-12"/>
          <w:sz w:val="20"/>
        </w:rPr>
        <w:t xml:space="preserve"> </w:t>
      </w:r>
      <w:r>
        <w:rPr>
          <w:i/>
          <w:sz w:val="20"/>
        </w:rPr>
        <w:t>Act</w:t>
      </w:r>
      <w:r>
        <w:rPr>
          <w:i/>
          <w:spacing w:val="-5"/>
          <w:sz w:val="20"/>
        </w:rPr>
        <w:t xml:space="preserve"> </w:t>
      </w:r>
      <w:r>
        <w:rPr>
          <w:i/>
          <w:sz w:val="20"/>
        </w:rPr>
        <w:t>2009</w:t>
      </w:r>
      <w:r>
        <w:rPr>
          <w:sz w:val="20"/>
        </w:rPr>
        <w:t>,</w:t>
      </w:r>
      <w:r>
        <w:rPr>
          <w:spacing w:val="-5"/>
          <w:sz w:val="20"/>
        </w:rPr>
        <w:t xml:space="preserve"> </w:t>
      </w:r>
      <w:r>
        <w:rPr>
          <w:sz w:val="20"/>
        </w:rPr>
        <w:t>the</w:t>
      </w:r>
      <w:r>
        <w:rPr>
          <w:spacing w:val="-4"/>
          <w:sz w:val="20"/>
        </w:rPr>
        <w:t xml:space="preserve"> </w:t>
      </w:r>
      <w:r>
        <w:rPr>
          <w:spacing w:val="-2"/>
          <w:sz w:val="20"/>
        </w:rPr>
        <w:t>Committee</w:t>
      </w:r>
    </w:p>
    <w:p w14:paraId="6A30DF9C" w14:textId="77777777" w:rsidR="00AC6F3C" w:rsidRDefault="00570E88">
      <w:pPr>
        <w:pStyle w:val="BodyText"/>
        <w:spacing w:before="10"/>
        <w:ind w:left="1155"/>
      </w:pPr>
      <w:r>
        <w:t>wrote</w:t>
      </w:r>
      <w:r>
        <w:rPr>
          <w:spacing w:val="-3"/>
        </w:rPr>
        <w:t xml:space="preserve"> </w:t>
      </w:r>
      <w:r>
        <w:t>to</w:t>
      </w:r>
      <w:r>
        <w:rPr>
          <w:spacing w:val="-3"/>
        </w:rPr>
        <w:t xml:space="preserve"> </w:t>
      </w:r>
      <w:r>
        <w:t>President</w:t>
      </w:r>
      <w:r>
        <w:rPr>
          <w:spacing w:val="-2"/>
        </w:rPr>
        <w:t xml:space="preserve"> </w:t>
      </w:r>
      <w:proofErr w:type="spellStart"/>
      <w:r>
        <w:t>Mellifont</w:t>
      </w:r>
      <w:proofErr w:type="spellEnd"/>
      <w:r>
        <w:rPr>
          <w:spacing w:val="-3"/>
        </w:rPr>
        <w:t xml:space="preserve"> </w:t>
      </w:r>
      <w:r>
        <w:t>on</w:t>
      </w:r>
      <w:r>
        <w:rPr>
          <w:spacing w:val="-3"/>
        </w:rPr>
        <w:t xml:space="preserve"> </w:t>
      </w:r>
      <w:r>
        <w:t>the</w:t>
      </w:r>
      <w:r>
        <w:rPr>
          <w:spacing w:val="-2"/>
        </w:rPr>
        <w:t xml:space="preserve"> </w:t>
      </w:r>
      <w:r>
        <w:t>issue</w:t>
      </w:r>
      <w:r>
        <w:rPr>
          <w:spacing w:val="-3"/>
        </w:rPr>
        <w:t xml:space="preserve"> </w:t>
      </w:r>
      <w:r>
        <w:t>of</w:t>
      </w:r>
      <w:r>
        <w:rPr>
          <w:spacing w:val="-3"/>
        </w:rPr>
        <w:t xml:space="preserve"> </w:t>
      </w:r>
      <w:r>
        <w:t>legal</w:t>
      </w:r>
      <w:r>
        <w:rPr>
          <w:spacing w:val="-2"/>
        </w:rPr>
        <w:t xml:space="preserve"> </w:t>
      </w:r>
      <w:r>
        <w:t>representation</w:t>
      </w:r>
      <w:r>
        <w:rPr>
          <w:spacing w:val="-3"/>
        </w:rPr>
        <w:t xml:space="preserve"> </w:t>
      </w:r>
      <w:r>
        <w:t>at</w:t>
      </w:r>
      <w:r>
        <w:rPr>
          <w:spacing w:val="-2"/>
        </w:rPr>
        <w:t xml:space="preserve"> QCAT.</w:t>
      </w:r>
    </w:p>
    <w:p w14:paraId="6FFF4A79" w14:textId="77777777" w:rsidR="00AC6F3C" w:rsidRDefault="00570E88">
      <w:pPr>
        <w:pStyle w:val="ListParagraph"/>
        <w:numPr>
          <w:ilvl w:val="0"/>
          <w:numId w:val="58"/>
        </w:numPr>
        <w:tabs>
          <w:tab w:val="left" w:pos="1155"/>
        </w:tabs>
        <w:spacing w:line="249" w:lineRule="auto"/>
        <w:ind w:right="568"/>
        <w:rPr>
          <w:sz w:val="20"/>
        </w:rPr>
      </w:pPr>
      <w:r>
        <w:rPr>
          <w:sz w:val="20"/>
        </w:rPr>
        <w:t>A</w:t>
      </w:r>
      <w:r>
        <w:rPr>
          <w:spacing w:val="-13"/>
          <w:sz w:val="20"/>
        </w:rPr>
        <w:t xml:space="preserve"> </w:t>
      </w:r>
      <w:r>
        <w:rPr>
          <w:sz w:val="20"/>
        </w:rPr>
        <w:t>key</w:t>
      </w:r>
      <w:r>
        <w:rPr>
          <w:spacing w:val="-2"/>
          <w:sz w:val="20"/>
        </w:rPr>
        <w:t xml:space="preserve"> </w:t>
      </w:r>
      <w:r>
        <w:rPr>
          <w:sz w:val="20"/>
        </w:rPr>
        <w:t>piece</w:t>
      </w:r>
      <w:r>
        <w:rPr>
          <w:spacing w:val="-2"/>
          <w:sz w:val="20"/>
        </w:rPr>
        <w:t xml:space="preserve"> </w:t>
      </w:r>
      <w:r>
        <w:rPr>
          <w:sz w:val="20"/>
        </w:rPr>
        <w:t>of</w:t>
      </w:r>
      <w:r>
        <w:rPr>
          <w:spacing w:val="-2"/>
          <w:sz w:val="20"/>
        </w:rPr>
        <w:t xml:space="preserve"> </w:t>
      </w:r>
      <w:r>
        <w:rPr>
          <w:sz w:val="20"/>
        </w:rPr>
        <w:t>work</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Committee</w:t>
      </w:r>
      <w:r>
        <w:rPr>
          <w:spacing w:val="-2"/>
          <w:sz w:val="20"/>
        </w:rPr>
        <w:t xml:space="preserve"> </w:t>
      </w:r>
      <w:r>
        <w:rPr>
          <w:sz w:val="20"/>
        </w:rPr>
        <w:t>this</w:t>
      </w:r>
      <w:r>
        <w:rPr>
          <w:spacing w:val="-2"/>
          <w:sz w:val="20"/>
        </w:rPr>
        <w:t xml:space="preserve"> </w:t>
      </w:r>
      <w:r>
        <w:rPr>
          <w:sz w:val="20"/>
        </w:rPr>
        <w:t>year</w:t>
      </w:r>
      <w:r>
        <w:rPr>
          <w:spacing w:val="-2"/>
          <w:sz w:val="20"/>
        </w:rPr>
        <w:t xml:space="preserve"> </w:t>
      </w:r>
      <w:r>
        <w:rPr>
          <w:sz w:val="20"/>
        </w:rPr>
        <w:t>was</w:t>
      </w:r>
      <w:r>
        <w:rPr>
          <w:spacing w:val="-2"/>
          <w:sz w:val="20"/>
        </w:rPr>
        <w:t xml:space="preserve"> </w:t>
      </w:r>
      <w:r>
        <w:rPr>
          <w:sz w:val="20"/>
        </w:rPr>
        <w:t>the</w:t>
      </w:r>
      <w:r>
        <w:rPr>
          <w:spacing w:val="-2"/>
          <w:sz w:val="20"/>
        </w:rPr>
        <w:t xml:space="preserve"> </w:t>
      </w:r>
      <w:r>
        <w:rPr>
          <w:sz w:val="20"/>
        </w:rPr>
        <w:t>production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2022</w:t>
      </w:r>
      <w:r>
        <w:rPr>
          <w:spacing w:val="-13"/>
          <w:sz w:val="20"/>
        </w:rPr>
        <w:t xml:space="preserve"> </w:t>
      </w:r>
      <w:r>
        <w:rPr>
          <w:sz w:val="20"/>
        </w:rPr>
        <w:t>Access</w:t>
      </w:r>
      <w:r>
        <w:rPr>
          <w:spacing w:val="-2"/>
          <w:sz w:val="20"/>
        </w:rPr>
        <w:t xml:space="preserve"> </w:t>
      </w:r>
      <w:r>
        <w:rPr>
          <w:sz w:val="20"/>
        </w:rPr>
        <w:t>to</w:t>
      </w:r>
      <w:r>
        <w:rPr>
          <w:spacing w:val="-2"/>
          <w:sz w:val="20"/>
        </w:rPr>
        <w:t xml:space="preserve"> </w:t>
      </w:r>
      <w:r>
        <w:rPr>
          <w:sz w:val="20"/>
        </w:rPr>
        <w:t>Justice Scorecard Report, which is now in its tenth year.</w:t>
      </w:r>
    </w:p>
    <w:p w14:paraId="2FD8E5E4" w14:textId="77777777" w:rsidR="00AC6F3C" w:rsidRDefault="00570E88">
      <w:pPr>
        <w:pStyle w:val="ListParagraph"/>
        <w:numPr>
          <w:ilvl w:val="0"/>
          <w:numId w:val="58"/>
        </w:numPr>
        <w:tabs>
          <w:tab w:val="left" w:pos="1155"/>
        </w:tabs>
        <w:spacing w:before="172" w:line="249" w:lineRule="auto"/>
        <w:ind w:right="134"/>
        <w:rPr>
          <w:sz w:val="20"/>
        </w:rPr>
      </w:pPr>
      <w:r>
        <w:rPr>
          <w:sz w:val="20"/>
        </w:rPr>
        <w:t>The</w:t>
      </w:r>
      <w:r>
        <w:rPr>
          <w:spacing w:val="-3"/>
          <w:sz w:val="20"/>
        </w:rPr>
        <w:t xml:space="preserve"> </w:t>
      </w:r>
      <w:r>
        <w:rPr>
          <w:sz w:val="20"/>
        </w:rPr>
        <w:t>Committee</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heavily</w:t>
      </w:r>
      <w:r>
        <w:rPr>
          <w:spacing w:val="-3"/>
          <w:sz w:val="20"/>
        </w:rPr>
        <w:t xml:space="preserve"> </w:t>
      </w:r>
      <w:r>
        <w:rPr>
          <w:sz w:val="20"/>
        </w:rPr>
        <w:t>involved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programming</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2023</w:t>
      </w:r>
      <w:r>
        <w:rPr>
          <w:spacing w:val="-3"/>
          <w:sz w:val="20"/>
        </w:rPr>
        <w:t xml:space="preserve"> </w:t>
      </w:r>
      <w:r>
        <w:rPr>
          <w:sz w:val="20"/>
        </w:rPr>
        <w:t>National</w:t>
      </w:r>
      <w:r>
        <w:rPr>
          <w:spacing w:val="-12"/>
          <w:sz w:val="20"/>
        </w:rPr>
        <w:t xml:space="preserve"> </w:t>
      </w:r>
      <w:r>
        <w:rPr>
          <w:sz w:val="20"/>
        </w:rPr>
        <w:t>Access</w:t>
      </w:r>
      <w:r>
        <w:rPr>
          <w:spacing w:val="-3"/>
          <w:sz w:val="20"/>
        </w:rPr>
        <w:t xml:space="preserve"> </w:t>
      </w:r>
      <w:r>
        <w:rPr>
          <w:sz w:val="20"/>
        </w:rPr>
        <w:t>to</w:t>
      </w:r>
      <w:r>
        <w:rPr>
          <w:spacing w:val="-3"/>
          <w:sz w:val="20"/>
        </w:rPr>
        <w:t xml:space="preserve"> </w:t>
      </w:r>
      <w:r>
        <w:rPr>
          <w:sz w:val="20"/>
        </w:rPr>
        <w:t xml:space="preserve">Justice Conference which </w:t>
      </w:r>
      <w:proofErr w:type="gramStart"/>
      <w:r>
        <w:rPr>
          <w:sz w:val="20"/>
        </w:rPr>
        <w:t>was held</w:t>
      </w:r>
      <w:proofErr w:type="gramEnd"/>
      <w:r>
        <w:rPr>
          <w:sz w:val="20"/>
        </w:rPr>
        <w:t xml:space="preserve"> in Brisbane in June 2023.</w:t>
      </w:r>
    </w:p>
    <w:p w14:paraId="2EF81EE4" w14:textId="77777777" w:rsidR="00AC6F3C" w:rsidRDefault="00AC6F3C">
      <w:pPr>
        <w:pStyle w:val="BodyText"/>
        <w:spacing w:before="1"/>
        <w:rPr>
          <w:sz w:val="31"/>
        </w:rPr>
      </w:pPr>
    </w:p>
    <w:p w14:paraId="7FC5DA1B" w14:textId="77777777" w:rsidR="00AC6F3C" w:rsidRDefault="00570E88">
      <w:pPr>
        <w:ind w:left="815"/>
        <w:rPr>
          <w:b/>
          <w:sz w:val="26"/>
        </w:rPr>
      </w:pPr>
      <w:r>
        <w:rPr>
          <w:b/>
          <w:sz w:val="26"/>
        </w:rPr>
        <w:t>Accident</w:t>
      </w:r>
      <w:r>
        <w:rPr>
          <w:b/>
          <w:spacing w:val="-7"/>
          <w:sz w:val="26"/>
        </w:rPr>
        <w:t xml:space="preserve"> </w:t>
      </w:r>
      <w:r>
        <w:rPr>
          <w:b/>
          <w:sz w:val="26"/>
        </w:rPr>
        <w:t>Compensation/Tort</w:t>
      </w:r>
      <w:r>
        <w:rPr>
          <w:b/>
          <w:spacing w:val="-7"/>
          <w:sz w:val="26"/>
        </w:rPr>
        <w:t xml:space="preserve"> </w:t>
      </w:r>
      <w:r>
        <w:rPr>
          <w:b/>
          <w:sz w:val="26"/>
        </w:rPr>
        <w:t>Law</w:t>
      </w:r>
      <w:r>
        <w:rPr>
          <w:b/>
          <w:spacing w:val="-6"/>
          <w:sz w:val="26"/>
        </w:rPr>
        <w:t xml:space="preserve"> </w:t>
      </w:r>
      <w:r>
        <w:rPr>
          <w:b/>
          <w:spacing w:val="-2"/>
          <w:sz w:val="26"/>
        </w:rPr>
        <w:t>Committee</w:t>
      </w:r>
    </w:p>
    <w:p w14:paraId="644D305F" w14:textId="77777777" w:rsidR="00AC6F3C" w:rsidRDefault="00570E88">
      <w:pPr>
        <w:pStyle w:val="BodyText"/>
        <w:spacing w:before="168" w:line="249" w:lineRule="auto"/>
        <w:ind w:left="815" w:right="1183"/>
      </w:pPr>
      <w:r>
        <w:t>The</w:t>
      </w:r>
      <w:r>
        <w:rPr>
          <w:spacing w:val="-14"/>
        </w:rPr>
        <w:t xml:space="preserve"> </w:t>
      </w:r>
      <w:r>
        <w:t>Accident</w:t>
      </w:r>
      <w:r>
        <w:rPr>
          <w:spacing w:val="-7"/>
        </w:rPr>
        <w:t xml:space="preserve"> </w:t>
      </w:r>
      <w:r>
        <w:t>Compensation</w:t>
      </w:r>
      <w:r>
        <w:rPr>
          <w:spacing w:val="-5"/>
        </w:rPr>
        <w:t xml:space="preserve"> </w:t>
      </w:r>
      <w:r>
        <w:t>and</w:t>
      </w:r>
      <w:r>
        <w:rPr>
          <w:spacing w:val="-9"/>
        </w:rPr>
        <w:t xml:space="preserve"> </w:t>
      </w:r>
      <w:r>
        <w:t>Tort</w:t>
      </w:r>
      <w:r>
        <w:rPr>
          <w:spacing w:val="-5"/>
        </w:rPr>
        <w:t xml:space="preserve"> </w:t>
      </w:r>
      <w:r>
        <w:t>Law</w:t>
      </w:r>
      <w:r>
        <w:rPr>
          <w:spacing w:val="-5"/>
        </w:rPr>
        <w:t xml:space="preserve"> </w:t>
      </w:r>
      <w:r>
        <w:t>Committee</w:t>
      </w:r>
      <w:r>
        <w:rPr>
          <w:spacing w:val="-5"/>
        </w:rPr>
        <w:t xml:space="preserve"> </w:t>
      </w:r>
      <w:r>
        <w:t>has</w:t>
      </w:r>
      <w:r>
        <w:rPr>
          <w:spacing w:val="-5"/>
        </w:rPr>
        <w:t xml:space="preserve"> </w:t>
      </w:r>
      <w:r>
        <w:t>contributed</w:t>
      </w:r>
      <w:r>
        <w:rPr>
          <w:spacing w:val="-5"/>
        </w:rPr>
        <w:t xml:space="preserve"> </w:t>
      </w:r>
      <w:r>
        <w:t>to</w:t>
      </w:r>
      <w:r>
        <w:rPr>
          <w:spacing w:val="-5"/>
        </w:rPr>
        <w:t xml:space="preserve"> </w:t>
      </w:r>
      <w:proofErr w:type="gramStart"/>
      <w:r>
        <w:t>16</w:t>
      </w:r>
      <w:proofErr w:type="gramEnd"/>
      <w:r>
        <w:rPr>
          <w:spacing w:val="-5"/>
        </w:rPr>
        <w:t xml:space="preserve"> </w:t>
      </w:r>
      <w:r>
        <w:t>submissions</w:t>
      </w:r>
      <w:r>
        <w:rPr>
          <w:spacing w:val="-5"/>
        </w:rPr>
        <w:t xml:space="preserve"> </w:t>
      </w:r>
      <w:r>
        <w:t>and 16 stakeholder consultations during this financial year.</w:t>
      </w:r>
    </w:p>
    <w:p w14:paraId="0045A261" w14:textId="77777777" w:rsidR="00AC6F3C" w:rsidRDefault="00AC6F3C">
      <w:pPr>
        <w:pStyle w:val="BodyText"/>
        <w:spacing w:before="8"/>
        <w:rPr>
          <w:sz w:val="22"/>
        </w:rPr>
      </w:pPr>
    </w:p>
    <w:p w14:paraId="0A730C01" w14:textId="77777777" w:rsidR="00AC6F3C" w:rsidRDefault="00570E88">
      <w:pPr>
        <w:pStyle w:val="Heading9"/>
        <w:spacing w:before="1"/>
      </w:pPr>
      <w:r>
        <w:t>PIPOLA</w:t>
      </w:r>
      <w:r>
        <w:rPr>
          <w:spacing w:val="-12"/>
        </w:rPr>
        <w:t xml:space="preserve"> </w:t>
      </w:r>
      <w:r>
        <w:t>and</w:t>
      </w:r>
      <w:r>
        <w:rPr>
          <w:spacing w:val="-4"/>
        </w:rPr>
        <w:t xml:space="preserve"> </w:t>
      </w:r>
      <w:r>
        <w:t>claims</w:t>
      </w:r>
      <w:r>
        <w:rPr>
          <w:spacing w:val="-3"/>
        </w:rPr>
        <w:t xml:space="preserve"> </w:t>
      </w:r>
      <w:r>
        <w:rPr>
          <w:spacing w:val="-2"/>
        </w:rPr>
        <w:t>farming</w:t>
      </w:r>
    </w:p>
    <w:p w14:paraId="7AA02EA5" w14:textId="77777777" w:rsidR="00AC6F3C" w:rsidRDefault="00570E88">
      <w:pPr>
        <w:pStyle w:val="ListParagraph"/>
        <w:numPr>
          <w:ilvl w:val="0"/>
          <w:numId w:val="58"/>
        </w:numPr>
        <w:tabs>
          <w:tab w:val="left" w:pos="1155"/>
        </w:tabs>
        <w:spacing w:before="175" w:line="249" w:lineRule="auto"/>
        <w:ind w:right="113"/>
        <w:rPr>
          <w:sz w:val="20"/>
        </w:rPr>
      </w:pPr>
      <w:r>
        <w:rPr>
          <w:sz w:val="20"/>
        </w:rPr>
        <w:t>Contributed to the QLS Personal Injuries Law Conference held on 1 September 2022, assisting with programming suggestions and participating in panel sessions, including a session on contemporary topics and practical legal ethics, and a panel discussion in relation to the new claim farming laws introduced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i/>
          <w:sz w:val="20"/>
        </w:rPr>
        <w:t>Personal</w:t>
      </w:r>
      <w:r>
        <w:rPr>
          <w:i/>
          <w:spacing w:val="-4"/>
          <w:sz w:val="20"/>
        </w:rPr>
        <w:t xml:space="preserve"> </w:t>
      </w:r>
      <w:r>
        <w:rPr>
          <w:i/>
          <w:sz w:val="20"/>
        </w:rPr>
        <w:t>Injuries</w:t>
      </w:r>
      <w:r>
        <w:rPr>
          <w:i/>
          <w:spacing w:val="-4"/>
          <w:sz w:val="20"/>
        </w:rPr>
        <w:t xml:space="preserve"> </w:t>
      </w:r>
      <w:r>
        <w:rPr>
          <w:i/>
          <w:sz w:val="20"/>
        </w:rPr>
        <w:t>Proceedings</w:t>
      </w:r>
      <w:r>
        <w:rPr>
          <w:i/>
          <w:spacing w:val="-4"/>
          <w:sz w:val="20"/>
        </w:rPr>
        <w:t xml:space="preserve"> </w:t>
      </w:r>
      <w:r>
        <w:rPr>
          <w:i/>
          <w:sz w:val="20"/>
        </w:rPr>
        <w:t>and</w:t>
      </w:r>
      <w:r>
        <w:rPr>
          <w:i/>
          <w:spacing w:val="-4"/>
          <w:sz w:val="20"/>
        </w:rPr>
        <w:t xml:space="preserve"> </w:t>
      </w:r>
      <w:r>
        <w:rPr>
          <w:i/>
          <w:sz w:val="20"/>
        </w:rPr>
        <w:t>Other</w:t>
      </w:r>
      <w:r>
        <w:rPr>
          <w:i/>
          <w:spacing w:val="-4"/>
          <w:sz w:val="20"/>
        </w:rPr>
        <w:t xml:space="preserve"> </w:t>
      </w:r>
      <w:r>
        <w:rPr>
          <w:i/>
          <w:sz w:val="20"/>
        </w:rPr>
        <w:t>Legislation</w:t>
      </w:r>
      <w:r>
        <w:rPr>
          <w:i/>
          <w:spacing w:val="-11"/>
          <w:sz w:val="20"/>
        </w:rPr>
        <w:t xml:space="preserve"> </w:t>
      </w:r>
      <w:r>
        <w:rPr>
          <w:i/>
          <w:sz w:val="20"/>
        </w:rPr>
        <w:t>Amendment</w:t>
      </w:r>
      <w:r>
        <w:rPr>
          <w:i/>
          <w:spacing w:val="-12"/>
          <w:sz w:val="20"/>
        </w:rPr>
        <w:t xml:space="preserve"> </w:t>
      </w:r>
      <w:r>
        <w:rPr>
          <w:i/>
          <w:sz w:val="20"/>
        </w:rPr>
        <w:t>Act</w:t>
      </w:r>
      <w:r>
        <w:rPr>
          <w:i/>
          <w:spacing w:val="-4"/>
          <w:sz w:val="20"/>
        </w:rPr>
        <w:t xml:space="preserve"> </w:t>
      </w:r>
      <w:r>
        <w:rPr>
          <w:i/>
          <w:sz w:val="20"/>
        </w:rPr>
        <w:t>2022</w:t>
      </w:r>
      <w:r>
        <w:rPr>
          <w:i/>
          <w:spacing w:val="-4"/>
          <w:sz w:val="20"/>
        </w:rPr>
        <w:t xml:space="preserve"> </w:t>
      </w:r>
      <w:r>
        <w:rPr>
          <w:sz w:val="20"/>
        </w:rPr>
        <w:t xml:space="preserve">(PIPOLA) in respect of worker’s compensation and </w:t>
      </w:r>
      <w:r>
        <w:rPr>
          <w:i/>
          <w:sz w:val="20"/>
        </w:rPr>
        <w:t>Personal Injuries Proceedings</w:t>
      </w:r>
      <w:r>
        <w:rPr>
          <w:i/>
          <w:spacing w:val="-3"/>
          <w:sz w:val="20"/>
        </w:rPr>
        <w:t xml:space="preserve"> </w:t>
      </w:r>
      <w:r>
        <w:rPr>
          <w:i/>
          <w:sz w:val="20"/>
        </w:rPr>
        <w:t xml:space="preserve">Act 2002 </w:t>
      </w:r>
      <w:r>
        <w:rPr>
          <w:sz w:val="20"/>
        </w:rPr>
        <w:t>claims (laws having commenced in respect of CTP claims in 2019).</w:t>
      </w:r>
    </w:p>
    <w:p w14:paraId="6E2A6591" w14:textId="77777777" w:rsidR="00AC6F3C" w:rsidRDefault="00570E88">
      <w:pPr>
        <w:pStyle w:val="ListParagraph"/>
        <w:numPr>
          <w:ilvl w:val="0"/>
          <w:numId w:val="58"/>
        </w:numPr>
        <w:tabs>
          <w:tab w:val="left" w:pos="1155"/>
        </w:tabs>
        <w:spacing w:before="175"/>
        <w:ind w:hanging="340"/>
        <w:rPr>
          <w:sz w:val="20"/>
        </w:rPr>
      </w:pPr>
      <w:r>
        <w:rPr>
          <w:sz w:val="20"/>
        </w:rPr>
        <w:t>Continued</w:t>
      </w:r>
      <w:r>
        <w:rPr>
          <w:spacing w:val="-6"/>
          <w:sz w:val="20"/>
        </w:rPr>
        <w:t xml:space="preserve"> </w:t>
      </w:r>
      <w:r>
        <w:rPr>
          <w:sz w:val="20"/>
        </w:rPr>
        <w:t>to</w:t>
      </w:r>
      <w:r>
        <w:rPr>
          <w:spacing w:val="-4"/>
          <w:sz w:val="20"/>
        </w:rPr>
        <w:t xml:space="preserve"> </w:t>
      </w:r>
      <w:r>
        <w:rPr>
          <w:sz w:val="20"/>
        </w:rPr>
        <w:t>monitor</w:t>
      </w:r>
      <w:r>
        <w:rPr>
          <w:spacing w:val="-3"/>
          <w:sz w:val="20"/>
        </w:rPr>
        <w:t xml:space="preserve"> </w:t>
      </w:r>
      <w:r>
        <w:rPr>
          <w:sz w:val="20"/>
        </w:rPr>
        <w:t>developments,</w:t>
      </w:r>
      <w:r>
        <w:rPr>
          <w:spacing w:val="-4"/>
          <w:sz w:val="20"/>
        </w:rPr>
        <w:t xml:space="preserve"> </w:t>
      </w:r>
      <w:proofErr w:type="gramStart"/>
      <w:r>
        <w:rPr>
          <w:sz w:val="20"/>
        </w:rPr>
        <w:t>liaise</w:t>
      </w:r>
      <w:proofErr w:type="gramEnd"/>
      <w:r>
        <w:rPr>
          <w:spacing w:val="-4"/>
          <w:sz w:val="20"/>
        </w:rPr>
        <w:t xml:space="preserve"> </w:t>
      </w:r>
      <w:r>
        <w:rPr>
          <w:sz w:val="20"/>
        </w:rPr>
        <w:t>with</w:t>
      </w:r>
      <w:r>
        <w:rPr>
          <w:spacing w:val="-3"/>
          <w:sz w:val="20"/>
        </w:rPr>
        <w:t xml:space="preserve"> </w:t>
      </w:r>
      <w:r>
        <w:rPr>
          <w:sz w:val="20"/>
        </w:rPr>
        <w:t>stakeholders</w:t>
      </w:r>
      <w:r>
        <w:rPr>
          <w:spacing w:val="-4"/>
          <w:sz w:val="20"/>
        </w:rPr>
        <w:t xml:space="preserve"> </w:t>
      </w:r>
      <w:r>
        <w:rPr>
          <w:sz w:val="20"/>
        </w:rPr>
        <w:t>and</w:t>
      </w:r>
      <w:r>
        <w:rPr>
          <w:spacing w:val="-4"/>
          <w:sz w:val="20"/>
        </w:rPr>
        <w:t xml:space="preserve"> </w:t>
      </w:r>
      <w:r>
        <w:rPr>
          <w:sz w:val="20"/>
        </w:rPr>
        <w:t>disseminate</w:t>
      </w:r>
      <w:r>
        <w:rPr>
          <w:spacing w:val="-3"/>
          <w:sz w:val="20"/>
        </w:rPr>
        <w:t xml:space="preserve"> </w:t>
      </w:r>
      <w:r>
        <w:rPr>
          <w:sz w:val="20"/>
        </w:rPr>
        <w:t>information</w:t>
      </w:r>
      <w:r>
        <w:rPr>
          <w:spacing w:val="-4"/>
          <w:sz w:val="20"/>
        </w:rPr>
        <w:t xml:space="preserve"> </w:t>
      </w:r>
      <w:r>
        <w:rPr>
          <w:sz w:val="20"/>
        </w:rPr>
        <w:t>to</w:t>
      </w:r>
      <w:r>
        <w:rPr>
          <w:spacing w:val="-3"/>
          <w:sz w:val="20"/>
        </w:rPr>
        <w:t xml:space="preserve"> </w:t>
      </w:r>
      <w:r>
        <w:rPr>
          <w:spacing w:val="-5"/>
          <w:sz w:val="20"/>
        </w:rPr>
        <w:t>the</w:t>
      </w:r>
    </w:p>
    <w:p w14:paraId="6B87637C" w14:textId="77777777" w:rsidR="00AC6F3C" w:rsidRDefault="00570E88">
      <w:pPr>
        <w:pStyle w:val="BodyText"/>
        <w:spacing w:before="10"/>
        <w:ind w:left="1155"/>
      </w:pPr>
      <w:r>
        <w:t>profession</w:t>
      </w:r>
      <w:r>
        <w:rPr>
          <w:spacing w:val="-7"/>
        </w:rPr>
        <w:t xml:space="preserve"> </w:t>
      </w:r>
      <w:r>
        <w:t>regarding</w:t>
      </w:r>
      <w:r>
        <w:rPr>
          <w:spacing w:val="-5"/>
        </w:rPr>
        <w:t xml:space="preserve"> </w:t>
      </w:r>
      <w:r>
        <w:t>recent</w:t>
      </w:r>
      <w:r>
        <w:rPr>
          <w:spacing w:val="-4"/>
        </w:rPr>
        <w:t xml:space="preserve"> </w:t>
      </w:r>
      <w:r>
        <w:t>claim</w:t>
      </w:r>
      <w:r>
        <w:rPr>
          <w:spacing w:val="-5"/>
        </w:rPr>
        <w:t xml:space="preserve"> </w:t>
      </w:r>
      <w:r>
        <w:t>farming</w:t>
      </w:r>
      <w:r>
        <w:rPr>
          <w:spacing w:val="-4"/>
        </w:rPr>
        <w:t xml:space="preserve"> </w:t>
      </w:r>
      <w:r>
        <w:rPr>
          <w:spacing w:val="-2"/>
        </w:rPr>
        <w:t>reforms.</w:t>
      </w:r>
    </w:p>
    <w:p w14:paraId="440076F8" w14:textId="77777777" w:rsidR="00AC6F3C" w:rsidRDefault="00AC6F3C">
      <w:pPr>
        <w:pStyle w:val="BodyText"/>
        <w:spacing w:before="6"/>
        <w:rPr>
          <w:sz w:val="23"/>
        </w:rPr>
      </w:pPr>
    </w:p>
    <w:p w14:paraId="60E0E9B9" w14:textId="77777777" w:rsidR="00AC6F3C" w:rsidRDefault="00570E88">
      <w:pPr>
        <w:pStyle w:val="Heading9"/>
      </w:pPr>
      <w:r>
        <w:t>ATO</w:t>
      </w:r>
      <w:r>
        <w:rPr>
          <w:spacing w:val="-6"/>
        </w:rPr>
        <w:t xml:space="preserve"> </w:t>
      </w:r>
      <w:r>
        <w:t>and</w:t>
      </w:r>
      <w:r>
        <w:rPr>
          <w:spacing w:val="-6"/>
        </w:rPr>
        <w:t xml:space="preserve"> </w:t>
      </w:r>
      <w:r>
        <w:t>client</w:t>
      </w:r>
      <w:r>
        <w:rPr>
          <w:spacing w:val="-6"/>
        </w:rPr>
        <w:t xml:space="preserve"> </w:t>
      </w:r>
      <w:r>
        <w:t>tax</w:t>
      </w:r>
      <w:r>
        <w:rPr>
          <w:spacing w:val="-5"/>
        </w:rPr>
        <w:t xml:space="preserve"> </w:t>
      </w:r>
      <w:r>
        <w:rPr>
          <w:spacing w:val="-2"/>
        </w:rPr>
        <w:t>documents</w:t>
      </w:r>
    </w:p>
    <w:p w14:paraId="2F73520C" w14:textId="77777777" w:rsidR="00AC6F3C" w:rsidRDefault="00570E88">
      <w:pPr>
        <w:pStyle w:val="ListParagraph"/>
        <w:numPr>
          <w:ilvl w:val="0"/>
          <w:numId w:val="58"/>
        </w:numPr>
        <w:tabs>
          <w:tab w:val="left" w:pos="1155"/>
        </w:tabs>
        <w:spacing w:before="176" w:line="249" w:lineRule="auto"/>
        <w:ind w:right="219"/>
        <w:rPr>
          <w:sz w:val="20"/>
        </w:rPr>
      </w:pPr>
      <w:proofErr w:type="gramStart"/>
      <w:r>
        <w:rPr>
          <w:sz w:val="20"/>
        </w:rPr>
        <w:t>Liaised</w:t>
      </w:r>
      <w:proofErr w:type="gramEnd"/>
      <w:r>
        <w:rPr>
          <w:sz w:val="20"/>
        </w:rPr>
        <w:t xml:space="preserve"> with the</w:t>
      </w:r>
      <w:r>
        <w:rPr>
          <w:spacing w:val="-6"/>
          <w:sz w:val="20"/>
        </w:rPr>
        <w:t xml:space="preserve"> </w:t>
      </w:r>
      <w:r>
        <w:rPr>
          <w:sz w:val="20"/>
        </w:rPr>
        <w:t>ATO regarding access to client tax documents for the purpose of compensation claims,</w:t>
      </w:r>
      <w:r>
        <w:rPr>
          <w:spacing w:val="-5"/>
          <w:sz w:val="20"/>
        </w:rPr>
        <w:t xml:space="preserve"> </w:t>
      </w:r>
      <w:r>
        <w:rPr>
          <w:sz w:val="20"/>
        </w:rPr>
        <w:t>following</w:t>
      </w:r>
      <w:r>
        <w:rPr>
          <w:spacing w:val="-5"/>
          <w:sz w:val="20"/>
        </w:rPr>
        <w:t xml:space="preserve"> </w:t>
      </w:r>
      <w:r>
        <w:rPr>
          <w:sz w:val="20"/>
        </w:rPr>
        <w:t>member</w:t>
      </w:r>
      <w:r>
        <w:rPr>
          <w:spacing w:val="-5"/>
          <w:sz w:val="20"/>
        </w:rPr>
        <w:t xml:space="preserve"> </w:t>
      </w:r>
      <w:r>
        <w:rPr>
          <w:sz w:val="20"/>
        </w:rPr>
        <w:t>concerns</w:t>
      </w:r>
      <w:r>
        <w:rPr>
          <w:spacing w:val="-5"/>
          <w:sz w:val="20"/>
        </w:rPr>
        <w:t xml:space="preserve"> </w:t>
      </w:r>
      <w:r>
        <w:rPr>
          <w:sz w:val="20"/>
        </w:rPr>
        <w:t>that</w:t>
      </w:r>
      <w:r>
        <w:rPr>
          <w:spacing w:val="-5"/>
          <w:sz w:val="20"/>
        </w:rPr>
        <w:t xml:space="preserve"> </w:t>
      </w:r>
      <w:r>
        <w:rPr>
          <w:sz w:val="20"/>
        </w:rPr>
        <w:t>the</w:t>
      </w:r>
      <w:r>
        <w:rPr>
          <w:spacing w:val="-14"/>
          <w:sz w:val="20"/>
        </w:rPr>
        <w:t xml:space="preserve"> </w:t>
      </w:r>
      <w:r>
        <w:rPr>
          <w:sz w:val="20"/>
        </w:rPr>
        <w:t>ATO</w:t>
      </w:r>
      <w:r>
        <w:rPr>
          <w:spacing w:val="-5"/>
          <w:sz w:val="20"/>
        </w:rPr>
        <w:t xml:space="preserve"> </w:t>
      </w:r>
      <w:r>
        <w:rPr>
          <w:sz w:val="20"/>
        </w:rPr>
        <w:t>requires</w:t>
      </w:r>
      <w:r>
        <w:rPr>
          <w:spacing w:val="-5"/>
          <w:sz w:val="20"/>
        </w:rPr>
        <w:t xml:space="preserve"> </w:t>
      </w:r>
      <w:r>
        <w:rPr>
          <w:sz w:val="20"/>
        </w:rPr>
        <w:t>confirmation</w:t>
      </w:r>
      <w:r>
        <w:rPr>
          <w:spacing w:val="-5"/>
          <w:sz w:val="20"/>
        </w:rPr>
        <w:t xml:space="preserve"> </w:t>
      </w:r>
      <w:r>
        <w:rPr>
          <w:sz w:val="20"/>
        </w:rPr>
        <w:t>that</w:t>
      </w:r>
      <w:r>
        <w:rPr>
          <w:spacing w:val="-5"/>
          <w:sz w:val="20"/>
        </w:rPr>
        <w:t xml:space="preserve"> </w:t>
      </w:r>
      <w:r>
        <w:rPr>
          <w:sz w:val="20"/>
        </w:rPr>
        <w:t>practitioners</w:t>
      </w:r>
      <w:r>
        <w:rPr>
          <w:spacing w:val="-5"/>
          <w:sz w:val="20"/>
        </w:rPr>
        <w:t xml:space="preserve"> </w:t>
      </w:r>
      <w:r>
        <w:rPr>
          <w:sz w:val="20"/>
        </w:rPr>
        <w:t>are</w:t>
      </w:r>
      <w:r>
        <w:rPr>
          <w:spacing w:val="-5"/>
          <w:sz w:val="20"/>
        </w:rPr>
        <w:t xml:space="preserve"> </w:t>
      </w:r>
      <w:r>
        <w:rPr>
          <w:sz w:val="20"/>
        </w:rPr>
        <w:t>‘advising in relation to one or more taxation laws’ before releasing documents.</w:t>
      </w:r>
    </w:p>
    <w:p w14:paraId="761F6927" w14:textId="77777777" w:rsidR="00AC6F3C" w:rsidRDefault="00570E88">
      <w:pPr>
        <w:pStyle w:val="ListParagraph"/>
        <w:numPr>
          <w:ilvl w:val="0"/>
          <w:numId w:val="58"/>
        </w:numPr>
        <w:tabs>
          <w:tab w:val="left" w:pos="1155"/>
        </w:tabs>
        <w:spacing w:before="173" w:line="249" w:lineRule="auto"/>
        <w:ind w:right="564"/>
        <w:rPr>
          <w:sz w:val="20"/>
        </w:rPr>
      </w:pPr>
      <w:r>
        <w:rPr>
          <w:sz w:val="20"/>
        </w:rPr>
        <w:t>Prepared</w:t>
      </w:r>
      <w:r>
        <w:rPr>
          <w:spacing w:val="-4"/>
          <w:sz w:val="20"/>
        </w:rPr>
        <w:t xml:space="preserve"> </w:t>
      </w:r>
      <w:r>
        <w:rPr>
          <w:sz w:val="20"/>
        </w:rPr>
        <w:t>correspondence</w:t>
      </w:r>
      <w:r>
        <w:rPr>
          <w:spacing w:val="-4"/>
          <w:sz w:val="20"/>
        </w:rPr>
        <w:t xml:space="preserve"> </w:t>
      </w:r>
      <w:r>
        <w:rPr>
          <w:sz w:val="20"/>
        </w:rPr>
        <w:t>sent</w:t>
      </w:r>
      <w:r>
        <w:rPr>
          <w:spacing w:val="-4"/>
          <w:sz w:val="20"/>
        </w:rPr>
        <w:t xml:space="preserve"> </w:t>
      </w:r>
      <w:r>
        <w:rPr>
          <w:sz w:val="20"/>
        </w:rPr>
        <w:t>to</w:t>
      </w:r>
      <w:r>
        <w:rPr>
          <w:spacing w:val="-4"/>
          <w:sz w:val="20"/>
        </w:rPr>
        <w:t xml:space="preserve"> </w:t>
      </w:r>
      <w:r>
        <w:rPr>
          <w:sz w:val="20"/>
        </w:rPr>
        <w:t>the</w:t>
      </w:r>
      <w:r>
        <w:rPr>
          <w:spacing w:val="-14"/>
          <w:sz w:val="20"/>
        </w:rPr>
        <w:t xml:space="preserve"> </w:t>
      </w:r>
      <w:r>
        <w:rPr>
          <w:sz w:val="20"/>
        </w:rPr>
        <w:t>ATO</w:t>
      </w:r>
      <w:r>
        <w:rPr>
          <w:spacing w:val="-4"/>
          <w:sz w:val="20"/>
        </w:rPr>
        <w:t xml:space="preserve"> </w:t>
      </w:r>
      <w:r>
        <w:rPr>
          <w:sz w:val="20"/>
        </w:rPr>
        <w:t>in</w:t>
      </w:r>
      <w:r>
        <w:rPr>
          <w:spacing w:val="-4"/>
          <w:sz w:val="20"/>
        </w:rPr>
        <w:t xml:space="preserve"> </w:t>
      </w:r>
      <w:r>
        <w:rPr>
          <w:sz w:val="20"/>
        </w:rPr>
        <w:t>December</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ability</w:t>
      </w:r>
      <w:r>
        <w:rPr>
          <w:spacing w:val="-4"/>
          <w:sz w:val="20"/>
        </w:rPr>
        <w:t xml:space="preserve"> </w:t>
      </w:r>
      <w:r>
        <w:rPr>
          <w:sz w:val="20"/>
        </w:rPr>
        <w:t>of</w:t>
      </w:r>
      <w:r>
        <w:rPr>
          <w:spacing w:val="-4"/>
          <w:sz w:val="20"/>
        </w:rPr>
        <w:t xml:space="preserve"> </w:t>
      </w:r>
      <w:r>
        <w:rPr>
          <w:sz w:val="20"/>
        </w:rPr>
        <w:t>practitioners</w:t>
      </w:r>
      <w:r>
        <w:rPr>
          <w:spacing w:val="-4"/>
          <w:sz w:val="20"/>
        </w:rPr>
        <w:t xml:space="preserve"> </w:t>
      </w:r>
      <w:r>
        <w:rPr>
          <w:sz w:val="20"/>
        </w:rPr>
        <w:t>to obtain records on behalf of clients when they are not providing advice in relation to tax laws.</w:t>
      </w:r>
    </w:p>
    <w:p w14:paraId="2E11F25B" w14:textId="77777777" w:rsidR="00AC6F3C" w:rsidRDefault="00AC6F3C">
      <w:pPr>
        <w:pStyle w:val="BodyText"/>
        <w:spacing w:before="9"/>
        <w:rPr>
          <w:sz w:val="22"/>
        </w:rPr>
      </w:pPr>
    </w:p>
    <w:p w14:paraId="018B6A33" w14:textId="77777777" w:rsidR="00AC6F3C" w:rsidRDefault="00570E88">
      <w:pPr>
        <w:pStyle w:val="Heading9"/>
      </w:pPr>
      <w:r>
        <w:t>Medicare</w:t>
      </w:r>
      <w:r>
        <w:rPr>
          <w:spacing w:val="-5"/>
        </w:rPr>
        <w:t xml:space="preserve"> </w:t>
      </w:r>
      <w:r>
        <w:t>compensation</w:t>
      </w:r>
      <w:r>
        <w:rPr>
          <w:spacing w:val="-5"/>
        </w:rPr>
        <w:t xml:space="preserve"> </w:t>
      </w:r>
      <w:r>
        <w:t>recovery</w:t>
      </w:r>
      <w:r>
        <w:rPr>
          <w:spacing w:val="-4"/>
        </w:rPr>
        <w:t xml:space="preserve"> </w:t>
      </w:r>
      <w:r>
        <w:rPr>
          <w:spacing w:val="-2"/>
        </w:rPr>
        <w:t>program</w:t>
      </w:r>
    </w:p>
    <w:p w14:paraId="5C75D189" w14:textId="77777777" w:rsidR="00AC6F3C" w:rsidRDefault="00570E88">
      <w:pPr>
        <w:pStyle w:val="ListParagraph"/>
        <w:numPr>
          <w:ilvl w:val="0"/>
          <w:numId w:val="58"/>
        </w:numPr>
        <w:tabs>
          <w:tab w:val="left" w:pos="1155"/>
        </w:tabs>
        <w:spacing w:before="176" w:line="249" w:lineRule="auto"/>
        <w:ind w:right="326"/>
        <w:rPr>
          <w:sz w:val="20"/>
        </w:rPr>
      </w:pPr>
      <w:r>
        <w:rPr>
          <w:sz w:val="20"/>
        </w:rPr>
        <w:t>Provided</w:t>
      </w:r>
      <w:r>
        <w:rPr>
          <w:spacing w:val="-3"/>
          <w:sz w:val="20"/>
        </w:rPr>
        <w:t xml:space="preserve"> </w:t>
      </w:r>
      <w:r>
        <w:rPr>
          <w:sz w:val="20"/>
        </w:rPr>
        <w:t>input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regarding</w:t>
      </w:r>
      <w:r>
        <w:rPr>
          <w:spacing w:val="-3"/>
          <w:sz w:val="20"/>
        </w:rPr>
        <w:t xml:space="preserve"> </w:t>
      </w:r>
      <w:r>
        <w:rPr>
          <w:sz w:val="20"/>
        </w:rPr>
        <w:t>Services</w:t>
      </w:r>
      <w:r>
        <w:rPr>
          <w:spacing w:val="-14"/>
          <w:sz w:val="20"/>
        </w:rPr>
        <w:t xml:space="preserve"> </w:t>
      </w:r>
      <w:r>
        <w:rPr>
          <w:sz w:val="20"/>
        </w:rPr>
        <w:t>Australia’s</w:t>
      </w:r>
      <w:r>
        <w:rPr>
          <w:spacing w:val="-3"/>
          <w:sz w:val="20"/>
        </w:rPr>
        <w:t xml:space="preserve"> </w:t>
      </w:r>
      <w:r>
        <w:rPr>
          <w:sz w:val="20"/>
        </w:rPr>
        <w:t>proposed</w:t>
      </w:r>
      <w:r>
        <w:rPr>
          <w:spacing w:val="-3"/>
          <w:sz w:val="20"/>
        </w:rPr>
        <w:t xml:space="preserve"> </w:t>
      </w:r>
      <w:r>
        <w:rPr>
          <w:sz w:val="20"/>
        </w:rPr>
        <w:t>changes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Medicare compensation recovery program, arguing that Medicare’s approach is flawed and that its proposed publications are not helpful, and regarding Treasury’s consultation on access to offenders’ superannuation for victims and survivors of sexual abuse.</w:t>
      </w:r>
    </w:p>
    <w:p w14:paraId="2EF458A7" w14:textId="77777777" w:rsidR="00AC6F3C" w:rsidRDefault="00AC6F3C">
      <w:pPr>
        <w:pStyle w:val="BodyText"/>
        <w:spacing w:before="10"/>
        <w:rPr>
          <w:sz w:val="22"/>
        </w:rPr>
      </w:pPr>
    </w:p>
    <w:p w14:paraId="6EF9C27A" w14:textId="77777777" w:rsidR="00AC6F3C" w:rsidRDefault="00570E88">
      <w:pPr>
        <w:pStyle w:val="Heading9"/>
      </w:pPr>
      <w:r>
        <w:t>5-year</w:t>
      </w:r>
      <w:r>
        <w:rPr>
          <w:spacing w:val="-2"/>
        </w:rPr>
        <w:t xml:space="preserve"> </w:t>
      </w:r>
      <w:r>
        <w:t>review</w:t>
      </w:r>
      <w:r>
        <w:rPr>
          <w:spacing w:val="-1"/>
        </w:rPr>
        <w:t xml:space="preserve"> </w:t>
      </w:r>
      <w:r>
        <w:t>of</w:t>
      </w:r>
      <w:r>
        <w:rPr>
          <w:spacing w:val="-1"/>
        </w:rPr>
        <w:t xml:space="preserve"> </w:t>
      </w:r>
      <w:r>
        <w:t>the</w:t>
      </w:r>
      <w:r>
        <w:rPr>
          <w:spacing w:val="-1"/>
        </w:rPr>
        <w:t xml:space="preserve"> </w:t>
      </w:r>
      <w:r>
        <w:t>workers’</w:t>
      </w:r>
      <w:r>
        <w:rPr>
          <w:spacing w:val="-13"/>
        </w:rPr>
        <w:t xml:space="preserve"> </w:t>
      </w:r>
      <w:r>
        <w:t>compensation</w:t>
      </w:r>
      <w:r>
        <w:rPr>
          <w:spacing w:val="-1"/>
        </w:rPr>
        <w:t xml:space="preserve"> </w:t>
      </w:r>
      <w:r>
        <w:rPr>
          <w:spacing w:val="-2"/>
        </w:rPr>
        <w:t>scheme</w:t>
      </w:r>
    </w:p>
    <w:p w14:paraId="7EA6AAEB" w14:textId="77777777" w:rsidR="00AC6F3C" w:rsidRDefault="00570E88">
      <w:pPr>
        <w:pStyle w:val="ListParagraph"/>
        <w:numPr>
          <w:ilvl w:val="0"/>
          <w:numId w:val="58"/>
        </w:numPr>
        <w:tabs>
          <w:tab w:val="left" w:pos="1155"/>
        </w:tabs>
        <w:spacing w:before="176" w:line="249" w:lineRule="auto"/>
        <w:ind w:right="661"/>
        <w:rPr>
          <w:sz w:val="20"/>
        </w:rPr>
      </w:pPr>
      <w:r>
        <w:rPr>
          <w:sz w:val="20"/>
        </w:rPr>
        <w:t>Prepared a submission to the 5-year review of the workers’</w:t>
      </w:r>
      <w:r>
        <w:rPr>
          <w:spacing w:val="-4"/>
          <w:sz w:val="20"/>
        </w:rPr>
        <w:t xml:space="preserve"> </w:t>
      </w:r>
      <w:r>
        <w:rPr>
          <w:sz w:val="20"/>
        </w:rPr>
        <w:t>compensation scheme, highlighting difficulties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management</w:t>
      </w:r>
      <w:r>
        <w:rPr>
          <w:spacing w:val="-4"/>
          <w:sz w:val="20"/>
        </w:rPr>
        <w:t xml:space="preserve"> </w:t>
      </w:r>
      <w:r>
        <w:rPr>
          <w:sz w:val="20"/>
        </w:rPr>
        <w:t>of</w:t>
      </w:r>
      <w:r>
        <w:rPr>
          <w:spacing w:val="-4"/>
          <w:sz w:val="20"/>
        </w:rPr>
        <w:t xml:space="preserve"> </w:t>
      </w:r>
      <w:r>
        <w:rPr>
          <w:sz w:val="20"/>
        </w:rPr>
        <w:t>primary</w:t>
      </w:r>
      <w:r>
        <w:rPr>
          <w:spacing w:val="-4"/>
          <w:sz w:val="20"/>
        </w:rPr>
        <w:t xml:space="preserve"> </w:t>
      </w:r>
      <w:r>
        <w:rPr>
          <w:sz w:val="20"/>
        </w:rPr>
        <w:t>and</w:t>
      </w:r>
      <w:r>
        <w:rPr>
          <w:spacing w:val="-4"/>
          <w:sz w:val="20"/>
        </w:rPr>
        <w:t xml:space="preserve"> </w:t>
      </w:r>
      <w:r>
        <w:rPr>
          <w:sz w:val="20"/>
        </w:rPr>
        <w:t>secondary</w:t>
      </w:r>
      <w:r>
        <w:rPr>
          <w:spacing w:val="-4"/>
          <w:sz w:val="20"/>
        </w:rPr>
        <w:t xml:space="preserve"> </w:t>
      </w:r>
      <w:r>
        <w:rPr>
          <w:sz w:val="20"/>
        </w:rPr>
        <w:t>psychological</w:t>
      </w:r>
      <w:r>
        <w:rPr>
          <w:spacing w:val="-4"/>
          <w:sz w:val="20"/>
        </w:rPr>
        <w:t xml:space="preserve"> </w:t>
      </w:r>
      <w:r>
        <w:rPr>
          <w:sz w:val="20"/>
        </w:rPr>
        <w:t>injury</w:t>
      </w:r>
      <w:r>
        <w:rPr>
          <w:spacing w:val="-4"/>
          <w:sz w:val="20"/>
        </w:rPr>
        <w:t xml:space="preserve"> </w:t>
      </w:r>
      <w:r>
        <w:rPr>
          <w:sz w:val="20"/>
        </w:rPr>
        <w:t>claims,</w:t>
      </w:r>
      <w:r>
        <w:rPr>
          <w:spacing w:val="-4"/>
          <w:sz w:val="20"/>
        </w:rPr>
        <w:t xml:space="preserve"> </w:t>
      </w:r>
      <w:r>
        <w:rPr>
          <w:sz w:val="20"/>
        </w:rPr>
        <w:t>delays</w:t>
      </w:r>
      <w:r>
        <w:rPr>
          <w:spacing w:val="-4"/>
          <w:sz w:val="20"/>
        </w:rPr>
        <w:t xml:space="preserve"> </w:t>
      </w:r>
      <w:r>
        <w:rPr>
          <w:sz w:val="20"/>
        </w:rPr>
        <w:t>with the Medical</w:t>
      </w:r>
      <w:r>
        <w:rPr>
          <w:spacing w:val="-4"/>
          <w:sz w:val="20"/>
        </w:rPr>
        <w:t xml:space="preserve"> </w:t>
      </w:r>
      <w:r>
        <w:rPr>
          <w:sz w:val="20"/>
        </w:rPr>
        <w:t xml:space="preserve">Assessment Tribunal and lack of regulator action to prosecute sham contracting arrangements. Nonetheless, QLS considers that the scheme </w:t>
      </w:r>
      <w:proofErr w:type="gramStart"/>
      <w:r>
        <w:rPr>
          <w:sz w:val="20"/>
        </w:rPr>
        <w:t>as a whole is</w:t>
      </w:r>
      <w:proofErr w:type="gramEnd"/>
      <w:r>
        <w:rPr>
          <w:sz w:val="20"/>
        </w:rPr>
        <w:t xml:space="preserve"> meeting its goals.</w:t>
      </w:r>
    </w:p>
    <w:p w14:paraId="5AF7E916" w14:textId="77777777" w:rsidR="00AC6F3C" w:rsidRDefault="00AC6F3C">
      <w:pPr>
        <w:spacing w:line="249" w:lineRule="auto"/>
        <w:rPr>
          <w:sz w:val="20"/>
        </w:rPr>
        <w:sectPr w:rsidR="00AC6F3C">
          <w:headerReference w:type="default" r:id="rId70"/>
          <w:footerReference w:type="default" r:id="rId71"/>
          <w:pgSz w:w="11910" w:h="16840"/>
          <w:pgMar w:top="1140" w:right="1160" w:bottom="520" w:left="460" w:header="0" w:footer="336" w:gutter="0"/>
          <w:cols w:space="720"/>
        </w:sectPr>
      </w:pPr>
    </w:p>
    <w:p w14:paraId="73B5EA99" w14:textId="77777777" w:rsidR="00AC6F3C" w:rsidRDefault="00570E88">
      <w:pPr>
        <w:pStyle w:val="Heading9"/>
        <w:spacing w:before="71"/>
      </w:pPr>
      <w:r>
        <w:lastRenderedPageBreak/>
        <w:t>National</w:t>
      </w:r>
      <w:r>
        <w:rPr>
          <w:spacing w:val="-3"/>
        </w:rPr>
        <w:t xml:space="preserve"> </w:t>
      </w:r>
      <w:r>
        <w:t>Redress</w:t>
      </w:r>
      <w:r>
        <w:rPr>
          <w:spacing w:val="-3"/>
        </w:rPr>
        <w:t xml:space="preserve"> </w:t>
      </w:r>
      <w:r>
        <w:rPr>
          <w:spacing w:val="-2"/>
        </w:rPr>
        <w:t>Scheme</w:t>
      </w:r>
    </w:p>
    <w:p w14:paraId="24F5E838" w14:textId="77777777" w:rsidR="00AC6F3C" w:rsidRDefault="00570E88">
      <w:pPr>
        <w:pStyle w:val="ListParagraph"/>
        <w:numPr>
          <w:ilvl w:val="0"/>
          <w:numId w:val="58"/>
        </w:numPr>
        <w:tabs>
          <w:tab w:val="left" w:pos="1155"/>
        </w:tabs>
        <w:spacing w:before="176"/>
        <w:ind w:hanging="340"/>
        <w:rPr>
          <w:sz w:val="20"/>
        </w:rPr>
      </w:pPr>
      <w:r>
        <w:rPr>
          <w:sz w:val="20"/>
        </w:rPr>
        <w:t>Made</w:t>
      </w:r>
      <w:r>
        <w:rPr>
          <w:spacing w:val="-6"/>
          <w:sz w:val="20"/>
        </w:rPr>
        <w:t xml:space="preserve"> </w:t>
      </w:r>
      <w:r>
        <w:rPr>
          <w:sz w:val="20"/>
        </w:rPr>
        <w:t>a</w:t>
      </w:r>
      <w:r>
        <w:rPr>
          <w:spacing w:val="-4"/>
          <w:sz w:val="20"/>
        </w:rPr>
        <w:t xml:space="preserve"> </w:t>
      </w:r>
      <w:r>
        <w:rPr>
          <w:sz w:val="20"/>
        </w:rPr>
        <w:t>submission</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Law</w:t>
      </w:r>
      <w:r>
        <w:rPr>
          <w:spacing w:val="-4"/>
          <w:sz w:val="20"/>
        </w:rPr>
        <w:t xml:space="preserve"> </w:t>
      </w:r>
      <w:r>
        <w:rPr>
          <w:sz w:val="20"/>
        </w:rPr>
        <w:t>Council</w:t>
      </w:r>
      <w:r>
        <w:rPr>
          <w:spacing w:val="-3"/>
          <w:sz w:val="20"/>
        </w:rPr>
        <w:t xml:space="preserve"> </w:t>
      </w:r>
      <w:r>
        <w:rPr>
          <w:sz w:val="20"/>
        </w:rPr>
        <w:t>regarding</w:t>
      </w:r>
      <w:r>
        <w:rPr>
          <w:spacing w:val="-4"/>
          <w:sz w:val="20"/>
        </w:rPr>
        <w:t xml:space="preserve"> </w:t>
      </w:r>
      <w:r>
        <w:rPr>
          <w:sz w:val="20"/>
        </w:rPr>
        <w:t>the</w:t>
      </w:r>
      <w:r>
        <w:rPr>
          <w:spacing w:val="-4"/>
          <w:sz w:val="20"/>
        </w:rPr>
        <w:t xml:space="preserve"> </w:t>
      </w:r>
      <w:r>
        <w:rPr>
          <w:sz w:val="20"/>
        </w:rPr>
        <w:t>operation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National</w:t>
      </w:r>
      <w:r>
        <w:rPr>
          <w:spacing w:val="-4"/>
          <w:sz w:val="20"/>
        </w:rPr>
        <w:t xml:space="preserve"> </w:t>
      </w:r>
      <w:r>
        <w:rPr>
          <w:sz w:val="20"/>
        </w:rPr>
        <w:t>Redress</w:t>
      </w:r>
      <w:r>
        <w:rPr>
          <w:spacing w:val="-3"/>
          <w:sz w:val="20"/>
        </w:rPr>
        <w:t xml:space="preserve"> </w:t>
      </w:r>
      <w:r>
        <w:rPr>
          <w:spacing w:val="-2"/>
          <w:sz w:val="20"/>
        </w:rPr>
        <w:t>Scheme.</w:t>
      </w:r>
    </w:p>
    <w:p w14:paraId="08DA70E8" w14:textId="77777777" w:rsidR="00AC6F3C" w:rsidRDefault="00AC6F3C">
      <w:pPr>
        <w:pStyle w:val="BodyText"/>
        <w:spacing w:before="6"/>
        <w:rPr>
          <w:sz w:val="23"/>
        </w:rPr>
      </w:pPr>
    </w:p>
    <w:p w14:paraId="3F2A2F7A" w14:textId="77777777" w:rsidR="00AC6F3C" w:rsidRDefault="00570E88">
      <w:pPr>
        <w:pStyle w:val="Heading9"/>
      </w:pPr>
      <w:r>
        <w:t>Review</w:t>
      </w:r>
      <w:r>
        <w:rPr>
          <w:spacing w:val="-1"/>
        </w:rPr>
        <w:t xml:space="preserve"> </w:t>
      </w:r>
      <w:r>
        <w:t>of</w:t>
      </w:r>
      <w:r>
        <w:rPr>
          <w:spacing w:val="-1"/>
        </w:rPr>
        <w:t xml:space="preserve"> </w:t>
      </w:r>
      <w:r>
        <w:t>the CTP</w:t>
      </w:r>
      <w:r>
        <w:rPr>
          <w:spacing w:val="-4"/>
        </w:rPr>
        <w:t xml:space="preserve"> </w:t>
      </w:r>
      <w:r>
        <w:rPr>
          <w:spacing w:val="-2"/>
        </w:rPr>
        <w:t>Scheme</w:t>
      </w:r>
    </w:p>
    <w:p w14:paraId="506C21D4" w14:textId="77777777" w:rsidR="00AC6F3C" w:rsidRDefault="00570E88">
      <w:pPr>
        <w:pStyle w:val="ListParagraph"/>
        <w:numPr>
          <w:ilvl w:val="0"/>
          <w:numId w:val="58"/>
        </w:numPr>
        <w:tabs>
          <w:tab w:val="left" w:pos="1155"/>
        </w:tabs>
        <w:spacing w:before="176" w:line="249" w:lineRule="auto"/>
        <w:ind w:right="468"/>
        <w:rPr>
          <w:sz w:val="20"/>
        </w:rPr>
      </w:pPr>
      <w:r>
        <w:rPr>
          <w:sz w:val="20"/>
        </w:rPr>
        <w:t>Engaged with stakeholders and made a submission to the Motor</w:t>
      </w:r>
      <w:r>
        <w:rPr>
          <w:spacing w:val="-9"/>
          <w:sz w:val="20"/>
        </w:rPr>
        <w:t xml:space="preserve"> </w:t>
      </w:r>
      <w:r>
        <w:rPr>
          <w:sz w:val="20"/>
        </w:rPr>
        <w:t>Accident Insurance Commission regarding its review of the CTP scheme, arguing that substantial changes to the scheme design posed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consultation</w:t>
      </w:r>
      <w:r>
        <w:rPr>
          <w:spacing w:val="-4"/>
          <w:sz w:val="20"/>
        </w:rPr>
        <w:t xml:space="preserve"> </w:t>
      </w:r>
      <w:r>
        <w:rPr>
          <w:sz w:val="20"/>
        </w:rPr>
        <w:t>paper,</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instigating</w:t>
      </w:r>
      <w:r>
        <w:rPr>
          <w:spacing w:val="-4"/>
          <w:sz w:val="20"/>
        </w:rPr>
        <w:t xml:space="preserve"> </w:t>
      </w:r>
      <w:r>
        <w:rPr>
          <w:sz w:val="20"/>
        </w:rPr>
        <w:t>a</w:t>
      </w:r>
      <w:r>
        <w:rPr>
          <w:spacing w:val="-4"/>
          <w:sz w:val="20"/>
        </w:rPr>
        <w:t xml:space="preserve"> </w:t>
      </w:r>
      <w:r>
        <w:rPr>
          <w:sz w:val="20"/>
        </w:rPr>
        <w:t>premium</w:t>
      </w:r>
      <w:r>
        <w:rPr>
          <w:spacing w:val="-4"/>
          <w:sz w:val="20"/>
        </w:rPr>
        <w:t xml:space="preserve"> </w:t>
      </w:r>
      <w:proofErr w:type="spellStart"/>
      <w:r>
        <w:rPr>
          <w:sz w:val="20"/>
        </w:rPr>
        <w:t>equalisation</w:t>
      </w:r>
      <w:proofErr w:type="spellEnd"/>
      <w:r>
        <w:rPr>
          <w:spacing w:val="-4"/>
          <w:sz w:val="20"/>
        </w:rPr>
        <w:t xml:space="preserve"> </w:t>
      </w:r>
      <w:r>
        <w:rPr>
          <w:sz w:val="20"/>
        </w:rPr>
        <w:t>mechanism</w:t>
      </w:r>
      <w:r>
        <w:rPr>
          <w:spacing w:val="-4"/>
          <w:sz w:val="20"/>
        </w:rPr>
        <w:t xml:space="preserve"> </w:t>
      </w:r>
      <w:r>
        <w:rPr>
          <w:sz w:val="20"/>
        </w:rPr>
        <w:t>or</w:t>
      </w:r>
      <w:r>
        <w:rPr>
          <w:spacing w:val="-4"/>
          <w:sz w:val="20"/>
        </w:rPr>
        <w:t xml:space="preserve"> </w:t>
      </w:r>
      <w:r>
        <w:rPr>
          <w:sz w:val="20"/>
        </w:rPr>
        <w:t>moving to a public scheme, should not occur.</w:t>
      </w:r>
    </w:p>
    <w:p w14:paraId="5F5A98EE" w14:textId="77777777" w:rsidR="00AC6F3C" w:rsidRDefault="00AC6F3C">
      <w:pPr>
        <w:pStyle w:val="BodyText"/>
        <w:spacing w:before="2"/>
        <w:rPr>
          <w:sz w:val="31"/>
        </w:rPr>
      </w:pPr>
    </w:p>
    <w:p w14:paraId="31A9D746" w14:textId="77777777" w:rsidR="00AC6F3C" w:rsidRDefault="00570E88">
      <w:pPr>
        <w:spacing w:before="1"/>
        <w:ind w:left="815"/>
        <w:rPr>
          <w:b/>
          <w:sz w:val="26"/>
        </w:rPr>
      </w:pPr>
      <w:r>
        <w:rPr>
          <w:b/>
          <w:sz w:val="26"/>
        </w:rPr>
        <w:t>Banking</w:t>
      </w:r>
      <w:r>
        <w:rPr>
          <w:b/>
          <w:spacing w:val="-2"/>
          <w:sz w:val="26"/>
        </w:rPr>
        <w:t xml:space="preserve"> </w:t>
      </w:r>
      <w:r>
        <w:rPr>
          <w:b/>
          <w:sz w:val="26"/>
        </w:rPr>
        <w:t>and</w:t>
      </w:r>
      <w:r>
        <w:rPr>
          <w:b/>
          <w:spacing w:val="-1"/>
          <w:sz w:val="26"/>
        </w:rPr>
        <w:t xml:space="preserve"> </w:t>
      </w:r>
      <w:r>
        <w:rPr>
          <w:b/>
          <w:sz w:val="26"/>
        </w:rPr>
        <w:t>Financial</w:t>
      </w:r>
      <w:r>
        <w:rPr>
          <w:b/>
          <w:spacing w:val="-2"/>
          <w:sz w:val="26"/>
        </w:rPr>
        <w:t xml:space="preserve"> </w:t>
      </w:r>
      <w:r>
        <w:rPr>
          <w:b/>
          <w:sz w:val="26"/>
        </w:rPr>
        <w:t>Services</w:t>
      </w:r>
      <w:r>
        <w:rPr>
          <w:b/>
          <w:spacing w:val="-1"/>
          <w:sz w:val="26"/>
        </w:rPr>
        <w:t xml:space="preserve"> </w:t>
      </w:r>
      <w:r>
        <w:rPr>
          <w:b/>
          <w:sz w:val="26"/>
        </w:rPr>
        <w:t>Law</w:t>
      </w:r>
      <w:r>
        <w:rPr>
          <w:b/>
          <w:spacing w:val="-1"/>
          <w:sz w:val="26"/>
        </w:rPr>
        <w:t xml:space="preserve"> </w:t>
      </w:r>
      <w:r>
        <w:rPr>
          <w:b/>
          <w:spacing w:val="-2"/>
          <w:sz w:val="26"/>
        </w:rPr>
        <w:t>Committee</w:t>
      </w:r>
    </w:p>
    <w:p w14:paraId="5BB47916" w14:textId="77777777" w:rsidR="00AC6F3C" w:rsidRDefault="00570E88">
      <w:pPr>
        <w:pStyle w:val="BodyText"/>
        <w:spacing w:before="167"/>
        <w:ind w:left="815"/>
      </w:pPr>
      <w:r>
        <w:t>The</w:t>
      </w:r>
      <w:r>
        <w:rPr>
          <w:spacing w:val="-6"/>
        </w:rPr>
        <w:t xml:space="preserve"> </w:t>
      </w:r>
      <w:r>
        <w:t>Banking</w:t>
      </w:r>
      <w:r>
        <w:rPr>
          <w:spacing w:val="-4"/>
        </w:rPr>
        <w:t xml:space="preserve"> </w:t>
      </w:r>
      <w:r>
        <w:t>and</w:t>
      </w:r>
      <w:r>
        <w:rPr>
          <w:spacing w:val="-3"/>
        </w:rPr>
        <w:t xml:space="preserve"> </w:t>
      </w:r>
      <w:r>
        <w:t>Financial</w:t>
      </w:r>
      <w:r>
        <w:rPr>
          <w:spacing w:val="-4"/>
        </w:rPr>
        <w:t xml:space="preserve"> </w:t>
      </w:r>
      <w:r>
        <w:t>Services</w:t>
      </w:r>
      <w:r>
        <w:rPr>
          <w:spacing w:val="-4"/>
        </w:rPr>
        <w:t xml:space="preserve"> </w:t>
      </w:r>
      <w:r>
        <w:t>Law</w:t>
      </w:r>
      <w:r>
        <w:rPr>
          <w:spacing w:val="-3"/>
        </w:rPr>
        <w:t xml:space="preserve"> </w:t>
      </w:r>
      <w:r>
        <w:t>Committee</w:t>
      </w:r>
      <w:r>
        <w:rPr>
          <w:spacing w:val="-4"/>
        </w:rPr>
        <w:t xml:space="preserve"> </w:t>
      </w:r>
      <w:r>
        <w:t>contributed</w:t>
      </w:r>
      <w:r>
        <w:rPr>
          <w:spacing w:val="-3"/>
        </w:rPr>
        <w:t xml:space="preserve"> </w:t>
      </w:r>
      <w:r>
        <w:t>to</w:t>
      </w:r>
      <w:r>
        <w:rPr>
          <w:spacing w:val="-4"/>
        </w:rPr>
        <w:t xml:space="preserve"> </w:t>
      </w:r>
      <w:proofErr w:type="gramStart"/>
      <w:r>
        <w:t>7</w:t>
      </w:r>
      <w:proofErr w:type="gramEnd"/>
      <w:r>
        <w:rPr>
          <w:spacing w:val="-4"/>
        </w:rPr>
        <w:t xml:space="preserve"> </w:t>
      </w:r>
      <w:r>
        <w:t>submissions</w:t>
      </w:r>
      <w:r>
        <w:rPr>
          <w:spacing w:val="-3"/>
        </w:rPr>
        <w:t xml:space="preserve"> </w:t>
      </w:r>
      <w:r>
        <w:t>this</w:t>
      </w:r>
      <w:r>
        <w:rPr>
          <w:spacing w:val="-4"/>
        </w:rPr>
        <w:t xml:space="preserve"> </w:t>
      </w:r>
      <w:r>
        <w:t>financial</w:t>
      </w:r>
      <w:r>
        <w:rPr>
          <w:spacing w:val="-3"/>
        </w:rPr>
        <w:t xml:space="preserve"> </w:t>
      </w:r>
      <w:r>
        <w:rPr>
          <w:spacing w:val="-2"/>
        </w:rPr>
        <w:t>year.</w:t>
      </w:r>
    </w:p>
    <w:p w14:paraId="359626F8" w14:textId="77777777" w:rsidR="00AC6F3C" w:rsidRDefault="00570E88">
      <w:pPr>
        <w:pStyle w:val="ListParagraph"/>
        <w:numPr>
          <w:ilvl w:val="0"/>
          <w:numId w:val="58"/>
        </w:numPr>
        <w:tabs>
          <w:tab w:val="left" w:pos="1155"/>
        </w:tabs>
        <w:spacing w:line="249" w:lineRule="auto"/>
        <w:ind w:right="412"/>
        <w:rPr>
          <w:sz w:val="20"/>
        </w:rPr>
      </w:pPr>
      <w:r>
        <w:rPr>
          <w:sz w:val="20"/>
        </w:rPr>
        <w:t>Progressed updates to the independent solicitor’s certificates to better align with the approach taken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other</w:t>
      </w:r>
      <w:r>
        <w:rPr>
          <w:spacing w:val="-3"/>
          <w:sz w:val="20"/>
        </w:rPr>
        <w:t xml:space="preserve"> </w:t>
      </w:r>
      <w:r>
        <w:rPr>
          <w:sz w:val="20"/>
        </w:rPr>
        <w:t>states</w:t>
      </w:r>
      <w:r>
        <w:rPr>
          <w:spacing w:val="-3"/>
          <w:sz w:val="20"/>
        </w:rPr>
        <w:t xml:space="preserve"> </w:t>
      </w:r>
      <w:r>
        <w:rPr>
          <w:sz w:val="20"/>
        </w:rPr>
        <w:t>and</w:t>
      </w:r>
      <w:r>
        <w:rPr>
          <w:spacing w:val="-3"/>
          <w:sz w:val="20"/>
        </w:rPr>
        <w:t xml:space="preserve"> </w:t>
      </w:r>
      <w:r>
        <w:rPr>
          <w:sz w:val="20"/>
        </w:rPr>
        <w:t>is</w:t>
      </w:r>
      <w:r>
        <w:rPr>
          <w:spacing w:val="-3"/>
          <w:sz w:val="20"/>
        </w:rPr>
        <w:t xml:space="preserve"> </w:t>
      </w:r>
      <w:r>
        <w:rPr>
          <w:sz w:val="20"/>
        </w:rPr>
        <w:t>currently</w:t>
      </w:r>
      <w:r>
        <w:rPr>
          <w:spacing w:val="-3"/>
          <w:sz w:val="20"/>
        </w:rPr>
        <w:t xml:space="preserve"> </w:t>
      </w:r>
      <w:r>
        <w:rPr>
          <w:sz w:val="20"/>
        </w:rPr>
        <w:t>considering</w:t>
      </w:r>
      <w:r>
        <w:rPr>
          <w:spacing w:val="-3"/>
          <w:sz w:val="20"/>
        </w:rPr>
        <w:t xml:space="preserve"> </w:t>
      </w:r>
      <w:r>
        <w:rPr>
          <w:sz w:val="20"/>
        </w:rPr>
        <w:t>feedback</w:t>
      </w:r>
      <w:r>
        <w:rPr>
          <w:spacing w:val="-3"/>
          <w:sz w:val="20"/>
        </w:rPr>
        <w:t xml:space="preserve"> </w:t>
      </w:r>
      <w:r>
        <w:rPr>
          <w:sz w:val="20"/>
        </w:rPr>
        <w:t>received</w:t>
      </w:r>
      <w:r>
        <w:rPr>
          <w:spacing w:val="-3"/>
          <w:sz w:val="20"/>
        </w:rPr>
        <w:t xml:space="preserve"> </w:t>
      </w:r>
      <w:r>
        <w:rPr>
          <w:sz w:val="20"/>
        </w:rPr>
        <w:t>from</w:t>
      </w:r>
      <w:r>
        <w:rPr>
          <w:spacing w:val="-3"/>
          <w:sz w:val="20"/>
        </w:rPr>
        <w:t xml:space="preserve"> </w:t>
      </w:r>
      <w:r>
        <w:rPr>
          <w:sz w:val="20"/>
        </w:rPr>
        <w:t>QLS</w:t>
      </w:r>
      <w:r>
        <w:rPr>
          <w:spacing w:val="-3"/>
          <w:sz w:val="20"/>
        </w:rPr>
        <w:t xml:space="preserve"> </w:t>
      </w:r>
      <w:r>
        <w:rPr>
          <w:sz w:val="20"/>
        </w:rPr>
        <w:t>members</w:t>
      </w:r>
      <w:r>
        <w:rPr>
          <w:spacing w:val="-3"/>
          <w:sz w:val="20"/>
        </w:rPr>
        <w:t xml:space="preserve"> </w:t>
      </w:r>
      <w:r>
        <w:rPr>
          <w:sz w:val="20"/>
        </w:rPr>
        <w:t>on</w:t>
      </w:r>
      <w:r>
        <w:rPr>
          <w:spacing w:val="-3"/>
          <w:sz w:val="20"/>
        </w:rPr>
        <w:t xml:space="preserve"> </w:t>
      </w:r>
      <w:r>
        <w:rPr>
          <w:sz w:val="20"/>
        </w:rPr>
        <w:t>the proposed updated certificates.</w:t>
      </w:r>
    </w:p>
    <w:p w14:paraId="5C61DA19" w14:textId="77777777" w:rsidR="00AC6F3C" w:rsidRDefault="00570E88">
      <w:pPr>
        <w:pStyle w:val="ListParagraph"/>
        <w:numPr>
          <w:ilvl w:val="0"/>
          <w:numId w:val="58"/>
        </w:numPr>
        <w:tabs>
          <w:tab w:val="left" w:pos="1155"/>
        </w:tabs>
        <w:spacing w:before="172" w:line="249" w:lineRule="auto"/>
        <w:ind w:right="935"/>
        <w:rPr>
          <w:sz w:val="20"/>
        </w:rPr>
      </w:pPr>
      <w:r>
        <w:rPr>
          <w:sz w:val="20"/>
        </w:rPr>
        <w:t>Continued</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feedback</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Property</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Property</w:t>
      </w:r>
      <w:r>
        <w:rPr>
          <w:spacing w:val="-3"/>
          <w:sz w:val="20"/>
        </w:rPr>
        <w:t xml:space="preserve"> </w:t>
      </w:r>
      <w:r>
        <w:rPr>
          <w:sz w:val="20"/>
        </w:rPr>
        <w:t>Law</w:t>
      </w:r>
      <w:r>
        <w:rPr>
          <w:spacing w:val="-3"/>
          <w:sz w:val="20"/>
        </w:rPr>
        <w:t xml:space="preserve"> </w:t>
      </w:r>
      <w:r>
        <w:rPr>
          <w:sz w:val="20"/>
        </w:rPr>
        <w:t>Bill</w:t>
      </w:r>
      <w:r>
        <w:rPr>
          <w:spacing w:val="-3"/>
          <w:sz w:val="20"/>
        </w:rPr>
        <w:t xml:space="preserve"> </w:t>
      </w:r>
      <w:r>
        <w:rPr>
          <w:sz w:val="20"/>
        </w:rPr>
        <w:t>2023 particularly on the provisions relating to mortgages.</w:t>
      </w:r>
    </w:p>
    <w:p w14:paraId="30F8E167" w14:textId="77777777" w:rsidR="00AC6F3C" w:rsidRDefault="00570E88">
      <w:pPr>
        <w:pStyle w:val="ListParagraph"/>
        <w:numPr>
          <w:ilvl w:val="0"/>
          <w:numId w:val="58"/>
        </w:numPr>
        <w:tabs>
          <w:tab w:val="left" w:pos="1155"/>
        </w:tabs>
        <w:spacing w:before="172" w:line="249" w:lineRule="auto"/>
        <w:ind w:right="372"/>
        <w:rPr>
          <w:sz w:val="20"/>
        </w:rPr>
      </w:pPr>
      <w:r>
        <w:rPr>
          <w:sz w:val="20"/>
        </w:rPr>
        <w:t>Contributed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of</w:t>
      </w:r>
      <w:r>
        <w:rPr>
          <w:spacing w:val="-14"/>
          <w:sz w:val="20"/>
        </w:rPr>
        <w:t xml:space="preserve"> </w:t>
      </w:r>
      <w:r>
        <w:rPr>
          <w:sz w:val="20"/>
        </w:rPr>
        <w:t>Australia’s</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14"/>
          <w:sz w:val="20"/>
        </w:rPr>
        <w:t xml:space="preserve"> </w:t>
      </w:r>
      <w:r>
        <w:rPr>
          <w:sz w:val="20"/>
        </w:rPr>
        <w:t>Australian</w:t>
      </w:r>
      <w:r>
        <w:rPr>
          <w:spacing w:val="-3"/>
          <w:sz w:val="20"/>
        </w:rPr>
        <w:t xml:space="preserve"> </w:t>
      </w:r>
      <w:r>
        <w:rPr>
          <w:sz w:val="20"/>
        </w:rPr>
        <w:t>Law</w:t>
      </w:r>
      <w:r>
        <w:rPr>
          <w:spacing w:val="-3"/>
          <w:sz w:val="20"/>
        </w:rPr>
        <w:t xml:space="preserve"> </w:t>
      </w:r>
      <w:r>
        <w:rPr>
          <w:sz w:val="20"/>
        </w:rPr>
        <w:t>Reform</w:t>
      </w:r>
      <w:r>
        <w:rPr>
          <w:spacing w:val="-3"/>
          <w:sz w:val="20"/>
        </w:rPr>
        <w:t xml:space="preserve"> </w:t>
      </w:r>
      <w:r>
        <w:rPr>
          <w:sz w:val="20"/>
        </w:rPr>
        <w:t>Commission in relation to its review of financial services legislation.</w:t>
      </w:r>
    </w:p>
    <w:p w14:paraId="56EBEA9B" w14:textId="77777777" w:rsidR="00AC6F3C" w:rsidRDefault="00570E88">
      <w:pPr>
        <w:pStyle w:val="ListParagraph"/>
        <w:numPr>
          <w:ilvl w:val="0"/>
          <w:numId w:val="58"/>
        </w:numPr>
        <w:tabs>
          <w:tab w:val="left" w:pos="1155"/>
        </w:tabs>
        <w:spacing w:before="172"/>
        <w:ind w:hanging="340"/>
        <w:rPr>
          <w:sz w:val="20"/>
        </w:rPr>
      </w:pPr>
      <w:r>
        <w:rPr>
          <w:sz w:val="20"/>
        </w:rPr>
        <w:t>Made</w:t>
      </w:r>
      <w:r>
        <w:rPr>
          <w:spacing w:val="-7"/>
          <w:sz w:val="20"/>
        </w:rPr>
        <w:t xml:space="preserve"> </w:t>
      </w:r>
      <w:r>
        <w:rPr>
          <w:sz w:val="20"/>
        </w:rPr>
        <w:t>a</w:t>
      </w:r>
      <w:r>
        <w:rPr>
          <w:spacing w:val="-4"/>
          <w:sz w:val="20"/>
        </w:rPr>
        <w:t xml:space="preserve"> </w:t>
      </w:r>
      <w:r>
        <w:rPr>
          <w:sz w:val="20"/>
        </w:rPr>
        <w:t>submission</w:t>
      </w:r>
      <w:r>
        <w:rPr>
          <w:spacing w:val="-4"/>
          <w:sz w:val="20"/>
        </w:rPr>
        <w:t xml:space="preserve"> </w:t>
      </w:r>
      <w:r>
        <w:rPr>
          <w:sz w:val="20"/>
        </w:rPr>
        <w:t>to</w:t>
      </w:r>
      <w:r>
        <w:rPr>
          <w:spacing w:val="-7"/>
          <w:sz w:val="20"/>
        </w:rPr>
        <w:t xml:space="preserve"> </w:t>
      </w:r>
      <w:r>
        <w:rPr>
          <w:sz w:val="20"/>
        </w:rPr>
        <w:t>Treasury</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updated</w:t>
      </w:r>
      <w:r>
        <w:rPr>
          <w:spacing w:val="-4"/>
          <w:sz w:val="20"/>
        </w:rPr>
        <w:t xml:space="preserve"> </w:t>
      </w:r>
      <w:r>
        <w:rPr>
          <w:sz w:val="20"/>
        </w:rPr>
        <w:t>guidance</w:t>
      </w:r>
      <w:r>
        <w:rPr>
          <w:spacing w:val="-4"/>
          <w:sz w:val="20"/>
        </w:rPr>
        <w:t xml:space="preserve"> </w:t>
      </w:r>
      <w:r>
        <w:rPr>
          <w:sz w:val="20"/>
        </w:rPr>
        <w:t>material</w:t>
      </w:r>
      <w:r>
        <w:rPr>
          <w:spacing w:val="-4"/>
          <w:sz w:val="20"/>
        </w:rPr>
        <w:t xml:space="preserve"> </w:t>
      </w:r>
      <w:r>
        <w:rPr>
          <w:sz w:val="20"/>
        </w:rPr>
        <w:t>regarding</w:t>
      </w:r>
      <w:r>
        <w:rPr>
          <w:spacing w:val="-4"/>
          <w:sz w:val="20"/>
        </w:rPr>
        <w:t xml:space="preserve"> </w:t>
      </w:r>
      <w:r>
        <w:rPr>
          <w:sz w:val="20"/>
        </w:rPr>
        <w:t>payment</w:t>
      </w:r>
      <w:r>
        <w:rPr>
          <w:spacing w:val="-4"/>
          <w:sz w:val="20"/>
        </w:rPr>
        <w:t xml:space="preserve"> </w:t>
      </w:r>
      <w:r>
        <w:rPr>
          <w:sz w:val="20"/>
        </w:rPr>
        <w:t>times</w:t>
      </w:r>
      <w:r>
        <w:rPr>
          <w:spacing w:val="-4"/>
          <w:sz w:val="20"/>
        </w:rPr>
        <w:t xml:space="preserve"> </w:t>
      </w:r>
      <w:r>
        <w:rPr>
          <w:spacing w:val="-2"/>
          <w:sz w:val="20"/>
        </w:rPr>
        <w:t>reporting.</w:t>
      </w:r>
    </w:p>
    <w:p w14:paraId="3394335F" w14:textId="77777777" w:rsidR="00AC6F3C" w:rsidRDefault="00AC6F3C">
      <w:pPr>
        <w:pStyle w:val="BodyText"/>
        <w:spacing w:before="9"/>
        <w:rPr>
          <w:sz w:val="31"/>
        </w:rPr>
      </w:pPr>
    </w:p>
    <w:p w14:paraId="57838F0A" w14:textId="77777777" w:rsidR="00AC6F3C" w:rsidRDefault="00570E88">
      <w:pPr>
        <w:spacing w:before="1"/>
        <w:ind w:left="815"/>
        <w:rPr>
          <w:b/>
          <w:sz w:val="26"/>
        </w:rPr>
      </w:pPr>
      <w:r>
        <w:rPr>
          <w:b/>
          <w:sz w:val="26"/>
        </w:rPr>
        <w:t>Children’s</w:t>
      </w:r>
      <w:r>
        <w:rPr>
          <w:b/>
          <w:spacing w:val="-5"/>
          <w:sz w:val="26"/>
        </w:rPr>
        <w:t xml:space="preserve"> </w:t>
      </w:r>
      <w:r>
        <w:rPr>
          <w:b/>
          <w:sz w:val="26"/>
        </w:rPr>
        <w:t>Law</w:t>
      </w:r>
      <w:r>
        <w:rPr>
          <w:b/>
          <w:spacing w:val="-5"/>
          <w:sz w:val="26"/>
        </w:rPr>
        <w:t xml:space="preserve"> </w:t>
      </w:r>
      <w:r>
        <w:rPr>
          <w:b/>
          <w:spacing w:val="-2"/>
          <w:sz w:val="26"/>
        </w:rPr>
        <w:t>Committee</w:t>
      </w:r>
    </w:p>
    <w:p w14:paraId="6D135011" w14:textId="77777777" w:rsidR="00AC6F3C" w:rsidRDefault="00570E88">
      <w:pPr>
        <w:pStyle w:val="BodyText"/>
        <w:spacing w:before="167" w:line="249" w:lineRule="auto"/>
        <w:ind w:left="815"/>
      </w:pPr>
      <w:r>
        <w:t>The</w:t>
      </w:r>
      <w:r>
        <w:rPr>
          <w:spacing w:val="-4"/>
        </w:rPr>
        <w:t xml:space="preserve"> </w:t>
      </w:r>
      <w:r>
        <w:t>Children’s</w:t>
      </w:r>
      <w:r>
        <w:rPr>
          <w:spacing w:val="-4"/>
        </w:rPr>
        <w:t xml:space="preserve"> </w:t>
      </w:r>
      <w:r>
        <w:t>Law</w:t>
      </w:r>
      <w:r>
        <w:rPr>
          <w:spacing w:val="-4"/>
        </w:rPr>
        <w:t xml:space="preserve"> </w:t>
      </w:r>
      <w:r>
        <w:t>Committee</w:t>
      </w:r>
      <w:r>
        <w:rPr>
          <w:spacing w:val="-4"/>
        </w:rPr>
        <w:t xml:space="preserve"> </w:t>
      </w:r>
      <w:r>
        <w:t>has</w:t>
      </w:r>
      <w:r>
        <w:rPr>
          <w:spacing w:val="-4"/>
        </w:rPr>
        <w:t xml:space="preserve"> </w:t>
      </w:r>
      <w:r>
        <w:t>contributed</w:t>
      </w:r>
      <w:r>
        <w:rPr>
          <w:spacing w:val="-4"/>
        </w:rPr>
        <w:t xml:space="preserve"> </w:t>
      </w:r>
      <w:r>
        <w:t>to</w:t>
      </w:r>
      <w:r>
        <w:rPr>
          <w:spacing w:val="-4"/>
        </w:rPr>
        <w:t xml:space="preserve"> </w:t>
      </w:r>
      <w:r>
        <w:t>five</w:t>
      </w:r>
      <w:r>
        <w:rPr>
          <w:spacing w:val="-4"/>
        </w:rPr>
        <w:t xml:space="preserve"> </w:t>
      </w:r>
      <w:r>
        <w:t>submissions</w:t>
      </w:r>
      <w:r>
        <w:rPr>
          <w:spacing w:val="-4"/>
        </w:rPr>
        <w:t xml:space="preserve"> </w:t>
      </w:r>
      <w:r>
        <w:t>and</w:t>
      </w:r>
      <w:r>
        <w:rPr>
          <w:spacing w:val="-4"/>
        </w:rPr>
        <w:t xml:space="preserve"> </w:t>
      </w:r>
      <w:r>
        <w:t>attended</w:t>
      </w:r>
      <w:r>
        <w:rPr>
          <w:spacing w:val="-4"/>
        </w:rPr>
        <w:t xml:space="preserve"> </w:t>
      </w:r>
      <w:proofErr w:type="gramStart"/>
      <w:r>
        <w:t>16</w:t>
      </w:r>
      <w:proofErr w:type="gramEnd"/>
      <w:r>
        <w:rPr>
          <w:spacing w:val="-4"/>
        </w:rPr>
        <w:t xml:space="preserve"> </w:t>
      </w:r>
      <w:r>
        <w:t>stakeholder consultations during this financial year.</w:t>
      </w:r>
    </w:p>
    <w:p w14:paraId="18F3896D" w14:textId="77777777" w:rsidR="00AC6F3C" w:rsidRDefault="00570E88">
      <w:pPr>
        <w:pStyle w:val="ListParagraph"/>
        <w:numPr>
          <w:ilvl w:val="0"/>
          <w:numId w:val="58"/>
        </w:numPr>
        <w:tabs>
          <w:tab w:val="left" w:pos="1155"/>
        </w:tabs>
        <w:spacing w:before="172" w:line="249" w:lineRule="auto"/>
        <w:ind w:right="283"/>
        <w:rPr>
          <w:sz w:val="20"/>
        </w:rPr>
      </w:pPr>
      <w:r>
        <w:rPr>
          <w:sz w:val="20"/>
        </w:rPr>
        <w:t>The</w:t>
      </w:r>
      <w:r>
        <w:rPr>
          <w:spacing w:val="-3"/>
          <w:sz w:val="20"/>
        </w:rPr>
        <w:t xml:space="preserve"> </w:t>
      </w:r>
      <w:r>
        <w:rPr>
          <w:sz w:val="20"/>
        </w:rPr>
        <w:t>Children’s</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continued</w:t>
      </w:r>
      <w:r>
        <w:rPr>
          <w:spacing w:val="-3"/>
          <w:sz w:val="20"/>
        </w:rPr>
        <w:t xml:space="preserve"> </w:t>
      </w:r>
      <w:r>
        <w:rPr>
          <w:sz w:val="20"/>
        </w:rPr>
        <w:t>its</w:t>
      </w:r>
      <w:r>
        <w:rPr>
          <w:spacing w:val="-3"/>
          <w:sz w:val="20"/>
        </w:rPr>
        <w:t xml:space="preserve"> </w:t>
      </w:r>
      <w:r>
        <w:rPr>
          <w:sz w:val="20"/>
        </w:rPr>
        <w:t>strong</w:t>
      </w:r>
      <w:r>
        <w:rPr>
          <w:spacing w:val="-3"/>
          <w:sz w:val="20"/>
        </w:rPr>
        <w:t xml:space="preserve"> </w:t>
      </w:r>
      <w:r>
        <w:rPr>
          <w:sz w:val="20"/>
        </w:rPr>
        <w:t>and</w:t>
      </w:r>
      <w:r>
        <w:rPr>
          <w:spacing w:val="-3"/>
          <w:sz w:val="20"/>
        </w:rPr>
        <w:t xml:space="preserve"> </w:t>
      </w:r>
      <w:r>
        <w:rPr>
          <w:sz w:val="20"/>
        </w:rPr>
        <w:t>sustained</w:t>
      </w:r>
      <w:r>
        <w:rPr>
          <w:spacing w:val="-3"/>
          <w:sz w:val="20"/>
        </w:rPr>
        <w:t xml:space="preserve"> </w:t>
      </w:r>
      <w:r>
        <w:rPr>
          <w:sz w:val="20"/>
        </w:rPr>
        <w:t>advocacy</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raising</w:t>
      </w:r>
      <w:r>
        <w:rPr>
          <w:spacing w:val="-3"/>
          <w:sz w:val="20"/>
        </w:rPr>
        <w:t xml:space="preserve"> </w:t>
      </w:r>
      <w:r>
        <w:rPr>
          <w:sz w:val="20"/>
        </w:rPr>
        <w:t>the minimum age of criminal responsibility by contributing to the Queensland chapter of the raising the minimum age of criminal responsibility campaign.</w:t>
      </w:r>
    </w:p>
    <w:p w14:paraId="51EBC7C7" w14:textId="77777777" w:rsidR="00AC6F3C" w:rsidRDefault="00570E88">
      <w:pPr>
        <w:pStyle w:val="ListParagraph"/>
        <w:numPr>
          <w:ilvl w:val="0"/>
          <w:numId w:val="58"/>
        </w:numPr>
        <w:tabs>
          <w:tab w:val="left" w:pos="1155"/>
        </w:tabs>
        <w:spacing w:before="172" w:line="249" w:lineRule="auto"/>
        <w:ind w:right="742"/>
        <w:rPr>
          <w:sz w:val="20"/>
        </w:rPr>
      </w:pPr>
      <w:r>
        <w:rPr>
          <w:sz w:val="20"/>
        </w:rPr>
        <w:t xml:space="preserve">The Children’s Law Committee raised significant concerns regarding the youth justice reforms proposed in the Strengthening Community Safety Bill 2023. QLS opposed the override of the </w:t>
      </w:r>
      <w:r>
        <w:rPr>
          <w:i/>
          <w:sz w:val="20"/>
        </w:rPr>
        <w:t>Human</w:t>
      </w:r>
      <w:r>
        <w:rPr>
          <w:i/>
          <w:spacing w:val="-3"/>
          <w:sz w:val="20"/>
        </w:rPr>
        <w:t xml:space="preserve"> </w:t>
      </w:r>
      <w:r>
        <w:rPr>
          <w:i/>
          <w:sz w:val="20"/>
        </w:rPr>
        <w:t>Rights</w:t>
      </w:r>
      <w:r>
        <w:rPr>
          <w:i/>
          <w:spacing w:val="-10"/>
          <w:sz w:val="20"/>
        </w:rPr>
        <w:t xml:space="preserve"> </w:t>
      </w:r>
      <w:r>
        <w:rPr>
          <w:i/>
          <w:sz w:val="20"/>
        </w:rPr>
        <w:t>Act</w:t>
      </w:r>
      <w:r>
        <w:rPr>
          <w:i/>
          <w:spacing w:val="-3"/>
          <w:sz w:val="20"/>
        </w:rPr>
        <w:t xml:space="preserve"> </w:t>
      </w:r>
      <w:r>
        <w:rPr>
          <w:i/>
          <w:sz w:val="20"/>
        </w:rPr>
        <w:t>2019</w:t>
      </w:r>
      <w:r>
        <w:rPr>
          <w:i/>
          <w:spacing w:val="-3"/>
          <w:sz w:val="20"/>
        </w:rPr>
        <w:t xml:space="preserve"> </w:t>
      </w:r>
      <w:r>
        <w:rPr>
          <w:sz w:val="20"/>
        </w:rPr>
        <w:t>(Qld),</w:t>
      </w:r>
      <w:r>
        <w:rPr>
          <w:spacing w:val="-3"/>
          <w:sz w:val="20"/>
        </w:rPr>
        <w:t xml:space="preserve"> </w:t>
      </w:r>
      <w:r>
        <w:rPr>
          <w:sz w:val="20"/>
        </w:rPr>
        <w:t>the</w:t>
      </w:r>
      <w:r>
        <w:rPr>
          <w:spacing w:val="-3"/>
          <w:sz w:val="20"/>
        </w:rPr>
        <w:t xml:space="preserve"> </w:t>
      </w:r>
      <w:r>
        <w:rPr>
          <w:sz w:val="20"/>
        </w:rPr>
        <w:t>increase</w:t>
      </w:r>
      <w:r>
        <w:rPr>
          <w:spacing w:val="-3"/>
          <w:sz w:val="20"/>
        </w:rPr>
        <w:t xml:space="preserve"> </w:t>
      </w:r>
      <w:r>
        <w:rPr>
          <w:sz w:val="20"/>
        </w:rPr>
        <w:t>in</w:t>
      </w:r>
      <w:r>
        <w:rPr>
          <w:spacing w:val="-3"/>
          <w:sz w:val="20"/>
        </w:rPr>
        <w:t xml:space="preserve"> </w:t>
      </w:r>
      <w:r>
        <w:rPr>
          <w:sz w:val="20"/>
        </w:rPr>
        <w:t>maximum</w:t>
      </w:r>
      <w:r>
        <w:rPr>
          <w:spacing w:val="-3"/>
          <w:sz w:val="20"/>
        </w:rPr>
        <w:t xml:space="preserve"> </w:t>
      </w:r>
      <w:r>
        <w:rPr>
          <w:sz w:val="20"/>
        </w:rPr>
        <w:t>penalties,</w:t>
      </w:r>
      <w:r>
        <w:rPr>
          <w:spacing w:val="-3"/>
          <w:sz w:val="20"/>
        </w:rPr>
        <w:t xml:space="preserve"> </w:t>
      </w:r>
      <w:r>
        <w:rPr>
          <w:sz w:val="20"/>
        </w:rPr>
        <w:t>the</w:t>
      </w:r>
      <w:r>
        <w:rPr>
          <w:spacing w:val="-3"/>
          <w:sz w:val="20"/>
        </w:rPr>
        <w:t xml:space="preserve"> </w:t>
      </w:r>
      <w:r>
        <w:rPr>
          <w:sz w:val="20"/>
        </w:rPr>
        <w:t>introduction</w:t>
      </w:r>
      <w:r>
        <w:rPr>
          <w:spacing w:val="-3"/>
          <w:sz w:val="20"/>
        </w:rPr>
        <w:t xml:space="preserve"> </w:t>
      </w:r>
      <w:r>
        <w:rPr>
          <w:sz w:val="20"/>
        </w:rPr>
        <w:t>of</w:t>
      </w:r>
      <w:r>
        <w:rPr>
          <w:spacing w:val="-3"/>
          <w:sz w:val="20"/>
        </w:rPr>
        <w:t xml:space="preserve"> </w:t>
      </w:r>
      <w:r>
        <w:rPr>
          <w:sz w:val="20"/>
        </w:rPr>
        <w:t>breach</w:t>
      </w:r>
      <w:r>
        <w:rPr>
          <w:spacing w:val="-3"/>
          <w:sz w:val="20"/>
        </w:rPr>
        <w:t xml:space="preserve"> </w:t>
      </w:r>
      <w:r>
        <w:rPr>
          <w:sz w:val="20"/>
        </w:rPr>
        <w:t>of bail</w:t>
      </w:r>
      <w:r>
        <w:rPr>
          <w:spacing w:val="-5"/>
          <w:sz w:val="20"/>
        </w:rPr>
        <w:t xml:space="preserve"> </w:t>
      </w:r>
      <w:r>
        <w:rPr>
          <w:sz w:val="20"/>
        </w:rPr>
        <w:t>as</w:t>
      </w:r>
      <w:r>
        <w:rPr>
          <w:spacing w:val="-5"/>
          <w:sz w:val="20"/>
        </w:rPr>
        <w:t xml:space="preserve"> </w:t>
      </w:r>
      <w:r>
        <w:rPr>
          <w:sz w:val="20"/>
        </w:rPr>
        <w:t>an</w:t>
      </w:r>
      <w:r>
        <w:rPr>
          <w:spacing w:val="-5"/>
          <w:sz w:val="20"/>
        </w:rPr>
        <w:t xml:space="preserve"> </w:t>
      </w:r>
      <w:r>
        <w:rPr>
          <w:sz w:val="20"/>
        </w:rPr>
        <w:t>offence</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Bill’s</w:t>
      </w:r>
      <w:r>
        <w:rPr>
          <w:spacing w:val="-5"/>
          <w:sz w:val="20"/>
        </w:rPr>
        <w:t xml:space="preserve"> </w:t>
      </w:r>
      <w:r>
        <w:rPr>
          <w:sz w:val="20"/>
        </w:rPr>
        <w:t>disproportionate</w:t>
      </w:r>
      <w:r>
        <w:rPr>
          <w:spacing w:val="-5"/>
          <w:sz w:val="20"/>
        </w:rPr>
        <w:t xml:space="preserve"> </w:t>
      </w:r>
      <w:r>
        <w:rPr>
          <w:sz w:val="20"/>
        </w:rPr>
        <w:t>impact</w:t>
      </w:r>
      <w:r>
        <w:rPr>
          <w:spacing w:val="-5"/>
          <w:sz w:val="20"/>
        </w:rPr>
        <w:t xml:space="preserve"> </w:t>
      </w:r>
      <w:r>
        <w:rPr>
          <w:sz w:val="20"/>
        </w:rPr>
        <w:t>on</w:t>
      </w:r>
      <w:r>
        <w:rPr>
          <w:spacing w:val="-14"/>
          <w:sz w:val="20"/>
        </w:rPr>
        <w:t xml:space="preserve"> </w:t>
      </w:r>
      <w:r>
        <w:rPr>
          <w:sz w:val="20"/>
        </w:rPr>
        <w:t>Aboriginal</w:t>
      </w:r>
      <w:r>
        <w:rPr>
          <w:spacing w:val="-5"/>
          <w:sz w:val="20"/>
        </w:rPr>
        <w:t xml:space="preserve"> </w:t>
      </w:r>
      <w:r>
        <w:rPr>
          <w:sz w:val="20"/>
        </w:rPr>
        <w:t>and</w:t>
      </w:r>
      <w:r>
        <w:rPr>
          <w:spacing w:val="-8"/>
          <w:sz w:val="20"/>
        </w:rPr>
        <w:t xml:space="preserve"> </w:t>
      </w:r>
      <w:r>
        <w:rPr>
          <w:sz w:val="20"/>
        </w:rPr>
        <w:t>Torres</w:t>
      </w:r>
      <w:r>
        <w:rPr>
          <w:spacing w:val="-5"/>
          <w:sz w:val="20"/>
        </w:rPr>
        <w:t xml:space="preserve"> </w:t>
      </w:r>
      <w:r>
        <w:rPr>
          <w:sz w:val="20"/>
        </w:rPr>
        <w:t>Strait</w:t>
      </w:r>
      <w:r>
        <w:rPr>
          <w:spacing w:val="-5"/>
          <w:sz w:val="20"/>
        </w:rPr>
        <w:t xml:space="preserve"> </w:t>
      </w:r>
      <w:r>
        <w:rPr>
          <w:sz w:val="20"/>
        </w:rPr>
        <w:t>Islander children and young people and children with a disability and children from culturally and linguistically diverse backgrounds.</w:t>
      </w:r>
    </w:p>
    <w:p w14:paraId="5D5C0B70" w14:textId="77777777" w:rsidR="00AC6F3C" w:rsidRDefault="00570E88">
      <w:pPr>
        <w:pStyle w:val="ListParagraph"/>
        <w:numPr>
          <w:ilvl w:val="0"/>
          <w:numId w:val="58"/>
        </w:numPr>
        <w:tabs>
          <w:tab w:val="left" w:pos="1153"/>
          <w:tab w:val="left" w:pos="1155"/>
        </w:tabs>
        <w:spacing w:before="175" w:line="249" w:lineRule="auto"/>
        <w:ind w:right="368"/>
        <w:jc w:val="both"/>
        <w:rPr>
          <w:sz w:val="20"/>
        </w:rPr>
      </w:pPr>
      <w:r>
        <w:rPr>
          <w:sz w:val="20"/>
        </w:rPr>
        <w:t xml:space="preserve">Committee members participated in </w:t>
      </w:r>
      <w:proofErr w:type="gramStart"/>
      <w:r>
        <w:rPr>
          <w:sz w:val="20"/>
        </w:rPr>
        <w:t>several</w:t>
      </w:r>
      <w:proofErr w:type="gramEnd"/>
      <w:r>
        <w:rPr>
          <w:sz w:val="20"/>
        </w:rPr>
        <w:t xml:space="preserve"> stakeholder groups including the Heads of Jurisdiction stakeholder</w:t>
      </w:r>
      <w:r>
        <w:rPr>
          <w:spacing w:val="-4"/>
          <w:sz w:val="20"/>
        </w:rPr>
        <w:t xml:space="preserve"> </w:t>
      </w:r>
      <w:r>
        <w:rPr>
          <w:sz w:val="20"/>
        </w:rPr>
        <w:t>forum,</w:t>
      </w:r>
      <w:r>
        <w:rPr>
          <w:spacing w:val="-3"/>
          <w:sz w:val="20"/>
        </w:rPr>
        <w:t xml:space="preserve"> </w:t>
      </w:r>
      <w:r>
        <w:rPr>
          <w:sz w:val="20"/>
        </w:rPr>
        <w:t>Childrens</w:t>
      </w:r>
      <w:r>
        <w:rPr>
          <w:spacing w:val="-3"/>
          <w:sz w:val="20"/>
        </w:rPr>
        <w:t xml:space="preserve"> </w:t>
      </w:r>
      <w:r>
        <w:rPr>
          <w:sz w:val="20"/>
        </w:rPr>
        <w:t>Court</w:t>
      </w:r>
      <w:r>
        <w:rPr>
          <w:spacing w:val="-3"/>
          <w:sz w:val="20"/>
        </w:rPr>
        <w:t xml:space="preserve"> </w:t>
      </w:r>
      <w:r>
        <w:rPr>
          <w:sz w:val="20"/>
        </w:rPr>
        <w:t>Committee,</w:t>
      </w:r>
      <w:r>
        <w:rPr>
          <w:spacing w:val="-3"/>
          <w:sz w:val="20"/>
        </w:rPr>
        <w:t xml:space="preserve"> </w:t>
      </w:r>
      <w:r>
        <w:rPr>
          <w:sz w:val="20"/>
        </w:rPr>
        <w:t>Court</w:t>
      </w:r>
      <w:r>
        <w:rPr>
          <w:spacing w:val="-3"/>
          <w:sz w:val="20"/>
        </w:rPr>
        <w:t xml:space="preserve"> </w:t>
      </w:r>
      <w:r>
        <w:rPr>
          <w:sz w:val="20"/>
        </w:rPr>
        <w:t>Case</w:t>
      </w:r>
      <w:r>
        <w:rPr>
          <w:spacing w:val="-3"/>
          <w:sz w:val="20"/>
        </w:rPr>
        <w:t xml:space="preserve"> </w:t>
      </w:r>
      <w:r>
        <w:rPr>
          <w:sz w:val="20"/>
        </w:rPr>
        <w:t>Management</w:t>
      </w:r>
      <w:r>
        <w:rPr>
          <w:spacing w:val="-3"/>
          <w:sz w:val="20"/>
        </w:rPr>
        <w:t xml:space="preserve"> </w:t>
      </w:r>
      <w:r>
        <w:rPr>
          <w:sz w:val="20"/>
        </w:rPr>
        <w:t>Committee</w:t>
      </w:r>
      <w:r>
        <w:rPr>
          <w:spacing w:val="-3"/>
          <w:sz w:val="20"/>
        </w:rPr>
        <w:t xml:space="preserve"> </w:t>
      </w:r>
      <w:r>
        <w:rPr>
          <w:sz w:val="20"/>
        </w:rPr>
        <w:t>and</w:t>
      </w:r>
      <w:r>
        <w:rPr>
          <w:spacing w:val="-3"/>
          <w:sz w:val="20"/>
        </w:rPr>
        <w:t xml:space="preserve"> </w:t>
      </w:r>
      <w:r>
        <w:rPr>
          <w:sz w:val="20"/>
        </w:rPr>
        <w:t>Legal</w:t>
      </w:r>
      <w:r>
        <w:rPr>
          <w:spacing w:val="-14"/>
          <w:sz w:val="20"/>
        </w:rPr>
        <w:t xml:space="preserve"> </w:t>
      </w:r>
      <w:r>
        <w:rPr>
          <w:sz w:val="20"/>
        </w:rPr>
        <w:t>Aid Child Protection Stakeholder group.</w:t>
      </w:r>
    </w:p>
    <w:p w14:paraId="2F2FA1FA" w14:textId="77777777" w:rsidR="00AC6F3C" w:rsidRDefault="00AC6F3C">
      <w:pPr>
        <w:pStyle w:val="BodyText"/>
        <w:spacing w:before="2"/>
        <w:rPr>
          <w:sz w:val="31"/>
        </w:rPr>
      </w:pPr>
    </w:p>
    <w:p w14:paraId="5165C8F0" w14:textId="77777777" w:rsidR="00AC6F3C" w:rsidRDefault="00570E88">
      <w:pPr>
        <w:ind w:left="815"/>
        <w:rPr>
          <w:b/>
          <w:sz w:val="26"/>
        </w:rPr>
      </w:pPr>
      <w:r>
        <w:rPr>
          <w:b/>
          <w:sz w:val="26"/>
        </w:rPr>
        <w:t>Competition</w:t>
      </w:r>
      <w:r>
        <w:rPr>
          <w:b/>
          <w:spacing w:val="-2"/>
          <w:sz w:val="26"/>
        </w:rPr>
        <w:t xml:space="preserve"> </w:t>
      </w:r>
      <w:r>
        <w:rPr>
          <w:b/>
          <w:sz w:val="26"/>
        </w:rPr>
        <w:t>and</w:t>
      </w:r>
      <w:r>
        <w:rPr>
          <w:b/>
          <w:spacing w:val="-2"/>
          <w:sz w:val="26"/>
        </w:rPr>
        <w:t xml:space="preserve"> </w:t>
      </w:r>
      <w:r>
        <w:rPr>
          <w:b/>
          <w:sz w:val="26"/>
        </w:rPr>
        <w:t>Consumer</w:t>
      </w:r>
      <w:r>
        <w:rPr>
          <w:b/>
          <w:spacing w:val="-2"/>
          <w:sz w:val="26"/>
        </w:rPr>
        <w:t xml:space="preserve"> </w:t>
      </w:r>
      <w:r>
        <w:rPr>
          <w:b/>
          <w:sz w:val="26"/>
        </w:rPr>
        <w:t>Law</w:t>
      </w:r>
      <w:r>
        <w:rPr>
          <w:b/>
          <w:spacing w:val="-1"/>
          <w:sz w:val="26"/>
        </w:rPr>
        <w:t xml:space="preserve"> </w:t>
      </w:r>
      <w:r>
        <w:rPr>
          <w:b/>
          <w:spacing w:val="-2"/>
          <w:sz w:val="26"/>
        </w:rPr>
        <w:t>Committee</w:t>
      </w:r>
    </w:p>
    <w:p w14:paraId="48DA8637" w14:textId="77777777" w:rsidR="00AC6F3C" w:rsidRDefault="00570E88">
      <w:pPr>
        <w:pStyle w:val="ListParagraph"/>
        <w:numPr>
          <w:ilvl w:val="0"/>
          <w:numId w:val="58"/>
        </w:numPr>
        <w:tabs>
          <w:tab w:val="left" w:pos="1155"/>
        </w:tabs>
        <w:spacing w:before="167" w:line="249" w:lineRule="auto"/>
        <w:ind w:right="434"/>
        <w:rPr>
          <w:sz w:val="20"/>
        </w:rPr>
      </w:pPr>
      <w:r>
        <w:rPr>
          <w:sz w:val="20"/>
        </w:rPr>
        <w:t>The</w:t>
      </w:r>
      <w:r>
        <w:rPr>
          <w:spacing w:val="-3"/>
          <w:sz w:val="20"/>
        </w:rPr>
        <w:t xml:space="preserve"> </w:t>
      </w:r>
      <w:r>
        <w:rPr>
          <w:sz w:val="20"/>
        </w:rPr>
        <w:t>Competition</w:t>
      </w:r>
      <w:r>
        <w:rPr>
          <w:spacing w:val="-3"/>
          <w:sz w:val="20"/>
        </w:rPr>
        <w:t xml:space="preserve"> </w:t>
      </w:r>
      <w:r>
        <w:rPr>
          <w:sz w:val="20"/>
        </w:rPr>
        <w:t>and</w:t>
      </w:r>
      <w:r>
        <w:rPr>
          <w:spacing w:val="-3"/>
          <w:sz w:val="20"/>
        </w:rPr>
        <w:t xml:space="preserve"> </w:t>
      </w:r>
      <w:r>
        <w:rPr>
          <w:sz w:val="20"/>
        </w:rPr>
        <w:t>Consumer</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has</w:t>
      </w:r>
      <w:r>
        <w:rPr>
          <w:spacing w:val="-3"/>
          <w:sz w:val="20"/>
        </w:rPr>
        <w:t xml:space="preserve"> </w:t>
      </w:r>
      <w:r>
        <w:rPr>
          <w:sz w:val="20"/>
        </w:rPr>
        <w:t>worked</w:t>
      </w:r>
      <w:r>
        <w:rPr>
          <w:spacing w:val="-3"/>
          <w:sz w:val="20"/>
        </w:rPr>
        <w:t xml:space="preserve"> </w:t>
      </w:r>
      <w:r>
        <w:rPr>
          <w:sz w:val="20"/>
        </w:rPr>
        <w:t>collaboratively</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QLS</w:t>
      </w:r>
      <w:r>
        <w:rPr>
          <w:spacing w:val="-14"/>
          <w:sz w:val="20"/>
        </w:rPr>
        <w:t xml:space="preserve"> </w:t>
      </w:r>
      <w:r>
        <w:rPr>
          <w:sz w:val="20"/>
        </w:rPr>
        <w:t>Accident Compensation and</w:t>
      </w:r>
      <w:r>
        <w:rPr>
          <w:spacing w:val="-2"/>
          <w:sz w:val="20"/>
        </w:rPr>
        <w:t xml:space="preserve"> </w:t>
      </w:r>
      <w:r>
        <w:rPr>
          <w:sz w:val="20"/>
        </w:rPr>
        <w:t xml:space="preserve">Tort Law Committee this </w:t>
      </w:r>
      <w:proofErr w:type="gramStart"/>
      <w:r>
        <w:rPr>
          <w:sz w:val="20"/>
        </w:rPr>
        <w:t>financial year</w:t>
      </w:r>
      <w:proofErr w:type="gramEnd"/>
      <w:r>
        <w:rPr>
          <w:sz w:val="20"/>
        </w:rPr>
        <w:t xml:space="preserve"> on a submission to the 2023 Review of Queensland’s Compulsory Third Party (CTP) insurance scheme.</w:t>
      </w:r>
    </w:p>
    <w:p w14:paraId="025BBC75" w14:textId="77777777" w:rsidR="00AC6F3C" w:rsidRDefault="00570E88">
      <w:pPr>
        <w:pStyle w:val="ListParagraph"/>
        <w:numPr>
          <w:ilvl w:val="0"/>
          <w:numId w:val="58"/>
        </w:numPr>
        <w:tabs>
          <w:tab w:val="left" w:pos="1155"/>
        </w:tabs>
        <w:spacing w:before="173"/>
        <w:ind w:hanging="340"/>
        <w:rPr>
          <w:sz w:val="20"/>
        </w:rPr>
      </w:pPr>
      <w:r>
        <w:rPr>
          <w:sz w:val="20"/>
        </w:rPr>
        <w:t>Committee</w:t>
      </w:r>
      <w:r>
        <w:rPr>
          <w:spacing w:val="-3"/>
          <w:sz w:val="20"/>
        </w:rPr>
        <w:t xml:space="preserve"> </w:t>
      </w:r>
      <w:r>
        <w:rPr>
          <w:sz w:val="20"/>
        </w:rPr>
        <w:t>members</w:t>
      </w:r>
      <w:r>
        <w:rPr>
          <w:spacing w:val="-2"/>
          <w:sz w:val="20"/>
        </w:rPr>
        <w:t xml:space="preserve"> </w:t>
      </w:r>
      <w:r>
        <w:rPr>
          <w:sz w:val="20"/>
        </w:rPr>
        <w:t>have</w:t>
      </w:r>
      <w:r>
        <w:rPr>
          <w:spacing w:val="-2"/>
          <w:sz w:val="20"/>
        </w:rPr>
        <w:t xml:space="preserve"> </w:t>
      </w:r>
      <w:r>
        <w:rPr>
          <w:sz w:val="20"/>
        </w:rPr>
        <w:t>been</w:t>
      </w:r>
      <w:r>
        <w:rPr>
          <w:spacing w:val="-2"/>
          <w:sz w:val="20"/>
        </w:rPr>
        <w:t xml:space="preserve"> </w:t>
      </w:r>
      <w:r>
        <w:rPr>
          <w:sz w:val="20"/>
        </w:rPr>
        <w:t>called</w:t>
      </w:r>
      <w:r>
        <w:rPr>
          <w:spacing w:val="-2"/>
          <w:sz w:val="20"/>
        </w:rPr>
        <w:t xml:space="preserve"> </w:t>
      </w:r>
      <w:r>
        <w:rPr>
          <w:sz w:val="20"/>
        </w:rPr>
        <w:t>upon</w:t>
      </w:r>
      <w:r>
        <w:rPr>
          <w:spacing w:val="-2"/>
          <w:sz w:val="20"/>
        </w:rPr>
        <w:t xml:space="preserve"> </w:t>
      </w:r>
      <w:r>
        <w:rPr>
          <w:sz w:val="20"/>
        </w:rPr>
        <w:t>by</w:t>
      </w:r>
      <w:r>
        <w:rPr>
          <w:spacing w:val="-2"/>
          <w:sz w:val="20"/>
        </w:rPr>
        <w:t xml:space="preserve"> </w:t>
      </w:r>
      <w:r>
        <w:rPr>
          <w:sz w:val="20"/>
        </w:rPr>
        <w:t>other</w:t>
      </w:r>
      <w:r>
        <w:rPr>
          <w:spacing w:val="-3"/>
          <w:sz w:val="20"/>
        </w:rPr>
        <w:t xml:space="preserve"> </w:t>
      </w:r>
      <w:r>
        <w:rPr>
          <w:sz w:val="20"/>
        </w:rPr>
        <w:t>committees</w:t>
      </w:r>
      <w:r>
        <w:rPr>
          <w:spacing w:val="-2"/>
          <w:sz w:val="20"/>
        </w:rPr>
        <w:t xml:space="preserve"> </w:t>
      </w:r>
      <w:r>
        <w:rPr>
          <w:sz w:val="20"/>
        </w:rPr>
        <w:t>and</w:t>
      </w:r>
      <w:r>
        <w:rPr>
          <w:spacing w:val="-2"/>
          <w:sz w:val="20"/>
        </w:rPr>
        <w:t xml:space="preserve"> </w:t>
      </w:r>
      <w:r>
        <w:rPr>
          <w:sz w:val="20"/>
        </w:rPr>
        <w:t>members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legal</w:t>
      </w:r>
      <w:r>
        <w:rPr>
          <w:spacing w:val="-2"/>
          <w:sz w:val="20"/>
        </w:rPr>
        <w:t xml:space="preserve"> </w:t>
      </w:r>
      <w:proofErr w:type="gramStart"/>
      <w:r>
        <w:rPr>
          <w:spacing w:val="-2"/>
          <w:sz w:val="20"/>
        </w:rPr>
        <w:t>policy</w:t>
      </w:r>
      <w:proofErr w:type="gramEnd"/>
    </w:p>
    <w:p w14:paraId="14598B21" w14:textId="77777777" w:rsidR="00AC6F3C" w:rsidRDefault="00570E88">
      <w:pPr>
        <w:pStyle w:val="BodyText"/>
        <w:spacing w:before="10"/>
        <w:ind w:left="1155"/>
      </w:pPr>
      <w:r>
        <w:t>team</w:t>
      </w:r>
      <w:r>
        <w:rPr>
          <w:spacing w:val="-3"/>
        </w:rPr>
        <w:t xml:space="preserve"> </w:t>
      </w:r>
      <w:r>
        <w:t>to</w:t>
      </w:r>
      <w:r>
        <w:rPr>
          <w:spacing w:val="-3"/>
        </w:rPr>
        <w:t xml:space="preserve"> </w:t>
      </w:r>
      <w:r>
        <w:t>provide</w:t>
      </w:r>
      <w:r>
        <w:rPr>
          <w:spacing w:val="-2"/>
        </w:rPr>
        <w:t xml:space="preserve"> </w:t>
      </w:r>
      <w:r>
        <w:t>their</w:t>
      </w:r>
      <w:r>
        <w:rPr>
          <w:spacing w:val="-3"/>
        </w:rPr>
        <w:t xml:space="preserve"> </w:t>
      </w:r>
      <w:r>
        <w:t>insights</w:t>
      </w:r>
      <w:r>
        <w:rPr>
          <w:spacing w:val="-2"/>
        </w:rPr>
        <w:t xml:space="preserve"> </w:t>
      </w:r>
      <w:r>
        <w:t>on</w:t>
      </w:r>
      <w:r>
        <w:rPr>
          <w:spacing w:val="-3"/>
        </w:rPr>
        <w:t xml:space="preserve"> </w:t>
      </w:r>
      <w:r>
        <w:t>competition</w:t>
      </w:r>
      <w:r>
        <w:rPr>
          <w:spacing w:val="-3"/>
        </w:rPr>
        <w:t xml:space="preserve"> </w:t>
      </w:r>
      <w:r>
        <w:t>and</w:t>
      </w:r>
      <w:r>
        <w:rPr>
          <w:spacing w:val="-2"/>
        </w:rPr>
        <w:t xml:space="preserve"> </w:t>
      </w:r>
      <w:r>
        <w:t>other</w:t>
      </w:r>
      <w:r>
        <w:rPr>
          <w:spacing w:val="-3"/>
        </w:rPr>
        <w:t xml:space="preserve"> </w:t>
      </w:r>
      <w:r>
        <w:t>related</w:t>
      </w:r>
      <w:r>
        <w:rPr>
          <w:spacing w:val="-2"/>
        </w:rPr>
        <w:t xml:space="preserve"> issues.</w:t>
      </w:r>
    </w:p>
    <w:p w14:paraId="4A3B346D" w14:textId="77777777" w:rsidR="00AC6F3C" w:rsidRDefault="00570E88">
      <w:pPr>
        <w:pStyle w:val="ListParagraph"/>
        <w:numPr>
          <w:ilvl w:val="0"/>
          <w:numId w:val="58"/>
        </w:numPr>
        <w:tabs>
          <w:tab w:val="left" w:pos="1153"/>
          <w:tab w:val="left" w:pos="1155"/>
        </w:tabs>
        <w:spacing w:line="249" w:lineRule="auto"/>
        <w:ind w:right="445"/>
        <w:jc w:val="both"/>
        <w:rPr>
          <w:sz w:val="20"/>
        </w:rPr>
      </w:pPr>
      <w:r>
        <w:rPr>
          <w:sz w:val="20"/>
        </w:rPr>
        <w:t>The</w:t>
      </w:r>
      <w:r>
        <w:rPr>
          <w:spacing w:val="-3"/>
          <w:sz w:val="20"/>
        </w:rPr>
        <w:t xml:space="preserve"> </w:t>
      </w:r>
      <w:r>
        <w:rPr>
          <w:sz w:val="20"/>
        </w:rPr>
        <w:t>committee</w:t>
      </w:r>
      <w:r>
        <w:rPr>
          <w:spacing w:val="-3"/>
          <w:sz w:val="20"/>
        </w:rPr>
        <w:t xml:space="preserve"> </w:t>
      </w:r>
      <w:r>
        <w:rPr>
          <w:sz w:val="20"/>
        </w:rPr>
        <w:t>continues</w:t>
      </w:r>
      <w:r>
        <w:rPr>
          <w:spacing w:val="-3"/>
          <w:sz w:val="20"/>
        </w:rPr>
        <w:t xml:space="preserve"> </w:t>
      </w:r>
      <w:r>
        <w:rPr>
          <w:sz w:val="20"/>
        </w:rPr>
        <w:t>to</w:t>
      </w:r>
      <w:r>
        <w:rPr>
          <w:spacing w:val="-3"/>
          <w:sz w:val="20"/>
        </w:rPr>
        <w:t xml:space="preserve"> </w:t>
      </w:r>
      <w:r>
        <w:rPr>
          <w:sz w:val="20"/>
        </w:rPr>
        <w:t>maintain</w:t>
      </w:r>
      <w:r>
        <w:rPr>
          <w:spacing w:val="-3"/>
          <w:sz w:val="20"/>
        </w:rPr>
        <w:t xml:space="preserve"> </w:t>
      </w:r>
      <w:r>
        <w:rPr>
          <w:sz w:val="20"/>
        </w:rPr>
        <w:t>good</w:t>
      </w:r>
      <w:r>
        <w:rPr>
          <w:spacing w:val="-3"/>
          <w:sz w:val="20"/>
        </w:rPr>
        <w:t xml:space="preserve"> </w:t>
      </w:r>
      <w:r>
        <w:rPr>
          <w:sz w:val="20"/>
        </w:rPr>
        <w:t>stakeholder</w:t>
      </w:r>
      <w:r>
        <w:rPr>
          <w:spacing w:val="-3"/>
          <w:sz w:val="20"/>
        </w:rPr>
        <w:t xml:space="preserve"> </w:t>
      </w:r>
      <w:r>
        <w:rPr>
          <w:sz w:val="20"/>
        </w:rPr>
        <w:t>relationships</w:t>
      </w:r>
      <w:r>
        <w:rPr>
          <w:spacing w:val="-3"/>
          <w:sz w:val="20"/>
        </w:rPr>
        <w:t xml:space="preserve"> </w:t>
      </w:r>
      <w:r>
        <w:rPr>
          <w:sz w:val="20"/>
        </w:rPr>
        <w:t>with</w:t>
      </w:r>
      <w:r>
        <w:rPr>
          <w:spacing w:val="-13"/>
          <w:sz w:val="20"/>
        </w:rPr>
        <w:t xml:space="preserve"> </w:t>
      </w:r>
      <w:r>
        <w:rPr>
          <w:sz w:val="20"/>
        </w:rPr>
        <w:t>ASIC,</w:t>
      </w:r>
      <w:r>
        <w:rPr>
          <w:spacing w:val="-3"/>
          <w:sz w:val="20"/>
        </w:rPr>
        <w:t xml:space="preserve"> </w:t>
      </w:r>
      <w:r>
        <w:rPr>
          <w:sz w:val="20"/>
        </w:rPr>
        <w:t>the</w:t>
      </w:r>
      <w:r>
        <w:rPr>
          <w:spacing w:val="-14"/>
          <w:sz w:val="20"/>
        </w:rPr>
        <w:t xml:space="preserve"> </w:t>
      </w:r>
      <w:r>
        <w:rPr>
          <w:sz w:val="20"/>
        </w:rPr>
        <w:t>ACCC</w:t>
      </w:r>
      <w:r>
        <w:rPr>
          <w:spacing w:val="-3"/>
          <w:sz w:val="20"/>
        </w:rPr>
        <w:t xml:space="preserve"> </w:t>
      </w:r>
      <w:r>
        <w:rPr>
          <w:sz w:val="20"/>
        </w:rPr>
        <w:t>and</w:t>
      </w:r>
      <w:r>
        <w:rPr>
          <w:spacing w:val="-3"/>
          <w:sz w:val="20"/>
        </w:rPr>
        <w:t xml:space="preserve"> </w:t>
      </w:r>
      <w:r>
        <w:rPr>
          <w:sz w:val="20"/>
        </w:rPr>
        <w:t>the Queensland Office of Fair Trading, and regularly receives updates from these agencies.</w:t>
      </w:r>
    </w:p>
    <w:p w14:paraId="5C57165C" w14:textId="77777777" w:rsidR="00AC6F3C" w:rsidRDefault="00AC6F3C">
      <w:pPr>
        <w:spacing w:line="249" w:lineRule="auto"/>
        <w:jc w:val="both"/>
        <w:rPr>
          <w:sz w:val="20"/>
        </w:rPr>
        <w:sectPr w:rsidR="00AC6F3C">
          <w:headerReference w:type="default" r:id="rId72"/>
          <w:footerReference w:type="default" r:id="rId73"/>
          <w:pgSz w:w="11910" w:h="16840"/>
          <w:pgMar w:top="1140" w:right="1160" w:bottom="520" w:left="460" w:header="0" w:footer="336" w:gutter="0"/>
          <w:cols w:space="720"/>
        </w:sectPr>
      </w:pPr>
    </w:p>
    <w:p w14:paraId="14019C52" w14:textId="77777777" w:rsidR="00AC6F3C" w:rsidRDefault="00570E88">
      <w:pPr>
        <w:spacing w:before="63"/>
        <w:ind w:left="815"/>
        <w:rPr>
          <w:b/>
          <w:sz w:val="26"/>
        </w:rPr>
      </w:pPr>
      <w:r>
        <w:rPr>
          <w:b/>
          <w:sz w:val="26"/>
        </w:rPr>
        <w:lastRenderedPageBreak/>
        <w:t>Construction</w:t>
      </w:r>
      <w:r>
        <w:rPr>
          <w:b/>
          <w:spacing w:val="-4"/>
          <w:sz w:val="26"/>
        </w:rPr>
        <w:t xml:space="preserve"> </w:t>
      </w:r>
      <w:r>
        <w:rPr>
          <w:b/>
          <w:sz w:val="26"/>
        </w:rPr>
        <w:t>and</w:t>
      </w:r>
      <w:r>
        <w:rPr>
          <w:b/>
          <w:spacing w:val="-3"/>
          <w:sz w:val="26"/>
        </w:rPr>
        <w:t xml:space="preserve"> </w:t>
      </w:r>
      <w:r>
        <w:rPr>
          <w:b/>
          <w:sz w:val="26"/>
        </w:rPr>
        <w:t>Infrastructure</w:t>
      </w:r>
      <w:r>
        <w:rPr>
          <w:b/>
          <w:spacing w:val="-3"/>
          <w:sz w:val="26"/>
        </w:rPr>
        <w:t xml:space="preserve"> </w:t>
      </w:r>
      <w:r>
        <w:rPr>
          <w:b/>
          <w:sz w:val="26"/>
        </w:rPr>
        <w:t>Law</w:t>
      </w:r>
      <w:r>
        <w:rPr>
          <w:b/>
          <w:spacing w:val="-3"/>
          <w:sz w:val="26"/>
        </w:rPr>
        <w:t xml:space="preserve"> </w:t>
      </w:r>
      <w:r>
        <w:rPr>
          <w:b/>
          <w:spacing w:val="-2"/>
          <w:sz w:val="26"/>
        </w:rPr>
        <w:t>Committee</w:t>
      </w:r>
    </w:p>
    <w:p w14:paraId="1CD6A18D" w14:textId="77777777" w:rsidR="00AC6F3C" w:rsidRDefault="00570E88">
      <w:pPr>
        <w:pStyle w:val="BodyText"/>
        <w:spacing w:before="167" w:line="249" w:lineRule="auto"/>
        <w:ind w:left="815" w:right="130"/>
      </w:pPr>
      <w:r>
        <w:t>Consulted</w:t>
      </w:r>
      <w:r>
        <w:rPr>
          <w:spacing w:val="-3"/>
        </w:rPr>
        <w:t xml:space="preserve"> </w:t>
      </w:r>
      <w:r>
        <w:t>with</w:t>
      </w:r>
      <w:r>
        <w:rPr>
          <w:spacing w:val="-3"/>
        </w:rPr>
        <w:t xml:space="preserve"> </w:t>
      </w:r>
      <w:r>
        <w:t>the</w:t>
      </w:r>
      <w:r>
        <w:rPr>
          <w:spacing w:val="-3"/>
        </w:rPr>
        <w:t xml:space="preserve"> </w:t>
      </w:r>
      <w:r>
        <w:t>Queensland</w:t>
      </w:r>
      <w:r>
        <w:rPr>
          <w:spacing w:val="-3"/>
        </w:rPr>
        <w:t xml:space="preserve"> </w:t>
      </w:r>
      <w:r>
        <w:t>Department</w:t>
      </w:r>
      <w:r>
        <w:rPr>
          <w:spacing w:val="-3"/>
        </w:rPr>
        <w:t xml:space="preserve"> </w:t>
      </w:r>
      <w:r>
        <w:t>of</w:t>
      </w:r>
      <w:r>
        <w:rPr>
          <w:spacing w:val="-3"/>
        </w:rPr>
        <w:t xml:space="preserve"> </w:t>
      </w:r>
      <w:r>
        <w:t>Energy</w:t>
      </w:r>
      <w:r>
        <w:rPr>
          <w:spacing w:val="-3"/>
        </w:rPr>
        <w:t xml:space="preserve"> </w:t>
      </w:r>
      <w:r>
        <w:t>and</w:t>
      </w:r>
      <w:r>
        <w:rPr>
          <w:spacing w:val="-3"/>
        </w:rPr>
        <w:t xml:space="preserve"> </w:t>
      </w:r>
      <w:r>
        <w:t>Public</w:t>
      </w:r>
      <w:r>
        <w:rPr>
          <w:spacing w:val="-3"/>
        </w:rPr>
        <w:t xml:space="preserve"> </w:t>
      </w:r>
      <w:r>
        <w:t>Works</w:t>
      </w:r>
      <w:r>
        <w:rPr>
          <w:spacing w:val="-3"/>
        </w:rPr>
        <w:t xml:space="preserve"> </w:t>
      </w:r>
      <w:r>
        <w:t>on</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confidential</w:t>
      </w:r>
      <w:r>
        <w:rPr>
          <w:spacing w:val="-3"/>
        </w:rPr>
        <w:t xml:space="preserve"> </w:t>
      </w:r>
      <w:r>
        <w:t>legal policy issues including contractor security of payment, minimum financial requirements, and reforms to</w:t>
      </w:r>
      <w:r>
        <w:rPr>
          <w:spacing w:val="40"/>
        </w:rPr>
        <w:t xml:space="preserve"> </w:t>
      </w:r>
      <w:r>
        <w:t>the home warranty scheme.</w:t>
      </w:r>
    </w:p>
    <w:p w14:paraId="710054B1" w14:textId="77777777" w:rsidR="00AC6F3C" w:rsidRDefault="00AC6F3C">
      <w:pPr>
        <w:pStyle w:val="BodyText"/>
        <w:spacing w:before="10"/>
        <w:rPr>
          <w:sz w:val="22"/>
        </w:rPr>
      </w:pPr>
    </w:p>
    <w:p w14:paraId="34BE0C87" w14:textId="77777777" w:rsidR="00AC6F3C" w:rsidRDefault="00570E88">
      <w:pPr>
        <w:pStyle w:val="Heading9"/>
      </w:pPr>
      <w:r>
        <w:t>Review</w:t>
      </w:r>
      <w:r>
        <w:rPr>
          <w:spacing w:val="-4"/>
        </w:rPr>
        <w:t xml:space="preserve"> </w:t>
      </w:r>
      <w:r>
        <w:t>of</w:t>
      </w:r>
      <w:r>
        <w:rPr>
          <w:spacing w:val="-3"/>
        </w:rPr>
        <w:t xml:space="preserve"> </w:t>
      </w:r>
      <w:r>
        <w:t>the</w:t>
      </w:r>
      <w:r>
        <w:rPr>
          <w:spacing w:val="-3"/>
        </w:rPr>
        <w:t xml:space="preserve"> </w:t>
      </w:r>
      <w:r>
        <w:t>Queensland</w:t>
      </w:r>
      <w:r>
        <w:rPr>
          <w:spacing w:val="-4"/>
        </w:rPr>
        <w:t xml:space="preserve"> </w:t>
      </w:r>
      <w:r>
        <w:t>Home</w:t>
      </w:r>
      <w:r>
        <w:rPr>
          <w:spacing w:val="-3"/>
        </w:rPr>
        <w:t xml:space="preserve"> </w:t>
      </w:r>
      <w:r>
        <w:t>Warranty</w:t>
      </w:r>
      <w:r>
        <w:rPr>
          <w:spacing w:val="-3"/>
        </w:rPr>
        <w:t xml:space="preserve"> </w:t>
      </w:r>
      <w:r>
        <w:rPr>
          <w:spacing w:val="-2"/>
        </w:rPr>
        <w:t>Scheme</w:t>
      </w:r>
    </w:p>
    <w:p w14:paraId="79F36531" w14:textId="77777777" w:rsidR="00AC6F3C" w:rsidRDefault="00570E88">
      <w:pPr>
        <w:pStyle w:val="ListParagraph"/>
        <w:numPr>
          <w:ilvl w:val="0"/>
          <w:numId w:val="58"/>
        </w:numPr>
        <w:tabs>
          <w:tab w:val="left" w:pos="1155"/>
        </w:tabs>
        <w:spacing w:before="176" w:line="249" w:lineRule="auto"/>
        <w:ind w:right="347"/>
        <w:rPr>
          <w:sz w:val="20"/>
        </w:rPr>
      </w:pPr>
      <w:r>
        <w:rPr>
          <w:sz w:val="20"/>
        </w:rPr>
        <w:t>Attended</w:t>
      </w:r>
      <w:r>
        <w:rPr>
          <w:spacing w:val="-3"/>
          <w:sz w:val="20"/>
        </w:rPr>
        <w:t xml:space="preserve"> </w:t>
      </w:r>
      <w:r>
        <w:rPr>
          <w:sz w:val="20"/>
        </w:rPr>
        <w:t>the</w:t>
      </w:r>
      <w:r>
        <w:rPr>
          <w:spacing w:val="-3"/>
          <w:sz w:val="20"/>
        </w:rPr>
        <w:t xml:space="preserve"> </w:t>
      </w:r>
      <w:r>
        <w:rPr>
          <w:sz w:val="20"/>
        </w:rPr>
        <w:t>meeting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Ministerial</w:t>
      </w:r>
      <w:r>
        <w:rPr>
          <w:spacing w:val="-3"/>
          <w:sz w:val="20"/>
        </w:rPr>
        <w:t xml:space="preserve"> </w:t>
      </w:r>
      <w:r>
        <w:rPr>
          <w:sz w:val="20"/>
        </w:rPr>
        <w:t>Construction</w:t>
      </w:r>
      <w:r>
        <w:rPr>
          <w:spacing w:val="-3"/>
          <w:sz w:val="20"/>
        </w:rPr>
        <w:t xml:space="preserve"> </w:t>
      </w:r>
      <w:r>
        <w:rPr>
          <w:sz w:val="20"/>
        </w:rPr>
        <w:t>Council</w:t>
      </w:r>
      <w:r>
        <w:rPr>
          <w:spacing w:val="-3"/>
          <w:sz w:val="20"/>
        </w:rPr>
        <w:t xml:space="preserve"> </w:t>
      </w:r>
      <w:r>
        <w:rPr>
          <w:sz w:val="20"/>
        </w:rPr>
        <w:t>Subcommittee</w:t>
      </w:r>
      <w:r>
        <w:rPr>
          <w:spacing w:val="-3"/>
          <w:sz w:val="20"/>
        </w:rPr>
        <w:t xml:space="preserve"> </w:t>
      </w:r>
      <w:r>
        <w:rPr>
          <w:sz w:val="20"/>
        </w:rPr>
        <w:t>to</w:t>
      </w:r>
      <w:r>
        <w:rPr>
          <w:spacing w:val="-3"/>
          <w:sz w:val="20"/>
        </w:rPr>
        <w:t xml:space="preserve"> </w:t>
      </w:r>
      <w:r>
        <w:rPr>
          <w:sz w:val="20"/>
        </w:rPr>
        <w:t>discuss</w:t>
      </w:r>
      <w:r>
        <w:rPr>
          <w:spacing w:val="-3"/>
          <w:sz w:val="20"/>
        </w:rPr>
        <w:t xml:space="preserve"> </w:t>
      </w:r>
      <w:r>
        <w:rPr>
          <w:sz w:val="20"/>
        </w:rPr>
        <w:t>the</w:t>
      </w:r>
      <w:r>
        <w:rPr>
          <w:spacing w:val="-3"/>
          <w:sz w:val="20"/>
        </w:rPr>
        <w:t xml:space="preserve"> </w:t>
      </w:r>
      <w:r>
        <w:rPr>
          <w:sz w:val="20"/>
        </w:rPr>
        <w:t>review</w:t>
      </w:r>
      <w:r>
        <w:rPr>
          <w:spacing w:val="-3"/>
          <w:sz w:val="20"/>
        </w:rPr>
        <w:t xml:space="preserve"> </w:t>
      </w:r>
      <w:r>
        <w:rPr>
          <w:sz w:val="20"/>
        </w:rPr>
        <w:t>of the Queensland Home Warranty Scheme.</w:t>
      </w:r>
    </w:p>
    <w:p w14:paraId="097DF3F4" w14:textId="77777777" w:rsidR="00AC6F3C" w:rsidRDefault="00570E88">
      <w:pPr>
        <w:pStyle w:val="ListParagraph"/>
        <w:numPr>
          <w:ilvl w:val="0"/>
          <w:numId w:val="58"/>
        </w:numPr>
        <w:tabs>
          <w:tab w:val="left" w:pos="1155"/>
        </w:tabs>
        <w:spacing w:before="172"/>
        <w:ind w:hanging="340"/>
        <w:rPr>
          <w:sz w:val="20"/>
        </w:rPr>
      </w:pPr>
      <w:r>
        <w:rPr>
          <w:sz w:val="20"/>
        </w:rPr>
        <w:t>Provided</w:t>
      </w:r>
      <w:r>
        <w:rPr>
          <w:spacing w:val="-3"/>
          <w:sz w:val="20"/>
        </w:rPr>
        <w:t xml:space="preserve"> </w:t>
      </w:r>
      <w:r>
        <w:rPr>
          <w:sz w:val="20"/>
        </w:rPr>
        <w:t>feedback</w:t>
      </w:r>
      <w:r>
        <w:rPr>
          <w:spacing w:val="-3"/>
          <w:sz w:val="20"/>
        </w:rPr>
        <w:t xml:space="preserve"> </w:t>
      </w:r>
      <w:r>
        <w:rPr>
          <w:sz w:val="20"/>
        </w:rPr>
        <w:t>on</w:t>
      </w:r>
      <w:r>
        <w:rPr>
          <w:spacing w:val="-2"/>
          <w:sz w:val="20"/>
        </w:rPr>
        <w:t xml:space="preserve"> </w:t>
      </w:r>
      <w:r>
        <w:rPr>
          <w:sz w:val="20"/>
        </w:rPr>
        <w:t>proposed</w:t>
      </w:r>
      <w:r>
        <w:rPr>
          <w:spacing w:val="-3"/>
          <w:sz w:val="20"/>
        </w:rPr>
        <w:t xml:space="preserve"> </w:t>
      </w:r>
      <w:r>
        <w:rPr>
          <w:sz w:val="20"/>
        </w:rPr>
        <w:t>reforms</w:t>
      </w:r>
      <w:r>
        <w:rPr>
          <w:spacing w:val="-2"/>
          <w:sz w:val="20"/>
        </w:rPr>
        <w:t xml:space="preserve"> </w:t>
      </w:r>
      <w:r>
        <w:rPr>
          <w:sz w:val="20"/>
        </w:rPr>
        <w:t>to</w:t>
      </w:r>
      <w:r>
        <w:rPr>
          <w:spacing w:val="-3"/>
          <w:sz w:val="20"/>
        </w:rPr>
        <w:t xml:space="preserve"> </w:t>
      </w:r>
      <w:r>
        <w:rPr>
          <w:sz w:val="20"/>
        </w:rPr>
        <w:t>the</w:t>
      </w:r>
      <w:r>
        <w:rPr>
          <w:spacing w:val="-2"/>
          <w:sz w:val="20"/>
        </w:rPr>
        <w:t xml:space="preserve"> scheme.</w:t>
      </w:r>
    </w:p>
    <w:p w14:paraId="40048187" w14:textId="77777777" w:rsidR="00AC6F3C" w:rsidRDefault="00AC6F3C">
      <w:pPr>
        <w:pStyle w:val="BodyText"/>
        <w:spacing w:before="5"/>
        <w:rPr>
          <w:sz w:val="23"/>
        </w:rPr>
      </w:pPr>
    </w:p>
    <w:p w14:paraId="07E9E021" w14:textId="77777777" w:rsidR="00AC6F3C" w:rsidRDefault="00570E88">
      <w:pPr>
        <w:pStyle w:val="Heading9"/>
        <w:spacing w:before="1"/>
      </w:pPr>
      <w:r>
        <w:rPr>
          <w:spacing w:val="-2"/>
        </w:rPr>
        <w:t>Submissions</w:t>
      </w:r>
    </w:p>
    <w:p w14:paraId="3247FB6D" w14:textId="77777777" w:rsidR="00AC6F3C" w:rsidRDefault="00570E88">
      <w:pPr>
        <w:pStyle w:val="ListParagraph"/>
        <w:numPr>
          <w:ilvl w:val="0"/>
          <w:numId w:val="58"/>
        </w:numPr>
        <w:tabs>
          <w:tab w:val="left" w:pos="1155"/>
        </w:tabs>
        <w:spacing w:before="175" w:line="249" w:lineRule="auto"/>
        <w:ind w:right="211"/>
        <w:rPr>
          <w:sz w:val="20"/>
        </w:rPr>
      </w:pPr>
      <w:r>
        <w:rPr>
          <w:sz w:val="20"/>
        </w:rPr>
        <w:t>Prepared</w:t>
      </w:r>
      <w:r>
        <w:rPr>
          <w:spacing w:val="-4"/>
          <w:sz w:val="20"/>
        </w:rPr>
        <w:t xml:space="preserve"> </w:t>
      </w:r>
      <w:r>
        <w:rPr>
          <w:sz w:val="20"/>
        </w:rPr>
        <w:t>a</w:t>
      </w:r>
      <w:r>
        <w:rPr>
          <w:spacing w:val="-4"/>
          <w:sz w:val="20"/>
        </w:rPr>
        <w:t xml:space="preserve"> </w:t>
      </w:r>
      <w:r>
        <w:rPr>
          <w:sz w:val="20"/>
        </w:rPr>
        <w:t>submission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Developer</w:t>
      </w:r>
      <w:r>
        <w:rPr>
          <w:spacing w:val="-4"/>
          <w:sz w:val="20"/>
        </w:rPr>
        <w:t xml:space="preserve"> </w:t>
      </w:r>
      <w:r>
        <w:rPr>
          <w:sz w:val="20"/>
        </w:rPr>
        <w:t>Review</w:t>
      </w:r>
      <w:r>
        <w:rPr>
          <w:spacing w:val="-4"/>
          <w:sz w:val="20"/>
        </w:rPr>
        <w:t xml:space="preserve"> </w:t>
      </w:r>
      <w:r>
        <w:rPr>
          <w:sz w:val="20"/>
        </w:rPr>
        <w:t>Panel</w:t>
      </w:r>
      <w:r>
        <w:rPr>
          <w:spacing w:val="-4"/>
          <w:sz w:val="20"/>
        </w:rPr>
        <w:t xml:space="preserve"> </w:t>
      </w:r>
      <w:r>
        <w:rPr>
          <w:sz w:val="20"/>
        </w:rPr>
        <w:t>–</w:t>
      </w:r>
      <w:r>
        <w:rPr>
          <w:spacing w:val="-4"/>
          <w:sz w:val="20"/>
        </w:rPr>
        <w:t xml:space="preserve"> </w:t>
      </w:r>
      <w:r>
        <w:rPr>
          <w:sz w:val="20"/>
        </w:rPr>
        <w:t>Discussion</w:t>
      </w:r>
      <w:r>
        <w:rPr>
          <w:spacing w:val="-4"/>
          <w:sz w:val="20"/>
        </w:rPr>
        <w:t xml:space="preserve"> </w:t>
      </w:r>
      <w:r>
        <w:rPr>
          <w:sz w:val="20"/>
        </w:rPr>
        <w:t>Paper,</w:t>
      </w:r>
      <w:r>
        <w:rPr>
          <w:spacing w:val="-4"/>
          <w:sz w:val="20"/>
        </w:rPr>
        <w:t xml:space="preserve"> </w:t>
      </w:r>
      <w:r>
        <w:rPr>
          <w:sz w:val="20"/>
        </w:rPr>
        <w:t>which</w:t>
      </w:r>
      <w:r>
        <w:rPr>
          <w:spacing w:val="-4"/>
          <w:sz w:val="20"/>
        </w:rPr>
        <w:t xml:space="preserve"> </w:t>
      </w:r>
      <w:r>
        <w:rPr>
          <w:sz w:val="20"/>
        </w:rPr>
        <w:t>outlines</w:t>
      </w:r>
      <w:r>
        <w:rPr>
          <w:spacing w:val="-4"/>
          <w:sz w:val="20"/>
        </w:rPr>
        <w:t xml:space="preserve"> </w:t>
      </w:r>
      <w:r>
        <w:rPr>
          <w:sz w:val="20"/>
        </w:rPr>
        <w:t xml:space="preserve">developer </w:t>
      </w:r>
      <w:proofErr w:type="spellStart"/>
      <w:r>
        <w:rPr>
          <w:sz w:val="20"/>
        </w:rPr>
        <w:t>behaviours</w:t>
      </w:r>
      <w:proofErr w:type="spellEnd"/>
      <w:r>
        <w:rPr>
          <w:sz w:val="20"/>
        </w:rPr>
        <w:t xml:space="preserve"> that influence a project and canvasses a range of potential options to promote high standards within the </w:t>
      </w:r>
      <w:proofErr w:type="gramStart"/>
      <w:r>
        <w:rPr>
          <w:sz w:val="20"/>
        </w:rPr>
        <w:t>industry</w:t>
      </w:r>
      <w:proofErr w:type="gramEnd"/>
    </w:p>
    <w:p w14:paraId="0E85493C" w14:textId="77777777" w:rsidR="00AC6F3C" w:rsidRDefault="00570E88">
      <w:pPr>
        <w:pStyle w:val="ListParagraph"/>
        <w:numPr>
          <w:ilvl w:val="0"/>
          <w:numId w:val="58"/>
        </w:numPr>
        <w:tabs>
          <w:tab w:val="left" w:pos="1155"/>
        </w:tabs>
        <w:spacing w:before="173" w:line="249" w:lineRule="auto"/>
        <w:ind w:right="212"/>
        <w:rPr>
          <w:sz w:val="20"/>
        </w:rPr>
      </w:pPr>
      <w:proofErr w:type="spellStart"/>
      <w:r>
        <w:rPr>
          <w:sz w:val="20"/>
        </w:rPr>
        <w:t>Finalised</w:t>
      </w:r>
      <w:proofErr w:type="spellEnd"/>
      <w:r>
        <w:rPr>
          <w:spacing w:val="-4"/>
          <w:sz w:val="20"/>
        </w:rPr>
        <w:t xml:space="preserve"> </w:t>
      </w:r>
      <w:r>
        <w:rPr>
          <w:sz w:val="20"/>
        </w:rPr>
        <w:t>a</w:t>
      </w:r>
      <w:r>
        <w:rPr>
          <w:spacing w:val="-3"/>
          <w:sz w:val="20"/>
        </w:rPr>
        <w:t xml:space="preserve"> </w:t>
      </w:r>
      <w:r>
        <w:rPr>
          <w:sz w:val="20"/>
        </w:rPr>
        <w:t>joint</w:t>
      </w:r>
      <w:r>
        <w:rPr>
          <w:spacing w:val="-3"/>
          <w:sz w:val="20"/>
        </w:rPr>
        <w:t xml:space="preserve"> </w:t>
      </w:r>
      <w:r>
        <w:rPr>
          <w:sz w:val="20"/>
        </w:rPr>
        <w:t>letter</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Chartered</w:t>
      </w:r>
      <w:r>
        <w:rPr>
          <w:spacing w:val="-13"/>
          <w:sz w:val="20"/>
        </w:rPr>
        <w:t xml:space="preserve"> </w:t>
      </w:r>
      <w:r>
        <w:rPr>
          <w:sz w:val="20"/>
        </w:rPr>
        <w:t>Accountants</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and</w:t>
      </w:r>
      <w:r>
        <w:rPr>
          <w:spacing w:val="-3"/>
          <w:sz w:val="20"/>
        </w:rPr>
        <w:t xml:space="preserve"> </w:t>
      </w:r>
      <w:r>
        <w:rPr>
          <w:sz w:val="20"/>
        </w:rPr>
        <w:t>New</w:t>
      </w:r>
      <w:r>
        <w:rPr>
          <w:spacing w:val="-3"/>
          <w:sz w:val="20"/>
        </w:rPr>
        <w:t xml:space="preserve"> </w:t>
      </w:r>
      <w:r>
        <w:rPr>
          <w:sz w:val="20"/>
        </w:rPr>
        <w:t>Zealand</w:t>
      </w:r>
      <w:r>
        <w:rPr>
          <w:spacing w:val="-3"/>
          <w:sz w:val="20"/>
        </w:rPr>
        <w:t xml:space="preserve"> </w:t>
      </w:r>
      <w:r>
        <w:rPr>
          <w:sz w:val="20"/>
        </w:rPr>
        <w:t>(CA</w:t>
      </w:r>
      <w:r>
        <w:rPr>
          <w:spacing w:val="-22"/>
          <w:sz w:val="20"/>
        </w:rPr>
        <w:t xml:space="preserve"> </w:t>
      </w:r>
      <w:r>
        <w:rPr>
          <w:sz w:val="20"/>
        </w:rPr>
        <w:t>ANZ),</w:t>
      </w:r>
      <w:r>
        <w:rPr>
          <w:spacing w:val="-3"/>
          <w:sz w:val="20"/>
        </w:rPr>
        <w:t xml:space="preserve"> </w:t>
      </w:r>
      <w:r>
        <w:rPr>
          <w:sz w:val="20"/>
        </w:rPr>
        <w:t>which advocated for further clarity and guidance regarding the operation of the Queensland Building and Construction Commission (Minimum Financial Requirements) Regulation 2018.</w:t>
      </w:r>
    </w:p>
    <w:p w14:paraId="2A5744F6" w14:textId="77777777" w:rsidR="00AC6F3C" w:rsidRDefault="00570E88">
      <w:pPr>
        <w:pStyle w:val="ListParagraph"/>
        <w:numPr>
          <w:ilvl w:val="0"/>
          <w:numId w:val="58"/>
        </w:numPr>
        <w:tabs>
          <w:tab w:val="left" w:pos="1155"/>
        </w:tabs>
        <w:spacing w:before="172" w:line="249" w:lineRule="auto"/>
        <w:ind w:right="351"/>
        <w:rPr>
          <w:sz w:val="20"/>
        </w:rPr>
      </w:pPr>
      <w:r>
        <w:rPr>
          <w:sz w:val="20"/>
        </w:rPr>
        <w:t xml:space="preserve">Contributed to a lengthy submission to the Developer Review Panel, commenting on </w:t>
      </w:r>
      <w:proofErr w:type="gramStart"/>
      <w:r>
        <w:rPr>
          <w:sz w:val="20"/>
        </w:rPr>
        <w:t>28</w:t>
      </w:r>
      <w:proofErr w:type="gramEnd"/>
      <w:r>
        <w:rPr>
          <w:sz w:val="20"/>
        </w:rPr>
        <w:t xml:space="preserve"> of the 38 options</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Panel’s</w:t>
      </w:r>
      <w:r>
        <w:rPr>
          <w:spacing w:val="-3"/>
          <w:sz w:val="20"/>
        </w:rPr>
        <w:t xml:space="preserve"> </w:t>
      </w:r>
      <w:r>
        <w:rPr>
          <w:sz w:val="20"/>
        </w:rPr>
        <w:t>Discussion</w:t>
      </w:r>
      <w:r>
        <w:rPr>
          <w:spacing w:val="-3"/>
          <w:sz w:val="20"/>
        </w:rPr>
        <w:t xml:space="preserve"> </w:t>
      </w:r>
      <w:r>
        <w:rPr>
          <w:sz w:val="20"/>
        </w:rPr>
        <w:t>Paper</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role</w:t>
      </w:r>
      <w:r>
        <w:rPr>
          <w:spacing w:val="-3"/>
          <w:sz w:val="20"/>
        </w:rPr>
        <w:t xml:space="preserve"> </w:t>
      </w:r>
      <w:r>
        <w:rPr>
          <w:sz w:val="20"/>
        </w:rPr>
        <w:t>of</w:t>
      </w:r>
      <w:r>
        <w:rPr>
          <w:spacing w:val="-3"/>
          <w:sz w:val="20"/>
        </w:rPr>
        <w:t xml:space="preserve"> </w:t>
      </w:r>
      <w:r>
        <w:rPr>
          <w:sz w:val="20"/>
        </w:rPr>
        <w:t>developers</w:t>
      </w:r>
      <w:r>
        <w:rPr>
          <w:spacing w:val="-3"/>
          <w:sz w:val="20"/>
        </w:rPr>
        <w:t xml:space="preserve"> </w:t>
      </w:r>
      <w:r>
        <w:rPr>
          <w:sz w:val="20"/>
        </w:rPr>
        <w:t>in</w:t>
      </w:r>
      <w:r>
        <w:rPr>
          <w:spacing w:val="-3"/>
          <w:sz w:val="20"/>
        </w:rPr>
        <w:t xml:space="preserve"> </w:t>
      </w:r>
      <w:r>
        <w:rPr>
          <w:sz w:val="20"/>
        </w:rPr>
        <w:t>Queensland’s building and construction industry.</w:t>
      </w:r>
    </w:p>
    <w:p w14:paraId="70FD53C0" w14:textId="77777777" w:rsidR="00AC6F3C" w:rsidRDefault="00570E88">
      <w:pPr>
        <w:pStyle w:val="ListParagraph"/>
        <w:numPr>
          <w:ilvl w:val="0"/>
          <w:numId w:val="58"/>
        </w:numPr>
        <w:tabs>
          <w:tab w:val="left" w:pos="1155"/>
        </w:tabs>
        <w:spacing w:before="173" w:line="249" w:lineRule="auto"/>
        <w:ind w:right="246"/>
        <w:rPr>
          <w:sz w:val="20"/>
        </w:rPr>
      </w:pPr>
      <w:r>
        <w:rPr>
          <w:sz w:val="20"/>
        </w:rPr>
        <w:t xml:space="preserve">Prepared two </w:t>
      </w:r>
      <w:proofErr w:type="gramStart"/>
      <w:r>
        <w:rPr>
          <w:sz w:val="20"/>
        </w:rPr>
        <w:t>proactive</w:t>
      </w:r>
      <w:proofErr w:type="gramEnd"/>
      <w:r>
        <w:rPr>
          <w:sz w:val="20"/>
        </w:rPr>
        <w:t xml:space="preserve"> submissions to the Department in relation to uncertainty in Queensland’s building</w:t>
      </w:r>
      <w:r>
        <w:rPr>
          <w:spacing w:val="-3"/>
          <w:sz w:val="20"/>
        </w:rPr>
        <w:t xml:space="preserve"> </w:t>
      </w:r>
      <w:r>
        <w:rPr>
          <w:sz w:val="20"/>
        </w:rPr>
        <w:t>and</w:t>
      </w:r>
      <w:r>
        <w:rPr>
          <w:spacing w:val="-3"/>
          <w:sz w:val="20"/>
        </w:rPr>
        <w:t xml:space="preserve"> </w:t>
      </w:r>
      <w:r>
        <w:rPr>
          <w:sz w:val="20"/>
        </w:rPr>
        <w:t>construction</w:t>
      </w:r>
      <w:r>
        <w:rPr>
          <w:spacing w:val="-3"/>
          <w:sz w:val="20"/>
        </w:rPr>
        <w:t xml:space="preserve"> </w:t>
      </w:r>
      <w:r>
        <w:rPr>
          <w:sz w:val="20"/>
        </w:rPr>
        <w:t>industry</w:t>
      </w:r>
      <w:r>
        <w:rPr>
          <w:spacing w:val="-3"/>
          <w:sz w:val="20"/>
        </w:rPr>
        <w:t xml:space="preserve"> </w:t>
      </w:r>
      <w:r>
        <w:rPr>
          <w:sz w:val="20"/>
        </w:rPr>
        <w:t>regarding</w:t>
      </w:r>
      <w:r>
        <w:rPr>
          <w:spacing w:val="-3"/>
          <w:sz w:val="20"/>
        </w:rPr>
        <w:t xml:space="preserve"> </w:t>
      </w:r>
      <w:r>
        <w:rPr>
          <w:sz w:val="20"/>
        </w:rPr>
        <w:t>a</w:t>
      </w:r>
      <w:r>
        <w:rPr>
          <w:spacing w:val="-3"/>
          <w:sz w:val="20"/>
        </w:rPr>
        <w:t xml:space="preserve"> </w:t>
      </w:r>
      <w:r>
        <w:rPr>
          <w:sz w:val="20"/>
        </w:rPr>
        <w:t>licensing</w:t>
      </w:r>
      <w:r>
        <w:rPr>
          <w:spacing w:val="-3"/>
          <w:sz w:val="20"/>
        </w:rPr>
        <w:t xml:space="preserve"> </w:t>
      </w:r>
      <w:r>
        <w:rPr>
          <w:sz w:val="20"/>
        </w:rPr>
        <w:t>exemption</w:t>
      </w:r>
      <w:r>
        <w:rPr>
          <w:spacing w:val="-3"/>
          <w:sz w:val="20"/>
        </w:rPr>
        <w:t xml:space="preserve"> </w:t>
      </w:r>
      <w:r>
        <w:rPr>
          <w:sz w:val="20"/>
        </w:rPr>
        <w:t>for</w:t>
      </w:r>
      <w:r>
        <w:rPr>
          <w:spacing w:val="-3"/>
          <w:sz w:val="20"/>
        </w:rPr>
        <w:t xml:space="preserve"> </w:t>
      </w:r>
      <w:r>
        <w:rPr>
          <w:sz w:val="20"/>
        </w:rPr>
        <w:t>subcontractors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staged rollout of the project trust requirements.</w:t>
      </w:r>
    </w:p>
    <w:p w14:paraId="4182EA68" w14:textId="77777777" w:rsidR="00AC6F3C" w:rsidRDefault="00AC6F3C">
      <w:pPr>
        <w:pStyle w:val="BodyText"/>
        <w:spacing w:before="10"/>
        <w:rPr>
          <w:sz w:val="22"/>
        </w:rPr>
      </w:pPr>
    </w:p>
    <w:p w14:paraId="566762C9" w14:textId="77777777" w:rsidR="00AC6F3C" w:rsidRDefault="00570E88">
      <w:pPr>
        <w:pStyle w:val="Heading9"/>
      </w:pPr>
      <w:r>
        <w:t>Stakeholder</w:t>
      </w:r>
      <w:r>
        <w:rPr>
          <w:spacing w:val="-10"/>
        </w:rPr>
        <w:t xml:space="preserve"> </w:t>
      </w:r>
      <w:r>
        <w:rPr>
          <w:spacing w:val="-2"/>
        </w:rPr>
        <w:t>Meetings</w:t>
      </w:r>
    </w:p>
    <w:p w14:paraId="57458C0A" w14:textId="77777777" w:rsidR="00AC6F3C" w:rsidRDefault="00570E88">
      <w:pPr>
        <w:pStyle w:val="ListParagraph"/>
        <w:numPr>
          <w:ilvl w:val="0"/>
          <w:numId w:val="58"/>
        </w:numPr>
        <w:tabs>
          <w:tab w:val="left" w:pos="1155"/>
        </w:tabs>
        <w:spacing w:before="176" w:line="249" w:lineRule="auto"/>
        <w:ind w:right="522"/>
        <w:rPr>
          <w:sz w:val="20"/>
        </w:rPr>
      </w:pPr>
      <w:r>
        <w:rPr>
          <w:sz w:val="20"/>
        </w:rPr>
        <w:t>Attended a stakeholder session with the Department of Energy and Public Works in relation to proposed amendments to the Building Industry Fairness (Security of Payment) Regulation 2018. At</w:t>
      </w:r>
      <w:r>
        <w:rPr>
          <w:spacing w:val="-4"/>
          <w:sz w:val="20"/>
        </w:rPr>
        <w:t xml:space="preserve"> </w:t>
      </w:r>
      <w:r>
        <w:rPr>
          <w:sz w:val="20"/>
        </w:rPr>
        <w:t>the</w:t>
      </w:r>
      <w:r>
        <w:rPr>
          <w:spacing w:val="-4"/>
          <w:sz w:val="20"/>
        </w:rPr>
        <w:t xml:space="preserve"> </w:t>
      </w:r>
      <w:r>
        <w:rPr>
          <w:sz w:val="20"/>
        </w:rPr>
        <w:t>meeting,</w:t>
      </w:r>
      <w:r>
        <w:rPr>
          <w:spacing w:val="-4"/>
          <w:sz w:val="20"/>
        </w:rPr>
        <w:t xml:space="preserve"> </w:t>
      </w:r>
      <w:r>
        <w:rPr>
          <w:sz w:val="20"/>
        </w:rPr>
        <w:t>members</w:t>
      </w:r>
      <w:r>
        <w:rPr>
          <w:spacing w:val="-4"/>
          <w:sz w:val="20"/>
        </w:rPr>
        <w:t xml:space="preserve"> </w:t>
      </w:r>
      <w:r>
        <w:rPr>
          <w:sz w:val="20"/>
        </w:rPr>
        <w:t>advocated</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clearer,</w:t>
      </w:r>
      <w:r>
        <w:rPr>
          <w:spacing w:val="-4"/>
          <w:sz w:val="20"/>
        </w:rPr>
        <w:t xml:space="preserve"> </w:t>
      </w:r>
      <w:r>
        <w:rPr>
          <w:sz w:val="20"/>
        </w:rPr>
        <w:t>simplified</w:t>
      </w:r>
      <w:r>
        <w:rPr>
          <w:spacing w:val="-4"/>
          <w:sz w:val="20"/>
        </w:rPr>
        <w:t xml:space="preserve"> </w:t>
      </w:r>
      <w:r>
        <w:rPr>
          <w:sz w:val="20"/>
        </w:rPr>
        <w:t>regulatory</w:t>
      </w:r>
      <w:r>
        <w:rPr>
          <w:spacing w:val="-4"/>
          <w:sz w:val="20"/>
        </w:rPr>
        <w:t xml:space="preserve"> </w:t>
      </w:r>
      <w:r>
        <w:rPr>
          <w:sz w:val="20"/>
        </w:rPr>
        <w:t>framework</w:t>
      </w:r>
      <w:r>
        <w:rPr>
          <w:spacing w:val="-4"/>
          <w:sz w:val="20"/>
        </w:rPr>
        <w:t xml:space="preserve"> </w:t>
      </w:r>
      <w:r>
        <w:rPr>
          <w:sz w:val="20"/>
        </w:rPr>
        <w:t>in</w:t>
      </w:r>
      <w:r>
        <w:rPr>
          <w:spacing w:val="-4"/>
          <w:sz w:val="20"/>
        </w:rPr>
        <w:t xml:space="preserve"> </w:t>
      </w:r>
      <w:r>
        <w:rPr>
          <w:sz w:val="20"/>
        </w:rPr>
        <w:t>Queensland.</w:t>
      </w:r>
    </w:p>
    <w:p w14:paraId="221A3F5D" w14:textId="77777777" w:rsidR="00AC6F3C" w:rsidRDefault="00570E88">
      <w:pPr>
        <w:pStyle w:val="ListParagraph"/>
        <w:numPr>
          <w:ilvl w:val="0"/>
          <w:numId w:val="58"/>
        </w:numPr>
        <w:tabs>
          <w:tab w:val="left" w:pos="1155"/>
        </w:tabs>
        <w:spacing w:before="172" w:line="249" w:lineRule="auto"/>
        <w:ind w:right="359"/>
        <w:rPr>
          <w:sz w:val="20"/>
        </w:rPr>
      </w:pPr>
      <w:r>
        <w:rPr>
          <w:sz w:val="20"/>
        </w:rPr>
        <w:t>The Committee, together with the Chartered</w:t>
      </w:r>
      <w:r>
        <w:rPr>
          <w:spacing w:val="-4"/>
          <w:sz w:val="20"/>
        </w:rPr>
        <w:t xml:space="preserve"> </w:t>
      </w:r>
      <w:r>
        <w:rPr>
          <w:sz w:val="20"/>
        </w:rPr>
        <w:t>Accountants of</w:t>
      </w:r>
      <w:r>
        <w:rPr>
          <w:spacing w:val="-4"/>
          <w:sz w:val="20"/>
        </w:rPr>
        <w:t xml:space="preserve"> </w:t>
      </w:r>
      <w:r>
        <w:rPr>
          <w:sz w:val="20"/>
        </w:rPr>
        <w:t>Australia and New Zealand met with representatives</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Energy</w:t>
      </w:r>
      <w:r>
        <w:rPr>
          <w:spacing w:val="-3"/>
          <w:sz w:val="20"/>
        </w:rPr>
        <w:t xml:space="preserve"> </w:t>
      </w:r>
      <w:r>
        <w:rPr>
          <w:sz w:val="20"/>
        </w:rPr>
        <w:t>and</w:t>
      </w:r>
      <w:r>
        <w:rPr>
          <w:spacing w:val="-3"/>
          <w:sz w:val="20"/>
        </w:rPr>
        <w:t xml:space="preserve"> </w:t>
      </w:r>
      <w:r>
        <w:rPr>
          <w:sz w:val="20"/>
        </w:rPr>
        <w:t>Public</w:t>
      </w:r>
      <w:r>
        <w:rPr>
          <w:spacing w:val="-3"/>
          <w:sz w:val="20"/>
        </w:rPr>
        <w:t xml:space="preserve"> </w:t>
      </w:r>
      <w:r>
        <w:rPr>
          <w:sz w:val="20"/>
        </w:rPr>
        <w:t>Works</w:t>
      </w:r>
      <w:r>
        <w:rPr>
          <w:spacing w:val="-3"/>
          <w:sz w:val="20"/>
        </w:rPr>
        <w:t xml:space="preserve"> </w:t>
      </w:r>
      <w:r>
        <w:rPr>
          <w:sz w:val="20"/>
        </w:rPr>
        <w:t>to</w:t>
      </w:r>
      <w:r>
        <w:rPr>
          <w:spacing w:val="-3"/>
          <w:sz w:val="20"/>
        </w:rPr>
        <w:t xml:space="preserve"> </w:t>
      </w:r>
      <w:r>
        <w:rPr>
          <w:sz w:val="20"/>
        </w:rPr>
        <w:t>discuss</w:t>
      </w:r>
      <w:r>
        <w:rPr>
          <w:spacing w:val="-3"/>
          <w:sz w:val="20"/>
        </w:rPr>
        <w:t xml:space="preserve"> </w:t>
      </w:r>
      <w:r>
        <w:rPr>
          <w:sz w:val="20"/>
        </w:rPr>
        <w:t>our</w:t>
      </w:r>
      <w:r>
        <w:rPr>
          <w:spacing w:val="-3"/>
          <w:sz w:val="20"/>
        </w:rPr>
        <w:t xml:space="preserve"> </w:t>
      </w:r>
      <w:r>
        <w:rPr>
          <w:sz w:val="20"/>
        </w:rPr>
        <w:t>joint</w:t>
      </w:r>
      <w:r>
        <w:rPr>
          <w:spacing w:val="-3"/>
          <w:sz w:val="20"/>
        </w:rPr>
        <w:t xml:space="preserve"> </w:t>
      </w:r>
      <w:r>
        <w:rPr>
          <w:sz w:val="20"/>
        </w:rPr>
        <w:t>submission</w:t>
      </w:r>
      <w:r>
        <w:rPr>
          <w:spacing w:val="-3"/>
          <w:sz w:val="20"/>
        </w:rPr>
        <w:t xml:space="preserve"> </w:t>
      </w:r>
      <w:r>
        <w:rPr>
          <w:sz w:val="20"/>
        </w:rPr>
        <w:t>to the Department regarding the operation of the Queensland Building and Construction Commission (Minimum Financial Requirements) Regulation 2018.</w:t>
      </w:r>
    </w:p>
    <w:p w14:paraId="63FDA38E" w14:textId="77777777" w:rsidR="00AC6F3C" w:rsidRDefault="00AC6F3C">
      <w:pPr>
        <w:pStyle w:val="BodyText"/>
        <w:spacing w:before="3"/>
        <w:rPr>
          <w:sz w:val="31"/>
        </w:rPr>
      </w:pPr>
    </w:p>
    <w:p w14:paraId="14787773" w14:textId="77777777" w:rsidR="00AC6F3C" w:rsidRDefault="00570E88">
      <w:pPr>
        <w:ind w:left="815"/>
        <w:rPr>
          <w:b/>
          <w:sz w:val="26"/>
        </w:rPr>
      </w:pPr>
      <w:r>
        <w:rPr>
          <w:b/>
          <w:sz w:val="26"/>
        </w:rPr>
        <w:t xml:space="preserve">Criminal Law </w:t>
      </w:r>
      <w:r>
        <w:rPr>
          <w:b/>
          <w:spacing w:val="-2"/>
          <w:sz w:val="26"/>
        </w:rPr>
        <w:t>Committee</w:t>
      </w:r>
    </w:p>
    <w:p w14:paraId="6C8B29BA" w14:textId="77777777" w:rsidR="00AC6F3C" w:rsidRDefault="00570E88">
      <w:pPr>
        <w:pStyle w:val="BodyText"/>
        <w:spacing w:before="167" w:line="249" w:lineRule="auto"/>
        <w:ind w:left="815" w:right="468"/>
      </w:pPr>
      <w:r>
        <w:t>The</w:t>
      </w:r>
      <w:r>
        <w:rPr>
          <w:spacing w:val="-3"/>
        </w:rPr>
        <w:t xml:space="preserve"> </w:t>
      </w:r>
      <w:r>
        <w:t>Criminal</w:t>
      </w:r>
      <w:r>
        <w:rPr>
          <w:spacing w:val="-3"/>
        </w:rPr>
        <w:t xml:space="preserve"> </w:t>
      </w:r>
      <w:r>
        <w:t>Law</w:t>
      </w:r>
      <w:r>
        <w:rPr>
          <w:spacing w:val="-3"/>
        </w:rPr>
        <w:t xml:space="preserve"> </w:t>
      </w:r>
      <w:r>
        <w:t>Committee</w:t>
      </w:r>
      <w:r>
        <w:rPr>
          <w:spacing w:val="-3"/>
        </w:rPr>
        <w:t xml:space="preserve"> </w:t>
      </w:r>
      <w:r>
        <w:t>contributed</w:t>
      </w:r>
      <w:r>
        <w:rPr>
          <w:spacing w:val="-3"/>
        </w:rPr>
        <w:t xml:space="preserve"> </w:t>
      </w:r>
      <w:r>
        <w:t>to</w:t>
      </w:r>
      <w:r>
        <w:rPr>
          <w:spacing w:val="-3"/>
        </w:rPr>
        <w:t xml:space="preserve"> </w:t>
      </w:r>
      <w:proofErr w:type="gramStart"/>
      <w:r>
        <w:t>38</w:t>
      </w:r>
      <w:proofErr w:type="gramEnd"/>
      <w:r>
        <w:rPr>
          <w:spacing w:val="-3"/>
        </w:rPr>
        <w:t xml:space="preserve"> </w:t>
      </w:r>
      <w:r>
        <w:t>submissions</w:t>
      </w:r>
      <w:r>
        <w:rPr>
          <w:spacing w:val="-3"/>
        </w:rPr>
        <w:t xml:space="preserve"> </w:t>
      </w:r>
      <w:r>
        <w:t>and</w:t>
      </w:r>
      <w:r>
        <w:rPr>
          <w:spacing w:val="-3"/>
        </w:rPr>
        <w:t xml:space="preserve"> </w:t>
      </w:r>
      <w:r>
        <w:t>13</w:t>
      </w:r>
      <w:r>
        <w:rPr>
          <w:spacing w:val="-3"/>
        </w:rPr>
        <w:t xml:space="preserve"> </w:t>
      </w:r>
      <w:r>
        <w:t>stakeholder</w:t>
      </w:r>
      <w:r>
        <w:rPr>
          <w:spacing w:val="-3"/>
        </w:rPr>
        <w:t xml:space="preserve"> </w:t>
      </w:r>
      <w:r>
        <w:t>consultations</w:t>
      </w:r>
      <w:r>
        <w:rPr>
          <w:spacing w:val="-3"/>
        </w:rPr>
        <w:t xml:space="preserve"> </w:t>
      </w:r>
      <w:r>
        <w:t>during this financial year.</w:t>
      </w:r>
    </w:p>
    <w:p w14:paraId="31CCB231" w14:textId="77777777" w:rsidR="00AC6F3C" w:rsidRDefault="00AC6F3C">
      <w:pPr>
        <w:pStyle w:val="BodyText"/>
        <w:spacing w:before="9"/>
        <w:rPr>
          <w:sz w:val="22"/>
        </w:rPr>
      </w:pPr>
    </w:p>
    <w:p w14:paraId="14DCD1C1" w14:textId="77777777" w:rsidR="00AC6F3C" w:rsidRDefault="00570E88">
      <w:pPr>
        <w:pStyle w:val="Heading9"/>
        <w:spacing w:line="249" w:lineRule="auto"/>
        <w:ind w:right="2361"/>
      </w:pPr>
      <w:r>
        <w:t>Proposed</w:t>
      </w:r>
      <w:r>
        <w:rPr>
          <w:spacing w:val="-6"/>
        </w:rPr>
        <w:t xml:space="preserve"> </w:t>
      </w:r>
      <w:r>
        <w:t>Changes</w:t>
      </w:r>
      <w:r>
        <w:rPr>
          <w:spacing w:val="-6"/>
        </w:rPr>
        <w:t xml:space="preserve"> </w:t>
      </w:r>
      <w:r>
        <w:t>to</w:t>
      </w:r>
      <w:r>
        <w:rPr>
          <w:spacing w:val="-6"/>
        </w:rPr>
        <w:t xml:space="preserve"> </w:t>
      </w:r>
      <w:r>
        <w:t>Queensland’s</w:t>
      </w:r>
      <w:r>
        <w:rPr>
          <w:spacing w:val="-6"/>
        </w:rPr>
        <w:t xml:space="preserve"> </w:t>
      </w:r>
      <w:r>
        <w:t>Information</w:t>
      </w:r>
      <w:r>
        <w:rPr>
          <w:spacing w:val="-6"/>
        </w:rPr>
        <w:t xml:space="preserve"> </w:t>
      </w:r>
      <w:r>
        <w:t>Privacy</w:t>
      </w:r>
      <w:r>
        <w:rPr>
          <w:spacing w:val="-6"/>
        </w:rPr>
        <w:t xml:space="preserve"> </w:t>
      </w:r>
      <w:r>
        <w:t>and</w:t>
      </w:r>
      <w:r>
        <w:rPr>
          <w:spacing w:val="-6"/>
        </w:rPr>
        <w:t xml:space="preserve"> </w:t>
      </w:r>
      <w:r>
        <w:t>Right to Information Framework</w:t>
      </w:r>
    </w:p>
    <w:p w14:paraId="76678551" w14:textId="77777777" w:rsidR="00AC6F3C" w:rsidRDefault="00570E88">
      <w:pPr>
        <w:pStyle w:val="ListParagraph"/>
        <w:numPr>
          <w:ilvl w:val="0"/>
          <w:numId w:val="58"/>
        </w:numPr>
        <w:tabs>
          <w:tab w:val="left" w:pos="1155"/>
        </w:tabs>
        <w:spacing w:before="167" w:line="249" w:lineRule="auto"/>
        <w:ind w:right="584"/>
        <w:rPr>
          <w:sz w:val="20"/>
        </w:rPr>
      </w:pPr>
      <w:r>
        <w:rPr>
          <w:sz w:val="20"/>
        </w:rPr>
        <w:t>Contributed to a submission on the proposed changes to Queensland’s information privacy and right</w:t>
      </w:r>
      <w:r>
        <w:rPr>
          <w:spacing w:val="-3"/>
          <w:sz w:val="20"/>
        </w:rPr>
        <w:t xml:space="preserve"> </w:t>
      </w:r>
      <w:r>
        <w:rPr>
          <w:sz w:val="20"/>
        </w:rPr>
        <w:t>to</w:t>
      </w:r>
      <w:r>
        <w:rPr>
          <w:spacing w:val="-3"/>
          <w:sz w:val="20"/>
        </w:rPr>
        <w:t xml:space="preserve"> </w:t>
      </w:r>
      <w:r>
        <w:rPr>
          <w:sz w:val="20"/>
        </w:rPr>
        <w:t>information</w:t>
      </w:r>
      <w:r>
        <w:rPr>
          <w:spacing w:val="-3"/>
          <w:sz w:val="20"/>
        </w:rPr>
        <w:t xml:space="preserve"> </w:t>
      </w:r>
      <w:r>
        <w:rPr>
          <w:sz w:val="20"/>
        </w:rPr>
        <w:t>framework,</w:t>
      </w:r>
      <w:r>
        <w:rPr>
          <w:spacing w:val="-3"/>
          <w:sz w:val="20"/>
        </w:rPr>
        <w:t xml:space="preserve"> </w:t>
      </w:r>
      <w:r>
        <w:rPr>
          <w:sz w:val="20"/>
        </w:rPr>
        <w:t>looking</w:t>
      </w:r>
      <w:r>
        <w:rPr>
          <w:spacing w:val="-3"/>
          <w:sz w:val="20"/>
        </w:rPr>
        <w:t xml:space="preserve"> </w:t>
      </w:r>
      <w:r>
        <w:rPr>
          <w:sz w:val="20"/>
        </w:rPr>
        <w:t>specifically</w:t>
      </w:r>
      <w:r>
        <w:rPr>
          <w:spacing w:val="-3"/>
          <w:sz w:val="20"/>
        </w:rPr>
        <w:t xml:space="preserve"> </w:t>
      </w:r>
      <w:r>
        <w:rPr>
          <w:sz w:val="20"/>
        </w:rPr>
        <w:t>at</w:t>
      </w:r>
      <w:r>
        <w:rPr>
          <w:spacing w:val="-3"/>
          <w:sz w:val="20"/>
        </w:rPr>
        <w:t xml:space="preserve"> </w:t>
      </w:r>
      <w:r>
        <w:rPr>
          <w:sz w:val="20"/>
        </w:rPr>
        <w:t>a</w:t>
      </w:r>
      <w:r>
        <w:rPr>
          <w:spacing w:val="-3"/>
          <w:sz w:val="20"/>
        </w:rPr>
        <w:t xml:space="preserve"> </w:t>
      </w:r>
      <w:r>
        <w:rPr>
          <w:sz w:val="20"/>
        </w:rPr>
        <w:t>proposed</w:t>
      </w:r>
      <w:r>
        <w:rPr>
          <w:spacing w:val="-3"/>
          <w:sz w:val="20"/>
        </w:rPr>
        <w:t xml:space="preserve"> </w:t>
      </w:r>
      <w:r>
        <w:rPr>
          <w:sz w:val="20"/>
        </w:rPr>
        <w:t>new</w:t>
      </w:r>
      <w:r>
        <w:rPr>
          <w:spacing w:val="-3"/>
          <w:sz w:val="20"/>
        </w:rPr>
        <w:t xml:space="preserve"> </w:t>
      </w:r>
      <w:r>
        <w:rPr>
          <w:sz w:val="20"/>
        </w:rPr>
        <w:t>criminal</w:t>
      </w:r>
      <w:r>
        <w:rPr>
          <w:spacing w:val="-3"/>
          <w:sz w:val="20"/>
        </w:rPr>
        <w:t xml:space="preserve"> </w:t>
      </w:r>
      <w:r>
        <w:rPr>
          <w:sz w:val="20"/>
        </w:rPr>
        <w:t>offence</w:t>
      </w:r>
      <w:r>
        <w:rPr>
          <w:spacing w:val="-3"/>
          <w:sz w:val="20"/>
        </w:rPr>
        <w:t xml:space="preserve"> </w:t>
      </w:r>
      <w:r>
        <w:rPr>
          <w:sz w:val="20"/>
        </w:rPr>
        <w:t>for</w:t>
      </w:r>
      <w:r>
        <w:rPr>
          <w:spacing w:val="-3"/>
          <w:sz w:val="20"/>
        </w:rPr>
        <w:t xml:space="preserve"> </w:t>
      </w:r>
      <w:r>
        <w:rPr>
          <w:sz w:val="20"/>
        </w:rPr>
        <w:t xml:space="preserve">misuse of personal information by public </w:t>
      </w:r>
      <w:proofErr w:type="gramStart"/>
      <w:r>
        <w:rPr>
          <w:sz w:val="20"/>
        </w:rPr>
        <w:t>officers</w:t>
      </w:r>
      <w:proofErr w:type="gramEnd"/>
    </w:p>
    <w:p w14:paraId="7C727B12" w14:textId="77777777" w:rsidR="00AC6F3C" w:rsidRDefault="00570E88">
      <w:pPr>
        <w:pStyle w:val="ListParagraph"/>
        <w:numPr>
          <w:ilvl w:val="0"/>
          <w:numId w:val="58"/>
        </w:numPr>
        <w:tabs>
          <w:tab w:val="left" w:pos="1155"/>
        </w:tabs>
        <w:spacing w:before="173"/>
        <w:ind w:hanging="340"/>
        <w:rPr>
          <w:sz w:val="20"/>
        </w:rPr>
      </w:pPr>
      <w:r>
        <w:rPr>
          <w:sz w:val="20"/>
        </w:rPr>
        <w:t>The</w:t>
      </w:r>
      <w:r>
        <w:rPr>
          <w:spacing w:val="-3"/>
          <w:sz w:val="20"/>
        </w:rPr>
        <w:t xml:space="preserve"> </w:t>
      </w:r>
      <w:r>
        <w:rPr>
          <w:sz w:val="20"/>
        </w:rPr>
        <w:t>submission</w:t>
      </w:r>
      <w:r>
        <w:rPr>
          <w:spacing w:val="-3"/>
          <w:sz w:val="20"/>
        </w:rPr>
        <w:t xml:space="preserve"> </w:t>
      </w:r>
      <w:r>
        <w:rPr>
          <w:sz w:val="20"/>
        </w:rPr>
        <w:t>did</w:t>
      </w:r>
      <w:r>
        <w:rPr>
          <w:spacing w:val="-3"/>
          <w:sz w:val="20"/>
        </w:rPr>
        <w:t xml:space="preserve"> </w:t>
      </w:r>
      <w:r>
        <w:rPr>
          <w:sz w:val="20"/>
        </w:rPr>
        <w:t>not</w:t>
      </w:r>
      <w:r>
        <w:rPr>
          <w:spacing w:val="-3"/>
          <w:sz w:val="20"/>
        </w:rPr>
        <w:t xml:space="preserve"> </w:t>
      </w:r>
      <w:r>
        <w:rPr>
          <w:sz w:val="20"/>
        </w:rPr>
        <w:t>support</w:t>
      </w:r>
      <w:r>
        <w:rPr>
          <w:spacing w:val="-3"/>
          <w:sz w:val="20"/>
        </w:rPr>
        <w:t xml:space="preserve"> </w:t>
      </w:r>
      <w:r>
        <w:rPr>
          <w:sz w:val="20"/>
        </w:rPr>
        <w:t>the</w:t>
      </w:r>
      <w:r>
        <w:rPr>
          <w:spacing w:val="-3"/>
          <w:sz w:val="20"/>
        </w:rPr>
        <w:t xml:space="preserve"> </w:t>
      </w:r>
      <w:r>
        <w:rPr>
          <w:sz w:val="20"/>
        </w:rPr>
        <w:t>proposed</w:t>
      </w:r>
      <w:r>
        <w:rPr>
          <w:spacing w:val="-3"/>
          <w:sz w:val="20"/>
        </w:rPr>
        <w:t xml:space="preserve"> </w:t>
      </w:r>
      <w:r>
        <w:rPr>
          <w:sz w:val="20"/>
        </w:rPr>
        <w:t>offence,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basis</w:t>
      </w:r>
      <w:r>
        <w:rPr>
          <w:spacing w:val="-3"/>
          <w:sz w:val="20"/>
        </w:rPr>
        <w:t xml:space="preserve"> </w:t>
      </w:r>
      <w:r>
        <w:rPr>
          <w:spacing w:val="-2"/>
          <w:sz w:val="20"/>
        </w:rPr>
        <w:t>that:</w:t>
      </w:r>
    </w:p>
    <w:p w14:paraId="4EE84B1D" w14:textId="77777777" w:rsidR="00AC6F3C" w:rsidRDefault="00570E88">
      <w:pPr>
        <w:pStyle w:val="ListParagraph"/>
        <w:numPr>
          <w:ilvl w:val="1"/>
          <w:numId w:val="58"/>
        </w:numPr>
        <w:tabs>
          <w:tab w:val="left" w:pos="1495"/>
        </w:tabs>
        <w:spacing w:line="249" w:lineRule="auto"/>
        <w:ind w:left="1495" w:right="283"/>
        <w:rPr>
          <w:sz w:val="20"/>
        </w:rPr>
      </w:pPr>
      <w:r>
        <w:rPr>
          <w:sz w:val="20"/>
        </w:rPr>
        <w:t>such</w:t>
      </w:r>
      <w:r>
        <w:rPr>
          <w:spacing w:val="-3"/>
          <w:sz w:val="20"/>
        </w:rPr>
        <w:t xml:space="preserve"> </w:t>
      </w:r>
      <w:r>
        <w:rPr>
          <w:sz w:val="20"/>
        </w:rPr>
        <w:t>conduct</w:t>
      </w:r>
      <w:r>
        <w:rPr>
          <w:spacing w:val="-3"/>
          <w:sz w:val="20"/>
        </w:rPr>
        <w:t xml:space="preserve"> </w:t>
      </w:r>
      <w:proofErr w:type="gramStart"/>
      <w:r>
        <w:rPr>
          <w:sz w:val="20"/>
        </w:rPr>
        <w:t>is</w:t>
      </w:r>
      <w:r>
        <w:rPr>
          <w:spacing w:val="-3"/>
          <w:sz w:val="20"/>
        </w:rPr>
        <w:t xml:space="preserve"> </w:t>
      </w:r>
      <w:r>
        <w:rPr>
          <w:sz w:val="20"/>
        </w:rPr>
        <w:t>better</w:t>
      </w:r>
      <w:r>
        <w:rPr>
          <w:spacing w:val="-3"/>
          <w:sz w:val="20"/>
        </w:rPr>
        <w:t xml:space="preserve"> </w:t>
      </w:r>
      <w:r>
        <w:rPr>
          <w:sz w:val="20"/>
        </w:rPr>
        <w:t>captured</w:t>
      </w:r>
      <w:proofErr w:type="gramEnd"/>
      <w:r>
        <w:rPr>
          <w:spacing w:val="-3"/>
          <w:sz w:val="20"/>
        </w:rPr>
        <w:t xml:space="preserve"> </w:t>
      </w:r>
      <w:r>
        <w:rPr>
          <w:sz w:val="20"/>
        </w:rPr>
        <w:t>under</w:t>
      </w:r>
      <w:r>
        <w:rPr>
          <w:spacing w:val="-3"/>
          <w:sz w:val="20"/>
        </w:rPr>
        <w:t xml:space="preserve"> </w:t>
      </w:r>
      <w:r>
        <w:rPr>
          <w:sz w:val="20"/>
        </w:rPr>
        <w:t>existing</w:t>
      </w:r>
      <w:r>
        <w:rPr>
          <w:spacing w:val="-3"/>
          <w:sz w:val="20"/>
        </w:rPr>
        <w:t xml:space="preserve"> </w:t>
      </w:r>
      <w:r>
        <w:rPr>
          <w:sz w:val="20"/>
        </w:rPr>
        <w:t>disciplinary</w:t>
      </w:r>
      <w:r>
        <w:rPr>
          <w:spacing w:val="-3"/>
          <w:sz w:val="20"/>
        </w:rPr>
        <w:t xml:space="preserve"> </w:t>
      </w:r>
      <w:r>
        <w:rPr>
          <w:sz w:val="20"/>
        </w:rPr>
        <w:t>processes</w:t>
      </w:r>
      <w:r>
        <w:rPr>
          <w:spacing w:val="-3"/>
          <w:sz w:val="20"/>
        </w:rPr>
        <w:t xml:space="preserve"> </w:t>
      </w:r>
      <w:r>
        <w:rPr>
          <w:sz w:val="20"/>
        </w:rPr>
        <w:t>(which</w:t>
      </w:r>
      <w:r>
        <w:rPr>
          <w:spacing w:val="-3"/>
          <w:sz w:val="20"/>
        </w:rPr>
        <w:t xml:space="preserve"> </w:t>
      </w:r>
      <w:r>
        <w:rPr>
          <w:sz w:val="20"/>
        </w:rPr>
        <w:t>should</w:t>
      </w:r>
      <w:r>
        <w:rPr>
          <w:spacing w:val="-3"/>
          <w:sz w:val="20"/>
        </w:rPr>
        <w:t xml:space="preserve"> </w:t>
      </w:r>
      <w:r>
        <w:rPr>
          <w:sz w:val="20"/>
        </w:rPr>
        <w:t>be</w:t>
      </w:r>
      <w:r>
        <w:rPr>
          <w:spacing w:val="-3"/>
          <w:sz w:val="20"/>
        </w:rPr>
        <w:t xml:space="preserve"> </w:t>
      </w:r>
      <w:r>
        <w:rPr>
          <w:sz w:val="20"/>
        </w:rPr>
        <w:t>reviewed to ensure they are robust and consistent); and,</w:t>
      </w:r>
    </w:p>
    <w:p w14:paraId="40966ED4" w14:textId="77777777" w:rsidR="00AC6F3C" w:rsidRDefault="00570E88">
      <w:pPr>
        <w:pStyle w:val="ListParagraph"/>
        <w:numPr>
          <w:ilvl w:val="1"/>
          <w:numId w:val="58"/>
        </w:numPr>
        <w:tabs>
          <w:tab w:val="left" w:pos="1495"/>
        </w:tabs>
        <w:spacing w:before="171" w:line="249" w:lineRule="auto"/>
        <w:ind w:left="1495" w:right="136"/>
        <w:rPr>
          <w:sz w:val="20"/>
        </w:rPr>
      </w:pPr>
      <w:r>
        <w:rPr>
          <w:sz w:val="20"/>
        </w:rPr>
        <w:t>where</w:t>
      </w:r>
      <w:r>
        <w:rPr>
          <w:spacing w:val="-4"/>
          <w:sz w:val="20"/>
        </w:rPr>
        <w:t xml:space="preserve"> </w:t>
      </w:r>
      <w:r>
        <w:rPr>
          <w:sz w:val="20"/>
        </w:rPr>
        <w:t>conduct</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public</w:t>
      </w:r>
      <w:r>
        <w:rPr>
          <w:spacing w:val="-4"/>
          <w:sz w:val="20"/>
        </w:rPr>
        <w:t xml:space="preserve"> </w:t>
      </w:r>
      <w:r>
        <w:rPr>
          <w:sz w:val="20"/>
        </w:rPr>
        <w:t>officer</w:t>
      </w:r>
      <w:r>
        <w:rPr>
          <w:spacing w:val="-4"/>
          <w:sz w:val="20"/>
        </w:rPr>
        <w:t xml:space="preserve"> </w:t>
      </w:r>
      <w:proofErr w:type="gramStart"/>
      <w:r>
        <w:rPr>
          <w:sz w:val="20"/>
        </w:rPr>
        <w:t>actually</w:t>
      </w:r>
      <w:r>
        <w:rPr>
          <w:spacing w:val="-4"/>
          <w:sz w:val="20"/>
        </w:rPr>
        <w:t xml:space="preserve"> </w:t>
      </w:r>
      <w:r>
        <w:rPr>
          <w:sz w:val="20"/>
        </w:rPr>
        <w:t>meets</w:t>
      </w:r>
      <w:proofErr w:type="gramEnd"/>
      <w:r>
        <w:rPr>
          <w:spacing w:val="-4"/>
          <w:sz w:val="20"/>
        </w:rPr>
        <w:t xml:space="preserve"> </w:t>
      </w:r>
      <w:r>
        <w:rPr>
          <w:sz w:val="20"/>
        </w:rPr>
        <w:t>the</w:t>
      </w:r>
      <w:r>
        <w:rPr>
          <w:spacing w:val="-4"/>
          <w:sz w:val="20"/>
        </w:rPr>
        <w:t xml:space="preserve"> </w:t>
      </w:r>
      <w:r>
        <w:rPr>
          <w:sz w:val="20"/>
        </w:rPr>
        <w:t>threshold</w:t>
      </w:r>
      <w:r>
        <w:rPr>
          <w:spacing w:val="-4"/>
          <w:sz w:val="20"/>
        </w:rPr>
        <w:t xml:space="preserve"> </w:t>
      </w:r>
      <w:r>
        <w:rPr>
          <w:sz w:val="20"/>
        </w:rPr>
        <w:t>of</w:t>
      </w:r>
      <w:r>
        <w:rPr>
          <w:spacing w:val="-4"/>
          <w:sz w:val="20"/>
        </w:rPr>
        <w:t xml:space="preserve"> </w:t>
      </w:r>
      <w:r>
        <w:rPr>
          <w:sz w:val="20"/>
        </w:rPr>
        <w:t>criminality,</w:t>
      </w:r>
      <w:r>
        <w:rPr>
          <w:spacing w:val="-4"/>
          <w:sz w:val="20"/>
        </w:rPr>
        <w:t xml:space="preserve"> </w:t>
      </w:r>
      <w:r>
        <w:rPr>
          <w:sz w:val="20"/>
        </w:rPr>
        <w:t>the</w:t>
      </w:r>
      <w:r>
        <w:rPr>
          <w:spacing w:val="-4"/>
          <w:sz w:val="20"/>
        </w:rPr>
        <w:t xml:space="preserve"> </w:t>
      </w:r>
      <w:r>
        <w:rPr>
          <w:sz w:val="20"/>
        </w:rPr>
        <w:t>various</w:t>
      </w:r>
      <w:r>
        <w:rPr>
          <w:spacing w:val="-4"/>
          <w:sz w:val="20"/>
        </w:rPr>
        <w:t xml:space="preserve"> </w:t>
      </w:r>
      <w:r>
        <w:rPr>
          <w:sz w:val="20"/>
        </w:rPr>
        <w:t xml:space="preserve">provisions of the </w:t>
      </w:r>
      <w:r>
        <w:rPr>
          <w:i/>
          <w:sz w:val="20"/>
        </w:rPr>
        <w:t xml:space="preserve">Criminal Code Act 1899 </w:t>
      </w:r>
      <w:r>
        <w:rPr>
          <w:sz w:val="20"/>
        </w:rPr>
        <w:t>(Qld) and agency-specific legislative frameworks adequately address the offending.</w:t>
      </w:r>
    </w:p>
    <w:p w14:paraId="662685F1" w14:textId="77777777" w:rsidR="00AC6F3C" w:rsidRDefault="00AC6F3C">
      <w:pPr>
        <w:spacing w:line="249" w:lineRule="auto"/>
        <w:rPr>
          <w:sz w:val="20"/>
        </w:rPr>
        <w:sectPr w:rsidR="00AC6F3C">
          <w:headerReference w:type="default" r:id="rId74"/>
          <w:footerReference w:type="default" r:id="rId75"/>
          <w:pgSz w:w="11910" w:h="16840"/>
          <w:pgMar w:top="1140" w:right="1160" w:bottom="520" w:left="460" w:header="0" w:footer="336" w:gutter="0"/>
          <w:cols w:space="720"/>
        </w:sectPr>
      </w:pPr>
    </w:p>
    <w:p w14:paraId="6EED60F7" w14:textId="77777777" w:rsidR="00AC6F3C" w:rsidRDefault="00570E88">
      <w:pPr>
        <w:pStyle w:val="Heading9"/>
        <w:spacing w:before="71"/>
      </w:pPr>
      <w:r>
        <w:lastRenderedPageBreak/>
        <w:t>Establishment</w:t>
      </w:r>
      <w:r>
        <w:rPr>
          <w:spacing w:val="-2"/>
        </w:rPr>
        <w:t xml:space="preserve"> </w:t>
      </w:r>
      <w:r>
        <w:t>of</w:t>
      </w:r>
      <w:r>
        <w:rPr>
          <w:spacing w:val="-1"/>
        </w:rPr>
        <w:t xml:space="preserve"> </w:t>
      </w:r>
      <w:r>
        <w:t>a</w:t>
      </w:r>
      <w:r>
        <w:rPr>
          <w:spacing w:val="-1"/>
        </w:rPr>
        <w:t xml:space="preserve"> </w:t>
      </w:r>
      <w:r>
        <w:t>Federal</w:t>
      </w:r>
      <w:r>
        <w:rPr>
          <w:spacing w:val="-1"/>
        </w:rPr>
        <w:t xml:space="preserve"> </w:t>
      </w:r>
      <w:r>
        <w:t>Parole</w:t>
      </w:r>
      <w:r>
        <w:rPr>
          <w:spacing w:val="-9"/>
        </w:rPr>
        <w:t xml:space="preserve"> </w:t>
      </w:r>
      <w:r>
        <w:rPr>
          <w:spacing w:val="-2"/>
        </w:rPr>
        <w:t>Authority</w:t>
      </w:r>
    </w:p>
    <w:p w14:paraId="23ADCB95" w14:textId="77777777" w:rsidR="00AC6F3C" w:rsidRDefault="00570E88">
      <w:pPr>
        <w:pStyle w:val="ListParagraph"/>
        <w:numPr>
          <w:ilvl w:val="0"/>
          <w:numId w:val="58"/>
        </w:numPr>
        <w:tabs>
          <w:tab w:val="left" w:pos="1155"/>
        </w:tabs>
        <w:spacing w:before="176" w:line="249" w:lineRule="auto"/>
        <w:ind w:right="519"/>
        <w:rPr>
          <w:sz w:val="20"/>
        </w:rPr>
      </w:pPr>
      <w:r>
        <w:rPr>
          <w:sz w:val="20"/>
        </w:rPr>
        <w:t>Responded</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memo</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Law</w:t>
      </w:r>
      <w:r>
        <w:rPr>
          <w:spacing w:val="-4"/>
          <w:sz w:val="20"/>
        </w:rPr>
        <w:t xml:space="preserve"> </w:t>
      </w:r>
      <w:r>
        <w:rPr>
          <w:sz w:val="20"/>
        </w:rPr>
        <w:t>Council</w:t>
      </w:r>
      <w:r>
        <w:rPr>
          <w:spacing w:val="-4"/>
          <w:sz w:val="20"/>
        </w:rPr>
        <w:t xml:space="preserve"> </w:t>
      </w:r>
      <w:r>
        <w:rPr>
          <w:sz w:val="20"/>
        </w:rPr>
        <w:t>of</w:t>
      </w:r>
      <w:r>
        <w:rPr>
          <w:spacing w:val="-14"/>
          <w:sz w:val="20"/>
        </w:rPr>
        <w:t xml:space="preserve"> </w:t>
      </w:r>
      <w:r>
        <w:rPr>
          <w:sz w:val="20"/>
        </w:rPr>
        <w:t>Australia</w:t>
      </w:r>
      <w:r>
        <w:rPr>
          <w:spacing w:val="-4"/>
          <w:sz w:val="20"/>
        </w:rPr>
        <w:t xml:space="preserve"> </w:t>
      </w:r>
      <w:r>
        <w:rPr>
          <w:sz w:val="20"/>
        </w:rPr>
        <w:t>asking</w:t>
      </w:r>
      <w:r>
        <w:rPr>
          <w:spacing w:val="-4"/>
          <w:sz w:val="20"/>
        </w:rPr>
        <w:t xml:space="preserve"> </w:t>
      </w:r>
      <w:r>
        <w:rPr>
          <w:sz w:val="20"/>
        </w:rPr>
        <w:t>for</w:t>
      </w:r>
      <w:r>
        <w:rPr>
          <w:spacing w:val="-4"/>
          <w:sz w:val="20"/>
        </w:rPr>
        <w:t xml:space="preserve"> </w:t>
      </w:r>
      <w:r>
        <w:rPr>
          <w:sz w:val="20"/>
        </w:rPr>
        <w:t>further</w:t>
      </w:r>
      <w:r>
        <w:rPr>
          <w:spacing w:val="-4"/>
          <w:sz w:val="20"/>
        </w:rPr>
        <w:t xml:space="preserve"> </w:t>
      </w:r>
      <w:r>
        <w:rPr>
          <w:sz w:val="20"/>
        </w:rPr>
        <w:t>feedback</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LCA’s intended policy advocacy on the establishment of a federal parole authority.</w:t>
      </w:r>
    </w:p>
    <w:p w14:paraId="5D67E3AD" w14:textId="77777777" w:rsidR="00AC6F3C" w:rsidRDefault="00570E88">
      <w:pPr>
        <w:pStyle w:val="ListParagraph"/>
        <w:numPr>
          <w:ilvl w:val="0"/>
          <w:numId w:val="58"/>
        </w:numPr>
        <w:tabs>
          <w:tab w:val="left" w:pos="1155"/>
        </w:tabs>
        <w:spacing w:before="172" w:line="249" w:lineRule="auto"/>
        <w:ind w:right="690"/>
        <w:rPr>
          <w:sz w:val="20"/>
        </w:rPr>
      </w:pPr>
      <w:r>
        <w:rPr>
          <w:sz w:val="20"/>
        </w:rPr>
        <w:t>Supported the preferred model, being an independent statutory body, comprising an agency head</w:t>
      </w:r>
      <w:r>
        <w:rPr>
          <w:spacing w:val="-3"/>
          <w:sz w:val="20"/>
        </w:rPr>
        <w:t xml:space="preserve"> </w:t>
      </w:r>
      <w:r>
        <w:rPr>
          <w:sz w:val="20"/>
        </w:rPr>
        <w:t>who</w:t>
      </w:r>
      <w:r>
        <w:rPr>
          <w:spacing w:val="-3"/>
          <w:sz w:val="20"/>
        </w:rPr>
        <w:t xml:space="preserve"> </w:t>
      </w:r>
      <w:r>
        <w:rPr>
          <w:sz w:val="20"/>
        </w:rPr>
        <w:t>is</w:t>
      </w:r>
      <w:r>
        <w:rPr>
          <w:spacing w:val="-3"/>
          <w:sz w:val="20"/>
        </w:rPr>
        <w:t xml:space="preserve"> </w:t>
      </w:r>
      <w:r>
        <w:rPr>
          <w:sz w:val="20"/>
        </w:rPr>
        <w:t>appointed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Governor-General</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statutory</w:t>
      </w:r>
      <w:r>
        <w:rPr>
          <w:spacing w:val="-3"/>
          <w:sz w:val="20"/>
        </w:rPr>
        <w:t xml:space="preserve"> </w:t>
      </w:r>
      <w:r>
        <w:rPr>
          <w:sz w:val="20"/>
        </w:rPr>
        <w:t>protections</w:t>
      </w:r>
      <w:r>
        <w:rPr>
          <w:spacing w:val="-3"/>
          <w:sz w:val="20"/>
        </w:rPr>
        <w:t xml:space="preserve"> </w:t>
      </w:r>
      <w:r>
        <w:rPr>
          <w:sz w:val="20"/>
        </w:rPr>
        <w:t>to</w:t>
      </w:r>
      <w:r>
        <w:rPr>
          <w:spacing w:val="-3"/>
          <w:sz w:val="20"/>
        </w:rPr>
        <w:t xml:space="preserve"> </w:t>
      </w:r>
      <w:r>
        <w:rPr>
          <w:sz w:val="20"/>
        </w:rPr>
        <w:t>ensure</w:t>
      </w:r>
      <w:r>
        <w:rPr>
          <w:spacing w:val="-3"/>
          <w:sz w:val="20"/>
        </w:rPr>
        <w:t xml:space="preserve"> </w:t>
      </w:r>
      <w:proofErr w:type="gramStart"/>
      <w:r>
        <w:rPr>
          <w:sz w:val="20"/>
        </w:rPr>
        <w:t>their</w:t>
      </w:r>
      <w:proofErr w:type="gramEnd"/>
    </w:p>
    <w:p w14:paraId="759647CD" w14:textId="77777777" w:rsidR="00AC6F3C" w:rsidRDefault="00570E88">
      <w:pPr>
        <w:pStyle w:val="BodyText"/>
        <w:spacing w:before="1"/>
        <w:ind w:left="1155"/>
      </w:pPr>
      <w:r>
        <w:t>independence</w:t>
      </w:r>
      <w:r>
        <w:rPr>
          <w:spacing w:val="-5"/>
        </w:rPr>
        <w:t xml:space="preserve"> </w:t>
      </w:r>
      <w:r>
        <w:t>and</w:t>
      </w:r>
      <w:r>
        <w:rPr>
          <w:spacing w:val="-4"/>
        </w:rPr>
        <w:t xml:space="preserve"> </w:t>
      </w:r>
      <w:r>
        <w:t>expertise)</w:t>
      </w:r>
      <w:r>
        <w:rPr>
          <w:spacing w:val="-4"/>
        </w:rPr>
        <w:t xml:space="preserve"> </w:t>
      </w:r>
      <w:r>
        <w:t>and</w:t>
      </w:r>
      <w:r>
        <w:rPr>
          <w:spacing w:val="-5"/>
        </w:rPr>
        <w:t xml:space="preserve"> </w:t>
      </w:r>
      <w:proofErr w:type="gramStart"/>
      <w:r>
        <w:t>dedicated</w:t>
      </w:r>
      <w:proofErr w:type="gramEnd"/>
      <w:r>
        <w:rPr>
          <w:spacing w:val="-4"/>
        </w:rPr>
        <w:t xml:space="preserve"> </w:t>
      </w:r>
      <w:r>
        <w:t>staff</w:t>
      </w:r>
      <w:r>
        <w:rPr>
          <w:spacing w:val="-4"/>
        </w:rPr>
        <w:t xml:space="preserve"> </w:t>
      </w:r>
      <w:r>
        <w:t>who</w:t>
      </w:r>
      <w:r>
        <w:rPr>
          <w:spacing w:val="-5"/>
        </w:rPr>
        <w:t xml:space="preserve"> </w:t>
      </w:r>
      <w:r>
        <w:t>are</w:t>
      </w:r>
      <w:r>
        <w:rPr>
          <w:spacing w:val="-4"/>
        </w:rPr>
        <w:t xml:space="preserve"> </w:t>
      </w:r>
      <w:r>
        <w:t>employed</w:t>
      </w:r>
      <w:r>
        <w:rPr>
          <w:spacing w:val="-4"/>
        </w:rPr>
        <w:t xml:space="preserve"> </w:t>
      </w:r>
      <w:r>
        <w:t>directly</w:t>
      </w:r>
      <w:r>
        <w:rPr>
          <w:spacing w:val="-5"/>
        </w:rPr>
        <w:t xml:space="preserve"> </w:t>
      </w:r>
      <w:r>
        <w:t>under</w:t>
      </w:r>
      <w:r>
        <w:rPr>
          <w:spacing w:val="-4"/>
        </w:rPr>
        <w:t xml:space="preserve"> </w:t>
      </w:r>
      <w:r>
        <w:t>the</w:t>
      </w:r>
      <w:r>
        <w:rPr>
          <w:spacing w:val="-4"/>
        </w:rPr>
        <w:t xml:space="preserve"> </w:t>
      </w:r>
      <w:r>
        <w:t>governing</w:t>
      </w:r>
      <w:r>
        <w:rPr>
          <w:spacing w:val="-14"/>
        </w:rPr>
        <w:t xml:space="preserve"> </w:t>
      </w:r>
      <w:r>
        <w:rPr>
          <w:spacing w:val="-4"/>
        </w:rPr>
        <w:t>Act.</w:t>
      </w:r>
    </w:p>
    <w:p w14:paraId="214D6927" w14:textId="77777777" w:rsidR="00AC6F3C" w:rsidRDefault="00570E88">
      <w:pPr>
        <w:pStyle w:val="ListParagraph"/>
        <w:numPr>
          <w:ilvl w:val="0"/>
          <w:numId w:val="58"/>
        </w:numPr>
        <w:tabs>
          <w:tab w:val="left" w:pos="1155"/>
        </w:tabs>
        <w:spacing w:line="249" w:lineRule="auto"/>
        <w:ind w:right="134"/>
        <w:rPr>
          <w:sz w:val="20"/>
        </w:rPr>
      </w:pPr>
      <w:r>
        <w:rPr>
          <w:sz w:val="20"/>
        </w:rPr>
        <w:t>Highlighted</w:t>
      </w:r>
      <w:r>
        <w:rPr>
          <w:spacing w:val="-3"/>
          <w:sz w:val="20"/>
        </w:rPr>
        <w:t xml:space="preserve"> </w:t>
      </w:r>
      <w:r>
        <w:rPr>
          <w:sz w:val="20"/>
        </w:rPr>
        <w:t>the</w:t>
      </w:r>
      <w:r>
        <w:rPr>
          <w:spacing w:val="-3"/>
          <w:sz w:val="20"/>
        </w:rPr>
        <w:t xml:space="preserve"> </w:t>
      </w:r>
      <w:r>
        <w:rPr>
          <w:sz w:val="20"/>
        </w:rPr>
        <w:t>lack</w:t>
      </w:r>
      <w:r>
        <w:rPr>
          <w:spacing w:val="-3"/>
          <w:sz w:val="20"/>
        </w:rPr>
        <w:t xml:space="preserve"> </w:t>
      </w:r>
      <w:r>
        <w:rPr>
          <w:sz w:val="20"/>
        </w:rPr>
        <w:t>of</w:t>
      </w:r>
      <w:r>
        <w:rPr>
          <w:spacing w:val="-3"/>
          <w:sz w:val="20"/>
        </w:rPr>
        <w:t xml:space="preserve"> </w:t>
      </w:r>
      <w:r>
        <w:rPr>
          <w:sz w:val="20"/>
        </w:rPr>
        <w:t>accountability</w:t>
      </w:r>
      <w:r>
        <w:rPr>
          <w:spacing w:val="-3"/>
          <w:sz w:val="20"/>
        </w:rPr>
        <w:t xml:space="preserve"> </w:t>
      </w:r>
      <w:r>
        <w:rPr>
          <w:sz w:val="20"/>
        </w:rPr>
        <w:t>for</w:t>
      </w:r>
      <w:r>
        <w:rPr>
          <w:spacing w:val="-3"/>
          <w:sz w:val="20"/>
        </w:rPr>
        <w:t xml:space="preserve"> </w:t>
      </w:r>
      <w:r>
        <w:rPr>
          <w:sz w:val="20"/>
        </w:rPr>
        <w:t>parole</w:t>
      </w:r>
      <w:r>
        <w:rPr>
          <w:spacing w:val="-3"/>
          <w:sz w:val="20"/>
        </w:rPr>
        <w:t xml:space="preserve"> </w:t>
      </w:r>
      <w:r>
        <w:rPr>
          <w:sz w:val="20"/>
        </w:rPr>
        <w:t>decisions</w:t>
      </w:r>
      <w:r>
        <w:rPr>
          <w:spacing w:val="-3"/>
          <w:sz w:val="20"/>
        </w:rPr>
        <w:t xml:space="preserve"> </w:t>
      </w:r>
      <w:r>
        <w:rPr>
          <w:sz w:val="20"/>
        </w:rPr>
        <w:t>when</w:t>
      </w:r>
      <w:r>
        <w:rPr>
          <w:spacing w:val="-3"/>
          <w:sz w:val="20"/>
        </w:rPr>
        <w:t xml:space="preserve"> </w:t>
      </w:r>
      <w:r>
        <w:rPr>
          <w:sz w:val="20"/>
        </w:rPr>
        <w:t>compared</w:t>
      </w:r>
      <w:r>
        <w:rPr>
          <w:spacing w:val="-3"/>
          <w:sz w:val="20"/>
        </w:rPr>
        <w:t xml:space="preserve"> </w:t>
      </w:r>
      <w:r>
        <w:rPr>
          <w:sz w:val="20"/>
        </w:rPr>
        <w:t>to</w:t>
      </w:r>
      <w:r>
        <w:rPr>
          <w:spacing w:val="-3"/>
          <w:sz w:val="20"/>
        </w:rPr>
        <w:t xml:space="preserve"> </w:t>
      </w:r>
      <w:r>
        <w:rPr>
          <w:sz w:val="20"/>
        </w:rPr>
        <w:t>criminal</w:t>
      </w:r>
      <w:r>
        <w:rPr>
          <w:spacing w:val="-3"/>
          <w:sz w:val="20"/>
        </w:rPr>
        <w:t xml:space="preserve"> </w:t>
      </w:r>
      <w:r>
        <w:rPr>
          <w:sz w:val="20"/>
        </w:rPr>
        <w:t>sentencing,</w:t>
      </w:r>
      <w:r>
        <w:rPr>
          <w:spacing w:val="-3"/>
          <w:sz w:val="20"/>
        </w:rPr>
        <w:t xml:space="preserve"> </w:t>
      </w:r>
      <w:r>
        <w:rPr>
          <w:sz w:val="20"/>
        </w:rPr>
        <w:t>both of which impact equally on a person’s fundamental right to liberty.</w:t>
      </w:r>
      <w:r>
        <w:rPr>
          <w:spacing w:val="-9"/>
          <w:sz w:val="20"/>
        </w:rPr>
        <w:t xml:space="preserve"> </w:t>
      </w:r>
      <w:r>
        <w:rPr>
          <w:sz w:val="20"/>
        </w:rPr>
        <w:t>Accordingly, the Society submitted that parole decisions should be subject to merits review in the</w:t>
      </w:r>
      <w:r>
        <w:rPr>
          <w:spacing w:val="-6"/>
          <w:sz w:val="20"/>
        </w:rPr>
        <w:t xml:space="preserve"> </w:t>
      </w:r>
      <w:r>
        <w:rPr>
          <w:sz w:val="20"/>
        </w:rPr>
        <w:t>Administrative</w:t>
      </w:r>
      <w:r>
        <w:rPr>
          <w:spacing w:val="-5"/>
          <w:sz w:val="20"/>
        </w:rPr>
        <w:t xml:space="preserve"> </w:t>
      </w:r>
      <w:r>
        <w:rPr>
          <w:sz w:val="20"/>
        </w:rPr>
        <w:t>Appeals Tribunal to promote consistency and accountability in decision-making.</w:t>
      </w:r>
    </w:p>
    <w:p w14:paraId="31C7C361" w14:textId="77777777" w:rsidR="00AC6F3C" w:rsidRDefault="00AC6F3C">
      <w:pPr>
        <w:pStyle w:val="BodyText"/>
        <w:rPr>
          <w:sz w:val="23"/>
        </w:rPr>
      </w:pPr>
    </w:p>
    <w:p w14:paraId="579F1B48" w14:textId="77777777" w:rsidR="00AC6F3C" w:rsidRDefault="00570E88">
      <w:pPr>
        <w:pStyle w:val="Heading9"/>
      </w:pPr>
      <w:r>
        <w:t>Inquiry</w:t>
      </w:r>
      <w:r>
        <w:rPr>
          <w:spacing w:val="-3"/>
        </w:rPr>
        <w:t xml:space="preserve"> </w:t>
      </w:r>
      <w:r>
        <w:t>into</w:t>
      </w:r>
      <w:r>
        <w:rPr>
          <w:spacing w:val="-3"/>
        </w:rPr>
        <w:t xml:space="preserve"> </w:t>
      </w:r>
      <w:proofErr w:type="spellStart"/>
      <w:r>
        <w:t>decriminalisation</w:t>
      </w:r>
      <w:proofErr w:type="spellEnd"/>
      <w:r>
        <w:rPr>
          <w:spacing w:val="-3"/>
        </w:rPr>
        <w:t xml:space="preserve"> </w:t>
      </w:r>
      <w:r>
        <w:t>of</w:t>
      </w:r>
      <w:r>
        <w:rPr>
          <w:spacing w:val="-2"/>
        </w:rPr>
        <w:t xml:space="preserve"> </w:t>
      </w:r>
      <w:r>
        <w:t>certain</w:t>
      </w:r>
      <w:r>
        <w:rPr>
          <w:spacing w:val="-3"/>
        </w:rPr>
        <w:t xml:space="preserve"> </w:t>
      </w:r>
      <w:r>
        <w:t>public</w:t>
      </w:r>
      <w:r>
        <w:rPr>
          <w:spacing w:val="-3"/>
        </w:rPr>
        <w:t xml:space="preserve"> </w:t>
      </w:r>
      <w:r>
        <w:t>order</w:t>
      </w:r>
      <w:r>
        <w:rPr>
          <w:spacing w:val="-3"/>
        </w:rPr>
        <w:t xml:space="preserve"> </w:t>
      </w:r>
      <w:r>
        <w:t>offences,</w:t>
      </w:r>
      <w:r>
        <w:rPr>
          <w:spacing w:val="-2"/>
        </w:rPr>
        <w:t xml:space="preserve"> </w:t>
      </w:r>
      <w:r>
        <w:t>and</w:t>
      </w:r>
      <w:r>
        <w:rPr>
          <w:spacing w:val="-3"/>
        </w:rPr>
        <w:t xml:space="preserve"> </w:t>
      </w:r>
      <w:r>
        <w:rPr>
          <w:spacing w:val="-2"/>
        </w:rPr>
        <w:t>health</w:t>
      </w:r>
    </w:p>
    <w:p w14:paraId="0DE67818" w14:textId="77777777" w:rsidR="00AC6F3C" w:rsidRDefault="00570E88">
      <w:pPr>
        <w:pStyle w:val="Heading9"/>
        <w:spacing w:before="11"/>
      </w:pPr>
      <w:r>
        <w:t>and</w:t>
      </w:r>
      <w:r>
        <w:rPr>
          <w:spacing w:val="-5"/>
        </w:rPr>
        <w:t xml:space="preserve"> </w:t>
      </w:r>
      <w:r>
        <w:t>welfare</w:t>
      </w:r>
      <w:r>
        <w:rPr>
          <w:spacing w:val="-3"/>
        </w:rPr>
        <w:t xml:space="preserve"> </w:t>
      </w:r>
      <w:r>
        <w:rPr>
          <w:spacing w:val="-2"/>
        </w:rPr>
        <w:t>responses</w:t>
      </w:r>
    </w:p>
    <w:p w14:paraId="5D99E983" w14:textId="77777777" w:rsidR="00AC6F3C" w:rsidRDefault="00570E88">
      <w:pPr>
        <w:pStyle w:val="ListParagraph"/>
        <w:numPr>
          <w:ilvl w:val="0"/>
          <w:numId w:val="58"/>
        </w:numPr>
        <w:tabs>
          <w:tab w:val="left" w:pos="1155"/>
        </w:tabs>
        <w:spacing w:before="176" w:line="249" w:lineRule="auto"/>
        <w:ind w:right="661"/>
        <w:rPr>
          <w:sz w:val="20"/>
        </w:rPr>
      </w:pPr>
      <w:r>
        <w:rPr>
          <w:sz w:val="20"/>
        </w:rPr>
        <w:t>The</w:t>
      </w:r>
      <w:r>
        <w:rPr>
          <w:spacing w:val="-3"/>
          <w:sz w:val="20"/>
        </w:rPr>
        <w:t xml:space="preserve"> </w:t>
      </w:r>
      <w:r>
        <w:rPr>
          <w:sz w:val="20"/>
        </w:rPr>
        <w:t>Criminal</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in</w:t>
      </w:r>
      <w:r>
        <w:rPr>
          <w:spacing w:val="-3"/>
          <w:sz w:val="20"/>
        </w:rPr>
        <w:t xml:space="preserve"> </w:t>
      </w:r>
      <w:r>
        <w:rPr>
          <w:sz w:val="20"/>
        </w:rPr>
        <w:t>conjunction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Children’s</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Human Rights &amp; Public Law Committee, made a submission to the inquiry.</w:t>
      </w:r>
    </w:p>
    <w:p w14:paraId="74A03AA7" w14:textId="77777777" w:rsidR="00AC6F3C" w:rsidRDefault="00570E88">
      <w:pPr>
        <w:pStyle w:val="ListParagraph"/>
        <w:numPr>
          <w:ilvl w:val="0"/>
          <w:numId w:val="58"/>
        </w:numPr>
        <w:tabs>
          <w:tab w:val="left" w:pos="1155"/>
        </w:tabs>
        <w:spacing w:before="171" w:line="249" w:lineRule="auto"/>
        <w:ind w:right="490"/>
        <w:rPr>
          <w:sz w:val="20"/>
        </w:rPr>
      </w:pPr>
      <w:r>
        <w:rPr>
          <w:sz w:val="20"/>
        </w:rPr>
        <w:t>The inquiry follows correspondence from the Queensland Law Society to the Queensland Attorney-General</w:t>
      </w:r>
      <w:r>
        <w:rPr>
          <w:spacing w:val="-4"/>
          <w:sz w:val="20"/>
        </w:rPr>
        <w:t xml:space="preserve"> </w:t>
      </w:r>
      <w:r>
        <w:rPr>
          <w:sz w:val="20"/>
        </w:rPr>
        <w:t>in</w:t>
      </w:r>
      <w:r>
        <w:rPr>
          <w:spacing w:val="-4"/>
          <w:sz w:val="20"/>
        </w:rPr>
        <w:t xml:space="preserve"> </w:t>
      </w:r>
      <w:r>
        <w:rPr>
          <w:sz w:val="20"/>
        </w:rPr>
        <w:t>December</w:t>
      </w:r>
      <w:r>
        <w:rPr>
          <w:spacing w:val="-4"/>
          <w:sz w:val="20"/>
        </w:rPr>
        <w:t xml:space="preserve"> </w:t>
      </w:r>
      <w:r>
        <w:rPr>
          <w:sz w:val="20"/>
        </w:rPr>
        <w:t>last</w:t>
      </w:r>
      <w:r>
        <w:rPr>
          <w:spacing w:val="-5"/>
          <w:sz w:val="20"/>
        </w:rPr>
        <w:t xml:space="preserve"> </w:t>
      </w:r>
      <w:r>
        <w:rPr>
          <w:sz w:val="20"/>
        </w:rPr>
        <w:t>year,</w:t>
      </w:r>
      <w:r>
        <w:rPr>
          <w:spacing w:val="-4"/>
          <w:sz w:val="20"/>
        </w:rPr>
        <w:t xml:space="preserve"> </w:t>
      </w:r>
      <w:r>
        <w:rPr>
          <w:sz w:val="20"/>
        </w:rPr>
        <w:t>advocating</w:t>
      </w:r>
      <w:r>
        <w:rPr>
          <w:spacing w:val="-4"/>
          <w:sz w:val="20"/>
        </w:rPr>
        <w:t xml:space="preserve"> </w:t>
      </w:r>
      <w:r>
        <w:rPr>
          <w:sz w:val="20"/>
        </w:rPr>
        <w:t>for</w:t>
      </w:r>
      <w:r>
        <w:rPr>
          <w:spacing w:val="-4"/>
          <w:sz w:val="20"/>
        </w:rPr>
        <w:t xml:space="preserve"> </w:t>
      </w:r>
      <w:proofErr w:type="spellStart"/>
      <w:r>
        <w:rPr>
          <w:sz w:val="20"/>
        </w:rPr>
        <w:t>decriminalisation</w:t>
      </w:r>
      <w:proofErr w:type="spellEnd"/>
      <w:r>
        <w:rPr>
          <w:spacing w:val="-5"/>
          <w:sz w:val="20"/>
        </w:rPr>
        <w:t xml:space="preserve"> </w:t>
      </w:r>
      <w:r>
        <w:rPr>
          <w:sz w:val="20"/>
        </w:rPr>
        <w:t>of</w:t>
      </w:r>
      <w:r>
        <w:rPr>
          <w:spacing w:val="-4"/>
          <w:sz w:val="20"/>
        </w:rPr>
        <w:t xml:space="preserve"> </w:t>
      </w:r>
      <w:r>
        <w:rPr>
          <w:sz w:val="20"/>
        </w:rPr>
        <w:t>public</w:t>
      </w:r>
      <w:r>
        <w:rPr>
          <w:spacing w:val="-4"/>
          <w:sz w:val="20"/>
        </w:rPr>
        <w:t xml:space="preserve"> </w:t>
      </w:r>
      <w:r>
        <w:rPr>
          <w:sz w:val="20"/>
        </w:rPr>
        <w:t>drunkenness</w:t>
      </w:r>
      <w:r>
        <w:rPr>
          <w:spacing w:val="-4"/>
          <w:sz w:val="20"/>
        </w:rPr>
        <w:t xml:space="preserve"> </w:t>
      </w:r>
      <w:r>
        <w:rPr>
          <w:sz w:val="20"/>
        </w:rPr>
        <w:t>in line with the recommendations made over 30 years ago by the Royal Commission into</w:t>
      </w:r>
      <w:r>
        <w:rPr>
          <w:spacing w:val="-8"/>
          <w:sz w:val="20"/>
        </w:rPr>
        <w:t xml:space="preserve"> </w:t>
      </w:r>
      <w:r>
        <w:rPr>
          <w:sz w:val="20"/>
        </w:rPr>
        <w:t>Aboriginal Deaths in Custody.</w:t>
      </w:r>
    </w:p>
    <w:p w14:paraId="41F7005E" w14:textId="77777777" w:rsidR="00AC6F3C" w:rsidRDefault="00570E88">
      <w:pPr>
        <w:pStyle w:val="BodyText"/>
        <w:spacing w:before="174"/>
        <w:ind w:left="1155"/>
      </w:pPr>
      <w:r>
        <w:t>In</w:t>
      </w:r>
      <w:r>
        <w:rPr>
          <w:spacing w:val="-1"/>
        </w:rPr>
        <w:t xml:space="preserve"> </w:t>
      </w:r>
      <w:r>
        <w:t>our submission,</w:t>
      </w:r>
      <w:r>
        <w:rPr>
          <w:spacing w:val="-1"/>
        </w:rPr>
        <w:t xml:space="preserve"> </w:t>
      </w:r>
      <w:r>
        <w:t xml:space="preserve">we </w:t>
      </w:r>
      <w:r>
        <w:rPr>
          <w:spacing w:val="-2"/>
        </w:rPr>
        <w:t>recommended:</w:t>
      </w:r>
    </w:p>
    <w:p w14:paraId="3BD5FEF9" w14:textId="77777777" w:rsidR="00AC6F3C" w:rsidRDefault="00570E88">
      <w:pPr>
        <w:pStyle w:val="ListParagraph"/>
        <w:numPr>
          <w:ilvl w:val="1"/>
          <w:numId w:val="58"/>
        </w:numPr>
        <w:tabs>
          <w:tab w:val="left" w:pos="1495"/>
        </w:tabs>
        <w:spacing w:line="249" w:lineRule="auto"/>
        <w:ind w:left="1495" w:right="519"/>
        <w:rPr>
          <w:sz w:val="20"/>
        </w:rPr>
      </w:pPr>
      <w:r>
        <w:rPr>
          <w:sz w:val="20"/>
        </w:rPr>
        <w:t>The Queensland Government should engage a suitable body to undertake a detailed review of</w:t>
      </w:r>
      <w:r>
        <w:rPr>
          <w:spacing w:val="-1"/>
          <w:sz w:val="20"/>
        </w:rPr>
        <w:t xml:space="preserve"> </w:t>
      </w:r>
      <w:r>
        <w:rPr>
          <w:sz w:val="20"/>
        </w:rPr>
        <w:t>all</w:t>
      </w:r>
      <w:r>
        <w:rPr>
          <w:spacing w:val="-1"/>
          <w:sz w:val="20"/>
        </w:rPr>
        <w:t xml:space="preserve"> </w:t>
      </w:r>
      <w:r>
        <w:rPr>
          <w:sz w:val="20"/>
        </w:rPr>
        <w:t>public</w:t>
      </w:r>
      <w:r>
        <w:rPr>
          <w:spacing w:val="-1"/>
          <w:sz w:val="20"/>
        </w:rPr>
        <w:t xml:space="preserve"> </w:t>
      </w:r>
      <w:r>
        <w:rPr>
          <w:sz w:val="20"/>
        </w:rPr>
        <w:t>order</w:t>
      </w:r>
      <w:r>
        <w:rPr>
          <w:spacing w:val="-1"/>
          <w:sz w:val="20"/>
        </w:rPr>
        <w:t xml:space="preserve"> </w:t>
      </w:r>
      <w:r>
        <w:rPr>
          <w:sz w:val="20"/>
        </w:rPr>
        <w:t>offences</w:t>
      </w:r>
      <w:r>
        <w:rPr>
          <w:spacing w:val="-1"/>
          <w:sz w:val="20"/>
        </w:rPr>
        <w:t xml:space="preserve"> </w:t>
      </w:r>
      <w:r>
        <w:rPr>
          <w:sz w:val="20"/>
        </w:rPr>
        <w:t>and</w:t>
      </w:r>
      <w:r>
        <w:rPr>
          <w:spacing w:val="-1"/>
          <w:sz w:val="20"/>
        </w:rPr>
        <w:t xml:space="preserve"> </w:t>
      </w:r>
      <w:r>
        <w:rPr>
          <w:sz w:val="20"/>
        </w:rPr>
        <w:t>their</w:t>
      </w:r>
      <w:r>
        <w:rPr>
          <w:spacing w:val="-1"/>
          <w:sz w:val="20"/>
        </w:rPr>
        <w:t xml:space="preserve"> </w:t>
      </w:r>
      <w:r>
        <w:rPr>
          <w:sz w:val="20"/>
        </w:rPr>
        <w:t>impact</w:t>
      </w:r>
      <w:r>
        <w:rPr>
          <w:spacing w:val="-1"/>
          <w:sz w:val="20"/>
        </w:rPr>
        <w:t xml:space="preserve"> </w:t>
      </w:r>
      <w:r>
        <w:rPr>
          <w:sz w:val="20"/>
        </w:rPr>
        <w:t>on</w:t>
      </w:r>
      <w:r>
        <w:rPr>
          <w:spacing w:val="-1"/>
          <w:sz w:val="20"/>
        </w:rPr>
        <w:t xml:space="preserve"> </w:t>
      </w:r>
      <w:proofErr w:type="spellStart"/>
      <w:r>
        <w:rPr>
          <w:sz w:val="20"/>
        </w:rPr>
        <w:t>marginalised</w:t>
      </w:r>
      <w:proofErr w:type="spellEnd"/>
      <w:r>
        <w:rPr>
          <w:spacing w:val="-1"/>
          <w:sz w:val="20"/>
        </w:rPr>
        <w:t xml:space="preserve"> </w:t>
      </w:r>
      <w:r>
        <w:rPr>
          <w:sz w:val="20"/>
        </w:rPr>
        <w:t>groups,</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view</w:t>
      </w:r>
      <w:r>
        <w:rPr>
          <w:spacing w:val="-1"/>
          <w:sz w:val="20"/>
        </w:rPr>
        <w:t xml:space="preserve"> </w:t>
      </w:r>
      <w:r>
        <w:rPr>
          <w:sz w:val="20"/>
        </w:rPr>
        <w:t>to</w:t>
      </w:r>
      <w:r>
        <w:rPr>
          <w:spacing w:val="-1"/>
          <w:sz w:val="20"/>
        </w:rPr>
        <w:t xml:space="preserve"> </w:t>
      </w:r>
      <w:r>
        <w:rPr>
          <w:sz w:val="20"/>
        </w:rPr>
        <w:t>setting</w:t>
      </w:r>
      <w:r>
        <w:rPr>
          <w:spacing w:val="-1"/>
          <w:sz w:val="20"/>
        </w:rPr>
        <w:t xml:space="preserve"> </w:t>
      </w:r>
      <w:r>
        <w:rPr>
          <w:sz w:val="20"/>
        </w:rPr>
        <w:t xml:space="preserve">out the process for </w:t>
      </w:r>
      <w:proofErr w:type="spellStart"/>
      <w:r>
        <w:rPr>
          <w:sz w:val="20"/>
        </w:rPr>
        <w:t>decriminalisation</w:t>
      </w:r>
      <w:proofErr w:type="spellEnd"/>
      <w:r>
        <w:rPr>
          <w:sz w:val="20"/>
        </w:rPr>
        <w:t xml:space="preserve"> and an appropriate health and social welfare-based service delivery</w:t>
      </w:r>
      <w:r>
        <w:rPr>
          <w:spacing w:val="-3"/>
          <w:sz w:val="20"/>
        </w:rPr>
        <w:t xml:space="preserve"> </w:t>
      </w:r>
      <w:r>
        <w:rPr>
          <w:sz w:val="20"/>
        </w:rPr>
        <w:t>model.</w:t>
      </w:r>
      <w:r>
        <w:rPr>
          <w:spacing w:val="-6"/>
          <w:sz w:val="20"/>
        </w:rPr>
        <w:t xml:space="preserve"> </w:t>
      </w:r>
      <w:r>
        <w:rPr>
          <w:sz w:val="20"/>
        </w:rPr>
        <w:t>This</w:t>
      </w:r>
      <w:r>
        <w:rPr>
          <w:spacing w:val="-3"/>
          <w:sz w:val="20"/>
        </w:rPr>
        <w:t xml:space="preserve"> </w:t>
      </w:r>
      <w:r>
        <w:rPr>
          <w:sz w:val="20"/>
        </w:rPr>
        <w:t>review</w:t>
      </w:r>
      <w:r>
        <w:rPr>
          <w:spacing w:val="-3"/>
          <w:sz w:val="20"/>
        </w:rPr>
        <w:t xml:space="preserve"> </w:t>
      </w:r>
      <w:r>
        <w:rPr>
          <w:sz w:val="20"/>
        </w:rPr>
        <w:t>should</w:t>
      </w:r>
      <w:r>
        <w:rPr>
          <w:spacing w:val="-3"/>
          <w:sz w:val="20"/>
        </w:rPr>
        <w:t xml:space="preserve"> </w:t>
      </w:r>
      <w:proofErr w:type="gramStart"/>
      <w:r>
        <w:rPr>
          <w:sz w:val="20"/>
        </w:rPr>
        <w:t>be</w:t>
      </w:r>
      <w:r>
        <w:rPr>
          <w:spacing w:val="-3"/>
          <w:sz w:val="20"/>
        </w:rPr>
        <w:t xml:space="preserve"> </w:t>
      </w:r>
      <w:r>
        <w:rPr>
          <w:sz w:val="20"/>
        </w:rPr>
        <w:t>undertaken</w:t>
      </w:r>
      <w:proofErr w:type="gramEnd"/>
      <w:r>
        <w:rPr>
          <w:spacing w:val="-3"/>
          <w:sz w:val="20"/>
        </w:rPr>
        <w:t xml:space="preserve"> </w:t>
      </w:r>
      <w:r>
        <w:rPr>
          <w:sz w:val="20"/>
        </w:rPr>
        <w:t>on</w:t>
      </w:r>
      <w:r>
        <w:rPr>
          <w:spacing w:val="-3"/>
          <w:sz w:val="20"/>
        </w:rPr>
        <w:t xml:space="preserve"> </w:t>
      </w:r>
      <w:r>
        <w:rPr>
          <w:sz w:val="20"/>
        </w:rPr>
        <w:t>an</w:t>
      </w:r>
      <w:r>
        <w:rPr>
          <w:spacing w:val="-3"/>
          <w:sz w:val="20"/>
        </w:rPr>
        <w:t xml:space="preserve"> </w:t>
      </w:r>
      <w:r>
        <w:rPr>
          <w:sz w:val="20"/>
        </w:rPr>
        <w:t>urgent</w:t>
      </w:r>
      <w:r>
        <w:rPr>
          <w:spacing w:val="-3"/>
          <w:sz w:val="20"/>
        </w:rPr>
        <w:t xml:space="preserve"> </w:t>
      </w:r>
      <w:r>
        <w:rPr>
          <w:sz w:val="20"/>
        </w:rPr>
        <w:t>basis</w:t>
      </w:r>
      <w:r>
        <w:rPr>
          <w:spacing w:val="-3"/>
          <w:sz w:val="20"/>
        </w:rPr>
        <w:t xml:space="preserve"> </w:t>
      </w:r>
      <w:r>
        <w:rPr>
          <w:sz w:val="20"/>
        </w:rPr>
        <w:t>but</w:t>
      </w:r>
      <w:r>
        <w:rPr>
          <w:spacing w:val="-3"/>
          <w:sz w:val="20"/>
        </w:rPr>
        <w:t xml:space="preserve"> </w:t>
      </w:r>
      <w:r>
        <w:rPr>
          <w:sz w:val="20"/>
        </w:rPr>
        <w:t>should</w:t>
      </w:r>
      <w:r>
        <w:rPr>
          <w:spacing w:val="-3"/>
          <w:sz w:val="20"/>
        </w:rPr>
        <w:t xml:space="preserve"> </w:t>
      </w:r>
      <w:r>
        <w:rPr>
          <w:sz w:val="20"/>
        </w:rPr>
        <w:t>not</w:t>
      </w:r>
      <w:r>
        <w:rPr>
          <w:spacing w:val="-3"/>
          <w:sz w:val="20"/>
        </w:rPr>
        <w:t xml:space="preserve"> </w:t>
      </w:r>
      <w:r>
        <w:rPr>
          <w:sz w:val="20"/>
        </w:rPr>
        <w:t>delay</w:t>
      </w:r>
      <w:r>
        <w:rPr>
          <w:spacing w:val="-3"/>
          <w:sz w:val="20"/>
        </w:rPr>
        <w:t xml:space="preserve"> </w:t>
      </w:r>
      <w:r>
        <w:rPr>
          <w:sz w:val="20"/>
        </w:rPr>
        <w:t xml:space="preserve">the </w:t>
      </w:r>
      <w:proofErr w:type="spellStart"/>
      <w:r>
        <w:rPr>
          <w:sz w:val="20"/>
        </w:rPr>
        <w:t>decriminalisation</w:t>
      </w:r>
      <w:proofErr w:type="spellEnd"/>
      <w:r>
        <w:rPr>
          <w:sz w:val="20"/>
        </w:rPr>
        <w:t xml:space="preserve"> of the offences considered in this Inquiry.</w:t>
      </w:r>
    </w:p>
    <w:p w14:paraId="1BA374B8" w14:textId="77777777" w:rsidR="00AC6F3C" w:rsidRDefault="00570E88">
      <w:pPr>
        <w:pStyle w:val="ListParagraph"/>
        <w:numPr>
          <w:ilvl w:val="1"/>
          <w:numId w:val="58"/>
        </w:numPr>
        <w:tabs>
          <w:tab w:val="left" w:pos="1495"/>
        </w:tabs>
        <w:spacing w:before="174" w:line="249" w:lineRule="auto"/>
        <w:ind w:left="1495" w:right="198"/>
        <w:rPr>
          <w:sz w:val="20"/>
        </w:rPr>
      </w:pPr>
      <w:r>
        <w:rPr>
          <w:sz w:val="20"/>
        </w:rPr>
        <w:t xml:space="preserve">This review should consider the risk that </w:t>
      </w:r>
      <w:proofErr w:type="spellStart"/>
      <w:r>
        <w:rPr>
          <w:sz w:val="20"/>
        </w:rPr>
        <w:t>decriminalisation</w:t>
      </w:r>
      <w:proofErr w:type="spellEnd"/>
      <w:r>
        <w:rPr>
          <w:sz w:val="20"/>
        </w:rPr>
        <w:t xml:space="preserve"> of certain public order offences will result</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increased</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public</w:t>
      </w:r>
      <w:r>
        <w:rPr>
          <w:spacing w:val="-3"/>
          <w:sz w:val="20"/>
        </w:rPr>
        <w:t xml:space="preserve"> </w:t>
      </w:r>
      <w:r>
        <w:rPr>
          <w:sz w:val="20"/>
        </w:rPr>
        <w:t>nuisance</w:t>
      </w:r>
      <w:r>
        <w:rPr>
          <w:spacing w:val="-3"/>
          <w:sz w:val="20"/>
        </w:rPr>
        <w:t xml:space="preserve"> </w:t>
      </w:r>
      <w:r>
        <w:rPr>
          <w:sz w:val="20"/>
        </w:rPr>
        <w:t>offences</w:t>
      </w:r>
      <w:r>
        <w:rPr>
          <w:spacing w:val="-3"/>
          <w:sz w:val="20"/>
        </w:rPr>
        <w:t xml:space="preserve"> </w:t>
      </w:r>
      <w:r>
        <w:rPr>
          <w:sz w:val="20"/>
        </w:rPr>
        <w:t>and</w:t>
      </w:r>
      <w:r>
        <w:rPr>
          <w:spacing w:val="-3"/>
          <w:sz w:val="20"/>
        </w:rPr>
        <w:t xml:space="preserve"> </w:t>
      </w:r>
      <w:r>
        <w:rPr>
          <w:sz w:val="20"/>
        </w:rPr>
        <w:t>move-on</w:t>
      </w:r>
      <w:r>
        <w:rPr>
          <w:spacing w:val="-3"/>
          <w:sz w:val="20"/>
        </w:rPr>
        <w:t xml:space="preserve"> </w:t>
      </w:r>
      <w:proofErr w:type="gramStart"/>
      <w:r>
        <w:rPr>
          <w:sz w:val="20"/>
        </w:rPr>
        <w:t>powers,</w:t>
      </w:r>
      <w:r>
        <w:rPr>
          <w:spacing w:val="-3"/>
          <w:sz w:val="20"/>
        </w:rPr>
        <w:t xml:space="preserve"> </w:t>
      </w:r>
      <w:r>
        <w:rPr>
          <w:sz w:val="20"/>
        </w:rPr>
        <w:t>and</w:t>
      </w:r>
      <w:proofErr w:type="gramEnd"/>
      <w:r>
        <w:rPr>
          <w:spacing w:val="-3"/>
          <w:sz w:val="20"/>
        </w:rPr>
        <w:t xml:space="preserve"> </w:t>
      </w:r>
      <w:r>
        <w:rPr>
          <w:sz w:val="20"/>
        </w:rPr>
        <w:t>should</w:t>
      </w:r>
      <w:r>
        <w:rPr>
          <w:spacing w:val="-3"/>
          <w:sz w:val="20"/>
        </w:rPr>
        <w:t xml:space="preserve"> </w:t>
      </w:r>
      <w:r>
        <w:rPr>
          <w:sz w:val="20"/>
        </w:rPr>
        <w:t>propose amendments to those offences and powers to mitigate that risk.</w:t>
      </w:r>
    </w:p>
    <w:p w14:paraId="68C17DA6" w14:textId="77777777" w:rsidR="00AC6F3C" w:rsidRDefault="00570E88">
      <w:pPr>
        <w:pStyle w:val="ListParagraph"/>
        <w:numPr>
          <w:ilvl w:val="1"/>
          <w:numId w:val="58"/>
        </w:numPr>
        <w:tabs>
          <w:tab w:val="left" w:pos="1495"/>
        </w:tabs>
        <w:spacing w:before="172" w:line="249" w:lineRule="auto"/>
        <w:ind w:left="1495" w:right="117"/>
        <w:rPr>
          <w:sz w:val="20"/>
        </w:rPr>
      </w:pPr>
      <w:r>
        <w:rPr>
          <w:sz w:val="20"/>
        </w:rPr>
        <w:t>The</w:t>
      </w:r>
      <w:r>
        <w:rPr>
          <w:spacing w:val="-3"/>
          <w:sz w:val="20"/>
        </w:rPr>
        <w:t xml:space="preserve"> </w:t>
      </w:r>
      <w:r>
        <w:rPr>
          <w:sz w:val="20"/>
        </w:rPr>
        <w:t>review</w:t>
      </w:r>
      <w:r>
        <w:rPr>
          <w:spacing w:val="-3"/>
          <w:sz w:val="20"/>
        </w:rPr>
        <w:t xml:space="preserve"> </w:t>
      </w:r>
      <w:r>
        <w:rPr>
          <w:sz w:val="20"/>
        </w:rPr>
        <w:t>should</w:t>
      </w:r>
      <w:r>
        <w:rPr>
          <w:spacing w:val="-3"/>
          <w:sz w:val="20"/>
        </w:rPr>
        <w:t xml:space="preserve"> </w:t>
      </w:r>
      <w:r>
        <w:rPr>
          <w:sz w:val="20"/>
        </w:rPr>
        <w:t>also</w:t>
      </w:r>
      <w:r>
        <w:rPr>
          <w:spacing w:val="-3"/>
          <w:sz w:val="20"/>
        </w:rPr>
        <w:t xml:space="preserve"> </w:t>
      </w:r>
      <w:r>
        <w:rPr>
          <w:sz w:val="20"/>
        </w:rPr>
        <w:t>make</w:t>
      </w:r>
      <w:r>
        <w:rPr>
          <w:spacing w:val="-3"/>
          <w:sz w:val="20"/>
        </w:rPr>
        <w:t xml:space="preserve"> </w:t>
      </w:r>
      <w:r>
        <w:rPr>
          <w:sz w:val="20"/>
        </w:rPr>
        <w:t>recommendations</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police</w:t>
      </w:r>
      <w:r>
        <w:rPr>
          <w:spacing w:val="-3"/>
          <w:sz w:val="20"/>
        </w:rPr>
        <w:t xml:space="preserve"> </w:t>
      </w:r>
      <w:r>
        <w:rPr>
          <w:sz w:val="20"/>
        </w:rPr>
        <w:t>discretion</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 xml:space="preserve">educational tools that will </w:t>
      </w:r>
      <w:proofErr w:type="gramStart"/>
      <w:r>
        <w:rPr>
          <w:sz w:val="20"/>
        </w:rPr>
        <w:t>be required</w:t>
      </w:r>
      <w:proofErr w:type="gramEnd"/>
      <w:r>
        <w:rPr>
          <w:sz w:val="20"/>
        </w:rPr>
        <w:t xml:space="preserve"> to effect significant cultural change in law enforcement agencies.</w:t>
      </w:r>
    </w:p>
    <w:p w14:paraId="61FE3C18" w14:textId="77777777" w:rsidR="00AC6F3C" w:rsidRDefault="00570E88">
      <w:pPr>
        <w:pStyle w:val="ListParagraph"/>
        <w:numPr>
          <w:ilvl w:val="1"/>
          <w:numId w:val="58"/>
        </w:numPr>
        <w:tabs>
          <w:tab w:val="left" w:pos="1495"/>
        </w:tabs>
        <w:spacing w:before="172" w:line="249" w:lineRule="auto"/>
        <w:ind w:left="1495" w:right="253"/>
        <w:rPr>
          <w:sz w:val="20"/>
        </w:rPr>
      </w:pPr>
      <w:r>
        <w:rPr>
          <w:sz w:val="20"/>
        </w:rPr>
        <w:t>The Queensland Government should consider expanding the Inquiry’s scope and including in</w:t>
      </w:r>
      <w:r>
        <w:rPr>
          <w:spacing w:val="40"/>
          <w:sz w:val="20"/>
        </w:rPr>
        <w:t xml:space="preserve"> </w:t>
      </w:r>
      <w:r>
        <w:rPr>
          <w:sz w:val="20"/>
        </w:rPr>
        <w:t xml:space="preserve">the review the </w:t>
      </w:r>
      <w:proofErr w:type="spellStart"/>
      <w:r>
        <w:rPr>
          <w:sz w:val="20"/>
        </w:rPr>
        <w:t>decriminalisation</w:t>
      </w:r>
      <w:proofErr w:type="spellEnd"/>
      <w:r>
        <w:rPr>
          <w:sz w:val="20"/>
        </w:rPr>
        <w:t xml:space="preserve"> of drug use and possession, with a view to reinvesting funds</w:t>
      </w:r>
      <w:r>
        <w:rPr>
          <w:spacing w:val="40"/>
          <w:sz w:val="20"/>
        </w:rPr>
        <w:t xml:space="preserve"> </w:t>
      </w:r>
      <w:r>
        <w:rPr>
          <w:sz w:val="20"/>
        </w:rPr>
        <w:t>and</w:t>
      </w:r>
      <w:r>
        <w:rPr>
          <w:spacing w:val="-3"/>
          <w:sz w:val="20"/>
        </w:rPr>
        <w:t xml:space="preserve"> </w:t>
      </w:r>
      <w:r>
        <w:rPr>
          <w:sz w:val="20"/>
        </w:rPr>
        <w:t>resources</w:t>
      </w:r>
      <w:r>
        <w:rPr>
          <w:spacing w:val="-3"/>
          <w:sz w:val="20"/>
        </w:rPr>
        <w:t xml:space="preserve"> </w:t>
      </w:r>
      <w:r>
        <w:rPr>
          <w:sz w:val="20"/>
        </w:rPr>
        <w:t>spent</w:t>
      </w:r>
      <w:r>
        <w:rPr>
          <w:spacing w:val="-3"/>
          <w:sz w:val="20"/>
        </w:rPr>
        <w:t xml:space="preserve"> </w:t>
      </w:r>
      <w:r>
        <w:rPr>
          <w:sz w:val="20"/>
        </w:rPr>
        <w:t>on</w:t>
      </w:r>
      <w:r>
        <w:rPr>
          <w:spacing w:val="-3"/>
          <w:sz w:val="20"/>
        </w:rPr>
        <w:t xml:space="preserve"> </w:t>
      </w:r>
      <w:r>
        <w:rPr>
          <w:sz w:val="20"/>
        </w:rPr>
        <w:t>enforcement</w:t>
      </w:r>
      <w:r>
        <w:rPr>
          <w:spacing w:val="-3"/>
          <w:sz w:val="20"/>
        </w:rPr>
        <w:t xml:space="preserve"> </w:t>
      </w:r>
      <w:r>
        <w:rPr>
          <w:sz w:val="20"/>
        </w:rPr>
        <w:t>of</w:t>
      </w:r>
      <w:r>
        <w:rPr>
          <w:spacing w:val="-3"/>
          <w:sz w:val="20"/>
        </w:rPr>
        <w:t xml:space="preserve"> </w:t>
      </w:r>
      <w:r>
        <w:rPr>
          <w:sz w:val="20"/>
        </w:rPr>
        <w:t>drug</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possession</w:t>
      </w:r>
      <w:r>
        <w:rPr>
          <w:spacing w:val="-3"/>
          <w:sz w:val="20"/>
        </w:rPr>
        <w:t xml:space="preserve"> </w:t>
      </w:r>
      <w:r>
        <w:rPr>
          <w:sz w:val="20"/>
        </w:rPr>
        <w:t>offences</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more</w:t>
      </w:r>
      <w:r>
        <w:rPr>
          <w:spacing w:val="-3"/>
          <w:sz w:val="20"/>
        </w:rPr>
        <w:t xml:space="preserve"> </w:t>
      </w:r>
      <w:r>
        <w:rPr>
          <w:sz w:val="20"/>
        </w:rPr>
        <w:t>appropriate health and social welfare-based response framework.</w:t>
      </w:r>
    </w:p>
    <w:p w14:paraId="7154490C" w14:textId="77777777" w:rsidR="00AC6F3C" w:rsidRDefault="00AC6F3C">
      <w:pPr>
        <w:pStyle w:val="BodyText"/>
        <w:spacing w:before="11"/>
        <w:rPr>
          <w:sz w:val="22"/>
        </w:rPr>
      </w:pPr>
    </w:p>
    <w:p w14:paraId="49833384" w14:textId="77777777" w:rsidR="00AC6F3C" w:rsidRDefault="00570E88">
      <w:pPr>
        <w:pStyle w:val="Heading9"/>
      </w:pPr>
      <w:r>
        <w:t>Criminal</w:t>
      </w:r>
      <w:r>
        <w:rPr>
          <w:spacing w:val="-4"/>
        </w:rPr>
        <w:t xml:space="preserve"> </w:t>
      </w:r>
      <w:r>
        <w:t>Procedure</w:t>
      </w:r>
      <w:r>
        <w:rPr>
          <w:spacing w:val="-4"/>
        </w:rPr>
        <w:t xml:space="preserve"> </w:t>
      </w:r>
      <w:r>
        <w:rPr>
          <w:spacing w:val="-2"/>
        </w:rPr>
        <w:t>Review</w:t>
      </w:r>
    </w:p>
    <w:p w14:paraId="495C26FE" w14:textId="77777777" w:rsidR="00AC6F3C" w:rsidRDefault="00570E88">
      <w:pPr>
        <w:pStyle w:val="ListParagraph"/>
        <w:numPr>
          <w:ilvl w:val="0"/>
          <w:numId w:val="58"/>
        </w:numPr>
        <w:tabs>
          <w:tab w:val="left" w:pos="1155"/>
        </w:tabs>
        <w:spacing w:before="176" w:line="249" w:lineRule="auto"/>
        <w:ind w:right="219"/>
        <w:rPr>
          <w:sz w:val="20"/>
        </w:rPr>
      </w:pPr>
      <w:r>
        <w:rPr>
          <w:sz w:val="20"/>
        </w:rPr>
        <w:t>Responded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Department</w:t>
      </w:r>
      <w:r>
        <w:rPr>
          <w:spacing w:val="-4"/>
          <w:sz w:val="20"/>
        </w:rPr>
        <w:t xml:space="preserve"> </w:t>
      </w:r>
      <w:r>
        <w:rPr>
          <w:sz w:val="20"/>
        </w:rPr>
        <w:t>of</w:t>
      </w:r>
      <w:r>
        <w:rPr>
          <w:spacing w:val="-4"/>
          <w:sz w:val="20"/>
        </w:rPr>
        <w:t xml:space="preserve"> </w:t>
      </w:r>
      <w:r>
        <w:rPr>
          <w:sz w:val="20"/>
        </w:rPr>
        <w:t>Justice</w:t>
      </w:r>
      <w:r>
        <w:rPr>
          <w:spacing w:val="-4"/>
          <w:sz w:val="20"/>
        </w:rPr>
        <w:t xml:space="preserve"> </w:t>
      </w:r>
      <w:r>
        <w:rPr>
          <w:sz w:val="20"/>
        </w:rPr>
        <w:t>and</w:t>
      </w:r>
      <w:r>
        <w:rPr>
          <w:spacing w:val="-14"/>
          <w:sz w:val="20"/>
        </w:rPr>
        <w:t xml:space="preserve"> </w:t>
      </w:r>
      <w:r>
        <w:rPr>
          <w:sz w:val="20"/>
        </w:rPr>
        <w:t>Attorney-General’s</w:t>
      </w:r>
      <w:r>
        <w:rPr>
          <w:spacing w:val="-4"/>
          <w:sz w:val="20"/>
        </w:rPr>
        <w:t xml:space="preserve"> </w:t>
      </w:r>
      <w:r>
        <w:rPr>
          <w:sz w:val="20"/>
        </w:rPr>
        <w:t>(DJAG’s)</w:t>
      </w:r>
      <w:r>
        <w:rPr>
          <w:spacing w:val="-4"/>
          <w:sz w:val="20"/>
        </w:rPr>
        <w:t xml:space="preserve"> </w:t>
      </w:r>
      <w:r>
        <w:rPr>
          <w:sz w:val="20"/>
        </w:rPr>
        <w:t>Consultation</w:t>
      </w:r>
      <w:r>
        <w:rPr>
          <w:spacing w:val="-4"/>
          <w:sz w:val="20"/>
        </w:rPr>
        <w:t xml:space="preserve"> </w:t>
      </w:r>
      <w:r>
        <w:rPr>
          <w:sz w:val="20"/>
        </w:rPr>
        <w:t>Paper</w:t>
      </w:r>
      <w:r>
        <w:rPr>
          <w:spacing w:val="-4"/>
          <w:sz w:val="20"/>
        </w:rPr>
        <w:t xml:space="preserve"> </w:t>
      </w:r>
      <w:r>
        <w:rPr>
          <w:sz w:val="20"/>
        </w:rPr>
        <w:t>on</w:t>
      </w:r>
      <w:r>
        <w:rPr>
          <w:spacing w:val="-4"/>
          <w:sz w:val="20"/>
        </w:rPr>
        <w:t xml:space="preserve"> </w:t>
      </w:r>
      <w:r>
        <w:rPr>
          <w:sz w:val="20"/>
        </w:rPr>
        <w:t>the Criminal Procedure Review.</w:t>
      </w:r>
    </w:p>
    <w:p w14:paraId="6F50C885" w14:textId="77777777" w:rsidR="00AC6F3C" w:rsidRDefault="00570E88">
      <w:pPr>
        <w:pStyle w:val="ListParagraph"/>
        <w:numPr>
          <w:ilvl w:val="0"/>
          <w:numId w:val="58"/>
        </w:numPr>
        <w:tabs>
          <w:tab w:val="left" w:pos="1155"/>
        </w:tabs>
        <w:spacing w:before="171" w:line="249" w:lineRule="auto"/>
        <w:ind w:right="256"/>
        <w:rPr>
          <w:sz w:val="20"/>
        </w:rPr>
      </w:pPr>
      <w:proofErr w:type="spellStart"/>
      <w:r>
        <w:rPr>
          <w:sz w:val="20"/>
        </w:rPr>
        <w:t>Emphasised</w:t>
      </w:r>
      <w:proofErr w:type="spellEnd"/>
      <w:r>
        <w:rPr>
          <w:sz w:val="20"/>
        </w:rPr>
        <w:t xml:space="preserve"> the </w:t>
      </w:r>
      <w:proofErr w:type="gramStart"/>
      <w:r>
        <w:rPr>
          <w:sz w:val="20"/>
        </w:rPr>
        <w:t>central role</w:t>
      </w:r>
      <w:proofErr w:type="gramEnd"/>
      <w:r>
        <w:rPr>
          <w:sz w:val="20"/>
        </w:rPr>
        <w:t xml:space="preserve"> that the Magistrates Court of Queensland plays in Queensland’s criminal</w:t>
      </w:r>
      <w:r>
        <w:rPr>
          <w:spacing w:val="-3"/>
          <w:sz w:val="20"/>
        </w:rPr>
        <w:t xml:space="preserve"> </w:t>
      </w:r>
      <w:r>
        <w:rPr>
          <w:sz w:val="20"/>
        </w:rPr>
        <w:t>justice</w:t>
      </w:r>
      <w:r>
        <w:rPr>
          <w:spacing w:val="-3"/>
          <w:sz w:val="20"/>
        </w:rPr>
        <w:t xml:space="preserve"> </w:t>
      </w:r>
      <w:r>
        <w:rPr>
          <w:sz w:val="20"/>
        </w:rPr>
        <w:t>system.</w:t>
      </w:r>
      <w:r>
        <w:rPr>
          <w:spacing w:val="-3"/>
          <w:sz w:val="20"/>
        </w:rPr>
        <w:t xml:space="preserve"> </w:t>
      </w:r>
      <w:r>
        <w:rPr>
          <w:sz w:val="20"/>
        </w:rPr>
        <w:t>Despite</w:t>
      </w:r>
      <w:r>
        <w:rPr>
          <w:spacing w:val="-3"/>
          <w:sz w:val="20"/>
        </w:rPr>
        <w:t xml:space="preserve"> </w:t>
      </w:r>
      <w:r>
        <w:rPr>
          <w:sz w:val="20"/>
        </w:rPr>
        <w:t>this,</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widely</w:t>
      </w:r>
      <w:r>
        <w:rPr>
          <w:spacing w:val="-3"/>
          <w:sz w:val="20"/>
        </w:rPr>
        <w:t xml:space="preserve"> </w:t>
      </w:r>
      <w:r>
        <w:rPr>
          <w:sz w:val="20"/>
        </w:rPr>
        <w:t>held</w:t>
      </w:r>
      <w:r>
        <w:rPr>
          <w:spacing w:val="-3"/>
          <w:sz w:val="20"/>
        </w:rPr>
        <w:t xml:space="preserve"> </w:t>
      </w:r>
      <w:r>
        <w:rPr>
          <w:sz w:val="20"/>
        </w:rPr>
        <w:t>view</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efficacy</w:t>
      </w:r>
      <w:r>
        <w:rPr>
          <w:spacing w:val="-3"/>
          <w:sz w:val="20"/>
        </w:rPr>
        <w:t xml:space="preserve"> </w:t>
      </w:r>
      <w:r>
        <w:rPr>
          <w:sz w:val="20"/>
        </w:rPr>
        <w:t>and</w:t>
      </w:r>
      <w:r>
        <w:rPr>
          <w:spacing w:val="-3"/>
          <w:sz w:val="20"/>
        </w:rPr>
        <w:t xml:space="preserve"> </w:t>
      </w:r>
      <w:r>
        <w:rPr>
          <w:sz w:val="20"/>
        </w:rPr>
        <w:t>efficiency</w:t>
      </w:r>
      <w:r>
        <w:rPr>
          <w:spacing w:val="-3"/>
          <w:sz w:val="20"/>
        </w:rPr>
        <w:t xml:space="preserve"> </w:t>
      </w:r>
      <w:r>
        <w:rPr>
          <w:sz w:val="20"/>
        </w:rPr>
        <w:t>of</w:t>
      </w:r>
      <w:r>
        <w:rPr>
          <w:spacing w:val="-3"/>
          <w:sz w:val="20"/>
        </w:rPr>
        <w:t xml:space="preserve"> </w:t>
      </w:r>
      <w:r>
        <w:rPr>
          <w:sz w:val="20"/>
        </w:rPr>
        <w:t xml:space="preserve">the Magistrates Courts </w:t>
      </w:r>
      <w:proofErr w:type="gramStart"/>
      <w:r>
        <w:rPr>
          <w:sz w:val="20"/>
        </w:rPr>
        <w:t>is undermined</w:t>
      </w:r>
      <w:proofErr w:type="gramEnd"/>
      <w:r>
        <w:rPr>
          <w:sz w:val="20"/>
        </w:rPr>
        <w:t xml:space="preserve"> by the </w:t>
      </w:r>
      <w:r>
        <w:rPr>
          <w:i/>
          <w:sz w:val="20"/>
        </w:rPr>
        <w:t xml:space="preserve">Justices Act 1886 </w:t>
      </w:r>
      <w:r>
        <w:rPr>
          <w:sz w:val="20"/>
        </w:rPr>
        <w:t>(Qld).</w:t>
      </w:r>
    </w:p>
    <w:p w14:paraId="092985E3" w14:textId="77777777" w:rsidR="00AC6F3C" w:rsidRDefault="00570E88">
      <w:pPr>
        <w:pStyle w:val="ListParagraph"/>
        <w:numPr>
          <w:ilvl w:val="0"/>
          <w:numId w:val="58"/>
        </w:numPr>
        <w:tabs>
          <w:tab w:val="left" w:pos="1155"/>
        </w:tabs>
        <w:spacing w:before="173" w:line="249" w:lineRule="auto"/>
        <w:ind w:right="694"/>
        <w:rPr>
          <w:sz w:val="20"/>
        </w:rPr>
      </w:pPr>
      <w:r>
        <w:rPr>
          <w:sz w:val="20"/>
        </w:rPr>
        <w:t>Engaged</w:t>
      </w:r>
      <w:r>
        <w:rPr>
          <w:spacing w:val="-5"/>
          <w:sz w:val="20"/>
        </w:rPr>
        <w:t xml:space="preserve"> </w:t>
      </w:r>
      <w:r>
        <w:rPr>
          <w:sz w:val="20"/>
        </w:rPr>
        <w:t>in</w:t>
      </w:r>
      <w:r>
        <w:rPr>
          <w:spacing w:val="-5"/>
          <w:sz w:val="20"/>
        </w:rPr>
        <w:t xml:space="preserve"> </w:t>
      </w:r>
      <w:proofErr w:type="gramStart"/>
      <w:r>
        <w:rPr>
          <w:sz w:val="20"/>
        </w:rPr>
        <w:t>several</w:t>
      </w:r>
      <w:proofErr w:type="gramEnd"/>
      <w:r>
        <w:rPr>
          <w:spacing w:val="-5"/>
          <w:sz w:val="20"/>
        </w:rPr>
        <w:t xml:space="preserve"> </w:t>
      </w:r>
      <w:r>
        <w:rPr>
          <w:sz w:val="20"/>
        </w:rPr>
        <w:t>consultations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DJAG</w:t>
      </w:r>
      <w:r>
        <w:rPr>
          <w:spacing w:val="-5"/>
          <w:sz w:val="20"/>
        </w:rPr>
        <w:t xml:space="preserve"> </w:t>
      </w:r>
      <w:r>
        <w:rPr>
          <w:sz w:val="20"/>
        </w:rPr>
        <w:t>Criminal</w:t>
      </w:r>
      <w:r>
        <w:rPr>
          <w:spacing w:val="-5"/>
          <w:sz w:val="20"/>
        </w:rPr>
        <w:t xml:space="preserve"> </w:t>
      </w:r>
      <w:r>
        <w:rPr>
          <w:sz w:val="20"/>
        </w:rPr>
        <w:t>Procedure</w:t>
      </w:r>
      <w:r>
        <w:rPr>
          <w:spacing w:val="-5"/>
          <w:sz w:val="20"/>
        </w:rPr>
        <w:t xml:space="preserve"> </w:t>
      </w:r>
      <w:r>
        <w:rPr>
          <w:sz w:val="20"/>
        </w:rPr>
        <w:t>Review</w:t>
      </w:r>
      <w:r>
        <w:rPr>
          <w:spacing w:val="-8"/>
          <w:sz w:val="20"/>
        </w:rPr>
        <w:t xml:space="preserve"> </w:t>
      </w:r>
      <w:r>
        <w:rPr>
          <w:sz w:val="20"/>
        </w:rPr>
        <w:t>Team</w:t>
      </w:r>
      <w:r>
        <w:rPr>
          <w:spacing w:val="-5"/>
          <w:sz w:val="20"/>
        </w:rPr>
        <w:t xml:space="preserve"> </w:t>
      </w:r>
      <w:r>
        <w:rPr>
          <w:sz w:val="20"/>
        </w:rPr>
        <w:t>and</w:t>
      </w:r>
      <w:r>
        <w:rPr>
          <w:spacing w:val="-5"/>
          <w:sz w:val="20"/>
        </w:rPr>
        <w:t xml:space="preserve"> </w:t>
      </w:r>
      <w:r>
        <w:rPr>
          <w:sz w:val="20"/>
        </w:rPr>
        <w:t xml:space="preserve">recently attended the final meeting concerning amendments to the </w:t>
      </w:r>
      <w:r>
        <w:rPr>
          <w:i/>
          <w:sz w:val="20"/>
        </w:rPr>
        <w:t>Justices Act 1886</w:t>
      </w:r>
      <w:r>
        <w:rPr>
          <w:sz w:val="20"/>
        </w:rPr>
        <w:t>.</w:t>
      </w:r>
    </w:p>
    <w:p w14:paraId="19021AC7" w14:textId="77777777" w:rsidR="00AC6F3C" w:rsidRDefault="00AC6F3C">
      <w:pPr>
        <w:spacing w:line="249" w:lineRule="auto"/>
        <w:rPr>
          <w:sz w:val="20"/>
        </w:rPr>
        <w:sectPr w:rsidR="00AC6F3C">
          <w:headerReference w:type="default" r:id="rId76"/>
          <w:footerReference w:type="default" r:id="rId77"/>
          <w:pgSz w:w="11910" w:h="16840"/>
          <w:pgMar w:top="1140" w:right="1160" w:bottom="520" w:left="460" w:header="0" w:footer="336" w:gutter="0"/>
          <w:cols w:space="720"/>
        </w:sectPr>
      </w:pPr>
    </w:p>
    <w:p w14:paraId="00C9F872" w14:textId="77777777" w:rsidR="00AC6F3C" w:rsidRDefault="00570E88">
      <w:pPr>
        <w:pStyle w:val="Heading9"/>
        <w:spacing w:before="71"/>
      </w:pPr>
      <w:r>
        <w:lastRenderedPageBreak/>
        <w:t>Commission</w:t>
      </w:r>
      <w:r>
        <w:rPr>
          <w:spacing w:val="-5"/>
        </w:rPr>
        <w:t xml:space="preserve"> </w:t>
      </w:r>
      <w:r>
        <w:t>of</w:t>
      </w:r>
      <w:r>
        <w:rPr>
          <w:spacing w:val="-4"/>
        </w:rPr>
        <w:t xml:space="preserve"> </w:t>
      </w:r>
      <w:r>
        <w:t>Inquiry</w:t>
      </w:r>
      <w:r>
        <w:rPr>
          <w:spacing w:val="-4"/>
        </w:rPr>
        <w:t xml:space="preserve"> </w:t>
      </w:r>
      <w:r>
        <w:t>into</w:t>
      </w:r>
      <w:r>
        <w:rPr>
          <w:spacing w:val="-4"/>
        </w:rPr>
        <w:t xml:space="preserve"> </w:t>
      </w:r>
      <w:r>
        <w:t>Forensic</w:t>
      </w:r>
      <w:r>
        <w:rPr>
          <w:spacing w:val="-4"/>
        </w:rPr>
        <w:t xml:space="preserve"> </w:t>
      </w:r>
      <w:r>
        <w:t>DNA</w:t>
      </w:r>
      <w:r>
        <w:rPr>
          <w:spacing w:val="-12"/>
        </w:rPr>
        <w:t xml:space="preserve"> </w:t>
      </w:r>
      <w:r>
        <w:t>Testing</w:t>
      </w:r>
      <w:r>
        <w:rPr>
          <w:spacing w:val="-4"/>
        </w:rPr>
        <w:t xml:space="preserve"> </w:t>
      </w:r>
      <w:r>
        <w:t>in</w:t>
      </w:r>
      <w:r>
        <w:rPr>
          <w:spacing w:val="-4"/>
        </w:rPr>
        <w:t xml:space="preserve"> </w:t>
      </w:r>
      <w:r>
        <w:rPr>
          <w:spacing w:val="-2"/>
        </w:rPr>
        <w:t>Queensland</w:t>
      </w:r>
    </w:p>
    <w:p w14:paraId="5F4CF113" w14:textId="77777777" w:rsidR="00AC6F3C" w:rsidRDefault="00570E88">
      <w:pPr>
        <w:pStyle w:val="ListParagraph"/>
        <w:numPr>
          <w:ilvl w:val="0"/>
          <w:numId w:val="58"/>
        </w:numPr>
        <w:tabs>
          <w:tab w:val="left" w:pos="1155"/>
        </w:tabs>
        <w:spacing w:before="176"/>
        <w:ind w:hanging="340"/>
        <w:rPr>
          <w:sz w:val="20"/>
        </w:rPr>
      </w:pPr>
      <w:r>
        <w:rPr>
          <w:sz w:val="20"/>
        </w:rPr>
        <w:t>Provided</w:t>
      </w:r>
      <w:r>
        <w:rPr>
          <w:spacing w:val="-10"/>
          <w:sz w:val="20"/>
        </w:rPr>
        <w:t xml:space="preserve"> </w:t>
      </w:r>
      <w:r>
        <w:rPr>
          <w:sz w:val="20"/>
        </w:rPr>
        <w:t>submissions</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Commission</w:t>
      </w:r>
      <w:r>
        <w:rPr>
          <w:spacing w:val="-4"/>
          <w:sz w:val="20"/>
        </w:rPr>
        <w:t xml:space="preserve"> </w:t>
      </w:r>
      <w:r>
        <w:rPr>
          <w:sz w:val="20"/>
        </w:rPr>
        <w:t>of</w:t>
      </w:r>
      <w:r>
        <w:rPr>
          <w:spacing w:val="-5"/>
          <w:sz w:val="20"/>
        </w:rPr>
        <w:t xml:space="preserve"> </w:t>
      </w:r>
      <w:r>
        <w:rPr>
          <w:sz w:val="20"/>
        </w:rPr>
        <w:t>Inquiry</w:t>
      </w:r>
      <w:r>
        <w:rPr>
          <w:spacing w:val="-4"/>
          <w:sz w:val="20"/>
        </w:rPr>
        <w:t xml:space="preserve"> </w:t>
      </w:r>
      <w:r>
        <w:rPr>
          <w:sz w:val="20"/>
        </w:rPr>
        <w:t>into</w:t>
      </w:r>
      <w:r>
        <w:rPr>
          <w:spacing w:val="-4"/>
          <w:sz w:val="20"/>
        </w:rPr>
        <w:t xml:space="preserve"> </w:t>
      </w:r>
      <w:r>
        <w:rPr>
          <w:sz w:val="20"/>
        </w:rPr>
        <w:t>Forensic</w:t>
      </w:r>
      <w:r>
        <w:rPr>
          <w:spacing w:val="-5"/>
          <w:sz w:val="20"/>
        </w:rPr>
        <w:t xml:space="preserve"> </w:t>
      </w:r>
      <w:r>
        <w:rPr>
          <w:sz w:val="20"/>
        </w:rPr>
        <w:t>DNA</w:t>
      </w:r>
      <w:r>
        <w:rPr>
          <w:spacing w:val="-15"/>
          <w:sz w:val="20"/>
        </w:rPr>
        <w:t xml:space="preserve"> </w:t>
      </w:r>
      <w:r>
        <w:rPr>
          <w:sz w:val="20"/>
        </w:rPr>
        <w:t>Testing</w:t>
      </w:r>
      <w:r>
        <w:rPr>
          <w:spacing w:val="-4"/>
          <w:sz w:val="20"/>
        </w:rPr>
        <w:t xml:space="preserve"> </w:t>
      </w:r>
      <w:r>
        <w:rPr>
          <w:sz w:val="20"/>
        </w:rPr>
        <w:t>in</w:t>
      </w:r>
      <w:r>
        <w:rPr>
          <w:spacing w:val="-4"/>
          <w:sz w:val="20"/>
        </w:rPr>
        <w:t xml:space="preserve"> </w:t>
      </w:r>
      <w:r>
        <w:rPr>
          <w:spacing w:val="-2"/>
          <w:sz w:val="20"/>
        </w:rPr>
        <w:t>Queensland.</w:t>
      </w:r>
    </w:p>
    <w:p w14:paraId="25C94092" w14:textId="77777777" w:rsidR="00AC6F3C" w:rsidRDefault="00570E88">
      <w:pPr>
        <w:pStyle w:val="ListParagraph"/>
        <w:numPr>
          <w:ilvl w:val="0"/>
          <w:numId w:val="58"/>
        </w:numPr>
        <w:tabs>
          <w:tab w:val="left" w:pos="1155"/>
        </w:tabs>
        <w:spacing w:line="249" w:lineRule="auto"/>
        <w:ind w:right="256"/>
        <w:rPr>
          <w:sz w:val="20"/>
        </w:rPr>
      </w:pPr>
      <w:r>
        <w:rPr>
          <w:sz w:val="20"/>
        </w:rPr>
        <w:t>Responded to queries and providing submissions to the Commission of Inquiry into Forensic DNA Testing</w:t>
      </w:r>
      <w:r>
        <w:rPr>
          <w:spacing w:val="-5"/>
          <w:sz w:val="20"/>
        </w:rPr>
        <w:t xml:space="preserve"> </w:t>
      </w:r>
      <w:r>
        <w:rPr>
          <w:sz w:val="20"/>
        </w:rPr>
        <w:t>in</w:t>
      </w:r>
      <w:r>
        <w:rPr>
          <w:spacing w:val="-5"/>
          <w:sz w:val="20"/>
        </w:rPr>
        <w:t xml:space="preserve"> </w:t>
      </w:r>
      <w:r>
        <w:rPr>
          <w:sz w:val="20"/>
        </w:rPr>
        <w:t>Queensland,</w:t>
      </w:r>
      <w:r>
        <w:rPr>
          <w:spacing w:val="-5"/>
          <w:sz w:val="20"/>
        </w:rPr>
        <w:t xml:space="preserve"> </w:t>
      </w:r>
      <w:r>
        <w:rPr>
          <w:sz w:val="20"/>
        </w:rPr>
        <w:t>the</w:t>
      </w:r>
      <w:r>
        <w:rPr>
          <w:spacing w:val="-5"/>
          <w:sz w:val="20"/>
        </w:rPr>
        <w:t xml:space="preserve"> </w:t>
      </w:r>
      <w:r>
        <w:rPr>
          <w:sz w:val="20"/>
        </w:rPr>
        <w:t>review</w:t>
      </w:r>
      <w:r>
        <w:rPr>
          <w:spacing w:val="-5"/>
          <w:sz w:val="20"/>
        </w:rPr>
        <w:t xml:space="preserve"> </w:t>
      </w:r>
      <w:r>
        <w:rPr>
          <w:sz w:val="20"/>
        </w:rPr>
        <w:t>into</w:t>
      </w:r>
      <w:r>
        <w:rPr>
          <w:spacing w:val="-5"/>
          <w:sz w:val="20"/>
        </w:rPr>
        <w:t xml:space="preserve"> </w:t>
      </w:r>
      <w:r>
        <w:rPr>
          <w:sz w:val="20"/>
        </w:rPr>
        <w:t>Queensland</w:t>
      </w:r>
      <w:r>
        <w:rPr>
          <w:spacing w:val="-5"/>
          <w:sz w:val="20"/>
        </w:rPr>
        <w:t xml:space="preserve"> </w:t>
      </w:r>
      <w:r>
        <w:rPr>
          <w:sz w:val="20"/>
        </w:rPr>
        <w:t>watch</w:t>
      </w:r>
      <w:r>
        <w:rPr>
          <w:spacing w:val="-5"/>
          <w:sz w:val="20"/>
        </w:rPr>
        <w:t xml:space="preserve"> </w:t>
      </w:r>
      <w:r>
        <w:rPr>
          <w:sz w:val="20"/>
        </w:rPr>
        <w:t>houses</w:t>
      </w:r>
      <w:r>
        <w:rPr>
          <w:spacing w:val="-5"/>
          <w:sz w:val="20"/>
        </w:rPr>
        <w:t xml:space="preserve"> </w:t>
      </w:r>
      <w:r>
        <w:rPr>
          <w:sz w:val="20"/>
        </w:rPr>
        <w:t>and</w:t>
      </w:r>
      <w:r>
        <w:rPr>
          <w:spacing w:val="-5"/>
          <w:sz w:val="20"/>
        </w:rPr>
        <w:t xml:space="preserve"> </w:t>
      </w:r>
      <w:r>
        <w:rPr>
          <w:sz w:val="20"/>
        </w:rPr>
        <w:t>parole</w:t>
      </w:r>
      <w:r>
        <w:rPr>
          <w:spacing w:val="-5"/>
          <w:sz w:val="20"/>
        </w:rPr>
        <w:t xml:space="preserve"> </w:t>
      </w:r>
      <w:r>
        <w:rPr>
          <w:sz w:val="20"/>
        </w:rPr>
        <w:t>system</w:t>
      </w:r>
      <w:r>
        <w:rPr>
          <w:spacing w:val="-5"/>
          <w:sz w:val="20"/>
        </w:rPr>
        <w:t xml:space="preserve"> </w:t>
      </w:r>
      <w:r>
        <w:rPr>
          <w:sz w:val="20"/>
        </w:rPr>
        <w:t>and</w:t>
      </w:r>
      <w:r>
        <w:rPr>
          <w:spacing w:val="-5"/>
          <w:sz w:val="20"/>
        </w:rPr>
        <w:t xml:space="preserve"> </w:t>
      </w:r>
      <w:r>
        <w:rPr>
          <w:sz w:val="20"/>
        </w:rPr>
        <w:t>responded to the DJAG consultation paper regarding Safeguarding Independent, Ensuring</w:t>
      </w:r>
      <w:r>
        <w:rPr>
          <w:spacing w:val="-2"/>
          <w:sz w:val="20"/>
        </w:rPr>
        <w:t xml:space="preserve"> </w:t>
      </w:r>
      <w:r>
        <w:rPr>
          <w:sz w:val="20"/>
        </w:rPr>
        <w:t>Accountability – Exploring the Need for a Judicial Commission in Queensland.</w:t>
      </w:r>
    </w:p>
    <w:p w14:paraId="34BED7BD" w14:textId="77777777" w:rsidR="00AC6F3C" w:rsidRDefault="00570E88">
      <w:pPr>
        <w:pStyle w:val="ListParagraph"/>
        <w:numPr>
          <w:ilvl w:val="0"/>
          <w:numId w:val="58"/>
        </w:numPr>
        <w:tabs>
          <w:tab w:val="left" w:pos="1155"/>
        </w:tabs>
        <w:spacing w:before="173"/>
        <w:ind w:hanging="340"/>
        <w:rPr>
          <w:sz w:val="20"/>
        </w:rPr>
      </w:pPr>
      <w:r>
        <w:rPr>
          <w:sz w:val="20"/>
        </w:rPr>
        <w:t>Committee</w:t>
      </w:r>
      <w:r>
        <w:rPr>
          <w:spacing w:val="-7"/>
          <w:sz w:val="20"/>
        </w:rPr>
        <w:t xml:space="preserve"> </w:t>
      </w:r>
      <w:r>
        <w:rPr>
          <w:sz w:val="20"/>
        </w:rPr>
        <w:t>members</w:t>
      </w:r>
      <w:r>
        <w:rPr>
          <w:spacing w:val="-4"/>
          <w:sz w:val="20"/>
        </w:rPr>
        <w:t xml:space="preserve"> </w:t>
      </w:r>
      <w:r>
        <w:rPr>
          <w:sz w:val="20"/>
        </w:rPr>
        <w:t>participated</w:t>
      </w:r>
      <w:r>
        <w:rPr>
          <w:spacing w:val="-5"/>
          <w:sz w:val="20"/>
        </w:rPr>
        <w:t xml:space="preserve"> </w:t>
      </w:r>
      <w:r>
        <w:rPr>
          <w:sz w:val="20"/>
        </w:rPr>
        <w:t>in</w:t>
      </w:r>
      <w:r>
        <w:rPr>
          <w:spacing w:val="-4"/>
          <w:sz w:val="20"/>
        </w:rPr>
        <w:t xml:space="preserve"> </w:t>
      </w:r>
      <w:r>
        <w:rPr>
          <w:sz w:val="20"/>
        </w:rPr>
        <w:t>several</w:t>
      </w:r>
      <w:r>
        <w:rPr>
          <w:spacing w:val="-5"/>
          <w:sz w:val="20"/>
        </w:rPr>
        <w:t xml:space="preserve"> </w:t>
      </w:r>
      <w:r>
        <w:rPr>
          <w:sz w:val="20"/>
        </w:rPr>
        <w:t>DNA-</w:t>
      </w:r>
      <w:proofErr w:type="gramStart"/>
      <w:r>
        <w:rPr>
          <w:sz w:val="20"/>
        </w:rPr>
        <w:t>sub</w:t>
      </w:r>
      <w:r>
        <w:rPr>
          <w:spacing w:val="-4"/>
          <w:sz w:val="20"/>
        </w:rPr>
        <w:t xml:space="preserve"> </w:t>
      </w:r>
      <w:r>
        <w:rPr>
          <w:sz w:val="20"/>
        </w:rPr>
        <w:t>group</w:t>
      </w:r>
      <w:proofErr w:type="gramEnd"/>
      <w:r>
        <w:rPr>
          <w:spacing w:val="-5"/>
          <w:sz w:val="20"/>
        </w:rPr>
        <w:t xml:space="preserve"> </w:t>
      </w:r>
      <w:r>
        <w:rPr>
          <w:sz w:val="20"/>
        </w:rPr>
        <w:t>stakeholder</w:t>
      </w:r>
      <w:r>
        <w:rPr>
          <w:spacing w:val="-4"/>
          <w:sz w:val="20"/>
        </w:rPr>
        <w:t xml:space="preserve"> </w:t>
      </w:r>
      <w:r>
        <w:rPr>
          <w:spacing w:val="-2"/>
          <w:sz w:val="20"/>
        </w:rPr>
        <w:t>meetings.</w:t>
      </w:r>
    </w:p>
    <w:p w14:paraId="18673811" w14:textId="77777777" w:rsidR="00AC6F3C" w:rsidRDefault="00570E88">
      <w:pPr>
        <w:pStyle w:val="ListParagraph"/>
        <w:numPr>
          <w:ilvl w:val="0"/>
          <w:numId w:val="58"/>
        </w:numPr>
        <w:tabs>
          <w:tab w:val="left" w:pos="1155"/>
        </w:tabs>
        <w:spacing w:line="249" w:lineRule="auto"/>
        <w:ind w:right="412"/>
        <w:rPr>
          <w:sz w:val="20"/>
        </w:rPr>
      </w:pPr>
      <w:r>
        <w:rPr>
          <w:sz w:val="20"/>
        </w:rPr>
        <w:t>Chair</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Criminal</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Dominic</w:t>
      </w:r>
      <w:r>
        <w:rPr>
          <w:spacing w:val="-3"/>
          <w:sz w:val="20"/>
        </w:rPr>
        <w:t xml:space="preserve"> </w:t>
      </w:r>
      <w:r>
        <w:rPr>
          <w:sz w:val="20"/>
        </w:rPr>
        <w:t>Brunello,</w:t>
      </w:r>
      <w:r>
        <w:rPr>
          <w:spacing w:val="-3"/>
          <w:sz w:val="20"/>
        </w:rPr>
        <w:t xml:space="preserve"> </w:t>
      </w:r>
      <w:r>
        <w:rPr>
          <w:sz w:val="20"/>
        </w:rPr>
        <w:t>appeared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panel</w:t>
      </w:r>
      <w:r>
        <w:rPr>
          <w:spacing w:val="-3"/>
          <w:sz w:val="20"/>
        </w:rPr>
        <w:t xml:space="preserve"> </w:t>
      </w:r>
      <w:r>
        <w:rPr>
          <w:sz w:val="20"/>
        </w:rPr>
        <w:t>member</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“DNA evidence –</w:t>
      </w:r>
      <w:r>
        <w:rPr>
          <w:spacing w:val="-4"/>
          <w:sz w:val="20"/>
        </w:rPr>
        <w:t xml:space="preserve"> </w:t>
      </w:r>
      <w:r>
        <w:rPr>
          <w:sz w:val="20"/>
        </w:rPr>
        <w:t>A</w:t>
      </w:r>
      <w:r>
        <w:rPr>
          <w:spacing w:val="-4"/>
          <w:sz w:val="20"/>
        </w:rPr>
        <w:t xml:space="preserve"> </w:t>
      </w:r>
      <w:r>
        <w:rPr>
          <w:sz w:val="20"/>
        </w:rPr>
        <w:t>Co-operative</w:t>
      </w:r>
      <w:r>
        <w:rPr>
          <w:spacing w:val="-4"/>
          <w:sz w:val="20"/>
        </w:rPr>
        <w:t xml:space="preserve"> </w:t>
      </w:r>
      <w:r>
        <w:rPr>
          <w:sz w:val="20"/>
        </w:rPr>
        <w:t>Approach” Seminar regarding the Court’s approach to DNA</w:t>
      </w:r>
      <w:r>
        <w:rPr>
          <w:spacing w:val="-4"/>
          <w:sz w:val="20"/>
        </w:rPr>
        <w:t xml:space="preserve"> </w:t>
      </w:r>
      <w:r>
        <w:rPr>
          <w:sz w:val="20"/>
        </w:rPr>
        <w:t>difficulties arising from the inquiry.</w:t>
      </w:r>
    </w:p>
    <w:p w14:paraId="4ADEA5D0" w14:textId="77777777" w:rsidR="00AC6F3C" w:rsidRDefault="00AC6F3C">
      <w:pPr>
        <w:pStyle w:val="BodyText"/>
        <w:spacing w:before="10"/>
        <w:rPr>
          <w:sz w:val="22"/>
        </w:rPr>
      </w:pPr>
    </w:p>
    <w:p w14:paraId="5A8BFAE5" w14:textId="77777777" w:rsidR="00AC6F3C" w:rsidRDefault="00570E88">
      <w:pPr>
        <w:pStyle w:val="Heading9"/>
        <w:spacing w:before="1"/>
      </w:pPr>
      <w:r>
        <w:t>Serious</w:t>
      </w:r>
      <w:r>
        <w:rPr>
          <w:spacing w:val="-2"/>
        </w:rPr>
        <w:t xml:space="preserve"> </w:t>
      </w:r>
      <w:r>
        <w:t>and</w:t>
      </w:r>
      <w:r>
        <w:rPr>
          <w:spacing w:val="-2"/>
        </w:rPr>
        <w:t xml:space="preserve"> </w:t>
      </w:r>
      <w:proofErr w:type="spellStart"/>
      <w:r>
        <w:t>Organised</w:t>
      </w:r>
      <w:proofErr w:type="spellEnd"/>
      <w:r>
        <w:rPr>
          <w:spacing w:val="-2"/>
        </w:rPr>
        <w:t xml:space="preserve"> </w:t>
      </w:r>
      <w:r>
        <w:t>Crime</w:t>
      </w:r>
      <w:r>
        <w:rPr>
          <w:spacing w:val="-2"/>
        </w:rPr>
        <w:t xml:space="preserve"> </w:t>
      </w:r>
      <w:r>
        <w:t>Legislation</w:t>
      </w:r>
      <w:r>
        <w:rPr>
          <w:spacing w:val="-2"/>
        </w:rPr>
        <w:t xml:space="preserve"> Review</w:t>
      </w:r>
    </w:p>
    <w:p w14:paraId="47251755" w14:textId="77777777" w:rsidR="00AC6F3C" w:rsidRDefault="00570E88">
      <w:pPr>
        <w:pStyle w:val="ListParagraph"/>
        <w:numPr>
          <w:ilvl w:val="0"/>
          <w:numId w:val="58"/>
        </w:numPr>
        <w:tabs>
          <w:tab w:val="left" w:pos="1155"/>
        </w:tabs>
        <w:spacing w:before="175"/>
        <w:ind w:hanging="340"/>
        <w:rPr>
          <w:sz w:val="20"/>
        </w:rPr>
      </w:pPr>
      <w:r>
        <w:rPr>
          <w:sz w:val="20"/>
        </w:rPr>
        <w:t>Provided</w:t>
      </w:r>
      <w:r>
        <w:rPr>
          <w:spacing w:val="-6"/>
          <w:sz w:val="20"/>
        </w:rPr>
        <w:t xml:space="preserve"> </w:t>
      </w:r>
      <w:r>
        <w:rPr>
          <w:sz w:val="20"/>
        </w:rPr>
        <w:t>feedback</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Serious</w:t>
      </w:r>
      <w:r>
        <w:rPr>
          <w:spacing w:val="-3"/>
          <w:sz w:val="20"/>
        </w:rPr>
        <w:t xml:space="preserve"> </w:t>
      </w:r>
      <w:r>
        <w:rPr>
          <w:sz w:val="20"/>
        </w:rPr>
        <w:t>and</w:t>
      </w:r>
      <w:r>
        <w:rPr>
          <w:spacing w:val="-4"/>
          <w:sz w:val="20"/>
        </w:rPr>
        <w:t xml:space="preserve"> </w:t>
      </w:r>
      <w:proofErr w:type="spellStart"/>
      <w:r>
        <w:rPr>
          <w:sz w:val="20"/>
        </w:rPr>
        <w:t>Organised</w:t>
      </w:r>
      <w:proofErr w:type="spellEnd"/>
      <w:r>
        <w:rPr>
          <w:spacing w:val="-4"/>
          <w:sz w:val="20"/>
        </w:rPr>
        <w:t xml:space="preserve"> </w:t>
      </w:r>
      <w:r>
        <w:rPr>
          <w:sz w:val="20"/>
        </w:rPr>
        <w:t>Crime</w:t>
      </w:r>
      <w:r>
        <w:rPr>
          <w:spacing w:val="-4"/>
          <w:sz w:val="20"/>
        </w:rPr>
        <w:t xml:space="preserve"> </w:t>
      </w:r>
      <w:r>
        <w:rPr>
          <w:sz w:val="20"/>
        </w:rPr>
        <w:t>Legislation</w:t>
      </w:r>
      <w:r>
        <w:rPr>
          <w:spacing w:val="-3"/>
          <w:sz w:val="20"/>
        </w:rPr>
        <w:t xml:space="preserve"> </w:t>
      </w:r>
      <w:r>
        <w:rPr>
          <w:spacing w:val="-2"/>
          <w:sz w:val="20"/>
        </w:rPr>
        <w:t>Review.</w:t>
      </w:r>
    </w:p>
    <w:p w14:paraId="74FCE02F" w14:textId="77777777" w:rsidR="00AC6F3C" w:rsidRDefault="00570E88">
      <w:pPr>
        <w:pStyle w:val="ListParagraph"/>
        <w:numPr>
          <w:ilvl w:val="0"/>
          <w:numId w:val="58"/>
        </w:numPr>
        <w:tabs>
          <w:tab w:val="left" w:pos="1155"/>
        </w:tabs>
        <w:spacing w:line="249" w:lineRule="auto"/>
        <w:ind w:right="424"/>
        <w:rPr>
          <w:sz w:val="20"/>
        </w:rPr>
      </w:pPr>
      <w:r>
        <w:rPr>
          <w:sz w:val="20"/>
        </w:rPr>
        <w:t>Expressed</w:t>
      </w:r>
      <w:r>
        <w:rPr>
          <w:spacing w:val="-3"/>
          <w:sz w:val="20"/>
        </w:rPr>
        <w:t xml:space="preserve"> </w:t>
      </w:r>
      <w:r>
        <w:rPr>
          <w:sz w:val="20"/>
        </w:rPr>
        <w:t>concerns</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low</w:t>
      </w:r>
      <w:r>
        <w:rPr>
          <w:spacing w:val="-3"/>
          <w:sz w:val="20"/>
        </w:rPr>
        <w:t xml:space="preserve"> </w:t>
      </w:r>
      <w:r>
        <w:rPr>
          <w:sz w:val="20"/>
        </w:rPr>
        <w:t>threshold</w:t>
      </w:r>
      <w:r>
        <w:rPr>
          <w:spacing w:val="-3"/>
          <w:sz w:val="20"/>
        </w:rPr>
        <w:t xml:space="preserve"> </w:t>
      </w:r>
      <w:r>
        <w:rPr>
          <w:sz w:val="20"/>
        </w:rPr>
        <w:t>which</w:t>
      </w:r>
      <w:r>
        <w:rPr>
          <w:spacing w:val="-3"/>
          <w:sz w:val="20"/>
        </w:rPr>
        <w:t xml:space="preserve"> </w:t>
      </w:r>
      <w:r>
        <w:rPr>
          <w:sz w:val="20"/>
        </w:rPr>
        <w:t>triggers</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consorting</w:t>
      </w:r>
      <w:r>
        <w:rPr>
          <w:spacing w:val="-3"/>
          <w:sz w:val="20"/>
        </w:rPr>
        <w:t xml:space="preserve"> </w:t>
      </w:r>
      <w:r>
        <w:rPr>
          <w:sz w:val="20"/>
        </w:rPr>
        <w:t>provisions</w:t>
      </w:r>
      <w:r>
        <w:rPr>
          <w:spacing w:val="-3"/>
          <w:sz w:val="20"/>
        </w:rPr>
        <w:t xml:space="preserve"> </w:t>
      </w:r>
      <w:r>
        <w:rPr>
          <w:sz w:val="20"/>
        </w:rPr>
        <w:t>and police powers.</w:t>
      </w:r>
    </w:p>
    <w:p w14:paraId="24314FC8" w14:textId="77777777" w:rsidR="00AC6F3C" w:rsidRDefault="00570E88">
      <w:pPr>
        <w:pStyle w:val="ListParagraph"/>
        <w:numPr>
          <w:ilvl w:val="0"/>
          <w:numId w:val="58"/>
        </w:numPr>
        <w:tabs>
          <w:tab w:val="left" w:pos="1155"/>
        </w:tabs>
        <w:spacing w:before="172" w:line="249" w:lineRule="auto"/>
        <w:ind w:right="239"/>
        <w:rPr>
          <w:sz w:val="20"/>
        </w:rPr>
      </w:pPr>
      <w:r>
        <w:rPr>
          <w:sz w:val="20"/>
        </w:rPr>
        <w:t>Noted</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consorting</w:t>
      </w:r>
      <w:r>
        <w:rPr>
          <w:spacing w:val="-3"/>
          <w:sz w:val="20"/>
        </w:rPr>
        <w:t xml:space="preserve"> </w:t>
      </w:r>
      <w:r>
        <w:rPr>
          <w:sz w:val="20"/>
        </w:rPr>
        <w:t>provisions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ineffective</w:t>
      </w:r>
      <w:r>
        <w:rPr>
          <w:spacing w:val="-3"/>
          <w:sz w:val="20"/>
        </w:rPr>
        <w:t xml:space="preserve"> </w:t>
      </w:r>
      <w:r>
        <w:rPr>
          <w:sz w:val="20"/>
        </w:rPr>
        <w:t>in</w:t>
      </w:r>
      <w:r>
        <w:rPr>
          <w:spacing w:val="-3"/>
          <w:sz w:val="20"/>
        </w:rPr>
        <w:t xml:space="preserve"> </w:t>
      </w:r>
      <w:r>
        <w:rPr>
          <w:sz w:val="20"/>
        </w:rPr>
        <w:t>disrupting</w:t>
      </w:r>
      <w:r>
        <w:rPr>
          <w:spacing w:val="-3"/>
          <w:sz w:val="20"/>
        </w:rPr>
        <w:t xml:space="preserve"> </w:t>
      </w:r>
      <w:r>
        <w:rPr>
          <w:sz w:val="20"/>
        </w:rPr>
        <w:t>serious</w:t>
      </w:r>
      <w:r>
        <w:rPr>
          <w:spacing w:val="-3"/>
          <w:sz w:val="20"/>
        </w:rPr>
        <w:t xml:space="preserve"> </w:t>
      </w:r>
      <w:r>
        <w:rPr>
          <w:sz w:val="20"/>
        </w:rPr>
        <w:t>and</w:t>
      </w:r>
      <w:r>
        <w:rPr>
          <w:spacing w:val="-3"/>
          <w:sz w:val="20"/>
        </w:rPr>
        <w:t xml:space="preserve"> </w:t>
      </w:r>
      <w:proofErr w:type="spellStart"/>
      <w:r>
        <w:rPr>
          <w:sz w:val="20"/>
        </w:rPr>
        <w:t>organised</w:t>
      </w:r>
      <w:proofErr w:type="spellEnd"/>
      <w:r>
        <w:rPr>
          <w:spacing w:val="-3"/>
          <w:sz w:val="20"/>
        </w:rPr>
        <w:t xml:space="preserve"> </w:t>
      </w:r>
      <w:r>
        <w:rPr>
          <w:sz w:val="20"/>
        </w:rPr>
        <w:t xml:space="preserve">crime, and the regime </w:t>
      </w:r>
      <w:proofErr w:type="gramStart"/>
      <w:r>
        <w:rPr>
          <w:sz w:val="20"/>
        </w:rPr>
        <w:t>is used</w:t>
      </w:r>
      <w:proofErr w:type="gramEnd"/>
      <w:r>
        <w:rPr>
          <w:sz w:val="20"/>
        </w:rPr>
        <w:t xml:space="preserve"> punitively by police officers.</w:t>
      </w:r>
    </w:p>
    <w:p w14:paraId="12CE63EE" w14:textId="77777777" w:rsidR="00AC6F3C" w:rsidRDefault="00570E88">
      <w:pPr>
        <w:pStyle w:val="ListParagraph"/>
        <w:numPr>
          <w:ilvl w:val="0"/>
          <w:numId w:val="58"/>
        </w:numPr>
        <w:tabs>
          <w:tab w:val="left" w:pos="1155"/>
        </w:tabs>
        <w:spacing w:before="172"/>
        <w:ind w:hanging="340"/>
        <w:rPr>
          <w:sz w:val="20"/>
        </w:rPr>
      </w:pPr>
      <w:r>
        <w:rPr>
          <w:spacing w:val="-4"/>
          <w:sz w:val="20"/>
        </w:rPr>
        <w:t>Recommended</w:t>
      </w:r>
      <w:r>
        <w:rPr>
          <w:spacing w:val="-5"/>
          <w:sz w:val="20"/>
        </w:rPr>
        <w:t xml:space="preserve"> </w:t>
      </w:r>
      <w:r>
        <w:rPr>
          <w:spacing w:val="-4"/>
          <w:sz w:val="20"/>
        </w:rPr>
        <w:t>four amendments</w:t>
      </w:r>
      <w:r>
        <w:rPr>
          <w:spacing w:val="-3"/>
          <w:sz w:val="20"/>
        </w:rPr>
        <w:t xml:space="preserve"> </w:t>
      </w:r>
      <w:proofErr w:type="gramStart"/>
      <w:r>
        <w:rPr>
          <w:spacing w:val="-4"/>
          <w:sz w:val="20"/>
        </w:rPr>
        <w:t>be</w:t>
      </w:r>
      <w:r>
        <w:rPr>
          <w:spacing w:val="-5"/>
          <w:sz w:val="20"/>
        </w:rPr>
        <w:t xml:space="preserve"> </w:t>
      </w:r>
      <w:r>
        <w:rPr>
          <w:spacing w:val="-4"/>
          <w:sz w:val="20"/>
        </w:rPr>
        <w:t>made</w:t>
      </w:r>
      <w:proofErr w:type="gramEnd"/>
      <w:r>
        <w:rPr>
          <w:spacing w:val="-4"/>
          <w:sz w:val="20"/>
        </w:rPr>
        <w:t xml:space="preserve"> to</w:t>
      </w:r>
      <w:r>
        <w:rPr>
          <w:spacing w:val="-5"/>
          <w:sz w:val="20"/>
        </w:rPr>
        <w:t xml:space="preserve"> </w:t>
      </w:r>
      <w:r>
        <w:rPr>
          <w:spacing w:val="-4"/>
          <w:sz w:val="20"/>
        </w:rPr>
        <w:t>improve efficacy and facilitate</w:t>
      </w:r>
      <w:r>
        <w:rPr>
          <w:spacing w:val="-5"/>
          <w:sz w:val="20"/>
        </w:rPr>
        <w:t xml:space="preserve"> </w:t>
      </w:r>
      <w:r>
        <w:rPr>
          <w:spacing w:val="-4"/>
          <w:sz w:val="20"/>
        </w:rPr>
        <w:t>the</w:t>
      </w:r>
      <w:r>
        <w:rPr>
          <w:spacing w:val="-5"/>
          <w:sz w:val="20"/>
        </w:rPr>
        <w:t xml:space="preserve"> </w:t>
      </w:r>
      <w:r>
        <w:rPr>
          <w:spacing w:val="-4"/>
          <w:sz w:val="20"/>
        </w:rPr>
        <w:t>purpose of the legislation.</w:t>
      </w:r>
    </w:p>
    <w:p w14:paraId="12DC64C0" w14:textId="77777777" w:rsidR="00AC6F3C" w:rsidRDefault="00AC6F3C">
      <w:pPr>
        <w:pStyle w:val="BodyText"/>
        <w:spacing w:before="6"/>
        <w:rPr>
          <w:sz w:val="23"/>
        </w:rPr>
      </w:pPr>
    </w:p>
    <w:p w14:paraId="2C11D193" w14:textId="77777777" w:rsidR="00AC6F3C" w:rsidRDefault="00570E88">
      <w:pPr>
        <w:pStyle w:val="Heading9"/>
        <w:spacing w:line="249" w:lineRule="auto"/>
        <w:ind w:right="990"/>
      </w:pPr>
      <w:r>
        <w:t>Domestic</w:t>
      </w:r>
      <w:r>
        <w:rPr>
          <w:spacing w:val="-5"/>
        </w:rPr>
        <w:t xml:space="preserve"> </w:t>
      </w:r>
      <w:r>
        <w:t>and</w:t>
      </w:r>
      <w:r>
        <w:rPr>
          <w:spacing w:val="-5"/>
        </w:rPr>
        <w:t xml:space="preserve"> </w:t>
      </w:r>
      <w:r>
        <w:t>Family</w:t>
      </w:r>
      <w:r>
        <w:rPr>
          <w:spacing w:val="-5"/>
        </w:rPr>
        <w:t xml:space="preserve"> </w:t>
      </w:r>
      <w:r>
        <w:t>Violence</w:t>
      </w:r>
      <w:r>
        <w:rPr>
          <w:spacing w:val="-5"/>
        </w:rPr>
        <w:t xml:space="preserve"> </w:t>
      </w:r>
      <w:r>
        <w:t>Protection</w:t>
      </w:r>
      <w:r>
        <w:rPr>
          <w:spacing w:val="-5"/>
        </w:rPr>
        <w:t xml:space="preserve"> </w:t>
      </w:r>
      <w:r>
        <w:t>(Combating</w:t>
      </w:r>
      <w:r>
        <w:rPr>
          <w:spacing w:val="-5"/>
        </w:rPr>
        <w:t xml:space="preserve"> </w:t>
      </w:r>
      <w:r>
        <w:t>Coercive</w:t>
      </w:r>
      <w:r>
        <w:rPr>
          <w:spacing w:val="-5"/>
        </w:rPr>
        <w:t xml:space="preserve"> </w:t>
      </w:r>
      <w:r>
        <w:t>Control)</w:t>
      </w:r>
      <w:r>
        <w:rPr>
          <w:spacing w:val="-5"/>
        </w:rPr>
        <w:t xml:space="preserve"> </w:t>
      </w:r>
      <w:r>
        <w:t>and Other Legislation Amendment Bill 2022</w:t>
      </w:r>
    </w:p>
    <w:p w14:paraId="42A1B43E" w14:textId="77777777" w:rsidR="00AC6F3C" w:rsidRDefault="00570E88">
      <w:pPr>
        <w:pStyle w:val="ListParagraph"/>
        <w:numPr>
          <w:ilvl w:val="0"/>
          <w:numId w:val="58"/>
        </w:numPr>
        <w:tabs>
          <w:tab w:val="left" w:pos="1155"/>
        </w:tabs>
        <w:spacing w:before="167" w:line="249" w:lineRule="auto"/>
        <w:ind w:right="131"/>
        <w:rPr>
          <w:sz w:val="20"/>
        </w:rPr>
      </w:pPr>
      <w:r>
        <w:rPr>
          <w:sz w:val="20"/>
        </w:rPr>
        <w:t>Made a submission (with the Domestic and Family Violence Committee) in response to the Domestic and Family Violence Protection (Combating Coercive Control) and Other Legislation</w:t>
      </w:r>
      <w:r>
        <w:rPr>
          <w:spacing w:val="-4"/>
          <w:sz w:val="20"/>
        </w:rPr>
        <w:t xml:space="preserve"> </w:t>
      </w:r>
      <w:r>
        <w:rPr>
          <w:sz w:val="20"/>
        </w:rPr>
        <w:t>Amendment Bill 2022,</w:t>
      </w:r>
      <w:r>
        <w:rPr>
          <w:spacing w:val="-3"/>
          <w:sz w:val="20"/>
        </w:rPr>
        <w:t xml:space="preserve"> </w:t>
      </w:r>
      <w:r>
        <w:rPr>
          <w:sz w:val="20"/>
        </w:rPr>
        <w:t>which</w:t>
      </w:r>
      <w:r>
        <w:rPr>
          <w:spacing w:val="-3"/>
          <w:sz w:val="20"/>
        </w:rPr>
        <w:t xml:space="preserve"> </w:t>
      </w:r>
      <w:r>
        <w:rPr>
          <w:sz w:val="20"/>
        </w:rPr>
        <w:t>comprises</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tranche</w:t>
      </w:r>
      <w:r>
        <w:rPr>
          <w:spacing w:val="-3"/>
          <w:sz w:val="20"/>
        </w:rPr>
        <w:t xml:space="preserve"> </w:t>
      </w:r>
      <w:r>
        <w:rPr>
          <w:sz w:val="20"/>
        </w:rPr>
        <w:t>of</w:t>
      </w:r>
      <w:r>
        <w:rPr>
          <w:spacing w:val="-3"/>
          <w:sz w:val="20"/>
        </w:rPr>
        <w:t xml:space="preserve"> </w:t>
      </w:r>
      <w:r>
        <w:rPr>
          <w:sz w:val="20"/>
        </w:rPr>
        <w:t>legislative</w:t>
      </w:r>
      <w:r>
        <w:rPr>
          <w:spacing w:val="-3"/>
          <w:sz w:val="20"/>
        </w:rPr>
        <w:t xml:space="preserve"> </w:t>
      </w:r>
      <w:r>
        <w:rPr>
          <w:sz w:val="20"/>
        </w:rPr>
        <w:t>reform</w:t>
      </w:r>
      <w:r>
        <w:rPr>
          <w:spacing w:val="-3"/>
          <w:sz w:val="20"/>
        </w:rPr>
        <w:t xml:space="preserve"> </w:t>
      </w:r>
      <w:r>
        <w:rPr>
          <w:sz w:val="20"/>
        </w:rPr>
        <w:t>following</w:t>
      </w:r>
      <w:r>
        <w:rPr>
          <w:spacing w:val="-3"/>
          <w:sz w:val="20"/>
        </w:rPr>
        <w:t xml:space="preserve"> </w:t>
      </w:r>
      <w:r>
        <w:rPr>
          <w:sz w:val="20"/>
        </w:rPr>
        <w:t>the</w:t>
      </w:r>
      <w:r>
        <w:rPr>
          <w:spacing w:val="-3"/>
          <w:sz w:val="20"/>
        </w:rPr>
        <w:t xml:space="preserve"> </w:t>
      </w:r>
      <w:r>
        <w:rPr>
          <w:sz w:val="20"/>
        </w:rPr>
        <w:t>Women’s</w:t>
      </w:r>
      <w:r>
        <w:rPr>
          <w:spacing w:val="-3"/>
          <w:sz w:val="20"/>
        </w:rPr>
        <w:t xml:space="preserve"> </w:t>
      </w:r>
      <w:r>
        <w:rPr>
          <w:sz w:val="20"/>
        </w:rPr>
        <w:t>Safety</w:t>
      </w:r>
      <w:r>
        <w:rPr>
          <w:spacing w:val="-3"/>
          <w:sz w:val="20"/>
        </w:rPr>
        <w:t xml:space="preserve"> </w:t>
      </w:r>
      <w:r>
        <w:rPr>
          <w:sz w:val="20"/>
        </w:rPr>
        <w:t>and</w:t>
      </w:r>
      <w:r>
        <w:rPr>
          <w:spacing w:val="-3"/>
          <w:sz w:val="20"/>
        </w:rPr>
        <w:t xml:space="preserve"> </w:t>
      </w:r>
      <w:r>
        <w:rPr>
          <w:sz w:val="20"/>
        </w:rPr>
        <w:t>Justice Taskforce’s first Hear Her Voice report.</w:t>
      </w:r>
    </w:p>
    <w:p w14:paraId="508C7F12" w14:textId="77777777" w:rsidR="00AC6F3C" w:rsidRDefault="00570E88">
      <w:pPr>
        <w:pStyle w:val="ListParagraph"/>
        <w:numPr>
          <w:ilvl w:val="0"/>
          <w:numId w:val="58"/>
        </w:numPr>
        <w:tabs>
          <w:tab w:val="left" w:pos="1155"/>
        </w:tabs>
        <w:spacing w:before="173" w:line="249" w:lineRule="auto"/>
        <w:ind w:right="256"/>
        <w:rPr>
          <w:sz w:val="20"/>
        </w:rPr>
      </w:pPr>
      <w:r>
        <w:rPr>
          <w:sz w:val="20"/>
        </w:rPr>
        <w:t>Expressed concerns about the unintended consequences that may flow from some of the amendments,</w:t>
      </w:r>
      <w:r>
        <w:rPr>
          <w:spacing w:val="-3"/>
          <w:sz w:val="20"/>
        </w:rPr>
        <w:t xml:space="preserve"> </w:t>
      </w:r>
      <w:r>
        <w:rPr>
          <w:sz w:val="20"/>
        </w:rPr>
        <w:t>in</w:t>
      </w:r>
      <w:r>
        <w:rPr>
          <w:spacing w:val="-3"/>
          <w:sz w:val="20"/>
        </w:rPr>
        <w:t xml:space="preserve"> </w:t>
      </w:r>
      <w:r>
        <w:rPr>
          <w:sz w:val="20"/>
        </w:rPr>
        <w:t>particular:</w:t>
      </w:r>
      <w:r>
        <w:rPr>
          <w:spacing w:val="-3"/>
          <w:sz w:val="20"/>
        </w:rPr>
        <w:t xml:space="preserve"> </w:t>
      </w:r>
      <w:r>
        <w:rPr>
          <w:sz w:val="20"/>
        </w:rPr>
        <w:t>the</w:t>
      </w:r>
      <w:r>
        <w:rPr>
          <w:spacing w:val="-3"/>
          <w:sz w:val="20"/>
        </w:rPr>
        <w:t xml:space="preserve"> </w:t>
      </w:r>
      <w:r>
        <w:rPr>
          <w:sz w:val="20"/>
        </w:rPr>
        <w:t>potential</w:t>
      </w:r>
      <w:r>
        <w:rPr>
          <w:spacing w:val="-3"/>
          <w:sz w:val="20"/>
        </w:rPr>
        <w:t xml:space="preserve"> </w:t>
      </w:r>
      <w:r>
        <w:rPr>
          <w:sz w:val="20"/>
        </w:rPr>
        <w:t>discriminatory</w:t>
      </w:r>
      <w:r>
        <w:rPr>
          <w:spacing w:val="-3"/>
          <w:sz w:val="20"/>
        </w:rPr>
        <w:t xml:space="preserve"> </w:t>
      </w:r>
      <w:r>
        <w:rPr>
          <w:sz w:val="20"/>
        </w:rPr>
        <w:t>application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definition</w:t>
      </w:r>
      <w:r>
        <w:rPr>
          <w:spacing w:val="-3"/>
          <w:sz w:val="20"/>
        </w:rPr>
        <w:t xml:space="preserve"> </w:t>
      </w:r>
      <w:r>
        <w:rPr>
          <w:sz w:val="20"/>
        </w:rPr>
        <w:t>of</w:t>
      </w:r>
      <w:r>
        <w:rPr>
          <w:spacing w:val="-3"/>
          <w:sz w:val="20"/>
        </w:rPr>
        <w:t xml:space="preserve"> </w:t>
      </w:r>
      <w:r>
        <w:rPr>
          <w:sz w:val="20"/>
        </w:rPr>
        <w:t>‘unlawful</w:t>
      </w:r>
      <w:r>
        <w:rPr>
          <w:spacing w:val="-3"/>
          <w:sz w:val="20"/>
        </w:rPr>
        <w:t xml:space="preserve"> </w:t>
      </w:r>
      <w:r>
        <w:rPr>
          <w:sz w:val="20"/>
        </w:rPr>
        <w:t xml:space="preserve">carnal knowledge’; the high threshold for cross orders; </w:t>
      </w:r>
      <w:proofErr w:type="gramStart"/>
      <w:r>
        <w:rPr>
          <w:sz w:val="20"/>
        </w:rPr>
        <w:t>and,</w:t>
      </w:r>
      <w:proofErr w:type="gramEnd"/>
      <w:r>
        <w:rPr>
          <w:sz w:val="20"/>
        </w:rPr>
        <w:t xml:space="preserve"> the confusing nature of the jury directions.</w:t>
      </w:r>
    </w:p>
    <w:p w14:paraId="38F3B97F" w14:textId="77777777" w:rsidR="00AC6F3C" w:rsidRDefault="00570E88">
      <w:pPr>
        <w:pStyle w:val="ListParagraph"/>
        <w:numPr>
          <w:ilvl w:val="0"/>
          <w:numId w:val="58"/>
        </w:numPr>
        <w:tabs>
          <w:tab w:val="left" w:pos="1155"/>
        </w:tabs>
        <w:spacing w:before="172" w:line="249" w:lineRule="auto"/>
        <w:ind w:right="1616"/>
        <w:rPr>
          <w:sz w:val="20"/>
        </w:rPr>
      </w:pPr>
      <w:r>
        <w:rPr>
          <w:sz w:val="20"/>
        </w:rPr>
        <w:t>Attended</w:t>
      </w:r>
      <w:r>
        <w:rPr>
          <w:spacing w:val="-4"/>
          <w:sz w:val="20"/>
        </w:rPr>
        <w:t xml:space="preserve"> </w:t>
      </w:r>
      <w:r>
        <w:rPr>
          <w:sz w:val="20"/>
        </w:rPr>
        <w:t>public</w:t>
      </w:r>
      <w:r>
        <w:rPr>
          <w:spacing w:val="-4"/>
          <w:sz w:val="20"/>
        </w:rPr>
        <w:t xml:space="preserve"> </w:t>
      </w:r>
      <w:r>
        <w:rPr>
          <w:sz w:val="20"/>
        </w:rPr>
        <w:t>hearing</w:t>
      </w:r>
      <w:r>
        <w:rPr>
          <w:spacing w:val="-4"/>
          <w:sz w:val="20"/>
        </w:rPr>
        <w:t xml:space="preserve"> </w:t>
      </w:r>
      <w:r>
        <w:rPr>
          <w:sz w:val="20"/>
        </w:rPr>
        <w:t>before</w:t>
      </w:r>
      <w:r>
        <w:rPr>
          <w:spacing w:val="-4"/>
          <w:sz w:val="20"/>
        </w:rPr>
        <w:t xml:space="preserve"> </w:t>
      </w:r>
      <w:r>
        <w:rPr>
          <w:sz w:val="20"/>
        </w:rPr>
        <w:t>the</w:t>
      </w:r>
      <w:r>
        <w:rPr>
          <w:spacing w:val="-4"/>
          <w:sz w:val="20"/>
        </w:rPr>
        <w:t xml:space="preserve"> </w:t>
      </w:r>
      <w:r>
        <w:rPr>
          <w:sz w:val="20"/>
        </w:rPr>
        <w:t>parliamentary</w:t>
      </w:r>
      <w:r>
        <w:rPr>
          <w:spacing w:val="-4"/>
          <w:sz w:val="20"/>
        </w:rPr>
        <w:t xml:space="preserve"> </w:t>
      </w:r>
      <w:r>
        <w:rPr>
          <w:sz w:val="20"/>
        </w:rPr>
        <w:t>Legal</w:t>
      </w:r>
      <w:r>
        <w:rPr>
          <w:spacing w:val="-14"/>
          <w:sz w:val="20"/>
        </w:rPr>
        <w:t xml:space="preserve"> </w:t>
      </w:r>
      <w:r>
        <w:rPr>
          <w:sz w:val="20"/>
        </w:rPr>
        <w:t>Affairs</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Committee on 7 November 2022.</w:t>
      </w:r>
    </w:p>
    <w:p w14:paraId="791FFC73" w14:textId="77777777" w:rsidR="00AC6F3C" w:rsidRDefault="00AC6F3C">
      <w:pPr>
        <w:pStyle w:val="BodyText"/>
        <w:spacing w:before="9"/>
        <w:rPr>
          <w:sz w:val="22"/>
        </w:rPr>
      </w:pPr>
    </w:p>
    <w:p w14:paraId="5B24B446" w14:textId="77777777" w:rsidR="00AC6F3C" w:rsidRDefault="00570E88">
      <w:pPr>
        <w:pStyle w:val="Heading9"/>
      </w:pPr>
      <w:r>
        <w:t>National</w:t>
      </w:r>
      <w:r>
        <w:rPr>
          <w:spacing w:val="-10"/>
        </w:rPr>
        <w:t xml:space="preserve"> </w:t>
      </w:r>
      <w:r>
        <w:t>Anti-Corruption</w:t>
      </w:r>
      <w:r>
        <w:rPr>
          <w:spacing w:val="-1"/>
        </w:rPr>
        <w:t xml:space="preserve"> </w:t>
      </w:r>
      <w:r>
        <w:t>Commission</w:t>
      </w:r>
      <w:r>
        <w:rPr>
          <w:spacing w:val="-1"/>
        </w:rPr>
        <w:t xml:space="preserve"> </w:t>
      </w:r>
      <w:r>
        <w:t>Bills</w:t>
      </w:r>
      <w:r>
        <w:rPr>
          <w:spacing w:val="-1"/>
        </w:rPr>
        <w:t xml:space="preserve"> </w:t>
      </w:r>
      <w:r>
        <w:rPr>
          <w:spacing w:val="-4"/>
        </w:rPr>
        <w:t>2022</w:t>
      </w:r>
    </w:p>
    <w:p w14:paraId="2A24BBDF" w14:textId="77777777" w:rsidR="00AC6F3C" w:rsidRDefault="00570E88">
      <w:pPr>
        <w:pStyle w:val="ListParagraph"/>
        <w:numPr>
          <w:ilvl w:val="0"/>
          <w:numId w:val="58"/>
        </w:numPr>
        <w:tabs>
          <w:tab w:val="left" w:pos="1155"/>
        </w:tabs>
        <w:spacing w:before="176" w:line="249" w:lineRule="auto"/>
        <w:ind w:right="234"/>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Parliamentary</w:t>
      </w:r>
      <w:r>
        <w:rPr>
          <w:spacing w:val="-3"/>
          <w:sz w:val="20"/>
        </w:rPr>
        <w:t xml:space="preserve"> </w:t>
      </w:r>
      <w:r>
        <w:rPr>
          <w:sz w:val="20"/>
        </w:rPr>
        <w:t>Joint</w:t>
      </w:r>
      <w:r>
        <w:rPr>
          <w:spacing w:val="-3"/>
          <w:sz w:val="20"/>
        </w:rPr>
        <w:t xml:space="preserve"> </w:t>
      </w:r>
      <w:r>
        <w:rPr>
          <w:sz w:val="20"/>
        </w:rPr>
        <w:t>Select</w:t>
      </w:r>
      <w:r>
        <w:rPr>
          <w:spacing w:val="-3"/>
          <w:sz w:val="20"/>
        </w:rPr>
        <w:t xml:space="preserve"> </w:t>
      </w:r>
      <w:r>
        <w:rPr>
          <w:sz w:val="20"/>
        </w:rPr>
        <w:t>Committee</w:t>
      </w:r>
      <w:r>
        <w:rPr>
          <w:spacing w:val="-3"/>
          <w:sz w:val="20"/>
        </w:rPr>
        <w:t xml:space="preserve"> </w:t>
      </w:r>
      <w:r>
        <w:rPr>
          <w:sz w:val="20"/>
        </w:rPr>
        <w:t>on</w:t>
      </w:r>
      <w:r>
        <w:rPr>
          <w:spacing w:val="-3"/>
          <w:sz w:val="20"/>
        </w:rPr>
        <w:t xml:space="preserve"> </w:t>
      </w:r>
      <w:r>
        <w:rPr>
          <w:sz w:val="20"/>
        </w:rPr>
        <w:t>National</w:t>
      </w:r>
      <w:r>
        <w:rPr>
          <w:spacing w:val="-14"/>
          <w:sz w:val="20"/>
        </w:rPr>
        <w:t xml:space="preserve"> </w:t>
      </w:r>
      <w:r>
        <w:rPr>
          <w:sz w:val="20"/>
        </w:rPr>
        <w:t>Anti-Corruption Commission Legislation in relation to the National</w:t>
      </w:r>
      <w:r>
        <w:rPr>
          <w:spacing w:val="-3"/>
          <w:sz w:val="20"/>
        </w:rPr>
        <w:t xml:space="preserve"> </w:t>
      </w:r>
      <w:r>
        <w:rPr>
          <w:sz w:val="20"/>
        </w:rPr>
        <w:t>Anti-Corruption Commission Bills 2022.</w:t>
      </w:r>
    </w:p>
    <w:p w14:paraId="5E4816B4" w14:textId="77777777" w:rsidR="00AC6F3C" w:rsidRDefault="00570E88">
      <w:pPr>
        <w:pStyle w:val="ListParagraph"/>
        <w:numPr>
          <w:ilvl w:val="0"/>
          <w:numId w:val="58"/>
        </w:numPr>
        <w:tabs>
          <w:tab w:val="left" w:pos="1155"/>
        </w:tabs>
        <w:spacing w:before="172" w:line="249" w:lineRule="auto"/>
        <w:ind w:right="252"/>
        <w:rPr>
          <w:sz w:val="20"/>
        </w:rPr>
      </w:pPr>
      <w:r>
        <w:rPr>
          <w:sz w:val="20"/>
        </w:rPr>
        <w:t>Recommended</w:t>
      </w:r>
      <w:r>
        <w:rPr>
          <w:spacing w:val="-3"/>
          <w:sz w:val="20"/>
        </w:rPr>
        <w:t xml:space="preserve"> </w:t>
      </w:r>
      <w:r>
        <w:rPr>
          <w:sz w:val="20"/>
        </w:rPr>
        <w:t>deletion</w:t>
      </w:r>
      <w:r>
        <w:rPr>
          <w:spacing w:val="-3"/>
          <w:sz w:val="20"/>
        </w:rPr>
        <w:t xml:space="preserve"> </w:t>
      </w:r>
      <w:r>
        <w:rPr>
          <w:sz w:val="20"/>
        </w:rPr>
        <w:t>of</w:t>
      </w:r>
      <w:r>
        <w:rPr>
          <w:spacing w:val="-3"/>
          <w:sz w:val="20"/>
        </w:rPr>
        <w:t xml:space="preserve"> </w:t>
      </w:r>
      <w:r>
        <w:rPr>
          <w:sz w:val="20"/>
        </w:rPr>
        <w:t>various</w:t>
      </w:r>
      <w:r>
        <w:rPr>
          <w:spacing w:val="-3"/>
          <w:sz w:val="20"/>
        </w:rPr>
        <w:t xml:space="preserve"> </w:t>
      </w:r>
      <w:r>
        <w:rPr>
          <w:sz w:val="20"/>
        </w:rPr>
        <w:t>sections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Bill</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the</w:t>
      </w:r>
      <w:r>
        <w:rPr>
          <w:spacing w:val="-3"/>
          <w:sz w:val="20"/>
        </w:rPr>
        <w:t xml:space="preserve"> </w:t>
      </w:r>
      <w:r>
        <w:rPr>
          <w:sz w:val="20"/>
        </w:rPr>
        <w:t>meaning</w:t>
      </w:r>
      <w:r>
        <w:rPr>
          <w:spacing w:val="-3"/>
          <w:sz w:val="20"/>
        </w:rPr>
        <w:t xml:space="preserve"> </w:t>
      </w:r>
      <w:r>
        <w:rPr>
          <w:sz w:val="20"/>
        </w:rPr>
        <w:t>of</w:t>
      </w:r>
      <w:r>
        <w:rPr>
          <w:spacing w:val="-3"/>
          <w:sz w:val="20"/>
        </w:rPr>
        <w:t xml:space="preserve"> </w:t>
      </w:r>
      <w:r>
        <w:rPr>
          <w:sz w:val="20"/>
        </w:rPr>
        <w:t>‘corrupt</w:t>
      </w:r>
      <w:r>
        <w:rPr>
          <w:spacing w:val="-3"/>
          <w:sz w:val="20"/>
        </w:rPr>
        <w:t xml:space="preserve"> </w:t>
      </w:r>
      <w:r>
        <w:rPr>
          <w:sz w:val="20"/>
        </w:rPr>
        <w:t>conduct’</w:t>
      </w:r>
      <w:r>
        <w:rPr>
          <w:spacing w:val="-9"/>
          <w:sz w:val="20"/>
        </w:rPr>
        <w:t xml:space="preserve"> </w:t>
      </w:r>
      <w:r>
        <w:rPr>
          <w:sz w:val="20"/>
        </w:rPr>
        <w:t>and ‘corruption issue’ are sufficiently clear and do not capture future conduct.</w:t>
      </w:r>
    </w:p>
    <w:p w14:paraId="0E9BD62E" w14:textId="77777777" w:rsidR="00AC6F3C" w:rsidRDefault="00570E88">
      <w:pPr>
        <w:pStyle w:val="ListParagraph"/>
        <w:numPr>
          <w:ilvl w:val="0"/>
          <w:numId w:val="58"/>
        </w:numPr>
        <w:tabs>
          <w:tab w:val="left" w:pos="1155"/>
        </w:tabs>
        <w:spacing w:before="172"/>
        <w:ind w:hanging="340"/>
        <w:rPr>
          <w:sz w:val="20"/>
        </w:rPr>
      </w:pPr>
      <w:r>
        <w:rPr>
          <w:sz w:val="20"/>
        </w:rPr>
        <w:t>Recommended</w:t>
      </w:r>
      <w:r>
        <w:rPr>
          <w:spacing w:val="-3"/>
          <w:sz w:val="20"/>
        </w:rPr>
        <w:t xml:space="preserve"> </w:t>
      </w:r>
      <w:r>
        <w:rPr>
          <w:sz w:val="20"/>
        </w:rPr>
        <w:t>amendments</w:t>
      </w:r>
      <w:r>
        <w:rPr>
          <w:spacing w:val="-3"/>
          <w:sz w:val="20"/>
        </w:rPr>
        <w:t xml:space="preserve"> </w:t>
      </w:r>
      <w:r>
        <w:rPr>
          <w:sz w:val="20"/>
        </w:rPr>
        <w:t>in</w:t>
      </w:r>
      <w:r>
        <w:rPr>
          <w:spacing w:val="-2"/>
          <w:sz w:val="20"/>
        </w:rPr>
        <w:t xml:space="preserve"> </w:t>
      </w:r>
      <w:r>
        <w:rPr>
          <w:sz w:val="20"/>
        </w:rPr>
        <w:t>relation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issue</w:t>
      </w:r>
      <w:r>
        <w:rPr>
          <w:spacing w:val="-2"/>
          <w:sz w:val="20"/>
        </w:rPr>
        <w:t xml:space="preserve"> </w:t>
      </w:r>
      <w:r>
        <w:rPr>
          <w:sz w:val="20"/>
        </w:rPr>
        <w:t>of</w:t>
      </w:r>
      <w:r>
        <w:rPr>
          <w:spacing w:val="-3"/>
          <w:sz w:val="20"/>
        </w:rPr>
        <w:t xml:space="preserve"> </w:t>
      </w:r>
      <w:r>
        <w:rPr>
          <w:sz w:val="20"/>
        </w:rPr>
        <w:t>public</w:t>
      </w:r>
      <w:r>
        <w:rPr>
          <w:spacing w:val="-2"/>
          <w:sz w:val="20"/>
        </w:rPr>
        <w:t xml:space="preserve"> </w:t>
      </w:r>
      <w:r>
        <w:rPr>
          <w:sz w:val="20"/>
        </w:rPr>
        <w:t>hearings</w:t>
      </w:r>
      <w:r>
        <w:rPr>
          <w:spacing w:val="-3"/>
          <w:sz w:val="20"/>
        </w:rPr>
        <w:t xml:space="preserve"> </w:t>
      </w:r>
      <w:r>
        <w:rPr>
          <w:sz w:val="20"/>
        </w:rPr>
        <w:t>to</w:t>
      </w:r>
      <w:r>
        <w:rPr>
          <w:spacing w:val="-2"/>
          <w:sz w:val="20"/>
        </w:rPr>
        <w:t xml:space="preserve"> </w:t>
      </w:r>
      <w:r>
        <w:rPr>
          <w:sz w:val="20"/>
        </w:rPr>
        <w:t>ensure</w:t>
      </w:r>
      <w:r>
        <w:rPr>
          <w:spacing w:val="-3"/>
          <w:sz w:val="20"/>
        </w:rPr>
        <w:t xml:space="preserve"> </w:t>
      </w:r>
      <w:r>
        <w:rPr>
          <w:sz w:val="20"/>
        </w:rPr>
        <w:t>the</w:t>
      </w:r>
      <w:r>
        <w:rPr>
          <w:spacing w:val="-2"/>
          <w:sz w:val="20"/>
        </w:rPr>
        <w:t xml:space="preserve"> </w:t>
      </w:r>
      <w:proofErr w:type="gramStart"/>
      <w:r>
        <w:rPr>
          <w:spacing w:val="-2"/>
          <w:sz w:val="20"/>
        </w:rPr>
        <w:t>commissioner</w:t>
      </w:r>
      <w:proofErr w:type="gramEnd"/>
    </w:p>
    <w:p w14:paraId="0B744D93" w14:textId="77777777" w:rsidR="00AC6F3C" w:rsidRDefault="00570E88">
      <w:pPr>
        <w:pStyle w:val="BodyText"/>
        <w:spacing w:before="10"/>
        <w:ind w:left="1155"/>
      </w:pPr>
      <w:r>
        <w:t>must</w:t>
      </w:r>
      <w:r>
        <w:rPr>
          <w:spacing w:val="-4"/>
        </w:rPr>
        <w:t xml:space="preserve"> </w:t>
      </w:r>
      <w:r>
        <w:t>have</w:t>
      </w:r>
      <w:r>
        <w:rPr>
          <w:spacing w:val="-3"/>
        </w:rPr>
        <w:t xml:space="preserve"> </w:t>
      </w:r>
      <w:r>
        <w:t>regard</w:t>
      </w:r>
      <w:r>
        <w:rPr>
          <w:spacing w:val="-3"/>
        </w:rPr>
        <w:t xml:space="preserve"> </w:t>
      </w:r>
      <w:r>
        <w:t>to</w:t>
      </w:r>
      <w:r>
        <w:rPr>
          <w:spacing w:val="-4"/>
        </w:rPr>
        <w:t xml:space="preserve"> </w:t>
      </w:r>
      <w:r>
        <w:t>certain</w:t>
      </w:r>
      <w:r>
        <w:rPr>
          <w:spacing w:val="-3"/>
        </w:rPr>
        <w:t xml:space="preserve"> </w:t>
      </w:r>
      <w:r>
        <w:t>listed</w:t>
      </w:r>
      <w:r>
        <w:rPr>
          <w:spacing w:val="-3"/>
        </w:rPr>
        <w:t xml:space="preserve"> </w:t>
      </w:r>
      <w:r>
        <w:rPr>
          <w:spacing w:val="-2"/>
        </w:rPr>
        <w:t>factors.</w:t>
      </w:r>
    </w:p>
    <w:p w14:paraId="07D0AFFC" w14:textId="77777777" w:rsidR="00AC6F3C" w:rsidRDefault="00570E88">
      <w:pPr>
        <w:pStyle w:val="ListParagraph"/>
        <w:numPr>
          <w:ilvl w:val="0"/>
          <w:numId w:val="58"/>
        </w:numPr>
        <w:tabs>
          <w:tab w:val="left" w:pos="1155"/>
        </w:tabs>
        <w:spacing w:line="249" w:lineRule="auto"/>
        <w:ind w:right="657"/>
        <w:rPr>
          <w:sz w:val="20"/>
        </w:rPr>
      </w:pPr>
      <w:proofErr w:type="spellStart"/>
      <w:r>
        <w:rPr>
          <w:sz w:val="20"/>
        </w:rPr>
        <w:t>Emphasised</w:t>
      </w:r>
      <w:proofErr w:type="spellEnd"/>
      <w:r>
        <w:rPr>
          <w:spacing w:val="-3"/>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3"/>
          <w:sz w:val="20"/>
        </w:rPr>
        <w:t xml:space="preserve"> </w:t>
      </w:r>
      <w:r>
        <w:rPr>
          <w:sz w:val="20"/>
        </w:rPr>
        <w:t>judicial</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decisions</w:t>
      </w:r>
      <w:r>
        <w:rPr>
          <w:spacing w:val="-3"/>
          <w:sz w:val="20"/>
        </w:rPr>
        <w:t xml:space="preserve"> </w:t>
      </w:r>
      <w:r>
        <w:rPr>
          <w:sz w:val="20"/>
        </w:rPr>
        <w:t>made</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whether</w:t>
      </w:r>
      <w:r>
        <w:rPr>
          <w:spacing w:val="-3"/>
          <w:sz w:val="20"/>
        </w:rPr>
        <w:t xml:space="preserve"> </w:t>
      </w:r>
      <w:r>
        <w:rPr>
          <w:sz w:val="20"/>
        </w:rPr>
        <w:t>a</w:t>
      </w:r>
      <w:r>
        <w:rPr>
          <w:spacing w:val="-3"/>
          <w:sz w:val="20"/>
        </w:rPr>
        <w:t xml:space="preserve"> </w:t>
      </w:r>
      <w:r>
        <w:rPr>
          <w:sz w:val="20"/>
        </w:rPr>
        <w:t xml:space="preserve">hearing should </w:t>
      </w:r>
      <w:proofErr w:type="gramStart"/>
      <w:r>
        <w:rPr>
          <w:sz w:val="20"/>
        </w:rPr>
        <w:t>be held</w:t>
      </w:r>
      <w:proofErr w:type="gramEnd"/>
      <w:r>
        <w:rPr>
          <w:sz w:val="20"/>
        </w:rPr>
        <w:t xml:space="preserve"> in public or private.</w:t>
      </w:r>
    </w:p>
    <w:p w14:paraId="6BFC1722" w14:textId="77777777" w:rsidR="00AC6F3C" w:rsidRDefault="00570E88">
      <w:pPr>
        <w:pStyle w:val="ListParagraph"/>
        <w:numPr>
          <w:ilvl w:val="0"/>
          <w:numId w:val="58"/>
        </w:numPr>
        <w:tabs>
          <w:tab w:val="left" w:pos="1155"/>
        </w:tabs>
        <w:spacing w:before="171" w:line="249" w:lineRule="auto"/>
        <w:ind w:right="841"/>
        <w:rPr>
          <w:sz w:val="20"/>
        </w:rPr>
      </w:pPr>
      <w:r>
        <w:rPr>
          <w:sz w:val="20"/>
        </w:rPr>
        <w:t>Vice-President,</w:t>
      </w:r>
      <w:r>
        <w:rPr>
          <w:spacing w:val="-4"/>
          <w:sz w:val="20"/>
        </w:rPr>
        <w:t xml:space="preserve"> </w:t>
      </w:r>
      <w:r>
        <w:rPr>
          <w:sz w:val="20"/>
        </w:rPr>
        <w:t>Rebecca</w:t>
      </w:r>
      <w:r>
        <w:rPr>
          <w:spacing w:val="-4"/>
          <w:sz w:val="20"/>
        </w:rPr>
        <w:t xml:space="preserve"> </w:t>
      </w:r>
      <w:r>
        <w:rPr>
          <w:sz w:val="20"/>
        </w:rPr>
        <w:t>Fogerty,</w:t>
      </w:r>
      <w:r>
        <w:rPr>
          <w:spacing w:val="-4"/>
          <w:sz w:val="20"/>
        </w:rPr>
        <w:t xml:space="preserve"> </w:t>
      </w:r>
      <w:r>
        <w:rPr>
          <w:sz w:val="20"/>
        </w:rPr>
        <w:t>appeared</w:t>
      </w:r>
      <w:r>
        <w:rPr>
          <w:spacing w:val="-4"/>
          <w:sz w:val="20"/>
        </w:rPr>
        <w:t xml:space="preserve"> </w:t>
      </w:r>
      <w:r>
        <w:rPr>
          <w:sz w:val="20"/>
        </w:rPr>
        <w:t>with</w:t>
      </w:r>
      <w:r>
        <w:rPr>
          <w:spacing w:val="-4"/>
          <w:sz w:val="20"/>
        </w:rPr>
        <w:t xml:space="preserve"> </w:t>
      </w:r>
      <w:r>
        <w:rPr>
          <w:sz w:val="20"/>
        </w:rPr>
        <w:t>members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QLS</w:t>
      </w:r>
      <w:r>
        <w:rPr>
          <w:spacing w:val="-4"/>
          <w:sz w:val="20"/>
        </w:rPr>
        <w:t xml:space="preserve"> </w:t>
      </w:r>
      <w:r>
        <w:rPr>
          <w:sz w:val="20"/>
        </w:rPr>
        <w:t>legal</w:t>
      </w:r>
      <w:r>
        <w:rPr>
          <w:spacing w:val="-4"/>
          <w:sz w:val="20"/>
        </w:rPr>
        <w:t xml:space="preserve"> </w:t>
      </w:r>
      <w:r>
        <w:rPr>
          <w:sz w:val="20"/>
        </w:rPr>
        <w:t>policy</w:t>
      </w:r>
      <w:r>
        <w:rPr>
          <w:spacing w:val="-4"/>
          <w:sz w:val="20"/>
        </w:rPr>
        <w:t xml:space="preserve"> </w:t>
      </w:r>
      <w:r>
        <w:rPr>
          <w:sz w:val="20"/>
        </w:rPr>
        <w:t>team</w:t>
      </w:r>
      <w:r>
        <w:rPr>
          <w:spacing w:val="-4"/>
          <w:sz w:val="20"/>
        </w:rPr>
        <w:t xml:space="preserve"> </w:t>
      </w:r>
      <w:r>
        <w:rPr>
          <w:sz w:val="20"/>
        </w:rPr>
        <w:t>at</w:t>
      </w:r>
      <w:r>
        <w:rPr>
          <w:spacing w:val="-4"/>
          <w:sz w:val="20"/>
        </w:rPr>
        <w:t xml:space="preserve"> </w:t>
      </w:r>
      <w:r>
        <w:rPr>
          <w:sz w:val="20"/>
        </w:rPr>
        <w:t>the Parliamentary Joint Select Committee public hearing on 18 October 2022.</w:t>
      </w:r>
    </w:p>
    <w:p w14:paraId="41106338" w14:textId="77777777" w:rsidR="00AC6F3C" w:rsidRDefault="00AC6F3C">
      <w:pPr>
        <w:spacing w:line="249" w:lineRule="auto"/>
        <w:rPr>
          <w:sz w:val="20"/>
        </w:rPr>
        <w:sectPr w:rsidR="00AC6F3C">
          <w:headerReference w:type="default" r:id="rId78"/>
          <w:footerReference w:type="default" r:id="rId79"/>
          <w:pgSz w:w="11910" w:h="16840"/>
          <w:pgMar w:top="1140" w:right="1160" w:bottom="520" w:left="460" w:header="0" w:footer="336" w:gutter="0"/>
          <w:cols w:space="720"/>
        </w:sectPr>
      </w:pPr>
    </w:p>
    <w:p w14:paraId="2CBB3C87" w14:textId="77777777" w:rsidR="00AC6F3C" w:rsidRDefault="00570E88">
      <w:pPr>
        <w:pStyle w:val="Heading9"/>
        <w:spacing w:before="71"/>
      </w:pPr>
      <w:r>
        <w:rPr>
          <w:spacing w:val="-2"/>
        </w:rPr>
        <w:lastRenderedPageBreak/>
        <w:t>Other</w:t>
      </w:r>
    </w:p>
    <w:p w14:paraId="260DD113" w14:textId="77777777" w:rsidR="00AC6F3C" w:rsidRDefault="00570E88">
      <w:pPr>
        <w:pStyle w:val="ListParagraph"/>
        <w:numPr>
          <w:ilvl w:val="0"/>
          <w:numId w:val="58"/>
        </w:numPr>
        <w:tabs>
          <w:tab w:val="left" w:pos="1155"/>
        </w:tabs>
        <w:spacing w:before="176"/>
        <w:ind w:hanging="340"/>
        <w:rPr>
          <w:sz w:val="20"/>
        </w:rPr>
      </w:pPr>
      <w:r>
        <w:rPr>
          <w:sz w:val="20"/>
        </w:rPr>
        <w:t>Members</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LGBTQIA+</w:t>
      </w:r>
      <w:r>
        <w:rPr>
          <w:spacing w:val="-3"/>
          <w:sz w:val="20"/>
        </w:rPr>
        <w:t xml:space="preserve"> </w:t>
      </w:r>
      <w:r>
        <w:rPr>
          <w:sz w:val="20"/>
        </w:rPr>
        <w:t>Criminal</w:t>
      </w:r>
      <w:r>
        <w:rPr>
          <w:spacing w:val="-3"/>
          <w:sz w:val="20"/>
        </w:rPr>
        <w:t xml:space="preserve"> </w:t>
      </w:r>
      <w:r>
        <w:rPr>
          <w:sz w:val="20"/>
        </w:rPr>
        <w:t>Justice</w:t>
      </w:r>
      <w:r>
        <w:rPr>
          <w:spacing w:val="-4"/>
          <w:sz w:val="20"/>
        </w:rPr>
        <w:t xml:space="preserve"> </w:t>
      </w:r>
      <w:r>
        <w:rPr>
          <w:sz w:val="20"/>
        </w:rPr>
        <w:t>Working</w:t>
      </w:r>
      <w:r>
        <w:rPr>
          <w:spacing w:val="-3"/>
          <w:sz w:val="20"/>
        </w:rPr>
        <w:t xml:space="preserve"> </w:t>
      </w:r>
      <w:r>
        <w:rPr>
          <w:sz w:val="20"/>
        </w:rPr>
        <w:t>Group</w:t>
      </w:r>
      <w:r>
        <w:rPr>
          <w:spacing w:val="-4"/>
          <w:sz w:val="20"/>
        </w:rPr>
        <w:t xml:space="preserve"> </w:t>
      </w:r>
      <w:r>
        <w:rPr>
          <w:sz w:val="20"/>
        </w:rPr>
        <w:t>provided</w:t>
      </w:r>
      <w:r>
        <w:rPr>
          <w:spacing w:val="-3"/>
          <w:sz w:val="20"/>
        </w:rPr>
        <w:t xml:space="preserve"> </w:t>
      </w:r>
      <w:r>
        <w:rPr>
          <w:sz w:val="20"/>
        </w:rPr>
        <w:t>feedback</w:t>
      </w:r>
      <w:r>
        <w:rPr>
          <w:spacing w:val="-3"/>
          <w:sz w:val="20"/>
        </w:rPr>
        <w:t xml:space="preserve"> </w:t>
      </w:r>
      <w:r>
        <w:rPr>
          <w:sz w:val="20"/>
        </w:rPr>
        <w:t>in</w:t>
      </w:r>
      <w:r>
        <w:rPr>
          <w:spacing w:val="-4"/>
          <w:sz w:val="20"/>
        </w:rPr>
        <w:t xml:space="preserve"> </w:t>
      </w:r>
      <w:r>
        <w:rPr>
          <w:sz w:val="20"/>
        </w:rPr>
        <w:t>relation</w:t>
      </w:r>
      <w:r>
        <w:rPr>
          <w:spacing w:val="-3"/>
          <w:sz w:val="20"/>
        </w:rPr>
        <w:t xml:space="preserve"> </w:t>
      </w:r>
      <w:r>
        <w:rPr>
          <w:sz w:val="20"/>
        </w:rPr>
        <w:t>to</w:t>
      </w:r>
      <w:r>
        <w:rPr>
          <w:spacing w:val="-3"/>
          <w:sz w:val="20"/>
        </w:rPr>
        <w:t xml:space="preserve"> </w:t>
      </w:r>
      <w:proofErr w:type="gramStart"/>
      <w:r>
        <w:rPr>
          <w:spacing w:val="-2"/>
          <w:sz w:val="20"/>
        </w:rPr>
        <w:t>Supreme</w:t>
      </w:r>
      <w:proofErr w:type="gramEnd"/>
    </w:p>
    <w:p w14:paraId="7B1A8B0F" w14:textId="77777777" w:rsidR="00AC6F3C" w:rsidRDefault="00570E88">
      <w:pPr>
        <w:pStyle w:val="BodyText"/>
        <w:spacing w:before="10"/>
        <w:ind w:left="1155"/>
      </w:pPr>
      <w:r>
        <w:t>and</w:t>
      </w:r>
      <w:r>
        <w:rPr>
          <w:spacing w:val="-3"/>
        </w:rPr>
        <w:t xml:space="preserve"> </w:t>
      </w:r>
      <w:r>
        <w:t>District</w:t>
      </w:r>
      <w:r>
        <w:rPr>
          <w:spacing w:val="-3"/>
        </w:rPr>
        <w:t xml:space="preserve"> </w:t>
      </w:r>
      <w:r>
        <w:t>Court</w:t>
      </w:r>
      <w:r>
        <w:rPr>
          <w:spacing w:val="-3"/>
        </w:rPr>
        <w:t xml:space="preserve"> </w:t>
      </w:r>
      <w:r>
        <w:t>appearance</w:t>
      </w:r>
      <w:r>
        <w:rPr>
          <w:spacing w:val="-2"/>
        </w:rPr>
        <w:t xml:space="preserve"> slips.</w:t>
      </w:r>
    </w:p>
    <w:p w14:paraId="4455B164" w14:textId="77777777" w:rsidR="00AC6F3C" w:rsidRDefault="00570E88">
      <w:pPr>
        <w:pStyle w:val="ListParagraph"/>
        <w:numPr>
          <w:ilvl w:val="0"/>
          <w:numId w:val="58"/>
        </w:numPr>
        <w:tabs>
          <w:tab w:val="left" w:pos="1155"/>
        </w:tabs>
        <w:spacing w:line="249" w:lineRule="auto"/>
        <w:ind w:right="164"/>
        <w:rPr>
          <w:sz w:val="20"/>
        </w:rPr>
      </w:pPr>
      <w:r>
        <w:rPr>
          <w:sz w:val="20"/>
        </w:rPr>
        <w:t>Vice-President Rebecca Fogerty and Criminal Law Committee Deputy Chair Patrick Quinn represented</w:t>
      </w:r>
      <w:r>
        <w:rPr>
          <w:spacing w:val="-3"/>
          <w:sz w:val="20"/>
        </w:rPr>
        <w:t xml:space="preserve"> </w:t>
      </w:r>
      <w:r>
        <w:rPr>
          <w:sz w:val="20"/>
        </w:rPr>
        <w:t>QLS</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Legal</w:t>
      </w:r>
      <w:r>
        <w:rPr>
          <w:spacing w:val="-14"/>
          <w:sz w:val="20"/>
        </w:rPr>
        <w:t xml:space="preserve"> </w:t>
      </w:r>
      <w:r>
        <w:rPr>
          <w:sz w:val="20"/>
        </w:rPr>
        <w:t>Affairs</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Committee</w:t>
      </w:r>
      <w:r>
        <w:rPr>
          <w:spacing w:val="-3"/>
          <w:sz w:val="20"/>
        </w:rPr>
        <w:t xml:space="preserve"> </w:t>
      </w:r>
      <w:r>
        <w:rPr>
          <w:sz w:val="20"/>
        </w:rPr>
        <w:t>public</w:t>
      </w:r>
      <w:r>
        <w:rPr>
          <w:spacing w:val="-3"/>
          <w:sz w:val="20"/>
        </w:rPr>
        <w:t xml:space="preserve"> </w:t>
      </w:r>
      <w:r>
        <w:rPr>
          <w:sz w:val="20"/>
        </w:rPr>
        <w:t>hearing</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Serious</w:t>
      </w:r>
      <w:r>
        <w:rPr>
          <w:spacing w:val="-3"/>
          <w:sz w:val="20"/>
        </w:rPr>
        <w:t xml:space="preserve"> </w:t>
      </w:r>
      <w:r>
        <w:rPr>
          <w:sz w:val="20"/>
        </w:rPr>
        <w:t>Vilification and Hate Crimes Bill in Brisbane.</w:t>
      </w:r>
    </w:p>
    <w:p w14:paraId="26831562" w14:textId="77777777" w:rsidR="00AC6F3C" w:rsidRDefault="00570E88">
      <w:pPr>
        <w:pStyle w:val="ListParagraph"/>
        <w:numPr>
          <w:ilvl w:val="0"/>
          <w:numId w:val="58"/>
        </w:numPr>
        <w:tabs>
          <w:tab w:val="left" w:pos="1155"/>
        </w:tabs>
        <w:spacing w:before="173" w:line="249" w:lineRule="auto"/>
        <w:ind w:right="595"/>
        <w:rPr>
          <w:sz w:val="20"/>
        </w:rPr>
      </w:pPr>
      <w:r>
        <w:rPr>
          <w:sz w:val="20"/>
        </w:rPr>
        <w:t>Prepared responses to the Justice and Other Legislation</w:t>
      </w:r>
      <w:r>
        <w:rPr>
          <w:spacing w:val="-3"/>
          <w:sz w:val="20"/>
        </w:rPr>
        <w:t xml:space="preserve"> </w:t>
      </w:r>
      <w:r>
        <w:rPr>
          <w:sz w:val="20"/>
        </w:rPr>
        <w:t>Amendment Bill 2023 and DJAG consultation</w:t>
      </w:r>
      <w:r>
        <w:rPr>
          <w:spacing w:val="-3"/>
          <w:sz w:val="20"/>
        </w:rPr>
        <w:t xml:space="preserve"> </w:t>
      </w:r>
      <w:r>
        <w:rPr>
          <w:sz w:val="20"/>
        </w:rPr>
        <w:t>regarding</w:t>
      </w:r>
      <w:r>
        <w:rPr>
          <w:spacing w:val="-3"/>
          <w:sz w:val="20"/>
        </w:rPr>
        <w:t xml:space="preserve"> </w:t>
      </w:r>
      <w:r>
        <w:rPr>
          <w:sz w:val="20"/>
        </w:rPr>
        <w:t>operation</w:t>
      </w:r>
      <w:r>
        <w:rPr>
          <w:spacing w:val="-3"/>
          <w:sz w:val="20"/>
        </w:rPr>
        <w:t xml:space="preserve"> </w:t>
      </w:r>
      <w:r>
        <w:rPr>
          <w:sz w:val="20"/>
        </w:rPr>
        <w:t>of</w:t>
      </w:r>
      <w:r>
        <w:rPr>
          <w:spacing w:val="-3"/>
          <w:sz w:val="20"/>
        </w:rPr>
        <w:t xml:space="preserve"> </w:t>
      </w:r>
      <w:r>
        <w:rPr>
          <w:sz w:val="20"/>
        </w:rPr>
        <w:t>certain</w:t>
      </w:r>
      <w:r>
        <w:rPr>
          <w:spacing w:val="-3"/>
          <w:sz w:val="20"/>
        </w:rPr>
        <w:t xml:space="preserve"> </w:t>
      </w:r>
      <w:r>
        <w:rPr>
          <w:sz w:val="20"/>
        </w:rPr>
        <w:t>aspects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i/>
          <w:sz w:val="20"/>
        </w:rPr>
        <w:t>Penalties</w:t>
      </w:r>
      <w:r>
        <w:rPr>
          <w:i/>
          <w:spacing w:val="-3"/>
          <w:sz w:val="20"/>
        </w:rPr>
        <w:t xml:space="preserve"> </w:t>
      </w:r>
      <w:r>
        <w:rPr>
          <w:i/>
          <w:sz w:val="20"/>
        </w:rPr>
        <w:t>and</w:t>
      </w:r>
      <w:r>
        <w:rPr>
          <w:i/>
          <w:spacing w:val="-3"/>
          <w:sz w:val="20"/>
        </w:rPr>
        <w:t xml:space="preserve"> </w:t>
      </w:r>
      <w:r>
        <w:rPr>
          <w:i/>
          <w:sz w:val="20"/>
        </w:rPr>
        <w:t>Sentences</w:t>
      </w:r>
      <w:r>
        <w:rPr>
          <w:i/>
          <w:spacing w:val="-11"/>
          <w:sz w:val="20"/>
        </w:rPr>
        <w:t xml:space="preserve"> </w:t>
      </w:r>
      <w:r>
        <w:rPr>
          <w:i/>
          <w:sz w:val="20"/>
        </w:rPr>
        <w:t>Act</w:t>
      </w:r>
      <w:r>
        <w:rPr>
          <w:i/>
          <w:spacing w:val="-3"/>
          <w:sz w:val="20"/>
        </w:rPr>
        <w:t xml:space="preserve"> </w:t>
      </w:r>
      <w:r>
        <w:rPr>
          <w:i/>
          <w:sz w:val="20"/>
        </w:rPr>
        <w:t>1992</w:t>
      </w:r>
      <w:r>
        <w:rPr>
          <w:i/>
          <w:spacing w:val="-3"/>
          <w:sz w:val="20"/>
        </w:rPr>
        <w:t xml:space="preserve"> </w:t>
      </w:r>
      <w:r>
        <w:rPr>
          <w:sz w:val="20"/>
        </w:rPr>
        <w:t xml:space="preserve">and </w:t>
      </w:r>
      <w:r>
        <w:rPr>
          <w:i/>
          <w:sz w:val="20"/>
        </w:rPr>
        <w:t>Jury Act 1995</w:t>
      </w:r>
      <w:r>
        <w:rPr>
          <w:sz w:val="20"/>
        </w:rPr>
        <w:t>.</w:t>
      </w:r>
    </w:p>
    <w:p w14:paraId="0DD81218" w14:textId="77777777" w:rsidR="00AC6F3C" w:rsidRDefault="00570E88">
      <w:pPr>
        <w:pStyle w:val="ListParagraph"/>
        <w:numPr>
          <w:ilvl w:val="0"/>
          <w:numId w:val="58"/>
        </w:numPr>
        <w:tabs>
          <w:tab w:val="left" w:pos="1155"/>
        </w:tabs>
        <w:spacing w:before="172" w:line="249" w:lineRule="auto"/>
        <w:ind w:right="1005"/>
        <w:rPr>
          <w:sz w:val="20"/>
        </w:rPr>
      </w:pPr>
      <w:r>
        <w:rPr>
          <w:sz w:val="20"/>
        </w:rPr>
        <w:t>Attended</w:t>
      </w:r>
      <w:r>
        <w:rPr>
          <w:spacing w:val="-4"/>
          <w:sz w:val="20"/>
        </w:rPr>
        <w:t xml:space="preserve"> </w:t>
      </w:r>
      <w:r>
        <w:rPr>
          <w:sz w:val="20"/>
        </w:rPr>
        <w:t>the</w:t>
      </w:r>
      <w:r>
        <w:rPr>
          <w:spacing w:val="-4"/>
          <w:sz w:val="20"/>
        </w:rPr>
        <w:t xml:space="preserve"> </w:t>
      </w:r>
      <w:r>
        <w:rPr>
          <w:sz w:val="20"/>
        </w:rPr>
        <w:t>public</w:t>
      </w:r>
      <w:r>
        <w:rPr>
          <w:spacing w:val="-4"/>
          <w:sz w:val="20"/>
        </w:rPr>
        <w:t xml:space="preserve"> </w:t>
      </w:r>
      <w:r>
        <w:rPr>
          <w:sz w:val="20"/>
        </w:rPr>
        <w:t>hearing</w:t>
      </w:r>
      <w:r>
        <w:rPr>
          <w:spacing w:val="-4"/>
          <w:sz w:val="20"/>
        </w:rPr>
        <w:t xml:space="preserve"> </w:t>
      </w:r>
      <w:r>
        <w:rPr>
          <w:sz w:val="20"/>
        </w:rPr>
        <w:t>before</w:t>
      </w:r>
      <w:r>
        <w:rPr>
          <w:spacing w:val="-4"/>
          <w:sz w:val="20"/>
        </w:rPr>
        <w:t xml:space="preserve"> </w:t>
      </w:r>
      <w:r>
        <w:rPr>
          <w:sz w:val="20"/>
        </w:rPr>
        <w:t>the</w:t>
      </w:r>
      <w:r>
        <w:rPr>
          <w:spacing w:val="-4"/>
          <w:sz w:val="20"/>
        </w:rPr>
        <w:t xml:space="preserve"> </w:t>
      </w:r>
      <w:r>
        <w:rPr>
          <w:sz w:val="20"/>
        </w:rPr>
        <w:t>parliamentary</w:t>
      </w:r>
      <w:r>
        <w:rPr>
          <w:spacing w:val="-4"/>
          <w:sz w:val="20"/>
        </w:rPr>
        <w:t xml:space="preserve"> </w:t>
      </w:r>
      <w:r>
        <w:rPr>
          <w:sz w:val="20"/>
        </w:rPr>
        <w:t>Legal</w:t>
      </w:r>
      <w:r>
        <w:rPr>
          <w:spacing w:val="-14"/>
          <w:sz w:val="20"/>
        </w:rPr>
        <w:t xml:space="preserve"> </w:t>
      </w:r>
      <w:r>
        <w:rPr>
          <w:sz w:val="20"/>
        </w:rPr>
        <w:t>Affairs</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Committee</w:t>
      </w:r>
      <w:r>
        <w:rPr>
          <w:spacing w:val="-4"/>
          <w:sz w:val="20"/>
        </w:rPr>
        <w:t xml:space="preserve"> </w:t>
      </w:r>
      <w:r>
        <w:rPr>
          <w:sz w:val="20"/>
        </w:rPr>
        <w:t>on 21</w:t>
      </w:r>
      <w:r>
        <w:rPr>
          <w:spacing w:val="-3"/>
          <w:sz w:val="20"/>
        </w:rPr>
        <w:t xml:space="preserve"> </w:t>
      </w:r>
      <w:r>
        <w:rPr>
          <w:sz w:val="20"/>
        </w:rPr>
        <w:t>August in relation regarding the Justice and Other Legislation</w:t>
      </w:r>
      <w:r>
        <w:rPr>
          <w:spacing w:val="-3"/>
          <w:sz w:val="20"/>
        </w:rPr>
        <w:t xml:space="preserve"> </w:t>
      </w:r>
      <w:r>
        <w:rPr>
          <w:sz w:val="20"/>
        </w:rPr>
        <w:t>Amendment Bill 2023.</w:t>
      </w:r>
    </w:p>
    <w:p w14:paraId="353ACCC1" w14:textId="77777777" w:rsidR="00AC6F3C" w:rsidRDefault="00570E88">
      <w:pPr>
        <w:pStyle w:val="ListParagraph"/>
        <w:numPr>
          <w:ilvl w:val="0"/>
          <w:numId w:val="58"/>
        </w:numPr>
        <w:tabs>
          <w:tab w:val="left" w:pos="1155"/>
        </w:tabs>
        <w:spacing w:before="172" w:line="249" w:lineRule="auto"/>
        <w:ind w:right="317"/>
        <w:rPr>
          <w:sz w:val="20"/>
        </w:rPr>
      </w:pPr>
      <w:r>
        <w:rPr>
          <w:sz w:val="20"/>
        </w:rPr>
        <w:t>Engaged</w:t>
      </w:r>
      <w:r>
        <w:rPr>
          <w:spacing w:val="-11"/>
          <w:sz w:val="20"/>
        </w:rPr>
        <w:t xml:space="preserve"> </w:t>
      </w:r>
      <w:r>
        <w:rPr>
          <w:sz w:val="20"/>
        </w:rPr>
        <w:t>in</w:t>
      </w:r>
      <w:r>
        <w:rPr>
          <w:spacing w:val="-8"/>
          <w:sz w:val="20"/>
        </w:rPr>
        <w:t xml:space="preserve"> </w:t>
      </w:r>
      <w:proofErr w:type="gramStart"/>
      <w:r>
        <w:rPr>
          <w:sz w:val="20"/>
        </w:rPr>
        <w:t>proactive</w:t>
      </w:r>
      <w:proofErr w:type="gramEnd"/>
      <w:r>
        <w:rPr>
          <w:spacing w:val="-8"/>
          <w:sz w:val="20"/>
        </w:rPr>
        <w:t xml:space="preserve"> </w:t>
      </w:r>
      <w:r>
        <w:rPr>
          <w:sz w:val="20"/>
        </w:rPr>
        <w:t>correspondence</w:t>
      </w:r>
      <w:r>
        <w:rPr>
          <w:spacing w:val="-8"/>
          <w:sz w:val="20"/>
        </w:rPr>
        <w:t xml:space="preserve"> </w:t>
      </w:r>
      <w:r>
        <w:rPr>
          <w:sz w:val="20"/>
        </w:rPr>
        <w:t>to</w:t>
      </w:r>
      <w:r>
        <w:rPr>
          <w:spacing w:val="-8"/>
          <w:sz w:val="20"/>
        </w:rPr>
        <w:t xml:space="preserve"> </w:t>
      </w:r>
      <w:r>
        <w:rPr>
          <w:sz w:val="20"/>
        </w:rPr>
        <w:t>the</w:t>
      </w:r>
      <w:r>
        <w:rPr>
          <w:spacing w:val="-16"/>
          <w:sz w:val="20"/>
        </w:rPr>
        <w:t xml:space="preserve"> </w:t>
      </w:r>
      <w:r>
        <w:rPr>
          <w:sz w:val="20"/>
        </w:rPr>
        <w:t>Attorney-General</w:t>
      </w:r>
      <w:r>
        <w:rPr>
          <w:spacing w:val="-8"/>
          <w:sz w:val="20"/>
        </w:rPr>
        <w:t xml:space="preserve"> </w:t>
      </w:r>
      <w:r>
        <w:rPr>
          <w:sz w:val="20"/>
        </w:rPr>
        <w:t>to</w:t>
      </w:r>
      <w:r>
        <w:rPr>
          <w:spacing w:val="-8"/>
          <w:sz w:val="20"/>
        </w:rPr>
        <w:t xml:space="preserve"> </w:t>
      </w:r>
      <w:r>
        <w:rPr>
          <w:sz w:val="20"/>
        </w:rPr>
        <w:t>draw</w:t>
      </w:r>
      <w:r>
        <w:rPr>
          <w:spacing w:val="-8"/>
          <w:sz w:val="20"/>
        </w:rPr>
        <w:t xml:space="preserve"> </w:t>
      </w:r>
      <w:r>
        <w:rPr>
          <w:sz w:val="20"/>
        </w:rPr>
        <w:t>her</w:t>
      </w:r>
      <w:r>
        <w:rPr>
          <w:spacing w:val="-8"/>
          <w:sz w:val="20"/>
        </w:rPr>
        <w:t xml:space="preserve"> </w:t>
      </w:r>
      <w:r>
        <w:rPr>
          <w:sz w:val="20"/>
        </w:rPr>
        <w:t>attention</w:t>
      </w:r>
      <w:r>
        <w:rPr>
          <w:spacing w:val="-8"/>
          <w:sz w:val="20"/>
        </w:rPr>
        <w:t xml:space="preserve"> </w:t>
      </w:r>
      <w:r>
        <w:rPr>
          <w:sz w:val="20"/>
        </w:rPr>
        <w:t>to</w:t>
      </w:r>
      <w:r>
        <w:rPr>
          <w:spacing w:val="-8"/>
          <w:sz w:val="20"/>
        </w:rPr>
        <w:t xml:space="preserve"> </w:t>
      </w:r>
      <w:r>
        <w:rPr>
          <w:sz w:val="20"/>
        </w:rPr>
        <w:t xml:space="preserve">judicial </w:t>
      </w:r>
      <w:r>
        <w:rPr>
          <w:spacing w:val="-2"/>
          <w:sz w:val="20"/>
        </w:rPr>
        <w:t>resourcing</w:t>
      </w:r>
      <w:r>
        <w:rPr>
          <w:spacing w:val="-5"/>
          <w:sz w:val="20"/>
        </w:rPr>
        <w:t xml:space="preserve"> </w:t>
      </w:r>
      <w:r>
        <w:rPr>
          <w:spacing w:val="-2"/>
          <w:sz w:val="20"/>
        </w:rPr>
        <w:t>issues</w:t>
      </w:r>
      <w:r>
        <w:rPr>
          <w:spacing w:val="-5"/>
          <w:sz w:val="20"/>
        </w:rPr>
        <w:t xml:space="preserve"> </w:t>
      </w:r>
      <w:r>
        <w:rPr>
          <w:spacing w:val="-2"/>
          <w:sz w:val="20"/>
        </w:rPr>
        <w:t>facing</w:t>
      </w:r>
      <w:r>
        <w:rPr>
          <w:spacing w:val="-5"/>
          <w:sz w:val="20"/>
        </w:rPr>
        <w:t xml:space="preserve"> </w:t>
      </w:r>
      <w:r>
        <w:rPr>
          <w:spacing w:val="-2"/>
          <w:sz w:val="20"/>
        </w:rPr>
        <w:t>rural,</w:t>
      </w:r>
      <w:r>
        <w:rPr>
          <w:spacing w:val="-5"/>
          <w:sz w:val="20"/>
        </w:rPr>
        <w:t xml:space="preserve"> </w:t>
      </w:r>
      <w:r>
        <w:rPr>
          <w:spacing w:val="-2"/>
          <w:sz w:val="20"/>
        </w:rPr>
        <w:t>regional</w:t>
      </w:r>
      <w:r>
        <w:rPr>
          <w:spacing w:val="-5"/>
          <w:sz w:val="20"/>
        </w:rPr>
        <w:t xml:space="preserve"> </w:t>
      </w:r>
      <w:r>
        <w:rPr>
          <w:spacing w:val="-2"/>
          <w:sz w:val="20"/>
        </w:rPr>
        <w:t>and</w:t>
      </w:r>
      <w:r>
        <w:rPr>
          <w:spacing w:val="-5"/>
          <w:sz w:val="20"/>
        </w:rPr>
        <w:t xml:space="preserve"> </w:t>
      </w:r>
      <w:r>
        <w:rPr>
          <w:spacing w:val="-2"/>
          <w:sz w:val="20"/>
        </w:rPr>
        <w:t>remote</w:t>
      </w:r>
      <w:r>
        <w:rPr>
          <w:spacing w:val="-5"/>
          <w:sz w:val="20"/>
        </w:rPr>
        <w:t xml:space="preserve"> </w:t>
      </w:r>
      <w:r>
        <w:rPr>
          <w:spacing w:val="-2"/>
          <w:sz w:val="20"/>
        </w:rPr>
        <w:t>courts</w:t>
      </w:r>
      <w:r>
        <w:rPr>
          <w:spacing w:val="-5"/>
          <w:sz w:val="20"/>
        </w:rPr>
        <w:t xml:space="preserve"> </w:t>
      </w:r>
      <w:r>
        <w:rPr>
          <w:spacing w:val="-2"/>
          <w:sz w:val="20"/>
        </w:rPr>
        <w:t>including</w:t>
      </w:r>
      <w:r>
        <w:rPr>
          <w:spacing w:val="-5"/>
          <w:sz w:val="20"/>
        </w:rPr>
        <w:t xml:space="preserve"> </w:t>
      </w:r>
      <w:r>
        <w:rPr>
          <w:spacing w:val="-2"/>
          <w:sz w:val="20"/>
        </w:rPr>
        <w:t>in</w:t>
      </w:r>
      <w:r>
        <w:rPr>
          <w:spacing w:val="-5"/>
          <w:sz w:val="20"/>
        </w:rPr>
        <w:t xml:space="preserve"> </w:t>
      </w:r>
      <w:r>
        <w:rPr>
          <w:spacing w:val="-2"/>
          <w:sz w:val="20"/>
        </w:rPr>
        <w:t>respect</w:t>
      </w:r>
      <w:r>
        <w:rPr>
          <w:spacing w:val="-5"/>
          <w:sz w:val="20"/>
        </w:rPr>
        <w:t xml:space="preserve"> </w:t>
      </w:r>
      <w:r>
        <w:rPr>
          <w:spacing w:val="-2"/>
          <w:sz w:val="20"/>
        </w:rPr>
        <w:t>of</w:t>
      </w:r>
      <w:r>
        <w:rPr>
          <w:spacing w:val="-5"/>
          <w:sz w:val="20"/>
        </w:rPr>
        <w:t xml:space="preserve"> </w:t>
      </w:r>
      <w:r>
        <w:rPr>
          <w:spacing w:val="-2"/>
          <w:sz w:val="20"/>
        </w:rPr>
        <w:t>delays</w:t>
      </w:r>
      <w:r>
        <w:rPr>
          <w:spacing w:val="-5"/>
          <w:sz w:val="20"/>
        </w:rPr>
        <w:t xml:space="preserve"> </w:t>
      </w:r>
      <w:r>
        <w:rPr>
          <w:spacing w:val="-2"/>
          <w:sz w:val="20"/>
        </w:rPr>
        <w:t>in</w:t>
      </w:r>
      <w:r>
        <w:rPr>
          <w:spacing w:val="-5"/>
          <w:sz w:val="20"/>
        </w:rPr>
        <w:t xml:space="preserve"> </w:t>
      </w:r>
      <w:r>
        <w:rPr>
          <w:spacing w:val="-2"/>
          <w:sz w:val="20"/>
        </w:rPr>
        <w:t>trial</w:t>
      </w:r>
      <w:r>
        <w:rPr>
          <w:spacing w:val="-5"/>
          <w:sz w:val="20"/>
        </w:rPr>
        <w:t xml:space="preserve"> </w:t>
      </w:r>
      <w:r>
        <w:rPr>
          <w:spacing w:val="-2"/>
          <w:sz w:val="20"/>
        </w:rPr>
        <w:t>listings.</w:t>
      </w:r>
    </w:p>
    <w:p w14:paraId="2BCDDE22" w14:textId="77777777" w:rsidR="00AC6F3C" w:rsidRDefault="00570E88">
      <w:pPr>
        <w:pStyle w:val="ListParagraph"/>
        <w:numPr>
          <w:ilvl w:val="0"/>
          <w:numId w:val="58"/>
        </w:numPr>
        <w:tabs>
          <w:tab w:val="left" w:pos="1155"/>
        </w:tabs>
        <w:spacing w:before="171"/>
        <w:ind w:hanging="340"/>
        <w:rPr>
          <w:sz w:val="20"/>
        </w:rPr>
      </w:pPr>
      <w:r>
        <w:rPr>
          <w:sz w:val="20"/>
        </w:rPr>
        <w:t>Provided</w:t>
      </w:r>
      <w:r>
        <w:rPr>
          <w:spacing w:val="-3"/>
          <w:sz w:val="20"/>
        </w:rPr>
        <w:t xml:space="preserve"> </w:t>
      </w:r>
      <w:r>
        <w:rPr>
          <w:sz w:val="20"/>
        </w:rPr>
        <w:t>feedback</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Queensland</w:t>
      </w:r>
      <w:r>
        <w:rPr>
          <w:spacing w:val="-2"/>
          <w:sz w:val="20"/>
        </w:rPr>
        <w:t xml:space="preserve"> </w:t>
      </w:r>
      <w:r>
        <w:rPr>
          <w:sz w:val="20"/>
        </w:rPr>
        <w:t>Courts</w:t>
      </w:r>
      <w:r>
        <w:rPr>
          <w:spacing w:val="-3"/>
          <w:sz w:val="20"/>
        </w:rPr>
        <w:t xml:space="preserve"> </w:t>
      </w:r>
      <w:r>
        <w:rPr>
          <w:sz w:val="20"/>
        </w:rPr>
        <w:t>regarding</w:t>
      </w:r>
      <w:r>
        <w:rPr>
          <w:spacing w:val="-2"/>
          <w:sz w:val="20"/>
        </w:rPr>
        <w:t xml:space="preserve"> </w:t>
      </w:r>
      <w:r>
        <w:rPr>
          <w:sz w:val="20"/>
        </w:rPr>
        <w:t>the</w:t>
      </w:r>
      <w:r>
        <w:rPr>
          <w:spacing w:val="-3"/>
          <w:sz w:val="20"/>
        </w:rPr>
        <w:t xml:space="preserve"> </w:t>
      </w:r>
      <w:r>
        <w:rPr>
          <w:sz w:val="20"/>
        </w:rPr>
        <w:t>usability</w:t>
      </w:r>
      <w:r>
        <w:rPr>
          <w:spacing w:val="-2"/>
          <w:sz w:val="20"/>
        </w:rPr>
        <w:t xml:space="preserve"> </w:t>
      </w:r>
      <w:r>
        <w:rPr>
          <w:sz w:val="20"/>
        </w:rPr>
        <w:t>of</w:t>
      </w:r>
      <w:r>
        <w:rPr>
          <w:spacing w:val="-2"/>
          <w:sz w:val="20"/>
        </w:rPr>
        <w:t xml:space="preserve"> </w:t>
      </w:r>
      <w:r>
        <w:rPr>
          <w:sz w:val="20"/>
        </w:rPr>
        <w:t>courthouses</w:t>
      </w:r>
      <w:r>
        <w:rPr>
          <w:spacing w:val="-3"/>
          <w:sz w:val="20"/>
        </w:rPr>
        <w:t xml:space="preserve"> </w:t>
      </w:r>
      <w:r>
        <w:rPr>
          <w:sz w:val="20"/>
        </w:rPr>
        <w:t>and</w:t>
      </w:r>
      <w:r>
        <w:rPr>
          <w:spacing w:val="-2"/>
          <w:sz w:val="20"/>
        </w:rPr>
        <w:t xml:space="preserve"> </w:t>
      </w:r>
      <w:r>
        <w:rPr>
          <w:sz w:val="20"/>
        </w:rPr>
        <w:t>its</w:t>
      </w:r>
      <w:r>
        <w:rPr>
          <w:spacing w:val="-2"/>
          <w:sz w:val="20"/>
        </w:rPr>
        <w:t xml:space="preserve"> website.</w:t>
      </w:r>
    </w:p>
    <w:p w14:paraId="13CF85E9" w14:textId="77777777" w:rsidR="00AC6F3C" w:rsidRDefault="00570E88">
      <w:pPr>
        <w:pStyle w:val="ListParagraph"/>
        <w:numPr>
          <w:ilvl w:val="0"/>
          <w:numId w:val="58"/>
        </w:numPr>
        <w:tabs>
          <w:tab w:val="left" w:pos="1155"/>
        </w:tabs>
        <w:spacing w:line="249" w:lineRule="auto"/>
        <w:ind w:right="424"/>
        <w:rPr>
          <w:sz w:val="20"/>
        </w:rPr>
      </w:pPr>
      <w:r>
        <w:rPr>
          <w:sz w:val="20"/>
        </w:rPr>
        <w:t>Committee</w:t>
      </w:r>
      <w:r>
        <w:rPr>
          <w:spacing w:val="-4"/>
          <w:sz w:val="20"/>
        </w:rPr>
        <w:t xml:space="preserve"> </w:t>
      </w:r>
      <w:r>
        <w:rPr>
          <w:sz w:val="20"/>
        </w:rPr>
        <w:t>members</w:t>
      </w:r>
      <w:r>
        <w:rPr>
          <w:spacing w:val="-4"/>
          <w:sz w:val="20"/>
        </w:rPr>
        <w:t xml:space="preserve"> </w:t>
      </w:r>
      <w:r>
        <w:rPr>
          <w:sz w:val="20"/>
        </w:rPr>
        <w:t>participated</w:t>
      </w:r>
      <w:r>
        <w:rPr>
          <w:spacing w:val="-4"/>
          <w:sz w:val="20"/>
        </w:rPr>
        <w:t xml:space="preserve"> </w:t>
      </w:r>
      <w:r>
        <w:rPr>
          <w:sz w:val="20"/>
        </w:rPr>
        <w:t>in</w:t>
      </w:r>
      <w:r>
        <w:rPr>
          <w:spacing w:val="-4"/>
          <w:sz w:val="20"/>
        </w:rPr>
        <w:t xml:space="preserve"> </w:t>
      </w:r>
      <w:proofErr w:type="gramStart"/>
      <w:r>
        <w:rPr>
          <w:sz w:val="20"/>
        </w:rPr>
        <w:t>several</w:t>
      </w:r>
      <w:proofErr w:type="gramEnd"/>
      <w:r>
        <w:rPr>
          <w:spacing w:val="-4"/>
          <w:sz w:val="20"/>
        </w:rPr>
        <w:t xml:space="preserve"> </w:t>
      </w:r>
      <w:r>
        <w:rPr>
          <w:sz w:val="20"/>
        </w:rPr>
        <w:t>stakeholder</w:t>
      </w:r>
      <w:r>
        <w:rPr>
          <w:spacing w:val="-4"/>
          <w:sz w:val="20"/>
        </w:rPr>
        <w:t xml:space="preserve"> </w:t>
      </w:r>
      <w:r>
        <w:rPr>
          <w:sz w:val="20"/>
        </w:rPr>
        <w:t>groups</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Heads</w:t>
      </w:r>
      <w:r>
        <w:rPr>
          <w:spacing w:val="-4"/>
          <w:sz w:val="20"/>
        </w:rPr>
        <w:t xml:space="preserve"> </w:t>
      </w:r>
      <w:r>
        <w:rPr>
          <w:sz w:val="20"/>
        </w:rPr>
        <w:t>of</w:t>
      </w:r>
      <w:r>
        <w:rPr>
          <w:spacing w:val="-4"/>
          <w:sz w:val="20"/>
        </w:rPr>
        <w:t xml:space="preserve"> </w:t>
      </w:r>
      <w:r>
        <w:rPr>
          <w:sz w:val="20"/>
        </w:rPr>
        <w:t>Jurisdiction stakeholder forum, Standard Bail and DPSOA</w:t>
      </w:r>
      <w:r>
        <w:rPr>
          <w:spacing w:val="-1"/>
          <w:sz w:val="20"/>
        </w:rPr>
        <w:t xml:space="preserve"> </w:t>
      </w:r>
      <w:r>
        <w:rPr>
          <w:sz w:val="20"/>
        </w:rPr>
        <w:t>Order Conditions Project and QSAC Practitioner Consultative Forum.</w:t>
      </w:r>
    </w:p>
    <w:p w14:paraId="1B510108" w14:textId="77777777" w:rsidR="00AC6F3C" w:rsidRDefault="00570E88">
      <w:pPr>
        <w:pStyle w:val="ListParagraph"/>
        <w:numPr>
          <w:ilvl w:val="0"/>
          <w:numId w:val="58"/>
        </w:numPr>
        <w:tabs>
          <w:tab w:val="left" w:pos="1155"/>
        </w:tabs>
        <w:spacing w:before="173" w:line="249" w:lineRule="auto"/>
        <w:ind w:right="338"/>
        <w:rPr>
          <w:sz w:val="20"/>
        </w:rPr>
      </w:pPr>
      <w:r>
        <w:rPr>
          <w:sz w:val="20"/>
        </w:rPr>
        <w:t>Continued</w:t>
      </w:r>
      <w:r>
        <w:rPr>
          <w:spacing w:val="-4"/>
          <w:sz w:val="20"/>
        </w:rPr>
        <w:t xml:space="preserve"> </w:t>
      </w:r>
      <w:r>
        <w:rPr>
          <w:sz w:val="20"/>
        </w:rPr>
        <w:t>engagement</w:t>
      </w:r>
      <w:r>
        <w:rPr>
          <w:spacing w:val="-4"/>
          <w:sz w:val="20"/>
        </w:rPr>
        <w:t xml:space="preserve"> </w:t>
      </w:r>
      <w:r>
        <w:rPr>
          <w:sz w:val="20"/>
        </w:rPr>
        <w:t>activities</w:t>
      </w:r>
      <w:r>
        <w:rPr>
          <w:spacing w:val="-4"/>
          <w:sz w:val="20"/>
        </w:rPr>
        <w:t xml:space="preserve"> </w:t>
      </w:r>
      <w:r>
        <w:rPr>
          <w:sz w:val="20"/>
        </w:rPr>
        <w:t>with</w:t>
      </w:r>
      <w:r>
        <w:rPr>
          <w:spacing w:val="-4"/>
          <w:sz w:val="20"/>
        </w:rPr>
        <w:t xml:space="preserve"> </w:t>
      </w:r>
      <w:r>
        <w:rPr>
          <w:sz w:val="20"/>
        </w:rPr>
        <w:t>Queensland</w:t>
      </w:r>
      <w:r>
        <w:rPr>
          <w:spacing w:val="-4"/>
          <w:sz w:val="20"/>
        </w:rPr>
        <w:t xml:space="preserve"> </w:t>
      </w:r>
      <w:r>
        <w:rPr>
          <w:sz w:val="20"/>
        </w:rPr>
        <w:t>Corrective</w:t>
      </w:r>
      <w:r>
        <w:rPr>
          <w:spacing w:val="-4"/>
          <w:sz w:val="20"/>
        </w:rPr>
        <w:t xml:space="preserve"> </w:t>
      </w:r>
      <w:r>
        <w:rPr>
          <w:sz w:val="20"/>
        </w:rPr>
        <w:t>Services</w:t>
      </w:r>
      <w:r>
        <w:rPr>
          <w:spacing w:val="-4"/>
          <w:sz w:val="20"/>
        </w:rPr>
        <w:t xml:space="preserve"> </w:t>
      </w:r>
      <w:r>
        <w:rPr>
          <w:sz w:val="20"/>
        </w:rPr>
        <w:t>regarding</w:t>
      </w:r>
      <w:r>
        <w:rPr>
          <w:spacing w:val="-4"/>
          <w:sz w:val="20"/>
        </w:rPr>
        <w:t xml:space="preserve"> </w:t>
      </w:r>
      <w:r>
        <w:rPr>
          <w:sz w:val="20"/>
        </w:rPr>
        <w:t>matters</w:t>
      </w:r>
      <w:r>
        <w:rPr>
          <w:spacing w:val="-4"/>
          <w:sz w:val="20"/>
        </w:rPr>
        <w:t xml:space="preserve"> </w:t>
      </w:r>
      <w:r>
        <w:rPr>
          <w:sz w:val="20"/>
        </w:rPr>
        <w:t>that</w:t>
      </w:r>
      <w:r>
        <w:rPr>
          <w:spacing w:val="-4"/>
          <w:sz w:val="20"/>
        </w:rPr>
        <w:t xml:space="preserve"> </w:t>
      </w:r>
      <w:r>
        <w:rPr>
          <w:sz w:val="20"/>
        </w:rPr>
        <w:t>affect the profession across Courts and the judiciary and opportunities to educate and inform the legal fraternity on relevant agency matters.</w:t>
      </w:r>
    </w:p>
    <w:p w14:paraId="0DA14B07" w14:textId="77777777" w:rsidR="00AC6F3C" w:rsidRDefault="00570E88">
      <w:pPr>
        <w:pStyle w:val="ListParagraph"/>
        <w:numPr>
          <w:ilvl w:val="0"/>
          <w:numId w:val="58"/>
        </w:numPr>
        <w:tabs>
          <w:tab w:val="left" w:pos="1155"/>
        </w:tabs>
        <w:spacing w:before="172"/>
        <w:ind w:hanging="340"/>
        <w:rPr>
          <w:sz w:val="20"/>
        </w:rPr>
      </w:pPr>
      <w:r>
        <w:rPr>
          <w:sz w:val="20"/>
        </w:rPr>
        <w:t>Attended</w:t>
      </w:r>
      <w:r>
        <w:rPr>
          <w:spacing w:val="-4"/>
          <w:sz w:val="20"/>
        </w:rPr>
        <w:t xml:space="preserve"> </w:t>
      </w:r>
      <w:r>
        <w:rPr>
          <w:sz w:val="20"/>
        </w:rPr>
        <w:t>the</w:t>
      </w:r>
      <w:r>
        <w:rPr>
          <w:spacing w:val="-4"/>
          <w:sz w:val="20"/>
        </w:rPr>
        <w:t xml:space="preserve"> </w:t>
      </w:r>
      <w:r>
        <w:rPr>
          <w:sz w:val="20"/>
        </w:rPr>
        <w:t>Helena</w:t>
      </w:r>
      <w:r>
        <w:rPr>
          <w:spacing w:val="-4"/>
          <w:sz w:val="20"/>
        </w:rPr>
        <w:t xml:space="preserve"> </w:t>
      </w:r>
      <w:r>
        <w:rPr>
          <w:sz w:val="20"/>
        </w:rPr>
        <w:t>Jones</w:t>
      </w:r>
      <w:r>
        <w:rPr>
          <w:spacing w:val="-4"/>
          <w:sz w:val="20"/>
        </w:rPr>
        <w:t xml:space="preserve"> </w:t>
      </w:r>
      <w:r>
        <w:rPr>
          <w:sz w:val="20"/>
        </w:rPr>
        <w:t>Centre</w:t>
      </w:r>
      <w:r>
        <w:rPr>
          <w:spacing w:val="-4"/>
          <w:sz w:val="20"/>
        </w:rPr>
        <w:t xml:space="preserve"> </w:t>
      </w:r>
      <w:r>
        <w:rPr>
          <w:sz w:val="20"/>
        </w:rPr>
        <w:t>in</w:t>
      </w:r>
      <w:r>
        <w:rPr>
          <w:spacing w:val="-3"/>
          <w:sz w:val="20"/>
        </w:rPr>
        <w:t xml:space="preserve"> </w:t>
      </w:r>
      <w:r>
        <w:rPr>
          <w:sz w:val="20"/>
        </w:rPr>
        <w:t>conjunction</w:t>
      </w:r>
      <w:r>
        <w:rPr>
          <w:spacing w:val="-4"/>
          <w:sz w:val="20"/>
        </w:rPr>
        <w:t xml:space="preserve"> </w:t>
      </w:r>
      <w:r>
        <w:rPr>
          <w:sz w:val="20"/>
        </w:rPr>
        <w:t>with</w:t>
      </w:r>
      <w:r>
        <w:rPr>
          <w:spacing w:val="-4"/>
          <w:sz w:val="20"/>
        </w:rPr>
        <w:t xml:space="preserve"> </w:t>
      </w:r>
      <w:r>
        <w:rPr>
          <w:sz w:val="20"/>
        </w:rPr>
        <w:t>QCS</w:t>
      </w:r>
      <w:r>
        <w:rPr>
          <w:spacing w:val="-4"/>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4"/>
          <w:sz w:val="20"/>
        </w:rPr>
        <w:t xml:space="preserve"> </w:t>
      </w:r>
      <w:r>
        <w:rPr>
          <w:sz w:val="20"/>
        </w:rPr>
        <w:t>highlight</w:t>
      </w:r>
      <w:r>
        <w:rPr>
          <w:spacing w:val="-4"/>
          <w:sz w:val="20"/>
        </w:rPr>
        <w:t xml:space="preserve"> </w:t>
      </w:r>
      <w:r>
        <w:rPr>
          <w:sz w:val="20"/>
        </w:rPr>
        <w:t>a</w:t>
      </w:r>
      <w:r>
        <w:rPr>
          <w:spacing w:val="-4"/>
          <w:sz w:val="20"/>
        </w:rPr>
        <w:t xml:space="preserve"> </w:t>
      </w:r>
      <w:r>
        <w:rPr>
          <w:sz w:val="20"/>
        </w:rPr>
        <w:t>different</w:t>
      </w:r>
      <w:r>
        <w:rPr>
          <w:spacing w:val="-4"/>
          <w:sz w:val="20"/>
        </w:rPr>
        <w:t xml:space="preserve"> </w:t>
      </w:r>
      <w:proofErr w:type="gramStart"/>
      <w:r>
        <w:rPr>
          <w:spacing w:val="-2"/>
          <w:sz w:val="20"/>
        </w:rPr>
        <w:t>perspective</w:t>
      </w:r>
      <w:proofErr w:type="gramEnd"/>
    </w:p>
    <w:p w14:paraId="7FC80B14" w14:textId="77777777" w:rsidR="00AC6F3C" w:rsidRDefault="00570E88">
      <w:pPr>
        <w:pStyle w:val="BodyText"/>
        <w:spacing w:before="10"/>
        <w:ind w:left="1155"/>
      </w:pPr>
      <w:r>
        <w:t>on</w:t>
      </w:r>
      <w:r>
        <w:rPr>
          <w:spacing w:val="-5"/>
        </w:rPr>
        <w:t xml:space="preserve"> </w:t>
      </w:r>
      <w:r>
        <w:t>conventional</w:t>
      </w:r>
      <w:r>
        <w:rPr>
          <w:spacing w:val="-5"/>
        </w:rPr>
        <w:t xml:space="preserve"> </w:t>
      </w:r>
      <w:r>
        <w:t>ideas</w:t>
      </w:r>
      <w:r>
        <w:rPr>
          <w:spacing w:val="-4"/>
        </w:rPr>
        <w:t xml:space="preserve"> </w:t>
      </w:r>
      <w:r>
        <w:t>of</w:t>
      </w:r>
      <w:r>
        <w:rPr>
          <w:spacing w:val="-5"/>
        </w:rPr>
        <w:t xml:space="preserve"> </w:t>
      </w:r>
      <w:r>
        <w:t>correctional</w:t>
      </w:r>
      <w:r>
        <w:rPr>
          <w:spacing w:val="-4"/>
        </w:rPr>
        <w:t xml:space="preserve"> </w:t>
      </w:r>
      <w:proofErr w:type="spellStart"/>
      <w:r>
        <w:rPr>
          <w:spacing w:val="-2"/>
        </w:rPr>
        <w:t>centres</w:t>
      </w:r>
      <w:proofErr w:type="spellEnd"/>
      <w:r>
        <w:rPr>
          <w:spacing w:val="-2"/>
        </w:rPr>
        <w:t>.</w:t>
      </w:r>
    </w:p>
    <w:p w14:paraId="385DFFAB" w14:textId="77777777" w:rsidR="00AC6F3C" w:rsidRDefault="00570E88">
      <w:pPr>
        <w:pStyle w:val="ListParagraph"/>
        <w:numPr>
          <w:ilvl w:val="0"/>
          <w:numId w:val="58"/>
        </w:numPr>
        <w:tabs>
          <w:tab w:val="left" w:pos="1155"/>
        </w:tabs>
        <w:spacing w:line="249" w:lineRule="auto"/>
        <w:ind w:right="168"/>
        <w:rPr>
          <w:sz w:val="20"/>
        </w:rPr>
      </w:pPr>
      <w:r>
        <w:rPr>
          <w:sz w:val="20"/>
        </w:rPr>
        <w:t>Involved</w:t>
      </w:r>
      <w:r>
        <w:rPr>
          <w:spacing w:val="-3"/>
          <w:sz w:val="20"/>
        </w:rPr>
        <w:t xml:space="preserve"> </w:t>
      </w:r>
      <w:r>
        <w:rPr>
          <w:sz w:val="20"/>
        </w:rPr>
        <w:t>in</w:t>
      </w:r>
      <w:r>
        <w:rPr>
          <w:spacing w:val="-3"/>
          <w:sz w:val="20"/>
        </w:rPr>
        <w:t xml:space="preserve"> </w:t>
      </w:r>
      <w:r>
        <w:rPr>
          <w:sz w:val="20"/>
        </w:rPr>
        <w:t>confidential</w:t>
      </w:r>
      <w:r>
        <w:rPr>
          <w:spacing w:val="-3"/>
          <w:sz w:val="20"/>
        </w:rPr>
        <w:t xml:space="preserve"> </w:t>
      </w:r>
      <w:r>
        <w:rPr>
          <w:sz w:val="20"/>
        </w:rPr>
        <w:t>consultation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second</w:t>
      </w:r>
      <w:r>
        <w:rPr>
          <w:spacing w:val="-3"/>
          <w:sz w:val="20"/>
        </w:rPr>
        <w:t xml:space="preserve"> </w:t>
      </w:r>
      <w:r>
        <w:rPr>
          <w:sz w:val="20"/>
        </w:rPr>
        <w:t>stage</w:t>
      </w:r>
      <w:r>
        <w:rPr>
          <w:spacing w:val="-3"/>
          <w:sz w:val="20"/>
        </w:rPr>
        <w:t xml:space="preserve"> </w:t>
      </w:r>
      <w:r>
        <w:rPr>
          <w:sz w:val="20"/>
        </w:rPr>
        <w:t>of</w:t>
      </w:r>
      <w:r>
        <w:rPr>
          <w:spacing w:val="-3"/>
          <w:sz w:val="20"/>
        </w:rPr>
        <w:t xml:space="preserve"> </w:t>
      </w:r>
      <w:r>
        <w:rPr>
          <w:sz w:val="20"/>
        </w:rPr>
        <w:t>legislative</w:t>
      </w:r>
      <w:r>
        <w:rPr>
          <w:spacing w:val="-3"/>
          <w:sz w:val="20"/>
        </w:rPr>
        <w:t xml:space="preserve"> </w:t>
      </w:r>
      <w:r>
        <w:rPr>
          <w:sz w:val="20"/>
        </w:rPr>
        <w:t>reform,</w:t>
      </w:r>
      <w:r>
        <w:rPr>
          <w:spacing w:val="-3"/>
          <w:sz w:val="20"/>
        </w:rPr>
        <w:t xml:space="preserve"> </w:t>
      </w:r>
      <w:r>
        <w:rPr>
          <w:sz w:val="20"/>
        </w:rPr>
        <w:t>which</w:t>
      </w:r>
      <w:r>
        <w:rPr>
          <w:spacing w:val="-3"/>
          <w:sz w:val="20"/>
        </w:rPr>
        <w:t xml:space="preserve"> </w:t>
      </w:r>
      <w:r>
        <w:rPr>
          <w:sz w:val="20"/>
        </w:rPr>
        <w:t>includes</w:t>
      </w:r>
      <w:r>
        <w:rPr>
          <w:spacing w:val="-3"/>
          <w:sz w:val="20"/>
        </w:rPr>
        <w:t xml:space="preserve"> </w:t>
      </w:r>
      <w:r>
        <w:rPr>
          <w:sz w:val="20"/>
        </w:rPr>
        <w:t>the</w:t>
      </w:r>
      <w:r>
        <w:rPr>
          <w:spacing w:val="-3"/>
          <w:sz w:val="20"/>
        </w:rPr>
        <w:t xml:space="preserve"> </w:t>
      </w:r>
      <w:r>
        <w:rPr>
          <w:sz w:val="20"/>
        </w:rPr>
        <w:t>new coercive control offence.</w:t>
      </w:r>
    </w:p>
    <w:p w14:paraId="09261146" w14:textId="77777777" w:rsidR="00AC6F3C" w:rsidRDefault="00570E88">
      <w:pPr>
        <w:pStyle w:val="ListParagraph"/>
        <w:numPr>
          <w:ilvl w:val="0"/>
          <w:numId w:val="58"/>
        </w:numPr>
        <w:tabs>
          <w:tab w:val="left" w:pos="1155"/>
        </w:tabs>
        <w:spacing w:before="172"/>
        <w:ind w:hanging="340"/>
        <w:rPr>
          <w:sz w:val="20"/>
        </w:rPr>
      </w:pPr>
      <w:r>
        <w:rPr>
          <w:sz w:val="20"/>
        </w:rPr>
        <w:t>Members</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Criminal</w:t>
      </w:r>
      <w:r>
        <w:rPr>
          <w:spacing w:val="-4"/>
          <w:sz w:val="20"/>
        </w:rPr>
        <w:t xml:space="preserve"> </w:t>
      </w:r>
      <w:r>
        <w:rPr>
          <w:sz w:val="20"/>
        </w:rPr>
        <w:t>Law</w:t>
      </w:r>
      <w:r>
        <w:rPr>
          <w:spacing w:val="-4"/>
          <w:sz w:val="20"/>
        </w:rPr>
        <w:t xml:space="preserve"> </w:t>
      </w:r>
      <w:r>
        <w:rPr>
          <w:sz w:val="20"/>
        </w:rPr>
        <w:t>Conference</w:t>
      </w:r>
      <w:r>
        <w:rPr>
          <w:spacing w:val="-4"/>
          <w:sz w:val="20"/>
        </w:rPr>
        <w:t xml:space="preserve"> </w:t>
      </w:r>
      <w:r>
        <w:rPr>
          <w:sz w:val="20"/>
        </w:rPr>
        <w:t>Working</w:t>
      </w:r>
      <w:r>
        <w:rPr>
          <w:spacing w:val="-4"/>
          <w:sz w:val="20"/>
        </w:rPr>
        <w:t xml:space="preserve"> </w:t>
      </w:r>
      <w:r>
        <w:rPr>
          <w:sz w:val="20"/>
        </w:rPr>
        <w:t>Group</w:t>
      </w:r>
      <w:r>
        <w:rPr>
          <w:spacing w:val="-4"/>
          <w:sz w:val="20"/>
        </w:rPr>
        <w:t xml:space="preserve"> </w:t>
      </w:r>
      <w:r>
        <w:rPr>
          <w:sz w:val="20"/>
        </w:rPr>
        <w:t>actively</w:t>
      </w:r>
      <w:r>
        <w:rPr>
          <w:spacing w:val="-4"/>
          <w:sz w:val="20"/>
        </w:rPr>
        <w:t xml:space="preserve"> </w:t>
      </w:r>
      <w:r>
        <w:rPr>
          <w:sz w:val="20"/>
        </w:rPr>
        <w:t>worked</w:t>
      </w:r>
      <w:r>
        <w:rPr>
          <w:spacing w:val="-4"/>
          <w:sz w:val="20"/>
        </w:rPr>
        <w:t xml:space="preserve"> </w:t>
      </w:r>
      <w:r>
        <w:rPr>
          <w:sz w:val="20"/>
        </w:rPr>
        <w:t>towards</w:t>
      </w:r>
      <w:r>
        <w:rPr>
          <w:spacing w:val="-4"/>
          <w:sz w:val="20"/>
        </w:rPr>
        <w:t xml:space="preserve"> </w:t>
      </w:r>
      <w:proofErr w:type="spellStart"/>
      <w:r>
        <w:rPr>
          <w:sz w:val="20"/>
        </w:rPr>
        <w:t>finalising</w:t>
      </w:r>
      <w:proofErr w:type="spellEnd"/>
      <w:r>
        <w:rPr>
          <w:spacing w:val="-3"/>
          <w:sz w:val="20"/>
        </w:rPr>
        <w:t xml:space="preserve"> </w:t>
      </w:r>
      <w:r>
        <w:rPr>
          <w:spacing w:val="-5"/>
          <w:sz w:val="20"/>
        </w:rPr>
        <w:t>the</w:t>
      </w:r>
    </w:p>
    <w:p w14:paraId="14716F38" w14:textId="77777777" w:rsidR="00AC6F3C" w:rsidRDefault="00570E88">
      <w:pPr>
        <w:pStyle w:val="BodyText"/>
        <w:spacing w:before="10"/>
        <w:ind w:left="1155"/>
      </w:pPr>
      <w:r>
        <w:t>program</w:t>
      </w:r>
      <w:r>
        <w:rPr>
          <w:spacing w:val="-3"/>
        </w:rPr>
        <w:t xml:space="preserve"> </w:t>
      </w:r>
      <w:r>
        <w:t>for</w:t>
      </w:r>
      <w:r>
        <w:rPr>
          <w:spacing w:val="-2"/>
        </w:rPr>
        <w:t xml:space="preserve"> </w:t>
      </w:r>
      <w:r>
        <w:t>the</w:t>
      </w:r>
      <w:r>
        <w:rPr>
          <w:spacing w:val="-3"/>
        </w:rPr>
        <w:t xml:space="preserve"> </w:t>
      </w:r>
      <w:r>
        <w:t>conference</w:t>
      </w:r>
      <w:r>
        <w:rPr>
          <w:spacing w:val="-2"/>
        </w:rPr>
        <w:t xml:space="preserve"> </w:t>
      </w:r>
      <w:r>
        <w:t>in</w:t>
      </w:r>
      <w:r>
        <w:rPr>
          <w:spacing w:val="-13"/>
        </w:rPr>
        <w:t xml:space="preserve"> </w:t>
      </w:r>
      <w:r>
        <w:rPr>
          <w:spacing w:val="-2"/>
        </w:rPr>
        <w:t>August.</w:t>
      </w:r>
    </w:p>
    <w:p w14:paraId="5EC46114" w14:textId="77777777" w:rsidR="00AC6F3C" w:rsidRDefault="00AC6F3C">
      <w:pPr>
        <w:pStyle w:val="BodyText"/>
        <w:spacing w:before="10"/>
        <w:rPr>
          <w:sz w:val="31"/>
        </w:rPr>
      </w:pPr>
    </w:p>
    <w:p w14:paraId="2ECD1CC6" w14:textId="77777777" w:rsidR="00AC6F3C" w:rsidRDefault="00570E88">
      <w:pPr>
        <w:ind w:left="815"/>
        <w:rPr>
          <w:b/>
          <w:sz w:val="26"/>
        </w:rPr>
      </w:pPr>
      <w:r>
        <w:rPr>
          <w:b/>
          <w:sz w:val="26"/>
        </w:rPr>
        <w:t>Domestic</w:t>
      </w:r>
      <w:r>
        <w:rPr>
          <w:b/>
          <w:spacing w:val="-6"/>
          <w:sz w:val="26"/>
        </w:rPr>
        <w:t xml:space="preserve"> </w:t>
      </w:r>
      <w:r>
        <w:rPr>
          <w:b/>
          <w:sz w:val="26"/>
        </w:rPr>
        <w:t>and</w:t>
      </w:r>
      <w:r>
        <w:rPr>
          <w:b/>
          <w:spacing w:val="-6"/>
          <w:sz w:val="26"/>
        </w:rPr>
        <w:t xml:space="preserve"> </w:t>
      </w:r>
      <w:r>
        <w:rPr>
          <w:b/>
          <w:sz w:val="26"/>
        </w:rPr>
        <w:t>Family</w:t>
      </w:r>
      <w:r>
        <w:rPr>
          <w:b/>
          <w:spacing w:val="-6"/>
          <w:sz w:val="26"/>
        </w:rPr>
        <w:t xml:space="preserve"> </w:t>
      </w:r>
      <w:r>
        <w:rPr>
          <w:b/>
          <w:sz w:val="26"/>
        </w:rPr>
        <w:t>Violence</w:t>
      </w:r>
      <w:r>
        <w:rPr>
          <w:b/>
          <w:spacing w:val="-5"/>
          <w:sz w:val="26"/>
        </w:rPr>
        <w:t xml:space="preserve"> </w:t>
      </w:r>
      <w:r>
        <w:rPr>
          <w:b/>
          <w:spacing w:val="-2"/>
          <w:sz w:val="26"/>
        </w:rPr>
        <w:t>Committee</w:t>
      </w:r>
    </w:p>
    <w:p w14:paraId="0DD5AFF9" w14:textId="77777777" w:rsidR="00AC6F3C" w:rsidRDefault="00570E88">
      <w:pPr>
        <w:pStyle w:val="BodyText"/>
        <w:spacing w:before="168" w:line="249" w:lineRule="auto"/>
        <w:ind w:left="815"/>
      </w:pPr>
      <w:r>
        <w:t>The</w:t>
      </w:r>
      <w:r>
        <w:rPr>
          <w:spacing w:val="-3"/>
        </w:rPr>
        <w:t xml:space="preserve"> </w:t>
      </w:r>
      <w:r>
        <w:t>Domestic</w:t>
      </w:r>
      <w:r>
        <w:rPr>
          <w:spacing w:val="-3"/>
        </w:rPr>
        <w:t xml:space="preserve"> </w:t>
      </w:r>
      <w:r>
        <w:t>and</w:t>
      </w:r>
      <w:r>
        <w:rPr>
          <w:spacing w:val="-3"/>
        </w:rPr>
        <w:t xml:space="preserve"> </w:t>
      </w:r>
      <w:r>
        <w:t>Family</w:t>
      </w:r>
      <w:r>
        <w:rPr>
          <w:spacing w:val="-3"/>
        </w:rPr>
        <w:t xml:space="preserve"> </w:t>
      </w:r>
      <w:r>
        <w:t>Violence</w:t>
      </w:r>
      <w:r>
        <w:rPr>
          <w:spacing w:val="-3"/>
        </w:rPr>
        <w:t xml:space="preserve"> </w:t>
      </w:r>
      <w:r>
        <w:t>Law</w:t>
      </w:r>
      <w:r>
        <w:rPr>
          <w:spacing w:val="-3"/>
        </w:rPr>
        <w:t xml:space="preserve"> </w:t>
      </w:r>
      <w:r>
        <w:t>Committee</w:t>
      </w:r>
      <w:r>
        <w:rPr>
          <w:spacing w:val="-3"/>
        </w:rPr>
        <w:t xml:space="preserve"> </w:t>
      </w:r>
      <w:r>
        <w:t>has</w:t>
      </w:r>
      <w:r>
        <w:rPr>
          <w:spacing w:val="-3"/>
        </w:rPr>
        <w:t xml:space="preserve"> </w:t>
      </w:r>
      <w:r>
        <w:t>contributed</w:t>
      </w:r>
      <w:r>
        <w:rPr>
          <w:spacing w:val="-3"/>
        </w:rPr>
        <w:t xml:space="preserve"> </w:t>
      </w:r>
      <w:r>
        <w:t>to</w:t>
      </w:r>
      <w:r>
        <w:rPr>
          <w:spacing w:val="-3"/>
        </w:rPr>
        <w:t xml:space="preserve"> </w:t>
      </w:r>
      <w:proofErr w:type="gramStart"/>
      <w:r>
        <w:t>13</w:t>
      </w:r>
      <w:proofErr w:type="gramEnd"/>
      <w:r>
        <w:rPr>
          <w:spacing w:val="-3"/>
        </w:rPr>
        <w:t xml:space="preserve"> </w:t>
      </w:r>
      <w:r>
        <w:t>submissions</w:t>
      </w:r>
      <w:r>
        <w:rPr>
          <w:spacing w:val="-3"/>
        </w:rPr>
        <w:t xml:space="preserve"> </w:t>
      </w:r>
      <w:r>
        <w:t>and</w:t>
      </w:r>
      <w:r>
        <w:rPr>
          <w:spacing w:val="-3"/>
        </w:rPr>
        <w:t xml:space="preserve"> </w:t>
      </w:r>
      <w:r>
        <w:t>three stakeholder consultations during this financial year.</w:t>
      </w:r>
    </w:p>
    <w:p w14:paraId="59CCA757" w14:textId="77777777" w:rsidR="00AC6F3C" w:rsidRDefault="00AC6F3C">
      <w:pPr>
        <w:pStyle w:val="BodyText"/>
        <w:spacing w:before="8"/>
        <w:rPr>
          <w:sz w:val="22"/>
        </w:rPr>
      </w:pPr>
    </w:p>
    <w:p w14:paraId="1B3CA42D" w14:textId="77777777" w:rsidR="00AC6F3C" w:rsidRDefault="00570E88">
      <w:pPr>
        <w:pStyle w:val="Heading9"/>
        <w:spacing w:before="1"/>
      </w:pPr>
      <w:r>
        <w:t>Women’s</w:t>
      </w:r>
      <w:r>
        <w:rPr>
          <w:spacing w:val="-8"/>
        </w:rPr>
        <w:t xml:space="preserve"> </w:t>
      </w:r>
      <w:r>
        <w:t>Safety</w:t>
      </w:r>
      <w:r>
        <w:rPr>
          <w:spacing w:val="-6"/>
        </w:rPr>
        <w:t xml:space="preserve"> </w:t>
      </w:r>
      <w:r>
        <w:t>and</w:t>
      </w:r>
      <w:r>
        <w:rPr>
          <w:spacing w:val="-6"/>
        </w:rPr>
        <w:t xml:space="preserve"> </w:t>
      </w:r>
      <w:r>
        <w:t>Justice</w:t>
      </w:r>
      <w:r>
        <w:rPr>
          <w:spacing w:val="-6"/>
        </w:rPr>
        <w:t xml:space="preserve"> </w:t>
      </w:r>
      <w:r>
        <w:rPr>
          <w:spacing w:val="-2"/>
        </w:rPr>
        <w:t>Taskforce</w:t>
      </w:r>
    </w:p>
    <w:p w14:paraId="00731796" w14:textId="77777777" w:rsidR="00AC6F3C" w:rsidRDefault="00570E88">
      <w:pPr>
        <w:pStyle w:val="ListParagraph"/>
        <w:numPr>
          <w:ilvl w:val="0"/>
          <w:numId w:val="58"/>
        </w:numPr>
        <w:tabs>
          <w:tab w:val="left" w:pos="1155"/>
        </w:tabs>
        <w:spacing w:before="176" w:line="249" w:lineRule="auto"/>
        <w:ind w:right="377"/>
        <w:rPr>
          <w:sz w:val="20"/>
        </w:rPr>
      </w:pPr>
      <w:r>
        <w:rPr>
          <w:sz w:val="20"/>
        </w:rPr>
        <w:t>Made</w:t>
      </w:r>
      <w:r>
        <w:rPr>
          <w:spacing w:val="-5"/>
          <w:sz w:val="20"/>
        </w:rPr>
        <w:t xml:space="preserve"> </w:t>
      </w:r>
      <w:r>
        <w:rPr>
          <w:sz w:val="20"/>
        </w:rPr>
        <w:t>a</w:t>
      </w:r>
      <w:r>
        <w:rPr>
          <w:spacing w:val="-5"/>
          <w:sz w:val="20"/>
        </w:rPr>
        <w:t xml:space="preserve"> </w:t>
      </w:r>
      <w:r>
        <w:rPr>
          <w:sz w:val="20"/>
        </w:rPr>
        <w:t>submission</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Criminal</w:t>
      </w:r>
      <w:r>
        <w:rPr>
          <w:spacing w:val="-5"/>
          <w:sz w:val="20"/>
        </w:rPr>
        <w:t xml:space="preserve"> </w:t>
      </w:r>
      <w:r>
        <w:rPr>
          <w:sz w:val="20"/>
        </w:rPr>
        <w:t>Law</w:t>
      </w:r>
      <w:r>
        <w:rPr>
          <w:spacing w:val="-5"/>
          <w:sz w:val="20"/>
        </w:rPr>
        <w:t xml:space="preserve"> </w:t>
      </w:r>
      <w:r>
        <w:rPr>
          <w:sz w:val="20"/>
        </w:rPr>
        <w:t>Committee)</w:t>
      </w:r>
      <w:r>
        <w:rPr>
          <w:spacing w:val="-5"/>
          <w:sz w:val="20"/>
        </w:rPr>
        <w:t xml:space="preserve"> </w:t>
      </w:r>
      <w:r>
        <w:rPr>
          <w:sz w:val="20"/>
        </w:rPr>
        <w:t>in</w:t>
      </w:r>
      <w:r>
        <w:rPr>
          <w:spacing w:val="-5"/>
          <w:sz w:val="20"/>
        </w:rPr>
        <w:t xml:space="preserve"> </w:t>
      </w:r>
      <w:r>
        <w:rPr>
          <w:sz w:val="20"/>
        </w:rPr>
        <w:t>response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Domestic</w:t>
      </w:r>
      <w:r>
        <w:rPr>
          <w:spacing w:val="-5"/>
          <w:sz w:val="20"/>
        </w:rPr>
        <w:t xml:space="preserve"> </w:t>
      </w:r>
      <w:r>
        <w:rPr>
          <w:sz w:val="20"/>
        </w:rPr>
        <w:t>and</w:t>
      </w:r>
      <w:r>
        <w:rPr>
          <w:spacing w:val="-5"/>
          <w:sz w:val="20"/>
        </w:rPr>
        <w:t xml:space="preserve"> </w:t>
      </w:r>
      <w:r>
        <w:rPr>
          <w:sz w:val="20"/>
        </w:rPr>
        <w:t xml:space="preserve">Family </w:t>
      </w:r>
      <w:r>
        <w:rPr>
          <w:spacing w:val="-2"/>
          <w:sz w:val="20"/>
        </w:rPr>
        <w:t>Violence</w:t>
      </w:r>
      <w:r>
        <w:rPr>
          <w:spacing w:val="-7"/>
          <w:sz w:val="20"/>
        </w:rPr>
        <w:t xml:space="preserve"> </w:t>
      </w:r>
      <w:r>
        <w:rPr>
          <w:spacing w:val="-2"/>
          <w:sz w:val="20"/>
        </w:rPr>
        <w:t>Protection</w:t>
      </w:r>
      <w:r>
        <w:rPr>
          <w:spacing w:val="-6"/>
          <w:sz w:val="20"/>
        </w:rPr>
        <w:t xml:space="preserve"> </w:t>
      </w:r>
      <w:r>
        <w:rPr>
          <w:spacing w:val="-2"/>
          <w:sz w:val="20"/>
        </w:rPr>
        <w:t>(Combating</w:t>
      </w:r>
      <w:r>
        <w:rPr>
          <w:spacing w:val="-6"/>
          <w:sz w:val="20"/>
        </w:rPr>
        <w:t xml:space="preserve"> </w:t>
      </w:r>
      <w:r>
        <w:rPr>
          <w:spacing w:val="-2"/>
          <w:sz w:val="20"/>
        </w:rPr>
        <w:t>Coercive</w:t>
      </w:r>
      <w:r>
        <w:rPr>
          <w:spacing w:val="-6"/>
          <w:sz w:val="20"/>
        </w:rPr>
        <w:t xml:space="preserve"> </w:t>
      </w:r>
      <w:r>
        <w:rPr>
          <w:spacing w:val="-2"/>
          <w:sz w:val="20"/>
        </w:rPr>
        <w:t>Control)</w:t>
      </w:r>
      <w:r>
        <w:rPr>
          <w:spacing w:val="-6"/>
          <w:sz w:val="20"/>
        </w:rPr>
        <w:t xml:space="preserve"> </w:t>
      </w:r>
      <w:r>
        <w:rPr>
          <w:spacing w:val="-2"/>
          <w:sz w:val="20"/>
        </w:rPr>
        <w:t>and</w:t>
      </w:r>
      <w:r>
        <w:rPr>
          <w:spacing w:val="-6"/>
          <w:sz w:val="20"/>
        </w:rPr>
        <w:t xml:space="preserve"> </w:t>
      </w:r>
      <w:r>
        <w:rPr>
          <w:spacing w:val="-2"/>
          <w:sz w:val="20"/>
        </w:rPr>
        <w:t>Other</w:t>
      </w:r>
      <w:r>
        <w:rPr>
          <w:spacing w:val="-6"/>
          <w:sz w:val="20"/>
        </w:rPr>
        <w:t xml:space="preserve"> </w:t>
      </w:r>
      <w:r>
        <w:rPr>
          <w:spacing w:val="-2"/>
          <w:sz w:val="20"/>
        </w:rPr>
        <w:t>Legislation</w:t>
      </w:r>
      <w:r>
        <w:rPr>
          <w:spacing w:val="-16"/>
          <w:sz w:val="20"/>
        </w:rPr>
        <w:t xml:space="preserve"> </w:t>
      </w:r>
      <w:r>
        <w:rPr>
          <w:spacing w:val="-2"/>
          <w:sz w:val="20"/>
        </w:rPr>
        <w:t>Amendment</w:t>
      </w:r>
      <w:r>
        <w:rPr>
          <w:spacing w:val="-6"/>
          <w:sz w:val="20"/>
        </w:rPr>
        <w:t xml:space="preserve"> </w:t>
      </w:r>
      <w:r>
        <w:rPr>
          <w:spacing w:val="-2"/>
          <w:sz w:val="20"/>
        </w:rPr>
        <w:t>Bill</w:t>
      </w:r>
      <w:r>
        <w:rPr>
          <w:spacing w:val="-6"/>
          <w:sz w:val="20"/>
        </w:rPr>
        <w:t xml:space="preserve"> </w:t>
      </w:r>
      <w:r>
        <w:rPr>
          <w:spacing w:val="-2"/>
          <w:sz w:val="20"/>
        </w:rPr>
        <w:t>2022,</w:t>
      </w:r>
      <w:r>
        <w:rPr>
          <w:spacing w:val="-6"/>
          <w:sz w:val="20"/>
        </w:rPr>
        <w:t xml:space="preserve"> </w:t>
      </w:r>
      <w:r>
        <w:rPr>
          <w:spacing w:val="-2"/>
          <w:sz w:val="20"/>
        </w:rPr>
        <w:t>which comprises</w:t>
      </w:r>
      <w:r>
        <w:rPr>
          <w:spacing w:val="-5"/>
          <w:sz w:val="20"/>
        </w:rPr>
        <w:t xml:space="preserve"> </w:t>
      </w:r>
      <w:r>
        <w:rPr>
          <w:spacing w:val="-2"/>
          <w:sz w:val="20"/>
        </w:rPr>
        <w:t>the</w:t>
      </w:r>
      <w:r>
        <w:rPr>
          <w:spacing w:val="-5"/>
          <w:sz w:val="20"/>
        </w:rPr>
        <w:t xml:space="preserve"> </w:t>
      </w:r>
      <w:r>
        <w:rPr>
          <w:spacing w:val="-2"/>
          <w:sz w:val="20"/>
        </w:rPr>
        <w:t>first</w:t>
      </w:r>
      <w:r>
        <w:rPr>
          <w:spacing w:val="-5"/>
          <w:sz w:val="20"/>
        </w:rPr>
        <w:t xml:space="preserve"> </w:t>
      </w:r>
      <w:r>
        <w:rPr>
          <w:spacing w:val="-2"/>
          <w:sz w:val="20"/>
        </w:rPr>
        <w:t>tranche</w:t>
      </w:r>
      <w:r>
        <w:rPr>
          <w:spacing w:val="-5"/>
          <w:sz w:val="20"/>
        </w:rPr>
        <w:t xml:space="preserve"> </w:t>
      </w:r>
      <w:r>
        <w:rPr>
          <w:spacing w:val="-2"/>
          <w:sz w:val="20"/>
        </w:rPr>
        <w:t>of</w:t>
      </w:r>
      <w:r>
        <w:rPr>
          <w:spacing w:val="-5"/>
          <w:sz w:val="20"/>
        </w:rPr>
        <w:t xml:space="preserve"> </w:t>
      </w:r>
      <w:r>
        <w:rPr>
          <w:spacing w:val="-2"/>
          <w:sz w:val="20"/>
        </w:rPr>
        <w:t>legislative</w:t>
      </w:r>
      <w:r>
        <w:rPr>
          <w:spacing w:val="-5"/>
          <w:sz w:val="20"/>
        </w:rPr>
        <w:t xml:space="preserve"> </w:t>
      </w:r>
      <w:r>
        <w:rPr>
          <w:spacing w:val="-2"/>
          <w:sz w:val="20"/>
        </w:rPr>
        <w:t>reform</w:t>
      </w:r>
      <w:r>
        <w:rPr>
          <w:spacing w:val="-5"/>
          <w:sz w:val="20"/>
        </w:rPr>
        <w:t xml:space="preserve"> </w:t>
      </w:r>
      <w:r>
        <w:rPr>
          <w:spacing w:val="-2"/>
          <w:sz w:val="20"/>
        </w:rPr>
        <w:t>following</w:t>
      </w:r>
      <w:r>
        <w:rPr>
          <w:spacing w:val="-5"/>
          <w:sz w:val="20"/>
        </w:rPr>
        <w:t xml:space="preserve"> </w:t>
      </w:r>
      <w:r>
        <w:rPr>
          <w:spacing w:val="-2"/>
          <w:sz w:val="20"/>
        </w:rPr>
        <w:t>the</w:t>
      </w:r>
      <w:r>
        <w:rPr>
          <w:spacing w:val="-5"/>
          <w:sz w:val="20"/>
        </w:rPr>
        <w:t xml:space="preserve"> </w:t>
      </w:r>
      <w:r>
        <w:rPr>
          <w:spacing w:val="-2"/>
          <w:sz w:val="20"/>
        </w:rPr>
        <w:t>Women’s</w:t>
      </w:r>
      <w:r>
        <w:rPr>
          <w:spacing w:val="-5"/>
          <w:sz w:val="20"/>
        </w:rPr>
        <w:t xml:space="preserve"> </w:t>
      </w:r>
      <w:r>
        <w:rPr>
          <w:spacing w:val="-2"/>
          <w:sz w:val="20"/>
        </w:rPr>
        <w:t>Safety</w:t>
      </w:r>
      <w:r>
        <w:rPr>
          <w:spacing w:val="-5"/>
          <w:sz w:val="20"/>
        </w:rPr>
        <w:t xml:space="preserve"> </w:t>
      </w:r>
      <w:r>
        <w:rPr>
          <w:spacing w:val="-2"/>
          <w:sz w:val="20"/>
        </w:rPr>
        <w:t>and</w:t>
      </w:r>
      <w:r>
        <w:rPr>
          <w:spacing w:val="-5"/>
          <w:sz w:val="20"/>
        </w:rPr>
        <w:t xml:space="preserve"> </w:t>
      </w:r>
      <w:r>
        <w:rPr>
          <w:spacing w:val="-2"/>
          <w:sz w:val="20"/>
        </w:rPr>
        <w:t>Justice</w:t>
      </w:r>
      <w:r>
        <w:rPr>
          <w:spacing w:val="-9"/>
          <w:sz w:val="20"/>
        </w:rPr>
        <w:t xml:space="preserve"> </w:t>
      </w:r>
      <w:r>
        <w:rPr>
          <w:spacing w:val="-2"/>
          <w:sz w:val="20"/>
        </w:rPr>
        <w:t xml:space="preserve">Taskforce’s </w:t>
      </w:r>
      <w:r>
        <w:rPr>
          <w:sz w:val="20"/>
        </w:rPr>
        <w:t>first Hear Her Voice report.</w:t>
      </w:r>
    </w:p>
    <w:p w14:paraId="5A5C82AC" w14:textId="77777777" w:rsidR="00AC6F3C" w:rsidRDefault="00570E88">
      <w:pPr>
        <w:pStyle w:val="ListParagraph"/>
        <w:numPr>
          <w:ilvl w:val="0"/>
          <w:numId w:val="58"/>
        </w:numPr>
        <w:tabs>
          <w:tab w:val="left" w:pos="1155"/>
        </w:tabs>
        <w:spacing w:before="173"/>
        <w:ind w:hanging="340"/>
        <w:rPr>
          <w:sz w:val="20"/>
        </w:rPr>
      </w:pPr>
      <w:r>
        <w:rPr>
          <w:sz w:val="20"/>
        </w:rPr>
        <w:t>Continued</w:t>
      </w:r>
      <w:r>
        <w:rPr>
          <w:spacing w:val="-5"/>
          <w:sz w:val="20"/>
        </w:rPr>
        <w:t xml:space="preserve"> </w:t>
      </w:r>
      <w:r>
        <w:rPr>
          <w:sz w:val="20"/>
        </w:rPr>
        <w:t>to</w:t>
      </w:r>
      <w:r>
        <w:rPr>
          <w:spacing w:val="-4"/>
          <w:sz w:val="20"/>
        </w:rPr>
        <w:t xml:space="preserve"> </w:t>
      </w:r>
      <w:r>
        <w:rPr>
          <w:sz w:val="20"/>
        </w:rPr>
        <w:t>assist</w:t>
      </w:r>
      <w:r>
        <w:rPr>
          <w:spacing w:val="-4"/>
          <w:sz w:val="20"/>
        </w:rPr>
        <w:t xml:space="preserve"> </w:t>
      </w:r>
      <w:r>
        <w:rPr>
          <w:sz w:val="20"/>
        </w:rPr>
        <w:t>QLS</w:t>
      </w:r>
      <w:r>
        <w:rPr>
          <w:spacing w:val="-3"/>
          <w:sz w:val="20"/>
        </w:rPr>
        <w:t xml:space="preserve"> </w:t>
      </w:r>
      <w:r>
        <w:rPr>
          <w:sz w:val="20"/>
        </w:rPr>
        <w:t>in</w:t>
      </w:r>
      <w:r>
        <w:rPr>
          <w:spacing w:val="-4"/>
          <w:sz w:val="20"/>
        </w:rPr>
        <w:t xml:space="preserve"> </w:t>
      </w:r>
      <w:r>
        <w:rPr>
          <w:sz w:val="20"/>
        </w:rPr>
        <w:t>its</w:t>
      </w:r>
      <w:r>
        <w:rPr>
          <w:spacing w:val="-4"/>
          <w:sz w:val="20"/>
        </w:rPr>
        <w:t xml:space="preserve"> </w:t>
      </w:r>
      <w:r>
        <w:rPr>
          <w:sz w:val="20"/>
        </w:rPr>
        <w:t>implementation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recommendations</w:t>
      </w:r>
      <w:r>
        <w:rPr>
          <w:spacing w:val="-3"/>
          <w:sz w:val="20"/>
        </w:rPr>
        <w:t xml:space="preserve"> </w:t>
      </w:r>
      <w:r>
        <w:rPr>
          <w:sz w:val="20"/>
        </w:rPr>
        <w:t>directed</w:t>
      </w:r>
      <w:r>
        <w:rPr>
          <w:spacing w:val="-3"/>
          <w:sz w:val="20"/>
        </w:rPr>
        <w:t xml:space="preserve"> </w:t>
      </w:r>
      <w:r>
        <w:rPr>
          <w:sz w:val="20"/>
        </w:rPr>
        <w:t>at</w:t>
      </w:r>
      <w:r>
        <w:rPr>
          <w:spacing w:val="-4"/>
          <w:sz w:val="20"/>
        </w:rPr>
        <w:t xml:space="preserve"> </w:t>
      </w:r>
      <w:r>
        <w:rPr>
          <w:sz w:val="20"/>
        </w:rPr>
        <w:t>the</w:t>
      </w:r>
      <w:r>
        <w:rPr>
          <w:spacing w:val="-4"/>
          <w:sz w:val="20"/>
        </w:rPr>
        <w:t xml:space="preserve"> </w:t>
      </w:r>
      <w:r>
        <w:rPr>
          <w:sz w:val="20"/>
        </w:rPr>
        <w:t>legal</w:t>
      </w:r>
      <w:r>
        <w:rPr>
          <w:spacing w:val="-2"/>
          <w:sz w:val="20"/>
        </w:rPr>
        <w:t xml:space="preserve"> </w:t>
      </w:r>
      <w:proofErr w:type="gramStart"/>
      <w:r>
        <w:rPr>
          <w:spacing w:val="-2"/>
          <w:sz w:val="20"/>
        </w:rPr>
        <w:t>profession</w:t>
      </w:r>
      <w:proofErr w:type="gramEnd"/>
    </w:p>
    <w:p w14:paraId="2A0DEEA2" w14:textId="77777777" w:rsidR="00AC6F3C" w:rsidRDefault="00570E88">
      <w:pPr>
        <w:pStyle w:val="BodyText"/>
        <w:spacing w:before="10"/>
        <w:ind w:left="1155"/>
      </w:pPr>
      <w:r>
        <w:t>in</w:t>
      </w:r>
      <w:r>
        <w:rPr>
          <w:spacing w:val="-6"/>
        </w:rPr>
        <w:t xml:space="preserve"> </w:t>
      </w:r>
      <w:r>
        <w:t>Hear</w:t>
      </w:r>
      <w:r>
        <w:rPr>
          <w:spacing w:val="-5"/>
        </w:rPr>
        <w:t xml:space="preserve"> </w:t>
      </w:r>
      <w:r>
        <w:t>Her</w:t>
      </w:r>
      <w:r>
        <w:rPr>
          <w:spacing w:val="-5"/>
        </w:rPr>
        <w:t xml:space="preserve"> </w:t>
      </w:r>
      <w:r>
        <w:t>Voice,</w:t>
      </w:r>
      <w:r>
        <w:rPr>
          <w:spacing w:val="-5"/>
        </w:rPr>
        <w:t xml:space="preserve"> </w:t>
      </w:r>
      <w:r>
        <w:t>which</w:t>
      </w:r>
      <w:r>
        <w:rPr>
          <w:spacing w:val="-5"/>
        </w:rPr>
        <w:t xml:space="preserve"> </w:t>
      </w:r>
      <w:r>
        <w:t>have</w:t>
      </w:r>
      <w:r>
        <w:rPr>
          <w:spacing w:val="-5"/>
        </w:rPr>
        <w:t xml:space="preserve"> </w:t>
      </w:r>
      <w:proofErr w:type="gramStart"/>
      <w:r>
        <w:t>been</w:t>
      </w:r>
      <w:r>
        <w:rPr>
          <w:spacing w:val="-5"/>
        </w:rPr>
        <w:t xml:space="preserve"> </w:t>
      </w:r>
      <w:r>
        <w:t>commended</w:t>
      </w:r>
      <w:proofErr w:type="gramEnd"/>
      <w:r>
        <w:rPr>
          <w:spacing w:val="-5"/>
        </w:rPr>
        <w:t xml:space="preserve"> </w:t>
      </w:r>
      <w:r>
        <w:t>by</w:t>
      </w:r>
      <w:r>
        <w:rPr>
          <w:spacing w:val="-8"/>
        </w:rPr>
        <w:t xml:space="preserve"> </w:t>
      </w:r>
      <w:r>
        <w:t>Taskforce</w:t>
      </w:r>
      <w:r>
        <w:rPr>
          <w:spacing w:val="-5"/>
        </w:rPr>
        <w:t xml:space="preserve"> </w:t>
      </w:r>
      <w:r>
        <w:t>chair</w:t>
      </w:r>
      <w:r>
        <w:rPr>
          <w:spacing w:val="-5"/>
        </w:rPr>
        <w:t xml:space="preserve"> </w:t>
      </w:r>
      <w:r>
        <w:t>Margaret</w:t>
      </w:r>
      <w:r>
        <w:rPr>
          <w:spacing w:val="-5"/>
        </w:rPr>
        <w:t xml:space="preserve"> </w:t>
      </w:r>
      <w:r>
        <w:rPr>
          <w:spacing w:val="-2"/>
        </w:rPr>
        <w:t>McMurdo.</w:t>
      </w:r>
    </w:p>
    <w:p w14:paraId="73887C3D" w14:textId="77777777" w:rsidR="00AC6F3C" w:rsidRDefault="00570E88">
      <w:pPr>
        <w:pStyle w:val="ListParagraph"/>
        <w:numPr>
          <w:ilvl w:val="0"/>
          <w:numId w:val="58"/>
        </w:numPr>
        <w:tabs>
          <w:tab w:val="left" w:pos="1155"/>
        </w:tabs>
        <w:spacing w:line="249" w:lineRule="auto"/>
        <w:ind w:right="297"/>
        <w:rPr>
          <w:sz w:val="20"/>
        </w:rPr>
      </w:pPr>
      <w:r>
        <w:rPr>
          <w:sz w:val="20"/>
        </w:rPr>
        <w:t xml:space="preserve">The </w:t>
      </w:r>
      <w:r>
        <w:rPr>
          <w:i/>
          <w:sz w:val="20"/>
        </w:rPr>
        <w:t xml:space="preserve">Domestic and Family Violence Protection (Combating Coercive Control) and Other Legislation Amendment Act 2023 </w:t>
      </w:r>
      <w:r>
        <w:rPr>
          <w:sz w:val="20"/>
        </w:rPr>
        <w:t>(the</w:t>
      </w:r>
      <w:r>
        <w:rPr>
          <w:spacing w:val="-5"/>
          <w:sz w:val="20"/>
        </w:rPr>
        <w:t xml:space="preserve"> </w:t>
      </w:r>
      <w:r>
        <w:rPr>
          <w:sz w:val="20"/>
        </w:rPr>
        <w:t>Act), passed in February 2023. The</w:t>
      </w:r>
      <w:r>
        <w:rPr>
          <w:spacing w:val="-5"/>
          <w:sz w:val="20"/>
        </w:rPr>
        <w:t xml:space="preserve"> </w:t>
      </w:r>
      <w:r>
        <w:rPr>
          <w:sz w:val="20"/>
        </w:rPr>
        <w:t>Act represents the first tranche of legislative change following the landmark Hear Her Voice reports delivered by the Women’s Safety and</w:t>
      </w:r>
      <w:r>
        <w:rPr>
          <w:spacing w:val="-2"/>
          <w:sz w:val="20"/>
        </w:rPr>
        <w:t xml:space="preserve"> </w:t>
      </w:r>
      <w:r>
        <w:rPr>
          <w:sz w:val="20"/>
        </w:rPr>
        <w:t>Justice</w:t>
      </w:r>
      <w:r>
        <w:rPr>
          <w:spacing w:val="-6"/>
          <w:sz w:val="20"/>
        </w:rPr>
        <w:t xml:space="preserve"> </w:t>
      </w:r>
      <w:r>
        <w:rPr>
          <w:sz w:val="20"/>
        </w:rPr>
        <w:t>Taskforce.</w:t>
      </w:r>
      <w:r>
        <w:rPr>
          <w:spacing w:val="-2"/>
          <w:sz w:val="20"/>
        </w:rPr>
        <w:t xml:space="preserve"> </w:t>
      </w:r>
      <w:r>
        <w:rPr>
          <w:sz w:val="20"/>
        </w:rPr>
        <w:t>Changes</w:t>
      </w:r>
      <w:r>
        <w:rPr>
          <w:spacing w:val="-2"/>
          <w:sz w:val="20"/>
        </w:rPr>
        <w:t xml:space="preserve"> </w:t>
      </w:r>
      <w:r>
        <w:rPr>
          <w:sz w:val="20"/>
        </w:rPr>
        <w:t>introduced</w:t>
      </w:r>
      <w:r>
        <w:rPr>
          <w:spacing w:val="-2"/>
          <w:sz w:val="20"/>
        </w:rPr>
        <w:t xml:space="preserve"> </w:t>
      </w:r>
      <w:r>
        <w:rPr>
          <w:sz w:val="20"/>
        </w:rPr>
        <w:t>by</w:t>
      </w:r>
      <w:r>
        <w:rPr>
          <w:spacing w:val="-2"/>
          <w:sz w:val="20"/>
        </w:rPr>
        <w:t xml:space="preserve"> </w:t>
      </w:r>
      <w:r>
        <w:rPr>
          <w:sz w:val="20"/>
        </w:rPr>
        <w:t>the</w:t>
      </w:r>
      <w:r>
        <w:rPr>
          <w:spacing w:val="-13"/>
          <w:sz w:val="20"/>
        </w:rPr>
        <w:t xml:space="preserve"> </w:t>
      </w:r>
      <w:r>
        <w:rPr>
          <w:sz w:val="20"/>
        </w:rPr>
        <w:t>Act</w:t>
      </w:r>
      <w:r>
        <w:rPr>
          <w:spacing w:val="-2"/>
          <w:sz w:val="20"/>
        </w:rPr>
        <w:t xml:space="preserve"> </w:t>
      </w:r>
      <w:r>
        <w:rPr>
          <w:sz w:val="20"/>
        </w:rPr>
        <w:t>include</w:t>
      </w:r>
      <w:r>
        <w:rPr>
          <w:spacing w:val="-2"/>
          <w:sz w:val="20"/>
        </w:rPr>
        <w:t xml:space="preserve"> </w:t>
      </w:r>
      <w:proofErr w:type="spellStart"/>
      <w:r>
        <w:rPr>
          <w:sz w:val="20"/>
        </w:rPr>
        <w:t>modernising</w:t>
      </w:r>
      <w:proofErr w:type="spellEnd"/>
      <w:r>
        <w:rPr>
          <w:spacing w:val="-2"/>
          <w:sz w:val="20"/>
        </w:rPr>
        <w:t xml:space="preserve"> </w:t>
      </w:r>
      <w:r>
        <w:rPr>
          <w:sz w:val="20"/>
        </w:rPr>
        <w:t>the</w:t>
      </w:r>
      <w:r>
        <w:rPr>
          <w:spacing w:val="-2"/>
          <w:sz w:val="20"/>
        </w:rPr>
        <w:t xml:space="preserve"> </w:t>
      </w:r>
      <w:r>
        <w:rPr>
          <w:sz w:val="20"/>
        </w:rPr>
        <w:t>offence</w:t>
      </w:r>
      <w:r>
        <w:rPr>
          <w:spacing w:val="-2"/>
          <w:sz w:val="20"/>
        </w:rPr>
        <w:t xml:space="preserve"> </w:t>
      </w:r>
      <w:r>
        <w:rPr>
          <w:sz w:val="20"/>
        </w:rPr>
        <w:t>of</w:t>
      </w:r>
      <w:r>
        <w:rPr>
          <w:spacing w:val="-2"/>
          <w:sz w:val="20"/>
        </w:rPr>
        <w:t xml:space="preserve"> </w:t>
      </w:r>
      <w:r>
        <w:rPr>
          <w:sz w:val="20"/>
        </w:rPr>
        <w:t>stalking</w:t>
      </w:r>
      <w:r>
        <w:rPr>
          <w:spacing w:val="-2"/>
          <w:sz w:val="20"/>
        </w:rPr>
        <w:t xml:space="preserve"> </w:t>
      </w:r>
      <w:r>
        <w:rPr>
          <w:sz w:val="20"/>
        </w:rPr>
        <w:t xml:space="preserve">in the Criminal Code, broadening the definition of domestic and family violence to include a pattern of </w:t>
      </w:r>
      <w:proofErr w:type="spellStart"/>
      <w:r>
        <w:rPr>
          <w:sz w:val="20"/>
        </w:rPr>
        <w:t>behaviour</w:t>
      </w:r>
      <w:proofErr w:type="spellEnd"/>
      <w:r>
        <w:rPr>
          <w:spacing w:val="-3"/>
          <w:sz w:val="20"/>
        </w:rPr>
        <w:t xml:space="preserve"> </w:t>
      </w:r>
      <w:r>
        <w:rPr>
          <w:sz w:val="20"/>
        </w:rPr>
        <w:t>occurring</w:t>
      </w:r>
      <w:r>
        <w:rPr>
          <w:spacing w:val="-3"/>
          <w:sz w:val="20"/>
        </w:rPr>
        <w:t xml:space="preserve"> </w:t>
      </w:r>
      <w:r>
        <w:rPr>
          <w:sz w:val="20"/>
        </w:rPr>
        <w:t>over</w:t>
      </w:r>
      <w:r>
        <w:rPr>
          <w:spacing w:val="-3"/>
          <w:sz w:val="20"/>
        </w:rPr>
        <w:t xml:space="preserve"> </w:t>
      </w:r>
      <w:r>
        <w:rPr>
          <w:sz w:val="20"/>
        </w:rPr>
        <w:t>time,</w:t>
      </w:r>
      <w:r>
        <w:rPr>
          <w:spacing w:val="-3"/>
          <w:sz w:val="20"/>
        </w:rPr>
        <w:t xml:space="preserve"> </w:t>
      </w:r>
      <w:r>
        <w:rPr>
          <w:sz w:val="20"/>
        </w:rPr>
        <w:t>restricting</w:t>
      </w:r>
      <w:r>
        <w:rPr>
          <w:spacing w:val="-3"/>
          <w:sz w:val="20"/>
        </w:rPr>
        <w:t xml:space="preserve"> </w:t>
      </w:r>
      <w:r>
        <w:rPr>
          <w:sz w:val="20"/>
        </w:rPr>
        <w:t>the</w:t>
      </w:r>
      <w:r>
        <w:rPr>
          <w:spacing w:val="-3"/>
          <w:sz w:val="20"/>
        </w:rPr>
        <w:t xml:space="preserve"> </w:t>
      </w:r>
      <w:r>
        <w:rPr>
          <w:sz w:val="20"/>
        </w:rPr>
        <w:t>making</w:t>
      </w:r>
      <w:r>
        <w:rPr>
          <w:spacing w:val="-3"/>
          <w:sz w:val="20"/>
        </w:rPr>
        <w:t xml:space="preserve"> </w:t>
      </w:r>
      <w:r>
        <w:rPr>
          <w:sz w:val="20"/>
        </w:rPr>
        <w:t>of</w:t>
      </w:r>
      <w:r>
        <w:rPr>
          <w:spacing w:val="-3"/>
          <w:sz w:val="20"/>
        </w:rPr>
        <w:t xml:space="preserve"> </w:t>
      </w:r>
      <w:r>
        <w:rPr>
          <w:sz w:val="20"/>
        </w:rPr>
        <w:t>cross</w:t>
      </w:r>
      <w:r>
        <w:rPr>
          <w:spacing w:val="-3"/>
          <w:sz w:val="20"/>
        </w:rPr>
        <w:t xml:space="preserve"> </w:t>
      </w:r>
      <w:r>
        <w:rPr>
          <w:sz w:val="20"/>
        </w:rPr>
        <w:t>orders</w:t>
      </w:r>
      <w:r>
        <w:rPr>
          <w:spacing w:val="-3"/>
          <w:sz w:val="20"/>
        </w:rPr>
        <w:t xml:space="preserve"> </w:t>
      </w:r>
      <w:r>
        <w:rPr>
          <w:sz w:val="20"/>
        </w:rPr>
        <w:t>and</w:t>
      </w:r>
      <w:r>
        <w:rPr>
          <w:spacing w:val="-3"/>
          <w:sz w:val="20"/>
        </w:rPr>
        <w:t xml:space="preserve"> </w:t>
      </w:r>
      <w:r>
        <w:rPr>
          <w:sz w:val="20"/>
        </w:rPr>
        <w:t>changing</w:t>
      </w:r>
      <w:r>
        <w:rPr>
          <w:spacing w:val="-3"/>
          <w:sz w:val="20"/>
        </w:rPr>
        <w:t xml:space="preserve"> </w:t>
      </w:r>
      <w:r>
        <w:rPr>
          <w:sz w:val="20"/>
        </w:rPr>
        <w:t>the</w:t>
      </w:r>
      <w:r>
        <w:rPr>
          <w:spacing w:val="-3"/>
          <w:sz w:val="20"/>
        </w:rPr>
        <w:t xml:space="preserve"> </w:t>
      </w:r>
      <w:r>
        <w:rPr>
          <w:i/>
          <w:sz w:val="20"/>
        </w:rPr>
        <w:t>Evidence</w:t>
      </w:r>
      <w:r>
        <w:rPr>
          <w:i/>
          <w:spacing w:val="-10"/>
          <w:sz w:val="20"/>
        </w:rPr>
        <w:t xml:space="preserve"> </w:t>
      </w:r>
      <w:r>
        <w:rPr>
          <w:i/>
          <w:sz w:val="20"/>
        </w:rPr>
        <w:t xml:space="preserve">Act 1977 </w:t>
      </w:r>
      <w:r>
        <w:rPr>
          <w:sz w:val="20"/>
        </w:rPr>
        <w:t>in respect of jury directions and expert evidence regarding domestic violence.</w:t>
      </w:r>
    </w:p>
    <w:p w14:paraId="561323A0" w14:textId="77777777" w:rsidR="00AC6F3C" w:rsidRDefault="00AC6F3C">
      <w:pPr>
        <w:spacing w:line="249" w:lineRule="auto"/>
        <w:rPr>
          <w:sz w:val="20"/>
        </w:rPr>
        <w:sectPr w:rsidR="00AC6F3C">
          <w:headerReference w:type="default" r:id="rId80"/>
          <w:footerReference w:type="default" r:id="rId81"/>
          <w:pgSz w:w="11910" w:h="16840"/>
          <w:pgMar w:top="1140" w:right="1160" w:bottom="520" w:left="460" w:header="0" w:footer="336" w:gutter="0"/>
          <w:cols w:space="720"/>
        </w:sectPr>
      </w:pPr>
    </w:p>
    <w:p w14:paraId="374A8785" w14:textId="77777777" w:rsidR="00AC6F3C" w:rsidRDefault="00570E88">
      <w:pPr>
        <w:pStyle w:val="ListParagraph"/>
        <w:numPr>
          <w:ilvl w:val="0"/>
          <w:numId w:val="58"/>
        </w:numPr>
        <w:tabs>
          <w:tab w:val="left" w:pos="1155"/>
        </w:tabs>
        <w:spacing w:before="76" w:line="249" w:lineRule="auto"/>
        <w:ind w:right="201"/>
        <w:rPr>
          <w:sz w:val="20"/>
        </w:rPr>
      </w:pPr>
      <w:r>
        <w:rPr>
          <w:sz w:val="20"/>
        </w:rPr>
        <w:lastRenderedPageBreak/>
        <w:t>Involved</w:t>
      </w:r>
      <w:r>
        <w:rPr>
          <w:spacing w:val="-3"/>
          <w:sz w:val="20"/>
        </w:rPr>
        <w:t xml:space="preserve"> </w:t>
      </w:r>
      <w:r>
        <w:rPr>
          <w:sz w:val="20"/>
        </w:rPr>
        <w:t>in</w:t>
      </w:r>
      <w:r>
        <w:rPr>
          <w:spacing w:val="-3"/>
          <w:sz w:val="20"/>
        </w:rPr>
        <w:t xml:space="preserve"> </w:t>
      </w:r>
      <w:r>
        <w:rPr>
          <w:sz w:val="20"/>
        </w:rPr>
        <w:t>confidential</w:t>
      </w:r>
      <w:r>
        <w:rPr>
          <w:spacing w:val="-3"/>
          <w:sz w:val="20"/>
        </w:rPr>
        <w:t xml:space="preserve"> </w:t>
      </w:r>
      <w:r>
        <w:rPr>
          <w:sz w:val="20"/>
        </w:rPr>
        <w:t>consultation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next</w:t>
      </w:r>
      <w:r>
        <w:rPr>
          <w:spacing w:val="-3"/>
          <w:sz w:val="20"/>
        </w:rPr>
        <w:t xml:space="preserve"> </w:t>
      </w:r>
      <w:r>
        <w:rPr>
          <w:sz w:val="20"/>
        </w:rPr>
        <w:t>stage</w:t>
      </w:r>
      <w:r>
        <w:rPr>
          <w:spacing w:val="-3"/>
          <w:sz w:val="20"/>
        </w:rPr>
        <w:t xml:space="preserve"> </w:t>
      </w:r>
      <w:r>
        <w:rPr>
          <w:sz w:val="20"/>
        </w:rPr>
        <w:t>of</w:t>
      </w:r>
      <w:r>
        <w:rPr>
          <w:spacing w:val="-3"/>
          <w:sz w:val="20"/>
        </w:rPr>
        <w:t xml:space="preserve"> </w:t>
      </w:r>
      <w:r>
        <w:rPr>
          <w:sz w:val="20"/>
        </w:rPr>
        <w:t>legislative</w:t>
      </w:r>
      <w:r>
        <w:rPr>
          <w:spacing w:val="-3"/>
          <w:sz w:val="20"/>
        </w:rPr>
        <w:t xml:space="preserve"> </w:t>
      </w:r>
      <w:r>
        <w:rPr>
          <w:sz w:val="20"/>
        </w:rPr>
        <w:t>reform,</w:t>
      </w:r>
      <w:r>
        <w:rPr>
          <w:spacing w:val="-3"/>
          <w:sz w:val="20"/>
        </w:rPr>
        <w:t xml:space="preserve"> </w:t>
      </w:r>
      <w:r>
        <w:rPr>
          <w:sz w:val="20"/>
        </w:rPr>
        <w:t>which</w:t>
      </w:r>
      <w:r>
        <w:rPr>
          <w:spacing w:val="-3"/>
          <w:sz w:val="20"/>
        </w:rPr>
        <w:t xml:space="preserve"> </w:t>
      </w:r>
      <w:r>
        <w:rPr>
          <w:sz w:val="20"/>
        </w:rPr>
        <w:t>will</w:t>
      </w:r>
      <w:r>
        <w:rPr>
          <w:spacing w:val="-3"/>
          <w:sz w:val="20"/>
        </w:rPr>
        <w:t xml:space="preserve"> </w:t>
      </w:r>
      <w:r>
        <w:rPr>
          <w:sz w:val="20"/>
        </w:rPr>
        <w:t>include</w:t>
      </w:r>
      <w:r>
        <w:rPr>
          <w:spacing w:val="-3"/>
          <w:sz w:val="20"/>
        </w:rPr>
        <w:t xml:space="preserve"> </w:t>
      </w:r>
      <w:r>
        <w:rPr>
          <w:sz w:val="20"/>
        </w:rPr>
        <w:t>the</w:t>
      </w:r>
      <w:r>
        <w:rPr>
          <w:spacing w:val="-3"/>
          <w:sz w:val="20"/>
        </w:rPr>
        <w:t xml:space="preserve"> </w:t>
      </w:r>
      <w:r>
        <w:rPr>
          <w:sz w:val="20"/>
        </w:rPr>
        <w:t>new coercive control offence.</w:t>
      </w:r>
    </w:p>
    <w:p w14:paraId="413DBD5A" w14:textId="77777777" w:rsidR="00AC6F3C" w:rsidRDefault="00570E88">
      <w:pPr>
        <w:pStyle w:val="ListParagraph"/>
        <w:numPr>
          <w:ilvl w:val="0"/>
          <w:numId w:val="58"/>
        </w:numPr>
        <w:tabs>
          <w:tab w:val="left" w:pos="1155"/>
        </w:tabs>
        <w:spacing w:before="171"/>
        <w:ind w:hanging="340"/>
        <w:rPr>
          <w:sz w:val="20"/>
        </w:rPr>
      </w:pPr>
      <w:r>
        <w:rPr>
          <w:sz w:val="20"/>
        </w:rPr>
        <w:t>Independent</w:t>
      </w:r>
      <w:r>
        <w:rPr>
          <w:spacing w:val="-4"/>
          <w:sz w:val="20"/>
        </w:rPr>
        <w:t xml:space="preserve"> </w:t>
      </w:r>
      <w:r>
        <w:rPr>
          <w:sz w:val="20"/>
        </w:rPr>
        <w:t>Commission</w:t>
      </w:r>
      <w:r>
        <w:rPr>
          <w:spacing w:val="-4"/>
          <w:sz w:val="20"/>
        </w:rPr>
        <w:t xml:space="preserve"> </w:t>
      </w:r>
      <w:r>
        <w:rPr>
          <w:sz w:val="20"/>
        </w:rPr>
        <w:t>of</w:t>
      </w:r>
      <w:r>
        <w:rPr>
          <w:spacing w:val="-4"/>
          <w:sz w:val="20"/>
        </w:rPr>
        <w:t xml:space="preserve"> </w:t>
      </w:r>
      <w:r>
        <w:rPr>
          <w:sz w:val="20"/>
        </w:rPr>
        <w:t>Inquiry</w:t>
      </w:r>
      <w:r>
        <w:rPr>
          <w:spacing w:val="-3"/>
          <w:sz w:val="20"/>
        </w:rPr>
        <w:t xml:space="preserve"> </w:t>
      </w:r>
      <w:r>
        <w:rPr>
          <w:sz w:val="20"/>
        </w:rPr>
        <w:t>into</w:t>
      </w:r>
      <w:r>
        <w:rPr>
          <w:spacing w:val="-4"/>
          <w:sz w:val="20"/>
        </w:rPr>
        <w:t xml:space="preserve"> </w:t>
      </w:r>
      <w:r>
        <w:rPr>
          <w:sz w:val="20"/>
        </w:rPr>
        <w:t>Queensland</w:t>
      </w:r>
      <w:r>
        <w:rPr>
          <w:spacing w:val="-4"/>
          <w:sz w:val="20"/>
        </w:rPr>
        <w:t xml:space="preserve"> </w:t>
      </w:r>
      <w:r>
        <w:rPr>
          <w:sz w:val="20"/>
        </w:rPr>
        <w:t>Police</w:t>
      </w:r>
      <w:r>
        <w:rPr>
          <w:spacing w:val="-3"/>
          <w:sz w:val="20"/>
        </w:rPr>
        <w:t xml:space="preserve"> </w:t>
      </w:r>
      <w:r>
        <w:rPr>
          <w:spacing w:val="-2"/>
          <w:sz w:val="20"/>
        </w:rPr>
        <w:t>Service.</w:t>
      </w:r>
    </w:p>
    <w:p w14:paraId="7895FCD5" w14:textId="77777777" w:rsidR="00AC6F3C" w:rsidRDefault="00AC6F3C">
      <w:pPr>
        <w:pStyle w:val="BodyText"/>
        <w:spacing w:before="6"/>
        <w:rPr>
          <w:sz w:val="23"/>
        </w:rPr>
      </w:pPr>
    </w:p>
    <w:p w14:paraId="2D118119" w14:textId="77777777" w:rsidR="00AC6F3C" w:rsidRDefault="00570E88">
      <w:pPr>
        <w:pStyle w:val="Heading9"/>
      </w:pPr>
      <w:r>
        <w:t>Other</w:t>
      </w:r>
      <w:r>
        <w:rPr>
          <w:spacing w:val="-4"/>
        </w:rPr>
        <w:t xml:space="preserve"> </w:t>
      </w:r>
      <w:r>
        <w:rPr>
          <w:spacing w:val="-2"/>
        </w:rPr>
        <w:t>consultations</w:t>
      </w:r>
    </w:p>
    <w:p w14:paraId="13927087" w14:textId="77777777" w:rsidR="00AC6F3C" w:rsidRDefault="00570E88">
      <w:pPr>
        <w:pStyle w:val="ListParagraph"/>
        <w:numPr>
          <w:ilvl w:val="0"/>
          <w:numId w:val="58"/>
        </w:numPr>
        <w:tabs>
          <w:tab w:val="left" w:pos="1155"/>
        </w:tabs>
        <w:spacing w:before="176" w:line="249" w:lineRule="auto"/>
        <w:ind w:right="438"/>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of</w:t>
      </w:r>
      <w:r>
        <w:rPr>
          <w:spacing w:val="-14"/>
          <w:sz w:val="20"/>
        </w:rPr>
        <w:t xml:space="preserve"> </w:t>
      </w:r>
      <w:r>
        <w:rPr>
          <w:sz w:val="20"/>
        </w:rPr>
        <w:t>Australia</w:t>
      </w:r>
      <w:r>
        <w:rPr>
          <w:spacing w:val="-3"/>
          <w:sz w:val="20"/>
        </w:rPr>
        <w:t xml:space="preserve"> </w:t>
      </w:r>
      <w:r>
        <w:rPr>
          <w:sz w:val="20"/>
        </w:rPr>
        <w:t>regarding</w:t>
      </w:r>
      <w:r>
        <w:rPr>
          <w:spacing w:val="-3"/>
          <w:sz w:val="20"/>
        </w:rPr>
        <w:t xml:space="preserve"> </w:t>
      </w:r>
      <w:r>
        <w:rPr>
          <w:sz w:val="20"/>
        </w:rPr>
        <w:t>Fair</w:t>
      </w:r>
      <w:r>
        <w:rPr>
          <w:spacing w:val="-3"/>
          <w:sz w:val="20"/>
        </w:rPr>
        <w:t xml:space="preserve"> </w:t>
      </w:r>
      <w:r>
        <w:rPr>
          <w:sz w:val="20"/>
        </w:rPr>
        <w:t>Work</w:t>
      </w:r>
      <w:r>
        <w:rPr>
          <w:spacing w:val="-14"/>
          <w:sz w:val="20"/>
        </w:rPr>
        <w:t xml:space="preserve"> </w:t>
      </w:r>
      <w:r>
        <w:rPr>
          <w:sz w:val="20"/>
        </w:rPr>
        <w:t>Amendment</w:t>
      </w:r>
      <w:r>
        <w:rPr>
          <w:spacing w:val="-3"/>
          <w:sz w:val="20"/>
        </w:rPr>
        <w:t xml:space="preserve"> </w:t>
      </w:r>
      <w:r>
        <w:rPr>
          <w:sz w:val="20"/>
        </w:rPr>
        <w:t>(Paid Family and Domestic Violence Leave) Bill 2022 and a submission in response to a significant confidential draft bill.</w:t>
      </w:r>
    </w:p>
    <w:p w14:paraId="73F3B9B7" w14:textId="77777777" w:rsidR="00AC6F3C" w:rsidRDefault="00570E88">
      <w:pPr>
        <w:pStyle w:val="ListParagraph"/>
        <w:numPr>
          <w:ilvl w:val="0"/>
          <w:numId w:val="58"/>
        </w:numPr>
        <w:tabs>
          <w:tab w:val="left" w:pos="1155"/>
        </w:tabs>
        <w:spacing w:before="172" w:line="249" w:lineRule="auto"/>
        <w:ind w:right="324"/>
        <w:rPr>
          <w:sz w:val="20"/>
        </w:rPr>
      </w:pPr>
      <w:r>
        <w:rPr>
          <w:sz w:val="20"/>
        </w:rPr>
        <w:t>Provided</w:t>
      </w:r>
      <w:r>
        <w:rPr>
          <w:spacing w:val="-3"/>
          <w:sz w:val="20"/>
        </w:rPr>
        <w:t xml:space="preserve"> </w:t>
      </w:r>
      <w:r>
        <w:rPr>
          <w:sz w:val="20"/>
        </w:rPr>
        <w:t>comment</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civil</w:t>
      </w:r>
      <w:r>
        <w:rPr>
          <w:spacing w:val="-3"/>
          <w:sz w:val="20"/>
        </w:rPr>
        <w:t xml:space="preserve"> </w:t>
      </w:r>
      <w:r>
        <w:rPr>
          <w:sz w:val="20"/>
        </w:rPr>
        <w:t>surveillance</w:t>
      </w:r>
      <w:r>
        <w:rPr>
          <w:spacing w:val="-3"/>
          <w:sz w:val="20"/>
        </w:rPr>
        <w:t xml:space="preserve"> </w:t>
      </w:r>
      <w:r>
        <w:rPr>
          <w:sz w:val="20"/>
        </w:rPr>
        <w:t>reforms</w:t>
      </w:r>
      <w:r>
        <w:rPr>
          <w:spacing w:val="-3"/>
          <w:sz w:val="20"/>
        </w:rPr>
        <w:t xml:space="preserve"> </w:t>
      </w:r>
      <w:r>
        <w:rPr>
          <w:sz w:val="20"/>
        </w:rPr>
        <w:t>–</w:t>
      </w:r>
      <w:r>
        <w:rPr>
          <w:spacing w:val="-3"/>
          <w:sz w:val="20"/>
        </w:rPr>
        <w:t xml:space="preserve"> </w:t>
      </w:r>
      <w:r>
        <w:rPr>
          <w:sz w:val="20"/>
        </w:rPr>
        <w:t>highlighting</w:t>
      </w:r>
      <w:r>
        <w:rPr>
          <w:spacing w:val="-3"/>
          <w:sz w:val="20"/>
        </w:rPr>
        <w:t xml:space="preserve"> </w:t>
      </w:r>
      <w:r>
        <w:rPr>
          <w:sz w:val="20"/>
        </w:rPr>
        <w:t>the</w:t>
      </w:r>
      <w:r>
        <w:rPr>
          <w:spacing w:val="-3"/>
          <w:sz w:val="20"/>
        </w:rPr>
        <w:t xml:space="preserve"> </w:t>
      </w:r>
      <w:r>
        <w:rPr>
          <w:sz w:val="20"/>
        </w:rPr>
        <w:t>potential</w:t>
      </w:r>
      <w:r>
        <w:rPr>
          <w:spacing w:val="-3"/>
          <w:sz w:val="20"/>
        </w:rPr>
        <w:t xml:space="preserve"> </w:t>
      </w:r>
      <w:r>
        <w:rPr>
          <w:sz w:val="20"/>
        </w:rPr>
        <w:t>for</w:t>
      </w:r>
      <w:r>
        <w:rPr>
          <w:spacing w:val="-3"/>
          <w:sz w:val="20"/>
        </w:rPr>
        <w:t xml:space="preserve"> </w:t>
      </w:r>
      <w:r>
        <w:rPr>
          <w:sz w:val="20"/>
        </w:rPr>
        <w:t>proposed</w:t>
      </w:r>
      <w:r>
        <w:rPr>
          <w:spacing w:val="-3"/>
          <w:sz w:val="20"/>
        </w:rPr>
        <w:t xml:space="preserve"> </w:t>
      </w:r>
      <w:r>
        <w:rPr>
          <w:sz w:val="20"/>
        </w:rPr>
        <w:t xml:space="preserve">reforms around audio and visual recordings to </w:t>
      </w:r>
      <w:proofErr w:type="gramStart"/>
      <w:r>
        <w:rPr>
          <w:sz w:val="20"/>
        </w:rPr>
        <w:t>be misapplied</w:t>
      </w:r>
      <w:proofErr w:type="gramEnd"/>
      <w:r>
        <w:rPr>
          <w:sz w:val="20"/>
        </w:rPr>
        <w:t xml:space="preserve"> to victims.</w:t>
      </w:r>
    </w:p>
    <w:p w14:paraId="6828970A" w14:textId="77777777" w:rsidR="00AC6F3C" w:rsidRDefault="00570E88">
      <w:pPr>
        <w:pStyle w:val="ListParagraph"/>
        <w:numPr>
          <w:ilvl w:val="0"/>
          <w:numId w:val="58"/>
        </w:numPr>
        <w:tabs>
          <w:tab w:val="left" w:pos="1155"/>
        </w:tabs>
        <w:spacing w:before="172"/>
        <w:ind w:hanging="340"/>
        <w:rPr>
          <w:sz w:val="20"/>
        </w:rPr>
      </w:pPr>
      <w:r>
        <w:rPr>
          <w:sz w:val="20"/>
        </w:rPr>
        <w:t>Video-recorded</w:t>
      </w:r>
      <w:r>
        <w:rPr>
          <w:spacing w:val="-7"/>
          <w:sz w:val="20"/>
        </w:rPr>
        <w:t xml:space="preserve"> </w:t>
      </w:r>
      <w:r>
        <w:rPr>
          <w:sz w:val="20"/>
        </w:rPr>
        <w:t>evidence</w:t>
      </w:r>
      <w:r>
        <w:rPr>
          <w:spacing w:val="-5"/>
          <w:sz w:val="20"/>
        </w:rPr>
        <w:t xml:space="preserve"> </w:t>
      </w:r>
      <w:r>
        <w:rPr>
          <w:sz w:val="20"/>
        </w:rPr>
        <w:t>pilot</w:t>
      </w:r>
      <w:r>
        <w:rPr>
          <w:spacing w:val="-4"/>
          <w:sz w:val="20"/>
        </w:rPr>
        <w:t xml:space="preserve"> </w:t>
      </w:r>
      <w:r>
        <w:rPr>
          <w:sz w:val="20"/>
        </w:rPr>
        <w:t>–</w:t>
      </w:r>
      <w:r>
        <w:rPr>
          <w:spacing w:val="-5"/>
          <w:sz w:val="20"/>
        </w:rPr>
        <w:t xml:space="preserve"> </w:t>
      </w:r>
      <w:r>
        <w:rPr>
          <w:sz w:val="20"/>
        </w:rPr>
        <w:t>stakeholder</w:t>
      </w:r>
      <w:r>
        <w:rPr>
          <w:spacing w:val="-4"/>
          <w:sz w:val="20"/>
        </w:rPr>
        <w:t xml:space="preserve"> </w:t>
      </w:r>
      <w:r>
        <w:rPr>
          <w:spacing w:val="-2"/>
          <w:sz w:val="20"/>
        </w:rPr>
        <w:t>group.</w:t>
      </w:r>
    </w:p>
    <w:p w14:paraId="78375AAF" w14:textId="77777777" w:rsidR="00AC6F3C" w:rsidRDefault="00570E88">
      <w:pPr>
        <w:pStyle w:val="ListParagraph"/>
        <w:numPr>
          <w:ilvl w:val="0"/>
          <w:numId w:val="58"/>
        </w:numPr>
        <w:tabs>
          <w:tab w:val="left" w:pos="1155"/>
        </w:tabs>
        <w:ind w:hanging="340"/>
        <w:rPr>
          <w:sz w:val="20"/>
        </w:rPr>
      </w:pPr>
      <w:r>
        <w:rPr>
          <w:sz w:val="20"/>
        </w:rPr>
        <w:t>Consultation</w:t>
      </w:r>
      <w:r>
        <w:rPr>
          <w:spacing w:val="-7"/>
          <w:sz w:val="20"/>
        </w:rPr>
        <w:t xml:space="preserve"> </w:t>
      </w:r>
      <w:r>
        <w:rPr>
          <w:sz w:val="20"/>
        </w:rPr>
        <w:t>regarding</w:t>
      </w:r>
      <w:r>
        <w:rPr>
          <w:spacing w:val="-4"/>
          <w:sz w:val="20"/>
        </w:rPr>
        <w:t xml:space="preserve"> </w:t>
      </w:r>
      <w:r>
        <w:rPr>
          <w:sz w:val="20"/>
        </w:rPr>
        <w:t>the</w:t>
      </w:r>
      <w:r>
        <w:rPr>
          <w:spacing w:val="-4"/>
          <w:sz w:val="20"/>
        </w:rPr>
        <w:t xml:space="preserve"> </w:t>
      </w:r>
      <w:r>
        <w:rPr>
          <w:sz w:val="20"/>
        </w:rPr>
        <w:t>Draft</w:t>
      </w:r>
      <w:r>
        <w:rPr>
          <w:spacing w:val="-4"/>
          <w:sz w:val="20"/>
        </w:rPr>
        <w:t xml:space="preserve"> </w:t>
      </w:r>
      <w:r>
        <w:rPr>
          <w:sz w:val="20"/>
        </w:rPr>
        <w:t>National</w:t>
      </w:r>
      <w:r>
        <w:rPr>
          <w:spacing w:val="-4"/>
          <w:sz w:val="20"/>
        </w:rPr>
        <w:t xml:space="preserve"> </w:t>
      </w:r>
      <w:r>
        <w:rPr>
          <w:sz w:val="20"/>
        </w:rPr>
        <w:t>Principles</w:t>
      </w:r>
      <w:r>
        <w:rPr>
          <w:spacing w:val="-4"/>
          <w:sz w:val="20"/>
        </w:rPr>
        <w:t xml:space="preserve"> </w:t>
      </w:r>
      <w:r>
        <w:rPr>
          <w:sz w:val="20"/>
        </w:rPr>
        <w:t>to</w:t>
      </w:r>
      <w:r>
        <w:rPr>
          <w:spacing w:val="-14"/>
          <w:sz w:val="20"/>
        </w:rPr>
        <w:t xml:space="preserve"> </w:t>
      </w:r>
      <w:r>
        <w:rPr>
          <w:sz w:val="20"/>
        </w:rPr>
        <w:t>Address</w:t>
      </w:r>
      <w:r>
        <w:rPr>
          <w:spacing w:val="-4"/>
          <w:sz w:val="20"/>
        </w:rPr>
        <w:t xml:space="preserve"> </w:t>
      </w:r>
      <w:r>
        <w:rPr>
          <w:sz w:val="20"/>
        </w:rPr>
        <w:t>Coercive</w:t>
      </w:r>
      <w:r>
        <w:rPr>
          <w:spacing w:val="-4"/>
          <w:sz w:val="20"/>
        </w:rPr>
        <w:t xml:space="preserve"> </w:t>
      </w:r>
      <w:r>
        <w:rPr>
          <w:spacing w:val="-2"/>
          <w:sz w:val="20"/>
        </w:rPr>
        <w:t>Control.</w:t>
      </w:r>
    </w:p>
    <w:p w14:paraId="7E9ED5AB" w14:textId="77777777" w:rsidR="00AC6F3C" w:rsidRDefault="00570E88">
      <w:pPr>
        <w:pStyle w:val="ListParagraph"/>
        <w:numPr>
          <w:ilvl w:val="0"/>
          <w:numId w:val="58"/>
        </w:numPr>
        <w:tabs>
          <w:tab w:val="left" w:pos="1155"/>
        </w:tabs>
        <w:ind w:hanging="340"/>
        <w:rPr>
          <w:sz w:val="20"/>
        </w:rPr>
      </w:pPr>
      <w:r>
        <w:rPr>
          <w:sz w:val="20"/>
        </w:rPr>
        <w:t>Family</w:t>
      </w:r>
      <w:r>
        <w:rPr>
          <w:spacing w:val="-2"/>
          <w:sz w:val="20"/>
        </w:rPr>
        <w:t xml:space="preserve"> </w:t>
      </w:r>
      <w:r>
        <w:rPr>
          <w:sz w:val="20"/>
        </w:rPr>
        <w:t>Law</w:t>
      </w:r>
      <w:r>
        <w:rPr>
          <w:spacing w:val="-12"/>
          <w:sz w:val="20"/>
        </w:rPr>
        <w:t xml:space="preserve"> </w:t>
      </w:r>
      <w:r>
        <w:rPr>
          <w:sz w:val="20"/>
        </w:rPr>
        <w:t>Amendment</w:t>
      </w:r>
      <w:r>
        <w:rPr>
          <w:spacing w:val="-1"/>
          <w:sz w:val="20"/>
        </w:rPr>
        <w:t xml:space="preserve"> </w:t>
      </w:r>
      <w:r>
        <w:rPr>
          <w:sz w:val="20"/>
        </w:rPr>
        <w:t>Bill</w:t>
      </w:r>
      <w:r>
        <w:rPr>
          <w:spacing w:val="-1"/>
          <w:sz w:val="20"/>
        </w:rPr>
        <w:t xml:space="preserve"> </w:t>
      </w:r>
      <w:r>
        <w:rPr>
          <w:spacing w:val="-2"/>
          <w:sz w:val="20"/>
        </w:rPr>
        <w:t>2023.</w:t>
      </w:r>
    </w:p>
    <w:p w14:paraId="2E78091E" w14:textId="77777777" w:rsidR="00AC6F3C" w:rsidRDefault="00570E88">
      <w:pPr>
        <w:pStyle w:val="ListParagraph"/>
        <w:numPr>
          <w:ilvl w:val="0"/>
          <w:numId w:val="58"/>
        </w:numPr>
        <w:tabs>
          <w:tab w:val="left" w:pos="1155"/>
        </w:tabs>
        <w:spacing w:line="249" w:lineRule="auto"/>
        <w:ind w:right="189"/>
        <w:rPr>
          <w:sz w:val="20"/>
        </w:rPr>
      </w:pPr>
      <w:r>
        <w:rPr>
          <w:sz w:val="20"/>
        </w:rPr>
        <w:t>Contributed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QLS</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exposure</w:t>
      </w:r>
      <w:r>
        <w:rPr>
          <w:spacing w:val="-3"/>
          <w:sz w:val="20"/>
        </w:rPr>
        <w:t xml:space="preserve"> </w:t>
      </w:r>
      <w:r>
        <w:rPr>
          <w:sz w:val="20"/>
        </w:rPr>
        <w:t>draft</w:t>
      </w:r>
      <w:r>
        <w:rPr>
          <w:spacing w:val="-3"/>
          <w:sz w:val="20"/>
        </w:rPr>
        <w:t xml:space="preserve"> </w:t>
      </w:r>
      <w:r>
        <w:rPr>
          <w:sz w:val="20"/>
        </w:rPr>
        <w:t>Family</w:t>
      </w:r>
      <w:r>
        <w:rPr>
          <w:spacing w:val="-3"/>
          <w:sz w:val="20"/>
        </w:rPr>
        <w:t xml:space="preserve"> </w:t>
      </w:r>
      <w:r>
        <w:rPr>
          <w:sz w:val="20"/>
        </w:rPr>
        <w:t>Law</w:t>
      </w:r>
      <w:r>
        <w:rPr>
          <w:spacing w:val="-12"/>
          <w:sz w:val="20"/>
        </w:rPr>
        <w:t xml:space="preserve"> </w:t>
      </w:r>
      <w:r>
        <w:rPr>
          <w:sz w:val="20"/>
        </w:rPr>
        <w:t>Amendment Bill 2023, closely considering how the proposed amendments will improve safety for those who have or may experience family violence.</w:t>
      </w:r>
    </w:p>
    <w:p w14:paraId="4E029173" w14:textId="77777777" w:rsidR="00AC6F3C" w:rsidRDefault="00AC6F3C">
      <w:pPr>
        <w:pStyle w:val="BodyText"/>
        <w:spacing w:before="2"/>
        <w:rPr>
          <w:sz w:val="31"/>
        </w:rPr>
      </w:pPr>
    </w:p>
    <w:p w14:paraId="5392C28A" w14:textId="77777777" w:rsidR="00AC6F3C" w:rsidRDefault="00570E88">
      <w:pPr>
        <w:ind w:left="815"/>
        <w:rPr>
          <w:b/>
          <w:sz w:val="26"/>
        </w:rPr>
      </w:pPr>
      <w:r>
        <w:rPr>
          <w:b/>
          <w:sz w:val="26"/>
        </w:rPr>
        <w:t>Dispute</w:t>
      </w:r>
      <w:r>
        <w:rPr>
          <w:b/>
          <w:spacing w:val="-3"/>
          <w:sz w:val="26"/>
        </w:rPr>
        <w:t xml:space="preserve"> </w:t>
      </w:r>
      <w:r>
        <w:rPr>
          <w:b/>
          <w:sz w:val="26"/>
        </w:rPr>
        <w:t>Resolution</w:t>
      </w:r>
      <w:r>
        <w:rPr>
          <w:b/>
          <w:spacing w:val="-3"/>
          <w:sz w:val="26"/>
        </w:rPr>
        <w:t xml:space="preserve"> </w:t>
      </w:r>
      <w:r>
        <w:rPr>
          <w:b/>
          <w:spacing w:val="-2"/>
          <w:sz w:val="26"/>
        </w:rPr>
        <w:t>Committee</w:t>
      </w:r>
    </w:p>
    <w:p w14:paraId="403E1933" w14:textId="77777777" w:rsidR="00AC6F3C" w:rsidRDefault="00570E88">
      <w:pPr>
        <w:pStyle w:val="BodyText"/>
        <w:spacing w:before="168" w:line="249" w:lineRule="auto"/>
        <w:ind w:left="815" w:right="468"/>
      </w:pPr>
      <w:r>
        <w:t>The</w:t>
      </w:r>
      <w:r>
        <w:rPr>
          <w:spacing w:val="-3"/>
        </w:rPr>
        <w:t xml:space="preserve"> </w:t>
      </w:r>
      <w:r>
        <w:t>Dispute</w:t>
      </w:r>
      <w:r>
        <w:rPr>
          <w:spacing w:val="-3"/>
        </w:rPr>
        <w:t xml:space="preserve"> </w:t>
      </w:r>
      <w:r>
        <w:t>Resolution</w:t>
      </w:r>
      <w:r>
        <w:rPr>
          <w:spacing w:val="-3"/>
        </w:rPr>
        <w:t xml:space="preserve"> </w:t>
      </w:r>
      <w:r>
        <w:t>Committee</w:t>
      </w:r>
      <w:r>
        <w:rPr>
          <w:spacing w:val="-3"/>
        </w:rPr>
        <w:t xml:space="preserve"> </w:t>
      </w:r>
      <w:r>
        <w:t>has</w:t>
      </w:r>
      <w:r>
        <w:rPr>
          <w:spacing w:val="-3"/>
        </w:rPr>
        <w:t xml:space="preserve"> </w:t>
      </w:r>
      <w:r>
        <w:t>contributed</w:t>
      </w:r>
      <w:r>
        <w:rPr>
          <w:spacing w:val="-3"/>
        </w:rPr>
        <w:t xml:space="preserve"> </w:t>
      </w:r>
      <w:r>
        <w:t>to</w:t>
      </w:r>
      <w:r>
        <w:rPr>
          <w:spacing w:val="-3"/>
        </w:rPr>
        <w:t xml:space="preserve"> </w:t>
      </w:r>
      <w:proofErr w:type="gramStart"/>
      <w:r>
        <w:t>3</w:t>
      </w:r>
      <w:proofErr w:type="gramEnd"/>
      <w:r>
        <w:rPr>
          <w:spacing w:val="-3"/>
        </w:rPr>
        <w:t xml:space="preserve"> </w:t>
      </w:r>
      <w:r>
        <w:t>submissions</w:t>
      </w:r>
      <w:r>
        <w:rPr>
          <w:spacing w:val="-3"/>
        </w:rPr>
        <w:t xml:space="preserve"> </w:t>
      </w:r>
      <w:r>
        <w:t>and</w:t>
      </w:r>
      <w:r>
        <w:rPr>
          <w:spacing w:val="-3"/>
        </w:rPr>
        <w:t xml:space="preserve"> </w:t>
      </w:r>
      <w:r>
        <w:t>5</w:t>
      </w:r>
      <w:r>
        <w:rPr>
          <w:spacing w:val="-3"/>
        </w:rPr>
        <w:t xml:space="preserve"> </w:t>
      </w:r>
      <w:r>
        <w:t>stakeholder</w:t>
      </w:r>
      <w:r>
        <w:rPr>
          <w:spacing w:val="-3"/>
        </w:rPr>
        <w:t xml:space="preserve"> </w:t>
      </w:r>
      <w:r>
        <w:t>consultations during this financial year.</w:t>
      </w:r>
    </w:p>
    <w:p w14:paraId="2959970A" w14:textId="77777777" w:rsidR="00AC6F3C" w:rsidRDefault="00AC6F3C">
      <w:pPr>
        <w:pStyle w:val="BodyText"/>
        <w:spacing w:before="9"/>
        <w:rPr>
          <w:sz w:val="22"/>
        </w:rPr>
      </w:pPr>
    </w:p>
    <w:p w14:paraId="6D04287B" w14:textId="77777777" w:rsidR="00AC6F3C" w:rsidRDefault="00570E88">
      <w:pPr>
        <w:pStyle w:val="Heading9"/>
      </w:pPr>
      <w:r>
        <w:t>Dispute</w:t>
      </w:r>
      <w:r>
        <w:rPr>
          <w:spacing w:val="-2"/>
        </w:rPr>
        <w:t xml:space="preserve"> </w:t>
      </w:r>
      <w:r>
        <w:t>Resolution</w:t>
      </w:r>
      <w:r>
        <w:rPr>
          <w:spacing w:val="-1"/>
        </w:rPr>
        <w:t xml:space="preserve"> </w:t>
      </w:r>
      <w:r>
        <w:t>in</w:t>
      </w:r>
      <w:r>
        <w:rPr>
          <w:spacing w:val="-1"/>
        </w:rPr>
        <w:t xml:space="preserve"> </w:t>
      </w:r>
      <w:r>
        <w:t>the</w:t>
      </w:r>
      <w:r>
        <w:rPr>
          <w:spacing w:val="-2"/>
        </w:rPr>
        <w:t xml:space="preserve"> </w:t>
      </w:r>
      <w:r>
        <w:t>Federal</w:t>
      </w:r>
      <w:r>
        <w:rPr>
          <w:spacing w:val="-1"/>
        </w:rPr>
        <w:t xml:space="preserve"> </w:t>
      </w:r>
      <w:r>
        <w:t>Circuit</w:t>
      </w:r>
      <w:r>
        <w:rPr>
          <w:spacing w:val="-1"/>
        </w:rPr>
        <w:t xml:space="preserve"> </w:t>
      </w:r>
      <w:r>
        <w:t>and</w:t>
      </w:r>
      <w:r>
        <w:rPr>
          <w:spacing w:val="-2"/>
        </w:rPr>
        <w:t xml:space="preserve"> </w:t>
      </w:r>
      <w:r>
        <w:t>Family</w:t>
      </w:r>
      <w:r>
        <w:rPr>
          <w:spacing w:val="-1"/>
        </w:rPr>
        <w:t xml:space="preserve"> </w:t>
      </w:r>
      <w:r>
        <w:t>Court</w:t>
      </w:r>
      <w:r>
        <w:rPr>
          <w:spacing w:val="-1"/>
        </w:rPr>
        <w:t xml:space="preserve"> </w:t>
      </w:r>
      <w:r>
        <w:t>of</w:t>
      </w:r>
      <w:r>
        <w:rPr>
          <w:spacing w:val="-10"/>
        </w:rPr>
        <w:t xml:space="preserve"> </w:t>
      </w:r>
      <w:r>
        <w:rPr>
          <w:spacing w:val="-2"/>
        </w:rPr>
        <w:t>Australia</w:t>
      </w:r>
    </w:p>
    <w:p w14:paraId="5391EC52" w14:textId="77777777" w:rsidR="00AC6F3C" w:rsidRDefault="00570E88">
      <w:pPr>
        <w:pStyle w:val="ListParagraph"/>
        <w:numPr>
          <w:ilvl w:val="0"/>
          <w:numId w:val="58"/>
        </w:numPr>
        <w:tabs>
          <w:tab w:val="left" w:pos="1155"/>
        </w:tabs>
        <w:spacing w:before="176"/>
        <w:ind w:hanging="340"/>
        <w:rPr>
          <w:sz w:val="20"/>
        </w:rPr>
      </w:pPr>
      <w:r>
        <w:rPr>
          <w:sz w:val="20"/>
        </w:rPr>
        <w:t>Committee</w:t>
      </w:r>
      <w:r>
        <w:rPr>
          <w:spacing w:val="-5"/>
          <w:sz w:val="20"/>
        </w:rPr>
        <w:t xml:space="preserve"> </w:t>
      </w:r>
      <w:r>
        <w:rPr>
          <w:sz w:val="20"/>
        </w:rPr>
        <w:t>has</w:t>
      </w:r>
      <w:r>
        <w:rPr>
          <w:spacing w:val="-3"/>
          <w:sz w:val="20"/>
        </w:rPr>
        <w:t xml:space="preserve"> </w:t>
      </w:r>
      <w:r>
        <w:rPr>
          <w:sz w:val="20"/>
        </w:rPr>
        <w:t>been</w:t>
      </w:r>
      <w:r>
        <w:rPr>
          <w:spacing w:val="-3"/>
          <w:sz w:val="20"/>
        </w:rPr>
        <w:t xml:space="preserve"> </w:t>
      </w:r>
      <w:r>
        <w:rPr>
          <w:sz w:val="20"/>
        </w:rPr>
        <w:t>looking</w:t>
      </w:r>
      <w:r>
        <w:rPr>
          <w:spacing w:val="-3"/>
          <w:sz w:val="20"/>
        </w:rPr>
        <w:t xml:space="preserve"> </w:t>
      </w:r>
      <w:r>
        <w:rPr>
          <w:sz w:val="20"/>
        </w:rPr>
        <w:t>at</w:t>
      </w:r>
      <w:r>
        <w:rPr>
          <w:spacing w:val="-3"/>
          <w:sz w:val="20"/>
        </w:rPr>
        <w:t xml:space="preserve"> </w:t>
      </w:r>
      <w:r>
        <w:rPr>
          <w:sz w:val="20"/>
        </w:rPr>
        <w:t>dispute</w:t>
      </w:r>
      <w:r>
        <w:rPr>
          <w:spacing w:val="-3"/>
          <w:sz w:val="20"/>
        </w:rPr>
        <w:t xml:space="preserve"> </w:t>
      </w:r>
      <w:r>
        <w:rPr>
          <w:sz w:val="20"/>
        </w:rPr>
        <w:t>resolution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Federal</w:t>
      </w:r>
      <w:r>
        <w:rPr>
          <w:spacing w:val="-3"/>
          <w:sz w:val="20"/>
        </w:rPr>
        <w:t xml:space="preserve"> </w:t>
      </w:r>
      <w:r>
        <w:rPr>
          <w:sz w:val="20"/>
        </w:rPr>
        <w:t>Circuit</w:t>
      </w:r>
      <w:r>
        <w:rPr>
          <w:spacing w:val="-2"/>
          <w:sz w:val="20"/>
        </w:rPr>
        <w:t xml:space="preserve"> </w:t>
      </w:r>
      <w:r>
        <w:rPr>
          <w:sz w:val="20"/>
        </w:rPr>
        <w:t>and</w:t>
      </w:r>
      <w:r>
        <w:rPr>
          <w:spacing w:val="-3"/>
          <w:sz w:val="20"/>
        </w:rPr>
        <w:t xml:space="preserve"> </w:t>
      </w:r>
      <w:r>
        <w:rPr>
          <w:sz w:val="20"/>
        </w:rPr>
        <w:t>Family</w:t>
      </w:r>
      <w:r>
        <w:rPr>
          <w:spacing w:val="-3"/>
          <w:sz w:val="20"/>
        </w:rPr>
        <w:t xml:space="preserve"> </w:t>
      </w:r>
      <w:r>
        <w:rPr>
          <w:sz w:val="20"/>
        </w:rPr>
        <w:t>Court</w:t>
      </w:r>
      <w:r>
        <w:rPr>
          <w:spacing w:val="-3"/>
          <w:sz w:val="20"/>
        </w:rPr>
        <w:t xml:space="preserve"> </w:t>
      </w:r>
      <w:r>
        <w:rPr>
          <w:sz w:val="20"/>
        </w:rPr>
        <w:t>of</w:t>
      </w:r>
      <w:r>
        <w:rPr>
          <w:spacing w:val="-13"/>
          <w:sz w:val="20"/>
        </w:rPr>
        <w:t xml:space="preserve"> </w:t>
      </w:r>
      <w:r>
        <w:rPr>
          <w:spacing w:val="-2"/>
          <w:sz w:val="20"/>
        </w:rPr>
        <w:t>Australia.</w:t>
      </w:r>
    </w:p>
    <w:p w14:paraId="2023E686" w14:textId="77777777" w:rsidR="00AC6F3C" w:rsidRDefault="00570E88">
      <w:pPr>
        <w:pStyle w:val="ListParagraph"/>
        <w:numPr>
          <w:ilvl w:val="0"/>
          <w:numId w:val="58"/>
        </w:numPr>
        <w:tabs>
          <w:tab w:val="left" w:pos="1155"/>
        </w:tabs>
        <w:spacing w:line="249" w:lineRule="auto"/>
        <w:ind w:right="245"/>
        <w:rPr>
          <w:sz w:val="20"/>
        </w:rPr>
      </w:pPr>
      <w:r>
        <w:rPr>
          <w:sz w:val="20"/>
        </w:rPr>
        <w:t>In September 2022, representatives of the QLS Dispute Resolution Committee met with judicial members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Federal</w:t>
      </w:r>
      <w:r>
        <w:rPr>
          <w:spacing w:val="-3"/>
          <w:sz w:val="20"/>
        </w:rPr>
        <w:t xml:space="preserve"> </w:t>
      </w:r>
      <w:r>
        <w:rPr>
          <w:sz w:val="20"/>
        </w:rPr>
        <w:t>Circuit</w:t>
      </w:r>
      <w:r>
        <w:rPr>
          <w:spacing w:val="-3"/>
          <w:sz w:val="20"/>
        </w:rPr>
        <w:t xml:space="preserve"> </w:t>
      </w:r>
      <w:r>
        <w:rPr>
          <w:sz w:val="20"/>
        </w:rPr>
        <w:t>and</w:t>
      </w:r>
      <w:r>
        <w:rPr>
          <w:spacing w:val="-3"/>
          <w:sz w:val="20"/>
        </w:rPr>
        <w:t xml:space="preserve"> </w:t>
      </w:r>
      <w:r>
        <w:rPr>
          <w:sz w:val="20"/>
        </w:rPr>
        <w:t>Family</w:t>
      </w:r>
      <w:r>
        <w:rPr>
          <w:spacing w:val="-3"/>
          <w:sz w:val="20"/>
        </w:rPr>
        <w:t xml:space="preserve"> </w:t>
      </w:r>
      <w:r>
        <w:rPr>
          <w:sz w:val="20"/>
        </w:rPr>
        <w:t>Court</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to</w:t>
      </w:r>
      <w:r>
        <w:rPr>
          <w:spacing w:val="-3"/>
          <w:sz w:val="20"/>
        </w:rPr>
        <w:t xml:space="preserve"> </w:t>
      </w:r>
      <w:r>
        <w:rPr>
          <w:sz w:val="20"/>
        </w:rPr>
        <w:t>discuss</w:t>
      </w:r>
      <w:r>
        <w:rPr>
          <w:spacing w:val="-3"/>
          <w:sz w:val="20"/>
        </w:rPr>
        <w:t xml:space="preserve"> </w:t>
      </w:r>
      <w:r>
        <w:rPr>
          <w:sz w:val="20"/>
        </w:rPr>
        <w:t>the</w:t>
      </w:r>
      <w:r>
        <w:rPr>
          <w:spacing w:val="-3"/>
          <w:sz w:val="20"/>
        </w:rPr>
        <w:t xml:space="preserve"> </w:t>
      </w:r>
      <w:r>
        <w:rPr>
          <w:sz w:val="20"/>
        </w:rPr>
        <w:t>role</w:t>
      </w:r>
      <w:r>
        <w:rPr>
          <w:spacing w:val="-3"/>
          <w:sz w:val="20"/>
        </w:rPr>
        <w:t xml:space="preserve"> </w:t>
      </w:r>
      <w:r>
        <w:rPr>
          <w:sz w:val="20"/>
        </w:rPr>
        <w:t>of</w:t>
      </w:r>
      <w:r>
        <w:rPr>
          <w:spacing w:val="-3"/>
          <w:sz w:val="20"/>
        </w:rPr>
        <w:t xml:space="preserve"> </w:t>
      </w:r>
      <w:r>
        <w:rPr>
          <w:sz w:val="20"/>
        </w:rPr>
        <w:t>dispute</w:t>
      </w:r>
      <w:r>
        <w:rPr>
          <w:spacing w:val="-3"/>
          <w:sz w:val="20"/>
        </w:rPr>
        <w:t xml:space="preserve"> </w:t>
      </w:r>
      <w:r>
        <w:rPr>
          <w:sz w:val="20"/>
        </w:rPr>
        <w:t xml:space="preserve">resolution in proceedings in the court, see Proctor article </w:t>
      </w:r>
      <w:r>
        <w:rPr>
          <w:b/>
          <w:sz w:val="20"/>
          <w:u w:val="single"/>
        </w:rPr>
        <w:t>qlsproctor.com.au/2022/09/committee-gains-</w:t>
      </w:r>
      <w:r>
        <w:rPr>
          <w:b/>
          <w:sz w:val="20"/>
        </w:rPr>
        <w:t xml:space="preserve"> </w:t>
      </w:r>
      <w:r>
        <w:rPr>
          <w:b/>
          <w:spacing w:val="-2"/>
          <w:sz w:val="20"/>
          <w:u w:val="single"/>
        </w:rPr>
        <w:t>insights-into-dispute-resolution-in-the-</w:t>
      </w:r>
      <w:proofErr w:type="spellStart"/>
      <w:r>
        <w:rPr>
          <w:b/>
          <w:spacing w:val="-2"/>
          <w:sz w:val="20"/>
          <w:u w:val="single"/>
        </w:rPr>
        <w:t>fcfcoa</w:t>
      </w:r>
      <w:proofErr w:type="spellEnd"/>
      <w:r>
        <w:rPr>
          <w:b/>
          <w:spacing w:val="-2"/>
          <w:sz w:val="20"/>
          <w:u w:val="single"/>
        </w:rPr>
        <w:t>/</w:t>
      </w:r>
      <w:r>
        <w:rPr>
          <w:spacing w:val="-2"/>
          <w:sz w:val="20"/>
        </w:rPr>
        <w:t>.</w:t>
      </w:r>
    </w:p>
    <w:p w14:paraId="1C4F6944" w14:textId="77777777" w:rsidR="00AC6F3C" w:rsidRDefault="00570E88">
      <w:pPr>
        <w:pStyle w:val="ListParagraph"/>
        <w:numPr>
          <w:ilvl w:val="0"/>
          <w:numId w:val="58"/>
        </w:numPr>
        <w:tabs>
          <w:tab w:val="left" w:pos="1155"/>
        </w:tabs>
        <w:spacing w:before="173"/>
        <w:ind w:hanging="340"/>
        <w:rPr>
          <w:sz w:val="20"/>
        </w:rPr>
      </w:pPr>
      <w:r>
        <w:rPr>
          <w:spacing w:val="-4"/>
          <w:sz w:val="20"/>
        </w:rPr>
        <w:t>Discussed</w:t>
      </w:r>
      <w:r>
        <w:rPr>
          <w:spacing w:val="-3"/>
          <w:sz w:val="20"/>
        </w:rPr>
        <w:t xml:space="preserve"> </w:t>
      </w:r>
      <w:r>
        <w:rPr>
          <w:spacing w:val="-4"/>
          <w:sz w:val="20"/>
        </w:rPr>
        <w:t>seeking</w:t>
      </w:r>
      <w:r>
        <w:rPr>
          <w:spacing w:val="-3"/>
          <w:sz w:val="20"/>
        </w:rPr>
        <w:t xml:space="preserve"> </w:t>
      </w:r>
      <w:r>
        <w:rPr>
          <w:spacing w:val="-4"/>
          <w:sz w:val="20"/>
        </w:rPr>
        <w:t>feedback</w:t>
      </w:r>
      <w:r>
        <w:rPr>
          <w:spacing w:val="-1"/>
          <w:sz w:val="20"/>
        </w:rPr>
        <w:t xml:space="preserve"> </w:t>
      </w:r>
      <w:r>
        <w:rPr>
          <w:spacing w:val="-4"/>
          <w:sz w:val="20"/>
        </w:rPr>
        <w:t>about</w:t>
      </w:r>
      <w:r>
        <w:rPr>
          <w:spacing w:val="-1"/>
          <w:sz w:val="20"/>
        </w:rPr>
        <w:t xml:space="preserve"> </w:t>
      </w:r>
      <w:r>
        <w:rPr>
          <w:spacing w:val="-4"/>
          <w:sz w:val="20"/>
        </w:rPr>
        <w:t>practitioner</w:t>
      </w:r>
      <w:r>
        <w:rPr>
          <w:spacing w:val="-2"/>
          <w:sz w:val="20"/>
        </w:rPr>
        <w:t xml:space="preserve"> </w:t>
      </w:r>
      <w:r>
        <w:rPr>
          <w:spacing w:val="-4"/>
          <w:sz w:val="20"/>
        </w:rPr>
        <w:t>considerations</w:t>
      </w:r>
      <w:r>
        <w:rPr>
          <w:spacing w:val="-1"/>
          <w:sz w:val="20"/>
        </w:rPr>
        <w:t xml:space="preserve"> </w:t>
      </w:r>
      <w:r>
        <w:rPr>
          <w:spacing w:val="-4"/>
          <w:sz w:val="20"/>
        </w:rPr>
        <w:t>in</w:t>
      </w:r>
      <w:r>
        <w:rPr>
          <w:spacing w:val="-3"/>
          <w:sz w:val="20"/>
        </w:rPr>
        <w:t xml:space="preserve"> </w:t>
      </w:r>
      <w:proofErr w:type="spellStart"/>
      <w:r>
        <w:rPr>
          <w:spacing w:val="-4"/>
          <w:sz w:val="20"/>
        </w:rPr>
        <w:t>utilising</w:t>
      </w:r>
      <w:proofErr w:type="spellEnd"/>
      <w:r>
        <w:rPr>
          <w:spacing w:val="-2"/>
          <w:sz w:val="20"/>
        </w:rPr>
        <w:t xml:space="preserve"> </w:t>
      </w:r>
      <w:r>
        <w:rPr>
          <w:spacing w:val="-4"/>
          <w:sz w:val="20"/>
        </w:rPr>
        <w:t>arbitration</w:t>
      </w:r>
      <w:r>
        <w:rPr>
          <w:spacing w:val="-3"/>
          <w:sz w:val="20"/>
        </w:rPr>
        <w:t xml:space="preserve"> </w:t>
      </w:r>
      <w:r>
        <w:rPr>
          <w:spacing w:val="-4"/>
          <w:sz w:val="20"/>
        </w:rPr>
        <w:t>in</w:t>
      </w:r>
      <w:r>
        <w:rPr>
          <w:spacing w:val="-2"/>
          <w:sz w:val="20"/>
        </w:rPr>
        <w:t xml:space="preserve"> </w:t>
      </w:r>
      <w:r>
        <w:rPr>
          <w:spacing w:val="-4"/>
          <w:sz w:val="20"/>
        </w:rPr>
        <w:t>family</w:t>
      </w:r>
      <w:r>
        <w:rPr>
          <w:spacing w:val="-2"/>
          <w:sz w:val="20"/>
        </w:rPr>
        <w:t xml:space="preserve"> </w:t>
      </w:r>
      <w:r>
        <w:rPr>
          <w:spacing w:val="-4"/>
          <w:sz w:val="20"/>
        </w:rPr>
        <w:t>law</w:t>
      </w:r>
      <w:r>
        <w:rPr>
          <w:spacing w:val="-2"/>
          <w:sz w:val="20"/>
        </w:rPr>
        <w:t xml:space="preserve"> </w:t>
      </w:r>
      <w:r>
        <w:rPr>
          <w:spacing w:val="-4"/>
          <w:sz w:val="20"/>
        </w:rPr>
        <w:t>disputes.</w:t>
      </w:r>
    </w:p>
    <w:p w14:paraId="2D860D3A" w14:textId="77777777" w:rsidR="00AC6F3C" w:rsidRDefault="00AC6F3C">
      <w:pPr>
        <w:pStyle w:val="BodyText"/>
        <w:spacing w:before="6"/>
        <w:rPr>
          <w:sz w:val="23"/>
        </w:rPr>
      </w:pPr>
    </w:p>
    <w:p w14:paraId="0AB63467" w14:textId="77777777" w:rsidR="00AC6F3C" w:rsidRDefault="00570E88">
      <w:pPr>
        <w:pStyle w:val="Heading9"/>
      </w:pPr>
      <w:r>
        <w:t>Family</w:t>
      </w:r>
      <w:r>
        <w:rPr>
          <w:spacing w:val="-5"/>
        </w:rPr>
        <w:t xml:space="preserve"> </w:t>
      </w:r>
      <w:r>
        <w:t>Law</w:t>
      </w:r>
      <w:r>
        <w:rPr>
          <w:spacing w:val="-3"/>
        </w:rPr>
        <w:t xml:space="preserve"> </w:t>
      </w:r>
      <w:r>
        <w:t>Dispute</w:t>
      </w:r>
      <w:r>
        <w:rPr>
          <w:spacing w:val="-3"/>
        </w:rPr>
        <w:t xml:space="preserve"> </w:t>
      </w:r>
      <w:r>
        <w:t>Resolution</w:t>
      </w:r>
      <w:r>
        <w:rPr>
          <w:spacing w:val="-2"/>
        </w:rPr>
        <w:t xml:space="preserve"> Survey</w:t>
      </w:r>
    </w:p>
    <w:p w14:paraId="0B050E17" w14:textId="77777777" w:rsidR="00AC6F3C" w:rsidRDefault="00570E88">
      <w:pPr>
        <w:pStyle w:val="ListParagraph"/>
        <w:numPr>
          <w:ilvl w:val="0"/>
          <w:numId w:val="58"/>
        </w:numPr>
        <w:tabs>
          <w:tab w:val="left" w:pos="1155"/>
        </w:tabs>
        <w:spacing w:before="176" w:line="249" w:lineRule="auto"/>
        <w:ind w:right="204"/>
        <w:rPr>
          <w:sz w:val="20"/>
        </w:rPr>
      </w:pPr>
      <w:r>
        <w:rPr>
          <w:sz w:val="20"/>
        </w:rPr>
        <w:t>Subsequently,</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start</w:t>
      </w:r>
      <w:r>
        <w:rPr>
          <w:spacing w:val="-4"/>
          <w:sz w:val="20"/>
        </w:rPr>
        <w:t xml:space="preserve"> </w:t>
      </w:r>
      <w:r>
        <w:rPr>
          <w:sz w:val="20"/>
        </w:rPr>
        <w:t>of</w:t>
      </w:r>
      <w:r>
        <w:rPr>
          <w:spacing w:val="-4"/>
          <w:sz w:val="20"/>
        </w:rPr>
        <w:t xml:space="preserve"> </w:t>
      </w:r>
      <w:r>
        <w:rPr>
          <w:sz w:val="20"/>
        </w:rPr>
        <w:t>February</w:t>
      </w:r>
      <w:r>
        <w:rPr>
          <w:spacing w:val="-4"/>
          <w:sz w:val="20"/>
        </w:rPr>
        <w:t xml:space="preserve"> </w:t>
      </w:r>
      <w:r>
        <w:rPr>
          <w:sz w:val="20"/>
        </w:rPr>
        <w:t>2023</w:t>
      </w:r>
      <w:r>
        <w:rPr>
          <w:spacing w:val="-4"/>
          <w:sz w:val="20"/>
        </w:rPr>
        <w:t xml:space="preserve"> </w:t>
      </w:r>
      <w:r>
        <w:rPr>
          <w:sz w:val="20"/>
        </w:rPr>
        <w:t>QLS</w:t>
      </w:r>
      <w:r>
        <w:rPr>
          <w:spacing w:val="-4"/>
          <w:sz w:val="20"/>
        </w:rPr>
        <w:t xml:space="preserve"> </w:t>
      </w:r>
      <w:r>
        <w:rPr>
          <w:sz w:val="20"/>
        </w:rPr>
        <w:t>released</w:t>
      </w:r>
      <w:r>
        <w:rPr>
          <w:spacing w:val="-4"/>
          <w:sz w:val="20"/>
        </w:rPr>
        <w:t xml:space="preserve"> </w:t>
      </w:r>
      <w:r>
        <w:rPr>
          <w:sz w:val="20"/>
        </w:rPr>
        <w:t>the</w:t>
      </w:r>
      <w:r>
        <w:rPr>
          <w:spacing w:val="-4"/>
          <w:sz w:val="20"/>
        </w:rPr>
        <w:t xml:space="preserve"> </w:t>
      </w:r>
      <w:r>
        <w:rPr>
          <w:sz w:val="20"/>
        </w:rPr>
        <w:t>Family</w:t>
      </w:r>
      <w:r>
        <w:rPr>
          <w:spacing w:val="-4"/>
          <w:sz w:val="20"/>
        </w:rPr>
        <w:t xml:space="preserve"> </w:t>
      </w:r>
      <w:r>
        <w:rPr>
          <w:sz w:val="20"/>
        </w:rPr>
        <w:t>Law</w:t>
      </w:r>
      <w:r>
        <w:rPr>
          <w:spacing w:val="-4"/>
          <w:sz w:val="20"/>
        </w:rPr>
        <w:t xml:space="preserve"> </w:t>
      </w:r>
      <w:r>
        <w:rPr>
          <w:sz w:val="20"/>
        </w:rPr>
        <w:t>Dispute</w:t>
      </w:r>
      <w:r>
        <w:rPr>
          <w:spacing w:val="-4"/>
          <w:sz w:val="20"/>
        </w:rPr>
        <w:t xml:space="preserve"> </w:t>
      </w:r>
      <w:r>
        <w:rPr>
          <w:sz w:val="20"/>
        </w:rPr>
        <w:t>Resolution</w:t>
      </w:r>
      <w:r>
        <w:rPr>
          <w:spacing w:val="-4"/>
          <w:sz w:val="20"/>
        </w:rPr>
        <w:t xml:space="preserve"> </w:t>
      </w:r>
      <w:r>
        <w:rPr>
          <w:sz w:val="20"/>
        </w:rPr>
        <w:t xml:space="preserve">Survey which has sought to hear from family law practitioners about their experiences in family dispute resolution. The survey </w:t>
      </w:r>
      <w:proofErr w:type="gramStart"/>
      <w:r>
        <w:rPr>
          <w:sz w:val="20"/>
        </w:rPr>
        <w:t>was developed</w:t>
      </w:r>
      <w:proofErr w:type="gramEnd"/>
      <w:r>
        <w:rPr>
          <w:sz w:val="20"/>
        </w:rPr>
        <w:t xml:space="preserve"> in consultation with members of the QLS Dispute Resolution and Family Law Committees and a draft of the survey was also provided to the court for input.</w:t>
      </w:r>
    </w:p>
    <w:p w14:paraId="5BFA4472" w14:textId="77777777" w:rsidR="00AC6F3C" w:rsidRDefault="00570E88">
      <w:pPr>
        <w:pStyle w:val="ListParagraph"/>
        <w:numPr>
          <w:ilvl w:val="0"/>
          <w:numId w:val="58"/>
        </w:numPr>
        <w:tabs>
          <w:tab w:val="left" w:pos="1155"/>
        </w:tabs>
        <w:spacing w:before="173" w:line="249" w:lineRule="auto"/>
        <w:ind w:right="205"/>
        <w:rPr>
          <w:sz w:val="20"/>
        </w:rPr>
      </w:pPr>
      <w:r>
        <w:rPr>
          <w:sz w:val="20"/>
        </w:rPr>
        <w:t>The</w:t>
      </w:r>
      <w:r>
        <w:rPr>
          <w:spacing w:val="-3"/>
          <w:sz w:val="20"/>
        </w:rPr>
        <w:t xml:space="preserve"> </w:t>
      </w:r>
      <w:r>
        <w:rPr>
          <w:sz w:val="20"/>
        </w:rPr>
        <w:t>survey</w:t>
      </w:r>
      <w:r>
        <w:rPr>
          <w:spacing w:val="-3"/>
          <w:sz w:val="20"/>
        </w:rPr>
        <w:t xml:space="preserve"> </w:t>
      </w:r>
      <w:r>
        <w:rPr>
          <w:sz w:val="20"/>
        </w:rPr>
        <w:t>closed</w:t>
      </w:r>
      <w:r>
        <w:rPr>
          <w:spacing w:val="-3"/>
          <w:sz w:val="20"/>
        </w:rPr>
        <w:t xml:space="preserve"> </w:t>
      </w:r>
      <w:r>
        <w:rPr>
          <w:sz w:val="20"/>
        </w:rPr>
        <w:t>in</w:t>
      </w:r>
      <w:r>
        <w:rPr>
          <w:spacing w:val="-3"/>
          <w:sz w:val="20"/>
        </w:rPr>
        <w:t xml:space="preserve"> </w:t>
      </w:r>
      <w:r>
        <w:rPr>
          <w:sz w:val="20"/>
        </w:rPr>
        <w:t>March</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positive</w:t>
      </w:r>
      <w:r>
        <w:rPr>
          <w:spacing w:val="-3"/>
          <w:sz w:val="20"/>
        </w:rPr>
        <w:t xml:space="preserve"> </w:t>
      </w:r>
      <w:r>
        <w:rPr>
          <w:sz w:val="20"/>
        </w:rPr>
        <w:t>response</w:t>
      </w:r>
      <w:r>
        <w:rPr>
          <w:spacing w:val="-3"/>
          <w:sz w:val="20"/>
        </w:rPr>
        <w:t xml:space="preserve"> </w:t>
      </w:r>
      <w:r>
        <w:rPr>
          <w:sz w:val="20"/>
        </w:rPr>
        <w:t>rate.</w:t>
      </w:r>
      <w:r>
        <w:rPr>
          <w:spacing w:val="-7"/>
          <w:sz w:val="20"/>
        </w:rPr>
        <w:t xml:space="preserve"> </w:t>
      </w:r>
      <w:r>
        <w:rPr>
          <w:sz w:val="20"/>
        </w:rPr>
        <w:t>The</w:t>
      </w:r>
      <w:r>
        <w:rPr>
          <w:spacing w:val="-3"/>
          <w:sz w:val="20"/>
        </w:rPr>
        <w:t xml:space="preserve"> </w:t>
      </w:r>
      <w:r>
        <w:rPr>
          <w:sz w:val="20"/>
        </w:rPr>
        <w:t>responses</w:t>
      </w:r>
      <w:r>
        <w:rPr>
          <w:spacing w:val="-3"/>
          <w:sz w:val="20"/>
        </w:rPr>
        <w:t xml:space="preserve"> </w:t>
      </w:r>
      <w:r>
        <w:rPr>
          <w:sz w:val="20"/>
        </w:rPr>
        <w:t>are</w:t>
      </w:r>
      <w:r>
        <w:rPr>
          <w:spacing w:val="-3"/>
          <w:sz w:val="20"/>
        </w:rPr>
        <w:t xml:space="preserve"> </w:t>
      </w:r>
      <w:r>
        <w:rPr>
          <w:sz w:val="20"/>
        </w:rPr>
        <w:t>currently</w:t>
      </w:r>
      <w:r>
        <w:rPr>
          <w:spacing w:val="-3"/>
          <w:sz w:val="20"/>
        </w:rPr>
        <w:t xml:space="preserve"> </w:t>
      </w:r>
      <w:proofErr w:type="gramStart"/>
      <w:r>
        <w:rPr>
          <w:sz w:val="20"/>
        </w:rPr>
        <w:t>being</w:t>
      </w:r>
      <w:r>
        <w:rPr>
          <w:spacing w:val="-3"/>
          <w:sz w:val="20"/>
        </w:rPr>
        <w:t xml:space="preserve"> </w:t>
      </w:r>
      <w:r>
        <w:rPr>
          <w:sz w:val="20"/>
        </w:rPr>
        <w:t>collated</w:t>
      </w:r>
      <w:proofErr w:type="gramEnd"/>
      <w:r>
        <w:rPr>
          <w:sz w:val="20"/>
        </w:rPr>
        <w:t xml:space="preserve"> for a report which will be shared with the Committee and with the court in the coming weeks.</w:t>
      </w:r>
    </w:p>
    <w:p w14:paraId="2B20BD2E" w14:textId="77777777" w:rsidR="00AC6F3C" w:rsidRDefault="00AC6F3C">
      <w:pPr>
        <w:pStyle w:val="BodyText"/>
        <w:spacing w:before="9"/>
        <w:rPr>
          <w:sz w:val="22"/>
        </w:rPr>
      </w:pPr>
    </w:p>
    <w:p w14:paraId="2206598A" w14:textId="77777777" w:rsidR="00AC6F3C" w:rsidRDefault="00570E88">
      <w:pPr>
        <w:pStyle w:val="Heading9"/>
        <w:spacing w:line="249" w:lineRule="auto"/>
        <w:ind w:right="1183"/>
      </w:pPr>
      <w:r>
        <w:t>Scheme</w:t>
      </w:r>
      <w:r>
        <w:rPr>
          <w:spacing w:val="-4"/>
        </w:rPr>
        <w:t xml:space="preserve"> </w:t>
      </w:r>
      <w:r>
        <w:t>for</w:t>
      </w:r>
      <w:r>
        <w:rPr>
          <w:spacing w:val="-4"/>
        </w:rPr>
        <w:t xml:space="preserve"> </w:t>
      </w:r>
      <w:r>
        <w:t>Pro</w:t>
      </w:r>
      <w:r>
        <w:rPr>
          <w:spacing w:val="-4"/>
        </w:rPr>
        <w:t xml:space="preserve"> </w:t>
      </w:r>
      <w:r>
        <w:t>Bono</w:t>
      </w:r>
      <w:r>
        <w:rPr>
          <w:spacing w:val="-4"/>
        </w:rPr>
        <w:t xml:space="preserve"> </w:t>
      </w:r>
      <w:r>
        <w:t>Mediation</w:t>
      </w:r>
      <w:r>
        <w:rPr>
          <w:spacing w:val="-4"/>
        </w:rPr>
        <w:t xml:space="preserve"> </w:t>
      </w:r>
      <w:r>
        <w:t>of</w:t>
      </w:r>
      <w:r>
        <w:rPr>
          <w:spacing w:val="-4"/>
        </w:rPr>
        <w:t xml:space="preserve"> </w:t>
      </w:r>
      <w:r>
        <w:t>Claims</w:t>
      </w:r>
      <w:r>
        <w:rPr>
          <w:spacing w:val="-4"/>
        </w:rPr>
        <w:t xml:space="preserve"> </w:t>
      </w:r>
      <w:r>
        <w:t>involving</w:t>
      </w:r>
      <w:r>
        <w:rPr>
          <w:spacing w:val="-4"/>
        </w:rPr>
        <w:t xml:space="preserve"> </w:t>
      </w:r>
      <w:r>
        <w:t>Self-Represented</w:t>
      </w:r>
      <w:r>
        <w:rPr>
          <w:spacing w:val="-4"/>
        </w:rPr>
        <w:t xml:space="preserve"> </w:t>
      </w:r>
      <w:r>
        <w:t>Litigants in the Supreme Court</w:t>
      </w:r>
    </w:p>
    <w:p w14:paraId="68A5D614" w14:textId="77777777" w:rsidR="00AC6F3C" w:rsidRDefault="00570E88">
      <w:pPr>
        <w:pStyle w:val="ListParagraph"/>
        <w:numPr>
          <w:ilvl w:val="0"/>
          <w:numId w:val="58"/>
        </w:numPr>
        <w:tabs>
          <w:tab w:val="left" w:pos="1155"/>
        </w:tabs>
        <w:spacing w:before="167" w:line="249" w:lineRule="auto"/>
        <w:ind w:right="401"/>
        <w:rPr>
          <w:sz w:val="20"/>
        </w:rPr>
      </w:pPr>
      <w:r>
        <w:rPr>
          <w:sz w:val="20"/>
        </w:rPr>
        <w:t xml:space="preserve">Representatives of the Committee and </w:t>
      </w:r>
      <w:proofErr w:type="spellStart"/>
      <w:r>
        <w:rPr>
          <w:sz w:val="20"/>
        </w:rPr>
        <w:t>LawRight</w:t>
      </w:r>
      <w:proofErr w:type="spellEnd"/>
      <w:r>
        <w:rPr>
          <w:sz w:val="20"/>
        </w:rPr>
        <w:t xml:space="preserve"> met with His </w:t>
      </w:r>
      <w:proofErr w:type="spellStart"/>
      <w:r>
        <w:rPr>
          <w:sz w:val="20"/>
        </w:rPr>
        <w:t>Honour</w:t>
      </w:r>
      <w:proofErr w:type="spellEnd"/>
      <w:r>
        <w:rPr>
          <w:sz w:val="20"/>
        </w:rPr>
        <w:t xml:space="preserve"> Brian Devereaux SC, Chief Judge of the District Court of Queensland regarding the recently piloted Scheme for Pro Bono Mediation</w:t>
      </w:r>
      <w:r>
        <w:rPr>
          <w:spacing w:val="-3"/>
          <w:sz w:val="20"/>
        </w:rPr>
        <w:t xml:space="preserve"> </w:t>
      </w:r>
      <w:r>
        <w:rPr>
          <w:sz w:val="20"/>
        </w:rPr>
        <w:t>of</w:t>
      </w:r>
      <w:r>
        <w:rPr>
          <w:spacing w:val="-3"/>
          <w:sz w:val="20"/>
        </w:rPr>
        <w:t xml:space="preserve"> </w:t>
      </w:r>
      <w:r>
        <w:rPr>
          <w:sz w:val="20"/>
        </w:rPr>
        <w:t>Claims</w:t>
      </w:r>
      <w:r>
        <w:rPr>
          <w:spacing w:val="-3"/>
          <w:sz w:val="20"/>
        </w:rPr>
        <w:t xml:space="preserve"> </w:t>
      </w:r>
      <w:r>
        <w:rPr>
          <w:sz w:val="20"/>
        </w:rPr>
        <w:t>involving</w:t>
      </w:r>
      <w:r>
        <w:rPr>
          <w:spacing w:val="-3"/>
          <w:sz w:val="20"/>
        </w:rPr>
        <w:t xml:space="preserve"> </w:t>
      </w:r>
      <w:r>
        <w:rPr>
          <w:sz w:val="20"/>
        </w:rPr>
        <w:t>Self-Represented</w:t>
      </w:r>
      <w:r>
        <w:rPr>
          <w:spacing w:val="-3"/>
          <w:sz w:val="20"/>
        </w:rPr>
        <w:t xml:space="preserve"> </w:t>
      </w:r>
      <w:r>
        <w:rPr>
          <w:sz w:val="20"/>
        </w:rPr>
        <w:t>Litigants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Supreme</w:t>
      </w:r>
      <w:r>
        <w:rPr>
          <w:spacing w:val="-3"/>
          <w:sz w:val="20"/>
        </w:rPr>
        <w:t xml:space="preserve"> </w:t>
      </w:r>
      <w:r>
        <w:rPr>
          <w:sz w:val="20"/>
        </w:rPr>
        <w:t>Court,</w:t>
      </w:r>
      <w:r>
        <w:rPr>
          <w:spacing w:val="-3"/>
          <w:sz w:val="20"/>
        </w:rPr>
        <w:t xml:space="preserve"> </w:t>
      </w:r>
      <w:r>
        <w:rPr>
          <w:sz w:val="20"/>
        </w:rPr>
        <w:t>to</w:t>
      </w:r>
      <w:r>
        <w:rPr>
          <w:spacing w:val="-3"/>
          <w:sz w:val="20"/>
        </w:rPr>
        <w:t xml:space="preserve"> </w:t>
      </w:r>
      <w:r>
        <w:rPr>
          <w:sz w:val="20"/>
        </w:rPr>
        <w:t>enquire</w:t>
      </w:r>
      <w:r>
        <w:rPr>
          <w:spacing w:val="-3"/>
          <w:sz w:val="20"/>
        </w:rPr>
        <w:t xml:space="preserve"> </w:t>
      </w:r>
      <w:r>
        <w:rPr>
          <w:sz w:val="20"/>
        </w:rPr>
        <w:t xml:space="preserve">whether the scheme might </w:t>
      </w:r>
      <w:proofErr w:type="gramStart"/>
      <w:r>
        <w:rPr>
          <w:sz w:val="20"/>
        </w:rPr>
        <w:t>be implemented</w:t>
      </w:r>
      <w:proofErr w:type="gramEnd"/>
      <w:r>
        <w:rPr>
          <w:sz w:val="20"/>
        </w:rPr>
        <w:t xml:space="preserve"> in the District Court.</w:t>
      </w:r>
    </w:p>
    <w:p w14:paraId="3D129A07" w14:textId="77777777" w:rsidR="00AC6F3C" w:rsidRDefault="00AC6F3C">
      <w:pPr>
        <w:spacing w:line="249" w:lineRule="auto"/>
        <w:rPr>
          <w:sz w:val="20"/>
        </w:rPr>
        <w:sectPr w:rsidR="00AC6F3C">
          <w:headerReference w:type="default" r:id="rId82"/>
          <w:footerReference w:type="default" r:id="rId83"/>
          <w:pgSz w:w="11910" w:h="16840"/>
          <w:pgMar w:top="1140" w:right="1160" w:bottom="520" w:left="460" w:header="0" w:footer="336" w:gutter="0"/>
          <w:cols w:space="720"/>
        </w:sectPr>
      </w:pPr>
    </w:p>
    <w:p w14:paraId="0DABD371" w14:textId="77777777" w:rsidR="00AC6F3C" w:rsidRDefault="00570E88">
      <w:pPr>
        <w:pStyle w:val="Heading9"/>
        <w:spacing w:before="71"/>
      </w:pPr>
      <w:r>
        <w:lastRenderedPageBreak/>
        <w:t>Solicitor</w:t>
      </w:r>
      <w:r>
        <w:rPr>
          <w:spacing w:val="-8"/>
        </w:rPr>
        <w:t xml:space="preserve"> </w:t>
      </w:r>
      <w:r>
        <w:rPr>
          <w:spacing w:val="-2"/>
        </w:rPr>
        <w:t>Mediators</w:t>
      </w:r>
    </w:p>
    <w:p w14:paraId="13DB41D0" w14:textId="77777777" w:rsidR="00AC6F3C" w:rsidRDefault="00570E88">
      <w:pPr>
        <w:pStyle w:val="ListParagraph"/>
        <w:numPr>
          <w:ilvl w:val="0"/>
          <w:numId w:val="58"/>
        </w:numPr>
        <w:tabs>
          <w:tab w:val="left" w:pos="1155"/>
        </w:tabs>
        <w:spacing w:before="176" w:line="249" w:lineRule="auto"/>
        <w:ind w:right="177"/>
        <w:rPr>
          <w:sz w:val="20"/>
        </w:rPr>
      </w:pPr>
      <w:r>
        <w:rPr>
          <w:sz w:val="20"/>
        </w:rPr>
        <w:t>The</w:t>
      </w:r>
      <w:r>
        <w:rPr>
          <w:spacing w:val="-14"/>
          <w:sz w:val="20"/>
        </w:rPr>
        <w:t xml:space="preserve"> </w:t>
      </w:r>
      <w:r>
        <w:rPr>
          <w:sz w:val="20"/>
        </w:rPr>
        <w:t>Committee</w:t>
      </w:r>
      <w:r>
        <w:rPr>
          <w:spacing w:val="-14"/>
          <w:sz w:val="20"/>
        </w:rPr>
        <w:t xml:space="preserve"> </w:t>
      </w:r>
      <w:r>
        <w:rPr>
          <w:sz w:val="20"/>
        </w:rPr>
        <w:t>also</w:t>
      </w:r>
      <w:r>
        <w:rPr>
          <w:spacing w:val="-14"/>
          <w:sz w:val="20"/>
        </w:rPr>
        <w:t xml:space="preserve"> </w:t>
      </w:r>
      <w:r>
        <w:rPr>
          <w:sz w:val="20"/>
        </w:rPr>
        <w:t>considered</w:t>
      </w:r>
      <w:r>
        <w:rPr>
          <w:spacing w:val="-13"/>
          <w:sz w:val="20"/>
        </w:rPr>
        <w:t xml:space="preserve"> </w:t>
      </w:r>
      <w:r>
        <w:rPr>
          <w:sz w:val="20"/>
        </w:rPr>
        <w:t>other</w:t>
      </w:r>
      <w:r>
        <w:rPr>
          <w:spacing w:val="-14"/>
          <w:sz w:val="20"/>
        </w:rPr>
        <w:t xml:space="preserve"> </w:t>
      </w:r>
      <w:r>
        <w:rPr>
          <w:sz w:val="20"/>
        </w:rPr>
        <w:t>opportunities</w:t>
      </w:r>
      <w:r>
        <w:rPr>
          <w:spacing w:val="-14"/>
          <w:sz w:val="20"/>
        </w:rPr>
        <w:t xml:space="preserve"> </w:t>
      </w:r>
      <w:r>
        <w:rPr>
          <w:sz w:val="20"/>
        </w:rPr>
        <w:t>for</w:t>
      </w:r>
      <w:r>
        <w:rPr>
          <w:spacing w:val="-14"/>
          <w:sz w:val="20"/>
        </w:rPr>
        <w:t xml:space="preserve"> </w:t>
      </w:r>
      <w:r>
        <w:rPr>
          <w:sz w:val="20"/>
        </w:rPr>
        <w:t>solicitor</w:t>
      </w:r>
      <w:r>
        <w:rPr>
          <w:spacing w:val="-13"/>
          <w:sz w:val="20"/>
        </w:rPr>
        <w:t xml:space="preserve"> </w:t>
      </w:r>
      <w:r>
        <w:rPr>
          <w:sz w:val="20"/>
        </w:rPr>
        <w:t>mediators</w:t>
      </w:r>
      <w:r>
        <w:rPr>
          <w:spacing w:val="-14"/>
          <w:sz w:val="20"/>
        </w:rPr>
        <w:t xml:space="preserve"> </w:t>
      </w:r>
      <w:r>
        <w:rPr>
          <w:sz w:val="20"/>
        </w:rPr>
        <w:t>to</w:t>
      </w:r>
      <w:r>
        <w:rPr>
          <w:spacing w:val="-14"/>
          <w:sz w:val="20"/>
        </w:rPr>
        <w:t xml:space="preserve"> </w:t>
      </w:r>
      <w:r>
        <w:rPr>
          <w:sz w:val="20"/>
        </w:rPr>
        <w:t>conduct</w:t>
      </w:r>
      <w:r>
        <w:rPr>
          <w:spacing w:val="-14"/>
          <w:sz w:val="20"/>
        </w:rPr>
        <w:t xml:space="preserve"> </w:t>
      </w:r>
      <w:r>
        <w:rPr>
          <w:sz w:val="20"/>
        </w:rPr>
        <w:t xml:space="preserve">mediations, </w:t>
      </w:r>
      <w:r>
        <w:rPr>
          <w:spacing w:val="-2"/>
          <w:sz w:val="20"/>
        </w:rPr>
        <w:t>particularly</w:t>
      </w:r>
      <w:r>
        <w:rPr>
          <w:spacing w:val="-9"/>
          <w:sz w:val="20"/>
        </w:rPr>
        <w:t xml:space="preserve"> </w:t>
      </w:r>
      <w:r>
        <w:rPr>
          <w:spacing w:val="-2"/>
          <w:sz w:val="20"/>
        </w:rPr>
        <w:t>early</w:t>
      </w:r>
      <w:r>
        <w:rPr>
          <w:spacing w:val="-9"/>
          <w:sz w:val="20"/>
        </w:rPr>
        <w:t xml:space="preserve"> </w:t>
      </w:r>
      <w:r>
        <w:rPr>
          <w:spacing w:val="-2"/>
          <w:sz w:val="20"/>
        </w:rPr>
        <w:t>career</w:t>
      </w:r>
      <w:r>
        <w:rPr>
          <w:spacing w:val="-9"/>
          <w:sz w:val="20"/>
        </w:rPr>
        <w:t xml:space="preserve"> </w:t>
      </w:r>
      <w:r>
        <w:rPr>
          <w:spacing w:val="-2"/>
          <w:sz w:val="20"/>
        </w:rPr>
        <w:t>mediators</w:t>
      </w:r>
      <w:r>
        <w:rPr>
          <w:spacing w:val="-9"/>
          <w:sz w:val="20"/>
        </w:rPr>
        <w:t xml:space="preserve"> </w:t>
      </w:r>
      <w:r>
        <w:rPr>
          <w:spacing w:val="-2"/>
          <w:sz w:val="20"/>
        </w:rPr>
        <w:t>who</w:t>
      </w:r>
      <w:r>
        <w:rPr>
          <w:spacing w:val="-9"/>
          <w:sz w:val="20"/>
        </w:rPr>
        <w:t xml:space="preserve"> </w:t>
      </w:r>
      <w:r>
        <w:rPr>
          <w:spacing w:val="-2"/>
          <w:sz w:val="20"/>
        </w:rPr>
        <w:t>may</w:t>
      </w:r>
      <w:r>
        <w:rPr>
          <w:spacing w:val="-9"/>
          <w:sz w:val="20"/>
        </w:rPr>
        <w:t xml:space="preserve"> </w:t>
      </w:r>
      <w:r>
        <w:rPr>
          <w:spacing w:val="-2"/>
          <w:sz w:val="20"/>
        </w:rPr>
        <w:t>have</w:t>
      </w:r>
      <w:r>
        <w:rPr>
          <w:spacing w:val="-9"/>
          <w:sz w:val="20"/>
        </w:rPr>
        <w:t xml:space="preserve"> </w:t>
      </w:r>
      <w:r>
        <w:rPr>
          <w:spacing w:val="-2"/>
          <w:sz w:val="20"/>
        </w:rPr>
        <w:t>difficulty</w:t>
      </w:r>
      <w:r>
        <w:rPr>
          <w:spacing w:val="-9"/>
          <w:sz w:val="20"/>
        </w:rPr>
        <w:t xml:space="preserve"> </w:t>
      </w:r>
      <w:r>
        <w:rPr>
          <w:spacing w:val="-2"/>
          <w:sz w:val="20"/>
        </w:rPr>
        <w:t>reaching</w:t>
      </w:r>
      <w:r>
        <w:rPr>
          <w:spacing w:val="-9"/>
          <w:sz w:val="20"/>
        </w:rPr>
        <w:t xml:space="preserve"> </w:t>
      </w:r>
      <w:r>
        <w:rPr>
          <w:spacing w:val="-2"/>
          <w:sz w:val="20"/>
        </w:rPr>
        <w:t>the</w:t>
      </w:r>
      <w:r>
        <w:rPr>
          <w:spacing w:val="-9"/>
          <w:sz w:val="20"/>
        </w:rPr>
        <w:t xml:space="preserve"> </w:t>
      </w:r>
      <w:r>
        <w:rPr>
          <w:spacing w:val="-2"/>
          <w:sz w:val="20"/>
        </w:rPr>
        <w:t>required</w:t>
      </w:r>
      <w:r>
        <w:rPr>
          <w:spacing w:val="-9"/>
          <w:sz w:val="20"/>
        </w:rPr>
        <w:t xml:space="preserve"> </w:t>
      </w:r>
      <w:r>
        <w:rPr>
          <w:spacing w:val="-2"/>
          <w:sz w:val="20"/>
        </w:rPr>
        <w:t>mediation</w:t>
      </w:r>
      <w:r>
        <w:rPr>
          <w:spacing w:val="-9"/>
          <w:sz w:val="20"/>
        </w:rPr>
        <w:t xml:space="preserve"> </w:t>
      </w:r>
      <w:r>
        <w:rPr>
          <w:spacing w:val="-2"/>
          <w:sz w:val="20"/>
        </w:rPr>
        <w:t>hours</w:t>
      </w:r>
      <w:r>
        <w:rPr>
          <w:spacing w:val="-9"/>
          <w:sz w:val="20"/>
        </w:rPr>
        <w:t xml:space="preserve"> </w:t>
      </w:r>
      <w:r>
        <w:rPr>
          <w:spacing w:val="-2"/>
          <w:sz w:val="20"/>
        </w:rPr>
        <w:t>in</w:t>
      </w:r>
      <w:r>
        <w:rPr>
          <w:spacing w:val="-9"/>
          <w:sz w:val="20"/>
        </w:rPr>
        <w:t xml:space="preserve"> </w:t>
      </w:r>
      <w:r>
        <w:rPr>
          <w:spacing w:val="-2"/>
          <w:sz w:val="20"/>
        </w:rPr>
        <w:t xml:space="preserve">their </w:t>
      </w:r>
      <w:r>
        <w:rPr>
          <w:sz w:val="20"/>
        </w:rPr>
        <w:t>earlier</w:t>
      </w:r>
      <w:r>
        <w:rPr>
          <w:spacing w:val="-14"/>
          <w:sz w:val="20"/>
        </w:rPr>
        <w:t xml:space="preserve"> </w:t>
      </w:r>
      <w:r>
        <w:rPr>
          <w:sz w:val="20"/>
        </w:rPr>
        <w:t>years.</w:t>
      </w:r>
      <w:r>
        <w:rPr>
          <w:spacing w:val="-14"/>
          <w:sz w:val="20"/>
        </w:rPr>
        <w:t xml:space="preserve"> </w:t>
      </w:r>
      <w:r>
        <w:rPr>
          <w:sz w:val="20"/>
        </w:rPr>
        <w:t>In</w:t>
      </w:r>
      <w:r>
        <w:rPr>
          <w:spacing w:val="-14"/>
          <w:sz w:val="20"/>
        </w:rPr>
        <w:t xml:space="preserve"> </w:t>
      </w:r>
      <w:r>
        <w:rPr>
          <w:sz w:val="20"/>
        </w:rPr>
        <w:t>this</w:t>
      </w:r>
      <w:r>
        <w:rPr>
          <w:spacing w:val="-14"/>
          <w:sz w:val="20"/>
        </w:rPr>
        <w:t xml:space="preserve"> </w:t>
      </w:r>
      <w:r>
        <w:rPr>
          <w:sz w:val="20"/>
        </w:rPr>
        <w:t>regard,</w:t>
      </w:r>
      <w:r>
        <w:rPr>
          <w:spacing w:val="-14"/>
          <w:sz w:val="20"/>
        </w:rPr>
        <w:t xml:space="preserve"> </w:t>
      </w:r>
      <w:r>
        <w:rPr>
          <w:sz w:val="20"/>
        </w:rPr>
        <w:t>we</w:t>
      </w:r>
      <w:r>
        <w:rPr>
          <w:spacing w:val="-14"/>
          <w:sz w:val="20"/>
        </w:rPr>
        <w:t xml:space="preserve"> </w:t>
      </w:r>
      <w:r>
        <w:rPr>
          <w:sz w:val="20"/>
        </w:rPr>
        <w:t>are</w:t>
      </w:r>
      <w:r>
        <w:rPr>
          <w:spacing w:val="-14"/>
          <w:sz w:val="20"/>
        </w:rPr>
        <w:t xml:space="preserve"> </w:t>
      </w:r>
      <w:r>
        <w:rPr>
          <w:sz w:val="20"/>
        </w:rPr>
        <w:t>considering</w:t>
      </w:r>
      <w:r>
        <w:rPr>
          <w:spacing w:val="-14"/>
          <w:sz w:val="20"/>
        </w:rPr>
        <w:t xml:space="preserve"> </w:t>
      </w:r>
      <w:r>
        <w:rPr>
          <w:sz w:val="20"/>
        </w:rPr>
        <w:t>options</w:t>
      </w:r>
      <w:r>
        <w:rPr>
          <w:spacing w:val="-14"/>
          <w:sz w:val="20"/>
        </w:rPr>
        <w:t xml:space="preserve"> </w:t>
      </w:r>
      <w:r>
        <w:rPr>
          <w:sz w:val="20"/>
        </w:rPr>
        <w:t>in</w:t>
      </w:r>
      <w:r>
        <w:rPr>
          <w:spacing w:val="-13"/>
          <w:sz w:val="20"/>
        </w:rPr>
        <w:t xml:space="preserve"> </w:t>
      </w:r>
      <w:r>
        <w:rPr>
          <w:sz w:val="20"/>
        </w:rPr>
        <w:t>community</w:t>
      </w:r>
      <w:r>
        <w:rPr>
          <w:spacing w:val="-14"/>
          <w:sz w:val="20"/>
        </w:rPr>
        <w:t xml:space="preserve"> </w:t>
      </w:r>
      <w:r>
        <w:rPr>
          <w:sz w:val="20"/>
        </w:rPr>
        <w:t>legal</w:t>
      </w:r>
      <w:r>
        <w:rPr>
          <w:spacing w:val="-14"/>
          <w:sz w:val="20"/>
        </w:rPr>
        <w:t xml:space="preserve"> </w:t>
      </w:r>
      <w:proofErr w:type="spellStart"/>
      <w:r>
        <w:rPr>
          <w:sz w:val="20"/>
        </w:rPr>
        <w:t>centres</w:t>
      </w:r>
      <w:proofErr w:type="spellEnd"/>
      <w:r>
        <w:rPr>
          <w:sz w:val="20"/>
        </w:rPr>
        <w:t>.</w:t>
      </w:r>
      <w:r>
        <w:rPr>
          <w:spacing w:val="-14"/>
          <w:sz w:val="20"/>
        </w:rPr>
        <w:t xml:space="preserve"> </w:t>
      </w:r>
      <w:r>
        <w:rPr>
          <w:sz w:val="20"/>
        </w:rPr>
        <w:t>We</w:t>
      </w:r>
      <w:r>
        <w:rPr>
          <w:spacing w:val="-14"/>
          <w:sz w:val="20"/>
        </w:rPr>
        <w:t xml:space="preserve"> </w:t>
      </w:r>
      <w:r>
        <w:rPr>
          <w:sz w:val="20"/>
        </w:rPr>
        <w:t>are</w:t>
      </w:r>
      <w:r>
        <w:rPr>
          <w:spacing w:val="-14"/>
          <w:sz w:val="20"/>
        </w:rPr>
        <w:t xml:space="preserve"> </w:t>
      </w:r>
      <w:r>
        <w:rPr>
          <w:sz w:val="20"/>
        </w:rPr>
        <w:t>also</w:t>
      </w:r>
      <w:r>
        <w:rPr>
          <w:spacing w:val="-14"/>
          <w:sz w:val="20"/>
        </w:rPr>
        <w:t xml:space="preserve"> </w:t>
      </w:r>
      <w:r>
        <w:rPr>
          <w:sz w:val="20"/>
        </w:rPr>
        <w:t>in</w:t>
      </w:r>
      <w:r>
        <w:rPr>
          <w:spacing w:val="-14"/>
          <w:sz w:val="20"/>
        </w:rPr>
        <w:t xml:space="preserve"> </w:t>
      </w:r>
      <w:r>
        <w:rPr>
          <w:sz w:val="20"/>
        </w:rPr>
        <w:t xml:space="preserve">early </w:t>
      </w:r>
      <w:r>
        <w:rPr>
          <w:spacing w:val="-2"/>
          <w:sz w:val="20"/>
        </w:rPr>
        <w:t>discussions</w:t>
      </w:r>
      <w:r>
        <w:rPr>
          <w:spacing w:val="-12"/>
          <w:sz w:val="20"/>
        </w:rPr>
        <w:t xml:space="preserve"> </w:t>
      </w:r>
      <w:r>
        <w:rPr>
          <w:spacing w:val="-2"/>
          <w:sz w:val="20"/>
        </w:rPr>
        <w:t>with</w:t>
      </w:r>
      <w:r>
        <w:rPr>
          <w:spacing w:val="-12"/>
          <w:sz w:val="20"/>
        </w:rPr>
        <w:t xml:space="preserve"> </w:t>
      </w:r>
      <w:r>
        <w:rPr>
          <w:spacing w:val="-2"/>
          <w:sz w:val="20"/>
        </w:rPr>
        <w:t>the</w:t>
      </w:r>
      <w:r>
        <w:rPr>
          <w:spacing w:val="-12"/>
          <w:sz w:val="20"/>
        </w:rPr>
        <w:t xml:space="preserve"> </w:t>
      </w:r>
      <w:r>
        <w:rPr>
          <w:spacing w:val="-2"/>
          <w:sz w:val="20"/>
        </w:rPr>
        <w:t>Bar</w:t>
      </w:r>
      <w:r>
        <w:rPr>
          <w:spacing w:val="-12"/>
          <w:sz w:val="20"/>
        </w:rPr>
        <w:t xml:space="preserve"> </w:t>
      </w:r>
      <w:r>
        <w:rPr>
          <w:spacing w:val="-2"/>
          <w:sz w:val="20"/>
        </w:rPr>
        <w:t>about</w:t>
      </w:r>
      <w:r>
        <w:rPr>
          <w:spacing w:val="-12"/>
          <w:sz w:val="20"/>
        </w:rPr>
        <w:t xml:space="preserve"> </w:t>
      </w:r>
      <w:r>
        <w:rPr>
          <w:spacing w:val="-2"/>
          <w:sz w:val="20"/>
        </w:rPr>
        <w:t>a</w:t>
      </w:r>
      <w:r>
        <w:rPr>
          <w:spacing w:val="-12"/>
          <w:sz w:val="20"/>
        </w:rPr>
        <w:t xml:space="preserve"> </w:t>
      </w:r>
      <w:r>
        <w:rPr>
          <w:spacing w:val="-2"/>
          <w:sz w:val="20"/>
        </w:rPr>
        <w:t>mediation</w:t>
      </w:r>
      <w:r>
        <w:rPr>
          <w:spacing w:val="-12"/>
          <w:sz w:val="20"/>
        </w:rPr>
        <w:t xml:space="preserve"> </w:t>
      </w:r>
      <w:r>
        <w:rPr>
          <w:spacing w:val="-2"/>
          <w:sz w:val="20"/>
        </w:rPr>
        <w:t>process</w:t>
      </w:r>
      <w:r>
        <w:rPr>
          <w:spacing w:val="-12"/>
          <w:sz w:val="20"/>
        </w:rPr>
        <w:t xml:space="preserve"> </w:t>
      </w:r>
      <w:r>
        <w:rPr>
          <w:spacing w:val="-2"/>
          <w:sz w:val="20"/>
        </w:rPr>
        <w:t>for</w:t>
      </w:r>
      <w:r>
        <w:rPr>
          <w:spacing w:val="-12"/>
          <w:sz w:val="20"/>
        </w:rPr>
        <w:t xml:space="preserve"> </w:t>
      </w:r>
      <w:r>
        <w:rPr>
          <w:spacing w:val="-2"/>
          <w:sz w:val="20"/>
        </w:rPr>
        <w:t>the</w:t>
      </w:r>
      <w:r>
        <w:rPr>
          <w:spacing w:val="-11"/>
          <w:sz w:val="20"/>
        </w:rPr>
        <w:t xml:space="preserve"> </w:t>
      </w:r>
      <w:r>
        <w:rPr>
          <w:spacing w:val="-2"/>
          <w:sz w:val="20"/>
        </w:rPr>
        <w:t>Queensland</w:t>
      </w:r>
      <w:r>
        <w:rPr>
          <w:spacing w:val="-12"/>
          <w:sz w:val="20"/>
        </w:rPr>
        <w:t xml:space="preserve"> </w:t>
      </w:r>
      <w:r>
        <w:rPr>
          <w:spacing w:val="-2"/>
          <w:sz w:val="20"/>
        </w:rPr>
        <w:t>Civil</w:t>
      </w:r>
      <w:r>
        <w:rPr>
          <w:spacing w:val="-12"/>
          <w:sz w:val="20"/>
        </w:rPr>
        <w:t xml:space="preserve"> </w:t>
      </w:r>
      <w:r>
        <w:rPr>
          <w:spacing w:val="-2"/>
          <w:sz w:val="20"/>
        </w:rPr>
        <w:t>and</w:t>
      </w:r>
      <w:r>
        <w:rPr>
          <w:spacing w:val="-16"/>
          <w:sz w:val="20"/>
        </w:rPr>
        <w:t xml:space="preserve"> </w:t>
      </w:r>
      <w:r>
        <w:rPr>
          <w:spacing w:val="-2"/>
          <w:sz w:val="20"/>
        </w:rPr>
        <w:t>Administrative</w:t>
      </w:r>
      <w:r>
        <w:rPr>
          <w:spacing w:val="-12"/>
          <w:sz w:val="20"/>
        </w:rPr>
        <w:t xml:space="preserve"> </w:t>
      </w:r>
      <w:r>
        <w:rPr>
          <w:spacing w:val="-2"/>
          <w:sz w:val="20"/>
        </w:rPr>
        <w:t>Tribunal.</w:t>
      </w:r>
    </w:p>
    <w:p w14:paraId="5D787F09" w14:textId="77777777" w:rsidR="00AC6F3C" w:rsidRDefault="00AC6F3C">
      <w:pPr>
        <w:pStyle w:val="BodyText"/>
        <w:spacing w:before="3"/>
        <w:rPr>
          <w:sz w:val="31"/>
        </w:rPr>
      </w:pPr>
    </w:p>
    <w:p w14:paraId="72AE5821" w14:textId="77777777" w:rsidR="00AC6F3C" w:rsidRDefault="00570E88">
      <w:pPr>
        <w:ind w:left="815"/>
        <w:rPr>
          <w:b/>
          <w:sz w:val="26"/>
        </w:rPr>
      </w:pPr>
      <w:r>
        <w:rPr>
          <w:b/>
          <w:sz w:val="26"/>
        </w:rPr>
        <w:t>Elder</w:t>
      </w:r>
      <w:r>
        <w:rPr>
          <w:b/>
          <w:spacing w:val="-2"/>
          <w:sz w:val="26"/>
        </w:rPr>
        <w:t xml:space="preserve"> </w:t>
      </w:r>
      <w:r>
        <w:rPr>
          <w:b/>
          <w:sz w:val="26"/>
        </w:rPr>
        <w:t>Law</w:t>
      </w:r>
      <w:r>
        <w:rPr>
          <w:b/>
          <w:spacing w:val="-2"/>
          <w:sz w:val="26"/>
        </w:rPr>
        <w:t xml:space="preserve"> Committee</w:t>
      </w:r>
    </w:p>
    <w:p w14:paraId="2577DE5B" w14:textId="77777777" w:rsidR="00AC6F3C" w:rsidRDefault="00570E88">
      <w:pPr>
        <w:pStyle w:val="BodyText"/>
        <w:spacing w:before="167" w:line="249" w:lineRule="auto"/>
        <w:ind w:left="815"/>
      </w:pPr>
      <w:r>
        <w:t>The</w:t>
      </w:r>
      <w:r>
        <w:rPr>
          <w:spacing w:val="-3"/>
        </w:rPr>
        <w:t xml:space="preserve"> </w:t>
      </w:r>
      <w:r>
        <w:t>Elder</w:t>
      </w:r>
      <w:r>
        <w:rPr>
          <w:spacing w:val="-3"/>
        </w:rPr>
        <w:t xml:space="preserve"> </w:t>
      </w:r>
      <w:r>
        <w:t>Law</w:t>
      </w:r>
      <w:r>
        <w:rPr>
          <w:spacing w:val="-3"/>
        </w:rPr>
        <w:t xml:space="preserve"> </w:t>
      </w:r>
      <w:r>
        <w:t>Committee</w:t>
      </w:r>
      <w:r>
        <w:rPr>
          <w:spacing w:val="-3"/>
        </w:rPr>
        <w:t xml:space="preserve"> </w:t>
      </w:r>
      <w:r>
        <w:t>contributed</w:t>
      </w:r>
      <w:r>
        <w:rPr>
          <w:spacing w:val="-3"/>
        </w:rPr>
        <w:t xml:space="preserve"> </w:t>
      </w:r>
      <w:r>
        <w:t>to</w:t>
      </w:r>
      <w:r>
        <w:rPr>
          <w:spacing w:val="-3"/>
        </w:rPr>
        <w:t xml:space="preserve"> </w:t>
      </w:r>
      <w:r>
        <w:t>nine</w:t>
      </w:r>
      <w:r>
        <w:rPr>
          <w:spacing w:val="-3"/>
        </w:rPr>
        <w:t xml:space="preserve"> </w:t>
      </w:r>
      <w:r>
        <w:t>submissions</w:t>
      </w:r>
      <w:r>
        <w:rPr>
          <w:spacing w:val="-3"/>
        </w:rPr>
        <w:t xml:space="preserve"> </w:t>
      </w:r>
      <w:r>
        <w:t>and</w:t>
      </w:r>
      <w:r>
        <w:rPr>
          <w:spacing w:val="-3"/>
        </w:rPr>
        <w:t xml:space="preserve"> </w:t>
      </w:r>
      <w:r>
        <w:t>four</w:t>
      </w:r>
      <w:r>
        <w:rPr>
          <w:spacing w:val="-3"/>
        </w:rPr>
        <w:t xml:space="preserve"> </w:t>
      </w:r>
      <w:r>
        <w:t>stakeholder</w:t>
      </w:r>
      <w:r>
        <w:rPr>
          <w:spacing w:val="-3"/>
        </w:rPr>
        <w:t xml:space="preserve"> </w:t>
      </w:r>
      <w:r>
        <w:t>consultations</w:t>
      </w:r>
      <w:r>
        <w:rPr>
          <w:spacing w:val="-3"/>
        </w:rPr>
        <w:t xml:space="preserve"> </w:t>
      </w:r>
      <w:r>
        <w:t>during</w:t>
      </w:r>
      <w:r>
        <w:rPr>
          <w:spacing w:val="-3"/>
        </w:rPr>
        <w:t xml:space="preserve"> </w:t>
      </w:r>
      <w:r>
        <w:t xml:space="preserve">this </w:t>
      </w:r>
      <w:proofErr w:type="gramStart"/>
      <w:r>
        <w:t>financial year</w:t>
      </w:r>
      <w:proofErr w:type="gramEnd"/>
      <w:r>
        <w:t>.</w:t>
      </w:r>
    </w:p>
    <w:p w14:paraId="0299FFFC" w14:textId="77777777" w:rsidR="00AC6F3C" w:rsidRDefault="00AC6F3C">
      <w:pPr>
        <w:pStyle w:val="BodyText"/>
        <w:spacing w:before="9"/>
        <w:rPr>
          <w:sz w:val="22"/>
        </w:rPr>
      </w:pPr>
    </w:p>
    <w:p w14:paraId="68FE1F7D" w14:textId="77777777" w:rsidR="00AC6F3C" w:rsidRDefault="00570E88">
      <w:pPr>
        <w:pStyle w:val="Heading9"/>
      </w:pPr>
      <w:r>
        <w:t>Retirement</w:t>
      </w:r>
      <w:r>
        <w:rPr>
          <w:spacing w:val="-3"/>
        </w:rPr>
        <w:t xml:space="preserve"> </w:t>
      </w:r>
      <w:r>
        <w:t>Villages</w:t>
      </w:r>
      <w:r>
        <w:rPr>
          <w:spacing w:val="-3"/>
        </w:rPr>
        <w:t xml:space="preserve"> </w:t>
      </w:r>
      <w:r>
        <w:t>and</w:t>
      </w:r>
      <w:r>
        <w:rPr>
          <w:spacing w:val="-2"/>
        </w:rPr>
        <w:t xml:space="preserve"> </w:t>
      </w:r>
      <w:r>
        <w:t>Manufactured</w:t>
      </w:r>
      <w:r>
        <w:rPr>
          <w:spacing w:val="-3"/>
        </w:rPr>
        <w:t xml:space="preserve"> </w:t>
      </w:r>
      <w:r>
        <w:t>Home</w:t>
      </w:r>
      <w:r>
        <w:rPr>
          <w:spacing w:val="-2"/>
        </w:rPr>
        <w:t xml:space="preserve"> Parks</w:t>
      </w:r>
    </w:p>
    <w:p w14:paraId="780B0069" w14:textId="77777777" w:rsidR="00AC6F3C" w:rsidRDefault="00570E88">
      <w:pPr>
        <w:pStyle w:val="ListParagraph"/>
        <w:numPr>
          <w:ilvl w:val="0"/>
          <w:numId w:val="58"/>
        </w:numPr>
        <w:tabs>
          <w:tab w:val="left" w:pos="1155"/>
        </w:tabs>
        <w:spacing w:before="176" w:line="249" w:lineRule="auto"/>
        <w:ind w:right="1156"/>
        <w:rPr>
          <w:sz w:val="20"/>
        </w:rPr>
      </w:pPr>
      <w:r>
        <w:rPr>
          <w:sz w:val="20"/>
        </w:rPr>
        <w:t>Engaged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Communities,</w:t>
      </w:r>
      <w:r>
        <w:rPr>
          <w:spacing w:val="-3"/>
          <w:sz w:val="20"/>
        </w:rPr>
        <w:t xml:space="preserve"> </w:t>
      </w:r>
      <w:r>
        <w:rPr>
          <w:sz w:val="20"/>
        </w:rPr>
        <w:t>Housing</w:t>
      </w:r>
      <w:r>
        <w:rPr>
          <w:spacing w:val="-3"/>
          <w:sz w:val="20"/>
        </w:rPr>
        <w:t xml:space="preserve"> </w:t>
      </w:r>
      <w:r>
        <w:rPr>
          <w:sz w:val="20"/>
        </w:rPr>
        <w:t>and</w:t>
      </w:r>
      <w:r>
        <w:rPr>
          <w:spacing w:val="-3"/>
          <w:sz w:val="20"/>
        </w:rPr>
        <w:t xml:space="preserve"> </w:t>
      </w:r>
      <w:r>
        <w:rPr>
          <w:sz w:val="20"/>
        </w:rPr>
        <w:t>Digital</w:t>
      </w:r>
      <w:r>
        <w:rPr>
          <w:spacing w:val="-3"/>
          <w:sz w:val="20"/>
        </w:rPr>
        <w:t xml:space="preserve"> </w:t>
      </w:r>
      <w:r>
        <w:rPr>
          <w:sz w:val="20"/>
        </w:rPr>
        <w:t>Economy</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 amendments to legislation governing retirement villages and manufactured home parks.</w:t>
      </w:r>
    </w:p>
    <w:p w14:paraId="591BB29B" w14:textId="77777777" w:rsidR="00AC6F3C" w:rsidRDefault="00570E88">
      <w:pPr>
        <w:pStyle w:val="ListParagraph"/>
        <w:numPr>
          <w:ilvl w:val="0"/>
          <w:numId w:val="58"/>
        </w:numPr>
        <w:tabs>
          <w:tab w:val="left" w:pos="1155"/>
        </w:tabs>
        <w:spacing w:before="172"/>
        <w:ind w:hanging="340"/>
        <w:rPr>
          <w:sz w:val="20"/>
        </w:rPr>
      </w:pPr>
      <w:r>
        <w:rPr>
          <w:sz w:val="20"/>
        </w:rPr>
        <w:t>Draft</w:t>
      </w:r>
      <w:r>
        <w:rPr>
          <w:spacing w:val="-5"/>
          <w:sz w:val="20"/>
        </w:rPr>
        <w:t xml:space="preserve"> </w:t>
      </w:r>
      <w:r>
        <w:rPr>
          <w:sz w:val="20"/>
        </w:rPr>
        <w:t>Housing</w:t>
      </w:r>
      <w:r>
        <w:rPr>
          <w:spacing w:val="-4"/>
          <w:sz w:val="20"/>
        </w:rPr>
        <w:t xml:space="preserve"> </w:t>
      </w:r>
      <w:r>
        <w:rPr>
          <w:sz w:val="20"/>
        </w:rPr>
        <w:t>Legislation</w:t>
      </w:r>
      <w:r>
        <w:rPr>
          <w:spacing w:val="-14"/>
          <w:sz w:val="20"/>
        </w:rPr>
        <w:t xml:space="preserve"> </w:t>
      </w:r>
      <w:r>
        <w:rPr>
          <w:sz w:val="20"/>
        </w:rPr>
        <w:t>Amendment</w:t>
      </w:r>
      <w:r>
        <w:rPr>
          <w:spacing w:val="-4"/>
          <w:sz w:val="20"/>
        </w:rPr>
        <w:t xml:space="preserve"> </w:t>
      </w:r>
      <w:r>
        <w:rPr>
          <w:sz w:val="20"/>
        </w:rPr>
        <w:t>Bill</w:t>
      </w:r>
      <w:r>
        <w:rPr>
          <w:spacing w:val="-3"/>
          <w:sz w:val="20"/>
        </w:rPr>
        <w:t xml:space="preserve"> </w:t>
      </w:r>
      <w:r>
        <w:rPr>
          <w:spacing w:val="-4"/>
          <w:sz w:val="20"/>
        </w:rPr>
        <w:t>2022</w:t>
      </w:r>
    </w:p>
    <w:p w14:paraId="169FC4E5" w14:textId="77777777" w:rsidR="00AC6F3C" w:rsidRDefault="00570E88">
      <w:pPr>
        <w:pStyle w:val="ListParagraph"/>
        <w:numPr>
          <w:ilvl w:val="0"/>
          <w:numId w:val="58"/>
        </w:numPr>
        <w:tabs>
          <w:tab w:val="left" w:pos="1155"/>
        </w:tabs>
        <w:ind w:hanging="340"/>
        <w:rPr>
          <w:sz w:val="20"/>
        </w:rPr>
      </w:pPr>
      <w:r>
        <w:rPr>
          <w:sz w:val="20"/>
        </w:rPr>
        <w:t>Review</w:t>
      </w:r>
      <w:r>
        <w:rPr>
          <w:spacing w:val="-3"/>
          <w:sz w:val="20"/>
        </w:rPr>
        <w:t xml:space="preserve"> </w:t>
      </w:r>
      <w:r>
        <w:rPr>
          <w:sz w:val="20"/>
        </w:rPr>
        <w:t>of</w:t>
      </w:r>
      <w:r>
        <w:rPr>
          <w:spacing w:val="-2"/>
          <w:sz w:val="20"/>
        </w:rPr>
        <w:t xml:space="preserve"> </w:t>
      </w:r>
      <w:r>
        <w:rPr>
          <w:sz w:val="20"/>
        </w:rPr>
        <w:t>site</w:t>
      </w:r>
      <w:r>
        <w:rPr>
          <w:spacing w:val="-2"/>
          <w:sz w:val="20"/>
        </w:rPr>
        <w:t xml:space="preserve"> </w:t>
      </w:r>
      <w:r>
        <w:rPr>
          <w:sz w:val="20"/>
        </w:rPr>
        <w:t>rent</w:t>
      </w:r>
      <w:r>
        <w:rPr>
          <w:spacing w:val="-2"/>
          <w:sz w:val="20"/>
        </w:rPr>
        <w:t xml:space="preserve"> </w:t>
      </w:r>
      <w:r>
        <w:rPr>
          <w:sz w:val="20"/>
        </w:rPr>
        <w:t>increases</w:t>
      </w:r>
      <w:r>
        <w:rPr>
          <w:spacing w:val="-2"/>
          <w:sz w:val="20"/>
        </w:rPr>
        <w:t xml:space="preserve"> </w:t>
      </w:r>
      <w:r>
        <w:rPr>
          <w:sz w:val="20"/>
        </w:rPr>
        <w:t>and</w:t>
      </w:r>
      <w:r>
        <w:rPr>
          <w:spacing w:val="-3"/>
          <w:sz w:val="20"/>
        </w:rPr>
        <w:t xml:space="preserve"> </w:t>
      </w:r>
      <w:r>
        <w:rPr>
          <w:sz w:val="20"/>
        </w:rPr>
        <w:t>sale</w:t>
      </w:r>
      <w:r>
        <w:rPr>
          <w:spacing w:val="-2"/>
          <w:sz w:val="20"/>
        </w:rPr>
        <w:t xml:space="preserve"> </w:t>
      </w:r>
      <w:r>
        <w:rPr>
          <w:sz w:val="20"/>
        </w:rPr>
        <w:t>of</w:t>
      </w:r>
      <w:r>
        <w:rPr>
          <w:spacing w:val="-2"/>
          <w:sz w:val="20"/>
        </w:rPr>
        <w:t xml:space="preserve"> </w:t>
      </w:r>
      <w:r>
        <w:rPr>
          <w:sz w:val="20"/>
        </w:rPr>
        <w:t>homes</w:t>
      </w:r>
      <w:r>
        <w:rPr>
          <w:spacing w:val="-2"/>
          <w:sz w:val="20"/>
        </w:rPr>
        <w:t xml:space="preserve"> </w:t>
      </w:r>
      <w:r>
        <w:rPr>
          <w:sz w:val="20"/>
        </w:rPr>
        <w:t>in</w:t>
      </w:r>
      <w:r>
        <w:rPr>
          <w:spacing w:val="-2"/>
          <w:sz w:val="20"/>
        </w:rPr>
        <w:t xml:space="preserve"> </w:t>
      </w:r>
      <w:r>
        <w:rPr>
          <w:sz w:val="20"/>
        </w:rPr>
        <w:t>residential</w:t>
      </w:r>
      <w:r>
        <w:rPr>
          <w:spacing w:val="-2"/>
          <w:sz w:val="20"/>
        </w:rPr>
        <w:t xml:space="preserve"> parks.</w:t>
      </w:r>
    </w:p>
    <w:p w14:paraId="0A513DD7" w14:textId="77777777" w:rsidR="00AC6F3C" w:rsidRDefault="00AC6F3C">
      <w:pPr>
        <w:pStyle w:val="BodyText"/>
        <w:spacing w:before="6"/>
        <w:rPr>
          <w:sz w:val="23"/>
        </w:rPr>
      </w:pPr>
    </w:p>
    <w:p w14:paraId="69BE20DE" w14:textId="77777777" w:rsidR="00AC6F3C" w:rsidRDefault="00570E88">
      <w:pPr>
        <w:pStyle w:val="Heading9"/>
      </w:pPr>
      <w:r>
        <w:t>Online</w:t>
      </w:r>
      <w:r>
        <w:rPr>
          <w:spacing w:val="-4"/>
        </w:rPr>
        <w:t xml:space="preserve"> </w:t>
      </w:r>
      <w:r>
        <w:t>advance</w:t>
      </w:r>
      <w:r>
        <w:rPr>
          <w:spacing w:val="-3"/>
        </w:rPr>
        <w:t xml:space="preserve"> </w:t>
      </w:r>
      <w:r>
        <w:t>care</w:t>
      </w:r>
      <w:r>
        <w:rPr>
          <w:spacing w:val="-4"/>
        </w:rPr>
        <w:t xml:space="preserve"> </w:t>
      </w:r>
      <w:r>
        <w:t>planning</w:t>
      </w:r>
      <w:r>
        <w:rPr>
          <w:spacing w:val="-3"/>
        </w:rPr>
        <w:t xml:space="preserve"> </w:t>
      </w:r>
      <w:r>
        <w:rPr>
          <w:spacing w:val="-2"/>
        </w:rPr>
        <w:t>companies</w:t>
      </w:r>
    </w:p>
    <w:p w14:paraId="3DFFD497" w14:textId="77777777" w:rsidR="00AC6F3C" w:rsidRDefault="00570E88">
      <w:pPr>
        <w:pStyle w:val="ListParagraph"/>
        <w:numPr>
          <w:ilvl w:val="0"/>
          <w:numId w:val="58"/>
        </w:numPr>
        <w:tabs>
          <w:tab w:val="left" w:pos="1155"/>
        </w:tabs>
        <w:spacing w:before="176"/>
        <w:ind w:hanging="340"/>
        <w:rPr>
          <w:sz w:val="20"/>
        </w:rPr>
      </w:pPr>
      <w:r>
        <w:rPr>
          <w:sz w:val="20"/>
        </w:rPr>
        <w:t>Continued</w:t>
      </w:r>
      <w:r>
        <w:rPr>
          <w:spacing w:val="-7"/>
          <w:sz w:val="20"/>
        </w:rPr>
        <w:t xml:space="preserve"> </w:t>
      </w:r>
      <w:r>
        <w:rPr>
          <w:sz w:val="20"/>
        </w:rPr>
        <w:t>advocacy</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5"/>
          <w:sz w:val="20"/>
        </w:rPr>
        <w:t xml:space="preserve"> </w:t>
      </w:r>
      <w:r>
        <w:rPr>
          <w:sz w:val="20"/>
        </w:rPr>
        <w:t>online</w:t>
      </w:r>
      <w:r>
        <w:rPr>
          <w:spacing w:val="-4"/>
          <w:sz w:val="20"/>
        </w:rPr>
        <w:t xml:space="preserve"> </w:t>
      </w:r>
      <w:r>
        <w:rPr>
          <w:sz w:val="20"/>
        </w:rPr>
        <w:t>advance</w:t>
      </w:r>
      <w:r>
        <w:rPr>
          <w:spacing w:val="-4"/>
          <w:sz w:val="20"/>
        </w:rPr>
        <w:t xml:space="preserve"> </w:t>
      </w:r>
      <w:r>
        <w:rPr>
          <w:sz w:val="20"/>
        </w:rPr>
        <w:t>care</w:t>
      </w:r>
      <w:r>
        <w:rPr>
          <w:spacing w:val="-4"/>
          <w:sz w:val="20"/>
        </w:rPr>
        <w:t xml:space="preserve"> </w:t>
      </w:r>
      <w:r>
        <w:rPr>
          <w:sz w:val="20"/>
        </w:rPr>
        <w:t>planning</w:t>
      </w:r>
      <w:r>
        <w:rPr>
          <w:spacing w:val="-4"/>
          <w:sz w:val="20"/>
        </w:rPr>
        <w:t xml:space="preserve"> </w:t>
      </w:r>
      <w:r>
        <w:rPr>
          <w:spacing w:val="-2"/>
          <w:sz w:val="20"/>
        </w:rPr>
        <w:t>companies.</w:t>
      </w:r>
    </w:p>
    <w:p w14:paraId="1A8B8CEF" w14:textId="77777777" w:rsidR="00AC6F3C" w:rsidRDefault="00570E88">
      <w:pPr>
        <w:pStyle w:val="ListParagraph"/>
        <w:numPr>
          <w:ilvl w:val="0"/>
          <w:numId w:val="58"/>
        </w:numPr>
        <w:tabs>
          <w:tab w:val="left" w:pos="1155"/>
        </w:tabs>
        <w:spacing w:line="249" w:lineRule="auto"/>
        <w:ind w:right="277"/>
        <w:rPr>
          <w:sz w:val="20"/>
        </w:rPr>
      </w:pPr>
      <w:r>
        <w:rPr>
          <w:sz w:val="20"/>
        </w:rPr>
        <w:t>Wrote to the Queensland Office of Fair Trading to express two main concerns about three online advance</w:t>
      </w:r>
      <w:r>
        <w:rPr>
          <w:spacing w:val="-1"/>
          <w:sz w:val="20"/>
        </w:rPr>
        <w:t xml:space="preserve"> </w:t>
      </w:r>
      <w:r>
        <w:rPr>
          <w:sz w:val="20"/>
        </w:rPr>
        <w:t>care</w:t>
      </w:r>
      <w:r>
        <w:rPr>
          <w:spacing w:val="-1"/>
          <w:sz w:val="20"/>
        </w:rPr>
        <w:t xml:space="preserve"> </w:t>
      </w:r>
      <w:r>
        <w:rPr>
          <w:sz w:val="20"/>
        </w:rPr>
        <w:t>planning</w:t>
      </w:r>
      <w:r>
        <w:rPr>
          <w:spacing w:val="-1"/>
          <w:sz w:val="20"/>
        </w:rPr>
        <w:t xml:space="preserve"> </w:t>
      </w:r>
      <w:r>
        <w:rPr>
          <w:sz w:val="20"/>
        </w:rPr>
        <w:t>companies.</w:t>
      </w:r>
      <w:r>
        <w:rPr>
          <w:spacing w:val="-1"/>
          <w:sz w:val="20"/>
        </w:rPr>
        <w:t xml:space="preserve"> </w:t>
      </w:r>
      <w:r>
        <w:rPr>
          <w:sz w:val="20"/>
        </w:rPr>
        <w:t>First,</w:t>
      </w:r>
      <w:r>
        <w:rPr>
          <w:spacing w:val="-1"/>
          <w:sz w:val="20"/>
        </w:rPr>
        <w:t xml:space="preserve"> </w:t>
      </w:r>
      <w:r>
        <w:rPr>
          <w:sz w:val="20"/>
        </w:rPr>
        <w:t>these</w:t>
      </w:r>
      <w:r>
        <w:rPr>
          <w:spacing w:val="-1"/>
          <w:sz w:val="20"/>
        </w:rPr>
        <w:t xml:space="preserve"> </w:t>
      </w:r>
      <w:r>
        <w:rPr>
          <w:sz w:val="20"/>
        </w:rPr>
        <w:t>entities</w:t>
      </w:r>
      <w:r>
        <w:rPr>
          <w:spacing w:val="-1"/>
          <w:sz w:val="20"/>
        </w:rPr>
        <w:t xml:space="preserve"> </w:t>
      </w:r>
      <w:proofErr w:type="gramStart"/>
      <w:r>
        <w:rPr>
          <w:sz w:val="20"/>
        </w:rPr>
        <w:t>appear</w:t>
      </w:r>
      <w:r>
        <w:rPr>
          <w:spacing w:val="-1"/>
          <w:sz w:val="20"/>
        </w:rPr>
        <w:t xml:space="preserve"> </w:t>
      </w:r>
      <w:r>
        <w:rPr>
          <w:sz w:val="20"/>
        </w:rPr>
        <w:t>to</w:t>
      </w:r>
      <w:r>
        <w:rPr>
          <w:spacing w:val="-1"/>
          <w:sz w:val="20"/>
        </w:rPr>
        <w:t xml:space="preserve"> </w:t>
      </w:r>
      <w:r>
        <w:rPr>
          <w:sz w:val="20"/>
        </w:rPr>
        <w:t>be</w:t>
      </w:r>
      <w:proofErr w:type="gramEnd"/>
      <w:r>
        <w:rPr>
          <w:spacing w:val="-1"/>
          <w:sz w:val="20"/>
        </w:rPr>
        <w:t xml:space="preserve"> </w:t>
      </w:r>
      <w:r>
        <w:rPr>
          <w:sz w:val="20"/>
        </w:rPr>
        <w:t>providing</w:t>
      </w:r>
      <w:r>
        <w:rPr>
          <w:spacing w:val="-1"/>
          <w:sz w:val="20"/>
        </w:rPr>
        <w:t xml:space="preserve"> </w:t>
      </w:r>
      <w:r>
        <w:rPr>
          <w:sz w:val="20"/>
        </w:rPr>
        <w:t>a</w:t>
      </w:r>
      <w:r>
        <w:rPr>
          <w:spacing w:val="-1"/>
          <w:sz w:val="20"/>
        </w:rPr>
        <w:t xml:space="preserve"> </w:t>
      </w:r>
      <w:r>
        <w:rPr>
          <w:sz w:val="20"/>
        </w:rPr>
        <w:t>service</w:t>
      </w:r>
      <w:r>
        <w:rPr>
          <w:spacing w:val="-1"/>
          <w:sz w:val="20"/>
        </w:rPr>
        <w:t xml:space="preserve"> </w:t>
      </w:r>
      <w:r>
        <w:rPr>
          <w:sz w:val="20"/>
        </w:rPr>
        <w:t>that</w:t>
      </w:r>
      <w:r>
        <w:rPr>
          <w:spacing w:val="-1"/>
          <w:sz w:val="20"/>
        </w:rPr>
        <w:t xml:space="preserve"> </w:t>
      </w:r>
      <w:r>
        <w:rPr>
          <w:sz w:val="20"/>
        </w:rPr>
        <w:t xml:space="preserve">creates legal documents for the general public. However, it is unclear whether the </w:t>
      </w:r>
      <w:proofErr w:type="gramStart"/>
      <w:r>
        <w:rPr>
          <w:sz w:val="20"/>
        </w:rPr>
        <w:t>end product</w:t>
      </w:r>
      <w:proofErr w:type="gramEnd"/>
      <w:r>
        <w:rPr>
          <w:sz w:val="20"/>
        </w:rPr>
        <w:t xml:space="preserve"> is a valid legal</w:t>
      </w:r>
      <w:r>
        <w:rPr>
          <w:spacing w:val="-3"/>
          <w:sz w:val="20"/>
        </w:rPr>
        <w:t xml:space="preserve"> </w:t>
      </w:r>
      <w:r>
        <w:rPr>
          <w:sz w:val="20"/>
        </w:rPr>
        <w:t>document,</w:t>
      </w:r>
      <w:r>
        <w:rPr>
          <w:spacing w:val="-3"/>
          <w:sz w:val="20"/>
        </w:rPr>
        <w:t xml:space="preserve"> </w:t>
      </w:r>
      <w:r>
        <w:rPr>
          <w:sz w:val="20"/>
        </w:rPr>
        <w:t>particularly</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Queensland</w:t>
      </w:r>
      <w:r>
        <w:rPr>
          <w:spacing w:val="-3"/>
          <w:sz w:val="20"/>
        </w:rPr>
        <w:t xml:space="preserve"> </w:t>
      </w:r>
      <w:r>
        <w:rPr>
          <w:sz w:val="20"/>
        </w:rPr>
        <w:t>context.</w:t>
      </w:r>
      <w:r>
        <w:rPr>
          <w:spacing w:val="-3"/>
          <w:sz w:val="20"/>
        </w:rPr>
        <w:t xml:space="preserve"> </w:t>
      </w:r>
      <w:r>
        <w:rPr>
          <w:sz w:val="20"/>
        </w:rPr>
        <w:t>Second,</w:t>
      </w:r>
      <w:r>
        <w:rPr>
          <w:spacing w:val="-3"/>
          <w:sz w:val="20"/>
        </w:rPr>
        <w:t xml:space="preserve"> </w:t>
      </w:r>
      <w:r>
        <w:rPr>
          <w:sz w:val="20"/>
        </w:rPr>
        <w:t>these</w:t>
      </w:r>
      <w:r>
        <w:rPr>
          <w:spacing w:val="-3"/>
          <w:sz w:val="20"/>
        </w:rPr>
        <w:t xml:space="preserve"> </w:t>
      </w:r>
      <w:r>
        <w:rPr>
          <w:sz w:val="20"/>
        </w:rPr>
        <w:t>companies</w:t>
      </w:r>
      <w:r>
        <w:rPr>
          <w:spacing w:val="-3"/>
          <w:sz w:val="20"/>
        </w:rPr>
        <w:t xml:space="preserve"> </w:t>
      </w:r>
      <w:r>
        <w:rPr>
          <w:sz w:val="20"/>
        </w:rPr>
        <w:t>are</w:t>
      </w:r>
      <w:r>
        <w:rPr>
          <w:spacing w:val="-3"/>
          <w:sz w:val="20"/>
        </w:rPr>
        <w:t xml:space="preserve"> </w:t>
      </w:r>
      <w:r>
        <w:rPr>
          <w:sz w:val="20"/>
        </w:rPr>
        <w:t>targeting</w:t>
      </w:r>
      <w:r>
        <w:rPr>
          <w:spacing w:val="-3"/>
          <w:sz w:val="20"/>
        </w:rPr>
        <w:t xml:space="preserve"> </w:t>
      </w:r>
      <w:r>
        <w:rPr>
          <w:sz w:val="20"/>
        </w:rPr>
        <w:t>their services at residential aged care providers and the Committee is concerned this may lead people to misunderstand the status of these documents, particularly in Queensland where an</w:t>
      </w:r>
      <w:r>
        <w:rPr>
          <w:spacing w:val="-10"/>
          <w:sz w:val="20"/>
        </w:rPr>
        <w:t xml:space="preserve"> </w:t>
      </w:r>
      <w:r>
        <w:rPr>
          <w:sz w:val="20"/>
        </w:rPr>
        <w:t>Advance Health Directive or Enduring Power of</w:t>
      </w:r>
      <w:r>
        <w:rPr>
          <w:spacing w:val="-4"/>
          <w:sz w:val="20"/>
        </w:rPr>
        <w:t xml:space="preserve"> </w:t>
      </w:r>
      <w:r>
        <w:rPr>
          <w:sz w:val="20"/>
        </w:rPr>
        <w:t xml:space="preserve">Attorney </w:t>
      </w:r>
      <w:proofErr w:type="gramStart"/>
      <w:r>
        <w:rPr>
          <w:sz w:val="20"/>
        </w:rPr>
        <w:t>is required</w:t>
      </w:r>
      <w:proofErr w:type="gramEnd"/>
      <w:r>
        <w:rPr>
          <w:sz w:val="20"/>
        </w:rPr>
        <w:t xml:space="preserve"> to make legally binding health directions.</w:t>
      </w:r>
    </w:p>
    <w:p w14:paraId="76AA6BC3" w14:textId="77777777" w:rsidR="00AC6F3C" w:rsidRDefault="00AC6F3C">
      <w:pPr>
        <w:pStyle w:val="BodyText"/>
        <w:spacing w:before="1"/>
        <w:rPr>
          <w:sz w:val="23"/>
        </w:rPr>
      </w:pPr>
    </w:p>
    <w:p w14:paraId="02F507DD" w14:textId="77777777" w:rsidR="00AC6F3C" w:rsidRDefault="00570E88">
      <w:pPr>
        <w:pStyle w:val="Heading9"/>
      </w:pPr>
      <w:r>
        <w:t>Model</w:t>
      </w:r>
      <w:r>
        <w:rPr>
          <w:spacing w:val="-2"/>
        </w:rPr>
        <w:t xml:space="preserve"> </w:t>
      </w:r>
      <w:r>
        <w:t>financial</w:t>
      </w:r>
      <w:r>
        <w:rPr>
          <w:spacing w:val="-2"/>
        </w:rPr>
        <w:t xml:space="preserve"> </w:t>
      </w:r>
      <w:r>
        <w:t>enduring</w:t>
      </w:r>
      <w:r>
        <w:rPr>
          <w:spacing w:val="-2"/>
        </w:rPr>
        <w:t xml:space="preserve"> </w:t>
      </w:r>
      <w:r>
        <w:t>power</w:t>
      </w:r>
      <w:r>
        <w:rPr>
          <w:spacing w:val="-2"/>
        </w:rPr>
        <w:t xml:space="preserve"> </w:t>
      </w:r>
      <w:r>
        <w:t>of</w:t>
      </w:r>
      <w:r>
        <w:rPr>
          <w:spacing w:val="-2"/>
        </w:rPr>
        <w:t xml:space="preserve"> </w:t>
      </w:r>
      <w:r>
        <w:t>attorney</w:t>
      </w:r>
      <w:r>
        <w:rPr>
          <w:spacing w:val="-1"/>
        </w:rPr>
        <w:t xml:space="preserve"> </w:t>
      </w:r>
      <w:r>
        <w:rPr>
          <w:spacing w:val="-5"/>
        </w:rPr>
        <w:t>law</w:t>
      </w:r>
    </w:p>
    <w:p w14:paraId="0D3B4BAE" w14:textId="77777777" w:rsidR="00AC6F3C" w:rsidRDefault="00570E88">
      <w:pPr>
        <w:pStyle w:val="ListParagraph"/>
        <w:numPr>
          <w:ilvl w:val="0"/>
          <w:numId w:val="58"/>
        </w:numPr>
        <w:tabs>
          <w:tab w:val="left" w:pos="1155"/>
        </w:tabs>
        <w:spacing w:before="176" w:line="249" w:lineRule="auto"/>
        <w:ind w:right="497"/>
        <w:rPr>
          <w:sz w:val="20"/>
        </w:rPr>
      </w:pPr>
      <w:r>
        <w:rPr>
          <w:sz w:val="20"/>
        </w:rPr>
        <w:t>Worked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Queensland</w:t>
      </w:r>
      <w:r>
        <w:rPr>
          <w:spacing w:val="-3"/>
          <w:sz w:val="20"/>
        </w:rPr>
        <w:t xml:space="preserve"> </w:t>
      </w:r>
      <w:r>
        <w:rPr>
          <w:sz w:val="20"/>
        </w:rPr>
        <w:t>Public</w:t>
      </w:r>
      <w:r>
        <w:rPr>
          <w:spacing w:val="-14"/>
          <w:sz w:val="20"/>
        </w:rPr>
        <w:t xml:space="preserve"> </w:t>
      </w:r>
      <w:r>
        <w:rPr>
          <w:sz w:val="20"/>
        </w:rPr>
        <w:t>Advocate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Institute</w:t>
      </w:r>
      <w:r>
        <w:rPr>
          <w:spacing w:val="-3"/>
          <w:sz w:val="20"/>
        </w:rPr>
        <w:t xml:space="preserve"> </w:t>
      </w:r>
      <w:r>
        <w:rPr>
          <w:sz w:val="20"/>
        </w:rPr>
        <w:t>of</w:t>
      </w:r>
      <w:r>
        <w:rPr>
          <w:spacing w:val="-3"/>
          <w:sz w:val="20"/>
        </w:rPr>
        <w:t xml:space="preserve"> </w:t>
      </w:r>
      <w:r>
        <w:rPr>
          <w:sz w:val="20"/>
        </w:rPr>
        <w:t>Victoria</w:t>
      </w:r>
      <w:r>
        <w:rPr>
          <w:spacing w:val="-3"/>
          <w:sz w:val="20"/>
        </w:rPr>
        <w:t xml:space="preserve"> </w:t>
      </w:r>
      <w:r>
        <w:rPr>
          <w:sz w:val="20"/>
        </w:rPr>
        <w:t>to</w:t>
      </w:r>
      <w:r>
        <w:rPr>
          <w:spacing w:val="-3"/>
          <w:sz w:val="20"/>
        </w:rPr>
        <w:t xml:space="preserve"> </w:t>
      </w:r>
      <w:r>
        <w:rPr>
          <w:sz w:val="20"/>
        </w:rPr>
        <w:t>develop</w:t>
      </w:r>
      <w:r>
        <w:rPr>
          <w:spacing w:val="-3"/>
          <w:sz w:val="20"/>
        </w:rPr>
        <w:t xml:space="preserve"> </w:t>
      </w:r>
      <w:r>
        <w:rPr>
          <w:sz w:val="20"/>
        </w:rPr>
        <w:t>a</w:t>
      </w:r>
      <w:r>
        <w:rPr>
          <w:spacing w:val="-3"/>
          <w:sz w:val="20"/>
        </w:rPr>
        <w:t xml:space="preserve"> </w:t>
      </w:r>
      <w:r>
        <w:rPr>
          <w:sz w:val="20"/>
        </w:rPr>
        <w:t>model financial enduring power of attorney law.</w:t>
      </w:r>
    </w:p>
    <w:p w14:paraId="36D31400" w14:textId="77777777" w:rsidR="00AC6F3C" w:rsidRDefault="00AC6F3C">
      <w:pPr>
        <w:pStyle w:val="BodyText"/>
        <w:spacing w:before="9"/>
        <w:rPr>
          <w:sz w:val="22"/>
        </w:rPr>
      </w:pPr>
    </w:p>
    <w:p w14:paraId="5AB320E7" w14:textId="77777777" w:rsidR="00AC6F3C" w:rsidRDefault="00570E88">
      <w:pPr>
        <w:pStyle w:val="Heading9"/>
      </w:pPr>
      <w:r>
        <w:rPr>
          <w:spacing w:val="-2"/>
        </w:rPr>
        <w:t>Submissions</w:t>
      </w:r>
    </w:p>
    <w:p w14:paraId="25021177" w14:textId="77777777" w:rsidR="00AC6F3C" w:rsidRDefault="00570E88">
      <w:pPr>
        <w:pStyle w:val="ListParagraph"/>
        <w:numPr>
          <w:ilvl w:val="0"/>
          <w:numId w:val="58"/>
        </w:numPr>
        <w:tabs>
          <w:tab w:val="left" w:pos="1155"/>
        </w:tabs>
        <w:spacing w:before="176" w:line="249" w:lineRule="auto"/>
        <w:ind w:right="323"/>
        <w:rPr>
          <w:sz w:val="20"/>
        </w:rPr>
      </w:pPr>
      <w:r>
        <w:rPr>
          <w:sz w:val="20"/>
        </w:rPr>
        <w:t>Made</w:t>
      </w:r>
      <w:r>
        <w:rPr>
          <w:spacing w:val="-2"/>
          <w:sz w:val="20"/>
        </w:rPr>
        <w:t xml:space="preserve"> </w:t>
      </w:r>
      <w:r>
        <w:rPr>
          <w:sz w:val="20"/>
        </w:rPr>
        <w:t>a</w:t>
      </w:r>
      <w:r>
        <w:rPr>
          <w:spacing w:val="-2"/>
          <w:sz w:val="20"/>
        </w:rPr>
        <w:t xml:space="preserve"> </w:t>
      </w:r>
      <w:r>
        <w:rPr>
          <w:sz w:val="20"/>
        </w:rPr>
        <w:t>submission</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Law</w:t>
      </w:r>
      <w:r>
        <w:rPr>
          <w:spacing w:val="-2"/>
          <w:sz w:val="20"/>
        </w:rPr>
        <w:t xml:space="preserve"> </w:t>
      </w:r>
      <w:r>
        <w:rPr>
          <w:sz w:val="20"/>
        </w:rPr>
        <w:t>Council</w:t>
      </w:r>
      <w:r>
        <w:rPr>
          <w:spacing w:val="-2"/>
          <w:sz w:val="20"/>
        </w:rPr>
        <w:t xml:space="preserve"> </w:t>
      </w:r>
      <w:r>
        <w:rPr>
          <w:sz w:val="20"/>
        </w:rPr>
        <w:t>of</w:t>
      </w:r>
      <w:r>
        <w:rPr>
          <w:spacing w:val="-13"/>
          <w:sz w:val="20"/>
        </w:rPr>
        <w:t xml:space="preserve"> </w:t>
      </w:r>
      <w:r>
        <w:rPr>
          <w:sz w:val="20"/>
        </w:rPr>
        <w:t>Australia</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‘Consultation</w:t>
      </w:r>
      <w:r>
        <w:rPr>
          <w:spacing w:val="-2"/>
          <w:sz w:val="20"/>
        </w:rPr>
        <w:t xml:space="preserve"> </w:t>
      </w:r>
      <w:r>
        <w:rPr>
          <w:sz w:val="20"/>
        </w:rPr>
        <w:t>Paper</w:t>
      </w:r>
      <w:r>
        <w:rPr>
          <w:spacing w:val="-2"/>
          <w:sz w:val="20"/>
        </w:rPr>
        <w:t xml:space="preserve"> </w:t>
      </w:r>
      <w:r>
        <w:rPr>
          <w:sz w:val="20"/>
        </w:rPr>
        <w:t>No.</w:t>
      </w:r>
      <w:r>
        <w:rPr>
          <w:spacing w:val="-2"/>
          <w:sz w:val="20"/>
        </w:rPr>
        <w:t xml:space="preserve"> </w:t>
      </w:r>
      <w:r>
        <w:rPr>
          <w:sz w:val="20"/>
        </w:rPr>
        <w:t>1</w:t>
      </w:r>
      <w:r>
        <w:rPr>
          <w:spacing w:val="-2"/>
          <w:sz w:val="20"/>
        </w:rPr>
        <w:t xml:space="preserve"> </w:t>
      </w:r>
      <w:r>
        <w:rPr>
          <w:sz w:val="20"/>
        </w:rPr>
        <w:t>–</w:t>
      </w:r>
      <w:r>
        <w:rPr>
          <w:spacing w:val="-13"/>
          <w:sz w:val="20"/>
        </w:rPr>
        <w:t xml:space="preserve"> </w:t>
      </w:r>
      <w:r>
        <w:rPr>
          <w:sz w:val="20"/>
        </w:rPr>
        <w:t>A</w:t>
      </w:r>
      <w:r>
        <w:rPr>
          <w:spacing w:val="-13"/>
          <w:sz w:val="20"/>
        </w:rPr>
        <w:t xml:space="preserve"> </w:t>
      </w:r>
      <w:r>
        <w:rPr>
          <w:sz w:val="20"/>
        </w:rPr>
        <w:t>New</w:t>
      </w:r>
      <w:r>
        <w:rPr>
          <w:spacing w:val="-2"/>
          <w:sz w:val="20"/>
        </w:rPr>
        <w:t xml:space="preserve"> </w:t>
      </w:r>
      <w:r>
        <w:rPr>
          <w:sz w:val="20"/>
        </w:rPr>
        <w:t>Model for Regulating Aged Care’.</w:t>
      </w:r>
    </w:p>
    <w:p w14:paraId="5B64CA03" w14:textId="77777777" w:rsidR="00AC6F3C" w:rsidRDefault="00570E88">
      <w:pPr>
        <w:pStyle w:val="ListParagraph"/>
        <w:numPr>
          <w:ilvl w:val="0"/>
          <w:numId w:val="58"/>
        </w:numPr>
        <w:tabs>
          <w:tab w:val="left" w:pos="1155"/>
        </w:tabs>
        <w:spacing w:before="172" w:line="249" w:lineRule="auto"/>
        <w:ind w:right="590"/>
        <w:rPr>
          <w:sz w:val="20"/>
        </w:rPr>
      </w:pPr>
      <w:r>
        <w:rPr>
          <w:sz w:val="20"/>
        </w:rPr>
        <w:t>Contributed to a submission to the Law Council of</w:t>
      </w:r>
      <w:r>
        <w:rPr>
          <w:spacing w:val="-5"/>
          <w:sz w:val="20"/>
        </w:rPr>
        <w:t xml:space="preserve"> </w:t>
      </w:r>
      <w:r>
        <w:rPr>
          <w:sz w:val="20"/>
        </w:rPr>
        <w:t>Australia, providing feedback on the Draft</w:t>
      </w:r>
      <w:r>
        <w:rPr>
          <w:spacing w:val="40"/>
          <w:sz w:val="20"/>
        </w:rPr>
        <w:t xml:space="preserve"> </w:t>
      </w:r>
      <w:r>
        <w:rPr>
          <w:sz w:val="20"/>
        </w:rPr>
        <w:t>Best</w:t>
      </w:r>
      <w:r>
        <w:rPr>
          <w:spacing w:val="-4"/>
          <w:sz w:val="20"/>
        </w:rPr>
        <w:t xml:space="preserve"> </w:t>
      </w:r>
      <w:r>
        <w:rPr>
          <w:sz w:val="20"/>
        </w:rPr>
        <w:t>Practice</w:t>
      </w:r>
      <w:r>
        <w:rPr>
          <w:spacing w:val="-4"/>
          <w:sz w:val="20"/>
        </w:rPr>
        <w:t xml:space="preserve"> </w:t>
      </w:r>
      <w:r>
        <w:rPr>
          <w:sz w:val="20"/>
        </w:rPr>
        <w:t>Principles</w:t>
      </w:r>
      <w:r>
        <w:rPr>
          <w:spacing w:val="-4"/>
          <w:sz w:val="20"/>
        </w:rPr>
        <w:t xml:space="preserve"> </w:t>
      </w:r>
      <w:r>
        <w:rPr>
          <w:sz w:val="20"/>
        </w:rPr>
        <w:t>for</w:t>
      </w:r>
      <w:r>
        <w:rPr>
          <w:spacing w:val="-4"/>
          <w:sz w:val="20"/>
        </w:rPr>
        <w:t xml:space="preserve"> </w:t>
      </w:r>
      <w:r>
        <w:rPr>
          <w:sz w:val="20"/>
        </w:rPr>
        <w:t>Courts</w:t>
      </w:r>
      <w:r>
        <w:rPr>
          <w:spacing w:val="-4"/>
          <w:sz w:val="20"/>
        </w:rPr>
        <w:t xml:space="preserve"> </w:t>
      </w:r>
      <w:r>
        <w:rPr>
          <w:sz w:val="20"/>
        </w:rPr>
        <w:t>and</w:t>
      </w:r>
      <w:r>
        <w:rPr>
          <w:spacing w:val="-8"/>
          <w:sz w:val="20"/>
        </w:rPr>
        <w:t xml:space="preserve"> </w:t>
      </w:r>
      <w:r>
        <w:rPr>
          <w:sz w:val="20"/>
        </w:rPr>
        <w:t>Tribunals</w:t>
      </w:r>
      <w:r>
        <w:rPr>
          <w:spacing w:val="-4"/>
          <w:sz w:val="20"/>
        </w:rPr>
        <w:t xml:space="preserve"> </w:t>
      </w:r>
      <w:r>
        <w:rPr>
          <w:sz w:val="20"/>
        </w:rPr>
        <w:t>when</w:t>
      </w:r>
      <w:r>
        <w:rPr>
          <w:spacing w:val="-4"/>
          <w:sz w:val="20"/>
        </w:rPr>
        <w:t xml:space="preserve"> </w:t>
      </w:r>
      <w:r>
        <w:rPr>
          <w:sz w:val="20"/>
        </w:rPr>
        <w:t>considering</w:t>
      </w:r>
      <w:r>
        <w:rPr>
          <w:spacing w:val="-4"/>
          <w:sz w:val="20"/>
        </w:rPr>
        <w:t xml:space="preserve"> </w:t>
      </w:r>
      <w:r>
        <w:rPr>
          <w:sz w:val="20"/>
        </w:rPr>
        <w:t>the</w:t>
      </w:r>
      <w:r>
        <w:rPr>
          <w:spacing w:val="-4"/>
          <w:sz w:val="20"/>
        </w:rPr>
        <w:t xml:space="preserve"> </w:t>
      </w:r>
      <w:r>
        <w:rPr>
          <w:sz w:val="20"/>
        </w:rPr>
        <w:t>appropriateness</w:t>
      </w:r>
      <w:r>
        <w:rPr>
          <w:spacing w:val="-4"/>
          <w:sz w:val="20"/>
        </w:rPr>
        <w:t xml:space="preserve"> </w:t>
      </w:r>
      <w:r>
        <w:rPr>
          <w:sz w:val="20"/>
        </w:rPr>
        <w:t>of</w:t>
      </w:r>
      <w:r>
        <w:rPr>
          <w:spacing w:val="-4"/>
          <w:sz w:val="20"/>
        </w:rPr>
        <w:t xml:space="preserve"> </w:t>
      </w:r>
      <w:r>
        <w:rPr>
          <w:sz w:val="20"/>
        </w:rPr>
        <w:t xml:space="preserve">online </w:t>
      </w:r>
      <w:r>
        <w:rPr>
          <w:spacing w:val="-2"/>
          <w:sz w:val="20"/>
        </w:rPr>
        <w:t>proceedings.</w:t>
      </w:r>
    </w:p>
    <w:p w14:paraId="44A6AF61" w14:textId="77777777" w:rsidR="00AC6F3C" w:rsidRDefault="00570E88">
      <w:pPr>
        <w:pStyle w:val="ListParagraph"/>
        <w:numPr>
          <w:ilvl w:val="0"/>
          <w:numId w:val="58"/>
        </w:numPr>
        <w:tabs>
          <w:tab w:val="left" w:pos="1155"/>
        </w:tabs>
        <w:spacing w:before="172" w:line="249" w:lineRule="auto"/>
        <w:ind w:right="246"/>
        <w:rPr>
          <w:sz w:val="20"/>
        </w:rPr>
      </w:pPr>
      <w:r>
        <w:rPr>
          <w:sz w:val="20"/>
        </w:rPr>
        <w:t>Made</w:t>
      </w:r>
      <w:r>
        <w:rPr>
          <w:spacing w:val="-2"/>
          <w:sz w:val="20"/>
        </w:rPr>
        <w:t xml:space="preserve"> </w:t>
      </w:r>
      <w:r>
        <w:rPr>
          <w:sz w:val="20"/>
        </w:rPr>
        <w:t>a</w:t>
      </w:r>
      <w:r>
        <w:rPr>
          <w:spacing w:val="-2"/>
          <w:sz w:val="20"/>
        </w:rPr>
        <w:t xml:space="preserve"> </w:t>
      </w:r>
      <w:r>
        <w:rPr>
          <w:sz w:val="20"/>
        </w:rPr>
        <w:t>submission</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Law</w:t>
      </w:r>
      <w:r>
        <w:rPr>
          <w:spacing w:val="-2"/>
          <w:sz w:val="20"/>
        </w:rPr>
        <w:t xml:space="preserve"> </w:t>
      </w:r>
      <w:r>
        <w:rPr>
          <w:sz w:val="20"/>
        </w:rPr>
        <w:t>Council</w:t>
      </w:r>
      <w:r>
        <w:rPr>
          <w:spacing w:val="-2"/>
          <w:sz w:val="20"/>
        </w:rPr>
        <w:t xml:space="preserve"> </w:t>
      </w:r>
      <w:r>
        <w:rPr>
          <w:sz w:val="20"/>
        </w:rPr>
        <w:t>of</w:t>
      </w:r>
      <w:r>
        <w:rPr>
          <w:spacing w:val="-13"/>
          <w:sz w:val="20"/>
        </w:rPr>
        <w:t xml:space="preserve"> </w:t>
      </w:r>
      <w:r>
        <w:rPr>
          <w:sz w:val="20"/>
        </w:rPr>
        <w:t>Australia</w:t>
      </w:r>
      <w:r>
        <w:rPr>
          <w:spacing w:val="-2"/>
          <w:sz w:val="20"/>
        </w:rPr>
        <w:t xml:space="preserve"> </w:t>
      </w:r>
      <w:r>
        <w:rPr>
          <w:sz w:val="20"/>
        </w:rPr>
        <w:t>in</w:t>
      </w:r>
      <w:r>
        <w:rPr>
          <w:spacing w:val="-2"/>
          <w:sz w:val="20"/>
        </w:rPr>
        <w:t xml:space="preserve"> </w:t>
      </w:r>
      <w:r>
        <w:rPr>
          <w:sz w:val="20"/>
        </w:rPr>
        <w:t>respect</w:t>
      </w:r>
      <w:r>
        <w:rPr>
          <w:spacing w:val="-2"/>
          <w:sz w:val="20"/>
        </w:rPr>
        <w:t xml:space="preserve"> </w:t>
      </w:r>
      <w:r>
        <w:rPr>
          <w:sz w:val="20"/>
        </w:rPr>
        <w:t>of</w:t>
      </w:r>
      <w:r>
        <w:rPr>
          <w:spacing w:val="-2"/>
          <w:sz w:val="20"/>
        </w:rPr>
        <w:t xml:space="preserve"> </w:t>
      </w:r>
      <w:r>
        <w:rPr>
          <w:sz w:val="20"/>
        </w:rPr>
        <w:t>its</w:t>
      </w:r>
      <w:r>
        <w:rPr>
          <w:spacing w:val="-2"/>
          <w:sz w:val="20"/>
        </w:rPr>
        <w:t xml:space="preserve"> </w:t>
      </w:r>
      <w:r>
        <w:rPr>
          <w:sz w:val="20"/>
        </w:rPr>
        <w:t>review</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Best</w:t>
      </w:r>
      <w:r>
        <w:rPr>
          <w:spacing w:val="-2"/>
          <w:sz w:val="20"/>
        </w:rPr>
        <w:t xml:space="preserve"> </w:t>
      </w:r>
      <w:r>
        <w:rPr>
          <w:sz w:val="20"/>
        </w:rPr>
        <w:t>Practice</w:t>
      </w:r>
      <w:r>
        <w:rPr>
          <w:spacing w:val="-2"/>
          <w:sz w:val="20"/>
        </w:rPr>
        <w:t xml:space="preserve"> </w:t>
      </w:r>
      <w:r>
        <w:rPr>
          <w:sz w:val="20"/>
        </w:rPr>
        <w:t>Guide for Legal Practitioners in relation to Elder Financial Abuse.</w:t>
      </w:r>
    </w:p>
    <w:p w14:paraId="49A2F15B" w14:textId="77777777" w:rsidR="00AC6F3C" w:rsidRDefault="00570E88">
      <w:pPr>
        <w:pStyle w:val="ListParagraph"/>
        <w:numPr>
          <w:ilvl w:val="0"/>
          <w:numId w:val="58"/>
        </w:numPr>
        <w:tabs>
          <w:tab w:val="left" w:pos="1155"/>
        </w:tabs>
        <w:spacing w:before="172" w:line="249" w:lineRule="auto"/>
        <w:ind w:right="608"/>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on</w:t>
      </w:r>
      <w:r>
        <w:rPr>
          <w:spacing w:val="-3"/>
          <w:sz w:val="20"/>
        </w:rPr>
        <w:t xml:space="preserve"> </w:t>
      </w:r>
      <w:r>
        <w:rPr>
          <w:sz w:val="20"/>
        </w:rPr>
        <w:t>reforms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i/>
          <w:sz w:val="20"/>
        </w:rPr>
        <w:t>Body</w:t>
      </w:r>
      <w:r>
        <w:rPr>
          <w:i/>
          <w:spacing w:val="-3"/>
          <w:sz w:val="20"/>
        </w:rPr>
        <w:t xml:space="preserve"> </w:t>
      </w:r>
      <w:r>
        <w:rPr>
          <w:i/>
          <w:sz w:val="20"/>
        </w:rPr>
        <w:t>Corporate</w:t>
      </w:r>
      <w:r>
        <w:rPr>
          <w:i/>
          <w:spacing w:val="-3"/>
          <w:sz w:val="20"/>
        </w:rPr>
        <w:t xml:space="preserve"> </w:t>
      </w:r>
      <w:r>
        <w:rPr>
          <w:i/>
          <w:sz w:val="20"/>
        </w:rPr>
        <w:t>and</w:t>
      </w:r>
      <w:r>
        <w:rPr>
          <w:i/>
          <w:spacing w:val="-3"/>
          <w:sz w:val="20"/>
        </w:rPr>
        <w:t xml:space="preserve"> </w:t>
      </w:r>
      <w:r>
        <w:rPr>
          <w:i/>
          <w:sz w:val="20"/>
        </w:rPr>
        <w:t>Community</w:t>
      </w:r>
      <w:r>
        <w:rPr>
          <w:i/>
          <w:spacing w:val="-3"/>
          <w:sz w:val="20"/>
        </w:rPr>
        <w:t xml:space="preserve"> </w:t>
      </w:r>
      <w:r>
        <w:rPr>
          <w:i/>
          <w:sz w:val="20"/>
        </w:rPr>
        <w:t>Management</w:t>
      </w:r>
      <w:r>
        <w:rPr>
          <w:i/>
          <w:spacing w:val="-10"/>
          <w:sz w:val="20"/>
        </w:rPr>
        <w:t xml:space="preserve"> </w:t>
      </w:r>
      <w:r>
        <w:rPr>
          <w:i/>
          <w:sz w:val="20"/>
        </w:rPr>
        <w:t xml:space="preserve">Act 1997 </w:t>
      </w:r>
      <w:r>
        <w:rPr>
          <w:sz w:val="20"/>
        </w:rPr>
        <w:t>(Qld) that affect retirement villages.</w:t>
      </w:r>
    </w:p>
    <w:p w14:paraId="0B121717" w14:textId="77777777" w:rsidR="00AC6F3C" w:rsidRDefault="00570E88">
      <w:pPr>
        <w:pStyle w:val="ListParagraph"/>
        <w:numPr>
          <w:ilvl w:val="0"/>
          <w:numId w:val="58"/>
        </w:numPr>
        <w:tabs>
          <w:tab w:val="left" w:pos="1155"/>
        </w:tabs>
        <w:spacing w:before="172"/>
        <w:ind w:hanging="340"/>
        <w:rPr>
          <w:sz w:val="20"/>
        </w:rPr>
      </w:pPr>
      <w:r>
        <w:rPr>
          <w:sz w:val="20"/>
        </w:rPr>
        <w:t>Provided</w:t>
      </w:r>
      <w:r>
        <w:rPr>
          <w:spacing w:val="-6"/>
          <w:sz w:val="20"/>
        </w:rPr>
        <w:t xml:space="preserve"> </w:t>
      </w:r>
      <w:r>
        <w:rPr>
          <w:sz w:val="20"/>
        </w:rPr>
        <w:t>feedback</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review</w:t>
      </w:r>
      <w:r>
        <w:rPr>
          <w:spacing w:val="-5"/>
          <w:sz w:val="20"/>
        </w:rPr>
        <w:t xml:space="preserve"> </w:t>
      </w:r>
      <w:r>
        <w:rPr>
          <w:sz w:val="20"/>
        </w:rPr>
        <w:t>of</w:t>
      </w:r>
      <w:r>
        <w:rPr>
          <w:spacing w:val="-6"/>
          <w:sz w:val="20"/>
        </w:rPr>
        <w:t xml:space="preserve"> </w:t>
      </w:r>
      <w:r>
        <w:rPr>
          <w:sz w:val="20"/>
        </w:rPr>
        <w:t>the</w:t>
      </w:r>
      <w:r>
        <w:rPr>
          <w:spacing w:val="-5"/>
          <w:sz w:val="20"/>
        </w:rPr>
        <w:t xml:space="preserve"> </w:t>
      </w:r>
      <w:r>
        <w:rPr>
          <w:i/>
          <w:sz w:val="20"/>
        </w:rPr>
        <w:t>Queensland</w:t>
      </w:r>
      <w:r>
        <w:rPr>
          <w:i/>
          <w:spacing w:val="-5"/>
          <w:sz w:val="20"/>
        </w:rPr>
        <w:t xml:space="preserve"> </w:t>
      </w:r>
      <w:r>
        <w:rPr>
          <w:i/>
          <w:sz w:val="20"/>
        </w:rPr>
        <w:t>Civil</w:t>
      </w:r>
      <w:r>
        <w:rPr>
          <w:i/>
          <w:spacing w:val="-5"/>
          <w:sz w:val="20"/>
        </w:rPr>
        <w:t xml:space="preserve"> </w:t>
      </w:r>
      <w:r>
        <w:rPr>
          <w:i/>
          <w:sz w:val="20"/>
        </w:rPr>
        <w:t>and</w:t>
      </w:r>
      <w:r>
        <w:rPr>
          <w:i/>
          <w:spacing w:val="-13"/>
          <w:sz w:val="20"/>
        </w:rPr>
        <w:t xml:space="preserve"> </w:t>
      </w:r>
      <w:r>
        <w:rPr>
          <w:i/>
          <w:sz w:val="20"/>
        </w:rPr>
        <w:t>Administrative</w:t>
      </w:r>
      <w:r>
        <w:rPr>
          <w:i/>
          <w:spacing w:val="-5"/>
          <w:sz w:val="20"/>
        </w:rPr>
        <w:t xml:space="preserve"> </w:t>
      </w:r>
      <w:r>
        <w:rPr>
          <w:i/>
          <w:sz w:val="20"/>
        </w:rPr>
        <w:t>Tribunal</w:t>
      </w:r>
      <w:r>
        <w:rPr>
          <w:i/>
          <w:spacing w:val="-12"/>
          <w:sz w:val="20"/>
        </w:rPr>
        <w:t xml:space="preserve"> </w:t>
      </w:r>
      <w:r>
        <w:rPr>
          <w:i/>
          <w:sz w:val="20"/>
        </w:rPr>
        <w:t>Act</w:t>
      </w:r>
      <w:r>
        <w:rPr>
          <w:i/>
          <w:spacing w:val="-5"/>
          <w:sz w:val="20"/>
        </w:rPr>
        <w:t xml:space="preserve"> </w:t>
      </w:r>
      <w:r>
        <w:rPr>
          <w:i/>
          <w:spacing w:val="-2"/>
          <w:sz w:val="20"/>
        </w:rPr>
        <w:t>2009</w:t>
      </w:r>
      <w:r>
        <w:rPr>
          <w:spacing w:val="-2"/>
          <w:sz w:val="20"/>
        </w:rPr>
        <w:t>.</w:t>
      </w:r>
    </w:p>
    <w:p w14:paraId="500C7777" w14:textId="77777777" w:rsidR="00AC6F3C" w:rsidRDefault="00AC6F3C">
      <w:pPr>
        <w:pStyle w:val="BodyText"/>
        <w:spacing w:before="6"/>
        <w:rPr>
          <w:sz w:val="23"/>
        </w:rPr>
      </w:pPr>
    </w:p>
    <w:p w14:paraId="094FED38" w14:textId="77777777" w:rsidR="00AC6F3C" w:rsidRDefault="00570E88">
      <w:pPr>
        <w:pStyle w:val="Heading9"/>
      </w:pPr>
      <w:r>
        <w:t>Stakeholder</w:t>
      </w:r>
      <w:r>
        <w:rPr>
          <w:spacing w:val="-10"/>
        </w:rPr>
        <w:t xml:space="preserve"> </w:t>
      </w:r>
      <w:r>
        <w:rPr>
          <w:spacing w:val="-2"/>
        </w:rPr>
        <w:t>Meetings</w:t>
      </w:r>
    </w:p>
    <w:p w14:paraId="5A4C40C7" w14:textId="77777777" w:rsidR="00AC6F3C" w:rsidRDefault="00570E88">
      <w:pPr>
        <w:pStyle w:val="ListParagraph"/>
        <w:numPr>
          <w:ilvl w:val="0"/>
          <w:numId w:val="58"/>
        </w:numPr>
        <w:tabs>
          <w:tab w:val="left" w:pos="1155"/>
        </w:tabs>
        <w:spacing w:before="176" w:line="249" w:lineRule="auto"/>
        <w:ind w:right="168"/>
        <w:rPr>
          <w:sz w:val="20"/>
        </w:rPr>
      </w:pPr>
      <w:r>
        <w:rPr>
          <w:sz w:val="20"/>
        </w:rPr>
        <w:t xml:space="preserve">Attended a number of stakeholder meetings, including meeting with the President, Senior </w:t>
      </w:r>
      <w:proofErr w:type="gramStart"/>
      <w:r>
        <w:rPr>
          <w:sz w:val="20"/>
        </w:rPr>
        <w:t>Members</w:t>
      </w:r>
      <w:proofErr w:type="gramEnd"/>
      <w:r>
        <w:rPr>
          <w:sz w:val="20"/>
        </w:rPr>
        <w:t xml:space="preserve"> and</w:t>
      </w:r>
      <w:r>
        <w:rPr>
          <w:spacing w:val="-4"/>
          <w:sz w:val="20"/>
        </w:rPr>
        <w:t xml:space="preserve"> </w:t>
      </w:r>
      <w:r>
        <w:rPr>
          <w:sz w:val="20"/>
        </w:rPr>
        <w:t>staff</w:t>
      </w:r>
      <w:r>
        <w:rPr>
          <w:spacing w:val="-4"/>
          <w:sz w:val="20"/>
        </w:rPr>
        <w:t xml:space="preserve"> </w:t>
      </w:r>
      <w:r>
        <w:rPr>
          <w:sz w:val="20"/>
        </w:rPr>
        <w:t>of</w:t>
      </w:r>
      <w:r>
        <w:rPr>
          <w:spacing w:val="-4"/>
          <w:sz w:val="20"/>
        </w:rPr>
        <w:t xml:space="preserve"> </w:t>
      </w:r>
      <w:r>
        <w:rPr>
          <w:sz w:val="20"/>
        </w:rPr>
        <w:t>QCAT</w:t>
      </w:r>
      <w:r>
        <w:rPr>
          <w:spacing w:val="-7"/>
          <w:sz w:val="20"/>
        </w:rPr>
        <w:t xml:space="preserve"> </w:t>
      </w:r>
      <w:r>
        <w:rPr>
          <w:sz w:val="20"/>
        </w:rPr>
        <w:t>to</w:t>
      </w:r>
      <w:r>
        <w:rPr>
          <w:spacing w:val="-4"/>
          <w:sz w:val="20"/>
        </w:rPr>
        <w:t xml:space="preserve"> </w:t>
      </w:r>
      <w:r>
        <w:rPr>
          <w:sz w:val="20"/>
        </w:rPr>
        <w:t>discuss</w:t>
      </w:r>
      <w:r>
        <w:rPr>
          <w:spacing w:val="-4"/>
          <w:sz w:val="20"/>
        </w:rPr>
        <w:t xml:space="preserve"> </w:t>
      </w:r>
      <w:r>
        <w:rPr>
          <w:sz w:val="20"/>
        </w:rPr>
        <w:t>a</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issues</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guardianship</w:t>
      </w:r>
      <w:r>
        <w:rPr>
          <w:spacing w:val="-4"/>
          <w:sz w:val="20"/>
        </w:rPr>
        <w:t xml:space="preserve"> </w:t>
      </w:r>
      <w:r>
        <w:rPr>
          <w:sz w:val="20"/>
        </w:rPr>
        <w:t>matters,</w:t>
      </w:r>
      <w:r>
        <w:rPr>
          <w:spacing w:val="-4"/>
          <w:sz w:val="20"/>
        </w:rPr>
        <w:t xml:space="preserve"> </w:t>
      </w:r>
      <w:r>
        <w:rPr>
          <w:sz w:val="20"/>
        </w:rPr>
        <w:t>and</w:t>
      </w:r>
      <w:r>
        <w:rPr>
          <w:spacing w:val="-4"/>
          <w:sz w:val="20"/>
        </w:rPr>
        <w:t xml:space="preserve"> </w:t>
      </w:r>
      <w:r>
        <w:rPr>
          <w:sz w:val="20"/>
        </w:rPr>
        <w:t>meeting</w:t>
      </w:r>
      <w:r>
        <w:rPr>
          <w:spacing w:val="-4"/>
          <w:sz w:val="20"/>
        </w:rPr>
        <w:t xml:space="preserve"> </w:t>
      </w:r>
      <w:r>
        <w:rPr>
          <w:sz w:val="20"/>
        </w:rPr>
        <w:t>with the Queensland Public</w:t>
      </w:r>
      <w:r>
        <w:rPr>
          <w:spacing w:val="-1"/>
          <w:sz w:val="20"/>
        </w:rPr>
        <w:t xml:space="preserve"> </w:t>
      </w:r>
      <w:r>
        <w:rPr>
          <w:sz w:val="20"/>
        </w:rPr>
        <w:t>Advocate regarding restrictive practices in aged care.</w:t>
      </w:r>
    </w:p>
    <w:p w14:paraId="3A5DFE6A" w14:textId="77777777" w:rsidR="00AC6F3C" w:rsidRDefault="00AC6F3C">
      <w:pPr>
        <w:spacing w:line="249" w:lineRule="auto"/>
        <w:rPr>
          <w:sz w:val="20"/>
        </w:rPr>
        <w:sectPr w:rsidR="00AC6F3C">
          <w:headerReference w:type="default" r:id="rId84"/>
          <w:footerReference w:type="default" r:id="rId85"/>
          <w:pgSz w:w="11910" w:h="16840"/>
          <w:pgMar w:top="1140" w:right="1160" w:bottom="520" w:left="460" w:header="0" w:footer="336" w:gutter="0"/>
          <w:cols w:space="720"/>
        </w:sectPr>
      </w:pPr>
    </w:p>
    <w:p w14:paraId="42F60678" w14:textId="77777777" w:rsidR="00AC6F3C" w:rsidRDefault="00570E88">
      <w:pPr>
        <w:spacing w:before="63"/>
        <w:ind w:left="815"/>
        <w:rPr>
          <w:b/>
          <w:sz w:val="26"/>
        </w:rPr>
      </w:pPr>
      <w:r>
        <w:rPr>
          <w:b/>
          <w:sz w:val="26"/>
        </w:rPr>
        <w:lastRenderedPageBreak/>
        <w:t>Energy</w:t>
      </w:r>
      <w:r>
        <w:rPr>
          <w:b/>
          <w:spacing w:val="-4"/>
          <w:sz w:val="26"/>
        </w:rPr>
        <w:t xml:space="preserve"> </w:t>
      </w:r>
      <w:r>
        <w:rPr>
          <w:b/>
          <w:sz w:val="26"/>
        </w:rPr>
        <w:t>and</w:t>
      </w:r>
      <w:r>
        <w:rPr>
          <w:b/>
          <w:spacing w:val="-3"/>
          <w:sz w:val="26"/>
        </w:rPr>
        <w:t xml:space="preserve"> </w:t>
      </w:r>
      <w:r>
        <w:rPr>
          <w:b/>
          <w:sz w:val="26"/>
        </w:rPr>
        <w:t>Resources</w:t>
      </w:r>
      <w:r>
        <w:rPr>
          <w:b/>
          <w:spacing w:val="-3"/>
          <w:sz w:val="26"/>
        </w:rPr>
        <w:t xml:space="preserve"> </w:t>
      </w:r>
      <w:r>
        <w:rPr>
          <w:b/>
          <w:sz w:val="26"/>
        </w:rPr>
        <w:t>Law</w:t>
      </w:r>
      <w:r>
        <w:rPr>
          <w:b/>
          <w:spacing w:val="-3"/>
          <w:sz w:val="26"/>
        </w:rPr>
        <w:t xml:space="preserve"> </w:t>
      </w:r>
      <w:r>
        <w:rPr>
          <w:b/>
          <w:spacing w:val="-2"/>
          <w:sz w:val="26"/>
        </w:rPr>
        <w:t>Committee</w:t>
      </w:r>
    </w:p>
    <w:p w14:paraId="7362FAE3" w14:textId="77777777" w:rsidR="00AC6F3C" w:rsidRDefault="00570E88">
      <w:pPr>
        <w:pStyle w:val="ListParagraph"/>
        <w:numPr>
          <w:ilvl w:val="0"/>
          <w:numId w:val="58"/>
        </w:numPr>
        <w:tabs>
          <w:tab w:val="left" w:pos="1155"/>
        </w:tabs>
        <w:spacing w:before="167" w:line="249" w:lineRule="auto"/>
        <w:ind w:right="168"/>
        <w:rPr>
          <w:sz w:val="20"/>
        </w:rPr>
      </w:pPr>
      <w:r>
        <w:rPr>
          <w:sz w:val="20"/>
        </w:rPr>
        <w:t>The</w:t>
      </w:r>
      <w:r>
        <w:rPr>
          <w:spacing w:val="-3"/>
          <w:sz w:val="20"/>
        </w:rPr>
        <w:t xml:space="preserve"> </w:t>
      </w:r>
      <w:r>
        <w:rPr>
          <w:sz w:val="20"/>
        </w:rPr>
        <w:t>committee</w:t>
      </w:r>
      <w:r>
        <w:rPr>
          <w:spacing w:val="-3"/>
          <w:sz w:val="20"/>
        </w:rPr>
        <w:t xml:space="preserve"> </w:t>
      </w:r>
      <w:r>
        <w:rPr>
          <w:sz w:val="20"/>
        </w:rPr>
        <w:t>submitted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Gas</w:t>
      </w:r>
      <w:r>
        <w:rPr>
          <w:spacing w:val="-3"/>
          <w:sz w:val="20"/>
        </w:rPr>
        <w:t xml:space="preserve"> </w:t>
      </w:r>
      <w:r>
        <w:rPr>
          <w:sz w:val="20"/>
        </w:rPr>
        <w:t>Supply</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Legislation</w:t>
      </w:r>
      <w:r>
        <w:rPr>
          <w:spacing w:val="-3"/>
          <w:sz w:val="20"/>
        </w:rPr>
        <w:t xml:space="preserve"> </w:t>
      </w:r>
      <w:r>
        <w:rPr>
          <w:sz w:val="20"/>
        </w:rPr>
        <w:t>(Hydrogen</w:t>
      </w:r>
      <w:r>
        <w:rPr>
          <w:spacing w:val="-3"/>
          <w:sz w:val="20"/>
        </w:rPr>
        <w:t xml:space="preserve"> </w:t>
      </w:r>
      <w:r>
        <w:rPr>
          <w:sz w:val="20"/>
        </w:rPr>
        <w:t>Industry</w:t>
      </w:r>
      <w:r>
        <w:rPr>
          <w:spacing w:val="-3"/>
          <w:sz w:val="20"/>
        </w:rPr>
        <w:t xml:space="preserve"> </w:t>
      </w:r>
      <w:r>
        <w:rPr>
          <w:sz w:val="20"/>
        </w:rPr>
        <w:t xml:space="preserve">Development) Amendment Bill 2023 </w:t>
      </w:r>
      <w:proofErr w:type="gramStart"/>
      <w:r>
        <w:rPr>
          <w:sz w:val="20"/>
        </w:rPr>
        <w:t>and also</w:t>
      </w:r>
      <w:proofErr w:type="gramEnd"/>
      <w:r>
        <w:rPr>
          <w:sz w:val="20"/>
        </w:rPr>
        <w:t xml:space="preserve"> appeared at the public parliamentary hearing on the Bill. QLS broadly supported the proposed approach to extend the existing regulatory framework for gas to emerging hydrogen projects.</w:t>
      </w:r>
    </w:p>
    <w:p w14:paraId="373FD9BD" w14:textId="77777777" w:rsidR="00AC6F3C" w:rsidRDefault="00570E88">
      <w:pPr>
        <w:pStyle w:val="ListParagraph"/>
        <w:numPr>
          <w:ilvl w:val="0"/>
          <w:numId w:val="58"/>
        </w:numPr>
        <w:tabs>
          <w:tab w:val="left" w:pos="1155"/>
        </w:tabs>
        <w:spacing w:before="174" w:line="249" w:lineRule="auto"/>
        <w:ind w:right="245"/>
        <w:rPr>
          <w:sz w:val="20"/>
        </w:rPr>
      </w:pPr>
      <w:r>
        <w:rPr>
          <w:sz w:val="20"/>
        </w:rPr>
        <w:t>The committee worked collaboratively with other policy committees to contribute to a range of submissions, including working with the QLS First Nations Legal Policy Committee to respond to the Law</w:t>
      </w:r>
      <w:r>
        <w:rPr>
          <w:spacing w:val="-3"/>
          <w:sz w:val="20"/>
        </w:rPr>
        <w:t xml:space="preserve"> </w:t>
      </w:r>
      <w:r>
        <w:rPr>
          <w:sz w:val="20"/>
        </w:rPr>
        <w:t>Council</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discussion</w:t>
      </w:r>
      <w:r>
        <w:rPr>
          <w:spacing w:val="-3"/>
          <w:sz w:val="20"/>
        </w:rPr>
        <w:t xml:space="preserve"> </w:t>
      </w:r>
      <w:r>
        <w:rPr>
          <w:sz w:val="20"/>
        </w:rPr>
        <w:t>paper</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sunsetting</w:t>
      </w:r>
      <w:r>
        <w:rPr>
          <w:spacing w:val="-3"/>
          <w:sz w:val="20"/>
        </w:rPr>
        <w:t xml:space="preserve"> </w:t>
      </w:r>
      <w:r>
        <w:rPr>
          <w:sz w:val="20"/>
        </w:rPr>
        <w:t>instruments</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i/>
          <w:sz w:val="20"/>
        </w:rPr>
        <w:t xml:space="preserve">Native Title Act 1993 </w:t>
      </w:r>
      <w:r>
        <w:rPr>
          <w:sz w:val="20"/>
        </w:rPr>
        <w:t>(</w:t>
      </w:r>
      <w:proofErr w:type="spellStart"/>
      <w:r>
        <w:rPr>
          <w:sz w:val="20"/>
        </w:rPr>
        <w:t>Cth</w:t>
      </w:r>
      <w:proofErr w:type="spellEnd"/>
      <w:r>
        <w:rPr>
          <w:sz w:val="20"/>
        </w:rPr>
        <w:t>)”.</w:t>
      </w:r>
    </w:p>
    <w:p w14:paraId="27910A7E" w14:textId="77777777" w:rsidR="00AC6F3C" w:rsidRDefault="00570E88">
      <w:pPr>
        <w:pStyle w:val="ListParagraph"/>
        <w:numPr>
          <w:ilvl w:val="0"/>
          <w:numId w:val="58"/>
        </w:numPr>
        <w:tabs>
          <w:tab w:val="left" w:pos="1155"/>
        </w:tabs>
        <w:spacing w:before="173"/>
        <w:ind w:hanging="340"/>
        <w:rPr>
          <w:sz w:val="20"/>
        </w:rPr>
      </w:pPr>
      <w:r>
        <w:rPr>
          <w:sz w:val="20"/>
        </w:rPr>
        <w:t>The</w:t>
      </w:r>
      <w:r>
        <w:rPr>
          <w:spacing w:val="-6"/>
          <w:sz w:val="20"/>
        </w:rPr>
        <w:t xml:space="preserve"> </w:t>
      </w:r>
      <w:r>
        <w:rPr>
          <w:sz w:val="20"/>
        </w:rPr>
        <w:t>committee</w:t>
      </w:r>
      <w:r>
        <w:rPr>
          <w:spacing w:val="-4"/>
          <w:sz w:val="20"/>
        </w:rPr>
        <w:t xml:space="preserve"> </w:t>
      </w:r>
      <w:r>
        <w:rPr>
          <w:sz w:val="20"/>
        </w:rPr>
        <w:t>has</w:t>
      </w:r>
      <w:r>
        <w:rPr>
          <w:spacing w:val="-4"/>
          <w:sz w:val="20"/>
        </w:rPr>
        <w:t xml:space="preserve"> </w:t>
      </w:r>
      <w:r>
        <w:rPr>
          <w:sz w:val="20"/>
        </w:rPr>
        <w:t>contributed</w:t>
      </w:r>
      <w:r>
        <w:rPr>
          <w:spacing w:val="-4"/>
          <w:sz w:val="20"/>
        </w:rPr>
        <w:t xml:space="preserve"> </w:t>
      </w:r>
      <w:r>
        <w:rPr>
          <w:sz w:val="20"/>
        </w:rPr>
        <w:t>to</w:t>
      </w:r>
      <w:r>
        <w:rPr>
          <w:spacing w:val="-3"/>
          <w:sz w:val="20"/>
        </w:rPr>
        <w:t xml:space="preserve"> </w:t>
      </w:r>
      <w:r>
        <w:rPr>
          <w:sz w:val="20"/>
        </w:rPr>
        <w:t>seven</w:t>
      </w:r>
      <w:r>
        <w:rPr>
          <w:spacing w:val="-4"/>
          <w:sz w:val="20"/>
        </w:rPr>
        <w:t xml:space="preserve"> </w:t>
      </w:r>
      <w:r>
        <w:rPr>
          <w:sz w:val="20"/>
        </w:rPr>
        <w:t>submissions</w:t>
      </w:r>
      <w:r>
        <w:rPr>
          <w:spacing w:val="-4"/>
          <w:sz w:val="20"/>
        </w:rPr>
        <w:t xml:space="preserve"> </w:t>
      </w:r>
      <w:r>
        <w:rPr>
          <w:sz w:val="20"/>
        </w:rPr>
        <w:t>during</w:t>
      </w:r>
      <w:r>
        <w:rPr>
          <w:spacing w:val="-4"/>
          <w:sz w:val="20"/>
        </w:rPr>
        <w:t xml:space="preserve"> </w:t>
      </w:r>
      <w:r>
        <w:rPr>
          <w:sz w:val="20"/>
        </w:rPr>
        <w:t>this</w:t>
      </w:r>
      <w:r>
        <w:rPr>
          <w:spacing w:val="-4"/>
          <w:sz w:val="20"/>
        </w:rPr>
        <w:t xml:space="preserve"> </w:t>
      </w:r>
      <w:proofErr w:type="gramStart"/>
      <w:r>
        <w:rPr>
          <w:sz w:val="20"/>
        </w:rPr>
        <w:t>financial</w:t>
      </w:r>
      <w:r>
        <w:rPr>
          <w:spacing w:val="-3"/>
          <w:sz w:val="20"/>
        </w:rPr>
        <w:t xml:space="preserve"> </w:t>
      </w:r>
      <w:r>
        <w:rPr>
          <w:spacing w:val="-2"/>
          <w:sz w:val="20"/>
        </w:rPr>
        <w:t>year</w:t>
      </w:r>
      <w:proofErr w:type="gramEnd"/>
      <w:r>
        <w:rPr>
          <w:spacing w:val="-2"/>
          <w:sz w:val="20"/>
        </w:rPr>
        <w:t>.</w:t>
      </w:r>
    </w:p>
    <w:p w14:paraId="024C4DA8" w14:textId="77777777" w:rsidR="00AC6F3C" w:rsidRDefault="00570E88">
      <w:pPr>
        <w:pStyle w:val="ListParagraph"/>
        <w:numPr>
          <w:ilvl w:val="0"/>
          <w:numId w:val="58"/>
        </w:numPr>
        <w:tabs>
          <w:tab w:val="left" w:pos="1155"/>
        </w:tabs>
        <w:spacing w:line="249" w:lineRule="auto"/>
        <w:ind w:right="304"/>
        <w:rPr>
          <w:sz w:val="20"/>
        </w:rPr>
      </w:pPr>
      <w:r>
        <w:rPr>
          <w:sz w:val="20"/>
        </w:rPr>
        <w:t>The committee continues to foster strong relationships with the Department of Resources and the Department</w:t>
      </w:r>
      <w:r>
        <w:rPr>
          <w:spacing w:val="-3"/>
          <w:sz w:val="20"/>
        </w:rPr>
        <w:t xml:space="preserve"> </w:t>
      </w:r>
      <w:r>
        <w:rPr>
          <w:sz w:val="20"/>
        </w:rPr>
        <w:t>of</w:t>
      </w:r>
      <w:r>
        <w:rPr>
          <w:spacing w:val="-3"/>
          <w:sz w:val="20"/>
        </w:rPr>
        <w:t xml:space="preserve"> </w:t>
      </w:r>
      <w:r>
        <w:rPr>
          <w:sz w:val="20"/>
        </w:rPr>
        <w:t>Energy</w:t>
      </w:r>
      <w:r>
        <w:rPr>
          <w:spacing w:val="-3"/>
          <w:sz w:val="20"/>
        </w:rPr>
        <w:t xml:space="preserve"> </w:t>
      </w:r>
      <w:r>
        <w:rPr>
          <w:sz w:val="20"/>
        </w:rPr>
        <w:t>and</w:t>
      </w:r>
      <w:r>
        <w:rPr>
          <w:spacing w:val="-3"/>
          <w:sz w:val="20"/>
        </w:rPr>
        <w:t xml:space="preserve"> </w:t>
      </w:r>
      <w:r>
        <w:rPr>
          <w:sz w:val="20"/>
        </w:rPr>
        <w:t>Public</w:t>
      </w:r>
      <w:r>
        <w:rPr>
          <w:spacing w:val="-3"/>
          <w:sz w:val="20"/>
        </w:rPr>
        <w:t xml:space="preserve"> </w:t>
      </w:r>
      <w:r>
        <w:rPr>
          <w:sz w:val="20"/>
        </w:rPr>
        <w:t>Works,</w:t>
      </w:r>
      <w:r>
        <w:rPr>
          <w:spacing w:val="-3"/>
          <w:sz w:val="20"/>
        </w:rPr>
        <w:t xml:space="preserve"> </w:t>
      </w:r>
      <w:r>
        <w:rPr>
          <w:sz w:val="20"/>
        </w:rPr>
        <w:t>providing</w:t>
      </w:r>
      <w:r>
        <w:rPr>
          <w:spacing w:val="-3"/>
          <w:sz w:val="20"/>
        </w:rPr>
        <w:t xml:space="preserve"> </w:t>
      </w:r>
      <w:r>
        <w:rPr>
          <w:sz w:val="20"/>
        </w:rPr>
        <w:t>feedback</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legal</w:t>
      </w:r>
      <w:r>
        <w:rPr>
          <w:spacing w:val="-3"/>
          <w:sz w:val="20"/>
        </w:rPr>
        <w:t xml:space="preserve"> </w:t>
      </w:r>
      <w:r>
        <w:rPr>
          <w:sz w:val="20"/>
        </w:rPr>
        <w:t>profession</w:t>
      </w:r>
      <w:r>
        <w:rPr>
          <w:spacing w:val="-3"/>
          <w:sz w:val="20"/>
        </w:rPr>
        <w:t xml:space="preserve"> </w:t>
      </w:r>
      <w:r>
        <w:rPr>
          <w:sz w:val="20"/>
        </w:rPr>
        <w:t>on</w:t>
      </w:r>
      <w:r>
        <w:rPr>
          <w:spacing w:val="-3"/>
          <w:sz w:val="20"/>
        </w:rPr>
        <w:t xml:space="preserve"> </w:t>
      </w:r>
      <w:r>
        <w:rPr>
          <w:sz w:val="20"/>
        </w:rPr>
        <w:t>legislation and procedures relevant to our practitioners.</w:t>
      </w:r>
    </w:p>
    <w:p w14:paraId="444BDD41" w14:textId="77777777" w:rsidR="00AC6F3C" w:rsidRDefault="00AC6F3C">
      <w:pPr>
        <w:pStyle w:val="BodyText"/>
        <w:spacing w:before="2"/>
        <w:rPr>
          <w:sz w:val="31"/>
        </w:rPr>
      </w:pPr>
    </w:p>
    <w:p w14:paraId="2D73DB70" w14:textId="77777777" w:rsidR="00AC6F3C" w:rsidRDefault="00570E88">
      <w:pPr>
        <w:ind w:left="815"/>
        <w:rPr>
          <w:b/>
          <w:sz w:val="26"/>
        </w:rPr>
      </w:pPr>
      <w:r>
        <w:rPr>
          <w:b/>
          <w:sz w:val="26"/>
        </w:rPr>
        <w:t>Family</w:t>
      </w:r>
      <w:r>
        <w:rPr>
          <w:b/>
          <w:spacing w:val="-3"/>
          <w:sz w:val="26"/>
        </w:rPr>
        <w:t xml:space="preserve"> </w:t>
      </w:r>
      <w:r>
        <w:rPr>
          <w:b/>
          <w:sz w:val="26"/>
        </w:rPr>
        <w:t>Law</w:t>
      </w:r>
      <w:r>
        <w:rPr>
          <w:b/>
          <w:spacing w:val="-2"/>
          <w:sz w:val="26"/>
        </w:rPr>
        <w:t xml:space="preserve"> Committee</w:t>
      </w:r>
    </w:p>
    <w:p w14:paraId="50B6137B" w14:textId="77777777" w:rsidR="00AC6F3C" w:rsidRDefault="00570E88">
      <w:pPr>
        <w:pStyle w:val="BodyText"/>
        <w:spacing w:before="167" w:line="249" w:lineRule="auto"/>
        <w:ind w:left="815" w:right="234"/>
      </w:pPr>
      <w:r>
        <w:t>The</w:t>
      </w:r>
      <w:r>
        <w:rPr>
          <w:spacing w:val="-3"/>
        </w:rPr>
        <w:t xml:space="preserve"> </w:t>
      </w:r>
      <w:r>
        <w:t>Family</w:t>
      </w:r>
      <w:r>
        <w:rPr>
          <w:spacing w:val="-3"/>
        </w:rPr>
        <w:t xml:space="preserve"> </w:t>
      </w:r>
      <w:r>
        <w:t>Law</w:t>
      </w:r>
      <w:r>
        <w:rPr>
          <w:spacing w:val="-3"/>
        </w:rPr>
        <w:t xml:space="preserve"> </w:t>
      </w:r>
      <w:r>
        <w:t>Committee</w:t>
      </w:r>
      <w:r>
        <w:rPr>
          <w:spacing w:val="-3"/>
        </w:rPr>
        <w:t xml:space="preserve"> </w:t>
      </w:r>
      <w:r>
        <w:t>has</w:t>
      </w:r>
      <w:r>
        <w:rPr>
          <w:spacing w:val="-3"/>
        </w:rPr>
        <w:t xml:space="preserve"> </w:t>
      </w:r>
      <w:r>
        <w:t>contributed</w:t>
      </w:r>
      <w:r>
        <w:rPr>
          <w:spacing w:val="-3"/>
        </w:rPr>
        <w:t xml:space="preserve"> </w:t>
      </w:r>
      <w:r>
        <w:t>to</w:t>
      </w:r>
      <w:r>
        <w:rPr>
          <w:spacing w:val="-3"/>
        </w:rPr>
        <w:t xml:space="preserve"> </w:t>
      </w:r>
      <w:r>
        <w:t>five</w:t>
      </w:r>
      <w:r>
        <w:rPr>
          <w:spacing w:val="-3"/>
        </w:rPr>
        <w:t xml:space="preserve"> </w:t>
      </w:r>
      <w:r>
        <w:t>submissions</w:t>
      </w:r>
      <w:r>
        <w:rPr>
          <w:spacing w:val="-3"/>
        </w:rPr>
        <w:t xml:space="preserve"> </w:t>
      </w:r>
      <w:r>
        <w:t>and</w:t>
      </w:r>
      <w:r>
        <w:rPr>
          <w:spacing w:val="-3"/>
        </w:rPr>
        <w:t xml:space="preserve"> </w:t>
      </w:r>
      <w:r>
        <w:t>one</w:t>
      </w:r>
      <w:r>
        <w:rPr>
          <w:spacing w:val="-3"/>
        </w:rPr>
        <w:t xml:space="preserve"> </w:t>
      </w:r>
      <w:r>
        <w:t>stakeholder</w:t>
      </w:r>
      <w:r>
        <w:rPr>
          <w:spacing w:val="-3"/>
        </w:rPr>
        <w:t xml:space="preserve"> </w:t>
      </w:r>
      <w:r>
        <w:t>consultation</w:t>
      </w:r>
      <w:r>
        <w:rPr>
          <w:spacing w:val="-3"/>
        </w:rPr>
        <w:t xml:space="preserve"> </w:t>
      </w:r>
      <w:r>
        <w:t xml:space="preserve">during this </w:t>
      </w:r>
      <w:proofErr w:type="gramStart"/>
      <w:r>
        <w:t>financial year</w:t>
      </w:r>
      <w:proofErr w:type="gramEnd"/>
      <w:r>
        <w:t>.</w:t>
      </w:r>
    </w:p>
    <w:p w14:paraId="74162D92" w14:textId="77777777" w:rsidR="00AC6F3C" w:rsidRDefault="00AC6F3C">
      <w:pPr>
        <w:pStyle w:val="BodyText"/>
        <w:spacing w:before="9"/>
        <w:rPr>
          <w:sz w:val="22"/>
        </w:rPr>
      </w:pPr>
    </w:p>
    <w:p w14:paraId="11DF3CB8" w14:textId="77777777" w:rsidR="00AC6F3C" w:rsidRDefault="00570E88">
      <w:pPr>
        <w:pStyle w:val="Heading9"/>
      </w:pPr>
      <w:r>
        <w:t>Women’s</w:t>
      </w:r>
      <w:r>
        <w:rPr>
          <w:spacing w:val="-8"/>
        </w:rPr>
        <w:t xml:space="preserve"> </w:t>
      </w:r>
      <w:r>
        <w:t>Safety</w:t>
      </w:r>
      <w:r>
        <w:rPr>
          <w:spacing w:val="-6"/>
        </w:rPr>
        <w:t xml:space="preserve"> </w:t>
      </w:r>
      <w:r>
        <w:t>and</w:t>
      </w:r>
      <w:r>
        <w:rPr>
          <w:spacing w:val="-6"/>
        </w:rPr>
        <w:t xml:space="preserve"> </w:t>
      </w:r>
      <w:r>
        <w:t>Justice</w:t>
      </w:r>
      <w:r>
        <w:rPr>
          <w:spacing w:val="-6"/>
        </w:rPr>
        <w:t xml:space="preserve"> </w:t>
      </w:r>
      <w:r>
        <w:rPr>
          <w:spacing w:val="-2"/>
        </w:rPr>
        <w:t>Taskforce</w:t>
      </w:r>
    </w:p>
    <w:p w14:paraId="3C2909EE" w14:textId="77777777" w:rsidR="00AC6F3C" w:rsidRDefault="00570E88">
      <w:pPr>
        <w:pStyle w:val="ListParagraph"/>
        <w:numPr>
          <w:ilvl w:val="0"/>
          <w:numId w:val="58"/>
        </w:numPr>
        <w:tabs>
          <w:tab w:val="left" w:pos="1155"/>
        </w:tabs>
        <w:spacing w:before="176"/>
        <w:ind w:hanging="340"/>
        <w:rPr>
          <w:sz w:val="20"/>
        </w:rPr>
      </w:pPr>
      <w:r>
        <w:rPr>
          <w:sz w:val="20"/>
        </w:rPr>
        <w:t>Assisted</w:t>
      </w:r>
      <w:r>
        <w:rPr>
          <w:spacing w:val="-4"/>
          <w:sz w:val="20"/>
        </w:rPr>
        <w:t xml:space="preserve"> </w:t>
      </w:r>
      <w:r>
        <w:rPr>
          <w:sz w:val="20"/>
        </w:rPr>
        <w:t>in</w:t>
      </w:r>
      <w:r>
        <w:rPr>
          <w:spacing w:val="-3"/>
          <w:sz w:val="20"/>
        </w:rPr>
        <w:t xml:space="preserve"> </w:t>
      </w:r>
      <w:r>
        <w:rPr>
          <w:sz w:val="20"/>
        </w:rPr>
        <w:t>relation</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responses</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Women’s</w:t>
      </w:r>
      <w:r>
        <w:rPr>
          <w:spacing w:val="-3"/>
          <w:sz w:val="20"/>
        </w:rPr>
        <w:t xml:space="preserve"> </w:t>
      </w:r>
      <w:r>
        <w:rPr>
          <w:sz w:val="20"/>
        </w:rPr>
        <w:t>Safety</w:t>
      </w:r>
      <w:r>
        <w:rPr>
          <w:spacing w:val="-4"/>
          <w:sz w:val="20"/>
        </w:rPr>
        <w:t xml:space="preserve"> </w:t>
      </w:r>
      <w:r>
        <w:rPr>
          <w:sz w:val="20"/>
        </w:rPr>
        <w:t>and</w:t>
      </w:r>
      <w:r>
        <w:rPr>
          <w:spacing w:val="-3"/>
          <w:sz w:val="20"/>
        </w:rPr>
        <w:t xml:space="preserve"> </w:t>
      </w:r>
      <w:r>
        <w:rPr>
          <w:sz w:val="20"/>
        </w:rPr>
        <w:t>Justice</w:t>
      </w:r>
      <w:r>
        <w:rPr>
          <w:spacing w:val="-7"/>
          <w:sz w:val="20"/>
        </w:rPr>
        <w:t xml:space="preserve"> </w:t>
      </w:r>
      <w:r>
        <w:rPr>
          <w:spacing w:val="-2"/>
          <w:sz w:val="20"/>
        </w:rPr>
        <w:t>Taskforce.</w:t>
      </w:r>
    </w:p>
    <w:p w14:paraId="0D6EB3F3" w14:textId="77777777" w:rsidR="00AC6F3C" w:rsidRDefault="00AC6F3C">
      <w:pPr>
        <w:pStyle w:val="BodyText"/>
        <w:spacing w:before="6"/>
        <w:rPr>
          <w:sz w:val="23"/>
        </w:rPr>
      </w:pPr>
    </w:p>
    <w:p w14:paraId="6AFA2580" w14:textId="77777777" w:rsidR="00AC6F3C" w:rsidRDefault="00570E88">
      <w:pPr>
        <w:pStyle w:val="Heading9"/>
      </w:pPr>
      <w:r>
        <w:t>Police</w:t>
      </w:r>
      <w:r>
        <w:rPr>
          <w:spacing w:val="-5"/>
        </w:rPr>
        <w:t xml:space="preserve"> </w:t>
      </w:r>
      <w:r>
        <w:rPr>
          <w:spacing w:val="-2"/>
        </w:rPr>
        <w:t>inquiry</w:t>
      </w:r>
    </w:p>
    <w:p w14:paraId="197D907F" w14:textId="77777777" w:rsidR="00AC6F3C" w:rsidRDefault="00570E88">
      <w:pPr>
        <w:pStyle w:val="ListParagraph"/>
        <w:numPr>
          <w:ilvl w:val="0"/>
          <w:numId w:val="58"/>
        </w:numPr>
        <w:tabs>
          <w:tab w:val="left" w:pos="1155"/>
        </w:tabs>
        <w:spacing w:before="176"/>
        <w:ind w:hanging="340"/>
        <w:rPr>
          <w:sz w:val="20"/>
        </w:rPr>
      </w:pPr>
      <w:r>
        <w:rPr>
          <w:sz w:val="20"/>
        </w:rPr>
        <w:t>Assisted</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responses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police</w:t>
      </w:r>
      <w:r>
        <w:rPr>
          <w:spacing w:val="-2"/>
          <w:sz w:val="20"/>
        </w:rPr>
        <w:t xml:space="preserve"> inquiry.</w:t>
      </w:r>
    </w:p>
    <w:p w14:paraId="011D0852" w14:textId="77777777" w:rsidR="00AC6F3C" w:rsidRDefault="00AC6F3C">
      <w:pPr>
        <w:pStyle w:val="BodyText"/>
        <w:spacing w:before="6"/>
        <w:rPr>
          <w:sz w:val="23"/>
        </w:rPr>
      </w:pPr>
    </w:p>
    <w:p w14:paraId="51D4DD66" w14:textId="77777777" w:rsidR="00AC6F3C" w:rsidRDefault="00570E88">
      <w:pPr>
        <w:pStyle w:val="Heading9"/>
      </w:pPr>
      <w:r>
        <w:t>Family</w:t>
      </w:r>
      <w:r>
        <w:rPr>
          <w:spacing w:val="-3"/>
        </w:rPr>
        <w:t xml:space="preserve"> </w:t>
      </w:r>
      <w:r>
        <w:t>Court</w:t>
      </w:r>
      <w:r>
        <w:rPr>
          <w:spacing w:val="-2"/>
        </w:rPr>
        <w:t xml:space="preserve"> Rules</w:t>
      </w:r>
    </w:p>
    <w:p w14:paraId="6E3E60F4" w14:textId="77777777" w:rsidR="00AC6F3C" w:rsidRDefault="00570E88">
      <w:pPr>
        <w:pStyle w:val="ListParagraph"/>
        <w:numPr>
          <w:ilvl w:val="0"/>
          <w:numId w:val="58"/>
        </w:numPr>
        <w:tabs>
          <w:tab w:val="left" w:pos="1155"/>
        </w:tabs>
        <w:spacing w:before="176" w:line="249" w:lineRule="auto"/>
        <w:ind w:right="501"/>
        <w:rPr>
          <w:sz w:val="20"/>
        </w:rPr>
      </w:pPr>
      <w:r>
        <w:rPr>
          <w:sz w:val="20"/>
        </w:rPr>
        <w:t>Made</w:t>
      </w:r>
      <w:r>
        <w:rPr>
          <w:spacing w:val="-3"/>
          <w:sz w:val="20"/>
        </w:rPr>
        <w:t xml:space="preserve"> </w:t>
      </w:r>
      <w:r>
        <w:rPr>
          <w:sz w:val="20"/>
        </w:rPr>
        <w:t>submissions</w:t>
      </w:r>
      <w:r>
        <w:rPr>
          <w:spacing w:val="-3"/>
          <w:sz w:val="20"/>
        </w:rPr>
        <w:t xml:space="preserve"> </w:t>
      </w:r>
      <w:r>
        <w:rPr>
          <w:sz w:val="20"/>
        </w:rPr>
        <w:t>on</w:t>
      </w:r>
      <w:r>
        <w:rPr>
          <w:spacing w:val="-3"/>
          <w:sz w:val="20"/>
        </w:rPr>
        <w:t xml:space="preserve"> </w:t>
      </w:r>
      <w:r>
        <w:rPr>
          <w:sz w:val="20"/>
        </w:rPr>
        <w:t>confidential</w:t>
      </w:r>
      <w:r>
        <w:rPr>
          <w:spacing w:val="-3"/>
          <w:sz w:val="20"/>
        </w:rPr>
        <w:t xml:space="preserve"> </w:t>
      </w:r>
      <w:r>
        <w:rPr>
          <w:sz w:val="20"/>
        </w:rPr>
        <w:t>consultations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information</w:t>
      </w:r>
      <w:r>
        <w:rPr>
          <w:spacing w:val="-3"/>
          <w:sz w:val="20"/>
        </w:rPr>
        <w:t xml:space="preserve"> </w:t>
      </w:r>
      <w:r>
        <w:rPr>
          <w:sz w:val="20"/>
        </w:rPr>
        <w:t>sharing</w:t>
      </w:r>
      <w:r>
        <w:rPr>
          <w:spacing w:val="-3"/>
          <w:sz w:val="20"/>
        </w:rPr>
        <w:t xml:space="preserve"> </w:t>
      </w:r>
      <w:r>
        <w:rPr>
          <w:sz w:val="20"/>
        </w:rPr>
        <w:t>and</w:t>
      </w:r>
      <w:r>
        <w:rPr>
          <w:spacing w:val="-3"/>
          <w:sz w:val="20"/>
        </w:rPr>
        <w:t xml:space="preserve"> </w:t>
      </w:r>
      <w:r>
        <w:rPr>
          <w:sz w:val="20"/>
        </w:rPr>
        <w:t>changes</w:t>
      </w:r>
      <w:r>
        <w:rPr>
          <w:spacing w:val="-3"/>
          <w:sz w:val="20"/>
        </w:rPr>
        <w:t xml:space="preserve"> </w:t>
      </w:r>
      <w:r>
        <w:rPr>
          <w:sz w:val="20"/>
        </w:rPr>
        <w:t>to</w:t>
      </w:r>
      <w:r>
        <w:rPr>
          <w:spacing w:val="-3"/>
          <w:sz w:val="20"/>
        </w:rPr>
        <w:t xml:space="preserve"> </w:t>
      </w:r>
      <w:r>
        <w:rPr>
          <w:sz w:val="20"/>
        </w:rPr>
        <w:t>the Family Court Rules.</w:t>
      </w:r>
    </w:p>
    <w:p w14:paraId="6A1A6035" w14:textId="77777777" w:rsidR="00AC6F3C" w:rsidRDefault="00AC6F3C">
      <w:pPr>
        <w:pStyle w:val="BodyText"/>
        <w:spacing w:before="9"/>
        <w:rPr>
          <w:sz w:val="22"/>
        </w:rPr>
      </w:pPr>
    </w:p>
    <w:p w14:paraId="10E9BCEE" w14:textId="77777777" w:rsidR="00AC6F3C" w:rsidRDefault="00570E88">
      <w:pPr>
        <w:pStyle w:val="Heading9"/>
      </w:pPr>
      <w:r>
        <w:t>Family</w:t>
      </w:r>
      <w:r>
        <w:rPr>
          <w:spacing w:val="-3"/>
        </w:rPr>
        <w:t xml:space="preserve"> </w:t>
      </w:r>
      <w:r>
        <w:t>Law</w:t>
      </w:r>
      <w:r>
        <w:rPr>
          <w:spacing w:val="-2"/>
        </w:rPr>
        <w:t xml:space="preserve"> Conference</w:t>
      </w:r>
    </w:p>
    <w:p w14:paraId="7201AA9C" w14:textId="77777777" w:rsidR="00AC6F3C" w:rsidRDefault="00570E88">
      <w:pPr>
        <w:pStyle w:val="ListParagraph"/>
        <w:numPr>
          <w:ilvl w:val="0"/>
          <w:numId w:val="58"/>
        </w:numPr>
        <w:tabs>
          <w:tab w:val="left" w:pos="1155"/>
        </w:tabs>
        <w:spacing w:before="176"/>
        <w:ind w:hanging="340"/>
        <w:rPr>
          <w:sz w:val="20"/>
        </w:rPr>
      </w:pPr>
      <w:r>
        <w:rPr>
          <w:sz w:val="20"/>
        </w:rPr>
        <w:t>Contributed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planning</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successful</w:t>
      </w:r>
      <w:r>
        <w:rPr>
          <w:spacing w:val="-4"/>
          <w:sz w:val="20"/>
        </w:rPr>
        <w:t xml:space="preserve"> </w:t>
      </w:r>
      <w:r>
        <w:rPr>
          <w:sz w:val="20"/>
        </w:rPr>
        <w:t>Family</w:t>
      </w:r>
      <w:r>
        <w:rPr>
          <w:spacing w:val="-4"/>
          <w:sz w:val="20"/>
        </w:rPr>
        <w:t xml:space="preserve"> </w:t>
      </w:r>
      <w:r>
        <w:rPr>
          <w:sz w:val="20"/>
        </w:rPr>
        <w:t>Law</w:t>
      </w:r>
      <w:r>
        <w:rPr>
          <w:spacing w:val="-3"/>
          <w:sz w:val="20"/>
        </w:rPr>
        <w:t xml:space="preserve"> </w:t>
      </w:r>
      <w:r>
        <w:rPr>
          <w:spacing w:val="-2"/>
          <w:sz w:val="20"/>
        </w:rPr>
        <w:t>Conference.</w:t>
      </w:r>
    </w:p>
    <w:p w14:paraId="44FB0CB2" w14:textId="77777777" w:rsidR="00AC6F3C" w:rsidRDefault="00AC6F3C">
      <w:pPr>
        <w:pStyle w:val="BodyText"/>
        <w:spacing w:before="5"/>
        <w:rPr>
          <w:sz w:val="23"/>
        </w:rPr>
      </w:pPr>
    </w:p>
    <w:p w14:paraId="6E22E366" w14:textId="77777777" w:rsidR="00AC6F3C" w:rsidRDefault="00570E88">
      <w:pPr>
        <w:pStyle w:val="Heading9"/>
        <w:spacing w:before="1"/>
      </w:pPr>
      <w:r>
        <w:t>Family</w:t>
      </w:r>
      <w:r>
        <w:rPr>
          <w:spacing w:val="-2"/>
        </w:rPr>
        <w:t xml:space="preserve"> </w:t>
      </w:r>
      <w:r>
        <w:t>Law</w:t>
      </w:r>
      <w:r>
        <w:rPr>
          <w:spacing w:val="-11"/>
        </w:rPr>
        <w:t xml:space="preserve"> </w:t>
      </w:r>
      <w:r>
        <w:t>Amendment</w:t>
      </w:r>
      <w:r>
        <w:rPr>
          <w:spacing w:val="-1"/>
        </w:rPr>
        <w:t xml:space="preserve"> </w:t>
      </w:r>
      <w:r>
        <w:rPr>
          <w:spacing w:val="-4"/>
        </w:rPr>
        <w:t>Bill</w:t>
      </w:r>
    </w:p>
    <w:p w14:paraId="4B7ABEFC" w14:textId="77777777" w:rsidR="00AC6F3C" w:rsidRDefault="00570E88">
      <w:pPr>
        <w:pStyle w:val="ListParagraph"/>
        <w:numPr>
          <w:ilvl w:val="0"/>
          <w:numId w:val="58"/>
        </w:numPr>
        <w:tabs>
          <w:tab w:val="left" w:pos="1155"/>
        </w:tabs>
        <w:spacing w:before="175" w:line="249" w:lineRule="auto"/>
        <w:ind w:right="301"/>
        <w:rPr>
          <w:sz w:val="20"/>
        </w:rPr>
      </w:pPr>
      <w:r>
        <w:rPr>
          <w:sz w:val="20"/>
        </w:rPr>
        <w:t>Contributed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QLS</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in</w:t>
      </w:r>
      <w:r>
        <w:rPr>
          <w:spacing w:val="-3"/>
          <w:sz w:val="20"/>
        </w:rPr>
        <w:t xml:space="preserve"> </w:t>
      </w:r>
      <w:r>
        <w:rPr>
          <w:sz w:val="20"/>
        </w:rPr>
        <w:t>response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exposure</w:t>
      </w:r>
      <w:r>
        <w:rPr>
          <w:spacing w:val="-3"/>
          <w:sz w:val="20"/>
        </w:rPr>
        <w:t xml:space="preserve"> </w:t>
      </w:r>
      <w:r>
        <w:rPr>
          <w:sz w:val="20"/>
        </w:rPr>
        <w:t>draft Family Law Amendment Bill.</w:t>
      </w:r>
    </w:p>
    <w:p w14:paraId="3EFD97FF" w14:textId="77777777" w:rsidR="00AC6F3C" w:rsidRDefault="00AC6F3C">
      <w:pPr>
        <w:pStyle w:val="BodyText"/>
        <w:spacing w:before="9"/>
        <w:rPr>
          <w:sz w:val="22"/>
        </w:rPr>
      </w:pPr>
    </w:p>
    <w:p w14:paraId="21BCF24C" w14:textId="77777777" w:rsidR="00AC6F3C" w:rsidRDefault="00570E88">
      <w:pPr>
        <w:pStyle w:val="Heading9"/>
      </w:pPr>
      <w:r>
        <w:t>Consultation</w:t>
      </w:r>
      <w:r>
        <w:rPr>
          <w:spacing w:val="-4"/>
        </w:rPr>
        <w:t xml:space="preserve"> </w:t>
      </w:r>
      <w:r>
        <w:t>on</w:t>
      </w:r>
      <w:r>
        <w:rPr>
          <w:spacing w:val="-3"/>
        </w:rPr>
        <w:t xml:space="preserve"> </w:t>
      </w:r>
      <w:r>
        <w:t>access</w:t>
      </w:r>
      <w:r>
        <w:rPr>
          <w:spacing w:val="-3"/>
        </w:rPr>
        <w:t xml:space="preserve"> </w:t>
      </w:r>
      <w:r>
        <w:t>to</w:t>
      </w:r>
      <w:r>
        <w:rPr>
          <w:spacing w:val="-3"/>
        </w:rPr>
        <w:t xml:space="preserve"> </w:t>
      </w:r>
      <w:r>
        <w:t>offenders’</w:t>
      </w:r>
      <w:r>
        <w:rPr>
          <w:spacing w:val="-15"/>
        </w:rPr>
        <w:t xml:space="preserve"> </w:t>
      </w:r>
      <w:r>
        <w:t>superannuation</w:t>
      </w:r>
      <w:r>
        <w:rPr>
          <w:spacing w:val="-3"/>
        </w:rPr>
        <w:t xml:space="preserve"> </w:t>
      </w:r>
      <w:r>
        <w:t>for</w:t>
      </w:r>
      <w:r>
        <w:rPr>
          <w:spacing w:val="-3"/>
        </w:rPr>
        <w:t xml:space="preserve"> </w:t>
      </w:r>
      <w:r>
        <w:t>victims</w:t>
      </w:r>
      <w:r>
        <w:rPr>
          <w:spacing w:val="-3"/>
        </w:rPr>
        <w:t xml:space="preserve"> </w:t>
      </w:r>
      <w:r>
        <w:rPr>
          <w:spacing w:val="-5"/>
        </w:rPr>
        <w:t>and</w:t>
      </w:r>
    </w:p>
    <w:p w14:paraId="68A80D39" w14:textId="77777777" w:rsidR="00AC6F3C" w:rsidRDefault="00570E88">
      <w:pPr>
        <w:pStyle w:val="Heading9"/>
        <w:spacing w:before="11"/>
      </w:pPr>
      <w:r>
        <w:t>survivors</w:t>
      </w:r>
      <w:r>
        <w:rPr>
          <w:spacing w:val="-3"/>
        </w:rPr>
        <w:t xml:space="preserve"> </w:t>
      </w:r>
      <w:r>
        <w:t>of</w:t>
      </w:r>
      <w:r>
        <w:rPr>
          <w:spacing w:val="-3"/>
        </w:rPr>
        <w:t xml:space="preserve"> </w:t>
      </w:r>
      <w:r>
        <w:t>sexual</w:t>
      </w:r>
      <w:r>
        <w:rPr>
          <w:spacing w:val="-2"/>
        </w:rPr>
        <w:t xml:space="preserve"> abuse</w:t>
      </w:r>
    </w:p>
    <w:p w14:paraId="121025B7" w14:textId="77777777" w:rsidR="00AC6F3C" w:rsidRDefault="00570E88">
      <w:pPr>
        <w:pStyle w:val="ListParagraph"/>
        <w:numPr>
          <w:ilvl w:val="0"/>
          <w:numId w:val="58"/>
        </w:numPr>
        <w:tabs>
          <w:tab w:val="left" w:pos="1155"/>
        </w:tabs>
        <w:spacing w:before="176" w:line="249" w:lineRule="auto"/>
        <w:ind w:right="813"/>
        <w:rPr>
          <w:sz w:val="20"/>
        </w:rPr>
      </w:pPr>
      <w:r>
        <w:rPr>
          <w:sz w:val="20"/>
        </w:rPr>
        <w:t>Contributed to the QLS submission to the Law Council of</w:t>
      </w:r>
      <w:r>
        <w:rPr>
          <w:spacing w:val="-6"/>
          <w:sz w:val="20"/>
        </w:rPr>
        <w:t xml:space="preserve"> </w:t>
      </w:r>
      <w:r>
        <w:rPr>
          <w:sz w:val="20"/>
        </w:rPr>
        <w:t>Australia in relation to Treasury’s consultation</w:t>
      </w:r>
      <w:r>
        <w:rPr>
          <w:spacing w:val="-4"/>
          <w:sz w:val="20"/>
        </w:rPr>
        <w:t xml:space="preserve"> </w:t>
      </w:r>
      <w:r>
        <w:rPr>
          <w:sz w:val="20"/>
        </w:rPr>
        <w:t>on</w:t>
      </w:r>
      <w:r>
        <w:rPr>
          <w:spacing w:val="-4"/>
          <w:sz w:val="20"/>
        </w:rPr>
        <w:t xml:space="preserve"> </w:t>
      </w:r>
      <w:r>
        <w:rPr>
          <w:sz w:val="20"/>
        </w:rPr>
        <w:t>access</w:t>
      </w:r>
      <w:r>
        <w:rPr>
          <w:spacing w:val="-4"/>
          <w:sz w:val="20"/>
        </w:rPr>
        <w:t xml:space="preserve"> </w:t>
      </w:r>
      <w:r>
        <w:rPr>
          <w:sz w:val="20"/>
        </w:rPr>
        <w:t>to</w:t>
      </w:r>
      <w:r>
        <w:rPr>
          <w:spacing w:val="-4"/>
          <w:sz w:val="20"/>
        </w:rPr>
        <w:t xml:space="preserve"> </w:t>
      </w:r>
      <w:r>
        <w:rPr>
          <w:sz w:val="20"/>
        </w:rPr>
        <w:t>offenders’</w:t>
      </w:r>
      <w:r>
        <w:rPr>
          <w:spacing w:val="-11"/>
          <w:sz w:val="20"/>
        </w:rPr>
        <w:t xml:space="preserve"> </w:t>
      </w:r>
      <w:r>
        <w:rPr>
          <w:sz w:val="20"/>
        </w:rPr>
        <w:t>superannuation</w:t>
      </w:r>
      <w:r>
        <w:rPr>
          <w:spacing w:val="-4"/>
          <w:sz w:val="20"/>
        </w:rPr>
        <w:t xml:space="preserve"> </w:t>
      </w:r>
      <w:r>
        <w:rPr>
          <w:sz w:val="20"/>
        </w:rPr>
        <w:t>for</w:t>
      </w:r>
      <w:r>
        <w:rPr>
          <w:spacing w:val="-4"/>
          <w:sz w:val="20"/>
        </w:rPr>
        <w:t xml:space="preserve"> </w:t>
      </w:r>
      <w:r>
        <w:rPr>
          <w:sz w:val="20"/>
        </w:rPr>
        <w:t>victims</w:t>
      </w:r>
      <w:r>
        <w:rPr>
          <w:spacing w:val="-4"/>
          <w:sz w:val="20"/>
        </w:rPr>
        <w:t xml:space="preserve"> </w:t>
      </w:r>
      <w:r>
        <w:rPr>
          <w:sz w:val="20"/>
        </w:rPr>
        <w:t>and</w:t>
      </w:r>
      <w:r>
        <w:rPr>
          <w:spacing w:val="-4"/>
          <w:sz w:val="20"/>
        </w:rPr>
        <w:t xml:space="preserve"> </w:t>
      </w:r>
      <w:r>
        <w:rPr>
          <w:sz w:val="20"/>
        </w:rPr>
        <w:t>survivors</w:t>
      </w:r>
      <w:r>
        <w:rPr>
          <w:spacing w:val="-4"/>
          <w:sz w:val="20"/>
        </w:rPr>
        <w:t xml:space="preserve"> </w:t>
      </w:r>
      <w:r>
        <w:rPr>
          <w:sz w:val="20"/>
        </w:rPr>
        <w:t>of</w:t>
      </w:r>
      <w:r>
        <w:rPr>
          <w:spacing w:val="-4"/>
          <w:sz w:val="20"/>
        </w:rPr>
        <w:t xml:space="preserve"> </w:t>
      </w:r>
      <w:r>
        <w:rPr>
          <w:sz w:val="20"/>
        </w:rPr>
        <w:t>sexual</w:t>
      </w:r>
      <w:r>
        <w:rPr>
          <w:spacing w:val="-4"/>
          <w:sz w:val="20"/>
        </w:rPr>
        <w:t xml:space="preserve"> </w:t>
      </w:r>
      <w:r>
        <w:rPr>
          <w:sz w:val="20"/>
        </w:rPr>
        <w:t>abuse.</w:t>
      </w:r>
    </w:p>
    <w:p w14:paraId="1083A770" w14:textId="77777777" w:rsidR="00AC6F3C" w:rsidRDefault="00AC6F3C">
      <w:pPr>
        <w:pStyle w:val="BodyText"/>
        <w:spacing w:before="9"/>
        <w:rPr>
          <w:sz w:val="22"/>
        </w:rPr>
      </w:pPr>
    </w:p>
    <w:p w14:paraId="25BB31E1" w14:textId="77777777" w:rsidR="00AC6F3C" w:rsidRDefault="00570E88">
      <w:pPr>
        <w:pStyle w:val="Heading9"/>
      </w:pPr>
      <w:r>
        <w:t>Consultation</w:t>
      </w:r>
      <w:r>
        <w:rPr>
          <w:spacing w:val="-2"/>
        </w:rPr>
        <w:t xml:space="preserve"> </w:t>
      </w:r>
      <w:r>
        <w:t>draft</w:t>
      </w:r>
      <w:r>
        <w:rPr>
          <w:spacing w:val="-2"/>
        </w:rPr>
        <w:t xml:space="preserve"> </w:t>
      </w:r>
      <w:r>
        <w:t>Property</w:t>
      </w:r>
      <w:r>
        <w:rPr>
          <w:spacing w:val="-2"/>
        </w:rPr>
        <w:t xml:space="preserve"> </w:t>
      </w:r>
      <w:r>
        <w:t>Law</w:t>
      </w:r>
      <w:r>
        <w:rPr>
          <w:spacing w:val="-1"/>
        </w:rPr>
        <w:t xml:space="preserve"> </w:t>
      </w:r>
      <w:r>
        <w:rPr>
          <w:spacing w:val="-4"/>
        </w:rPr>
        <w:t>Bill</w:t>
      </w:r>
    </w:p>
    <w:p w14:paraId="19755570" w14:textId="77777777" w:rsidR="00AC6F3C" w:rsidRDefault="00570E88">
      <w:pPr>
        <w:pStyle w:val="ListParagraph"/>
        <w:numPr>
          <w:ilvl w:val="0"/>
          <w:numId w:val="58"/>
        </w:numPr>
        <w:tabs>
          <w:tab w:val="left" w:pos="1155"/>
        </w:tabs>
        <w:spacing w:before="176"/>
        <w:ind w:hanging="340"/>
        <w:rPr>
          <w:sz w:val="20"/>
        </w:rPr>
      </w:pPr>
      <w:r>
        <w:rPr>
          <w:spacing w:val="-2"/>
          <w:sz w:val="20"/>
        </w:rPr>
        <w:t>Assisted</w:t>
      </w:r>
      <w:r>
        <w:rPr>
          <w:spacing w:val="-4"/>
          <w:sz w:val="20"/>
        </w:rPr>
        <w:t xml:space="preserve"> </w:t>
      </w:r>
      <w:r>
        <w:rPr>
          <w:spacing w:val="-2"/>
          <w:sz w:val="20"/>
        </w:rPr>
        <w:t>QLS</w:t>
      </w:r>
      <w:r>
        <w:rPr>
          <w:spacing w:val="-4"/>
          <w:sz w:val="20"/>
        </w:rPr>
        <w:t xml:space="preserve"> </w:t>
      </w:r>
      <w:r>
        <w:rPr>
          <w:spacing w:val="-2"/>
          <w:sz w:val="20"/>
        </w:rPr>
        <w:t>to</w:t>
      </w:r>
      <w:r>
        <w:rPr>
          <w:spacing w:val="-4"/>
          <w:sz w:val="20"/>
        </w:rPr>
        <w:t xml:space="preserve"> </w:t>
      </w:r>
      <w:r>
        <w:rPr>
          <w:spacing w:val="-2"/>
          <w:sz w:val="20"/>
        </w:rPr>
        <w:t>review</w:t>
      </w:r>
      <w:r>
        <w:rPr>
          <w:spacing w:val="-4"/>
          <w:sz w:val="20"/>
        </w:rPr>
        <w:t xml:space="preserve"> </w:t>
      </w:r>
      <w:r>
        <w:rPr>
          <w:spacing w:val="-2"/>
          <w:sz w:val="20"/>
        </w:rPr>
        <w:t>aspects</w:t>
      </w:r>
      <w:r>
        <w:rPr>
          <w:spacing w:val="-4"/>
          <w:sz w:val="20"/>
        </w:rPr>
        <w:t xml:space="preserve"> </w:t>
      </w:r>
      <w:r>
        <w:rPr>
          <w:spacing w:val="-2"/>
          <w:sz w:val="20"/>
        </w:rPr>
        <w:t>of</w:t>
      </w:r>
      <w:r>
        <w:rPr>
          <w:spacing w:val="-4"/>
          <w:sz w:val="20"/>
        </w:rPr>
        <w:t xml:space="preserve"> </w:t>
      </w:r>
      <w:r>
        <w:rPr>
          <w:spacing w:val="-2"/>
          <w:sz w:val="20"/>
        </w:rPr>
        <w:t>the</w:t>
      </w:r>
      <w:r>
        <w:rPr>
          <w:spacing w:val="-4"/>
          <w:sz w:val="20"/>
        </w:rPr>
        <w:t xml:space="preserve"> </w:t>
      </w:r>
      <w:r>
        <w:rPr>
          <w:spacing w:val="-2"/>
          <w:sz w:val="20"/>
        </w:rPr>
        <w:t>consultation</w:t>
      </w:r>
      <w:r>
        <w:rPr>
          <w:spacing w:val="-4"/>
          <w:sz w:val="20"/>
        </w:rPr>
        <w:t xml:space="preserve"> </w:t>
      </w:r>
      <w:r>
        <w:rPr>
          <w:spacing w:val="-2"/>
          <w:sz w:val="20"/>
        </w:rPr>
        <w:t>draft</w:t>
      </w:r>
      <w:r>
        <w:rPr>
          <w:spacing w:val="-4"/>
          <w:sz w:val="20"/>
        </w:rPr>
        <w:t xml:space="preserve"> </w:t>
      </w:r>
      <w:r>
        <w:rPr>
          <w:spacing w:val="-2"/>
          <w:sz w:val="20"/>
        </w:rPr>
        <w:t>Property</w:t>
      </w:r>
      <w:r>
        <w:rPr>
          <w:spacing w:val="-4"/>
          <w:sz w:val="20"/>
        </w:rPr>
        <w:t xml:space="preserve"> </w:t>
      </w:r>
      <w:r>
        <w:rPr>
          <w:spacing w:val="-2"/>
          <w:sz w:val="20"/>
        </w:rPr>
        <w:t>Law</w:t>
      </w:r>
      <w:r>
        <w:rPr>
          <w:spacing w:val="-4"/>
          <w:sz w:val="20"/>
        </w:rPr>
        <w:t xml:space="preserve"> </w:t>
      </w:r>
      <w:r>
        <w:rPr>
          <w:spacing w:val="-2"/>
          <w:sz w:val="20"/>
        </w:rPr>
        <w:t>Bill</w:t>
      </w:r>
      <w:r>
        <w:rPr>
          <w:spacing w:val="-4"/>
          <w:sz w:val="20"/>
        </w:rPr>
        <w:t xml:space="preserve"> </w:t>
      </w:r>
      <w:r>
        <w:rPr>
          <w:spacing w:val="-2"/>
          <w:sz w:val="20"/>
        </w:rPr>
        <w:t>that</w:t>
      </w:r>
      <w:r>
        <w:rPr>
          <w:spacing w:val="-4"/>
          <w:sz w:val="20"/>
        </w:rPr>
        <w:t xml:space="preserve"> </w:t>
      </w:r>
      <w:r>
        <w:rPr>
          <w:spacing w:val="-2"/>
          <w:sz w:val="20"/>
        </w:rPr>
        <w:t>are</w:t>
      </w:r>
      <w:r>
        <w:rPr>
          <w:spacing w:val="-4"/>
          <w:sz w:val="20"/>
        </w:rPr>
        <w:t xml:space="preserve"> </w:t>
      </w:r>
      <w:r>
        <w:rPr>
          <w:spacing w:val="-2"/>
          <w:sz w:val="20"/>
        </w:rPr>
        <w:t>relevant</w:t>
      </w:r>
      <w:r>
        <w:rPr>
          <w:spacing w:val="-4"/>
          <w:sz w:val="20"/>
        </w:rPr>
        <w:t xml:space="preserve"> </w:t>
      </w:r>
      <w:r>
        <w:rPr>
          <w:spacing w:val="-2"/>
          <w:sz w:val="20"/>
        </w:rPr>
        <w:t>to</w:t>
      </w:r>
      <w:r>
        <w:rPr>
          <w:spacing w:val="-4"/>
          <w:sz w:val="20"/>
        </w:rPr>
        <w:t xml:space="preserve"> </w:t>
      </w:r>
      <w:r>
        <w:rPr>
          <w:spacing w:val="-2"/>
          <w:sz w:val="20"/>
        </w:rPr>
        <w:t>family</w:t>
      </w:r>
      <w:r>
        <w:rPr>
          <w:spacing w:val="-4"/>
          <w:sz w:val="20"/>
        </w:rPr>
        <w:t xml:space="preserve"> law.</w:t>
      </w:r>
    </w:p>
    <w:p w14:paraId="455B7537" w14:textId="77777777" w:rsidR="00AC6F3C" w:rsidRDefault="00AC6F3C">
      <w:pPr>
        <w:rPr>
          <w:sz w:val="20"/>
        </w:rPr>
        <w:sectPr w:rsidR="00AC6F3C">
          <w:headerReference w:type="default" r:id="rId86"/>
          <w:footerReference w:type="default" r:id="rId87"/>
          <w:pgSz w:w="11910" w:h="16840"/>
          <w:pgMar w:top="1140" w:right="1160" w:bottom="520" w:left="460" w:header="0" w:footer="336" w:gutter="0"/>
          <w:cols w:space="720"/>
        </w:sectPr>
      </w:pPr>
    </w:p>
    <w:p w14:paraId="60AC9C6A" w14:textId="77777777" w:rsidR="00AC6F3C" w:rsidRDefault="00570E88">
      <w:pPr>
        <w:pStyle w:val="ListParagraph"/>
        <w:numPr>
          <w:ilvl w:val="0"/>
          <w:numId w:val="58"/>
        </w:numPr>
        <w:tabs>
          <w:tab w:val="left" w:pos="1155"/>
        </w:tabs>
        <w:ind w:hanging="340"/>
        <w:rPr>
          <w:sz w:val="20"/>
        </w:rPr>
      </w:pPr>
      <w:r>
        <w:rPr>
          <w:sz w:val="20"/>
        </w:rPr>
        <w:lastRenderedPageBreak/>
        <w:t>The</w:t>
      </w:r>
      <w:r>
        <w:rPr>
          <w:spacing w:val="-3"/>
          <w:sz w:val="20"/>
        </w:rPr>
        <w:t xml:space="preserve"> </w:t>
      </w:r>
      <w:r>
        <w:rPr>
          <w:sz w:val="20"/>
        </w:rPr>
        <w:t>committee</w:t>
      </w:r>
      <w:r>
        <w:rPr>
          <w:spacing w:val="-3"/>
          <w:sz w:val="20"/>
        </w:rPr>
        <w:t xml:space="preserve"> </w:t>
      </w:r>
      <w:r>
        <w:rPr>
          <w:sz w:val="20"/>
        </w:rPr>
        <w:t>made</w:t>
      </w:r>
      <w:r>
        <w:rPr>
          <w:spacing w:val="-2"/>
          <w:sz w:val="20"/>
        </w:rPr>
        <w:t xml:space="preserve"> </w:t>
      </w:r>
      <w:r>
        <w:rPr>
          <w:sz w:val="20"/>
        </w:rPr>
        <w:t>key</w:t>
      </w:r>
      <w:r>
        <w:rPr>
          <w:spacing w:val="-3"/>
          <w:sz w:val="20"/>
        </w:rPr>
        <w:t xml:space="preserve"> </w:t>
      </w:r>
      <w:r>
        <w:rPr>
          <w:sz w:val="20"/>
        </w:rPr>
        <w:t>submissions</w:t>
      </w:r>
      <w:r>
        <w:rPr>
          <w:spacing w:val="-2"/>
          <w:sz w:val="20"/>
        </w:rPr>
        <w:t xml:space="preserve"> including:</w:t>
      </w:r>
    </w:p>
    <w:p w14:paraId="58F97BC1" w14:textId="77777777" w:rsidR="00AC6F3C" w:rsidRDefault="00570E88">
      <w:pPr>
        <w:pStyle w:val="ListParagraph"/>
        <w:numPr>
          <w:ilvl w:val="1"/>
          <w:numId w:val="58"/>
        </w:numPr>
        <w:tabs>
          <w:tab w:val="left" w:pos="1495"/>
        </w:tabs>
        <w:ind w:left="1495" w:hanging="340"/>
        <w:rPr>
          <w:sz w:val="20"/>
        </w:rPr>
      </w:pPr>
      <w:r>
        <w:rPr>
          <w:sz w:val="20"/>
        </w:rPr>
        <w:t>Cultural</w:t>
      </w:r>
      <w:r>
        <w:rPr>
          <w:spacing w:val="-9"/>
          <w:sz w:val="20"/>
        </w:rPr>
        <w:t xml:space="preserve"> </w:t>
      </w:r>
      <w:r>
        <w:rPr>
          <w:sz w:val="20"/>
        </w:rPr>
        <w:t>Heritage</w:t>
      </w:r>
      <w:r>
        <w:rPr>
          <w:spacing w:val="-14"/>
          <w:sz w:val="20"/>
        </w:rPr>
        <w:t xml:space="preserve"> </w:t>
      </w:r>
      <w:r>
        <w:rPr>
          <w:sz w:val="20"/>
        </w:rPr>
        <w:t>Acts</w:t>
      </w:r>
      <w:r>
        <w:rPr>
          <w:spacing w:val="-6"/>
          <w:sz w:val="20"/>
        </w:rPr>
        <w:t xml:space="preserve"> </w:t>
      </w:r>
      <w:r>
        <w:rPr>
          <w:sz w:val="20"/>
        </w:rPr>
        <w:t>Review</w:t>
      </w:r>
      <w:r>
        <w:rPr>
          <w:spacing w:val="-7"/>
          <w:sz w:val="20"/>
        </w:rPr>
        <w:t xml:space="preserve"> </w:t>
      </w:r>
      <w:r>
        <w:rPr>
          <w:sz w:val="20"/>
        </w:rPr>
        <w:t>on</w:t>
      </w:r>
      <w:r>
        <w:rPr>
          <w:spacing w:val="-6"/>
          <w:sz w:val="20"/>
        </w:rPr>
        <w:t xml:space="preserve"> </w:t>
      </w:r>
      <w:r>
        <w:rPr>
          <w:sz w:val="20"/>
        </w:rPr>
        <w:t>reshaping</w:t>
      </w:r>
      <w:r>
        <w:rPr>
          <w:spacing w:val="-6"/>
          <w:sz w:val="20"/>
        </w:rPr>
        <w:t xml:space="preserve"> </w:t>
      </w:r>
      <w:r>
        <w:rPr>
          <w:sz w:val="20"/>
        </w:rPr>
        <w:t>Queensland’s</w:t>
      </w:r>
      <w:r>
        <w:rPr>
          <w:spacing w:val="-7"/>
          <w:sz w:val="20"/>
        </w:rPr>
        <w:t xml:space="preserve"> </w:t>
      </w:r>
      <w:r>
        <w:rPr>
          <w:sz w:val="20"/>
        </w:rPr>
        <w:t>cultural</w:t>
      </w:r>
      <w:r>
        <w:rPr>
          <w:spacing w:val="-6"/>
          <w:sz w:val="20"/>
        </w:rPr>
        <w:t xml:space="preserve"> </w:t>
      </w:r>
      <w:r>
        <w:rPr>
          <w:sz w:val="20"/>
        </w:rPr>
        <w:t>heritage</w:t>
      </w:r>
      <w:r>
        <w:rPr>
          <w:spacing w:val="-6"/>
          <w:sz w:val="20"/>
        </w:rPr>
        <w:t xml:space="preserve"> </w:t>
      </w:r>
      <w:r>
        <w:rPr>
          <w:spacing w:val="-4"/>
          <w:sz w:val="20"/>
        </w:rPr>
        <w:t>laws</w:t>
      </w:r>
    </w:p>
    <w:p w14:paraId="760D6E81" w14:textId="77777777" w:rsidR="00AC6F3C" w:rsidRDefault="00570E88">
      <w:pPr>
        <w:pStyle w:val="ListParagraph"/>
        <w:numPr>
          <w:ilvl w:val="1"/>
          <w:numId w:val="58"/>
        </w:numPr>
        <w:tabs>
          <w:tab w:val="left" w:pos="1495"/>
        </w:tabs>
        <w:ind w:left="1495" w:hanging="340"/>
        <w:rPr>
          <w:sz w:val="20"/>
        </w:rPr>
      </w:pPr>
      <w:r>
        <w:rPr>
          <w:sz w:val="20"/>
        </w:rPr>
        <w:t>Interim</w:t>
      </w:r>
      <w:r>
        <w:rPr>
          <w:spacing w:val="-5"/>
          <w:sz w:val="20"/>
        </w:rPr>
        <w:t xml:space="preserve"> </w:t>
      </w:r>
      <w:r>
        <w:rPr>
          <w:sz w:val="20"/>
        </w:rPr>
        <w:t>scoping</w:t>
      </w:r>
      <w:r>
        <w:rPr>
          <w:spacing w:val="-4"/>
          <w:sz w:val="20"/>
        </w:rPr>
        <w:t xml:space="preserve"> </w:t>
      </w:r>
      <w:r>
        <w:rPr>
          <w:sz w:val="20"/>
        </w:rPr>
        <w:t>study</w:t>
      </w:r>
      <w:r>
        <w:rPr>
          <w:spacing w:val="-4"/>
          <w:sz w:val="20"/>
        </w:rPr>
        <w:t xml:space="preserve"> </w:t>
      </w:r>
      <w:r>
        <w:rPr>
          <w:sz w:val="20"/>
        </w:rPr>
        <w:t>consultation</w:t>
      </w:r>
      <w:r>
        <w:rPr>
          <w:spacing w:val="-4"/>
          <w:sz w:val="20"/>
        </w:rPr>
        <w:t xml:space="preserve"> </w:t>
      </w:r>
      <w:r>
        <w:rPr>
          <w:sz w:val="20"/>
        </w:rPr>
        <w:t>on</w:t>
      </w:r>
      <w:r>
        <w:rPr>
          <w:spacing w:val="-4"/>
          <w:sz w:val="20"/>
        </w:rPr>
        <w:t xml:space="preserve"> </w:t>
      </w:r>
      <w:r>
        <w:rPr>
          <w:sz w:val="20"/>
        </w:rPr>
        <w:t>standalone</w:t>
      </w:r>
      <w:r>
        <w:rPr>
          <w:spacing w:val="-4"/>
          <w:sz w:val="20"/>
        </w:rPr>
        <w:t xml:space="preserve"> </w:t>
      </w:r>
      <w:r>
        <w:rPr>
          <w:sz w:val="20"/>
        </w:rPr>
        <w:t>legislation</w:t>
      </w:r>
      <w:r>
        <w:rPr>
          <w:spacing w:val="-4"/>
          <w:sz w:val="20"/>
        </w:rPr>
        <w:t xml:space="preserve"> </w:t>
      </w:r>
      <w:r>
        <w:rPr>
          <w:sz w:val="20"/>
        </w:rPr>
        <w:t>for</w:t>
      </w:r>
      <w:r>
        <w:rPr>
          <w:spacing w:val="-4"/>
          <w:sz w:val="20"/>
        </w:rPr>
        <w:t xml:space="preserve"> </w:t>
      </w:r>
      <w:r>
        <w:rPr>
          <w:sz w:val="20"/>
        </w:rPr>
        <w:t>Indigenous</w:t>
      </w:r>
      <w:r>
        <w:rPr>
          <w:spacing w:val="-4"/>
          <w:sz w:val="20"/>
        </w:rPr>
        <w:t xml:space="preserve"> </w:t>
      </w:r>
      <w:r>
        <w:rPr>
          <w:spacing w:val="-2"/>
          <w:sz w:val="20"/>
        </w:rPr>
        <w:t>Knowledge</w:t>
      </w:r>
    </w:p>
    <w:p w14:paraId="7C55516E" w14:textId="77777777" w:rsidR="00AC6F3C" w:rsidRDefault="00570E88">
      <w:pPr>
        <w:pStyle w:val="ListParagraph"/>
        <w:numPr>
          <w:ilvl w:val="1"/>
          <w:numId w:val="58"/>
        </w:numPr>
        <w:tabs>
          <w:tab w:val="left" w:pos="1495"/>
        </w:tabs>
        <w:ind w:left="1495" w:hanging="340"/>
        <w:rPr>
          <w:sz w:val="20"/>
        </w:rPr>
      </w:pPr>
      <w:r>
        <w:rPr>
          <w:sz w:val="20"/>
        </w:rPr>
        <w:t>Inquiry</w:t>
      </w:r>
      <w:r>
        <w:rPr>
          <w:spacing w:val="-5"/>
          <w:sz w:val="20"/>
        </w:rPr>
        <w:t xml:space="preserve"> </w:t>
      </w:r>
      <w:r>
        <w:rPr>
          <w:sz w:val="20"/>
        </w:rPr>
        <w:t>into</w:t>
      </w:r>
      <w:r>
        <w:rPr>
          <w:spacing w:val="-3"/>
          <w:sz w:val="20"/>
        </w:rPr>
        <w:t xml:space="preserve"> </w:t>
      </w:r>
      <w:r>
        <w:rPr>
          <w:sz w:val="20"/>
        </w:rPr>
        <w:t>the</w:t>
      </w:r>
      <w:r>
        <w:rPr>
          <w:spacing w:val="-3"/>
          <w:sz w:val="20"/>
        </w:rPr>
        <w:t xml:space="preserve"> </w:t>
      </w:r>
      <w:r>
        <w:rPr>
          <w:sz w:val="20"/>
        </w:rPr>
        <w:t>Path</w:t>
      </w:r>
      <w:r>
        <w:rPr>
          <w:spacing w:val="-3"/>
          <w:sz w:val="20"/>
        </w:rPr>
        <w:t xml:space="preserve"> </w:t>
      </w:r>
      <w:r>
        <w:rPr>
          <w:sz w:val="20"/>
        </w:rPr>
        <w:t>to</w:t>
      </w:r>
      <w:r>
        <w:rPr>
          <w:spacing w:val="-7"/>
          <w:sz w:val="20"/>
        </w:rPr>
        <w:t xml:space="preserve"> </w:t>
      </w:r>
      <w:r>
        <w:rPr>
          <w:sz w:val="20"/>
        </w:rPr>
        <w:t>Treaty</w:t>
      </w:r>
      <w:r>
        <w:rPr>
          <w:spacing w:val="-3"/>
          <w:sz w:val="20"/>
        </w:rPr>
        <w:t xml:space="preserve"> </w:t>
      </w:r>
      <w:r>
        <w:rPr>
          <w:sz w:val="20"/>
        </w:rPr>
        <w:t>Bill</w:t>
      </w:r>
      <w:r>
        <w:rPr>
          <w:spacing w:val="-2"/>
          <w:sz w:val="20"/>
        </w:rPr>
        <w:t xml:space="preserve"> 2023.</w:t>
      </w:r>
    </w:p>
    <w:p w14:paraId="7021F1DA" w14:textId="77777777" w:rsidR="00AC6F3C" w:rsidRDefault="00570E88">
      <w:pPr>
        <w:pStyle w:val="ListParagraph"/>
        <w:numPr>
          <w:ilvl w:val="0"/>
          <w:numId w:val="58"/>
        </w:numPr>
        <w:tabs>
          <w:tab w:val="left" w:pos="1155"/>
        </w:tabs>
        <w:spacing w:line="249" w:lineRule="auto"/>
        <w:ind w:right="151"/>
        <w:rPr>
          <w:sz w:val="20"/>
        </w:rPr>
      </w:pPr>
      <w:r>
        <w:rPr>
          <w:sz w:val="20"/>
        </w:rPr>
        <w:t>Worked</w:t>
      </w:r>
      <w:r>
        <w:rPr>
          <w:spacing w:val="-3"/>
          <w:sz w:val="20"/>
        </w:rPr>
        <w:t xml:space="preserve"> </w:t>
      </w:r>
      <w:r>
        <w:rPr>
          <w:sz w:val="20"/>
        </w:rPr>
        <w:t>collaboratively</w:t>
      </w:r>
      <w:r>
        <w:rPr>
          <w:spacing w:val="-3"/>
          <w:sz w:val="20"/>
        </w:rPr>
        <w:t xml:space="preserve"> </w:t>
      </w:r>
      <w:r>
        <w:rPr>
          <w:sz w:val="20"/>
        </w:rPr>
        <w:t>with</w:t>
      </w:r>
      <w:r>
        <w:rPr>
          <w:spacing w:val="-3"/>
          <w:sz w:val="20"/>
        </w:rPr>
        <w:t xml:space="preserve"> </w:t>
      </w:r>
      <w:r>
        <w:rPr>
          <w:sz w:val="20"/>
        </w:rPr>
        <w:t>other</w:t>
      </w:r>
      <w:r>
        <w:rPr>
          <w:spacing w:val="-3"/>
          <w:sz w:val="20"/>
        </w:rPr>
        <w:t xml:space="preserve"> </w:t>
      </w:r>
      <w:r>
        <w:rPr>
          <w:sz w:val="20"/>
        </w:rPr>
        <w:t>QLS</w:t>
      </w:r>
      <w:r>
        <w:rPr>
          <w:spacing w:val="-3"/>
          <w:sz w:val="20"/>
        </w:rPr>
        <w:t xml:space="preserve"> </w:t>
      </w:r>
      <w:r>
        <w:rPr>
          <w:sz w:val="20"/>
        </w:rPr>
        <w:t>policy</w:t>
      </w:r>
      <w:r>
        <w:rPr>
          <w:spacing w:val="-3"/>
          <w:sz w:val="20"/>
        </w:rPr>
        <w:t xml:space="preserve"> </w:t>
      </w:r>
      <w:r>
        <w:rPr>
          <w:sz w:val="20"/>
        </w:rPr>
        <w:t>committees</w:t>
      </w:r>
      <w:r>
        <w:rPr>
          <w:spacing w:val="-3"/>
          <w:sz w:val="20"/>
        </w:rPr>
        <w:t xml:space="preserve"> </w:t>
      </w:r>
      <w:r>
        <w:rPr>
          <w:sz w:val="20"/>
        </w:rPr>
        <w:t>on</w:t>
      </w:r>
      <w:r>
        <w:rPr>
          <w:spacing w:val="-3"/>
          <w:sz w:val="20"/>
        </w:rPr>
        <w:t xml:space="preserve"> </w:t>
      </w:r>
      <w:r>
        <w:rPr>
          <w:sz w:val="20"/>
        </w:rPr>
        <w:t>submissions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 xml:space="preserve">sunsetting instruments under the </w:t>
      </w:r>
      <w:r>
        <w:rPr>
          <w:i/>
          <w:sz w:val="20"/>
        </w:rPr>
        <w:t>Native Title</w:t>
      </w:r>
      <w:r>
        <w:rPr>
          <w:i/>
          <w:spacing w:val="-7"/>
          <w:sz w:val="20"/>
        </w:rPr>
        <w:t xml:space="preserve"> </w:t>
      </w:r>
      <w:r>
        <w:rPr>
          <w:i/>
          <w:sz w:val="20"/>
        </w:rPr>
        <w:t xml:space="preserve">Act 1993 </w:t>
      </w:r>
      <w:r>
        <w:rPr>
          <w:sz w:val="20"/>
        </w:rPr>
        <w:t>(</w:t>
      </w:r>
      <w:proofErr w:type="spellStart"/>
      <w:r>
        <w:rPr>
          <w:sz w:val="20"/>
        </w:rPr>
        <w:t>Cth</w:t>
      </w:r>
      <w:proofErr w:type="spellEnd"/>
      <w:r>
        <w:rPr>
          <w:sz w:val="20"/>
        </w:rPr>
        <w:t>), Strengthening Community Safety Bill 2023 and the Monitoring of Places of Detention (Optional Protocol to the Convention</w:t>
      </w:r>
      <w:r>
        <w:rPr>
          <w:spacing w:val="-5"/>
          <w:sz w:val="20"/>
        </w:rPr>
        <w:t xml:space="preserve"> </w:t>
      </w:r>
      <w:r>
        <w:rPr>
          <w:sz w:val="20"/>
        </w:rPr>
        <w:t>Against Torture) Bill 2022.</w:t>
      </w:r>
    </w:p>
    <w:p w14:paraId="61483300" w14:textId="77777777" w:rsidR="00AC6F3C" w:rsidRDefault="00570E88">
      <w:pPr>
        <w:pStyle w:val="ListParagraph"/>
        <w:numPr>
          <w:ilvl w:val="0"/>
          <w:numId w:val="58"/>
        </w:numPr>
        <w:tabs>
          <w:tab w:val="left" w:pos="1155"/>
        </w:tabs>
        <w:spacing w:before="172" w:line="249" w:lineRule="auto"/>
        <w:ind w:right="335"/>
        <w:rPr>
          <w:sz w:val="20"/>
        </w:rPr>
      </w:pPr>
      <w:r>
        <w:rPr>
          <w:sz w:val="20"/>
        </w:rPr>
        <w:t>Committee</w:t>
      </w:r>
      <w:r>
        <w:rPr>
          <w:spacing w:val="-3"/>
          <w:sz w:val="20"/>
        </w:rPr>
        <w:t xml:space="preserve"> </w:t>
      </w:r>
      <w:r>
        <w:rPr>
          <w:sz w:val="20"/>
        </w:rPr>
        <w:t>members</w:t>
      </w:r>
      <w:r>
        <w:rPr>
          <w:spacing w:val="-3"/>
          <w:sz w:val="20"/>
        </w:rPr>
        <w:t xml:space="preserve"> </w:t>
      </w:r>
      <w:r>
        <w:rPr>
          <w:sz w:val="20"/>
        </w:rPr>
        <w:t>appeared</w:t>
      </w:r>
      <w:r>
        <w:rPr>
          <w:spacing w:val="-3"/>
          <w:sz w:val="20"/>
        </w:rPr>
        <w:t xml:space="preserve"> </w:t>
      </w:r>
      <w:r>
        <w:rPr>
          <w:sz w:val="20"/>
        </w:rPr>
        <w:t>at</w:t>
      </w:r>
      <w:r>
        <w:rPr>
          <w:spacing w:val="-3"/>
          <w:sz w:val="20"/>
        </w:rPr>
        <w:t xml:space="preserve"> </w:t>
      </w:r>
      <w:r>
        <w:rPr>
          <w:sz w:val="20"/>
        </w:rPr>
        <w:t>two</w:t>
      </w:r>
      <w:r>
        <w:rPr>
          <w:spacing w:val="-3"/>
          <w:sz w:val="20"/>
        </w:rPr>
        <w:t xml:space="preserve"> </w:t>
      </w:r>
      <w:r>
        <w:rPr>
          <w:sz w:val="20"/>
        </w:rPr>
        <w:t>public</w:t>
      </w:r>
      <w:r>
        <w:rPr>
          <w:spacing w:val="-3"/>
          <w:sz w:val="20"/>
        </w:rPr>
        <w:t xml:space="preserve"> </w:t>
      </w:r>
      <w:r>
        <w:rPr>
          <w:sz w:val="20"/>
        </w:rPr>
        <w:t>hearings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parliamentary</w:t>
      </w:r>
      <w:r>
        <w:rPr>
          <w:spacing w:val="-3"/>
          <w:sz w:val="20"/>
        </w:rPr>
        <w:t xml:space="preserve"> </w:t>
      </w:r>
      <w:r>
        <w:rPr>
          <w:sz w:val="20"/>
        </w:rPr>
        <w:t>committee</w:t>
      </w:r>
      <w:r>
        <w:rPr>
          <w:spacing w:val="-3"/>
          <w:sz w:val="20"/>
        </w:rPr>
        <w:t xml:space="preserve"> </w:t>
      </w:r>
      <w:r>
        <w:rPr>
          <w:sz w:val="20"/>
        </w:rPr>
        <w:t>inquiries</w:t>
      </w:r>
      <w:r>
        <w:rPr>
          <w:spacing w:val="-3"/>
          <w:sz w:val="20"/>
        </w:rPr>
        <w:t xml:space="preserve"> </w:t>
      </w:r>
      <w:r>
        <w:rPr>
          <w:sz w:val="20"/>
        </w:rPr>
        <w:t>into the Strengthening Community Safety Bill 2023 and the Path to Treaty Bill 2023.</w:t>
      </w:r>
    </w:p>
    <w:p w14:paraId="29D97C1D" w14:textId="77777777" w:rsidR="00AC6F3C" w:rsidRDefault="00570E88">
      <w:pPr>
        <w:pStyle w:val="ListParagraph"/>
        <w:numPr>
          <w:ilvl w:val="0"/>
          <w:numId w:val="58"/>
        </w:numPr>
        <w:tabs>
          <w:tab w:val="left" w:pos="1155"/>
        </w:tabs>
        <w:spacing w:before="172"/>
        <w:ind w:hanging="340"/>
        <w:rPr>
          <w:sz w:val="20"/>
        </w:rPr>
      </w:pPr>
      <w:r>
        <w:rPr>
          <w:sz w:val="20"/>
        </w:rPr>
        <w:t>Called</w:t>
      </w:r>
      <w:r>
        <w:rPr>
          <w:spacing w:val="-6"/>
          <w:sz w:val="20"/>
        </w:rPr>
        <w:t xml:space="preserve"> </w:t>
      </w:r>
      <w:r>
        <w:rPr>
          <w:sz w:val="20"/>
        </w:rPr>
        <w:t>on</w:t>
      </w:r>
      <w:r>
        <w:rPr>
          <w:spacing w:val="-4"/>
          <w:sz w:val="20"/>
        </w:rPr>
        <w:t xml:space="preserve"> </w:t>
      </w:r>
      <w:r>
        <w:rPr>
          <w:sz w:val="20"/>
        </w:rPr>
        <w:t>the</w:t>
      </w:r>
      <w:r>
        <w:rPr>
          <w:spacing w:val="-4"/>
          <w:sz w:val="20"/>
        </w:rPr>
        <w:t xml:space="preserve"> </w:t>
      </w:r>
      <w:r>
        <w:rPr>
          <w:sz w:val="20"/>
        </w:rPr>
        <w:t>Government</w:t>
      </w:r>
      <w:r>
        <w:rPr>
          <w:spacing w:val="-3"/>
          <w:sz w:val="20"/>
        </w:rPr>
        <w:t xml:space="preserve"> </w:t>
      </w:r>
      <w:r>
        <w:rPr>
          <w:sz w:val="20"/>
        </w:rPr>
        <w:t>to</w:t>
      </w:r>
      <w:r>
        <w:rPr>
          <w:spacing w:val="-4"/>
          <w:sz w:val="20"/>
        </w:rPr>
        <w:t xml:space="preserve"> </w:t>
      </w:r>
      <w:r>
        <w:rPr>
          <w:sz w:val="20"/>
        </w:rPr>
        <w:t>boost</w:t>
      </w:r>
      <w:r>
        <w:rPr>
          <w:spacing w:val="-4"/>
          <w:sz w:val="20"/>
        </w:rPr>
        <w:t xml:space="preserve"> </w:t>
      </w:r>
      <w:r>
        <w:rPr>
          <w:sz w:val="20"/>
        </w:rPr>
        <w:t>emergency</w:t>
      </w:r>
      <w:r>
        <w:rPr>
          <w:spacing w:val="-4"/>
          <w:sz w:val="20"/>
        </w:rPr>
        <w:t xml:space="preserve"> </w:t>
      </w:r>
      <w:r>
        <w:rPr>
          <w:sz w:val="20"/>
        </w:rPr>
        <w:t>funding</w:t>
      </w:r>
      <w:r>
        <w:rPr>
          <w:spacing w:val="-3"/>
          <w:sz w:val="20"/>
        </w:rPr>
        <w:t xml:space="preserve"> </w:t>
      </w:r>
      <w:r>
        <w:rPr>
          <w:sz w:val="20"/>
        </w:rPr>
        <w:t>for</w:t>
      </w:r>
      <w:r>
        <w:rPr>
          <w:spacing w:val="-4"/>
          <w:sz w:val="20"/>
        </w:rPr>
        <w:t xml:space="preserve"> </w:t>
      </w:r>
      <w:r>
        <w:rPr>
          <w:sz w:val="20"/>
        </w:rPr>
        <w:t>the</w:t>
      </w:r>
      <w:r>
        <w:rPr>
          <w:spacing w:val="-14"/>
          <w:sz w:val="20"/>
        </w:rPr>
        <w:t xml:space="preserve"> </w:t>
      </w:r>
      <w:r>
        <w:rPr>
          <w:sz w:val="20"/>
        </w:rPr>
        <w:t>Aboriginal</w:t>
      </w:r>
      <w:r>
        <w:rPr>
          <w:spacing w:val="-4"/>
          <w:sz w:val="20"/>
        </w:rPr>
        <w:t xml:space="preserve"> </w:t>
      </w:r>
      <w:r>
        <w:rPr>
          <w:sz w:val="20"/>
        </w:rPr>
        <w:t>and</w:t>
      </w:r>
      <w:r>
        <w:rPr>
          <w:spacing w:val="-7"/>
          <w:sz w:val="20"/>
        </w:rPr>
        <w:t xml:space="preserve"> </w:t>
      </w:r>
      <w:r>
        <w:rPr>
          <w:sz w:val="20"/>
        </w:rPr>
        <w:t>Torres</w:t>
      </w:r>
      <w:r>
        <w:rPr>
          <w:spacing w:val="-4"/>
          <w:sz w:val="20"/>
        </w:rPr>
        <w:t xml:space="preserve"> </w:t>
      </w:r>
      <w:r>
        <w:rPr>
          <w:sz w:val="20"/>
        </w:rPr>
        <w:t>Strait</w:t>
      </w:r>
      <w:r>
        <w:rPr>
          <w:spacing w:val="-3"/>
          <w:sz w:val="20"/>
        </w:rPr>
        <w:t xml:space="preserve"> </w:t>
      </w:r>
      <w:r>
        <w:rPr>
          <w:spacing w:val="-2"/>
          <w:sz w:val="20"/>
        </w:rPr>
        <w:t>Islander</w:t>
      </w:r>
    </w:p>
    <w:p w14:paraId="177B3AB5" w14:textId="77777777" w:rsidR="00AC6F3C" w:rsidRDefault="00570E88">
      <w:pPr>
        <w:pStyle w:val="BodyText"/>
        <w:spacing w:before="10"/>
        <w:ind w:left="1155"/>
      </w:pPr>
      <w:r>
        <w:t>Legal</w:t>
      </w:r>
      <w:r>
        <w:rPr>
          <w:spacing w:val="-3"/>
        </w:rPr>
        <w:t xml:space="preserve"> </w:t>
      </w:r>
      <w:r>
        <w:t>Service</w:t>
      </w:r>
      <w:r>
        <w:rPr>
          <w:spacing w:val="-3"/>
        </w:rPr>
        <w:t xml:space="preserve"> </w:t>
      </w:r>
      <w:r>
        <w:t>to</w:t>
      </w:r>
      <w:r>
        <w:rPr>
          <w:spacing w:val="-2"/>
        </w:rPr>
        <w:t xml:space="preserve"> </w:t>
      </w:r>
      <w:r>
        <w:t>avoid</w:t>
      </w:r>
      <w:r>
        <w:rPr>
          <w:spacing w:val="-3"/>
        </w:rPr>
        <w:t xml:space="preserve"> </w:t>
      </w:r>
      <w:r>
        <w:t>the</w:t>
      </w:r>
      <w:r>
        <w:rPr>
          <w:spacing w:val="-3"/>
        </w:rPr>
        <w:t xml:space="preserve"> </w:t>
      </w:r>
      <w:r>
        <w:t>permanent</w:t>
      </w:r>
      <w:r>
        <w:rPr>
          <w:spacing w:val="-2"/>
        </w:rPr>
        <w:t xml:space="preserve"> </w:t>
      </w:r>
      <w:r>
        <w:t>suspension</w:t>
      </w:r>
      <w:r>
        <w:rPr>
          <w:spacing w:val="-3"/>
        </w:rPr>
        <w:t xml:space="preserve"> </w:t>
      </w:r>
      <w:r>
        <w:t>of</w:t>
      </w:r>
      <w:r>
        <w:rPr>
          <w:spacing w:val="-3"/>
        </w:rPr>
        <w:t xml:space="preserve"> </w:t>
      </w:r>
      <w:proofErr w:type="gramStart"/>
      <w:r>
        <w:t>some</w:t>
      </w:r>
      <w:r>
        <w:rPr>
          <w:spacing w:val="-2"/>
        </w:rPr>
        <w:t xml:space="preserve"> </w:t>
      </w:r>
      <w:r>
        <w:t>of</w:t>
      </w:r>
      <w:proofErr w:type="gramEnd"/>
      <w:r>
        <w:rPr>
          <w:spacing w:val="-3"/>
        </w:rPr>
        <w:t xml:space="preserve"> </w:t>
      </w:r>
      <w:r>
        <w:t>its</w:t>
      </w:r>
      <w:r>
        <w:rPr>
          <w:spacing w:val="-2"/>
        </w:rPr>
        <w:t xml:space="preserve"> services.</w:t>
      </w:r>
    </w:p>
    <w:p w14:paraId="6D87E0E2" w14:textId="77777777" w:rsidR="00AC6F3C" w:rsidRDefault="00AC6F3C">
      <w:pPr>
        <w:pStyle w:val="BodyText"/>
        <w:spacing w:before="10"/>
        <w:rPr>
          <w:sz w:val="31"/>
        </w:rPr>
      </w:pPr>
    </w:p>
    <w:p w14:paraId="10CB219C" w14:textId="77777777" w:rsidR="00AC6F3C" w:rsidRDefault="00570E88">
      <w:pPr>
        <w:ind w:left="815"/>
        <w:rPr>
          <w:b/>
          <w:sz w:val="26"/>
        </w:rPr>
      </w:pPr>
      <w:r>
        <w:rPr>
          <w:b/>
          <w:sz w:val="26"/>
        </w:rPr>
        <w:t xml:space="preserve">Franchising Law </w:t>
      </w:r>
      <w:r>
        <w:rPr>
          <w:b/>
          <w:spacing w:val="-2"/>
          <w:sz w:val="26"/>
        </w:rPr>
        <w:t>Committee</w:t>
      </w:r>
    </w:p>
    <w:p w14:paraId="5BD5198A" w14:textId="77777777" w:rsidR="00AC6F3C" w:rsidRDefault="00570E88">
      <w:pPr>
        <w:pStyle w:val="ListParagraph"/>
        <w:numPr>
          <w:ilvl w:val="0"/>
          <w:numId w:val="58"/>
        </w:numPr>
        <w:tabs>
          <w:tab w:val="left" w:pos="1155"/>
        </w:tabs>
        <w:spacing w:before="167"/>
        <w:ind w:hanging="340"/>
        <w:rPr>
          <w:sz w:val="20"/>
        </w:rPr>
      </w:pPr>
      <w:r>
        <w:rPr>
          <w:sz w:val="20"/>
        </w:rPr>
        <w:t>The</w:t>
      </w:r>
      <w:r>
        <w:rPr>
          <w:spacing w:val="-4"/>
          <w:sz w:val="20"/>
        </w:rPr>
        <w:t xml:space="preserve"> </w:t>
      </w:r>
      <w:r>
        <w:rPr>
          <w:sz w:val="20"/>
        </w:rPr>
        <w:t>Franchising</w:t>
      </w:r>
      <w:r>
        <w:rPr>
          <w:spacing w:val="-3"/>
          <w:sz w:val="20"/>
        </w:rPr>
        <w:t xml:space="preserve"> </w:t>
      </w:r>
      <w:r>
        <w:rPr>
          <w:sz w:val="20"/>
        </w:rPr>
        <w:t>Law</w:t>
      </w:r>
      <w:r>
        <w:rPr>
          <w:spacing w:val="-4"/>
          <w:sz w:val="20"/>
        </w:rPr>
        <w:t xml:space="preserve"> </w:t>
      </w:r>
      <w:r>
        <w:rPr>
          <w:sz w:val="20"/>
        </w:rPr>
        <w:t>Committee</w:t>
      </w:r>
      <w:r>
        <w:rPr>
          <w:spacing w:val="-3"/>
          <w:sz w:val="20"/>
        </w:rPr>
        <w:t xml:space="preserve"> </w:t>
      </w:r>
      <w:r>
        <w:rPr>
          <w:sz w:val="20"/>
        </w:rPr>
        <w:t>has</w:t>
      </w:r>
      <w:r>
        <w:rPr>
          <w:spacing w:val="-4"/>
          <w:sz w:val="20"/>
        </w:rPr>
        <w:t xml:space="preserve"> </w:t>
      </w:r>
      <w:r>
        <w:rPr>
          <w:sz w:val="20"/>
        </w:rPr>
        <w:t>been</w:t>
      </w:r>
      <w:r>
        <w:rPr>
          <w:spacing w:val="-3"/>
          <w:sz w:val="20"/>
        </w:rPr>
        <w:t xml:space="preserve"> </w:t>
      </w:r>
      <w:r>
        <w:rPr>
          <w:sz w:val="20"/>
        </w:rPr>
        <w:t>monitoring</w:t>
      </w:r>
      <w:r>
        <w:rPr>
          <w:spacing w:val="-4"/>
          <w:sz w:val="20"/>
        </w:rPr>
        <w:t xml:space="preserve"> </w:t>
      </w:r>
      <w:r>
        <w:rPr>
          <w:sz w:val="20"/>
        </w:rPr>
        <w:t>the</w:t>
      </w:r>
      <w:r>
        <w:rPr>
          <w:spacing w:val="-3"/>
          <w:sz w:val="20"/>
        </w:rPr>
        <w:t xml:space="preserve"> </w:t>
      </w:r>
      <w:r>
        <w:rPr>
          <w:sz w:val="20"/>
        </w:rPr>
        <w:t>commencement</w:t>
      </w:r>
      <w:r>
        <w:rPr>
          <w:spacing w:val="-4"/>
          <w:sz w:val="20"/>
        </w:rPr>
        <w:t xml:space="preserve"> </w:t>
      </w:r>
      <w:r>
        <w:rPr>
          <w:sz w:val="20"/>
        </w:rPr>
        <w:t>of</w:t>
      </w:r>
      <w:r>
        <w:rPr>
          <w:spacing w:val="-3"/>
          <w:sz w:val="20"/>
        </w:rPr>
        <w:t xml:space="preserve"> </w:t>
      </w:r>
      <w:r>
        <w:rPr>
          <w:sz w:val="20"/>
        </w:rPr>
        <w:t>the</w:t>
      </w:r>
      <w:r>
        <w:rPr>
          <w:spacing w:val="-3"/>
          <w:sz w:val="20"/>
        </w:rPr>
        <w:t xml:space="preserve"> </w:t>
      </w:r>
      <w:proofErr w:type="gramStart"/>
      <w:r>
        <w:rPr>
          <w:spacing w:val="-2"/>
          <w:sz w:val="20"/>
        </w:rPr>
        <w:t>Franchise</w:t>
      </w:r>
      <w:proofErr w:type="gramEnd"/>
    </w:p>
    <w:p w14:paraId="1941A1FF" w14:textId="77777777" w:rsidR="00AC6F3C" w:rsidRDefault="00570E88">
      <w:pPr>
        <w:pStyle w:val="BodyText"/>
        <w:spacing w:before="10"/>
        <w:ind w:left="1155"/>
      </w:pPr>
      <w:r>
        <w:t>Disclosure</w:t>
      </w:r>
      <w:r>
        <w:rPr>
          <w:spacing w:val="-9"/>
        </w:rPr>
        <w:t xml:space="preserve"> </w:t>
      </w:r>
      <w:r>
        <w:rPr>
          <w:spacing w:val="-2"/>
        </w:rPr>
        <w:t>Register</w:t>
      </w:r>
    </w:p>
    <w:p w14:paraId="05F06578" w14:textId="77777777" w:rsidR="00AC6F3C" w:rsidRDefault="00570E88">
      <w:pPr>
        <w:pStyle w:val="ListParagraph"/>
        <w:numPr>
          <w:ilvl w:val="0"/>
          <w:numId w:val="58"/>
        </w:numPr>
        <w:tabs>
          <w:tab w:val="left" w:pos="1155"/>
        </w:tabs>
        <w:spacing w:line="249" w:lineRule="auto"/>
        <w:ind w:right="680"/>
        <w:rPr>
          <w:sz w:val="20"/>
        </w:rPr>
      </w:pPr>
      <w:r>
        <w:rPr>
          <w:sz w:val="20"/>
        </w:rPr>
        <w:t>The</w:t>
      </w:r>
      <w:r>
        <w:rPr>
          <w:spacing w:val="-3"/>
          <w:sz w:val="20"/>
        </w:rPr>
        <w:t xml:space="preserve"> </w:t>
      </w:r>
      <w:r>
        <w:rPr>
          <w:sz w:val="20"/>
        </w:rPr>
        <w:t>Committee</w:t>
      </w:r>
      <w:r>
        <w:rPr>
          <w:spacing w:val="-3"/>
          <w:sz w:val="20"/>
        </w:rPr>
        <w:t xml:space="preserve"> </w:t>
      </w:r>
      <w:r>
        <w:rPr>
          <w:sz w:val="20"/>
        </w:rPr>
        <w:t>is</w:t>
      </w:r>
      <w:r>
        <w:rPr>
          <w:spacing w:val="-3"/>
          <w:sz w:val="20"/>
        </w:rPr>
        <w:t xml:space="preserve"> </w:t>
      </w:r>
      <w:r>
        <w:rPr>
          <w:sz w:val="20"/>
        </w:rPr>
        <w:t>working</w:t>
      </w:r>
      <w:r>
        <w:rPr>
          <w:spacing w:val="-3"/>
          <w:sz w:val="20"/>
        </w:rPr>
        <w:t xml:space="preserve"> </w:t>
      </w:r>
      <w:r>
        <w:rPr>
          <w:sz w:val="20"/>
        </w:rPr>
        <w:t>to</w:t>
      </w:r>
      <w:r>
        <w:rPr>
          <w:spacing w:val="-3"/>
          <w:sz w:val="20"/>
        </w:rPr>
        <w:t xml:space="preserve"> </w:t>
      </w:r>
      <w:r>
        <w:rPr>
          <w:sz w:val="20"/>
        </w:rPr>
        <w:t>raise</w:t>
      </w:r>
      <w:r>
        <w:rPr>
          <w:spacing w:val="-3"/>
          <w:sz w:val="20"/>
        </w:rPr>
        <w:t xml:space="preserve"> </w:t>
      </w:r>
      <w:r>
        <w:rPr>
          <w:sz w:val="20"/>
        </w:rPr>
        <w:t>awareness</w:t>
      </w:r>
      <w:r>
        <w:rPr>
          <w:spacing w:val="-3"/>
          <w:sz w:val="20"/>
        </w:rPr>
        <w:t xml:space="preserve"> </w:t>
      </w:r>
      <w:r>
        <w:rPr>
          <w:sz w:val="20"/>
        </w:rPr>
        <w:t>among</w:t>
      </w:r>
      <w:r>
        <w:rPr>
          <w:spacing w:val="-3"/>
          <w:sz w:val="20"/>
        </w:rPr>
        <w:t xml:space="preserve"> </w:t>
      </w:r>
      <w:r>
        <w:rPr>
          <w:sz w:val="20"/>
        </w:rPr>
        <w:t>practitioners</w:t>
      </w:r>
      <w:r>
        <w:rPr>
          <w:spacing w:val="-3"/>
          <w:sz w:val="20"/>
        </w:rPr>
        <w:t xml:space="preserve"> </w:t>
      </w:r>
      <w:r>
        <w:rPr>
          <w:sz w:val="20"/>
        </w:rPr>
        <w:t>to</w:t>
      </w:r>
      <w:r>
        <w:rPr>
          <w:spacing w:val="-3"/>
          <w:sz w:val="20"/>
        </w:rPr>
        <w:t xml:space="preserve"> </w:t>
      </w:r>
      <w:r>
        <w:rPr>
          <w:sz w:val="20"/>
        </w:rPr>
        <w:t>review</w:t>
      </w:r>
      <w:r>
        <w:rPr>
          <w:spacing w:val="-3"/>
          <w:sz w:val="20"/>
        </w:rPr>
        <w:t xml:space="preserve"> </w:t>
      </w:r>
      <w:r>
        <w:rPr>
          <w:sz w:val="20"/>
        </w:rPr>
        <w:t>their</w:t>
      </w:r>
      <w:r>
        <w:rPr>
          <w:spacing w:val="-3"/>
          <w:sz w:val="20"/>
        </w:rPr>
        <w:t xml:space="preserve"> </w:t>
      </w:r>
      <w:r>
        <w:rPr>
          <w:sz w:val="20"/>
        </w:rPr>
        <w:t>standard</w:t>
      </w:r>
      <w:r>
        <w:rPr>
          <w:spacing w:val="-3"/>
          <w:sz w:val="20"/>
        </w:rPr>
        <w:t xml:space="preserve"> </w:t>
      </w:r>
      <w:r>
        <w:rPr>
          <w:sz w:val="20"/>
        </w:rPr>
        <w:t>form contracts to comply with the amendments to the unfair contract terms regime.</w:t>
      </w:r>
    </w:p>
    <w:p w14:paraId="7271580D" w14:textId="77777777" w:rsidR="00AC6F3C" w:rsidRDefault="00AC6F3C">
      <w:pPr>
        <w:pStyle w:val="BodyText"/>
        <w:spacing w:before="1"/>
        <w:rPr>
          <w:sz w:val="31"/>
        </w:rPr>
      </w:pPr>
    </w:p>
    <w:p w14:paraId="014BD20E" w14:textId="77777777" w:rsidR="00AC6F3C" w:rsidRDefault="00570E88">
      <w:pPr>
        <w:ind w:left="815"/>
        <w:rPr>
          <w:b/>
          <w:sz w:val="26"/>
        </w:rPr>
      </w:pPr>
      <w:r>
        <w:rPr>
          <w:b/>
          <w:sz w:val="26"/>
        </w:rPr>
        <w:t>Human</w:t>
      </w:r>
      <w:r>
        <w:rPr>
          <w:b/>
          <w:spacing w:val="-4"/>
          <w:sz w:val="26"/>
        </w:rPr>
        <w:t xml:space="preserve"> </w:t>
      </w:r>
      <w:r>
        <w:rPr>
          <w:b/>
          <w:sz w:val="26"/>
        </w:rPr>
        <w:t>Rights</w:t>
      </w:r>
      <w:r>
        <w:rPr>
          <w:b/>
          <w:spacing w:val="-2"/>
          <w:sz w:val="26"/>
        </w:rPr>
        <w:t xml:space="preserve"> </w:t>
      </w:r>
      <w:r>
        <w:rPr>
          <w:b/>
          <w:sz w:val="26"/>
        </w:rPr>
        <w:t>and</w:t>
      </w:r>
      <w:r>
        <w:rPr>
          <w:b/>
          <w:spacing w:val="-2"/>
          <w:sz w:val="26"/>
        </w:rPr>
        <w:t xml:space="preserve"> </w:t>
      </w:r>
      <w:r>
        <w:rPr>
          <w:b/>
          <w:sz w:val="26"/>
        </w:rPr>
        <w:t>Public</w:t>
      </w:r>
      <w:r>
        <w:rPr>
          <w:b/>
          <w:spacing w:val="-2"/>
          <w:sz w:val="26"/>
        </w:rPr>
        <w:t xml:space="preserve"> </w:t>
      </w:r>
      <w:r>
        <w:rPr>
          <w:b/>
          <w:sz w:val="26"/>
        </w:rPr>
        <w:t>Law</w:t>
      </w:r>
      <w:r>
        <w:rPr>
          <w:b/>
          <w:spacing w:val="-2"/>
          <w:sz w:val="26"/>
        </w:rPr>
        <w:t xml:space="preserve"> Committee</w:t>
      </w:r>
    </w:p>
    <w:p w14:paraId="54C602C8" w14:textId="77777777" w:rsidR="00AC6F3C" w:rsidRDefault="00570E88">
      <w:pPr>
        <w:pStyle w:val="BodyText"/>
        <w:spacing w:before="168" w:line="249" w:lineRule="auto"/>
        <w:ind w:left="815"/>
      </w:pPr>
      <w:r>
        <w:t>The</w:t>
      </w:r>
      <w:r>
        <w:rPr>
          <w:spacing w:val="-3"/>
        </w:rPr>
        <w:t xml:space="preserve"> </w:t>
      </w:r>
      <w:r>
        <w:t>Human</w:t>
      </w:r>
      <w:r>
        <w:rPr>
          <w:spacing w:val="-3"/>
        </w:rPr>
        <w:t xml:space="preserve"> </w:t>
      </w:r>
      <w:r>
        <w:t>Rights</w:t>
      </w:r>
      <w:r>
        <w:rPr>
          <w:spacing w:val="-3"/>
        </w:rPr>
        <w:t xml:space="preserve"> </w:t>
      </w:r>
      <w:r>
        <w:t>and</w:t>
      </w:r>
      <w:r>
        <w:rPr>
          <w:spacing w:val="-3"/>
        </w:rPr>
        <w:t xml:space="preserve"> </w:t>
      </w:r>
      <w:r>
        <w:t>Public</w:t>
      </w:r>
      <w:r>
        <w:rPr>
          <w:spacing w:val="-3"/>
        </w:rPr>
        <w:t xml:space="preserve"> </w:t>
      </w:r>
      <w:r>
        <w:t>Law</w:t>
      </w:r>
      <w:r>
        <w:rPr>
          <w:spacing w:val="-3"/>
        </w:rPr>
        <w:t xml:space="preserve"> </w:t>
      </w:r>
      <w:r>
        <w:t>Committee</w:t>
      </w:r>
      <w:r>
        <w:rPr>
          <w:spacing w:val="-3"/>
        </w:rPr>
        <w:t xml:space="preserve"> </w:t>
      </w:r>
      <w:r>
        <w:t>contributed</w:t>
      </w:r>
      <w:r>
        <w:rPr>
          <w:spacing w:val="-3"/>
        </w:rPr>
        <w:t xml:space="preserve"> </w:t>
      </w:r>
      <w:r>
        <w:t>to</w:t>
      </w:r>
      <w:r>
        <w:rPr>
          <w:spacing w:val="-3"/>
        </w:rPr>
        <w:t xml:space="preserve"> </w:t>
      </w:r>
      <w:proofErr w:type="gramStart"/>
      <w:r>
        <w:t>17</w:t>
      </w:r>
      <w:proofErr w:type="gramEnd"/>
      <w:r>
        <w:rPr>
          <w:spacing w:val="-3"/>
        </w:rPr>
        <w:t xml:space="preserve"> </w:t>
      </w:r>
      <w:r>
        <w:t>submissions</w:t>
      </w:r>
      <w:r>
        <w:rPr>
          <w:spacing w:val="-3"/>
        </w:rPr>
        <w:t xml:space="preserve"> </w:t>
      </w:r>
      <w:r>
        <w:t>and</w:t>
      </w:r>
      <w:r>
        <w:rPr>
          <w:spacing w:val="-3"/>
        </w:rPr>
        <w:t xml:space="preserve"> </w:t>
      </w:r>
      <w:r>
        <w:t>attended</w:t>
      </w:r>
      <w:r>
        <w:rPr>
          <w:spacing w:val="-3"/>
        </w:rPr>
        <w:t xml:space="preserve"> </w:t>
      </w:r>
      <w:r>
        <w:t>five</w:t>
      </w:r>
      <w:r>
        <w:rPr>
          <w:spacing w:val="-3"/>
        </w:rPr>
        <w:t xml:space="preserve"> </w:t>
      </w:r>
      <w:r>
        <w:t>key stakeholder consultations during this financial year.</w:t>
      </w:r>
    </w:p>
    <w:p w14:paraId="4B658621" w14:textId="77777777" w:rsidR="00AC6F3C" w:rsidRDefault="00570E88">
      <w:pPr>
        <w:pStyle w:val="ListParagraph"/>
        <w:numPr>
          <w:ilvl w:val="0"/>
          <w:numId w:val="58"/>
        </w:numPr>
        <w:tabs>
          <w:tab w:val="left" w:pos="1155"/>
        </w:tabs>
        <w:spacing w:before="171"/>
        <w:ind w:hanging="340"/>
        <w:rPr>
          <w:sz w:val="20"/>
        </w:rPr>
      </w:pPr>
      <w:r>
        <w:rPr>
          <w:sz w:val="20"/>
        </w:rPr>
        <w:t>Worked</w:t>
      </w:r>
      <w:r>
        <w:rPr>
          <w:spacing w:val="-2"/>
          <w:sz w:val="20"/>
        </w:rPr>
        <w:t xml:space="preserve"> </w:t>
      </w:r>
      <w:r>
        <w:rPr>
          <w:sz w:val="20"/>
        </w:rPr>
        <w:t>collaboratively</w:t>
      </w:r>
      <w:r>
        <w:rPr>
          <w:spacing w:val="-1"/>
          <w:sz w:val="20"/>
        </w:rPr>
        <w:t xml:space="preserve"> </w:t>
      </w:r>
      <w:r>
        <w:rPr>
          <w:sz w:val="20"/>
        </w:rPr>
        <w:t>with</w:t>
      </w:r>
      <w:r>
        <w:rPr>
          <w:spacing w:val="-1"/>
          <w:sz w:val="20"/>
        </w:rPr>
        <w:t xml:space="preserve"> </w:t>
      </w:r>
      <w:r>
        <w:rPr>
          <w:sz w:val="20"/>
        </w:rPr>
        <w:t>other</w:t>
      </w:r>
      <w:r>
        <w:rPr>
          <w:spacing w:val="-2"/>
          <w:sz w:val="20"/>
        </w:rPr>
        <w:t xml:space="preserve"> </w:t>
      </w:r>
      <w:r>
        <w:rPr>
          <w:sz w:val="20"/>
        </w:rPr>
        <w:t>QLS</w:t>
      </w:r>
      <w:r>
        <w:rPr>
          <w:spacing w:val="-1"/>
          <w:sz w:val="20"/>
        </w:rPr>
        <w:t xml:space="preserve"> </w:t>
      </w:r>
      <w:r>
        <w:rPr>
          <w:sz w:val="20"/>
        </w:rPr>
        <w:t>committees</w:t>
      </w:r>
      <w:r>
        <w:rPr>
          <w:spacing w:val="-1"/>
          <w:sz w:val="20"/>
        </w:rPr>
        <w:t xml:space="preserve"> </w:t>
      </w:r>
      <w:r>
        <w:rPr>
          <w:sz w:val="20"/>
        </w:rPr>
        <w:t>on</w:t>
      </w:r>
      <w:r>
        <w:rPr>
          <w:spacing w:val="-2"/>
          <w:sz w:val="20"/>
        </w:rPr>
        <w:t xml:space="preserve"> </w:t>
      </w:r>
      <w:r>
        <w:rPr>
          <w:sz w:val="20"/>
        </w:rPr>
        <w:t>important</w:t>
      </w:r>
      <w:r>
        <w:rPr>
          <w:spacing w:val="-1"/>
          <w:sz w:val="20"/>
        </w:rPr>
        <w:t xml:space="preserve"> </w:t>
      </w:r>
      <w:r>
        <w:rPr>
          <w:sz w:val="20"/>
        </w:rPr>
        <w:t>submissions</w:t>
      </w:r>
      <w:r>
        <w:rPr>
          <w:spacing w:val="-1"/>
          <w:sz w:val="20"/>
        </w:rPr>
        <w:t xml:space="preserve"> </w:t>
      </w:r>
      <w:r>
        <w:rPr>
          <w:sz w:val="20"/>
        </w:rPr>
        <w:t>to</w:t>
      </w:r>
      <w:r>
        <w:rPr>
          <w:spacing w:val="-2"/>
          <w:sz w:val="20"/>
        </w:rPr>
        <w:t xml:space="preserve"> </w:t>
      </w:r>
      <w:r>
        <w:rPr>
          <w:sz w:val="20"/>
        </w:rPr>
        <w:t>inquiries</w:t>
      </w:r>
      <w:r>
        <w:rPr>
          <w:spacing w:val="-1"/>
          <w:sz w:val="20"/>
        </w:rPr>
        <w:t xml:space="preserve"> </w:t>
      </w:r>
      <w:r>
        <w:rPr>
          <w:sz w:val="20"/>
        </w:rPr>
        <w:t>such</w:t>
      </w:r>
      <w:r>
        <w:rPr>
          <w:spacing w:val="-1"/>
          <w:sz w:val="20"/>
        </w:rPr>
        <w:t xml:space="preserve"> </w:t>
      </w:r>
      <w:r>
        <w:rPr>
          <w:spacing w:val="-5"/>
          <w:sz w:val="20"/>
        </w:rPr>
        <w:t>as:</w:t>
      </w:r>
    </w:p>
    <w:p w14:paraId="10D76C45" w14:textId="77777777" w:rsidR="00AC6F3C" w:rsidRDefault="00570E88">
      <w:pPr>
        <w:pStyle w:val="ListParagraph"/>
        <w:numPr>
          <w:ilvl w:val="1"/>
          <w:numId w:val="58"/>
        </w:numPr>
        <w:tabs>
          <w:tab w:val="left" w:pos="1551"/>
        </w:tabs>
        <w:ind w:left="1551" w:hanging="396"/>
        <w:rPr>
          <w:sz w:val="20"/>
        </w:rPr>
      </w:pPr>
      <w:r>
        <w:rPr>
          <w:sz w:val="20"/>
        </w:rPr>
        <w:t>Inquiry</w:t>
      </w:r>
      <w:r>
        <w:rPr>
          <w:spacing w:val="-5"/>
          <w:sz w:val="20"/>
        </w:rPr>
        <w:t xml:space="preserve"> </w:t>
      </w:r>
      <w:r>
        <w:rPr>
          <w:sz w:val="20"/>
        </w:rPr>
        <w:t>into</w:t>
      </w:r>
      <w:r>
        <w:rPr>
          <w:spacing w:val="-4"/>
          <w:sz w:val="20"/>
        </w:rPr>
        <w:t xml:space="preserve"> </w:t>
      </w:r>
      <w:r>
        <w:rPr>
          <w:sz w:val="20"/>
        </w:rPr>
        <w:t>the</w:t>
      </w:r>
      <w:r>
        <w:rPr>
          <w:spacing w:val="-4"/>
          <w:sz w:val="20"/>
        </w:rPr>
        <w:t xml:space="preserve"> </w:t>
      </w:r>
      <w:proofErr w:type="spellStart"/>
      <w:r>
        <w:rPr>
          <w:sz w:val="20"/>
        </w:rPr>
        <w:t>Decriminalisation</w:t>
      </w:r>
      <w:proofErr w:type="spellEnd"/>
      <w:r>
        <w:rPr>
          <w:spacing w:val="-4"/>
          <w:sz w:val="20"/>
        </w:rPr>
        <w:t xml:space="preserve"> </w:t>
      </w:r>
      <w:r>
        <w:rPr>
          <w:sz w:val="20"/>
        </w:rPr>
        <w:t>of</w:t>
      </w:r>
      <w:r>
        <w:rPr>
          <w:spacing w:val="-4"/>
          <w:sz w:val="20"/>
        </w:rPr>
        <w:t xml:space="preserve"> </w:t>
      </w:r>
      <w:r>
        <w:rPr>
          <w:sz w:val="20"/>
        </w:rPr>
        <w:t>Certain</w:t>
      </w:r>
      <w:r>
        <w:rPr>
          <w:spacing w:val="-4"/>
          <w:sz w:val="20"/>
        </w:rPr>
        <w:t xml:space="preserve"> </w:t>
      </w:r>
      <w:r>
        <w:rPr>
          <w:sz w:val="20"/>
        </w:rPr>
        <w:t>Public</w:t>
      </w:r>
      <w:r>
        <w:rPr>
          <w:spacing w:val="-4"/>
          <w:sz w:val="20"/>
        </w:rPr>
        <w:t xml:space="preserve"> </w:t>
      </w:r>
      <w:r>
        <w:rPr>
          <w:sz w:val="20"/>
        </w:rPr>
        <w:t>Offences,</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Welfare</w:t>
      </w:r>
      <w:r>
        <w:rPr>
          <w:spacing w:val="-4"/>
          <w:sz w:val="20"/>
        </w:rPr>
        <w:t xml:space="preserve"> </w:t>
      </w:r>
      <w:r>
        <w:rPr>
          <w:spacing w:val="-2"/>
          <w:sz w:val="20"/>
        </w:rPr>
        <w:t>Response</w:t>
      </w:r>
    </w:p>
    <w:p w14:paraId="33614319" w14:textId="77777777" w:rsidR="00AC6F3C" w:rsidRDefault="00570E88">
      <w:pPr>
        <w:pStyle w:val="ListParagraph"/>
        <w:numPr>
          <w:ilvl w:val="1"/>
          <w:numId w:val="58"/>
        </w:numPr>
        <w:tabs>
          <w:tab w:val="left" w:pos="1496"/>
        </w:tabs>
        <w:spacing w:before="181" w:line="249" w:lineRule="auto"/>
        <w:ind w:right="482"/>
        <w:rPr>
          <w:sz w:val="20"/>
        </w:rPr>
      </w:pPr>
      <w:r>
        <w:rPr>
          <w:sz w:val="20"/>
        </w:rPr>
        <w:t>Inquiry</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of</w:t>
      </w:r>
      <w:r>
        <w:rPr>
          <w:spacing w:val="-3"/>
          <w:sz w:val="20"/>
        </w:rPr>
        <w:t xml:space="preserve"> </w:t>
      </w:r>
      <w:r>
        <w:rPr>
          <w:sz w:val="20"/>
        </w:rPr>
        <w:t>Places</w:t>
      </w:r>
      <w:r>
        <w:rPr>
          <w:spacing w:val="-3"/>
          <w:sz w:val="20"/>
        </w:rPr>
        <w:t xml:space="preserve"> </w:t>
      </w:r>
      <w:r>
        <w:rPr>
          <w:sz w:val="20"/>
        </w:rPr>
        <w:t>of</w:t>
      </w:r>
      <w:r>
        <w:rPr>
          <w:spacing w:val="-3"/>
          <w:sz w:val="20"/>
        </w:rPr>
        <w:t xml:space="preserve"> </w:t>
      </w:r>
      <w:r>
        <w:rPr>
          <w:sz w:val="20"/>
        </w:rPr>
        <w:t>Detention</w:t>
      </w:r>
      <w:r>
        <w:rPr>
          <w:spacing w:val="-3"/>
          <w:sz w:val="20"/>
        </w:rPr>
        <w:t xml:space="preserve"> </w:t>
      </w:r>
      <w:r>
        <w:rPr>
          <w:sz w:val="20"/>
        </w:rPr>
        <w:t>(Optional</w:t>
      </w:r>
      <w:r>
        <w:rPr>
          <w:spacing w:val="-3"/>
          <w:sz w:val="20"/>
        </w:rPr>
        <w:t xml:space="preserve"> </w:t>
      </w:r>
      <w:r>
        <w:rPr>
          <w:sz w:val="20"/>
        </w:rPr>
        <w:t>Protocol</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Convention</w:t>
      </w:r>
      <w:r>
        <w:rPr>
          <w:spacing w:val="-13"/>
          <w:sz w:val="20"/>
        </w:rPr>
        <w:t xml:space="preserve"> </w:t>
      </w:r>
      <w:r>
        <w:rPr>
          <w:sz w:val="20"/>
        </w:rPr>
        <w:t>Against Torture) Bill 2022</w:t>
      </w:r>
    </w:p>
    <w:p w14:paraId="3557DA1E" w14:textId="77777777" w:rsidR="00AC6F3C" w:rsidRDefault="00570E88">
      <w:pPr>
        <w:pStyle w:val="ListParagraph"/>
        <w:numPr>
          <w:ilvl w:val="1"/>
          <w:numId w:val="58"/>
        </w:numPr>
        <w:tabs>
          <w:tab w:val="left" w:pos="1496"/>
        </w:tabs>
        <w:spacing w:before="171"/>
        <w:rPr>
          <w:sz w:val="20"/>
        </w:rPr>
      </w:pPr>
      <w:r>
        <w:rPr>
          <w:sz w:val="20"/>
        </w:rPr>
        <w:t>Inquiry</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Strengthening</w:t>
      </w:r>
      <w:r>
        <w:rPr>
          <w:spacing w:val="-3"/>
          <w:sz w:val="20"/>
        </w:rPr>
        <w:t xml:space="preserve"> </w:t>
      </w:r>
      <w:r>
        <w:rPr>
          <w:sz w:val="20"/>
        </w:rPr>
        <w:t>Community</w:t>
      </w:r>
      <w:r>
        <w:rPr>
          <w:spacing w:val="-3"/>
          <w:sz w:val="20"/>
        </w:rPr>
        <w:t xml:space="preserve"> </w:t>
      </w:r>
      <w:r>
        <w:rPr>
          <w:sz w:val="20"/>
        </w:rPr>
        <w:t>Safety</w:t>
      </w:r>
      <w:r>
        <w:rPr>
          <w:spacing w:val="-3"/>
          <w:sz w:val="20"/>
        </w:rPr>
        <w:t xml:space="preserve"> </w:t>
      </w:r>
      <w:r>
        <w:rPr>
          <w:sz w:val="20"/>
        </w:rPr>
        <w:t>Bill</w:t>
      </w:r>
      <w:r>
        <w:rPr>
          <w:spacing w:val="-2"/>
          <w:sz w:val="20"/>
        </w:rPr>
        <w:t xml:space="preserve"> 2023.</w:t>
      </w:r>
    </w:p>
    <w:p w14:paraId="0657880B" w14:textId="77777777" w:rsidR="00AC6F3C" w:rsidRDefault="00570E88">
      <w:pPr>
        <w:pStyle w:val="ListParagraph"/>
        <w:numPr>
          <w:ilvl w:val="0"/>
          <w:numId w:val="58"/>
        </w:numPr>
        <w:tabs>
          <w:tab w:val="left" w:pos="1155"/>
        </w:tabs>
        <w:spacing w:line="249" w:lineRule="auto"/>
        <w:ind w:right="991"/>
        <w:rPr>
          <w:sz w:val="20"/>
        </w:rPr>
      </w:pPr>
      <w:r>
        <w:rPr>
          <w:sz w:val="20"/>
        </w:rPr>
        <w:t>The</w:t>
      </w:r>
      <w:r>
        <w:rPr>
          <w:spacing w:val="-4"/>
          <w:sz w:val="20"/>
        </w:rPr>
        <w:t xml:space="preserve"> </w:t>
      </w:r>
      <w:r>
        <w:rPr>
          <w:sz w:val="20"/>
        </w:rPr>
        <w:t>Committee</w:t>
      </w:r>
      <w:r>
        <w:rPr>
          <w:spacing w:val="-4"/>
          <w:sz w:val="20"/>
        </w:rPr>
        <w:t xml:space="preserve"> </w:t>
      </w:r>
      <w:r>
        <w:rPr>
          <w:sz w:val="20"/>
        </w:rPr>
        <w:t>made</w:t>
      </w:r>
      <w:r>
        <w:rPr>
          <w:spacing w:val="-4"/>
          <w:sz w:val="20"/>
        </w:rPr>
        <w:t xml:space="preserve"> </w:t>
      </w:r>
      <w:r>
        <w:rPr>
          <w:sz w:val="20"/>
        </w:rPr>
        <w:t>submissions</w:t>
      </w:r>
      <w:r>
        <w:rPr>
          <w:spacing w:val="-4"/>
          <w:sz w:val="20"/>
        </w:rPr>
        <w:t xml:space="preserve"> </w:t>
      </w:r>
      <w:r>
        <w:rPr>
          <w:sz w:val="20"/>
        </w:rPr>
        <w:t>to</w:t>
      </w:r>
      <w:r>
        <w:rPr>
          <w:spacing w:val="-4"/>
          <w:sz w:val="20"/>
        </w:rPr>
        <w:t xml:space="preserve"> </w:t>
      </w:r>
      <w:r>
        <w:rPr>
          <w:sz w:val="20"/>
        </w:rPr>
        <w:t>both</w:t>
      </w:r>
      <w:r>
        <w:rPr>
          <w:spacing w:val="-4"/>
          <w:sz w:val="20"/>
        </w:rPr>
        <w:t xml:space="preserve"> </w:t>
      </w:r>
      <w:r>
        <w:rPr>
          <w:sz w:val="20"/>
        </w:rPr>
        <w:t>state</w:t>
      </w:r>
      <w:r>
        <w:rPr>
          <w:spacing w:val="-4"/>
          <w:sz w:val="20"/>
        </w:rPr>
        <w:t xml:space="preserve"> </w:t>
      </w:r>
      <w:r>
        <w:rPr>
          <w:sz w:val="20"/>
        </w:rPr>
        <w:t>and</w:t>
      </w:r>
      <w:r>
        <w:rPr>
          <w:spacing w:val="-4"/>
          <w:sz w:val="20"/>
        </w:rPr>
        <w:t xml:space="preserve"> </w:t>
      </w:r>
      <w:r>
        <w:rPr>
          <w:sz w:val="20"/>
        </w:rPr>
        <w:t>federal</w:t>
      </w:r>
      <w:r>
        <w:rPr>
          <w:spacing w:val="-4"/>
          <w:sz w:val="20"/>
        </w:rPr>
        <w:t xml:space="preserve"> </w:t>
      </w:r>
      <w:r>
        <w:rPr>
          <w:sz w:val="20"/>
        </w:rPr>
        <w:t>inquiries</w:t>
      </w:r>
      <w:r>
        <w:rPr>
          <w:spacing w:val="-4"/>
          <w:sz w:val="20"/>
        </w:rPr>
        <w:t xml:space="preserve"> </w:t>
      </w:r>
      <w:r>
        <w:rPr>
          <w:sz w:val="20"/>
        </w:rPr>
        <w:t>into</w:t>
      </w:r>
      <w:r>
        <w:rPr>
          <w:spacing w:val="-4"/>
          <w:sz w:val="20"/>
        </w:rPr>
        <w:t xml:space="preserve"> </w:t>
      </w:r>
      <w:r>
        <w:rPr>
          <w:sz w:val="20"/>
        </w:rPr>
        <w:t xml:space="preserve">anti-discrimination </w:t>
      </w:r>
      <w:r>
        <w:rPr>
          <w:spacing w:val="-2"/>
          <w:sz w:val="20"/>
        </w:rPr>
        <w:t>legislation:</w:t>
      </w:r>
    </w:p>
    <w:p w14:paraId="670ACAFC" w14:textId="77777777" w:rsidR="00AC6F3C" w:rsidRDefault="00570E88">
      <w:pPr>
        <w:pStyle w:val="ListParagraph"/>
        <w:numPr>
          <w:ilvl w:val="1"/>
          <w:numId w:val="58"/>
        </w:numPr>
        <w:tabs>
          <w:tab w:val="left" w:pos="1496"/>
        </w:tabs>
        <w:spacing w:before="172"/>
        <w:rPr>
          <w:sz w:val="20"/>
        </w:rPr>
      </w:pPr>
      <w:r>
        <w:rPr>
          <w:sz w:val="20"/>
        </w:rPr>
        <w:t>Federal</w:t>
      </w:r>
      <w:r>
        <w:rPr>
          <w:spacing w:val="-4"/>
          <w:sz w:val="20"/>
        </w:rPr>
        <w:t xml:space="preserve"> </w:t>
      </w:r>
      <w:r>
        <w:rPr>
          <w:sz w:val="20"/>
        </w:rPr>
        <w:t>inquiry</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Criminal</w:t>
      </w:r>
      <w:r>
        <w:rPr>
          <w:spacing w:val="-4"/>
          <w:sz w:val="20"/>
        </w:rPr>
        <w:t xml:space="preserve"> </w:t>
      </w:r>
      <w:r>
        <w:rPr>
          <w:sz w:val="20"/>
        </w:rPr>
        <w:t>Code</w:t>
      </w:r>
      <w:r>
        <w:rPr>
          <w:spacing w:val="-13"/>
          <w:sz w:val="20"/>
        </w:rPr>
        <w:t xml:space="preserve"> </w:t>
      </w:r>
      <w:r>
        <w:rPr>
          <w:sz w:val="20"/>
        </w:rPr>
        <w:t>Amendment</w:t>
      </w:r>
      <w:r>
        <w:rPr>
          <w:spacing w:val="-3"/>
          <w:sz w:val="20"/>
        </w:rPr>
        <w:t xml:space="preserve"> </w:t>
      </w:r>
      <w:r>
        <w:rPr>
          <w:sz w:val="20"/>
        </w:rPr>
        <w:t>(Prohibition</w:t>
      </w:r>
      <w:r>
        <w:rPr>
          <w:spacing w:val="-4"/>
          <w:sz w:val="20"/>
        </w:rPr>
        <w:t xml:space="preserve"> </w:t>
      </w:r>
      <w:r>
        <w:rPr>
          <w:sz w:val="20"/>
        </w:rPr>
        <w:t>of</w:t>
      </w:r>
      <w:r>
        <w:rPr>
          <w:spacing w:val="-3"/>
          <w:sz w:val="20"/>
        </w:rPr>
        <w:t xml:space="preserve"> </w:t>
      </w:r>
      <w:r>
        <w:rPr>
          <w:sz w:val="20"/>
        </w:rPr>
        <w:t>Nazi</w:t>
      </w:r>
      <w:r>
        <w:rPr>
          <w:spacing w:val="-3"/>
          <w:sz w:val="20"/>
        </w:rPr>
        <w:t xml:space="preserve"> </w:t>
      </w:r>
      <w:r>
        <w:rPr>
          <w:sz w:val="20"/>
        </w:rPr>
        <w:t>Symbols)</w:t>
      </w:r>
      <w:r>
        <w:rPr>
          <w:spacing w:val="-3"/>
          <w:sz w:val="20"/>
        </w:rPr>
        <w:t xml:space="preserve"> </w:t>
      </w:r>
      <w:r>
        <w:rPr>
          <w:sz w:val="20"/>
        </w:rPr>
        <w:t>Bill</w:t>
      </w:r>
      <w:r>
        <w:rPr>
          <w:spacing w:val="-3"/>
          <w:sz w:val="20"/>
        </w:rPr>
        <w:t xml:space="preserve"> </w:t>
      </w:r>
      <w:r>
        <w:rPr>
          <w:spacing w:val="-4"/>
          <w:sz w:val="20"/>
        </w:rPr>
        <w:t>2023</w:t>
      </w:r>
    </w:p>
    <w:p w14:paraId="241A2035" w14:textId="77777777" w:rsidR="00AC6F3C" w:rsidRDefault="00570E88">
      <w:pPr>
        <w:pStyle w:val="ListParagraph"/>
        <w:numPr>
          <w:ilvl w:val="1"/>
          <w:numId w:val="58"/>
        </w:numPr>
        <w:tabs>
          <w:tab w:val="left" w:pos="1496"/>
        </w:tabs>
        <w:spacing w:line="249" w:lineRule="auto"/>
        <w:ind w:right="709"/>
        <w:rPr>
          <w:sz w:val="20"/>
        </w:rPr>
      </w:pPr>
      <w:r>
        <w:rPr>
          <w:sz w:val="20"/>
        </w:rPr>
        <w:t>Queensland</w:t>
      </w:r>
      <w:r>
        <w:rPr>
          <w:spacing w:val="-4"/>
          <w:sz w:val="20"/>
        </w:rPr>
        <w:t xml:space="preserve"> </w:t>
      </w:r>
      <w:r>
        <w:rPr>
          <w:sz w:val="20"/>
        </w:rPr>
        <w:t>inquiry</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Criminal</w:t>
      </w:r>
      <w:r>
        <w:rPr>
          <w:spacing w:val="-4"/>
          <w:sz w:val="20"/>
        </w:rPr>
        <w:t xml:space="preserve"> </w:t>
      </w:r>
      <w:r>
        <w:rPr>
          <w:sz w:val="20"/>
        </w:rPr>
        <w:t>Code</w:t>
      </w:r>
      <w:r>
        <w:rPr>
          <w:spacing w:val="-4"/>
          <w:sz w:val="20"/>
        </w:rPr>
        <w:t xml:space="preserve"> </w:t>
      </w:r>
      <w:r>
        <w:rPr>
          <w:sz w:val="20"/>
        </w:rPr>
        <w:t>(Serious</w:t>
      </w:r>
      <w:r>
        <w:rPr>
          <w:spacing w:val="-4"/>
          <w:sz w:val="20"/>
        </w:rPr>
        <w:t xml:space="preserve"> </w:t>
      </w:r>
      <w:r>
        <w:rPr>
          <w:sz w:val="20"/>
        </w:rPr>
        <w:t>Vilification</w:t>
      </w:r>
      <w:r>
        <w:rPr>
          <w:spacing w:val="-4"/>
          <w:sz w:val="20"/>
        </w:rPr>
        <w:t xml:space="preserve"> </w:t>
      </w:r>
      <w:r>
        <w:rPr>
          <w:sz w:val="20"/>
        </w:rPr>
        <w:t>and</w:t>
      </w:r>
      <w:r>
        <w:rPr>
          <w:spacing w:val="-4"/>
          <w:sz w:val="20"/>
        </w:rPr>
        <w:t xml:space="preserve"> </w:t>
      </w:r>
      <w:r>
        <w:rPr>
          <w:sz w:val="20"/>
        </w:rPr>
        <w:t>Hate</w:t>
      </w:r>
      <w:r>
        <w:rPr>
          <w:spacing w:val="-4"/>
          <w:sz w:val="20"/>
        </w:rPr>
        <w:t xml:space="preserve"> </w:t>
      </w:r>
      <w:r>
        <w:rPr>
          <w:sz w:val="20"/>
        </w:rPr>
        <w:t>Crimes)</w:t>
      </w:r>
      <w:r>
        <w:rPr>
          <w:spacing w:val="-4"/>
          <w:sz w:val="20"/>
        </w:rPr>
        <w:t xml:space="preserve"> </w:t>
      </w:r>
      <w:r>
        <w:rPr>
          <w:sz w:val="20"/>
        </w:rPr>
        <w:t>and</w:t>
      </w:r>
      <w:r>
        <w:rPr>
          <w:spacing w:val="-4"/>
          <w:sz w:val="20"/>
        </w:rPr>
        <w:t xml:space="preserve"> </w:t>
      </w:r>
      <w:r>
        <w:rPr>
          <w:sz w:val="20"/>
        </w:rPr>
        <w:t>Other Legislation Amendment Bill.</w:t>
      </w:r>
    </w:p>
    <w:p w14:paraId="195251FF" w14:textId="77777777" w:rsidR="00AC6F3C" w:rsidRDefault="00570E88">
      <w:pPr>
        <w:pStyle w:val="ListParagraph"/>
        <w:numPr>
          <w:ilvl w:val="0"/>
          <w:numId w:val="58"/>
        </w:numPr>
        <w:tabs>
          <w:tab w:val="left" w:pos="1155"/>
        </w:tabs>
        <w:spacing w:before="171" w:line="249" w:lineRule="auto"/>
        <w:ind w:right="933"/>
        <w:rPr>
          <w:sz w:val="20"/>
        </w:rPr>
      </w:pPr>
      <w:r>
        <w:rPr>
          <w:sz w:val="20"/>
        </w:rPr>
        <w:t>Made a submission to the Inquiry into</w:t>
      </w:r>
      <w:r>
        <w:rPr>
          <w:spacing w:val="-4"/>
          <w:sz w:val="20"/>
        </w:rPr>
        <w:t xml:space="preserve"> </w:t>
      </w:r>
      <w:r>
        <w:rPr>
          <w:sz w:val="20"/>
        </w:rPr>
        <w:t>Australia’s human rights framework which includes a consideration</w:t>
      </w:r>
      <w:r>
        <w:rPr>
          <w:spacing w:val="-3"/>
          <w:sz w:val="20"/>
        </w:rPr>
        <w:t xml:space="preserve"> </w:t>
      </w:r>
      <w:r>
        <w:rPr>
          <w:sz w:val="20"/>
        </w:rPr>
        <w:t>of</w:t>
      </w:r>
      <w:r>
        <w:rPr>
          <w:spacing w:val="-3"/>
          <w:sz w:val="20"/>
        </w:rPr>
        <w:t xml:space="preserve"> </w:t>
      </w:r>
      <w:r>
        <w:rPr>
          <w:sz w:val="20"/>
        </w:rPr>
        <w:t>whether</w:t>
      </w:r>
      <w:r>
        <w:rPr>
          <w:spacing w:val="-3"/>
          <w:sz w:val="20"/>
        </w:rPr>
        <w:t xml:space="preserve"> </w:t>
      </w:r>
      <w:r>
        <w:rPr>
          <w:sz w:val="20"/>
        </w:rPr>
        <w:t>the</w:t>
      </w:r>
      <w:r>
        <w:rPr>
          <w:spacing w:val="-14"/>
          <w:sz w:val="20"/>
        </w:rPr>
        <w:t xml:space="preserve"> </w:t>
      </w:r>
      <w:r>
        <w:rPr>
          <w:sz w:val="20"/>
        </w:rPr>
        <w:t>Australian</w:t>
      </w:r>
      <w:r>
        <w:rPr>
          <w:spacing w:val="-3"/>
          <w:sz w:val="20"/>
        </w:rPr>
        <w:t xml:space="preserve"> </w:t>
      </w:r>
      <w:r>
        <w:rPr>
          <w:sz w:val="20"/>
        </w:rPr>
        <w:t>Parliament</w:t>
      </w:r>
      <w:r>
        <w:rPr>
          <w:spacing w:val="-3"/>
          <w:sz w:val="20"/>
        </w:rPr>
        <w:t xml:space="preserve"> </w:t>
      </w:r>
      <w:r>
        <w:rPr>
          <w:sz w:val="20"/>
        </w:rPr>
        <w:t>should</w:t>
      </w:r>
      <w:r>
        <w:rPr>
          <w:spacing w:val="-3"/>
          <w:sz w:val="20"/>
        </w:rPr>
        <w:t xml:space="preserve"> </w:t>
      </w:r>
      <w:r>
        <w:rPr>
          <w:sz w:val="20"/>
        </w:rPr>
        <w:t>enact</w:t>
      </w:r>
      <w:r>
        <w:rPr>
          <w:spacing w:val="-3"/>
          <w:sz w:val="20"/>
        </w:rPr>
        <w:t xml:space="preserve"> </w:t>
      </w:r>
      <w:r>
        <w:rPr>
          <w:sz w:val="20"/>
        </w:rPr>
        <w:t>a</w:t>
      </w:r>
      <w:r>
        <w:rPr>
          <w:spacing w:val="-3"/>
          <w:sz w:val="20"/>
        </w:rPr>
        <w:t xml:space="preserve"> </w:t>
      </w:r>
      <w:r>
        <w:rPr>
          <w:sz w:val="20"/>
        </w:rPr>
        <w:t>federal</w:t>
      </w:r>
      <w:r>
        <w:rPr>
          <w:spacing w:val="-3"/>
          <w:sz w:val="20"/>
        </w:rPr>
        <w:t xml:space="preserve"> </w:t>
      </w:r>
      <w:r>
        <w:rPr>
          <w:sz w:val="20"/>
        </w:rPr>
        <w:t>Human</w:t>
      </w:r>
      <w:r>
        <w:rPr>
          <w:spacing w:val="-3"/>
          <w:sz w:val="20"/>
        </w:rPr>
        <w:t xml:space="preserve"> </w:t>
      </w:r>
      <w:r>
        <w:rPr>
          <w:sz w:val="20"/>
        </w:rPr>
        <w:t>Rights</w:t>
      </w:r>
      <w:r>
        <w:rPr>
          <w:spacing w:val="-14"/>
          <w:sz w:val="20"/>
        </w:rPr>
        <w:t xml:space="preserve"> </w:t>
      </w:r>
      <w:r>
        <w:rPr>
          <w:sz w:val="20"/>
        </w:rPr>
        <w:t>Act.</w:t>
      </w:r>
    </w:p>
    <w:p w14:paraId="062054B8" w14:textId="77777777" w:rsidR="00AC6F3C" w:rsidRDefault="00AC6F3C">
      <w:pPr>
        <w:spacing w:line="249" w:lineRule="auto"/>
        <w:rPr>
          <w:sz w:val="20"/>
        </w:rPr>
        <w:sectPr w:rsidR="00AC6F3C">
          <w:headerReference w:type="default" r:id="rId88"/>
          <w:footerReference w:type="default" r:id="rId89"/>
          <w:pgSz w:w="11910" w:h="16840"/>
          <w:pgMar w:top="2140" w:right="1160" w:bottom="520" w:left="460" w:header="1230" w:footer="336" w:gutter="0"/>
          <w:cols w:space="720"/>
        </w:sectPr>
      </w:pPr>
    </w:p>
    <w:p w14:paraId="215EC959" w14:textId="77777777" w:rsidR="00AC6F3C" w:rsidRDefault="00AC6F3C">
      <w:pPr>
        <w:pStyle w:val="BodyText"/>
        <w:spacing w:before="5"/>
        <w:rPr>
          <w:sz w:val="15"/>
        </w:rPr>
      </w:pPr>
    </w:p>
    <w:p w14:paraId="4C5F1F24" w14:textId="77777777" w:rsidR="00AC6F3C" w:rsidRDefault="00570E88">
      <w:pPr>
        <w:pStyle w:val="Heading9"/>
        <w:spacing w:before="93"/>
      </w:pPr>
      <w:r>
        <w:t>Cross-committee</w:t>
      </w:r>
      <w:r>
        <w:rPr>
          <w:spacing w:val="-5"/>
        </w:rPr>
        <w:t xml:space="preserve"> </w:t>
      </w:r>
      <w:r>
        <w:t>QLS</w:t>
      </w:r>
      <w:r>
        <w:rPr>
          <w:spacing w:val="-5"/>
        </w:rPr>
        <w:t xml:space="preserve"> </w:t>
      </w:r>
      <w:r>
        <w:t>working</w:t>
      </w:r>
      <w:r>
        <w:rPr>
          <w:spacing w:val="-4"/>
        </w:rPr>
        <w:t xml:space="preserve"> </w:t>
      </w:r>
      <w:proofErr w:type="gramStart"/>
      <w:r>
        <w:rPr>
          <w:spacing w:val="-2"/>
        </w:rPr>
        <w:t>group</w:t>
      </w:r>
      <w:proofErr w:type="gramEnd"/>
    </w:p>
    <w:p w14:paraId="783A90AD" w14:textId="77777777" w:rsidR="00AC6F3C" w:rsidRDefault="00570E88">
      <w:pPr>
        <w:pStyle w:val="ListParagraph"/>
        <w:numPr>
          <w:ilvl w:val="0"/>
          <w:numId w:val="58"/>
        </w:numPr>
        <w:tabs>
          <w:tab w:val="left" w:pos="1155"/>
        </w:tabs>
        <w:spacing w:before="175" w:line="249" w:lineRule="auto"/>
        <w:ind w:right="636"/>
        <w:rPr>
          <w:sz w:val="20"/>
        </w:rPr>
      </w:pPr>
      <w:r>
        <w:rPr>
          <w:sz w:val="20"/>
        </w:rPr>
        <w:t>Launched</w:t>
      </w:r>
      <w:r>
        <w:rPr>
          <w:spacing w:val="-3"/>
          <w:sz w:val="20"/>
        </w:rPr>
        <w:t xml:space="preserve"> </w:t>
      </w:r>
      <w:r>
        <w:rPr>
          <w:sz w:val="20"/>
        </w:rPr>
        <w:t>a</w:t>
      </w:r>
      <w:r>
        <w:rPr>
          <w:spacing w:val="-3"/>
          <w:sz w:val="20"/>
        </w:rPr>
        <w:t xml:space="preserve"> </w:t>
      </w:r>
      <w:r>
        <w:rPr>
          <w:sz w:val="20"/>
        </w:rPr>
        <w:t>cross-committee</w:t>
      </w:r>
      <w:r>
        <w:rPr>
          <w:spacing w:val="-3"/>
          <w:sz w:val="20"/>
        </w:rPr>
        <w:t xml:space="preserve"> </w:t>
      </w:r>
      <w:r>
        <w:rPr>
          <w:sz w:val="20"/>
        </w:rPr>
        <w:t>QLS</w:t>
      </w:r>
      <w:r>
        <w:rPr>
          <w:spacing w:val="-3"/>
          <w:sz w:val="20"/>
        </w:rPr>
        <w:t xml:space="preserve"> </w:t>
      </w:r>
      <w:r>
        <w:rPr>
          <w:sz w:val="20"/>
        </w:rPr>
        <w:t>working</w:t>
      </w:r>
      <w:r>
        <w:rPr>
          <w:spacing w:val="-3"/>
          <w:sz w:val="20"/>
        </w:rPr>
        <w:t xml:space="preserve"> </w:t>
      </w:r>
      <w:r>
        <w:rPr>
          <w:sz w:val="20"/>
        </w:rPr>
        <w:t>group</w:t>
      </w:r>
      <w:r>
        <w:rPr>
          <w:spacing w:val="-3"/>
          <w:sz w:val="20"/>
        </w:rPr>
        <w:t xml:space="preserve"> </w:t>
      </w:r>
      <w:r>
        <w:rPr>
          <w:sz w:val="20"/>
        </w:rPr>
        <w:t>to</w:t>
      </w:r>
      <w:r>
        <w:rPr>
          <w:spacing w:val="-3"/>
          <w:sz w:val="20"/>
        </w:rPr>
        <w:t xml:space="preserve"> </w:t>
      </w:r>
      <w:r>
        <w:rPr>
          <w:sz w:val="20"/>
        </w:rPr>
        <w:t>tackle</w:t>
      </w:r>
      <w:r>
        <w:rPr>
          <w:spacing w:val="-3"/>
          <w:sz w:val="20"/>
        </w:rPr>
        <w:t xml:space="preserve"> </w:t>
      </w:r>
      <w:r>
        <w:rPr>
          <w:sz w:val="20"/>
        </w:rPr>
        <w:t>issues</w:t>
      </w:r>
      <w:r>
        <w:rPr>
          <w:spacing w:val="-3"/>
          <w:sz w:val="20"/>
        </w:rPr>
        <w:t xml:space="preserve"> </w:t>
      </w:r>
      <w:r>
        <w:rPr>
          <w:sz w:val="20"/>
        </w:rPr>
        <w:t>relating</w:t>
      </w:r>
      <w:r>
        <w:rPr>
          <w:spacing w:val="-3"/>
          <w:sz w:val="20"/>
        </w:rPr>
        <w:t xml:space="preserve"> </w:t>
      </w:r>
      <w:r>
        <w:rPr>
          <w:sz w:val="20"/>
        </w:rPr>
        <w:t>to</w:t>
      </w:r>
      <w:r>
        <w:rPr>
          <w:spacing w:val="-3"/>
          <w:sz w:val="20"/>
        </w:rPr>
        <w:t xml:space="preserve"> </w:t>
      </w:r>
      <w:r>
        <w:rPr>
          <w:sz w:val="20"/>
        </w:rPr>
        <w:t>mental</w:t>
      </w:r>
      <w:r>
        <w:rPr>
          <w:spacing w:val="-3"/>
          <w:sz w:val="20"/>
        </w:rPr>
        <w:t xml:space="preserve"> </w:t>
      </w:r>
      <w:r>
        <w:rPr>
          <w:sz w:val="20"/>
        </w:rPr>
        <w:t>health</w:t>
      </w:r>
      <w:r>
        <w:rPr>
          <w:spacing w:val="-3"/>
          <w:sz w:val="20"/>
        </w:rPr>
        <w:t xml:space="preserve"> </w:t>
      </w:r>
      <w:r>
        <w:rPr>
          <w:sz w:val="20"/>
        </w:rPr>
        <w:t>in</w:t>
      </w:r>
      <w:r>
        <w:rPr>
          <w:spacing w:val="-3"/>
          <w:sz w:val="20"/>
        </w:rPr>
        <w:t xml:space="preserve"> </w:t>
      </w:r>
      <w:r>
        <w:rPr>
          <w:sz w:val="20"/>
        </w:rPr>
        <w:t>the criminal justice system.</w:t>
      </w:r>
    </w:p>
    <w:p w14:paraId="79CD2C90" w14:textId="77777777" w:rsidR="00AC6F3C" w:rsidRDefault="00AC6F3C">
      <w:pPr>
        <w:pStyle w:val="BodyText"/>
        <w:spacing w:before="9"/>
        <w:rPr>
          <w:sz w:val="22"/>
        </w:rPr>
      </w:pPr>
    </w:p>
    <w:p w14:paraId="4F3389EC" w14:textId="77777777" w:rsidR="00AC6F3C" w:rsidRDefault="00570E88">
      <w:pPr>
        <w:pStyle w:val="Heading9"/>
      </w:pPr>
      <w:r>
        <w:t>Queensland’s</w:t>
      </w:r>
      <w:r>
        <w:rPr>
          <w:spacing w:val="-5"/>
        </w:rPr>
        <w:t xml:space="preserve"> </w:t>
      </w:r>
      <w:r>
        <w:t>gender</w:t>
      </w:r>
      <w:r>
        <w:rPr>
          <w:spacing w:val="-5"/>
        </w:rPr>
        <w:t xml:space="preserve"> </w:t>
      </w:r>
      <w:r>
        <w:t>registration</w:t>
      </w:r>
      <w:r>
        <w:rPr>
          <w:spacing w:val="-4"/>
        </w:rPr>
        <w:t xml:space="preserve"> laws</w:t>
      </w:r>
    </w:p>
    <w:p w14:paraId="073EF516" w14:textId="77777777" w:rsidR="00AC6F3C" w:rsidRDefault="00570E88">
      <w:pPr>
        <w:pStyle w:val="ListParagraph"/>
        <w:numPr>
          <w:ilvl w:val="0"/>
          <w:numId w:val="58"/>
        </w:numPr>
        <w:tabs>
          <w:tab w:val="left" w:pos="1153"/>
          <w:tab w:val="left" w:pos="1155"/>
        </w:tabs>
        <w:spacing w:before="176" w:line="249" w:lineRule="auto"/>
        <w:ind w:right="779"/>
        <w:jc w:val="both"/>
        <w:rPr>
          <w:sz w:val="20"/>
        </w:rPr>
      </w:pPr>
      <w:r>
        <w:rPr>
          <w:sz w:val="20"/>
        </w:rPr>
        <w:t>Made</w:t>
      </w:r>
      <w:r>
        <w:rPr>
          <w:spacing w:val="-2"/>
          <w:sz w:val="20"/>
        </w:rPr>
        <w:t xml:space="preserve"> </w:t>
      </w:r>
      <w:r>
        <w:rPr>
          <w:sz w:val="20"/>
        </w:rPr>
        <w:t>an</w:t>
      </w:r>
      <w:r>
        <w:rPr>
          <w:spacing w:val="-2"/>
          <w:sz w:val="20"/>
        </w:rPr>
        <w:t xml:space="preserve"> </w:t>
      </w:r>
      <w:r>
        <w:rPr>
          <w:sz w:val="20"/>
        </w:rPr>
        <w:t>important</w:t>
      </w:r>
      <w:r>
        <w:rPr>
          <w:spacing w:val="-2"/>
          <w:sz w:val="20"/>
        </w:rPr>
        <w:t xml:space="preserve"> </w:t>
      </w:r>
      <w:r>
        <w:rPr>
          <w:sz w:val="20"/>
        </w:rPr>
        <w:t>submission</w:t>
      </w:r>
      <w:r>
        <w:rPr>
          <w:spacing w:val="-2"/>
          <w:sz w:val="20"/>
        </w:rPr>
        <w:t xml:space="preserve"> </w:t>
      </w:r>
      <w:r>
        <w:rPr>
          <w:sz w:val="20"/>
        </w:rPr>
        <w:t>to</w:t>
      </w:r>
      <w:r>
        <w:rPr>
          <w:spacing w:val="-2"/>
          <w:sz w:val="20"/>
        </w:rPr>
        <w:t xml:space="preserve"> </w:t>
      </w:r>
      <w:r>
        <w:rPr>
          <w:sz w:val="20"/>
        </w:rPr>
        <w:t>Queensland</w:t>
      </w:r>
      <w:r>
        <w:rPr>
          <w:spacing w:val="-2"/>
          <w:sz w:val="20"/>
        </w:rPr>
        <w:t xml:space="preserve"> </w:t>
      </w:r>
      <w:r>
        <w:rPr>
          <w:sz w:val="20"/>
        </w:rPr>
        <w:t>Government</w:t>
      </w:r>
      <w:r>
        <w:rPr>
          <w:spacing w:val="-2"/>
          <w:sz w:val="20"/>
        </w:rPr>
        <w:t xml:space="preserve"> </w:t>
      </w:r>
      <w:r>
        <w:rPr>
          <w:sz w:val="20"/>
        </w:rPr>
        <w:t>in</w:t>
      </w:r>
      <w:r>
        <w:rPr>
          <w:spacing w:val="-2"/>
          <w:sz w:val="20"/>
        </w:rPr>
        <w:t xml:space="preserve"> </w:t>
      </w:r>
      <w:r>
        <w:rPr>
          <w:sz w:val="20"/>
        </w:rPr>
        <w:t>relation</w:t>
      </w:r>
      <w:r>
        <w:rPr>
          <w:spacing w:val="-2"/>
          <w:sz w:val="20"/>
        </w:rPr>
        <w:t xml:space="preserve"> </w:t>
      </w:r>
      <w:r>
        <w:rPr>
          <w:sz w:val="20"/>
        </w:rPr>
        <w:t>to</w:t>
      </w:r>
      <w:r>
        <w:rPr>
          <w:spacing w:val="-2"/>
          <w:sz w:val="20"/>
        </w:rPr>
        <w:t xml:space="preserve"> </w:t>
      </w:r>
      <w:r>
        <w:rPr>
          <w:sz w:val="20"/>
        </w:rPr>
        <w:t>Queensland’s</w:t>
      </w:r>
      <w:r>
        <w:rPr>
          <w:spacing w:val="-2"/>
          <w:sz w:val="20"/>
        </w:rPr>
        <w:t xml:space="preserve"> </w:t>
      </w:r>
      <w:r>
        <w:rPr>
          <w:sz w:val="20"/>
        </w:rPr>
        <w:t>gender registration</w:t>
      </w:r>
      <w:r>
        <w:rPr>
          <w:spacing w:val="-4"/>
          <w:sz w:val="20"/>
        </w:rPr>
        <w:t xml:space="preserve"> </w:t>
      </w:r>
      <w:r>
        <w:rPr>
          <w:sz w:val="20"/>
        </w:rPr>
        <w:t>laws</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any</w:t>
      </w:r>
      <w:r>
        <w:rPr>
          <w:spacing w:val="-4"/>
          <w:sz w:val="20"/>
        </w:rPr>
        <w:t xml:space="preserve"> </w:t>
      </w:r>
      <w:r>
        <w:rPr>
          <w:sz w:val="20"/>
        </w:rPr>
        <w:t>proposed</w:t>
      </w:r>
      <w:r>
        <w:rPr>
          <w:spacing w:val="-4"/>
          <w:sz w:val="20"/>
        </w:rPr>
        <w:t xml:space="preserve"> </w:t>
      </w:r>
      <w:r>
        <w:rPr>
          <w:sz w:val="20"/>
        </w:rPr>
        <w:t>amendments</w:t>
      </w:r>
      <w:r>
        <w:rPr>
          <w:spacing w:val="-4"/>
          <w:sz w:val="20"/>
        </w:rPr>
        <w:t xml:space="preserve"> </w:t>
      </w:r>
      <w:r>
        <w:rPr>
          <w:sz w:val="20"/>
        </w:rPr>
        <w:t>reflect</w:t>
      </w:r>
      <w:r>
        <w:rPr>
          <w:spacing w:val="-4"/>
          <w:sz w:val="20"/>
        </w:rPr>
        <w:t xml:space="preserve"> </w:t>
      </w:r>
      <w:r>
        <w:rPr>
          <w:sz w:val="20"/>
        </w:rPr>
        <w:t>contemporary</w:t>
      </w:r>
      <w:r>
        <w:rPr>
          <w:spacing w:val="-4"/>
          <w:sz w:val="20"/>
        </w:rPr>
        <w:t xml:space="preserve"> </w:t>
      </w:r>
      <w:r>
        <w:rPr>
          <w:sz w:val="20"/>
        </w:rPr>
        <w:t>community</w:t>
      </w:r>
      <w:r>
        <w:rPr>
          <w:spacing w:val="-4"/>
          <w:sz w:val="20"/>
        </w:rPr>
        <w:t xml:space="preserve"> </w:t>
      </w:r>
      <w:r>
        <w:rPr>
          <w:sz w:val="20"/>
        </w:rPr>
        <w:t>values and expectations.</w:t>
      </w:r>
    </w:p>
    <w:p w14:paraId="154CF202" w14:textId="77777777" w:rsidR="00AC6F3C" w:rsidRDefault="00AC6F3C">
      <w:pPr>
        <w:pStyle w:val="BodyText"/>
        <w:spacing w:before="10"/>
        <w:rPr>
          <w:sz w:val="22"/>
        </w:rPr>
      </w:pPr>
    </w:p>
    <w:p w14:paraId="43ED063A" w14:textId="77777777" w:rsidR="00AC6F3C" w:rsidRDefault="00570E88">
      <w:pPr>
        <w:pStyle w:val="Heading9"/>
      </w:pPr>
      <w:r>
        <w:t>Queensland’s</w:t>
      </w:r>
      <w:r>
        <w:rPr>
          <w:spacing w:val="-6"/>
        </w:rPr>
        <w:t xml:space="preserve"> </w:t>
      </w:r>
      <w:r>
        <w:t>health</w:t>
      </w:r>
      <w:r>
        <w:rPr>
          <w:spacing w:val="-6"/>
        </w:rPr>
        <w:t xml:space="preserve"> </w:t>
      </w:r>
      <w:r>
        <w:t>practitioner</w:t>
      </w:r>
      <w:r>
        <w:rPr>
          <w:spacing w:val="-5"/>
        </w:rPr>
        <w:t xml:space="preserve"> </w:t>
      </w:r>
      <w:r>
        <w:t>mandatory</w:t>
      </w:r>
      <w:r>
        <w:rPr>
          <w:spacing w:val="-6"/>
        </w:rPr>
        <w:t xml:space="preserve"> </w:t>
      </w:r>
      <w:r>
        <w:t>reporting</w:t>
      </w:r>
      <w:r>
        <w:rPr>
          <w:spacing w:val="-5"/>
        </w:rPr>
        <w:t xml:space="preserve"> </w:t>
      </w:r>
      <w:r>
        <w:rPr>
          <w:spacing w:val="-4"/>
        </w:rPr>
        <w:t>laws</w:t>
      </w:r>
    </w:p>
    <w:p w14:paraId="7714AE31" w14:textId="77777777" w:rsidR="00AC6F3C" w:rsidRDefault="00570E88">
      <w:pPr>
        <w:pStyle w:val="ListParagraph"/>
        <w:numPr>
          <w:ilvl w:val="0"/>
          <w:numId w:val="58"/>
        </w:numPr>
        <w:tabs>
          <w:tab w:val="left" w:pos="1155"/>
        </w:tabs>
        <w:spacing w:before="176" w:line="249" w:lineRule="auto"/>
        <w:ind w:right="160"/>
        <w:rPr>
          <w:sz w:val="20"/>
        </w:rPr>
      </w:pPr>
      <w:r>
        <w:rPr>
          <w:spacing w:val="-2"/>
          <w:sz w:val="20"/>
        </w:rPr>
        <w:t>Proactively</w:t>
      </w:r>
      <w:r>
        <w:rPr>
          <w:spacing w:val="-12"/>
          <w:sz w:val="20"/>
        </w:rPr>
        <w:t xml:space="preserve"> </w:t>
      </w:r>
      <w:r>
        <w:rPr>
          <w:spacing w:val="-2"/>
          <w:sz w:val="20"/>
        </w:rPr>
        <w:t>wrote</w:t>
      </w:r>
      <w:r>
        <w:rPr>
          <w:spacing w:val="-12"/>
          <w:sz w:val="20"/>
        </w:rPr>
        <w:t xml:space="preserve"> </w:t>
      </w:r>
      <w:r>
        <w:rPr>
          <w:spacing w:val="-2"/>
          <w:sz w:val="20"/>
        </w:rPr>
        <w:t>to</w:t>
      </w:r>
      <w:r>
        <w:rPr>
          <w:spacing w:val="-12"/>
          <w:sz w:val="20"/>
        </w:rPr>
        <w:t xml:space="preserve"> </w:t>
      </w:r>
      <w:r>
        <w:rPr>
          <w:spacing w:val="-2"/>
          <w:sz w:val="20"/>
        </w:rPr>
        <w:t>the</w:t>
      </w:r>
      <w:r>
        <w:rPr>
          <w:spacing w:val="-12"/>
          <w:sz w:val="20"/>
        </w:rPr>
        <w:t xml:space="preserve"> </w:t>
      </w:r>
      <w:r>
        <w:rPr>
          <w:spacing w:val="-2"/>
          <w:sz w:val="20"/>
        </w:rPr>
        <w:t>Queensland</w:t>
      </w:r>
      <w:r>
        <w:rPr>
          <w:spacing w:val="-12"/>
          <w:sz w:val="20"/>
        </w:rPr>
        <w:t xml:space="preserve"> </w:t>
      </w:r>
      <w:r>
        <w:rPr>
          <w:spacing w:val="-2"/>
          <w:sz w:val="20"/>
        </w:rPr>
        <w:t>Health</w:t>
      </w:r>
      <w:r>
        <w:rPr>
          <w:spacing w:val="-12"/>
          <w:sz w:val="20"/>
        </w:rPr>
        <w:t xml:space="preserve"> </w:t>
      </w:r>
      <w:r>
        <w:rPr>
          <w:spacing w:val="-2"/>
          <w:sz w:val="20"/>
        </w:rPr>
        <w:t>Minister,</w:t>
      </w:r>
      <w:r>
        <w:rPr>
          <w:spacing w:val="-12"/>
          <w:sz w:val="20"/>
        </w:rPr>
        <w:t xml:space="preserve"> </w:t>
      </w:r>
      <w:r>
        <w:rPr>
          <w:spacing w:val="-2"/>
          <w:sz w:val="20"/>
        </w:rPr>
        <w:t>expressing</w:t>
      </w:r>
      <w:r>
        <w:rPr>
          <w:spacing w:val="-12"/>
          <w:sz w:val="20"/>
        </w:rPr>
        <w:t xml:space="preserve"> </w:t>
      </w:r>
      <w:r>
        <w:rPr>
          <w:spacing w:val="-2"/>
          <w:sz w:val="20"/>
        </w:rPr>
        <w:t>concerns</w:t>
      </w:r>
      <w:r>
        <w:rPr>
          <w:spacing w:val="-12"/>
          <w:sz w:val="20"/>
        </w:rPr>
        <w:t xml:space="preserve"> </w:t>
      </w:r>
      <w:r>
        <w:rPr>
          <w:spacing w:val="-2"/>
          <w:sz w:val="20"/>
        </w:rPr>
        <w:t>about</w:t>
      </w:r>
      <w:r>
        <w:rPr>
          <w:spacing w:val="-11"/>
          <w:sz w:val="20"/>
        </w:rPr>
        <w:t xml:space="preserve"> </w:t>
      </w:r>
      <w:r>
        <w:rPr>
          <w:spacing w:val="-2"/>
          <w:sz w:val="20"/>
        </w:rPr>
        <w:t>the</w:t>
      </w:r>
      <w:r>
        <w:rPr>
          <w:spacing w:val="-12"/>
          <w:sz w:val="20"/>
        </w:rPr>
        <w:t xml:space="preserve"> </w:t>
      </w:r>
      <w:r>
        <w:rPr>
          <w:spacing w:val="-2"/>
          <w:sz w:val="20"/>
        </w:rPr>
        <w:t>mandatory</w:t>
      </w:r>
      <w:r>
        <w:rPr>
          <w:spacing w:val="-12"/>
          <w:sz w:val="20"/>
        </w:rPr>
        <w:t xml:space="preserve"> </w:t>
      </w:r>
      <w:r>
        <w:rPr>
          <w:spacing w:val="-2"/>
          <w:sz w:val="20"/>
        </w:rPr>
        <w:t>reporting framework</w:t>
      </w:r>
      <w:r>
        <w:rPr>
          <w:spacing w:val="-3"/>
          <w:sz w:val="20"/>
        </w:rPr>
        <w:t xml:space="preserve"> </w:t>
      </w:r>
      <w:r>
        <w:rPr>
          <w:spacing w:val="-2"/>
          <w:sz w:val="20"/>
        </w:rPr>
        <w:t>that</w:t>
      </w:r>
      <w:r>
        <w:rPr>
          <w:spacing w:val="-3"/>
          <w:sz w:val="20"/>
        </w:rPr>
        <w:t xml:space="preserve"> </w:t>
      </w:r>
      <w:r>
        <w:rPr>
          <w:spacing w:val="-2"/>
          <w:sz w:val="20"/>
        </w:rPr>
        <w:t>requires</w:t>
      </w:r>
      <w:r>
        <w:rPr>
          <w:spacing w:val="-3"/>
          <w:sz w:val="20"/>
        </w:rPr>
        <w:t xml:space="preserve"> </w:t>
      </w:r>
      <w:r>
        <w:rPr>
          <w:spacing w:val="-2"/>
          <w:sz w:val="20"/>
        </w:rPr>
        <w:t>registered</w:t>
      </w:r>
      <w:r>
        <w:rPr>
          <w:spacing w:val="-4"/>
          <w:sz w:val="20"/>
        </w:rPr>
        <w:t xml:space="preserve"> </w:t>
      </w:r>
      <w:r>
        <w:rPr>
          <w:spacing w:val="-2"/>
          <w:sz w:val="20"/>
        </w:rPr>
        <w:t>health</w:t>
      </w:r>
      <w:r>
        <w:rPr>
          <w:spacing w:val="-4"/>
          <w:sz w:val="20"/>
        </w:rPr>
        <w:t xml:space="preserve"> </w:t>
      </w:r>
      <w:r>
        <w:rPr>
          <w:spacing w:val="-2"/>
          <w:sz w:val="20"/>
        </w:rPr>
        <w:t>practitioners</w:t>
      </w:r>
      <w:r>
        <w:rPr>
          <w:spacing w:val="-3"/>
          <w:sz w:val="20"/>
        </w:rPr>
        <w:t xml:space="preserve"> </w:t>
      </w:r>
      <w:r>
        <w:rPr>
          <w:spacing w:val="-2"/>
          <w:sz w:val="20"/>
        </w:rPr>
        <w:t>to</w:t>
      </w:r>
      <w:r>
        <w:rPr>
          <w:spacing w:val="-4"/>
          <w:sz w:val="20"/>
        </w:rPr>
        <w:t xml:space="preserve"> </w:t>
      </w:r>
      <w:r>
        <w:rPr>
          <w:spacing w:val="-2"/>
          <w:sz w:val="20"/>
        </w:rPr>
        <w:t>inform</w:t>
      </w:r>
      <w:r>
        <w:rPr>
          <w:spacing w:val="-3"/>
          <w:sz w:val="20"/>
        </w:rPr>
        <w:t xml:space="preserve"> </w:t>
      </w:r>
      <w:r>
        <w:rPr>
          <w:spacing w:val="-2"/>
          <w:sz w:val="20"/>
        </w:rPr>
        <w:t>the</w:t>
      </w:r>
      <w:r>
        <w:rPr>
          <w:spacing w:val="-15"/>
          <w:sz w:val="20"/>
        </w:rPr>
        <w:t xml:space="preserve"> </w:t>
      </w:r>
      <w:r>
        <w:rPr>
          <w:spacing w:val="-2"/>
          <w:sz w:val="20"/>
        </w:rPr>
        <w:t>Australian</w:t>
      </w:r>
      <w:r>
        <w:rPr>
          <w:spacing w:val="-4"/>
          <w:sz w:val="20"/>
        </w:rPr>
        <w:t xml:space="preserve"> </w:t>
      </w:r>
      <w:r>
        <w:rPr>
          <w:spacing w:val="-2"/>
          <w:sz w:val="20"/>
        </w:rPr>
        <w:t>Health</w:t>
      </w:r>
      <w:r>
        <w:rPr>
          <w:spacing w:val="-4"/>
          <w:sz w:val="20"/>
        </w:rPr>
        <w:t xml:space="preserve"> </w:t>
      </w:r>
      <w:r>
        <w:rPr>
          <w:spacing w:val="-2"/>
          <w:sz w:val="20"/>
        </w:rPr>
        <w:t>Practitioner Regulation</w:t>
      </w:r>
      <w:r>
        <w:rPr>
          <w:spacing w:val="-15"/>
          <w:sz w:val="20"/>
        </w:rPr>
        <w:t xml:space="preserve"> </w:t>
      </w:r>
      <w:r>
        <w:rPr>
          <w:spacing w:val="-2"/>
          <w:sz w:val="20"/>
        </w:rPr>
        <w:t>Agency</w:t>
      </w:r>
      <w:r>
        <w:rPr>
          <w:spacing w:val="-4"/>
          <w:sz w:val="20"/>
        </w:rPr>
        <w:t xml:space="preserve"> </w:t>
      </w:r>
      <w:r>
        <w:rPr>
          <w:spacing w:val="-2"/>
          <w:sz w:val="20"/>
        </w:rPr>
        <w:t>(AHPRA)</w:t>
      </w:r>
      <w:r>
        <w:rPr>
          <w:spacing w:val="-4"/>
          <w:sz w:val="20"/>
        </w:rPr>
        <w:t xml:space="preserve"> </w:t>
      </w:r>
      <w:r>
        <w:rPr>
          <w:spacing w:val="-2"/>
          <w:sz w:val="20"/>
        </w:rPr>
        <w:t>if</w:t>
      </w:r>
      <w:r>
        <w:rPr>
          <w:spacing w:val="-4"/>
          <w:sz w:val="20"/>
        </w:rPr>
        <w:t xml:space="preserve"> </w:t>
      </w:r>
      <w:r>
        <w:rPr>
          <w:spacing w:val="-2"/>
          <w:sz w:val="20"/>
        </w:rPr>
        <w:t>another</w:t>
      </w:r>
      <w:r>
        <w:rPr>
          <w:spacing w:val="-4"/>
          <w:sz w:val="20"/>
        </w:rPr>
        <w:t xml:space="preserve"> </w:t>
      </w:r>
      <w:r>
        <w:rPr>
          <w:spacing w:val="-2"/>
          <w:sz w:val="20"/>
        </w:rPr>
        <w:t>health</w:t>
      </w:r>
      <w:r>
        <w:rPr>
          <w:spacing w:val="-5"/>
          <w:sz w:val="20"/>
        </w:rPr>
        <w:t xml:space="preserve"> </w:t>
      </w:r>
      <w:r>
        <w:rPr>
          <w:spacing w:val="-2"/>
          <w:sz w:val="20"/>
        </w:rPr>
        <w:t>practitioner</w:t>
      </w:r>
      <w:r>
        <w:rPr>
          <w:spacing w:val="-4"/>
          <w:sz w:val="20"/>
        </w:rPr>
        <w:t xml:space="preserve"> </w:t>
      </w:r>
      <w:r>
        <w:rPr>
          <w:spacing w:val="-2"/>
          <w:sz w:val="20"/>
        </w:rPr>
        <w:t>has</w:t>
      </w:r>
      <w:r>
        <w:rPr>
          <w:spacing w:val="-4"/>
          <w:sz w:val="20"/>
        </w:rPr>
        <w:t xml:space="preserve"> </w:t>
      </w:r>
      <w:r>
        <w:rPr>
          <w:spacing w:val="-2"/>
          <w:sz w:val="20"/>
        </w:rPr>
        <w:t>engaged</w:t>
      </w:r>
      <w:r>
        <w:rPr>
          <w:spacing w:val="-5"/>
          <w:sz w:val="20"/>
        </w:rPr>
        <w:t xml:space="preserve"> </w:t>
      </w:r>
      <w:r>
        <w:rPr>
          <w:spacing w:val="-2"/>
          <w:sz w:val="20"/>
        </w:rPr>
        <w:t>in</w:t>
      </w:r>
      <w:r>
        <w:rPr>
          <w:spacing w:val="-5"/>
          <w:sz w:val="20"/>
        </w:rPr>
        <w:t xml:space="preserve"> </w:t>
      </w:r>
      <w:r>
        <w:rPr>
          <w:spacing w:val="-2"/>
          <w:sz w:val="20"/>
        </w:rPr>
        <w:t>certain</w:t>
      </w:r>
      <w:r>
        <w:rPr>
          <w:spacing w:val="-5"/>
          <w:sz w:val="20"/>
        </w:rPr>
        <w:t xml:space="preserve"> </w:t>
      </w:r>
      <w:r>
        <w:rPr>
          <w:spacing w:val="-2"/>
          <w:sz w:val="20"/>
        </w:rPr>
        <w:t>forms</w:t>
      </w:r>
      <w:r>
        <w:rPr>
          <w:spacing w:val="-4"/>
          <w:sz w:val="20"/>
        </w:rPr>
        <w:t xml:space="preserve"> </w:t>
      </w:r>
      <w:r>
        <w:rPr>
          <w:spacing w:val="-2"/>
          <w:sz w:val="20"/>
        </w:rPr>
        <w:t>of</w:t>
      </w:r>
      <w:r>
        <w:rPr>
          <w:spacing w:val="-4"/>
          <w:sz w:val="20"/>
        </w:rPr>
        <w:t xml:space="preserve"> </w:t>
      </w:r>
      <w:r>
        <w:rPr>
          <w:spacing w:val="-2"/>
          <w:sz w:val="20"/>
        </w:rPr>
        <w:t>‘notifiable conduct’</w:t>
      </w:r>
      <w:r>
        <w:rPr>
          <w:spacing w:val="-12"/>
          <w:sz w:val="20"/>
        </w:rPr>
        <w:t xml:space="preserve"> </w:t>
      </w:r>
      <w:r>
        <w:rPr>
          <w:spacing w:val="-2"/>
          <w:sz w:val="20"/>
        </w:rPr>
        <w:t>involving</w:t>
      </w:r>
      <w:r>
        <w:rPr>
          <w:spacing w:val="-5"/>
          <w:sz w:val="20"/>
        </w:rPr>
        <w:t xml:space="preserve"> </w:t>
      </w:r>
      <w:r>
        <w:rPr>
          <w:spacing w:val="-2"/>
          <w:sz w:val="20"/>
        </w:rPr>
        <w:t>intoxication,</w:t>
      </w:r>
      <w:r>
        <w:rPr>
          <w:spacing w:val="-4"/>
          <w:sz w:val="20"/>
        </w:rPr>
        <w:t xml:space="preserve"> </w:t>
      </w:r>
      <w:r>
        <w:rPr>
          <w:spacing w:val="-2"/>
          <w:sz w:val="20"/>
        </w:rPr>
        <w:t>sexual</w:t>
      </w:r>
      <w:r>
        <w:rPr>
          <w:spacing w:val="-5"/>
          <w:sz w:val="20"/>
        </w:rPr>
        <w:t xml:space="preserve"> </w:t>
      </w:r>
      <w:r>
        <w:rPr>
          <w:spacing w:val="-2"/>
          <w:sz w:val="20"/>
        </w:rPr>
        <w:t>misconduct,</w:t>
      </w:r>
      <w:r>
        <w:rPr>
          <w:spacing w:val="-4"/>
          <w:sz w:val="20"/>
        </w:rPr>
        <w:t xml:space="preserve"> </w:t>
      </w:r>
      <w:r>
        <w:rPr>
          <w:spacing w:val="-2"/>
          <w:sz w:val="20"/>
        </w:rPr>
        <w:t>departure</w:t>
      </w:r>
      <w:r>
        <w:rPr>
          <w:spacing w:val="-5"/>
          <w:sz w:val="20"/>
        </w:rPr>
        <w:t xml:space="preserve"> </w:t>
      </w:r>
      <w:r>
        <w:rPr>
          <w:spacing w:val="-2"/>
          <w:sz w:val="20"/>
        </w:rPr>
        <w:t>from</w:t>
      </w:r>
      <w:r>
        <w:rPr>
          <w:spacing w:val="-4"/>
          <w:sz w:val="20"/>
        </w:rPr>
        <w:t xml:space="preserve"> </w:t>
      </w:r>
      <w:r>
        <w:rPr>
          <w:spacing w:val="-2"/>
          <w:sz w:val="20"/>
        </w:rPr>
        <w:t>professional</w:t>
      </w:r>
      <w:r>
        <w:rPr>
          <w:spacing w:val="-5"/>
          <w:sz w:val="20"/>
        </w:rPr>
        <w:t xml:space="preserve"> </w:t>
      </w:r>
      <w:r>
        <w:rPr>
          <w:spacing w:val="-2"/>
          <w:sz w:val="20"/>
        </w:rPr>
        <w:t>standards</w:t>
      </w:r>
      <w:r>
        <w:rPr>
          <w:spacing w:val="-4"/>
          <w:sz w:val="20"/>
        </w:rPr>
        <w:t xml:space="preserve"> </w:t>
      </w:r>
      <w:r>
        <w:rPr>
          <w:spacing w:val="-2"/>
          <w:sz w:val="20"/>
        </w:rPr>
        <w:t>or</w:t>
      </w:r>
      <w:r>
        <w:rPr>
          <w:spacing w:val="-4"/>
          <w:sz w:val="20"/>
        </w:rPr>
        <w:t xml:space="preserve"> </w:t>
      </w:r>
      <w:r>
        <w:rPr>
          <w:spacing w:val="-2"/>
          <w:sz w:val="20"/>
        </w:rPr>
        <w:t>‘is</w:t>
      </w:r>
      <w:r>
        <w:rPr>
          <w:spacing w:val="-4"/>
          <w:sz w:val="20"/>
        </w:rPr>
        <w:t xml:space="preserve"> </w:t>
      </w:r>
      <w:r>
        <w:rPr>
          <w:spacing w:val="-2"/>
          <w:sz w:val="20"/>
        </w:rPr>
        <w:t xml:space="preserve">placing </w:t>
      </w:r>
      <w:r>
        <w:rPr>
          <w:spacing w:val="-4"/>
          <w:sz w:val="20"/>
        </w:rPr>
        <w:t>the</w:t>
      </w:r>
      <w:r>
        <w:rPr>
          <w:spacing w:val="-5"/>
          <w:sz w:val="20"/>
        </w:rPr>
        <w:t xml:space="preserve"> </w:t>
      </w:r>
      <w:r>
        <w:rPr>
          <w:spacing w:val="-4"/>
          <w:sz w:val="20"/>
        </w:rPr>
        <w:t>public at risk of substantial</w:t>
      </w:r>
      <w:r>
        <w:rPr>
          <w:spacing w:val="-5"/>
          <w:sz w:val="20"/>
        </w:rPr>
        <w:t xml:space="preserve"> </w:t>
      </w:r>
      <w:r>
        <w:rPr>
          <w:spacing w:val="-4"/>
          <w:sz w:val="20"/>
        </w:rPr>
        <w:t xml:space="preserve">harm by </w:t>
      </w:r>
      <w:proofErr w:type="spellStart"/>
      <w:r>
        <w:rPr>
          <w:spacing w:val="-4"/>
          <w:sz w:val="20"/>
        </w:rPr>
        <w:t>practising</w:t>
      </w:r>
      <w:proofErr w:type="spellEnd"/>
      <w:r>
        <w:rPr>
          <w:spacing w:val="-5"/>
          <w:sz w:val="20"/>
        </w:rPr>
        <w:t xml:space="preserve"> </w:t>
      </w:r>
      <w:r>
        <w:rPr>
          <w:spacing w:val="-4"/>
          <w:sz w:val="20"/>
        </w:rPr>
        <w:t>the</w:t>
      </w:r>
      <w:r>
        <w:rPr>
          <w:spacing w:val="-5"/>
          <w:sz w:val="20"/>
        </w:rPr>
        <w:t xml:space="preserve"> </w:t>
      </w:r>
      <w:r>
        <w:rPr>
          <w:spacing w:val="-4"/>
          <w:sz w:val="20"/>
        </w:rPr>
        <w:t>profession</w:t>
      </w:r>
      <w:r>
        <w:rPr>
          <w:spacing w:val="-5"/>
          <w:sz w:val="20"/>
        </w:rPr>
        <w:t xml:space="preserve"> </w:t>
      </w:r>
      <w:r>
        <w:rPr>
          <w:spacing w:val="-4"/>
          <w:sz w:val="20"/>
        </w:rPr>
        <w:t>while</w:t>
      </w:r>
      <w:r>
        <w:rPr>
          <w:spacing w:val="-5"/>
          <w:sz w:val="20"/>
        </w:rPr>
        <w:t xml:space="preserve"> </w:t>
      </w:r>
      <w:r>
        <w:rPr>
          <w:spacing w:val="-4"/>
          <w:sz w:val="20"/>
        </w:rPr>
        <w:t>the</w:t>
      </w:r>
      <w:r>
        <w:rPr>
          <w:spacing w:val="-5"/>
          <w:sz w:val="20"/>
        </w:rPr>
        <w:t xml:space="preserve"> </w:t>
      </w:r>
      <w:r>
        <w:rPr>
          <w:spacing w:val="-4"/>
          <w:sz w:val="20"/>
        </w:rPr>
        <w:t>practitioner has an</w:t>
      </w:r>
      <w:r>
        <w:rPr>
          <w:spacing w:val="-5"/>
          <w:sz w:val="20"/>
        </w:rPr>
        <w:t xml:space="preserve"> </w:t>
      </w:r>
      <w:r>
        <w:rPr>
          <w:spacing w:val="-4"/>
          <w:sz w:val="20"/>
        </w:rPr>
        <w:t xml:space="preserve">impairment.’ </w:t>
      </w:r>
      <w:r>
        <w:rPr>
          <w:spacing w:val="-2"/>
          <w:sz w:val="20"/>
        </w:rPr>
        <w:t>A</w:t>
      </w:r>
      <w:r>
        <w:rPr>
          <w:spacing w:val="-15"/>
          <w:sz w:val="20"/>
        </w:rPr>
        <w:t xml:space="preserve"> </w:t>
      </w:r>
      <w:r>
        <w:rPr>
          <w:spacing w:val="-2"/>
          <w:sz w:val="20"/>
        </w:rPr>
        <w:t>controversial</w:t>
      </w:r>
      <w:r>
        <w:rPr>
          <w:spacing w:val="-5"/>
          <w:sz w:val="20"/>
        </w:rPr>
        <w:t xml:space="preserve"> </w:t>
      </w:r>
      <w:r>
        <w:rPr>
          <w:spacing w:val="-2"/>
          <w:sz w:val="20"/>
        </w:rPr>
        <w:t>aspect</w:t>
      </w:r>
      <w:r>
        <w:rPr>
          <w:spacing w:val="-4"/>
          <w:sz w:val="20"/>
        </w:rPr>
        <w:t xml:space="preserve"> </w:t>
      </w:r>
      <w:r>
        <w:rPr>
          <w:spacing w:val="-2"/>
          <w:sz w:val="20"/>
        </w:rPr>
        <w:t>of</w:t>
      </w:r>
      <w:r>
        <w:rPr>
          <w:spacing w:val="-4"/>
          <w:sz w:val="20"/>
        </w:rPr>
        <w:t xml:space="preserve"> </w:t>
      </w:r>
      <w:r>
        <w:rPr>
          <w:spacing w:val="-2"/>
          <w:sz w:val="20"/>
        </w:rPr>
        <w:t>the</w:t>
      </w:r>
      <w:r>
        <w:rPr>
          <w:spacing w:val="-5"/>
          <w:sz w:val="20"/>
        </w:rPr>
        <w:t xml:space="preserve"> </w:t>
      </w:r>
      <w:r>
        <w:rPr>
          <w:spacing w:val="-2"/>
          <w:sz w:val="20"/>
        </w:rPr>
        <w:t>mandatory</w:t>
      </w:r>
      <w:r>
        <w:rPr>
          <w:spacing w:val="-4"/>
          <w:sz w:val="20"/>
        </w:rPr>
        <w:t xml:space="preserve"> </w:t>
      </w:r>
      <w:r>
        <w:rPr>
          <w:spacing w:val="-2"/>
          <w:sz w:val="20"/>
        </w:rPr>
        <w:t>reporting</w:t>
      </w:r>
      <w:r>
        <w:rPr>
          <w:spacing w:val="-5"/>
          <w:sz w:val="20"/>
        </w:rPr>
        <w:t xml:space="preserve"> </w:t>
      </w:r>
      <w:r>
        <w:rPr>
          <w:spacing w:val="-2"/>
          <w:sz w:val="20"/>
        </w:rPr>
        <w:t>laws</w:t>
      </w:r>
      <w:r>
        <w:rPr>
          <w:spacing w:val="-4"/>
          <w:sz w:val="20"/>
        </w:rPr>
        <w:t xml:space="preserve"> </w:t>
      </w:r>
      <w:r>
        <w:rPr>
          <w:spacing w:val="-2"/>
          <w:sz w:val="20"/>
        </w:rPr>
        <w:t>is</w:t>
      </w:r>
      <w:r>
        <w:rPr>
          <w:spacing w:val="-4"/>
          <w:sz w:val="20"/>
        </w:rPr>
        <w:t xml:space="preserve"> </w:t>
      </w:r>
      <w:r>
        <w:rPr>
          <w:spacing w:val="-2"/>
          <w:sz w:val="20"/>
        </w:rPr>
        <w:t>their</w:t>
      </w:r>
      <w:r>
        <w:rPr>
          <w:spacing w:val="-4"/>
          <w:sz w:val="20"/>
        </w:rPr>
        <w:t xml:space="preserve"> </w:t>
      </w:r>
      <w:r>
        <w:rPr>
          <w:spacing w:val="-2"/>
          <w:sz w:val="20"/>
        </w:rPr>
        <w:t>application</w:t>
      </w:r>
      <w:r>
        <w:rPr>
          <w:spacing w:val="-5"/>
          <w:sz w:val="20"/>
        </w:rPr>
        <w:t xml:space="preserve"> </w:t>
      </w:r>
      <w:r>
        <w:rPr>
          <w:spacing w:val="-2"/>
          <w:sz w:val="20"/>
        </w:rPr>
        <w:t>to</w:t>
      </w:r>
      <w:r>
        <w:rPr>
          <w:spacing w:val="-5"/>
          <w:sz w:val="20"/>
        </w:rPr>
        <w:t xml:space="preserve"> </w:t>
      </w:r>
      <w:r>
        <w:rPr>
          <w:spacing w:val="-2"/>
          <w:sz w:val="20"/>
        </w:rPr>
        <w:t>practitioners</w:t>
      </w:r>
      <w:r>
        <w:rPr>
          <w:spacing w:val="-4"/>
          <w:sz w:val="20"/>
        </w:rPr>
        <w:t xml:space="preserve"> </w:t>
      </w:r>
      <w:r>
        <w:rPr>
          <w:spacing w:val="-2"/>
          <w:sz w:val="20"/>
        </w:rPr>
        <w:t>who,</w:t>
      </w:r>
      <w:r>
        <w:rPr>
          <w:spacing w:val="-4"/>
          <w:sz w:val="20"/>
        </w:rPr>
        <w:t xml:space="preserve"> </w:t>
      </w:r>
      <w:proofErr w:type="gramStart"/>
      <w:r>
        <w:rPr>
          <w:spacing w:val="-2"/>
          <w:sz w:val="20"/>
        </w:rPr>
        <w:t>in</w:t>
      </w:r>
      <w:r>
        <w:rPr>
          <w:spacing w:val="-5"/>
          <w:sz w:val="20"/>
        </w:rPr>
        <w:t xml:space="preserve"> </w:t>
      </w:r>
      <w:r>
        <w:rPr>
          <w:spacing w:val="-2"/>
          <w:sz w:val="20"/>
        </w:rPr>
        <w:t>the course</w:t>
      </w:r>
      <w:r>
        <w:rPr>
          <w:spacing w:val="-5"/>
          <w:sz w:val="20"/>
        </w:rPr>
        <w:t xml:space="preserve"> </w:t>
      </w:r>
      <w:r>
        <w:rPr>
          <w:spacing w:val="-2"/>
          <w:sz w:val="20"/>
        </w:rPr>
        <w:t>of</w:t>
      </w:r>
      <w:proofErr w:type="gramEnd"/>
      <w:r>
        <w:rPr>
          <w:spacing w:val="-4"/>
          <w:sz w:val="20"/>
        </w:rPr>
        <w:t xml:space="preserve"> </w:t>
      </w:r>
      <w:r>
        <w:rPr>
          <w:spacing w:val="-2"/>
          <w:sz w:val="20"/>
        </w:rPr>
        <w:t>providing</w:t>
      </w:r>
      <w:r>
        <w:rPr>
          <w:spacing w:val="-5"/>
          <w:sz w:val="20"/>
        </w:rPr>
        <w:t xml:space="preserve"> </w:t>
      </w:r>
      <w:r>
        <w:rPr>
          <w:spacing w:val="-2"/>
          <w:sz w:val="20"/>
        </w:rPr>
        <w:t>care</w:t>
      </w:r>
      <w:r>
        <w:rPr>
          <w:spacing w:val="-5"/>
          <w:sz w:val="20"/>
        </w:rPr>
        <w:t xml:space="preserve"> </w:t>
      </w:r>
      <w:r>
        <w:rPr>
          <w:spacing w:val="-2"/>
          <w:sz w:val="20"/>
        </w:rPr>
        <w:t>to</w:t>
      </w:r>
      <w:r>
        <w:rPr>
          <w:spacing w:val="-5"/>
          <w:sz w:val="20"/>
        </w:rPr>
        <w:t xml:space="preserve"> </w:t>
      </w:r>
      <w:r>
        <w:rPr>
          <w:spacing w:val="-2"/>
          <w:sz w:val="20"/>
        </w:rPr>
        <w:t>another</w:t>
      </w:r>
      <w:r>
        <w:rPr>
          <w:spacing w:val="-4"/>
          <w:sz w:val="20"/>
        </w:rPr>
        <w:t xml:space="preserve"> </w:t>
      </w:r>
      <w:r>
        <w:rPr>
          <w:spacing w:val="-2"/>
          <w:sz w:val="20"/>
        </w:rPr>
        <w:t>practitioner,</w:t>
      </w:r>
      <w:r>
        <w:rPr>
          <w:spacing w:val="-4"/>
          <w:sz w:val="20"/>
        </w:rPr>
        <w:t xml:space="preserve"> </w:t>
      </w:r>
      <w:r>
        <w:rPr>
          <w:spacing w:val="-2"/>
          <w:sz w:val="20"/>
        </w:rPr>
        <w:t>form</w:t>
      </w:r>
      <w:r>
        <w:rPr>
          <w:spacing w:val="-4"/>
          <w:sz w:val="20"/>
        </w:rPr>
        <w:t xml:space="preserve"> </w:t>
      </w:r>
      <w:r>
        <w:rPr>
          <w:spacing w:val="-2"/>
          <w:sz w:val="20"/>
        </w:rPr>
        <w:t>a</w:t>
      </w:r>
      <w:r>
        <w:rPr>
          <w:spacing w:val="-5"/>
          <w:sz w:val="20"/>
        </w:rPr>
        <w:t xml:space="preserve"> </w:t>
      </w:r>
      <w:r>
        <w:rPr>
          <w:spacing w:val="-2"/>
          <w:sz w:val="20"/>
        </w:rPr>
        <w:t>belief</w:t>
      </w:r>
      <w:r>
        <w:rPr>
          <w:spacing w:val="-4"/>
          <w:sz w:val="20"/>
        </w:rPr>
        <w:t xml:space="preserve"> </w:t>
      </w:r>
      <w:r>
        <w:rPr>
          <w:spacing w:val="-2"/>
          <w:sz w:val="20"/>
        </w:rPr>
        <w:t>that</w:t>
      </w:r>
      <w:r>
        <w:rPr>
          <w:spacing w:val="-4"/>
          <w:sz w:val="20"/>
        </w:rPr>
        <w:t xml:space="preserve"> </w:t>
      </w:r>
      <w:r>
        <w:rPr>
          <w:spacing w:val="-2"/>
          <w:sz w:val="20"/>
        </w:rPr>
        <w:t>notifiable</w:t>
      </w:r>
      <w:r>
        <w:rPr>
          <w:spacing w:val="-5"/>
          <w:sz w:val="20"/>
        </w:rPr>
        <w:t xml:space="preserve"> </w:t>
      </w:r>
      <w:r>
        <w:rPr>
          <w:spacing w:val="-2"/>
          <w:sz w:val="20"/>
        </w:rPr>
        <w:t>conduct</w:t>
      </w:r>
      <w:r>
        <w:rPr>
          <w:spacing w:val="-4"/>
          <w:sz w:val="20"/>
        </w:rPr>
        <w:t xml:space="preserve"> </w:t>
      </w:r>
      <w:r>
        <w:rPr>
          <w:spacing w:val="-2"/>
          <w:sz w:val="20"/>
        </w:rPr>
        <w:t>has</w:t>
      </w:r>
      <w:r>
        <w:rPr>
          <w:spacing w:val="-4"/>
          <w:sz w:val="20"/>
        </w:rPr>
        <w:t xml:space="preserve"> </w:t>
      </w:r>
      <w:r>
        <w:rPr>
          <w:spacing w:val="-2"/>
          <w:sz w:val="20"/>
        </w:rPr>
        <w:t>occurred.</w:t>
      </w:r>
    </w:p>
    <w:p w14:paraId="6F6B86CF" w14:textId="77777777" w:rsidR="00AC6F3C" w:rsidRDefault="00570E88">
      <w:pPr>
        <w:pStyle w:val="ListParagraph"/>
        <w:numPr>
          <w:ilvl w:val="0"/>
          <w:numId w:val="58"/>
        </w:numPr>
        <w:tabs>
          <w:tab w:val="left" w:pos="1155"/>
        </w:tabs>
        <w:spacing w:before="176" w:line="249" w:lineRule="auto"/>
        <w:ind w:right="145"/>
        <w:rPr>
          <w:sz w:val="20"/>
        </w:rPr>
      </w:pPr>
      <w:r>
        <w:rPr>
          <w:sz w:val="20"/>
        </w:rPr>
        <w:t>The</w:t>
      </w:r>
      <w:r>
        <w:rPr>
          <w:spacing w:val="-14"/>
          <w:sz w:val="20"/>
        </w:rPr>
        <w:t xml:space="preserve"> </w:t>
      </w:r>
      <w:r>
        <w:rPr>
          <w:sz w:val="20"/>
        </w:rPr>
        <w:t>Society</w:t>
      </w:r>
      <w:r>
        <w:rPr>
          <w:spacing w:val="-14"/>
          <w:sz w:val="20"/>
        </w:rPr>
        <w:t xml:space="preserve"> </w:t>
      </w:r>
      <w:r>
        <w:rPr>
          <w:sz w:val="20"/>
        </w:rPr>
        <w:t>urged</w:t>
      </w:r>
      <w:r>
        <w:rPr>
          <w:spacing w:val="-14"/>
          <w:sz w:val="20"/>
        </w:rPr>
        <w:t xml:space="preserve"> </w:t>
      </w:r>
      <w:r>
        <w:rPr>
          <w:sz w:val="20"/>
        </w:rPr>
        <w:t>the</w:t>
      </w:r>
      <w:r>
        <w:rPr>
          <w:spacing w:val="-14"/>
          <w:sz w:val="20"/>
        </w:rPr>
        <w:t xml:space="preserve"> </w:t>
      </w:r>
      <w:r>
        <w:rPr>
          <w:sz w:val="20"/>
        </w:rPr>
        <w:t>Minister</w:t>
      </w:r>
      <w:r>
        <w:rPr>
          <w:spacing w:val="-14"/>
          <w:sz w:val="20"/>
        </w:rPr>
        <w:t xml:space="preserve"> </w:t>
      </w:r>
      <w:r>
        <w:rPr>
          <w:sz w:val="20"/>
        </w:rPr>
        <w:t>to</w:t>
      </w:r>
      <w:r>
        <w:rPr>
          <w:spacing w:val="-14"/>
          <w:sz w:val="20"/>
        </w:rPr>
        <w:t xml:space="preserve"> </w:t>
      </w:r>
      <w:r>
        <w:rPr>
          <w:sz w:val="20"/>
        </w:rPr>
        <w:t>implement</w:t>
      </w:r>
      <w:r>
        <w:rPr>
          <w:spacing w:val="-14"/>
          <w:sz w:val="20"/>
        </w:rPr>
        <w:t xml:space="preserve"> </w:t>
      </w:r>
      <w:r>
        <w:rPr>
          <w:sz w:val="20"/>
        </w:rPr>
        <w:t>a</w:t>
      </w:r>
      <w:r>
        <w:rPr>
          <w:spacing w:val="-14"/>
          <w:sz w:val="20"/>
        </w:rPr>
        <w:t xml:space="preserve"> </w:t>
      </w:r>
      <w:r>
        <w:rPr>
          <w:sz w:val="20"/>
        </w:rPr>
        <w:t>recent</w:t>
      </w:r>
      <w:r>
        <w:rPr>
          <w:spacing w:val="-14"/>
          <w:sz w:val="20"/>
        </w:rPr>
        <w:t xml:space="preserve"> </w:t>
      </w:r>
      <w:r>
        <w:rPr>
          <w:sz w:val="20"/>
        </w:rPr>
        <w:t>recommendation</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z w:val="20"/>
        </w:rPr>
        <w:t>Senate</w:t>
      </w:r>
      <w:r>
        <w:rPr>
          <w:spacing w:val="-14"/>
          <w:sz w:val="20"/>
        </w:rPr>
        <w:t xml:space="preserve"> </w:t>
      </w:r>
      <w:r>
        <w:rPr>
          <w:sz w:val="20"/>
        </w:rPr>
        <w:t>Community</w:t>
      </w:r>
      <w:r>
        <w:rPr>
          <w:spacing w:val="-16"/>
          <w:sz w:val="20"/>
        </w:rPr>
        <w:t xml:space="preserve"> </w:t>
      </w:r>
      <w:r>
        <w:rPr>
          <w:sz w:val="20"/>
        </w:rPr>
        <w:t>Affairs References</w:t>
      </w:r>
      <w:r>
        <w:rPr>
          <w:spacing w:val="-14"/>
          <w:sz w:val="20"/>
        </w:rPr>
        <w:t xml:space="preserve"> </w:t>
      </w:r>
      <w:r>
        <w:rPr>
          <w:sz w:val="20"/>
        </w:rPr>
        <w:t>Committee</w:t>
      </w:r>
      <w:r>
        <w:rPr>
          <w:spacing w:val="-14"/>
          <w:sz w:val="20"/>
        </w:rPr>
        <w:t xml:space="preserve"> </w:t>
      </w:r>
      <w:r>
        <w:rPr>
          <w:sz w:val="20"/>
        </w:rPr>
        <w:t>that</w:t>
      </w:r>
      <w:r>
        <w:rPr>
          <w:spacing w:val="-14"/>
          <w:sz w:val="20"/>
        </w:rPr>
        <w:t xml:space="preserve"> </w:t>
      </w:r>
      <w:r>
        <w:rPr>
          <w:sz w:val="20"/>
        </w:rPr>
        <w:t>the</w:t>
      </w:r>
      <w:r>
        <w:rPr>
          <w:spacing w:val="-12"/>
          <w:sz w:val="20"/>
        </w:rPr>
        <w:t xml:space="preserve"> </w:t>
      </w:r>
      <w:r>
        <w:rPr>
          <w:sz w:val="20"/>
        </w:rPr>
        <w:t>mandatory</w:t>
      </w:r>
      <w:r>
        <w:rPr>
          <w:spacing w:val="-12"/>
          <w:sz w:val="20"/>
        </w:rPr>
        <w:t xml:space="preserve"> </w:t>
      </w:r>
      <w:r>
        <w:rPr>
          <w:sz w:val="20"/>
        </w:rPr>
        <w:t>framework</w:t>
      </w:r>
      <w:r>
        <w:rPr>
          <w:spacing w:val="-12"/>
          <w:sz w:val="20"/>
        </w:rPr>
        <w:t xml:space="preserve"> </w:t>
      </w:r>
      <w:r>
        <w:rPr>
          <w:sz w:val="20"/>
        </w:rPr>
        <w:t>be</w:t>
      </w:r>
      <w:r>
        <w:rPr>
          <w:spacing w:val="-12"/>
          <w:sz w:val="20"/>
        </w:rPr>
        <w:t xml:space="preserve"> </w:t>
      </w:r>
      <w:r>
        <w:rPr>
          <w:sz w:val="20"/>
        </w:rPr>
        <w:t>amended</w:t>
      </w:r>
      <w:r>
        <w:rPr>
          <w:spacing w:val="-12"/>
          <w:sz w:val="20"/>
        </w:rPr>
        <w:t xml:space="preserve"> </w:t>
      </w:r>
      <w:r>
        <w:rPr>
          <w:sz w:val="20"/>
        </w:rPr>
        <w:t>to</w:t>
      </w:r>
      <w:r>
        <w:rPr>
          <w:spacing w:val="-12"/>
          <w:sz w:val="20"/>
        </w:rPr>
        <w:t xml:space="preserve"> </w:t>
      </w:r>
      <w:r>
        <w:rPr>
          <w:sz w:val="20"/>
        </w:rPr>
        <w:t>align</w:t>
      </w:r>
      <w:r>
        <w:rPr>
          <w:spacing w:val="-12"/>
          <w:sz w:val="20"/>
        </w:rPr>
        <w:t xml:space="preserve"> </w:t>
      </w:r>
      <w:r>
        <w:rPr>
          <w:sz w:val="20"/>
        </w:rPr>
        <w:t>with</w:t>
      </w:r>
      <w:r>
        <w:rPr>
          <w:spacing w:val="-12"/>
          <w:sz w:val="20"/>
        </w:rPr>
        <w:t xml:space="preserve"> </w:t>
      </w:r>
      <w:r>
        <w:rPr>
          <w:sz w:val="20"/>
        </w:rPr>
        <w:t>the</w:t>
      </w:r>
      <w:r>
        <w:rPr>
          <w:spacing w:val="-12"/>
          <w:sz w:val="20"/>
        </w:rPr>
        <w:t xml:space="preserve"> </w:t>
      </w:r>
      <w:r>
        <w:rPr>
          <w:sz w:val="20"/>
        </w:rPr>
        <w:t>Western</w:t>
      </w:r>
      <w:r>
        <w:rPr>
          <w:spacing w:val="-16"/>
          <w:sz w:val="20"/>
        </w:rPr>
        <w:t xml:space="preserve"> </w:t>
      </w:r>
      <w:r>
        <w:rPr>
          <w:sz w:val="20"/>
        </w:rPr>
        <w:t>Australian model</w:t>
      </w:r>
      <w:r>
        <w:rPr>
          <w:spacing w:val="-6"/>
          <w:sz w:val="20"/>
        </w:rPr>
        <w:t xml:space="preserve"> </w:t>
      </w:r>
      <w:r>
        <w:rPr>
          <w:sz w:val="20"/>
        </w:rPr>
        <w:t>(where</w:t>
      </w:r>
      <w:r>
        <w:rPr>
          <w:spacing w:val="-6"/>
          <w:sz w:val="20"/>
        </w:rPr>
        <w:t xml:space="preserve"> </w:t>
      </w:r>
      <w:r>
        <w:rPr>
          <w:sz w:val="20"/>
        </w:rPr>
        <w:t>health</w:t>
      </w:r>
      <w:r>
        <w:rPr>
          <w:spacing w:val="-6"/>
          <w:sz w:val="20"/>
        </w:rPr>
        <w:t xml:space="preserve"> </w:t>
      </w:r>
      <w:r>
        <w:rPr>
          <w:sz w:val="20"/>
        </w:rPr>
        <w:t>professionals</w:t>
      </w:r>
      <w:r>
        <w:rPr>
          <w:spacing w:val="-6"/>
          <w:sz w:val="20"/>
        </w:rPr>
        <w:t xml:space="preserve"> </w:t>
      </w:r>
      <w:r>
        <w:rPr>
          <w:sz w:val="20"/>
        </w:rPr>
        <w:t>are</w:t>
      </w:r>
      <w:r>
        <w:rPr>
          <w:spacing w:val="-6"/>
          <w:sz w:val="20"/>
        </w:rPr>
        <w:t xml:space="preserve"> </w:t>
      </w:r>
      <w:r>
        <w:rPr>
          <w:sz w:val="20"/>
        </w:rPr>
        <w:t>exempt</w:t>
      </w:r>
      <w:r>
        <w:rPr>
          <w:spacing w:val="-6"/>
          <w:sz w:val="20"/>
        </w:rPr>
        <w:t xml:space="preserve"> </w:t>
      </w:r>
      <w:r>
        <w:rPr>
          <w:sz w:val="20"/>
        </w:rPr>
        <w:t>from</w:t>
      </w:r>
      <w:r>
        <w:rPr>
          <w:spacing w:val="-6"/>
          <w:sz w:val="20"/>
        </w:rPr>
        <w:t xml:space="preserve"> </w:t>
      </w:r>
      <w:r>
        <w:rPr>
          <w:sz w:val="20"/>
        </w:rPr>
        <w:t>mandatory</w:t>
      </w:r>
      <w:r>
        <w:rPr>
          <w:spacing w:val="-6"/>
          <w:sz w:val="20"/>
        </w:rPr>
        <w:t xml:space="preserve"> </w:t>
      </w:r>
      <w:r>
        <w:rPr>
          <w:sz w:val="20"/>
        </w:rPr>
        <w:t>reporting</w:t>
      </w:r>
      <w:r>
        <w:rPr>
          <w:spacing w:val="-6"/>
          <w:sz w:val="20"/>
        </w:rPr>
        <w:t xml:space="preserve"> </w:t>
      </w:r>
      <w:r>
        <w:rPr>
          <w:sz w:val="20"/>
        </w:rPr>
        <w:t>obligations</w:t>
      </w:r>
      <w:r>
        <w:rPr>
          <w:spacing w:val="-6"/>
          <w:sz w:val="20"/>
        </w:rPr>
        <w:t xml:space="preserve"> </w:t>
      </w:r>
      <w:r>
        <w:rPr>
          <w:sz w:val="20"/>
        </w:rPr>
        <w:t>for</w:t>
      </w:r>
      <w:r>
        <w:rPr>
          <w:spacing w:val="-6"/>
          <w:sz w:val="20"/>
        </w:rPr>
        <w:t xml:space="preserve"> </w:t>
      </w:r>
      <w:r>
        <w:rPr>
          <w:sz w:val="20"/>
        </w:rPr>
        <w:t>practitioners and</w:t>
      </w:r>
      <w:r>
        <w:rPr>
          <w:spacing w:val="-14"/>
          <w:sz w:val="20"/>
        </w:rPr>
        <w:t xml:space="preserve"> </w:t>
      </w:r>
      <w:r>
        <w:rPr>
          <w:sz w:val="20"/>
        </w:rPr>
        <w:t>students</w:t>
      </w:r>
      <w:r>
        <w:rPr>
          <w:spacing w:val="-14"/>
          <w:sz w:val="20"/>
        </w:rPr>
        <w:t xml:space="preserve"> </w:t>
      </w:r>
      <w:r>
        <w:rPr>
          <w:sz w:val="20"/>
        </w:rPr>
        <w:t>in</w:t>
      </w:r>
      <w:r>
        <w:rPr>
          <w:spacing w:val="-14"/>
          <w:sz w:val="20"/>
        </w:rPr>
        <w:t xml:space="preserve"> </w:t>
      </w:r>
      <w:r>
        <w:rPr>
          <w:sz w:val="20"/>
        </w:rPr>
        <w:t>their</w:t>
      </w:r>
      <w:r>
        <w:rPr>
          <w:spacing w:val="-14"/>
          <w:sz w:val="20"/>
        </w:rPr>
        <w:t xml:space="preserve"> </w:t>
      </w:r>
      <w:r>
        <w:rPr>
          <w:sz w:val="20"/>
        </w:rPr>
        <w:t>care,</w:t>
      </w:r>
      <w:r>
        <w:rPr>
          <w:spacing w:val="-14"/>
          <w:sz w:val="20"/>
        </w:rPr>
        <w:t xml:space="preserve"> </w:t>
      </w:r>
      <w:r>
        <w:rPr>
          <w:sz w:val="20"/>
        </w:rPr>
        <w:t>but</w:t>
      </w:r>
      <w:r>
        <w:rPr>
          <w:spacing w:val="-14"/>
          <w:sz w:val="20"/>
        </w:rPr>
        <w:t xml:space="preserve"> </w:t>
      </w:r>
      <w:r>
        <w:rPr>
          <w:sz w:val="20"/>
        </w:rPr>
        <w:t>they</w:t>
      </w:r>
      <w:r>
        <w:rPr>
          <w:spacing w:val="-14"/>
          <w:sz w:val="20"/>
        </w:rPr>
        <w:t xml:space="preserve"> </w:t>
      </w:r>
      <w:r>
        <w:rPr>
          <w:sz w:val="20"/>
        </w:rPr>
        <w:t>may</w:t>
      </w:r>
      <w:r>
        <w:rPr>
          <w:spacing w:val="-14"/>
          <w:sz w:val="20"/>
        </w:rPr>
        <w:t xml:space="preserve"> </w:t>
      </w:r>
      <w:r>
        <w:rPr>
          <w:sz w:val="20"/>
        </w:rPr>
        <w:t>choose</w:t>
      </w:r>
      <w:r>
        <w:rPr>
          <w:spacing w:val="-14"/>
          <w:sz w:val="20"/>
        </w:rPr>
        <w:t xml:space="preserve"> </w:t>
      </w:r>
      <w:r>
        <w:rPr>
          <w:sz w:val="20"/>
        </w:rPr>
        <w:t>to</w:t>
      </w:r>
      <w:r>
        <w:rPr>
          <w:spacing w:val="-13"/>
          <w:sz w:val="20"/>
        </w:rPr>
        <w:t xml:space="preserve"> </w:t>
      </w:r>
      <w:r>
        <w:rPr>
          <w:sz w:val="20"/>
        </w:rPr>
        <w:t>make</w:t>
      </w:r>
      <w:r>
        <w:rPr>
          <w:spacing w:val="-14"/>
          <w:sz w:val="20"/>
        </w:rPr>
        <w:t xml:space="preserve"> </w:t>
      </w:r>
      <w:r>
        <w:rPr>
          <w:sz w:val="20"/>
        </w:rPr>
        <w:t>a</w:t>
      </w:r>
      <w:r>
        <w:rPr>
          <w:spacing w:val="-14"/>
          <w:sz w:val="20"/>
        </w:rPr>
        <w:t xml:space="preserve"> </w:t>
      </w:r>
      <w:r>
        <w:rPr>
          <w:sz w:val="20"/>
        </w:rPr>
        <w:t>voluntary</w:t>
      </w:r>
      <w:r>
        <w:rPr>
          <w:spacing w:val="-14"/>
          <w:sz w:val="20"/>
        </w:rPr>
        <w:t xml:space="preserve"> </w:t>
      </w:r>
      <w:r>
        <w:rPr>
          <w:sz w:val="20"/>
        </w:rPr>
        <w:t>notification</w:t>
      </w:r>
      <w:r>
        <w:rPr>
          <w:spacing w:val="-14"/>
          <w:sz w:val="20"/>
        </w:rPr>
        <w:t xml:space="preserve"> </w:t>
      </w:r>
      <w:r>
        <w:rPr>
          <w:sz w:val="20"/>
        </w:rPr>
        <w:t>to</w:t>
      </w:r>
      <w:r>
        <w:rPr>
          <w:spacing w:val="-14"/>
          <w:sz w:val="20"/>
        </w:rPr>
        <w:t xml:space="preserve"> </w:t>
      </w:r>
      <w:r>
        <w:rPr>
          <w:sz w:val="20"/>
        </w:rPr>
        <w:t>protect</w:t>
      </w:r>
      <w:r>
        <w:rPr>
          <w:spacing w:val="-14"/>
          <w:sz w:val="20"/>
        </w:rPr>
        <w:t xml:space="preserve"> </w:t>
      </w:r>
      <w:r>
        <w:rPr>
          <w:sz w:val="20"/>
        </w:rPr>
        <w:t>public</w:t>
      </w:r>
      <w:r>
        <w:rPr>
          <w:spacing w:val="-14"/>
          <w:sz w:val="20"/>
        </w:rPr>
        <w:t xml:space="preserve"> </w:t>
      </w:r>
      <w:r>
        <w:rPr>
          <w:sz w:val="20"/>
        </w:rPr>
        <w:t>safety).</w:t>
      </w:r>
    </w:p>
    <w:p w14:paraId="0B1F9A87" w14:textId="77777777" w:rsidR="00AC6F3C" w:rsidRDefault="00570E88">
      <w:pPr>
        <w:pStyle w:val="ListParagraph"/>
        <w:numPr>
          <w:ilvl w:val="0"/>
          <w:numId w:val="58"/>
        </w:numPr>
        <w:tabs>
          <w:tab w:val="left" w:pos="1155"/>
        </w:tabs>
        <w:spacing w:before="173"/>
        <w:ind w:hanging="340"/>
        <w:rPr>
          <w:sz w:val="20"/>
        </w:rPr>
      </w:pPr>
      <w:r>
        <w:rPr>
          <w:sz w:val="20"/>
        </w:rPr>
        <w:t>The</w:t>
      </w:r>
      <w:r>
        <w:rPr>
          <w:spacing w:val="-6"/>
          <w:sz w:val="20"/>
        </w:rPr>
        <w:t xml:space="preserve"> </w:t>
      </w:r>
      <w:r>
        <w:rPr>
          <w:sz w:val="20"/>
        </w:rPr>
        <w:t>QLS</w:t>
      </w:r>
      <w:r>
        <w:rPr>
          <w:spacing w:val="-3"/>
          <w:sz w:val="20"/>
        </w:rPr>
        <w:t xml:space="preserve"> </w:t>
      </w:r>
      <w:r>
        <w:rPr>
          <w:sz w:val="20"/>
        </w:rPr>
        <w:t>submission</w:t>
      </w:r>
      <w:r>
        <w:rPr>
          <w:spacing w:val="-3"/>
          <w:sz w:val="20"/>
        </w:rPr>
        <w:t xml:space="preserve"> </w:t>
      </w:r>
      <w:r>
        <w:rPr>
          <w:sz w:val="20"/>
        </w:rPr>
        <w:t>also</w:t>
      </w:r>
      <w:r>
        <w:rPr>
          <w:spacing w:val="-3"/>
          <w:sz w:val="20"/>
        </w:rPr>
        <w:t xml:space="preserve"> </w:t>
      </w:r>
      <w:r>
        <w:rPr>
          <w:sz w:val="20"/>
        </w:rPr>
        <w:t>pointed</w:t>
      </w:r>
      <w:r>
        <w:rPr>
          <w:spacing w:val="-3"/>
          <w:sz w:val="20"/>
        </w:rPr>
        <w:t xml:space="preserve"> </w:t>
      </w:r>
      <w:r>
        <w:rPr>
          <w:sz w:val="20"/>
        </w:rPr>
        <w:t>out</w:t>
      </w:r>
      <w:r>
        <w:rPr>
          <w:spacing w:val="-3"/>
          <w:sz w:val="20"/>
        </w:rPr>
        <w:t xml:space="preserve"> </w:t>
      </w:r>
      <w:r>
        <w:rPr>
          <w:sz w:val="20"/>
        </w:rPr>
        <w:t>the</w:t>
      </w:r>
      <w:r>
        <w:rPr>
          <w:spacing w:val="-3"/>
          <w:sz w:val="20"/>
        </w:rPr>
        <w:t xml:space="preserve"> </w:t>
      </w:r>
      <w:r>
        <w:rPr>
          <w:sz w:val="20"/>
        </w:rPr>
        <w:t>unintended</w:t>
      </w:r>
      <w:r>
        <w:rPr>
          <w:spacing w:val="-3"/>
          <w:sz w:val="20"/>
        </w:rPr>
        <w:t xml:space="preserve"> </w:t>
      </w:r>
      <w:r>
        <w:rPr>
          <w:sz w:val="20"/>
        </w:rPr>
        <w:t>negative</w:t>
      </w:r>
      <w:r>
        <w:rPr>
          <w:spacing w:val="-3"/>
          <w:sz w:val="20"/>
        </w:rPr>
        <w:t xml:space="preserve"> </w:t>
      </w:r>
      <w:r>
        <w:rPr>
          <w:sz w:val="20"/>
        </w:rPr>
        <w:t>consequences</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current</w:t>
      </w:r>
      <w:r>
        <w:rPr>
          <w:spacing w:val="-3"/>
          <w:sz w:val="20"/>
        </w:rPr>
        <w:t xml:space="preserve"> </w:t>
      </w:r>
      <w:proofErr w:type="gramStart"/>
      <w:r>
        <w:rPr>
          <w:spacing w:val="-4"/>
          <w:sz w:val="20"/>
        </w:rPr>
        <w:t>laws</w:t>
      </w:r>
      <w:proofErr w:type="gramEnd"/>
    </w:p>
    <w:p w14:paraId="5677F31A" w14:textId="77777777" w:rsidR="00AC6F3C" w:rsidRDefault="00570E88">
      <w:pPr>
        <w:pStyle w:val="BodyText"/>
        <w:spacing w:before="10"/>
        <w:ind w:left="1155"/>
      </w:pPr>
      <w:r>
        <w:t>are</w:t>
      </w:r>
      <w:r>
        <w:rPr>
          <w:spacing w:val="-4"/>
        </w:rPr>
        <w:t xml:space="preserve"> </w:t>
      </w:r>
      <w:r>
        <w:t>having</w:t>
      </w:r>
      <w:r>
        <w:rPr>
          <w:spacing w:val="-3"/>
        </w:rPr>
        <w:t xml:space="preserve"> </w:t>
      </w:r>
      <w:r>
        <w:t>on</w:t>
      </w:r>
      <w:r>
        <w:rPr>
          <w:spacing w:val="-3"/>
        </w:rPr>
        <w:t xml:space="preserve"> </w:t>
      </w:r>
      <w:r>
        <w:t>the</w:t>
      </w:r>
      <w:r>
        <w:rPr>
          <w:spacing w:val="-3"/>
        </w:rPr>
        <w:t xml:space="preserve"> </w:t>
      </w:r>
      <w:r>
        <w:t>medical</w:t>
      </w:r>
      <w:r>
        <w:rPr>
          <w:spacing w:val="-3"/>
        </w:rPr>
        <w:t xml:space="preserve"> </w:t>
      </w:r>
      <w:r>
        <w:rPr>
          <w:spacing w:val="-2"/>
        </w:rPr>
        <w:t>profession.</w:t>
      </w:r>
    </w:p>
    <w:p w14:paraId="52B5FFEA" w14:textId="77777777" w:rsidR="00AC6F3C" w:rsidRDefault="00AC6F3C">
      <w:pPr>
        <w:pStyle w:val="BodyText"/>
        <w:spacing w:before="9"/>
        <w:rPr>
          <w:sz w:val="31"/>
        </w:rPr>
      </w:pPr>
    </w:p>
    <w:p w14:paraId="2B279B30" w14:textId="77777777" w:rsidR="00AC6F3C" w:rsidRDefault="00570E88">
      <w:pPr>
        <w:spacing w:before="1"/>
        <w:ind w:left="815"/>
        <w:rPr>
          <w:b/>
          <w:sz w:val="26"/>
        </w:rPr>
      </w:pPr>
      <w:r>
        <w:rPr>
          <w:b/>
          <w:sz w:val="26"/>
        </w:rPr>
        <w:t xml:space="preserve">Industrial Law </w:t>
      </w:r>
      <w:r>
        <w:rPr>
          <w:b/>
          <w:spacing w:val="-2"/>
          <w:sz w:val="26"/>
        </w:rPr>
        <w:t>Committee</w:t>
      </w:r>
    </w:p>
    <w:p w14:paraId="2979387C" w14:textId="77777777" w:rsidR="00AC6F3C" w:rsidRDefault="00570E88">
      <w:pPr>
        <w:pStyle w:val="BodyText"/>
        <w:spacing w:before="167" w:line="249" w:lineRule="auto"/>
        <w:ind w:left="815" w:right="990"/>
      </w:pPr>
      <w:r>
        <w:t>During</w:t>
      </w:r>
      <w:r>
        <w:rPr>
          <w:spacing w:val="-4"/>
        </w:rPr>
        <w:t xml:space="preserve"> </w:t>
      </w:r>
      <w:r>
        <w:t>the</w:t>
      </w:r>
      <w:r>
        <w:rPr>
          <w:spacing w:val="-4"/>
        </w:rPr>
        <w:t xml:space="preserve"> </w:t>
      </w:r>
      <w:r>
        <w:t>2022-23</w:t>
      </w:r>
      <w:r>
        <w:rPr>
          <w:spacing w:val="-4"/>
        </w:rPr>
        <w:t xml:space="preserve"> </w:t>
      </w:r>
      <w:proofErr w:type="gramStart"/>
      <w:r>
        <w:t>financial</w:t>
      </w:r>
      <w:r>
        <w:rPr>
          <w:spacing w:val="-4"/>
        </w:rPr>
        <w:t xml:space="preserve"> </w:t>
      </w:r>
      <w:r>
        <w:t>year</w:t>
      </w:r>
      <w:proofErr w:type="gramEnd"/>
      <w:r>
        <w:t>,</w:t>
      </w:r>
      <w:r>
        <w:rPr>
          <w:spacing w:val="-4"/>
        </w:rPr>
        <w:t xml:space="preserve"> </w:t>
      </w:r>
      <w:r>
        <w:t>members</w:t>
      </w:r>
      <w:r>
        <w:rPr>
          <w:spacing w:val="-4"/>
        </w:rPr>
        <w:t xml:space="preserve"> </w:t>
      </w:r>
      <w:r>
        <w:t>of</w:t>
      </w:r>
      <w:r>
        <w:rPr>
          <w:spacing w:val="-4"/>
        </w:rPr>
        <w:t xml:space="preserve"> </w:t>
      </w:r>
      <w:r>
        <w:t>this</w:t>
      </w:r>
      <w:r>
        <w:rPr>
          <w:spacing w:val="-4"/>
        </w:rPr>
        <w:t xml:space="preserve"> </w:t>
      </w:r>
      <w:r>
        <w:t>Committee</w:t>
      </w:r>
      <w:r>
        <w:rPr>
          <w:spacing w:val="-4"/>
        </w:rPr>
        <w:t xml:space="preserve"> </w:t>
      </w:r>
      <w:r>
        <w:t>contributed</w:t>
      </w:r>
      <w:r>
        <w:rPr>
          <w:spacing w:val="-4"/>
        </w:rPr>
        <w:t xml:space="preserve"> </w:t>
      </w:r>
      <w:r>
        <w:t>to</w:t>
      </w:r>
      <w:r>
        <w:rPr>
          <w:spacing w:val="-4"/>
        </w:rPr>
        <w:t xml:space="preserve"> </w:t>
      </w:r>
      <w:r>
        <w:t>eight</w:t>
      </w:r>
      <w:r>
        <w:rPr>
          <w:spacing w:val="-4"/>
        </w:rPr>
        <w:t xml:space="preserve"> </w:t>
      </w:r>
      <w:r>
        <w:t>submissions in relation to the:</w:t>
      </w:r>
    </w:p>
    <w:p w14:paraId="2A78C1CB" w14:textId="77777777" w:rsidR="00AC6F3C" w:rsidRDefault="00570E88">
      <w:pPr>
        <w:pStyle w:val="ListParagraph"/>
        <w:numPr>
          <w:ilvl w:val="1"/>
          <w:numId w:val="58"/>
        </w:numPr>
        <w:tabs>
          <w:tab w:val="left" w:pos="1495"/>
        </w:tabs>
        <w:spacing w:before="172"/>
        <w:ind w:left="1495" w:hanging="340"/>
        <w:rPr>
          <w:sz w:val="20"/>
        </w:rPr>
      </w:pPr>
      <w:r>
        <w:rPr>
          <w:sz w:val="20"/>
        </w:rPr>
        <w:t>ALRC</w:t>
      </w:r>
      <w:r>
        <w:rPr>
          <w:spacing w:val="-12"/>
          <w:sz w:val="20"/>
        </w:rPr>
        <w:t xml:space="preserve"> </w:t>
      </w:r>
      <w:r>
        <w:rPr>
          <w:sz w:val="20"/>
        </w:rPr>
        <w:t>consultation</w:t>
      </w:r>
      <w:r>
        <w:rPr>
          <w:spacing w:val="-7"/>
          <w:sz w:val="20"/>
        </w:rPr>
        <w:t xml:space="preserve"> </w:t>
      </w:r>
      <w:r>
        <w:rPr>
          <w:sz w:val="20"/>
        </w:rPr>
        <w:t>paper,</w:t>
      </w:r>
      <w:r>
        <w:rPr>
          <w:spacing w:val="-7"/>
          <w:sz w:val="20"/>
        </w:rPr>
        <w:t xml:space="preserve"> </w:t>
      </w:r>
      <w:r>
        <w:rPr>
          <w:sz w:val="20"/>
        </w:rPr>
        <w:t>Religious</w:t>
      </w:r>
      <w:r>
        <w:rPr>
          <w:spacing w:val="-7"/>
          <w:sz w:val="20"/>
        </w:rPr>
        <w:t xml:space="preserve"> </w:t>
      </w:r>
      <w:r>
        <w:rPr>
          <w:sz w:val="20"/>
        </w:rPr>
        <w:t>Educational</w:t>
      </w:r>
      <w:r>
        <w:rPr>
          <w:spacing w:val="-7"/>
          <w:sz w:val="20"/>
        </w:rPr>
        <w:t xml:space="preserve"> </w:t>
      </w:r>
      <w:r>
        <w:rPr>
          <w:sz w:val="20"/>
        </w:rPr>
        <w:t>Institutions</w:t>
      </w:r>
      <w:r>
        <w:rPr>
          <w:spacing w:val="-8"/>
          <w:sz w:val="20"/>
        </w:rPr>
        <w:t xml:space="preserve"> </w:t>
      </w:r>
      <w:r>
        <w:rPr>
          <w:sz w:val="20"/>
        </w:rPr>
        <w:t>and</w:t>
      </w:r>
      <w:r>
        <w:rPr>
          <w:spacing w:val="-13"/>
          <w:sz w:val="20"/>
        </w:rPr>
        <w:t xml:space="preserve"> </w:t>
      </w:r>
      <w:r>
        <w:rPr>
          <w:sz w:val="20"/>
        </w:rPr>
        <w:t>Anti-discrimination</w:t>
      </w:r>
      <w:r>
        <w:rPr>
          <w:spacing w:val="-7"/>
          <w:sz w:val="20"/>
        </w:rPr>
        <w:t xml:space="preserve"> </w:t>
      </w:r>
      <w:r>
        <w:rPr>
          <w:spacing w:val="-2"/>
          <w:sz w:val="20"/>
        </w:rPr>
        <w:t>Laws.</w:t>
      </w:r>
    </w:p>
    <w:p w14:paraId="75AF4CEE" w14:textId="77777777" w:rsidR="00AC6F3C" w:rsidRDefault="00570E88">
      <w:pPr>
        <w:pStyle w:val="ListParagraph"/>
        <w:numPr>
          <w:ilvl w:val="1"/>
          <w:numId w:val="58"/>
        </w:numPr>
        <w:tabs>
          <w:tab w:val="left" w:pos="1495"/>
        </w:tabs>
        <w:ind w:left="1495" w:hanging="340"/>
        <w:rPr>
          <w:sz w:val="20"/>
        </w:rPr>
      </w:pPr>
      <w:r>
        <w:rPr>
          <w:sz w:val="20"/>
        </w:rPr>
        <w:t>Employment</w:t>
      </w:r>
      <w:r>
        <w:rPr>
          <w:spacing w:val="-3"/>
          <w:sz w:val="20"/>
        </w:rPr>
        <w:t xml:space="preserve"> </w:t>
      </w:r>
      <w:r>
        <w:rPr>
          <w:sz w:val="20"/>
        </w:rPr>
        <w:t>White</w:t>
      </w:r>
      <w:r>
        <w:rPr>
          <w:spacing w:val="-3"/>
          <w:sz w:val="20"/>
        </w:rPr>
        <w:t xml:space="preserve"> </w:t>
      </w:r>
      <w:r>
        <w:rPr>
          <w:sz w:val="20"/>
        </w:rPr>
        <w:t>Paper</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security,</w:t>
      </w:r>
      <w:r>
        <w:rPr>
          <w:spacing w:val="-3"/>
          <w:sz w:val="20"/>
        </w:rPr>
        <w:t xml:space="preserve"> </w:t>
      </w:r>
      <w:r>
        <w:rPr>
          <w:sz w:val="20"/>
        </w:rPr>
        <w:t>fair</w:t>
      </w:r>
      <w:r>
        <w:rPr>
          <w:spacing w:val="-3"/>
          <w:sz w:val="20"/>
        </w:rPr>
        <w:t xml:space="preserve"> </w:t>
      </w:r>
      <w:proofErr w:type="gramStart"/>
      <w:r>
        <w:rPr>
          <w:sz w:val="20"/>
        </w:rPr>
        <w:t>pay</w:t>
      </w:r>
      <w:proofErr w:type="gramEnd"/>
      <w:r>
        <w:rPr>
          <w:spacing w:val="-3"/>
          <w:sz w:val="20"/>
        </w:rPr>
        <w:t xml:space="preserve"> </w:t>
      </w:r>
      <w:r>
        <w:rPr>
          <w:sz w:val="20"/>
        </w:rPr>
        <w:t>and</w:t>
      </w:r>
      <w:r>
        <w:rPr>
          <w:spacing w:val="-3"/>
          <w:sz w:val="20"/>
        </w:rPr>
        <w:t xml:space="preserve"> </w:t>
      </w:r>
      <w:r>
        <w:rPr>
          <w:spacing w:val="-2"/>
          <w:sz w:val="20"/>
        </w:rPr>
        <w:t>conditions.</w:t>
      </w:r>
    </w:p>
    <w:p w14:paraId="61272B8A" w14:textId="77777777" w:rsidR="00AC6F3C" w:rsidRDefault="00570E88">
      <w:pPr>
        <w:pStyle w:val="ListParagraph"/>
        <w:numPr>
          <w:ilvl w:val="1"/>
          <w:numId w:val="58"/>
        </w:numPr>
        <w:tabs>
          <w:tab w:val="left" w:pos="1495"/>
        </w:tabs>
        <w:ind w:left="1495" w:hanging="340"/>
        <w:rPr>
          <w:sz w:val="20"/>
        </w:rPr>
      </w:pPr>
      <w:r>
        <w:rPr>
          <w:sz w:val="20"/>
        </w:rPr>
        <w:t>Industrial</w:t>
      </w:r>
      <w:r>
        <w:rPr>
          <w:spacing w:val="-4"/>
          <w:sz w:val="20"/>
        </w:rPr>
        <w:t xml:space="preserve"> </w:t>
      </w:r>
      <w:r>
        <w:rPr>
          <w:sz w:val="20"/>
        </w:rPr>
        <w:t>Relations</w:t>
      </w:r>
      <w:r>
        <w:rPr>
          <w:spacing w:val="-3"/>
          <w:sz w:val="20"/>
        </w:rPr>
        <w:t xml:space="preserve"> </w:t>
      </w:r>
      <w:r>
        <w:rPr>
          <w:sz w:val="20"/>
        </w:rPr>
        <w:t>and</w:t>
      </w:r>
      <w:r>
        <w:rPr>
          <w:spacing w:val="-4"/>
          <w:sz w:val="20"/>
        </w:rPr>
        <w:t xml:space="preserve"> </w:t>
      </w:r>
      <w:r>
        <w:rPr>
          <w:sz w:val="20"/>
        </w:rPr>
        <w:t>Other</w:t>
      </w:r>
      <w:r>
        <w:rPr>
          <w:spacing w:val="-3"/>
          <w:sz w:val="20"/>
        </w:rPr>
        <w:t xml:space="preserve"> </w:t>
      </w:r>
      <w:r>
        <w:rPr>
          <w:sz w:val="20"/>
        </w:rPr>
        <w:t>Legislation</w:t>
      </w:r>
      <w:r>
        <w:rPr>
          <w:spacing w:val="-14"/>
          <w:sz w:val="20"/>
        </w:rPr>
        <w:t xml:space="preserve"> </w:t>
      </w:r>
      <w:r>
        <w:rPr>
          <w:sz w:val="20"/>
        </w:rPr>
        <w:t>Amendment</w:t>
      </w:r>
      <w:r>
        <w:rPr>
          <w:spacing w:val="-4"/>
          <w:sz w:val="20"/>
        </w:rPr>
        <w:t xml:space="preserve"> </w:t>
      </w:r>
      <w:r>
        <w:rPr>
          <w:sz w:val="20"/>
        </w:rPr>
        <w:t>Bill</w:t>
      </w:r>
      <w:r>
        <w:rPr>
          <w:spacing w:val="-3"/>
          <w:sz w:val="20"/>
        </w:rPr>
        <w:t xml:space="preserve"> </w:t>
      </w:r>
      <w:r>
        <w:rPr>
          <w:sz w:val="20"/>
        </w:rPr>
        <w:t>2022</w:t>
      </w:r>
      <w:r>
        <w:rPr>
          <w:spacing w:val="-3"/>
          <w:sz w:val="20"/>
        </w:rPr>
        <w:t xml:space="preserve"> </w:t>
      </w:r>
      <w:r>
        <w:rPr>
          <w:spacing w:val="-2"/>
          <w:sz w:val="20"/>
        </w:rPr>
        <w:t>(Qld).</w:t>
      </w:r>
    </w:p>
    <w:p w14:paraId="36BE2852" w14:textId="77777777" w:rsidR="00AC6F3C" w:rsidRDefault="00570E88">
      <w:pPr>
        <w:pStyle w:val="ListParagraph"/>
        <w:numPr>
          <w:ilvl w:val="1"/>
          <w:numId w:val="58"/>
        </w:numPr>
        <w:tabs>
          <w:tab w:val="left" w:pos="1495"/>
        </w:tabs>
        <w:ind w:left="1495" w:hanging="340"/>
        <w:rPr>
          <w:sz w:val="20"/>
        </w:rPr>
      </w:pPr>
      <w:r>
        <w:rPr>
          <w:sz w:val="20"/>
        </w:rPr>
        <w:t>Fair</w:t>
      </w:r>
      <w:r>
        <w:rPr>
          <w:spacing w:val="-3"/>
          <w:sz w:val="20"/>
        </w:rPr>
        <w:t xml:space="preserve"> </w:t>
      </w:r>
      <w:r>
        <w:rPr>
          <w:sz w:val="20"/>
        </w:rPr>
        <w:t>Work</w:t>
      </w:r>
      <w:r>
        <w:rPr>
          <w:spacing w:val="-13"/>
          <w:sz w:val="20"/>
        </w:rPr>
        <w:t xml:space="preserve"> </w:t>
      </w:r>
      <w:r>
        <w:rPr>
          <w:sz w:val="20"/>
        </w:rPr>
        <w:t>Amendment</w:t>
      </w:r>
      <w:r>
        <w:rPr>
          <w:spacing w:val="-2"/>
          <w:sz w:val="20"/>
        </w:rPr>
        <w:t xml:space="preserve"> </w:t>
      </w:r>
      <w:r>
        <w:rPr>
          <w:sz w:val="20"/>
        </w:rPr>
        <w:t>(Paid</w:t>
      </w:r>
      <w:r>
        <w:rPr>
          <w:spacing w:val="-2"/>
          <w:sz w:val="20"/>
        </w:rPr>
        <w:t xml:space="preserve"> </w:t>
      </w:r>
      <w:r>
        <w:rPr>
          <w:sz w:val="20"/>
        </w:rPr>
        <w:t>Family</w:t>
      </w:r>
      <w:r>
        <w:rPr>
          <w:spacing w:val="-3"/>
          <w:sz w:val="20"/>
        </w:rPr>
        <w:t xml:space="preserve"> </w:t>
      </w:r>
      <w:r>
        <w:rPr>
          <w:sz w:val="20"/>
        </w:rPr>
        <w:t>and</w:t>
      </w:r>
      <w:r>
        <w:rPr>
          <w:spacing w:val="-2"/>
          <w:sz w:val="20"/>
        </w:rPr>
        <w:t xml:space="preserve"> </w:t>
      </w:r>
      <w:r>
        <w:rPr>
          <w:sz w:val="20"/>
        </w:rPr>
        <w:t>Domestic</w:t>
      </w:r>
      <w:r>
        <w:rPr>
          <w:spacing w:val="-2"/>
          <w:sz w:val="20"/>
        </w:rPr>
        <w:t xml:space="preserve"> </w:t>
      </w:r>
      <w:r>
        <w:rPr>
          <w:sz w:val="20"/>
        </w:rPr>
        <w:t>Violence</w:t>
      </w:r>
      <w:r>
        <w:rPr>
          <w:spacing w:val="-3"/>
          <w:sz w:val="20"/>
        </w:rPr>
        <w:t xml:space="preserve"> </w:t>
      </w:r>
      <w:r>
        <w:rPr>
          <w:sz w:val="20"/>
        </w:rPr>
        <w:t>Leave)</w:t>
      </w:r>
      <w:r>
        <w:rPr>
          <w:spacing w:val="-2"/>
          <w:sz w:val="20"/>
        </w:rPr>
        <w:t xml:space="preserve"> </w:t>
      </w:r>
      <w:r>
        <w:rPr>
          <w:sz w:val="20"/>
        </w:rPr>
        <w:t>Bill</w:t>
      </w:r>
      <w:r>
        <w:rPr>
          <w:spacing w:val="-2"/>
          <w:sz w:val="20"/>
        </w:rPr>
        <w:t xml:space="preserve"> 2022.</w:t>
      </w:r>
    </w:p>
    <w:p w14:paraId="381DADCD" w14:textId="77777777" w:rsidR="00AC6F3C" w:rsidRDefault="00570E88">
      <w:pPr>
        <w:pStyle w:val="ListParagraph"/>
        <w:numPr>
          <w:ilvl w:val="1"/>
          <w:numId w:val="58"/>
        </w:numPr>
        <w:tabs>
          <w:tab w:val="left" w:pos="1495"/>
        </w:tabs>
        <w:ind w:left="1495" w:hanging="340"/>
        <w:rPr>
          <w:sz w:val="20"/>
        </w:rPr>
      </w:pPr>
      <w:r>
        <w:rPr>
          <w:sz w:val="20"/>
        </w:rPr>
        <w:t>Paid</w:t>
      </w:r>
      <w:r>
        <w:rPr>
          <w:spacing w:val="-3"/>
          <w:sz w:val="20"/>
        </w:rPr>
        <w:t xml:space="preserve"> </w:t>
      </w:r>
      <w:r>
        <w:rPr>
          <w:sz w:val="20"/>
        </w:rPr>
        <w:t>non-lawyer</w:t>
      </w:r>
      <w:r>
        <w:rPr>
          <w:spacing w:val="-2"/>
          <w:sz w:val="20"/>
        </w:rPr>
        <w:t xml:space="preserve"> </w:t>
      </w:r>
      <w:r>
        <w:rPr>
          <w:sz w:val="20"/>
        </w:rPr>
        <w:t>advocates</w:t>
      </w:r>
      <w:r>
        <w:rPr>
          <w:spacing w:val="-2"/>
          <w:sz w:val="20"/>
        </w:rPr>
        <w:t xml:space="preserve"> </w:t>
      </w:r>
      <w:r>
        <w:rPr>
          <w:sz w:val="20"/>
        </w:rPr>
        <w:t>in</w:t>
      </w:r>
      <w:r>
        <w:rPr>
          <w:spacing w:val="-2"/>
          <w:sz w:val="20"/>
        </w:rPr>
        <w:t xml:space="preserve"> </w:t>
      </w:r>
      <w:r>
        <w:rPr>
          <w:sz w:val="20"/>
        </w:rPr>
        <w:t>industrial</w:t>
      </w:r>
      <w:r>
        <w:rPr>
          <w:spacing w:val="-2"/>
          <w:sz w:val="20"/>
        </w:rPr>
        <w:t xml:space="preserve"> </w:t>
      </w:r>
      <w:r>
        <w:rPr>
          <w:sz w:val="20"/>
        </w:rPr>
        <w:t>commissions</w:t>
      </w:r>
      <w:r>
        <w:rPr>
          <w:spacing w:val="-2"/>
          <w:sz w:val="20"/>
        </w:rPr>
        <w:t xml:space="preserve"> </w:t>
      </w:r>
      <w:r>
        <w:rPr>
          <w:sz w:val="20"/>
        </w:rPr>
        <w:t>and</w:t>
      </w:r>
      <w:r>
        <w:rPr>
          <w:spacing w:val="-2"/>
          <w:sz w:val="20"/>
        </w:rPr>
        <w:t xml:space="preserve"> tribunals.</w:t>
      </w:r>
    </w:p>
    <w:p w14:paraId="65A16D68" w14:textId="77777777" w:rsidR="00AC6F3C" w:rsidRDefault="00570E88">
      <w:pPr>
        <w:pStyle w:val="ListParagraph"/>
        <w:numPr>
          <w:ilvl w:val="1"/>
          <w:numId w:val="58"/>
        </w:numPr>
        <w:tabs>
          <w:tab w:val="left" w:pos="1495"/>
        </w:tabs>
        <w:ind w:left="1495" w:hanging="340"/>
        <w:rPr>
          <w:sz w:val="20"/>
        </w:rPr>
      </w:pPr>
      <w:r>
        <w:rPr>
          <w:sz w:val="20"/>
        </w:rPr>
        <w:t>Fair</w:t>
      </w:r>
      <w:r>
        <w:rPr>
          <w:spacing w:val="-2"/>
          <w:sz w:val="20"/>
        </w:rPr>
        <w:t xml:space="preserve"> </w:t>
      </w:r>
      <w:r>
        <w:rPr>
          <w:sz w:val="20"/>
        </w:rPr>
        <w:t>Work</w:t>
      </w:r>
      <w:r>
        <w:rPr>
          <w:spacing w:val="-12"/>
          <w:sz w:val="20"/>
        </w:rPr>
        <w:t xml:space="preserve"> </w:t>
      </w:r>
      <w:r>
        <w:rPr>
          <w:sz w:val="20"/>
        </w:rPr>
        <w:t>Amendment</w:t>
      </w:r>
      <w:r>
        <w:rPr>
          <w:spacing w:val="-2"/>
          <w:sz w:val="20"/>
        </w:rPr>
        <w:t xml:space="preserve"> </w:t>
      </w:r>
      <w:r>
        <w:rPr>
          <w:sz w:val="20"/>
        </w:rPr>
        <w:t>(Secure</w:t>
      </w:r>
      <w:r>
        <w:rPr>
          <w:spacing w:val="-2"/>
          <w:sz w:val="20"/>
        </w:rPr>
        <w:t xml:space="preserve"> </w:t>
      </w:r>
      <w:r>
        <w:rPr>
          <w:sz w:val="20"/>
        </w:rPr>
        <w:t>Jobs,</w:t>
      </w:r>
      <w:r>
        <w:rPr>
          <w:spacing w:val="-1"/>
          <w:sz w:val="20"/>
        </w:rPr>
        <w:t xml:space="preserve"> </w:t>
      </w:r>
      <w:r>
        <w:rPr>
          <w:sz w:val="20"/>
        </w:rPr>
        <w:t>Better</w:t>
      </w:r>
      <w:r>
        <w:rPr>
          <w:spacing w:val="-2"/>
          <w:sz w:val="20"/>
        </w:rPr>
        <w:t xml:space="preserve"> </w:t>
      </w:r>
      <w:r>
        <w:rPr>
          <w:sz w:val="20"/>
        </w:rPr>
        <w:t>Pay)</w:t>
      </w:r>
      <w:r>
        <w:rPr>
          <w:spacing w:val="-2"/>
          <w:sz w:val="20"/>
        </w:rPr>
        <w:t xml:space="preserve"> </w:t>
      </w:r>
      <w:r>
        <w:rPr>
          <w:sz w:val="20"/>
        </w:rPr>
        <w:t>Bill</w:t>
      </w:r>
      <w:r>
        <w:rPr>
          <w:spacing w:val="-1"/>
          <w:sz w:val="20"/>
        </w:rPr>
        <w:t xml:space="preserve"> </w:t>
      </w:r>
      <w:r>
        <w:rPr>
          <w:spacing w:val="-2"/>
          <w:sz w:val="20"/>
        </w:rPr>
        <w:t>2022.</w:t>
      </w:r>
    </w:p>
    <w:p w14:paraId="7CEF2A1C" w14:textId="77777777" w:rsidR="00AC6F3C" w:rsidRDefault="00570E88">
      <w:pPr>
        <w:pStyle w:val="ListParagraph"/>
        <w:numPr>
          <w:ilvl w:val="1"/>
          <w:numId w:val="58"/>
        </w:numPr>
        <w:tabs>
          <w:tab w:val="left" w:pos="1495"/>
        </w:tabs>
        <w:ind w:left="1495" w:hanging="340"/>
        <w:rPr>
          <w:sz w:val="20"/>
        </w:rPr>
      </w:pPr>
      <w:r>
        <w:rPr>
          <w:sz w:val="20"/>
        </w:rPr>
        <w:t>Consultation</w:t>
      </w:r>
      <w:r>
        <w:rPr>
          <w:spacing w:val="-5"/>
          <w:sz w:val="20"/>
        </w:rPr>
        <w:t xml:space="preserve"> </w:t>
      </w:r>
      <w:r>
        <w:rPr>
          <w:sz w:val="20"/>
        </w:rPr>
        <w:t>on</w:t>
      </w:r>
      <w:r>
        <w:rPr>
          <w:spacing w:val="-5"/>
          <w:sz w:val="20"/>
        </w:rPr>
        <w:t xml:space="preserve"> </w:t>
      </w:r>
      <w:r>
        <w:rPr>
          <w:sz w:val="20"/>
        </w:rPr>
        <w:t>surveillance</w:t>
      </w:r>
      <w:r>
        <w:rPr>
          <w:spacing w:val="-4"/>
          <w:sz w:val="20"/>
        </w:rPr>
        <w:t xml:space="preserve"> </w:t>
      </w:r>
      <w:r>
        <w:rPr>
          <w:sz w:val="20"/>
        </w:rPr>
        <w:t>reforms</w:t>
      </w:r>
      <w:r>
        <w:rPr>
          <w:spacing w:val="-5"/>
          <w:sz w:val="20"/>
        </w:rPr>
        <w:t xml:space="preserve"> </w:t>
      </w:r>
      <w:r>
        <w:rPr>
          <w:sz w:val="20"/>
        </w:rPr>
        <w:t>for</w:t>
      </w:r>
      <w:r>
        <w:rPr>
          <w:spacing w:val="-4"/>
          <w:sz w:val="20"/>
        </w:rPr>
        <w:t xml:space="preserve"> </w:t>
      </w:r>
      <w:r>
        <w:rPr>
          <w:spacing w:val="-2"/>
          <w:sz w:val="20"/>
        </w:rPr>
        <w:t>Queenslanders.</w:t>
      </w:r>
    </w:p>
    <w:p w14:paraId="7E2F739F" w14:textId="77777777" w:rsidR="00AC6F3C" w:rsidRDefault="00570E88">
      <w:pPr>
        <w:pStyle w:val="ListParagraph"/>
        <w:numPr>
          <w:ilvl w:val="0"/>
          <w:numId w:val="58"/>
        </w:numPr>
        <w:tabs>
          <w:tab w:val="left" w:pos="1155"/>
        </w:tabs>
        <w:ind w:hanging="340"/>
        <w:rPr>
          <w:sz w:val="20"/>
        </w:rPr>
      </w:pPr>
      <w:r>
        <w:rPr>
          <w:sz w:val="20"/>
        </w:rPr>
        <w:t>The</w:t>
      </w:r>
      <w:r>
        <w:rPr>
          <w:spacing w:val="-5"/>
          <w:sz w:val="20"/>
        </w:rPr>
        <w:t xml:space="preserve"> </w:t>
      </w:r>
      <w:r>
        <w:rPr>
          <w:sz w:val="20"/>
        </w:rPr>
        <w:t>Committee</w:t>
      </w:r>
      <w:r>
        <w:rPr>
          <w:spacing w:val="-4"/>
          <w:sz w:val="20"/>
        </w:rPr>
        <w:t xml:space="preserve"> </w:t>
      </w:r>
      <w:r>
        <w:rPr>
          <w:sz w:val="20"/>
        </w:rPr>
        <w:t>also</w:t>
      </w:r>
      <w:r>
        <w:rPr>
          <w:spacing w:val="-4"/>
          <w:sz w:val="20"/>
        </w:rPr>
        <w:t xml:space="preserve"> </w:t>
      </w:r>
      <w:r>
        <w:rPr>
          <w:sz w:val="20"/>
        </w:rPr>
        <w:t>engaged</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Office</w:t>
      </w:r>
      <w:r>
        <w:rPr>
          <w:spacing w:val="-5"/>
          <w:sz w:val="20"/>
        </w:rPr>
        <w:t xml:space="preserve"> </w:t>
      </w:r>
      <w:r>
        <w:rPr>
          <w:sz w:val="20"/>
        </w:rPr>
        <w:t>of</w:t>
      </w:r>
      <w:r>
        <w:rPr>
          <w:spacing w:val="-4"/>
          <w:sz w:val="20"/>
        </w:rPr>
        <w:t xml:space="preserve"> </w:t>
      </w:r>
      <w:r>
        <w:rPr>
          <w:sz w:val="20"/>
        </w:rPr>
        <w:t>Industrial</w:t>
      </w:r>
      <w:r>
        <w:rPr>
          <w:spacing w:val="-4"/>
          <w:sz w:val="20"/>
        </w:rPr>
        <w:t xml:space="preserve"> </w:t>
      </w:r>
      <w:r>
        <w:rPr>
          <w:sz w:val="20"/>
        </w:rPr>
        <w:t>Relations</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Queensland</w:t>
      </w:r>
      <w:r>
        <w:rPr>
          <w:spacing w:val="-5"/>
          <w:sz w:val="20"/>
        </w:rPr>
        <w:t xml:space="preserve"> </w:t>
      </w:r>
      <w:r>
        <w:rPr>
          <w:spacing w:val="-2"/>
          <w:sz w:val="20"/>
        </w:rPr>
        <w:t>Industrial</w:t>
      </w:r>
    </w:p>
    <w:p w14:paraId="7D7399E9" w14:textId="77777777" w:rsidR="00AC6F3C" w:rsidRDefault="00570E88">
      <w:pPr>
        <w:pStyle w:val="BodyText"/>
        <w:spacing w:before="10"/>
        <w:ind w:left="1155"/>
      </w:pPr>
      <w:r>
        <w:t>Court</w:t>
      </w:r>
      <w:r>
        <w:rPr>
          <w:spacing w:val="-4"/>
        </w:rPr>
        <w:t xml:space="preserve"> </w:t>
      </w:r>
      <w:r>
        <w:t>and</w:t>
      </w:r>
      <w:r>
        <w:rPr>
          <w:spacing w:val="-4"/>
        </w:rPr>
        <w:t xml:space="preserve"> </w:t>
      </w:r>
      <w:r>
        <w:t>Queensland</w:t>
      </w:r>
      <w:r>
        <w:rPr>
          <w:spacing w:val="-4"/>
        </w:rPr>
        <w:t xml:space="preserve"> </w:t>
      </w:r>
      <w:r>
        <w:t>Industrial</w:t>
      </w:r>
      <w:r>
        <w:rPr>
          <w:spacing w:val="-4"/>
        </w:rPr>
        <w:t xml:space="preserve"> </w:t>
      </w:r>
      <w:r>
        <w:t>Relations</w:t>
      </w:r>
      <w:r>
        <w:rPr>
          <w:spacing w:val="-4"/>
        </w:rPr>
        <w:t xml:space="preserve"> </w:t>
      </w:r>
      <w:r>
        <w:rPr>
          <w:spacing w:val="-2"/>
        </w:rPr>
        <w:t>Commission.</w:t>
      </w:r>
    </w:p>
    <w:p w14:paraId="56E48949" w14:textId="77777777" w:rsidR="00AC6F3C" w:rsidRDefault="00570E88">
      <w:pPr>
        <w:pStyle w:val="ListParagraph"/>
        <w:numPr>
          <w:ilvl w:val="0"/>
          <w:numId w:val="58"/>
        </w:numPr>
        <w:tabs>
          <w:tab w:val="left" w:pos="1155"/>
        </w:tabs>
        <w:spacing w:line="249" w:lineRule="auto"/>
        <w:ind w:right="378"/>
        <w:rPr>
          <w:sz w:val="20"/>
        </w:rPr>
      </w:pPr>
      <w:r>
        <w:rPr>
          <w:sz w:val="20"/>
        </w:rPr>
        <w:t>The</w:t>
      </w:r>
      <w:r>
        <w:rPr>
          <w:spacing w:val="-3"/>
          <w:sz w:val="20"/>
        </w:rPr>
        <w:t xml:space="preserve"> </w:t>
      </w:r>
      <w:r>
        <w:rPr>
          <w:sz w:val="20"/>
        </w:rPr>
        <w:t>Committee</w:t>
      </w:r>
      <w:r>
        <w:rPr>
          <w:spacing w:val="-3"/>
          <w:sz w:val="20"/>
        </w:rPr>
        <w:t xml:space="preserve"> </w:t>
      </w:r>
      <w:r>
        <w:rPr>
          <w:sz w:val="20"/>
        </w:rPr>
        <w:t>provided</w:t>
      </w:r>
      <w:r>
        <w:rPr>
          <w:spacing w:val="-3"/>
          <w:sz w:val="20"/>
        </w:rPr>
        <w:t xml:space="preserve"> </w:t>
      </w:r>
      <w:r>
        <w:rPr>
          <w:sz w:val="20"/>
        </w:rPr>
        <w:t>advice</w:t>
      </w:r>
      <w:r>
        <w:rPr>
          <w:spacing w:val="-3"/>
          <w:sz w:val="20"/>
        </w:rPr>
        <w:t xml:space="preserve"> </w:t>
      </w:r>
      <w:r>
        <w:rPr>
          <w:sz w:val="20"/>
        </w:rPr>
        <w:t>and</w:t>
      </w:r>
      <w:r>
        <w:rPr>
          <w:spacing w:val="-3"/>
          <w:sz w:val="20"/>
        </w:rPr>
        <w:t xml:space="preserve"> </w:t>
      </w:r>
      <w:r>
        <w:rPr>
          <w:sz w:val="20"/>
        </w:rPr>
        <w:t>updates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professions</w:t>
      </w:r>
      <w:r>
        <w:rPr>
          <w:spacing w:val="-3"/>
          <w:sz w:val="20"/>
        </w:rPr>
        <w:t xml:space="preserve"> </w:t>
      </w:r>
      <w:r>
        <w:rPr>
          <w:sz w:val="20"/>
        </w:rPr>
        <w:t>including</w:t>
      </w:r>
      <w:r>
        <w:rPr>
          <w:spacing w:val="-3"/>
          <w:sz w:val="20"/>
        </w:rPr>
        <w:t xml:space="preserve"> </w:t>
      </w:r>
      <w:r>
        <w:rPr>
          <w:sz w:val="20"/>
        </w:rPr>
        <w:t>in</w:t>
      </w:r>
      <w:r>
        <w:rPr>
          <w:spacing w:val="-3"/>
          <w:sz w:val="20"/>
        </w:rPr>
        <w:t xml:space="preserve"> </w:t>
      </w:r>
      <w:r>
        <w:rPr>
          <w:sz w:val="20"/>
        </w:rPr>
        <w:t>respect</w:t>
      </w:r>
      <w:r>
        <w:rPr>
          <w:spacing w:val="-3"/>
          <w:sz w:val="20"/>
        </w:rPr>
        <w:t xml:space="preserve"> </w:t>
      </w:r>
      <w:r>
        <w:rPr>
          <w:sz w:val="20"/>
        </w:rPr>
        <w:t>of</w:t>
      </w:r>
      <w:r>
        <w:rPr>
          <w:spacing w:val="-3"/>
          <w:sz w:val="20"/>
        </w:rPr>
        <w:t xml:space="preserve"> </w:t>
      </w:r>
      <w:r>
        <w:rPr>
          <w:sz w:val="20"/>
        </w:rPr>
        <w:t xml:space="preserve">employment issues in rural, </w:t>
      </w:r>
      <w:proofErr w:type="gramStart"/>
      <w:r>
        <w:rPr>
          <w:sz w:val="20"/>
        </w:rPr>
        <w:t>regional</w:t>
      </w:r>
      <w:proofErr w:type="gramEnd"/>
      <w:r>
        <w:rPr>
          <w:sz w:val="20"/>
        </w:rPr>
        <w:t xml:space="preserve"> and remote law firms.</w:t>
      </w:r>
    </w:p>
    <w:p w14:paraId="1873A949" w14:textId="77777777" w:rsidR="00AC6F3C" w:rsidRDefault="00570E88">
      <w:pPr>
        <w:pStyle w:val="ListParagraph"/>
        <w:numPr>
          <w:ilvl w:val="0"/>
          <w:numId w:val="58"/>
        </w:numPr>
        <w:tabs>
          <w:tab w:val="left" w:pos="1155"/>
        </w:tabs>
        <w:spacing w:before="172" w:line="249" w:lineRule="auto"/>
        <w:ind w:right="414"/>
        <w:rPr>
          <w:sz w:val="20"/>
        </w:rPr>
      </w:pPr>
      <w:r>
        <w:rPr>
          <w:sz w:val="20"/>
        </w:rPr>
        <w:t>The</w:t>
      </w:r>
      <w:r>
        <w:rPr>
          <w:spacing w:val="-3"/>
          <w:sz w:val="20"/>
        </w:rPr>
        <w:t xml:space="preserve"> </w:t>
      </w:r>
      <w:r>
        <w:rPr>
          <w:sz w:val="20"/>
        </w:rPr>
        <w:t>Committee</w:t>
      </w:r>
      <w:r>
        <w:rPr>
          <w:spacing w:val="-3"/>
          <w:sz w:val="20"/>
        </w:rPr>
        <w:t xml:space="preserve"> </w:t>
      </w:r>
      <w:r>
        <w:rPr>
          <w:sz w:val="20"/>
        </w:rPr>
        <w:t>wrote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Commissioner</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Queensland</w:t>
      </w:r>
      <w:r>
        <w:rPr>
          <w:spacing w:val="-3"/>
          <w:sz w:val="20"/>
        </w:rPr>
        <w:t xml:space="preserve"> </w:t>
      </w:r>
      <w:r>
        <w:rPr>
          <w:sz w:val="20"/>
        </w:rPr>
        <w:t>Human</w:t>
      </w:r>
      <w:r>
        <w:rPr>
          <w:spacing w:val="-3"/>
          <w:sz w:val="20"/>
        </w:rPr>
        <w:t xml:space="preserve"> </w:t>
      </w:r>
      <w:r>
        <w:rPr>
          <w:sz w:val="20"/>
        </w:rPr>
        <w:t>Rights</w:t>
      </w:r>
      <w:r>
        <w:rPr>
          <w:spacing w:val="-3"/>
          <w:sz w:val="20"/>
        </w:rPr>
        <w:t xml:space="preserve"> </w:t>
      </w:r>
      <w:r>
        <w:rPr>
          <w:sz w:val="20"/>
        </w:rPr>
        <w:t>Commission</w:t>
      </w:r>
      <w:r>
        <w:rPr>
          <w:spacing w:val="-3"/>
          <w:sz w:val="20"/>
        </w:rPr>
        <w:t xml:space="preserve"> </w:t>
      </w:r>
      <w:r>
        <w:rPr>
          <w:sz w:val="20"/>
        </w:rPr>
        <w:t xml:space="preserve">seeking to meet to discuss the role of representatives at conciliation conferences facilitated by the QHRC. Members raised the particular concern of the bifurcation of instructing solicitors and counsel as an alternative to </w:t>
      </w:r>
      <w:proofErr w:type="gramStart"/>
      <w:r>
        <w:rPr>
          <w:sz w:val="20"/>
        </w:rPr>
        <w:t>permitted</w:t>
      </w:r>
      <w:proofErr w:type="gramEnd"/>
      <w:r>
        <w:rPr>
          <w:sz w:val="20"/>
        </w:rPr>
        <w:t xml:space="preserve"> an instructing solicitor and counsel to represent a complainant together.</w:t>
      </w:r>
    </w:p>
    <w:p w14:paraId="28322159" w14:textId="77777777" w:rsidR="00AC6F3C" w:rsidRDefault="00AC6F3C">
      <w:pPr>
        <w:spacing w:line="249" w:lineRule="auto"/>
        <w:rPr>
          <w:sz w:val="20"/>
        </w:rPr>
        <w:sectPr w:rsidR="00AC6F3C">
          <w:headerReference w:type="default" r:id="rId90"/>
          <w:footerReference w:type="default" r:id="rId91"/>
          <w:pgSz w:w="11910" w:h="16840"/>
          <w:pgMar w:top="2140" w:right="1160" w:bottom="520" w:left="460" w:header="1230" w:footer="336" w:gutter="0"/>
          <w:cols w:space="720"/>
        </w:sectPr>
      </w:pPr>
    </w:p>
    <w:p w14:paraId="26362648" w14:textId="77777777" w:rsidR="00AC6F3C" w:rsidRDefault="00570E88">
      <w:pPr>
        <w:pStyle w:val="ListParagraph"/>
        <w:numPr>
          <w:ilvl w:val="0"/>
          <w:numId w:val="58"/>
        </w:numPr>
        <w:tabs>
          <w:tab w:val="left" w:pos="1153"/>
          <w:tab w:val="left" w:pos="1155"/>
        </w:tabs>
        <w:spacing w:before="167" w:line="249" w:lineRule="auto"/>
        <w:ind w:right="371"/>
        <w:jc w:val="both"/>
        <w:rPr>
          <w:sz w:val="20"/>
        </w:rPr>
      </w:pPr>
      <w:r>
        <w:rPr>
          <w:sz w:val="20"/>
        </w:rPr>
        <w:lastRenderedPageBreak/>
        <w:t>During</w:t>
      </w:r>
      <w:r>
        <w:rPr>
          <w:spacing w:val="-2"/>
          <w:sz w:val="20"/>
        </w:rPr>
        <w:t xml:space="preserve"> </w:t>
      </w:r>
      <w:r>
        <w:rPr>
          <w:sz w:val="20"/>
        </w:rPr>
        <w:t>the</w:t>
      </w:r>
      <w:r>
        <w:rPr>
          <w:spacing w:val="-2"/>
          <w:sz w:val="20"/>
        </w:rPr>
        <w:t xml:space="preserve"> </w:t>
      </w:r>
      <w:r>
        <w:rPr>
          <w:sz w:val="20"/>
        </w:rPr>
        <w:t>2021-22</w:t>
      </w:r>
      <w:r>
        <w:rPr>
          <w:spacing w:val="-2"/>
          <w:sz w:val="20"/>
        </w:rPr>
        <w:t xml:space="preserve"> </w:t>
      </w:r>
      <w:proofErr w:type="gramStart"/>
      <w:r>
        <w:rPr>
          <w:sz w:val="20"/>
        </w:rPr>
        <w:t>financial</w:t>
      </w:r>
      <w:r>
        <w:rPr>
          <w:spacing w:val="-2"/>
          <w:sz w:val="20"/>
        </w:rPr>
        <w:t xml:space="preserve"> </w:t>
      </w:r>
      <w:r>
        <w:rPr>
          <w:sz w:val="20"/>
        </w:rPr>
        <w:t>year</w:t>
      </w:r>
      <w:proofErr w:type="gramEnd"/>
      <w:r>
        <w:rPr>
          <w:sz w:val="20"/>
        </w:rPr>
        <w:t>,</w:t>
      </w:r>
      <w:r>
        <w:rPr>
          <w:spacing w:val="-2"/>
          <w:sz w:val="20"/>
        </w:rPr>
        <w:t xml:space="preserve"> </w:t>
      </w:r>
      <w:r>
        <w:rPr>
          <w:sz w:val="20"/>
        </w:rPr>
        <w:t>this</w:t>
      </w:r>
      <w:r>
        <w:rPr>
          <w:spacing w:val="-2"/>
          <w:sz w:val="20"/>
        </w:rPr>
        <w:t xml:space="preserve"> </w:t>
      </w:r>
      <w:r>
        <w:rPr>
          <w:sz w:val="20"/>
        </w:rPr>
        <w:t>Committee,</w:t>
      </w:r>
      <w:r>
        <w:rPr>
          <w:spacing w:val="-2"/>
          <w:sz w:val="20"/>
        </w:rPr>
        <w:t xml:space="preserve"> </w:t>
      </w:r>
      <w:r>
        <w:rPr>
          <w:sz w:val="20"/>
        </w:rPr>
        <w:t>which</w:t>
      </w:r>
      <w:r>
        <w:rPr>
          <w:spacing w:val="-2"/>
          <w:sz w:val="20"/>
        </w:rPr>
        <w:t xml:space="preserve"> </w:t>
      </w:r>
      <w:r>
        <w:rPr>
          <w:sz w:val="20"/>
        </w:rPr>
        <w:t>also</w:t>
      </w:r>
      <w:r>
        <w:rPr>
          <w:spacing w:val="-2"/>
          <w:sz w:val="20"/>
        </w:rPr>
        <w:t xml:space="preserve"> </w:t>
      </w:r>
      <w:r>
        <w:rPr>
          <w:sz w:val="20"/>
        </w:rPr>
        <w:t>sits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Queensland</w:t>
      </w:r>
      <w:r>
        <w:rPr>
          <w:spacing w:val="-2"/>
          <w:sz w:val="20"/>
        </w:rPr>
        <w:t xml:space="preserve"> </w:t>
      </w:r>
      <w:r>
        <w:rPr>
          <w:sz w:val="20"/>
        </w:rPr>
        <w:t>branch</w:t>
      </w:r>
      <w:r>
        <w:rPr>
          <w:spacing w:val="-2"/>
          <w:sz w:val="20"/>
        </w:rPr>
        <w:t xml:space="preserve"> </w:t>
      </w:r>
      <w:r>
        <w:rPr>
          <w:sz w:val="20"/>
        </w:rPr>
        <w:t>of</w:t>
      </w:r>
      <w:r>
        <w:rPr>
          <w:spacing w:val="-2"/>
          <w:sz w:val="20"/>
        </w:rPr>
        <w:t xml:space="preserve"> </w:t>
      </w:r>
      <w:r>
        <w:rPr>
          <w:sz w:val="20"/>
        </w:rPr>
        <w:t>the Law</w:t>
      </w:r>
      <w:r>
        <w:rPr>
          <w:spacing w:val="-4"/>
          <w:sz w:val="20"/>
        </w:rPr>
        <w:t xml:space="preserve"> </w:t>
      </w:r>
      <w:r>
        <w:rPr>
          <w:sz w:val="20"/>
        </w:rPr>
        <w:t>Council</w:t>
      </w:r>
      <w:r>
        <w:rPr>
          <w:spacing w:val="-4"/>
          <w:sz w:val="20"/>
        </w:rPr>
        <w:t xml:space="preserve"> </w:t>
      </w:r>
      <w:r>
        <w:rPr>
          <w:sz w:val="20"/>
        </w:rPr>
        <w:t>of</w:t>
      </w:r>
      <w:r>
        <w:rPr>
          <w:spacing w:val="-14"/>
          <w:sz w:val="20"/>
        </w:rPr>
        <w:t xml:space="preserve"> </w:t>
      </w:r>
      <w:r>
        <w:rPr>
          <w:sz w:val="20"/>
        </w:rPr>
        <w:t>Australia’s</w:t>
      </w:r>
      <w:r>
        <w:rPr>
          <w:spacing w:val="-3"/>
          <w:sz w:val="20"/>
        </w:rPr>
        <w:t xml:space="preserve"> </w:t>
      </w:r>
      <w:r>
        <w:rPr>
          <w:sz w:val="20"/>
        </w:rPr>
        <w:t>national</w:t>
      </w:r>
      <w:r>
        <w:rPr>
          <w:spacing w:val="-4"/>
          <w:sz w:val="20"/>
        </w:rPr>
        <w:t xml:space="preserve"> </w:t>
      </w:r>
      <w:r>
        <w:rPr>
          <w:sz w:val="20"/>
        </w:rPr>
        <w:t>committee,</w:t>
      </w:r>
      <w:r>
        <w:rPr>
          <w:spacing w:val="-4"/>
          <w:sz w:val="20"/>
        </w:rPr>
        <w:t xml:space="preserve"> </w:t>
      </w:r>
      <w:r>
        <w:rPr>
          <w:sz w:val="20"/>
        </w:rPr>
        <w:t>contributed</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submissions,</w:t>
      </w:r>
      <w:r>
        <w:rPr>
          <w:spacing w:val="-4"/>
          <w:sz w:val="20"/>
        </w:rPr>
        <w:t xml:space="preserve"> </w:t>
      </w:r>
      <w:r>
        <w:rPr>
          <w:sz w:val="20"/>
        </w:rPr>
        <w:t>stakeholder engagements and education events.</w:t>
      </w:r>
    </w:p>
    <w:p w14:paraId="06674E8F" w14:textId="77777777" w:rsidR="00AC6F3C" w:rsidRDefault="00570E88">
      <w:pPr>
        <w:pStyle w:val="ListParagraph"/>
        <w:numPr>
          <w:ilvl w:val="0"/>
          <w:numId w:val="58"/>
        </w:numPr>
        <w:tabs>
          <w:tab w:val="left" w:pos="1155"/>
        </w:tabs>
        <w:spacing w:before="173" w:line="249" w:lineRule="auto"/>
        <w:ind w:right="434"/>
        <w:rPr>
          <w:sz w:val="20"/>
        </w:rPr>
      </w:pPr>
      <w:r>
        <w:rPr>
          <w:sz w:val="20"/>
        </w:rPr>
        <w:t>The</w:t>
      </w:r>
      <w:r>
        <w:rPr>
          <w:spacing w:val="-3"/>
          <w:sz w:val="20"/>
        </w:rPr>
        <w:t xml:space="preserve"> </w:t>
      </w:r>
      <w:r>
        <w:rPr>
          <w:sz w:val="20"/>
        </w:rPr>
        <w:t>Committee</w:t>
      </w:r>
      <w:r>
        <w:rPr>
          <w:spacing w:val="-3"/>
          <w:sz w:val="20"/>
        </w:rPr>
        <w:t xml:space="preserve"> </w:t>
      </w:r>
      <w:r>
        <w:rPr>
          <w:sz w:val="20"/>
        </w:rPr>
        <w:t>has</w:t>
      </w:r>
      <w:r>
        <w:rPr>
          <w:spacing w:val="-3"/>
          <w:sz w:val="20"/>
        </w:rPr>
        <w:t xml:space="preserve"> </w:t>
      </w:r>
      <w:r>
        <w:rPr>
          <w:sz w:val="20"/>
        </w:rPr>
        <w:t>also</w:t>
      </w:r>
      <w:r>
        <w:rPr>
          <w:spacing w:val="-3"/>
          <w:sz w:val="20"/>
        </w:rPr>
        <w:t xml:space="preserve"> </w:t>
      </w:r>
      <w:r>
        <w:rPr>
          <w:sz w:val="20"/>
        </w:rPr>
        <w:t>engaged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Federal</w:t>
      </w:r>
      <w:r>
        <w:rPr>
          <w:spacing w:val="-3"/>
          <w:sz w:val="20"/>
        </w:rPr>
        <w:t xml:space="preserve"> </w:t>
      </w:r>
      <w:r>
        <w:rPr>
          <w:sz w:val="20"/>
        </w:rPr>
        <w:t>Court</w:t>
      </w:r>
      <w:r>
        <w:rPr>
          <w:spacing w:val="-3"/>
          <w:sz w:val="20"/>
        </w:rPr>
        <w:t xml:space="preserve"> </w:t>
      </w:r>
      <w:r>
        <w:rPr>
          <w:sz w:val="20"/>
        </w:rPr>
        <w:t>of</w:t>
      </w:r>
      <w:r>
        <w:rPr>
          <w:spacing w:val="-14"/>
          <w:sz w:val="20"/>
        </w:rPr>
        <w:t xml:space="preserve"> </w:t>
      </w:r>
      <w:r>
        <w:rPr>
          <w:sz w:val="20"/>
        </w:rPr>
        <w:t>Australia</w:t>
      </w:r>
      <w:r>
        <w:rPr>
          <w:spacing w:val="-3"/>
          <w:sz w:val="20"/>
        </w:rPr>
        <w:t xml:space="preserve"> </w:t>
      </w:r>
      <w:r>
        <w:rPr>
          <w:sz w:val="20"/>
        </w:rPr>
        <w:t>and</w:t>
      </w:r>
      <w:r>
        <w:rPr>
          <w:spacing w:val="-3"/>
          <w:sz w:val="20"/>
        </w:rPr>
        <w:t xml:space="preserve"> </w:t>
      </w:r>
      <w:r>
        <w:rPr>
          <w:sz w:val="20"/>
        </w:rPr>
        <w:t>Commonwealth</w:t>
      </w:r>
      <w:r>
        <w:rPr>
          <w:spacing w:val="-14"/>
          <w:sz w:val="20"/>
        </w:rPr>
        <w:t xml:space="preserve"> </w:t>
      </w:r>
      <w:r>
        <w:rPr>
          <w:sz w:val="20"/>
        </w:rPr>
        <w:t>Attorney General’s Department and, at its regular meetings, engages with representatives from</w:t>
      </w:r>
      <w:r>
        <w:rPr>
          <w:spacing w:val="-2"/>
          <w:sz w:val="20"/>
        </w:rPr>
        <w:t xml:space="preserve"> </w:t>
      </w:r>
      <w:r>
        <w:rPr>
          <w:sz w:val="20"/>
        </w:rPr>
        <w:t>ASIC and AFSA</w:t>
      </w:r>
      <w:r>
        <w:rPr>
          <w:spacing w:val="-3"/>
          <w:sz w:val="20"/>
        </w:rPr>
        <w:t xml:space="preserve"> </w:t>
      </w:r>
      <w:r>
        <w:rPr>
          <w:sz w:val="20"/>
        </w:rPr>
        <w:t xml:space="preserve">who speak to matters of importance to those </w:t>
      </w:r>
      <w:proofErr w:type="spellStart"/>
      <w:r>
        <w:rPr>
          <w:sz w:val="20"/>
        </w:rPr>
        <w:t>organisations</w:t>
      </w:r>
      <w:proofErr w:type="spellEnd"/>
      <w:r>
        <w:rPr>
          <w:sz w:val="20"/>
        </w:rPr>
        <w:t xml:space="preserve"> and market developments.</w:t>
      </w:r>
    </w:p>
    <w:p w14:paraId="443D727B" w14:textId="77777777" w:rsidR="00AC6F3C" w:rsidRDefault="00AC6F3C">
      <w:pPr>
        <w:pStyle w:val="BodyText"/>
        <w:spacing w:before="1"/>
        <w:rPr>
          <w:sz w:val="31"/>
        </w:rPr>
      </w:pPr>
    </w:p>
    <w:p w14:paraId="045DAACF" w14:textId="77777777" w:rsidR="00AC6F3C" w:rsidRDefault="00570E88">
      <w:pPr>
        <w:ind w:left="815"/>
        <w:rPr>
          <w:b/>
          <w:sz w:val="26"/>
        </w:rPr>
      </w:pPr>
      <w:r>
        <w:rPr>
          <w:b/>
          <w:sz w:val="26"/>
        </w:rPr>
        <w:t xml:space="preserve">Innovation Law </w:t>
      </w:r>
      <w:r>
        <w:rPr>
          <w:b/>
          <w:spacing w:val="-2"/>
          <w:sz w:val="26"/>
        </w:rPr>
        <w:t>Committee</w:t>
      </w:r>
    </w:p>
    <w:p w14:paraId="186E7DAD" w14:textId="77777777" w:rsidR="00AC6F3C" w:rsidRDefault="00570E88">
      <w:pPr>
        <w:pStyle w:val="BodyText"/>
        <w:spacing w:before="168" w:line="249" w:lineRule="auto"/>
        <w:ind w:left="815" w:right="234"/>
      </w:pPr>
      <w:r>
        <w:rPr>
          <w:spacing w:val="-2"/>
        </w:rPr>
        <w:t>The</w:t>
      </w:r>
      <w:r>
        <w:rPr>
          <w:spacing w:val="-5"/>
        </w:rPr>
        <w:t xml:space="preserve"> </w:t>
      </w:r>
      <w:r>
        <w:rPr>
          <w:spacing w:val="-2"/>
        </w:rPr>
        <w:t>QLS</w:t>
      </w:r>
      <w:r>
        <w:rPr>
          <w:spacing w:val="-5"/>
        </w:rPr>
        <w:t xml:space="preserve"> </w:t>
      </w:r>
      <w:r>
        <w:rPr>
          <w:spacing w:val="-2"/>
        </w:rPr>
        <w:t>Innovation</w:t>
      </w:r>
      <w:r>
        <w:rPr>
          <w:spacing w:val="-5"/>
        </w:rPr>
        <w:t xml:space="preserve"> </w:t>
      </w:r>
      <w:r>
        <w:rPr>
          <w:spacing w:val="-2"/>
        </w:rPr>
        <w:t>Committee</w:t>
      </w:r>
      <w:r>
        <w:rPr>
          <w:spacing w:val="-5"/>
        </w:rPr>
        <w:t xml:space="preserve"> </w:t>
      </w:r>
      <w:r>
        <w:rPr>
          <w:spacing w:val="-2"/>
        </w:rPr>
        <w:t>engaged</w:t>
      </w:r>
      <w:r>
        <w:rPr>
          <w:spacing w:val="-5"/>
        </w:rPr>
        <w:t xml:space="preserve"> </w:t>
      </w:r>
      <w:r>
        <w:rPr>
          <w:spacing w:val="-2"/>
        </w:rPr>
        <w:t>with</w:t>
      </w:r>
      <w:r>
        <w:rPr>
          <w:spacing w:val="-5"/>
        </w:rPr>
        <w:t xml:space="preserve"> </w:t>
      </w:r>
      <w:r>
        <w:rPr>
          <w:spacing w:val="-2"/>
        </w:rPr>
        <w:t>the</w:t>
      </w:r>
      <w:r>
        <w:rPr>
          <w:spacing w:val="-5"/>
        </w:rPr>
        <w:t xml:space="preserve"> </w:t>
      </w:r>
      <w:r>
        <w:rPr>
          <w:spacing w:val="-2"/>
        </w:rPr>
        <w:t>researchers</w:t>
      </w:r>
      <w:r>
        <w:rPr>
          <w:spacing w:val="-5"/>
        </w:rPr>
        <w:t xml:space="preserve"> </w:t>
      </w:r>
      <w:r>
        <w:rPr>
          <w:spacing w:val="-2"/>
        </w:rPr>
        <w:t>from</w:t>
      </w:r>
      <w:r>
        <w:rPr>
          <w:spacing w:val="-5"/>
        </w:rPr>
        <w:t xml:space="preserve"> </w:t>
      </w:r>
      <w:r>
        <w:rPr>
          <w:spacing w:val="-2"/>
        </w:rPr>
        <w:t>the</w:t>
      </w:r>
      <w:r>
        <w:rPr>
          <w:spacing w:val="-5"/>
        </w:rPr>
        <w:t xml:space="preserve"> </w:t>
      </w:r>
      <w:r>
        <w:rPr>
          <w:spacing w:val="-2"/>
        </w:rPr>
        <w:t>University</w:t>
      </w:r>
      <w:r>
        <w:rPr>
          <w:spacing w:val="-5"/>
        </w:rPr>
        <w:t xml:space="preserve"> </w:t>
      </w:r>
      <w:r>
        <w:rPr>
          <w:spacing w:val="-2"/>
        </w:rPr>
        <w:t>of</w:t>
      </w:r>
      <w:r>
        <w:rPr>
          <w:spacing w:val="-5"/>
        </w:rPr>
        <w:t xml:space="preserve"> </w:t>
      </w:r>
      <w:r>
        <w:rPr>
          <w:spacing w:val="-2"/>
        </w:rPr>
        <w:t>Southern</w:t>
      </w:r>
      <w:r>
        <w:rPr>
          <w:spacing w:val="-5"/>
        </w:rPr>
        <w:t xml:space="preserve"> </w:t>
      </w:r>
      <w:r>
        <w:rPr>
          <w:spacing w:val="-2"/>
        </w:rPr>
        <w:t xml:space="preserve">Queensland </w:t>
      </w:r>
      <w:r>
        <w:t>who</w:t>
      </w:r>
      <w:r>
        <w:rPr>
          <w:spacing w:val="-7"/>
        </w:rPr>
        <w:t xml:space="preserve"> </w:t>
      </w:r>
      <w:r>
        <w:t>completed</w:t>
      </w:r>
      <w:r>
        <w:rPr>
          <w:spacing w:val="-7"/>
        </w:rPr>
        <w:t xml:space="preserve"> </w:t>
      </w:r>
      <w:r>
        <w:t>the</w:t>
      </w:r>
      <w:r>
        <w:rPr>
          <w:spacing w:val="-7"/>
        </w:rPr>
        <w:t xml:space="preserve"> </w:t>
      </w:r>
      <w:r>
        <w:t>Future</w:t>
      </w:r>
      <w:r>
        <w:rPr>
          <w:spacing w:val="-7"/>
        </w:rPr>
        <w:t xml:space="preserve"> </w:t>
      </w:r>
      <w:r>
        <w:t>Ready</w:t>
      </w:r>
      <w:r>
        <w:rPr>
          <w:spacing w:val="-7"/>
        </w:rPr>
        <w:t xml:space="preserve"> </w:t>
      </w:r>
      <w:r>
        <w:t>Report,</w:t>
      </w:r>
      <w:r>
        <w:rPr>
          <w:spacing w:val="-7"/>
        </w:rPr>
        <w:t xml:space="preserve"> </w:t>
      </w:r>
      <w:r>
        <w:t>providing</w:t>
      </w:r>
      <w:r>
        <w:rPr>
          <w:spacing w:val="-7"/>
        </w:rPr>
        <w:t xml:space="preserve"> </w:t>
      </w:r>
      <w:r>
        <w:t>an</w:t>
      </w:r>
      <w:r>
        <w:rPr>
          <w:spacing w:val="-7"/>
        </w:rPr>
        <w:t xml:space="preserve"> </w:t>
      </w:r>
      <w:r>
        <w:t>important</w:t>
      </w:r>
      <w:r>
        <w:rPr>
          <w:spacing w:val="-7"/>
        </w:rPr>
        <w:t xml:space="preserve"> </w:t>
      </w:r>
      <w:r>
        <w:t>snapshot</w:t>
      </w:r>
      <w:r>
        <w:rPr>
          <w:spacing w:val="-7"/>
        </w:rPr>
        <w:t xml:space="preserve"> </w:t>
      </w:r>
      <w:r>
        <w:t>of</w:t>
      </w:r>
      <w:r>
        <w:rPr>
          <w:spacing w:val="-7"/>
        </w:rPr>
        <w:t xml:space="preserve"> </w:t>
      </w:r>
      <w:r>
        <w:t>the</w:t>
      </w:r>
      <w:r>
        <w:rPr>
          <w:spacing w:val="-7"/>
        </w:rPr>
        <w:t xml:space="preserve"> </w:t>
      </w:r>
      <w:r>
        <w:t>Queensland</w:t>
      </w:r>
      <w:r>
        <w:rPr>
          <w:spacing w:val="-7"/>
        </w:rPr>
        <w:t xml:space="preserve"> </w:t>
      </w:r>
      <w:r>
        <w:t>profession and</w:t>
      </w:r>
      <w:r>
        <w:rPr>
          <w:spacing w:val="-5"/>
        </w:rPr>
        <w:t xml:space="preserve"> </w:t>
      </w:r>
      <w:r>
        <w:t>our</w:t>
      </w:r>
      <w:r>
        <w:rPr>
          <w:spacing w:val="-5"/>
        </w:rPr>
        <w:t xml:space="preserve"> </w:t>
      </w:r>
      <w:r>
        <w:t>state</w:t>
      </w:r>
      <w:r>
        <w:rPr>
          <w:spacing w:val="-5"/>
        </w:rPr>
        <w:t xml:space="preserve"> </w:t>
      </w:r>
      <w:r>
        <w:t>of</w:t>
      </w:r>
      <w:r>
        <w:rPr>
          <w:spacing w:val="-5"/>
        </w:rPr>
        <w:t xml:space="preserve"> </w:t>
      </w:r>
      <w:r>
        <w:t>readiness</w:t>
      </w:r>
      <w:r>
        <w:rPr>
          <w:spacing w:val="-5"/>
        </w:rPr>
        <w:t xml:space="preserve"> </w:t>
      </w:r>
      <w:r>
        <w:t>for</w:t>
      </w:r>
      <w:r>
        <w:rPr>
          <w:spacing w:val="-5"/>
        </w:rPr>
        <w:t xml:space="preserve"> </w:t>
      </w:r>
      <w:r>
        <w:t>a</w:t>
      </w:r>
      <w:r>
        <w:rPr>
          <w:spacing w:val="-5"/>
        </w:rPr>
        <w:t xml:space="preserve"> </w:t>
      </w:r>
      <w:r>
        <w:t>fast-evolving</w:t>
      </w:r>
      <w:r>
        <w:rPr>
          <w:spacing w:val="-5"/>
        </w:rPr>
        <w:t xml:space="preserve"> </w:t>
      </w:r>
      <w:r>
        <w:t>technical</w:t>
      </w:r>
      <w:r>
        <w:rPr>
          <w:spacing w:val="-5"/>
        </w:rPr>
        <w:t xml:space="preserve"> </w:t>
      </w:r>
      <w:r>
        <w:t>and</w:t>
      </w:r>
      <w:r>
        <w:rPr>
          <w:spacing w:val="-5"/>
        </w:rPr>
        <w:t xml:space="preserve"> </w:t>
      </w:r>
      <w:r>
        <w:t>professional</w:t>
      </w:r>
      <w:r>
        <w:rPr>
          <w:spacing w:val="-5"/>
        </w:rPr>
        <w:t xml:space="preserve"> </w:t>
      </w:r>
      <w:r>
        <w:t>landscape.</w:t>
      </w:r>
    </w:p>
    <w:p w14:paraId="61D80B58" w14:textId="77777777" w:rsidR="00AC6F3C" w:rsidRDefault="00570E88">
      <w:pPr>
        <w:pStyle w:val="BodyText"/>
        <w:spacing w:before="172"/>
        <w:ind w:left="815"/>
      </w:pPr>
      <w:r>
        <w:t>The</w:t>
      </w:r>
      <w:r>
        <w:rPr>
          <w:spacing w:val="-3"/>
        </w:rPr>
        <w:t xml:space="preserve"> </w:t>
      </w:r>
      <w:r>
        <w:t>report</w:t>
      </w:r>
      <w:r>
        <w:rPr>
          <w:spacing w:val="-3"/>
        </w:rPr>
        <w:t xml:space="preserve"> </w:t>
      </w:r>
      <w:r>
        <w:t>has</w:t>
      </w:r>
      <w:r>
        <w:rPr>
          <w:spacing w:val="-2"/>
        </w:rPr>
        <w:t xml:space="preserve"> </w:t>
      </w:r>
      <w:r>
        <w:t>identified</w:t>
      </w:r>
      <w:r>
        <w:rPr>
          <w:spacing w:val="-3"/>
        </w:rPr>
        <w:t xml:space="preserve"> </w:t>
      </w:r>
      <w:r>
        <w:t>the</w:t>
      </w:r>
      <w:r>
        <w:rPr>
          <w:spacing w:val="-3"/>
        </w:rPr>
        <w:t xml:space="preserve"> </w:t>
      </w:r>
      <w:r>
        <w:t>following</w:t>
      </w:r>
      <w:r>
        <w:rPr>
          <w:spacing w:val="-2"/>
        </w:rPr>
        <w:t xml:space="preserve"> </w:t>
      </w:r>
      <w:r>
        <w:t>areas</w:t>
      </w:r>
      <w:r>
        <w:rPr>
          <w:spacing w:val="-3"/>
        </w:rPr>
        <w:t xml:space="preserve"> </w:t>
      </w:r>
      <w:r>
        <w:t>as</w:t>
      </w:r>
      <w:r>
        <w:rPr>
          <w:spacing w:val="-2"/>
        </w:rPr>
        <w:t xml:space="preserve"> </w:t>
      </w:r>
      <w:proofErr w:type="gramStart"/>
      <w:r>
        <w:t>high-</w:t>
      </w:r>
      <w:r>
        <w:rPr>
          <w:spacing w:val="-2"/>
        </w:rPr>
        <w:t>priority</w:t>
      </w:r>
      <w:proofErr w:type="gramEnd"/>
      <w:r>
        <w:rPr>
          <w:spacing w:val="-2"/>
        </w:rPr>
        <w:t>:</w:t>
      </w:r>
    </w:p>
    <w:p w14:paraId="38382355" w14:textId="77777777" w:rsidR="00AC6F3C" w:rsidRDefault="00570E88">
      <w:pPr>
        <w:pStyle w:val="ListParagraph"/>
        <w:numPr>
          <w:ilvl w:val="0"/>
          <w:numId w:val="58"/>
        </w:numPr>
        <w:tabs>
          <w:tab w:val="left" w:pos="1155"/>
        </w:tabs>
        <w:ind w:hanging="340"/>
        <w:rPr>
          <w:sz w:val="20"/>
        </w:rPr>
      </w:pPr>
      <w:proofErr w:type="spellStart"/>
      <w:r>
        <w:rPr>
          <w:sz w:val="20"/>
        </w:rPr>
        <w:t>Contextualising</w:t>
      </w:r>
      <w:proofErr w:type="spellEnd"/>
      <w:r>
        <w:rPr>
          <w:spacing w:val="-9"/>
          <w:sz w:val="20"/>
        </w:rPr>
        <w:t xml:space="preserve"> </w:t>
      </w:r>
      <w:r>
        <w:rPr>
          <w:sz w:val="20"/>
        </w:rPr>
        <w:t>innovation</w:t>
      </w:r>
      <w:r>
        <w:rPr>
          <w:spacing w:val="-8"/>
          <w:sz w:val="20"/>
        </w:rPr>
        <w:t xml:space="preserve"> </w:t>
      </w:r>
      <w:r>
        <w:rPr>
          <w:sz w:val="20"/>
        </w:rPr>
        <w:t>and</w:t>
      </w:r>
      <w:r>
        <w:rPr>
          <w:spacing w:val="-8"/>
          <w:sz w:val="20"/>
        </w:rPr>
        <w:t xml:space="preserve"> </w:t>
      </w:r>
      <w:r>
        <w:rPr>
          <w:spacing w:val="-2"/>
          <w:sz w:val="20"/>
        </w:rPr>
        <w:t>disruption.</w:t>
      </w:r>
    </w:p>
    <w:p w14:paraId="5CB05117" w14:textId="77777777" w:rsidR="00AC6F3C" w:rsidRDefault="00570E88">
      <w:pPr>
        <w:pStyle w:val="ListParagraph"/>
        <w:numPr>
          <w:ilvl w:val="0"/>
          <w:numId w:val="58"/>
        </w:numPr>
        <w:tabs>
          <w:tab w:val="left" w:pos="1155"/>
        </w:tabs>
        <w:ind w:hanging="340"/>
        <w:rPr>
          <w:sz w:val="20"/>
        </w:rPr>
      </w:pPr>
      <w:r>
        <w:rPr>
          <w:sz w:val="20"/>
        </w:rPr>
        <w:t>Identifying</w:t>
      </w:r>
      <w:r>
        <w:rPr>
          <w:spacing w:val="-4"/>
          <w:sz w:val="20"/>
        </w:rPr>
        <w:t xml:space="preserve"> </w:t>
      </w:r>
      <w:r>
        <w:rPr>
          <w:sz w:val="20"/>
        </w:rPr>
        <w:t>the</w:t>
      </w:r>
      <w:r>
        <w:rPr>
          <w:spacing w:val="-4"/>
          <w:sz w:val="20"/>
        </w:rPr>
        <w:t xml:space="preserve"> </w:t>
      </w:r>
      <w:r>
        <w:rPr>
          <w:sz w:val="20"/>
        </w:rPr>
        <w:t>knowledge</w:t>
      </w:r>
      <w:r>
        <w:rPr>
          <w:spacing w:val="-4"/>
          <w:sz w:val="20"/>
        </w:rPr>
        <w:t xml:space="preserve"> </w:t>
      </w:r>
      <w:r>
        <w:rPr>
          <w:sz w:val="20"/>
        </w:rPr>
        <w:t>and</w:t>
      </w:r>
      <w:r>
        <w:rPr>
          <w:spacing w:val="-4"/>
          <w:sz w:val="20"/>
        </w:rPr>
        <w:t xml:space="preserve"> </w:t>
      </w:r>
      <w:r>
        <w:rPr>
          <w:sz w:val="20"/>
        </w:rPr>
        <w:t>skills</w:t>
      </w:r>
      <w:r>
        <w:rPr>
          <w:spacing w:val="-4"/>
          <w:sz w:val="20"/>
        </w:rPr>
        <w:t xml:space="preserve"> </w:t>
      </w:r>
      <w:r>
        <w:rPr>
          <w:sz w:val="20"/>
        </w:rPr>
        <w:t>required</w:t>
      </w:r>
      <w:r>
        <w:rPr>
          <w:spacing w:val="-3"/>
          <w:sz w:val="20"/>
        </w:rPr>
        <w:t xml:space="preserve"> </w:t>
      </w:r>
      <w:r>
        <w:rPr>
          <w:sz w:val="20"/>
        </w:rPr>
        <w:t>by</w:t>
      </w:r>
      <w:r>
        <w:rPr>
          <w:spacing w:val="-4"/>
          <w:sz w:val="20"/>
        </w:rPr>
        <w:t xml:space="preserve"> </w:t>
      </w:r>
      <w:r>
        <w:rPr>
          <w:sz w:val="20"/>
        </w:rPr>
        <w:t>effective</w:t>
      </w:r>
      <w:r>
        <w:rPr>
          <w:spacing w:val="-4"/>
          <w:sz w:val="20"/>
        </w:rPr>
        <w:t xml:space="preserve"> </w:t>
      </w:r>
      <w:r>
        <w:rPr>
          <w:sz w:val="20"/>
        </w:rPr>
        <w:t>lawyers</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present</w:t>
      </w:r>
      <w:r>
        <w:rPr>
          <w:spacing w:val="-4"/>
          <w:sz w:val="20"/>
        </w:rPr>
        <w:t xml:space="preserve"> </w:t>
      </w:r>
      <w:r>
        <w:rPr>
          <w:sz w:val="20"/>
        </w:rPr>
        <w:t>and</w:t>
      </w:r>
      <w:r>
        <w:rPr>
          <w:spacing w:val="-4"/>
          <w:sz w:val="20"/>
        </w:rPr>
        <w:t xml:space="preserve"> </w:t>
      </w:r>
      <w:r>
        <w:rPr>
          <w:spacing w:val="-2"/>
          <w:sz w:val="20"/>
        </w:rPr>
        <w:t>future.</w:t>
      </w:r>
    </w:p>
    <w:p w14:paraId="7323B7B1" w14:textId="77777777" w:rsidR="00AC6F3C" w:rsidRDefault="00570E88">
      <w:pPr>
        <w:pStyle w:val="ListParagraph"/>
        <w:numPr>
          <w:ilvl w:val="0"/>
          <w:numId w:val="58"/>
        </w:numPr>
        <w:tabs>
          <w:tab w:val="left" w:pos="1155"/>
        </w:tabs>
        <w:ind w:hanging="340"/>
        <w:rPr>
          <w:sz w:val="20"/>
        </w:rPr>
      </w:pPr>
      <w:r>
        <w:rPr>
          <w:sz w:val="20"/>
        </w:rPr>
        <w:t>Understanding</w:t>
      </w:r>
      <w:r>
        <w:rPr>
          <w:spacing w:val="-6"/>
          <w:sz w:val="20"/>
        </w:rPr>
        <w:t xml:space="preserve"> </w:t>
      </w:r>
      <w:r>
        <w:rPr>
          <w:sz w:val="20"/>
        </w:rPr>
        <w:t>the</w:t>
      </w:r>
      <w:r>
        <w:rPr>
          <w:spacing w:val="-3"/>
          <w:sz w:val="20"/>
        </w:rPr>
        <w:t xml:space="preserve"> </w:t>
      </w:r>
      <w:r>
        <w:rPr>
          <w:sz w:val="20"/>
        </w:rPr>
        <w:t>challenges</w:t>
      </w:r>
      <w:r>
        <w:rPr>
          <w:spacing w:val="-3"/>
          <w:sz w:val="20"/>
        </w:rPr>
        <w:t xml:space="preserve"> </w:t>
      </w:r>
      <w:r>
        <w:rPr>
          <w:sz w:val="20"/>
        </w:rPr>
        <w:t>and</w:t>
      </w:r>
      <w:r>
        <w:rPr>
          <w:spacing w:val="-3"/>
          <w:sz w:val="20"/>
        </w:rPr>
        <w:t xml:space="preserve"> </w:t>
      </w:r>
      <w:r>
        <w:rPr>
          <w:sz w:val="20"/>
        </w:rPr>
        <w:t>identifying</w:t>
      </w:r>
      <w:r>
        <w:rPr>
          <w:spacing w:val="-4"/>
          <w:sz w:val="20"/>
        </w:rPr>
        <w:t xml:space="preserve"> </w:t>
      </w:r>
      <w:r>
        <w:rPr>
          <w:sz w:val="20"/>
        </w:rPr>
        <w:t>the</w:t>
      </w:r>
      <w:r>
        <w:rPr>
          <w:spacing w:val="-3"/>
          <w:sz w:val="20"/>
        </w:rPr>
        <w:t xml:space="preserve"> </w:t>
      </w:r>
      <w:r>
        <w:rPr>
          <w:sz w:val="20"/>
        </w:rPr>
        <w:t>characteristics</w:t>
      </w:r>
      <w:r>
        <w:rPr>
          <w:spacing w:val="-3"/>
          <w:sz w:val="20"/>
        </w:rPr>
        <w:t xml:space="preserve"> </w:t>
      </w:r>
      <w:r>
        <w:rPr>
          <w:sz w:val="20"/>
        </w:rPr>
        <w:t>of</w:t>
      </w:r>
      <w:r>
        <w:rPr>
          <w:spacing w:val="-3"/>
          <w:sz w:val="20"/>
        </w:rPr>
        <w:t xml:space="preserve"> </w:t>
      </w:r>
      <w:r>
        <w:rPr>
          <w:sz w:val="20"/>
        </w:rPr>
        <w:t>successful</w:t>
      </w:r>
      <w:r>
        <w:rPr>
          <w:spacing w:val="-4"/>
          <w:sz w:val="20"/>
        </w:rPr>
        <w:t xml:space="preserve"> </w:t>
      </w:r>
      <w:r>
        <w:rPr>
          <w:sz w:val="20"/>
        </w:rPr>
        <w:t>use</w:t>
      </w:r>
      <w:r>
        <w:rPr>
          <w:spacing w:val="-3"/>
          <w:sz w:val="20"/>
        </w:rPr>
        <w:t xml:space="preserve"> </w:t>
      </w:r>
      <w:r>
        <w:rPr>
          <w:sz w:val="20"/>
        </w:rPr>
        <w:t>of</w:t>
      </w:r>
      <w:r>
        <w:rPr>
          <w:spacing w:val="-3"/>
          <w:sz w:val="20"/>
        </w:rPr>
        <w:t xml:space="preserve"> </w:t>
      </w:r>
      <w:r>
        <w:rPr>
          <w:sz w:val="20"/>
        </w:rPr>
        <w:t>technology</w:t>
      </w:r>
      <w:r>
        <w:rPr>
          <w:spacing w:val="-3"/>
          <w:sz w:val="20"/>
        </w:rPr>
        <w:t xml:space="preserve"> </w:t>
      </w:r>
      <w:r>
        <w:rPr>
          <w:spacing w:val="-5"/>
          <w:sz w:val="20"/>
        </w:rPr>
        <w:t>and</w:t>
      </w:r>
    </w:p>
    <w:p w14:paraId="3C4B076C" w14:textId="77777777" w:rsidR="00AC6F3C" w:rsidRDefault="00570E88">
      <w:pPr>
        <w:pStyle w:val="BodyText"/>
        <w:spacing w:before="10"/>
        <w:ind w:left="1155"/>
      </w:pPr>
      <w:r>
        <w:t>tools</w:t>
      </w:r>
      <w:r>
        <w:rPr>
          <w:spacing w:val="-2"/>
        </w:rPr>
        <w:t xml:space="preserve"> </w:t>
      </w:r>
      <w:r>
        <w:t>in</w:t>
      </w:r>
      <w:r>
        <w:rPr>
          <w:spacing w:val="-2"/>
        </w:rPr>
        <w:t xml:space="preserve"> </w:t>
      </w:r>
      <w:r>
        <w:t>legal</w:t>
      </w:r>
      <w:r>
        <w:rPr>
          <w:spacing w:val="-1"/>
        </w:rPr>
        <w:t xml:space="preserve"> </w:t>
      </w:r>
      <w:r>
        <w:rPr>
          <w:spacing w:val="-2"/>
        </w:rPr>
        <w:t>practice.</w:t>
      </w:r>
    </w:p>
    <w:p w14:paraId="25689978" w14:textId="77777777" w:rsidR="00AC6F3C" w:rsidRDefault="00570E88">
      <w:pPr>
        <w:pStyle w:val="ListParagraph"/>
        <w:numPr>
          <w:ilvl w:val="0"/>
          <w:numId w:val="58"/>
        </w:numPr>
        <w:tabs>
          <w:tab w:val="left" w:pos="1155"/>
        </w:tabs>
        <w:spacing w:line="249" w:lineRule="auto"/>
        <w:ind w:right="724"/>
        <w:rPr>
          <w:sz w:val="20"/>
        </w:rPr>
      </w:pPr>
      <w:proofErr w:type="spellStart"/>
      <w:r>
        <w:rPr>
          <w:sz w:val="20"/>
        </w:rPr>
        <w:t>Recognising</w:t>
      </w:r>
      <w:proofErr w:type="spellEnd"/>
      <w:r>
        <w:rPr>
          <w:spacing w:val="-3"/>
          <w:sz w:val="20"/>
        </w:rPr>
        <w:t xml:space="preserve"> </w:t>
      </w:r>
      <w:r>
        <w:rPr>
          <w:sz w:val="20"/>
        </w:rPr>
        <w:t>the</w:t>
      </w:r>
      <w:r>
        <w:rPr>
          <w:spacing w:val="-3"/>
          <w:sz w:val="20"/>
        </w:rPr>
        <w:t xml:space="preserve"> </w:t>
      </w:r>
      <w:r>
        <w:rPr>
          <w:sz w:val="20"/>
        </w:rPr>
        <w:t>traits</w:t>
      </w:r>
      <w:r>
        <w:rPr>
          <w:spacing w:val="-3"/>
          <w:sz w:val="20"/>
        </w:rPr>
        <w:t xml:space="preserve"> </w:t>
      </w:r>
      <w:r>
        <w:rPr>
          <w:sz w:val="20"/>
        </w:rPr>
        <w:t>of</w:t>
      </w:r>
      <w:r>
        <w:rPr>
          <w:spacing w:val="-3"/>
          <w:sz w:val="20"/>
        </w:rPr>
        <w:t xml:space="preserve"> </w:t>
      </w:r>
      <w:r>
        <w:rPr>
          <w:sz w:val="20"/>
        </w:rPr>
        <w:t>successful</w:t>
      </w:r>
      <w:r>
        <w:rPr>
          <w:spacing w:val="-3"/>
          <w:sz w:val="20"/>
        </w:rPr>
        <w:t xml:space="preserve"> </w:t>
      </w:r>
      <w:r>
        <w:rPr>
          <w:sz w:val="20"/>
        </w:rPr>
        <w:t>future</w:t>
      </w:r>
      <w:r>
        <w:rPr>
          <w:spacing w:val="-3"/>
          <w:sz w:val="20"/>
        </w:rPr>
        <w:t xml:space="preserve"> </w:t>
      </w:r>
      <w:r>
        <w:rPr>
          <w:sz w:val="20"/>
        </w:rPr>
        <w:t>law</w:t>
      </w:r>
      <w:r>
        <w:rPr>
          <w:spacing w:val="-3"/>
          <w:sz w:val="20"/>
        </w:rPr>
        <w:t xml:space="preserve"> </w:t>
      </w:r>
      <w:r>
        <w:rPr>
          <w:sz w:val="20"/>
        </w:rPr>
        <w:t>practices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role</w:t>
      </w:r>
      <w:r>
        <w:rPr>
          <w:spacing w:val="-3"/>
          <w:sz w:val="20"/>
        </w:rPr>
        <w:t xml:space="preserve"> </w:t>
      </w:r>
      <w:r>
        <w:rPr>
          <w:sz w:val="20"/>
        </w:rPr>
        <w:t>of</w:t>
      </w:r>
      <w:r>
        <w:rPr>
          <w:spacing w:val="-3"/>
          <w:sz w:val="20"/>
        </w:rPr>
        <w:t xml:space="preserve"> </w:t>
      </w:r>
      <w:r>
        <w:rPr>
          <w:sz w:val="20"/>
        </w:rPr>
        <w:t>innovation</w:t>
      </w:r>
      <w:r>
        <w:rPr>
          <w:spacing w:val="-3"/>
          <w:sz w:val="20"/>
        </w:rPr>
        <w:t xml:space="preserve"> </w:t>
      </w:r>
      <w:r>
        <w:rPr>
          <w:sz w:val="20"/>
        </w:rPr>
        <w:t>in</w:t>
      </w:r>
      <w:r>
        <w:rPr>
          <w:spacing w:val="-3"/>
          <w:sz w:val="20"/>
        </w:rPr>
        <w:t xml:space="preserve"> </w:t>
      </w:r>
      <w:r>
        <w:rPr>
          <w:sz w:val="20"/>
        </w:rPr>
        <w:t>enhancing access to justice.</w:t>
      </w:r>
    </w:p>
    <w:p w14:paraId="38D46543" w14:textId="77777777" w:rsidR="00AC6F3C" w:rsidRDefault="00570E88">
      <w:pPr>
        <w:pStyle w:val="BodyText"/>
        <w:spacing w:before="172" w:line="249" w:lineRule="auto"/>
        <w:ind w:left="815"/>
      </w:pPr>
      <w:r>
        <w:t>With</w:t>
      </w:r>
      <w:r>
        <w:rPr>
          <w:spacing w:val="-3"/>
        </w:rPr>
        <w:t xml:space="preserve"> </w:t>
      </w:r>
      <w:r>
        <w:t>a</w:t>
      </w:r>
      <w:r>
        <w:rPr>
          <w:spacing w:val="-3"/>
        </w:rPr>
        <w:t xml:space="preserve"> </w:t>
      </w:r>
      <w:r>
        <w:t>robust</w:t>
      </w:r>
      <w:r>
        <w:rPr>
          <w:spacing w:val="-3"/>
        </w:rPr>
        <w:t xml:space="preserve"> </w:t>
      </w:r>
      <w:r>
        <w:t>work</w:t>
      </w:r>
      <w:r>
        <w:rPr>
          <w:spacing w:val="-3"/>
        </w:rPr>
        <w:t xml:space="preserve"> </w:t>
      </w:r>
      <w:r>
        <w:t>plan,</w:t>
      </w:r>
      <w:r>
        <w:rPr>
          <w:spacing w:val="-3"/>
        </w:rPr>
        <w:t xml:space="preserve"> </w:t>
      </w:r>
      <w:r>
        <w:t>the</w:t>
      </w:r>
      <w:r>
        <w:rPr>
          <w:spacing w:val="-3"/>
        </w:rPr>
        <w:t xml:space="preserve"> </w:t>
      </w:r>
      <w:r>
        <w:t>committee</w:t>
      </w:r>
      <w:r>
        <w:rPr>
          <w:spacing w:val="-3"/>
        </w:rPr>
        <w:t xml:space="preserve"> </w:t>
      </w:r>
      <w:r>
        <w:t>established</w:t>
      </w:r>
      <w:r>
        <w:rPr>
          <w:spacing w:val="-3"/>
        </w:rPr>
        <w:t xml:space="preserve"> </w:t>
      </w:r>
      <w:r>
        <w:t>task</w:t>
      </w:r>
      <w:r>
        <w:rPr>
          <w:spacing w:val="-3"/>
        </w:rPr>
        <w:t xml:space="preserve"> </w:t>
      </w:r>
      <w:r>
        <w:t>forces</w:t>
      </w:r>
      <w:r>
        <w:rPr>
          <w:spacing w:val="-3"/>
        </w:rPr>
        <w:t xml:space="preserve"> </w:t>
      </w:r>
      <w:r>
        <w:t>to</w:t>
      </w:r>
      <w:r>
        <w:rPr>
          <w:spacing w:val="-3"/>
        </w:rPr>
        <w:t xml:space="preserve"> </w:t>
      </w:r>
      <w:r>
        <w:t>develop</w:t>
      </w:r>
      <w:r>
        <w:rPr>
          <w:spacing w:val="-3"/>
        </w:rPr>
        <w:t xml:space="preserve"> </w:t>
      </w:r>
      <w:r>
        <w:t>materials</w:t>
      </w:r>
      <w:r>
        <w:rPr>
          <w:spacing w:val="-3"/>
        </w:rPr>
        <w:t xml:space="preserve"> </w:t>
      </w:r>
      <w:r>
        <w:t>on</w:t>
      </w:r>
      <w:r>
        <w:rPr>
          <w:spacing w:val="-3"/>
        </w:rPr>
        <w:t xml:space="preserve"> </w:t>
      </w:r>
      <w:r>
        <w:t>topics</w:t>
      </w:r>
      <w:r>
        <w:rPr>
          <w:spacing w:val="-3"/>
        </w:rPr>
        <w:t xml:space="preserve"> </w:t>
      </w:r>
      <w:r>
        <w:t>like</w:t>
      </w:r>
      <w:r>
        <w:rPr>
          <w:spacing w:val="-3"/>
        </w:rPr>
        <w:t xml:space="preserve"> </w:t>
      </w:r>
      <w:r>
        <w:t xml:space="preserve">hybrid work, innovation success case studies, e-litigation, simplifying innovation and technology via video resources, and thematic policy issues affecting the profession due to disruption and </w:t>
      </w:r>
      <w:proofErr w:type="gramStart"/>
      <w:r>
        <w:t>new technology</w:t>
      </w:r>
      <w:proofErr w:type="gramEnd"/>
      <w:r>
        <w:t>.</w:t>
      </w:r>
    </w:p>
    <w:p w14:paraId="473D9EEB" w14:textId="77777777" w:rsidR="00AC6F3C" w:rsidRDefault="00AC6F3C">
      <w:pPr>
        <w:pStyle w:val="BodyText"/>
        <w:spacing w:before="2"/>
        <w:rPr>
          <w:sz w:val="31"/>
        </w:rPr>
      </w:pPr>
    </w:p>
    <w:p w14:paraId="22068693" w14:textId="77777777" w:rsidR="00AC6F3C" w:rsidRDefault="00570E88">
      <w:pPr>
        <w:ind w:left="815"/>
        <w:rPr>
          <w:b/>
          <w:sz w:val="26"/>
        </w:rPr>
      </w:pPr>
      <w:r>
        <w:rPr>
          <w:b/>
          <w:sz w:val="26"/>
        </w:rPr>
        <w:t>Litigation</w:t>
      </w:r>
      <w:r>
        <w:rPr>
          <w:b/>
          <w:spacing w:val="-4"/>
          <w:sz w:val="26"/>
        </w:rPr>
        <w:t xml:space="preserve"> </w:t>
      </w:r>
      <w:r>
        <w:rPr>
          <w:b/>
          <w:sz w:val="26"/>
        </w:rPr>
        <w:t>Rules</w:t>
      </w:r>
      <w:r>
        <w:rPr>
          <w:b/>
          <w:spacing w:val="-2"/>
          <w:sz w:val="26"/>
        </w:rPr>
        <w:t xml:space="preserve"> Committee</w:t>
      </w:r>
    </w:p>
    <w:p w14:paraId="6F6569C6" w14:textId="77777777" w:rsidR="00AC6F3C" w:rsidRDefault="00570E88">
      <w:pPr>
        <w:pStyle w:val="BodyText"/>
        <w:spacing w:before="168" w:line="249" w:lineRule="auto"/>
        <w:ind w:left="815" w:right="234"/>
      </w:pPr>
      <w:r>
        <w:t>The</w:t>
      </w:r>
      <w:r>
        <w:rPr>
          <w:spacing w:val="-3"/>
        </w:rPr>
        <w:t xml:space="preserve"> </w:t>
      </w:r>
      <w:r>
        <w:t>Litigation</w:t>
      </w:r>
      <w:r>
        <w:rPr>
          <w:spacing w:val="-3"/>
        </w:rPr>
        <w:t xml:space="preserve"> </w:t>
      </w:r>
      <w:r>
        <w:t>Rules</w:t>
      </w:r>
      <w:r>
        <w:rPr>
          <w:spacing w:val="-3"/>
        </w:rPr>
        <w:t xml:space="preserve"> </w:t>
      </w:r>
      <w:r>
        <w:t>Committee</w:t>
      </w:r>
      <w:r>
        <w:rPr>
          <w:spacing w:val="-3"/>
        </w:rPr>
        <w:t xml:space="preserve"> </w:t>
      </w:r>
      <w:r>
        <w:t>contributed</w:t>
      </w:r>
      <w:r>
        <w:rPr>
          <w:spacing w:val="-3"/>
        </w:rPr>
        <w:t xml:space="preserve"> </w:t>
      </w:r>
      <w:r>
        <w:t>to</w:t>
      </w:r>
      <w:r>
        <w:rPr>
          <w:spacing w:val="-3"/>
        </w:rPr>
        <w:t xml:space="preserve"> </w:t>
      </w:r>
      <w:proofErr w:type="gramStart"/>
      <w:r>
        <w:t>16</w:t>
      </w:r>
      <w:proofErr w:type="gramEnd"/>
      <w:r>
        <w:rPr>
          <w:spacing w:val="-3"/>
        </w:rPr>
        <w:t xml:space="preserve"> </w:t>
      </w:r>
      <w:r>
        <w:t>submissions</w:t>
      </w:r>
      <w:r>
        <w:rPr>
          <w:spacing w:val="-3"/>
        </w:rPr>
        <w:t xml:space="preserve"> </w:t>
      </w:r>
      <w:r>
        <w:t>and</w:t>
      </w:r>
      <w:r>
        <w:rPr>
          <w:spacing w:val="-3"/>
        </w:rPr>
        <w:t xml:space="preserve"> </w:t>
      </w:r>
      <w:r>
        <w:t>two</w:t>
      </w:r>
      <w:r>
        <w:rPr>
          <w:spacing w:val="-3"/>
        </w:rPr>
        <w:t xml:space="preserve"> </w:t>
      </w:r>
      <w:r>
        <w:t>stakeholder</w:t>
      </w:r>
      <w:r>
        <w:rPr>
          <w:spacing w:val="-3"/>
        </w:rPr>
        <w:t xml:space="preserve"> </w:t>
      </w:r>
      <w:r>
        <w:t>consultations</w:t>
      </w:r>
      <w:r>
        <w:rPr>
          <w:spacing w:val="-3"/>
        </w:rPr>
        <w:t xml:space="preserve"> </w:t>
      </w:r>
      <w:r>
        <w:t>during this financial year.</w:t>
      </w:r>
    </w:p>
    <w:p w14:paraId="2097CFDC" w14:textId="77777777" w:rsidR="00AC6F3C" w:rsidRDefault="00AC6F3C">
      <w:pPr>
        <w:pStyle w:val="BodyText"/>
        <w:spacing w:before="9"/>
        <w:rPr>
          <w:sz w:val="22"/>
        </w:rPr>
      </w:pPr>
    </w:p>
    <w:p w14:paraId="7B0DF95E" w14:textId="77777777" w:rsidR="00AC6F3C" w:rsidRDefault="00570E88">
      <w:pPr>
        <w:pStyle w:val="Heading9"/>
      </w:pPr>
      <w:r>
        <w:t>Civil</w:t>
      </w:r>
      <w:r>
        <w:rPr>
          <w:spacing w:val="-1"/>
        </w:rPr>
        <w:t xml:space="preserve"> </w:t>
      </w:r>
      <w:r>
        <w:t>case</w:t>
      </w:r>
      <w:r>
        <w:rPr>
          <w:spacing w:val="-1"/>
        </w:rPr>
        <w:t xml:space="preserve"> </w:t>
      </w:r>
      <w:r>
        <w:t>management</w:t>
      </w:r>
      <w:r>
        <w:rPr>
          <w:spacing w:val="-1"/>
        </w:rPr>
        <w:t xml:space="preserve"> </w:t>
      </w:r>
      <w:r>
        <w:rPr>
          <w:spacing w:val="-2"/>
        </w:rPr>
        <w:t>system</w:t>
      </w:r>
    </w:p>
    <w:p w14:paraId="6224922B" w14:textId="77777777" w:rsidR="00AC6F3C" w:rsidRDefault="00570E88">
      <w:pPr>
        <w:pStyle w:val="ListParagraph"/>
        <w:numPr>
          <w:ilvl w:val="0"/>
          <w:numId w:val="58"/>
        </w:numPr>
        <w:tabs>
          <w:tab w:val="left" w:pos="1155"/>
        </w:tabs>
        <w:spacing w:before="176" w:line="249" w:lineRule="auto"/>
        <w:ind w:right="356"/>
        <w:rPr>
          <w:sz w:val="20"/>
        </w:rPr>
      </w:pPr>
      <w:r>
        <w:rPr>
          <w:sz w:val="20"/>
        </w:rPr>
        <w:t>Focused</w:t>
      </w:r>
      <w:r>
        <w:rPr>
          <w:spacing w:val="-3"/>
          <w:sz w:val="20"/>
        </w:rPr>
        <w:t xml:space="preserve"> </w:t>
      </w:r>
      <w:r>
        <w:rPr>
          <w:sz w:val="20"/>
        </w:rPr>
        <w:t>on</w:t>
      </w:r>
      <w:r>
        <w:rPr>
          <w:spacing w:val="-3"/>
          <w:sz w:val="20"/>
        </w:rPr>
        <w:t xml:space="preserve"> </w:t>
      </w:r>
      <w:r>
        <w:rPr>
          <w:sz w:val="20"/>
        </w:rPr>
        <w:t>work</w:t>
      </w:r>
      <w:r>
        <w:rPr>
          <w:spacing w:val="-3"/>
          <w:sz w:val="20"/>
        </w:rPr>
        <w:t xml:space="preserve"> </w:t>
      </w:r>
      <w:proofErr w:type="gramStart"/>
      <w:r>
        <w:rPr>
          <w:sz w:val="20"/>
        </w:rPr>
        <w:t>being</w:t>
      </w:r>
      <w:r>
        <w:rPr>
          <w:spacing w:val="-3"/>
          <w:sz w:val="20"/>
        </w:rPr>
        <w:t xml:space="preserve"> </w:t>
      </w:r>
      <w:r>
        <w:rPr>
          <w:sz w:val="20"/>
        </w:rPr>
        <w:t>undertaken</w:t>
      </w:r>
      <w:proofErr w:type="gramEnd"/>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Queensland</w:t>
      </w:r>
      <w:r>
        <w:rPr>
          <w:spacing w:val="-3"/>
          <w:sz w:val="20"/>
        </w:rPr>
        <w:t xml:space="preserve"> </w:t>
      </w:r>
      <w:r>
        <w:rPr>
          <w:sz w:val="20"/>
        </w:rPr>
        <w:t>Courts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new</w:t>
      </w:r>
      <w:r>
        <w:rPr>
          <w:spacing w:val="-3"/>
          <w:sz w:val="20"/>
        </w:rPr>
        <w:t xml:space="preserve"> </w:t>
      </w:r>
      <w:r>
        <w:rPr>
          <w:sz w:val="20"/>
        </w:rPr>
        <w:t>civil</w:t>
      </w:r>
      <w:r>
        <w:rPr>
          <w:spacing w:val="-3"/>
          <w:sz w:val="20"/>
        </w:rPr>
        <w:t xml:space="preserve"> </w:t>
      </w:r>
      <w:r>
        <w:rPr>
          <w:sz w:val="20"/>
        </w:rPr>
        <w:t>case</w:t>
      </w:r>
      <w:r>
        <w:rPr>
          <w:spacing w:val="-3"/>
          <w:sz w:val="20"/>
        </w:rPr>
        <w:t xml:space="preserve"> </w:t>
      </w:r>
      <w:r>
        <w:rPr>
          <w:sz w:val="20"/>
        </w:rPr>
        <w:t>management system and how this will impact court user.</w:t>
      </w:r>
    </w:p>
    <w:p w14:paraId="300861C0" w14:textId="77777777" w:rsidR="00AC6F3C" w:rsidRDefault="00570E88">
      <w:pPr>
        <w:pStyle w:val="ListParagraph"/>
        <w:numPr>
          <w:ilvl w:val="0"/>
          <w:numId w:val="58"/>
        </w:numPr>
        <w:tabs>
          <w:tab w:val="left" w:pos="1155"/>
        </w:tabs>
        <w:spacing w:before="171"/>
        <w:ind w:hanging="340"/>
        <w:rPr>
          <w:sz w:val="20"/>
        </w:rPr>
      </w:pPr>
      <w:r>
        <w:rPr>
          <w:sz w:val="20"/>
        </w:rPr>
        <w:t>Monitored</w:t>
      </w:r>
      <w:r>
        <w:rPr>
          <w:spacing w:val="-3"/>
          <w:sz w:val="20"/>
        </w:rPr>
        <w:t xml:space="preserve"> </w:t>
      </w:r>
      <w:r>
        <w:rPr>
          <w:sz w:val="20"/>
        </w:rPr>
        <w:t>the</w:t>
      </w:r>
      <w:r>
        <w:rPr>
          <w:spacing w:val="-3"/>
          <w:sz w:val="20"/>
        </w:rPr>
        <w:t xml:space="preserve"> </w:t>
      </w:r>
      <w:r>
        <w:rPr>
          <w:sz w:val="20"/>
        </w:rPr>
        <w:t>rollout</w:t>
      </w:r>
      <w:r>
        <w:rPr>
          <w:spacing w:val="-2"/>
          <w:sz w:val="20"/>
        </w:rPr>
        <w:t xml:space="preserve"> </w:t>
      </w:r>
      <w:r>
        <w:rPr>
          <w:sz w:val="20"/>
        </w:rPr>
        <w:t>of</w:t>
      </w:r>
      <w:r>
        <w:rPr>
          <w:spacing w:val="-3"/>
          <w:sz w:val="20"/>
        </w:rPr>
        <w:t xml:space="preserve"> </w:t>
      </w:r>
      <w:r>
        <w:rPr>
          <w:sz w:val="20"/>
        </w:rPr>
        <w:t>the</w:t>
      </w:r>
      <w:r>
        <w:rPr>
          <w:spacing w:val="-2"/>
          <w:sz w:val="20"/>
        </w:rPr>
        <w:t xml:space="preserve"> </w:t>
      </w:r>
      <w:proofErr w:type="spellStart"/>
      <w:r>
        <w:rPr>
          <w:sz w:val="20"/>
        </w:rPr>
        <w:t>QCase</w:t>
      </w:r>
      <w:proofErr w:type="spellEnd"/>
      <w:r>
        <w:rPr>
          <w:spacing w:val="-3"/>
          <w:sz w:val="20"/>
        </w:rPr>
        <w:t xml:space="preserve"> </w:t>
      </w:r>
      <w:r>
        <w:rPr>
          <w:sz w:val="20"/>
        </w:rPr>
        <w:t>civil</w:t>
      </w:r>
      <w:r>
        <w:rPr>
          <w:spacing w:val="-2"/>
          <w:sz w:val="20"/>
        </w:rPr>
        <w:t xml:space="preserve"> </w:t>
      </w:r>
      <w:r>
        <w:rPr>
          <w:sz w:val="20"/>
        </w:rPr>
        <w:t>case</w:t>
      </w:r>
      <w:r>
        <w:rPr>
          <w:spacing w:val="-3"/>
          <w:sz w:val="20"/>
        </w:rPr>
        <w:t xml:space="preserve"> </w:t>
      </w:r>
      <w:r>
        <w:rPr>
          <w:sz w:val="20"/>
        </w:rPr>
        <w:t>management</w:t>
      </w:r>
      <w:r>
        <w:rPr>
          <w:spacing w:val="-2"/>
          <w:sz w:val="20"/>
        </w:rPr>
        <w:t xml:space="preserve"> system.</w:t>
      </w:r>
    </w:p>
    <w:p w14:paraId="4C9ACC54" w14:textId="77777777" w:rsidR="00AC6F3C" w:rsidRDefault="00AC6F3C">
      <w:pPr>
        <w:pStyle w:val="BodyText"/>
        <w:spacing w:before="6"/>
        <w:rPr>
          <w:sz w:val="23"/>
        </w:rPr>
      </w:pPr>
    </w:p>
    <w:p w14:paraId="699D9A97" w14:textId="77777777" w:rsidR="00AC6F3C" w:rsidRDefault="00570E88">
      <w:pPr>
        <w:pStyle w:val="Heading9"/>
      </w:pPr>
      <w:r>
        <w:t>Uniform</w:t>
      </w:r>
      <w:r>
        <w:rPr>
          <w:spacing w:val="-5"/>
        </w:rPr>
        <w:t xml:space="preserve"> </w:t>
      </w:r>
      <w:r>
        <w:t>Civil</w:t>
      </w:r>
      <w:r>
        <w:rPr>
          <w:spacing w:val="-4"/>
        </w:rPr>
        <w:t xml:space="preserve"> </w:t>
      </w:r>
      <w:r>
        <w:t>Procedure</w:t>
      </w:r>
      <w:r>
        <w:rPr>
          <w:spacing w:val="-5"/>
        </w:rPr>
        <w:t xml:space="preserve"> </w:t>
      </w:r>
      <w:r>
        <w:t>Rules</w:t>
      </w:r>
      <w:r>
        <w:rPr>
          <w:spacing w:val="-4"/>
        </w:rPr>
        <w:t xml:space="preserve"> </w:t>
      </w:r>
      <w:r>
        <w:rPr>
          <w:spacing w:val="-2"/>
        </w:rPr>
        <w:t>(UCPR)</w:t>
      </w:r>
    </w:p>
    <w:p w14:paraId="5E407828" w14:textId="77777777" w:rsidR="00AC6F3C" w:rsidRDefault="00570E88">
      <w:pPr>
        <w:pStyle w:val="ListParagraph"/>
        <w:numPr>
          <w:ilvl w:val="0"/>
          <w:numId w:val="58"/>
        </w:numPr>
        <w:tabs>
          <w:tab w:val="left" w:pos="1155"/>
        </w:tabs>
        <w:spacing w:before="176"/>
        <w:ind w:hanging="340"/>
        <w:rPr>
          <w:sz w:val="20"/>
        </w:rPr>
      </w:pPr>
      <w:r>
        <w:rPr>
          <w:sz w:val="20"/>
        </w:rPr>
        <w:t>Engage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Court</w:t>
      </w:r>
      <w:r>
        <w:rPr>
          <w:spacing w:val="-3"/>
          <w:sz w:val="20"/>
        </w:rPr>
        <w:t xml:space="preserve"> </w:t>
      </w:r>
      <w:r>
        <w:rPr>
          <w:sz w:val="20"/>
        </w:rPr>
        <w:t>Rules</w:t>
      </w:r>
      <w:r>
        <w:rPr>
          <w:spacing w:val="-3"/>
          <w:sz w:val="20"/>
        </w:rPr>
        <w:t xml:space="preserve"> </w:t>
      </w:r>
      <w:r>
        <w:rPr>
          <w:sz w:val="20"/>
        </w:rPr>
        <w:t>Committee</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Uniform</w:t>
      </w:r>
      <w:r>
        <w:rPr>
          <w:spacing w:val="-3"/>
          <w:sz w:val="20"/>
        </w:rPr>
        <w:t xml:space="preserve"> </w:t>
      </w:r>
      <w:r>
        <w:rPr>
          <w:sz w:val="20"/>
        </w:rPr>
        <w:t>Civil</w:t>
      </w:r>
      <w:r>
        <w:rPr>
          <w:spacing w:val="-3"/>
          <w:sz w:val="20"/>
        </w:rPr>
        <w:t xml:space="preserve"> </w:t>
      </w:r>
      <w:r>
        <w:rPr>
          <w:sz w:val="20"/>
        </w:rPr>
        <w:t>Procedure</w:t>
      </w:r>
      <w:r>
        <w:rPr>
          <w:spacing w:val="-3"/>
          <w:sz w:val="20"/>
        </w:rPr>
        <w:t xml:space="preserve"> </w:t>
      </w:r>
      <w:r>
        <w:rPr>
          <w:sz w:val="20"/>
        </w:rPr>
        <w:t>Rules</w:t>
      </w:r>
      <w:r>
        <w:rPr>
          <w:spacing w:val="-2"/>
          <w:sz w:val="20"/>
        </w:rPr>
        <w:t xml:space="preserve"> (UCPR).</w:t>
      </w:r>
    </w:p>
    <w:p w14:paraId="6A4E868C" w14:textId="77777777" w:rsidR="00AC6F3C" w:rsidRDefault="00570E88">
      <w:pPr>
        <w:pStyle w:val="ListParagraph"/>
        <w:numPr>
          <w:ilvl w:val="0"/>
          <w:numId w:val="58"/>
        </w:numPr>
        <w:tabs>
          <w:tab w:val="left" w:pos="1155"/>
        </w:tabs>
        <w:spacing w:line="249" w:lineRule="auto"/>
        <w:ind w:right="246"/>
        <w:rPr>
          <w:sz w:val="20"/>
        </w:rPr>
      </w:pPr>
      <w:r>
        <w:rPr>
          <w:sz w:val="20"/>
        </w:rPr>
        <w:t>Prepared</w:t>
      </w:r>
      <w:r>
        <w:rPr>
          <w:spacing w:val="-4"/>
          <w:sz w:val="20"/>
        </w:rPr>
        <w:t xml:space="preserve"> </w:t>
      </w:r>
      <w:r>
        <w:rPr>
          <w:sz w:val="20"/>
        </w:rPr>
        <w:t>a</w:t>
      </w:r>
      <w:r>
        <w:rPr>
          <w:spacing w:val="-4"/>
          <w:sz w:val="20"/>
        </w:rPr>
        <w:t xml:space="preserve"> </w:t>
      </w:r>
      <w:r>
        <w:rPr>
          <w:sz w:val="20"/>
        </w:rPr>
        <w:t>submission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Queensland</w:t>
      </w:r>
      <w:r>
        <w:rPr>
          <w:spacing w:val="-4"/>
          <w:sz w:val="20"/>
        </w:rPr>
        <w:t xml:space="preserve"> </w:t>
      </w:r>
      <w:r>
        <w:rPr>
          <w:sz w:val="20"/>
        </w:rPr>
        <w:t>Supreme</w:t>
      </w:r>
      <w:r>
        <w:rPr>
          <w:spacing w:val="-4"/>
          <w:sz w:val="20"/>
        </w:rPr>
        <w:t xml:space="preserve"> </w:t>
      </w:r>
      <w:r>
        <w:rPr>
          <w:sz w:val="20"/>
        </w:rPr>
        <w:t>Court</w:t>
      </w:r>
      <w:r>
        <w:rPr>
          <w:spacing w:val="-4"/>
          <w:sz w:val="20"/>
        </w:rPr>
        <w:t xml:space="preserve"> </w:t>
      </w:r>
      <w:r>
        <w:rPr>
          <w:sz w:val="20"/>
        </w:rPr>
        <w:t>Rules</w:t>
      </w:r>
      <w:r>
        <w:rPr>
          <w:spacing w:val="-4"/>
          <w:sz w:val="20"/>
        </w:rPr>
        <w:t xml:space="preserve"> </w:t>
      </w:r>
      <w:r>
        <w:rPr>
          <w:sz w:val="20"/>
        </w:rPr>
        <w:t>Committee</w:t>
      </w:r>
      <w:r>
        <w:rPr>
          <w:spacing w:val="-4"/>
          <w:sz w:val="20"/>
        </w:rPr>
        <w:t xml:space="preserve"> </w:t>
      </w:r>
      <w:r>
        <w:rPr>
          <w:sz w:val="20"/>
        </w:rPr>
        <w:t>proposing</w:t>
      </w:r>
      <w:r>
        <w:rPr>
          <w:spacing w:val="-4"/>
          <w:sz w:val="20"/>
        </w:rPr>
        <w:t xml:space="preserve"> </w:t>
      </w:r>
      <w:r>
        <w:rPr>
          <w:sz w:val="20"/>
        </w:rPr>
        <w:t xml:space="preserve">amendments to the UCPR regarding </w:t>
      </w:r>
      <w:proofErr w:type="gramStart"/>
      <w:r>
        <w:rPr>
          <w:sz w:val="20"/>
        </w:rPr>
        <w:t>a number of</w:t>
      </w:r>
      <w:proofErr w:type="gramEnd"/>
      <w:r>
        <w:rPr>
          <w:sz w:val="20"/>
        </w:rPr>
        <w:t xml:space="preserve"> costs issues including costs of amending pleadings and documents, interstate solicitor’s fees, and solicitor’s liens/charges.</w:t>
      </w:r>
    </w:p>
    <w:p w14:paraId="618C97E7" w14:textId="77777777" w:rsidR="00AC6F3C" w:rsidRDefault="00570E88">
      <w:pPr>
        <w:pStyle w:val="ListParagraph"/>
        <w:numPr>
          <w:ilvl w:val="0"/>
          <w:numId w:val="58"/>
        </w:numPr>
        <w:tabs>
          <w:tab w:val="left" w:pos="1155"/>
        </w:tabs>
        <w:spacing w:before="173" w:line="249" w:lineRule="auto"/>
        <w:ind w:right="444"/>
        <w:rPr>
          <w:sz w:val="20"/>
        </w:rPr>
      </w:pPr>
      <w:r>
        <w:rPr>
          <w:sz w:val="20"/>
        </w:rPr>
        <w:t>Prepared a submission to the Supreme Court Rules Committee in response to their request for feedback</w:t>
      </w:r>
      <w:r>
        <w:rPr>
          <w:spacing w:val="-3"/>
          <w:sz w:val="20"/>
        </w:rPr>
        <w:t xml:space="preserve"> </w:t>
      </w:r>
      <w:r>
        <w:rPr>
          <w:sz w:val="20"/>
        </w:rPr>
        <w:t>on</w:t>
      </w:r>
      <w:r>
        <w:rPr>
          <w:spacing w:val="-3"/>
          <w:sz w:val="20"/>
        </w:rPr>
        <w:t xml:space="preserve"> </w:t>
      </w:r>
      <w:r>
        <w:rPr>
          <w:sz w:val="20"/>
        </w:rPr>
        <w:t>proposed</w:t>
      </w:r>
      <w:r>
        <w:rPr>
          <w:spacing w:val="-3"/>
          <w:sz w:val="20"/>
        </w:rPr>
        <w:t xml:space="preserve"> </w:t>
      </w:r>
      <w:r>
        <w:rPr>
          <w:sz w:val="20"/>
        </w:rPr>
        <w:t>changes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UCPR</w:t>
      </w:r>
      <w:r>
        <w:rPr>
          <w:spacing w:val="-3"/>
          <w:sz w:val="20"/>
        </w:rPr>
        <w:t xml:space="preserve"> </w:t>
      </w:r>
      <w:r>
        <w:rPr>
          <w:sz w:val="20"/>
        </w:rPr>
        <w:t>regarding</w:t>
      </w:r>
      <w:r>
        <w:rPr>
          <w:spacing w:val="-3"/>
          <w:sz w:val="20"/>
        </w:rPr>
        <w:t xml:space="preserve"> </w:t>
      </w:r>
      <w:r>
        <w:rPr>
          <w:sz w:val="20"/>
        </w:rPr>
        <w:t>access</w:t>
      </w:r>
      <w:r>
        <w:rPr>
          <w:spacing w:val="-3"/>
          <w:sz w:val="20"/>
        </w:rPr>
        <w:t xml:space="preserve"> </w:t>
      </w:r>
      <w:r>
        <w:rPr>
          <w:sz w:val="20"/>
        </w:rPr>
        <w:t>to</w:t>
      </w:r>
      <w:r>
        <w:rPr>
          <w:spacing w:val="-3"/>
          <w:sz w:val="20"/>
        </w:rPr>
        <w:t xml:space="preserve"> </w:t>
      </w:r>
      <w:r>
        <w:rPr>
          <w:sz w:val="20"/>
        </w:rPr>
        <w:t>court</w:t>
      </w:r>
      <w:r>
        <w:rPr>
          <w:spacing w:val="-3"/>
          <w:sz w:val="20"/>
        </w:rPr>
        <w:t xml:space="preserve"> </w:t>
      </w:r>
      <w:r>
        <w:rPr>
          <w:sz w:val="20"/>
        </w:rPr>
        <w:t>documents</w:t>
      </w:r>
      <w:r>
        <w:rPr>
          <w:spacing w:val="-3"/>
          <w:sz w:val="20"/>
        </w:rPr>
        <w:t xml:space="preserve"> </w:t>
      </w:r>
      <w:r>
        <w:rPr>
          <w:sz w:val="20"/>
        </w:rPr>
        <w:t>by</w:t>
      </w:r>
      <w:r>
        <w:rPr>
          <w:spacing w:val="-3"/>
          <w:sz w:val="20"/>
        </w:rPr>
        <w:t xml:space="preserve"> </w:t>
      </w:r>
      <w:r>
        <w:rPr>
          <w:sz w:val="20"/>
        </w:rPr>
        <w:t>non-parties.</w:t>
      </w:r>
    </w:p>
    <w:p w14:paraId="69AC5A19" w14:textId="77777777" w:rsidR="00AC6F3C" w:rsidRDefault="00AC6F3C">
      <w:pPr>
        <w:pStyle w:val="BodyText"/>
        <w:spacing w:before="9"/>
        <w:rPr>
          <w:sz w:val="22"/>
        </w:rPr>
      </w:pPr>
    </w:p>
    <w:p w14:paraId="1409617A" w14:textId="77777777" w:rsidR="00AC6F3C" w:rsidRDefault="00570E88">
      <w:pPr>
        <w:pStyle w:val="Heading9"/>
      </w:pPr>
      <w:r>
        <w:t>2022</w:t>
      </w:r>
      <w:r>
        <w:rPr>
          <w:spacing w:val="-2"/>
        </w:rPr>
        <w:t xml:space="preserve"> </w:t>
      </w:r>
      <w:r>
        <w:t>Inquiry</w:t>
      </w:r>
      <w:r>
        <w:rPr>
          <w:spacing w:val="-2"/>
        </w:rPr>
        <w:t xml:space="preserve"> </w:t>
      </w:r>
      <w:r>
        <w:t>into</w:t>
      </w:r>
      <w:r>
        <w:rPr>
          <w:spacing w:val="-2"/>
        </w:rPr>
        <w:t xml:space="preserve"> </w:t>
      </w:r>
      <w:r>
        <w:t>Legal</w:t>
      </w:r>
      <w:r>
        <w:rPr>
          <w:spacing w:val="-2"/>
        </w:rPr>
        <w:t xml:space="preserve"> </w:t>
      </w:r>
      <w:r>
        <w:t>Practitioners’</w:t>
      </w:r>
      <w:r>
        <w:rPr>
          <w:spacing w:val="-15"/>
        </w:rPr>
        <w:t xml:space="preserve"> </w:t>
      </w:r>
      <w:r>
        <w:t>Scale</w:t>
      </w:r>
      <w:r>
        <w:rPr>
          <w:spacing w:val="-2"/>
        </w:rPr>
        <w:t xml:space="preserve"> </w:t>
      </w:r>
      <w:r>
        <w:t>of</w:t>
      </w:r>
      <w:r>
        <w:rPr>
          <w:spacing w:val="-1"/>
        </w:rPr>
        <w:t xml:space="preserve"> </w:t>
      </w:r>
      <w:r>
        <w:rPr>
          <w:spacing w:val="-2"/>
        </w:rPr>
        <w:t>Costs</w:t>
      </w:r>
    </w:p>
    <w:p w14:paraId="46ED4A7B" w14:textId="77777777" w:rsidR="00AC6F3C" w:rsidRDefault="00570E88">
      <w:pPr>
        <w:pStyle w:val="ListParagraph"/>
        <w:numPr>
          <w:ilvl w:val="0"/>
          <w:numId w:val="58"/>
        </w:numPr>
        <w:tabs>
          <w:tab w:val="left" w:pos="1155"/>
        </w:tabs>
        <w:spacing w:before="176" w:line="249" w:lineRule="auto"/>
        <w:ind w:right="542"/>
        <w:rPr>
          <w:sz w:val="20"/>
        </w:rPr>
      </w:pPr>
      <w:r>
        <w:rPr>
          <w:sz w:val="20"/>
        </w:rPr>
        <w:t>Provided comments for inclusion in the Law Council of</w:t>
      </w:r>
      <w:r>
        <w:rPr>
          <w:spacing w:val="-5"/>
          <w:sz w:val="20"/>
        </w:rPr>
        <w:t xml:space="preserve"> </w:t>
      </w:r>
      <w:r>
        <w:rPr>
          <w:sz w:val="20"/>
        </w:rPr>
        <w:t>Australia’s submission to the Joint Costs Advisory</w:t>
      </w:r>
      <w:r>
        <w:rPr>
          <w:spacing w:val="-3"/>
          <w:sz w:val="20"/>
        </w:rPr>
        <w:t xml:space="preserve"> </w:t>
      </w:r>
      <w:r>
        <w:rPr>
          <w:sz w:val="20"/>
        </w:rPr>
        <w:t>Committee</w:t>
      </w:r>
      <w:r>
        <w:rPr>
          <w:spacing w:val="-3"/>
          <w:sz w:val="20"/>
        </w:rPr>
        <w:t xml:space="preserve"> </w:t>
      </w:r>
      <w:r>
        <w:rPr>
          <w:sz w:val="20"/>
        </w:rPr>
        <w:t>(JCAC)</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its</w:t>
      </w:r>
      <w:r>
        <w:rPr>
          <w:spacing w:val="-3"/>
          <w:sz w:val="20"/>
        </w:rPr>
        <w:t xml:space="preserve"> </w:t>
      </w:r>
      <w:r>
        <w:rPr>
          <w:sz w:val="20"/>
        </w:rPr>
        <w:t>2022</w:t>
      </w:r>
      <w:r>
        <w:rPr>
          <w:spacing w:val="-3"/>
          <w:sz w:val="20"/>
        </w:rPr>
        <w:t xml:space="preserve"> </w:t>
      </w:r>
      <w:r>
        <w:rPr>
          <w:sz w:val="20"/>
        </w:rPr>
        <w:t>Inquiry</w:t>
      </w:r>
      <w:r>
        <w:rPr>
          <w:spacing w:val="-3"/>
          <w:sz w:val="20"/>
        </w:rPr>
        <w:t xml:space="preserve"> </w:t>
      </w:r>
      <w:r>
        <w:rPr>
          <w:sz w:val="20"/>
        </w:rPr>
        <w:t>into</w:t>
      </w:r>
      <w:r>
        <w:rPr>
          <w:spacing w:val="-3"/>
          <w:sz w:val="20"/>
        </w:rPr>
        <w:t xml:space="preserve"> </w:t>
      </w:r>
      <w:r>
        <w:rPr>
          <w:sz w:val="20"/>
        </w:rPr>
        <w:t>Legal</w:t>
      </w:r>
      <w:r>
        <w:rPr>
          <w:spacing w:val="-3"/>
          <w:sz w:val="20"/>
        </w:rPr>
        <w:t xml:space="preserve"> </w:t>
      </w:r>
      <w:r>
        <w:rPr>
          <w:sz w:val="20"/>
        </w:rPr>
        <w:t>Practitioners’</w:t>
      </w:r>
      <w:r>
        <w:rPr>
          <w:spacing w:val="-10"/>
          <w:sz w:val="20"/>
        </w:rPr>
        <w:t xml:space="preserve"> </w:t>
      </w:r>
      <w:r>
        <w:rPr>
          <w:sz w:val="20"/>
        </w:rPr>
        <w:t>Scale</w:t>
      </w:r>
      <w:r>
        <w:rPr>
          <w:spacing w:val="-3"/>
          <w:sz w:val="20"/>
        </w:rPr>
        <w:t xml:space="preserve"> </w:t>
      </w:r>
      <w:r>
        <w:rPr>
          <w:sz w:val="20"/>
        </w:rPr>
        <w:t>of</w:t>
      </w:r>
      <w:r>
        <w:rPr>
          <w:spacing w:val="-3"/>
          <w:sz w:val="20"/>
        </w:rPr>
        <w:t xml:space="preserve"> </w:t>
      </w:r>
      <w:r>
        <w:rPr>
          <w:sz w:val="20"/>
        </w:rPr>
        <w:t>Costs.</w:t>
      </w:r>
    </w:p>
    <w:p w14:paraId="184F1D43" w14:textId="77777777" w:rsidR="00AC6F3C" w:rsidRDefault="00AC6F3C">
      <w:pPr>
        <w:spacing w:line="249" w:lineRule="auto"/>
        <w:rPr>
          <w:sz w:val="20"/>
        </w:rPr>
        <w:sectPr w:rsidR="00AC6F3C">
          <w:headerReference w:type="default" r:id="rId92"/>
          <w:footerReference w:type="default" r:id="rId93"/>
          <w:pgSz w:w="11910" w:h="16840"/>
          <w:pgMar w:top="1500" w:right="1160" w:bottom="520" w:left="460" w:header="1230" w:footer="336" w:gutter="0"/>
          <w:cols w:space="720"/>
        </w:sectPr>
      </w:pPr>
    </w:p>
    <w:p w14:paraId="2E225F3E" w14:textId="77777777" w:rsidR="00AC6F3C" w:rsidRDefault="00570E88">
      <w:pPr>
        <w:pStyle w:val="ListParagraph"/>
        <w:numPr>
          <w:ilvl w:val="0"/>
          <w:numId w:val="58"/>
        </w:numPr>
        <w:tabs>
          <w:tab w:val="left" w:pos="1155"/>
        </w:tabs>
        <w:spacing w:before="176"/>
        <w:ind w:hanging="340"/>
        <w:rPr>
          <w:sz w:val="20"/>
        </w:rPr>
      </w:pPr>
      <w:r>
        <w:rPr>
          <w:sz w:val="20"/>
        </w:rPr>
        <w:lastRenderedPageBreak/>
        <w:t>Provided</w:t>
      </w:r>
      <w:r>
        <w:rPr>
          <w:spacing w:val="-4"/>
          <w:sz w:val="20"/>
        </w:rPr>
        <w:t xml:space="preserve"> </w:t>
      </w:r>
      <w:r>
        <w:rPr>
          <w:sz w:val="20"/>
        </w:rPr>
        <w:t>member</w:t>
      </w:r>
      <w:r>
        <w:rPr>
          <w:spacing w:val="-3"/>
          <w:sz w:val="20"/>
        </w:rPr>
        <w:t xml:space="preserve"> </w:t>
      </w:r>
      <w:r>
        <w:rPr>
          <w:sz w:val="20"/>
        </w:rPr>
        <w:t>feedback</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Queensland</w:t>
      </w:r>
      <w:r>
        <w:rPr>
          <w:spacing w:val="-4"/>
          <w:sz w:val="20"/>
        </w:rPr>
        <w:t xml:space="preserve"> </w:t>
      </w:r>
      <w:r>
        <w:rPr>
          <w:sz w:val="20"/>
        </w:rPr>
        <w:t>Government</w:t>
      </w:r>
      <w:r>
        <w:rPr>
          <w:spacing w:val="-3"/>
          <w:sz w:val="20"/>
        </w:rPr>
        <w:t xml:space="preserve"> </w:t>
      </w:r>
      <w:r>
        <w:rPr>
          <w:sz w:val="20"/>
        </w:rPr>
        <w:t>regarding</w:t>
      </w:r>
      <w:r>
        <w:rPr>
          <w:spacing w:val="-3"/>
          <w:sz w:val="20"/>
        </w:rPr>
        <w:t xml:space="preserve"> </w:t>
      </w:r>
      <w:r>
        <w:rPr>
          <w:sz w:val="20"/>
        </w:rPr>
        <w:t>its</w:t>
      </w:r>
      <w:r>
        <w:rPr>
          <w:spacing w:val="-4"/>
          <w:sz w:val="20"/>
        </w:rPr>
        <w:t xml:space="preserve"> </w:t>
      </w:r>
      <w:r>
        <w:rPr>
          <w:sz w:val="20"/>
        </w:rPr>
        <w:t>new</w:t>
      </w:r>
      <w:r>
        <w:rPr>
          <w:spacing w:val="-3"/>
          <w:sz w:val="20"/>
        </w:rPr>
        <w:t xml:space="preserve"> </w:t>
      </w:r>
      <w:proofErr w:type="spellStart"/>
      <w:r>
        <w:rPr>
          <w:sz w:val="20"/>
        </w:rPr>
        <w:t>QTranscripts</w:t>
      </w:r>
      <w:proofErr w:type="spellEnd"/>
      <w:r>
        <w:rPr>
          <w:spacing w:val="-3"/>
          <w:sz w:val="20"/>
        </w:rPr>
        <w:t xml:space="preserve"> </w:t>
      </w:r>
      <w:proofErr w:type="gramStart"/>
      <w:r>
        <w:rPr>
          <w:spacing w:val="-2"/>
          <w:sz w:val="20"/>
        </w:rPr>
        <w:t>court</w:t>
      </w:r>
      <w:proofErr w:type="gramEnd"/>
    </w:p>
    <w:p w14:paraId="77ACA76F" w14:textId="77777777" w:rsidR="00AC6F3C" w:rsidRDefault="00570E88">
      <w:pPr>
        <w:pStyle w:val="BodyText"/>
        <w:spacing w:before="10"/>
        <w:ind w:left="1155"/>
      </w:pPr>
      <w:r>
        <w:t>transcription</w:t>
      </w:r>
      <w:r>
        <w:rPr>
          <w:spacing w:val="-12"/>
        </w:rPr>
        <w:t xml:space="preserve"> </w:t>
      </w:r>
      <w:r>
        <w:rPr>
          <w:spacing w:val="-2"/>
        </w:rPr>
        <w:t>service.</w:t>
      </w:r>
    </w:p>
    <w:p w14:paraId="35A04C54" w14:textId="77777777" w:rsidR="00AC6F3C" w:rsidRDefault="00570E88">
      <w:pPr>
        <w:pStyle w:val="ListParagraph"/>
        <w:numPr>
          <w:ilvl w:val="0"/>
          <w:numId w:val="58"/>
        </w:numPr>
        <w:tabs>
          <w:tab w:val="left" w:pos="1155"/>
        </w:tabs>
        <w:spacing w:line="249" w:lineRule="auto"/>
        <w:ind w:right="601"/>
        <w:rPr>
          <w:sz w:val="20"/>
        </w:rPr>
      </w:pPr>
      <w:r>
        <w:rPr>
          <w:sz w:val="20"/>
        </w:rPr>
        <w:t>Worked</w:t>
      </w:r>
      <w:r>
        <w:rPr>
          <w:spacing w:val="-4"/>
          <w:sz w:val="20"/>
        </w:rPr>
        <w:t xml:space="preserve"> </w:t>
      </w:r>
      <w:r>
        <w:rPr>
          <w:sz w:val="20"/>
        </w:rPr>
        <w:t>with</w:t>
      </w:r>
      <w:r>
        <w:rPr>
          <w:spacing w:val="-4"/>
          <w:sz w:val="20"/>
        </w:rPr>
        <w:t xml:space="preserve"> </w:t>
      </w:r>
      <w:proofErr w:type="spellStart"/>
      <w:r>
        <w:rPr>
          <w:sz w:val="20"/>
        </w:rPr>
        <w:t>QTranscripts</w:t>
      </w:r>
      <w:proofErr w:type="spellEnd"/>
      <w:r>
        <w:rPr>
          <w:spacing w:val="-4"/>
          <w:sz w:val="20"/>
        </w:rPr>
        <w:t xml:space="preserve"> </w:t>
      </w:r>
      <w:r>
        <w:rPr>
          <w:sz w:val="20"/>
        </w:rPr>
        <w:t>to</w:t>
      </w:r>
      <w:r>
        <w:rPr>
          <w:spacing w:val="-4"/>
          <w:sz w:val="20"/>
        </w:rPr>
        <w:t xml:space="preserve"> </w:t>
      </w:r>
      <w:r>
        <w:rPr>
          <w:sz w:val="20"/>
        </w:rPr>
        <w:t>address</w:t>
      </w:r>
      <w:r>
        <w:rPr>
          <w:spacing w:val="-4"/>
          <w:sz w:val="20"/>
        </w:rPr>
        <w:t xml:space="preserve"> </w:t>
      </w:r>
      <w:r>
        <w:rPr>
          <w:sz w:val="20"/>
        </w:rPr>
        <w:t>issues</w:t>
      </w:r>
      <w:r>
        <w:rPr>
          <w:spacing w:val="-4"/>
          <w:sz w:val="20"/>
        </w:rPr>
        <w:t xml:space="preserve"> </w:t>
      </w:r>
      <w:proofErr w:type="gramStart"/>
      <w:r>
        <w:rPr>
          <w:sz w:val="20"/>
        </w:rPr>
        <w:t>being</w:t>
      </w:r>
      <w:r>
        <w:rPr>
          <w:spacing w:val="-4"/>
          <w:sz w:val="20"/>
        </w:rPr>
        <w:t xml:space="preserve"> </w:t>
      </w:r>
      <w:r>
        <w:rPr>
          <w:sz w:val="20"/>
        </w:rPr>
        <w:t>experienced</w:t>
      </w:r>
      <w:proofErr w:type="gramEnd"/>
      <w:r>
        <w:rPr>
          <w:spacing w:val="-4"/>
          <w:sz w:val="20"/>
        </w:rPr>
        <w:t xml:space="preserve"> </w:t>
      </w:r>
      <w:r>
        <w:rPr>
          <w:sz w:val="20"/>
        </w:rPr>
        <w:t>by</w:t>
      </w:r>
      <w:r>
        <w:rPr>
          <w:spacing w:val="-4"/>
          <w:sz w:val="20"/>
        </w:rPr>
        <w:t xml:space="preserve"> </w:t>
      </w:r>
      <w:r>
        <w:rPr>
          <w:sz w:val="20"/>
        </w:rPr>
        <w:t>members,</w:t>
      </w:r>
      <w:r>
        <w:rPr>
          <w:spacing w:val="-4"/>
          <w:sz w:val="20"/>
        </w:rPr>
        <w:t xml:space="preserve"> </w:t>
      </w:r>
      <w:r>
        <w:rPr>
          <w:sz w:val="20"/>
        </w:rPr>
        <w:t>including</w:t>
      </w:r>
      <w:r>
        <w:rPr>
          <w:spacing w:val="-4"/>
          <w:sz w:val="20"/>
        </w:rPr>
        <w:t xml:space="preserve"> </w:t>
      </w:r>
      <w:r>
        <w:rPr>
          <w:sz w:val="20"/>
        </w:rPr>
        <w:t>transcript delays and over-inflated transcript quotes.</w:t>
      </w:r>
    </w:p>
    <w:p w14:paraId="619D07DB" w14:textId="77777777" w:rsidR="00AC6F3C" w:rsidRDefault="00AC6F3C">
      <w:pPr>
        <w:pStyle w:val="BodyText"/>
        <w:spacing w:before="9"/>
        <w:rPr>
          <w:sz w:val="22"/>
        </w:rPr>
      </w:pPr>
    </w:p>
    <w:p w14:paraId="6043587D" w14:textId="77777777" w:rsidR="00AC6F3C" w:rsidRDefault="00570E88">
      <w:pPr>
        <w:pStyle w:val="Heading9"/>
      </w:pPr>
      <w:r>
        <w:t>Journalist</w:t>
      </w:r>
      <w:r>
        <w:rPr>
          <w:spacing w:val="-2"/>
        </w:rPr>
        <w:t xml:space="preserve"> </w:t>
      </w:r>
      <w:r>
        <w:t>shield</w:t>
      </w:r>
      <w:r>
        <w:rPr>
          <w:spacing w:val="-1"/>
        </w:rPr>
        <w:t xml:space="preserve"> </w:t>
      </w:r>
      <w:r>
        <w:t>laws</w:t>
      </w:r>
      <w:r>
        <w:rPr>
          <w:spacing w:val="-1"/>
        </w:rPr>
        <w:t xml:space="preserve"> </w:t>
      </w:r>
      <w:r>
        <w:t>to</w:t>
      </w:r>
      <w:r>
        <w:rPr>
          <w:spacing w:val="-1"/>
        </w:rPr>
        <w:t xml:space="preserve"> </w:t>
      </w:r>
      <w:r>
        <w:t>the</w:t>
      </w:r>
      <w:r>
        <w:rPr>
          <w:spacing w:val="-1"/>
        </w:rPr>
        <w:t xml:space="preserve"> </w:t>
      </w:r>
      <w:r>
        <w:t>Crime</w:t>
      </w:r>
      <w:r>
        <w:rPr>
          <w:spacing w:val="-1"/>
        </w:rPr>
        <w:t xml:space="preserve"> </w:t>
      </w:r>
      <w:r>
        <w:t>and</w:t>
      </w:r>
      <w:r>
        <w:rPr>
          <w:spacing w:val="-1"/>
        </w:rPr>
        <w:t xml:space="preserve"> </w:t>
      </w:r>
      <w:r>
        <w:t>Corruption</w:t>
      </w:r>
      <w:r>
        <w:rPr>
          <w:spacing w:val="-1"/>
        </w:rPr>
        <w:t xml:space="preserve"> </w:t>
      </w:r>
      <w:r>
        <w:rPr>
          <w:spacing w:val="-2"/>
        </w:rPr>
        <w:t>Commission</w:t>
      </w:r>
    </w:p>
    <w:p w14:paraId="12A69DE3" w14:textId="77777777" w:rsidR="00AC6F3C" w:rsidRDefault="00570E88">
      <w:pPr>
        <w:pStyle w:val="ListParagraph"/>
        <w:numPr>
          <w:ilvl w:val="0"/>
          <w:numId w:val="58"/>
        </w:numPr>
        <w:tabs>
          <w:tab w:val="left" w:pos="1155"/>
        </w:tabs>
        <w:spacing w:before="176" w:line="249" w:lineRule="auto"/>
        <w:ind w:right="456"/>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Queensland</w:t>
      </w:r>
      <w:r>
        <w:rPr>
          <w:spacing w:val="-14"/>
          <w:sz w:val="20"/>
        </w:rPr>
        <w:t xml:space="preserve"> </w:t>
      </w:r>
      <w:r>
        <w:rPr>
          <w:sz w:val="20"/>
        </w:rPr>
        <w:t>Attorney-General</w:t>
      </w:r>
      <w:r>
        <w:rPr>
          <w:spacing w:val="-3"/>
          <w:sz w:val="20"/>
        </w:rPr>
        <w:t xml:space="preserve"> </w:t>
      </w:r>
      <w:r>
        <w:rPr>
          <w:sz w:val="20"/>
        </w:rPr>
        <w:t>in</w:t>
      </w:r>
      <w:r>
        <w:rPr>
          <w:spacing w:val="-3"/>
          <w:sz w:val="20"/>
        </w:rPr>
        <w:t xml:space="preserve"> </w:t>
      </w:r>
      <w:r>
        <w:rPr>
          <w:sz w:val="20"/>
        </w:rPr>
        <w:t>support</w:t>
      </w:r>
      <w:r>
        <w:rPr>
          <w:spacing w:val="-3"/>
          <w:sz w:val="20"/>
        </w:rPr>
        <w:t xml:space="preserve"> </w:t>
      </w:r>
      <w:r>
        <w:rPr>
          <w:sz w:val="20"/>
        </w:rPr>
        <w:t>of</w:t>
      </w:r>
      <w:r>
        <w:rPr>
          <w:spacing w:val="-3"/>
          <w:sz w:val="20"/>
        </w:rPr>
        <w:t xml:space="preserve"> </w:t>
      </w:r>
      <w:r>
        <w:rPr>
          <w:sz w:val="20"/>
        </w:rPr>
        <w:t>extending</w:t>
      </w:r>
      <w:r>
        <w:rPr>
          <w:spacing w:val="-3"/>
          <w:sz w:val="20"/>
        </w:rPr>
        <w:t xml:space="preserve"> </w:t>
      </w:r>
      <w:r>
        <w:rPr>
          <w:sz w:val="20"/>
        </w:rPr>
        <w:t>journalist shield laws to the Crime and Corruption Commission.</w:t>
      </w:r>
    </w:p>
    <w:p w14:paraId="1D03C537" w14:textId="77777777" w:rsidR="00AC6F3C" w:rsidRDefault="00AC6F3C">
      <w:pPr>
        <w:pStyle w:val="BodyText"/>
        <w:spacing w:before="8"/>
        <w:rPr>
          <w:sz w:val="22"/>
        </w:rPr>
      </w:pPr>
    </w:p>
    <w:p w14:paraId="34B187DA" w14:textId="77777777" w:rsidR="00AC6F3C" w:rsidRDefault="00570E88">
      <w:pPr>
        <w:pStyle w:val="Heading9"/>
        <w:spacing w:before="1"/>
      </w:pPr>
      <w:r>
        <w:t>Draft</w:t>
      </w:r>
      <w:r>
        <w:rPr>
          <w:spacing w:val="-4"/>
        </w:rPr>
        <w:t xml:space="preserve"> </w:t>
      </w:r>
      <w:r>
        <w:t>best</w:t>
      </w:r>
      <w:r>
        <w:rPr>
          <w:spacing w:val="-3"/>
        </w:rPr>
        <w:t xml:space="preserve"> </w:t>
      </w:r>
      <w:r>
        <w:t>practice</w:t>
      </w:r>
      <w:r>
        <w:rPr>
          <w:spacing w:val="-3"/>
        </w:rPr>
        <w:t xml:space="preserve"> </w:t>
      </w:r>
      <w:r>
        <w:t>principles</w:t>
      </w:r>
      <w:r>
        <w:rPr>
          <w:spacing w:val="-4"/>
        </w:rPr>
        <w:t xml:space="preserve"> </w:t>
      </w:r>
      <w:r>
        <w:t>for</w:t>
      </w:r>
      <w:r>
        <w:rPr>
          <w:spacing w:val="-3"/>
        </w:rPr>
        <w:t xml:space="preserve"> </w:t>
      </w:r>
      <w:r>
        <w:t>Courts</w:t>
      </w:r>
      <w:r>
        <w:rPr>
          <w:spacing w:val="-3"/>
        </w:rPr>
        <w:t xml:space="preserve"> </w:t>
      </w:r>
      <w:r>
        <w:t>and</w:t>
      </w:r>
      <w:r>
        <w:rPr>
          <w:spacing w:val="-3"/>
        </w:rPr>
        <w:t xml:space="preserve"> </w:t>
      </w:r>
      <w:r>
        <w:rPr>
          <w:spacing w:val="-2"/>
        </w:rPr>
        <w:t>Tribunals</w:t>
      </w:r>
    </w:p>
    <w:p w14:paraId="19B58ADE" w14:textId="77777777" w:rsidR="00AC6F3C" w:rsidRDefault="00570E88">
      <w:pPr>
        <w:pStyle w:val="ListParagraph"/>
        <w:numPr>
          <w:ilvl w:val="0"/>
          <w:numId w:val="58"/>
        </w:numPr>
        <w:tabs>
          <w:tab w:val="left" w:pos="1155"/>
        </w:tabs>
        <w:spacing w:before="175" w:line="249" w:lineRule="auto"/>
        <w:ind w:right="168"/>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Council</w:t>
      </w:r>
      <w:r>
        <w:rPr>
          <w:spacing w:val="-3"/>
          <w:sz w:val="20"/>
        </w:rPr>
        <w:t xml:space="preserve"> </w:t>
      </w:r>
      <w:r>
        <w:rPr>
          <w:sz w:val="20"/>
        </w:rPr>
        <w:t>of</w:t>
      </w:r>
      <w:r>
        <w:rPr>
          <w:spacing w:val="-13"/>
          <w:sz w:val="20"/>
        </w:rPr>
        <w:t xml:space="preserve"> </w:t>
      </w:r>
      <w:r>
        <w:rPr>
          <w:sz w:val="20"/>
        </w:rPr>
        <w:t>Australia</w:t>
      </w:r>
      <w:r>
        <w:rPr>
          <w:spacing w:val="-3"/>
          <w:sz w:val="20"/>
        </w:rPr>
        <w:t xml:space="preserve"> </w:t>
      </w:r>
      <w:r>
        <w:rPr>
          <w:sz w:val="20"/>
        </w:rPr>
        <w:t>regarding</w:t>
      </w:r>
      <w:r>
        <w:rPr>
          <w:spacing w:val="-3"/>
          <w:sz w:val="20"/>
        </w:rPr>
        <w:t xml:space="preserve"> </w:t>
      </w:r>
      <w:r>
        <w:rPr>
          <w:sz w:val="20"/>
        </w:rPr>
        <w:t>draft</w:t>
      </w:r>
      <w:r>
        <w:rPr>
          <w:spacing w:val="-3"/>
          <w:sz w:val="20"/>
        </w:rPr>
        <w:t xml:space="preserve"> </w:t>
      </w:r>
      <w:r>
        <w:rPr>
          <w:sz w:val="20"/>
        </w:rPr>
        <w:t>best</w:t>
      </w:r>
      <w:r>
        <w:rPr>
          <w:spacing w:val="-3"/>
          <w:sz w:val="20"/>
        </w:rPr>
        <w:t xml:space="preserve"> </w:t>
      </w:r>
      <w:r>
        <w:rPr>
          <w:sz w:val="20"/>
        </w:rPr>
        <w:t>practice</w:t>
      </w:r>
      <w:r>
        <w:rPr>
          <w:spacing w:val="-3"/>
          <w:sz w:val="20"/>
        </w:rPr>
        <w:t xml:space="preserve"> </w:t>
      </w:r>
      <w:r>
        <w:rPr>
          <w:sz w:val="20"/>
        </w:rPr>
        <w:t>principles</w:t>
      </w:r>
      <w:r>
        <w:rPr>
          <w:spacing w:val="-3"/>
          <w:sz w:val="20"/>
        </w:rPr>
        <w:t xml:space="preserve"> </w:t>
      </w:r>
      <w:r>
        <w:rPr>
          <w:sz w:val="20"/>
        </w:rPr>
        <w:t>for Courts and Tribunals when considering the appropriateness of online proceedings.</w:t>
      </w:r>
    </w:p>
    <w:p w14:paraId="649D23DD" w14:textId="77777777" w:rsidR="00AC6F3C" w:rsidRDefault="00AC6F3C">
      <w:pPr>
        <w:pStyle w:val="BodyText"/>
        <w:spacing w:before="9"/>
        <w:rPr>
          <w:sz w:val="22"/>
        </w:rPr>
      </w:pPr>
    </w:p>
    <w:p w14:paraId="7B75BE7B" w14:textId="77777777" w:rsidR="00AC6F3C" w:rsidRDefault="00570E88">
      <w:pPr>
        <w:pStyle w:val="Heading9"/>
      </w:pPr>
      <w:r>
        <w:t>Witness’</w:t>
      </w:r>
      <w:r>
        <w:rPr>
          <w:spacing w:val="-16"/>
        </w:rPr>
        <w:t xml:space="preserve"> </w:t>
      </w:r>
      <w:r>
        <w:t>place</w:t>
      </w:r>
      <w:r>
        <w:rPr>
          <w:spacing w:val="-5"/>
        </w:rPr>
        <w:t xml:space="preserve"> </w:t>
      </w:r>
      <w:r>
        <w:t>of</w:t>
      </w:r>
      <w:r>
        <w:rPr>
          <w:spacing w:val="-4"/>
        </w:rPr>
        <w:t xml:space="preserve"> </w:t>
      </w:r>
      <w:r>
        <w:t>employment</w:t>
      </w:r>
      <w:r>
        <w:rPr>
          <w:spacing w:val="-4"/>
        </w:rPr>
        <w:t xml:space="preserve"> </w:t>
      </w:r>
      <w:r>
        <w:t>on</w:t>
      </w:r>
      <w:r>
        <w:rPr>
          <w:spacing w:val="-5"/>
        </w:rPr>
        <w:t xml:space="preserve"> </w:t>
      </w:r>
      <w:proofErr w:type="gramStart"/>
      <w:r>
        <w:t>affidavits</w:t>
      </w:r>
      <w:proofErr w:type="gramEnd"/>
      <w:r>
        <w:rPr>
          <w:spacing w:val="-4"/>
        </w:rPr>
        <w:t xml:space="preserve"> </w:t>
      </w:r>
      <w:r>
        <w:t>and</w:t>
      </w:r>
      <w:r>
        <w:rPr>
          <w:spacing w:val="-4"/>
        </w:rPr>
        <w:t xml:space="preserve"> </w:t>
      </w:r>
      <w:r>
        <w:t>statutory</w:t>
      </w:r>
      <w:r>
        <w:rPr>
          <w:spacing w:val="-4"/>
        </w:rPr>
        <w:t xml:space="preserve"> </w:t>
      </w:r>
      <w:r>
        <w:rPr>
          <w:spacing w:val="-2"/>
        </w:rPr>
        <w:t>declarations</w:t>
      </w:r>
    </w:p>
    <w:p w14:paraId="6F1975C8" w14:textId="77777777" w:rsidR="00AC6F3C" w:rsidRDefault="00570E88">
      <w:pPr>
        <w:pStyle w:val="ListParagraph"/>
        <w:numPr>
          <w:ilvl w:val="0"/>
          <w:numId w:val="58"/>
        </w:numPr>
        <w:tabs>
          <w:tab w:val="left" w:pos="1155"/>
        </w:tabs>
        <w:spacing w:before="176" w:line="249" w:lineRule="auto"/>
        <w:ind w:right="801"/>
        <w:rPr>
          <w:sz w:val="20"/>
        </w:rPr>
      </w:pPr>
      <w:r>
        <w:rPr>
          <w:sz w:val="20"/>
        </w:rPr>
        <w:t>Provided feedback for a submission to the Department of Justice and</w:t>
      </w:r>
      <w:r>
        <w:rPr>
          <w:spacing w:val="-11"/>
          <w:sz w:val="20"/>
        </w:rPr>
        <w:t xml:space="preserve"> </w:t>
      </w:r>
      <w:r>
        <w:rPr>
          <w:sz w:val="20"/>
        </w:rPr>
        <w:t>Attorney-General on the requirement</w:t>
      </w:r>
      <w:r>
        <w:rPr>
          <w:spacing w:val="-4"/>
          <w:sz w:val="20"/>
        </w:rPr>
        <w:t xml:space="preserve"> </w:t>
      </w:r>
      <w:r>
        <w:rPr>
          <w:sz w:val="20"/>
        </w:rPr>
        <w:t>to</w:t>
      </w:r>
      <w:r>
        <w:rPr>
          <w:spacing w:val="-4"/>
          <w:sz w:val="20"/>
        </w:rPr>
        <w:t xml:space="preserve"> </w:t>
      </w:r>
      <w:r>
        <w:rPr>
          <w:sz w:val="20"/>
        </w:rPr>
        <w:t>include</w:t>
      </w:r>
      <w:r>
        <w:rPr>
          <w:spacing w:val="-4"/>
          <w:sz w:val="20"/>
        </w:rPr>
        <w:t xml:space="preserve"> </w:t>
      </w:r>
      <w:r>
        <w:rPr>
          <w:sz w:val="20"/>
        </w:rPr>
        <w:t>a</w:t>
      </w:r>
      <w:r>
        <w:rPr>
          <w:spacing w:val="-4"/>
          <w:sz w:val="20"/>
        </w:rPr>
        <w:t xml:space="preserve"> </w:t>
      </w:r>
      <w:r>
        <w:rPr>
          <w:sz w:val="20"/>
        </w:rPr>
        <w:t>witness’</w:t>
      </w:r>
      <w:r>
        <w:rPr>
          <w:spacing w:val="-11"/>
          <w:sz w:val="20"/>
        </w:rPr>
        <w:t xml:space="preserve"> </w:t>
      </w:r>
      <w:r>
        <w:rPr>
          <w:sz w:val="20"/>
        </w:rPr>
        <w:t>place</w:t>
      </w:r>
      <w:r>
        <w:rPr>
          <w:spacing w:val="-4"/>
          <w:sz w:val="20"/>
        </w:rPr>
        <w:t xml:space="preserve"> </w:t>
      </w:r>
      <w:r>
        <w:rPr>
          <w:sz w:val="20"/>
        </w:rPr>
        <w:t>of</w:t>
      </w:r>
      <w:r>
        <w:rPr>
          <w:spacing w:val="-4"/>
          <w:sz w:val="20"/>
        </w:rPr>
        <w:t xml:space="preserve"> </w:t>
      </w:r>
      <w:r>
        <w:rPr>
          <w:sz w:val="20"/>
        </w:rPr>
        <w:t>employment</w:t>
      </w:r>
      <w:r>
        <w:rPr>
          <w:spacing w:val="-4"/>
          <w:sz w:val="20"/>
        </w:rPr>
        <w:t xml:space="preserve"> </w:t>
      </w:r>
      <w:r>
        <w:rPr>
          <w:sz w:val="20"/>
        </w:rPr>
        <w:t>on</w:t>
      </w:r>
      <w:r>
        <w:rPr>
          <w:spacing w:val="-4"/>
          <w:sz w:val="20"/>
        </w:rPr>
        <w:t xml:space="preserve"> </w:t>
      </w:r>
      <w:proofErr w:type="gramStart"/>
      <w:r>
        <w:rPr>
          <w:sz w:val="20"/>
        </w:rPr>
        <w:t>affidavits</w:t>
      </w:r>
      <w:proofErr w:type="gramEnd"/>
      <w:r>
        <w:rPr>
          <w:spacing w:val="-4"/>
          <w:sz w:val="20"/>
        </w:rPr>
        <w:t xml:space="preserve"> </w:t>
      </w:r>
      <w:r>
        <w:rPr>
          <w:sz w:val="20"/>
        </w:rPr>
        <w:t>and</w:t>
      </w:r>
      <w:r>
        <w:rPr>
          <w:spacing w:val="-4"/>
          <w:sz w:val="20"/>
        </w:rPr>
        <w:t xml:space="preserve"> </w:t>
      </w:r>
      <w:r>
        <w:rPr>
          <w:sz w:val="20"/>
        </w:rPr>
        <w:t>statutory</w:t>
      </w:r>
      <w:r>
        <w:rPr>
          <w:spacing w:val="-4"/>
          <w:sz w:val="20"/>
        </w:rPr>
        <w:t xml:space="preserve"> </w:t>
      </w:r>
      <w:r>
        <w:rPr>
          <w:sz w:val="20"/>
        </w:rPr>
        <w:t>declarations.</w:t>
      </w:r>
    </w:p>
    <w:p w14:paraId="3EC878A9" w14:textId="77777777" w:rsidR="00AC6F3C" w:rsidRDefault="00AC6F3C">
      <w:pPr>
        <w:pStyle w:val="BodyText"/>
        <w:spacing w:before="9"/>
        <w:rPr>
          <w:sz w:val="22"/>
        </w:rPr>
      </w:pPr>
    </w:p>
    <w:p w14:paraId="2BC9C0BD" w14:textId="77777777" w:rsidR="00AC6F3C" w:rsidRDefault="00570E88">
      <w:pPr>
        <w:spacing w:line="249" w:lineRule="auto"/>
        <w:ind w:left="815"/>
        <w:rPr>
          <w:b/>
        </w:rPr>
      </w:pPr>
      <w:r>
        <w:rPr>
          <w:b/>
        </w:rPr>
        <w:t>Proposed</w:t>
      </w:r>
      <w:r>
        <w:rPr>
          <w:b/>
          <w:spacing w:val="-4"/>
        </w:rPr>
        <w:t xml:space="preserve"> </w:t>
      </w:r>
      <w:r>
        <w:rPr>
          <w:b/>
        </w:rPr>
        <w:t>reforms</w:t>
      </w:r>
      <w:r>
        <w:rPr>
          <w:b/>
          <w:spacing w:val="-4"/>
        </w:rPr>
        <w:t xml:space="preserve"> </w:t>
      </w:r>
      <w:r>
        <w:rPr>
          <w:b/>
        </w:rPr>
        <w:t>to</w:t>
      </w:r>
      <w:r>
        <w:rPr>
          <w:b/>
          <w:spacing w:val="-4"/>
        </w:rPr>
        <w:t xml:space="preserve"> </w:t>
      </w:r>
      <w:r>
        <w:rPr>
          <w:b/>
        </w:rPr>
        <w:t>section</w:t>
      </w:r>
      <w:r>
        <w:rPr>
          <w:b/>
          <w:spacing w:val="-4"/>
        </w:rPr>
        <w:t xml:space="preserve"> </w:t>
      </w:r>
      <w:r>
        <w:rPr>
          <w:b/>
        </w:rPr>
        <w:t>59</w:t>
      </w:r>
      <w:r>
        <w:rPr>
          <w:b/>
          <w:spacing w:val="-4"/>
        </w:rPr>
        <w:t xml:space="preserve"> </w:t>
      </w:r>
      <w:r>
        <w:rPr>
          <w:b/>
        </w:rPr>
        <w:t>of</w:t>
      </w:r>
      <w:r>
        <w:rPr>
          <w:b/>
          <w:spacing w:val="-4"/>
        </w:rPr>
        <w:t xml:space="preserve"> </w:t>
      </w:r>
      <w:r>
        <w:rPr>
          <w:b/>
        </w:rPr>
        <w:t>the</w:t>
      </w:r>
      <w:r>
        <w:rPr>
          <w:b/>
          <w:spacing w:val="-5"/>
        </w:rPr>
        <w:t xml:space="preserve"> </w:t>
      </w:r>
      <w:r>
        <w:rPr>
          <w:b/>
          <w:i/>
        </w:rPr>
        <w:t>Civil</w:t>
      </w:r>
      <w:r>
        <w:rPr>
          <w:b/>
          <w:i/>
          <w:spacing w:val="-4"/>
        </w:rPr>
        <w:t xml:space="preserve"> </w:t>
      </w:r>
      <w:r>
        <w:rPr>
          <w:b/>
          <w:i/>
        </w:rPr>
        <w:t>Proceedings</w:t>
      </w:r>
      <w:r>
        <w:rPr>
          <w:b/>
          <w:i/>
          <w:spacing w:val="-13"/>
        </w:rPr>
        <w:t xml:space="preserve"> </w:t>
      </w:r>
      <w:r>
        <w:rPr>
          <w:b/>
          <w:i/>
        </w:rPr>
        <w:t>Act</w:t>
      </w:r>
      <w:r>
        <w:rPr>
          <w:b/>
          <w:i/>
          <w:spacing w:val="-4"/>
        </w:rPr>
        <w:t xml:space="preserve"> </w:t>
      </w:r>
      <w:r>
        <w:rPr>
          <w:b/>
          <w:i/>
        </w:rPr>
        <w:t>2011</w:t>
      </w:r>
      <w:r>
        <w:rPr>
          <w:b/>
          <w:i/>
          <w:spacing w:val="-4"/>
        </w:rPr>
        <w:t xml:space="preserve"> </w:t>
      </w:r>
      <w:r>
        <w:rPr>
          <w:b/>
        </w:rPr>
        <w:t>(Qld)</w:t>
      </w:r>
      <w:r>
        <w:rPr>
          <w:b/>
          <w:spacing w:val="-4"/>
        </w:rPr>
        <w:t xml:space="preserve"> </w:t>
      </w:r>
      <w:r>
        <w:rPr>
          <w:b/>
        </w:rPr>
        <w:t>regarding</w:t>
      </w:r>
      <w:r>
        <w:rPr>
          <w:b/>
          <w:spacing w:val="-4"/>
        </w:rPr>
        <w:t xml:space="preserve"> </w:t>
      </w:r>
      <w:r>
        <w:rPr>
          <w:b/>
        </w:rPr>
        <w:t xml:space="preserve">interest after a money </w:t>
      </w:r>
      <w:proofErr w:type="gramStart"/>
      <w:r>
        <w:rPr>
          <w:b/>
        </w:rPr>
        <w:t>order</w:t>
      </w:r>
      <w:proofErr w:type="gramEnd"/>
    </w:p>
    <w:p w14:paraId="75F3E83A" w14:textId="77777777" w:rsidR="00AC6F3C" w:rsidRDefault="00570E88">
      <w:pPr>
        <w:pStyle w:val="ListParagraph"/>
        <w:numPr>
          <w:ilvl w:val="0"/>
          <w:numId w:val="58"/>
        </w:numPr>
        <w:tabs>
          <w:tab w:val="left" w:pos="1155"/>
        </w:tabs>
        <w:spacing w:before="167" w:line="249" w:lineRule="auto"/>
        <w:ind w:right="233"/>
        <w:rPr>
          <w:sz w:val="20"/>
        </w:rPr>
      </w:pPr>
      <w:r>
        <w:rPr>
          <w:sz w:val="20"/>
        </w:rPr>
        <w:t>Prepared a submission to the Department of Justice and</w:t>
      </w:r>
      <w:r>
        <w:rPr>
          <w:spacing w:val="-5"/>
          <w:sz w:val="20"/>
        </w:rPr>
        <w:t xml:space="preserve"> </w:t>
      </w:r>
      <w:r>
        <w:rPr>
          <w:sz w:val="20"/>
        </w:rPr>
        <w:t xml:space="preserve">Attorney-General in relation to proposed reforms to section 59 of the </w:t>
      </w:r>
      <w:r>
        <w:rPr>
          <w:i/>
          <w:sz w:val="20"/>
        </w:rPr>
        <w:t>Civil Proceedings</w:t>
      </w:r>
      <w:r>
        <w:rPr>
          <w:i/>
          <w:spacing w:val="-7"/>
          <w:sz w:val="20"/>
        </w:rPr>
        <w:t xml:space="preserve"> </w:t>
      </w:r>
      <w:r>
        <w:rPr>
          <w:i/>
          <w:sz w:val="20"/>
        </w:rPr>
        <w:t xml:space="preserve">Act 2011 </w:t>
      </w:r>
      <w:r>
        <w:rPr>
          <w:sz w:val="20"/>
        </w:rPr>
        <w:t>(Qld) regarding interest after a money order. The</w:t>
      </w:r>
      <w:r>
        <w:rPr>
          <w:spacing w:val="-3"/>
          <w:sz w:val="20"/>
        </w:rPr>
        <w:t xml:space="preserve"> </w:t>
      </w:r>
      <w:r>
        <w:rPr>
          <w:sz w:val="20"/>
        </w:rPr>
        <w:t>Department</w:t>
      </w:r>
      <w:r>
        <w:rPr>
          <w:spacing w:val="-3"/>
          <w:sz w:val="20"/>
        </w:rPr>
        <w:t xml:space="preserve"> </w:t>
      </w:r>
      <w:r>
        <w:rPr>
          <w:sz w:val="20"/>
        </w:rPr>
        <w:t>accepted</w:t>
      </w:r>
      <w:r>
        <w:rPr>
          <w:spacing w:val="-3"/>
          <w:sz w:val="20"/>
        </w:rPr>
        <w:t xml:space="preserve"> </w:t>
      </w:r>
      <w:r>
        <w:rPr>
          <w:sz w:val="20"/>
        </w:rPr>
        <w:t>our</w:t>
      </w:r>
      <w:r>
        <w:rPr>
          <w:spacing w:val="-3"/>
          <w:sz w:val="20"/>
        </w:rPr>
        <w:t xml:space="preserve"> </w:t>
      </w:r>
      <w:r>
        <w:rPr>
          <w:sz w:val="20"/>
        </w:rPr>
        <w:t>suggested</w:t>
      </w:r>
      <w:r>
        <w:rPr>
          <w:spacing w:val="-3"/>
          <w:sz w:val="20"/>
        </w:rPr>
        <w:t xml:space="preserve"> </w:t>
      </w:r>
      <w:r>
        <w:rPr>
          <w:sz w:val="20"/>
        </w:rPr>
        <w:t>amendments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section</w:t>
      </w:r>
      <w:r>
        <w:rPr>
          <w:spacing w:val="-3"/>
          <w:sz w:val="20"/>
        </w:rPr>
        <w:t xml:space="preserve"> </w:t>
      </w:r>
      <w:r>
        <w:rPr>
          <w:sz w:val="20"/>
        </w:rPr>
        <w:t>and</w:t>
      </w:r>
      <w:r>
        <w:rPr>
          <w:spacing w:val="-3"/>
          <w:sz w:val="20"/>
        </w:rPr>
        <w:t xml:space="preserve"> </w:t>
      </w:r>
      <w:r>
        <w:rPr>
          <w:sz w:val="20"/>
        </w:rPr>
        <w:t>has</w:t>
      </w:r>
      <w:r>
        <w:rPr>
          <w:spacing w:val="-3"/>
          <w:sz w:val="20"/>
        </w:rPr>
        <w:t xml:space="preserve"> </w:t>
      </w:r>
      <w:r>
        <w:rPr>
          <w:sz w:val="20"/>
        </w:rPr>
        <w:t>included</w:t>
      </w:r>
      <w:r>
        <w:rPr>
          <w:spacing w:val="-3"/>
          <w:sz w:val="20"/>
        </w:rPr>
        <w:t xml:space="preserve"> </w:t>
      </w:r>
      <w:r>
        <w:rPr>
          <w:sz w:val="20"/>
        </w:rPr>
        <w:t>our</w:t>
      </w:r>
      <w:r>
        <w:rPr>
          <w:spacing w:val="-3"/>
          <w:sz w:val="20"/>
        </w:rPr>
        <w:t xml:space="preserve"> </w:t>
      </w:r>
      <w:r>
        <w:rPr>
          <w:sz w:val="20"/>
        </w:rPr>
        <w:t>proposed drafting in the current Justice and Other Legislation</w:t>
      </w:r>
      <w:r>
        <w:rPr>
          <w:spacing w:val="-1"/>
          <w:sz w:val="20"/>
        </w:rPr>
        <w:t xml:space="preserve"> </w:t>
      </w:r>
      <w:r>
        <w:rPr>
          <w:sz w:val="20"/>
        </w:rPr>
        <w:t>Amendment Bill 2023.</w:t>
      </w:r>
    </w:p>
    <w:p w14:paraId="2920E38C" w14:textId="77777777" w:rsidR="00AC6F3C" w:rsidRDefault="00AC6F3C">
      <w:pPr>
        <w:pStyle w:val="BodyText"/>
        <w:spacing w:before="10"/>
        <w:rPr>
          <w:sz w:val="22"/>
        </w:rPr>
      </w:pPr>
    </w:p>
    <w:p w14:paraId="6DC629AE" w14:textId="77777777" w:rsidR="00AC6F3C" w:rsidRDefault="00570E88">
      <w:pPr>
        <w:pStyle w:val="Heading9"/>
        <w:spacing w:before="1"/>
      </w:pPr>
      <w:r>
        <w:t>Part</w:t>
      </w:r>
      <w:r>
        <w:rPr>
          <w:spacing w:val="-1"/>
        </w:rPr>
        <w:t xml:space="preserve"> </w:t>
      </w:r>
      <w:r>
        <w:t>B</w:t>
      </w:r>
      <w:r>
        <w:rPr>
          <w:spacing w:val="-1"/>
        </w:rPr>
        <w:t xml:space="preserve"> </w:t>
      </w:r>
      <w:r>
        <w:t>of</w:t>
      </w:r>
      <w:r>
        <w:rPr>
          <w:spacing w:val="-1"/>
        </w:rPr>
        <w:t xml:space="preserve"> </w:t>
      </w:r>
      <w:r>
        <w:t>the Stage</w:t>
      </w:r>
      <w:r>
        <w:rPr>
          <w:spacing w:val="-1"/>
        </w:rPr>
        <w:t xml:space="preserve"> </w:t>
      </w:r>
      <w:r>
        <w:t>2</w:t>
      </w:r>
      <w:r>
        <w:rPr>
          <w:spacing w:val="-1"/>
        </w:rPr>
        <w:t xml:space="preserve"> </w:t>
      </w:r>
      <w:r>
        <w:t>Review</w:t>
      </w:r>
      <w:r>
        <w:rPr>
          <w:spacing w:val="-1"/>
        </w:rPr>
        <w:t xml:space="preserve"> </w:t>
      </w:r>
      <w:r>
        <w:t>of the</w:t>
      </w:r>
      <w:r>
        <w:rPr>
          <w:spacing w:val="-1"/>
        </w:rPr>
        <w:t xml:space="preserve"> </w:t>
      </w:r>
      <w:r>
        <w:t>Model</w:t>
      </w:r>
      <w:r>
        <w:rPr>
          <w:spacing w:val="-1"/>
        </w:rPr>
        <w:t xml:space="preserve"> </w:t>
      </w:r>
      <w:r>
        <w:t xml:space="preserve">Defamation </w:t>
      </w:r>
      <w:r>
        <w:rPr>
          <w:spacing w:val="-2"/>
        </w:rPr>
        <w:t>Provisions</w:t>
      </w:r>
    </w:p>
    <w:p w14:paraId="6639DE69" w14:textId="77777777" w:rsidR="00AC6F3C" w:rsidRDefault="00570E88">
      <w:pPr>
        <w:pStyle w:val="ListParagraph"/>
        <w:numPr>
          <w:ilvl w:val="0"/>
          <w:numId w:val="58"/>
        </w:numPr>
        <w:tabs>
          <w:tab w:val="left" w:pos="1155"/>
        </w:tabs>
        <w:spacing w:before="176" w:line="249" w:lineRule="auto"/>
        <w:ind w:right="635"/>
        <w:rPr>
          <w:sz w:val="20"/>
        </w:rPr>
      </w:pPr>
      <w:r>
        <w:rPr>
          <w:sz w:val="20"/>
        </w:rPr>
        <w:t>Prepared</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13"/>
          <w:sz w:val="20"/>
        </w:rPr>
        <w:t xml:space="preserve"> </w:t>
      </w:r>
      <w:r>
        <w:rPr>
          <w:sz w:val="20"/>
        </w:rPr>
        <w:t>Attorney-General</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Part</w:t>
      </w:r>
      <w:r>
        <w:rPr>
          <w:spacing w:val="-3"/>
          <w:sz w:val="20"/>
        </w:rPr>
        <w:t xml:space="preserve"> </w:t>
      </w:r>
      <w:r>
        <w:rPr>
          <w:sz w:val="20"/>
        </w:rPr>
        <w:t>B</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Stage</w:t>
      </w:r>
      <w:r>
        <w:rPr>
          <w:spacing w:val="-3"/>
          <w:sz w:val="20"/>
        </w:rPr>
        <w:t xml:space="preserve"> </w:t>
      </w:r>
      <w:r>
        <w:rPr>
          <w:sz w:val="20"/>
        </w:rPr>
        <w:t>2</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the Model Defamation Provisions.</w:t>
      </w:r>
    </w:p>
    <w:p w14:paraId="5516590E" w14:textId="77777777" w:rsidR="00AC6F3C" w:rsidRDefault="00AC6F3C">
      <w:pPr>
        <w:pStyle w:val="BodyText"/>
        <w:spacing w:before="8"/>
        <w:rPr>
          <w:sz w:val="22"/>
        </w:rPr>
      </w:pPr>
    </w:p>
    <w:p w14:paraId="5563520A" w14:textId="77777777" w:rsidR="00AC6F3C" w:rsidRDefault="00570E88">
      <w:pPr>
        <w:pStyle w:val="Heading9"/>
        <w:spacing w:before="1"/>
      </w:pPr>
      <w:r>
        <w:rPr>
          <w:spacing w:val="-2"/>
        </w:rPr>
        <w:t>Other</w:t>
      </w:r>
    </w:p>
    <w:p w14:paraId="5E4F2F4F" w14:textId="77777777" w:rsidR="00AC6F3C" w:rsidRDefault="00570E88">
      <w:pPr>
        <w:pStyle w:val="ListParagraph"/>
        <w:numPr>
          <w:ilvl w:val="0"/>
          <w:numId w:val="58"/>
        </w:numPr>
        <w:tabs>
          <w:tab w:val="left" w:pos="1155"/>
        </w:tabs>
        <w:spacing w:before="175" w:line="249" w:lineRule="auto"/>
        <w:ind w:right="378"/>
        <w:rPr>
          <w:sz w:val="20"/>
        </w:rPr>
      </w:pPr>
      <w:r>
        <w:rPr>
          <w:sz w:val="20"/>
        </w:rPr>
        <w:t>Provided</w:t>
      </w:r>
      <w:r>
        <w:rPr>
          <w:spacing w:val="-3"/>
          <w:sz w:val="20"/>
        </w:rPr>
        <w:t xml:space="preserve"> </w:t>
      </w:r>
      <w:r>
        <w:rPr>
          <w:sz w:val="20"/>
        </w:rPr>
        <w:t>feedback</w:t>
      </w:r>
      <w:r>
        <w:rPr>
          <w:spacing w:val="-3"/>
          <w:sz w:val="20"/>
        </w:rPr>
        <w:t xml:space="preserve"> </w:t>
      </w:r>
      <w:r>
        <w:rPr>
          <w:sz w:val="20"/>
        </w:rPr>
        <w:t>on</w:t>
      </w:r>
      <w:r>
        <w:rPr>
          <w:spacing w:val="-3"/>
          <w:sz w:val="20"/>
        </w:rPr>
        <w:t xml:space="preserve"> </w:t>
      </w:r>
      <w:r>
        <w:rPr>
          <w:sz w:val="20"/>
        </w:rPr>
        <w:t>designing</w:t>
      </w:r>
      <w:r>
        <w:rPr>
          <w:spacing w:val="-3"/>
          <w:sz w:val="20"/>
        </w:rPr>
        <w:t xml:space="preserve"> </w:t>
      </w:r>
      <w:r>
        <w:rPr>
          <w:sz w:val="20"/>
        </w:rPr>
        <w:t>a</w:t>
      </w:r>
      <w:r>
        <w:rPr>
          <w:spacing w:val="-3"/>
          <w:sz w:val="20"/>
        </w:rPr>
        <w:t xml:space="preserve"> </w:t>
      </w:r>
      <w:r>
        <w:rPr>
          <w:sz w:val="20"/>
        </w:rPr>
        <w:t>simplified</w:t>
      </w:r>
      <w:r>
        <w:rPr>
          <w:spacing w:val="-3"/>
          <w:sz w:val="20"/>
        </w:rPr>
        <w:t xml:space="preserve"> </w:t>
      </w:r>
      <w:r>
        <w:rPr>
          <w:sz w:val="20"/>
        </w:rPr>
        <w:t>body</w:t>
      </w:r>
      <w:r>
        <w:rPr>
          <w:spacing w:val="-3"/>
          <w:sz w:val="20"/>
        </w:rPr>
        <w:t xml:space="preserve"> </w:t>
      </w:r>
      <w:r>
        <w:rPr>
          <w:sz w:val="20"/>
        </w:rPr>
        <w:t>corporate</w:t>
      </w:r>
      <w:r>
        <w:rPr>
          <w:spacing w:val="-3"/>
          <w:sz w:val="20"/>
        </w:rPr>
        <w:t xml:space="preserve"> </w:t>
      </w:r>
      <w:r>
        <w:rPr>
          <w:sz w:val="20"/>
        </w:rPr>
        <w:t>debt</w:t>
      </w:r>
      <w:r>
        <w:rPr>
          <w:spacing w:val="-3"/>
          <w:sz w:val="20"/>
        </w:rPr>
        <w:t xml:space="preserve"> </w:t>
      </w:r>
      <w:r>
        <w:rPr>
          <w:sz w:val="20"/>
        </w:rPr>
        <w:t>recovery</w:t>
      </w:r>
      <w:r>
        <w:rPr>
          <w:spacing w:val="-3"/>
          <w:sz w:val="20"/>
        </w:rPr>
        <w:t xml:space="preserve"> </w:t>
      </w:r>
      <w:r>
        <w:rPr>
          <w:sz w:val="20"/>
        </w:rPr>
        <w:t>process,</w:t>
      </w:r>
      <w:r>
        <w:rPr>
          <w:spacing w:val="-3"/>
          <w:sz w:val="20"/>
        </w:rPr>
        <w:t xml:space="preserve"> </w:t>
      </w:r>
      <w:r>
        <w:rPr>
          <w:sz w:val="20"/>
        </w:rPr>
        <w:t>data</w:t>
      </w:r>
      <w:r>
        <w:rPr>
          <w:spacing w:val="-3"/>
          <w:sz w:val="20"/>
        </w:rPr>
        <w:t xml:space="preserve"> </w:t>
      </w:r>
      <w:r>
        <w:rPr>
          <w:sz w:val="20"/>
        </w:rPr>
        <w:t>and</w:t>
      </w:r>
      <w:r>
        <w:rPr>
          <w:spacing w:val="-3"/>
          <w:sz w:val="20"/>
        </w:rPr>
        <w:t xml:space="preserve"> </w:t>
      </w:r>
      <w:r>
        <w:rPr>
          <w:sz w:val="20"/>
        </w:rPr>
        <w:t>cyber security in the legal profession, and costs disclosure thresholds in the legal profession.</w:t>
      </w:r>
    </w:p>
    <w:p w14:paraId="1ED6D633" w14:textId="77777777" w:rsidR="00AC6F3C" w:rsidRDefault="00570E88">
      <w:pPr>
        <w:pStyle w:val="ListParagraph"/>
        <w:numPr>
          <w:ilvl w:val="0"/>
          <w:numId w:val="58"/>
        </w:numPr>
        <w:tabs>
          <w:tab w:val="left" w:pos="1155"/>
        </w:tabs>
        <w:spacing w:before="172"/>
        <w:ind w:hanging="340"/>
        <w:rPr>
          <w:sz w:val="20"/>
        </w:rPr>
      </w:pPr>
      <w:r>
        <w:rPr>
          <w:sz w:val="20"/>
        </w:rPr>
        <w:t>Provided</w:t>
      </w:r>
      <w:r>
        <w:rPr>
          <w:spacing w:val="-3"/>
          <w:sz w:val="20"/>
        </w:rPr>
        <w:t xml:space="preserve"> </w:t>
      </w:r>
      <w:r>
        <w:rPr>
          <w:sz w:val="20"/>
        </w:rPr>
        <w:t>feedback</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Chief</w:t>
      </w:r>
      <w:r>
        <w:rPr>
          <w:spacing w:val="-2"/>
          <w:sz w:val="20"/>
        </w:rPr>
        <w:t xml:space="preserve"> </w:t>
      </w:r>
      <w:r>
        <w:rPr>
          <w:sz w:val="20"/>
        </w:rPr>
        <w:t>Justice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Supreme</w:t>
      </w:r>
      <w:r>
        <w:rPr>
          <w:spacing w:val="-3"/>
          <w:sz w:val="20"/>
        </w:rPr>
        <w:t xml:space="preserve"> </w:t>
      </w:r>
      <w:r>
        <w:rPr>
          <w:sz w:val="20"/>
        </w:rPr>
        <w:t>Court</w:t>
      </w:r>
      <w:r>
        <w:rPr>
          <w:spacing w:val="-2"/>
          <w:sz w:val="20"/>
        </w:rPr>
        <w:t xml:space="preserve"> </w:t>
      </w:r>
      <w:r>
        <w:rPr>
          <w:sz w:val="20"/>
        </w:rPr>
        <w:t>regarding</w:t>
      </w:r>
      <w:r>
        <w:rPr>
          <w:spacing w:val="-3"/>
          <w:sz w:val="20"/>
        </w:rPr>
        <w:t xml:space="preserve"> </w:t>
      </w:r>
      <w:r>
        <w:rPr>
          <w:sz w:val="20"/>
        </w:rPr>
        <w:t>practice</w:t>
      </w:r>
      <w:r>
        <w:rPr>
          <w:spacing w:val="-3"/>
          <w:sz w:val="20"/>
        </w:rPr>
        <w:t xml:space="preserve"> </w:t>
      </w:r>
      <w:r>
        <w:rPr>
          <w:sz w:val="20"/>
        </w:rPr>
        <w:t>directions</w:t>
      </w:r>
      <w:r>
        <w:rPr>
          <w:spacing w:val="-3"/>
          <w:sz w:val="20"/>
        </w:rPr>
        <w:t xml:space="preserve"> </w:t>
      </w:r>
      <w:r>
        <w:rPr>
          <w:sz w:val="20"/>
        </w:rPr>
        <w:t>for</w:t>
      </w:r>
      <w:r>
        <w:rPr>
          <w:spacing w:val="-2"/>
          <w:sz w:val="20"/>
        </w:rPr>
        <w:t xml:space="preserve"> </w:t>
      </w:r>
      <w:proofErr w:type="gramStart"/>
      <w:r>
        <w:rPr>
          <w:spacing w:val="-2"/>
          <w:sz w:val="20"/>
        </w:rPr>
        <w:t>change</w:t>
      </w:r>
      <w:proofErr w:type="gramEnd"/>
    </w:p>
    <w:p w14:paraId="32E4169B" w14:textId="77777777" w:rsidR="00AC6F3C" w:rsidRDefault="00570E88">
      <w:pPr>
        <w:pStyle w:val="BodyText"/>
        <w:spacing w:before="10"/>
        <w:ind w:left="1155"/>
      </w:pPr>
      <w:r>
        <w:t>of</w:t>
      </w:r>
      <w:r>
        <w:rPr>
          <w:spacing w:val="-2"/>
        </w:rPr>
        <w:t xml:space="preserve"> </w:t>
      </w:r>
      <w:r>
        <w:t>name</w:t>
      </w:r>
      <w:r>
        <w:rPr>
          <w:spacing w:val="-2"/>
        </w:rPr>
        <w:t xml:space="preserve"> </w:t>
      </w:r>
      <w:r>
        <w:t>and</w:t>
      </w:r>
      <w:r>
        <w:rPr>
          <w:spacing w:val="-1"/>
        </w:rPr>
        <w:t xml:space="preserve"> </w:t>
      </w:r>
      <w:r>
        <w:rPr>
          <w:spacing w:val="-2"/>
        </w:rPr>
        <w:t>address.</w:t>
      </w:r>
    </w:p>
    <w:p w14:paraId="7343F4FF" w14:textId="77777777" w:rsidR="00AC6F3C" w:rsidRDefault="00570E88">
      <w:pPr>
        <w:pStyle w:val="ListParagraph"/>
        <w:numPr>
          <w:ilvl w:val="0"/>
          <w:numId w:val="58"/>
        </w:numPr>
        <w:tabs>
          <w:tab w:val="left" w:pos="1155"/>
        </w:tabs>
        <w:ind w:hanging="340"/>
        <w:rPr>
          <w:sz w:val="20"/>
        </w:rPr>
      </w:pPr>
      <w:r>
        <w:rPr>
          <w:sz w:val="20"/>
        </w:rPr>
        <w:t>Provided</w:t>
      </w:r>
      <w:r>
        <w:rPr>
          <w:spacing w:val="-6"/>
          <w:sz w:val="20"/>
        </w:rPr>
        <w:t xml:space="preserve"> </w:t>
      </w:r>
      <w:r>
        <w:rPr>
          <w:sz w:val="20"/>
        </w:rPr>
        <w:t>feedback</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Supreme</w:t>
      </w:r>
      <w:r>
        <w:rPr>
          <w:spacing w:val="-3"/>
          <w:sz w:val="20"/>
        </w:rPr>
        <w:t xml:space="preserve"> </w:t>
      </w:r>
      <w:r>
        <w:rPr>
          <w:sz w:val="20"/>
        </w:rPr>
        <w:t>Court</w:t>
      </w:r>
      <w:r>
        <w:rPr>
          <w:spacing w:val="-3"/>
          <w:sz w:val="20"/>
        </w:rPr>
        <w:t xml:space="preserve"> </w:t>
      </w:r>
      <w:r>
        <w:rPr>
          <w:sz w:val="20"/>
        </w:rPr>
        <w:t>Rules</w:t>
      </w:r>
      <w:r>
        <w:rPr>
          <w:spacing w:val="-4"/>
          <w:sz w:val="20"/>
        </w:rPr>
        <w:t xml:space="preserve"> </w:t>
      </w:r>
      <w:r>
        <w:rPr>
          <w:sz w:val="20"/>
        </w:rPr>
        <w:t>Committee</w:t>
      </w:r>
      <w:r>
        <w:rPr>
          <w:spacing w:val="-3"/>
          <w:sz w:val="20"/>
        </w:rPr>
        <w:t xml:space="preserve"> </w:t>
      </w:r>
      <w:r>
        <w:rPr>
          <w:sz w:val="20"/>
        </w:rPr>
        <w:t>regarding</w:t>
      </w:r>
      <w:r>
        <w:rPr>
          <w:spacing w:val="-3"/>
          <w:sz w:val="20"/>
        </w:rPr>
        <w:t xml:space="preserve"> </w:t>
      </w:r>
      <w:r>
        <w:rPr>
          <w:sz w:val="20"/>
        </w:rPr>
        <w:t>charging</w:t>
      </w:r>
      <w:r>
        <w:rPr>
          <w:spacing w:val="-4"/>
          <w:sz w:val="20"/>
        </w:rPr>
        <w:t xml:space="preserve"> </w:t>
      </w:r>
      <w:r>
        <w:rPr>
          <w:sz w:val="20"/>
        </w:rPr>
        <w:t>orders</w:t>
      </w:r>
      <w:r>
        <w:rPr>
          <w:spacing w:val="-3"/>
          <w:sz w:val="20"/>
        </w:rPr>
        <w:t xml:space="preserve"> </w:t>
      </w:r>
      <w:r>
        <w:rPr>
          <w:sz w:val="20"/>
        </w:rPr>
        <w:t>on</w:t>
      </w:r>
      <w:r>
        <w:rPr>
          <w:spacing w:val="-3"/>
          <w:sz w:val="20"/>
        </w:rPr>
        <w:t xml:space="preserve"> </w:t>
      </w:r>
      <w:r>
        <w:rPr>
          <w:spacing w:val="-2"/>
          <w:sz w:val="20"/>
        </w:rPr>
        <w:t>securities.</w:t>
      </w:r>
    </w:p>
    <w:p w14:paraId="111ADFCA" w14:textId="77777777" w:rsidR="00AC6F3C" w:rsidRDefault="00AC6F3C">
      <w:pPr>
        <w:pStyle w:val="BodyText"/>
        <w:spacing w:before="9"/>
        <w:rPr>
          <w:sz w:val="31"/>
        </w:rPr>
      </w:pPr>
    </w:p>
    <w:p w14:paraId="4F07F351" w14:textId="77777777" w:rsidR="00AC6F3C" w:rsidRDefault="00570E88">
      <w:pPr>
        <w:spacing w:before="1"/>
        <w:ind w:left="815"/>
        <w:rPr>
          <w:b/>
          <w:sz w:val="26"/>
        </w:rPr>
      </w:pPr>
      <w:r>
        <w:rPr>
          <w:b/>
          <w:sz w:val="26"/>
        </w:rPr>
        <w:t xml:space="preserve">Migration Law Consulting </w:t>
      </w:r>
      <w:r>
        <w:rPr>
          <w:b/>
          <w:spacing w:val="-2"/>
          <w:sz w:val="26"/>
        </w:rPr>
        <w:t>Committee</w:t>
      </w:r>
    </w:p>
    <w:p w14:paraId="7F0E4755" w14:textId="77777777" w:rsidR="00AC6F3C" w:rsidRDefault="00570E88">
      <w:pPr>
        <w:pStyle w:val="BodyText"/>
        <w:spacing w:before="167" w:line="249" w:lineRule="auto"/>
        <w:ind w:left="815"/>
      </w:pPr>
      <w:r>
        <w:t>The</w:t>
      </w:r>
      <w:r>
        <w:rPr>
          <w:spacing w:val="-4"/>
        </w:rPr>
        <w:t xml:space="preserve"> </w:t>
      </w:r>
      <w:r>
        <w:t>Migration</w:t>
      </w:r>
      <w:r>
        <w:rPr>
          <w:spacing w:val="-4"/>
        </w:rPr>
        <w:t xml:space="preserve"> </w:t>
      </w:r>
      <w:r>
        <w:t>Law</w:t>
      </w:r>
      <w:r>
        <w:rPr>
          <w:spacing w:val="-4"/>
        </w:rPr>
        <w:t xml:space="preserve"> </w:t>
      </w:r>
      <w:r>
        <w:t>Consulting</w:t>
      </w:r>
      <w:r>
        <w:rPr>
          <w:spacing w:val="-4"/>
        </w:rPr>
        <w:t xml:space="preserve"> </w:t>
      </w:r>
      <w:r>
        <w:t>Committee</w:t>
      </w:r>
      <w:r>
        <w:rPr>
          <w:spacing w:val="-4"/>
        </w:rPr>
        <w:t xml:space="preserve"> </w:t>
      </w:r>
      <w:r>
        <w:t>contributed</w:t>
      </w:r>
      <w:r>
        <w:rPr>
          <w:spacing w:val="-4"/>
        </w:rPr>
        <w:t xml:space="preserve"> </w:t>
      </w:r>
      <w:r>
        <w:t>to</w:t>
      </w:r>
      <w:r>
        <w:rPr>
          <w:spacing w:val="-4"/>
        </w:rPr>
        <w:t xml:space="preserve"> </w:t>
      </w:r>
      <w:r>
        <w:t>seven</w:t>
      </w:r>
      <w:r>
        <w:rPr>
          <w:spacing w:val="-4"/>
        </w:rPr>
        <w:t xml:space="preserve"> </w:t>
      </w:r>
      <w:r>
        <w:t>submissions</w:t>
      </w:r>
      <w:r>
        <w:rPr>
          <w:spacing w:val="-4"/>
        </w:rPr>
        <w:t xml:space="preserve"> </w:t>
      </w:r>
      <w:r>
        <w:t>and</w:t>
      </w:r>
      <w:r>
        <w:rPr>
          <w:spacing w:val="-4"/>
        </w:rPr>
        <w:t xml:space="preserve"> </w:t>
      </w:r>
      <w:r>
        <w:t>one</w:t>
      </w:r>
      <w:r>
        <w:rPr>
          <w:spacing w:val="-4"/>
        </w:rPr>
        <w:t xml:space="preserve"> </w:t>
      </w:r>
      <w:r>
        <w:t xml:space="preserve">stakeholder consultation during this </w:t>
      </w:r>
      <w:proofErr w:type="gramStart"/>
      <w:r>
        <w:t>financial year</w:t>
      </w:r>
      <w:proofErr w:type="gramEnd"/>
      <w:r>
        <w:t>.</w:t>
      </w:r>
    </w:p>
    <w:p w14:paraId="61D39112" w14:textId="77777777" w:rsidR="00AC6F3C" w:rsidRDefault="00AC6F3C">
      <w:pPr>
        <w:pStyle w:val="BodyText"/>
        <w:spacing w:before="9"/>
        <w:rPr>
          <w:sz w:val="22"/>
        </w:rPr>
      </w:pPr>
    </w:p>
    <w:p w14:paraId="0C714FDC" w14:textId="77777777" w:rsidR="00AC6F3C" w:rsidRDefault="00570E88">
      <w:pPr>
        <w:pStyle w:val="Heading9"/>
      </w:pPr>
      <w:proofErr w:type="gramStart"/>
      <w:r>
        <w:t>Proactive</w:t>
      </w:r>
      <w:proofErr w:type="gramEnd"/>
      <w:r>
        <w:rPr>
          <w:spacing w:val="-8"/>
        </w:rPr>
        <w:t xml:space="preserve"> </w:t>
      </w:r>
      <w:r>
        <w:rPr>
          <w:spacing w:val="-4"/>
        </w:rPr>
        <w:t>work</w:t>
      </w:r>
    </w:p>
    <w:p w14:paraId="7211691C" w14:textId="77777777" w:rsidR="00AC6F3C" w:rsidRDefault="00570E88">
      <w:pPr>
        <w:pStyle w:val="ListParagraph"/>
        <w:numPr>
          <w:ilvl w:val="0"/>
          <w:numId w:val="58"/>
        </w:numPr>
        <w:tabs>
          <w:tab w:val="left" w:pos="1155"/>
        </w:tabs>
        <w:spacing w:before="176" w:line="249" w:lineRule="auto"/>
        <w:ind w:right="235"/>
        <w:rPr>
          <w:sz w:val="20"/>
        </w:rPr>
      </w:pPr>
      <w:r>
        <w:rPr>
          <w:sz w:val="20"/>
        </w:rPr>
        <w:t>Developed</w:t>
      </w:r>
      <w:r>
        <w:rPr>
          <w:spacing w:val="-3"/>
          <w:sz w:val="20"/>
        </w:rPr>
        <w:t xml:space="preserve"> </w:t>
      </w:r>
      <w:r>
        <w:rPr>
          <w:sz w:val="20"/>
        </w:rPr>
        <w:t>its</w:t>
      </w:r>
      <w:r>
        <w:rPr>
          <w:spacing w:val="-3"/>
          <w:sz w:val="20"/>
        </w:rPr>
        <w:t xml:space="preserve"> </w:t>
      </w:r>
      <w:proofErr w:type="gramStart"/>
      <w:r>
        <w:rPr>
          <w:sz w:val="20"/>
        </w:rPr>
        <w:t>proactive</w:t>
      </w:r>
      <w:proofErr w:type="gramEnd"/>
      <w:r>
        <w:rPr>
          <w:spacing w:val="-3"/>
          <w:sz w:val="20"/>
        </w:rPr>
        <w:t xml:space="preserve"> </w:t>
      </w:r>
      <w:r>
        <w:rPr>
          <w:sz w:val="20"/>
        </w:rPr>
        <w:t>work</w:t>
      </w:r>
      <w:r>
        <w:rPr>
          <w:spacing w:val="-3"/>
          <w:sz w:val="20"/>
        </w:rPr>
        <w:t xml:space="preserve"> </w:t>
      </w:r>
      <w:r>
        <w:rPr>
          <w:sz w:val="20"/>
        </w:rPr>
        <w:t>agenda</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focus</w:t>
      </w:r>
      <w:r>
        <w:rPr>
          <w:spacing w:val="-3"/>
          <w:sz w:val="20"/>
        </w:rPr>
        <w:t xml:space="preserve"> </w:t>
      </w:r>
      <w:r>
        <w:rPr>
          <w:sz w:val="20"/>
        </w:rPr>
        <w:t>on</w:t>
      </w:r>
      <w:r>
        <w:rPr>
          <w:spacing w:val="-3"/>
          <w:sz w:val="20"/>
        </w:rPr>
        <w:t xml:space="preserve"> </w:t>
      </w:r>
      <w:r>
        <w:rPr>
          <w:sz w:val="20"/>
        </w:rPr>
        <w:t>vulnerable</w:t>
      </w:r>
      <w:r>
        <w:rPr>
          <w:spacing w:val="-3"/>
          <w:sz w:val="20"/>
        </w:rPr>
        <w:t xml:space="preserve"> </w:t>
      </w:r>
      <w:r>
        <w:rPr>
          <w:sz w:val="20"/>
        </w:rPr>
        <w:t>people</w:t>
      </w:r>
      <w:r>
        <w:rPr>
          <w:spacing w:val="-3"/>
          <w:sz w:val="20"/>
        </w:rPr>
        <w:t xml:space="preserve"> </w:t>
      </w:r>
      <w:r>
        <w:rPr>
          <w:sz w:val="20"/>
        </w:rPr>
        <w:t>including</w:t>
      </w:r>
      <w:r>
        <w:rPr>
          <w:spacing w:val="-3"/>
          <w:sz w:val="20"/>
        </w:rPr>
        <w:t xml:space="preserve"> </w:t>
      </w:r>
      <w:r>
        <w:rPr>
          <w:sz w:val="20"/>
        </w:rPr>
        <w:t>victims</w:t>
      </w:r>
      <w:r>
        <w:rPr>
          <w:spacing w:val="-3"/>
          <w:sz w:val="20"/>
        </w:rPr>
        <w:t xml:space="preserve"> </w:t>
      </w:r>
      <w:r>
        <w:rPr>
          <w:sz w:val="20"/>
        </w:rPr>
        <w:t>of</w:t>
      </w:r>
      <w:r>
        <w:rPr>
          <w:spacing w:val="-3"/>
          <w:sz w:val="20"/>
        </w:rPr>
        <w:t xml:space="preserve"> </w:t>
      </w:r>
      <w:r>
        <w:rPr>
          <w:sz w:val="20"/>
        </w:rPr>
        <w:t>domestic and family violence, prisoners, people with disability and refugees.</w:t>
      </w:r>
    </w:p>
    <w:p w14:paraId="20FA4E3C" w14:textId="77777777" w:rsidR="00AC6F3C" w:rsidRDefault="00570E88">
      <w:pPr>
        <w:pStyle w:val="ListParagraph"/>
        <w:numPr>
          <w:ilvl w:val="0"/>
          <w:numId w:val="58"/>
        </w:numPr>
        <w:tabs>
          <w:tab w:val="left" w:pos="1155"/>
        </w:tabs>
        <w:spacing w:before="172"/>
        <w:ind w:hanging="340"/>
        <w:rPr>
          <w:sz w:val="20"/>
        </w:rPr>
      </w:pPr>
      <w:r>
        <w:rPr>
          <w:sz w:val="20"/>
        </w:rPr>
        <w:t>Proactive</w:t>
      </w:r>
      <w:r>
        <w:rPr>
          <w:spacing w:val="-5"/>
          <w:sz w:val="20"/>
        </w:rPr>
        <w:t xml:space="preserve"> </w:t>
      </w:r>
      <w:r>
        <w:rPr>
          <w:sz w:val="20"/>
        </w:rPr>
        <w:t>agenda</w:t>
      </w:r>
      <w:r>
        <w:rPr>
          <w:spacing w:val="-5"/>
          <w:sz w:val="20"/>
        </w:rPr>
        <w:t xml:space="preserve"> </w:t>
      </w:r>
      <w:r>
        <w:rPr>
          <w:sz w:val="20"/>
        </w:rPr>
        <w:t>includes</w:t>
      </w:r>
      <w:r>
        <w:rPr>
          <w:spacing w:val="-5"/>
          <w:sz w:val="20"/>
        </w:rPr>
        <w:t xml:space="preserve"> </w:t>
      </w:r>
      <w:r>
        <w:rPr>
          <w:sz w:val="20"/>
        </w:rPr>
        <w:t>advocating</w:t>
      </w:r>
      <w:r>
        <w:rPr>
          <w:spacing w:val="-4"/>
          <w:sz w:val="20"/>
        </w:rPr>
        <w:t xml:space="preserve"> </w:t>
      </w:r>
      <w:r>
        <w:rPr>
          <w:sz w:val="20"/>
        </w:rPr>
        <w:t>for</w:t>
      </w:r>
      <w:r>
        <w:rPr>
          <w:spacing w:val="-5"/>
          <w:sz w:val="20"/>
        </w:rPr>
        <w:t xml:space="preserve"> </w:t>
      </w:r>
      <w:r>
        <w:rPr>
          <w:sz w:val="20"/>
        </w:rPr>
        <w:t>increased</w:t>
      </w:r>
      <w:r>
        <w:rPr>
          <w:spacing w:val="-5"/>
          <w:sz w:val="20"/>
        </w:rPr>
        <w:t xml:space="preserve"> </w:t>
      </w:r>
      <w:r>
        <w:rPr>
          <w:sz w:val="20"/>
        </w:rPr>
        <w:t>legal</w:t>
      </w:r>
      <w:r>
        <w:rPr>
          <w:spacing w:val="-5"/>
          <w:sz w:val="20"/>
        </w:rPr>
        <w:t xml:space="preserve"> </w:t>
      </w:r>
      <w:r>
        <w:rPr>
          <w:sz w:val="20"/>
        </w:rPr>
        <w:t>assistance</w:t>
      </w:r>
      <w:r>
        <w:rPr>
          <w:spacing w:val="-4"/>
          <w:sz w:val="20"/>
        </w:rPr>
        <w:t xml:space="preserve"> </w:t>
      </w:r>
      <w:r>
        <w:rPr>
          <w:sz w:val="20"/>
        </w:rPr>
        <w:t>funding</w:t>
      </w:r>
      <w:r>
        <w:rPr>
          <w:spacing w:val="-5"/>
          <w:sz w:val="20"/>
        </w:rPr>
        <w:t xml:space="preserve"> </w:t>
      </w:r>
      <w:r>
        <w:rPr>
          <w:sz w:val="20"/>
        </w:rPr>
        <w:t>for</w:t>
      </w:r>
      <w:r>
        <w:rPr>
          <w:spacing w:val="-5"/>
          <w:sz w:val="20"/>
        </w:rPr>
        <w:t xml:space="preserve"> </w:t>
      </w:r>
      <w:r>
        <w:rPr>
          <w:sz w:val="20"/>
        </w:rPr>
        <w:t>those</w:t>
      </w:r>
      <w:r>
        <w:rPr>
          <w:spacing w:val="-5"/>
          <w:sz w:val="20"/>
        </w:rPr>
        <w:t xml:space="preserve"> </w:t>
      </w:r>
      <w:r>
        <w:rPr>
          <w:sz w:val="20"/>
        </w:rPr>
        <w:t>whose</w:t>
      </w:r>
      <w:r>
        <w:rPr>
          <w:spacing w:val="-4"/>
          <w:sz w:val="20"/>
        </w:rPr>
        <w:t xml:space="preserve"> </w:t>
      </w:r>
      <w:proofErr w:type="gramStart"/>
      <w:r>
        <w:rPr>
          <w:spacing w:val="-2"/>
          <w:sz w:val="20"/>
        </w:rPr>
        <w:t>visas</w:t>
      </w:r>
      <w:proofErr w:type="gramEnd"/>
    </w:p>
    <w:p w14:paraId="3D981F66" w14:textId="77777777" w:rsidR="00AC6F3C" w:rsidRDefault="00570E88">
      <w:pPr>
        <w:pStyle w:val="BodyText"/>
        <w:spacing w:before="10"/>
        <w:ind w:left="1155"/>
      </w:pPr>
      <w:proofErr w:type="gramStart"/>
      <w:r>
        <w:t>are</w:t>
      </w:r>
      <w:r>
        <w:rPr>
          <w:spacing w:val="-5"/>
        </w:rPr>
        <w:t xml:space="preserve"> </w:t>
      </w:r>
      <w:r>
        <w:t>cancelled</w:t>
      </w:r>
      <w:proofErr w:type="gramEnd"/>
      <w:r>
        <w:rPr>
          <w:spacing w:val="-3"/>
        </w:rPr>
        <w:t xml:space="preserve"> </w:t>
      </w:r>
      <w:r>
        <w:t>on</w:t>
      </w:r>
      <w:r>
        <w:rPr>
          <w:spacing w:val="-3"/>
        </w:rPr>
        <w:t xml:space="preserve"> </w:t>
      </w:r>
      <w:r>
        <w:t>character</w:t>
      </w:r>
      <w:r>
        <w:rPr>
          <w:spacing w:val="-2"/>
        </w:rPr>
        <w:t xml:space="preserve"> grounds.</w:t>
      </w:r>
    </w:p>
    <w:p w14:paraId="0FF97076" w14:textId="77777777" w:rsidR="00AC6F3C" w:rsidRDefault="00AC6F3C">
      <w:pPr>
        <w:sectPr w:rsidR="00AC6F3C">
          <w:headerReference w:type="default" r:id="rId94"/>
          <w:footerReference w:type="default" r:id="rId95"/>
          <w:pgSz w:w="11910" w:h="16840"/>
          <w:pgMar w:top="1480" w:right="1160" w:bottom="520" w:left="460" w:header="1237" w:footer="336" w:gutter="0"/>
          <w:cols w:space="720"/>
        </w:sectPr>
      </w:pPr>
    </w:p>
    <w:p w14:paraId="6F5C21A0" w14:textId="77777777" w:rsidR="00AC6F3C" w:rsidRDefault="00570E88">
      <w:pPr>
        <w:pStyle w:val="Heading9"/>
        <w:spacing w:before="11"/>
      </w:pPr>
      <w:r>
        <w:lastRenderedPageBreak/>
        <w:t>Reunion</w:t>
      </w:r>
      <w:r>
        <w:rPr>
          <w:spacing w:val="-2"/>
        </w:rPr>
        <w:t xml:space="preserve"> </w:t>
      </w:r>
      <w:r>
        <w:t>and</w:t>
      </w:r>
      <w:r>
        <w:rPr>
          <w:spacing w:val="-1"/>
        </w:rPr>
        <w:t xml:space="preserve"> </w:t>
      </w:r>
      <w:r>
        <w:t>Partner</w:t>
      </w:r>
      <w:r>
        <w:rPr>
          <w:spacing w:val="-2"/>
        </w:rPr>
        <w:t xml:space="preserve"> </w:t>
      </w:r>
      <w:r>
        <w:t>Related</w:t>
      </w:r>
      <w:r>
        <w:rPr>
          <w:spacing w:val="-1"/>
        </w:rPr>
        <w:t xml:space="preserve"> </w:t>
      </w:r>
      <w:r>
        <w:rPr>
          <w:spacing w:val="-2"/>
        </w:rPr>
        <w:t>Visas</w:t>
      </w:r>
    </w:p>
    <w:p w14:paraId="3C82F142" w14:textId="77777777" w:rsidR="00AC6F3C" w:rsidRDefault="00570E88">
      <w:pPr>
        <w:pStyle w:val="ListParagraph"/>
        <w:numPr>
          <w:ilvl w:val="0"/>
          <w:numId w:val="58"/>
        </w:numPr>
        <w:tabs>
          <w:tab w:val="left" w:pos="1155"/>
        </w:tabs>
        <w:spacing w:before="176" w:line="249" w:lineRule="auto"/>
        <w:ind w:right="215"/>
        <w:rPr>
          <w:sz w:val="20"/>
        </w:rPr>
      </w:pPr>
      <w:r>
        <w:rPr>
          <w:sz w:val="20"/>
        </w:rPr>
        <w:t>Made submissions to the Law Council of</w:t>
      </w:r>
      <w:r>
        <w:rPr>
          <w:spacing w:val="-4"/>
          <w:sz w:val="20"/>
        </w:rPr>
        <w:t xml:space="preserve"> </w:t>
      </w:r>
      <w:r>
        <w:rPr>
          <w:sz w:val="20"/>
        </w:rPr>
        <w:t>Australia (LCA) in respect of</w:t>
      </w:r>
      <w:r>
        <w:rPr>
          <w:spacing w:val="-4"/>
          <w:sz w:val="20"/>
        </w:rPr>
        <w:t xml:space="preserve"> </w:t>
      </w:r>
      <w:r>
        <w:rPr>
          <w:sz w:val="20"/>
        </w:rPr>
        <w:t>Australia’s Humanitarian Program</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Management</w:t>
      </w:r>
      <w:r>
        <w:rPr>
          <w:spacing w:val="-3"/>
          <w:sz w:val="20"/>
        </w:rPr>
        <w:t xml:space="preserve"> </w:t>
      </w:r>
      <w:r>
        <w:rPr>
          <w:sz w:val="20"/>
        </w:rPr>
        <w:t>of</w:t>
      </w:r>
      <w:r>
        <w:rPr>
          <w:spacing w:val="-3"/>
          <w:sz w:val="20"/>
        </w:rPr>
        <w:t xml:space="preserve"> </w:t>
      </w:r>
      <w:r>
        <w:rPr>
          <w:sz w:val="20"/>
        </w:rPr>
        <w:t>Migration</w:t>
      </w:r>
      <w:r>
        <w:rPr>
          <w:spacing w:val="-3"/>
          <w:sz w:val="20"/>
        </w:rPr>
        <w:t xml:space="preserve"> </w:t>
      </w:r>
      <w:r>
        <w:rPr>
          <w:sz w:val="20"/>
        </w:rPr>
        <w:t>to</w:t>
      </w:r>
      <w:r>
        <w:rPr>
          <w:spacing w:val="-14"/>
          <w:sz w:val="20"/>
        </w:rPr>
        <w:t xml:space="preserve"> </w:t>
      </w:r>
      <w:r>
        <w:rPr>
          <w:sz w:val="20"/>
        </w:rPr>
        <w:t>Australia</w:t>
      </w:r>
      <w:r>
        <w:rPr>
          <w:spacing w:val="-3"/>
          <w:sz w:val="20"/>
        </w:rPr>
        <w:t xml:space="preserve"> </w:t>
      </w:r>
      <w:r>
        <w:rPr>
          <w:sz w:val="20"/>
        </w:rPr>
        <w:t>–</w:t>
      </w:r>
      <w:r>
        <w:rPr>
          <w:spacing w:val="-3"/>
          <w:sz w:val="20"/>
        </w:rPr>
        <w:t xml:space="preserve"> </w:t>
      </w:r>
      <w:r>
        <w:rPr>
          <w:sz w:val="20"/>
        </w:rPr>
        <w:t>Family</w:t>
      </w:r>
      <w:r>
        <w:rPr>
          <w:spacing w:val="-3"/>
          <w:sz w:val="20"/>
        </w:rPr>
        <w:t xml:space="preserve"> </w:t>
      </w:r>
      <w:r>
        <w:rPr>
          <w:sz w:val="20"/>
        </w:rPr>
        <w:t>Reunion</w:t>
      </w:r>
      <w:r>
        <w:rPr>
          <w:spacing w:val="-3"/>
          <w:sz w:val="20"/>
        </w:rPr>
        <w:t xml:space="preserve"> </w:t>
      </w:r>
      <w:r>
        <w:rPr>
          <w:sz w:val="20"/>
        </w:rPr>
        <w:t>and</w:t>
      </w:r>
      <w:r>
        <w:rPr>
          <w:spacing w:val="-3"/>
          <w:sz w:val="20"/>
        </w:rPr>
        <w:t xml:space="preserve"> </w:t>
      </w:r>
      <w:r>
        <w:rPr>
          <w:sz w:val="20"/>
        </w:rPr>
        <w:t>Partner</w:t>
      </w:r>
      <w:r>
        <w:rPr>
          <w:spacing w:val="-3"/>
          <w:sz w:val="20"/>
        </w:rPr>
        <w:t xml:space="preserve"> </w:t>
      </w:r>
      <w:r>
        <w:rPr>
          <w:sz w:val="20"/>
        </w:rPr>
        <w:t>Related</w:t>
      </w:r>
      <w:r>
        <w:rPr>
          <w:spacing w:val="-3"/>
          <w:sz w:val="20"/>
        </w:rPr>
        <w:t xml:space="preserve"> </w:t>
      </w:r>
      <w:r>
        <w:rPr>
          <w:sz w:val="20"/>
        </w:rPr>
        <w:t>Visas.</w:t>
      </w:r>
    </w:p>
    <w:p w14:paraId="066E4DD1" w14:textId="77777777" w:rsidR="00AC6F3C" w:rsidRDefault="00AC6F3C">
      <w:pPr>
        <w:pStyle w:val="BodyText"/>
        <w:spacing w:before="8"/>
        <w:rPr>
          <w:sz w:val="22"/>
        </w:rPr>
      </w:pPr>
    </w:p>
    <w:p w14:paraId="50AC006D" w14:textId="77777777" w:rsidR="00AC6F3C" w:rsidRDefault="00570E88">
      <w:pPr>
        <w:pStyle w:val="Heading9"/>
        <w:spacing w:before="1"/>
      </w:pPr>
      <w:r>
        <w:t xml:space="preserve">Skilled migration </w:t>
      </w:r>
      <w:r>
        <w:rPr>
          <w:spacing w:val="-2"/>
        </w:rPr>
        <w:t>reform</w:t>
      </w:r>
    </w:p>
    <w:p w14:paraId="71992398" w14:textId="77777777" w:rsidR="00AC6F3C" w:rsidRDefault="00570E88">
      <w:pPr>
        <w:pStyle w:val="ListParagraph"/>
        <w:numPr>
          <w:ilvl w:val="0"/>
          <w:numId w:val="58"/>
        </w:numPr>
        <w:tabs>
          <w:tab w:val="left" w:pos="1155"/>
        </w:tabs>
        <w:spacing w:before="175" w:line="249" w:lineRule="auto"/>
        <w:ind w:right="247"/>
        <w:rPr>
          <w:sz w:val="20"/>
        </w:rPr>
      </w:pPr>
      <w:r>
        <w:rPr>
          <w:sz w:val="20"/>
        </w:rPr>
        <w:t>Discussed</w:t>
      </w:r>
      <w:r>
        <w:rPr>
          <w:spacing w:val="-3"/>
          <w:sz w:val="20"/>
        </w:rPr>
        <w:t xml:space="preserve"> </w:t>
      </w:r>
      <w:r>
        <w:rPr>
          <w:sz w:val="20"/>
        </w:rPr>
        <w:t>skilled</w:t>
      </w:r>
      <w:r>
        <w:rPr>
          <w:spacing w:val="-3"/>
          <w:sz w:val="20"/>
        </w:rPr>
        <w:t xml:space="preserve"> </w:t>
      </w:r>
      <w:r>
        <w:rPr>
          <w:sz w:val="20"/>
        </w:rPr>
        <w:t>migration</w:t>
      </w:r>
      <w:r>
        <w:rPr>
          <w:spacing w:val="-3"/>
          <w:sz w:val="20"/>
        </w:rPr>
        <w:t xml:space="preserve"> </w:t>
      </w:r>
      <w:r>
        <w:rPr>
          <w:sz w:val="20"/>
        </w:rPr>
        <w:t>reform</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LCA</w:t>
      </w:r>
      <w:r>
        <w:rPr>
          <w:spacing w:val="-13"/>
          <w:sz w:val="20"/>
        </w:rPr>
        <w:t xml:space="preserve"> </w:t>
      </w:r>
      <w:r>
        <w:rPr>
          <w:sz w:val="20"/>
        </w:rPr>
        <w:t>with</w:t>
      </w:r>
      <w:r>
        <w:rPr>
          <w:spacing w:val="-3"/>
          <w:sz w:val="20"/>
        </w:rPr>
        <w:t xml:space="preserve"> </w:t>
      </w:r>
      <w:r>
        <w:rPr>
          <w:sz w:val="20"/>
        </w:rPr>
        <w:t>a</w:t>
      </w:r>
      <w:r>
        <w:rPr>
          <w:spacing w:val="-3"/>
          <w:sz w:val="20"/>
        </w:rPr>
        <w:t xml:space="preserve"> </w:t>
      </w:r>
      <w:r>
        <w:rPr>
          <w:sz w:val="20"/>
        </w:rPr>
        <w:t>view</w:t>
      </w:r>
      <w:r>
        <w:rPr>
          <w:spacing w:val="-3"/>
          <w:sz w:val="20"/>
        </w:rPr>
        <w:t xml:space="preserve"> </w:t>
      </w:r>
      <w:r>
        <w:rPr>
          <w:sz w:val="20"/>
        </w:rPr>
        <w:t>to</w:t>
      </w:r>
      <w:r>
        <w:rPr>
          <w:spacing w:val="-3"/>
          <w:sz w:val="20"/>
        </w:rPr>
        <w:t xml:space="preserve"> </w:t>
      </w:r>
      <w:r>
        <w:rPr>
          <w:sz w:val="20"/>
        </w:rPr>
        <w:t>making</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the Employment White Paper and the review of Australia’s Migration System.</w:t>
      </w:r>
    </w:p>
    <w:p w14:paraId="1AF781CC" w14:textId="77777777" w:rsidR="00AC6F3C" w:rsidRDefault="00AC6F3C">
      <w:pPr>
        <w:pStyle w:val="BodyText"/>
        <w:spacing w:before="9"/>
        <w:rPr>
          <w:sz w:val="22"/>
        </w:rPr>
      </w:pPr>
    </w:p>
    <w:p w14:paraId="243B2117" w14:textId="77777777" w:rsidR="00AC6F3C" w:rsidRDefault="00570E88">
      <w:pPr>
        <w:pStyle w:val="Heading9"/>
      </w:pPr>
      <w:r>
        <w:t xml:space="preserve">Migration </w:t>
      </w:r>
      <w:r>
        <w:rPr>
          <w:spacing w:val="-2"/>
        </w:rPr>
        <w:t>Review</w:t>
      </w:r>
    </w:p>
    <w:p w14:paraId="0B7128C1" w14:textId="77777777" w:rsidR="00AC6F3C" w:rsidRDefault="00570E88">
      <w:pPr>
        <w:pStyle w:val="ListParagraph"/>
        <w:numPr>
          <w:ilvl w:val="0"/>
          <w:numId w:val="58"/>
        </w:numPr>
        <w:tabs>
          <w:tab w:val="left" w:pos="1155"/>
        </w:tabs>
        <w:spacing w:before="176" w:line="249" w:lineRule="auto"/>
        <w:ind w:right="690"/>
        <w:rPr>
          <w:sz w:val="20"/>
        </w:rPr>
      </w:pPr>
      <w:r>
        <w:rPr>
          <w:sz w:val="20"/>
        </w:rPr>
        <w:t>Provided</w:t>
      </w:r>
      <w:r>
        <w:rPr>
          <w:spacing w:val="-3"/>
          <w:sz w:val="20"/>
        </w:rPr>
        <w:t xml:space="preserve"> </w:t>
      </w:r>
      <w:r>
        <w:rPr>
          <w:sz w:val="20"/>
        </w:rPr>
        <w:t>input</w:t>
      </w:r>
      <w:r>
        <w:rPr>
          <w:spacing w:val="-3"/>
          <w:sz w:val="20"/>
        </w:rPr>
        <w:t xml:space="preserve"> </w:t>
      </w:r>
      <w:r>
        <w:rPr>
          <w:sz w:val="20"/>
        </w:rPr>
        <w:t>regarding</w:t>
      </w:r>
      <w:r>
        <w:rPr>
          <w:spacing w:val="-3"/>
          <w:sz w:val="20"/>
        </w:rPr>
        <w:t xml:space="preserve"> </w:t>
      </w:r>
      <w:r>
        <w:rPr>
          <w:sz w:val="20"/>
        </w:rPr>
        <w:t>a</w:t>
      </w:r>
      <w:r>
        <w:rPr>
          <w:spacing w:val="-3"/>
          <w:sz w:val="20"/>
        </w:rPr>
        <w:t xml:space="preserve"> </w:t>
      </w:r>
      <w:r>
        <w:rPr>
          <w:sz w:val="20"/>
        </w:rPr>
        <w:t>proposal</w:t>
      </w:r>
      <w:r>
        <w:rPr>
          <w:spacing w:val="-3"/>
          <w:sz w:val="20"/>
        </w:rPr>
        <w:t xml:space="preserve"> </w:t>
      </w:r>
      <w:r>
        <w:rPr>
          <w:sz w:val="20"/>
        </w:rPr>
        <w:t>to</w:t>
      </w:r>
      <w:r>
        <w:rPr>
          <w:spacing w:val="-3"/>
          <w:sz w:val="20"/>
        </w:rPr>
        <w:t xml:space="preserve"> </w:t>
      </w:r>
      <w:r>
        <w:rPr>
          <w:sz w:val="20"/>
        </w:rPr>
        <w:t>reform</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sponsored</w:t>
      </w:r>
      <w:r>
        <w:rPr>
          <w:spacing w:val="-3"/>
          <w:sz w:val="20"/>
        </w:rPr>
        <w:t xml:space="preserve"> </w:t>
      </w:r>
      <w:r>
        <w:rPr>
          <w:sz w:val="20"/>
        </w:rPr>
        <w:t>visa</w:t>
      </w:r>
      <w:r>
        <w:rPr>
          <w:spacing w:val="-3"/>
          <w:sz w:val="20"/>
        </w:rPr>
        <w:t xml:space="preserve"> </w:t>
      </w:r>
      <w:r>
        <w:rPr>
          <w:sz w:val="20"/>
        </w:rPr>
        <w:t>program</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LCA as part of the recent Migration Review.</w:t>
      </w:r>
    </w:p>
    <w:p w14:paraId="0F352CD6" w14:textId="77777777" w:rsidR="00AC6F3C" w:rsidRDefault="00AC6F3C">
      <w:pPr>
        <w:pStyle w:val="BodyText"/>
        <w:spacing w:before="9"/>
        <w:rPr>
          <w:sz w:val="22"/>
        </w:rPr>
      </w:pPr>
    </w:p>
    <w:p w14:paraId="0605D47A" w14:textId="77777777" w:rsidR="00AC6F3C" w:rsidRDefault="00570E88">
      <w:pPr>
        <w:pStyle w:val="Heading9"/>
      </w:pPr>
      <w:r>
        <w:t>Inquiry</w:t>
      </w:r>
      <w:r>
        <w:rPr>
          <w:spacing w:val="-2"/>
        </w:rPr>
        <w:t xml:space="preserve"> </w:t>
      </w:r>
      <w:r>
        <w:t>into</w:t>
      </w:r>
      <w:r>
        <w:rPr>
          <w:spacing w:val="-1"/>
        </w:rPr>
        <w:t xml:space="preserve"> </w:t>
      </w:r>
      <w:r>
        <w:t>the</w:t>
      </w:r>
      <w:r>
        <w:rPr>
          <w:spacing w:val="-1"/>
        </w:rPr>
        <w:t xml:space="preserve"> </w:t>
      </w:r>
      <w:r>
        <w:t>role</w:t>
      </w:r>
      <w:r>
        <w:rPr>
          <w:spacing w:val="-1"/>
        </w:rPr>
        <w:t xml:space="preserve"> </w:t>
      </w:r>
      <w:r>
        <w:t>of</w:t>
      </w:r>
      <w:r>
        <w:rPr>
          <w:spacing w:val="-2"/>
        </w:rPr>
        <w:t xml:space="preserve"> </w:t>
      </w:r>
      <w:r>
        <w:t>permanent</w:t>
      </w:r>
      <w:r>
        <w:rPr>
          <w:spacing w:val="-1"/>
        </w:rPr>
        <w:t xml:space="preserve"> </w:t>
      </w:r>
      <w:r>
        <w:t>migration</w:t>
      </w:r>
      <w:r>
        <w:rPr>
          <w:spacing w:val="-1"/>
        </w:rPr>
        <w:t xml:space="preserve"> </w:t>
      </w:r>
      <w:r>
        <w:t>in</w:t>
      </w:r>
      <w:r>
        <w:rPr>
          <w:spacing w:val="-1"/>
        </w:rPr>
        <w:t xml:space="preserve"> </w:t>
      </w:r>
      <w:r>
        <w:t>nation</w:t>
      </w:r>
      <w:r>
        <w:rPr>
          <w:spacing w:val="-1"/>
        </w:rPr>
        <w:t xml:space="preserve"> </w:t>
      </w:r>
      <w:r>
        <w:rPr>
          <w:spacing w:val="-2"/>
        </w:rPr>
        <w:t>building</w:t>
      </w:r>
    </w:p>
    <w:p w14:paraId="28B511C8" w14:textId="77777777" w:rsidR="00AC6F3C" w:rsidRDefault="00570E88">
      <w:pPr>
        <w:pStyle w:val="ListParagraph"/>
        <w:numPr>
          <w:ilvl w:val="0"/>
          <w:numId w:val="58"/>
        </w:numPr>
        <w:tabs>
          <w:tab w:val="left" w:pos="1155"/>
        </w:tabs>
        <w:spacing w:before="176" w:line="249" w:lineRule="auto"/>
        <w:ind w:right="237"/>
        <w:rPr>
          <w:sz w:val="20"/>
        </w:rPr>
      </w:pPr>
      <w:r>
        <w:rPr>
          <w:sz w:val="20"/>
        </w:rPr>
        <w:t>Provided</w:t>
      </w:r>
      <w:r>
        <w:rPr>
          <w:spacing w:val="-3"/>
          <w:sz w:val="20"/>
        </w:rPr>
        <w:t xml:space="preserve"> </w:t>
      </w:r>
      <w:r>
        <w:rPr>
          <w:sz w:val="20"/>
        </w:rPr>
        <w:t>input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LCA</w:t>
      </w:r>
      <w:r>
        <w:rPr>
          <w:spacing w:val="-13"/>
          <w:sz w:val="20"/>
        </w:rPr>
        <w:t xml:space="preserve"> </w:t>
      </w:r>
      <w:r>
        <w:rPr>
          <w:sz w:val="20"/>
        </w:rPr>
        <w:t>regarding</w:t>
      </w:r>
      <w:r>
        <w:rPr>
          <w:spacing w:val="-3"/>
          <w:sz w:val="20"/>
        </w:rPr>
        <w:t xml:space="preserve"> </w:t>
      </w:r>
      <w:r>
        <w:rPr>
          <w:sz w:val="20"/>
        </w:rPr>
        <w:t>the</w:t>
      </w:r>
      <w:r>
        <w:rPr>
          <w:spacing w:val="-3"/>
          <w:sz w:val="20"/>
        </w:rPr>
        <w:t xml:space="preserve"> </w:t>
      </w:r>
      <w:r>
        <w:rPr>
          <w:sz w:val="20"/>
        </w:rPr>
        <w:t>Joint</w:t>
      </w:r>
      <w:r>
        <w:rPr>
          <w:spacing w:val="-3"/>
          <w:sz w:val="20"/>
        </w:rPr>
        <w:t xml:space="preserve"> </w:t>
      </w:r>
      <w:r>
        <w:rPr>
          <w:sz w:val="20"/>
        </w:rPr>
        <w:t>Standing</w:t>
      </w:r>
      <w:r>
        <w:rPr>
          <w:spacing w:val="-3"/>
          <w:sz w:val="20"/>
        </w:rPr>
        <w:t xml:space="preserve"> </w:t>
      </w:r>
      <w:r>
        <w:rPr>
          <w:sz w:val="20"/>
        </w:rPr>
        <w:t>Committee</w:t>
      </w:r>
      <w:r>
        <w:rPr>
          <w:spacing w:val="-3"/>
          <w:sz w:val="20"/>
        </w:rPr>
        <w:t xml:space="preserve"> </w:t>
      </w:r>
      <w:r>
        <w:rPr>
          <w:sz w:val="20"/>
        </w:rPr>
        <w:t>on</w:t>
      </w:r>
      <w:r>
        <w:rPr>
          <w:spacing w:val="-3"/>
          <w:sz w:val="20"/>
        </w:rPr>
        <w:t xml:space="preserve"> </w:t>
      </w:r>
      <w:r>
        <w:rPr>
          <w:sz w:val="20"/>
        </w:rPr>
        <w:t>Migration’s</w:t>
      </w:r>
      <w:r>
        <w:rPr>
          <w:spacing w:val="-3"/>
          <w:sz w:val="20"/>
        </w:rPr>
        <w:t xml:space="preserve"> </w:t>
      </w:r>
      <w:r>
        <w:rPr>
          <w:sz w:val="20"/>
        </w:rPr>
        <w:t>inquiry</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role of permanent migration in nation building.</w:t>
      </w:r>
    </w:p>
    <w:p w14:paraId="4577E7BE" w14:textId="77777777" w:rsidR="00AC6F3C" w:rsidRDefault="00AC6F3C">
      <w:pPr>
        <w:pStyle w:val="BodyText"/>
        <w:spacing w:before="9"/>
        <w:rPr>
          <w:sz w:val="22"/>
        </w:rPr>
      </w:pPr>
    </w:p>
    <w:p w14:paraId="240245CF" w14:textId="77777777" w:rsidR="00AC6F3C" w:rsidRDefault="00570E88">
      <w:pPr>
        <w:pStyle w:val="Heading9"/>
      </w:pPr>
      <w:r>
        <w:t>Abolition</w:t>
      </w:r>
      <w:r>
        <w:rPr>
          <w:spacing w:val="-6"/>
        </w:rPr>
        <w:t xml:space="preserve"> </w:t>
      </w:r>
      <w:r>
        <w:t>of</w:t>
      </w:r>
      <w:r>
        <w:rPr>
          <w:spacing w:val="-6"/>
        </w:rPr>
        <w:t xml:space="preserve"> </w:t>
      </w:r>
      <w:r>
        <w:t>the</w:t>
      </w:r>
      <w:r>
        <w:rPr>
          <w:spacing w:val="-14"/>
        </w:rPr>
        <w:t xml:space="preserve"> </w:t>
      </w:r>
      <w:r>
        <w:t>Administrative</w:t>
      </w:r>
      <w:r>
        <w:rPr>
          <w:spacing w:val="-15"/>
        </w:rPr>
        <w:t xml:space="preserve"> </w:t>
      </w:r>
      <w:r>
        <w:t>Appeals</w:t>
      </w:r>
      <w:r>
        <w:rPr>
          <w:spacing w:val="-6"/>
        </w:rPr>
        <w:t xml:space="preserve"> </w:t>
      </w:r>
      <w:r>
        <w:t>Tribunal</w:t>
      </w:r>
      <w:r>
        <w:rPr>
          <w:spacing w:val="-5"/>
        </w:rPr>
        <w:t xml:space="preserve"> </w:t>
      </w:r>
      <w:r>
        <w:rPr>
          <w:spacing w:val="-2"/>
        </w:rPr>
        <w:t>(AAT)</w:t>
      </w:r>
    </w:p>
    <w:p w14:paraId="063CCB41" w14:textId="77777777" w:rsidR="00AC6F3C" w:rsidRDefault="00570E88">
      <w:pPr>
        <w:pStyle w:val="ListParagraph"/>
        <w:numPr>
          <w:ilvl w:val="0"/>
          <w:numId w:val="58"/>
        </w:numPr>
        <w:tabs>
          <w:tab w:val="left" w:pos="1155"/>
        </w:tabs>
        <w:spacing w:before="176"/>
        <w:ind w:hanging="340"/>
        <w:rPr>
          <w:sz w:val="20"/>
        </w:rPr>
      </w:pPr>
      <w:r>
        <w:rPr>
          <w:sz w:val="20"/>
        </w:rPr>
        <w:t>Engaged</w:t>
      </w:r>
      <w:r>
        <w:rPr>
          <w:spacing w:val="-4"/>
          <w:sz w:val="20"/>
        </w:rPr>
        <w:t xml:space="preserve"> </w:t>
      </w:r>
      <w:r>
        <w:rPr>
          <w:sz w:val="20"/>
        </w:rPr>
        <w:t>with</w:t>
      </w:r>
      <w:r>
        <w:rPr>
          <w:spacing w:val="-3"/>
          <w:sz w:val="20"/>
        </w:rPr>
        <w:t xml:space="preserve"> </w:t>
      </w:r>
      <w:r>
        <w:rPr>
          <w:sz w:val="20"/>
        </w:rPr>
        <w:t>developments</w:t>
      </w:r>
      <w:r>
        <w:rPr>
          <w:spacing w:val="-3"/>
          <w:sz w:val="20"/>
        </w:rPr>
        <w:t xml:space="preserve"> </w:t>
      </w:r>
      <w:r>
        <w:rPr>
          <w:sz w:val="20"/>
        </w:rPr>
        <w:t>around</w:t>
      </w:r>
      <w:r>
        <w:rPr>
          <w:spacing w:val="-4"/>
          <w:sz w:val="20"/>
        </w:rPr>
        <w:t xml:space="preserve"> </w:t>
      </w:r>
      <w:r>
        <w:rPr>
          <w:sz w:val="20"/>
        </w:rPr>
        <w:t>the</w:t>
      </w:r>
      <w:r>
        <w:rPr>
          <w:spacing w:val="-3"/>
          <w:sz w:val="20"/>
        </w:rPr>
        <w:t xml:space="preserve"> </w:t>
      </w:r>
      <w:r>
        <w:rPr>
          <w:sz w:val="20"/>
        </w:rPr>
        <w:t>abolition</w:t>
      </w:r>
      <w:r>
        <w:rPr>
          <w:spacing w:val="-3"/>
          <w:sz w:val="20"/>
        </w:rPr>
        <w:t xml:space="preserve"> </w:t>
      </w:r>
      <w:r>
        <w:rPr>
          <w:sz w:val="20"/>
        </w:rPr>
        <w:t>of</w:t>
      </w:r>
      <w:r>
        <w:rPr>
          <w:spacing w:val="-4"/>
          <w:sz w:val="20"/>
        </w:rPr>
        <w:t xml:space="preserve"> </w:t>
      </w:r>
      <w:r>
        <w:rPr>
          <w:sz w:val="20"/>
        </w:rPr>
        <w:t>the</w:t>
      </w:r>
      <w:r>
        <w:rPr>
          <w:spacing w:val="-13"/>
          <w:sz w:val="20"/>
        </w:rPr>
        <w:t xml:space="preserve"> </w:t>
      </w:r>
      <w:r>
        <w:rPr>
          <w:spacing w:val="-4"/>
          <w:sz w:val="20"/>
        </w:rPr>
        <w:t>AAT.</w:t>
      </w:r>
    </w:p>
    <w:p w14:paraId="654E20CD" w14:textId="77777777" w:rsidR="00AC6F3C" w:rsidRDefault="00570E88">
      <w:pPr>
        <w:pStyle w:val="ListParagraph"/>
        <w:numPr>
          <w:ilvl w:val="0"/>
          <w:numId w:val="58"/>
        </w:numPr>
        <w:tabs>
          <w:tab w:val="left" w:pos="1155"/>
        </w:tabs>
        <w:spacing w:line="249" w:lineRule="auto"/>
        <w:ind w:right="314"/>
        <w:rPr>
          <w:sz w:val="20"/>
        </w:rPr>
      </w:pPr>
      <w:r>
        <w:rPr>
          <w:sz w:val="20"/>
        </w:rPr>
        <w:t>Prior</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government</w:t>
      </w:r>
      <w:r>
        <w:rPr>
          <w:spacing w:val="-5"/>
          <w:sz w:val="20"/>
        </w:rPr>
        <w:t xml:space="preserve"> </w:t>
      </w:r>
      <w:r>
        <w:rPr>
          <w:sz w:val="20"/>
        </w:rPr>
        <w:t>announcing</w:t>
      </w:r>
      <w:r>
        <w:rPr>
          <w:spacing w:val="-5"/>
          <w:sz w:val="20"/>
        </w:rPr>
        <w:t xml:space="preserve"> </w:t>
      </w:r>
      <w:r>
        <w:rPr>
          <w:sz w:val="20"/>
        </w:rPr>
        <w:t>abolition</w:t>
      </w:r>
      <w:r>
        <w:rPr>
          <w:spacing w:val="-5"/>
          <w:sz w:val="20"/>
        </w:rPr>
        <w:t xml:space="preserve"> </w:t>
      </w:r>
      <w:r>
        <w:rPr>
          <w:sz w:val="20"/>
        </w:rPr>
        <w:t>of</w:t>
      </w:r>
      <w:r>
        <w:rPr>
          <w:spacing w:val="-5"/>
          <w:sz w:val="20"/>
        </w:rPr>
        <w:t xml:space="preserve"> </w:t>
      </w:r>
      <w:r>
        <w:rPr>
          <w:sz w:val="20"/>
        </w:rPr>
        <w:t>the</w:t>
      </w:r>
      <w:r>
        <w:rPr>
          <w:spacing w:val="-14"/>
          <w:sz w:val="20"/>
        </w:rPr>
        <w:t xml:space="preserve"> </w:t>
      </w:r>
      <w:r>
        <w:rPr>
          <w:sz w:val="20"/>
        </w:rPr>
        <w:t>AAT,</w:t>
      </w:r>
      <w:r>
        <w:rPr>
          <w:spacing w:val="-5"/>
          <w:sz w:val="20"/>
        </w:rPr>
        <w:t xml:space="preserve"> </w:t>
      </w:r>
      <w:r>
        <w:rPr>
          <w:sz w:val="20"/>
        </w:rPr>
        <w:t>provided</w:t>
      </w:r>
      <w:r>
        <w:rPr>
          <w:spacing w:val="-5"/>
          <w:sz w:val="20"/>
        </w:rPr>
        <w:t xml:space="preserve"> </w:t>
      </w:r>
      <w:r>
        <w:rPr>
          <w:sz w:val="20"/>
        </w:rPr>
        <w:t>input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LCA</w:t>
      </w:r>
      <w:r>
        <w:rPr>
          <w:spacing w:val="-14"/>
          <w:sz w:val="20"/>
        </w:rPr>
        <w:t xml:space="preserve"> </w:t>
      </w:r>
      <w:r>
        <w:rPr>
          <w:sz w:val="20"/>
        </w:rPr>
        <w:t>regarding</w:t>
      </w:r>
      <w:r>
        <w:rPr>
          <w:spacing w:val="-5"/>
          <w:sz w:val="20"/>
        </w:rPr>
        <w:t xml:space="preserve"> </w:t>
      </w:r>
      <w:r>
        <w:rPr>
          <w:sz w:val="20"/>
        </w:rPr>
        <w:t>a</w:t>
      </w:r>
      <w:r>
        <w:rPr>
          <w:spacing w:val="-5"/>
          <w:sz w:val="20"/>
        </w:rPr>
        <w:t xml:space="preserve"> </w:t>
      </w:r>
      <w:r>
        <w:rPr>
          <w:sz w:val="20"/>
        </w:rPr>
        <w:t>draft AAT Refugee and Migration Division Practice Direction, focusing on the difficulties the proposed practice direction would have imposed upon vulnerable applicants and their legal representatives.</w:t>
      </w:r>
    </w:p>
    <w:p w14:paraId="014D4E6A" w14:textId="77777777" w:rsidR="00AC6F3C" w:rsidRDefault="00AC6F3C">
      <w:pPr>
        <w:pStyle w:val="BodyText"/>
        <w:spacing w:before="10"/>
        <w:rPr>
          <w:sz w:val="22"/>
        </w:rPr>
      </w:pPr>
    </w:p>
    <w:p w14:paraId="0DC5E83E" w14:textId="77777777" w:rsidR="00AC6F3C" w:rsidRDefault="00570E88">
      <w:pPr>
        <w:pStyle w:val="Heading9"/>
      </w:pPr>
      <w:r>
        <w:t>Pre-budget</w:t>
      </w:r>
      <w:r>
        <w:rPr>
          <w:spacing w:val="-2"/>
        </w:rPr>
        <w:t xml:space="preserve"> </w:t>
      </w:r>
      <w:r>
        <w:t>submission</w:t>
      </w:r>
      <w:r>
        <w:rPr>
          <w:spacing w:val="-1"/>
        </w:rPr>
        <w:t xml:space="preserve"> </w:t>
      </w:r>
      <w:r>
        <w:t>and</w:t>
      </w:r>
      <w:r>
        <w:rPr>
          <w:spacing w:val="-2"/>
        </w:rPr>
        <w:t xml:space="preserve"> </w:t>
      </w:r>
      <w:r>
        <w:t>the</w:t>
      </w:r>
      <w:r>
        <w:rPr>
          <w:spacing w:val="-1"/>
        </w:rPr>
        <w:t xml:space="preserve"> </w:t>
      </w:r>
      <w:r>
        <w:t>National</w:t>
      </w:r>
      <w:r>
        <w:rPr>
          <w:spacing w:val="-1"/>
        </w:rPr>
        <w:t xml:space="preserve"> </w:t>
      </w:r>
      <w:r>
        <w:t>Legal</w:t>
      </w:r>
      <w:r>
        <w:rPr>
          <w:spacing w:val="-11"/>
        </w:rPr>
        <w:t xml:space="preserve"> </w:t>
      </w:r>
      <w:r>
        <w:t>Assistance</w:t>
      </w:r>
      <w:r>
        <w:rPr>
          <w:spacing w:val="-1"/>
        </w:rPr>
        <w:t xml:space="preserve"> </w:t>
      </w:r>
      <w:r>
        <w:t>Partnership</w:t>
      </w:r>
      <w:r>
        <w:rPr>
          <w:spacing w:val="-1"/>
        </w:rPr>
        <w:t xml:space="preserve"> </w:t>
      </w:r>
      <w:r>
        <w:rPr>
          <w:spacing w:val="-2"/>
        </w:rPr>
        <w:t>Review</w:t>
      </w:r>
    </w:p>
    <w:p w14:paraId="7C6B3AAF" w14:textId="77777777" w:rsidR="00AC6F3C" w:rsidRDefault="00570E88">
      <w:pPr>
        <w:pStyle w:val="ListParagraph"/>
        <w:numPr>
          <w:ilvl w:val="0"/>
          <w:numId w:val="58"/>
        </w:numPr>
        <w:tabs>
          <w:tab w:val="left" w:pos="1155"/>
        </w:tabs>
        <w:spacing w:before="176" w:line="249" w:lineRule="auto"/>
        <w:ind w:right="924"/>
        <w:rPr>
          <w:sz w:val="20"/>
        </w:rPr>
      </w:pPr>
      <w:r>
        <w:rPr>
          <w:sz w:val="20"/>
        </w:rPr>
        <w:t>Assisted QLS in relation to feedback to the LCA</w:t>
      </w:r>
      <w:r>
        <w:rPr>
          <w:spacing w:val="-5"/>
          <w:sz w:val="20"/>
        </w:rPr>
        <w:t xml:space="preserve"> </w:t>
      </w:r>
      <w:r>
        <w:rPr>
          <w:sz w:val="20"/>
        </w:rPr>
        <w:t>regarding issues to include in a pre-budget submission</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terms</w:t>
      </w:r>
      <w:r>
        <w:rPr>
          <w:spacing w:val="-4"/>
          <w:sz w:val="20"/>
        </w:rPr>
        <w:t xml:space="preserve"> </w:t>
      </w:r>
      <w:r>
        <w:rPr>
          <w:sz w:val="20"/>
        </w:rPr>
        <w:t>of</w:t>
      </w:r>
      <w:r>
        <w:rPr>
          <w:spacing w:val="-4"/>
          <w:sz w:val="20"/>
        </w:rPr>
        <w:t xml:space="preserve"> </w:t>
      </w:r>
      <w:r>
        <w:rPr>
          <w:sz w:val="20"/>
        </w:rPr>
        <w:t>reference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National</w:t>
      </w:r>
      <w:r>
        <w:rPr>
          <w:spacing w:val="-4"/>
          <w:sz w:val="20"/>
        </w:rPr>
        <w:t xml:space="preserve"> </w:t>
      </w:r>
      <w:r>
        <w:rPr>
          <w:sz w:val="20"/>
        </w:rPr>
        <w:t>Legal</w:t>
      </w:r>
      <w:r>
        <w:rPr>
          <w:spacing w:val="-14"/>
          <w:sz w:val="20"/>
        </w:rPr>
        <w:t xml:space="preserve"> </w:t>
      </w:r>
      <w:r>
        <w:rPr>
          <w:sz w:val="20"/>
        </w:rPr>
        <w:t>Assistance</w:t>
      </w:r>
      <w:r>
        <w:rPr>
          <w:spacing w:val="-4"/>
          <w:sz w:val="20"/>
        </w:rPr>
        <w:t xml:space="preserve"> </w:t>
      </w:r>
      <w:r>
        <w:rPr>
          <w:sz w:val="20"/>
        </w:rPr>
        <w:t>Partnership</w:t>
      </w:r>
      <w:r>
        <w:rPr>
          <w:spacing w:val="-4"/>
          <w:sz w:val="20"/>
        </w:rPr>
        <w:t xml:space="preserve"> </w:t>
      </w:r>
      <w:r>
        <w:rPr>
          <w:sz w:val="20"/>
        </w:rPr>
        <w:t>Review.</w:t>
      </w:r>
    </w:p>
    <w:p w14:paraId="38B73EB4" w14:textId="77777777" w:rsidR="00AC6F3C" w:rsidRDefault="00AC6F3C">
      <w:pPr>
        <w:pStyle w:val="BodyText"/>
        <w:spacing w:before="1"/>
        <w:rPr>
          <w:sz w:val="31"/>
        </w:rPr>
      </w:pPr>
    </w:p>
    <w:p w14:paraId="68ED49A4" w14:textId="77777777" w:rsidR="00AC6F3C" w:rsidRDefault="00570E88">
      <w:pPr>
        <w:ind w:left="815"/>
        <w:rPr>
          <w:b/>
          <w:sz w:val="26"/>
        </w:rPr>
      </w:pPr>
      <w:r>
        <w:rPr>
          <w:b/>
          <w:sz w:val="26"/>
        </w:rPr>
        <w:t>Not</w:t>
      </w:r>
      <w:r>
        <w:rPr>
          <w:b/>
          <w:spacing w:val="-1"/>
          <w:sz w:val="26"/>
        </w:rPr>
        <w:t xml:space="preserve"> </w:t>
      </w:r>
      <w:r>
        <w:rPr>
          <w:b/>
          <w:sz w:val="26"/>
        </w:rPr>
        <w:t>for Profit</w:t>
      </w:r>
      <w:r>
        <w:rPr>
          <w:b/>
          <w:spacing w:val="-1"/>
          <w:sz w:val="26"/>
        </w:rPr>
        <w:t xml:space="preserve"> </w:t>
      </w:r>
      <w:r>
        <w:rPr>
          <w:b/>
          <w:sz w:val="26"/>
        </w:rPr>
        <w:t xml:space="preserve">Law </w:t>
      </w:r>
      <w:r>
        <w:rPr>
          <w:b/>
          <w:spacing w:val="-2"/>
          <w:sz w:val="26"/>
        </w:rPr>
        <w:t>Committee</w:t>
      </w:r>
    </w:p>
    <w:p w14:paraId="722F1901" w14:textId="77777777" w:rsidR="00AC6F3C" w:rsidRDefault="00570E88">
      <w:pPr>
        <w:pStyle w:val="BodyText"/>
        <w:spacing w:before="167" w:line="249" w:lineRule="auto"/>
        <w:ind w:left="815" w:right="468"/>
      </w:pPr>
      <w:r>
        <w:t>The</w:t>
      </w:r>
      <w:r>
        <w:rPr>
          <w:spacing w:val="-4"/>
        </w:rPr>
        <w:t xml:space="preserve"> </w:t>
      </w:r>
      <w:r>
        <w:t>committee</w:t>
      </w:r>
      <w:r>
        <w:rPr>
          <w:spacing w:val="-4"/>
        </w:rPr>
        <w:t xml:space="preserve"> </w:t>
      </w:r>
      <w:r>
        <w:t>contributed</w:t>
      </w:r>
      <w:r>
        <w:rPr>
          <w:spacing w:val="-4"/>
        </w:rPr>
        <w:t xml:space="preserve"> </w:t>
      </w:r>
      <w:r>
        <w:t>to</w:t>
      </w:r>
      <w:r>
        <w:rPr>
          <w:spacing w:val="-4"/>
        </w:rPr>
        <w:t xml:space="preserve"> </w:t>
      </w:r>
      <w:r>
        <w:t>eight</w:t>
      </w:r>
      <w:r>
        <w:rPr>
          <w:spacing w:val="-4"/>
        </w:rPr>
        <w:t xml:space="preserve"> </w:t>
      </w:r>
      <w:r>
        <w:t>submissions</w:t>
      </w:r>
      <w:r>
        <w:rPr>
          <w:spacing w:val="-4"/>
        </w:rPr>
        <w:t xml:space="preserve"> </w:t>
      </w:r>
      <w:r>
        <w:t>and</w:t>
      </w:r>
      <w:r>
        <w:rPr>
          <w:spacing w:val="-4"/>
        </w:rPr>
        <w:t xml:space="preserve"> </w:t>
      </w:r>
      <w:r>
        <w:t>attended</w:t>
      </w:r>
      <w:r>
        <w:rPr>
          <w:spacing w:val="-4"/>
        </w:rPr>
        <w:t xml:space="preserve"> </w:t>
      </w:r>
      <w:r>
        <w:t>four</w:t>
      </w:r>
      <w:r>
        <w:rPr>
          <w:spacing w:val="-4"/>
        </w:rPr>
        <w:t xml:space="preserve"> </w:t>
      </w:r>
      <w:r>
        <w:t>stakeholder</w:t>
      </w:r>
      <w:r>
        <w:rPr>
          <w:spacing w:val="-4"/>
        </w:rPr>
        <w:t xml:space="preserve"> </w:t>
      </w:r>
      <w:r>
        <w:t>consultations</w:t>
      </w:r>
      <w:r>
        <w:rPr>
          <w:spacing w:val="-4"/>
        </w:rPr>
        <w:t xml:space="preserve"> </w:t>
      </w:r>
      <w:r>
        <w:t xml:space="preserve">during this </w:t>
      </w:r>
      <w:proofErr w:type="gramStart"/>
      <w:r>
        <w:t>financial year</w:t>
      </w:r>
      <w:proofErr w:type="gramEnd"/>
      <w:r>
        <w:t>.</w:t>
      </w:r>
    </w:p>
    <w:p w14:paraId="13DF21F1" w14:textId="77777777" w:rsidR="00AC6F3C" w:rsidRDefault="00570E88">
      <w:pPr>
        <w:pStyle w:val="ListParagraph"/>
        <w:numPr>
          <w:ilvl w:val="0"/>
          <w:numId w:val="58"/>
        </w:numPr>
        <w:tabs>
          <w:tab w:val="left" w:pos="1155"/>
        </w:tabs>
        <w:spacing w:before="172" w:line="249" w:lineRule="auto"/>
        <w:ind w:right="745"/>
        <w:rPr>
          <w:sz w:val="20"/>
        </w:rPr>
      </w:pPr>
      <w:r>
        <w:rPr>
          <w:sz w:val="20"/>
        </w:rPr>
        <w:t>Key submissions included commenting on the</w:t>
      </w:r>
      <w:r>
        <w:rPr>
          <w:spacing w:val="-2"/>
          <w:sz w:val="20"/>
        </w:rPr>
        <w:t xml:space="preserve"> </w:t>
      </w:r>
      <w:r>
        <w:rPr>
          <w:sz w:val="20"/>
        </w:rPr>
        <w:t>Australian Charities and Not for Profits Commissioner’s Interpretation Statement on Health Promotion Charities and continuing our engagement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Department</w:t>
      </w:r>
      <w:r>
        <w:rPr>
          <w:spacing w:val="-4"/>
          <w:sz w:val="20"/>
        </w:rPr>
        <w:t xml:space="preserve"> </w:t>
      </w:r>
      <w:r>
        <w:rPr>
          <w:sz w:val="20"/>
        </w:rPr>
        <w:t>of</w:t>
      </w:r>
      <w:r>
        <w:rPr>
          <w:spacing w:val="-4"/>
          <w:sz w:val="20"/>
        </w:rPr>
        <w:t xml:space="preserve"> </w:t>
      </w:r>
      <w:r>
        <w:rPr>
          <w:sz w:val="20"/>
        </w:rPr>
        <w:t>Justice</w:t>
      </w:r>
      <w:r>
        <w:rPr>
          <w:spacing w:val="-4"/>
          <w:sz w:val="20"/>
        </w:rPr>
        <w:t xml:space="preserve"> </w:t>
      </w:r>
      <w:r>
        <w:rPr>
          <w:sz w:val="20"/>
        </w:rPr>
        <w:t>and</w:t>
      </w:r>
      <w:r>
        <w:rPr>
          <w:spacing w:val="-14"/>
          <w:sz w:val="20"/>
        </w:rPr>
        <w:t xml:space="preserve"> </w:t>
      </w:r>
      <w:r>
        <w:rPr>
          <w:sz w:val="20"/>
        </w:rPr>
        <w:t>Attorney-General</w:t>
      </w:r>
      <w:r>
        <w:rPr>
          <w:spacing w:val="-4"/>
          <w:sz w:val="20"/>
        </w:rPr>
        <w:t xml:space="preserve"> </w:t>
      </w:r>
      <w:r>
        <w:rPr>
          <w:sz w:val="20"/>
        </w:rPr>
        <w:t>(Qld)</w:t>
      </w:r>
      <w:r>
        <w:rPr>
          <w:spacing w:val="-4"/>
          <w:sz w:val="20"/>
        </w:rPr>
        <w:t xml:space="preserve"> </w:t>
      </w:r>
      <w:r>
        <w:rPr>
          <w:sz w:val="20"/>
        </w:rPr>
        <w:t>regarding</w:t>
      </w:r>
      <w:r>
        <w:rPr>
          <w:spacing w:val="-4"/>
          <w:sz w:val="20"/>
        </w:rPr>
        <w:t xml:space="preserve"> </w:t>
      </w:r>
      <w:r>
        <w:rPr>
          <w:sz w:val="20"/>
        </w:rPr>
        <w:t>incorporated associations reforms for introducing grievance procedures, disclosure of remuneration and reporting requirements and thresholds.</w:t>
      </w:r>
    </w:p>
    <w:p w14:paraId="7225E7A6" w14:textId="77777777" w:rsidR="00AC6F3C" w:rsidRDefault="00570E88">
      <w:pPr>
        <w:pStyle w:val="ListParagraph"/>
        <w:numPr>
          <w:ilvl w:val="0"/>
          <w:numId w:val="58"/>
        </w:numPr>
        <w:tabs>
          <w:tab w:val="left" w:pos="1155"/>
        </w:tabs>
        <w:spacing w:before="174" w:line="249" w:lineRule="auto"/>
        <w:ind w:right="389"/>
        <w:rPr>
          <w:sz w:val="20"/>
        </w:rPr>
      </w:pPr>
      <w:r>
        <w:rPr>
          <w:sz w:val="20"/>
        </w:rPr>
        <w:t>It</w:t>
      </w:r>
      <w:r>
        <w:rPr>
          <w:spacing w:val="-3"/>
          <w:sz w:val="20"/>
        </w:rPr>
        <w:t xml:space="preserve"> </w:t>
      </w:r>
      <w:r>
        <w:rPr>
          <w:sz w:val="20"/>
        </w:rPr>
        <w:t>was</w:t>
      </w:r>
      <w:r>
        <w:rPr>
          <w:spacing w:val="-3"/>
          <w:sz w:val="20"/>
        </w:rPr>
        <w:t xml:space="preserve"> </w:t>
      </w:r>
      <w:r>
        <w:rPr>
          <w:sz w:val="20"/>
        </w:rPr>
        <w:t>pleasing</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government</w:t>
      </w:r>
      <w:r>
        <w:rPr>
          <w:spacing w:val="-3"/>
          <w:sz w:val="20"/>
        </w:rPr>
        <w:t xml:space="preserve"> </w:t>
      </w:r>
      <w:r>
        <w:rPr>
          <w:sz w:val="20"/>
        </w:rPr>
        <w:t>adopted</w:t>
      </w:r>
      <w:r>
        <w:rPr>
          <w:spacing w:val="-3"/>
          <w:sz w:val="20"/>
        </w:rPr>
        <w:t xml:space="preserve"> </w:t>
      </w:r>
      <w:proofErr w:type="gramStart"/>
      <w:r>
        <w:rPr>
          <w:sz w:val="20"/>
        </w:rPr>
        <w:t>a</w:t>
      </w:r>
      <w:r>
        <w:rPr>
          <w:spacing w:val="-3"/>
          <w:sz w:val="20"/>
        </w:rPr>
        <w:t xml:space="preserve"> </w:t>
      </w:r>
      <w:r>
        <w:rPr>
          <w:sz w:val="20"/>
        </w:rPr>
        <w:t>number</w:t>
      </w:r>
      <w:r>
        <w:rPr>
          <w:spacing w:val="-3"/>
          <w:sz w:val="20"/>
        </w:rPr>
        <w:t xml:space="preserve"> </w:t>
      </w:r>
      <w:r>
        <w:rPr>
          <w:sz w:val="20"/>
        </w:rPr>
        <w:t>of</w:t>
      </w:r>
      <w:proofErr w:type="gramEnd"/>
      <w:r>
        <w:rPr>
          <w:spacing w:val="-3"/>
          <w:sz w:val="20"/>
        </w:rPr>
        <w:t xml:space="preserve"> </w:t>
      </w:r>
      <w:r>
        <w:rPr>
          <w:sz w:val="20"/>
        </w:rPr>
        <w:t>QLS</w:t>
      </w:r>
      <w:r>
        <w:rPr>
          <w:spacing w:val="-3"/>
          <w:sz w:val="20"/>
        </w:rPr>
        <w:t xml:space="preserve"> </w:t>
      </w:r>
      <w:r>
        <w:rPr>
          <w:sz w:val="20"/>
        </w:rPr>
        <w:t>submissions</w:t>
      </w:r>
      <w:r>
        <w:rPr>
          <w:spacing w:val="-3"/>
          <w:sz w:val="20"/>
        </w:rPr>
        <w:t xml:space="preserve"> </w:t>
      </w:r>
      <w:r>
        <w:rPr>
          <w:sz w:val="20"/>
        </w:rPr>
        <w:t>regarding</w:t>
      </w:r>
      <w:r>
        <w:rPr>
          <w:spacing w:val="-3"/>
          <w:sz w:val="20"/>
        </w:rPr>
        <w:t xml:space="preserve"> </w:t>
      </w:r>
      <w:r>
        <w:rPr>
          <w:sz w:val="20"/>
        </w:rPr>
        <w:t>incorporated associations reforms. Key changes including providing for equally shared costs of grievance mediations (unless parties agree to another arrangement), clarifying the interaction of grievance procedures</w:t>
      </w:r>
      <w:r>
        <w:rPr>
          <w:spacing w:val="-3"/>
          <w:sz w:val="20"/>
        </w:rPr>
        <w:t xml:space="preserve"> </w:t>
      </w:r>
      <w:r>
        <w:rPr>
          <w:sz w:val="20"/>
        </w:rPr>
        <w:t>with</w:t>
      </w:r>
      <w:r>
        <w:rPr>
          <w:spacing w:val="-3"/>
          <w:sz w:val="20"/>
        </w:rPr>
        <w:t xml:space="preserve"> </w:t>
      </w:r>
      <w:r>
        <w:rPr>
          <w:sz w:val="20"/>
        </w:rPr>
        <w:t>existing</w:t>
      </w:r>
      <w:r>
        <w:rPr>
          <w:spacing w:val="-3"/>
          <w:sz w:val="20"/>
        </w:rPr>
        <w:t xml:space="preserve"> </w:t>
      </w:r>
      <w:r>
        <w:rPr>
          <w:sz w:val="20"/>
        </w:rPr>
        <w:t>disciplinary</w:t>
      </w:r>
      <w:r>
        <w:rPr>
          <w:spacing w:val="-3"/>
          <w:sz w:val="20"/>
        </w:rPr>
        <w:t xml:space="preserve"> </w:t>
      </w:r>
      <w:r>
        <w:rPr>
          <w:sz w:val="20"/>
        </w:rPr>
        <w:t>issues</w:t>
      </w:r>
      <w:r>
        <w:rPr>
          <w:spacing w:val="-3"/>
          <w:sz w:val="20"/>
        </w:rPr>
        <w:t xml:space="preserve"> </w:t>
      </w:r>
      <w:r>
        <w:rPr>
          <w:sz w:val="20"/>
        </w:rPr>
        <w:t>giving</w:t>
      </w:r>
      <w:r>
        <w:rPr>
          <w:spacing w:val="-3"/>
          <w:sz w:val="20"/>
        </w:rPr>
        <w:t xml:space="preserve"> </w:t>
      </w:r>
      <w:r>
        <w:rPr>
          <w:sz w:val="20"/>
        </w:rPr>
        <w:t>rise</w:t>
      </w:r>
      <w:r>
        <w:rPr>
          <w:spacing w:val="-3"/>
          <w:sz w:val="20"/>
        </w:rPr>
        <w:t xml:space="preserve"> </w:t>
      </w:r>
      <w:r>
        <w:rPr>
          <w:sz w:val="20"/>
        </w:rPr>
        <w:t>to</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issues</w:t>
      </w:r>
      <w:r>
        <w:rPr>
          <w:spacing w:val="-3"/>
          <w:sz w:val="20"/>
        </w:rPr>
        <w:t xml:space="preserve"> </w:t>
      </w:r>
      <w:r>
        <w:rPr>
          <w:sz w:val="20"/>
        </w:rPr>
        <w:t>and</w:t>
      </w:r>
      <w:r>
        <w:rPr>
          <w:spacing w:val="-3"/>
          <w:sz w:val="20"/>
        </w:rPr>
        <w:t xml:space="preserve"> </w:t>
      </w:r>
      <w:r>
        <w:rPr>
          <w:sz w:val="20"/>
        </w:rPr>
        <w:t>providing</w:t>
      </w:r>
      <w:r>
        <w:rPr>
          <w:spacing w:val="-3"/>
          <w:sz w:val="20"/>
        </w:rPr>
        <w:t xml:space="preserve"> </w:t>
      </w:r>
      <w:r>
        <w:rPr>
          <w:sz w:val="20"/>
        </w:rPr>
        <w:t>for aggregated disclosure of remuneration to committee members.</w:t>
      </w:r>
    </w:p>
    <w:p w14:paraId="3334C7FD" w14:textId="77777777" w:rsidR="00AC6F3C" w:rsidRDefault="00AC6F3C">
      <w:pPr>
        <w:pStyle w:val="BodyText"/>
        <w:spacing w:before="4"/>
        <w:rPr>
          <w:sz w:val="31"/>
        </w:rPr>
      </w:pPr>
    </w:p>
    <w:p w14:paraId="0AE8F1FB" w14:textId="77777777" w:rsidR="00AC6F3C" w:rsidRDefault="00570E88">
      <w:pPr>
        <w:ind w:left="815"/>
        <w:rPr>
          <w:b/>
          <w:sz w:val="26"/>
        </w:rPr>
      </w:pPr>
      <w:r>
        <w:rPr>
          <w:b/>
          <w:sz w:val="26"/>
        </w:rPr>
        <w:t>Occupational</w:t>
      </w:r>
      <w:r>
        <w:rPr>
          <w:b/>
          <w:spacing w:val="-3"/>
          <w:sz w:val="26"/>
        </w:rPr>
        <w:t xml:space="preserve"> </w:t>
      </w:r>
      <w:r>
        <w:rPr>
          <w:b/>
          <w:sz w:val="26"/>
        </w:rPr>
        <w:t>Discipline</w:t>
      </w:r>
      <w:r>
        <w:rPr>
          <w:b/>
          <w:spacing w:val="-3"/>
          <w:sz w:val="26"/>
        </w:rPr>
        <w:t xml:space="preserve"> </w:t>
      </w:r>
      <w:r>
        <w:rPr>
          <w:b/>
          <w:sz w:val="26"/>
        </w:rPr>
        <w:t>Law</w:t>
      </w:r>
      <w:r>
        <w:rPr>
          <w:b/>
          <w:spacing w:val="-3"/>
          <w:sz w:val="26"/>
        </w:rPr>
        <w:t xml:space="preserve"> </w:t>
      </w:r>
      <w:r>
        <w:rPr>
          <w:b/>
          <w:spacing w:val="-2"/>
          <w:sz w:val="26"/>
        </w:rPr>
        <w:t>Committee</w:t>
      </w:r>
    </w:p>
    <w:p w14:paraId="2597DF16" w14:textId="77777777" w:rsidR="00AC6F3C" w:rsidRDefault="00570E88">
      <w:pPr>
        <w:pStyle w:val="BodyText"/>
        <w:spacing w:before="167"/>
        <w:ind w:left="815"/>
      </w:pPr>
      <w:r>
        <w:t>The</w:t>
      </w:r>
      <w:r>
        <w:rPr>
          <w:spacing w:val="-5"/>
        </w:rPr>
        <w:t xml:space="preserve"> </w:t>
      </w:r>
      <w:r>
        <w:t>Occupational</w:t>
      </w:r>
      <w:r>
        <w:rPr>
          <w:spacing w:val="-5"/>
        </w:rPr>
        <w:t xml:space="preserve"> </w:t>
      </w:r>
      <w:r>
        <w:t>Discipline</w:t>
      </w:r>
      <w:r>
        <w:rPr>
          <w:spacing w:val="-5"/>
        </w:rPr>
        <w:t xml:space="preserve"> </w:t>
      </w:r>
      <w:r>
        <w:t>Law</w:t>
      </w:r>
      <w:r>
        <w:rPr>
          <w:spacing w:val="-5"/>
        </w:rPr>
        <w:t xml:space="preserve"> </w:t>
      </w:r>
      <w:r>
        <w:t>Committee</w:t>
      </w:r>
      <w:r>
        <w:rPr>
          <w:spacing w:val="-5"/>
        </w:rPr>
        <w:t xml:space="preserve"> </w:t>
      </w:r>
      <w:r>
        <w:t>contributed</w:t>
      </w:r>
      <w:r>
        <w:rPr>
          <w:spacing w:val="-5"/>
        </w:rPr>
        <w:t xml:space="preserve"> </w:t>
      </w:r>
      <w:r>
        <w:t>to</w:t>
      </w:r>
      <w:r>
        <w:rPr>
          <w:spacing w:val="-5"/>
        </w:rPr>
        <w:t xml:space="preserve"> </w:t>
      </w:r>
      <w:r>
        <w:t>seven</w:t>
      </w:r>
      <w:r>
        <w:rPr>
          <w:spacing w:val="-5"/>
        </w:rPr>
        <w:t xml:space="preserve"> </w:t>
      </w:r>
      <w:r>
        <w:t>submissions</w:t>
      </w:r>
      <w:r>
        <w:rPr>
          <w:spacing w:val="-5"/>
        </w:rPr>
        <w:t xml:space="preserve"> </w:t>
      </w:r>
      <w:r>
        <w:t>during</w:t>
      </w:r>
      <w:r>
        <w:rPr>
          <w:spacing w:val="-5"/>
        </w:rPr>
        <w:t xml:space="preserve"> </w:t>
      </w:r>
      <w:r>
        <w:t>this</w:t>
      </w:r>
      <w:r>
        <w:rPr>
          <w:spacing w:val="-5"/>
        </w:rPr>
        <w:t xml:space="preserve"> </w:t>
      </w:r>
      <w:proofErr w:type="gramStart"/>
      <w:r>
        <w:t>financial</w:t>
      </w:r>
      <w:r>
        <w:rPr>
          <w:spacing w:val="-5"/>
        </w:rPr>
        <w:t xml:space="preserve"> </w:t>
      </w:r>
      <w:r>
        <w:rPr>
          <w:spacing w:val="-2"/>
        </w:rPr>
        <w:t>year</w:t>
      </w:r>
      <w:proofErr w:type="gramEnd"/>
      <w:r>
        <w:rPr>
          <w:spacing w:val="-2"/>
        </w:rPr>
        <w:t>.</w:t>
      </w:r>
    </w:p>
    <w:p w14:paraId="4E560B9C" w14:textId="77777777" w:rsidR="00AC6F3C" w:rsidRDefault="00570E88">
      <w:pPr>
        <w:pStyle w:val="ListParagraph"/>
        <w:numPr>
          <w:ilvl w:val="0"/>
          <w:numId w:val="58"/>
        </w:numPr>
        <w:tabs>
          <w:tab w:val="left" w:pos="1155"/>
        </w:tabs>
        <w:ind w:hanging="340"/>
        <w:rPr>
          <w:sz w:val="20"/>
        </w:rPr>
      </w:pPr>
      <w:r>
        <w:rPr>
          <w:sz w:val="20"/>
        </w:rPr>
        <w:t>Made</w:t>
      </w:r>
      <w:r>
        <w:rPr>
          <w:spacing w:val="-6"/>
          <w:sz w:val="20"/>
        </w:rPr>
        <w:t xml:space="preserve"> </w:t>
      </w:r>
      <w:r>
        <w:rPr>
          <w:sz w:val="20"/>
        </w:rPr>
        <w:t>a</w:t>
      </w:r>
      <w:r>
        <w:rPr>
          <w:spacing w:val="-3"/>
          <w:sz w:val="20"/>
        </w:rPr>
        <w:t xml:space="preserve"> </w:t>
      </w:r>
      <w:r>
        <w:rPr>
          <w:sz w:val="20"/>
        </w:rPr>
        <w:t>submission</w:t>
      </w:r>
      <w:r>
        <w:rPr>
          <w:spacing w:val="-4"/>
          <w:sz w:val="20"/>
        </w:rPr>
        <w:t xml:space="preserve"> </w:t>
      </w:r>
      <w:r>
        <w:rPr>
          <w:sz w:val="20"/>
        </w:rPr>
        <w:t>to</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Justice</w:t>
      </w:r>
      <w:r>
        <w:rPr>
          <w:spacing w:val="-4"/>
          <w:sz w:val="20"/>
        </w:rPr>
        <w:t xml:space="preserve"> </w:t>
      </w:r>
      <w:r>
        <w:rPr>
          <w:sz w:val="20"/>
        </w:rPr>
        <w:t>and</w:t>
      </w:r>
      <w:r>
        <w:rPr>
          <w:spacing w:val="-13"/>
          <w:sz w:val="20"/>
        </w:rPr>
        <w:t xml:space="preserve"> </w:t>
      </w:r>
      <w:r>
        <w:rPr>
          <w:sz w:val="20"/>
        </w:rPr>
        <w:t>Attorney-General</w:t>
      </w:r>
      <w:r>
        <w:rPr>
          <w:spacing w:val="-4"/>
          <w:sz w:val="20"/>
        </w:rPr>
        <w:t xml:space="preserve"> </w:t>
      </w:r>
      <w:r>
        <w:rPr>
          <w:sz w:val="20"/>
        </w:rPr>
        <w:t>raising</w:t>
      </w:r>
      <w:r>
        <w:rPr>
          <w:spacing w:val="-3"/>
          <w:sz w:val="20"/>
        </w:rPr>
        <w:t xml:space="preserve"> </w:t>
      </w:r>
      <w:r>
        <w:rPr>
          <w:sz w:val="20"/>
        </w:rPr>
        <w:t>concerns</w:t>
      </w:r>
      <w:r>
        <w:rPr>
          <w:spacing w:val="-4"/>
          <w:sz w:val="20"/>
        </w:rPr>
        <w:t xml:space="preserve"> </w:t>
      </w:r>
      <w:r>
        <w:rPr>
          <w:sz w:val="20"/>
        </w:rPr>
        <w:t>about</w:t>
      </w:r>
      <w:r>
        <w:rPr>
          <w:spacing w:val="-3"/>
          <w:sz w:val="20"/>
        </w:rPr>
        <w:t xml:space="preserve"> </w:t>
      </w:r>
      <w:r>
        <w:rPr>
          <w:sz w:val="20"/>
        </w:rPr>
        <w:t>the</w:t>
      </w:r>
      <w:r>
        <w:rPr>
          <w:spacing w:val="-3"/>
          <w:sz w:val="20"/>
        </w:rPr>
        <w:t xml:space="preserve"> </w:t>
      </w:r>
      <w:proofErr w:type="gramStart"/>
      <w:r>
        <w:rPr>
          <w:spacing w:val="-4"/>
          <w:sz w:val="20"/>
        </w:rPr>
        <w:t>need</w:t>
      </w:r>
      <w:proofErr w:type="gramEnd"/>
    </w:p>
    <w:p w14:paraId="5608377D" w14:textId="77777777" w:rsidR="00AC6F3C" w:rsidRDefault="00570E88">
      <w:pPr>
        <w:spacing w:before="10"/>
        <w:ind w:left="1155"/>
        <w:rPr>
          <w:sz w:val="20"/>
        </w:rPr>
      </w:pPr>
      <w:r>
        <w:rPr>
          <w:sz w:val="20"/>
        </w:rPr>
        <w:t>for</w:t>
      </w:r>
      <w:r>
        <w:rPr>
          <w:spacing w:val="-2"/>
          <w:sz w:val="20"/>
        </w:rPr>
        <w:t xml:space="preserve"> </w:t>
      </w:r>
      <w:r>
        <w:rPr>
          <w:sz w:val="20"/>
        </w:rPr>
        <w:t>discretion</w:t>
      </w:r>
      <w:r>
        <w:rPr>
          <w:spacing w:val="-2"/>
          <w:sz w:val="20"/>
        </w:rPr>
        <w:t xml:space="preserve"> </w:t>
      </w:r>
      <w:r>
        <w:rPr>
          <w:sz w:val="20"/>
        </w:rPr>
        <w:t>in</w:t>
      </w:r>
      <w:r>
        <w:rPr>
          <w:spacing w:val="-2"/>
          <w:sz w:val="20"/>
        </w:rPr>
        <w:t xml:space="preserve"> </w:t>
      </w:r>
      <w:r>
        <w:rPr>
          <w:sz w:val="20"/>
        </w:rPr>
        <w:t>the</w:t>
      </w:r>
      <w:r>
        <w:rPr>
          <w:spacing w:val="-1"/>
          <w:sz w:val="20"/>
        </w:rPr>
        <w:t xml:space="preserve"> </w:t>
      </w:r>
      <w:r>
        <w:rPr>
          <w:i/>
          <w:sz w:val="20"/>
        </w:rPr>
        <w:t>Security</w:t>
      </w:r>
      <w:r>
        <w:rPr>
          <w:i/>
          <w:spacing w:val="-2"/>
          <w:sz w:val="20"/>
        </w:rPr>
        <w:t xml:space="preserve"> </w:t>
      </w:r>
      <w:r>
        <w:rPr>
          <w:i/>
          <w:sz w:val="20"/>
        </w:rPr>
        <w:t>Providers</w:t>
      </w:r>
      <w:r>
        <w:rPr>
          <w:i/>
          <w:spacing w:val="-10"/>
          <w:sz w:val="20"/>
        </w:rPr>
        <w:t xml:space="preserve"> </w:t>
      </w:r>
      <w:r>
        <w:rPr>
          <w:i/>
          <w:sz w:val="20"/>
        </w:rPr>
        <w:t>Act</w:t>
      </w:r>
      <w:r>
        <w:rPr>
          <w:i/>
          <w:spacing w:val="-1"/>
          <w:sz w:val="20"/>
        </w:rPr>
        <w:t xml:space="preserve"> </w:t>
      </w:r>
      <w:r>
        <w:rPr>
          <w:i/>
          <w:spacing w:val="-2"/>
          <w:sz w:val="20"/>
        </w:rPr>
        <w:t>1993</w:t>
      </w:r>
      <w:r>
        <w:rPr>
          <w:spacing w:val="-2"/>
          <w:sz w:val="20"/>
        </w:rPr>
        <w:t>.</w:t>
      </w:r>
    </w:p>
    <w:p w14:paraId="14458BC2" w14:textId="77777777" w:rsidR="00AC6F3C" w:rsidRDefault="00570E88">
      <w:pPr>
        <w:pStyle w:val="ListParagraph"/>
        <w:numPr>
          <w:ilvl w:val="0"/>
          <w:numId w:val="58"/>
        </w:numPr>
        <w:tabs>
          <w:tab w:val="left" w:pos="1155"/>
        </w:tabs>
        <w:ind w:hanging="340"/>
        <w:rPr>
          <w:sz w:val="20"/>
        </w:rPr>
      </w:pPr>
      <w:r>
        <w:rPr>
          <w:sz w:val="20"/>
        </w:rPr>
        <w:t>Worked</w:t>
      </w:r>
      <w:r>
        <w:rPr>
          <w:spacing w:val="-5"/>
          <w:sz w:val="20"/>
        </w:rPr>
        <w:t xml:space="preserve"> </w:t>
      </w:r>
      <w:r>
        <w:rPr>
          <w:sz w:val="20"/>
        </w:rPr>
        <w:t>collaboratively</w:t>
      </w:r>
      <w:r>
        <w:rPr>
          <w:spacing w:val="-3"/>
          <w:sz w:val="20"/>
        </w:rPr>
        <w:t xml:space="preserve"> </w:t>
      </w:r>
      <w:r>
        <w:rPr>
          <w:sz w:val="20"/>
        </w:rPr>
        <w:t>with</w:t>
      </w:r>
      <w:r>
        <w:rPr>
          <w:spacing w:val="-3"/>
          <w:sz w:val="20"/>
        </w:rPr>
        <w:t xml:space="preserve"> </w:t>
      </w:r>
      <w:proofErr w:type="gramStart"/>
      <w:r>
        <w:rPr>
          <w:sz w:val="20"/>
        </w:rPr>
        <w:t>several</w:t>
      </w:r>
      <w:proofErr w:type="gramEnd"/>
      <w:r>
        <w:rPr>
          <w:spacing w:val="-3"/>
          <w:sz w:val="20"/>
        </w:rPr>
        <w:t xml:space="preserve"> </w:t>
      </w:r>
      <w:r>
        <w:rPr>
          <w:sz w:val="20"/>
        </w:rPr>
        <w:t>other</w:t>
      </w:r>
      <w:r>
        <w:rPr>
          <w:spacing w:val="-3"/>
          <w:sz w:val="20"/>
        </w:rPr>
        <w:t xml:space="preserve"> </w:t>
      </w:r>
      <w:r>
        <w:rPr>
          <w:sz w:val="20"/>
        </w:rPr>
        <w:t>QLS</w:t>
      </w:r>
      <w:r>
        <w:rPr>
          <w:spacing w:val="-3"/>
          <w:sz w:val="20"/>
        </w:rPr>
        <w:t xml:space="preserve"> </w:t>
      </w:r>
      <w:r>
        <w:rPr>
          <w:sz w:val="20"/>
        </w:rPr>
        <w:t>committees</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review</w:t>
      </w:r>
      <w:r>
        <w:rPr>
          <w:spacing w:val="-2"/>
          <w:sz w:val="20"/>
        </w:rPr>
        <w:t xml:space="preserve"> </w:t>
      </w:r>
      <w:r>
        <w:rPr>
          <w:spacing w:val="-5"/>
          <w:sz w:val="20"/>
        </w:rPr>
        <w:t>of</w:t>
      </w:r>
    </w:p>
    <w:p w14:paraId="4B0F40AE" w14:textId="77777777" w:rsidR="00AC6F3C" w:rsidRDefault="00570E88">
      <w:pPr>
        <w:spacing w:before="10"/>
        <w:ind w:left="1155"/>
        <w:rPr>
          <w:sz w:val="20"/>
        </w:rPr>
      </w:pPr>
      <w:r>
        <w:rPr>
          <w:sz w:val="20"/>
        </w:rPr>
        <w:t>the</w:t>
      </w:r>
      <w:r>
        <w:rPr>
          <w:spacing w:val="-3"/>
          <w:sz w:val="20"/>
        </w:rPr>
        <w:t xml:space="preserve"> </w:t>
      </w:r>
      <w:r>
        <w:rPr>
          <w:i/>
          <w:sz w:val="20"/>
        </w:rPr>
        <w:t>Public</w:t>
      </w:r>
      <w:r>
        <w:rPr>
          <w:i/>
          <w:spacing w:val="-2"/>
          <w:sz w:val="20"/>
        </w:rPr>
        <w:t xml:space="preserve"> </w:t>
      </w:r>
      <w:r>
        <w:rPr>
          <w:i/>
          <w:sz w:val="20"/>
        </w:rPr>
        <w:t>Interest</w:t>
      </w:r>
      <w:r>
        <w:rPr>
          <w:i/>
          <w:spacing w:val="-2"/>
          <w:sz w:val="20"/>
        </w:rPr>
        <w:t xml:space="preserve"> </w:t>
      </w:r>
      <w:r>
        <w:rPr>
          <w:i/>
          <w:sz w:val="20"/>
        </w:rPr>
        <w:t>Disclosure</w:t>
      </w:r>
      <w:r>
        <w:rPr>
          <w:i/>
          <w:spacing w:val="-10"/>
          <w:sz w:val="20"/>
        </w:rPr>
        <w:t xml:space="preserve"> </w:t>
      </w:r>
      <w:r>
        <w:rPr>
          <w:i/>
          <w:sz w:val="20"/>
        </w:rPr>
        <w:t>Act</w:t>
      </w:r>
      <w:r>
        <w:rPr>
          <w:i/>
          <w:spacing w:val="-2"/>
          <w:sz w:val="20"/>
        </w:rPr>
        <w:t xml:space="preserve"> 2010</w:t>
      </w:r>
      <w:r>
        <w:rPr>
          <w:spacing w:val="-2"/>
          <w:sz w:val="20"/>
        </w:rPr>
        <w:t>.</w:t>
      </w:r>
    </w:p>
    <w:p w14:paraId="23313DB0" w14:textId="77777777" w:rsidR="00AC6F3C" w:rsidRDefault="00AC6F3C">
      <w:pPr>
        <w:rPr>
          <w:sz w:val="20"/>
        </w:rPr>
        <w:sectPr w:rsidR="00AC6F3C">
          <w:headerReference w:type="default" r:id="rId96"/>
          <w:footerReference w:type="default" r:id="rId97"/>
          <w:pgSz w:w="11910" w:h="16840"/>
          <w:pgMar w:top="1480" w:right="1160" w:bottom="520" w:left="460" w:header="1237" w:footer="336" w:gutter="0"/>
          <w:cols w:space="720"/>
        </w:sectPr>
      </w:pPr>
    </w:p>
    <w:p w14:paraId="331840AF" w14:textId="77777777" w:rsidR="00AC6F3C" w:rsidRDefault="00570E88">
      <w:pPr>
        <w:pStyle w:val="ListParagraph"/>
        <w:numPr>
          <w:ilvl w:val="0"/>
          <w:numId w:val="58"/>
        </w:numPr>
        <w:tabs>
          <w:tab w:val="left" w:pos="1155"/>
        </w:tabs>
        <w:spacing w:before="76" w:line="249" w:lineRule="auto"/>
        <w:ind w:right="250"/>
        <w:rPr>
          <w:sz w:val="20"/>
        </w:rPr>
      </w:pPr>
      <w:r>
        <w:rPr>
          <w:sz w:val="20"/>
        </w:rPr>
        <w:lastRenderedPageBreak/>
        <w:t>Worked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Litigation</w:t>
      </w:r>
      <w:r>
        <w:rPr>
          <w:spacing w:val="-3"/>
          <w:sz w:val="20"/>
        </w:rPr>
        <w:t xml:space="preserve"> </w:t>
      </w:r>
      <w:r>
        <w:rPr>
          <w:sz w:val="20"/>
        </w:rPr>
        <w:t>Rules</w:t>
      </w:r>
      <w:r>
        <w:rPr>
          <w:spacing w:val="-3"/>
          <w:sz w:val="20"/>
        </w:rPr>
        <w:t xml:space="preserve"> </w:t>
      </w:r>
      <w:r>
        <w:rPr>
          <w:sz w:val="20"/>
        </w:rPr>
        <w:t>committee</w:t>
      </w:r>
      <w:r>
        <w:rPr>
          <w:spacing w:val="-3"/>
          <w:sz w:val="20"/>
        </w:rPr>
        <w:t xml:space="preserve"> </w:t>
      </w:r>
      <w:r>
        <w:rPr>
          <w:sz w:val="20"/>
        </w:rPr>
        <w:t>to</w:t>
      </w:r>
      <w:r>
        <w:rPr>
          <w:spacing w:val="-3"/>
          <w:sz w:val="20"/>
        </w:rPr>
        <w:t xml:space="preserve"> </w:t>
      </w:r>
      <w:r>
        <w:rPr>
          <w:sz w:val="20"/>
        </w:rPr>
        <w:t>make</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14"/>
          <w:sz w:val="20"/>
        </w:rPr>
        <w:t xml:space="preserve"> </w:t>
      </w:r>
      <w:r>
        <w:rPr>
          <w:sz w:val="20"/>
        </w:rPr>
        <w:t>Attorney-General</w:t>
      </w:r>
      <w:r>
        <w:rPr>
          <w:spacing w:val="-3"/>
          <w:sz w:val="20"/>
        </w:rPr>
        <w:t xml:space="preserve"> </w:t>
      </w:r>
      <w:r>
        <w:rPr>
          <w:sz w:val="20"/>
        </w:rPr>
        <w:t>in</w:t>
      </w:r>
      <w:r>
        <w:rPr>
          <w:spacing w:val="-3"/>
          <w:sz w:val="20"/>
        </w:rPr>
        <w:t xml:space="preserve"> </w:t>
      </w:r>
      <w:r>
        <w:rPr>
          <w:sz w:val="20"/>
        </w:rPr>
        <w:t>support of extending journalist shield laws to the Crime and Corruption Commission.</w:t>
      </w:r>
    </w:p>
    <w:p w14:paraId="447658CF" w14:textId="77777777" w:rsidR="00AC6F3C" w:rsidRDefault="00570E88">
      <w:pPr>
        <w:pStyle w:val="ListParagraph"/>
        <w:numPr>
          <w:ilvl w:val="0"/>
          <w:numId w:val="58"/>
        </w:numPr>
        <w:tabs>
          <w:tab w:val="left" w:pos="1155"/>
        </w:tabs>
        <w:spacing w:before="171" w:line="249" w:lineRule="auto"/>
        <w:ind w:right="424"/>
        <w:rPr>
          <w:sz w:val="20"/>
        </w:rPr>
      </w:pPr>
      <w:r>
        <w:rPr>
          <w:sz w:val="20"/>
        </w:rPr>
        <w:t>Members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Committee</w:t>
      </w:r>
      <w:r>
        <w:rPr>
          <w:spacing w:val="-3"/>
          <w:sz w:val="20"/>
        </w:rPr>
        <w:t xml:space="preserve"> </w:t>
      </w:r>
      <w:r>
        <w:rPr>
          <w:sz w:val="20"/>
        </w:rPr>
        <w:t>worked</w:t>
      </w:r>
      <w:r>
        <w:rPr>
          <w:spacing w:val="-3"/>
          <w:sz w:val="20"/>
        </w:rPr>
        <w:t xml:space="preserve"> </w:t>
      </w:r>
      <w:r>
        <w:rPr>
          <w:sz w:val="20"/>
        </w:rPr>
        <w:t>on</w:t>
      </w:r>
      <w:r>
        <w:rPr>
          <w:spacing w:val="-3"/>
          <w:sz w:val="20"/>
        </w:rPr>
        <w:t xml:space="preserve"> </w:t>
      </w:r>
      <w:r>
        <w:rPr>
          <w:sz w:val="20"/>
        </w:rPr>
        <w:t>drafting</w:t>
      </w:r>
      <w:r>
        <w:rPr>
          <w:spacing w:val="-3"/>
          <w:sz w:val="20"/>
        </w:rPr>
        <w:t xml:space="preserve"> </w:t>
      </w:r>
      <w:r>
        <w:rPr>
          <w:sz w:val="20"/>
        </w:rPr>
        <w:t>occupation-specific</w:t>
      </w:r>
      <w:r>
        <w:rPr>
          <w:spacing w:val="-3"/>
          <w:sz w:val="20"/>
        </w:rPr>
        <w:t xml:space="preserve"> </w:t>
      </w:r>
      <w:r>
        <w:rPr>
          <w:sz w:val="20"/>
        </w:rPr>
        <w:t>practice</w:t>
      </w:r>
      <w:r>
        <w:rPr>
          <w:spacing w:val="-3"/>
          <w:sz w:val="20"/>
        </w:rPr>
        <w:t xml:space="preserve"> </w:t>
      </w:r>
      <w:r>
        <w:rPr>
          <w:sz w:val="20"/>
        </w:rPr>
        <w:t>directions</w:t>
      </w:r>
      <w:r>
        <w:rPr>
          <w:spacing w:val="-3"/>
          <w:sz w:val="20"/>
        </w:rPr>
        <w:t xml:space="preserve"> </w:t>
      </w:r>
      <w:r>
        <w:rPr>
          <w:sz w:val="20"/>
        </w:rPr>
        <w:t>to</w:t>
      </w:r>
      <w:r>
        <w:rPr>
          <w:spacing w:val="-3"/>
          <w:sz w:val="20"/>
        </w:rPr>
        <w:t xml:space="preserve"> </w:t>
      </w:r>
      <w:r>
        <w:rPr>
          <w:sz w:val="20"/>
        </w:rPr>
        <w:t>present</w:t>
      </w:r>
      <w:r>
        <w:rPr>
          <w:spacing w:val="-3"/>
          <w:sz w:val="20"/>
        </w:rPr>
        <w:t xml:space="preserve"> </w:t>
      </w:r>
      <w:r>
        <w:rPr>
          <w:sz w:val="20"/>
        </w:rPr>
        <w:t>to the Queensland Civil and Administrative Tribunal.</w:t>
      </w:r>
    </w:p>
    <w:p w14:paraId="0B39D1DF" w14:textId="77777777" w:rsidR="00AC6F3C" w:rsidRDefault="00570E88">
      <w:pPr>
        <w:pStyle w:val="ListParagraph"/>
        <w:numPr>
          <w:ilvl w:val="0"/>
          <w:numId w:val="58"/>
        </w:numPr>
        <w:tabs>
          <w:tab w:val="left" w:pos="1155"/>
        </w:tabs>
        <w:spacing w:before="172" w:line="249" w:lineRule="auto"/>
        <w:ind w:right="189"/>
        <w:rPr>
          <w:sz w:val="20"/>
        </w:rPr>
      </w:pPr>
      <w:r>
        <w:rPr>
          <w:sz w:val="20"/>
        </w:rPr>
        <w:t>Committee members have been considering the mental health of respondents to occupational disciplinary</w:t>
      </w:r>
      <w:r>
        <w:rPr>
          <w:spacing w:val="-3"/>
          <w:sz w:val="20"/>
        </w:rPr>
        <w:t xml:space="preserve"> </w:t>
      </w:r>
      <w:r>
        <w:rPr>
          <w:sz w:val="20"/>
        </w:rPr>
        <w:t>action</w:t>
      </w:r>
      <w:r>
        <w:rPr>
          <w:spacing w:val="-3"/>
          <w:sz w:val="20"/>
        </w:rPr>
        <w:t xml:space="preserve"> </w:t>
      </w:r>
      <w:r>
        <w:rPr>
          <w:sz w:val="20"/>
        </w:rPr>
        <w:t>and</w:t>
      </w:r>
      <w:r>
        <w:rPr>
          <w:spacing w:val="-3"/>
          <w:sz w:val="20"/>
        </w:rPr>
        <w:t xml:space="preserve"> </w:t>
      </w:r>
      <w:r>
        <w:rPr>
          <w:sz w:val="20"/>
        </w:rPr>
        <w:t>whether</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adequate</w:t>
      </w:r>
      <w:r>
        <w:rPr>
          <w:spacing w:val="-3"/>
          <w:sz w:val="20"/>
        </w:rPr>
        <w:t xml:space="preserve"> </w:t>
      </w:r>
      <w:r>
        <w:rPr>
          <w:sz w:val="20"/>
        </w:rPr>
        <w:t>resources</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mental</w:t>
      </w:r>
      <w:r>
        <w:rPr>
          <w:spacing w:val="-3"/>
          <w:sz w:val="20"/>
        </w:rPr>
        <w:t xml:space="preserve"> </w:t>
      </w:r>
      <w:r>
        <w:rPr>
          <w:sz w:val="20"/>
        </w:rPr>
        <w:t>health</w:t>
      </w:r>
      <w:r>
        <w:rPr>
          <w:spacing w:val="-3"/>
          <w:sz w:val="20"/>
        </w:rPr>
        <w:t xml:space="preserve"> </w:t>
      </w:r>
      <w:r>
        <w:rPr>
          <w:sz w:val="20"/>
        </w:rPr>
        <w:t>support</w:t>
      </w:r>
      <w:r>
        <w:rPr>
          <w:spacing w:val="-3"/>
          <w:sz w:val="20"/>
        </w:rPr>
        <w:t xml:space="preserve"> </w:t>
      </w:r>
      <w:r>
        <w:rPr>
          <w:sz w:val="20"/>
        </w:rPr>
        <w:t>during what can often be a distressing process.</w:t>
      </w:r>
    </w:p>
    <w:p w14:paraId="4435153A" w14:textId="77777777" w:rsidR="00AC6F3C" w:rsidRDefault="00570E88">
      <w:pPr>
        <w:pStyle w:val="ListParagraph"/>
        <w:numPr>
          <w:ilvl w:val="0"/>
          <w:numId w:val="58"/>
        </w:numPr>
        <w:tabs>
          <w:tab w:val="left" w:pos="1155"/>
        </w:tabs>
        <w:spacing w:before="172" w:line="249" w:lineRule="auto"/>
        <w:ind w:right="178"/>
        <w:rPr>
          <w:sz w:val="20"/>
        </w:rPr>
      </w:pPr>
      <w:r>
        <w:rPr>
          <w:sz w:val="20"/>
        </w:rPr>
        <w:t xml:space="preserve">Representatives of the Committee met with </w:t>
      </w:r>
      <w:proofErr w:type="spellStart"/>
      <w:r>
        <w:rPr>
          <w:sz w:val="20"/>
        </w:rPr>
        <w:t>Ms</w:t>
      </w:r>
      <w:proofErr w:type="spellEnd"/>
      <w:r>
        <w:rPr>
          <w:sz w:val="20"/>
        </w:rPr>
        <w:t xml:space="preserve"> Victoria Thomson, Deputy Director-General of the Department</w:t>
      </w:r>
      <w:r>
        <w:rPr>
          <w:spacing w:val="-4"/>
          <w:sz w:val="20"/>
        </w:rPr>
        <w:t xml:space="preserve"> </w:t>
      </w:r>
      <w:r>
        <w:rPr>
          <w:sz w:val="20"/>
        </w:rPr>
        <w:t>of</w:t>
      </w:r>
      <w:r>
        <w:rPr>
          <w:spacing w:val="-4"/>
          <w:sz w:val="20"/>
        </w:rPr>
        <w:t xml:space="preserve"> </w:t>
      </w:r>
      <w:r>
        <w:rPr>
          <w:sz w:val="20"/>
        </w:rPr>
        <w:t>Liquor,</w:t>
      </w:r>
      <w:r>
        <w:rPr>
          <w:spacing w:val="-4"/>
          <w:sz w:val="20"/>
        </w:rPr>
        <w:t xml:space="preserve"> </w:t>
      </w:r>
      <w:r>
        <w:rPr>
          <w:sz w:val="20"/>
        </w:rPr>
        <w:t>Gaming</w:t>
      </w:r>
      <w:r>
        <w:rPr>
          <w:spacing w:val="-4"/>
          <w:sz w:val="20"/>
        </w:rPr>
        <w:t xml:space="preserve"> </w:t>
      </w:r>
      <w:r>
        <w:rPr>
          <w:sz w:val="20"/>
        </w:rPr>
        <w:t>and</w:t>
      </w:r>
      <w:r>
        <w:rPr>
          <w:spacing w:val="-4"/>
          <w:sz w:val="20"/>
        </w:rPr>
        <w:t xml:space="preserve"> </w:t>
      </w:r>
      <w:r>
        <w:rPr>
          <w:sz w:val="20"/>
        </w:rPr>
        <w:t>Fair</w:t>
      </w:r>
      <w:r>
        <w:rPr>
          <w:spacing w:val="-8"/>
          <w:sz w:val="20"/>
        </w:rPr>
        <w:t xml:space="preserve"> </w:t>
      </w:r>
      <w:r>
        <w:rPr>
          <w:sz w:val="20"/>
        </w:rPr>
        <w:t>Trading</w:t>
      </w:r>
      <w:r>
        <w:rPr>
          <w:spacing w:val="-4"/>
          <w:sz w:val="20"/>
        </w:rPr>
        <w:t xml:space="preserve"> </w:t>
      </w:r>
      <w:r>
        <w:rPr>
          <w:sz w:val="20"/>
        </w:rPr>
        <w:t>to</w:t>
      </w:r>
      <w:r>
        <w:rPr>
          <w:spacing w:val="-4"/>
          <w:sz w:val="20"/>
        </w:rPr>
        <w:t xml:space="preserve"> </w:t>
      </w:r>
      <w:r>
        <w:rPr>
          <w:sz w:val="20"/>
        </w:rPr>
        <w:t>express</w:t>
      </w:r>
      <w:r>
        <w:rPr>
          <w:spacing w:val="-4"/>
          <w:sz w:val="20"/>
        </w:rPr>
        <w:t xml:space="preserve"> </w:t>
      </w:r>
      <w:r>
        <w:rPr>
          <w:sz w:val="20"/>
        </w:rPr>
        <w:t>concerns</w:t>
      </w:r>
      <w:r>
        <w:rPr>
          <w:spacing w:val="-4"/>
          <w:sz w:val="20"/>
        </w:rPr>
        <w:t xml:space="preserve"> </w:t>
      </w:r>
      <w:r>
        <w:rPr>
          <w:sz w:val="20"/>
        </w:rPr>
        <w:t>regarding</w:t>
      </w:r>
      <w:r>
        <w:rPr>
          <w:spacing w:val="-4"/>
          <w:sz w:val="20"/>
        </w:rPr>
        <w:t xml:space="preserve"> </w:t>
      </w:r>
      <w:r>
        <w:rPr>
          <w:sz w:val="20"/>
        </w:rPr>
        <w:t>the</w:t>
      </w:r>
      <w:r>
        <w:rPr>
          <w:spacing w:val="-5"/>
          <w:sz w:val="20"/>
        </w:rPr>
        <w:t xml:space="preserve"> </w:t>
      </w:r>
      <w:r>
        <w:rPr>
          <w:i/>
          <w:sz w:val="20"/>
        </w:rPr>
        <w:t>Security</w:t>
      </w:r>
      <w:r>
        <w:rPr>
          <w:i/>
          <w:spacing w:val="-4"/>
          <w:sz w:val="20"/>
        </w:rPr>
        <w:t xml:space="preserve"> </w:t>
      </w:r>
      <w:r>
        <w:rPr>
          <w:i/>
          <w:sz w:val="20"/>
        </w:rPr>
        <w:t xml:space="preserve">Providers Act 1993 </w:t>
      </w:r>
      <w:r>
        <w:rPr>
          <w:sz w:val="20"/>
        </w:rPr>
        <w:t xml:space="preserve">and barriers to obtaining a </w:t>
      </w:r>
      <w:proofErr w:type="spellStart"/>
      <w:r>
        <w:rPr>
          <w:sz w:val="20"/>
        </w:rPr>
        <w:t>licence</w:t>
      </w:r>
      <w:proofErr w:type="spellEnd"/>
      <w:r>
        <w:rPr>
          <w:sz w:val="20"/>
        </w:rPr>
        <w:t xml:space="preserve"> if they have </w:t>
      </w:r>
      <w:proofErr w:type="gramStart"/>
      <w:r>
        <w:rPr>
          <w:sz w:val="20"/>
        </w:rPr>
        <w:t>been convicted</w:t>
      </w:r>
      <w:proofErr w:type="gramEnd"/>
      <w:r>
        <w:rPr>
          <w:sz w:val="20"/>
        </w:rPr>
        <w:t xml:space="preserve"> of a ‘disqualifying offence’.</w:t>
      </w:r>
    </w:p>
    <w:p w14:paraId="437C3B45" w14:textId="77777777" w:rsidR="00AC6F3C" w:rsidRDefault="00AC6F3C">
      <w:pPr>
        <w:pStyle w:val="BodyText"/>
        <w:spacing w:before="2"/>
        <w:rPr>
          <w:sz w:val="31"/>
        </w:rPr>
      </w:pPr>
    </w:p>
    <w:p w14:paraId="0FFAA0CF" w14:textId="77777777" w:rsidR="00AC6F3C" w:rsidRDefault="00570E88">
      <w:pPr>
        <w:ind w:left="815"/>
        <w:rPr>
          <w:b/>
          <w:sz w:val="26"/>
        </w:rPr>
      </w:pPr>
      <w:r>
        <w:rPr>
          <w:b/>
          <w:sz w:val="26"/>
        </w:rPr>
        <w:t xml:space="preserve">Planning and Environment Law </w:t>
      </w:r>
      <w:r>
        <w:rPr>
          <w:b/>
          <w:spacing w:val="-2"/>
          <w:sz w:val="26"/>
        </w:rPr>
        <w:t>Committee</w:t>
      </w:r>
    </w:p>
    <w:p w14:paraId="1CF7D767" w14:textId="77777777" w:rsidR="00AC6F3C" w:rsidRDefault="00570E88">
      <w:pPr>
        <w:pStyle w:val="BodyText"/>
        <w:spacing w:before="168" w:line="249" w:lineRule="auto"/>
        <w:ind w:left="815" w:right="632"/>
      </w:pPr>
      <w:r>
        <w:t>The Committee has continued to engage in stakeholder consultation work with the Land Court and the</w:t>
      </w:r>
      <w:r>
        <w:rPr>
          <w:spacing w:val="-3"/>
        </w:rPr>
        <w:t xml:space="preserve"> </w:t>
      </w:r>
      <w:r>
        <w:t>Queensland</w:t>
      </w:r>
      <w:r>
        <w:rPr>
          <w:spacing w:val="-3"/>
        </w:rPr>
        <w:t xml:space="preserve"> </w:t>
      </w:r>
      <w:r>
        <w:t>Government</w:t>
      </w:r>
      <w:r>
        <w:rPr>
          <w:spacing w:val="-3"/>
        </w:rPr>
        <w:t xml:space="preserve"> </w:t>
      </w:r>
      <w:r>
        <w:t>on</w:t>
      </w:r>
      <w:r>
        <w:rPr>
          <w:spacing w:val="-3"/>
        </w:rPr>
        <w:t xml:space="preserve"> </w:t>
      </w:r>
      <w:r>
        <w:t>various</w:t>
      </w:r>
      <w:r>
        <w:rPr>
          <w:spacing w:val="-3"/>
        </w:rPr>
        <w:t xml:space="preserve"> </w:t>
      </w:r>
      <w:r>
        <w:t>proposals,</w:t>
      </w:r>
      <w:r>
        <w:rPr>
          <w:spacing w:val="-3"/>
        </w:rPr>
        <w:t xml:space="preserve"> </w:t>
      </w:r>
      <w:r>
        <w:t>having</w:t>
      </w:r>
      <w:r>
        <w:rPr>
          <w:spacing w:val="-3"/>
        </w:rPr>
        <w:t xml:space="preserve"> </w:t>
      </w:r>
      <w:r>
        <w:t>contributed</w:t>
      </w:r>
      <w:r>
        <w:rPr>
          <w:spacing w:val="-3"/>
        </w:rPr>
        <w:t xml:space="preserve"> </w:t>
      </w:r>
      <w:r>
        <w:t>to</w:t>
      </w:r>
      <w:r>
        <w:rPr>
          <w:spacing w:val="-3"/>
        </w:rPr>
        <w:t xml:space="preserve"> </w:t>
      </w:r>
      <w:r>
        <w:t>eight</w:t>
      </w:r>
      <w:r>
        <w:rPr>
          <w:spacing w:val="-3"/>
        </w:rPr>
        <w:t xml:space="preserve"> </w:t>
      </w:r>
      <w:r>
        <w:t>submissions</w:t>
      </w:r>
      <w:r>
        <w:rPr>
          <w:spacing w:val="-3"/>
        </w:rPr>
        <w:t xml:space="preserve"> </w:t>
      </w:r>
      <w:r>
        <w:t>and</w:t>
      </w:r>
      <w:r>
        <w:rPr>
          <w:spacing w:val="-3"/>
        </w:rPr>
        <w:t xml:space="preserve"> </w:t>
      </w:r>
      <w:r>
        <w:t xml:space="preserve">two stakeholder consultations during this </w:t>
      </w:r>
      <w:proofErr w:type="gramStart"/>
      <w:r>
        <w:t>financial year</w:t>
      </w:r>
      <w:proofErr w:type="gramEnd"/>
      <w:r>
        <w:t>.</w:t>
      </w:r>
    </w:p>
    <w:p w14:paraId="6B0F58B7" w14:textId="77777777" w:rsidR="00AC6F3C" w:rsidRDefault="00570E88">
      <w:pPr>
        <w:pStyle w:val="ListParagraph"/>
        <w:numPr>
          <w:ilvl w:val="0"/>
          <w:numId w:val="58"/>
        </w:numPr>
        <w:tabs>
          <w:tab w:val="left" w:pos="1155"/>
        </w:tabs>
        <w:spacing w:before="172" w:line="249" w:lineRule="auto"/>
        <w:ind w:right="178"/>
        <w:rPr>
          <w:sz w:val="20"/>
        </w:rPr>
      </w:pPr>
      <w:r>
        <w:rPr>
          <w:sz w:val="20"/>
        </w:rPr>
        <w:t>Responded</w:t>
      </w:r>
      <w:r>
        <w:rPr>
          <w:spacing w:val="-3"/>
          <w:sz w:val="20"/>
        </w:rPr>
        <w:t xml:space="preserve"> </w:t>
      </w:r>
      <w:r>
        <w:rPr>
          <w:sz w:val="20"/>
        </w:rPr>
        <w:t>to</w:t>
      </w:r>
      <w:r>
        <w:rPr>
          <w:spacing w:val="-3"/>
          <w:sz w:val="20"/>
        </w:rPr>
        <w:t xml:space="preserve"> </w:t>
      </w:r>
      <w:proofErr w:type="gramStart"/>
      <w:r>
        <w:rPr>
          <w:sz w:val="20"/>
        </w:rPr>
        <w:t>several</w:t>
      </w:r>
      <w:proofErr w:type="gramEnd"/>
      <w:r>
        <w:rPr>
          <w:spacing w:val="-3"/>
          <w:sz w:val="20"/>
        </w:rPr>
        <w:t xml:space="preserve"> </w:t>
      </w:r>
      <w:r>
        <w:rPr>
          <w:sz w:val="20"/>
        </w:rPr>
        <w:t>consultation</w:t>
      </w:r>
      <w:r>
        <w:rPr>
          <w:spacing w:val="-3"/>
          <w:sz w:val="20"/>
        </w:rPr>
        <w:t xml:space="preserve"> </w:t>
      </w:r>
      <w:r>
        <w:rPr>
          <w:sz w:val="20"/>
        </w:rPr>
        <w:t>papers</w:t>
      </w:r>
      <w:r>
        <w:rPr>
          <w:spacing w:val="-3"/>
          <w:sz w:val="20"/>
        </w:rPr>
        <w:t xml:space="preserve"> </w:t>
      </w:r>
      <w:r>
        <w:rPr>
          <w:sz w:val="20"/>
        </w:rPr>
        <w:t>released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government,</w:t>
      </w:r>
      <w:r>
        <w:rPr>
          <w:spacing w:val="-3"/>
          <w:sz w:val="20"/>
        </w:rPr>
        <w:t xml:space="preserve"> </w:t>
      </w:r>
      <w:r>
        <w:rPr>
          <w:sz w:val="20"/>
        </w:rPr>
        <w:t>representing</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steps</w:t>
      </w:r>
      <w:r>
        <w:rPr>
          <w:spacing w:val="-3"/>
          <w:sz w:val="20"/>
        </w:rPr>
        <w:t xml:space="preserve"> </w:t>
      </w:r>
      <w:r>
        <w:rPr>
          <w:sz w:val="20"/>
        </w:rPr>
        <w:t xml:space="preserve">in reviewing Queensland’s </w:t>
      </w:r>
      <w:r>
        <w:rPr>
          <w:i/>
          <w:sz w:val="20"/>
        </w:rPr>
        <w:t>Planning Act 2016</w:t>
      </w:r>
      <w:r>
        <w:rPr>
          <w:sz w:val="20"/>
        </w:rPr>
        <w:t>.</w:t>
      </w:r>
    </w:p>
    <w:p w14:paraId="46CB5D91" w14:textId="77777777" w:rsidR="00AC6F3C" w:rsidRDefault="00570E88">
      <w:pPr>
        <w:pStyle w:val="ListParagraph"/>
        <w:numPr>
          <w:ilvl w:val="0"/>
          <w:numId w:val="58"/>
        </w:numPr>
        <w:tabs>
          <w:tab w:val="left" w:pos="1155"/>
        </w:tabs>
        <w:spacing w:before="172" w:line="249" w:lineRule="auto"/>
        <w:ind w:right="385"/>
        <w:rPr>
          <w:sz w:val="20"/>
        </w:rPr>
      </w:pPr>
      <w:r>
        <w:rPr>
          <w:sz w:val="20"/>
        </w:rPr>
        <w:t xml:space="preserve">Contributed to the independent review of the </w:t>
      </w:r>
      <w:r>
        <w:rPr>
          <w:i/>
          <w:sz w:val="20"/>
        </w:rPr>
        <w:t xml:space="preserve">Environmental Protection Act 1994 </w:t>
      </w:r>
      <w:r>
        <w:rPr>
          <w:sz w:val="20"/>
        </w:rPr>
        <w:t xml:space="preserve">(Qld). The submission </w:t>
      </w:r>
      <w:proofErr w:type="gramStart"/>
      <w:r>
        <w:rPr>
          <w:sz w:val="20"/>
        </w:rPr>
        <w:t>was extensively quoted</w:t>
      </w:r>
      <w:proofErr w:type="gramEnd"/>
      <w:r>
        <w:rPr>
          <w:sz w:val="20"/>
        </w:rPr>
        <w:t xml:space="preserve"> in the final report “Independent review of the </w:t>
      </w:r>
      <w:r>
        <w:rPr>
          <w:i/>
          <w:sz w:val="20"/>
        </w:rPr>
        <w:t>Environmental Protection</w:t>
      </w:r>
      <w:r>
        <w:rPr>
          <w:i/>
          <w:spacing w:val="-11"/>
          <w:sz w:val="20"/>
        </w:rPr>
        <w:t xml:space="preserve"> </w:t>
      </w:r>
      <w:r>
        <w:rPr>
          <w:i/>
          <w:sz w:val="20"/>
        </w:rPr>
        <w:t>Act</w:t>
      </w:r>
      <w:r>
        <w:rPr>
          <w:i/>
          <w:spacing w:val="-4"/>
          <w:sz w:val="20"/>
        </w:rPr>
        <w:t xml:space="preserve"> </w:t>
      </w:r>
      <w:r>
        <w:rPr>
          <w:i/>
          <w:sz w:val="20"/>
        </w:rPr>
        <w:t>1994</w:t>
      </w:r>
      <w:r>
        <w:rPr>
          <w:i/>
          <w:spacing w:val="-3"/>
          <w:sz w:val="20"/>
        </w:rPr>
        <w:t xml:space="preserve"> </w:t>
      </w:r>
      <w:r>
        <w:rPr>
          <w:sz w:val="20"/>
        </w:rPr>
        <w:t>(Qld):</w:t>
      </w:r>
      <w:r>
        <w:rPr>
          <w:spacing w:val="-3"/>
          <w:sz w:val="20"/>
        </w:rPr>
        <w:t xml:space="preserve"> </w:t>
      </w:r>
      <w:r>
        <w:rPr>
          <w:sz w:val="20"/>
        </w:rPr>
        <w:t>independent</w:t>
      </w:r>
      <w:r>
        <w:rPr>
          <w:spacing w:val="-3"/>
          <w:sz w:val="20"/>
        </w:rPr>
        <w:t xml:space="preserve"> </w:t>
      </w:r>
      <w:r>
        <w:rPr>
          <w:sz w:val="20"/>
        </w:rPr>
        <w:t>review</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adequacy</w:t>
      </w:r>
      <w:r>
        <w:rPr>
          <w:spacing w:val="-3"/>
          <w:sz w:val="20"/>
        </w:rPr>
        <w:t xml:space="preserve"> </w:t>
      </w:r>
      <w:r>
        <w:rPr>
          <w:sz w:val="20"/>
        </w:rPr>
        <w:t>of</w:t>
      </w:r>
      <w:r>
        <w:rPr>
          <w:spacing w:val="-3"/>
          <w:sz w:val="20"/>
        </w:rPr>
        <w:t xml:space="preserve"> </w:t>
      </w:r>
      <w:r>
        <w:rPr>
          <w:sz w:val="20"/>
        </w:rPr>
        <w:t>existing</w:t>
      </w:r>
      <w:r>
        <w:rPr>
          <w:spacing w:val="-3"/>
          <w:sz w:val="20"/>
        </w:rPr>
        <w:t xml:space="preserve"> </w:t>
      </w:r>
      <w:r>
        <w:rPr>
          <w:sz w:val="20"/>
        </w:rPr>
        <w:t>powers</w:t>
      </w:r>
      <w:r>
        <w:rPr>
          <w:spacing w:val="-3"/>
          <w:sz w:val="20"/>
        </w:rPr>
        <w:t xml:space="preserve"> </w:t>
      </w:r>
      <w:r>
        <w:rPr>
          <w:sz w:val="20"/>
        </w:rPr>
        <w:t>and</w:t>
      </w:r>
      <w:r>
        <w:rPr>
          <w:spacing w:val="-3"/>
          <w:sz w:val="20"/>
        </w:rPr>
        <w:t xml:space="preserve"> </w:t>
      </w:r>
      <w:r>
        <w:rPr>
          <w:sz w:val="20"/>
        </w:rPr>
        <w:t>penalties.”</w:t>
      </w:r>
    </w:p>
    <w:p w14:paraId="02D14B89" w14:textId="77777777" w:rsidR="00AC6F3C" w:rsidRDefault="00570E88">
      <w:pPr>
        <w:pStyle w:val="ListParagraph"/>
        <w:numPr>
          <w:ilvl w:val="0"/>
          <w:numId w:val="58"/>
        </w:numPr>
        <w:tabs>
          <w:tab w:val="left" w:pos="1155"/>
        </w:tabs>
        <w:spacing w:before="172" w:line="249" w:lineRule="auto"/>
        <w:ind w:right="149"/>
        <w:rPr>
          <w:sz w:val="20"/>
        </w:rPr>
      </w:pPr>
      <w:proofErr w:type="gramStart"/>
      <w:r>
        <w:rPr>
          <w:sz w:val="20"/>
        </w:rPr>
        <w:t>Worked</w:t>
      </w:r>
      <w:proofErr w:type="gramEnd"/>
      <w:r>
        <w:rPr>
          <w:spacing w:val="-3"/>
          <w:sz w:val="20"/>
        </w:rPr>
        <w:t xml:space="preserve"> </w:t>
      </w:r>
      <w:r>
        <w:rPr>
          <w:sz w:val="20"/>
        </w:rPr>
        <w:t>with</w:t>
      </w:r>
      <w:r>
        <w:rPr>
          <w:spacing w:val="-3"/>
          <w:sz w:val="20"/>
        </w:rPr>
        <w:t xml:space="preserve"> </w:t>
      </w:r>
      <w:r>
        <w:rPr>
          <w:sz w:val="20"/>
        </w:rPr>
        <w:t>members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LCA</w:t>
      </w:r>
      <w:r>
        <w:rPr>
          <w:spacing w:val="-14"/>
          <w:sz w:val="20"/>
        </w:rPr>
        <w:t xml:space="preserve"> </w:t>
      </w:r>
      <w:r>
        <w:rPr>
          <w:sz w:val="20"/>
        </w:rPr>
        <w:t>Corporations</w:t>
      </w:r>
      <w:r>
        <w:rPr>
          <w:spacing w:val="-3"/>
          <w:sz w:val="20"/>
        </w:rPr>
        <w:t xml:space="preserve"> </w:t>
      </w:r>
      <w:r>
        <w:rPr>
          <w:sz w:val="20"/>
        </w:rPr>
        <w:t>Law</w:t>
      </w:r>
      <w:r>
        <w:rPr>
          <w:spacing w:val="-3"/>
          <w:sz w:val="20"/>
        </w:rPr>
        <w:t xml:space="preserve"> </w:t>
      </w:r>
      <w:r>
        <w:rPr>
          <w:sz w:val="20"/>
        </w:rPr>
        <w:t>Committee</w:t>
      </w:r>
      <w:r>
        <w:rPr>
          <w:spacing w:val="-3"/>
          <w:sz w:val="20"/>
        </w:rPr>
        <w:t xml:space="preserve"> </w:t>
      </w:r>
      <w:r>
        <w:rPr>
          <w:sz w:val="20"/>
        </w:rPr>
        <w:t>and</w:t>
      </w:r>
      <w:r>
        <w:rPr>
          <w:spacing w:val="-3"/>
          <w:sz w:val="20"/>
        </w:rPr>
        <w:t xml:space="preserve"> </w:t>
      </w:r>
      <w:r>
        <w:rPr>
          <w:sz w:val="20"/>
        </w:rPr>
        <w:t>QLS</w:t>
      </w:r>
      <w:r>
        <w:rPr>
          <w:spacing w:val="-3"/>
          <w:sz w:val="20"/>
        </w:rPr>
        <w:t xml:space="preserve"> </w:t>
      </w:r>
      <w:r>
        <w:rPr>
          <w:sz w:val="20"/>
        </w:rPr>
        <w:t>Energy</w:t>
      </w:r>
      <w:r>
        <w:rPr>
          <w:spacing w:val="-3"/>
          <w:sz w:val="20"/>
        </w:rPr>
        <w:t xml:space="preserve"> </w:t>
      </w:r>
      <w:r>
        <w:rPr>
          <w:sz w:val="20"/>
        </w:rPr>
        <w:t>and</w:t>
      </w:r>
      <w:r>
        <w:rPr>
          <w:spacing w:val="-3"/>
          <w:sz w:val="20"/>
        </w:rPr>
        <w:t xml:space="preserve"> </w:t>
      </w:r>
      <w:r>
        <w:rPr>
          <w:sz w:val="20"/>
        </w:rPr>
        <w:t>Resources</w:t>
      </w:r>
      <w:r>
        <w:rPr>
          <w:spacing w:val="-3"/>
          <w:sz w:val="20"/>
        </w:rPr>
        <w:t xml:space="preserve"> </w:t>
      </w:r>
      <w:r>
        <w:rPr>
          <w:sz w:val="20"/>
        </w:rPr>
        <w:t xml:space="preserve">Law Committee to provide critical written and oral feedback in relation to proposed amendments to the executive officer liability provisions in the </w:t>
      </w:r>
      <w:r>
        <w:rPr>
          <w:i/>
          <w:sz w:val="20"/>
        </w:rPr>
        <w:t xml:space="preserve">Environmental Protection Act 1994 </w:t>
      </w:r>
      <w:r>
        <w:rPr>
          <w:sz w:val="20"/>
        </w:rPr>
        <w:t>(Qld).</w:t>
      </w:r>
    </w:p>
    <w:p w14:paraId="324B81AA" w14:textId="77777777" w:rsidR="00AC6F3C" w:rsidRDefault="00AC6F3C">
      <w:pPr>
        <w:pStyle w:val="BodyText"/>
        <w:spacing w:before="2"/>
        <w:rPr>
          <w:sz w:val="31"/>
        </w:rPr>
      </w:pPr>
    </w:p>
    <w:p w14:paraId="15BA27C3" w14:textId="77777777" w:rsidR="00AC6F3C" w:rsidRDefault="00570E88">
      <w:pPr>
        <w:ind w:left="815"/>
        <w:rPr>
          <w:b/>
          <w:sz w:val="26"/>
        </w:rPr>
      </w:pPr>
      <w:r>
        <w:rPr>
          <w:b/>
          <w:sz w:val="26"/>
        </w:rPr>
        <w:t>Privacy,</w:t>
      </w:r>
      <w:r>
        <w:rPr>
          <w:b/>
          <w:spacing w:val="-9"/>
          <w:sz w:val="26"/>
        </w:rPr>
        <w:t xml:space="preserve"> </w:t>
      </w:r>
      <w:r>
        <w:rPr>
          <w:b/>
          <w:sz w:val="26"/>
        </w:rPr>
        <w:t>Data,</w:t>
      </w:r>
      <w:r>
        <w:rPr>
          <w:b/>
          <w:spacing w:val="-9"/>
          <w:sz w:val="26"/>
        </w:rPr>
        <w:t xml:space="preserve"> </w:t>
      </w:r>
      <w:proofErr w:type="gramStart"/>
      <w:r>
        <w:rPr>
          <w:b/>
          <w:sz w:val="26"/>
        </w:rPr>
        <w:t>Technology</w:t>
      </w:r>
      <w:proofErr w:type="gramEnd"/>
      <w:r>
        <w:rPr>
          <w:b/>
          <w:spacing w:val="-9"/>
          <w:sz w:val="26"/>
        </w:rPr>
        <w:t xml:space="preserve"> </w:t>
      </w:r>
      <w:r>
        <w:rPr>
          <w:b/>
          <w:sz w:val="26"/>
        </w:rPr>
        <w:t>and</w:t>
      </w:r>
      <w:r>
        <w:rPr>
          <w:b/>
          <w:spacing w:val="-8"/>
          <w:sz w:val="26"/>
        </w:rPr>
        <w:t xml:space="preserve"> </w:t>
      </w:r>
      <w:r>
        <w:rPr>
          <w:b/>
          <w:sz w:val="26"/>
        </w:rPr>
        <w:t>Intellectual</w:t>
      </w:r>
      <w:r>
        <w:rPr>
          <w:b/>
          <w:spacing w:val="-9"/>
          <w:sz w:val="26"/>
        </w:rPr>
        <w:t xml:space="preserve"> </w:t>
      </w:r>
      <w:r>
        <w:rPr>
          <w:b/>
          <w:sz w:val="26"/>
        </w:rPr>
        <w:t>Property</w:t>
      </w:r>
      <w:r>
        <w:rPr>
          <w:b/>
          <w:spacing w:val="-9"/>
          <w:sz w:val="26"/>
        </w:rPr>
        <w:t xml:space="preserve"> </w:t>
      </w:r>
      <w:r>
        <w:rPr>
          <w:b/>
          <w:sz w:val="26"/>
        </w:rPr>
        <w:t>Law</w:t>
      </w:r>
      <w:r>
        <w:rPr>
          <w:b/>
          <w:spacing w:val="-8"/>
          <w:sz w:val="26"/>
        </w:rPr>
        <w:t xml:space="preserve"> </w:t>
      </w:r>
      <w:r>
        <w:rPr>
          <w:b/>
          <w:spacing w:val="-2"/>
          <w:sz w:val="26"/>
        </w:rPr>
        <w:t>Committee</w:t>
      </w:r>
    </w:p>
    <w:p w14:paraId="21941585" w14:textId="77777777" w:rsidR="00AC6F3C" w:rsidRDefault="00570E88">
      <w:pPr>
        <w:pStyle w:val="BodyText"/>
        <w:spacing w:before="168" w:line="249" w:lineRule="auto"/>
        <w:ind w:left="815"/>
      </w:pPr>
      <w:r>
        <w:t>The</w:t>
      </w:r>
      <w:r>
        <w:rPr>
          <w:spacing w:val="-8"/>
        </w:rPr>
        <w:t xml:space="preserve"> </w:t>
      </w:r>
      <w:r>
        <w:t>Privacy,</w:t>
      </w:r>
      <w:r>
        <w:rPr>
          <w:spacing w:val="-8"/>
        </w:rPr>
        <w:t xml:space="preserve"> </w:t>
      </w:r>
      <w:r>
        <w:t>Data,</w:t>
      </w:r>
      <w:r>
        <w:rPr>
          <w:spacing w:val="-11"/>
        </w:rPr>
        <w:t xml:space="preserve"> </w:t>
      </w:r>
      <w:proofErr w:type="gramStart"/>
      <w:r>
        <w:t>Technology</w:t>
      </w:r>
      <w:proofErr w:type="gramEnd"/>
      <w:r>
        <w:rPr>
          <w:spacing w:val="-8"/>
        </w:rPr>
        <w:t xml:space="preserve"> </w:t>
      </w:r>
      <w:r>
        <w:t>and</w:t>
      </w:r>
      <w:r>
        <w:rPr>
          <w:spacing w:val="-8"/>
        </w:rPr>
        <w:t xml:space="preserve"> </w:t>
      </w:r>
      <w:r>
        <w:t>Intellectual</w:t>
      </w:r>
      <w:r>
        <w:rPr>
          <w:spacing w:val="-8"/>
        </w:rPr>
        <w:t xml:space="preserve"> </w:t>
      </w:r>
      <w:r>
        <w:t>Property</w:t>
      </w:r>
      <w:r>
        <w:rPr>
          <w:spacing w:val="-8"/>
        </w:rPr>
        <w:t xml:space="preserve"> </w:t>
      </w:r>
      <w:r>
        <w:t>Law</w:t>
      </w:r>
      <w:r>
        <w:rPr>
          <w:spacing w:val="-8"/>
        </w:rPr>
        <w:t xml:space="preserve"> </w:t>
      </w:r>
      <w:r>
        <w:t>Committee</w:t>
      </w:r>
      <w:r>
        <w:rPr>
          <w:spacing w:val="-8"/>
        </w:rPr>
        <w:t xml:space="preserve"> </w:t>
      </w:r>
      <w:r>
        <w:t>contributed</w:t>
      </w:r>
      <w:r>
        <w:rPr>
          <w:spacing w:val="-8"/>
        </w:rPr>
        <w:t xml:space="preserve"> </w:t>
      </w:r>
      <w:r>
        <w:t>to</w:t>
      </w:r>
      <w:r>
        <w:rPr>
          <w:spacing w:val="-8"/>
        </w:rPr>
        <w:t xml:space="preserve"> </w:t>
      </w:r>
      <w:r>
        <w:t>11</w:t>
      </w:r>
      <w:r>
        <w:rPr>
          <w:spacing w:val="-8"/>
        </w:rPr>
        <w:t xml:space="preserve"> </w:t>
      </w:r>
      <w:r>
        <w:t>submissions during this financial year.</w:t>
      </w:r>
    </w:p>
    <w:p w14:paraId="490A5334" w14:textId="77777777" w:rsidR="00AC6F3C" w:rsidRDefault="00AC6F3C">
      <w:pPr>
        <w:pStyle w:val="BodyText"/>
        <w:spacing w:before="9"/>
        <w:rPr>
          <w:sz w:val="22"/>
        </w:rPr>
      </w:pPr>
    </w:p>
    <w:p w14:paraId="2C26BB19" w14:textId="77777777" w:rsidR="00AC6F3C" w:rsidRDefault="00570E88">
      <w:pPr>
        <w:pStyle w:val="Heading9"/>
      </w:pPr>
      <w:r>
        <w:t>Review</w:t>
      </w:r>
      <w:r>
        <w:rPr>
          <w:spacing w:val="-2"/>
        </w:rPr>
        <w:t xml:space="preserve"> </w:t>
      </w:r>
      <w:r>
        <w:t>of</w:t>
      </w:r>
      <w:r>
        <w:rPr>
          <w:spacing w:val="-2"/>
        </w:rPr>
        <w:t xml:space="preserve"> </w:t>
      </w:r>
      <w:r>
        <w:t>Queensland’s</w:t>
      </w:r>
      <w:r>
        <w:rPr>
          <w:spacing w:val="-1"/>
        </w:rPr>
        <w:t xml:space="preserve"> </w:t>
      </w:r>
      <w:r>
        <w:t>information</w:t>
      </w:r>
      <w:r>
        <w:rPr>
          <w:spacing w:val="-2"/>
        </w:rPr>
        <w:t xml:space="preserve"> </w:t>
      </w:r>
      <w:r>
        <w:t>privacy</w:t>
      </w:r>
      <w:r>
        <w:rPr>
          <w:spacing w:val="-2"/>
        </w:rPr>
        <w:t xml:space="preserve"> </w:t>
      </w:r>
      <w:r>
        <w:t>and</w:t>
      </w:r>
      <w:r>
        <w:rPr>
          <w:spacing w:val="-1"/>
        </w:rPr>
        <w:t xml:space="preserve"> </w:t>
      </w:r>
      <w:r>
        <w:t>right</w:t>
      </w:r>
      <w:r>
        <w:rPr>
          <w:spacing w:val="-2"/>
        </w:rPr>
        <w:t xml:space="preserve"> </w:t>
      </w:r>
      <w:r>
        <w:t>to</w:t>
      </w:r>
      <w:r>
        <w:rPr>
          <w:spacing w:val="-2"/>
        </w:rPr>
        <w:t xml:space="preserve"> </w:t>
      </w:r>
      <w:r>
        <w:t>information</w:t>
      </w:r>
      <w:r>
        <w:rPr>
          <w:spacing w:val="-1"/>
        </w:rPr>
        <w:t xml:space="preserve"> </w:t>
      </w:r>
      <w:r>
        <w:rPr>
          <w:spacing w:val="-2"/>
        </w:rPr>
        <w:t>frameworks</w:t>
      </w:r>
    </w:p>
    <w:p w14:paraId="64E47350" w14:textId="77777777" w:rsidR="00AC6F3C" w:rsidRDefault="00570E88">
      <w:pPr>
        <w:pStyle w:val="ListParagraph"/>
        <w:numPr>
          <w:ilvl w:val="0"/>
          <w:numId w:val="58"/>
        </w:numPr>
        <w:tabs>
          <w:tab w:val="left" w:pos="1155"/>
        </w:tabs>
        <w:spacing w:before="176" w:line="249" w:lineRule="auto"/>
        <w:ind w:right="290"/>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detailed</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Justice</w:t>
      </w:r>
      <w:r>
        <w:rPr>
          <w:spacing w:val="-3"/>
          <w:sz w:val="20"/>
        </w:rPr>
        <w:t xml:space="preserve"> </w:t>
      </w:r>
      <w:r>
        <w:rPr>
          <w:sz w:val="20"/>
        </w:rPr>
        <w:t>and</w:t>
      </w:r>
      <w:r>
        <w:rPr>
          <w:spacing w:val="-14"/>
          <w:sz w:val="20"/>
        </w:rPr>
        <w:t xml:space="preserve"> </w:t>
      </w:r>
      <w:r>
        <w:rPr>
          <w:sz w:val="20"/>
        </w:rPr>
        <w:t>Attorney-General</w:t>
      </w:r>
      <w:r>
        <w:rPr>
          <w:spacing w:val="-3"/>
          <w:sz w:val="20"/>
        </w:rPr>
        <w:t xml:space="preserve"> </w:t>
      </w:r>
      <w:r>
        <w:rPr>
          <w:sz w:val="20"/>
        </w:rPr>
        <w:t>in</w:t>
      </w:r>
      <w:r>
        <w:rPr>
          <w:spacing w:val="-3"/>
          <w:sz w:val="20"/>
        </w:rPr>
        <w:t xml:space="preserve"> </w:t>
      </w:r>
      <w:r>
        <w:rPr>
          <w:sz w:val="20"/>
        </w:rPr>
        <w:t>response to its review of Queensland’s information privacy and right to information frameworks.</w:t>
      </w:r>
    </w:p>
    <w:p w14:paraId="2B28BDF9" w14:textId="77777777" w:rsidR="00AC6F3C" w:rsidRDefault="00570E88">
      <w:pPr>
        <w:pStyle w:val="ListParagraph"/>
        <w:numPr>
          <w:ilvl w:val="0"/>
          <w:numId w:val="58"/>
        </w:numPr>
        <w:tabs>
          <w:tab w:val="left" w:pos="1155"/>
        </w:tabs>
        <w:spacing w:before="171" w:line="249" w:lineRule="auto"/>
        <w:ind w:right="152"/>
        <w:rPr>
          <w:sz w:val="20"/>
        </w:rPr>
      </w:pPr>
      <w:r>
        <w:rPr>
          <w:sz w:val="20"/>
        </w:rPr>
        <w:t>While the Committee supports proposals to align Queensland’s information privacy framework more closely</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Commonwealth’s</w:t>
      </w:r>
      <w:r>
        <w:rPr>
          <w:spacing w:val="-4"/>
          <w:sz w:val="20"/>
        </w:rPr>
        <w:t xml:space="preserve"> </w:t>
      </w:r>
      <w:r>
        <w:rPr>
          <w:sz w:val="20"/>
        </w:rPr>
        <w:t>privacy</w:t>
      </w:r>
      <w:r>
        <w:rPr>
          <w:spacing w:val="-4"/>
          <w:sz w:val="20"/>
        </w:rPr>
        <w:t xml:space="preserve"> </w:t>
      </w:r>
      <w:r>
        <w:rPr>
          <w:sz w:val="20"/>
        </w:rPr>
        <w:t>framework,</w:t>
      </w:r>
      <w:r>
        <w:rPr>
          <w:spacing w:val="-4"/>
          <w:sz w:val="20"/>
        </w:rPr>
        <w:t xml:space="preserve"> </w:t>
      </w:r>
      <w:r>
        <w:rPr>
          <w:sz w:val="20"/>
        </w:rPr>
        <w:t>it</w:t>
      </w:r>
      <w:r>
        <w:rPr>
          <w:spacing w:val="-4"/>
          <w:sz w:val="20"/>
        </w:rPr>
        <w:t xml:space="preserve"> </w:t>
      </w:r>
      <w:r>
        <w:rPr>
          <w:sz w:val="20"/>
        </w:rPr>
        <w:t>noted</w:t>
      </w:r>
      <w:r>
        <w:rPr>
          <w:spacing w:val="-4"/>
          <w:sz w:val="20"/>
        </w:rPr>
        <w:t xml:space="preserve"> </w:t>
      </w:r>
      <w:r>
        <w:rPr>
          <w:sz w:val="20"/>
        </w:rPr>
        <w:t>that</w:t>
      </w:r>
      <w:r>
        <w:rPr>
          <w:spacing w:val="-4"/>
          <w:sz w:val="20"/>
        </w:rPr>
        <w:t xml:space="preserve"> </w:t>
      </w:r>
      <w:r>
        <w:rPr>
          <w:sz w:val="20"/>
        </w:rPr>
        <w:t>amending</w:t>
      </w:r>
      <w:r>
        <w:rPr>
          <w:spacing w:val="-4"/>
          <w:sz w:val="20"/>
        </w:rPr>
        <w:t xml:space="preserve"> </w:t>
      </w:r>
      <w:r>
        <w:rPr>
          <w:sz w:val="20"/>
        </w:rPr>
        <w:t>Queensland’s</w:t>
      </w:r>
      <w:r>
        <w:rPr>
          <w:spacing w:val="-4"/>
          <w:sz w:val="20"/>
        </w:rPr>
        <w:t xml:space="preserve"> </w:t>
      </w:r>
      <w:r>
        <w:rPr>
          <w:sz w:val="20"/>
        </w:rPr>
        <w:t xml:space="preserve">framework before the current review of the </w:t>
      </w:r>
      <w:r>
        <w:rPr>
          <w:i/>
          <w:sz w:val="20"/>
        </w:rPr>
        <w:t>Privacy</w:t>
      </w:r>
      <w:r>
        <w:rPr>
          <w:i/>
          <w:spacing w:val="-8"/>
          <w:sz w:val="20"/>
        </w:rPr>
        <w:t xml:space="preserve"> </w:t>
      </w:r>
      <w:r>
        <w:rPr>
          <w:i/>
          <w:sz w:val="20"/>
        </w:rPr>
        <w:t>Act 1998</w:t>
      </w:r>
      <w:r>
        <w:rPr>
          <w:i/>
          <w:spacing w:val="-1"/>
          <w:sz w:val="20"/>
        </w:rPr>
        <w:t xml:space="preserve"> </w:t>
      </w:r>
      <w:r>
        <w:rPr>
          <w:sz w:val="20"/>
        </w:rPr>
        <w:t>(</w:t>
      </w:r>
      <w:proofErr w:type="spellStart"/>
      <w:r>
        <w:rPr>
          <w:sz w:val="20"/>
        </w:rPr>
        <w:t>Cth</w:t>
      </w:r>
      <w:proofErr w:type="spellEnd"/>
      <w:r>
        <w:rPr>
          <w:sz w:val="20"/>
        </w:rPr>
        <w:t xml:space="preserve">) is </w:t>
      </w:r>
      <w:proofErr w:type="spellStart"/>
      <w:r>
        <w:rPr>
          <w:sz w:val="20"/>
        </w:rPr>
        <w:t>finalised</w:t>
      </w:r>
      <w:proofErr w:type="spellEnd"/>
      <w:r>
        <w:rPr>
          <w:sz w:val="20"/>
        </w:rPr>
        <w:t xml:space="preserve"> may lead to further inconsistencies between the two frameworks, rather than achieving the goal of </w:t>
      </w:r>
      <w:proofErr w:type="spellStart"/>
      <w:r>
        <w:rPr>
          <w:sz w:val="20"/>
        </w:rPr>
        <w:t>harmonisation</w:t>
      </w:r>
      <w:proofErr w:type="spellEnd"/>
      <w:r>
        <w:rPr>
          <w:sz w:val="20"/>
        </w:rPr>
        <w:t>.</w:t>
      </w:r>
    </w:p>
    <w:p w14:paraId="550CC13D" w14:textId="77777777" w:rsidR="00AC6F3C" w:rsidRDefault="00AC6F3C">
      <w:pPr>
        <w:pStyle w:val="BodyText"/>
        <w:spacing w:before="11"/>
        <w:rPr>
          <w:sz w:val="22"/>
        </w:rPr>
      </w:pPr>
    </w:p>
    <w:p w14:paraId="655E1B72" w14:textId="77777777" w:rsidR="00AC6F3C" w:rsidRDefault="00570E88">
      <w:pPr>
        <w:pStyle w:val="Heading9"/>
      </w:pPr>
      <w:r>
        <w:t>Privacy</w:t>
      </w:r>
      <w:r>
        <w:rPr>
          <w:spacing w:val="-2"/>
        </w:rPr>
        <w:t xml:space="preserve"> </w:t>
      </w:r>
      <w:r>
        <w:t>Legislation</w:t>
      </w:r>
      <w:r>
        <w:rPr>
          <w:spacing w:val="-10"/>
        </w:rPr>
        <w:t xml:space="preserve"> </w:t>
      </w:r>
      <w:r>
        <w:t>Amendment</w:t>
      </w:r>
      <w:r>
        <w:rPr>
          <w:spacing w:val="-1"/>
        </w:rPr>
        <w:t xml:space="preserve"> </w:t>
      </w:r>
      <w:r>
        <w:t>(Enforcement</w:t>
      </w:r>
      <w:r>
        <w:rPr>
          <w:spacing w:val="-1"/>
        </w:rPr>
        <w:t xml:space="preserve"> </w:t>
      </w:r>
      <w:r>
        <w:t>and</w:t>
      </w:r>
      <w:r>
        <w:rPr>
          <w:spacing w:val="-2"/>
        </w:rPr>
        <w:t xml:space="preserve"> </w:t>
      </w:r>
      <w:r>
        <w:t>Other</w:t>
      </w:r>
      <w:r>
        <w:rPr>
          <w:spacing w:val="-1"/>
        </w:rPr>
        <w:t xml:space="preserve"> </w:t>
      </w:r>
      <w:r>
        <w:t>Measures)</w:t>
      </w:r>
      <w:r>
        <w:rPr>
          <w:spacing w:val="-1"/>
        </w:rPr>
        <w:t xml:space="preserve"> </w:t>
      </w:r>
      <w:r>
        <w:t>Bill</w:t>
      </w:r>
      <w:r>
        <w:rPr>
          <w:spacing w:val="-1"/>
        </w:rPr>
        <w:t xml:space="preserve"> </w:t>
      </w:r>
      <w:r>
        <w:rPr>
          <w:spacing w:val="-2"/>
        </w:rPr>
        <w:t>(</w:t>
      </w:r>
      <w:proofErr w:type="spellStart"/>
      <w:r>
        <w:rPr>
          <w:spacing w:val="-2"/>
        </w:rPr>
        <w:t>Cth</w:t>
      </w:r>
      <w:proofErr w:type="spellEnd"/>
      <w:r>
        <w:rPr>
          <w:spacing w:val="-2"/>
        </w:rPr>
        <w:t>)</w:t>
      </w:r>
    </w:p>
    <w:p w14:paraId="664FDFE5" w14:textId="77777777" w:rsidR="00AC6F3C" w:rsidRDefault="00570E88">
      <w:pPr>
        <w:pStyle w:val="ListParagraph"/>
        <w:numPr>
          <w:ilvl w:val="0"/>
          <w:numId w:val="58"/>
        </w:numPr>
        <w:tabs>
          <w:tab w:val="left" w:pos="1155"/>
        </w:tabs>
        <w:spacing w:before="176" w:line="249" w:lineRule="auto"/>
        <w:ind w:right="889"/>
        <w:rPr>
          <w:sz w:val="20"/>
        </w:rPr>
      </w:pPr>
      <w:r>
        <w:rPr>
          <w:sz w:val="20"/>
        </w:rPr>
        <w:t>Contributed</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LCA</w:t>
      </w:r>
      <w:r>
        <w:rPr>
          <w:spacing w:val="-14"/>
          <w:sz w:val="20"/>
        </w:rPr>
        <w:t xml:space="preserve"> </w:t>
      </w:r>
      <w:r>
        <w:rPr>
          <w:sz w:val="20"/>
        </w:rPr>
        <w:t>submission</w:t>
      </w:r>
      <w:r>
        <w:rPr>
          <w:spacing w:val="-3"/>
          <w:sz w:val="20"/>
        </w:rPr>
        <w:t xml:space="preserve"> </w:t>
      </w:r>
      <w:r>
        <w:rPr>
          <w:sz w:val="20"/>
        </w:rPr>
        <w:t>on</w:t>
      </w:r>
      <w:r>
        <w:rPr>
          <w:spacing w:val="-4"/>
          <w:sz w:val="20"/>
        </w:rPr>
        <w:t xml:space="preserve"> </w:t>
      </w:r>
      <w:r>
        <w:rPr>
          <w:sz w:val="20"/>
        </w:rPr>
        <w:t>Privacy</w:t>
      </w:r>
      <w:r>
        <w:rPr>
          <w:spacing w:val="-4"/>
          <w:sz w:val="20"/>
        </w:rPr>
        <w:t xml:space="preserve"> </w:t>
      </w:r>
      <w:r>
        <w:rPr>
          <w:sz w:val="20"/>
        </w:rPr>
        <w:t>Legislation</w:t>
      </w:r>
      <w:r>
        <w:rPr>
          <w:spacing w:val="-14"/>
          <w:sz w:val="20"/>
        </w:rPr>
        <w:t xml:space="preserve"> </w:t>
      </w:r>
      <w:r>
        <w:rPr>
          <w:sz w:val="20"/>
        </w:rPr>
        <w:t>Amendment</w:t>
      </w:r>
      <w:r>
        <w:rPr>
          <w:spacing w:val="-3"/>
          <w:sz w:val="20"/>
        </w:rPr>
        <w:t xml:space="preserve"> </w:t>
      </w:r>
      <w:r>
        <w:rPr>
          <w:sz w:val="20"/>
        </w:rPr>
        <w:t>(Enforcement</w:t>
      </w:r>
      <w:r>
        <w:rPr>
          <w:spacing w:val="-4"/>
          <w:sz w:val="20"/>
        </w:rPr>
        <w:t xml:space="preserve"> </w:t>
      </w:r>
      <w:r>
        <w:rPr>
          <w:sz w:val="20"/>
        </w:rPr>
        <w:t>and</w:t>
      </w:r>
      <w:r>
        <w:rPr>
          <w:spacing w:val="-4"/>
          <w:sz w:val="20"/>
        </w:rPr>
        <w:t xml:space="preserve"> </w:t>
      </w:r>
      <w:r>
        <w:rPr>
          <w:sz w:val="20"/>
        </w:rPr>
        <w:t>Other Measures) Bill (</w:t>
      </w:r>
      <w:proofErr w:type="spellStart"/>
      <w:r>
        <w:rPr>
          <w:sz w:val="20"/>
        </w:rPr>
        <w:t>Cth</w:t>
      </w:r>
      <w:proofErr w:type="spellEnd"/>
      <w:r>
        <w:rPr>
          <w:sz w:val="20"/>
        </w:rPr>
        <w:t>).</w:t>
      </w:r>
    </w:p>
    <w:p w14:paraId="214D3B38" w14:textId="77777777" w:rsidR="00AC6F3C" w:rsidRDefault="00570E88">
      <w:pPr>
        <w:pStyle w:val="ListParagraph"/>
        <w:numPr>
          <w:ilvl w:val="0"/>
          <w:numId w:val="58"/>
        </w:numPr>
        <w:tabs>
          <w:tab w:val="left" w:pos="1155"/>
        </w:tabs>
        <w:spacing w:before="172" w:line="249" w:lineRule="auto"/>
        <w:ind w:right="197"/>
        <w:rPr>
          <w:sz w:val="20"/>
        </w:rPr>
      </w:pPr>
      <w:r>
        <w:rPr>
          <w:sz w:val="20"/>
        </w:rPr>
        <w:t xml:space="preserve">Submitted that an increase in penalties under the </w:t>
      </w:r>
      <w:r>
        <w:rPr>
          <w:i/>
          <w:sz w:val="20"/>
        </w:rPr>
        <w:t>Privacy</w:t>
      </w:r>
      <w:r>
        <w:rPr>
          <w:i/>
          <w:spacing w:val="-8"/>
          <w:sz w:val="20"/>
        </w:rPr>
        <w:t xml:space="preserve"> </w:t>
      </w:r>
      <w:r>
        <w:rPr>
          <w:i/>
          <w:sz w:val="20"/>
        </w:rPr>
        <w:t>Act 1988</w:t>
      </w:r>
      <w:r>
        <w:rPr>
          <w:i/>
          <w:spacing w:val="-1"/>
          <w:sz w:val="20"/>
        </w:rPr>
        <w:t xml:space="preserve"> </w:t>
      </w:r>
      <w:r>
        <w:rPr>
          <w:sz w:val="20"/>
        </w:rPr>
        <w:t>(</w:t>
      </w:r>
      <w:proofErr w:type="spellStart"/>
      <w:r>
        <w:rPr>
          <w:sz w:val="20"/>
        </w:rPr>
        <w:t>Cth</w:t>
      </w:r>
      <w:proofErr w:type="spellEnd"/>
      <w:r>
        <w:rPr>
          <w:sz w:val="20"/>
        </w:rPr>
        <w:t>) (Privacy</w:t>
      </w:r>
      <w:r>
        <w:rPr>
          <w:spacing w:val="-11"/>
          <w:sz w:val="20"/>
        </w:rPr>
        <w:t xml:space="preserve"> </w:t>
      </w:r>
      <w:r>
        <w:rPr>
          <w:sz w:val="20"/>
        </w:rPr>
        <w:t xml:space="preserve">Act) was a positive development given the </w:t>
      </w:r>
      <w:proofErr w:type="gramStart"/>
      <w:r>
        <w:rPr>
          <w:sz w:val="20"/>
        </w:rPr>
        <w:t>many</w:t>
      </w:r>
      <w:proofErr w:type="gramEnd"/>
      <w:r>
        <w:rPr>
          <w:sz w:val="20"/>
        </w:rPr>
        <w:t xml:space="preserve"> serious privacy infringements at present. QLS strongly supported the </w:t>
      </w:r>
      <w:proofErr w:type="spellStart"/>
      <w:r>
        <w:rPr>
          <w:sz w:val="20"/>
        </w:rPr>
        <w:t>prioritisation</w:t>
      </w:r>
      <w:proofErr w:type="spellEnd"/>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long-awaited</w:t>
      </w:r>
      <w:r>
        <w:rPr>
          <w:spacing w:val="-3"/>
          <w:sz w:val="20"/>
        </w:rPr>
        <w:t xml:space="preserve"> </w:t>
      </w:r>
      <w:r>
        <w:rPr>
          <w:i/>
          <w:sz w:val="20"/>
        </w:rPr>
        <w:t>Information</w:t>
      </w:r>
      <w:r>
        <w:rPr>
          <w:i/>
          <w:spacing w:val="-3"/>
          <w:sz w:val="20"/>
        </w:rPr>
        <w:t xml:space="preserve"> </w:t>
      </w:r>
      <w:r>
        <w:rPr>
          <w:i/>
          <w:sz w:val="20"/>
        </w:rPr>
        <w:t>Privacy</w:t>
      </w:r>
      <w:r>
        <w:rPr>
          <w:i/>
          <w:spacing w:val="-11"/>
          <w:sz w:val="20"/>
        </w:rPr>
        <w:t xml:space="preserve"> </w:t>
      </w:r>
      <w:r>
        <w:rPr>
          <w:i/>
          <w:sz w:val="20"/>
        </w:rPr>
        <w:t>Act</w:t>
      </w:r>
      <w:r>
        <w:rPr>
          <w:i/>
          <w:spacing w:val="-3"/>
          <w:sz w:val="20"/>
        </w:rPr>
        <w:t xml:space="preserve"> </w:t>
      </w:r>
      <w:r>
        <w:rPr>
          <w:i/>
          <w:sz w:val="20"/>
        </w:rPr>
        <w:t>2009</w:t>
      </w:r>
      <w:r>
        <w:rPr>
          <w:i/>
          <w:spacing w:val="-3"/>
          <w:sz w:val="20"/>
        </w:rPr>
        <w:t xml:space="preserve"> </w:t>
      </w:r>
      <w:r>
        <w:rPr>
          <w:sz w:val="20"/>
        </w:rPr>
        <w:t>review</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provision</w:t>
      </w:r>
      <w:r>
        <w:rPr>
          <w:spacing w:val="-3"/>
          <w:sz w:val="20"/>
        </w:rPr>
        <w:t xml:space="preserve"> </w:t>
      </w:r>
      <w:r>
        <w:rPr>
          <w:sz w:val="20"/>
        </w:rPr>
        <w:t>of</w:t>
      </w:r>
      <w:r>
        <w:rPr>
          <w:spacing w:val="-3"/>
          <w:sz w:val="20"/>
        </w:rPr>
        <w:t xml:space="preserve"> </w:t>
      </w:r>
      <w:r>
        <w:rPr>
          <w:sz w:val="20"/>
        </w:rPr>
        <w:t>appropriate regulatory guidance and enforcement to promote effective corporate compliance.</w:t>
      </w:r>
    </w:p>
    <w:p w14:paraId="2AE5A3D1" w14:textId="77777777" w:rsidR="00AC6F3C" w:rsidRDefault="00AC6F3C">
      <w:pPr>
        <w:pStyle w:val="BodyText"/>
        <w:spacing w:before="10"/>
        <w:rPr>
          <w:sz w:val="22"/>
        </w:rPr>
      </w:pPr>
    </w:p>
    <w:p w14:paraId="46CA65E9" w14:textId="77777777" w:rsidR="00AC6F3C" w:rsidRDefault="00570E88">
      <w:pPr>
        <w:pStyle w:val="Heading9"/>
      </w:pPr>
      <w:r>
        <w:t>Office</w:t>
      </w:r>
      <w:r>
        <w:rPr>
          <w:spacing w:val="-5"/>
        </w:rPr>
        <w:t xml:space="preserve"> </w:t>
      </w:r>
      <w:r>
        <w:t>of</w:t>
      </w:r>
      <w:r>
        <w:rPr>
          <w:spacing w:val="-5"/>
        </w:rPr>
        <w:t xml:space="preserve"> </w:t>
      </w:r>
      <w:r>
        <w:t>the</w:t>
      </w:r>
      <w:r>
        <w:rPr>
          <w:spacing w:val="-5"/>
        </w:rPr>
        <w:t xml:space="preserve"> </w:t>
      </w:r>
      <w:r>
        <w:t>Information</w:t>
      </w:r>
      <w:r>
        <w:rPr>
          <w:spacing w:val="-5"/>
        </w:rPr>
        <w:t xml:space="preserve"> </w:t>
      </w:r>
      <w:r>
        <w:t>Commissioner</w:t>
      </w:r>
      <w:r>
        <w:rPr>
          <w:spacing w:val="-5"/>
        </w:rPr>
        <w:t xml:space="preserve"> </w:t>
      </w:r>
      <w:r>
        <w:rPr>
          <w:spacing w:val="-2"/>
        </w:rPr>
        <w:t>(OIC)</w:t>
      </w:r>
    </w:p>
    <w:p w14:paraId="5DB48571" w14:textId="77777777" w:rsidR="00AC6F3C" w:rsidRDefault="00570E88">
      <w:pPr>
        <w:pStyle w:val="ListParagraph"/>
        <w:numPr>
          <w:ilvl w:val="0"/>
          <w:numId w:val="58"/>
        </w:numPr>
        <w:tabs>
          <w:tab w:val="left" w:pos="1155"/>
        </w:tabs>
        <w:spacing w:before="176" w:line="249" w:lineRule="auto"/>
        <w:ind w:right="423"/>
        <w:rPr>
          <w:sz w:val="20"/>
        </w:rPr>
      </w:pPr>
      <w:r>
        <w:rPr>
          <w:sz w:val="20"/>
        </w:rPr>
        <w:t xml:space="preserve">Continued to </w:t>
      </w:r>
      <w:proofErr w:type="spellStart"/>
      <w:r>
        <w:rPr>
          <w:sz w:val="20"/>
        </w:rPr>
        <w:t>emphasise</w:t>
      </w:r>
      <w:proofErr w:type="spellEnd"/>
      <w:r>
        <w:rPr>
          <w:sz w:val="20"/>
        </w:rPr>
        <w:t xml:space="preserve"> the important and necessary role of the OIC and supported additional permanent</w:t>
      </w:r>
      <w:r>
        <w:rPr>
          <w:spacing w:val="-4"/>
          <w:sz w:val="20"/>
        </w:rPr>
        <w:t xml:space="preserve"> </w:t>
      </w:r>
      <w:r>
        <w:rPr>
          <w:sz w:val="20"/>
        </w:rPr>
        <w:t>funding</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OIC</w:t>
      </w:r>
      <w:r>
        <w:rPr>
          <w:spacing w:val="-4"/>
          <w:sz w:val="20"/>
        </w:rPr>
        <w:t xml:space="preserve"> </w:t>
      </w:r>
      <w:r>
        <w:rPr>
          <w:sz w:val="20"/>
        </w:rPr>
        <w:t>in</w:t>
      </w:r>
      <w:r>
        <w:rPr>
          <w:spacing w:val="-4"/>
          <w:sz w:val="20"/>
        </w:rPr>
        <w:t xml:space="preserve"> </w:t>
      </w:r>
      <w:r>
        <w:rPr>
          <w:sz w:val="20"/>
        </w:rPr>
        <w:t>recent</w:t>
      </w:r>
      <w:r>
        <w:rPr>
          <w:spacing w:val="-4"/>
          <w:sz w:val="20"/>
        </w:rPr>
        <w:t xml:space="preserve"> </w:t>
      </w:r>
      <w:r>
        <w:rPr>
          <w:sz w:val="20"/>
        </w:rPr>
        <w:t>submissions</w:t>
      </w:r>
      <w:r>
        <w:rPr>
          <w:spacing w:val="-4"/>
          <w:sz w:val="20"/>
        </w:rPr>
        <w:t xml:space="preserve"> </w:t>
      </w:r>
      <w:r>
        <w:rPr>
          <w:sz w:val="20"/>
        </w:rPr>
        <w:t>including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recent</w:t>
      </w:r>
      <w:r>
        <w:rPr>
          <w:spacing w:val="-4"/>
          <w:sz w:val="20"/>
        </w:rPr>
        <w:t xml:space="preserve"> </w:t>
      </w:r>
      <w:r>
        <w:rPr>
          <w:sz w:val="20"/>
        </w:rPr>
        <w:t>OIC</w:t>
      </w:r>
      <w:r>
        <w:rPr>
          <w:spacing w:val="-4"/>
          <w:sz w:val="20"/>
        </w:rPr>
        <w:t xml:space="preserve"> </w:t>
      </w:r>
      <w:r>
        <w:rPr>
          <w:sz w:val="20"/>
        </w:rPr>
        <w:t>Strategic</w:t>
      </w:r>
      <w:r>
        <w:rPr>
          <w:spacing w:val="-4"/>
          <w:sz w:val="20"/>
        </w:rPr>
        <w:t xml:space="preserve"> </w:t>
      </w:r>
      <w:r>
        <w:rPr>
          <w:sz w:val="20"/>
        </w:rPr>
        <w:t>Review.</w:t>
      </w:r>
    </w:p>
    <w:p w14:paraId="71702C2B" w14:textId="77777777" w:rsidR="00AC6F3C" w:rsidRDefault="00AC6F3C">
      <w:pPr>
        <w:spacing w:line="249" w:lineRule="auto"/>
        <w:rPr>
          <w:sz w:val="20"/>
        </w:rPr>
        <w:sectPr w:rsidR="00AC6F3C">
          <w:headerReference w:type="default" r:id="rId98"/>
          <w:footerReference w:type="default" r:id="rId99"/>
          <w:pgSz w:w="11910" w:h="16840"/>
          <w:pgMar w:top="1140" w:right="1160" w:bottom="520" w:left="460" w:header="0" w:footer="336" w:gutter="0"/>
          <w:cols w:space="720"/>
        </w:sectPr>
      </w:pPr>
    </w:p>
    <w:p w14:paraId="775B71F1" w14:textId="77777777" w:rsidR="00AC6F3C" w:rsidRDefault="00570E88">
      <w:pPr>
        <w:pStyle w:val="ListParagraph"/>
        <w:numPr>
          <w:ilvl w:val="0"/>
          <w:numId w:val="58"/>
        </w:numPr>
        <w:tabs>
          <w:tab w:val="left" w:pos="1155"/>
        </w:tabs>
        <w:spacing w:before="176"/>
        <w:ind w:hanging="340"/>
        <w:rPr>
          <w:sz w:val="20"/>
        </w:rPr>
      </w:pPr>
      <w:r>
        <w:rPr>
          <w:sz w:val="20"/>
        </w:rPr>
        <w:lastRenderedPageBreak/>
        <w:t>Contributions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LCA’s</w:t>
      </w:r>
      <w:r>
        <w:rPr>
          <w:spacing w:val="-4"/>
          <w:sz w:val="20"/>
        </w:rPr>
        <w:t xml:space="preserve"> </w:t>
      </w:r>
      <w:r>
        <w:rPr>
          <w:sz w:val="20"/>
        </w:rPr>
        <w:t>response</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Privacy</w:t>
      </w:r>
      <w:r>
        <w:rPr>
          <w:spacing w:val="-14"/>
          <w:sz w:val="20"/>
        </w:rPr>
        <w:t xml:space="preserve"> </w:t>
      </w:r>
      <w:r>
        <w:rPr>
          <w:sz w:val="20"/>
        </w:rPr>
        <w:t>Act</w:t>
      </w:r>
      <w:r>
        <w:rPr>
          <w:spacing w:val="-4"/>
          <w:sz w:val="20"/>
        </w:rPr>
        <w:t xml:space="preserve"> </w:t>
      </w:r>
      <w:r>
        <w:rPr>
          <w:sz w:val="20"/>
        </w:rPr>
        <w:t>Review</w:t>
      </w:r>
      <w:r>
        <w:rPr>
          <w:spacing w:val="-3"/>
          <w:sz w:val="20"/>
        </w:rPr>
        <w:t xml:space="preserve"> </w:t>
      </w:r>
      <w:r>
        <w:rPr>
          <w:spacing w:val="-2"/>
          <w:sz w:val="20"/>
        </w:rPr>
        <w:t>Report.</w:t>
      </w:r>
    </w:p>
    <w:p w14:paraId="0A2F225D" w14:textId="77777777" w:rsidR="00AC6F3C" w:rsidRDefault="00AC6F3C">
      <w:pPr>
        <w:pStyle w:val="BodyText"/>
        <w:spacing w:before="5"/>
        <w:rPr>
          <w:sz w:val="23"/>
        </w:rPr>
      </w:pPr>
    </w:p>
    <w:p w14:paraId="4D460E58" w14:textId="77777777" w:rsidR="00AC6F3C" w:rsidRDefault="00570E88">
      <w:pPr>
        <w:pStyle w:val="Heading9"/>
      </w:pPr>
      <w:r>
        <w:t>Data</w:t>
      </w:r>
      <w:r>
        <w:rPr>
          <w:spacing w:val="-3"/>
        </w:rPr>
        <w:t xml:space="preserve"> </w:t>
      </w:r>
      <w:r>
        <w:t>and</w:t>
      </w:r>
      <w:r>
        <w:rPr>
          <w:spacing w:val="-2"/>
        </w:rPr>
        <w:t xml:space="preserve"> </w:t>
      </w:r>
      <w:r>
        <w:t>Cyber</w:t>
      </w:r>
      <w:r>
        <w:rPr>
          <w:spacing w:val="-2"/>
        </w:rPr>
        <w:t xml:space="preserve"> </w:t>
      </w:r>
      <w:r>
        <w:t>Security</w:t>
      </w:r>
      <w:r>
        <w:rPr>
          <w:spacing w:val="-3"/>
        </w:rPr>
        <w:t xml:space="preserve"> </w:t>
      </w:r>
      <w:r>
        <w:t>in</w:t>
      </w:r>
      <w:r>
        <w:rPr>
          <w:spacing w:val="-2"/>
        </w:rPr>
        <w:t xml:space="preserve"> </w:t>
      </w:r>
      <w:r>
        <w:t>the</w:t>
      </w:r>
      <w:r>
        <w:rPr>
          <w:spacing w:val="-2"/>
        </w:rPr>
        <w:t xml:space="preserve"> </w:t>
      </w:r>
      <w:r>
        <w:t>legal</w:t>
      </w:r>
      <w:r>
        <w:rPr>
          <w:spacing w:val="-2"/>
        </w:rPr>
        <w:t xml:space="preserve"> profession</w:t>
      </w:r>
    </w:p>
    <w:p w14:paraId="13A12787" w14:textId="77777777" w:rsidR="00AC6F3C" w:rsidRDefault="00570E88">
      <w:pPr>
        <w:pStyle w:val="ListParagraph"/>
        <w:numPr>
          <w:ilvl w:val="0"/>
          <w:numId w:val="58"/>
        </w:numPr>
        <w:tabs>
          <w:tab w:val="left" w:pos="1155"/>
        </w:tabs>
        <w:spacing w:before="176" w:line="249" w:lineRule="auto"/>
        <w:ind w:right="663"/>
        <w:rPr>
          <w:sz w:val="20"/>
        </w:rPr>
      </w:pPr>
      <w:r>
        <w:rPr>
          <w:sz w:val="20"/>
        </w:rPr>
        <w:t>Submission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LCA</w:t>
      </w:r>
      <w:r>
        <w:rPr>
          <w:spacing w:val="-14"/>
          <w:sz w:val="20"/>
        </w:rPr>
        <w:t xml:space="preserve"> </w:t>
      </w:r>
      <w:r>
        <w:rPr>
          <w:sz w:val="20"/>
        </w:rPr>
        <w:t>on</w:t>
      </w:r>
      <w:r>
        <w:rPr>
          <w:spacing w:val="-4"/>
          <w:sz w:val="20"/>
        </w:rPr>
        <w:t xml:space="preserve"> </w:t>
      </w:r>
      <w:r>
        <w:rPr>
          <w:sz w:val="20"/>
        </w:rPr>
        <w:t>data</w:t>
      </w:r>
      <w:r>
        <w:rPr>
          <w:spacing w:val="-4"/>
          <w:sz w:val="20"/>
        </w:rPr>
        <w:t xml:space="preserve"> </w:t>
      </w:r>
      <w:r>
        <w:rPr>
          <w:sz w:val="20"/>
        </w:rPr>
        <w:t>and</w:t>
      </w:r>
      <w:r>
        <w:rPr>
          <w:spacing w:val="-4"/>
          <w:sz w:val="20"/>
        </w:rPr>
        <w:t xml:space="preserve"> </w:t>
      </w:r>
      <w:r>
        <w:rPr>
          <w:sz w:val="20"/>
        </w:rPr>
        <w:t>cyber</w:t>
      </w:r>
      <w:r>
        <w:rPr>
          <w:spacing w:val="-4"/>
          <w:sz w:val="20"/>
        </w:rPr>
        <w:t xml:space="preserve"> </w:t>
      </w:r>
      <w:r>
        <w:rPr>
          <w:sz w:val="20"/>
        </w:rPr>
        <w:t>security</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legal</w:t>
      </w:r>
      <w:r>
        <w:rPr>
          <w:spacing w:val="-4"/>
          <w:sz w:val="20"/>
        </w:rPr>
        <w:t xml:space="preserve"> </w:t>
      </w:r>
      <w:r>
        <w:rPr>
          <w:sz w:val="20"/>
        </w:rPr>
        <w:t>profession</w:t>
      </w:r>
      <w:r>
        <w:rPr>
          <w:spacing w:val="-4"/>
          <w:sz w:val="20"/>
        </w:rPr>
        <w:t xml:space="preserve"> </w:t>
      </w:r>
      <w:r>
        <w:rPr>
          <w:sz w:val="20"/>
        </w:rPr>
        <w:t>welcomed</w:t>
      </w:r>
      <w:r>
        <w:rPr>
          <w:spacing w:val="-4"/>
          <w:sz w:val="20"/>
        </w:rPr>
        <w:t xml:space="preserve"> </w:t>
      </w:r>
      <w:r>
        <w:rPr>
          <w:sz w:val="20"/>
        </w:rPr>
        <w:t>the</w:t>
      </w:r>
      <w:r>
        <w:rPr>
          <w:spacing w:val="-4"/>
          <w:sz w:val="20"/>
        </w:rPr>
        <w:t xml:space="preserve"> </w:t>
      </w:r>
      <w:r>
        <w:rPr>
          <w:sz w:val="20"/>
        </w:rPr>
        <w:t>LCA’s initiative to collaborate with other law societies and institutes on updating and developing cyber security resources for members of the profession.</w:t>
      </w:r>
    </w:p>
    <w:p w14:paraId="28762C8D" w14:textId="77777777" w:rsidR="00AC6F3C" w:rsidRDefault="00AC6F3C">
      <w:pPr>
        <w:pStyle w:val="BodyText"/>
        <w:spacing w:before="10"/>
        <w:rPr>
          <w:sz w:val="22"/>
        </w:rPr>
      </w:pPr>
    </w:p>
    <w:p w14:paraId="5897F423" w14:textId="77777777" w:rsidR="00AC6F3C" w:rsidRDefault="00570E88">
      <w:pPr>
        <w:pStyle w:val="Heading9"/>
      </w:pPr>
      <w:r>
        <w:t>2023-2030</w:t>
      </w:r>
      <w:r>
        <w:rPr>
          <w:spacing w:val="-15"/>
        </w:rPr>
        <w:t xml:space="preserve"> </w:t>
      </w:r>
      <w:r>
        <w:t>Australia</w:t>
      </w:r>
      <w:r>
        <w:rPr>
          <w:spacing w:val="-7"/>
        </w:rPr>
        <w:t xml:space="preserve"> </w:t>
      </w:r>
      <w:r>
        <w:t>Cyber</w:t>
      </w:r>
      <w:r>
        <w:rPr>
          <w:spacing w:val="-7"/>
        </w:rPr>
        <w:t xml:space="preserve"> </w:t>
      </w:r>
      <w:r>
        <w:t>Security</w:t>
      </w:r>
      <w:r>
        <w:rPr>
          <w:spacing w:val="-6"/>
        </w:rPr>
        <w:t xml:space="preserve"> </w:t>
      </w:r>
      <w:r>
        <w:rPr>
          <w:spacing w:val="-2"/>
        </w:rPr>
        <w:t>Strategy</w:t>
      </w:r>
    </w:p>
    <w:p w14:paraId="587DD787" w14:textId="77777777" w:rsidR="00AC6F3C" w:rsidRDefault="00570E88">
      <w:pPr>
        <w:pStyle w:val="ListParagraph"/>
        <w:numPr>
          <w:ilvl w:val="0"/>
          <w:numId w:val="58"/>
        </w:numPr>
        <w:tabs>
          <w:tab w:val="left" w:pos="1155"/>
        </w:tabs>
        <w:spacing w:before="176" w:line="249" w:lineRule="auto"/>
        <w:ind w:right="246"/>
        <w:rPr>
          <w:sz w:val="20"/>
        </w:rPr>
      </w:pPr>
      <w:r>
        <w:rPr>
          <w:sz w:val="20"/>
        </w:rPr>
        <w:t>Made</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supporting</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for</w:t>
      </w:r>
      <w:r>
        <w:rPr>
          <w:spacing w:val="-3"/>
          <w:sz w:val="20"/>
        </w:rPr>
        <w:t xml:space="preserve"> </w:t>
      </w:r>
      <w:r>
        <w:rPr>
          <w:sz w:val="20"/>
        </w:rPr>
        <w:t>tangible</w:t>
      </w:r>
      <w:r>
        <w:rPr>
          <w:spacing w:val="-3"/>
          <w:sz w:val="20"/>
        </w:rPr>
        <w:t xml:space="preserve"> </w:t>
      </w:r>
      <w:r>
        <w:rPr>
          <w:sz w:val="20"/>
        </w:rPr>
        <w:t>evidence</w:t>
      </w:r>
      <w:r>
        <w:rPr>
          <w:spacing w:val="-3"/>
          <w:sz w:val="20"/>
        </w:rPr>
        <w:t xml:space="preserve"> </w:t>
      </w:r>
      <w:r>
        <w:rPr>
          <w:sz w:val="20"/>
        </w:rPr>
        <w:t>to</w:t>
      </w:r>
      <w:r>
        <w:rPr>
          <w:spacing w:val="-3"/>
          <w:sz w:val="20"/>
        </w:rPr>
        <w:t xml:space="preserve"> </w:t>
      </w:r>
      <w:r>
        <w:rPr>
          <w:sz w:val="20"/>
        </w:rPr>
        <w:t>back</w:t>
      </w:r>
      <w:r>
        <w:rPr>
          <w:spacing w:val="-3"/>
          <w:sz w:val="20"/>
        </w:rPr>
        <w:t xml:space="preserve"> </w:t>
      </w:r>
      <w:r>
        <w:rPr>
          <w:sz w:val="20"/>
        </w:rPr>
        <w:t>up</w:t>
      </w:r>
      <w:r>
        <w:rPr>
          <w:spacing w:val="-3"/>
          <w:sz w:val="20"/>
        </w:rPr>
        <w:t xml:space="preserve"> </w:t>
      </w:r>
      <w:r>
        <w:rPr>
          <w:sz w:val="20"/>
        </w:rPr>
        <w:t>the</w:t>
      </w:r>
      <w:r>
        <w:rPr>
          <w:spacing w:val="-3"/>
          <w:sz w:val="20"/>
        </w:rPr>
        <w:t xml:space="preserve"> </w:t>
      </w:r>
      <w:r>
        <w:rPr>
          <w:sz w:val="20"/>
        </w:rPr>
        <w:t>assumption</w:t>
      </w:r>
      <w:r>
        <w:rPr>
          <w:spacing w:val="-3"/>
          <w:sz w:val="20"/>
        </w:rPr>
        <w:t xml:space="preserve"> </w:t>
      </w:r>
      <w:r>
        <w:rPr>
          <w:sz w:val="20"/>
        </w:rPr>
        <w:t>that</w:t>
      </w:r>
      <w:r>
        <w:rPr>
          <w:spacing w:val="-3"/>
          <w:sz w:val="20"/>
        </w:rPr>
        <w:t xml:space="preserve"> </w:t>
      </w:r>
      <w:r>
        <w:rPr>
          <w:sz w:val="20"/>
        </w:rPr>
        <w:t>refusal to pay ransoms will reduce the financial incentive to engage in such attacks.</w:t>
      </w:r>
    </w:p>
    <w:p w14:paraId="6EC236B3" w14:textId="77777777" w:rsidR="00AC6F3C" w:rsidRDefault="00570E88">
      <w:pPr>
        <w:pStyle w:val="ListParagraph"/>
        <w:numPr>
          <w:ilvl w:val="0"/>
          <w:numId w:val="58"/>
        </w:numPr>
        <w:tabs>
          <w:tab w:val="left" w:pos="1153"/>
          <w:tab w:val="left" w:pos="1155"/>
        </w:tabs>
        <w:spacing w:before="172" w:line="249" w:lineRule="auto"/>
        <w:ind w:right="372"/>
        <w:jc w:val="both"/>
        <w:rPr>
          <w:sz w:val="20"/>
        </w:rPr>
      </w:pPr>
      <w:r>
        <w:rPr>
          <w:sz w:val="20"/>
        </w:rPr>
        <w:t>Conveyed</w:t>
      </w:r>
      <w:r>
        <w:rPr>
          <w:spacing w:val="-2"/>
          <w:sz w:val="20"/>
        </w:rPr>
        <w:t xml:space="preserve"> </w:t>
      </w:r>
      <w:r>
        <w:rPr>
          <w:sz w:val="20"/>
        </w:rPr>
        <w:t>that</w:t>
      </w:r>
      <w:r>
        <w:rPr>
          <w:spacing w:val="-2"/>
          <w:sz w:val="20"/>
        </w:rPr>
        <w:t xml:space="preserve"> </w:t>
      </w:r>
      <w:r>
        <w:rPr>
          <w:sz w:val="20"/>
        </w:rPr>
        <w:t>any</w:t>
      </w:r>
      <w:r>
        <w:rPr>
          <w:spacing w:val="-2"/>
          <w:sz w:val="20"/>
        </w:rPr>
        <w:t xml:space="preserve"> </w:t>
      </w:r>
      <w:r>
        <w:rPr>
          <w:sz w:val="20"/>
        </w:rPr>
        <w:t>exceptions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prohibition</w:t>
      </w:r>
      <w:r>
        <w:rPr>
          <w:spacing w:val="-2"/>
          <w:sz w:val="20"/>
        </w:rPr>
        <w:t xml:space="preserve"> </w:t>
      </w:r>
      <w:r>
        <w:rPr>
          <w:sz w:val="20"/>
        </w:rPr>
        <w:t>need</w:t>
      </w:r>
      <w:r>
        <w:rPr>
          <w:spacing w:val="-2"/>
          <w:sz w:val="20"/>
        </w:rPr>
        <w:t xml:space="preserve"> </w:t>
      </w:r>
      <w:r>
        <w:rPr>
          <w:sz w:val="20"/>
        </w:rPr>
        <w:t>to</w:t>
      </w:r>
      <w:r>
        <w:rPr>
          <w:spacing w:val="-2"/>
          <w:sz w:val="20"/>
        </w:rPr>
        <w:t xml:space="preserve"> </w:t>
      </w:r>
      <w:proofErr w:type="gramStart"/>
      <w:r>
        <w:rPr>
          <w:sz w:val="20"/>
        </w:rPr>
        <w:t>be</w:t>
      </w:r>
      <w:r>
        <w:rPr>
          <w:spacing w:val="-2"/>
          <w:sz w:val="20"/>
        </w:rPr>
        <w:t xml:space="preserve"> </w:t>
      </w:r>
      <w:r>
        <w:rPr>
          <w:sz w:val="20"/>
        </w:rPr>
        <w:t>carefully</w:t>
      </w:r>
      <w:r>
        <w:rPr>
          <w:spacing w:val="-2"/>
          <w:sz w:val="20"/>
        </w:rPr>
        <w:t xml:space="preserve"> </w:t>
      </w:r>
      <w:r>
        <w:rPr>
          <w:sz w:val="20"/>
        </w:rPr>
        <w:t>considered</w:t>
      </w:r>
      <w:proofErr w:type="gramEnd"/>
      <w:r>
        <w:rPr>
          <w:sz w:val="20"/>
        </w:rPr>
        <w:t>.</w:t>
      </w:r>
      <w:r>
        <w:rPr>
          <w:spacing w:val="-2"/>
          <w:sz w:val="20"/>
        </w:rPr>
        <w:t xml:space="preserve"> </w:t>
      </w:r>
      <w:r>
        <w:rPr>
          <w:sz w:val="20"/>
        </w:rPr>
        <w:t>Welcomed</w:t>
      </w:r>
      <w:r>
        <w:rPr>
          <w:spacing w:val="-2"/>
          <w:sz w:val="20"/>
        </w:rPr>
        <w:t xml:space="preserve"> </w:t>
      </w:r>
      <w:r>
        <w:rPr>
          <w:sz w:val="20"/>
        </w:rPr>
        <w:t>further research</w:t>
      </w:r>
      <w:r>
        <w:rPr>
          <w:spacing w:val="-3"/>
          <w:sz w:val="20"/>
        </w:rPr>
        <w:t xml:space="preserve"> </w:t>
      </w:r>
      <w:r>
        <w:rPr>
          <w:sz w:val="20"/>
        </w:rPr>
        <w:t>and</w:t>
      </w:r>
      <w:r>
        <w:rPr>
          <w:spacing w:val="-3"/>
          <w:sz w:val="20"/>
        </w:rPr>
        <w:t xml:space="preserve"> </w:t>
      </w:r>
      <w:r>
        <w:rPr>
          <w:sz w:val="20"/>
        </w:rPr>
        <w:t>discussion</w:t>
      </w:r>
      <w:r>
        <w:rPr>
          <w:spacing w:val="-3"/>
          <w:sz w:val="20"/>
        </w:rPr>
        <w:t xml:space="preserve"> </w:t>
      </w:r>
      <w:r>
        <w:rPr>
          <w:sz w:val="20"/>
        </w:rPr>
        <w:t>as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position</w:t>
      </w:r>
      <w:r>
        <w:rPr>
          <w:spacing w:val="-3"/>
          <w:sz w:val="20"/>
        </w:rPr>
        <w:t xml:space="preserve"> </w:t>
      </w:r>
      <w:r>
        <w:rPr>
          <w:sz w:val="20"/>
        </w:rPr>
        <w:t>of</w:t>
      </w:r>
      <w:r>
        <w:rPr>
          <w:spacing w:val="-3"/>
          <w:sz w:val="20"/>
        </w:rPr>
        <w:t xml:space="preserve"> </w:t>
      </w:r>
      <w:r>
        <w:rPr>
          <w:sz w:val="20"/>
        </w:rPr>
        <w:t>QLS</w:t>
      </w:r>
      <w:r>
        <w:rPr>
          <w:spacing w:val="-3"/>
          <w:sz w:val="20"/>
        </w:rPr>
        <w:t xml:space="preserve"> </w:t>
      </w:r>
      <w:r>
        <w:rPr>
          <w:sz w:val="20"/>
        </w:rPr>
        <w:t>members</w:t>
      </w:r>
      <w:r>
        <w:rPr>
          <w:spacing w:val="-3"/>
          <w:sz w:val="20"/>
        </w:rPr>
        <w:t xml:space="preserve"> </w:t>
      </w:r>
      <w:r>
        <w:rPr>
          <w:sz w:val="20"/>
        </w:rPr>
        <w:t>who</w:t>
      </w:r>
      <w:r>
        <w:rPr>
          <w:spacing w:val="-3"/>
          <w:sz w:val="20"/>
        </w:rPr>
        <w:t xml:space="preserve"> </w:t>
      </w:r>
      <w:r>
        <w:rPr>
          <w:sz w:val="20"/>
        </w:rPr>
        <w:t>may</w:t>
      </w:r>
      <w:r>
        <w:rPr>
          <w:spacing w:val="-3"/>
          <w:sz w:val="20"/>
        </w:rPr>
        <w:t xml:space="preserve"> </w:t>
      </w:r>
      <w:proofErr w:type="gramStart"/>
      <w:r>
        <w:rPr>
          <w:sz w:val="20"/>
        </w:rPr>
        <w:t>be</w:t>
      </w:r>
      <w:r>
        <w:rPr>
          <w:spacing w:val="-3"/>
          <w:sz w:val="20"/>
        </w:rPr>
        <w:t xml:space="preserve"> </w:t>
      </w:r>
      <w:r>
        <w:rPr>
          <w:sz w:val="20"/>
        </w:rPr>
        <w:t>affected</w:t>
      </w:r>
      <w:proofErr w:type="gramEnd"/>
      <w:r>
        <w:rPr>
          <w:spacing w:val="-3"/>
          <w:sz w:val="20"/>
        </w:rPr>
        <w:t xml:space="preserve"> </w:t>
      </w:r>
      <w:r>
        <w:rPr>
          <w:sz w:val="20"/>
        </w:rPr>
        <w:t>by</w:t>
      </w:r>
      <w:r>
        <w:rPr>
          <w:spacing w:val="-3"/>
          <w:sz w:val="20"/>
        </w:rPr>
        <w:t xml:space="preserve"> </w:t>
      </w:r>
      <w:r>
        <w:rPr>
          <w:sz w:val="20"/>
        </w:rPr>
        <w:t>a</w:t>
      </w:r>
      <w:r>
        <w:rPr>
          <w:spacing w:val="-3"/>
          <w:sz w:val="20"/>
        </w:rPr>
        <w:t xml:space="preserve"> </w:t>
      </w:r>
      <w:proofErr w:type="spellStart"/>
      <w:r>
        <w:rPr>
          <w:sz w:val="20"/>
        </w:rPr>
        <w:t>cyber</w:t>
      </w:r>
      <w:r>
        <w:rPr>
          <w:spacing w:val="-3"/>
          <w:sz w:val="20"/>
        </w:rPr>
        <w:t xml:space="preserve"> </w:t>
      </w:r>
      <w:r>
        <w:rPr>
          <w:sz w:val="20"/>
        </w:rPr>
        <w:t>attack</w:t>
      </w:r>
      <w:proofErr w:type="spellEnd"/>
      <w:r>
        <w:rPr>
          <w:sz w:val="20"/>
        </w:rPr>
        <w:t xml:space="preserve"> or advising client in response to an attack.</w:t>
      </w:r>
    </w:p>
    <w:p w14:paraId="2BB95702" w14:textId="77777777" w:rsidR="00AC6F3C" w:rsidRDefault="00AC6F3C">
      <w:pPr>
        <w:pStyle w:val="BodyText"/>
        <w:spacing w:before="1"/>
        <w:rPr>
          <w:sz w:val="31"/>
        </w:rPr>
      </w:pPr>
    </w:p>
    <w:p w14:paraId="004BA373" w14:textId="77777777" w:rsidR="00AC6F3C" w:rsidRDefault="00570E88">
      <w:pPr>
        <w:spacing w:before="1"/>
        <w:ind w:left="815"/>
        <w:rPr>
          <w:b/>
          <w:sz w:val="26"/>
        </w:rPr>
      </w:pPr>
      <w:r>
        <w:rPr>
          <w:b/>
          <w:sz w:val="26"/>
        </w:rPr>
        <w:t>Property</w:t>
      </w:r>
      <w:r>
        <w:rPr>
          <w:b/>
          <w:spacing w:val="-2"/>
          <w:sz w:val="26"/>
        </w:rPr>
        <w:t xml:space="preserve"> </w:t>
      </w:r>
      <w:r>
        <w:rPr>
          <w:b/>
          <w:sz w:val="26"/>
        </w:rPr>
        <w:t>and</w:t>
      </w:r>
      <w:r>
        <w:rPr>
          <w:b/>
          <w:spacing w:val="-2"/>
          <w:sz w:val="26"/>
        </w:rPr>
        <w:t xml:space="preserve"> </w:t>
      </w:r>
      <w:r>
        <w:rPr>
          <w:b/>
          <w:sz w:val="26"/>
        </w:rPr>
        <w:t>Development</w:t>
      </w:r>
      <w:r>
        <w:rPr>
          <w:b/>
          <w:spacing w:val="-2"/>
          <w:sz w:val="26"/>
        </w:rPr>
        <w:t xml:space="preserve"> </w:t>
      </w:r>
      <w:r>
        <w:rPr>
          <w:b/>
          <w:sz w:val="26"/>
        </w:rPr>
        <w:t>Law</w:t>
      </w:r>
      <w:r>
        <w:rPr>
          <w:b/>
          <w:spacing w:val="-1"/>
          <w:sz w:val="26"/>
        </w:rPr>
        <w:t xml:space="preserve"> </w:t>
      </w:r>
      <w:r>
        <w:rPr>
          <w:b/>
          <w:spacing w:val="-2"/>
          <w:sz w:val="26"/>
        </w:rPr>
        <w:t>Committee</w:t>
      </w:r>
    </w:p>
    <w:p w14:paraId="70CA1D55" w14:textId="77777777" w:rsidR="00AC6F3C" w:rsidRDefault="00570E88">
      <w:pPr>
        <w:pStyle w:val="BodyText"/>
        <w:spacing w:before="157"/>
        <w:ind w:left="815"/>
      </w:pPr>
      <w:r>
        <w:t>The</w:t>
      </w:r>
      <w:r>
        <w:rPr>
          <w:spacing w:val="-3"/>
        </w:rPr>
        <w:t xml:space="preserve"> </w:t>
      </w:r>
      <w:r>
        <w:t>Property</w:t>
      </w:r>
      <w:r>
        <w:rPr>
          <w:spacing w:val="-3"/>
        </w:rPr>
        <w:t xml:space="preserve"> </w:t>
      </w:r>
      <w:r>
        <w:t>and</w:t>
      </w:r>
      <w:r>
        <w:rPr>
          <w:spacing w:val="-3"/>
        </w:rPr>
        <w:t xml:space="preserve"> </w:t>
      </w:r>
      <w:r>
        <w:t>Development</w:t>
      </w:r>
      <w:r>
        <w:rPr>
          <w:spacing w:val="-3"/>
        </w:rPr>
        <w:t xml:space="preserve"> </w:t>
      </w:r>
      <w:r>
        <w:t>Law</w:t>
      </w:r>
      <w:r>
        <w:rPr>
          <w:spacing w:val="-3"/>
        </w:rPr>
        <w:t xml:space="preserve"> </w:t>
      </w:r>
      <w:r>
        <w:t>Committee</w:t>
      </w:r>
      <w:r>
        <w:rPr>
          <w:spacing w:val="-3"/>
        </w:rPr>
        <w:t xml:space="preserve"> </w:t>
      </w:r>
      <w:r>
        <w:t>contributed</w:t>
      </w:r>
      <w:r>
        <w:rPr>
          <w:spacing w:val="-3"/>
        </w:rPr>
        <w:t xml:space="preserve"> </w:t>
      </w:r>
      <w:r>
        <w:t>to</w:t>
      </w:r>
      <w:r>
        <w:rPr>
          <w:spacing w:val="-3"/>
        </w:rPr>
        <w:t xml:space="preserve"> </w:t>
      </w:r>
      <w:proofErr w:type="gramStart"/>
      <w:r>
        <w:t>31</w:t>
      </w:r>
      <w:proofErr w:type="gramEnd"/>
      <w:r>
        <w:rPr>
          <w:spacing w:val="-3"/>
        </w:rPr>
        <w:t xml:space="preserve"> </w:t>
      </w:r>
      <w:r>
        <w:t>submissions</w:t>
      </w:r>
      <w:r>
        <w:rPr>
          <w:spacing w:val="-3"/>
        </w:rPr>
        <w:t xml:space="preserve"> </w:t>
      </w:r>
      <w:r>
        <w:t>and</w:t>
      </w:r>
      <w:r>
        <w:rPr>
          <w:spacing w:val="-3"/>
        </w:rPr>
        <w:t xml:space="preserve"> </w:t>
      </w:r>
      <w:r>
        <w:t>14</w:t>
      </w:r>
      <w:r>
        <w:rPr>
          <w:spacing w:val="-3"/>
        </w:rPr>
        <w:t xml:space="preserve"> </w:t>
      </w:r>
      <w:r>
        <w:t>stakeholder consultations during this financial year.</w:t>
      </w:r>
    </w:p>
    <w:p w14:paraId="14D44CAE" w14:textId="77777777" w:rsidR="00AC6F3C" w:rsidRDefault="00570E88">
      <w:pPr>
        <w:pStyle w:val="ListParagraph"/>
        <w:numPr>
          <w:ilvl w:val="0"/>
          <w:numId w:val="58"/>
        </w:numPr>
        <w:tabs>
          <w:tab w:val="left" w:pos="1153"/>
          <w:tab w:val="left" w:pos="1155"/>
        </w:tabs>
        <w:spacing w:before="170"/>
        <w:ind w:right="203"/>
        <w:jc w:val="both"/>
        <w:rPr>
          <w:sz w:val="20"/>
        </w:rPr>
      </w:pPr>
      <w:r>
        <w:rPr>
          <w:sz w:val="20"/>
        </w:rPr>
        <w:t xml:space="preserve">This </w:t>
      </w:r>
      <w:proofErr w:type="gramStart"/>
      <w:r>
        <w:rPr>
          <w:sz w:val="20"/>
        </w:rPr>
        <w:t>financial year</w:t>
      </w:r>
      <w:proofErr w:type="gramEnd"/>
      <w:r>
        <w:rPr>
          <w:sz w:val="20"/>
        </w:rPr>
        <w:t xml:space="preserve"> involved significant engagement with Department of Justice and</w:t>
      </w:r>
      <w:r>
        <w:rPr>
          <w:spacing w:val="-12"/>
          <w:sz w:val="20"/>
        </w:rPr>
        <w:t xml:space="preserve"> </w:t>
      </w:r>
      <w:r>
        <w:rPr>
          <w:sz w:val="20"/>
        </w:rPr>
        <w:t>Attorney-General to</w:t>
      </w:r>
      <w:r>
        <w:rPr>
          <w:spacing w:val="-2"/>
          <w:sz w:val="20"/>
        </w:rPr>
        <w:t xml:space="preserve"> </w:t>
      </w:r>
      <w:r>
        <w:rPr>
          <w:sz w:val="20"/>
        </w:rPr>
        <w:t>provide</w:t>
      </w:r>
      <w:r>
        <w:rPr>
          <w:spacing w:val="-2"/>
          <w:sz w:val="20"/>
        </w:rPr>
        <w:t xml:space="preserve"> </w:t>
      </w:r>
      <w:r>
        <w:rPr>
          <w:sz w:val="20"/>
        </w:rPr>
        <w:t>detailed</w:t>
      </w:r>
      <w:r>
        <w:rPr>
          <w:spacing w:val="-2"/>
          <w:sz w:val="20"/>
        </w:rPr>
        <w:t xml:space="preserve"> </w:t>
      </w:r>
      <w:r>
        <w:rPr>
          <w:sz w:val="20"/>
        </w:rPr>
        <w:t>feedback</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drafting</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Property</w:t>
      </w:r>
      <w:r>
        <w:rPr>
          <w:spacing w:val="-2"/>
          <w:sz w:val="20"/>
        </w:rPr>
        <w:t xml:space="preserve"> </w:t>
      </w:r>
      <w:r>
        <w:rPr>
          <w:sz w:val="20"/>
        </w:rPr>
        <w:t>Law</w:t>
      </w:r>
      <w:r>
        <w:rPr>
          <w:spacing w:val="-2"/>
          <w:sz w:val="20"/>
        </w:rPr>
        <w:t xml:space="preserve"> </w:t>
      </w:r>
      <w:r>
        <w:rPr>
          <w:sz w:val="20"/>
        </w:rPr>
        <w:t>Bill</w:t>
      </w:r>
      <w:r>
        <w:rPr>
          <w:spacing w:val="-2"/>
          <w:sz w:val="20"/>
        </w:rPr>
        <w:t xml:space="preserve"> </w:t>
      </w:r>
      <w:r>
        <w:rPr>
          <w:sz w:val="20"/>
        </w:rPr>
        <w:t>2023</w:t>
      </w:r>
      <w:r>
        <w:rPr>
          <w:spacing w:val="-2"/>
          <w:sz w:val="20"/>
        </w:rPr>
        <w:t xml:space="preserve"> </w:t>
      </w:r>
      <w:r>
        <w:rPr>
          <w:sz w:val="20"/>
        </w:rPr>
        <w:t>developed.</w:t>
      </w:r>
      <w:r>
        <w:rPr>
          <w:spacing w:val="-6"/>
          <w:sz w:val="20"/>
        </w:rPr>
        <w:t xml:space="preserve"> </w:t>
      </w:r>
      <w:r>
        <w:rPr>
          <w:sz w:val="20"/>
        </w:rPr>
        <w:t>This</w:t>
      </w:r>
      <w:r>
        <w:rPr>
          <w:spacing w:val="-2"/>
          <w:sz w:val="20"/>
        </w:rPr>
        <w:t xml:space="preserve"> </w:t>
      </w:r>
      <w:r>
        <w:rPr>
          <w:sz w:val="20"/>
        </w:rPr>
        <w:t>is</w:t>
      </w:r>
      <w:r>
        <w:rPr>
          <w:spacing w:val="-2"/>
          <w:sz w:val="20"/>
        </w:rPr>
        <w:t xml:space="preserve"> </w:t>
      </w:r>
      <w:r>
        <w:rPr>
          <w:sz w:val="20"/>
        </w:rPr>
        <w:t>the</w:t>
      </w:r>
      <w:r>
        <w:rPr>
          <w:spacing w:val="-2"/>
          <w:sz w:val="20"/>
        </w:rPr>
        <w:t xml:space="preserve"> </w:t>
      </w:r>
      <w:r>
        <w:rPr>
          <w:sz w:val="20"/>
        </w:rPr>
        <w:t>most significant reform to property law in Queensland since the 1974</w:t>
      </w:r>
      <w:r>
        <w:rPr>
          <w:spacing w:val="-2"/>
          <w:sz w:val="20"/>
        </w:rPr>
        <w:t xml:space="preserve"> </w:t>
      </w:r>
      <w:r>
        <w:rPr>
          <w:sz w:val="20"/>
        </w:rPr>
        <w:t xml:space="preserve">Act </w:t>
      </w:r>
      <w:proofErr w:type="gramStart"/>
      <w:r>
        <w:rPr>
          <w:sz w:val="20"/>
        </w:rPr>
        <w:t>was introduced</w:t>
      </w:r>
      <w:proofErr w:type="gramEnd"/>
      <w:r>
        <w:rPr>
          <w:sz w:val="20"/>
        </w:rPr>
        <w:t>.</w:t>
      </w:r>
    </w:p>
    <w:p w14:paraId="2F8E6862" w14:textId="77777777" w:rsidR="00AC6F3C" w:rsidRDefault="00570E88">
      <w:pPr>
        <w:pStyle w:val="ListParagraph"/>
        <w:numPr>
          <w:ilvl w:val="0"/>
          <w:numId w:val="58"/>
        </w:numPr>
        <w:tabs>
          <w:tab w:val="left" w:pos="1153"/>
          <w:tab w:val="left" w:pos="1155"/>
        </w:tabs>
        <w:spacing w:before="170"/>
        <w:ind w:right="154"/>
        <w:jc w:val="both"/>
        <w:rPr>
          <w:sz w:val="20"/>
        </w:rPr>
      </w:pPr>
      <w:r>
        <w:rPr>
          <w:sz w:val="20"/>
        </w:rPr>
        <w:t>QLS</w:t>
      </w:r>
      <w:r>
        <w:rPr>
          <w:spacing w:val="-3"/>
          <w:sz w:val="20"/>
        </w:rPr>
        <w:t xml:space="preserve"> </w:t>
      </w:r>
      <w:r>
        <w:rPr>
          <w:sz w:val="20"/>
        </w:rPr>
        <w:t>made</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Legal</w:t>
      </w:r>
      <w:r>
        <w:rPr>
          <w:spacing w:val="-13"/>
          <w:sz w:val="20"/>
        </w:rPr>
        <w:t xml:space="preserve"> </w:t>
      </w:r>
      <w:r>
        <w:rPr>
          <w:sz w:val="20"/>
        </w:rPr>
        <w:t>Affairs</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Committee’s</w:t>
      </w:r>
      <w:r>
        <w:rPr>
          <w:spacing w:val="-3"/>
          <w:sz w:val="20"/>
        </w:rPr>
        <w:t xml:space="preserve"> </w:t>
      </w:r>
      <w:r>
        <w:rPr>
          <w:sz w:val="20"/>
        </w:rPr>
        <w:t>inquiry</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Property</w:t>
      </w:r>
      <w:r>
        <w:rPr>
          <w:spacing w:val="-3"/>
          <w:sz w:val="20"/>
        </w:rPr>
        <w:t xml:space="preserve"> </w:t>
      </w:r>
      <w:r>
        <w:rPr>
          <w:sz w:val="20"/>
        </w:rPr>
        <w:t>Law</w:t>
      </w:r>
      <w:r>
        <w:rPr>
          <w:spacing w:val="-3"/>
          <w:sz w:val="20"/>
        </w:rPr>
        <w:t xml:space="preserve"> </w:t>
      </w:r>
      <w:r>
        <w:rPr>
          <w:sz w:val="20"/>
        </w:rPr>
        <w:t>Bill and appeared at the public hearing.</w:t>
      </w:r>
    </w:p>
    <w:p w14:paraId="054741C9" w14:textId="77777777" w:rsidR="00AC6F3C" w:rsidRDefault="00570E88">
      <w:pPr>
        <w:pStyle w:val="ListParagraph"/>
        <w:numPr>
          <w:ilvl w:val="0"/>
          <w:numId w:val="58"/>
        </w:numPr>
        <w:tabs>
          <w:tab w:val="left" w:pos="1155"/>
        </w:tabs>
        <w:spacing w:before="170"/>
        <w:ind w:right="478"/>
        <w:rPr>
          <w:sz w:val="20"/>
        </w:rPr>
      </w:pPr>
      <w:r>
        <w:rPr>
          <w:sz w:val="20"/>
        </w:rPr>
        <w:t xml:space="preserve">Queensland’s </w:t>
      </w:r>
      <w:proofErr w:type="spellStart"/>
      <w:r>
        <w:rPr>
          <w:sz w:val="20"/>
        </w:rPr>
        <w:t>eConveyancing</w:t>
      </w:r>
      <w:proofErr w:type="spellEnd"/>
      <w:r>
        <w:rPr>
          <w:sz w:val="20"/>
        </w:rPr>
        <w:t xml:space="preserve"> mandate began on 20 February 2023. The committee provided substantial</w:t>
      </w:r>
      <w:r>
        <w:rPr>
          <w:spacing w:val="-3"/>
          <w:sz w:val="20"/>
        </w:rPr>
        <w:t xml:space="preserve"> </w:t>
      </w:r>
      <w:r>
        <w:rPr>
          <w:sz w:val="20"/>
        </w:rPr>
        <w:t>support</w:t>
      </w:r>
      <w:r>
        <w:rPr>
          <w:spacing w:val="-3"/>
          <w:sz w:val="20"/>
        </w:rPr>
        <w:t xml:space="preserve"> </w:t>
      </w:r>
      <w:r>
        <w:rPr>
          <w:sz w:val="20"/>
        </w:rPr>
        <w:t>to</w:t>
      </w:r>
      <w:r>
        <w:rPr>
          <w:spacing w:val="-3"/>
          <w:sz w:val="20"/>
        </w:rPr>
        <w:t xml:space="preserve"> </w:t>
      </w:r>
      <w:r>
        <w:rPr>
          <w:sz w:val="20"/>
        </w:rPr>
        <w:t>QLS</w:t>
      </w:r>
      <w:r>
        <w:rPr>
          <w:spacing w:val="-3"/>
          <w:sz w:val="20"/>
        </w:rPr>
        <w:t xml:space="preserve"> </w:t>
      </w:r>
      <w:r>
        <w:rPr>
          <w:sz w:val="20"/>
        </w:rPr>
        <w:t>to</w:t>
      </w:r>
      <w:r>
        <w:rPr>
          <w:spacing w:val="-3"/>
          <w:sz w:val="20"/>
        </w:rPr>
        <w:t xml:space="preserve"> </w:t>
      </w:r>
      <w:r>
        <w:rPr>
          <w:sz w:val="20"/>
        </w:rPr>
        <w:t>prepare</w:t>
      </w:r>
      <w:r>
        <w:rPr>
          <w:spacing w:val="-3"/>
          <w:sz w:val="20"/>
        </w:rPr>
        <w:t xml:space="preserve"> </w:t>
      </w:r>
      <w:r>
        <w:rPr>
          <w:sz w:val="20"/>
        </w:rPr>
        <w:t>the</w:t>
      </w:r>
      <w:r>
        <w:rPr>
          <w:spacing w:val="-3"/>
          <w:sz w:val="20"/>
        </w:rPr>
        <w:t xml:space="preserve"> </w:t>
      </w:r>
      <w:r>
        <w:rPr>
          <w:sz w:val="20"/>
        </w:rPr>
        <w:t>membership</w:t>
      </w:r>
      <w:r>
        <w:rPr>
          <w:spacing w:val="-3"/>
          <w:sz w:val="20"/>
        </w:rPr>
        <w:t xml:space="preserve"> </w:t>
      </w:r>
      <w:r>
        <w:rPr>
          <w:sz w:val="20"/>
        </w:rPr>
        <w:t>for</w:t>
      </w:r>
      <w:r>
        <w:rPr>
          <w:spacing w:val="-3"/>
          <w:sz w:val="20"/>
        </w:rPr>
        <w:t xml:space="preserve"> </w:t>
      </w:r>
      <w:r>
        <w:rPr>
          <w:sz w:val="20"/>
        </w:rPr>
        <w:t>this</w:t>
      </w:r>
      <w:r>
        <w:rPr>
          <w:spacing w:val="-3"/>
          <w:sz w:val="20"/>
        </w:rPr>
        <w:t xml:space="preserve"> </w:t>
      </w:r>
      <w:r>
        <w:rPr>
          <w:sz w:val="20"/>
        </w:rPr>
        <w:t>significant</w:t>
      </w:r>
      <w:r>
        <w:rPr>
          <w:spacing w:val="-3"/>
          <w:sz w:val="20"/>
        </w:rPr>
        <w:t xml:space="preserve"> </w:t>
      </w:r>
      <w:r>
        <w:rPr>
          <w:sz w:val="20"/>
        </w:rPr>
        <w:t>shift</w:t>
      </w:r>
      <w:r>
        <w:rPr>
          <w:spacing w:val="-3"/>
          <w:sz w:val="20"/>
        </w:rPr>
        <w:t xml:space="preserve"> </w:t>
      </w:r>
      <w:r>
        <w:rPr>
          <w:sz w:val="20"/>
        </w:rPr>
        <w:t>in</w:t>
      </w:r>
      <w:r>
        <w:rPr>
          <w:spacing w:val="-3"/>
          <w:sz w:val="20"/>
        </w:rPr>
        <w:t xml:space="preserve"> </w:t>
      </w:r>
      <w:r>
        <w:rPr>
          <w:sz w:val="20"/>
        </w:rPr>
        <w:t>property</w:t>
      </w:r>
      <w:r>
        <w:rPr>
          <w:spacing w:val="-3"/>
          <w:sz w:val="20"/>
        </w:rPr>
        <w:t xml:space="preserve"> </w:t>
      </w:r>
      <w:r>
        <w:rPr>
          <w:sz w:val="20"/>
        </w:rPr>
        <w:t>practice.</w:t>
      </w:r>
    </w:p>
    <w:p w14:paraId="19B368C1" w14:textId="77777777" w:rsidR="00AC6F3C" w:rsidRDefault="00570E88">
      <w:pPr>
        <w:pStyle w:val="ListParagraph"/>
        <w:numPr>
          <w:ilvl w:val="0"/>
          <w:numId w:val="58"/>
        </w:numPr>
        <w:tabs>
          <w:tab w:val="left" w:pos="1155"/>
        </w:tabs>
        <w:spacing w:before="170"/>
        <w:ind w:right="350"/>
        <w:rPr>
          <w:sz w:val="20"/>
        </w:rPr>
      </w:pPr>
      <w:r>
        <w:rPr>
          <w:sz w:val="20"/>
        </w:rPr>
        <w:t>QLS</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Real</w:t>
      </w:r>
      <w:r>
        <w:rPr>
          <w:spacing w:val="-14"/>
          <w:sz w:val="20"/>
        </w:rPr>
        <w:t xml:space="preserve"> </w:t>
      </w:r>
      <w:r>
        <w:rPr>
          <w:sz w:val="20"/>
        </w:rPr>
        <w:t>Estate</w:t>
      </w:r>
      <w:r>
        <w:rPr>
          <w:spacing w:val="-14"/>
          <w:sz w:val="20"/>
        </w:rPr>
        <w:t xml:space="preserve"> </w:t>
      </w:r>
      <w:r>
        <w:rPr>
          <w:sz w:val="20"/>
        </w:rPr>
        <w:t>Institute</w:t>
      </w:r>
      <w:r>
        <w:rPr>
          <w:spacing w:val="-14"/>
          <w:sz w:val="20"/>
        </w:rPr>
        <w:t xml:space="preserve"> </w:t>
      </w:r>
      <w:r>
        <w:rPr>
          <w:sz w:val="20"/>
        </w:rPr>
        <w:t>of</w:t>
      </w:r>
      <w:r>
        <w:rPr>
          <w:spacing w:val="-14"/>
          <w:sz w:val="20"/>
        </w:rPr>
        <w:t xml:space="preserve"> </w:t>
      </w:r>
      <w:r>
        <w:rPr>
          <w:sz w:val="20"/>
        </w:rPr>
        <w:t>Queensland</w:t>
      </w:r>
      <w:r>
        <w:rPr>
          <w:spacing w:val="-14"/>
          <w:sz w:val="20"/>
        </w:rPr>
        <w:t xml:space="preserve"> </w:t>
      </w:r>
      <w:r>
        <w:rPr>
          <w:sz w:val="20"/>
        </w:rPr>
        <w:t>(REIQ)</w:t>
      </w:r>
      <w:r>
        <w:rPr>
          <w:spacing w:val="-14"/>
          <w:sz w:val="20"/>
        </w:rPr>
        <w:t xml:space="preserve"> </w:t>
      </w:r>
      <w:r>
        <w:rPr>
          <w:sz w:val="20"/>
        </w:rPr>
        <w:t>launched</w:t>
      </w:r>
      <w:r>
        <w:rPr>
          <w:spacing w:val="-13"/>
          <w:sz w:val="20"/>
        </w:rPr>
        <w:t xml:space="preserve"> </w:t>
      </w:r>
      <w:r>
        <w:rPr>
          <w:sz w:val="20"/>
        </w:rPr>
        <w:t>new</w:t>
      </w:r>
      <w:r>
        <w:rPr>
          <w:spacing w:val="-14"/>
          <w:sz w:val="20"/>
        </w:rPr>
        <w:t xml:space="preserve"> </w:t>
      </w:r>
      <w:r>
        <w:rPr>
          <w:sz w:val="20"/>
        </w:rPr>
        <w:t>editions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REIQ</w:t>
      </w:r>
      <w:r>
        <w:rPr>
          <w:spacing w:val="-14"/>
          <w:sz w:val="20"/>
        </w:rPr>
        <w:t xml:space="preserve"> </w:t>
      </w:r>
      <w:r>
        <w:rPr>
          <w:sz w:val="20"/>
        </w:rPr>
        <w:t>standard sale</w:t>
      </w:r>
      <w:r>
        <w:rPr>
          <w:spacing w:val="-6"/>
          <w:sz w:val="20"/>
        </w:rPr>
        <w:t xml:space="preserve"> </w:t>
      </w:r>
      <w:r>
        <w:rPr>
          <w:sz w:val="20"/>
        </w:rPr>
        <w:t>of</w:t>
      </w:r>
      <w:r>
        <w:rPr>
          <w:spacing w:val="-6"/>
          <w:sz w:val="20"/>
        </w:rPr>
        <w:t xml:space="preserve"> </w:t>
      </w:r>
      <w:r>
        <w:rPr>
          <w:sz w:val="20"/>
        </w:rPr>
        <w:t>land</w:t>
      </w:r>
      <w:r>
        <w:rPr>
          <w:spacing w:val="-6"/>
          <w:sz w:val="20"/>
        </w:rPr>
        <w:t xml:space="preserve"> </w:t>
      </w:r>
      <w:r>
        <w:rPr>
          <w:sz w:val="20"/>
        </w:rPr>
        <w:t>contracts</w:t>
      </w:r>
      <w:r>
        <w:rPr>
          <w:spacing w:val="-6"/>
          <w:sz w:val="20"/>
        </w:rPr>
        <w:t xml:space="preserve"> </w:t>
      </w:r>
      <w:r>
        <w:rPr>
          <w:sz w:val="20"/>
        </w:rPr>
        <w:t>in</w:t>
      </w:r>
      <w:r>
        <w:rPr>
          <w:spacing w:val="-6"/>
          <w:sz w:val="20"/>
        </w:rPr>
        <w:t xml:space="preserve"> </w:t>
      </w:r>
      <w:r>
        <w:rPr>
          <w:sz w:val="20"/>
        </w:rPr>
        <w:t>early</w:t>
      </w:r>
      <w:r>
        <w:rPr>
          <w:spacing w:val="-6"/>
          <w:sz w:val="20"/>
        </w:rPr>
        <w:t xml:space="preserve"> </w:t>
      </w:r>
      <w:r>
        <w:rPr>
          <w:sz w:val="20"/>
        </w:rPr>
        <w:t>2023,</w:t>
      </w:r>
      <w:r>
        <w:rPr>
          <w:spacing w:val="-6"/>
          <w:sz w:val="20"/>
        </w:rPr>
        <w:t xml:space="preserve"> </w:t>
      </w:r>
      <w:r>
        <w:rPr>
          <w:sz w:val="20"/>
        </w:rPr>
        <w:t>to</w:t>
      </w:r>
      <w:r>
        <w:rPr>
          <w:spacing w:val="-6"/>
          <w:sz w:val="20"/>
        </w:rPr>
        <w:t xml:space="preserve"> </w:t>
      </w:r>
      <w:r>
        <w:rPr>
          <w:sz w:val="20"/>
        </w:rPr>
        <w:t>include</w:t>
      </w:r>
      <w:r>
        <w:rPr>
          <w:spacing w:val="-6"/>
          <w:sz w:val="20"/>
        </w:rPr>
        <w:t xml:space="preserve"> </w:t>
      </w:r>
      <w:r>
        <w:rPr>
          <w:sz w:val="20"/>
        </w:rPr>
        <w:t>clauses</w:t>
      </w:r>
      <w:r>
        <w:rPr>
          <w:spacing w:val="-6"/>
          <w:sz w:val="20"/>
        </w:rPr>
        <w:t xml:space="preserve"> </w:t>
      </w:r>
      <w:r>
        <w:rPr>
          <w:sz w:val="20"/>
        </w:rPr>
        <w:t>responding</w:t>
      </w:r>
      <w:r>
        <w:rPr>
          <w:spacing w:val="-6"/>
          <w:sz w:val="20"/>
        </w:rPr>
        <w:t xml:space="preserve"> </w:t>
      </w:r>
      <w:r>
        <w:rPr>
          <w:sz w:val="20"/>
        </w:rPr>
        <w:t>to</w:t>
      </w:r>
      <w:r>
        <w:rPr>
          <w:spacing w:val="-6"/>
          <w:sz w:val="20"/>
        </w:rPr>
        <w:t xml:space="preserve"> </w:t>
      </w:r>
      <w:r>
        <w:rPr>
          <w:sz w:val="20"/>
        </w:rPr>
        <w:t>the</w:t>
      </w:r>
      <w:r>
        <w:rPr>
          <w:spacing w:val="-6"/>
          <w:sz w:val="20"/>
        </w:rPr>
        <w:t xml:space="preserve"> </w:t>
      </w:r>
      <w:proofErr w:type="spellStart"/>
      <w:r>
        <w:rPr>
          <w:sz w:val="20"/>
        </w:rPr>
        <w:t>eConveyancing</w:t>
      </w:r>
      <w:proofErr w:type="spellEnd"/>
      <w:r>
        <w:rPr>
          <w:spacing w:val="-6"/>
          <w:sz w:val="20"/>
        </w:rPr>
        <w:t xml:space="preserve"> </w:t>
      </w:r>
      <w:r>
        <w:rPr>
          <w:sz w:val="20"/>
        </w:rPr>
        <w:t>mandate.</w:t>
      </w:r>
    </w:p>
    <w:p w14:paraId="12C67873" w14:textId="77777777" w:rsidR="00AC6F3C" w:rsidRDefault="00570E88">
      <w:pPr>
        <w:pStyle w:val="ListParagraph"/>
        <w:numPr>
          <w:ilvl w:val="0"/>
          <w:numId w:val="58"/>
        </w:numPr>
        <w:tabs>
          <w:tab w:val="left" w:pos="1155"/>
        </w:tabs>
        <w:spacing w:before="170" w:line="244" w:lineRule="auto"/>
        <w:ind w:right="378"/>
        <w:rPr>
          <w:sz w:val="20"/>
        </w:rPr>
      </w:pPr>
      <w:r>
        <w:rPr>
          <w:sz w:val="20"/>
        </w:rPr>
        <w:t>Committee members were actively involved in the Community Titles Legislation Working Group established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Justice</w:t>
      </w:r>
      <w:r>
        <w:rPr>
          <w:spacing w:val="-3"/>
          <w:sz w:val="20"/>
        </w:rPr>
        <w:t xml:space="preserve"> </w:t>
      </w:r>
      <w:r>
        <w:rPr>
          <w:sz w:val="20"/>
        </w:rPr>
        <w:t>and</w:t>
      </w:r>
      <w:r>
        <w:rPr>
          <w:spacing w:val="-14"/>
          <w:sz w:val="20"/>
        </w:rPr>
        <w:t xml:space="preserve"> </w:t>
      </w:r>
      <w:r>
        <w:rPr>
          <w:sz w:val="20"/>
        </w:rPr>
        <w:t>Attorney-General</w:t>
      </w:r>
      <w:r>
        <w:rPr>
          <w:spacing w:val="-3"/>
          <w:sz w:val="20"/>
        </w:rPr>
        <w:t xml:space="preserve"> </w:t>
      </w:r>
      <w:r>
        <w:rPr>
          <w:sz w:val="20"/>
        </w:rPr>
        <w:t>and</w:t>
      </w:r>
      <w:r>
        <w:rPr>
          <w:spacing w:val="-3"/>
          <w:sz w:val="20"/>
        </w:rPr>
        <w:t xml:space="preserve"> </w:t>
      </w:r>
      <w:r>
        <w:rPr>
          <w:sz w:val="20"/>
        </w:rPr>
        <w:t>have</w:t>
      </w:r>
      <w:r>
        <w:rPr>
          <w:spacing w:val="-3"/>
          <w:sz w:val="20"/>
        </w:rPr>
        <w:t xml:space="preserve"> </w:t>
      </w:r>
      <w:r>
        <w:rPr>
          <w:sz w:val="20"/>
        </w:rPr>
        <w:t>provided</w:t>
      </w:r>
      <w:r>
        <w:rPr>
          <w:spacing w:val="-3"/>
          <w:sz w:val="20"/>
        </w:rPr>
        <w:t xml:space="preserve"> </w:t>
      </w:r>
      <w:r>
        <w:rPr>
          <w:sz w:val="20"/>
        </w:rPr>
        <w:t>ongoing</w:t>
      </w:r>
      <w:r>
        <w:rPr>
          <w:spacing w:val="-3"/>
          <w:sz w:val="20"/>
        </w:rPr>
        <w:t xml:space="preserve"> </w:t>
      </w:r>
      <w:r>
        <w:rPr>
          <w:sz w:val="20"/>
        </w:rPr>
        <w:t>input</w:t>
      </w:r>
      <w:r>
        <w:rPr>
          <w:spacing w:val="-3"/>
          <w:sz w:val="20"/>
        </w:rPr>
        <w:t xml:space="preserve"> </w:t>
      </w:r>
      <w:r>
        <w:rPr>
          <w:sz w:val="20"/>
        </w:rPr>
        <w:t>to submissions to address a wide range of potential legislative reforms.</w:t>
      </w:r>
    </w:p>
    <w:p w14:paraId="6307A06D" w14:textId="77777777" w:rsidR="00AC6F3C" w:rsidRDefault="00AC6F3C">
      <w:pPr>
        <w:pStyle w:val="BodyText"/>
        <w:spacing w:before="3"/>
        <w:rPr>
          <w:sz w:val="23"/>
        </w:rPr>
      </w:pPr>
    </w:p>
    <w:p w14:paraId="36A26ED5" w14:textId="77777777" w:rsidR="00AC6F3C" w:rsidRDefault="00570E88">
      <w:pPr>
        <w:pStyle w:val="Heading9"/>
      </w:pPr>
      <w:r>
        <w:t>Revenue</w:t>
      </w:r>
      <w:r>
        <w:rPr>
          <w:spacing w:val="-3"/>
        </w:rPr>
        <w:t xml:space="preserve"> </w:t>
      </w:r>
      <w:r>
        <w:t>Law</w:t>
      </w:r>
      <w:r>
        <w:rPr>
          <w:spacing w:val="-3"/>
        </w:rPr>
        <w:t xml:space="preserve"> </w:t>
      </w:r>
      <w:r>
        <w:rPr>
          <w:spacing w:val="-2"/>
        </w:rPr>
        <w:t>Committee</w:t>
      </w:r>
    </w:p>
    <w:p w14:paraId="1082B72D" w14:textId="77777777" w:rsidR="00AC6F3C" w:rsidRDefault="00570E88">
      <w:pPr>
        <w:pStyle w:val="BodyText"/>
        <w:spacing w:before="176" w:line="249" w:lineRule="auto"/>
        <w:ind w:left="815" w:right="157"/>
        <w:jc w:val="both"/>
      </w:pPr>
      <w:r>
        <w:t>The</w:t>
      </w:r>
      <w:r>
        <w:rPr>
          <w:spacing w:val="-2"/>
        </w:rPr>
        <w:t xml:space="preserve"> </w:t>
      </w:r>
      <w:r>
        <w:t>Revenue</w:t>
      </w:r>
      <w:r>
        <w:rPr>
          <w:spacing w:val="-2"/>
        </w:rPr>
        <w:t xml:space="preserve"> </w:t>
      </w:r>
      <w:r>
        <w:t>Law</w:t>
      </w:r>
      <w:r>
        <w:rPr>
          <w:spacing w:val="-2"/>
        </w:rPr>
        <w:t xml:space="preserve"> </w:t>
      </w:r>
      <w:r>
        <w:t>Committee</w:t>
      </w:r>
      <w:r>
        <w:rPr>
          <w:spacing w:val="-2"/>
        </w:rPr>
        <w:t xml:space="preserve"> </w:t>
      </w:r>
      <w:r>
        <w:t>contributed</w:t>
      </w:r>
      <w:r>
        <w:rPr>
          <w:spacing w:val="-2"/>
        </w:rPr>
        <w:t xml:space="preserve"> </w:t>
      </w:r>
      <w:r>
        <w:t>to</w:t>
      </w:r>
      <w:r>
        <w:rPr>
          <w:spacing w:val="-2"/>
        </w:rPr>
        <w:t xml:space="preserve"> </w:t>
      </w:r>
      <w:r>
        <w:t>four</w:t>
      </w:r>
      <w:r>
        <w:rPr>
          <w:spacing w:val="-2"/>
        </w:rPr>
        <w:t xml:space="preserve"> </w:t>
      </w:r>
      <w:r>
        <w:t>submissions</w:t>
      </w:r>
      <w:r>
        <w:rPr>
          <w:spacing w:val="-2"/>
        </w:rPr>
        <w:t xml:space="preserve"> </w:t>
      </w:r>
      <w:r>
        <w:t>and</w:t>
      </w:r>
      <w:r>
        <w:rPr>
          <w:spacing w:val="-2"/>
        </w:rPr>
        <w:t xml:space="preserve"> </w:t>
      </w:r>
      <w:r>
        <w:t>three</w:t>
      </w:r>
      <w:r>
        <w:rPr>
          <w:spacing w:val="-2"/>
        </w:rPr>
        <w:t xml:space="preserve"> </w:t>
      </w:r>
      <w:r>
        <w:t>stakeholder</w:t>
      </w:r>
      <w:r>
        <w:rPr>
          <w:spacing w:val="-2"/>
        </w:rPr>
        <w:t xml:space="preserve"> </w:t>
      </w:r>
      <w:r>
        <w:t>consultations</w:t>
      </w:r>
      <w:r>
        <w:rPr>
          <w:spacing w:val="-2"/>
        </w:rPr>
        <w:t xml:space="preserve"> </w:t>
      </w:r>
      <w:r>
        <w:t>during this</w:t>
      </w:r>
      <w:r>
        <w:rPr>
          <w:spacing w:val="-4"/>
        </w:rPr>
        <w:t xml:space="preserve"> </w:t>
      </w:r>
      <w:proofErr w:type="gramStart"/>
      <w:r>
        <w:t>financial</w:t>
      </w:r>
      <w:r>
        <w:rPr>
          <w:spacing w:val="-4"/>
        </w:rPr>
        <w:t xml:space="preserve"> </w:t>
      </w:r>
      <w:r>
        <w:t>year</w:t>
      </w:r>
      <w:proofErr w:type="gramEnd"/>
      <w:r>
        <w:t>,</w:t>
      </w:r>
      <w:r>
        <w:rPr>
          <w:spacing w:val="-4"/>
        </w:rPr>
        <w:t xml:space="preserve"> </w:t>
      </w:r>
      <w:r>
        <w:t>in</w:t>
      </w:r>
      <w:r>
        <w:rPr>
          <w:spacing w:val="-4"/>
        </w:rPr>
        <w:t xml:space="preserve"> </w:t>
      </w:r>
      <w:r>
        <w:t>addition</w:t>
      </w:r>
      <w:r>
        <w:rPr>
          <w:spacing w:val="-4"/>
        </w:rPr>
        <w:t xml:space="preserve"> </w:t>
      </w:r>
      <w:r>
        <w:t>to</w:t>
      </w:r>
      <w:r>
        <w:rPr>
          <w:spacing w:val="-4"/>
        </w:rPr>
        <w:t xml:space="preserve"> </w:t>
      </w:r>
      <w:r>
        <w:t>regular</w:t>
      </w:r>
      <w:r>
        <w:rPr>
          <w:spacing w:val="-4"/>
        </w:rPr>
        <w:t xml:space="preserve"> </w:t>
      </w:r>
      <w:r>
        <w:t>engagement</w:t>
      </w:r>
      <w:r>
        <w:rPr>
          <w:spacing w:val="-4"/>
        </w:rPr>
        <w:t xml:space="preserve"> </w:t>
      </w:r>
      <w:r>
        <w:t>with</w:t>
      </w:r>
      <w:r>
        <w:rPr>
          <w:spacing w:val="-4"/>
        </w:rPr>
        <w:t xml:space="preserve"> </w:t>
      </w:r>
      <w:r>
        <w:t>the</w:t>
      </w:r>
      <w:r>
        <w:rPr>
          <w:spacing w:val="-4"/>
        </w:rPr>
        <w:t xml:space="preserve"> </w:t>
      </w:r>
      <w:r>
        <w:t>Queensland</w:t>
      </w:r>
      <w:r>
        <w:rPr>
          <w:spacing w:val="-4"/>
        </w:rPr>
        <w:t xml:space="preserve"> </w:t>
      </w:r>
      <w:r>
        <w:t>Revenue</w:t>
      </w:r>
      <w:r>
        <w:rPr>
          <w:spacing w:val="-4"/>
        </w:rPr>
        <w:t xml:space="preserve"> </w:t>
      </w:r>
      <w:r>
        <w:t>Office</w:t>
      </w:r>
      <w:r>
        <w:rPr>
          <w:spacing w:val="-4"/>
        </w:rPr>
        <w:t xml:space="preserve"> </w:t>
      </w:r>
      <w:r>
        <w:t>(QRO)</w:t>
      </w:r>
      <w:r>
        <w:rPr>
          <w:spacing w:val="-4"/>
        </w:rPr>
        <w:t xml:space="preserve"> </w:t>
      </w:r>
      <w:r>
        <w:t>through the</w:t>
      </w:r>
      <w:r>
        <w:rPr>
          <w:spacing w:val="-8"/>
        </w:rPr>
        <w:t xml:space="preserve"> </w:t>
      </w:r>
      <w:r>
        <w:t>Taxation</w:t>
      </w:r>
      <w:r>
        <w:rPr>
          <w:spacing w:val="-4"/>
        </w:rPr>
        <w:t xml:space="preserve"> </w:t>
      </w:r>
      <w:r>
        <w:t>Consultative</w:t>
      </w:r>
      <w:r>
        <w:rPr>
          <w:spacing w:val="-4"/>
        </w:rPr>
        <w:t xml:space="preserve"> </w:t>
      </w:r>
      <w:r>
        <w:t>Committee.</w:t>
      </w:r>
      <w:r>
        <w:rPr>
          <w:spacing w:val="-8"/>
        </w:rPr>
        <w:t xml:space="preserve"> </w:t>
      </w:r>
      <w:r>
        <w:t>This</w:t>
      </w:r>
      <w:r>
        <w:rPr>
          <w:spacing w:val="-4"/>
        </w:rPr>
        <w:t xml:space="preserve"> </w:t>
      </w:r>
      <w:r>
        <w:t>is</w:t>
      </w:r>
      <w:r>
        <w:rPr>
          <w:spacing w:val="-4"/>
        </w:rPr>
        <w:t xml:space="preserve"> </w:t>
      </w:r>
      <w:r>
        <w:t>a</w:t>
      </w:r>
      <w:r>
        <w:rPr>
          <w:spacing w:val="-4"/>
        </w:rPr>
        <w:t xml:space="preserve"> </w:t>
      </w:r>
      <w:r>
        <w:t>stakeholder</w:t>
      </w:r>
      <w:r>
        <w:rPr>
          <w:spacing w:val="-4"/>
        </w:rPr>
        <w:t xml:space="preserve"> </w:t>
      </w:r>
      <w:r>
        <w:t>forum</w:t>
      </w:r>
      <w:r>
        <w:rPr>
          <w:spacing w:val="-4"/>
        </w:rPr>
        <w:t xml:space="preserve"> </w:t>
      </w:r>
      <w:r>
        <w:t>which</w:t>
      </w:r>
      <w:r>
        <w:rPr>
          <w:spacing w:val="-4"/>
        </w:rPr>
        <w:t xml:space="preserve"> </w:t>
      </w:r>
      <w:r>
        <w:t>provides</w:t>
      </w:r>
      <w:r>
        <w:rPr>
          <w:spacing w:val="-4"/>
        </w:rPr>
        <w:t xml:space="preserve"> </w:t>
      </w:r>
      <w:r>
        <w:t>opportunities</w:t>
      </w:r>
      <w:r>
        <w:rPr>
          <w:spacing w:val="-4"/>
        </w:rPr>
        <w:t xml:space="preserve"> </w:t>
      </w:r>
      <w:r>
        <w:t>for</w:t>
      </w:r>
      <w:r>
        <w:rPr>
          <w:spacing w:val="-4"/>
        </w:rPr>
        <w:t xml:space="preserve"> </w:t>
      </w:r>
      <w:r>
        <w:t>QLS</w:t>
      </w:r>
      <w:r>
        <w:rPr>
          <w:spacing w:val="-4"/>
        </w:rPr>
        <w:t xml:space="preserve"> </w:t>
      </w:r>
      <w:r>
        <w:t>to raise issues of concern to the profession.</w:t>
      </w:r>
    </w:p>
    <w:p w14:paraId="01B9EC01" w14:textId="77777777" w:rsidR="00AC6F3C" w:rsidRDefault="00570E88">
      <w:pPr>
        <w:pStyle w:val="ListParagraph"/>
        <w:numPr>
          <w:ilvl w:val="0"/>
          <w:numId w:val="58"/>
        </w:numPr>
        <w:tabs>
          <w:tab w:val="left" w:pos="1153"/>
          <w:tab w:val="left" w:pos="1155"/>
        </w:tabs>
        <w:spacing w:before="173" w:line="249" w:lineRule="auto"/>
        <w:ind w:right="357"/>
        <w:jc w:val="both"/>
        <w:rPr>
          <w:sz w:val="20"/>
        </w:rPr>
      </w:pPr>
      <w:r>
        <w:rPr>
          <w:sz w:val="20"/>
        </w:rPr>
        <w:t>Assisted</w:t>
      </w:r>
      <w:r>
        <w:rPr>
          <w:spacing w:val="-3"/>
          <w:sz w:val="20"/>
        </w:rPr>
        <w:t xml:space="preserve"> </w:t>
      </w:r>
      <w:r>
        <w:rPr>
          <w:sz w:val="20"/>
        </w:rPr>
        <w:t>QRO</w:t>
      </w:r>
      <w:r>
        <w:rPr>
          <w:spacing w:val="-3"/>
          <w:sz w:val="20"/>
        </w:rPr>
        <w:t xml:space="preserve"> </w:t>
      </w:r>
      <w:r>
        <w:rPr>
          <w:sz w:val="20"/>
        </w:rPr>
        <w:t>to</w:t>
      </w:r>
      <w:r>
        <w:rPr>
          <w:spacing w:val="-3"/>
          <w:sz w:val="20"/>
        </w:rPr>
        <w:t xml:space="preserve"> </w:t>
      </w:r>
      <w:r>
        <w:rPr>
          <w:sz w:val="20"/>
        </w:rPr>
        <w:t>work</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QLS</w:t>
      </w:r>
      <w:r>
        <w:rPr>
          <w:spacing w:val="-3"/>
          <w:sz w:val="20"/>
        </w:rPr>
        <w:t xml:space="preserve"> </w:t>
      </w:r>
      <w:r>
        <w:rPr>
          <w:sz w:val="20"/>
        </w:rPr>
        <w:t>communications</w:t>
      </w:r>
      <w:r>
        <w:rPr>
          <w:spacing w:val="-3"/>
          <w:sz w:val="20"/>
        </w:rPr>
        <w:t xml:space="preserve"> </w:t>
      </w:r>
      <w:r>
        <w:rPr>
          <w:sz w:val="20"/>
        </w:rPr>
        <w:t>team</w:t>
      </w:r>
      <w:r>
        <w:rPr>
          <w:spacing w:val="-3"/>
          <w:sz w:val="20"/>
        </w:rPr>
        <w:t xml:space="preserve"> </w:t>
      </w:r>
      <w:r>
        <w:rPr>
          <w:sz w:val="20"/>
        </w:rPr>
        <w:t>on</w:t>
      </w:r>
      <w:r>
        <w:rPr>
          <w:spacing w:val="-3"/>
          <w:sz w:val="20"/>
        </w:rPr>
        <w:t xml:space="preserve"> </w:t>
      </w:r>
      <w:r>
        <w:rPr>
          <w:sz w:val="20"/>
        </w:rPr>
        <w:t>communications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profession</w:t>
      </w:r>
      <w:r>
        <w:rPr>
          <w:spacing w:val="-3"/>
          <w:sz w:val="20"/>
        </w:rPr>
        <w:t xml:space="preserve"> </w:t>
      </w:r>
      <w:r>
        <w:rPr>
          <w:sz w:val="20"/>
        </w:rPr>
        <w:t>for land tax reforms and the new self-assessor guidelines and framework.</w:t>
      </w:r>
    </w:p>
    <w:p w14:paraId="549F8DBF" w14:textId="77777777" w:rsidR="00AC6F3C" w:rsidRDefault="00AC6F3C">
      <w:pPr>
        <w:pStyle w:val="BodyText"/>
        <w:spacing w:before="1"/>
        <w:rPr>
          <w:sz w:val="31"/>
        </w:rPr>
      </w:pPr>
    </w:p>
    <w:p w14:paraId="080DB8C0" w14:textId="77777777" w:rsidR="00AC6F3C" w:rsidRDefault="00570E88">
      <w:pPr>
        <w:ind w:left="815"/>
        <w:rPr>
          <w:b/>
          <w:sz w:val="26"/>
        </w:rPr>
      </w:pPr>
      <w:r>
        <w:rPr>
          <w:b/>
          <w:sz w:val="26"/>
        </w:rPr>
        <w:t xml:space="preserve">Succession Law </w:t>
      </w:r>
      <w:r>
        <w:rPr>
          <w:b/>
          <w:spacing w:val="-2"/>
          <w:sz w:val="26"/>
        </w:rPr>
        <w:t>Committee</w:t>
      </w:r>
    </w:p>
    <w:p w14:paraId="1175587F" w14:textId="77777777" w:rsidR="00AC6F3C" w:rsidRDefault="00570E88">
      <w:pPr>
        <w:pStyle w:val="BodyText"/>
        <w:spacing w:before="167" w:line="249" w:lineRule="auto"/>
        <w:ind w:left="815" w:right="234"/>
      </w:pPr>
      <w:r>
        <w:t>The</w:t>
      </w:r>
      <w:r>
        <w:rPr>
          <w:spacing w:val="-3"/>
        </w:rPr>
        <w:t xml:space="preserve"> </w:t>
      </w:r>
      <w:r>
        <w:t>Succession</w:t>
      </w:r>
      <w:r>
        <w:rPr>
          <w:spacing w:val="-3"/>
        </w:rPr>
        <w:t xml:space="preserve"> </w:t>
      </w:r>
      <w:r>
        <w:t>Law</w:t>
      </w:r>
      <w:r>
        <w:rPr>
          <w:spacing w:val="-3"/>
        </w:rPr>
        <w:t xml:space="preserve"> </w:t>
      </w:r>
      <w:r>
        <w:t>Committee</w:t>
      </w:r>
      <w:r>
        <w:rPr>
          <w:spacing w:val="-3"/>
        </w:rPr>
        <w:t xml:space="preserve"> </w:t>
      </w:r>
      <w:r>
        <w:t>contributed</w:t>
      </w:r>
      <w:r>
        <w:rPr>
          <w:spacing w:val="-3"/>
        </w:rPr>
        <w:t xml:space="preserve"> </w:t>
      </w:r>
      <w:r>
        <w:t>to</w:t>
      </w:r>
      <w:r>
        <w:rPr>
          <w:spacing w:val="-3"/>
        </w:rPr>
        <w:t xml:space="preserve"> </w:t>
      </w:r>
      <w:proofErr w:type="gramStart"/>
      <w:r>
        <w:t>10</w:t>
      </w:r>
      <w:proofErr w:type="gramEnd"/>
      <w:r>
        <w:rPr>
          <w:spacing w:val="-3"/>
        </w:rPr>
        <w:t xml:space="preserve"> </w:t>
      </w:r>
      <w:r>
        <w:t>submissions</w:t>
      </w:r>
      <w:r>
        <w:rPr>
          <w:spacing w:val="-3"/>
        </w:rPr>
        <w:t xml:space="preserve"> </w:t>
      </w:r>
      <w:r>
        <w:t>and</w:t>
      </w:r>
      <w:r>
        <w:rPr>
          <w:spacing w:val="-3"/>
        </w:rPr>
        <w:t xml:space="preserve"> </w:t>
      </w:r>
      <w:r>
        <w:t>one</w:t>
      </w:r>
      <w:r>
        <w:rPr>
          <w:spacing w:val="-3"/>
        </w:rPr>
        <w:t xml:space="preserve"> </w:t>
      </w:r>
      <w:r>
        <w:t>stakeholder</w:t>
      </w:r>
      <w:r>
        <w:rPr>
          <w:spacing w:val="-3"/>
        </w:rPr>
        <w:t xml:space="preserve"> </w:t>
      </w:r>
      <w:r>
        <w:t>consultation</w:t>
      </w:r>
      <w:r>
        <w:rPr>
          <w:spacing w:val="-3"/>
        </w:rPr>
        <w:t xml:space="preserve"> </w:t>
      </w:r>
      <w:r>
        <w:t>during this financial year.</w:t>
      </w:r>
    </w:p>
    <w:p w14:paraId="5DD0C332" w14:textId="77777777" w:rsidR="00AC6F3C" w:rsidRDefault="00AC6F3C">
      <w:pPr>
        <w:pStyle w:val="BodyText"/>
        <w:spacing w:before="9"/>
        <w:rPr>
          <w:sz w:val="22"/>
        </w:rPr>
      </w:pPr>
    </w:p>
    <w:p w14:paraId="2CDD44CF" w14:textId="77777777" w:rsidR="00AC6F3C" w:rsidRDefault="00570E88">
      <w:pPr>
        <w:pStyle w:val="Heading9"/>
      </w:pPr>
      <w:r>
        <w:rPr>
          <w:spacing w:val="-2"/>
        </w:rPr>
        <w:t>Submissions</w:t>
      </w:r>
    </w:p>
    <w:p w14:paraId="3FA58567" w14:textId="77777777" w:rsidR="00AC6F3C" w:rsidRDefault="00570E88">
      <w:pPr>
        <w:pStyle w:val="ListParagraph"/>
        <w:numPr>
          <w:ilvl w:val="0"/>
          <w:numId w:val="58"/>
        </w:numPr>
        <w:tabs>
          <w:tab w:val="left" w:pos="1155"/>
        </w:tabs>
        <w:spacing w:before="156"/>
        <w:ind w:hanging="340"/>
        <w:rPr>
          <w:sz w:val="20"/>
        </w:rPr>
      </w:pPr>
      <w:r>
        <w:rPr>
          <w:sz w:val="20"/>
        </w:rPr>
        <w:t>Contributed</w:t>
      </w:r>
      <w:r>
        <w:rPr>
          <w:spacing w:val="-4"/>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Property</w:t>
      </w:r>
      <w:r>
        <w:rPr>
          <w:spacing w:val="-3"/>
          <w:sz w:val="20"/>
        </w:rPr>
        <w:t xml:space="preserve"> </w:t>
      </w:r>
      <w:r>
        <w:rPr>
          <w:sz w:val="20"/>
        </w:rPr>
        <w:t>Law</w:t>
      </w:r>
      <w:r>
        <w:rPr>
          <w:spacing w:val="-3"/>
          <w:sz w:val="20"/>
        </w:rPr>
        <w:t xml:space="preserve"> </w:t>
      </w:r>
      <w:r>
        <w:rPr>
          <w:spacing w:val="-2"/>
          <w:sz w:val="20"/>
        </w:rPr>
        <w:t>Bill.</w:t>
      </w:r>
    </w:p>
    <w:p w14:paraId="4BFB8FD7" w14:textId="77777777" w:rsidR="00AC6F3C" w:rsidRDefault="00570E88">
      <w:pPr>
        <w:pStyle w:val="ListParagraph"/>
        <w:numPr>
          <w:ilvl w:val="0"/>
          <w:numId w:val="58"/>
        </w:numPr>
        <w:tabs>
          <w:tab w:val="left" w:pos="1155"/>
        </w:tabs>
        <w:spacing w:before="160"/>
        <w:ind w:hanging="340"/>
        <w:rPr>
          <w:sz w:val="20"/>
        </w:rPr>
      </w:pPr>
      <w:r>
        <w:rPr>
          <w:sz w:val="20"/>
        </w:rPr>
        <w:t>Reviewed</w:t>
      </w:r>
      <w:r>
        <w:rPr>
          <w:spacing w:val="-4"/>
          <w:sz w:val="20"/>
        </w:rPr>
        <w:t xml:space="preserve"> </w:t>
      </w:r>
      <w:r>
        <w:rPr>
          <w:sz w:val="20"/>
        </w:rPr>
        <w:t>a</w:t>
      </w:r>
      <w:r>
        <w:rPr>
          <w:spacing w:val="-4"/>
          <w:sz w:val="20"/>
        </w:rPr>
        <w:t xml:space="preserve"> </w:t>
      </w:r>
      <w:r>
        <w:rPr>
          <w:sz w:val="20"/>
        </w:rPr>
        <w:t>confidential</w:t>
      </w:r>
      <w:r>
        <w:rPr>
          <w:spacing w:val="-4"/>
          <w:sz w:val="20"/>
        </w:rPr>
        <w:t xml:space="preserve"> </w:t>
      </w:r>
      <w:r>
        <w:rPr>
          <w:sz w:val="20"/>
        </w:rPr>
        <w:t>draft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Succession</w:t>
      </w:r>
      <w:r>
        <w:rPr>
          <w:spacing w:val="-4"/>
          <w:sz w:val="20"/>
        </w:rPr>
        <w:t xml:space="preserve"> </w:t>
      </w:r>
      <w:r>
        <w:rPr>
          <w:sz w:val="20"/>
        </w:rPr>
        <w:t>Bill</w:t>
      </w:r>
      <w:r>
        <w:rPr>
          <w:spacing w:val="-4"/>
          <w:sz w:val="20"/>
        </w:rPr>
        <w:t xml:space="preserve"> </w:t>
      </w:r>
      <w:r>
        <w:rPr>
          <w:spacing w:val="-2"/>
          <w:sz w:val="20"/>
        </w:rPr>
        <w:t>2023.</w:t>
      </w:r>
    </w:p>
    <w:p w14:paraId="0CCA19A1" w14:textId="77777777" w:rsidR="00AC6F3C" w:rsidRDefault="00570E88">
      <w:pPr>
        <w:pStyle w:val="ListParagraph"/>
        <w:numPr>
          <w:ilvl w:val="0"/>
          <w:numId w:val="58"/>
        </w:numPr>
        <w:tabs>
          <w:tab w:val="left" w:pos="1155"/>
        </w:tabs>
        <w:spacing w:before="160"/>
        <w:ind w:hanging="340"/>
        <w:rPr>
          <w:sz w:val="20"/>
        </w:rPr>
      </w:pPr>
      <w:r>
        <w:rPr>
          <w:sz w:val="20"/>
        </w:rPr>
        <w:t>Provided</w:t>
      </w:r>
      <w:r>
        <w:rPr>
          <w:spacing w:val="-3"/>
          <w:sz w:val="20"/>
        </w:rPr>
        <w:t xml:space="preserve"> </w:t>
      </w:r>
      <w:r>
        <w:rPr>
          <w:sz w:val="20"/>
        </w:rPr>
        <w:t>feedback</w:t>
      </w:r>
      <w:r>
        <w:rPr>
          <w:spacing w:val="-2"/>
          <w:sz w:val="20"/>
        </w:rPr>
        <w:t xml:space="preserve"> </w:t>
      </w:r>
      <w:r>
        <w:rPr>
          <w:sz w:val="20"/>
        </w:rPr>
        <w:t>on</w:t>
      </w:r>
      <w:r>
        <w:rPr>
          <w:spacing w:val="-2"/>
          <w:sz w:val="20"/>
        </w:rPr>
        <w:t xml:space="preserve"> </w:t>
      </w:r>
      <w:r>
        <w:rPr>
          <w:sz w:val="20"/>
        </w:rPr>
        <w:t>proposed</w:t>
      </w:r>
      <w:r>
        <w:rPr>
          <w:spacing w:val="-2"/>
          <w:sz w:val="20"/>
        </w:rPr>
        <w:t xml:space="preserve"> </w:t>
      </w:r>
      <w:r>
        <w:rPr>
          <w:sz w:val="20"/>
        </w:rPr>
        <w:t>Court</w:t>
      </w:r>
      <w:r>
        <w:rPr>
          <w:spacing w:val="-2"/>
          <w:sz w:val="20"/>
        </w:rPr>
        <w:t xml:space="preserve"> </w:t>
      </w:r>
      <w:r>
        <w:rPr>
          <w:sz w:val="20"/>
        </w:rPr>
        <w:t>practice</w:t>
      </w:r>
      <w:r>
        <w:rPr>
          <w:spacing w:val="-2"/>
          <w:sz w:val="20"/>
        </w:rPr>
        <w:t xml:space="preserve"> </w:t>
      </w:r>
      <w:r>
        <w:rPr>
          <w:sz w:val="20"/>
        </w:rPr>
        <w:t>directions</w:t>
      </w:r>
      <w:r>
        <w:rPr>
          <w:spacing w:val="-3"/>
          <w:sz w:val="20"/>
        </w:rPr>
        <w:t xml:space="preserve"> </w:t>
      </w:r>
      <w:r>
        <w:rPr>
          <w:sz w:val="20"/>
        </w:rPr>
        <w:t>about</w:t>
      </w:r>
      <w:r>
        <w:rPr>
          <w:spacing w:val="-2"/>
          <w:sz w:val="20"/>
        </w:rPr>
        <w:t xml:space="preserve"> </w:t>
      </w:r>
      <w:r>
        <w:rPr>
          <w:sz w:val="20"/>
        </w:rPr>
        <w:t>the</w:t>
      </w:r>
      <w:r>
        <w:rPr>
          <w:spacing w:val="-2"/>
          <w:sz w:val="20"/>
        </w:rPr>
        <w:t xml:space="preserve"> </w:t>
      </w:r>
      <w:r>
        <w:rPr>
          <w:sz w:val="20"/>
        </w:rPr>
        <w:t>Wills</w:t>
      </w:r>
      <w:r>
        <w:rPr>
          <w:spacing w:val="-2"/>
          <w:sz w:val="20"/>
        </w:rPr>
        <w:t xml:space="preserve"> </w:t>
      </w:r>
      <w:r>
        <w:rPr>
          <w:sz w:val="20"/>
        </w:rPr>
        <w:t>and</w:t>
      </w:r>
      <w:r>
        <w:rPr>
          <w:spacing w:val="-2"/>
          <w:sz w:val="20"/>
        </w:rPr>
        <w:t xml:space="preserve"> </w:t>
      </w:r>
      <w:r>
        <w:rPr>
          <w:sz w:val="20"/>
        </w:rPr>
        <w:t>Estates</w:t>
      </w:r>
      <w:r>
        <w:rPr>
          <w:spacing w:val="-2"/>
          <w:sz w:val="20"/>
        </w:rPr>
        <w:t xml:space="preserve"> List.</w:t>
      </w:r>
    </w:p>
    <w:p w14:paraId="4045E5E4" w14:textId="77777777" w:rsidR="00AC6F3C" w:rsidRDefault="00AC6F3C">
      <w:pPr>
        <w:rPr>
          <w:sz w:val="20"/>
        </w:rPr>
        <w:sectPr w:rsidR="00AC6F3C">
          <w:headerReference w:type="default" r:id="rId100"/>
          <w:footerReference w:type="default" r:id="rId101"/>
          <w:pgSz w:w="11910" w:h="16840"/>
          <w:pgMar w:top="1480" w:right="1160" w:bottom="520" w:left="460" w:header="1237" w:footer="336" w:gutter="0"/>
          <w:cols w:space="720"/>
        </w:sectPr>
      </w:pPr>
    </w:p>
    <w:p w14:paraId="549142B4" w14:textId="77777777" w:rsidR="00AC6F3C" w:rsidRDefault="00570E88">
      <w:pPr>
        <w:pStyle w:val="ListParagraph"/>
        <w:numPr>
          <w:ilvl w:val="0"/>
          <w:numId w:val="58"/>
        </w:numPr>
        <w:tabs>
          <w:tab w:val="left" w:pos="1155"/>
        </w:tabs>
        <w:spacing w:before="176"/>
        <w:ind w:hanging="340"/>
        <w:rPr>
          <w:sz w:val="20"/>
        </w:rPr>
      </w:pPr>
      <w:bookmarkStart w:id="39" w:name="Delayed_judgements_service"/>
      <w:bookmarkStart w:id="40" w:name="_bookmark13"/>
      <w:bookmarkEnd w:id="39"/>
      <w:bookmarkEnd w:id="40"/>
      <w:r>
        <w:rPr>
          <w:sz w:val="20"/>
        </w:rPr>
        <w:lastRenderedPageBreak/>
        <w:t>Amendments</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Uniform</w:t>
      </w:r>
      <w:r>
        <w:rPr>
          <w:spacing w:val="-3"/>
          <w:sz w:val="20"/>
        </w:rPr>
        <w:t xml:space="preserve"> </w:t>
      </w:r>
      <w:r>
        <w:rPr>
          <w:sz w:val="20"/>
        </w:rPr>
        <w:t>Civil</w:t>
      </w:r>
      <w:r>
        <w:rPr>
          <w:spacing w:val="-2"/>
          <w:sz w:val="20"/>
        </w:rPr>
        <w:t xml:space="preserve"> </w:t>
      </w:r>
      <w:r>
        <w:rPr>
          <w:sz w:val="20"/>
        </w:rPr>
        <w:t>Procedure</w:t>
      </w:r>
      <w:r>
        <w:rPr>
          <w:spacing w:val="-3"/>
          <w:sz w:val="20"/>
        </w:rPr>
        <w:t xml:space="preserve"> </w:t>
      </w:r>
      <w:r>
        <w:rPr>
          <w:sz w:val="20"/>
        </w:rPr>
        <w:t>Rules</w:t>
      </w:r>
      <w:r>
        <w:rPr>
          <w:spacing w:val="-2"/>
          <w:sz w:val="20"/>
        </w:rPr>
        <w:t xml:space="preserve"> </w:t>
      </w:r>
      <w:r>
        <w:rPr>
          <w:sz w:val="20"/>
        </w:rPr>
        <w:t>and</w:t>
      </w:r>
      <w:r>
        <w:rPr>
          <w:spacing w:val="-3"/>
          <w:sz w:val="20"/>
        </w:rPr>
        <w:t xml:space="preserve"> </w:t>
      </w:r>
      <w:r>
        <w:rPr>
          <w:sz w:val="20"/>
        </w:rPr>
        <w:t>probate</w:t>
      </w:r>
      <w:r>
        <w:rPr>
          <w:spacing w:val="-2"/>
          <w:sz w:val="20"/>
        </w:rPr>
        <w:t xml:space="preserve"> forms.</w:t>
      </w:r>
    </w:p>
    <w:p w14:paraId="63B8DC4A" w14:textId="77777777" w:rsidR="00AC6F3C" w:rsidRDefault="00570E88">
      <w:pPr>
        <w:pStyle w:val="ListParagraph"/>
        <w:numPr>
          <w:ilvl w:val="0"/>
          <w:numId w:val="58"/>
        </w:numPr>
        <w:tabs>
          <w:tab w:val="left" w:pos="1155"/>
        </w:tabs>
        <w:spacing w:line="249" w:lineRule="auto"/>
        <w:ind w:right="497"/>
        <w:rPr>
          <w:sz w:val="20"/>
        </w:rPr>
      </w:pPr>
      <w:r>
        <w:rPr>
          <w:sz w:val="20"/>
        </w:rPr>
        <w:t>Worked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Queensland</w:t>
      </w:r>
      <w:r>
        <w:rPr>
          <w:spacing w:val="-3"/>
          <w:sz w:val="20"/>
        </w:rPr>
        <w:t xml:space="preserve"> </w:t>
      </w:r>
      <w:r>
        <w:rPr>
          <w:sz w:val="20"/>
        </w:rPr>
        <w:t>Public</w:t>
      </w:r>
      <w:r>
        <w:rPr>
          <w:spacing w:val="-14"/>
          <w:sz w:val="20"/>
        </w:rPr>
        <w:t xml:space="preserve"> </w:t>
      </w:r>
      <w:r>
        <w:rPr>
          <w:sz w:val="20"/>
        </w:rPr>
        <w:t>Advocate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Institute</w:t>
      </w:r>
      <w:r>
        <w:rPr>
          <w:spacing w:val="-3"/>
          <w:sz w:val="20"/>
        </w:rPr>
        <w:t xml:space="preserve"> </w:t>
      </w:r>
      <w:r>
        <w:rPr>
          <w:sz w:val="20"/>
        </w:rPr>
        <w:t>of</w:t>
      </w:r>
      <w:r>
        <w:rPr>
          <w:spacing w:val="-3"/>
          <w:sz w:val="20"/>
        </w:rPr>
        <w:t xml:space="preserve"> </w:t>
      </w:r>
      <w:r>
        <w:rPr>
          <w:sz w:val="20"/>
        </w:rPr>
        <w:t>Victoria</w:t>
      </w:r>
      <w:r>
        <w:rPr>
          <w:spacing w:val="-3"/>
          <w:sz w:val="20"/>
        </w:rPr>
        <w:t xml:space="preserve"> </w:t>
      </w:r>
      <w:r>
        <w:rPr>
          <w:sz w:val="20"/>
        </w:rPr>
        <w:t>to</w:t>
      </w:r>
      <w:r>
        <w:rPr>
          <w:spacing w:val="-3"/>
          <w:sz w:val="20"/>
        </w:rPr>
        <w:t xml:space="preserve"> </w:t>
      </w:r>
      <w:r>
        <w:rPr>
          <w:sz w:val="20"/>
        </w:rPr>
        <w:t>develop</w:t>
      </w:r>
      <w:r>
        <w:rPr>
          <w:spacing w:val="-3"/>
          <w:sz w:val="20"/>
        </w:rPr>
        <w:t xml:space="preserve"> </w:t>
      </w:r>
      <w:r>
        <w:rPr>
          <w:sz w:val="20"/>
        </w:rPr>
        <w:t>a</w:t>
      </w:r>
      <w:r>
        <w:rPr>
          <w:spacing w:val="-3"/>
          <w:sz w:val="20"/>
        </w:rPr>
        <w:t xml:space="preserve"> </w:t>
      </w:r>
      <w:r>
        <w:rPr>
          <w:sz w:val="20"/>
        </w:rPr>
        <w:t>model financial enduring power of attorney law.</w:t>
      </w:r>
    </w:p>
    <w:p w14:paraId="45E7E81C" w14:textId="77777777" w:rsidR="00AC6F3C" w:rsidRDefault="00570E88">
      <w:pPr>
        <w:pStyle w:val="ListParagraph"/>
        <w:numPr>
          <w:ilvl w:val="0"/>
          <w:numId w:val="58"/>
        </w:numPr>
        <w:tabs>
          <w:tab w:val="left" w:pos="1155"/>
        </w:tabs>
        <w:spacing w:before="171" w:line="249" w:lineRule="auto"/>
        <w:ind w:right="827"/>
        <w:rPr>
          <w:sz w:val="20"/>
        </w:rPr>
      </w:pPr>
      <w:r>
        <w:rPr>
          <w:sz w:val="20"/>
        </w:rPr>
        <w:t>Wrote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Registrar</w:t>
      </w:r>
      <w:r>
        <w:rPr>
          <w:spacing w:val="-3"/>
          <w:sz w:val="20"/>
        </w:rPr>
        <w:t xml:space="preserve"> </w:t>
      </w:r>
      <w:r>
        <w:rPr>
          <w:sz w:val="20"/>
        </w:rPr>
        <w:t>of</w:t>
      </w:r>
      <w:r>
        <w:rPr>
          <w:spacing w:val="-3"/>
          <w:sz w:val="20"/>
        </w:rPr>
        <w:t xml:space="preserve"> </w:t>
      </w:r>
      <w:r>
        <w:rPr>
          <w:sz w:val="20"/>
        </w:rPr>
        <w:t>Births,</w:t>
      </w:r>
      <w:r>
        <w:rPr>
          <w:spacing w:val="-3"/>
          <w:sz w:val="20"/>
        </w:rPr>
        <w:t xml:space="preserve"> </w:t>
      </w:r>
      <w:proofErr w:type="gramStart"/>
      <w:r>
        <w:rPr>
          <w:sz w:val="20"/>
        </w:rPr>
        <w:t>Deaths</w:t>
      </w:r>
      <w:proofErr w:type="gramEnd"/>
      <w:r>
        <w:rPr>
          <w:spacing w:val="-3"/>
          <w:sz w:val="20"/>
        </w:rPr>
        <w:t xml:space="preserve"> </w:t>
      </w:r>
      <w:r>
        <w:rPr>
          <w:sz w:val="20"/>
        </w:rPr>
        <w:t>and</w:t>
      </w:r>
      <w:r>
        <w:rPr>
          <w:spacing w:val="-3"/>
          <w:sz w:val="20"/>
        </w:rPr>
        <w:t xml:space="preserve"> </w:t>
      </w:r>
      <w:r>
        <w:rPr>
          <w:sz w:val="20"/>
        </w:rPr>
        <w:t>Marriages</w:t>
      </w:r>
      <w:r>
        <w:rPr>
          <w:spacing w:val="-3"/>
          <w:sz w:val="20"/>
        </w:rPr>
        <w:t xml:space="preserve"> </w:t>
      </w:r>
      <w:r>
        <w:rPr>
          <w:sz w:val="20"/>
        </w:rPr>
        <w:t>to</w:t>
      </w:r>
      <w:r>
        <w:rPr>
          <w:spacing w:val="-3"/>
          <w:sz w:val="20"/>
        </w:rPr>
        <w:t xml:space="preserve"> </w:t>
      </w:r>
      <w:r>
        <w:rPr>
          <w:sz w:val="20"/>
        </w:rPr>
        <w:t>clarify</w:t>
      </w:r>
      <w:r>
        <w:rPr>
          <w:spacing w:val="-3"/>
          <w:sz w:val="20"/>
        </w:rPr>
        <w:t xml:space="preserve"> </w:t>
      </w:r>
      <w:r>
        <w:rPr>
          <w:sz w:val="20"/>
        </w:rPr>
        <w:t>identification</w:t>
      </w:r>
      <w:r>
        <w:rPr>
          <w:spacing w:val="-3"/>
          <w:sz w:val="20"/>
        </w:rPr>
        <w:t xml:space="preserve"> </w:t>
      </w:r>
      <w:r>
        <w:rPr>
          <w:sz w:val="20"/>
        </w:rPr>
        <w:t>requirements</w:t>
      </w:r>
      <w:r>
        <w:rPr>
          <w:spacing w:val="-3"/>
          <w:sz w:val="20"/>
        </w:rPr>
        <w:t xml:space="preserve"> </w:t>
      </w:r>
      <w:r>
        <w:rPr>
          <w:sz w:val="20"/>
        </w:rPr>
        <w:t>for solicitors seeking Death Certificates.</w:t>
      </w:r>
    </w:p>
    <w:p w14:paraId="6CC06338" w14:textId="77777777" w:rsidR="00AC6F3C" w:rsidRDefault="00AC6F3C">
      <w:pPr>
        <w:pStyle w:val="BodyText"/>
        <w:spacing w:before="9"/>
        <w:rPr>
          <w:sz w:val="22"/>
        </w:rPr>
      </w:pPr>
    </w:p>
    <w:p w14:paraId="2BAB4E83" w14:textId="77777777" w:rsidR="00AC6F3C" w:rsidRDefault="00570E88">
      <w:pPr>
        <w:pStyle w:val="Heading9"/>
      </w:pPr>
      <w:r>
        <w:t>Stakeholder</w:t>
      </w:r>
      <w:r>
        <w:rPr>
          <w:spacing w:val="-10"/>
        </w:rPr>
        <w:t xml:space="preserve"> </w:t>
      </w:r>
      <w:r>
        <w:rPr>
          <w:spacing w:val="-2"/>
        </w:rPr>
        <w:t>Meetings</w:t>
      </w:r>
    </w:p>
    <w:p w14:paraId="65EFB21B" w14:textId="77777777" w:rsidR="00AC6F3C" w:rsidRDefault="00570E88">
      <w:pPr>
        <w:pStyle w:val="BodyText"/>
        <w:spacing w:before="176" w:line="249" w:lineRule="auto"/>
        <w:ind w:left="815"/>
      </w:pPr>
      <w:r>
        <w:t>Had significant engagement with the</w:t>
      </w:r>
      <w:r>
        <w:rPr>
          <w:spacing w:val="-4"/>
        </w:rPr>
        <w:t xml:space="preserve"> </w:t>
      </w:r>
      <w:r>
        <w:t>Australian Institution of Superannuation Trustees to improve processes</w:t>
      </w:r>
      <w:r>
        <w:rPr>
          <w:spacing w:val="-4"/>
        </w:rPr>
        <w:t xml:space="preserve"> </w:t>
      </w:r>
      <w:r>
        <w:t>for</w:t>
      </w:r>
      <w:r>
        <w:rPr>
          <w:spacing w:val="-4"/>
        </w:rPr>
        <w:t xml:space="preserve"> </w:t>
      </w:r>
      <w:r>
        <w:t>legal</w:t>
      </w:r>
      <w:r>
        <w:rPr>
          <w:spacing w:val="-4"/>
        </w:rPr>
        <w:t xml:space="preserve"> </w:t>
      </w:r>
      <w:r>
        <w:t>practitioners</w:t>
      </w:r>
      <w:r>
        <w:rPr>
          <w:spacing w:val="-4"/>
        </w:rPr>
        <w:t xml:space="preserve"> </w:t>
      </w:r>
      <w:r>
        <w:t>seeking</w:t>
      </w:r>
      <w:r>
        <w:rPr>
          <w:spacing w:val="-4"/>
        </w:rPr>
        <w:t xml:space="preserve"> </w:t>
      </w:r>
      <w:r>
        <w:t>information</w:t>
      </w:r>
      <w:r>
        <w:rPr>
          <w:spacing w:val="-4"/>
        </w:rPr>
        <w:t xml:space="preserve"> </w:t>
      </w:r>
      <w:r>
        <w:t>about</w:t>
      </w:r>
      <w:r>
        <w:rPr>
          <w:spacing w:val="-4"/>
        </w:rPr>
        <w:t xml:space="preserve"> </w:t>
      </w:r>
      <w:r>
        <w:t>a</w:t>
      </w:r>
      <w:r>
        <w:rPr>
          <w:spacing w:val="-4"/>
        </w:rPr>
        <w:t xml:space="preserve"> </w:t>
      </w:r>
      <w:r>
        <w:t>deceased</w:t>
      </w:r>
      <w:r>
        <w:rPr>
          <w:spacing w:val="-4"/>
        </w:rPr>
        <w:t xml:space="preserve"> </w:t>
      </w:r>
      <w:r>
        <w:t>person’s</w:t>
      </w:r>
      <w:r>
        <w:rPr>
          <w:spacing w:val="-4"/>
        </w:rPr>
        <w:t xml:space="preserve"> </w:t>
      </w:r>
      <w:r>
        <w:t>superannuation</w:t>
      </w:r>
      <w:r>
        <w:rPr>
          <w:spacing w:val="-4"/>
        </w:rPr>
        <w:t xml:space="preserve"> </w:t>
      </w:r>
      <w:r>
        <w:t>details.</w:t>
      </w:r>
    </w:p>
    <w:p w14:paraId="3790B0B1" w14:textId="77777777" w:rsidR="00AC6F3C" w:rsidRDefault="00AC6F3C">
      <w:pPr>
        <w:pStyle w:val="BodyText"/>
        <w:spacing w:before="9"/>
        <w:rPr>
          <w:sz w:val="22"/>
        </w:rPr>
      </w:pPr>
    </w:p>
    <w:p w14:paraId="44D74BF2" w14:textId="77777777" w:rsidR="00AC6F3C" w:rsidRDefault="00570E88">
      <w:pPr>
        <w:pStyle w:val="Heading9"/>
      </w:pPr>
      <w:r>
        <w:t>Births,</w:t>
      </w:r>
      <w:r>
        <w:rPr>
          <w:spacing w:val="-5"/>
        </w:rPr>
        <w:t xml:space="preserve"> </w:t>
      </w:r>
      <w:proofErr w:type="gramStart"/>
      <w:r>
        <w:t>Deaths</w:t>
      </w:r>
      <w:proofErr w:type="gramEnd"/>
      <w:r>
        <w:rPr>
          <w:spacing w:val="-2"/>
        </w:rPr>
        <w:t xml:space="preserve"> </w:t>
      </w:r>
      <w:r>
        <w:t>and</w:t>
      </w:r>
      <w:r>
        <w:rPr>
          <w:spacing w:val="-2"/>
        </w:rPr>
        <w:t xml:space="preserve"> </w:t>
      </w:r>
      <w:r>
        <w:t>Marriages</w:t>
      </w:r>
      <w:r>
        <w:rPr>
          <w:spacing w:val="-2"/>
        </w:rPr>
        <w:t xml:space="preserve"> </w:t>
      </w:r>
      <w:r>
        <w:t>Registration</w:t>
      </w:r>
      <w:r>
        <w:rPr>
          <w:spacing w:val="-2"/>
        </w:rPr>
        <w:t xml:space="preserve"> </w:t>
      </w:r>
      <w:r>
        <w:t>Bill</w:t>
      </w:r>
      <w:r>
        <w:rPr>
          <w:spacing w:val="-2"/>
        </w:rPr>
        <w:t xml:space="preserve"> </w:t>
      </w:r>
      <w:r>
        <w:rPr>
          <w:spacing w:val="-4"/>
        </w:rPr>
        <w:t>2022</w:t>
      </w:r>
    </w:p>
    <w:p w14:paraId="12894DFF" w14:textId="77777777" w:rsidR="00AC6F3C" w:rsidRDefault="00570E88">
      <w:pPr>
        <w:pStyle w:val="ListParagraph"/>
        <w:numPr>
          <w:ilvl w:val="0"/>
          <w:numId w:val="58"/>
        </w:numPr>
        <w:tabs>
          <w:tab w:val="left" w:pos="1155"/>
        </w:tabs>
        <w:spacing w:before="176" w:line="249" w:lineRule="auto"/>
        <w:ind w:right="983"/>
        <w:rPr>
          <w:sz w:val="20"/>
        </w:rPr>
      </w:pPr>
      <w:r>
        <w:rPr>
          <w:sz w:val="20"/>
        </w:rPr>
        <w:t>Contributed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submission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Legal</w:t>
      </w:r>
      <w:r>
        <w:rPr>
          <w:spacing w:val="-14"/>
          <w:sz w:val="20"/>
        </w:rPr>
        <w:t xml:space="preserve"> </w:t>
      </w:r>
      <w:r>
        <w:rPr>
          <w:sz w:val="20"/>
        </w:rPr>
        <w:t>Affairs</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Committee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Births,</w:t>
      </w:r>
      <w:r>
        <w:rPr>
          <w:spacing w:val="-3"/>
          <w:sz w:val="20"/>
        </w:rPr>
        <w:t xml:space="preserve"> </w:t>
      </w:r>
      <w:proofErr w:type="gramStart"/>
      <w:r>
        <w:rPr>
          <w:sz w:val="20"/>
        </w:rPr>
        <w:t>Deaths</w:t>
      </w:r>
      <w:proofErr w:type="gramEnd"/>
      <w:r>
        <w:rPr>
          <w:sz w:val="20"/>
        </w:rPr>
        <w:t xml:space="preserve"> and Marriages Registration Bill 2022. The Committee specifically noted the unintended consequences </w:t>
      </w:r>
      <w:proofErr w:type="gramStart"/>
      <w:r>
        <w:rPr>
          <w:sz w:val="20"/>
        </w:rPr>
        <w:t>in the area of</w:t>
      </w:r>
      <w:proofErr w:type="gramEnd"/>
      <w:r>
        <w:rPr>
          <w:sz w:val="20"/>
        </w:rPr>
        <w:t xml:space="preserve"> wills and estates that may arise in relation to the Bill’s sex descriptor registration framework.</w:t>
      </w:r>
    </w:p>
    <w:p w14:paraId="3881E343" w14:textId="77777777" w:rsidR="00AC6F3C" w:rsidRDefault="00570E88">
      <w:pPr>
        <w:pStyle w:val="ListParagraph"/>
        <w:numPr>
          <w:ilvl w:val="0"/>
          <w:numId w:val="58"/>
        </w:numPr>
        <w:tabs>
          <w:tab w:val="left" w:pos="1153"/>
          <w:tab w:val="left" w:pos="1155"/>
        </w:tabs>
        <w:spacing w:before="173" w:line="249" w:lineRule="auto"/>
        <w:ind w:right="900"/>
        <w:jc w:val="both"/>
        <w:rPr>
          <w:sz w:val="20"/>
        </w:rPr>
      </w:pPr>
      <w:r>
        <w:rPr>
          <w:sz w:val="20"/>
        </w:rPr>
        <w:t>Chair</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Succession</w:t>
      </w:r>
      <w:r>
        <w:rPr>
          <w:spacing w:val="-3"/>
          <w:sz w:val="20"/>
        </w:rPr>
        <w:t xml:space="preserve"> </w:t>
      </w:r>
      <w:r>
        <w:rPr>
          <w:sz w:val="20"/>
        </w:rPr>
        <w:t>Law</w:t>
      </w:r>
      <w:r>
        <w:rPr>
          <w:spacing w:val="-3"/>
          <w:sz w:val="20"/>
        </w:rPr>
        <w:t xml:space="preserve"> </w:t>
      </w:r>
      <w:r>
        <w:rPr>
          <w:sz w:val="20"/>
        </w:rPr>
        <w:t>Committee,</w:t>
      </w:r>
      <w:r>
        <w:rPr>
          <w:spacing w:val="-14"/>
          <w:sz w:val="20"/>
        </w:rPr>
        <w:t xml:space="preserve"> </w:t>
      </w:r>
      <w:r>
        <w:rPr>
          <w:sz w:val="20"/>
        </w:rPr>
        <w:t>Angela</w:t>
      </w:r>
      <w:r>
        <w:rPr>
          <w:spacing w:val="-3"/>
          <w:sz w:val="20"/>
        </w:rPr>
        <w:t xml:space="preserve"> </w:t>
      </w:r>
      <w:r>
        <w:rPr>
          <w:sz w:val="20"/>
        </w:rPr>
        <w:t>Cornford-Scott,</w:t>
      </w:r>
      <w:r>
        <w:rPr>
          <w:spacing w:val="-3"/>
          <w:sz w:val="20"/>
        </w:rPr>
        <w:t xml:space="preserve"> </w:t>
      </w:r>
      <w:r>
        <w:rPr>
          <w:sz w:val="20"/>
        </w:rPr>
        <w:t>appeared</w:t>
      </w:r>
      <w:r>
        <w:rPr>
          <w:spacing w:val="-3"/>
          <w:sz w:val="20"/>
        </w:rPr>
        <w:t xml:space="preserve"> </w:t>
      </w:r>
      <w:r>
        <w:rPr>
          <w:sz w:val="20"/>
        </w:rPr>
        <w:t>with</w:t>
      </w:r>
      <w:r>
        <w:rPr>
          <w:spacing w:val="-3"/>
          <w:sz w:val="20"/>
        </w:rPr>
        <w:t xml:space="preserve"> </w:t>
      </w:r>
      <w:r>
        <w:rPr>
          <w:sz w:val="20"/>
        </w:rPr>
        <w:t>Senior</w:t>
      </w:r>
      <w:r>
        <w:rPr>
          <w:spacing w:val="-3"/>
          <w:sz w:val="20"/>
        </w:rPr>
        <w:t xml:space="preserve"> </w:t>
      </w:r>
      <w:r>
        <w:rPr>
          <w:sz w:val="20"/>
        </w:rPr>
        <w:t>Policy Solicitor,</w:t>
      </w:r>
      <w:r>
        <w:rPr>
          <w:spacing w:val="-6"/>
          <w:sz w:val="20"/>
        </w:rPr>
        <w:t xml:space="preserve"> </w:t>
      </w:r>
      <w:r>
        <w:rPr>
          <w:sz w:val="20"/>
        </w:rPr>
        <w:t>Brooke</w:t>
      </w:r>
      <w:r>
        <w:rPr>
          <w:spacing w:val="-10"/>
          <w:sz w:val="20"/>
        </w:rPr>
        <w:t xml:space="preserve"> </w:t>
      </w:r>
      <w:r>
        <w:rPr>
          <w:sz w:val="20"/>
        </w:rPr>
        <w:t>Thompson,</w:t>
      </w:r>
      <w:r>
        <w:rPr>
          <w:spacing w:val="-6"/>
          <w:sz w:val="20"/>
        </w:rPr>
        <w:t xml:space="preserve"> </w:t>
      </w:r>
      <w:r>
        <w:rPr>
          <w:sz w:val="20"/>
        </w:rPr>
        <w:t>and</w:t>
      </w:r>
      <w:r>
        <w:rPr>
          <w:spacing w:val="-6"/>
          <w:sz w:val="20"/>
        </w:rPr>
        <w:t xml:space="preserve"> </w:t>
      </w:r>
      <w:r>
        <w:rPr>
          <w:sz w:val="20"/>
        </w:rPr>
        <w:t>QLS</w:t>
      </w:r>
      <w:r>
        <w:rPr>
          <w:spacing w:val="-6"/>
          <w:sz w:val="20"/>
        </w:rPr>
        <w:t xml:space="preserve"> </w:t>
      </w:r>
      <w:r>
        <w:rPr>
          <w:sz w:val="20"/>
        </w:rPr>
        <w:t>Vice-President,</w:t>
      </w:r>
      <w:r>
        <w:rPr>
          <w:spacing w:val="-6"/>
          <w:sz w:val="20"/>
        </w:rPr>
        <w:t xml:space="preserve"> </w:t>
      </w:r>
      <w:r>
        <w:rPr>
          <w:sz w:val="20"/>
        </w:rPr>
        <w:t>Rebecca</w:t>
      </w:r>
      <w:r>
        <w:rPr>
          <w:spacing w:val="-6"/>
          <w:sz w:val="20"/>
        </w:rPr>
        <w:t xml:space="preserve"> </w:t>
      </w:r>
      <w:r>
        <w:rPr>
          <w:sz w:val="20"/>
        </w:rPr>
        <w:t>Fogerty,</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z w:val="20"/>
        </w:rPr>
        <w:t>public</w:t>
      </w:r>
      <w:r>
        <w:rPr>
          <w:spacing w:val="-6"/>
          <w:sz w:val="20"/>
        </w:rPr>
        <w:t xml:space="preserve"> </w:t>
      </w:r>
      <w:r>
        <w:rPr>
          <w:sz w:val="20"/>
        </w:rPr>
        <w:t>hearing for the Bill on Tuesday, 24 January 2023.</w:t>
      </w:r>
    </w:p>
    <w:p w14:paraId="69F860F2" w14:textId="77777777" w:rsidR="00AC6F3C" w:rsidRDefault="00570E88">
      <w:pPr>
        <w:pStyle w:val="ListParagraph"/>
        <w:numPr>
          <w:ilvl w:val="0"/>
          <w:numId w:val="58"/>
        </w:numPr>
        <w:tabs>
          <w:tab w:val="left" w:pos="1155"/>
        </w:tabs>
        <w:spacing w:before="173" w:line="249" w:lineRule="auto"/>
        <w:ind w:right="530"/>
        <w:rPr>
          <w:sz w:val="20"/>
        </w:rPr>
      </w:pPr>
      <w:r>
        <w:rPr>
          <w:sz w:val="20"/>
        </w:rPr>
        <w:t xml:space="preserve">Additionally, made </w:t>
      </w:r>
      <w:proofErr w:type="gramStart"/>
      <w:r>
        <w:rPr>
          <w:sz w:val="20"/>
        </w:rPr>
        <w:t>a proactive</w:t>
      </w:r>
      <w:proofErr w:type="gramEnd"/>
      <w:r>
        <w:rPr>
          <w:sz w:val="20"/>
        </w:rPr>
        <w:t xml:space="preserve"> submission to the</w:t>
      </w:r>
      <w:r>
        <w:rPr>
          <w:spacing w:val="-11"/>
          <w:sz w:val="20"/>
        </w:rPr>
        <w:t xml:space="preserve"> </w:t>
      </w:r>
      <w:r>
        <w:rPr>
          <w:sz w:val="20"/>
        </w:rPr>
        <w:t>Attorney-General to draw her attention to recent developments</w:t>
      </w:r>
      <w:r>
        <w:rPr>
          <w:spacing w:val="-7"/>
          <w:sz w:val="20"/>
        </w:rPr>
        <w:t xml:space="preserve"> </w:t>
      </w:r>
      <w:r>
        <w:rPr>
          <w:sz w:val="20"/>
        </w:rPr>
        <w:t>in</w:t>
      </w:r>
      <w:r>
        <w:rPr>
          <w:spacing w:val="-5"/>
          <w:sz w:val="20"/>
        </w:rPr>
        <w:t xml:space="preserve"> </w:t>
      </w:r>
      <w:r>
        <w:rPr>
          <w:sz w:val="20"/>
        </w:rPr>
        <w:t>the</w:t>
      </w:r>
      <w:r>
        <w:rPr>
          <w:spacing w:val="-5"/>
          <w:sz w:val="20"/>
        </w:rPr>
        <w:t xml:space="preserve"> </w:t>
      </w:r>
      <w:r>
        <w:rPr>
          <w:sz w:val="20"/>
        </w:rPr>
        <w:t>Victorian</w:t>
      </w:r>
      <w:r>
        <w:rPr>
          <w:spacing w:val="-5"/>
          <w:sz w:val="20"/>
        </w:rPr>
        <w:t xml:space="preserve"> </w:t>
      </w:r>
      <w:r>
        <w:rPr>
          <w:sz w:val="20"/>
        </w:rPr>
        <w:t>Births,</w:t>
      </w:r>
      <w:r>
        <w:rPr>
          <w:spacing w:val="-5"/>
          <w:sz w:val="20"/>
        </w:rPr>
        <w:t xml:space="preserve"> </w:t>
      </w:r>
      <w:r>
        <w:rPr>
          <w:sz w:val="20"/>
        </w:rPr>
        <w:t>Deaths</w:t>
      </w:r>
      <w:r>
        <w:rPr>
          <w:spacing w:val="-5"/>
          <w:sz w:val="20"/>
        </w:rPr>
        <w:t xml:space="preserve"> </w:t>
      </w:r>
      <w:r>
        <w:rPr>
          <w:sz w:val="20"/>
        </w:rPr>
        <w:t>and</w:t>
      </w:r>
      <w:r>
        <w:rPr>
          <w:spacing w:val="-5"/>
          <w:sz w:val="20"/>
        </w:rPr>
        <w:t xml:space="preserve"> </w:t>
      </w:r>
      <w:r>
        <w:rPr>
          <w:sz w:val="20"/>
        </w:rPr>
        <w:t>Marriages</w:t>
      </w:r>
      <w:r>
        <w:rPr>
          <w:spacing w:val="-5"/>
          <w:sz w:val="20"/>
        </w:rPr>
        <w:t xml:space="preserve"> </w:t>
      </w:r>
      <w:r>
        <w:rPr>
          <w:sz w:val="20"/>
        </w:rPr>
        <w:t>Registry.</w:t>
      </w:r>
      <w:r>
        <w:rPr>
          <w:spacing w:val="-5"/>
          <w:sz w:val="20"/>
        </w:rPr>
        <w:t xml:space="preserve"> </w:t>
      </w:r>
      <w:r>
        <w:rPr>
          <w:sz w:val="20"/>
        </w:rPr>
        <w:t>Urged</w:t>
      </w:r>
      <w:r>
        <w:rPr>
          <w:spacing w:val="-5"/>
          <w:sz w:val="20"/>
        </w:rPr>
        <w:t xml:space="preserve"> </w:t>
      </w:r>
      <w:r>
        <w:rPr>
          <w:sz w:val="20"/>
        </w:rPr>
        <w:t>the</w:t>
      </w:r>
      <w:r>
        <w:rPr>
          <w:spacing w:val="-14"/>
          <w:sz w:val="20"/>
        </w:rPr>
        <w:t xml:space="preserve"> </w:t>
      </w:r>
      <w:r>
        <w:rPr>
          <w:sz w:val="20"/>
        </w:rPr>
        <w:t>Attorney-General to consider introducing a similar legal death certificate to assist with situations where there are delays in obtaining the original death certificate.</w:t>
      </w:r>
    </w:p>
    <w:p w14:paraId="78AC1B6C" w14:textId="77777777" w:rsidR="00AC6F3C" w:rsidRDefault="00570E88">
      <w:pPr>
        <w:pStyle w:val="ListParagraph"/>
        <w:numPr>
          <w:ilvl w:val="0"/>
          <w:numId w:val="58"/>
        </w:numPr>
        <w:tabs>
          <w:tab w:val="left" w:pos="1155"/>
        </w:tabs>
        <w:spacing w:before="173"/>
        <w:ind w:hanging="340"/>
        <w:rPr>
          <w:sz w:val="20"/>
        </w:rPr>
      </w:pPr>
      <w:r>
        <w:rPr>
          <w:sz w:val="20"/>
        </w:rPr>
        <w:t>In</w:t>
      </w:r>
      <w:r>
        <w:rPr>
          <w:spacing w:val="-7"/>
          <w:sz w:val="20"/>
        </w:rPr>
        <w:t xml:space="preserve"> </w:t>
      </w:r>
      <w:r>
        <w:rPr>
          <w:sz w:val="20"/>
        </w:rPr>
        <w:t>response,</w:t>
      </w:r>
      <w:r>
        <w:rPr>
          <w:spacing w:val="-5"/>
          <w:sz w:val="20"/>
        </w:rPr>
        <w:t xml:space="preserve"> </w:t>
      </w:r>
      <w:r>
        <w:rPr>
          <w:sz w:val="20"/>
        </w:rPr>
        <w:t>the</w:t>
      </w:r>
      <w:r>
        <w:rPr>
          <w:spacing w:val="-14"/>
          <w:sz w:val="20"/>
        </w:rPr>
        <w:t xml:space="preserve"> </w:t>
      </w:r>
      <w:r>
        <w:rPr>
          <w:sz w:val="20"/>
        </w:rPr>
        <w:t>Attorney-General</w:t>
      </w:r>
      <w:r>
        <w:rPr>
          <w:spacing w:val="-4"/>
          <w:sz w:val="20"/>
        </w:rPr>
        <w:t xml:space="preserve"> </w:t>
      </w:r>
      <w:r>
        <w:rPr>
          <w:sz w:val="20"/>
        </w:rPr>
        <w:t>expressed</w:t>
      </w:r>
      <w:r>
        <w:rPr>
          <w:spacing w:val="-4"/>
          <w:sz w:val="20"/>
        </w:rPr>
        <w:t xml:space="preserve"> </w:t>
      </w:r>
      <w:r>
        <w:rPr>
          <w:sz w:val="20"/>
        </w:rPr>
        <w:t>interest</w:t>
      </w:r>
      <w:r>
        <w:rPr>
          <w:spacing w:val="-5"/>
          <w:sz w:val="20"/>
        </w:rPr>
        <w:t xml:space="preserve"> </w:t>
      </w:r>
      <w:r>
        <w:rPr>
          <w:sz w:val="20"/>
        </w:rPr>
        <w:t>in</w:t>
      </w:r>
      <w:r>
        <w:rPr>
          <w:spacing w:val="-4"/>
          <w:sz w:val="20"/>
        </w:rPr>
        <w:t xml:space="preserve"> </w:t>
      </w:r>
      <w:r>
        <w:rPr>
          <w:sz w:val="20"/>
        </w:rPr>
        <w:t>considering</w:t>
      </w:r>
      <w:r>
        <w:rPr>
          <w:spacing w:val="-4"/>
          <w:sz w:val="20"/>
        </w:rPr>
        <w:t xml:space="preserve"> </w:t>
      </w:r>
      <w:r>
        <w:rPr>
          <w:sz w:val="20"/>
        </w:rPr>
        <w:t>a</w:t>
      </w:r>
      <w:r>
        <w:rPr>
          <w:spacing w:val="-5"/>
          <w:sz w:val="20"/>
        </w:rPr>
        <w:t xml:space="preserve"> </w:t>
      </w:r>
      <w:r>
        <w:rPr>
          <w:sz w:val="20"/>
        </w:rPr>
        <w:t>similar</w:t>
      </w:r>
      <w:r>
        <w:rPr>
          <w:spacing w:val="-4"/>
          <w:sz w:val="20"/>
        </w:rPr>
        <w:t xml:space="preserve"> </w:t>
      </w:r>
      <w:r>
        <w:rPr>
          <w:sz w:val="20"/>
        </w:rPr>
        <w:t>certificate</w:t>
      </w:r>
      <w:r>
        <w:rPr>
          <w:spacing w:val="-4"/>
          <w:sz w:val="20"/>
        </w:rPr>
        <w:t xml:space="preserve"> </w:t>
      </w:r>
      <w:r>
        <w:rPr>
          <w:spacing w:val="-5"/>
          <w:sz w:val="20"/>
        </w:rPr>
        <w:t>in</w:t>
      </w:r>
    </w:p>
    <w:p w14:paraId="7DA4F392" w14:textId="77777777" w:rsidR="00AC6F3C" w:rsidRDefault="00570E88">
      <w:pPr>
        <w:pStyle w:val="BodyText"/>
        <w:spacing w:before="10"/>
        <w:ind w:left="1155"/>
      </w:pPr>
      <w:r>
        <w:t>Queensland</w:t>
      </w:r>
      <w:r>
        <w:rPr>
          <w:spacing w:val="-3"/>
        </w:rPr>
        <w:t xml:space="preserve"> </w:t>
      </w:r>
      <w:r>
        <w:t>that</w:t>
      </w:r>
      <w:r>
        <w:rPr>
          <w:spacing w:val="-3"/>
        </w:rPr>
        <w:t xml:space="preserve"> </w:t>
      </w:r>
      <w:r>
        <w:t>excludes</w:t>
      </w:r>
      <w:r>
        <w:rPr>
          <w:spacing w:val="-2"/>
        </w:rPr>
        <w:t xml:space="preserve"> </w:t>
      </w:r>
      <w:r>
        <w:t>cause</w:t>
      </w:r>
      <w:r>
        <w:rPr>
          <w:spacing w:val="-3"/>
        </w:rPr>
        <w:t xml:space="preserve"> </w:t>
      </w:r>
      <w:r>
        <w:t>of</w:t>
      </w:r>
      <w:r>
        <w:rPr>
          <w:spacing w:val="-2"/>
        </w:rPr>
        <w:t xml:space="preserve"> death.</w:t>
      </w:r>
    </w:p>
    <w:p w14:paraId="3C211343" w14:textId="77777777" w:rsidR="00AC6F3C" w:rsidRDefault="00AC6F3C">
      <w:pPr>
        <w:pStyle w:val="BodyText"/>
        <w:spacing w:before="10"/>
        <w:rPr>
          <w:sz w:val="31"/>
        </w:rPr>
      </w:pPr>
    </w:p>
    <w:p w14:paraId="5BECC87B" w14:textId="77777777" w:rsidR="00AC6F3C" w:rsidRDefault="00570E88">
      <w:pPr>
        <w:ind w:left="815"/>
        <w:rPr>
          <w:b/>
          <w:sz w:val="26"/>
        </w:rPr>
      </w:pPr>
      <w:r>
        <w:rPr>
          <w:b/>
          <w:sz w:val="26"/>
        </w:rPr>
        <w:t>Water</w:t>
      </w:r>
      <w:r>
        <w:rPr>
          <w:b/>
          <w:spacing w:val="-7"/>
          <w:sz w:val="26"/>
        </w:rPr>
        <w:t xml:space="preserve"> </w:t>
      </w:r>
      <w:r>
        <w:rPr>
          <w:b/>
          <w:sz w:val="26"/>
        </w:rPr>
        <w:t>and</w:t>
      </w:r>
      <w:r>
        <w:rPr>
          <w:b/>
          <w:spacing w:val="-15"/>
          <w:sz w:val="26"/>
        </w:rPr>
        <w:t xml:space="preserve"> </w:t>
      </w:r>
      <w:r>
        <w:rPr>
          <w:b/>
          <w:sz w:val="26"/>
        </w:rPr>
        <w:t>Agribusiness</w:t>
      </w:r>
      <w:r>
        <w:rPr>
          <w:b/>
          <w:spacing w:val="-6"/>
          <w:sz w:val="26"/>
        </w:rPr>
        <w:t xml:space="preserve"> </w:t>
      </w:r>
      <w:r>
        <w:rPr>
          <w:b/>
          <w:sz w:val="26"/>
        </w:rPr>
        <w:t>Law</w:t>
      </w:r>
      <w:r>
        <w:rPr>
          <w:b/>
          <w:spacing w:val="-6"/>
          <w:sz w:val="26"/>
        </w:rPr>
        <w:t xml:space="preserve"> </w:t>
      </w:r>
      <w:r>
        <w:rPr>
          <w:b/>
          <w:spacing w:val="-2"/>
          <w:sz w:val="26"/>
        </w:rPr>
        <w:t>Committee</w:t>
      </w:r>
    </w:p>
    <w:p w14:paraId="25D3FA0A" w14:textId="77777777" w:rsidR="00AC6F3C" w:rsidRDefault="00570E88">
      <w:pPr>
        <w:pStyle w:val="BodyText"/>
        <w:spacing w:before="167" w:line="249" w:lineRule="auto"/>
        <w:ind w:left="815" w:right="468"/>
      </w:pPr>
      <w:r>
        <w:t>Contributed</w:t>
      </w:r>
      <w:r>
        <w:rPr>
          <w:spacing w:val="-4"/>
        </w:rPr>
        <w:t xml:space="preserve"> </w:t>
      </w:r>
      <w:r>
        <w:t>to</w:t>
      </w:r>
      <w:r>
        <w:rPr>
          <w:spacing w:val="-4"/>
        </w:rPr>
        <w:t xml:space="preserve"> </w:t>
      </w:r>
      <w:r>
        <w:t>two</w:t>
      </w:r>
      <w:r>
        <w:rPr>
          <w:spacing w:val="-4"/>
        </w:rPr>
        <w:t xml:space="preserve"> </w:t>
      </w:r>
      <w:r>
        <w:t>submissions</w:t>
      </w:r>
      <w:r>
        <w:rPr>
          <w:spacing w:val="-4"/>
        </w:rPr>
        <w:t xml:space="preserve"> </w:t>
      </w:r>
      <w:r>
        <w:t>during</w:t>
      </w:r>
      <w:r>
        <w:rPr>
          <w:spacing w:val="-4"/>
        </w:rPr>
        <w:t xml:space="preserve"> </w:t>
      </w:r>
      <w:r>
        <w:t>this</w:t>
      </w:r>
      <w:r>
        <w:rPr>
          <w:spacing w:val="-4"/>
        </w:rPr>
        <w:t xml:space="preserve"> </w:t>
      </w:r>
      <w:proofErr w:type="gramStart"/>
      <w:r>
        <w:t>financial</w:t>
      </w:r>
      <w:r>
        <w:rPr>
          <w:spacing w:val="-4"/>
        </w:rPr>
        <w:t xml:space="preserve"> </w:t>
      </w:r>
      <w:r>
        <w:t>year</w:t>
      </w:r>
      <w:proofErr w:type="gramEnd"/>
      <w:r>
        <w:t>.</w:t>
      </w:r>
      <w:r>
        <w:rPr>
          <w:spacing w:val="-7"/>
        </w:rPr>
        <w:t xml:space="preserve"> </w:t>
      </w:r>
      <w:r>
        <w:t>The</w:t>
      </w:r>
      <w:r>
        <w:rPr>
          <w:spacing w:val="-4"/>
        </w:rPr>
        <w:t xml:space="preserve"> </w:t>
      </w:r>
      <w:r>
        <w:t>committee</w:t>
      </w:r>
      <w:r>
        <w:rPr>
          <w:spacing w:val="-4"/>
        </w:rPr>
        <w:t xml:space="preserve"> </w:t>
      </w:r>
      <w:r>
        <w:t>has</w:t>
      </w:r>
      <w:r>
        <w:rPr>
          <w:spacing w:val="-4"/>
        </w:rPr>
        <w:t xml:space="preserve"> </w:t>
      </w:r>
      <w:r>
        <w:t>identified</w:t>
      </w:r>
      <w:r>
        <w:rPr>
          <w:spacing w:val="-4"/>
        </w:rPr>
        <w:t xml:space="preserve"> </w:t>
      </w:r>
      <w:r>
        <w:t>a</w:t>
      </w:r>
      <w:r>
        <w:rPr>
          <w:spacing w:val="-4"/>
        </w:rPr>
        <w:t xml:space="preserve"> </w:t>
      </w:r>
      <w:r>
        <w:t>range</w:t>
      </w:r>
      <w:r>
        <w:rPr>
          <w:spacing w:val="-4"/>
        </w:rPr>
        <w:t xml:space="preserve"> </w:t>
      </w:r>
      <w:r>
        <w:t>of issues affecting regional practices. The committee is continuing to work on potential solutions to support the members.</w:t>
      </w:r>
    </w:p>
    <w:p w14:paraId="502C25ED" w14:textId="77777777" w:rsidR="00AC6F3C" w:rsidRDefault="00570E88">
      <w:pPr>
        <w:pStyle w:val="BodyText"/>
        <w:spacing w:before="173" w:line="249" w:lineRule="auto"/>
        <w:ind w:left="815" w:right="468"/>
      </w:pPr>
      <w:r>
        <w:t>Wrote to the Department of</w:t>
      </w:r>
      <w:r>
        <w:rPr>
          <w:spacing w:val="-4"/>
        </w:rPr>
        <w:t xml:space="preserve"> </w:t>
      </w:r>
      <w:r>
        <w:t>Agriculture and Fisheries raising concerns about duplication in register searches</w:t>
      </w:r>
      <w:r>
        <w:rPr>
          <w:spacing w:val="-3"/>
        </w:rPr>
        <w:t xml:space="preserve"> </w:t>
      </w:r>
      <w:r>
        <w:t>causing</w:t>
      </w:r>
      <w:r>
        <w:rPr>
          <w:spacing w:val="-3"/>
        </w:rPr>
        <w:t xml:space="preserve"> </w:t>
      </w:r>
      <w:r>
        <w:t>delays</w:t>
      </w:r>
      <w:r>
        <w:rPr>
          <w:spacing w:val="-3"/>
        </w:rPr>
        <w:t xml:space="preserve"> </w:t>
      </w:r>
      <w:r>
        <w:t>to</w:t>
      </w:r>
      <w:r>
        <w:rPr>
          <w:spacing w:val="-3"/>
        </w:rPr>
        <w:t xml:space="preserve"> </w:t>
      </w:r>
      <w:r>
        <w:t>property</w:t>
      </w:r>
      <w:r>
        <w:rPr>
          <w:spacing w:val="-3"/>
        </w:rPr>
        <w:t xml:space="preserve"> </w:t>
      </w:r>
      <w:r>
        <w:t>transactions.</w:t>
      </w:r>
      <w:r>
        <w:rPr>
          <w:spacing w:val="-3"/>
        </w:rPr>
        <w:t xml:space="preserve"> </w:t>
      </w:r>
      <w:r>
        <w:t>In</w:t>
      </w:r>
      <w:r>
        <w:rPr>
          <w:spacing w:val="-3"/>
        </w:rPr>
        <w:t xml:space="preserve"> </w:t>
      </w:r>
      <w:r>
        <w:t>response,</w:t>
      </w:r>
      <w:r>
        <w:rPr>
          <w:spacing w:val="-3"/>
        </w:rPr>
        <w:t xml:space="preserve"> </w:t>
      </w:r>
      <w:r>
        <w:t>the</w:t>
      </w:r>
      <w:r>
        <w:rPr>
          <w:spacing w:val="-3"/>
        </w:rPr>
        <w:t xml:space="preserve"> </w:t>
      </w:r>
      <w:r>
        <w:t>Department</w:t>
      </w:r>
      <w:r>
        <w:rPr>
          <w:spacing w:val="-3"/>
        </w:rPr>
        <w:t xml:space="preserve"> </w:t>
      </w:r>
      <w:proofErr w:type="spellStart"/>
      <w:r>
        <w:t>recognised</w:t>
      </w:r>
      <w:proofErr w:type="spellEnd"/>
      <w:r>
        <w:rPr>
          <w:spacing w:val="-3"/>
        </w:rPr>
        <w:t xml:space="preserve"> </w:t>
      </w:r>
      <w:r>
        <w:t>the</w:t>
      </w:r>
      <w:r>
        <w:rPr>
          <w:spacing w:val="-3"/>
        </w:rPr>
        <w:t xml:space="preserve"> </w:t>
      </w:r>
      <w:r>
        <w:t>issue and advised they are reviewing the application process for biosecurity register searches to ensure a workable outcome for all parties.</w:t>
      </w:r>
    </w:p>
    <w:p w14:paraId="48B7DC33" w14:textId="77777777" w:rsidR="00AC6F3C" w:rsidRDefault="00AC6F3C">
      <w:pPr>
        <w:pStyle w:val="BodyText"/>
        <w:spacing w:before="6"/>
        <w:rPr>
          <w:sz w:val="32"/>
        </w:rPr>
      </w:pPr>
    </w:p>
    <w:p w14:paraId="508767F8" w14:textId="77777777" w:rsidR="00AC6F3C" w:rsidRDefault="00570E88">
      <w:pPr>
        <w:pStyle w:val="Heading3"/>
        <w:spacing w:before="1"/>
      </w:pPr>
      <w:r>
        <w:t>Delayed</w:t>
      </w:r>
      <w:r>
        <w:rPr>
          <w:spacing w:val="-5"/>
        </w:rPr>
        <w:t xml:space="preserve"> </w:t>
      </w:r>
      <w:r>
        <w:t>judgements</w:t>
      </w:r>
      <w:r>
        <w:rPr>
          <w:spacing w:val="-4"/>
        </w:rPr>
        <w:t xml:space="preserve"> </w:t>
      </w:r>
      <w:r>
        <w:rPr>
          <w:spacing w:val="-2"/>
        </w:rPr>
        <w:t>service</w:t>
      </w:r>
    </w:p>
    <w:p w14:paraId="75AC6DF5" w14:textId="77777777" w:rsidR="00AC6F3C" w:rsidRDefault="00570E88">
      <w:pPr>
        <w:pStyle w:val="BodyText"/>
        <w:spacing w:before="154" w:line="249" w:lineRule="auto"/>
        <w:ind w:left="815" w:right="234"/>
      </w:pPr>
      <w:r>
        <w:t>QLS</w:t>
      </w:r>
      <w:r>
        <w:rPr>
          <w:spacing w:val="-3"/>
        </w:rPr>
        <w:t xml:space="preserve"> </w:t>
      </w:r>
      <w:r>
        <w:t>is</w:t>
      </w:r>
      <w:r>
        <w:rPr>
          <w:spacing w:val="-3"/>
        </w:rPr>
        <w:t xml:space="preserve"> </w:t>
      </w:r>
      <w:r>
        <w:t>a</w:t>
      </w:r>
      <w:r>
        <w:rPr>
          <w:spacing w:val="-3"/>
        </w:rPr>
        <w:t xml:space="preserve"> </w:t>
      </w:r>
      <w:r>
        <w:t>party</w:t>
      </w:r>
      <w:r>
        <w:rPr>
          <w:spacing w:val="-3"/>
        </w:rPr>
        <w:t xml:space="preserve"> </w:t>
      </w:r>
      <w:r>
        <w:t>to</w:t>
      </w:r>
      <w:r>
        <w:rPr>
          <w:spacing w:val="-3"/>
        </w:rPr>
        <w:t xml:space="preserve"> </w:t>
      </w:r>
      <w:r>
        <w:t>protocols</w:t>
      </w:r>
      <w:r>
        <w:rPr>
          <w:spacing w:val="-3"/>
        </w:rPr>
        <w:t xml:space="preserve"> </w:t>
      </w:r>
      <w:r>
        <w:t>with</w:t>
      </w:r>
      <w:r>
        <w:rPr>
          <w:spacing w:val="-3"/>
        </w:rPr>
        <w:t xml:space="preserve"> </w:t>
      </w:r>
      <w:r>
        <w:t>state</w:t>
      </w:r>
      <w:r>
        <w:rPr>
          <w:spacing w:val="-3"/>
        </w:rPr>
        <w:t xml:space="preserve"> </w:t>
      </w:r>
      <w:r>
        <w:t>and</w:t>
      </w:r>
      <w:r>
        <w:rPr>
          <w:spacing w:val="-3"/>
        </w:rPr>
        <w:t xml:space="preserve"> </w:t>
      </w:r>
      <w:r>
        <w:t>federal</w:t>
      </w:r>
      <w:r>
        <w:rPr>
          <w:spacing w:val="-3"/>
        </w:rPr>
        <w:t xml:space="preserve"> </w:t>
      </w:r>
      <w:r>
        <w:t>courts,</w:t>
      </w:r>
      <w:r>
        <w:rPr>
          <w:spacing w:val="-3"/>
        </w:rPr>
        <w:t xml:space="preserve"> </w:t>
      </w:r>
      <w:proofErr w:type="gramStart"/>
      <w:r>
        <w:t>tribunals</w:t>
      </w:r>
      <w:proofErr w:type="gramEnd"/>
      <w:r>
        <w:rPr>
          <w:spacing w:val="-3"/>
        </w:rPr>
        <w:t xml:space="preserve"> </w:t>
      </w:r>
      <w:r>
        <w:t>and</w:t>
      </w:r>
      <w:r>
        <w:rPr>
          <w:spacing w:val="-3"/>
        </w:rPr>
        <w:t xml:space="preserve"> </w:t>
      </w:r>
      <w:r>
        <w:t>commissions,</w:t>
      </w:r>
      <w:r>
        <w:rPr>
          <w:spacing w:val="-3"/>
        </w:rPr>
        <w:t xml:space="preserve"> </w:t>
      </w:r>
      <w:r>
        <w:t>which</w:t>
      </w:r>
      <w:r>
        <w:rPr>
          <w:spacing w:val="-3"/>
        </w:rPr>
        <w:t xml:space="preserve"> </w:t>
      </w:r>
      <w:r>
        <w:t>permit</w:t>
      </w:r>
      <w:r>
        <w:rPr>
          <w:spacing w:val="-3"/>
        </w:rPr>
        <w:t xml:space="preserve"> </w:t>
      </w:r>
      <w:r>
        <w:t>QLS, on behalf of its members, to approach these entities where there has been undue delay in delivering a reserved judgment or decision. In this context, there will be undue delay where a judgment or decision has been outstanding for at least three months, or six months for enquiries to the Federal Circuit and Family Court of Australia.</w:t>
      </w:r>
    </w:p>
    <w:p w14:paraId="73033A2D" w14:textId="77777777" w:rsidR="00AC6F3C" w:rsidRDefault="00570E88">
      <w:pPr>
        <w:pStyle w:val="BodyText"/>
        <w:spacing w:before="174" w:line="249" w:lineRule="auto"/>
        <w:ind w:left="815" w:right="234"/>
      </w:pPr>
      <w:r>
        <w:t>Following</w:t>
      </w:r>
      <w:r>
        <w:rPr>
          <w:spacing w:val="-3"/>
        </w:rPr>
        <w:t xml:space="preserve"> </w:t>
      </w:r>
      <w:r>
        <w:t>an</w:t>
      </w:r>
      <w:r>
        <w:rPr>
          <w:spacing w:val="-3"/>
        </w:rPr>
        <w:t xml:space="preserve"> </w:t>
      </w:r>
      <w:r>
        <w:t>enquiry</w:t>
      </w:r>
      <w:r>
        <w:rPr>
          <w:spacing w:val="-3"/>
        </w:rPr>
        <w:t xml:space="preserve"> </w:t>
      </w:r>
      <w:r>
        <w:t>by</w:t>
      </w:r>
      <w:r>
        <w:rPr>
          <w:spacing w:val="-3"/>
        </w:rPr>
        <w:t xml:space="preserve"> </w:t>
      </w:r>
      <w:r>
        <w:t>a</w:t>
      </w:r>
      <w:r>
        <w:rPr>
          <w:spacing w:val="-3"/>
        </w:rPr>
        <w:t xml:space="preserve"> </w:t>
      </w:r>
      <w:r>
        <w:t>member,</w:t>
      </w:r>
      <w:r>
        <w:rPr>
          <w:spacing w:val="-3"/>
        </w:rPr>
        <w:t xml:space="preserve"> </w:t>
      </w:r>
      <w:r>
        <w:t>QLS</w:t>
      </w:r>
      <w:r>
        <w:rPr>
          <w:spacing w:val="-3"/>
        </w:rPr>
        <w:t xml:space="preserve"> </w:t>
      </w:r>
      <w:r>
        <w:t>will</w:t>
      </w:r>
      <w:r>
        <w:rPr>
          <w:spacing w:val="-3"/>
        </w:rPr>
        <w:t xml:space="preserve"> </w:t>
      </w:r>
      <w:r>
        <w:t>write</w:t>
      </w:r>
      <w:r>
        <w:rPr>
          <w:spacing w:val="-3"/>
        </w:rPr>
        <w:t xml:space="preserve"> </w:t>
      </w:r>
      <w:r>
        <w:t>to</w:t>
      </w:r>
      <w:r>
        <w:rPr>
          <w:spacing w:val="-3"/>
        </w:rPr>
        <w:t xml:space="preserve"> </w:t>
      </w:r>
      <w:r>
        <w:t>the</w:t>
      </w:r>
      <w:r>
        <w:rPr>
          <w:spacing w:val="-3"/>
        </w:rPr>
        <w:t xml:space="preserve"> </w:t>
      </w:r>
      <w:r>
        <w:t>head</w:t>
      </w:r>
      <w:r>
        <w:rPr>
          <w:spacing w:val="-3"/>
        </w:rPr>
        <w:t xml:space="preserve"> </w:t>
      </w:r>
      <w:r>
        <w:t>of</w:t>
      </w:r>
      <w:r>
        <w:rPr>
          <w:spacing w:val="-3"/>
        </w:rPr>
        <w:t xml:space="preserve"> </w:t>
      </w:r>
      <w:proofErr w:type="gramStart"/>
      <w:r>
        <w:t>jurisdiction</w:t>
      </w:r>
      <w:proofErr w:type="gramEnd"/>
      <w:r>
        <w:rPr>
          <w:spacing w:val="-3"/>
        </w:rPr>
        <w:t xml:space="preserve"> </w:t>
      </w:r>
      <w:r>
        <w:t>of</w:t>
      </w:r>
      <w:r>
        <w:rPr>
          <w:spacing w:val="-3"/>
        </w:rPr>
        <w:t xml:space="preserve"> </w:t>
      </w:r>
      <w:r>
        <w:t>the</w:t>
      </w:r>
      <w:r>
        <w:rPr>
          <w:spacing w:val="-3"/>
        </w:rPr>
        <w:t xml:space="preserve"> </w:t>
      </w:r>
      <w:r>
        <w:t>relevant</w:t>
      </w:r>
      <w:r>
        <w:rPr>
          <w:spacing w:val="-3"/>
        </w:rPr>
        <w:t xml:space="preserve"> </w:t>
      </w:r>
      <w:r>
        <w:t>court,</w:t>
      </w:r>
      <w:r>
        <w:rPr>
          <w:spacing w:val="-3"/>
        </w:rPr>
        <w:t xml:space="preserve"> </w:t>
      </w:r>
      <w:r>
        <w:t xml:space="preserve">tribunal or commission, asking for advice on the anticipated delivery of the judgment or decision. </w:t>
      </w:r>
      <w:proofErr w:type="gramStart"/>
      <w:r>
        <w:t>Generally, the</w:t>
      </w:r>
      <w:proofErr w:type="gramEnd"/>
      <w:r>
        <w:t xml:space="preserve"> relevant</w:t>
      </w:r>
      <w:r>
        <w:rPr>
          <w:spacing w:val="-1"/>
        </w:rPr>
        <w:t xml:space="preserve"> </w:t>
      </w:r>
      <w:r>
        <w:t>court,</w:t>
      </w:r>
      <w:r>
        <w:rPr>
          <w:spacing w:val="-1"/>
        </w:rPr>
        <w:t xml:space="preserve"> </w:t>
      </w:r>
      <w:r>
        <w:t>tribunal</w:t>
      </w:r>
      <w:r>
        <w:rPr>
          <w:spacing w:val="-1"/>
        </w:rPr>
        <w:t xml:space="preserve"> </w:t>
      </w:r>
      <w:r>
        <w:t>or</w:t>
      </w:r>
      <w:r>
        <w:rPr>
          <w:spacing w:val="-1"/>
        </w:rPr>
        <w:t xml:space="preserve"> </w:t>
      </w:r>
      <w:r>
        <w:t>commission</w:t>
      </w:r>
      <w:r>
        <w:rPr>
          <w:spacing w:val="-1"/>
        </w:rPr>
        <w:t xml:space="preserve"> </w:t>
      </w:r>
      <w:r>
        <w:t>will</w:t>
      </w:r>
      <w:r>
        <w:rPr>
          <w:spacing w:val="-1"/>
        </w:rPr>
        <w:t xml:space="preserve"> </w:t>
      </w:r>
      <w:r>
        <w:t>respond</w:t>
      </w:r>
      <w:r>
        <w:rPr>
          <w:spacing w:val="-1"/>
        </w:rPr>
        <w:t xml:space="preserve"> </w:t>
      </w:r>
      <w:r>
        <w:t>to</w:t>
      </w:r>
      <w:r>
        <w:rPr>
          <w:spacing w:val="-1"/>
        </w:rPr>
        <w:t xml:space="preserve"> </w:t>
      </w:r>
      <w:r>
        <w:t>QLS</w:t>
      </w:r>
      <w:r>
        <w:rPr>
          <w:spacing w:val="-1"/>
        </w:rPr>
        <w:t xml:space="preserve"> </w:t>
      </w:r>
      <w:r>
        <w:t>with</w:t>
      </w:r>
      <w:r>
        <w:rPr>
          <w:spacing w:val="-1"/>
        </w:rPr>
        <w:t xml:space="preserve"> </w:t>
      </w:r>
      <w:r>
        <w:t>information</w:t>
      </w:r>
      <w:r>
        <w:rPr>
          <w:spacing w:val="-1"/>
        </w:rPr>
        <w:t xml:space="preserve"> </w:t>
      </w:r>
      <w:r>
        <w:t>about</w:t>
      </w:r>
      <w:r>
        <w:rPr>
          <w:spacing w:val="-1"/>
        </w:rPr>
        <w:t xml:space="preserve"> </w:t>
      </w:r>
      <w:r>
        <w:t>when</w:t>
      </w:r>
      <w:r>
        <w:rPr>
          <w:spacing w:val="-1"/>
        </w:rPr>
        <w:t xml:space="preserve"> </w:t>
      </w:r>
      <w:r>
        <w:t>the</w:t>
      </w:r>
      <w:r>
        <w:rPr>
          <w:spacing w:val="-1"/>
        </w:rPr>
        <w:t xml:space="preserve"> </w:t>
      </w:r>
      <w:r>
        <w:t>judgement</w:t>
      </w:r>
      <w:r>
        <w:rPr>
          <w:spacing w:val="-1"/>
        </w:rPr>
        <w:t xml:space="preserve"> </w:t>
      </w:r>
      <w:r>
        <w:t>or decision is expected to be handed down.</w:t>
      </w:r>
    </w:p>
    <w:p w14:paraId="5DDBB905" w14:textId="77777777" w:rsidR="00AC6F3C" w:rsidRDefault="00570E88">
      <w:pPr>
        <w:pStyle w:val="BodyText"/>
        <w:spacing w:before="174" w:line="249" w:lineRule="auto"/>
        <w:ind w:left="815"/>
      </w:pPr>
      <w:r>
        <w:t>Where the court, tribunal or commission has not responded to the initial enquiry, QLS may make further enquiries,</w:t>
      </w:r>
      <w:r>
        <w:rPr>
          <w:spacing w:val="-3"/>
        </w:rPr>
        <w:t xml:space="preserve"> </w:t>
      </w:r>
      <w:r>
        <w:t>provided</w:t>
      </w:r>
      <w:r>
        <w:rPr>
          <w:spacing w:val="-3"/>
        </w:rPr>
        <w:t xml:space="preserve"> </w:t>
      </w:r>
      <w:r>
        <w:t>it</w:t>
      </w:r>
      <w:r>
        <w:rPr>
          <w:spacing w:val="-3"/>
        </w:rPr>
        <w:t xml:space="preserve"> </w:t>
      </w:r>
      <w:r>
        <w:t>is</w:t>
      </w:r>
      <w:r>
        <w:rPr>
          <w:spacing w:val="-3"/>
        </w:rPr>
        <w:t xml:space="preserve"> </w:t>
      </w:r>
      <w:r>
        <w:t>appropriate</w:t>
      </w:r>
      <w:r>
        <w:rPr>
          <w:spacing w:val="-3"/>
        </w:rPr>
        <w:t xml:space="preserve"> </w:t>
      </w:r>
      <w:r>
        <w:t>to</w:t>
      </w:r>
      <w:r>
        <w:rPr>
          <w:spacing w:val="-3"/>
        </w:rPr>
        <w:t xml:space="preserve"> </w:t>
      </w:r>
      <w:r>
        <w:t>do</w:t>
      </w:r>
      <w:r>
        <w:rPr>
          <w:spacing w:val="-3"/>
        </w:rPr>
        <w:t xml:space="preserve"> </w:t>
      </w:r>
      <w:r>
        <w:t>so.</w:t>
      </w:r>
      <w:r>
        <w:rPr>
          <w:spacing w:val="-3"/>
        </w:rPr>
        <w:t xml:space="preserve"> </w:t>
      </w:r>
      <w:proofErr w:type="gramStart"/>
      <w:r>
        <w:t>Generally,</w:t>
      </w:r>
      <w:r>
        <w:rPr>
          <w:spacing w:val="-3"/>
        </w:rPr>
        <w:t xml:space="preserve"> </w:t>
      </w:r>
      <w:r>
        <w:t>QLS</w:t>
      </w:r>
      <w:proofErr w:type="gramEnd"/>
      <w:r>
        <w:rPr>
          <w:spacing w:val="-3"/>
        </w:rPr>
        <w:t xml:space="preserve"> </w:t>
      </w:r>
      <w:r>
        <w:t>will</w:t>
      </w:r>
      <w:r>
        <w:rPr>
          <w:spacing w:val="-3"/>
        </w:rPr>
        <w:t xml:space="preserve"> </w:t>
      </w:r>
      <w:r>
        <w:t>make</w:t>
      </w:r>
      <w:r>
        <w:rPr>
          <w:spacing w:val="-3"/>
        </w:rPr>
        <w:t xml:space="preserve"> </w:t>
      </w:r>
      <w:r>
        <w:t>further</w:t>
      </w:r>
      <w:r>
        <w:rPr>
          <w:spacing w:val="-3"/>
        </w:rPr>
        <w:t xml:space="preserve"> </w:t>
      </w:r>
      <w:r>
        <w:t>enquiries</w:t>
      </w:r>
      <w:r>
        <w:rPr>
          <w:spacing w:val="-3"/>
        </w:rPr>
        <w:t xml:space="preserve"> </w:t>
      </w:r>
      <w:r>
        <w:t>where</w:t>
      </w:r>
      <w:r>
        <w:rPr>
          <w:spacing w:val="-3"/>
        </w:rPr>
        <w:t xml:space="preserve"> </w:t>
      </w:r>
      <w:r>
        <w:t>a</w:t>
      </w:r>
      <w:r>
        <w:rPr>
          <w:spacing w:val="-3"/>
        </w:rPr>
        <w:t xml:space="preserve"> </w:t>
      </w:r>
      <w:r>
        <w:t>period</w:t>
      </w:r>
      <w:r>
        <w:rPr>
          <w:spacing w:val="-3"/>
        </w:rPr>
        <w:t xml:space="preserve"> </w:t>
      </w:r>
      <w:r>
        <w:t>of one month has elapsed since the initial enquiry was sent.</w:t>
      </w:r>
    </w:p>
    <w:p w14:paraId="5155EB94" w14:textId="77777777" w:rsidR="00AC6F3C" w:rsidRDefault="00AC6F3C">
      <w:pPr>
        <w:spacing w:line="249" w:lineRule="auto"/>
        <w:sectPr w:rsidR="00AC6F3C">
          <w:headerReference w:type="default" r:id="rId102"/>
          <w:footerReference w:type="default" r:id="rId103"/>
          <w:pgSz w:w="11910" w:h="16840"/>
          <w:pgMar w:top="1480" w:right="1160" w:bottom="520" w:left="460" w:header="1237" w:footer="336" w:gutter="0"/>
          <w:cols w:space="720"/>
        </w:sectPr>
      </w:pPr>
    </w:p>
    <w:p w14:paraId="683B62C8" w14:textId="77777777" w:rsidR="00AC6F3C" w:rsidRDefault="00570E88">
      <w:pPr>
        <w:pStyle w:val="BodyText"/>
        <w:spacing w:before="76" w:line="249" w:lineRule="auto"/>
        <w:ind w:left="815" w:right="307"/>
      </w:pPr>
      <w:r>
        <w:lastRenderedPageBreak/>
        <w:t xml:space="preserve">QLS updated its internal procedures for processing follow up delayed judgment enquiries in the 2022- 23 </w:t>
      </w:r>
      <w:proofErr w:type="gramStart"/>
      <w:r>
        <w:t>financial year</w:t>
      </w:r>
      <w:proofErr w:type="gramEnd"/>
      <w:r>
        <w:t xml:space="preserve">. Since September 2022, QLS has moved from sending ad-hoc follow up enquiries to sending follow up enquiries to the court, </w:t>
      </w:r>
      <w:proofErr w:type="gramStart"/>
      <w:r>
        <w:t>tribunal</w:t>
      </w:r>
      <w:proofErr w:type="gramEnd"/>
      <w:r>
        <w:t xml:space="preserve"> or commission on a monthly basis, where necessary, enclosing a running list of outstanding delayed judgment enquiries. Once the </w:t>
      </w:r>
      <w:proofErr w:type="gramStart"/>
      <w:r>
        <w:t>one month</w:t>
      </w:r>
      <w:proofErr w:type="gramEnd"/>
      <w:r>
        <w:t xml:space="preserve"> period has elapsed since the initial enquiry was sent, any outstanding delayed judgment enquiries remain on the follow</w:t>
      </w:r>
      <w:r>
        <w:rPr>
          <w:spacing w:val="-2"/>
        </w:rPr>
        <w:t xml:space="preserve"> </w:t>
      </w:r>
      <w:r>
        <w:t>up</w:t>
      </w:r>
      <w:r>
        <w:rPr>
          <w:spacing w:val="-2"/>
        </w:rPr>
        <w:t xml:space="preserve"> </w:t>
      </w:r>
      <w:r>
        <w:t>list</w:t>
      </w:r>
      <w:r>
        <w:rPr>
          <w:spacing w:val="-2"/>
        </w:rPr>
        <w:t xml:space="preserve"> </w:t>
      </w:r>
      <w:r>
        <w:t>until</w:t>
      </w:r>
      <w:r>
        <w:rPr>
          <w:spacing w:val="-2"/>
        </w:rPr>
        <w:t xml:space="preserve"> </w:t>
      </w:r>
      <w:r>
        <w:t>judgment</w:t>
      </w:r>
      <w:r>
        <w:rPr>
          <w:spacing w:val="-2"/>
        </w:rPr>
        <w:t xml:space="preserve"> </w:t>
      </w:r>
      <w:r>
        <w:t>is</w:t>
      </w:r>
      <w:r>
        <w:rPr>
          <w:spacing w:val="-2"/>
        </w:rPr>
        <w:t xml:space="preserve"> </w:t>
      </w:r>
      <w:r>
        <w:t>received</w:t>
      </w:r>
      <w:r>
        <w:rPr>
          <w:spacing w:val="-2"/>
        </w:rPr>
        <w:t xml:space="preserve"> </w:t>
      </w:r>
      <w:r>
        <w:t>or</w:t>
      </w:r>
      <w:r>
        <w:rPr>
          <w:spacing w:val="-2"/>
        </w:rPr>
        <w:t xml:space="preserve"> </w:t>
      </w:r>
      <w:r>
        <w:t>a</w:t>
      </w:r>
      <w:r>
        <w:rPr>
          <w:spacing w:val="-2"/>
        </w:rPr>
        <w:t xml:space="preserve"> </w:t>
      </w:r>
      <w:r>
        <w:t>response</w:t>
      </w:r>
      <w:r>
        <w:rPr>
          <w:spacing w:val="-2"/>
        </w:rPr>
        <w:t xml:space="preserve"> </w:t>
      </w:r>
      <w:r>
        <w:t>is</w:t>
      </w:r>
      <w:r>
        <w:rPr>
          <w:spacing w:val="-2"/>
        </w:rPr>
        <w:t xml:space="preserve"> </w:t>
      </w:r>
      <w:r>
        <w:t>received</w:t>
      </w:r>
      <w:r>
        <w:rPr>
          <w:spacing w:val="-2"/>
        </w:rPr>
        <w:t xml:space="preserve"> </w:t>
      </w:r>
      <w:r>
        <w:t>from</w:t>
      </w:r>
      <w:r>
        <w:rPr>
          <w:spacing w:val="-2"/>
        </w:rPr>
        <w:t xml:space="preserve"> </w:t>
      </w:r>
      <w:r>
        <w:t>the</w:t>
      </w:r>
      <w:r>
        <w:rPr>
          <w:spacing w:val="-2"/>
        </w:rPr>
        <w:t xml:space="preserve"> </w:t>
      </w:r>
      <w:r>
        <w:t>court,</w:t>
      </w:r>
      <w:r>
        <w:rPr>
          <w:spacing w:val="-2"/>
        </w:rPr>
        <w:t xml:space="preserve"> </w:t>
      </w:r>
      <w:r>
        <w:t>tribunal</w:t>
      </w:r>
      <w:r>
        <w:rPr>
          <w:spacing w:val="-2"/>
        </w:rPr>
        <w:t xml:space="preserve"> </w:t>
      </w:r>
      <w:r>
        <w:t>or</w:t>
      </w:r>
      <w:r>
        <w:rPr>
          <w:spacing w:val="-2"/>
        </w:rPr>
        <w:t xml:space="preserve"> </w:t>
      </w:r>
      <w:r>
        <w:t>commission.</w:t>
      </w:r>
    </w:p>
    <w:p w14:paraId="49498093" w14:textId="77777777" w:rsidR="00AC6F3C" w:rsidRDefault="00570E88">
      <w:pPr>
        <w:pStyle w:val="BodyText"/>
        <w:spacing w:before="174" w:line="249" w:lineRule="auto"/>
        <w:ind w:left="815" w:right="234"/>
      </w:pPr>
      <w:r>
        <w:t xml:space="preserve">In the 2022-23 </w:t>
      </w:r>
      <w:proofErr w:type="gramStart"/>
      <w:r>
        <w:t>financial year</w:t>
      </w:r>
      <w:proofErr w:type="gramEnd"/>
      <w:r>
        <w:t>, QLS received and processed 68 delayed judgment applications and a further</w:t>
      </w:r>
      <w:r>
        <w:rPr>
          <w:spacing w:val="-3"/>
        </w:rPr>
        <w:t xml:space="preserve"> </w:t>
      </w:r>
      <w:r>
        <w:t>22</w:t>
      </w:r>
      <w:r>
        <w:rPr>
          <w:spacing w:val="-3"/>
        </w:rPr>
        <w:t xml:space="preserve"> </w:t>
      </w:r>
      <w:r>
        <w:t>monthly</w:t>
      </w:r>
      <w:r>
        <w:rPr>
          <w:spacing w:val="-3"/>
        </w:rPr>
        <w:t xml:space="preserve"> </w:t>
      </w:r>
      <w:r>
        <w:t>follow-up</w:t>
      </w:r>
      <w:r>
        <w:rPr>
          <w:spacing w:val="-3"/>
        </w:rPr>
        <w:t xml:space="preserve"> </w:t>
      </w:r>
      <w:r>
        <w:t>enquiries.</w:t>
      </w:r>
      <w:r>
        <w:rPr>
          <w:spacing w:val="-3"/>
        </w:rPr>
        <w:t xml:space="preserve"> </w:t>
      </w:r>
      <w:r>
        <w:t>In</w:t>
      </w:r>
      <w:r>
        <w:rPr>
          <w:spacing w:val="-3"/>
        </w:rPr>
        <w:t xml:space="preserve"> </w:t>
      </w:r>
      <w:r>
        <w:t>total,</w:t>
      </w:r>
      <w:r>
        <w:rPr>
          <w:spacing w:val="-3"/>
        </w:rPr>
        <w:t xml:space="preserve"> </w:t>
      </w:r>
      <w:r>
        <w:t>QLS</w:t>
      </w:r>
      <w:r>
        <w:rPr>
          <w:spacing w:val="-3"/>
        </w:rPr>
        <w:t xml:space="preserve"> </w:t>
      </w:r>
      <w:r>
        <w:t>made</w:t>
      </w:r>
      <w:r>
        <w:rPr>
          <w:spacing w:val="-3"/>
        </w:rPr>
        <w:t xml:space="preserve"> </w:t>
      </w:r>
      <w:proofErr w:type="gramStart"/>
      <w:r>
        <w:t>90</w:t>
      </w:r>
      <w:proofErr w:type="gramEnd"/>
      <w:r>
        <w:rPr>
          <w:spacing w:val="-3"/>
        </w:rPr>
        <w:t xml:space="preserve"> </w:t>
      </w:r>
      <w:r>
        <w:t>delayed</w:t>
      </w:r>
      <w:r>
        <w:rPr>
          <w:spacing w:val="-3"/>
        </w:rPr>
        <w:t xml:space="preserve"> </w:t>
      </w:r>
      <w:r>
        <w:t>judgment</w:t>
      </w:r>
      <w:r>
        <w:rPr>
          <w:spacing w:val="-3"/>
        </w:rPr>
        <w:t xml:space="preserve"> </w:t>
      </w:r>
      <w:r>
        <w:t>enquiries</w:t>
      </w:r>
      <w:r>
        <w:rPr>
          <w:spacing w:val="-3"/>
        </w:rPr>
        <w:t xml:space="preserve"> </w:t>
      </w:r>
      <w:r>
        <w:t>with</w:t>
      </w:r>
      <w:r>
        <w:rPr>
          <w:spacing w:val="-3"/>
        </w:rPr>
        <w:t xml:space="preserve"> </w:t>
      </w:r>
      <w:r>
        <w:t>state</w:t>
      </w:r>
      <w:r>
        <w:rPr>
          <w:spacing w:val="-3"/>
        </w:rPr>
        <w:t xml:space="preserve"> </w:t>
      </w:r>
      <w:r>
        <w:t>and federal courts, tribunals and commissions in the 2022-23 financial year.</w:t>
      </w:r>
    </w:p>
    <w:p w14:paraId="23D67327" w14:textId="77777777" w:rsidR="00AC6F3C" w:rsidRDefault="00570E88">
      <w:pPr>
        <w:pStyle w:val="BodyText"/>
        <w:spacing w:before="173" w:line="249" w:lineRule="auto"/>
        <w:ind w:left="815" w:right="234"/>
      </w:pPr>
      <w:r>
        <w:t>In</w:t>
      </w:r>
      <w:r>
        <w:rPr>
          <w:spacing w:val="-2"/>
        </w:rPr>
        <w:t xml:space="preserve"> </w:t>
      </w:r>
      <w:proofErr w:type="gramStart"/>
      <w:r>
        <w:t>a</w:t>
      </w:r>
      <w:r>
        <w:rPr>
          <w:spacing w:val="-2"/>
        </w:rPr>
        <w:t xml:space="preserve"> </w:t>
      </w:r>
      <w:r>
        <w:t>majority</w:t>
      </w:r>
      <w:r>
        <w:rPr>
          <w:spacing w:val="-2"/>
        </w:rPr>
        <w:t xml:space="preserve"> </w:t>
      </w:r>
      <w:r>
        <w:t>of</w:t>
      </w:r>
      <w:proofErr w:type="gramEnd"/>
      <w:r>
        <w:rPr>
          <w:spacing w:val="-2"/>
        </w:rPr>
        <w:t xml:space="preserve"> </w:t>
      </w:r>
      <w:r>
        <w:t>applications,</w:t>
      </w:r>
      <w:r>
        <w:rPr>
          <w:spacing w:val="-2"/>
        </w:rPr>
        <w:t xml:space="preserve"> </w:t>
      </w:r>
      <w:r>
        <w:t>QLS</w:t>
      </w:r>
      <w:r>
        <w:rPr>
          <w:spacing w:val="-2"/>
        </w:rPr>
        <w:t xml:space="preserve"> </w:t>
      </w:r>
      <w:r>
        <w:t>received</w:t>
      </w:r>
      <w:r>
        <w:rPr>
          <w:spacing w:val="-2"/>
        </w:rPr>
        <w:t xml:space="preserve"> </w:t>
      </w:r>
      <w:r>
        <w:t>a</w:t>
      </w:r>
      <w:r>
        <w:rPr>
          <w:spacing w:val="-2"/>
        </w:rPr>
        <w:t xml:space="preserve"> </w:t>
      </w:r>
      <w:r>
        <w:t>response</w:t>
      </w:r>
      <w:r>
        <w:rPr>
          <w:spacing w:val="-2"/>
        </w:rPr>
        <w:t xml:space="preserve"> </w:t>
      </w:r>
      <w:r>
        <w:t>from</w:t>
      </w:r>
      <w:r>
        <w:rPr>
          <w:spacing w:val="-2"/>
        </w:rPr>
        <w:t xml:space="preserve"> </w:t>
      </w:r>
      <w:r>
        <w:t>the</w:t>
      </w:r>
      <w:r>
        <w:rPr>
          <w:spacing w:val="-2"/>
        </w:rPr>
        <w:t xml:space="preserve"> </w:t>
      </w:r>
      <w:r>
        <w:t>relevant</w:t>
      </w:r>
      <w:r>
        <w:rPr>
          <w:spacing w:val="-2"/>
        </w:rPr>
        <w:t xml:space="preserve"> </w:t>
      </w:r>
      <w:r>
        <w:t>head</w:t>
      </w:r>
      <w:r>
        <w:rPr>
          <w:spacing w:val="-2"/>
        </w:rPr>
        <w:t xml:space="preserve"> </w:t>
      </w:r>
      <w:r>
        <w:t>of</w:t>
      </w:r>
      <w:r>
        <w:rPr>
          <w:spacing w:val="-2"/>
        </w:rPr>
        <w:t xml:space="preserve"> </w:t>
      </w:r>
      <w:r>
        <w:t>jurisdiction,</w:t>
      </w:r>
      <w:r>
        <w:rPr>
          <w:spacing w:val="-2"/>
        </w:rPr>
        <w:t xml:space="preserve"> </w:t>
      </w:r>
      <w:r>
        <w:t>with</w:t>
      </w:r>
      <w:r>
        <w:rPr>
          <w:spacing w:val="-2"/>
        </w:rPr>
        <w:t xml:space="preserve"> </w:t>
      </w:r>
      <w:r>
        <w:t>51%</w:t>
      </w:r>
      <w:r>
        <w:rPr>
          <w:spacing w:val="-2"/>
        </w:rPr>
        <w:t xml:space="preserve"> </w:t>
      </w:r>
      <w:r>
        <w:t>of all delayed judgment applications receiving a response from the court, tribunal or commission.</w:t>
      </w:r>
    </w:p>
    <w:p w14:paraId="750C5A49" w14:textId="77777777" w:rsidR="00AC6F3C" w:rsidRDefault="00AC6F3C">
      <w:pPr>
        <w:pStyle w:val="BodyText"/>
        <w:rPr>
          <w:sz w:val="26"/>
        </w:rPr>
      </w:pPr>
    </w:p>
    <w:tbl>
      <w:tblPr>
        <w:tblW w:w="0" w:type="auto"/>
        <w:tblInd w:w="823" w:type="dxa"/>
        <w:tblLayout w:type="fixed"/>
        <w:tblCellMar>
          <w:left w:w="0" w:type="dxa"/>
          <w:right w:w="0" w:type="dxa"/>
        </w:tblCellMar>
        <w:tblLook w:val="01E0" w:firstRow="1" w:lastRow="1" w:firstColumn="1" w:lastColumn="1" w:noHBand="0" w:noVBand="0"/>
      </w:tblPr>
      <w:tblGrid>
        <w:gridCol w:w="5212"/>
        <w:gridCol w:w="1421"/>
        <w:gridCol w:w="1361"/>
        <w:gridCol w:w="1361"/>
      </w:tblGrid>
      <w:tr w:rsidR="00AC6F3C" w14:paraId="1EA0B61C" w14:textId="77777777">
        <w:trPr>
          <w:trHeight w:val="592"/>
        </w:trPr>
        <w:tc>
          <w:tcPr>
            <w:tcW w:w="5212" w:type="dxa"/>
            <w:tcBorders>
              <w:top w:val="single" w:sz="8" w:space="0" w:color="000000"/>
              <w:bottom w:val="single" w:sz="8" w:space="0" w:color="000000"/>
            </w:tcBorders>
          </w:tcPr>
          <w:p w14:paraId="75F0886B" w14:textId="77777777" w:rsidR="00AC6F3C" w:rsidRDefault="00570E88">
            <w:pPr>
              <w:pStyle w:val="TableParagraph"/>
              <w:spacing w:before="181"/>
              <w:ind w:left="113"/>
              <w:rPr>
                <w:b/>
                <w:sz w:val="20"/>
              </w:rPr>
            </w:pPr>
            <w:proofErr w:type="gramStart"/>
            <w:r>
              <w:rPr>
                <w:b/>
                <w:spacing w:val="-2"/>
                <w:sz w:val="20"/>
              </w:rPr>
              <w:t>Jurisdiction</w:t>
            </w:r>
            <w:proofErr w:type="gramEnd"/>
          </w:p>
        </w:tc>
        <w:tc>
          <w:tcPr>
            <w:tcW w:w="1421" w:type="dxa"/>
            <w:tcBorders>
              <w:top w:val="single" w:sz="8" w:space="0" w:color="000000"/>
              <w:bottom w:val="single" w:sz="8" w:space="0" w:color="000000"/>
            </w:tcBorders>
          </w:tcPr>
          <w:p w14:paraId="27AE7246" w14:textId="77777777" w:rsidR="00AC6F3C" w:rsidRDefault="00570E88">
            <w:pPr>
              <w:pStyle w:val="TableParagraph"/>
              <w:spacing w:before="61" w:line="249" w:lineRule="auto"/>
              <w:ind w:left="296" w:firstLine="183"/>
              <w:rPr>
                <w:b/>
                <w:sz w:val="20"/>
              </w:rPr>
            </w:pPr>
            <w:r>
              <w:rPr>
                <w:b/>
                <w:spacing w:val="-2"/>
                <w:sz w:val="20"/>
              </w:rPr>
              <w:t>Initial enquiries</w:t>
            </w:r>
          </w:p>
        </w:tc>
        <w:tc>
          <w:tcPr>
            <w:tcW w:w="1361" w:type="dxa"/>
            <w:tcBorders>
              <w:top w:val="single" w:sz="8" w:space="0" w:color="000000"/>
              <w:bottom w:val="single" w:sz="8" w:space="0" w:color="000000"/>
            </w:tcBorders>
          </w:tcPr>
          <w:p w14:paraId="6A62B594" w14:textId="77777777" w:rsidR="00AC6F3C" w:rsidRDefault="00570E88">
            <w:pPr>
              <w:pStyle w:val="TableParagraph"/>
              <w:spacing w:before="61" w:line="249" w:lineRule="auto"/>
              <w:ind w:left="235" w:right="208" w:hanging="22"/>
              <w:rPr>
                <w:b/>
                <w:sz w:val="20"/>
              </w:rPr>
            </w:pPr>
            <w:r>
              <w:rPr>
                <w:b/>
                <w:sz w:val="20"/>
              </w:rPr>
              <w:t>Follow</w:t>
            </w:r>
            <w:r>
              <w:rPr>
                <w:b/>
                <w:spacing w:val="-14"/>
                <w:sz w:val="20"/>
              </w:rPr>
              <w:t xml:space="preserve"> </w:t>
            </w:r>
            <w:r>
              <w:rPr>
                <w:b/>
                <w:sz w:val="20"/>
              </w:rPr>
              <w:t xml:space="preserve">up </w:t>
            </w:r>
            <w:r>
              <w:rPr>
                <w:b/>
                <w:spacing w:val="-2"/>
                <w:sz w:val="20"/>
              </w:rPr>
              <w:t>enquiries</w:t>
            </w:r>
          </w:p>
        </w:tc>
        <w:tc>
          <w:tcPr>
            <w:tcW w:w="1361" w:type="dxa"/>
            <w:tcBorders>
              <w:top w:val="single" w:sz="8" w:space="0" w:color="000000"/>
              <w:bottom w:val="single" w:sz="8" w:space="0" w:color="000000"/>
            </w:tcBorders>
          </w:tcPr>
          <w:p w14:paraId="67DCD9E9" w14:textId="77777777" w:rsidR="00AC6F3C" w:rsidRDefault="00570E88">
            <w:pPr>
              <w:pStyle w:val="TableParagraph"/>
              <w:spacing w:before="61" w:line="249" w:lineRule="auto"/>
              <w:ind w:left="235" w:right="208" w:firstLine="213"/>
              <w:rPr>
                <w:b/>
                <w:sz w:val="20"/>
              </w:rPr>
            </w:pPr>
            <w:r>
              <w:rPr>
                <w:b/>
                <w:spacing w:val="-4"/>
                <w:sz w:val="20"/>
              </w:rPr>
              <w:t xml:space="preserve">Total </w:t>
            </w:r>
            <w:r>
              <w:rPr>
                <w:b/>
                <w:spacing w:val="-2"/>
                <w:sz w:val="20"/>
              </w:rPr>
              <w:t>enquiries</w:t>
            </w:r>
          </w:p>
        </w:tc>
      </w:tr>
      <w:tr w:rsidR="00AC6F3C" w14:paraId="7FA6B2CD" w14:textId="77777777">
        <w:trPr>
          <w:trHeight w:val="367"/>
        </w:trPr>
        <w:tc>
          <w:tcPr>
            <w:tcW w:w="5212" w:type="dxa"/>
            <w:tcBorders>
              <w:top w:val="single" w:sz="8" w:space="0" w:color="000000"/>
              <w:bottom w:val="single" w:sz="2" w:space="0" w:color="000000"/>
            </w:tcBorders>
          </w:tcPr>
          <w:p w14:paraId="16770A52" w14:textId="77777777" w:rsidR="00AC6F3C" w:rsidRDefault="00570E88">
            <w:pPr>
              <w:pStyle w:val="TableParagraph"/>
              <w:spacing w:before="69"/>
              <w:ind w:left="113"/>
              <w:rPr>
                <w:sz w:val="20"/>
              </w:rPr>
            </w:pPr>
            <w:r>
              <w:rPr>
                <w:sz w:val="20"/>
              </w:rPr>
              <w:t xml:space="preserve">District Court of </w:t>
            </w:r>
            <w:r>
              <w:rPr>
                <w:spacing w:val="-2"/>
                <w:sz w:val="20"/>
              </w:rPr>
              <w:t>Queensland</w:t>
            </w:r>
          </w:p>
        </w:tc>
        <w:tc>
          <w:tcPr>
            <w:tcW w:w="1421" w:type="dxa"/>
            <w:tcBorders>
              <w:top w:val="single" w:sz="8" w:space="0" w:color="000000"/>
              <w:bottom w:val="single" w:sz="2" w:space="0" w:color="000000"/>
            </w:tcBorders>
          </w:tcPr>
          <w:p w14:paraId="6FD39D77" w14:textId="77777777" w:rsidR="00AC6F3C" w:rsidRDefault="00570E88">
            <w:pPr>
              <w:pStyle w:val="TableParagraph"/>
              <w:spacing w:before="69"/>
              <w:ind w:left="614" w:right="554"/>
              <w:jc w:val="center"/>
              <w:rPr>
                <w:sz w:val="20"/>
              </w:rPr>
            </w:pPr>
            <w:r>
              <w:rPr>
                <w:spacing w:val="-5"/>
                <w:sz w:val="20"/>
              </w:rPr>
              <w:t>10</w:t>
            </w:r>
          </w:p>
        </w:tc>
        <w:tc>
          <w:tcPr>
            <w:tcW w:w="1361" w:type="dxa"/>
            <w:tcBorders>
              <w:top w:val="single" w:sz="8" w:space="0" w:color="000000"/>
              <w:bottom w:val="single" w:sz="2" w:space="0" w:color="000000"/>
            </w:tcBorders>
          </w:tcPr>
          <w:p w14:paraId="244CC87B" w14:textId="77777777" w:rsidR="00AC6F3C" w:rsidRDefault="00570E88">
            <w:pPr>
              <w:pStyle w:val="TableParagraph"/>
              <w:spacing w:before="69"/>
              <w:jc w:val="center"/>
              <w:rPr>
                <w:sz w:val="20"/>
              </w:rPr>
            </w:pPr>
            <w:r>
              <w:rPr>
                <w:sz w:val="20"/>
              </w:rPr>
              <w:t>5</w:t>
            </w:r>
          </w:p>
        </w:tc>
        <w:tc>
          <w:tcPr>
            <w:tcW w:w="1361" w:type="dxa"/>
            <w:tcBorders>
              <w:top w:val="single" w:sz="8" w:space="0" w:color="000000"/>
              <w:bottom w:val="single" w:sz="2" w:space="0" w:color="000000"/>
            </w:tcBorders>
          </w:tcPr>
          <w:p w14:paraId="30B3E00A" w14:textId="77777777" w:rsidR="00AC6F3C" w:rsidRDefault="00570E88">
            <w:pPr>
              <w:pStyle w:val="TableParagraph"/>
              <w:spacing w:before="69"/>
              <w:ind w:left="568"/>
              <w:rPr>
                <w:sz w:val="20"/>
              </w:rPr>
            </w:pPr>
            <w:r>
              <w:rPr>
                <w:spacing w:val="-5"/>
                <w:sz w:val="20"/>
              </w:rPr>
              <w:t>15</w:t>
            </w:r>
          </w:p>
        </w:tc>
      </w:tr>
      <w:tr w:rsidR="00AC6F3C" w14:paraId="1BE793A2" w14:textId="77777777">
        <w:trPr>
          <w:trHeight w:val="367"/>
        </w:trPr>
        <w:tc>
          <w:tcPr>
            <w:tcW w:w="5212" w:type="dxa"/>
            <w:tcBorders>
              <w:top w:val="single" w:sz="2" w:space="0" w:color="000000"/>
              <w:bottom w:val="single" w:sz="2" w:space="0" w:color="000000"/>
            </w:tcBorders>
          </w:tcPr>
          <w:p w14:paraId="39265424" w14:textId="77777777" w:rsidR="00AC6F3C" w:rsidRDefault="00570E88">
            <w:pPr>
              <w:pStyle w:val="TableParagraph"/>
              <w:spacing w:before="69"/>
              <w:ind w:left="113"/>
              <w:rPr>
                <w:sz w:val="20"/>
              </w:rPr>
            </w:pPr>
            <w:r>
              <w:rPr>
                <w:sz w:val="20"/>
              </w:rPr>
              <w:t>Federal</w:t>
            </w:r>
            <w:r>
              <w:rPr>
                <w:spacing w:val="-2"/>
                <w:sz w:val="20"/>
              </w:rPr>
              <w:t xml:space="preserve"> </w:t>
            </w:r>
            <w:r>
              <w:rPr>
                <w:sz w:val="20"/>
              </w:rPr>
              <w:t>Circuit</w:t>
            </w:r>
            <w:r>
              <w:rPr>
                <w:spacing w:val="-1"/>
                <w:sz w:val="20"/>
              </w:rPr>
              <w:t xml:space="preserve"> </w:t>
            </w:r>
            <w:r>
              <w:rPr>
                <w:sz w:val="20"/>
              </w:rPr>
              <w:t>and</w:t>
            </w:r>
            <w:r>
              <w:rPr>
                <w:spacing w:val="-2"/>
                <w:sz w:val="20"/>
              </w:rPr>
              <w:t xml:space="preserve"> </w:t>
            </w:r>
            <w:r>
              <w:rPr>
                <w:sz w:val="20"/>
              </w:rPr>
              <w:t>Family</w:t>
            </w:r>
            <w:r>
              <w:rPr>
                <w:spacing w:val="-1"/>
                <w:sz w:val="20"/>
              </w:rPr>
              <w:t xml:space="preserve"> </w:t>
            </w:r>
            <w:r>
              <w:rPr>
                <w:sz w:val="20"/>
              </w:rPr>
              <w:t>Court</w:t>
            </w:r>
            <w:r>
              <w:rPr>
                <w:spacing w:val="-1"/>
                <w:sz w:val="20"/>
              </w:rPr>
              <w:t xml:space="preserve"> </w:t>
            </w:r>
            <w:r>
              <w:rPr>
                <w:sz w:val="20"/>
              </w:rPr>
              <w:t>of</w:t>
            </w:r>
            <w:r>
              <w:rPr>
                <w:spacing w:val="-12"/>
                <w:sz w:val="20"/>
              </w:rPr>
              <w:t xml:space="preserve"> </w:t>
            </w:r>
            <w:r>
              <w:rPr>
                <w:spacing w:val="-2"/>
                <w:sz w:val="20"/>
              </w:rPr>
              <w:t>Australia</w:t>
            </w:r>
          </w:p>
        </w:tc>
        <w:tc>
          <w:tcPr>
            <w:tcW w:w="1421" w:type="dxa"/>
            <w:tcBorders>
              <w:top w:val="single" w:sz="2" w:space="0" w:color="000000"/>
              <w:bottom w:val="single" w:sz="2" w:space="0" w:color="000000"/>
            </w:tcBorders>
          </w:tcPr>
          <w:p w14:paraId="0E76B1B0" w14:textId="77777777" w:rsidR="00AC6F3C" w:rsidRDefault="00570E88">
            <w:pPr>
              <w:pStyle w:val="TableParagraph"/>
              <w:spacing w:before="69"/>
              <w:ind w:left="60"/>
              <w:jc w:val="center"/>
              <w:rPr>
                <w:sz w:val="20"/>
              </w:rPr>
            </w:pPr>
            <w:r>
              <w:rPr>
                <w:sz w:val="20"/>
              </w:rPr>
              <w:t>8</w:t>
            </w:r>
          </w:p>
        </w:tc>
        <w:tc>
          <w:tcPr>
            <w:tcW w:w="1361" w:type="dxa"/>
            <w:tcBorders>
              <w:top w:val="single" w:sz="2" w:space="0" w:color="000000"/>
              <w:bottom w:val="single" w:sz="2" w:space="0" w:color="000000"/>
            </w:tcBorders>
          </w:tcPr>
          <w:p w14:paraId="7A8B60C9" w14:textId="77777777" w:rsidR="00AC6F3C" w:rsidRDefault="00570E88">
            <w:pPr>
              <w:pStyle w:val="TableParagraph"/>
              <w:spacing w:before="69"/>
              <w:jc w:val="center"/>
              <w:rPr>
                <w:sz w:val="20"/>
              </w:rPr>
            </w:pPr>
            <w:r>
              <w:rPr>
                <w:sz w:val="20"/>
              </w:rPr>
              <w:t>3</w:t>
            </w:r>
          </w:p>
        </w:tc>
        <w:tc>
          <w:tcPr>
            <w:tcW w:w="1361" w:type="dxa"/>
            <w:tcBorders>
              <w:top w:val="single" w:sz="2" w:space="0" w:color="000000"/>
              <w:bottom w:val="single" w:sz="2" w:space="0" w:color="000000"/>
            </w:tcBorders>
          </w:tcPr>
          <w:p w14:paraId="500CF388" w14:textId="77777777" w:rsidR="00AC6F3C" w:rsidRDefault="00570E88">
            <w:pPr>
              <w:pStyle w:val="TableParagraph"/>
              <w:spacing w:before="69"/>
              <w:ind w:left="576"/>
              <w:rPr>
                <w:sz w:val="20"/>
              </w:rPr>
            </w:pPr>
            <w:r>
              <w:rPr>
                <w:spacing w:val="-5"/>
                <w:sz w:val="20"/>
              </w:rPr>
              <w:t>11</w:t>
            </w:r>
          </w:p>
        </w:tc>
      </w:tr>
      <w:tr w:rsidR="00AC6F3C" w14:paraId="58D47B20" w14:textId="77777777">
        <w:trPr>
          <w:trHeight w:val="367"/>
        </w:trPr>
        <w:tc>
          <w:tcPr>
            <w:tcW w:w="5212" w:type="dxa"/>
            <w:tcBorders>
              <w:top w:val="single" w:sz="2" w:space="0" w:color="000000"/>
              <w:bottom w:val="single" w:sz="2" w:space="0" w:color="000000"/>
            </w:tcBorders>
          </w:tcPr>
          <w:p w14:paraId="1E175E8F" w14:textId="77777777" w:rsidR="00AC6F3C" w:rsidRDefault="00570E88">
            <w:pPr>
              <w:pStyle w:val="TableParagraph"/>
              <w:spacing w:before="69"/>
              <w:ind w:left="113"/>
              <w:rPr>
                <w:sz w:val="20"/>
              </w:rPr>
            </w:pPr>
            <w:r>
              <w:rPr>
                <w:sz w:val="20"/>
              </w:rPr>
              <w:t>Federal</w:t>
            </w:r>
            <w:r>
              <w:rPr>
                <w:spacing w:val="-3"/>
                <w:sz w:val="20"/>
              </w:rPr>
              <w:t xml:space="preserve"> </w:t>
            </w:r>
            <w:r>
              <w:rPr>
                <w:sz w:val="20"/>
              </w:rPr>
              <w:t>Court</w:t>
            </w:r>
            <w:r>
              <w:rPr>
                <w:spacing w:val="-2"/>
                <w:sz w:val="20"/>
              </w:rPr>
              <w:t xml:space="preserve"> </w:t>
            </w:r>
            <w:r>
              <w:rPr>
                <w:sz w:val="20"/>
              </w:rPr>
              <w:t>of</w:t>
            </w:r>
            <w:r>
              <w:rPr>
                <w:spacing w:val="-12"/>
                <w:sz w:val="20"/>
              </w:rPr>
              <w:t xml:space="preserve"> </w:t>
            </w:r>
            <w:r>
              <w:rPr>
                <w:spacing w:val="-2"/>
                <w:sz w:val="20"/>
              </w:rPr>
              <w:t>Australia</w:t>
            </w:r>
          </w:p>
        </w:tc>
        <w:tc>
          <w:tcPr>
            <w:tcW w:w="1421" w:type="dxa"/>
            <w:tcBorders>
              <w:top w:val="single" w:sz="2" w:space="0" w:color="000000"/>
              <w:bottom w:val="single" w:sz="2" w:space="0" w:color="000000"/>
            </w:tcBorders>
          </w:tcPr>
          <w:p w14:paraId="019349FA" w14:textId="77777777" w:rsidR="00AC6F3C" w:rsidRDefault="00570E88">
            <w:pPr>
              <w:pStyle w:val="TableParagraph"/>
              <w:spacing w:before="69"/>
              <w:ind w:left="60"/>
              <w:jc w:val="center"/>
              <w:rPr>
                <w:sz w:val="20"/>
              </w:rPr>
            </w:pPr>
            <w:r>
              <w:rPr>
                <w:sz w:val="20"/>
              </w:rPr>
              <w:t>3</w:t>
            </w:r>
          </w:p>
        </w:tc>
        <w:tc>
          <w:tcPr>
            <w:tcW w:w="1361" w:type="dxa"/>
            <w:tcBorders>
              <w:top w:val="single" w:sz="2" w:space="0" w:color="000000"/>
              <w:bottom w:val="single" w:sz="2" w:space="0" w:color="000000"/>
            </w:tcBorders>
          </w:tcPr>
          <w:p w14:paraId="0A89ADE0" w14:textId="77777777" w:rsidR="00AC6F3C" w:rsidRDefault="00570E88">
            <w:pPr>
              <w:pStyle w:val="TableParagraph"/>
              <w:spacing w:before="69"/>
              <w:jc w:val="center"/>
              <w:rPr>
                <w:sz w:val="20"/>
              </w:rPr>
            </w:pPr>
            <w:r>
              <w:rPr>
                <w:sz w:val="20"/>
              </w:rPr>
              <w:t>1</w:t>
            </w:r>
          </w:p>
        </w:tc>
        <w:tc>
          <w:tcPr>
            <w:tcW w:w="1361" w:type="dxa"/>
            <w:tcBorders>
              <w:top w:val="single" w:sz="2" w:space="0" w:color="000000"/>
              <w:bottom w:val="single" w:sz="2" w:space="0" w:color="000000"/>
            </w:tcBorders>
          </w:tcPr>
          <w:p w14:paraId="5EE02ABD" w14:textId="77777777" w:rsidR="00AC6F3C" w:rsidRDefault="00570E88">
            <w:pPr>
              <w:pStyle w:val="TableParagraph"/>
              <w:spacing w:before="69"/>
              <w:ind w:left="624"/>
              <w:rPr>
                <w:sz w:val="20"/>
              </w:rPr>
            </w:pPr>
            <w:r>
              <w:rPr>
                <w:sz w:val="20"/>
              </w:rPr>
              <w:t>4</w:t>
            </w:r>
          </w:p>
        </w:tc>
      </w:tr>
      <w:tr w:rsidR="00AC6F3C" w14:paraId="5A309F4C" w14:textId="77777777">
        <w:trPr>
          <w:trHeight w:val="367"/>
        </w:trPr>
        <w:tc>
          <w:tcPr>
            <w:tcW w:w="5212" w:type="dxa"/>
            <w:tcBorders>
              <w:top w:val="single" w:sz="2" w:space="0" w:color="000000"/>
              <w:bottom w:val="single" w:sz="2" w:space="0" w:color="000000"/>
            </w:tcBorders>
          </w:tcPr>
          <w:p w14:paraId="6A845057" w14:textId="77777777" w:rsidR="00AC6F3C" w:rsidRDefault="00570E88">
            <w:pPr>
              <w:pStyle w:val="TableParagraph"/>
              <w:spacing w:before="69"/>
              <w:ind w:left="113"/>
              <w:rPr>
                <w:sz w:val="20"/>
              </w:rPr>
            </w:pPr>
            <w:r>
              <w:rPr>
                <w:sz w:val="20"/>
              </w:rPr>
              <w:t xml:space="preserve">Magistrates Courts of </w:t>
            </w:r>
            <w:r>
              <w:rPr>
                <w:spacing w:val="-2"/>
                <w:sz w:val="20"/>
              </w:rPr>
              <w:t>Queensland</w:t>
            </w:r>
          </w:p>
        </w:tc>
        <w:tc>
          <w:tcPr>
            <w:tcW w:w="1421" w:type="dxa"/>
            <w:tcBorders>
              <w:top w:val="single" w:sz="2" w:space="0" w:color="000000"/>
              <w:bottom w:val="single" w:sz="2" w:space="0" w:color="000000"/>
            </w:tcBorders>
          </w:tcPr>
          <w:p w14:paraId="710B1203" w14:textId="77777777" w:rsidR="00AC6F3C" w:rsidRDefault="00570E88">
            <w:pPr>
              <w:pStyle w:val="TableParagraph"/>
              <w:spacing w:before="69"/>
              <w:ind w:left="60"/>
              <w:jc w:val="center"/>
              <w:rPr>
                <w:sz w:val="20"/>
              </w:rPr>
            </w:pPr>
            <w:r>
              <w:rPr>
                <w:sz w:val="20"/>
              </w:rPr>
              <w:t>2</w:t>
            </w:r>
          </w:p>
        </w:tc>
        <w:tc>
          <w:tcPr>
            <w:tcW w:w="1361" w:type="dxa"/>
            <w:tcBorders>
              <w:top w:val="single" w:sz="2" w:space="0" w:color="000000"/>
              <w:bottom w:val="single" w:sz="2" w:space="0" w:color="000000"/>
            </w:tcBorders>
          </w:tcPr>
          <w:p w14:paraId="50BEF952" w14:textId="77777777" w:rsidR="00AC6F3C" w:rsidRDefault="00570E88">
            <w:pPr>
              <w:pStyle w:val="TableParagraph"/>
              <w:spacing w:before="69"/>
              <w:jc w:val="center"/>
              <w:rPr>
                <w:sz w:val="20"/>
              </w:rPr>
            </w:pPr>
            <w:r>
              <w:rPr>
                <w:sz w:val="20"/>
              </w:rPr>
              <w:t>1</w:t>
            </w:r>
          </w:p>
        </w:tc>
        <w:tc>
          <w:tcPr>
            <w:tcW w:w="1361" w:type="dxa"/>
            <w:tcBorders>
              <w:top w:val="single" w:sz="2" w:space="0" w:color="000000"/>
              <w:bottom w:val="single" w:sz="2" w:space="0" w:color="000000"/>
            </w:tcBorders>
          </w:tcPr>
          <w:p w14:paraId="496F9EEC" w14:textId="77777777" w:rsidR="00AC6F3C" w:rsidRDefault="00570E88">
            <w:pPr>
              <w:pStyle w:val="TableParagraph"/>
              <w:spacing w:before="69"/>
              <w:ind w:left="624"/>
              <w:rPr>
                <w:sz w:val="20"/>
              </w:rPr>
            </w:pPr>
            <w:r>
              <w:rPr>
                <w:sz w:val="20"/>
              </w:rPr>
              <w:t>3</w:t>
            </w:r>
          </w:p>
        </w:tc>
      </w:tr>
      <w:tr w:rsidR="00AC6F3C" w14:paraId="7E2FCCF0" w14:textId="77777777">
        <w:trPr>
          <w:trHeight w:val="367"/>
        </w:trPr>
        <w:tc>
          <w:tcPr>
            <w:tcW w:w="5212" w:type="dxa"/>
            <w:tcBorders>
              <w:top w:val="single" w:sz="2" w:space="0" w:color="000000"/>
              <w:bottom w:val="single" w:sz="2" w:space="0" w:color="000000"/>
            </w:tcBorders>
          </w:tcPr>
          <w:p w14:paraId="165BFF1A" w14:textId="77777777" w:rsidR="00AC6F3C" w:rsidRDefault="00570E88">
            <w:pPr>
              <w:pStyle w:val="TableParagraph"/>
              <w:spacing w:before="69"/>
              <w:ind w:left="113"/>
              <w:rPr>
                <w:sz w:val="20"/>
              </w:rPr>
            </w:pPr>
            <w:r>
              <w:rPr>
                <w:sz w:val="20"/>
              </w:rPr>
              <w:t>Planning</w:t>
            </w:r>
            <w:r>
              <w:rPr>
                <w:spacing w:val="-3"/>
                <w:sz w:val="20"/>
              </w:rPr>
              <w:t xml:space="preserve"> </w:t>
            </w:r>
            <w:r>
              <w:rPr>
                <w:sz w:val="20"/>
              </w:rPr>
              <w:t>and</w:t>
            </w:r>
            <w:r>
              <w:rPr>
                <w:spacing w:val="-3"/>
                <w:sz w:val="20"/>
              </w:rPr>
              <w:t xml:space="preserve"> </w:t>
            </w:r>
            <w:r>
              <w:rPr>
                <w:sz w:val="20"/>
              </w:rPr>
              <w:t>Environment</w:t>
            </w:r>
            <w:r>
              <w:rPr>
                <w:spacing w:val="-3"/>
                <w:sz w:val="20"/>
              </w:rPr>
              <w:t xml:space="preserve"> </w:t>
            </w:r>
            <w:r>
              <w:rPr>
                <w:spacing w:val="-2"/>
                <w:sz w:val="20"/>
              </w:rPr>
              <w:t>Court</w:t>
            </w:r>
          </w:p>
        </w:tc>
        <w:tc>
          <w:tcPr>
            <w:tcW w:w="1421" w:type="dxa"/>
            <w:tcBorders>
              <w:top w:val="single" w:sz="2" w:space="0" w:color="000000"/>
              <w:bottom w:val="single" w:sz="2" w:space="0" w:color="000000"/>
            </w:tcBorders>
          </w:tcPr>
          <w:p w14:paraId="62564FC6" w14:textId="77777777" w:rsidR="00AC6F3C" w:rsidRDefault="00570E88">
            <w:pPr>
              <w:pStyle w:val="TableParagraph"/>
              <w:spacing w:before="69"/>
              <w:ind w:left="60"/>
              <w:jc w:val="center"/>
              <w:rPr>
                <w:sz w:val="20"/>
              </w:rPr>
            </w:pPr>
            <w:r>
              <w:rPr>
                <w:sz w:val="20"/>
              </w:rPr>
              <w:t>3</w:t>
            </w:r>
          </w:p>
        </w:tc>
        <w:tc>
          <w:tcPr>
            <w:tcW w:w="1361" w:type="dxa"/>
            <w:tcBorders>
              <w:top w:val="single" w:sz="2" w:space="0" w:color="000000"/>
              <w:bottom w:val="single" w:sz="2" w:space="0" w:color="000000"/>
            </w:tcBorders>
          </w:tcPr>
          <w:p w14:paraId="243F5C23" w14:textId="77777777" w:rsidR="00AC6F3C" w:rsidRDefault="00570E88">
            <w:pPr>
              <w:pStyle w:val="TableParagraph"/>
              <w:spacing w:before="69"/>
              <w:ind w:left="506" w:right="496"/>
              <w:jc w:val="center"/>
              <w:rPr>
                <w:sz w:val="20"/>
              </w:rPr>
            </w:pPr>
            <w:r>
              <w:rPr>
                <w:spacing w:val="-5"/>
                <w:sz w:val="20"/>
              </w:rPr>
              <w:t>N/A</w:t>
            </w:r>
          </w:p>
        </w:tc>
        <w:tc>
          <w:tcPr>
            <w:tcW w:w="1361" w:type="dxa"/>
            <w:tcBorders>
              <w:top w:val="single" w:sz="2" w:space="0" w:color="000000"/>
              <w:bottom w:val="single" w:sz="2" w:space="0" w:color="000000"/>
            </w:tcBorders>
          </w:tcPr>
          <w:p w14:paraId="2DBE7233" w14:textId="77777777" w:rsidR="00AC6F3C" w:rsidRDefault="00570E88">
            <w:pPr>
              <w:pStyle w:val="TableParagraph"/>
              <w:spacing w:before="69"/>
              <w:ind w:left="624"/>
              <w:rPr>
                <w:sz w:val="20"/>
              </w:rPr>
            </w:pPr>
            <w:r>
              <w:rPr>
                <w:sz w:val="20"/>
              </w:rPr>
              <w:t>3</w:t>
            </w:r>
          </w:p>
        </w:tc>
      </w:tr>
      <w:tr w:rsidR="00AC6F3C" w14:paraId="2A0B7459" w14:textId="77777777">
        <w:trPr>
          <w:trHeight w:val="367"/>
        </w:trPr>
        <w:tc>
          <w:tcPr>
            <w:tcW w:w="5212" w:type="dxa"/>
            <w:tcBorders>
              <w:top w:val="single" w:sz="2" w:space="0" w:color="000000"/>
              <w:bottom w:val="single" w:sz="2" w:space="0" w:color="000000"/>
            </w:tcBorders>
          </w:tcPr>
          <w:p w14:paraId="0AD61F28" w14:textId="77777777" w:rsidR="00AC6F3C" w:rsidRDefault="00570E88">
            <w:pPr>
              <w:pStyle w:val="TableParagraph"/>
              <w:spacing w:before="69"/>
              <w:ind w:left="113"/>
              <w:rPr>
                <w:sz w:val="20"/>
              </w:rPr>
            </w:pPr>
            <w:r>
              <w:rPr>
                <w:sz w:val="20"/>
              </w:rPr>
              <w:t>Queensland</w:t>
            </w:r>
            <w:r>
              <w:rPr>
                <w:spacing w:val="-11"/>
                <w:sz w:val="20"/>
              </w:rPr>
              <w:t xml:space="preserve"> </w:t>
            </w:r>
            <w:r>
              <w:rPr>
                <w:sz w:val="20"/>
              </w:rPr>
              <w:t>Civil</w:t>
            </w:r>
            <w:r>
              <w:rPr>
                <w:spacing w:val="-8"/>
                <w:sz w:val="20"/>
              </w:rPr>
              <w:t xml:space="preserve"> </w:t>
            </w:r>
            <w:r>
              <w:rPr>
                <w:sz w:val="20"/>
              </w:rPr>
              <w:t>and</w:t>
            </w:r>
            <w:r>
              <w:rPr>
                <w:spacing w:val="-14"/>
                <w:sz w:val="20"/>
              </w:rPr>
              <w:t xml:space="preserve"> </w:t>
            </w:r>
            <w:r>
              <w:rPr>
                <w:sz w:val="20"/>
              </w:rPr>
              <w:t>Administrative</w:t>
            </w:r>
            <w:r>
              <w:rPr>
                <w:spacing w:val="-10"/>
                <w:sz w:val="20"/>
              </w:rPr>
              <w:t xml:space="preserve"> </w:t>
            </w:r>
            <w:r>
              <w:rPr>
                <w:spacing w:val="-2"/>
                <w:sz w:val="20"/>
              </w:rPr>
              <w:t>Tribunal</w:t>
            </w:r>
          </w:p>
        </w:tc>
        <w:tc>
          <w:tcPr>
            <w:tcW w:w="1421" w:type="dxa"/>
            <w:tcBorders>
              <w:top w:val="single" w:sz="2" w:space="0" w:color="000000"/>
              <w:bottom w:val="single" w:sz="2" w:space="0" w:color="000000"/>
            </w:tcBorders>
          </w:tcPr>
          <w:p w14:paraId="537600B2" w14:textId="77777777" w:rsidR="00AC6F3C" w:rsidRDefault="00570E88">
            <w:pPr>
              <w:pStyle w:val="TableParagraph"/>
              <w:spacing w:before="69"/>
              <w:ind w:left="614" w:right="554"/>
              <w:jc w:val="center"/>
              <w:rPr>
                <w:sz w:val="20"/>
              </w:rPr>
            </w:pPr>
            <w:r>
              <w:rPr>
                <w:spacing w:val="-5"/>
                <w:sz w:val="20"/>
              </w:rPr>
              <w:t>27</w:t>
            </w:r>
          </w:p>
        </w:tc>
        <w:tc>
          <w:tcPr>
            <w:tcW w:w="1361" w:type="dxa"/>
            <w:tcBorders>
              <w:top w:val="single" w:sz="2" w:space="0" w:color="000000"/>
              <w:bottom w:val="single" w:sz="2" w:space="0" w:color="000000"/>
            </w:tcBorders>
          </w:tcPr>
          <w:p w14:paraId="71058B39" w14:textId="77777777" w:rsidR="00AC6F3C" w:rsidRDefault="00570E88">
            <w:pPr>
              <w:pStyle w:val="TableParagraph"/>
              <w:spacing w:before="69"/>
              <w:jc w:val="center"/>
              <w:rPr>
                <w:sz w:val="20"/>
              </w:rPr>
            </w:pPr>
            <w:r>
              <w:rPr>
                <w:sz w:val="20"/>
              </w:rPr>
              <w:t>8</w:t>
            </w:r>
          </w:p>
        </w:tc>
        <w:tc>
          <w:tcPr>
            <w:tcW w:w="1361" w:type="dxa"/>
            <w:tcBorders>
              <w:top w:val="single" w:sz="2" w:space="0" w:color="000000"/>
              <w:bottom w:val="single" w:sz="2" w:space="0" w:color="000000"/>
            </w:tcBorders>
          </w:tcPr>
          <w:p w14:paraId="7CBAEC62" w14:textId="77777777" w:rsidR="00AC6F3C" w:rsidRDefault="00570E88">
            <w:pPr>
              <w:pStyle w:val="TableParagraph"/>
              <w:spacing w:before="69"/>
              <w:ind w:left="568"/>
              <w:rPr>
                <w:sz w:val="20"/>
              </w:rPr>
            </w:pPr>
            <w:r>
              <w:rPr>
                <w:spacing w:val="-5"/>
                <w:sz w:val="20"/>
              </w:rPr>
              <w:t>35</w:t>
            </w:r>
          </w:p>
        </w:tc>
      </w:tr>
      <w:tr w:rsidR="00AC6F3C" w14:paraId="0548AD93" w14:textId="77777777">
        <w:trPr>
          <w:trHeight w:val="607"/>
        </w:trPr>
        <w:tc>
          <w:tcPr>
            <w:tcW w:w="5212" w:type="dxa"/>
            <w:tcBorders>
              <w:top w:val="single" w:sz="2" w:space="0" w:color="000000"/>
              <w:bottom w:val="single" w:sz="2" w:space="0" w:color="000000"/>
            </w:tcBorders>
          </w:tcPr>
          <w:p w14:paraId="147B40D8" w14:textId="77777777" w:rsidR="00AC6F3C" w:rsidRDefault="00570E88">
            <w:pPr>
              <w:pStyle w:val="TableParagraph"/>
              <w:spacing w:before="69" w:line="249" w:lineRule="auto"/>
              <w:ind w:left="113"/>
              <w:rPr>
                <w:sz w:val="20"/>
              </w:rPr>
            </w:pPr>
            <w:r>
              <w:rPr>
                <w:sz w:val="20"/>
              </w:rPr>
              <w:t>Queensland</w:t>
            </w:r>
            <w:r>
              <w:rPr>
                <w:spacing w:val="-14"/>
                <w:sz w:val="20"/>
              </w:rPr>
              <w:t xml:space="preserve"> </w:t>
            </w:r>
            <w:r>
              <w:rPr>
                <w:sz w:val="20"/>
              </w:rPr>
              <w:t>Civil</w:t>
            </w:r>
            <w:r>
              <w:rPr>
                <w:spacing w:val="-10"/>
                <w:sz w:val="20"/>
              </w:rPr>
              <w:t xml:space="preserve"> </w:t>
            </w:r>
            <w:r>
              <w:rPr>
                <w:sz w:val="20"/>
              </w:rPr>
              <w:t>and</w:t>
            </w:r>
            <w:r>
              <w:rPr>
                <w:spacing w:val="-14"/>
                <w:sz w:val="20"/>
              </w:rPr>
              <w:t xml:space="preserve"> </w:t>
            </w:r>
            <w:r>
              <w:rPr>
                <w:sz w:val="20"/>
              </w:rPr>
              <w:t>Administrative</w:t>
            </w:r>
            <w:r>
              <w:rPr>
                <w:spacing w:val="-12"/>
                <w:sz w:val="20"/>
              </w:rPr>
              <w:t xml:space="preserve"> </w:t>
            </w:r>
            <w:r>
              <w:rPr>
                <w:sz w:val="20"/>
              </w:rPr>
              <w:t>Tribunal</w:t>
            </w:r>
            <w:r>
              <w:rPr>
                <w:spacing w:val="-9"/>
                <w:sz w:val="20"/>
              </w:rPr>
              <w:t xml:space="preserve"> </w:t>
            </w:r>
            <w:r>
              <w:rPr>
                <w:sz w:val="20"/>
              </w:rPr>
              <w:t>–</w:t>
            </w:r>
            <w:r>
              <w:rPr>
                <w:spacing w:val="-14"/>
                <w:sz w:val="20"/>
              </w:rPr>
              <w:t xml:space="preserve"> </w:t>
            </w:r>
            <w:r>
              <w:rPr>
                <w:sz w:val="20"/>
              </w:rPr>
              <w:t xml:space="preserve">Appeal </w:t>
            </w:r>
            <w:r>
              <w:rPr>
                <w:spacing w:val="-2"/>
                <w:sz w:val="20"/>
              </w:rPr>
              <w:t>Tribunal</w:t>
            </w:r>
          </w:p>
        </w:tc>
        <w:tc>
          <w:tcPr>
            <w:tcW w:w="1421" w:type="dxa"/>
            <w:tcBorders>
              <w:top w:val="single" w:sz="2" w:space="0" w:color="000000"/>
              <w:bottom w:val="single" w:sz="2" w:space="0" w:color="000000"/>
            </w:tcBorders>
          </w:tcPr>
          <w:p w14:paraId="57734F05" w14:textId="77777777" w:rsidR="00AC6F3C" w:rsidRDefault="00570E88">
            <w:pPr>
              <w:pStyle w:val="TableParagraph"/>
              <w:spacing w:before="189"/>
              <w:ind w:left="60"/>
              <w:jc w:val="center"/>
              <w:rPr>
                <w:sz w:val="20"/>
              </w:rPr>
            </w:pPr>
            <w:r>
              <w:rPr>
                <w:sz w:val="20"/>
              </w:rPr>
              <w:t>1</w:t>
            </w:r>
          </w:p>
        </w:tc>
        <w:tc>
          <w:tcPr>
            <w:tcW w:w="1361" w:type="dxa"/>
            <w:tcBorders>
              <w:top w:val="single" w:sz="2" w:space="0" w:color="000000"/>
              <w:bottom w:val="single" w:sz="2" w:space="0" w:color="000000"/>
            </w:tcBorders>
          </w:tcPr>
          <w:p w14:paraId="7DAB67A0" w14:textId="77777777" w:rsidR="00AC6F3C" w:rsidRDefault="00570E88">
            <w:pPr>
              <w:pStyle w:val="TableParagraph"/>
              <w:spacing w:before="189"/>
              <w:ind w:left="506" w:right="496"/>
              <w:jc w:val="center"/>
              <w:rPr>
                <w:sz w:val="20"/>
              </w:rPr>
            </w:pPr>
            <w:r>
              <w:rPr>
                <w:spacing w:val="-5"/>
                <w:sz w:val="20"/>
              </w:rPr>
              <w:t>N/A</w:t>
            </w:r>
          </w:p>
        </w:tc>
        <w:tc>
          <w:tcPr>
            <w:tcW w:w="1361" w:type="dxa"/>
            <w:tcBorders>
              <w:top w:val="single" w:sz="2" w:space="0" w:color="000000"/>
              <w:bottom w:val="single" w:sz="2" w:space="0" w:color="000000"/>
            </w:tcBorders>
          </w:tcPr>
          <w:p w14:paraId="33B36C26" w14:textId="77777777" w:rsidR="00AC6F3C" w:rsidRDefault="00570E88">
            <w:pPr>
              <w:pStyle w:val="TableParagraph"/>
              <w:spacing w:before="189"/>
              <w:ind w:left="624"/>
              <w:rPr>
                <w:sz w:val="20"/>
              </w:rPr>
            </w:pPr>
            <w:r>
              <w:rPr>
                <w:sz w:val="20"/>
              </w:rPr>
              <w:t>1</w:t>
            </w:r>
          </w:p>
        </w:tc>
      </w:tr>
      <w:tr w:rsidR="00AC6F3C" w14:paraId="607D0151" w14:textId="77777777">
        <w:trPr>
          <w:trHeight w:val="367"/>
        </w:trPr>
        <w:tc>
          <w:tcPr>
            <w:tcW w:w="5212" w:type="dxa"/>
            <w:tcBorders>
              <w:top w:val="single" w:sz="2" w:space="0" w:color="000000"/>
              <w:bottom w:val="single" w:sz="2" w:space="0" w:color="000000"/>
            </w:tcBorders>
          </w:tcPr>
          <w:p w14:paraId="5037839E" w14:textId="77777777" w:rsidR="00AC6F3C" w:rsidRDefault="00570E88">
            <w:pPr>
              <w:pStyle w:val="TableParagraph"/>
              <w:spacing w:before="69"/>
              <w:ind w:left="113"/>
              <w:rPr>
                <w:sz w:val="20"/>
              </w:rPr>
            </w:pPr>
            <w:r>
              <w:rPr>
                <w:sz w:val="20"/>
              </w:rPr>
              <w:t>Queensland</w:t>
            </w:r>
            <w:r>
              <w:rPr>
                <w:spacing w:val="-6"/>
                <w:sz w:val="20"/>
              </w:rPr>
              <w:t xml:space="preserve"> </w:t>
            </w:r>
            <w:r>
              <w:rPr>
                <w:sz w:val="20"/>
              </w:rPr>
              <w:t>Industrial</w:t>
            </w:r>
            <w:r>
              <w:rPr>
                <w:spacing w:val="-6"/>
                <w:sz w:val="20"/>
              </w:rPr>
              <w:t xml:space="preserve"> </w:t>
            </w:r>
            <w:r>
              <w:rPr>
                <w:sz w:val="20"/>
              </w:rPr>
              <w:t>Relations</w:t>
            </w:r>
            <w:r>
              <w:rPr>
                <w:spacing w:val="-6"/>
                <w:sz w:val="20"/>
              </w:rPr>
              <w:t xml:space="preserve"> </w:t>
            </w:r>
            <w:r>
              <w:rPr>
                <w:spacing w:val="-2"/>
                <w:sz w:val="20"/>
              </w:rPr>
              <w:t>Commission</w:t>
            </w:r>
          </w:p>
        </w:tc>
        <w:tc>
          <w:tcPr>
            <w:tcW w:w="1421" w:type="dxa"/>
            <w:tcBorders>
              <w:top w:val="single" w:sz="2" w:space="0" w:color="000000"/>
              <w:bottom w:val="single" w:sz="2" w:space="0" w:color="000000"/>
            </w:tcBorders>
          </w:tcPr>
          <w:p w14:paraId="7CC12C78" w14:textId="77777777" w:rsidR="00AC6F3C" w:rsidRDefault="00570E88">
            <w:pPr>
              <w:pStyle w:val="TableParagraph"/>
              <w:spacing w:before="69"/>
              <w:ind w:left="60"/>
              <w:jc w:val="center"/>
              <w:rPr>
                <w:sz w:val="20"/>
              </w:rPr>
            </w:pPr>
            <w:r>
              <w:rPr>
                <w:sz w:val="20"/>
              </w:rPr>
              <w:t>3</w:t>
            </w:r>
          </w:p>
        </w:tc>
        <w:tc>
          <w:tcPr>
            <w:tcW w:w="1361" w:type="dxa"/>
            <w:tcBorders>
              <w:top w:val="single" w:sz="2" w:space="0" w:color="000000"/>
              <w:bottom w:val="single" w:sz="2" w:space="0" w:color="000000"/>
            </w:tcBorders>
          </w:tcPr>
          <w:p w14:paraId="19D40343" w14:textId="77777777" w:rsidR="00AC6F3C" w:rsidRDefault="00570E88">
            <w:pPr>
              <w:pStyle w:val="TableParagraph"/>
              <w:spacing w:before="69"/>
              <w:jc w:val="center"/>
              <w:rPr>
                <w:sz w:val="20"/>
              </w:rPr>
            </w:pPr>
            <w:r>
              <w:rPr>
                <w:sz w:val="20"/>
              </w:rPr>
              <w:t>3</w:t>
            </w:r>
          </w:p>
        </w:tc>
        <w:tc>
          <w:tcPr>
            <w:tcW w:w="1361" w:type="dxa"/>
            <w:tcBorders>
              <w:top w:val="single" w:sz="2" w:space="0" w:color="000000"/>
              <w:bottom w:val="single" w:sz="2" w:space="0" w:color="000000"/>
            </w:tcBorders>
          </w:tcPr>
          <w:p w14:paraId="758DEAFE" w14:textId="77777777" w:rsidR="00AC6F3C" w:rsidRDefault="00570E88">
            <w:pPr>
              <w:pStyle w:val="TableParagraph"/>
              <w:spacing w:before="69"/>
              <w:ind w:left="624"/>
              <w:rPr>
                <w:sz w:val="20"/>
              </w:rPr>
            </w:pPr>
            <w:r>
              <w:rPr>
                <w:sz w:val="20"/>
              </w:rPr>
              <w:t>6</w:t>
            </w:r>
          </w:p>
        </w:tc>
      </w:tr>
      <w:tr w:rsidR="00AC6F3C" w14:paraId="5D6E5CFB" w14:textId="77777777">
        <w:trPr>
          <w:trHeight w:val="367"/>
        </w:trPr>
        <w:tc>
          <w:tcPr>
            <w:tcW w:w="5212" w:type="dxa"/>
            <w:tcBorders>
              <w:top w:val="single" w:sz="2" w:space="0" w:color="000000"/>
              <w:bottom w:val="single" w:sz="2" w:space="0" w:color="000000"/>
            </w:tcBorders>
          </w:tcPr>
          <w:p w14:paraId="36A861C2" w14:textId="77777777" w:rsidR="00AC6F3C" w:rsidRDefault="00570E88">
            <w:pPr>
              <w:pStyle w:val="TableParagraph"/>
              <w:spacing w:before="69"/>
              <w:ind w:left="113"/>
              <w:rPr>
                <w:sz w:val="20"/>
              </w:rPr>
            </w:pPr>
            <w:r>
              <w:rPr>
                <w:sz w:val="20"/>
              </w:rPr>
              <w:t>Supreme</w:t>
            </w:r>
            <w:r>
              <w:rPr>
                <w:spacing w:val="-4"/>
                <w:sz w:val="20"/>
              </w:rPr>
              <w:t xml:space="preserve"> </w:t>
            </w:r>
            <w:r>
              <w:rPr>
                <w:sz w:val="20"/>
              </w:rPr>
              <w:t>Court</w:t>
            </w:r>
            <w:r>
              <w:rPr>
                <w:spacing w:val="-2"/>
                <w:sz w:val="20"/>
              </w:rPr>
              <w:t xml:space="preserve"> </w:t>
            </w:r>
            <w:r>
              <w:rPr>
                <w:sz w:val="20"/>
              </w:rPr>
              <w:t>of</w:t>
            </w:r>
            <w:r>
              <w:rPr>
                <w:spacing w:val="-2"/>
                <w:sz w:val="20"/>
              </w:rPr>
              <w:t xml:space="preserve"> Queensland</w:t>
            </w:r>
          </w:p>
        </w:tc>
        <w:tc>
          <w:tcPr>
            <w:tcW w:w="1421" w:type="dxa"/>
            <w:tcBorders>
              <w:top w:val="single" w:sz="2" w:space="0" w:color="000000"/>
              <w:bottom w:val="single" w:sz="2" w:space="0" w:color="000000"/>
            </w:tcBorders>
          </w:tcPr>
          <w:p w14:paraId="74BB2771" w14:textId="77777777" w:rsidR="00AC6F3C" w:rsidRDefault="00570E88">
            <w:pPr>
              <w:pStyle w:val="TableParagraph"/>
              <w:spacing w:before="69"/>
              <w:ind w:left="60"/>
              <w:jc w:val="center"/>
              <w:rPr>
                <w:sz w:val="20"/>
              </w:rPr>
            </w:pPr>
            <w:r>
              <w:rPr>
                <w:sz w:val="20"/>
              </w:rPr>
              <w:t>9</w:t>
            </w:r>
          </w:p>
        </w:tc>
        <w:tc>
          <w:tcPr>
            <w:tcW w:w="1361" w:type="dxa"/>
            <w:tcBorders>
              <w:top w:val="single" w:sz="2" w:space="0" w:color="000000"/>
              <w:bottom w:val="single" w:sz="2" w:space="0" w:color="000000"/>
            </w:tcBorders>
          </w:tcPr>
          <w:p w14:paraId="4AE4FD55" w14:textId="77777777" w:rsidR="00AC6F3C" w:rsidRDefault="00570E88">
            <w:pPr>
              <w:pStyle w:val="TableParagraph"/>
              <w:spacing w:before="69"/>
              <w:jc w:val="center"/>
              <w:rPr>
                <w:sz w:val="20"/>
              </w:rPr>
            </w:pPr>
            <w:r>
              <w:rPr>
                <w:sz w:val="20"/>
              </w:rPr>
              <w:t>1</w:t>
            </w:r>
          </w:p>
        </w:tc>
        <w:tc>
          <w:tcPr>
            <w:tcW w:w="1361" w:type="dxa"/>
            <w:tcBorders>
              <w:top w:val="single" w:sz="2" w:space="0" w:color="000000"/>
              <w:bottom w:val="single" w:sz="2" w:space="0" w:color="000000"/>
            </w:tcBorders>
          </w:tcPr>
          <w:p w14:paraId="4DD77348" w14:textId="77777777" w:rsidR="00AC6F3C" w:rsidRDefault="00570E88">
            <w:pPr>
              <w:pStyle w:val="TableParagraph"/>
              <w:spacing w:before="69"/>
              <w:ind w:left="568"/>
              <w:rPr>
                <w:sz w:val="20"/>
              </w:rPr>
            </w:pPr>
            <w:r>
              <w:rPr>
                <w:spacing w:val="-5"/>
                <w:sz w:val="20"/>
              </w:rPr>
              <w:t>10</w:t>
            </w:r>
          </w:p>
        </w:tc>
      </w:tr>
      <w:tr w:rsidR="00AC6F3C" w14:paraId="59BC588F" w14:textId="77777777">
        <w:trPr>
          <w:trHeight w:val="599"/>
        </w:trPr>
        <w:tc>
          <w:tcPr>
            <w:tcW w:w="5212" w:type="dxa"/>
            <w:tcBorders>
              <w:top w:val="single" w:sz="2" w:space="0" w:color="000000"/>
              <w:bottom w:val="single" w:sz="8" w:space="0" w:color="000000"/>
            </w:tcBorders>
          </w:tcPr>
          <w:p w14:paraId="6DF2027D" w14:textId="77777777" w:rsidR="00AC6F3C" w:rsidRDefault="00570E88">
            <w:pPr>
              <w:pStyle w:val="TableParagraph"/>
              <w:spacing w:before="69"/>
              <w:ind w:left="113"/>
              <w:rPr>
                <w:sz w:val="20"/>
              </w:rPr>
            </w:pPr>
            <w:r>
              <w:rPr>
                <w:sz w:val="20"/>
              </w:rPr>
              <w:t>Supreme</w:t>
            </w:r>
            <w:r>
              <w:rPr>
                <w:spacing w:val="-5"/>
                <w:sz w:val="20"/>
              </w:rPr>
              <w:t xml:space="preserve"> </w:t>
            </w:r>
            <w:r>
              <w:rPr>
                <w:sz w:val="20"/>
              </w:rPr>
              <w:t>Court</w:t>
            </w:r>
            <w:r>
              <w:rPr>
                <w:spacing w:val="-2"/>
                <w:sz w:val="20"/>
              </w:rPr>
              <w:t xml:space="preserve"> </w:t>
            </w:r>
            <w:r>
              <w:rPr>
                <w:sz w:val="20"/>
              </w:rPr>
              <w:t>of</w:t>
            </w:r>
            <w:r>
              <w:rPr>
                <w:spacing w:val="-2"/>
                <w:sz w:val="20"/>
              </w:rPr>
              <w:t xml:space="preserve"> </w:t>
            </w:r>
            <w:r>
              <w:rPr>
                <w:sz w:val="20"/>
              </w:rPr>
              <w:t>Queensland</w:t>
            </w:r>
            <w:r>
              <w:rPr>
                <w:spacing w:val="-2"/>
                <w:sz w:val="20"/>
              </w:rPr>
              <w:t xml:space="preserve"> </w:t>
            </w:r>
            <w:r>
              <w:rPr>
                <w:sz w:val="20"/>
              </w:rPr>
              <w:t>–</w:t>
            </w:r>
            <w:r>
              <w:rPr>
                <w:spacing w:val="-3"/>
                <w:sz w:val="20"/>
              </w:rPr>
              <w:t xml:space="preserve"> </w:t>
            </w:r>
            <w:r>
              <w:rPr>
                <w:sz w:val="20"/>
              </w:rPr>
              <w:t>Court</w:t>
            </w:r>
            <w:r>
              <w:rPr>
                <w:spacing w:val="-2"/>
                <w:sz w:val="20"/>
              </w:rPr>
              <w:t xml:space="preserve"> </w:t>
            </w:r>
            <w:r>
              <w:rPr>
                <w:sz w:val="20"/>
              </w:rPr>
              <w:t>of</w:t>
            </w:r>
            <w:r>
              <w:rPr>
                <w:spacing w:val="-12"/>
                <w:sz w:val="20"/>
              </w:rPr>
              <w:t xml:space="preserve"> </w:t>
            </w:r>
            <w:r>
              <w:rPr>
                <w:spacing w:val="-2"/>
                <w:sz w:val="20"/>
              </w:rPr>
              <w:t>Appeal</w:t>
            </w:r>
          </w:p>
          <w:p w14:paraId="78567888" w14:textId="77777777" w:rsidR="00AC6F3C" w:rsidRDefault="00570E88">
            <w:pPr>
              <w:pStyle w:val="TableParagraph"/>
              <w:spacing w:before="10"/>
              <w:ind w:left="113"/>
              <w:rPr>
                <w:sz w:val="20"/>
              </w:rPr>
            </w:pPr>
            <w:r>
              <w:rPr>
                <w:spacing w:val="-2"/>
                <w:sz w:val="20"/>
              </w:rPr>
              <w:t>Division</w:t>
            </w:r>
          </w:p>
        </w:tc>
        <w:tc>
          <w:tcPr>
            <w:tcW w:w="1421" w:type="dxa"/>
            <w:tcBorders>
              <w:top w:val="single" w:sz="2" w:space="0" w:color="000000"/>
              <w:bottom w:val="single" w:sz="8" w:space="0" w:color="000000"/>
            </w:tcBorders>
          </w:tcPr>
          <w:p w14:paraId="285AF4D1" w14:textId="77777777" w:rsidR="00AC6F3C" w:rsidRDefault="00570E88">
            <w:pPr>
              <w:pStyle w:val="TableParagraph"/>
              <w:spacing w:before="189"/>
              <w:ind w:left="60"/>
              <w:jc w:val="center"/>
              <w:rPr>
                <w:sz w:val="20"/>
              </w:rPr>
            </w:pPr>
            <w:r>
              <w:rPr>
                <w:sz w:val="20"/>
              </w:rPr>
              <w:t>2</w:t>
            </w:r>
          </w:p>
        </w:tc>
        <w:tc>
          <w:tcPr>
            <w:tcW w:w="1361" w:type="dxa"/>
            <w:tcBorders>
              <w:top w:val="single" w:sz="2" w:space="0" w:color="000000"/>
              <w:bottom w:val="single" w:sz="8" w:space="0" w:color="000000"/>
            </w:tcBorders>
          </w:tcPr>
          <w:p w14:paraId="446EAFB2" w14:textId="77777777" w:rsidR="00AC6F3C" w:rsidRDefault="00570E88">
            <w:pPr>
              <w:pStyle w:val="TableParagraph"/>
              <w:spacing w:before="189"/>
              <w:ind w:left="506" w:right="496"/>
              <w:jc w:val="center"/>
              <w:rPr>
                <w:sz w:val="20"/>
              </w:rPr>
            </w:pPr>
            <w:r>
              <w:rPr>
                <w:spacing w:val="-5"/>
                <w:sz w:val="20"/>
              </w:rPr>
              <w:t>N/A</w:t>
            </w:r>
          </w:p>
        </w:tc>
        <w:tc>
          <w:tcPr>
            <w:tcW w:w="1361" w:type="dxa"/>
            <w:tcBorders>
              <w:top w:val="single" w:sz="2" w:space="0" w:color="000000"/>
              <w:bottom w:val="single" w:sz="8" w:space="0" w:color="000000"/>
            </w:tcBorders>
          </w:tcPr>
          <w:p w14:paraId="65571B39" w14:textId="77777777" w:rsidR="00AC6F3C" w:rsidRDefault="00570E88">
            <w:pPr>
              <w:pStyle w:val="TableParagraph"/>
              <w:spacing w:before="189"/>
              <w:ind w:left="624"/>
              <w:rPr>
                <w:sz w:val="20"/>
              </w:rPr>
            </w:pPr>
            <w:r>
              <w:rPr>
                <w:sz w:val="20"/>
              </w:rPr>
              <w:t>2</w:t>
            </w:r>
          </w:p>
        </w:tc>
      </w:tr>
      <w:tr w:rsidR="00AC6F3C" w14:paraId="70EF9965" w14:textId="77777777">
        <w:trPr>
          <w:trHeight w:val="352"/>
        </w:trPr>
        <w:tc>
          <w:tcPr>
            <w:tcW w:w="5212" w:type="dxa"/>
            <w:tcBorders>
              <w:top w:val="single" w:sz="8" w:space="0" w:color="000000"/>
              <w:bottom w:val="single" w:sz="8" w:space="0" w:color="000000"/>
            </w:tcBorders>
          </w:tcPr>
          <w:p w14:paraId="299E53A5" w14:textId="77777777" w:rsidR="00AC6F3C" w:rsidRDefault="00570E88">
            <w:pPr>
              <w:pStyle w:val="TableParagraph"/>
              <w:spacing w:before="61"/>
              <w:ind w:left="113"/>
              <w:rPr>
                <w:b/>
                <w:sz w:val="20"/>
              </w:rPr>
            </w:pPr>
            <w:r>
              <w:rPr>
                <w:b/>
                <w:spacing w:val="-2"/>
                <w:sz w:val="20"/>
              </w:rPr>
              <w:t>Total</w:t>
            </w:r>
          </w:p>
        </w:tc>
        <w:tc>
          <w:tcPr>
            <w:tcW w:w="1421" w:type="dxa"/>
            <w:tcBorders>
              <w:top w:val="single" w:sz="8" w:space="0" w:color="000000"/>
              <w:bottom w:val="single" w:sz="8" w:space="0" w:color="000000"/>
            </w:tcBorders>
          </w:tcPr>
          <w:p w14:paraId="39FBB7C9" w14:textId="77777777" w:rsidR="00AC6F3C" w:rsidRDefault="00570E88">
            <w:pPr>
              <w:pStyle w:val="TableParagraph"/>
              <w:spacing w:before="61"/>
              <w:ind w:left="614" w:right="554"/>
              <w:jc w:val="center"/>
              <w:rPr>
                <w:b/>
                <w:sz w:val="20"/>
              </w:rPr>
            </w:pPr>
            <w:r>
              <w:rPr>
                <w:b/>
                <w:spacing w:val="-5"/>
                <w:sz w:val="20"/>
              </w:rPr>
              <w:t>68</w:t>
            </w:r>
          </w:p>
        </w:tc>
        <w:tc>
          <w:tcPr>
            <w:tcW w:w="1361" w:type="dxa"/>
            <w:tcBorders>
              <w:top w:val="single" w:sz="8" w:space="0" w:color="000000"/>
              <w:bottom w:val="single" w:sz="8" w:space="0" w:color="000000"/>
            </w:tcBorders>
          </w:tcPr>
          <w:p w14:paraId="08C66181" w14:textId="77777777" w:rsidR="00AC6F3C" w:rsidRDefault="00570E88">
            <w:pPr>
              <w:pStyle w:val="TableParagraph"/>
              <w:spacing w:before="61"/>
              <w:ind w:left="496" w:right="496"/>
              <w:jc w:val="center"/>
              <w:rPr>
                <w:b/>
                <w:sz w:val="20"/>
              </w:rPr>
            </w:pPr>
            <w:r>
              <w:rPr>
                <w:b/>
                <w:spacing w:val="-5"/>
                <w:sz w:val="20"/>
              </w:rPr>
              <w:t>22</w:t>
            </w:r>
          </w:p>
        </w:tc>
        <w:tc>
          <w:tcPr>
            <w:tcW w:w="1361" w:type="dxa"/>
            <w:tcBorders>
              <w:top w:val="single" w:sz="8" w:space="0" w:color="000000"/>
              <w:bottom w:val="single" w:sz="8" w:space="0" w:color="000000"/>
            </w:tcBorders>
          </w:tcPr>
          <w:p w14:paraId="3D975047" w14:textId="77777777" w:rsidR="00AC6F3C" w:rsidRDefault="00570E88">
            <w:pPr>
              <w:pStyle w:val="TableParagraph"/>
              <w:spacing w:before="61"/>
              <w:ind w:left="568"/>
              <w:rPr>
                <w:b/>
                <w:sz w:val="20"/>
              </w:rPr>
            </w:pPr>
            <w:r>
              <w:rPr>
                <w:b/>
                <w:spacing w:val="-5"/>
                <w:sz w:val="20"/>
              </w:rPr>
              <w:t>90</w:t>
            </w:r>
          </w:p>
        </w:tc>
      </w:tr>
    </w:tbl>
    <w:p w14:paraId="32DC9D38" w14:textId="77777777" w:rsidR="00AC6F3C" w:rsidRDefault="00AC6F3C">
      <w:pPr>
        <w:pStyle w:val="BodyText"/>
        <w:spacing w:before="10"/>
        <w:rPr>
          <w:sz w:val="18"/>
        </w:rPr>
      </w:pPr>
    </w:p>
    <w:p w14:paraId="54884BFA" w14:textId="77777777" w:rsidR="00AC6F3C" w:rsidRDefault="00570E88">
      <w:pPr>
        <w:pStyle w:val="BodyText"/>
        <w:spacing w:line="249" w:lineRule="auto"/>
        <w:ind w:left="815" w:right="468"/>
      </w:pPr>
      <w:r>
        <w:t>Based</w:t>
      </w:r>
      <w:r>
        <w:rPr>
          <w:spacing w:val="-3"/>
        </w:rPr>
        <w:t xml:space="preserve"> </w:t>
      </w:r>
      <w:r>
        <w:t>on</w:t>
      </w:r>
      <w:r>
        <w:rPr>
          <w:spacing w:val="-3"/>
        </w:rPr>
        <w:t xml:space="preserve"> </w:t>
      </w:r>
      <w:r>
        <w:t>advice</w:t>
      </w:r>
      <w:r>
        <w:rPr>
          <w:spacing w:val="-3"/>
        </w:rPr>
        <w:t xml:space="preserve"> </w:t>
      </w:r>
      <w:r>
        <w:t>from</w:t>
      </w:r>
      <w:r>
        <w:rPr>
          <w:spacing w:val="-3"/>
        </w:rPr>
        <w:t xml:space="preserve"> </w:t>
      </w:r>
      <w:r>
        <w:t>the</w:t>
      </w:r>
      <w:r>
        <w:rPr>
          <w:spacing w:val="-3"/>
        </w:rPr>
        <w:t xml:space="preserve"> </w:t>
      </w:r>
      <w:r>
        <w:t>enquiring</w:t>
      </w:r>
      <w:r>
        <w:rPr>
          <w:spacing w:val="-3"/>
        </w:rPr>
        <w:t xml:space="preserve"> </w:t>
      </w:r>
      <w:r>
        <w:t>members,</w:t>
      </w:r>
      <w:r>
        <w:rPr>
          <w:spacing w:val="-3"/>
        </w:rPr>
        <w:t xml:space="preserve"> </w:t>
      </w:r>
      <w:r>
        <w:t>51%</w:t>
      </w:r>
      <w:r>
        <w:rPr>
          <w:spacing w:val="-3"/>
        </w:rPr>
        <w:t xml:space="preserve"> </w:t>
      </w:r>
      <w:r>
        <w:t>of</w:t>
      </w:r>
      <w:r>
        <w:rPr>
          <w:spacing w:val="-3"/>
        </w:rPr>
        <w:t xml:space="preserve"> </w:t>
      </w:r>
      <w:r>
        <w:t>enquiries</w:t>
      </w:r>
      <w:r>
        <w:rPr>
          <w:spacing w:val="-3"/>
        </w:rPr>
        <w:t xml:space="preserve"> </w:t>
      </w:r>
      <w:r>
        <w:t>made</w:t>
      </w:r>
      <w:r>
        <w:rPr>
          <w:spacing w:val="-3"/>
        </w:rPr>
        <w:t xml:space="preserve"> </w:t>
      </w:r>
      <w:r>
        <w:t>in</w:t>
      </w:r>
      <w:r>
        <w:rPr>
          <w:spacing w:val="-3"/>
        </w:rPr>
        <w:t xml:space="preserve"> </w:t>
      </w:r>
      <w:r>
        <w:t>this</w:t>
      </w:r>
      <w:r>
        <w:rPr>
          <w:spacing w:val="-3"/>
        </w:rPr>
        <w:t xml:space="preserve"> </w:t>
      </w:r>
      <w:proofErr w:type="gramStart"/>
      <w:r>
        <w:t>financial</w:t>
      </w:r>
      <w:r>
        <w:rPr>
          <w:spacing w:val="-3"/>
        </w:rPr>
        <w:t xml:space="preserve"> </w:t>
      </w:r>
      <w:r>
        <w:t>year</w:t>
      </w:r>
      <w:proofErr w:type="gramEnd"/>
      <w:r>
        <w:rPr>
          <w:spacing w:val="-3"/>
        </w:rPr>
        <w:t xml:space="preserve"> </w:t>
      </w:r>
      <w:r>
        <w:t>have</w:t>
      </w:r>
      <w:r>
        <w:rPr>
          <w:spacing w:val="-3"/>
        </w:rPr>
        <w:t xml:space="preserve"> </w:t>
      </w:r>
      <w:r>
        <w:t>now been resolved, meaning that QLS has been advised a judgment or decision has been delivered.</w:t>
      </w:r>
    </w:p>
    <w:p w14:paraId="0BD79F79" w14:textId="77777777" w:rsidR="00AC6F3C" w:rsidRDefault="00AC6F3C">
      <w:pPr>
        <w:pStyle w:val="BodyText"/>
        <w:spacing w:before="1"/>
        <w:rPr>
          <w:sz w:val="31"/>
        </w:rPr>
      </w:pPr>
    </w:p>
    <w:p w14:paraId="6A0D9CC7" w14:textId="77777777" w:rsidR="00AC6F3C" w:rsidRDefault="00570E88">
      <w:pPr>
        <w:ind w:left="815"/>
        <w:rPr>
          <w:b/>
          <w:sz w:val="26"/>
        </w:rPr>
      </w:pPr>
      <w:r>
        <w:rPr>
          <w:b/>
          <w:spacing w:val="-2"/>
          <w:sz w:val="26"/>
        </w:rPr>
        <w:t>Media</w:t>
      </w:r>
    </w:p>
    <w:p w14:paraId="2744647F" w14:textId="77777777" w:rsidR="00AC6F3C" w:rsidRDefault="00570E88">
      <w:pPr>
        <w:pStyle w:val="BodyText"/>
        <w:spacing w:before="168" w:line="249" w:lineRule="auto"/>
        <w:ind w:left="815" w:right="234"/>
      </w:pPr>
      <w:r>
        <w:t xml:space="preserve">Our media strategy </w:t>
      </w:r>
      <w:proofErr w:type="gramStart"/>
      <w:r>
        <w:t>is designed</w:t>
      </w:r>
      <w:proofErr w:type="gramEnd"/>
      <w:r>
        <w:t xml:space="preserve"> to support our advocacy objectives, including promoting the role of solicitors in the community, working with government to achieve balanced laws by providing guidance and</w:t>
      </w:r>
      <w:r>
        <w:rPr>
          <w:spacing w:val="-2"/>
        </w:rPr>
        <w:t xml:space="preserve"> </w:t>
      </w:r>
      <w:r>
        <w:t>insight</w:t>
      </w:r>
      <w:r>
        <w:rPr>
          <w:spacing w:val="-2"/>
        </w:rPr>
        <w:t xml:space="preserve"> </w:t>
      </w:r>
      <w:r>
        <w:t>on</w:t>
      </w:r>
      <w:r>
        <w:rPr>
          <w:spacing w:val="-2"/>
        </w:rPr>
        <w:t xml:space="preserve"> </w:t>
      </w:r>
      <w:r>
        <w:t>legislation,</w:t>
      </w:r>
      <w:r>
        <w:rPr>
          <w:spacing w:val="-2"/>
        </w:rPr>
        <w:t xml:space="preserve"> </w:t>
      </w:r>
      <w:r>
        <w:t>and</w:t>
      </w:r>
      <w:r>
        <w:rPr>
          <w:spacing w:val="-2"/>
        </w:rPr>
        <w:t xml:space="preserve"> </w:t>
      </w:r>
      <w:r>
        <w:t>upholding</w:t>
      </w:r>
      <w:r>
        <w:rPr>
          <w:spacing w:val="-2"/>
        </w:rPr>
        <w:t xml:space="preserve"> </w:t>
      </w:r>
      <w:r>
        <w:t>the</w:t>
      </w:r>
      <w:r>
        <w:rPr>
          <w:spacing w:val="-2"/>
        </w:rPr>
        <w:t xml:space="preserve"> </w:t>
      </w:r>
      <w:r>
        <w:t>rule</w:t>
      </w:r>
      <w:r>
        <w:rPr>
          <w:spacing w:val="-2"/>
        </w:rPr>
        <w:t xml:space="preserve"> </w:t>
      </w:r>
      <w:r>
        <w:t>of</w:t>
      </w:r>
      <w:r>
        <w:rPr>
          <w:spacing w:val="-2"/>
        </w:rPr>
        <w:t xml:space="preserve"> </w:t>
      </w:r>
      <w:r>
        <w:t>law</w:t>
      </w:r>
      <w:r>
        <w:rPr>
          <w:spacing w:val="-2"/>
        </w:rPr>
        <w:t xml:space="preserve"> </w:t>
      </w:r>
      <w:r>
        <w:t>for</w:t>
      </w:r>
      <w:r>
        <w:rPr>
          <w:spacing w:val="-2"/>
        </w:rPr>
        <w:t xml:space="preserve"> </w:t>
      </w:r>
      <w:r>
        <w:t>the</w:t>
      </w:r>
      <w:r>
        <w:rPr>
          <w:spacing w:val="-2"/>
        </w:rPr>
        <w:t xml:space="preserve"> </w:t>
      </w:r>
      <w:r>
        <w:t>benefit</w:t>
      </w:r>
      <w:r>
        <w:rPr>
          <w:spacing w:val="-2"/>
        </w:rPr>
        <w:t xml:space="preserve"> </w:t>
      </w:r>
      <w:r>
        <w:t>of</w:t>
      </w:r>
      <w:r>
        <w:rPr>
          <w:spacing w:val="-2"/>
        </w:rPr>
        <w:t xml:space="preserve"> </w:t>
      </w:r>
      <w:r>
        <w:t>the</w:t>
      </w:r>
      <w:r>
        <w:rPr>
          <w:spacing w:val="-2"/>
        </w:rPr>
        <w:t xml:space="preserve"> </w:t>
      </w:r>
      <w:r>
        <w:t>profession</w:t>
      </w:r>
      <w:r>
        <w:rPr>
          <w:spacing w:val="-2"/>
        </w:rPr>
        <w:t xml:space="preserve"> </w:t>
      </w:r>
      <w:r>
        <w:t>and</w:t>
      </w:r>
      <w:r>
        <w:rPr>
          <w:spacing w:val="-2"/>
        </w:rPr>
        <w:t xml:space="preserve"> </w:t>
      </w:r>
      <w:r>
        <w:t>the</w:t>
      </w:r>
      <w:r>
        <w:rPr>
          <w:spacing w:val="-2"/>
        </w:rPr>
        <w:t xml:space="preserve"> </w:t>
      </w:r>
      <w:r>
        <w:t>public.</w:t>
      </w:r>
    </w:p>
    <w:p w14:paraId="05D02CB0" w14:textId="77777777" w:rsidR="00AC6F3C" w:rsidRDefault="00570E88">
      <w:pPr>
        <w:pStyle w:val="BodyText"/>
        <w:spacing w:before="172"/>
        <w:ind w:left="815"/>
      </w:pPr>
      <w:r>
        <w:t>During</w:t>
      </w:r>
      <w:r>
        <w:rPr>
          <w:spacing w:val="-6"/>
        </w:rPr>
        <w:t xml:space="preserve"> </w:t>
      </w:r>
      <w:r>
        <w:t>the</w:t>
      </w:r>
      <w:r>
        <w:rPr>
          <w:spacing w:val="-4"/>
        </w:rPr>
        <w:t xml:space="preserve"> </w:t>
      </w:r>
      <w:r>
        <w:t>2022-23</w:t>
      </w:r>
      <w:r>
        <w:rPr>
          <w:spacing w:val="-4"/>
        </w:rPr>
        <w:t xml:space="preserve"> </w:t>
      </w:r>
      <w:r>
        <w:t>financial</w:t>
      </w:r>
      <w:r>
        <w:rPr>
          <w:spacing w:val="-3"/>
        </w:rPr>
        <w:t xml:space="preserve"> </w:t>
      </w:r>
      <w:r>
        <w:t>year,</w:t>
      </w:r>
      <w:r>
        <w:rPr>
          <w:spacing w:val="-4"/>
        </w:rPr>
        <w:t xml:space="preserve"> </w:t>
      </w:r>
      <w:r>
        <w:t>we</w:t>
      </w:r>
      <w:r>
        <w:rPr>
          <w:spacing w:val="-4"/>
        </w:rPr>
        <w:t xml:space="preserve"> </w:t>
      </w:r>
      <w:r>
        <w:t>have</w:t>
      </w:r>
      <w:r>
        <w:rPr>
          <w:spacing w:val="-3"/>
        </w:rPr>
        <w:t xml:space="preserve"> </w:t>
      </w:r>
      <w:r>
        <w:t>continued</w:t>
      </w:r>
      <w:r>
        <w:rPr>
          <w:spacing w:val="-4"/>
        </w:rPr>
        <w:t xml:space="preserve"> </w:t>
      </w:r>
      <w:r>
        <w:t>to</w:t>
      </w:r>
      <w:r>
        <w:rPr>
          <w:spacing w:val="-4"/>
        </w:rPr>
        <w:t xml:space="preserve"> </w:t>
      </w:r>
      <w:r>
        <w:t>provide</w:t>
      </w:r>
      <w:r>
        <w:rPr>
          <w:spacing w:val="-4"/>
        </w:rPr>
        <w:t xml:space="preserve"> </w:t>
      </w:r>
      <w:r>
        <w:t>expert</w:t>
      </w:r>
      <w:r>
        <w:rPr>
          <w:spacing w:val="-3"/>
        </w:rPr>
        <w:t xml:space="preserve"> </w:t>
      </w:r>
      <w:r>
        <w:t>commentary</w:t>
      </w:r>
      <w:r>
        <w:rPr>
          <w:spacing w:val="-4"/>
        </w:rPr>
        <w:t xml:space="preserve"> </w:t>
      </w:r>
      <w:r>
        <w:t>on</w:t>
      </w:r>
      <w:r>
        <w:rPr>
          <w:spacing w:val="-4"/>
        </w:rPr>
        <w:t xml:space="preserve"> </w:t>
      </w:r>
      <w:r>
        <w:t>matters</w:t>
      </w:r>
      <w:r>
        <w:rPr>
          <w:spacing w:val="-3"/>
        </w:rPr>
        <w:t xml:space="preserve"> </w:t>
      </w:r>
      <w:proofErr w:type="gramStart"/>
      <w:r>
        <w:rPr>
          <w:spacing w:val="-2"/>
        </w:rPr>
        <w:t>relevant</w:t>
      </w:r>
      <w:proofErr w:type="gramEnd"/>
    </w:p>
    <w:p w14:paraId="1E4F1988" w14:textId="77777777" w:rsidR="00AC6F3C" w:rsidRDefault="00570E88">
      <w:pPr>
        <w:pStyle w:val="BodyText"/>
        <w:spacing w:before="10"/>
        <w:ind w:left="815"/>
      </w:pPr>
      <w:r>
        <w:t>to</w:t>
      </w:r>
      <w:r>
        <w:rPr>
          <w:spacing w:val="-3"/>
        </w:rPr>
        <w:t xml:space="preserve"> </w:t>
      </w:r>
      <w:r>
        <w:t>the</w:t>
      </w:r>
      <w:r>
        <w:rPr>
          <w:spacing w:val="-2"/>
        </w:rPr>
        <w:t xml:space="preserve"> </w:t>
      </w:r>
      <w:r>
        <w:t>legal</w:t>
      </w:r>
      <w:r>
        <w:rPr>
          <w:spacing w:val="-2"/>
        </w:rPr>
        <w:t xml:space="preserve"> profession.</w:t>
      </w:r>
    </w:p>
    <w:p w14:paraId="5B9335B8" w14:textId="77777777" w:rsidR="00AC6F3C" w:rsidRDefault="00570E88">
      <w:pPr>
        <w:pStyle w:val="BodyText"/>
        <w:spacing w:before="180" w:line="249" w:lineRule="auto"/>
        <w:ind w:left="815" w:right="234"/>
      </w:pPr>
      <w:r>
        <w:t xml:space="preserve">Issues on which QLS has provided </w:t>
      </w:r>
      <w:proofErr w:type="gramStart"/>
      <w:r>
        <w:t>proactive</w:t>
      </w:r>
      <w:proofErr w:type="gramEnd"/>
      <w:r>
        <w:t xml:space="preserve"> media commentary include topics as diverse as legal aid funding,</w:t>
      </w:r>
      <w:r>
        <w:rPr>
          <w:spacing w:val="-4"/>
        </w:rPr>
        <w:t xml:space="preserve"> </w:t>
      </w:r>
      <w:r>
        <w:t>review</w:t>
      </w:r>
      <w:r>
        <w:rPr>
          <w:spacing w:val="-4"/>
        </w:rPr>
        <w:t xml:space="preserve"> </w:t>
      </w:r>
      <w:r>
        <w:t>of</w:t>
      </w:r>
      <w:r>
        <w:rPr>
          <w:spacing w:val="-4"/>
        </w:rPr>
        <w:t xml:space="preserve"> </w:t>
      </w:r>
      <w:r>
        <w:t>the</w:t>
      </w:r>
      <w:r>
        <w:rPr>
          <w:spacing w:val="-4"/>
        </w:rPr>
        <w:t xml:space="preserve"> </w:t>
      </w:r>
      <w:r>
        <w:rPr>
          <w:i/>
        </w:rPr>
        <w:t>Youth</w:t>
      </w:r>
      <w:r>
        <w:rPr>
          <w:i/>
          <w:spacing w:val="-4"/>
        </w:rPr>
        <w:t xml:space="preserve"> </w:t>
      </w:r>
      <w:r>
        <w:rPr>
          <w:i/>
        </w:rPr>
        <w:t>Justice</w:t>
      </w:r>
      <w:r>
        <w:rPr>
          <w:i/>
          <w:spacing w:val="-11"/>
        </w:rPr>
        <w:t xml:space="preserve"> </w:t>
      </w:r>
      <w:r>
        <w:rPr>
          <w:i/>
        </w:rPr>
        <w:t>Act</w:t>
      </w:r>
      <w:r>
        <w:rPr>
          <w:i/>
          <w:spacing w:val="-4"/>
        </w:rPr>
        <w:t xml:space="preserve"> </w:t>
      </w:r>
      <w:r>
        <w:rPr>
          <w:i/>
        </w:rPr>
        <w:t>1992</w:t>
      </w:r>
      <w:r>
        <w:rPr>
          <w:i/>
          <w:spacing w:val="-4"/>
        </w:rPr>
        <w:t xml:space="preserve"> </w:t>
      </w:r>
      <w:r>
        <w:t>and</w:t>
      </w:r>
      <w:r>
        <w:rPr>
          <w:spacing w:val="-4"/>
        </w:rPr>
        <w:t xml:space="preserve"> </w:t>
      </w:r>
      <w:r>
        <w:t>the</w:t>
      </w:r>
      <w:r>
        <w:rPr>
          <w:spacing w:val="-4"/>
        </w:rPr>
        <w:t xml:space="preserve"> </w:t>
      </w:r>
      <w:r>
        <w:t>Strengthening</w:t>
      </w:r>
      <w:r>
        <w:rPr>
          <w:spacing w:val="-4"/>
        </w:rPr>
        <w:t xml:space="preserve"> </w:t>
      </w:r>
      <w:r>
        <w:t>Community</w:t>
      </w:r>
      <w:r>
        <w:rPr>
          <w:spacing w:val="-4"/>
        </w:rPr>
        <w:t xml:space="preserve"> </w:t>
      </w:r>
      <w:r>
        <w:t>Safety</w:t>
      </w:r>
      <w:r>
        <w:rPr>
          <w:spacing w:val="-4"/>
        </w:rPr>
        <w:t xml:space="preserve"> </w:t>
      </w:r>
      <w:r>
        <w:t>Bill,</w:t>
      </w:r>
      <w:r>
        <w:rPr>
          <w:spacing w:val="-4"/>
        </w:rPr>
        <w:t xml:space="preserve"> </w:t>
      </w:r>
      <w:r>
        <w:t>introduction of e-conveyancing and numerous judicial appointments.</w:t>
      </w:r>
    </w:p>
    <w:p w14:paraId="3980C057" w14:textId="77777777" w:rsidR="00AC6F3C" w:rsidRDefault="00570E88">
      <w:pPr>
        <w:pStyle w:val="BodyText"/>
        <w:spacing w:before="173" w:line="249" w:lineRule="auto"/>
        <w:ind w:left="815"/>
      </w:pPr>
      <w:r>
        <w:t>QLS’s</w:t>
      </w:r>
      <w:r>
        <w:rPr>
          <w:spacing w:val="-3"/>
        </w:rPr>
        <w:t xml:space="preserve"> </w:t>
      </w:r>
      <w:r>
        <w:t>media</w:t>
      </w:r>
      <w:r>
        <w:rPr>
          <w:spacing w:val="-3"/>
        </w:rPr>
        <w:t xml:space="preserve"> </w:t>
      </w:r>
      <w:r>
        <w:t>activity</w:t>
      </w:r>
      <w:r>
        <w:rPr>
          <w:spacing w:val="-3"/>
        </w:rPr>
        <w:t xml:space="preserve"> </w:t>
      </w:r>
      <w:r>
        <w:t>was</w:t>
      </w:r>
      <w:r>
        <w:rPr>
          <w:spacing w:val="-3"/>
        </w:rPr>
        <w:t xml:space="preserve"> </w:t>
      </w:r>
      <w:r>
        <w:t>a</w:t>
      </w:r>
      <w:r>
        <w:rPr>
          <w:spacing w:val="-3"/>
        </w:rPr>
        <w:t xml:space="preserve"> </w:t>
      </w:r>
      <w:r>
        <w:t>resounding</w:t>
      </w:r>
      <w:r>
        <w:rPr>
          <w:spacing w:val="-3"/>
        </w:rPr>
        <w:t xml:space="preserve"> </w:t>
      </w:r>
      <w:r>
        <w:t>success</w:t>
      </w:r>
      <w:r>
        <w:rPr>
          <w:spacing w:val="-3"/>
        </w:rPr>
        <w:t xml:space="preserve"> </w:t>
      </w:r>
      <w:r>
        <w:t>in</w:t>
      </w:r>
      <w:r>
        <w:rPr>
          <w:spacing w:val="-3"/>
        </w:rPr>
        <w:t xml:space="preserve"> </w:t>
      </w:r>
      <w:r>
        <w:t>2022-23</w:t>
      </w:r>
      <w:r>
        <w:rPr>
          <w:spacing w:val="-3"/>
        </w:rPr>
        <w:t xml:space="preserve"> </w:t>
      </w:r>
      <w:r>
        <w:t>with</w:t>
      </w:r>
      <w:r>
        <w:rPr>
          <w:spacing w:val="-3"/>
        </w:rPr>
        <w:t xml:space="preserve"> </w:t>
      </w:r>
      <w:proofErr w:type="gramStart"/>
      <w:r>
        <w:t>numerous</w:t>
      </w:r>
      <w:proofErr w:type="gramEnd"/>
      <w:r>
        <w:rPr>
          <w:spacing w:val="-3"/>
        </w:rPr>
        <w:t xml:space="preserve"> </w:t>
      </w:r>
      <w:r>
        <w:t>mentions</w:t>
      </w:r>
      <w:r>
        <w:rPr>
          <w:spacing w:val="-3"/>
        </w:rPr>
        <w:t xml:space="preserve"> </w:t>
      </w:r>
      <w:r>
        <w:t>of</w:t>
      </w:r>
      <w:r>
        <w:rPr>
          <w:spacing w:val="-3"/>
        </w:rPr>
        <w:t xml:space="preserve"> </w:t>
      </w:r>
      <w:r>
        <w:t>Queensland</w:t>
      </w:r>
      <w:r>
        <w:rPr>
          <w:spacing w:val="-3"/>
        </w:rPr>
        <w:t xml:space="preserve"> </w:t>
      </w:r>
      <w:r>
        <w:t>Law Society across radio, newspaper, television and online. These results are below.</w:t>
      </w:r>
    </w:p>
    <w:p w14:paraId="1B5FA40C" w14:textId="77777777" w:rsidR="00AC6F3C" w:rsidRDefault="00AC6F3C">
      <w:pPr>
        <w:spacing w:line="249" w:lineRule="auto"/>
        <w:sectPr w:rsidR="00AC6F3C">
          <w:headerReference w:type="default" r:id="rId104"/>
          <w:footerReference w:type="default" r:id="rId105"/>
          <w:pgSz w:w="11910" w:h="16840"/>
          <w:pgMar w:top="1140" w:right="1160" w:bottom="520" w:left="460" w:header="0" w:footer="336" w:gutter="0"/>
          <w:cols w:space="720"/>
        </w:sectPr>
      </w:pPr>
    </w:p>
    <w:p w14:paraId="3F251D0D" w14:textId="77777777" w:rsidR="00AC6F3C" w:rsidRDefault="00570E88">
      <w:pPr>
        <w:pStyle w:val="BodyText"/>
        <w:spacing w:before="76"/>
        <w:ind w:left="815"/>
      </w:pPr>
      <w:r>
        <w:lastRenderedPageBreak/>
        <w:t>During</w:t>
      </w:r>
      <w:r>
        <w:rPr>
          <w:spacing w:val="-6"/>
        </w:rPr>
        <w:t xml:space="preserve"> </w:t>
      </w:r>
      <w:r>
        <w:t>the</w:t>
      </w:r>
      <w:r>
        <w:rPr>
          <w:spacing w:val="-4"/>
        </w:rPr>
        <w:t xml:space="preserve"> </w:t>
      </w:r>
      <w:r>
        <w:t>year,</w:t>
      </w:r>
      <w:r>
        <w:rPr>
          <w:spacing w:val="-4"/>
        </w:rPr>
        <w:t xml:space="preserve"> </w:t>
      </w:r>
      <w:r>
        <w:t>QLS</w:t>
      </w:r>
      <w:r>
        <w:rPr>
          <w:spacing w:val="-3"/>
        </w:rPr>
        <w:t xml:space="preserve"> </w:t>
      </w:r>
      <w:r>
        <w:t>responded</w:t>
      </w:r>
      <w:r>
        <w:rPr>
          <w:spacing w:val="-4"/>
        </w:rPr>
        <w:t xml:space="preserve"> </w:t>
      </w:r>
      <w:r>
        <w:t>to</w:t>
      </w:r>
      <w:r>
        <w:rPr>
          <w:spacing w:val="-4"/>
        </w:rPr>
        <w:t xml:space="preserve"> </w:t>
      </w:r>
      <w:r>
        <w:t>the</w:t>
      </w:r>
      <w:r>
        <w:rPr>
          <w:spacing w:val="-4"/>
        </w:rPr>
        <w:t xml:space="preserve"> </w:t>
      </w:r>
      <w:r>
        <w:t>following</w:t>
      </w:r>
      <w:r>
        <w:rPr>
          <w:spacing w:val="-3"/>
        </w:rPr>
        <w:t xml:space="preserve"> </w:t>
      </w:r>
      <w:r>
        <w:t>requests</w:t>
      </w:r>
      <w:r>
        <w:rPr>
          <w:spacing w:val="-4"/>
        </w:rPr>
        <w:t xml:space="preserve"> </w:t>
      </w:r>
      <w:r>
        <w:t>from</w:t>
      </w:r>
      <w:r>
        <w:rPr>
          <w:spacing w:val="-4"/>
        </w:rPr>
        <w:t xml:space="preserve"> </w:t>
      </w:r>
      <w:r>
        <w:t>media</w:t>
      </w:r>
      <w:r>
        <w:rPr>
          <w:spacing w:val="-3"/>
        </w:rPr>
        <w:t xml:space="preserve"> </w:t>
      </w:r>
      <w:r>
        <w:rPr>
          <w:spacing w:val="-2"/>
        </w:rPr>
        <w:t>outlets:</w:t>
      </w:r>
    </w:p>
    <w:p w14:paraId="0DD85A83" w14:textId="77777777" w:rsidR="00AC6F3C" w:rsidRDefault="00570E88">
      <w:pPr>
        <w:pStyle w:val="ListParagraph"/>
        <w:numPr>
          <w:ilvl w:val="0"/>
          <w:numId w:val="58"/>
        </w:numPr>
        <w:tabs>
          <w:tab w:val="left" w:pos="1155"/>
        </w:tabs>
        <w:ind w:hanging="340"/>
        <w:rPr>
          <w:sz w:val="20"/>
        </w:rPr>
      </w:pPr>
      <w:r>
        <w:rPr>
          <w:sz w:val="20"/>
        </w:rPr>
        <w:t xml:space="preserve">Enquiries – </w:t>
      </w:r>
      <w:r>
        <w:rPr>
          <w:spacing w:val="-5"/>
          <w:sz w:val="20"/>
        </w:rPr>
        <w:t>104</w:t>
      </w:r>
    </w:p>
    <w:p w14:paraId="4014FE73" w14:textId="77777777" w:rsidR="00AC6F3C" w:rsidRDefault="00570E88">
      <w:pPr>
        <w:pStyle w:val="ListParagraph"/>
        <w:numPr>
          <w:ilvl w:val="0"/>
          <w:numId w:val="58"/>
        </w:numPr>
        <w:tabs>
          <w:tab w:val="left" w:pos="1155"/>
        </w:tabs>
        <w:ind w:hanging="340"/>
        <w:rPr>
          <w:sz w:val="20"/>
        </w:rPr>
      </w:pPr>
      <w:r>
        <w:rPr>
          <w:sz w:val="20"/>
        </w:rPr>
        <w:t xml:space="preserve">Interviews – </w:t>
      </w:r>
      <w:r>
        <w:rPr>
          <w:spacing w:val="-5"/>
          <w:sz w:val="20"/>
        </w:rPr>
        <w:t>24</w:t>
      </w:r>
    </w:p>
    <w:p w14:paraId="007257B9" w14:textId="77777777" w:rsidR="00AC6F3C" w:rsidRDefault="00570E88">
      <w:pPr>
        <w:pStyle w:val="ListParagraph"/>
        <w:numPr>
          <w:ilvl w:val="0"/>
          <w:numId w:val="58"/>
        </w:numPr>
        <w:tabs>
          <w:tab w:val="left" w:pos="1155"/>
        </w:tabs>
        <w:ind w:hanging="340"/>
        <w:rPr>
          <w:sz w:val="20"/>
        </w:rPr>
      </w:pPr>
      <w:r>
        <w:rPr>
          <w:sz w:val="20"/>
        </w:rPr>
        <w:t>Queries,</w:t>
      </w:r>
      <w:r>
        <w:rPr>
          <w:spacing w:val="-3"/>
          <w:sz w:val="20"/>
        </w:rPr>
        <w:t xml:space="preserve"> </w:t>
      </w:r>
      <w:r>
        <w:rPr>
          <w:sz w:val="20"/>
        </w:rPr>
        <w:t>assistance,</w:t>
      </w:r>
      <w:r>
        <w:rPr>
          <w:spacing w:val="-2"/>
          <w:sz w:val="20"/>
        </w:rPr>
        <w:t xml:space="preserve"> </w:t>
      </w:r>
      <w:r>
        <w:rPr>
          <w:sz w:val="20"/>
        </w:rPr>
        <w:t>and</w:t>
      </w:r>
      <w:r>
        <w:rPr>
          <w:spacing w:val="-2"/>
          <w:sz w:val="20"/>
        </w:rPr>
        <w:t xml:space="preserve"> </w:t>
      </w:r>
      <w:r>
        <w:rPr>
          <w:sz w:val="20"/>
        </w:rPr>
        <w:t>background</w:t>
      </w:r>
      <w:r>
        <w:rPr>
          <w:spacing w:val="-2"/>
          <w:sz w:val="20"/>
        </w:rPr>
        <w:t xml:space="preserve"> </w:t>
      </w:r>
      <w:r>
        <w:rPr>
          <w:sz w:val="20"/>
        </w:rPr>
        <w:t>–</w:t>
      </w:r>
      <w:r>
        <w:rPr>
          <w:spacing w:val="-2"/>
          <w:sz w:val="20"/>
        </w:rPr>
        <w:t xml:space="preserve"> </w:t>
      </w:r>
      <w:r>
        <w:rPr>
          <w:spacing w:val="-5"/>
          <w:sz w:val="20"/>
        </w:rPr>
        <w:t>55</w:t>
      </w:r>
    </w:p>
    <w:p w14:paraId="3D9C14CC" w14:textId="77777777" w:rsidR="00AC6F3C" w:rsidRDefault="00570E88">
      <w:pPr>
        <w:pStyle w:val="BodyText"/>
        <w:spacing w:before="180"/>
        <w:ind w:left="815"/>
      </w:pPr>
      <w:r>
        <w:t>Leading</w:t>
      </w:r>
      <w:r>
        <w:rPr>
          <w:spacing w:val="-6"/>
        </w:rPr>
        <w:t xml:space="preserve"> </w:t>
      </w:r>
      <w:r>
        <w:t>established</w:t>
      </w:r>
      <w:r>
        <w:rPr>
          <w:spacing w:val="-3"/>
        </w:rPr>
        <w:t xml:space="preserve"> </w:t>
      </w:r>
      <w:r>
        <w:t>media</w:t>
      </w:r>
      <w:r>
        <w:rPr>
          <w:spacing w:val="-3"/>
        </w:rPr>
        <w:t xml:space="preserve"> </w:t>
      </w:r>
      <w:r>
        <w:t>outlets</w:t>
      </w:r>
      <w:r>
        <w:rPr>
          <w:spacing w:val="-4"/>
        </w:rPr>
        <w:t xml:space="preserve"> </w:t>
      </w:r>
      <w:r>
        <w:t>that</w:t>
      </w:r>
      <w:r>
        <w:rPr>
          <w:spacing w:val="-3"/>
        </w:rPr>
        <w:t xml:space="preserve"> </w:t>
      </w:r>
      <w:r>
        <w:t>mentioned</w:t>
      </w:r>
      <w:r>
        <w:rPr>
          <w:spacing w:val="-3"/>
        </w:rPr>
        <w:t xml:space="preserve"> </w:t>
      </w:r>
      <w:r>
        <w:t>QLS</w:t>
      </w:r>
      <w:r>
        <w:rPr>
          <w:spacing w:val="-3"/>
        </w:rPr>
        <w:t xml:space="preserve"> </w:t>
      </w:r>
      <w:r>
        <w:t>or</w:t>
      </w:r>
      <w:r>
        <w:rPr>
          <w:spacing w:val="-4"/>
        </w:rPr>
        <w:t xml:space="preserve"> </w:t>
      </w:r>
      <w:r>
        <w:t>published</w:t>
      </w:r>
      <w:r>
        <w:rPr>
          <w:spacing w:val="-3"/>
        </w:rPr>
        <w:t xml:space="preserve"> </w:t>
      </w:r>
      <w:r>
        <w:t>our</w:t>
      </w:r>
      <w:r>
        <w:rPr>
          <w:spacing w:val="-3"/>
        </w:rPr>
        <w:t xml:space="preserve"> </w:t>
      </w:r>
      <w:r>
        <w:t>content</w:t>
      </w:r>
      <w:r>
        <w:rPr>
          <w:spacing w:val="-3"/>
        </w:rPr>
        <w:t xml:space="preserve"> </w:t>
      </w:r>
      <w:r>
        <w:rPr>
          <w:spacing w:val="-2"/>
        </w:rPr>
        <w:t>included:</w:t>
      </w:r>
    </w:p>
    <w:p w14:paraId="27D69F9E" w14:textId="77777777" w:rsidR="00AC6F3C" w:rsidRDefault="00570E88">
      <w:pPr>
        <w:pStyle w:val="ListParagraph"/>
        <w:numPr>
          <w:ilvl w:val="0"/>
          <w:numId w:val="58"/>
        </w:numPr>
        <w:tabs>
          <w:tab w:val="left" w:pos="1155"/>
        </w:tabs>
        <w:spacing w:line="249" w:lineRule="auto"/>
        <w:ind w:right="577"/>
        <w:rPr>
          <w:sz w:val="20"/>
        </w:rPr>
      </w:pPr>
      <w:r>
        <w:rPr>
          <w:b/>
          <w:sz w:val="20"/>
        </w:rPr>
        <w:t>Print:</w:t>
      </w:r>
      <w:r>
        <w:rPr>
          <w:b/>
          <w:spacing w:val="-12"/>
          <w:sz w:val="20"/>
        </w:rPr>
        <w:t xml:space="preserve"> </w:t>
      </w:r>
      <w:r>
        <w:rPr>
          <w:sz w:val="20"/>
        </w:rPr>
        <w:t>Courier-Mail,</w:t>
      </w:r>
      <w:r>
        <w:rPr>
          <w:spacing w:val="-12"/>
          <w:sz w:val="20"/>
        </w:rPr>
        <w:t xml:space="preserve"> </w:t>
      </w:r>
      <w:r>
        <w:rPr>
          <w:sz w:val="20"/>
        </w:rPr>
        <w:t>The</w:t>
      </w:r>
      <w:r>
        <w:rPr>
          <w:spacing w:val="-14"/>
          <w:sz w:val="20"/>
        </w:rPr>
        <w:t xml:space="preserve"> </w:t>
      </w:r>
      <w:r>
        <w:rPr>
          <w:sz w:val="20"/>
        </w:rPr>
        <w:t>Australian,</w:t>
      </w:r>
      <w:r>
        <w:rPr>
          <w:spacing w:val="-8"/>
          <w:sz w:val="20"/>
        </w:rPr>
        <w:t xml:space="preserve"> </w:t>
      </w:r>
      <w:r>
        <w:rPr>
          <w:sz w:val="20"/>
        </w:rPr>
        <w:t>Cairns</w:t>
      </w:r>
      <w:r>
        <w:rPr>
          <w:spacing w:val="-8"/>
          <w:sz w:val="20"/>
        </w:rPr>
        <w:t xml:space="preserve"> </w:t>
      </w:r>
      <w:r>
        <w:rPr>
          <w:sz w:val="20"/>
        </w:rPr>
        <w:t>Post,</w:t>
      </w:r>
      <w:r>
        <w:rPr>
          <w:spacing w:val="-12"/>
          <w:sz w:val="20"/>
        </w:rPr>
        <w:t xml:space="preserve"> </w:t>
      </w:r>
      <w:r>
        <w:rPr>
          <w:sz w:val="20"/>
        </w:rPr>
        <w:t>Toowoomba</w:t>
      </w:r>
      <w:r>
        <w:rPr>
          <w:spacing w:val="-8"/>
          <w:sz w:val="20"/>
        </w:rPr>
        <w:t xml:space="preserve"> </w:t>
      </w:r>
      <w:r>
        <w:rPr>
          <w:sz w:val="20"/>
        </w:rPr>
        <w:t>Chronicle,</w:t>
      </w:r>
      <w:r>
        <w:rPr>
          <w:spacing w:val="-12"/>
          <w:sz w:val="20"/>
        </w:rPr>
        <w:t xml:space="preserve"> </w:t>
      </w:r>
      <w:r>
        <w:rPr>
          <w:sz w:val="20"/>
        </w:rPr>
        <w:t>Townsville</w:t>
      </w:r>
      <w:r>
        <w:rPr>
          <w:spacing w:val="-8"/>
          <w:sz w:val="20"/>
        </w:rPr>
        <w:t xml:space="preserve"> </w:t>
      </w:r>
      <w:r>
        <w:rPr>
          <w:sz w:val="20"/>
        </w:rPr>
        <w:t>Bulletin,</w:t>
      </w:r>
      <w:r>
        <w:rPr>
          <w:spacing w:val="-8"/>
          <w:sz w:val="20"/>
        </w:rPr>
        <w:t xml:space="preserve"> </w:t>
      </w:r>
      <w:r>
        <w:rPr>
          <w:sz w:val="20"/>
        </w:rPr>
        <w:t>Gold Coast Bulletin</w:t>
      </w:r>
    </w:p>
    <w:p w14:paraId="6FB6369B" w14:textId="77777777" w:rsidR="00AC6F3C" w:rsidRDefault="00570E88">
      <w:pPr>
        <w:pStyle w:val="ListParagraph"/>
        <w:numPr>
          <w:ilvl w:val="0"/>
          <w:numId w:val="58"/>
        </w:numPr>
        <w:tabs>
          <w:tab w:val="left" w:pos="1155"/>
        </w:tabs>
        <w:spacing w:before="171" w:line="249" w:lineRule="auto"/>
        <w:ind w:right="178"/>
        <w:rPr>
          <w:sz w:val="20"/>
        </w:rPr>
      </w:pPr>
      <w:r>
        <w:rPr>
          <w:b/>
          <w:sz w:val="20"/>
        </w:rPr>
        <w:t xml:space="preserve">Broadcast: </w:t>
      </w:r>
      <w:r>
        <w:rPr>
          <w:i/>
          <w:sz w:val="20"/>
        </w:rPr>
        <w:t xml:space="preserve">National, Metro and Regional </w:t>
      </w:r>
      <w:r>
        <w:rPr>
          <w:sz w:val="20"/>
        </w:rPr>
        <w:t>– TV:</w:t>
      </w:r>
      <w:r>
        <w:rPr>
          <w:spacing w:val="-5"/>
          <w:sz w:val="20"/>
        </w:rPr>
        <w:t xml:space="preserve"> </w:t>
      </w:r>
      <w:r>
        <w:rPr>
          <w:sz w:val="20"/>
        </w:rPr>
        <w:t>ABC News, 10 News, Seven News, 9 News, NBN, SBS,</w:t>
      </w:r>
      <w:r>
        <w:rPr>
          <w:spacing w:val="-3"/>
          <w:sz w:val="20"/>
        </w:rPr>
        <w:t xml:space="preserve"> </w:t>
      </w:r>
      <w:r>
        <w:rPr>
          <w:sz w:val="20"/>
        </w:rPr>
        <w:t>Seven</w:t>
      </w:r>
      <w:r>
        <w:rPr>
          <w:spacing w:val="-3"/>
          <w:sz w:val="20"/>
        </w:rPr>
        <w:t xml:space="preserve"> </w:t>
      </w:r>
      <w:r>
        <w:rPr>
          <w:sz w:val="20"/>
        </w:rPr>
        <w:t>Local</w:t>
      </w:r>
      <w:r>
        <w:rPr>
          <w:spacing w:val="-3"/>
          <w:sz w:val="20"/>
        </w:rPr>
        <w:t xml:space="preserve"> </w:t>
      </w:r>
      <w:r>
        <w:rPr>
          <w:sz w:val="20"/>
        </w:rPr>
        <w:t>News,</w:t>
      </w:r>
      <w:r>
        <w:rPr>
          <w:spacing w:val="-3"/>
          <w:sz w:val="20"/>
        </w:rPr>
        <w:t xml:space="preserve"> </w:t>
      </w:r>
      <w:r>
        <w:rPr>
          <w:sz w:val="20"/>
        </w:rPr>
        <w:t>Sky</w:t>
      </w:r>
      <w:r>
        <w:rPr>
          <w:spacing w:val="-3"/>
          <w:sz w:val="20"/>
        </w:rPr>
        <w:t xml:space="preserve"> </w:t>
      </w:r>
      <w:r>
        <w:rPr>
          <w:sz w:val="20"/>
        </w:rPr>
        <w:t>News,</w:t>
      </w:r>
      <w:r>
        <w:rPr>
          <w:spacing w:val="-3"/>
          <w:sz w:val="20"/>
        </w:rPr>
        <w:t xml:space="preserve"> </w:t>
      </w:r>
      <w:r>
        <w:rPr>
          <w:sz w:val="20"/>
        </w:rPr>
        <w:t>WIN.</w:t>
      </w:r>
      <w:r>
        <w:rPr>
          <w:spacing w:val="-3"/>
          <w:sz w:val="20"/>
        </w:rPr>
        <w:t xml:space="preserve"> </w:t>
      </w:r>
      <w:r>
        <w:rPr>
          <w:sz w:val="20"/>
        </w:rPr>
        <w:t>Radio:</w:t>
      </w:r>
      <w:r>
        <w:rPr>
          <w:spacing w:val="-13"/>
          <w:sz w:val="20"/>
        </w:rPr>
        <w:t xml:space="preserve"> </w:t>
      </w:r>
      <w:r>
        <w:rPr>
          <w:sz w:val="20"/>
        </w:rPr>
        <w:t>ABC</w:t>
      </w:r>
      <w:r>
        <w:rPr>
          <w:spacing w:val="-3"/>
          <w:sz w:val="20"/>
        </w:rPr>
        <w:t xml:space="preserve"> </w:t>
      </w:r>
      <w:r>
        <w:rPr>
          <w:sz w:val="20"/>
        </w:rPr>
        <w:t>Radio</w:t>
      </w:r>
      <w:r>
        <w:rPr>
          <w:spacing w:val="-3"/>
          <w:sz w:val="20"/>
        </w:rPr>
        <w:t xml:space="preserve"> </w:t>
      </w:r>
      <w:r>
        <w:rPr>
          <w:sz w:val="20"/>
        </w:rPr>
        <w:t>(Metropolitan</w:t>
      </w:r>
      <w:r>
        <w:rPr>
          <w:spacing w:val="-3"/>
          <w:sz w:val="20"/>
        </w:rPr>
        <w:t xml:space="preserve"> </w:t>
      </w:r>
      <w:r>
        <w:rPr>
          <w:sz w:val="20"/>
        </w:rPr>
        <w:t>and</w:t>
      </w:r>
      <w:r>
        <w:rPr>
          <w:spacing w:val="-3"/>
          <w:sz w:val="20"/>
        </w:rPr>
        <w:t xml:space="preserve"> </w:t>
      </w:r>
      <w:r>
        <w:rPr>
          <w:sz w:val="20"/>
        </w:rPr>
        <w:t>Regional/Rural),</w:t>
      </w:r>
      <w:r>
        <w:rPr>
          <w:spacing w:val="-3"/>
          <w:sz w:val="20"/>
        </w:rPr>
        <w:t xml:space="preserve"> </w:t>
      </w:r>
      <w:r>
        <w:rPr>
          <w:sz w:val="20"/>
        </w:rPr>
        <w:t>4BC (and 9 Radio network), 4CA, Triple M, HIT Network, KIIS (ARN), NOVA.</w:t>
      </w:r>
    </w:p>
    <w:p w14:paraId="3C59B9B7" w14:textId="77777777" w:rsidR="00AC6F3C" w:rsidRDefault="00570E88">
      <w:pPr>
        <w:pStyle w:val="ListParagraph"/>
        <w:numPr>
          <w:ilvl w:val="0"/>
          <w:numId w:val="58"/>
        </w:numPr>
        <w:tabs>
          <w:tab w:val="left" w:pos="1155"/>
        </w:tabs>
        <w:spacing w:before="173" w:line="249" w:lineRule="auto"/>
        <w:ind w:right="705"/>
        <w:rPr>
          <w:sz w:val="20"/>
        </w:rPr>
      </w:pPr>
      <w:r>
        <w:rPr>
          <w:b/>
          <w:sz w:val="20"/>
        </w:rPr>
        <w:t>Online:</w:t>
      </w:r>
      <w:r>
        <w:rPr>
          <w:b/>
          <w:spacing w:val="-5"/>
          <w:sz w:val="20"/>
        </w:rPr>
        <w:t xml:space="preserve"> </w:t>
      </w:r>
      <w:r>
        <w:rPr>
          <w:sz w:val="20"/>
        </w:rPr>
        <w:t>Courier-Mail</w:t>
      </w:r>
      <w:r>
        <w:rPr>
          <w:spacing w:val="-4"/>
          <w:sz w:val="20"/>
        </w:rPr>
        <w:t xml:space="preserve"> </w:t>
      </w:r>
      <w:r>
        <w:rPr>
          <w:sz w:val="20"/>
        </w:rPr>
        <w:t>(and</w:t>
      </w:r>
      <w:r>
        <w:rPr>
          <w:spacing w:val="-4"/>
          <w:sz w:val="20"/>
        </w:rPr>
        <w:t xml:space="preserve"> </w:t>
      </w:r>
      <w:r>
        <w:rPr>
          <w:sz w:val="20"/>
        </w:rPr>
        <w:t>syndicated</w:t>
      </w:r>
      <w:r>
        <w:rPr>
          <w:spacing w:val="-4"/>
          <w:sz w:val="20"/>
        </w:rPr>
        <w:t xml:space="preserve"> </w:t>
      </w:r>
      <w:r>
        <w:rPr>
          <w:sz w:val="20"/>
        </w:rPr>
        <w:t>NewsCorp</w:t>
      </w:r>
      <w:r>
        <w:rPr>
          <w:spacing w:val="-4"/>
          <w:sz w:val="20"/>
        </w:rPr>
        <w:t xml:space="preserve"> </w:t>
      </w:r>
      <w:r>
        <w:rPr>
          <w:sz w:val="20"/>
        </w:rPr>
        <w:t>mastheads),</w:t>
      </w:r>
      <w:r>
        <w:rPr>
          <w:spacing w:val="-14"/>
          <w:sz w:val="20"/>
        </w:rPr>
        <w:t xml:space="preserve"> </w:t>
      </w:r>
      <w:r>
        <w:rPr>
          <w:sz w:val="20"/>
        </w:rPr>
        <w:t>ABC</w:t>
      </w:r>
      <w:r>
        <w:rPr>
          <w:spacing w:val="-4"/>
          <w:sz w:val="20"/>
        </w:rPr>
        <w:t xml:space="preserve"> </w:t>
      </w:r>
      <w:r>
        <w:rPr>
          <w:sz w:val="20"/>
        </w:rPr>
        <w:t>Online,</w:t>
      </w:r>
      <w:r>
        <w:rPr>
          <w:spacing w:val="-7"/>
          <w:sz w:val="20"/>
        </w:rPr>
        <w:t xml:space="preserve"> </w:t>
      </w:r>
      <w:r>
        <w:rPr>
          <w:sz w:val="20"/>
        </w:rPr>
        <w:t>The</w:t>
      </w:r>
      <w:r>
        <w:rPr>
          <w:spacing w:val="-4"/>
          <w:sz w:val="20"/>
        </w:rPr>
        <w:t xml:space="preserve"> </w:t>
      </w:r>
      <w:r>
        <w:rPr>
          <w:sz w:val="20"/>
        </w:rPr>
        <w:t>Guardian,</w:t>
      </w:r>
      <w:r>
        <w:rPr>
          <w:spacing w:val="-14"/>
          <w:sz w:val="20"/>
        </w:rPr>
        <w:t xml:space="preserve"> </w:t>
      </w:r>
      <w:r>
        <w:rPr>
          <w:sz w:val="20"/>
        </w:rPr>
        <w:t>AFR, Brisbane Times, 9 Entertainment Co. syndicated sites</w:t>
      </w:r>
    </w:p>
    <w:p w14:paraId="5936806A" w14:textId="77777777" w:rsidR="00AC6F3C" w:rsidRDefault="00570E88">
      <w:pPr>
        <w:pStyle w:val="BodyText"/>
        <w:spacing w:before="171"/>
        <w:ind w:left="815"/>
      </w:pPr>
      <w:r>
        <w:t>Mentions</w:t>
      </w:r>
      <w:r>
        <w:rPr>
          <w:spacing w:val="-8"/>
        </w:rPr>
        <w:t xml:space="preserve"> </w:t>
      </w:r>
      <w:r>
        <w:t>of</w:t>
      </w:r>
      <w:r>
        <w:rPr>
          <w:spacing w:val="-4"/>
        </w:rPr>
        <w:t xml:space="preserve"> </w:t>
      </w:r>
      <w:r>
        <w:t>Queensland</w:t>
      </w:r>
      <w:r>
        <w:rPr>
          <w:spacing w:val="-4"/>
        </w:rPr>
        <w:t xml:space="preserve"> </w:t>
      </w:r>
      <w:r>
        <w:t>Law</w:t>
      </w:r>
      <w:r>
        <w:rPr>
          <w:spacing w:val="-4"/>
        </w:rPr>
        <w:t xml:space="preserve"> </w:t>
      </w:r>
      <w:r>
        <w:t>Society,</w:t>
      </w:r>
      <w:r>
        <w:rPr>
          <w:spacing w:val="-14"/>
        </w:rPr>
        <w:t xml:space="preserve"> </w:t>
      </w:r>
      <w:r>
        <w:t>Associations,</w:t>
      </w:r>
      <w:r>
        <w:rPr>
          <w:spacing w:val="-4"/>
        </w:rPr>
        <w:t xml:space="preserve"> </w:t>
      </w:r>
      <w:r>
        <w:t>Key</w:t>
      </w:r>
      <w:r>
        <w:rPr>
          <w:spacing w:val="-4"/>
        </w:rPr>
        <w:t xml:space="preserve"> </w:t>
      </w:r>
      <w:r>
        <w:t>Issues</w:t>
      </w:r>
      <w:r>
        <w:rPr>
          <w:spacing w:val="-4"/>
        </w:rPr>
        <w:t xml:space="preserve"> </w:t>
      </w:r>
      <w:r>
        <w:t>and</w:t>
      </w:r>
      <w:r>
        <w:rPr>
          <w:spacing w:val="-4"/>
        </w:rPr>
        <w:t xml:space="preserve"> </w:t>
      </w:r>
      <w:r>
        <w:t>Key</w:t>
      </w:r>
      <w:r>
        <w:rPr>
          <w:spacing w:val="-4"/>
        </w:rPr>
        <w:t xml:space="preserve"> </w:t>
      </w:r>
      <w:r>
        <w:t>Spokespeople:</w:t>
      </w:r>
      <w:r>
        <w:rPr>
          <w:spacing w:val="-7"/>
        </w:rPr>
        <w:t xml:space="preserve"> </w:t>
      </w:r>
      <w:r>
        <w:t>TOTAL:</w:t>
      </w:r>
      <w:r>
        <w:rPr>
          <w:spacing w:val="-4"/>
        </w:rPr>
        <w:t xml:space="preserve"> </w:t>
      </w:r>
      <w:r>
        <w:rPr>
          <w:spacing w:val="-2"/>
        </w:rPr>
        <w:t>16,597</w:t>
      </w:r>
    </w:p>
    <w:p w14:paraId="1AE941AB" w14:textId="77777777" w:rsidR="00AC6F3C" w:rsidRDefault="00570E88">
      <w:pPr>
        <w:pStyle w:val="ListParagraph"/>
        <w:numPr>
          <w:ilvl w:val="0"/>
          <w:numId w:val="58"/>
        </w:numPr>
        <w:tabs>
          <w:tab w:val="left" w:pos="1155"/>
        </w:tabs>
        <w:ind w:hanging="340"/>
        <w:rPr>
          <w:sz w:val="20"/>
        </w:rPr>
      </w:pPr>
      <w:r>
        <w:rPr>
          <w:sz w:val="20"/>
        </w:rPr>
        <w:t>Radio</w:t>
      </w:r>
      <w:r>
        <w:rPr>
          <w:spacing w:val="-3"/>
          <w:sz w:val="20"/>
        </w:rPr>
        <w:t xml:space="preserve"> </w:t>
      </w:r>
      <w:r>
        <w:rPr>
          <w:sz w:val="20"/>
        </w:rPr>
        <w:t>–</w:t>
      </w:r>
      <w:r>
        <w:rPr>
          <w:spacing w:val="-2"/>
          <w:sz w:val="20"/>
        </w:rPr>
        <w:t xml:space="preserve"> </w:t>
      </w:r>
      <w:r>
        <w:rPr>
          <w:sz w:val="20"/>
        </w:rPr>
        <w:t>2477</w:t>
      </w:r>
      <w:r>
        <w:rPr>
          <w:spacing w:val="-2"/>
          <w:sz w:val="20"/>
        </w:rPr>
        <w:t xml:space="preserve"> mentions.</w:t>
      </w:r>
    </w:p>
    <w:p w14:paraId="01890AD3" w14:textId="77777777" w:rsidR="00AC6F3C" w:rsidRDefault="00570E88">
      <w:pPr>
        <w:pStyle w:val="ListParagraph"/>
        <w:numPr>
          <w:ilvl w:val="0"/>
          <w:numId w:val="58"/>
        </w:numPr>
        <w:tabs>
          <w:tab w:val="left" w:pos="1155"/>
        </w:tabs>
        <w:ind w:hanging="340"/>
        <w:rPr>
          <w:sz w:val="20"/>
        </w:rPr>
      </w:pPr>
      <w:r>
        <w:rPr>
          <w:sz w:val="20"/>
        </w:rPr>
        <w:t>Newspaper</w:t>
      </w:r>
      <w:r>
        <w:rPr>
          <w:spacing w:val="-2"/>
          <w:sz w:val="20"/>
        </w:rPr>
        <w:t xml:space="preserve"> </w:t>
      </w:r>
      <w:r>
        <w:rPr>
          <w:sz w:val="20"/>
        </w:rPr>
        <w:t>–</w:t>
      </w:r>
      <w:r>
        <w:rPr>
          <w:spacing w:val="-1"/>
          <w:sz w:val="20"/>
        </w:rPr>
        <w:t xml:space="preserve"> </w:t>
      </w:r>
      <w:r>
        <w:rPr>
          <w:sz w:val="20"/>
        </w:rPr>
        <w:t>4,956</w:t>
      </w:r>
      <w:r>
        <w:rPr>
          <w:spacing w:val="-1"/>
          <w:sz w:val="20"/>
        </w:rPr>
        <w:t xml:space="preserve"> </w:t>
      </w:r>
      <w:r>
        <w:rPr>
          <w:spacing w:val="-2"/>
          <w:sz w:val="20"/>
        </w:rPr>
        <w:t>mentions</w:t>
      </w:r>
    </w:p>
    <w:p w14:paraId="017101FE" w14:textId="77777777" w:rsidR="00AC6F3C" w:rsidRDefault="00570E88">
      <w:pPr>
        <w:pStyle w:val="ListParagraph"/>
        <w:numPr>
          <w:ilvl w:val="0"/>
          <w:numId w:val="58"/>
        </w:numPr>
        <w:tabs>
          <w:tab w:val="left" w:pos="1155"/>
        </w:tabs>
        <w:ind w:hanging="340"/>
        <w:rPr>
          <w:sz w:val="20"/>
        </w:rPr>
      </w:pPr>
      <w:r>
        <w:rPr>
          <w:sz w:val="20"/>
        </w:rPr>
        <w:t>Online</w:t>
      </w:r>
      <w:r>
        <w:rPr>
          <w:spacing w:val="-2"/>
          <w:sz w:val="20"/>
        </w:rPr>
        <w:t xml:space="preserve"> </w:t>
      </w:r>
      <w:r>
        <w:rPr>
          <w:sz w:val="20"/>
        </w:rPr>
        <w:t>news</w:t>
      </w:r>
      <w:r>
        <w:rPr>
          <w:spacing w:val="-2"/>
          <w:sz w:val="20"/>
        </w:rPr>
        <w:t xml:space="preserve"> </w:t>
      </w:r>
      <w:r>
        <w:rPr>
          <w:sz w:val="20"/>
        </w:rPr>
        <w:t>–</w:t>
      </w:r>
      <w:r>
        <w:rPr>
          <w:spacing w:val="-2"/>
          <w:sz w:val="20"/>
        </w:rPr>
        <w:t xml:space="preserve"> </w:t>
      </w:r>
      <w:r>
        <w:rPr>
          <w:sz w:val="20"/>
        </w:rPr>
        <w:t>7,937</w:t>
      </w:r>
      <w:r>
        <w:rPr>
          <w:spacing w:val="-2"/>
          <w:sz w:val="20"/>
        </w:rPr>
        <w:t xml:space="preserve"> </w:t>
      </w:r>
      <w:r>
        <w:rPr>
          <w:sz w:val="20"/>
        </w:rPr>
        <w:t>mentions,</w:t>
      </w:r>
      <w:r>
        <w:rPr>
          <w:spacing w:val="-1"/>
          <w:sz w:val="20"/>
        </w:rPr>
        <w:t xml:space="preserve"> </w:t>
      </w:r>
      <w:r>
        <w:rPr>
          <w:spacing w:val="-5"/>
          <w:sz w:val="20"/>
        </w:rPr>
        <w:t>and</w:t>
      </w:r>
    </w:p>
    <w:p w14:paraId="67662FBC" w14:textId="77777777" w:rsidR="00AC6F3C" w:rsidRDefault="00570E88">
      <w:pPr>
        <w:pStyle w:val="ListParagraph"/>
        <w:numPr>
          <w:ilvl w:val="0"/>
          <w:numId w:val="58"/>
        </w:numPr>
        <w:tabs>
          <w:tab w:val="left" w:pos="1155"/>
        </w:tabs>
        <w:ind w:hanging="340"/>
        <w:rPr>
          <w:sz w:val="20"/>
        </w:rPr>
      </w:pPr>
      <w:r>
        <w:rPr>
          <w:sz w:val="20"/>
        </w:rPr>
        <w:t>TV</w:t>
      </w:r>
      <w:r>
        <w:rPr>
          <w:spacing w:val="-1"/>
          <w:sz w:val="20"/>
        </w:rPr>
        <w:t xml:space="preserve"> </w:t>
      </w:r>
      <w:r>
        <w:rPr>
          <w:sz w:val="20"/>
        </w:rPr>
        <w:t>–</w:t>
      </w:r>
      <w:r>
        <w:rPr>
          <w:spacing w:val="-1"/>
          <w:sz w:val="20"/>
        </w:rPr>
        <w:t xml:space="preserve"> </w:t>
      </w:r>
      <w:r>
        <w:rPr>
          <w:sz w:val="20"/>
        </w:rPr>
        <w:t>1053</w:t>
      </w:r>
      <w:r>
        <w:rPr>
          <w:spacing w:val="-1"/>
          <w:sz w:val="20"/>
        </w:rPr>
        <w:t xml:space="preserve"> </w:t>
      </w:r>
      <w:r>
        <w:rPr>
          <w:spacing w:val="-2"/>
          <w:sz w:val="20"/>
        </w:rPr>
        <w:t>mentions.</w:t>
      </w:r>
    </w:p>
    <w:p w14:paraId="5642290E" w14:textId="77777777" w:rsidR="00AC6F3C" w:rsidRDefault="00AC6F3C">
      <w:pPr>
        <w:rPr>
          <w:sz w:val="20"/>
        </w:rPr>
        <w:sectPr w:rsidR="00AC6F3C">
          <w:headerReference w:type="default" r:id="rId106"/>
          <w:footerReference w:type="default" r:id="rId107"/>
          <w:pgSz w:w="11910" w:h="16840"/>
          <w:pgMar w:top="1140" w:right="1160" w:bottom="520" w:left="460" w:header="0" w:footer="336" w:gutter="0"/>
          <w:cols w:space="720"/>
        </w:sectPr>
      </w:pPr>
    </w:p>
    <w:p w14:paraId="432DE2F1"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23684FD7" wp14:editId="73CB9F07">
                <wp:extent cx="5940425" cy="25400"/>
                <wp:effectExtent l="19050" t="0" r="3175" b="3175"/>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308" name="Graphic 308"/>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166474" id="Group 307"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">
                <v:shape id="Graphic 308"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" path="m,l5940005,e" filled="f" strokeweight="2pt">
                  <v:path arrowok="t"/>
                </v:shape>
                <w10:anchorlock/>
              </v:group>
            </w:pict>
          </mc:Fallback>
        </mc:AlternateContent>
      </w:r>
    </w:p>
    <w:p w14:paraId="5267FDC2" w14:textId="77777777" w:rsidR="00AC6F3C" w:rsidRDefault="00570E88">
      <w:pPr>
        <w:spacing w:before="165"/>
        <w:ind w:left="815"/>
        <w:rPr>
          <w:b/>
          <w:sz w:val="44"/>
        </w:rPr>
      </w:pPr>
      <w:bookmarkStart w:id="41" w:name="REGULATE_"/>
      <w:bookmarkStart w:id="42" w:name="Regulation"/>
      <w:bookmarkStart w:id="43" w:name="_bookmark14"/>
      <w:bookmarkEnd w:id="41"/>
      <w:bookmarkEnd w:id="42"/>
      <w:bookmarkEnd w:id="43"/>
      <w:r>
        <w:rPr>
          <w:b/>
          <w:spacing w:val="-2"/>
          <w:sz w:val="44"/>
        </w:rPr>
        <w:t>REGULATE</w:t>
      </w:r>
    </w:p>
    <w:p w14:paraId="7A7EDCE1" w14:textId="77777777" w:rsidR="00AC6F3C" w:rsidRDefault="00570E88">
      <w:pPr>
        <w:spacing w:before="320" w:line="249" w:lineRule="auto"/>
        <w:ind w:left="815"/>
        <w:rPr>
          <w:b/>
          <w:sz w:val="28"/>
        </w:rPr>
      </w:pPr>
      <w:r>
        <w:rPr>
          <w:b/>
          <w:sz w:val="28"/>
        </w:rPr>
        <w:t>We</w:t>
      </w:r>
      <w:r>
        <w:rPr>
          <w:b/>
          <w:spacing w:val="-4"/>
          <w:sz w:val="28"/>
        </w:rPr>
        <w:t xml:space="preserve"> </w:t>
      </w:r>
      <w:r>
        <w:rPr>
          <w:b/>
          <w:sz w:val="28"/>
        </w:rPr>
        <w:t>regulate</w:t>
      </w:r>
      <w:r>
        <w:rPr>
          <w:b/>
          <w:spacing w:val="-4"/>
          <w:sz w:val="28"/>
        </w:rPr>
        <w:t xml:space="preserve"> </w:t>
      </w:r>
      <w:r>
        <w:rPr>
          <w:b/>
          <w:sz w:val="28"/>
        </w:rPr>
        <w:t>solicitors</w:t>
      </w:r>
      <w:r>
        <w:rPr>
          <w:b/>
          <w:spacing w:val="-4"/>
          <w:sz w:val="28"/>
        </w:rPr>
        <w:t xml:space="preserve"> </w:t>
      </w:r>
      <w:r>
        <w:rPr>
          <w:b/>
          <w:sz w:val="28"/>
        </w:rPr>
        <w:t>in</w:t>
      </w:r>
      <w:r>
        <w:rPr>
          <w:b/>
          <w:spacing w:val="-4"/>
          <w:sz w:val="28"/>
        </w:rPr>
        <w:t xml:space="preserve"> </w:t>
      </w:r>
      <w:r>
        <w:rPr>
          <w:b/>
          <w:sz w:val="28"/>
        </w:rPr>
        <w:t>Queensland</w:t>
      </w:r>
      <w:r>
        <w:rPr>
          <w:b/>
          <w:spacing w:val="-4"/>
          <w:sz w:val="28"/>
        </w:rPr>
        <w:t xml:space="preserve"> </w:t>
      </w:r>
      <w:r>
        <w:rPr>
          <w:b/>
          <w:sz w:val="28"/>
        </w:rPr>
        <w:t>to</w:t>
      </w:r>
      <w:r>
        <w:rPr>
          <w:b/>
          <w:spacing w:val="-4"/>
          <w:sz w:val="28"/>
        </w:rPr>
        <w:t xml:space="preserve"> </w:t>
      </w:r>
      <w:r>
        <w:rPr>
          <w:b/>
          <w:sz w:val="28"/>
        </w:rPr>
        <w:t>protect</w:t>
      </w:r>
      <w:r>
        <w:rPr>
          <w:b/>
          <w:spacing w:val="-4"/>
          <w:sz w:val="28"/>
        </w:rPr>
        <w:t xml:space="preserve"> </w:t>
      </w:r>
      <w:r>
        <w:rPr>
          <w:b/>
          <w:sz w:val="28"/>
        </w:rPr>
        <w:t>the</w:t>
      </w:r>
      <w:r>
        <w:rPr>
          <w:b/>
          <w:spacing w:val="-4"/>
          <w:sz w:val="28"/>
        </w:rPr>
        <w:t xml:space="preserve"> </w:t>
      </w:r>
      <w:r>
        <w:rPr>
          <w:b/>
          <w:sz w:val="28"/>
        </w:rPr>
        <w:t>community</w:t>
      </w:r>
      <w:r>
        <w:rPr>
          <w:b/>
          <w:spacing w:val="-4"/>
          <w:sz w:val="28"/>
        </w:rPr>
        <w:t xml:space="preserve"> </w:t>
      </w:r>
      <w:r>
        <w:rPr>
          <w:b/>
          <w:sz w:val="28"/>
        </w:rPr>
        <w:t>and</w:t>
      </w:r>
      <w:r>
        <w:rPr>
          <w:b/>
          <w:spacing w:val="-4"/>
          <w:sz w:val="28"/>
        </w:rPr>
        <w:t xml:space="preserve"> </w:t>
      </w:r>
      <w:r>
        <w:rPr>
          <w:b/>
          <w:sz w:val="28"/>
        </w:rPr>
        <w:t>to foster, promote and protect the good reputation of the profession.</w:t>
      </w:r>
    </w:p>
    <w:p w14:paraId="6FECA908" w14:textId="77777777" w:rsidR="00AC6F3C" w:rsidRDefault="00AC6F3C">
      <w:pPr>
        <w:pStyle w:val="BodyText"/>
        <w:spacing w:before="8"/>
        <w:rPr>
          <w:b/>
          <w:sz w:val="30"/>
        </w:rPr>
      </w:pPr>
    </w:p>
    <w:p w14:paraId="651D9D80" w14:textId="77777777" w:rsidR="00AC6F3C" w:rsidRDefault="00570E88">
      <w:pPr>
        <w:pStyle w:val="Heading3"/>
      </w:pPr>
      <w:r>
        <w:rPr>
          <w:spacing w:val="-2"/>
        </w:rPr>
        <w:t>Regulation</w:t>
      </w:r>
    </w:p>
    <w:p w14:paraId="3C30329C" w14:textId="77777777" w:rsidR="00AC6F3C" w:rsidRDefault="00AC6F3C">
      <w:pPr>
        <w:pStyle w:val="BodyText"/>
        <w:spacing w:before="7"/>
        <w:rPr>
          <w:b/>
          <w:sz w:val="29"/>
        </w:rPr>
      </w:pPr>
    </w:p>
    <w:p w14:paraId="20124EDC" w14:textId="77777777" w:rsidR="00AC6F3C" w:rsidRDefault="00570E88">
      <w:pPr>
        <w:ind w:left="815"/>
        <w:rPr>
          <w:b/>
          <w:sz w:val="26"/>
        </w:rPr>
      </w:pPr>
      <w:proofErr w:type="spellStart"/>
      <w:r>
        <w:rPr>
          <w:b/>
          <w:sz w:val="26"/>
        </w:rPr>
        <w:t>Practising</w:t>
      </w:r>
      <w:proofErr w:type="spellEnd"/>
      <w:r>
        <w:rPr>
          <w:b/>
          <w:sz w:val="26"/>
        </w:rPr>
        <w:t xml:space="preserve"> </w:t>
      </w:r>
      <w:r>
        <w:rPr>
          <w:b/>
          <w:spacing w:val="-2"/>
          <w:sz w:val="26"/>
        </w:rPr>
        <w:t>Certificates</w:t>
      </w:r>
    </w:p>
    <w:p w14:paraId="79680CA2" w14:textId="77777777" w:rsidR="00AC6F3C" w:rsidRDefault="00570E88">
      <w:pPr>
        <w:pStyle w:val="BodyText"/>
        <w:spacing w:before="168" w:line="249" w:lineRule="auto"/>
        <w:ind w:left="815" w:right="468"/>
      </w:pPr>
      <w:r>
        <w:t>There</w:t>
      </w:r>
      <w:r>
        <w:rPr>
          <w:spacing w:val="-6"/>
        </w:rPr>
        <w:t xml:space="preserve"> </w:t>
      </w:r>
      <w:r>
        <w:t>were</w:t>
      </w:r>
      <w:r>
        <w:rPr>
          <w:spacing w:val="-5"/>
        </w:rPr>
        <w:t xml:space="preserve"> </w:t>
      </w:r>
      <w:r>
        <w:t>11</w:t>
      </w:r>
      <w:r>
        <w:rPr>
          <w:spacing w:val="-5"/>
        </w:rPr>
        <w:t xml:space="preserve"> </w:t>
      </w:r>
      <w:r>
        <w:t>Show</w:t>
      </w:r>
      <w:r>
        <w:rPr>
          <w:spacing w:val="-5"/>
        </w:rPr>
        <w:t xml:space="preserve"> </w:t>
      </w:r>
      <w:r>
        <w:t>Cause</w:t>
      </w:r>
      <w:r>
        <w:rPr>
          <w:spacing w:val="-5"/>
        </w:rPr>
        <w:t xml:space="preserve"> </w:t>
      </w:r>
      <w:r>
        <w:t>matters</w:t>
      </w:r>
      <w:r>
        <w:rPr>
          <w:spacing w:val="-5"/>
        </w:rPr>
        <w:t xml:space="preserve"> </w:t>
      </w:r>
      <w:r>
        <w:t>(ss67</w:t>
      </w:r>
      <w:r>
        <w:rPr>
          <w:spacing w:val="-5"/>
        </w:rPr>
        <w:t xml:space="preserve"> </w:t>
      </w:r>
      <w:r>
        <w:t>and</w:t>
      </w:r>
      <w:r>
        <w:rPr>
          <w:spacing w:val="-5"/>
        </w:rPr>
        <w:t xml:space="preserve"> </w:t>
      </w:r>
      <w:r>
        <w:t>68</w:t>
      </w:r>
      <w:r>
        <w:rPr>
          <w:spacing w:val="-5"/>
        </w:rPr>
        <w:t xml:space="preserve"> </w:t>
      </w:r>
      <w:r>
        <w:t>LPA</w:t>
      </w:r>
      <w:r>
        <w:rPr>
          <w:spacing w:val="-14"/>
        </w:rPr>
        <w:t xml:space="preserve"> </w:t>
      </w:r>
      <w:r>
        <w:t>2007)</w:t>
      </w:r>
      <w:r>
        <w:rPr>
          <w:spacing w:val="-5"/>
        </w:rPr>
        <w:t xml:space="preserve"> </w:t>
      </w:r>
      <w:r>
        <w:t>reported</w:t>
      </w:r>
      <w:r>
        <w:rPr>
          <w:spacing w:val="-5"/>
        </w:rPr>
        <w:t xml:space="preserve"> </w:t>
      </w:r>
      <w:r>
        <w:t>by</w:t>
      </w:r>
      <w:r>
        <w:rPr>
          <w:spacing w:val="-5"/>
        </w:rPr>
        <w:t xml:space="preserve"> </w:t>
      </w:r>
      <w:r>
        <w:t>practitioners</w:t>
      </w:r>
      <w:r>
        <w:rPr>
          <w:spacing w:val="-5"/>
        </w:rPr>
        <w:t xml:space="preserve"> </w:t>
      </w:r>
      <w:r>
        <w:t>this</w:t>
      </w:r>
      <w:r>
        <w:rPr>
          <w:spacing w:val="-5"/>
        </w:rPr>
        <w:t xml:space="preserve"> </w:t>
      </w:r>
      <w:r>
        <w:t>year,</w:t>
      </w:r>
      <w:r>
        <w:rPr>
          <w:spacing w:val="-5"/>
        </w:rPr>
        <w:t xml:space="preserve"> </w:t>
      </w:r>
      <w:r>
        <w:t xml:space="preserve">up from nine last year. In respect of those </w:t>
      </w:r>
      <w:proofErr w:type="gramStart"/>
      <w:r>
        <w:t>11</w:t>
      </w:r>
      <w:proofErr w:type="gramEnd"/>
      <w:r>
        <w:t xml:space="preserve"> matters:</w:t>
      </w:r>
    </w:p>
    <w:p w14:paraId="27B9A454" w14:textId="77777777" w:rsidR="00AC6F3C" w:rsidRDefault="00570E88">
      <w:pPr>
        <w:pStyle w:val="ListParagraph"/>
        <w:numPr>
          <w:ilvl w:val="0"/>
          <w:numId w:val="58"/>
        </w:numPr>
        <w:tabs>
          <w:tab w:val="left" w:pos="1155"/>
        </w:tabs>
        <w:spacing w:before="171"/>
        <w:ind w:hanging="340"/>
        <w:rPr>
          <w:sz w:val="20"/>
        </w:rPr>
      </w:pPr>
      <w:r>
        <w:rPr>
          <w:sz w:val="20"/>
        </w:rPr>
        <w:t>Three</w:t>
      </w:r>
      <w:r>
        <w:rPr>
          <w:spacing w:val="-5"/>
          <w:sz w:val="20"/>
        </w:rPr>
        <w:t xml:space="preserve"> </w:t>
      </w:r>
      <w:r>
        <w:rPr>
          <w:sz w:val="20"/>
        </w:rPr>
        <w:t>showed</w:t>
      </w:r>
      <w:r>
        <w:rPr>
          <w:spacing w:val="-4"/>
          <w:sz w:val="20"/>
        </w:rPr>
        <w:t xml:space="preserve"> </w:t>
      </w:r>
      <w:proofErr w:type="gramStart"/>
      <w:r>
        <w:rPr>
          <w:spacing w:val="-2"/>
          <w:sz w:val="20"/>
        </w:rPr>
        <w:t>cause</w:t>
      </w:r>
      <w:proofErr w:type="gramEnd"/>
    </w:p>
    <w:p w14:paraId="17E1FF90" w14:textId="77777777" w:rsidR="00AC6F3C" w:rsidRDefault="00570E88">
      <w:pPr>
        <w:pStyle w:val="ListParagraph"/>
        <w:numPr>
          <w:ilvl w:val="0"/>
          <w:numId w:val="58"/>
        </w:numPr>
        <w:tabs>
          <w:tab w:val="left" w:pos="1155"/>
        </w:tabs>
        <w:ind w:hanging="340"/>
        <w:rPr>
          <w:sz w:val="20"/>
        </w:rPr>
      </w:pPr>
      <w:r>
        <w:rPr>
          <w:sz w:val="20"/>
        </w:rPr>
        <w:t>One</w:t>
      </w:r>
      <w:r>
        <w:rPr>
          <w:spacing w:val="-2"/>
          <w:sz w:val="20"/>
        </w:rPr>
        <w:t xml:space="preserve"> </w:t>
      </w:r>
      <w:r>
        <w:rPr>
          <w:sz w:val="20"/>
        </w:rPr>
        <w:t>was</w:t>
      </w:r>
      <w:r>
        <w:rPr>
          <w:spacing w:val="-2"/>
          <w:sz w:val="20"/>
        </w:rPr>
        <w:t xml:space="preserve"> </w:t>
      </w:r>
      <w:r>
        <w:rPr>
          <w:sz w:val="20"/>
        </w:rPr>
        <w:t>found</w:t>
      </w:r>
      <w:r>
        <w:rPr>
          <w:spacing w:val="-2"/>
          <w:sz w:val="20"/>
        </w:rPr>
        <w:t xml:space="preserve"> </w:t>
      </w:r>
      <w:proofErr w:type="gramStart"/>
      <w:r>
        <w:rPr>
          <w:spacing w:val="-2"/>
          <w:sz w:val="20"/>
        </w:rPr>
        <w:t>unfit</w:t>
      </w:r>
      <w:proofErr w:type="gramEnd"/>
    </w:p>
    <w:p w14:paraId="5415F102" w14:textId="77777777" w:rsidR="00AC6F3C" w:rsidRDefault="00570E88">
      <w:pPr>
        <w:pStyle w:val="ListParagraph"/>
        <w:numPr>
          <w:ilvl w:val="0"/>
          <w:numId w:val="58"/>
        </w:numPr>
        <w:tabs>
          <w:tab w:val="left" w:pos="1155"/>
        </w:tabs>
        <w:ind w:hanging="340"/>
        <w:rPr>
          <w:sz w:val="20"/>
        </w:rPr>
      </w:pPr>
      <w:r>
        <w:rPr>
          <w:sz w:val="20"/>
        </w:rPr>
        <w:t>One</w:t>
      </w:r>
      <w:r>
        <w:rPr>
          <w:spacing w:val="-3"/>
          <w:sz w:val="20"/>
        </w:rPr>
        <w:t xml:space="preserve"> </w:t>
      </w:r>
      <w:r>
        <w:rPr>
          <w:sz w:val="20"/>
        </w:rPr>
        <w:t>withdrew</w:t>
      </w:r>
      <w:r>
        <w:rPr>
          <w:spacing w:val="-2"/>
          <w:sz w:val="20"/>
        </w:rPr>
        <w:t xml:space="preserve"> </w:t>
      </w:r>
      <w:r>
        <w:rPr>
          <w:sz w:val="20"/>
        </w:rPr>
        <w:t>an</w:t>
      </w:r>
      <w:r>
        <w:rPr>
          <w:spacing w:val="-3"/>
          <w:sz w:val="20"/>
        </w:rPr>
        <w:t xml:space="preserve"> </w:t>
      </w:r>
      <w:r>
        <w:rPr>
          <w:sz w:val="20"/>
        </w:rPr>
        <w:t>application</w:t>
      </w:r>
      <w:r>
        <w:rPr>
          <w:spacing w:val="-2"/>
          <w:sz w:val="20"/>
        </w:rPr>
        <w:t xml:space="preserve"> </w:t>
      </w:r>
      <w:r>
        <w:rPr>
          <w:sz w:val="20"/>
        </w:rPr>
        <w:t>for</w:t>
      </w:r>
      <w:r>
        <w:rPr>
          <w:spacing w:val="-3"/>
          <w:sz w:val="20"/>
        </w:rPr>
        <w:t xml:space="preserve"> </w:t>
      </w:r>
      <w:r>
        <w:rPr>
          <w:sz w:val="20"/>
        </w:rPr>
        <w:t>grant</w:t>
      </w:r>
      <w:r>
        <w:rPr>
          <w:spacing w:val="-2"/>
          <w:sz w:val="20"/>
        </w:rPr>
        <w:t xml:space="preserve"> </w:t>
      </w:r>
      <w:r>
        <w:rPr>
          <w:sz w:val="20"/>
        </w:rPr>
        <w:t>of</w:t>
      </w:r>
      <w:r>
        <w:rPr>
          <w:spacing w:val="-3"/>
          <w:sz w:val="20"/>
        </w:rPr>
        <w:t xml:space="preserve"> </w:t>
      </w:r>
      <w:r>
        <w:rPr>
          <w:sz w:val="20"/>
        </w:rPr>
        <w:t>a</w:t>
      </w:r>
      <w:r>
        <w:rPr>
          <w:spacing w:val="-2"/>
          <w:sz w:val="20"/>
        </w:rPr>
        <w:t xml:space="preserve"> </w:t>
      </w:r>
      <w:proofErr w:type="gramStart"/>
      <w:r>
        <w:rPr>
          <w:spacing w:val="-5"/>
          <w:sz w:val="20"/>
        </w:rPr>
        <w:t>PC</w:t>
      </w:r>
      <w:proofErr w:type="gramEnd"/>
    </w:p>
    <w:p w14:paraId="68CBAE52" w14:textId="77777777" w:rsidR="00AC6F3C" w:rsidRDefault="00570E88">
      <w:pPr>
        <w:pStyle w:val="ListParagraph"/>
        <w:numPr>
          <w:ilvl w:val="0"/>
          <w:numId w:val="58"/>
        </w:numPr>
        <w:tabs>
          <w:tab w:val="left" w:pos="1155"/>
        </w:tabs>
        <w:ind w:hanging="340"/>
        <w:rPr>
          <w:sz w:val="20"/>
        </w:rPr>
      </w:pPr>
      <w:r>
        <w:rPr>
          <w:sz w:val="20"/>
        </w:rPr>
        <w:t>Three</w:t>
      </w:r>
      <w:r>
        <w:rPr>
          <w:spacing w:val="-3"/>
          <w:sz w:val="20"/>
        </w:rPr>
        <w:t xml:space="preserve"> </w:t>
      </w:r>
      <w:r>
        <w:rPr>
          <w:sz w:val="20"/>
        </w:rPr>
        <w:t>found</w:t>
      </w:r>
      <w:r>
        <w:rPr>
          <w:spacing w:val="-2"/>
          <w:sz w:val="20"/>
        </w:rPr>
        <w:t xml:space="preserve"> </w:t>
      </w:r>
      <w:r>
        <w:rPr>
          <w:sz w:val="20"/>
        </w:rPr>
        <w:t>fit</w:t>
      </w:r>
      <w:r>
        <w:rPr>
          <w:spacing w:val="-3"/>
          <w:sz w:val="20"/>
        </w:rPr>
        <w:t xml:space="preserve"> </w:t>
      </w:r>
      <w:r>
        <w:rPr>
          <w:sz w:val="20"/>
        </w:rPr>
        <w:t>and</w:t>
      </w:r>
      <w:r>
        <w:rPr>
          <w:spacing w:val="-2"/>
          <w:sz w:val="20"/>
        </w:rPr>
        <w:t xml:space="preserve"> </w:t>
      </w:r>
      <w:r>
        <w:rPr>
          <w:sz w:val="20"/>
        </w:rPr>
        <w:t>proper</w:t>
      </w:r>
      <w:r>
        <w:rPr>
          <w:spacing w:val="-2"/>
          <w:sz w:val="20"/>
        </w:rPr>
        <w:t xml:space="preserve"> </w:t>
      </w:r>
      <w:r>
        <w:rPr>
          <w:sz w:val="20"/>
        </w:rPr>
        <w:t>to</w:t>
      </w:r>
      <w:r>
        <w:rPr>
          <w:spacing w:val="-3"/>
          <w:sz w:val="20"/>
        </w:rPr>
        <w:t xml:space="preserve"> </w:t>
      </w:r>
      <w:r>
        <w:rPr>
          <w:sz w:val="20"/>
        </w:rPr>
        <w:t>hold</w:t>
      </w:r>
      <w:r>
        <w:rPr>
          <w:spacing w:val="-2"/>
          <w:sz w:val="20"/>
        </w:rPr>
        <w:t xml:space="preserve"> </w:t>
      </w:r>
      <w:proofErr w:type="spellStart"/>
      <w:r>
        <w:rPr>
          <w:sz w:val="20"/>
        </w:rPr>
        <w:t>Practising</w:t>
      </w:r>
      <w:proofErr w:type="spellEnd"/>
      <w:r>
        <w:rPr>
          <w:spacing w:val="-2"/>
          <w:sz w:val="20"/>
        </w:rPr>
        <w:t xml:space="preserve"> </w:t>
      </w:r>
      <w:r>
        <w:rPr>
          <w:sz w:val="20"/>
        </w:rPr>
        <w:t>Certificates</w:t>
      </w:r>
      <w:r>
        <w:rPr>
          <w:spacing w:val="-3"/>
          <w:sz w:val="20"/>
        </w:rPr>
        <w:t xml:space="preserve"> </w:t>
      </w:r>
      <w:r>
        <w:rPr>
          <w:sz w:val="20"/>
        </w:rPr>
        <w:t>upon</w:t>
      </w:r>
      <w:r>
        <w:rPr>
          <w:spacing w:val="-2"/>
          <w:sz w:val="20"/>
        </w:rPr>
        <w:t xml:space="preserve"> </w:t>
      </w:r>
      <w:r>
        <w:rPr>
          <w:sz w:val="20"/>
        </w:rPr>
        <w:t>conditions,</w:t>
      </w:r>
      <w:r>
        <w:rPr>
          <w:spacing w:val="-2"/>
          <w:sz w:val="20"/>
        </w:rPr>
        <w:t xml:space="preserve"> </w:t>
      </w:r>
      <w:r>
        <w:rPr>
          <w:spacing w:val="-5"/>
          <w:sz w:val="20"/>
        </w:rPr>
        <w:t>and</w:t>
      </w:r>
    </w:p>
    <w:p w14:paraId="68EB5C66" w14:textId="77777777" w:rsidR="00AC6F3C" w:rsidRDefault="00570E88">
      <w:pPr>
        <w:pStyle w:val="ListParagraph"/>
        <w:numPr>
          <w:ilvl w:val="0"/>
          <w:numId w:val="58"/>
        </w:numPr>
        <w:tabs>
          <w:tab w:val="left" w:pos="1155"/>
        </w:tabs>
        <w:ind w:hanging="340"/>
        <w:rPr>
          <w:sz w:val="20"/>
        </w:rPr>
      </w:pPr>
      <w:r>
        <w:rPr>
          <w:sz w:val="20"/>
        </w:rPr>
        <w:t>Three</w:t>
      </w:r>
      <w:r>
        <w:rPr>
          <w:spacing w:val="-5"/>
          <w:sz w:val="20"/>
        </w:rPr>
        <w:t xml:space="preserve"> </w:t>
      </w:r>
      <w:r>
        <w:rPr>
          <w:sz w:val="20"/>
        </w:rPr>
        <w:t>remain</w:t>
      </w:r>
      <w:r>
        <w:rPr>
          <w:spacing w:val="-3"/>
          <w:sz w:val="20"/>
        </w:rPr>
        <w:t xml:space="preserve"> </w:t>
      </w:r>
      <w:r>
        <w:rPr>
          <w:sz w:val="20"/>
        </w:rPr>
        <w:t>to</w:t>
      </w:r>
      <w:r>
        <w:rPr>
          <w:spacing w:val="-3"/>
          <w:sz w:val="20"/>
        </w:rPr>
        <w:t xml:space="preserve"> </w:t>
      </w:r>
      <w:proofErr w:type="gramStart"/>
      <w:r>
        <w:rPr>
          <w:sz w:val="20"/>
        </w:rPr>
        <w:t>be</w:t>
      </w:r>
      <w:r>
        <w:rPr>
          <w:spacing w:val="-2"/>
          <w:sz w:val="20"/>
        </w:rPr>
        <w:t xml:space="preserve"> decided</w:t>
      </w:r>
      <w:proofErr w:type="gramEnd"/>
      <w:r>
        <w:rPr>
          <w:spacing w:val="-2"/>
          <w:sz w:val="20"/>
        </w:rPr>
        <w:t>.</w:t>
      </w:r>
    </w:p>
    <w:p w14:paraId="2844A260" w14:textId="77777777" w:rsidR="00AC6F3C" w:rsidRDefault="00570E88">
      <w:pPr>
        <w:pStyle w:val="BodyText"/>
        <w:spacing w:before="180"/>
        <w:ind w:left="815"/>
      </w:pPr>
      <w:r>
        <w:t>We</w:t>
      </w:r>
      <w:r>
        <w:rPr>
          <w:spacing w:val="-7"/>
        </w:rPr>
        <w:t xml:space="preserve"> </w:t>
      </w:r>
      <w:r>
        <w:t>also</w:t>
      </w:r>
      <w:r>
        <w:rPr>
          <w:spacing w:val="-4"/>
        </w:rPr>
        <w:t xml:space="preserve"> </w:t>
      </w:r>
      <w:r>
        <w:t>issued</w:t>
      </w:r>
      <w:r>
        <w:rPr>
          <w:spacing w:val="-4"/>
        </w:rPr>
        <w:t xml:space="preserve"> </w:t>
      </w:r>
      <w:r>
        <w:t>11</w:t>
      </w:r>
      <w:r>
        <w:rPr>
          <w:spacing w:val="-4"/>
        </w:rPr>
        <w:t xml:space="preserve"> </w:t>
      </w:r>
      <w:r>
        <w:t>Show</w:t>
      </w:r>
      <w:r>
        <w:rPr>
          <w:spacing w:val="-4"/>
        </w:rPr>
        <w:t xml:space="preserve"> </w:t>
      </w:r>
      <w:r>
        <w:t>Cause</w:t>
      </w:r>
      <w:r>
        <w:rPr>
          <w:spacing w:val="-4"/>
        </w:rPr>
        <w:t xml:space="preserve"> </w:t>
      </w:r>
      <w:r>
        <w:t>Notices</w:t>
      </w:r>
      <w:r>
        <w:rPr>
          <w:spacing w:val="-4"/>
        </w:rPr>
        <w:t xml:space="preserve"> </w:t>
      </w:r>
      <w:r>
        <w:t>(s60</w:t>
      </w:r>
      <w:r>
        <w:rPr>
          <w:spacing w:val="-4"/>
        </w:rPr>
        <w:t xml:space="preserve"> </w:t>
      </w:r>
      <w:r>
        <w:t>LPA</w:t>
      </w:r>
      <w:r>
        <w:rPr>
          <w:spacing w:val="-14"/>
        </w:rPr>
        <w:t xml:space="preserve"> </w:t>
      </w:r>
      <w:r>
        <w:t>2007)</w:t>
      </w:r>
      <w:r>
        <w:rPr>
          <w:spacing w:val="-4"/>
        </w:rPr>
        <w:t xml:space="preserve"> </w:t>
      </w:r>
      <w:r>
        <w:t>an</w:t>
      </w:r>
      <w:r>
        <w:rPr>
          <w:spacing w:val="-4"/>
        </w:rPr>
        <w:t xml:space="preserve"> </w:t>
      </w:r>
      <w:r>
        <w:t>increase</w:t>
      </w:r>
      <w:r>
        <w:rPr>
          <w:spacing w:val="-4"/>
        </w:rPr>
        <w:t xml:space="preserve"> </w:t>
      </w:r>
      <w:r>
        <w:t>on</w:t>
      </w:r>
      <w:r>
        <w:rPr>
          <w:spacing w:val="-4"/>
        </w:rPr>
        <w:t xml:space="preserve"> </w:t>
      </w:r>
      <w:r>
        <w:t>four</w:t>
      </w:r>
      <w:r>
        <w:rPr>
          <w:spacing w:val="-4"/>
        </w:rPr>
        <w:t xml:space="preserve"> </w:t>
      </w:r>
      <w:r>
        <w:t>the</w:t>
      </w:r>
      <w:r>
        <w:rPr>
          <w:spacing w:val="-4"/>
        </w:rPr>
        <w:t xml:space="preserve"> </w:t>
      </w:r>
      <w:r>
        <w:t>previous</w:t>
      </w:r>
      <w:r>
        <w:rPr>
          <w:spacing w:val="-3"/>
        </w:rPr>
        <w:t xml:space="preserve"> </w:t>
      </w:r>
      <w:r>
        <w:rPr>
          <w:spacing w:val="-2"/>
        </w:rPr>
        <w:t>year.</w:t>
      </w:r>
    </w:p>
    <w:p w14:paraId="6C16173C" w14:textId="77777777" w:rsidR="00AC6F3C" w:rsidRDefault="00570E88">
      <w:pPr>
        <w:pStyle w:val="BodyText"/>
        <w:spacing w:before="180" w:line="249" w:lineRule="auto"/>
        <w:ind w:left="815" w:right="468"/>
      </w:pPr>
      <w:r>
        <w:t>Of</w:t>
      </w:r>
      <w:r>
        <w:rPr>
          <w:spacing w:val="-2"/>
        </w:rPr>
        <w:t xml:space="preserve"> </w:t>
      </w:r>
      <w:r>
        <w:t>these</w:t>
      </w:r>
      <w:r>
        <w:rPr>
          <w:spacing w:val="-2"/>
        </w:rPr>
        <w:t xml:space="preserve"> </w:t>
      </w:r>
      <w:r>
        <w:t>matters,</w:t>
      </w:r>
      <w:r>
        <w:rPr>
          <w:spacing w:val="-2"/>
        </w:rPr>
        <w:t xml:space="preserve"> </w:t>
      </w:r>
      <w:r>
        <w:t>two</w:t>
      </w:r>
      <w:r>
        <w:rPr>
          <w:spacing w:val="-2"/>
        </w:rPr>
        <w:t xml:space="preserve"> </w:t>
      </w:r>
      <w:proofErr w:type="gramStart"/>
      <w:r>
        <w:t>were</w:t>
      </w:r>
      <w:r>
        <w:rPr>
          <w:spacing w:val="-2"/>
        </w:rPr>
        <w:t xml:space="preserve"> </w:t>
      </w:r>
      <w:r>
        <w:t>found</w:t>
      </w:r>
      <w:proofErr w:type="gramEnd"/>
      <w:r>
        <w:rPr>
          <w:spacing w:val="-2"/>
        </w:rPr>
        <w:t xml:space="preserve"> </w:t>
      </w:r>
      <w:r>
        <w:t>not</w:t>
      </w:r>
      <w:r>
        <w:rPr>
          <w:spacing w:val="-2"/>
        </w:rPr>
        <w:t xml:space="preserve"> </w:t>
      </w:r>
      <w:r>
        <w:t>to</w:t>
      </w:r>
      <w:r>
        <w:rPr>
          <w:spacing w:val="-2"/>
        </w:rPr>
        <w:t xml:space="preserve"> </w:t>
      </w:r>
      <w:r>
        <w:t>be</w:t>
      </w:r>
      <w:r>
        <w:rPr>
          <w:spacing w:val="-2"/>
        </w:rPr>
        <w:t xml:space="preserve"> </w:t>
      </w:r>
      <w:r>
        <w:t>fit</w:t>
      </w:r>
      <w:r>
        <w:rPr>
          <w:spacing w:val="-2"/>
        </w:rPr>
        <w:t xml:space="preserve"> </w:t>
      </w:r>
      <w:r>
        <w:t>and</w:t>
      </w:r>
      <w:r>
        <w:rPr>
          <w:spacing w:val="-2"/>
        </w:rPr>
        <w:t xml:space="preserve"> </w:t>
      </w:r>
      <w:r>
        <w:t>proper</w:t>
      </w:r>
      <w:r>
        <w:rPr>
          <w:spacing w:val="-2"/>
        </w:rPr>
        <w:t xml:space="preserve"> </w:t>
      </w:r>
      <w:r>
        <w:t>to</w:t>
      </w:r>
      <w:r>
        <w:rPr>
          <w:spacing w:val="-2"/>
        </w:rPr>
        <w:t xml:space="preserve"> </w:t>
      </w:r>
      <w:r>
        <w:t>continue</w:t>
      </w:r>
      <w:r>
        <w:rPr>
          <w:spacing w:val="-2"/>
        </w:rPr>
        <w:t xml:space="preserve"> </w:t>
      </w:r>
      <w:r>
        <w:t>to</w:t>
      </w:r>
      <w:r>
        <w:rPr>
          <w:spacing w:val="-2"/>
        </w:rPr>
        <w:t xml:space="preserve"> </w:t>
      </w:r>
      <w:r>
        <w:t>hold</w:t>
      </w:r>
      <w:r>
        <w:rPr>
          <w:spacing w:val="-2"/>
        </w:rPr>
        <w:t xml:space="preserve"> </w:t>
      </w:r>
      <w:r>
        <w:t>a</w:t>
      </w:r>
      <w:r>
        <w:rPr>
          <w:spacing w:val="-2"/>
        </w:rPr>
        <w:t xml:space="preserve"> </w:t>
      </w:r>
      <w:proofErr w:type="spellStart"/>
      <w:r>
        <w:t>Practising</w:t>
      </w:r>
      <w:proofErr w:type="spellEnd"/>
      <w:r>
        <w:rPr>
          <w:spacing w:val="-2"/>
        </w:rPr>
        <w:t xml:space="preserve"> </w:t>
      </w:r>
      <w:r>
        <w:t>Certificate, seven were found fit and proper on conditions/undertakings, two surrendered their PC.</w:t>
      </w:r>
    </w:p>
    <w:p w14:paraId="26865B40" w14:textId="77777777" w:rsidR="00AC6F3C" w:rsidRDefault="00570E88">
      <w:pPr>
        <w:pStyle w:val="BodyText"/>
        <w:spacing w:before="172"/>
        <w:ind w:left="815"/>
      </w:pPr>
      <w:proofErr w:type="spellStart"/>
      <w:r>
        <w:t>Practising</w:t>
      </w:r>
      <w:proofErr w:type="spellEnd"/>
      <w:r>
        <w:rPr>
          <w:spacing w:val="-2"/>
        </w:rPr>
        <w:t xml:space="preserve"> </w:t>
      </w:r>
      <w:r>
        <w:t>Certificates</w:t>
      </w:r>
      <w:r>
        <w:rPr>
          <w:spacing w:val="-2"/>
        </w:rPr>
        <w:t xml:space="preserve"> </w:t>
      </w:r>
      <w:r>
        <w:t>of</w:t>
      </w:r>
      <w:r>
        <w:rPr>
          <w:spacing w:val="-2"/>
        </w:rPr>
        <w:t xml:space="preserve"> </w:t>
      </w:r>
      <w:r>
        <w:t>three</w:t>
      </w:r>
      <w:r>
        <w:rPr>
          <w:spacing w:val="-2"/>
        </w:rPr>
        <w:t xml:space="preserve"> </w:t>
      </w:r>
      <w:r>
        <w:t>practitioners</w:t>
      </w:r>
      <w:r>
        <w:rPr>
          <w:spacing w:val="-2"/>
        </w:rPr>
        <w:t xml:space="preserve"> </w:t>
      </w:r>
      <w:proofErr w:type="gramStart"/>
      <w:r>
        <w:t>were</w:t>
      </w:r>
      <w:r>
        <w:rPr>
          <w:spacing w:val="-2"/>
        </w:rPr>
        <w:t xml:space="preserve"> </w:t>
      </w:r>
      <w:r>
        <w:t>suspended</w:t>
      </w:r>
      <w:proofErr w:type="gramEnd"/>
      <w:r>
        <w:t>,</w:t>
      </w:r>
      <w:r>
        <w:rPr>
          <w:spacing w:val="-1"/>
        </w:rPr>
        <w:t xml:space="preserve"> </w:t>
      </w:r>
      <w:r>
        <w:t>one</w:t>
      </w:r>
      <w:r>
        <w:rPr>
          <w:spacing w:val="-2"/>
        </w:rPr>
        <w:t xml:space="preserve"> </w:t>
      </w:r>
      <w:r>
        <w:t>under</w:t>
      </w:r>
      <w:r>
        <w:rPr>
          <w:spacing w:val="-2"/>
        </w:rPr>
        <w:t xml:space="preserve"> </w:t>
      </w:r>
      <w:r>
        <w:t>s63</w:t>
      </w:r>
      <w:r>
        <w:rPr>
          <w:spacing w:val="-2"/>
        </w:rPr>
        <w:t xml:space="preserve"> </w:t>
      </w:r>
      <w:r>
        <w:t>and</w:t>
      </w:r>
      <w:r>
        <w:rPr>
          <w:spacing w:val="-2"/>
        </w:rPr>
        <w:t xml:space="preserve"> </w:t>
      </w:r>
      <w:r>
        <w:t>two</w:t>
      </w:r>
      <w:r>
        <w:rPr>
          <w:spacing w:val="-2"/>
        </w:rPr>
        <w:t xml:space="preserve"> </w:t>
      </w:r>
      <w:r>
        <w:t>under</w:t>
      </w:r>
      <w:r>
        <w:rPr>
          <w:spacing w:val="-1"/>
        </w:rPr>
        <w:t xml:space="preserve"> </w:t>
      </w:r>
      <w:r>
        <w:rPr>
          <w:spacing w:val="-2"/>
        </w:rPr>
        <w:t>s544.</w:t>
      </w:r>
    </w:p>
    <w:p w14:paraId="0B6762DF" w14:textId="77777777" w:rsidR="00AC6F3C" w:rsidRDefault="00570E88">
      <w:pPr>
        <w:pStyle w:val="BodyText"/>
        <w:spacing w:before="180" w:line="249" w:lineRule="auto"/>
        <w:ind w:left="815"/>
      </w:pPr>
      <w:r>
        <w:t>QLS</w:t>
      </w:r>
      <w:r>
        <w:rPr>
          <w:spacing w:val="-2"/>
        </w:rPr>
        <w:t xml:space="preserve"> </w:t>
      </w:r>
      <w:r>
        <w:t>undertook</w:t>
      </w:r>
      <w:r>
        <w:rPr>
          <w:spacing w:val="-2"/>
        </w:rPr>
        <w:t xml:space="preserve"> </w:t>
      </w:r>
      <w:r>
        <w:t>investigations</w:t>
      </w:r>
      <w:r>
        <w:rPr>
          <w:spacing w:val="-2"/>
        </w:rPr>
        <w:t xml:space="preserve"> </w:t>
      </w:r>
      <w:r>
        <w:t>into</w:t>
      </w:r>
      <w:r>
        <w:rPr>
          <w:spacing w:val="-2"/>
        </w:rPr>
        <w:t xml:space="preserve"> </w:t>
      </w:r>
      <w:proofErr w:type="gramStart"/>
      <w:r>
        <w:t>65</w:t>
      </w:r>
      <w:proofErr w:type="gramEnd"/>
      <w:r>
        <w:rPr>
          <w:spacing w:val="-2"/>
        </w:rPr>
        <w:t xml:space="preserve"> </w:t>
      </w:r>
      <w:r>
        <w:t>other</w:t>
      </w:r>
      <w:r>
        <w:rPr>
          <w:spacing w:val="-2"/>
        </w:rPr>
        <w:t xml:space="preserve"> </w:t>
      </w:r>
      <w:r>
        <w:t>matters</w:t>
      </w:r>
      <w:r>
        <w:rPr>
          <w:spacing w:val="-2"/>
        </w:rPr>
        <w:t xml:space="preserve"> </w:t>
      </w:r>
      <w:r>
        <w:t>that</w:t>
      </w:r>
      <w:r>
        <w:rPr>
          <w:spacing w:val="-2"/>
        </w:rPr>
        <w:t xml:space="preserve"> </w:t>
      </w:r>
      <w:r>
        <w:t>may</w:t>
      </w:r>
      <w:r>
        <w:rPr>
          <w:spacing w:val="-2"/>
        </w:rPr>
        <w:t xml:space="preserve"> </w:t>
      </w:r>
      <w:r>
        <w:t>have</w:t>
      </w:r>
      <w:r>
        <w:rPr>
          <w:spacing w:val="-2"/>
        </w:rPr>
        <w:t xml:space="preserve"> </w:t>
      </w:r>
      <w:r>
        <w:t>resulted</w:t>
      </w:r>
      <w:r>
        <w:rPr>
          <w:spacing w:val="-2"/>
        </w:rPr>
        <w:t xml:space="preserve"> </w:t>
      </w:r>
      <w:r>
        <w:t>in</w:t>
      </w:r>
      <w:r>
        <w:rPr>
          <w:spacing w:val="-2"/>
        </w:rPr>
        <w:t xml:space="preserve"> </w:t>
      </w:r>
      <w:r>
        <w:t>the</w:t>
      </w:r>
      <w:r>
        <w:rPr>
          <w:spacing w:val="-2"/>
        </w:rPr>
        <w:t xml:space="preserve"> </w:t>
      </w:r>
      <w:r>
        <w:t>issue</w:t>
      </w:r>
      <w:r>
        <w:rPr>
          <w:spacing w:val="-2"/>
        </w:rPr>
        <w:t xml:space="preserve"> </w:t>
      </w:r>
      <w:r>
        <w:t>of</w:t>
      </w:r>
      <w:r>
        <w:rPr>
          <w:spacing w:val="-2"/>
        </w:rPr>
        <w:t xml:space="preserve"> </w:t>
      </w:r>
      <w:r>
        <w:t>a</w:t>
      </w:r>
      <w:r>
        <w:rPr>
          <w:spacing w:val="-2"/>
        </w:rPr>
        <w:t xml:space="preserve"> </w:t>
      </w:r>
      <w:r>
        <w:t>show</w:t>
      </w:r>
      <w:r>
        <w:rPr>
          <w:spacing w:val="-2"/>
        </w:rPr>
        <w:t xml:space="preserve"> </w:t>
      </w:r>
      <w:r>
        <w:t>cause notice. Of these:</w:t>
      </w:r>
    </w:p>
    <w:p w14:paraId="1848B678" w14:textId="77777777" w:rsidR="00AC6F3C" w:rsidRDefault="00570E88">
      <w:pPr>
        <w:pStyle w:val="ListParagraph"/>
        <w:numPr>
          <w:ilvl w:val="0"/>
          <w:numId w:val="58"/>
        </w:numPr>
        <w:tabs>
          <w:tab w:val="left" w:pos="1155"/>
        </w:tabs>
        <w:spacing w:before="172"/>
        <w:ind w:hanging="340"/>
        <w:rPr>
          <w:sz w:val="20"/>
        </w:rPr>
      </w:pPr>
      <w:r>
        <w:rPr>
          <w:sz w:val="20"/>
        </w:rPr>
        <w:t>Twenty-eight</w:t>
      </w:r>
      <w:r>
        <w:rPr>
          <w:spacing w:val="-6"/>
          <w:sz w:val="20"/>
        </w:rPr>
        <w:t xml:space="preserve"> </w:t>
      </w:r>
      <w:r>
        <w:rPr>
          <w:sz w:val="20"/>
        </w:rPr>
        <w:t>were</w:t>
      </w:r>
      <w:r>
        <w:rPr>
          <w:spacing w:val="-5"/>
          <w:sz w:val="20"/>
        </w:rPr>
        <w:t xml:space="preserve"> </w:t>
      </w:r>
      <w:r>
        <w:rPr>
          <w:sz w:val="20"/>
        </w:rPr>
        <w:t>completed</w:t>
      </w:r>
      <w:r>
        <w:rPr>
          <w:spacing w:val="-5"/>
          <w:sz w:val="20"/>
        </w:rPr>
        <w:t xml:space="preserve"> </w:t>
      </w:r>
      <w:r>
        <w:rPr>
          <w:sz w:val="20"/>
        </w:rPr>
        <w:t>with</w:t>
      </w:r>
      <w:r>
        <w:rPr>
          <w:spacing w:val="-6"/>
          <w:sz w:val="20"/>
        </w:rPr>
        <w:t xml:space="preserve"> </w:t>
      </w:r>
      <w:r>
        <w:rPr>
          <w:sz w:val="20"/>
        </w:rPr>
        <w:t>no</w:t>
      </w:r>
      <w:r>
        <w:rPr>
          <w:spacing w:val="-5"/>
          <w:sz w:val="20"/>
        </w:rPr>
        <w:t xml:space="preserve"> </w:t>
      </w:r>
      <w:r>
        <w:rPr>
          <w:sz w:val="20"/>
        </w:rPr>
        <w:t>action</w:t>
      </w:r>
      <w:r>
        <w:rPr>
          <w:spacing w:val="-5"/>
          <w:sz w:val="20"/>
        </w:rPr>
        <w:t xml:space="preserve"> </w:t>
      </w:r>
      <w:proofErr w:type="gramStart"/>
      <w:r>
        <w:rPr>
          <w:spacing w:val="-2"/>
          <w:sz w:val="20"/>
        </w:rPr>
        <w:t>required</w:t>
      </w:r>
      <w:proofErr w:type="gramEnd"/>
    </w:p>
    <w:p w14:paraId="388CC893" w14:textId="77777777" w:rsidR="00AC6F3C" w:rsidRDefault="00570E88">
      <w:pPr>
        <w:pStyle w:val="ListParagraph"/>
        <w:numPr>
          <w:ilvl w:val="0"/>
          <w:numId w:val="58"/>
        </w:numPr>
        <w:tabs>
          <w:tab w:val="left" w:pos="1155"/>
        </w:tabs>
        <w:ind w:hanging="340"/>
        <w:rPr>
          <w:sz w:val="20"/>
        </w:rPr>
      </w:pPr>
      <w:r>
        <w:rPr>
          <w:sz w:val="20"/>
        </w:rPr>
        <w:t>One</w:t>
      </w:r>
      <w:r>
        <w:rPr>
          <w:spacing w:val="-3"/>
          <w:sz w:val="20"/>
        </w:rPr>
        <w:t xml:space="preserve"> </w:t>
      </w:r>
      <w:r>
        <w:rPr>
          <w:sz w:val="20"/>
        </w:rPr>
        <w:t>practitioner</w:t>
      </w:r>
      <w:r>
        <w:rPr>
          <w:spacing w:val="-3"/>
          <w:sz w:val="20"/>
        </w:rPr>
        <w:t xml:space="preserve"> </w:t>
      </w:r>
      <w:r>
        <w:rPr>
          <w:sz w:val="20"/>
        </w:rPr>
        <w:t>surrendered</w:t>
      </w:r>
      <w:r>
        <w:rPr>
          <w:spacing w:val="-3"/>
          <w:sz w:val="20"/>
        </w:rPr>
        <w:t xml:space="preserve"> </w:t>
      </w:r>
      <w:r>
        <w:rPr>
          <w:sz w:val="20"/>
        </w:rPr>
        <w:t>their</w:t>
      </w:r>
      <w:r>
        <w:rPr>
          <w:spacing w:val="-3"/>
          <w:sz w:val="20"/>
        </w:rPr>
        <w:t xml:space="preserve"> </w:t>
      </w:r>
      <w:proofErr w:type="gramStart"/>
      <w:r>
        <w:rPr>
          <w:spacing w:val="-2"/>
          <w:sz w:val="20"/>
        </w:rPr>
        <w:t>Certificate</w:t>
      </w:r>
      <w:proofErr w:type="gramEnd"/>
    </w:p>
    <w:p w14:paraId="0BF784F9" w14:textId="77777777" w:rsidR="00AC6F3C" w:rsidRDefault="00570E88">
      <w:pPr>
        <w:pStyle w:val="ListParagraph"/>
        <w:numPr>
          <w:ilvl w:val="0"/>
          <w:numId w:val="58"/>
        </w:numPr>
        <w:tabs>
          <w:tab w:val="left" w:pos="1155"/>
        </w:tabs>
        <w:ind w:hanging="340"/>
        <w:rPr>
          <w:sz w:val="20"/>
        </w:rPr>
      </w:pPr>
      <w:r>
        <w:rPr>
          <w:sz w:val="20"/>
        </w:rPr>
        <w:t xml:space="preserve">Thirty-six investigations </w:t>
      </w:r>
      <w:r>
        <w:rPr>
          <w:spacing w:val="-2"/>
          <w:sz w:val="20"/>
        </w:rPr>
        <w:t>continue.</w:t>
      </w:r>
    </w:p>
    <w:p w14:paraId="31B50891" w14:textId="77777777" w:rsidR="00AC6F3C" w:rsidRDefault="00570E88">
      <w:pPr>
        <w:pStyle w:val="BodyText"/>
        <w:spacing w:before="180" w:line="249" w:lineRule="auto"/>
        <w:ind w:left="815"/>
      </w:pPr>
      <w:r>
        <w:t>The</w:t>
      </w:r>
      <w:r>
        <w:rPr>
          <w:spacing w:val="-4"/>
        </w:rPr>
        <w:t xml:space="preserve"> </w:t>
      </w:r>
      <w:r>
        <w:t>vast</w:t>
      </w:r>
      <w:r>
        <w:rPr>
          <w:spacing w:val="-4"/>
        </w:rPr>
        <w:t xml:space="preserve"> </w:t>
      </w:r>
      <w:r>
        <w:t>bulk</w:t>
      </w:r>
      <w:r>
        <w:rPr>
          <w:spacing w:val="-4"/>
        </w:rPr>
        <w:t xml:space="preserve"> </w:t>
      </w:r>
      <w:r>
        <w:t>of</w:t>
      </w:r>
      <w:r>
        <w:rPr>
          <w:spacing w:val="-4"/>
        </w:rPr>
        <w:t xml:space="preserve"> </w:t>
      </w:r>
      <w:r>
        <w:t>these</w:t>
      </w:r>
      <w:r>
        <w:rPr>
          <w:spacing w:val="-4"/>
        </w:rPr>
        <w:t xml:space="preserve"> </w:t>
      </w:r>
      <w:r>
        <w:t>matters</w:t>
      </w:r>
      <w:r>
        <w:rPr>
          <w:spacing w:val="-4"/>
        </w:rPr>
        <w:t xml:space="preserve"> </w:t>
      </w:r>
      <w:r>
        <w:t>are</w:t>
      </w:r>
      <w:r>
        <w:rPr>
          <w:spacing w:val="-4"/>
        </w:rPr>
        <w:t xml:space="preserve"> </w:t>
      </w:r>
      <w:r>
        <w:t>investigations</w:t>
      </w:r>
      <w:r>
        <w:rPr>
          <w:spacing w:val="-4"/>
        </w:rPr>
        <w:t xml:space="preserve"> </w:t>
      </w:r>
      <w:r>
        <w:t>of</w:t>
      </w:r>
      <w:r>
        <w:rPr>
          <w:spacing w:val="-4"/>
        </w:rPr>
        <w:t xml:space="preserve"> </w:t>
      </w:r>
      <w:r>
        <w:t>declarations</w:t>
      </w:r>
      <w:r>
        <w:rPr>
          <w:spacing w:val="-4"/>
        </w:rPr>
        <w:t xml:space="preserve"> </w:t>
      </w:r>
      <w:r>
        <w:t>made</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8"/>
        </w:rPr>
        <w:t xml:space="preserve"> </w:t>
      </w:r>
      <w:r>
        <w:t>Tax</w:t>
      </w:r>
      <w:r>
        <w:rPr>
          <w:spacing w:val="-4"/>
        </w:rPr>
        <w:t xml:space="preserve"> </w:t>
      </w:r>
      <w:r>
        <w:t>and Superannuation Policy.</w:t>
      </w:r>
    </w:p>
    <w:p w14:paraId="091680CA" w14:textId="77777777" w:rsidR="00AC6F3C" w:rsidRDefault="00570E88">
      <w:pPr>
        <w:pStyle w:val="BodyText"/>
        <w:spacing w:before="171" w:line="249" w:lineRule="auto"/>
        <w:ind w:left="815" w:right="468"/>
      </w:pPr>
      <w:r>
        <w:t>We</w:t>
      </w:r>
      <w:r>
        <w:rPr>
          <w:spacing w:val="-3"/>
        </w:rPr>
        <w:t xml:space="preserve"> </w:t>
      </w:r>
      <w:r>
        <w:t>also</w:t>
      </w:r>
      <w:r>
        <w:rPr>
          <w:spacing w:val="-3"/>
        </w:rPr>
        <w:t xml:space="preserve"> </w:t>
      </w:r>
      <w:r>
        <w:t>issued</w:t>
      </w:r>
      <w:r>
        <w:rPr>
          <w:spacing w:val="-3"/>
        </w:rPr>
        <w:t xml:space="preserve"> </w:t>
      </w:r>
      <w:proofErr w:type="gramStart"/>
      <w:r>
        <w:t>31</w:t>
      </w:r>
      <w:proofErr w:type="gramEnd"/>
      <w:r>
        <w:rPr>
          <w:spacing w:val="-3"/>
        </w:rPr>
        <w:t xml:space="preserve"> </w:t>
      </w:r>
      <w:r>
        <w:t>notices</w:t>
      </w:r>
      <w:r>
        <w:rPr>
          <w:spacing w:val="-3"/>
        </w:rPr>
        <w:t xml:space="preserve"> </w:t>
      </w:r>
      <w:r>
        <w:t>regarding</w:t>
      </w:r>
      <w:r>
        <w:rPr>
          <w:spacing w:val="-3"/>
        </w:rPr>
        <w:t xml:space="preserve"> </w:t>
      </w:r>
      <w:r>
        <w:t>the</w:t>
      </w:r>
      <w:r>
        <w:rPr>
          <w:spacing w:val="-3"/>
        </w:rPr>
        <w:t xml:space="preserve"> </w:t>
      </w:r>
      <w:r>
        <w:t>fitness</w:t>
      </w:r>
      <w:r>
        <w:rPr>
          <w:spacing w:val="-3"/>
        </w:rPr>
        <w:t xml:space="preserve"> </w:t>
      </w:r>
      <w:r>
        <w:t>of</w:t>
      </w:r>
      <w:r>
        <w:rPr>
          <w:spacing w:val="-3"/>
        </w:rPr>
        <w:t xml:space="preserve"> </w:t>
      </w:r>
      <w:r>
        <w:t>practitioners</w:t>
      </w:r>
      <w:r>
        <w:rPr>
          <w:spacing w:val="-3"/>
        </w:rPr>
        <w:t xml:space="preserve"> </w:t>
      </w:r>
      <w:r>
        <w:t>upon</w:t>
      </w:r>
      <w:r>
        <w:rPr>
          <w:spacing w:val="-3"/>
        </w:rPr>
        <w:t xml:space="preserve"> </w:t>
      </w:r>
      <w:r>
        <w:t>their</w:t>
      </w:r>
      <w:r>
        <w:rPr>
          <w:spacing w:val="-3"/>
        </w:rPr>
        <w:t xml:space="preserve"> </w:t>
      </w:r>
      <w:r>
        <w:t>applications</w:t>
      </w:r>
      <w:r>
        <w:rPr>
          <w:spacing w:val="-3"/>
        </w:rPr>
        <w:t xml:space="preserve"> </w:t>
      </w:r>
      <w:r>
        <w:t>for</w:t>
      </w:r>
      <w:r>
        <w:rPr>
          <w:spacing w:val="-3"/>
        </w:rPr>
        <w:t xml:space="preserve"> </w:t>
      </w:r>
      <w:r>
        <w:t>grant</w:t>
      </w:r>
      <w:r>
        <w:rPr>
          <w:spacing w:val="-3"/>
        </w:rPr>
        <w:t xml:space="preserve"> </w:t>
      </w:r>
      <w:r>
        <w:t xml:space="preserve">or renewal of a </w:t>
      </w:r>
      <w:proofErr w:type="spellStart"/>
      <w:r>
        <w:t>Practising</w:t>
      </w:r>
      <w:proofErr w:type="spellEnd"/>
      <w:r>
        <w:t xml:space="preserve"> Certificate (s51 LPA 2007).</w:t>
      </w:r>
    </w:p>
    <w:p w14:paraId="3F577E41" w14:textId="77777777" w:rsidR="00AC6F3C" w:rsidRDefault="00570E88">
      <w:pPr>
        <w:pStyle w:val="BodyText"/>
        <w:spacing w:before="172" w:line="249" w:lineRule="auto"/>
        <w:ind w:left="815" w:right="157"/>
      </w:pPr>
      <w:r>
        <w:t xml:space="preserve">Another </w:t>
      </w:r>
      <w:proofErr w:type="gramStart"/>
      <w:r>
        <w:t>23</w:t>
      </w:r>
      <w:proofErr w:type="gramEnd"/>
      <w:r>
        <w:t xml:space="preserve"> notices were issued regarding outstanding monies owing under the indemnity Rule. These were</w:t>
      </w:r>
      <w:r>
        <w:rPr>
          <w:spacing w:val="-3"/>
        </w:rPr>
        <w:t xml:space="preserve"> </w:t>
      </w:r>
      <w:r>
        <w:t>monies</w:t>
      </w:r>
      <w:r>
        <w:rPr>
          <w:spacing w:val="-3"/>
        </w:rPr>
        <w:t xml:space="preserve"> </w:t>
      </w:r>
      <w:proofErr w:type="gramStart"/>
      <w:r>
        <w:t>in</w:t>
      </w:r>
      <w:r>
        <w:rPr>
          <w:spacing w:val="-3"/>
        </w:rPr>
        <w:t xml:space="preserve"> </w:t>
      </w:r>
      <w:r>
        <w:t>the</w:t>
      </w:r>
      <w:r>
        <w:rPr>
          <w:spacing w:val="-3"/>
        </w:rPr>
        <w:t xml:space="preserve"> </w:t>
      </w:r>
      <w:r>
        <w:t>nature</w:t>
      </w:r>
      <w:r>
        <w:rPr>
          <w:spacing w:val="-3"/>
        </w:rPr>
        <w:t xml:space="preserve"> </w:t>
      </w:r>
      <w:r>
        <w:t>of</w:t>
      </w:r>
      <w:r>
        <w:rPr>
          <w:spacing w:val="-3"/>
        </w:rPr>
        <w:t xml:space="preserve"> </w:t>
      </w:r>
      <w:r>
        <w:t>EMR</w:t>
      </w:r>
      <w:proofErr w:type="gramEnd"/>
      <w:r>
        <w:rPr>
          <w:spacing w:val="-3"/>
        </w:rPr>
        <w:t xml:space="preserve"> </w:t>
      </w:r>
      <w:r>
        <w:t>adjustments,</w:t>
      </w:r>
      <w:r>
        <w:rPr>
          <w:spacing w:val="-3"/>
        </w:rPr>
        <w:t xml:space="preserve"> </w:t>
      </w:r>
      <w:r>
        <w:t>adjustments</w:t>
      </w:r>
      <w:r>
        <w:rPr>
          <w:spacing w:val="-3"/>
        </w:rPr>
        <w:t xml:space="preserve"> </w:t>
      </w:r>
      <w:r>
        <w:t>to</w:t>
      </w:r>
      <w:r>
        <w:rPr>
          <w:spacing w:val="-3"/>
        </w:rPr>
        <w:t xml:space="preserve"> </w:t>
      </w:r>
      <w:r>
        <w:t>levies</w:t>
      </w:r>
      <w:r>
        <w:rPr>
          <w:spacing w:val="-3"/>
        </w:rPr>
        <w:t xml:space="preserve"> </w:t>
      </w:r>
      <w:r>
        <w:t>payable</w:t>
      </w:r>
      <w:r>
        <w:rPr>
          <w:spacing w:val="-3"/>
        </w:rPr>
        <w:t xml:space="preserve"> </w:t>
      </w:r>
      <w:r>
        <w:t>because</w:t>
      </w:r>
      <w:r>
        <w:rPr>
          <w:spacing w:val="-3"/>
        </w:rPr>
        <w:t xml:space="preserve"> </w:t>
      </w:r>
      <w:r>
        <w:t>of</w:t>
      </w:r>
      <w:r>
        <w:rPr>
          <w:spacing w:val="-3"/>
        </w:rPr>
        <w:t xml:space="preserve"> </w:t>
      </w:r>
      <w:r>
        <w:t>adjustments</w:t>
      </w:r>
      <w:r>
        <w:rPr>
          <w:spacing w:val="-3"/>
        </w:rPr>
        <w:t xml:space="preserve"> </w:t>
      </w:r>
      <w:r>
        <w:t>in annual gross fee income and outstanding excesses.</w:t>
      </w:r>
      <w:r>
        <w:rPr>
          <w:spacing w:val="-5"/>
        </w:rPr>
        <w:t xml:space="preserve"> </w:t>
      </w:r>
      <w:r>
        <w:t xml:space="preserve">All monies were </w:t>
      </w:r>
      <w:proofErr w:type="gramStart"/>
      <w:r>
        <w:t>paid</w:t>
      </w:r>
      <w:proofErr w:type="gramEnd"/>
      <w:r>
        <w:t xml:space="preserve"> and no action was required.</w:t>
      </w:r>
    </w:p>
    <w:p w14:paraId="1A935849" w14:textId="77777777" w:rsidR="00AC6F3C" w:rsidRDefault="00570E88">
      <w:pPr>
        <w:pStyle w:val="BodyText"/>
        <w:spacing w:before="173" w:line="249" w:lineRule="auto"/>
        <w:ind w:left="815" w:right="468"/>
      </w:pPr>
      <w:proofErr w:type="gramStart"/>
      <w:r>
        <w:t>In</w:t>
      </w:r>
      <w:r>
        <w:rPr>
          <w:spacing w:val="-2"/>
        </w:rPr>
        <w:t xml:space="preserve"> </w:t>
      </w:r>
      <w:r>
        <w:t>the</w:t>
      </w:r>
      <w:r>
        <w:rPr>
          <w:spacing w:val="-2"/>
        </w:rPr>
        <w:t xml:space="preserve"> </w:t>
      </w:r>
      <w:r>
        <w:t>course</w:t>
      </w:r>
      <w:r>
        <w:rPr>
          <w:spacing w:val="-2"/>
        </w:rPr>
        <w:t xml:space="preserve"> </w:t>
      </w:r>
      <w:r>
        <w:t>of</w:t>
      </w:r>
      <w:proofErr w:type="gramEnd"/>
      <w:r>
        <w:rPr>
          <w:spacing w:val="-2"/>
        </w:rPr>
        <w:t xml:space="preserve"> </w:t>
      </w:r>
      <w:r>
        <w:t>the</w:t>
      </w:r>
      <w:r>
        <w:rPr>
          <w:spacing w:val="-2"/>
        </w:rPr>
        <w:t xml:space="preserve"> </w:t>
      </w:r>
      <w:r>
        <w:t>year,</w:t>
      </w:r>
      <w:r>
        <w:rPr>
          <w:spacing w:val="-2"/>
        </w:rPr>
        <w:t xml:space="preserve"> </w:t>
      </w:r>
      <w:r>
        <w:t>we</w:t>
      </w:r>
      <w:r>
        <w:rPr>
          <w:spacing w:val="-2"/>
        </w:rPr>
        <w:t xml:space="preserve"> </w:t>
      </w:r>
      <w:r>
        <w:t>made</w:t>
      </w:r>
      <w:r>
        <w:rPr>
          <w:spacing w:val="-2"/>
        </w:rPr>
        <w:t xml:space="preserve"> </w:t>
      </w:r>
      <w:r>
        <w:t>14</w:t>
      </w:r>
      <w:r>
        <w:rPr>
          <w:spacing w:val="-2"/>
        </w:rPr>
        <w:t xml:space="preserve"> </w:t>
      </w:r>
      <w:r>
        <w:t>other</w:t>
      </w:r>
      <w:r>
        <w:rPr>
          <w:spacing w:val="-2"/>
        </w:rPr>
        <w:t xml:space="preserve"> </w:t>
      </w:r>
      <w:r>
        <w:t>determinations</w:t>
      </w:r>
      <w:r>
        <w:rPr>
          <w:spacing w:val="-2"/>
        </w:rPr>
        <w:t xml:space="preserve"> </w:t>
      </w:r>
      <w:r>
        <w:t>upon</w:t>
      </w:r>
      <w:r>
        <w:rPr>
          <w:spacing w:val="-2"/>
        </w:rPr>
        <w:t xml:space="preserve"> </w:t>
      </w:r>
      <w:r>
        <w:t>notices</w:t>
      </w:r>
      <w:r>
        <w:rPr>
          <w:spacing w:val="-2"/>
        </w:rPr>
        <w:t xml:space="preserve"> </w:t>
      </w:r>
      <w:r>
        <w:t>issued</w:t>
      </w:r>
      <w:r>
        <w:rPr>
          <w:spacing w:val="-2"/>
        </w:rPr>
        <w:t xml:space="preserve"> </w:t>
      </w:r>
      <w:r>
        <w:t>under</w:t>
      </w:r>
      <w:r>
        <w:rPr>
          <w:spacing w:val="-2"/>
        </w:rPr>
        <w:t xml:space="preserve"> </w:t>
      </w:r>
      <w:r>
        <w:t>s51</w:t>
      </w:r>
      <w:r>
        <w:rPr>
          <w:spacing w:val="-2"/>
        </w:rPr>
        <w:t xml:space="preserve"> </w:t>
      </w:r>
      <w:r>
        <w:t>either</w:t>
      </w:r>
      <w:r>
        <w:rPr>
          <w:spacing w:val="-2"/>
        </w:rPr>
        <w:t xml:space="preserve"> </w:t>
      </w:r>
      <w:r>
        <w:t xml:space="preserve">this year or last. Upon those determinations, two </w:t>
      </w:r>
      <w:proofErr w:type="gramStart"/>
      <w:r>
        <w:t>were found</w:t>
      </w:r>
      <w:proofErr w:type="gramEnd"/>
      <w:r>
        <w:t xml:space="preserve"> unfit, five were found fit and proper upon conditions</w:t>
      </w:r>
      <w:r>
        <w:rPr>
          <w:spacing w:val="-3"/>
        </w:rPr>
        <w:t xml:space="preserve"> </w:t>
      </w:r>
      <w:r>
        <w:t>or</w:t>
      </w:r>
      <w:r>
        <w:rPr>
          <w:spacing w:val="-3"/>
        </w:rPr>
        <w:t xml:space="preserve"> </w:t>
      </w:r>
      <w:r>
        <w:t>undertakings</w:t>
      </w:r>
      <w:r>
        <w:rPr>
          <w:spacing w:val="-3"/>
        </w:rPr>
        <w:t xml:space="preserve"> </w:t>
      </w:r>
      <w:r>
        <w:t>four</w:t>
      </w:r>
      <w:r>
        <w:rPr>
          <w:spacing w:val="-3"/>
        </w:rPr>
        <w:t xml:space="preserve"> </w:t>
      </w:r>
      <w:r>
        <w:t>applicants</w:t>
      </w:r>
      <w:r>
        <w:rPr>
          <w:spacing w:val="-3"/>
        </w:rPr>
        <w:t xml:space="preserve"> </w:t>
      </w:r>
      <w:r>
        <w:t>withdrew</w:t>
      </w:r>
      <w:r>
        <w:rPr>
          <w:spacing w:val="-3"/>
        </w:rPr>
        <w:t xml:space="preserve"> </w:t>
      </w:r>
      <w:r>
        <w:t>their</w:t>
      </w:r>
      <w:r>
        <w:rPr>
          <w:spacing w:val="-3"/>
        </w:rPr>
        <w:t xml:space="preserve"> </w:t>
      </w:r>
      <w:r>
        <w:t>applications,</w:t>
      </w:r>
      <w:r>
        <w:rPr>
          <w:spacing w:val="-3"/>
        </w:rPr>
        <w:t xml:space="preserve"> </w:t>
      </w:r>
      <w:r>
        <w:t>three</w:t>
      </w:r>
      <w:r>
        <w:rPr>
          <w:spacing w:val="-3"/>
        </w:rPr>
        <w:t xml:space="preserve"> </w:t>
      </w:r>
      <w:r>
        <w:t>were</w:t>
      </w:r>
      <w:r>
        <w:rPr>
          <w:spacing w:val="-3"/>
        </w:rPr>
        <w:t xml:space="preserve"> </w:t>
      </w:r>
      <w:r>
        <w:t>found</w:t>
      </w:r>
      <w:r>
        <w:rPr>
          <w:spacing w:val="-3"/>
        </w:rPr>
        <w:t xml:space="preserve"> </w:t>
      </w:r>
      <w:r>
        <w:t>fit</w:t>
      </w:r>
      <w:r>
        <w:rPr>
          <w:spacing w:val="-3"/>
        </w:rPr>
        <w:t xml:space="preserve"> </w:t>
      </w:r>
      <w:r>
        <w:t>and</w:t>
      </w:r>
      <w:r>
        <w:rPr>
          <w:spacing w:val="-3"/>
        </w:rPr>
        <w:t xml:space="preserve"> </w:t>
      </w:r>
      <w:r>
        <w:t>proper on response.</w:t>
      </w:r>
    </w:p>
    <w:p w14:paraId="21AEA5BD" w14:textId="77777777" w:rsidR="00AC6F3C" w:rsidRDefault="00570E88">
      <w:pPr>
        <w:pStyle w:val="BodyText"/>
        <w:spacing w:before="173" w:line="249" w:lineRule="auto"/>
        <w:ind w:left="815"/>
      </w:pPr>
      <w:r>
        <w:t>There</w:t>
      </w:r>
      <w:r>
        <w:rPr>
          <w:spacing w:val="-3"/>
        </w:rPr>
        <w:t xml:space="preserve"> </w:t>
      </w:r>
      <w:r>
        <w:t>are</w:t>
      </w:r>
      <w:r>
        <w:rPr>
          <w:spacing w:val="-3"/>
        </w:rPr>
        <w:t xml:space="preserve"> </w:t>
      </w:r>
      <w:r>
        <w:t>two</w:t>
      </w:r>
      <w:r>
        <w:rPr>
          <w:spacing w:val="-3"/>
        </w:rPr>
        <w:t xml:space="preserve"> </w:t>
      </w:r>
      <w:r>
        <w:t>notices</w:t>
      </w:r>
      <w:r>
        <w:rPr>
          <w:spacing w:val="-3"/>
        </w:rPr>
        <w:t xml:space="preserve"> </w:t>
      </w:r>
      <w:r>
        <w:t>remaining</w:t>
      </w:r>
      <w:r>
        <w:rPr>
          <w:spacing w:val="-3"/>
        </w:rPr>
        <w:t xml:space="preserve"> </w:t>
      </w:r>
      <w:r>
        <w:t>for</w:t>
      </w:r>
      <w:r>
        <w:rPr>
          <w:spacing w:val="-3"/>
        </w:rPr>
        <w:t xml:space="preserve"> </w:t>
      </w:r>
      <w:r>
        <w:t>consideration</w:t>
      </w:r>
      <w:r>
        <w:rPr>
          <w:spacing w:val="-3"/>
        </w:rPr>
        <w:t xml:space="preserve"> </w:t>
      </w:r>
      <w:r>
        <w:t>and</w:t>
      </w:r>
      <w:r>
        <w:rPr>
          <w:spacing w:val="-3"/>
        </w:rPr>
        <w:t xml:space="preserve"> </w:t>
      </w:r>
      <w:r>
        <w:t>seven</w:t>
      </w:r>
      <w:r>
        <w:rPr>
          <w:spacing w:val="-3"/>
        </w:rPr>
        <w:t xml:space="preserve"> </w:t>
      </w:r>
      <w:r>
        <w:t>inquiries</w:t>
      </w:r>
      <w:r>
        <w:rPr>
          <w:spacing w:val="-3"/>
        </w:rPr>
        <w:t xml:space="preserve"> </w:t>
      </w:r>
      <w:proofErr w:type="gramStart"/>
      <w:r>
        <w:t>were</w:t>
      </w:r>
      <w:r>
        <w:rPr>
          <w:spacing w:val="-3"/>
        </w:rPr>
        <w:t xml:space="preserve"> </w:t>
      </w:r>
      <w:r>
        <w:t>dismissed</w:t>
      </w:r>
      <w:proofErr w:type="gramEnd"/>
      <w:r>
        <w:rPr>
          <w:spacing w:val="-3"/>
        </w:rPr>
        <w:t xml:space="preserve"> </w:t>
      </w:r>
      <w:r>
        <w:t>after</w:t>
      </w:r>
      <w:r>
        <w:rPr>
          <w:spacing w:val="-3"/>
        </w:rPr>
        <w:t xml:space="preserve"> </w:t>
      </w:r>
      <w:r>
        <w:t>investigation with no process issued.</w:t>
      </w:r>
    </w:p>
    <w:p w14:paraId="4419067F" w14:textId="77777777" w:rsidR="00AC6F3C" w:rsidRDefault="00570E88">
      <w:pPr>
        <w:pStyle w:val="BodyText"/>
        <w:spacing w:before="172"/>
        <w:ind w:left="815"/>
        <w:jc w:val="both"/>
      </w:pPr>
      <w:r>
        <w:rPr>
          <w:spacing w:val="-2"/>
        </w:rPr>
        <w:t>QLS</w:t>
      </w:r>
      <w:r>
        <w:rPr>
          <w:spacing w:val="-5"/>
        </w:rPr>
        <w:t xml:space="preserve"> </w:t>
      </w:r>
      <w:r>
        <w:rPr>
          <w:spacing w:val="-2"/>
        </w:rPr>
        <w:t>received</w:t>
      </w:r>
      <w:r>
        <w:rPr>
          <w:spacing w:val="-4"/>
        </w:rPr>
        <w:t xml:space="preserve"> </w:t>
      </w:r>
      <w:r>
        <w:rPr>
          <w:spacing w:val="-2"/>
        </w:rPr>
        <w:t>five</w:t>
      </w:r>
      <w:r>
        <w:rPr>
          <w:spacing w:val="-4"/>
        </w:rPr>
        <w:t xml:space="preserve"> </w:t>
      </w:r>
      <w:r>
        <w:rPr>
          <w:spacing w:val="-2"/>
        </w:rPr>
        <w:t>notifications</w:t>
      </w:r>
      <w:r>
        <w:rPr>
          <w:spacing w:val="-4"/>
        </w:rPr>
        <w:t xml:space="preserve"> </w:t>
      </w:r>
      <w:r>
        <w:rPr>
          <w:spacing w:val="-2"/>
        </w:rPr>
        <w:t>from</w:t>
      </w:r>
      <w:r>
        <w:rPr>
          <w:spacing w:val="-4"/>
        </w:rPr>
        <w:t xml:space="preserve"> </w:t>
      </w:r>
      <w:r>
        <w:rPr>
          <w:spacing w:val="-2"/>
        </w:rPr>
        <w:t>five</w:t>
      </w:r>
      <w:r>
        <w:rPr>
          <w:spacing w:val="-5"/>
        </w:rPr>
        <w:t xml:space="preserve"> </w:t>
      </w:r>
      <w:r>
        <w:rPr>
          <w:spacing w:val="-2"/>
        </w:rPr>
        <w:t>practitioners</w:t>
      </w:r>
      <w:r>
        <w:rPr>
          <w:spacing w:val="-4"/>
        </w:rPr>
        <w:t xml:space="preserve"> </w:t>
      </w:r>
      <w:r>
        <w:rPr>
          <w:spacing w:val="-2"/>
        </w:rPr>
        <w:t>who</w:t>
      </w:r>
      <w:r>
        <w:rPr>
          <w:spacing w:val="-4"/>
        </w:rPr>
        <w:t xml:space="preserve"> </w:t>
      </w:r>
      <w:r>
        <w:rPr>
          <w:spacing w:val="-2"/>
        </w:rPr>
        <w:t>had</w:t>
      </w:r>
      <w:r>
        <w:rPr>
          <w:spacing w:val="-4"/>
        </w:rPr>
        <w:t xml:space="preserve"> </w:t>
      </w:r>
      <w:proofErr w:type="gramStart"/>
      <w:r>
        <w:rPr>
          <w:spacing w:val="-2"/>
        </w:rPr>
        <w:t>been</w:t>
      </w:r>
      <w:r>
        <w:rPr>
          <w:spacing w:val="-4"/>
        </w:rPr>
        <w:t xml:space="preserve"> </w:t>
      </w:r>
      <w:r>
        <w:rPr>
          <w:spacing w:val="-2"/>
        </w:rPr>
        <w:t>charged</w:t>
      </w:r>
      <w:proofErr w:type="gramEnd"/>
      <w:r>
        <w:rPr>
          <w:spacing w:val="-4"/>
        </w:rPr>
        <w:t xml:space="preserve"> </w:t>
      </w:r>
      <w:r>
        <w:rPr>
          <w:spacing w:val="-2"/>
        </w:rPr>
        <w:t>with</w:t>
      </w:r>
      <w:r>
        <w:rPr>
          <w:spacing w:val="-5"/>
        </w:rPr>
        <w:t xml:space="preserve"> </w:t>
      </w:r>
      <w:r>
        <w:rPr>
          <w:spacing w:val="-2"/>
        </w:rPr>
        <w:t>serious</w:t>
      </w:r>
      <w:r>
        <w:rPr>
          <w:spacing w:val="-4"/>
        </w:rPr>
        <w:t xml:space="preserve"> </w:t>
      </w:r>
      <w:r>
        <w:rPr>
          <w:spacing w:val="-2"/>
        </w:rPr>
        <w:t>offences</w:t>
      </w:r>
      <w:r>
        <w:rPr>
          <w:spacing w:val="-4"/>
        </w:rPr>
        <w:t xml:space="preserve"> </w:t>
      </w:r>
      <w:r>
        <w:rPr>
          <w:spacing w:val="-2"/>
        </w:rPr>
        <w:t>this</w:t>
      </w:r>
      <w:r>
        <w:rPr>
          <w:spacing w:val="-4"/>
        </w:rPr>
        <w:t xml:space="preserve"> </w:t>
      </w:r>
      <w:r>
        <w:rPr>
          <w:spacing w:val="-2"/>
        </w:rPr>
        <w:t>year.</w:t>
      </w:r>
    </w:p>
    <w:p w14:paraId="0F1B10E1" w14:textId="77777777" w:rsidR="00AC6F3C" w:rsidRDefault="00570E88">
      <w:pPr>
        <w:pStyle w:val="BodyText"/>
        <w:spacing w:before="10" w:line="249" w:lineRule="auto"/>
        <w:ind w:left="815" w:right="489"/>
        <w:jc w:val="both"/>
      </w:pPr>
      <w:r>
        <w:rPr>
          <w:spacing w:val="-2"/>
        </w:rPr>
        <w:t>Of</w:t>
      </w:r>
      <w:r>
        <w:rPr>
          <w:spacing w:val="-5"/>
        </w:rPr>
        <w:t xml:space="preserve"> </w:t>
      </w:r>
      <w:r>
        <w:rPr>
          <w:spacing w:val="-2"/>
        </w:rPr>
        <w:t>those</w:t>
      </w:r>
      <w:r>
        <w:rPr>
          <w:spacing w:val="-5"/>
        </w:rPr>
        <w:t xml:space="preserve"> </w:t>
      </w:r>
      <w:r>
        <w:rPr>
          <w:spacing w:val="-2"/>
        </w:rPr>
        <w:t>notifications</w:t>
      </w:r>
      <w:r>
        <w:rPr>
          <w:spacing w:val="-5"/>
        </w:rPr>
        <w:t xml:space="preserve"> </w:t>
      </w:r>
      <w:r>
        <w:rPr>
          <w:spacing w:val="-2"/>
        </w:rPr>
        <w:t>the</w:t>
      </w:r>
      <w:r>
        <w:rPr>
          <w:spacing w:val="-5"/>
        </w:rPr>
        <w:t xml:space="preserve"> </w:t>
      </w:r>
      <w:r>
        <w:rPr>
          <w:spacing w:val="-2"/>
        </w:rPr>
        <w:t>charges</w:t>
      </w:r>
      <w:r>
        <w:rPr>
          <w:spacing w:val="-5"/>
        </w:rPr>
        <w:t xml:space="preserve"> </w:t>
      </w:r>
      <w:r>
        <w:rPr>
          <w:spacing w:val="-2"/>
        </w:rPr>
        <w:t>against</w:t>
      </w:r>
      <w:r>
        <w:rPr>
          <w:spacing w:val="-5"/>
        </w:rPr>
        <w:t xml:space="preserve"> </w:t>
      </w:r>
      <w:r>
        <w:rPr>
          <w:spacing w:val="-2"/>
        </w:rPr>
        <w:t>one</w:t>
      </w:r>
      <w:r>
        <w:rPr>
          <w:spacing w:val="-5"/>
        </w:rPr>
        <w:t xml:space="preserve"> </w:t>
      </w:r>
      <w:r>
        <w:rPr>
          <w:spacing w:val="-2"/>
        </w:rPr>
        <w:t>practitioner</w:t>
      </w:r>
      <w:r>
        <w:rPr>
          <w:spacing w:val="-5"/>
        </w:rPr>
        <w:t xml:space="preserve"> </w:t>
      </w:r>
      <w:r>
        <w:rPr>
          <w:spacing w:val="-2"/>
        </w:rPr>
        <w:t>were</w:t>
      </w:r>
      <w:r>
        <w:rPr>
          <w:spacing w:val="-5"/>
        </w:rPr>
        <w:t xml:space="preserve"> </w:t>
      </w:r>
      <w:r>
        <w:rPr>
          <w:spacing w:val="-2"/>
        </w:rPr>
        <w:t>determined</w:t>
      </w:r>
      <w:r>
        <w:rPr>
          <w:spacing w:val="-5"/>
        </w:rPr>
        <w:t xml:space="preserve"> </w:t>
      </w:r>
      <w:r>
        <w:rPr>
          <w:spacing w:val="-2"/>
        </w:rPr>
        <w:t>and</w:t>
      </w:r>
      <w:r>
        <w:rPr>
          <w:spacing w:val="-5"/>
        </w:rPr>
        <w:t xml:space="preserve"> </w:t>
      </w:r>
      <w:r>
        <w:rPr>
          <w:spacing w:val="-2"/>
        </w:rPr>
        <w:t>conditions</w:t>
      </w:r>
      <w:r>
        <w:rPr>
          <w:spacing w:val="-5"/>
        </w:rPr>
        <w:t xml:space="preserve"> </w:t>
      </w:r>
      <w:proofErr w:type="gramStart"/>
      <w:r>
        <w:rPr>
          <w:spacing w:val="-2"/>
        </w:rPr>
        <w:t>were</w:t>
      </w:r>
      <w:r>
        <w:rPr>
          <w:spacing w:val="-5"/>
        </w:rPr>
        <w:t xml:space="preserve"> </w:t>
      </w:r>
      <w:r>
        <w:rPr>
          <w:spacing w:val="-2"/>
        </w:rPr>
        <w:t>applied</w:t>
      </w:r>
      <w:proofErr w:type="gramEnd"/>
      <w:r>
        <w:rPr>
          <w:spacing w:val="-2"/>
        </w:rPr>
        <w:t xml:space="preserve"> to</w:t>
      </w:r>
      <w:r>
        <w:rPr>
          <w:spacing w:val="-3"/>
        </w:rPr>
        <w:t xml:space="preserve"> </w:t>
      </w:r>
      <w:r>
        <w:rPr>
          <w:spacing w:val="-2"/>
        </w:rPr>
        <w:t>the</w:t>
      </w:r>
      <w:r>
        <w:rPr>
          <w:spacing w:val="-3"/>
        </w:rPr>
        <w:t xml:space="preserve"> </w:t>
      </w:r>
      <w:proofErr w:type="spellStart"/>
      <w:r>
        <w:rPr>
          <w:spacing w:val="-2"/>
        </w:rPr>
        <w:t>practising</w:t>
      </w:r>
      <w:proofErr w:type="spellEnd"/>
      <w:r>
        <w:rPr>
          <w:spacing w:val="-3"/>
        </w:rPr>
        <w:t xml:space="preserve"> </w:t>
      </w:r>
      <w:r>
        <w:rPr>
          <w:spacing w:val="-2"/>
        </w:rPr>
        <w:t>certificate</w:t>
      </w:r>
      <w:r>
        <w:rPr>
          <w:spacing w:val="-3"/>
        </w:rPr>
        <w:t xml:space="preserve"> </w:t>
      </w:r>
      <w:r>
        <w:rPr>
          <w:spacing w:val="-2"/>
        </w:rPr>
        <w:t>of</w:t>
      </w:r>
      <w:r>
        <w:rPr>
          <w:spacing w:val="-3"/>
        </w:rPr>
        <w:t xml:space="preserve"> </w:t>
      </w:r>
      <w:r>
        <w:rPr>
          <w:spacing w:val="-2"/>
        </w:rPr>
        <w:t>another.</w:t>
      </w:r>
      <w:r>
        <w:rPr>
          <w:spacing w:val="-7"/>
        </w:rPr>
        <w:t xml:space="preserve"> </w:t>
      </w:r>
      <w:r>
        <w:rPr>
          <w:spacing w:val="-2"/>
        </w:rPr>
        <w:t>There</w:t>
      </w:r>
      <w:r>
        <w:rPr>
          <w:spacing w:val="-3"/>
        </w:rPr>
        <w:t xml:space="preserve"> </w:t>
      </w:r>
      <w:r>
        <w:rPr>
          <w:spacing w:val="-2"/>
        </w:rPr>
        <w:t>are</w:t>
      </w:r>
      <w:r>
        <w:rPr>
          <w:spacing w:val="-3"/>
        </w:rPr>
        <w:t xml:space="preserve"> </w:t>
      </w:r>
      <w:r>
        <w:rPr>
          <w:spacing w:val="-2"/>
        </w:rPr>
        <w:t>currently</w:t>
      </w:r>
      <w:r>
        <w:rPr>
          <w:spacing w:val="-3"/>
        </w:rPr>
        <w:t xml:space="preserve"> </w:t>
      </w:r>
      <w:r>
        <w:rPr>
          <w:spacing w:val="-2"/>
        </w:rPr>
        <w:t>ten</w:t>
      </w:r>
      <w:r>
        <w:rPr>
          <w:spacing w:val="-3"/>
        </w:rPr>
        <w:t xml:space="preserve"> </w:t>
      </w:r>
      <w:r>
        <w:rPr>
          <w:spacing w:val="-2"/>
        </w:rPr>
        <w:t>practitioners</w:t>
      </w:r>
      <w:r>
        <w:rPr>
          <w:spacing w:val="-3"/>
        </w:rPr>
        <w:t xml:space="preserve"> </w:t>
      </w:r>
      <w:r>
        <w:rPr>
          <w:spacing w:val="-2"/>
        </w:rPr>
        <w:t>awaiting</w:t>
      </w:r>
      <w:r>
        <w:rPr>
          <w:spacing w:val="-3"/>
        </w:rPr>
        <w:t xml:space="preserve"> </w:t>
      </w:r>
      <w:r>
        <w:rPr>
          <w:spacing w:val="-2"/>
        </w:rPr>
        <w:t>the</w:t>
      </w:r>
      <w:r>
        <w:rPr>
          <w:spacing w:val="-3"/>
        </w:rPr>
        <w:t xml:space="preserve"> </w:t>
      </w:r>
      <w:r>
        <w:rPr>
          <w:spacing w:val="-2"/>
        </w:rPr>
        <w:t>determination</w:t>
      </w:r>
      <w:r>
        <w:rPr>
          <w:spacing w:val="-3"/>
        </w:rPr>
        <w:t xml:space="preserve"> </w:t>
      </w:r>
      <w:r>
        <w:rPr>
          <w:spacing w:val="-2"/>
        </w:rPr>
        <w:t xml:space="preserve">of </w:t>
      </w:r>
      <w:r>
        <w:t>charges</w:t>
      </w:r>
      <w:r>
        <w:rPr>
          <w:spacing w:val="-5"/>
        </w:rPr>
        <w:t xml:space="preserve"> </w:t>
      </w:r>
      <w:r>
        <w:t>of</w:t>
      </w:r>
      <w:r>
        <w:rPr>
          <w:spacing w:val="-5"/>
        </w:rPr>
        <w:t xml:space="preserve"> </w:t>
      </w:r>
      <w:r>
        <w:t>serious</w:t>
      </w:r>
      <w:r>
        <w:rPr>
          <w:spacing w:val="-5"/>
        </w:rPr>
        <w:t xml:space="preserve"> </w:t>
      </w:r>
      <w:r>
        <w:t>offences</w:t>
      </w:r>
      <w:r>
        <w:rPr>
          <w:spacing w:val="-5"/>
        </w:rPr>
        <w:t xml:space="preserve"> </w:t>
      </w:r>
      <w:r>
        <w:t>that</w:t>
      </w:r>
      <w:r>
        <w:rPr>
          <w:spacing w:val="-5"/>
        </w:rPr>
        <w:t xml:space="preserve"> </w:t>
      </w:r>
      <w:r>
        <w:t>have</w:t>
      </w:r>
      <w:r>
        <w:rPr>
          <w:spacing w:val="-5"/>
        </w:rPr>
        <w:t xml:space="preserve"> </w:t>
      </w:r>
      <w:r>
        <w:t>either</w:t>
      </w:r>
      <w:r>
        <w:rPr>
          <w:spacing w:val="-5"/>
        </w:rPr>
        <w:t xml:space="preserve"> </w:t>
      </w:r>
      <w:proofErr w:type="gramStart"/>
      <w:r>
        <w:t>been</w:t>
      </w:r>
      <w:r>
        <w:rPr>
          <w:spacing w:val="-5"/>
        </w:rPr>
        <w:t xml:space="preserve"> </w:t>
      </w:r>
      <w:r>
        <w:t>previously</w:t>
      </w:r>
      <w:r>
        <w:rPr>
          <w:spacing w:val="-5"/>
        </w:rPr>
        <w:t xml:space="preserve"> </w:t>
      </w:r>
      <w:r>
        <w:t>been</w:t>
      </w:r>
      <w:proofErr w:type="gramEnd"/>
      <w:r>
        <w:rPr>
          <w:spacing w:val="-5"/>
        </w:rPr>
        <w:t xml:space="preserve"> </w:t>
      </w:r>
      <w:r>
        <w:t>notified,</w:t>
      </w:r>
      <w:r>
        <w:rPr>
          <w:spacing w:val="-5"/>
        </w:rPr>
        <w:t xml:space="preserve"> </w:t>
      </w:r>
      <w:r>
        <w:t>or</w:t>
      </w:r>
      <w:r>
        <w:rPr>
          <w:spacing w:val="-5"/>
        </w:rPr>
        <w:t xml:space="preserve"> </w:t>
      </w:r>
      <w:r>
        <w:t>notified</w:t>
      </w:r>
      <w:r>
        <w:rPr>
          <w:spacing w:val="-5"/>
        </w:rPr>
        <w:t xml:space="preserve"> </w:t>
      </w:r>
      <w:r>
        <w:t>this</w:t>
      </w:r>
      <w:r>
        <w:rPr>
          <w:spacing w:val="-5"/>
        </w:rPr>
        <w:t xml:space="preserve"> </w:t>
      </w:r>
      <w:r>
        <w:t>year.</w:t>
      </w:r>
    </w:p>
    <w:p w14:paraId="1C6339F1" w14:textId="77777777" w:rsidR="00AC6F3C" w:rsidRDefault="00AC6F3C">
      <w:pPr>
        <w:spacing w:line="249" w:lineRule="auto"/>
        <w:jc w:val="both"/>
        <w:sectPr w:rsidR="00AC6F3C">
          <w:headerReference w:type="default" r:id="rId108"/>
          <w:footerReference w:type="default" r:id="rId109"/>
          <w:pgSz w:w="11910" w:h="16840"/>
          <w:pgMar w:top="980" w:right="1160" w:bottom="520" w:left="460" w:header="0" w:footer="336" w:gutter="0"/>
          <w:cols w:space="720"/>
        </w:sectPr>
      </w:pPr>
    </w:p>
    <w:p w14:paraId="25B2A0DA" w14:textId="77777777" w:rsidR="00AC6F3C" w:rsidRDefault="00570E88">
      <w:pPr>
        <w:pStyle w:val="BodyText"/>
        <w:spacing w:before="76" w:line="249" w:lineRule="auto"/>
        <w:ind w:left="815" w:right="632"/>
      </w:pPr>
      <w:r>
        <w:lastRenderedPageBreak/>
        <w:t>Section</w:t>
      </w:r>
      <w:r>
        <w:rPr>
          <w:spacing w:val="-1"/>
        </w:rPr>
        <w:t xml:space="preserve"> </w:t>
      </w:r>
      <w:r>
        <w:t>56(3)</w:t>
      </w:r>
      <w:r>
        <w:rPr>
          <w:spacing w:val="-1"/>
        </w:rPr>
        <w:t xml:space="preserve"> </w:t>
      </w:r>
      <w:r>
        <w:t>of</w:t>
      </w:r>
      <w:r>
        <w:rPr>
          <w:spacing w:val="-1"/>
        </w:rPr>
        <w:t xml:space="preserve"> </w:t>
      </w:r>
      <w:r>
        <w:t>the</w:t>
      </w:r>
      <w:r>
        <w:rPr>
          <w:spacing w:val="-1"/>
        </w:rPr>
        <w:t xml:space="preserve"> </w:t>
      </w:r>
      <w:r>
        <w:rPr>
          <w:i/>
        </w:rPr>
        <w:t>Legal</w:t>
      </w:r>
      <w:r>
        <w:rPr>
          <w:i/>
          <w:spacing w:val="-1"/>
        </w:rPr>
        <w:t xml:space="preserve"> </w:t>
      </w:r>
      <w:r>
        <w:rPr>
          <w:i/>
        </w:rPr>
        <w:t>Profession</w:t>
      </w:r>
      <w:r>
        <w:rPr>
          <w:i/>
          <w:spacing w:val="-9"/>
        </w:rPr>
        <w:t xml:space="preserve"> </w:t>
      </w:r>
      <w:r>
        <w:rPr>
          <w:i/>
        </w:rPr>
        <w:t>Act</w:t>
      </w:r>
      <w:r>
        <w:rPr>
          <w:i/>
          <w:spacing w:val="-1"/>
        </w:rPr>
        <w:t xml:space="preserve"> </w:t>
      </w:r>
      <w:r>
        <w:rPr>
          <w:i/>
        </w:rPr>
        <w:t>2007</w:t>
      </w:r>
      <w:r>
        <w:rPr>
          <w:i/>
          <w:spacing w:val="-1"/>
        </w:rPr>
        <w:t xml:space="preserve"> </w:t>
      </w:r>
      <w:r>
        <w:t>allows</w:t>
      </w:r>
      <w:r>
        <w:rPr>
          <w:spacing w:val="-1"/>
        </w:rPr>
        <w:t xml:space="preserve"> </w:t>
      </w:r>
      <w:r>
        <w:t>QLS</w:t>
      </w:r>
      <w:r>
        <w:rPr>
          <w:spacing w:val="-1"/>
        </w:rPr>
        <w:t xml:space="preserve"> </w:t>
      </w:r>
      <w:r>
        <w:t>to</w:t>
      </w:r>
      <w:r>
        <w:rPr>
          <w:spacing w:val="-1"/>
        </w:rPr>
        <w:t xml:space="preserve"> </w:t>
      </w:r>
      <w:r>
        <w:t>give</w:t>
      </w:r>
      <w:r>
        <w:rPr>
          <w:spacing w:val="-1"/>
        </w:rPr>
        <w:t xml:space="preserve"> </w:t>
      </w:r>
      <w:r>
        <w:t>an</w:t>
      </w:r>
      <w:r>
        <w:rPr>
          <w:spacing w:val="-1"/>
        </w:rPr>
        <w:t xml:space="preserve"> </w:t>
      </w:r>
      <w:r>
        <w:t>exemption</w:t>
      </w:r>
      <w:r>
        <w:rPr>
          <w:spacing w:val="-1"/>
        </w:rPr>
        <w:t xml:space="preserve"> </w:t>
      </w:r>
      <w:r>
        <w:t>or</w:t>
      </w:r>
      <w:r>
        <w:rPr>
          <w:spacing w:val="-1"/>
        </w:rPr>
        <w:t xml:space="preserve"> </w:t>
      </w:r>
      <w:r>
        <w:t>reduction</w:t>
      </w:r>
      <w:r>
        <w:rPr>
          <w:spacing w:val="-1"/>
        </w:rPr>
        <w:t xml:space="preserve"> </w:t>
      </w:r>
      <w:r>
        <w:t>in</w:t>
      </w:r>
      <w:r>
        <w:rPr>
          <w:spacing w:val="-1"/>
        </w:rPr>
        <w:t xml:space="preserve"> </w:t>
      </w:r>
      <w:r>
        <w:t xml:space="preserve">the requirement of two years supervised legal practice when obtaining a first </w:t>
      </w:r>
      <w:proofErr w:type="spellStart"/>
      <w:r>
        <w:t>practising</w:t>
      </w:r>
      <w:proofErr w:type="spellEnd"/>
      <w:r>
        <w:t xml:space="preserve"> certificate.</w:t>
      </w:r>
      <w:r>
        <w:rPr>
          <w:spacing w:val="-3"/>
        </w:rPr>
        <w:t xml:space="preserve"> </w:t>
      </w:r>
      <w:r>
        <w:t>This provision</w:t>
      </w:r>
      <w:r>
        <w:rPr>
          <w:spacing w:val="-3"/>
        </w:rPr>
        <w:t xml:space="preserve"> </w:t>
      </w:r>
      <w:r>
        <w:t>means</w:t>
      </w:r>
      <w:r>
        <w:rPr>
          <w:spacing w:val="-3"/>
        </w:rPr>
        <w:t xml:space="preserve"> </w:t>
      </w:r>
      <w:r>
        <w:t>that</w:t>
      </w:r>
      <w:r>
        <w:rPr>
          <w:spacing w:val="-3"/>
        </w:rPr>
        <w:t xml:space="preserve"> </w:t>
      </w:r>
      <w:r>
        <w:t>condition</w:t>
      </w:r>
      <w:r>
        <w:rPr>
          <w:spacing w:val="-3"/>
        </w:rPr>
        <w:t xml:space="preserve"> </w:t>
      </w:r>
      <w:proofErr w:type="gramStart"/>
      <w:r>
        <w:t>is</w:t>
      </w:r>
      <w:r>
        <w:rPr>
          <w:spacing w:val="-3"/>
        </w:rPr>
        <w:t xml:space="preserve"> </w:t>
      </w:r>
      <w:r>
        <w:t>attached</w:t>
      </w:r>
      <w:proofErr w:type="gramEnd"/>
      <w:r>
        <w:rPr>
          <w:spacing w:val="-3"/>
        </w:rPr>
        <w:t xml:space="preserve"> </w:t>
      </w:r>
      <w:r>
        <w:t>to</w:t>
      </w:r>
      <w:r>
        <w:rPr>
          <w:spacing w:val="-3"/>
        </w:rPr>
        <w:t xml:space="preserve"> </w:t>
      </w:r>
      <w:proofErr w:type="spellStart"/>
      <w:r>
        <w:t>practising</w:t>
      </w:r>
      <w:proofErr w:type="spellEnd"/>
      <w:r>
        <w:rPr>
          <w:spacing w:val="-3"/>
        </w:rPr>
        <w:t xml:space="preserve"> </w:t>
      </w:r>
      <w:r>
        <w:t>certificates</w:t>
      </w:r>
      <w:r>
        <w:rPr>
          <w:spacing w:val="-3"/>
        </w:rPr>
        <w:t xml:space="preserve"> </w:t>
      </w:r>
      <w:r>
        <w:t>given</w:t>
      </w:r>
      <w:r>
        <w:rPr>
          <w:spacing w:val="-3"/>
        </w:rPr>
        <w:t xml:space="preserve"> </w:t>
      </w:r>
      <w:r>
        <w:t>not</w:t>
      </w:r>
      <w:r>
        <w:rPr>
          <w:spacing w:val="-3"/>
        </w:rPr>
        <w:t xml:space="preserve"> </w:t>
      </w:r>
      <w:r>
        <w:t>only</w:t>
      </w:r>
      <w:r>
        <w:rPr>
          <w:spacing w:val="-3"/>
        </w:rPr>
        <w:t xml:space="preserve"> </w:t>
      </w:r>
      <w:r>
        <w:t>to</w:t>
      </w:r>
      <w:r>
        <w:rPr>
          <w:spacing w:val="-3"/>
        </w:rPr>
        <w:t xml:space="preserve"> </w:t>
      </w:r>
      <w:r>
        <w:t>newly</w:t>
      </w:r>
      <w:r>
        <w:rPr>
          <w:spacing w:val="-3"/>
        </w:rPr>
        <w:t xml:space="preserve"> </w:t>
      </w:r>
      <w:r>
        <w:t xml:space="preserve">admitted practitioners but also to any experienced practitioner obtaining a </w:t>
      </w:r>
      <w:proofErr w:type="spellStart"/>
      <w:r>
        <w:t>practising</w:t>
      </w:r>
      <w:proofErr w:type="spellEnd"/>
      <w:r>
        <w:t xml:space="preserve"> certificate for the first time. Exemptions or reductions </w:t>
      </w:r>
      <w:proofErr w:type="spellStart"/>
      <w:r>
        <w:t>totalled</w:t>
      </w:r>
      <w:proofErr w:type="spellEnd"/>
      <w:r>
        <w:t xml:space="preserve"> </w:t>
      </w:r>
      <w:proofErr w:type="gramStart"/>
      <w:r>
        <w:t>23</w:t>
      </w:r>
      <w:proofErr w:type="gramEnd"/>
      <w:r>
        <w:t xml:space="preserve"> this year.</w:t>
      </w:r>
      <w:r>
        <w:rPr>
          <w:spacing w:val="-1"/>
        </w:rPr>
        <w:t xml:space="preserve"> </w:t>
      </w:r>
      <w:r>
        <w:t xml:space="preserve">This was down from </w:t>
      </w:r>
      <w:proofErr w:type="gramStart"/>
      <w:r>
        <w:t>54</w:t>
      </w:r>
      <w:proofErr w:type="gramEnd"/>
      <w:r>
        <w:t xml:space="preserve"> last year.</w:t>
      </w:r>
      <w:r>
        <w:rPr>
          <w:spacing w:val="-1"/>
        </w:rPr>
        <w:t xml:space="preserve"> </w:t>
      </w:r>
      <w:r>
        <w:t>The Society refused six applications.</w:t>
      </w:r>
    </w:p>
    <w:p w14:paraId="50D19DEA" w14:textId="77777777" w:rsidR="00AC6F3C" w:rsidRDefault="00AC6F3C">
      <w:pPr>
        <w:pStyle w:val="BodyText"/>
        <w:spacing w:before="4"/>
        <w:rPr>
          <w:sz w:val="31"/>
        </w:rPr>
      </w:pPr>
    </w:p>
    <w:p w14:paraId="14A4083B" w14:textId="77777777" w:rsidR="00AC6F3C" w:rsidRDefault="00570E88">
      <w:pPr>
        <w:ind w:left="815"/>
        <w:rPr>
          <w:b/>
          <w:sz w:val="26"/>
        </w:rPr>
      </w:pPr>
      <w:r>
        <w:rPr>
          <w:b/>
          <w:sz w:val="26"/>
        </w:rPr>
        <w:t xml:space="preserve">External </w:t>
      </w:r>
      <w:r>
        <w:rPr>
          <w:b/>
          <w:spacing w:val="-2"/>
          <w:sz w:val="26"/>
        </w:rPr>
        <w:t>Intervention</w:t>
      </w:r>
    </w:p>
    <w:p w14:paraId="73DC7A53" w14:textId="77777777" w:rsidR="00AC6F3C" w:rsidRDefault="00570E88">
      <w:pPr>
        <w:pStyle w:val="BodyText"/>
        <w:spacing w:before="167" w:line="249" w:lineRule="auto"/>
        <w:ind w:left="815" w:right="157"/>
      </w:pPr>
      <w:r>
        <w:t>QLS intervenes in a law practice when the property of clients is at risk. During 2022-23, QLS undertook ten</w:t>
      </w:r>
      <w:r>
        <w:rPr>
          <w:spacing w:val="-3"/>
        </w:rPr>
        <w:t xml:space="preserve"> </w:t>
      </w:r>
      <w:r>
        <w:t>interventions</w:t>
      </w:r>
      <w:r>
        <w:rPr>
          <w:spacing w:val="-3"/>
        </w:rPr>
        <w:t xml:space="preserve"> </w:t>
      </w:r>
      <w:r>
        <w:t>in</w:t>
      </w:r>
      <w:r>
        <w:rPr>
          <w:spacing w:val="-3"/>
        </w:rPr>
        <w:t xml:space="preserve"> </w:t>
      </w:r>
      <w:r>
        <w:t>eight</w:t>
      </w:r>
      <w:r>
        <w:rPr>
          <w:spacing w:val="-3"/>
        </w:rPr>
        <w:t xml:space="preserve"> </w:t>
      </w:r>
      <w:r>
        <w:t>law</w:t>
      </w:r>
      <w:r>
        <w:rPr>
          <w:spacing w:val="-3"/>
        </w:rPr>
        <w:t xml:space="preserve"> </w:t>
      </w:r>
      <w:r>
        <w:t>practices.</w:t>
      </w:r>
      <w:r>
        <w:rPr>
          <w:spacing w:val="-3"/>
        </w:rPr>
        <w:t xml:space="preserve"> </w:t>
      </w:r>
      <w:r>
        <w:t>Of</w:t>
      </w:r>
      <w:r>
        <w:rPr>
          <w:spacing w:val="-3"/>
        </w:rPr>
        <w:t xml:space="preserve"> </w:t>
      </w:r>
      <w:r>
        <w:t>these</w:t>
      </w:r>
      <w:r>
        <w:rPr>
          <w:spacing w:val="-3"/>
        </w:rPr>
        <w:t xml:space="preserve"> </w:t>
      </w:r>
      <w:r>
        <w:t>interventions,</w:t>
      </w:r>
      <w:r>
        <w:rPr>
          <w:spacing w:val="-3"/>
        </w:rPr>
        <w:t xml:space="preserve"> </w:t>
      </w:r>
      <w:r>
        <w:t>two</w:t>
      </w:r>
      <w:r>
        <w:rPr>
          <w:spacing w:val="-3"/>
        </w:rPr>
        <w:t xml:space="preserve"> </w:t>
      </w:r>
      <w:r>
        <w:t>have</w:t>
      </w:r>
      <w:r>
        <w:rPr>
          <w:spacing w:val="-3"/>
        </w:rPr>
        <w:t xml:space="preserve"> </w:t>
      </w:r>
      <w:r>
        <w:t>since</w:t>
      </w:r>
      <w:r>
        <w:rPr>
          <w:spacing w:val="-3"/>
        </w:rPr>
        <w:t xml:space="preserve"> </w:t>
      </w:r>
      <w:proofErr w:type="gramStart"/>
      <w:r>
        <w:t>been</w:t>
      </w:r>
      <w:r>
        <w:rPr>
          <w:spacing w:val="-3"/>
        </w:rPr>
        <w:t xml:space="preserve"> </w:t>
      </w:r>
      <w:r>
        <w:t>terminated</w:t>
      </w:r>
      <w:proofErr w:type="gramEnd"/>
      <w:r>
        <w:t>,</w:t>
      </w:r>
      <w:r>
        <w:rPr>
          <w:spacing w:val="-3"/>
        </w:rPr>
        <w:t xml:space="preserve"> </w:t>
      </w:r>
      <w:r>
        <w:t>four</w:t>
      </w:r>
      <w:r>
        <w:rPr>
          <w:spacing w:val="-3"/>
        </w:rPr>
        <w:t xml:space="preserve"> </w:t>
      </w:r>
      <w:r>
        <w:t>were supervisions and six were receiverships.</w:t>
      </w:r>
    </w:p>
    <w:p w14:paraId="6C4DB983" w14:textId="77777777" w:rsidR="00AC6F3C" w:rsidRDefault="00570E88">
      <w:pPr>
        <w:pStyle w:val="BodyText"/>
        <w:spacing w:before="173" w:line="427" w:lineRule="auto"/>
        <w:ind w:left="815" w:right="468"/>
      </w:pPr>
      <w:r>
        <w:t>The</w:t>
      </w:r>
      <w:r>
        <w:rPr>
          <w:spacing w:val="-4"/>
        </w:rPr>
        <w:t xml:space="preserve"> </w:t>
      </w:r>
      <w:r>
        <w:t>supervisions</w:t>
      </w:r>
      <w:r>
        <w:rPr>
          <w:spacing w:val="-4"/>
        </w:rPr>
        <w:t xml:space="preserve"> </w:t>
      </w:r>
      <w:proofErr w:type="gramStart"/>
      <w:r>
        <w:t>were</w:t>
      </w:r>
      <w:r>
        <w:rPr>
          <w:spacing w:val="-4"/>
        </w:rPr>
        <w:t xml:space="preserve"> </w:t>
      </w:r>
      <w:r>
        <w:t>imposed</w:t>
      </w:r>
      <w:proofErr w:type="gramEnd"/>
      <w:r>
        <w:rPr>
          <w:spacing w:val="-4"/>
        </w:rPr>
        <w:t xml:space="preserve"> </w:t>
      </w:r>
      <w:r>
        <w:t>because</w:t>
      </w:r>
      <w:r>
        <w:rPr>
          <w:spacing w:val="-4"/>
        </w:rPr>
        <w:t xml:space="preserve"> </w:t>
      </w:r>
      <w:r>
        <w:t>the</w:t>
      </w:r>
      <w:r>
        <w:rPr>
          <w:spacing w:val="-7"/>
        </w:rPr>
        <w:t xml:space="preserve"> </w:t>
      </w:r>
      <w:r>
        <w:t>Trust</w:t>
      </w:r>
      <w:r>
        <w:rPr>
          <w:spacing w:val="-14"/>
        </w:rPr>
        <w:t xml:space="preserve"> </w:t>
      </w:r>
      <w:r>
        <w:t>Accounting</w:t>
      </w:r>
      <w:r>
        <w:rPr>
          <w:spacing w:val="-3"/>
        </w:rPr>
        <w:t xml:space="preserve"> </w:t>
      </w:r>
      <w:r>
        <w:t>of</w:t>
      </w:r>
      <w:r>
        <w:rPr>
          <w:spacing w:val="-4"/>
        </w:rPr>
        <w:t xml:space="preserve"> </w:t>
      </w:r>
      <w:r>
        <w:t>the</w:t>
      </w:r>
      <w:r>
        <w:rPr>
          <w:spacing w:val="-4"/>
        </w:rPr>
        <w:t xml:space="preserve"> </w:t>
      </w:r>
      <w:r>
        <w:t>law</w:t>
      </w:r>
      <w:r>
        <w:rPr>
          <w:spacing w:val="-4"/>
        </w:rPr>
        <w:t xml:space="preserve"> </w:t>
      </w:r>
      <w:r>
        <w:t>practice</w:t>
      </w:r>
      <w:r>
        <w:rPr>
          <w:spacing w:val="-4"/>
        </w:rPr>
        <w:t xml:space="preserve"> </w:t>
      </w:r>
      <w:r>
        <w:t>was</w:t>
      </w:r>
      <w:r>
        <w:rPr>
          <w:spacing w:val="-4"/>
        </w:rPr>
        <w:t xml:space="preserve"> </w:t>
      </w:r>
      <w:r>
        <w:t xml:space="preserve">substandard. The reasons for the six receiverships </w:t>
      </w:r>
      <w:proofErr w:type="gramStart"/>
      <w:r>
        <w:t>were:-</w:t>
      </w:r>
      <w:proofErr w:type="gramEnd"/>
    </w:p>
    <w:p w14:paraId="7CD2BE10" w14:textId="77777777" w:rsidR="00AC6F3C" w:rsidRDefault="00570E88">
      <w:pPr>
        <w:pStyle w:val="ListParagraph"/>
        <w:numPr>
          <w:ilvl w:val="0"/>
          <w:numId w:val="58"/>
        </w:numPr>
        <w:tabs>
          <w:tab w:val="left" w:pos="1155"/>
        </w:tabs>
        <w:spacing w:before="1"/>
        <w:ind w:hanging="340"/>
        <w:rPr>
          <w:sz w:val="20"/>
        </w:rPr>
      </w:pPr>
      <w:r>
        <w:rPr>
          <w:sz w:val="20"/>
        </w:rPr>
        <w:t>Disciplinary</w:t>
      </w:r>
      <w:r>
        <w:rPr>
          <w:spacing w:val="-3"/>
          <w:sz w:val="20"/>
        </w:rPr>
        <w:t xml:space="preserve"> </w:t>
      </w:r>
      <w:r>
        <w:rPr>
          <w:sz w:val="20"/>
        </w:rPr>
        <w:t>action</w:t>
      </w:r>
      <w:r>
        <w:rPr>
          <w:spacing w:val="-3"/>
          <w:sz w:val="20"/>
        </w:rPr>
        <w:t xml:space="preserve"> </w:t>
      </w:r>
      <w:r>
        <w:rPr>
          <w:sz w:val="20"/>
        </w:rPr>
        <w:t>against</w:t>
      </w:r>
      <w:r>
        <w:rPr>
          <w:spacing w:val="-3"/>
          <w:sz w:val="20"/>
        </w:rPr>
        <w:t xml:space="preserve"> </w:t>
      </w:r>
      <w:r>
        <w:rPr>
          <w:sz w:val="20"/>
        </w:rPr>
        <w:t>the</w:t>
      </w:r>
      <w:r>
        <w:rPr>
          <w:spacing w:val="-3"/>
          <w:sz w:val="20"/>
        </w:rPr>
        <w:t xml:space="preserve"> </w:t>
      </w:r>
      <w:proofErr w:type="gramStart"/>
      <w:r>
        <w:rPr>
          <w:sz w:val="20"/>
        </w:rPr>
        <w:t>Principal</w:t>
      </w:r>
      <w:proofErr w:type="gramEnd"/>
      <w:r>
        <w:rPr>
          <w:spacing w:val="-3"/>
          <w:sz w:val="20"/>
        </w:rPr>
        <w:t xml:space="preserve"> </w:t>
      </w:r>
      <w:r>
        <w:rPr>
          <w:spacing w:val="-5"/>
          <w:sz w:val="20"/>
        </w:rPr>
        <w:t>(2)</w:t>
      </w:r>
    </w:p>
    <w:p w14:paraId="3BD2662C" w14:textId="77777777" w:rsidR="00AC6F3C" w:rsidRDefault="00570E88">
      <w:pPr>
        <w:pStyle w:val="ListParagraph"/>
        <w:numPr>
          <w:ilvl w:val="0"/>
          <w:numId w:val="58"/>
        </w:numPr>
        <w:tabs>
          <w:tab w:val="left" w:pos="1155"/>
        </w:tabs>
        <w:ind w:hanging="340"/>
        <w:rPr>
          <w:sz w:val="20"/>
        </w:rPr>
      </w:pPr>
      <w:r>
        <w:rPr>
          <w:sz w:val="20"/>
        </w:rPr>
        <w:t>Death</w:t>
      </w:r>
      <w:r>
        <w:rPr>
          <w:spacing w:val="-4"/>
          <w:sz w:val="20"/>
        </w:rPr>
        <w:t xml:space="preserve"> </w:t>
      </w:r>
      <w:r>
        <w:rPr>
          <w:sz w:val="20"/>
        </w:rPr>
        <w:t>of</w:t>
      </w:r>
      <w:r>
        <w:rPr>
          <w:spacing w:val="-4"/>
          <w:sz w:val="20"/>
        </w:rPr>
        <w:t xml:space="preserve"> </w:t>
      </w:r>
      <w:r>
        <w:rPr>
          <w:sz w:val="20"/>
        </w:rPr>
        <w:t>Sole</w:t>
      </w:r>
      <w:r>
        <w:rPr>
          <w:spacing w:val="-4"/>
          <w:sz w:val="20"/>
        </w:rPr>
        <w:t xml:space="preserve"> </w:t>
      </w:r>
      <w:r>
        <w:rPr>
          <w:sz w:val="20"/>
        </w:rPr>
        <w:t>Principal</w:t>
      </w:r>
      <w:r>
        <w:rPr>
          <w:spacing w:val="-3"/>
          <w:sz w:val="20"/>
        </w:rPr>
        <w:t xml:space="preserve"> </w:t>
      </w:r>
      <w:r>
        <w:rPr>
          <w:spacing w:val="-5"/>
          <w:sz w:val="20"/>
        </w:rPr>
        <w:t>(3)</w:t>
      </w:r>
    </w:p>
    <w:p w14:paraId="11A6714A" w14:textId="77777777" w:rsidR="00AC6F3C" w:rsidRDefault="00570E88">
      <w:pPr>
        <w:pStyle w:val="ListParagraph"/>
        <w:numPr>
          <w:ilvl w:val="0"/>
          <w:numId w:val="58"/>
        </w:numPr>
        <w:tabs>
          <w:tab w:val="left" w:pos="1155"/>
        </w:tabs>
        <w:ind w:hanging="340"/>
        <w:rPr>
          <w:sz w:val="20"/>
        </w:rPr>
      </w:pPr>
      <w:r>
        <w:rPr>
          <w:sz w:val="20"/>
        </w:rPr>
        <w:t>Ill</w:t>
      </w:r>
      <w:r>
        <w:rPr>
          <w:spacing w:val="-4"/>
          <w:sz w:val="20"/>
        </w:rPr>
        <w:t xml:space="preserve"> </w:t>
      </w:r>
      <w:r>
        <w:rPr>
          <w:sz w:val="20"/>
        </w:rPr>
        <w:t>health</w:t>
      </w:r>
      <w:r>
        <w:rPr>
          <w:spacing w:val="-4"/>
          <w:sz w:val="20"/>
        </w:rPr>
        <w:t xml:space="preserve"> </w:t>
      </w:r>
      <w:r>
        <w:rPr>
          <w:sz w:val="20"/>
        </w:rPr>
        <w:t>of</w:t>
      </w:r>
      <w:r>
        <w:rPr>
          <w:spacing w:val="-4"/>
          <w:sz w:val="20"/>
        </w:rPr>
        <w:t xml:space="preserve"> </w:t>
      </w:r>
      <w:r>
        <w:rPr>
          <w:sz w:val="20"/>
        </w:rPr>
        <w:t>Principal</w:t>
      </w:r>
      <w:r>
        <w:rPr>
          <w:spacing w:val="-3"/>
          <w:sz w:val="20"/>
        </w:rPr>
        <w:t xml:space="preserve"> </w:t>
      </w:r>
      <w:r>
        <w:rPr>
          <w:spacing w:val="-5"/>
          <w:sz w:val="20"/>
        </w:rPr>
        <w:t>(1)</w:t>
      </w:r>
    </w:p>
    <w:p w14:paraId="3954EC6A" w14:textId="77777777" w:rsidR="00AC6F3C" w:rsidRDefault="00AC6F3C">
      <w:pPr>
        <w:pStyle w:val="BodyText"/>
        <w:spacing w:before="10"/>
        <w:rPr>
          <w:sz w:val="31"/>
        </w:rPr>
      </w:pPr>
    </w:p>
    <w:p w14:paraId="09FE71C2" w14:textId="77777777" w:rsidR="00AC6F3C" w:rsidRDefault="00570E88">
      <w:pPr>
        <w:ind w:left="815"/>
        <w:rPr>
          <w:b/>
          <w:sz w:val="26"/>
        </w:rPr>
      </w:pPr>
      <w:r>
        <w:rPr>
          <w:b/>
          <w:sz w:val="26"/>
        </w:rPr>
        <w:t>Trust</w:t>
      </w:r>
      <w:r>
        <w:rPr>
          <w:b/>
          <w:spacing w:val="-17"/>
          <w:sz w:val="26"/>
        </w:rPr>
        <w:t xml:space="preserve"> </w:t>
      </w:r>
      <w:r>
        <w:rPr>
          <w:b/>
          <w:sz w:val="26"/>
        </w:rPr>
        <w:t>Account</w:t>
      </w:r>
      <w:r>
        <w:rPr>
          <w:b/>
          <w:spacing w:val="-8"/>
          <w:sz w:val="26"/>
        </w:rPr>
        <w:t xml:space="preserve"> </w:t>
      </w:r>
      <w:r>
        <w:rPr>
          <w:b/>
          <w:spacing w:val="-2"/>
          <w:sz w:val="26"/>
        </w:rPr>
        <w:t>Investigations</w:t>
      </w:r>
    </w:p>
    <w:p w14:paraId="015ECB64" w14:textId="77777777" w:rsidR="00AC6F3C" w:rsidRDefault="00570E88">
      <w:pPr>
        <w:pStyle w:val="BodyText"/>
        <w:spacing w:before="167" w:line="249" w:lineRule="auto"/>
        <w:ind w:left="815" w:right="632"/>
      </w:pPr>
      <w:r>
        <w:t>We</w:t>
      </w:r>
      <w:r>
        <w:rPr>
          <w:spacing w:val="-4"/>
        </w:rPr>
        <w:t xml:space="preserve"> </w:t>
      </w:r>
      <w:r>
        <w:t>completed</w:t>
      </w:r>
      <w:r>
        <w:rPr>
          <w:spacing w:val="-4"/>
        </w:rPr>
        <w:t xml:space="preserve"> </w:t>
      </w:r>
      <w:r>
        <w:t>156</w:t>
      </w:r>
      <w:r>
        <w:rPr>
          <w:spacing w:val="-4"/>
        </w:rPr>
        <w:t xml:space="preserve"> </w:t>
      </w:r>
      <w:r>
        <w:t>investigations,</w:t>
      </w:r>
      <w:r>
        <w:rPr>
          <w:spacing w:val="-4"/>
        </w:rPr>
        <w:t xml:space="preserve"> </w:t>
      </w:r>
      <w:proofErr w:type="gramStart"/>
      <w:r>
        <w:t>i.e.</w:t>
      </w:r>
      <w:proofErr w:type="gramEnd"/>
      <w:r>
        <w:rPr>
          <w:spacing w:val="-4"/>
        </w:rPr>
        <w:t xml:space="preserve"> </w:t>
      </w:r>
      <w:r>
        <w:t>the</w:t>
      </w:r>
      <w:r>
        <w:rPr>
          <w:spacing w:val="-4"/>
        </w:rPr>
        <w:t xml:space="preserve"> </w:t>
      </w:r>
      <w:r>
        <w:t>more</w:t>
      </w:r>
      <w:r>
        <w:rPr>
          <w:spacing w:val="-4"/>
        </w:rPr>
        <w:t xml:space="preserve"> </w:t>
      </w:r>
      <w:r>
        <w:t>intensive</w:t>
      </w:r>
      <w:r>
        <w:rPr>
          <w:spacing w:val="-4"/>
        </w:rPr>
        <w:t xml:space="preserve"> </w:t>
      </w:r>
      <w:r>
        <w:t>investigations</w:t>
      </w:r>
      <w:r>
        <w:rPr>
          <w:spacing w:val="-4"/>
        </w:rPr>
        <w:t xml:space="preserve"> </w:t>
      </w:r>
      <w:r>
        <w:t>compared</w:t>
      </w:r>
      <w:r>
        <w:rPr>
          <w:spacing w:val="-4"/>
        </w:rPr>
        <w:t xml:space="preserve"> </w:t>
      </w:r>
      <w:r>
        <w:t>to</w:t>
      </w:r>
      <w:r>
        <w:rPr>
          <w:spacing w:val="-4"/>
        </w:rPr>
        <w:t xml:space="preserve"> </w:t>
      </w:r>
      <w:r>
        <w:t>141</w:t>
      </w:r>
      <w:r>
        <w:rPr>
          <w:spacing w:val="-4"/>
        </w:rPr>
        <w:t xml:space="preserve"> </w:t>
      </w:r>
      <w:r>
        <w:t>last</w:t>
      </w:r>
      <w:r>
        <w:rPr>
          <w:spacing w:val="-4"/>
        </w:rPr>
        <w:t xml:space="preserve"> </w:t>
      </w:r>
      <w:r>
        <w:t>year. We completed 345 Trust</w:t>
      </w:r>
      <w:r>
        <w:rPr>
          <w:spacing w:val="-2"/>
        </w:rPr>
        <w:t xml:space="preserve"> </w:t>
      </w:r>
      <w:r>
        <w:t>Account Reviews compared with 236 last year.</w:t>
      </w:r>
    </w:p>
    <w:p w14:paraId="2CAD5960" w14:textId="77777777" w:rsidR="00AC6F3C" w:rsidRDefault="00570E88">
      <w:pPr>
        <w:pStyle w:val="BodyText"/>
        <w:spacing w:before="172" w:line="249" w:lineRule="auto"/>
        <w:ind w:left="815"/>
      </w:pPr>
      <w:r>
        <w:t xml:space="preserve">We continue to receive </w:t>
      </w:r>
      <w:proofErr w:type="spellStart"/>
      <w:r>
        <w:t>favourable</w:t>
      </w:r>
      <w:proofErr w:type="spellEnd"/>
      <w:r>
        <w:t xml:space="preserve"> reviews from the profession for the quality of our Trust</w:t>
      </w:r>
      <w:r>
        <w:rPr>
          <w:spacing w:val="-5"/>
        </w:rPr>
        <w:t xml:space="preserve"> </w:t>
      </w:r>
      <w:r>
        <w:t>Account Investigations</w:t>
      </w:r>
      <w:r>
        <w:rPr>
          <w:spacing w:val="-3"/>
        </w:rPr>
        <w:t xml:space="preserve"> </w:t>
      </w:r>
      <w:r>
        <w:t>and</w:t>
      </w:r>
      <w:r>
        <w:rPr>
          <w:spacing w:val="-3"/>
        </w:rPr>
        <w:t xml:space="preserve"> </w:t>
      </w:r>
      <w:r>
        <w:t>Reviews</w:t>
      </w:r>
      <w:r>
        <w:rPr>
          <w:spacing w:val="-3"/>
        </w:rPr>
        <w:t xml:space="preserve"> </w:t>
      </w:r>
      <w:r>
        <w:t>scoring</w:t>
      </w:r>
      <w:r>
        <w:rPr>
          <w:spacing w:val="-3"/>
        </w:rPr>
        <w:t xml:space="preserve"> </w:t>
      </w:r>
      <w:r>
        <w:t>an</w:t>
      </w:r>
      <w:r>
        <w:rPr>
          <w:spacing w:val="-3"/>
        </w:rPr>
        <w:t xml:space="preserve"> </w:t>
      </w:r>
      <w:r>
        <w:t>average</w:t>
      </w:r>
      <w:r>
        <w:rPr>
          <w:spacing w:val="-3"/>
        </w:rPr>
        <w:t xml:space="preserve"> </w:t>
      </w:r>
      <w:r>
        <w:t>team</w:t>
      </w:r>
      <w:r>
        <w:rPr>
          <w:spacing w:val="-3"/>
        </w:rPr>
        <w:t xml:space="preserve"> </w:t>
      </w:r>
      <w:r>
        <w:t>rating</w:t>
      </w:r>
      <w:r>
        <w:rPr>
          <w:spacing w:val="-3"/>
        </w:rPr>
        <w:t xml:space="preserve"> </w:t>
      </w:r>
      <w:r>
        <w:t>of</w:t>
      </w:r>
      <w:r>
        <w:rPr>
          <w:spacing w:val="-3"/>
        </w:rPr>
        <w:t xml:space="preserve"> </w:t>
      </w:r>
      <w:r>
        <w:t>4.56</w:t>
      </w:r>
      <w:r>
        <w:rPr>
          <w:spacing w:val="-3"/>
        </w:rPr>
        <w:t xml:space="preserve"> </w:t>
      </w:r>
      <w:r>
        <w:t>out</w:t>
      </w:r>
      <w:r>
        <w:rPr>
          <w:spacing w:val="-3"/>
        </w:rPr>
        <w:t xml:space="preserve"> </w:t>
      </w:r>
      <w:r>
        <w:t>of</w:t>
      </w:r>
      <w:r>
        <w:rPr>
          <w:spacing w:val="-3"/>
        </w:rPr>
        <w:t xml:space="preserve"> </w:t>
      </w:r>
      <w:proofErr w:type="gramStart"/>
      <w:r>
        <w:t>5</w:t>
      </w:r>
      <w:proofErr w:type="gramEnd"/>
      <w:r>
        <w:rPr>
          <w:spacing w:val="-3"/>
        </w:rPr>
        <w:t xml:space="preserve"> </w:t>
      </w:r>
      <w:r>
        <w:t>in</w:t>
      </w:r>
      <w:r>
        <w:rPr>
          <w:spacing w:val="-3"/>
        </w:rPr>
        <w:t xml:space="preserve"> </w:t>
      </w:r>
      <w:r>
        <w:t>relation</w:t>
      </w:r>
      <w:r>
        <w:rPr>
          <w:spacing w:val="-3"/>
        </w:rPr>
        <w:t xml:space="preserve"> </w:t>
      </w:r>
      <w:r>
        <w:t>to</w:t>
      </w:r>
      <w:r>
        <w:rPr>
          <w:spacing w:val="-7"/>
        </w:rPr>
        <w:t xml:space="preserve"> </w:t>
      </w:r>
      <w:r>
        <w:t>Trust</w:t>
      </w:r>
      <w:r>
        <w:rPr>
          <w:spacing w:val="-13"/>
        </w:rPr>
        <w:t xml:space="preserve"> </w:t>
      </w:r>
      <w:r>
        <w:t>Account Investigations and 4.78 out of 5 in relation to Trust</w:t>
      </w:r>
      <w:r>
        <w:rPr>
          <w:spacing w:val="-1"/>
        </w:rPr>
        <w:t xml:space="preserve"> </w:t>
      </w:r>
      <w:r>
        <w:t>Account Reviews.</w:t>
      </w:r>
    </w:p>
    <w:p w14:paraId="114A8B80" w14:textId="77777777" w:rsidR="00AC6F3C" w:rsidRDefault="00570E88">
      <w:pPr>
        <w:pStyle w:val="BodyText"/>
        <w:spacing w:before="172" w:line="249" w:lineRule="auto"/>
        <w:ind w:left="815" w:right="234"/>
      </w:pPr>
      <w:r>
        <w:t>We</w:t>
      </w:r>
      <w:r>
        <w:rPr>
          <w:spacing w:val="-7"/>
        </w:rPr>
        <w:t xml:space="preserve"> </w:t>
      </w:r>
      <w:r>
        <w:t>provided</w:t>
      </w:r>
      <w:r>
        <w:rPr>
          <w:spacing w:val="-5"/>
        </w:rPr>
        <w:t xml:space="preserve"> </w:t>
      </w:r>
      <w:proofErr w:type="gramStart"/>
      <w:r>
        <w:t>80</w:t>
      </w:r>
      <w:proofErr w:type="gramEnd"/>
      <w:r>
        <w:rPr>
          <w:spacing w:val="-5"/>
        </w:rPr>
        <w:t xml:space="preserve"> </w:t>
      </w:r>
      <w:r>
        <w:t>consultations</w:t>
      </w:r>
      <w:r>
        <w:rPr>
          <w:spacing w:val="-5"/>
        </w:rPr>
        <w:t xml:space="preserve"> </w:t>
      </w:r>
      <w:r>
        <w:t>through</w:t>
      </w:r>
      <w:r>
        <w:rPr>
          <w:spacing w:val="-5"/>
        </w:rPr>
        <w:t xml:space="preserve"> </w:t>
      </w:r>
      <w:r>
        <w:t>the</w:t>
      </w:r>
      <w:r>
        <w:rPr>
          <w:spacing w:val="-9"/>
        </w:rPr>
        <w:t xml:space="preserve"> </w:t>
      </w:r>
      <w:r>
        <w:t>Trust</w:t>
      </w:r>
      <w:r>
        <w:rPr>
          <w:spacing w:val="-14"/>
        </w:rPr>
        <w:t xml:space="preserve"> </w:t>
      </w:r>
      <w:r>
        <w:t>Account</w:t>
      </w:r>
      <w:r>
        <w:rPr>
          <w:spacing w:val="-5"/>
        </w:rPr>
        <w:t xml:space="preserve"> </w:t>
      </w:r>
      <w:r>
        <w:t>Consultancy</w:t>
      </w:r>
      <w:r>
        <w:rPr>
          <w:spacing w:val="-5"/>
        </w:rPr>
        <w:t xml:space="preserve"> </w:t>
      </w:r>
      <w:r>
        <w:t>Service</w:t>
      </w:r>
      <w:r>
        <w:rPr>
          <w:spacing w:val="-5"/>
        </w:rPr>
        <w:t xml:space="preserve"> </w:t>
      </w:r>
      <w:r>
        <w:t>this</w:t>
      </w:r>
      <w:r>
        <w:rPr>
          <w:spacing w:val="-5"/>
        </w:rPr>
        <w:t xml:space="preserve"> </w:t>
      </w:r>
      <w:r>
        <w:t>year.</w:t>
      </w:r>
      <w:r>
        <w:rPr>
          <w:spacing w:val="-5"/>
        </w:rPr>
        <w:t xml:space="preserve"> </w:t>
      </w:r>
      <w:r>
        <w:t>We</w:t>
      </w:r>
      <w:r>
        <w:rPr>
          <w:spacing w:val="-5"/>
        </w:rPr>
        <w:t xml:space="preserve"> </w:t>
      </w:r>
      <w:r>
        <w:t>conducted two Trust Account Remedial Courses attended by eighteen practitioners.</w:t>
      </w:r>
    </w:p>
    <w:p w14:paraId="73D66163" w14:textId="77777777" w:rsidR="00AC6F3C" w:rsidRDefault="00570E88">
      <w:pPr>
        <w:pStyle w:val="BodyText"/>
        <w:spacing w:before="172" w:line="249" w:lineRule="auto"/>
        <w:ind w:left="815" w:right="234"/>
      </w:pPr>
      <w:r>
        <w:t>The</w:t>
      </w:r>
      <w:r>
        <w:rPr>
          <w:spacing w:val="-7"/>
        </w:rPr>
        <w:t xml:space="preserve"> </w:t>
      </w:r>
      <w:r>
        <w:t>Trust</w:t>
      </w:r>
      <w:r>
        <w:rPr>
          <w:spacing w:val="-14"/>
        </w:rPr>
        <w:t xml:space="preserve"> </w:t>
      </w:r>
      <w:r>
        <w:t>Account</w:t>
      </w:r>
      <w:r>
        <w:rPr>
          <w:spacing w:val="-3"/>
        </w:rPr>
        <w:t xml:space="preserve"> </w:t>
      </w:r>
      <w:r>
        <w:t>Information</w:t>
      </w:r>
      <w:r>
        <w:rPr>
          <w:spacing w:val="-3"/>
        </w:rPr>
        <w:t xml:space="preserve"> </w:t>
      </w:r>
      <w:r>
        <w:t>Service</w:t>
      </w:r>
      <w:r>
        <w:rPr>
          <w:spacing w:val="-3"/>
        </w:rPr>
        <w:t xml:space="preserve"> </w:t>
      </w:r>
      <w:r>
        <w:t>answered</w:t>
      </w:r>
      <w:r>
        <w:rPr>
          <w:spacing w:val="-3"/>
        </w:rPr>
        <w:t xml:space="preserve"> </w:t>
      </w:r>
      <w:r>
        <w:t>4,768</w:t>
      </w:r>
      <w:r>
        <w:rPr>
          <w:spacing w:val="-3"/>
        </w:rPr>
        <w:t xml:space="preserve"> </w:t>
      </w:r>
      <w:r>
        <w:t>requests</w:t>
      </w:r>
      <w:r>
        <w:rPr>
          <w:spacing w:val="-3"/>
        </w:rPr>
        <w:t xml:space="preserve"> </w:t>
      </w:r>
      <w:r>
        <w:t>for</w:t>
      </w:r>
      <w:r>
        <w:rPr>
          <w:spacing w:val="-3"/>
        </w:rPr>
        <w:t xml:space="preserve"> </w:t>
      </w:r>
      <w:r>
        <w:t>assistance</w:t>
      </w:r>
      <w:r>
        <w:rPr>
          <w:spacing w:val="-3"/>
        </w:rPr>
        <w:t xml:space="preserve"> </w:t>
      </w:r>
      <w:r>
        <w:t>this</w:t>
      </w:r>
      <w:r>
        <w:rPr>
          <w:spacing w:val="-3"/>
        </w:rPr>
        <w:t xml:space="preserve"> </w:t>
      </w:r>
      <w:r>
        <w:t>year</w:t>
      </w:r>
      <w:r>
        <w:rPr>
          <w:spacing w:val="-3"/>
        </w:rPr>
        <w:t xml:space="preserve"> </w:t>
      </w:r>
      <w:r>
        <w:t>up</w:t>
      </w:r>
      <w:r>
        <w:rPr>
          <w:spacing w:val="-3"/>
        </w:rPr>
        <w:t xml:space="preserve"> </w:t>
      </w:r>
      <w:r>
        <w:t>from</w:t>
      </w:r>
      <w:r>
        <w:rPr>
          <w:spacing w:val="-3"/>
        </w:rPr>
        <w:t xml:space="preserve"> </w:t>
      </w:r>
      <w:r>
        <w:t>4,048 last year. We achieved a same day request response of 98%.</w:t>
      </w:r>
    </w:p>
    <w:p w14:paraId="0262F7C9" w14:textId="77777777" w:rsidR="00AC6F3C" w:rsidRDefault="00AC6F3C">
      <w:pPr>
        <w:pStyle w:val="BodyText"/>
        <w:spacing w:before="1"/>
        <w:rPr>
          <w:sz w:val="31"/>
        </w:rPr>
      </w:pPr>
    </w:p>
    <w:p w14:paraId="29C8899A" w14:textId="77777777" w:rsidR="00AC6F3C" w:rsidRDefault="00570E88">
      <w:pPr>
        <w:ind w:left="815"/>
        <w:rPr>
          <w:b/>
          <w:sz w:val="26"/>
        </w:rPr>
      </w:pPr>
      <w:r>
        <w:rPr>
          <w:b/>
          <w:sz w:val="26"/>
        </w:rPr>
        <w:t xml:space="preserve">Limitation of </w:t>
      </w:r>
      <w:r>
        <w:rPr>
          <w:b/>
          <w:spacing w:val="-2"/>
          <w:sz w:val="26"/>
        </w:rPr>
        <w:t>Liability</w:t>
      </w:r>
    </w:p>
    <w:p w14:paraId="0D53998A" w14:textId="77777777" w:rsidR="00AC6F3C" w:rsidRDefault="00570E88">
      <w:pPr>
        <w:pStyle w:val="BodyText"/>
        <w:spacing w:before="168" w:line="249" w:lineRule="auto"/>
        <w:ind w:left="815" w:right="468"/>
      </w:pPr>
      <w:proofErr w:type="gramStart"/>
      <w:r>
        <w:t>At</w:t>
      </w:r>
      <w:proofErr w:type="gramEnd"/>
      <w:r>
        <w:rPr>
          <w:spacing w:val="-3"/>
        </w:rPr>
        <w:t xml:space="preserve"> </w:t>
      </w:r>
      <w:r>
        <w:t>12</w:t>
      </w:r>
      <w:r>
        <w:rPr>
          <w:spacing w:val="-3"/>
        </w:rPr>
        <w:t xml:space="preserve"> </w:t>
      </w:r>
      <w:r>
        <w:t>July</w:t>
      </w:r>
      <w:r>
        <w:rPr>
          <w:spacing w:val="-3"/>
        </w:rPr>
        <w:t xml:space="preserve"> </w:t>
      </w:r>
      <w:r>
        <w:t>2023,</w:t>
      </w:r>
      <w:r>
        <w:rPr>
          <w:spacing w:val="-3"/>
        </w:rPr>
        <w:t xml:space="preserve"> </w:t>
      </w:r>
      <w:r>
        <w:t>6,867</w:t>
      </w:r>
      <w:r>
        <w:rPr>
          <w:spacing w:val="-3"/>
        </w:rPr>
        <w:t xml:space="preserve"> </w:t>
      </w:r>
      <w:r>
        <w:t>Practitioners</w:t>
      </w:r>
      <w:r>
        <w:rPr>
          <w:spacing w:val="-3"/>
        </w:rPr>
        <w:t xml:space="preserve"> </w:t>
      </w:r>
      <w:r>
        <w:t>were</w:t>
      </w:r>
      <w:r>
        <w:rPr>
          <w:spacing w:val="-3"/>
        </w:rPr>
        <w:t xml:space="preserve"> </w:t>
      </w:r>
      <w:r>
        <w:t>participants</w:t>
      </w:r>
      <w:r>
        <w:rPr>
          <w:spacing w:val="-3"/>
        </w:rPr>
        <w:t xml:space="preserve"> </w:t>
      </w:r>
      <w:r>
        <w:t>in</w:t>
      </w:r>
      <w:r>
        <w:rPr>
          <w:spacing w:val="-3"/>
        </w:rPr>
        <w:t xml:space="preserve"> </w:t>
      </w:r>
      <w:r>
        <w:t>the</w:t>
      </w:r>
      <w:r>
        <w:rPr>
          <w:spacing w:val="-3"/>
        </w:rPr>
        <w:t xml:space="preserve"> </w:t>
      </w:r>
      <w:r>
        <w:t>Queensland</w:t>
      </w:r>
      <w:r>
        <w:rPr>
          <w:spacing w:val="-3"/>
        </w:rPr>
        <w:t xml:space="preserve"> </w:t>
      </w:r>
      <w:r>
        <w:t>Law</w:t>
      </w:r>
      <w:r>
        <w:rPr>
          <w:spacing w:val="-3"/>
        </w:rPr>
        <w:t xml:space="preserve"> </w:t>
      </w:r>
      <w:r>
        <w:t>Society’s</w:t>
      </w:r>
      <w:r>
        <w:rPr>
          <w:spacing w:val="-3"/>
        </w:rPr>
        <w:t xml:space="preserve"> </w:t>
      </w:r>
      <w:r>
        <w:t>Limitation</w:t>
      </w:r>
      <w:r>
        <w:rPr>
          <w:spacing w:val="-3"/>
        </w:rPr>
        <w:t xml:space="preserve"> </w:t>
      </w:r>
      <w:r>
        <w:t>of Liability Scheme.</w:t>
      </w:r>
    </w:p>
    <w:p w14:paraId="5B35FD47" w14:textId="77777777" w:rsidR="00AC6F3C" w:rsidRDefault="00AC6F3C">
      <w:pPr>
        <w:pStyle w:val="BodyText"/>
        <w:rPr>
          <w:sz w:val="31"/>
        </w:rPr>
      </w:pPr>
    </w:p>
    <w:p w14:paraId="414264D5" w14:textId="77777777" w:rsidR="00AC6F3C" w:rsidRDefault="00570E88">
      <w:pPr>
        <w:spacing w:before="1"/>
        <w:ind w:left="815"/>
        <w:rPr>
          <w:b/>
          <w:sz w:val="26"/>
        </w:rPr>
      </w:pPr>
      <w:r>
        <w:rPr>
          <w:b/>
          <w:sz w:val="26"/>
        </w:rPr>
        <w:t>Legal</w:t>
      </w:r>
      <w:r>
        <w:rPr>
          <w:b/>
          <w:spacing w:val="-7"/>
          <w:sz w:val="26"/>
        </w:rPr>
        <w:t xml:space="preserve"> </w:t>
      </w:r>
      <w:r>
        <w:rPr>
          <w:b/>
          <w:sz w:val="26"/>
        </w:rPr>
        <w:t>Practitioners</w:t>
      </w:r>
      <w:r>
        <w:rPr>
          <w:b/>
          <w:spacing w:val="-7"/>
          <w:sz w:val="26"/>
        </w:rPr>
        <w:t xml:space="preserve"> </w:t>
      </w:r>
      <w:r>
        <w:rPr>
          <w:b/>
          <w:sz w:val="26"/>
        </w:rPr>
        <w:t>Fidelity</w:t>
      </w:r>
      <w:r>
        <w:rPr>
          <w:b/>
          <w:spacing w:val="-7"/>
          <w:sz w:val="26"/>
        </w:rPr>
        <w:t xml:space="preserve"> </w:t>
      </w:r>
      <w:r>
        <w:rPr>
          <w:b/>
          <w:sz w:val="26"/>
        </w:rPr>
        <w:t>Guarantee</w:t>
      </w:r>
      <w:r>
        <w:rPr>
          <w:b/>
          <w:spacing w:val="-6"/>
          <w:sz w:val="26"/>
        </w:rPr>
        <w:t xml:space="preserve"> </w:t>
      </w:r>
      <w:r>
        <w:rPr>
          <w:b/>
          <w:spacing w:val="-4"/>
          <w:sz w:val="26"/>
        </w:rPr>
        <w:t>Fund</w:t>
      </w:r>
    </w:p>
    <w:p w14:paraId="2B2329A1" w14:textId="77777777" w:rsidR="00AC6F3C" w:rsidRDefault="00570E88">
      <w:pPr>
        <w:pStyle w:val="BodyText"/>
        <w:spacing w:before="167" w:line="249" w:lineRule="auto"/>
        <w:ind w:left="815" w:right="322"/>
      </w:pPr>
      <w:r>
        <w:t>Practitioners contribute each year to this fund. It exists to compensate members of the public who lose trust</w:t>
      </w:r>
      <w:r>
        <w:rPr>
          <w:spacing w:val="-2"/>
        </w:rPr>
        <w:t xml:space="preserve"> </w:t>
      </w:r>
      <w:r>
        <w:t>property</w:t>
      </w:r>
      <w:r>
        <w:rPr>
          <w:spacing w:val="-2"/>
        </w:rPr>
        <w:t xml:space="preserve"> </w:t>
      </w:r>
      <w:r>
        <w:t>or</w:t>
      </w:r>
      <w:r>
        <w:rPr>
          <w:spacing w:val="-2"/>
        </w:rPr>
        <w:t xml:space="preserve"> </w:t>
      </w:r>
      <w:r>
        <w:t>trust</w:t>
      </w:r>
      <w:r>
        <w:rPr>
          <w:spacing w:val="-2"/>
        </w:rPr>
        <w:t xml:space="preserve"> </w:t>
      </w:r>
      <w:r>
        <w:t>money</w:t>
      </w:r>
      <w:r>
        <w:rPr>
          <w:spacing w:val="-2"/>
        </w:rPr>
        <w:t xml:space="preserve"> </w:t>
      </w:r>
      <w:r>
        <w:t>because</w:t>
      </w:r>
      <w:r>
        <w:rPr>
          <w:spacing w:val="-2"/>
        </w:rPr>
        <w:t xml:space="preserve"> </w:t>
      </w:r>
      <w:r>
        <w:t>of</w:t>
      </w:r>
      <w:r>
        <w:rPr>
          <w:spacing w:val="-2"/>
        </w:rPr>
        <w:t xml:space="preserve"> </w:t>
      </w:r>
      <w:r>
        <w:t>the</w:t>
      </w:r>
      <w:r>
        <w:rPr>
          <w:spacing w:val="-2"/>
        </w:rPr>
        <w:t xml:space="preserve"> </w:t>
      </w:r>
      <w:r>
        <w:t>dishonest</w:t>
      </w:r>
      <w:r>
        <w:rPr>
          <w:spacing w:val="-2"/>
        </w:rPr>
        <w:t xml:space="preserve"> </w:t>
      </w:r>
      <w:r>
        <w:t>acts</w:t>
      </w:r>
      <w:r>
        <w:rPr>
          <w:spacing w:val="-2"/>
        </w:rPr>
        <w:t xml:space="preserve"> </w:t>
      </w:r>
      <w:r>
        <w:t>or</w:t>
      </w:r>
      <w:r>
        <w:rPr>
          <w:spacing w:val="-2"/>
        </w:rPr>
        <w:t xml:space="preserve"> </w:t>
      </w:r>
      <w:r>
        <w:t>omissions</w:t>
      </w:r>
      <w:r>
        <w:rPr>
          <w:spacing w:val="-2"/>
        </w:rPr>
        <w:t xml:space="preserve"> </w:t>
      </w:r>
      <w:r>
        <w:t>of</w:t>
      </w:r>
      <w:r>
        <w:rPr>
          <w:spacing w:val="-2"/>
        </w:rPr>
        <w:t xml:space="preserve"> </w:t>
      </w:r>
      <w:r>
        <w:t>associates</w:t>
      </w:r>
      <w:r>
        <w:rPr>
          <w:spacing w:val="-2"/>
        </w:rPr>
        <w:t xml:space="preserve"> </w:t>
      </w:r>
      <w:r>
        <w:t>of</w:t>
      </w:r>
      <w:r>
        <w:rPr>
          <w:spacing w:val="-2"/>
        </w:rPr>
        <w:t xml:space="preserve"> </w:t>
      </w:r>
      <w:r>
        <w:t>law</w:t>
      </w:r>
      <w:r>
        <w:rPr>
          <w:spacing w:val="-2"/>
        </w:rPr>
        <w:t xml:space="preserve"> </w:t>
      </w:r>
      <w:r>
        <w:t xml:space="preserve">practices. It is a rare and </w:t>
      </w:r>
      <w:proofErr w:type="gramStart"/>
      <w:r>
        <w:t>very good</w:t>
      </w:r>
      <w:proofErr w:type="gramEnd"/>
      <w:r>
        <w:t xml:space="preserve"> thing that the profession makes good on the dishonesty of its own.</w:t>
      </w:r>
      <w:r>
        <w:rPr>
          <w:spacing w:val="-1"/>
        </w:rPr>
        <w:t xml:space="preserve"> </w:t>
      </w:r>
      <w:r>
        <w:t>This year the fund paid $2,847,147.75, inclusive of interest, in respect of fourteen claims.</w:t>
      </w:r>
    </w:p>
    <w:p w14:paraId="7F00CEB1" w14:textId="77777777" w:rsidR="00AC6F3C" w:rsidRDefault="00570E88">
      <w:pPr>
        <w:pStyle w:val="BodyText"/>
        <w:spacing w:before="173" w:line="249" w:lineRule="auto"/>
        <w:ind w:left="815"/>
      </w:pPr>
      <w:r>
        <w:t>Ten</w:t>
      </w:r>
      <w:r>
        <w:rPr>
          <w:spacing w:val="-4"/>
        </w:rPr>
        <w:t xml:space="preserve"> </w:t>
      </w:r>
      <w:r>
        <w:t>of</w:t>
      </w:r>
      <w:r>
        <w:rPr>
          <w:spacing w:val="-4"/>
        </w:rPr>
        <w:t xml:space="preserve"> </w:t>
      </w:r>
      <w:r>
        <w:t>the</w:t>
      </w:r>
      <w:r>
        <w:rPr>
          <w:spacing w:val="-4"/>
        </w:rPr>
        <w:t xml:space="preserve"> </w:t>
      </w:r>
      <w:proofErr w:type="gramStart"/>
      <w:r>
        <w:t>14</w:t>
      </w:r>
      <w:proofErr w:type="gramEnd"/>
      <w:r>
        <w:rPr>
          <w:spacing w:val="-4"/>
        </w:rPr>
        <w:t xml:space="preserve"> </w:t>
      </w:r>
      <w:r>
        <w:t>claims</w:t>
      </w:r>
      <w:r>
        <w:rPr>
          <w:spacing w:val="-4"/>
        </w:rPr>
        <w:t xml:space="preserve"> </w:t>
      </w:r>
      <w:r>
        <w:t>were</w:t>
      </w:r>
      <w:r>
        <w:rPr>
          <w:spacing w:val="-4"/>
        </w:rPr>
        <w:t xml:space="preserve"> </w:t>
      </w:r>
      <w:r>
        <w:t>the</w:t>
      </w:r>
      <w:r>
        <w:rPr>
          <w:spacing w:val="-4"/>
        </w:rPr>
        <w:t xml:space="preserve"> </w:t>
      </w:r>
      <w:r>
        <w:t>result</w:t>
      </w:r>
      <w:r>
        <w:rPr>
          <w:spacing w:val="-4"/>
        </w:rPr>
        <w:t xml:space="preserve"> </w:t>
      </w:r>
      <w:r>
        <w:t>of</w:t>
      </w:r>
      <w:r>
        <w:rPr>
          <w:spacing w:val="-4"/>
        </w:rPr>
        <w:t xml:space="preserve"> </w:t>
      </w:r>
      <w:r>
        <w:t>the</w:t>
      </w:r>
      <w:r>
        <w:rPr>
          <w:spacing w:val="-4"/>
        </w:rPr>
        <w:t xml:space="preserve"> </w:t>
      </w:r>
      <w:r>
        <w:t>dishonest</w:t>
      </w:r>
      <w:r>
        <w:rPr>
          <w:spacing w:val="-4"/>
        </w:rPr>
        <w:t xml:space="preserve"> </w:t>
      </w:r>
      <w:r>
        <w:t>actions</w:t>
      </w:r>
      <w:r>
        <w:rPr>
          <w:spacing w:val="-4"/>
        </w:rPr>
        <w:t xml:space="preserve"> </w:t>
      </w:r>
      <w:r>
        <w:t>of</w:t>
      </w:r>
      <w:r>
        <w:rPr>
          <w:spacing w:val="-4"/>
        </w:rPr>
        <w:t xml:space="preserve"> </w:t>
      </w:r>
      <w:r>
        <w:t>conveyancing</w:t>
      </w:r>
      <w:r>
        <w:rPr>
          <w:spacing w:val="-4"/>
        </w:rPr>
        <w:t xml:space="preserve"> </w:t>
      </w:r>
      <w:r>
        <w:t>paralegal</w:t>
      </w:r>
      <w:r>
        <w:rPr>
          <w:spacing w:val="-4"/>
        </w:rPr>
        <w:t xml:space="preserve"> </w:t>
      </w:r>
      <w:r>
        <w:t>employees</w:t>
      </w:r>
      <w:r>
        <w:rPr>
          <w:spacing w:val="-4"/>
        </w:rPr>
        <w:t xml:space="preserve"> </w:t>
      </w:r>
      <w:r>
        <w:t>of</w:t>
      </w:r>
      <w:r>
        <w:rPr>
          <w:spacing w:val="-4"/>
        </w:rPr>
        <w:t xml:space="preserve"> </w:t>
      </w:r>
      <w:r>
        <w:t>law practices. The amount paid in respect of these claims was $2,505,375.14.</w:t>
      </w:r>
    </w:p>
    <w:p w14:paraId="5D0647E5" w14:textId="77777777" w:rsidR="00AC6F3C" w:rsidRDefault="00570E88">
      <w:pPr>
        <w:pStyle w:val="BodyText"/>
        <w:spacing w:before="172" w:line="249" w:lineRule="auto"/>
        <w:ind w:left="815"/>
      </w:pPr>
      <w:proofErr w:type="gramStart"/>
      <w:r>
        <w:t>Eleven</w:t>
      </w:r>
      <w:r>
        <w:rPr>
          <w:spacing w:val="-2"/>
        </w:rPr>
        <w:t xml:space="preserve"> </w:t>
      </w:r>
      <w:r>
        <w:t>of</w:t>
      </w:r>
      <w:r>
        <w:rPr>
          <w:spacing w:val="-2"/>
        </w:rPr>
        <w:t xml:space="preserve"> </w:t>
      </w:r>
      <w:r>
        <w:t>the</w:t>
      </w:r>
      <w:r>
        <w:rPr>
          <w:spacing w:val="-2"/>
        </w:rPr>
        <w:t xml:space="preserve"> </w:t>
      </w:r>
      <w:r>
        <w:t>14</w:t>
      </w:r>
      <w:r>
        <w:rPr>
          <w:spacing w:val="-2"/>
        </w:rPr>
        <w:t xml:space="preserve"> </w:t>
      </w:r>
      <w:r>
        <w:t>claims</w:t>
      </w:r>
      <w:r>
        <w:rPr>
          <w:spacing w:val="-2"/>
        </w:rPr>
        <w:t xml:space="preserve"> </w:t>
      </w:r>
      <w:r>
        <w:t>were</w:t>
      </w:r>
      <w:r>
        <w:rPr>
          <w:spacing w:val="-2"/>
        </w:rPr>
        <w:t xml:space="preserve"> </w:t>
      </w:r>
      <w:r>
        <w:t>made</w:t>
      </w:r>
      <w:r>
        <w:rPr>
          <w:spacing w:val="-2"/>
        </w:rPr>
        <w:t xml:space="preserve"> </w:t>
      </w:r>
      <w:r>
        <w:t>by</w:t>
      </w:r>
      <w:r>
        <w:rPr>
          <w:spacing w:val="-2"/>
        </w:rPr>
        <w:t xml:space="preserve"> </w:t>
      </w:r>
      <w:r>
        <w:t>members</w:t>
      </w:r>
      <w:r>
        <w:rPr>
          <w:spacing w:val="-2"/>
        </w:rPr>
        <w:t xml:space="preserve"> </w:t>
      </w:r>
      <w:r>
        <w:t>of</w:t>
      </w:r>
      <w:r>
        <w:rPr>
          <w:spacing w:val="-2"/>
        </w:rPr>
        <w:t xml:space="preserve"> </w:t>
      </w:r>
      <w:r>
        <w:t>the</w:t>
      </w:r>
      <w:r>
        <w:rPr>
          <w:spacing w:val="-2"/>
        </w:rPr>
        <w:t xml:space="preserve"> </w:t>
      </w:r>
      <w:r>
        <w:t>public</w:t>
      </w:r>
      <w:proofErr w:type="gramEnd"/>
      <w:r>
        <w:t>.</w:t>
      </w:r>
      <w:r>
        <w:rPr>
          <w:spacing w:val="-6"/>
        </w:rPr>
        <w:t xml:space="preserve"> </w:t>
      </w:r>
      <w:r>
        <w:t>The</w:t>
      </w:r>
      <w:r>
        <w:rPr>
          <w:spacing w:val="-2"/>
        </w:rPr>
        <w:t xml:space="preserve"> </w:t>
      </w:r>
      <w:r>
        <w:t>amount</w:t>
      </w:r>
      <w:r>
        <w:rPr>
          <w:spacing w:val="-2"/>
        </w:rPr>
        <w:t xml:space="preserve"> </w:t>
      </w:r>
      <w:r>
        <w:t>paid</w:t>
      </w:r>
      <w:r>
        <w:rPr>
          <w:spacing w:val="-2"/>
        </w:rPr>
        <w:t xml:space="preserve"> </w:t>
      </w:r>
      <w:r>
        <w:t>in</w:t>
      </w:r>
      <w:r>
        <w:rPr>
          <w:spacing w:val="-2"/>
        </w:rPr>
        <w:t xml:space="preserve"> </w:t>
      </w:r>
      <w:r>
        <w:t>respect</w:t>
      </w:r>
      <w:r>
        <w:rPr>
          <w:spacing w:val="-2"/>
        </w:rPr>
        <w:t xml:space="preserve"> </w:t>
      </w:r>
      <w:r>
        <w:t>of</w:t>
      </w:r>
      <w:r>
        <w:rPr>
          <w:spacing w:val="-2"/>
        </w:rPr>
        <w:t xml:space="preserve"> </w:t>
      </w:r>
      <w:r>
        <w:t>these</w:t>
      </w:r>
      <w:r>
        <w:rPr>
          <w:spacing w:val="-2"/>
        </w:rPr>
        <w:t xml:space="preserve"> </w:t>
      </w:r>
      <w:r>
        <w:t>claims was $2,517,877.26.</w:t>
      </w:r>
      <w:r>
        <w:rPr>
          <w:spacing w:val="-1"/>
        </w:rPr>
        <w:t xml:space="preserve"> </w:t>
      </w:r>
      <w:r>
        <w:t>The other three claims (</w:t>
      </w:r>
      <w:proofErr w:type="spellStart"/>
      <w:r>
        <w:t>totalling</w:t>
      </w:r>
      <w:proofErr w:type="spellEnd"/>
      <w:r>
        <w:t xml:space="preserve"> $307,043.75) </w:t>
      </w:r>
      <w:proofErr w:type="gramStart"/>
      <w:r>
        <w:t>were made</w:t>
      </w:r>
      <w:proofErr w:type="gramEnd"/>
      <w:r>
        <w:t xml:space="preserve"> by law practices after they reimbursed members of the public who would have been entitled to make claims if they had not been reimbursed by the law practices.</w:t>
      </w:r>
    </w:p>
    <w:p w14:paraId="55011619" w14:textId="77777777" w:rsidR="00AC6F3C" w:rsidRDefault="00AC6F3C">
      <w:pPr>
        <w:spacing w:line="249" w:lineRule="auto"/>
        <w:sectPr w:rsidR="00AC6F3C">
          <w:headerReference w:type="default" r:id="rId110"/>
          <w:footerReference w:type="default" r:id="rId111"/>
          <w:pgSz w:w="11910" w:h="16840"/>
          <w:pgMar w:top="1140" w:right="1160" w:bottom="520" w:left="460" w:header="0" w:footer="336" w:gutter="0"/>
          <w:cols w:space="720"/>
        </w:sectPr>
      </w:pPr>
    </w:p>
    <w:p w14:paraId="25B9AB3B" w14:textId="77777777" w:rsidR="00AC6F3C" w:rsidRDefault="00570E88">
      <w:pPr>
        <w:pStyle w:val="Heading3"/>
        <w:spacing w:before="70"/>
      </w:pPr>
      <w:bookmarkStart w:id="44" w:name="Lexon_Insurance"/>
      <w:bookmarkStart w:id="45" w:name="_bookmark15"/>
      <w:bookmarkEnd w:id="44"/>
      <w:bookmarkEnd w:id="45"/>
      <w:r>
        <w:lastRenderedPageBreak/>
        <w:t xml:space="preserve">Lexon </w:t>
      </w:r>
      <w:r>
        <w:rPr>
          <w:spacing w:val="-2"/>
        </w:rPr>
        <w:t>Insurance</w:t>
      </w:r>
    </w:p>
    <w:p w14:paraId="5EEAAA5B" w14:textId="77777777" w:rsidR="00AC6F3C" w:rsidRDefault="00AC6F3C">
      <w:pPr>
        <w:pStyle w:val="BodyText"/>
        <w:spacing w:before="7"/>
        <w:rPr>
          <w:b/>
          <w:sz w:val="29"/>
        </w:rPr>
      </w:pPr>
    </w:p>
    <w:p w14:paraId="6B96608A" w14:textId="77777777" w:rsidR="00AC6F3C" w:rsidRDefault="00570E88">
      <w:pPr>
        <w:ind w:left="815"/>
        <w:rPr>
          <w:b/>
          <w:sz w:val="26"/>
        </w:rPr>
      </w:pPr>
      <w:r>
        <w:rPr>
          <w:b/>
          <w:sz w:val="26"/>
        </w:rPr>
        <w:t xml:space="preserve">About </w:t>
      </w:r>
      <w:r>
        <w:rPr>
          <w:b/>
          <w:spacing w:val="-5"/>
          <w:sz w:val="26"/>
        </w:rPr>
        <w:t>Us</w:t>
      </w:r>
    </w:p>
    <w:p w14:paraId="0302752A" w14:textId="77777777" w:rsidR="00AC6F3C" w:rsidRDefault="00570E88">
      <w:pPr>
        <w:pStyle w:val="BodyText"/>
        <w:spacing w:before="168" w:line="249" w:lineRule="auto"/>
        <w:ind w:left="815"/>
      </w:pPr>
      <w:r>
        <w:t>Operating</w:t>
      </w:r>
      <w:r>
        <w:rPr>
          <w:spacing w:val="-4"/>
        </w:rPr>
        <w:t xml:space="preserve"> </w:t>
      </w:r>
      <w:r>
        <w:t>since</w:t>
      </w:r>
      <w:r>
        <w:rPr>
          <w:spacing w:val="-4"/>
        </w:rPr>
        <w:t xml:space="preserve"> </w:t>
      </w:r>
      <w:r>
        <w:t>2001</w:t>
      </w:r>
      <w:r>
        <w:rPr>
          <w:spacing w:val="-4"/>
        </w:rPr>
        <w:t xml:space="preserve"> </w:t>
      </w:r>
      <w:r>
        <w:t>as</w:t>
      </w:r>
      <w:r>
        <w:rPr>
          <w:spacing w:val="-4"/>
        </w:rPr>
        <w:t xml:space="preserve"> </w:t>
      </w:r>
      <w:r>
        <w:t>a</w:t>
      </w:r>
      <w:r>
        <w:rPr>
          <w:spacing w:val="-4"/>
        </w:rPr>
        <w:t xml:space="preserve"> </w:t>
      </w:r>
      <w:r>
        <w:t>wholly</w:t>
      </w:r>
      <w:r>
        <w:rPr>
          <w:spacing w:val="-4"/>
        </w:rPr>
        <w:t xml:space="preserve"> </w:t>
      </w:r>
      <w:r>
        <w:t>owned</w:t>
      </w:r>
      <w:r>
        <w:rPr>
          <w:spacing w:val="-4"/>
        </w:rPr>
        <w:t xml:space="preserve"> </w:t>
      </w:r>
      <w:r>
        <w:t>subsidiary</w:t>
      </w:r>
      <w:r>
        <w:rPr>
          <w:spacing w:val="-4"/>
        </w:rPr>
        <w:t xml:space="preserve"> </w:t>
      </w:r>
      <w:r>
        <w:t>of</w:t>
      </w:r>
      <w:r>
        <w:rPr>
          <w:spacing w:val="-4"/>
        </w:rPr>
        <w:t xml:space="preserve"> </w:t>
      </w:r>
      <w:r>
        <w:t>the</w:t>
      </w:r>
      <w:r>
        <w:rPr>
          <w:spacing w:val="-4"/>
        </w:rPr>
        <w:t xml:space="preserve"> </w:t>
      </w:r>
      <w:r>
        <w:t>Queensland</w:t>
      </w:r>
      <w:r>
        <w:rPr>
          <w:spacing w:val="-4"/>
        </w:rPr>
        <w:t xml:space="preserve"> </w:t>
      </w:r>
      <w:r>
        <w:t>Law</w:t>
      </w:r>
      <w:r>
        <w:rPr>
          <w:spacing w:val="-4"/>
        </w:rPr>
        <w:t xml:space="preserve"> </w:t>
      </w:r>
      <w:r>
        <w:t>Society,</w:t>
      </w:r>
      <w:r>
        <w:rPr>
          <w:spacing w:val="-4"/>
        </w:rPr>
        <w:t xml:space="preserve"> </w:t>
      </w:r>
      <w:r>
        <w:t>Lexon</w:t>
      </w:r>
      <w:r>
        <w:rPr>
          <w:spacing w:val="-4"/>
        </w:rPr>
        <w:t xml:space="preserve"> </w:t>
      </w:r>
      <w:r>
        <w:t>Insurance</w:t>
      </w:r>
      <w:r>
        <w:rPr>
          <w:spacing w:val="-4"/>
        </w:rPr>
        <w:t xml:space="preserve"> </w:t>
      </w:r>
      <w:r>
        <w:t xml:space="preserve">Pte Ltd is a captive insurer providing professional indemnity insurance to members of the legal profession in accordance with the terms of the </w:t>
      </w:r>
      <w:r>
        <w:rPr>
          <w:i/>
        </w:rPr>
        <w:t>Queensland Law Society Indemnity Rule 2005</w:t>
      </w:r>
      <w:r>
        <w:t>.</w:t>
      </w:r>
    </w:p>
    <w:p w14:paraId="10557672" w14:textId="77777777" w:rsidR="00AC6F3C" w:rsidRDefault="00570E88">
      <w:pPr>
        <w:pStyle w:val="BodyText"/>
        <w:spacing w:before="172" w:line="249" w:lineRule="auto"/>
        <w:ind w:left="815"/>
      </w:pPr>
      <w:r>
        <w:t>Lexon</w:t>
      </w:r>
      <w:r>
        <w:rPr>
          <w:spacing w:val="-3"/>
        </w:rPr>
        <w:t xml:space="preserve"> </w:t>
      </w:r>
      <w:r>
        <w:t>insures</w:t>
      </w:r>
      <w:r>
        <w:rPr>
          <w:spacing w:val="-3"/>
        </w:rPr>
        <w:t xml:space="preserve"> </w:t>
      </w:r>
      <w:r>
        <w:t>around</w:t>
      </w:r>
      <w:r>
        <w:rPr>
          <w:spacing w:val="-3"/>
        </w:rPr>
        <w:t xml:space="preserve"> </w:t>
      </w:r>
      <w:r>
        <w:t>2,400</w:t>
      </w:r>
      <w:r>
        <w:rPr>
          <w:spacing w:val="-3"/>
        </w:rPr>
        <w:t xml:space="preserve"> </w:t>
      </w:r>
      <w:r>
        <w:t>law</w:t>
      </w:r>
      <w:r>
        <w:rPr>
          <w:spacing w:val="-3"/>
        </w:rPr>
        <w:t xml:space="preserve"> </w:t>
      </w:r>
      <w:r>
        <w:t>practices,</w:t>
      </w:r>
      <w:r>
        <w:rPr>
          <w:spacing w:val="-3"/>
        </w:rPr>
        <w:t xml:space="preserve"> </w:t>
      </w:r>
      <w:r>
        <w:t>each</w:t>
      </w:r>
      <w:r>
        <w:rPr>
          <w:spacing w:val="-3"/>
        </w:rPr>
        <w:t xml:space="preserve"> </w:t>
      </w:r>
      <w:r>
        <w:t>of</w:t>
      </w:r>
      <w:r>
        <w:rPr>
          <w:spacing w:val="-3"/>
        </w:rPr>
        <w:t xml:space="preserve"> </w:t>
      </w:r>
      <w:r>
        <w:t>which</w:t>
      </w:r>
      <w:r>
        <w:rPr>
          <w:spacing w:val="-3"/>
        </w:rPr>
        <w:t xml:space="preserve"> </w:t>
      </w:r>
      <w:r>
        <w:t>has</w:t>
      </w:r>
      <w:r>
        <w:rPr>
          <w:spacing w:val="-3"/>
        </w:rPr>
        <w:t xml:space="preserve"> </w:t>
      </w:r>
      <w:r>
        <w:t>at</w:t>
      </w:r>
      <w:r>
        <w:rPr>
          <w:spacing w:val="-3"/>
        </w:rPr>
        <w:t xml:space="preserve"> </w:t>
      </w:r>
      <w:r>
        <w:t>least</w:t>
      </w:r>
      <w:r>
        <w:rPr>
          <w:spacing w:val="-3"/>
        </w:rPr>
        <w:t xml:space="preserve"> </w:t>
      </w:r>
      <w:r>
        <w:t>one</w:t>
      </w:r>
      <w:r>
        <w:rPr>
          <w:spacing w:val="-3"/>
        </w:rPr>
        <w:t xml:space="preserve"> </w:t>
      </w:r>
      <w:r>
        <w:t>office</w:t>
      </w:r>
      <w:r>
        <w:rPr>
          <w:spacing w:val="-3"/>
        </w:rPr>
        <w:t xml:space="preserve"> </w:t>
      </w:r>
      <w:r>
        <w:t>or</w:t>
      </w:r>
      <w:r>
        <w:rPr>
          <w:spacing w:val="-3"/>
        </w:rPr>
        <w:t xml:space="preserve"> </w:t>
      </w:r>
      <w:r>
        <w:t>resident</w:t>
      </w:r>
      <w:r>
        <w:rPr>
          <w:spacing w:val="-3"/>
        </w:rPr>
        <w:t xml:space="preserve"> </w:t>
      </w:r>
      <w:r>
        <w:t>principal</w:t>
      </w:r>
      <w:r>
        <w:rPr>
          <w:spacing w:val="-3"/>
        </w:rPr>
        <w:t xml:space="preserve"> </w:t>
      </w:r>
      <w:r>
        <w:t>in Queensland. These 2,400 practices comprise over 7,850 Queensland PC holders and around 1,000 interstate practitioners.</w:t>
      </w:r>
    </w:p>
    <w:p w14:paraId="39ADB102" w14:textId="77777777" w:rsidR="00AC6F3C" w:rsidRDefault="00AC6F3C">
      <w:pPr>
        <w:pStyle w:val="BodyText"/>
        <w:spacing w:before="2"/>
        <w:rPr>
          <w:sz w:val="31"/>
        </w:rPr>
      </w:pPr>
    </w:p>
    <w:p w14:paraId="576C700B" w14:textId="77777777" w:rsidR="00AC6F3C" w:rsidRDefault="00570E88">
      <w:pPr>
        <w:ind w:left="815"/>
        <w:rPr>
          <w:b/>
          <w:sz w:val="26"/>
        </w:rPr>
      </w:pPr>
      <w:r>
        <w:rPr>
          <w:b/>
          <w:sz w:val="26"/>
        </w:rPr>
        <w:t>Reducing</w:t>
      </w:r>
      <w:r>
        <w:rPr>
          <w:b/>
          <w:spacing w:val="-4"/>
          <w:sz w:val="26"/>
        </w:rPr>
        <w:t xml:space="preserve"> </w:t>
      </w:r>
      <w:r>
        <w:rPr>
          <w:b/>
          <w:sz w:val="26"/>
        </w:rPr>
        <w:t>Levy</w:t>
      </w:r>
      <w:r>
        <w:rPr>
          <w:b/>
          <w:spacing w:val="-1"/>
          <w:sz w:val="26"/>
        </w:rPr>
        <w:t xml:space="preserve"> </w:t>
      </w:r>
      <w:r>
        <w:rPr>
          <w:b/>
          <w:spacing w:val="-2"/>
          <w:sz w:val="26"/>
        </w:rPr>
        <w:t>Rates</w:t>
      </w:r>
    </w:p>
    <w:p w14:paraId="7613396C" w14:textId="77777777" w:rsidR="00AC6F3C" w:rsidRDefault="00570E88">
      <w:pPr>
        <w:pStyle w:val="BodyText"/>
        <w:spacing w:before="167" w:line="249" w:lineRule="auto"/>
        <w:ind w:left="815"/>
      </w:pPr>
      <w:r>
        <w:t>With the rising cost of doing business an ongoing challenge for practices, Lexon remains committed to delivering rates at the lowest responsible levels. Whilst insurance and reinsurance markets have seen substantial</w:t>
      </w:r>
      <w:r>
        <w:rPr>
          <w:spacing w:val="-2"/>
        </w:rPr>
        <w:t xml:space="preserve"> </w:t>
      </w:r>
      <w:r>
        <w:t>increases</w:t>
      </w:r>
      <w:r>
        <w:rPr>
          <w:spacing w:val="-2"/>
        </w:rPr>
        <w:t xml:space="preserve"> </w:t>
      </w:r>
      <w:r>
        <w:t>in</w:t>
      </w:r>
      <w:r>
        <w:rPr>
          <w:spacing w:val="-2"/>
        </w:rPr>
        <w:t xml:space="preserve"> </w:t>
      </w:r>
      <w:r>
        <w:t>recent</w:t>
      </w:r>
      <w:r>
        <w:rPr>
          <w:spacing w:val="-2"/>
        </w:rPr>
        <w:t xml:space="preserve"> </w:t>
      </w:r>
      <w:r>
        <w:t>times,</w:t>
      </w:r>
      <w:r>
        <w:rPr>
          <w:spacing w:val="-2"/>
        </w:rPr>
        <w:t xml:space="preserve"> </w:t>
      </w:r>
      <w:r>
        <w:t>we</w:t>
      </w:r>
      <w:r>
        <w:rPr>
          <w:spacing w:val="-2"/>
        </w:rPr>
        <w:t xml:space="preserve"> </w:t>
      </w:r>
      <w:r>
        <w:t>have</w:t>
      </w:r>
      <w:r>
        <w:rPr>
          <w:spacing w:val="-2"/>
        </w:rPr>
        <w:t xml:space="preserve"> </w:t>
      </w:r>
      <w:r>
        <w:t>been</w:t>
      </w:r>
      <w:r>
        <w:rPr>
          <w:spacing w:val="-2"/>
        </w:rPr>
        <w:t xml:space="preserve"> </w:t>
      </w:r>
      <w:r>
        <w:t>able</w:t>
      </w:r>
      <w:r>
        <w:rPr>
          <w:spacing w:val="-2"/>
        </w:rPr>
        <w:t xml:space="preserve"> </w:t>
      </w:r>
      <w:r>
        <w:t>to</w:t>
      </w:r>
      <w:r>
        <w:rPr>
          <w:spacing w:val="-2"/>
        </w:rPr>
        <w:t xml:space="preserve"> </w:t>
      </w:r>
      <w:r>
        <w:t>reduce</w:t>
      </w:r>
      <w:r>
        <w:rPr>
          <w:spacing w:val="-2"/>
        </w:rPr>
        <w:t xml:space="preserve"> </w:t>
      </w:r>
      <w:r>
        <w:t>base</w:t>
      </w:r>
      <w:r>
        <w:rPr>
          <w:spacing w:val="-2"/>
        </w:rPr>
        <w:t xml:space="preserve"> </w:t>
      </w:r>
      <w:r>
        <w:t>levy</w:t>
      </w:r>
      <w:r>
        <w:rPr>
          <w:spacing w:val="-2"/>
        </w:rPr>
        <w:t xml:space="preserve"> </w:t>
      </w:r>
      <w:r>
        <w:t>rates</w:t>
      </w:r>
      <w:r>
        <w:rPr>
          <w:spacing w:val="-2"/>
        </w:rPr>
        <w:t xml:space="preserve"> </w:t>
      </w:r>
      <w:r>
        <w:t>for</w:t>
      </w:r>
      <w:r>
        <w:rPr>
          <w:spacing w:val="-2"/>
        </w:rPr>
        <w:t xml:space="preserve"> </w:t>
      </w:r>
      <w:r>
        <w:t>2023-24</w:t>
      </w:r>
      <w:r>
        <w:rPr>
          <w:spacing w:val="-2"/>
        </w:rPr>
        <w:t xml:space="preserve"> </w:t>
      </w:r>
      <w:r>
        <w:t>by</w:t>
      </w:r>
      <w:r>
        <w:rPr>
          <w:spacing w:val="-2"/>
        </w:rPr>
        <w:t xml:space="preserve"> </w:t>
      </w:r>
      <w:r>
        <w:t>around 5% from those in place in 2022-23. This reflects Lexon’s ongoing drive to provide the most cost-effective insurance solution to the insured cohort.</w:t>
      </w:r>
    </w:p>
    <w:p w14:paraId="5A8EE5DC" w14:textId="77777777" w:rsidR="00AC6F3C" w:rsidRDefault="00570E88">
      <w:pPr>
        <w:pStyle w:val="BodyText"/>
        <w:spacing w:before="175" w:line="249" w:lineRule="auto"/>
        <w:ind w:left="815"/>
      </w:pPr>
      <w:r>
        <w:t>The</w:t>
      </w:r>
      <w:r>
        <w:rPr>
          <w:spacing w:val="-2"/>
        </w:rPr>
        <w:t xml:space="preserve"> </w:t>
      </w:r>
      <w:r>
        <w:t>ability</w:t>
      </w:r>
      <w:r>
        <w:rPr>
          <w:spacing w:val="-2"/>
        </w:rPr>
        <w:t xml:space="preserve"> </w:t>
      </w:r>
      <w:r>
        <w:t>to</w:t>
      </w:r>
      <w:r>
        <w:rPr>
          <w:spacing w:val="-2"/>
        </w:rPr>
        <w:t xml:space="preserve"> </w:t>
      </w:r>
      <w:r>
        <w:t>maintain</w:t>
      </w:r>
      <w:r>
        <w:rPr>
          <w:spacing w:val="-2"/>
        </w:rPr>
        <w:t xml:space="preserve"> </w:t>
      </w:r>
      <w:r>
        <w:t>rates</w:t>
      </w:r>
      <w:r>
        <w:rPr>
          <w:spacing w:val="-2"/>
        </w:rPr>
        <w:t xml:space="preserve"> </w:t>
      </w:r>
      <w:r>
        <w:t>at</w:t>
      </w:r>
      <w:r>
        <w:rPr>
          <w:spacing w:val="-2"/>
        </w:rPr>
        <w:t xml:space="preserve"> </w:t>
      </w:r>
      <w:r>
        <w:t>such</w:t>
      </w:r>
      <w:r>
        <w:rPr>
          <w:spacing w:val="-2"/>
        </w:rPr>
        <w:t xml:space="preserve"> </w:t>
      </w:r>
      <w:r>
        <w:t>low</w:t>
      </w:r>
      <w:r>
        <w:rPr>
          <w:spacing w:val="-2"/>
        </w:rPr>
        <w:t xml:space="preserve"> </w:t>
      </w:r>
      <w:r>
        <w:t>levels</w:t>
      </w:r>
      <w:r>
        <w:rPr>
          <w:spacing w:val="-2"/>
        </w:rPr>
        <w:t xml:space="preserve"> </w:t>
      </w:r>
      <w:r>
        <w:t>(most</w:t>
      </w:r>
      <w:r>
        <w:rPr>
          <w:spacing w:val="-2"/>
        </w:rPr>
        <w:t xml:space="preserve"> </w:t>
      </w:r>
      <w:r>
        <w:t>band</w:t>
      </w:r>
      <w:r>
        <w:rPr>
          <w:spacing w:val="-2"/>
        </w:rPr>
        <w:t xml:space="preserve"> </w:t>
      </w:r>
      <w:r>
        <w:t>rates</w:t>
      </w:r>
      <w:r>
        <w:rPr>
          <w:spacing w:val="-2"/>
        </w:rPr>
        <w:t xml:space="preserve"> </w:t>
      </w:r>
      <w:r>
        <w:t>have</w:t>
      </w:r>
      <w:r>
        <w:rPr>
          <w:spacing w:val="-2"/>
        </w:rPr>
        <w:t xml:space="preserve"> </w:t>
      </w:r>
      <w:r>
        <w:t>fallen</w:t>
      </w:r>
      <w:r>
        <w:rPr>
          <w:spacing w:val="-2"/>
        </w:rPr>
        <w:t xml:space="preserve"> </w:t>
      </w:r>
      <w:r>
        <w:t>over</w:t>
      </w:r>
      <w:r>
        <w:rPr>
          <w:spacing w:val="-2"/>
        </w:rPr>
        <w:t xml:space="preserve"> </w:t>
      </w:r>
      <w:r>
        <w:t>40%</w:t>
      </w:r>
      <w:r>
        <w:rPr>
          <w:spacing w:val="-2"/>
        </w:rPr>
        <w:t xml:space="preserve"> </w:t>
      </w:r>
      <w:r>
        <w:t>since</w:t>
      </w:r>
      <w:r>
        <w:rPr>
          <w:spacing w:val="-2"/>
        </w:rPr>
        <w:t xml:space="preserve"> </w:t>
      </w:r>
      <w:r>
        <w:t>2014-15)</w:t>
      </w:r>
      <w:r>
        <w:rPr>
          <w:spacing w:val="-2"/>
        </w:rPr>
        <w:t xml:space="preserve"> </w:t>
      </w:r>
      <w:r>
        <w:t>is</w:t>
      </w:r>
      <w:r>
        <w:rPr>
          <w:spacing w:val="-2"/>
        </w:rPr>
        <w:t xml:space="preserve"> </w:t>
      </w:r>
      <w:r>
        <w:t>in no small part due to Lexon’s careful and prudent management of the insurance reserves we hold to meet future claims coupled with the profession’s strong commitment to risk management which has reduced overall claim values in recent years.</w:t>
      </w:r>
    </w:p>
    <w:p w14:paraId="37150C0E" w14:textId="77777777" w:rsidR="00AC6F3C" w:rsidRDefault="00AC6F3C">
      <w:pPr>
        <w:pStyle w:val="BodyText"/>
        <w:spacing w:before="2"/>
        <w:rPr>
          <w:sz w:val="31"/>
        </w:rPr>
      </w:pPr>
    </w:p>
    <w:p w14:paraId="3D7C347A" w14:textId="77777777" w:rsidR="00AC6F3C" w:rsidRDefault="00570E88">
      <w:pPr>
        <w:ind w:left="815"/>
        <w:rPr>
          <w:b/>
          <w:sz w:val="26"/>
        </w:rPr>
      </w:pPr>
      <w:r>
        <w:rPr>
          <w:b/>
          <w:sz w:val="26"/>
        </w:rPr>
        <w:t>Risk</w:t>
      </w:r>
      <w:r>
        <w:rPr>
          <w:b/>
          <w:spacing w:val="-5"/>
          <w:sz w:val="26"/>
        </w:rPr>
        <w:t xml:space="preserve"> </w:t>
      </w:r>
      <w:r>
        <w:rPr>
          <w:b/>
          <w:spacing w:val="-2"/>
          <w:sz w:val="26"/>
        </w:rPr>
        <w:t>Management</w:t>
      </w:r>
    </w:p>
    <w:p w14:paraId="60F5F96B" w14:textId="77777777" w:rsidR="00AC6F3C" w:rsidRDefault="00570E88">
      <w:pPr>
        <w:pStyle w:val="BodyText"/>
        <w:spacing w:before="168" w:line="249" w:lineRule="auto"/>
        <w:ind w:left="815" w:right="112"/>
      </w:pPr>
      <w:r>
        <w:t>Lexon’s support of the profession’s risk management efforts continued in 2022-23. Our nine full-time risk staff</w:t>
      </w:r>
      <w:r>
        <w:rPr>
          <w:spacing w:val="-4"/>
        </w:rPr>
        <w:t xml:space="preserve"> </w:t>
      </w:r>
      <w:r>
        <w:t>are</w:t>
      </w:r>
      <w:r>
        <w:rPr>
          <w:spacing w:val="-4"/>
        </w:rPr>
        <w:t xml:space="preserve"> </w:t>
      </w:r>
      <w:r>
        <w:t>responsible</w:t>
      </w:r>
      <w:r>
        <w:rPr>
          <w:spacing w:val="-3"/>
        </w:rPr>
        <w:t xml:space="preserve"> </w:t>
      </w:r>
      <w:r>
        <w:t>for</w:t>
      </w:r>
      <w:r>
        <w:rPr>
          <w:spacing w:val="-4"/>
        </w:rPr>
        <w:t xml:space="preserve"> </w:t>
      </w:r>
      <w:r>
        <w:t>delivering</w:t>
      </w:r>
      <w:r>
        <w:rPr>
          <w:spacing w:val="-3"/>
        </w:rPr>
        <w:t xml:space="preserve"> </w:t>
      </w:r>
      <w:r>
        <w:t>workshops,</w:t>
      </w:r>
      <w:r>
        <w:rPr>
          <w:spacing w:val="-3"/>
        </w:rPr>
        <w:t xml:space="preserve"> </w:t>
      </w:r>
      <w:r>
        <w:t>developing</w:t>
      </w:r>
      <w:r>
        <w:rPr>
          <w:spacing w:val="-3"/>
        </w:rPr>
        <w:t xml:space="preserve"> </w:t>
      </w:r>
      <w:proofErr w:type="gramStart"/>
      <w:r>
        <w:t>tools</w:t>
      </w:r>
      <w:proofErr w:type="gramEnd"/>
      <w:r>
        <w:rPr>
          <w:spacing w:val="-4"/>
        </w:rPr>
        <w:t xml:space="preserve"> </w:t>
      </w:r>
      <w:r>
        <w:t>and</w:t>
      </w:r>
      <w:r>
        <w:rPr>
          <w:spacing w:val="-3"/>
        </w:rPr>
        <w:t xml:space="preserve"> </w:t>
      </w:r>
      <w:r>
        <w:t>identifying</w:t>
      </w:r>
      <w:r>
        <w:rPr>
          <w:spacing w:val="-3"/>
        </w:rPr>
        <w:t xml:space="preserve"> </w:t>
      </w:r>
      <w:r>
        <w:t>emerging</w:t>
      </w:r>
      <w:r>
        <w:rPr>
          <w:spacing w:val="-3"/>
        </w:rPr>
        <w:t xml:space="preserve"> </w:t>
      </w:r>
      <w:r>
        <w:t>areas</w:t>
      </w:r>
      <w:r>
        <w:rPr>
          <w:spacing w:val="-3"/>
        </w:rPr>
        <w:t xml:space="preserve"> </w:t>
      </w:r>
      <w:r>
        <w:t>of</w:t>
      </w:r>
      <w:r>
        <w:rPr>
          <w:spacing w:val="-4"/>
        </w:rPr>
        <w:t xml:space="preserve"> </w:t>
      </w:r>
      <w:r>
        <w:t>risk</w:t>
      </w:r>
      <w:r>
        <w:rPr>
          <w:spacing w:val="-4"/>
        </w:rPr>
        <w:t xml:space="preserve"> </w:t>
      </w:r>
      <w:r>
        <w:t xml:space="preserve">with a view to reducing both the number of claims made against the profession and their severity. During the </w:t>
      </w:r>
      <w:proofErr w:type="gramStart"/>
      <w:r>
        <w:t>financial year</w:t>
      </w:r>
      <w:proofErr w:type="gramEnd"/>
      <w:r>
        <w:t xml:space="preserve"> our team delivered over 1,400 individual workshops to insured practices and successfully implemented a number of key projects, including a new System Test focused on General Civil Litigation. Early feedback for this new System Test is extremely positive with practitioners appreciating the practical approach Lexon has taken.</w:t>
      </w:r>
    </w:p>
    <w:p w14:paraId="576E7A8D" w14:textId="77777777" w:rsidR="00AC6F3C" w:rsidRDefault="00AC6F3C">
      <w:pPr>
        <w:pStyle w:val="BodyText"/>
        <w:spacing w:before="5"/>
        <w:rPr>
          <w:sz w:val="31"/>
        </w:rPr>
      </w:pPr>
    </w:p>
    <w:p w14:paraId="446056A7" w14:textId="77777777" w:rsidR="00AC6F3C" w:rsidRDefault="00570E88">
      <w:pPr>
        <w:ind w:left="815"/>
        <w:rPr>
          <w:b/>
          <w:sz w:val="26"/>
        </w:rPr>
      </w:pPr>
      <w:r>
        <w:rPr>
          <w:b/>
          <w:sz w:val="26"/>
        </w:rPr>
        <w:t>Claims</w:t>
      </w:r>
      <w:r>
        <w:rPr>
          <w:b/>
          <w:spacing w:val="-5"/>
          <w:sz w:val="26"/>
        </w:rPr>
        <w:t xml:space="preserve"> </w:t>
      </w:r>
      <w:r>
        <w:rPr>
          <w:b/>
          <w:spacing w:val="-2"/>
          <w:sz w:val="26"/>
        </w:rPr>
        <w:t>Performance</w:t>
      </w:r>
    </w:p>
    <w:p w14:paraId="3EE91FEE" w14:textId="77777777" w:rsidR="00AC6F3C" w:rsidRDefault="00570E88">
      <w:pPr>
        <w:pStyle w:val="BodyText"/>
        <w:spacing w:before="167" w:line="249" w:lineRule="auto"/>
        <w:ind w:left="815" w:right="234"/>
      </w:pPr>
      <w:r>
        <w:t xml:space="preserve">As </w:t>
      </w:r>
      <w:proofErr w:type="gramStart"/>
      <w:r>
        <w:t>at</w:t>
      </w:r>
      <w:proofErr w:type="gramEnd"/>
      <w:r>
        <w:t xml:space="preserve"> 30 June 2023, overall file numbers for 2022-23 were 319 (in line with the prior year (315) at the same point in time and well down on other recent years). Estimated claim values were also below the average of the previous five years at the same point in time. Pleasingly, despite the ongoing increase in practitioner</w:t>
      </w:r>
      <w:r>
        <w:rPr>
          <w:spacing w:val="-3"/>
        </w:rPr>
        <w:t xml:space="preserve"> </w:t>
      </w:r>
      <w:r>
        <w:t>numbers,</w:t>
      </w:r>
      <w:r>
        <w:rPr>
          <w:spacing w:val="-3"/>
        </w:rPr>
        <w:t xml:space="preserve"> </w:t>
      </w:r>
      <w:r>
        <w:t>our</w:t>
      </w:r>
      <w:r>
        <w:rPr>
          <w:spacing w:val="-3"/>
        </w:rPr>
        <w:t xml:space="preserve"> </w:t>
      </w:r>
      <w:r>
        <w:t>claims</w:t>
      </w:r>
      <w:r>
        <w:rPr>
          <w:spacing w:val="-3"/>
        </w:rPr>
        <w:t xml:space="preserve"> </w:t>
      </w:r>
      <w:r>
        <w:t>performance</w:t>
      </w:r>
      <w:r>
        <w:rPr>
          <w:spacing w:val="-3"/>
        </w:rPr>
        <w:t xml:space="preserve"> </w:t>
      </w:r>
      <w:r>
        <w:t>continues</w:t>
      </w:r>
      <w:r>
        <w:rPr>
          <w:spacing w:val="-3"/>
        </w:rPr>
        <w:t xml:space="preserve"> </w:t>
      </w:r>
      <w:r>
        <w:t>to</w:t>
      </w:r>
      <w:r>
        <w:rPr>
          <w:spacing w:val="-3"/>
        </w:rPr>
        <w:t xml:space="preserve"> </w:t>
      </w:r>
      <w:r>
        <w:t>track</w:t>
      </w:r>
      <w:r>
        <w:rPr>
          <w:spacing w:val="-3"/>
        </w:rPr>
        <w:t xml:space="preserve"> </w:t>
      </w:r>
      <w:r>
        <w:t>at</w:t>
      </w:r>
      <w:r>
        <w:rPr>
          <w:spacing w:val="-3"/>
        </w:rPr>
        <w:t xml:space="preserve"> </w:t>
      </w:r>
      <w:r>
        <w:t>low</w:t>
      </w:r>
      <w:r>
        <w:rPr>
          <w:spacing w:val="-3"/>
        </w:rPr>
        <w:t xml:space="preserve"> </w:t>
      </w:r>
      <w:r>
        <w:t>levels.</w:t>
      </w:r>
      <w:r>
        <w:rPr>
          <w:spacing w:val="-3"/>
        </w:rPr>
        <w:t xml:space="preserve"> </w:t>
      </w:r>
      <w:r>
        <w:t>Cyber</w:t>
      </w:r>
      <w:r>
        <w:rPr>
          <w:spacing w:val="-3"/>
        </w:rPr>
        <w:t xml:space="preserve"> </w:t>
      </w:r>
      <w:r>
        <w:t>fraud</w:t>
      </w:r>
      <w:r>
        <w:rPr>
          <w:spacing w:val="-3"/>
        </w:rPr>
        <w:t xml:space="preserve"> </w:t>
      </w:r>
      <w:r>
        <w:t>losses</w:t>
      </w:r>
      <w:r>
        <w:rPr>
          <w:spacing w:val="-3"/>
        </w:rPr>
        <w:t xml:space="preserve"> </w:t>
      </w:r>
      <w:r>
        <w:t xml:space="preserve">remain a live issue and these are </w:t>
      </w:r>
      <w:proofErr w:type="gramStart"/>
      <w:r>
        <w:t>being managed</w:t>
      </w:r>
      <w:proofErr w:type="gramEnd"/>
      <w:r>
        <w:t xml:space="preserve"> via Lexon’s innovative risk management program.</w:t>
      </w:r>
    </w:p>
    <w:p w14:paraId="107AD072" w14:textId="77777777" w:rsidR="00AC6F3C" w:rsidRDefault="00570E88">
      <w:pPr>
        <w:pStyle w:val="BodyText"/>
        <w:spacing w:before="174" w:line="249" w:lineRule="auto"/>
        <w:ind w:left="815" w:right="112"/>
      </w:pPr>
      <w:r>
        <w:t>Conveyancing was the most frequent type of matter in the 2022-23 year (31.3% of all files, contributing 30.1% to overall portfolio cost), but this was not surprising given the substantial level of conveyancing activity. Whilst commercial matters represented only 18.5% of the file numbers, due to their generally larger</w:t>
      </w:r>
      <w:r>
        <w:rPr>
          <w:spacing w:val="-3"/>
        </w:rPr>
        <w:t xml:space="preserve"> </w:t>
      </w:r>
      <w:r>
        <w:t>quantum</w:t>
      </w:r>
      <w:r>
        <w:rPr>
          <w:spacing w:val="-3"/>
        </w:rPr>
        <w:t xml:space="preserve"> </w:t>
      </w:r>
      <w:r>
        <w:t>this</w:t>
      </w:r>
      <w:r>
        <w:rPr>
          <w:spacing w:val="-3"/>
        </w:rPr>
        <w:t xml:space="preserve"> </w:t>
      </w:r>
      <w:r>
        <w:t>area</w:t>
      </w:r>
      <w:r>
        <w:rPr>
          <w:spacing w:val="-3"/>
        </w:rPr>
        <w:t xml:space="preserve"> </w:t>
      </w:r>
      <w:r>
        <w:t>contributed</w:t>
      </w:r>
      <w:r>
        <w:rPr>
          <w:spacing w:val="-3"/>
        </w:rPr>
        <w:t xml:space="preserve"> </w:t>
      </w:r>
      <w:r>
        <w:t>some</w:t>
      </w:r>
      <w:r>
        <w:rPr>
          <w:spacing w:val="-3"/>
        </w:rPr>
        <w:t xml:space="preserve"> </w:t>
      </w:r>
      <w:r>
        <w:t>36.9%</w:t>
      </w:r>
      <w:r>
        <w:rPr>
          <w:spacing w:val="-3"/>
        </w:rPr>
        <w:t xml:space="preserve"> </w:t>
      </w:r>
      <w:r>
        <w:t>of</w:t>
      </w:r>
      <w:r>
        <w:rPr>
          <w:spacing w:val="-3"/>
        </w:rPr>
        <w:t xml:space="preserve"> </w:t>
      </w:r>
      <w:r>
        <w:t>the</w:t>
      </w:r>
      <w:r>
        <w:rPr>
          <w:spacing w:val="-3"/>
        </w:rPr>
        <w:t xml:space="preserve"> </w:t>
      </w:r>
      <w:r>
        <w:t>portfolio</w:t>
      </w:r>
      <w:r>
        <w:rPr>
          <w:spacing w:val="-3"/>
        </w:rPr>
        <w:t xml:space="preserve"> </w:t>
      </w:r>
      <w:r>
        <w:t>value</w:t>
      </w:r>
      <w:r>
        <w:rPr>
          <w:spacing w:val="-3"/>
        </w:rPr>
        <w:t xml:space="preserve"> </w:t>
      </w:r>
      <w:proofErr w:type="gramStart"/>
      <w:r>
        <w:t>at</w:t>
      </w:r>
      <w:proofErr w:type="gramEnd"/>
      <w:r>
        <w:rPr>
          <w:spacing w:val="-3"/>
        </w:rPr>
        <w:t xml:space="preserve"> </w:t>
      </w:r>
      <w:r>
        <w:t>30</w:t>
      </w:r>
      <w:r>
        <w:rPr>
          <w:spacing w:val="-3"/>
        </w:rPr>
        <w:t xml:space="preserve"> </w:t>
      </w:r>
      <w:r>
        <w:t>June.</w:t>
      </w:r>
      <w:r>
        <w:rPr>
          <w:spacing w:val="-3"/>
        </w:rPr>
        <w:t xml:space="preserve"> </w:t>
      </w:r>
      <w:r>
        <w:t>Personal</w:t>
      </w:r>
      <w:r>
        <w:rPr>
          <w:spacing w:val="-3"/>
        </w:rPr>
        <w:t xml:space="preserve"> </w:t>
      </w:r>
      <w:r>
        <w:t>Injuries,</w:t>
      </w:r>
      <w:r>
        <w:rPr>
          <w:spacing w:val="-3"/>
        </w:rPr>
        <w:t xml:space="preserve"> </w:t>
      </w:r>
      <w:r>
        <w:t xml:space="preserve">Wills &amp; Estates and Litigation each contributed around 8.5% towards the overall portfolio cost as </w:t>
      </w:r>
      <w:proofErr w:type="gramStart"/>
      <w:r>
        <w:t>at</w:t>
      </w:r>
      <w:proofErr w:type="gramEnd"/>
      <w:r>
        <w:t xml:space="preserve"> 30 June.</w:t>
      </w:r>
    </w:p>
    <w:p w14:paraId="529B56DE" w14:textId="77777777" w:rsidR="00AC6F3C" w:rsidRDefault="00570E88">
      <w:pPr>
        <w:pStyle w:val="BodyText"/>
        <w:spacing w:before="174" w:line="249" w:lineRule="auto"/>
        <w:ind w:left="815"/>
      </w:pPr>
      <w:r>
        <w:t>Overall</w:t>
      </w:r>
      <w:r>
        <w:rPr>
          <w:spacing w:val="-3"/>
        </w:rPr>
        <w:t xml:space="preserve"> </w:t>
      </w:r>
      <w:r>
        <w:t>claims</w:t>
      </w:r>
      <w:r>
        <w:rPr>
          <w:spacing w:val="-3"/>
        </w:rPr>
        <w:t xml:space="preserve"> </w:t>
      </w:r>
      <w:r>
        <w:t>expense</w:t>
      </w:r>
      <w:r>
        <w:rPr>
          <w:spacing w:val="-3"/>
        </w:rPr>
        <w:t xml:space="preserve"> </w:t>
      </w:r>
      <w:r>
        <w:t>for</w:t>
      </w:r>
      <w:r>
        <w:rPr>
          <w:spacing w:val="-3"/>
        </w:rPr>
        <w:t xml:space="preserve"> </w:t>
      </w:r>
      <w:r>
        <w:t>2022-23</w:t>
      </w:r>
      <w:r>
        <w:rPr>
          <w:spacing w:val="-3"/>
        </w:rPr>
        <w:t xml:space="preserve"> </w:t>
      </w:r>
      <w:r>
        <w:t>was</w:t>
      </w:r>
      <w:r>
        <w:rPr>
          <w:spacing w:val="-3"/>
        </w:rPr>
        <w:t xml:space="preserve"> </w:t>
      </w:r>
      <w:r>
        <w:t>an</w:t>
      </w:r>
      <w:r>
        <w:rPr>
          <w:spacing w:val="-3"/>
        </w:rPr>
        <w:t xml:space="preserve"> </w:t>
      </w:r>
      <w:r>
        <w:t>outstanding</w:t>
      </w:r>
      <w:r>
        <w:rPr>
          <w:spacing w:val="-3"/>
        </w:rPr>
        <w:t xml:space="preserve"> </w:t>
      </w:r>
      <w:r>
        <w:t>$14.3M</w:t>
      </w:r>
      <w:r>
        <w:rPr>
          <w:spacing w:val="-3"/>
        </w:rPr>
        <w:t xml:space="preserve"> </w:t>
      </w:r>
      <w:r>
        <w:t>(against</w:t>
      </w:r>
      <w:r>
        <w:rPr>
          <w:spacing w:val="-3"/>
        </w:rPr>
        <w:t xml:space="preserve"> </w:t>
      </w:r>
      <w:r>
        <w:t>a</w:t>
      </w:r>
      <w:r>
        <w:rPr>
          <w:spacing w:val="-3"/>
        </w:rPr>
        <w:t xml:space="preserve"> </w:t>
      </w:r>
      <w:r>
        <w:t>budget</w:t>
      </w:r>
      <w:r>
        <w:rPr>
          <w:spacing w:val="-3"/>
        </w:rPr>
        <w:t xml:space="preserve"> </w:t>
      </w:r>
      <w:r>
        <w:t>of</w:t>
      </w:r>
      <w:r>
        <w:rPr>
          <w:spacing w:val="-3"/>
        </w:rPr>
        <w:t xml:space="preserve"> </w:t>
      </w:r>
      <w:r>
        <w:t>$19M),</w:t>
      </w:r>
      <w:r>
        <w:rPr>
          <w:spacing w:val="-3"/>
        </w:rPr>
        <w:t xml:space="preserve"> </w:t>
      </w:r>
      <w:r>
        <w:t>testament</w:t>
      </w:r>
      <w:r>
        <w:rPr>
          <w:spacing w:val="-3"/>
        </w:rPr>
        <w:t xml:space="preserve"> </w:t>
      </w:r>
      <w:r>
        <w:t>to the commitment the profession has made to managing claims risk.</w:t>
      </w:r>
    </w:p>
    <w:p w14:paraId="2C6057FE" w14:textId="77777777" w:rsidR="00AC6F3C" w:rsidRDefault="00AC6F3C">
      <w:pPr>
        <w:pStyle w:val="BodyText"/>
        <w:spacing w:before="1"/>
        <w:rPr>
          <w:sz w:val="31"/>
        </w:rPr>
      </w:pPr>
    </w:p>
    <w:p w14:paraId="071C80D8" w14:textId="77777777" w:rsidR="00AC6F3C" w:rsidRDefault="00570E88">
      <w:pPr>
        <w:spacing w:before="1"/>
        <w:ind w:left="815"/>
        <w:rPr>
          <w:b/>
          <w:sz w:val="26"/>
        </w:rPr>
      </w:pPr>
      <w:r>
        <w:rPr>
          <w:b/>
          <w:sz w:val="26"/>
        </w:rPr>
        <w:t xml:space="preserve">Investment </w:t>
      </w:r>
      <w:r>
        <w:rPr>
          <w:b/>
          <w:spacing w:val="-2"/>
          <w:sz w:val="26"/>
        </w:rPr>
        <w:t>Returns</w:t>
      </w:r>
    </w:p>
    <w:p w14:paraId="6B87A294" w14:textId="77777777" w:rsidR="00AC6F3C" w:rsidRDefault="00570E88">
      <w:pPr>
        <w:pStyle w:val="BodyText"/>
        <w:spacing w:before="167" w:line="249" w:lineRule="auto"/>
        <w:ind w:left="815" w:right="234"/>
      </w:pPr>
      <w:r>
        <w:t>Investment performance was strong in 2022-23, with the portfolio delivering a 6.9% net return. The portfolio</w:t>
      </w:r>
      <w:r>
        <w:rPr>
          <w:spacing w:val="-3"/>
        </w:rPr>
        <w:t xml:space="preserve"> </w:t>
      </w:r>
      <w:proofErr w:type="gramStart"/>
      <w:r>
        <w:t>is</w:t>
      </w:r>
      <w:r>
        <w:rPr>
          <w:spacing w:val="-3"/>
        </w:rPr>
        <w:t xml:space="preserve"> </w:t>
      </w:r>
      <w:r>
        <w:t>divided</w:t>
      </w:r>
      <w:proofErr w:type="gramEnd"/>
      <w:r>
        <w:rPr>
          <w:spacing w:val="-3"/>
        </w:rPr>
        <w:t xml:space="preserve"> </w:t>
      </w:r>
      <w:r>
        <w:t>into</w:t>
      </w:r>
      <w:r>
        <w:rPr>
          <w:spacing w:val="-3"/>
        </w:rPr>
        <w:t xml:space="preserve"> </w:t>
      </w:r>
      <w:r>
        <w:t>two</w:t>
      </w:r>
      <w:r>
        <w:rPr>
          <w:spacing w:val="-3"/>
        </w:rPr>
        <w:t xml:space="preserve"> </w:t>
      </w:r>
      <w:r>
        <w:t>main</w:t>
      </w:r>
      <w:r>
        <w:rPr>
          <w:spacing w:val="-3"/>
        </w:rPr>
        <w:t xml:space="preserve"> </w:t>
      </w:r>
      <w:r>
        <w:t>parts,</w:t>
      </w:r>
      <w:r>
        <w:rPr>
          <w:spacing w:val="-3"/>
        </w:rPr>
        <w:t xml:space="preserve"> </w:t>
      </w:r>
      <w:r>
        <w:t>with</w:t>
      </w:r>
      <w:r>
        <w:rPr>
          <w:spacing w:val="-3"/>
        </w:rPr>
        <w:t xml:space="preserve"> </w:t>
      </w:r>
      <w:r>
        <w:t>both</w:t>
      </w:r>
      <w:r>
        <w:rPr>
          <w:spacing w:val="-3"/>
        </w:rPr>
        <w:t xml:space="preserve"> </w:t>
      </w:r>
      <w:r>
        <w:t>the</w:t>
      </w:r>
      <w:r>
        <w:rPr>
          <w:spacing w:val="-3"/>
        </w:rPr>
        <w:t xml:space="preserve"> </w:t>
      </w:r>
      <w:r>
        <w:t>defensive</w:t>
      </w:r>
      <w:r>
        <w:rPr>
          <w:spacing w:val="-3"/>
        </w:rPr>
        <w:t xml:space="preserve"> </w:t>
      </w:r>
      <w:r>
        <w:t>portion</w:t>
      </w:r>
      <w:r>
        <w:rPr>
          <w:spacing w:val="-3"/>
        </w:rPr>
        <w:t xml:space="preserve"> </w:t>
      </w:r>
      <w:r>
        <w:t>(3.5%</w:t>
      </w:r>
      <w:r>
        <w:rPr>
          <w:spacing w:val="-3"/>
        </w:rPr>
        <w:t xml:space="preserve"> </w:t>
      </w:r>
      <w:r>
        <w:t>net)</w:t>
      </w:r>
      <w:r>
        <w:rPr>
          <w:spacing w:val="-3"/>
        </w:rPr>
        <w:t xml:space="preserve"> </w:t>
      </w:r>
      <w:r>
        <w:t>and</w:t>
      </w:r>
      <w:r>
        <w:rPr>
          <w:spacing w:val="-3"/>
        </w:rPr>
        <w:t xml:space="preserve"> </w:t>
      </w:r>
      <w:r>
        <w:t>the</w:t>
      </w:r>
      <w:r>
        <w:rPr>
          <w:spacing w:val="-3"/>
        </w:rPr>
        <w:t xml:space="preserve"> </w:t>
      </w:r>
      <w:r>
        <w:t>growth</w:t>
      </w:r>
      <w:r>
        <w:rPr>
          <w:spacing w:val="-3"/>
        </w:rPr>
        <w:t xml:space="preserve"> </w:t>
      </w:r>
      <w:r>
        <w:t xml:space="preserve">portion (9.1% net) performing well for the year. Our portfolio continues to </w:t>
      </w:r>
      <w:proofErr w:type="gramStart"/>
      <w:r>
        <w:t>be managed</w:t>
      </w:r>
      <w:proofErr w:type="gramEnd"/>
      <w:r>
        <w:t xml:space="preserve"> by leading investment house, the Queensland Investment Corporation.</w:t>
      </w:r>
    </w:p>
    <w:p w14:paraId="4D74E5E0" w14:textId="77777777" w:rsidR="00AC6F3C" w:rsidRDefault="00AC6F3C">
      <w:pPr>
        <w:spacing w:line="249" w:lineRule="auto"/>
        <w:sectPr w:rsidR="00AC6F3C">
          <w:headerReference w:type="default" r:id="rId112"/>
          <w:footerReference w:type="default" r:id="rId113"/>
          <w:pgSz w:w="11910" w:h="16840"/>
          <w:pgMar w:top="1120" w:right="1160" w:bottom="520" w:left="460" w:header="0" w:footer="336" w:gutter="0"/>
          <w:cols w:space="720"/>
        </w:sectPr>
      </w:pPr>
    </w:p>
    <w:p w14:paraId="18A3A19D" w14:textId="77777777" w:rsidR="00AC6F3C" w:rsidRDefault="00570E88">
      <w:pPr>
        <w:spacing w:before="63"/>
        <w:ind w:left="815"/>
        <w:rPr>
          <w:b/>
          <w:sz w:val="26"/>
        </w:rPr>
      </w:pPr>
      <w:r>
        <w:rPr>
          <w:b/>
          <w:spacing w:val="-2"/>
          <w:sz w:val="26"/>
        </w:rPr>
        <w:lastRenderedPageBreak/>
        <w:t>Result</w:t>
      </w:r>
    </w:p>
    <w:p w14:paraId="587BB257" w14:textId="77777777" w:rsidR="00AC6F3C" w:rsidRDefault="00570E88">
      <w:pPr>
        <w:pStyle w:val="BodyText"/>
        <w:spacing w:before="167"/>
        <w:ind w:left="815"/>
      </w:pPr>
      <w:r>
        <w:t>Overall,</w:t>
      </w:r>
      <w:r>
        <w:rPr>
          <w:spacing w:val="-1"/>
        </w:rPr>
        <w:t xml:space="preserve"> </w:t>
      </w:r>
      <w:r>
        <w:t>Lexon</w:t>
      </w:r>
      <w:r>
        <w:rPr>
          <w:spacing w:val="-1"/>
        </w:rPr>
        <w:t xml:space="preserve"> </w:t>
      </w:r>
      <w:r>
        <w:t>achieved</w:t>
      </w:r>
      <w:r>
        <w:rPr>
          <w:spacing w:val="-1"/>
        </w:rPr>
        <w:t xml:space="preserve"> </w:t>
      </w:r>
      <w:r>
        <w:t>a</w:t>
      </w:r>
      <w:r>
        <w:rPr>
          <w:spacing w:val="-1"/>
        </w:rPr>
        <w:t xml:space="preserve"> </w:t>
      </w:r>
      <w:r>
        <w:t>before-tax</w:t>
      </w:r>
      <w:r>
        <w:rPr>
          <w:spacing w:val="-1"/>
        </w:rPr>
        <w:t xml:space="preserve"> </w:t>
      </w:r>
      <w:r>
        <w:t>profit</w:t>
      </w:r>
      <w:r>
        <w:rPr>
          <w:spacing w:val="-1"/>
        </w:rPr>
        <w:t xml:space="preserve"> </w:t>
      </w:r>
      <w:r>
        <w:t>of</w:t>
      </w:r>
      <w:r>
        <w:rPr>
          <w:spacing w:val="-1"/>
        </w:rPr>
        <w:t xml:space="preserve"> </w:t>
      </w:r>
      <w:r>
        <w:t>$13.5M,</w:t>
      </w:r>
      <w:r>
        <w:rPr>
          <w:spacing w:val="-1"/>
        </w:rPr>
        <w:t xml:space="preserve"> </w:t>
      </w:r>
      <w:r>
        <w:t>against</w:t>
      </w:r>
      <w:r>
        <w:rPr>
          <w:spacing w:val="-1"/>
        </w:rPr>
        <w:t xml:space="preserve"> </w:t>
      </w:r>
      <w:r>
        <w:t>a</w:t>
      </w:r>
      <w:r>
        <w:rPr>
          <w:spacing w:val="-1"/>
        </w:rPr>
        <w:t xml:space="preserve"> </w:t>
      </w:r>
      <w:r>
        <w:t>budget</w:t>
      </w:r>
      <w:r>
        <w:rPr>
          <w:spacing w:val="-1"/>
        </w:rPr>
        <w:t xml:space="preserve"> </w:t>
      </w:r>
      <w:r>
        <w:t>of</w:t>
      </w:r>
      <w:r>
        <w:rPr>
          <w:spacing w:val="-1"/>
        </w:rPr>
        <w:t xml:space="preserve"> </w:t>
      </w:r>
      <w:r>
        <w:t>$2.3M.</w:t>
      </w:r>
      <w:r>
        <w:rPr>
          <w:spacing w:val="-6"/>
        </w:rPr>
        <w:t xml:space="preserve"> </w:t>
      </w:r>
      <w:r>
        <w:t>This</w:t>
      </w:r>
      <w:r>
        <w:rPr>
          <w:spacing w:val="-1"/>
        </w:rPr>
        <w:t xml:space="preserve"> </w:t>
      </w:r>
      <w:proofErr w:type="gramStart"/>
      <w:r>
        <w:t>was</w:t>
      </w:r>
      <w:r>
        <w:rPr>
          <w:spacing w:val="-1"/>
        </w:rPr>
        <w:t xml:space="preserve"> </w:t>
      </w:r>
      <w:r>
        <w:t>driven</w:t>
      </w:r>
      <w:proofErr w:type="gramEnd"/>
      <w:r>
        <w:rPr>
          <w:spacing w:val="-1"/>
        </w:rPr>
        <w:t xml:space="preserve"> </w:t>
      </w:r>
      <w:r>
        <w:t xml:space="preserve">by </w:t>
      </w:r>
      <w:r>
        <w:rPr>
          <w:spacing w:val="-5"/>
        </w:rPr>
        <w:t>the</w:t>
      </w:r>
    </w:p>
    <w:p w14:paraId="1C759730" w14:textId="77777777" w:rsidR="00AC6F3C" w:rsidRDefault="00570E88">
      <w:pPr>
        <w:pStyle w:val="BodyText"/>
        <w:spacing w:before="10"/>
        <w:ind w:left="815"/>
      </w:pPr>
      <w:r>
        <w:t>strong</w:t>
      </w:r>
      <w:r>
        <w:rPr>
          <w:spacing w:val="-2"/>
        </w:rPr>
        <w:t xml:space="preserve"> </w:t>
      </w:r>
      <w:r>
        <w:t>claims</w:t>
      </w:r>
      <w:r>
        <w:rPr>
          <w:spacing w:val="-2"/>
        </w:rPr>
        <w:t xml:space="preserve"> </w:t>
      </w:r>
      <w:r>
        <w:t>and</w:t>
      </w:r>
      <w:r>
        <w:rPr>
          <w:spacing w:val="-2"/>
        </w:rPr>
        <w:t xml:space="preserve"> </w:t>
      </w:r>
      <w:r>
        <w:t>investment</w:t>
      </w:r>
      <w:r>
        <w:rPr>
          <w:spacing w:val="-1"/>
        </w:rPr>
        <w:t xml:space="preserve"> </w:t>
      </w:r>
      <w:r>
        <w:rPr>
          <w:spacing w:val="-2"/>
        </w:rPr>
        <w:t>performance.</w:t>
      </w:r>
    </w:p>
    <w:p w14:paraId="6635CF46" w14:textId="77777777" w:rsidR="00AC6F3C" w:rsidRDefault="00AC6F3C">
      <w:pPr>
        <w:pStyle w:val="BodyText"/>
        <w:spacing w:before="10"/>
        <w:rPr>
          <w:sz w:val="31"/>
        </w:rPr>
      </w:pPr>
    </w:p>
    <w:p w14:paraId="395D8B2B" w14:textId="77777777" w:rsidR="00AC6F3C" w:rsidRDefault="00570E88">
      <w:pPr>
        <w:ind w:left="815"/>
        <w:rPr>
          <w:b/>
          <w:sz w:val="26"/>
        </w:rPr>
      </w:pPr>
      <w:r>
        <w:rPr>
          <w:b/>
          <w:sz w:val="26"/>
        </w:rPr>
        <w:t>Types</w:t>
      </w:r>
      <w:r>
        <w:rPr>
          <w:b/>
          <w:spacing w:val="-4"/>
          <w:sz w:val="26"/>
        </w:rPr>
        <w:t xml:space="preserve"> </w:t>
      </w:r>
      <w:r>
        <w:rPr>
          <w:b/>
          <w:sz w:val="26"/>
        </w:rPr>
        <w:t>of</w:t>
      </w:r>
      <w:r>
        <w:rPr>
          <w:b/>
          <w:spacing w:val="-4"/>
          <w:sz w:val="26"/>
        </w:rPr>
        <w:t xml:space="preserve"> </w:t>
      </w:r>
      <w:r>
        <w:rPr>
          <w:b/>
          <w:sz w:val="26"/>
        </w:rPr>
        <w:t>Law</w:t>
      </w:r>
      <w:r>
        <w:rPr>
          <w:b/>
          <w:spacing w:val="-4"/>
          <w:sz w:val="26"/>
        </w:rPr>
        <w:t xml:space="preserve"> </w:t>
      </w:r>
      <w:r>
        <w:rPr>
          <w:b/>
          <w:sz w:val="26"/>
        </w:rPr>
        <w:t>practiced</w:t>
      </w:r>
      <w:r>
        <w:rPr>
          <w:b/>
          <w:spacing w:val="-3"/>
          <w:sz w:val="26"/>
        </w:rPr>
        <w:t xml:space="preserve"> </w:t>
      </w:r>
      <w:r>
        <w:rPr>
          <w:b/>
          <w:sz w:val="26"/>
        </w:rPr>
        <w:t>by</w:t>
      </w:r>
      <w:r>
        <w:rPr>
          <w:b/>
          <w:spacing w:val="-4"/>
          <w:sz w:val="26"/>
        </w:rPr>
        <w:t xml:space="preserve"> </w:t>
      </w:r>
      <w:r>
        <w:rPr>
          <w:b/>
          <w:sz w:val="26"/>
        </w:rPr>
        <w:t>the</w:t>
      </w:r>
      <w:r>
        <w:rPr>
          <w:b/>
          <w:spacing w:val="-4"/>
          <w:sz w:val="26"/>
        </w:rPr>
        <w:t xml:space="preserve"> </w:t>
      </w:r>
      <w:r>
        <w:rPr>
          <w:b/>
          <w:sz w:val="26"/>
        </w:rPr>
        <w:t>Insured</w:t>
      </w:r>
      <w:r>
        <w:rPr>
          <w:b/>
          <w:spacing w:val="-3"/>
          <w:sz w:val="26"/>
        </w:rPr>
        <w:t xml:space="preserve"> </w:t>
      </w:r>
      <w:r>
        <w:rPr>
          <w:b/>
          <w:spacing w:val="-2"/>
          <w:sz w:val="26"/>
        </w:rPr>
        <w:t>Profession</w:t>
      </w:r>
    </w:p>
    <w:p w14:paraId="54B0C92F" w14:textId="77777777" w:rsidR="00AC6F3C" w:rsidRDefault="00570E88">
      <w:pPr>
        <w:pStyle w:val="BodyText"/>
        <w:spacing w:before="167" w:line="249" w:lineRule="auto"/>
        <w:ind w:left="815" w:right="172"/>
      </w:pPr>
      <w:r>
        <w:t>Lexon insured practices generated around $2.85B of Gross Fee Income (GFI) in 2022, having grown</w:t>
      </w:r>
      <w:r>
        <w:rPr>
          <w:spacing w:val="40"/>
        </w:rPr>
        <w:t xml:space="preserve"> </w:t>
      </w:r>
      <w:r>
        <w:t>over</w:t>
      </w:r>
      <w:r>
        <w:rPr>
          <w:spacing w:val="-2"/>
        </w:rPr>
        <w:t xml:space="preserve"> </w:t>
      </w:r>
      <w:r>
        <w:t>4.3%</w:t>
      </w:r>
      <w:r>
        <w:rPr>
          <w:spacing w:val="-2"/>
        </w:rPr>
        <w:t xml:space="preserve"> </w:t>
      </w:r>
      <w:r>
        <w:t>year</w:t>
      </w:r>
      <w:r>
        <w:rPr>
          <w:spacing w:val="-2"/>
        </w:rPr>
        <w:t xml:space="preserve"> </w:t>
      </w:r>
      <w:r>
        <w:t>on</w:t>
      </w:r>
      <w:r>
        <w:rPr>
          <w:spacing w:val="-2"/>
        </w:rPr>
        <w:t xml:space="preserve"> </w:t>
      </w:r>
      <w:r>
        <w:t>year.</w:t>
      </w:r>
      <w:r>
        <w:rPr>
          <w:spacing w:val="-6"/>
        </w:rPr>
        <w:t xml:space="preserve"> </w:t>
      </w:r>
      <w:r>
        <w:t>This</w:t>
      </w:r>
      <w:r>
        <w:rPr>
          <w:spacing w:val="-2"/>
        </w:rPr>
        <w:t xml:space="preserve"> </w:t>
      </w:r>
      <w:r>
        <w:t>was</w:t>
      </w:r>
      <w:r>
        <w:rPr>
          <w:spacing w:val="-2"/>
        </w:rPr>
        <w:t xml:space="preserve"> </w:t>
      </w:r>
      <w:r>
        <w:t>a</w:t>
      </w:r>
      <w:r>
        <w:rPr>
          <w:spacing w:val="-2"/>
        </w:rPr>
        <w:t xml:space="preserve"> </w:t>
      </w:r>
      <w:r>
        <w:t>pleasing</w:t>
      </w:r>
      <w:r>
        <w:rPr>
          <w:spacing w:val="-2"/>
        </w:rPr>
        <w:t xml:space="preserve"> </w:t>
      </w:r>
      <w:r>
        <w:t>result</w:t>
      </w:r>
      <w:r>
        <w:rPr>
          <w:spacing w:val="-2"/>
        </w:rPr>
        <w:t xml:space="preserve"> </w:t>
      </w:r>
      <w:r>
        <w:t>given</w:t>
      </w:r>
      <w:r>
        <w:rPr>
          <w:spacing w:val="-2"/>
        </w:rPr>
        <w:t xml:space="preserve"> </w:t>
      </w:r>
      <w:r>
        <w:t>it</w:t>
      </w:r>
      <w:r>
        <w:rPr>
          <w:spacing w:val="-2"/>
        </w:rPr>
        <w:t xml:space="preserve"> </w:t>
      </w:r>
      <w:proofErr w:type="gramStart"/>
      <w:r>
        <w:t>was</w:t>
      </w:r>
      <w:r>
        <w:rPr>
          <w:spacing w:val="-2"/>
        </w:rPr>
        <w:t xml:space="preserve"> </w:t>
      </w:r>
      <w:r>
        <w:t>considered</w:t>
      </w:r>
      <w:proofErr w:type="gramEnd"/>
      <w:r>
        <w:rPr>
          <w:spacing w:val="-2"/>
        </w:rPr>
        <w:t xml:space="preserve"> </w:t>
      </w:r>
      <w:r>
        <w:t>possible</w:t>
      </w:r>
      <w:r>
        <w:rPr>
          <w:spacing w:val="-2"/>
        </w:rPr>
        <w:t xml:space="preserve"> </w:t>
      </w:r>
      <w:r>
        <w:t>there</w:t>
      </w:r>
      <w:r>
        <w:rPr>
          <w:spacing w:val="-2"/>
        </w:rPr>
        <w:t xml:space="preserve"> </w:t>
      </w:r>
      <w:r>
        <w:t>would</w:t>
      </w:r>
      <w:r>
        <w:rPr>
          <w:spacing w:val="-2"/>
        </w:rPr>
        <w:t xml:space="preserve"> </w:t>
      </w:r>
      <w:r>
        <w:t>be</w:t>
      </w:r>
      <w:r>
        <w:rPr>
          <w:spacing w:val="-2"/>
        </w:rPr>
        <w:t xml:space="preserve"> </w:t>
      </w:r>
      <w:r>
        <w:t>some contraction</w:t>
      </w:r>
      <w:r>
        <w:rPr>
          <w:spacing w:val="-3"/>
        </w:rPr>
        <w:t xml:space="preserve"> </w:t>
      </w:r>
      <w:r>
        <w:t>post</w:t>
      </w:r>
      <w:r>
        <w:rPr>
          <w:spacing w:val="-3"/>
        </w:rPr>
        <w:t xml:space="preserve"> </w:t>
      </w:r>
      <w:r>
        <w:t>2021’s</w:t>
      </w:r>
      <w:r>
        <w:rPr>
          <w:spacing w:val="-3"/>
        </w:rPr>
        <w:t xml:space="preserve"> </w:t>
      </w:r>
      <w:r>
        <w:t>stellar</w:t>
      </w:r>
      <w:r>
        <w:rPr>
          <w:spacing w:val="-3"/>
        </w:rPr>
        <w:t xml:space="preserve"> </w:t>
      </w:r>
      <w:r>
        <w:t>15%</w:t>
      </w:r>
      <w:r>
        <w:rPr>
          <w:spacing w:val="-3"/>
        </w:rPr>
        <w:t xml:space="preserve"> </w:t>
      </w:r>
      <w:r>
        <w:t>increase.</w:t>
      </w:r>
      <w:r>
        <w:rPr>
          <w:spacing w:val="-3"/>
        </w:rPr>
        <w:t xml:space="preserve"> </w:t>
      </w:r>
      <w:r>
        <w:t>Conveyancing</w:t>
      </w:r>
      <w:r>
        <w:rPr>
          <w:spacing w:val="-3"/>
        </w:rPr>
        <w:t xml:space="preserve"> </w:t>
      </w:r>
      <w:r>
        <w:t>fell</w:t>
      </w:r>
      <w:r>
        <w:rPr>
          <w:spacing w:val="-3"/>
        </w:rPr>
        <w:t xml:space="preserve"> </w:t>
      </w:r>
      <w:r>
        <w:t>back</w:t>
      </w:r>
      <w:r>
        <w:rPr>
          <w:spacing w:val="-3"/>
        </w:rPr>
        <w:t xml:space="preserve"> </w:t>
      </w:r>
      <w:r>
        <w:t>more</w:t>
      </w:r>
      <w:r>
        <w:rPr>
          <w:spacing w:val="-3"/>
        </w:rPr>
        <w:t xml:space="preserve"> </w:t>
      </w:r>
      <w:r>
        <w:t>in</w:t>
      </w:r>
      <w:r>
        <w:rPr>
          <w:spacing w:val="-3"/>
        </w:rPr>
        <w:t xml:space="preserve"> </w:t>
      </w:r>
      <w:r>
        <w:t>line</w:t>
      </w:r>
      <w:r>
        <w:rPr>
          <w:spacing w:val="-3"/>
        </w:rPr>
        <w:t xml:space="preserve"> </w:t>
      </w:r>
      <w:r>
        <w:t>with</w:t>
      </w:r>
      <w:r>
        <w:rPr>
          <w:spacing w:val="-3"/>
        </w:rPr>
        <w:t xml:space="preserve"> </w:t>
      </w:r>
      <w:r>
        <w:t>longer</w:t>
      </w:r>
      <w:r>
        <w:rPr>
          <w:spacing w:val="-3"/>
        </w:rPr>
        <w:t xml:space="preserve"> </w:t>
      </w:r>
      <w:r>
        <w:t>term</w:t>
      </w:r>
      <w:r>
        <w:rPr>
          <w:spacing w:val="-3"/>
        </w:rPr>
        <w:t xml:space="preserve"> </w:t>
      </w:r>
      <w:r>
        <w:t xml:space="preserve">trends, down 5% from its 2021 COVID high. This reduction was more than offset by </w:t>
      </w:r>
      <w:proofErr w:type="gramStart"/>
      <w:r>
        <w:t>strong growth</w:t>
      </w:r>
      <w:proofErr w:type="gramEnd"/>
      <w:r>
        <w:t xml:space="preserve"> in Personal Injuries and Wills &amp; Estates.</w:t>
      </w:r>
    </w:p>
    <w:p w14:paraId="1D2304BD" w14:textId="77777777" w:rsidR="00AC6F3C" w:rsidRDefault="00570E88">
      <w:pPr>
        <w:pStyle w:val="BodyText"/>
        <w:spacing w:before="174" w:line="249" w:lineRule="auto"/>
        <w:ind w:left="815" w:right="264"/>
        <w:jc w:val="both"/>
      </w:pPr>
      <w:r>
        <w:t>Personal Injuries work remains the largest area of activity (by GFI), at 19.9%. Conveyancing (residential and</w:t>
      </w:r>
      <w:r>
        <w:rPr>
          <w:spacing w:val="-3"/>
        </w:rPr>
        <w:t xml:space="preserve"> </w:t>
      </w:r>
      <w:r>
        <w:t>commercial)</w:t>
      </w:r>
      <w:r>
        <w:rPr>
          <w:spacing w:val="-3"/>
        </w:rPr>
        <w:t xml:space="preserve"> </w:t>
      </w:r>
      <w:r>
        <w:t>now</w:t>
      </w:r>
      <w:r>
        <w:rPr>
          <w:spacing w:val="-3"/>
        </w:rPr>
        <w:t xml:space="preserve"> </w:t>
      </w:r>
      <w:r>
        <w:t>represents</w:t>
      </w:r>
      <w:r>
        <w:rPr>
          <w:spacing w:val="-3"/>
        </w:rPr>
        <w:t xml:space="preserve"> </w:t>
      </w:r>
      <w:r>
        <w:t>16.3%</w:t>
      </w:r>
      <w:r>
        <w:rPr>
          <w:spacing w:val="-3"/>
        </w:rPr>
        <w:t xml:space="preserve"> </w:t>
      </w:r>
      <w:r>
        <w:t>of</w:t>
      </w:r>
      <w:r>
        <w:rPr>
          <w:spacing w:val="-3"/>
        </w:rPr>
        <w:t xml:space="preserve"> </w:t>
      </w:r>
      <w:r>
        <w:t>the</w:t>
      </w:r>
      <w:r>
        <w:rPr>
          <w:spacing w:val="-3"/>
        </w:rPr>
        <w:t xml:space="preserve"> </w:t>
      </w:r>
      <w:r>
        <w:t>work</w:t>
      </w:r>
      <w:r>
        <w:rPr>
          <w:spacing w:val="-3"/>
        </w:rPr>
        <w:t xml:space="preserve"> </w:t>
      </w:r>
      <w:r>
        <w:t>performed</w:t>
      </w:r>
      <w:r>
        <w:rPr>
          <w:spacing w:val="-3"/>
        </w:rPr>
        <w:t xml:space="preserve"> </w:t>
      </w:r>
      <w:r>
        <w:t>by</w:t>
      </w:r>
      <w:r>
        <w:rPr>
          <w:spacing w:val="-3"/>
        </w:rPr>
        <w:t xml:space="preserve"> </w:t>
      </w:r>
      <w:r>
        <w:t>insured</w:t>
      </w:r>
      <w:r>
        <w:rPr>
          <w:spacing w:val="-3"/>
        </w:rPr>
        <w:t xml:space="preserve"> </w:t>
      </w:r>
      <w:r>
        <w:t>practices.</w:t>
      </w:r>
      <w:r>
        <w:rPr>
          <w:spacing w:val="-3"/>
        </w:rPr>
        <w:t xml:space="preserve"> </w:t>
      </w:r>
      <w:r>
        <w:t>Litigation</w:t>
      </w:r>
      <w:r>
        <w:rPr>
          <w:spacing w:val="-3"/>
        </w:rPr>
        <w:t xml:space="preserve"> </w:t>
      </w:r>
      <w:r>
        <w:t>remains</w:t>
      </w:r>
      <w:r>
        <w:rPr>
          <w:spacing w:val="-3"/>
        </w:rPr>
        <w:t xml:space="preserve"> </w:t>
      </w:r>
      <w:r>
        <w:t>a significant area at 14.6% with Family Law next at 11.8%.</w:t>
      </w:r>
    </w:p>
    <w:p w14:paraId="63799961" w14:textId="77777777" w:rsidR="00AC6F3C" w:rsidRDefault="00570E88">
      <w:pPr>
        <w:pStyle w:val="BodyText"/>
        <w:spacing w:before="173"/>
        <w:ind w:left="815"/>
      </w:pPr>
      <w:r>
        <w:t>You</w:t>
      </w:r>
      <w:r>
        <w:rPr>
          <w:spacing w:val="-7"/>
        </w:rPr>
        <w:t xml:space="preserve"> </w:t>
      </w:r>
      <w:r>
        <w:t>will</w:t>
      </w:r>
      <w:r>
        <w:rPr>
          <w:spacing w:val="-5"/>
        </w:rPr>
        <w:t xml:space="preserve"> </w:t>
      </w:r>
      <w:r>
        <w:t>find</w:t>
      </w:r>
      <w:r>
        <w:rPr>
          <w:spacing w:val="-5"/>
        </w:rPr>
        <w:t xml:space="preserve"> </w:t>
      </w:r>
      <w:r>
        <w:t>more</w:t>
      </w:r>
      <w:r>
        <w:rPr>
          <w:spacing w:val="-5"/>
        </w:rPr>
        <w:t xml:space="preserve"> </w:t>
      </w:r>
      <w:r>
        <w:t>detail</w:t>
      </w:r>
      <w:r>
        <w:rPr>
          <w:spacing w:val="-5"/>
        </w:rPr>
        <w:t xml:space="preserve"> </w:t>
      </w:r>
      <w:r>
        <w:t>on</w:t>
      </w:r>
      <w:r>
        <w:rPr>
          <w:spacing w:val="-4"/>
        </w:rPr>
        <w:t xml:space="preserve"> </w:t>
      </w:r>
      <w:r>
        <w:t>Lexon’s</w:t>
      </w:r>
      <w:r>
        <w:rPr>
          <w:spacing w:val="-5"/>
        </w:rPr>
        <w:t xml:space="preserve"> </w:t>
      </w:r>
      <w:r>
        <w:t>performance</w:t>
      </w:r>
      <w:r>
        <w:rPr>
          <w:spacing w:val="-5"/>
        </w:rPr>
        <w:t xml:space="preserve"> </w:t>
      </w:r>
      <w:r>
        <w:t>in</w:t>
      </w:r>
      <w:r>
        <w:rPr>
          <w:spacing w:val="-5"/>
        </w:rPr>
        <w:t xml:space="preserve"> </w:t>
      </w:r>
      <w:r>
        <w:t>the</w:t>
      </w:r>
      <w:r>
        <w:rPr>
          <w:spacing w:val="-5"/>
        </w:rPr>
        <w:t xml:space="preserve"> </w:t>
      </w:r>
      <w:r>
        <w:t>financial</w:t>
      </w:r>
      <w:r>
        <w:rPr>
          <w:spacing w:val="-4"/>
        </w:rPr>
        <w:t xml:space="preserve"> </w:t>
      </w:r>
      <w:r>
        <w:t>statements,</w:t>
      </w:r>
      <w:r>
        <w:rPr>
          <w:spacing w:val="-5"/>
        </w:rPr>
        <w:t xml:space="preserve"> </w:t>
      </w:r>
      <w:r>
        <w:t>starting</w:t>
      </w:r>
      <w:r>
        <w:rPr>
          <w:spacing w:val="-5"/>
        </w:rPr>
        <w:t xml:space="preserve"> </w:t>
      </w:r>
      <w:r>
        <w:t>on</w:t>
      </w:r>
      <w:r>
        <w:rPr>
          <w:spacing w:val="-5"/>
        </w:rPr>
        <w:t xml:space="preserve"> </w:t>
      </w:r>
      <w:r>
        <w:t>page</w:t>
      </w:r>
      <w:r>
        <w:rPr>
          <w:spacing w:val="-5"/>
        </w:rPr>
        <w:t xml:space="preserve"> </w:t>
      </w:r>
      <w:r>
        <w:t>97</w:t>
      </w:r>
      <w:r>
        <w:rPr>
          <w:spacing w:val="-4"/>
        </w:rPr>
        <w:t xml:space="preserve"> </w:t>
      </w:r>
      <w:r>
        <w:rPr>
          <w:spacing w:val="-5"/>
        </w:rPr>
        <w:t>of</w:t>
      </w:r>
    </w:p>
    <w:p w14:paraId="4AFE0C75" w14:textId="77777777" w:rsidR="00AC6F3C" w:rsidRDefault="00570E88">
      <w:pPr>
        <w:pStyle w:val="BodyText"/>
        <w:spacing w:before="10"/>
        <w:ind w:left="815"/>
      </w:pPr>
      <w:r>
        <w:t xml:space="preserve">this </w:t>
      </w:r>
      <w:r>
        <w:rPr>
          <w:spacing w:val="-2"/>
        </w:rPr>
        <w:t>report.</w:t>
      </w:r>
    </w:p>
    <w:p w14:paraId="0F30C5C4" w14:textId="77777777" w:rsidR="00AC6F3C" w:rsidRDefault="00AC6F3C">
      <w:pPr>
        <w:sectPr w:rsidR="00AC6F3C">
          <w:headerReference w:type="default" r:id="rId114"/>
          <w:footerReference w:type="default" r:id="rId115"/>
          <w:pgSz w:w="11910" w:h="16840"/>
          <w:pgMar w:top="1140" w:right="1160" w:bottom="520" w:left="460" w:header="0" w:footer="336" w:gutter="0"/>
          <w:cols w:space="720"/>
        </w:sectPr>
      </w:pPr>
    </w:p>
    <w:p w14:paraId="5D1F9AD6"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65A0CB06" wp14:editId="64998C34">
                <wp:extent cx="5940425" cy="25400"/>
                <wp:effectExtent l="19050" t="0" r="3175" b="3175"/>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314" name="Graphic 314"/>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2640C7" id="Group 313"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knlVdWoCAACYBQAADgAAAAAAAAAAAAAAAAAuAgAA&#10;ZHJzL2Uyb0RvYy54bWxQSwECLQAUAAYACAAAACEAzcNg/dwAAAADAQAADwAAAAAAAAAAAAAAAADE&#10;BAAAZHJzL2Rvd25yZXYueG1sUEsFBgAAAAAEAAQA8wAAAM0FAAAAAA==&#10;">
                <v:shape id="Graphic 314"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" path="m,l5940005,e" filled="f" strokeweight="2pt">
                  <v:path arrowok="t"/>
                </v:shape>
                <w10:anchorlock/>
              </v:group>
            </w:pict>
          </mc:Fallback>
        </mc:AlternateContent>
      </w:r>
    </w:p>
    <w:p w14:paraId="2083EB25" w14:textId="77777777" w:rsidR="00AC6F3C" w:rsidRDefault="00570E88">
      <w:pPr>
        <w:pStyle w:val="Heading1"/>
      </w:pPr>
      <w:bookmarkStart w:id="46" w:name="GUIDE"/>
      <w:bookmarkStart w:id="47" w:name="QLS_Ethics_and_Practice_Centre"/>
      <w:bookmarkStart w:id="48" w:name="_bookmark16"/>
      <w:bookmarkEnd w:id="46"/>
      <w:bookmarkEnd w:id="47"/>
      <w:bookmarkEnd w:id="48"/>
      <w:r>
        <w:rPr>
          <w:spacing w:val="-2"/>
        </w:rPr>
        <w:t>GUIDE</w:t>
      </w:r>
    </w:p>
    <w:p w14:paraId="7FE0B764" w14:textId="77777777" w:rsidR="00AC6F3C" w:rsidRDefault="00570E88">
      <w:pPr>
        <w:spacing w:before="320" w:line="249" w:lineRule="auto"/>
        <w:ind w:left="815" w:right="468"/>
        <w:rPr>
          <w:b/>
          <w:sz w:val="28"/>
        </w:rPr>
      </w:pPr>
      <w:r>
        <w:rPr>
          <w:b/>
          <w:sz w:val="28"/>
        </w:rPr>
        <w:t>We</w:t>
      </w:r>
      <w:r>
        <w:rPr>
          <w:b/>
          <w:spacing w:val="-5"/>
          <w:sz w:val="28"/>
        </w:rPr>
        <w:t xml:space="preserve"> </w:t>
      </w:r>
      <w:r>
        <w:rPr>
          <w:b/>
          <w:sz w:val="28"/>
        </w:rPr>
        <w:t>partner</w:t>
      </w:r>
      <w:r>
        <w:rPr>
          <w:b/>
          <w:spacing w:val="-5"/>
          <w:sz w:val="28"/>
        </w:rPr>
        <w:t xml:space="preserve"> </w:t>
      </w:r>
      <w:r>
        <w:rPr>
          <w:b/>
          <w:sz w:val="28"/>
        </w:rPr>
        <w:t>with</w:t>
      </w:r>
      <w:r>
        <w:rPr>
          <w:b/>
          <w:spacing w:val="-5"/>
          <w:sz w:val="28"/>
        </w:rPr>
        <w:t xml:space="preserve"> </w:t>
      </w:r>
      <w:r>
        <w:rPr>
          <w:b/>
          <w:sz w:val="28"/>
        </w:rPr>
        <w:t>solicitors</w:t>
      </w:r>
      <w:r>
        <w:rPr>
          <w:b/>
          <w:spacing w:val="-5"/>
          <w:sz w:val="28"/>
        </w:rPr>
        <w:t xml:space="preserve"> </w:t>
      </w:r>
      <w:r>
        <w:rPr>
          <w:b/>
          <w:sz w:val="28"/>
        </w:rPr>
        <w:t>in</w:t>
      </w:r>
      <w:r>
        <w:rPr>
          <w:b/>
          <w:spacing w:val="-5"/>
          <w:sz w:val="28"/>
        </w:rPr>
        <w:t xml:space="preserve"> </w:t>
      </w:r>
      <w:r>
        <w:rPr>
          <w:b/>
          <w:sz w:val="28"/>
        </w:rPr>
        <w:t>Queensland</w:t>
      </w:r>
      <w:r>
        <w:rPr>
          <w:b/>
          <w:spacing w:val="-5"/>
          <w:sz w:val="28"/>
        </w:rPr>
        <w:t xml:space="preserve"> </w:t>
      </w:r>
      <w:r>
        <w:rPr>
          <w:b/>
          <w:sz w:val="28"/>
        </w:rPr>
        <w:t>to</w:t>
      </w:r>
      <w:r>
        <w:rPr>
          <w:b/>
          <w:spacing w:val="-5"/>
          <w:sz w:val="28"/>
        </w:rPr>
        <w:t xml:space="preserve"> </w:t>
      </w:r>
      <w:r>
        <w:rPr>
          <w:b/>
          <w:sz w:val="28"/>
        </w:rPr>
        <w:t>guide,</w:t>
      </w:r>
      <w:r>
        <w:rPr>
          <w:b/>
          <w:spacing w:val="-5"/>
          <w:sz w:val="28"/>
        </w:rPr>
        <w:t xml:space="preserve"> </w:t>
      </w:r>
      <w:r>
        <w:rPr>
          <w:b/>
          <w:sz w:val="28"/>
        </w:rPr>
        <w:t>advise,</w:t>
      </w:r>
      <w:r>
        <w:rPr>
          <w:b/>
          <w:spacing w:val="-5"/>
          <w:sz w:val="28"/>
        </w:rPr>
        <w:t xml:space="preserve"> </w:t>
      </w:r>
      <w:proofErr w:type="gramStart"/>
      <w:r>
        <w:rPr>
          <w:b/>
          <w:sz w:val="28"/>
        </w:rPr>
        <w:t>promote</w:t>
      </w:r>
      <w:proofErr w:type="gramEnd"/>
      <w:r>
        <w:rPr>
          <w:b/>
          <w:sz w:val="28"/>
        </w:rPr>
        <w:t xml:space="preserve"> and support their role as trusted advisors.</w:t>
      </w:r>
    </w:p>
    <w:p w14:paraId="6AE86612" w14:textId="77777777" w:rsidR="00AC6F3C" w:rsidRDefault="00AC6F3C">
      <w:pPr>
        <w:pStyle w:val="BodyText"/>
        <w:spacing w:before="8"/>
        <w:rPr>
          <w:b/>
          <w:sz w:val="30"/>
        </w:rPr>
      </w:pPr>
    </w:p>
    <w:p w14:paraId="70A0AC5C" w14:textId="77777777" w:rsidR="00AC6F3C" w:rsidRDefault="00570E88">
      <w:pPr>
        <w:pStyle w:val="Heading3"/>
      </w:pPr>
      <w:r>
        <w:t>QLS</w:t>
      </w:r>
      <w:r>
        <w:rPr>
          <w:spacing w:val="-3"/>
        </w:rPr>
        <w:t xml:space="preserve"> </w:t>
      </w:r>
      <w:r>
        <w:t>Ethics</w:t>
      </w:r>
      <w:r>
        <w:rPr>
          <w:spacing w:val="-3"/>
        </w:rPr>
        <w:t xml:space="preserve"> </w:t>
      </w:r>
      <w:r>
        <w:t>and</w:t>
      </w:r>
      <w:r>
        <w:rPr>
          <w:spacing w:val="-3"/>
        </w:rPr>
        <w:t xml:space="preserve"> </w:t>
      </w:r>
      <w:r>
        <w:t>Practice</w:t>
      </w:r>
      <w:r>
        <w:rPr>
          <w:spacing w:val="-3"/>
        </w:rPr>
        <w:t xml:space="preserve"> </w:t>
      </w:r>
      <w:r>
        <w:rPr>
          <w:spacing w:val="-2"/>
        </w:rPr>
        <w:t>Centre</w:t>
      </w:r>
    </w:p>
    <w:p w14:paraId="5F012DF2" w14:textId="77777777" w:rsidR="00AC6F3C" w:rsidRDefault="00AC6F3C">
      <w:pPr>
        <w:pStyle w:val="BodyText"/>
        <w:spacing w:before="7"/>
        <w:rPr>
          <w:b/>
          <w:sz w:val="29"/>
        </w:rPr>
      </w:pPr>
    </w:p>
    <w:p w14:paraId="4B4C85BD" w14:textId="77777777" w:rsidR="00AC6F3C" w:rsidRDefault="00570E88">
      <w:pPr>
        <w:ind w:left="815"/>
        <w:rPr>
          <w:b/>
          <w:sz w:val="26"/>
        </w:rPr>
      </w:pPr>
      <w:r>
        <w:rPr>
          <w:b/>
          <w:sz w:val="26"/>
        </w:rPr>
        <w:t>Professionalism</w:t>
      </w:r>
      <w:r>
        <w:rPr>
          <w:b/>
          <w:spacing w:val="-7"/>
          <w:sz w:val="26"/>
        </w:rPr>
        <w:t xml:space="preserve"> </w:t>
      </w:r>
      <w:r>
        <w:rPr>
          <w:b/>
          <w:sz w:val="26"/>
        </w:rPr>
        <w:t>and</w:t>
      </w:r>
      <w:r>
        <w:rPr>
          <w:b/>
          <w:spacing w:val="-7"/>
          <w:sz w:val="26"/>
        </w:rPr>
        <w:t xml:space="preserve"> </w:t>
      </w:r>
      <w:r>
        <w:rPr>
          <w:b/>
          <w:spacing w:val="-2"/>
          <w:sz w:val="26"/>
        </w:rPr>
        <w:t>guidance</w:t>
      </w:r>
    </w:p>
    <w:p w14:paraId="51B381EB" w14:textId="77777777" w:rsidR="00AC6F3C" w:rsidRDefault="00570E88">
      <w:pPr>
        <w:pStyle w:val="BodyText"/>
        <w:spacing w:before="168" w:line="249" w:lineRule="auto"/>
        <w:ind w:left="815" w:right="468"/>
      </w:pPr>
      <w:r>
        <w:t>The QLS Ethics and Practice Centre continues to provide a variety of services to the profession and the</w:t>
      </w:r>
      <w:r>
        <w:rPr>
          <w:spacing w:val="-3"/>
        </w:rPr>
        <w:t xml:space="preserve"> </w:t>
      </w:r>
      <w:r>
        <w:t>wider</w:t>
      </w:r>
      <w:r>
        <w:rPr>
          <w:spacing w:val="-3"/>
        </w:rPr>
        <w:t xml:space="preserve"> </w:t>
      </w:r>
      <w:r>
        <w:t>community</w:t>
      </w:r>
      <w:r>
        <w:rPr>
          <w:spacing w:val="-3"/>
        </w:rPr>
        <w:t xml:space="preserve"> </w:t>
      </w:r>
      <w:r>
        <w:t>through</w:t>
      </w:r>
      <w:r>
        <w:rPr>
          <w:spacing w:val="-3"/>
        </w:rPr>
        <w:t xml:space="preserve"> </w:t>
      </w:r>
      <w:r>
        <w:t>practical</w:t>
      </w:r>
      <w:r>
        <w:rPr>
          <w:spacing w:val="-3"/>
        </w:rPr>
        <w:t xml:space="preserve"> </w:t>
      </w:r>
      <w:r>
        <w:t>guidance,</w:t>
      </w:r>
      <w:r>
        <w:rPr>
          <w:spacing w:val="-3"/>
        </w:rPr>
        <w:t xml:space="preserve"> </w:t>
      </w:r>
      <w:r>
        <w:t>education,</w:t>
      </w:r>
      <w:r>
        <w:rPr>
          <w:spacing w:val="-3"/>
        </w:rPr>
        <w:t xml:space="preserve"> </w:t>
      </w:r>
      <w:r>
        <w:t>advocacy</w:t>
      </w:r>
      <w:r>
        <w:rPr>
          <w:spacing w:val="-3"/>
        </w:rPr>
        <w:t xml:space="preserve"> </w:t>
      </w:r>
      <w:r>
        <w:t>of</w:t>
      </w:r>
      <w:r>
        <w:rPr>
          <w:spacing w:val="-3"/>
        </w:rPr>
        <w:t xml:space="preserve"> </w:t>
      </w:r>
      <w:r>
        <w:t>professionalism</w:t>
      </w:r>
      <w:r>
        <w:rPr>
          <w:spacing w:val="-3"/>
        </w:rPr>
        <w:t xml:space="preserve"> </w:t>
      </w:r>
      <w:r>
        <w:t>and</w:t>
      </w:r>
      <w:r>
        <w:rPr>
          <w:spacing w:val="-3"/>
        </w:rPr>
        <w:t xml:space="preserve"> </w:t>
      </w:r>
      <w:r>
        <w:t>practice support of practitioners.</w:t>
      </w:r>
    </w:p>
    <w:p w14:paraId="6E8C018A" w14:textId="77777777" w:rsidR="00AC6F3C" w:rsidRDefault="00570E88">
      <w:pPr>
        <w:pStyle w:val="BodyText"/>
        <w:spacing w:before="172" w:line="249" w:lineRule="auto"/>
        <w:ind w:left="815"/>
      </w:pPr>
      <w:r>
        <w:t>The</w:t>
      </w:r>
      <w:r>
        <w:rPr>
          <w:spacing w:val="-4"/>
        </w:rPr>
        <w:t xml:space="preserve"> </w:t>
      </w:r>
      <w:r>
        <w:t>Centre’s</w:t>
      </w:r>
      <w:r>
        <w:rPr>
          <w:spacing w:val="-4"/>
        </w:rPr>
        <w:t xml:space="preserve"> </w:t>
      </w:r>
      <w:r>
        <w:t>well-regarded</w:t>
      </w:r>
      <w:r>
        <w:rPr>
          <w:spacing w:val="-4"/>
        </w:rPr>
        <w:t xml:space="preserve"> </w:t>
      </w:r>
      <w:r>
        <w:t>telephone</w:t>
      </w:r>
      <w:r>
        <w:rPr>
          <w:spacing w:val="-4"/>
        </w:rPr>
        <w:t xml:space="preserve"> </w:t>
      </w:r>
      <w:r>
        <w:t>service</w:t>
      </w:r>
      <w:r>
        <w:rPr>
          <w:spacing w:val="-4"/>
        </w:rPr>
        <w:t xml:space="preserve"> </w:t>
      </w:r>
      <w:r>
        <w:t>has</w:t>
      </w:r>
      <w:r>
        <w:rPr>
          <w:spacing w:val="-4"/>
        </w:rPr>
        <w:t xml:space="preserve"> </w:t>
      </w:r>
      <w:r>
        <w:t>been</w:t>
      </w:r>
      <w:r>
        <w:rPr>
          <w:spacing w:val="-4"/>
        </w:rPr>
        <w:t xml:space="preserve"> </w:t>
      </w:r>
      <w:r>
        <w:t>providing</w:t>
      </w:r>
      <w:r>
        <w:rPr>
          <w:spacing w:val="-4"/>
        </w:rPr>
        <w:t xml:space="preserve"> </w:t>
      </w:r>
      <w:r>
        <w:t>responsive</w:t>
      </w:r>
      <w:r>
        <w:rPr>
          <w:spacing w:val="-4"/>
        </w:rPr>
        <w:t xml:space="preserve"> </w:t>
      </w:r>
      <w:r>
        <w:t>and</w:t>
      </w:r>
      <w:r>
        <w:rPr>
          <w:spacing w:val="-4"/>
        </w:rPr>
        <w:t xml:space="preserve"> </w:t>
      </w:r>
      <w:r>
        <w:t>confidential</w:t>
      </w:r>
      <w:r>
        <w:rPr>
          <w:spacing w:val="-4"/>
        </w:rPr>
        <w:t xml:space="preserve"> </w:t>
      </w:r>
      <w:r>
        <w:t>ethical guidance and practice management advice to QLS members for over ten years.</w:t>
      </w:r>
    </w:p>
    <w:p w14:paraId="0C23FDED" w14:textId="77777777" w:rsidR="00AC6F3C" w:rsidRDefault="00570E88">
      <w:pPr>
        <w:pStyle w:val="BodyText"/>
        <w:spacing w:before="172" w:line="249" w:lineRule="auto"/>
        <w:ind w:left="815" w:right="234"/>
      </w:pPr>
      <w:r>
        <w:t>Calls</w:t>
      </w:r>
      <w:r>
        <w:rPr>
          <w:spacing w:val="-3"/>
        </w:rPr>
        <w:t xml:space="preserve"> </w:t>
      </w:r>
      <w:r>
        <w:t>to</w:t>
      </w:r>
      <w:r>
        <w:rPr>
          <w:spacing w:val="-3"/>
        </w:rPr>
        <w:t xml:space="preserve"> </w:t>
      </w:r>
      <w:r>
        <w:t>the</w:t>
      </w:r>
      <w:r>
        <w:rPr>
          <w:spacing w:val="-3"/>
        </w:rPr>
        <w:t xml:space="preserve"> </w:t>
      </w:r>
      <w:r>
        <w:t>Centre</w:t>
      </w:r>
      <w:r>
        <w:rPr>
          <w:spacing w:val="-3"/>
        </w:rPr>
        <w:t xml:space="preserve"> </w:t>
      </w:r>
      <w:r>
        <w:t>range</w:t>
      </w:r>
      <w:r>
        <w:rPr>
          <w:spacing w:val="-3"/>
        </w:rPr>
        <w:t xml:space="preserve"> </w:t>
      </w:r>
      <w:r>
        <w:t>from</w:t>
      </w:r>
      <w:r>
        <w:rPr>
          <w:spacing w:val="-3"/>
        </w:rPr>
        <w:t xml:space="preserve"> </w:t>
      </w:r>
      <w:r>
        <w:t>complex</w:t>
      </w:r>
      <w:r>
        <w:rPr>
          <w:spacing w:val="-3"/>
        </w:rPr>
        <w:t xml:space="preserve"> </w:t>
      </w:r>
      <w:r>
        <w:t>conflict</w:t>
      </w:r>
      <w:r>
        <w:rPr>
          <w:spacing w:val="-3"/>
        </w:rPr>
        <w:t xml:space="preserve"> </w:t>
      </w:r>
      <w:r>
        <w:t>and</w:t>
      </w:r>
      <w:r>
        <w:rPr>
          <w:spacing w:val="-3"/>
        </w:rPr>
        <w:t xml:space="preserve"> </w:t>
      </w:r>
      <w:r>
        <w:t>confidentiality</w:t>
      </w:r>
      <w:r>
        <w:rPr>
          <w:spacing w:val="-3"/>
        </w:rPr>
        <w:t xml:space="preserve"> </w:t>
      </w:r>
      <w:r>
        <w:t>issues</w:t>
      </w:r>
      <w:r>
        <w:rPr>
          <w:spacing w:val="-3"/>
        </w:rPr>
        <w:t xml:space="preserve"> </w:t>
      </w:r>
      <w:r>
        <w:t>to</w:t>
      </w:r>
      <w:r>
        <w:rPr>
          <w:spacing w:val="-3"/>
        </w:rPr>
        <w:t xml:space="preserve"> </w:t>
      </w:r>
      <w:r>
        <w:t>more</w:t>
      </w:r>
      <w:r>
        <w:rPr>
          <w:spacing w:val="-3"/>
        </w:rPr>
        <w:t xml:space="preserve"> </w:t>
      </w:r>
      <w:r>
        <w:t>sensitive</w:t>
      </w:r>
      <w:r>
        <w:rPr>
          <w:spacing w:val="-3"/>
        </w:rPr>
        <w:t xml:space="preserve"> </w:t>
      </w:r>
      <w:r>
        <w:t>matters</w:t>
      </w:r>
      <w:r>
        <w:rPr>
          <w:spacing w:val="-3"/>
        </w:rPr>
        <w:t xml:space="preserve"> </w:t>
      </w:r>
      <w:r>
        <w:t>such as threats to harm or bullying. The Centre responds within 1-2 hours of the call and receives consistent positive</w:t>
      </w:r>
      <w:r>
        <w:rPr>
          <w:spacing w:val="-1"/>
        </w:rPr>
        <w:t xml:space="preserve"> </w:t>
      </w:r>
      <w:r>
        <w:t>feedback</w:t>
      </w:r>
      <w:r>
        <w:rPr>
          <w:spacing w:val="-1"/>
        </w:rPr>
        <w:t xml:space="preserve"> </w:t>
      </w:r>
      <w:r>
        <w:t>on</w:t>
      </w:r>
      <w:r>
        <w:rPr>
          <w:spacing w:val="-1"/>
        </w:rPr>
        <w:t xml:space="preserve"> </w:t>
      </w:r>
      <w:r>
        <w:t>this</w:t>
      </w:r>
      <w:r>
        <w:rPr>
          <w:spacing w:val="-1"/>
        </w:rPr>
        <w:t xml:space="preserve"> </w:t>
      </w:r>
      <w:r>
        <w:t>responsiveness</w:t>
      </w:r>
      <w:r>
        <w:rPr>
          <w:spacing w:val="-1"/>
        </w:rPr>
        <w:t xml:space="preserve"> </w:t>
      </w:r>
      <w:r>
        <w:t>and</w:t>
      </w:r>
      <w:r>
        <w:rPr>
          <w:spacing w:val="-1"/>
        </w:rPr>
        <w:t xml:space="preserve"> </w:t>
      </w:r>
      <w:r>
        <w:t>support</w:t>
      </w:r>
      <w:r>
        <w:rPr>
          <w:spacing w:val="-1"/>
        </w:rPr>
        <w:t xml:space="preserve"> </w:t>
      </w:r>
      <w:r>
        <w:t>from</w:t>
      </w:r>
      <w:r>
        <w:rPr>
          <w:spacing w:val="-1"/>
        </w:rPr>
        <w:t xml:space="preserve"> </w:t>
      </w:r>
      <w:r>
        <w:t>members,</w:t>
      </w:r>
      <w:r>
        <w:rPr>
          <w:spacing w:val="-1"/>
        </w:rPr>
        <w:t xml:space="preserve"> </w:t>
      </w:r>
      <w:r>
        <w:t>particularly</w:t>
      </w:r>
      <w:r>
        <w:rPr>
          <w:spacing w:val="-1"/>
        </w:rPr>
        <w:t xml:space="preserve"> </w:t>
      </w:r>
      <w:r>
        <w:t>those</w:t>
      </w:r>
      <w:r>
        <w:rPr>
          <w:spacing w:val="-1"/>
        </w:rPr>
        <w:t xml:space="preserve"> </w:t>
      </w:r>
      <w:r>
        <w:t>who</w:t>
      </w:r>
      <w:r>
        <w:rPr>
          <w:spacing w:val="-1"/>
        </w:rPr>
        <w:t xml:space="preserve"> </w:t>
      </w:r>
      <w:r>
        <w:t>are</w:t>
      </w:r>
      <w:r>
        <w:rPr>
          <w:spacing w:val="-1"/>
        </w:rPr>
        <w:t xml:space="preserve"> </w:t>
      </w:r>
      <w:r>
        <w:t>in</w:t>
      </w:r>
      <w:r>
        <w:rPr>
          <w:spacing w:val="-1"/>
        </w:rPr>
        <w:t xml:space="preserve"> </w:t>
      </w:r>
      <w:r>
        <w:t xml:space="preserve">sole, </w:t>
      </w:r>
      <w:proofErr w:type="gramStart"/>
      <w:r>
        <w:t>micro</w:t>
      </w:r>
      <w:proofErr w:type="gramEnd"/>
      <w:r>
        <w:t xml:space="preserve"> or small/medium sized firms or community legal </w:t>
      </w:r>
      <w:proofErr w:type="spellStart"/>
      <w:r>
        <w:t>centres</w:t>
      </w:r>
      <w:proofErr w:type="spellEnd"/>
      <w:r>
        <w:t>.</w:t>
      </w:r>
    </w:p>
    <w:p w14:paraId="5BD12B10" w14:textId="77777777" w:rsidR="00AC6F3C" w:rsidRDefault="00570E88">
      <w:pPr>
        <w:pStyle w:val="BodyText"/>
        <w:spacing w:before="173" w:line="249" w:lineRule="auto"/>
        <w:ind w:left="815" w:right="137"/>
      </w:pPr>
      <w:r>
        <w:t>A</w:t>
      </w:r>
      <w:r>
        <w:rPr>
          <w:spacing w:val="-6"/>
        </w:rPr>
        <w:t xml:space="preserve"> </w:t>
      </w:r>
      <w:r>
        <w:t>total of 3,934 matters (calls) were opened during 2022-23 which is an increase in the number of calls</w:t>
      </w:r>
      <w:r>
        <w:rPr>
          <w:spacing w:val="40"/>
        </w:rPr>
        <w:t xml:space="preserve"> </w:t>
      </w:r>
      <w:r>
        <w:t>by</w:t>
      </w:r>
      <w:r>
        <w:rPr>
          <w:spacing w:val="-4"/>
        </w:rPr>
        <w:t xml:space="preserve"> </w:t>
      </w:r>
      <w:r>
        <w:t>11.2%</w:t>
      </w:r>
      <w:r>
        <w:rPr>
          <w:spacing w:val="-4"/>
        </w:rPr>
        <w:t xml:space="preserve"> </w:t>
      </w:r>
      <w:r>
        <w:t>since</w:t>
      </w:r>
      <w:r>
        <w:rPr>
          <w:spacing w:val="-4"/>
        </w:rPr>
        <w:t xml:space="preserve"> </w:t>
      </w:r>
      <w:r>
        <w:t>the</w:t>
      </w:r>
      <w:r>
        <w:rPr>
          <w:spacing w:val="-4"/>
        </w:rPr>
        <w:t xml:space="preserve"> </w:t>
      </w:r>
      <w:r>
        <w:t>last</w:t>
      </w:r>
      <w:r>
        <w:rPr>
          <w:spacing w:val="-4"/>
        </w:rPr>
        <w:t xml:space="preserve"> </w:t>
      </w:r>
      <w:proofErr w:type="gramStart"/>
      <w:r>
        <w:t>financial</w:t>
      </w:r>
      <w:r>
        <w:rPr>
          <w:spacing w:val="-4"/>
        </w:rPr>
        <w:t xml:space="preserve"> </w:t>
      </w:r>
      <w:r>
        <w:t>year</w:t>
      </w:r>
      <w:proofErr w:type="gramEnd"/>
      <w:r>
        <w:t>.</w:t>
      </w:r>
      <w:r>
        <w:rPr>
          <w:spacing w:val="-8"/>
        </w:rPr>
        <w:t xml:space="preserve"> </w:t>
      </w:r>
      <w:r>
        <w:t>The</w:t>
      </w:r>
      <w:r>
        <w:rPr>
          <w:spacing w:val="-4"/>
        </w:rPr>
        <w:t xml:space="preserve"> </w:t>
      </w:r>
      <w:r>
        <w:t>top</w:t>
      </w:r>
      <w:r>
        <w:rPr>
          <w:spacing w:val="-4"/>
        </w:rPr>
        <w:t xml:space="preserve"> </w:t>
      </w:r>
      <w:r>
        <w:t>three</w:t>
      </w:r>
      <w:r>
        <w:rPr>
          <w:spacing w:val="-4"/>
        </w:rPr>
        <w:t xml:space="preserve"> </w:t>
      </w:r>
      <w:r>
        <w:t>issues</w:t>
      </w:r>
      <w:r>
        <w:rPr>
          <w:spacing w:val="-4"/>
        </w:rPr>
        <w:t xml:space="preserve"> </w:t>
      </w:r>
      <w:r>
        <w:t>discussed</w:t>
      </w:r>
      <w:r>
        <w:rPr>
          <w:spacing w:val="-4"/>
        </w:rPr>
        <w:t xml:space="preserve"> </w:t>
      </w:r>
      <w:r>
        <w:t>were</w:t>
      </w:r>
      <w:r>
        <w:rPr>
          <w:spacing w:val="-4"/>
        </w:rPr>
        <w:t xml:space="preserve"> </w:t>
      </w:r>
      <w:r>
        <w:t>conflict,</w:t>
      </w:r>
      <w:r>
        <w:rPr>
          <w:spacing w:val="-4"/>
        </w:rPr>
        <w:t xml:space="preserve"> </w:t>
      </w:r>
      <w:r>
        <w:t>client</w:t>
      </w:r>
      <w:r>
        <w:rPr>
          <w:spacing w:val="-4"/>
        </w:rPr>
        <w:t xml:space="preserve"> </w:t>
      </w:r>
      <w:r>
        <w:t>instructions</w:t>
      </w:r>
      <w:r>
        <w:rPr>
          <w:spacing w:val="-4"/>
        </w:rPr>
        <w:t xml:space="preserve"> </w:t>
      </w:r>
      <w:r>
        <w:t>and confidentiality.</w:t>
      </w:r>
      <w:r>
        <w:rPr>
          <w:spacing w:val="-10"/>
        </w:rPr>
        <w:t xml:space="preserve"> </w:t>
      </w:r>
      <w:r>
        <w:t>There</w:t>
      </w:r>
      <w:r>
        <w:rPr>
          <w:spacing w:val="-4"/>
        </w:rPr>
        <w:t xml:space="preserve"> </w:t>
      </w:r>
      <w:r>
        <w:t>were</w:t>
      </w:r>
      <w:r>
        <w:rPr>
          <w:spacing w:val="-4"/>
        </w:rPr>
        <w:t xml:space="preserve"> </w:t>
      </w:r>
      <w:r>
        <w:t>also</w:t>
      </w:r>
      <w:r>
        <w:rPr>
          <w:spacing w:val="-4"/>
        </w:rPr>
        <w:t xml:space="preserve"> </w:t>
      </w:r>
      <w:r>
        <w:t>a</w:t>
      </w:r>
      <w:r>
        <w:rPr>
          <w:spacing w:val="-4"/>
        </w:rPr>
        <w:t xml:space="preserve"> </w:t>
      </w:r>
      <w:r>
        <w:t>sizeable</w:t>
      </w:r>
      <w:r>
        <w:rPr>
          <w:spacing w:val="-4"/>
        </w:rPr>
        <w:t xml:space="preserve"> </w:t>
      </w:r>
      <w:r>
        <w:t>number</w:t>
      </w:r>
      <w:r>
        <w:rPr>
          <w:spacing w:val="-4"/>
        </w:rPr>
        <w:t xml:space="preserve"> </w:t>
      </w:r>
      <w:r>
        <w:t>of</w:t>
      </w:r>
      <w:r>
        <w:rPr>
          <w:spacing w:val="-4"/>
        </w:rPr>
        <w:t xml:space="preserve"> </w:t>
      </w:r>
      <w:r>
        <w:t>calls</w:t>
      </w:r>
      <w:r>
        <w:rPr>
          <w:spacing w:val="-4"/>
        </w:rPr>
        <w:t xml:space="preserve"> </w:t>
      </w:r>
      <w:r>
        <w:t>taken</w:t>
      </w:r>
      <w:r>
        <w:rPr>
          <w:spacing w:val="-4"/>
        </w:rPr>
        <w:t xml:space="preserve"> </w:t>
      </w:r>
      <w:r>
        <w:t>regarding</w:t>
      </w:r>
      <w:r>
        <w:rPr>
          <w:spacing w:val="-4"/>
        </w:rPr>
        <w:t xml:space="preserve"> </w:t>
      </w:r>
      <w:r>
        <w:t>practice</w:t>
      </w:r>
      <w:r>
        <w:rPr>
          <w:spacing w:val="-4"/>
        </w:rPr>
        <w:t xml:space="preserve"> </w:t>
      </w:r>
      <w:r>
        <w:t>management</w:t>
      </w:r>
      <w:r>
        <w:rPr>
          <w:spacing w:val="-3"/>
        </w:rPr>
        <w:t xml:space="preserve"> </w:t>
      </w:r>
      <w:r>
        <w:rPr>
          <w:spacing w:val="-2"/>
        </w:rPr>
        <w:t>queries.</w:t>
      </w:r>
    </w:p>
    <w:p w14:paraId="026DE6F9" w14:textId="77777777" w:rsidR="00AC6F3C" w:rsidRDefault="00570E88">
      <w:pPr>
        <w:pStyle w:val="BodyText"/>
        <w:spacing w:before="173"/>
        <w:ind w:left="815"/>
      </w:pPr>
      <w:r>
        <w:t>The</w:t>
      </w:r>
      <w:r>
        <w:rPr>
          <w:spacing w:val="-6"/>
        </w:rPr>
        <w:t xml:space="preserve"> </w:t>
      </w:r>
      <w:r>
        <w:t>Centre</w:t>
      </w:r>
      <w:r>
        <w:rPr>
          <w:spacing w:val="-3"/>
        </w:rPr>
        <w:t xml:space="preserve"> </w:t>
      </w:r>
      <w:r>
        <w:t>also</w:t>
      </w:r>
      <w:r>
        <w:rPr>
          <w:spacing w:val="-4"/>
        </w:rPr>
        <w:t xml:space="preserve"> </w:t>
      </w:r>
      <w:r>
        <w:t>provides</w:t>
      </w:r>
      <w:r>
        <w:rPr>
          <w:spacing w:val="-3"/>
        </w:rPr>
        <w:t xml:space="preserve"> </w:t>
      </w:r>
      <w:r>
        <w:t>ethical</w:t>
      </w:r>
      <w:r>
        <w:rPr>
          <w:spacing w:val="-4"/>
        </w:rPr>
        <w:t xml:space="preserve"> </w:t>
      </w:r>
      <w:r>
        <w:t>guidance</w:t>
      </w:r>
      <w:r>
        <w:rPr>
          <w:spacing w:val="-3"/>
        </w:rPr>
        <w:t xml:space="preserve"> </w:t>
      </w:r>
      <w:r>
        <w:t>and</w:t>
      </w:r>
      <w:r>
        <w:rPr>
          <w:spacing w:val="-4"/>
        </w:rPr>
        <w:t xml:space="preserve"> </w:t>
      </w:r>
      <w:r>
        <w:t>leadership</w:t>
      </w:r>
      <w:r>
        <w:rPr>
          <w:spacing w:val="-3"/>
        </w:rPr>
        <w:t xml:space="preserve"> </w:t>
      </w:r>
      <w:r>
        <w:t>in</w:t>
      </w:r>
      <w:r>
        <w:rPr>
          <w:spacing w:val="-4"/>
        </w:rPr>
        <w:t xml:space="preserve"> </w:t>
      </w:r>
      <w:r>
        <w:t>other</w:t>
      </w:r>
      <w:r>
        <w:rPr>
          <w:spacing w:val="-3"/>
        </w:rPr>
        <w:t xml:space="preserve"> </w:t>
      </w:r>
      <w:r>
        <w:rPr>
          <w:spacing w:val="-2"/>
        </w:rPr>
        <w:t>ways:</w:t>
      </w:r>
    </w:p>
    <w:p w14:paraId="4D428FFC" w14:textId="77777777" w:rsidR="00AC6F3C" w:rsidRDefault="00570E88">
      <w:pPr>
        <w:pStyle w:val="ListParagraph"/>
        <w:numPr>
          <w:ilvl w:val="0"/>
          <w:numId w:val="57"/>
        </w:numPr>
        <w:tabs>
          <w:tab w:val="left" w:pos="1155"/>
        </w:tabs>
        <w:spacing w:line="249" w:lineRule="auto"/>
        <w:ind w:right="311"/>
        <w:rPr>
          <w:sz w:val="20"/>
        </w:rPr>
      </w:pPr>
      <w:r>
        <w:rPr>
          <w:sz w:val="20"/>
        </w:rPr>
        <w:t>QLS Ethics Committee: This committee provides expert ethical input to QLS and its members. The Centre</w:t>
      </w:r>
      <w:r>
        <w:rPr>
          <w:spacing w:val="-4"/>
          <w:sz w:val="20"/>
        </w:rPr>
        <w:t xml:space="preserve"> </w:t>
      </w:r>
      <w:r>
        <w:rPr>
          <w:sz w:val="20"/>
        </w:rPr>
        <w:t>manages</w:t>
      </w:r>
      <w:r>
        <w:rPr>
          <w:spacing w:val="-4"/>
          <w:sz w:val="20"/>
        </w:rPr>
        <w:t xml:space="preserve"> </w:t>
      </w:r>
      <w:r>
        <w:rPr>
          <w:sz w:val="20"/>
        </w:rPr>
        <w:t>this</w:t>
      </w:r>
      <w:r>
        <w:rPr>
          <w:spacing w:val="-4"/>
          <w:sz w:val="20"/>
        </w:rPr>
        <w:t xml:space="preserve"> </w:t>
      </w:r>
      <w:r>
        <w:rPr>
          <w:sz w:val="20"/>
        </w:rPr>
        <w:t>committee</w:t>
      </w:r>
      <w:r>
        <w:rPr>
          <w:spacing w:val="-4"/>
          <w:sz w:val="20"/>
        </w:rPr>
        <w:t xml:space="preserve"> </w:t>
      </w:r>
      <w:r>
        <w:rPr>
          <w:sz w:val="20"/>
        </w:rPr>
        <w:t>and</w:t>
      </w:r>
      <w:r>
        <w:rPr>
          <w:spacing w:val="-4"/>
          <w:sz w:val="20"/>
        </w:rPr>
        <w:t xml:space="preserve"> </w:t>
      </w:r>
      <w:r>
        <w:rPr>
          <w:sz w:val="20"/>
        </w:rPr>
        <w:t>its</w:t>
      </w:r>
      <w:r>
        <w:rPr>
          <w:spacing w:val="-4"/>
          <w:sz w:val="20"/>
        </w:rPr>
        <w:t xml:space="preserve"> </w:t>
      </w:r>
      <w:r>
        <w:rPr>
          <w:sz w:val="20"/>
        </w:rPr>
        <w:t>sub-committees:</w:t>
      </w:r>
      <w:r>
        <w:rPr>
          <w:spacing w:val="-4"/>
          <w:sz w:val="20"/>
        </w:rPr>
        <w:t xml:space="preserve"> </w:t>
      </w:r>
      <w:r>
        <w:rPr>
          <w:sz w:val="20"/>
        </w:rPr>
        <w:t>Guidance</w:t>
      </w:r>
      <w:r>
        <w:rPr>
          <w:spacing w:val="-4"/>
          <w:sz w:val="20"/>
        </w:rPr>
        <w:t xml:space="preserve"> </w:t>
      </w:r>
      <w:r>
        <w:rPr>
          <w:sz w:val="20"/>
        </w:rPr>
        <w:t>Statement</w:t>
      </w:r>
      <w:r>
        <w:rPr>
          <w:spacing w:val="-4"/>
          <w:sz w:val="20"/>
        </w:rPr>
        <w:t xml:space="preserve"> </w:t>
      </w:r>
      <w:r>
        <w:rPr>
          <w:sz w:val="20"/>
        </w:rPr>
        <w:t>Sub-committee,</w:t>
      </w:r>
      <w:r>
        <w:rPr>
          <w:spacing w:val="-4"/>
          <w:sz w:val="20"/>
        </w:rPr>
        <w:t xml:space="preserve"> </w:t>
      </w:r>
      <w:r>
        <w:rPr>
          <w:sz w:val="20"/>
        </w:rPr>
        <w:t>Non- binding Ethics Ruling Sub-committee and the Rules Review Sub-committee.</w:t>
      </w:r>
    </w:p>
    <w:p w14:paraId="0D9A92DD" w14:textId="77777777" w:rsidR="00AC6F3C" w:rsidRDefault="00570E88">
      <w:pPr>
        <w:pStyle w:val="ListParagraph"/>
        <w:numPr>
          <w:ilvl w:val="0"/>
          <w:numId w:val="57"/>
        </w:numPr>
        <w:tabs>
          <w:tab w:val="left" w:pos="1155"/>
        </w:tabs>
        <w:spacing w:before="172" w:line="249" w:lineRule="auto"/>
        <w:ind w:right="1079"/>
        <w:rPr>
          <w:sz w:val="20"/>
        </w:rPr>
      </w:pPr>
      <w:r>
        <w:rPr>
          <w:sz w:val="20"/>
        </w:rPr>
        <w:t>The</w:t>
      </w:r>
      <w:r>
        <w:rPr>
          <w:spacing w:val="-4"/>
          <w:sz w:val="20"/>
        </w:rPr>
        <w:t xml:space="preserve"> </w:t>
      </w:r>
      <w:r>
        <w:rPr>
          <w:sz w:val="20"/>
        </w:rPr>
        <w:t>Guidance</w:t>
      </w:r>
      <w:r>
        <w:rPr>
          <w:spacing w:val="-4"/>
          <w:sz w:val="20"/>
        </w:rPr>
        <w:t xml:space="preserve"> </w:t>
      </w:r>
      <w:r>
        <w:rPr>
          <w:sz w:val="20"/>
        </w:rPr>
        <w:t>Statement</w:t>
      </w:r>
      <w:r>
        <w:rPr>
          <w:spacing w:val="-4"/>
          <w:sz w:val="20"/>
        </w:rPr>
        <w:t xml:space="preserve"> </w:t>
      </w:r>
      <w:r>
        <w:rPr>
          <w:sz w:val="20"/>
        </w:rPr>
        <w:t>Sub-committee</w:t>
      </w:r>
      <w:r>
        <w:rPr>
          <w:spacing w:val="-4"/>
          <w:sz w:val="20"/>
        </w:rPr>
        <w:t xml:space="preserve"> </w:t>
      </w:r>
      <w:r>
        <w:rPr>
          <w:sz w:val="20"/>
        </w:rPr>
        <w:t>published</w:t>
      </w:r>
      <w:r>
        <w:rPr>
          <w:spacing w:val="-4"/>
          <w:sz w:val="20"/>
        </w:rPr>
        <w:t xml:space="preserve"> </w:t>
      </w:r>
      <w:r>
        <w:rPr>
          <w:sz w:val="20"/>
        </w:rPr>
        <w:t>substantive</w:t>
      </w:r>
      <w:r>
        <w:rPr>
          <w:spacing w:val="-4"/>
          <w:sz w:val="20"/>
        </w:rPr>
        <w:t xml:space="preserve"> </w:t>
      </w:r>
      <w:r>
        <w:rPr>
          <w:sz w:val="20"/>
        </w:rPr>
        <w:t>guidance</w:t>
      </w:r>
      <w:r>
        <w:rPr>
          <w:spacing w:val="-4"/>
          <w:sz w:val="20"/>
        </w:rPr>
        <w:t xml:space="preserve"> </w:t>
      </w:r>
      <w:r>
        <w:rPr>
          <w:sz w:val="20"/>
        </w:rPr>
        <w:t>statements</w:t>
      </w:r>
      <w:r>
        <w:rPr>
          <w:spacing w:val="-4"/>
          <w:sz w:val="20"/>
        </w:rPr>
        <w:t xml:space="preserve"> </w:t>
      </w:r>
      <w:r>
        <w:rPr>
          <w:sz w:val="20"/>
        </w:rPr>
        <w:t>in</w:t>
      </w:r>
      <w:r>
        <w:rPr>
          <w:spacing w:val="-4"/>
          <w:sz w:val="20"/>
        </w:rPr>
        <w:t xml:space="preserve"> </w:t>
      </w:r>
      <w:r>
        <w:rPr>
          <w:sz w:val="20"/>
        </w:rPr>
        <w:t>the following areas:</w:t>
      </w:r>
    </w:p>
    <w:p w14:paraId="7E00EA5E" w14:textId="77777777" w:rsidR="00AC6F3C" w:rsidRDefault="00570E88">
      <w:pPr>
        <w:pStyle w:val="ListParagraph"/>
        <w:numPr>
          <w:ilvl w:val="1"/>
          <w:numId w:val="57"/>
        </w:numPr>
        <w:tabs>
          <w:tab w:val="left" w:pos="1495"/>
        </w:tabs>
        <w:spacing w:before="172"/>
        <w:ind w:left="1495" w:hanging="340"/>
        <w:rPr>
          <w:sz w:val="20"/>
        </w:rPr>
      </w:pPr>
      <w:r>
        <w:rPr>
          <w:sz w:val="20"/>
        </w:rPr>
        <w:t>Commenting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pacing w:val="-2"/>
          <w:sz w:val="20"/>
        </w:rPr>
        <w:t>media</w:t>
      </w:r>
    </w:p>
    <w:p w14:paraId="042C204C" w14:textId="77777777" w:rsidR="00AC6F3C" w:rsidRDefault="00570E88">
      <w:pPr>
        <w:pStyle w:val="ListParagraph"/>
        <w:numPr>
          <w:ilvl w:val="1"/>
          <w:numId w:val="57"/>
        </w:numPr>
        <w:tabs>
          <w:tab w:val="left" w:pos="1495"/>
        </w:tabs>
        <w:ind w:left="1495" w:hanging="340"/>
        <w:rPr>
          <w:sz w:val="20"/>
        </w:rPr>
      </w:pPr>
      <w:r>
        <w:rPr>
          <w:sz w:val="20"/>
        </w:rPr>
        <w:t>Ethical</w:t>
      </w:r>
      <w:r>
        <w:rPr>
          <w:spacing w:val="-4"/>
          <w:sz w:val="20"/>
        </w:rPr>
        <w:t xml:space="preserve"> </w:t>
      </w:r>
      <w:r>
        <w:rPr>
          <w:sz w:val="20"/>
        </w:rPr>
        <w:t>issues</w:t>
      </w:r>
      <w:r>
        <w:rPr>
          <w:spacing w:val="-3"/>
          <w:sz w:val="20"/>
        </w:rPr>
        <w:t xml:space="preserve"> </w:t>
      </w:r>
      <w:r>
        <w:rPr>
          <w:sz w:val="20"/>
        </w:rPr>
        <w:t>when</w:t>
      </w:r>
      <w:r>
        <w:rPr>
          <w:spacing w:val="-3"/>
          <w:sz w:val="20"/>
        </w:rPr>
        <w:t xml:space="preserve"> </w:t>
      </w:r>
      <w:r>
        <w:rPr>
          <w:sz w:val="20"/>
        </w:rPr>
        <w:t>acting</w:t>
      </w:r>
      <w:r>
        <w:rPr>
          <w:spacing w:val="-3"/>
          <w:sz w:val="20"/>
        </w:rPr>
        <w:t xml:space="preserve"> </w:t>
      </w:r>
      <w:r>
        <w:rPr>
          <w:sz w:val="20"/>
        </w:rPr>
        <w:t>for</w:t>
      </w:r>
      <w:r>
        <w:rPr>
          <w:spacing w:val="-3"/>
          <w:sz w:val="20"/>
        </w:rPr>
        <w:t xml:space="preserve"> </w:t>
      </w:r>
      <w:r>
        <w:rPr>
          <w:sz w:val="20"/>
        </w:rPr>
        <w:t>insured</w:t>
      </w:r>
      <w:r>
        <w:rPr>
          <w:spacing w:val="-3"/>
          <w:sz w:val="20"/>
        </w:rPr>
        <w:t xml:space="preserve"> </w:t>
      </w:r>
      <w:r>
        <w:rPr>
          <w:sz w:val="20"/>
        </w:rPr>
        <w:t>and</w:t>
      </w:r>
      <w:r>
        <w:rPr>
          <w:spacing w:val="-3"/>
          <w:sz w:val="20"/>
        </w:rPr>
        <w:t xml:space="preserve"> </w:t>
      </w:r>
      <w:proofErr w:type="gramStart"/>
      <w:r>
        <w:rPr>
          <w:spacing w:val="-2"/>
          <w:sz w:val="20"/>
        </w:rPr>
        <w:t>insurer</w:t>
      </w:r>
      <w:proofErr w:type="gramEnd"/>
    </w:p>
    <w:p w14:paraId="2BDFB8BC" w14:textId="77777777" w:rsidR="00AC6F3C" w:rsidRDefault="00570E88">
      <w:pPr>
        <w:pStyle w:val="ListParagraph"/>
        <w:numPr>
          <w:ilvl w:val="1"/>
          <w:numId w:val="57"/>
        </w:numPr>
        <w:tabs>
          <w:tab w:val="left" w:pos="1495"/>
        </w:tabs>
        <w:ind w:left="1495" w:hanging="340"/>
        <w:rPr>
          <w:sz w:val="20"/>
        </w:rPr>
      </w:pPr>
      <w:r>
        <w:rPr>
          <w:sz w:val="20"/>
        </w:rPr>
        <w:t>Notifying</w:t>
      </w:r>
      <w:r>
        <w:rPr>
          <w:spacing w:val="-4"/>
          <w:sz w:val="20"/>
        </w:rPr>
        <w:t xml:space="preserve"> </w:t>
      </w:r>
      <w:r>
        <w:rPr>
          <w:sz w:val="20"/>
        </w:rPr>
        <w:t>opponents</w:t>
      </w:r>
      <w:r>
        <w:rPr>
          <w:spacing w:val="-4"/>
          <w:sz w:val="20"/>
        </w:rPr>
        <w:t xml:space="preserve"> </w:t>
      </w:r>
      <w:r>
        <w:rPr>
          <w:sz w:val="20"/>
        </w:rPr>
        <w:t>when</w:t>
      </w:r>
      <w:r>
        <w:rPr>
          <w:spacing w:val="-4"/>
          <w:sz w:val="20"/>
        </w:rPr>
        <w:t xml:space="preserve"> </w:t>
      </w:r>
      <w:r>
        <w:rPr>
          <w:sz w:val="20"/>
        </w:rPr>
        <w:t>communicating</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court,</w:t>
      </w:r>
      <w:r>
        <w:rPr>
          <w:spacing w:val="-4"/>
          <w:sz w:val="20"/>
        </w:rPr>
        <w:t xml:space="preserve"> </w:t>
      </w:r>
      <w:r>
        <w:rPr>
          <w:spacing w:val="-5"/>
          <w:sz w:val="20"/>
        </w:rPr>
        <w:t>and</w:t>
      </w:r>
    </w:p>
    <w:p w14:paraId="40BED5D2" w14:textId="77777777" w:rsidR="00AC6F3C" w:rsidRDefault="00570E88">
      <w:pPr>
        <w:pStyle w:val="ListParagraph"/>
        <w:numPr>
          <w:ilvl w:val="1"/>
          <w:numId w:val="57"/>
        </w:numPr>
        <w:tabs>
          <w:tab w:val="left" w:pos="1495"/>
        </w:tabs>
        <w:ind w:left="1495" w:hanging="340"/>
        <w:rPr>
          <w:sz w:val="20"/>
        </w:rPr>
      </w:pPr>
      <w:r>
        <w:rPr>
          <w:sz w:val="20"/>
        </w:rPr>
        <w:t>Ethical</w:t>
      </w:r>
      <w:r>
        <w:rPr>
          <w:spacing w:val="-4"/>
          <w:sz w:val="20"/>
        </w:rPr>
        <w:t xml:space="preserve"> </w:t>
      </w:r>
      <w:r>
        <w:rPr>
          <w:sz w:val="20"/>
        </w:rPr>
        <w:t>issues</w:t>
      </w:r>
      <w:r>
        <w:rPr>
          <w:spacing w:val="-4"/>
          <w:sz w:val="20"/>
        </w:rPr>
        <w:t xml:space="preserve"> </w:t>
      </w:r>
      <w:r>
        <w:rPr>
          <w:sz w:val="20"/>
        </w:rPr>
        <w:t>regarding</w:t>
      </w:r>
      <w:r>
        <w:rPr>
          <w:spacing w:val="-3"/>
          <w:sz w:val="20"/>
        </w:rPr>
        <w:t xml:space="preserve"> </w:t>
      </w:r>
      <w:r>
        <w:rPr>
          <w:sz w:val="20"/>
        </w:rPr>
        <w:t>internships</w:t>
      </w:r>
      <w:r>
        <w:rPr>
          <w:spacing w:val="-4"/>
          <w:sz w:val="20"/>
        </w:rPr>
        <w:t xml:space="preserve"> </w:t>
      </w:r>
      <w:r>
        <w:rPr>
          <w:sz w:val="20"/>
        </w:rPr>
        <w:t>and</w:t>
      </w:r>
      <w:r>
        <w:rPr>
          <w:spacing w:val="-3"/>
          <w:sz w:val="20"/>
        </w:rPr>
        <w:t xml:space="preserve"> </w:t>
      </w:r>
      <w:r>
        <w:rPr>
          <w:sz w:val="20"/>
        </w:rPr>
        <w:t>work</w:t>
      </w:r>
      <w:r>
        <w:rPr>
          <w:spacing w:val="-4"/>
          <w:sz w:val="20"/>
        </w:rPr>
        <w:t xml:space="preserve"> </w:t>
      </w:r>
      <w:r>
        <w:rPr>
          <w:sz w:val="20"/>
        </w:rPr>
        <w:t>experience</w:t>
      </w:r>
      <w:r>
        <w:rPr>
          <w:spacing w:val="-3"/>
          <w:sz w:val="20"/>
        </w:rPr>
        <w:t xml:space="preserve"> </w:t>
      </w:r>
      <w:r>
        <w:rPr>
          <w:spacing w:val="-2"/>
          <w:sz w:val="20"/>
        </w:rPr>
        <w:t>students.</w:t>
      </w:r>
    </w:p>
    <w:p w14:paraId="741DA4BD" w14:textId="77777777" w:rsidR="00AC6F3C" w:rsidRDefault="00570E88">
      <w:pPr>
        <w:pStyle w:val="ListParagraph"/>
        <w:numPr>
          <w:ilvl w:val="0"/>
          <w:numId w:val="57"/>
        </w:numPr>
        <w:tabs>
          <w:tab w:val="left" w:pos="1155"/>
        </w:tabs>
        <w:spacing w:line="249" w:lineRule="auto"/>
        <w:ind w:right="126"/>
        <w:rPr>
          <w:sz w:val="20"/>
        </w:rPr>
      </w:pPr>
      <w:r>
        <w:rPr>
          <w:sz w:val="20"/>
        </w:rPr>
        <w:t xml:space="preserve">The Rules Review Sub-committee has had continued oversight and review of the </w:t>
      </w:r>
      <w:r>
        <w:rPr>
          <w:i/>
          <w:sz w:val="20"/>
        </w:rPr>
        <w:t>Australian Solicitor Conduct</w:t>
      </w:r>
      <w:r>
        <w:rPr>
          <w:i/>
          <w:spacing w:val="-2"/>
          <w:sz w:val="20"/>
        </w:rPr>
        <w:t xml:space="preserve"> </w:t>
      </w:r>
      <w:r>
        <w:rPr>
          <w:i/>
          <w:sz w:val="20"/>
        </w:rPr>
        <w:t>Rules</w:t>
      </w:r>
      <w:r>
        <w:rPr>
          <w:i/>
          <w:spacing w:val="-2"/>
          <w:sz w:val="20"/>
        </w:rPr>
        <w:t xml:space="preserve"> </w:t>
      </w:r>
      <w:r>
        <w:rPr>
          <w:i/>
          <w:sz w:val="20"/>
        </w:rPr>
        <w:t>2012</w:t>
      </w:r>
      <w:r>
        <w:rPr>
          <w:i/>
          <w:spacing w:val="-3"/>
          <w:sz w:val="20"/>
        </w:rPr>
        <w:t xml:space="preserve"> </w:t>
      </w:r>
      <w:r>
        <w:rPr>
          <w:sz w:val="20"/>
        </w:rPr>
        <w:t>(ASCR).</w:t>
      </w:r>
      <w:r>
        <w:rPr>
          <w:spacing w:val="-6"/>
          <w:sz w:val="20"/>
        </w:rPr>
        <w:t xml:space="preserve"> </w:t>
      </w:r>
      <w:r>
        <w:rPr>
          <w:sz w:val="20"/>
        </w:rPr>
        <w:t>The</w:t>
      </w:r>
      <w:r>
        <w:rPr>
          <w:spacing w:val="-2"/>
          <w:sz w:val="20"/>
        </w:rPr>
        <w:t xml:space="preserve"> </w:t>
      </w:r>
      <w:r>
        <w:rPr>
          <w:sz w:val="20"/>
        </w:rPr>
        <w:t>review</w:t>
      </w:r>
      <w:r>
        <w:rPr>
          <w:spacing w:val="-2"/>
          <w:sz w:val="20"/>
        </w:rPr>
        <w:t xml:space="preserve"> </w:t>
      </w:r>
      <w:r>
        <w:rPr>
          <w:sz w:val="20"/>
        </w:rPr>
        <w:t>of</w:t>
      </w:r>
      <w:r>
        <w:rPr>
          <w:spacing w:val="-2"/>
          <w:sz w:val="20"/>
        </w:rPr>
        <w:t xml:space="preserve"> </w:t>
      </w:r>
      <w:r>
        <w:rPr>
          <w:sz w:val="20"/>
        </w:rPr>
        <w:t>the</w:t>
      </w:r>
      <w:r>
        <w:rPr>
          <w:spacing w:val="-13"/>
          <w:sz w:val="20"/>
        </w:rPr>
        <w:t xml:space="preserve"> </w:t>
      </w:r>
      <w:r>
        <w:rPr>
          <w:sz w:val="20"/>
        </w:rPr>
        <w:t>ASCR</w:t>
      </w:r>
      <w:r>
        <w:rPr>
          <w:spacing w:val="-2"/>
          <w:sz w:val="20"/>
        </w:rPr>
        <w:t xml:space="preserve"> </w:t>
      </w:r>
      <w:r>
        <w:rPr>
          <w:sz w:val="20"/>
        </w:rPr>
        <w:t>went</w:t>
      </w:r>
      <w:r>
        <w:rPr>
          <w:spacing w:val="-2"/>
          <w:sz w:val="20"/>
        </w:rPr>
        <w:t xml:space="preserve"> </w:t>
      </w:r>
      <w:r>
        <w:rPr>
          <w:sz w:val="20"/>
        </w:rPr>
        <w:t>out</w:t>
      </w:r>
      <w:r>
        <w:rPr>
          <w:spacing w:val="-2"/>
          <w:sz w:val="20"/>
        </w:rPr>
        <w:t xml:space="preserve"> </w:t>
      </w:r>
      <w:r>
        <w:rPr>
          <w:sz w:val="20"/>
        </w:rPr>
        <w:t>for</w:t>
      </w:r>
      <w:r>
        <w:rPr>
          <w:spacing w:val="-2"/>
          <w:sz w:val="20"/>
        </w:rPr>
        <w:t xml:space="preserve"> </w:t>
      </w:r>
      <w:r>
        <w:rPr>
          <w:sz w:val="20"/>
        </w:rPr>
        <w:t>consultation</w:t>
      </w:r>
      <w:r>
        <w:rPr>
          <w:spacing w:val="-2"/>
          <w:sz w:val="20"/>
        </w:rPr>
        <w:t xml:space="preserve"> </w:t>
      </w:r>
      <w:r>
        <w:rPr>
          <w:sz w:val="20"/>
        </w:rPr>
        <w:t>to</w:t>
      </w:r>
      <w:r>
        <w:rPr>
          <w:spacing w:val="-2"/>
          <w:sz w:val="20"/>
        </w:rPr>
        <w:t xml:space="preserve"> </w:t>
      </w:r>
      <w:r>
        <w:rPr>
          <w:sz w:val="20"/>
        </w:rPr>
        <w:t>both</w:t>
      </w:r>
      <w:r>
        <w:rPr>
          <w:spacing w:val="-2"/>
          <w:sz w:val="20"/>
        </w:rPr>
        <w:t xml:space="preserve"> </w:t>
      </w:r>
      <w:r>
        <w:rPr>
          <w:sz w:val="20"/>
        </w:rPr>
        <w:t>the</w:t>
      </w:r>
      <w:r>
        <w:rPr>
          <w:spacing w:val="-2"/>
          <w:sz w:val="20"/>
        </w:rPr>
        <w:t xml:space="preserve"> </w:t>
      </w:r>
      <w:r>
        <w:rPr>
          <w:sz w:val="20"/>
        </w:rPr>
        <w:t>profession and</w:t>
      </w:r>
      <w:r>
        <w:rPr>
          <w:spacing w:val="-1"/>
          <w:sz w:val="20"/>
        </w:rPr>
        <w:t xml:space="preserve"> </w:t>
      </w:r>
      <w:r>
        <w:rPr>
          <w:sz w:val="20"/>
        </w:rPr>
        <w:t>the</w:t>
      </w:r>
      <w:r>
        <w:rPr>
          <w:spacing w:val="-1"/>
          <w:sz w:val="20"/>
        </w:rPr>
        <w:t xml:space="preserve"> </w:t>
      </w:r>
      <w:r>
        <w:rPr>
          <w:sz w:val="20"/>
        </w:rPr>
        <w:t>community</w:t>
      </w:r>
      <w:r>
        <w:rPr>
          <w:spacing w:val="-1"/>
          <w:sz w:val="20"/>
        </w:rPr>
        <w:t xml:space="preserve"> </w:t>
      </w:r>
      <w:r>
        <w:rPr>
          <w:sz w:val="20"/>
        </w:rPr>
        <w:t>last</w:t>
      </w:r>
      <w:r>
        <w:rPr>
          <w:spacing w:val="-1"/>
          <w:sz w:val="20"/>
        </w:rPr>
        <w:t xml:space="preserve"> </w:t>
      </w:r>
      <w:r>
        <w:rPr>
          <w:sz w:val="20"/>
        </w:rPr>
        <w:t>year</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Sub-committee</w:t>
      </w:r>
      <w:r>
        <w:rPr>
          <w:spacing w:val="-1"/>
          <w:sz w:val="20"/>
        </w:rPr>
        <w:t xml:space="preserve"> </w:t>
      </w:r>
      <w:r>
        <w:rPr>
          <w:sz w:val="20"/>
        </w:rPr>
        <w:t>have</w:t>
      </w:r>
      <w:r>
        <w:rPr>
          <w:spacing w:val="-1"/>
          <w:sz w:val="20"/>
        </w:rPr>
        <w:t xml:space="preserve"> </w:t>
      </w:r>
      <w:r>
        <w:rPr>
          <w:sz w:val="20"/>
        </w:rPr>
        <w:t>made</w:t>
      </w:r>
      <w:r>
        <w:rPr>
          <w:spacing w:val="-1"/>
          <w:sz w:val="20"/>
        </w:rPr>
        <w:t xml:space="preserve"> </w:t>
      </w:r>
      <w:r>
        <w:rPr>
          <w:sz w:val="20"/>
        </w:rPr>
        <w:t>their</w:t>
      </w:r>
      <w:r>
        <w:rPr>
          <w:spacing w:val="-1"/>
          <w:sz w:val="20"/>
        </w:rPr>
        <w:t xml:space="preserve"> </w:t>
      </w:r>
      <w:r>
        <w:rPr>
          <w:sz w:val="20"/>
        </w:rPr>
        <w:t>recommendations</w:t>
      </w:r>
      <w:r>
        <w:rPr>
          <w:spacing w:val="-1"/>
          <w:sz w:val="20"/>
        </w:rPr>
        <w:t xml:space="preserve"> </w:t>
      </w:r>
      <w:r>
        <w:rPr>
          <w:sz w:val="20"/>
        </w:rPr>
        <w:t>to</w:t>
      </w:r>
      <w:r>
        <w:rPr>
          <w:spacing w:val="-1"/>
          <w:sz w:val="20"/>
        </w:rPr>
        <w:t xml:space="preserve"> </w:t>
      </w:r>
      <w:r>
        <w:rPr>
          <w:sz w:val="20"/>
        </w:rPr>
        <w:t>Council</w:t>
      </w:r>
      <w:r>
        <w:rPr>
          <w:spacing w:val="-1"/>
          <w:sz w:val="20"/>
        </w:rPr>
        <w:t xml:space="preserve"> </w:t>
      </w:r>
      <w:r>
        <w:rPr>
          <w:sz w:val="20"/>
        </w:rPr>
        <w:t>on the proposed changes.</w:t>
      </w:r>
    </w:p>
    <w:p w14:paraId="3045E37E" w14:textId="77777777" w:rsidR="00AC6F3C" w:rsidRDefault="00570E88">
      <w:pPr>
        <w:pStyle w:val="ListParagraph"/>
        <w:numPr>
          <w:ilvl w:val="0"/>
          <w:numId w:val="57"/>
        </w:numPr>
        <w:tabs>
          <w:tab w:val="left" w:pos="1155"/>
        </w:tabs>
        <w:spacing w:before="173" w:line="249" w:lineRule="auto"/>
        <w:ind w:right="271"/>
        <w:rPr>
          <w:sz w:val="20"/>
        </w:rPr>
      </w:pPr>
      <w:r>
        <w:rPr>
          <w:sz w:val="20"/>
        </w:rPr>
        <w:t>National Ethics Solicitors Forum: This group consists of ethics solicitors from law societies from various</w:t>
      </w:r>
      <w:r>
        <w:rPr>
          <w:spacing w:val="-3"/>
          <w:sz w:val="20"/>
        </w:rPr>
        <w:t xml:space="preserve"> </w:t>
      </w:r>
      <w:proofErr w:type="gramStart"/>
      <w:r>
        <w:rPr>
          <w:sz w:val="20"/>
        </w:rPr>
        <w:t>jurisdictions</w:t>
      </w:r>
      <w:proofErr w:type="gramEnd"/>
      <w:r>
        <w:rPr>
          <w:spacing w:val="-3"/>
          <w:sz w:val="20"/>
        </w:rPr>
        <w:t xml:space="preserve"> </w:t>
      </w:r>
      <w:r>
        <w:rPr>
          <w:sz w:val="20"/>
        </w:rPr>
        <w:t>across</w:t>
      </w:r>
      <w:r>
        <w:rPr>
          <w:spacing w:val="-3"/>
          <w:sz w:val="20"/>
        </w:rPr>
        <w:t xml:space="preserve"> </w:t>
      </w:r>
      <w:r>
        <w:rPr>
          <w:sz w:val="20"/>
        </w:rPr>
        <w:t>the</w:t>
      </w:r>
      <w:r>
        <w:rPr>
          <w:spacing w:val="-3"/>
          <w:sz w:val="20"/>
        </w:rPr>
        <w:t xml:space="preserve"> </w:t>
      </w:r>
      <w:r>
        <w:rPr>
          <w:sz w:val="20"/>
        </w:rPr>
        <w:t>country</w:t>
      </w:r>
      <w:r>
        <w:rPr>
          <w:spacing w:val="-3"/>
          <w:sz w:val="20"/>
        </w:rPr>
        <w:t xml:space="preserve"> </w:t>
      </w:r>
      <w:r>
        <w:rPr>
          <w:sz w:val="20"/>
        </w:rPr>
        <w:t>and</w:t>
      </w:r>
      <w:r>
        <w:rPr>
          <w:spacing w:val="-3"/>
          <w:sz w:val="20"/>
        </w:rPr>
        <w:t xml:space="preserve"> </w:t>
      </w:r>
      <w:r>
        <w:rPr>
          <w:sz w:val="20"/>
        </w:rPr>
        <w:t>continues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facilitated</w:t>
      </w:r>
      <w:r>
        <w:rPr>
          <w:spacing w:val="-3"/>
          <w:sz w:val="20"/>
        </w:rPr>
        <w:t xml:space="preserve"> </w:t>
      </w:r>
      <w:r>
        <w:rPr>
          <w:sz w:val="20"/>
        </w:rPr>
        <w:t>by</w:t>
      </w:r>
      <w:r>
        <w:rPr>
          <w:spacing w:val="-3"/>
          <w:sz w:val="20"/>
        </w:rPr>
        <w:t xml:space="preserve"> </w:t>
      </w:r>
      <w:r>
        <w:rPr>
          <w:sz w:val="20"/>
        </w:rPr>
        <w:t>QLS.</w:t>
      </w:r>
      <w:r>
        <w:rPr>
          <w:spacing w:val="-7"/>
          <w:sz w:val="20"/>
        </w:rPr>
        <w:t xml:space="preserve"> </w:t>
      </w:r>
      <w:r>
        <w:rPr>
          <w:sz w:val="20"/>
        </w:rPr>
        <w:t>The</w:t>
      </w:r>
      <w:r>
        <w:rPr>
          <w:spacing w:val="-3"/>
          <w:sz w:val="20"/>
        </w:rPr>
        <w:t xml:space="preserve"> </w:t>
      </w:r>
      <w:r>
        <w:rPr>
          <w:sz w:val="20"/>
        </w:rPr>
        <w:t>Forum</w:t>
      </w:r>
      <w:r>
        <w:rPr>
          <w:spacing w:val="-3"/>
          <w:sz w:val="20"/>
        </w:rPr>
        <w:t xml:space="preserve"> </w:t>
      </w:r>
      <w:r>
        <w:rPr>
          <w:sz w:val="20"/>
        </w:rPr>
        <w:t xml:space="preserve">maintains connectivity between the different </w:t>
      </w:r>
      <w:proofErr w:type="gramStart"/>
      <w:r>
        <w:rPr>
          <w:sz w:val="20"/>
        </w:rPr>
        <w:t>jurisdictions</w:t>
      </w:r>
      <w:proofErr w:type="gramEnd"/>
      <w:r>
        <w:rPr>
          <w:sz w:val="20"/>
        </w:rPr>
        <w:t>.</w:t>
      </w:r>
    </w:p>
    <w:p w14:paraId="043523EE" w14:textId="77777777" w:rsidR="00AC6F3C" w:rsidRDefault="00570E88">
      <w:pPr>
        <w:pStyle w:val="ListParagraph"/>
        <w:numPr>
          <w:ilvl w:val="0"/>
          <w:numId w:val="57"/>
        </w:numPr>
        <w:tabs>
          <w:tab w:val="left" w:pos="1155"/>
        </w:tabs>
        <w:spacing w:before="173" w:line="249" w:lineRule="auto"/>
        <w:ind w:right="286"/>
        <w:rPr>
          <w:sz w:val="20"/>
        </w:rPr>
      </w:pPr>
      <w:r>
        <w:rPr>
          <w:sz w:val="20"/>
        </w:rPr>
        <w:t>Policy</w:t>
      </w:r>
      <w:r>
        <w:rPr>
          <w:spacing w:val="-7"/>
          <w:sz w:val="20"/>
        </w:rPr>
        <w:t xml:space="preserve"> </w:t>
      </w:r>
      <w:r>
        <w:rPr>
          <w:sz w:val="20"/>
        </w:rPr>
        <w:t>committees:</w:t>
      </w:r>
      <w:r>
        <w:rPr>
          <w:spacing w:val="-7"/>
          <w:sz w:val="20"/>
        </w:rPr>
        <w:t xml:space="preserve"> </w:t>
      </w:r>
      <w:r>
        <w:rPr>
          <w:sz w:val="20"/>
        </w:rPr>
        <w:t>the</w:t>
      </w:r>
      <w:r>
        <w:rPr>
          <w:spacing w:val="-7"/>
          <w:sz w:val="20"/>
        </w:rPr>
        <w:t xml:space="preserve"> </w:t>
      </w:r>
      <w:r>
        <w:rPr>
          <w:sz w:val="20"/>
        </w:rPr>
        <w:t>Centre’s</w:t>
      </w:r>
      <w:r>
        <w:rPr>
          <w:spacing w:val="-7"/>
          <w:sz w:val="20"/>
        </w:rPr>
        <w:t xml:space="preserve"> </w:t>
      </w:r>
      <w:r>
        <w:rPr>
          <w:sz w:val="20"/>
        </w:rPr>
        <w:t>solicitors</w:t>
      </w:r>
      <w:r>
        <w:rPr>
          <w:spacing w:val="-7"/>
          <w:sz w:val="20"/>
        </w:rPr>
        <w:t xml:space="preserve"> </w:t>
      </w:r>
      <w:r>
        <w:rPr>
          <w:sz w:val="20"/>
        </w:rPr>
        <w:t>have</w:t>
      </w:r>
      <w:r>
        <w:rPr>
          <w:spacing w:val="-7"/>
          <w:sz w:val="20"/>
        </w:rPr>
        <w:t xml:space="preserve"> </w:t>
      </w:r>
      <w:r>
        <w:rPr>
          <w:sz w:val="20"/>
        </w:rPr>
        <w:t>contributed</w:t>
      </w:r>
      <w:r>
        <w:rPr>
          <w:spacing w:val="-7"/>
          <w:sz w:val="20"/>
        </w:rPr>
        <w:t xml:space="preserve"> </w:t>
      </w:r>
      <w:r>
        <w:rPr>
          <w:sz w:val="20"/>
        </w:rPr>
        <w:t>to</w:t>
      </w:r>
      <w:r>
        <w:rPr>
          <w:spacing w:val="-7"/>
          <w:sz w:val="20"/>
        </w:rPr>
        <w:t xml:space="preserve"> </w:t>
      </w:r>
      <w:r>
        <w:rPr>
          <w:sz w:val="20"/>
        </w:rPr>
        <w:t>relevant</w:t>
      </w:r>
      <w:r>
        <w:rPr>
          <w:spacing w:val="-7"/>
          <w:sz w:val="20"/>
        </w:rPr>
        <w:t xml:space="preserve"> </w:t>
      </w:r>
      <w:r>
        <w:rPr>
          <w:sz w:val="20"/>
        </w:rPr>
        <w:t>policy</w:t>
      </w:r>
      <w:r>
        <w:rPr>
          <w:spacing w:val="-7"/>
          <w:sz w:val="20"/>
        </w:rPr>
        <w:t xml:space="preserve"> </w:t>
      </w:r>
      <w:r>
        <w:rPr>
          <w:sz w:val="20"/>
        </w:rPr>
        <w:t>committee</w:t>
      </w:r>
      <w:r>
        <w:rPr>
          <w:spacing w:val="-7"/>
          <w:sz w:val="20"/>
        </w:rPr>
        <w:t xml:space="preserve"> </w:t>
      </w:r>
      <w:r>
        <w:rPr>
          <w:sz w:val="20"/>
        </w:rPr>
        <w:t xml:space="preserve">submissions </w:t>
      </w:r>
      <w:r>
        <w:rPr>
          <w:spacing w:val="-2"/>
          <w:sz w:val="20"/>
        </w:rPr>
        <w:t>when</w:t>
      </w:r>
      <w:r>
        <w:rPr>
          <w:spacing w:val="-5"/>
          <w:sz w:val="20"/>
        </w:rPr>
        <w:t xml:space="preserve"> </w:t>
      </w:r>
      <w:r>
        <w:rPr>
          <w:spacing w:val="-2"/>
          <w:sz w:val="20"/>
        </w:rPr>
        <w:t>required.</w:t>
      </w:r>
      <w:r>
        <w:rPr>
          <w:spacing w:val="-9"/>
          <w:sz w:val="20"/>
        </w:rPr>
        <w:t xml:space="preserve"> </w:t>
      </w:r>
      <w:r>
        <w:rPr>
          <w:spacing w:val="-2"/>
          <w:sz w:val="20"/>
        </w:rPr>
        <w:t>This</w:t>
      </w:r>
      <w:r>
        <w:rPr>
          <w:spacing w:val="-5"/>
          <w:sz w:val="20"/>
        </w:rPr>
        <w:t xml:space="preserve"> </w:t>
      </w:r>
      <w:r>
        <w:rPr>
          <w:spacing w:val="-2"/>
          <w:sz w:val="20"/>
        </w:rPr>
        <w:t>year,</w:t>
      </w:r>
      <w:r>
        <w:rPr>
          <w:spacing w:val="-5"/>
          <w:sz w:val="20"/>
        </w:rPr>
        <w:t xml:space="preserve"> </w:t>
      </w:r>
      <w:r>
        <w:rPr>
          <w:spacing w:val="-2"/>
          <w:sz w:val="20"/>
        </w:rPr>
        <w:t>the</w:t>
      </w:r>
      <w:r>
        <w:rPr>
          <w:spacing w:val="-5"/>
          <w:sz w:val="20"/>
        </w:rPr>
        <w:t xml:space="preserve"> </w:t>
      </w:r>
      <w:r>
        <w:rPr>
          <w:spacing w:val="-2"/>
          <w:sz w:val="20"/>
        </w:rPr>
        <w:t>Centre</w:t>
      </w:r>
      <w:r>
        <w:rPr>
          <w:spacing w:val="-5"/>
          <w:sz w:val="20"/>
        </w:rPr>
        <w:t xml:space="preserve"> </w:t>
      </w:r>
      <w:r>
        <w:rPr>
          <w:spacing w:val="-2"/>
          <w:sz w:val="20"/>
        </w:rPr>
        <w:t>has</w:t>
      </w:r>
      <w:r>
        <w:rPr>
          <w:spacing w:val="-5"/>
          <w:sz w:val="20"/>
        </w:rPr>
        <w:t xml:space="preserve"> </w:t>
      </w:r>
      <w:r>
        <w:rPr>
          <w:spacing w:val="-2"/>
          <w:sz w:val="20"/>
        </w:rPr>
        <w:t>advocated</w:t>
      </w:r>
      <w:r>
        <w:rPr>
          <w:spacing w:val="-5"/>
          <w:sz w:val="20"/>
        </w:rPr>
        <w:t xml:space="preserve"> </w:t>
      </w:r>
      <w:r>
        <w:rPr>
          <w:spacing w:val="-2"/>
          <w:sz w:val="20"/>
        </w:rPr>
        <w:t>for</w:t>
      </w:r>
      <w:r>
        <w:rPr>
          <w:spacing w:val="-5"/>
          <w:sz w:val="20"/>
        </w:rPr>
        <w:t xml:space="preserve"> </w:t>
      </w:r>
      <w:r>
        <w:rPr>
          <w:spacing w:val="-2"/>
          <w:sz w:val="20"/>
        </w:rPr>
        <w:t>the</w:t>
      </w:r>
      <w:r>
        <w:rPr>
          <w:spacing w:val="-5"/>
          <w:sz w:val="20"/>
        </w:rPr>
        <w:t xml:space="preserve"> </w:t>
      </w:r>
      <w:r>
        <w:rPr>
          <w:spacing w:val="-2"/>
          <w:sz w:val="20"/>
        </w:rPr>
        <w:t>legislative</w:t>
      </w:r>
      <w:r>
        <w:rPr>
          <w:spacing w:val="-5"/>
          <w:sz w:val="20"/>
        </w:rPr>
        <w:t xml:space="preserve"> </w:t>
      </w:r>
      <w:r>
        <w:rPr>
          <w:spacing w:val="-2"/>
          <w:sz w:val="20"/>
        </w:rPr>
        <w:t>changes</w:t>
      </w:r>
      <w:r>
        <w:rPr>
          <w:spacing w:val="-5"/>
          <w:sz w:val="20"/>
        </w:rPr>
        <w:t xml:space="preserve"> </w:t>
      </w:r>
      <w:r>
        <w:rPr>
          <w:spacing w:val="-2"/>
          <w:sz w:val="20"/>
        </w:rPr>
        <w:t>in</w:t>
      </w:r>
      <w:r>
        <w:rPr>
          <w:spacing w:val="-5"/>
          <w:sz w:val="20"/>
        </w:rPr>
        <w:t xml:space="preserve"> </w:t>
      </w:r>
      <w:r>
        <w:rPr>
          <w:spacing w:val="-2"/>
          <w:sz w:val="20"/>
        </w:rPr>
        <w:t>the</w:t>
      </w:r>
      <w:r>
        <w:rPr>
          <w:spacing w:val="-5"/>
          <w:sz w:val="20"/>
        </w:rPr>
        <w:t xml:space="preserve"> </w:t>
      </w:r>
      <w:r>
        <w:rPr>
          <w:spacing w:val="-2"/>
          <w:sz w:val="20"/>
        </w:rPr>
        <w:t>Legal</w:t>
      </w:r>
      <w:r>
        <w:rPr>
          <w:spacing w:val="-5"/>
          <w:sz w:val="20"/>
        </w:rPr>
        <w:t xml:space="preserve"> </w:t>
      </w:r>
      <w:r>
        <w:rPr>
          <w:spacing w:val="-2"/>
          <w:sz w:val="20"/>
        </w:rPr>
        <w:t xml:space="preserve">Profession </w:t>
      </w:r>
      <w:r>
        <w:rPr>
          <w:sz w:val="20"/>
        </w:rPr>
        <w:t>Act</w:t>
      </w:r>
      <w:r>
        <w:rPr>
          <w:spacing w:val="-7"/>
          <w:sz w:val="20"/>
        </w:rPr>
        <w:t xml:space="preserve"> </w:t>
      </w:r>
      <w:r>
        <w:rPr>
          <w:sz w:val="20"/>
        </w:rPr>
        <w:t>regarding</w:t>
      </w:r>
      <w:r>
        <w:rPr>
          <w:spacing w:val="-7"/>
          <w:sz w:val="20"/>
        </w:rPr>
        <w:t xml:space="preserve"> </w:t>
      </w:r>
      <w:r>
        <w:rPr>
          <w:sz w:val="20"/>
        </w:rPr>
        <w:t>destruction</w:t>
      </w:r>
      <w:r>
        <w:rPr>
          <w:spacing w:val="-7"/>
          <w:sz w:val="20"/>
        </w:rPr>
        <w:t xml:space="preserve"> </w:t>
      </w:r>
      <w:r>
        <w:rPr>
          <w:sz w:val="20"/>
        </w:rPr>
        <w:t>of</w:t>
      </w:r>
      <w:r>
        <w:rPr>
          <w:spacing w:val="-7"/>
          <w:sz w:val="20"/>
        </w:rPr>
        <w:t xml:space="preserve"> </w:t>
      </w:r>
      <w:r>
        <w:rPr>
          <w:sz w:val="20"/>
        </w:rPr>
        <w:t>documents</w:t>
      </w:r>
      <w:r>
        <w:rPr>
          <w:spacing w:val="-7"/>
          <w:sz w:val="20"/>
        </w:rPr>
        <w:t xml:space="preserve"> </w:t>
      </w:r>
      <w:r>
        <w:rPr>
          <w:sz w:val="20"/>
        </w:rPr>
        <w:t>and</w:t>
      </w:r>
      <w:r>
        <w:rPr>
          <w:spacing w:val="-7"/>
          <w:sz w:val="20"/>
        </w:rPr>
        <w:t xml:space="preserve"> </w:t>
      </w:r>
      <w:r>
        <w:rPr>
          <w:sz w:val="20"/>
        </w:rPr>
        <w:t>increasing</w:t>
      </w:r>
      <w:r>
        <w:rPr>
          <w:spacing w:val="-7"/>
          <w:sz w:val="20"/>
        </w:rPr>
        <w:t xml:space="preserve"> </w:t>
      </w:r>
      <w:r>
        <w:rPr>
          <w:sz w:val="20"/>
        </w:rPr>
        <w:t>the</w:t>
      </w:r>
      <w:r>
        <w:rPr>
          <w:spacing w:val="-7"/>
          <w:sz w:val="20"/>
        </w:rPr>
        <w:t xml:space="preserve"> </w:t>
      </w:r>
      <w:r>
        <w:rPr>
          <w:sz w:val="20"/>
        </w:rPr>
        <w:t>costs</w:t>
      </w:r>
      <w:r>
        <w:rPr>
          <w:spacing w:val="-7"/>
          <w:sz w:val="20"/>
        </w:rPr>
        <w:t xml:space="preserve"> </w:t>
      </w:r>
      <w:r>
        <w:rPr>
          <w:sz w:val="20"/>
        </w:rPr>
        <w:t>disclosure</w:t>
      </w:r>
      <w:r>
        <w:rPr>
          <w:spacing w:val="-7"/>
          <w:sz w:val="20"/>
        </w:rPr>
        <w:t xml:space="preserve"> </w:t>
      </w:r>
      <w:r>
        <w:rPr>
          <w:sz w:val="20"/>
        </w:rPr>
        <w:t>threshold</w:t>
      </w:r>
      <w:r>
        <w:rPr>
          <w:spacing w:val="-7"/>
          <w:sz w:val="20"/>
        </w:rPr>
        <w:t xml:space="preserve"> </w:t>
      </w:r>
      <w:r>
        <w:rPr>
          <w:sz w:val="20"/>
        </w:rPr>
        <w:t>to</w:t>
      </w:r>
      <w:r>
        <w:rPr>
          <w:spacing w:val="-7"/>
          <w:sz w:val="20"/>
        </w:rPr>
        <w:t xml:space="preserve"> </w:t>
      </w:r>
      <w:r>
        <w:rPr>
          <w:sz w:val="20"/>
        </w:rPr>
        <w:t>$3000.</w:t>
      </w:r>
    </w:p>
    <w:p w14:paraId="05B01C0F" w14:textId="77777777" w:rsidR="00AC6F3C" w:rsidRDefault="00570E88">
      <w:pPr>
        <w:pStyle w:val="BodyText"/>
        <w:spacing w:before="172" w:line="249" w:lineRule="auto"/>
        <w:ind w:left="815"/>
      </w:pPr>
      <w:r>
        <w:t>The</w:t>
      </w:r>
      <w:r>
        <w:rPr>
          <w:spacing w:val="-3"/>
        </w:rPr>
        <w:t xml:space="preserve"> </w:t>
      </w:r>
      <w:r>
        <w:t>QLS</w:t>
      </w:r>
      <w:r>
        <w:rPr>
          <w:spacing w:val="-3"/>
        </w:rPr>
        <w:t xml:space="preserve"> </w:t>
      </w:r>
      <w:r>
        <w:t>Ethics</w:t>
      </w:r>
      <w:r>
        <w:rPr>
          <w:spacing w:val="-3"/>
        </w:rPr>
        <w:t xml:space="preserve"> </w:t>
      </w:r>
      <w:r>
        <w:t>and</w:t>
      </w:r>
      <w:r>
        <w:rPr>
          <w:spacing w:val="-3"/>
        </w:rPr>
        <w:t xml:space="preserve"> </w:t>
      </w:r>
      <w:r>
        <w:t>Practice</w:t>
      </w:r>
      <w:r>
        <w:rPr>
          <w:spacing w:val="-3"/>
        </w:rPr>
        <w:t xml:space="preserve"> </w:t>
      </w:r>
      <w:r>
        <w:t>Centre</w:t>
      </w:r>
      <w:r>
        <w:rPr>
          <w:spacing w:val="-3"/>
        </w:rPr>
        <w:t xml:space="preserve"> </w:t>
      </w:r>
      <w:r>
        <w:t>also</w:t>
      </w:r>
      <w:r>
        <w:rPr>
          <w:spacing w:val="-3"/>
        </w:rPr>
        <w:t xml:space="preserve"> </w:t>
      </w:r>
      <w:r>
        <w:t>provides</w:t>
      </w:r>
      <w:r>
        <w:rPr>
          <w:spacing w:val="-3"/>
        </w:rPr>
        <w:t xml:space="preserve"> </w:t>
      </w:r>
      <w:r>
        <w:t>through</w:t>
      </w:r>
      <w:r>
        <w:rPr>
          <w:spacing w:val="-3"/>
        </w:rPr>
        <w:t xml:space="preserve"> </w:t>
      </w:r>
      <w:r>
        <w:t>its</w:t>
      </w:r>
      <w:r>
        <w:rPr>
          <w:spacing w:val="-3"/>
        </w:rPr>
        <w:t xml:space="preserve"> </w:t>
      </w:r>
      <w:r>
        <w:t>Practice</w:t>
      </w:r>
      <w:r>
        <w:rPr>
          <w:spacing w:val="-14"/>
        </w:rPr>
        <w:t xml:space="preserve"> </w:t>
      </w:r>
      <w:r>
        <w:t>Advisory</w:t>
      </w:r>
      <w:r>
        <w:rPr>
          <w:spacing w:val="-3"/>
        </w:rPr>
        <w:t xml:space="preserve"> </w:t>
      </w:r>
      <w:r>
        <w:t>Service</w:t>
      </w:r>
      <w:r>
        <w:rPr>
          <w:spacing w:val="-3"/>
        </w:rPr>
        <w:t xml:space="preserve"> </w:t>
      </w:r>
      <w:r>
        <w:t>the</w:t>
      </w:r>
      <w:r>
        <w:rPr>
          <w:spacing w:val="-3"/>
        </w:rPr>
        <w:t xml:space="preserve"> </w:t>
      </w:r>
      <w:r>
        <w:t>opportunity</w:t>
      </w:r>
      <w:r>
        <w:rPr>
          <w:spacing w:val="-3"/>
        </w:rPr>
        <w:t xml:space="preserve"> </w:t>
      </w:r>
      <w:r>
        <w:t xml:space="preserve">to meet and discuss a range of practice management and support issues such as appropriate management systems, billing and costings, communications, cyber security, staffing and marketing. </w:t>
      </w:r>
      <w:proofErr w:type="gramStart"/>
      <w:r>
        <w:t>In particular, new</w:t>
      </w:r>
      <w:proofErr w:type="gramEnd"/>
      <w:r>
        <w:t xml:space="preserve"> firms and those in the sole-to-small practice demographic are targeted, although the service is also available to established or merging practices.</w:t>
      </w:r>
    </w:p>
    <w:p w14:paraId="50312093" w14:textId="77777777" w:rsidR="00AC6F3C" w:rsidRDefault="00AC6F3C">
      <w:pPr>
        <w:spacing w:line="249" w:lineRule="auto"/>
        <w:sectPr w:rsidR="00AC6F3C">
          <w:headerReference w:type="default" r:id="rId116"/>
          <w:footerReference w:type="default" r:id="rId117"/>
          <w:pgSz w:w="11910" w:h="16840"/>
          <w:pgMar w:top="980" w:right="1160" w:bottom="520" w:left="460" w:header="0" w:footer="336" w:gutter="0"/>
          <w:cols w:space="720"/>
        </w:sectPr>
      </w:pPr>
    </w:p>
    <w:p w14:paraId="07BB78EE" w14:textId="77777777" w:rsidR="00AC6F3C" w:rsidRDefault="00570E88">
      <w:pPr>
        <w:pStyle w:val="BodyText"/>
        <w:spacing w:before="76"/>
        <w:ind w:left="815"/>
      </w:pPr>
      <w:r>
        <w:lastRenderedPageBreak/>
        <w:t>QLS</w:t>
      </w:r>
      <w:r>
        <w:rPr>
          <w:spacing w:val="-3"/>
        </w:rPr>
        <w:t xml:space="preserve"> </w:t>
      </w:r>
      <w:r>
        <w:t>visited</w:t>
      </w:r>
      <w:r>
        <w:rPr>
          <w:spacing w:val="-2"/>
        </w:rPr>
        <w:t xml:space="preserve"> </w:t>
      </w:r>
      <w:r>
        <w:t>283</w:t>
      </w:r>
      <w:r>
        <w:rPr>
          <w:spacing w:val="-3"/>
        </w:rPr>
        <w:t xml:space="preserve"> </w:t>
      </w:r>
      <w:r>
        <w:t>firms</w:t>
      </w:r>
      <w:r>
        <w:rPr>
          <w:spacing w:val="-2"/>
        </w:rPr>
        <w:t xml:space="preserve"> </w:t>
      </w:r>
      <w:r>
        <w:t>throughout</w:t>
      </w:r>
      <w:r>
        <w:rPr>
          <w:spacing w:val="-2"/>
        </w:rPr>
        <w:t xml:space="preserve"> </w:t>
      </w:r>
      <w:r>
        <w:t>the</w:t>
      </w:r>
      <w:r>
        <w:rPr>
          <w:spacing w:val="-3"/>
        </w:rPr>
        <w:t xml:space="preserve"> </w:t>
      </w:r>
      <w:r>
        <w:t>state</w:t>
      </w:r>
      <w:r>
        <w:rPr>
          <w:spacing w:val="-2"/>
        </w:rPr>
        <w:t xml:space="preserve"> </w:t>
      </w:r>
      <w:r>
        <w:t>during</w:t>
      </w:r>
      <w:r>
        <w:rPr>
          <w:spacing w:val="-2"/>
        </w:rPr>
        <w:t xml:space="preserve"> </w:t>
      </w:r>
      <w:r>
        <w:t>2022-</w:t>
      </w:r>
      <w:r>
        <w:rPr>
          <w:spacing w:val="-5"/>
        </w:rPr>
        <w:t>23.</w:t>
      </w:r>
    </w:p>
    <w:p w14:paraId="3E1AE78D" w14:textId="77777777" w:rsidR="00AC6F3C" w:rsidRDefault="00570E88">
      <w:pPr>
        <w:pStyle w:val="BodyText"/>
        <w:spacing w:before="180" w:line="249" w:lineRule="auto"/>
        <w:ind w:left="815"/>
      </w:pPr>
      <w:r>
        <w:t>The Centre receives overwhelmingly positive feedback (99% indicated that the Service should be an ongoing</w:t>
      </w:r>
      <w:r>
        <w:rPr>
          <w:spacing w:val="-3"/>
        </w:rPr>
        <w:t xml:space="preserve"> </w:t>
      </w:r>
      <w:r>
        <w:t>membership</w:t>
      </w:r>
      <w:r>
        <w:rPr>
          <w:spacing w:val="-3"/>
        </w:rPr>
        <w:t xml:space="preserve"> </w:t>
      </w:r>
      <w:r>
        <w:t>benefit)</w:t>
      </w:r>
      <w:r>
        <w:rPr>
          <w:spacing w:val="-3"/>
        </w:rPr>
        <w:t xml:space="preserve"> </w:t>
      </w:r>
      <w:r>
        <w:t>on</w:t>
      </w:r>
      <w:r>
        <w:rPr>
          <w:spacing w:val="-3"/>
        </w:rPr>
        <w:t xml:space="preserve"> </w:t>
      </w:r>
      <w:r>
        <w:t>the</w:t>
      </w:r>
      <w:r>
        <w:rPr>
          <w:spacing w:val="-3"/>
        </w:rPr>
        <w:t xml:space="preserve"> </w:t>
      </w:r>
      <w:r>
        <w:t>usefulness</w:t>
      </w:r>
      <w:r>
        <w:rPr>
          <w:spacing w:val="-3"/>
        </w:rPr>
        <w:t xml:space="preserve"> </w:t>
      </w:r>
      <w:r>
        <w:t>of</w:t>
      </w:r>
      <w:r>
        <w:rPr>
          <w:spacing w:val="-3"/>
        </w:rPr>
        <w:t xml:space="preserve"> </w:t>
      </w:r>
      <w:r>
        <w:t>this</w:t>
      </w:r>
      <w:r>
        <w:rPr>
          <w:spacing w:val="-3"/>
        </w:rPr>
        <w:t xml:space="preserve"> </w:t>
      </w:r>
      <w:r>
        <w:t>service</w:t>
      </w:r>
      <w:r>
        <w:rPr>
          <w:spacing w:val="-3"/>
        </w:rPr>
        <w:t xml:space="preserve"> </w:t>
      </w:r>
      <w:r>
        <w:t>and</w:t>
      </w:r>
      <w:r>
        <w:rPr>
          <w:spacing w:val="-3"/>
        </w:rPr>
        <w:t xml:space="preserve"> </w:t>
      </w:r>
      <w:r>
        <w:t>the</w:t>
      </w:r>
      <w:r>
        <w:rPr>
          <w:spacing w:val="-3"/>
        </w:rPr>
        <w:t xml:space="preserve"> </w:t>
      </w:r>
      <w:r>
        <w:t>value</w:t>
      </w:r>
      <w:r>
        <w:rPr>
          <w:spacing w:val="-3"/>
        </w:rPr>
        <w:t xml:space="preserve"> </w:t>
      </w:r>
      <w:r>
        <w:t>of</w:t>
      </w:r>
      <w:r>
        <w:rPr>
          <w:spacing w:val="-3"/>
        </w:rPr>
        <w:t xml:space="preserve"> </w:t>
      </w:r>
      <w:r>
        <w:t>the</w:t>
      </w:r>
      <w:r>
        <w:rPr>
          <w:spacing w:val="-3"/>
        </w:rPr>
        <w:t xml:space="preserve"> </w:t>
      </w:r>
      <w:r>
        <w:t>interaction</w:t>
      </w:r>
      <w:r>
        <w:rPr>
          <w:spacing w:val="-3"/>
        </w:rPr>
        <w:t xml:space="preserve"> </w:t>
      </w:r>
      <w:r>
        <w:t>with,</w:t>
      </w:r>
      <w:r>
        <w:rPr>
          <w:spacing w:val="-3"/>
        </w:rPr>
        <w:t xml:space="preserve"> </w:t>
      </w:r>
      <w:r>
        <w:t>and guidance provided by our Practice Advisory Service solicitors.</w:t>
      </w:r>
    </w:p>
    <w:p w14:paraId="2931E2B1" w14:textId="77777777" w:rsidR="00AC6F3C" w:rsidRDefault="00AC6F3C">
      <w:pPr>
        <w:pStyle w:val="BodyText"/>
        <w:spacing w:before="1"/>
        <w:rPr>
          <w:sz w:val="31"/>
        </w:rPr>
      </w:pPr>
    </w:p>
    <w:p w14:paraId="79D26B4D" w14:textId="77777777" w:rsidR="00AC6F3C" w:rsidRDefault="00570E88">
      <w:pPr>
        <w:ind w:left="815"/>
        <w:rPr>
          <w:b/>
          <w:sz w:val="26"/>
        </w:rPr>
      </w:pPr>
      <w:r>
        <w:rPr>
          <w:b/>
          <w:spacing w:val="-2"/>
          <w:sz w:val="26"/>
        </w:rPr>
        <w:t>Community</w:t>
      </w:r>
    </w:p>
    <w:p w14:paraId="186B625C" w14:textId="77777777" w:rsidR="00AC6F3C" w:rsidRDefault="00570E88">
      <w:pPr>
        <w:pStyle w:val="BodyText"/>
        <w:spacing w:before="168" w:line="249" w:lineRule="auto"/>
        <w:ind w:left="815" w:right="234"/>
      </w:pPr>
      <w:r>
        <w:t>The Centre received over 1,030 calls from members of the public and practitioners.</w:t>
      </w:r>
      <w:r>
        <w:rPr>
          <w:spacing w:val="-5"/>
        </w:rPr>
        <w:t xml:space="preserve"> </w:t>
      </w:r>
      <w:r>
        <w:t xml:space="preserve">Assistance </w:t>
      </w:r>
      <w:proofErr w:type="gramStart"/>
      <w:r>
        <w:t>was provided</w:t>
      </w:r>
      <w:proofErr w:type="gramEnd"/>
      <w:r>
        <w:rPr>
          <w:spacing w:val="-3"/>
        </w:rPr>
        <w:t xml:space="preserve"> </w:t>
      </w:r>
      <w:r>
        <w:t>by</w:t>
      </w:r>
      <w:r>
        <w:rPr>
          <w:spacing w:val="-3"/>
        </w:rPr>
        <w:t xml:space="preserve"> </w:t>
      </w:r>
      <w:r>
        <w:t>referring</w:t>
      </w:r>
      <w:r>
        <w:rPr>
          <w:spacing w:val="-3"/>
        </w:rPr>
        <w:t xml:space="preserve"> </w:t>
      </w:r>
      <w:r>
        <w:t>callers</w:t>
      </w:r>
      <w:r>
        <w:rPr>
          <w:spacing w:val="-3"/>
        </w:rPr>
        <w:t xml:space="preserve"> </w:t>
      </w:r>
      <w:r>
        <w:t>to</w:t>
      </w:r>
      <w:r>
        <w:rPr>
          <w:spacing w:val="-3"/>
        </w:rPr>
        <w:t xml:space="preserve"> </w:t>
      </w:r>
      <w:r>
        <w:t>other</w:t>
      </w:r>
      <w:r>
        <w:rPr>
          <w:spacing w:val="-3"/>
        </w:rPr>
        <w:t xml:space="preserve"> </w:t>
      </w:r>
      <w:r>
        <w:t>services</w:t>
      </w:r>
      <w:r>
        <w:rPr>
          <w:spacing w:val="-3"/>
        </w:rPr>
        <w:t xml:space="preserve"> </w:t>
      </w:r>
      <w:r>
        <w:t>within</w:t>
      </w:r>
      <w:r>
        <w:rPr>
          <w:spacing w:val="-3"/>
        </w:rPr>
        <w:t xml:space="preserve"> </w:t>
      </w:r>
      <w:r>
        <w:t>the</w:t>
      </w:r>
      <w:r>
        <w:rPr>
          <w:spacing w:val="-3"/>
        </w:rPr>
        <w:t xml:space="preserve"> </w:t>
      </w:r>
      <w:r>
        <w:t>Society</w:t>
      </w:r>
      <w:r>
        <w:rPr>
          <w:spacing w:val="-3"/>
        </w:rPr>
        <w:t xml:space="preserve"> </w:t>
      </w:r>
      <w:r>
        <w:t>(such</w:t>
      </w:r>
      <w:r>
        <w:rPr>
          <w:spacing w:val="-3"/>
        </w:rPr>
        <w:t xml:space="preserve"> </w:t>
      </w:r>
      <w:r>
        <w:t>as</w:t>
      </w:r>
      <w:r>
        <w:rPr>
          <w:spacing w:val="-3"/>
        </w:rPr>
        <w:t xml:space="preserve"> </w:t>
      </w:r>
      <w:r>
        <w:t>Records</w:t>
      </w:r>
      <w:r>
        <w:rPr>
          <w:spacing w:val="-3"/>
        </w:rPr>
        <w:t xml:space="preserve"> </w:t>
      </w:r>
      <w:r>
        <w:t>or</w:t>
      </w:r>
      <w:r>
        <w:rPr>
          <w:spacing w:val="-7"/>
        </w:rPr>
        <w:t xml:space="preserve"> </w:t>
      </w:r>
      <w:r>
        <w:t>Trusts)</w:t>
      </w:r>
      <w:r>
        <w:rPr>
          <w:spacing w:val="-3"/>
        </w:rPr>
        <w:t xml:space="preserve"> </w:t>
      </w:r>
      <w:r>
        <w:t>or</w:t>
      </w:r>
      <w:r>
        <w:rPr>
          <w:spacing w:val="-3"/>
        </w:rPr>
        <w:t xml:space="preserve"> </w:t>
      </w:r>
      <w:r>
        <w:t>external entities</w:t>
      </w:r>
      <w:r>
        <w:rPr>
          <w:spacing w:val="-1"/>
        </w:rPr>
        <w:t xml:space="preserve"> </w:t>
      </w:r>
      <w:r>
        <w:t>such</w:t>
      </w:r>
      <w:r>
        <w:rPr>
          <w:spacing w:val="-1"/>
        </w:rPr>
        <w:t xml:space="preserve"> </w:t>
      </w:r>
      <w:r>
        <w:t>as</w:t>
      </w:r>
      <w:r>
        <w:rPr>
          <w:spacing w:val="-1"/>
        </w:rPr>
        <w:t xml:space="preserve"> </w:t>
      </w:r>
      <w:r>
        <w:t>the</w:t>
      </w:r>
      <w:r>
        <w:rPr>
          <w:spacing w:val="-1"/>
        </w:rPr>
        <w:t xml:space="preserve"> </w:t>
      </w:r>
      <w:r>
        <w:t>Courts,</w:t>
      </w:r>
      <w:r>
        <w:rPr>
          <w:spacing w:val="-1"/>
        </w:rPr>
        <w:t xml:space="preserve"> </w:t>
      </w:r>
      <w:r>
        <w:t>Legal</w:t>
      </w:r>
      <w:r>
        <w:rPr>
          <w:spacing w:val="-1"/>
        </w:rPr>
        <w:t xml:space="preserve"> </w:t>
      </w:r>
      <w:r>
        <w:t>Services</w:t>
      </w:r>
      <w:r>
        <w:rPr>
          <w:spacing w:val="-1"/>
        </w:rPr>
        <w:t xml:space="preserve"> </w:t>
      </w:r>
      <w:r>
        <w:t>Commission,</w:t>
      </w:r>
      <w:r>
        <w:rPr>
          <w:spacing w:val="-1"/>
        </w:rPr>
        <w:t xml:space="preserve"> </w:t>
      </w:r>
      <w:r>
        <w:t>other</w:t>
      </w:r>
      <w:r>
        <w:rPr>
          <w:spacing w:val="-1"/>
        </w:rPr>
        <w:t xml:space="preserve"> </w:t>
      </w:r>
      <w:r>
        <w:t>law</w:t>
      </w:r>
      <w:r>
        <w:rPr>
          <w:spacing w:val="-1"/>
        </w:rPr>
        <w:t xml:space="preserve"> </w:t>
      </w:r>
      <w:r>
        <w:t>societies,</w:t>
      </w:r>
      <w:r>
        <w:rPr>
          <w:spacing w:val="-1"/>
        </w:rPr>
        <w:t xml:space="preserve"> </w:t>
      </w:r>
      <w:r>
        <w:t>government</w:t>
      </w:r>
      <w:r>
        <w:rPr>
          <w:spacing w:val="-1"/>
        </w:rPr>
        <w:t xml:space="preserve"> </w:t>
      </w:r>
      <w:r>
        <w:t>departments, Fair Work, Public Trustee or Solicitor Assist.</w:t>
      </w:r>
    </w:p>
    <w:p w14:paraId="6AA920C9" w14:textId="77777777" w:rsidR="00AC6F3C" w:rsidRDefault="00AC6F3C">
      <w:pPr>
        <w:pStyle w:val="BodyText"/>
        <w:spacing w:before="2"/>
        <w:rPr>
          <w:sz w:val="31"/>
        </w:rPr>
      </w:pPr>
    </w:p>
    <w:p w14:paraId="755BB627" w14:textId="77777777" w:rsidR="00AC6F3C" w:rsidRDefault="00570E88">
      <w:pPr>
        <w:spacing w:before="1"/>
        <w:ind w:left="815"/>
        <w:rPr>
          <w:b/>
          <w:sz w:val="26"/>
        </w:rPr>
      </w:pPr>
      <w:r>
        <w:rPr>
          <w:b/>
          <w:sz w:val="26"/>
        </w:rPr>
        <w:t xml:space="preserve">Referral </w:t>
      </w:r>
      <w:r>
        <w:rPr>
          <w:b/>
          <w:spacing w:val="-2"/>
          <w:sz w:val="26"/>
        </w:rPr>
        <w:t>Services</w:t>
      </w:r>
    </w:p>
    <w:p w14:paraId="5A67EF07" w14:textId="77777777" w:rsidR="00AC6F3C" w:rsidRDefault="00570E88">
      <w:pPr>
        <w:pStyle w:val="BodyText"/>
        <w:spacing w:before="167"/>
        <w:ind w:left="815"/>
      </w:pPr>
      <w:r>
        <w:t>The</w:t>
      </w:r>
      <w:r>
        <w:rPr>
          <w:spacing w:val="-6"/>
        </w:rPr>
        <w:t xml:space="preserve"> </w:t>
      </w:r>
      <w:r>
        <w:t>QLS</w:t>
      </w:r>
      <w:r>
        <w:rPr>
          <w:spacing w:val="-3"/>
        </w:rPr>
        <w:t xml:space="preserve"> </w:t>
      </w:r>
      <w:r>
        <w:t>Ethics</w:t>
      </w:r>
      <w:r>
        <w:rPr>
          <w:spacing w:val="-3"/>
        </w:rPr>
        <w:t xml:space="preserve"> </w:t>
      </w:r>
      <w:r>
        <w:t>and</w:t>
      </w:r>
      <w:r>
        <w:rPr>
          <w:spacing w:val="-3"/>
        </w:rPr>
        <w:t xml:space="preserve"> </w:t>
      </w:r>
      <w:r>
        <w:t>Practice</w:t>
      </w:r>
      <w:r>
        <w:rPr>
          <w:spacing w:val="-3"/>
        </w:rPr>
        <w:t xml:space="preserve"> </w:t>
      </w:r>
      <w:r>
        <w:t>Centre</w:t>
      </w:r>
      <w:r>
        <w:rPr>
          <w:spacing w:val="-3"/>
        </w:rPr>
        <w:t xml:space="preserve"> </w:t>
      </w:r>
      <w:r>
        <w:t>offers</w:t>
      </w:r>
      <w:r>
        <w:rPr>
          <w:spacing w:val="-3"/>
        </w:rPr>
        <w:t xml:space="preserve"> </w:t>
      </w:r>
      <w:r>
        <w:t>and</w:t>
      </w:r>
      <w:r>
        <w:rPr>
          <w:spacing w:val="-3"/>
        </w:rPr>
        <w:t xml:space="preserve"> </w:t>
      </w:r>
      <w:r>
        <w:t>manages</w:t>
      </w:r>
      <w:r>
        <w:rPr>
          <w:spacing w:val="-3"/>
        </w:rPr>
        <w:t xml:space="preserve"> </w:t>
      </w:r>
      <w:r>
        <w:t>four</w:t>
      </w:r>
      <w:r>
        <w:rPr>
          <w:spacing w:val="-3"/>
        </w:rPr>
        <w:t xml:space="preserve"> </w:t>
      </w:r>
      <w:r>
        <w:t>external</w:t>
      </w:r>
      <w:r>
        <w:rPr>
          <w:spacing w:val="-3"/>
        </w:rPr>
        <w:t xml:space="preserve"> </w:t>
      </w:r>
      <w:r>
        <w:t>referral</w:t>
      </w:r>
      <w:r>
        <w:rPr>
          <w:spacing w:val="-3"/>
        </w:rPr>
        <w:t xml:space="preserve"> </w:t>
      </w:r>
      <w:r>
        <w:rPr>
          <w:spacing w:val="-2"/>
        </w:rPr>
        <w:t>services:</w:t>
      </w:r>
    </w:p>
    <w:p w14:paraId="6049B8EE" w14:textId="77777777" w:rsidR="00AC6F3C" w:rsidRDefault="00570E88">
      <w:pPr>
        <w:pStyle w:val="ListParagraph"/>
        <w:numPr>
          <w:ilvl w:val="0"/>
          <w:numId w:val="57"/>
        </w:numPr>
        <w:tabs>
          <w:tab w:val="left" w:pos="1155"/>
        </w:tabs>
        <w:spacing w:line="249" w:lineRule="auto"/>
        <w:ind w:right="627"/>
        <w:rPr>
          <w:sz w:val="20"/>
        </w:rPr>
      </w:pPr>
      <w:r>
        <w:rPr>
          <w:sz w:val="20"/>
        </w:rPr>
        <w:t>Business</w:t>
      </w:r>
      <w:r>
        <w:rPr>
          <w:spacing w:val="-14"/>
          <w:sz w:val="20"/>
        </w:rPr>
        <w:t xml:space="preserve"> </w:t>
      </w:r>
      <w:r>
        <w:rPr>
          <w:sz w:val="20"/>
        </w:rPr>
        <w:t>Advisory</w:t>
      </w:r>
      <w:r>
        <w:rPr>
          <w:spacing w:val="-5"/>
          <w:sz w:val="20"/>
        </w:rPr>
        <w:t xml:space="preserve"> </w:t>
      </w:r>
      <w:r>
        <w:rPr>
          <w:sz w:val="20"/>
        </w:rPr>
        <w:t>Service</w:t>
      </w:r>
      <w:r>
        <w:rPr>
          <w:spacing w:val="-5"/>
          <w:sz w:val="20"/>
        </w:rPr>
        <w:t xml:space="preserve"> </w:t>
      </w:r>
      <w:r>
        <w:rPr>
          <w:sz w:val="20"/>
        </w:rPr>
        <w:t>(budgeting,</w:t>
      </w:r>
      <w:r>
        <w:rPr>
          <w:spacing w:val="-5"/>
          <w:sz w:val="20"/>
        </w:rPr>
        <w:t xml:space="preserve"> </w:t>
      </w:r>
      <w:r>
        <w:rPr>
          <w:sz w:val="20"/>
        </w:rPr>
        <w:t>financials,</w:t>
      </w:r>
      <w:r>
        <w:rPr>
          <w:spacing w:val="-5"/>
          <w:sz w:val="20"/>
        </w:rPr>
        <w:t xml:space="preserve"> </w:t>
      </w:r>
      <w:r>
        <w:rPr>
          <w:sz w:val="20"/>
        </w:rPr>
        <w:t>pricing,</w:t>
      </w:r>
      <w:r>
        <w:rPr>
          <w:spacing w:val="-5"/>
          <w:sz w:val="20"/>
        </w:rPr>
        <w:t xml:space="preserve"> </w:t>
      </w:r>
      <w:r>
        <w:rPr>
          <w:sz w:val="20"/>
        </w:rPr>
        <w:t>succession</w:t>
      </w:r>
      <w:r>
        <w:rPr>
          <w:spacing w:val="-5"/>
          <w:sz w:val="20"/>
        </w:rPr>
        <w:t xml:space="preserve"> </w:t>
      </w:r>
      <w:r>
        <w:rPr>
          <w:sz w:val="20"/>
        </w:rPr>
        <w:t>planning</w:t>
      </w:r>
      <w:r>
        <w:rPr>
          <w:spacing w:val="-5"/>
          <w:sz w:val="20"/>
        </w:rPr>
        <w:t xml:space="preserve"> </w:t>
      </w:r>
      <w:r>
        <w:rPr>
          <w:sz w:val="20"/>
        </w:rPr>
        <w:t>staffing,</w:t>
      </w:r>
      <w:r>
        <w:rPr>
          <w:spacing w:val="-5"/>
          <w:sz w:val="20"/>
        </w:rPr>
        <w:t xml:space="preserve"> </w:t>
      </w:r>
      <w:r>
        <w:rPr>
          <w:sz w:val="20"/>
        </w:rPr>
        <w:t xml:space="preserve">business development, </w:t>
      </w:r>
      <w:proofErr w:type="gramStart"/>
      <w:r>
        <w:rPr>
          <w:sz w:val="20"/>
        </w:rPr>
        <w:t>technology</w:t>
      </w:r>
      <w:proofErr w:type="gramEnd"/>
      <w:r>
        <w:rPr>
          <w:sz w:val="20"/>
        </w:rPr>
        <w:t xml:space="preserve"> and cybersecurity)</w:t>
      </w:r>
    </w:p>
    <w:p w14:paraId="0748770E" w14:textId="77777777" w:rsidR="00AC6F3C" w:rsidRDefault="00570E88">
      <w:pPr>
        <w:pStyle w:val="ListParagraph"/>
        <w:numPr>
          <w:ilvl w:val="0"/>
          <w:numId w:val="57"/>
        </w:numPr>
        <w:tabs>
          <w:tab w:val="left" w:pos="1155"/>
        </w:tabs>
        <w:spacing w:before="172"/>
        <w:ind w:hanging="340"/>
        <w:rPr>
          <w:sz w:val="20"/>
        </w:rPr>
      </w:pPr>
      <w:r>
        <w:rPr>
          <w:sz w:val="20"/>
        </w:rPr>
        <w:t>Costs</w:t>
      </w:r>
      <w:r>
        <w:rPr>
          <w:spacing w:val="-14"/>
          <w:sz w:val="20"/>
        </w:rPr>
        <w:t xml:space="preserve"> </w:t>
      </w:r>
      <w:r>
        <w:rPr>
          <w:sz w:val="20"/>
        </w:rPr>
        <w:t>Advisory</w:t>
      </w:r>
      <w:r>
        <w:rPr>
          <w:spacing w:val="-3"/>
          <w:sz w:val="20"/>
        </w:rPr>
        <w:t xml:space="preserve"> </w:t>
      </w:r>
      <w:r>
        <w:rPr>
          <w:sz w:val="20"/>
        </w:rPr>
        <w:t>Service</w:t>
      </w:r>
      <w:r>
        <w:rPr>
          <w:spacing w:val="-3"/>
          <w:sz w:val="20"/>
        </w:rPr>
        <w:t xml:space="preserve"> </w:t>
      </w:r>
      <w:r>
        <w:rPr>
          <w:sz w:val="20"/>
        </w:rPr>
        <w:t>(regulatory,</w:t>
      </w:r>
      <w:r>
        <w:rPr>
          <w:spacing w:val="-3"/>
          <w:sz w:val="20"/>
        </w:rPr>
        <w:t xml:space="preserve"> </w:t>
      </w:r>
      <w:r>
        <w:rPr>
          <w:sz w:val="20"/>
        </w:rPr>
        <w:t>disclosure,</w:t>
      </w:r>
      <w:r>
        <w:rPr>
          <w:spacing w:val="-3"/>
          <w:sz w:val="20"/>
        </w:rPr>
        <w:t xml:space="preserve"> </w:t>
      </w:r>
      <w:r>
        <w:rPr>
          <w:sz w:val="20"/>
        </w:rPr>
        <w:t>cost</w:t>
      </w:r>
      <w:r>
        <w:rPr>
          <w:spacing w:val="-3"/>
          <w:sz w:val="20"/>
        </w:rPr>
        <w:t xml:space="preserve"> </w:t>
      </w:r>
      <w:r>
        <w:rPr>
          <w:sz w:val="20"/>
        </w:rPr>
        <w:t>agreement,</w:t>
      </w:r>
      <w:r>
        <w:rPr>
          <w:spacing w:val="-3"/>
          <w:sz w:val="20"/>
        </w:rPr>
        <w:t xml:space="preserve"> </w:t>
      </w:r>
      <w:r>
        <w:rPr>
          <w:spacing w:val="-2"/>
          <w:sz w:val="20"/>
        </w:rPr>
        <w:t>assessment)</w:t>
      </w:r>
    </w:p>
    <w:p w14:paraId="020BF97B" w14:textId="77777777" w:rsidR="00AC6F3C" w:rsidRDefault="00570E88">
      <w:pPr>
        <w:pStyle w:val="ListParagraph"/>
        <w:numPr>
          <w:ilvl w:val="0"/>
          <w:numId w:val="57"/>
        </w:numPr>
        <w:tabs>
          <w:tab w:val="left" w:pos="1155"/>
        </w:tabs>
        <w:ind w:hanging="340"/>
        <w:rPr>
          <w:sz w:val="20"/>
        </w:rPr>
      </w:pPr>
      <w:r>
        <w:rPr>
          <w:sz w:val="20"/>
        </w:rPr>
        <w:t>Employment</w:t>
      </w:r>
      <w:r>
        <w:rPr>
          <w:spacing w:val="-2"/>
          <w:sz w:val="20"/>
        </w:rPr>
        <w:t xml:space="preserve"> </w:t>
      </w:r>
      <w:r>
        <w:rPr>
          <w:sz w:val="20"/>
        </w:rPr>
        <w:t>Law</w:t>
      </w:r>
      <w:r>
        <w:rPr>
          <w:spacing w:val="-13"/>
          <w:sz w:val="20"/>
        </w:rPr>
        <w:t xml:space="preserve"> </w:t>
      </w:r>
      <w:r>
        <w:rPr>
          <w:sz w:val="20"/>
        </w:rPr>
        <w:t>Advice</w:t>
      </w:r>
      <w:r>
        <w:rPr>
          <w:spacing w:val="-2"/>
          <w:sz w:val="20"/>
        </w:rPr>
        <w:t xml:space="preserve"> </w:t>
      </w:r>
      <w:r>
        <w:rPr>
          <w:sz w:val="20"/>
        </w:rPr>
        <w:t>Service,</w:t>
      </w:r>
      <w:r>
        <w:rPr>
          <w:spacing w:val="-1"/>
          <w:sz w:val="20"/>
        </w:rPr>
        <w:t xml:space="preserve"> </w:t>
      </w:r>
      <w:r>
        <w:rPr>
          <w:spacing w:val="-5"/>
          <w:sz w:val="20"/>
        </w:rPr>
        <w:t>and</w:t>
      </w:r>
    </w:p>
    <w:p w14:paraId="206E894D" w14:textId="77777777" w:rsidR="00AC6F3C" w:rsidRDefault="00570E88">
      <w:pPr>
        <w:pStyle w:val="ListParagraph"/>
        <w:numPr>
          <w:ilvl w:val="0"/>
          <w:numId w:val="57"/>
        </w:numPr>
        <w:tabs>
          <w:tab w:val="left" w:pos="1155"/>
        </w:tabs>
        <w:ind w:hanging="340"/>
        <w:rPr>
          <w:sz w:val="20"/>
        </w:rPr>
      </w:pPr>
      <w:r>
        <w:rPr>
          <w:sz w:val="20"/>
        </w:rPr>
        <w:t>Workplace</w:t>
      </w:r>
      <w:r>
        <w:rPr>
          <w:spacing w:val="-5"/>
          <w:sz w:val="20"/>
        </w:rPr>
        <w:t xml:space="preserve"> </w:t>
      </w:r>
      <w:r>
        <w:rPr>
          <w:sz w:val="20"/>
        </w:rPr>
        <w:t>Conduct</w:t>
      </w:r>
      <w:r>
        <w:rPr>
          <w:spacing w:val="-14"/>
          <w:sz w:val="20"/>
        </w:rPr>
        <w:t xml:space="preserve"> </w:t>
      </w:r>
      <w:r>
        <w:rPr>
          <w:sz w:val="20"/>
        </w:rPr>
        <w:t>Advisory</w:t>
      </w:r>
      <w:r>
        <w:rPr>
          <w:spacing w:val="-3"/>
          <w:sz w:val="20"/>
        </w:rPr>
        <w:t xml:space="preserve"> </w:t>
      </w:r>
      <w:r>
        <w:rPr>
          <w:spacing w:val="-2"/>
          <w:sz w:val="20"/>
        </w:rPr>
        <w:t>Service.</w:t>
      </w:r>
    </w:p>
    <w:p w14:paraId="4B96097E" w14:textId="77777777" w:rsidR="00AC6F3C" w:rsidRDefault="00570E88">
      <w:pPr>
        <w:pStyle w:val="BodyText"/>
        <w:spacing w:before="180" w:line="249" w:lineRule="auto"/>
        <w:ind w:left="815" w:right="361"/>
      </w:pPr>
      <w:r>
        <w:t>These services offer 2-4 hours of free legal advice to QLS members who may need assistance in the above</w:t>
      </w:r>
      <w:r>
        <w:rPr>
          <w:spacing w:val="-3"/>
        </w:rPr>
        <w:t xml:space="preserve"> </w:t>
      </w:r>
      <w:r>
        <w:t>areas.</w:t>
      </w:r>
      <w:r>
        <w:rPr>
          <w:spacing w:val="-6"/>
        </w:rPr>
        <w:t xml:space="preserve"> </w:t>
      </w:r>
      <w:r>
        <w:t>The</w:t>
      </w:r>
      <w:r>
        <w:rPr>
          <w:spacing w:val="-3"/>
        </w:rPr>
        <w:t xml:space="preserve"> </w:t>
      </w:r>
      <w:r>
        <w:t>Centre</w:t>
      </w:r>
      <w:r>
        <w:rPr>
          <w:spacing w:val="-3"/>
        </w:rPr>
        <w:t xml:space="preserve"> </w:t>
      </w:r>
      <w:r>
        <w:t>referred</w:t>
      </w:r>
      <w:r>
        <w:rPr>
          <w:spacing w:val="-3"/>
        </w:rPr>
        <w:t xml:space="preserve"> </w:t>
      </w:r>
      <w:r>
        <w:t>541</w:t>
      </w:r>
      <w:r>
        <w:rPr>
          <w:spacing w:val="-3"/>
        </w:rPr>
        <w:t xml:space="preserve"> </w:t>
      </w:r>
      <w:r>
        <w:t>practitioners</w:t>
      </w:r>
      <w:r>
        <w:rPr>
          <w:spacing w:val="-3"/>
        </w:rPr>
        <w:t xml:space="preserve"> </w:t>
      </w:r>
      <w:r>
        <w:t>to</w:t>
      </w:r>
      <w:r>
        <w:rPr>
          <w:spacing w:val="-3"/>
        </w:rPr>
        <w:t xml:space="preserve"> </w:t>
      </w:r>
      <w:r>
        <w:t>these</w:t>
      </w:r>
      <w:r>
        <w:rPr>
          <w:spacing w:val="-3"/>
        </w:rPr>
        <w:t xml:space="preserve"> </w:t>
      </w:r>
      <w:r>
        <w:t>services</w:t>
      </w:r>
      <w:r>
        <w:rPr>
          <w:spacing w:val="-3"/>
        </w:rPr>
        <w:t xml:space="preserve"> </w:t>
      </w:r>
      <w:r>
        <w:t>for</w:t>
      </w:r>
      <w:r>
        <w:rPr>
          <w:spacing w:val="-3"/>
        </w:rPr>
        <w:t xml:space="preserve"> </w:t>
      </w:r>
      <w:r>
        <w:t>the</w:t>
      </w:r>
      <w:r>
        <w:rPr>
          <w:spacing w:val="-3"/>
        </w:rPr>
        <w:t xml:space="preserve"> </w:t>
      </w:r>
      <w:r>
        <w:t>year</w:t>
      </w:r>
      <w:r>
        <w:rPr>
          <w:spacing w:val="-3"/>
        </w:rPr>
        <w:t xml:space="preserve"> </w:t>
      </w:r>
      <w:r>
        <w:t>2022-23.</w:t>
      </w:r>
      <w:r>
        <w:rPr>
          <w:spacing w:val="-6"/>
        </w:rPr>
        <w:t xml:space="preserve"> </w:t>
      </w:r>
      <w:r>
        <w:t>The</w:t>
      </w:r>
      <w:r>
        <w:rPr>
          <w:spacing w:val="-3"/>
        </w:rPr>
        <w:t xml:space="preserve"> </w:t>
      </w:r>
      <w:r>
        <w:t xml:space="preserve">majority of these </w:t>
      </w:r>
      <w:proofErr w:type="gramStart"/>
      <w:r>
        <w:t>were directed</w:t>
      </w:r>
      <w:proofErr w:type="gramEnd"/>
      <w:r>
        <w:t xml:space="preserve"> to the Business</w:t>
      </w:r>
      <w:r>
        <w:rPr>
          <w:spacing w:val="-8"/>
        </w:rPr>
        <w:t xml:space="preserve"> </w:t>
      </w:r>
      <w:r>
        <w:t>Advisory and Costs</w:t>
      </w:r>
      <w:r>
        <w:rPr>
          <w:spacing w:val="-8"/>
        </w:rPr>
        <w:t xml:space="preserve"> </w:t>
      </w:r>
      <w:r>
        <w:t xml:space="preserve">Advisory Services with an overall </w:t>
      </w:r>
      <w:proofErr w:type="spellStart"/>
      <w:r>
        <w:t>utilisation</w:t>
      </w:r>
      <w:proofErr w:type="spellEnd"/>
      <w:r>
        <w:t xml:space="preserve"> rate of 30%. We have received excellent feedback on these services and understand that this service</w:t>
      </w:r>
      <w:r>
        <w:rPr>
          <w:spacing w:val="40"/>
        </w:rPr>
        <w:t xml:space="preserve"> </w:t>
      </w:r>
      <w:r>
        <w:t>is the only one of its kind for legal practitioners in</w:t>
      </w:r>
      <w:r>
        <w:rPr>
          <w:spacing w:val="-1"/>
        </w:rPr>
        <w:t xml:space="preserve"> </w:t>
      </w:r>
      <w:r>
        <w:t>Australia.</w:t>
      </w:r>
    </w:p>
    <w:p w14:paraId="55F7124B" w14:textId="77777777" w:rsidR="00AC6F3C" w:rsidRDefault="00AC6F3C">
      <w:pPr>
        <w:pStyle w:val="BodyText"/>
        <w:spacing w:before="3"/>
        <w:rPr>
          <w:sz w:val="31"/>
        </w:rPr>
      </w:pPr>
    </w:p>
    <w:p w14:paraId="0285BA31" w14:textId="77777777" w:rsidR="00AC6F3C" w:rsidRDefault="00570E88">
      <w:pPr>
        <w:spacing w:before="1"/>
        <w:ind w:left="815"/>
        <w:rPr>
          <w:b/>
          <w:sz w:val="26"/>
        </w:rPr>
      </w:pPr>
      <w:r>
        <w:rPr>
          <w:b/>
          <w:sz w:val="26"/>
        </w:rPr>
        <w:t>Locum</w:t>
      </w:r>
      <w:r>
        <w:rPr>
          <w:b/>
          <w:spacing w:val="-4"/>
          <w:sz w:val="26"/>
        </w:rPr>
        <w:t xml:space="preserve"> </w:t>
      </w:r>
      <w:r>
        <w:rPr>
          <w:b/>
          <w:spacing w:val="-2"/>
          <w:sz w:val="26"/>
        </w:rPr>
        <w:t>Service</w:t>
      </w:r>
    </w:p>
    <w:p w14:paraId="5F448F57" w14:textId="77777777" w:rsidR="00AC6F3C" w:rsidRDefault="00570E88">
      <w:pPr>
        <w:pStyle w:val="BodyText"/>
        <w:spacing w:before="167" w:line="249" w:lineRule="auto"/>
        <w:ind w:left="815" w:right="468"/>
      </w:pPr>
      <w:r>
        <w:t xml:space="preserve">The Centre now manages the QLS Locum Service which </w:t>
      </w:r>
      <w:proofErr w:type="gramStart"/>
      <w:r>
        <w:t>was designed</w:t>
      </w:r>
      <w:proofErr w:type="gramEnd"/>
      <w:r>
        <w:t xml:space="preserve"> to connect sole to small practices</w:t>
      </w:r>
      <w:r>
        <w:rPr>
          <w:spacing w:val="-3"/>
        </w:rPr>
        <w:t xml:space="preserve"> </w:t>
      </w:r>
      <w:r>
        <w:t>seeking</w:t>
      </w:r>
      <w:r>
        <w:rPr>
          <w:spacing w:val="-3"/>
        </w:rPr>
        <w:t xml:space="preserve"> </w:t>
      </w:r>
      <w:r>
        <w:t>short</w:t>
      </w:r>
      <w:r>
        <w:rPr>
          <w:spacing w:val="-3"/>
        </w:rPr>
        <w:t xml:space="preserve"> </w:t>
      </w:r>
      <w:r>
        <w:t>term</w:t>
      </w:r>
      <w:r>
        <w:rPr>
          <w:spacing w:val="-3"/>
        </w:rPr>
        <w:t xml:space="preserve"> </w:t>
      </w:r>
      <w:r>
        <w:t>assistance</w:t>
      </w:r>
      <w:r>
        <w:rPr>
          <w:spacing w:val="-3"/>
        </w:rPr>
        <w:t xml:space="preserve"> </w:t>
      </w:r>
      <w:r>
        <w:t>with</w:t>
      </w:r>
      <w:r>
        <w:rPr>
          <w:spacing w:val="-3"/>
        </w:rPr>
        <w:t xml:space="preserve"> </w:t>
      </w:r>
      <w:r>
        <w:t>experienced</w:t>
      </w:r>
      <w:r>
        <w:rPr>
          <w:spacing w:val="-3"/>
        </w:rPr>
        <w:t xml:space="preserve"> </w:t>
      </w:r>
      <w:r>
        <w:t>solicitors.</w:t>
      </w:r>
      <w:r>
        <w:rPr>
          <w:spacing w:val="-7"/>
        </w:rPr>
        <w:t xml:space="preserve"> </w:t>
      </w:r>
      <w:r>
        <w:t>There</w:t>
      </w:r>
      <w:r>
        <w:rPr>
          <w:spacing w:val="-3"/>
        </w:rPr>
        <w:t xml:space="preserve"> </w:t>
      </w:r>
      <w:r>
        <w:t>are</w:t>
      </w:r>
      <w:r>
        <w:rPr>
          <w:spacing w:val="-3"/>
        </w:rPr>
        <w:t xml:space="preserve"> </w:t>
      </w:r>
      <w:r>
        <w:t>presently</w:t>
      </w:r>
      <w:r>
        <w:rPr>
          <w:spacing w:val="-3"/>
        </w:rPr>
        <w:t xml:space="preserve"> </w:t>
      </w:r>
      <w:proofErr w:type="gramStart"/>
      <w:r>
        <w:t>13</w:t>
      </w:r>
      <w:proofErr w:type="gramEnd"/>
      <w:r>
        <w:rPr>
          <w:spacing w:val="-3"/>
        </w:rPr>
        <w:t xml:space="preserve"> </w:t>
      </w:r>
      <w:r>
        <w:t>solicitors who are on the panel.</w:t>
      </w:r>
    </w:p>
    <w:p w14:paraId="643BD685" w14:textId="77777777" w:rsidR="00AC6F3C" w:rsidRDefault="00AC6F3C">
      <w:pPr>
        <w:pStyle w:val="BodyText"/>
        <w:spacing w:before="2"/>
        <w:rPr>
          <w:sz w:val="31"/>
        </w:rPr>
      </w:pPr>
    </w:p>
    <w:p w14:paraId="66A19BF5" w14:textId="77777777" w:rsidR="00AC6F3C" w:rsidRDefault="00570E88">
      <w:pPr>
        <w:ind w:left="815"/>
        <w:rPr>
          <w:b/>
          <w:sz w:val="26"/>
        </w:rPr>
      </w:pPr>
      <w:r>
        <w:rPr>
          <w:b/>
          <w:spacing w:val="-2"/>
          <w:sz w:val="26"/>
        </w:rPr>
        <w:t>Resources</w:t>
      </w:r>
    </w:p>
    <w:p w14:paraId="60E8F891" w14:textId="77777777" w:rsidR="00AC6F3C" w:rsidRDefault="00570E88">
      <w:pPr>
        <w:pStyle w:val="BodyText"/>
        <w:spacing w:before="167" w:line="249" w:lineRule="auto"/>
        <w:ind w:left="815" w:right="468"/>
      </w:pPr>
      <w:r>
        <w:t>The</w:t>
      </w:r>
      <w:r>
        <w:rPr>
          <w:spacing w:val="-4"/>
        </w:rPr>
        <w:t xml:space="preserve"> </w:t>
      </w:r>
      <w:r>
        <w:t>Centre</w:t>
      </w:r>
      <w:r>
        <w:rPr>
          <w:spacing w:val="-4"/>
        </w:rPr>
        <w:t xml:space="preserve"> </w:t>
      </w:r>
      <w:r>
        <w:t>drafted</w:t>
      </w:r>
      <w:r>
        <w:rPr>
          <w:spacing w:val="-4"/>
        </w:rPr>
        <w:t xml:space="preserve"> </w:t>
      </w:r>
      <w:r>
        <w:t>and</w:t>
      </w:r>
      <w:r>
        <w:rPr>
          <w:spacing w:val="-4"/>
        </w:rPr>
        <w:t xml:space="preserve"> </w:t>
      </w:r>
      <w:r>
        <w:t>published</w:t>
      </w:r>
      <w:r>
        <w:rPr>
          <w:spacing w:val="-4"/>
        </w:rPr>
        <w:t xml:space="preserve"> </w:t>
      </w:r>
      <w:r>
        <w:t>over</w:t>
      </w:r>
      <w:r>
        <w:rPr>
          <w:spacing w:val="-4"/>
        </w:rPr>
        <w:t xml:space="preserve"> </w:t>
      </w:r>
      <w:r>
        <w:t>102</w:t>
      </w:r>
      <w:r>
        <w:rPr>
          <w:spacing w:val="-4"/>
        </w:rPr>
        <w:t xml:space="preserve"> </w:t>
      </w:r>
      <w:r>
        <w:t>articles/notes/checklists/precedents</w:t>
      </w:r>
      <w:r>
        <w:rPr>
          <w:spacing w:val="-4"/>
        </w:rPr>
        <w:t xml:space="preserve"> </w:t>
      </w:r>
      <w:r>
        <w:t>for</w:t>
      </w:r>
      <w:r>
        <w:rPr>
          <w:spacing w:val="-4"/>
        </w:rPr>
        <w:t xml:space="preserve"> </w:t>
      </w:r>
      <w:r>
        <w:t>practitioners addressing various issues:</w:t>
      </w:r>
    </w:p>
    <w:p w14:paraId="6494C876" w14:textId="77777777" w:rsidR="00AC6F3C" w:rsidRDefault="00570E88">
      <w:pPr>
        <w:pStyle w:val="ListParagraph"/>
        <w:numPr>
          <w:ilvl w:val="0"/>
          <w:numId w:val="57"/>
        </w:numPr>
        <w:tabs>
          <w:tab w:val="left" w:pos="1155"/>
        </w:tabs>
        <w:spacing w:before="172"/>
        <w:ind w:hanging="340"/>
        <w:rPr>
          <w:sz w:val="20"/>
        </w:rPr>
      </w:pPr>
      <w:r>
        <w:rPr>
          <w:sz w:val="20"/>
        </w:rPr>
        <w:t>Ethics</w:t>
      </w:r>
      <w:r>
        <w:rPr>
          <w:spacing w:val="-6"/>
          <w:sz w:val="20"/>
        </w:rPr>
        <w:t xml:space="preserve"> </w:t>
      </w:r>
      <w:r>
        <w:rPr>
          <w:sz w:val="20"/>
        </w:rPr>
        <w:t>–</w:t>
      </w:r>
      <w:r>
        <w:rPr>
          <w:spacing w:val="-5"/>
          <w:sz w:val="20"/>
        </w:rPr>
        <w:t xml:space="preserve"> </w:t>
      </w:r>
      <w:r>
        <w:rPr>
          <w:sz w:val="20"/>
        </w:rPr>
        <w:t>advertising,</w:t>
      </w:r>
      <w:r>
        <w:rPr>
          <w:spacing w:val="-5"/>
          <w:sz w:val="20"/>
        </w:rPr>
        <w:t xml:space="preserve"> </w:t>
      </w:r>
      <w:r>
        <w:rPr>
          <w:sz w:val="20"/>
        </w:rPr>
        <w:t>conflicts,</w:t>
      </w:r>
      <w:r>
        <w:rPr>
          <w:spacing w:val="-6"/>
          <w:sz w:val="20"/>
        </w:rPr>
        <w:t xml:space="preserve"> </w:t>
      </w:r>
      <w:r>
        <w:rPr>
          <w:sz w:val="20"/>
        </w:rPr>
        <w:t>courtesy,</w:t>
      </w:r>
      <w:r>
        <w:rPr>
          <w:spacing w:val="-5"/>
          <w:sz w:val="20"/>
        </w:rPr>
        <w:t xml:space="preserve"> </w:t>
      </w:r>
      <w:r>
        <w:rPr>
          <w:sz w:val="20"/>
        </w:rPr>
        <w:t>confidentiality,</w:t>
      </w:r>
      <w:r>
        <w:rPr>
          <w:spacing w:val="-5"/>
          <w:sz w:val="20"/>
        </w:rPr>
        <w:t xml:space="preserve"> </w:t>
      </w:r>
      <w:r>
        <w:rPr>
          <w:sz w:val="20"/>
        </w:rPr>
        <w:t>referral</w:t>
      </w:r>
      <w:r>
        <w:rPr>
          <w:spacing w:val="-5"/>
          <w:sz w:val="20"/>
        </w:rPr>
        <w:t xml:space="preserve"> </w:t>
      </w:r>
      <w:r>
        <w:rPr>
          <w:spacing w:val="-4"/>
          <w:sz w:val="20"/>
        </w:rPr>
        <w:t>fees</w:t>
      </w:r>
    </w:p>
    <w:p w14:paraId="3ADB4563" w14:textId="77777777" w:rsidR="00AC6F3C" w:rsidRDefault="00570E88">
      <w:pPr>
        <w:pStyle w:val="ListParagraph"/>
        <w:numPr>
          <w:ilvl w:val="0"/>
          <w:numId w:val="57"/>
        </w:numPr>
        <w:tabs>
          <w:tab w:val="left" w:pos="1155"/>
        </w:tabs>
        <w:ind w:hanging="340"/>
        <w:rPr>
          <w:sz w:val="20"/>
        </w:rPr>
      </w:pPr>
      <w:r>
        <w:rPr>
          <w:spacing w:val="-2"/>
          <w:sz w:val="20"/>
        </w:rPr>
        <w:t>Costs</w:t>
      </w:r>
    </w:p>
    <w:p w14:paraId="0901BDBC" w14:textId="77777777" w:rsidR="00AC6F3C" w:rsidRDefault="00570E88">
      <w:pPr>
        <w:pStyle w:val="ListParagraph"/>
        <w:numPr>
          <w:ilvl w:val="0"/>
          <w:numId w:val="57"/>
        </w:numPr>
        <w:tabs>
          <w:tab w:val="left" w:pos="1155"/>
        </w:tabs>
        <w:ind w:hanging="340"/>
        <w:rPr>
          <w:sz w:val="20"/>
        </w:rPr>
      </w:pPr>
      <w:r>
        <w:rPr>
          <w:spacing w:val="-2"/>
          <w:sz w:val="20"/>
        </w:rPr>
        <w:t>Employment</w:t>
      </w:r>
    </w:p>
    <w:p w14:paraId="22D895D0" w14:textId="77777777" w:rsidR="00AC6F3C" w:rsidRDefault="00570E88">
      <w:pPr>
        <w:pStyle w:val="ListParagraph"/>
        <w:numPr>
          <w:ilvl w:val="0"/>
          <w:numId w:val="57"/>
        </w:numPr>
        <w:tabs>
          <w:tab w:val="left" w:pos="1155"/>
        </w:tabs>
        <w:ind w:hanging="340"/>
        <w:rPr>
          <w:sz w:val="20"/>
        </w:rPr>
      </w:pPr>
      <w:r>
        <w:rPr>
          <w:spacing w:val="-5"/>
          <w:sz w:val="20"/>
        </w:rPr>
        <w:t>VOI</w:t>
      </w:r>
    </w:p>
    <w:p w14:paraId="69F80F19" w14:textId="77777777" w:rsidR="00AC6F3C" w:rsidRDefault="00570E88">
      <w:pPr>
        <w:pStyle w:val="ListParagraph"/>
        <w:numPr>
          <w:ilvl w:val="0"/>
          <w:numId w:val="57"/>
        </w:numPr>
        <w:tabs>
          <w:tab w:val="left" w:pos="1155"/>
        </w:tabs>
        <w:ind w:hanging="340"/>
        <w:rPr>
          <w:sz w:val="20"/>
        </w:rPr>
      </w:pPr>
      <w:r>
        <w:rPr>
          <w:spacing w:val="-2"/>
          <w:sz w:val="20"/>
        </w:rPr>
        <w:t>Cybersecurity</w:t>
      </w:r>
    </w:p>
    <w:p w14:paraId="6C68174F" w14:textId="77777777" w:rsidR="00AC6F3C" w:rsidRDefault="00570E88">
      <w:pPr>
        <w:pStyle w:val="ListParagraph"/>
        <w:numPr>
          <w:ilvl w:val="0"/>
          <w:numId w:val="57"/>
        </w:numPr>
        <w:tabs>
          <w:tab w:val="left" w:pos="1155"/>
        </w:tabs>
        <w:ind w:hanging="340"/>
        <w:rPr>
          <w:sz w:val="20"/>
        </w:rPr>
      </w:pPr>
      <w:r>
        <w:rPr>
          <w:sz w:val="20"/>
        </w:rPr>
        <w:t>Social</w:t>
      </w:r>
      <w:r>
        <w:rPr>
          <w:spacing w:val="-5"/>
          <w:sz w:val="20"/>
        </w:rPr>
        <w:t xml:space="preserve"> </w:t>
      </w:r>
      <w:r>
        <w:rPr>
          <w:spacing w:val="-2"/>
          <w:sz w:val="20"/>
        </w:rPr>
        <w:t>media</w:t>
      </w:r>
    </w:p>
    <w:p w14:paraId="70531ABF" w14:textId="77777777" w:rsidR="00AC6F3C" w:rsidRDefault="00570E88">
      <w:pPr>
        <w:pStyle w:val="ListParagraph"/>
        <w:numPr>
          <w:ilvl w:val="0"/>
          <w:numId w:val="57"/>
        </w:numPr>
        <w:tabs>
          <w:tab w:val="left" w:pos="1155"/>
        </w:tabs>
        <w:ind w:hanging="340"/>
        <w:rPr>
          <w:sz w:val="20"/>
        </w:rPr>
      </w:pPr>
      <w:r>
        <w:rPr>
          <w:spacing w:val="-5"/>
          <w:sz w:val="20"/>
        </w:rPr>
        <w:t>AI</w:t>
      </w:r>
    </w:p>
    <w:p w14:paraId="3F3604B4" w14:textId="77777777" w:rsidR="00AC6F3C" w:rsidRDefault="00570E88">
      <w:pPr>
        <w:pStyle w:val="ListParagraph"/>
        <w:numPr>
          <w:ilvl w:val="0"/>
          <w:numId w:val="57"/>
        </w:numPr>
        <w:tabs>
          <w:tab w:val="left" w:pos="1155"/>
        </w:tabs>
        <w:spacing w:line="249" w:lineRule="auto"/>
        <w:ind w:right="299"/>
        <w:rPr>
          <w:sz w:val="20"/>
        </w:rPr>
      </w:pPr>
      <w:r>
        <w:rPr>
          <w:sz w:val="20"/>
        </w:rPr>
        <w:t>Practice</w:t>
      </w:r>
      <w:r>
        <w:rPr>
          <w:spacing w:val="-4"/>
          <w:sz w:val="20"/>
        </w:rPr>
        <w:t xml:space="preserve"> </w:t>
      </w:r>
      <w:r>
        <w:rPr>
          <w:sz w:val="20"/>
        </w:rPr>
        <w:t>management</w:t>
      </w:r>
      <w:r>
        <w:rPr>
          <w:spacing w:val="-4"/>
          <w:sz w:val="20"/>
        </w:rPr>
        <w:t xml:space="preserve"> </w:t>
      </w:r>
      <w:r>
        <w:rPr>
          <w:sz w:val="20"/>
        </w:rPr>
        <w:t>–</w:t>
      </w:r>
      <w:r>
        <w:rPr>
          <w:spacing w:val="-4"/>
          <w:sz w:val="20"/>
        </w:rPr>
        <w:t xml:space="preserve"> </w:t>
      </w:r>
      <w:r>
        <w:rPr>
          <w:sz w:val="20"/>
        </w:rPr>
        <w:t>file</w:t>
      </w:r>
      <w:r>
        <w:rPr>
          <w:spacing w:val="-4"/>
          <w:sz w:val="20"/>
        </w:rPr>
        <w:t xml:space="preserve"> </w:t>
      </w:r>
      <w:r>
        <w:rPr>
          <w:sz w:val="20"/>
        </w:rPr>
        <w:t>management,</w:t>
      </w:r>
      <w:r>
        <w:rPr>
          <w:spacing w:val="-4"/>
          <w:sz w:val="20"/>
        </w:rPr>
        <w:t xml:space="preserve"> </w:t>
      </w:r>
      <w:r>
        <w:rPr>
          <w:sz w:val="20"/>
        </w:rPr>
        <w:t>contingency</w:t>
      </w:r>
      <w:r>
        <w:rPr>
          <w:spacing w:val="-4"/>
          <w:sz w:val="20"/>
        </w:rPr>
        <w:t xml:space="preserve"> </w:t>
      </w:r>
      <w:r>
        <w:rPr>
          <w:sz w:val="20"/>
        </w:rPr>
        <w:t>planning,</w:t>
      </w:r>
      <w:r>
        <w:rPr>
          <w:spacing w:val="-4"/>
          <w:sz w:val="20"/>
        </w:rPr>
        <w:t xml:space="preserve"> </w:t>
      </w:r>
      <w:r>
        <w:rPr>
          <w:sz w:val="20"/>
        </w:rPr>
        <w:t>appropriate</w:t>
      </w:r>
      <w:r>
        <w:rPr>
          <w:spacing w:val="-4"/>
          <w:sz w:val="20"/>
        </w:rPr>
        <w:t xml:space="preserve"> </w:t>
      </w:r>
      <w:r>
        <w:rPr>
          <w:sz w:val="20"/>
        </w:rPr>
        <w:t>management</w:t>
      </w:r>
      <w:r>
        <w:rPr>
          <w:spacing w:val="-4"/>
          <w:sz w:val="20"/>
        </w:rPr>
        <w:t xml:space="preserve"> </w:t>
      </w:r>
      <w:r>
        <w:rPr>
          <w:sz w:val="20"/>
        </w:rPr>
        <w:t xml:space="preserve">systems, closing a law </w:t>
      </w:r>
      <w:proofErr w:type="gramStart"/>
      <w:r>
        <w:rPr>
          <w:sz w:val="20"/>
        </w:rPr>
        <w:t>practice</w:t>
      </w:r>
      <w:proofErr w:type="gramEnd"/>
    </w:p>
    <w:p w14:paraId="165F35D9" w14:textId="77777777" w:rsidR="00AC6F3C" w:rsidRDefault="00570E88">
      <w:pPr>
        <w:pStyle w:val="ListParagraph"/>
        <w:numPr>
          <w:ilvl w:val="0"/>
          <w:numId w:val="57"/>
        </w:numPr>
        <w:tabs>
          <w:tab w:val="left" w:pos="1155"/>
        </w:tabs>
        <w:spacing w:before="172"/>
        <w:ind w:hanging="340"/>
        <w:rPr>
          <w:sz w:val="20"/>
        </w:rPr>
      </w:pPr>
      <w:r>
        <w:rPr>
          <w:sz w:val="20"/>
        </w:rPr>
        <w:t xml:space="preserve">Disciplinary </w:t>
      </w:r>
      <w:r>
        <w:rPr>
          <w:spacing w:val="-2"/>
          <w:sz w:val="20"/>
        </w:rPr>
        <w:t>cases.</w:t>
      </w:r>
    </w:p>
    <w:p w14:paraId="5DA1921C" w14:textId="77777777" w:rsidR="00AC6F3C" w:rsidRDefault="00AC6F3C">
      <w:pPr>
        <w:rPr>
          <w:sz w:val="20"/>
        </w:rPr>
        <w:sectPr w:rsidR="00AC6F3C">
          <w:headerReference w:type="default" r:id="rId118"/>
          <w:footerReference w:type="default" r:id="rId119"/>
          <w:pgSz w:w="11910" w:h="16840"/>
          <w:pgMar w:top="1140" w:right="1160" w:bottom="520" w:left="460" w:header="0" w:footer="336" w:gutter="0"/>
          <w:cols w:space="720"/>
        </w:sectPr>
      </w:pPr>
    </w:p>
    <w:p w14:paraId="1A6F1291" w14:textId="77777777" w:rsidR="00AC6F3C" w:rsidRDefault="00570E88">
      <w:pPr>
        <w:pStyle w:val="BodyText"/>
        <w:spacing w:before="76" w:line="249" w:lineRule="auto"/>
        <w:ind w:left="815" w:right="468"/>
      </w:pPr>
      <w:r>
        <w:lastRenderedPageBreak/>
        <w:t>The production of these resources is part of our overall strategy to continue to educate and guide practitioners</w:t>
      </w:r>
      <w:r>
        <w:rPr>
          <w:spacing w:val="-3"/>
        </w:rPr>
        <w:t xml:space="preserve"> </w:t>
      </w:r>
      <w:r>
        <w:t>on</w:t>
      </w:r>
      <w:r>
        <w:rPr>
          <w:spacing w:val="-3"/>
        </w:rPr>
        <w:t xml:space="preserve"> </w:t>
      </w:r>
      <w:r>
        <w:t>ethical</w:t>
      </w:r>
      <w:r>
        <w:rPr>
          <w:spacing w:val="-3"/>
        </w:rPr>
        <w:t xml:space="preserve"> </w:t>
      </w:r>
      <w:r>
        <w:t>and</w:t>
      </w:r>
      <w:r>
        <w:rPr>
          <w:spacing w:val="-3"/>
        </w:rPr>
        <w:t xml:space="preserve"> </w:t>
      </w:r>
      <w:r>
        <w:t>practice</w:t>
      </w:r>
      <w:r>
        <w:rPr>
          <w:spacing w:val="-3"/>
        </w:rPr>
        <w:t xml:space="preserve"> </w:t>
      </w:r>
      <w:r>
        <w:t>management</w:t>
      </w:r>
      <w:r>
        <w:rPr>
          <w:spacing w:val="-3"/>
        </w:rPr>
        <w:t xml:space="preserve"> </w:t>
      </w:r>
      <w:r>
        <w:t>type</w:t>
      </w:r>
      <w:r>
        <w:rPr>
          <w:spacing w:val="-3"/>
        </w:rPr>
        <w:t xml:space="preserve"> </w:t>
      </w:r>
      <w:r>
        <w:t>issues</w:t>
      </w:r>
      <w:r>
        <w:rPr>
          <w:spacing w:val="-3"/>
        </w:rPr>
        <w:t xml:space="preserve"> </w:t>
      </w:r>
      <w:r>
        <w:t>and</w:t>
      </w:r>
      <w:r>
        <w:rPr>
          <w:spacing w:val="-3"/>
        </w:rPr>
        <w:t xml:space="preserve"> </w:t>
      </w:r>
      <w:r>
        <w:t>to</w:t>
      </w:r>
      <w:r>
        <w:rPr>
          <w:spacing w:val="-3"/>
        </w:rPr>
        <w:t xml:space="preserve"> </w:t>
      </w:r>
      <w:r>
        <w:t>promote</w:t>
      </w:r>
      <w:r>
        <w:rPr>
          <w:spacing w:val="-3"/>
        </w:rPr>
        <w:t xml:space="preserve"> </w:t>
      </w:r>
      <w:r>
        <w:t>professionalism</w:t>
      </w:r>
      <w:r>
        <w:rPr>
          <w:spacing w:val="-3"/>
        </w:rPr>
        <w:t xml:space="preserve"> </w:t>
      </w:r>
      <w:r>
        <w:t>and courtesy within the profession and the community. This is an increase of 55% from last year.</w:t>
      </w:r>
    </w:p>
    <w:p w14:paraId="322808B6" w14:textId="77777777" w:rsidR="00AC6F3C" w:rsidRDefault="00AC6F3C">
      <w:pPr>
        <w:pStyle w:val="BodyText"/>
        <w:spacing w:before="1"/>
        <w:rPr>
          <w:sz w:val="31"/>
        </w:rPr>
      </w:pPr>
    </w:p>
    <w:p w14:paraId="44E30542" w14:textId="77777777" w:rsidR="00AC6F3C" w:rsidRDefault="00570E88">
      <w:pPr>
        <w:ind w:left="815"/>
        <w:rPr>
          <w:b/>
          <w:sz w:val="26"/>
        </w:rPr>
      </w:pPr>
      <w:r>
        <w:rPr>
          <w:b/>
          <w:sz w:val="26"/>
        </w:rPr>
        <w:t>Bespoke</w:t>
      </w:r>
      <w:r>
        <w:rPr>
          <w:b/>
          <w:spacing w:val="-8"/>
          <w:sz w:val="26"/>
        </w:rPr>
        <w:t xml:space="preserve"> </w:t>
      </w:r>
      <w:r>
        <w:rPr>
          <w:b/>
          <w:sz w:val="26"/>
        </w:rPr>
        <w:t>ethics</w:t>
      </w:r>
      <w:r>
        <w:rPr>
          <w:b/>
          <w:spacing w:val="-5"/>
          <w:sz w:val="26"/>
        </w:rPr>
        <w:t xml:space="preserve"> </w:t>
      </w:r>
      <w:r>
        <w:rPr>
          <w:b/>
          <w:spacing w:val="-2"/>
          <w:sz w:val="26"/>
        </w:rPr>
        <w:t>sessions</w:t>
      </w:r>
    </w:p>
    <w:p w14:paraId="544D9855" w14:textId="77777777" w:rsidR="00AC6F3C" w:rsidRDefault="00570E88">
      <w:pPr>
        <w:pStyle w:val="BodyText"/>
        <w:spacing w:before="168" w:line="249" w:lineRule="auto"/>
        <w:ind w:left="815" w:right="307"/>
        <w:rPr>
          <w:i/>
        </w:rPr>
      </w:pPr>
      <w:r>
        <w:t>Through</w:t>
      </w:r>
      <w:r>
        <w:rPr>
          <w:spacing w:val="-3"/>
        </w:rPr>
        <w:t xml:space="preserve"> </w:t>
      </w:r>
      <w:r>
        <w:t>the</w:t>
      </w:r>
      <w:r>
        <w:rPr>
          <w:spacing w:val="-3"/>
        </w:rPr>
        <w:t xml:space="preserve"> </w:t>
      </w:r>
      <w:r>
        <w:t>QLS</w:t>
      </w:r>
      <w:r>
        <w:rPr>
          <w:spacing w:val="-3"/>
        </w:rPr>
        <w:t xml:space="preserve"> </w:t>
      </w:r>
      <w:r>
        <w:t>Ethics</w:t>
      </w:r>
      <w:r>
        <w:rPr>
          <w:spacing w:val="-3"/>
        </w:rPr>
        <w:t xml:space="preserve"> </w:t>
      </w:r>
      <w:r>
        <w:t>and</w:t>
      </w:r>
      <w:r>
        <w:rPr>
          <w:spacing w:val="-3"/>
        </w:rPr>
        <w:t xml:space="preserve"> </w:t>
      </w:r>
      <w:r>
        <w:t>Practice</w:t>
      </w:r>
      <w:r>
        <w:rPr>
          <w:spacing w:val="-3"/>
        </w:rPr>
        <w:t xml:space="preserve"> </w:t>
      </w:r>
      <w:r>
        <w:t>Centre,</w:t>
      </w:r>
      <w:r>
        <w:rPr>
          <w:spacing w:val="-3"/>
        </w:rPr>
        <w:t xml:space="preserve"> </w:t>
      </w:r>
      <w:r>
        <w:t>QLS</w:t>
      </w:r>
      <w:r>
        <w:rPr>
          <w:spacing w:val="-3"/>
        </w:rPr>
        <w:t xml:space="preserve"> </w:t>
      </w:r>
      <w:r>
        <w:t>is</w:t>
      </w:r>
      <w:r>
        <w:rPr>
          <w:spacing w:val="-3"/>
        </w:rPr>
        <w:t xml:space="preserve"> </w:t>
      </w:r>
      <w:r>
        <w:t>committed</w:t>
      </w:r>
      <w:r>
        <w:rPr>
          <w:spacing w:val="-3"/>
        </w:rPr>
        <w:t xml:space="preserve"> </w:t>
      </w:r>
      <w:r>
        <w:t>to</w:t>
      </w:r>
      <w:r>
        <w:rPr>
          <w:spacing w:val="-3"/>
        </w:rPr>
        <w:t xml:space="preserve"> </w:t>
      </w:r>
      <w:r>
        <w:t>ensuring</w:t>
      </w:r>
      <w:r>
        <w:rPr>
          <w:spacing w:val="-3"/>
        </w:rPr>
        <w:t xml:space="preserve"> </w:t>
      </w:r>
      <w:r>
        <w:t>solicitors</w:t>
      </w:r>
      <w:r>
        <w:rPr>
          <w:spacing w:val="-3"/>
        </w:rPr>
        <w:t xml:space="preserve"> </w:t>
      </w:r>
      <w:proofErr w:type="gramStart"/>
      <w:r>
        <w:t>are</w:t>
      </w:r>
      <w:r>
        <w:rPr>
          <w:spacing w:val="-3"/>
        </w:rPr>
        <w:t xml:space="preserve"> </w:t>
      </w:r>
      <w:r>
        <w:t>equipped</w:t>
      </w:r>
      <w:proofErr w:type="gramEnd"/>
      <w:r>
        <w:rPr>
          <w:spacing w:val="-3"/>
        </w:rPr>
        <w:t xml:space="preserve"> </w:t>
      </w:r>
      <w:r>
        <w:t xml:space="preserve">with a comprehensive and practical working knowledge of their ethical duties and the </w:t>
      </w:r>
      <w:r>
        <w:rPr>
          <w:i/>
        </w:rPr>
        <w:t>Australian Solicitors</w:t>
      </w:r>
    </w:p>
    <w:p w14:paraId="3FD9C92C" w14:textId="77777777" w:rsidR="00AC6F3C" w:rsidRDefault="00570E88">
      <w:pPr>
        <w:pStyle w:val="BodyText"/>
        <w:spacing w:before="1" w:line="249" w:lineRule="auto"/>
        <w:ind w:left="815"/>
      </w:pPr>
      <w:r>
        <w:rPr>
          <w:i/>
        </w:rPr>
        <w:t>Conduct</w:t>
      </w:r>
      <w:r>
        <w:rPr>
          <w:i/>
          <w:spacing w:val="-3"/>
        </w:rPr>
        <w:t xml:space="preserve"> </w:t>
      </w:r>
      <w:r>
        <w:rPr>
          <w:i/>
        </w:rPr>
        <w:t>Rules</w:t>
      </w:r>
      <w:r>
        <w:rPr>
          <w:i/>
          <w:spacing w:val="-3"/>
        </w:rPr>
        <w:t xml:space="preserve"> </w:t>
      </w:r>
      <w:r>
        <w:rPr>
          <w:i/>
        </w:rPr>
        <w:t>2012</w:t>
      </w:r>
      <w:r>
        <w:rPr>
          <w:i/>
          <w:spacing w:val="-3"/>
        </w:rPr>
        <w:t xml:space="preserve"> </w:t>
      </w:r>
      <w:r>
        <w:t>as</w:t>
      </w:r>
      <w:r>
        <w:rPr>
          <w:spacing w:val="-3"/>
        </w:rPr>
        <w:t xml:space="preserve"> </w:t>
      </w:r>
      <w:r>
        <w:t>well</w:t>
      </w:r>
      <w:r>
        <w:rPr>
          <w:spacing w:val="-2"/>
        </w:rPr>
        <w:t xml:space="preserve"> </w:t>
      </w:r>
      <w:r>
        <w:t>as</w:t>
      </w:r>
      <w:r>
        <w:rPr>
          <w:spacing w:val="-3"/>
        </w:rPr>
        <w:t xml:space="preserve"> </w:t>
      </w:r>
      <w:r>
        <w:t>an</w:t>
      </w:r>
      <w:r>
        <w:rPr>
          <w:spacing w:val="-3"/>
        </w:rPr>
        <w:t xml:space="preserve"> </w:t>
      </w:r>
      <w:r>
        <w:t>understanding</w:t>
      </w:r>
      <w:r>
        <w:rPr>
          <w:spacing w:val="-2"/>
        </w:rPr>
        <w:t xml:space="preserve"> </w:t>
      </w:r>
      <w:r>
        <w:t>of</w:t>
      </w:r>
      <w:r>
        <w:rPr>
          <w:spacing w:val="-3"/>
        </w:rPr>
        <w:t xml:space="preserve"> </w:t>
      </w:r>
      <w:r>
        <w:t>how</w:t>
      </w:r>
      <w:r>
        <w:rPr>
          <w:spacing w:val="-3"/>
        </w:rPr>
        <w:t xml:space="preserve"> </w:t>
      </w:r>
      <w:r>
        <w:t>to</w:t>
      </w:r>
      <w:r>
        <w:rPr>
          <w:spacing w:val="-3"/>
        </w:rPr>
        <w:t xml:space="preserve"> </w:t>
      </w:r>
      <w:r>
        <w:t>resolve</w:t>
      </w:r>
      <w:r>
        <w:rPr>
          <w:spacing w:val="-2"/>
        </w:rPr>
        <w:t xml:space="preserve"> </w:t>
      </w:r>
      <w:r>
        <w:t>ethical</w:t>
      </w:r>
      <w:r>
        <w:rPr>
          <w:spacing w:val="-2"/>
        </w:rPr>
        <w:t xml:space="preserve"> </w:t>
      </w:r>
      <w:r>
        <w:t>dilemmas.</w:t>
      </w:r>
      <w:r>
        <w:rPr>
          <w:spacing w:val="-3"/>
        </w:rPr>
        <w:t xml:space="preserve"> </w:t>
      </w:r>
      <w:r>
        <w:t>We</w:t>
      </w:r>
      <w:r>
        <w:rPr>
          <w:spacing w:val="-3"/>
        </w:rPr>
        <w:t xml:space="preserve"> </w:t>
      </w:r>
      <w:r>
        <w:t>engage</w:t>
      </w:r>
      <w:r>
        <w:rPr>
          <w:spacing w:val="-2"/>
        </w:rPr>
        <w:t xml:space="preserve"> </w:t>
      </w:r>
      <w:r>
        <w:t>with</w:t>
      </w:r>
      <w:r>
        <w:rPr>
          <w:spacing w:val="-3"/>
        </w:rPr>
        <w:t xml:space="preserve"> </w:t>
      </w:r>
      <w:r>
        <w:t xml:space="preserve">law firms, community legal </w:t>
      </w:r>
      <w:proofErr w:type="spellStart"/>
      <w:r>
        <w:t>centres</w:t>
      </w:r>
      <w:proofErr w:type="spellEnd"/>
      <w:r>
        <w:t xml:space="preserve">, District Law Associations, government departments, in-house counsel, </w:t>
      </w:r>
      <w:proofErr w:type="gramStart"/>
      <w:r>
        <w:t>universities</w:t>
      </w:r>
      <w:proofErr w:type="gramEnd"/>
      <w:r>
        <w:t xml:space="preserve"> and practical legal trainers.</w:t>
      </w:r>
    </w:p>
    <w:p w14:paraId="21078417" w14:textId="77777777" w:rsidR="00AC6F3C" w:rsidRDefault="00570E88">
      <w:pPr>
        <w:pStyle w:val="BodyText"/>
        <w:spacing w:before="173" w:line="249" w:lineRule="auto"/>
        <w:ind w:left="815"/>
      </w:pPr>
      <w:r>
        <w:t xml:space="preserve">Our Bespoke Ethics Sessions </w:t>
      </w:r>
      <w:proofErr w:type="gramStart"/>
      <w:r>
        <w:t>are delivered</w:t>
      </w:r>
      <w:proofErr w:type="gramEnd"/>
      <w:r>
        <w:t xml:space="preserve"> to and in response to the individual firm’s/</w:t>
      </w:r>
      <w:proofErr w:type="spellStart"/>
      <w:r>
        <w:t>organisation’s</w:t>
      </w:r>
      <w:proofErr w:type="spellEnd"/>
      <w:r>
        <w:t xml:space="preserve"> specified</w:t>
      </w:r>
      <w:r>
        <w:rPr>
          <w:spacing w:val="-3"/>
        </w:rPr>
        <w:t xml:space="preserve"> </w:t>
      </w:r>
      <w:r>
        <w:t>needs.</w:t>
      </w:r>
      <w:r>
        <w:rPr>
          <w:spacing w:val="-6"/>
        </w:rPr>
        <w:t xml:space="preserve"> </w:t>
      </w:r>
      <w:r>
        <w:t>This</w:t>
      </w:r>
      <w:r>
        <w:rPr>
          <w:spacing w:val="-3"/>
        </w:rPr>
        <w:t xml:space="preserve"> </w:t>
      </w:r>
      <w:r>
        <w:t>year</w:t>
      </w:r>
      <w:r>
        <w:rPr>
          <w:spacing w:val="-3"/>
        </w:rPr>
        <w:t xml:space="preserve"> </w:t>
      </w:r>
      <w:r>
        <w:t>107</w:t>
      </w:r>
      <w:r>
        <w:rPr>
          <w:spacing w:val="-3"/>
        </w:rPr>
        <w:t xml:space="preserve"> </w:t>
      </w:r>
      <w:r>
        <w:t>sessions</w:t>
      </w:r>
      <w:r>
        <w:rPr>
          <w:spacing w:val="-3"/>
        </w:rPr>
        <w:t xml:space="preserve"> </w:t>
      </w:r>
      <w:r>
        <w:t>were</w:t>
      </w:r>
      <w:r>
        <w:rPr>
          <w:spacing w:val="-3"/>
        </w:rPr>
        <w:t xml:space="preserve"> </w:t>
      </w:r>
      <w:r>
        <w:t>delivered</w:t>
      </w:r>
      <w:r>
        <w:rPr>
          <w:spacing w:val="-3"/>
        </w:rPr>
        <w:t xml:space="preserve"> </w:t>
      </w:r>
      <w:r>
        <w:t>which</w:t>
      </w:r>
      <w:r>
        <w:rPr>
          <w:spacing w:val="-3"/>
        </w:rPr>
        <w:t xml:space="preserve"> </w:t>
      </w:r>
      <w:r>
        <w:t>is</w:t>
      </w:r>
      <w:r>
        <w:rPr>
          <w:spacing w:val="-3"/>
        </w:rPr>
        <w:t xml:space="preserve"> </w:t>
      </w:r>
      <w:r>
        <w:t>an</w:t>
      </w:r>
      <w:r>
        <w:rPr>
          <w:spacing w:val="-3"/>
        </w:rPr>
        <w:t xml:space="preserve"> </w:t>
      </w:r>
      <w:r>
        <w:t>increase</w:t>
      </w:r>
      <w:r>
        <w:rPr>
          <w:spacing w:val="-3"/>
        </w:rPr>
        <w:t xml:space="preserve"> </w:t>
      </w:r>
      <w:r>
        <w:t>of</w:t>
      </w:r>
      <w:r>
        <w:rPr>
          <w:spacing w:val="-3"/>
        </w:rPr>
        <w:t xml:space="preserve"> </w:t>
      </w:r>
      <w:r>
        <w:t>25%</w:t>
      </w:r>
      <w:r>
        <w:rPr>
          <w:spacing w:val="-3"/>
        </w:rPr>
        <w:t xml:space="preserve"> </w:t>
      </w:r>
      <w:r>
        <w:t>from</w:t>
      </w:r>
      <w:r>
        <w:rPr>
          <w:spacing w:val="-3"/>
        </w:rPr>
        <w:t xml:space="preserve"> </w:t>
      </w:r>
      <w:r>
        <w:t>the</w:t>
      </w:r>
      <w:r>
        <w:rPr>
          <w:spacing w:val="-3"/>
        </w:rPr>
        <w:t xml:space="preserve"> </w:t>
      </w:r>
      <w:r>
        <w:t xml:space="preserve">previous </w:t>
      </w:r>
      <w:proofErr w:type="gramStart"/>
      <w:r>
        <w:t>financial year</w:t>
      </w:r>
      <w:proofErr w:type="gramEnd"/>
      <w:r>
        <w:t>:</w:t>
      </w:r>
    </w:p>
    <w:p w14:paraId="3863176F" w14:textId="77777777" w:rsidR="00AC6F3C" w:rsidRDefault="00570E88">
      <w:pPr>
        <w:pStyle w:val="ListParagraph"/>
        <w:numPr>
          <w:ilvl w:val="0"/>
          <w:numId w:val="57"/>
        </w:numPr>
        <w:tabs>
          <w:tab w:val="left" w:pos="1211"/>
        </w:tabs>
        <w:spacing w:before="172"/>
        <w:ind w:left="1211" w:hanging="396"/>
        <w:rPr>
          <w:sz w:val="20"/>
        </w:rPr>
      </w:pPr>
      <w:r>
        <w:rPr>
          <w:sz w:val="20"/>
        </w:rPr>
        <w:t>bespoke</w:t>
      </w:r>
      <w:r>
        <w:rPr>
          <w:spacing w:val="-4"/>
          <w:sz w:val="20"/>
        </w:rPr>
        <w:t xml:space="preserve"> </w:t>
      </w:r>
      <w:r>
        <w:rPr>
          <w:sz w:val="20"/>
        </w:rPr>
        <w:t>ethics</w:t>
      </w:r>
      <w:r>
        <w:rPr>
          <w:spacing w:val="-2"/>
          <w:sz w:val="20"/>
        </w:rPr>
        <w:t xml:space="preserve"> </w:t>
      </w:r>
      <w:r>
        <w:rPr>
          <w:sz w:val="20"/>
        </w:rPr>
        <w:t>sessions</w:t>
      </w:r>
      <w:r>
        <w:rPr>
          <w:spacing w:val="-2"/>
          <w:sz w:val="20"/>
        </w:rPr>
        <w:t xml:space="preserve"> </w:t>
      </w:r>
      <w:r>
        <w:rPr>
          <w:sz w:val="20"/>
        </w:rPr>
        <w:t>to</w:t>
      </w:r>
      <w:r>
        <w:rPr>
          <w:spacing w:val="-1"/>
          <w:sz w:val="20"/>
        </w:rPr>
        <w:t xml:space="preserve"> </w:t>
      </w:r>
      <w:r>
        <w:rPr>
          <w:spacing w:val="-2"/>
          <w:sz w:val="20"/>
        </w:rPr>
        <w:t>firms</w:t>
      </w:r>
    </w:p>
    <w:p w14:paraId="4C86D630" w14:textId="77777777" w:rsidR="00AC6F3C" w:rsidRDefault="00570E88">
      <w:pPr>
        <w:pStyle w:val="ListParagraph"/>
        <w:numPr>
          <w:ilvl w:val="0"/>
          <w:numId w:val="57"/>
        </w:numPr>
        <w:tabs>
          <w:tab w:val="left" w:pos="1211"/>
        </w:tabs>
        <w:ind w:left="1211" w:hanging="396"/>
        <w:rPr>
          <w:sz w:val="20"/>
        </w:rPr>
      </w:pPr>
      <w:r>
        <w:rPr>
          <w:sz w:val="20"/>
        </w:rPr>
        <w:t>universities</w:t>
      </w:r>
      <w:r>
        <w:rPr>
          <w:spacing w:val="-4"/>
          <w:sz w:val="20"/>
        </w:rPr>
        <w:t xml:space="preserve"> </w:t>
      </w:r>
      <w:r>
        <w:rPr>
          <w:sz w:val="20"/>
        </w:rPr>
        <w:t>including</w:t>
      </w:r>
      <w:r>
        <w:rPr>
          <w:spacing w:val="-4"/>
          <w:sz w:val="20"/>
        </w:rPr>
        <w:t xml:space="preserve"> </w:t>
      </w:r>
      <w:proofErr w:type="gramStart"/>
      <w:r>
        <w:rPr>
          <w:spacing w:val="-5"/>
          <w:sz w:val="20"/>
        </w:rPr>
        <w:t>PLT</w:t>
      </w:r>
      <w:proofErr w:type="gramEnd"/>
    </w:p>
    <w:p w14:paraId="6BD3D99C" w14:textId="77777777" w:rsidR="00AC6F3C" w:rsidRDefault="00570E88">
      <w:pPr>
        <w:pStyle w:val="ListParagraph"/>
        <w:numPr>
          <w:ilvl w:val="0"/>
          <w:numId w:val="57"/>
        </w:numPr>
        <w:tabs>
          <w:tab w:val="left" w:pos="1211"/>
        </w:tabs>
        <w:ind w:left="1211" w:hanging="396"/>
        <w:rPr>
          <w:sz w:val="20"/>
        </w:rPr>
      </w:pPr>
      <w:r>
        <w:rPr>
          <w:sz w:val="20"/>
        </w:rPr>
        <w:t>internal</w:t>
      </w:r>
      <w:r>
        <w:rPr>
          <w:spacing w:val="-6"/>
          <w:sz w:val="20"/>
        </w:rPr>
        <w:t xml:space="preserve"> </w:t>
      </w:r>
      <w:r>
        <w:rPr>
          <w:sz w:val="20"/>
        </w:rPr>
        <w:t>professional</w:t>
      </w:r>
      <w:r>
        <w:rPr>
          <w:spacing w:val="-4"/>
          <w:sz w:val="20"/>
        </w:rPr>
        <w:t xml:space="preserve"> </w:t>
      </w:r>
      <w:r>
        <w:rPr>
          <w:sz w:val="20"/>
        </w:rPr>
        <w:t>development</w:t>
      </w:r>
      <w:r>
        <w:rPr>
          <w:spacing w:val="-3"/>
          <w:sz w:val="20"/>
        </w:rPr>
        <w:t xml:space="preserve"> </w:t>
      </w:r>
      <w:r>
        <w:rPr>
          <w:sz w:val="20"/>
        </w:rPr>
        <w:t>sessions</w:t>
      </w:r>
      <w:r>
        <w:rPr>
          <w:spacing w:val="-4"/>
          <w:sz w:val="20"/>
        </w:rPr>
        <w:t xml:space="preserve"> </w:t>
      </w:r>
      <w:r>
        <w:rPr>
          <w:sz w:val="20"/>
        </w:rPr>
        <w:t>(including</w:t>
      </w:r>
      <w:r>
        <w:rPr>
          <w:spacing w:val="-3"/>
          <w:sz w:val="20"/>
        </w:rPr>
        <w:t xml:space="preserve"> </w:t>
      </w:r>
      <w:r>
        <w:rPr>
          <w:sz w:val="20"/>
        </w:rPr>
        <w:t>PMC</w:t>
      </w:r>
      <w:r>
        <w:rPr>
          <w:spacing w:val="-4"/>
          <w:sz w:val="20"/>
        </w:rPr>
        <w:t xml:space="preserve"> </w:t>
      </w:r>
      <w:r>
        <w:rPr>
          <w:sz w:val="20"/>
        </w:rPr>
        <w:t>and</w:t>
      </w:r>
      <w:r>
        <w:rPr>
          <w:spacing w:val="-3"/>
          <w:sz w:val="20"/>
        </w:rPr>
        <w:t xml:space="preserve"> </w:t>
      </w:r>
      <w:r>
        <w:rPr>
          <w:sz w:val="20"/>
        </w:rPr>
        <w:t>sessions</w:t>
      </w:r>
      <w:r>
        <w:rPr>
          <w:spacing w:val="-4"/>
          <w:sz w:val="20"/>
        </w:rPr>
        <w:t xml:space="preserve"> </w:t>
      </w:r>
      <w:r>
        <w:rPr>
          <w:sz w:val="20"/>
        </w:rPr>
        <w:t>on</w:t>
      </w:r>
      <w:r>
        <w:rPr>
          <w:spacing w:val="-3"/>
          <w:sz w:val="20"/>
        </w:rPr>
        <w:t xml:space="preserve"> </w:t>
      </w:r>
      <w:r>
        <w:rPr>
          <w:spacing w:val="-2"/>
          <w:sz w:val="20"/>
        </w:rPr>
        <w:t>Cybersecurity)</w:t>
      </w:r>
    </w:p>
    <w:p w14:paraId="39501E46" w14:textId="77777777" w:rsidR="00AC6F3C" w:rsidRDefault="00570E88">
      <w:pPr>
        <w:pStyle w:val="ListParagraph"/>
        <w:numPr>
          <w:ilvl w:val="0"/>
          <w:numId w:val="57"/>
        </w:numPr>
        <w:tabs>
          <w:tab w:val="left" w:pos="1211"/>
        </w:tabs>
        <w:ind w:left="1211" w:hanging="396"/>
        <w:rPr>
          <w:sz w:val="20"/>
        </w:rPr>
      </w:pPr>
      <w:r>
        <w:rPr>
          <w:sz w:val="20"/>
        </w:rPr>
        <w:t>District</w:t>
      </w:r>
      <w:r>
        <w:rPr>
          <w:spacing w:val="-5"/>
          <w:sz w:val="20"/>
        </w:rPr>
        <w:t xml:space="preserve"> </w:t>
      </w:r>
      <w:r>
        <w:rPr>
          <w:sz w:val="20"/>
        </w:rPr>
        <w:t>Law</w:t>
      </w:r>
      <w:r>
        <w:rPr>
          <w:spacing w:val="-12"/>
          <w:sz w:val="20"/>
        </w:rPr>
        <w:t xml:space="preserve"> </w:t>
      </w:r>
      <w:r>
        <w:rPr>
          <w:sz w:val="20"/>
        </w:rPr>
        <w:t>Associations</w:t>
      </w:r>
      <w:r>
        <w:rPr>
          <w:spacing w:val="-2"/>
          <w:sz w:val="20"/>
        </w:rPr>
        <w:t xml:space="preserve"> </w:t>
      </w:r>
      <w:r>
        <w:rPr>
          <w:sz w:val="20"/>
        </w:rPr>
        <w:t>(including</w:t>
      </w:r>
      <w:r>
        <w:rPr>
          <w:spacing w:val="-2"/>
          <w:sz w:val="20"/>
        </w:rPr>
        <w:t xml:space="preserve"> </w:t>
      </w:r>
      <w:r>
        <w:rPr>
          <w:sz w:val="20"/>
        </w:rPr>
        <w:t>sessions</w:t>
      </w:r>
      <w:r>
        <w:rPr>
          <w:spacing w:val="-2"/>
          <w:sz w:val="20"/>
        </w:rPr>
        <w:t xml:space="preserve"> </w:t>
      </w:r>
      <w:r>
        <w:rPr>
          <w:sz w:val="20"/>
        </w:rPr>
        <w:t>on</w:t>
      </w:r>
      <w:r>
        <w:rPr>
          <w:spacing w:val="-2"/>
          <w:sz w:val="20"/>
        </w:rPr>
        <w:t xml:space="preserve"> Cybersecurity)</w:t>
      </w:r>
    </w:p>
    <w:p w14:paraId="51A62CC9" w14:textId="77777777" w:rsidR="00AC6F3C" w:rsidRDefault="00570E88">
      <w:pPr>
        <w:pStyle w:val="ListParagraph"/>
        <w:numPr>
          <w:ilvl w:val="0"/>
          <w:numId w:val="57"/>
        </w:numPr>
        <w:tabs>
          <w:tab w:val="left" w:pos="1211"/>
        </w:tabs>
        <w:ind w:left="1211" w:hanging="396"/>
        <w:rPr>
          <w:sz w:val="20"/>
        </w:rPr>
      </w:pPr>
      <w:r>
        <w:rPr>
          <w:sz w:val="20"/>
        </w:rPr>
        <w:t>pro-bono</w:t>
      </w:r>
      <w:r>
        <w:rPr>
          <w:spacing w:val="-7"/>
          <w:sz w:val="20"/>
        </w:rPr>
        <w:t xml:space="preserve"> </w:t>
      </w:r>
      <w:r>
        <w:rPr>
          <w:sz w:val="20"/>
        </w:rPr>
        <w:t>(including</w:t>
      </w:r>
      <w:r>
        <w:rPr>
          <w:spacing w:val="-4"/>
          <w:sz w:val="20"/>
        </w:rPr>
        <w:t xml:space="preserve"> </w:t>
      </w:r>
      <w:r>
        <w:rPr>
          <w:sz w:val="20"/>
        </w:rPr>
        <w:t>Government</w:t>
      </w:r>
      <w:r>
        <w:rPr>
          <w:spacing w:val="-5"/>
          <w:sz w:val="20"/>
        </w:rPr>
        <w:t xml:space="preserve"> </w:t>
      </w:r>
      <w:r>
        <w:rPr>
          <w:sz w:val="20"/>
        </w:rPr>
        <w:t>and</w:t>
      </w:r>
      <w:r>
        <w:rPr>
          <w:spacing w:val="-4"/>
          <w:sz w:val="20"/>
        </w:rPr>
        <w:t xml:space="preserve"> </w:t>
      </w:r>
      <w:r>
        <w:rPr>
          <w:sz w:val="20"/>
        </w:rPr>
        <w:t>In-</w:t>
      </w:r>
      <w:r>
        <w:rPr>
          <w:spacing w:val="-2"/>
          <w:sz w:val="20"/>
        </w:rPr>
        <w:t>House)</w:t>
      </w:r>
    </w:p>
    <w:p w14:paraId="6F10EE30" w14:textId="77777777" w:rsidR="00AC6F3C" w:rsidRDefault="00570E88">
      <w:pPr>
        <w:pStyle w:val="ListParagraph"/>
        <w:numPr>
          <w:ilvl w:val="0"/>
          <w:numId w:val="57"/>
        </w:numPr>
        <w:tabs>
          <w:tab w:val="left" w:pos="1211"/>
        </w:tabs>
        <w:ind w:left="1211" w:hanging="396"/>
        <w:rPr>
          <w:sz w:val="20"/>
        </w:rPr>
      </w:pPr>
      <w:r>
        <w:rPr>
          <w:sz w:val="20"/>
        </w:rPr>
        <w:t>other</w:t>
      </w:r>
      <w:r>
        <w:rPr>
          <w:spacing w:val="-4"/>
          <w:sz w:val="20"/>
        </w:rPr>
        <w:t xml:space="preserve"> </w:t>
      </w:r>
      <w:r>
        <w:rPr>
          <w:sz w:val="20"/>
        </w:rPr>
        <w:t>(including</w:t>
      </w:r>
      <w:r>
        <w:rPr>
          <w:spacing w:val="-2"/>
          <w:sz w:val="20"/>
        </w:rPr>
        <w:t xml:space="preserve"> </w:t>
      </w:r>
      <w:r>
        <w:rPr>
          <w:sz w:val="20"/>
        </w:rPr>
        <w:t>sessions</w:t>
      </w:r>
      <w:r>
        <w:rPr>
          <w:spacing w:val="-2"/>
          <w:sz w:val="20"/>
        </w:rPr>
        <w:t xml:space="preserve"> </w:t>
      </w:r>
      <w:r>
        <w:rPr>
          <w:sz w:val="20"/>
        </w:rPr>
        <w:t>on</w:t>
      </w:r>
      <w:r>
        <w:rPr>
          <w:spacing w:val="-2"/>
          <w:sz w:val="20"/>
        </w:rPr>
        <w:t xml:space="preserve"> </w:t>
      </w:r>
      <w:r>
        <w:rPr>
          <w:sz w:val="20"/>
        </w:rPr>
        <w:t>Cybersecurity),</w:t>
      </w:r>
      <w:r>
        <w:rPr>
          <w:spacing w:val="-2"/>
          <w:sz w:val="20"/>
        </w:rPr>
        <w:t xml:space="preserve"> </w:t>
      </w:r>
      <w:r>
        <w:rPr>
          <w:spacing w:val="-5"/>
          <w:sz w:val="20"/>
        </w:rPr>
        <w:t>and</w:t>
      </w:r>
    </w:p>
    <w:p w14:paraId="778E991A" w14:textId="77777777" w:rsidR="00AC6F3C" w:rsidRDefault="00570E88">
      <w:pPr>
        <w:pStyle w:val="ListParagraph"/>
        <w:numPr>
          <w:ilvl w:val="0"/>
          <w:numId w:val="57"/>
        </w:numPr>
        <w:tabs>
          <w:tab w:val="left" w:pos="1211"/>
        </w:tabs>
        <w:ind w:left="1211" w:hanging="396"/>
        <w:rPr>
          <w:sz w:val="20"/>
        </w:rPr>
      </w:pPr>
      <w:r>
        <w:rPr>
          <w:sz w:val="20"/>
        </w:rPr>
        <w:t>QLS</w:t>
      </w:r>
      <w:r>
        <w:rPr>
          <w:spacing w:val="-4"/>
          <w:sz w:val="20"/>
        </w:rPr>
        <w:t xml:space="preserve"> </w:t>
      </w:r>
      <w:r>
        <w:rPr>
          <w:sz w:val="20"/>
        </w:rPr>
        <w:t>Legal</w:t>
      </w:r>
      <w:r>
        <w:rPr>
          <w:spacing w:val="-1"/>
          <w:sz w:val="20"/>
        </w:rPr>
        <w:t xml:space="preserve"> </w:t>
      </w:r>
      <w:r>
        <w:rPr>
          <w:sz w:val="20"/>
        </w:rPr>
        <w:t>Ethics</w:t>
      </w:r>
      <w:r>
        <w:rPr>
          <w:spacing w:val="-1"/>
          <w:sz w:val="20"/>
        </w:rPr>
        <w:t xml:space="preserve"> </w:t>
      </w:r>
      <w:r>
        <w:rPr>
          <w:spacing w:val="-2"/>
          <w:sz w:val="20"/>
        </w:rPr>
        <w:t>Courses.</w:t>
      </w:r>
    </w:p>
    <w:p w14:paraId="3494696A" w14:textId="77777777" w:rsidR="00AC6F3C" w:rsidRDefault="00AC6F3C">
      <w:pPr>
        <w:pStyle w:val="BodyText"/>
        <w:spacing w:before="10"/>
        <w:rPr>
          <w:sz w:val="31"/>
        </w:rPr>
      </w:pPr>
    </w:p>
    <w:p w14:paraId="3C9CE1CC" w14:textId="77777777" w:rsidR="00AC6F3C" w:rsidRDefault="00570E88">
      <w:pPr>
        <w:ind w:left="815"/>
        <w:rPr>
          <w:b/>
          <w:sz w:val="26"/>
        </w:rPr>
      </w:pPr>
      <w:r>
        <w:rPr>
          <w:b/>
          <w:sz w:val="26"/>
        </w:rPr>
        <w:t>QLS</w:t>
      </w:r>
      <w:r>
        <w:rPr>
          <w:b/>
          <w:spacing w:val="-3"/>
          <w:sz w:val="26"/>
        </w:rPr>
        <w:t xml:space="preserve"> </w:t>
      </w:r>
      <w:r>
        <w:rPr>
          <w:b/>
          <w:sz w:val="26"/>
        </w:rPr>
        <w:t>Solicitor</w:t>
      </w:r>
      <w:r>
        <w:rPr>
          <w:b/>
          <w:spacing w:val="-2"/>
          <w:sz w:val="26"/>
        </w:rPr>
        <w:t xml:space="preserve"> </w:t>
      </w:r>
      <w:r>
        <w:rPr>
          <w:b/>
          <w:sz w:val="26"/>
        </w:rPr>
        <w:t>Support</w:t>
      </w:r>
      <w:r>
        <w:rPr>
          <w:b/>
          <w:spacing w:val="-3"/>
          <w:sz w:val="26"/>
        </w:rPr>
        <w:t xml:space="preserve"> </w:t>
      </w:r>
      <w:r>
        <w:rPr>
          <w:b/>
          <w:sz w:val="26"/>
        </w:rPr>
        <w:t>Pty</w:t>
      </w:r>
      <w:r>
        <w:rPr>
          <w:b/>
          <w:spacing w:val="-2"/>
          <w:sz w:val="26"/>
        </w:rPr>
        <w:t xml:space="preserve"> </w:t>
      </w:r>
      <w:r>
        <w:rPr>
          <w:b/>
          <w:spacing w:val="-5"/>
          <w:sz w:val="26"/>
        </w:rPr>
        <w:t>Ltd</w:t>
      </w:r>
    </w:p>
    <w:p w14:paraId="698F243A" w14:textId="77777777" w:rsidR="00AC6F3C" w:rsidRDefault="00570E88">
      <w:pPr>
        <w:pStyle w:val="BodyText"/>
        <w:spacing w:before="168" w:line="249" w:lineRule="auto"/>
        <w:ind w:left="815" w:right="375"/>
      </w:pPr>
      <w:r>
        <w:t>QLS Solicitor Support Pty Ltd (a wholly owned subsidiary of Queensland Law Society) is an incorporated legal practice (ILP) that</w:t>
      </w:r>
      <w:r>
        <w:rPr>
          <w:spacing w:val="40"/>
        </w:rPr>
        <w:t xml:space="preserve"> </w:t>
      </w:r>
      <w:r>
        <w:t>provides ethical practice support and guidance to practitioners. The purpose of QLS Solicitor Support is to advance Queensland Law Society’s strategic goal to guide the profession and to advance the objectives of providing legal services for the delivery of guidance, support</w:t>
      </w:r>
      <w:r>
        <w:rPr>
          <w:spacing w:val="-3"/>
        </w:rPr>
        <w:t xml:space="preserve"> </w:t>
      </w:r>
      <w:r>
        <w:t>and</w:t>
      </w:r>
      <w:r>
        <w:rPr>
          <w:spacing w:val="-3"/>
        </w:rPr>
        <w:t xml:space="preserve"> </w:t>
      </w:r>
      <w:r>
        <w:t>counsel,</w:t>
      </w:r>
      <w:r>
        <w:rPr>
          <w:spacing w:val="-3"/>
        </w:rPr>
        <w:t xml:space="preserve"> </w:t>
      </w:r>
      <w:r>
        <w:t>education</w:t>
      </w:r>
      <w:r>
        <w:rPr>
          <w:spacing w:val="-3"/>
        </w:rPr>
        <w:t xml:space="preserve"> </w:t>
      </w:r>
      <w:r>
        <w:t>and</w:t>
      </w:r>
      <w:r>
        <w:rPr>
          <w:spacing w:val="-3"/>
        </w:rPr>
        <w:t xml:space="preserve"> </w:t>
      </w:r>
      <w:r>
        <w:t>publications</w:t>
      </w:r>
      <w:r>
        <w:rPr>
          <w:spacing w:val="-3"/>
        </w:rPr>
        <w:t xml:space="preserve"> </w:t>
      </w:r>
      <w:r>
        <w:t>on</w:t>
      </w:r>
      <w:r>
        <w:rPr>
          <w:spacing w:val="-3"/>
        </w:rPr>
        <w:t xml:space="preserve"> </w:t>
      </w:r>
      <w:r>
        <w:t>legal</w:t>
      </w:r>
      <w:r>
        <w:rPr>
          <w:spacing w:val="-3"/>
        </w:rPr>
        <w:t xml:space="preserve"> </w:t>
      </w:r>
      <w:r>
        <w:t>ethics</w:t>
      </w:r>
      <w:r>
        <w:rPr>
          <w:spacing w:val="-3"/>
        </w:rPr>
        <w:t xml:space="preserve"> </w:t>
      </w:r>
      <w:r>
        <w:t>and</w:t>
      </w:r>
      <w:r>
        <w:rPr>
          <w:spacing w:val="-3"/>
        </w:rPr>
        <w:t xml:space="preserve"> </w:t>
      </w:r>
      <w:r>
        <w:t>practice</w:t>
      </w:r>
      <w:r>
        <w:rPr>
          <w:spacing w:val="-3"/>
        </w:rPr>
        <w:t xml:space="preserve"> </w:t>
      </w:r>
      <w:r>
        <w:t>management</w:t>
      </w:r>
      <w:r>
        <w:rPr>
          <w:spacing w:val="-3"/>
        </w:rPr>
        <w:t xml:space="preserve"> </w:t>
      </w:r>
      <w:r>
        <w:t>to</w:t>
      </w:r>
      <w:r>
        <w:rPr>
          <w:spacing w:val="-3"/>
        </w:rPr>
        <w:t xml:space="preserve"> </w:t>
      </w:r>
      <w:r>
        <w:t xml:space="preserve">members of QLS and the legal </w:t>
      </w:r>
      <w:proofErr w:type="gramStart"/>
      <w:r>
        <w:t>profession as a whole</w:t>
      </w:r>
      <w:proofErr w:type="gramEnd"/>
      <w:r>
        <w:t>.</w:t>
      </w:r>
    </w:p>
    <w:p w14:paraId="336DAC19" w14:textId="77777777" w:rsidR="00AC6F3C" w:rsidRDefault="00570E88">
      <w:pPr>
        <w:pStyle w:val="BodyText"/>
        <w:spacing w:before="175" w:line="249" w:lineRule="auto"/>
        <w:ind w:left="815" w:right="375"/>
      </w:pPr>
      <w:r>
        <w:t>The</w:t>
      </w:r>
      <w:r>
        <w:rPr>
          <w:spacing w:val="-3"/>
        </w:rPr>
        <w:t xml:space="preserve"> </w:t>
      </w:r>
      <w:r>
        <w:t>Practice</w:t>
      </w:r>
      <w:r>
        <w:rPr>
          <w:spacing w:val="-14"/>
        </w:rPr>
        <w:t xml:space="preserve"> </w:t>
      </w:r>
      <w:r>
        <w:t>Advisory</w:t>
      </w:r>
      <w:r>
        <w:rPr>
          <w:spacing w:val="-3"/>
        </w:rPr>
        <w:t xml:space="preserve"> </w:t>
      </w:r>
      <w:r>
        <w:t>Service</w:t>
      </w:r>
      <w:r>
        <w:rPr>
          <w:spacing w:val="-3"/>
        </w:rPr>
        <w:t xml:space="preserve"> </w:t>
      </w:r>
      <w:r>
        <w:t>sits</w:t>
      </w:r>
      <w:r>
        <w:rPr>
          <w:spacing w:val="-3"/>
        </w:rPr>
        <w:t xml:space="preserve"> </w:t>
      </w:r>
      <w:r>
        <w:t>within</w:t>
      </w:r>
      <w:r>
        <w:rPr>
          <w:spacing w:val="-3"/>
        </w:rPr>
        <w:t xml:space="preserve"> </w:t>
      </w:r>
      <w:r>
        <w:t>QLS</w:t>
      </w:r>
      <w:r>
        <w:rPr>
          <w:spacing w:val="-3"/>
        </w:rPr>
        <w:t xml:space="preserve"> </w:t>
      </w:r>
      <w:r>
        <w:t>Solicitor</w:t>
      </w:r>
      <w:r>
        <w:rPr>
          <w:spacing w:val="-3"/>
        </w:rPr>
        <w:t xml:space="preserve"> </w:t>
      </w:r>
      <w:r>
        <w:t>Support</w:t>
      </w:r>
      <w:r>
        <w:rPr>
          <w:spacing w:val="-3"/>
        </w:rPr>
        <w:t xml:space="preserve"> </w:t>
      </w:r>
      <w:r>
        <w:t>and</w:t>
      </w:r>
      <w:r>
        <w:rPr>
          <w:spacing w:val="-3"/>
        </w:rPr>
        <w:t xml:space="preserve"> </w:t>
      </w:r>
      <w:r>
        <w:t>this</w:t>
      </w:r>
      <w:r>
        <w:rPr>
          <w:spacing w:val="-3"/>
        </w:rPr>
        <w:t xml:space="preserve"> </w:t>
      </w:r>
      <w:r>
        <w:t>year</w:t>
      </w:r>
      <w:r>
        <w:rPr>
          <w:spacing w:val="-3"/>
        </w:rPr>
        <w:t xml:space="preserve"> </w:t>
      </w:r>
      <w:r>
        <w:t>has</w:t>
      </w:r>
      <w:r>
        <w:rPr>
          <w:spacing w:val="-3"/>
        </w:rPr>
        <w:t xml:space="preserve"> </w:t>
      </w:r>
      <w:r>
        <w:t>assisted</w:t>
      </w:r>
      <w:r>
        <w:rPr>
          <w:spacing w:val="-3"/>
        </w:rPr>
        <w:t xml:space="preserve"> </w:t>
      </w:r>
      <w:r>
        <w:t>practitioners in financial, practice, appropriate management, governance and staffing / supervision issues. Our practitioners travelled throughout Queensland and conducted 283 consultations in the Brisbane, Gold Coast, Sunshine Coast, Darling Downs, Ipswich, Dalby/Roma/Central Queensland, Wide Bay, Logan/ Redlands, Kingaroy/Burnett, Townsville/ North Queensland, and Cairns/Far North Queensland.</w:t>
      </w:r>
    </w:p>
    <w:p w14:paraId="11700B8F" w14:textId="77777777" w:rsidR="00AC6F3C" w:rsidRDefault="00570E88">
      <w:pPr>
        <w:pStyle w:val="BodyText"/>
        <w:spacing w:before="174" w:line="249" w:lineRule="auto"/>
        <w:ind w:left="815" w:right="157"/>
      </w:pPr>
      <w:r>
        <w:t>The</w:t>
      </w:r>
      <w:r>
        <w:rPr>
          <w:spacing w:val="-2"/>
        </w:rPr>
        <w:t xml:space="preserve"> </w:t>
      </w:r>
      <w:r>
        <w:t>ILP</w:t>
      </w:r>
      <w:r>
        <w:rPr>
          <w:spacing w:val="-5"/>
        </w:rPr>
        <w:t xml:space="preserve"> </w:t>
      </w:r>
      <w:r>
        <w:t>is</w:t>
      </w:r>
      <w:r>
        <w:rPr>
          <w:spacing w:val="-2"/>
        </w:rPr>
        <w:t xml:space="preserve"> </w:t>
      </w:r>
      <w:r>
        <w:t>a</w:t>
      </w:r>
      <w:r>
        <w:rPr>
          <w:spacing w:val="-2"/>
        </w:rPr>
        <w:t xml:space="preserve"> </w:t>
      </w:r>
      <w:r>
        <w:t>wholly</w:t>
      </w:r>
      <w:r>
        <w:rPr>
          <w:spacing w:val="-2"/>
        </w:rPr>
        <w:t xml:space="preserve"> </w:t>
      </w:r>
      <w:r>
        <w:t>owned</w:t>
      </w:r>
      <w:r>
        <w:rPr>
          <w:spacing w:val="-2"/>
        </w:rPr>
        <w:t xml:space="preserve"> </w:t>
      </w:r>
      <w:r>
        <w:t>subsidiary</w:t>
      </w:r>
      <w:r>
        <w:rPr>
          <w:spacing w:val="-2"/>
        </w:rPr>
        <w:t xml:space="preserve"> </w:t>
      </w:r>
      <w:r>
        <w:t>of</w:t>
      </w:r>
      <w:r>
        <w:rPr>
          <w:spacing w:val="-2"/>
        </w:rPr>
        <w:t xml:space="preserve"> </w:t>
      </w:r>
      <w:r>
        <w:t>QLS</w:t>
      </w:r>
      <w:r>
        <w:rPr>
          <w:spacing w:val="-2"/>
        </w:rPr>
        <w:t xml:space="preserve"> </w:t>
      </w:r>
      <w:r>
        <w:t>and</w:t>
      </w:r>
      <w:r>
        <w:rPr>
          <w:spacing w:val="-2"/>
        </w:rPr>
        <w:t xml:space="preserve"> </w:t>
      </w:r>
      <w:r>
        <w:t>is</w:t>
      </w:r>
      <w:r>
        <w:rPr>
          <w:spacing w:val="-2"/>
        </w:rPr>
        <w:t xml:space="preserve"> </w:t>
      </w:r>
      <w:r>
        <w:t>governed</w:t>
      </w:r>
      <w:r>
        <w:rPr>
          <w:spacing w:val="-2"/>
        </w:rPr>
        <w:t xml:space="preserve"> </w:t>
      </w:r>
      <w:r>
        <w:t>by</w:t>
      </w:r>
      <w:r>
        <w:rPr>
          <w:spacing w:val="-2"/>
        </w:rPr>
        <w:t xml:space="preserve"> </w:t>
      </w:r>
      <w:r>
        <w:t>its</w:t>
      </w:r>
      <w:r>
        <w:rPr>
          <w:spacing w:val="-2"/>
        </w:rPr>
        <w:t xml:space="preserve"> </w:t>
      </w:r>
      <w:r>
        <w:t>constitution.</w:t>
      </w:r>
      <w:r>
        <w:rPr>
          <w:spacing w:val="-2"/>
        </w:rPr>
        <w:t xml:space="preserve"> </w:t>
      </w:r>
      <w:r>
        <w:t>In</w:t>
      </w:r>
      <w:r>
        <w:rPr>
          <w:spacing w:val="-2"/>
        </w:rPr>
        <w:t xml:space="preserve"> </w:t>
      </w:r>
      <w:r>
        <w:t>March</w:t>
      </w:r>
      <w:r>
        <w:rPr>
          <w:spacing w:val="-2"/>
        </w:rPr>
        <w:t xml:space="preserve"> </w:t>
      </w:r>
      <w:r>
        <w:t>2023,</w:t>
      </w:r>
      <w:r>
        <w:rPr>
          <w:spacing w:val="-2"/>
        </w:rPr>
        <w:t xml:space="preserve"> </w:t>
      </w:r>
      <w:r>
        <w:t>QLS,</w:t>
      </w:r>
      <w:r>
        <w:rPr>
          <w:spacing w:val="-2"/>
        </w:rPr>
        <w:t xml:space="preserve"> </w:t>
      </w:r>
      <w:r>
        <w:t>as the ILP’s sole shareholder, approved the ILP’s annual Strategic Plan, which outlines the ILP’s authority, vision, purpose, annual initiatives and KPIs for the 2023-24 financial year.</w:t>
      </w:r>
    </w:p>
    <w:p w14:paraId="12782393" w14:textId="77777777" w:rsidR="00AC6F3C" w:rsidRDefault="00AC6F3C">
      <w:pPr>
        <w:spacing w:line="249" w:lineRule="auto"/>
        <w:sectPr w:rsidR="00AC6F3C">
          <w:headerReference w:type="default" r:id="rId120"/>
          <w:footerReference w:type="default" r:id="rId121"/>
          <w:pgSz w:w="11910" w:h="16840"/>
          <w:pgMar w:top="1140" w:right="1160" w:bottom="520" w:left="460" w:header="0" w:footer="336" w:gutter="0"/>
          <w:cols w:space="720"/>
        </w:sectPr>
      </w:pPr>
    </w:p>
    <w:p w14:paraId="25F981D7" w14:textId="77777777" w:rsidR="00AC6F3C" w:rsidRDefault="00570E88">
      <w:pPr>
        <w:spacing w:before="63"/>
        <w:ind w:left="815"/>
        <w:rPr>
          <w:b/>
          <w:sz w:val="26"/>
        </w:rPr>
      </w:pPr>
      <w:r>
        <w:rPr>
          <w:b/>
          <w:sz w:val="26"/>
        </w:rPr>
        <w:lastRenderedPageBreak/>
        <w:t>QLS</w:t>
      </w:r>
      <w:r>
        <w:rPr>
          <w:b/>
          <w:spacing w:val="-4"/>
          <w:sz w:val="26"/>
        </w:rPr>
        <w:t xml:space="preserve"> </w:t>
      </w:r>
      <w:r>
        <w:rPr>
          <w:b/>
          <w:sz w:val="26"/>
        </w:rPr>
        <w:t>Solicitor</w:t>
      </w:r>
      <w:r>
        <w:rPr>
          <w:b/>
          <w:spacing w:val="-3"/>
          <w:sz w:val="26"/>
        </w:rPr>
        <w:t xml:space="preserve"> </w:t>
      </w:r>
      <w:r>
        <w:rPr>
          <w:b/>
          <w:sz w:val="26"/>
        </w:rPr>
        <w:t>Support</w:t>
      </w:r>
      <w:r>
        <w:rPr>
          <w:b/>
          <w:spacing w:val="-3"/>
          <w:sz w:val="26"/>
        </w:rPr>
        <w:t xml:space="preserve"> </w:t>
      </w:r>
      <w:r>
        <w:rPr>
          <w:b/>
          <w:sz w:val="26"/>
        </w:rPr>
        <w:t>Pty</w:t>
      </w:r>
      <w:r>
        <w:rPr>
          <w:b/>
          <w:spacing w:val="-4"/>
          <w:sz w:val="26"/>
        </w:rPr>
        <w:t xml:space="preserve"> </w:t>
      </w:r>
      <w:r>
        <w:rPr>
          <w:b/>
          <w:sz w:val="26"/>
        </w:rPr>
        <w:t>Ltd</w:t>
      </w:r>
      <w:r>
        <w:rPr>
          <w:b/>
          <w:spacing w:val="-3"/>
          <w:sz w:val="26"/>
        </w:rPr>
        <w:t xml:space="preserve"> </w:t>
      </w:r>
      <w:r>
        <w:rPr>
          <w:b/>
          <w:sz w:val="26"/>
        </w:rPr>
        <w:t>Strategic</w:t>
      </w:r>
      <w:r>
        <w:rPr>
          <w:b/>
          <w:spacing w:val="-3"/>
          <w:sz w:val="26"/>
        </w:rPr>
        <w:t xml:space="preserve"> </w:t>
      </w:r>
      <w:r>
        <w:rPr>
          <w:b/>
          <w:sz w:val="26"/>
        </w:rPr>
        <w:t>Plan</w:t>
      </w:r>
      <w:r>
        <w:rPr>
          <w:b/>
          <w:spacing w:val="-3"/>
          <w:sz w:val="26"/>
        </w:rPr>
        <w:t xml:space="preserve"> </w:t>
      </w:r>
      <w:r>
        <w:rPr>
          <w:b/>
          <w:sz w:val="26"/>
        </w:rPr>
        <w:t>2022-</w:t>
      </w:r>
      <w:r>
        <w:rPr>
          <w:b/>
          <w:spacing w:val="-5"/>
          <w:sz w:val="26"/>
        </w:rPr>
        <w:t>23</w:t>
      </w:r>
    </w:p>
    <w:p w14:paraId="6FF6DADC" w14:textId="77777777" w:rsidR="00AC6F3C" w:rsidRDefault="00570E88">
      <w:pPr>
        <w:pStyle w:val="BodyText"/>
        <w:spacing w:before="8"/>
        <w:rPr>
          <w:b/>
          <w:sz w:val="22"/>
        </w:rPr>
      </w:pPr>
      <w:r>
        <w:rPr>
          <w:noProof/>
        </w:rPr>
        <mc:AlternateContent>
          <mc:Choice Requires="wpg">
            <w:drawing>
              <wp:anchor distT="0" distB="0" distL="0" distR="0" simplePos="0" relativeHeight="487620608" behindDoc="1" locked="0" layoutInCell="1" allowOverlap="1" wp14:anchorId="71A49DB9" wp14:editId="5343C58E">
                <wp:simplePos x="0" y="0"/>
                <wp:positionH relativeFrom="page">
                  <wp:posOffset>809999</wp:posOffset>
                </wp:positionH>
                <wp:positionV relativeFrom="paragraph">
                  <wp:posOffset>181143</wp:posOffset>
                </wp:positionV>
                <wp:extent cx="5940425" cy="12700"/>
                <wp:effectExtent l="0" t="0" r="0" b="0"/>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19" name="Graphic 319"/>
                        <wps:cNvSpPr/>
                        <wps:spPr>
                          <a:xfrm>
                            <a:off x="0" y="6350"/>
                            <a:ext cx="1878330" cy="1270"/>
                          </a:xfrm>
                          <a:custGeom>
                            <a:avLst/>
                            <a:gdLst/>
                            <a:ahLst/>
                            <a:cxnLst/>
                            <a:rect l="l" t="t" r="r" b="b"/>
                            <a:pathLst>
                              <a:path w="1878330">
                                <a:moveTo>
                                  <a:pt x="0" y="0"/>
                                </a:moveTo>
                                <a:lnTo>
                                  <a:pt x="1877999" y="0"/>
                                </a:lnTo>
                              </a:path>
                            </a:pathLst>
                          </a:custGeom>
                          <a:ln w="12700">
                            <a:solidFill>
                              <a:srgbClr val="000000"/>
                            </a:solidFill>
                            <a:prstDash val="solid"/>
                          </a:ln>
                        </wps:spPr>
                        <wps:bodyPr wrap="square" lIns="0" tIns="0" rIns="0" bIns="0" rtlCol="0">
                          <a:prstTxWarp prst="textNoShape">
                            <a:avLst/>
                          </a:prstTxWarp>
                          <a:noAutofit/>
                        </wps:bodyPr>
                      </wps:wsp>
                      <wps:wsp>
                        <wps:cNvPr id="320" name="Graphic 320"/>
                        <wps:cNvSpPr/>
                        <wps:spPr>
                          <a:xfrm>
                            <a:off x="1877999" y="6350"/>
                            <a:ext cx="1872614" cy="1270"/>
                          </a:xfrm>
                          <a:custGeom>
                            <a:avLst/>
                            <a:gdLst/>
                            <a:ahLst/>
                            <a:cxnLst/>
                            <a:rect l="l" t="t" r="r" b="b"/>
                            <a:pathLst>
                              <a:path w="1872614">
                                <a:moveTo>
                                  <a:pt x="0" y="0"/>
                                </a:moveTo>
                                <a:lnTo>
                                  <a:pt x="1872005" y="0"/>
                                </a:lnTo>
                              </a:path>
                            </a:pathLst>
                          </a:custGeom>
                          <a:ln w="12700">
                            <a:solidFill>
                              <a:srgbClr val="000000"/>
                            </a:solidFill>
                            <a:prstDash val="solid"/>
                          </a:ln>
                        </wps:spPr>
                        <wps:bodyPr wrap="square" lIns="0" tIns="0" rIns="0" bIns="0" rtlCol="0">
                          <a:prstTxWarp prst="textNoShape">
                            <a:avLst/>
                          </a:prstTxWarp>
                          <a:noAutofit/>
                        </wps:bodyPr>
                      </wps:wsp>
                      <wps:wsp>
                        <wps:cNvPr id="321" name="Graphic 321"/>
                        <wps:cNvSpPr/>
                        <wps:spPr>
                          <a:xfrm>
                            <a:off x="3750000" y="6350"/>
                            <a:ext cx="2190115" cy="1270"/>
                          </a:xfrm>
                          <a:custGeom>
                            <a:avLst/>
                            <a:gdLst/>
                            <a:ahLst/>
                            <a:cxnLst/>
                            <a:rect l="l" t="t" r="r" b="b"/>
                            <a:pathLst>
                              <a:path w="2190115">
                                <a:moveTo>
                                  <a:pt x="0" y="0"/>
                                </a:moveTo>
                                <a:lnTo>
                                  <a:pt x="2190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4FB91A" id="Group 318" o:spid="_x0000_s1026" style="position:absolute;margin-left:63.8pt;margin-top:14.25pt;width:467.75pt;height:1pt;z-index:-15695872;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">
                <v:shape id="Graphic 319" o:spid="_x0000_s1027" style="position:absolute;top:63;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" path="m,l1877999,e" filled="f" strokeweight="1pt">
                  <v:path arrowok="t"/>
                </v:shape>
                <v:shape id="Graphic 320" o:spid="_x0000_s1028" style="position:absolute;left:18779;top:63;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" path="m,l1872005,e" filled="f" strokeweight="1pt">
                  <v:path arrowok="t"/>
                </v:shape>
                <v:shape id="Graphic 321" o:spid="_x0000_s1029" style="position:absolute;left:37500;top:63;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" path="m,l2190000,e" filled="f" strokeweight="1pt">
                  <v:path arrowok="t"/>
                </v:shape>
                <w10:wrap type="topAndBottom" anchorx="page"/>
              </v:group>
            </w:pict>
          </mc:Fallback>
        </mc:AlternateContent>
      </w:r>
    </w:p>
    <w:p w14:paraId="6C372E3E" w14:textId="77777777" w:rsidR="00AC6F3C" w:rsidRDefault="00570E88">
      <w:pPr>
        <w:tabs>
          <w:tab w:val="left" w:pos="3886"/>
          <w:tab w:val="left" w:pos="6834"/>
        </w:tabs>
        <w:spacing w:before="61"/>
        <w:ind w:left="928"/>
        <w:rPr>
          <w:b/>
          <w:sz w:val="20"/>
        </w:rPr>
      </w:pPr>
      <w:r>
        <w:rPr>
          <w:b/>
          <w:spacing w:val="-2"/>
          <w:sz w:val="20"/>
        </w:rPr>
        <w:t>Initiative</w:t>
      </w:r>
      <w:r>
        <w:rPr>
          <w:b/>
          <w:sz w:val="20"/>
        </w:rPr>
        <w:tab/>
      </w:r>
      <w:r>
        <w:rPr>
          <w:b/>
          <w:spacing w:val="-5"/>
          <w:sz w:val="20"/>
        </w:rPr>
        <w:t>KPI</w:t>
      </w:r>
      <w:r>
        <w:rPr>
          <w:b/>
          <w:sz w:val="20"/>
        </w:rPr>
        <w:tab/>
      </w:r>
      <w:r>
        <w:rPr>
          <w:b/>
          <w:spacing w:val="-2"/>
          <w:sz w:val="20"/>
        </w:rPr>
        <w:t>Reporting</w:t>
      </w:r>
    </w:p>
    <w:p w14:paraId="1BF5F856" w14:textId="77777777" w:rsidR="00AC6F3C" w:rsidRDefault="00AC6F3C">
      <w:pPr>
        <w:rPr>
          <w:sz w:val="20"/>
        </w:rPr>
        <w:sectPr w:rsidR="00AC6F3C">
          <w:headerReference w:type="default" r:id="rId122"/>
          <w:footerReference w:type="default" r:id="rId123"/>
          <w:pgSz w:w="11910" w:h="16840"/>
          <w:pgMar w:top="1140" w:right="1160" w:bottom="520" w:left="460" w:header="0" w:footer="336" w:gutter="0"/>
          <w:cols w:space="720"/>
        </w:sectPr>
      </w:pPr>
    </w:p>
    <w:p w14:paraId="4644BFCD" w14:textId="77777777" w:rsidR="00AC6F3C" w:rsidRDefault="00570E88">
      <w:pPr>
        <w:pStyle w:val="ListParagraph"/>
        <w:numPr>
          <w:ilvl w:val="0"/>
          <w:numId w:val="56"/>
        </w:numPr>
        <w:tabs>
          <w:tab w:val="left" w:pos="1266"/>
          <w:tab w:val="left" w:pos="1268"/>
        </w:tabs>
        <w:spacing w:before="150" w:line="249" w:lineRule="auto"/>
        <w:ind w:right="98"/>
        <w:jc w:val="both"/>
        <w:rPr>
          <w:sz w:val="20"/>
        </w:rPr>
      </w:pPr>
      <w:r>
        <w:rPr>
          <w:noProof/>
        </w:rPr>
        <mc:AlternateContent>
          <mc:Choice Requires="wpg">
            <w:drawing>
              <wp:anchor distT="0" distB="0" distL="0" distR="0" simplePos="0" relativeHeight="15763456" behindDoc="0" locked="0" layoutInCell="1" allowOverlap="1" wp14:anchorId="69FEC275" wp14:editId="6D76F597">
                <wp:simplePos x="0" y="0"/>
                <wp:positionH relativeFrom="page">
                  <wp:posOffset>809999</wp:posOffset>
                </wp:positionH>
                <wp:positionV relativeFrom="paragraph">
                  <wp:posOffset>38850</wp:posOffset>
                </wp:positionV>
                <wp:extent cx="5940425" cy="127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23" name="Graphic 323"/>
                        <wps:cNvSpPr/>
                        <wps:spPr>
                          <a:xfrm>
                            <a:off x="0" y="6350"/>
                            <a:ext cx="1878330" cy="1270"/>
                          </a:xfrm>
                          <a:custGeom>
                            <a:avLst/>
                            <a:gdLst/>
                            <a:ahLst/>
                            <a:cxnLst/>
                            <a:rect l="l" t="t" r="r" b="b"/>
                            <a:pathLst>
                              <a:path w="1878330">
                                <a:moveTo>
                                  <a:pt x="0" y="0"/>
                                </a:moveTo>
                                <a:lnTo>
                                  <a:pt x="1877999" y="0"/>
                                </a:lnTo>
                              </a:path>
                            </a:pathLst>
                          </a:custGeom>
                          <a:ln w="12700">
                            <a:solidFill>
                              <a:srgbClr val="000000"/>
                            </a:solidFill>
                            <a:prstDash val="solid"/>
                          </a:ln>
                        </wps:spPr>
                        <wps:bodyPr wrap="square" lIns="0" tIns="0" rIns="0" bIns="0" rtlCol="0">
                          <a:prstTxWarp prst="textNoShape">
                            <a:avLst/>
                          </a:prstTxWarp>
                          <a:noAutofit/>
                        </wps:bodyPr>
                      </wps:wsp>
                      <wps:wsp>
                        <wps:cNvPr id="324" name="Graphic 324"/>
                        <wps:cNvSpPr/>
                        <wps:spPr>
                          <a:xfrm>
                            <a:off x="1877999" y="6350"/>
                            <a:ext cx="1872614" cy="1270"/>
                          </a:xfrm>
                          <a:custGeom>
                            <a:avLst/>
                            <a:gdLst/>
                            <a:ahLst/>
                            <a:cxnLst/>
                            <a:rect l="l" t="t" r="r" b="b"/>
                            <a:pathLst>
                              <a:path w="1872614">
                                <a:moveTo>
                                  <a:pt x="0" y="0"/>
                                </a:moveTo>
                                <a:lnTo>
                                  <a:pt x="1872005" y="0"/>
                                </a:lnTo>
                              </a:path>
                            </a:pathLst>
                          </a:custGeom>
                          <a:ln w="12700">
                            <a:solidFill>
                              <a:srgbClr val="000000"/>
                            </a:solidFill>
                            <a:prstDash val="solid"/>
                          </a:ln>
                        </wps:spPr>
                        <wps:bodyPr wrap="square" lIns="0" tIns="0" rIns="0" bIns="0" rtlCol="0">
                          <a:prstTxWarp prst="textNoShape">
                            <a:avLst/>
                          </a:prstTxWarp>
                          <a:noAutofit/>
                        </wps:bodyPr>
                      </wps:wsp>
                      <wps:wsp>
                        <wps:cNvPr id="325" name="Graphic 325"/>
                        <wps:cNvSpPr/>
                        <wps:spPr>
                          <a:xfrm>
                            <a:off x="3750000" y="6350"/>
                            <a:ext cx="2190115" cy="1270"/>
                          </a:xfrm>
                          <a:custGeom>
                            <a:avLst/>
                            <a:gdLst/>
                            <a:ahLst/>
                            <a:cxnLst/>
                            <a:rect l="l" t="t" r="r" b="b"/>
                            <a:pathLst>
                              <a:path w="2190115">
                                <a:moveTo>
                                  <a:pt x="0" y="0"/>
                                </a:moveTo>
                                <a:lnTo>
                                  <a:pt x="2190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E8CAF3" id="Group 322" o:spid="_x0000_s1026" style="position:absolute;margin-left:63.8pt;margin-top:3.05pt;width:467.75pt;height:1pt;z-index:15763456;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">
                <v:shape id="Graphic 323" o:spid="_x0000_s1027" style="position:absolute;top:63;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" path="m,l1877999,e" filled="f" strokeweight="1pt">
                  <v:path arrowok="t"/>
                </v:shape>
                <v:shape id="Graphic 324" o:spid="_x0000_s1028" style="position:absolute;left:18779;top:63;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" path="m,l1872005,e" filled="f" strokeweight="1pt">
                  <v:path arrowok="t"/>
                </v:shape>
                <v:shape id="Graphic 325" o:spid="_x0000_s1029" style="position:absolute;left:37500;top:63;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" path="m,l2190000,e" filled="f" strokeweight="1pt">
                  <v:path arrowok="t"/>
                </v:shape>
                <w10:wrap anchorx="page"/>
              </v:group>
            </w:pict>
          </mc:Fallback>
        </mc:AlternateContent>
      </w:r>
      <w:r>
        <w:rPr>
          <w:sz w:val="20"/>
        </w:rPr>
        <w:t>To</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respond</w:t>
      </w:r>
      <w:r>
        <w:rPr>
          <w:spacing w:val="-6"/>
          <w:sz w:val="20"/>
        </w:rPr>
        <w:t xml:space="preserve"> </w:t>
      </w:r>
      <w:r>
        <w:rPr>
          <w:sz w:val="20"/>
        </w:rPr>
        <w:t>to and</w:t>
      </w:r>
      <w:r>
        <w:rPr>
          <w:spacing w:val="-10"/>
          <w:sz w:val="20"/>
        </w:rPr>
        <w:t xml:space="preserve"> </w:t>
      </w:r>
      <w:r>
        <w:rPr>
          <w:sz w:val="20"/>
        </w:rPr>
        <w:t>provide</w:t>
      </w:r>
      <w:r>
        <w:rPr>
          <w:spacing w:val="-10"/>
          <w:sz w:val="20"/>
        </w:rPr>
        <w:t xml:space="preserve"> </w:t>
      </w:r>
      <w:r>
        <w:rPr>
          <w:sz w:val="20"/>
        </w:rPr>
        <w:t>a</w:t>
      </w:r>
      <w:r>
        <w:rPr>
          <w:spacing w:val="-10"/>
          <w:sz w:val="20"/>
        </w:rPr>
        <w:t xml:space="preserve"> </w:t>
      </w:r>
      <w:r>
        <w:rPr>
          <w:sz w:val="20"/>
        </w:rPr>
        <w:t>high</w:t>
      </w:r>
      <w:r>
        <w:rPr>
          <w:spacing w:val="-10"/>
          <w:sz w:val="20"/>
        </w:rPr>
        <w:t xml:space="preserve"> </w:t>
      </w:r>
      <w:r>
        <w:rPr>
          <w:sz w:val="20"/>
        </w:rPr>
        <w:t>quality ethics advisory service to the profession.</w:t>
      </w:r>
    </w:p>
    <w:p w14:paraId="567EFD07" w14:textId="77777777" w:rsidR="00AC6F3C" w:rsidRDefault="00AC6F3C">
      <w:pPr>
        <w:pStyle w:val="BodyText"/>
        <w:rPr>
          <w:sz w:val="22"/>
        </w:rPr>
      </w:pPr>
    </w:p>
    <w:p w14:paraId="60BDE269" w14:textId="77777777" w:rsidR="00AC6F3C" w:rsidRDefault="00AC6F3C">
      <w:pPr>
        <w:pStyle w:val="BodyText"/>
        <w:rPr>
          <w:sz w:val="22"/>
        </w:rPr>
      </w:pPr>
    </w:p>
    <w:p w14:paraId="6FA3D36C" w14:textId="77777777" w:rsidR="00AC6F3C" w:rsidRDefault="00AC6F3C">
      <w:pPr>
        <w:pStyle w:val="BodyText"/>
        <w:rPr>
          <w:sz w:val="22"/>
        </w:rPr>
      </w:pPr>
    </w:p>
    <w:p w14:paraId="7AF2CB0B" w14:textId="77777777" w:rsidR="00AC6F3C" w:rsidRDefault="00AC6F3C">
      <w:pPr>
        <w:pStyle w:val="BodyText"/>
        <w:rPr>
          <w:sz w:val="22"/>
        </w:rPr>
      </w:pPr>
    </w:p>
    <w:p w14:paraId="4F646C17" w14:textId="77777777" w:rsidR="00AC6F3C" w:rsidRDefault="00AC6F3C">
      <w:pPr>
        <w:pStyle w:val="BodyText"/>
        <w:rPr>
          <w:sz w:val="22"/>
        </w:rPr>
      </w:pPr>
    </w:p>
    <w:p w14:paraId="5A939B60" w14:textId="77777777" w:rsidR="00AC6F3C" w:rsidRDefault="00AC6F3C">
      <w:pPr>
        <w:pStyle w:val="BodyText"/>
        <w:rPr>
          <w:sz w:val="22"/>
        </w:rPr>
      </w:pPr>
    </w:p>
    <w:p w14:paraId="6BBC96BA" w14:textId="77777777" w:rsidR="00AC6F3C" w:rsidRDefault="00AC6F3C">
      <w:pPr>
        <w:pStyle w:val="BodyText"/>
        <w:spacing w:before="10"/>
        <w:rPr>
          <w:sz w:val="25"/>
        </w:rPr>
      </w:pPr>
    </w:p>
    <w:p w14:paraId="3CEF4A24" w14:textId="77777777" w:rsidR="00AC6F3C" w:rsidRDefault="00570E88">
      <w:pPr>
        <w:pStyle w:val="ListParagraph"/>
        <w:numPr>
          <w:ilvl w:val="0"/>
          <w:numId w:val="56"/>
        </w:numPr>
        <w:tabs>
          <w:tab w:val="left" w:pos="1267"/>
          <w:tab w:val="left" w:pos="1269"/>
        </w:tabs>
        <w:spacing w:before="0" w:line="249" w:lineRule="auto"/>
        <w:ind w:left="1269" w:right="299"/>
        <w:rPr>
          <w:sz w:val="20"/>
        </w:rPr>
      </w:pPr>
      <w:r>
        <w:rPr>
          <w:noProof/>
        </w:rPr>
        <mc:AlternateContent>
          <mc:Choice Requires="wpg">
            <w:drawing>
              <wp:anchor distT="0" distB="0" distL="0" distR="0" simplePos="0" relativeHeight="15762432" behindDoc="0" locked="0" layoutInCell="1" allowOverlap="1" wp14:anchorId="07B8A210" wp14:editId="512DEB32">
                <wp:simplePos x="0" y="0"/>
                <wp:positionH relativeFrom="page">
                  <wp:posOffset>809999</wp:posOffset>
                </wp:positionH>
                <wp:positionV relativeFrom="paragraph">
                  <wp:posOffset>-46937</wp:posOffset>
                </wp:positionV>
                <wp:extent cx="5940425" cy="317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327" name="Graphic 327"/>
                        <wps:cNvSpPr/>
                        <wps:spPr>
                          <a:xfrm>
                            <a:off x="0" y="1587"/>
                            <a:ext cx="1878330" cy="1270"/>
                          </a:xfrm>
                          <a:custGeom>
                            <a:avLst/>
                            <a:gdLst/>
                            <a:ahLst/>
                            <a:cxnLst/>
                            <a:rect l="l" t="t" r="r" b="b"/>
                            <a:pathLst>
                              <a:path w="1878330">
                                <a:moveTo>
                                  <a:pt x="0" y="0"/>
                                </a:moveTo>
                                <a:lnTo>
                                  <a:pt x="1877999" y="0"/>
                                </a:lnTo>
                              </a:path>
                            </a:pathLst>
                          </a:custGeom>
                          <a:ln w="3175">
                            <a:solidFill>
                              <a:srgbClr val="000000"/>
                            </a:solidFill>
                            <a:prstDash val="solid"/>
                          </a:ln>
                        </wps:spPr>
                        <wps:bodyPr wrap="square" lIns="0" tIns="0" rIns="0" bIns="0" rtlCol="0">
                          <a:prstTxWarp prst="textNoShape">
                            <a:avLst/>
                          </a:prstTxWarp>
                          <a:noAutofit/>
                        </wps:bodyPr>
                      </wps:wsp>
                      <wps:wsp>
                        <wps:cNvPr id="328" name="Graphic 328"/>
                        <wps:cNvSpPr/>
                        <wps:spPr>
                          <a:xfrm>
                            <a:off x="1877999" y="1587"/>
                            <a:ext cx="1872614" cy="1270"/>
                          </a:xfrm>
                          <a:custGeom>
                            <a:avLst/>
                            <a:gdLst/>
                            <a:ahLst/>
                            <a:cxnLst/>
                            <a:rect l="l" t="t" r="r" b="b"/>
                            <a:pathLst>
                              <a:path w="1872614">
                                <a:moveTo>
                                  <a:pt x="0" y="0"/>
                                </a:moveTo>
                                <a:lnTo>
                                  <a:pt x="1872005" y="0"/>
                                </a:lnTo>
                              </a:path>
                            </a:pathLst>
                          </a:custGeom>
                          <a:ln w="3175">
                            <a:solidFill>
                              <a:srgbClr val="000000"/>
                            </a:solidFill>
                            <a:prstDash val="solid"/>
                          </a:ln>
                        </wps:spPr>
                        <wps:bodyPr wrap="square" lIns="0" tIns="0" rIns="0" bIns="0" rtlCol="0">
                          <a:prstTxWarp prst="textNoShape">
                            <a:avLst/>
                          </a:prstTxWarp>
                          <a:noAutofit/>
                        </wps:bodyPr>
                      </wps:wsp>
                      <wps:wsp>
                        <wps:cNvPr id="329" name="Graphic 329"/>
                        <wps:cNvSpPr/>
                        <wps:spPr>
                          <a:xfrm>
                            <a:off x="3750000" y="1587"/>
                            <a:ext cx="2190115" cy="1270"/>
                          </a:xfrm>
                          <a:custGeom>
                            <a:avLst/>
                            <a:gdLst/>
                            <a:ahLst/>
                            <a:cxnLst/>
                            <a:rect l="l" t="t" r="r" b="b"/>
                            <a:pathLst>
                              <a:path w="2190115">
                                <a:moveTo>
                                  <a:pt x="0" y="0"/>
                                </a:moveTo>
                                <a:lnTo>
                                  <a:pt x="21900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27B099" id="Group 326" o:spid="_x0000_s1026" style="position:absolute;margin-left:63.8pt;margin-top:-3.7pt;width:467.75pt;height:.25pt;z-index:1576243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">
                <v:shape id="Graphic 327" o:spid="_x0000_s1027" style="position:absolute;top:15;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" path="m,l1877999,e" filled="f" strokeweight=".25pt">
                  <v:path arrowok="t"/>
                </v:shape>
                <v:shape id="Graphic 328" o:spid="_x0000_s1028" style="position:absolute;left:18779;top:15;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" path="m,l1872005,e" filled="f" strokeweight=".25pt">
                  <v:path arrowok="t"/>
                </v:shape>
                <v:shape id="Graphic 329" o:spid="_x0000_s1029" style="position:absolute;left:37500;top:15;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" path="m,l2190000,e" filled="f" strokeweight=".25pt">
                  <v:path arrowok="t"/>
                </v:shape>
                <w10:wrap anchorx="page"/>
              </v:group>
            </w:pict>
          </mc:Fallback>
        </mc:AlternateContent>
      </w:r>
      <w:r>
        <w:rPr>
          <w:sz w:val="20"/>
        </w:rPr>
        <w:t>To continue to provide a high quality practice advisory</w:t>
      </w:r>
      <w:r>
        <w:rPr>
          <w:spacing w:val="-13"/>
          <w:sz w:val="20"/>
        </w:rPr>
        <w:t xml:space="preserve"> </w:t>
      </w:r>
      <w:r>
        <w:rPr>
          <w:sz w:val="20"/>
        </w:rPr>
        <w:t>service</w:t>
      </w:r>
      <w:r>
        <w:rPr>
          <w:spacing w:val="-13"/>
          <w:sz w:val="20"/>
        </w:rPr>
        <w:t xml:space="preserve"> </w:t>
      </w:r>
      <w:r>
        <w:rPr>
          <w:sz w:val="20"/>
        </w:rPr>
        <w:t>to</w:t>
      </w:r>
      <w:r>
        <w:rPr>
          <w:spacing w:val="-13"/>
          <w:sz w:val="20"/>
        </w:rPr>
        <w:t xml:space="preserve"> </w:t>
      </w:r>
      <w:r>
        <w:rPr>
          <w:sz w:val="20"/>
        </w:rPr>
        <w:t>sole to small firms which</w:t>
      </w:r>
    </w:p>
    <w:p w14:paraId="42FC288F" w14:textId="77777777" w:rsidR="00AC6F3C" w:rsidRDefault="00570E88">
      <w:pPr>
        <w:pStyle w:val="BodyText"/>
        <w:spacing w:before="4" w:line="249" w:lineRule="auto"/>
        <w:ind w:left="1269"/>
      </w:pPr>
      <w:r>
        <w:t>includes and assists the practitioner in financial, practice management, marketing,</w:t>
      </w:r>
      <w:r>
        <w:rPr>
          <w:spacing w:val="-14"/>
        </w:rPr>
        <w:t xml:space="preserve"> </w:t>
      </w:r>
      <w:r>
        <w:t>wellbeing</w:t>
      </w:r>
      <w:r>
        <w:rPr>
          <w:spacing w:val="-14"/>
        </w:rPr>
        <w:t xml:space="preserve"> </w:t>
      </w:r>
      <w:r>
        <w:t xml:space="preserve">and </w:t>
      </w:r>
      <w:proofErr w:type="spellStart"/>
      <w:r>
        <w:t>organisational</w:t>
      </w:r>
      <w:proofErr w:type="spellEnd"/>
      <w:r>
        <w:t xml:space="preserve"> culture </w:t>
      </w:r>
      <w:r>
        <w:rPr>
          <w:spacing w:val="-2"/>
        </w:rPr>
        <w:t>issues.</w:t>
      </w:r>
    </w:p>
    <w:p w14:paraId="5EACDBDA" w14:textId="77777777" w:rsidR="00AC6F3C" w:rsidRDefault="00AC6F3C">
      <w:pPr>
        <w:pStyle w:val="BodyText"/>
        <w:rPr>
          <w:sz w:val="22"/>
        </w:rPr>
      </w:pPr>
    </w:p>
    <w:p w14:paraId="287B153C" w14:textId="77777777" w:rsidR="00AC6F3C" w:rsidRDefault="00AC6F3C">
      <w:pPr>
        <w:pStyle w:val="BodyText"/>
        <w:rPr>
          <w:sz w:val="22"/>
        </w:rPr>
      </w:pPr>
    </w:p>
    <w:p w14:paraId="14EA6CE0" w14:textId="77777777" w:rsidR="00AC6F3C" w:rsidRDefault="00AC6F3C">
      <w:pPr>
        <w:pStyle w:val="BodyText"/>
        <w:rPr>
          <w:sz w:val="22"/>
        </w:rPr>
      </w:pPr>
    </w:p>
    <w:p w14:paraId="005F8B32" w14:textId="77777777" w:rsidR="00AC6F3C" w:rsidRDefault="00AC6F3C">
      <w:pPr>
        <w:pStyle w:val="BodyText"/>
        <w:rPr>
          <w:sz w:val="22"/>
        </w:rPr>
      </w:pPr>
    </w:p>
    <w:p w14:paraId="6C6BAB05" w14:textId="77777777" w:rsidR="00AC6F3C" w:rsidRDefault="00AC6F3C">
      <w:pPr>
        <w:pStyle w:val="BodyText"/>
        <w:rPr>
          <w:sz w:val="22"/>
        </w:rPr>
      </w:pPr>
    </w:p>
    <w:p w14:paraId="798CBEF3" w14:textId="77777777" w:rsidR="00AC6F3C" w:rsidRDefault="00AC6F3C">
      <w:pPr>
        <w:pStyle w:val="BodyText"/>
        <w:rPr>
          <w:sz w:val="22"/>
        </w:rPr>
      </w:pPr>
    </w:p>
    <w:p w14:paraId="27865A4D" w14:textId="77777777" w:rsidR="00AC6F3C" w:rsidRDefault="00AC6F3C">
      <w:pPr>
        <w:pStyle w:val="BodyText"/>
        <w:rPr>
          <w:sz w:val="22"/>
        </w:rPr>
      </w:pPr>
    </w:p>
    <w:p w14:paraId="684316B5" w14:textId="77777777" w:rsidR="00AC6F3C" w:rsidRDefault="00AC6F3C">
      <w:pPr>
        <w:pStyle w:val="BodyText"/>
        <w:rPr>
          <w:sz w:val="22"/>
        </w:rPr>
      </w:pPr>
    </w:p>
    <w:p w14:paraId="70CB1CAE" w14:textId="77777777" w:rsidR="00AC6F3C" w:rsidRDefault="00AC6F3C">
      <w:pPr>
        <w:pStyle w:val="BodyText"/>
        <w:rPr>
          <w:sz w:val="22"/>
        </w:rPr>
      </w:pPr>
    </w:p>
    <w:p w14:paraId="3B1833E0" w14:textId="77777777" w:rsidR="00AC6F3C" w:rsidRDefault="00AC6F3C">
      <w:pPr>
        <w:pStyle w:val="BodyText"/>
        <w:rPr>
          <w:sz w:val="22"/>
        </w:rPr>
      </w:pPr>
    </w:p>
    <w:p w14:paraId="2A8AEB2C" w14:textId="77777777" w:rsidR="00AC6F3C" w:rsidRDefault="00AC6F3C">
      <w:pPr>
        <w:pStyle w:val="BodyText"/>
        <w:rPr>
          <w:sz w:val="22"/>
        </w:rPr>
      </w:pPr>
    </w:p>
    <w:p w14:paraId="2E6CC5CF" w14:textId="77777777" w:rsidR="00AC6F3C" w:rsidRDefault="00AC6F3C">
      <w:pPr>
        <w:pStyle w:val="BodyText"/>
        <w:rPr>
          <w:sz w:val="22"/>
        </w:rPr>
      </w:pPr>
    </w:p>
    <w:p w14:paraId="1DED7356" w14:textId="77777777" w:rsidR="00AC6F3C" w:rsidRDefault="00AC6F3C">
      <w:pPr>
        <w:pStyle w:val="BodyText"/>
        <w:rPr>
          <w:sz w:val="22"/>
        </w:rPr>
      </w:pPr>
    </w:p>
    <w:p w14:paraId="396E7B9D" w14:textId="77777777" w:rsidR="00AC6F3C" w:rsidRDefault="00AC6F3C">
      <w:pPr>
        <w:pStyle w:val="BodyText"/>
        <w:rPr>
          <w:sz w:val="22"/>
        </w:rPr>
      </w:pPr>
    </w:p>
    <w:p w14:paraId="5E8919EA" w14:textId="77777777" w:rsidR="00AC6F3C" w:rsidRDefault="00570E88">
      <w:pPr>
        <w:pStyle w:val="ListParagraph"/>
        <w:numPr>
          <w:ilvl w:val="0"/>
          <w:numId w:val="56"/>
        </w:numPr>
        <w:tabs>
          <w:tab w:val="left" w:pos="1267"/>
          <w:tab w:val="left" w:pos="1269"/>
        </w:tabs>
        <w:spacing w:before="155" w:line="249" w:lineRule="auto"/>
        <w:ind w:left="1269"/>
        <w:rPr>
          <w:sz w:val="20"/>
        </w:rPr>
      </w:pPr>
      <w:r>
        <w:rPr>
          <w:noProof/>
        </w:rPr>
        <mc:AlternateContent>
          <mc:Choice Requires="wpg">
            <w:drawing>
              <wp:anchor distT="0" distB="0" distL="0" distR="0" simplePos="0" relativeHeight="15762944" behindDoc="0" locked="0" layoutInCell="1" allowOverlap="1" wp14:anchorId="69A4BD85" wp14:editId="700787C8">
                <wp:simplePos x="0" y="0"/>
                <wp:positionH relativeFrom="page">
                  <wp:posOffset>809999</wp:posOffset>
                </wp:positionH>
                <wp:positionV relativeFrom="paragraph">
                  <wp:posOffset>51927</wp:posOffset>
                </wp:positionV>
                <wp:extent cx="5940425" cy="317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331" name="Graphic 331"/>
                        <wps:cNvSpPr/>
                        <wps:spPr>
                          <a:xfrm>
                            <a:off x="0" y="1587"/>
                            <a:ext cx="1878330" cy="1270"/>
                          </a:xfrm>
                          <a:custGeom>
                            <a:avLst/>
                            <a:gdLst/>
                            <a:ahLst/>
                            <a:cxnLst/>
                            <a:rect l="l" t="t" r="r" b="b"/>
                            <a:pathLst>
                              <a:path w="1878330">
                                <a:moveTo>
                                  <a:pt x="0" y="0"/>
                                </a:moveTo>
                                <a:lnTo>
                                  <a:pt x="1877999" y="0"/>
                                </a:lnTo>
                              </a:path>
                            </a:pathLst>
                          </a:custGeom>
                          <a:ln w="3175">
                            <a:solidFill>
                              <a:srgbClr val="000000"/>
                            </a:solidFill>
                            <a:prstDash val="solid"/>
                          </a:ln>
                        </wps:spPr>
                        <wps:bodyPr wrap="square" lIns="0" tIns="0" rIns="0" bIns="0" rtlCol="0">
                          <a:prstTxWarp prst="textNoShape">
                            <a:avLst/>
                          </a:prstTxWarp>
                          <a:noAutofit/>
                        </wps:bodyPr>
                      </wps:wsp>
                      <wps:wsp>
                        <wps:cNvPr id="332" name="Graphic 332"/>
                        <wps:cNvSpPr/>
                        <wps:spPr>
                          <a:xfrm>
                            <a:off x="1877999" y="1587"/>
                            <a:ext cx="1872614" cy="1270"/>
                          </a:xfrm>
                          <a:custGeom>
                            <a:avLst/>
                            <a:gdLst/>
                            <a:ahLst/>
                            <a:cxnLst/>
                            <a:rect l="l" t="t" r="r" b="b"/>
                            <a:pathLst>
                              <a:path w="1872614">
                                <a:moveTo>
                                  <a:pt x="0" y="0"/>
                                </a:moveTo>
                                <a:lnTo>
                                  <a:pt x="1872005" y="0"/>
                                </a:lnTo>
                              </a:path>
                            </a:pathLst>
                          </a:custGeom>
                          <a:ln w="3175">
                            <a:solidFill>
                              <a:srgbClr val="000000"/>
                            </a:solidFill>
                            <a:prstDash val="solid"/>
                          </a:ln>
                        </wps:spPr>
                        <wps:bodyPr wrap="square" lIns="0" tIns="0" rIns="0" bIns="0" rtlCol="0">
                          <a:prstTxWarp prst="textNoShape">
                            <a:avLst/>
                          </a:prstTxWarp>
                          <a:noAutofit/>
                        </wps:bodyPr>
                      </wps:wsp>
                      <wps:wsp>
                        <wps:cNvPr id="333" name="Graphic 333"/>
                        <wps:cNvSpPr/>
                        <wps:spPr>
                          <a:xfrm>
                            <a:off x="3750000" y="1587"/>
                            <a:ext cx="2190115" cy="1270"/>
                          </a:xfrm>
                          <a:custGeom>
                            <a:avLst/>
                            <a:gdLst/>
                            <a:ahLst/>
                            <a:cxnLst/>
                            <a:rect l="l" t="t" r="r" b="b"/>
                            <a:pathLst>
                              <a:path w="2190115">
                                <a:moveTo>
                                  <a:pt x="0" y="0"/>
                                </a:moveTo>
                                <a:lnTo>
                                  <a:pt x="21900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30DD19" id="Group 330" o:spid="_x0000_s1026" style="position:absolute;margin-left:63.8pt;margin-top:4.1pt;width:467.75pt;height:.25pt;z-index:1576294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">
                <v:shape id="Graphic 331" o:spid="_x0000_s1027" style="position:absolute;top:15;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" path="m,l1877999,e" filled="f" strokeweight=".25pt">
                  <v:path arrowok="t"/>
                </v:shape>
                <v:shape id="Graphic 332" o:spid="_x0000_s1028" style="position:absolute;left:18779;top:15;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" path="m,l1872005,e" filled="f" strokeweight=".25pt">
                  <v:path arrowok="t"/>
                </v:shape>
                <v:shape id="Graphic 333" o:spid="_x0000_s1029" style="position:absolute;left:37500;top:15;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" path="m,l2190000,e" filled="f" strokeweight=".25pt">
                  <v:path arrowok="t"/>
                </v:shape>
                <w10:wrap anchorx="page"/>
              </v:group>
            </w:pict>
          </mc:Fallback>
        </mc:AlternateContent>
      </w:r>
      <w:r>
        <w:rPr>
          <w:sz w:val="20"/>
        </w:rPr>
        <w:t>To continue to provide support in finance, governance,</w:t>
      </w:r>
      <w:r>
        <w:rPr>
          <w:spacing w:val="-14"/>
          <w:sz w:val="20"/>
        </w:rPr>
        <w:t xml:space="preserve"> </w:t>
      </w:r>
      <w:r>
        <w:rPr>
          <w:sz w:val="20"/>
        </w:rPr>
        <w:t>wellbeing</w:t>
      </w:r>
      <w:r>
        <w:rPr>
          <w:spacing w:val="-14"/>
          <w:sz w:val="20"/>
        </w:rPr>
        <w:t xml:space="preserve"> </w:t>
      </w:r>
      <w:r>
        <w:rPr>
          <w:sz w:val="20"/>
        </w:rPr>
        <w:t>and business management</w:t>
      </w:r>
    </w:p>
    <w:p w14:paraId="4CB404B7" w14:textId="77777777" w:rsidR="00AC6F3C" w:rsidRDefault="00570E88">
      <w:pPr>
        <w:pStyle w:val="BodyText"/>
        <w:spacing w:before="3" w:line="249" w:lineRule="auto"/>
        <w:ind w:left="1269"/>
      </w:pPr>
      <w:r>
        <w:t>to</w:t>
      </w:r>
      <w:r>
        <w:rPr>
          <w:spacing w:val="-10"/>
        </w:rPr>
        <w:t xml:space="preserve"> </w:t>
      </w:r>
      <w:r>
        <w:t>sole</w:t>
      </w:r>
      <w:r>
        <w:rPr>
          <w:spacing w:val="-10"/>
        </w:rPr>
        <w:t xml:space="preserve"> </w:t>
      </w:r>
      <w:r>
        <w:t>and</w:t>
      </w:r>
      <w:r>
        <w:rPr>
          <w:spacing w:val="-10"/>
        </w:rPr>
        <w:t xml:space="preserve"> </w:t>
      </w:r>
      <w:r>
        <w:t>small</w:t>
      </w:r>
      <w:r>
        <w:rPr>
          <w:spacing w:val="-10"/>
        </w:rPr>
        <w:t xml:space="preserve"> </w:t>
      </w:r>
      <w:r>
        <w:t xml:space="preserve">firms </w:t>
      </w:r>
      <w:r>
        <w:rPr>
          <w:spacing w:val="-2"/>
        </w:rPr>
        <w:t>through:</w:t>
      </w:r>
    </w:p>
    <w:p w14:paraId="3125D119" w14:textId="77777777" w:rsidR="00AC6F3C" w:rsidRDefault="00570E88">
      <w:pPr>
        <w:pStyle w:val="ListParagraph"/>
        <w:numPr>
          <w:ilvl w:val="1"/>
          <w:numId w:val="56"/>
        </w:numPr>
        <w:tabs>
          <w:tab w:val="left" w:pos="1438"/>
        </w:tabs>
        <w:spacing w:before="172"/>
        <w:ind w:left="1438" w:hanging="169"/>
        <w:rPr>
          <w:sz w:val="20"/>
        </w:rPr>
      </w:pPr>
      <w:r>
        <w:rPr>
          <w:sz w:val="20"/>
        </w:rPr>
        <w:t>practice</w:t>
      </w:r>
      <w:r>
        <w:rPr>
          <w:spacing w:val="-4"/>
          <w:sz w:val="20"/>
        </w:rPr>
        <w:t xml:space="preserve"> </w:t>
      </w:r>
      <w:r>
        <w:rPr>
          <w:sz w:val="20"/>
        </w:rPr>
        <w:t>advisory</w:t>
      </w:r>
      <w:r>
        <w:rPr>
          <w:spacing w:val="-3"/>
          <w:sz w:val="20"/>
        </w:rPr>
        <w:t xml:space="preserve"> </w:t>
      </w:r>
      <w:r>
        <w:rPr>
          <w:spacing w:val="-2"/>
          <w:sz w:val="20"/>
        </w:rPr>
        <w:t>visits</w:t>
      </w:r>
    </w:p>
    <w:p w14:paraId="12D38626" w14:textId="77777777" w:rsidR="00AC6F3C" w:rsidRDefault="00570E88">
      <w:pPr>
        <w:pStyle w:val="ListParagraph"/>
        <w:numPr>
          <w:ilvl w:val="1"/>
          <w:numId w:val="56"/>
        </w:numPr>
        <w:tabs>
          <w:tab w:val="left" w:pos="1438"/>
        </w:tabs>
        <w:ind w:left="1438" w:hanging="169"/>
        <w:rPr>
          <w:sz w:val="20"/>
        </w:rPr>
      </w:pPr>
      <w:r>
        <w:rPr>
          <w:sz w:val="20"/>
        </w:rPr>
        <w:t>specific</w:t>
      </w:r>
      <w:r>
        <w:rPr>
          <w:spacing w:val="-4"/>
          <w:sz w:val="20"/>
        </w:rPr>
        <w:t xml:space="preserve"> </w:t>
      </w:r>
      <w:r>
        <w:rPr>
          <w:sz w:val="20"/>
        </w:rPr>
        <w:t>referral</w:t>
      </w:r>
      <w:r>
        <w:rPr>
          <w:spacing w:val="-3"/>
          <w:sz w:val="20"/>
        </w:rPr>
        <w:t xml:space="preserve"> </w:t>
      </w:r>
      <w:r>
        <w:rPr>
          <w:spacing w:val="-2"/>
          <w:sz w:val="20"/>
        </w:rPr>
        <w:t>services</w:t>
      </w:r>
    </w:p>
    <w:p w14:paraId="57CE2004" w14:textId="77777777" w:rsidR="00AC6F3C" w:rsidRDefault="00570E88">
      <w:pPr>
        <w:pStyle w:val="ListParagraph"/>
        <w:numPr>
          <w:ilvl w:val="1"/>
          <w:numId w:val="56"/>
        </w:numPr>
        <w:tabs>
          <w:tab w:val="left" w:pos="1439"/>
        </w:tabs>
        <w:spacing w:line="249" w:lineRule="auto"/>
        <w:ind w:right="362"/>
        <w:rPr>
          <w:sz w:val="20"/>
        </w:rPr>
      </w:pPr>
      <w:r>
        <w:rPr>
          <w:sz w:val="20"/>
        </w:rPr>
        <w:t>templates,</w:t>
      </w:r>
      <w:r>
        <w:rPr>
          <w:spacing w:val="-14"/>
          <w:sz w:val="20"/>
        </w:rPr>
        <w:t xml:space="preserve"> </w:t>
      </w:r>
      <w:r>
        <w:rPr>
          <w:sz w:val="20"/>
        </w:rPr>
        <w:t>checklists and other practice support material</w:t>
      </w:r>
    </w:p>
    <w:p w14:paraId="19AF2CD8" w14:textId="77777777" w:rsidR="00AC6F3C" w:rsidRDefault="00570E88">
      <w:pPr>
        <w:pStyle w:val="ListParagraph"/>
        <w:numPr>
          <w:ilvl w:val="1"/>
          <w:numId w:val="56"/>
        </w:numPr>
        <w:tabs>
          <w:tab w:val="left" w:pos="1439"/>
        </w:tabs>
        <w:spacing w:before="172" w:line="249" w:lineRule="auto"/>
        <w:ind w:right="206"/>
        <w:rPr>
          <w:sz w:val="20"/>
        </w:rPr>
      </w:pPr>
      <w:r>
        <w:rPr>
          <w:sz w:val="20"/>
        </w:rPr>
        <w:t>ethics, and practice management</w:t>
      </w:r>
      <w:r>
        <w:rPr>
          <w:spacing w:val="-14"/>
          <w:sz w:val="20"/>
        </w:rPr>
        <w:t xml:space="preserve"> </w:t>
      </w:r>
      <w:r>
        <w:rPr>
          <w:sz w:val="20"/>
        </w:rPr>
        <w:t xml:space="preserve">sessions (“ethics educational </w:t>
      </w:r>
      <w:r>
        <w:rPr>
          <w:spacing w:val="-2"/>
          <w:sz w:val="20"/>
        </w:rPr>
        <w:t>sessions”)</w:t>
      </w:r>
    </w:p>
    <w:p w14:paraId="705829D1" w14:textId="77777777" w:rsidR="00AC6F3C" w:rsidRDefault="00570E88">
      <w:pPr>
        <w:pStyle w:val="ListParagraph"/>
        <w:numPr>
          <w:ilvl w:val="0"/>
          <w:numId w:val="55"/>
        </w:numPr>
        <w:tabs>
          <w:tab w:val="left" w:pos="535"/>
          <w:tab w:val="left" w:pos="537"/>
        </w:tabs>
        <w:spacing w:before="150" w:line="249" w:lineRule="auto"/>
        <w:ind w:right="15"/>
        <w:rPr>
          <w:sz w:val="20"/>
        </w:rPr>
      </w:pPr>
      <w:r>
        <w:br w:type="column"/>
      </w:r>
      <w:r>
        <w:rPr>
          <w:sz w:val="20"/>
        </w:rPr>
        <w:t xml:space="preserve">To continue to respond within two hours of receipt of the enquiry (if possible) and close a matter on the </w:t>
      </w:r>
      <w:r>
        <w:rPr>
          <w:spacing w:val="-2"/>
          <w:sz w:val="20"/>
        </w:rPr>
        <w:t>same</w:t>
      </w:r>
      <w:r>
        <w:rPr>
          <w:spacing w:val="-12"/>
          <w:sz w:val="20"/>
        </w:rPr>
        <w:t xml:space="preserve"> </w:t>
      </w:r>
      <w:r>
        <w:rPr>
          <w:spacing w:val="-2"/>
          <w:sz w:val="20"/>
        </w:rPr>
        <w:t>day</w:t>
      </w:r>
      <w:r>
        <w:rPr>
          <w:spacing w:val="-12"/>
          <w:sz w:val="20"/>
        </w:rPr>
        <w:t xml:space="preserve"> </w:t>
      </w:r>
      <w:r>
        <w:rPr>
          <w:spacing w:val="-2"/>
          <w:sz w:val="20"/>
        </w:rPr>
        <w:t>or</w:t>
      </w:r>
      <w:r>
        <w:rPr>
          <w:spacing w:val="-12"/>
          <w:sz w:val="20"/>
        </w:rPr>
        <w:t xml:space="preserve"> </w:t>
      </w:r>
      <w:r>
        <w:rPr>
          <w:spacing w:val="-2"/>
          <w:sz w:val="20"/>
        </w:rPr>
        <w:t>the</w:t>
      </w:r>
      <w:r>
        <w:rPr>
          <w:spacing w:val="-12"/>
          <w:sz w:val="20"/>
        </w:rPr>
        <w:t xml:space="preserve"> </w:t>
      </w:r>
      <w:r>
        <w:rPr>
          <w:spacing w:val="-2"/>
          <w:sz w:val="20"/>
        </w:rPr>
        <w:t>next</w:t>
      </w:r>
      <w:r>
        <w:rPr>
          <w:spacing w:val="-12"/>
          <w:sz w:val="20"/>
        </w:rPr>
        <w:t xml:space="preserve"> </w:t>
      </w:r>
      <w:r>
        <w:rPr>
          <w:spacing w:val="-2"/>
          <w:sz w:val="20"/>
        </w:rPr>
        <w:t>day</w:t>
      </w:r>
      <w:r>
        <w:rPr>
          <w:spacing w:val="-12"/>
          <w:sz w:val="20"/>
        </w:rPr>
        <w:t xml:space="preserve"> </w:t>
      </w:r>
      <w:r>
        <w:rPr>
          <w:spacing w:val="-2"/>
          <w:sz w:val="20"/>
        </w:rPr>
        <w:t xml:space="preserve">(if </w:t>
      </w:r>
      <w:r>
        <w:rPr>
          <w:sz w:val="20"/>
        </w:rPr>
        <w:t>the</w:t>
      </w:r>
      <w:r>
        <w:rPr>
          <w:spacing w:val="-2"/>
          <w:sz w:val="20"/>
        </w:rPr>
        <w:t xml:space="preserve"> </w:t>
      </w:r>
      <w:r>
        <w:rPr>
          <w:sz w:val="20"/>
        </w:rPr>
        <w:t>call</w:t>
      </w:r>
      <w:r>
        <w:rPr>
          <w:spacing w:val="-2"/>
          <w:sz w:val="20"/>
        </w:rPr>
        <w:t xml:space="preserve"> </w:t>
      </w:r>
      <w:r>
        <w:rPr>
          <w:sz w:val="20"/>
        </w:rPr>
        <w:t>is</w:t>
      </w:r>
      <w:r>
        <w:rPr>
          <w:spacing w:val="-1"/>
          <w:sz w:val="20"/>
        </w:rPr>
        <w:t xml:space="preserve"> </w:t>
      </w:r>
      <w:r>
        <w:rPr>
          <w:sz w:val="20"/>
        </w:rPr>
        <w:t>taken</w:t>
      </w:r>
      <w:r>
        <w:rPr>
          <w:spacing w:val="-2"/>
          <w:sz w:val="20"/>
        </w:rPr>
        <w:t xml:space="preserve"> </w:t>
      </w:r>
      <w:r>
        <w:rPr>
          <w:sz w:val="20"/>
        </w:rPr>
        <w:t>after</w:t>
      </w:r>
      <w:r>
        <w:rPr>
          <w:spacing w:val="-1"/>
          <w:sz w:val="20"/>
        </w:rPr>
        <w:t xml:space="preserve"> </w:t>
      </w:r>
      <w:r>
        <w:rPr>
          <w:sz w:val="20"/>
        </w:rPr>
        <w:t xml:space="preserve">4pm, </w:t>
      </w:r>
      <w:r>
        <w:rPr>
          <w:spacing w:val="-2"/>
          <w:sz w:val="20"/>
        </w:rPr>
        <w:t>further</w:t>
      </w:r>
      <w:r>
        <w:rPr>
          <w:spacing w:val="-8"/>
          <w:sz w:val="20"/>
        </w:rPr>
        <w:t xml:space="preserve"> </w:t>
      </w:r>
      <w:r>
        <w:rPr>
          <w:spacing w:val="-2"/>
          <w:sz w:val="20"/>
        </w:rPr>
        <w:t>research</w:t>
      </w:r>
      <w:r>
        <w:rPr>
          <w:spacing w:val="-9"/>
          <w:sz w:val="20"/>
        </w:rPr>
        <w:t xml:space="preserve"> </w:t>
      </w:r>
      <w:r>
        <w:rPr>
          <w:spacing w:val="-2"/>
          <w:sz w:val="20"/>
        </w:rPr>
        <w:t>is</w:t>
      </w:r>
      <w:r>
        <w:rPr>
          <w:spacing w:val="-8"/>
          <w:sz w:val="20"/>
        </w:rPr>
        <w:t xml:space="preserve"> </w:t>
      </w:r>
      <w:r>
        <w:rPr>
          <w:spacing w:val="-2"/>
          <w:sz w:val="20"/>
        </w:rPr>
        <w:t xml:space="preserve">required </w:t>
      </w:r>
      <w:r>
        <w:rPr>
          <w:sz w:val="20"/>
        </w:rPr>
        <w:t>or intervening weekend) – provide an 80% response rate in closing the matter within 48 hours.</w:t>
      </w:r>
    </w:p>
    <w:p w14:paraId="01491E7B" w14:textId="77777777" w:rsidR="00AC6F3C" w:rsidRDefault="00570E88">
      <w:pPr>
        <w:pStyle w:val="ListParagraph"/>
        <w:numPr>
          <w:ilvl w:val="0"/>
          <w:numId w:val="55"/>
        </w:numPr>
        <w:tabs>
          <w:tab w:val="left" w:pos="536"/>
          <w:tab w:val="left" w:pos="917"/>
        </w:tabs>
        <w:spacing w:before="141"/>
        <w:ind w:left="536" w:hanging="339"/>
        <w:rPr>
          <w:sz w:val="20"/>
        </w:rPr>
      </w:pPr>
      <w:r>
        <w:rPr>
          <w:spacing w:val="-5"/>
          <w:sz w:val="20"/>
        </w:rPr>
        <w:t>a)</w:t>
      </w:r>
      <w:r>
        <w:rPr>
          <w:sz w:val="20"/>
        </w:rPr>
        <w:tab/>
        <w:t>At</w:t>
      </w:r>
      <w:r>
        <w:rPr>
          <w:spacing w:val="-1"/>
          <w:sz w:val="20"/>
        </w:rPr>
        <w:t xml:space="preserve"> </w:t>
      </w:r>
      <w:r>
        <w:rPr>
          <w:sz w:val="20"/>
        </w:rPr>
        <w:t>least</w:t>
      </w:r>
      <w:r>
        <w:rPr>
          <w:spacing w:val="-1"/>
          <w:sz w:val="20"/>
        </w:rPr>
        <w:t xml:space="preserve"> </w:t>
      </w:r>
      <w:r>
        <w:rPr>
          <w:sz w:val="20"/>
        </w:rPr>
        <w:t xml:space="preserve">300 </w:t>
      </w:r>
      <w:r>
        <w:rPr>
          <w:spacing w:val="-2"/>
          <w:sz w:val="20"/>
        </w:rPr>
        <w:t>firms</w:t>
      </w:r>
    </w:p>
    <w:p w14:paraId="6D23095B" w14:textId="77777777" w:rsidR="00AC6F3C" w:rsidRDefault="00570E88">
      <w:pPr>
        <w:pStyle w:val="BodyText"/>
        <w:spacing w:before="10" w:line="249" w:lineRule="auto"/>
        <w:ind w:left="917" w:right="57"/>
      </w:pPr>
      <w:r>
        <w:t>approached by the ILP</w:t>
      </w:r>
      <w:r>
        <w:rPr>
          <w:spacing w:val="-14"/>
        </w:rPr>
        <w:t xml:space="preserve"> </w:t>
      </w:r>
      <w:r>
        <w:t>request</w:t>
      </w:r>
      <w:r>
        <w:rPr>
          <w:spacing w:val="-14"/>
        </w:rPr>
        <w:t xml:space="preserve"> </w:t>
      </w:r>
      <w:r>
        <w:t>a</w:t>
      </w:r>
      <w:r>
        <w:rPr>
          <w:spacing w:val="-12"/>
        </w:rPr>
        <w:t xml:space="preserve"> </w:t>
      </w:r>
      <w:r>
        <w:t>practice advisory visit.</w:t>
      </w:r>
    </w:p>
    <w:p w14:paraId="742ADC7F" w14:textId="77777777" w:rsidR="00AC6F3C" w:rsidRDefault="00570E88">
      <w:pPr>
        <w:pStyle w:val="ListParagraph"/>
        <w:numPr>
          <w:ilvl w:val="1"/>
          <w:numId w:val="55"/>
        </w:numPr>
        <w:tabs>
          <w:tab w:val="left" w:pos="876"/>
          <w:tab w:val="left" w:pos="878"/>
        </w:tabs>
        <w:spacing w:before="173" w:line="249" w:lineRule="auto"/>
        <w:ind w:right="338"/>
        <w:rPr>
          <w:sz w:val="20"/>
        </w:rPr>
      </w:pPr>
      <w:r>
        <w:rPr>
          <w:sz w:val="20"/>
        </w:rPr>
        <w:t>Quarterly report to Council</w:t>
      </w:r>
      <w:r>
        <w:rPr>
          <w:spacing w:val="-14"/>
          <w:sz w:val="20"/>
        </w:rPr>
        <w:t xml:space="preserve"> </w:t>
      </w:r>
      <w:r>
        <w:rPr>
          <w:sz w:val="20"/>
        </w:rPr>
        <w:t>setting</w:t>
      </w:r>
      <w:r>
        <w:rPr>
          <w:spacing w:val="-14"/>
          <w:sz w:val="20"/>
        </w:rPr>
        <w:t xml:space="preserve"> </w:t>
      </w:r>
      <w:r>
        <w:rPr>
          <w:sz w:val="20"/>
        </w:rPr>
        <w:t>out:</w:t>
      </w:r>
    </w:p>
    <w:p w14:paraId="2B59E3DB" w14:textId="77777777" w:rsidR="00AC6F3C" w:rsidRDefault="00570E88">
      <w:pPr>
        <w:pStyle w:val="ListParagraph"/>
        <w:numPr>
          <w:ilvl w:val="2"/>
          <w:numId w:val="55"/>
        </w:numPr>
        <w:tabs>
          <w:tab w:val="left" w:pos="1048"/>
        </w:tabs>
        <w:spacing w:before="172" w:line="249" w:lineRule="auto"/>
        <w:ind w:right="369"/>
        <w:rPr>
          <w:sz w:val="20"/>
        </w:rPr>
      </w:pPr>
      <w:r>
        <w:rPr>
          <w:sz w:val="20"/>
        </w:rPr>
        <w:t>The number of visits and rate of acceptance of practice</w:t>
      </w:r>
      <w:r>
        <w:rPr>
          <w:spacing w:val="-14"/>
          <w:sz w:val="20"/>
        </w:rPr>
        <w:t xml:space="preserve"> </w:t>
      </w:r>
      <w:r>
        <w:rPr>
          <w:sz w:val="20"/>
        </w:rPr>
        <w:t xml:space="preserve">advisory </w:t>
      </w:r>
      <w:r>
        <w:rPr>
          <w:spacing w:val="-2"/>
          <w:sz w:val="20"/>
        </w:rPr>
        <w:t>visits;</w:t>
      </w:r>
    </w:p>
    <w:p w14:paraId="32871BCE" w14:textId="77777777" w:rsidR="00AC6F3C" w:rsidRDefault="00570E88">
      <w:pPr>
        <w:pStyle w:val="ListParagraph"/>
        <w:numPr>
          <w:ilvl w:val="2"/>
          <w:numId w:val="55"/>
        </w:numPr>
        <w:tabs>
          <w:tab w:val="left" w:pos="1047"/>
        </w:tabs>
        <w:spacing w:before="174"/>
        <w:ind w:left="1047" w:hanging="169"/>
        <w:rPr>
          <w:sz w:val="20"/>
        </w:rPr>
      </w:pPr>
      <w:r>
        <w:rPr>
          <w:sz w:val="20"/>
        </w:rPr>
        <w:t xml:space="preserve">Regions visited; </w:t>
      </w:r>
      <w:r>
        <w:rPr>
          <w:spacing w:val="-5"/>
          <w:sz w:val="20"/>
        </w:rPr>
        <w:t>and</w:t>
      </w:r>
    </w:p>
    <w:p w14:paraId="0442801C" w14:textId="77777777" w:rsidR="00AC6F3C" w:rsidRDefault="00570E88">
      <w:pPr>
        <w:pStyle w:val="ListParagraph"/>
        <w:numPr>
          <w:ilvl w:val="2"/>
          <w:numId w:val="55"/>
        </w:numPr>
        <w:tabs>
          <w:tab w:val="left" w:pos="1048"/>
        </w:tabs>
        <w:spacing w:line="249" w:lineRule="auto"/>
        <w:ind w:right="202"/>
        <w:rPr>
          <w:sz w:val="20"/>
        </w:rPr>
      </w:pPr>
      <w:r>
        <w:rPr>
          <w:sz w:val="20"/>
        </w:rPr>
        <w:t>Commentary and analysis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key issues</w:t>
      </w:r>
      <w:r>
        <w:rPr>
          <w:spacing w:val="-14"/>
          <w:sz w:val="20"/>
        </w:rPr>
        <w:t xml:space="preserve"> </w:t>
      </w:r>
      <w:r>
        <w:rPr>
          <w:sz w:val="20"/>
        </w:rPr>
        <w:t>arising</w:t>
      </w:r>
      <w:r>
        <w:rPr>
          <w:spacing w:val="-14"/>
          <w:sz w:val="20"/>
        </w:rPr>
        <w:t xml:space="preserve"> </w:t>
      </w:r>
      <w:r>
        <w:rPr>
          <w:sz w:val="20"/>
        </w:rPr>
        <w:t>from the visits.</w:t>
      </w:r>
    </w:p>
    <w:p w14:paraId="06397696" w14:textId="77777777" w:rsidR="00AC6F3C" w:rsidRDefault="00AC6F3C">
      <w:pPr>
        <w:pStyle w:val="BodyText"/>
        <w:rPr>
          <w:sz w:val="22"/>
        </w:rPr>
      </w:pPr>
    </w:p>
    <w:p w14:paraId="658705BF" w14:textId="77777777" w:rsidR="00AC6F3C" w:rsidRDefault="00AC6F3C">
      <w:pPr>
        <w:pStyle w:val="BodyText"/>
        <w:rPr>
          <w:sz w:val="22"/>
        </w:rPr>
      </w:pPr>
    </w:p>
    <w:p w14:paraId="07F46581" w14:textId="77777777" w:rsidR="00AC6F3C" w:rsidRDefault="00AC6F3C">
      <w:pPr>
        <w:pStyle w:val="BodyText"/>
        <w:rPr>
          <w:sz w:val="22"/>
        </w:rPr>
      </w:pPr>
    </w:p>
    <w:p w14:paraId="45E6B5AB" w14:textId="77777777" w:rsidR="00AC6F3C" w:rsidRDefault="00AC6F3C">
      <w:pPr>
        <w:pStyle w:val="BodyText"/>
        <w:rPr>
          <w:sz w:val="22"/>
        </w:rPr>
      </w:pPr>
    </w:p>
    <w:p w14:paraId="3ED4369D" w14:textId="77777777" w:rsidR="00AC6F3C" w:rsidRDefault="00AC6F3C">
      <w:pPr>
        <w:pStyle w:val="BodyText"/>
        <w:rPr>
          <w:sz w:val="22"/>
        </w:rPr>
      </w:pPr>
    </w:p>
    <w:p w14:paraId="6E40088A" w14:textId="77777777" w:rsidR="00AC6F3C" w:rsidRDefault="00AC6F3C">
      <w:pPr>
        <w:pStyle w:val="BodyText"/>
        <w:spacing w:before="10"/>
        <w:rPr>
          <w:sz w:val="26"/>
        </w:rPr>
      </w:pPr>
    </w:p>
    <w:p w14:paraId="2994785E" w14:textId="77777777" w:rsidR="00AC6F3C" w:rsidRDefault="00570E88">
      <w:pPr>
        <w:pStyle w:val="ListParagraph"/>
        <w:numPr>
          <w:ilvl w:val="0"/>
          <w:numId w:val="55"/>
        </w:numPr>
        <w:tabs>
          <w:tab w:val="left" w:pos="536"/>
          <w:tab w:val="left" w:pos="917"/>
        </w:tabs>
        <w:spacing w:before="1"/>
        <w:ind w:left="536" w:hanging="339"/>
        <w:rPr>
          <w:sz w:val="20"/>
        </w:rPr>
      </w:pPr>
      <w:r>
        <w:rPr>
          <w:spacing w:val="-5"/>
          <w:sz w:val="20"/>
        </w:rPr>
        <w:t>a)</w:t>
      </w:r>
      <w:r>
        <w:rPr>
          <w:sz w:val="20"/>
        </w:rPr>
        <w:tab/>
        <w:t>At</w:t>
      </w:r>
      <w:r>
        <w:rPr>
          <w:spacing w:val="-1"/>
          <w:sz w:val="20"/>
        </w:rPr>
        <w:t xml:space="preserve"> </w:t>
      </w:r>
      <w:r>
        <w:rPr>
          <w:sz w:val="20"/>
        </w:rPr>
        <w:t xml:space="preserve">least 12 </w:t>
      </w:r>
      <w:r>
        <w:rPr>
          <w:spacing w:val="-2"/>
          <w:sz w:val="20"/>
        </w:rPr>
        <w:t>major</w:t>
      </w:r>
    </w:p>
    <w:p w14:paraId="3FDA66B8" w14:textId="77777777" w:rsidR="00AC6F3C" w:rsidRDefault="00570E88">
      <w:pPr>
        <w:pStyle w:val="BodyText"/>
        <w:spacing w:before="10" w:line="249" w:lineRule="auto"/>
        <w:ind w:left="917" w:right="9"/>
      </w:pPr>
      <w:r>
        <w:t>ethics and practice management</w:t>
      </w:r>
      <w:r>
        <w:rPr>
          <w:spacing w:val="-14"/>
        </w:rPr>
        <w:t xml:space="preserve"> </w:t>
      </w:r>
      <w:r>
        <w:t>/</w:t>
      </w:r>
      <w:r>
        <w:rPr>
          <w:spacing w:val="-14"/>
        </w:rPr>
        <w:t xml:space="preserve"> </w:t>
      </w:r>
      <w:r>
        <w:t>support resources published</w:t>
      </w:r>
      <w:r>
        <w:rPr>
          <w:spacing w:val="40"/>
        </w:rPr>
        <w:t xml:space="preserve"> </w:t>
      </w:r>
      <w:r>
        <w:t>to the website, Proctor, Update or other QLS social media channels.</w:t>
      </w:r>
    </w:p>
    <w:p w14:paraId="38A38001" w14:textId="77777777" w:rsidR="00AC6F3C" w:rsidRDefault="00570E88">
      <w:pPr>
        <w:pStyle w:val="ListParagraph"/>
        <w:numPr>
          <w:ilvl w:val="0"/>
          <w:numId w:val="54"/>
        </w:numPr>
        <w:tabs>
          <w:tab w:val="left" w:pos="536"/>
          <w:tab w:val="left" w:pos="917"/>
        </w:tabs>
        <w:spacing w:before="175" w:line="249" w:lineRule="auto"/>
        <w:ind w:right="76" w:hanging="720"/>
        <w:rPr>
          <w:sz w:val="20"/>
        </w:rPr>
      </w:pPr>
      <w:r>
        <w:rPr>
          <w:spacing w:val="-6"/>
          <w:sz w:val="20"/>
        </w:rPr>
        <w:t>b)</w:t>
      </w:r>
      <w:r>
        <w:rPr>
          <w:sz w:val="20"/>
        </w:rPr>
        <w:tab/>
        <w:t>At least 12 ethics or practice</w:t>
      </w:r>
      <w:r>
        <w:rPr>
          <w:spacing w:val="-14"/>
          <w:sz w:val="20"/>
        </w:rPr>
        <w:t xml:space="preserve"> </w:t>
      </w:r>
      <w:r>
        <w:rPr>
          <w:sz w:val="20"/>
        </w:rPr>
        <w:t xml:space="preserve">management </w:t>
      </w:r>
      <w:r>
        <w:rPr>
          <w:spacing w:val="-2"/>
          <w:sz w:val="20"/>
        </w:rPr>
        <w:t>educational</w:t>
      </w:r>
    </w:p>
    <w:p w14:paraId="73727410" w14:textId="77777777" w:rsidR="00AC6F3C" w:rsidRDefault="00570E88">
      <w:pPr>
        <w:pStyle w:val="BodyText"/>
        <w:spacing w:before="3" w:line="249" w:lineRule="auto"/>
        <w:ind w:left="917" w:right="351"/>
      </w:pPr>
      <w:r>
        <w:t>sessions</w:t>
      </w:r>
      <w:r>
        <w:rPr>
          <w:spacing w:val="-14"/>
        </w:rPr>
        <w:t xml:space="preserve"> </w:t>
      </w:r>
      <w:r>
        <w:t xml:space="preserve">delivered through either the ILP or provided to QLS Professional </w:t>
      </w:r>
      <w:r>
        <w:rPr>
          <w:spacing w:val="-2"/>
        </w:rPr>
        <w:t>Development.</w:t>
      </w:r>
    </w:p>
    <w:p w14:paraId="08DB7184" w14:textId="77777777" w:rsidR="00AC6F3C" w:rsidRDefault="00570E88">
      <w:pPr>
        <w:pStyle w:val="BodyText"/>
        <w:spacing w:before="150" w:line="249" w:lineRule="auto"/>
        <w:ind w:left="186" w:right="210"/>
      </w:pPr>
      <w:r>
        <w:br w:type="column"/>
      </w:r>
      <w:r>
        <w:t>Achieved</w:t>
      </w:r>
      <w:r>
        <w:rPr>
          <w:spacing w:val="-9"/>
        </w:rPr>
        <w:t xml:space="preserve"> </w:t>
      </w:r>
      <w:r>
        <w:t>(86%</w:t>
      </w:r>
      <w:r>
        <w:rPr>
          <w:spacing w:val="-9"/>
        </w:rPr>
        <w:t xml:space="preserve"> </w:t>
      </w:r>
      <w:r>
        <w:t>response</w:t>
      </w:r>
      <w:r>
        <w:rPr>
          <w:spacing w:val="-9"/>
        </w:rPr>
        <w:t xml:space="preserve"> </w:t>
      </w:r>
      <w:r>
        <w:t>rate</w:t>
      </w:r>
      <w:r>
        <w:rPr>
          <w:spacing w:val="-9"/>
        </w:rPr>
        <w:t xml:space="preserve"> </w:t>
      </w:r>
      <w:r>
        <w:t>within 2 hours) – took 3,934 calls.</w:t>
      </w:r>
    </w:p>
    <w:p w14:paraId="659E976A" w14:textId="77777777" w:rsidR="00AC6F3C" w:rsidRDefault="00AC6F3C">
      <w:pPr>
        <w:pStyle w:val="BodyText"/>
        <w:rPr>
          <w:sz w:val="22"/>
        </w:rPr>
      </w:pPr>
    </w:p>
    <w:p w14:paraId="10239BC5" w14:textId="77777777" w:rsidR="00AC6F3C" w:rsidRDefault="00AC6F3C">
      <w:pPr>
        <w:pStyle w:val="BodyText"/>
        <w:rPr>
          <w:sz w:val="22"/>
        </w:rPr>
      </w:pPr>
    </w:p>
    <w:p w14:paraId="411B9B60" w14:textId="77777777" w:rsidR="00AC6F3C" w:rsidRDefault="00AC6F3C">
      <w:pPr>
        <w:pStyle w:val="BodyText"/>
        <w:rPr>
          <w:sz w:val="22"/>
        </w:rPr>
      </w:pPr>
    </w:p>
    <w:p w14:paraId="5B247E4D" w14:textId="77777777" w:rsidR="00AC6F3C" w:rsidRDefault="00AC6F3C">
      <w:pPr>
        <w:pStyle w:val="BodyText"/>
        <w:rPr>
          <w:sz w:val="22"/>
        </w:rPr>
      </w:pPr>
    </w:p>
    <w:p w14:paraId="220E344E" w14:textId="77777777" w:rsidR="00AC6F3C" w:rsidRDefault="00AC6F3C">
      <w:pPr>
        <w:pStyle w:val="BodyText"/>
        <w:rPr>
          <w:sz w:val="22"/>
        </w:rPr>
      </w:pPr>
    </w:p>
    <w:p w14:paraId="15F95022" w14:textId="77777777" w:rsidR="00AC6F3C" w:rsidRDefault="00AC6F3C">
      <w:pPr>
        <w:pStyle w:val="BodyText"/>
        <w:rPr>
          <w:sz w:val="22"/>
        </w:rPr>
      </w:pPr>
    </w:p>
    <w:p w14:paraId="1883D9E2" w14:textId="77777777" w:rsidR="00AC6F3C" w:rsidRDefault="00AC6F3C">
      <w:pPr>
        <w:pStyle w:val="BodyText"/>
        <w:rPr>
          <w:sz w:val="22"/>
        </w:rPr>
      </w:pPr>
    </w:p>
    <w:p w14:paraId="154A690E" w14:textId="77777777" w:rsidR="00AC6F3C" w:rsidRDefault="00AC6F3C">
      <w:pPr>
        <w:pStyle w:val="BodyText"/>
        <w:rPr>
          <w:sz w:val="22"/>
        </w:rPr>
      </w:pPr>
    </w:p>
    <w:p w14:paraId="62ACE92B" w14:textId="77777777" w:rsidR="00AC6F3C" w:rsidRDefault="00AC6F3C">
      <w:pPr>
        <w:pStyle w:val="BodyText"/>
        <w:spacing w:before="5"/>
        <w:rPr>
          <w:sz w:val="23"/>
        </w:rPr>
      </w:pPr>
    </w:p>
    <w:p w14:paraId="1E7A0179" w14:textId="77777777" w:rsidR="00AC6F3C" w:rsidRDefault="00570E88">
      <w:pPr>
        <w:pStyle w:val="ListParagraph"/>
        <w:numPr>
          <w:ilvl w:val="1"/>
          <w:numId w:val="54"/>
        </w:numPr>
        <w:tabs>
          <w:tab w:val="left" w:pos="525"/>
        </w:tabs>
        <w:spacing w:before="0"/>
        <w:ind w:left="525" w:hanging="339"/>
        <w:rPr>
          <w:sz w:val="20"/>
        </w:rPr>
      </w:pPr>
      <w:r>
        <w:rPr>
          <w:sz w:val="20"/>
        </w:rPr>
        <w:t>Achieved</w:t>
      </w:r>
      <w:r>
        <w:rPr>
          <w:spacing w:val="-3"/>
          <w:sz w:val="20"/>
        </w:rPr>
        <w:t xml:space="preserve"> </w:t>
      </w:r>
      <w:r>
        <w:rPr>
          <w:sz w:val="20"/>
        </w:rPr>
        <w:t>–</w:t>
      </w:r>
      <w:r>
        <w:rPr>
          <w:spacing w:val="-3"/>
          <w:sz w:val="20"/>
        </w:rPr>
        <w:t xml:space="preserve"> </w:t>
      </w:r>
      <w:r>
        <w:rPr>
          <w:sz w:val="20"/>
        </w:rPr>
        <w:t>1,763</w:t>
      </w:r>
      <w:r>
        <w:rPr>
          <w:spacing w:val="-3"/>
          <w:sz w:val="20"/>
        </w:rPr>
        <w:t xml:space="preserve"> </w:t>
      </w:r>
      <w:r>
        <w:rPr>
          <w:sz w:val="20"/>
        </w:rPr>
        <w:t>firms</w:t>
      </w:r>
      <w:r>
        <w:rPr>
          <w:spacing w:val="-2"/>
          <w:sz w:val="20"/>
        </w:rPr>
        <w:t xml:space="preserve"> </w:t>
      </w:r>
      <w:r>
        <w:rPr>
          <w:spacing w:val="-4"/>
          <w:sz w:val="20"/>
        </w:rPr>
        <w:t>were</w:t>
      </w:r>
    </w:p>
    <w:p w14:paraId="4997332F" w14:textId="77777777" w:rsidR="00AC6F3C" w:rsidRDefault="00570E88">
      <w:pPr>
        <w:pStyle w:val="BodyText"/>
        <w:spacing w:before="10"/>
        <w:ind w:left="521" w:right="1991"/>
        <w:jc w:val="center"/>
      </w:pPr>
      <w:r>
        <w:rPr>
          <w:spacing w:val="-2"/>
        </w:rPr>
        <w:t>approached.</w:t>
      </w:r>
    </w:p>
    <w:p w14:paraId="48935CB4" w14:textId="77777777" w:rsidR="00AC6F3C" w:rsidRDefault="00570E88">
      <w:pPr>
        <w:pStyle w:val="ListParagraph"/>
        <w:numPr>
          <w:ilvl w:val="1"/>
          <w:numId w:val="54"/>
        </w:numPr>
        <w:tabs>
          <w:tab w:val="left" w:pos="525"/>
        </w:tabs>
        <w:ind w:left="525" w:hanging="339"/>
        <w:rPr>
          <w:sz w:val="20"/>
        </w:rPr>
      </w:pPr>
      <w:r>
        <w:rPr>
          <w:spacing w:val="-2"/>
          <w:sz w:val="20"/>
        </w:rPr>
        <w:t>Achieved</w:t>
      </w:r>
    </w:p>
    <w:p w14:paraId="58583BEF" w14:textId="77777777" w:rsidR="00AC6F3C" w:rsidRDefault="00570E88">
      <w:pPr>
        <w:pStyle w:val="ListParagraph"/>
        <w:numPr>
          <w:ilvl w:val="2"/>
          <w:numId w:val="54"/>
        </w:numPr>
        <w:tabs>
          <w:tab w:val="left" w:pos="866"/>
        </w:tabs>
        <w:ind w:hanging="340"/>
        <w:rPr>
          <w:sz w:val="20"/>
        </w:rPr>
      </w:pPr>
      <w:r>
        <w:rPr>
          <w:sz w:val="20"/>
        </w:rPr>
        <w:t>283</w:t>
      </w:r>
      <w:r>
        <w:rPr>
          <w:spacing w:val="-3"/>
          <w:sz w:val="20"/>
        </w:rPr>
        <w:t xml:space="preserve"> </w:t>
      </w:r>
      <w:r>
        <w:rPr>
          <w:sz w:val="20"/>
        </w:rPr>
        <w:t>visits</w:t>
      </w:r>
      <w:r>
        <w:rPr>
          <w:spacing w:val="-1"/>
          <w:sz w:val="20"/>
        </w:rPr>
        <w:t xml:space="preserve"> </w:t>
      </w:r>
      <w:r>
        <w:rPr>
          <w:sz w:val="20"/>
        </w:rPr>
        <w:t>–</w:t>
      </w:r>
      <w:r>
        <w:rPr>
          <w:spacing w:val="-1"/>
          <w:sz w:val="20"/>
        </w:rPr>
        <w:t xml:space="preserve"> </w:t>
      </w:r>
      <w:r>
        <w:rPr>
          <w:sz w:val="20"/>
        </w:rPr>
        <w:t>16%</w:t>
      </w:r>
      <w:r>
        <w:rPr>
          <w:spacing w:val="-1"/>
          <w:sz w:val="20"/>
        </w:rPr>
        <w:t xml:space="preserve"> </w:t>
      </w:r>
      <w:r>
        <w:rPr>
          <w:spacing w:val="-2"/>
          <w:sz w:val="20"/>
        </w:rPr>
        <w:t>conversion</w:t>
      </w:r>
    </w:p>
    <w:p w14:paraId="4C0011CC" w14:textId="77777777" w:rsidR="00AC6F3C" w:rsidRDefault="00570E88">
      <w:pPr>
        <w:pStyle w:val="BodyText"/>
        <w:spacing w:before="10"/>
        <w:ind w:left="490" w:right="1991"/>
        <w:jc w:val="center"/>
      </w:pPr>
      <w:r>
        <w:rPr>
          <w:spacing w:val="-2"/>
        </w:rPr>
        <w:t>rate.</w:t>
      </w:r>
    </w:p>
    <w:p w14:paraId="39B78E02" w14:textId="77777777" w:rsidR="00AC6F3C" w:rsidRDefault="00570E88">
      <w:pPr>
        <w:pStyle w:val="ListParagraph"/>
        <w:numPr>
          <w:ilvl w:val="2"/>
          <w:numId w:val="54"/>
        </w:numPr>
        <w:tabs>
          <w:tab w:val="left" w:pos="866"/>
        </w:tabs>
        <w:spacing w:line="249" w:lineRule="auto"/>
        <w:ind w:right="255"/>
        <w:rPr>
          <w:sz w:val="20"/>
        </w:rPr>
      </w:pPr>
      <w:r>
        <w:rPr>
          <w:sz w:val="20"/>
        </w:rPr>
        <w:t>Brisbane, Gold Coast, Sunshine Coast, Darling Downs, Ipswich, Dalby/ Roma/Central Queensland, Wide Bay, Logan/</w:t>
      </w:r>
      <w:r>
        <w:rPr>
          <w:spacing w:val="40"/>
          <w:sz w:val="20"/>
        </w:rPr>
        <w:t xml:space="preserve"> </w:t>
      </w:r>
      <w:r>
        <w:rPr>
          <w:sz w:val="20"/>
        </w:rPr>
        <w:t>Redlands, Kingaroy/</w:t>
      </w:r>
      <w:r>
        <w:rPr>
          <w:spacing w:val="40"/>
          <w:sz w:val="20"/>
        </w:rPr>
        <w:t xml:space="preserve"> </w:t>
      </w:r>
      <w:r>
        <w:rPr>
          <w:sz w:val="20"/>
        </w:rPr>
        <w:t>Burnett, Townsville/ North Queensland,</w:t>
      </w:r>
      <w:r>
        <w:rPr>
          <w:spacing w:val="-14"/>
          <w:sz w:val="20"/>
        </w:rPr>
        <w:t xml:space="preserve"> </w:t>
      </w:r>
      <w:r>
        <w:rPr>
          <w:sz w:val="20"/>
        </w:rPr>
        <w:t>and</w:t>
      </w:r>
      <w:r>
        <w:rPr>
          <w:spacing w:val="-14"/>
          <w:sz w:val="20"/>
        </w:rPr>
        <w:t xml:space="preserve"> </w:t>
      </w:r>
      <w:r>
        <w:rPr>
          <w:sz w:val="20"/>
        </w:rPr>
        <w:t>Cairns/Far North Queensland.</w:t>
      </w:r>
    </w:p>
    <w:p w14:paraId="51CFC6D4" w14:textId="77777777" w:rsidR="00AC6F3C" w:rsidRDefault="00570E88">
      <w:pPr>
        <w:pStyle w:val="ListParagraph"/>
        <w:numPr>
          <w:ilvl w:val="2"/>
          <w:numId w:val="54"/>
        </w:numPr>
        <w:tabs>
          <w:tab w:val="left" w:pos="866"/>
        </w:tabs>
        <w:spacing w:before="178" w:line="249" w:lineRule="auto"/>
        <w:ind w:right="259"/>
        <w:rPr>
          <w:sz w:val="20"/>
        </w:rPr>
      </w:pPr>
      <w:r>
        <w:rPr>
          <w:spacing w:val="-2"/>
          <w:sz w:val="20"/>
        </w:rPr>
        <w:t>The</w:t>
      </w:r>
      <w:r>
        <w:rPr>
          <w:spacing w:val="-11"/>
          <w:sz w:val="20"/>
        </w:rPr>
        <w:t xml:space="preserve"> </w:t>
      </w:r>
      <w:r>
        <w:rPr>
          <w:spacing w:val="-2"/>
          <w:sz w:val="20"/>
        </w:rPr>
        <w:t>top</w:t>
      </w:r>
      <w:r>
        <w:rPr>
          <w:spacing w:val="-11"/>
          <w:sz w:val="20"/>
        </w:rPr>
        <w:t xml:space="preserve"> </w:t>
      </w:r>
      <w:r>
        <w:rPr>
          <w:spacing w:val="-2"/>
          <w:sz w:val="20"/>
        </w:rPr>
        <w:t>three</w:t>
      </w:r>
      <w:r>
        <w:rPr>
          <w:spacing w:val="-11"/>
          <w:sz w:val="20"/>
        </w:rPr>
        <w:t xml:space="preserve"> </w:t>
      </w:r>
      <w:r>
        <w:rPr>
          <w:spacing w:val="-2"/>
          <w:sz w:val="20"/>
        </w:rPr>
        <w:t>practice</w:t>
      </w:r>
      <w:r>
        <w:rPr>
          <w:spacing w:val="-11"/>
          <w:sz w:val="20"/>
        </w:rPr>
        <w:t xml:space="preserve"> </w:t>
      </w:r>
      <w:r>
        <w:rPr>
          <w:spacing w:val="-2"/>
          <w:sz w:val="20"/>
        </w:rPr>
        <w:t xml:space="preserve">issues </w:t>
      </w:r>
      <w:r>
        <w:rPr>
          <w:sz w:val="20"/>
        </w:rPr>
        <w:t xml:space="preserve">were practice management (data records and security, </w:t>
      </w:r>
      <w:r>
        <w:rPr>
          <w:spacing w:val="-2"/>
          <w:sz w:val="20"/>
        </w:rPr>
        <w:t>finance,</w:t>
      </w:r>
      <w:r>
        <w:rPr>
          <w:spacing w:val="-7"/>
          <w:sz w:val="20"/>
        </w:rPr>
        <w:t xml:space="preserve"> </w:t>
      </w:r>
      <w:r>
        <w:rPr>
          <w:spacing w:val="-2"/>
          <w:sz w:val="20"/>
        </w:rPr>
        <w:t>staffing),</w:t>
      </w:r>
      <w:r>
        <w:rPr>
          <w:spacing w:val="-7"/>
          <w:sz w:val="20"/>
        </w:rPr>
        <w:t xml:space="preserve"> </w:t>
      </w:r>
      <w:r>
        <w:rPr>
          <w:spacing w:val="-2"/>
          <w:sz w:val="20"/>
        </w:rPr>
        <w:t xml:space="preserve">technology </w:t>
      </w:r>
      <w:r>
        <w:rPr>
          <w:sz w:val="20"/>
        </w:rPr>
        <w:t>(legal practice software)</w:t>
      </w:r>
    </w:p>
    <w:p w14:paraId="2B0BA6A2" w14:textId="77777777" w:rsidR="00AC6F3C" w:rsidRDefault="00570E88">
      <w:pPr>
        <w:pStyle w:val="BodyText"/>
        <w:spacing w:before="4" w:line="249" w:lineRule="auto"/>
        <w:ind w:left="866"/>
      </w:pPr>
      <w:r>
        <w:rPr>
          <w:spacing w:val="-2"/>
        </w:rPr>
        <w:t>and</w:t>
      </w:r>
      <w:r>
        <w:rPr>
          <w:spacing w:val="-12"/>
        </w:rPr>
        <w:t xml:space="preserve"> </w:t>
      </w:r>
      <w:r>
        <w:rPr>
          <w:spacing w:val="-2"/>
        </w:rPr>
        <w:t>governance</w:t>
      </w:r>
      <w:r>
        <w:rPr>
          <w:spacing w:val="-12"/>
        </w:rPr>
        <w:t xml:space="preserve"> </w:t>
      </w:r>
      <w:r>
        <w:rPr>
          <w:spacing w:val="-2"/>
        </w:rPr>
        <w:t xml:space="preserve">(business </w:t>
      </w:r>
      <w:r>
        <w:t>succession,</w:t>
      </w:r>
      <w:r>
        <w:rPr>
          <w:spacing w:val="-1"/>
        </w:rPr>
        <w:t xml:space="preserve"> </w:t>
      </w:r>
      <w:r>
        <w:t>structure</w:t>
      </w:r>
      <w:r>
        <w:rPr>
          <w:spacing w:val="-1"/>
        </w:rPr>
        <w:t xml:space="preserve"> </w:t>
      </w:r>
      <w:r>
        <w:t xml:space="preserve">and </w:t>
      </w:r>
      <w:r>
        <w:rPr>
          <w:spacing w:val="-2"/>
        </w:rPr>
        <w:t>planning).</w:t>
      </w:r>
    </w:p>
    <w:p w14:paraId="790452BD" w14:textId="77777777" w:rsidR="00AC6F3C" w:rsidRDefault="00570E88">
      <w:pPr>
        <w:pStyle w:val="ListParagraph"/>
        <w:numPr>
          <w:ilvl w:val="0"/>
          <w:numId w:val="53"/>
        </w:numPr>
        <w:tabs>
          <w:tab w:val="left" w:pos="524"/>
          <w:tab w:val="left" w:pos="526"/>
        </w:tabs>
        <w:spacing w:before="134" w:line="249" w:lineRule="auto"/>
        <w:ind w:right="462"/>
        <w:rPr>
          <w:sz w:val="20"/>
        </w:rPr>
      </w:pPr>
      <w:r>
        <w:rPr>
          <w:sz w:val="20"/>
        </w:rPr>
        <w:t>Achieved – 102 ethics and practice</w:t>
      </w:r>
      <w:r>
        <w:rPr>
          <w:spacing w:val="-14"/>
          <w:sz w:val="20"/>
        </w:rPr>
        <w:t xml:space="preserve"> </w:t>
      </w:r>
      <w:r>
        <w:rPr>
          <w:sz w:val="20"/>
        </w:rPr>
        <w:t>management/support resources were published.</w:t>
      </w:r>
    </w:p>
    <w:p w14:paraId="35E71E36" w14:textId="77777777" w:rsidR="00AC6F3C" w:rsidRDefault="00570E88">
      <w:pPr>
        <w:pStyle w:val="ListParagraph"/>
        <w:numPr>
          <w:ilvl w:val="0"/>
          <w:numId w:val="53"/>
        </w:numPr>
        <w:tabs>
          <w:tab w:val="left" w:pos="524"/>
          <w:tab w:val="left" w:pos="526"/>
        </w:tabs>
        <w:spacing w:before="173" w:line="249" w:lineRule="auto"/>
        <w:ind w:right="318"/>
        <w:rPr>
          <w:sz w:val="20"/>
        </w:rPr>
      </w:pPr>
      <w:r>
        <w:rPr>
          <w:sz w:val="20"/>
        </w:rPr>
        <w:t>Achieved</w:t>
      </w:r>
      <w:r>
        <w:rPr>
          <w:spacing w:val="-8"/>
          <w:sz w:val="20"/>
        </w:rPr>
        <w:t xml:space="preserve"> </w:t>
      </w:r>
      <w:r>
        <w:rPr>
          <w:sz w:val="20"/>
        </w:rPr>
        <w:t>–</w:t>
      </w:r>
      <w:r>
        <w:rPr>
          <w:spacing w:val="-8"/>
          <w:sz w:val="20"/>
        </w:rPr>
        <w:t xml:space="preserve"> </w:t>
      </w:r>
      <w:r>
        <w:rPr>
          <w:sz w:val="20"/>
        </w:rPr>
        <w:t>107</w:t>
      </w:r>
      <w:r>
        <w:rPr>
          <w:spacing w:val="-8"/>
          <w:sz w:val="20"/>
        </w:rPr>
        <w:t xml:space="preserve"> </w:t>
      </w:r>
      <w:r>
        <w:rPr>
          <w:sz w:val="20"/>
        </w:rPr>
        <w:t>ethics</w:t>
      </w:r>
      <w:r>
        <w:rPr>
          <w:spacing w:val="-8"/>
          <w:sz w:val="20"/>
        </w:rPr>
        <w:t xml:space="preserve"> </w:t>
      </w:r>
      <w:r>
        <w:rPr>
          <w:sz w:val="20"/>
        </w:rPr>
        <w:t>sessions were delivered</w:t>
      </w:r>
    </w:p>
    <w:p w14:paraId="7E7ED9B3" w14:textId="77777777" w:rsidR="00AC6F3C" w:rsidRDefault="00AC6F3C">
      <w:pPr>
        <w:spacing w:line="249" w:lineRule="auto"/>
        <w:rPr>
          <w:sz w:val="20"/>
        </w:rPr>
        <w:sectPr w:rsidR="00AC6F3C">
          <w:type w:val="continuous"/>
          <w:pgSz w:w="11910" w:h="16840"/>
          <w:pgMar w:top="1920" w:right="1160" w:bottom="280" w:left="460" w:header="0" w:footer="336" w:gutter="0"/>
          <w:cols w:num="3" w:space="720" w:equalWidth="0">
            <w:col w:w="3649" w:space="40"/>
            <w:col w:w="2920" w:space="39"/>
            <w:col w:w="3642"/>
          </w:cols>
        </w:sectPr>
      </w:pPr>
    </w:p>
    <w:p w14:paraId="6372B14B" w14:textId="77777777" w:rsidR="00AC6F3C" w:rsidRDefault="00AC6F3C">
      <w:pPr>
        <w:pStyle w:val="BodyText"/>
        <w:spacing w:before="7"/>
        <w:rPr>
          <w:sz w:val="17"/>
        </w:rPr>
      </w:pPr>
    </w:p>
    <w:p w14:paraId="42088175"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6BF0F625" wp14:editId="161FD843">
                <wp:extent cx="5940425" cy="3175"/>
                <wp:effectExtent l="9525" t="0" r="0" b="635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335" name="Graphic 335"/>
                        <wps:cNvSpPr/>
                        <wps:spPr>
                          <a:xfrm>
                            <a:off x="0" y="1587"/>
                            <a:ext cx="1878330" cy="1270"/>
                          </a:xfrm>
                          <a:custGeom>
                            <a:avLst/>
                            <a:gdLst/>
                            <a:ahLst/>
                            <a:cxnLst/>
                            <a:rect l="l" t="t" r="r" b="b"/>
                            <a:pathLst>
                              <a:path w="1878330">
                                <a:moveTo>
                                  <a:pt x="0" y="0"/>
                                </a:moveTo>
                                <a:lnTo>
                                  <a:pt x="1877999" y="0"/>
                                </a:lnTo>
                              </a:path>
                            </a:pathLst>
                          </a:custGeom>
                          <a:ln w="3175">
                            <a:solidFill>
                              <a:srgbClr val="000000"/>
                            </a:solidFill>
                            <a:prstDash val="solid"/>
                          </a:ln>
                        </wps:spPr>
                        <wps:bodyPr wrap="square" lIns="0" tIns="0" rIns="0" bIns="0" rtlCol="0">
                          <a:prstTxWarp prst="textNoShape">
                            <a:avLst/>
                          </a:prstTxWarp>
                          <a:noAutofit/>
                        </wps:bodyPr>
                      </wps:wsp>
                      <wps:wsp>
                        <wps:cNvPr id="336" name="Graphic 336"/>
                        <wps:cNvSpPr/>
                        <wps:spPr>
                          <a:xfrm>
                            <a:off x="1877999" y="1587"/>
                            <a:ext cx="1872614" cy="1270"/>
                          </a:xfrm>
                          <a:custGeom>
                            <a:avLst/>
                            <a:gdLst/>
                            <a:ahLst/>
                            <a:cxnLst/>
                            <a:rect l="l" t="t" r="r" b="b"/>
                            <a:pathLst>
                              <a:path w="1872614">
                                <a:moveTo>
                                  <a:pt x="0" y="0"/>
                                </a:moveTo>
                                <a:lnTo>
                                  <a:pt x="1872005" y="0"/>
                                </a:lnTo>
                              </a:path>
                            </a:pathLst>
                          </a:custGeom>
                          <a:ln w="3175">
                            <a:solidFill>
                              <a:srgbClr val="000000"/>
                            </a:solidFill>
                            <a:prstDash val="solid"/>
                          </a:ln>
                        </wps:spPr>
                        <wps:bodyPr wrap="square" lIns="0" tIns="0" rIns="0" bIns="0" rtlCol="0">
                          <a:prstTxWarp prst="textNoShape">
                            <a:avLst/>
                          </a:prstTxWarp>
                          <a:noAutofit/>
                        </wps:bodyPr>
                      </wps:wsp>
                      <wps:wsp>
                        <wps:cNvPr id="337" name="Graphic 337"/>
                        <wps:cNvSpPr/>
                        <wps:spPr>
                          <a:xfrm>
                            <a:off x="3750000" y="1587"/>
                            <a:ext cx="2190115" cy="1270"/>
                          </a:xfrm>
                          <a:custGeom>
                            <a:avLst/>
                            <a:gdLst/>
                            <a:ahLst/>
                            <a:cxnLst/>
                            <a:rect l="l" t="t" r="r" b="b"/>
                            <a:pathLst>
                              <a:path w="2190115">
                                <a:moveTo>
                                  <a:pt x="0" y="0"/>
                                </a:moveTo>
                                <a:lnTo>
                                  <a:pt x="219000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4833A1" id="Group 334"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">
                <v:shape id="Graphic 335" o:spid="_x0000_s1027" style="position:absolute;top:15;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" path="m,l1877999,e" filled="f" strokeweight=".25pt">
                  <v:path arrowok="t"/>
                </v:shape>
                <v:shape id="Graphic 336" o:spid="_x0000_s1028" style="position:absolute;left:18779;top:15;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" path="m,l1872005,e" filled="f" strokeweight=".25pt">
                  <v:path arrowok="t"/>
                </v:shape>
                <v:shape id="Graphic 337" o:spid="_x0000_s1029" style="position:absolute;left:37500;top:15;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" path="m,l2190000,e" filled="f" strokeweight=".25pt">
                  <v:path arrowok="t"/>
                </v:shape>
                <w10:anchorlock/>
              </v:group>
            </w:pict>
          </mc:Fallback>
        </mc:AlternateContent>
      </w:r>
    </w:p>
    <w:p w14:paraId="5B5B3EF8" w14:textId="77777777" w:rsidR="00AC6F3C" w:rsidRDefault="00AC6F3C">
      <w:pPr>
        <w:spacing w:line="20" w:lineRule="exact"/>
        <w:rPr>
          <w:sz w:val="2"/>
        </w:rPr>
        <w:sectPr w:rsidR="00AC6F3C">
          <w:type w:val="continuous"/>
          <w:pgSz w:w="11910" w:h="16840"/>
          <w:pgMar w:top="1920" w:right="1160" w:bottom="280" w:left="460" w:header="0" w:footer="336" w:gutter="0"/>
          <w:cols w:space="720"/>
        </w:sectPr>
      </w:pPr>
    </w:p>
    <w:p w14:paraId="568B8549" w14:textId="77777777" w:rsidR="00AC6F3C" w:rsidRDefault="00570E88">
      <w:pPr>
        <w:pStyle w:val="BodyText"/>
        <w:spacing w:line="20" w:lineRule="exact"/>
        <w:ind w:left="805"/>
        <w:rPr>
          <w:sz w:val="2"/>
        </w:rPr>
      </w:pPr>
      <w:r>
        <w:rPr>
          <w:noProof/>
          <w:sz w:val="2"/>
        </w:rPr>
        <w:lastRenderedPageBreak/>
        <mc:AlternateContent>
          <mc:Choice Requires="wpg">
            <w:drawing>
              <wp:inline distT="0" distB="0" distL="0" distR="0" wp14:anchorId="5EB84EB1" wp14:editId="5FAFB9A9">
                <wp:extent cx="5940425" cy="12700"/>
                <wp:effectExtent l="9525" t="0" r="3175" b="635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40" name="Graphic 340"/>
                        <wps:cNvSpPr/>
                        <wps:spPr>
                          <a:xfrm>
                            <a:off x="0" y="6350"/>
                            <a:ext cx="1878330" cy="1270"/>
                          </a:xfrm>
                          <a:custGeom>
                            <a:avLst/>
                            <a:gdLst/>
                            <a:ahLst/>
                            <a:cxnLst/>
                            <a:rect l="l" t="t" r="r" b="b"/>
                            <a:pathLst>
                              <a:path w="1878330">
                                <a:moveTo>
                                  <a:pt x="0" y="0"/>
                                </a:moveTo>
                                <a:lnTo>
                                  <a:pt x="1877999" y="0"/>
                                </a:lnTo>
                              </a:path>
                            </a:pathLst>
                          </a:custGeom>
                          <a:ln w="12700">
                            <a:solidFill>
                              <a:srgbClr val="000000"/>
                            </a:solidFill>
                            <a:prstDash val="solid"/>
                          </a:ln>
                        </wps:spPr>
                        <wps:bodyPr wrap="square" lIns="0" tIns="0" rIns="0" bIns="0" rtlCol="0">
                          <a:prstTxWarp prst="textNoShape">
                            <a:avLst/>
                          </a:prstTxWarp>
                          <a:noAutofit/>
                        </wps:bodyPr>
                      </wps:wsp>
                      <wps:wsp>
                        <wps:cNvPr id="341" name="Graphic 341"/>
                        <wps:cNvSpPr/>
                        <wps:spPr>
                          <a:xfrm>
                            <a:off x="1877999" y="6350"/>
                            <a:ext cx="1872614" cy="1270"/>
                          </a:xfrm>
                          <a:custGeom>
                            <a:avLst/>
                            <a:gdLst/>
                            <a:ahLst/>
                            <a:cxnLst/>
                            <a:rect l="l" t="t" r="r" b="b"/>
                            <a:pathLst>
                              <a:path w="1872614">
                                <a:moveTo>
                                  <a:pt x="0" y="0"/>
                                </a:moveTo>
                                <a:lnTo>
                                  <a:pt x="1872005" y="0"/>
                                </a:lnTo>
                              </a:path>
                            </a:pathLst>
                          </a:custGeom>
                          <a:ln w="12700">
                            <a:solidFill>
                              <a:srgbClr val="000000"/>
                            </a:solidFill>
                            <a:prstDash val="solid"/>
                          </a:ln>
                        </wps:spPr>
                        <wps:bodyPr wrap="square" lIns="0" tIns="0" rIns="0" bIns="0" rtlCol="0">
                          <a:prstTxWarp prst="textNoShape">
                            <a:avLst/>
                          </a:prstTxWarp>
                          <a:noAutofit/>
                        </wps:bodyPr>
                      </wps:wsp>
                      <wps:wsp>
                        <wps:cNvPr id="342" name="Graphic 342"/>
                        <wps:cNvSpPr/>
                        <wps:spPr>
                          <a:xfrm>
                            <a:off x="3750000" y="6350"/>
                            <a:ext cx="2190115" cy="1270"/>
                          </a:xfrm>
                          <a:custGeom>
                            <a:avLst/>
                            <a:gdLst/>
                            <a:ahLst/>
                            <a:cxnLst/>
                            <a:rect l="l" t="t" r="r" b="b"/>
                            <a:pathLst>
                              <a:path w="2190115">
                                <a:moveTo>
                                  <a:pt x="0" y="0"/>
                                </a:moveTo>
                                <a:lnTo>
                                  <a:pt x="2190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338466" id="Group 339"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">
                <v:shape id="Graphic 340" o:spid="_x0000_s1027" style="position:absolute;top:63;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" path="m,l1877999,e" filled="f" strokeweight="1pt">
                  <v:path arrowok="t"/>
                </v:shape>
                <v:shape id="Graphic 341" o:spid="_x0000_s1028" style="position:absolute;left:18779;top:63;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" path="m,l1872005,e" filled="f" strokeweight="1pt">
                  <v:path arrowok="t"/>
                </v:shape>
                <v:shape id="Graphic 342" o:spid="_x0000_s1029" style="position:absolute;left:37500;top:63;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" path="m,l2190000,e" filled="f" strokeweight="1pt">
                  <v:path arrowok="t"/>
                </v:shape>
                <w10:anchorlock/>
              </v:group>
            </w:pict>
          </mc:Fallback>
        </mc:AlternateContent>
      </w:r>
    </w:p>
    <w:p w14:paraId="41852F84" w14:textId="77777777" w:rsidR="00AC6F3C" w:rsidRDefault="00570E88">
      <w:pPr>
        <w:tabs>
          <w:tab w:val="left" w:pos="3886"/>
          <w:tab w:val="left" w:pos="6834"/>
        </w:tabs>
        <w:spacing w:before="59"/>
        <w:ind w:left="928"/>
        <w:rPr>
          <w:b/>
          <w:sz w:val="20"/>
        </w:rPr>
      </w:pPr>
      <w:r>
        <w:rPr>
          <w:noProof/>
        </w:rPr>
        <mc:AlternateContent>
          <mc:Choice Requires="wpg">
            <w:drawing>
              <wp:anchor distT="0" distB="0" distL="0" distR="0" simplePos="0" relativeHeight="15764992" behindDoc="0" locked="0" layoutInCell="1" allowOverlap="1" wp14:anchorId="73726EAB" wp14:editId="080C9401">
                <wp:simplePos x="0" y="0"/>
                <wp:positionH relativeFrom="page">
                  <wp:posOffset>809999</wp:posOffset>
                </wp:positionH>
                <wp:positionV relativeFrom="paragraph">
                  <wp:posOffset>222238</wp:posOffset>
                </wp:positionV>
                <wp:extent cx="5940425" cy="1270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44" name="Graphic 344"/>
                        <wps:cNvSpPr/>
                        <wps:spPr>
                          <a:xfrm>
                            <a:off x="0" y="6350"/>
                            <a:ext cx="1878330" cy="1270"/>
                          </a:xfrm>
                          <a:custGeom>
                            <a:avLst/>
                            <a:gdLst/>
                            <a:ahLst/>
                            <a:cxnLst/>
                            <a:rect l="l" t="t" r="r" b="b"/>
                            <a:pathLst>
                              <a:path w="1878330">
                                <a:moveTo>
                                  <a:pt x="0" y="0"/>
                                </a:moveTo>
                                <a:lnTo>
                                  <a:pt x="1877999" y="0"/>
                                </a:lnTo>
                              </a:path>
                            </a:pathLst>
                          </a:custGeom>
                          <a:ln w="12700">
                            <a:solidFill>
                              <a:srgbClr val="000000"/>
                            </a:solidFill>
                            <a:prstDash val="solid"/>
                          </a:ln>
                        </wps:spPr>
                        <wps:bodyPr wrap="square" lIns="0" tIns="0" rIns="0" bIns="0" rtlCol="0">
                          <a:prstTxWarp prst="textNoShape">
                            <a:avLst/>
                          </a:prstTxWarp>
                          <a:noAutofit/>
                        </wps:bodyPr>
                      </wps:wsp>
                      <wps:wsp>
                        <wps:cNvPr id="345" name="Graphic 345"/>
                        <wps:cNvSpPr/>
                        <wps:spPr>
                          <a:xfrm>
                            <a:off x="1877999" y="6350"/>
                            <a:ext cx="1872614" cy="1270"/>
                          </a:xfrm>
                          <a:custGeom>
                            <a:avLst/>
                            <a:gdLst/>
                            <a:ahLst/>
                            <a:cxnLst/>
                            <a:rect l="l" t="t" r="r" b="b"/>
                            <a:pathLst>
                              <a:path w="1872614">
                                <a:moveTo>
                                  <a:pt x="0" y="0"/>
                                </a:moveTo>
                                <a:lnTo>
                                  <a:pt x="1872005" y="0"/>
                                </a:lnTo>
                              </a:path>
                            </a:pathLst>
                          </a:custGeom>
                          <a:ln w="12700">
                            <a:solidFill>
                              <a:srgbClr val="000000"/>
                            </a:solidFill>
                            <a:prstDash val="solid"/>
                          </a:ln>
                        </wps:spPr>
                        <wps:bodyPr wrap="square" lIns="0" tIns="0" rIns="0" bIns="0" rtlCol="0">
                          <a:prstTxWarp prst="textNoShape">
                            <a:avLst/>
                          </a:prstTxWarp>
                          <a:noAutofit/>
                        </wps:bodyPr>
                      </wps:wsp>
                      <wps:wsp>
                        <wps:cNvPr id="346" name="Graphic 346"/>
                        <wps:cNvSpPr/>
                        <wps:spPr>
                          <a:xfrm>
                            <a:off x="3750000" y="6350"/>
                            <a:ext cx="2190115" cy="1270"/>
                          </a:xfrm>
                          <a:custGeom>
                            <a:avLst/>
                            <a:gdLst/>
                            <a:ahLst/>
                            <a:cxnLst/>
                            <a:rect l="l" t="t" r="r" b="b"/>
                            <a:pathLst>
                              <a:path w="2190115">
                                <a:moveTo>
                                  <a:pt x="0" y="0"/>
                                </a:moveTo>
                                <a:lnTo>
                                  <a:pt x="2190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AB84BC" id="Group 343" o:spid="_x0000_s1026" style="position:absolute;margin-left:63.8pt;margin-top:17.5pt;width:467.75pt;height:1pt;z-index:15764992;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">
                <v:shape id="Graphic 344" o:spid="_x0000_s1027" style="position:absolute;top:63;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" path="m,l1877999,e" filled="f" strokeweight="1pt">
                  <v:path arrowok="t"/>
                </v:shape>
                <v:shape id="Graphic 345" o:spid="_x0000_s1028" style="position:absolute;left:18779;top:63;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" path="m,l1872005,e" filled="f" strokeweight="1pt">
                  <v:path arrowok="t"/>
                </v:shape>
                <v:shape id="Graphic 346" o:spid="_x0000_s1029" style="position:absolute;left:37500;top:63;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" path="m,l2190000,e" filled="f" strokeweight="1pt">
                  <v:path arrowok="t"/>
                </v:shape>
                <w10:wrap anchorx="page"/>
              </v:group>
            </w:pict>
          </mc:Fallback>
        </mc:AlternateContent>
      </w:r>
      <w:r>
        <w:rPr>
          <w:b/>
          <w:spacing w:val="-2"/>
          <w:sz w:val="20"/>
        </w:rPr>
        <w:t>Initiative</w:t>
      </w:r>
      <w:r>
        <w:rPr>
          <w:b/>
          <w:sz w:val="20"/>
        </w:rPr>
        <w:tab/>
      </w:r>
      <w:r>
        <w:rPr>
          <w:b/>
          <w:spacing w:val="-5"/>
          <w:sz w:val="20"/>
        </w:rPr>
        <w:t>KPI</w:t>
      </w:r>
      <w:r>
        <w:rPr>
          <w:b/>
          <w:sz w:val="20"/>
        </w:rPr>
        <w:tab/>
      </w:r>
      <w:r>
        <w:rPr>
          <w:b/>
          <w:spacing w:val="-2"/>
          <w:sz w:val="20"/>
        </w:rPr>
        <w:t>Reporting</w:t>
      </w:r>
    </w:p>
    <w:p w14:paraId="2D7CA74E" w14:textId="77777777" w:rsidR="00AC6F3C" w:rsidRDefault="00AC6F3C">
      <w:pPr>
        <w:rPr>
          <w:sz w:val="20"/>
        </w:rPr>
        <w:sectPr w:rsidR="00AC6F3C">
          <w:headerReference w:type="default" r:id="rId124"/>
          <w:footerReference w:type="default" r:id="rId125"/>
          <w:pgSz w:w="11910" w:h="16840"/>
          <w:pgMar w:top="1260" w:right="1160" w:bottom="520" w:left="460" w:header="0" w:footer="336" w:gutter="0"/>
          <w:cols w:space="720"/>
        </w:sectPr>
      </w:pPr>
    </w:p>
    <w:p w14:paraId="222B38B3" w14:textId="77777777" w:rsidR="00AC6F3C" w:rsidRDefault="00570E88">
      <w:pPr>
        <w:pStyle w:val="ListParagraph"/>
        <w:numPr>
          <w:ilvl w:val="0"/>
          <w:numId w:val="56"/>
        </w:numPr>
        <w:tabs>
          <w:tab w:val="left" w:pos="1266"/>
          <w:tab w:val="left" w:pos="1268"/>
        </w:tabs>
        <w:spacing w:before="150" w:line="249" w:lineRule="auto"/>
        <w:rPr>
          <w:sz w:val="20"/>
        </w:rPr>
      </w:pPr>
      <w:r>
        <w:rPr>
          <w:sz w:val="20"/>
        </w:rPr>
        <w:t>To</w:t>
      </w:r>
      <w:r>
        <w:rPr>
          <w:spacing w:val="-14"/>
          <w:sz w:val="20"/>
        </w:rPr>
        <w:t xml:space="preserve"> </w:t>
      </w:r>
      <w:r>
        <w:rPr>
          <w:sz w:val="20"/>
        </w:rPr>
        <w:t>grow</w:t>
      </w:r>
      <w:r>
        <w:rPr>
          <w:spacing w:val="-14"/>
          <w:sz w:val="20"/>
        </w:rPr>
        <w:t xml:space="preserve"> </w:t>
      </w:r>
      <w:r>
        <w:rPr>
          <w:sz w:val="20"/>
        </w:rPr>
        <w:t>the</w:t>
      </w:r>
      <w:r>
        <w:rPr>
          <w:spacing w:val="-14"/>
          <w:sz w:val="20"/>
        </w:rPr>
        <w:t xml:space="preserve"> </w:t>
      </w:r>
      <w:r>
        <w:rPr>
          <w:sz w:val="20"/>
        </w:rPr>
        <w:t>Locum</w:t>
      </w:r>
      <w:r>
        <w:rPr>
          <w:spacing w:val="-14"/>
          <w:sz w:val="20"/>
        </w:rPr>
        <w:t xml:space="preserve"> </w:t>
      </w:r>
      <w:r>
        <w:rPr>
          <w:sz w:val="20"/>
        </w:rPr>
        <w:t>Tenens Register to assist and support sole practitioners to small firms</w:t>
      </w:r>
    </w:p>
    <w:p w14:paraId="6F2AEAF0" w14:textId="77777777" w:rsidR="00AC6F3C" w:rsidRDefault="00570E88">
      <w:pPr>
        <w:pStyle w:val="ListParagraph"/>
        <w:numPr>
          <w:ilvl w:val="0"/>
          <w:numId w:val="54"/>
        </w:numPr>
        <w:tabs>
          <w:tab w:val="left" w:pos="529"/>
          <w:tab w:val="left" w:pos="910"/>
        </w:tabs>
        <w:spacing w:before="150" w:line="249" w:lineRule="auto"/>
        <w:ind w:left="910" w:right="164" w:hanging="720"/>
        <w:rPr>
          <w:sz w:val="20"/>
        </w:rPr>
      </w:pPr>
      <w:r>
        <w:br w:type="column"/>
      </w:r>
      <w:r>
        <w:rPr>
          <w:spacing w:val="-6"/>
          <w:sz w:val="20"/>
        </w:rPr>
        <w:t>a)</w:t>
      </w:r>
      <w:r>
        <w:rPr>
          <w:sz w:val="20"/>
        </w:rPr>
        <w:tab/>
        <w:t>Increase</w:t>
      </w:r>
      <w:r>
        <w:rPr>
          <w:spacing w:val="-14"/>
          <w:sz w:val="20"/>
        </w:rPr>
        <w:t xml:space="preserve"> </w:t>
      </w:r>
      <w:r>
        <w:rPr>
          <w:sz w:val="20"/>
        </w:rPr>
        <w:t>the</w:t>
      </w:r>
      <w:r>
        <w:rPr>
          <w:spacing w:val="-14"/>
          <w:sz w:val="20"/>
        </w:rPr>
        <w:t xml:space="preserve"> </w:t>
      </w:r>
      <w:r>
        <w:rPr>
          <w:sz w:val="20"/>
        </w:rPr>
        <w:t xml:space="preserve">number of locums on the Locum Tenens Register by 30 June </w:t>
      </w:r>
      <w:r>
        <w:rPr>
          <w:spacing w:val="-2"/>
          <w:sz w:val="20"/>
        </w:rPr>
        <w:t>2023.</w:t>
      </w:r>
    </w:p>
    <w:p w14:paraId="5C83F711" w14:textId="77777777" w:rsidR="00AC6F3C" w:rsidRDefault="00570E88">
      <w:pPr>
        <w:pStyle w:val="ListParagraph"/>
        <w:numPr>
          <w:ilvl w:val="0"/>
          <w:numId w:val="52"/>
        </w:numPr>
        <w:tabs>
          <w:tab w:val="left" w:pos="529"/>
          <w:tab w:val="left" w:pos="910"/>
        </w:tabs>
        <w:spacing w:before="174" w:line="249" w:lineRule="auto"/>
        <w:ind w:hanging="720"/>
        <w:rPr>
          <w:sz w:val="20"/>
        </w:rPr>
      </w:pPr>
      <w:r>
        <w:rPr>
          <w:spacing w:val="-6"/>
          <w:sz w:val="20"/>
        </w:rPr>
        <w:t>b)</w:t>
      </w:r>
      <w:r>
        <w:rPr>
          <w:sz w:val="20"/>
        </w:rPr>
        <w:tab/>
        <w:t>Report to Council on the demographic of the</w:t>
      </w:r>
      <w:r>
        <w:rPr>
          <w:spacing w:val="-14"/>
          <w:sz w:val="20"/>
        </w:rPr>
        <w:t xml:space="preserve"> </w:t>
      </w:r>
      <w:r>
        <w:rPr>
          <w:sz w:val="20"/>
        </w:rPr>
        <w:t>Locum</w:t>
      </w:r>
      <w:r>
        <w:rPr>
          <w:spacing w:val="-13"/>
          <w:sz w:val="20"/>
        </w:rPr>
        <w:t xml:space="preserve"> </w:t>
      </w:r>
      <w:r>
        <w:rPr>
          <w:sz w:val="20"/>
        </w:rPr>
        <w:t>program</w:t>
      </w:r>
      <w:r>
        <w:rPr>
          <w:spacing w:val="-14"/>
          <w:sz w:val="20"/>
        </w:rPr>
        <w:t xml:space="preserve"> </w:t>
      </w:r>
      <w:r>
        <w:rPr>
          <w:sz w:val="20"/>
        </w:rPr>
        <w:t>by 30 June 2023.</w:t>
      </w:r>
    </w:p>
    <w:p w14:paraId="4DAA2702" w14:textId="77777777" w:rsidR="00AC6F3C" w:rsidRDefault="00570E88">
      <w:pPr>
        <w:pStyle w:val="ListParagraph"/>
        <w:numPr>
          <w:ilvl w:val="1"/>
          <w:numId w:val="52"/>
        </w:numPr>
        <w:tabs>
          <w:tab w:val="left" w:pos="525"/>
          <w:tab w:val="left" w:pos="527"/>
        </w:tabs>
        <w:spacing w:before="150" w:line="249" w:lineRule="auto"/>
        <w:ind w:right="285"/>
        <w:rPr>
          <w:sz w:val="20"/>
        </w:rPr>
      </w:pPr>
      <w:r>
        <w:br w:type="column"/>
      </w:r>
      <w:r>
        <w:rPr>
          <w:sz w:val="20"/>
        </w:rPr>
        <w:t>Achieved</w:t>
      </w:r>
      <w:r>
        <w:rPr>
          <w:spacing w:val="-8"/>
          <w:sz w:val="20"/>
        </w:rPr>
        <w:t xml:space="preserve"> </w:t>
      </w:r>
      <w:r>
        <w:rPr>
          <w:sz w:val="20"/>
        </w:rPr>
        <w:t>–</w:t>
      </w:r>
      <w:r>
        <w:rPr>
          <w:spacing w:val="-8"/>
          <w:sz w:val="20"/>
        </w:rPr>
        <w:t xml:space="preserve"> </w:t>
      </w:r>
      <w:r>
        <w:rPr>
          <w:sz w:val="20"/>
        </w:rPr>
        <w:t>13</w:t>
      </w:r>
      <w:r>
        <w:rPr>
          <w:spacing w:val="-8"/>
          <w:sz w:val="20"/>
        </w:rPr>
        <w:t xml:space="preserve"> </w:t>
      </w:r>
      <w:r>
        <w:rPr>
          <w:sz w:val="20"/>
        </w:rPr>
        <w:t>locums</w:t>
      </w:r>
      <w:r>
        <w:rPr>
          <w:spacing w:val="-8"/>
          <w:sz w:val="20"/>
        </w:rPr>
        <w:t xml:space="preserve"> </w:t>
      </w:r>
      <w:r>
        <w:rPr>
          <w:sz w:val="20"/>
        </w:rPr>
        <w:t>presently on the register. One stepped down</w:t>
      </w:r>
      <w:r>
        <w:rPr>
          <w:spacing w:val="-2"/>
          <w:sz w:val="20"/>
        </w:rPr>
        <w:t xml:space="preserve"> </w:t>
      </w:r>
      <w:r>
        <w:rPr>
          <w:sz w:val="20"/>
        </w:rPr>
        <w:t>as</w:t>
      </w:r>
      <w:r>
        <w:rPr>
          <w:spacing w:val="-2"/>
          <w:sz w:val="20"/>
        </w:rPr>
        <w:t xml:space="preserve"> </w:t>
      </w:r>
      <w:r>
        <w:rPr>
          <w:sz w:val="20"/>
        </w:rPr>
        <w:t>he</w:t>
      </w:r>
      <w:r>
        <w:rPr>
          <w:spacing w:val="-2"/>
          <w:sz w:val="20"/>
        </w:rPr>
        <w:t xml:space="preserve"> </w:t>
      </w:r>
      <w:r>
        <w:rPr>
          <w:sz w:val="20"/>
        </w:rPr>
        <w:t>was</w:t>
      </w:r>
      <w:r>
        <w:rPr>
          <w:spacing w:val="-2"/>
          <w:sz w:val="20"/>
        </w:rPr>
        <w:t xml:space="preserve"> </w:t>
      </w:r>
      <w:r>
        <w:rPr>
          <w:sz w:val="20"/>
        </w:rPr>
        <w:t>appointed</w:t>
      </w:r>
      <w:r>
        <w:rPr>
          <w:spacing w:val="-2"/>
          <w:sz w:val="20"/>
        </w:rPr>
        <w:t xml:space="preserve"> </w:t>
      </w:r>
      <w:r>
        <w:rPr>
          <w:sz w:val="20"/>
        </w:rPr>
        <w:t>as</w:t>
      </w:r>
      <w:r>
        <w:rPr>
          <w:spacing w:val="-2"/>
          <w:sz w:val="20"/>
        </w:rPr>
        <w:t xml:space="preserve"> </w:t>
      </w:r>
      <w:r>
        <w:rPr>
          <w:sz w:val="20"/>
        </w:rPr>
        <w:t>a QCAT member.</w:t>
      </w:r>
    </w:p>
    <w:p w14:paraId="13A75DC8" w14:textId="77777777" w:rsidR="00AC6F3C" w:rsidRDefault="00570E88">
      <w:pPr>
        <w:pStyle w:val="ListParagraph"/>
        <w:numPr>
          <w:ilvl w:val="1"/>
          <w:numId w:val="52"/>
        </w:numPr>
        <w:tabs>
          <w:tab w:val="left" w:pos="526"/>
        </w:tabs>
        <w:spacing w:before="173"/>
        <w:ind w:left="526" w:hanging="339"/>
        <w:rPr>
          <w:sz w:val="20"/>
        </w:rPr>
      </w:pPr>
      <w:r>
        <w:rPr>
          <w:spacing w:val="-2"/>
          <w:sz w:val="20"/>
        </w:rPr>
        <w:t>Achieved</w:t>
      </w:r>
    </w:p>
    <w:p w14:paraId="16C58445" w14:textId="77777777" w:rsidR="00AC6F3C" w:rsidRDefault="00AC6F3C">
      <w:pPr>
        <w:rPr>
          <w:sz w:val="20"/>
        </w:rPr>
        <w:sectPr w:rsidR="00AC6F3C">
          <w:type w:val="continuous"/>
          <w:pgSz w:w="11910" w:h="16840"/>
          <w:pgMar w:top="1920" w:right="1160" w:bottom="280" w:left="460" w:header="0" w:footer="336" w:gutter="0"/>
          <w:cols w:num="3" w:space="720" w:equalWidth="0">
            <w:col w:w="3656" w:space="40"/>
            <w:col w:w="2912" w:space="39"/>
            <w:col w:w="3643"/>
          </w:cols>
        </w:sectPr>
      </w:pPr>
    </w:p>
    <w:p w14:paraId="327010E7" w14:textId="77777777" w:rsidR="00AC6F3C" w:rsidRDefault="00AC6F3C">
      <w:pPr>
        <w:pStyle w:val="BodyText"/>
        <w:spacing w:before="4"/>
        <w:rPr>
          <w:sz w:val="5"/>
        </w:rPr>
      </w:pPr>
    </w:p>
    <w:p w14:paraId="10452C7D"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6596A3D5" wp14:editId="5F18086E">
                <wp:extent cx="5940425" cy="3175"/>
                <wp:effectExtent l="9525" t="0" r="0" b="635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348" name="Graphic 348"/>
                        <wps:cNvSpPr/>
                        <wps:spPr>
                          <a:xfrm>
                            <a:off x="0" y="1587"/>
                            <a:ext cx="1878330" cy="1270"/>
                          </a:xfrm>
                          <a:custGeom>
                            <a:avLst/>
                            <a:gdLst/>
                            <a:ahLst/>
                            <a:cxnLst/>
                            <a:rect l="l" t="t" r="r" b="b"/>
                            <a:pathLst>
                              <a:path w="1878330">
                                <a:moveTo>
                                  <a:pt x="0" y="0"/>
                                </a:moveTo>
                                <a:lnTo>
                                  <a:pt x="1877999" y="0"/>
                                </a:lnTo>
                              </a:path>
                            </a:pathLst>
                          </a:custGeom>
                          <a:ln w="3175">
                            <a:solidFill>
                              <a:srgbClr val="000000"/>
                            </a:solidFill>
                            <a:prstDash val="solid"/>
                          </a:ln>
                        </wps:spPr>
                        <wps:bodyPr wrap="square" lIns="0" tIns="0" rIns="0" bIns="0" rtlCol="0">
                          <a:prstTxWarp prst="textNoShape">
                            <a:avLst/>
                          </a:prstTxWarp>
                          <a:noAutofit/>
                        </wps:bodyPr>
                      </wps:wsp>
                      <wps:wsp>
                        <wps:cNvPr id="349" name="Graphic 349"/>
                        <wps:cNvSpPr/>
                        <wps:spPr>
                          <a:xfrm>
                            <a:off x="1877999" y="1587"/>
                            <a:ext cx="1872614" cy="1270"/>
                          </a:xfrm>
                          <a:custGeom>
                            <a:avLst/>
                            <a:gdLst/>
                            <a:ahLst/>
                            <a:cxnLst/>
                            <a:rect l="l" t="t" r="r" b="b"/>
                            <a:pathLst>
                              <a:path w="1872614">
                                <a:moveTo>
                                  <a:pt x="0" y="0"/>
                                </a:moveTo>
                                <a:lnTo>
                                  <a:pt x="1872005" y="0"/>
                                </a:lnTo>
                              </a:path>
                            </a:pathLst>
                          </a:custGeom>
                          <a:ln w="3175">
                            <a:solidFill>
                              <a:srgbClr val="000000"/>
                            </a:solidFill>
                            <a:prstDash val="solid"/>
                          </a:ln>
                        </wps:spPr>
                        <wps:bodyPr wrap="square" lIns="0" tIns="0" rIns="0" bIns="0" rtlCol="0">
                          <a:prstTxWarp prst="textNoShape">
                            <a:avLst/>
                          </a:prstTxWarp>
                          <a:noAutofit/>
                        </wps:bodyPr>
                      </wps:wsp>
                      <wps:wsp>
                        <wps:cNvPr id="350" name="Graphic 350"/>
                        <wps:cNvSpPr/>
                        <wps:spPr>
                          <a:xfrm>
                            <a:off x="3750000" y="1587"/>
                            <a:ext cx="2190115" cy="1270"/>
                          </a:xfrm>
                          <a:custGeom>
                            <a:avLst/>
                            <a:gdLst/>
                            <a:ahLst/>
                            <a:cxnLst/>
                            <a:rect l="l" t="t" r="r" b="b"/>
                            <a:pathLst>
                              <a:path w="2190115">
                                <a:moveTo>
                                  <a:pt x="0" y="0"/>
                                </a:moveTo>
                                <a:lnTo>
                                  <a:pt x="219000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C5AED4" id="Group 347"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">
                <v:shape id="Graphic 348" o:spid="_x0000_s1027" style="position:absolute;top:15;width:18783;height:13;visibility:visible;mso-wrap-style:square;v-text-anchor:top" coordsize="187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" path="m,l1877999,e" filled="f" strokeweight=".25pt">
                  <v:path arrowok="t"/>
                </v:shape>
                <v:shape id="Graphic 349" o:spid="_x0000_s1028" style="position:absolute;left:18779;top:15;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" path="m,l1872005,e" filled="f" strokeweight=".25pt">
                  <v:path arrowok="t"/>
                </v:shape>
                <v:shape id="Graphic 350" o:spid="_x0000_s1029" style="position:absolute;left:37500;top:15;width:21901;height:13;visibility:visible;mso-wrap-style:square;v-text-anchor:top" coordsize="219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" path="m,l2190000,e" filled="f" strokeweight=".25pt">
                  <v:path arrowok="t"/>
                </v:shape>
                <w10:anchorlock/>
              </v:group>
            </w:pict>
          </mc:Fallback>
        </mc:AlternateContent>
      </w:r>
    </w:p>
    <w:p w14:paraId="48C85E39" w14:textId="77777777" w:rsidR="00AC6F3C" w:rsidRDefault="00AC6F3C">
      <w:pPr>
        <w:pStyle w:val="BodyText"/>
        <w:spacing w:before="8"/>
        <w:rPr>
          <w:sz w:val="24"/>
        </w:rPr>
      </w:pPr>
    </w:p>
    <w:p w14:paraId="49D38DFE" w14:textId="77777777" w:rsidR="00AC6F3C" w:rsidRDefault="00570E88">
      <w:pPr>
        <w:pStyle w:val="BodyText"/>
        <w:spacing w:before="94"/>
        <w:ind w:left="815"/>
      </w:pPr>
      <w:r>
        <w:t>The</w:t>
      </w:r>
      <w:r>
        <w:rPr>
          <w:spacing w:val="-2"/>
        </w:rPr>
        <w:t xml:space="preserve"> </w:t>
      </w:r>
      <w:r>
        <w:t>Strategic</w:t>
      </w:r>
      <w:r>
        <w:rPr>
          <w:spacing w:val="-2"/>
        </w:rPr>
        <w:t xml:space="preserve"> </w:t>
      </w:r>
      <w:r>
        <w:t>Plan</w:t>
      </w:r>
      <w:r>
        <w:rPr>
          <w:spacing w:val="-1"/>
        </w:rPr>
        <w:t xml:space="preserve"> </w:t>
      </w:r>
      <w:r>
        <w:t>2023-24</w:t>
      </w:r>
      <w:r>
        <w:rPr>
          <w:spacing w:val="-2"/>
        </w:rPr>
        <w:t xml:space="preserve"> </w:t>
      </w:r>
      <w:r>
        <w:t>is</w:t>
      </w:r>
      <w:r>
        <w:rPr>
          <w:spacing w:val="-1"/>
        </w:rPr>
        <w:t xml:space="preserve"> </w:t>
      </w:r>
      <w:r>
        <w:t>set</w:t>
      </w:r>
      <w:r>
        <w:rPr>
          <w:spacing w:val="-2"/>
        </w:rPr>
        <w:t xml:space="preserve"> </w:t>
      </w:r>
      <w:r>
        <w:t>out</w:t>
      </w:r>
      <w:r>
        <w:rPr>
          <w:spacing w:val="-1"/>
        </w:rPr>
        <w:t xml:space="preserve"> </w:t>
      </w:r>
      <w:r>
        <w:rPr>
          <w:spacing w:val="-2"/>
        </w:rPr>
        <w:t>below:</w:t>
      </w:r>
    </w:p>
    <w:p w14:paraId="53FB2895" w14:textId="77777777" w:rsidR="00AC6F3C" w:rsidRDefault="00AC6F3C">
      <w:pPr>
        <w:pStyle w:val="BodyText"/>
        <w:spacing w:before="6"/>
        <w:rPr>
          <w:sz w:val="23"/>
        </w:rPr>
      </w:pPr>
    </w:p>
    <w:p w14:paraId="6550B7C4" w14:textId="77777777" w:rsidR="00AC6F3C" w:rsidRDefault="00570E88">
      <w:pPr>
        <w:pStyle w:val="Heading9"/>
      </w:pPr>
      <w:r>
        <w:rPr>
          <w:spacing w:val="-2"/>
        </w:rPr>
        <w:t>Authority</w:t>
      </w:r>
    </w:p>
    <w:p w14:paraId="64A6B9A9" w14:textId="77777777" w:rsidR="00AC6F3C" w:rsidRDefault="00570E88">
      <w:pPr>
        <w:pStyle w:val="BodyText"/>
        <w:spacing w:before="176"/>
        <w:ind w:left="815"/>
      </w:pPr>
      <w:r>
        <w:t>Article</w:t>
      </w:r>
      <w:r>
        <w:rPr>
          <w:spacing w:val="-2"/>
        </w:rPr>
        <w:t xml:space="preserve"> </w:t>
      </w:r>
      <w:r>
        <w:t>69</w:t>
      </w:r>
      <w:r>
        <w:rPr>
          <w:spacing w:val="-1"/>
        </w:rPr>
        <w:t xml:space="preserve"> </w:t>
      </w:r>
      <w:r>
        <w:t>of</w:t>
      </w:r>
      <w:r>
        <w:rPr>
          <w:spacing w:val="-2"/>
        </w:rPr>
        <w:t xml:space="preserve"> </w:t>
      </w:r>
      <w:r>
        <w:t>the</w:t>
      </w:r>
      <w:r>
        <w:rPr>
          <w:spacing w:val="-1"/>
        </w:rPr>
        <w:t xml:space="preserve"> </w:t>
      </w:r>
      <w:r>
        <w:t>Constitution</w:t>
      </w:r>
      <w:r>
        <w:rPr>
          <w:spacing w:val="-2"/>
        </w:rPr>
        <w:t xml:space="preserve"> </w:t>
      </w:r>
      <w:r>
        <w:t>of</w:t>
      </w:r>
      <w:r>
        <w:rPr>
          <w:spacing w:val="-1"/>
        </w:rPr>
        <w:t xml:space="preserve"> </w:t>
      </w:r>
      <w:r>
        <w:t>QLS</w:t>
      </w:r>
      <w:r>
        <w:rPr>
          <w:spacing w:val="-2"/>
        </w:rPr>
        <w:t xml:space="preserve"> </w:t>
      </w:r>
      <w:r>
        <w:t>Solicitor</w:t>
      </w:r>
      <w:r>
        <w:rPr>
          <w:spacing w:val="-1"/>
        </w:rPr>
        <w:t xml:space="preserve"> </w:t>
      </w:r>
      <w:r>
        <w:t>Support</w:t>
      </w:r>
      <w:r>
        <w:rPr>
          <w:spacing w:val="-2"/>
        </w:rPr>
        <w:t xml:space="preserve"> </w:t>
      </w:r>
      <w:r>
        <w:t>Pty</w:t>
      </w:r>
      <w:r>
        <w:rPr>
          <w:spacing w:val="-1"/>
        </w:rPr>
        <w:t xml:space="preserve"> </w:t>
      </w:r>
      <w:r>
        <w:t>Ltd</w:t>
      </w:r>
      <w:r>
        <w:rPr>
          <w:spacing w:val="-2"/>
        </w:rPr>
        <w:t xml:space="preserve"> </w:t>
      </w:r>
      <w:r>
        <w:t>sets</w:t>
      </w:r>
      <w:r>
        <w:rPr>
          <w:spacing w:val="-1"/>
        </w:rPr>
        <w:t xml:space="preserve"> </w:t>
      </w:r>
      <w:r>
        <w:t>out</w:t>
      </w:r>
      <w:r>
        <w:rPr>
          <w:spacing w:val="-2"/>
        </w:rPr>
        <w:t xml:space="preserve"> </w:t>
      </w:r>
      <w:r>
        <w:t>the</w:t>
      </w:r>
      <w:r>
        <w:rPr>
          <w:spacing w:val="-1"/>
        </w:rPr>
        <w:t xml:space="preserve"> </w:t>
      </w:r>
      <w:r>
        <w:t>requirements</w:t>
      </w:r>
      <w:r>
        <w:rPr>
          <w:spacing w:val="-2"/>
        </w:rPr>
        <w:t xml:space="preserve"> </w:t>
      </w:r>
      <w:r>
        <w:t>for</w:t>
      </w:r>
      <w:r>
        <w:rPr>
          <w:spacing w:val="-1"/>
        </w:rPr>
        <w:t xml:space="preserve"> </w:t>
      </w:r>
      <w:r>
        <w:t>an</w:t>
      </w:r>
      <w:r>
        <w:rPr>
          <w:spacing w:val="-1"/>
        </w:rPr>
        <w:t xml:space="preserve"> </w:t>
      </w:r>
      <w:r>
        <w:rPr>
          <w:spacing w:val="-2"/>
        </w:rPr>
        <w:t>annual</w:t>
      </w:r>
    </w:p>
    <w:p w14:paraId="6B2D71F7" w14:textId="77777777" w:rsidR="00AC6F3C" w:rsidRDefault="00570E88">
      <w:pPr>
        <w:pStyle w:val="BodyText"/>
        <w:spacing w:before="10"/>
        <w:ind w:left="815"/>
      </w:pPr>
      <w:r>
        <w:t xml:space="preserve">Strategic </w:t>
      </w:r>
      <w:r>
        <w:rPr>
          <w:spacing w:val="-2"/>
        </w:rPr>
        <w:t>Plan.</w:t>
      </w:r>
    </w:p>
    <w:p w14:paraId="497A0E4F" w14:textId="77777777" w:rsidR="00AC6F3C" w:rsidRDefault="00570E88">
      <w:pPr>
        <w:pStyle w:val="Heading9"/>
        <w:spacing w:before="3" w:line="520" w:lineRule="atLeast"/>
        <w:ind w:right="5978"/>
      </w:pPr>
      <w:r>
        <w:t>Annual</w:t>
      </w:r>
      <w:r>
        <w:rPr>
          <w:spacing w:val="-11"/>
        </w:rPr>
        <w:t xml:space="preserve"> </w:t>
      </w:r>
      <w:r>
        <w:t>Strategic</w:t>
      </w:r>
      <w:r>
        <w:rPr>
          <w:spacing w:val="-11"/>
        </w:rPr>
        <w:t xml:space="preserve"> </w:t>
      </w:r>
      <w:r>
        <w:t>Plan</w:t>
      </w:r>
      <w:r>
        <w:rPr>
          <w:spacing w:val="-11"/>
        </w:rPr>
        <w:t xml:space="preserve"> </w:t>
      </w:r>
      <w:r>
        <w:t>2023-24 Corporate Values</w:t>
      </w:r>
    </w:p>
    <w:p w14:paraId="6A83D705" w14:textId="77777777" w:rsidR="00AC6F3C" w:rsidRDefault="00570E88">
      <w:pPr>
        <w:pStyle w:val="BodyText"/>
        <w:spacing w:before="175"/>
        <w:ind w:left="815"/>
      </w:pPr>
      <w:r>
        <w:t>QLS</w:t>
      </w:r>
      <w:r>
        <w:rPr>
          <w:spacing w:val="-1"/>
        </w:rPr>
        <w:t xml:space="preserve"> </w:t>
      </w:r>
      <w:r>
        <w:t>Solicitor</w:t>
      </w:r>
      <w:r>
        <w:rPr>
          <w:spacing w:val="-1"/>
        </w:rPr>
        <w:t xml:space="preserve"> </w:t>
      </w:r>
      <w:r>
        <w:t>Support</w:t>
      </w:r>
      <w:r>
        <w:rPr>
          <w:spacing w:val="-1"/>
        </w:rPr>
        <w:t xml:space="preserve"> </w:t>
      </w:r>
      <w:r>
        <w:t>Pty</w:t>
      </w:r>
      <w:r>
        <w:rPr>
          <w:spacing w:val="-1"/>
        </w:rPr>
        <w:t xml:space="preserve"> </w:t>
      </w:r>
      <w:r>
        <w:t>Ltd</w:t>
      </w:r>
      <w:r>
        <w:rPr>
          <w:spacing w:val="-1"/>
        </w:rPr>
        <w:t xml:space="preserve"> </w:t>
      </w:r>
      <w:r>
        <w:t>is</w:t>
      </w:r>
      <w:r>
        <w:rPr>
          <w:spacing w:val="-1"/>
        </w:rPr>
        <w:t xml:space="preserve"> </w:t>
      </w:r>
      <w:r>
        <w:t>guided</w:t>
      </w:r>
      <w:r>
        <w:rPr>
          <w:spacing w:val="-1"/>
        </w:rPr>
        <w:t xml:space="preserve"> </w:t>
      </w:r>
      <w:r>
        <w:t>by</w:t>
      </w:r>
      <w:r>
        <w:rPr>
          <w:spacing w:val="-1"/>
        </w:rPr>
        <w:t xml:space="preserve"> </w:t>
      </w:r>
      <w:r>
        <w:t>the</w:t>
      </w:r>
      <w:r>
        <w:rPr>
          <w:spacing w:val="-1"/>
        </w:rPr>
        <w:t xml:space="preserve"> </w:t>
      </w:r>
      <w:r>
        <w:t xml:space="preserve">values </w:t>
      </w:r>
      <w:r>
        <w:rPr>
          <w:spacing w:val="-5"/>
        </w:rPr>
        <w:t>of:</w:t>
      </w:r>
    </w:p>
    <w:p w14:paraId="5EDCD15A" w14:textId="77777777" w:rsidR="00AC6F3C" w:rsidRDefault="00570E88">
      <w:pPr>
        <w:spacing w:before="180" w:line="427" w:lineRule="auto"/>
        <w:ind w:left="815" w:right="8224"/>
        <w:rPr>
          <w:i/>
          <w:sz w:val="20"/>
        </w:rPr>
      </w:pPr>
      <w:r>
        <w:rPr>
          <w:i/>
          <w:spacing w:val="-2"/>
          <w:sz w:val="20"/>
        </w:rPr>
        <w:t>Fidelity Service Courage Vision</w:t>
      </w:r>
    </w:p>
    <w:p w14:paraId="5858512C" w14:textId="77777777" w:rsidR="00AC6F3C" w:rsidRDefault="00570E88">
      <w:pPr>
        <w:spacing w:before="2" w:line="249" w:lineRule="auto"/>
        <w:ind w:left="815" w:right="632"/>
        <w:rPr>
          <w:sz w:val="20"/>
        </w:rPr>
      </w:pPr>
      <w:r>
        <w:rPr>
          <w:sz w:val="20"/>
        </w:rPr>
        <w:t>The</w:t>
      </w:r>
      <w:r>
        <w:rPr>
          <w:spacing w:val="-3"/>
          <w:sz w:val="20"/>
        </w:rPr>
        <w:t xml:space="preserve"> </w:t>
      </w:r>
      <w:r>
        <w:rPr>
          <w:sz w:val="20"/>
        </w:rPr>
        <w:t>vision</w:t>
      </w:r>
      <w:r>
        <w:rPr>
          <w:spacing w:val="-3"/>
          <w:sz w:val="20"/>
        </w:rPr>
        <w:t xml:space="preserve"> </w:t>
      </w:r>
      <w:r>
        <w:rPr>
          <w:sz w:val="20"/>
        </w:rPr>
        <w:t>for</w:t>
      </w:r>
      <w:r>
        <w:rPr>
          <w:spacing w:val="-3"/>
          <w:sz w:val="20"/>
        </w:rPr>
        <w:t xml:space="preserve"> </w:t>
      </w:r>
      <w:r>
        <w:rPr>
          <w:sz w:val="20"/>
        </w:rPr>
        <w:t>QLS</w:t>
      </w:r>
      <w:r>
        <w:rPr>
          <w:spacing w:val="-3"/>
          <w:sz w:val="20"/>
        </w:rPr>
        <w:t xml:space="preserve"> </w:t>
      </w:r>
      <w:r>
        <w:rPr>
          <w:sz w:val="20"/>
        </w:rPr>
        <w:t>Solicitor</w:t>
      </w:r>
      <w:r>
        <w:rPr>
          <w:spacing w:val="-3"/>
          <w:sz w:val="20"/>
        </w:rPr>
        <w:t xml:space="preserve"> </w:t>
      </w:r>
      <w:r>
        <w:rPr>
          <w:sz w:val="20"/>
        </w:rPr>
        <w:t>Support</w:t>
      </w:r>
      <w:r>
        <w:rPr>
          <w:spacing w:val="-3"/>
          <w:sz w:val="20"/>
        </w:rPr>
        <w:t xml:space="preserve"> </w:t>
      </w:r>
      <w:r>
        <w:rPr>
          <w:sz w:val="20"/>
        </w:rPr>
        <w:t>Pty</w:t>
      </w:r>
      <w:r>
        <w:rPr>
          <w:spacing w:val="-3"/>
          <w:sz w:val="20"/>
        </w:rPr>
        <w:t xml:space="preserve"> </w:t>
      </w:r>
      <w:r>
        <w:rPr>
          <w:sz w:val="20"/>
        </w:rPr>
        <w:t>Ltd</w:t>
      </w:r>
      <w:r>
        <w:rPr>
          <w:spacing w:val="-3"/>
          <w:sz w:val="20"/>
        </w:rPr>
        <w:t xml:space="preserve"> </w:t>
      </w:r>
      <w:r>
        <w:rPr>
          <w:sz w:val="20"/>
        </w:rPr>
        <w:t>is</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Queensland</w:t>
      </w:r>
      <w:r>
        <w:rPr>
          <w:spacing w:val="-3"/>
          <w:sz w:val="20"/>
        </w:rPr>
        <w:t xml:space="preserve"> </w:t>
      </w:r>
      <w:r>
        <w:rPr>
          <w:sz w:val="20"/>
        </w:rPr>
        <w:t>Law</w:t>
      </w:r>
      <w:r>
        <w:rPr>
          <w:spacing w:val="-3"/>
          <w:sz w:val="20"/>
        </w:rPr>
        <w:t xml:space="preserve"> </w:t>
      </w:r>
      <w:r>
        <w:rPr>
          <w:sz w:val="20"/>
        </w:rPr>
        <w:t>Society</w:t>
      </w:r>
      <w:r>
        <w:rPr>
          <w:spacing w:val="-3"/>
          <w:sz w:val="20"/>
        </w:rPr>
        <w:t xml:space="preserve"> </w:t>
      </w:r>
      <w:r>
        <w:rPr>
          <w:sz w:val="20"/>
        </w:rPr>
        <w:t>in</w:t>
      </w:r>
      <w:r>
        <w:rPr>
          <w:spacing w:val="-4"/>
          <w:sz w:val="20"/>
        </w:rPr>
        <w:t xml:space="preserve"> </w:t>
      </w:r>
      <w:r>
        <w:rPr>
          <w:i/>
          <w:sz w:val="20"/>
        </w:rPr>
        <w:t>Leading Solicitors in Queensland</w:t>
      </w:r>
      <w:r>
        <w:rPr>
          <w:sz w:val="20"/>
        </w:rPr>
        <w:t>.</w:t>
      </w:r>
    </w:p>
    <w:p w14:paraId="4F2ED8E7" w14:textId="77777777" w:rsidR="00AC6F3C" w:rsidRDefault="00AC6F3C">
      <w:pPr>
        <w:pStyle w:val="BodyText"/>
        <w:spacing w:before="10"/>
        <w:rPr>
          <w:sz w:val="22"/>
        </w:rPr>
      </w:pPr>
    </w:p>
    <w:p w14:paraId="5344008A" w14:textId="77777777" w:rsidR="00AC6F3C" w:rsidRDefault="00570E88">
      <w:pPr>
        <w:pStyle w:val="Heading9"/>
      </w:pPr>
      <w:r>
        <w:rPr>
          <w:spacing w:val="-2"/>
        </w:rPr>
        <w:t>Objects</w:t>
      </w:r>
    </w:p>
    <w:p w14:paraId="72D59A2D" w14:textId="77777777" w:rsidR="00AC6F3C" w:rsidRDefault="00570E88">
      <w:pPr>
        <w:pStyle w:val="BodyText"/>
        <w:spacing w:before="176"/>
        <w:ind w:left="815"/>
      </w:pPr>
      <w:r>
        <w:t>The</w:t>
      </w:r>
      <w:r>
        <w:rPr>
          <w:spacing w:val="-1"/>
        </w:rPr>
        <w:t xml:space="preserve"> </w:t>
      </w:r>
      <w:r>
        <w:t>object of</w:t>
      </w:r>
      <w:r>
        <w:rPr>
          <w:spacing w:val="-1"/>
        </w:rPr>
        <w:t xml:space="preserve"> </w:t>
      </w:r>
      <w:r>
        <w:t>QLS Solicitor</w:t>
      </w:r>
      <w:r>
        <w:rPr>
          <w:spacing w:val="-1"/>
        </w:rPr>
        <w:t xml:space="preserve"> </w:t>
      </w:r>
      <w:r>
        <w:t>Support Pty</w:t>
      </w:r>
      <w:r>
        <w:rPr>
          <w:spacing w:val="-1"/>
        </w:rPr>
        <w:t xml:space="preserve"> </w:t>
      </w:r>
      <w:r>
        <w:t xml:space="preserve">Ltd is </w:t>
      </w:r>
      <w:r>
        <w:rPr>
          <w:spacing w:val="-2"/>
        </w:rPr>
        <w:t>twofold:</w:t>
      </w:r>
    </w:p>
    <w:p w14:paraId="0788ADB5" w14:textId="77777777" w:rsidR="00AC6F3C" w:rsidRDefault="00570E88">
      <w:pPr>
        <w:pStyle w:val="ListParagraph"/>
        <w:numPr>
          <w:ilvl w:val="2"/>
          <w:numId w:val="52"/>
        </w:numPr>
        <w:tabs>
          <w:tab w:val="left" w:pos="1154"/>
        </w:tabs>
        <w:ind w:left="1154" w:hanging="339"/>
        <w:rPr>
          <w:sz w:val="20"/>
        </w:rPr>
      </w:pPr>
      <w:r>
        <w:rPr>
          <w:sz w:val="20"/>
        </w:rPr>
        <w:t>To</w:t>
      </w:r>
      <w:r>
        <w:rPr>
          <w:spacing w:val="-6"/>
          <w:sz w:val="20"/>
        </w:rPr>
        <w:t xml:space="preserve"> </w:t>
      </w:r>
      <w:r>
        <w:rPr>
          <w:sz w:val="20"/>
        </w:rPr>
        <w:t>advance</w:t>
      </w:r>
      <w:r>
        <w:rPr>
          <w:spacing w:val="-6"/>
          <w:sz w:val="20"/>
        </w:rPr>
        <w:t xml:space="preserve"> </w:t>
      </w:r>
      <w:r>
        <w:rPr>
          <w:sz w:val="20"/>
        </w:rPr>
        <w:t>Queensland</w:t>
      </w:r>
      <w:r>
        <w:rPr>
          <w:spacing w:val="-5"/>
          <w:sz w:val="20"/>
        </w:rPr>
        <w:t xml:space="preserve"> </w:t>
      </w:r>
      <w:r>
        <w:rPr>
          <w:sz w:val="20"/>
        </w:rPr>
        <w:t>Law</w:t>
      </w:r>
      <w:r>
        <w:rPr>
          <w:spacing w:val="-6"/>
          <w:sz w:val="20"/>
        </w:rPr>
        <w:t xml:space="preserve"> </w:t>
      </w:r>
      <w:r>
        <w:rPr>
          <w:sz w:val="20"/>
        </w:rPr>
        <w:t>Society’s</w:t>
      </w:r>
      <w:r>
        <w:rPr>
          <w:spacing w:val="-6"/>
          <w:sz w:val="20"/>
        </w:rPr>
        <w:t xml:space="preserve"> </w:t>
      </w:r>
      <w:r>
        <w:rPr>
          <w:sz w:val="20"/>
        </w:rPr>
        <w:t>strategic</w:t>
      </w:r>
      <w:r>
        <w:rPr>
          <w:spacing w:val="-5"/>
          <w:sz w:val="20"/>
        </w:rPr>
        <w:t xml:space="preserve"> </w:t>
      </w:r>
      <w:r>
        <w:rPr>
          <w:sz w:val="20"/>
        </w:rPr>
        <w:t>objective</w:t>
      </w:r>
      <w:r>
        <w:rPr>
          <w:spacing w:val="-6"/>
          <w:sz w:val="20"/>
        </w:rPr>
        <w:t xml:space="preserve"> </w:t>
      </w:r>
      <w:r>
        <w:rPr>
          <w:sz w:val="20"/>
        </w:rPr>
        <w:t>to</w:t>
      </w:r>
      <w:r>
        <w:rPr>
          <w:spacing w:val="-5"/>
          <w:sz w:val="20"/>
        </w:rPr>
        <w:t xml:space="preserve"> </w:t>
      </w:r>
      <w:r>
        <w:rPr>
          <w:sz w:val="20"/>
        </w:rPr>
        <w:t>partner</w:t>
      </w:r>
      <w:r>
        <w:rPr>
          <w:spacing w:val="-6"/>
          <w:sz w:val="20"/>
        </w:rPr>
        <w:t xml:space="preserve"> </w:t>
      </w:r>
      <w:r>
        <w:rPr>
          <w:sz w:val="20"/>
        </w:rPr>
        <w:t>with</w:t>
      </w:r>
      <w:r>
        <w:rPr>
          <w:spacing w:val="-6"/>
          <w:sz w:val="20"/>
        </w:rPr>
        <w:t xml:space="preserve"> </w:t>
      </w:r>
      <w:r>
        <w:rPr>
          <w:sz w:val="20"/>
        </w:rPr>
        <w:t>solicitors</w:t>
      </w:r>
      <w:r>
        <w:rPr>
          <w:spacing w:val="-5"/>
          <w:sz w:val="20"/>
        </w:rPr>
        <w:t xml:space="preserve"> </w:t>
      </w:r>
      <w:r>
        <w:rPr>
          <w:sz w:val="20"/>
        </w:rPr>
        <w:t>in</w:t>
      </w:r>
      <w:r>
        <w:rPr>
          <w:spacing w:val="-6"/>
          <w:sz w:val="20"/>
        </w:rPr>
        <w:t xml:space="preserve"> </w:t>
      </w:r>
      <w:r>
        <w:rPr>
          <w:sz w:val="20"/>
        </w:rPr>
        <w:t>Queensland</w:t>
      </w:r>
      <w:r>
        <w:rPr>
          <w:spacing w:val="-5"/>
          <w:sz w:val="20"/>
        </w:rPr>
        <w:t xml:space="preserve"> to</w:t>
      </w:r>
    </w:p>
    <w:p w14:paraId="217CA7E3" w14:textId="77777777" w:rsidR="00AC6F3C" w:rsidRDefault="00570E88">
      <w:pPr>
        <w:pStyle w:val="BodyText"/>
        <w:spacing w:before="10"/>
        <w:ind w:left="1155"/>
      </w:pPr>
      <w:r>
        <w:t>guide,</w:t>
      </w:r>
      <w:r>
        <w:rPr>
          <w:spacing w:val="-4"/>
        </w:rPr>
        <w:t xml:space="preserve"> </w:t>
      </w:r>
      <w:r>
        <w:t>advise,</w:t>
      </w:r>
      <w:r>
        <w:rPr>
          <w:spacing w:val="-2"/>
        </w:rPr>
        <w:t xml:space="preserve"> </w:t>
      </w:r>
      <w:r>
        <w:t>promote</w:t>
      </w:r>
      <w:r>
        <w:rPr>
          <w:spacing w:val="-2"/>
        </w:rPr>
        <w:t xml:space="preserve"> </w:t>
      </w:r>
      <w:r>
        <w:t>and</w:t>
      </w:r>
      <w:r>
        <w:rPr>
          <w:spacing w:val="-1"/>
        </w:rPr>
        <w:t xml:space="preserve"> </w:t>
      </w:r>
      <w:r>
        <w:t>support</w:t>
      </w:r>
      <w:r>
        <w:rPr>
          <w:spacing w:val="-2"/>
        </w:rPr>
        <w:t xml:space="preserve"> </w:t>
      </w:r>
      <w:r>
        <w:t>their</w:t>
      </w:r>
      <w:r>
        <w:rPr>
          <w:spacing w:val="-2"/>
        </w:rPr>
        <w:t xml:space="preserve"> </w:t>
      </w:r>
      <w:r>
        <w:t>role</w:t>
      </w:r>
      <w:r>
        <w:rPr>
          <w:spacing w:val="-1"/>
        </w:rPr>
        <w:t xml:space="preserve"> </w:t>
      </w:r>
      <w:r>
        <w:t>as</w:t>
      </w:r>
      <w:r>
        <w:rPr>
          <w:spacing w:val="-2"/>
        </w:rPr>
        <w:t xml:space="preserve"> </w:t>
      </w:r>
      <w:r>
        <w:t>trusted</w:t>
      </w:r>
      <w:r>
        <w:rPr>
          <w:spacing w:val="-2"/>
        </w:rPr>
        <w:t xml:space="preserve"> </w:t>
      </w:r>
      <w:r>
        <w:t>advisors;</w:t>
      </w:r>
      <w:r>
        <w:rPr>
          <w:spacing w:val="-1"/>
        </w:rPr>
        <w:t xml:space="preserve"> </w:t>
      </w:r>
      <w:r>
        <w:rPr>
          <w:spacing w:val="-5"/>
        </w:rPr>
        <w:t>and</w:t>
      </w:r>
    </w:p>
    <w:p w14:paraId="46416C9B" w14:textId="77777777" w:rsidR="00AC6F3C" w:rsidRDefault="00570E88">
      <w:pPr>
        <w:pStyle w:val="ListParagraph"/>
        <w:numPr>
          <w:ilvl w:val="2"/>
          <w:numId w:val="52"/>
        </w:numPr>
        <w:tabs>
          <w:tab w:val="left" w:pos="1154"/>
        </w:tabs>
        <w:ind w:left="1154" w:hanging="339"/>
        <w:rPr>
          <w:sz w:val="20"/>
        </w:rPr>
      </w:pPr>
      <w:r>
        <w:rPr>
          <w:sz w:val="20"/>
        </w:rPr>
        <w:t>To</w:t>
      </w:r>
      <w:r>
        <w:rPr>
          <w:spacing w:val="-6"/>
          <w:sz w:val="20"/>
        </w:rPr>
        <w:t xml:space="preserve"> </w:t>
      </w:r>
      <w:r>
        <w:rPr>
          <w:sz w:val="20"/>
        </w:rPr>
        <w:t>advance</w:t>
      </w:r>
      <w:r>
        <w:rPr>
          <w:spacing w:val="-4"/>
          <w:sz w:val="20"/>
        </w:rPr>
        <w:t xml:space="preserve"> </w:t>
      </w:r>
      <w:r>
        <w:rPr>
          <w:sz w:val="20"/>
        </w:rPr>
        <w:t>the</w:t>
      </w:r>
      <w:r>
        <w:rPr>
          <w:spacing w:val="-3"/>
          <w:sz w:val="20"/>
        </w:rPr>
        <w:t xml:space="preserve"> </w:t>
      </w:r>
      <w:r>
        <w:rPr>
          <w:sz w:val="20"/>
        </w:rPr>
        <w:t>objectives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Company,</w:t>
      </w:r>
      <w:r>
        <w:rPr>
          <w:spacing w:val="-4"/>
          <w:sz w:val="20"/>
        </w:rPr>
        <w:t xml:space="preserve"> </w:t>
      </w:r>
      <w:r>
        <w:rPr>
          <w:sz w:val="20"/>
        </w:rPr>
        <w:t>set</w:t>
      </w:r>
      <w:r>
        <w:rPr>
          <w:spacing w:val="-3"/>
          <w:sz w:val="20"/>
        </w:rPr>
        <w:t xml:space="preserve"> </w:t>
      </w:r>
      <w:r>
        <w:rPr>
          <w:sz w:val="20"/>
        </w:rPr>
        <w:t>out</w:t>
      </w:r>
      <w:r>
        <w:rPr>
          <w:spacing w:val="-4"/>
          <w:sz w:val="20"/>
        </w:rPr>
        <w:t xml:space="preserve"> </w:t>
      </w:r>
      <w:r>
        <w:rPr>
          <w:sz w:val="20"/>
        </w:rPr>
        <w:t>in</w:t>
      </w:r>
      <w:r>
        <w:rPr>
          <w:spacing w:val="-4"/>
          <w:sz w:val="20"/>
        </w:rPr>
        <w:t xml:space="preserve"> </w:t>
      </w:r>
      <w:r>
        <w:rPr>
          <w:sz w:val="20"/>
        </w:rPr>
        <w:t>article</w:t>
      </w:r>
      <w:r>
        <w:rPr>
          <w:spacing w:val="-3"/>
          <w:sz w:val="20"/>
        </w:rPr>
        <w:t xml:space="preserve"> </w:t>
      </w:r>
      <w:r>
        <w:rPr>
          <w:sz w:val="20"/>
        </w:rPr>
        <w:t>5</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Constitution,</w:t>
      </w:r>
      <w:r>
        <w:rPr>
          <w:spacing w:val="-4"/>
          <w:sz w:val="20"/>
        </w:rPr>
        <w:t xml:space="preserve"> </w:t>
      </w:r>
      <w:r>
        <w:rPr>
          <w:sz w:val="20"/>
        </w:rPr>
        <w:t>to</w:t>
      </w:r>
      <w:r>
        <w:rPr>
          <w:spacing w:val="-3"/>
          <w:sz w:val="20"/>
        </w:rPr>
        <w:t xml:space="preserve"> </w:t>
      </w:r>
      <w:r>
        <w:rPr>
          <w:spacing w:val="-2"/>
          <w:sz w:val="20"/>
        </w:rPr>
        <w:t>provide:</w:t>
      </w:r>
    </w:p>
    <w:p w14:paraId="56F0588A" w14:textId="77777777" w:rsidR="00AC6F3C" w:rsidRDefault="00570E88">
      <w:pPr>
        <w:pStyle w:val="ListParagraph"/>
        <w:numPr>
          <w:ilvl w:val="3"/>
          <w:numId w:val="52"/>
        </w:numPr>
        <w:tabs>
          <w:tab w:val="left" w:pos="1493"/>
          <w:tab w:val="left" w:pos="1495"/>
        </w:tabs>
        <w:spacing w:line="249" w:lineRule="auto"/>
        <w:ind w:left="1495" w:right="404"/>
        <w:rPr>
          <w:sz w:val="20"/>
        </w:rPr>
      </w:pPr>
      <w:r>
        <w:rPr>
          <w:sz w:val="20"/>
        </w:rPr>
        <w:t>legal</w:t>
      </w:r>
      <w:r>
        <w:rPr>
          <w:spacing w:val="-3"/>
          <w:sz w:val="20"/>
        </w:rPr>
        <w:t xml:space="preserve"> </w:t>
      </w:r>
      <w:r>
        <w:rPr>
          <w:sz w:val="20"/>
        </w:rPr>
        <w:t>services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delivery</w:t>
      </w:r>
      <w:r>
        <w:rPr>
          <w:spacing w:val="-3"/>
          <w:sz w:val="20"/>
        </w:rPr>
        <w:t xml:space="preserve"> </w:t>
      </w:r>
      <w:r>
        <w:rPr>
          <w:sz w:val="20"/>
        </w:rPr>
        <w:t>of</w:t>
      </w:r>
      <w:r>
        <w:rPr>
          <w:spacing w:val="-3"/>
          <w:sz w:val="20"/>
        </w:rPr>
        <w:t xml:space="preserve"> </w:t>
      </w:r>
      <w:r>
        <w:rPr>
          <w:sz w:val="20"/>
        </w:rPr>
        <w:t>guidance,</w:t>
      </w:r>
      <w:r>
        <w:rPr>
          <w:spacing w:val="-3"/>
          <w:sz w:val="20"/>
        </w:rPr>
        <w:t xml:space="preserve"> </w:t>
      </w:r>
      <w:r>
        <w:rPr>
          <w:sz w:val="20"/>
        </w:rPr>
        <w:t>support</w:t>
      </w:r>
      <w:r>
        <w:rPr>
          <w:spacing w:val="-3"/>
          <w:sz w:val="20"/>
        </w:rPr>
        <w:t xml:space="preserve"> </w:t>
      </w:r>
      <w:r>
        <w:rPr>
          <w:sz w:val="20"/>
        </w:rPr>
        <w:t>and</w:t>
      </w:r>
      <w:r>
        <w:rPr>
          <w:spacing w:val="-3"/>
          <w:sz w:val="20"/>
        </w:rPr>
        <w:t xml:space="preserve"> </w:t>
      </w:r>
      <w:r>
        <w:rPr>
          <w:sz w:val="20"/>
        </w:rPr>
        <w:t>counsel</w:t>
      </w:r>
      <w:r>
        <w:rPr>
          <w:spacing w:val="-3"/>
          <w:sz w:val="20"/>
        </w:rPr>
        <w:t xml:space="preserve"> </w:t>
      </w:r>
      <w:r>
        <w:rPr>
          <w:sz w:val="20"/>
        </w:rPr>
        <w:t>to</w:t>
      </w:r>
      <w:r>
        <w:rPr>
          <w:spacing w:val="-3"/>
          <w:sz w:val="20"/>
        </w:rPr>
        <w:t xml:space="preserve"> </w:t>
      </w:r>
      <w:r>
        <w:rPr>
          <w:sz w:val="20"/>
        </w:rPr>
        <w:t>members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Queensland Law Society and other legal practitioners on ethical and legal practice management issues</w:t>
      </w:r>
    </w:p>
    <w:p w14:paraId="5D8184FE" w14:textId="77777777" w:rsidR="00AC6F3C" w:rsidRDefault="00570E88">
      <w:pPr>
        <w:pStyle w:val="ListParagraph"/>
        <w:numPr>
          <w:ilvl w:val="3"/>
          <w:numId w:val="52"/>
        </w:numPr>
        <w:tabs>
          <w:tab w:val="left" w:pos="1493"/>
          <w:tab w:val="left" w:pos="1495"/>
        </w:tabs>
        <w:spacing w:before="171" w:line="249" w:lineRule="auto"/>
        <w:ind w:left="1495" w:right="482"/>
        <w:rPr>
          <w:sz w:val="20"/>
        </w:rPr>
      </w:pPr>
      <w:r>
        <w:rPr>
          <w:sz w:val="20"/>
        </w:rPr>
        <w:t>education</w:t>
      </w:r>
      <w:r>
        <w:rPr>
          <w:spacing w:val="-3"/>
          <w:sz w:val="20"/>
        </w:rPr>
        <w:t xml:space="preserve"> </w:t>
      </w:r>
      <w:r>
        <w:rPr>
          <w:sz w:val="20"/>
        </w:rPr>
        <w:t>and</w:t>
      </w:r>
      <w:r>
        <w:rPr>
          <w:spacing w:val="-3"/>
          <w:sz w:val="20"/>
        </w:rPr>
        <w:t xml:space="preserve"> </w:t>
      </w:r>
      <w:r>
        <w:rPr>
          <w:sz w:val="20"/>
        </w:rPr>
        <w:t>publications</w:t>
      </w:r>
      <w:r>
        <w:rPr>
          <w:spacing w:val="-3"/>
          <w:sz w:val="20"/>
        </w:rPr>
        <w:t xml:space="preserve"> </w:t>
      </w:r>
      <w:r>
        <w:rPr>
          <w:sz w:val="20"/>
        </w:rPr>
        <w:t>on</w:t>
      </w:r>
      <w:r>
        <w:rPr>
          <w:spacing w:val="-3"/>
          <w:sz w:val="20"/>
        </w:rPr>
        <w:t xml:space="preserve"> </w:t>
      </w:r>
      <w:r>
        <w:rPr>
          <w:sz w:val="20"/>
        </w:rPr>
        <w:t>legal</w:t>
      </w:r>
      <w:r>
        <w:rPr>
          <w:spacing w:val="-3"/>
          <w:sz w:val="20"/>
        </w:rPr>
        <w:t xml:space="preserve"> </w:t>
      </w:r>
      <w:r>
        <w:rPr>
          <w:sz w:val="20"/>
        </w:rPr>
        <w:t>ethics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legal</w:t>
      </w:r>
      <w:r>
        <w:rPr>
          <w:spacing w:val="-3"/>
          <w:sz w:val="20"/>
        </w:rPr>
        <w:t xml:space="preserve"> </w:t>
      </w:r>
      <w:r>
        <w:rPr>
          <w:sz w:val="20"/>
        </w:rPr>
        <w:t>profession</w:t>
      </w:r>
      <w:r>
        <w:rPr>
          <w:spacing w:val="-3"/>
          <w:sz w:val="20"/>
        </w:rPr>
        <w:t xml:space="preserve"> </w:t>
      </w:r>
      <w:r>
        <w:rPr>
          <w:sz w:val="20"/>
        </w:rPr>
        <w:t>and</w:t>
      </w:r>
      <w:r>
        <w:rPr>
          <w:spacing w:val="-3"/>
          <w:sz w:val="20"/>
        </w:rPr>
        <w:t xml:space="preserve"> </w:t>
      </w:r>
      <w:r>
        <w:rPr>
          <w:sz w:val="20"/>
        </w:rPr>
        <w:t>practice</w:t>
      </w:r>
      <w:r>
        <w:rPr>
          <w:spacing w:val="-3"/>
          <w:sz w:val="20"/>
        </w:rPr>
        <w:t xml:space="preserve"> </w:t>
      </w:r>
      <w:r>
        <w:rPr>
          <w:sz w:val="20"/>
        </w:rPr>
        <w:t>management</w:t>
      </w:r>
      <w:r>
        <w:rPr>
          <w:spacing w:val="-3"/>
          <w:sz w:val="20"/>
        </w:rPr>
        <w:t xml:space="preserve"> </w:t>
      </w:r>
      <w:r>
        <w:rPr>
          <w:sz w:val="20"/>
        </w:rPr>
        <w:t>to members of the Queensland Law Society and other legal practitioners and</w:t>
      </w:r>
    </w:p>
    <w:p w14:paraId="4CD7DC77" w14:textId="77777777" w:rsidR="00AC6F3C" w:rsidRDefault="00570E88">
      <w:pPr>
        <w:pStyle w:val="ListParagraph"/>
        <w:numPr>
          <w:ilvl w:val="3"/>
          <w:numId w:val="52"/>
        </w:numPr>
        <w:tabs>
          <w:tab w:val="left" w:pos="1494"/>
        </w:tabs>
        <w:spacing w:before="172"/>
        <w:ind w:left="1494" w:hanging="339"/>
        <w:rPr>
          <w:sz w:val="20"/>
        </w:rPr>
      </w:pPr>
      <w:r>
        <w:rPr>
          <w:sz w:val="20"/>
        </w:rPr>
        <w:t>all</w:t>
      </w:r>
      <w:r>
        <w:rPr>
          <w:spacing w:val="-2"/>
          <w:sz w:val="20"/>
        </w:rPr>
        <w:t xml:space="preserve"> </w:t>
      </w:r>
      <w:r>
        <w:rPr>
          <w:sz w:val="20"/>
        </w:rPr>
        <w:t>that</w:t>
      </w:r>
      <w:r>
        <w:rPr>
          <w:spacing w:val="-2"/>
          <w:sz w:val="20"/>
        </w:rPr>
        <w:t xml:space="preserve"> </w:t>
      </w:r>
      <w:r>
        <w:rPr>
          <w:sz w:val="20"/>
        </w:rPr>
        <w:t>is</w:t>
      </w:r>
      <w:r>
        <w:rPr>
          <w:spacing w:val="-1"/>
          <w:sz w:val="20"/>
        </w:rPr>
        <w:t xml:space="preserve"> </w:t>
      </w:r>
      <w:r>
        <w:rPr>
          <w:sz w:val="20"/>
        </w:rPr>
        <w:t>incidental,</w:t>
      </w:r>
      <w:r>
        <w:rPr>
          <w:spacing w:val="-2"/>
          <w:sz w:val="20"/>
        </w:rPr>
        <w:t xml:space="preserve"> </w:t>
      </w:r>
      <w:r>
        <w:rPr>
          <w:sz w:val="20"/>
        </w:rPr>
        <w:t>necessary</w:t>
      </w:r>
      <w:r>
        <w:rPr>
          <w:spacing w:val="-1"/>
          <w:sz w:val="20"/>
        </w:rPr>
        <w:t xml:space="preserve"> </w:t>
      </w:r>
      <w:r>
        <w:rPr>
          <w:sz w:val="20"/>
        </w:rPr>
        <w:t>or</w:t>
      </w:r>
      <w:r>
        <w:rPr>
          <w:spacing w:val="-2"/>
          <w:sz w:val="20"/>
        </w:rPr>
        <w:t xml:space="preserve"> </w:t>
      </w:r>
      <w:r>
        <w:rPr>
          <w:sz w:val="20"/>
        </w:rPr>
        <w:t>convenient</w:t>
      </w:r>
      <w:r>
        <w:rPr>
          <w:spacing w:val="-2"/>
          <w:sz w:val="20"/>
        </w:rPr>
        <w:t xml:space="preserve"> </w:t>
      </w:r>
      <w:r>
        <w:rPr>
          <w:sz w:val="20"/>
        </w:rPr>
        <w:t>to</w:t>
      </w:r>
      <w:r>
        <w:rPr>
          <w:spacing w:val="-1"/>
          <w:sz w:val="20"/>
        </w:rPr>
        <w:t xml:space="preserve"> </w:t>
      </w:r>
      <w:r>
        <w:rPr>
          <w:sz w:val="20"/>
        </w:rPr>
        <w:t>facilitate</w:t>
      </w:r>
      <w:r>
        <w:rPr>
          <w:spacing w:val="-2"/>
          <w:sz w:val="20"/>
        </w:rPr>
        <w:t xml:space="preserve"> </w:t>
      </w:r>
      <w:r>
        <w:rPr>
          <w:sz w:val="20"/>
        </w:rPr>
        <w:t>or</w:t>
      </w:r>
      <w:r>
        <w:rPr>
          <w:spacing w:val="-1"/>
          <w:sz w:val="20"/>
        </w:rPr>
        <w:t xml:space="preserve"> </w:t>
      </w:r>
      <w:r>
        <w:rPr>
          <w:sz w:val="20"/>
        </w:rPr>
        <w:t>support</w:t>
      </w:r>
      <w:r>
        <w:rPr>
          <w:spacing w:val="-2"/>
          <w:sz w:val="20"/>
        </w:rPr>
        <w:t xml:space="preserve"> </w:t>
      </w:r>
      <w:r>
        <w:rPr>
          <w:sz w:val="20"/>
        </w:rPr>
        <w:t>the</w:t>
      </w:r>
      <w:r>
        <w:rPr>
          <w:spacing w:val="-2"/>
          <w:sz w:val="20"/>
        </w:rPr>
        <w:t xml:space="preserve"> </w:t>
      </w:r>
      <w:r>
        <w:rPr>
          <w:sz w:val="20"/>
        </w:rPr>
        <w:t>provision</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pacing w:val="-2"/>
          <w:sz w:val="20"/>
        </w:rPr>
        <w:t>Objects.</w:t>
      </w:r>
    </w:p>
    <w:p w14:paraId="1031930E" w14:textId="77777777" w:rsidR="00AC6F3C" w:rsidRDefault="00AC6F3C">
      <w:pPr>
        <w:rPr>
          <w:sz w:val="20"/>
        </w:rPr>
        <w:sectPr w:rsidR="00AC6F3C">
          <w:type w:val="continuous"/>
          <w:pgSz w:w="11910" w:h="16840"/>
          <w:pgMar w:top="1920" w:right="1160" w:bottom="280" w:left="460" w:header="0" w:footer="336" w:gutter="0"/>
          <w:cols w:space="720"/>
        </w:sectPr>
      </w:pPr>
    </w:p>
    <w:p w14:paraId="58E3410C" w14:textId="77777777" w:rsidR="00AC6F3C" w:rsidRDefault="00570E88">
      <w:pPr>
        <w:pStyle w:val="Heading9"/>
        <w:spacing w:before="71"/>
      </w:pPr>
      <w:bookmarkStart w:id="49" w:name="QLS_Senior_Counsellors"/>
      <w:bookmarkStart w:id="50" w:name="_bookmark17"/>
      <w:bookmarkEnd w:id="49"/>
      <w:bookmarkEnd w:id="50"/>
      <w:r>
        <w:lastRenderedPageBreak/>
        <w:t>Annual</w:t>
      </w:r>
      <w:r>
        <w:rPr>
          <w:spacing w:val="-4"/>
        </w:rPr>
        <w:t xml:space="preserve"> </w:t>
      </w:r>
      <w:r>
        <w:t>initiatives</w:t>
      </w:r>
      <w:r>
        <w:rPr>
          <w:spacing w:val="-3"/>
        </w:rPr>
        <w:t xml:space="preserve"> </w:t>
      </w:r>
      <w:r>
        <w:t>and</w:t>
      </w:r>
      <w:r>
        <w:rPr>
          <w:spacing w:val="-3"/>
        </w:rPr>
        <w:t xml:space="preserve"> </w:t>
      </w:r>
      <w:r>
        <w:rPr>
          <w:spacing w:val="-4"/>
        </w:rPr>
        <w:t>KPIs</w:t>
      </w:r>
    </w:p>
    <w:p w14:paraId="214355B5" w14:textId="77777777" w:rsidR="00AC6F3C" w:rsidRDefault="00570E88">
      <w:pPr>
        <w:pStyle w:val="BodyText"/>
        <w:spacing w:before="176"/>
        <w:ind w:left="815"/>
      </w:pPr>
      <w:r>
        <w:t>The</w:t>
      </w:r>
      <w:r>
        <w:rPr>
          <w:spacing w:val="-1"/>
        </w:rPr>
        <w:t xml:space="preserve"> </w:t>
      </w:r>
      <w:r>
        <w:t>annual</w:t>
      </w:r>
      <w:r>
        <w:rPr>
          <w:spacing w:val="-1"/>
        </w:rPr>
        <w:t xml:space="preserve"> </w:t>
      </w:r>
      <w:r>
        <w:t>initiatives</w:t>
      </w:r>
      <w:r>
        <w:rPr>
          <w:spacing w:val="-1"/>
        </w:rPr>
        <w:t xml:space="preserve"> </w:t>
      </w:r>
      <w:r>
        <w:t>and</w:t>
      </w:r>
      <w:r>
        <w:rPr>
          <w:spacing w:val="-1"/>
        </w:rPr>
        <w:t xml:space="preserve"> </w:t>
      </w:r>
      <w:r>
        <w:t>KPIs</w:t>
      </w:r>
      <w:r>
        <w:rPr>
          <w:spacing w:val="-1"/>
        </w:rPr>
        <w:t xml:space="preserve"> </w:t>
      </w:r>
      <w:r>
        <w:t>for</w:t>
      </w:r>
      <w:r>
        <w:rPr>
          <w:spacing w:val="-1"/>
        </w:rPr>
        <w:t xml:space="preserve"> </w:t>
      </w:r>
      <w:r>
        <w:t>QLS</w:t>
      </w:r>
      <w:r>
        <w:rPr>
          <w:spacing w:val="-1"/>
        </w:rPr>
        <w:t xml:space="preserve"> </w:t>
      </w:r>
      <w:r>
        <w:t>Solicitor</w:t>
      </w:r>
      <w:r>
        <w:rPr>
          <w:spacing w:val="-1"/>
        </w:rPr>
        <w:t xml:space="preserve"> </w:t>
      </w:r>
      <w:r>
        <w:t>Support</w:t>
      </w:r>
      <w:r>
        <w:rPr>
          <w:spacing w:val="-1"/>
        </w:rPr>
        <w:t xml:space="preserve"> </w:t>
      </w:r>
      <w:r>
        <w:t>Pty</w:t>
      </w:r>
      <w:r>
        <w:rPr>
          <w:spacing w:val="-1"/>
        </w:rPr>
        <w:t xml:space="preserve"> </w:t>
      </w:r>
      <w:r>
        <w:t>Ltd</w:t>
      </w:r>
      <w:r>
        <w:rPr>
          <w:spacing w:val="-1"/>
        </w:rPr>
        <w:t xml:space="preserve"> </w:t>
      </w:r>
      <w:r>
        <w:t>are</w:t>
      </w:r>
      <w:r>
        <w:rPr>
          <w:spacing w:val="-1"/>
        </w:rPr>
        <w:t xml:space="preserve"> </w:t>
      </w:r>
      <w:r>
        <w:t>set</w:t>
      </w:r>
      <w:r>
        <w:rPr>
          <w:spacing w:val="-1"/>
        </w:rPr>
        <w:t xml:space="preserve"> </w:t>
      </w:r>
      <w:r>
        <w:t xml:space="preserve">out </w:t>
      </w:r>
      <w:r>
        <w:rPr>
          <w:spacing w:val="-2"/>
        </w:rPr>
        <w:t>below:</w:t>
      </w:r>
    </w:p>
    <w:p w14:paraId="2F3BCD42" w14:textId="77777777" w:rsidR="00AC6F3C" w:rsidRDefault="00570E88">
      <w:pPr>
        <w:pStyle w:val="BodyText"/>
        <w:spacing w:before="9"/>
        <w:rPr>
          <w:sz w:val="23"/>
        </w:rPr>
      </w:pPr>
      <w:r>
        <w:rPr>
          <w:noProof/>
        </w:rPr>
        <mc:AlternateContent>
          <mc:Choice Requires="wpg">
            <w:drawing>
              <wp:anchor distT="0" distB="0" distL="0" distR="0" simplePos="0" relativeHeight="487624704" behindDoc="1" locked="0" layoutInCell="1" allowOverlap="1" wp14:anchorId="38084CF0" wp14:editId="317C5906">
                <wp:simplePos x="0" y="0"/>
                <wp:positionH relativeFrom="page">
                  <wp:posOffset>809999</wp:posOffset>
                </wp:positionH>
                <wp:positionV relativeFrom="paragraph">
                  <wp:posOffset>189381</wp:posOffset>
                </wp:positionV>
                <wp:extent cx="5936615" cy="12700"/>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12700"/>
                          <a:chOff x="0" y="0"/>
                          <a:chExt cx="5936615" cy="12700"/>
                        </a:xfrm>
                      </wpg:grpSpPr>
                      <wps:wsp>
                        <wps:cNvPr id="353" name="Graphic 353"/>
                        <wps:cNvSpPr/>
                        <wps:spPr>
                          <a:xfrm>
                            <a:off x="0" y="6350"/>
                            <a:ext cx="2970530" cy="1270"/>
                          </a:xfrm>
                          <a:custGeom>
                            <a:avLst/>
                            <a:gdLst/>
                            <a:ahLst/>
                            <a:cxnLst/>
                            <a:rect l="l" t="t" r="r" b="b"/>
                            <a:pathLst>
                              <a:path w="2970530">
                                <a:moveTo>
                                  <a:pt x="0" y="0"/>
                                </a:moveTo>
                                <a:lnTo>
                                  <a:pt x="2969996" y="0"/>
                                </a:lnTo>
                              </a:path>
                            </a:pathLst>
                          </a:custGeom>
                          <a:ln w="12700">
                            <a:solidFill>
                              <a:srgbClr val="000000"/>
                            </a:solidFill>
                            <a:prstDash val="solid"/>
                          </a:ln>
                        </wps:spPr>
                        <wps:bodyPr wrap="square" lIns="0" tIns="0" rIns="0" bIns="0" rtlCol="0">
                          <a:prstTxWarp prst="textNoShape">
                            <a:avLst/>
                          </a:prstTxWarp>
                          <a:noAutofit/>
                        </wps:bodyPr>
                      </wps:wsp>
                      <wps:wsp>
                        <wps:cNvPr id="354" name="Graphic 354"/>
                        <wps:cNvSpPr/>
                        <wps:spPr>
                          <a:xfrm>
                            <a:off x="2970000" y="6350"/>
                            <a:ext cx="2966720" cy="1270"/>
                          </a:xfrm>
                          <a:custGeom>
                            <a:avLst/>
                            <a:gdLst/>
                            <a:ahLst/>
                            <a:cxnLst/>
                            <a:rect l="l" t="t" r="r" b="b"/>
                            <a:pathLst>
                              <a:path w="2966720">
                                <a:moveTo>
                                  <a:pt x="0" y="0"/>
                                </a:moveTo>
                                <a:lnTo>
                                  <a:pt x="2966402"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F78BB2" id="Group 352" o:spid="_x0000_s1026" style="position:absolute;margin-left:63.8pt;margin-top:14.9pt;width:467.45pt;height:1pt;z-index:-15691776;mso-wrap-distance-left:0;mso-wrap-distance-right:0;mso-position-horizontal-relative:page" coordsize="593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">
                <v:shape id="Graphic 353" o:spid="_x0000_s1027" style="position:absolute;top:63;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" path="m,l2969996,e" filled="f" strokeweight="1pt">
                  <v:path arrowok="t"/>
                </v:shape>
                <v:shape id="Graphic 354" o:spid="_x0000_s1028" style="position:absolute;left:29700;top:63;width:29667;height:13;visibility:visible;mso-wrap-style:square;v-text-anchor:top" coordsize="296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" path="m,l2966402,e" filled="f" strokeweight="1pt">
                  <v:path arrowok="t"/>
                </v:shape>
                <w10:wrap type="topAndBottom" anchorx="page"/>
              </v:group>
            </w:pict>
          </mc:Fallback>
        </mc:AlternateContent>
      </w:r>
    </w:p>
    <w:p w14:paraId="243E21EA" w14:textId="77777777" w:rsidR="00AC6F3C" w:rsidRDefault="00570E88">
      <w:pPr>
        <w:tabs>
          <w:tab w:val="left" w:pos="5606"/>
        </w:tabs>
        <w:spacing w:before="61"/>
        <w:ind w:left="928"/>
        <w:rPr>
          <w:b/>
          <w:sz w:val="20"/>
        </w:rPr>
      </w:pPr>
      <w:r>
        <w:rPr>
          <w:b/>
          <w:spacing w:val="-2"/>
          <w:sz w:val="20"/>
        </w:rPr>
        <w:t>Initiative</w:t>
      </w:r>
      <w:r>
        <w:rPr>
          <w:b/>
          <w:sz w:val="20"/>
        </w:rPr>
        <w:tab/>
      </w:r>
      <w:r>
        <w:rPr>
          <w:b/>
          <w:spacing w:val="-5"/>
          <w:sz w:val="20"/>
        </w:rPr>
        <w:t>KPI</w:t>
      </w:r>
    </w:p>
    <w:p w14:paraId="7EA7C5AD" w14:textId="77777777" w:rsidR="00AC6F3C" w:rsidRDefault="00AC6F3C">
      <w:pPr>
        <w:rPr>
          <w:sz w:val="20"/>
        </w:rPr>
        <w:sectPr w:rsidR="00AC6F3C">
          <w:headerReference w:type="default" r:id="rId126"/>
          <w:footerReference w:type="default" r:id="rId127"/>
          <w:pgSz w:w="11910" w:h="16840"/>
          <w:pgMar w:top="1140" w:right="1160" w:bottom="520" w:left="460" w:header="0" w:footer="336" w:gutter="0"/>
          <w:cols w:space="720"/>
        </w:sectPr>
      </w:pPr>
    </w:p>
    <w:p w14:paraId="05577C7B" w14:textId="77777777" w:rsidR="00AC6F3C" w:rsidRDefault="00570E88">
      <w:pPr>
        <w:pStyle w:val="ListParagraph"/>
        <w:numPr>
          <w:ilvl w:val="0"/>
          <w:numId w:val="51"/>
        </w:numPr>
        <w:tabs>
          <w:tab w:val="left" w:pos="1267"/>
          <w:tab w:val="left" w:pos="1269"/>
        </w:tabs>
        <w:spacing w:before="150" w:line="249" w:lineRule="auto"/>
        <w:ind w:right="561"/>
        <w:rPr>
          <w:sz w:val="20"/>
        </w:rPr>
      </w:pPr>
      <w:r>
        <w:rPr>
          <w:noProof/>
        </w:rPr>
        <mc:AlternateContent>
          <mc:Choice Requires="wpg">
            <w:drawing>
              <wp:anchor distT="0" distB="0" distL="0" distR="0" simplePos="0" relativeHeight="15767552" behindDoc="0" locked="0" layoutInCell="1" allowOverlap="1" wp14:anchorId="0A6FF9C0" wp14:editId="04CCE191">
                <wp:simplePos x="0" y="0"/>
                <wp:positionH relativeFrom="page">
                  <wp:posOffset>809999</wp:posOffset>
                </wp:positionH>
                <wp:positionV relativeFrom="paragraph">
                  <wp:posOffset>38850</wp:posOffset>
                </wp:positionV>
                <wp:extent cx="5936615" cy="1270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12700"/>
                          <a:chOff x="0" y="0"/>
                          <a:chExt cx="5936615" cy="12700"/>
                        </a:xfrm>
                      </wpg:grpSpPr>
                      <wps:wsp>
                        <wps:cNvPr id="356" name="Graphic 356"/>
                        <wps:cNvSpPr/>
                        <wps:spPr>
                          <a:xfrm>
                            <a:off x="0" y="6350"/>
                            <a:ext cx="2970530" cy="1270"/>
                          </a:xfrm>
                          <a:custGeom>
                            <a:avLst/>
                            <a:gdLst/>
                            <a:ahLst/>
                            <a:cxnLst/>
                            <a:rect l="l" t="t" r="r" b="b"/>
                            <a:pathLst>
                              <a:path w="2970530">
                                <a:moveTo>
                                  <a:pt x="0" y="0"/>
                                </a:moveTo>
                                <a:lnTo>
                                  <a:pt x="2969996" y="0"/>
                                </a:lnTo>
                              </a:path>
                            </a:pathLst>
                          </a:custGeom>
                          <a:ln w="12700">
                            <a:solidFill>
                              <a:srgbClr val="000000"/>
                            </a:solidFill>
                            <a:prstDash val="solid"/>
                          </a:ln>
                        </wps:spPr>
                        <wps:bodyPr wrap="square" lIns="0" tIns="0" rIns="0" bIns="0" rtlCol="0">
                          <a:prstTxWarp prst="textNoShape">
                            <a:avLst/>
                          </a:prstTxWarp>
                          <a:noAutofit/>
                        </wps:bodyPr>
                      </wps:wsp>
                      <wps:wsp>
                        <wps:cNvPr id="357" name="Graphic 357"/>
                        <wps:cNvSpPr/>
                        <wps:spPr>
                          <a:xfrm>
                            <a:off x="2970000" y="6350"/>
                            <a:ext cx="2966720" cy="1270"/>
                          </a:xfrm>
                          <a:custGeom>
                            <a:avLst/>
                            <a:gdLst/>
                            <a:ahLst/>
                            <a:cxnLst/>
                            <a:rect l="l" t="t" r="r" b="b"/>
                            <a:pathLst>
                              <a:path w="2966720">
                                <a:moveTo>
                                  <a:pt x="0" y="0"/>
                                </a:moveTo>
                                <a:lnTo>
                                  <a:pt x="2966402"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67D85A" id="Group 355" o:spid="_x0000_s1026" style="position:absolute;margin-left:63.8pt;margin-top:3.05pt;width:467.45pt;height:1pt;z-index:15767552;mso-wrap-distance-left:0;mso-wrap-distance-right:0;mso-position-horizontal-relative:page" coordsize="593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">
                <v:shape id="Graphic 356" o:spid="_x0000_s1027" style="position:absolute;top:63;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" path="m,l2969996,e" filled="f" strokeweight="1pt">
                  <v:path arrowok="t"/>
                </v:shape>
                <v:shape id="Graphic 357" o:spid="_x0000_s1028" style="position:absolute;left:29700;top:63;width:29667;height:13;visibility:visible;mso-wrap-style:square;v-text-anchor:top" coordsize="296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" path="m,l2966402,e" filled="f" strokeweight="1pt">
                  <v:path arrowok="t"/>
                </v:shape>
                <w10:wrap anchorx="page"/>
              </v:group>
            </w:pict>
          </mc:Fallback>
        </mc:AlternateContent>
      </w:r>
      <w:r>
        <w:rPr>
          <w:sz w:val="20"/>
        </w:rPr>
        <w:t>To continue to respond to and provide a</w:t>
      </w:r>
      <w:r>
        <w:rPr>
          <w:spacing w:val="-7"/>
          <w:sz w:val="20"/>
        </w:rPr>
        <w:t xml:space="preserve"> </w:t>
      </w:r>
      <w:r>
        <w:rPr>
          <w:sz w:val="20"/>
        </w:rPr>
        <w:t>high</w:t>
      </w:r>
      <w:r>
        <w:rPr>
          <w:spacing w:val="-7"/>
          <w:sz w:val="20"/>
        </w:rPr>
        <w:t xml:space="preserve"> </w:t>
      </w:r>
      <w:r>
        <w:rPr>
          <w:sz w:val="20"/>
        </w:rPr>
        <w:t>quality</w:t>
      </w:r>
      <w:r>
        <w:rPr>
          <w:spacing w:val="-7"/>
          <w:sz w:val="20"/>
        </w:rPr>
        <w:t xml:space="preserve"> </w:t>
      </w:r>
      <w:r>
        <w:rPr>
          <w:sz w:val="20"/>
        </w:rPr>
        <w:t>ethics</w:t>
      </w:r>
      <w:r>
        <w:rPr>
          <w:spacing w:val="-7"/>
          <w:sz w:val="20"/>
        </w:rPr>
        <w:t xml:space="preserve"> </w:t>
      </w:r>
      <w:r>
        <w:rPr>
          <w:sz w:val="20"/>
        </w:rPr>
        <w:t>advisory</w:t>
      </w:r>
      <w:r>
        <w:rPr>
          <w:spacing w:val="-7"/>
          <w:sz w:val="20"/>
        </w:rPr>
        <w:t xml:space="preserve"> </w:t>
      </w:r>
      <w:r>
        <w:rPr>
          <w:sz w:val="20"/>
        </w:rPr>
        <w:t>service</w:t>
      </w:r>
      <w:r>
        <w:rPr>
          <w:spacing w:val="-7"/>
          <w:sz w:val="20"/>
        </w:rPr>
        <w:t xml:space="preserve"> </w:t>
      </w:r>
      <w:r>
        <w:rPr>
          <w:sz w:val="20"/>
        </w:rPr>
        <w:t>to the profession.</w:t>
      </w:r>
    </w:p>
    <w:p w14:paraId="084F2D44" w14:textId="77777777" w:rsidR="00AC6F3C" w:rsidRDefault="00AC6F3C">
      <w:pPr>
        <w:pStyle w:val="BodyText"/>
        <w:rPr>
          <w:sz w:val="22"/>
        </w:rPr>
      </w:pPr>
    </w:p>
    <w:p w14:paraId="60882E1E" w14:textId="77777777" w:rsidR="00AC6F3C" w:rsidRDefault="00AC6F3C">
      <w:pPr>
        <w:pStyle w:val="BodyText"/>
        <w:rPr>
          <w:sz w:val="22"/>
        </w:rPr>
      </w:pPr>
    </w:p>
    <w:p w14:paraId="635E1960" w14:textId="77777777" w:rsidR="00AC6F3C" w:rsidRDefault="00AC6F3C">
      <w:pPr>
        <w:pStyle w:val="BodyText"/>
        <w:rPr>
          <w:sz w:val="22"/>
        </w:rPr>
      </w:pPr>
    </w:p>
    <w:p w14:paraId="2C0067F8" w14:textId="77777777" w:rsidR="00AC6F3C" w:rsidRDefault="00AC6F3C">
      <w:pPr>
        <w:pStyle w:val="BodyText"/>
        <w:spacing w:before="2"/>
        <w:rPr>
          <w:sz w:val="29"/>
        </w:rPr>
      </w:pPr>
    </w:p>
    <w:p w14:paraId="26A164BF" w14:textId="77777777" w:rsidR="00AC6F3C" w:rsidRDefault="00570E88">
      <w:pPr>
        <w:pStyle w:val="ListParagraph"/>
        <w:numPr>
          <w:ilvl w:val="0"/>
          <w:numId w:val="51"/>
        </w:numPr>
        <w:tabs>
          <w:tab w:val="left" w:pos="1267"/>
          <w:tab w:val="left" w:pos="1269"/>
        </w:tabs>
        <w:spacing w:before="0" w:line="249" w:lineRule="auto"/>
        <w:ind w:right="171"/>
        <w:rPr>
          <w:sz w:val="20"/>
        </w:rPr>
      </w:pPr>
      <w:r>
        <w:rPr>
          <w:noProof/>
        </w:rPr>
        <mc:AlternateContent>
          <mc:Choice Requires="wpg">
            <w:drawing>
              <wp:anchor distT="0" distB="0" distL="0" distR="0" simplePos="0" relativeHeight="15766528" behindDoc="0" locked="0" layoutInCell="1" allowOverlap="1" wp14:anchorId="42F62E99" wp14:editId="796682E3">
                <wp:simplePos x="0" y="0"/>
                <wp:positionH relativeFrom="page">
                  <wp:posOffset>809999</wp:posOffset>
                </wp:positionH>
                <wp:positionV relativeFrom="paragraph">
                  <wp:posOffset>-46888</wp:posOffset>
                </wp:positionV>
                <wp:extent cx="5936615" cy="317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3175"/>
                          <a:chOff x="0" y="0"/>
                          <a:chExt cx="5936615" cy="3175"/>
                        </a:xfrm>
                      </wpg:grpSpPr>
                      <wps:wsp>
                        <wps:cNvPr id="359" name="Graphic 359"/>
                        <wps:cNvSpPr/>
                        <wps:spPr>
                          <a:xfrm>
                            <a:off x="0" y="1587"/>
                            <a:ext cx="2970530" cy="1270"/>
                          </a:xfrm>
                          <a:custGeom>
                            <a:avLst/>
                            <a:gdLst/>
                            <a:ahLst/>
                            <a:cxnLst/>
                            <a:rect l="l" t="t" r="r" b="b"/>
                            <a:pathLst>
                              <a:path w="2970530">
                                <a:moveTo>
                                  <a:pt x="0" y="0"/>
                                </a:moveTo>
                                <a:lnTo>
                                  <a:pt x="2969996" y="0"/>
                                </a:lnTo>
                              </a:path>
                            </a:pathLst>
                          </a:custGeom>
                          <a:ln w="3175">
                            <a:solidFill>
                              <a:srgbClr val="000000"/>
                            </a:solidFill>
                            <a:prstDash val="solid"/>
                          </a:ln>
                        </wps:spPr>
                        <wps:bodyPr wrap="square" lIns="0" tIns="0" rIns="0" bIns="0" rtlCol="0">
                          <a:prstTxWarp prst="textNoShape">
                            <a:avLst/>
                          </a:prstTxWarp>
                          <a:noAutofit/>
                        </wps:bodyPr>
                      </wps:wsp>
                      <wps:wsp>
                        <wps:cNvPr id="360" name="Graphic 360"/>
                        <wps:cNvSpPr/>
                        <wps:spPr>
                          <a:xfrm>
                            <a:off x="2970000" y="1587"/>
                            <a:ext cx="2966720" cy="1270"/>
                          </a:xfrm>
                          <a:custGeom>
                            <a:avLst/>
                            <a:gdLst/>
                            <a:ahLst/>
                            <a:cxnLst/>
                            <a:rect l="l" t="t" r="r" b="b"/>
                            <a:pathLst>
                              <a:path w="2966720">
                                <a:moveTo>
                                  <a:pt x="0" y="0"/>
                                </a:moveTo>
                                <a:lnTo>
                                  <a:pt x="29664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9D685C" id="Group 358" o:spid="_x0000_s1026" style="position:absolute;margin-left:63.8pt;margin-top:-3.7pt;width:467.45pt;height:.25pt;z-index:15766528;mso-wrap-distance-left:0;mso-wrap-distance-right:0;mso-position-horizontal-relative:page" coordsize="593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">
                <v:shape id="Graphic 359" o:spid="_x0000_s1027" style="position:absolute;top:15;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" path="m,l2969996,e" filled="f" strokeweight=".25pt">
                  <v:path arrowok="t"/>
                </v:shape>
                <v:shape id="Graphic 360" o:spid="_x0000_s1028" style="position:absolute;left:29700;top:15;width:29667;height:13;visibility:visible;mso-wrap-style:square;v-text-anchor:top" coordsize="296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" path="m,l2966402,e" filled="f" strokeweight=".25pt">
                  <v:path arrowok="t"/>
                </v:shape>
                <w10:wrap anchorx="page"/>
              </v:group>
            </w:pict>
          </mc:Fallback>
        </mc:AlternateContent>
      </w:r>
      <w:r>
        <w:rPr>
          <w:sz w:val="20"/>
        </w:rPr>
        <w:t>To continue to provide a high quality practice advisory service to sole to small firms which includes and assists the practitioner in financial, governance, practice</w:t>
      </w:r>
      <w:r>
        <w:rPr>
          <w:spacing w:val="-13"/>
          <w:sz w:val="20"/>
        </w:rPr>
        <w:t xml:space="preserve"> </w:t>
      </w:r>
      <w:r>
        <w:rPr>
          <w:sz w:val="20"/>
        </w:rPr>
        <w:t>management,</w:t>
      </w:r>
      <w:r>
        <w:rPr>
          <w:spacing w:val="-13"/>
          <w:sz w:val="20"/>
        </w:rPr>
        <w:t xml:space="preserve"> </w:t>
      </w:r>
      <w:r>
        <w:rPr>
          <w:sz w:val="20"/>
        </w:rPr>
        <w:t>marketing,</w:t>
      </w:r>
      <w:r>
        <w:rPr>
          <w:spacing w:val="-13"/>
          <w:sz w:val="20"/>
        </w:rPr>
        <w:t xml:space="preserve"> </w:t>
      </w:r>
      <w:r>
        <w:rPr>
          <w:sz w:val="20"/>
        </w:rPr>
        <w:t xml:space="preserve">wellbeing and </w:t>
      </w:r>
      <w:proofErr w:type="spellStart"/>
      <w:r>
        <w:rPr>
          <w:sz w:val="20"/>
        </w:rPr>
        <w:t>organisational</w:t>
      </w:r>
      <w:proofErr w:type="spellEnd"/>
      <w:r>
        <w:rPr>
          <w:sz w:val="20"/>
        </w:rPr>
        <w:t xml:space="preserve"> culture issues by offering and expanding to those firms with up to 10 </w:t>
      </w:r>
      <w:proofErr w:type="spellStart"/>
      <w:r>
        <w:rPr>
          <w:sz w:val="20"/>
        </w:rPr>
        <w:t>practising</w:t>
      </w:r>
      <w:proofErr w:type="spellEnd"/>
      <w:r>
        <w:rPr>
          <w:sz w:val="20"/>
        </w:rPr>
        <w:t xml:space="preserve"> certificate holders.</w:t>
      </w:r>
    </w:p>
    <w:p w14:paraId="18A2AA16" w14:textId="77777777" w:rsidR="00AC6F3C" w:rsidRDefault="00AC6F3C">
      <w:pPr>
        <w:pStyle w:val="BodyText"/>
        <w:rPr>
          <w:sz w:val="22"/>
        </w:rPr>
      </w:pPr>
    </w:p>
    <w:p w14:paraId="3363D866" w14:textId="77777777" w:rsidR="00AC6F3C" w:rsidRDefault="00AC6F3C">
      <w:pPr>
        <w:pStyle w:val="BodyText"/>
        <w:rPr>
          <w:sz w:val="22"/>
        </w:rPr>
      </w:pPr>
    </w:p>
    <w:p w14:paraId="187182B2" w14:textId="77777777" w:rsidR="00AC6F3C" w:rsidRDefault="00AC6F3C">
      <w:pPr>
        <w:pStyle w:val="BodyText"/>
        <w:spacing w:before="3"/>
        <w:rPr>
          <w:sz w:val="27"/>
        </w:rPr>
      </w:pPr>
    </w:p>
    <w:p w14:paraId="55AF9EA2" w14:textId="77777777" w:rsidR="00AC6F3C" w:rsidRDefault="00570E88">
      <w:pPr>
        <w:pStyle w:val="ListParagraph"/>
        <w:numPr>
          <w:ilvl w:val="0"/>
          <w:numId w:val="51"/>
        </w:numPr>
        <w:tabs>
          <w:tab w:val="left" w:pos="1267"/>
          <w:tab w:val="left" w:pos="1269"/>
        </w:tabs>
        <w:spacing w:before="0" w:line="249" w:lineRule="auto"/>
        <w:ind w:right="260"/>
        <w:rPr>
          <w:sz w:val="20"/>
        </w:rPr>
      </w:pPr>
      <w:r>
        <w:rPr>
          <w:noProof/>
        </w:rPr>
        <mc:AlternateContent>
          <mc:Choice Requires="wpg">
            <w:drawing>
              <wp:anchor distT="0" distB="0" distL="0" distR="0" simplePos="0" relativeHeight="15767040" behindDoc="0" locked="0" layoutInCell="1" allowOverlap="1" wp14:anchorId="6CB84077" wp14:editId="738DF4C3">
                <wp:simplePos x="0" y="0"/>
                <wp:positionH relativeFrom="page">
                  <wp:posOffset>809999</wp:posOffset>
                </wp:positionH>
                <wp:positionV relativeFrom="paragraph">
                  <wp:posOffset>-46703</wp:posOffset>
                </wp:positionV>
                <wp:extent cx="5936615" cy="317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3175"/>
                          <a:chOff x="0" y="0"/>
                          <a:chExt cx="5936615" cy="3175"/>
                        </a:xfrm>
                      </wpg:grpSpPr>
                      <wps:wsp>
                        <wps:cNvPr id="362" name="Graphic 362"/>
                        <wps:cNvSpPr/>
                        <wps:spPr>
                          <a:xfrm>
                            <a:off x="0" y="1587"/>
                            <a:ext cx="2970530" cy="1270"/>
                          </a:xfrm>
                          <a:custGeom>
                            <a:avLst/>
                            <a:gdLst/>
                            <a:ahLst/>
                            <a:cxnLst/>
                            <a:rect l="l" t="t" r="r" b="b"/>
                            <a:pathLst>
                              <a:path w="2970530">
                                <a:moveTo>
                                  <a:pt x="0" y="0"/>
                                </a:moveTo>
                                <a:lnTo>
                                  <a:pt x="2969996" y="0"/>
                                </a:lnTo>
                              </a:path>
                            </a:pathLst>
                          </a:custGeom>
                          <a:ln w="3175">
                            <a:solidFill>
                              <a:srgbClr val="000000"/>
                            </a:solidFill>
                            <a:prstDash val="solid"/>
                          </a:ln>
                        </wps:spPr>
                        <wps:bodyPr wrap="square" lIns="0" tIns="0" rIns="0" bIns="0" rtlCol="0">
                          <a:prstTxWarp prst="textNoShape">
                            <a:avLst/>
                          </a:prstTxWarp>
                          <a:noAutofit/>
                        </wps:bodyPr>
                      </wps:wsp>
                      <wps:wsp>
                        <wps:cNvPr id="363" name="Graphic 363"/>
                        <wps:cNvSpPr/>
                        <wps:spPr>
                          <a:xfrm>
                            <a:off x="2970000" y="1587"/>
                            <a:ext cx="2966720" cy="1270"/>
                          </a:xfrm>
                          <a:custGeom>
                            <a:avLst/>
                            <a:gdLst/>
                            <a:ahLst/>
                            <a:cxnLst/>
                            <a:rect l="l" t="t" r="r" b="b"/>
                            <a:pathLst>
                              <a:path w="2966720">
                                <a:moveTo>
                                  <a:pt x="0" y="0"/>
                                </a:moveTo>
                                <a:lnTo>
                                  <a:pt x="29664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85E331" id="Group 361" o:spid="_x0000_s1026" style="position:absolute;margin-left:63.8pt;margin-top:-3.7pt;width:467.45pt;height:.25pt;z-index:15767040;mso-wrap-distance-left:0;mso-wrap-distance-right:0;mso-position-horizontal-relative:page" coordsize="593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">
                <v:shape id="Graphic 362" o:spid="_x0000_s1027" style="position:absolute;top:15;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" path="m,l2969996,e" filled="f" strokeweight=".25pt">
                  <v:path arrowok="t"/>
                </v:shape>
                <v:shape id="Graphic 363" o:spid="_x0000_s1028" style="position:absolute;left:29700;top:15;width:29667;height:13;visibility:visible;mso-wrap-style:square;v-text-anchor:top" coordsize="296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" path="m,l2966402,e" filled="f" strokeweight=".25pt">
                  <v:path arrowok="t"/>
                </v:shape>
                <w10:wrap anchorx="page"/>
              </v:group>
            </w:pict>
          </mc:Fallback>
        </mc:AlternateContent>
      </w:r>
      <w:r>
        <w:rPr>
          <w:sz w:val="20"/>
        </w:rPr>
        <w:t>To continue to provide guidance and support in ethical and practice advisory / business</w:t>
      </w:r>
      <w:r>
        <w:rPr>
          <w:spacing w:val="-8"/>
          <w:sz w:val="20"/>
        </w:rPr>
        <w:t xml:space="preserve"> </w:t>
      </w:r>
      <w:r>
        <w:rPr>
          <w:sz w:val="20"/>
        </w:rPr>
        <w:t>management</w:t>
      </w:r>
      <w:r>
        <w:rPr>
          <w:spacing w:val="-8"/>
          <w:sz w:val="20"/>
        </w:rPr>
        <w:t xml:space="preserve"> </w:t>
      </w:r>
      <w:r>
        <w:rPr>
          <w:sz w:val="20"/>
        </w:rPr>
        <w:t>matters</w:t>
      </w:r>
      <w:r>
        <w:rPr>
          <w:spacing w:val="-8"/>
          <w:sz w:val="20"/>
        </w:rPr>
        <w:t xml:space="preserve"> </w:t>
      </w:r>
      <w:r>
        <w:rPr>
          <w:sz w:val="20"/>
        </w:rPr>
        <w:t>to</w:t>
      </w:r>
      <w:r>
        <w:rPr>
          <w:spacing w:val="-8"/>
          <w:sz w:val="20"/>
        </w:rPr>
        <w:t xml:space="preserve"> </w:t>
      </w:r>
      <w:r>
        <w:rPr>
          <w:sz w:val="20"/>
        </w:rPr>
        <w:t>sole</w:t>
      </w:r>
      <w:r>
        <w:rPr>
          <w:spacing w:val="-8"/>
          <w:sz w:val="20"/>
        </w:rPr>
        <w:t xml:space="preserve"> </w:t>
      </w:r>
      <w:r>
        <w:rPr>
          <w:sz w:val="20"/>
        </w:rPr>
        <w:t>and small firms through:</w:t>
      </w:r>
    </w:p>
    <w:p w14:paraId="4D65A0FD" w14:textId="77777777" w:rsidR="00AC6F3C" w:rsidRDefault="00570E88">
      <w:pPr>
        <w:pStyle w:val="ListParagraph"/>
        <w:numPr>
          <w:ilvl w:val="1"/>
          <w:numId w:val="51"/>
        </w:numPr>
        <w:tabs>
          <w:tab w:val="left" w:pos="1665"/>
        </w:tabs>
        <w:spacing w:before="173"/>
        <w:ind w:hanging="340"/>
        <w:rPr>
          <w:sz w:val="20"/>
        </w:rPr>
      </w:pPr>
      <w:r>
        <w:rPr>
          <w:sz w:val="20"/>
        </w:rPr>
        <w:t>practice</w:t>
      </w:r>
      <w:r>
        <w:rPr>
          <w:spacing w:val="-4"/>
          <w:sz w:val="20"/>
        </w:rPr>
        <w:t xml:space="preserve"> </w:t>
      </w:r>
      <w:r>
        <w:rPr>
          <w:sz w:val="20"/>
        </w:rPr>
        <w:t>advisory</w:t>
      </w:r>
      <w:r>
        <w:rPr>
          <w:spacing w:val="-3"/>
          <w:sz w:val="20"/>
        </w:rPr>
        <w:t xml:space="preserve"> </w:t>
      </w:r>
      <w:r>
        <w:rPr>
          <w:spacing w:val="-2"/>
          <w:sz w:val="20"/>
        </w:rPr>
        <w:t>visits</w:t>
      </w:r>
    </w:p>
    <w:p w14:paraId="4EDDF894" w14:textId="77777777" w:rsidR="00AC6F3C" w:rsidRDefault="00570E88">
      <w:pPr>
        <w:pStyle w:val="ListParagraph"/>
        <w:numPr>
          <w:ilvl w:val="1"/>
          <w:numId w:val="51"/>
        </w:numPr>
        <w:tabs>
          <w:tab w:val="left" w:pos="1665"/>
        </w:tabs>
        <w:ind w:hanging="340"/>
        <w:rPr>
          <w:sz w:val="20"/>
        </w:rPr>
      </w:pPr>
      <w:r>
        <w:rPr>
          <w:sz w:val="20"/>
        </w:rPr>
        <w:t>continuing</w:t>
      </w:r>
      <w:r>
        <w:rPr>
          <w:spacing w:val="-4"/>
          <w:sz w:val="20"/>
        </w:rPr>
        <w:t xml:space="preserve"> </w:t>
      </w:r>
      <w:r>
        <w:rPr>
          <w:sz w:val="20"/>
        </w:rPr>
        <w:t>to</w:t>
      </w:r>
      <w:r>
        <w:rPr>
          <w:spacing w:val="-3"/>
          <w:sz w:val="20"/>
        </w:rPr>
        <w:t xml:space="preserve"> </w:t>
      </w:r>
      <w:r>
        <w:rPr>
          <w:sz w:val="20"/>
        </w:rPr>
        <w:t>refine</w:t>
      </w:r>
      <w:r>
        <w:rPr>
          <w:spacing w:val="-3"/>
          <w:sz w:val="20"/>
        </w:rPr>
        <w:t xml:space="preserve"> </w:t>
      </w:r>
      <w:r>
        <w:rPr>
          <w:sz w:val="20"/>
        </w:rPr>
        <w:t>and</w:t>
      </w:r>
      <w:r>
        <w:rPr>
          <w:spacing w:val="-4"/>
          <w:sz w:val="20"/>
        </w:rPr>
        <w:t xml:space="preserve"> </w:t>
      </w:r>
      <w:r>
        <w:rPr>
          <w:sz w:val="20"/>
        </w:rPr>
        <w:t>make</w:t>
      </w:r>
      <w:r>
        <w:rPr>
          <w:spacing w:val="-3"/>
          <w:sz w:val="20"/>
        </w:rPr>
        <w:t xml:space="preserve"> </w:t>
      </w:r>
      <w:r>
        <w:rPr>
          <w:sz w:val="20"/>
        </w:rPr>
        <w:t>referrals</w:t>
      </w:r>
      <w:r>
        <w:rPr>
          <w:spacing w:val="-3"/>
          <w:sz w:val="20"/>
        </w:rPr>
        <w:t xml:space="preserve"> </w:t>
      </w:r>
      <w:r>
        <w:rPr>
          <w:spacing w:val="-5"/>
          <w:sz w:val="20"/>
        </w:rPr>
        <w:t>to</w:t>
      </w:r>
    </w:p>
    <w:p w14:paraId="34962A78" w14:textId="77777777" w:rsidR="00AC6F3C" w:rsidRDefault="00570E88">
      <w:pPr>
        <w:pStyle w:val="BodyText"/>
        <w:spacing w:before="10"/>
        <w:ind w:left="1665"/>
      </w:pPr>
      <w:r>
        <w:t>our</w:t>
      </w:r>
      <w:r>
        <w:rPr>
          <w:spacing w:val="-7"/>
        </w:rPr>
        <w:t xml:space="preserve"> </w:t>
      </w:r>
      <w:r>
        <w:t>external</w:t>
      </w:r>
      <w:r>
        <w:rPr>
          <w:spacing w:val="-5"/>
        </w:rPr>
        <w:t xml:space="preserve"> </w:t>
      </w:r>
      <w:r>
        <w:t>referral</w:t>
      </w:r>
      <w:r>
        <w:rPr>
          <w:spacing w:val="-4"/>
        </w:rPr>
        <w:t xml:space="preserve"> </w:t>
      </w:r>
      <w:r>
        <w:rPr>
          <w:spacing w:val="-2"/>
        </w:rPr>
        <w:t>services</w:t>
      </w:r>
    </w:p>
    <w:p w14:paraId="7FE81C39" w14:textId="77777777" w:rsidR="00AC6F3C" w:rsidRDefault="00570E88">
      <w:pPr>
        <w:pStyle w:val="ListParagraph"/>
        <w:numPr>
          <w:ilvl w:val="1"/>
          <w:numId w:val="51"/>
        </w:numPr>
        <w:tabs>
          <w:tab w:val="left" w:pos="1665"/>
        </w:tabs>
        <w:spacing w:line="249" w:lineRule="auto"/>
        <w:ind w:right="208"/>
        <w:rPr>
          <w:sz w:val="20"/>
        </w:rPr>
      </w:pPr>
      <w:r>
        <w:rPr>
          <w:sz w:val="20"/>
        </w:rPr>
        <w:t>producing</w:t>
      </w:r>
      <w:r>
        <w:rPr>
          <w:spacing w:val="-10"/>
          <w:sz w:val="20"/>
        </w:rPr>
        <w:t xml:space="preserve"> </w:t>
      </w:r>
      <w:r>
        <w:rPr>
          <w:sz w:val="20"/>
        </w:rPr>
        <w:t>resources</w:t>
      </w:r>
      <w:r>
        <w:rPr>
          <w:spacing w:val="-10"/>
          <w:sz w:val="20"/>
        </w:rPr>
        <w:t xml:space="preserve"> </w:t>
      </w:r>
      <w:r>
        <w:rPr>
          <w:sz w:val="20"/>
        </w:rPr>
        <w:t>such</w:t>
      </w:r>
      <w:r>
        <w:rPr>
          <w:spacing w:val="-10"/>
          <w:sz w:val="20"/>
        </w:rPr>
        <w:t xml:space="preserve"> </w:t>
      </w:r>
      <w:r>
        <w:rPr>
          <w:sz w:val="20"/>
        </w:rPr>
        <w:t>as</w:t>
      </w:r>
      <w:r>
        <w:rPr>
          <w:spacing w:val="-10"/>
          <w:sz w:val="20"/>
        </w:rPr>
        <w:t xml:space="preserve"> </w:t>
      </w:r>
      <w:r>
        <w:rPr>
          <w:sz w:val="20"/>
        </w:rPr>
        <w:t>guidance statements, ethics notes, templates, checklists, and case notes</w:t>
      </w:r>
    </w:p>
    <w:p w14:paraId="068FC6B9" w14:textId="77777777" w:rsidR="00AC6F3C" w:rsidRDefault="00570E88">
      <w:pPr>
        <w:pStyle w:val="ListParagraph"/>
        <w:numPr>
          <w:ilvl w:val="1"/>
          <w:numId w:val="51"/>
        </w:numPr>
        <w:tabs>
          <w:tab w:val="left" w:pos="1665"/>
        </w:tabs>
        <w:spacing w:before="173"/>
        <w:ind w:hanging="340"/>
        <w:rPr>
          <w:sz w:val="20"/>
        </w:rPr>
      </w:pPr>
      <w:r>
        <w:rPr>
          <w:sz w:val="20"/>
        </w:rPr>
        <w:t>bespoke</w:t>
      </w:r>
      <w:r>
        <w:rPr>
          <w:spacing w:val="-3"/>
          <w:sz w:val="20"/>
        </w:rPr>
        <w:t xml:space="preserve"> </w:t>
      </w:r>
      <w:r>
        <w:rPr>
          <w:sz w:val="20"/>
        </w:rPr>
        <w:t>ethics</w:t>
      </w:r>
      <w:r>
        <w:rPr>
          <w:spacing w:val="-3"/>
          <w:sz w:val="20"/>
        </w:rPr>
        <w:t xml:space="preserve"> </w:t>
      </w:r>
      <w:r>
        <w:rPr>
          <w:spacing w:val="-2"/>
          <w:sz w:val="20"/>
        </w:rPr>
        <w:t>sessions.</w:t>
      </w:r>
    </w:p>
    <w:p w14:paraId="54C75F2D" w14:textId="77777777" w:rsidR="00AC6F3C" w:rsidRDefault="00570E88">
      <w:pPr>
        <w:pStyle w:val="ListParagraph"/>
        <w:numPr>
          <w:ilvl w:val="0"/>
          <w:numId w:val="50"/>
        </w:numPr>
        <w:tabs>
          <w:tab w:val="left" w:pos="603"/>
          <w:tab w:val="left" w:pos="605"/>
        </w:tabs>
        <w:spacing w:before="150" w:line="249" w:lineRule="auto"/>
        <w:ind w:right="335"/>
        <w:rPr>
          <w:sz w:val="20"/>
        </w:rPr>
      </w:pPr>
      <w:r>
        <w:br w:type="column"/>
      </w:r>
      <w:r>
        <w:rPr>
          <w:sz w:val="20"/>
        </w:rPr>
        <w:t>To continue to respond within two hours of receipt of the enquiry (if possible) and close</w:t>
      </w:r>
      <w:r>
        <w:rPr>
          <w:spacing w:val="40"/>
          <w:sz w:val="20"/>
        </w:rPr>
        <w:t xml:space="preserve"> </w:t>
      </w:r>
      <w:r>
        <w:rPr>
          <w:sz w:val="20"/>
        </w:rPr>
        <w:t>a matter on the same day or the next day (if the</w:t>
      </w:r>
      <w:r>
        <w:rPr>
          <w:spacing w:val="-5"/>
          <w:sz w:val="20"/>
        </w:rPr>
        <w:t xml:space="preserve"> </w:t>
      </w:r>
      <w:r>
        <w:rPr>
          <w:sz w:val="20"/>
        </w:rPr>
        <w:t>call</w:t>
      </w:r>
      <w:r>
        <w:rPr>
          <w:spacing w:val="-5"/>
          <w:sz w:val="20"/>
        </w:rPr>
        <w:t xml:space="preserve"> </w:t>
      </w:r>
      <w:r>
        <w:rPr>
          <w:sz w:val="20"/>
        </w:rPr>
        <w:t>is</w:t>
      </w:r>
      <w:r>
        <w:rPr>
          <w:spacing w:val="-5"/>
          <w:sz w:val="20"/>
        </w:rPr>
        <w:t xml:space="preserve"> </w:t>
      </w:r>
      <w:r>
        <w:rPr>
          <w:sz w:val="20"/>
        </w:rPr>
        <w:t>taken</w:t>
      </w:r>
      <w:r>
        <w:rPr>
          <w:spacing w:val="-5"/>
          <w:sz w:val="20"/>
        </w:rPr>
        <w:t xml:space="preserve"> </w:t>
      </w:r>
      <w:r>
        <w:rPr>
          <w:sz w:val="20"/>
        </w:rPr>
        <w:t>after</w:t>
      </w:r>
      <w:r>
        <w:rPr>
          <w:spacing w:val="-5"/>
          <w:sz w:val="20"/>
        </w:rPr>
        <w:t xml:space="preserve"> </w:t>
      </w:r>
      <w:r>
        <w:rPr>
          <w:sz w:val="20"/>
        </w:rPr>
        <w:t>4pm,</w:t>
      </w:r>
      <w:r>
        <w:rPr>
          <w:spacing w:val="-5"/>
          <w:sz w:val="20"/>
        </w:rPr>
        <w:t xml:space="preserve"> </w:t>
      </w:r>
      <w:r>
        <w:rPr>
          <w:sz w:val="20"/>
        </w:rPr>
        <w:t>further</w:t>
      </w:r>
      <w:r>
        <w:rPr>
          <w:spacing w:val="-5"/>
          <w:sz w:val="20"/>
        </w:rPr>
        <w:t xml:space="preserve"> </w:t>
      </w:r>
      <w:r>
        <w:rPr>
          <w:sz w:val="20"/>
        </w:rPr>
        <w:t>research</w:t>
      </w:r>
      <w:r>
        <w:rPr>
          <w:spacing w:val="-5"/>
          <w:sz w:val="20"/>
        </w:rPr>
        <w:t xml:space="preserve"> </w:t>
      </w:r>
      <w:r>
        <w:rPr>
          <w:sz w:val="20"/>
        </w:rPr>
        <w:t>is required or intervening weekend) – provide an 80% response rate in closing the matter within 48 hours.</w:t>
      </w:r>
    </w:p>
    <w:p w14:paraId="7F9B357C" w14:textId="77777777" w:rsidR="00AC6F3C" w:rsidRDefault="00570E88">
      <w:pPr>
        <w:pStyle w:val="ListParagraph"/>
        <w:numPr>
          <w:ilvl w:val="0"/>
          <w:numId w:val="50"/>
        </w:numPr>
        <w:tabs>
          <w:tab w:val="left" w:pos="604"/>
          <w:tab w:val="left" w:pos="985"/>
        </w:tabs>
        <w:spacing w:before="138" w:line="249" w:lineRule="auto"/>
        <w:ind w:left="985" w:right="344" w:hanging="720"/>
        <w:rPr>
          <w:sz w:val="20"/>
        </w:rPr>
      </w:pPr>
      <w:r>
        <w:rPr>
          <w:spacing w:val="-6"/>
          <w:sz w:val="20"/>
        </w:rPr>
        <w:t>a)</w:t>
      </w:r>
      <w:r>
        <w:rPr>
          <w:sz w:val="20"/>
        </w:rPr>
        <w:tab/>
        <w:t>At</w:t>
      </w:r>
      <w:r>
        <w:rPr>
          <w:spacing w:val="-5"/>
          <w:sz w:val="20"/>
        </w:rPr>
        <w:t xml:space="preserve"> </w:t>
      </w:r>
      <w:r>
        <w:rPr>
          <w:sz w:val="20"/>
        </w:rPr>
        <w:t>least</w:t>
      </w:r>
      <w:r>
        <w:rPr>
          <w:spacing w:val="-5"/>
          <w:sz w:val="20"/>
        </w:rPr>
        <w:t xml:space="preserve"> </w:t>
      </w:r>
      <w:r>
        <w:rPr>
          <w:sz w:val="20"/>
        </w:rPr>
        <w:t>300</w:t>
      </w:r>
      <w:r>
        <w:rPr>
          <w:spacing w:val="-5"/>
          <w:sz w:val="20"/>
        </w:rPr>
        <w:t xml:space="preserve"> </w:t>
      </w:r>
      <w:r>
        <w:rPr>
          <w:sz w:val="20"/>
        </w:rPr>
        <w:t>firms</w:t>
      </w:r>
      <w:r>
        <w:rPr>
          <w:spacing w:val="-5"/>
          <w:sz w:val="20"/>
        </w:rPr>
        <w:t xml:space="preserve"> </w:t>
      </w:r>
      <w:r>
        <w:rPr>
          <w:sz w:val="20"/>
        </w:rPr>
        <w:t>approached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ILP request a practice advisory visit.</w:t>
      </w:r>
    </w:p>
    <w:p w14:paraId="005FC4B8" w14:textId="77777777" w:rsidR="00AC6F3C" w:rsidRDefault="00570E88">
      <w:pPr>
        <w:pStyle w:val="ListParagraph"/>
        <w:numPr>
          <w:ilvl w:val="0"/>
          <w:numId w:val="50"/>
        </w:numPr>
        <w:tabs>
          <w:tab w:val="left" w:pos="604"/>
          <w:tab w:val="left" w:pos="985"/>
        </w:tabs>
        <w:spacing w:before="172"/>
        <w:ind w:left="604" w:hanging="339"/>
        <w:rPr>
          <w:sz w:val="20"/>
        </w:rPr>
      </w:pPr>
      <w:r>
        <w:rPr>
          <w:spacing w:val="-5"/>
          <w:sz w:val="20"/>
        </w:rPr>
        <w:t>b)</w:t>
      </w:r>
      <w:r>
        <w:rPr>
          <w:sz w:val="20"/>
        </w:rPr>
        <w:tab/>
        <w:t>Quarterly</w:t>
      </w:r>
      <w:r>
        <w:rPr>
          <w:spacing w:val="-5"/>
          <w:sz w:val="20"/>
        </w:rPr>
        <w:t xml:space="preserve"> </w:t>
      </w:r>
      <w:r>
        <w:rPr>
          <w:sz w:val="20"/>
        </w:rPr>
        <w:t>report</w:t>
      </w:r>
      <w:r>
        <w:rPr>
          <w:spacing w:val="-3"/>
          <w:sz w:val="20"/>
        </w:rPr>
        <w:t xml:space="preserve"> </w:t>
      </w:r>
      <w:r>
        <w:rPr>
          <w:sz w:val="20"/>
        </w:rPr>
        <w:t>to</w:t>
      </w:r>
      <w:r>
        <w:rPr>
          <w:spacing w:val="-2"/>
          <w:sz w:val="20"/>
        </w:rPr>
        <w:t xml:space="preserve"> </w:t>
      </w:r>
      <w:r>
        <w:rPr>
          <w:sz w:val="20"/>
        </w:rPr>
        <w:t>Council</w:t>
      </w:r>
      <w:r>
        <w:rPr>
          <w:spacing w:val="-3"/>
          <w:sz w:val="20"/>
        </w:rPr>
        <w:t xml:space="preserve"> </w:t>
      </w:r>
      <w:r>
        <w:rPr>
          <w:sz w:val="20"/>
        </w:rPr>
        <w:t>setting</w:t>
      </w:r>
      <w:r>
        <w:rPr>
          <w:spacing w:val="-2"/>
          <w:sz w:val="20"/>
        </w:rPr>
        <w:t xml:space="preserve"> </w:t>
      </w:r>
      <w:r>
        <w:rPr>
          <w:spacing w:val="-4"/>
          <w:sz w:val="20"/>
        </w:rPr>
        <w:t>out:</w:t>
      </w:r>
    </w:p>
    <w:p w14:paraId="750A8542" w14:textId="77777777" w:rsidR="00AC6F3C" w:rsidRDefault="00570E88">
      <w:pPr>
        <w:pStyle w:val="ListParagraph"/>
        <w:numPr>
          <w:ilvl w:val="1"/>
          <w:numId w:val="50"/>
        </w:numPr>
        <w:tabs>
          <w:tab w:val="left" w:pos="1342"/>
        </w:tabs>
        <w:spacing w:line="249" w:lineRule="auto"/>
        <w:ind w:right="299"/>
        <w:rPr>
          <w:sz w:val="20"/>
        </w:rPr>
      </w:pPr>
      <w:r>
        <w:rPr>
          <w:sz w:val="20"/>
        </w:rPr>
        <w:t>the number of visits and rate of acceptance</w:t>
      </w:r>
      <w:r>
        <w:rPr>
          <w:spacing w:val="-9"/>
          <w:sz w:val="20"/>
        </w:rPr>
        <w:t xml:space="preserve"> </w:t>
      </w:r>
      <w:r>
        <w:rPr>
          <w:sz w:val="20"/>
        </w:rPr>
        <w:t>of</w:t>
      </w:r>
      <w:r>
        <w:rPr>
          <w:spacing w:val="-9"/>
          <w:sz w:val="20"/>
        </w:rPr>
        <w:t xml:space="preserve"> </w:t>
      </w:r>
      <w:r>
        <w:rPr>
          <w:sz w:val="20"/>
        </w:rPr>
        <w:t>practice</w:t>
      </w:r>
      <w:r>
        <w:rPr>
          <w:spacing w:val="-9"/>
          <w:sz w:val="20"/>
        </w:rPr>
        <w:t xml:space="preserve"> </w:t>
      </w:r>
      <w:r>
        <w:rPr>
          <w:sz w:val="20"/>
        </w:rPr>
        <w:t>advisory</w:t>
      </w:r>
      <w:r>
        <w:rPr>
          <w:spacing w:val="-9"/>
          <w:sz w:val="20"/>
        </w:rPr>
        <w:t xml:space="preserve"> </w:t>
      </w:r>
      <w:r>
        <w:rPr>
          <w:sz w:val="20"/>
        </w:rPr>
        <w:t>visits</w:t>
      </w:r>
    </w:p>
    <w:p w14:paraId="2FA71A95" w14:textId="77777777" w:rsidR="00AC6F3C" w:rsidRDefault="00570E88">
      <w:pPr>
        <w:pStyle w:val="ListParagraph"/>
        <w:numPr>
          <w:ilvl w:val="1"/>
          <w:numId w:val="50"/>
        </w:numPr>
        <w:tabs>
          <w:tab w:val="left" w:pos="1342"/>
        </w:tabs>
        <w:spacing w:before="171"/>
        <w:ind w:hanging="340"/>
        <w:rPr>
          <w:sz w:val="20"/>
        </w:rPr>
      </w:pPr>
      <w:r>
        <w:rPr>
          <w:sz w:val="20"/>
        </w:rPr>
        <w:t>regions</w:t>
      </w:r>
      <w:r>
        <w:rPr>
          <w:spacing w:val="-3"/>
          <w:sz w:val="20"/>
        </w:rPr>
        <w:t xml:space="preserve"> </w:t>
      </w:r>
      <w:r>
        <w:rPr>
          <w:sz w:val="20"/>
        </w:rPr>
        <w:t>visited</w:t>
      </w:r>
      <w:r>
        <w:rPr>
          <w:spacing w:val="-3"/>
          <w:sz w:val="20"/>
        </w:rPr>
        <w:t xml:space="preserve"> </w:t>
      </w:r>
      <w:r>
        <w:rPr>
          <w:spacing w:val="-5"/>
          <w:sz w:val="20"/>
        </w:rPr>
        <w:t>and</w:t>
      </w:r>
    </w:p>
    <w:p w14:paraId="38B393AE" w14:textId="77777777" w:rsidR="00AC6F3C" w:rsidRDefault="00570E88">
      <w:pPr>
        <w:pStyle w:val="ListParagraph"/>
        <w:numPr>
          <w:ilvl w:val="1"/>
          <w:numId w:val="50"/>
        </w:numPr>
        <w:tabs>
          <w:tab w:val="left" w:pos="1342"/>
        </w:tabs>
        <w:ind w:hanging="340"/>
        <w:rPr>
          <w:sz w:val="20"/>
        </w:rPr>
      </w:pPr>
      <w:r>
        <w:rPr>
          <w:sz w:val="20"/>
        </w:rPr>
        <w:t>commentary</w:t>
      </w:r>
      <w:r>
        <w:rPr>
          <w:spacing w:val="-1"/>
          <w:sz w:val="20"/>
        </w:rPr>
        <w:t xml:space="preserve"> </w:t>
      </w:r>
      <w:r>
        <w:rPr>
          <w:sz w:val="20"/>
        </w:rPr>
        <w:t>and</w:t>
      </w:r>
      <w:r>
        <w:rPr>
          <w:spacing w:val="-1"/>
          <w:sz w:val="20"/>
        </w:rPr>
        <w:t xml:space="preserve"> </w:t>
      </w:r>
      <w:r>
        <w:rPr>
          <w:sz w:val="20"/>
        </w:rPr>
        <w:t>analysis</w:t>
      </w:r>
      <w:r>
        <w:rPr>
          <w:spacing w:val="-1"/>
          <w:sz w:val="20"/>
        </w:rPr>
        <w:t xml:space="preserve"> </w:t>
      </w:r>
      <w:r>
        <w:rPr>
          <w:sz w:val="20"/>
        </w:rPr>
        <w:t>of</w:t>
      </w:r>
      <w:r>
        <w:rPr>
          <w:spacing w:val="-1"/>
          <w:sz w:val="20"/>
        </w:rPr>
        <w:t xml:space="preserve"> </w:t>
      </w:r>
      <w:r>
        <w:rPr>
          <w:sz w:val="20"/>
        </w:rPr>
        <w:t xml:space="preserve">the </w:t>
      </w:r>
      <w:r>
        <w:rPr>
          <w:spacing w:val="-5"/>
          <w:sz w:val="20"/>
        </w:rPr>
        <w:t>key</w:t>
      </w:r>
    </w:p>
    <w:p w14:paraId="5C3553F9" w14:textId="77777777" w:rsidR="00AC6F3C" w:rsidRDefault="00570E88">
      <w:pPr>
        <w:pStyle w:val="BodyText"/>
        <w:spacing w:before="10"/>
        <w:ind w:left="1342"/>
      </w:pPr>
      <w:r>
        <w:t>issues</w:t>
      </w:r>
      <w:r>
        <w:rPr>
          <w:spacing w:val="-2"/>
        </w:rPr>
        <w:t xml:space="preserve"> </w:t>
      </w:r>
      <w:r>
        <w:t>arising</w:t>
      </w:r>
      <w:r>
        <w:rPr>
          <w:spacing w:val="-2"/>
        </w:rPr>
        <w:t xml:space="preserve"> </w:t>
      </w:r>
      <w:r>
        <w:t>from</w:t>
      </w:r>
      <w:r>
        <w:rPr>
          <w:spacing w:val="-2"/>
        </w:rPr>
        <w:t xml:space="preserve"> </w:t>
      </w:r>
      <w:r>
        <w:t>the</w:t>
      </w:r>
      <w:r>
        <w:rPr>
          <w:spacing w:val="-2"/>
        </w:rPr>
        <w:t xml:space="preserve"> visits.</w:t>
      </w:r>
    </w:p>
    <w:p w14:paraId="04E36887" w14:textId="77777777" w:rsidR="00AC6F3C" w:rsidRDefault="00570E88">
      <w:pPr>
        <w:pStyle w:val="ListParagraph"/>
        <w:numPr>
          <w:ilvl w:val="0"/>
          <w:numId w:val="49"/>
        </w:numPr>
        <w:tabs>
          <w:tab w:val="left" w:pos="604"/>
          <w:tab w:val="left" w:pos="985"/>
        </w:tabs>
        <w:spacing w:before="142" w:line="249" w:lineRule="auto"/>
        <w:ind w:right="310" w:hanging="720"/>
        <w:rPr>
          <w:sz w:val="20"/>
        </w:rPr>
      </w:pPr>
      <w:r>
        <w:rPr>
          <w:spacing w:val="-6"/>
          <w:sz w:val="20"/>
        </w:rPr>
        <w:t>a)</w:t>
      </w:r>
      <w:r>
        <w:rPr>
          <w:sz w:val="20"/>
        </w:rPr>
        <w:tab/>
        <w:t>At least 20 major ethics and practice management / support resources published</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website,</w:t>
      </w:r>
      <w:r>
        <w:rPr>
          <w:spacing w:val="-9"/>
          <w:sz w:val="20"/>
        </w:rPr>
        <w:t xml:space="preserve"> </w:t>
      </w:r>
      <w:r>
        <w:rPr>
          <w:sz w:val="20"/>
        </w:rPr>
        <w:t>Proctor,</w:t>
      </w:r>
      <w:r>
        <w:rPr>
          <w:spacing w:val="-9"/>
          <w:sz w:val="20"/>
        </w:rPr>
        <w:t xml:space="preserve"> </w:t>
      </w:r>
      <w:r>
        <w:rPr>
          <w:sz w:val="20"/>
        </w:rPr>
        <w:t>Update or other QLS social media channels.</w:t>
      </w:r>
    </w:p>
    <w:p w14:paraId="232DBA31" w14:textId="77777777" w:rsidR="00AC6F3C" w:rsidRDefault="00570E88">
      <w:pPr>
        <w:pStyle w:val="ListParagraph"/>
        <w:numPr>
          <w:ilvl w:val="1"/>
          <w:numId w:val="49"/>
        </w:numPr>
        <w:tabs>
          <w:tab w:val="left" w:pos="985"/>
        </w:tabs>
        <w:spacing w:before="174" w:line="249" w:lineRule="auto"/>
        <w:ind w:right="232"/>
        <w:rPr>
          <w:sz w:val="20"/>
        </w:rPr>
      </w:pPr>
      <w:r>
        <w:rPr>
          <w:sz w:val="20"/>
        </w:rPr>
        <w:t>At</w:t>
      </w:r>
      <w:r>
        <w:rPr>
          <w:spacing w:val="-8"/>
          <w:sz w:val="20"/>
        </w:rPr>
        <w:t xml:space="preserve"> </w:t>
      </w:r>
      <w:r>
        <w:rPr>
          <w:sz w:val="20"/>
        </w:rPr>
        <w:t>least</w:t>
      </w:r>
      <w:r>
        <w:rPr>
          <w:spacing w:val="-8"/>
          <w:sz w:val="20"/>
        </w:rPr>
        <w:t xml:space="preserve"> </w:t>
      </w:r>
      <w:r>
        <w:rPr>
          <w:sz w:val="20"/>
        </w:rPr>
        <w:t>20</w:t>
      </w:r>
      <w:r>
        <w:rPr>
          <w:spacing w:val="-8"/>
          <w:sz w:val="20"/>
        </w:rPr>
        <w:t xml:space="preserve"> </w:t>
      </w:r>
      <w:r>
        <w:rPr>
          <w:sz w:val="20"/>
        </w:rPr>
        <w:t>ethics</w:t>
      </w:r>
      <w:r>
        <w:rPr>
          <w:spacing w:val="-8"/>
          <w:sz w:val="20"/>
        </w:rPr>
        <w:t xml:space="preserve"> </w:t>
      </w:r>
      <w:r>
        <w:rPr>
          <w:sz w:val="20"/>
        </w:rPr>
        <w:t>or</w:t>
      </w:r>
      <w:r>
        <w:rPr>
          <w:spacing w:val="-8"/>
          <w:sz w:val="20"/>
        </w:rPr>
        <w:t xml:space="preserve"> </w:t>
      </w:r>
      <w:r>
        <w:rPr>
          <w:sz w:val="20"/>
        </w:rPr>
        <w:t>practice</w:t>
      </w:r>
      <w:r>
        <w:rPr>
          <w:spacing w:val="-8"/>
          <w:sz w:val="20"/>
        </w:rPr>
        <w:t xml:space="preserve"> </w:t>
      </w:r>
      <w:r>
        <w:rPr>
          <w:sz w:val="20"/>
        </w:rPr>
        <w:t>management educational sessions delivered through either the ILP or provided to QLS Professional Development.</w:t>
      </w:r>
    </w:p>
    <w:p w14:paraId="2C4CB7A7" w14:textId="77777777" w:rsidR="00AC6F3C" w:rsidRDefault="00570E88">
      <w:pPr>
        <w:pStyle w:val="ListParagraph"/>
        <w:numPr>
          <w:ilvl w:val="1"/>
          <w:numId w:val="49"/>
        </w:numPr>
        <w:tabs>
          <w:tab w:val="left" w:pos="985"/>
        </w:tabs>
        <w:spacing w:before="173"/>
        <w:rPr>
          <w:sz w:val="20"/>
        </w:rPr>
      </w:pPr>
      <w:r>
        <w:rPr>
          <w:sz w:val="20"/>
        </w:rPr>
        <w:t>At</w:t>
      </w:r>
      <w:r>
        <w:rPr>
          <w:spacing w:val="-2"/>
          <w:sz w:val="20"/>
        </w:rPr>
        <w:t xml:space="preserve"> </w:t>
      </w:r>
      <w:r>
        <w:rPr>
          <w:sz w:val="20"/>
        </w:rPr>
        <w:t>least</w:t>
      </w:r>
      <w:r>
        <w:rPr>
          <w:spacing w:val="-2"/>
          <w:sz w:val="20"/>
        </w:rPr>
        <w:t xml:space="preserve"> </w:t>
      </w:r>
      <w:r>
        <w:rPr>
          <w:sz w:val="20"/>
        </w:rPr>
        <w:t>100</w:t>
      </w:r>
      <w:r>
        <w:rPr>
          <w:spacing w:val="-1"/>
          <w:sz w:val="20"/>
        </w:rPr>
        <w:t xml:space="preserve"> </w:t>
      </w:r>
      <w:r>
        <w:rPr>
          <w:sz w:val="20"/>
        </w:rPr>
        <w:t>referrals</w:t>
      </w:r>
      <w:r>
        <w:rPr>
          <w:spacing w:val="-2"/>
          <w:sz w:val="20"/>
        </w:rPr>
        <w:t xml:space="preserve"> </w:t>
      </w:r>
      <w:r>
        <w:rPr>
          <w:sz w:val="20"/>
        </w:rPr>
        <w:t>to</w:t>
      </w:r>
      <w:r>
        <w:rPr>
          <w:spacing w:val="-2"/>
          <w:sz w:val="20"/>
        </w:rPr>
        <w:t xml:space="preserve"> </w:t>
      </w:r>
      <w:r>
        <w:rPr>
          <w:sz w:val="20"/>
        </w:rPr>
        <w:t>external</w:t>
      </w:r>
      <w:r>
        <w:rPr>
          <w:spacing w:val="-1"/>
          <w:sz w:val="20"/>
        </w:rPr>
        <w:t xml:space="preserve"> </w:t>
      </w:r>
      <w:r>
        <w:rPr>
          <w:spacing w:val="-2"/>
          <w:sz w:val="20"/>
        </w:rPr>
        <w:t>referral</w:t>
      </w:r>
    </w:p>
    <w:p w14:paraId="162E50F2" w14:textId="77777777" w:rsidR="00AC6F3C" w:rsidRDefault="00570E88">
      <w:pPr>
        <w:pStyle w:val="BodyText"/>
        <w:spacing w:before="10"/>
        <w:ind w:left="985"/>
      </w:pPr>
      <w:r>
        <w:rPr>
          <w:spacing w:val="-2"/>
        </w:rPr>
        <w:t>services.</w:t>
      </w:r>
    </w:p>
    <w:p w14:paraId="09E40E23" w14:textId="77777777" w:rsidR="00AC6F3C" w:rsidRDefault="00AC6F3C">
      <w:pPr>
        <w:sectPr w:rsidR="00AC6F3C">
          <w:type w:val="continuous"/>
          <w:pgSz w:w="11910" w:h="16840"/>
          <w:pgMar w:top="1920" w:right="1160" w:bottom="280" w:left="460" w:header="0" w:footer="336" w:gutter="0"/>
          <w:cols w:num="2" w:space="720" w:equalWidth="0">
            <w:col w:w="5301" w:space="40"/>
            <w:col w:w="4949"/>
          </w:cols>
        </w:sectPr>
      </w:pPr>
    </w:p>
    <w:p w14:paraId="0CFF0D5D" w14:textId="77777777" w:rsidR="00AC6F3C" w:rsidRDefault="00AC6F3C">
      <w:pPr>
        <w:pStyle w:val="BodyText"/>
        <w:spacing w:before="11"/>
        <w:rPr>
          <w:sz w:val="5"/>
        </w:rPr>
      </w:pPr>
    </w:p>
    <w:p w14:paraId="2FB0688D"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27F3CD75" wp14:editId="4F1DDBA4">
                <wp:extent cx="5936615" cy="3175"/>
                <wp:effectExtent l="9525" t="0" r="0" b="635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3175"/>
                          <a:chOff x="0" y="0"/>
                          <a:chExt cx="5936615" cy="3175"/>
                        </a:xfrm>
                      </wpg:grpSpPr>
                      <wps:wsp>
                        <wps:cNvPr id="365" name="Graphic 365"/>
                        <wps:cNvSpPr/>
                        <wps:spPr>
                          <a:xfrm>
                            <a:off x="0" y="1587"/>
                            <a:ext cx="2970530" cy="1270"/>
                          </a:xfrm>
                          <a:custGeom>
                            <a:avLst/>
                            <a:gdLst/>
                            <a:ahLst/>
                            <a:cxnLst/>
                            <a:rect l="l" t="t" r="r" b="b"/>
                            <a:pathLst>
                              <a:path w="2970530">
                                <a:moveTo>
                                  <a:pt x="0" y="0"/>
                                </a:moveTo>
                                <a:lnTo>
                                  <a:pt x="2969996" y="0"/>
                                </a:lnTo>
                              </a:path>
                            </a:pathLst>
                          </a:custGeom>
                          <a:ln w="3175">
                            <a:solidFill>
                              <a:srgbClr val="000000"/>
                            </a:solidFill>
                            <a:prstDash val="solid"/>
                          </a:ln>
                        </wps:spPr>
                        <wps:bodyPr wrap="square" lIns="0" tIns="0" rIns="0" bIns="0" rtlCol="0">
                          <a:prstTxWarp prst="textNoShape">
                            <a:avLst/>
                          </a:prstTxWarp>
                          <a:noAutofit/>
                        </wps:bodyPr>
                      </wps:wsp>
                      <wps:wsp>
                        <wps:cNvPr id="366" name="Graphic 366"/>
                        <wps:cNvSpPr/>
                        <wps:spPr>
                          <a:xfrm>
                            <a:off x="2970000" y="1587"/>
                            <a:ext cx="2966720" cy="1270"/>
                          </a:xfrm>
                          <a:custGeom>
                            <a:avLst/>
                            <a:gdLst/>
                            <a:ahLst/>
                            <a:cxnLst/>
                            <a:rect l="l" t="t" r="r" b="b"/>
                            <a:pathLst>
                              <a:path w="2966720">
                                <a:moveTo>
                                  <a:pt x="0" y="0"/>
                                </a:moveTo>
                                <a:lnTo>
                                  <a:pt x="296640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838342" id="Group 364" o:spid="_x0000_s1026" style="width:467.45pt;height:.25pt;mso-position-horizontal-relative:char;mso-position-vertical-relative:line" coordsize="593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">
                <v:shape id="Graphic 365" o:spid="_x0000_s1027" style="position:absolute;top:15;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" path="m,l2969996,e" filled="f" strokeweight=".25pt">
                  <v:path arrowok="t"/>
                </v:shape>
                <v:shape id="Graphic 366" o:spid="_x0000_s1028" style="position:absolute;left:29700;top:15;width:29667;height:13;visibility:visible;mso-wrap-style:square;v-text-anchor:top" coordsize="296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" path="m,l2966402,e" filled="f" strokeweight=".25pt">
                  <v:path arrowok="t"/>
                </v:shape>
                <w10:anchorlock/>
              </v:group>
            </w:pict>
          </mc:Fallback>
        </mc:AlternateContent>
      </w:r>
    </w:p>
    <w:p w14:paraId="1DA7B2CE" w14:textId="77777777" w:rsidR="00AC6F3C" w:rsidRDefault="00AC6F3C">
      <w:pPr>
        <w:pStyle w:val="BodyText"/>
        <w:spacing w:before="7"/>
        <w:rPr>
          <w:sz w:val="24"/>
        </w:rPr>
      </w:pPr>
    </w:p>
    <w:p w14:paraId="45834A8C" w14:textId="77777777" w:rsidR="00AC6F3C" w:rsidRDefault="00570E88">
      <w:pPr>
        <w:pStyle w:val="BodyText"/>
        <w:spacing w:before="94"/>
        <w:ind w:left="815"/>
      </w:pPr>
      <w:r>
        <w:t>The</w:t>
      </w:r>
      <w:r>
        <w:rPr>
          <w:spacing w:val="-3"/>
        </w:rPr>
        <w:t xml:space="preserve"> </w:t>
      </w:r>
      <w:r>
        <w:t>Financial</w:t>
      </w:r>
      <w:r>
        <w:rPr>
          <w:spacing w:val="-3"/>
        </w:rPr>
        <w:t xml:space="preserve"> </w:t>
      </w:r>
      <w:r>
        <w:t>Reporting</w:t>
      </w:r>
      <w:r>
        <w:rPr>
          <w:spacing w:val="-3"/>
        </w:rPr>
        <w:t xml:space="preserve"> </w:t>
      </w:r>
      <w:r>
        <w:t>is</w:t>
      </w:r>
      <w:r>
        <w:rPr>
          <w:spacing w:val="-2"/>
        </w:rPr>
        <w:t xml:space="preserve"> </w:t>
      </w:r>
      <w:r>
        <w:t>set</w:t>
      </w:r>
      <w:r>
        <w:rPr>
          <w:spacing w:val="-3"/>
        </w:rPr>
        <w:t xml:space="preserve"> </w:t>
      </w:r>
      <w:r>
        <w:t>out</w:t>
      </w:r>
      <w:r>
        <w:rPr>
          <w:spacing w:val="-3"/>
        </w:rPr>
        <w:t xml:space="preserve"> </w:t>
      </w:r>
      <w:r>
        <w:t>in</w:t>
      </w:r>
      <w:r>
        <w:rPr>
          <w:spacing w:val="-2"/>
        </w:rPr>
        <w:t xml:space="preserve"> “Financials.”</w:t>
      </w:r>
    </w:p>
    <w:p w14:paraId="58CFC229" w14:textId="77777777" w:rsidR="00AC6F3C" w:rsidRDefault="00AC6F3C">
      <w:pPr>
        <w:pStyle w:val="BodyText"/>
        <w:rPr>
          <w:sz w:val="22"/>
        </w:rPr>
      </w:pPr>
    </w:p>
    <w:p w14:paraId="35588EEA" w14:textId="77777777" w:rsidR="00AC6F3C" w:rsidRDefault="00570E88">
      <w:pPr>
        <w:pStyle w:val="Heading3"/>
        <w:spacing w:before="130"/>
      </w:pPr>
      <w:r>
        <w:t>QLS</w:t>
      </w:r>
      <w:r>
        <w:rPr>
          <w:spacing w:val="-3"/>
        </w:rPr>
        <w:t xml:space="preserve"> </w:t>
      </w:r>
      <w:r>
        <w:t>Senior</w:t>
      </w:r>
      <w:r>
        <w:rPr>
          <w:spacing w:val="-2"/>
        </w:rPr>
        <w:t xml:space="preserve"> Counsellors</w:t>
      </w:r>
    </w:p>
    <w:p w14:paraId="216F6FB1" w14:textId="77777777" w:rsidR="00AC6F3C" w:rsidRDefault="00570E88">
      <w:pPr>
        <w:pStyle w:val="BodyText"/>
        <w:spacing w:before="154" w:line="249" w:lineRule="auto"/>
        <w:ind w:left="815" w:right="157"/>
      </w:pPr>
      <w:r>
        <w:t>QLS continues to provide access to the QLS Senior Counsellors service, which is a confidential, free service offered to practitioners on a broad range of practice areas. Our Senior Counsellors continue to offer their knowledge and expertise to their colleagues in a private, confidential setting. This year, our Senior</w:t>
      </w:r>
      <w:r>
        <w:rPr>
          <w:spacing w:val="-3"/>
        </w:rPr>
        <w:t xml:space="preserve"> </w:t>
      </w:r>
      <w:r>
        <w:t>Counsellors</w:t>
      </w:r>
      <w:r>
        <w:rPr>
          <w:spacing w:val="-3"/>
        </w:rPr>
        <w:t xml:space="preserve"> </w:t>
      </w:r>
      <w:r>
        <w:t>took</w:t>
      </w:r>
      <w:r>
        <w:rPr>
          <w:spacing w:val="-3"/>
        </w:rPr>
        <w:t xml:space="preserve"> </w:t>
      </w:r>
      <w:r>
        <w:t>over</w:t>
      </w:r>
      <w:r>
        <w:rPr>
          <w:spacing w:val="-3"/>
        </w:rPr>
        <w:t xml:space="preserve"> </w:t>
      </w:r>
      <w:r>
        <w:t>143</w:t>
      </w:r>
      <w:r>
        <w:rPr>
          <w:spacing w:val="-3"/>
        </w:rPr>
        <w:t xml:space="preserve"> </w:t>
      </w:r>
      <w:r>
        <w:t>calls</w:t>
      </w:r>
      <w:r>
        <w:rPr>
          <w:spacing w:val="-3"/>
        </w:rPr>
        <w:t xml:space="preserve"> </w:t>
      </w:r>
      <w:r>
        <w:t>from</w:t>
      </w:r>
      <w:r>
        <w:rPr>
          <w:spacing w:val="-3"/>
        </w:rPr>
        <w:t xml:space="preserve"> </w:t>
      </w:r>
      <w:r>
        <w:t>colleagues.</w:t>
      </w:r>
      <w:r>
        <w:rPr>
          <w:spacing w:val="-6"/>
        </w:rPr>
        <w:t xml:space="preserve"> </w:t>
      </w:r>
      <w:r>
        <w:t>The</w:t>
      </w:r>
      <w:r>
        <w:rPr>
          <w:spacing w:val="-3"/>
        </w:rPr>
        <w:t xml:space="preserve"> </w:t>
      </w:r>
      <w:r>
        <w:t>majority</w:t>
      </w:r>
      <w:r>
        <w:rPr>
          <w:spacing w:val="-3"/>
        </w:rPr>
        <w:t xml:space="preserve"> </w:t>
      </w:r>
      <w:r>
        <w:t>involved</w:t>
      </w:r>
      <w:r>
        <w:rPr>
          <w:spacing w:val="-3"/>
        </w:rPr>
        <w:t xml:space="preserve"> </w:t>
      </w:r>
      <w:r>
        <w:t>specific</w:t>
      </w:r>
      <w:r>
        <w:rPr>
          <w:spacing w:val="-3"/>
        </w:rPr>
        <w:t xml:space="preserve"> </w:t>
      </w:r>
      <w:r>
        <w:t>queries</w:t>
      </w:r>
      <w:r>
        <w:rPr>
          <w:spacing w:val="-3"/>
        </w:rPr>
        <w:t xml:space="preserve"> </w:t>
      </w:r>
      <w:r>
        <w:t>pertaining to their area of expertise.</w:t>
      </w:r>
    </w:p>
    <w:p w14:paraId="4B1C941F" w14:textId="77777777" w:rsidR="00AC6F3C" w:rsidRDefault="00570E88">
      <w:pPr>
        <w:pStyle w:val="BodyText"/>
        <w:spacing w:before="174"/>
        <w:ind w:left="815"/>
      </w:pPr>
      <w:r>
        <w:t>We</w:t>
      </w:r>
      <w:r>
        <w:rPr>
          <w:spacing w:val="-4"/>
        </w:rPr>
        <w:t xml:space="preserve"> </w:t>
      </w:r>
      <w:r>
        <w:t>had</w:t>
      </w:r>
      <w:r>
        <w:rPr>
          <w:spacing w:val="-3"/>
        </w:rPr>
        <w:t xml:space="preserve"> </w:t>
      </w:r>
      <w:r>
        <w:t>the</w:t>
      </w:r>
      <w:r>
        <w:rPr>
          <w:spacing w:val="-3"/>
        </w:rPr>
        <w:t xml:space="preserve"> </w:t>
      </w:r>
      <w:r>
        <w:t>following</w:t>
      </w:r>
      <w:r>
        <w:rPr>
          <w:spacing w:val="-3"/>
        </w:rPr>
        <w:t xml:space="preserve"> </w:t>
      </w:r>
      <w:r>
        <w:t>senior</w:t>
      </w:r>
      <w:r>
        <w:rPr>
          <w:spacing w:val="-3"/>
        </w:rPr>
        <w:t xml:space="preserve"> </w:t>
      </w:r>
      <w:r>
        <w:rPr>
          <w:spacing w:val="-2"/>
        </w:rPr>
        <w:t>counsellors:</w:t>
      </w:r>
    </w:p>
    <w:p w14:paraId="226B334B" w14:textId="77777777" w:rsidR="00AC6F3C" w:rsidRDefault="00570E88">
      <w:pPr>
        <w:pStyle w:val="ListParagraph"/>
        <w:numPr>
          <w:ilvl w:val="2"/>
          <w:numId w:val="49"/>
        </w:numPr>
        <w:tabs>
          <w:tab w:val="left" w:pos="1155"/>
        </w:tabs>
        <w:ind w:hanging="340"/>
        <w:rPr>
          <w:sz w:val="20"/>
        </w:rPr>
      </w:pPr>
      <w:r>
        <w:rPr>
          <w:sz w:val="20"/>
        </w:rPr>
        <w:t>Anne</w:t>
      </w:r>
      <w:r>
        <w:rPr>
          <w:spacing w:val="-6"/>
          <w:sz w:val="20"/>
        </w:rPr>
        <w:t xml:space="preserve"> </w:t>
      </w:r>
      <w:r>
        <w:rPr>
          <w:sz w:val="20"/>
        </w:rPr>
        <w:t>English</w:t>
      </w:r>
      <w:r>
        <w:rPr>
          <w:spacing w:val="-6"/>
          <w:sz w:val="20"/>
        </w:rPr>
        <w:t xml:space="preserve"> </w:t>
      </w:r>
      <w:r>
        <w:rPr>
          <w:sz w:val="20"/>
        </w:rPr>
        <w:t>(Atherton</w:t>
      </w:r>
      <w:r>
        <w:rPr>
          <w:spacing w:val="-9"/>
          <w:sz w:val="20"/>
        </w:rPr>
        <w:t xml:space="preserve"> </w:t>
      </w:r>
      <w:r>
        <w:rPr>
          <w:spacing w:val="-2"/>
          <w:sz w:val="20"/>
        </w:rPr>
        <w:t>Tablelands)</w:t>
      </w:r>
    </w:p>
    <w:p w14:paraId="059B8969" w14:textId="77777777" w:rsidR="00AC6F3C" w:rsidRDefault="00570E88">
      <w:pPr>
        <w:pStyle w:val="ListParagraph"/>
        <w:numPr>
          <w:ilvl w:val="2"/>
          <w:numId w:val="49"/>
        </w:numPr>
        <w:tabs>
          <w:tab w:val="left" w:pos="1155"/>
        </w:tabs>
        <w:ind w:hanging="340"/>
        <w:rPr>
          <w:sz w:val="20"/>
        </w:rPr>
      </w:pPr>
      <w:r>
        <w:rPr>
          <w:sz w:val="20"/>
        </w:rPr>
        <w:t>Guy</w:t>
      </w:r>
      <w:r>
        <w:rPr>
          <w:spacing w:val="-3"/>
          <w:sz w:val="20"/>
        </w:rPr>
        <w:t xml:space="preserve"> </w:t>
      </w:r>
      <w:r>
        <w:rPr>
          <w:sz w:val="20"/>
        </w:rPr>
        <w:t>Dunstan</w:t>
      </w:r>
      <w:r>
        <w:rPr>
          <w:spacing w:val="-3"/>
          <w:sz w:val="20"/>
        </w:rPr>
        <w:t xml:space="preserve"> </w:t>
      </w:r>
      <w:r>
        <w:rPr>
          <w:spacing w:val="-2"/>
          <w:sz w:val="20"/>
        </w:rPr>
        <w:t>(Brisbane)</w:t>
      </w:r>
    </w:p>
    <w:p w14:paraId="3AF3275C" w14:textId="77777777" w:rsidR="00AC6F3C" w:rsidRDefault="00570E88">
      <w:pPr>
        <w:pStyle w:val="ListParagraph"/>
        <w:numPr>
          <w:ilvl w:val="2"/>
          <w:numId w:val="49"/>
        </w:numPr>
        <w:tabs>
          <w:tab w:val="left" w:pos="1155"/>
        </w:tabs>
        <w:ind w:hanging="340"/>
        <w:rPr>
          <w:sz w:val="20"/>
        </w:rPr>
      </w:pPr>
      <w:r>
        <w:rPr>
          <w:sz w:val="20"/>
        </w:rPr>
        <w:t>Russell</w:t>
      </w:r>
      <w:r>
        <w:rPr>
          <w:spacing w:val="-5"/>
          <w:sz w:val="20"/>
        </w:rPr>
        <w:t xml:space="preserve"> </w:t>
      </w:r>
      <w:r>
        <w:rPr>
          <w:sz w:val="20"/>
        </w:rPr>
        <w:t>Beer</w:t>
      </w:r>
      <w:r>
        <w:rPr>
          <w:spacing w:val="-3"/>
          <w:sz w:val="20"/>
        </w:rPr>
        <w:t xml:space="preserve"> </w:t>
      </w:r>
      <w:r>
        <w:rPr>
          <w:spacing w:val="-2"/>
          <w:sz w:val="20"/>
        </w:rPr>
        <w:t>(Cairns)</w:t>
      </w:r>
    </w:p>
    <w:p w14:paraId="1D39C054" w14:textId="77777777" w:rsidR="00AC6F3C" w:rsidRDefault="00570E88">
      <w:pPr>
        <w:pStyle w:val="ListParagraph"/>
        <w:numPr>
          <w:ilvl w:val="2"/>
          <w:numId w:val="49"/>
        </w:numPr>
        <w:tabs>
          <w:tab w:val="left" w:pos="1155"/>
        </w:tabs>
        <w:ind w:hanging="340"/>
        <w:rPr>
          <w:sz w:val="20"/>
        </w:rPr>
      </w:pPr>
      <w:r>
        <w:rPr>
          <w:sz w:val="20"/>
        </w:rPr>
        <w:t>Peter</w:t>
      </w:r>
      <w:r>
        <w:rPr>
          <w:spacing w:val="-2"/>
          <w:sz w:val="20"/>
        </w:rPr>
        <w:t xml:space="preserve"> </w:t>
      </w:r>
      <w:r>
        <w:rPr>
          <w:sz w:val="20"/>
        </w:rPr>
        <w:t xml:space="preserve">Elliott </w:t>
      </w:r>
      <w:r>
        <w:rPr>
          <w:spacing w:val="-2"/>
          <w:sz w:val="20"/>
        </w:rPr>
        <w:t>(Townsville)</w:t>
      </w:r>
    </w:p>
    <w:p w14:paraId="4B940A11" w14:textId="77777777" w:rsidR="00AC6F3C" w:rsidRDefault="00AC6F3C">
      <w:pPr>
        <w:rPr>
          <w:sz w:val="20"/>
        </w:rPr>
        <w:sectPr w:rsidR="00AC6F3C">
          <w:type w:val="continuous"/>
          <w:pgSz w:w="11910" w:h="16840"/>
          <w:pgMar w:top="1920" w:right="1160" w:bottom="280" w:left="460" w:header="0" w:footer="336" w:gutter="0"/>
          <w:cols w:space="720"/>
        </w:sectPr>
      </w:pPr>
    </w:p>
    <w:p w14:paraId="095306D2" w14:textId="77777777" w:rsidR="00AC6F3C" w:rsidRDefault="00570E88">
      <w:pPr>
        <w:pStyle w:val="ListParagraph"/>
        <w:numPr>
          <w:ilvl w:val="2"/>
          <w:numId w:val="49"/>
        </w:numPr>
        <w:tabs>
          <w:tab w:val="left" w:pos="1155"/>
        </w:tabs>
        <w:spacing w:before="76"/>
        <w:ind w:hanging="340"/>
        <w:rPr>
          <w:sz w:val="20"/>
        </w:rPr>
      </w:pPr>
      <w:r>
        <w:rPr>
          <w:sz w:val="20"/>
        </w:rPr>
        <w:lastRenderedPageBreak/>
        <w:t>Gary</w:t>
      </w:r>
      <w:r>
        <w:rPr>
          <w:spacing w:val="-5"/>
          <w:sz w:val="20"/>
        </w:rPr>
        <w:t xml:space="preserve"> </w:t>
      </w:r>
      <w:r>
        <w:rPr>
          <w:sz w:val="20"/>
        </w:rPr>
        <w:t>Hutchinson</w:t>
      </w:r>
      <w:r>
        <w:rPr>
          <w:spacing w:val="-4"/>
          <w:sz w:val="20"/>
        </w:rPr>
        <w:t xml:space="preserve"> </w:t>
      </w:r>
      <w:r>
        <w:rPr>
          <w:spacing w:val="-2"/>
          <w:sz w:val="20"/>
        </w:rPr>
        <w:t>(Redcliffe)</w:t>
      </w:r>
    </w:p>
    <w:p w14:paraId="51395532" w14:textId="77777777" w:rsidR="00AC6F3C" w:rsidRDefault="00570E88">
      <w:pPr>
        <w:pStyle w:val="ListParagraph"/>
        <w:numPr>
          <w:ilvl w:val="2"/>
          <w:numId w:val="49"/>
        </w:numPr>
        <w:tabs>
          <w:tab w:val="left" w:pos="1155"/>
        </w:tabs>
        <w:ind w:hanging="340"/>
        <w:rPr>
          <w:sz w:val="20"/>
        </w:rPr>
      </w:pPr>
      <w:r>
        <w:rPr>
          <w:sz w:val="20"/>
        </w:rPr>
        <w:t>Anthony</w:t>
      </w:r>
      <w:r>
        <w:rPr>
          <w:spacing w:val="-2"/>
          <w:sz w:val="20"/>
        </w:rPr>
        <w:t xml:space="preserve"> </w:t>
      </w:r>
      <w:r>
        <w:rPr>
          <w:sz w:val="20"/>
        </w:rPr>
        <w:t>Ryan</w:t>
      </w:r>
      <w:r>
        <w:rPr>
          <w:spacing w:val="-1"/>
          <w:sz w:val="20"/>
        </w:rPr>
        <w:t xml:space="preserve"> </w:t>
      </w:r>
      <w:r>
        <w:rPr>
          <w:spacing w:val="-2"/>
          <w:sz w:val="20"/>
        </w:rPr>
        <w:t>(Bundaberg)</w:t>
      </w:r>
    </w:p>
    <w:p w14:paraId="1F862DC4" w14:textId="77777777" w:rsidR="00AC6F3C" w:rsidRDefault="00570E88">
      <w:pPr>
        <w:pStyle w:val="ListParagraph"/>
        <w:numPr>
          <w:ilvl w:val="2"/>
          <w:numId w:val="49"/>
        </w:numPr>
        <w:tabs>
          <w:tab w:val="left" w:pos="1155"/>
        </w:tabs>
        <w:ind w:hanging="340"/>
        <w:rPr>
          <w:sz w:val="20"/>
        </w:rPr>
      </w:pPr>
      <w:r>
        <w:rPr>
          <w:sz w:val="20"/>
        </w:rPr>
        <w:t>Dr</w:t>
      </w:r>
      <w:r>
        <w:rPr>
          <w:spacing w:val="-5"/>
          <w:sz w:val="20"/>
        </w:rPr>
        <w:t xml:space="preserve"> </w:t>
      </w:r>
      <w:r>
        <w:rPr>
          <w:sz w:val="20"/>
        </w:rPr>
        <w:t>Matthew</w:t>
      </w:r>
      <w:r>
        <w:rPr>
          <w:spacing w:val="-9"/>
          <w:sz w:val="20"/>
        </w:rPr>
        <w:t xml:space="preserve"> </w:t>
      </w:r>
      <w:r>
        <w:rPr>
          <w:sz w:val="20"/>
        </w:rPr>
        <w:t>Turnour</w:t>
      </w:r>
      <w:r>
        <w:rPr>
          <w:spacing w:val="-4"/>
          <w:sz w:val="20"/>
        </w:rPr>
        <w:t xml:space="preserve"> </w:t>
      </w:r>
      <w:r>
        <w:rPr>
          <w:spacing w:val="-2"/>
          <w:sz w:val="20"/>
        </w:rPr>
        <w:t>(Brisbane)</w:t>
      </w:r>
    </w:p>
    <w:p w14:paraId="7996806E" w14:textId="77777777" w:rsidR="00AC6F3C" w:rsidRDefault="00570E88">
      <w:pPr>
        <w:pStyle w:val="ListParagraph"/>
        <w:numPr>
          <w:ilvl w:val="2"/>
          <w:numId w:val="49"/>
        </w:numPr>
        <w:tabs>
          <w:tab w:val="left" w:pos="1155"/>
        </w:tabs>
        <w:ind w:hanging="340"/>
        <w:rPr>
          <w:sz w:val="20"/>
        </w:rPr>
      </w:pPr>
      <w:r>
        <w:rPr>
          <w:sz w:val="20"/>
        </w:rPr>
        <w:t>Glen</w:t>
      </w:r>
      <w:r>
        <w:rPr>
          <w:spacing w:val="-2"/>
          <w:sz w:val="20"/>
        </w:rPr>
        <w:t xml:space="preserve"> </w:t>
      </w:r>
      <w:r>
        <w:rPr>
          <w:sz w:val="20"/>
        </w:rPr>
        <w:t>Cranny</w:t>
      </w:r>
      <w:r>
        <w:rPr>
          <w:spacing w:val="-1"/>
          <w:sz w:val="20"/>
        </w:rPr>
        <w:t xml:space="preserve"> </w:t>
      </w:r>
      <w:r>
        <w:rPr>
          <w:spacing w:val="-2"/>
          <w:sz w:val="20"/>
        </w:rPr>
        <w:t>(Brisbane)</w:t>
      </w:r>
    </w:p>
    <w:p w14:paraId="1DCA0010" w14:textId="77777777" w:rsidR="00AC6F3C" w:rsidRDefault="00570E88">
      <w:pPr>
        <w:pStyle w:val="ListParagraph"/>
        <w:numPr>
          <w:ilvl w:val="2"/>
          <w:numId w:val="49"/>
        </w:numPr>
        <w:tabs>
          <w:tab w:val="left" w:pos="1155"/>
        </w:tabs>
        <w:ind w:hanging="340"/>
        <w:rPr>
          <w:sz w:val="20"/>
        </w:rPr>
      </w:pPr>
      <w:r>
        <w:rPr>
          <w:sz w:val="20"/>
        </w:rPr>
        <w:t>Terry</w:t>
      </w:r>
      <w:r>
        <w:rPr>
          <w:spacing w:val="-14"/>
          <w:sz w:val="20"/>
        </w:rPr>
        <w:t xml:space="preserve"> </w:t>
      </w:r>
      <w:r>
        <w:rPr>
          <w:sz w:val="20"/>
        </w:rPr>
        <w:t>O’Gorman</w:t>
      </w:r>
      <w:r>
        <w:rPr>
          <w:spacing w:val="-14"/>
          <w:sz w:val="20"/>
        </w:rPr>
        <w:t xml:space="preserve"> </w:t>
      </w:r>
      <w:r>
        <w:rPr>
          <w:sz w:val="20"/>
        </w:rPr>
        <w:t>AM</w:t>
      </w:r>
      <w:r>
        <w:rPr>
          <w:spacing w:val="-13"/>
          <w:sz w:val="20"/>
        </w:rPr>
        <w:t xml:space="preserve"> </w:t>
      </w:r>
      <w:r>
        <w:rPr>
          <w:spacing w:val="-2"/>
          <w:sz w:val="20"/>
        </w:rPr>
        <w:t>(Brisbane)</w:t>
      </w:r>
    </w:p>
    <w:p w14:paraId="69712247" w14:textId="77777777" w:rsidR="00AC6F3C" w:rsidRDefault="00570E88">
      <w:pPr>
        <w:pStyle w:val="ListParagraph"/>
        <w:numPr>
          <w:ilvl w:val="2"/>
          <w:numId w:val="49"/>
        </w:numPr>
        <w:tabs>
          <w:tab w:val="left" w:pos="1155"/>
        </w:tabs>
        <w:ind w:hanging="340"/>
        <w:rPr>
          <w:sz w:val="20"/>
        </w:rPr>
      </w:pPr>
      <w:r>
        <w:rPr>
          <w:sz w:val="20"/>
        </w:rPr>
        <w:t>Bill</w:t>
      </w:r>
      <w:r>
        <w:rPr>
          <w:spacing w:val="-2"/>
          <w:sz w:val="20"/>
        </w:rPr>
        <w:t xml:space="preserve"> </w:t>
      </w:r>
      <w:r>
        <w:rPr>
          <w:sz w:val="20"/>
        </w:rPr>
        <w:t>Potts</w:t>
      </w:r>
      <w:r>
        <w:rPr>
          <w:spacing w:val="-1"/>
          <w:sz w:val="20"/>
        </w:rPr>
        <w:t xml:space="preserve"> </w:t>
      </w:r>
      <w:r>
        <w:rPr>
          <w:spacing w:val="-2"/>
          <w:sz w:val="20"/>
        </w:rPr>
        <w:t>(Brisbane)</w:t>
      </w:r>
    </w:p>
    <w:p w14:paraId="343CEE09" w14:textId="77777777" w:rsidR="00AC6F3C" w:rsidRDefault="00570E88">
      <w:pPr>
        <w:pStyle w:val="ListParagraph"/>
        <w:numPr>
          <w:ilvl w:val="2"/>
          <w:numId w:val="49"/>
        </w:numPr>
        <w:tabs>
          <w:tab w:val="left" w:pos="1155"/>
        </w:tabs>
        <w:ind w:hanging="340"/>
        <w:rPr>
          <w:sz w:val="20"/>
        </w:rPr>
      </w:pPr>
      <w:r>
        <w:rPr>
          <w:sz w:val="20"/>
        </w:rPr>
        <w:t xml:space="preserve">Mark Peters </w:t>
      </w:r>
      <w:r>
        <w:rPr>
          <w:spacing w:val="-2"/>
          <w:sz w:val="20"/>
        </w:rPr>
        <w:t>(Cairns)</w:t>
      </w:r>
    </w:p>
    <w:p w14:paraId="2084ACDB" w14:textId="77777777" w:rsidR="00AC6F3C" w:rsidRDefault="00570E88">
      <w:pPr>
        <w:pStyle w:val="ListParagraph"/>
        <w:numPr>
          <w:ilvl w:val="2"/>
          <w:numId w:val="49"/>
        </w:numPr>
        <w:tabs>
          <w:tab w:val="left" w:pos="1155"/>
        </w:tabs>
        <w:ind w:hanging="340"/>
        <w:rPr>
          <w:sz w:val="20"/>
        </w:rPr>
      </w:pPr>
      <w:r>
        <w:rPr>
          <w:sz w:val="20"/>
        </w:rPr>
        <w:t>Rob</w:t>
      </w:r>
      <w:r>
        <w:rPr>
          <w:spacing w:val="-5"/>
          <w:sz w:val="20"/>
        </w:rPr>
        <w:t xml:space="preserve"> </w:t>
      </w:r>
      <w:r>
        <w:rPr>
          <w:sz w:val="20"/>
        </w:rPr>
        <w:t>Stevenson</w:t>
      </w:r>
      <w:r>
        <w:rPr>
          <w:spacing w:val="-5"/>
          <w:sz w:val="20"/>
        </w:rPr>
        <w:t xml:space="preserve"> </w:t>
      </w:r>
      <w:r>
        <w:rPr>
          <w:spacing w:val="-2"/>
          <w:sz w:val="20"/>
        </w:rPr>
        <w:t>(Brisbane)</w:t>
      </w:r>
    </w:p>
    <w:p w14:paraId="1CE82261" w14:textId="77777777" w:rsidR="00AC6F3C" w:rsidRDefault="00570E88">
      <w:pPr>
        <w:pStyle w:val="ListParagraph"/>
        <w:numPr>
          <w:ilvl w:val="2"/>
          <w:numId w:val="49"/>
        </w:numPr>
        <w:tabs>
          <w:tab w:val="left" w:pos="1155"/>
        </w:tabs>
        <w:ind w:hanging="340"/>
        <w:rPr>
          <w:sz w:val="20"/>
        </w:rPr>
      </w:pPr>
      <w:r>
        <w:rPr>
          <w:sz w:val="20"/>
        </w:rPr>
        <w:t>Belinda</w:t>
      </w:r>
      <w:r>
        <w:rPr>
          <w:spacing w:val="-3"/>
          <w:sz w:val="20"/>
        </w:rPr>
        <w:t xml:space="preserve"> </w:t>
      </w:r>
      <w:r>
        <w:rPr>
          <w:sz w:val="20"/>
        </w:rPr>
        <w:t>Winter</w:t>
      </w:r>
      <w:r>
        <w:rPr>
          <w:spacing w:val="-3"/>
          <w:sz w:val="20"/>
        </w:rPr>
        <w:t xml:space="preserve"> </w:t>
      </w:r>
      <w:r>
        <w:rPr>
          <w:spacing w:val="-2"/>
          <w:sz w:val="20"/>
        </w:rPr>
        <w:t>(Brisbane)</w:t>
      </w:r>
    </w:p>
    <w:p w14:paraId="107BAE65" w14:textId="77777777" w:rsidR="00AC6F3C" w:rsidRDefault="00570E88">
      <w:pPr>
        <w:pStyle w:val="ListParagraph"/>
        <w:numPr>
          <w:ilvl w:val="2"/>
          <w:numId w:val="49"/>
        </w:numPr>
        <w:tabs>
          <w:tab w:val="left" w:pos="1155"/>
        </w:tabs>
        <w:ind w:hanging="340"/>
        <w:rPr>
          <w:sz w:val="20"/>
        </w:rPr>
      </w:pPr>
      <w:r>
        <w:rPr>
          <w:sz w:val="20"/>
        </w:rPr>
        <w:t>Katharine</w:t>
      </w:r>
      <w:r>
        <w:rPr>
          <w:spacing w:val="-14"/>
          <w:sz w:val="20"/>
        </w:rPr>
        <w:t xml:space="preserve"> </w:t>
      </w:r>
      <w:r>
        <w:rPr>
          <w:sz w:val="20"/>
        </w:rPr>
        <w:t>Atkins</w:t>
      </w:r>
      <w:r>
        <w:rPr>
          <w:spacing w:val="-5"/>
          <w:sz w:val="20"/>
        </w:rPr>
        <w:t xml:space="preserve"> </w:t>
      </w:r>
      <w:r>
        <w:rPr>
          <w:spacing w:val="-2"/>
          <w:sz w:val="20"/>
        </w:rPr>
        <w:t>(Brisbane)</w:t>
      </w:r>
    </w:p>
    <w:p w14:paraId="73DE1348" w14:textId="77777777" w:rsidR="00AC6F3C" w:rsidRDefault="00570E88">
      <w:pPr>
        <w:pStyle w:val="ListParagraph"/>
        <w:numPr>
          <w:ilvl w:val="2"/>
          <w:numId w:val="49"/>
        </w:numPr>
        <w:tabs>
          <w:tab w:val="left" w:pos="1155"/>
        </w:tabs>
        <w:ind w:hanging="340"/>
        <w:rPr>
          <w:sz w:val="20"/>
        </w:rPr>
      </w:pPr>
      <w:r>
        <w:rPr>
          <w:sz w:val="20"/>
        </w:rPr>
        <w:t>Deborah</w:t>
      </w:r>
      <w:r>
        <w:rPr>
          <w:spacing w:val="-14"/>
          <w:sz w:val="20"/>
        </w:rPr>
        <w:t xml:space="preserve"> </w:t>
      </w:r>
      <w:proofErr w:type="spellStart"/>
      <w:r>
        <w:rPr>
          <w:sz w:val="20"/>
        </w:rPr>
        <w:t>Awyzio</w:t>
      </w:r>
      <w:proofErr w:type="spellEnd"/>
      <w:r>
        <w:rPr>
          <w:spacing w:val="-11"/>
          <w:sz w:val="20"/>
        </w:rPr>
        <w:t xml:space="preserve"> </w:t>
      </w:r>
      <w:r>
        <w:rPr>
          <w:spacing w:val="-2"/>
          <w:sz w:val="20"/>
        </w:rPr>
        <w:t>(Brisbane)</w:t>
      </w:r>
    </w:p>
    <w:p w14:paraId="2996B302" w14:textId="77777777" w:rsidR="00AC6F3C" w:rsidRDefault="00570E88">
      <w:pPr>
        <w:pStyle w:val="ListParagraph"/>
        <w:numPr>
          <w:ilvl w:val="2"/>
          <w:numId w:val="49"/>
        </w:numPr>
        <w:tabs>
          <w:tab w:val="left" w:pos="1155"/>
        </w:tabs>
        <w:ind w:hanging="340"/>
        <w:rPr>
          <w:sz w:val="20"/>
        </w:rPr>
      </w:pPr>
      <w:r>
        <w:rPr>
          <w:sz w:val="20"/>
        </w:rPr>
        <w:t>Jennifer</w:t>
      </w:r>
      <w:r>
        <w:rPr>
          <w:spacing w:val="-4"/>
          <w:sz w:val="20"/>
        </w:rPr>
        <w:t xml:space="preserve"> </w:t>
      </w:r>
      <w:r>
        <w:rPr>
          <w:sz w:val="20"/>
        </w:rPr>
        <w:t>Hamilton</w:t>
      </w:r>
      <w:r>
        <w:rPr>
          <w:spacing w:val="-3"/>
          <w:sz w:val="20"/>
        </w:rPr>
        <w:t xml:space="preserve"> </w:t>
      </w:r>
      <w:r>
        <w:rPr>
          <w:spacing w:val="-2"/>
          <w:sz w:val="20"/>
        </w:rPr>
        <w:t>(Mackay)</w:t>
      </w:r>
    </w:p>
    <w:p w14:paraId="155E2554" w14:textId="77777777" w:rsidR="00AC6F3C" w:rsidRDefault="00570E88">
      <w:pPr>
        <w:pStyle w:val="ListParagraph"/>
        <w:numPr>
          <w:ilvl w:val="2"/>
          <w:numId w:val="49"/>
        </w:numPr>
        <w:tabs>
          <w:tab w:val="left" w:pos="1155"/>
        </w:tabs>
        <w:ind w:hanging="340"/>
        <w:rPr>
          <w:sz w:val="20"/>
        </w:rPr>
      </w:pPr>
      <w:r>
        <w:rPr>
          <w:sz w:val="20"/>
        </w:rPr>
        <w:t>Vicki</w:t>
      </w:r>
      <w:r>
        <w:rPr>
          <w:spacing w:val="-7"/>
          <w:sz w:val="20"/>
        </w:rPr>
        <w:t xml:space="preserve"> </w:t>
      </w:r>
      <w:r>
        <w:rPr>
          <w:sz w:val="20"/>
        </w:rPr>
        <w:t>Jackson</w:t>
      </w:r>
      <w:r>
        <w:rPr>
          <w:spacing w:val="-6"/>
          <w:sz w:val="20"/>
        </w:rPr>
        <w:t xml:space="preserve"> </w:t>
      </w:r>
      <w:r>
        <w:rPr>
          <w:spacing w:val="-2"/>
          <w:sz w:val="20"/>
        </w:rPr>
        <w:t>(Rockhampton)</w:t>
      </w:r>
    </w:p>
    <w:p w14:paraId="57CAB393" w14:textId="77777777" w:rsidR="00AC6F3C" w:rsidRDefault="00570E88">
      <w:pPr>
        <w:pStyle w:val="ListParagraph"/>
        <w:numPr>
          <w:ilvl w:val="2"/>
          <w:numId w:val="49"/>
        </w:numPr>
        <w:tabs>
          <w:tab w:val="left" w:pos="1155"/>
        </w:tabs>
        <w:ind w:hanging="340"/>
        <w:rPr>
          <w:sz w:val="20"/>
        </w:rPr>
      </w:pPr>
      <w:r>
        <w:rPr>
          <w:sz w:val="20"/>
        </w:rPr>
        <w:t>Peter</w:t>
      </w:r>
      <w:r>
        <w:rPr>
          <w:spacing w:val="-4"/>
          <w:sz w:val="20"/>
        </w:rPr>
        <w:t xml:space="preserve"> </w:t>
      </w:r>
      <w:r>
        <w:rPr>
          <w:sz w:val="20"/>
        </w:rPr>
        <w:t>McLachlan</w:t>
      </w:r>
      <w:r>
        <w:rPr>
          <w:spacing w:val="-4"/>
          <w:sz w:val="20"/>
        </w:rPr>
        <w:t xml:space="preserve"> </w:t>
      </w:r>
      <w:r>
        <w:rPr>
          <w:spacing w:val="-2"/>
          <w:sz w:val="20"/>
        </w:rPr>
        <w:t>(Mackay)</w:t>
      </w:r>
    </w:p>
    <w:p w14:paraId="1657E0C0" w14:textId="77777777" w:rsidR="00AC6F3C" w:rsidRDefault="00570E88">
      <w:pPr>
        <w:pStyle w:val="ListParagraph"/>
        <w:numPr>
          <w:ilvl w:val="2"/>
          <w:numId w:val="49"/>
        </w:numPr>
        <w:tabs>
          <w:tab w:val="left" w:pos="1155"/>
        </w:tabs>
        <w:ind w:hanging="340"/>
        <w:rPr>
          <w:sz w:val="20"/>
        </w:rPr>
      </w:pPr>
      <w:r>
        <w:rPr>
          <w:sz w:val="20"/>
        </w:rPr>
        <w:t>Wendy</w:t>
      </w:r>
      <w:r>
        <w:rPr>
          <w:spacing w:val="-2"/>
          <w:sz w:val="20"/>
        </w:rPr>
        <w:t xml:space="preserve"> </w:t>
      </w:r>
      <w:r>
        <w:rPr>
          <w:sz w:val="20"/>
        </w:rPr>
        <w:t>Miller</w:t>
      </w:r>
      <w:r>
        <w:rPr>
          <w:spacing w:val="-2"/>
          <w:sz w:val="20"/>
        </w:rPr>
        <w:t xml:space="preserve"> (Brisbane)</w:t>
      </w:r>
    </w:p>
    <w:p w14:paraId="4455F121" w14:textId="77777777" w:rsidR="00AC6F3C" w:rsidRDefault="00570E88">
      <w:pPr>
        <w:pStyle w:val="ListParagraph"/>
        <w:numPr>
          <w:ilvl w:val="2"/>
          <w:numId w:val="49"/>
        </w:numPr>
        <w:tabs>
          <w:tab w:val="left" w:pos="1155"/>
        </w:tabs>
        <w:ind w:hanging="340"/>
        <w:rPr>
          <w:sz w:val="20"/>
        </w:rPr>
      </w:pPr>
      <w:r>
        <w:rPr>
          <w:sz w:val="20"/>
        </w:rPr>
        <w:t>Elizabeth</w:t>
      </w:r>
      <w:r>
        <w:rPr>
          <w:spacing w:val="-4"/>
          <w:sz w:val="20"/>
        </w:rPr>
        <w:t xml:space="preserve"> </w:t>
      </w:r>
      <w:r>
        <w:rPr>
          <w:sz w:val="20"/>
        </w:rPr>
        <w:t>Shearer</w:t>
      </w:r>
      <w:r>
        <w:rPr>
          <w:spacing w:val="-4"/>
          <w:sz w:val="20"/>
        </w:rPr>
        <w:t xml:space="preserve"> </w:t>
      </w:r>
      <w:r>
        <w:rPr>
          <w:spacing w:val="-2"/>
          <w:sz w:val="20"/>
        </w:rPr>
        <w:t>(Brisbane)</w:t>
      </w:r>
    </w:p>
    <w:p w14:paraId="30104E7D" w14:textId="77777777" w:rsidR="00AC6F3C" w:rsidRDefault="00570E88">
      <w:pPr>
        <w:pStyle w:val="ListParagraph"/>
        <w:numPr>
          <w:ilvl w:val="2"/>
          <w:numId w:val="49"/>
        </w:numPr>
        <w:tabs>
          <w:tab w:val="left" w:pos="1155"/>
        </w:tabs>
        <w:ind w:hanging="340"/>
        <w:rPr>
          <w:sz w:val="20"/>
        </w:rPr>
      </w:pPr>
      <w:r>
        <w:rPr>
          <w:sz w:val="20"/>
        </w:rPr>
        <w:t>Michael</w:t>
      </w:r>
      <w:r>
        <w:rPr>
          <w:spacing w:val="-9"/>
          <w:sz w:val="20"/>
        </w:rPr>
        <w:t xml:space="preserve"> </w:t>
      </w:r>
      <w:r>
        <w:rPr>
          <w:sz w:val="20"/>
        </w:rPr>
        <w:t>Beirne</w:t>
      </w:r>
      <w:r>
        <w:rPr>
          <w:spacing w:val="-6"/>
          <w:sz w:val="20"/>
        </w:rPr>
        <w:t xml:space="preserve"> </w:t>
      </w:r>
      <w:r>
        <w:rPr>
          <w:sz w:val="20"/>
        </w:rPr>
        <w:t>(Sunshine</w:t>
      </w:r>
      <w:r>
        <w:rPr>
          <w:spacing w:val="-6"/>
          <w:sz w:val="20"/>
        </w:rPr>
        <w:t xml:space="preserve"> </w:t>
      </w:r>
      <w:r>
        <w:rPr>
          <w:spacing w:val="-2"/>
          <w:sz w:val="20"/>
        </w:rPr>
        <w:t>Coast)</w:t>
      </w:r>
    </w:p>
    <w:p w14:paraId="7C9FE088" w14:textId="77777777" w:rsidR="00AC6F3C" w:rsidRDefault="00570E88">
      <w:pPr>
        <w:pStyle w:val="ListParagraph"/>
        <w:numPr>
          <w:ilvl w:val="2"/>
          <w:numId w:val="49"/>
        </w:numPr>
        <w:tabs>
          <w:tab w:val="left" w:pos="1155"/>
        </w:tabs>
        <w:ind w:hanging="340"/>
        <w:rPr>
          <w:sz w:val="20"/>
        </w:rPr>
      </w:pPr>
      <w:r>
        <w:rPr>
          <w:spacing w:val="-2"/>
          <w:sz w:val="20"/>
        </w:rPr>
        <w:t>Lucia</w:t>
      </w:r>
      <w:r>
        <w:rPr>
          <w:spacing w:val="-7"/>
          <w:sz w:val="20"/>
        </w:rPr>
        <w:t xml:space="preserve"> </w:t>
      </w:r>
      <w:r>
        <w:rPr>
          <w:spacing w:val="-2"/>
          <w:sz w:val="20"/>
        </w:rPr>
        <w:t>Taylor (Townsville)</w:t>
      </w:r>
    </w:p>
    <w:p w14:paraId="1C75BA6B" w14:textId="77777777" w:rsidR="00AC6F3C" w:rsidRDefault="00570E88">
      <w:pPr>
        <w:pStyle w:val="ListParagraph"/>
        <w:numPr>
          <w:ilvl w:val="2"/>
          <w:numId w:val="49"/>
        </w:numPr>
        <w:tabs>
          <w:tab w:val="left" w:pos="1155"/>
        </w:tabs>
        <w:ind w:hanging="340"/>
        <w:rPr>
          <w:sz w:val="20"/>
        </w:rPr>
      </w:pPr>
      <w:r>
        <w:rPr>
          <w:sz w:val="20"/>
        </w:rPr>
        <w:t>Glenn</w:t>
      </w:r>
      <w:r>
        <w:rPr>
          <w:spacing w:val="-5"/>
          <w:sz w:val="20"/>
        </w:rPr>
        <w:t xml:space="preserve"> </w:t>
      </w:r>
      <w:r>
        <w:rPr>
          <w:sz w:val="20"/>
        </w:rPr>
        <w:t>Ferguson</w:t>
      </w:r>
      <w:r>
        <w:rPr>
          <w:spacing w:val="-14"/>
          <w:sz w:val="20"/>
        </w:rPr>
        <w:t xml:space="preserve"> </w:t>
      </w:r>
      <w:r>
        <w:rPr>
          <w:sz w:val="20"/>
        </w:rPr>
        <w:t>AM</w:t>
      </w:r>
      <w:r>
        <w:rPr>
          <w:spacing w:val="-3"/>
          <w:sz w:val="20"/>
        </w:rPr>
        <w:t xml:space="preserve"> </w:t>
      </w:r>
      <w:r>
        <w:rPr>
          <w:spacing w:val="-2"/>
          <w:sz w:val="20"/>
        </w:rPr>
        <w:t>(Brisbane)</w:t>
      </w:r>
    </w:p>
    <w:p w14:paraId="6B7D5BD5" w14:textId="77777777" w:rsidR="00AC6F3C" w:rsidRDefault="00570E88">
      <w:pPr>
        <w:pStyle w:val="ListParagraph"/>
        <w:numPr>
          <w:ilvl w:val="2"/>
          <w:numId w:val="49"/>
        </w:numPr>
        <w:tabs>
          <w:tab w:val="left" w:pos="1155"/>
        </w:tabs>
        <w:ind w:hanging="340"/>
        <w:rPr>
          <w:sz w:val="20"/>
        </w:rPr>
      </w:pPr>
      <w:r>
        <w:rPr>
          <w:sz w:val="20"/>
        </w:rPr>
        <w:t>George</w:t>
      </w:r>
      <w:r>
        <w:rPr>
          <w:spacing w:val="-3"/>
          <w:sz w:val="20"/>
        </w:rPr>
        <w:t xml:space="preserve"> </w:t>
      </w:r>
      <w:r>
        <w:rPr>
          <w:sz w:val="20"/>
        </w:rPr>
        <w:t>Fox</w:t>
      </w:r>
      <w:r>
        <w:rPr>
          <w:spacing w:val="-2"/>
          <w:sz w:val="20"/>
        </w:rPr>
        <w:t xml:space="preserve"> (Brisbane)</w:t>
      </w:r>
    </w:p>
    <w:p w14:paraId="4338E6BA" w14:textId="77777777" w:rsidR="00AC6F3C" w:rsidRDefault="00570E88">
      <w:pPr>
        <w:pStyle w:val="ListParagraph"/>
        <w:numPr>
          <w:ilvl w:val="2"/>
          <w:numId w:val="49"/>
        </w:numPr>
        <w:tabs>
          <w:tab w:val="left" w:pos="1155"/>
        </w:tabs>
        <w:ind w:hanging="340"/>
        <w:rPr>
          <w:sz w:val="20"/>
        </w:rPr>
      </w:pPr>
      <w:r>
        <w:rPr>
          <w:sz w:val="20"/>
        </w:rPr>
        <w:t>Ross</w:t>
      </w:r>
      <w:r>
        <w:rPr>
          <w:spacing w:val="-2"/>
          <w:sz w:val="20"/>
        </w:rPr>
        <w:t xml:space="preserve"> </w:t>
      </w:r>
      <w:r>
        <w:rPr>
          <w:sz w:val="20"/>
        </w:rPr>
        <w:t>Lee</w:t>
      </w:r>
      <w:r>
        <w:rPr>
          <w:spacing w:val="-2"/>
          <w:sz w:val="20"/>
        </w:rPr>
        <w:t xml:space="preserve"> </w:t>
      </w:r>
      <w:r>
        <w:rPr>
          <w:sz w:val="20"/>
        </w:rPr>
        <w:t>(Gold</w:t>
      </w:r>
      <w:r>
        <w:rPr>
          <w:spacing w:val="-2"/>
          <w:sz w:val="20"/>
        </w:rPr>
        <w:t xml:space="preserve"> Coast)</w:t>
      </w:r>
    </w:p>
    <w:p w14:paraId="78F83A38" w14:textId="77777777" w:rsidR="00AC6F3C" w:rsidRDefault="00570E88">
      <w:pPr>
        <w:pStyle w:val="ListParagraph"/>
        <w:numPr>
          <w:ilvl w:val="2"/>
          <w:numId w:val="49"/>
        </w:numPr>
        <w:tabs>
          <w:tab w:val="left" w:pos="1155"/>
        </w:tabs>
        <w:ind w:hanging="340"/>
        <w:rPr>
          <w:sz w:val="20"/>
        </w:rPr>
      </w:pPr>
      <w:r>
        <w:rPr>
          <w:sz w:val="20"/>
        </w:rPr>
        <w:t>John</w:t>
      </w:r>
      <w:r>
        <w:rPr>
          <w:spacing w:val="-5"/>
          <w:sz w:val="20"/>
        </w:rPr>
        <w:t xml:space="preserve"> </w:t>
      </w:r>
      <w:r>
        <w:rPr>
          <w:sz w:val="20"/>
        </w:rPr>
        <w:t>Hayward</w:t>
      </w:r>
      <w:r>
        <w:rPr>
          <w:spacing w:val="-4"/>
          <w:sz w:val="20"/>
        </w:rPr>
        <w:t xml:space="preserve"> </w:t>
      </w:r>
      <w:r>
        <w:rPr>
          <w:spacing w:val="-2"/>
          <w:sz w:val="20"/>
        </w:rPr>
        <w:t>(Cairns)</w:t>
      </w:r>
    </w:p>
    <w:p w14:paraId="65DE6F93" w14:textId="77777777" w:rsidR="00AC6F3C" w:rsidRDefault="00570E88">
      <w:pPr>
        <w:pStyle w:val="ListParagraph"/>
        <w:numPr>
          <w:ilvl w:val="2"/>
          <w:numId w:val="49"/>
        </w:numPr>
        <w:tabs>
          <w:tab w:val="left" w:pos="1155"/>
        </w:tabs>
        <w:ind w:hanging="340"/>
        <w:rPr>
          <w:sz w:val="20"/>
        </w:rPr>
      </w:pPr>
      <w:r>
        <w:rPr>
          <w:sz w:val="20"/>
        </w:rPr>
        <w:t>Justin</w:t>
      </w:r>
      <w:r>
        <w:rPr>
          <w:spacing w:val="-7"/>
          <w:sz w:val="20"/>
        </w:rPr>
        <w:t xml:space="preserve"> </w:t>
      </w:r>
      <w:r>
        <w:rPr>
          <w:sz w:val="20"/>
        </w:rPr>
        <w:t>McDonnell</w:t>
      </w:r>
      <w:r>
        <w:rPr>
          <w:spacing w:val="-6"/>
          <w:sz w:val="20"/>
        </w:rPr>
        <w:t xml:space="preserve"> </w:t>
      </w:r>
      <w:r>
        <w:rPr>
          <w:spacing w:val="-2"/>
          <w:sz w:val="20"/>
        </w:rPr>
        <w:t>(Brisbane)</w:t>
      </w:r>
    </w:p>
    <w:p w14:paraId="216B56B6" w14:textId="77777777" w:rsidR="00AC6F3C" w:rsidRDefault="00570E88">
      <w:pPr>
        <w:pStyle w:val="ListParagraph"/>
        <w:numPr>
          <w:ilvl w:val="2"/>
          <w:numId w:val="49"/>
        </w:numPr>
        <w:tabs>
          <w:tab w:val="left" w:pos="1155"/>
        </w:tabs>
        <w:ind w:hanging="340"/>
        <w:rPr>
          <w:sz w:val="20"/>
        </w:rPr>
      </w:pPr>
      <w:r>
        <w:rPr>
          <w:sz w:val="20"/>
        </w:rPr>
        <w:t xml:space="preserve">Ross Perrett </w:t>
      </w:r>
      <w:r>
        <w:rPr>
          <w:spacing w:val="-2"/>
          <w:sz w:val="20"/>
        </w:rPr>
        <w:t>(Brisbane)</w:t>
      </w:r>
    </w:p>
    <w:p w14:paraId="2DEA44B5" w14:textId="77777777" w:rsidR="00AC6F3C" w:rsidRDefault="00570E88">
      <w:pPr>
        <w:pStyle w:val="ListParagraph"/>
        <w:numPr>
          <w:ilvl w:val="2"/>
          <w:numId w:val="49"/>
        </w:numPr>
        <w:tabs>
          <w:tab w:val="left" w:pos="1155"/>
        </w:tabs>
        <w:ind w:hanging="340"/>
        <w:rPr>
          <w:sz w:val="20"/>
        </w:rPr>
      </w:pPr>
      <w:r>
        <w:rPr>
          <w:sz w:val="20"/>
        </w:rPr>
        <w:t>Travis</w:t>
      </w:r>
      <w:r>
        <w:rPr>
          <w:spacing w:val="-6"/>
          <w:sz w:val="20"/>
        </w:rPr>
        <w:t xml:space="preserve"> </w:t>
      </w:r>
      <w:r>
        <w:rPr>
          <w:sz w:val="20"/>
        </w:rPr>
        <w:t>Schultz</w:t>
      </w:r>
      <w:r>
        <w:rPr>
          <w:spacing w:val="-5"/>
          <w:sz w:val="20"/>
        </w:rPr>
        <w:t xml:space="preserve"> </w:t>
      </w:r>
      <w:r>
        <w:rPr>
          <w:sz w:val="20"/>
        </w:rPr>
        <w:t>(Sunshine</w:t>
      </w:r>
      <w:r>
        <w:rPr>
          <w:spacing w:val="-5"/>
          <w:sz w:val="20"/>
        </w:rPr>
        <w:t xml:space="preserve"> </w:t>
      </w:r>
      <w:r>
        <w:rPr>
          <w:spacing w:val="-2"/>
          <w:sz w:val="20"/>
        </w:rPr>
        <w:t>Coast)</w:t>
      </w:r>
    </w:p>
    <w:p w14:paraId="0F5A9D43" w14:textId="77777777" w:rsidR="00AC6F3C" w:rsidRDefault="00570E88">
      <w:pPr>
        <w:pStyle w:val="ListParagraph"/>
        <w:numPr>
          <w:ilvl w:val="2"/>
          <w:numId w:val="49"/>
        </w:numPr>
        <w:tabs>
          <w:tab w:val="left" w:pos="1155"/>
        </w:tabs>
        <w:ind w:hanging="340"/>
        <w:rPr>
          <w:sz w:val="20"/>
        </w:rPr>
      </w:pPr>
      <w:r>
        <w:rPr>
          <w:sz w:val="20"/>
        </w:rPr>
        <w:t>Brad</w:t>
      </w:r>
      <w:r>
        <w:rPr>
          <w:spacing w:val="-5"/>
          <w:sz w:val="20"/>
        </w:rPr>
        <w:t xml:space="preserve"> </w:t>
      </w:r>
      <w:r>
        <w:rPr>
          <w:sz w:val="20"/>
        </w:rPr>
        <w:t>Shanahan</w:t>
      </w:r>
      <w:r>
        <w:rPr>
          <w:spacing w:val="-5"/>
          <w:sz w:val="20"/>
        </w:rPr>
        <w:t xml:space="preserve"> </w:t>
      </w:r>
      <w:r>
        <w:rPr>
          <w:spacing w:val="-2"/>
          <w:sz w:val="20"/>
        </w:rPr>
        <w:t>(Mackay)</w:t>
      </w:r>
    </w:p>
    <w:p w14:paraId="224FCE16" w14:textId="77777777" w:rsidR="00AC6F3C" w:rsidRDefault="00570E88">
      <w:pPr>
        <w:pStyle w:val="ListParagraph"/>
        <w:numPr>
          <w:ilvl w:val="2"/>
          <w:numId w:val="49"/>
        </w:numPr>
        <w:tabs>
          <w:tab w:val="left" w:pos="1155"/>
        </w:tabs>
        <w:ind w:hanging="340"/>
        <w:rPr>
          <w:sz w:val="20"/>
        </w:rPr>
      </w:pPr>
      <w:r>
        <w:rPr>
          <w:sz w:val="20"/>
        </w:rPr>
        <w:t>Chris</w:t>
      </w:r>
      <w:r>
        <w:rPr>
          <w:spacing w:val="-8"/>
          <w:sz w:val="20"/>
        </w:rPr>
        <w:t xml:space="preserve"> </w:t>
      </w:r>
      <w:r>
        <w:rPr>
          <w:sz w:val="20"/>
        </w:rPr>
        <w:t>Trevor</w:t>
      </w:r>
      <w:r>
        <w:rPr>
          <w:spacing w:val="-4"/>
          <w:sz w:val="20"/>
        </w:rPr>
        <w:t xml:space="preserve"> </w:t>
      </w:r>
      <w:r>
        <w:rPr>
          <w:spacing w:val="-2"/>
          <w:sz w:val="20"/>
        </w:rPr>
        <w:t>(Gladstone)</w:t>
      </w:r>
    </w:p>
    <w:p w14:paraId="6AA1E50D" w14:textId="77777777" w:rsidR="00AC6F3C" w:rsidRDefault="00570E88">
      <w:pPr>
        <w:pStyle w:val="ListParagraph"/>
        <w:numPr>
          <w:ilvl w:val="2"/>
          <w:numId w:val="49"/>
        </w:numPr>
        <w:tabs>
          <w:tab w:val="left" w:pos="1155"/>
        </w:tabs>
        <w:ind w:hanging="340"/>
        <w:rPr>
          <w:sz w:val="20"/>
        </w:rPr>
      </w:pPr>
      <w:r>
        <w:rPr>
          <w:sz w:val="20"/>
        </w:rPr>
        <w:t>Peter</w:t>
      </w:r>
      <w:r>
        <w:rPr>
          <w:spacing w:val="-15"/>
          <w:sz w:val="20"/>
        </w:rPr>
        <w:t xml:space="preserve"> </w:t>
      </w:r>
      <w:r>
        <w:rPr>
          <w:sz w:val="20"/>
        </w:rPr>
        <w:t>Apel</w:t>
      </w:r>
      <w:r>
        <w:rPr>
          <w:spacing w:val="-1"/>
          <w:sz w:val="20"/>
        </w:rPr>
        <w:t xml:space="preserve"> </w:t>
      </w:r>
      <w:r>
        <w:rPr>
          <w:spacing w:val="-2"/>
          <w:sz w:val="20"/>
        </w:rPr>
        <w:t>(Mareeba)</w:t>
      </w:r>
    </w:p>
    <w:p w14:paraId="5FDD135D" w14:textId="77777777" w:rsidR="00AC6F3C" w:rsidRDefault="00570E88">
      <w:pPr>
        <w:pStyle w:val="ListParagraph"/>
        <w:numPr>
          <w:ilvl w:val="2"/>
          <w:numId w:val="49"/>
        </w:numPr>
        <w:tabs>
          <w:tab w:val="left" w:pos="1155"/>
        </w:tabs>
        <w:ind w:hanging="340"/>
        <w:rPr>
          <w:sz w:val="20"/>
        </w:rPr>
      </w:pPr>
      <w:r>
        <w:rPr>
          <w:sz w:val="20"/>
        </w:rPr>
        <w:t>Bill</w:t>
      </w:r>
      <w:r>
        <w:rPr>
          <w:spacing w:val="-5"/>
          <w:sz w:val="20"/>
        </w:rPr>
        <w:t xml:space="preserve"> </w:t>
      </w:r>
      <w:r>
        <w:rPr>
          <w:sz w:val="20"/>
        </w:rPr>
        <w:t>Purcell</w:t>
      </w:r>
      <w:r>
        <w:rPr>
          <w:spacing w:val="-4"/>
          <w:sz w:val="20"/>
        </w:rPr>
        <w:t xml:space="preserve"> </w:t>
      </w:r>
      <w:r>
        <w:rPr>
          <w:spacing w:val="-2"/>
          <w:sz w:val="20"/>
        </w:rPr>
        <w:t>(Brisbane)</w:t>
      </w:r>
    </w:p>
    <w:p w14:paraId="3F3CC95A" w14:textId="77777777" w:rsidR="00AC6F3C" w:rsidRDefault="00570E88">
      <w:pPr>
        <w:pStyle w:val="ListParagraph"/>
        <w:numPr>
          <w:ilvl w:val="2"/>
          <w:numId w:val="49"/>
        </w:numPr>
        <w:tabs>
          <w:tab w:val="left" w:pos="1155"/>
        </w:tabs>
        <w:ind w:hanging="340"/>
        <w:rPr>
          <w:sz w:val="20"/>
        </w:rPr>
      </w:pPr>
      <w:r>
        <w:rPr>
          <w:sz w:val="20"/>
        </w:rPr>
        <w:t>Jim</w:t>
      </w:r>
      <w:r>
        <w:rPr>
          <w:spacing w:val="-5"/>
          <w:sz w:val="20"/>
        </w:rPr>
        <w:t xml:space="preserve"> </w:t>
      </w:r>
      <w:proofErr w:type="spellStart"/>
      <w:r>
        <w:rPr>
          <w:sz w:val="20"/>
        </w:rPr>
        <w:t>Reaston</w:t>
      </w:r>
      <w:proofErr w:type="spellEnd"/>
      <w:r>
        <w:rPr>
          <w:spacing w:val="-3"/>
          <w:sz w:val="20"/>
        </w:rPr>
        <w:t xml:space="preserve"> </w:t>
      </w:r>
      <w:r>
        <w:rPr>
          <w:spacing w:val="-2"/>
          <w:sz w:val="20"/>
        </w:rPr>
        <w:t>(Cairns)</w:t>
      </w:r>
    </w:p>
    <w:p w14:paraId="1A05511F" w14:textId="77777777" w:rsidR="00AC6F3C" w:rsidRDefault="00570E88">
      <w:pPr>
        <w:pStyle w:val="ListParagraph"/>
        <w:numPr>
          <w:ilvl w:val="2"/>
          <w:numId w:val="49"/>
        </w:numPr>
        <w:tabs>
          <w:tab w:val="left" w:pos="1155"/>
        </w:tabs>
        <w:ind w:hanging="340"/>
        <w:rPr>
          <w:sz w:val="20"/>
        </w:rPr>
      </w:pPr>
      <w:r>
        <w:rPr>
          <w:sz w:val="20"/>
        </w:rPr>
        <w:t>Dr</w:t>
      </w:r>
      <w:r>
        <w:rPr>
          <w:spacing w:val="-4"/>
          <w:sz w:val="20"/>
        </w:rPr>
        <w:t xml:space="preserve"> </w:t>
      </w:r>
      <w:r>
        <w:rPr>
          <w:sz w:val="20"/>
        </w:rPr>
        <w:t>Jeff</w:t>
      </w:r>
      <w:r>
        <w:rPr>
          <w:spacing w:val="-3"/>
          <w:sz w:val="20"/>
        </w:rPr>
        <w:t xml:space="preserve"> </w:t>
      </w:r>
      <w:r>
        <w:rPr>
          <w:sz w:val="20"/>
        </w:rPr>
        <w:t>Mann</w:t>
      </w:r>
      <w:r>
        <w:rPr>
          <w:spacing w:val="-14"/>
          <w:sz w:val="20"/>
        </w:rPr>
        <w:t xml:space="preserve"> </w:t>
      </w:r>
      <w:r>
        <w:rPr>
          <w:sz w:val="20"/>
        </w:rPr>
        <w:t>AM</w:t>
      </w:r>
      <w:r>
        <w:rPr>
          <w:spacing w:val="-3"/>
          <w:sz w:val="20"/>
        </w:rPr>
        <w:t xml:space="preserve"> </w:t>
      </w:r>
      <w:r>
        <w:rPr>
          <w:spacing w:val="-2"/>
          <w:sz w:val="20"/>
        </w:rPr>
        <w:t>(Brisbane)</w:t>
      </w:r>
    </w:p>
    <w:p w14:paraId="5905DA6B" w14:textId="77777777" w:rsidR="00AC6F3C" w:rsidRDefault="00570E88">
      <w:pPr>
        <w:pStyle w:val="ListParagraph"/>
        <w:numPr>
          <w:ilvl w:val="2"/>
          <w:numId w:val="49"/>
        </w:numPr>
        <w:tabs>
          <w:tab w:val="left" w:pos="1155"/>
        </w:tabs>
        <w:ind w:hanging="340"/>
        <w:rPr>
          <w:sz w:val="20"/>
        </w:rPr>
      </w:pPr>
      <w:r>
        <w:rPr>
          <w:sz w:val="20"/>
        </w:rPr>
        <w:t>Martin</w:t>
      </w:r>
      <w:r>
        <w:rPr>
          <w:spacing w:val="-3"/>
          <w:sz w:val="20"/>
        </w:rPr>
        <w:t xml:space="preserve"> </w:t>
      </w:r>
      <w:r>
        <w:rPr>
          <w:sz w:val="20"/>
        </w:rPr>
        <w:t>Conroy</w:t>
      </w:r>
      <w:r>
        <w:rPr>
          <w:spacing w:val="-2"/>
          <w:sz w:val="20"/>
        </w:rPr>
        <w:t xml:space="preserve"> (Brisbane)</w:t>
      </w:r>
    </w:p>
    <w:p w14:paraId="509911A3" w14:textId="77777777" w:rsidR="00AC6F3C" w:rsidRDefault="00570E88">
      <w:pPr>
        <w:pStyle w:val="ListParagraph"/>
        <w:numPr>
          <w:ilvl w:val="2"/>
          <w:numId w:val="49"/>
        </w:numPr>
        <w:tabs>
          <w:tab w:val="left" w:pos="1155"/>
        </w:tabs>
        <w:ind w:hanging="340"/>
        <w:rPr>
          <w:sz w:val="20"/>
        </w:rPr>
      </w:pPr>
      <w:r>
        <w:rPr>
          <w:sz w:val="20"/>
        </w:rPr>
        <w:t>John</w:t>
      </w:r>
      <w:r>
        <w:rPr>
          <w:spacing w:val="-5"/>
          <w:sz w:val="20"/>
        </w:rPr>
        <w:t xml:space="preserve"> </w:t>
      </w:r>
      <w:r>
        <w:rPr>
          <w:sz w:val="20"/>
        </w:rPr>
        <w:t>Ryan</w:t>
      </w:r>
      <w:r>
        <w:rPr>
          <w:spacing w:val="-3"/>
          <w:sz w:val="20"/>
        </w:rPr>
        <w:t xml:space="preserve"> </w:t>
      </w:r>
      <w:r>
        <w:rPr>
          <w:spacing w:val="-2"/>
          <w:sz w:val="20"/>
        </w:rPr>
        <w:t>(Cannonvale)</w:t>
      </w:r>
    </w:p>
    <w:p w14:paraId="1B468118" w14:textId="77777777" w:rsidR="00AC6F3C" w:rsidRDefault="00570E88">
      <w:pPr>
        <w:pStyle w:val="ListParagraph"/>
        <w:numPr>
          <w:ilvl w:val="2"/>
          <w:numId w:val="49"/>
        </w:numPr>
        <w:tabs>
          <w:tab w:val="left" w:pos="1155"/>
        </w:tabs>
        <w:ind w:hanging="340"/>
        <w:rPr>
          <w:sz w:val="20"/>
        </w:rPr>
      </w:pPr>
      <w:r>
        <w:rPr>
          <w:sz w:val="20"/>
        </w:rPr>
        <w:t>Michele</w:t>
      </w:r>
      <w:r>
        <w:rPr>
          <w:spacing w:val="-6"/>
          <w:sz w:val="20"/>
        </w:rPr>
        <w:t xml:space="preserve"> </w:t>
      </w:r>
      <w:r>
        <w:rPr>
          <w:sz w:val="20"/>
        </w:rPr>
        <w:t>Sheehan</w:t>
      </w:r>
      <w:r>
        <w:rPr>
          <w:spacing w:val="-6"/>
          <w:sz w:val="20"/>
        </w:rPr>
        <w:t xml:space="preserve"> </w:t>
      </w:r>
      <w:r>
        <w:rPr>
          <w:spacing w:val="-2"/>
          <w:sz w:val="20"/>
        </w:rPr>
        <w:t>(Chinchilla)</w:t>
      </w:r>
    </w:p>
    <w:p w14:paraId="7AD33840" w14:textId="77777777" w:rsidR="00AC6F3C" w:rsidRDefault="00570E88">
      <w:pPr>
        <w:pStyle w:val="ListParagraph"/>
        <w:numPr>
          <w:ilvl w:val="2"/>
          <w:numId w:val="49"/>
        </w:numPr>
        <w:tabs>
          <w:tab w:val="left" w:pos="1155"/>
        </w:tabs>
        <w:ind w:hanging="340"/>
        <w:rPr>
          <w:sz w:val="20"/>
        </w:rPr>
      </w:pPr>
      <w:r>
        <w:rPr>
          <w:sz w:val="20"/>
        </w:rPr>
        <w:t>Christine</w:t>
      </w:r>
      <w:r>
        <w:rPr>
          <w:spacing w:val="-6"/>
          <w:sz w:val="20"/>
        </w:rPr>
        <w:t xml:space="preserve"> </w:t>
      </w:r>
      <w:r>
        <w:rPr>
          <w:sz w:val="20"/>
        </w:rPr>
        <w:t>Smyth</w:t>
      </w:r>
      <w:r>
        <w:rPr>
          <w:spacing w:val="-5"/>
          <w:sz w:val="20"/>
        </w:rPr>
        <w:t xml:space="preserve"> </w:t>
      </w:r>
      <w:r>
        <w:rPr>
          <w:sz w:val="20"/>
        </w:rPr>
        <w:t>(Gold</w:t>
      </w:r>
      <w:r>
        <w:rPr>
          <w:spacing w:val="-5"/>
          <w:sz w:val="20"/>
        </w:rPr>
        <w:t xml:space="preserve"> </w:t>
      </w:r>
      <w:r>
        <w:rPr>
          <w:spacing w:val="-2"/>
          <w:sz w:val="20"/>
        </w:rPr>
        <w:t>Coast).</w:t>
      </w:r>
    </w:p>
    <w:p w14:paraId="1421FAD8" w14:textId="77777777" w:rsidR="00AC6F3C" w:rsidRDefault="00AC6F3C">
      <w:pPr>
        <w:rPr>
          <w:sz w:val="20"/>
        </w:rPr>
        <w:sectPr w:rsidR="00AC6F3C">
          <w:headerReference w:type="default" r:id="rId128"/>
          <w:footerReference w:type="default" r:id="rId129"/>
          <w:pgSz w:w="11910" w:h="16840"/>
          <w:pgMar w:top="1140" w:right="1160" w:bottom="520" w:left="460" w:header="0" w:footer="336" w:gutter="0"/>
          <w:cols w:space="720"/>
        </w:sectPr>
      </w:pPr>
    </w:p>
    <w:p w14:paraId="76A0F33A" w14:textId="77777777" w:rsidR="00AC6F3C" w:rsidRDefault="00570E88">
      <w:pPr>
        <w:pStyle w:val="Heading3"/>
        <w:spacing w:before="70"/>
      </w:pPr>
      <w:bookmarkStart w:id="51" w:name="Cybersecurity"/>
      <w:bookmarkStart w:id="52" w:name="_bookmark18"/>
      <w:bookmarkEnd w:id="51"/>
      <w:bookmarkEnd w:id="52"/>
      <w:r>
        <w:rPr>
          <w:spacing w:val="-2"/>
        </w:rPr>
        <w:lastRenderedPageBreak/>
        <w:t>Cybersecurity</w:t>
      </w:r>
    </w:p>
    <w:p w14:paraId="179FF235" w14:textId="77777777" w:rsidR="00AC6F3C" w:rsidRDefault="00570E88">
      <w:pPr>
        <w:pStyle w:val="BodyText"/>
        <w:spacing w:before="155" w:line="249" w:lineRule="auto"/>
        <w:ind w:left="815"/>
      </w:pPr>
      <w:r>
        <w:t>The</w:t>
      </w:r>
      <w:r>
        <w:rPr>
          <w:spacing w:val="-3"/>
        </w:rPr>
        <w:t xml:space="preserve"> </w:t>
      </w:r>
      <w:r>
        <w:t>past</w:t>
      </w:r>
      <w:r>
        <w:rPr>
          <w:spacing w:val="-3"/>
        </w:rPr>
        <w:t xml:space="preserve"> </w:t>
      </w:r>
      <w:r>
        <w:t>two</w:t>
      </w:r>
      <w:r>
        <w:rPr>
          <w:spacing w:val="-3"/>
        </w:rPr>
        <w:t xml:space="preserve"> </w:t>
      </w:r>
      <w:r>
        <w:t>years</w:t>
      </w:r>
      <w:r>
        <w:rPr>
          <w:spacing w:val="-3"/>
        </w:rPr>
        <w:t xml:space="preserve"> </w:t>
      </w:r>
      <w:r>
        <w:t>has</w:t>
      </w:r>
      <w:r>
        <w:rPr>
          <w:spacing w:val="-3"/>
        </w:rPr>
        <w:t xml:space="preserve"> </w:t>
      </w:r>
      <w:r>
        <w:t>seen</w:t>
      </w:r>
      <w:r>
        <w:rPr>
          <w:spacing w:val="-3"/>
        </w:rPr>
        <w:t xml:space="preserve"> </w:t>
      </w:r>
      <w:r>
        <w:t>an</w:t>
      </w:r>
      <w:r>
        <w:rPr>
          <w:spacing w:val="-3"/>
        </w:rPr>
        <w:t xml:space="preserve"> </w:t>
      </w:r>
      <w:r>
        <w:t>increase</w:t>
      </w:r>
      <w:r>
        <w:rPr>
          <w:spacing w:val="-3"/>
        </w:rPr>
        <w:t xml:space="preserve"> </w:t>
      </w:r>
      <w:r>
        <w:t>in</w:t>
      </w:r>
      <w:r>
        <w:rPr>
          <w:spacing w:val="-3"/>
        </w:rPr>
        <w:t xml:space="preserve"> </w:t>
      </w:r>
      <w:proofErr w:type="spellStart"/>
      <w:r>
        <w:t>cyber</w:t>
      </w:r>
      <w:r>
        <w:rPr>
          <w:spacing w:val="-3"/>
        </w:rPr>
        <w:t xml:space="preserve"> </w:t>
      </w:r>
      <w:r>
        <w:t>attacks</w:t>
      </w:r>
      <w:proofErr w:type="spellEnd"/>
      <w:r>
        <w:rPr>
          <w:spacing w:val="-3"/>
        </w:rPr>
        <w:t xml:space="preserve"> </w:t>
      </w:r>
      <w:r>
        <w:t>and</w:t>
      </w:r>
      <w:r>
        <w:rPr>
          <w:spacing w:val="-3"/>
        </w:rPr>
        <w:t xml:space="preserve"> </w:t>
      </w:r>
      <w:r>
        <w:t>electronic</w:t>
      </w:r>
      <w:r>
        <w:rPr>
          <w:spacing w:val="-3"/>
        </w:rPr>
        <w:t xml:space="preserve"> </w:t>
      </w:r>
      <w:r>
        <w:t>fraud</w:t>
      </w:r>
      <w:r>
        <w:rPr>
          <w:spacing w:val="-3"/>
        </w:rPr>
        <w:t xml:space="preserve"> </w:t>
      </w:r>
      <w:r>
        <w:t>throughout</w:t>
      </w:r>
      <w:r>
        <w:rPr>
          <w:spacing w:val="-13"/>
        </w:rPr>
        <w:t xml:space="preserve"> </w:t>
      </w:r>
      <w:r>
        <w:t>Australia,</w:t>
      </w:r>
      <w:r>
        <w:rPr>
          <w:spacing w:val="-3"/>
        </w:rPr>
        <w:t xml:space="preserve"> </w:t>
      </w:r>
      <w:r>
        <w:t>in particular Queensland, including high profile attacks on law firms and legal service providers.</w:t>
      </w:r>
    </w:p>
    <w:p w14:paraId="6E1B91B9" w14:textId="77777777" w:rsidR="00AC6F3C" w:rsidRDefault="00570E88">
      <w:pPr>
        <w:pStyle w:val="BodyText"/>
        <w:spacing w:before="172" w:line="249" w:lineRule="auto"/>
        <w:ind w:left="815" w:right="460"/>
      </w:pPr>
      <w:r>
        <w:t>Against this background, QLS is pleased to note the static and in some respects declining incidence</w:t>
      </w:r>
      <w:r>
        <w:rPr>
          <w:spacing w:val="40"/>
        </w:rPr>
        <w:t xml:space="preserve"> </w:t>
      </w:r>
      <w:r>
        <w:t xml:space="preserve">of successful </w:t>
      </w:r>
      <w:proofErr w:type="spellStart"/>
      <w:r>
        <w:t>cyber attacks</w:t>
      </w:r>
      <w:proofErr w:type="spellEnd"/>
      <w:r>
        <w:t xml:space="preserve"> on SME member practices. This reflects the substantial and ongoing investment</w:t>
      </w:r>
      <w:r>
        <w:rPr>
          <w:spacing w:val="-3"/>
        </w:rPr>
        <w:t xml:space="preserve"> </w:t>
      </w:r>
      <w:r>
        <w:t>by</w:t>
      </w:r>
      <w:r>
        <w:rPr>
          <w:spacing w:val="-3"/>
        </w:rPr>
        <w:t xml:space="preserve"> </w:t>
      </w:r>
      <w:r>
        <w:t>the</w:t>
      </w:r>
      <w:r>
        <w:rPr>
          <w:spacing w:val="-3"/>
        </w:rPr>
        <w:t xml:space="preserve"> </w:t>
      </w:r>
      <w:r>
        <w:t>Society</w:t>
      </w:r>
      <w:r>
        <w:rPr>
          <w:spacing w:val="-3"/>
        </w:rPr>
        <w:t xml:space="preserve"> </w:t>
      </w:r>
      <w:r>
        <w:t>and</w:t>
      </w:r>
      <w:r>
        <w:rPr>
          <w:spacing w:val="-3"/>
        </w:rPr>
        <w:t xml:space="preserve"> </w:t>
      </w:r>
      <w:r>
        <w:t>the</w:t>
      </w:r>
      <w:r>
        <w:rPr>
          <w:spacing w:val="-3"/>
        </w:rPr>
        <w:t xml:space="preserve"> </w:t>
      </w:r>
      <w:r>
        <w:t>Queensland</w:t>
      </w:r>
      <w:r>
        <w:rPr>
          <w:spacing w:val="-3"/>
        </w:rPr>
        <w:t xml:space="preserve"> </w:t>
      </w:r>
      <w:r>
        <w:t>profession</w:t>
      </w:r>
      <w:r>
        <w:rPr>
          <w:spacing w:val="-3"/>
        </w:rPr>
        <w:t xml:space="preserve"> </w:t>
      </w:r>
      <w:r>
        <w:t>in</w:t>
      </w:r>
      <w:r>
        <w:rPr>
          <w:spacing w:val="-3"/>
        </w:rPr>
        <w:t xml:space="preserve"> </w:t>
      </w:r>
      <w:r>
        <w:t>protecting</w:t>
      </w:r>
      <w:r>
        <w:rPr>
          <w:spacing w:val="-3"/>
        </w:rPr>
        <w:t xml:space="preserve"> </w:t>
      </w:r>
      <w:r>
        <w:t>client</w:t>
      </w:r>
      <w:r>
        <w:rPr>
          <w:spacing w:val="-3"/>
        </w:rPr>
        <w:t xml:space="preserve"> </w:t>
      </w:r>
      <w:r>
        <w:t>data</w:t>
      </w:r>
      <w:r>
        <w:rPr>
          <w:spacing w:val="-3"/>
        </w:rPr>
        <w:t xml:space="preserve"> </w:t>
      </w:r>
      <w:r>
        <w:t>and</w:t>
      </w:r>
      <w:r>
        <w:rPr>
          <w:spacing w:val="-3"/>
        </w:rPr>
        <w:t xml:space="preserve"> </w:t>
      </w:r>
      <w:r>
        <w:t>funds</w:t>
      </w:r>
      <w:r>
        <w:rPr>
          <w:spacing w:val="-3"/>
        </w:rPr>
        <w:t xml:space="preserve"> </w:t>
      </w:r>
      <w:r>
        <w:t>in</w:t>
      </w:r>
      <w:r>
        <w:rPr>
          <w:spacing w:val="-3"/>
        </w:rPr>
        <w:t xml:space="preserve"> </w:t>
      </w:r>
      <w:r>
        <w:t>transit.</w:t>
      </w:r>
    </w:p>
    <w:p w14:paraId="32B2686F" w14:textId="77777777" w:rsidR="00AC6F3C" w:rsidRDefault="00570E88">
      <w:pPr>
        <w:pStyle w:val="BodyText"/>
        <w:spacing w:before="2" w:line="249" w:lineRule="auto"/>
        <w:ind w:left="815"/>
      </w:pPr>
      <w:r>
        <w:t>QLS</w:t>
      </w:r>
      <w:r>
        <w:rPr>
          <w:spacing w:val="-3"/>
        </w:rPr>
        <w:t xml:space="preserve"> </w:t>
      </w:r>
      <w:r>
        <w:t>acknowledges</w:t>
      </w:r>
      <w:r>
        <w:rPr>
          <w:spacing w:val="-3"/>
        </w:rPr>
        <w:t xml:space="preserve"> </w:t>
      </w:r>
      <w:r>
        <w:t>the</w:t>
      </w:r>
      <w:r>
        <w:rPr>
          <w:spacing w:val="-3"/>
        </w:rPr>
        <w:t xml:space="preserve"> </w:t>
      </w:r>
      <w:r>
        <w:t>critical</w:t>
      </w:r>
      <w:r>
        <w:rPr>
          <w:spacing w:val="-3"/>
        </w:rPr>
        <w:t xml:space="preserve"> </w:t>
      </w:r>
      <w:r>
        <w:t>expert</w:t>
      </w:r>
      <w:r>
        <w:rPr>
          <w:spacing w:val="-3"/>
        </w:rPr>
        <w:t xml:space="preserve"> </w:t>
      </w:r>
      <w:r>
        <w:t>assistance</w:t>
      </w:r>
      <w:r>
        <w:rPr>
          <w:spacing w:val="-3"/>
        </w:rPr>
        <w:t xml:space="preserve"> </w:t>
      </w:r>
      <w:r>
        <w:t>supplied</w:t>
      </w:r>
      <w:r>
        <w:rPr>
          <w:spacing w:val="-3"/>
        </w:rPr>
        <w:t xml:space="preserve"> </w:t>
      </w:r>
      <w:r>
        <w:t>by</w:t>
      </w:r>
      <w:r>
        <w:rPr>
          <w:spacing w:val="-3"/>
        </w:rPr>
        <w:t xml:space="preserve"> </w:t>
      </w:r>
      <w:r>
        <w:t>the</w:t>
      </w:r>
      <w:r>
        <w:rPr>
          <w:spacing w:val="-3"/>
        </w:rPr>
        <w:t xml:space="preserve"> </w:t>
      </w:r>
      <w:r>
        <w:t>Cybersecurity</w:t>
      </w:r>
      <w:r>
        <w:rPr>
          <w:spacing w:val="-3"/>
        </w:rPr>
        <w:t xml:space="preserve"> </w:t>
      </w:r>
      <w:r>
        <w:t>Working</w:t>
      </w:r>
      <w:r>
        <w:rPr>
          <w:spacing w:val="-3"/>
        </w:rPr>
        <w:t xml:space="preserve"> </w:t>
      </w:r>
      <w:r>
        <w:t>Group,</w:t>
      </w:r>
      <w:r>
        <w:rPr>
          <w:spacing w:val="-3"/>
        </w:rPr>
        <w:t xml:space="preserve"> </w:t>
      </w:r>
      <w:r>
        <w:t>many</w:t>
      </w:r>
      <w:r>
        <w:rPr>
          <w:spacing w:val="-3"/>
        </w:rPr>
        <w:t xml:space="preserve"> </w:t>
      </w:r>
      <w:r>
        <w:t>of which are not QLS members or solicitors and all of whom supply their services without payment.</w:t>
      </w:r>
    </w:p>
    <w:p w14:paraId="015D387B" w14:textId="77777777" w:rsidR="00AC6F3C" w:rsidRDefault="00570E88">
      <w:pPr>
        <w:pStyle w:val="BodyText"/>
        <w:spacing w:before="172" w:line="249" w:lineRule="auto"/>
        <w:ind w:left="815" w:right="730"/>
      </w:pPr>
      <w:r>
        <w:t xml:space="preserve">However, the challenge is ongoing and multi-dimensional. Cybercrime syndicates are leveraging alternative methods to reap profits from </w:t>
      </w:r>
      <w:proofErr w:type="spellStart"/>
      <w:r>
        <w:t>cyber attacks</w:t>
      </w:r>
      <w:proofErr w:type="spellEnd"/>
      <w:r>
        <w:t>, with ransomware following data exfiltration becoming increasingly common. Threat intelligence from the US indicated that this was likely and</w:t>
      </w:r>
      <w:r>
        <w:rPr>
          <w:spacing w:val="40"/>
        </w:rPr>
        <w:t xml:space="preserve"> </w:t>
      </w:r>
      <w:r>
        <w:t>a</w:t>
      </w:r>
      <w:r>
        <w:rPr>
          <w:spacing w:val="-3"/>
        </w:rPr>
        <w:t xml:space="preserve"> </w:t>
      </w:r>
      <w:r>
        <w:t>proactive</w:t>
      </w:r>
      <w:r>
        <w:rPr>
          <w:spacing w:val="-3"/>
        </w:rPr>
        <w:t xml:space="preserve"> </w:t>
      </w:r>
      <w:r>
        <w:t>campaign</w:t>
      </w:r>
      <w:r>
        <w:rPr>
          <w:spacing w:val="-3"/>
        </w:rPr>
        <w:t xml:space="preserve"> </w:t>
      </w:r>
      <w:r>
        <w:t>to</w:t>
      </w:r>
      <w:r>
        <w:rPr>
          <w:spacing w:val="-3"/>
        </w:rPr>
        <w:t xml:space="preserve"> </w:t>
      </w:r>
      <w:r>
        <w:t>prevent</w:t>
      </w:r>
      <w:r>
        <w:rPr>
          <w:spacing w:val="-3"/>
        </w:rPr>
        <w:t xml:space="preserve"> </w:t>
      </w:r>
      <w:r>
        <w:t>widespread</w:t>
      </w:r>
      <w:r>
        <w:rPr>
          <w:spacing w:val="-3"/>
        </w:rPr>
        <w:t xml:space="preserve"> </w:t>
      </w:r>
      <w:r>
        <w:t>incidence</w:t>
      </w:r>
      <w:r>
        <w:rPr>
          <w:spacing w:val="-3"/>
        </w:rPr>
        <w:t xml:space="preserve"> </w:t>
      </w:r>
      <w:r>
        <w:t>has</w:t>
      </w:r>
      <w:r>
        <w:rPr>
          <w:spacing w:val="-3"/>
        </w:rPr>
        <w:t xml:space="preserve"> </w:t>
      </w:r>
      <w:r>
        <w:t>been</w:t>
      </w:r>
      <w:r>
        <w:rPr>
          <w:spacing w:val="-3"/>
        </w:rPr>
        <w:t xml:space="preserve"> </w:t>
      </w:r>
      <w:r>
        <w:t>largely</w:t>
      </w:r>
      <w:r>
        <w:rPr>
          <w:spacing w:val="-3"/>
        </w:rPr>
        <w:t xml:space="preserve"> </w:t>
      </w:r>
      <w:r>
        <w:t>successful,</w:t>
      </w:r>
      <w:r>
        <w:rPr>
          <w:spacing w:val="-3"/>
        </w:rPr>
        <w:t xml:space="preserve"> </w:t>
      </w:r>
      <w:r>
        <w:t>with</w:t>
      </w:r>
      <w:r>
        <w:rPr>
          <w:spacing w:val="-3"/>
        </w:rPr>
        <w:t xml:space="preserve"> </w:t>
      </w:r>
      <w:r>
        <w:t>only</w:t>
      </w:r>
      <w:r>
        <w:rPr>
          <w:spacing w:val="-3"/>
        </w:rPr>
        <w:t xml:space="preserve"> </w:t>
      </w:r>
      <w:r>
        <w:t>three reported exfiltration/ransom incidents involving Queensland based firms in 2022-23.</w:t>
      </w:r>
    </w:p>
    <w:p w14:paraId="704C651A" w14:textId="77777777" w:rsidR="00AC6F3C" w:rsidRDefault="00570E88">
      <w:pPr>
        <w:pStyle w:val="BodyText"/>
        <w:spacing w:before="174" w:line="249" w:lineRule="auto"/>
        <w:ind w:left="815" w:right="468"/>
      </w:pPr>
      <w:r>
        <w:t xml:space="preserve">While data theft incidents involving SME law practices in Queensland have reduced, the impact and cost per incident has increased. Ongoing vigilance and effort in this area is required. Professional </w:t>
      </w:r>
      <w:proofErr w:type="spellStart"/>
      <w:r>
        <w:t>organisations</w:t>
      </w:r>
      <w:proofErr w:type="spellEnd"/>
      <w:r>
        <w:t xml:space="preserve"> play a crucial role in aiding members to thwart data breaches and safeguard client interests,</w:t>
      </w:r>
      <w:r>
        <w:rPr>
          <w:spacing w:val="-3"/>
        </w:rPr>
        <w:t xml:space="preserve"> </w:t>
      </w:r>
      <w:r>
        <w:t>with</w:t>
      </w:r>
      <w:r>
        <w:rPr>
          <w:spacing w:val="-3"/>
        </w:rPr>
        <w:t xml:space="preserve"> </w:t>
      </w:r>
      <w:r>
        <w:t>an</w:t>
      </w:r>
      <w:r>
        <w:rPr>
          <w:spacing w:val="-3"/>
        </w:rPr>
        <w:t xml:space="preserve"> </w:t>
      </w:r>
      <w:r>
        <w:t>emphasis</w:t>
      </w:r>
      <w:r>
        <w:rPr>
          <w:spacing w:val="-3"/>
        </w:rPr>
        <w:t xml:space="preserve"> </w:t>
      </w:r>
      <w:r>
        <w:t>on</w:t>
      </w:r>
      <w:r>
        <w:rPr>
          <w:spacing w:val="-3"/>
        </w:rPr>
        <w:t xml:space="preserve"> </w:t>
      </w:r>
      <w:r>
        <w:t>Small</w:t>
      </w:r>
      <w:r>
        <w:rPr>
          <w:spacing w:val="-3"/>
        </w:rPr>
        <w:t xml:space="preserve"> </w:t>
      </w:r>
      <w:r>
        <w:t>and</w:t>
      </w:r>
      <w:r>
        <w:rPr>
          <w:spacing w:val="-3"/>
        </w:rPr>
        <w:t xml:space="preserve"> </w:t>
      </w:r>
      <w:r>
        <w:t>Medium</w:t>
      </w:r>
      <w:r>
        <w:rPr>
          <w:spacing w:val="-3"/>
        </w:rPr>
        <w:t xml:space="preserve"> </w:t>
      </w:r>
      <w:r>
        <w:t>Enterprises</w:t>
      </w:r>
      <w:r>
        <w:rPr>
          <w:spacing w:val="-3"/>
        </w:rPr>
        <w:t xml:space="preserve"> </w:t>
      </w:r>
      <w:r>
        <w:t>(SMEs)</w:t>
      </w:r>
      <w:r>
        <w:rPr>
          <w:spacing w:val="-3"/>
        </w:rPr>
        <w:t xml:space="preserve"> </w:t>
      </w:r>
      <w:r>
        <w:t>that</w:t>
      </w:r>
      <w:r>
        <w:rPr>
          <w:spacing w:val="-3"/>
        </w:rPr>
        <w:t xml:space="preserve"> </w:t>
      </w:r>
      <w:r>
        <w:t>lack</w:t>
      </w:r>
      <w:r>
        <w:rPr>
          <w:spacing w:val="-3"/>
        </w:rPr>
        <w:t xml:space="preserve"> </w:t>
      </w:r>
      <w:r>
        <w:t>in-house</w:t>
      </w:r>
      <w:r>
        <w:rPr>
          <w:spacing w:val="-3"/>
        </w:rPr>
        <w:t xml:space="preserve"> </w:t>
      </w:r>
      <w:r>
        <w:t>information security teams.</w:t>
      </w:r>
    </w:p>
    <w:p w14:paraId="3DCF8CE9" w14:textId="77777777" w:rsidR="00AC6F3C" w:rsidRDefault="00570E88">
      <w:pPr>
        <w:pStyle w:val="BodyText"/>
        <w:spacing w:before="174" w:line="249" w:lineRule="auto"/>
        <w:ind w:left="815"/>
      </w:pPr>
      <w:r>
        <w:t>In</w:t>
      </w:r>
      <w:r>
        <w:rPr>
          <w:spacing w:val="-3"/>
        </w:rPr>
        <w:t xml:space="preserve"> </w:t>
      </w:r>
      <w:r>
        <w:t>the</w:t>
      </w:r>
      <w:r>
        <w:rPr>
          <w:spacing w:val="-3"/>
        </w:rPr>
        <w:t xml:space="preserve"> </w:t>
      </w:r>
      <w:r>
        <w:t>2022-23</w:t>
      </w:r>
      <w:r>
        <w:rPr>
          <w:spacing w:val="-3"/>
        </w:rPr>
        <w:t xml:space="preserve"> </w:t>
      </w:r>
      <w:r>
        <w:t>cycle,</w:t>
      </w:r>
      <w:r>
        <w:rPr>
          <w:spacing w:val="-3"/>
        </w:rPr>
        <w:t xml:space="preserve"> </w:t>
      </w:r>
      <w:r>
        <w:t>QLS</w:t>
      </w:r>
      <w:r>
        <w:rPr>
          <w:spacing w:val="-3"/>
        </w:rPr>
        <w:t xml:space="preserve"> </w:t>
      </w:r>
      <w:r>
        <w:t>has</w:t>
      </w:r>
      <w:r>
        <w:rPr>
          <w:spacing w:val="-3"/>
        </w:rPr>
        <w:t xml:space="preserve"> </w:t>
      </w:r>
      <w:r>
        <w:t>once</w:t>
      </w:r>
      <w:r>
        <w:rPr>
          <w:spacing w:val="-3"/>
        </w:rPr>
        <w:t xml:space="preserve"> </w:t>
      </w:r>
      <w:r>
        <w:t>again</w:t>
      </w:r>
      <w:r>
        <w:rPr>
          <w:spacing w:val="-3"/>
        </w:rPr>
        <w:t xml:space="preserve"> </w:t>
      </w:r>
      <w:r>
        <w:t>significantly</w:t>
      </w:r>
      <w:r>
        <w:rPr>
          <w:spacing w:val="-3"/>
        </w:rPr>
        <w:t xml:space="preserve"> </w:t>
      </w:r>
      <w:r>
        <w:t>invested</w:t>
      </w:r>
      <w:r>
        <w:rPr>
          <w:spacing w:val="-3"/>
        </w:rPr>
        <w:t xml:space="preserve"> </w:t>
      </w:r>
      <w:r>
        <w:t>in</w:t>
      </w:r>
      <w:r>
        <w:rPr>
          <w:spacing w:val="-3"/>
        </w:rPr>
        <w:t xml:space="preserve"> </w:t>
      </w:r>
      <w:r>
        <w:t>defensive</w:t>
      </w:r>
      <w:r>
        <w:rPr>
          <w:spacing w:val="-3"/>
        </w:rPr>
        <w:t xml:space="preserve"> </w:t>
      </w:r>
      <w:r>
        <w:t>education</w:t>
      </w:r>
      <w:r>
        <w:rPr>
          <w:spacing w:val="-3"/>
        </w:rPr>
        <w:t xml:space="preserve"> </w:t>
      </w:r>
      <w:r>
        <w:t>and</w:t>
      </w:r>
      <w:r>
        <w:rPr>
          <w:spacing w:val="-3"/>
        </w:rPr>
        <w:t xml:space="preserve"> </w:t>
      </w:r>
      <w:r>
        <w:t>resources. QLS’s strategy for information security is tripartite:</w:t>
      </w:r>
    </w:p>
    <w:p w14:paraId="5E5D8C67" w14:textId="77777777" w:rsidR="00AC6F3C" w:rsidRDefault="00570E88">
      <w:pPr>
        <w:pStyle w:val="ListParagraph"/>
        <w:numPr>
          <w:ilvl w:val="2"/>
          <w:numId w:val="49"/>
        </w:numPr>
        <w:tabs>
          <w:tab w:val="left" w:pos="1155"/>
        </w:tabs>
        <w:spacing w:before="172"/>
        <w:ind w:hanging="340"/>
        <w:rPr>
          <w:sz w:val="20"/>
        </w:rPr>
      </w:pPr>
      <w:r>
        <w:rPr>
          <w:sz w:val="20"/>
        </w:rPr>
        <w:t>Enabling</w:t>
      </w:r>
      <w:r>
        <w:rPr>
          <w:spacing w:val="-4"/>
          <w:sz w:val="20"/>
        </w:rPr>
        <w:t xml:space="preserve"> </w:t>
      </w:r>
      <w:r>
        <w:rPr>
          <w:sz w:val="20"/>
        </w:rPr>
        <w:t>members</w:t>
      </w:r>
      <w:r>
        <w:rPr>
          <w:spacing w:val="-3"/>
          <w:sz w:val="20"/>
        </w:rPr>
        <w:t xml:space="preserve"> </w:t>
      </w:r>
      <w:r>
        <w:rPr>
          <w:sz w:val="20"/>
        </w:rPr>
        <w:t>to</w:t>
      </w:r>
      <w:r>
        <w:rPr>
          <w:spacing w:val="-3"/>
          <w:sz w:val="20"/>
        </w:rPr>
        <w:t xml:space="preserve"> </w:t>
      </w:r>
      <w:r>
        <w:rPr>
          <w:sz w:val="20"/>
        </w:rPr>
        <w:t>manage</w:t>
      </w:r>
      <w:r>
        <w:rPr>
          <w:spacing w:val="-3"/>
          <w:sz w:val="20"/>
        </w:rPr>
        <w:t xml:space="preserve"> </w:t>
      </w:r>
      <w:r>
        <w:rPr>
          <w:spacing w:val="-2"/>
          <w:sz w:val="20"/>
        </w:rPr>
        <w:t>incidents</w:t>
      </w:r>
    </w:p>
    <w:p w14:paraId="45E02961" w14:textId="77777777" w:rsidR="00AC6F3C" w:rsidRDefault="00570E88">
      <w:pPr>
        <w:pStyle w:val="ListParagraph"/>
        <w:numPr>
          <w:ilvl w:val="2"/>
          <w:numId w:val="49"/>
        </w:numPr>
        <w:tabs>
          <w:tab w:val="left" w:pos="1155"/>
        </w:tabs>
        <w:ind w:hanging="340"/>
        <w:rPr>
          <w:sz w:val="20"/>
        </w:rPr>
      </w:pPr>
      <w:r>
        <w:rPr>
          <w:sz w:val="20"/>
        </w:rPr>
        <w:t>Promoting</w:t>
      </w:r>
      <w:r>
        <w:rPr>
          <w:spacing w:val="-4"/>
          <w:sz w:val="20"/>
        </w:rPr>
        <w:t xml:space="preserve"> </w:t>
      </w:r>
      <w:r>
        <w:rPr>
          <w:sz w:val="20"/>
        </w:rPr>
        <w:t>awareness</w:t>
      </w:r>
      <w:r>
        <w:rPr>
          <w:spacing w:val="-4"/>
          <w:sz w:val="20"/>
        </w:rPr>
        <w:t xml:space="preserve"> </w:t>
      </w:r>
      <w:r>
        <w:rPr>
          <w:sz w:val="20"/>
        </w:rPr>
        <w:t>and</w:t>
      </w:r>
      <w:r>
        <w:rPr>
          <w:spacing w:val="-4"/>
          <w:sz w:val="20"/>
        </w:rPr>
        <w:t xml:space="preserve"> </w:t>
      </w:r>
      <w:r>
        <w:rPr>
          <w:sz w:val="20"/>
        </w:rPr>
        <w:t>risk</w:t>
      </w:r>
      <w:r>
        <w:rPr>
          <w:spacing w:val="-4"/>
          <w:sz w:val="20"/>
        </w:rPr>
        <w:t xml:space="preserve"> </w:t>
      </w:r>
      <w:r>
        <w:rPr>
          <w:sz w:val="20"/>
        </w:rPr>
        <w:t>reduction</w:t>
      </w:r>
      <w:r>
        <w:rPr>
          <w:spacing w:val="-4"/>
          <w:sz w:val="20"/>
        </w:rPr>
        <w:t xml:space="preserve"> </w:t>
      </w:r>
      <w:r>
        <w:rPr>
          <w:sz w:val="20"/>
        </w:rPr>
        <w:t>and</w:t>
      </w:r>
      <w:r>
        <w:rPr>
          <w:spacing w:val="-4"/>
          <w:sz w:val="20"/>
        </w:rPr>
        <w:t xml:space="preserve"> </w:t>
      </w:r>
      <w:r>
        <w:rPr>
          <w:sz w:val="20"/>
        </w:rPr>
        <w:t>preventative</w:t>
      </w:r>
      <w:r>
        <w:rPr>
          <w:spacing w:val="-4"/>
          <w:sz w:val="20"/>
        </w:rPr>
        <w:t xml:space="preserve"> </w:t>
      </w:r>
      <w:r>
        <w:rPr>
          <w:sz w:val="20"/>
        </w:rPr>
        <w:t>measures,</w:t>
      </w:r>
      <w:r>
        <w:rPr>
          <w:spacing w:val="-3"/>
          <w:sz w:val="20"/>
        </w:rPr>
        <w:t xml:space="preserve"> </w:t>
      </w:r>
      <w:r>
        <w:rPr>
          <w:spacing w:val="-5"/>
          <w:sz w:val="20"/>
        </w:rPr>
        <w:t>and</w:t>
      </w:r>
    </w:p>
    <w:p w14:paraId="43A03F89" w14:textId="77777777" w:rsidR="00AC6F3C" w:rsidRDefault="00570E88">
      <w:pPr>
        <w:pStyle w:val="ListParagraph"/>
        <w:numPr>
          <w:ilvl w:val="2"/>
          <w:numId w:val="49"/>
        </w:numPr>
        <w:tabs>
          <w:tab w:val="left" w:pos="1155"/>
        </w:tabs>
        <w:ind w:hanging="340"/>
        <w:rPr>
          <w:sz w:val="20"/>
        </w:rPr>
      </w:pPr>
      <w:r>
        <w:rPr>
          <w:sz w:val="20"/>
        </w:rPr>
        <w:t>Promoting</w:t>
      </w:r>
      <w:r>
        <w:rPr>
          <w:spacing w:val="-6"/>
          <w:sz w:val="20"/>
        </w:rPr>
        <w:t xml:space="preserve"> </w:t>
      </w:r>
      <w:r>
        <w:rPr>
          <w:sz w:val="20"/>
        </w:rPr>
        <w:t>uniform</w:t>
      </w:r>
      <w:r>
        <w:rPr>
          <w:spacing w:val="-4"/>
          <w:sz w:val="20"/>
        </w:rPr>
        <w:t xml:space="preserve"> </w:t>
      </w:r>
      <w:r>
        <w:rPr>
          <w:sz w:val="20"/>
        </w:rPr>
        <w:t>national</w:t>
      </w:r>
      <w:r>
        <w:rPr>
          <w:spacing w:val="-3"/>
          <w:sz w:val="20"/>
        </w:rPr>
        <w:t xml:space="preserve"> </w:t>
      </w:r>
      <w:r>
        <w:rPr>
          <w:sz w:val="20"/>
        </w:rPr>
        <w:t>information</w:t>
      </w:r>
      <w:r>
        <w:rPr>
          <w:spacing w:val="-4"/>
          <w:sz w:val="20"/>
        </w:rPr>
        <w:t xml:space="preserve"> </w:t>
      </w:r>
      <w:r>
        <w:rPr>
          <w:sz w:val="20"/>
        </w:rPr>
        <w:t>security</w:t>
      </w:r>
      <w:r>
        <w:rPr>
          <w:spacing w:val="-4"/>
          <w:sz w:val="20"/>
        </w:rPr>
        <w:t xml:space="preserve"> </w:t>
      </w:r>
      <w:r>
        <w:rPr>
          <w:sz w:val="20"/>
        </w:rPr>
        <w:t>standards</w:t>
      </w:r>
      <w:r>
        <w:rPr>
          <w:spacing w:val="-3"/>
          <w:sz w:val="20"/>
        </w:rPr>
        <w:t xml:space="preserve"> </w:t>
      </w:r>
      <w:r>
        <w:rPr>
          <w:sz w:val="20"/>
        </w:rPr>
        <w:t>for</w:t>
      </w:r>
      <w:r>
        <w:rPr>
          <w:spacing w:val="-4"/>
          <w:sz w:val="20"/>
        </w:rPr>
        <w:t xml:space="preserve"> </w:t>
      </w:r>
      <w:r>
        <w:rPr>
          <w:sz w:val="20"/>
        </w:rPr>
        <w:t>legal</w:t>
      </w:r>
      <w:r>
        <w:rPr>
          <w:spacing w:val="-3"/>
          <w:sz w:val="20"/>
        </w:rPr>
        <w:t xml:space="preserve"> </w:t>
      </w:r>
      <w:r>
        <w:rPr>
          <w:spacing w:val="-2"/>
          <w:sz w:val="20"/>
        </w:rPr>
        <w:t>firms.</w:t>
      </w:r>
    </w:p>
    <w:p w14:paraId="75B247AD" w14:textId="77777777" w:rsidR="00AC6F3C" w:rsidRDefault="00570E88">
      <w:pPr>
        <w:pStyle w:val="BodyText"/>
        <w:spacing w:before="180" w:line="249" w:lineRule="auto"/>
        <w:ind w:left="815" w:right="857"/>
      </w:pPr>
      <w:r>
        <w:t>Unlike resources that solely provide “awareness”, the QLS offers a broad framework of materials to</w:t>
      </w:r>
      <w:r>
        <w:rPr>
          <w:spacing w:val="-2"/>
        </w:rPr>
        <w:t xml:space="preserve"> </w:t>
      </w:r>
      <w:r>
        <w:t>help</w:t>
      </w:r>
      <w:r>
        <w:rPr>
          <w:spacing w:val="-1"/>
        </w:rPr>
        <w:t xml:space="preserve"> </w:t>
      </w:r>
      <w:r>
        <w:t>member</w:t>
      </w:r>
      <w:r>
        <w:rPr>
          <w:spacing w:val="-1"/>
        </w:rPr>
        <w:t xml:space="preserve"> </w:t>
      </w:r>
      <w:r>
        <w:t>firms</w:t>
      </w:r>
      <w:r>
        <w:rPr>
          <w:spacing w:val="-1"/>
        </w:rPr>
        <w:t xml:space="preserve"> </w:t>
      </w:r>
      <w:r>
        <w:t>across</w:t>
      </w:r>
      <w:r>
        <w:rPr>
          <w:spacing w:val="-1"/>
        </w:rPr>
        <w:t xml:space="preserve"> </w:t>
      </w:r>
      <w:r>
        <w:t>all</w:t>
      </w:r>
      <w:r>
        <w:rPr>
          <w:spacing w:val="-1"/>
        </w:rPr>
        <w:t xml:space="preserve"> </w:t>
      </w:r>
      <w:r>
        <w:t>sizes</w:t>
      </w:r>
      <w:r>
        <w:rPr>
          <w:spacing w:val="-1"/>
        </w:rPr>
        <w:t xml:space="preserve"> </w:t>
      </w:r>
      <w:r>
        <w:t>reduce</w:t>
      </w:r>
      <w:r>
        <w:rPr>
          <w:spacing w:val="-1"/>
        </w:rPr>
        <w:t xml:space="preserve"> </w:t>
      </w:r>
      <w:r>
        <w:t>the</w:t>
      </w:r>
      <w:r>
        <w:rPr>
          <w:spacing w:val="-2"/>
        </w:rPr>
        <w:t xml:space="preserve"> </w:t>
      </w:r>
      <w:r>
        <w:t>risk</w:t>
      </w:r>
      <w:r>
        <w:rPr>
          <w:spacing w:val="-1"/>
        </w:rPr>
        <w:t xml:space="preserve"> </w:t>
      </w:r>
      <w:r>
        <w:t>of</w:t>
      </w:r>
      <w:r>
        <w:rPr>
          <w:spacing w:val="-1"/>
        </w:rPr>
        <w:t xml:space="preserve"> </w:t>
      </w:r>
      <w:r>
        <w:t>data</w:t>
      </w:r>
      <w:r>
        <w:rPr>
          <w:spacing w:val="-1"/>
        </w:rPr>
        <w:t xml:space="preserve"> </w:t>
      </w:r>
      <w:r>
        <w:t>breaches.</w:t>
      </w:r>
      <w:r>
        <w:rPr>
          <w:spacing w:val="-13"/>
        </w:rPr>
        <w:t xml:space="preserve"> </w:t>
      </w:r>
      <w:r>
        <w:t>As</w:t>
      </w:r>
      <w:r>
        <w:rPr>
          <w:spacing w:val="-1"/>
        </w:rPr>
        <w:t xml:space="preserve"> </w:t>
      </w:r>
      <w:r>
        <w:t>of</w:t>
      </w:r>
      <w:r>
        <w:rPr>
          <w:spacing w:val="-1"/>
        </w:rPr>
        <w:t xml:space="preserve"> </w:t>
      </w:r>
      <w:r>
        <w:t>2022,</w:t>
      </w:r>
      <w:r>
        <w:rPr>
          <w:spacing w:val="-1"/>
        </w:rPr>
        <w:t xml:space="preserve"> </w:t>
      </w:r>
      <w:r>
        <w:t>we</w:t>
      </w:r>
      <w:r>
        <w:rPr>
          <w:spacing w:val="-1"/>
        </w:rPr>
        <w:t xml:space="preserve"> </w:t>
      </w:r>
      <w:r>
        <w:t>have</w:t>
      </w:r>
      <w:r>
        <w:rPr>
          <w:spacing w:val="-1"/>
        </w:rPr>
        <w:t xml:space="preserve"> </w:t>
      </w:r>
      <w:r>
        <w:rPr>
          <w:spacing w:val="-4"/>
        </w:rPr>
        <w:t>over</w:t>
      </w:r>
    </w:p>
    <w:p w14:paraId="5374C10A" w14:textId="77777777" w:rsidR="00AC6F3C" w:rsidRDefault="00570E88">
      <w:pPr>
        <w:pStyle w:val="BodyText"/>
        <w:spacing w:before="1" w:line="249" w:lineRule="auto"/>
        <w:ind w:left="815" w:right="468"/>
      </w:pPr>
      <w:r>
        <w:t>thirty</w:t>
      </w:r>
      <w:r>
        <w:rPr>
          <w:spacing w:val="-4"/>
        </w:rPr>
        <w:t xml:space="preserve"> </w:t>
      </w:r>
      <w:r>
        <w:t>separate</w:t>
      </w:r>
      <w:r>
        <w:rPr>
          <w:spacing w:val="-4"/>
        </w:rPr>
        <w:t xml:space="preserve"> </w:t>
      </w:r>
      <w:r>
        <w:t>tools</w:t>
      </w:r>
      <w:r>
        <w:rPr>
          <w:spacing w:val="-4"/>
        </w:rPr>
        <w:t xml:space="preserve"> </w:t>
      </w:r>
      <w:r>
        <w:t>and</w:t>
      </w:r>
      <w:r>
        <w:rPr>
          <w:spacing w:val="-4"/>
        </w:rPr>
        <w:t xml:space="preserve"> </w:t>
      </w:r>
      <w:r>
        <w:t>curated</w:t>
      </w:r>
      <w:r>
        <w:rPr>
          <w:spacing w:val="-4"/>
        </w:rPr>
        <w:t xml:space="preserve"> </w:t>
      </w:r>
      <w:r>
        <w:t>published</w:t>
      </w:r>
      <w:r>
        <w:rPr>
          <w:spacing w:val="-4"/>
        </w:rPr>
        <w:t xml:space="preserve"> </w:t>
      </w:r>
      <w:r>
        <w:t>resources</w:t>
      </w:r>
      <w:r>
        <w:rPr>
          <w:spacing w:val="-4"/>
        </w:rPr>
        <w:t xml:space="preserve"> </w:t>
      </w:r>
      <w:r>
        <w:t>to</w:t>
      </w:r>
      <w:r>
        <w:rPr>
          <w:spacing w:val="-4"/>
        </w:rPr>
        <w:t xml:space="preserve"> </w:t>
      </w:r>
      <w:r>
        <w:t>help</w:t>
      </w:r>
      <w:r>
        <w:rPr>
          <w:spacing w:val="-4"/>
        </w:rPr>
        <w:t xml:space="preserve"> </w:t>
      </w:r>
      <w:r>
        <w:t>firms</w:t>
      </w:r>
      <w:r>
        <w:rPr>
          <w:spacing w:val="-4"/>
        </w:rPr>
        <w:t xml:space="preserve"> </w:t>
      </w:r>
      <w:r>
        <w:t>implement</w:t>
      </w:r>
      <w:r>
        <w:rPr>
          <w:spacing w:val="-4"/>
        </w:rPr>
        <w:t xml:space="preserve"> </w:t>
      </w:r>
      <w:r>
        <w:t>effective</w:t>
      </w:r>
      <w:r>
        <w:rPr>
          <w:spacing w:val="-4"/>
        </w:rPr>
        <w:t xml:space="preserve"> </w:t>
      </w:r>
      <w:r>
        <w:t>cybersecurity measures. These resources are pragmatic, designed specifically for SME law practices, and offer guidance that is otherwise unavailable.</w:t>
      </w:r>
    </w:p>
    <w:p w14:paraId="411E8CF3" w14:textId="77777777" w:rsidR="00AC6F3C" w:rsidRDefault="00AC6F3C">
      <w:pPr>
        <w:pStyle w:val="BodyText"/>
        <w:spacing w:before="3"/>
        <w:rPr>
          <w:sz w:val="31"/>
        </w:rPr>
      </w:pPr>
    </w:p>
    <w:p w14:paraId="4C122AD5" w14:textId="77777777" w:rsidR="00AC6F3C" w:rsidRDefault="00570E88">
      <w:pPr>
        <w:ind w:left="815"/>
        <w:rPr>
          <w:b/>
          <w:sz w:val="26"/>
        </w:rPr>
      </w:pPr>
      <w:r>
        <w:rPr>
          <w:b/>
          <w:spacing w:val="-2"/>
          <w:sz w:val="26"/>
        </w:rPr>
        <w:t>Cyber-insurance</w:t>
      </w:r>
    </w:p>
    <w:p w14:paraId="7001FE13" w14:textId="77777777" w:rsidR="00AC6F3C" w:rsidRDefault="00570E88">
      <w:pPr>
        <w:pStyle w:val="BodyText"/>
        <w:spacing w:before="167" w:line="249" w:lineRule="auto"/>
        <w:ind w:left="815"/>
      </w:pPr>
      <w:r>
        <w:t>The</w:t>
      </w:r>
      <w:r>
        <w:rPr>
          <w:spacing w:val="-3"/>
        </w:rPr>
        <w:t xml:space="preserve"> </w:t>
      </w:r>
      <w:r>
        <w:t>policy</w:t>
      </w:r>
      <w:r>
        <w:rPr>
          <w:spacing w:val="-3"/>
        </w:rPr>
        <w:t xml:space="preserve"> </w:t>
      </w:r>
      <w:r>
        <w:t>provides</w:t>
      </w:r>
      <w:r>
        <w:rPr>
          <w:spacing w:val="-3"/>
        </w:rPr>
        <w:t xml:space="preserve"> </w:t>
      </w:r>
      <w:r>
        <w:t>each</w:t>
      </w:r>
      <w:r>
        <w:rPr>
          <w:spacing w:val="-3"/>
        </w:rPr>
        <w:t xml:space="preserve"> </w:t>
      </w:r>
      <w:r>
        <w:t>QLS</w:t>
      </w:r>
      <w:r>
        <w:rPr>
          <w:spacing w:val="-3"/>
        </w:rPr>
        <w:t xml:space="preserve"> </w:t>
      </w:r>
      <w:r>
        <w:t>Member</w:t>
      </w:r>
      <w:r>
        <w:rPr>
          <w:spacing w:val="-3"/>
        </w:rPr>
        <w:t xml:space="preserve"> </w:t>
      </w:r>
      <w:r>
        <w:t>Firm</w:t>
      </w:r>
      <w:r>
        <w:rPr>
          <w:spacing w:val="-3"/>
        </w:rPr>
        <w:t xml:space="preserve"> </w:t>
      </w:r>
      <w:r>
        <w:t>incident</w:t>
      </w:r>
      <w:r>
        <w:rPr>
          <w:spacing w:val="-3"/>
        </w:rPr>
        <w:t xml:space="preserve"> </w:t>
      </w:r>
      <w:r>
        <w:t>cover</w:t>
      </w:r>
      <w:r>
        <w:rPr>
          <w:spacing w:val="-3"/>
        </w:rPr>
        <w:t xml:space="preserve"> </w:t>
      </w:r>
      <w:r>
        <w:t>of</w:t>
      </w:r>
      <w:r>
        <w:rPr>
          <w:spacing w:val="-3"/>
        </w:rPr>
        <w:t xml:space="preserve"> </w:t>
      </w:r>
      <w:r>
        <w:t>$50,000</w:t>
      </w:r>
      <w:r>
        <w:rPr>
          <w:spacing w:val="-3"/>
        </w:rPr>
        <w:t xml:space="preserve"> </w:t>
      </w:r>
      <w:r>
        <w:t>underwritten</w:t>
      </w:r>
      <w:r>
        <w:rPr>
          <w:spacing w:val="-3"/>
        </w:rPr>
        <w:t xml:space="preserve"> </w:t>
      </w:r>
      <w:r>
        <w:t>by</w:t>
      </w:r>
      <w:r>
        <w:rPr>
          <w:spacing w:val="-3"/>
        </w:rPr>
        <w:t xml:space="preserve"> </w:t>
      </w:r>
      <w:r>
        <w:t>Chubb.</w:t>
      </w:r>
      <w:r>
        <w:rPr>
          <w:spacing w:val="-7"/>
        </w:rPr>
        <w:t xml:space="preserve"> </w:t>
      </w:r>
      <w:r>
        <w:t>This insurance complements the Lexon third-party professional indemnity policy.</w:t>
      </w:r>
    </w:p>
    <w:p w14:paraId="177D10CC" w14:textId="77777777" w:rsidR="00AC6F3C" w:rsidRDefault="00570E88">
      <w:pPr>
        <w:pStyle w:val="BodyText"/>
        <w:spacing w:before="172" w:line="249" w:lineRule="auto"/>
        <w:ind w:left="815"/>
      </w:pPr>
      <w:r>
        <w:t>Any</w:t>
      </w:r>
      <w:r>
        <w:rPr>
          <w:spacing w:val="-3"/>
        </w:rPr>
        <w:t xml:space="preserve"> </w:t>
      </w:r>
      <w:r>
        <w:t>QLS</w:t>
      </w:r>
      <w:r>
        <w:rPr>
          <w:spacing w:val="-3"/>
        </w:rPr>
        <w:t xml:space="preserve"> </w:t>
      </w:r>
      <w:r>
        <w:t>Member</w:t>
      </w:r>
      <w:r>
        <w:rPr>
          <w:spacing w:val="-3"/>
        </w:rPr>
        <w:t xml:space="preserve"> </w:t>
      </w:r>
      <w:r>
        <w:t>Firm</w:t>
      </w:r>
      <w:r>
        <w:rPr>
          <w:spacing w:val="-3"/>
        </w:rPr>
        <w:t xml:space="preserve"> </w:t>
      </w:r>
      <w:r>
        <w:t>that</w:t>
      </w:r>
      <w:r>
        <w:rPr>
          <w:spacing w:val="-3"/>
        </w:rPr>
        <w:t xml:space="preserve"> </w:t>
      </w:r>
      <w:r>
        <w:t>suspects</w:t>
      </w:r>
      <w:r>
        <w:rPr>
          <w:spacing w:val="-3"/>
        </w:rPr>
        <w:t xml:space="preserve"> </w:t>
      </w:r>
      <w:r>
        <w:t>or</w:t>
      </w:r>
      <w:r>
        <w:rPr>
          <w:spacing w:val="-3"/>
        </w:rPr>
        <w:t xml:space="preserve"> </w:t>
      </w:r>
      <w:r>
        <w:t>experiences</w:t>
      </w:r>
      <w:r>
        <w:rPr>
          <w:spacing w:val="-3"/>
        </w:rPr>
        <w:t xml:space="preserve"> </w:t>
      </w:r>
      <w:r>
        <w:t>data</w:t>
      </w:r>
      <w:r>
        <w:rPr>
          <w:spacing w:val="-3"/>
        </w:rPr>
        <w:t xml:space="preserve"> </w:t>
      </w:r>
      <w:r>
        <w:t>loss</w:t>
      </w:r>
      <w:r>
        <w:rPr>
          <w:spacing w:val="-3"/>
        </w:rPr>
        <w:t xml:space="preserve"> </w:t>
      </w:r>
      <w:r>
        <w:t>can</w:t>
      </w:r>
      <w:r>
        <w:rPr>
          <w:spacing w:val="-3"/>
        </w:rPr>
        <w:t xml:space="preserve"> </w:t>
      </w:r>
      <w:r>
        <w:t>access</w:t>
      </w:r>
      <w:r>
        <w:rPr>
          <w:spacing w:val="-3"/>
        </w:rPr>
        <w:t xml:space="preserve"> </w:t>
      </w:r>
      <w:r>
        <w:t>top</w:t>
      </w:r>
      <w:r>
        <w:rPr>
          <w:spacing w:val="-3"/>
        </w:rPr>
        <w:t xml:space="preserve"> </w:t>
      </w:r>
      <w:r>
        <w:t>quality</w:t>
      </w:r>
      <w:r>
        <w:rPr>
          <w:spacing w:val="-3"/>
        </w:rPr>
        <w:t xml:space="preserve"> </w:t>
      </w:r>
      <w:r>
        <w:t>expert</w:t>
      </w:r>
      <w:r>
        <w:rPr>
          <w:spacing w:val="-3"/>
        </w:rPr>
        <w:t xml:space="preserve"> </w:t>
      </w:r>
      <w:r>
        <w:t>assistance, which includes:</w:t>
      </w:r>
    </w:p>
    <w:p w14:paraId="33FA192F" w14:textId="77777777" w:rsidR="00AC6F3C" w:rsidRDefault="00570E88">
      <w:pPr>
        <w:pStyle w:val="ListParagraph"/>
        <w:numPr>
          <w:ilvl w:val="2"/>
          <w:numId w:val="49"/>
        </w:numPr>
        <w:tabs>
          <w:tab w:val="left" w:pos="1155"/>
        </w:tabs>
        <w:spacing w:before="171"/>
        <w:ind w:hanging="340"/>
        <w:rPr>
          <w:sz w:val="20"/>
        </w:rPr>
      </w:pPr>
      <w:r>
        <w:rPr>
          <w:sz w:val="20"/>
        </w:rPr>
        <w:t>Immediate</w:t>
      </w:r>
      <w:r>
        <w:rPr>
          <w:spacing w:val="-4"/>
          <w:sz w:val="20"/>
        </w:rPr>
        <w:t xml:space="preserve"> </w:t>
      </w:r>
      <w:r>
        <w:rPr>
          <w:sz w:val="20"/>
        </w:rPr>
        <w:t>incident</w:t>
      </w:r>
      <w:r>
        <w:rPr>
          <w:spacing w:val="-4"/>
          <w:sz w:val="20"/>
        </w:rPr>
        <w:t xml:space="preserve"> </w:t>
      </w:r>
      <w:r>
        <w:rPr>
          <w:spacing w:val="-2"/>
          <w:sz w:val="20"/>
        </w:rPr>
        <w:t>analysis</w:t>
      </w:r>
    </w:p>
    <w:p w14:paraId="1CA4E6F5" w14:textId="77777777" w:rsidR="00AC6F3C" w:rsidRDefault="00570E88">
      <w:pPr>
        <w:pStyle w:val="ListParagraph"/>
        <w:numPr>
          <w:ilvl w:val="2"/>
          <w:numId w:val="49"/>
        </w:numPr>
        <w:tabs>
          <w:tab w:val="left" w:pos="1155"/>
        </w:tabs>
        <w:ind w:hanging="340"/>
        <w:rPr>
          <w:sz w:val="20"/>
        </w:rPr>
      </w:pPr>
      <w:r>
        <w:rPr>
          <w:sz w:val="20"/>
        </w:rPr>
        <w:t>Detailed</w:t>
      </w:r>
      <w:r>
        <w:rPr>
          <w:spacing w:val="-4"/>
          <w:sz w:val="20"/>
        </w:rPr>
        <w:t xml:space="preserve"> </w:t>
      </w:r>
      <w:r>
        <w:rPr>
          <w:sz w:val="20"/>
        </w:rPr>
        <w:t>forensic</w:t>
      </w:r>
      <w:r>
        <w:rPr>
          <w:spacing w:val="-3"/>
          <w:sz w:val="20"/>
        </w:rPr>
        <w:t xml:space="preserve"> </w:t>
      </w:r>
      <w:r>
        <w:rPr>
          <w:spacing w:val="-2"/>
          <w:sz w:val="20"/>
        </w:rPr>
        <w:t>investigation</w:t>
      </w:r>
    </w:p>
    <w:p w14:paraId="7D3D1865" w14:textId="77777777" w:rsidR="00AC6F3C" w:rsidRDefault="00570E88">
      <w:pPr>
        <w:pStyle w:val="ListParagraph"/>
        <w:numPr>
          <w:ilvl w:val="2"/>
          <w:numId w:val="49"/>
        </w:numPr>
        <w:tabs>
          <w:tab w:val="left" w:pos="1155"/>
        </w:tabs>
        <w:ind w:hanging="340"/>
        <w:rPr>
          <w:sz w:val="20"/>
        </w:rPr>
      </w:pPr>
      <w:r>
        <w:rPr>
          <w:sz w:val="20"/>
        </w:rPr>
        <w:t>Ransom</w:t>
      </w:r>
      <w:r>
        <w:rPr>
          <w:spacing w:val="-1"/>
          <w:sz w:val="20"/>
        </w:rPr>
        <w:t xml:space="preserve"> </w:t>
      </w:r>
      <w:r>
        <w:rPr>
          <w:sz w:val="20"/>
        </w:rPr>
        <w:t>negotiations</w:t>
      </w:r>
      <w:r>
        <w:rPr>
          <w:spacing w:val="-1"/>
          <w:sz w:val="20"/>
        </w:rPr>
        <w:t xml:space="preserve"> </w:t>
      </w:r>
      <w:r>
        <w:rPr>
          <w:sz w:val="20"/>
        </w:rPr>
        <w:t>(and payment,</w:t>
      </w:r>
      <w:r>
        <w:rPr>
          <w:spacing w:val="-1"/>
          <w:sz w:val="20"/>
        </w:rPr>
        <w:t xml:space="preserve"> </w:t>
      </w:r>
      <w:r>
        <w:rPr>
          <w:sz w:val="20"/>
        </w:rPr>
        <w:t xml:space="preserve">if </w:t>
      </w:r>
      <w:r>
        <w:rPr>
          <w:spacing w:val="-2"/>
          <w:sz w:val="20"/>
        </w:rPr>
        <w:t>necessary)</w:t>
      </w:r>
    </w:p>
    <w:p w14:paraId="2BDDE144" w14:textId="77777777" w:rsidR="00AC6F3C" w:rsidRDefault="00570E88">
      <w:pPr>
        <w:pStyle w:val="ListParagraph"/>
        <w:numPr>
          <w:ilvl w:val="2"/>
          <w:numId w:val="49"/>
        </w:numPr>
        <w:tabs>
          <w:tab w:val="left" w:pos="1155"/>
        </w:tabs>
        <w:ind w:hanging="340"/>
        <w:rPr>
          <w:sz w:val="20"/>
        </w:rPr>
      </w:pPr>
      <w:r>
        <w:rPr>
          <w:sz w:val="20"/>
        </w:rPr>
        <w:t>Data</w:t>
      </w:r>
      <w:r>
        <w:rPr>
          <w:spacing w:val="-3"/>
          <w:sz w:val="20"/>
        </w:rPr>
        <w:t xml:space="preserve"> </w:t>
      </w:r>
      <w:r>
        <w:rPr>
          <w:sz w:val="20"/>
        </w:rPr>
        <w:t>loss</w:t>
      </w:r>
      <w:r>
        <w:rPr>
          <w:spacing w:val="-3"/>
          <w:sz w:val="20"/>
        </w:rPr>
        <w:t xml:space="preserve"> </w:t>
      </w:r>
      <w:r>
        <w:rPr>
          <w:sz w:val="20"/>
        </w:rPr>
        <w:t>evaluation</w:t>
      </w:r>
      <w:r>
        <w:rPr>
          <w:spacing w:val="-3"/>
          <w:sz w:val="20"/>
        </w:rPr>
        <w:t xml:space="preserve"> </w:t>
      </w:r>
      <w:r>
        <w:rPr>
          <w:sz w:val="20"/>
        </w:rPr>
        <w:t>and</w:t>
      </w:r>
      <w:r>
        <w:rPr>
          <w:spacing w:val="-3"/>
          <w:sz w:val="20"/>
        </w:rPr>
        <w:t xml:space="preserve"> </w:t>
      </w:r>
      <w:r>
        <w:rPr>
          <w:sz w:val="20"/>
        </w:rPr>
        <w:t>stakeholder</w:t>
      </w:r>
      <w:r>
        <w:rPr>
          <w:spacing w:val="-2"/>
          <w:sz w:val="20"/>
        </w:rPr>
        <w:t xml:space="preserve"> communication</w:t>
      </w:r>
    </w:p>
    <w:p w14:paraId="7A17A9DE" w14:textId="77777777" w:rsidR="00AC6F3C" w:rsidRDefault="00570E88">
      <w:pPr>
        <w:pStyle w:val="ListParagraph"/>
        <w:numPr>
          <w:ilvl w:val="2"/>
          <w:numId w:val="49"/>
        </w:numPr>
        <w:tabs>
          <w:tab w:val="left" w:pos="1155"/>
        </w:tabs>
        <w:spacing w:before="181"/>
        <w:ind w:hanging="340"/>
        <w:rPr>
          <w:sz w:val="20"/>
        </w:rPr>
      </w:pPr>
      <w:r>
        <w:rPr>
          <w:sz w:val="20"/>
        </w:rPr>
        <w:t>Network</w:t>
      </w:r>
      <w:r>
        <w:rPr>
          <w:spacing w:val="-3"/>
          <w:sz w:val="20"/>
        </w:rPr>
        <w:t xml:space="preserve"> </w:t>
      </w:r>
      <w:r>
        <w:rPr>
          <w:sz w:val="20"/>
        </w:rPr>
        <w:t>and</w:t>
      </w:r>
      <w:r>
        <w:rPr>
          <w:spacing w:val="-3"/>
          <w:sz w:val="20"/>
        </w:rPr>
        <w:t xml:space="preserve"> </w:t>
      </w:r>
      <w:r>
        <w:rPr>
          <w:sz w:val="20"/>
        </w:rPr>
        <w:t>database</w:t>
      </w:r>
      <w:r>
        <w:rPr>
          <w:spacing w:val="-3"/>
          <w:sz w:val="20"/>
        </w:rPr>
        <w:t xml:space="preserve"> </w:t>
      </w:r>
      <w:r>
        <w:rPr>
          <w:spacing w:val="-2"/>
          <w:sz w:val="20"/>
        </w:rPr>
        <w:t>restoration</w:t>
      </w:r>
    </w:p>
    <w:p w14:paraId="78DCA461" w14:textId="77777777" w:rsidR="00AC6F3C" w:rsidRDefault="00570E88">
      <w:pPr>
        <w:pStyle w:val="ListParagraph"/>
        <w:numPr>
          <w:ilvl w:val="2"/>
          <w:numId w:val="49"/>
        </w:numPr>
        <w:tabs>
          <w:tab w:val="left" w:pos="1155"/>
        </w:tabs>
        <w:ind w:hanging="340"/>
        <w:rPr>
          <w:sz w:val="20"/>
        </w:rPr>
      </w:pPr>
      <w:r>
        <w:rPr>
          <w:sz w:val="20"/>
        </w:rPr>
        <w:t>Regulatory</w:t>
      </w:r>
      <w:r>
        <w:rPr>
          <w:spacing w:val="-5"/>
          <w:sz w:val="20"/>
        </w:rPr>
        <w:t xml:space="preserve"> </w:t>
      </w:r>
      <w:r>
        <w:rPr>
          <w:sz w:val="20"/>
        </w:rPr>
        <w:t>compliance</w:t>
      </w:r>
      <w:r>
        <w:rPr>
          <w:spacing w:val="-4"/>
          <w:sz w:val="20"/>
        </w:rPr>
        <w:t xml:space="preserve"> </w:t>
      </w:r>
      <w:r>
        <w:rPr>
          <w:spacing w:val="-2"/>
          <w:sz w:val="20"/>
        </w:rPr>
        <w:t>guidance.</w:t>
      </w:r>
    </w:p>
    <w:p w14:paraId="439B0B75" w14:textId="77777777" w:rsidR="00AC6F3C" w:rsidRDefault="00570E88">
      <w:pPr>
        <w:pStyle w:val="BodyText"/>
        <w:spacing w:before="180"/>
        <w:ind w:left="815"/>
      </w:pPr>
      <w:r>
        <w:rPr>
          <w:spacing w:val="-4"/>
        </w:rPr>
        <w:t>Swift,</w:t>
      </w:r>
      <w:r>
        <w:rPr>
          <w:spacing w:val="-3"/>
        </w:rPr>
        <w:t xml:space="preserve"> </w:t>
      </w:r>
      <w:r>
        <w:rPr>
          <w:spacing w:val="-4"/>
        </w:rPr>
        <w:t>expert</w:t>
      </w:r>
      <w:r>
        <w:rPr>
          <w:spacing w:val="-2"/>
        </w:rPr>
        <w:t xml:space="preserve"> </w:t>
      </w:r>
      <w:r>
        <w:rPr>
          <w:spacing w:val="-4"/>
        </w:rPr>
        <w:t>responses</w:t>
      </w:r>
      <w:r>
        <w:rPr>
          <w:spacing w:val="-2"/>
        </w:rPr>
        <w:t xml:space="preserve"> </w:t>
      </w:r>
      <w:r>
        <w:rPr>
          <w:spacing w:val="-4"/>
        </w:rPr>
        <w:t>significantly</w:t>
      </w:r>
      <w:r>
        <w:rPr>
          <w:spacing w:val="-2"/>
        </w:rPr>
        <w:t xml:space="preserve"> </w:t>
      </w:r>
      <w:r>
        <w:rPr>
          <w:spacing w:val="-4"/>
        </w:rPr>
        <w:t>mitigate</w:t>
      </w:r>
      <w:r>
        <w:rPr>
          <w:spacing w:val="-3"/>
        </w:rPr>
        <w:t xml:space="preserve"> </w:t>
      </w:r>
      <w:r>
        <w:rPr>
          <w:spacing w:val="-4"/>
        </w:rPr>
        <w:t>the</w:t>
      </w:r>
      <w:r>
        <w:rPr>
          <w:spacing w:val="-3"/>
        </w:rPr>
        <w:t xml:space="preserve"> </w:t>
      </w:r>
      <w:r>
        <w:rPr>
          <w:spacing w:val="-4"/>
        </w:rPr>
        <w:t>impact</w:t>
      </w:r>
      <w:r>
        <w:rPr>
          <w:spacing w:val="-2"/>
        </w:rPr>
        <w:t xml:space="preserve"> </w:t>
      </w:r>
      <w:r>
        <w:rPr>
          <w:spacing w:val="-4"/>
        </w:rPr>
        <w:t>on</w:t>
      </w:r>
      <w:r>
        <w:rPr>
          <w:spacing w:val="-3"/>
        </w:rPr>
        <w:t xml:space="preserve"> </w:t>
      </w:r>
      <w:r>
        <w:rPr>
          <w:spacing w:val="-4"/>
        </w:rPr>
        <w:t>clients</w:t>
      </w:r>
      <w:r>
        <w:rPr>
          <w:spacing w:val="-2"/>
        </w:rPr>
        <w:t xml:space="preserve"> </w:t>
      </w:r>
      <w:r>
        <w:rPr>
          <w:spacing w:val="-4"/>
        </w:rPr>
        <w:t>and</w:t>
      </w:r>
      <w:r>
        <w:rPr>
          <w:spacing w:val="-3"/>
        </w:rPr>
        <w:t xml:space="preserve"> </w:t>
      </w:r>
      <w:r>
        <w:rPr>
          <w:spacing w:val="-4"/>
        </w:rPr>
        <w:t>member</w:t>
      </w:r>
      <w:r>
        <w:rPr>
          <w:spacing w:val="-2"/>
        </w:rPr>
        <w:t xml:space="preserve"> </w:t>
      </w:r>
      <w:r>
        <w:rPr>
          <w:spacing w:val="-4"/>
        </w:rPr>
        <w:t>firms</w:t>
      </w:r>
      <w:r>
        <w:rPr>
          <w:spacing w:val="-2"/>
        </w:rPr>
        <w:t xml:space="preserve"> </w:t>
      </w:r>
      <w:r>
        <w:rPr>
          <w:spacing w:val="-4"/>
        </w:rPr>
        <w:t>during serious</w:t>
      </w:r>
      <w:r>
        <w:rPr>
          <w:spacing w:val="-2"/>
        </w:rPr>
        <w:t xml:space="preserve"> </w:t>
      </w:r>
      <w:r>
        <w:rPr>
          <w:spacing w:val="-4"/>
        </w:rPr>
        <w:t>incidents.</w:t>
      </w:r>
    </w:p>
    <w:p w14:paraId="2E1368D6" w14:textId="77777777" w:rsidR="00AC6F3C" w:rsidRDefault="00AC6F3C">
      <w:pPr>
        <w:sectPr w:rsidR="00AC6F3C">
          <w:headerReference w:type="default" r:id="rId130"/>
          <w:footerReference w:type="default" r:id="rId131"/>
          <w:pgSz w:w="11910" w:h="16840"/>
          <w:pgMar w:top="1120" w:right="1160" w:bottom="520" w:left="460" w:header="0" w:footer="336" w:gutter="0"/>
          <w:cols w:space="720"/>
        </w:sectPr>
      </w:pPr>
    </w:p>
    <w:p w14:paraId="39A9B1B5" w14:textId="77777777" w:rsidR="00AC6F3C" w:rsidRDefault="00570E88">
      <w:pPr>
        <w:spacing w:before="63"/>
        <w:ind w:left="815"/>
        <w:rPr>
          <w:b/>
          <w:sz w:val="26"/>
        </w:rPr>
      </w:pPr>
      <w:r>
        <w:rPr>
          <w:b/>
          <w:sz w:val="26"/>
        </w:rPr>
        <w:lastRenderedPageBreak/>
        <w:t xml:space="preserve">QLS research </w:t>
      </w:r>
      <w:r>
        <w:rPr>
          <w:b/>
          <w:spacing w:val="-2"/>
          <w:sz w:val="26"/>
        </w:rPr>
        <w:t>projects</w:t>
      </w:r>
    </w:p>
    <w:p w14:paraId="3E135009" w14:textId="77777777" w:rsidR="00AC6F3C" w:rsidRDefault="00570E88">
      <w:pPr>
        <w:pStyle w:val="BodyText"/>
        <w:spacing w:before="167" w:line="249" w:lineRule="auto"/>
        <w:ind w:left="815" w:right="112"/>
      </w:pPr>
      <w:r>
        <w:t>Membership research plays a vital role in helping QLS uncover the needs of the legal profession. The results from membership surveys ensure we are able to best guide the legal profession on facing our future</w:t>
      </w:r>
      <w:r>
        <w:rPr>
          <w:spacing w:val="-3"/>
        </w:rPr>
        <w:t xml:space="preserve"> </w:t>
      </w:r>
      <w:r>
        <w:t>challenges</w:t>
      </w:r>
      <w:r>
        <w:rPr>
          <w:spacing w:val="-3"/>
        </w:rPr>
        <w:t xml:space="preserve"> </w:t>
      </w:r>
      <w:r>
        <w:t>along</w:t>
      </w:r>
      <w:r>
        <w:rPr>
          <w:spacing w:val="-3"/>
        </w:rPr>
        <w:t xml:space="preserve"> </w:t>
      </w:r>
      <w:r>
        <w:t>with</w:t>
      </w:r>
      <w:r>
        <w:rPr>
          <w:spacing w:val="-3"/>
        </w:rPr>
        <w:t xml:space="preserve"> </w:t>
      </w:r>
      <w:r>
        <w:t>enabling</w:t>
      </w:r>
      <w:r>
        <w:rPr>
          <w:spacing w:val="-3"/>
        </w:rPr>
        <w:t xml:space="preserve"> </w:t>
      </w:r>
      <w:r>
        <w:t>us</w:t>
      </w:r>
      <w:r>
        <w:rPr>
          <w:spacing w:val="-3"/>
        </w:rPr>
        <w:t xml:space="preserve"> </w:t>
      </w:r>
      <w:r>
        <w:t>to</w:t>
      </w:r>
      <w:r>
        <w:rPr>
          <w:spacing w:val="-3"/>
        </w:rPr>
        <w:t xml:space="preserve"> </w:t>
      </w:r>
      <w:r>
        <w:t>develop</w:t>
      </w:r>
      <w:r>
        <w:rPr>
          <w:spacing w:val="-3"/>
        </w:rPr>
        <w:t xml:space="preserve"> </w:t>
      </w:r>
      <w:r>
        <w:t>the</w:t>
      </w:r>
      <w:r>
        <w:rPr>
          <w:spacing w:val="-3"/>
        </w:rPr>
        <w:t xml:space="preserve"> </w:t>
      </w:r>
      <w:r>
        <w:t>correct</w:t>
      </w:r>
      <w:r>
        <w:rPr>
          <w:spacing w:val="-3"/>
        </w:rPr>
        <w:t xml:space="preserve"> </w:t>
      </w:r>
      <w:r>
        <w:t>strategies,</w:t>
      </w:r>
      <w:r>
        <w:rPr>
          <w:spacing w:val="-3"/>
        </w:rPr>
        <w:t xml:space="preserve"> </w:t>
      </w:r>
      <w:r>
        <w:t>products</w:t>
      </w:r>
      <w:r>
        <w:rPr>
          <w:spacing w:val="-3"/>
        </w:rPr>
        <w:t xml:space="preserve"> </w:t>
      </w:r>
      <w:r>
        <w:t>and</w:t>
      </w:r>
      <w:r>
        <w:rPr>
          <w:spacing w:val="-3"/>
        </w:rPr>
        <w:t xml:space="preserve"> </w:t>
      </w:r>
      <w:r>
        <w:t>services</w:t>
      </w:r>
      <w:r>
        <w:rPr>
          <w:spacing w:val="-3"/>
        </w:rPr>
        <w:t xml:space="preserve"> </w:t>
      </w:r>
      <w:r>
        <w:t>to</w:t>
      </w:r>
      <w:r>
        <w:rPr>
          <w:spacing w:val="-3"/>
        </w:rPr>
        <w:t xml:space="preserve"> </w:t>
      </w:r>
      <w:r>
        <w:t>assist.</w:t>
      </w:r>
    </w:p>
    <w:p w14:paraId="05F23699" w14:textId="77777777" w:rsidR="00AC6F3C" w:rsidRDefault="00570E88">
      <w:pPr>
        <w:pStyle w:val="BodyText"/>
        <w:spacing w:before="173" w:line="249" w:lineRule="auto"/>
        <w:ind w:left="815"/>
      </w:pPr>
      <w:r>
        <w:t>The results of partnered member research became available during this financial year. These research projects</w:t>
      </w:r>
      <w:r>
        <w:rPr>
          <w:spacing w:val="-2"/>
        </w:rPr>
        <w:t xml:space="preserve"> </w:t>
      </w:r>
      <w:r>
        <w:t>are</w:t>
      </w:r>
      <w:r>
        <w:rPr>
          <w:spacing w:val="-2"/>
        </w:rPr>
        <w:t xml:space="preserve"> </w:t>
      </w:r>
      <w:r>
        <w:t>designed</w:t>
      </w:r>
      <w:r>
        <w:rPr>
          <w:spacing w:val="-2"/>
        </w:rPr>
        <w:t xml:space="preserve"> </w:t>
      </w:r>
      <w:r>
        <w:t>to</w:t>
      </w:r>
      <w:r>
        <w:rPr>
          <w:spacing w:val="-2"/>
        </w:rPr>
        <w:t xml:space="preserve"> </w:t>
      </w:r>
      <w:r>
        <w:t>support</w:t>
      </w:r>
      <w:r>
        <w:rPr>
          <w:spacing w:val="-2"/>
        </w:rPr>
        <w:t xml:space="preserve"> </w:t>
      </w:r>
      <w:r>
        <w:t>the</w:t>
      </w:r>
      <w:r>
        <w:rPr>
          <w:spacing w:val="-2"/>
        </w:rPr>
        <w:t xml:space="preserve"> </w:t>
      </w:r>
      <w:r>
        <w:t>health</w:t>
      </w:r>
      <w:r>
        <w:rPr>
          <w:spacing w:val="-2"/>
        </w:rPr>
        <w:t xml:space="preserve"> </w:t>
      </w:r>
      <w:r>
        <w:t>and</w:t>
      </w:r>
      <w:r>
        <w:rPr>
          <w:spacing w:val="-2"/>
        </w:rPr>
        <w:t xml:space="preserve"> </w:t>
      </w:r>
      <w:r>
        <w:t>future</w:t>
      </w:r>
      <w:r>
        <w:rPr>
          <w:spacing w:val="-2"/>
        </w:rPr>
        <w:t xml:space="preserve"> </w:t>
      </w:r>
      <w:r>
        <w:t>success</w:t>
      </w:r>
      <w:r>
        <w:rPr>
          <w:spacing w:val="-2"/>
        </w:rPr>
        <w:t xml:space="preserve"> </w:t>
      </w:r>
      <w:r>
        <w:t>of</w:t>
      </w:r>
      <w:r>
        <w:rPr>
          <w:spacing w:val="-2"/>
        </w:rPr>
        <w:t xml:space="preserve"> </w:t>
      </w:r>
      <w:r>
        <w:t>the</w:t>
      </w:r>
      <w:r>
        <w:rPr>
          <w:spacing w:val="-2"/>
        </w:rPr>
        <w:t xml:space="preserve"> </w:t>
      </w:r>
      <w:r>
        <w:t>legal</w:t>
      </w:r>
      <w:r>
        <w:rPr>
          <w:spacing w:val="-2"/>
        </w:rPr>
        <w:t xml:space="preserve"> </w:t>
      </w:r>
      <w:r>
        <w:t>profession,</w:t>
      </w:r>
      <w:r>
        <w:rPr>
          <w:spacing w:val="-2"/>
        </w:rPr>
        <w:t xml:space="preserve"> </w:t>
      </w:r>
      <w:r>
        <w:t>in</w:t>
      </w:r>
      <w:r>
        <w:rPr>
          <w:spacing w:val="-2"/>
        </w:rPr>
        <w:t xml:space="preserve"> </w:t>
      </w:r>
      <w:r>
        <w:t>the</w:t>
      </w:r>
      <w:r>
        <w:rPr>
          <w:spacing w:val="-2"/>
        </w:rPr>
        <w:t xml:space="preserve"> </w:t>
      </w:r>
      <w:r>
        <w:t>midst</w:t>
      </w:r>
      <w:r>
        <w:rPr>
          <w:spacing w:val="-2"/>
        </w:rPr>
        <w:t xml:space="preserve"> </w:t>
      </w:r>
      <w:r>
        <w:t>of</w:t>
      </w:r>
      <w:r>
        <w:rPr>
          <w:spacing w:val="-2"/>
        </w:rPr>
        <w:t xml:space="preserve"> </w:t>
      </w:r>
      <w:r>
        <w:t>an ever changing landscape.</w:t>
      </w:r>
    </w:p>
    <w:p w14:paraId="38255071" w14:textId="77777777" w:rsidR="00AC6F3C" w:rsidRDefault="00AC6F3C">
      <w:pPr>
        <w:pStyle w:val="BodyText"/>
        <w:spacing w:before="9"/>
        <w:rPr>
          <w:sz w:val="22"/>
        </w:rPr>
      </w:pPr>
    </w:p>
    <w:p w14:paraId="0A8BD61F" w14:textId="77777777" w:rsidR="00AC6F3C" w:rsidRDefault="00570E88">
      <w:pPr>
        <w:pStyle w:val="Heading9"/>
        <w:spacing w:before="1"/>
      </w:pPr>
      <w:r>
        <w:t>Bond</w:t>
      </w:r>
      <w:r>
        <w:rPr>
          <w:spacing w:val="-3"/>
        </w:rPr>
        <w:t xml:space="preserve"> </w:t>
      </w:r>
      <w:r>
        <w:t>University</w:t>
      </w:r>
      <w:r>
        <w:rPr>
          <w:spacing w:val="-3"/>
        </w:rPr>
        <w:t xml:space="preserve"> </w:t>
      </w:r>
      <w:r>
        <w:t>–</w:t>
      </w:r>
      <w:r>
        <w:rPr>
          <w:spacing w:val="-3"/>
        </w:rPr>
        <w:t xml:space="preserve"> </w:t>
      </w:r>
      <w:r>
        <w:t>Job</w:t>
      </w:r>
      <w:r>
        <w:rPr>
          <w:spacing w:val="-3"/>
        </w:rPr>
        <w:t xml:space="preserve"> </w:t>
      </w:r>
      <w:r>
        <w:t>readiness</w:t>
      </w:r>
      <w:r>
        <w:rPr>
          <w:spacing w:val="-2"/>
        </w:rPr>
        <w:t xml:space="preserve"> </w:t>
      </w:r>
      <w:r>
        <w:t>of</w:t>
      </w:r>
      <w:r>
        <w:rPr>
          <w:spacing w:val="-3"/>
        </w:rPr>
        <w:t xml:space="preserve"> </w:t>
      </w:r>
      <w:r>
        <w:t>graduates</w:t>
      </w:r>
      <w:r>
        <w:rPr>
          <w:spacing w:val="-3"/>
        </w:rPr>
        <w:t xml:space="preserve"> </w:t>
      </w:r>
      <w:r>
        <w:t>and</w:t>
      </w:r>
      <w:r>
        <w:rPr>
          <w:spacing w:val="-3"/>
        </w:rPr>
        <w:t xml:space="preserve"> </w:t>
      </w:r>
      <w:r>
        <w:t>new</w:t>
      </w:r>
      <w:r>
        <w:rPr>
          <w:spacing w:val="-2"/>
        </w:rPr>
        <w:t xml:space="preserve"> lawyers</w:t>
      </w:r>
    </w:p>
    <w:p w14:paraId="31A21949" w14:textId="77777777" w:rsidR="00AC6F3C" w:rsidRDefault="00570E88">
      <w:pPr>
        <w:pStyle w:val="BodyText"/>
        <w:spacing w:before="176" w:line="249" w:lineRule="auto"/>
        <w:ind w:left="815" w:right="468"/>
      </w:pPr>
      <w:r>
        <w:t>Discussions with QLS members over recent years have suggested that, while some law practice employers</w:t>
      </w:r>
      <w:r>
        <w:rPr>
          <w:spacing w:val="-2"/>
        </w:rPr>
        <w:t xml:space="preserve"> </w:t>
      </w:r>
      <w:r>
        <w:t>are</w:t>
      </w:r>
      <w:r>
        <w:rPr>
          <w:spacing w:val="-2"/>
        </w:rPr>
        <w:t xml:space="preserve"> </w:t>
      </w:r>
      <w:r>
        <w:t>happy</w:t>
      </w:r>
      <w:r>
        <w:rPr>
          <w:spacing w:val="-2"/>
        </w:rPr>
        <w:t xml:space="preserve"> </w:t>
      </w:r>
      <w:r>
        <w:t>with</w:t>
      </w:r>
      <w:r>
        <w:rPr>
          <w:spacing w:val="-2"/>
        </w:rPr>
        <w:t xml:space="preserve"> </w:t>
      </w:r>
      <w:r>
        <w:t>the</w:t>
      </w:r>
      <w:r>
        <w:rPr>
          <w:spacing w:val="-2"/>
        </w:rPr>
        <w:t xml:space="preserve"> </w:t>
      </w:r>
      <w:r>
        <w:t>quality</w:t>
      </w:r>
      <w:r>
        <w:rPr>
          <w:spacing w:val="-2"/>
        </w:rPr>
        <w:t xml:space="preserve"> </w:t>
      </w:r>
      <w:r>
        <w:t>of</w:t>
      </w:r>
      <w:r>
        <w:rPr>
          <w:spacing w:val="-2"/>
        </w:rPr>
        <w:t xml:space="preserve"> </w:t>
      </w:r>
      <w:r>
        <w:t>entry</w:t>
      </w:r>
      <w:r>
        <w:rPr>
          <w:spacing w:val="-2"/>
        </w:rPr>
        <w:t xml:space="preserve"> </w:t>
      </w:r>
      <w:r>
        <w:t>level</w:t>
      </w:r>
      <w:r>
        <w:rPr>
          <w:spacing w:val="-2"/>
        </w:rPr>
        <w:t xml:space="preserve"> </w:t>
      </w:r>
      <w:r>
        <w:t>lawyers</w:t>
      </w:r>
      <w:r>
        <w:rPr>
          <w:spacing w:val="-2"/>
        </w:rPr>
        <w:t xml:space="preserve"> </w:t>
      </w:r>
      <w:r>
        <w:t>and</w:t>
      </w:r>
      <w:r>
        <w:rPr>
          <w:spacing w:val="-2"/>
        </w:rPr>
        <w:t xml:space="preserve"> </w:t>
      </w:r>
      <w:r>
        <w:t>the</w:t>
      </w:r>
      <w:r>
        <w:rPr>
          <w:spacing w:val="-2"/>
        </w:rPr>
        <w:t xml:space="preserve"> </w:t>
      </w:r>
      <w:r>
        <w:t>shorter</w:t>
      </w:r>
      <w:r>
        <w:rPr>
          <w:spacing w:val="-2"/>
        </w:rPr>
        <w:t xml:space="preserve"> </w:t>
      </w:r>
      <w:r>
        <w:t>period</w:t>
      </w:r>
      <w:r>
        <w:rPr>
          <w:spacing w:val="-2"/>
        </w:rPr>
        <w:t xml:space="preserve"> </w:t>
      </w:r>
      <w:r>
        <w:t>it</w:t>
      </w:r>
      <w:r>
        <w:rPr>
          <w:spacing w:val="-2"/>
        </w:rPr>
        <w:t xml:space="preserve"> </w:t>
      </w:r>
      <w:r>
        <w:t>takes</w:t>
      </w:r>
      <w:r>
        <w:rPr>
          <w:spacing w:val="-2"/>
        </w:rPr>
        <w:t xml:space="preserve"> </w:t>
      </w:r>
      <w:r>
        <w:t>to</w:t>
      </w:r>
      <w:r>
        <w:rPr>
          <w:spacing w:val="-2"/>
        </w:rPr>
        <w:t xml:space="preserve"> </w:t>
      </w:r>
      <w:r>
        <w:t>become eligible for admission (since the 2004 changes), many others lamented the demise of articles of clerkship and felt that graduates and newly admitted lawyers lacked many of the skills expected of entry level solicitors.</w:t>
      </w:r>
    </w:p>
    <w:p w14:paraId="32B0DDF0" w14:textId="77777777" w:rsidR="00AC6F3C" w:rsidRDefault="00570E88">
      <w:pPr>
        <w:pStyle w:val="BodyText"/>
        <w:spacing w:before="174" w:line="249" w:lineRule="auto"/>
        <w:ind w:left="815"/>
      </w:pPr>
      <w:r>
        <w:t>Given that it is now close to 20 years since the change in admission requirements in Queensland saw articles replaced with the practical legal training regime (and the less used supervised traineeship) and given</w:t>
      </w:r>
      <w:r>
        <w:rPr>
          <w:spacing w:val="-3"/>
        </w:rPr>
        <w:t xml:space="preserve"> </w:t>
      </w:r>
      <w:r>
        <w:t>the</w:t>
      </w:r>
      <w:r>
        <w:rPr>
          <w:spacing w:val="-3"/>
        </w:rPr>
        <w:t xml:space="preserve"> </w:t>
      </w:r>
      <w:r>
        <w:t>significant</w:t>
      </w:r>
      <w:r>
        <w:rPr>
          <w:spacing w:val="-3"/>
        </w:rPr>
        <w:t xml:space="preserve"> </w:t>
      </w:r>
      <w:r>
        <w:t>disruption</w:t>
      </w:r>
      <w:r>
        <w:rPr>
          <w:spacing w:val="-3"/>
        </w:rPr>
        <w:t xml:space="preserve"> </w:t>
      </w:r>
      <w:r>
        <w:t>faced</w:t>
      </w:r>
      <w:r>
        <w:rPr>
          <w:spacing w:val="-3"/>
        </w:rPr>
        <w:t xml:space="preserve"> </w:t>
      </w:r>
      <w:r>
        <w:t>by</w:t>
      </w:r>
      <w:r>
        <w:rPr>
          <w:spacing w:val="-3"/>
        </w:rPr>
        <w:t xml:space="preserve"> </w:t>
      </w:r>
      <w:r>
        <w:t>the</w:t>
      </w:r>
      <w:r>
        <w:rPr>
          <w:spacing w:val="-3"/>
        </w:rPr>
        <w:t xml:space="preserve"> </w:t>
      </w:r>
      <w:r>
        <w:t>profession,</w:t>
      </w:r>
      <w:r>
        <w:rPr>
          <w:spacing w:val="-3"/>
        </w:rPr>
        <w:t xml:space="preserve"> </w:t>
      </w:r>
      <w:r>
        <w:t>QLS</w:t>
      </w:r>
      <w:r>
        <w:rPr>
          <w:spacing w:val="-3"/>
        </w:rPr>
        <w:t xml:space="preserve"> </w:t>
      </w:r>
      <w:r>
        <w:t>decided</w:t>
      </w:r>
      <w:r>
        <w:rPr>
          <w:spacing w:val="-3"/>
        </w:rPr>
        <w:t xml:space="preserve"> </w:t>
      </w:r>
      <w:r>
        <w:t>to</w:t>
      </w:r>
      <w:r>
        <w:rPr>
          <w:spacing w:val="-3"/>
        </w:rPr>
        <w:t xml:space="preserve"> </w:t>
      </w:r>
      <w:r>
        <w:t>conduct</w:t>
      </w:r>
      <w:r>
        <w:rPr>
          <w:spacing w:val="-3"/>
        </w:rPr>
        <w:t xml:space="preserve"> </w:t>
      </w:r>
      <w:r>
        <w:t>formal</w:t>
      </w:r>
      <w:r>
        <w:rPr>
          <w:spacing w:val="-3"/>
        </w:rPr>
        <w:t xml:space="preserve"> </w:t>
      </w:r>
      <w:r>
        <w:t>research</w:t>
      </w:r>
      <w:r>
        <w:rPr>
          <w:spacing w:val="-3"/>
        </w:rPr>
        <w:t xml:space="preserve"> </w:t>
      </w:r>
      <w:r>
        <w:t>into</w:t>
      </w:r>
      <w:r>
        <w:rPr>
          <w:spacing w:val="-3"/>
        </w:rPr>
        <w:t xml:space="preserve"> </w:t>
      </w:r>
      <w:r>
        <w:t>the profession’s views of the job readiness of new lawyers.</w:t>
      </w:r>
    </w:p>
    <w:p w14:paraId="463F008D" w14:textId="77777777" w:rsidR="00AC6F3C" w:rsidRDefault="00570E88">
      <w:pPr>
        <w:pStyle w:val="BodyText"/>
        <w:spacing w:before="173" w:line="249" w:lineRule="auto"/>
        <w:ind w:left="815" w:right="234"/>
      </w:pPr>
      <w:r>
        <w:t>The research, conducted by the Bond University, was designed to gain insight into the job readiness of law</w:t>
      </w:r>
      <w:r>
        <w:rPr>
          <w:spacing w:val="-3"/>
        </w:rPr>
        <w:t xml:space="preserve"> </w:t>
      </w:r>
      <w:r>
        <w:t>graduates</w:t>
      </w:r>
      <w:r>
        <w:rPr>
          <w:spacing w:val="-3"/>
        </w:rPr>
        <w:t xml:space="preserve"> </w:t>
      </w:r>
      <w:r>
        <w:t>and</w:t>
      </w:r>
      <w:r>
        <w:rPr>
          <w:spacing w:val="-3"/>
        </w:rPr>
        <w:t xml:space="preserve"> </w:t>
      </w:r>
      <w:r>
        <w:t>entry</w:t>
      </w:r>
      <w:r>
        <w:rPr>
          <w:spacing w:val="-3"/>
        </w:rPr>
        <w:t xml:space="preserve"> </w:t>
      </w:r>
      <w:r>
        <w:t>level</w:t>
      </w:r>
      <w:r>
        <w:rPr>
          <w:spacing w:val="-3"/>
        </w:rPr>
        <w:t xml:space="preserve"> </w:t>
      </w:r>
      <w:r>
        <w:t>solicitors</w:t>
      </w:r>
      <w:r>
        <w:rPr>
          <w:spacing w:val="-3"/>
        </w:rPr>
        <w:t xml:space="preserve"> </w:t>
      </w:r>
      <w:r>
        <w:t>in</w:t>
      </w:r>
      <w:r>
        <w:rPr>
          <w:spacing w:val="-3"/>
        </w:rPr>
        <w:t xml:space="preserve"> </w:t>
      </w:r>
      <w:r>
        <w:t>private</w:t>
      </w:r>
      <w:r>
        <w:rPr>
          <w:spacing w:val="-3"/>
        </w:rPr>
        <w:t xml:space="preserve"> </w:t>
      </w:r>
      <w:r>
        <w:t>practice</w:t>
      </w:r>
      <w:r>
        <w:rPr>
          <w:spacing w:val="-3"/>
        </w:rPr>
        <w:t xml:space="preserve"> </w:t>
      </w:r>
      <w:r>
        <w:t>in</w:t>
      </w:r>
      <w:r>
        <w:rPr>
          <w:spacing w:val="-3"/>
        </w:rPr>
        <w:t xml:space="preserve"> </w:t>
      </w:r>
      <w:r>
        <w:t>Queensland</w:t>
      </w:r>
      <w:r>
        <w:rPr>
          <w:spacing w:val="-3"/>
        </w:rPr>
        <w:t xml:space="preserve"> </w:t>
      </w:r>
      <w:r>
        <w:t>and</w:t>
      </w:r>
      <w:r>
        <w:rPr>
          <w:spacing w:val="-3"/>
        </w:rPr>
        <w:t xml:space="preserve"> </w:t>
      </w:r>
      <w:r>
        <w:t>to</w:t>
      </w:r>
      <w:r>
        <w:rPr>
          <w:spacing w:val="-3"/>
        </w:rPr>
        <w:t xml:space="preserve"> </w:t>
      </w:r>
      <w:r>
        <w:t>make</w:t>
      </w:r>
      <w:r>
        <w:rPr>
          <w:spacing w:val="-3"/>
        </w:rPr>
        <w:t xml:space="preserve"> </w:t>
      </w:r>
      <w:r>
        <w:t>recommendations based on the research results.</w:t>
      </w:r>
    </w:p>
    <w:p w14:paraId="7A04FC2F" w14:textId="77777777" w:rsidR="00AC6F3C" w:rsidRDefault="00570E88">
      <w:pPr>
        <w:pStyle w:val="BodyText"/>
        <w:spacing w:before="172" w:line="249" w:lineRule="auto"/>
        <w:ind w:left="815" w:right="234"/>
      </w:pPr>
      <w:r>
        <w:t>The</w:t>
      </w:r>
      <w:r>
        <w:rPr>
          <w:spacing w:val="-3"/>
        </w:rPr>
        <w:t xml:space="preserve"> </w:t>
      </w:r>
      <w:r>
        <w:t>Bond</w:t>
      </w:r>
      <w:r>
        <w:rPr>
          <w:spacing w:val="-3"/>
        </w:rPr>
        <w:t xml:space="preserve"> </w:t>
      </w:r>
      <w:r>
        <w:t>University</w:t>
      </w:r>
      <w:r>
        <w:rPr>
          <w:spacing w:val="-3"/>
        </w:rPr>
        <w:t xml:space="preserve"> </w:t>
      </w:r>
      <w:r>
        <w:t>Centre</w:t>
      </w:r>
      <w:r>
        <w:rPr>
          <w:spacing w:val="-3"/>
        </w:rPr>
        <w:t xml:space="preserve"> </w:t>
      </w:r>
      <w:r>
        <w:t>for</w:t>
      </w:r>
      <w:r>
        <w:rPr>
          <w:spacing w:val="-3"/>
        </w:rPr>
        <w:t xml:space="preserve"> </w:t>
      </w:r>
      <w:r>
        <w:t>Professional</w:t>
      </w:r>
      <w:r>
        <w:rPr>
          <w:spacing w:val="-3"/>
        </w:rPr>
        <w:t xml:space="preserve"> </w:t>
      </w:r>
      <w:r>
        <w:t>Legal</w:t>
      </w:r>
      <w:r>
        <w:rPr>
          <w:spacing w:val="-3"/>
        </w:rPr>
        <w:t xml:space="preserve"> </w:t>
      </w:r>
      <w:r>
        <w:t>Education</w:t>
      </w:r>
      <w:r>
        <w:rPr>
          <w:spacing w:val="-3"/>
        </w:rPr>
        <w:t xml:space="preserve"> </w:t>
      </w:r>
      <w:r>
        <w:t>research</w:t>
      </w:r>
      <w:r>
        <w:rPr>
          <w:spacing w:val="-3"/>
        </w:rPr>
        <w:t xml:space="preserve"> </w:t>
      </w:r>
      <w:r>
        <w:t>team</w:t>
      </w:r>
      <w:r>
        <w:rPr>
          <w:spacing w:val="-3"/>
        </w:rPr>
        <w:t xml:space="preserve"> </w:t>
      </w:r>
      <w:r>
        <w:t>conducted</w:t>
      </w:r>
      <w:r>
        <w:rPr>
          <w:spacing w:val="-3"/>
        </w:rPr>
        <w:t xml:space="preserve"> </w:t>
      </w:r>
      <w:r>
        <w:t>an</w:t>
      </w:r>
      <w:r>
        <w:rPr>
          <w:spacing w:val="-3"/>
        </w:rPr>
        <w:t xml:space="preserve"> </w:t>
      </w:r>
      <w:r>
        <w:t>independent survey of the profession and targeted focus groups, which yielded valuable information about the job readiness of law graduates and entry level solicitors. While perceptions were positive in relation to a number of areas – particularly in respect of core values – numerous missing skills were identified.</w:t>
      </w:r>
    </w:p>
    <w:p w14:paraId="2C4B848C" w14:textId="77777777" w:rsidR="00AC6F3C" w:rsidRDefault="00570E88">
      <w:pPr>
        <w:pStyle w:val="BodyText"/>
        <w:spacing w:before="174" w:line="249" w:lineRule="auto"/>
        <w:ind w:left="815" w:right="257"/>
      </w:pPr>
      <w:r>
        <w:t>Crucially, most survey respondents considered that, overall, law graduates and entry level solicitors were not yet equipped with the necessary skills for entering private practice. Only 51% of respondents consider</w:t>
      </w:r>
      <w:r>
        <w:rPr>
          <w:spacing w:val="-3"/>
        </w:rPr>
        <w:t xml:space="preserve"> </w:t>
      </w:r>
      <w:r>
        <w:t>that</w:t>
      </w:r>
      <w:r>
        <w:rPr>
          <w:spacing w:val="-3"/>
        </w:rPr>
        <w:t xml:space="preserve"> </w:t>
      </w:r>
      <w:r>
        <w:t>law</w:t>
      </w:r>
      <w:r>
        <w:rPr>
          <w:spacing w:val="-3"/>
        </w:rPr>
        <w:t xml:space="preserve"> </w:t>
      </w:r>
      <w:r>
        <w:t>graduates</w:t>
      </w:r>
      <w:r>
        <w:rPr>
          <w:spacing w:val="-3"/>
        </w:rPr>
        <w:t xml:space="preserve"> </w:t>
      </w:r>
      <w:r>
        <w:t>and</w:t>
      </w:r>
      <w:r>
        <w:rPr>
          <w:spacing w:val="-3"/>
        </w:rPr>
        <w:t xml:space="preserve"> </w:t>
      </w:r>
      <w:r>
        <w:t>entry</w:t>
      </w:r>
      <w:r>
        <w:rPr>
          <w:spacing w:val="-3"/>
        </w:rPr>
        <w:t xml:space="preserve"> </w:t>
      </w:r>
      <w:r>
        <w:t>level</w:t>
      </w:r>
      <w:r>
        <w:rPr>
          <w:spacing w:val="-3"/>
        </w:rPr>
        <w:t xml:space="preserve"> </w:t>
      </w:r>
      <w:r>
        <w:t>solicitors</w:t>
      </w:r>
      <w:r>
        <w:rPr>
          <w:spacing w:val="-3"/>
        </w:rPr>
        <w:t xml:space="preserve"> </w:t>
      </w:r>
      <w:r>
        <w:t>in</w:t>
      </w:r>
      <w:r>
        <w:rPr>
          <w:spacing w:val="-3"/>
        </w:rPr>
        <w:t xml:space="preserve"> </w:t>
      </w:r>
      <w:r>
        <w:t>private</w:t>
      </w:r>
      <w:r>
        <w:rPr>
          <w:spacing w:val="-3"/>
        </w:rPr>
        <w:t xml:space="preserve"> </w:t>
      </w:r>
      <w:r>
        <w:t>practice</w:t>
      </w:r>
      <w:r>
        <w:rPr>
          <w:spacing w:val="-3"/>
        </w:rPr>
        <w:t xml:space="preserve"> </w:t>
      </w:r>
      <w:r>
        <w:t>have</w:t>
      </w:r>
      <w:r>
        <w:rPr>
          <w:spacing w:val="-3"/>
        </w:rPr>
        <w:t xml:space="preserve"> </w:t>
      </w:r>
      <w:r>
        <w:t>foundational</w:t>
      </w:r>
      <w:r>
        <w:rPr>
          <w:spacing w:val="-3"/>
        </w:rPr>
        <w:t xml:space="preserve"> </w:t>
      </w:r>
      <w:r>
        <w:t>understanding of substantive law areas relevant to private practice.</w:t>
      </w:r>
    </w:p>
    <w:p w14:paraId="6828B0DE" w14:textId="77777777" w:rsidR="00AC6F3C" w:rsidRDefault="00570E88">
      <w:pPr>
        <w:pStyle w:val="BodyText"/>
        <w:spacing w:before="173" w:line="249" w:lineRule="auto"/>
        <w:ind w:left="815"/>
      </w:pPr>
      <w:r>
        <w:t>The clear message from the research was that law graduates and entry level solicitors require more practical</w:t>
      </w:r>
      <w:r>
        <w:rPr>
          <w:spacing w:val="-3"/>
        </w:rPr>
        <w:t xml:space="preserve"> </w:t>
      </w:r>
      <w:r>
        <w:t>education</w:t>
      </w:r>
      <w:r>
        <w:rPr>
          <w:spacing w:val="-3"/>
        </w:rPr>
        <w:t xml:space="preserve"> </w:t>
      </w:r>
      <w:r>
        <w:t>and</w:t>
      </w:r>
      <w:r>
        <w:rPr>
          <w:spacing w:val="-3"/>
        </w:rPr>
        <w:t xml:space="preserve"> </w:t>
      </w:r>
      <w:r>
        <w:t>training,</w:t>
      </w:r>
      <w:r>
        <w:rPr>
          <w:spacing w:val="-3"/>
        </w:rPr>
        <w:t xml:space="preserve"> </w:t>
      </w:r>
      <w:r>
        <w:t>both</w:t>
      </w:r>
      <w:r>
        <w:rPr>
          <w:spacing w:val="-3"/>
        </w:rPr>
        <w:t xml:space="preserve"> </w:t>
      </w:r>
      <w:r>
        <w:t>at</w:t>
      </w:r>
      <w:r>
        <w:rPr>
          <w:spacing w:val="-3"/>
        </w:rPr>
        <w:t xml:space="preserve"> </w:t>
      </w:r>
      <w:r>
        <w:t>university</w:t>
      </w:r>
      <w:r>
        <w:rPr>
          <w:spacing w:val="-3"/>
        </w:rPr>
        <w:t xml:space="preserve"> </w:t>
      </w:r>
      <w:r>
        <w:t>and</w:t>
      </w:r>
      <w:r>
        <w:rPr>
          <w:spacing w:val="-3"/>
        </w:rPr>
        <w:t xml:space="preserve"> </w:t>
      </w:r>
      <w:r>
        <w:t>after</w:t>
      </w:r>
      <w:r>
        <w:rPr>
          <w:spacing w:val="-3"/>
        </w:rPr>
        <w:t xml:space="preserve"> </w:t>
      </w:r>
      <w:r>
        <w:t>graduating</w:t>
      </w:r>
      <w:r>
        <w:rPr>
          <w:spacing w:val="-3"/>
        </w:rPr>
        <w:t xml:space="preserve"> </w:t>
      </w:r>
      <w:r>
        <w:t>but</w:t>
      </w:r>
      <w:r>
        <w:rPr>
          <w:spacing w:val="-3"/>
        </w:rPr>
        <w:t xml:space="preserve"> </w:t>
      </w:r>
      <w:r>
        <w:t>prior</w:t>
      </w:r>
      <w:r>
        <w:rPr>
          <w:spacing w:val="-3"/>
        </w:rPr>
        <w:t xml:space="preserve"> </w:t>
      </w:r>
      <w:r>
        <w:t>to</w:t>
      </w:r>
      <w:r>
        <w:rPr>
          <w:spacing w:val="-3"/>
        </w:rPr>
        <w:t xml:space="preserve"> </w:t>
      </w:r>
      <w:r>
        <w:t>admission.</w:t>
      </w:r>
      <w:r>
        <w:rPr>
          <w:spacing w:val="-3"/>
        </w:rPr>
        <w:t xml:space="preserve"> </w:t>
      </w:r>
      <w:r>
        <w:t>Further education</w:t>
      </w:r>
      <w:r>
        <w:rPr>
          <w:spacing w:val="-2"/>
        </w:rPr>
        <w:t xml:space="preserve"> </w:t>
      </w:r>
      <w:r>
        <w:t>post</w:t>
      </w:r>
      <w:r>
        <w:rPr>
          <w:spacing w:val="-2"/>
        </w:rPr>
        <w:t xml:space="preserve"> </w:t>
      </w:r>
      <w:r>
        <w:t>admission</w:t>
      </w:r>
      <w:r>
        <w:rPr>
          <w:spacing w:val="-2"/>
        </w:rPr>
        <w:t xml:space="preserve"> </w:t>
      </w:r>
      <w:r>
        <w:t>also</w:t>
      </w:r>
      <w:r>
        <w:rPr>
          <w:spacing w:val="-2"/>
        </w:rPr>
        <w:t xml:space="preserve"> </w:t>
      </w:r>
      <w:r>
        <w:t>featured</w:t>
      </w:r>
      <w:r>
        <w:rPr>
          <w:spacing w:val="-2"/>
        </w:rPr>
        <w:t xml:space="preserve"> </w:t>
      </w:r>
      <w:r>
        <w:t>in</w:t>
      </w:r>
      <w:r>
        <w:rPr>
          <w:spacing w:val="-2"/>
        </w:rPr>
        <w:t xml:space="preserve"> </w:t>
      </w:r>
      <w:r>
        <w:t>the</w:t>
      </w:r>
      <w:r>
        <w:rPr>
          <w:spacing w:val="-2"/>
        </w:rPr>
        <w:t xml:space="preserve"> </w:t>
      </w:r>
      <w:r>
        <w:t>responses.</w:t>
      </w:r>
      <w:r>
        <w:rPr>
          <w:spacing w:val="-6"/>
        </w:rPr>
        <w:t xml:space="preserve"> </w:t>
      </w:r>
      <w:r>
        <w:t>The</w:t>
      </w:r>
      <w:r>
        <w:rPr>
          <w:spacing w:val="-2"/>
        </w:rPr>
        <w:t xml:space="preserve"> </w:t>
      </w:r>
      <w:r>
        <w:t>absence</w:t>
      </w:r>
      <w:r>
        <w:rPr>
          <w:spacing w:val="-2"/>
        </w:rPr>
        <w:t xml:space="preserve"> </w:t>
      </w:r>
      <w:r>
        <w:t>of</w:t>
      </w:r>
      <w:r>
        <w:rPr>
          <w:spacing w:val="-2"/>
        </w:rPr>
        <w:t xml:space="preserve"> </w:t>
      </w:r>
      <w:r>
        <w:t>important</w:t>
      </w:r>
      <w:r>
        <w:rPr>
          <w:spacing w:val="-2"/>
        </w:rPr>
        <w:t xml:space="preserve"> </w:t>
      </w:r>
      <w:r>
        <w:t>subjects</w:t>
      </w:r>
      <w:r>
        <w:rPr>
          <w:spacing w:val="-2"/>
        </w:rPr>
        <w:t xml:space="preserve"> </w:t>
      </w:r>
      <w:r>
        <w:t>from</w:t>
      </w:r>
      <w:r>
        <w:rPr>
          <w:spacing w:val="-2"/>
        </w:rPr>
        <w:t xml:space="preserve"> </w:t>
      </w:r>
      <w:r>
        <w:t>the Priestley 11 was also a strong theme throughout the research.</w:t>
      </w:r>
    </w:p>
    <w:p w14:paraId="7C1635D2" w14:textId="77777777" w:rsidR="00AC6F3C" w:rsidRDefault="00570E88">
      <w:pPr>
        <w:pStyle w:val="BodyText"/>
        <w:spacing w:before="173"/>
        <w:ind w:left="815"/>
      </w:pPr>
      <w:r>
        <w:t>Overall,</w:t>
      </w:r>
      <w:r>
        <w:rPr>
          <w:spacing w:val="-5"/>
        </w:rPr>
        <w:t xml:space="preserve"> </w:t>
      </w:r>
      <w:r>
        <w:t>the</w:t>
      </w:r>
      <w:r>
        <w:rPr>
          <w:spacing w:val="-3"/>
        </w:rPr>
        <w:t xml:space="preserve"> </w:t>
      </w:r>
      <w:r>
        <w:t>research</w:t>
      </w:r>
      <w:r>
        <w:rPr>
          <w:spacing w:val="-2"/>
        </w:rPr>
        <w:t xml:space="preserve"> </w:t>
      </w:r>
      <w:r>
        <w:t>results</w:t>
      </w:r>
      <w:r>
        <w:rPr>
          <w:spacing w:val="-3"/>
        </w:rPr>
        <w:t xml:space="preserve"> </w:t>
      </w:r>
      <w:r>
        <w:t>indicate</w:t>
      </w:r>
      <w:r>
        <w:rPr>
          <w:spacing w:val="-2"/>
        </w:rPr>
        <w:t xml:space="preserve"> </w:t>
      </w:r>
      <w:r>
        <w:t>a</w:t>
      </w:r>
      <w:r>
        <w:rPr>
          <w:spacing w:val="-3"/>
        </w:rPr>
        <w:t xml:space="preserve"> </w:t>
      </w:r>
      <w:r>
        <w:t>call</w:t>
      </w:r>
      <w:r>
        <w:rPr>
          <w:spacing w:val="-2"/>
        </w:rPr>
        <w:t xml:space="preserve"> </w:t>
      </w:r>
      <w:r>
        <w:t>for</w:t>
      </w:r>
      <w:r>
        <w:rPr>
          <w:spacing w:val="-3"/>
        </w:rPr>
        <w:t xml:space="preserve"> </w:t>
      </w:r>
      <w:r>
        <w:t>greater</w:t>
      </w:r>
      <w:r>
        <w:rPr>
          <w:spacing w:val="-2"/>
        </w:rPr>
        <w:t xml:space="preserve"> </w:t>
      </w:r>
      <w:r>
        <w:t>practical</w:t>
      </w:r>
      <w:r>
        <w:rPr>
          <w:spacing w:val="-3"/>
        </w:rPr>
        <w:t xml:space="preserve"> </w:t>
      </w:r>
      <w:r>
        <w:t>learning</w:t>
      </w:r>
      <w:r>
        <w:rPr>
          <w:spacing w:val="-2"/>
        </w:rPr>
        <w:t xml:space="preserve"> </w:t>
      </w:r>
      <w:r>
        <w:t>and</w:t>
      </w:r>
      <w:r>
        <w:rPr>
          <w:spacing w:val="-3"/>
        </w:rPr>
        <w:t xml:space="preserve"> </w:t>
      </w:r>
      <w:r>
        <w:t>assessment</w:t>
      </w:r>
      <w:r>
        <w:rPr>
          <w:spacing w:val="-2"/>
        </w:rPr>
        <w:t xml:space="preserve"> </w:t>
      </w:r>
      <w:r>
        <w:t>and</w:t>
      </w:r>
      <w:r>
        <w:rPr>
          <w:spacing w:val="-3"/>
        </w:rPr>
        <w:t xml:space="preserve"> </w:t>
      </w:r>
      <w:r>
        <w:t>a</w:t>
      </w:r>
      <w:r>
        <w:rPr>
          <w:spacing w:val="-2"/>
        </w:rPr>
        <w:t xml:space="preserve"> longer</w:t>
      </w:r>
    </w:p>
    <w:p w14:paraId="7B1BBF2F" w14:textId="77777777" w:rsidR="00AC6F3C" w:rsidRDefault="00570E88">
      <w:pPr>
        <w:pStyle w:val="BodyText"/>
        <w:spacing w:before="10"/>
        <w:ind w:left="815"/>
      </w:pPr>
      <w:r>
        <w:t>period</w:t>
      </w:r>
      <w:r>
        <w:rPr>
          <w:spacing w:val="-4"/>
        </w:rPr>
        <w:t xml:space="preserve"> </w:t>
      </w:r>
      <w:r>
        <w:t>of</w:t>
      </w:r>
      <w:r>
        <w:rPr>
          <w:spacing w:val="-3"/>
        </w:rPr>
        <w:t xml:space="preserve"> </w:t>
      </w:r>
      <w:r>
        <w:t>supervised</w:t>
      </w:r>
      <w:r>
        <w:rPr>
          <w:spacing w:val="-4"/>
        </w:rPr>
        <w:t xml:space="preserve"> </w:t>
      </w:r>
      <w:r>
        <w:t>work</w:t>
      </w:r>
      <w:r>
        <w:rPr>
          <w:spacing w:val="-3"/>
        </w:rPr>
        <w:t xml:space="preserve"> </w:t>
      </w:r>
      <w:r>
        <w:t>experience</w:t>
      </w:r>
      <w:r>
        <w:rPr>
          <w:spacing w:val="-4"/>
        </w:rPr>
        <w:t xml:space="preserve"> </w:t>
      </w:r>
      <w:r>
        <w:t>prior</w:t>
      </w:r>
      <w:r>
        <w:rPr>
          <w:spacing w:val="-3"/>
        </w:rPr>
        <w:t xml:space="preserve"> </w:t>
      </w:r>
      <w:r>
        <w:t>to</w:t>
      </w:r>
      <w:r>
        <w:rPr>
          <w:spacing w:val="-3"/>
        </w:rPr>
        <w:t xml:space="preserve"> </w:t>
      </w:r>
      <w:r>
        <w:rPr>
          <w:spacing w:val="-2"/>
        </w:rPr>
        <w:t>admission.</w:t>
      </w:r>
    </w:p>
    <w:p w14:paraId="72825EB0" w14:textId="77777777" w:rsidR="00AC6F3C" w:rsidRDefault="00570E88">
      <w:pPr>
        <w:pStyle w:val="BodyText"/>
        <w:spacing w:before="180" w:line="249" w:lineRule="auto"/>
        <w:ind w:left="815" w:right="141"/>
        <w:jc w:val="both"/>
      </w:pPr>
      <w:r>
        <w:t>QLS</w:t>
      </w:r>
      <w:r>
        <w:rPr>
          <w:spacing w:val="-2"/>
        </w:rPr>
        <w:t xml:space="preserve"> </w:t>
      </w:r>
      <w:r>
        <w:t>now</w:t>
      </w:r>
      <w:r>
        <w:rPr>
          <w:spacing w:val="-2"/>
        </w:rPr>
        <w:t xml:space="preserve"> </w:t>
      </w:r>
      <w:r>
        <w:t>seeks</w:t>
      </w:r>
      <w:r>
        <w:rPr>
          <w:spacing w:val="-2"/>
        </w:rPr>
        <w:t xml:space="preserve"> </w:t>
      </w:r>
      <w:r>
        <w:t>to</w:t>
      </w:r>
      <w:r>
        <w:rPr>
          <w:spacing w:val="-2"/>
        </w:rPr>
        <w:t xml:space="preserve"> </w:t>
      </w:r>
      <w:r>
        <w:t>start</w:t>
      </w:r>
      <w:r>
        <w:rPr>
          <w:spacing w:val="-2"/>
        </w:rPr>
        <w:t xml:space="preserve"> </w:t>
      </w:r>
      <w:r>
        <w:t>a</w:t>
      </w:r>
      <w:r>
        <w:rPr>
          <w:spacing w:val="-2"/>
        </w:rPr>
        <w:t xml:space="preserve"> </w:t>
      </w:r>
      <w:r>
        <w:t>dialogue</w:t>
      </w:r>
      <w:r>
        <w:rPr>
          <w:spacing w:val="-2"/>
        </w:rPr>
        <w:t xml:space="preserve"> </w:t>
      </w:r>
      <w:r>
        <w:t>with</w:t>
      </w:r>
      <w:r>
        <w:rPr>
          <w:spacing w:val="-2"/>
        </w:rPr>
        <w:t xml:space="preserve"> </w:t>
      </w:r>
      <w:r>
        <w:t>educators,</w:t>
      </w:r>
      <w:r>
        <w:rPr>
          <w:spacing w:val="-2"/>
        </w:rPr>
        <w:t xml:space="preserve"> </w:t>
      </w:r>
      <w:r>
        <w:t>regulators</w:t>
      </w:r>
      <w:r>
        <w:rPr>
          <w:spacing w:val="-2"/>
        </w:rPr>
        <w:t xml:space="preserve"> </w:t>
      </w:r>
      <w:r>
        <w:t>and</w:t>
      </w:r>
      <w:r>
        <w:rPr>
          <w:spacing w:val="-2"/>
        </w:rPr>
        <w:t xml:space="preserve"> </w:t>
      </w:r>
      <w:r>
        <w:t>the</w:t>
      </w:r>
      <w:r>
        <w:rPr>
          <w:spacing w:val="-2"/>
        </w:rPr>
        <w:t xml:space="preserve"> </w:t>
      </w:r>
      <w:r>
        <w:t>profession</w:t>
      </w:r>
      <w:r>
        <w:rPr>
          <w:spacing w:val="-2"/>
        </w:rPr>
        <w:t xml:space="preserve"> </w:t>
      </w:r>
      <w:r>
        <w:t>on</w:t>
      </w:r>
      <w:r>
        <w:rPr>
          <w:spacing w:val="-2"/>
        </w:rPr>
        <w:t xml:space="preserve"> </w:t>
      </w:r>
      <w:r>
        <w:t>reforms</w:t>
      </w:r>
      <w:r>
        <w:rPr>
          <w:spacing w:val="-2"/>
        </w:rPr>
        <w:t xml:space="preserve"> </w:t>
      </w:r>
      <w:r>
        <w:t>which</w:t>
      </w:r>
      <w:r>
        <w:rPr>
          <w:spacing w:val="-2"/>
        </w:rPr>
        <w:t xml:space="preserve"> </w:t>
      </w:r>
      <w:r>
        <w:t>will</w:t>
      </w:r>
      <w:r>
        <w:rPr>
          <w:spacing w:val="-2"/>
        </w:rPr>
        <w:t xml:space="preserve"> </w:t>
      </w:r>
      <w:r>
        <w:t>set the</w:t>
      </w:r>
      <w:r>
        <w:rPr>
          <w:spacing w:val="-2"/>
        </w:rPr>
        <w:t xml:space="preserve"> </w:t>
      </w:r>
      <w:r>
        <w:t>next</w:t>
      </w:r>
      <w:r>
        <w:rPr>
          <w:spacing w:val="-2"/>
        </w:rPr>
        <w:t xml:space="preserve"> </w:t>
      </w:r>
      <w:r>
        <w:t>generation</w:t>
      </w:r>
      <w:r>
        <w:rPr>
          <w:spacing w:val="-2"/>
        </w:rPr>
        <w:t xml:space="preserve"> </w:t>
      </w:r>
      <w:r>
        <w:t>of</w:t>
      </w:r>
      <w:r>
        <w:rPr>
          <w:spacing w:val="-2"/>
        </w:rPr>
        <w:t xml:space="preserve"> </w:t>
      </w:r>
      <w:r>
        <w:t>lawyers</w:t>
      </w:r>
      <w:r>
        <w:rPr>
          <w:spacing w:val="-2"/>
        </w:rPr>
        <w:t xml:space="preserve"> </w:t>
      </w:r>
      <w:r>
        <w:t>up</w:t>
      </w:r>
      <w:r>
        <w:rPr>
          <w:spacing w:val="-2"/>
        </w:rPr>
        <w:t xml:space="preserve"> </w:t>
      </w:r>
      <w:r>
        <w:t>for</w:t>
      </w:r>
      <w:r>
        <w:rPr>
          <w:spacing w:val="-2"/>
        </w:rPr>
        <w:t xml:space="preserve"> </w:t>
      </w:r>
      <w:r>
        <w:t>success</w:t>
      </w:r>
      <w:r>
        <w:rPr>
          <w:spacing w:val="-2"/>
        </w:rPr>
        <w:t xml:space="preserve"> </w:t>
      </w:r>
      <w:r>
        <w:t>in</w:t>
      </w:r>
      <w:r>
        <w:rPr>
          <w:spacing w:val="-2"/>
        </w:rPr>
        <w:t xml:space="preserve"> </w:t>
      </w:r>
      <w:r>
        <w:t>their</w:t>
      </w:r>
      <w:r>
        <w:rPr>
          <w:spacing w:val="-2"/>
        </w:rPr>
        <w:t xml:space="preserve"> </w:t>
      </w:r>
      <w:r>
        <w:t>legal</w:t>
      </w:r>
      <w:r>
        <w:rPr>
          <w:spacing w:val="-2"/>
        </w:rPr>
        <w:t xml:space="preserve"> </w:t>
      </w:r>
      <w:r>
        <w:t>careers</w:t>
      </w:r>
      <w:r>
        <w:rPr>
          <w:spacing w:val="-2"/>
        </w:rPr>
        <w:t xml:space="preserve"> </w:t>
      </w:r>
      <w:r>
        <w:t>and</w:t>
      </w:r>
      <w:r>
        <w:rPr>
          <w:spacing w:val="-2"/>
        </w:rPr>
        <w:t xml:space="preserve"> </w:t>
      </w:r>
      <w:r>
        <w:t>lift</w:t>
      </w:r>
      <w:r>
        <w:rPr>
          <w:spacing w:val="-2"/>
        </w:rPr>
        <w:t xml:space="preserve"> </w:t>
      </w:r>
      <w:r>
        <w:t>the</w:t>
      </w:r>
      <w:r>
        <w:rPr>
          <w:spacing w:val="-2"/>
        </w:rPr>
        <w:t xml:space="preserve"> </w:t>
      </w:r>
      <w:r>
        <w:t>standards</w:t>
      </w:r>
      <w:r>
        <w:rPr>
          <w:spacing w:val="-2"/>
        </w:rPr>
        <w:t xml:space="preserve"> </w:t>
      </w:r>
      <w:r>
        <w:t>of</w:t>
      </w:r>
      <w:r>
        <w:rPr>
          <w:spacing w:val="-2"/>
        </w:rPr>
        <w:t xml:space="preserve"> </w:t>
      </w:r>
      <w:r>
        <w:t>the</w:t>
      </w:r>
      <w:r>
        <w:rPr>
          <w:spacing w:val="-2"/>
        </w:rPr>
        <w:t xml:space="preserve"> </w:t>
      </w:r>
      <w:r>
        <w:t>profession more generally. In doing so, we see the need to:</w:t>
      </w:r>
    </w:p>
    <w:p w14:paraId="0E778671" w14:textId="77777777" w:rsidR="00AC6F3C" w:rsidRDefault="00570E88">
      <w:pPr>
        <w:pStyle w:val="ListParagraph"/>
        <w:numPr>
          <w:ilvl w:val="2"/>
          <w:numId w:val="49"/>
        </w:numPr>
        <w:tabs>
          <w:tab w:val="left" w:pos="1155"/>
        </w:tabs>
        <w:spacing w:before="173" w:line="249" w:lineRule="auto"/>
        <w:ind w:right="345"/>
        <w:rPr>
          <w:sz w:val="20"/>
        </w:rPr>
      </w:pPr>
      <w:r>
        <w:rPr>
          <w:sz w:val="20"/>
        </w:rPr>
        <w:t>Review</w:t>
      </w:r>
      <w:r>
        <w:rPr>
          <w:spacing w:val="-3"/>
          <w:sz w:val="20"/>
        </w:rPr>
        <w:t xml:space="preserve"> </w:t>
      </w:r>
      <w:r>
        <w:rPr>
          <w:sz w:val="20"/>
        </w:rPr>
        <w:t>the</w:t>
      </w:r>
      <w:r>
        <w:rPr>
          <w:spacing w:val="-3"/>
          <w:sz w:val="20"/>
        </w:rPr>
        <w:t xml:space="preserve"> </w:t>
      </w:r>
      <w:r>
        <w:rPr>
          <w:sz w:val="20"/>
        </w:rPr>
        <w:t>academic</w:t>
      </w:r>
      <w:r>
        <w:rPr>
          <w:spacing w:val="-3"/>
          <w:sz w:val="20"/>
        </w:rPr>
        <w:t xml:space="preserve"> </w:t>
      </w:r>
      <w:r>
        <w:rPr>
          <w:sz w:val="20"/>
        </w:rPr>
        <w:t>standards</w:t>
      </w:r>
      <w:r>
        <w:rPr>
          <w:spacing w:val="-3"/>
          <w:sz w:val="20"/>
        </w:rPr>
        <w:t xml:space="preserve"> </w:t>
      </w:r>
      <w:r>
        <w:rPr>
          <w:sz w:val="20"/>
        </w:rPr>
        <w:t>for</w:t>
      </w:r>
      <w:r>
        <w:rPr>
          <w:spacing w:val="-3"/>
          <w:sz w:val="20"/>
        </w:rPr>
        <w:t xml:space="preserve"> </w:t>
      </w:r>
      <w:r>
        <w:rPr>
          <w:sz w:val="20"/>
        </w:rPr>
        <w:t>law</w:t>
      </w:r>
      <w:r>
        <w:rPr>
          <w:spacing w:val="-3"/>
          <w:sz w:val="20"/>
        </w:rPr>
        <w:t xml:space="preserve"> </w:t>
      </w:r>
      <w:r>
        <w:rPr>
          <w:sz w:val="20"/>
        </w:rPr>
        <w:t>degrees,</w:t>
      </w:r>
      <w:r>
        <w:rPr>
          <w:spacing w:val="-3"/>
          <w:sz w:val="20"/>
        </w:rPr>
        <w:t xml:space="preserve"> </w:t>
      </w:r>
      <w:r>
        <w:rPr>
          <w:sz w:val="20"/>
        </w:rPr>
        <w:t>including</w:t>
      </w:r>
      <w:r>
        <w:rPr>
          <w:spacing w:val="-3"/>
          <w:sz w:val="20"/>
        </w:rPr>
        <w:t xml:space="preserve"> </w:t>
      </w:r>
      <w:r>
        <w:rPr>
          <w:sz w:val="20"/>
        </w:rPr>
        <w:t>a</w:t>
      </w:r>
      <w:r>
        <w:rPr>
          <w:spacing w:val="-3"/>
          <w:sz w:val="20"/>
        </w:rPr>
        <w:t xml:space="preserve"> </w:t>
      </w:r>
      <w:r>
        <w:rPr>
          <w:sz w:val="20"/>
        </w:rPr>
        <w:t>greater</w:t>
      </w:r>
      <w:r>
        <w:rPr>
          <w:spacing w:val="-3"/>
          <w:sz w:val="20"/>
        </w:rPr>
        <w:t xml:space="preserve"> </w:t>
      </w:r>
      <w:r>
        <w:rPr>
          <w:sz w:val="20"/>
        </w:rPr>
        <w:t>focus</w:t>
      </w:r>
      <w:r>
        <w:rPr>
          <w:spacing w:val="-3"/>
          <w:sz w:val="20"/>
        </w:rPr>
        <w:t xml:space="preserve"> </w:t>
      </w:r>
      <w:r>
        <w:rPr>
          <w:sz w:val="20"/>
        </w:rPr>
        <w:t>on</w:t>
      </w:r>
      <w:r>
        <w:rPr>
          <w:spacing w:val="-3"/>
          <w:sz w:val="20"/>
        </w:rPr>
        <w:t xml:space="preserve"> </w:t>
      </w:r>
      <w:r>
        <w:rPr>
          <w:sz w:val="20"/>
        </w:rPr>
        <w:t>practical</w:t>
      </w:r>
      <w:r>
        <w:rPr>
          <w:spacing w:val="-3"/>
          <w:sz w:val="20"/>
        </w:rPr>
        <w:t xml:space="preserve"> </w:t>
      </w:r>
      <w:r>
        <w:rPr>
          <w:sz w:val="20"/>
        </w:rPr>
        <w:t>learning</w:t>
      </w:r>
      <w:r>
        <w:rPr>
          <w:spacing w:val="-3"/>
          <w:sz w:val="20"/>
        </w:rPr>
        <w:t xml:space="preserve"> </w:t>
      </w:r>
      <w:r>
        <w:rPr>
          <w:sz w:val="20"/>
        </w:rPr>
        <w:t>and assessments, together with an increased number of compulsory subjects.</w:t>
      </w:r>
    </w:p>
    <w:p w14:paraId="1A6D644F" w14:textId="77777777" w:rsidR="00AC6F3C" w:rsidRDefault="00570E88">
      <w:pPr>
        <w:pStyle w:val="ListParagraph"/>
        <w:numPr>
          <w:ilvl w:val="2"/>
          <w:numId w:val="49"/>
        </w:numPr>
        <w:tabs>
          <w:tab w:val="left" w:pos="1155"/>
        </w:tabs>
        <w:spacing w:before="171"/>
        <w:ind w:hanging="340"/>
        <w:rPr>
          <w:sz w:val="20"/>
        </w:rPr>
      </w:pPr>
      <w:r>
        <w:rPr>
          <w:sz w:val="20"/>
        </w:rPr>
        <w:t>Review</w:t>
      </w:r>
      <w:r>
        <w:rPr>
          <w:spacing w:val="-6"/>
          <w:sz w:val="20"/>
        </w:rPr>
        <w:t xml:space="preserve"> </w:t>
      </w:r>
      <w:r>
        <w:rPr>
          <w:sz w:val="20"/>
        </w:rPr>
        <w:t>Practical</w:t>
      </w:r>
      <w:r>
        <w:rPr>
          <w:spacing w:val="-4"/>
          <w:sz w:val="20"/>
        </w:rPr>
        <w:t xml:space="preserve"> </w:t>
      </w:r>
      <w:r>
        <w:rPr>
          <w:sz w:val="20"/>
        </w:rPr>
        <w:t>Legal</w:t>
      </w:r>
      <w:r>
        <w:rPr>
          <w:spacing w:val="-7"/>
          <w:sz w:val="20"/>
        </w:rPr>
        <w:t xml:space="preserve"> </w:t>
      </w:r>
      <w:r>
        <w:rPr>
          <w:sz w:val="20"/>
        </w:rPr>
        <w:t>Training</w:t>
      </w:r>
      <w:r>
        <w:rPr>
          <w:spacing w:val="-3"/>
          <w:sz w:val="20"/>
        </w:rPr>
        <w:t xml:space="preserve"> </w:t>
      </w:r>
      <w:r>
        <w:rPr>
          <w:sz w:val="20"/>
        </w:rPr>
        <w:t>competency</w:t>
      </w:r>
      <w:r>
        <w:rPr>
          <w:spacing w:val="-4"/>
          <w:sz w:val="20"/>
        </w:rPr>
        <w:t xml:space="preserve"> </w:t>
      </w:r>
      <w:r>
        <w:rPr>
          <w:sz w:val="20"/>
        </w:rPr>
        <w:t>standards</w:t>
      </w:r>
      <w:r>
        <w:rPr>
          <w:spacing w:val="-3"/>
          <w:sz w:val="20"/>
        </w:rPr>
        <w:t xml:space="preserve"> </w:t>
      </w:r>
      <w:r>
        <w:rPr>
          <w:sz w:val="20"/>
        </w:rPr>
        <w:t>to</w:t>
      </w:r>
      <w:r>
        <w:rPr>
          <w:spacing w:val="-4"/>
          <w:sz w:val="20"/>
        </w:rPr>
        <w:t xml:space="preserve"> </w:t>
      </w:r>
      <w:r>
        <w:rPr>
          <w:sz w:val="20"/>
        </w:rPr>
        <w:t>facilitate</w:t>
      </w:r>
      <w:r>
        <w:rPr>
          <w:spacing w:val="-3"/>
          <w:sz w:val="20"/>
        </w:rPr>
        <w:t xml:space="preserve"> </w:t>
      </w:r>
      <w:r>
        <w:rPr>
          <w:sz w:val="20"/>
        </w:rPr>
        <w:t>a</w:t>
      </w:r>
      <w:r>
        <w:rPr>
          <w:spacing w:val="-4"/>
          <w:sz w:val="20"/>
        </w:rPr>
        <w:t xml:space="preserve"> </w:t>
      </w:r>
      <w:r>
        <w:rPr>
          <w:sz w:val="20"/>
        </w:rPr>
        <w:t>greater</w:t>
      </w:r>
      <w:r>
        <w:rPr>
          <w:spacing w:val="-3"/>
          <w:sz w:val="20"/>
        </w:rPr>
        <w:t xml:space="preserve"> </w:t>
      </w:r>
      <w:r>
        <w:rPr>
          <w:sz w:val="20"/>
        </w:rPr>
        <w:t>focus</w:t>
      </w:r>
      <w:r>
        <w:rPr>
          <w:spacing w:val="-4"/>
          <w:sz w:val="20"/>
        </w:rPr>
        <w:t xml:space="preserve"> </w:t>
      </w:r>
      <w:r>
        <w:rPr>
          <w:sz w:val="20"/>
        </w:rPr>
        <w:t>on</w:t>
      </w:r>
      <w:r>
        <w:rPr>
          <w:spacing w:val="-3"/>
          <w:sz w:val="20"/>
        </w:rPr>
        <w:t xml:space="preserve"> </w:t>
      </w:r>
      <w:r>
        <w:rPr>
          <w:spacing w:val="-2"/>
          <w:sz w:val="20"/>
        </w:rPr>
        <w:t>practical</w:t>
      </w:r>
    </w:p>
    <w:p w14:paraId="71ADFA92" w14:textId="77777777" w:rsidR="00AC6F3C" w:rsidRDefault="00570E88">
      <w:pPr>
        <w:pStyle w:val="BodyText"/>
        <w:spacing w:before="10"/>
        <w:ind w:left="1155"/>
      </w:pPr>
      <w:r>
        <w:t>assessments</w:t>
      </w:r>
      <w:r>
        <w:rPr>
          <w:spacing w:val="-3"/>
        </w:rPr>
        <w:t xml:space="preserve"> </w:t>
      </w:r>
      <w:r>
        <w:t>and</w:t>
      </w:r>
      <w:r>
        <w:rPr>
          <w:spacing w:val="-1"/>
        </w:rPr>
        <w:t xml:space="preserve"> </w:t>
      </w:r>
      <w:r>
        <w:rPr>
          <w:spacing w:val="-2"/>
        </w:rPr>
        <w:t>experience.</w:t>
      </w:r>
    </w:p>
    <w:p w14:paraId="3A72A501" w14:textId="77777777" w:rsidR="00AC6F3C" w:rsidRDefault="00570E88">
      <w:pPr>
        <w:pStyle w:val="ListParagraph"/>
        <w:numPr>
          <w:ilvl w:val="2"/>
          <w:numId w:val="49"/>
        </w:numPr>
        <w:tabs>
          <w:tab w:val="left" w:pos="1155"/>
        </w:tabs>
        <w:spacing w:line="249" w:lineRule="auto"/>
        <w:ind w:right="151"/>
        <w:rPr>
          <w:sz w:val="20"/>
        </w:rPr>
      </w:pPr>
      <w:r>
        <w:rPr>
          <w:sz w:val="20"/>
        </w:rPr>
        <w:t>Increase in the practical work experience requirements prior to admission in a legal environment with a</w:t>
      </w:r>
      <w:r>
        <w:rPr>
          <w:spacing w:val="-4"/>
          <w:sz w:val="20"/>
        </w:rPr>
        <w:t xml:space="preserve"> </w:t>
      </w:r>
      <w:r>
        <w:rPr>
          <w:sz w:val="20"/>
        </w:rPr>
        <w:t>focus</w:t>
      </w:r>
      <w:r>
        <w:rPr>
          <w:spacing w:val="-4"/>
          <w:sz w:val="20"/>
        </w:rPr>
        <w:t xml:space="preserve"> </w:t>
      </w:r>
      <w:r>
        <w:rPr>
          <w:sz w:val="20"/>
        </w:rPr>
        <w:t>on</w:t>
      </w:r>
      <w:r>
        <w:rPr>
          <w:spacing w:val="-4"/>
          <w:sz w:val="20"/>
        </w:rPr>
        <w:t xml:space="preserve"> </w:t>
      </w:r>
      <w:r>
        <w:rPr>
          <w:sz w:val="20"/>
        </w:rPr>
        <w:t>practical</w:t>
      </w:r>
      <w:r>
        <w:rPr>
          <w:spacing w:val="-4"/>
          <w:sz w:val="20"/>
        </w:rPr>
        <w:t xml:space="preserve"> </w:t>
      </w:r>
      <w:r>
        <w:rPr>
          <w:sz w:val="20"/>
        </w:rPr>
        <w:t>application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competencies</w:t>
      </w:r>
      <w:r>
        <w:rPr>
          <w:spacing w:val="-4"/>
          <w:sz w:val="20"/>
        </w:rPr>
        <w:t xml:space="preserve"> </w:t>
      </w:r>
      <w:r>
        <w:rPr>
          <w:sz w:val="20"/>
        </w:rPr>
        <w:t>acquired</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z w:val="20"/>
        </w:rPr>
        <w:t>academic</w:t>
      </w:r>
      <w:r>
        <w:rPr>
          <w:spacing w:val="-4"/>
          <w:sz w:val="20"/>
        </w:rPr>
        <w:t xml:space="preserve"> </w:t>
      </w:r>
      <w:r>
        <w:rPr>
          <w:sz w:val="20"/>
        </w:rPr>
        <w:t>and</w:t>
      </w:r>
      <w:r>
        <w:rPr>
          <w:spacing w:val="-4"/>
          <w:sz w:val="20"/>
        </w:rPr>
        <w:t xml:space="preserve"> </w:t>
      </w:r>
      <w:r>
        <w:rPr>
          <w:sz w:val="20"/>
        </w:rPr>
        <w:t>PLT</w:t>
      </w:r>
      <w:r>
        <w:rPr>
          <w:spacing w:val="-7"/>
          <w:sz w:val="20"/>
        </w:rPr>
        <w:t xml:space="preserve"> </w:t>
      </w:r>
      <w:r>
        <w:rPr>
          <w:sz w:val="20"/>
        </w:rPr>
        <w:t>phases</w:t>
      </w:r>
      <w:r>
        <w:rPr>
          <w:spacing w:val="-4"/>
          <w:sz w:val="20"/>
        </w:rPr>
        <w:t xml:space="preserve"> </w:t>
      </w:r>
      <w:r>
        <w:rPr>
          <w:sz w:val="20"/>
        </w:rPr>
        <w:t>of education and training.</w:t>
      </w:r>
    </w:p>
    <w:p w14:paraId="5B30FBD7" w14:textId="77777777" w:rsidR="00AC6F3C" w:rsidRDefault="00AC6F3C">
      <w:pPr>
        <w:spacing w:line="249" w:lineRule="auto"/>
        <w:rPr>
          <w:sz w:val="20"/>
        </w:rPr>
        <w:sectPr w:rsidR="00AC6F3C">
          <w:headerReference w:type="default" r:id="rId132"/>
          <w:footerReference w:type="default" r:id="rId133"/>
          <w:pgSz w:w="11910" w:h="16840"/>
          <w:pgMar w:top="1140" w:right="1160" w:bottom="520" w:left="460" w:header="0" w:footer="336" w:gutter="0"/>
          <w:cols w:space="720"/>
        </w:sectPr>
      </w:pPr>
    </w:p>
    <w:p w14:paraId="013A5734" w14:textId="77777777" w:rsidR="00AC6F3C" w:rsidRDefault="00570E88">
      <w:pPr>
        <w:pStyle w:val="Heading9"/>
        <w:spacing w:before="71"/>
      </w:pPr>
      <w:r>
        <w:lastRenderedPageBreak/>
        <w:t>University</w:t>
      </w:r>
      <w:r>
        <w:rPr>
          <w:spacing w:val="-3"/>
        </w:rPr>
        <w:t xml:space="preserve"> </w:t>
      </w:r>
      <w:r>
        <w:t>of</w:t>
      </w:r>
      <w:r>
        <w:rPr>
          <w:spacing w:val="-2"/>
        </w:rPr>
        <w:t xml:space="preserve"> </w:t>
      </w:r>
      <w:r>
        <w:t>Southern</w:t>
      </w:r>
      <w:r>
        <w:rPr>
          <w:spacing w:val="-2"/>
        </w:rPr>
        <w:t xml:space="preserve"> </w:t>
      </w:r>
      <w:r>
        <w:t>Queensland</w:t>
      </w:r>
      <w:r>
        <w:rPr>
          <w:spacing w:val="-3"/>
        </w:rPr>
        <w:t xml:space="preserve"> </w:t>
      </w:r>
      <w:r>
        <w:t>and</w:t>
      </w:r>
      <w:r>
        <w:rPr>
          <w:spacing w:val="-2"/>
        </w:rPr>
        <w:t xml:space="preserve"> </w:t>
      </w:r>
      <w:r>
        <w:t>University</w:t>
      </w:r>
      <w:r>
        <w:rPr>
          <w:spacing w:val="-2"/>
        </w:rPr>
        <w:t xml:space="preserve"> </w:t>
      </w:r>
      <w:r>
        <w:t>of</w:t>
      </w:r>
      <w:r>
        <w:rPr>
          <w:spacing w:val="-3"/>
        </w:rPr>
        <w:t xml:space="preserve"> </w:t>
      </w:r>
      <w:r>
        <w:t>Queensland</w:t>
      </w:r>
      <w:r>
        <w:rPr>
          <w:spacing w:val="-2"/>
        </w:rPr>
        <w:t xml:space="preserve"> </w:t>
      </w:r>
      <w:r>
        <w:t>–</w:t>
      </w:r>
      <w:r>
        <w:rPr>
          <w:spacing w:val="-2"/>
        </w:rPr>
        <w:t xml:space="preserve"> </w:t>
      </w:r>
      <w:r>
        <w:t>Future</w:t>
      </w:r>
      <w:r>
        <w:rPr>
          <w:spacing w:val="-2"/>
        </w:rPr>
        <w:t xml:space="preserve"> ready</w:t>
      </w:r>
    </w:p>
    <w:p w14:paraId="36300F2D" w14:textId="77777777" w:rsidR="00AC6F3C" w:rsidRDefault="00570E88">
      <w:pPr>
        <w:pStyle w:val="BodyText"/>
        <w:spacing w:before="176" w:line="249" w:lineRule="auto"/>
        <w:ind w:left="815" w:right="157"/>
      </w:pPr>
      <w:r>
        <w:t>Increasing</w:t>
      </w:r>
      <w:r>
        <w:rPr>
          <w:spacing w:val="-3"/>
        </w:rPr>
        <w:t xml:space="preserve"> </w:t>
      </w:r>
      <w:proofErr w:type="spellStart"/>
      <w:r>
        <w:t>digitisation</w:t>
      </w:r>
      <w:proofErr w:type="spellEnd"/>
      <w:r>
        <w:rPr>
          <w:spacing w:val="-3"/>
        </w:rPr>
        <w:t xml:space="preserve"> </w:t>
      </w:r>
      <w:r>
        <w:t>and</w:t>
      </w:r>
      <w:r>
        <w:rPr>
          <w:spacing w:val="-3"/>
        </w:rPr>
        <w:t xml:space="preserve"> </w:t>
      </w:r>
      <w:r>
        <w:t>technological</w:t>
      </w:r>
      <w:r>
        <w:rPr>
          <w:spacing w:val="-3"/>
        </w:rPr>
        <w:t xml:space="preserve"> </w:t>
      </w:r>
      <w:r>
        <w:t>innovation</w:t>
      </w:r>
      <w:r>
        <w:rPr>
          <w:spacing w:val="-3"/>
        </w:rPr>
        <w:t xml:space="preserve"> </w:t>
      </w:r>
      <w:r>
        <w:t>is</w:t>
      </w:r>
      <w:r>
        <w:rPr>
          <w:spacing w:val="-3"/>
        </w:rPr>
        <w:t xml:space="preserve"> </w:t>
      </w:r>
      <w:r>
        <w:t>disrupting</w:t>
      </w:r>
      <w:r>
        <w:rPr>
          <w:spacing w:val="-3"/>
        </w:rPr>
        <w:t xml:space="preserve"> </w:t>
      </w:r>
      <w:r>
        <w:t>all</w:t>
      </w:r>
      <w:r>
        <w:rPr>
          <w:spacing w:val="-3"/>
        </w:rPr>
        <w:t xml:space="preserve"> </w:t>
      </w:r>
      <w:r>
        <w:t>service</w:t>
      </w:r>
      <w:r>
        <w:rPr>
          <w:spacing w:val="-3"/>
        </w:rPr>
        <w:t xml:space="preserve"> </w:t>
      </w:r>
      <w:r>
        <w:t>industries.</w:t>
      </w:r>
      <w:r>
        <w:rPr>
          <w:spacing w:val="-6"/>
        </w:rPr>
        <w:t xml:space="preserve"> </w:t>
      </w:r>
      <w:r>
        <w:t>The</w:t>
      </w:r>
      <w:r>
        <w:rPr>
          <w:spacing w:val="-3"/>
        </w:rPr>
        <w:t xml:space="preserve"> </w:t>
      </w:r>
      <w:r>
        <w:t>legal</w:t>
      </w:r>
      <w:r>
        <w:rPr>
          <w:spacing w:val="-3"/>
        </w:rPr>
        <w:t xml:space="preserve"> </w:t>
      </w:r>
      <w:r>
        <w:t>market</w:t>
      </w:r>
      <w:r>
        <w:rPr>
          <w:spacing w:val="-3"/>
        </w:rPr>
        <w:t xml:space="preserve"> </w:t>
      </w:r>
      <w:r>
        <w:t>is not immune to these changes and the next 20 years are anticipated to be a significant transitional phase for the legal sector.</w:t>
      </w:r>
    </w:p>
    <w:p w14:paraId="6CC30E68" w14:textId="77777777" w:rsidR="00AC6F3C" w:rsidRDefault="00570E88">
      <w:pPr>
        <w:pStyle w:val="BodyText"/>
        <w:spacing w:before="173" w:line="249" w:lineRule="auto"/>
        <w:ind w:left="815" w:right="163"/>
        <w:jc w:val="both"/>
      </w:pPr>
      <w:r>
        <w:t>While</w:t>
      </w:r>
      <w:r>
        <w:rPr>
          <w:spacing w:val="-2"/>
        </w:rPr>
        <w:t xml:space="preserve"> </w:t>
      </w:r>
      <w:r>
        <w:t>large</w:t>
      </w:r>
      <w:r>
        <w:rPr>
          <w:spacing w:val="-2"/>
        </w:rPr>
        <w:t xml:space="preserve"> </w:t>
      </w:r>
      <w:r>
        <w:t>and</w:t>
      </w:r>
      <w:r>
        <w:rPr>
          <w:spacing w:val="-2"/>
        </w:rPr>
        <w:t xml:space="preserve"> </w:t>
      </w:r>
      <w:r>
        <w:t>global</w:t>
      </w:r>
      <w:r>
        <w:rPr>
          <w:spacing w:val="-2"/>
        </w:rPr>
        <w:t xml:space="preserve"> </w:t>
      </w:r>
      <w:r>
        <w:t>legal</w:t>
      </w:r>
      <w:r>
        <w:rPr>
          <w:spacing w:val="-2"/>
        </w:rPr>
        <w:t xml:space="preserve"> </w:t>
      </w:r>
      <w:r>
        <w:t>practices</w:t>
      </w:r>
      <w:r>
        <w:rPr>
          <w:spacing w:val="-2"/>
        </w:rPr>
        <w:t xml:space="preserve"> </w:t>
      </w:r>
      <w:r>
        <w:t>are</w:t>
      </w:r>
      <w:r>
        <w:rPr>
          <w:spacing w:val="-2"/>
        </w:rPr>
        <w:t xml:space="preserve"> </w:t>
      </w:r>
      <w:r>
        <w:t>more</w:t>
      </w:r>
      <w:r>
        <w:rPr>
          <w:spacing w:val="-2"/>
        </w:rPr>
        <w:t xml:space="preserve"> </w:t>
      </w:r>
      <w:r>
        <w:t>likely</w:t>
      </w:r>
      <w:r>
        <w:rPr>
          <w:spacing w:val="-2"/>
        </w:rPr>
        <w:t xml:space="preserve"> </w:t>
      </w:r>
      <w:r>
        <w:t>to</w:t>
      </w:r>
      <w:r>
        <w:rPr>
          <w:spacing w:val="-2"/>
        </w:rPr>
        <w:t xml:space="preserve"> </w:t>
      </w:r>
      <w:r>
        <w:t>have</w:t>
      </w:r>
      <w:r>
        <w:rPr>
          <w:spacing w:val="-2"/>
        </w:rPr>
        <w:t xml:space="preserve"> </w:t>
      </w:r>
      <w:r>
        <w:t>the</w:t>
      </w:r>
      <w:r>
        <w:rPr>
          <w:spacing w:val="-2"/>
        </w:rPr>
        <w:t xml:space="preserve"> </w:t>
      </w:r>
      <w:r>
        <w:t>resources</w:t>
      </w:r>
      <w:r>
        <w:rPr>
          <w:spacing w:val="-2"/>
        </w:rPr>
        <w:t xml:space="preserve"> </w:t>
      </w:r>
      <w:r>
        <w:t>to</w:t>
      </w:r>
      <w:r>
        <w:rPr>
          <w:spacing w:val="-2"/>
        </w:rPr>
        <w:t xml:space="preserve"> </w:t>
      </w:r>
      <w:r>
        <w:t>adapt</w:t>
      </w:r>
      <w:r>
        <w:rPr>
          <w:spacing w:val="-2"/>
        </w:rPr>
        <w:t xml:space="preserve"> </w:t>
      </w:r>
      <w:r>
        <w:t>to</w:t>
      </w:r>
      <w:r>
        <w:rPr>
          <w:spacing w:val="-2"/>
        </w:rPr>
        <w:t xml:space="preserve"> </w:t>
      </w:r>
      <w:r>
        <w:t>changes</w:t>
      </w:r>
      <w:r>
        <w:rPr>
          <w:spacing w:val="-2"/>
        </w:rPr>
        <w:t xml:space="preserve"> </w:t>
      </w:r>
      <w:r>
        <w:t>within</w:t>
      </w:r>
      <w:r>
        <w:rPr>
          <w:spacing w:val="-2"/>
        </w:rPr>
        <w:t xml:space="preserve"> </w:t>
      </w:r>
      <w:r>
        <w:t>an appropriate timeframe, smaller legal practices risk being caught in a state of arrested development whilst attempting to navigate the running of the practice and the factors poised to disrupt them, such as:</w:t>
      </w:r>
    </w:p>
    <w:p w14:paraId="120CA804" w14:textId="77777777" w:rsidR="00AC6F3C" w:rsidRDefault="00570E88">
      <w:pPr>
        <w:pStyle w:val="ListParagraph"/>
        <w:numPr>
          <w:ilvl w:val="2"/>
          <w:numId w:val="49"/>
        </w:numPr>
        <w:tabs>
          <w:tab w:val="left" w:pos="1155"/>
        </w:tabs>
        <w:spacing w:before="172"/>
        <w:ind w:hanging="340"/>
        <w:rPr>
          <w:sz w:val="20"/>
        </w:rPr>
      </w:pPr>
      <w:r>
        <w:rPr>
          <w:sz w:val="20"/>
        </w:rPr>
        <w:t>Changing</w:t>
      </w:r>
      <w:r>
        <w:rPr>
          <w:spacing w:val="-7"/>
          <w:sz w:val="20"/>
        </w:rPr>
        <w:t xml:space="preserve"> </w:t>
      </w:r>
      <w:r>
        <w:rPr>
          <w:spacing w:val="-2"/>
          <w:sz w:val="20"/>
        </w:rPr>
        <w:t>demographics</w:t>
      </w:r>
    </w:p>
    <w:p w14:paraId="0A965B3A" w14:textId="77777777" w:rsidR="00AC6F3C" w:rsidRDefault="00570E88">
      <w:pPr>
        <w:pStyle w:val="ListParagraph"/>
        <w:numPr>
          <w:ilvl w:val="2"/>
          <w:numId w:val="49"/>
        </w:numPr>
        <w:tabs>
          <w:tab w:val="left" w:pos="1155"/>
        </w:tabs>
        <w:ind w:hanging="340"/>
        <w:rPr>
          <w:sz w:val="20"/>
        </w:rPr>
      </w:pPr>
      <w:r>
        <w:rPr>
          <w:sz w:val="20"/>
        </w:rPr>
        <w:t>Changing</w:t>
      </w:r>
      <w:r>
        <w:rPr>
          <w:spacing w:val="-3"/>
          <w:sz w:val="20"/>
        </w:rPr>
        <w:t xml:space="preserve"> </w:t>
      </w:r>
      <w:r>
        <w:rPr>
          <w:sz w:val="20"/>
        </w:rPr>
        <w:t>business</w:t>
      </w:r>
      <w:r>
        <w:rPr>
          <w:spacing w:val="-3"/>
          <w:sz w:val="20"/>
        </w:rPr>
        <w:t xml:space="preserve"> </w:t>
      </w:r>
      <w:r>
        <w:rPr>
          <w:sz w:val="20"/>
        </w:rPr>
        <w:t>structures,</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availability</w:t>
      </w:r>
      <w:r>
        <w:rPr>
          <w:spacing w:val="-3"/>
          <w:sz w:val="20"/>
        </w:rPr>
        <w:t xml:space="preserve"> </w:t>
      </w:r>
      <w:r>
        <w:rPr>
          <w:sz w:val="20"/>
        </w:rPr>
        <w:t>of</w:t>
      </w:r>
      <w:r>
        <w:rPr>
          <w:spacing w:val="-3"/>
          <w:sz w:val="20"/>
        </w:rPr>
        <w:t xml:space="preserve"> </w:t>
      </w:r>
      <w:r>
        <w:rPr>
          <w:sz w:val="20"/>
        </w:rPr>
        <w:t>incorporated</w:t>
      </w:r>
      <w:r>
        <w:rPr>
          <w:spacing w:val="-2"/>
          <w:sz w:val="20"/>
        </w:rPr>
        <w:t xml:space="preserve"> </w:t>
      </w:r>
      <w:r>
        <w:rPr>
          <w:sz w:val="20"/>
        </w:rPr>
        <w:t>legal</w:t>
      </w:r>
      <w:r>
        <w:rPr>
          <w:spacing w:val="-3"/>
          <w:sz w:val="20"/>
        </w:rPr>
        <w:t xml:space="preserve"> </w:t>
      </w:r>
      <w:r>
        <w:rPr>
          <w:sz w:val="20"/>
        </w:rPr>
        <w:t>practices</w:t>
      </w:r>
      <w:r>
        <w:rPr>
          <w:spacing w:val="-2"/>
          <w:sz w:val="20"/>
        </w:rPr>
        <w:t xml:space="preserve"> </w:t>
      </w:r>
      <w:r>
        <w:rPr>
          <w:sz w:val="20"/>
        </w:rPr>
        <w:t>and</w:t>
      </w:r>
      <w:r>
        <w:rPr>
          <w:spacing w:val="-3"/>
          <w:sz w:val="20"/>
        </w:rPr>
        <w:t xml:space="preserve"> </w:t>
      </w:r>
      <w:r>
        <w:rPr>
          <w:sz w:val="20"/>
        </w:rPr>
        <w:t>new</w:t>
      </w:r>
      <w:r>
        <w:rPr>
          <w:spacing w:val="-2"/>
          <w:sz w:val="20"/>
        </w:rPr>
        <w:t xml:space="preserve"> business</w:t>
      </w:r>
    </w:p>
    <w:p w14:paraId="45367545" w14:textId="77777777" w:rsidR="00AC6F3C" w:rsidRDefault="00570E88">
      <w:pPr>
        <w:pStyle w:val="BodyText"/>
        <w:spacing w:before="10"/>
        <w:ind w:left="1155"/>
      </w:pPr>
      <w:r>
        <w:rPr>
          <w:spacing w:val="-2"/>
        </w:rPr>
        <w:t>models</w:t>
      </w:r>
    </w:p>
    <w:p w14:paraId="553DB08E" w14:textId="77777777" w:rsidR="00AC6F3C" w:rsidRDefault="00570E88">
      <w:pPr>
        <w:pStyle w:val="ListParagraph"/>
        <w:numPr>
          <w:ilvl w:val="2"/>
          <w:numId w:val="49"/>
        </w:numPr>
        <w:tabs>
          <w:tab w:val="left" w:pos="1155"/>
        </w:tabs>
        <w:ind w:hanging="340"/>
        <w:rPr>
          <w:sz w:val="20"/>
        </w:rPr>
      </w:pPr>
      <w:r>
        <w:rPr>
          <w:sz w:val="20"/>
        </w:rPr>
        <w:t>Changing</w:t>
      </w:r>
      <w:r>
        <w:rPr>
          <w:spacing w:val="-2"/>
          <w:sz w:val="20"/>
        </w:rPr>
        <w:t xml:space="preserve"> </w:t>
      </w:r>
      <w:r>
        <w:rPr>
          <w:sz w:val="20"/>
        </w:rPr>
        <w:t>client</w:t>
      </w:r>
      <w:r>
        <w:rPr>
          <w:spacing w:val="-1"/>
          <w:sz w:val="20"/>
        </w:rPr>
        <w:t xml:space="preserve"> </w:t>
      </w:r>
      <w:r>
        <w:rPr>
          <w:sz w:val="20"/>
        </w:rPr>
        <w:t>needs</w:t>
      </w:r>
      <w:r>
        <w:rPr>
          <w:spacing w:val="-2"/>
          <w:sz w:val="20"/>
        </w:rPr>
        <w:t xml:space="preserve"> </w:t>
      </w:r>
      <w:r>
        <w:rPr>
          <w:sz w:val="20"/>
        </w:rPr>
        <w:t>and</w:t>
      </w:r>
      <w:r>
        <w:rPr>
          <w:spacing w:val="-1"/>
          <w:sz w:val="20"/>
        </w:rPr>
        <w:t xml:space="preserve"> </w:t>
      </w:r>
      <w:r>
        <w:rPr>
          <w:sz w:val="20"/>
        </w:rPr>
        <w:t>expectations</w:t>
      </w:r>
      <w:r>
        <w:rPr>
          <w:spacing w:val="-2"/>
          <w:sz w:val="20"/>
        </w:rPr>
        <w:t xml:space="preserve"> </w:t>
      </w:r>
      <w:r>
        <w:rPr>
          <w:sz w:val="20"/>
        </w:rPr>
        <w:t>of</w:t>
      </w:r>
      <w:r>
        <w:rPr>
          <w:spacing w:val="-1"/>
          <w:sz w:val="20"/>
        </w:rPr>
        <w:t xml:space="preserve"> </w:t>
      </w:r>
      <w:r>
        <w:rPr>
          <w:spacing w:val="-2"/>
          <w:sz w:val="20"/>
        </w:rPr>
        <w:t>value</w:t>
      </w:r>
    </w:p>
    <w:p w14:paraId="3AAB2548" w14:textId="77777777" w:rsidR="00AC6F3C" w:rsidRDefault="00570E88">
      <w:pPr>
        <w:pStyle w:val="ListParagraph"/>
        <w:numPr>
          <w:ilvl w:val="2"/>
          <w:numId w:val="49"/>
        </w:numPr>
        <w:tabs>
          <w:tab w:val="left" w:pos="1155"/>
        </w:tabs>
        <w:ind w:hanging="340"/>
        <w:rPr>
          <w:sz w:val="20"/>
        </w:rPr>
      </w:pPr>
      <w:proofErr w:type="spellStart"/>
      <w:r>
        <w:rPr>
          <w:sz w:val="20"/>
        </w:rPr>
        <w:t>Labour</w:t>
      </w:r>
      <w:proofErr w:type="spellEnd"/>
      <w:r>
        <w:rPr>
          <w:spacing w:val="-3"/>
          <w:sz w:val="20"/>
        </w:rPr>
        <w:t xml:space="preserve"> </w:t>
      </w:r>
      <w:r>
        <w:rPr>
          <w:sz w:val="20"/>
        </w:rPr>
        <w:t>shortages</w:t>
      </w:r>
      <w:r>
        <w:rPr>
          <w:spacing w:val="-2"/>
          <w:sz w:val="20"/>
        </w:rPr>
        <w:t xml:space="preserve"> </w:t>
      </w:r>
      <w:r>
        <w:rPr>
          <w:sz w:val="20"/>
        </w:rPr>
        <w:t>and</w:t>
      </w:r>
      <w:r>
        <w:rPr>
          <w:spacing w:val="-2"/>
          <w:sz w:val="20"/>
        </w:rPr>
        <w:t xml:space="preserve"> </w:t>
      </w:r>
      <w:r>
        <w:rPr>
          <w:sz w:val="20"/>
        </w:rPr>
        <w:t>a</w:t>
      </w:r>
      <w:r>
        <w:rPr>
          <w:spacing w:val="-2"/>
          <w:sz w:val="20"/>
        </w:rPr>
        <w:t xml:space="preserve"> </w:t>
      </w:r>
      <w:r>
        <w:rPr>
          <w:sz w:val="20"/>
        </w:rPr>
        <w:t>struggle</w:t>
      </w:r>
      <w:r>
        <w:rPr>
          <w:spacing w:val="-3"/>
          <w:sz w:val="20"/>
        </w:rPr>
        <w:t xml:space="preserve"> </w:t>
      </w:r>
      <w:r>
        <w:rPr>
          <w:sz w:val="20"/>
        </w:rPr>
        <w:t>for</w:t>
      </w:r>
      <w:r>
        <w:rPr>
          <w:spacing w:val="-2"/>
          <w:sz w:val="20"/>
        </w:rPr>
        <w:t xml:space="preserve"> </w:t>
      </w:r>
      <w:r>
        <w:rPr>
          <w:sz w:val="20"/>
        </w:rPr>
        <w:t>talent</w:t>
      </w:r>
      <w:r>
        <w:rPr>
          <w:spacing w:val="-2"/>
          <w:sz w:val="20"/>
        </w:rPr>
        <w:t xml:space="preserve"> </w:t>
      </w:r>
      <w:r>
        <w:rPr>
          <w:sz w:val="20"/>
        </w:rPr>
        <w:t>attraction</w:t>
      </w:r>
      <w:r>
        <w:rPr>
          <w:spacing w:val="-2"/>
          <w:sz w:val="20"/>
        </w:rPr>
        <w:t xml:space="preserve"> </w:t>
      </w:r>
      <w:r>
        <w:rPr>
          <w:sz w:val="20"/>
        </w:rPr>
        <w:t>and</w:t>
      </w:r>
      <w:r>
        <w:rPr>
          <w:spacing w:val="-2"/>
          <w:sz w:val="20"/>
        </w:rPr>
        <w:t xml:space="preserve"> retention</w:t>
      </w:r>
    </w:p>
    <w:p w14:paraId="52C211FF" w14:textId="77777777" w:rsidR="00AC6F3C" w:rsidRDefault="00570E88">
      <w:pPr>
        <w:pStyle w:val="ListParagraph"/>
        <w:numPr>
          <w:ilvl w:val="2"/>
          <w:numId w:val="49"/>
        </w:numPr>
        <w:tabs>
          <w:tab w:val="left" w:pos="1155"/>
        </w:tabs>
        <w:ind w:hanging="340"/>
        <w:rPr>
          <w:sz w:val="20"/>
        </w:rPr>
      </w:pPr>
      <w:r>
        <w:rPr>
          <w:sz w:val="20"/>
        </w:rPr>
        <w:t>Legal</w:t>
      </w:r>
      <w:r>
        <w:rPr>
          <w:spacing w:val="-2"/>
          <w:sz w:val="20"/>
        </w:rPr>
        <w:t xml:space="preserve"> </w:t>
      </w:r>
      <w:r>
        <w:rPr>
          <w:sz w:val="20"/>
        </w:rPr>
        <w:t>technology</w:t>
      </w:r>
      <w:r>
        <w:rPr>
          <w:spacing w:val="-2"/>
          <w:sz w:val="20"/>
        </w:rPr>
        <w:t xml:space="preserve"> </w:t>
      </w:r>
      <w:r>
        <w:rPr>
          <w:sz w:val="20"/>
        </w:rPr>
        <w:t>and</w:t>
      </w:r>
      <w:r>
        <w:rPr>
          <w:spacing w:val="-1"/>
          <w:sz w:val="20"/>
        </w:rPr>
        <w:t xml:space="preserve"> </w:t>
      </w:r>
      <w:r>
        <w:rPr>
          <w:sz w:val="20"/>
        </w:rPr>
        <w:t>the</w:t>
      </w:r>
      <w:r>
        <w:rPr>
          <w:spacing w:val="-2"/>
          <w:sz w:val="20"/>
        </w:rPr>
        <w:t xml:space="preserve"> </w:t>
      </w:r>
      <w:r>
        <w:rPr>
          <w:sz w:val="20"/>
        </w:rPr>
        <w:t>rise</w:t>
      </w:r>
      <w:r>
        <w:rPr>
          <w:spacing w:val="-1"/>
          <w:sz w:val="20"/>
        </w:rPr>
        <w:t xml:space="preserve"> </w:t>
      </w:r>
      <w:r>
        <w:rPr>
          <w:sz w:val="20"/>
        </w:rPr>
        <w:t>of</w:t>
      </w:r>
      <w:r>
        <w:rPr>
          <w:spacing w:val="-2"/>
          <w:sz w:val="20"/>
        </w:rPr>
        <w:t xml:space="preserve"> </w:t>
      </w:r>
      <w:r>
        <w:rPr>
          <w:sz w:val="20"/>
        </w:rPr>
        <w:t>legal</w:t>
      </w:r>
      <w:r>
        <w:rPr>
          <w:spacing w:val="-1"/>
          <w:sz w:val="20"/>
        </w:rPr>
        <w:t xml:space="preserve"> </w:t>
      </w:r>
      <w:r>
        <w:rPr>
          <w:sz w:val="20"/>
        </w:rPr>
        <w:t>operations</w:t>
      </w:r>
      <w:r>
        <w:rPr>
          <w:spacing w:val="-2"/>
          <w:sz w:val="20"/>
        </w:rPr>
        <w:t xml:space="preserve"> </w:t>
      </w:r>
      <w:r>
        <w:rPr>
          <w:sz w:val="20"/>
        </w:rPr>
        <w:t>as</w:t>
      </w:r>
      <w:r>
        <w:rPr>
          <w:spacing w:val="-1"/>
          <w:sz w:val="20"/>
        </w:rPr>
        <w:t xml:space="preserve"> </w:t>
      </w:r>
      <w:r>
        <w:rPr>
          <w:sz w:val="20"/>
        </w:rPr>
        <w:t>its</w:t>
      </w:r>
      <w:r>
        <w:rPr>
          <w:spacing w:val="-2"/>
          <w:sz w:val="20"/>
        </w:rPr>
        <w:t xml:space="preserve"> </w:t>
      </w:r>
      <w:r>
        <w:rPr>
          <w:sz w:val="20"/>
        </w:rPr>
        <w:t>own</w:t>
      </w:r>
      <w:r>
        <w:rPr>
          <w:spacing w:val="-1"/>
          <w:sz w:val="20"/>
        </w:rPr>
        <w:t xml:space="preserve"> </w:t>
      </w:r>
      <w:r>
        <w:rPr>
          <w:spacing w:val="-2"/>
          <w:sz w:val="20"/>
        </w:rPr>
        <w:t>discipline</w:t>
      </w:r>
    </w:p>
    <w:p w14:paraId="7A39517A" w14:textId="77777777" w:rsidR="00AC6F3C" w:rsidRDefault="00570E88">
      <w:pPr>
        <w:pStyle w:val="ListParagraph"/>
        <w:numPr>
          <w:ilvl w:val="2"/>
          <w:numId w:val="49"/>
        </w:numPr>
        <w:tabs>
          <w:tab w:val="left" w:pos="1155"/>
        </w:tabs>
        <w:spacing w:line="249" w:lineRule="auto"/>
        <w:ind w:right="889"/>
        <w:rPr>
          <w:sz w:val="20"/>
        </w:rPr>
      </w:pPr>
      <w:r>
        <w:rPr>
          <w:sz w:val="20"/>
        </w:rPr>
        <w:t>Innovation</w:t>
      </w:r>
      <w:r>
        <w:rPr>
          <w:spacing w:val="-3"/>
          <w:sz w:val="20"/>
        </w:rPr>
        <w:t xml:space="preserve"> </w:t>
      </w:r>
      <w:r>
        <w:rPr>
          <w:sz w:val="20"/>
        </w:rPr>
        <w:t>culture</w:t>
      </w:r>
      <w:r>
        <w:rPr>
          <w:spacing w:val="-3"/>
          <w:sz w:val="20"/>
        </w:rPr>
        <w:t xml:space="preserve"> </w:t>
      </w:r>
      <w:r>
        <w:rPr>
          <w:sz w:val="20"/>
        </w:rPr>
        <w:t>and</w:t>
      </w:r>
      <w:r>
        <w:rPr>
          <w:spacing w:val="-3"/>
          <w:sz w:val="20"/>
        </w:rPr>
        <w:t xml:space="preserve"> </w:t>
      </w:r>
      <w:r>
        <w:rPr>
          <w:sz w:val="20"/>
        </w:rPr>
        <w:t>expectations</w:t>
      </w:r>
      <w:r>
        <w:rPr>
          <w:spacing w:val="-3"/>
          <w:sz w:val="20"/>
        </w:rPr>
        <w:t xml:space="preserve"> </w:t>
      </w:r>
      <w:r>
        <w:rPr>
          <w:sz w:val="20"/>
        </w:rPr>
        <w:t>of</w:t>
      </w:r>
      <w:r>
        <w:rPr>
          <w:spacing w:val="-3"/>
          <w:sz w:val="20"/>
        </w:rPr>
        <w:t xml:space="preserve"> </w:t>
      </w:r>
      <w:r>
        <w:rPr>
          <w:sz w:val="20"/>
        </w:rPr>
        <w:t>agility</w:t>
      </w:r>
      <w:r>
        <w:rPr>
          <w:spacing w:val="-3"/>
          <w:sz w:val="20"/>
        </w:rPr>
        <w:t xml:space="preserve"> </w:t>
      </w:r>
      <w:r>
        <w:rPr>
          <w:sz w:val="20"/>
        </w:rPr>
        <w:t>brought</w:t>
      </w:r>
      <w:r>
        <w:rPr>
          <w:spacing w:val="-3"/>
          <w:sz w:val="20"/>
        </w:rPr>
        <w:t xml:space="preserve"> </w:t>
      </w:r>
      <w:r>
        <w:rPr>
          <w:sz w:val="20"/>
        </w:rPr>
        <w:t>about</w:t>
      </w:r>
      <w:r>
        <w:rPr>
          <w:spacing w:val="-3"/>
          <w:sz w:val="20"/>
        </w:rPr>
        <w:t xml:space="preserve"> </w:t>
      </w:r>
      <w:r>
        <w:rPr>
          <w:sz w:val="20"/>
        </w:rPr>
        <w:t>by</w:t>
      </w:r>
      <w:r>
        <w:rPr>
          <w:spacing w:val="-3"/>
          <w:sz w:val="20"/>
        </w:rPr>
        <w:t xml:space="preserve"> </w:t>
      </w:r>
      <w:r>
        <w:rPr>
          <w:sz w:val="20"/>
        </w:rPr>
        <w:t>digital</w:t>
      </w:r>
      <w:r>
        <w:rPr>
          <w:spacing w:val="-3"/>
          <w:sz w:val="20"/>
        </w:rPr>
        <w:t xml:space="preserve"> </w:t>
      </w:r>
      <w:r>
        <w:rPr>
          <w:sz w:val="20"/>
        </w:rPr>
        <w:t>businesses</w:t>
      </w:r>
      <w:r>
        <w:rPr>
          <w:spacing w:val="-3"/>
          <w:sz w:val="20"/>
        </w:rPr>
        <w:t xml:space="preserve"> </w:t>
      </w:r>
      <w:r>
        <w:rPr>
          <w:sz w:val="20"/>
        </w:rPr>
        <w:t>like</w:t>
      </w:r>
      <w:r>
        <w:rPr>
          <w:spacing w:val="-3"/>
          <w:sz w:val="20"/>
        </w:rPr>
        <w:t xml:space="preserve"> </w:t>
      </w:r>
      <w:r>
        <w:rPr>
          <w:sz w:val="20"/>
        </w:rPr>
        <w:t>Google, Meta or Amazon</w:t>
      </w:r>
    </w:p>
    <w:p w14:paraId="03F7C077" w14:textId="77777777" w:rsidR="00AC6F3C" w:rsidRDefault="00570E88">
      <w:pPr>
        <w:pStyle w:val="ListParagraph"/>
        <w:numPr>
          <w:ilvl w:val="2"/>
          <w:numId w:val="49"/>
        </w:numPr>
        <w:tabs>
          <w:tab w:val="left" w:pos="1155"/>
        </w:tabs>
        <w:spacing w:before="172" w:line="249" w:lineRule="auto"/>
        <w:ind w:right="767"/>
        <w:rPr>
          <w:sz w:val="20"/>
        </w:rPr>
      </w:pPr>
      <w:r>
        <w:rPr>
          <w:sz w:val="20"/>
        </w:rPr>
        <w:t>The</w:t>
      </w:r>
      <w:r>
        <w:rPr>
          <w:spacing w:val="-3"/>
          <w:sz w:val="20"/>
        </w:rPr>
        <w:t xml:space="preserve"> </w:t>
      </w:r>
      <w:r>
        <w:rPr>
          <w:sz w:val="20"/>
        </w:rPr>
        <w:t>COVID-19</w:t>
      </w:r>
      <w:r>
        <w:rPr>
          <w:spacing w:val="-3"/>
          <w:sz w:val="20"/>
        </w:rPr>
        <w:t xml:space="preserve"> </w:t>
      </w:r>
      <w:r>
        <w:rPr>
          <w:sz w:val="20"/>
        </w:rPr>
        <w:t>pandemic,</w:t>
      </w:r>
      <w:r>
        <w:rPr>
          <w:spacing w:val="-3"/>
          <w:sz w:val="20"/>
        </w:rPr>
        <w:t xml:space="preserve"> </w:t>
      </w:r>
      <w:r>
        <w:rPr>
          <w:sz w:val="20"/>
        </w:rPr>
        <w:t>which</w:t>
      </w:r>
      <w:r>
        <w:rPr>
          <w:spacing w:val="-3"/>
          <w:sz w:val="20"/>
        </w:rPr>
        <w:t xml:space="preserve"> </w:t>
      </w:r>
      <w:r>
        <w:rPr>
          <w:sz w:val="20"/>
        </w:rPr>
        <w:t>expedited</w:t>
      </w:r>
      <w:r>
        <w:rPr>
          <w:spacing w:val="-3"/>
          <w:sz w:val="20"/>
        </w:rPr>
        <w:t xml:space="preserve"> </w:t>
      </w:r>
      <w:r>
        <w:rPr>
          <w:sz w:val="20"/>
        </w:rPr>
        <w:t>the</w:t>
      </w:r>
      <w:r>
        <w:rPr>
          <w:spacing w:val="-3"/>
          <w:sz w:val="20"/>
        </w:rPr>
        <w:t xml:space="preserve"> </w:t>
      </w:r>
      <w:r>
        <w:rPr>
          <w:sz w:val="20"/>
        </w:rPr>
        <w:t>adoption</w:t>
      </w:r>
      <w:r>
        <w:rPr>
          <w:spacing w:val="-3"/>
          <w:sz w:val="20"/>
        </w:rPr>
        <w:t xml:space="preserve"> </w:t>
      </w:r>
      <w:r>
        <w:rPr>
          <w:sz w:val="20"/>
        </w:rPr>
        <w:t>of</w:t>
      </w:r>
      <w:r>
        <w:rPr>
          <w:spacing w:val="-3"/>
          <w:sz w:val="20"/>
        </w:rPr>
        <w:t xml:space="preserve"> </w:t>
      </w:r>
      <w:r>
        <w:rPr>
          <w:sz w:val="20"/>
        </w:rPr>
        <w:t>technology</w:t>
      </w:r>
      <w:r>
        <w:rPr>
          <w:spacing w:val="-3"/>
          <w:sz w:val="20"/>
        </w:rPr>
        <w:t xml:space="preserve"> </w:t>
      </w:r>
      <w:r>
        <w:rPr>
          <w:sz w:val="20"/>
        </w:rPr>
        <w:t>and</w:t>
      </w:r>
      <w:r>
        <w:rPr>
          <w:spacing w:val="-3"/>
          <w:sz w:val="20"/>
        </w:rPr>
        <w:t xml:space="preserve"> </w:t>
      </w:r>
      <w:r>
        <w:rPr>
          <w:sz w:val="20"/>
        </w:rPr>
        <w:t>hybrid</w:t>
      </w:r>
      <w:r>
        <w:rPr>
          <w:spacing w:val="-3"/>
          <w:sz w:val="20"/>
        </w:rPr>
        <w:t xml:space="preserve"> </w:t>
      </w:r>
      <w:r>
        <w:rPr>
          <w:sz w:val="20"/>
        </w:rPr>
        <w:t>working</w:t>
      </w:r>
      <w:r>
        <w:rPr>
          <w:spacing w:val="-3"/>
          <w:sz w:val="20"/>
        </w:rPr>
        <w:t xml:space="preserve"> </w:t>
      </w:r>
      <w:r>
        <w:rPr>
          <w:sz w:val="20"/>
        </w:rPr>
        <w:t>as</w:t>
      </w:r>
      <w:r>
        <w:rPr>
          <w:spacing w:val="-3"/>
          <w:sz w:val="20"/>
        </w:rPr>
        <w:t xml:space="preserve"> </w:t>
      </w:r>
      <w:r>
        <w:rPr>
          <w:sz w:val="20"/>
        </w:rPr>
        <w:t>a response to lockdowns and isolation.</w:t>
      </w:r>
    </w:p>
    <w:p w14:paraId="529F548B" w14:textId="77777777" w:rsidR="00AC6F3C" w:rsidRDefault="00570E88">
      <w:pPr>
        <w:pStyle w:val="BodyText"/>
        <w:spacing w:before="171" w:line="249" w:lineRule="auto"/>
        <w:ind w:left="815" w:right="522"/>
        <w:jc w:val="both"/>
      </w:pPr>
      <w:r>
        <w:t>QLS</w:t>
      </w:r>
      <w:r>
        <w:rPr>
          <w:spacing w:val="-3"/>
        </w:rPr>
        <w:t xml:space="preserve"> </w:t>
      </w:r>
      <w:r>
        <w:t>saw</w:t>
      </w:r>
      <w:r>
        <w:rPr>
          <w:spacing w:val="-3"/>
        </w:rPr>
        <w:t xml:space="preserve"> </w:t>
      </w:r>
      <w:r>
        <w:t>a</w:t>
      </w:r>
      <w:r>
        <w:rPr>
          <w:spacing w:val="-3"/>
        </w:rPr>
        <w:t xml:space="preserve"> </w:t>
      </w:r>
      <w:r>
        <w:t>strategic</w:t>
      </w:r>
      <w:r>
        <w:rPr>
          <w:spacing w:val="-3"/>
        </w:rPr>
        <w:t xml:space="preserve"> </w:t>
      </w:r>
      <w:r>
        <w:t>need</w:t>
      </w:r>
      <w:r>
        <w:rPr>
          <w:spacing w:val="-3"/>
        </w:rPr>
        <w:t xml:space="preserve"> </w:t>
      </w:r>
      <w:r>
        <w:t>to</w:t>
      </w:r>
      <w:r>
        <w:rPr>
          <w:spacing w:val="-3"/>
        </w:rPr>
        <w:t xml:space="preserve"> </w:t>
      </w:r>
      <w:r>
        <w:t>baseline</w:t>
      </w:r>
      <w:r>
        <w:rPr>
          <w:spacing w:val="-3"/>
        </w:rPr>
        <w:t xml:space="preserve"> </w:t>
      </w:r>
      <w:r>
        <w:t>Queensland</w:t>
      </w:r>
      <w:r>
        <w:rPr>
          <w:spacing w:val="-3"/>
        </w:rPr>
        <w:t xml:space="preserve"> </w:t>
      </w:r>
      <w:r>
        <w:t>law</w:t>
      </w:r>
      <w:r>
        <w:rPr>
          <w:spacing w:val="-3"/>
        </w:rPr>
        <w:t xml:space="preserve"> </w:t>
      </w:r>
      <w:r>
        <w:t>firm’s</w:t>
      </w:r>
      <w:r>
        <w:rPr>
          <w:spacing w:val="-3"/>
        </w:rPr>
        <w:t xml:space="preserve"> </w:t>
      </w:r>
      <w:r>
        <w:t>capabilities</w:t>
      </w:r>
      <w:r>
        <w:rPr>
          <w:spacing w:val="-3"/>
        </w:rPr>
        <w:t xml:space="preserve"> </w:t>
      </w:r>
      <w:r>
        <w:t>and</w:t>
      </w:r>
      <w:r>
        <w:rPr>
          <w:spacing w:val="-3"/>
        </w:rPr>
        <w:t xml:space="preserve"> </w:t>
      </w:r>
      <w:r>
        <w:t>capacity</w:t>
      </w:r>
      <w:r>
        <w:rPr>
          <w:spacing w:val="-3"/>
        </w:rPr>
        <w:t xml:space="preserve"> </w:t>
      </w:r>
      <w:r>
        <w:t>to</w:t>
      </w:r>
      <w:r>
        <w:rPr>
          <w:spacing w:val="-3"/>
        </w:rPr>
        <w:t xml:space="preserve"> </w:t>
      </w:r>
      <w:r>
        <w:t>respond</w:t>
      </w:r>
      <w:r>
        <w:rPr>
          <w:spacing w:val="-3"/>
        </w:rPr>
        <w:t xml:space="preserve"> </w:t>
      </w:r>
      <w:r>
        <w:t>and thrive in a time of change by assessing a number of relevant attributes and, with that knowledge, plot high-impact strategies to equip law firms to make any necessary transition.</w:t>
      </w:r>
    </w:p>
    <w:p w14:paraId="457B44FE" w14:textId="77777777" w:rsidR="00AC6F3C" w:rsidRDefault="00570E88">
      <w:pPr>
        <w:pStyle w:val="BodyText"/>
        <w:spacing w:before="173" w:line="249" w:lineRule="auto"/>
        <w:ind w:left="815" w:right="322"/>
      </w:pPr>
      <w:r>
        <w:t>In</w:t>
      </w:r>
      <w:r>
        <w:rPr>
          <w:spacing w:val="-3"/>
        </w:rPr>
        <w:t xml:space="preserve"> </w:t>
      </w:r>
      <w:r>
        <w:t>response,</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commissioned</w:t>
      </w:r>
      <w:r>
        <w:rPr>
          <w:spacing w:val="-3"/>
        </w:rPr>
        <w:t xml:space="preserve"> </w:t>
      </w:r>
      <w:r>
        <w:t>a</w:t>
      </w:r>
      <w:r>
        <w:rPr>
          <w:spacing w:val="-3"/>
        </w:rPr>
        <w:t xml:space="preserve"> </w:t>
      </w:r>
      <w:r>
        <w:t>research</w:t>
      </w:r>
      <w:r>
        <w:rPr>
          <w:spacing w:val="-3"/>
        </w:rPr>
        <w:t xml:space="preserve"> </w:t>
      </w:r>
      <w:r>
        <w:t>project</w:t>
      </w:r>
      <w:r>
        <w:rPr>
          <w:spacing w:val="-3"/>
        </w:rPr>
        <w:t xml:space="preserve"> </w:t>
      </w:r>
      <w:r>
        <w:t>undertaken</w:t>
      </w:r>
      <w:r>
        <w:rPr>
          <w:spacing w:val="-3"/>
        </w:rPr>
        <w:t xml:space="preserve"> </w:t>
      </w:r>
      <w:r>
        <w:t>by</w:t>
      </w:r>
      <w:r>
        <w:rPr>
          <w:spacing w:val="-3"/>
        </w:rPr>
        <w:t xml:space="preserve"> </w:t>
      </w:r>
      <w:r>
        <w:t>the</w:t>
      </w:r>
      <w:r>
        <w:rPr>
          <w:spacing w:val="-3"/>
        </w:rPr>
        <w:t xml:space="preserve"> </w:t>
      </w:r>
      <w:r>
        <w:t>Law</w:t>
      </w:r>
      <w:r>
        <w:rPr>
          <w:spacing w:val="-3"/>
        </w:rPr>
        <w:t xml:space="preserve"> </w:t>
      </w:r>
      <w:r>
        <w:t>School of University of Southern Queensland, supported by the University of Queensland, to:</w:t>
      </w:r>
    </w:p>
    <w:p w14:paraId="25129EB7" w14:textId="77777777" w:rsidR="00AC6F3C" w:rsidRDefault="00570E88">
      <w:pPr>
        <w:pStyle w:val="ListParagraph"/>
        <w:numPr>
          <w:ilvl w:val="2"/>
          <w:numId w:val="49"/>
        </w:numPr>
        <w:tabs>
          <w:tab w:val="left" w:pos="1155"/>
        </w:tabs>
        <w:spacing w:before="172"/>
        <w:ind w:hanging="340"/>
        <w:rPr>
          <w:sz w:val="20"/>
        </w:rPr>
      </w:pPr>
      <w:r>
        <w:rPr>
          <w:sz w:val="20"/>
        </w:rPr>
        <w:t>baseline</w:t>
      </w:r>
      <w:r>
        <w:rPr>
          <w:spacing w:val="-4"/>
          <w:sz w:val="20"/>
        </w:rPr>
        <w:t xml:space="preserve"> </w:t>
      </w:r>
      <w:r>
        <w:rPr>
          <w:sz w:val="20"/>
        </w:rPr>
        <w:t>Queensland</w:t>
      </w:r>
      <w:r>
        <w:rPr>
          <w:spacing w:val="-3"/>
          <w:sz w:val="20"/>
        </w:rPr>
        <w:t xml:space="preserve"> </w:t>
      </w:r>
      <w:r>
        <w:rPr>
          <w:sz w:val="20"/>
        </w:rPr>
        <w:t>law</w:t>
      </w:r>
      <w:r>
        <w:rPr>
          <w:spacing w:val="-4"/>
          <w:sz w:val="20"/>
        </w:rPr>
        <w:t xml:space="preserve"> </w:t>
      </w:r>
      <w:r>
        <w:rPr>
          <w:sz w:val="20"/>
        </w:rPr>
        <w:t>firms’</w:t>
      </w:r>
      <w:r>
        <w:rPr>
          <w:spacing w:val="-10"/>
          <w:sz w:val="20"/>
        </w:rPr>
        <w:t xml:space="preserve"> </w:t>
      </w:r>
      <w:r>
        <w:rPr>
          <w:sz w:val="20"/>
        </w:rPr>
        <w:t>ability</w:t>
      </w:r>
      <w:r>
        <w:rPr>
          <w:spacing w:val="-4"/>
          <w:sz w:val="20"/>
        </w:rPr>
        <w:t xml:space="preserve"> </w:t>
      </w:r>
      <w:r>
        <w:rPr>
          <w:sz w:val="20"/>
        </w:rPr>
        <w:t>to</w:t>
      </w:r>
      <w:r>
        <w:rPr>
          <w:spacing w:val="-3"/>
          <w:sz w:val="20"/>
        </w:rPr>
        <w:t xml:space="preserve"> </w:t>
      </w:r>
      <w:r>
        <w:rPr>
          <w:sz w:val="20"/>
        </w:rPr>
        <w:t>meet</w:t>
      </w:r>
      <w:r>
        <w:rPr>
          <w:spacing w:val="-3"/>
          <w:sz w:val="20"/>
        </w:rPr>
        <w:t xml:space="preserve"> </w:t>
      </w:r>
      <w:r>
        <w:rPr>
          <w:spacing w:val="-2"/>
          <w:sz w:val="20"/>
        </w:rPr>
        <w:t>disruption</w:t>
      </w:r>
    </w:p>
    <w:p w14:paraId="565F8F2C" w14:textId="77777777" w:rsidR="00AC6F3C" w:rsidRDefault="00570E88">
      <w:pPr>
        <w:pStyle w:val="ListParagraph"/>
        <w:numPr>
          <w:ilvl w:val="2"/>
          <w:numId w:val="49"/>
        </w:numPr>
        <w:tabs>
          <w:tab w:val="left" w:pos="1155"/>
        </w:tabs>
        <w:spacing w:line="249" w:lineRule="auto"/>
        <w:ind w:right="1078"/>
        <w:rPr>
          <w:sz w:val="20"/>
        </w:rPr>
      </w:pPr>
      <w:r>
        <w:rPr>
          <w:sz w:val="20"/>
        </w:rPr>
        <w:t>identify</w:t>
      </w:r>
      <w:r>
        <w:rPr>
          <w:spacing w:val="-3"/>
          <w:sz w:val="20"/>
        </w:rPr>
        <w:t xml:space="preserve"> </w:t>
      </w:r>
      <w:r>
        <w:rPr>
          <w:sz w:val="20"/>
        </w:rPr>
        <w:t>the</w:t>
      </w:r>
      <w:r>
        <w:rPr>
          <w:spacing w:val="-3"/>
          <w:sz w:val="20"/>
        </w:rPr>
        <w:t xml:space="preserve"> </w:t>
      </w:r>
      <w:r>
        <w:rPr>
          <w:sz w:val="20"/>
        </w:rPr>
        <w:t>barriers</w:t>
      </w:r>
      <w:r>
        <w:rPr>
          <w:spacing w:val="-3"/>
          <w:sz w:val="20"/>
        </w:rPr>
        <w:t xml:space="preserve"> </w:t>
      </w:r>
      <w:r>
        <w:rPr>
          <w:sz w:val="20"/>
        </w:rPr>
        <w:t>to</w:t>
      </w:r>
      <w:r>
        <w:rPr>
          <w:spacing w:val="-3"/>
          <w:sz w:val="20"/>
        </w:rPr>
        <w:t xml:space="preserve"> </w:t>
      </w:r>
      <w:r>
        <w:rPr>
          <w:sz w:val="20"/>
        </w:rPr>
        <w:t>managing</w:t>
      </w:r>
      <w:r>
        <w:rPr>
          <w:spacing w:val="-3"/>
          <w:sz w:val="20"/>
        </w:rPr>
        <w:t xml:space="preserve"> </w:t>
      </w:r>
      <w:r>
        <w:rPr>
          <w:sz w:val="20"/>
        </w:rPr>
        <w:t>disruption</w:t>
      </w:r>
      <w:r>
        <w:rPr>
          <w:spacing w:val="-3"/>
          <w:sz w:val="20"/>
        </w:rPr>
        <w:t xml:space="preserve"> </w:t>
      </w:r>
      <w:r>
        <w:rPr>
          <w:sz w:val="20"/>
        </w:rPr>
        <w:t>and</w:t>
      </w:r>
      <w:r>
        <w:rPr>
          <w:spacing w:val="-3"/>
          <w:sz w:val="20"/>
        </w:rPr>
        <w:t xml:space="preserve"> </w:t>
      </w:r>
      <w:r>
        <w:rPr>
          <w:sz w:val="20"/>
        </w:rPr>
        <w:t>what</w:t>
      </w:r>
      <w:r>
        <w:rPr>
          <w:spacing w:val="-3"/>
          <w:sz w:val="20"/>
        </w:rPr>
        <w:t xml:space="preserve"> </w:t>
      </w:r>
      <w:r>
        <w:rPr>
          <w:sz w:val="20"/>
        </w:rPr>
        <w:t>approaches</w:t>
      </w:r>
      <w:r>
        <w:rPr>
          <w:spacing w:val="-3"/>
          <w:sz w:val="20"/>
        </w:rPr>
        <w:t xml:space="preserve"> </w:t>
      </w:r>
      <w:r>
        <w:rPr>
          <w:sz w:val="20"/>
        </w:rPr>
        <w:t>and</w:t>
      </w:r>
      <w:r>
        <w:rPr>
          <w:spacing w:val="-3"/>
          <w:sz w:val="20"/>
        </w:rPr>
        <w:t xml:space="preserve"> </w:t>
      </w:r>
      <w:r>
        <w:rPr>
          <w:sz w:val="20"/>
        </w:rPr>
        <w:t>practices</w:t>
      </w:r>
      <w:r>
        <w:rPr>
          <w:spacing w:val="-3"/>
          <w:sz w:val="20"/>
        </w:rPr>
        <w:t xml:space="preserve"> </w:t>
      </w:r>
      <w:r>
        <w:rPr>
          <w:sz w:val="20"/>
        </w:rPr>
        <w:t>are</w:t>
      </w:r>
      <w:r>
        <w:rPr>
          <w:spacing w:val="-3"/>
          <w:sz w:val="20"/>
        </w:rPr>
        <w:t xml:space="preserve"> </w:t>
      </w:r>
      <w:r>
        <w:rPr>
          <w:sz w:val="20"/>
        </w:rPr>
        <w:t>already successfully being employed by Queensland law firms</w:t>
      </w:r>
    </w:p>
    <w:p w14:paraId="2B0469C5" w14:textId="77777777" w:rsidR="00AC6F3C" w:rsidRDefault="00570E88">
      <w:pPr>
        <w:pStyle w:val="ListParagraph"/>
        <w:numPr>
          <w:ilvl w:val="2"/>
          <w:numId w:val="49"/>
        </w:numPr>
        <w:tabs>
          <w:tab w:val="left" w:pos="1155"/>
        </w:tabs>
        <w:spacing w:before="171" w:line="249" w:lineRule="auto"/>
        <w:ind w:right="534"/>
        <w:rPr>
          <w:sz w:val="20"/>
        </w:rPr>
      </w:pPr>
      <w:r>
        <w:rPr>
          <w:sz w:val="20"/>
        </w:rPr>
        <w:t>recommend</w:t>
      </w:r>
      <w:r>
        <w:rPr>
          <w:spacing w:val="-3"/>
          <w:sz w:val="20"/>
        </w:rPr>
        <w:t xml:space="preserve"> </w:t>
      </w:r>
      <w:r>
        <w:rPr>
          <w:sz w:val="20"/>
        </w:rPr>
        <w:t>the</w:t>
      </w:r>
      <w:r>
        <w:rPr>
          <w:spacing w:val="-3"/>
          <w:sz w:val="20"/>
        </w:rPr>
        <w:t xml:space="preserve"> </w:t>
      </w:r>
      <w:r>
        <w:rPr>
          <w:sz w:val="20"/>
        </w:rPr>
        <w:t>approaches</w:t>
      </w:r>
      <w:r>
        <w:rPr>
          <w:spacing w:val="-3"/>
          <w:sz w:val="20"/>
        </w:rPr>
        <w:t xml:space="preserve"> </w:t>
      </w:r>
      <w:r>
        <w:rPr>
          <w:sz w:val="20"/>
        </w:rPr>
        <w:t>and</w:t>
      </w:r>
      <w:r>
        <w:rPr>
          <w:spacing w:val="-3"/>
          <w:sz w:val="20"/>
        </w:rPr>
        <w:t xml:space="preserve"> </w:t>
      </w:r>
      <w:r>
        <w:rPr>
          <w:sz w:val="20"/>
        </w:rPr>
        <w:t>practices</w:t>
      </w:r>
      <w:r>
        <w:rPr>
          <w:spacing w:val="-3"/>
          <w:sz w:val="20"/>
        </w:rPr>
        <w:t xml:space="preserve"> </w:t>
      </w:r>
      <w:r>
        <w:rPr>
          <w:sz w:val="20"/>
        </w:rPr>
        <w:t>Queensland</w:t>
      </w:r>
      <w:r>
        <w:rPr>
          <w:spacing w:val="-3"/>
          <w:sz w:val="20"/>
        </w:rPr>
        <w:t xml:space="preserve"> </w:t>
      </w:r>
      <w:r>
        <w:rPr>
          <w:sz w:val="20"/>
        </w:rPr>
        <w:t>law</w:t>
      </w:r>
      <w:r>
        <w:rPr>
          <w:spacing w:val="-3"/>
          <w:sz w:val="20"/>
        </w:rPr>
        <w:t xml:space="preserve"> </w:t>
      </w:r>
      <w:r>
        <w:rPr>
          <w:sz w:val="20"/>
        </w:rPr>
        <w:t>firms</w:t>
      </w:r>
      <w:r>
        <w:rPr>
          <w:spacing w:val="-3"/>
          <w:sz w:val="20"/>
        </w:rPr>
        <w:t xml:space="preserve"> </w:t>
      </w:r>
      <w:r>
        <w:rPr>
          <w:sz w:val="20"/>
        </w:rPr>
        <w:t>can</w:t>
      </w:r>
      <w:r>
        <w:rPr>
          <w:spacing w:val="-3"/>
          <w:sz w:val="20"/>
        </w:rPr>
        <w:t xml:space="preserve"> </w:t>
      </w:r>
      <w:r>
        <w:rPr>
          <w:sz w:val="20"/>
        </w:rPr>
        <w:t>employ</w:t>
      </w:r>
      <w:r>
        <w:rPr>
          <w:spacing w:val="-3"/>
          <w:sz w:val="20"/>
        </w:rPr>
        <w:t xml:space="preserve"> </w:t>
      </w:r>
      <w:r>
        <w:rPr>
          <w:sz w:val="20"/>
        </w:rPr>
        <w:t>to</w:t>
      </w:r>
      <w:r>
        <w:rPr>
          <w:spacing w:val="-3"/>
          <w:sz w:val="20"/>
        </w:rPr>
        <w:t xml:space="preserve"> </w:t>
      </w:r>
      <w:r>
        <w:rPr>
          <w:sz w:val="20"/>
        </w:rPr>
        <w:t>best</w:t>
      </w:r>
      <w:r>
        <w:rPr>
          <w:spacing w:val="-3"/>
          <w:sz w:val="20"/>
        </w:rPr>
        <w:t xml:space="preserve"> </w:t>
      </w:r>
      <w:r>
        <w:rPr>
          <w:sz w:val="20"/>
        </w:rPr>
        <w:t>navigate</w:t>
      </w:r>
      <w:r>
        <w:rPr>
          <w:spacing w:val="-3"/>
          <w:sz w:val="20"/>
        </w:rPr>
        <w:t xml:space="preserve"> </w:t>
      </w:r>
      <w:r>
        <w:rPr>
          <w:sz w:val="20"/>
        </w:rPr>
        <w:t>the challenges</w:t>
      </w:r>
      <w:r>
        <w:rPr>
          <w:spacing w:val="-2"/>
          <w:sz w:val="20"/>
        </w:rPr>
        <w:t xml:space="preserve"> </w:t>
      </w:r>
      <w:r>
        <w:rPr>
          <w:sz w:val="20"/>
        </w:rPr>
        <w:t>of</w:t>
      </w:r>
      <w:r>
        <w:rPr>
          <w:spacing w:val="-2"/>
          <w:sz w:val="20"/>
        </w:rPr>
        <w:t xml:space="preserve"> </w:t>
      </w:r>
      <w:r>
        <w:rPr>
          <w:sz w:val="20"/>
        </w:rPr>
        <w:t>disruption</w:t>
      </w:r>
      <w:r>
        <w:rPr>
          <w:spacing w:val="-2"/>
          <w:sz w:val="20"/>
        </w:rPr>
        <w:t xml:space="preserve"> </w:t>
      </w:r>
      <w:r>
        <w:rPr>
          <w:sz w:val="20"/>
        </w:rPr>
        <w:t>and</w:t>
      </w:r>
      <w:r>
        <w:rPr>
          <w:spacing w:val="-2"/>
          <w:sz w:val="20"/>
        </w:rPr>
        <w:t xml:space="preserve"> </w:t>
      </w:r>
      <w:r>
        <w:rPr>
          <w:sz w:val="20"/>
        </w:rPr>
        <w:t>determine</w:t>
      </w:r>
      <w:r>
        <w:rPr>
          <w:spacing w:val="-2"/>
          <w:sz w:val="20"/>
        </w:rPr>
        <w:t xml:space="preserve"> </w:t>
      </w:r>
      <w:r>
        <w:rPr>
          <w:sz w:val="20"/>
        </w:rPr>
        <w:t>key</w:t>
      </w:r>
      <w:r>
        <w:rPr>
          <w:spacing w:val="-2"/>
          <w:sz w:val="20"/>
        </w:rPr>
        <w:t xml:space="preserve"> </w:t>
      </w:r>
      <w:r>
        <w:rPr>
          <w:sz w:val="20"/>
        </w:rPr>
        <w:t>performance</w:t>
      </w:r>
      <w:r>
        <w:rPr>
          <w:spacing w:val="-2"/>
          <w:sz w:val="20"/>
        </w:rPr>
        <w:t xml:space="preserve"> </w:t>
      </w:r>
      <w:r>
        <w:rPr>
          <w:sz w:val="20"/>
        </w:rPr>
        <w:t>indicators</w:t>
      </w:r>
      <w:r>
        <w:rPr>
          <w:spacing w:val="-2"/>
          <w:sz w:val="20"/>
        </w:rPr>
        <w:t xml:space="preserve"> </w:t>
      </w:r>
      <w:r>
        <w:rPr>
          <w:sz w:val="20"/>
        </w:rPr>
        <w:t>to</w:t>
      </w:r>
      <w:r>
        <w:rPr>
          <w:spacing w:val="-2"/>
          <w:sz w:val="20"/>
        </w:rPr>
        <w:t xml:space="preserve"> </w:t>
      </w:r>
      <w:r>
        <w:rPr>
          <w:sz w:val="20"/>
        </w:rPr>
        <w:t>measure</w:t>
      </w:r>
      <w:r>
        <w:rPr>
          <w:spacing w:val="-2"/>
          <w:sz w:val="20"/>
        </w:rPr>
        <w:t xml:space="preserve"> </w:t>
      </w:r>
      <w:r>
        <w:rPr>
          <w:sz w:val="20"/>
        </w:rPr>
        <w:t>law</w:t>
      </w:r>
      <w:r>
        <w:rPr>
          <w:spacing w:val="-2"/>
          <w:sz w:val="20"/>
        </w:rPr>
        <w:t xml:space="preserve"> </w:t>
      </w:r>
      <w:r>
        <w:rPr>
          <w:sz w:val="20"/>
        </w:rPr>
        <w:t>firm</w:t>
      </w:r>
      <w:r>
        <w:rPr>
          <w:spacing w:val="-2"/>
          <w:sz w:val="20"/>
        </w:rPr>
        <w:t xml:space="preserve"> </w:t>
      </w:r>
      <w:r>
        <w:rPr>
          <w:sz w:val="20"/>
        </w:rPr>
        <w:t>capability</w:t>
      </w:r>
    </w:p>
    <w:p w14:paraId="635A7BC9" w14:textId="77777777" w:rsidR="00AC6F3C" w:rsidRDefault="00570E88">
      <w:pPr>
        <w:pStyle w:val="ListParagraph"/>
        <w:numPr>
          <w:ilvl w:val="2"/>
          <w:numId w:val="49"/>
        </w:numPr>
        <w:tabs>
          <w:tab w:val="left" w:pos="1155"/>
        </w:tabs>
        <w:spacing w:before="172"/>
        <w:ind w:hanging="340"/>
        <w:rPr>
          <w:sz w:val="20"/>
        </w:rPr>
      </w:pPr>
      <w:r>
        <w:rPr>
          <w:sz w:val="20"/>
        </w:rPr>
        <w:t>suggest</w:t>
      </w:r>
      <w:r>
        <w:rPr>
          <w:spacing w:val="-2"/>
          <w:sz w:val="20"/>
        </w:rPr>
        <w:t xml:space="preserve"> </w:t>
      </w:r>
      <w:r>
        <w:rPr>
          <w:sz w:val="20"/>
        </w:rPr>
        <w:t>measures</w:t>
      </w:r>
      <w:r>
        <w:rPr>
          <w:spacing w:val="-1"/>
          <w:sz w:val="20"/>
        </w:rPr>
        <w:t xml:space="preserve"> </w:t>
      </w:r>
      <w:r>
        <w:rPr>
          <w:sz w:val="20"/>
        </w:rPr>
        <w:t>or</w:t>
      </w:r>
      <w:r>
        <w:rPr>
          <w:spacing w:val="-1"/>
          <w:sz w:val="20"/>
        </w:rPr>
        <w:t xml:space="preserve"> </w:t>
      </w:r>
      <w:r>
        <w:rPr>
          <w:sz w:val="20"/>
        </w:rPr>
        <w:t>supports</w:t>
      </w:r>
      <w:r>
        <w:rPr>
          <w:spacing w:val="-1"/>
          <w:sz w:val="20"/>
        </w:rPr>
        <w:t xml:space="preserve"> </w:t>
      </w:r>
      <w:r>
        <w:rPr>
          <w:sz w:val="20"/>
        </w:rPr>
        <w:t>that</w:t>
      </w:r>
      <w:r>
        <w:rPr>
          <w:spacing w:val="-1"/>
          <w:sz w:val="20"/>
        </w:rPr>
        <w:t xml:space="preserve"> </w:t>
      </w:r>
      <w:r>
        <w:rPr>
          <w:sz w:val="20"/>
        </w:rPr>
        <w:t>could</w:t>
      </w:r>
      <w:r>
        <w:rPr>
          <w:spacing w:val="-1"/>
          <w:sz w:val="20"/>
        </w:rPr>
        <w:t xml:space="preserve"> </w:t>
      </w:r>
      <w:r>
        <w:rPr>
          <w:sz w:val="20"/>
        </w:rPr>
        <w:t>be</w:t>
      </w:r>
      <w:r>
        <w:rPr>
          <w:spacing w:val="-2"/>
          <w:sz w:val="20"/>
        </w:rPr>
        <w:t xml:space="preserve"> </w:t>
      </w:r>
      <w:r>
        <w:rPr>
          <w:sz w:val="20"/>
        </w:rPr>
        <w:t>provided</w:t>
      </w:r>
      <w:r>
        <w:rPr>
          <w:spacing w:val="-1"/>
          <w:sz w:val="20"/>
        </w:rPr>
        <w:t xml:space="preserve"> </w:t>
      </w:r>
      <w:r>
        <w:rPr>
          <w:sz w:val="20"/>
        </w:rPr>
        <w:t>by</w:t>
      </w:r>
      <w:r>
        <w:rPr>
          <w:spacing w:val="-1"/>
          <w:sz w:val="20"/>
        </w:rPr>
        <w:t xml:space="preserve"> </w:t>
      </w:r>
      <w:r>
        <w:rPr>
          <w:sz w:val="20"/>
        </w:rPr>
        <w:t>QLS</w:t>
      </w:r>
      <w:r>
        <w:rPr>
          <w:spacing w:val="-1"/>
          <w:sz w:val="20"/>
        </w:rPr>
        <w:t xml:space="preserve"> </w:t>
      </w:r>
      <w:r>
        <w:rPr>
          <w:sz w:val="20"/>
        </w:rPr>
        <w:t>to</w:t>
      </w:r>
      <w:r>
        <w:rPr>
          <w:spacing w:val="-1"/>
          <w:sz w:val="20"/>
        </w:rPr>
        <w:t xml:space="preserve"> </w:t>
      </w:r>
      <w:r>
        <w:rPr>
          <w:sz w:val="20"/>
        </w:rPr>
        <w:t>assist</w:t>
      </w:r>
      <w:r>
        <w:rPr>
          <w:spacing w:val="-1"/>
          <w:sz w:val="20"/>
        </w:rPr>
        <w:t xml:space="preserve"> </w:t>
      </w:r>
      <w:r>
        <w:rPr>
          <w:sz w:val="20"/>
        </w:rPr>
        <w:t>law</w:t>
      </w:r>
      <w:r>
        <w:rPr>
          <w:spacing w:val="-1"/>
          <w:sz w:val="20"/>
        </w:rPr>
        <w:t xml:space="preserve"> </w:t>
      </w:r>
      <w:r>
        <w:rPr>
          <w:spacing w:val="-2"/>
          <w:sz w:val="20"/>
        </w:rPr>
        <w:t>firms.</w:t>
      </w:r>
    </w:p>
    <w:p w14:paraId="214BCA54" w14:textId="77777777" w:rsidR="00AC6F3C" w:rsidRDefault="00570E88">
      <w:pPr>
        <w:pStyle w:val="BodyText"/>
        <w:spacing w:before="180" w:line="249" w:lineRule="auto"/>
        <w:ind w:left="815" w:right="137"/>
      </w:pPr>
      <w:r>
        <w:t>The research team conducted extensive consultation and promotion of a survey to the profession fielding nearly 500 responses. The data received from the survey, consultations and desktop research set a baseline and identified a number of areas for focus. The research report recommended a regular Law Firm</w:t>
      </w:r>
      <w:r>
        <w:rPr>
          <w:spacing w:val="-2"/>
        </w:rPr>
        <w:t xml:space="preserve"> </w:t>
      </w:r>
      <w:r>
        <w:t>health</w:t>
      </w:r>
      <w:r>
        <w:rPr>
          <w:spacing w:val="-2"/>
        </w:rPr>
        <w:t xml:space="preserve"> </w:t>
      </w:r>
      <w:r>
        <w:t>check</w:t>
      </w:r>
      <w:r>
        <w:rPr>
          <w:spacing w:val="-2"/>
        </w:rPr>
        <w:t xml:space="preserve"> </w:t>
      </w:r>
      <w:r>
        <w:t>survey</w:t>
      </w:r>
      <w:r>
        <w:rPr>
          <w:spacing w:val="-2"/>
        </w:rPr>
        <w:t xml:space="preserve"> </w:t>
      </w:r>
      <w:r>
        <w:t>to</w:t>
      </w:r>
      <w:r>
        <w:rPr>
          <w:spacing w:val="-2"/>
        </w:rPr>
        <w:t xml:space="preserve"> </w:t>
      </w:r>
      <w:r>
        <w:t>take</w:t>
      </w:r>
      <w:r>
        <w:rPr>
          <w:spacing w:val="-2"/>
        </w:rPr>
        <w:t xml:space="preserve"> </w:t>
      </w:r>
      <w:r>
        <w:t>the</w:t>
      </w:r>
      <w:r>
        <w:rPr>
          <w:spacing w:val="-2"/>
        </w:rPr>
        <w:t xml:space="preserve"> </w:t>
      </w:r>
      <w:r>
        <w:t>pulse</w:t>
      </w:r>
      <w:r>
        <w:rPr>
          <w:spacing w:val="-2"/>
        </w:rPr>
        <w:t xml:space="preserve"> </w:t>
      </w:r>
      <w:r>
        <w:t>of</w:t>
      </w:r>
      <w:r>
        <w:rPr>
          <w:spacing w:val="-2"/>
        </w:rPr>
        <w:t xml:space="preserve"> </w:t>
      </w:r>
      <w:r>
        <w:t>law</w:t>
      </w:r>
      <w:r>
        <w:rPr>
          <w:spacing w:val="-2"/>
        </w:rPr>
        <w:t xml:space="preserve"> </w:t>
      </w:r>
      <w:r>
        <w:t>firms’</w:t>
      </w:r>
      <w:r>
        <w:rPr>
          <w:spacing w:val="-10"/>
        </w:rPr>
        <w:t xml:space="preserve"> </w:t>
      </w:r>
      <w:r>
        <w:t>capability</w:t>
      </w:r>
      <w:r>
        <w:rPr>
          <w:spacing w:val="-2"/>
        </w:rPr>
        <w:t xml:space="preserve"> </w:t>
      </w:r>
      <w:r>
        <w:t>to</w:t>
      </w:r>
      <w:r>
        <w:rPr>
          <w:spacing w:val="-2"/>
        </w:rPr>
        <w:t xml:space="preserve"> </w:t>
      </w:r>
      <w:r>
        <w:t>meet</w:t>
      </w:r>
      <w:r>
        <w:rPr>
          <w:spacing w:val="-2"/>
        </w:rPr>
        <w:t xml:space="preserve"> </w:t>
      </w:r>
      <w:r>
        <w:t>change</w:t>
      </w:r>
      <w:r>
        <w:rPr>
          <w:spacing w:val="-2"/>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formation of a Future Ready Road Map to set a strategy for grappling with the critical issues likely to face the future profession and expansion of the QLS continuing legal education program. QLS is engaging with its Innovation Committee and others on responding strategically to the report recommendations.</w:t>
      </w:r>
    </w:p>
    <w:p w14:paraId="739DB91A" w14:textId="77777777" w:rsidR="00AC6F3C" w:rsidRDefault="00AC6F3C">
      <w:pPr>
        <w:pStyle w:val="BodyText"/>
        <w:spacing w:before="6"/>
        <w:rPr>
          <w:sz w:val="31"/>
        </w:rPr>
      </w:pPr>
    </w:p>
    <w:p w14:paraId="04D30A51" w14:textId="77777777" w:rsidR="00AC6F3C" w:rsidRDefault="00570E88">
      <w:pPr>
        <w:ind w:left="815"/>
        <w:jc w:val="both"/>
        <w:rPr>
          <w:b/>
          <w:sz w:val="26"/>
        </w:rPr>
      </w:pPr>
      <w:r>
        <w:rPr>
          <w:b/>
          <w:sz w:val="26"/>
        </w:rPr>
        <w:t xml:space="preserve">Mental health and </w:t>
      </w:r>
      <w:r>
        <w:rPr>
          <w:b/>
          <w:spacing w:val="-2"/>
          <w:sz w:val="26"/>
        </w:rPr>
        <w:t>wellbeing</w:t>
      </w:r>
    </w:p>
    <w:p w14:paraId="2F3F803F" w14:textId="77777777" w:rsidR="00AC6F3C" w:rsidRDefault="00570E88">
      <w:pPr>
        <w:pStyle w:val="BodyText"/>
        <w:spacing w:before="168" w:line="249" w:lineRule="auto"/>
        <w:ind w:left="815"/>
      </w:pPr>
      <w:r>
        <w:t>Support,</w:t>
      </w:r>
      <w:r>
        <w:rPr>
          <w:spacing w:val="-3"/>
        </w:rPr>
        <w:t xml:space="preserve"> </w:t>
      </w:r>
      <w:r>
        <w:t>education,</w:t>
      </w:r>
      <w:r>
        <w:rPr>
          <w:spacing w:val="-3"/>
        </w:rPr>
        <w:t xml:space="preserve"> </w:t>
      </w:r>
      <w:r>
        <w:t>awareness,</w:t>
      </w:r>
      <w:r>
        <w:rPr>
          <w:spacing w:val="-3"/>
        </w:rPr>
        <w:t xml:space="preserve"> </w:t>
      </w:r>
      <w:r>
        <w:t>and</w:t>
      </w:r>
      <w:r>
        <w:rPr>
          <w:spacing w:val="-3"/>
        </w:rPr>
        <w:t xml:space="preserve"> </w:t>
      </w:r>
      <w:r>
        <w:t>prevention</w:t>
      </w:r>
      <w:r>
        <w:rPr>
          <w:spacing w:val="-3"/>
        </w:rPr>
        <w:t xml:space="preserve"> </w:t>
      </w:r>
      <w:r>
        <w:t>of</w:t>
      </w:r>
      <w:r>
        <w:rPr>
          <w:spacing w:val="-3"/>
        </w:rPr>
        <w:t xml:space="preserve"> </w:t>
      </w:r>
      <w:r>
        <w:t>mental</w:t>
      </w:r>
      <w:r>
        <w:rPr>
          <w:spacing w:val="-3"/>
        </w:rPr>
        <w:t xml:space="preserve"> </w:t>
      </w:r>
      <w:r>
        <w:t>health</w:t>
      </w:r>
      <w:r>
        <w:rPr>
          <w:spacing w:val="-3"/>
        </w:rPr>
        <w:t xml:space="preserve"> </w:t>
      </w:r>
      <w:r>
        <w:t>issues</w:t>
      </w:r>
      <w:r>
        <w:rPr>
          <w:spacing w:val="-3"/>
        </w:rPr>
        <w:t xml:space="preserve"> </w:t>
      </w:r>
      <w:r>
        <w:t>in</w:t>
      </w:r>
      <w:r>
        <w:rPr>
          <w:spacing w:val="-3"/>
        </w:rPr>
        <w:t xml:space="preserve"> </w:t>
      </w:r>
      <w:r>
        <w:t>the</w:t>
      </w:r>
      <w:r>
        <w:rPr>
          <w:spacing w:val="-3"/>
        </w:rPr>
        <w:t xml:space="preserve"> </w:t>
      </w:r>
      <w:r>
        <w:t>legal</w:t>
      </w:r>
      <w:r>
        <w:rPr>
          <w:spacing w:val="-3"/>
        </w:rPr>
        <w:t xml:space="preserve"> </w:t>
      </w:r>
      <w:r>
        <w:t>profession</w:t>
      </w:r>
      <w:r>
        <w:rPr>
          <w:spacing w:val="-3"/>
        </w:rPr>
        <w:t xml:space="preserve"> </w:t>
      </w:r>
      <w:r>
        <w:t>remained</w:t>
      </w:r>
      <w:r>
        <w:rPr>
          <w:spacing w:val="-3"/>
        </w:rPr>
        <w:t xml:space="preserve"> </w:t>
      </w:r>
      <w:r>
        <w:t>a high priority area for the Society. QLS’s Wellbeing Working Group is the leading force for the provision of guidance, education, events and publications on mental and health and wellbeing.</w:t>
      </w:r>
    </w:p>
    <w:p w14:paraId="3227BAEB" w14:textId="77777777" w:rsidR="00AC6F3C" w:rsidRDefault="00570E88">
      <w:pPr>
        <w:pStyle w:val="BodyText"/>
        <w:spacing w:before="172"/>
        <w:ind w:left="815"/>
        <w:jc w:val="both"/>
      </w:pPr>
      <w:r>
        <w:t>In</w:t>
      </w:r>
      <w:r>
        <w:rPr>
          <w:spacing w:val="-6"/>
        </w:rPr>
        <w:t xml:space="preserve"> </w:t>
      </w:r>
      <w:r>
        <w:t>this</w:t>
      </w:r>
      <w:r>
        <w:rPr>
          <w:spacing w:val="-4"/>
        </w:rPr>
        <w:t xml:space="preserve"> </w:t>
      </w:r>
      <w:r>
        <w:t>financial</w:t>
      </w:r>
      <w:r>
        <w:rPr>
          <w:spacing w:val="-3"/>
        </w:rPr>
        <w:t xml:space="preserve"> </w:t>
      </w:r>
      <w:r>
        <w:t>year</w:t>
      </w:r>
      <w:r>
        <w:rPr>
          <w:spacing w:val="-4"/>
        </w:rPr>
        <w:t xml:space="preserve"> </w:t>
      </w:r>
      <w:r>
        <w:t>the</w:t>
      </w:r>
      <w:r>
        <w:rPr>
          <w:spacing w:val="-4"/>
        </w:rPr>
        <w:t xml:space="preserve"> </w:t>
      </w:r>
      <w:r>
        <w:t>following</w:t>
      </w:r>
      <w:r>
        <w:rPr>
          <w:spacing w:val="-3"/>
        </w:rPr>
        <w:t xml:space="preserve"> </w:t>
      </w:r>
      <w:r>
        <w:t>mental</w:t>
      </w:r>
      <w:r>
        <w:rPr>
          <w:spacing w:val="-4"/>
        </w:rPr>
        <w:t xml:space="preserve"> </w:t>
      </w:r>
      <w:r>
        <w:t>health</w:t>
      </w:r>
      <w:r>
        <w:rPr>
          <w:spacing w:val="-4"/>
        </w:rPr>
        <w:t xml:space="preserve"> </w:t>
      </w:r>
      <w:r>
        <w:t>education</w:t>
      </w:r>
      <w:r>
        <w:rPr>
          <w:spacing w:val="-3"/>
        </w:rPr>
        <w:t xml:space="preserve"> </w:t>
      </w:r>
      <w:r>
        <w:t>initiatives</w:t>
      </w:r>
      <w:r>
        <w:rPr>
          <w:spacing w:val="-4"/>
        </w:rPr>
        <w:t xml:space="preserve"> </w:t>
      </w:r>
      <w:r>
        <w:t>were</w:t>
      </w:r>
      <w:r>
        <w:rPr>
          <w:spacing w:val="-3"/>
        </w:rPr>
        <w:t xml:space="preserve"> </w:t>
      </w:r>
      <w:r>
        <w:rPr>
          <w:spacing w:val="-4"/>
        </w:rPr>
        <w:t>run:</w:t>
      </w:r>
    </w:p>
    <w:p w14:paraId="393A8E88" w14:textId="77777777" w:rsidR="00AC6F3C" w:rsidRDefault="00570E88">
      <w:pPr>
        <w:pStyle w:val="ListParagraph"/>
        <w:numPr>
          <w:ilvl w:val="2"/>
          <w:numId w:val="49"/>
        </w:numPr>
        <w:tabs>
          <w:tab w:val="left" w:pos="1153"/>
          <w:tab w:val="left" w:pos="1155"/>
        </w:tabs>
        <w:spacing w:line="249" w:lineRule="auto"/>
        <w:ind w:right="628"/>
        <w:jc w:val="both"/>
        <w:rPr>
          <w:sz w:val="20"/>
        </w:rPr>
      </w:pPr>
      <w:r>
        <w:rPr>
          <w:sz w:val="20"/>
        </w:rPr>
        <w:t>Inaugural</w:t>
      </w:r>
      <w:r>
        <w:rPr>
          <w:spacing w:val="-5"/>
          <w:sz w:val="20"/>
        </w:rPr>
        <w:t xml:space="preserve"> </w:t>
      </w:r>
      <w:r>
        <w:rPr>
          <w:sz w:val="20"/>
        </w:rPr>
        <w:t>Mental</w:t>
      </w:r>
      <w:r>
        <w:rPr>
          <w:spacing w:val="-5"/>
          <w:sz w:val="20"/>
        </w:rPr>
        <w:t xml:space="preserve"> </w:t>
      </w:r>
      <w:r>
        <w:rPr>
          <w:sz w:val="20"/>
        </w:rPr>
        <w:t>Health</w:t>
      </w:r>
      <w:r>
        <w:rPr>
          <w:spacing w:val="-5"/>
          <w:sz w:val="20"/>
        </w:rPr>
        <w:t xml:space="preserve"> </w:t>
      </w:r>
      <w:r>
        <w:rPr>
          <w:sz w:val="20"/>
        </w:rPr>
        <w:t>Forum</w:t>
      </w:r>
      <w:r>
        <w:rPr>
          <w:spacing w:val="-5"/>
          <w:sz w:val="20"/>
        </w:rPr>
        <w:t xml:space="preserve"> </w:t>
      </w:r>
      <w:r>
        <w:rPr>
          <w:sz w:val="20"/>
        </w:rPr>
        <w:t>“</w:t>
      </w:r>
      <w:r>
        <w:rPr>
          <w:i/>
          <w:sz w:val="20"/>
        </w:rPr>
        <w:t>Talking</w:t>
      </w:r>
      <w:r>
        <w:rPr>
          <w:i/>
          <w:spacing w:val="-5"/>
          <w:sz w:val="20"/>
        </w:rPr>
        <w:t xml:space="preserve"> </w:t>
      </w:r>
      <w:r>
        <w:rPr>
          <w:i/>
          <w:sz w:val="20"/>
        </w:rPr>
        <w:t>out</w:t>
      </w:r>
      <w:r>
        <w:rPr>
          <w:i/>
          <w:spacing w:val="-5"/>
          <w:sz w:val="20"/>
        </w:rPr>
        <w:t xml:space="preserve"> </w:t>
      </w:r>
      <w:r>
        <w:rPr>
          <w:i/>
          <w:sz w:val="20"/>
        </w:rPr>
        <w:t>Loud</w:t>
      </w:r>
      <w:r>
        <w:rPr>
          <w:sz w:val="20"/>
        </w:rPr>
        <w:t>”</w:t>
      </w:r>
      <w:r>
        <w:rPr>
          <w:spacing w:val="-5"/>
          <w:sz w:val="20"/>
        </w:rPr>
        <w:t xml:space="preserve"> </w:t>
      </w:r>
      <w:r>
        <w:rPr>
          <w:sz w:val="20"/>
        </w:rPr>
        <w:t>held</w:t>
      </w:r>
      <w:r>
        <w:rPr>
          <w:spacing w:val="-5"/>
          <w:sz w:val="20"/>
        </w:rPr>
        <w:t xml:space="preserve"> </w:t>
      </w:r>
      <w:r>
        <w:rPr>
          <w:sz w:val="20"/>
        </w:rPr>
        <w:t>during</w:t>
      </w:r>
      <w:r>
        <w:rPr>
          <w:spacing w:val="-5"/>
          <w:sz w:val="20"/>
        </w:rPr>
        <w:t xml:space="preserve"> </w:t>
      </w:r>
      <w:r>
        <w:rPr>
          <w:sz w:val="20"/>
        </w:rPr>
        <w:t>Mental</w:t>
      </w:r>
      <w:r>
        <w:rPr>
          <w:spacing w:val="-5"/>
          <w:sz w:val="20"/>
        </w:rPr>
        <w:t xml:space="preserve"> </w:t>
      </w:r>
      <w:r>
        <w:rPr>
          <w:sz w:val="20"/>
        </w:rPr>
        <w:t>Health</w:t>
      </w:r>
      <w:r>
        <w:rPr>
          <w:spacing w:val="-5"/>
          <w:sz w:val="20"/>
        </w:rPr>
        <w:t xml:space="preserve"> </w:t>
      </w:r>
      <w:r>
        <w:rPr>
          <w:sz w:val="20"/>
        </w:rPr>
        <w:t>Week</w:t>
      </w:r>
      <w:r>
        <w:rPr>
          <w:spacing w:val="-5"/>
          <w:sz w:val="20"/>
        </w:rPr>
        <w:t xml:space="preserve"> </w:t>
      </w:r>
      <w:r>
        <w:rPr>
          <w:sz w:val="20"/>
        </w:rPr>
        <w:t>in</w:t>
      </w:r>
      <w:r>
        <w:rPr>
          <w:spacing w:val="-5"/>
          <w:sz w:val="20"/>
        </w:rPr>
        <w:t xml:space="preserve"> </w:t>
      </w:r>
      <w:r>
        <w:rPr>
          <w:sz w:val="20"/>
        </w:rPr>
        <w:t>October,</w:t>
      </w:r>
      <w:r>
        <w:rPr>
          <w:spacing w:val="-5"/>
          <w:sz w:val="20"/>
        </w:rPr>
        <w:t xml:space="preserve"> </w:t>
      </w:r>
      <w:r>
        <w:rPr>
          <w:sz w:val="20"/>
        </w:rPr>
        <w:t>a workshop</w:t>
      </w:r>
      <w:r>
        <w:rPr>
          <w:spacing w:val="-3"/>
          <w:sz w:val="20"/>
        </w:rPr>
        <w:t xml:space="preserve"> </w:t>
      </w:r>
      <w:r>
        <w:rPr>
          <w:sz w:val="20"/>
        </w:rPr>
        <w:t>dedicated</w:t>
      </w:r>
      <w:r>
        <w:rPr>
          <w:spacing w:val="-3"/>
          <w:sz w:val="20"/>
        </w:rPr>
        <w:t xml:space="preserve"> </w:t>
      </w:r>
      <w:r>
        <w:rPr>
          <w:sz w:val="20"/>
        </w:rPr>
        <w:t>to</w:t>
      </w:r>
      <w:r>
        <w:rPr>
          <w:spacing w:val="-3"/>
          <w:sz w:val="20"/>
        </w:rPr>
        <w:t xml:space="preserve"> </w:t>
      </w:r>
      <w:r>
        <w:rPr>
          <w:sz w:val="20"/>
        </w:rPr>
        <w:t>raising</w:t>
      </w:r>
      <w:r>
        <w:rPr>
          <w:spacing w:val="-3"/>
          <w:sz w:val="20"/>
        </w:rPr>
        <w:t xml:space="preserve"> </w:t>
      </w:r>
      <w:r>
        <w:rPr>
          <w:sz w:val="20"/>
        </w:rPr>
        <w:t>awareness,</w:t>
      </w:r>
      <w:r>
        <w:rPr>
          <w:spacing w:val="-3"/>
          <w:sz w:val="20"/>
        </w:rPr>
        <w:t xml:space="preserve"> </w:t>
      </w:r>
      <w:r>
        <w:rPr>
          <w:sz w:val="20"/>
        </w:rPr>
        <w:t>discussing</w:t>
      </w:r>
      <w:r>
        <w:rPr>
          <w:spacing w:val="-3"/>
          <w:sz w:val="20"/>
        </w:rPr>
        <w:t xml:space="preserve"> </w:t>
      </w:r>
      <w:r>
        <w:rPr>
          <w:sz w:val="20"/>
        </w:rPr>
        <w:t>the</w:t>
      </w:r>
      <w:r>
        <w:rPr>
          <w:spacing w:val="-3"/>
          <w:sz w:val="20"/>
        </w:rPr>
        <w:t xml:space="preserve"> </w:t>
      </w:r>
      <w:r>
        <w:rPr>
          <w:sz w:val="20"/>
        </w:rPr>
        <w:t>causes</w:t>
      </w:r>
      <w:r>
        <w:rPr>
          <w:spacing w:val="-3"/>
          <w:sz w:val="20"/>
        </w:rPr>
        <w:t xml:space="preserve"> </w:t>
      </w:r>
      <w:r>
        <w:rPr>
          <w:sz w:val="20"/>
        </w:rPr>
        <w:t>and</w:t>
      </w:r>
      <w:r>
        <w:rPr>
          <w:spacing w:val="-3"/>
          <w:sz w:val="20"/>
        </w:rPr>
        <w:t xml:space="preserve"> </w:t>
      </w:r>
      <w:r>
        <w:rPr>
          <w:sz w:val="20"/>
        </w:rPr>
        <w:t>triggers</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offering practical guidance around managing mental health issues.</w:t>
      </w:r>
    </w:p>
    <w:p w14:paraId="167AC3FC" w14:textId="77777777" w:rsidR="00AC6F3C" w:rsidRDefault="00AC6F3C">
      <w:pPr>
        <w:spacing w:line="249" w:lineRule="auto"/>
        <w:jc w:val="both"/>
        <w:rPr>
          <w:sz w:val="20"/>
        </w:rPr>
        <w:sectPr w:rsidR="00AC6F3C">
          <w:headerReference w:type="default" r:id="rId134"/>
          <w:footerReference w:type="default" r:id="rId135"/>
          <w:pgSz w:w="11910" w:h="16840"/>
          <w:pgMar w:top="1140" w:right="1160" w:bottom="520" w:left="460" w:header="0" w:footer="336" w:gutter="0"/>
          <w:cols w:space="720"/>
        </w:sectPr>
      </w:pPr>
    </w:p>
    <w:p w14:paraId="7EBD6672" w14:textId="77777777" w:rsidR="00AC6F3C" w:rsidRDefault="00570E88">
      <w:pPr>
        <w:pStyle w:val="ListParagraph"/>
        <w:numPr>
          <w:ilvl w:val="2"/>
          <w:numId w:val="49"/>
        </w:numPr>
        <w:tabs>
          <w:tab w:val="left" w:pos="1155"/>
        </w:tabs>
        <w:spacing w:before="76" w:line="249" w:lineRule="auto"/>
        <w:ind w:right="345"/>
        <w:rPr>
          <w:sz w:val="20"/>
        </w:rPr>
      </w:pPr>
      <w:r>
        <w:rPr>
          <w:sz w:val="20"/>
        </w:rPr>
        <w:lastRenderedPageBreak/>
        <w:t>Annual Minds Count lecture held in association with the Bar</w:t>
      </w:r>
      <w:r>
        <w:rPr>
          <w:spacing w:val="-5"/>
          <w:sz w:val="20"/>
        </w:rPr>
        <w:t xml:space="preserve"> </w:t>
      </w:r>
      <w:r>
        <w:rPr>
          <w:sz w:val="20"/>
        </w:rPr>
        <w:t>Association of Queensland, shining a light</w:t>
      </w:r>
      <w:r>
        <w:rPr>
          <w:spacing w:val="-3"/>
          <w:sz w:val="20"/>
        </w:rPr>
        <w:t xml:space="preserve"> </w:t>
      </w:r>
      <w:r>
        <w:rPr>
          <w:sz w:val="20"/>
        </w:rPr>
        <w:t>on</w:t>
      </w:r>
      <w:r>
        <w:rPr>
          <w:spacing w:val="-3"/>
          <w:sz w:val="20"/>
        </w:rPr>
        <w:t xml:space="preserve"> </w:t>
      </w:r>
      <w:r>
        <w:rPr>
          <w:sz w:val="20"/>
        </w:rPr>
        <w:t>mental</w:t>
      </w:r>
      <w:r>
        <w:rPr>
          <w:spacing w:val="-3"/>
          <w:sz w:val="20"/>
        </w:rPr>
        <w:t xml:space="preserve"> </w:t>
      </w:r>
      <w:r>
        <w:rPr>
          <w:sz w:val="20"/>
        </w:rPr>
        <w:t>health</w:t>
      </w:r>
      <w:r>
        <w:rPr>
          <w:spacing w:val="-3"/>
          <w:sz w:val="20"/>
        </w:rPr>
        <w:t xml:space="preserve"> </w:t>
      </w:r>
      <w:r>
        <w:rPr>
          <w:sz w:val="20"/>
        </w:rPr>
        <w:t>issues</w:t>
      </w:r>
      <w:r>
        <w:rPr>
          <w:spacing w:val="-3"/>
          <w:sz w:val="20"/>
        </w:rPr>
        <w:t xml:space="preserve"> </w:t>
      </w:r>
      <w:r>
        <w:rPr>
          <w:sz w:val="20"/>
        </w:rPr>
        <w:t>across</w:t>
      </w:r>
      <w:r>
        <w:rPr>
          <w:spacing w:val="-3"/>
          <w:sz w:val="20"/>
        </w:rPr>
        <w:t xml:space="preserve"> </w:t>
      </w:r>
      <w:r>
        <w:rPr>
          <w:sz w:val="20"/>
        </w:rPr>
        <w:t>the</w:t>
      </w:r>
      <w:r>
        <w:rPr>
          <w:spacing w:val="-3"/>
          <w:sz w:val="20"/>
        </w:rPr>
        <w:t xml:space="preserve"> </w:t>
      </w:r>
      <w:r>
        <w:rPr>
          <w:sz w:val="20"/>
        </w:rPr>
        <w:t>profession</w:t>
      </w:r>
      <w:r>
        <w:rPr>
          <w:spacing w:val="-3"/>
          <w:sz w:val="20"/>
        </w:rPr>
        <w:t xml:space="preserve"> </w:t>
      </w:r>
      <w:r>
        <w:rPr>
          <w:sz w:val="20"/>
        </w:rPr>
        <w:t>and</w:t>
      </w:r>
      <w:r>
        <w:rPr>
          <w:spacing w:val="-3"/>
          <w:sz w:val="20"/>
        </w:rPr>
        <w:t xml:space="preserve"> </w:t>
      </w:r>
      <w:r>
        <w:rPr>
          <w:sz w:val="20"/>
        </w:rPr>
        <w:t>especially</w:t>
      </w:r>
      <w:r>
        <w:rPr>
          <w:spacing w:val="-3"/>
          <w:sz w:val="20"/>
        </w:rPr>
        <w:t xml:space="preserve"> </w:t>
      </w:r>
      <w:r>
        <w:rPr>
          <w:sz w:val="20"/>
        </w:rPr>
        <w:t>targeted</w:t>
      </w:r>
      <w:r>
        <w:rPr>
          <w:spacing w:val="-3"/>
          <w:sz w:val="20"/>
        </w:rPr>
        <w:t xml:space="preserve"> </w:t>
      </w:r>
      <w:r>
        <w:rPr>
          <w:sz w:val="20"/>
        </w:rPr>
        <w:t>at</w:t>
      </w:r>
      <w:r>
        <w:rPr>
          <w:spacing w:val="-3"/>
          <w:sz w:val="20"/>
        </w:rPr>
        <w:t xml:space="preserve"> </w:t>
      </w:r>
      <w:r>
        <w:rPr>
          <w:sz w:val="20"/>
        </w:rPr>
        <w:t>Early</w:t>
      </w:r>
      <w:r>
        <w:rPr>
          <w:spacing w:val="-3"/>
          <w:sz w:val="20"/>
        </w:rPr>
        <w:t xml:space="preserve"> </w:t>
      </w:r>
      <w:r>
        <w:rPr>
          <w:sz w:val="20"/>
        </w:rPr>
        <w:t>Career</w:t>
      </w:r>
      <w:r>
        <w:rPr>
          <w:spacing w:val="-3"/>
          <w:sz w:val="20"/>
        </w:rPr>
        <w:t xml:space="preserve"> </w:t>
      </w:r>
      <w:r>
        <w:rPr>
          <w:sz w:val="20"/>
        </w:rPr>
        <w:t>lawyers.</w:t>
      </w:r>
    </w:p>
    <w:p w14:paraId="431023B1" w14:textId="77777777" w:rsidR="00AC6F3C" w:rsidRDefault="00570E88">
      <w:pPr>
        <w:pStyle w:val="ListParagraph"/>
        <w:numPr>
          <w:ilvl w:val="2"/>
          <w:numId w:val="49"/>
        </w:numPr>
        <w:tabs>
          <w:tab w:val="left" w:pos="1155"/>
        </w:tabs>
        <w:spacing w:before="171" w:line="249" w:lineRule="auto"/>
        <w:ind w:right="535"/>
        <w:rPr>
          <w:sz w:val="20"/>
        </w:rPr>
      </w:pPr>
      <w:r>
        <w:rPr>
          <w:sz w:val="20"/>
        </w:rPr>
        <w:t>Five,</w:t>
      </w:r>
      <w:r>
        <w:rPr>
          <w:spacing w:val="-3"/>
          <w:sz w:val="20"/>
        </w:rPr>
        <w:t xml:space="preserve"> </w:t>
      </w:r>
      <w:r>
        <w:rPr>
          <w:sz w:val="20"/>
        </w:rPr>
        <w:t>two-day</w:t>
      </w:r>
      <w:r>
        <w:rPr>
          <w:spacing w:val="-3"/>
          <w:sz w:val="20"/>
        </w:rPr>
        <w:t xml:space="preserve"> </w:t>
      </w:r>
      <w:r>
        <w:rPr>
          <w:sz w:val="20"/>
        </w:rPr>
        <w:t>intensive</w:t>
      </w:r>
      <w:r>
        <w:rPr>
          <w:spacing w:val="-3"/>
          <w:sz w:val="20"/>
        </w:rPr>
        <w:t xml:space="preserve"> </w:t>
      </w:r>
      <w:r>
        <w:rPr>
          <w:sz w:val="20"/>
        </w:rPr>
        <w:t>Mental</w:t>
      </w:r>
      <w:r>
        <w:rPr>
          <w:spacing w:val="-3"/>
          <w:sz w:val="20"/>
        </w:rPr>
        <w:t xml:space="preserve"> </w:t>
      </w:r>
      <w:r>
        <w:rPr>
          <w:sz w:val="20"/>
        </w:rPr>
        <w:t>Health</w:t>
      </w:r>
      <w:r>
        <w:rPr>
          <w:spacing w:val="-3"/>
          <w:sz w:val="20"/>
        </w:rPr>
        <w:t xml:space="preserve"> </w:t>
      </w:r>
      <w:r>
        <w:rPr>
          <w:sz w:val="20"/>
        </w:rPr>
        <w:t>First</w:t>
      </w:r>
      <w:r>
        <w:rPr>
          <w:spacing w:val="-14"/>
          <w:sz w:val="20"/>
        </w:rPr>
        <w:t xml:space="preserve"> </w:t>
      </w:r>
      <w:r>
        <w:rPr>
          <w:sz w:val="20"/>
        </w:rPr>
        <w:t>Aid</w:t>
      </w:r>
      <w:r>
        <w:rPr>
          <w:spacing w:val="-3"/>
          <w:sz w:val="20"/>
        </w:rPr>
        <w:t xml:space="preserve"> </w:t>
      </w:r>
      <w:r>
        <w:rPr>
          <w:sz w:val="20"/>
        </w:rPr>
        <w:t>Courses</w:t>
      </w:r>
      <w:r>
        <w:rPr>
          <w:spacing w:val="-3"/>
          <w:sz w:val="20"/>
        </w:rPr>
        <w:t xml:space="preserve"> </w:t>
      </w:r>
      <w:r>
        <w:rPr>
          <w:sz w:val="20"/>
        </w:rPr>
        <w:t>delivered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QLS</w:t>
      </w:r>
      <w:r>
        <w:rPr>
          <w:spacing w:val="-3"/>
          <w:sz w:val="20"/>
        </w:rPr>
        <w:t xml:space="preserve"> </w:t>
      </w:r>
      <w:r>
        <w:rPr>
          <w:sz w:val="20"/>
        </w:rPr>
        <w:t>nationally</w:t>
      </w:r>
      <w:r>
        <w:rPr>
          <w:spacing w:val="-3"/>
          <w:sz w:val="20"/>
        </w:rPr>
        <w:t xml:space="preserve"> </w:t>
      </w:r>
      <w:proofErr w:type="spellStart"/>
      <w:r>
        <w:rPr>
          <w:sz w:val="20"/>
        </w:rPr>
        <w:t>recognised</w:t>
      </w:r>
      <w:proofErr w:type="spellEnd"/>
      <w:r>
        <w:rPr>
          <w:sz w:val="20"/>
        </w:rPr>
        <w:t xml:space="preserve"> instructor, equipping 95 attendees with the skills to become a mental health first aid officer.</w:t>
      </w:r>
    </w:p>
    <w:p w14:paraId="5D3615F1" w14:textId="77777777" w:rsidR="00AC6F3C" w:rsidRDefault="00570E88">
      <w:pPr>
        <w:pStyle w:val="ListParagraph"/>
        <w:numPr>
          <w:ilvl w:val="2"/>
          <w:numId w:val="49"/>
        </w:numPr>
        <w:tabs>
          <w:tab w:val="left" w:pos="1155"/>
        </w:tabs>
        <w:spacing w:before="172" w:line="249" w:lineRule="auto"/>
        <w:ind w:right="360"/>
        <w:rPr>
          <w:sz w:val="20"/>
        </w:rPr>
      </w:pPr>
      <w:r>
        <w:rPr>
          <w:sz w:val="20"/>
        </w:rPr>
        <w:t>Conference</w:t>
      </w:r>
      <w:r>
        <w:rPr>
          <w:spacing w:val="-3"/>
          <w:sz w:val="20"/>
        </w:rPr>
        <w:t xml:space="preserve"> </w:t>
      </w:r>
      <w:r>
        <w:rPr>
          <w:sz w:val="20"/>
        </w:rPr>
        <w:t>and</w:t>
      </w:r>
      <w:r>
        <w:rPr>
          <w:spacing w:val="-3"/>
          <w:sz w:val="20"/>
        </w:rPr>
        <w:t xml:space="preserve"> </w:t>
      </w:r>
      <w:r>
        <w:rPr>
          <w:sz w:val="20"/>
        </w:rPr>
        <w:t>webinar</w:t>
      </w:r>
      <w:r>
        <w:rPr>
          <w:spacing w:val="-3"/>
          <w:sz w:val="20"/>
        </w:rPr>
        <w:t xml:space="preserve"> </w:t>
      </w:r>
      <w:r>
        <w:rPr>
          <w:sz w:val="20"/>
        </w:rPr>
        <w:t>sessions</w:t>
      </w:r>
      <w:r>
        <w:rPr>
          <w:spacing w:val="-3"/>
          <w:sz w:val="20"/>
        </w:rPr>
        <w:t xml:space="preserve"> </w:t>
      </w:r>
      <w:r>
        <w:rPr>
          <w:sz w:val="20"/>
        </w:rPr>
        <w:t>on</w:t>
      </w:r>
      <w:r>
        <w:rPr>
          <w:spacing w:val="-3"/>
          <w:sz w:val="20"/>
        </w:rPr>
        <w:t xml:space="preserve"> </w:t>
      </w:r>
      <w:r>
        <w:rPr>
          <w:sz w:val="20"/>
        </w:rPr>
        <w:t>high</w:t>
      </w:r>
      <w:r>
        <w:rPr>
          <w:spacing w:val="-3"/>
          <w:sz w:val="20"/>
        </w:rPr>
        <w:t xml:space="preserve"> </w:t>
      </w:r>
      <w:r>
        <w:rPr>
          <w:sz w:val="20"/>
        </w:rPr>
        <w:t>priority</w:t>
      </w:r>
      <w:r>
        <w:rPr>
          <w:spacing w:val="-3"/>
          <w:sz w:val="20"/>
        </w:rPr>
        <w:t xml:space="preserve"> </w:t>
      </w:r>
      <w:r>
        <w:rPr>
          <w:sz w:val="20"/>
        </w:rPr>
        <w:t>issues</w:t>
      </w:r>
      <w:r>
        <w:rPr>
          <w:spacing w:val="-3"/>
          <w:sz w:val="20"/>
        </w:rPr>
        <w:t xml:space="preserve"> </w:t>
      </w:r>
      <w:r>
        <w:rPr>
          <w:sz w:val="20"/>
        </w:rPr>
        <w:t>affecting</w:t>
      </w:r>
      <w:r>
        <w:rPr>
          <w:spacing w:val="-3"/>
          <w:sz w:val="20"/>
        </w:rPr>
        <w:t xml:space="preserve"> </w:t>
      </w:r>
      <w:r>
        <w:rPr>
          <w:sz w:val="20"/>
        </w:rPr>
        <w:t>the</w:t>
      </w:r>
      <w:r>
        <w:rPr>
          <w:spacing w:val="-3"/>
          <w:sz w:val="20"/>
        </w:rPr>
        <w:t xml:space="preserve"> </w:t>
      </w:r>
      <w:r>
        <w:rPr>
          <w:sz w:val="20"/>
        </w:rPr>
        <w:t>profession,</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vicarious trauma and burnout.</w:t>
      </w:r>
    </w:p>
    <w:p w14:paraId="7EF493D1" w14:textId="77777777" w:rsidR="00AC6F3C" w:rsidRDefault="00570E88">
      <w:pPr>
        <w:pStyle w:val="ListParagraph"/>
        <w:numPr>
          <w:ilvl w:val="2"/>
          <w:numId w:val="49"/>
        </w:numPr>
        <w:tabs>
          <w:tab w:val="left" w:pos="1155"/>
        </w:tabs>
        <w:spacing w:before="171"/>
        <w:ind w:hanging="340"/>
        <w:rPr>
          <w:sz w:val="20"/>
        </w:rPr>
      </w:pPr>
      <w:r>
        <w:rPr>
          <w:sz w:val="20"/>
        </w:rPr>
        <w:t>Leading</w:t>
      </w:r>
      <w:r>
        <w:rPr>
          <w:spacing w:val="-6"/>
          <w:sz w:val="20"/>
        </w:rPr>
        <w:t xml:space="preserve"> </w:t>
      </w:r>
      <w:r>
        <w:rPr>
          <w:sz w:val="20"/>
        </w:rPr>
        <w:t>wellbeing</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profession</w:t>
      </w:r>
      <w:r>
        <w:rPr>
          <w:spacing w:val="-4"/>
          <w:sz w:val="20"/>
        </w:rPr>
        <w:t xml:space="preserve"> </w:t>
      </w:r>
      <w:r>
        <w:rPr>
          <w:sz w:val="20"/>
        </w:rPr>
        <w:t>sessions</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Practice</w:t>
      </w:r>
      <w:r>
        <w:rPr>
          <w:spacing w:val="-4"/>
          <w:sz w:val="20"/>
        </w:rPr>
        <w:t xml:space="preserve"> </w:t>
      </w:r>
      <w:r>
        <w:rPr>
          <w:sz w:val="20"/>
        </w:rPr>
        <w:t>Management</w:t>
      </w:r>
      <w:r>
        <w:rPr>
          <w:spacing w:val="-3"/>
          <w:sz w:val="20"/>
        </w:rPr>
        <w:t xml:space="preserve"> </w:t>
      </w:r>
      <w:r>
        <w:rPr>
          <w:spacing w:val="-2"/>
          <w:sz w:val="20"/>
        </w:rPr>
        <w:t>courses.</w:t>
      </w:r>
    </w:p>
    <w:p w14:paraId="07D7ADE5" w14:textId="77777777" w:rsidR="00AC6F3C" w:rsidRDefault="00570E88">
      <w:pPr>
        <w:pStyle w:val="BodyText"/>
        <w:spacing w:before="180" w:line="249" w:lineRule="auto"/>
        <w:ind w:left="815"/>
      </w:pPr>
      <w:r>
        <w:t>Our</w:t>
      </w:r>
      <w:r>
        <w:rPr>
          <w:spacing w:val="-3"/>
        </w:rPr>
        <w:t xml:space="preserve"> </w:t>
      </w:r>
      <w:r>
        <w:t>Early</w:t>
      </w:r>
      <w:r>
        <w:rPr>
          <w:spacing w:val="-3"/>
        </w:rPr>
        <w:t xml:space="preserve"> </w:t>
      </w:r>
      <w:r>
        <w:t>Career</w:t>
      </w:r>
      <w:r>
        <w:rPr>
          <w:spacing w:val="-3"/>
        </w:rPr>
        <w:t xml:space="preserve"> </w:t>
      </w:r>
      <w:r>
        <w:t>Lawyers</w:t>
      </w:r>
      <w:r>
        <w:rPr>
          <w:spacing w:val="-3"/>
        </w:rPr>
        <w:t xml:space="preserve"> </w:t>
      </w:r>
      <w:r>
        <w:t>are</w:t>
      </w:r>
      <w:r>
        <w:rPr>
          <w:spacing w:val="-3"/>
        </w:rPr>
        <w:t xml:space="preserve"> </w:t>
      </w:r>
      <w:r>
        <w:t>also</w:t>
      </w:r>
      <w:r>
        <w:rPr>
          <w:spacing w:val="-3"/>
        </w:rPr>
        <w:t xml:space="preserve"> </w:t>
      </w:r>
      <w:r>
        <w:t>provided</w:t>
      </w:r>
      <w:r>
        <w:rPr>
          <w:spacing w:val="-3"/>
        </w:rPr>
        <w:t xml:space="preserve"> </w:t>
      </w:r>
      <w:r>
        <w:t>dedicated</w:t>
      </w:r>
      <w:r>
        <w:rPr>
          <w:spacing w:val="-3"/>
        </w:rPr>
        <w:t xml:space="preserve"> </w:t>
      </w:r>
      <w:r>
        <w:t>resources</w:t>
      </w:r>
      <w:r>
        <w:rPr>
          <w:spacing w:val="-3"/>
        </w:rPr>
        <w:t xml:space="preserve"> </w:t>
      </w:r>
      <w:r>
        <w:t>for</w:t>
      </w:r>
      <w:r>
        <w:rPr>
          <w:spacing w:val="-3"/>
        </w:rPr>
        <w:t xml:space="preserve"> </w:t>
      </w:r>
      <w:r>
        <w:t>mental</w:t>
      </w:r>
      <w:r>
        <w:rPr>
          <w:spacing w:val="-3"/>
        </w:rPr>
        <w:t xml:space="preserve"> </w:t>
      </w:r>
      <w:r>
        <w:t>health</w:t>
      </w:r>
      <w:r>
        <w:rPr>
          <w:spacing w:val="-3"/>
        </w:rPr>
        <w:t xml:space="preserve"> </w:t>
      </w:r>
      <w:r>
        <w:t>and</w:t>
      </w:r>
      <w:r>
        <w:rPr>
          <w:spacing w:val="-3"/>
        </w:rPr>
        <w:t xml:space="preserve"> </w:t>
      </w:r>
      <w:r>
        <w:t>wellbeing</w:t>
      </w:r>
      <w:r>
        <w:rPr>
          <w:spacing w:val="-3"/>
        </w:rPr>
        <w:t xml:space="preserve"> </w:t>
      </w:r>
      <w:r>
        <w:t>via</w:t>
      </w:r>
      <w:r>
        <w:rPr>
          <w:spacing w:val="-3"/>
        </w:rPr>
        <w:t xml:space="preserve"> </w:t>
      </w:r>
      <w:r>
        <w:t>our FLC Hub on the QLS website.</w:t>
      </w:r>
    </w:p>
    <w:p w14:paraId="7836CC21" w14:textId="77777777" w:rsidR="00AC6F3C" w:rsidRDefault="00AC6F3C">
      <w:pPr>
        <w:spacing w:line="249" w:lineRule="auto"/>
        <w:sectPr w:rsidR="00AC6F3C">
          <w:headerReference w:type="default" r:id="rId136"/>
          <w:footerReference w:type="default" r:id="rId137"/>
          <w:pgSz w:w="11910" w:h="16840"/>
          <w:pgMar w:top="1140" w:right="1160" w:bottom="520" w:left="460" w:header="0" w:footer="336" w:gutter="0"/>
          <w:cols w:space="720"/>
        </w:sectPr>
      </w:pPr>
    </w:p>
    <w:p w14:paraId="6942190E"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47801020" wp14:editId="16F76488">
                <wp:extent cx="5940425" cy="25400"/>
                <wp:effectExtent l="19050" t="0" r="3175" b="3175"/>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374" name="Graphic 374"/>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474B9E" id="Group 373"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HLHH7moCAACYBQAADgAAAAAAAAAAAAAAAAAuAgAA&#10;ZHJzL2Uyb0RvYy54bWxQSwECLQAUAAYACAAAACEAzcNg/dwAAAADAQAADwAAAAAAAAAAAAAAAADE&#10;BAAAZHJzL2Rvd25yZXYueG1sUEsFBgAAAAAEAAQA8wAAAM0FAAAAAA==&#10;">
                <v:shape id="Graphic 374"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" path="m,l5940005,e" filled="f" strokeweight="2pt">
                  <v:path arrowok="t"/>
                </v:shape>
                <w10:anchorlock/>
              </v:group>
            </w:pict>
          </mc:Fallback>
        </mc:AlternateContent>
      </w:r>
    </w:p>
    <w:p w14:paraId="27C80CB9" w14:textId="77777777" w:rsidR="00AC6F3C" w:rsidRDefault="00570E88">
      <w:pPr>
        <w:pStyle w:val="Heading1"/>
      </w:pPr>
      <w:bookmarkStart w:id="53" w:name="EDUCATE_"/>
      <w:bookmarkStart w:id="54" w:name="QLS_Education_Mission_Statement:"/>
      <w:bookmarkStart w:id="55" w:name="_bookmark19"/>
      <w:bookmarkEnd w:id="53"/>
      <w:bookmarkEnd w:id="54"/>
      <w:bookmarkEnd w:id="55"/>
      <w:r>
        <w:rPr>
          <w:spacing w:val="-2"/>
        </w:rPr>
        <w:t>EDUCATE</w:t>
      </w:r>
    </w:p>
    <w:p w14:paraId="409CD87E" w14:textId="77777777" w:rsidR="00AC6F3C" w:rsidRDefault="00570E88">
      <w:pPr>
        <w:spacing w:before="320" w:line="249" w:lineRule="auto"/>
        <w:ind w:left="815"/>
        <w:rPr>
          <w:b/>
          <w:sz w:val="28"/>
        </w:rPr>
      </w:pPr>
      <w:r>
        <w:rPr>
          <w:b/>
          <w:sz w:val="28"/>
        </w:rPr>
        <w:t>We</w:t>
      </w:r>
      <w:r>
        <w:rPr>
          <w:b/>
          <w:spacing w:val="-5"/>
          <w:sz w:val="28"/>
        </w:rPr>
        <w:t xml:space="preserve"> </w:t>
      </w:r>
      <w:r>
        <w:rPr>
          <w:b/>
          <w:sz w:val="28"/>
        </w:rPr>
        <w:t>develop</w:t>
      </w:r>
      <w:r>
        <w:rPr>
          <w:b/>
          <w:spacing w:val="-5"/>
          <w:sz w:val="28"/>
        </w:rPr>
        <w:t xml:space="preserve"> </w:t>
      </w:r>
      <w:r>
        <w:rPr>
          <w:b/>
          <w:sz w:val="28"/>
        </w:rPr>
        <w:t>and</w:t>
      </w:r>
      <w:r>
        <w:rPr>
          <w:b/>
          <w:spacing w:val="-5"/>
          <w:sz w:val="28"/>
        </w:rPr>
        <w:t xml:space="preserve"> </w:t>
      </w:r>
      <w:r>
        <w:rPr>
          <w:b/>
          <w:sz w:val="28"/>
        </w:rPr>
        <w:t>deliver</w:t>
      </w:r>
      <w:r>
        <w:rPr>
          <w:b/>
          <w:spacing w:val="-5"/>
          <w:sz w:val="28"/>
        </w:rPr>
        <w:t xml:space="preserve"> </w:t>
      </w:r>
      <w:r>
        <w:rPr>
          <w:b/>
          <w:sz w:val="28"/>
        </w:rPr>
        <w:t>leading</w:t>
      </w:r>
      <w:r>
        <w:rPr>
          <w:b/>
          <w:spacing w:val="-5"/>
          <w:sz w:val="28"/>
        </w:rPr>
        <w:t xml:space="preserve"> </w:t>
      </w:r>
      <w:r>
        <w:rPr>
          <w:b/>
          <w:sz w:val="28"/>
        </w:rPr>
        <w:t>education</w:t>
      </w:r>
      <w:r>
        <w:rPr>
          <w:b/>
          <w:spacing w:val="-5"/>
          <w:sz w:val="28"/>
        </w:rPr>
        <w:t xml:space="preserve"> </w:t>
      </w:r>
      <w:r>
        <w:rPr>
          <w:b/>
          <w:sz w:val="28"/>
        </w:rPr>
        <w:t>experiences</w:t>
      </w:r>
      <w:r>
        <w:rPr>
          <w:b/>
          <w:spacing w:val="-5"/>
          <w:sz w:val="28"/>
        </w:rPr>
        <w:t xml:space="preserve"> </w:t>
      </w:r>
      <w:r>
        <w:rPr>
          <w:b/>
          <w:sz w:val="28"/>
        </w:rPr>
        <w:t>to</w:t>
      </w:r>
      <w:r>
        <w:rPr>
          <w:b/>
          <w:spacing w:val="-5"/>
          <w:sz w:val="28"/>
        </w:rPr>
        <w:t xml:space="preserve"> </w:t>
      </w:r>
      <w:r>
        <w:rPr>
          <w:b/>
          <w:sz w:val="28"/>
        </w:rPr>
        <w:t>advance</w:t>
      </w:r>
      <w:r>
        <w:rPr>
          <w:b/>
          <w:spacing w:val="-5"/>
          <w:sz w:val="28"/>
        </w:rPr>
        <w:t xml:space="preserve"> </w:t>
      </w:r>
      <w:r>
        <w:rPr>
          <w:b/>
          <w:sz w:val="28"/>
        </w:rPr>
        <w:t>the expertise and accreditation of solicitors and their businesses.</w:t>
      </w:r>
    </w:p>
    <w:p w14:paraId="5C2A37F5" w14:textId="77777777" w:rsidR="00AC6F3C" w:rsidRDefault="00AC6F3C">
      <w:pPr>
        <w:pStyle w:val="BodyText"/>
        <w:spacing w:before="8"/>
        <w:rPr>
          <w:b/>
          <w:sz w:val="30"/>
        </w:rPr>
      </w:pPr>
    </w:p>
    <w:p w14:paraId="5AB19834" w14:textId="77777777" w:rsidR="00AC6F3C" w:rsidRDefault="00570E88">
      <w:pPr>
        <w:pStyle w:val="Heading3"/>
      </w:pPr>
      <w:r>
        <w:t xml:space="preserve">QLS Education Mission </w:t>
      </w:r>
      <w:r>
        <w:rPr>
          <w:spacing w:val="-2"/>
        </w:rPr>
        <w:t>Statement</w:t>
      </w:r>
    </w:p>
    <w:p w14:paraId="6A28F9CD" w14:textId="77777777" w:rsidR="00AC6F3C" w:rsidRDefault="00AC6F3C">
      <w:pPr>
        <w:pStyle w:val="BodyText"/>
        <w:spacing w:before="2"/>
        <w:rPr>
          <w:b/>
          <w:sz w:val="29"/>
        </w:rPr>
      </w:pPr>
    </w:p>
    <w:p w14:paraId="4104116D" w14:textId="77777777" w:rsidR="00AC6F3C" w:rsidRDefault="00570E88">
      <w:pPr>
        <w:pStyle w:val="Heading8"/>
        <w:spacing w:line="249" w:lineRule="auto"/>
      </w:pPr>
      <w:r>
        <w:t>Offer</w:t>
      </w:r>
      <w:r>
        <w:rPr>
          <w:spacing w:val="-3"/>
        </w:rPr>
        <w:t xml:space="preserve"> </w:t>
      </w:r>
      <w:r>
        <w:t>all</w:t>
      </w:r>
      <w:r>
        <w:rPr>
          <w:spacing w:val="-3"/>
        </w:rPr>
        <w:t xml:space="preserve"> </w:t>
      </w:r>
      <w:r>
        <w:t>of</w:t>
      </w:r>
      <w:r>
        <w:rPr>
          <w:spacing w:val="-3"/>
        </w:rPr>
        <w:t xml:space="preserve"> </w:t>
      </w:r>
      <w:r>
        <w:t>our</w:t>
      </w:r>
      <w:r>
        <w:rPr>
          <w:spacing w:val="-3"/>
        </w:rPr>
        <w:t xml:space="preserve"> </w:t>
      </w:r>
      <w:r>
        <w:t>members</w:t>
      </w:r>
      <w:r>
        <w:rPr>
          <w:spacing w:val="-3"/>
        </w:rPr>
        <w:t xml:space="preserve"> </w:t>
      </w:r>
      <w:r>
        <w:t>the</w:t>
      </w:r>
      <w:r>
        <w:rPr>
          <w:spacing w:val="-3"/>
        </w:rPr>
        <w:t xml:space="preserve"> </w:t>
      </w:r>
      <w:r>
        <w:t>highest</w:t>
      </w:r>
      <w:r>
        <w:rPr>
          <w:spacing w:val="-3"/>
        </w:rPr>
        <w:t xml:space="preserve"> </w:t>
      </w:r>
      <w:r>
        <w:t>quality</w:t>
      </w:r>
      <w:r>
        <w:rPr>
          <w:spacing w:val="-3"/>
        </w:rPr>
        <w:t xml:space="preserve"> </w:t>
      </w:r>
      <w:r>
        <w:t>and</w:t>
      </w:r>
      <w:r>
        <w:rPr>
          <w:spacing w:val="-3"/>
        </w:rPr>
        <w:t xml:space="preserve"> </w:t>
      </w:r>
      <w:r>
        <w:t>best</w:t>
      </w:r>
      <w:r>
        <w:rPr>
          <w:spacing w:val="-3"/>
        </w:rPr>
        <w:t xml:space="preserve"> </w:t>
      </w:r>
      <w:r>
        <w:t>value</w:t>
      </w:r>
      <w:r>
        <w:rPr>
          <w:spacing w:val="-3"/>
        </w:rPr>
        <w:t xml:space="preserve"> </w:t>
      </w:r>
      <w:r>
        <w:t>CPD</w:t>
      </w:r>
      <w:r>
        <w:rPr>
          <w:spacing w:val="-3"/>
        </w:rPr>
        <w:t xml:space="preserve"> </w:t>
      </w:r>
      <w:r>
        <w:t>syllabus</w:t>
      </w:r>
      <w:r>
        <w:rPr>
          <w:spacing w:val="-3"/>
        </w:rPr>
        <w:t xml:space="preserve"> </w:t>
      </w:r>
      <w:r>
        <w:t>and</w:t>
      </w:r>
      <w:r>
        <w:rPr>
          <w:spacing w:val="-3"/>
        </w:rPr>
        <w:t xml:space="preserve"> </w:t>
      </w:r>
      <w:r>
        <w:t>education pathways to enable them to perform their best and to develop as ethical and healthy lawyers, with sustainable and successful careers.</w:t>
      </w:r>
    </w:p>
    <w:p w14:paraId="541D6846" w14:textId="77777777" w:rsidR="00AC6F3C" w:rsidRDefault="00570E88">
      <w:pPr>
        <w:pStyle w:val="BodyText"/>
        <w:spacing w:before="163" w:line="249" w:lineRule="auto"/>
        <w:ind w:left="815" w:right="468"/>
      </w:pPr>
      <w:r>
        <w:rPr>
          <w:spacing w:val="-2"/>
        </w:rPr>
        <w:t>QLS offered a comprehensive calendar of market-leading continuing professional development (CPD) education</w:t>
      </w:r>
      <w:r>
        <w:rPr>
          <w:spacing w:val="-10"/>
        </w:rPr>
        <w:t xml:space="preserve"> </w:t>
      </w:r>
      <w:r>
        <w:rPr>
          <w:spacing w:val="-2"/>
        </w:rPr>
        <w:t>events,</w:t>
      </w:r>
      <w:r>
        <w:rPr>
          <w:spacing w:val="-10"/>
        </w:rPr>
        <w:t xml:space="preserve"> </w:t>
      </w:r>
      <w:r>
        <w:rPr>
          <w:spacing w:val="-2"/>
        </w:rPr>
        <w:t>curating</w:t>
      </w:r>
      <w:r>
        <w:rPr>
          <w:spacing w:val="-10"/>
        </w:rPr>
        <w:t xml:space="preserve"> </w:t>
      </w:r>
      <w:r>
        <w:rPr>
          <w:spacing w:val="-2"/>
        </w:rPr>
        <w:t>a</w:t>
      </w:r>
      <w:r>
        <w:rPr>
          <w:spacing w:val="-10"/>
        </w:rPr>
        <w:t xml:space="preserve"> </w:t>
      </w:r>
      <w:r>
        <w:rPr>
          <w:spacing w:val="-2"/>
        </w:rPr>
        <w:t>variety</w:t>
      </w:r>
      <w:r>
        <w:rPr>
          <w:spacing w:val="-10"/>
        </w:rPr>
        <w:t xml:space="preserve"> </w:t>
      </w:r>
      <w:r>
        <w:rPr>
          <w:spacing w:val="-2"/>
        </w:rPr>
        <w:t>of</w:t>
      </w:r>
      <w:r>
        <w:rPr>
          <w:spacing w:val="-10"/>
        </w:rPr>
        <w:t xml:space="preserve"> </w:t>
      </w:r>
      <w:r>
        <w:rPr>
          <w:spacing w:val="-2"/>
        </w:rPr>
        <w:t>learning</w:t>
      </w:r>
      <w:r>
        <w:rPr>
          <w:spacing w:val="-10"/>
        </w:rPr>
        <w:t xml:space="preserve"> </w:t>
      </w:r>
      <w:r>
        <w:rPr>
          <w:spacing w:val="-2"/>
        </w:rPr>
        <w:t>opportunities</w:t>
      </w:r>
      <w:r>
        <w:rPr>
          <w:spacing w:val="-10"/>
        </w:rPr>
        <w:t xml:space="preserve"> </w:t>
      </w:r>
      <w:r>
        <w:rPr>
          <w:spacing w:val="-2"/>
        </w:rPr>
        <w:t>to</w:t>
      </w:r>
      <w:r>
        <w:rPr>
          <w:spacing w:val="-10"/>
        </w:rPr>
        <w:t xml:space="preserve"> </w:t>
      </w:r>
      <w:r>
        <w:rPr>
          <w:spacing w:val="-2"/>
        </w:rPr>
        <w:t>ensure</w:t>
      </w:r>
      <w:r>
        <w:rPr>
          <w:spacing w:val="-10"/>
        </w:rPr>
        <w:t xml:space="preserve"> </w:t>
      </w:r>
      <w:r>
        <w:rPr>
          <w:spacing w:val="-2"/>
        </w:rPr>
        <w:t>that</w:t>
      </w:r>
      <w:r>
        <w:rPr>
          <w:spacing w:val="-10"/>
        </w:rPr>
        <w:t xml:space="preserve"> </w:t>
      </w:r>
      <w:r>
        <w:rPr>
          <w:spacing w:val="-2"/>
        </w:rPr>
        <w:t>at</w:t>
      </w:r>
      <w:r>
        <w:rPr>
          <w:spacing w:val="-10"/>
        </w:rPr>
        <w:t xml:space="preserve"> </w:t>
      </w:r>
      <w:r>
        <w:rPr>
          <w:spacing w:val="-2"/>
        </w:rPr>
        <w:t>whatever</w:t>
      </w:r>
      <w:r>
        <w:rPr>
          <w:spacing w:val="-10"/>
        </w:rPr>
        <w:t xml:space="preserve"> </w:t>
      </w:r>
      <w:r>
        <w:rPr>
          <w:spacing w:val="-2"/>
        </w:rPr>
        <w:t>stage</w:t>
      </w:r>
      <w:r>
        <w:rPr>
          <w:spacing w:val="-10"/>
        </w:rPr>
        <w:t xml:space="preserve"> </w:t>
      </w:r>
      <w:r>
        <w:rPr>
          <w:spacing w:val="-2"/>
        </w:rPr>
        <w:t>a</w:t>
      </w:r>
      <w:r>
        <w:rPr>
          <w:spacing w:val="-10"/>
        </w:rPr>
        <w:t xml:space="preserve"> </w:t>
      </w:r>
      <w:r>
        <w:rPr>
          <w:spacing w:val="-2"/>
        </w:rPr>
        <w:t>lawyer</w:t>
      </w:r>
      <w:r>
        <w:rPr>
          <w:spacing w:val="-10"/>
        </w:rPr>
        <w:t xml:space="preserve"> </w:t>
      </w:r>
      <w:r>
        <w:rPr>
          <w:spacing w:val="-2"/>
        </w:rPr>
        <w:t xml:space="preserve">is </w:t>
      </w:r>
      <w:r>
        <w:t>within</w:t>
      </w:r>
      <w:r>
        <w:rPr>
          <w:spacing w:val="-14"/>
        </w:rPr>
        <w:t xml:space="preserve"> </w:t>
      </w:r>
      <w:r>
        <w:t>their</w:t>
      </w:r>
      <w:r>
        <w:rPr>
          <w:spacing w:val="-14"/>
        </w:rPr>
        <w:t xml:space="preserve"> </w:t>
      </w:r>
      <w:r>
        <w:t>legal</w:t>
      </w:r>
      <w:r>
        <w:rPr>
          <w:spacing w:val="-14"/>
        </w:rPr>
        <w:t xml:space="preserve"> </w:t>
      </w:r>
      <w:r>
        <w:t>career,</w:t>
      </w:r>
      <w:r>
        <w:rPr>
          <w:spacing w:val="-14"/>
        </w:rPr>
        <w:t xml:space="preserve"> </w:t>
      </w:r>
      <w:r>
        <w:t>they</w:t>
      </w:r>
      <w:r>
        <w:rPr>
          <w:spacing w:val="-14"/>
        </w:rPr>
        <w:t xml:space="preserve"> </w:t>
      </w:r>
      <w:r>
        <w:t>could</w:t>
      </w:r>
      <w:r>
        <w:rPr>
          <w:spacing w:val="-14"/>
        </w:rPr>
        <w:t xml:space="preserve"> </w:t>
      </w:r>
      <w:r>
        <w:t>easily</w:t>
      </w:r>
      <w:r>
        <w:rPr>
          <w:spacing w:val="-14"/>
        </w:rPr>
        <w:t xml:space="preserve"> </w:t>
      </w:r>
      <w:r>
        <w:t>access</w:t>
      </w:r>
      <w:r>
        <w:rPr>
          <w:spacing w:val="-14"/>
        </w:rPr>
        <w:t xml:space="preserve"> </w:t>
      </w:r>
      <w:r>
        <w:t>quality,</w:t>
      </w:r>
      <w:r>
        <w:rPr>
          <w:spacing w:val="-14"/>
        </w:rPr>
        <w:t xml:space="preserve"> </w:t>
      </w:r>
      <w:r>
        <w:t>affordable</w:t>
      </w:r>
      <w:r>
        <w:rPr>
          <w:spacing w:val="-13"/>
        </w:rPr>
        <w:t xml:space="preserve"> </w:t>
      </w:r>
      <w:r>
        <w:t>and</w:t>
      </w:r>
      <w:r>
        <w:rPr>
          <w:spacing w:val="-14"/>
        </w:rPr>
        <w:t xml:space="preserve"> </w:t>
      </w:r>
      <w:r>
        <w:t>relevant</w:t>
      </w:r>
      <w:r>
        <w:rPr>
          <w:spacing w:val="-14"/>
        </w:rPr>
        <w:t xml:space="preserve"> </w:t>
      </w:r>
      <w:r>
        <w:t>education</w:t>
      </w:r>
      <w:r>
        <w:rPr>
          <w:spacing w:val="-14"/>
        </w:rPr>
        <w:t xml:space="preserve"> </w:t>
      </w:r>
      <w:r>
        <w:t>resources.</w:t>
      </w:r>
    </w:p>
    <w:p w14:paraId="073631EE" w14:textId="77777777" w:rsidR="00AC6F3C" w:rsidRDefault="00570E88">
      <w:pPr>
        <w:pStyle w:val="BodyText"/>
        <w:spacing w:before="172" w:line="249" w:lineRule="auto"/>
        <w:ind w:left="815"/>
      </w:pPr>
      <w:r>
        <w:t>This</w:t>
      </w:r>
      <w:r>
        <w:rPr>
          <w:spacing w:val="-3"/>
        </w:rPr>
        <w:t xml:space="preserve"> </w:t>
      </w:r>
      <w:r>
        <w:t>involved</w:t>
      </w:r>
      <w:r>
        <w:rPr>
          <w:spacing w:val="-3"/>
        </w:rPr>
        <w:t xml:space="preserve"> </w:t>
      </w:r>
      <w:r>
        <w:t>presentations</w:t>
      </w:r>
      <w:r>
        <w:rPr>
          <w:spacing w:val="-3"/>
        </w:rPr>
        <w:t xml:space="preserve"> </w:t>
      </w:r>
      <w:r>
        <w:t>covering</w:t>
      </w:r>
      <w:r>
        <w:rPr>
          <w:spacing w:val="-3"/>
        </w:rPr>
        <w:t xml:space="preserve"> </w:t>
      </w:r>
      <w:r>
        <w:t>a</w:t>
      </w:r>
      <w:r>
        <w:rPr>
          <w:spacing w:val="-3"/>
        </w:rPr>
        <w:t xml:space="preserve"> </w:t>
      </w:r>
      <w:r>
        <w:t>wide</w:t>
      </w:r>
      <w:r>
        <w:rPr>
          <w:spacing w:val="-3"/>
        </w:rPr>
        <w:t xml:space="preserve"> </w:t>
      </w:r>
      <w:r>
        <w:t>selection</w:t>
      </w:r>
      <w:r>
        <w:rPr>
          <w:spacing w:val="-3"/>
        </w:rPr>
        <w:t xml:space="preserve"> </w:t>
      </w:r>
      <w:r>
        <w:t>of</w:t>
      </w:r>
      <w:r>
        <w:rPr>
          <w:spacing w:val="-3"/>
        </w:rPr>
        <w:t xml:space="preserve"> </w:t>
      </w:r>
      <w:r>
        <w:t>substantive</w:t>
      </w:r>
      <w:r>
        <w:rPr>
          <w:spacing w:val="-3"/>
        </w:rPr>
        <w:t xml:space="preserve"> </w:t>
      </w:r>
      <w:r>
        <w:t>law</w:t>
      </w:r>
      <w:r>
        <w:rPr>
          <w:spacing w:val="-3"/>
        </w:rPr>
        <w:t xml:space="preserve"> </w:t>
      </w:r>
      <w:r>
        <w:t>topics</w:t>
      </w:r>
      <w:r>
        <w:rPr>
          <w:spacing w:val="-3"/>
        </w:rPr>
        <w:t xml:space="preserve"> </w:t>
      </w:r>
      <w:r>
        <w:t>as</w:t>
      </w:r>
      <w:r>
        <w:rPr>
          <w:spacing w:val="-3"/>
        </w:rPr>
        <w:t xml:space="preserve"> </w:t>
      </w:r>
      <w:r>
        <w:t>well</w:t>
      </w:r>
      <w:r>
        <w:rPr>
          <w:spacing w:val="-3"/>
        </w:rPr>
        <w:t xml:space="preserve"> </w:t>
      </w:r>
      <w:r>
        <w:t>as</w:t>
      </w:r>
      <w:r>
        <w:rPr>
          <w:spacing w:val="-3"/>
        </w:rPr>
        <w:t xml:space="preserve"> </w:t>
      </w:r>
      <w:r>
        <w:t>ethics,</w:t>
      </w:r>
      <w:r>
        <w:rPr>
          <w:spacing w:val="-3"/>
        </w:rPr>
        <w:t xml:space="preserve"> </w:t>
      </w:r>
      <w:r>
        <w:t>practice management, business skills and professional skills delivered as:</w:t>
      </w:r>
    </w:p>
    <w:p w14:paraId="45262B89" w14:textId="77777777" w:rsidR="00AC6F3C" w:rsidRDefault="00570E88">
      <w:pPr>
        <w:pStyle w:val="ListParagraph"/>
        <w:numPr>
          <w:ilvl w:val="0"/>
          <w:numId w:val="48"/>
        </w:numPr>
        <w:tabs>
          <w:tab w:val="left" w:pos="1154"/>
        </w:tabs>
        <w:spacing w:before="172"/>
        <w:ind w:left="1154" w:hanging="339"/>
        <w:rPr>
          <w:sz w:val="20"/>
        </w:rPr>
      </w:pPr>
      <w:r>
        <w:rPr>
          <w:sz w:val="20"/>
        </w:rPr>
        <w:t>Fifty-one</w:t>
      </w:r>
      <w:r>
        <w:rPr>
          <w:spacing w:val="-3"/>
          <w:sz w:val="20"/>
        </w:rPr>
        <w:t xml:space="preserve"> </w:t>
      </w:r>
      <w:r>
        <w:rPr>
          <w:sz w:val="20"/>
        </w:rPr>
        <w:t>live</w:t>
      </w:r>
      <w:r>
        <w:rPr>
          <w:spacing w:val="-2"/>
          <w:sz w:val="20"/>
        </w:rPr>
        <w:t xml:space="preserve"> </w:t>
      </w:r>
      <w:r>
        <w:rPr>
          <w:sz w:val="20"/>
        </w:rPr>
        <w:t>events</w:t>
      </w:r>
      <w:r>
        <w:rPr>
          <w:spacing w:val="-2"/>
          <w:sz w:val="20"/>
        </w:rPr>
        <w:t xml:space="preserve"> </w:t>
      </w:r>
      <w:r>
        <w:rPr>
          <w:sz w:val="20"/>
        </w:rPr>
        <w:t>delivered</w:t>
      </w:r>
      <w:r>
        <w:rPr>
          <w:spacing w:val="-3"/>
          <w:sz w:val="20"/>
        </w:rPr>
        <w:t xml:space="preserve"> </w:t>
      </w:r>
      <w:r>
        <w:rPr>
          <w:sz w:val="20"/>
        </w:rPr>
        <w:t>as</w:t>
      </w:r>
      <w:r>
        <w:rPr>
          <w:spacing w:val="-2"/>
          <w:sz w:val="20"/>
        </w:rPr>
        <w:t xml:space="preserve"> </w:t>
      </w:r>
      <w:r>
        <w:rPr>
          <w:sz w:val="20"/>
        </w:rPr>
        <w:t>conferences,</w:t>
      </w:r>
      <w:r>
        <w:rPr>
          <w:spacing w:val="-2"/>
          <w:sz w:val="20"/>
        </w:rPr>
        <w:t xml:space="preserve"> </w:t>
      </w:r>
      <w:r>
        <w:rPr>
          <w:sz w:val="20"/>
        </w:rPr>
        <w:t>webinars,</w:t>
      </w:r>
      <w:r>
        <w:rPr>
          <w:spacing w:val="-3"/>
          <w:sz w:val="20"/>
        </w:rPr>
        <w:t xml:space="preserve"> </w:t>
      </w:r>
      <w:r>
        <w:rPr>
          <w:sz w:val="20"/>
        </w:rPr>
        <w:t>lectures</w:t>
      </w:r>
      <w:r>
        <w:rPr>
          <w:spacing w:val="-2"/>
          <w:sz w:val="20"/>
        </w:rPr>
        <w:t xml:space="preserve"> </w:t>
      </w:r>
      <w:r>
        <w:rPr>
          <w:sz w:val="20"/>
        </w:rPr>
        <w:t>and</w:t>
      </w:r>
      <w:r>
        <w:rPr>
          <w:spacing w:val="-2"/>
          <w:sz w:val="20"/>
        </w:rPr>
        <w:t xml:space="preserve"> courses.</w:t>
      </w:r>
    </w:p>
    <w:p w14:paraId="646109D3" w14:textId="77777777" w:rsidR="00AC6F3C" w:rsidRDefault="00570E88">
      <w:pPr>
        <w:pStyle w:val="ListParagraph"/>
        <w:numPr>
          <w:ilvl w:val="0"/>
          <w:numId w:val="48"/>
        </w:numPr>
        <w:tabs>
          <w:tab w:val="left" w:pos="1154"/>
        </w:tabs>
        <w:ind w:left="1154" w:hanging="339"/>
        <w:rPr>
          <w:sz w:val="20"/>
        </w:rPr>
      </w:pPr>
      <w:r>
        <w:rPr>
          <w:sz w:val="20"/>
        </w:rPr>
        <w:t>Seventeen</w:t>
      </w:r>
      <w:r>
        <w:rPr>
          <w:spacing w:val="-7"/>
          <w:sz w:val="20"/>
        </w:rPr>
        <w:t xml:space="preserve"> </w:t>
      </w:r>
      <w:r>
        <w:rPr>
          <w:sz w:val="20"/>
        </w:rPr>
        <w:t>bespoke</w:t>
      </w:r>
      <w:r>
        <w:rPr>
          <w:spacing w:val="-4"/>
          <w:sz w:val="20"/>
        </w:rPr>
        <w:t xml:space="preserve"> </w:t>
      </w:r>
      <w:r>
        <w:rPr>
          <w:sz w:val="20"/>
        </w:rPr>
        <w:t>in-house</w:t>
      </w:r>
      <w:r>
        <w:rPr>
          <w:spacing w:val="-4"/>
          <w:sz w:val="20"/>
        </w:rPr>
        <w:t xml:space="preserve"> </w:t>
      </w:r>
      <w:r>
        <w:rPr>
          <w:sz w:val="20"/>
        </w:rPr>
        <w:t>presentations</w:t>
      </w:r>
      <w:r>
        <w:rPr>
          <w:spacing w:val="-5"/>
          <w:sz w:val="20"/>
        </w:rPr>
        <w:t xml:space="preserve"> </w:t>
      </w:r>
      <w:r>
        <w:rPr>
          <w:sz w:val="20"/>
        </w:rPr>
        <w:t>to</w:t>
      </w:r>
      <w:r>
        <w:rPr>
          <w:spacing w:val="-4"/>
          <w:sz w:val="20"/>
        </w:rPr>
        <w:t xml:space="preserve"> </w:t>
      </w:r>
      <w:r>
        <w:rPr>
          <w:sz w:val="20"/>
        </w:rPr>
        <w:t>legal</w:t>
      </w:r>
      <w:r>
        <w:rPr>
          <w:spacing w:val="-4"/>
          <w:sz w:val="20"/>
        </w:rPr>
        <w:t xml:space="preserve"> </w:t>
      </w:r>
      <w:proofErr w:type="spellStart"/>
      <w:r>
        <w:rPr>
          <w:spacing w:val="-2"/>
          <w:sz w:val="20"/>
        </w:rPr>
        <w:t>organisations</w:t>
      </w:r>
      <w:proofErr w:type="spellEnd"/>
      <w:r>
        <w:rPr>
          <w:spacing w:val="-2"/>
          <w:sz w:val="20"/>
        </w:rPr>
        <w:t>.</w:t>
      </w:r>
    </w:p>
    <w:p w14:paraId="79C2C26F" w14:textId="77777777" w:rsidR="00AC6F3C" w:rsidRDefault="00570E88">
      <w:pPr>
        <w:pStyle w:val="ListParagraph"/>
        <w:numPr>
          <w:ilvl w:val="0"/>
          <w:numId w:val="48"/>
        </w:numPr>
        <w:tabs>
          <w:tab w:val="left" w:pos="1154"/>
        </w:tabs>
        <w:ind w:left="1154" w:hanging="339"/>
        <w:rPr>
          <w:sz w:val="20"/>
        </w:rPr>
      </w:pPr>
      <w:r>
        <w:rPr>
          <w:sz w:val="20"/>
        </w:rPr>
        <w:t>Five</w:t>
      </w:r>
      <w:r>
        <w:rPr>
          <w:spacing w:val="-6"/>
          <w:sz w:val="20"/>
        </w:rPr>
        <w:t xml:space="preserve"> </w:t>
      </w:r>
      <w:r>
        <w:rPr>
          <w:sz w:val="20"/>
        </w:rPr>
        <w:t>self-paced</w:t>
      </w:r>
      <w:r>
        <w:rPr>
          <w:spacing w:val="-3"/>
          <w:sz w:val="20"/>
        </w:rPr>
        <w:t xml:space="preserve"> </w:t>
      </w:r>
      <w:r>
        <w:rPr>
          <w:sz w:val="20"/>
        </w:rPr>
        <w:t>Introductory</w:t>
      </w:r>
      <w:r>
        <w:rPr>
          <w:spacing w:val="-4"/>
          <w:sz w:val="20"/>
        </w:rPr>
        <w:t xml:space="preserve"> </w:t>
      </w:r>
      <w:r>
        <w:rPr>
          <w:sz w:val="20"/>
        </w:rPr>
        <w:t>courses</w:t>
      </w:r>
      <w:r>
        <w:rPr>
          <w:spacing w:val="-3"/>
          <w:sz w:val="20"/>
        </w:rPr>
        <w:t xml:space="preserve"> </w:t>
      </w:r>
      <w:r>
        <w:rPr>
          <w:sz w:val="20"/>
        </w:rPr>
        <w:t>through</w:t>
      </w:r>
      <w:r>
        <w:rPr>
          <w:spacing w:val="-3"/>
          <w:sz w:val="20"/>
        </w:rPr>
        <w:t xml:space="preserve"> </w:t>
      </w:r>
      <w:r>
        <w:rPr>
          <w:sz w:val="20"/>
        </w:rPr>
        <w:t>the</w:t>
      </w:r>
      <w:r>
        <w:rPr>
          <w:spacing w:val="-4"/>
          <w:sz w:val="20"/>
        </w:rPr>
        <w:t xml:space="preserve"> </w:t>
      </w:r>
      <w:r>
        <w:rPr>
          <w:sz w:val="20"/>
        </w:rPr>
        <w:t>Learning</w:t>
      </w:r>
      <w:r>
        <w:rPr>
          <w:spacing w:val="-3"/>
          <w:sz w:val="20"/>
        </w:rPr>
        <w:t xml:space="preserve"> </w:t>
      </w:r>
      <w:r>
        <w:rPr>
          <w:sz w:val="20"/>
        </w:rPr>
        <w:t>Management</w:t>
      </w:r>
      <w:r>
        <w:rPr>
          <w:spacing w:val="-3"/>
          <w:sz w:val="20"/>
        </w:rPr>
        <w:t xml:space="preserve"> </w:t>
      </w:r>
      <w:r>
        <w:rPr>
          <w:spacing w:val="-2"/>
          <w:sz w:val="20"/>
        </w:rPr>
        <w:t>System.</w:t>
      </w:r>
    </w:p>
    <w:p w14:paraId="3FAA13E9" w14:textId="77777777" w:rsidR="00AC6F3C" w:rsidRDefault="00570E88">
      <w:pPr>
        <w:pStyle w:val="ListParagraph"/>
        <w:numPr>
          <w:ilvl w:val="0"/>
          <w:numId w:val="48"/>
        </w:numPr>
        <w:tabs>
          <w:tab w:val="left" w:pos="1154"/>
        </w:tabs>
        <w:ind w:left="1154" w:hanging="339"/>
        <w:rPr>
          <w:sz w:val="20"/>
        </w:rPr>
      </w:pPr>
      <w:r>
        <w:rPr>
          <w:sz w:val="20"/>
        </w:rPr>
        <w:t>Various</w:t>
      </w:r>
      <w:r>
        <w:rPr>
          <w:spacing w:val="-11"/>
          <w:sz w:val="20"/>
        </w:rPr>
        <w:t xml:space="preserve"> </w:t>
      </w:r>
      <w:r>
        <w:rPr>
          <w:sz w:val="20"/>
        </w:rPr>
        <w:t>on-demand</w:t>
      </w:r>
      <w:r>
        <w:rPr>
          <w:spacing w:val="-9"/>
          <w:sz w:val="20"/>
        </w:rPr>
        <w:t xml:space="preserve"> </w:t>
      </w:r>
      <w:r>
        <w:rPr>
          <w:sz w:val="20"/>
        </w:rPr>
        <w:t>video</w:t>
      </w:r>
      <w:r>
        <w:rPr>
          <w:spacing w:val="-9"/>
          <w:sz w:val="20"/>
        </w:rPr>
        <w:t xml:space="preserve"> </w:t>
      </w:r>
      <w:r>
        <w:rPr>
          <w:spacing w:val="-2"/>
          <w:sz w:val="20"/>
        </w:rPr>
        <w:t>recordings.</w:t>
      </w:r>
    </w:p>
    <w:p w14:paraId="7ACAA796" w14:textId="77777777" w:rsidR="00AC6F3C" w:rsidRDefault="00570E88">
      <w:pPr>
        <w:pStyle w:val="ListParagraph"/>
        <w:numPr>
          <w:ilvl w:val="0"/>
          <w:numId w:val="48"/>
        </w:numPr>
        <w:tabs>
          <w:tab w:val="left" w:pos="1153"/>
          <w:tab w:val="left" w:pos="1155"/>
        </w:tabs>
        <w:spacing w:line="249" w:lineRule="auto"/>
        <w:ind w:right="179"/>
        <w:rPr>
          <w:sz w:val="20"/>
        </w:rPr>
      </w:pPr>
      <w:r>
        <w:rPr>
          <w:sz w:val="20"/>
        </w:rPr>
        <w:t>Seven Practice Management Courses (PMC) to ensure those Solicitors who wish to apply for a principal</w:t>
      </w:r>
      <w:r>
        <w:rPr>
          <w:spacing w:val="-3"/>
          <w:sz w:val="20"/>
        </w:rPr>
        <w:t xml:space="preserve"> </w:t>
      </w:r>
      <w:proofErr w:type="spellStart"/>
      <w:r>
        <w:rPr>
          <w:sz w:val="20"/>
        </w:rPr>
        <w:t>practising</w:t>
      </w:r>
      <w:proofErr w:type="spellEnd"/>
      <w:r>
        <w:rPr>
          <w:spacing w:val="-3"/>
          <w:sz w:val="20"/>
        </w:rPr>
        <w:t xml:space="preserve"> </w:t>
      </w:r>
      <w:r>
        <w:rPr>
          <w:sz w:val="20"/>
        </w:rPr>
        <w:t>certificate</w:t>
      </w:r>
      <w:r>
        <w:rPr>
          <w:spacing w:val="-3"/>
          <w:sz w:val="20"/>
        </w:rPr>
        <w:t xml:space="preserve"> </w:t>
      </w:r>
      <w:r>
        <w:rPr>
          <w:sz w:val="20"/>
        </w:rPr>
        <w:t>possess</w:t>
      </w:r>
      <w:r>
        <w:rPr>
          <w:spacing w:val="-3"/>
          <w:sz w:val="20"/>
        </w:rPr>
        <w:t xml:space="preserve"> </w:t>
      </w:r>
      <w:r>
        <w:rPr>
          <w:sz w:val="20"/>
        </w:rPr>
        <w:t>the</w:t>
      </w:r>
      <w:r>
        <w:rPr>
          <w:spacing w:val="-3"/>
          <w:sz w:val="20"/>
        </w:rPr>
        <w:t xml:space="preserve"> </w:t>
      </w:r>
      <w:r>
        <w:rPr>
          <w:sz w:val="20"/>
        </w:rPr>
        <w:t>necessary</w:t>
      </w:r>
      <w:r>
        <w:rPr>
          <w:spacing w:val="-3"/>
          <w:sz w:val="20"/>
        </w:rPr>
        <w:t xml:space="preserve"> </w:t>
      </w:r>
      <w:r>
        <w:rPr>
          <w:sz w:val="20"/>
        </w:rPr>
        <w:t>skills</w:t>
      </w:r>
      <w:r>
        <w:rPr>
          <w:spacing w:val="-3"/>
          <w:sz w:val="20"/>
        </w:rPr>
        <w:t xml:space="preserve"> </w:t>
      </w:r>
      <w:r>
        <w:rPr>
          <w:sz w:val="20"/>
        </w:rPr>
        <w:t>and</w:t>
      </w:r>
      <w:r>
        <w:rPr>
          <w:spacing w:val="-3"/>
          <w:sz w:val="20"/>
        </w:rPr>
        <w:t xml:space="preserve"> </w:t>
      </w:r>
      <w:r>
        <w:rPr>
          <w:sz w:val="20"/>
        </w:rPr>
        <w:t>knowledge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held</w:t>
      </w:r>
      <w:r>
        <w:rPr>
          <w:spacing w:val="-3"/>
          <w:sz w:val="20"/>
        </w:rPr>
        <w:t xml:space="preserve"> </w:t>
      </w:r>
      <w:r>
        <w:rPr>
          <w:sz w:val="20"/>
        </w:rPr>
        <w:t>out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public as a principal. The Society ran seven PMCs in 2022, two for the medium to large practice focus stream and five for the sole practitioner to small practice focus stream.</w:t>
      </w:r>
    </w:p>
    <w:p w14:paraId="4B8C0C71" w14:textId="77777777" w:rsidR="00AC6F3C" w:rsidRDefault="00570E88">
      <w:pPr>
        <w:pStyle w:val="ListParagraph"/>
        <w:numPr>
          <w:ilvl w:val="0"/>
          <w:numId w:val="48"/>
        </w:numPr>
        <w:tabs>
          <w:tab w:val="left" w:pos="1153"/>
          <w:tab w:val="left" w:pos="1155"/>
        </w:tabs>
        <w:spacing w:before="173" w:line="249" w:lineRule="auto"/>
        <w:ind w:right="427"/>
        <w:rPr>
          <w:sz w:val="20"/>
        </w:rPr>
      </w:pPr>
      <w:r>
        <w:rPr>
          <w:sz w:val="20"/>
        </w:rPr>
        <w:t>Four</w:t>
      </w:r>
      <w:r>
        <w:rPr>
          <w:spacing w:val="-3"/>
          <w:sz w:val="20"/>
        </w:rPr>
        <w:t xml:space="preserve"> </w:t>
      </w:r>
      <w:r>
        <w:rPr>
          <w:sz w:val="20"/>
        </w:rPr>
        <w:t>course</w:t>
      </w:r>
      <w:r>
        <w:rPr>
          <w:spacing w:val="-3"/>
          <w:sz w:val="20"/>
        </w:rPr>
        <w:t xml:space="preserve"> </w:t>
      </w:r>
      <w:r>
        <w:rPr>
          <w:sz w:val="20"/>
        </w:rPr>
        <w:t>areas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Specialist</w:t>
      </w:r>
      <w:r>
        <w:rPr>
          <w:spacing w:val="-14"/>
          <w:sz w:val="20"/>
        </w:rPr>
        <w:t xml:space="preserve"> </w:t>
      </w:r>
      <w:r>
        <w:rPr>
          <w:sz w:val="20"/>
        </w:rPr>
        <w:t>Accreditation</w:t>
      </w:r>
      <w:r>
        <w:rPr>
          <w:spacing w:val="-3"/>
          <w:sz w:val="20"/>
        </w:rPr>
        <w:t xml:space="preserve"> </w:t>
      </w:r>
      <w:r>
        <w:rPr>
          <w:sz w:val="20"/>
        </w:rPr>
        <w:t>Scheme</w:t>
      </w:r>
      <w:r>
        <w:rPr>
          <w:spacing w:val="-3"/>
          <w:sz w:val="20"/>
        </w:rPr>
        <w:t xml:space="preserve"> </w:t>
      </w:r>
      <w:r>
        <w:rPr>
          <w:sz w:val="20"/>
        </w:rPr>
        <w:t>offering</w:t>
      </w:r>
      <w:r>
        <w:rPr>
          <w:spacing w:val="-3"/>
          <w:sz w:val="20"/>
        </w:rPr>
        <w:t xml:space="preserve"> </w:t>
      </w:r>
      <w:r>
        <w:rPr>
          <w:sz w:val="20"/>
        </w:rPr>
        <w:t>the</w:t>
      </w:r>
      <w:r>
        <w:rPr>
          <w:spacing w:val="-3"/>
          <w:sz w:val="20"/>
        </w:rPr>
        <w:t xml:space="preserve"> </w:t>
      </w:r>
      <w:r>
        <w:rPr>
          <w:sz w:val="20"/>
        </w:rPr>
        <w:t>opportunity</w:t>
      </w:r>
      <w:r>
        <w:rPr>
          <w:spacing w:val="-3"/>
          <w:sz w:val="20"/>
        </w:rPr>
        <w:t xml:space="preserve"> </w:t>
      </w:r>
      <w:r>
        <w:rPr>
          <w:sz w:val="20"/>
        </w:rPr>
        <w:t>to</w:t>
      </w:r>
      <w:r>
        <w:rPr>
          <w:spacing w:val="-3"/>
          <w:sz w:val="20"/>
        </w:rPr>
        <w:t xml:space="preserve"> </w:t>
      </w:r>
      <w:r>
        <w:rPr>
          <w:sz w:val="20"/>
        </w:rPr>
        <w:t>be</w:t>
      </w:r>
      <w:r>
        <w:rPr>
          <w:spacing w:val="-3"/>
          <w:sz w:val="20"/>
        </w:rPr>
        <w:t xml:space="preserve"> </w:t>
      </w:r>
      <w:proofErr w:type="spellStart"/>
      <w:r>
        <w:rPr>
          <w:sz w:val="20"/>
        </w:rPr>
        <w:t>recognised</w:t>
      </w:r>
      <w:proofErr w:type="spellEnd"/>
      <w:r>
        <w:rPr>
          <w:sz w:val="20"/>
        </w:rPr>
        <w:t xml:space="preserve"> as a leading solicitor in Family, Criminal, Personal Injuries, Business or Workplace Relations (conducted with LIV) law.</w:t>
      </w:r>
    </w:p>
    <w:p w14:paraId="56C63B11" w14:textId="77777777" w:rsidR="00AC6F3C" w:rsidRDefault="00570E88">
      <w:pPr>
        <w:pStyle w:val="BodyText"/>
        <w:spacing w:before="173"/>
        <w:ind w:left="815"/>
      </w:pPr>
      <w:r>
        <w:t>The</w:t>
      </w:r>
      <w:r>
        <w:rPr>
          <w:spacing w:val="-3"/>
        </w:rPr>
        <w:t xml:space="preserve"> </w:t>
      </w:r>
      <w:r>
        <w:t>following</w:t>
      </w:r>
      <w:r>
        <w:rPr>
          <w:spacing w:val="-3"/>
        </w:rPr>
        <w:t xml:space="preserve"> </w:t>
      </w:r>
      <w:r>
        <w:t>table</w:t>
      </w:r>
      <w:r>
        <w:rPr>
          <w:spacing w:val="-2"/>
        </w:rPr>
        <w:t xml:space="preserve"> </w:t>
      </w:r>
      <w:r>
        <w:t>sets</w:t>
      </w:r>
      <w:r>
        <w:rPr>
          <w:spacing w:val="-3"/>
        </w:rPr>
        <w:t xml:space="preserve"> </w:t>
      </w:r>
      <w:r>
        <w:t>out</w:t>
      </w:r>
      <w:r>
        <w:rPr>
          <w:spacing w:val="-3"/>
        </w:rPr>
        <w:t xml:space="preserve"> </w:t>
      </w:r>
      <w:r>
        <w:t>key</w:t>
      </w:r>
      <w:r>
        <w:rPr>
          <w:spacing w:val="-2"/>
        </w:rPr>
        <w:t xml:space="preserve"> </w:t>
      </w:r>
      <w:r>
        <w:t>CPD</w:t>
      </w:r>
      <w:r>
        <w:rPr>
          <w:spacing w:val="-3"/>
        </w:rPr>
        <w:t xml:space="preserve"> </w:t>
      </w:r>
      <w:r>
        <w:t>Education</w:t>
      </w:r>
      <w:r>
        <w:rPr>
          <w:spacing w:val="-3"/>
        </w:rPr>
        <w:t xml:space="preserve"> </w:t>
      </w:r>
      <w:r>
        <w:t>data</w:t>
      </w:r>
      <w:r>
        <w:rPr>
          <w:spacing w:val="-2"/>
        </w:rPr>
        <w:t xml:space="preserve"> </w:t>
      </w:r>
      <w:r>
        <w:t>for</w:t>
      </w:r>
      <w:r>
        <w:rPr>
          <w:spacing w:val="-3"/>
        </w:rPr>
        <w:t xml:space="preserve"> </w:t>
      </w:r>
      <w:r>
        <w:t>the</w:t>
      </w:r>
      <w:r>
        <w:rPr>
          <w:spacing w:val="-2"/>
        </w:rPr>
        <w:t xml:space="preserve"> year:</w:t>
      </w:r>
    </w:p>
    <w:p w14:paraId="0DD4EA39" w14:textId="77777777" w:rsidR="00AC6F3C" w:rsidRDefault="00570E88">
      <w:pPr>
        <w:pStyle w:val="BodyText"/>
        <w:spacing w:before="9"/>
        <w:rPr>
          <w:sz w:val="23"/>
        </w:rPr>
      </w:pPr>
      <w:r>
        <w:rPr>
          <w:noProof/>
        </w:rPr>
        <mc:AlternateContent>
          <mc:Choice Requires="wpg">
            <w:drawing>
              <wp:anchor distT="0" distB="0" distL="0" distR="0" simplePos="0" relativeHeight="487627776" behindDoc="1" locked="0" layoutInCell="1" allowOverlap="1" wp14:anchorId="2BD88522" wp14:editId="2C782705">
                <wp:simplePos x="0" y="0"/>
                <wp:positionH relativeFrom="page">
                  <wp:posOffset>809999</wp:posOffset>
                </wp:positionH>
                <wp:positionV relativeFrom="paragraph">
                  <wp:posOffset>189413</wp:posOffset>
                </wp:positionV>
                <wp:extent cx="5940425" cy="1270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76" name="Graphic 376"/>
                        <wps:cNvSpPr/>
                        <wps:spPr>
                          <a:xfrm>
                            <a:off x="0" y="6350"/>
                            <a:ext cx="2790190" cy="1270"/>
                          </a:xfrm>
                          <a:custGeom>
                            <a:avLst/>
                            <a:gdLst/>
                            <a:ahLst/>
                            <a:cxnLst/>
                            <a:rect l="l" t="t" r="r" b="b"/>
                            <a:pathLst>
                              <a:path w="2790190">
                                <a:moveTo>
                                  <a:pt x="0" y="0"/>
                                </a:moveTo>
                                <a:lnTo>
                                  <a:pt x="2789999" y="0"/>
                                </a:lnTo>
                              </a:path>
                            </a:pathLst>
                          </a:custGeom>
                          <a:ln w="12700">
                            <a:solidFill>
                              <a:srgbClr val="000000"/>
                            </a:solidFill>
                            <a:prstDash val="solid"/>
                          </a:ln>
                        </wps:spPr>
                        <wps:bodyPr wrap="square" lIns="0" tIns="0" rIns="0" bIns="0" rtlCol="0">
                          <a:prstTxWarp prst="textNoShape">
                            <a:avLst/>
                          </a:prstTxWarp>
                          <a:noAutofit/>
                        </wps:bodyPr>
                      </wps:wsp>
                      <wps:wsp>
                        <wps:cNvPr id="377" name="Graphic 377"/>
                        <wps:cNvSpPr/>
                        <wps:spPr>
                          <a:xfrm>
                            <a:off x="2789999" y="6350"/>
                            <a:ext cx="3150235" cy="1270"/>
                          </a:xfrm>
                          <a:custGeom>
                            <a:avLst/>
                            <a:gdLst/>
                            <a:ahLst/>
                            <a:cxnLst/>
                            <a:rect l="l" t="t" r="r" b="b"/>
                            <a:pathLst>
                              <a:path w="3150235">
                                <a:moveTo>
                                  <a:pt x="0" y="0"/>
                                </a:moveTo>
                                <a:lnTo>
                                  <a:pt x="314999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D254DC" id="Group 375" o:spid="_x0000_s1026" style="position:absolute;margin-left:63.8pt;margin-top:14.9pt;width:467.75pt;height:1pt;z-index:-15688704;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">
                <v:shape id="Graphic 376" o:spid="_x0000_s1027" style="position:absolute;top:63;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" path="m,l2789999,e" filled="f" strokeweight="1pt">
                  <v:path arrowok="t"/>
                </v:shape>
                <v:shape id="Graphic 377" o:spid="_x0000_s1028" style="position:absolute;left:27899;top:63;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" path="m,l3149993,e" filled="f" strokeweight="1pt">
                  <v:path arrowok="t"/>
                </v:shape>
                <w10:wrap type="topAndBottom" anchorx="page"/>
              </v:group>
            </w:pict>
          </mc:Fallback>
        </mc:AlternateContent>
      </w:r>
    </w:p>
    <w:p w14:paraId="3C2A4787" w14:textId="77777777" w:rsidR="00AC6F3C" w:rsidRDefault="00570E88">
      <w:pPr>
        <w:tabs>
          <w:tab w:val="left" w:pos="8804"/>
        </w:tabs>
        <w:spacing w:before="61" w:after="61"/>
        <w:ind w:left="928"/>
        <w:rPr>
          <w:b/>
          <w:sz w:val="20"/>
        </w:rPr>
      </w:pPr>
      <w:r>
        <w:rPr>
          <w:b/>
          <w:spacing w:val="-2"/>
          <w:sz w:val="20"/>
        </w:rPr>
        <w:t>Activity</w:t>
      </w:r>
      <w:r>
        <w:rPr>
          <w:b/>
          <w:sz w:val="20"/>
        </w:rPr>
        <w:tab/>
      </w:r>
      <w:r>
        <w:rPr>
          <w:b/>
          <w:spacing w:val="-2"/>
          <w:sz w:val="20"/>
        </w:rPr>
        <w:t>Total</w:t>
      </w:r>
      <w:r>
        <w:rPr>
          <w:b/>
          <w:spacing w:val="-7"/>
          <w:sz w:val="20"/>
        </w:rPr>
        <w:t xml:space="preserve"> </w:t>
      </w:r>
      <w:r>
        <w:rPr>
          <w:b/>
          <w:spacing w:val="-2"/>
          <w:sz w:val="20"/>
        </w:rPr>
        <w:t>number</w:t>
      </w:r>
    </w:p>
    <w:p w14:paraId="3D06D013" w14:textId="77777777" w:rsidR="00AC6F3C" w:rsidRDefault="00570E88">
      <w:pPr>
        <w:pStyle w:val="BodyText"/>
        <w:spacing w:line="20" w:lineRule="exact"/>
        <w:ind w:left="805"/>
        <w:rPr>
          <w:sz w:val="2"/>
        </w:rPr>
      </w:pPr>
      <w:r>
        <w:rPr>
          <w:noProof/>
          <w:sz w:val="2"/>
        </w:rPr>
        <mc:AlternateContent>
          <mc:Choice Requires="wpg">
            <w:drawing>
              <wp:inline distT="0" distB="0" distL="0" distR="0" wp14:anchorId="187DB11A" wp14:editId="28FFF475">
                <wp:extent cx="5940425" cy="12700"/>
                <wp:effectExtent l="9525" t="0" r="3175" b="635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79" name="Graphic 379"/>
                        <wps:cNvSpPr/>
                        <wps:spPr>
                          <a:xfrm>
                            <a:off x="0" y="6350"/>
                            <a:ext cx="2790190" cy="1270"/>
                          </a:xfrm>
                          <a:custGeom>
                            <a:avLst/>
                            <a:gdLst/>
                            <a:ahLst/>
                            <a:cxnLst/>
                            <a:rect l="l" t="t" r="r" b="b"/>
                            <a:pathLst>
                              <a:path w="2790190">
                                <a:moveTo>
                                  <a:pt x="0" y="0"/>
                                </a:moveTo>
                                <a:lnTo>
                                  <a:pt x="2789999" y="0"/>
                                </a:lnTo>
                              </a:path>
                            </a:pathLst>
                          </a:custGeom>
                          <a:ln w="12700">
                            <a:solidFill>
                              <a:srgbClr val="000000"/>
                            </a:solidFill>
                            <a:prstDash val="solid"/>
                          </a:ln>
                        </wps:spPr>
                        <wps:bodyPr wrap="square" lIns="0" tIns="0" rIns="0" bIns="0" rtlCol="0">
                          <a:prstTxWarp prst="textNoShape">
                            <a:avLst/>
                          </a:prstTxWarp>
                          <a:noAutofit/>
                        </wps:bodyPr>
                      </wps:wsp>
                      <wps:wsp>
                        <wps:cNvPr id="380" name="Graphic 380"/>
                        <wps:cNvSpPr/>
                        <wps:spPr>
                          <a:xfrm>
                            <a:off x="2789999" y="6350"/>
                            <a:ext cx="3150235" cy="1270"/>
                          </a:xfrm>
                          <a:custGeom>
                            <a:avLst/>
                            <a:gdLst/>
                            <a:ahLst/>
                            <a:cxnLst/>
                            <a:rect l="l" t="t" r="r" b="b"/>
                            <a:pathLst>
                              <a:path w="3150235">
                                <a:moveTo>
                                  <a:pt x="0" y="0"/>
                                </a:moveTo>
                                <a:lnTo>
                                  <a:pt x="3149993"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9EFC83" id="Group 378"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">
                <v:shape id="Graphic 379" o:spid="_x0000_s1027" style="position:absolute;top:63;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" path="m,l2789999,e" filled="f" strokeweight="1pt">
                  <v:path arrowok="t"/>
                </v:shape>
                <v:shape id="Graphic 380" o:spid="_x0000_s1028" style="position:absolute;left:27899;top:63;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" path="m,l3149993,e" filled="f" strokeweight="1pt">
                  <v:path arrowok="t"/>
                </v:shape>
                <w10:anchorlock/>
              </v:group>
            </w:pict>
          </mc:Fallback>
        </mc:AlternateContent>
      </w:r>
    </w:p>
    <w:p w14:paraId="49692E10" w14:textId="77777777" w:rsidR="00AC6F3C" w:rsidRDefault="00570E88">
      <w:pPr>
        <w:pStyle w:val="BodyText"/>
        <w:tabs>
          <w:tab w:val="left" w:pos="9366"/>
        </w:tabs>
        <w:spacing w:before="66"/>
        <w:ind w:left="928"/>
      </w:pPr>
      <w:r>
        <w:rPr>
          <w:spacing w:val="-2"/>
        </w:rPr>
        <w:t>Total</w:t>
      </w:r>
      <w:r>
        <w:rPr>
          <w:spacing w:val="-8"/>
        </w:rPr>
        <w:t xml:space="preserve"> </w:t>
      </w:r>
      <w:r>
        <w:rPr>
          <w:spacing w:val="-2"/>
        </w:rPr>
        <w:t>CPD</w:t>
      </w:r>
      <w:r>
        <w:rPr>
          <w:spacing w:val="-6"/>
        </w:rPr>
        <w:t xml:space="preserve"> </w:t>
      </w:r>
      <w:r>
        <w:rPr>
          <w:spacing w:val="-2"/>
        </w:rPr>
        <w:t>hours</w:t>
      </w:r>
      <w:r>
        <w:tab/>
      </w:r>
      <w:r>
        <w:rPr>
          <w:spacing w:val="-2"/>
        </w:rPr>
        <w:t>34,847*</w:t>
      </w:r>
    </w:p>
    <w:p w14:paraId="6318E863" w14:textId="77777777" w:rsidR="00AC6F3C" w:rsidRDefault="00570E88">
      <w:pPr>
        <w:pStyle w:val="BodyText"/>
        <w:spacing w:before="7"/>
        <w:rPr>
          <w:sz w:val="3"/>
        </w:rPr>
      </w:pPr>
      <w:r>
        <w:rPr>
          <w:noProof/>
        </w:rPr>
        <mc:AlternateContent>
          <mc:Choice Requires="wpg">
            <w:drawing>
              <wp:anchor distT="0" distB="0" distL="0" distR="0" simplePos="0" relativeHeight="487628800" behindDoc="1" locked="0" layoutInCell="1" allowOverlap="1" wp14:anchorId="7E520750" wp14:editId="2BEF8DF6">
                <wp:simplePos x="0" y="0"/>
                <wp:positionH relativeFrom="page">
                  <wp:posOffset>809999</wp:posOffset>
                </wp:positionH>
                <wp:positionV relativeFrom="paragraph">
                  <wp:posOffset>42161</wp:posOffset>
                </wp:positionV>
                <wp:extent cx="5940425" cy="635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382" name="Graphic 382"/>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383" name="Graphic 383"/>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824B6F" id="Group 381" o:spid="_x0000_s1026" style="position:absolute;margin-left:63.8pt;margin-top:3.3pt;width:467.75pt;height:.5pt;z-index:-156876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">
                <v:shape id="Graphic 382"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" path="m,l2789999,e" filled="f" strokeweight=".5pt">
                  <v:path arrowok="t"/>
                </v:shape>
                <v:shape id="Graphic 383"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" path="m,l3149993,e" filled="f" strokeweight=".5pt">
                  <v:path arrowok="t"/>
                </v:shape>
                <w10:wrap type="topAndBottom" anchorx="page"/>
              </v:group>
            </w:pict>
          </mc:Fallback>
        </mc:AlternateContent>
      </w:r>
    </w:p>
    <w:p w14:paraId="4D98103B" w14:textId="77777777" w:rsidR="00AC6F3C" w:rsidRDefault="00570E88">
      <w:pPr>
        <w:pStyle w:val="BodyText"/>
        <w:tabs>
          <w:tab w:val="left" w:pos="9567"/>
        </w:tabs>
        <w:spacing w:before="66"/>
        <w:ind w:left="928"/>
      </w:pPr>
      <w:r>
        <w:rPr>
          <w:spacing w:val="-2"/>
        </w:rPr>
        <w:t>Speakers/Presenters</w:t>
      </w:r>
      <w:r>
        <w:tab/>
      </w:r>
      <w:r>
        <w:rPr>
          <w:spacing w:val="-2"/>
        </w:rPr>
        <w:t>462**</w:t>
      </w:r>
    </w:p>
    <w:p w14:paraId="5DB38159" w14:textId="77777777" w:rsidR="00AC6F3C" w:rsidRDefault="00570E88">
      <w:pPr>
        <w:pStyle w:val="BodyText"/>
        <w:spacing w:before="7"/>
        <w:rPr>
          <w:sz w:val="3"/>
        </w:rPr>
      </w:pPr>
      <w:r>
        <w:rPr>
          <w:noProof/>
        </w:rPr>
        <mc:AlternateContent>
          <mc:Choice Requires="wpg">
            <w:drawing>
              <wp:anchor distT="0" distB="0" distL="0" distR="0" simplePos="0" relativeHeight="487629312" behindDoc="1" locked="0" layoutInCell="1" allowOverlap="1" wp14:anchorId="2025E0A0" wp14:editId="68270DD3">
                <wp:simplePos x="0" y="0"/>
                <wp:positionH relativeFrom="page">
                  <wp:posOffset>809999</wp:posOffset>
                </wp:positionH>
                <wp:positionV relativeFrom="paragraph">
                  <wp:posOffset>42162</wp:posOffset>
                </wp:positionV>
                <wp:extent cx="5940425" cy="6350"/>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385" name="Graphic 385"/>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386" name="Graphic 386"/>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D21C47" id="Group 384" o:spid="_x0000_s1026" style="position:absolute;margin-left:63.8pt;margin-top:3.3pt;width:467.75pt;height:.5pt;z-index:-15687168;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">
                <v:shape id="Graphic 385"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" path="m,l2789999,e" filled="f" strokeweight=".5pt">
                  <v:path arrowok="t"/>
                </v:shape>
                <v:shape id="Graphic 386"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" path="m,l3149993,e" filled="f" strokeweight=".5pt">
                  <v:path arrowok="t"/>
                </v:shape>
                <w10:wrap type="topAndBottom" anchorx="page"/>
              </v:group>
            </w:pict>
          </mc:Fallback>
        </mc:AlternateContent>
      </w:r>
    </w:p>
    <w:p w14:paraId="4A760BF9" w14:textId="77777777" w:rsidR="00AC6F3C" w:rsidRDefault="00570E88">
      <w:pPr>
        <w:pStyle w:val="BodyText"/>
        <w:tabs>
          <w:tab w:val="left" w:pos="9400"/>
        </w:tabs>
        <w:spacing w:before="66"/>
        <w:ind w:left="928"/>
      </w:pPr>
      <w:r>
        <w:t>Event</w:t>
      </w:r>
      <w:r>
        <w:rPr>
          <w:spacing w:val="-2"/>
        </w:rPr>
        <w:t xml:space="preserve"> </w:t>
      </w:r>
      <w:r>
        <w:t>attendees</w:t>
      </w:r>
      <w:r>
        <w:rPr>
          <w:spacing w:val="-2"/>
        </w:rPr>
        <w:t xml:space="preserve"> </w:t>
      </w:r>
      <w:r>
        <w:t>(in</w:t>
      </w:r>
      <w:r>
        <w:rPr>
          <w:spacing w:val="-2"/>
        </w:rPr>
        <w:t xml:space="preserve"> </w:t>
      </w:r>
      <w:r>
        <w:t>person</w:t>
      </w:r>
      <w:r>
        <w:rPr>
          <w:spacing w:val="-2"/>
        </w:rPr>
        <w:t xml:space="preserve"> </w:t>
      </w:r>
      <w:r>
        <w:t>and</w:t>
      </w:r>
      <w:r>
        <w:rPr>
          <w:spacing w:val="-1"/>
        </w:rPr>
        <w:t xml:space="preserve"> </w:t>
      </w:r>
      <w:r>
        <w:rPr>
          <w:spacing w:val="-2"/>
        </w:rPr>
        <w:t>online)</w:t>
      </w:r>
      <w:r>
        <w:tab/>
      </w:r>
      <w:r>
        <w:rPr>
          <w:spacing w:val="-2"/>
        </w:rPr>
        <w:t>5,585**</w:t>
      </w:r>
    </w:p>
    <w:p w14:paraId="2DB624BA" w14:textId="77777777" w:rsidR="00AC6F3C" w:rsidRDefault="00570E88">
      <w:pPr>
        <w:pStyle w:val="BodyText"/>
        <w:tabs>
          <w:tab w:val="right" w:pos="10056"/>
        </w:tabs>
        <w:spacing w:before="143"/>
        <w:ind w:left="928"/>
      </w:pPr>
      <w:r>
        <w:rPr>
          <w:noProof/>
        </w:rPr>
        <mc:AlternateContent>
          <mc:Choice Requires="wpg">
            <w:drawing>
              <wp:anchor distT="0" distB="0" distL="0" distR="0" simplePos="0" relativeHeight="15771648" behindDoc="0" locked="0" layoutInCell="1" allowOverlap="1" wp14:anchorId="3D4A3E3B" wp14:editId="64422A75">
                <wp:simplePos x="0" y="0"/>
                <wp:positionH relativeFrom="page">
                  <wp:posOffset>809999</wp:posOffset>
                </wp:positionH>
                <wp:positionV relativeFrom="paragraph">
                  <wp:posOffset>42236</wp:posOffset>
                </wp:positionV>
                <wp:extent cx="5940425" cy="635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388" name="Graphic 388"/>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389" name="Graphic 389"/>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F6D31B" id="Group 387" o:spid="_x0000_s1026" style="position:absolute;margin-left:63.8pt;margin-top:3.35pt;width:467.75pt;height:.5pt;z-index:15771648;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">
                <v:shape id="Graphic 388"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" path="m,l2789999,e" filled="f" strokeweight=".5pt">
                  <v:path arrowok="t"/>
                </v:shape>
                <v:shape id="Graphic 389"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" path="m,l3149993,e" filled="f" strokeweight=".5pt">
                  <v:path arrowok="t"/>
                </v:shape>
                <w10:wrap anchorx="page"/>
              </v:group>
            </w:pict>
          </mc:Fallback>
        </mc:AlternateContent>
      </w:r>
      <w:r>
        <w:rPr>
          <w:noProof/>
        </w:rPr>
        <mc:AlternateContent>
          <mc:Choice Requires="wpg">
            <w:drawing>
              <wp:anchor distT="0" distB="0" distL="0" distR="0" simplePos="0" relativeHeight="15772160" behindDoc="0" locked="0" layoutInCell="1" allowOverlap="1" wp14:anchorId="5963C037" wp14:editId="62D1E588">
                <wp:simplePos x="0" y="0"/>
                <wp:positionH relativeFrom="page">
                  <wp:posOffset>809999</wp:posOffset>
                </wp:positionH>
                <wp:positionV relativeFrom="paragraph">
                  <wp:posOffset>278696</wp:posOffset>
                </wp:positionV>
                <wp:extent cx="5940425" cy="635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391" name="Graphic 391"/>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392" name="Graphic 392"/>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45C841" id="Group 390" o:spid="_x0000_s1026" style="position:absolute;margin-left:63.8pt;margin-top:21.95pt;width:467.75pt;height:.5pt;z-index:1577216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">
                <v:shape id="Graphic 391"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" path="m,l2789999,e" filled="f" strokeweight=".5pt">
                  <v:path arrowok="t"/>
                </v:shape>
                <v:shape id="Graphic 392"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" path="m,l3149993,e" filled="f" strokeweight=".5pt">
                  <v:path arrowok="t"/>
                </v:shape>
                <w10:wrap anchorx="page"/>
              </v:group>
            </w:pict>
          </mc:Fallback>
        </mc:AlternateContent>
      </w:r>
      <w:r>
        <w:t>Bespoke</w:t>
      </w:r>
      <w:r>
        <w:rPr>
          <w:spacing w:val="-9"/>
        </w:rPr>
        <w:t xml:space="preserve"> </w:t>
      </w:r>
      <w:r>
        <w:t>presentation</w:t>
      </w:r>
      <w:r>
        <w:rPr>
          <w:spacing w:val="-8"/>
        </w:rPr>
        <w:t xml:space="preserve"> </w:t>
      </w:r>
      <w:r>
        <w:rPr>
          <w:spacing w:val="-2"/>
        </w:rPr>
        <w:t>attendees</w:t>
      </w:r>
      <w:r>
        <w:rPr>
          <w:rFonts w:ascii="Times New Roman"/>
        </w:rPr>
        <w:tab/>
      </w:r>
      <w:r>
        <w:rPr>
          <w:spacing w:val="-5"/>
        </w:rPr>
        <w:t>349</w:t>
      </w:r>
    </w:p>
    <w:p w14:paraId="3FABC22C" w14:textId="77777777" w:rsidR="00AC6F3C" w:rsidRDefault="00570E88">
      <w:pPr>
        <w:spacing w:before="287"/>
        <w:ind w:left="815"/>
        <w:rPr>
          <w:i/>
          <w:sz w:val="16"/>
        </w:rPr>
      </w:pPr>
      <w:r>
        <w:rPr>
          <w:i/>
          <w:sz w:val="16"/>
        </w:rPr>
        <w:t>*Includes</w:t>
      </w:r>
      <w:r>
        <w:rPr>
          <w:i/>
          <w:spacing w:val="-2"/>
          <w:sz w:val="16"/>
        </w:rPr>
        <w:t xml:space="preserve"> </w:t>
      </w:r>
      <w:r>
        <w:rPr>
          <w:i/>
          <w:sz w:val="16"/>
        </w:rPr>
        <w:t>event</w:t>
      </w:r>
      <w:r>
        <w:rPr>
          <w:i/>
          <w:spacing w:val="-2"/>
          <w:sz w:val="16"/>
        </w:rPr>
        <w:t xml:space="preserve"> </w:t>
      </w:r>
      <w:r>
        <w:rPr>
          <w:i/>
          <w:sz w:val="16"/>
        </w:rPr>
        <w:t>and</w:t>
      </w:r>
      <w:r>
        <w:rPr>
          <w:i/>
          <w:spacing w:val="-2"/>
          <w:sz w:val="16"/>
        </w:rPr>
        <w:t xml:space="preserve"> </w:t>
      </w:r>
      <w:r>
        <w:rPr>
          <w:i/>
          <w:sz w:val="16"/>
        </w:rPr>
        <w:t>bespoke</w:t>
      </w:r>
      <w:r>
        <w:rPr>
          <w:i/>
          <w:spacing w:val="-2"/>
          <w:sz w:val="16"/>
        </w:rPr>
        <w:t xml:space="preserve"> </w:t>
      </w:r>
      <w:r>
        <w:rPr>
          <w:i/>
          <w:sz w:val="16"/>
        </w:rPr>
        <w:t>attendance,</w:t>
      </w:r>
      <w:r>
        <w:rPr>
          <w:i/>
          <w:spacing w:val="-1"/>
          <w:sz w:val="16"/>
        </w:rPr>
        <w:t xml:space="preserve"> </w:t>
      </w:r>
      <w:r>
        <w:rPr>
          <w:i/>
          <w:sz w:val="16"/>
        </w:rPr>
        <w:t>and</w:t>
      </w:r>
      <w:r>
        <w:rPr>
          <w:i/>
          <w:spacing w:val="-2"/>
          <w:sz w:val="16"/>
        </w:rPr>
        <w:t xml:space="preserve"> </w:t>
      </w:r>
      <w:r>
        <w:rPr>
          <w:i/>
          <w:sz w:val="16"/>
        </w:rPr>
        <w:t>on</w:t>
      </w:r>
      <w:r>
        <w:rPr>
          <w:i/>
          <w:spacing w:val="-2"/>
          <w:sz w:val="16"/>
        </w:rPr>
        <w:t xml:space="preserve"> </w:t>
      </w:r>
      <w:r>
        <w:rPr>
          <w:i/>
          <w:sz w:val="16"/>
        </w:rPr>
        <w:t>demand</w:t>
      </w:r>
      <w:r>
        <w:rPr>
          <w:i/>
          <w:spacing w:val="-2"/>
          <w:sz w:val="16"/>
        </w:rPr>
        <w:t xml:space="preserve"> </w:t>
      </w:r>
      <w:r>
        <w:rPr>
          <w:i/>
          <w:sz w:val="16"/>
        </w:rPr>
        <w:t>content</w:t>
      </w:r>
      <w:r>
        <w:rPr>
          <w:i/>
          <w:spacing w:val="-1"/>
          <w:sz w:val="16"/>
        </w:rPr>
        <w:t xml:space="preserve"> </w:t>
      </w:r>
      <w:r>
        <w:rPr>
          <w:i/>
          <w:spacing w:val="-4"/>
          <w:sz w:val="16"/>
        </w:rPr>
        <w:t>sold</w:t>
      </w:r>
    </w:p>
    <w:p w14:paraId="3B44DA37" w14:textId="77777777" w:rsidR="00AC6F3C" w:rsidRDefault="00570E88">
      <w:pPr>
        <w:spacing w:before="179"/>
        <w:ind w:left="815"/>
        <w:rPr>
          <w:i/>
          <w:sz w:val="16"/>
        </w:rPr>
      </w:pPr>
      <w:r>
        <w:rPr>
          <w:i/>
          <w:sz w:val="16"/>
        </w:rPr>
        <w:t>**Represents</w:t>
      </w:r>
      <w:r>
        <w:rPr>
          <w:i/>
          <w:spacing w:val="-2"/>
          <w:sz w:val="16"/>
        </w:rPr>
        <w:t xml:space="preserve"> </w:t>
      </w:r>
      <w:r>
        <w:rPr>
          <w:i/>
          <w:sz w:val="16"/>
        </w:rPr>
        <w:t>total</w:t>
      </w:r>
      <w:r>
        <w:rPr>
          <w:i/>
          <w:spacing w:val="-2"/>
          <w:sz w:val="16"/>
        </w:rPr>
        <w:t xml:space="preserve"> </w:t>
      </w:r>
      <w:r>
        <w:rPr>
          <w:i/>
          <w:sz w:val="16"/>
        </w:rPr>
        <w:t>number</w:t>
      </w:r>
      <w:r>
        <w:rPr>
          <w:i/>
          <w:spacing w:val="-2"/>
          <w:sz w:val="16"/>
        </w:rPr>
        <w:t xml:space="preserve"> </w:t>
      </w:r>
      <w:r>
        <w:rPr>
          <w:i/>
          <w:sz w:val="16"/>
        </w:rPr>
        <w:t>of</w:t>
      </w:r>
      <w:r>
        <w:rPr>
          <w:i/>
          <w:spacing w:val="-2"/>
          <w:sz w:val="16"/>
        </w:rPr>
        <w:t xml:space="preserve"> </w:t>
      </w:r>
      <w:r>
        <w:rPr>
          <w:i/>
          <w:sz w:val="16"/>
        </w:rPr>
        <w:t>event</w:t>
      </w:r>
      <w:r>
        <w:rPr>
          <w:i/>
          <w:spacing w:val="-2"/>
          <w:sz w:val="16"/>
        </w:rPr>
        <w:t xml:space="preserve"> </w:t>
      </w:r>
      <w:r>
        <w:rPr>
          <w:i/>
          <w:sz w:val="16"/>
        </w:rPr>
        <w:t>attendances/speakers,</w:t>
      </w:r>
      <w:r>
        <w:rPr>
          <w:i/>
          <w:spacing w:val="-2"/>
          <w:sz w:val="16"/>
        </w:rPr>
        <w:t xml:space="preserve"> </w:t>
      </w:r>
      <w:r>
        <w:rPr>
          <w:i/>
          <w:sz w:val="16"/>
        </w:rPr>
        <w:t>not</w:t>
      </w:r>
      <w:r>
        <w:rPr>
          <w:i/>
          <w:spacing w:val="-2"/>
          <w:sz w:val="16"/>
        </w:rPr>
        <w:t xml:space="preserve"> </w:t>
      </w:r>
      <w:r>
        <w:rPr>
          <w:i/>
          <w:sz w:val="16"/>
        </w:rPr>
        <w:t>unique</w:t>
      </w:r>
      <w:r>
        <w:rPr>
          <w:i/>
          <w:spacing w:val="-2"/>
          <w:sz w:val="16"/>
        </w:rPr>
        <w:t xml:space="preserve"> </w:t>
      </w:r>
      <w:r>
        <w:rPr>
          <w:i/>
          <w:sz w:val="16"/>
        </w:rPr>
        <w:t>individual</w:t>
      </w:r>
      <w:r>
        <w:rPr>
          <w:i/>
          <w:spacing w:val="-2"/>
          <w:sz w:val="16"/>
        </w:rPr>
        <w:t xml:space="preserve"> attendees/speakers</w:t>
      </w:r>
    </w:p>
    <w:p w14:paraId="5B744DB7" w14:textId="77777777" w:rsidR="00AC6F3C" w:rsidRDefault="00570E88">
      <w:pPr>
        <w:pStyle w:val="BodyText"/>
        <w:spacing w:before="188" w:line="249" w:lineRule="auto"/>
        <w:ind w:left="815" w:right="1424"/>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above,</w:t>
      </w:r>
      <w:r>
        <w:rPr>
          <w:spacing w:val="-3"/>
        </w:rPr>
        <w:t xml:space="preserve"> </w:t>
      </w:r>
      <w:r>
        <w:t>the</w:t>
      </w:r>
      <w:r>
        <w:rPr>
          <w:spacing w:val="-3"/>
        </w:rPr>
        <w:t xml:space="preserve"> </w:t>
      </w:r>
      <w:r>
        <w:t>following</w:t>
      </w:r>
      <w:r>
        <w:rPr>
          <w:spacing w:val="-3"/>
        </w:rPr>
        <w:t xml:space="preserve"> </w:t>
      </w:r>
      <w:r>
        <w:t>table</w:t>
      </w:r>
      <w:r>
        <w:rPr>
          <w:spacing w:val="-3"/>
        </w:rPr>
        <w:t xml:space="preserve"> </w:t>
      </w:r>
      <w:r>
        <w:t>sets</w:t>
      </w:r>
      <w:r>
        <w:rPr>
          <w:spacing w:val="-3"/>
        </w:rPr>
        <w:t xml:space="preserve"> </w:t>
      </w:r>
      <w:r>
        <w:t>out</w:t>
      </w:r>
      <w:r>
        <w:rPr>
          <w:spacing w:val="-3"/>
        </w:rPr>
        <w:t xml:space="preserve"> </w:t>
      </w:r>
      <w:r>
        <w:t>key</w:t>
      </w:r>
      <w:r>
        <w:rPr>
          <w:spacing w:val="-3"/>
        </w:rPr>
        <w:t xml:space="preserve"> </w:t>
      </w:r>
      <w:r>
        <w:t>Professional</w:t>
      </w:r>
      <w:r>
        <w:rPr>
          <w:spacing w:val="-14"/>
        </w:rPr>
        <w:t xml:space="preserve"> </w:t>
      </w:r>
      <w:r>
        <w:t>Advancement</w:t>
      </w:r>
      <w:r>
        <w:rPr>
          <w:spacing w:val="-3"/>
        </w:rPr>
        <w:t xml:space="preserve"> </w:t>
      </w:r>
      <w:r>
        <w:t>Course data for the year:</w:t>
      </w:r>
    </w:p>
    <w:p w14:paraId="17D6483D" w14:textId="77777777" w:rsidR="00AC6F3C" w:rsidRDefault="00570E88">
      <w:pPr>
        <w:pStyle w:val="BodyText"/>
        <w:spacing w:before="1"/>
        <w:rPr>
          <w:sz w:val="23"/>
        </w:rPr>
      </w:pPr>
      <w:r>
        <w:rPr>
          <w:noProof/>
        </w:rPr>
        <mc:AlternateContent>
          <mc:Choice Requires="wpg">
            <w:drawing>
              <wp:anchor distT="0" distB="0" distL="0" distR="0" simplePos="0" relativeHeight="487629824" behindDoc="1" locked="0" layoutInCell="1" allowOverlap="1" wp14:anchorId="295F6D4C" wp14:editId="4CF0BCBF">
                <wp:simplePos x="0" y="0"/>
                <wp:positionH relativeFrom="page">
                  <wp:posOffset>809999</wp:posOffset>
                </wp:positionH>
                <wp:positionV relativeFrom="paragraph">
                  <wp:posOffset>184060</wp:posOffset>
                </wp:positionV>
                <wp:extent cx="5940425" cy="1270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94" name="Graphic 394"/>
                        <wps:cNvSpPr/>
                        <wps:spPr>
                          <a:xfrm>
                            <a:off x="0" y="6350"/>
                            <a:ext cx="2790190" cy="1270"/>
                          </a:xfrm>
                          <a:custGeom>
                            <a:avLst/>
                            <a:gdLst/>
                            <a:ahLst/>
                            <a:cxnLst/>
                            <a:rect l="l" t="t" r="r" b="b"/>
                            <a:pathLst>
                              <a:path w="2790190">
                                <a:moveTo>
                                  <a:pt x="0" y="0"/>
                                </a:moveTo>
                                <a:lnTo>
                                  <a:pt x="2789999" y="0"/>
                                </a:lnTo>
                              </a:path>
                            </a:pathLst>
                          </a:custGeom>
                          <a:ln w="12700">
                            <a:solidFill>
                              <a:srgbClr val="000000"/>
                            </a:solidFill>
                            <a:prstDash val="solid"/>
                          </a:ln>
                        </wps:spPr>
                        <wps:bodyPr wrap="square" lIns="0" tIns="0" rIns="0" bIns="0" rtlCol="0">
                          <a:prstTxWarp prst="textNoShape">
                            <a:avLst/>
                          </a:prstTxWarp>
                          <a:noAutofit/>
                        </wps:bodyPr>
                      </wps:wsp>
                      <wps:wsp>
                        <wps:cNvPr id="395" name="Graphic 395"/>
                        <wps:cNvSpPr/>
                        <wps:spPr>
                          <a:xfrm>
                            <a:off x="2789999" y="6350"/>
                            <a:ext cx="3150235" cy="1270"/>
                          </a:xfrm>
                          <a:custGeom>
                            <a:avLst/>
                            <a:gdLst/>
                            <a:ahLst/>
                            <a:cxnLst/>
                            <a:rect l="l" t="t" r="r" b="b"/>
                            <a:pathLst>
                              <a:path w="3150235">
                                <a:moveTo>
                                  <a:pt x="0" y="0"/>
                                </a:moveTo>
                                <a:lnTo>
                                  <a:pt x="314999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7CB979" id="Group 393" o:spid="_x0000_s1026" style="position:absolute;margin-left:63.8pt;margin-top:14.5pt;width:467.75pt;height:1pt;z-index:-15686656;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">
                <v:shape id="Graphic 394" o:spid="_x0000_s1027" style="position:absolute;top:63;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" path="m,l2789999,e" filled="f" strokeweight="1pt">
                  <v:path arrowok="t"/>
                </v:shape>
                <v:shape id="Graphic 395" o:spid="_x0000_s1028" style="position:absolute;left:27899;top:63;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" path="m,l3149993,e" filled="f" strokeweight="1pt">
                  <v:path arrowok="t"/>
                </v:shape>
                <w10:wrap type="topAndBottom" anchorx="page"/>
              </v:group>
            </w:pict>
          </mc:Fallback>
        </mc:AlternateContent>
      </w:r>
    </w:p>
    <w:p w14:paraId="129E0F13" w14:textId="77777777" w:rsidR="00AC6F3C" w:rsidRDefault="00570E88">
      <w:pPr>
        <w:tabs>
          <w:tab w:val="left" w:pos="8804"/>
        </w:tabs>
        <w:spacing w:before="61"/>
        <w:ind w:left="928"/>
        <w:rPr>
          <w:b/>
          <w:sz w:val="20"/>
        </w:rPr>
      </w:pPr>
      <w:r>
        <w:rPr>
          <w:b/>
          <w:spacing w:val="-2"/>
          <w:sz w:val="20"/>
        </w:rPr>
        <w:t>Activity</w:t>
      </w:r>
      <w:r>
        <w:rPr>
          <w:b/>
          <w:sz w:val="20"/>
        </w:rPr>
        <w:tab/>
      </w:r>
      <w:r>
        <w:rPr>
          <w:b/>
          <w:spacing w:val="-2"/>
          <w:sz w:val="20"/>
        </w:rPr>
        <w:t>Total</w:t>
      </w:r>
      <w:r>
        <w:rPr>
          <w:b/>
          <w:spacing w:val="-7"/>
          <w:sz w:val="20"/>
        </w:rPr>
        <w:t xml:space="preserve"> </w:t>
      </w:r>
      <w:r>
        <w:rPr>
          <w:b/>
          <w:spacing w:val="-2"/>
          <w:sz w:val="20"/>
        </w:rPr>
        <w:t>number</w:t>
      </w:r>
    </w:p>
    <w:p w14:paraId="54B5073F" w14:textId="77777777" w:rsidR="00AC6F3C" w:rsidRDefault="00570E88">
      <w:pPr>
        <w:pStyle w:val="BodyText"/>
        <w:tabs>
          <w:tab w:val="right" w:pos="10056"/>
        </w:tabs>
        <w:spacing w:before="148"/>
        <w:ind w:left="928"/>
      </w:pPr>
      <w:r>
        <w:rPr>
          <w:noProof/>
        </w:rPr>
        <mc:AlternateContent>
          <mc:Choice Requires="wpg">
            <w:drawing>
              <wp:anchor distT="0" distB="0" distL="0" distR="0" simplePos="0" relativeHeight="15772672" behindDoc="0" locked="0" layoutInCell="1" allowOverlap="1" wp14:anchorId="4A85D7CF" wp14:editId="0BB4F3AC">
                <wp:simplePos x="0" y="0"/>
                <wp:positionH relativeFrom="page">
                  <wp:posOffset>809999</wp:posOffset>
                </wp:positionH>
                <wp:positionV relativeFrom="paragraph">
                  <wp:posOffset>39104</wp:posOffset>
                </wp:positionV>
                <wp:extent cx="5940425" cy="1270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397" name="Graphic 397"/>
                        <wps:cNvSpPr/>
                        <wps:spPr>
                          <a:xfrm>
                            <a:off x="0" y="6350"/>
                            <a:ext cx="2790190" cy="1270"/>
                          </a:xfrm>
                          <a:custGeom>
                            <a:avLst/>
                            <a:gdLst/>
                            <a:ahLst/>
                            <a:cxnLst/>
                            <a:rect l="l" t="t" r="r" b="b"/>
                            <a:pathLst>
                              <a:path w="2790190">
                                <a:moveTo>
                                  <a:pt x="0" y="0"/>
                                </a:moveTo>
                                <a:lnTo>
                                  <a:pt x="2789999" y="0"/>
                                </a:lnTo>
                              </a:path>
                            </a:pathLst>
                          </a:custGeom>
                          <a:ln w="12700">
                            <a:solidFill>
                              <a:srgbClr val="000000"/>
                            </a:solidFill>
                            <a:prstDash val="solid"/>
                          </a:ln>
                        </wps:spPr>
                        <wps:bodyPr wrap="square" lIns="0" tIns="0" rIns="0" bIns="0" rtlCol="0">
                          <a:prstTxWarp prst="textNoShape">
                            <a:avLst/>
                          </a:prstTxWarp>
                          <a:noAutofit/>
                        </wps:bodyPr>
                      </wps:wsp>
                      <wps:wsp>
                        <wps:cNvPr id="398" name="Graphic 398"/>
                        <wps:cNvSpPr/>
                        <wps:spPr>
                          <a:xfrm>
                            <a:off x="2789999" y="6350"/>
                            <a:ext cx="3150235" cy="1270"/>
                          </a:xfrm>
                          <a:custGeom>
                            <a:avLst/>
                            <a:gdLst/>
                            <a:ahLst/>
                            <a:cxnLst/>
                            <a:rect l="l" t="t" r="r" b="b"/>
                            <a:pathLst>
                              <a:path w="3150235">
                                <a:moveTo>
                                  <a:pt x="0" y="0"/>
                                </a:moveTo>
                                <a:lnTo>
                                  <a:pt x="314999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861ED3" id="Group 396" o:spid="_x0000_s1026" style="position:absolute;margin-left:63.8pt;margin-top:3.1pt;width:467.75pt;height:1pt;z-index:15772672;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">
                <v:shape id="Graphic 397" o:spid="_x0000_s1027" style="position:absolute;top:63;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" path="m,l2789999,e" filled="f" strokeweight="1pt">
                  <v:path arrowok="t"/>
                </v:shape>
                <v:shape id="Graphic 398" o:spid="_x0000_s1028" style="position:absolute;left:27899;top:63;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" path="m,l3149993,e" filled="f" strokeweight="1pt">
                  <v:path arrowok="t"/>
                </v:shape>
                <w10:wrap anchorx="page"/>
              </v:group>
            </w:pict>
          </mc:Fallback>
        </mc:AlternateContent>
      </w:r>
      <w:r>
        <w:rPr>
          <w:noProof/>
        </w:rPr>
        <mc:AlternateContent>
          <mc:Choice Requires="wpg">
            <w:drawing>
              <wp:anchor distT="0" distB="0" distL="0" distR="0" simplePos="0" relativeHeight="15773184" behindDoc="0" locked="0" layoutInCell="1" allowOverlap="1" wp14:anchorId="37F4CE4C" wp14:editId="459B1805">
                <wp:simplePos x="0" y="0"/>
                <wp:positionH relativeFrom="page">
                  <wp:posOffset>809999</wp:posOffset>
                </wp:positionH>
                <wp:positionV relativeFrom="paragraph">
                  <wp:posOffset>281914</wp:posOffset>
                </wp:positionV>
                <wp:extent cx="5940425" cy="635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00" name="Graphic 400"/>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401" name="Graphic 401"/>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3A6DED" id="Group 399" o:spid="_x0000_s1026" style="position:absolute;margin-left:63.8pt;margin-top:22.2pt;width:467.75pt;height:.5pt;z-index:1577318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">
                <v:shape id="Graphic 400"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" path="m,l2789999,e" filled="f" strokeweight=".5pt">
                  <v:path arrowok="t"/>
                </v:shape>
                <v:shape id="Graphic 401"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" path="m,l3149993,e" filled="f" strokeweight=".5pt">
                  <v:path arrowok="t"/>
                </v:shape>
                <w10:wrap anchorx="page"/>
              </v:group>
            </w:pict>
          </mc:Fallback>
        </mc:AlternateContent>
      </w:r>
      <w:r>
        <w:t>Practice</w:t>
      </w:r>
      <w:r>
        <w:rPr>
          <w:spacing w:val="-4"/>
        </w:rPr>
        <w:t xml:space="preserve"> </w:t>
      </w:r>
      <w:r>
        <w:t>Management</w:t>
      </w:r>
      <w:r>
        <w:rPr>
          <w:spacing w:val="-4"/>
        </w:rPr>
        <w:t xml:space="preserve"> </w:t>
      </w:r>
      <w:r>
        <w:t>Course</w:t>
      </w:r>
      <w:r>
        <w:rPr>
          <w:spacing w:val="-4"/>
        </w:rPr>
        <w:t xml:space="preserve"> </w:t>
      </w:r>
      <w:r>
        <w:rPr>
          <w:spacing w:val="-2"/>
        </w:rPr>
        <w:t>attendees</w:t>
      </w:r>
      <w:r>
        <w:rPr>
          <w:rFonts w:ascii="Times New Roman"/>
        </w:rPr>
        <w:tab/>
      </w:r>
      <w:r>
        <w:rPr>
          <w:spacing w:val="-5"/>
        </w:rPr>
        <w:t>229</w:t>
      </w:r>
    </w:p>
    <w:p w14:paraId="3FE3D055" w14:textId="77777777" w:rsidR="00AC6F3C" w:rsidRDefault="00570E88">
      <w:pPr>
        <w:pStyle w:val="BodyText"/>
        <w:tabs>
          <w:tab w:val="right" w:pos="10056"/>
        </w:tabs>
        <w:spacing w:before="142"/>
        <w:ind w:left="928"/>
      </w:pPr>
      <w:r>
        <w:t>Specialist</w:t>
      </w:r>
      <w:r>
        <w:rPr>
          <w:spacing w:val="-14"/>
        </w:rPr>
        <w:t xml:space="preserve"> </w:t>
      </w:r>
      <w:r>
        <w:t>Accreditation</w:t>
      </w:r>
      <w:r>
        <w:rPr>
          <w:spacing w:val="-9"/>
        </w:rPr>
        <w:t xml:space="preserve"> </w:t>
      </w:r>
      <w:r>
        <w:rPr>
          <w:spacing w:val="-2"/>
        </w:rPr>
        <w:t>graduates</w:t>
      </w:r>
      <w:r>
        <w:tab/>
      </w:r>
      <w:r>
        <w:rPr>
          <w:spacing w:val="-5"/>
        </w:rPr>
        <w:t>10</w:t>
      </w:r>
    </w:p>
    <w:p w14:paraId="21BC1B8E" w14:textId="77777777" w:rsidR="00AC6F3C" w:rsidRDefault="00570E88">
      <w:pPr>
        <w:pStyle w:val="BodyText"/>
        <w:spacing w:before="7"/>
        <w:rPr>
          <w:sz w:val="3"/>
        </w:rPr>
      </w:pPr>
      <w:r>
        <w:rPr>
          <w:noProof/>
        </w:rPr>
        <mc:AlternateContent>
          <mc:Choice Requires="wpg">
            <w:drawing>
              <wp:anchor distT="0" distB="0" distL="0" distR="0" simplePos="0" relativeHeight="487630336" behindDoc="1" locked="0" layoutInCell="1" allowOverlap="1" wp14:anchorId="69F54C8F" wp14:editId="0286F480">
                <wp:simplePos x="0" y="0"/>
                <wp:positionH relativeFrom="page">
                  <wp:posOffset>809999</wp:posOffset>
                </wp:positionH>
                <wp:positionV relativeFrom="paragraph">
                  <wp:posOffset>41590</wp:posOffset>
                </wp:positionV>
                <wp:extent cx="5940425" cy="6350"/>
                <wp:effectExtent l="0" t="0" r="0" b="0"/>
                <wp:wrapTopAndBottom/>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03" name="Graphic 403"/>
                        <wps:cNvSpPr/>
                        <wps:spPr>
                          <a:xfrm>
                            <a:off x="0" y="3175"/>
                            <a:ext cx="2790190" cy="1270"/>
                          </a:xfrm>
                          <a:custGeom>
                            <a:avLst/>
                            <a:gdLst/>
                            <a:ahLst/>
                            <a:cxnLst/>
                            <a:rect l="l" t="t" r="r" b="b"/>
                            <a:pathLst>
                              <a:path w="2790190">
                                <a:moveTo>
                                  <a:pt x="0" y="0"/>
                                </a:moveTo>
                                <a:lnTo>
                                  <a:pt x="2789999" y="0"/>
                                </a:lnTo>
                              </a:path>
                            </a:pathLst>
                          </a:custGeom>
                          <a:ln w="6350">
                            <a:solidFill>
                              <a:srgbClr val="000000"/>
                            </a:solidFill>
                            <a:prstDash val="solid"/>
                          </a:ln>
                        </wps:spPr>
                        <wps:bodyPr wrap="square" lIns="0" tIns="0" rIns="0" bIns="0" rtlCol="0">
                          <a:prstTxWarp prst="textNoShape">
                            <a:avLst/>
                          </a:prstTxWarp>
                          <a:noAutofit/>
                        </wps:bodyPr>
                      </wps:wsp>
                      <wps:wsp>
                        <wps:cNvPr id="404" name="Graphic 404"/>
                        <wps:cNvSpPr/>
                        <wps:spPr>
                          <a:xfrm>
                            <a:off x="2789999" y="3175"/>
                            <a:ext cx="3150235" cy="1270"/>
                          </a:xfrm>
                          <a:custGeom>
                            <a:avLst/>
                            <a:gdLst/>
                            <a:ahLst/>
                            <a:cxnLst/>
                            <a:rect l="l" t="t" r="r" b="b"/>
                            <a:pathLst>
                              <a:path w="3150235">
                                <a:moveTo>
                                  <a:pt x="0" y="0"/>
                                </a:moveTo>
                                <a:lnTo>
                                  <a:pt x="314999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279B9" id="Group 402" o:spid="_x0000_s1026" style="position:absolute;margin-left:63.8pt;margin-top:3.25pt;width:467.75pt;height:.5pt;z-index:-1568614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">
                <v:shape id="Graphic 403" o:spid="_x0000_s1027" style="position:absolute;top:31;width:27901;height:13;visibility:visible;mso-wrap-style:square;v-text-anchor:top" coordsize="279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" path="m,l2789999,e" filled="f" strokeweight=".5pt">
                  <v:path arrowok="t"/>
                </v:shape>
                <v:shape id="Graphic 404" o:spid="_x0000_s1028" style="position:absolute;left:27899;top:31;width:31503;height:13;visibility:visible;mso-wrap-style:square;v-text-anchor:top" coordsize="315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" path="m,l3149993,e" filled="f" strokeweight=".5pt">
                  <v:path arrowok="t"/>
                </v:shape>
                <w10:wrap type="topAndBottom" anchorx="page"/>
              </v:group>
            </w:pict>
          </mc:Fallback>
        </mc:AlternateContent>
      </w:r>
    </w:p>
    <w:p w14:paraId="4879E5C9" w14:textId="77777777" w:rsidR="00AC6F3C" w:rsidRDefault="00AC6F3C">
      <w:pPr>
        <w:rPr>
          <w:sz w:val="3"/>
        </w:rPr>
        <w:sectPr w:rsidR="00AC6F3C">
          <w:headerReference w:type="default" r:id="rId138"/>
          <w:footerReference w:type="default" r:id="rId139"/>
          <w:pgSz w:w="11910" w:h="16840"/>
          <w:pgMar w:top="980" w:right="1160" w:bottom="520" w:left="460" w:header="0" w:footer="336" w:gutter="0"/>
          <w:cols w:space="720"/>
        </w:sectPr>
      </w:pPr>
    </w:p>
    <w:p w14:paraId="077129A3" w14:textId="77777777" w:rsidR="00AC6F3C" w:rsidRDefault="00570E88">
      <w:pPr>
        <w:pStyle w:val="Heading3"/>
        <w:spacing w:before="70"/>
      </w:pPr>
      <w:bookmarkStart w:id="56" w:name="2022-23_Key_Achievements"/>
      <w:bookmarkStart w:id="57" w:name="_bookmark20"/>
      <w:bookmarkEnd w:id="56"/>
      <w:bookmarkEnd w:id="57"/>
      <w:r>
        <w:lastRenderedPageBreak/>
        <w:t>2022-23</w:t>
      </w:r>
      <w:r>
        <w:rPr>
          <w:spacing w:val="-5"/>
        </w:rPr>
        <w:t xml:space="preserve"> </w:t>
      </w:r>
      <w:r>
        <w:t>Key</w:t>
      </w:r>
      <w:r>
        <w:rPr>
          <w:spacing w:val="-15"/>
        </w:rPr>
        <w:t xml:space="preserve"> </w:t>
      </w:r>
      <w:r>
        <w:rPr>
          <w:spacing w:val="-2"/>
        </w:rPr>
        <w:t>Achievements</w:t>
      </w:r>
    </w:p>
    <w:p w14:paraId="1B570EFC" w14:textId="77777777" w:rsidR="00AC6F3C" w:rsidRDefault="00AC6F3C">
      <w:pPr>
        <w:pStyle w:val="BodyText"/>
        <w:spacing w:before="7"/>
        <w:rPr>
          <w:b/>
          <w:sz w:val="29"/>
        </w:rPr>
      </w:pPr>
    </w:p>
    <w:p w14:paraId="75E698EF" w14:textId="77777777" w:rsidR="00AC6F3C" w:rsidRDefault="00570E88">
      <w:pPr>
        <w:pStyle w:val="ListParagraph"/>
        <w:numPr>
          <w:ilvl w:val="0"/>
          <w:numId w:val="47"/>
        </w:numPr>
        <w:tabs>
          <w:tab w:val="left" w:pos="1154"/>
        </w:tabs>
        <w:spacing w:before="0"/>
        <w:ind w:left="1154" w:hanging="339"/>
        <w:rPr>
          <w:b/>
          <w:sz w:val="26"/>
        </w:rPr>
      </w:pPr>
      <w:r>
        <w:rPr>
          <w:b/>
          <w:sz w:val="26"/>
        </w:rPr>
        <w:t>Symposium</w:t>
      </w:r>
      <w:r>
        <w:rPr>
          <w:b/>
          <w:spacing w:val="-8"/>
          <w:sz w:val="26"/>
        </w:rPr>
        <w:t xml:space="preserve"> </w:t>
      </w:r>
      <w:r>
        <w:rPr>
          <w:b/>
          <w:spacing w:val="-4"/>
          <w:sz w:val="26"/>
        </w:rPr>
        <w:t>2023</w:t>
      </w:r>
    </w:p>
    <w:p w14:paraId="2A85FC4A" w14:textId="77777777" w:rsidR="00AC6F3C" w:rsidRDefault="00570E88">
      <w:pPr>
        <w:pStyle w:val="BodyText"/>
        <w:spacing w:before="168" w:line="249" w:lineRule="auto"/>
        <w:ind w:left="815" w:right="112"/>
      </w:pPr>
      <w:r>
        <w:t>This</w:t>
      </w:r>
      <w:r>
        <w:rPr>
          <w:spacing w:val="-2"/>
        </w:rPr>
        <w:t xml:space="preserve"> </w:t>
      </w:r>
      <w:r>
        <w:t>year</w:t>
      </w:r>
      <w:r>
        <w:rPr>
          <w:spacing w:val="-2"/>
        </w:rPr>
        <w:t xml:space="preserve"> </w:t>
      </w:r>
      <w:r>
        <w:t>saw</w:t>
      </w:r>
      <w:r>
        <w:rPr>
          <w:spacing w:val="-2"/>
        </w:rPr>
        <w:t xml:space="preserve"> </w:t>
      </w:r>
      <w:r>
        <w:t>a</w:t>
      </w:r>
      <w:r>
        <w:rPr>
          <w:spacing w:val="-2"/>
        </w:rPr>
        <w:t xml:space="preserve"> </w:t>
      </w:r>
      <w:r>
        <w:t>return</w:t>
      </w:r>
      <w:r>
        <w:rPr>
          <w:spacing w:val="-2"/>
        </w:rPr>
        <w:t xml:space="preserve"> </w:t>
      </w:r>
      <w:r>
        <w:t>for</w:t>
      </w:r>
      <w:r>
        <w:rPr>
          <w:spacing w:val="-2"/>
        </w:rPr>
        <w:t xml:space="preserve"> </w:t>
      </w:r>
      <w:r>
        <w:t>the</w:t>
      </w:r>
      <w:r>
        <w:rPr>
          <w:spacing w:val="-2"/>
        </w:rPr>
        <w:t xml:space="preserve"> </w:t>
      </w:r>
      <w:r>
        <w:t>first</w:t>
      </w:r>
      <w:r>
        <w:rPr>
          <w:spacing w:val="-2"/>
        </w:rPr>
        <w:t xml:space="preserve"> </w:t>
      </w:r>
      <w:r>
        <w:t>time</w:t>
      </w:r>
      <w:r>
        <w:rPr>
          <w:spacing w:val="-2"/>
        </w:rPr>
        <w:t xml:space="preserve"> </w:t>
      </w:r>
      <w:r>
        <w:t>since</w:t>
      </w:r>
      <w:r>
        <w:rPr>
          <w:spacing w:val="-2"/>
        </w:rPr>
        <w:t xml:space="preserve"> </w:t>
      </w:r>
      <w:r>
        <w:t>2020,</w:t>
      </w:r>
      <w:r>
        <w:rPr>
          <w:spacing w:val="-2"/>
        </w:rPr>
        <w:t xml:space="preserve"> </w:t>
      </w:r>
      <w:r>
        <w:t>of</w:t>
      </w:r>
      <w:r>
        <w:rPr>
          <w:spacing w:val="-2"/>
        </w:rPr>
        <w:t xml:space="preserve"> </w:t>
      </w:r>
      <w:r>
        <w:t>Symposium,</w:t>
      </w:r>
      <w:r>
        <w:rPr>
          <w:spacing w:val="-2"/>
        </w:rPr>
        <w:t xml:space="preserve"> </w:t>
      </w:r>
      <w:r>
        <w:t>the</w:t>
      </w:r>
      <w:r>
        <w:rPr>
          <w:spacing w:val="-2"/>
        </w:rPr>
        <w:t xml:space="preserve"> </w:t>
      </w:r>
      <w:r>
        <w:t>leading</w:t>
      </w:r>
      <w:r>
        <w:rPr>
          <w:spacing w:val="-2"/>
        </w:rPr>
        <w:t xml:space="preserve"> </w:t>
      </w:r>
      <w:r>
        <w:t>legal</w:t>
      </w:r>
      <w:r>
        <w:rPr>
          <w:spacing w:val="-2"/>
        </w:rPr>
        <w:t xml:space="preserve"> </w:t>
      </w:r>
      <w:r>
        <w:t>education</w:t>
      </w:r>
      <w:r>
        <w:rPr>
          <w:spacing w:val="-2"/>
        </w:rPr>
        <w:t xml:space="preserve"> </w:t>
      </w:r>
      <w:r>
        <w:t>conference in Queensland, in a fully face to face format. Details of the conference structure and attendance include:</w:t>
      </w:r>
    </w:p>
    <w:p w14:paraId="712C7946" w14:textId="77777777" w:rsidR="00AC6F3C" w:rsidRDefault="00570E88">
      <w:pPr>
        <w:pStyle w:val="ListParagraph"/>
        <w:numPr>
          <w:ilvl w:val="1"/>
          <w:numId w:val="47"/>
        </w:numPr>
        <w:tabs>
          <w:tab w:val="left" w:pos="1155"/>
        </w:tabs>
        <w:spacing w:before="171" w:line="249" w:lineRule="auto"/>
        <w:ind w:right="205"/>
        <w:rPr>
          <w:sz w:val="20"/>
        </w:rPr>
      </w:pPr>
      <w:r>
        <w:rPr>
          <w:sz w:val="20"/>
        </w:rPr>
        <w:t>Six in-person tracks, 34 sessions (including plenaries) and a package of three pre-recorded videos focusing</w:t>
      </w:r>
      <w:r>
        <w:rPr>
          <w:spacing w:val="-4"/>
          <w:sz w:val="20"/>
        </w:rPr>
        <w:t xml:space="preserve"> </w:t>
      </w:r>
      <w:r>
        <w:rPr>
          <w:sz w:val="20"/>
        </w:rPr>
        <w:t>on</w:t>
      </w:r>
      <w:r>
        <w:rPr>
          <w:spacing w:val="-4"/>
          <w:sz w:val="20"/>
        </w:rPr>
        <w:t xml:space="preserve"> </w:t>
      </w:r>
      <w:r>
        <w:rPr>
          <w:sz w:val="20"/>
        </w:rPr>
        <w:t>core</w:t>
      </w:r>
      <w:r>
        <w:rPr>
          <w:spacing w:val="-4"/>
          <w:sz w:val="20"/>
        </w:rPr>
        <w:t xml:space="preserve"> </w:t>
      </w:r>
      <w:r>
        <w:rPr>
          <w:sz w:val="20"/>
        </w:rPr>
        <w:t>skills.</w:t>
      </w:r>
      <w:r>
        <w:rPr>
          <w:spacing w:val="-4"/>
          <w:sz w:val="20"/>
        </w:rPr>
        <w:t xml:space="preserve"> </w:t>
      </w:r>
      <w:r>
        <w:rPr>
          <w:sz w:val="20"/>
        </w:rPr>
        <w:t>Sessions</w:t>
      </w:r>
      <w:r>
        <w:rPr>
          <w:spacing w:val="-4"/>
          <w:sz w:val="20"/>
        </w:rPr>
        <w:t xml:space="preserve"> </w:t>
      </w:r>
      <w:r>
        <w:rPr>
          <w:sz w:val="20"/>
        </w:rPr>
        <w:t>covered</w:t>
      </w:r>
      <w:r>
        <w:rPr>
          <w:spacing w:val="-4"/>
          <w:sz w:val="20"/>
        </w:rPr>
        <w:t xml:space="preserve"> </w:t>
      </w:r>
      <w:r>
        <w:rPr>
          <w:sz w:val="20"/>
        </w:rPr>
        <w:t>various</w:t>
      </w:r>
      <w:r>
        <w:rPr>
          <w:spacing w:val="-4"/>
          <w:sz w:val="20"/>
        </w:rPr>
        <w:t xml:space="preserve"> </w:t>
      </w:r>
      <w:r>
        <w:rPr>
          <w:sz w:val="20"/>
        </w:rPr>
        <w:t>areas</w:t>
      </w:r>
      <w:r>
        <w:rPr>
          <w:spacing w:val="-4"/>
          <w:sz w:val="20"/>
        </w:rPr>
        <w:t xml:space="preserve"> </w:t>
      </w:r>
      <w:r>
        <w:rPr>
          <w:sz w:val="20"/>
        </w:rPr>
        <w:t>of</w:t>
      </w:r>
      <w:r>
        <w:rPr>
          <w:spacing w:val="-4"/>
          <w:sz w:val="20"/>
        </w:rPr>
        <w:t xml:space="preserve"> </w:t>
      </w:r>
      <w:r>
        <w:rPr>
          <w:sz w:val="20"/>
        </w:rPr>
        <w:t>practice</w:t>
      </w:r>
      <w:r>
        <w:rPr>
          <w:spacing w:val="-4"/>
          <w:sz w:val="20"/>
        </w:rPr>
        <w:t xml:space="preserve"> </w:t>
      </w:r>
      <w:r>
        <w:rPr>
          <w:sz w:val="20"/>
        </w:rPr>
        <w:t>including</w:t>
      </w:r>
      <w:r>
        <w:rPr>
          <w:spacing w:val="-4"/>
          <w:sz w:val="20"/>
        </w:rPr>
        <w:t xml:space="preserve"> </w:t>
      </w:r>
      <w:r>
        <w:rPr>
          <w:sz w:val="20"/>
        </w:rPr>
        <w:t>criminal,</w:t>
      </w:r>
      <w:r>
        <w:rPr>
          <w:spacing w:val="-4"/>
          <w:sz w:val="20"/>
        </w:rPr>
        <w:t xml:space="preserve"> </w:t>
      </w:r>
      <w:r>
        <w:rPr>
          <w:sz w:val="20"/>
        </w:rPr>
        <w:t>personal</w:t>
      </w:r>
      <w:r>
        <w:rPr>
          <w:spacing w:val="-4"/>
          <w:sz w:val="20"/>
        </w:rPr>
        <w:t xml:space="preserve"> </w:t>
      </w:r>
      <w:r>
        <w:rPr>
          <w:sz w:val="20"/>
        </w:rPr>
        <w:t>injury, succession, family, commercial and property law, and were pitched at a range of experience levels from Early Career Lawyers to advanced practitioners.</w:t>
      </w:r>
    </w:p>
    <w:p w14:paraId="52355CD4" w14:textId="77777777" w:rsidR="00AC6F3C" w:rsidRDefault="00570E88">
      <w:pPr>
        <w:pStyle w:val="ListParagraph"/>
        <w:numPr>
          <w:ilvl w:val="1"/>
          <w:numId w:val="47"/>
        </w:numPr>
        <w:tabs>
          <w:tab w:val="left" w:pos="1155"/>
        </w:tabs>
        <w:spacing w:before="174"/>
        <w:ind w:hanging="340"/>
        <w:rPr>
          <w:sz w:val="20"/>
        </w:rPr>
      </w:pPr>
      <w:r>
        <w:rPr>
          <w:sz w:val="20"/>
        </w:rPr>
        <w:t>Over</w:t>
      </w:r>
      <w:r>
        <w:rPr>
          <w:spacing w:val="-1"/>
          <w:sz w:val="20"/>
        </w:rPr>
        <w:t xml:space="preserve"> </w:t>
      </w:r>
      <w:r>
        <w:rPr>
          <w:sz w:val="20"/>
        </w:rPr>
        <w:t>500</w:t>
      </w:r>
      <w:r>
        <w:rPr>
          <w:spacing w:val="-1"/>
          <w:sz w:val="20"/>
        </w:rPr>
        <w:t xml:space="preserve"> </w:t>
      </w:r>
      <w:r>
        <w:rPr>
          <w:sz w:val="20"/>
        </w:rPr>
        <w:t xml:space="preserve">delegates </w:t>
      </w:r>
      <w:r>
        <w:rPr>
          <w:spacing w:val="-2"/>
          <w:sz w:val="20"/>
        </w:rPr>
        <w:t>attended.</w:t>
      </w:r>
    </w:p>
    <w:p w14:paraId="64370828" w14:textId="77777777" w:rsidR="00AC6F3C" w:rsidRDefault="00570E88">
      <w:pPr>
        <w:pStyle w:val="ListParagraph"/>
        <w:numPr>
          <w:ilvl w:val="1"/>
          <w:numId w:val="47"/>
        </w:numPr>
        <w:tabs>
          <w:tab w:val="left" w:pos="1155"/>
        </w:tabs>
        <w:ind w:hanging="340"/>
        <w:rPr>
          <w:sz w:val="20"/>
        </w:rPr>
      </w:pPr>
      <w:r>
        <w:rPr>
          <w:sz w:val="20"/>
        </w:rPr>
        <w:t>101</w:t>
      </w:r>
      <w:r>
        <w:rPr>
          <w:spacing w:val="-3"/>
          <w:sz w:val="20"/>
        </w:rPr>
        <w:t xml:space="preserve"> </w:t>
      </w:r>
      <w:r>
        <w:rPr>
          <w:sz w:val="20"/>
        </w:rPr>
        <w:t>experienced</w:t>
      </w:r>
      <w:r>
        <w:rPr>
          <w:spacing w:val="-3"/>
          <w:sz w:val="20"/>
        </w:rPr>
        <w:t xml:space="preserve"> </w:t>
      </w:r>
      <w:r>
        <w:rPr>
          <w:sz w:val="20"/>
        </w:rPr>
        <w:t>presenters</w:t>
      </w:r>
      <w:r>
        <w:rPr>
          <w:spacing w:val="-3"/>
          <w:sz w:val="20"/>
        </w:rPr>
        <w:t xml:space="preserve"> </w:t>
      </w:r>
      <w:r>
        <w:rPr>
          <w:sz w:val="20"/>
        </w:rPr>
        <w:t>and</w:t>
      </w:r>
      <w:r>
        <w:rPr>
          <w:spacing w:val="-3"/>
          <w:sz w:val="20"/>
        </w:rPr>
        <w:t xml:space="preserve"> </w:t>
      </w:r>
      <w:r>
        <w:rPr>
          <w:sz w:val="20"/>
        </w:rPr>
        <w:t>chairs</w:t>
      </w:r>
      <w:r>
        <w:rPr>
          <w:spacing w:val="-2"/>
          <w:sz w:val="20"/>
        </w:rPr>
        <w:t xml:space="preserve"> involved.</w:t>
      </w:r>
    </w:p>
    <w:p w14:paraId="2E40C9E3" w14:textId="77777777" w:rsidR="00AC6F3C" w:rsidRDefault="00570E88">
      <w:pPr>
        <w:pStyle w:val="ListParagraph"/>
        <w:numPr>
          <w:ilvl w:val="1"/>
          <w:numId w:val="47"/>
        </w:numPr>
        <w:tabs>
          <w:tab w:val="left" w:pos="1155"/>
        </w:tabs>
        <w:ind w:hanging="340"/>
        <w:rPr>
          <w:sz w:val="20"/>
        </w:rPr>
      </w:pPr>
      <w:r>
        <w:rPr>
          <w:sz w:val="20"/>
        </w:rPr>
        <w:t xml:space="preserve">Plenary </w:t>
      </w:r>
      <w:r>
        <w:rPr>
          <w:spacing w:val="-2"/>
          <w:sz w:val="20"/>
        </w:rPr>
        <w:t>sessions:</w:t>
      </w:r>
    </w:p>
    <w:p w14:paraId="068DDDC3" w14:textId="77777777" w:rsidR="00AC6F3C" w:rsidRDefault="00570E88">
      <w:pPr>
        <w:pStyle w:val="ListParagraph"/>
        <w:numPr>
          <w:ilvl w:val="2"/>
          <w:numId w:val="47"/>
        </w:numPr>
        <w:tabs>
          <w:tab w:val="left" w:pos="1495"/>
        </w:tabs>
        <w:ind w:hanging="340"/>
        <w:rPr>
          <w:sz w:val="20"/>
        </w:rPr>
      </w:pPr>
      <w:r>
        <w:rPr>
          <w:sz w:val="20"/>
        </w:rPr>
        <w:t>CJ</w:t>
      </w:r>
      <w:r>
        <w:rPr>
          <w:spacing w:val="-3"/>
          <w:sz w:val="20"/>
        </w:rPr>
        <w:t xml:space="preserve"> </w:t>
      </w:r>
      <w:r>
        <w:rPr>
          <w:sz w:val="20"/>
        </w:rPr>
        <w:t>address:</w:t>
      </w:r>
      <w:r>
        <w:rPr>
          <w:spacing w:val="-6"/>
          <w:sz w:val="20"/>
        </w:rPr>
        <w:t xml:space="preserve"> </w:t>
      </w:r>
      <w:r>
        <w:rPr>
          <w:sz w:val="20"/>
        </w:rPr>
        <w:t>The</w:t>
      </w:r>
      <w:r>
        <w:rPr>
          <w:spacing w:val="-3"/>
          <w:sz w:val="20"/>
        </w:rPr>
        <w:t xml:space="preserve"> </w:t>
      </w:r>
      <w:proofErr w:type="spellStart"/>
      <w:r>
        <w:rPr>
          <w:sz w:val="20"/>
        </w:rPr>
        <w:t>Honourable</w:t>
      </w:r>
      <w:proofErr w:type="spellEnd"/>
      <w:r>
        <w:rPr>
          <w:spacing w:val="-2"/>
          <w:sz w:val="20"/>
        </w:rPr>
        <w:t xml:space="preserve"> </w:t>
      </w:r>
      <w:r>
        <w:rPr>
          <w:sz w:val="20"/>
        </w:rPr>
        <w:t>Chief</w:t>
      </w:r>
      <w:r>
        <w:rPr>
          <w:spacing w:val="-3"/>
          <w:sz w:val="20"/>
        </w:rPr>
        <w:t xml:space="preserve"> </w:t>
      </w:r>
      <w:r>
        <w:rPr>
          <w:sz w:val="20"/>
        </w:rPr>
        <w:t>Justice</w:t>
      </w:r>
      <w:r>
        <w:rPr>
          <w:spacing w:val="-2"/>
          <w:sz w:val="20"/>
        </w:rPr>
        <w:t xml:space="preserve"> </w:t>
      </w:r>
      <w:r>
        <w:rPr>
          <w:sz w:val="20"/>
        </w:rPr>
        <w:t>Helen</w:t>
      </w:r>
      <w:r>
        <w:rPr>
          <w:spacing w:val="-3"/>
          <w:sz w:val="20"/>
        </w:rPr>
        <w:t xml:space="preserve"> </w:t>
      </w:r>
      <w:proofErr w:type="spellStart"/>
      <w:r>
        <w:rPr>
          <w:sz w:val="20"/>
        </w:rPr>
        <w:t>Bowskill</w:t>
      </w:r>
      <w:proofErr w:type="spellEnd"/>
      <w:r>
        <w:rPr>
          <w:sz w:val="20"/>
        </w:rPr>
        <w:t>,</w:t>
      </w:r>
      <w:r>
        <w:rPr>
          <w:spacing w:val="-2"/>
          <w:sz w:val="20"/>
        </w:rPr>
        <w:t xml:space="preserve"> </w:t>
      </w:r>
      <w:r>
        <w:rPr>
          <w:sz w:val="20"/>
        </w:rPr>
        <w:t>Chief</w:t>
      </w:r>
      <w:r>
        <w:rPr>
          <w:spacing w:val="-3"/>
          <w:sz w:val="20"/>
        </w:rPr>
        <w:t xml:space="preserve"> </w:t>
      </w:r>
      <w:r>
        <w:rPr>
          <w:sz w:val="20"/>
        </w:rPr>
        <w:t>Justice</w:t>
      </w:r>
      <w:r>
        <w:rPr>
          <w:spacing w:val="-2"/>
          <w:sz w:val="20"/>
        </w:rPr>
        <w:t xml:space="preserve"> </w:t>
      </w:r>
      <w:r>
        <w:rPr>
          <w:sz w:val="20"/>
        </w:rPr>
        <w:t>of</w:t>
      </w:r>
      <w:r>
        <w:rPr>
          <w:spacing w:val="-2"/>
          <w:sz w:val="20"/>
        </w:rPr>
        <w:t xml:space="preserve"> Queensland.</w:t>
      </w:r>
    </w:p>
    <w:p w14:paraId="0B814295" w14:textId="77777777" w:rsidR="00AC6F3C" w:rsidRDefault="00570E88">
      <w:pPr>
        <w:pStyle w:val="ListParagraph"/>
        <w:numPr>
          <w:ilvl w:val="2"/>
          <w:numId w:val="47"/>
        </w:numPr>
        <w:tabs>
          <w:tab w:val="left" w:pos="1495"/>
        </w:tabs>
        <w:ind w:hanging="340"/>
        <w:rPr>
          <w:sz w:val="20"/>
        </w:rPr>
      </w:pPr>
      <w:r>
        <w:rPr>
          <w:spacing w:val="-4"/>
          <w:sz w:val="20"/>
        </w:rPr>
        <w:t>Keynote:</w:t>
      </w:r>
      <w:r>
        <w:rPr>
          <w:spacing w:val="-3"/>
          <w:sz w:val="20"/>
        </w:rPr>
        <w:t xml:space="preserve"> </w:t>
      </w:r>
      <w:r>
        <w:rPr>
          <w:spacing w:val="-4"/>
          <w:sz w:val="20"/>
        </w:rPr>
        <w:t>His</w:t>
      </w:r>
      <w:r>
        <w:rPr>
          <w:spacing w:val="-3"/>
          <w:sz w:val="20"/>
        </w:rPr>
        <w:t xml:space="preserve"> </w:t>
      </w:r>
      <w:proofErr w:type="spellStart"/>
      <w:r>
        <w:rPr>
          <w:spacing w:val="-4"/>
          <w:sz w:val="20"/>
        </w:rPr>
        <w:t>Honour</w:t>
      </w:r>
      <w:proofErr w:type="spellEnd"/>
      <w:r>
        <w:rPr>
          <w:spacing w:val="-3"/>
          <w:sz w:val="20"/>
        </w:rPr>
        <w:t xml:space="preserve"> </w:t>
      </w:r>
      <w:r>
        <w:rPr>
          <w:spacing w:val="-4"/>
          <w:sz w:val="20"/>
        </w:rPr>
        <w:t>Judge Orazio Rinaudo</w:t>
      </w:r>
      <w:r>
        <w:rPr>
          <w:spacing w:val="-15"/>
          <w:sz w:val="20"/>
        </w:rPr>
        <w:t xml:space="preserve"> </w:t>
      </w:r>
      <w:r>
        <w:rPr>
          <w:spacing w:val="-4"/>
          <w:sz w:val="20"/>
        </w:rPr>
        <w:t>AM,</w:t>
      </w:r>
      <w:r>
        <w:rPr>
          <w:spacing w:val="-3"/>
          <w:sz w:val="20"/>
        </w:rPr>
        <w:t xml:space="preserve"> </w:t>
      </w:r>
      <w:r>
        <w:rPr>
          <w:spacing w:val="-4"/>
          <w:sz w:val="20"/>
        </w:rPr>
        <w:t>District</w:t>
      </w:r>
      <w:r>
        <w:rPr>
          <w:spacing w:val="-3"/>
          <w:sz w:val="20"/>
        </w:rPr>
        <w:t xml:space="preserve"> </w:t>
      </w:r>
      <w:r>
        <w:rPr>
          <w:spacing w:val="-4"/>
          <w:sz w:val="20"/>
        </w:rPr>
        <w:t>Court</w:t>
      </w:r>
      <w:r>
        <w:rPr>
          <w:spacing w:val="-3"/>
          <w:sz w:val="20"/>
        </w:rPr>
        <w:t xml:space="preserve"> </w:t>
      </w:r>
      <w:r>
        <w:rPr>
          <w:spacing w:val="-4"/>
          <w:sz w:val="20"/>
        </w:rPr>
        <w:t>of</w:t>
      </w:r>
      <w:r>
        <w:rPr>
          <w:spacing w:val="-3"/>
          <w:sz w:val="20"/>
        </w:rPr>
        <w:t xml:space="preserve"> </w:t>
      </w:r>
      <w:r>
        <w:rPr>
          <w:spacing w:val="-4"/>
          <w:sz w:val="20"/>
        </w:rPr>
        <w:t>Queensland (as</w:t>
      </w:r>
      <w:r>
        <w:rPr>
          <w:spacing w:val="-3"/>
          <w:sz w:val="20"/>
        </w:rPr>
        <w:t xml:space="preserve"> </w:t>
      </w:r>
      <w:r>
        <w:rPr>
          <w:spacing w:val="-4"/>
          <w:sz w:val="20"/>
        </w:rPr>
        <w:t>he was</w:t>
      </w:r>
      <w:r>
        <w:rPr>
          <w:spacing w:val="-3"/>
          <w:sz w:val="20"/>
        </w:rPr>
        <w:t xml:space="preserve"> </w:t>
      </w:r>
      <w:r>
        <w:rPr>
          <w:spacing w:val="-4"/>
          <w:sz w:val="20"/>
        </w:rPr>
        <w:t>at</w:t>
      </w:r>
      <w:r>
        <w:rPr>
          <w:spacing w:val="-3"/>
          <w:sz w:val="20"/>
        </w:rPr>
        <w:t xml:space="preserve"> </w:t>
      </w:r>
      <w:r>
        <w:rPr>
          <w:spacing w:val="-4"/>
          <w:sz w:val="20"/>
        </w:rPr>
        <w:t>the time).</w:t>
      </w:r>
    </w:p>
    <w:p w14:paraId="78E3FF34" w14:textId="77777777" w:rsidR="00AC6F3C" w:rsidRDefault="00570E88">
      <w:pPr>
        <w:pStyle w:val="ListParagraph"/>
        <w:numPr>
          <w:ilvl w:val="2"/>
          <w:numId w:val="47"/>
        </w:numPr>
        <w:tabs>
          <w:tab w:val="left" w:pos="1495"/>
        </w:tabs>
        <w:spacing w:line="249" w:lineRule="auto"/>
        <w:ind w:right="983"/>
        <w:rPr>
          <w:sz w:val="20"/>
        </w:rPr>
      </w:pPr>
      <w:r>
        <w:rPr>
          <w:sz w:val="20"/>
        </w:rPr>
        <w:t>Afternoon</w:t>
      </w:r>
      <w:r>
        <w:rPr>
          <w:spacing w:val="-6"/>
          <w:sz w:val="20"/>
        </w:rPr>
        <w:t xml:space="preserve"> </w:t>
      </w:r>
      <w:r>
        <w:rPr>
          <w:sz w:val="20"/>
        </w:rPr>
        <w:t>plenary</w:t>
      </w:r>
      <w:r>
        <w:rPr>
          <w:spacing w:val="-5"/>
          <w:sz w:val="20"/>
        </w:rPr>
        <w:t xml:space="preserve"> </w:t>
      </w:r>
      <w:r>
        <w:rPr>
          <w:sz w:val="20"/>
        </w:rPr>
        <w:t>“The</w:t>
      </w:r>
      <w:r>
        <w:rPr>
          <w:spacing w:val="-5"/>
          <w:sz w:val="20"/>
        </w:rPr>
        <w:t xml:space="preserve"> </w:t>
      </w:r>
      <w:r>
        <w:rPr>
          <w:sz w:val="20"/>
        </w:rPr>
        <w:t>Breakthrough</w:t>
      </w:r>
      <w:r>
        <w:rPr>
          <w:spacing w:val="-5"/>
          <w:sz w:val="20"/>
        </w:rPr>
        <w:t xml:space="preserve"> </w:t>
      </w:r>
      <w:r>
        <w:rPr>
          <w:sz w:val="20"/>
        </w:rPr>
        <w:t>Lawyer”:</w:t>
      </w:r>
      <w:r>
        <w:rPr>
          <w:spacing w:val="-5"/>
          <w:sz w:val="20"/>
        </w:rPr>
        <w:t xml:space="preserve"> </w:t>
      </w:r>
      <w:r>
        <w:rPr>
          <w:sz w:val="20"/>
        </w:rPr>
        <w:t>Nick</w:t>
      </w:r>
      <w:r>
        <w:rPr>
          <w:spacing w:val="-14"/>
          <w:sz w:val="20"/>
        </w:rPr>
        <w:t xml:space="preserve"> </w:t>
      </w:r>
      <w:r>
        <w:rPr>
          <w:sz w:val="20"/>
        </w:rPr>
        <w:t>Abrahams,</w:t>
      </w:r>
      <w:r>
        <w:rPr>
          <w:spacing w:val="-5"/>
          <w:sz w:val="20"/>
        </w:rPr>
        <w:t xml:space="preserve"> </w:t>
      </w:r>
      <w:r>
        <w:rPr>
          <w:sz w:val="20"/>
        </w:rPr>
        <w:t>Global</w:t>
      </w:r>
      <w:r>
        <w:rPr>
          <w:spacing w:val="-5"/>
          <w:sz w:val="20"/>
        </w:rPr>
        <w:t xml:space="preserve"> </w:t>
      </w:r>
      <w:r>
        <w:rPr>
          <w:sz w:val="20"/>
        </w:rPr>
        <w:t>Co-leader,</w:t>
      </w:r>
      <w:r>
        <w:rPr>
          <w:spacing w:val="-5"/>
          <w:sz w:val="20"/>
        </w:rPr>
        <w:t xml:space="preserve"> </w:t>
      </w:r>
      <w:r>
        <w:rPr>
          <w:sz w:val="20"/>
        </w:rPr>
        <w:t>Digital Transformation Practice, Norton Rose Fulbright Australia.</w:t>
      </w:r>
    </w:p>
    <w:p w14:paraId="5DC26D1E" w14:textId="77777777" w:rsidR="00AC6F3C" w:rsidRDefault="00570E88">
      <w:pPr>
        <w:pStyle w:val="ListParagraph"/>
        <w:numPr>
          <w:ilvl w:val="2"/>
          <w:numId w:val="47"/>
        </w:numPr>
        <w:tabs>
          <w:tab w:val="left" w:pos="1495"/>
        </w:tabs>
        <w:spacing w:before="172"/>
        <w:ind w:hanging="340"/>
        <w:rPr>
          <w:sz w:val="20"/>
        </w:rPr>
      </w:pPr>
      <w:r>
        <w:rPr>
          <w:sz w:val="20"/>
        </w:rPr>
        <w:t>Closing</w:t>
      </w:r>
      <w:r>
        <w:rPr>
          <w:spacing w:val="-5"/>
          <w:sz w:val="20"/>
        </w:rPr>
        <w:t xml:space="preserve"> </w:t>
      </w:r>
      <w:r>
        <w:rPr>
          <w:sz w:val="20"/>
        </w:rPr>
        <w:t>address:</w:t>
      </w:r>
      <w:r>
        <w:rPr>
          <w:spacing w:val="-2"/>
          <w:sz w:val="20"/>
        </w:rPr>
        <w:t xml:space="preserve"> </w:t>
      </w:r>
      <w:proofErr w:type="spellStart"/>
      <w:r>
        <w:rPr>
          <w:sz w:val="20"/>
        </w:rPr>
        <w:t>Honourable</w:t>
      </w:r>
      <w:proofErr w:type="spellEnd"/>
      <w:r>
        <w:rPr>
          <w:spacing w:val="-2"/>
          <w:sz w:val="20"/>
        </w:rPr>
        <w:t xml:space="preserve"> </w:t>
      </w:r>
      <w:r>
        <w:rPr>
          <w:sz w:val="20"/>
        </w:rPr>
        <w:t>Justice</w:t>
      </w:r>
      <w:r>
        <w:rPr>
          <w:spacing w:val="-3"/>
          <w:sz w:val="20"/>
        </w:rPr>
        <w:t xml:space="preserve"> </w:t>
      </w:r>
      <w:r>
        <w:rPr>
          <w:sz w:val="20"/>
        </w:rPr>
        <w:t>Debra</w:t>
      </w:r>
      <w:r>
        <w:rPr>
          <w:spacing w:val="-2"/>
          <w:sz w:val="20"/>
        </w:rPr>
        <w:t xml:space="preserve"> </w:t>
      </w:r>
      <w:r>
        <w:rPr>
          <w:sz w:val="20"/>
        </w:rPr>
        <w:t>Mullins</w:t>
      </w:r>
      <w:r>
        <w:rPr>
          <w:spacing w:val="-13"/>
          <w:sz w:val="20"/>
        </w:rPr>
        <w:t xml:space="preserve"> </w:t>
      </w:r>
      <w:r>
        <w:rPr>
          <w:sz w:val="20"/>
        </w:rPr>
        <w:t>AO,</w:t>
      </w:r>
      <w:r>
        <w:rPr>
          <w:spacing w:val="-2"/>
          <w:sz w:val="20"/>
        </w:rPr>
        <w:t xml:space="preserve"> </w:t>
      </w:r>
      <w:r>
        <w:rPr>
          <w:sz w:val="20"/>
        </w:rPr>
        <w:t>President</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Court</w:t>
      </w:r>
      <w:r>
        <w:rPr>
          <w:spacing w:val="-3"/>
          <w:sz w:val="20"/>
        </w:rPr>
        <w:t xml:space="preserve"> </w:t>
      </w:r>
      <w:r>
        <w:rPr>
          <w:sz w:val="20"/>
        </w:rPr>
        <w:t>of</w:t>
      </w:r>
      <w:r>
        <w:rPr>
          <w:spacing w:val="-13"/>
          <w:sz w:val="20"/>
        </w:rPr>
        <w:t xml:space="preserve"> </w:t>
      </w:r>
      <w:r>
        <w:rPr>
          <w:spacing w:val="-2"/>
          <w:sz w:val="20"/>
        </w:rPr>
        <w:t>Appeal,</w:t>
      </w:r>
    </w:p>
    <w:p w14:paraId="06E1023A" w14:textId="77777777" w:rsidR="00AC6F3C" w:rsidRDefault="00570E88">
      <w:pPr>
        <w:pStyle w:val="BodyText"/>
        <w:spacing w:before="10"/>
        <w:ind w:left="1495"/>
      </w:pPr>
      <w:r>
        <w:t>Supreme</w:t>
      </w:r>
      <w:r>
        <w:rPr>
          <w:spacing w:val="-4"/>
        </w:rPr>
        <w:t xml:space="preserve"> </w:t>
      </w:r>
      <w:r>
        <w:t>Court</w:t>
      </w:r>
      <w:r>
        <w:rPr>
          <w:spacing w:val="-2"/>
        </w:rPr>
        <w:t xml:space="preserve"> </w:t>
      </w:r>
      <w:r>
        <w:t>of</w:t>
      </w:r>
      <w:r>
        <w:rPr>
          <w:spacing w:val="-2"/>
        </w:rPr>
        <w:t xml:space="preserve"> Queensland.</w:t>
      </w:r>
    </w:p>
    <w:p w14:paraId="011F14E2" w14:textId="77777777" w:rsidR="00AC6F3C" w:rsidRDefault="00AC6F3C">
      <w:pPr>
        <w:pStyle w:val="BodyText"/>
        <w:spacing w:before="9"/>
        <w:rPr>
          <w:sz w:val="31"/>
        </w:rPr>
      </w:pPr>
    </w:p>
    <w:p w14:paraId="2070E337" w14:textId="77777777" w:rsidR="00AC6F3C" w:rsidRDefault="00570E88">
      <w:pPr>
        <w:pStyle w:val="ListParagraph"/>
        <w:numPr>
          <w:ilvl w:val="0"/>
          <w:numId w:val="47"/>
        </w:numPr>
        <w:tabs>
          <w:tab w:val="left" w:pos="1154"/>
        </w:tabs>
        <w:spacing w:before="0"/>
        <w:ind w:left="1154" w:hanging="339"/>
        <w:rPr>
          <w:b/>
          <w:sz w:val="26"/>
        </w:rPr>
      </w:pPr>
      <w:r>
        <w:rPr>
          <w:b/>
          <w:sz w:val="26"/>
        </w:rPr>
        <w:t xml:space="preserve">Prevention of sexual harassment training </w:t>
      </w:r>
      <w:r>
        <w:rPr>
          <w:b/>
          <w:spacing w:val="-2"/>
          <w:sz w:val="26"/>
        </w:rPr>
        <w:t>workshops</w:t>
      </w:r>
    </w:p>
    <w:p w14:paraId="25C988E7" w14:textId="77777777" w:rsidR="00AC6F3C" w:rsidRDefault="00570E88">
      <w:pPr>
        <w:pStyle w:val="BodyText"/>
        <w:spacing w:before="168"/>
        <w:ind w:left="815"/>
      </w:pPr>
      <w:r>
        <w:t>QLS</w:t>
      </w:r>
      <w:r>
        <w:rPr>
          <w:spacing w:val="-5"/>
        </w:rPr>
        <w:t xml:space="preserve"> </w:t>
      </w:r>
      <w:r>
        <w:t>continued</w:t>
      </w:r>
      <w:r>
        <w:rPr>
          <w:spacing w:val="-3"/>
        </w:rPr>
        <w:t xml:space="preserve"> </w:t>
      </w:r>
      <w:r>
        <w:t>its</w:t>
      </w:r>
      <w:r>
        <w:rPr>
          <w:spacing w:val="-3"/>
        </w:rPr>
        <w:t xml:space="preserve"> </w:t>
      </w:r>
      <w:r>
        <w:t>commitment</w:t>
      </w:r>
      <w:r>
        <w:rPr>
          <w:spacing w:val="-3"/>
        </w:rPr>
        <w:t xml:space="preserve"> </w:t>
      </w:r>
      <w:r>
        <w:t>to</w:t>
      </w:r>
      <w:r>
        <w:rPr>
          <w:spacing w:val="-3"/>
        </w:rPr>
        <w:t xml:space="preserve"> </w:t>
      </w:r>
      <w:r>
        <w:t>addressing</w:t>
      </w:r>
      <w:r>
        <w:rPr>
          <w:spacing w:val="-3"/>
        </w:rPr>
        <w:t xml:space="preserve"> </w:t>
      </w:r>
      <w:r>
        <w:t>the</w:t>
      </w:r>
      <w:r>
        <w:rPr>
          <w:spacing w:val="-3"/>
        </w:rPr>
        <w:t xml:space="preserve"> </w:t>
      </w:r>
      <w:r>
        <w:t>issue</w:t>
      </w:r>
      <w:r>
        <w:rPr>
          <w:spacing w:val="-3"/>
        </w:rPr>
        <w:t xml:space="preserve"> </w:t>
      </w:r>
      <w:r>
        <w:t>of</w:t>
      </w:r>
      <w:r>
        <w:rPr>
          <w:spacing w:val="-3"/>
        </w:rPr>
        <w:t xml:space="preserve"> </w:t>
      </w:r>
      <w:r>
        <w:t>sexual</w:t>
      </w:r>
      <w:r>
        <w:rPr>
          <w:spacing w:val="-3"/>
        </w:rPr>
        <w:t xml:space="preserve"> </w:t>
      </w:r>
      <w:r>
        <w:t>harassment,</w:t>
      </w:r>
      <w:r>
        <w:rPr>
          <w:spacing w:val="-3"/>
        </w:rPr>
        <w:t xml:space="preserve"> </w:t>
      </w:r>
      <w:r>
        <w:t>bullying</w:t>
      </w:r>
      <w:r>
        <w:rPr>
          <w:spacing w:val="-3"/>
        </w:rPr>
        <w:t xml:space="preserve"> </w:t>
      </w:r>
      <w:r>
        <w:t>and</w:t>
      </w:r>
      <w:r>
        <w:rPr>
          <w:spacing w:val="-2"/>
        </w:rPr>
        <w:t xml:space="preserve"> discrimination</w:t>
      </w:r>
    </w:p>
    <w:p w14:paraId="3F95D5AE" w14:textId="77777777" w:rsidR="00AC6F3C" w:rsidRDefault="00570E88">
      <w:pPr>
        <w:pStyle w:val="BodyText"/>
        <w:spacing w:before="10" w:line="249" w:lineRule="auto"/>
        <w:ind w:left="815" w:right="402"/>
      </w:pPr>
      <w:r>
        <w:t xml:space="preserve">in the legal profession. In response to recent amendments to the </w:t>
      </w:r>
      <w:r>
        <w:rPr>
          <w:i/>
        </w:rPr>
        <w:t>Sex Discrimination</w:t>
      </w:r>
      <w:r>
        <w:rPr>
          <w:i/>
          <w:spacing w:val="-1"/>
        </w:rPr>
        <w:t xml:space="preserve"> </w:t>
      </w:r>
      <w:r>
        <w:rPr>
          <w:i/>
        </w:rPr>
        <w:t xml:space="preserve">Act 1984 </w:t>
      </w:r>
      <w:r>
        <w:t>(</w:t>
      </w:r>
      <w:proofErr w:type="spellStart"/>
      <w:r>
        <w:t>Cth</w:t>
      </w:r>
      <w:proofErr w:type="spellEnd"/>
      <w:r>
        <w:t>) and</w:t>
      </w:r>
      <w:r>
        <w:rPr>
          <w:spacing w:val="-3"/>
        </w:rPr>
        <w:t xml:space="preserve"> </w:t>
      </w:r>
      <w:r>
        <w:t>Work</w:t>
      </w:r>
      <w:r>
        <w:rPr>
          <w:spacing w:val="-3"/>
        </w:rPr>
        <w:t xml:space="preserve"> </w:t>
      </w:r>
      <w:r>
        <w:t>Safe</w:t>
      </w:r>
      <w:r>
        <w:rPr>
          <w:spacing w:val="-3"/>
        </w:rPr>
        <w:t xml:space="preserve"> </w:t>
      </w:r>
      <w:r>
        <w:t>Code</w:t>
      </w:r>
      <w:r>
        <w:rPr>
          <w:spacing w:val="-3"/>
        </w:rPr>
        <w:t xml:space="preserve"> </w:t>
      </w:r>
      <w:r>
        <w:t>of</w:t>
      </w:r>
      <w:r>
        <w:rPr>
          <w:spacing w:val="-3"/>
        </w:rPr>
        <w:t xml:space="preserve"> </w:t>
      </w:r>
      <w:r>
        <w:t>Practice</w:t>
      </w:r>
      <w:r>
        <w:rPr>
          <w:spacing w:val="-3"/>
        </w:rPr>
        <w:t xml:space="preserve"> </w:t>
      </w:r>
      <w:r>
        <w:t>(Qld)</w:t>
      </w:r>
      <w:r>
        <w:rPr>
          <w:spacing w:val="-3"/>
        </w:rPr>
        <w:t xml:space="preserve"> </w:t>
      </w:r>
      <w:r>
        <w:t>requiring</w:t>
      </w:r>
      <w:r>
        <w:rPr>
          <w:spacing w:val="-3"/>
        </w:rPr>
        <w:t xml:space="preserve"> </w:t>
      </w:r>
      <w:r>
        <w:t>employers</w:t>
      </w:r>
      <w:r>
        <w:rPr>
          <w:spacing w:val="-3"/>
        </w:rPr>
        <w:t xml:space="preserve"> </w:t>
      </w:r>
      <w:r>
        <w:t>to</w:t>
      </w:r>
      <w:r>
        <w:rPr>
          <w:spacing w:val="-3"/>
        </w:rPr>
        <w:t xml:space="preserve"> </w:t>
      </w:r>
      <w:r>
        <w:t>take</w:t>
      </w:r>
      <w:r>
        <w:rPr>
          <w:spacing w:val="-3"/>
        </w:rPr>
        <w:t xml:space="preserve"> </w:t>
      </w:r>
      <w:r>
        <w:t>steps</w:t>
      </w:r>
      <w:r>
        <w:rPr>
          <w:spacing w:val="-3"/>
        </w:rPr>
        <w:t xml:space="preserve"> </w:t>
      </w:r>
      <w:r>
        <w:t>to</w:t>
      </w:r>
      <w:r>
        <w:rPr>
          <w:spacing w:val="-3"/>
        </w:rPr>
        <w:t xml:space="preserve"> </w:t>
      </w:r>
      <w:r>
        <w:t>eliminate</w:t>
      </w:r>
      <w:r>
        <w:rPr>
          <w:spacing w:val="-3"/>
        </w:rPr>
        <w:t xml:space="preserve"> </w:t>
      </w:r>
      <w:r>
        <w:t>workplace</w:t>
      </w:r>
      <w:r>
        <w:rPr>
          <w:spacing w:val="-3"/>
        </w:rPr>
        <w:t xml:space="preserve"> </w:t>
      </w:r>
      <w:r>
        <w:t>sexual harassment and manage psychosocial hazards, QLS offered an easily accessible series of one-hour sexual harassment prevention workshops involving:</w:t>
      </w:r>
    </w:p>
    <w:p w14:paraId="7233488A" w14:textId="77777777" w:rsidR="00AC6F3C" w:rsidRDefault="00570E88">
      <w:pPr>
        <w:pStyle w:val="ListParagraph"/>
        <w:numPr>
          <w:ilvl w:val="1"/>
          <w:numId w:val="47"/>
        </w:numPr>
        <w:tabs>
          <w:tab w:val="left" w:pos="1155"/>
        </w:tabs>
        <w:spacing w:before="173"/>
        <w:ind w:hanging="340"/>
        <w:rPr>
          <w:sz w:val="20"/>
        </w:rPr>
      </w:pPr>
      <w:r>
        <w:rPr>
          <w:sz w:val="20"/>
        </w:rPr>
        <w:t>Bespoke</w:t>
      </w:r>
      <w:r>
        <w:rPr>
          <w:spacing w:val="-4"/>
          <w:sz w:val="20"/>
        </w:rPr>
        <w:t xml:space="preserve"> </w:t>
      </w:r>
      <w:r>
        <w:rPr>
          <w:sz w:val="20"/>
        </w:rPr>
        <w:t>presentations</w:t>
      </w:r>
      <w:r>
        <w:rPr>
          <w:spacing w:val="-4"/>
          <w:sz w:val="20"/>
        </w:rPr>
        <w:t xml:space="preserve"> </w:t>
      </w:r>
      <w:r>
        <w:rPr>
          <w:sz w:val="20"/>
        </w:rPr>
        <w:t>for</w:t>
      </w:r>
      <w:r>
        <w:rPr>
          <w:spacing w:val="-4"/>
          <w:sz w:val="20"/>
        </w:rPr>
        <w:t xml:space="preserve"> </w:t>
      </w:r>
      <w:r>
        <w:rPr>
          <w:sz w:val="20"/>
        </w:rPr>
        <w:t>firms/organisation</w:t>
      </w:r>
      <w:r>
        <w:rPr>
          <w:spacing w:val="-3"/>
          <w:sz w:val="20"/>
        </w:rPr>
        <w:t xml:space="preserve"> </w:t>
      </w:r>
      <w:r>
        <w:rPr>
          <w:sz w:val="20"/>
        </w:rPr>
        <w:t>–</w:t>
      </w:r>
      <w:r>
        <w:rPr>
          <w:spacing w:val="-4"/>
          <w:sz w:val="20"/>
        </w:rPr>
        <w:t xml:space="preserve"> </w:t>
      </w:r>
      <w:r>
        <w:rPr>
          <w:sz w:val="20"/>
        </w:rPr>
        <w:t>face-to-face,</w:t>
      </w:r>
      <w:r>
        <w:rPr>
          <w:spacing w:val="-4"/>
          <w:sz w:val="20"/>
        </w:rPr>
        <w:t xml:space="preserve"> </w:t>
      </w:r>
      <w:r>
        <w:rPr>
          <w:sz w:val="20"/>
        </w:rPr>
        <w:t>hybrid</w:t>
      </w:r>
      <w:r>
        <w:rPr>
          <w:spacing w:val="-4"/>
          <w:sz w:val="20"/>
        </w:rPr>
        <w:t xml:space="preserve"> </w:t>
      </w:r>
      <w:r>
        <w:rPr>
          <w:sz w:val="20"/>
        </w:rPr>
        <w:t>and</w:t>
      </w:r>
      <w:r>
        <w:rPr>
          <w:spacing w:val="-3"/>
          <w:sz w:val="20"/>
        </w:rPr>
        <w:t xml:space="preserve"> </w:t>
      </w:r>
      <w:r>
        <w:rPr>
          <w:spacing w:val="-2"/>
          <w:sz w:val="20"/>
        </w:rPr>
        <w:t>webinars</w:t>
      </w:r>
    </w:p>
    <w:p w14:paraId="3472D3DD" w14:textId="77777777" w:rsidR="00AC6F3C" w:rsidRDefault="00570E88">
      <w:pPr>
        <w:pStyle w:val="ListParagraph"/>
        <w:numPr>
          <w:ilvl w:val="1"/>
          <w:numId w:val="47"/>
        </w:numPr>
        <w:tabs>
          <w:tab w:val="left" w:pos="1155"/>
        </w:tabs>
        <w:ind w:hanging="340"/>
        <w:rPr>
          <w:sz w:val="20"/>
        </w:rPr>
      </w:pPr>
      <w:r>
        <w:rPr>
          <w:sz w:val="20"/>
        </w:rPr>
        <w:t>Livestreamed</w:t>
      </w:r>
      <w:r>
        <w:rPr>
          <w:spacing w:val="-7"/>
          <w:sz w:val="20"/>
        </w:rPr>
        <w:t xml:space="preserve"> </w:t>
      </w:r>
      <w:r>
        <w:rPr>
          <w:sz w:val="20"/>
        </w:rPr>
        <w:t>webinars</w:t>
      </w:r>
      <w:r>
        <w:rPr>
          <w:spacing w:val="-4"/>
          <w:sz w:val="20"/>
        </w:rPr>
        <w:t xml:space="preserve"> </w:t>
      </w:r>
      <w:r>
        <w:rPr>
          <w:sz w:val="20"/>
        </w:rPr>
        <w:t>(open</w:t>
      </w:r>
      <w:r>
        <w:rPr>
          <w:spacing w:val="-4"/>
          <w:sz w:val="20"/>
        </w:rPr>
        <w:t xml:space="preserve"> </w:t>
      </w:r>
      <w:r>
        <w:rPr>
          <w:sz w:val="20"/>
        </w:rPr>
        <w:t>for</w:t>
      </w:r>
      <w:r>
        <w:rPr>
          <w:spacing w:val="-4"/>
          <w:sz w:val="20"/>
        </w:rPr>
        <w:t xml:space="preserve"> </w:t>
      </w:r>
      <w:r>
        <w:rPr>
          <w:sz w:val="20"/>
        </w:rPr>
        <w:t>general</w:t>
      </w:r>
      <w:r>
        <w:rPr>
          <w:spacing w:val="-4"/>
          <w:sz w:val="20"/>
        </w:rPr>
        <w:t xml:space="preserve"> </w:t>
      </w:r>
      <w:r>
        <w:rPr>
          <w:spacing w:val="-2"/>
          <w:sz w:val="20"/>
        </w:rPr>
        <w:t>registration)</w:t>
      </w:r>
    </w:p>
    <w:p w14:paraId="34369755" w14:textId="77777777" w:rsidR="00AC6F3C" w:rsidRDefault="00570E88">
      <w:pPr>
        <w:pStyle w:val="ListParagraph"/>
        <w:numPr>
          <w:ilvl w:val="1"/>
          <w:numId w:val="47"/>
        </w:numPr>
        <w:tabs>
          <w:tab w:val="left" w:pos="1155"/>
        </w:tabs>
        <w:ind w:hanging="340"/>
        <w:rPr>
          <w:sz w:val="20"/>
        </w:rPr>
      </w:pPr>
      <w:r>
        <w:rPr>
          <w:sz w:val="20"/>
        </w:rPr>
        <w:t>Face-to-face</w:t>
      </w:r>
      <w:r>
        <w:rPr>
          <w:spacing w:val="-5"/>
          <w:sz w:val="20"/>
        </w:rPr>
        <w:t xml:space="preserve"> </w:t>
      </w:r>
      <w:r>
        <w:rPr>
          <w:sz w:val="20"/>
        </w:rPr>
        <w:t>workshops</w:t>
      </w:r>
      <w:r>
        <w:rPr>
          <w:spacing w:val="-2"/>
          <w:sz w:val="20"/>
        </w:rPr>
        <w:t xml:space="preserve"> </w:t>
      </w:r>
      <w:r>
        <w:rPr>
          <w:sz w:val="20"/>
        </w:rPr>
        <w:t>at</w:t>
      </w:r>
      <w:r>
        <w:rPr>
          <w:spacing w:val="-2"/>
          <w:sz w:val="20"/>
        </w:rPr>
        <w:t xml:space="preserve"> </w:t>
      </w:r>
      <w:r>
        <w:rPr>
          <w:sz w:val="20"/>
        </w:rPr>
        <w:t>Law</w:t>
      </w:r>
      <w:r>
        <w:rPr>
          <w:spacing w:val="-2"/>
          <w:sz w:val="20"/>
        </w:rPr>
        <w:t xml:space="preserve"> </w:t>
      </w:r>
      <w:r>
        <w:rPr>
          <w:sz w:val="20"/>
        </w:rPr>
        <w:t>Society</w:t>
      </w:r>
      <w:r>
        <w:rPr>
          <w:spacing w:val="-2"/>
          <w:sz w:val="20"/>
        </w:rPr>
        <w:t xml:space="preserve"> </w:t>
      </w:r>
      <w:r>
        <w:rPr>
          <w:sz w:val="20"/>
        </w:rPr>
        <w:t>House,</w:t>
      </w:r>
      <w:r>
        <w:rPr>
          <w:spacing w:val="-2"/>
          <w:sz w:val="20"/>
        </w:rPr>
        <w:t xml:space="preserve"> Brisbane</w:t>
      </w:r>
    </w:p>
    <w:p w14:paraId="2D586DC0" w14:textId="77777777" w:rsidR="00AC6F3C" w:rsidRDefault="00570E88">
      <w:pPr>
        <w:pStyle w:val="ListParagraph"/>
        <w:numPr>
          <w:ilvl w:val="1"/>
          <w:numId w:val="47"/>
        </w:numPr>
        <w:tabs>
          <w:tab w:val="left" w:pos="1155"/>
        </w:tabs>
        <w:ind w:hanging="340"/>
        <w:rPr>
          <w:sz w:val="20"/>
        </w:rPr>
      </w:pPr>
      <w:r>
        <w:rPr>
          <w:sz w:val="20"/>
        </w:rPr>
        <w:t>Regional</w:t>
      </w:r>
      <w:r>
        <w:rPr>
          <w:spacing w:val="-3"/>
          <w:sz w:val="20"/>
        </w:rPr>
        <w:t xml:space="preserve"> </w:t>
      </w:r>
      <w:r>
        <w:rPr>
          <w:sz w:val="20"/>
        </w:rPr>
        <w:t>face</w:t>
      </w:r>
      <w:r>
        <w:rPr>
          <w:spacing w:val="-3"/>
          <w:sz w:val="20"/>
        </w:rPr>
        <w:t xml:space="preserve"> </w:t>
      </w:r>
      <w:r>
        <w:rPr>
          <w:sz w:val="20"/>
        </w:rPr>
        <w:t>to</w:t>
      </w:r>
      <w:r>
        <w:rPr>
          <w:spacing w:val="-2"/>
          <w:sz w:val="20"/>
        </w:rPr>
        <w:t xml:space="preserve"> </w:t>
      </w:r>
      <w:r>
        <w:rPr>
          <w:sz w:val="20"/>
        </w:rPr>
        <w:t>face</w:t>
      </w:r>
      <w:r>
        <w:rPr>
          <w:spacing w:val="-3"/>
          <w:sz w:val="20"/>
        </w:rPr>
        <w:t xml:space="preserve"> </w:t>
      </w:r>
      <w:r>
        <w:rPr>
          <w:sz w:val="20"/>
        </w:rPr>
        <w:t>workshops:</w:t>
      </w:r>
      <w:r>
        <w:rPr>
          <w:spacing w:val="-2"/>
          <w:sz w:val="20"/>
        </w:rPr>
        <w:t xml:space="preserve"> </w:t>
      </w:r>
      <w:r>
        <w:rPr>
          <w:sz w:val="20"/>
        </w:rPr>
        <w:t>Gold</w:t>
      </w:r>
      <w:r>
        <w:rPr>
          <w:spacing w:val="-3"/>
          <w:sz w:val="20"/>
        </w:rPr>
        <w:t xml:space="preserve"> </w:t>
      </w:r>
      <w:r>
        <w:rPr>
          <w:sz w:val="20"/>
        </w:rPr>
        <w:t>Coast,</w:t>
      </w:r>
      <w:r>
        <w:rPr>
          <w:spacing w:val="-3"/>
          <w:sz w:val="20"/>
        </w:rPr>
        <w:t xml:space="preserve"> </w:t>
      </w:r>
      <w:r>
        <w:rPr>
          <w:sz w:val="20"/>
        </w:rPr>
        <w:t>Sunshine</w:t>
      </w:r>
      <w:r>
        <w:rPr>
          <w:spacing w:val="-2"/>
          <w:sz w:val="20"/>
        </w:rPr>
        <w:t xml:space="preserve"> </w:t>
      </w:r>
      <w:r>
        <w:rPr>
          <w:sz w:val="20"/>
        </w:rPr>
        <w:t>Coast</w:t>
      </w:r>
      <w:r>
        <w:rPr>
          <w:spacing w:val="-3"/>
          <w:sz w:val="20"/>
        </w:rPr>
        <w:t xml:space="preserve"> </w:t>
      </w:r>
      <w:r>
        <w:rPr>
          <w:sz w:val="20"/>
        </w:rPr>
        <w:t>and</w:t>
      </w:r>
      <w:r>
        <w:rPr>
          <w:spacing w:val="-2"/>
          <w:sz w:val="20"/>
        </w:rPr>
        <w:t xml:space="preserve"> Cairns.</w:t>
      </w:r>
    </w:p>
    <w:p w14:paraId="3477185F" w14:textId="77777777" w:rsidR="00AC6F3C" w:rsidRDefault="00570E88">
      <w:pPr>
        <w:pStyle w:val="BodyText"/>
        <w:spacing w:before="180" w:line="249" w:lineRule="auto"/>
        <w:ind w:left="815"/>
      </w:pPr>
      <w:r>
        <w:t>There</w:t>
      </w:r>
      <w:r>
        <w:rPr>
          <w:spacing w:val="-2"/>
        </w:rPr>
        <w:t xml:space="preserve"> </w:t>
      </w:r>
      <w:r>
        <w:t>was</w:t>
      </w:r>
      <w:r>
        <w:rPr>
          <w:spacing w:val="-2"/>
        </w:rPr>
        <w:t xml:space="preserve"> </w:t>
      </w:r>
      <w:r>
        <w:t>a</w:t>
      </w:r>
      <w:r>
        <w:rPr>
          <w:spacing w:val="-2"/>
        </w:rPr>
        <w:t xml:space="preserve"> </w:t>
      </w:r>
      <w:r>
        <w:t>strong</w:t>
      </w:r>
      <w:r>
        <w:rPr>
          <w:spacing w:val="-2"/>
        </w:rPr>
        <w:t xml:space="preserve"> </w:t>
      </w:r>
      <w:r>
        <w:t>uptake</w:t>
      </w:r>
      <w:r>
        <w:rPr>
          <w:spacing w:val="-2"/>
        </w:rPr>
        <w:t xml:space="preserve"> </w:t>
      </w:r>
      <w:r>
        <w:t>of</w:t>
      </w:r>
      <w:r>
        <w:rPr>
          <w:spacing w:val="-2"/>
        </w:rPr>
        <w:t xml:space="preserve"> </w:t>
      </w:r>
      <w:r>
        <w:t>the</w:t>
      </w:r>
      <w:r>
        <w:rPr>
          <w:spacing w:val="-2"/>
        </w:rPr>
        <w:t xml:space="preserve"> </w:t>
      </w:r>
      <w:r>
        <w:t>workshops</w:t>
      </w:r>
      <w:r>
        <w:rPr>
          <w:spacing w:val="-2"/>
        </w:rPr>
        <w:t xml:space="preserve"> </w:t>
      </w:r>
      <w:r>
        <w:t>with</w:t>
      </w:r>
      <w:r>
        <w:rPr>
          <w:spacing w:val="-2"/>
        </w:rPr>
        <w:t xml:space="preserve"> </w:t>
      </w:r>
      <w:r>
        <w:t>over</w:t>
      </w:r>
      <w:r>
        <w:rPr>
          <w:spacing w:val="-2"/>
        </w:rPr>
        <w:t xml:space="preserve"> </w:t>
      </w:r>
      <w:r>
        <w:t>550</w:t>
      </w:r>
      <w:r>
        <w:rPr>
          <w:spacing w:val="-2"/>
        </w:rPr>
        <w:t xml:space="preserve"> </w:t>
      </w:r>
      <w:r>
        <w:t>attendees</w:t>
      </w:r>
      <w:r>
        <w:rPr>
          <w:spacing w:val="-2"/>
        </w:rPr>
        <w:t xml:space="preserve"> </w:t>
      </w:r>
      <w:r>
        <w:t>at</w:t>
      </w:r>
      <w:r>
        <w:rPr>
          <w:spacing w:val="-2"/>
        </w:rPr>
        <w:t xml:space="preserve"> </w:t>
      </w:r>
      <w:r>
        <w:t>26</w:t>
      </w:r>
      <w:r>
        <w:rPr>
          <w:spacing w:val="-2"/>
        </w:rPr>
        <w:t xml:space="preserve"> </w:t>
      </w:r>
      <w:r>
        <w:t>workshops,</w:t>
      </w:r>
      <w:r>
        <w:rPr>
          <w:spacing w:val="-2"/>
        </w:rPr>
        <w:t xml:space="preserve"> </w:t>
      </w:r>
      <w:r>
        <w:t>with</w:t>
      </w:r>
      <w:r>
        <w:rPr>
          <w:spacing w:val="-2"/>
        </w:rPr>
        <w:t xml:space="preserve"> </w:t>
      </w:r>
      <w:r>
        <w:t>17</w:t>
      </w:r>
      <w:r>
        <w:rPr>
          <w:spacing w:val="-2"/>
        </w:rPr>
        <w:t xml:space="preserve"> </w:t>
      </w:r>
      <w:r>
        <w:t xml:space="preserve">bespoke sessions delivered specifically to firms and legal </w:t>
      </w:r>
      <w:proofErr w:type="spellStart"/>
      <w:r>
        <w:t>organisations</w:t>
      </w:r>
      <w:proofErr w:type="spellEnd"/>
      <w:r>
        <w:t>, and nine workshops provided by way of livestream or face-to-face in various locations.</w:t>
      </w:r>
    </w:p>
    <w:p w14:paraId="57EEC223" w14:textId="77777777" w:rsidR="00AC6F3C" w:rsidRDefault="00AC6F3C">
      <w:pPr>
        <w:pStyle w:val="BodyText"/>
        <w:spacing w:before="2"/>
        <w:rPr>
          <w:sz w:val="31"/>
        </w:rPr>
      </w:pPr>
    </w:p>
    <w:p w14:paraId="7D9A9972" w14:textId="77777777" w:rsidR="00AC6F3C" w:rsidRDefault="00570E88">
      <w:pPr>
        <w:pStyle w:val="ListParagraph"/>
        <w:numPr>
          <w:ilvl w:val="0"/>
          <w:numId w:val="47"/>
        </w:numPr>
        <w:tabs>
          <w:tab w:val="left" w:pos="1154"/>
        </w:tabs>
        <w:spacing w:before="0"/>
        <w:ind w:left="1154" w:hanging="339"/>
        <w:rPr>
          <w:b/>
          <w:sz w:val="26"/>
        </w:rPr>
      </w:pPr>
      <w:r>
        <w:rPr>
          <w:b/>
          <w:sz w:val="26"/>
        </w:rPr>
        <w:t>Roadshow</w:t>
      </w:r>
      <w:r>
        <w:rPr>
          <w:b/>
          <w:spacing w:val="-1"/>
          <w:sz w:val="26"/>
        </w:rPr>
        <w:t xml:space="preserve"> </w:t>
      </w:r>
      <w:r>
        <w:rPr>
          <w:b/>
          <w:sz w:val="26"/>
        </w:rPr>
        <w:t>for mandating</w:t>
      </w:r>
      <w:r>
        <w:rPr>
          <w:b/>
          <w:spacing w:val="-1"/>
          <w:sz w:val="26"/>
        </w:rPr>
        <w:t xml:space="preserve"> </w:t>
      </w:r>
      <w:r>
        <w:rPr>
          <w:b/>
          <w:sz w:val="26"/>
        </w:rPr>
        <w:t xml:space="preserve">of </w:t>
      </w:r>
      <w:proofErr w:type="spellStart"/>
      <w:r>
        <w:rPr>
          <w:b/>
          <w:spacing w:val="-2"/>
          <w:sz w:val="26"/>
        </w:rPr>
        <w:t>eConveyancing</w:t>
      </w:r>
      <w:proofErr w:type="spellEnd"/>
    </w:p>
    <w:p w14:paraId="2EFD975C" w14:textId="77777777" w:rsidR="00AC6F3C" w:rsidRDefault="00570E88">
      <w:pPr>
        <w:pStyle w:val="BodyText"/>
        <w:spacing w:before="168" w:line="249" w:lineRule="auto"/>
        <w:ind w:left="815"/>
      </w:pPr>
      <w:r>
        <w:t>Titles</w:t>
      </w:r>
      <w:r>
        <w:rPr>
          <w:spacing w:val="-5"/>
        </w:rPr>
        <w:t xml:space="preserve"> </w:t>
      </w:r>
      <w:r>
        <w:t>Queensland</w:t>
      </w:r>
      <w:r>
        <w:rPr>
          <w:spacing w:val="-5"/>
        </w:rPr>
        <w:t xml:space="preserve"> </w:t>
      </w:r>
      <w:r>
        <w:t>officially</w:t>
      </w:r>
      <w:r>
        <w:rPr>
          <w:spacing w:val="-5"/>
        </w:rPr>
        <w:t xml:space="preserve"> </w:t>
      </w:r>
      <w:r>
        <w:t>announced</w:t>
      </w:r>
      <w:r>
        <w:rPr>
          <w:spacing w:val="-5"/>
        </w:rPr>
        <w:t xml:space="preserve"> </w:t>
      </w:r>
      <w:r>
        <w:t>electronic</w:t>
      </w:r>
      <w:r>
        <w:rPr>
          <w:spacing w:val="-5"/>
        </w:rPr>
        <w:t xml:space="preserve"> </w:t>
      </w:r>
      <w:r>
        <w:t>conveyancing</w:t>
      </w:r>
      <w:r>
        <w:rPr>
          <w:spacing w:val="-5"/>
        </w:rPr>
        <w:t xml:space="preserve"> </w:t>
      </w:r>
      <w:r>
        <w:t>would</w:t>
      </w:r>
      <w:r>
        <w:rPr>
          <w:spacing w:val="-5"/>
        </w:rPr>
        <w:t xml:space="preserve"> </w:t>
      </w:r>
      <w:r>
        <w:t>be</w:t>
      </w:r>
      <w:r>
        <w:rPr>
          <w:spacing w:val="-5"/>
        </w:rPr>
        <w:t xml:space="preserve"> </w:t>
      </w:r>
      <w:r>
        <w:t>mandatory</w:t>
      </w:r>
      <w:r>
        <w:rPr>
          <w:spacing w:val="-5"/>
        </w:rPr>
        <w:t xml:space="preserve"> </w:t>
      </w:r>
      <w:r>
        <w:t>in</w:t>
      </w:r>
      <w:r>
        <w:rPr>
          <w:spacing w:val="-5"/>
        </w:rPr>
        <w:t xml:space="preserve"> </w:t>
      </w:r>
      <w:r>
        <w:t>Queensland</w:t>
      </w:r>
      <w:r>
        <w:rPr>
          <w:spacing w:val="-5"/>
        </w:rPr>
        <w:t xml:space="preserve"> </w:t>
      </w:r>
      <w:r>
        <w:t>from Monday 20 February 2023.</w:t>
      </w:r>
    </w:p>
    <w:p w14:paraId="51A48275" w14:textId="77777777" w:rsidR="00AC6F3C" w:rsidRDefault="00570E88">
      <w:pPr>
        <w:pStyle w:val="BodyText"/>
        <w:spacing w:before="171" w:line="249" w:lineRule="auto"/>
        <w:ind w:left="815" w:right="489"/>
      </w:pPr>
      <w:r>
        <w:t>This</w:t>
      </w:r>
      <w:r>
        <w:rPr>
          <w:spacing w:val="-3"/>
        </w:rPr>
        <w:t xml:space="preserve"> </w:t>
      </w:r>
      <w:r>
        <w:t>was</w:t>
      </w:r>
      <w:r>
        <w:rPr>
          <w:spacing w:val="-3"/>
        </w:rPr>
        <w:t xml:space="preserve"> </w:t>
      </w:r>
      <w:r>
        <w:t>a</w:t>
      </w:r>
      <w:r>
        <w:rPr>
          <w:spacing w:val="-3"/>
        </w:rPr>
        <w:t xml:space="preserve"> </w:t>
      </w:r>
      <w:r>
        <w:t>significant</w:t>
      </w:r>
      <w:r>
        <w:rPr>
          <w:spacing w:val="-3"/>
        </w:rPr>
        <w:t xml:space="preserve"> </w:t>
      </w:r>
      <w:r>
        <w:t>change</w:t>
      </w:r>
      <w:r>
        <w:rPr>
          <w:spacing w:val="-3"/>
        </w:rPr>
        <w:t xml:space="preserve"> </w:t>
      </w:r>
      <w:r>
        <w:t>affecting</w:t>
      </w:r>
      <w:r>
        <w:rPr>
          <w:spacing w:val="-3"/>
        </w:rPr>
        <w:t xml:space="preserve"> </w:t>
      </w:r>
      <w:r>
        <w:t>a</w:t>
      </w:r>
      <w:r>
        <w:rPr>
          <w:spacing w:val="-3"/>
        </w:rPr>
        <w:t xml:space="preserve"> </w:t>
      </w:r>
      <w:r>
        <w:t>large</w:t>
      </w:r>
      <w:r>
        <w:rPr>
          <w:spacing w:val="-3"/>
        </w:rPr>
        <w:t xml:space="preserve"> </w:t>
      </w:r>
      <w:r>
        <w:t>proportion</w:t>
      </w:r>
      <w:r>
        <w:rPr>
          <w:spacing w:val="-3"/>
        </w:rPr>
        <w:t xml:space="preserve"> </w:t>
      </w:r>
      <w:r>
        <w:t>of</w:t>
      </w:r>
      <w:r>
        <w:rPr>
          <w:spacing w:val="-3"/>
        </w:rPr>
        <w:t xml:space="preserve"> </w:t>
      </w:r>
      <w:r>
        <w:t>the</w:t>
      </w:r>
      <w:r>
        <w:rPr>
          <w:spacing w:val="-3"/>
        </w:rPr>
        <w:t xml:space="preserve"> </w:t>
      </w:r>
      <w:r>
        <w:t>profession</w:t>
      </w:r>
      <w:r>
        <w:rPr>
          <w:spacing w:val="-3"/>
        </w:rPr>
        <w:t xml:space="preserve"> </w:t>
      </w:r>
      <w:r>
        <w:t>and</w:t>
      </w:r>
      <w:r>
        <w:rPr>
          <w:spacing w:val="-3"/>
        </w:rPr>
        <w:t xml:space="preserve"> </w:t>
      </w:r>
      <w:r>
        <w:t>resulted</w:t>
      </w:r>
      <w:r>
        <w:rPr>
          <w:spacing w:val="-3"/>
        </w:rPr>
        <w:t xml:space="preserve"> </w:t>
      </w:r>
      <w:r>
        <w:t>in</w:t>
      </w:r>
      <w:r>
        <w:rPr>
          <w:spacing w:val="-3"/>
        </w:rPr>
        <w:t xml:space="preserve"> </w:t>
      </w:r>
      <w:r>
        <w:t>changes</w:t>
      </w:r>
      <w:r>
        <w:rPr>
          <w:spacing w:val="-3"/>
        </w:rPr>
        <w:t xml:space="preserve"> </w:t>
      </w:r>
      <w:r>
        <w:t>to long-established conveyancing practices.</w:t>
      </w:r>
    </w:p>
    <w:p w14:paraId="2F2D9AC5" w14:textId="77777777" w:rsidR="00AC6F3C" w:rsidRDefault="00570E88">
      <w:pPr>
        <w:pStyle w:val="BodyText"/>
        <w:spacing w:before="172" w:line="249" w:lineRule="auto"/>
        <w:ind w:left="815" w:right="234"/>
      </w:pPr>
      <w:r>
        <w:t>In response QLS developed an intensive education program to ensure the profession was prepared for the hard deadline. During the first two weeks of February a total of 5 workshops were delivered online and</w:t>
      </w:r>
      <w:r>
        <w:rPr>
          <w:spacing w:val="-3"/>
        </w:rPr>
        <w:t xml:space="preserve"> </w:t>
      </w:r>
      <w:r>
        <w:t>in-person</w:t>
      </w:r>
      <w:r>
        <w:rPr>
          <w:spacing w:val="-3"/>
        </w:rPr>
        <w:t xml:space="preserve"> </w:t>
      </w:r>
      <w:r>
        <w:t>to</w:t>
      </w:r>
      <w:r>
        <w:rPr>
          <w:spacing w:val="-3"/>
        </w:rPr>
        <w:t xml:space="preserve"> </w:t>
      </w:r>
      <w:r>
        <w:t>property</w:t>
      </w:r>
      <w:r>
        <w:rPr>
          <w:spacing w:val="-3"/>
        </w:rPr>
        <w:t xml:space="preserve"> </w:t>
      </w:r>
      <w:r>
        <w:t>practitioners</w:t>
      </w:r>
      <w:r>
        <w:rPr>
          <w:spacing w:val="-3"/>
        </w:rPr>
        <w:t xml:space="preserve"> </w:t>
      </w:r>
      <w:r>
        <w:t>throughout</w:t>
      </w:r>
      <w:r>
        <w:rPr>
          <w:spacing w:val="-3"/>
        </w:rPr>
        <w:t xml:space="preserve"> </w:t>
      </w:r>
      <w:r>
        <w:t>the</w:t>
      </w:r>
      <w:r>
        <w:rPr>
          <w:spacing w:val="-3"/>
        </w:rPr>
        <w:t xml:space="preserve"> </w:t>
      </w:r>
      <w:r>
        <w:t>state.</w:t>
      </w:r>
      <w:r>
        <w:rPr>
          <w:spacing w:val="-7"/>
        </w:rPr>
        <w:t xml:space="preserve"> </w:t>
      </w:r>
      <w:r>
        <w:t>These</w:t>
      </w:r>
      <w:r>
        <w:rPr>
          <w:spacing w:val="-3"/>
        </w:rPr>
        <w:t xml:space="preserve"> </w:t>
      </w:r>
      <w:r>
        <w:t>workshops</w:t>
      </w:r>
      <w:r>
        <w:rPr>
          <w:spacing w:val="-3"/>
        </w:rPr>
        <w:t xml:space="preserve"> </w:t>
      </w:r>
      <w:r>
        <w:t>reached</w:t>
      </w:r>
      <w:r>
        <w:rPr>
          <w:spacing w:val="-3"/>
        </w:rPr>
        <w:t xml:space="preserve"> </w:t>
      </w:r>
      <w:r>
        <w:t>1,512</w:t>
      </w:r>
      <w:r>
        <w:rPr>
          <w:spacing w:val="-3"/>
        </w:rPr>
        <w:t xml:space="preserve"> </w:t>
      </w:r>
      <w:r>
        <w:t xml:space="preserve">attendees, equipping them with the knowledge to smoothly transition to the new </w:t>
      </w:r>
      <w:proofErr w:type="spellStart"/>
      <w:r>
        <w:t>eConveyancing</w:t>
      </w:r>
      <w:proofErr w:type="spellEnd"/>
      <w:r>
        <w:t xml:space="preserve"> systems.</w:t>
      </w:r>
    </w:p>
    <w:p w14:paraId="0397505C" w14:textId="77777777" w:rsidR="00AC6F3C" w:rsidRDefault="00AC6F3C">
      <w:pPr>
        <w:spacing w:line="249" w:lineRule="auto"/>
        <w:sectPr w:rsidR="00AC6F3C">
          <w:headerReference w:type="default" r:id="rId140"/>
          <w:footerReference w:type="default" r:id="rId141"/>
          <w:pgSz w:w="11910" w:h="16840"/>
          <w:pgMar w:top="1120" w:right="1160" w:bottom="520" w:left="460" w:header="0" w:footer="336" w:gutter="0"/>
          <w:cols w:space="720"/>
        </w:sectPr>
      </w:pPr>
    </w:p>
    <w:p w14:paraId="5EF29643" w14:textId="77777777" w:rsidR="00AC6F3C" w:rsidRDefault="00570E88">
      <w:pPr>
        <w:pStyle w:val="ListParagraph"/>
        <w:numPr>
          <w:ilvl w:val="0"/>
          <w:numId w:val="47"/>
        </w:numPr>
        <w:tabs>
          <w:tab w:val="left" w:pos="1154"/>
        </w:tabs>
        <w:spacing w:before="63"/>
        <w:ind w:left="1154" w:hanging="339"/>
        <w:rPr>
          <w:b/>
          <w:sz w:val="26"/>
        </w:rPr>
      </w:pPr>
      <w:bookmarkStart w:id="58" w:name="Practice_Management_Course"/>
      <w:bookmarkStart w:id="59" w:name="Specialist_Accreditation"/>
      <w:bookmarkStart w:id="60" w:name="_bookmark21"/>
      <w:bookmarkEnd w:id="58"/>
      <w:bookmarkEnd w:id="59"/>
      <w:bookmarkEnd w:id="60"/>
      <w:r>
        <w:rPr>
          <w:b/>
          <w:sz w:val="26"/>
        </w:rPr>
        <w:lastRenderedPageBreak/>
        <w:t xml:space="preserve">Mental health and </w:t>
      </w:r>
      <w:r>
        <w:rPr>
          <w:b/>
          <w:spacing w:val="-2"/>
          <w:sz w:val="26"/>
        </w:rPr>
        <w:t>wellbeing</w:t>
      </w:r>
    </w:p>
    <w:p w14:paraId="1B7B7510" w14:textId="77777777" w:rsidR="00AC6F3C" w:rsidRDefault="00570E88">
      <w:pPr>
        <w:pStyle w:val="BodyText"/>
        <w:spacing w:before="167"/>
        <w:ind w:left="815"/>
      </w:pPr>
      <w:r>
        <w:t>Please</w:t>
      </w:r>
      <w:r>
        <w:rPr>
          <w:spacing w:val="-3"/>
        </w:rPr>
        <w:t xml:space="preserve"> </w:t>
      </w:r>
      <w:r>
        <w:t>see</w:t>
      </w:r>
      <w:r>
        <w:rPr>
          <w:spacing w:val="-3"/>
        </w:rPr>
        <w:t xml:space="preserve"> </w:t>
      </w:r>
      <w:r>
        <w:t>mental</w:t>
      </w:r>
      <w:r>
        <w:rPr>
          <w:spacing w:val="-3"/>
        </w:rPr>
        <w:t xml:space="preserve"> </w:t>
      </w:r>
      <w:r>
        <w:t>health</w:t>
      </w:r>
      <w:r>
        <w:rPr>
          <w:spacing w:val="-3"/>
        </w:rPr>
        <w:t xml:space="preserve"> </w:t>
      </w:r>
      <w:r>
        <w:t>and</w:t>
      </w:r>
      <w:r>
        <w:rPr>
          <w:spacing w:val="-3"/>
        </w:rPr>
        <w:t xml:space="preserve"> </w:t>
      </w:r>
      <w:r>
        <w:t>wellbeing</w:t>
      </w:r>
      <w:r>
        <w:rPr>
          <w:spacing w:val="-3"/>
        </w:rPr>
        <w:t xml:space="preserve"> </w:t>
      </w:r>
      <w:r>
        <w:t>section</w:t>
      </w:r>
      <w:r>
        <w:rPr>
          <w:spacing w:val="-3"/>
        </w:rPr>
        <w:t xml:space="preserve"> </w:t>
      </w:r>
      <w:r>
        <w:t>on</w:t>
      </w:r>
      <w:r>
        <w:rPr>
          <w:spacing w:val="-3"/>
        </w:rPr>
        <w:t xml:space="preserve"> </w:t>
      </w:r>
      <w:r>
        <w:t>p.</w:t>
      </w:r>
      <w:r>
        <w:rPr>
          <w:spacing w:val="-3"/>
        </w:rPr>
        <w:t xml:space="preserve"> </w:t>
      </w:r>
      <w:r>
        <w:t>63</w:t>
      </w:r>
      <w:r>
        <w:rPr>
          <w:spacing w:val="-3"/>
        </w:rPr>
        <w:t xml:space="preserve"> </w:t>
      </w:r>
      <w:r>
        <w:t>for</w:t>
      </w:r>
      <w:r>
        <w:rPr>
          <w:spacing w:val="-3"/>
        </w:rPr>
        <w:t xml:space="preserve"> </w:t>
      </w:r>
      <w:r>
        <w:t>further</w:t>
      </w:r>
      <w:r>
        <w:rPr>
          <w:spacing w:val="-2"/>
        </w:rPr>
        <w:t xml:space="preserve"> information</w:t>
      </w:r>
    </w:p>
    <w:p w14:paraId="6A46AFCA" w14:textId="77777777" w:rsidR="00AC6F3C" w:rsidRDefault="00AC6F3C">
      <w:pPr>
        <w:pStyle w:val="BodyText"/>
        <w:rPr>
          <w:sz w:val="22"/>
        </w:rPr>
      </w:pPr>
    </w:p>
    <w:p w14:paraId="34D2D570" w14:textId="77777777" w:rsidR="00AC6F3C" w:rsidRDefault="00570E88">
      <w:pPr>
        <w:pStyle w:val="Heading3"/>
        <w:spacing w:before="129"/>
      </w:pPr>
      <w:r>
        <w:t>Practice</w:t>
      </w:r>
      <w:r>
        <w:rPr>
          <w:spacing w:val="-4"/>
        </w:rPr>
        <w:t xml:space="preserve"> </w:t>
      </w:r>
      <w:r>
        <w:t>Management</w:t>
      </w:r>
      <w:r>
        <w:rPr>
          <w:spacing w:val="-3"/>
        </w:rPr>
        <w:t xml:space="preserve"> </w:t>
      </w:r>
      <w:r>
        <w:rPr>
          <w:spacing w:val="-2"/>
        </w:rPr>
        <w:t>Course</w:t>
      </w:r>
    </w:p>
    <w:p w14:paraId="17530999" w14:textId="77777777" w:rsidR="00AC6F3C" w:rsidRDefault="00570E88">
      <w:pPr>
        <w:pStyle w:val="BodyText"/>
        <w:spacing w:before="155" w:line="249" w:lineRule="auto"/>
        <w:ind w:left="815" w:right="468"/>
      </w:pPr>
      <w:r>
        <w:t>Solicitors</w:t>
      </w:r>
      <w:r>
        <w:rPr>
          <w:spacing w:val="-3"/>
        </w:rPr>
        <w:t xml:space="preserve"> </w:t>
      </w:r>
      <w:r>
        <w:t>who</w:t>
      </w:r>
      <w:r>
        <w:rPr>
          <w:spacing w:val="-3"/>
        </w:rPr>
        <w:t xml:space="preserve"> </w:t>
      </w:r>
      <w:r>
        <w:t>aspire</w:t>
      </w:r>
      <w:r>
        <w:rPr>
          <w:spacing w:val="-3"/>
        </w:rPr>
        <w:t xml:space="preserve"> </w:t>
      </w:r>
      <w:r>
        <w:t>to</w:t>
      </w:r>
      <w:r>
        <w:rPr>
          <w:spacing w:val="-3"/>
        </w:rPr>
        <w:t xml:space="preserve"> </w:t>
      </w:r>
      <w:r>
        <w:t>be</w:t>
      </w:r>
      <w:r>
        <w:rPr>
          <w:spacing w:val="-3"/>
        </w:rPr>
        <w:t xml:space="preserve"> </w:t>
      </w:r>
      <w:r>
        <w:t>principals</w:t>
      </w:r>
      <w:r>
        <w:rPr>
          <w:spacing w:val="-3"/>
        </w:rPr>
        <w:t xml:space="preserve"> </w:t>
      </w:r>
      <w:r>
        <w:t>in</w:t>
      </w:r>
      <w:r>
        <w:rPr>
          <w:spacing w:val="-3"/>
        </w:rPr>
        <w:t xml:space="preserve"> </w:t>
      </w:r>
      <w:r>
        <w:t>Queensland</w:t>
      </w:r>
      <w:r>
        <w:rPr>
          <w:spacing w:val="-3"/>
        </w:rPr>
        <w:t xml:space="preserve"> </w:t>
      </w:r>
      <w:r>
        <w:t>must</w:t>
      </w:r>
      <w:r>
        <w:rPr>
          <w:spacing w:val="-3"/>
        </w:rPr>
        <w:t xml:space="preserve"> </w:t>
      </w:r>
      <w:r>
        <w:t>successfully</w:t>
      </w:r>
      <w:r>
        <w:rPr>
          <w:spacing w:val="-3"/>
        </w:rPr>
        <w:t xml:space="preserve"> </w:t>
      </w:r>
      <w:r>
        <w:t>complete</w:t>
      </w:r>
      <w:r>
        <w:rPr>
          <w:spacing w:val="-3"/>
        </w:rPr>
        <w:t xml:space="preserve"> </w:t>
      </w:r>
      <w:r>
        <w:t>the</w:t>
      </w:r>
      <w:r>
        <w:rPr>
          <w:spacing w:val="-3"/>
        </w:rPr>
        <w:t xml:space="preserve"> </w:t>
      </w:r>
      <w:r>
        <w:t>Practice Management Course (PMC).</w:t>
      </w:r>
    </w:p>
    <w:p w14:paraId="67A3F93D" w14:textId="77777777" w:rsidR="00AC6F3C" w:rsidRDefault="00570E88">
      <w:pPr>
        <w:pStyle w:val="BodyText"/>
        <w:spacing w:before="171" w:line="249" w:lineRule="auto"/>
        <w:ind w:left="815" w:right="468"/>
      </w:pPr>
      <w:r>
        <w:t>QLS’s</w:t>
      </w:r>
      <w:r>
        <w:rPr>
          <w:spacing w:val="-3"/>
        </w:rPr>
        <w:t xml:space="preserve"> </w:t>
      </w:r>
      <w:r>
        <w:t>PMC</w:t>
      </w:r>
      <w:r>
        <w:rPr>
          <w:spacing w:val="-3"/>
        </w:rPr>
        <w:t xml:space="preserve"> </w:t>
      </w:r>
      <w:r>
        <w:t>is</w:t>
      </w:r>
      <w:r>
        <w:rPr>
          <w:spacing w:val="-3"/>
        </w:rPr>
        <w:t xml:space="preserve"> </w:t>
      </w:r>
      <w:r>
        <w:t>the</w:t>
      </w:r>
      <w:r>
        <w:rPr>
          <w:spacing w:val="-3"/>
        </w:rPr>
        <w:t xml:space="preserve"> </w:t>
      </w:r>
      <w:r>
        <w:t>premium</w:t>
      </w:r>
      <w:r>
        <w:rPr>
          <w:spacing w:val="-3"/>
        </w:rPr>
        <w:t xml:space="preserve"> </w:t>
      </w:r>
      <w:r>
        <w:t>pathway</w:t>
      </w:r>
      <w:r>
        <w:rPr>
          <w:spacing w:val="-3"/>
        </w:rPr>
        <w:t xml:space="preserve"> </w:t>
      </w:r>
      <w:r>
        <w:t>to</w:t>
      </w:r>
      <w:r>
        <w:rPr>
          <w:spacing w:val="-3"/>
        </w:rPr>
        <w:t xml:space="preserve"> </w:t>
      </w:r>
      <w:r>
        <w:t>achieving</w:t>
      </w:r>
      <w:r>
        <w:rPr>
          <w:spacing w:val="-3"/>
        </w:rPr>
        <w:t xml:space="preserve"> </w:t>
      </w:r>
      <w:r>
        <w:t>a</w:t>
      </w:r>
      <w:r>
        <w:rPr>
          <w:spacing w:val="-3"/>
        </w:rPr>
        <w:t xml:space="preserve"> </w:t>
      </w:r>
      <w:r>
        <w:t>principal</w:t>
      </w:r>
      <w:r>
        <w:rPr>
          <w:spacing w:val="-3"/>
        </w:rPr>
        <w:t xml:space="preserve"> </w:t>
      </w:r>
      <w:proofErr w:type="spellStart"/>
      <w:r>
        <w:t>practising</w:t>
      </w:r>
      <w:proofErr w:type="spellEnd"/>
      <w:r>
        <w:rPr>
          <w:spacing w:val="-3"/>
        </w:rPr>
        <w:t xml:space="preserve"> </w:t>
      </w:r>
      <w:r>
        <w:t>certificate</w:t>
      </w:r>
      <w:r>
        <w:rPr>
          <w:spacing w:val="-3"/>
        </w:rPr>
        <w:t xml:space="preserve"> </w:t>
      </w:r>
      <w:r>
        <w:t>and</w:t>
      </w:r>
      <w:r>
        <w:rPr>
          <w:spacing w:val="-3"/>
        </w:rPr>
        <w:t xml:space="preserve"> </w:t>
      </w:r>
      <w:r>
        <w:t>prepares practitioners to be successful practice managers.</w:t>
      </w:r>
    </w:p>
    <w:p w14:paraId="189D7E04" w14:textId="77777777" w:rsidR="00AC6F3C" w:rsidRDefault="00570E88">
      <w:pPr>
        <w:pStyle w:val="BodyText"/>
        <w:spacing w:before="172" w:line="249" w:lineRule="auto"/>
        <w:ind w:left="815" w:right="632"/>
      </w:pPr>
      <w:r>
        <w:t>QLS’s</w:t>
      </w:r>
      <w:r>
        <w:rPr>
          <w:spacing w:val="-3"/>
        </w:rPr>
        <w:t xml:space="preserve"> </w:t>
      </w:r>
      <w:r>
        <w:t>PMC</w:t>
      </w:r>
      <w:r>
        <w:rPr>
          <w:spacing w:val="-3"/>
        </w:rPr>
        <w:t xml:space="preserve"> </w:t>
      </w:r>
      <w:r>
        <w:t>is</w:t>
      </w:r>
      <w:r>
        <w:rPr>
          <w:spacing w:val="-3"/>
        </w:rPr>
        <w:t xml:space="preserve"> </w:t>
      </w:r>
      <w:r>
        <w:t>divided</w:t>
      </w:r>
      <w:r>
        <w:rPr>
          <w:spacing w:val="-3"/>
        </w:rPr>
        <w:t xml:space="preserve"> </w:t>
      </w:r>
      <w:r>
        <w:t>into</w:t>
      </w:r>
      <w:r>
        <w:rPr>
          <w:spacing w:val="-3"/>
        </w:rPr>
        <w:t xml:space="preserve"> </w:t>
      </w:r>
      <w:r>
        <w:t>two</w:t>
      </w:r>
      <w:r>
        <w:rPr>
          <w:spacing w:val="-3"/>
        </w:rPr>
        <w:t xml:space="preserve"> </w:t>
      </w:r>
      <w:r>
        <w:t>practice</w:t>
      </w:r>
      <w:r>
        <w:rPr>
          <w:spacing w:val="-3"/>
        </w:rPr>
        <w:t xml:space="preserve"> </w:t>
      </w:r>
      <w:r>
        <w:t>focus</w:t>
      </w:r>
      <w:r>
        <w:rPr>
          <w:spacing w:val="-3"/>
        </w:rPr>
        <w:t xml:space="preserve"> </w:t>
      </w:r>
      <w:r>
        <w:t>streams</w:t>
      </w:r>
      <w:r>
        <w:rPr>
          <w:spacing w:val="-3"/>
        </w:rPr>
        <w:t xml:space="preserve"> </w:t>
      </w:r>
      <w:r>
        <w:t>(sole</w:t>
      </w:r>
      <w:r>
        <w:rPr>
          <w:spacing w:val="-3"/>
        </w:rPr>
        <w:t xml:space="preserve"> </w:t>
      </w:r>
      <w:r>
        <w:t>practitioner</w:t>
      </w:r>
      <w:r>
        <w:rPr>
          <w:spacing w:val="-3"/>
        </w:rPr>
        <w:t xml:space="preserve"> </w:t>
      </w:r>
      <w:r>
        <w:t>to</w:t>
      </w:r>
      <w:r>
        <w:rPr>
          <w:spacing w:val="-3"/>
        </w:rPr>
        <w:t xml:space="preserve"> </w:t>
      </w:r>
      <w:r>
        <w:t>small</w:t>
      </w:r>
      <w:r>
        <w:rPr>
          <w:spacing w:val="-3"/>
        </w:rPr>
        <w:t xml:space="preserve"> </w:t>
      </w:r>
      <w:r>
        <w:t>practice</w:t>
      </w:r>
      <w:r>
        <w:rPr>
          <w:spacing w:val="-3"/>
        </w:rPr>
        <w:t xml:space="preserve"> </w:t>
      </w:r>
      <w:r>
        <w:t>focus</w:t>
      </w:r>
      <w:r>
        <w:rPr>
          <w:spacing w:val="-3"/>
        </w:rPr>
        <w:t xml:space="preserve"> </w:t>
      </w:r>
      <w:r>
        <w:t>and the medium to large practice focus) with course work delivered by experts in the areas of practice management, legal ethics, management systems and trust accounting.</w:t>
      </w:r>
    </w:p>
    <w:p w14:paraId="6CF825A9" w14:textId="77777777" w:rsidR="00AC6F3C" w:rsidRDefault="00570E88">
      <w:pPr>
        <w:pStyle w:val="BodyText"/>
        <w:spacing w:before="172" w:line="249" w:lineRule="auto"/>
        <w:ind w:left="815" w:right="1375"/>
        <w:jc w:val="both"/>
      </w:pPr>
      <w:r>
        <w:t>A</w:t>
      </w:r>
      <w:r>
        <w:rPr>
          <w:spacing w:val="-14"/>
        </w:rPr>
        <w:t xml:space="preserve"> </w:t>
      </w:r>
      <w:r>
        <w:t>total</w:t>
      </w:r>
      <w:r>
        <w:rPr>
          <w:spacing w:val="-3"/>
        </w:rPr>
        <w:t xml:space="preserve"> </w:t>
      </w:r>
      <w:r>
        <w:t>of</w:t>
      </w:r>
      <w:r>
        <w:rPr>
          <w:spacing w:val="-3"/>
        </w:rPr>
        <w:t xml:space="preserve"> </w:t>
      </w:r>
      <w:r>
        <w:t>seven</w:t>
      </w:r>
      <w:r>
        <w:rPr>
          <w:spacing w:val="-3"/>
        </w:rPr>
        <w:t xml:space="preserve"> </w:t>
      </w:r>
      <w:r>
        <w:t>PMCs</w:t>
      </w:r>
      <w:r>
        <w:rPr>
          <w:spacing w:val="-3"/>
        </w:rPr>
        <w:t xml:space="preserve"> </w:t>
      </w:r>
      <w:r>
        <w:t>were</w:t>
      </w:r>
      <w:r>
        <w:rPr>
          <w:spacing w:val="-3"/>
        </w:rPr>
        <w:t xml:space="preserve"> </w:t>
      </w:r>
      <w:r>
        <w:t>delivered</w:t>
      </w:r>
      <w:r>
        <w:rPr>
          <w:spacing w:val="-3"/>
        </w:rPr>
        <w:t xml:space="preserve"> </w:t>
      </w:r>
      <w:r>
        <w:t>in</w:t>
      </w:r>
      <w:r>
        <w:rPr>
          <w:spacing w:val="-3"/>
        </w:rPr>
        <w:t xml:space="preserve"> </w:t>
      </w:r>
      <w:r>
        <w:t>the</w:t>
      </w:r>
      <w:r>
        <w:rPr>
          <w:spacing w:val="-3"/>
        </w:rPr>
        <w:t xml:space="preserve"> </w:t>
      </w:r>
      <w:r>
        <w:t>2022-23</w:t>
      </w:r>
      <w:r>
        <w:rPr>
          <w:spacing w:val="-3"/>
        </w:rPr>
        <w:t xml:space="preserve"> </w:t>
      </w:r>
      <w:r>
        <w:t>financial</w:t>
      </w:r>
      <w:r>
        <w:rPr>
          <w:spacing w:val="-3"/>
        </w:rPr>
        <w:t xml:space="preserve"> </w:t>
      </w:r>
      <w:r>
        <w:t>year,</w:t>
      </w:r>
      <w:r>
        <w:rPr>
          <w:spacing w:val="-3"/>
        </w:rPr>
        <w:t xml:space="preserve"> </w:t>
      </w:r>
      <w:r>
        <w:t>with</w:t>
      </w:r>
      <w:r>
        <w:rPr>
          <w:spacing w:val="-3"/>
        </w:rPr>
        <w:t xml:space="preserve"> </w:t>
      </w:r>
      <w:r>
        <w:t>a</w:t>
      </w:r>
      <w:r>
        <w:rPr>
          <w:spacing w:val="-3"/>
        </w:rPr>
        <w:t xml:space="preserve"> </w:t>
      </w:r>
      <w:r>
        <w:t>combined</w:t>
      </w:r>
      <w:r>
        <w:rPr>
          <w:spacing w:val="-3"/>
        </w:rPr>
        <w:t xml:space="preserve"> </w:t>
      </w:r>
      <w:r>
        <w:t>total</w:t>
      </w:r>
      <w:r>
        <w:rPr>
          <w:spacing w:val="-3"/>
        </w:rPr>
        <w:t xml:space="preserve"> </w:t>
      </w:r>
      <w:r>
        <w:t>of 139 graduates.</w:t>
      </w:r>
      <w:r>
        <w:rPr>
          <w:spacing w:val="-4"/>
        </w:rPr>
        <w:t xml:space="preserve"> </w:t>
      </w:r>
      <w:r>
        <w:t>This comprised 105 sole to small course graduates and 34 medium to large course graduates.</w:t>
      </w:r>
    </w:p>
    <w:p w14:paraId="06C9A5CE" w14:textId="77777777" w:rsidR="00AC6F3C" w:rsidRDefault="00AC6F3C">
      <w:pPr>
        <w:pStyle w:val="BodyText"/>
        <w:spacing w:before="10"/>
        <w:rPr>
          <w:sz w:val="22"/>
        </w:rPr>
      </w:pPr>
    </w:p>
    <w:p w14:paraId="00EA8869" w14:textId="77777777" w:rsidR="00AC6F3C" w:rsidRDefault="00570E88">
      <w:pPr>
        <w:pStyle w:val="Heading9"/>
      </w:pPr>
      <w:r>
        <w:t>Practice</w:t>
      </w:r>
      <w:r>
        <w:rPr>
          <w:spacing w:val="-7"/>
        </w:rPr>
        <w:t xml:space="preserve"> </w:t>
      </w:r>
      <w:r>
        <w:t>Management</w:t>
      </w:r>
      <w:r>
        <w:rPr>
          <w:spacing w:val="-7"/>
        </w:rPr>
        <w:t xml:space="preserve"> </w:t>
      </w:r>
      <w:r>
        <w:t>Committee</w:t>
      </w:r>
      <w:r>
        <w:rPr>
          <w:spacing w:val="-6"/>
        </w:rPr>
        <w:t xml:space="preserve"> </w:t>
      </w:r>
      <w:r>
        <w:t>2022-</w:t>
      </w:r>
      <w:r>
        <w:rPr>
          <w:spacing w:val="-5"/>
        </w:rPr>
        <w:t>23</w:t>
      </w:r>
    </w:p>
    <w:p w14:paraId="407FDCF1" w14:textId="77777777" w:rsidR="00AC6F3C" w:rsidRDefault="00570E88">
      <w:pPr>
        <w:pStyle w:val="ListParagraph"/>
        <w:numPr>
          <w:ilvl w:val="0"/>
          <w:numId w:val="46"/>
        </w:numPr>
        <w:tabs>
          <w:tab w:val="left" w:pos="1155"/>
        </w:tabs>
        <w:spacing w:before="176"/>
        <w:ind w:hanging="340"/>
        <w:rPr>
          <w:sz w:val="20"/>
        </w:rPr>
      </w:pPr>
      <w:proofErr w:type="spellStart"/>
      <w:r>
        <w:rPr>
          <w:sz w:val="20"/>
        </w:rPr>
        <w:t>Mr</w:t>
      </w:r>
      <w:proofErr w:type="spellEnd"/>
      <w:r>
        <w:rPr>
          <w:spacing w:val="-2"/>
          <w:sz w:val="20"/>
        </w:rPr>
        <w:t xml:space="preserve"> </w:t>
      </w:r>
      <w:r>
        <w:rPr>
          <w:sz w:val="20"/>
        </w:rPr>
        <w:t>Gregory</w:t>
      </w:r>
      <w:r>
        <w:rPr>
          <w:spacing w:val="-2"/>
          <w:sz w:val="20"/>
        </w:rPr>
        <w:t xml:space="preserve"> </w:t>
      </w:r>
      <w:proofErr w:type="spellStart"/>
      <w:r>
        <w:rPr>
          <w:sz w:val="20"/>
        </w:rPr>
        <w:t>Spinda</w:t>
      </w:r>
      <w:proofErr w:type="spellEnd"/>
      <w:r>
        <w:rPr>
          <w:spacing w:val="-1"/>
          <w:sz w:val="20"/>
        </w:rPr>
        <w:t xml:space="preserve"> </w:t>
      </w:r>
      <w:r>
        <w:rPr>
          <w:spacing w:val="-2"/>
          <w:sz w:val="20"/>
        </w:rPr>
        <w:t>(Chair)</w:t>
      </w:r>
    </w:p>
    <w:p w14:paraId="044BD742" w14:textId="77777777" w:rsidR="00AC6F3C" w:rsidRDefault="00570E88">
      <w:pPr>
        <w:pStyle w:val="ListParagraph"/>
        <w:numPr>
          <w:ilvl w:val="0"/>
          <w:numId w:val="46"/>
        </w:numPr>
        <w:tabs>
          <w:tab w:val="left" w:pos="1155"/>
        </w:tabs>
        <w:ind w:hanging="340"/>
        <w:rPr>
          <w:sz w:val="20"/>
        </w:rPr>
      </w:pPr>
      <w:r>
        <w:rPr>
          <w:sz w:val="20"/>
        </w:rPr>
        <w:t>Natasha</w:t>
      </w:r>
      <w:r>
        <w:rPr>
          <w:spacing w:val="-3"/>
          <w:sz w:val="20"/>
        </w:rPr>
        <w:t xml:space="preserve"> </w:t>
      </w:r>
      <w:r>
        <w:rPr>
          <w:sz w:val="20"/>
        </w:rPr>
        <w:t>Hood</w:t>
      </w:r>
      <w:r>
        <w:rPr>
          <w:spacing w:val="-3"/>
          <w:sz w:val="20"/>
        </w:rPr>
        <w:t xml:space="preserve"> </w:t>
      </w:r>
      <w:r>
        <w:rPr>
          <w:sz w:val="20"/>
        </w:rPr>
        <w:t>(Deputy</w:t>
      </w:r>
      <w:r>
        <w:rPr>
          <w:spacing w:val="-3"/>
          <w:sz w:val="20"/>
        </w:rPr>
        <w:t xml:space="preserve"> </w:t>
      </w:r>
      <w:r>
        <w:rPr>
          <w:spacing w:val="-2"/>
          <w:sz w:val="20"/>
        </w:rPr>
        <w:t>Chair)</w:t>
      </w:r>
    </w:p>
    <w:p w14:paraId="6C8DA56A" w14:textId="77777777" w:rsidR="00AC6F3C" w:rsidRDefault="00570E88">
      <w:pPr>
        <w:pStyle w:val="ListParagraph"/>
        <w:numPr>
          <w:ilvl w:val="0"/>
          <w:numId w:val="46"/>
        </w:numPr>
        <w:tabs>
          <w:tab w:val="left" w:pos="1155"/>
        </w:tabs>
        <w:ind w:hanging="340"/>
        <w:rPr>
          <w:sz w:val="20"/>
        </w:rPr>
      </w:pPr>
      <w:proofErr w:type="spellStart"/>
      <w:r>
        <w:rPr>
          <w:sz w:val="20"/>
        </w:rPr>
        <w:t>Midja</w:t>
      </w:r>
      <w:proofErr w:type="spellEnd"/>
      <w:r>
        <w:rPr>
          <w:spacing w:val="-6"/>
          <w:sz w:val="20"/>
        </w:rPr>
        <w:t xml:space="preserve"> </w:t>
      </w:r>
      <w:r>
        <w:rPr>
          <w:spacing w:val="-2"/>
          <w:sz w:val="20"/>
        </w:rPr>
        <w:t>Fisher</w:t>
      </w:r>
    </w:p>
    <w:p w14:paraId="110FB451" w14:textId="77777777" w:rsidR="00AC6F3C" w:rsidRDefault="00570E88">
      <w:pPr>
        <w:pStyle w:val="ListParagraph"/>
        <w:numPr>
          <w:ilvl w:val="0"/>
          <w:numId w:val="46"/>
        </w:numPr>
        <w:tabs>
          <w:tab w:val="left" w:pos="1155"/>
        </w:tabs>
        <w:ind w:hanging="340"/>
        <w:rPr>
          <w:sz w:val="20"/>
        </w:rPr>
      </w:pPr>
      <w:proofErr w:type="spellStart"/>
      <w:r>
        <w:rPr>
          <w:sz w:val="20"/>
        </w:rPr>
        <w:t>Ms</w:t>
      </w:r>
      <w:proofErr w:type="spellEnd"/>
      <w:r>
        <w:rPr>
          <w:spacing w:val="-2"/>
          <w:sz w:val="20"/>
        </w:rPr>
        <w:t xml:space="preserve"> </w:t>
      </w:r>
      <w:r>
        <w:rPr>
          <w:sz w:val="20"/>
        </w:rPr>
        <w:t>Karen</w:t>
      </w:r>
      <w:r>
        <w:rPr>
          <w:spacing w:val="-2"/>
          <w:sz w:val="20"/>
        </w:rPr>
        <w:t xml:space="preserve"> Short</w:t>
      </w:r>
    </w:p>
    <w:p w14:paraId="228554FB" w14:textId="77777777" w:rsidR="00AC6F3C" w:rsidRDefault="00570E88">
      <w:pPr>
        <w:pStyle w:val="ListParagraph"/>
        <w:numPr>
          <w:ilvl w:val="0"/>
          <w:numId w:val="46"/>
        </w:numPr>
        <w:tabs>
          <w:tab w:val="left" w:pos="1155"/>
        </w:tabs>
        <w:ind w:hanging="340"/>
        <w:rPr>
          <w:sz w:val="20"/>
        </w:rPr>
      </w:pPr>
      <w:r>
        <w:rPr>
          <w:sz w:val="20"/>
        </w:rPr>
        <w:t>Dr</w:t>
      </w:r>
      <w:r>
        <w:rPr>
          <w:spacing w:val="-4"/>
          <w:sz w:val="20"/>
        </w:rPr>
        <w:t xml:space="preserve"> </w:t>
      </w:r>
      <w:r>
        <w:rPr>
          <w:sz w:val="20"/>
        </w:rPr>
        <w:t>Caroline</w:t>
      </w:r>
      <w:r>
        <w:rPr>
          <w:spacing w:val="-3"/>
          <w:sz w:val="20"/>
        </w:rPr>
        <w:t xml:space="preserve"> </w:t>
      </w:r>
      <w:r>
        <w:rPr>
          <w:spacing w:val="-4"/>
          <w:sz w:val="20"/>
        </w:rPr>
        <w:t>Hart</w:t>
      </w:r>
    </w:p>
    <w:p w14:paraId="7019D495" w14:textId="77777777" w:rsidR="00AC6F3C" w:rsidRDefault="00570E88">
      <w:pPr>
        <w:pStyle w:val="ListParagraph"/>
        <w:numPr>
          <w:ilvl w:val="0"/>
          <w:numId w:val="46"/>
        </w:numPr>
        <w:tabs>
          <w:tab w:val="left" w:pos="1155"/>
        </w:tabs>
        <w:ind w:hanging="340"/>
        <w:rPr>
          <w:sz w:val="20"/>
        </w:rPr>
      </w:pPr>
      <w:r>
        <w:rPr>
          <w:sz w:val="20"/>
        </w:rPr>
        <w:t>Samantha</w:t>
      </w:r>
      <w:r>
        <w:rPr>
          <w:spacing w:val="-7"/>
          <w:sz w:val="20"/>
        </w:rPr>
        <w:t xml:space="preserve"> </w:t>
      </w:r>
      <w:r>
        <w:rPr>
          <w:spacing w:val="-2"/>
          <w:sz w:val="20"/>
        </w:rPr>
        <w:t>Bolton</w:t>
      </w:r>
    </w:p>
    <w:p w14:paraId="29FD4933" w14:textId="77777777" w:rsidR="00AC6F3C" w:rsidRDefault="00570E88">
      <w:pPr>
        <w:pStyle w:val="ListParagraph"/>
        <w:numPr>
          <w:ilvl w:val="0"/>
          <w:numId w:val="46"/>
        </w:numPr>
        <w:tabs>
          <w:tab w:val="left" w:pos="1155"/>
        </w:tabs>
        <w:ind w:hanging="340"/>
        <w:rPr>
          <w:sz w:val="20"/>
        </w:rPr>
      </w:pPr>
      <w:r>
        <w:rPr>
          <w:sz w:val="20"/>
        </w:rPr>
        <w:t>Fiona</w:t>
      </w:r>
      <w:r>
        <w:rPr>
          <w:spacing w:val="-8"/>
          <w:sz w:val="20"/>
        </w:rPr>
        <w:t xml:space="preserve"> </w:t>
      </w:r>
      <w:proofErr w:type="spellStart"/>
      <w:r>
        <w:rPr>
          <w:spacing w:val="-2"/>
          <w:sz w:val="20"/>
        </w:rPr>
        <w:t>Yeang</w:t>
      </w:r>
      <w:proofErr w:type="spellEnd"/>
    </w:p>
    <w:p w14:paraId="74EDE0BF" w14:textId="77777777" w:rsidR="00AC6F3C" w:rsidRDefault="00570E88">
      <w:pPr>
        <w:pStyle w:val="ListParagraph"/>
        <w:numPr>
          <w:ilvl w:val="0"/>
          <w:numId w:val="46"/>
        </w:numPr>
        <w:tabs>
          <w:tab w:val="left" w:pos="1155"/>
        </w:tabs>
        <w:ind w:hanging="340"/>
        <w:rPr>
          <w:sz w:val="20"/>
        </w:rPr>
      </w:pPr>
      <w:r>
        <w:rPr>
          <w:sz w:val="20"/>
        </w:rPr>
        <w:t>Jenni</w:t>
      </w:r>
      <w:r>
        <w:rPr>
          <w:spacing w:val="-4"/>
          <w:sz w:val="20"/>
        </w:rPr>
        <w:t xml:space="preserve"> </w:t>
      </w:r>
      <w:r>
        <w:rPr>
          <w:spacing w:val="-2"/>
          <w:sz w:val="20"/>
        </w:rPr>
        <w:t>Spencer</w:t>
      </w:r>
    </w:p>
    <w:p w14:paraId="64D3FA91" w14:textId="77777777" w:rsidR="00AC6F3C" w:rsidRDefault="00570E88">
      <w:pPr>
        <w:pStyle w:val="ListParagraph"/>
        <w:numPr>
          <w:ilvl w:val="0"/>
          <w:numId w:val="46"/>
        </w:numPr>
        <w:tabs>
          <w:tab w:val="left" w:pos="1155"/>
        </w:tabs>
        <w:ind w:hanging="340"/>
        <w:rPr>
          <w:sz w:val="20"/>
        </w:rPr>
      </w:pPr>
      <w:r>
        <w:rPr>
          <w:sz w:val="20"/>
        </w:rPr>
        <w:t>Sarah-Jane</w:t>
      </w:r>
      <w:r>
        <w:rPr>
          <w:spacing w:val="-9"/>
          <w:sz w:val="20"/>
        </w:rPr>
        <w:t xml:space="preserve"> </w:t>
      </w:r>
      <w:r>
        <w:rPr>
          <w:spacing w:val="-2"/>
          <w:sz w:val="20"/>
        </w:rPr>
        <w:t>MacDonald</w:t>
      </w:r>
    </w:p>
    <w:p w14:paraId="33407E31" w14:textId="77777777" w:rsidR="00AC6F3C" w:rsidRDefault="00AC6F3C">
      <w:pPr>
        <w:pStyle w:val="BodyText"/>
        <w:rPr>
          <w:sz w:val="22"/>
        </w:rPr>
      </w:pPr>
    </w:p>
    <w:p w14:paraId="4C35FEC2" w14:textId="77777777" w:rsidR="00AC6F3C" w:rsidRDefault="00570E88">
      <w:pPr>
        <w:pStyle w:val="Heading3"/>
        <w:spacing w:before="130"/>
        <w:jc w:val="both"/>
      </w:pPr>
      <w:r>
        <w:t>Specialist</w:t>
      </w:r>
      <w:r>
        <w:rPr>
          <w:spacing w:val="-12"/>
        </w:rPr>
        <w:t xml:space="preserve"> </w:t>
      </w:r>
      <w:r>
        <w:rPr>
          <w:spacing w:val="-2"/>
        </w:rPr>
        <w:t>Accreditation</w:t>
      </w:r>
    </w:p>
    <w:p w14:paraId="4E7B33F7" w14:textId="77777777" w:rsidR="00AC6F3C" w:rsidRDefault="00570E88">
      <w:pPr>
        <w:pStyle w:val="BodyText"/>
        <w:spacing w:before="154" w:line="249" w:lineRule="auto"/>
        <w:ind w:left="815" w:right="468"/>
      </w:pPr>
      <w:r>
        <w:t>The</w:t>
      </w:r>
      <w:r>
        <w:rPr>
          <w:spacing w:val="-3"/>
        </w:rPr>
        <w:t xml:space="preserve"> </w:t>
      </w:r>
      <w:r>
        <w:t>Specialist</w:t>
      </w:r>
      <w:r>
        <w:rPr>
          <w:spacing w:val="-14"/>
        </w:rPr>
        <w:t xml:space="preserve"> </w:t>
      </w:r>
      <w:r>
        <w:t>Accreditation</w:t>
      </w:r>
      <w:r>
        <w:rPr>
          <w:spacing w:val="-3"/>
        </w:rPr>
        <w:t xml:space="preserve"> </w:t>
      </w:r>
      <w:r>
        <w:t>Scheme</w:t>
      </w:r>
      <w:r>
        <w:rPr>
          <w:spacing w:val="-3"/>
        </w:rPr>
        <w:t xml:space="preserve"> </w:t>
      </w:r>
      <w:r>
        <w:t>is</w:t>
      </w:r>
      <w:r>
        <w:rPr>
          <w:spacing w:val="-3"/>
        </w:rPr>
        <w:t xml:space="preserve"> </w:t>
      </w:r>
      <w:r>
        <w:t>part</w:t>
      </w:r>
      <w:r>
        <w:rPr>
          <w:spacing w:val="-3"/>
        </w:rPr>
        <w:t xml:space="preserve"> </w:t>
      </w:r>
      <w:r>
        <w:t>of</w:t>
      </w:r>
      <w:r>
        <w:rPr>
          <w:spacing w:val="-3"/>
        </w:rPr>
        <w:t xml:space="preserve"> </w:t>
      </w:r>
      <w:r>
        <w:t>a</w:t>
      </w:r>
      <w:r>
        <w:rPr>
          <w:spacing w:val="-3"/>
        </w:rPr>
        <w:t xml:space="preserve"> </w:t>
      </w:r>
      <w:r>
        <w:t>national</w:t>
      </w:r>
      <w:r>
        <w:rPr>
          <w:spacing w:val="-3"/>
        </w:rPr>
        <w:t xml:space="preserve"> </w:t>
      </w:r>
      <w:r>
        <w:t>framework</w:t>
      </w:r>
      <w:r>
        <w:rPr>
          <w:spacing w:val="-3"/>
        </w:rPr>
        <w:t xml:space="preserve"> </w:t>
      </w:r>
      <w:r>
        <w:t>of</w:t>
      </w:r>
      <w:r>
        <w:rPr>
          <w:spacing w:val="-3"/>
        </w:rPr>
        <w:t xml:space="preserve"> </w:t>
      </w:r>
      <w:r>
        <w:t>peer-reviewed</w:t>
      </w:r>
      <w:r>
        <w:rPr>
          <w:spacing w:val="-3"/>
        </w:rPr>
        <w:t xml:space="preserve"> </w:t>
      </w:r>
      <w:r>
        <w:t>and</w:t>
      </w:r>
      <w:r>
        <w:rPr>
          <w:spacing w:val="-3"/>
        </w:rPr>
        <w:t xml:space="preserve"> </w:t>
      </w:r>
      <w:r>
        <w:t>practically- based competency accreditation programs for solicitors in Queensland.</w:t>
      </w:r>
    </w:p>
    <w:p w14:paraId="67855C40" w14:textId="77777777" w:rsidR="00AC6F3C" w:rsidRDefault="00570E88">
      <w:pPr>
        <w:pStyle w:val="BodyText"/>
        <w:spacing w:before="172" w:line="249" w:lineRule="auto"/>
        <w:ind w:left="815" w:right="234"/>
      </w:pPr>
      <w:r>
        <w:t>The stringent requirements of our Specialist</w:t>
      </w:r>
      <w:r>
        <w:rPr>
          <w:spacing w:val="-3"/>
        </w:rPr>
        <w:t xml:space="preserve"> </w:t>
      </w:r>
      <w:r>
        <w:t>Accreditation programs ensures that the accreditation is meaningful</w:t>
      </w:r>
      <w:r>
        <w:rPr>
          <w:spacing w:val="-3"/>
        </w:rPr>
        <w:t xml:space="preserve"> </w:t>
      </w:r>
      <w:r>
        <w:t>and</w:t>
      </w:r>
      <w:r>
        <w:rPr>
          <w:spacing w:val="-3"/>
        </w:rPr>
        <w:t xml:space="preserve"> </w:t>
      </w:r>
      <w:r>
        <w:t>a</w:t>
      </w:r>
      <w:r>
        <w:rPr>
          <w:spacing w:val="-3"/>
        </w:rPr>
        <w:t xml:space="preserve"> </w:t>
      </w:r>
      <w:r>
        <w:t>reliable</w:t>
      </w:r>
      <w:r>
        <w:rPr>
          <w:spacing w:val="-3"/>
        </w:rPr>
        <w:t xml:space="preserve"> </w:t>
      </w:r>
      <w:r>
        <w:t>marker</w:t>
      </w:r>
      <w:r>
        <w:rPr>
          <w:spacing w:val="-3"/>
        </w:rPr>
        <w:t xml:space="preserve"> </w:t>
      </w:r>
      <w:r>
        <w:t>of</w:t>
      </w:r>
      <w:r>
        <w:rPr>
          <w:spacing w:val="-3"/>
        </w:rPr>
        <w:t xml:space="preserve"> </w:t>
      </w:r>
      <w:r>
        <w:t>expertise.</w:t>
      </w:r>
      <w:r>
        <w:rPr>
          <w:spacing w:val="-7"/>
        </w:rPr>
        <w:t xml:space="preserve"> </w:t>
      </w:r>
      <w:r>
        <w:t>The</w:t>
      </w:r>
      <w:r>
        <w:rPr>
          <w:spacing w:val="-3"/>
        </w:rPr>
        <w:t xml:space="preserve"> </w:t>
      </w:r>
      <w:r>
        <w:t>title</w:t>
      </w:r>
      <w:r>
        <w:rPr>
          <w:spacing w:val="-3"/>
        </w:rPr>
        <w:t xml:space="preserve"> </w:t>
      </w:r>
      <w:r>
        <w:t>of</w:t>
      </w:r>
      <w:r>
        <w:rPr>
          <w:spacing w:val="-14"/>
        </w:rPr>
        <w:t xml:space="preserve"> </w:t>
      </w:r>
      <w:r>
        <w:t>Accredited</w:t>
      </w:r>
      <w:r>
        <w:rPr>
          <w:spacing w:val="-3"/>
        </w:rPr>
        <w:t xml:space="preserve"> </w:t>
      </w:r>
      <w:r>
        <w:t>Specialist</w:t>
      </w:r>
      <w:r>
        <w:rPr>
          <w:spacing w:val="-3"/>
        </w:rPr>
        <w:t xml:space="preserve"> </w:t>
      </w:r>
      <w:r>
        <w:t>remains</w:t>
      </w:r>
      <w:r>
        <w:rPr>
          <w:spacing w:val="-3"/>
        </w:rPr>
        <w:t xml:space="preserve"> </w:t>
      </w:r>
      <w:r>
        <w:t>the</w:t>
      </w:r>
      <w:r>
        <w:rPr>
          <w:spacing w:val="-3"/>
        </w:rPr>
        <w:t xml:space="preserve"> </w:t>
      </w:r>
      <w:r>
        <w:t>benchmark for excellence in the individual areas of accreditation.</w:t>
      </w:r>
    </w:p>
    <w:p w14:paraId="0230F512" w14:textId="77777777" w:rsidR="00AC6F3C" w:rsidRDefault="00AC6F3C">
      <w:pPr>
        <w:pStyle w:val="BodyText"/>
        <w:spacing w:before="10"/>
        <w:rPr>
          <w:sz w:val="22"/>
        </w:rPr>
      </w:pPr>
    </w:p>
    <w:p w14:paraId="2B3663A5" w14:textId="77777777" w:rsidR="00AC6F3C" w:rsidRDefault="00570E88">
      <w:pPr>
        <w:pStyle w:val="Heading9"/>
      </w:pPr>
      <w:r>
        <w:t>Specialist</w:t>
      </w:r>
      <w:r>
        <w:rPr>
          <w:spacing w:val="-11"/>
        </w:rPr>
        <w:t xml:space="preserve"> </w:t>
      </w:r>
      <w:r>
        <w:t>Accreditation</w:t>
      </w:r>
      <w:r>
        <w:rPr>
          <w:spacing w:val="-2"/>
        </w:rPr>
        <w:t xml:space="preserve"> </w:t>
      </w:r>
      <w:r>
        <w:t>Board</w:t>
      </w:r>
      <w:r>
        <w:rPr>
          <w:spacing w:val="-1"/>
        </w:rPr>
        <w:t xml:space="preserve"> </w:t>
      </w:r>
      <w:r>
        <w:t>2022-</w:t>
      </w:r>
      <w:r>
        <w:rPr>
          <w:spacing w:val="-5"/>
        </w:rPr>
        <w:t>23</w:t>
      </w:r>
    </w:p>
    <w:p w14:paraId="60997BF2" w14:textId="77777777" w:rsidR="00AC6F3C" w:rsidRDefault="00570E88">
      <w:pPr>
        <w:pStyle w:val="ListParagraph"/>
        <w:numPr>
          <w:ilvl w:val="0"/>
          <w:numId w:val="46"/>
        </w:numPr>
        <w:tabs>
          <w:tab w:val="left" w:pos="1155"/>
        </w:tabs>
        <w:spacing w:before="176"/>
        <w:ind w:hanging="340"/>
        <w:rPr>
          <w:sz w:val="20"/>
        </w:rPr>
      </w:pPr>
      <w:r>
        <w:rPr>
          <w:sz w:val="20"/>
        </w:rPr>
        <w:t xml:space="preserve">Peter Jolly </w:t>
      </w:r>
      <w:r>
        <w:rPr>
          <w:spacing w:val="-2"/>
          <w:sz w:val="20"/>
        </w:rPr>
        <w:t>(Chair)</w:t>
      </w:r>
    </w:p>
    <w:p w14:paraId="7B34DCEF" w14:textId="77777777" w:rsidR="00AC6F3C" w:rsidRDefault="00570E88">
      <w:pPr>
        <w:pStyle w:val="ListParagraph"/>
        <w:numPr>
          <w:ilvl w:val="0"/>
          <w:numId w:val="46"/>
        </w:numPr>
        <w:tabs>
          <w:tab w:val="left" w:pos="1155"/>
        </w:tabs>
        <w:ind w:hanging="340"/>
        <w:rPr>
          <w:sz w:val="20"/>
        </w:rPr>
      </w:pPr>
      <w:r>
        <w:rPr>
          <w:sz w:val="20"/>
        </w:rPr>
        <w:t>Kathy</w:t>
      </w:r>
      <w:r>
        <w:rPr>
          <w:spacing w:val="-11"/>
          <w:sz w:val="20"/>
        </w:rPr>
        <w:t xml:space="preserve"> </w:t>
      </w:r>
      <w:r>
        <w:rPr>
          <w:sz w:val="20"/>
        </w:rPr>
        <w:t xml:space="preserve">Atkins ( Deputy </w:t>
      </w:r>
      <w:r>
        <w:rPr>
          <w:spacing w:val="-2"/>
          <w:sz w:val="20"/>
        </w:rPr>
        <w:t>Chair)</w:t>
      </w:r>
    </w:p>
    <w:p w14:paraId="360CBDDA" w14:textId="77777777" w:rsidR="00AC6F3C" w:rsidRDefault="00570E88">
      <w:pPr>
        <w:pStyle w:val="ListParagraph"/>
        <w:numPr>
          <w:ilvl w:val="0"/>
          <w:numId w:val="46"/>
        </w:numPr>
        <w:tabs>
          <w:tab w:val="left" w:pos="1155"/>
        </w:tabs>
        <w:ind w:hanging="340"/>
        <w:rPr>
          <w:sz w:val="20"/>
        </w:rPr>
      </w:pPr>
      <w:r>
        <w:rPr>
          <w:sz w:val="20"/>
        </w:rPr>
        <w:t>Allison</w:t>
      </w:r>
      <w:r>
        <w:rPr>
          <w:spacing w:val="-5"/>
          <w:sz w:val="20"/>
        </w:rPr>
        <w:t xml:space="preserve"> </w:t>
      </w:r>
      <w:r>
        <w:rPr>
          <w:sz w:val="20"/>
        </w:rPr>
        <w:t>Caputo,</w:t>
      </w:r>
      <w:r>
        <w:rPr>
          <w:spacing w:val="-5"/>
          <w:sz w:val="20"/>
        </w:rPr>
        <w:t xml:space="preserve"> </w:t>
      </w:r>
      <w:r>
        <w:rPr>
          <w:sz w:val="20"/>
        </w:rPr>
        <w:t>Council</w:t>
      </w:r>
      <w:r>
        <w:rPr>
          <w:spacing w:val="-5"/>
          <w:sz w:val="20"/>
        </w:rPr>
        <w:t xml:space="preserve"> </w:t>
      </w:r>
      <w:r>
        <w:rPr>
          <w:sz w:val="20"/>
        </w:rPr>
        <w:t>representative</w:t>
      </w:r>
      <w:r>
        <w:rPr>
          <w:spacing w:val="-5"/>
          <w:sz w:val="20"/>
        </w:rPr>
        <w:t xml:space="preserve"> </w:t>
      </w:r>
      <w:r>
        <w:rPr>
          <w:sz w:val="20"/>
        </w:rPr>
        <w:t>(resigned</w:t>
      </w:r>
      <w:r>
        <w:rPr>
          <w:spacing w:val="-5"/>
          <w:sz w:val="20"/>
        </w:rPr>
        <w:t xml:space="preserve"> </w:t>
      </w:r>
      <w:r>
        <w:rPr>
          <w:sz w:val="20"/>
        </w:rPr>
        <w:t>in</w:t>
      </w:r>
      <w:r>
        <w:rPr>
          <w:spacing w:val="-5"/>
          <w:sz w:val="20"/>
        </w:rPr>
        <w:t xml:space="preserve"> </w:t>
      </w:r>
      <w:r>
        <w:rPr>
          <w:sz w:val="20"/>
        </w:rPr>
        <w:t>January</w:t>
      </w:r>
      <w:r>
        <w:rPr>
          <w:spacing w:val="-4"/>
          <w:sz w:val="20"/>
        </w:rPr>
        <w:t xml:space="preserve"> </w:t>
      </w:r>
      <w:r>
        <w:rPr>
          <w:spacing w:val="-2"/>
          <w:sz w:val="20"/>
        </w:rPr>
        <w:t>2023)</w:t>
      </w:r>
    </w:p>
    <w:p w14:paraId="21DC25F2" w14:textId="77777777" w:rsidR="00AC6F3C" w:rsidRDefault="00570E88">
      <w:pPr>
        <w:pStyle w:val="ListParagraph"/>
        <w:numPr>
          <w:ilvl w:val="0"/>
          <w:numId w:val="46"/>
        </w:numPr>
        <w:tabs>
          <w:tab w:val="left" w:pos="1155"/>
        </w:tabs>
        <w:ind w:hanging="340"/>
        <w:rPr>
          <w:sz w:val="20"/>
        </w:rPr>
      </w:pPr>
      <w:r>
        <w:rPr>
          <w:sz w:val="20"/>
        </w:rPr>
        <w:t>Glen</w:t>
      </w:r>
      <w:r>
        <w:rPr>
          <w:spacing w:val="-6"/>
          <w:sz w:val="20"/>
        </w:rPr>
        <w:t xml:space="preserve"> </w:t>
      </w:r>
      <w:r>
        <w:rPr>
          <w:sz w:val="20"/>
        </w:rPr>
        <w:t>Cranny,</w:t>
      </w:r>
      <w:r>
        <w:rPr>
          <w:spacing w:val="-6"/>
          <w:sz w:val="20"/>
        </w:rPr>
        <w:t xml:space="preserve"> </w:t>
      </w:r>
      <w:r>
        <w:rPr>
          <w:sz w:val="20"/>
        </w:rPr>
        <w:t>Ordinary</w:t>
      </w:r>
      <w:r>
        <w:rPr>
          <w:spacing w:val="-6"/>
          <w:sz w:val="20"/>
        </w:rPr>
        <w:t xml:space="preserve"> </w:t>
      </w:r>
      <w:r>
        <w:rPr>
          <w:spacing w:val="-2"/>
          <w:sz w:val="20"/>
        </w:rPr>
        <w:t>Member</w:t>
      </w:r>
    </w:p>
    <w:p w14:paraId="15A86EE9" w14:textId="77777777" w:rsidR="00AC6F3C" w:rsidRDefault="00570E88">
      <w:pPr>
        <w:pStyle w:val="ListParagraph"/>
        <w:numPr>
          <w:ilvl w:val="0"/>
          <w:numId w:val="46"/>
        </w:numPr>
        <w:tabs>
          <w:tab w:val="left" w:pos="1155"/>
        </w:tabs>
        <w:ind w:hanging="340"/>
        <w:rPr>
          <w:sz w:val="20"/>
        </w:rPr>
      </w:pPr>
      <w:r>
        <w:rPr>
          <w:sz w:val="20"/>
        </w:rPr>
        <w:t>Neil</w:t>
      </w:r>
      <w:r>
        <w:rPr>
          <w:spacing w:val="-1"/>
          <w:sz w:val="20"/>
        </w:rPr>
        <w:t xml:space="preserve"> </w:t>
      </w:r>
      <w:r>
        <w:rPr>
          <w:sz w:val="20"/>
        </w:rPr>
        <w:t>Henderson,</w:t>
      </w:r>
      <w:r>
        <w:rPr>
          <w:spacing w:val="-1"/>
          <w:sz w:val="20"/>
        </w:rPr>
        <w:t xml:space="preserve"> </w:t>
      </w:r>
      <w:r>
        <w:rPr>
          <w:sz w:val="20"/>
        </w:rPr>
        <w:t>Ordinary</w:t>
      </w:r>
      <w:r>
        <w:rPr>
          <w:spacing w:val="-1"/>
          <w:sz w:val="20"/>
        </w:rPr>
        <w:t xml:space="preserve"> </w:t>
      </w:r>
      <w:r>
        <w:rPr>
          <w:spacing w:val="-2"/>
          <w:sz w:val="20"/>
        </w:rPr>
        <w:t>Member</w:t>
      </w:r>
    </w:p>
    <w:p w14:paraId="79B3AABF" w14:textId="77777777" w:rsidR="00AC6F3C" w:rsidRDefault="00570E88">
      <w:pPr>
        <w:pStyle w:val="ListParagraph"/>
        <w:numPr>
          <w:ilvl w:val="0"/>
          <w:numId w:val="46"/>
        </w:numPr>
        <w:tabs>
          <w:tab w:val="left" w:pos="1155"/>
        </w:tabs>
        <w:ind w:hanging="340"/>
        <w:rPr>
          <w:sz w:val="20"/>
        </w:rPr>
      </w:pPr>
      <w:r>
        <w:rPr>
          <w:sz w:val="20"/>
        </w:rPr>
        <w:t>Michael</w:t>
      </w:r>
      <w:r>
        <w:rPr>
          <w:spacing w:val="-2"/>
          <w:sz w:val="20"/>
        </w:rPr>
        <w:t xml:space="preserve"> </w:t>
      </w:r>
      <w:r>
        <w:rPr>
          <w:sz w:val="20"/>
        </w:rPr>
        <w:t>Klatt,</w:t>
      </w:r>
      <w:r>
        <w:rPr>
          <w:spacing w:val="-2"/>
          <w:sz w:val="20"/>
        </w:rPr>
        <w:t xml:space="preserve"> </w:t>
      </w:r>
      <w:r>
        <w:rPr>
          <w:sz w:val="20"/>
        </w:rPr>
        <w:t>Ordinary</w:t>
      </w:r>
      <w:r>
        <w:rPr>
          <w:spacing w:val="-2"/>
          <w:sz w:val="20"/>
        </w:rPr>
        <w:t xml:space="preserve"> Member</w:t>
      </w:r>
    </w:p>
    <w:p w14:paraId="7CAA53E0" w14:textId="77777777" w:rsidR="00AC6F3C" w:rsidRDefault="00AC6F3C">
      <w:pPr>
        <w:rPr>
          <w:sz w:val="20"/>
        </w:rPr>
        <w:sectPr w:rsidR="00AC6F3C">
          <w:headerReference w:type="default" r:id="rId142"/>
          <w:footerReference w:type="default" r:id="rId143"/>
          <w:pgSz w:w="11910" w:h="16840"/>
          <w:pgMar w:top="1140" w:right="1160" w:bottom="520" w:left="460" w:header="0" w:footer="336" w:gutter="0"/>
          <w:cols w:space="720"/>
        </w:sectPr>
      </w:pPr>
    </w:p>
    <w:p w14:paraId="2D60A732" w14:textId="77777777" w:rsidR="00AC6F3C" w:rsidRDefault="00570E88">
      <w:pPr>
        <w:pStyle w:val="ListParagraph"/>
        <w:numPr>
          <w:ilvl w:val="0"/>
          <w:numId w:val="46"/>
        </w:numPr>
        <w:tabs>
          <w:tab w:val="left" w:pos="1155"/>
        </w:tabs>
        <w:spacing w:before="76"/>
        <w:ind w:hanging="340"/>
        <w:rPr>
          <w:sz w:val="20"/>
        </w:rPr>
      </w:pPr>
      <w:r>
        <w:rPr>
          <w:sz w:val="20"/>
        </w:rPr>
        <w:lastRenderedPageBreak/>
        <w:t>Dan</w:t>
      </w:r>
      <w:r>
        <w:rPr>
          <w:spacing w:val="-1"/>
          <w:sz w:val="20"/>
        </w:rPr>
        <w:t xml:space="preserve"> </w:t>
      </w:r>
      <w:r>
        <w:rPr>
          <w:sz w:val="20"/>
        </w:rPr>
        <w:t>Bottrell,</w:t>
      </w:r>
      <w:r>
        <w:rPr>
          <w:spacing w:val="-1"/>
          <w:sz w:val="20"/>
        </w:rPr>
        <w:t xml:space="preserve"> </w:t>
      </w:r>
      <w:r>
        <w:rPr>
          <w:sz w:val="20"/>
        </w:rPr>
        <w:t xml:space="preserve">Ordinary </w:t>
      </w:r>
      <w:r>
        <w:rPr>
          <w:spacing w:val="-2"/>
          <w:sz w:val="20"/>
        </w:rPr>
        <w:t>Member</w:t>
      </w:r>
    </w:p>
    <w:p w14:paraId="6FFAF583" w14:textId="77777777" w:rsidR="00AC6F3C" w:rsidRDefault="00570E88">
      <w:pPr>
        <w:pStyle w:val="ListParagraph"/>
        <w:numPr>
          <w:ilvl w:val="0"/>
          <w:numId w:val="46"/>
        </w:numPr>
        <w:tabs>
          <w:tab w:val="left" w:pos="1155"/>
        </w:tabs>
        <w:ind w:hanging="340"/>
        <w:rPr>
          <w:sz w:val="20"/>
        </w:rPr>
      </w:pPr>
      <w:r>
        <w:rPr>
          <w:sz w:val="20"/>
        </w:rPr>
        <w:t>Fiona</w:t>
      </w:r>
      <w:r>
        <w:rPr>
          <w:spacing w:val="-2"/>
          <w:sz w:val="20"/>
        </w:rPr>
        <w:t xml:space="preserve"> </w:t>
      </w:r>
      <w:r>
        <w:rPr>
          <w:sz w:val="20"/>
        </w:rPr>
        <w:t>Fitzpatrick,</w:t>
      </w:r>
      <w:r>
        <w:rPr>
          <w:spacing w:val="-12"/>
          <w:sz w:val="20"/>
        </w:rPr>
        <w:t xml:space="preserve"> </w:t>
      </w:r>
      <w:r>
        <w:rPr>
          <w:sz w:val="20"/>
        </w:rPr>
        <w:t>Academic</w:t>
      </w:r>
      <w:r>
        <w:rPr>
          <w:spacing w:val="-1"/>
          <w:sz w:val="20"/>
        </w:rPr>
        <w:t xml:space="preserve"> </w:t>
      </w:r>
      <w:r>
        <w:rPr>
          <w:spacing w:val="-2"/>
          <w:sz w:val="20"/>
        </w:rPr>
        <w:t>Member</w:t>
      </w:r>
    </w:p>
    <w:p w14:paraId="09A9A651" w14:textId="77777777" w:rsidR="00AC6F3C" w:rsidRDefault="00570E88">
      <w:pPr>
        <w:pStyle w:val="ListParagraph"/>
        <w:numPr>
          <w:ilvl w:val="0"/>
          <w:numId w:val="46"/>
        </w:numPr>
        <w:tabs>
          <w:tab w:val="left" w:pos="1155"/>
        </w:tabs>
        <w:ind w:hanging="340"/>
        <w:rPr>
          <w:sz w:val="20"/>
        </w:rPr>
      </w:pPr>
      <w:r>
        <w:rPr>
          <w:sz w:val="20"/>
        </w:rPr>
        <w:t>Stephen</w:t>
      </w:r>
      <w:r>
        <w:rPr>
          <w:spacing w:val="-3"/>
          <w:sz w:val="20"/>
        </w:rPr>
        <w:t xml:space="preserve"> </w:t>
      </w:r>
      <w:r>
        <w:rPr>
          <w:sz w:val="20"/>
        </w:rPr>
        <w:t>Colbran,</w:t>
      </w:r>
      <w:r>
        <w:rPr>
          <w:spacing w:val="-12"/>
          <w:sz w:val="20"/>
        </w:rPr>
        <w:t xml:space="preserve"> </w:t>
      </w:r>
      <w:r>
        <w:rPr>
          <w:sz w:val="20"/>
        </w:rPr>
        <w:t>Academic</w:t>
      </w:r>
      <w:r>
        <w:rPr>
          <w:spacing w:val="-2"/>
          <w:sz w:val="20"/>
        </w:rPr>
        <w:t xml:space="preserve"> Member</w:t>
      </w:r>
    </w:p>
    <w:p w14:paraId="4C5E317D" w14:textId="77777777" w:rsidR="00AC6F3C" w:rsidRDefault="00570E88">
      <w:pPr>
        <w:pStyle w:val="ListParagraph"/>
        <w:numPr>
          <w:ilvl w:val="0"/>
          <w:numId w:val="46"/>
        </w:numPr>
        <w:tabs>
          <w:tab w:val="left" w:pos="1155"/>
        </w:tabs>
        <w:ind w:hanging="340"/>
        <w:rPr>
          <w:sz w:val="20"/>
        </w:rPr>
      </w:pPr>
      <w:r>
        <w:rPr>
          <w:sz w:val="20"/>
        </w:rPr>
        <w:t xml:space="preserve">Brady Cockburn, Ordinary </w:t>
      </w:r>
      <w:r>
        <w:rPr>
          <w:spacing w:val="-2"/>
          <w:sz w:val="20"/>
        </w:rPr>
        <w:t>Member</w:t>
      </w:r>
    </w:p>
    <w:p w14:paraId="549D6DDD" w14:textId="77777777" w:rsidR="00AC6F3C" w:rsidRDefault="00570E88">
      <w:pPr>
        <w:pStyle w:val="ListParagraph"/>
        <w:numPr>
          <w:ilvl w:val="0"/>
          <w:numId w:val="46"/>
        </w:numPr>
        <w:tabs>
          <w:tab w:val="left" w:pos="1155"/>
        </w:tabs>
        <w:ind w:hanging="340"/>
        <w:rPr>
          <w:sz w:val="20"/>
        </w:rPr>
      </w:pPr>
      <w:r>
        <w:rPr>
          <w:sz w:val="20"/>
        </w:rPr>
        <w:t xml:space="preserve">Nick Dore, Ordinary </w:t>
      </w:r>
      <w:r>
        <w:rPr>
          <w:spacing w:val="-2"/>
          <w:sz w:val="20"/>
        </w:rPr>
        <w:t>Member</w:t>
      </w:r>
    </w:p>
    <w:p w14:paraId="368C8EE1" w14:textId="77777777" w:rsidR="00AC6F3C" w:rsidRDefault="00570E88">
      <w:pPr>
        <w:pStyle w:val="BodyText"/>
        <w:spacing w:before="180"/>
        <w:ind w:left="815"/>
      </w:pPr>
      <w:r>
        <w:t>This</w:t>
      </w:r>
      <w:r>
        <w:rPr>
          <w:spacing w:val="-3"/>
        </w:rPr>
        <w:t xml:space="preserve"> </w:t>
      </w:r>
      <w:r>
        <w:t>year,</w:t>
      </w:r>
      <w:r>
        <w:rPr>
          <w:spacing w:val="-3"/>
        </w:rPr>
        <w:t xml:space="preserve"> </w:t>
      </w:r>
      <w:r>
        <w:t>there</w:t>
      </w:r>
      <w:r>
        <w:rPr>
          <w:spacing w:val="-2"/>
        </w:rPr>
        <w:t xml:space="preserve"> </w:t>
      </w:r>
      <w:r>
        <w:t>were</w:t>
      </w:r>
      <w:r>
        <w:rPr>
          <w:spacing w:val="-3"/>
        </w:rPr>
        <w:t xml:space="preserve"> </w:t>
      </w:r>
      <w:r>
        <w:t>ten</w:t>
      </w:r>
      <w:r>
        <w:rPr>
          <w:spacing w:val="-2"/>
        </w:rPr>
        <w:t xml:space="preserve"> </w:t>
      </w:r>
      <w:r>
        <w:t>graduates</w:t>
      </w:r>
      <w:r>
        <w:rPr>
          <w:spacing w:val="-3"/>
        </w:rPr>
        <w:t xml:space="preserve"> </w:t>
      </w:r>
      <w:r>
        <w:t>from</w:t>
      </w:r>
      <w:r>
        <w:rPr>
          <w:spacing w:val="-3"/>
        </w:rPr>
        <w:t xml:space="preserve"> </w:t>
      </w:r>
      <w:r>
        <w:t>the</w:t>
      </w:r>
      <w:r>
        <w:rPr>
          <w:spacing w:val="-2"/>
        </w:rPr>
        <w:t xml:space="preserve"> </w:t>
      </w:r>
      <w:r>
        <w:t>courses</w:t>
      </w:r>
      <w:r>
        <w:rPr>
          <w:spacing w:val="-3"/>
        </w:rPr>
        <w:t xml:space="preserve"> </w:t>
      </w:r>
      <w:r>
        <w:t>held</w:t>
      </w:r>
      <w:r>
        <w:rPr>
          <w:spacing w:val="-2"/>
        </w:rPr>
        <w:t xml:space="preserve"> </w:t>
      </w:r>
      <w:r>
        <w:t>in</w:t>
      </w:r>
      <w:r>
        <w:rPr>
          <w:spacing w:val="-3"/>
        </w:rPr>
        <w:t xml:space="preserve"> </w:t>
      </w:r>
      <w:r>
        <w:t>the</w:t>
      </w:r>
      <w:r>
        <w:rPr>
          <w:spacing w:val="-3"/>
        </w:rPr>
        <w:t xml:space="preserve"> </w:t>
      </w:r>
      <w:r>
        <w:t>following</w:t>
      </w:r>
      <w:r>
        <w:rPr>
          <w:spacing w:val="-2"/>
        </w:rPr>
        <w:t xml:space="preserve"> </w:t>
      </w:r>
      <w:r>
        <w:t>area</w:t>
      </w:r>
      <w:r>
        <w:rPr>
          <w:spacing w:val="-3"/>
        </w:rPr>
        <w:t xml:space="preserve"> </w:t>
      </w:r>
      <w:r>
        <w:t>of</w:t>
      </w:r>
      <w:r>
        <w:rPr>
          <w:spacing w:val="-2"/>
        </w:rPr>
        <w:t xml:space="preserve"> practices:</w:t>
      </w:r>
    </w:p>
    <w:p w14:paraId="49520E2D" w14:textId="77777777" w:rsidR="00AC6F3C" w:rsidRDefault="00570E88">
      <w:pPr>
        <w:pStyle w:val="ListParagraph"/>
        <w:numPr>
          <w:ilvl w:val="0"/>
          <w:numId w:val="46"/>
        </w:numPr>
        <w:tabs>
          <w:tab w:val="left" w:pos="1155"/>
        </w:tabs>
        <w:ind w:hanging="340"/>
        <w:rPr>
          <w:sz w:val="20"/>
        </w:rPr>
      </w:pPr>
      <w:r>
        <w:rPr>
          <w:sz w:val="20"/>
        </w:rPr>
        <w:t>Business</w:t>
      </w:r>
      <w:r>
        <w:rPr>
          <w:spacing w:val="-1"/>
          <w:sz w:val="20"/>
        </w:rPr>
        <w:t xml:space="preserve"> </w:t>
      </w:r>
      <w:r>
        <w:rPr>
          <w:sz w:val="20"/>
        </w:rPr>
        <w:t>law</w:t>
      </w:r>
      <w:r>
        <w:rPr>
          <w:spacing w:val="-1"/>
          <w:sz w:val="20"/>
        </w:rPr>
        <w:t xml:space="preserve"> </w:t>
      </w:r>
      <w:r>
        <w:rPr>
          <w:spacing w:val="-5"/>
          <w:sz w:val="20"/>
        </w:rPr>
        <w:t>(1)</w:t>
      </w:r>
    </w:p>
    <w:p w14:paraId="6BF6B647" w14:textId="77777777" w:rsidR="00AC6F3C" w:rsidRDefault="00570E88">
      <w:pPr>
        <w:pStyle w:val="ListParagraph"/>
        <w:numPr>
          <w:ilvl w:val="0"/>
          <w:numId w:val="46"/>
        </w:numPr>
        <w:tabs>
          <w:tab w:val="left" w:pos="1155"/>
        </w:tabs>
        <w:ind w:hanging="340"/>
        <w:rPr>
          <w:sz w:val="20"/>
        </w:rPr>
      </w:pPr>
      <w:r>
        <w:rPr>
          <w:sz w:val="20"/>
        </w:rPr>
        <w:t>Personal</w:t>
      </w:r>
      <w:r>
        <w:rPr>
          <w:spacing w:val="-3"/>
          <w:sz w:val="20"/>
        </w:rPr>
        <w:t xml:space="preserve"> </w:t>
      </w:r>
      <w:r>
        <w:rPr>
          <w:sz w:val="20"/>
        </w:rPr>
        <w:t>Injuries</w:t>
      </w:r>
      <w:r>
        <w:rPr>
          <w:spacing w:val="-3"/>
          <w:sz w:val="20"/>
        </w:rPr>
        <w:t xml:space="preserve"> </w:t>
      </w:r>
      <w:r>
        <w:rPr>
          <w:sz w:val="20"/>
        </w:rPr>
        <w:t>law</w:t>
      </w:r>
      <w:r>
        <w:rPr>
          <w:spacing w:val="-3"/>
          <w:sz w:val="20"/>
        </w:rPr>
        <w:t xml:space="preserve"> </w:t>
      </w:r>
      <w:r>
        <w:rPr>
          <w:spacing w:val="-5"/>
          <w:sz w:val="20"/>
        </w:rPr>
        <w:t>(1)</w:t>
      </w:r>
    </w:p>
    <w:p w14:paraId="72BBAB24" w14:textId="77777777" w:rsidR="00AC6F3C" w:rsidRDefault="00570E88">
      <w:pPr>
        <w:pStyle w:val="ListParagraph"/>
        <w:numPr>
          <w:ilvl w:val="0"/>
          <w:numId w:val="46"/>
        </w:numPr>
        <w:tabs>
          <w:tab w:val="left" w:pos="1155"/>
        </w:tabs>
        <w:ind w:hanging="340"/>
        <w:rPr>
          <w:sz w:val="20"/>
        </w:rPr>
      </w:pPr>
      <w:r>
        <w:rPr>
          <w:sz w:val="20"/>
        </w:rPr>
        <w:t>Criminal</w:t>
      </w:r>
      <w:r>
        <w:rPr>
          <w:spacing w:val="-5"/>
          <w:sz w:val="20"/>
        </w:rPr>
        <w:t xml:space="preserve"> </w:t>
      </w:r>
      <w:r>
        <w:rPr>
          <w:sz w:val="20"/>
        </w:rPr>
        <w:t>law</w:t>
      </w:r>
      <w:r>
        <w:rPr>
          <w:spacing w:val="-4"/>
          <w:sz w:val="20"/>
        </w:rPr>
        <w:t xml:space="preserve"> </w:t>
      </w:r>
      <w:r>
        <w:rPr>
          <w:spacing w:val="-5"/>
          <w:sz w:val="20"/>
        </w:rPr>
        <w:t>(6)</w:t>
      </w:r>
    </w:p>
    <w:p w14:paraId="24A16CE8" w14:textId="77777777" w:rsidR="00AC6F3C" w:rsidRDefault="00570E88">
      <w:pPr>
        <w:pStyle w:val="ListParagraph"/>
        <w:numPr>
          <w:ilvl w:val="0"/>
          <w:numId w:val="46"/>
        </w:numPr>
        <w:tabs>
          <w:tab w:val="left" w:pos="1155"/>
        </w:tabs>
        <w:ind w:hanging="340"/>
        <w:rPr>
          <w:sz w:val="20"/>
        </w:rPr>
      </w:pPr>
      <w:r>
        <w:rPr>
          <w:sz w:val="20"/>
        </w:rPr>
        <w:t>Workplace</w:t>
      </w:r>
      <w:r>
        <w:rPr>
          <w:spacing w:val="-6"/>
          <w:sz w:val="20"/>
        </w:rPr>
        <w:t xml:space="preserve"> </w:t>
      </w:r>
      <w:r>
        <w:rPr>
          <w:sz w:val="20"/>
        </w:rPr>
        <w:t>relations</w:t>
      </w:r>
      <w:r>
        <w:rPr>
          <w:spacing w:val="-4"/>
          <w:sz w:val="20"/>
        </w:rPr>
        <w:t xml:space="preserve"> </w:t>
      </w:r>
      <w:r>
        <w:rPr>
          <w:sz w:val="20"/>
        </w:rPr>
        <w:t>(</w:t>
      </w:r>
      <w:r>
        <w:rPr>
          <w:spacing w:val="-4"/>
          <w:sz w:val="20"/>
        </w:rPr>
        <w:t xml:space="preserve"> </w:t>
      </w:r>
      <w:r>
        <w:rPr>
          <w:sz w:val="20"/>
        </w:rPr>
        <w:t>in</w:t>
      </w:r>
      <w:r>
        <w:rPr>
          <w:spacing w:val="-4"/>
          <w:sz w:val="20"/>
        </w:rPr>
        <w:t xml:space="preserve"> </w:t>
      </w:r>
      <w:r>
        <w:rPr>
          <w:sz w:val="20"/>
        </w:rPr>
        <w:t>association</w:t>
      </w:r>
      <w:r>
        <w:rPr>
          <w:spacing w:val="-4"/>
          <w:sz w:val="20"/>
        </w:rPr>
        <w:t xml:space="preserve"> </w:t>
      </w:r>
      <w:r>
        <w:rPr>
          <w:sz w:val="20"/>
        </w:rPr>
        <w:t>with</w:t>
      </w:r>
      <w:r>
        <w:rPr>
          <w:spacing w:val="-4"/>
          <w:sz w:val="20"/>
        </w:rPr>
        <w:t xml:space="preserve"> </w:t>
      </w:r>
      <w:r>
        <w:rPr>
          <w:sz w:val="20"/>
        </w:rPr>
        <w:t>Law</w:t>
      </w:r>
      <w:r>
        <w:rPr>
          <w:spacing w:val="-4"/>
          <w:sz w:val="20"/>
        </w:rPr>
        <w:t xml:space="preserve"> </w:t>
      </w:r>
      <w:r>
        <w:rPr>
          <w:sz w:val="20"/>
        </w:rPr>
        <w:t>Institute</w:t>
      </w:r>
      <w:r>
        <w:rPr>
          <w:spacing w:val="-4"/>
          <w:sz w:val="20"/>
        </w:rPr>
        <w:t xml:space="preserve"> </w:t>
      </w:r>
      <w:r>
        <w:rPr>
          <w:sz w:val="20"/>
        </w:rPr>
        <w:t>of</w:t>
      </w:r>
      <w:r>
        <w:rPr>
          <w:spacing w:val="-4"/>
          <w:sz w:val="20"/>
        </w:rPr>
        <w:t xml:space="preserve"> </w:t>
      </w:r>
      <w:r>
        <w:rPr>
          <w:sz w:val="20"/>
        </w:rPr>
        <w:t>Victoria)</w:t>
      </w:r>
      <w:r>
        <w:rPr>
          <w:spacing w:val="-3"/>
          <w:sz w:val="20"/>
        </w:rPr>
        <w:t xml:space="preserve"> </w:t>
      </w:r>
      <w:r>
        <w:rPr>
          <w:spacing w:val="-5"/>
          <w:sz w:val="20"/>
        </w:rPr>
        <w:t>(2)</w:t>
      </w:r>
    </w:p>
    <w:p w14:paraId="5FDBB840" w14:textId="77777777" w:rsidR="00AC6F3C" w:rsidRDefault="00AC6F3C">
      <w:pPr>
        <w:rPr>
          <w:sz w:val="20"/>
        </w:rPr>
        <w:sectPr w:rsidR="00AC6F3C">
          <w:headerReference w:type="default" r:id="rId144"/>
          <w:footerReference w:type="default" r:id="rId145"/>
          <w:pgSz w:w="11910" w:h="16840"/>
          <w:pgMar w:top="1140" w:right="1160" w:bottom="520" w:left="460" w:header="0" w:footer="336" w:gutter="0"/>
          <w:cols w:space="720"/>
        </w:sectPr>
      </w:pPr>
    </w:p>
    <w:p w14:paraId="0B386364"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0E5E9138" wp14:editId="5CF5C618">
                <wp:extent cx="5940425" cy="25400"/>
                <wp:effectExtent l="19050" t="0" r="3175" b="317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410" name="Graphic 410"/>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3A6BF6" id="Group 409"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">
                <v:shape id="Graphic 410"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" path="m,l5940005,e" filled="f" strokeweight="2pt">
                  <v:path arrowok="t"/>
                </v:shape>
                <w10:anchorlock/>
              </v:group>
            </w:pict>
          </mc:Fallback>
        </mc:AlternateContent>
      </w:r>
    </w:p>
    <w:p w14:paraId="0D49BBA3" w14:textId="77777777" w:rsidR="00AC6F3C" w:rsidRDefault="00570E88">
      <w:pPr>
        <w:pStyle w:val="Heading1"/>
      </w:pPr>
      <w:bookmarkStart w:id="61" w:name="CONNECT_"/>
      <w:bookmarkStart w:id="62" w:name="Celebrating_150_years"/>
      <w:bookmarkStart w:id="63" w:name="Here_for_our_members"/>
      <w:bookmarkStart w:id="64" w:name="_bookmark22"/>
      <w:bookmarkEnd w:id="61"/>
      <w:bookmarkEnd w:id="62"/>
      <w:bookmarkEnd w:id="63"/>
      <w:bookmarkEnd w:id="64"/>
      <w:r>
        <w:rPr>
          <w:spacing w:val="-2"/>
        </w:rPr>
        <w:t>CONNECT</w:t>
      </w:r>
    </w:p>
    <w:p w14:paraId="60B01A8E" w14:textId="77777777" w:rsidR="00AC6F3C" w:rsidRDefault="00570E88">
      <w:pPr>
        <w:spacing w:before="320" w:line="249" w:lineRule="auto"/>
        <w:ind w:left="815"/>
        <w:rPr>
          <w:b/>
          <w:sz w:val="28"/>
        </w:rPr>
      </w:pPr>
      <w:r>
        <w:rPr>
          <w:b/>
          <w:sz w:val="28"/>
        </w:rPr>
        <w:t>We</w:t>
      </w:r>
      <w:r>
        <w:rPr>
          <w:b/>
          <w:spacing w:val="-6"/>
          <w:sz w:val="28"/>
        </w:rPr>
        <w:t xml:space="preserve"> </w:t>
      </w:r>
      <w:r>
        <w:rPr>
          <w:b/>
          <w:sz w:val="28"/>
        </w:rPr>
        <w:t>connect</w:t>
      </w:r>
      <w:r>
        <w:rPr>
          <w:b/>
          <w:spacing w:val="-6"/>
          <w:sz w:val="28"/>
        </w:rPr>
        <w:t xml:space="preserve"> </w:t>
      </w:r>
      <w:r>
        <w:rPr>
          <w:b/>
          <w:sz w:val="28"/>
        </w:rPr>
        <w:t>the</w:t>
      </w:r>
      <w:r>
        <w:rPr>
          <w:b/>
          <w:spacing w:val="-6"/>
          <w:sz w:val="28"/>
        </w:rPr>
        <w:t xml:space="preserve"> </w:t>
      </w:r>
      <w:r>
        <w:rPr>
          <w:b/>
          <w:sz w:val="28"/>
        </w:rPr>
        <w:t>profession</w:t>
      </w:r>
      <w:r>
        <w:rPr>
          <w:b/>
          <w:spacing w:val="-6"/>
          <w:sz w:val="28"/>
        </w:rPr>
        <w:t xml:space="preserve"> </w:t>
      </w:r>
      <w:r>
        <w:rPr>
          <w:b/>
          <w:sz w:val="28"/>
        </w:rPr>
        <w:t>with</w:t>
      </w:r>
      <w:r>
        <w:rPr>
          <w:b/>
          <w:spacing w:val="-6"/>
          <w:sz w:val="28"/>
        </w:rPr>
        <w:t xml:space="preserve"> </w:t>
      </w:r>
      <w:r>
        <w:rPr>
          <w:b/>
          <w:sz w:val="28"/>
        </w:rPr>
        <w:t>each</w:t>
      </w:r>
      <w:r>
        <w:rPr>
          <w:b/>
          <w:spacing w:val="-6"/>
          <w:sz w:val="28"/>
        </w:rPr>
        <w:t xml:space="preserve"> </w:t>
      </w:r>
      <w:r>
        <w:rPr>
          <w:b/>
          <w:sz w:val="28"/>
        </w:rPr>
        <w:t>other,</w:t>
      </w:r>
      <w:r>
        <w:rPr>
          <w:b/>
          <w:spacing w:val="-6"/>
          <w:sz w:val="28"/>
        </w:rPr>
        <w:t xml:space="preserve"> </w:t>
      </w:r>
      <w:r>
        <w:rPr>
          <w:b/>
          <w:sz w:val="28"/>
        </w:rPr>
        <w:t>stakeholders</w:t>
      </w:r>
      <w:r>
        <w:rPr>
          <w:b/>
          <w:spacing w:val="-6"/>
          <w:sz w:val="28"/>
        </w:rPr>
        <w:t xml:space="preserve"> </w:t>
      </w:r>
      <w:r>
        <w:rPr>
          <w:b/>
          <w:sz w:val="28"/>
        </w:rPr>
        <w:t>and</w:t>
      </w:r>
      <w:r>
        <w:rPr>
          <w:b/>
          <w:spacing w:val="-6"/>
          <w:sz w:val="28"/>
        </w:rPr>
        <w:t xml:space="preserve"> </w:t>
      </w:r>
      <w:r>
        <w:rPr>
          <w:b/>
          <w:sz w:val="28"/>
        </w:rPr>
        <w:t>the community to foster relationships, collegiality and co-operation.</w:t>
      </w:r>
    </w:p>
    <w:p w14:paraId="5EF79838" w14:textId="77777777" w:rsidR="00AC6F3C" w:rsidRDefault="00AC6F3C">
      <w:pPr>
        <w:pStyle w:val="BodyText"/>
        <w:spacing w:before="8"/>
        <w:rPr>
          <w:b/>
          <w:sz w:val="30"/>
        </w:rPr>
      </w:pPr>
    </w:p>
    <w:p w14:paraId="5B9785FE" w14:textId="77777777" w:rsidR="00AC6F3C" w:rsidRDefault="00570E88">
      <w:pPr>
        <w:pStyle w:val="Heading3"/>
      </w:pPr>
      <w:r>
        <w:t>Celebrating</w:t>
      </w:r>
      <w:r>
        <w:rPr>
          <w:spacing w:val="-1"/>
        </w:rPr>
        <w:t xml:space="preserve"> </w:t>
      </w:r>
      <w:r>
        <w:t>150</w:t>
      </w:r>
      <w:r>
        <w:rPr>
          <w:spacing w:val="-1"/>
        </w:rPr>
        <w:t xml:space="preserve"> </w:t>
      </w:r>
      <w:r>
        <w:rPr>
          <w:spacing w:val="-2"/>
        </w:rPr>
        <w:t>years</w:t>
      </w:r>
    </w:p>
    <w:p w14:paraId="5EFC3F75" w14:textId="77777777" w:rsidR="00AC6F3C" w:rsidRDefault="00570E88">
      <w:pPr>
        <w:pStyle w:val="BodyText"/>
        <w:spacing w:before="155" w:line="249" w:lineRule="auto"/>
        <w:ind w:left="815" w:right="234"/>
      </w:pPr>
      <w:r>
        <w:t>In</w:t>
      </w:r>
      <w:r>
        <w:rPr>
          <w:spacing w:val="-3"/>
        </w:rPr>
        <w:t xml:space="preserve"> </w:t>
      </w:r>
      <w:r>
        <w:t>2023</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celebrates</w:t>
      </w:r>
      <w:r>
        <w:rPr>
          <w:spacing w:val="-3"/>
        </w:rPr>
        <w:t xml:space="preserve"> </w:t>
      </w:r>
      <w:r>
        <w:t>the</w:t>
      </w:r>
      <w:r>
        <w:rPr>
          <w:spacing w:val="-3"/>
        </w:rPr>
        <w:t xml:space="preserve"> </w:t>
      </w:r>
      <w:r>
        <w:t>150th</w:t>
      </w:r>
      <w:r>
        <w:rPr>
          <w:spacing w:val="-3"/>
        </w:rPr>
        <w:t xml:space="preserve"> </w:t>
      </w:r>
      <w:r>
        <w:t>anniversary</w:t>
      </w:r>
      <w:r>
        <w:rPr>
          <w:spacing w:val="-3"/>
        </w:rPr>
        <w:t xml:space="preserve"> </w:t>
      </w:r>
      <w:r>
        <w:t>of</w:t>
      </w:r>
      <w:r>
        <w:rPr>
          <w:spacing w:val="-3"/>
        </w:rPr>
        <w:t xml:space="preserve"> </w:t>
      </w:r>
      <w:r>
        <w:t>the</w:t>
      </w:r>
      <w:r>
        <w:rPr>
          <w:spacing w:val="-3"/>
        </w:rPr>
        <w:t xml:space="preserve"> </w:t>
      </w:r>
      <w:r>
        <w:t>founding</w:t>
      </w:r>
      <w:r>
        <w:rPr>
          <w:spacing w:val="-3"/>
        </w:rPr>
        <w:t xml:space="preserve"> </w:t>
      </w:r>
      <w:r>
        <w:t>of</w:t>
      </w:r>
      <w:r>
        <w:rPr>
          <w:spacing w:val="-3"/>
        </w:rPr>
        <w:t xml:space="preserve"> </w:t>
      </w:r>
      <w:r>
        <w:t>Queensland’s</w:t>
      </w:r>
      <w:r>
        <w:rPr>
          <w:spacing w:val="-3"/>
        </w:rPr>
        <w:t xml:space="preserve"> </w:t>
      </w:r>
      <w:r>
        <w:t>first law society.</w:t>
      </w:r>
    </w:p>
    <w:p w14:paraId="0E1B51B6" w14:textId="77777777" w:rsidR="00AC6F3C" w:rsidRDefault="00570E88">
      <w:pPr>
        <w:pStyle w:val="BodyText"/>
        <w:spacing w:before="172" w:line="249" w:lineRule="auto"/>
        <w:ind w:left="815" w:right="183"/>
      </w:pPr>
      <w:r>
        <w:t>Established at a meeting of 15 solicitors at the Supreme Court in 1873, the Society was formed out of a sincere desire on the part of solicitors to protect the public from those within their ranks who were guilty</w:t>
      </w:r>
      <w:r>
        <w:rPr>
          <w:spacing w:val="40"/>
        </w:rPr>
        <w:t xml:space="preserve"> </w:t>
      </w:r>
      <w:r>
        <w:t>of</w:t>
      </w:r>
      <w:r>
        <w:rPr>
          <w:spacing w:val="-3"/>
        </w:rPr>
        <w:t xml:space="preserve"> </w:t>
      </w:r>
      <w:proofErr w:type="spellStart"/>
      <w:r>
        <w:t>dishonourable</w:t>
      </w:r>
      <w:proofErr w:type="spellEnd"/>
      <w:r>
        <w:rPr>
          <w:spacing w:val="-3"/>
        </w:rPr>
        <w:t xml:space="preserve"> </w:t>
      </w:r>
      <w:r>
        <w:t>conduct,</w:t>
      </w:r>
      <w:r>
        <w:rPr>
          <w:spacing w:val="-3"/>
        </w:rPr>
        <w:t xml:space="preserve"> </w:t>
      </w:r>
      <w:r>
        <w:t>and</w:t>
      </w:r>
      <w:r>
        <w:rPr>
          <w:spacing w:val="-3"/>
        </w:rPr>
        <w:t xml:space="preserve"> </w:t>
      </w:r>
      <w:r>
        <w:t>to</w:t>
      </w:r>
      <w:r>
        <w:rPr>
          <w:spacing w:val="-3"/>
        </w:rPr>
        <w:t xml:space="preserve"> </w:t>
      </w:r>
      <w:r>
        <w:t>safeguard</w:t>
      </w:r>
      <w:r>
        <w:rPr>
          <w:spacing w:val="-3"/>
        </w:rPr>
        <w:t xml:space="preserve"> </w:t>
      </w:r>
      <w:r>
        <w:t>the</w:t>
      </w:r>
      <w:r>
        <w:rPr>
          <w:spacing w:val="-3"/>
        </w:rPr>
        <w:t xml:space="preserve"> </w:t>
      </w:r>
      <w:r>
        <w:t>reputation</w:t>
      </w:r>
      <w:r>
        <w:rPr>
          <w:spacing w:val="-3"/>
        </w:rPr>
        <w:t xml:space="preserve"> </w:t>
      </w:r>
      <w:r>
        <w:t>of</w:t>
      </w:r>
      <w:r>
        <w:rPr>
          <w:spacing w:val="-3"/>
        </w:rPr>
        <w:t xml:space="preserve"> </w:t>
      </w:r>
      <w:r>
        <w:t>the</w:t>
      </w:r>
      <w:r>
        <w:rPr>
          <w:spacing w:val="-3"/>
        </w:rPr>
        <w:t xml:space="preserve"> </w:t>
      </w:r>
      <w:r>
        <w:t>profession</w:t>
      </w:r>
      <w:r>
        <w:rPr>
          <w:spacing w:val="-3"/>
        </w:rPr>
        <w:t xml:space="preserve"> </w:t>
      </w:r>
      <w:r>
        <w:t>from</w:t>
      </w:r>
      <w:r>
        <w:rPr>
          <w:spacing w:val="-3"/>
        </w:rPr>
        <w:t xml:space="preserve"> </w:t>
      </w:r>
      <w:r>
        <w:t>those</w:t>
      </w:r>
      <w:r>
        <w:rPr>
          <w:spacing w:val="-3"/>
        </w:rPr>
        <w:t xml:space="preserve"> </w:t>
      </w:r>
      <w:r>
        <w:t>who</w:t>
      </w:r>
      <w:r>
        <w:rPr>
          <w:spacing w:val="-3"/>
        </w:rPr>
        <w:t xml:space="preserve"> </w:t>
      </w:r>
      <w:r>
        <w:t>would</w:t>
      </w:r>
      <w:r>
        <w:rPr>
          <w:spacing w:val="-3"/>
        </w:rPr>
        <w:t xml:space="preserve"> </w:t>
      </w:r>
      <w:r>
        <w:t>bring</w:t>
      </w:r>
      <w:r>
        <w:rPr>
          <w:spacing w:val="-3"/>
        </w:rPr>
        <w:t xml:space="preserve"> </w:t>
      </w:r>
      <w:r>
        <w:t>it into disrepute.</w:t>
      </w:r>
    </w:p>
    <w:p w14:paraId="491A5D4D" w14:textId="77777777" w:rsidR="00AC6F3C" w:rsidRDefault="00570E88">
      <w:pPr>
        <w:pStyle w:val="BodyText"/>
        <w:spacing w:before="173" w:line="249" w:lineRule="auto"/>
        <w:ind w:left="815"/>
      </w:pPr>
      <w:r>
        <w:t>Its</w:t>
      </w:r>
      <w:r>
        <w:rPr>
          <w:spacing w:val="-3"/>
        </w:rPr>
        <w:t xml:space="preserve"> </w:t>
      </w:r>
      <w:r>
        <w:t>founding</w:t>
      </w:r>
      <w:r>
        <w:rPr>
          <w:spacing w:val="-3"/>
        </w:rPr>
        <w:t xml:space="preserve"> </w:t>
      </w:r>
      <w:r>
        <w:t>vision</w:t>
      </w:r>
      <w:r>
        <w:rPr>
          <w:spacing w:val="-3"/>
        </w:rPr>
        <w:t xml:space="preserve"> </w:t>
      </w:r>
      <w:r>
        <w:t>was</w:t>
      </w:r>
      <w:r>
        <w:rPr>
          <w:spacing w:val="-3"/>
        </w:rPr>
        <w:t xml:space="preserve"> </w:t>
      </w:r>
      <w:r>
        <w:t>to</w:t>
      </w:r>
      <w:r>
        <w:rPr>
          <w:spacing w:val="-3"/>
        </w:rPr>
        <w:t xml:space="preserve"> </w:t>
      </w:r>
      <w:r>
        <w:t>be</w:t>
      </w:r>
      <w:r>
        <w:rPr>
          <w:spacing w:val="-3"/>
        </w:rPr>
        <w:t xml:space="preserve"> </w:t>
      </w:r>
      <w:r>
        <w:t>a</w:t>
      </w:r>
      <w:r>
        <w:rPr>
          <w:spacing w:val="-3"/>
        </w:rPr>
        <w:t xml:space="preserve"> </w:t>
      </w:r>
      <w:r>
        <w:t>force</w:t>
      </w:r>
      <w:r>
        <w:rPr>
          <w:spacing w:val="-3"/>
        </w:rPr>
        <w:t xml:space="preserve"> </w:t>
      </w:r>
      <w:r>
        <w:t>for</w:t>
      </w:r>
      <w:r>
        <w:rPr>
          <w:spacing w:val="-3"/>
        </w:rPr>
        <w:t xml:space="preserve"> </w:t>
      </w:r>
      <w:r>
        <w:t>good</w:t>
      </w:r>
      <w:r>
        <w:rPr>
          <w:spacing w:val="-3"/>
        </w:rPr>
        <w:t xml:space="preserve"> </w:t>
      </w:r>
      <w:r>
        <w:t>–</w:t>
      </w:r>
      <w:r>
        <w:rPr>
          <w:spacing w:val="-3"/>
        </w:rPr>
        <w:t xml:space="preserve"> </w:t>
      </w:r>
      <w:r>
        <w:t>to</w:t>
      </w:r>
      <w:r>
        <w:rPr>
          <w:spacing w:val="-3"/>
        </w:rPr>
        <w:t xml:space="preserve"> </w:t>
      </w:r>
      <w:r>
        <w:t>advise</w:t>
      </w:r>
      <w:r>
        <w:rPr>
          <w:spacing w:val="-3"/>
        </w:rPr>
        <w:t xml:space="preserve"> </w:t>
      </w:r>
      <w:r>
        <w:t>the</w:t>
      </w:r>
      <w:r>
        <w:rPr>
          <w:spacing w:val="-3"/>
        </w:rPr>
        <w:t xml:space="preserve"> </w:t>
      </w:r>
      <w:r>
        <w:t>legislature</w:t>
      </w:r>
      <w:r>
        <w:rPr>
          <w:spacing w:val="-3"/>
        </w:rPr>
        <w:t xml:space="preserve"> </w:t>
      </w:r>
      <w:r>
        <w:t>on</w:t>
      </w:r>
      <w:r>
        <w:rPr>
          <w:spacing w:val="-3"/>
        </w:rPr>
        <w:t xml:space="preserve"> </w:t>
      </w:r>
      <w:r>
        <w:t>amendments</w:t>
      </w:r>
      <w:r>
        <w:rPr>
          <w:spacing w:val="-3"/>
        </w:rPr>
        <w:t xml:space="preserve"> </w:t>
      </w:r>
      <w:r>
        <w:t>to</w:t>
      </w:r>
      <w:r>
        <w:rPr>
          <w:spacing w:val="-3"/>
        </w:rPr>
        <w:t xml:space="preserve"> </w:t>
      </w:r>
      <w:r>
        <w:t>law,</w:t>
      </w:r>
      <w:r>
        <w:rPr>
          <w:spacing w:val="-3"/>
        </w:rPr>
        <w:t xml:space="preserve"> </w:t>
      </w:r>
      <w:r>
        <w:t xml:space="preserve">to disseminate legal knowledge, and to set a standard of </w:t>
      </w:r>
      <w:proofErr w:type="spellStart"/>
      <w:r>
        <w:t>honour</w:t>
      </w:r>
      <w:proofErr w:type="spellEnd"/>
      <w:r>
        <w:t xml:space="preserve"> and integrity within the profession.</w:t>
      </w:r>
    </w:p>
    <w:p w14:paraId="137A36EE" w14:textId="77777777" w:rsidR="00AC6F3C" w:rsidRDefault="00570E88">
      <w:pPr>
        <w:pStyle w:val="BodyText"/>
        <w:spacing w:before="172" w:line="249" w:lineRule="auto"/>
        <w:ind w:left="815" w:right="730"/>
      </w:pPr>
      <w:r>
        <w:t>Since</w:t>
      </w:r>
      <w:r>
        <w:rPr>
          <w:spacing w:val="-3"/>
        </w:rPr>
        <w:t xml:space="preserve"> </w:t>
      </w:r>
      <w:r>
        <w:t>then,</w:t>
      </w:r>
      <w:r>
        <w:rPr>
          <w:spacing w:val="-3"/>
        </w:rPr>
        <w:t xml:space="preserve"> </w:t>
      </w:r>
      <w:r>
        <w:t>QLS</w:t>
      </w:r>
      <w:r>
        <w:rPr>
          <w:spacing w:val="-3"/>
        </w:rPr>
        <w:t xml:space="preserve"> </w:t>
      </w:r>
      <w:r>
        <w:t>has</w:t>
      </w:r>
      <w:r>
        <w:rPr>
          <w:spacing w:val="-3"/>
        </w:rPr>
        <w:t xml:space="preserve"> </w:t>
      </w:r>
      <w:r>
        <w:t>supported</w:t>
      </w:r>
      <w:r>
        <w:rPr>
          <w:spacing w:val="-3"/>
        </w:rPr>
        <w:t xml:space="preserve"> </w:t>
      </w:r>
      <w:r>
        <w:t>the</w:t>
      </w:r>
      <w:r>
        <w:rPr>
          <w:spacing w:val="-3"/>
        </w:rPr>
        <w:t xml:space="preserve"> </w:t>
      </w:r>
      <w:r>
        <w:t>legal</w:t>
      </w:r>
      <w:r>
        <w:rPr>
          <w:spacing w:val="-3"/>
        </w:rPr>
        <w:t xml:space="preserve"> </w:t>
      </w:r>
      <w:r>
        <w:t>profession</w:t>
      </w:r>
      <w:r>
        <w:rPr>
          <w:spacing w:val="-3"/>
        </w:rPr>
        <w:t xml:space="preserve"> </w:t>
      </w:r>
      <w:r>
        <w:t>through</w:t>
      </w:r>
      <w:r>
        <w:rPr>
          <w:spacing w:val="-3"/>
        </w:rPr>
        <w:t xml:space="preserve"> </w:t>
      </w:r>
      <w:r>
        <w:t>the</w:t>
      </w:r>
      <w:r>
        <w:rPr>
          <w:spacing w:val="-3"/>
        </w:rPr>
        <w:t xml:space="preserve"> </w:t>
      </w:r>
      <w:r>
        <w:t>sometimes</w:t>
      </w:r>
      <w:r>
        <w:rPr>
          <w:spacing w:val="-3"/>
        </w:rPr>
        <w:t xml:space="preserve"> </w:t>
      </w:r>
      <w:r>
        <w:t>turbulent</w:t>
      </w:r>
      <w:r>
        <w:rPr>
          <w:spacing w:val="-3"/>
        </w:rPr>
        <w:t xml:space="preserve"> </w:t>
      </w:r>
      <w:r>
        <w:t>events</w:t>
      </w:r>
      <w:r>
        <w:rPr>
          <w:spacing w:val="-3"/>
        </w:rPr>
        <w:t xml:space="preserve"> </w:t>
      </w:r>
      <w:r>
        <w:t>of</w:t>
      </w:r>
      <w:r>
        <w:rPr>
          <w:spacing w:val="-3"/>
        </w:rPr>
        <w:t xml:space="preserve"> </w:t>
      </w:r>
      <w:r>
        <w:t>the twentieth century, to the rapidly changing social, political and technological environment of today. Our</w:t>
      </w:r>
      <w:r>
        <w:rPr>
          <w:spacing w:val="-3"/>
        </w:rPr>
        <w:t xml:space="preserve"> </w:t>
      </w:r>
      <w:r>
        <w:t>achievements</w:t>
      </w:r>
      <w:r>
        <w:rPr>
          <w:spacing w:val="-3"/>
        </w:rPr>
        <w:t xml:space="preserve"> </w:t>
      </w:r>
      <w:r>
        <w:t>over</w:t>
      </w:r>
      <w:r>
        <w:rPr>
          <w:spacing w:val="-3"/>
        </w:rPr>
        <w:t xml:space="preserve"> </w:t>
      </w:r>
      <w:r>
        <w:t>the</w:t>
      </w:r>
      <w:r>
        <w:rPr>
          <w:spacing w:val="-3"/>
        </w:rPr>
        <w:t xml:space="preserve"> </w:t>
      </w:r>
      <w:r>
        <w:t>past</w:t>
      </w:r>
      <w:r>
        <w:rPr>
          <w:spacing w:val="-3"/>
        </w:rPr>
        <w:t xml:space="preserve"> </w:t>
      </w:r>
      <w:r>
        <w:t>150</w:t>
      </w:r>
      <w:r>
        <w:rPr>
          <w:spacing w:val="-3"/>
        </w:rPr>
        <w:t xml:space="preserve"> </w:t>
      </w:r>
      <w:r>
        <w:t>years</w:t>
      </w:r>
      <w:r>
        <w:rPr>
          <w:spacing w:val="-3"/>
        </w:rPr>
        <w:t xml:space="preserve"> </w:t>
      </w:r>
      <w:r>
        <w:t>have</w:t>
      </w:r>
      <w:r>
        <w:rPr>
          <w:spacing w:val="-3"/>
        </w:rPr>
        <w:t xml:space="preserve"> </w:t>
      </w:r>
      <w:r>
        <w:t>shaped</w:t>
      </w:r>
      <w:r>
        <w:rPr>
          <w:spacing w:val="-3"/>
        </w:rPr>
        <w:t xml:space="preserve"> </w:t>
      </w:r>
      <w:r>
        <w:t>almost</w:t>
      </w:r>
      <w:r>
        <w:rPr>
          <w:spacing w:val="-3"/>
        </w:rPr>
        <w:t xml:space="preserve"> </w:t>
      </w:r>
      <w:r>
        <w:t>every</w:t>
      </w:r>
      <w:r>
        <w:rPr>
          <w:spacing w:val="-3"/>
        </w:rPr>
        <w:t xml:space="preserve"> </w:t>
      </w:r>
      <w:r>
        <w:t>aspect</w:t>
      </w:r>
      <w:r>
        <w:rPr>
          <w:spacing w:val="-3"/>
        </w:rPr>
        <w:t xml:space="preserve"> </w:t>
      </w:r>
      <w:r>
        <w:t>of</w:t>
      </w:r>
      <w:r>
        <w:rPr>
          <w:spacing w:val="-3"/>
        </w:rPr>
        <w:t xml:space="preserve"> </w:t>
      </w:r>
      <w:r>
        <w:t>the</w:t>
      </w:r>
      <w:r>
        <w:rPr>
          <w:spacing w:val="-3"/>
        </w:rPr>
        <w:t xml:space="preserve"> </w:t>
      </w:r>
      <w:r>
        <w:t>practice</w:t>
      </w:r>
      <w:r>
        <w:rPr>
          <w:spacing w:val="-3"/>
        </w:rPr>
        <w:t xml:space="preserve"> </w:t>
      </w:r>
      <w:r>
        <w:t>of</w:t>
      </w:r>
      <w:r>
        <w:rPr>
          <w:spacing w:val="-3"/>
        </w:rPr>
        <w:t xml:space="preserve"> </w:t>
      </w:r>
      <w:r>
        <w:t>law in Queensland.</w:t>
      </w:r>
    </w:p>
    <w:p w14:paraId="529A07C6" w14:textId="77777777" w:rsidR="00AC6F3C" w:rsidRDefault="00570E88">
      <w:pPr>
        <w:pStyle w:val="BodyText"/>
        <w:spacing w:before="173" w:line="249" w:lineRule="auto"/>
        <w:ind w:left="815" w:right="468"/>
      </w:pPr>
      <w:r>
        <w:t>While</w:t>
      </w:r>
      <w:r>
        <w:rPr>
          <w:spacing w:val="-3"/>
        </w:rPr>
        <w:t xml:space="preserve"> </w:t>
      </w:r>
      <w:r>
        <w:t>the</w:t>
      </w:r>
      <w:r>
        <w:rPr>
          <w:spacing w:val="-3"/>
        </w:rPr>
        <w:t xml:space="preserve"> </w:t>
      </w:r>
      <w:r>
        <w:t>profession</w:t>
      </w:r>
      <w:r>
        <w:rPr>
          <w:spacing w:val="-3"/>
        </w:rPr>
        <w:t xml:space="preserve"> </w:t>
      </w:r>
      <w:r>
        <w:t>has</w:t>
      </w:r>
      <w:r>
        <w:rPr>
          <w:spacing w:val="-3"/>
        </w:rPr>
        <w:t xml:space="preserve"> </w:t>
      </w:r>
      <w:r>
        <w:t>grown</w:t>
      </w:r>
      <w:r>
        <w:rPr>
          <w:spacing w:val="-3"/>
        </w:rPr>
        <w:t xml:space="preserve"> </w:t>
      </w:r>
      <w:r>
        <w:t>and</w:t>
      </w:r>
      <w:r>
        <w:rPr>
          <w:spacing w:val="-3"/>
        </w:rPr>
        <w:t xml:space="preserve"> </w:t>
      </w:r>
      <w:r>
        <w:t>changed</w:t>
      </w:r>
      <w:r>
        <w:rPr>
          <w:spacing w:val="-3"/>
        </w:rPr>
        <w:t xml:space="preserve"> </w:t>
      </w:r>
      <w:r>
        <w:t>immeasurably</w:t>
      </w:r>
      <w:r>
        <w:rPr>
          <w:spacing w:val="-3"/>
        </w:rPr>
        <w:t xml:space="preserve"> </w:t>
      </w:r>
      <w:r>
        <w:t>over</w:t>
      </w:r>
      <w:r>
        <w:rPr>
          <w:spacing w:val="-3"/>
        </w:rPr>
        <w:t xml:space="preserve"> </w:t>
      </w:r>
      <w:r>
        <w:t>the</w:t>
      </w:r>
      <w:r>
        <w:rPr>
          <w:spacing w:val="-3"/>
        </w:rPr>
        <w:t xml:space="preserve"> </w:t>
      </w:r>
      <w:r>
        <w:t>past</w:t>
      </w:r>
      <w:r>
        <w:rPr>
          <w:spacing w:val="-3"/>
        </w:rPr>
        <w:t xml:space="preserve"> </w:t>
      </w:r>
      <w:r>
        <w:t>150</w:t>
      </w:r>
      <w:r>
        <w:rPr>
          <w:spacing w:val="-3"/>
        </w:rPr>
        <w:t xml:space="preserve"> </w:t>
      </w:r>
      <w:r>
        <w:t>years,</w:t>
      </w:r>
      <w:r>
        <w:rPr>
          <w:spacing w:val="-3"/>
        </w:rPr>
        <w:t xml:space="preserve"> </w:t>
      </w:r>
      <w:r>
        <w:t>this</w:t>
      </w:r>
      <w:r>
        <w:rPr>
          <w:spacing w:val="-3"/>
        </w:rPr>
        <w:t xml:space="preserve"> </w:t>
      </w:r>
      <w:r>
        <w:t>purpose</w:t>
      </w:r>
      <w:r>
        <w:rPr>
          <w:spacing w:val="-3"/>
        </w:rPr>
        <w:t xml:space="preserve"> </w:t>
      </w:r>
      <w:r>
        <w:t>– Good Law – Good Lawyers – Public Good – remains unchanged.</w:t>
      </w:r>
    </w:p>
    <w:p w14:paraId="7A29236C" w14:textId="77777777" w:rsidR="00AC6F3C" w:rsidRDefault="00570E88">
      <w:pPr>
        <w:pStyle w:val="BodyText"/>
        <w:spacing w:before="172" w:line="252" w:lineRule="auto"/>
        <w:ind w:left="815" w:right="468"/>
      </w:pPr>
      <w:r>
        <w:t>We</w:t>
      </w:r>
      <w:r>
        <w:rPr>
          <w:spacing w:val="-3"/>
        </w:rPr>
        <w:t xml:space="preserve"> </w:t>
      </w:r>
      <w:r>
        <w:t>are</w:t>
      </w:r>
      <w:r>
        <w:rPr>
          <w:spacing w:val="-3"/>
        </w:rPr>
        <w:t xml:space="preserve"> </w:t>
      </w:r>
      <w:r>
        <w:t>proud</w:t>
      </w:r>
      <w:r>
        <w:rPr>
          <w:spacing w:val="-3"/>
        </w:rPr>
        <w:t xml:space="preserve"> </w:t>
      </w:r>
      <w:r>
        <w:t>to</w:t>
      </w:r>
      <w:r>
        <w:rPr>
          <w:spacing w:val="-3"/>
        </w:rPr>
        <w:t xml:space="preserve"> </w:t>
      </w:r>
      <w:r>
        <w:t>provide</w:t>
      </w:r>
      <w:r>
        <w:rPr>
          <w:spacing w:val="-3"/>
        </w:rPr>
        <w:t xml:space="preserve"> </w:t>
      </w:r>
      <w:r>
        <w:t>a</w:t>
      </w:r>
      <w:r>
        <w:rPr>
          <w:spacing w:val="-3"/>
        </w:rPr>
        <w:t xml:space="preserve"> </w:t>
      </w:r>
      <w:r>
        <w:t>voice</w:t>
      </w:r>
      <w:r>
        <w:rPr>
          <w:spacing w:val="-3"/>
        </w:rPr>
        <w:t xml:space="preserve"> </w:t>
      </w:r>
      <w:r>
        <w:t>for</w:t>
      </w:r>
      <w:r>
        <w:rPr>
          <w:spacing w:val="-3"/>
        </w:rPr>
        <w:t xml:space="preserve"> </w:t>
      </w:r>
      <w:r>
        <w:t>the</w:t>
      </w:r>
      <w:r>
        <w:rPr>
          <w:spacing w:val="-3"/>
        </w:rPr>
        <w:t xml:space="preserve"> </w:t>
      </w:r>
      <w:r>
        <w:t>majority</w:t>
      </w:r>
      <w:r>
        <w:rPr>
          <w:spacing w:val="-3"/>
        </w:rPr>
        <w:t xml:space="preserve"> </w:t>
      </w:r>
      <w:r>
        <w:t>of</w:t>
      </w:r>
      <w:r>
        <w:rPr>
          <w:spacing w:val="-3"/>
        </w:rPr>
        <w:t xml:space="preserve"> </w:t>
      </w:r>
      <w:r>
        <w:t>Queensland’s</w:t>
      </w:r>
      <w:r>
        <w:rPr>
          <w:spacing w:val="-3"/>
        </w:rPr>
        <w:t xml:space="preserve"> </w:t>
      </w:r>
      <w:r>
        <w:t>solicitors</w:t>
      </w:r>
      <w:r>
        <w:rPr>
          <w:spacing w:val="-3"/>
        </w:rPr>
        <w:t xml:space="preserve"> </w:t>
      </w:r>
      <w:r>
        <w:t>and</w:t>
      </w:r>
      <w:r>
        <w:rPr>
          <w:spacing w:val="-3"/>
        </w:rPr>
        <w:t xml:space="preserve"> </w:t>
      </w:r>
      <w:r>
        <w:t>provide</w:t>
      </w:r>
      <w:r>
        <w:rPr>
          <w:spacing w:val="-3"/>
        </w:rPr>
        <w:t xml:space="preserve"> </w:t>
      </w:r>
      <w:r>
        <w:t>leadership, guidance and support to our network of 12,328</w:t>
      </w:r>
      <w:r>
        <w:rPr>
          <w:position w:val="7"/>
          <w:sz w:val="11"/>
        </w:rPr>
        <w:t>#</w:t>
      </w:r>
      <w:r>
        <w:rPr>
          <w:spacing w:val="37"/>
          <w:position w:val="7"/>
          <w:sz w:val="11"/>
        </w:rPr>
        <w:t xml:space="preserve"> </w:t>
      </w:r>
      <w:r>
        <w:t>members across the state.</w:t>
      </w:r>
    </w:p>
    <w:p w14:paraId="1740E70A" w14:textId="77777777" w:rsidR="00AC6F3C" w:rsidRDefault="00AC6F3C">
      <w:pPr>
        <w:pStyle w:val="BodyText"/>
        <w:rPr>
          <w:sz w:val="32"/>
        </w:rPr>
      </w:pPr>
    </w:p>
    <w:p w14:paraId="2FEC2767" w14:textId="77777777" w:rsidR="00AC6F3C" w:rsidRDefault="00570E88">
      <w:pPr>
        <w:pStyle w:val="Heading3"/>
        <w:spacing w:before="1"/>
      </w:pPr>
      <w:r>
        <w:t>Here</w:t>
      </w:r>
      <w:r>
        <w:rPr>
          <w:spacing w:val="-3"/>
        </w:rPr>
        <w:t xml:space="preserve"> </w:t>
      </w:r>
      <w:r>
        <w:t>for</w:t>
      </w:r>
      <w:r>
        <w:rPr>
          <w:spacing w:val="-2"/>
        </w:rPr>
        <w:t xml:space="preserve"> </w:t>
      </w:r>
      <w:r>
        <w:t>our</w:t>
      </w:r>
      <w:r>
        <w:rPr>
          <w:spacing w:val="-2"/>
        </w:rPr>
        <w:t xml:space="preserve"> members</w:t>
      </w:r>
    </w:p>
    <w:p w14:paraId="11B059CF" w14:textId="77777777" w:rsidR="00AC6F3C" w:rsidRDefault="00570E88">
      <w:pPr>
        <w:pStyle w:val="BodyText"/>
        <w:spacing w:before="154" w:line="249" w:lineRule="auto"/>
        <w:ind w:left="815" w:right="468"/>
      </w:pPr>
      <w:r>
        <w:t>This year QLS has once again delivered its annual program of leading education conferences, seminars</w:t>
      </w:r>
      <w:r>
        <w:rPr>
          <w:spacing w:val="-3"/>
        </w:rPr>
        <w:t xml:space="preserve"> </w:t>
      </w:r>
      <w:r>
        <w:t>and</w:t>
      </w:r>
      <w:r>
        <w:rPr>
          <w:spacing w:val="-3"/>
        </w:rPr>
        <w:t xml:space="preserve"> </w:t>
      </w:r>
      <w:r>
        <w:t>workshops</w:t>
      </w:r>
      <w:r>
        <w:rPr>
          <w:spacing w:val="-3"/>
        </w:rPr>
        <w:t xml:space="preserve"> </w:t>
      </w:r>
      <w:r>
        <w:t>to</w:t>
      </w:r>
      <w:r>
        <w:rPr>
          <w:spacing w:val="-3"/>
        </w:rPr>
        <w:t xml:space="preserve"> </w:t>
      </w:r>
      <w:r>
        <w:t>practitioners</w:t>
      </w:r>
      <w:r>
        <w:rPr>
          <w:spacing w:val="-3"/>
        </w:rPr>
        <w:t xml:space="preserve"> </w:t>
      </w:r>
      <w:r>
        <w:t>throughout</w:t>
      </w:r>
      <w:r>
        <w:rPr>
          <w:spacing w:val="-3"/>
        </w:rPr>
        <w:t xml:space="preserve"> </w:t>
      </w:r>
      <w:r>
        <w:t>the</w:t>
      </w:r>
      <w:r>
        <w:rPr>
          <w:spacing w:val="-3"/>
        </w:rPr>
        <w:t xml:space="preserve"> </w:t>
      </w:r>
      <w:r>
        <w:t>state.</w:t>
      </w:r>
      <w:r>
        <w:rPr>
          <w:spacing w:val="-3"/>
        </w:rPr>
        <w:t xml:space="preserve"> </w:t>
      </w:r>
      <w:r>
        <w:t>Ensuring</w:t>
      </w:r>
      <w:r>
        <w:rPr>
          <w:spacing w:val="-3"/>
        </w:rPr>
        <w:t xml:space="preserve"> </w:t>
      </w:r>
      <w:r>
        <w:t>members</w:t>
      </w:r>
      <w:r>
        <w:rPr>
          <w:spacing w:val="-3"/>
        </w:rPr>
        <w:t xml:space="preserve"> </w:t>
      </w:r>
      <w:r>
        <w:t>in</w:t>
      </w:r>
      <w:r>
        <w:rPr>
          <w:spacing w:val="-3"/>
        </w:rPr>
        <w:t xml:space="preserve"> </w:t>
      </w:r>
      <w:r>
        <w:t>regional</w:t>
      </w:r>
      <w:r>
        <w:rPr>
          <w:spacing w:val="-3"/>
        </w:rPr>
        <w:t xml:space="preserve"> </w:t>
      </w:r>
      <w:r>
        <w:t>areas have access to quality professional development and opportunities to connect as members of the profession continues to be a priority for QLS.</w:t>
      </w:r>
    </w:p>
    <w:p w14:paraId="3572274D" w14:textId="77777777" w:rsidR="00AC6F3C" w:rsidRDefault="00570E88">
      <w:pPr>
        <w:pStyle w:val="BodyText"/>
        <w:spacing w:before="174" w:line="249" w:lineRule="auto"/>
        <w:ind w:left="815" w:right="468"/>
      </w:pPr>
      <w:r>
        <w:t xml:space="preserve">From July – December 2022, we </w:t>
      </w:r>
      <w:proofErr w:type="spellStart"/>
      <w:r>
        <w:t>recognised</w:t>
      </w:r>
      <w:proofErr w:type="spellEnd"/>
      <w:r>
        <w:t xml:space="preserve"> longstanding members and QLS volunteers at our Celebrate,</w:t>
      </w:r>
      <w:r>
        <w:rPr>
          <w:spacing w:val="-4"/>
        </w:rPr>
        <w:t xml:space="preserve"> </w:t>
      </w:r>
      <w:proofErr w:type="spellStart"/>
      <w:r>
        <w:t>Recognise</w:t>
      </w:r>
      <w:proofErr w:type="spellEnd"/>
      <w:r>
        <w:rPr>
          <w:spacing w:val="-4"/>
        </w:rPr>
        <w:t xml:space="preserve"> </w:t>
      </w:r>
      <w:r>
        <w:t>and</w:t>
      </w:r>
      <w:r>
        <w:rPr>
          <w:spacing w:val="-4"/>
        </w:rPr>
        <w:t xml:space="preserve"> </w:t>
      </w:r>
      <w:proofErr w:type="spellStart"/>
      <w:r>
        <w:t>Socialise</w:t>
      </w:r>
      <w:proofErr w:type="spellEnd"/>
      <w:r>
        <w:rPr>
          <w:spacing w:val="-4"/>
        </w:rPr>
        <w:t xml:space="preserve"> </w:t>
      </w:r>
      <w:r>
        <w:t>regional</w:t>
      </w:r>
      <w:r>
        <w:rPr>
          <w:spacing w:val="-4"/>
        </w:rPr>
        <w:t xml:space="preserve"> </w:t>
      </w:r>
      <w:r>
        <w:t>events</w:t>
      </w:r>
      <w:r>
        <w:rPr>
          <w:spacing w:val="-4"/>
        </w:rPr>
        <w:t xml:space="preserve"> </w:t>
      </w:r>
      <w:r>
        <w:t>hosted</w:t>
      </w:r>
      <w:r>
        <w:rPr>
          <w:spacing w:val="-4"/>
        </w:rPr>
        <w:t xml:space="preserve"> </w:t>
      </w:r>
      <w:r>
        <w:t>in</w:t>
      </w:r>
      <w:r>
        <w:rPr>
          <w:spacing w:val="-4"/>
        </w:rPr>
        <w:t xml:space="preserve"> </w:t>
      </w:r>
      <w:r>
        <w:t>regional</w:t>
      </w:r>
      <w:r>
        <w:rPr>
          <w:spacing w:val="-4"/>
        </w:rPr>
        <w:t xml:space="preserve"> </w:t>
      </w:r>
      <w:r>
        <w:t>centers</w:t>
      </w:r>
      <w:r>
        <w:rPr>
          <w:spacing w:val="-4"/>
        </w:rPr>
        <w:t xml:space="preserve"> </w:t>
      </w:r>
      <w:r>
        <w:t>including</w:t>
      </w:r>
      <w:r>
        <w:rPr>
          <w:spacing w:val="-4"/>
        </w:rPr>
        <w:t xml:space="preserve"> </w:t>
      </w:r>
      <w:r>
        <w:t>Cairns, Townsville, Mackay, Sunshine Coast, Gold Coast and Toowoomba.</w:t>
      </w:r>
    </w:p>
    <w:p w14:paraId="775A8B49" w14:textId="77777777" w:rsidR="00AC6F3C" w:rsidRDefault="00570E88">
      <w:pPr>
        <w:pStyle w:val="BodyText"/>
        <w:spacing w:before="172" w:line="249" w:lineRule="auto"/>
        <w:ind w:left="815" w:right="656"/>
        <w:jc w:val="both"/>
      </w:pPr>
      <w:r>
        <w:t>We</w:t>
      </w:r>
      <w:r>
        <w:rPr>
          <w:spacing w:val="-2"/>
        </w:rPr>
        <w:t xml:space="preserve"> </w:t>
      </w:r>
      <w:r>
        <w:t>have</w:t>
      </w:r>
      <w:r>
        <w:rPr>
          <w:spacing w:val="-2"/>
        </w:rPr>
        <w:t xml:space="preserve"> </w:t>
      </w:r>
      <w:r>
        <w:t>taken</w:t>
      </w:r>
      <w:r>
        <w:rPr>
          <w:spacing w:val="-2"/>
        </w:rPr>
        <w:t xml:space="preserve"> </w:t>
      </w:r>
      <w:r>
        <w:t>important</w:t>
      </w:r>
      <w:r>
        <w:rPr>
          <w:spacing w:val="-2"/>
        </w:rPr>
        <w:t xml:space="preserve"> </w:t>
      </w:r>
      <w:r>
        <w:t>workshops,</w:t>
      </w:r>
      <w:r>
        <w:rPr>
          <w:spacing w:val="-2"/>
        </w:rPr>
        <w:t xml:space="preserve"> </w:t>
      </w:r>
      <w:r>
        <w:t>such</w:t>
      </w:r>
      <w:r>
        <w:rPr>
          <w:spacing w:val="-2"/>
        </w:rPr>
        <w:t xml:space="preserve"> </w:t>
      </w:r>
      <w:r>
        <w:t>as</w:t>
      </w:r>
      <w:r>
        <w:rPr>
          <w:spacing w:val="-2"/>
        </w:rPr>
        <w:t xml:space="preserve"> </w:t>
      </w:r>
      <w:r>
        <w:t>the</w:t>
      </w:r>
      <w:r>
        <w:rPr>
          <w:spacing w:val="-2"/>
        </w:rPr>
        <w:t xml:space="preserve"> </w:t>
      </w:r>
      <w:r>
        <w:t>QLS</w:t>
      </w:r>
      <w:r>
        <w:rPr>
          <w:spacing w:val="-2"/>
        </w:rPr>
        <w:t xml:space="preserve"> </w:t>
      </w:r>
      <w:r>
        <w:t>and</w:t>
      </w:r>
      <w:r>
        <w:rPr>
          <w:spacing w:val="-2"/>
        </w:rPr>
        <w:t xml:space="preserve"> </w:t>
      </w:r>
      <w:r>
        <w:t>PEXA</w:t>
      </w:r>
      <w:r>
        <w:rPr>
          <w:spacing w:val="-12"/>
        </w:rPr>
        <w:t xml:space="preserve"> </w:t>
      </w:r>
      <w:proofErr w:type="spellStart"/>
      <w:r>
        <w:t>eConveyancing</w:t>
      </w:r>
      <w:proofErr w:type="spellEnd"/>
      <w:r>
        <w:rPr>
          <w:spacing w:val="-2"/>
        </w:rPr>
        <w:t xml:space="preserve"> </w:t>
      </w:r>
      <w:r>
        <w:t>Mandate</w:t>
      </w:r>
      <w:r>
        <w:rPr>
          <w:spacing w:val="-2"/>
        </w:rPr>
        <w:t xml:space="preserve"> </w:t>
      </w:r>
      <w:r>
        <w:t>and</w:t>
      </w:r>
      <w:r>
        <w:rPr>
          <w:spacing w:val="-2"/>
        </w:rPr>
        <w:t xml:space="preserve"> </w:t>
      </w:r>
      <w:r>
        <w:t>our highly</w:t>
      </w:r>
      <w:r>
        <w:rPr>
          <w:spacing w:val="-3"/>
        </w:rPr>
        <w:t xml:space="preserve"> </w:t>
      </w:r>
      <w:r>
        <w:t>successful</w:t>
      </w:r>
      <w:r>
        <w:rPr>
          <w:spacing w:val="-3"/>
        </w:rPr>
        <w:t xml:space="preserve"> </w:t>
      </w:r>
      <w:r>
        <w:t>Sexual</w:t>
      </w:r>
      <w:r>
        <w:rPr>
          <w:spacing w:val="-3"/>
        </w:rPr>
        <w:t xml:space="preserve"> </w:t>
      </w:r>
      <w:r>
        <w:t>Harassment:</w:t>
      </w:r>
      <w:r>
        <w:rPr>
          <w:spacing w:val="-3"/>
        </w:rPr>
        <w:t xml:space="preserve"> </w:t>
      </w:r>
      <w:r>
        <w:t>Changing</w:t>
      </w:r>
      <w:r>
        <w:rPr>
          <w:spacing w:val="-3"/>
        </w:rPr>
        <w:t xml:space="preserve"> </w:t>
      </w:r>
      <w:r>
        <w:t>Workplace</w:t>
      </w:r>
      <w:r>
        <w:rPr>
          <w:spacing w:val="-3"/>
        </w:rPr>
        <w:t xml:space="preserve"> </w:t>
      </w:r>
      <w:r>
        <w:t>Culture</w:t>
      </w:r>
      <w:r>
        <w:rPr>
          <w:spacing w:val="-3"/>
        </w:rPr>
        <w:t xml:space="preserve"> </w:t>
      </w:r>
      <w:r>
        <w:t>on</w:t>
      </w:r>
      <w:r>
        <w:rPr>
          <w:spacing w:val="-3"/>
        </w:rPr>
        <w:t xml:space="preserve"> </w:t>
      </w:r>
      <w:r>
        <w:t>the</w:t>
      </w:r>
      <w:r>
        <w:rPr>
          <w:spacing w:val="-3"/>
        </w:rPr>
        <w:t xml:space="preserve"> </w:t>
      </w:r>
      <w:r>
        <w:t>road</w:t>
      </w:r>
      <w:r>
        <w:rPr>
          <w:spacing w:val="-3"/>
        </w:rPr>
        <w:t xml:space="preserve"> </w:t>
      </w:r>
      <w:r>
        <w:t>to</w:t>
      </w:r>
      <w:r>
        <w:rPr>
          <w:spacing w:val="-3"/>
        </w:rPr>
        <w:t xml:space="preserve"> </w:t>
      </w:r>
      <w:r>
        <w:t>regional</w:t>
      </w:r>
      <w:r>
        <w:rPr>
          <w:spacing w:val="-3"/>
        </w:rPr>
        <w:t xml:space="preserve"> </w:t>
      </w:r>
      <w:r>
        <w:t>areas</w:t>
      </w:r>
      <w:r>
        <w:rPr>
          <w:spacing w:val="-3"/>
        </w:rPr>
        <w:t xml:space="preserve"> </w:t>
      </w:r>
      <w:r>
        <w:t>to educate practitioners in those areas about critical legislative changes.</w:t>
      </w:r>
    </w:p>
    <w:p w14:paraId="679E7950" w14:textId="77777777" w:rsidR="00AC6F3C" w:rsidRDefault="00570E88">
      <w:pPr>
        <w:pStyle w:val="BodyText"/>
        <w:spacing w:before="172" w:line="249" w:lineRule="auto"/>
        <w:ind w:left="815" w:right="822"/>
        <w:jc w:val="both"/>
      </w:pPr>
      <w:r>
        <w:t>QLS</w:t>
      </w:r>
      <w:r>
        <w:rPr>
          <w:spacing w:val="-1"/>
        </w:rPr>
        <w:t xml:space="preserve"> </w:t>
      </w:r>
      <w:r>
        <w:t>is</w:t>
      </w:r>
      <w:r>
        <w:rPr>
          <w:spacing w:val="-1"/>
        </w:rPr>
        <w:t xml:space="preserve"> </w:t>
      </w:r>
      <w:r>
        <w:t>also</w:t>
      </w:r>
      <w:r>
        <w:rPr>
          <w:spacing w:val="-1"/>
        </w:rPr>
        <w:t xml:space="preserve"> </w:t>
      </w:r>
      <w:proofErr w:type="spellStart"/>
      <w:r>
        <w:t>cognisant</w:t>
      </w:r>
      <w:proofErr w:type="spellEnd"/>
      <w:r>
        <w:rPr>
          <w:spacing w:val="-1"/>
        </w:rPr>
        <w:t xml:space="preserve"> </w:t>
      </w:r>
      <w:r>
        <w:t>of</w:t>
      </w:r>
      <w:r>
        <w:rPr>
          <w:spacing w:val="-1"/>
        </w:rPr>
        <w:t xml:space="preserve"> </w:t>
      </w:r>
      <w:r>
        <w:t>the</w:t>
      </w:r>
      <w:r>
        <w:rPr>
          <w:spacing w:val="-1"/>
        </w:rPr>
        <w:t xml:space="preserve"> </w:t>
      </w:r>
      <w:r>
        <w:t>need</w:t>
      </w:r>
      <w:r>
        <w:rPr>
          <w:spacing w:val="-1"/>
        </w:rPr>
        <w:t xml:space="preserve"> </w:t>
      </w:r>
      <w:r>
        <w:t>to</w:t>
      </w:r>
      <w:r>
        <w:rPr>
          <w:spacing w:val="-1"/>
        </w:rPr>
        <w:t xml:space="preserve"> </w:t>
      </w:r>
      <w:r>
        <w:t>support</w:t>
      </w:r>
      <w:r>
        <w:rPr>
          <w:spacing w:val="-1"/>
        </w:rPr>
        <w:t xml:space="preserve"> </w:t>
      </w:r>
      <w:r>
        <w:t>early</w:t>
      </w:r>
      <w:r>
        <w:rPr>
          <w:spacing w:val="-1"/>
        </w:rPr>
        <w:t xml:space="preserve"> </w:t>
      </w:r>
      <w:r>
        <w:t>career</w:t>
      </w:r>
      <w:r>
        <w:rPr>
          <w:spacing w:val="-1"/>
        </w:rPr>
        <w:t xml:space="preserve"> </w:t>
      </w:r>
      <w:r>
        <w:t>lawyers</w:t>
      </w:r>
      <w:r>
        <w:rPr>
          <w:spacing w:val="-1"/>
        </w:rPr>
        <w:t xml:space="preserve"> </w:t>
      </w:r>
      <w:r>
        <w:t>by</w:t>
      </w:r>
      <w:r>
        <w:rPr>
          <w:spacing w:val="-1"/>
        </w:rPr>
        <w:t xml:space="preserve"> </w:t>
      </w:r>
      <w:r>
        <w:t>providing</w:t>
      </w:r>
      <w:r>
        <w:rPr>
          <w:spacing w:val="-1"/>
        </w:rPr>
        <w:t xml:space="preserve"> </w:t>
      </w:r>
      <w:r>
        <w:t>them</w:t>
      </w:r>
      <w:r>
        <w:rPr>
          <w:spacing w:val="-1"/>
        </w:rPr>
        <w:t xml:space="preserve"> </w:t>
      </w:r>
      <w:r>
        <w:t>with</w:t>
      </w:r>
      <w:r>
        <w:rPr>
          <w:spacing w:val="-1"/>
        </w:rPr>
        <w:t xml:space="preserve"> </w:t>
      </w:r>
      <w:r>
        <w:t>practical resources</w:t>
      </w:r>
      <w:r>
        <w:rPr>
          <w:spacing w:val="-3"/>
        </w:rPr>
        <w:t xml:space="preserve"> </w:t>
      </w:r>
      <w:r>
        <w:t>and</w:t>
      </w:r>
      <w:r>
        <w:rPr>
          <w:spacing w:val="-3"/>
        </w:rPr>
        <w:t xml:space="preserve"> </w:t>
      </w:r>
      <w:r>
        <w:t>education</w:t>
      </w:r>
      <w:r>
        <w:rPr>
          <w:spacing w:val="-3"/>
        </w:rPr>
        <w:t xml:space="preserve"> </w:t>
      </w:r>
      <w:r>
        <w:t>and</w:t>
      </w:r>
      <w:r>
        <w:rPr>
          <w:spacing w:val="-3"/>
        </w:rPr>
        <w:t xml:space="preserve"> </w:t>
      </w:r>
      <w:r>
        <w:t>by</w:t>
      </w:r>
      <w:r>
        <w:rPr>
          <w:spacing w:val="-3"/>
        </w:rPr>
        <w:t xml:space="preserve"> </w:t>
      </w:r>
      <w:r>
        <w:t>creating</w:t>
      </w:r>
      <w:r>
        <w:rPr>
          <w:spacing w:val="-3"/>
        </w:rPr>
        <w:t xml:space="preserve"> </w:t>
      </w:r>
      <w:r>
        <w:t>opportunities</w:t>
      </w:r>
      <w:r>
        <w:rPr>
          <w:spacing w:val="-3"/>
        </w:rPr>
        <w:t xml:space="preserve"> </w:t>
      </w:r>
      <w:r>
        <w:t>for</w:t>
      </w:r>
      <w:r>
        <w:rPr>
          <w:spacing w:val="-3"/>
        </w:rPr>
        <w:t xml:space="preserve"> </w:t>
      </w:r>
      <w:r>
        <w:t>this</w:t>
      </w:r>
      <w:r>
        <w:rPr>
          <w:spacing w:val="-3"/>
        </w:rPr>
        <w:t xml:space="preserve"> </w:t>
      </w:r>
      <w:r>
        <w:t>cohort</w:t>
      </w:r>
      <w:r>
        <w:rPr>
          <w:spacing w:val="-3"/>
        </w:rPr>
        <w:t xml:space="preserve"> </w:t>
      </w:r>
      <w:r>
        <w:t>to</w:t>
      </w:r>
      <w:r>
        <w:rPr>
          <w:spacing w:val="-3"/>
        </w:rPr>
        <w:t xml:space="preserve"> </w:t>
      </w:r>
      <w:r>
        <w:t>connect.</w:t>
      </w:r>
      <w:r>
        <w:rPr>
          <w:spacing w:val="-3"/>
        </w:rPr>
        <w:t xml:space="preserve"> </w:t>
      </w:r>
      <w:r>
        <w:t>Working</w:t>
      </w:r>
      <w:r>
        <w:rPr>
          <w:spacing w:val="-3"/>
        </w:rPr>
        <w:t xml:space="preserve"> </w:t>
      </w:r>
      <w:r>
        <w:t>with</w:t>
      </w:r>
      <w:r>
        <w:rPr>
          <w:spacing w:val="-3"/>
        </w:rPr>
        <w:t xml:space="preserve"> </w:t>
      </w:r>
      <w:r>
        <w:t>the Future Leaders Committee again this year, we have incorporated their needs into our educational programming and launched new social initiatives such as the Young Lawyers Ball.</w:t>
      </w:r>
    </w:p>
    <w:p w14:paraId="45A0CD66" w14:textId="77777777" w:rsidR="00AC6F3C" w:rsidRDefault="00570E88">
      <w:pPr>
        <w:pStyle w:val="BodyText"/>
        <w:spacing w:before="174" w:line="249" w:lineRule="auto"/>
        <w:ind w:left="815" w:right="990"/>
      </w:pPr>
      <w:r>
        <w:t>This year, QLS has continued to celebrate and promote diversity in the profession across its many</w:t>
      </w:r>
      <w:r>
        <w:rPr>
          <w:spacing w:val="-3"/>
        </w:rPr>
        <w:t xml:space="preserve"> </w:t>
      </w:r>
      <w:r>
        <w:t>intersections.</w:t>
      </w:r>
      <w:r>
        <w:rPr>
          <w:spacing w:val="-3"/>
        </w:rPr>
        <w:t xml:space="preserve"> </w:t>
      </w:r>
      <w:r>
        <w:t>Increasing</w:t>
      </w:r>
      <w:r>
        <w:rPr>
          <w:spacing w:val="-3"/>
        </w:rPr>
        <w:t xml:space="preserve"> </w:t>
      </w:r>
      <w:r>
        <w:t>the</w:t>
      </w:r>
      <w:r>
        <w:rPr>
          <w:spacing w:val="-3"/>
        </w:rPr>
        <w:t xml:space="preserve"> </w:t>
      </w:r>
      <w:r>
        <w:t>number</w:t>
      </w:r>
      <w:r>
        <w:rPr>
          <w:spacing w:val="-3"/>
        </w:rPr>
        <w:t xml:space="preserve"> </w:t>
      </w:r>
      <w:r>
        <w:t>of</w:t>
      </w:r>
      <w:r>
        <w:rPr>
          <w:spacing w:val="-3"/>
        </w:rPr>
        <w:t xml:space="preserve"> </w:t>
      </w:r>
      <w:r>
        <w:t>First</w:t>
      </w:r>
      <w:r>
        <w:rPr>
          <w:spacing w:val="-3"/>
        </w:rPr>
        <w:t xml:space="preserve"> </w:t>
      </w:r>
      <w:r>
        <w:t>Nations</w:t>
      </w:r>
      <w:r>
        <w:rPr>
          <w:spacing w:val="-3"/>
        </w:rPr>
        <w:t xml:space="preserve"> </w:t>
      </w:r>
      <w:r>
        <w:t>students</w:t>
      </w:r>
      <w:r>
        <w:rPr>
          <w:spacing w:val="-3"/>
        </w:rPr>
        <w:t xml:space="preserve"> </w:t>
      </w:r>
      <w:r>
        <w:t>and</w:t>
      </w:r>
      <w:r>
        <w:rPr>
          <w:spacing w:val="-3"/>
        </w:rPr>
        <w:t xml:space="preserve"> </w:t>
      </w:r>
      <w:r>
        <w:t>practitioners</w:t>
      </w:r>
      <w:r>
        <w:rPr>
          <w:spacing w:val="-3"/>
        </w:rPr>
        <w:t xml:space="preserve"> </w:t>
      </w:r>
      <w:r>
        <w:t>within</w:t>
      </w:r>
      <w:r>
        <w:rPr>
          <w:spacing w:val="-3"/>
        </w:rPr>
        <w:t xml:space="preserve"> </w:t>
      </w:r>
      <w:r>
        <w:t>the</w:t>
      </w:r>
    </w:p>
    <w:p w14:paraId="44F4AC01" w14:textId="77777777" w:rsidR="00AC6F3C" w:rsidRDefault="00570E88">
      <w:pPr>
        <w:pStyle w:val="BodyText"/>
        <w:spacing w:before="1" w:line="249" w:lineRule="auto"/>
        <w:ind w:left="815" w:right="539"/>
      </w:pPr>
      <w:r>
        <w:t>profession</w:t>
      </w:r>
      <w:r>
        <w:rPr>
          <w:spacing w:val="-3"/>
        </w:rPr>
        <w:t xml:space="preserve"> </w:t>
      </w:r>
      <w:r>
        <w:t>and</w:t>
      </w:r>
      <w:r>
        <w:rPr>
          <w:spacing w:val="-3"/>
        </w:rPr>
        <w:t xml:space="preserve"> </w:t>
      </w:r>
      <w:r>
        <w:t>ensuring</w:t>
      </w:r>
      <w:r>
        <w:rPr>
          <w:spacing w:val="-3"/>
        </w:rPr>
        <w:t xml:space="preserve"> </w:t>
      </w:r>
      <w:r>
        <w:t>they</w:t>
      </w:r>
      <w:r>
        <w:rPr>
          <w:spacing w:val="-3"/>
        </w:rPr>
        <w:t xml:space="preserve"> </w:t>
      </w:r>
      <w:r>
        <w:t>are</w:t>
      </w:r>
      <w:r>
        <w:rPr>
          <w:spacing w:val="-3"/>
        </w:rPr>
        <w:t xml:space="preserve"> </w:t>
      </w:r>
      <w:r>
        <w:t>supported</w:t>
      </w:r>
      <w:r>
        <w:rPr>
          <w:spacing w:val="-3"/>
        </w:rPr>
        <w:t xml:space="preserve"> </w:t>
      </w:r>
      <w:r>
        <w:t>remains</w:t>
      </w:r>
      <w:r>
        <w:rPr>
          <w:spacing w:val="-3"/>
        </w:rPr>
        <w:t xml:space="preserve"> </w:t>
      </w:r>
      <w:r>
        <w:t>a</w:t>
      </w:r>
      <w:r>
        <w:rPr>
          <w:spacing w:val="-3"/>
        </w:rPr>
        <w:t xml:space="preserve"> </w:t>
      </w:r>
      <w:r>
        <w:t>priority</w:t>
      </w:r>
      <w:r>
        <w:rPr>
          <w:spacing w:val="-3"/>
        </w:rPr>
        <w:t xml:space="preserve"> </w:t>
      </w:r>
      <w:r>
        <w:t>for</w:t>
      </w:r>
      <w:r>
        <w:rPr>
          <w:spacing w:val="-3"/>
        </w:rPr>
        <w:t xml:space="preserve"> </w:t>
      </w:r>
      <w:r>
        <w:t>QLS</w:t>
      </w:r>
      <w:r>
        <w:rPr>
          <w:spacing w:val="-3"/>
        </w:rPr>
        <w:t xml:space="preserve"> </w:t>
      </w:r>
      <w:r>
        <w:t>and</w:t>
      </w:r>
      <w:r>
        <w:rPr>
          <w:spacing w:val="-3"/>
        </w:rPr>
        <w:t xml:space="preserve"> </w:t>
      </w:r>
      <w:r>
        <w:t>our</w:t>
      </w:r>
      <w:r>
        <w:rPr>
          <w:spacing w:val="-3"/>
        </w:rPr>
        <w:t xml:space="preserve"> </w:t>
      </w:r>
      <w:r>
        <w:t>efforts</w:t>
      </w:r>
      <w:r>
        <w:rPr>
          <w:spacing w:val="-3"/>
        </w:rPr>
        <w:t xml:space="preserve"> </w:t>
      </w:r>
      <w:r>
        <w:t>to</w:t>
      </w:r>
      <w:r>
        <w:rPr>
          <w:spacing w:val="-3"/>
        </w:rPr>
        <w:t xml:space="preserve"> </w:t>
      </w:r>
      <w:r>
        <w:t>progress</w:t>
      </w:r>
      <w:r>
        <w:rPr>
          <w:spacing w:val="-3"/>
        </w:rPr>
        <w:t xml:space="preserve"> </w:t>
      </w:r>
      <w:r>
        <w:t>our reconciliation</w:t>
      </w:r>
      <w:r>
        <w:rPr>
          <w:spacing w:val="-1"/>
        </w:rPr>
        <w:t xml:space="preserve"> </w:t>
      </w:r>
      <w:r>
        <w:t>journey</w:t>
      </w:r>
      <w:r>
        <w:rPr>
          <w:spacing w:val="-1"/>
        </w:rPr>
        <w:t xml:space="preserve"> </w:t>
      </w:r>
      <w:r>
        <w:t>is</w:t>
      </w:r>
      <w:r>
        <w:rPr>
          <w:spacing w:val="-1"/>
        </w:rPr>
        <w:t xml:space="preserve"> </w:t>
      </w:r>
      <w:r>
        <w:t>documented</w:t>
      </w:r>
      <w:r>
        <w:rPr>
          <w:spacing w:val="-1"/>
        </w:rPr>
        <w:t xml:space="preserve"> </w:t>
      </w:r>
      <w:r>
        <w:t>in</w:t>
      </w:r>
      <w:r>
        <w:rPr>
          <w:spacing w:val="-1"/>
        </w:rPr>
        <w:t xml:space="preserve"> </w:t>
      </w:r>
      <w:r>
        <w:t>our</w:t>
      </w:r>
      <w:r>
        <w:rPr>
          <w:spacing w:val="-1"/>
        </w:rPr>
        <w:t xml:space="preserve"> </w:t>
      </w:r>
      <w:r>
        <w:t>First</w:t>
      </w:r>
      <w:r>
        <w:rPr>
          <w:spacing w:val="-1"/>
        </w:rPr>
        <w:t xml:space="preserve"> </w:t>
      </w:r>
      <w:r>
        <w:t>Nations</w:t>
      </w:r>
      <w:r>
        <w:rPr>
          <w:spacing w:val="-1"/>
        </w:rPr>
        <w:t xml:space="preserve"> </w:t>
      </w:r>
      <w:r>
        <w:t>Cultural</w:t>
      </w:r>
      <w:r>
        <w:rPr>
          <w:spacing w:val="-1"/>
        </w:rPr>
        <w:t xml:space="preserve"> </w:t>
      </w:r>
      <w:r>
        <w:t>Outreach</w:t>
      </w:r>
      <w:r>
        <w:rPr>
          <w:spacing w:val="-1"/>
        </w:rPr>
        <w:t xml:space="preserve"> </w:t>
      </w:r>
      <w:r>
        <w:t>Strategy</w:t>
      </w:r>
      <w:r>
        <w:rPr>
          <w:spacing w:val="-1"/>
        </w:rPr>
        <w:t xml:space="preserve"> </w:t>
      </w:r>
      <w:r>
        <w:t>2020-25</w:t>
      </w:r>
      <w:r>
        <w:rPr>
          <w:spacing w:val="-1"/>
        </w:rPr>
        <w:t xml:space="preserve"> </w:t>
      </w:r>
      <w:r>
        <w:t>and</w:t>
      </w:r>
      <w:r>
        <w:rPr>
          <w:spacing w:val="-1"/>
        </w:rPr>
        <w:t xml:space="preserve"> </w:t>
      </w:r>
      <w:r>
        <w:t>the annual First Nations Plan 2022-23. We have also supported the work the Diverse</w:t>
      </w:r>
      <w:r>
        <w:rPr>
          <w:spacing w:val="-4"/>
        </w:rPr>
        <w:t xml:space="preserve"> </w:t>
      </w:r>
      <w:r>
        <w:t xml:space="preserve">Abilities Network has done this year to increase awareness and understanding of diverse abilities within the legal profession and continued supporting </w:t>
      </w:r>
      <w:proofErr w:type="spellStart"/>
      <w:r>
        <w:t>organisations</w:t>
      </w:r>
      <w:proofErr w:type="spellEnd"/>
      <w:r>
        <w:t xml:space="preserve"> such as Pride in Law that champion the rights of the LGBTQIA+ community within the profession.</w:t>
      </w:r>
    </w:p>
    <w:p w14:paraId="7977760E" w14:textId="77777777" w:rsidR="00AC6F3C" w:rsidRDefault="00AC6F3C">
      <w:pPr>
        <w:pStyle w:val="BodyText"/>
        <w:spacing w:before="8"/>
        <w:rPr>
          <w:sz w:val="22"/>
        </w:rPr>
      </w:pPr>
    </w:p>
    <w:p w14:paraId="76F8F32A" w14:textId="77777777" w:rsidR="00AC6F3C" w:rsidRDefault="00570E88">
      <w:pPr>
        <w:ind w:left="815"/>
        <w:jc w:val="both"/>
        <w:rPr>
          <w:sz w:val="13"/>
        </w:rPr>
      </w:pPr>
      <w:r>
        <w:rPr>
          <w:spacing w:val="-4"/>
          <w:position w:val="4"/>
          <w:sz w:val="7"/>
        </w:rPr>
        <w:t>#</w:t>
      </w:r>
      <w:r>
        <w:rPr>
          <w:spacing w:val="-4"/>
          <w:sz w:val="13"/>
        </w:rPr>
        <w:t>Membership</w:t>
      </w:r>
      <w:r>
        <w:rPr>
          <w:spacing w:val="-5"/>
          <w:sz w:val="13"/>
        </w:rPr>
        <w:t xml:space="preserve"> </w:t>
      </w:r>
      <w:r>
        <w:rPr>
          <w:spacing w:val="-4"/>
          <w:sz w:val="13"/>
        </w:rPr>
        <w:t xml:space="preserve">and </w:t>
      </w:r>
      <w:proofErr w:type="spellStart"/>
      <w:r>
        <w:rPr>
          <w:spacing w:val="-4"/>
          <w:sz w:val="13"/>
        </w:rPr>
        <w:t>practising</w:t>
      </w:r>
      <w:proofErr w:type="spellEnd"/>
      <w:r>
        <w:rPr>
          <w:spacing w:val="-4"/>
          <w:sz w:val="13"/>
        </w:rPr>
        <w:t xml:space="preserve"> certificate figures circulated through Dynamics software based</w:t>
      </w:r>
      <w:r>
        <w:rPr>
          <w:spacing w:val="-5"/>
          <w:sz w:val="13"/>
        </w:rPr>
        <w:t xml:space="preserve"> </w:t>
      </w:r>
      <w:r>
        <w:rPr>
          <w:spacing w:val="-4"/>
          <w:sz w:val="13"/>
        </w:rPr>
        <w:t>on available data as at 30 June 2023</w:t>
      </w:r>
    </w:p>
    <w:p w14:paraId="47958AAB" w14:textId="77777777" w:rsidR="00AC6F3C" w:rsidRDefault="00AC6F3C">
      <w:pPr>
        <w:jc w:val="both"/>
        <w:rPr>
          <w:sz w:val="13"/>
        </w:rPr>
        <w:sectPr w:rsidR="00AC6F3C">
          <w:headerReference w:type="default" r:id="rId146"/>
          <w:footerReference w:type="default" r:id="rId147"/>
          <w:pgSz w:w="11910" w:h="16840"/>
          <w:pgMar w:top="980" w:right="1160" w:bottom="520" w:left="460" w:header="0" w:footer="336" w:gutter="0"/>
          <w:cols w:space="720"/>
        </w:sectPr>
      </w:pPr>
    </w:p>
    <w:p w14:paraId="4EF59810" w14:textId="77777777" w:rsidR="00AC6F3C" w:rsidRDefault="00570E88">
      <w:pPr>
        <w:pStyle w:val="BodyText"/>
        <w:spacing w:before="76" w:line="249" w:lineRule="auto"/>
        <w:ind w:left="815" w:right="234"/>
      </w:pPr>
      <w:r>
        <w:lastRenderedPageBreak/>
        <w:t>It is with great pride we advocate on behalf of Queensland’s 14,917</w:t>
      </w:r>
      <w:r>
        <w:rPr>
          <w:position w:val="7"/>
          <w:sz w:val="11"/>
        </w:rPr>
        <w:t>#</w:t>
      </w:r>
      <w:r>
        <w:rPr>
          <w:spacing w:val="31"/>
          <w:position w:val="7"/>
          <w:sz w:val="11"/>
        </w:rPr>
        <w:t xml:space="preserve"> </w:t>
      </w:r>
      <w:r>
        <w:t>solicitors. This year over 350 volunteer</w:t>
      </w:r>
      <w:r>
        <w:rPr>
          <w:spacing w:val="-3"/>
        </w:rPr>
        <w:t xml:space="preserve"> </w:t>
      </w:r>
      <w:r>
        <w:t>committee</w:t>
      </w:r>
      <w:r>
        <w:rPr>
          <w:spacing w:val="-3"/>
        </w:rPr>
        <w:t xml:space="preserve"> </w:t>
      </w:r>
      <w:r>
        <w:t>members</w:t>
      </w:r>
      <w:r>
        <w:rPr>
          <w:spacing w:val="-3"/>
        </w:rPr>
        <w:t xml:space="preserve"> </w:t>
      </w:r>
      <w:r>
        <w:t>who</w:t>
      </w:r>
      <w:r>
        <w:rPr>
          <w:spacing w:val="-3"/>
        </w:rPr>
        <w:t xml:space="preserve"> </w:t>
      </w:r>
      <w:r>
        <w:t>form</w:t>
      </w:r>
      <w:r>
        <w:rPr>
          <w:spacing w:val="-3"/>
        </w:rPr>
        <w:t xml:space="preserve"> </w:t>
      </w:r>
      <w:r>
        <w:t>our</w:t>
      </w:r>
      <w:r>
        <w:rPr>
          <w:spacing w:val="-3"/>
        </w:rPr>
        <w:t xml:space="preserve"> </w:t>
      </w:r>
      <w:r>
        <w:t>29</w:t>
      </w:r>
      <w:r>
        <w:rPr>
          <w:spacing w:val="-3"/>
        </w:rPr>
        <w:t xml:space="preserve"> </w:t>
      </w:r>
      <w:r>
        <w:t>standing</w:t>
      </w:r>
      <w:r>
        <w:rPr>
          <w:spacing w:val="-3"/>
        </w:rPr>
        <w:t xml:space="preserve"> </w:t>
      </w:r>
      <w:r>
        <w:t>policy</w:t>
      </w:r>
      <w:r>
        <w:rPr>
          <w:spacing w:val="-3"/>
        </w:rPr>
        <w:t xml:space="preserve"> </w:t>
      </w:r>
      <w:r>
        <w:t>and</w:t>
      </w:r>
      <w:r>
        <w:rPr>
          <w:spacing w:val="-3"/>
        </w:rPr>
        <w:t xml:space="preserve"> </w:t>
      </w:r>
      <w:r>
        <w:t>three</w:t>
      </w:r>
      <w:r>
        <w:rPr>
          <w:spacing w:val="-3"/>
        </w:rPr>
        <w:t xml:space="preserve"> </w:t>
      </w:r>
      <w:r>
        <w:t>membership</w:t>
      </w:r>
      <w:r>
        <w:rPr>
          <w:spacing w:val="-3"/>
        </w:rPr>
        <w:t xml:space="preserve"> </w:t>
      </w:r>
      <w:r>
        <w:t>committees</w:t>
      </w:r>
      <w:r>
        <w:rPr>
          <w:spacing w:val="-3"/>
        </w:rPr>
        <w:t xml:space="preserve"> </w:t>
      </w:r>
      <w:r>
        <w:t>gave up their time, effort and expertise to ensure the views of the profession are represented in government and the community.</w:t>
      </w:r>
    </w:p>
    <w:p w14:paraId="3ED784C4" w14:textId="77777777" w:rsidR="00AC6F3C" w:rsidRDefault="00570E88">
      <w:pPr>
        <w:pStyle w:val="BodyText"/>
        <w:spacing w:before="173" w:line="249" w:lineRule="auto"/>
        <w:ind w:left="815" w:right="326"/>
        <w:jc w:val="both"/>
      </w:pPr>
      <w:r>
        <w:t>Equally, our QLS Ethics and Practice Centre team strive to provide the profession with expert guidance on</w:t>
      </w:r>
      <w:r>
        <w:rPr>
          <w:spacing w:val="-3"/>
        </w:rPr>
        <w:t xml:space="preserve"> </w:t>
      </w:r>
      <w:r>
        <w:t>ethical</w:t>
      </w:r>
      <w:r>
        <w:rPr>
          <w:spacing w:val="-3"/>
        </w:rPr>
        <w:t xml:space="preserve"> </w:t>
      </w:r>
      <w:r>
        <w:t>issues</w:t>
      </w:r>
      <w:r>
        <w:rPr>
          <w:spacing w:val="-3"/>
        </w:rPr>
        <w:t xml:space="preserve"> </w:t>
      </w:r>
      <w:r>
        <w:t>and</w:t>
      </w:r>
      <w:r>
        <w:rPr>
          <w:spacing w:val="-3"/>
        </w:rPr>
        <w:t xml:space="preserve"> </w:t>
      </w:r>
      <w:r>
        <w:t>practice</w:t>
      </w:r>
      <w:r>
        <w:rPr>
          <w:spacing w:val="-3"/>
        </w:rPr>
        <w:t xml:space="preserve"> </w:t>
      </w:r>
      <w:r>
        <w:t>support.</w:t>
      </w:r>
      <w:r>
        <w:rPr>
          <w:spacing w:val="-7"/>
        </w:rPr>
        <w:t xml:space="preserve"> </w:t>
      </w:r>
      <w:r>
        <w:t>These</w:t>
      </w:r>
      <w:r>
        <w:rPr>
          <w:spacing w:val="-3"/>
        </w:rPr>
        <w:t xml:space="preserve"> </w:t>
      </w:r>
      <w:r>
        <w:t>efforts</w:t>
      </w:r>
      <w:r>
        <w:rPr>
          <w:spacing w:val="-3"/>
        </w:rPr>
        <w:t xml:space="preserve"> </w:t>
      </w:r>
      <w:r>
        <w:t>go</w:t>
      </w:r>
      <w:r>
        <w:rPr>
          <w:spacing w:val="-3"/>
        </w:rPr>
        <w:t xml:space="preserve"> </w:t>
      </w:r>
      <w:r>
        <w:t>a</w:t>
      </w:r>
      <w:r>
        <w:rPr>
          <w:spacing w:val="-3"/>
        </w:rPr>
        <w:t xml:space="preserve"> </w:t>
      </w:r>
      <w:r>
        <w:t>long</w:t>
      </w:r>
      <w:r>
        <w:rPr>
          <w:spacing w:val="-3"/>
        </w:rPr>
        <w:t xml:space="preserve"> </w:t>
      </w:r>
      <w:r>
        <w:t>way</w:t>
      </w:r>
      <w:r>
        <w:rPr>
          <w:spacing w:val="-3"/>
        </w:rPr>
        <w:t xml:space="preserve"> </w:t>
      </w:r>
      <w:r>
        <w:t>toward</w:t>
      </w:r>
      <w:r>
        <w:rPr>
          <w:spacing w:val="-3"/>
        </w:rPr>
        <w:t xml:space="preserve"> </w:t>
      </w:r>
      <w:r>
        <w:t>achieving</w:t>
      </w:r>
      <w:r>
        <w:rPr>
          <w:spacing w:val="-3"/>
        </w:rPr>
        <w:t xml:space="preserve"> </w:t>
      </w:r>
      <w:r>
        <w:t>our</w:t>
      </w:r>
      <w:r>
        <w:rPr>
          <w:spacing w:val="-3"/>
        </w:rPr>
        <w:t xml:space="preserve"> </w:t>
      </w:r>
      <w:r>
        <w:t>vision</w:t>
      </w:r>
      <w:r>
        <w:rPr>
          <w:spacing w:val="-3"/>
        </w:rPr>
        <w:t xml:space="preserve"> </w:t>
      </w:r>
      <w:r>
        <w:t>of</w:t>
      </w:r>
      <w:r>
        <w:rPr>
          <w:spacing w:val="-3"/>
        </w:rPr>
        <w:t xml:space="preserve"> </w:t>
      </w:r>
      <w:r>
        <w:t>Good Law, Good Lawyers and Public Good.</w:t>
      </w:r>
    </w:p>
    <w:p w14:paraId="6D0D1CB5" w14:textId="77777777" w:rsidR="00AC6F3C" w:rsidRDefault="00570E88">
      <w:pPr>
        <w:pStyle w:val="BodyText"/>
        <w:spacing w:before="172"/>
        <w:ind w:left="815"/>
      </w:pPr>
      <w:r>
        <w:t>Acknowledging</w:t>
      </w:r>
      <w:r>
        <w:rPr>
          <w:spacing w:val="-6"/>
        </w:rPr>
        <w:t xml:space="preserve"> </w:t>
      </w:r>
      <w:r>
        <w:t>our</w:t>
      </w:r>
      <w:r>
        <w:rPr>
          <w:spacing w:val="-3"/>
        </w:rPr>
        <w:t xml:space="preserve"> </w:t>
      </w:r>
      <w:r>
        <w:t>members</w:t>
      </w:r>
      <w:r>
        <w:rPr>
          <w:spacing w:val="-3"/>
        </w:rPr>
        <w:t xml:space="preserve"> </w:t>
      </w:r>
      <w:r>
        <w:t>and</w:t>
      </w:r>
      <w:r>
        <w:rPr>
          <w:spacing w:val="-3"/>
        </w:rPr>
        <w:t xml:space="preserve"> </w:t>
      </w:r>
      <w:r>
        <w:t>celebrating</w:t>
      </w:r>
      <w:r>
        <w:rPr>
          <w:spacing w:val="-3"/>
        </w:rPr>
        <w:t xml:space="preserve"> </w:t>
      </w:r>
      <w:r>
        <w:t>their</w:t>
      </w:r>
      <w:r>
        <w:rPr>
          <w:spacing w:val="-3"/>
        </w:rPr>
        <w:t xml:space="preserve"> </w:t>
      </w:r>
      <w:r>
        <w:t>contributions</w:t>
      </w:r>
      <w:r>
        <w:rPr>
          <w:spacing w:val="-3"/>
        </w:rPr>
        <w:t xml:space="preserve"> </w:t>
      </w:r>
      <w:r>
        <w:t>to</w:t>
      </w:r>
      <w:r>
        <w:rPr>
          <w:spacing w:val="-3"/>
        </w:rPr>
        <w:t xml:space="preserve"> </w:t>
      </w:r>
      <w:r>
        <w:t>the</w:t>
      </w:r>
      <w:r>
        <w:rPr>
          <w:spacing w:val="-3"/>
        </w:rPr>
        <w:t xml:space="preserve"> </w:t>
      </w:r>
      <w:r>
        <w:t>profession</w:t>
      </w:r>
      <w:r>
        <w:rPr>
          <w:spacing w:val="-3"/>
        </w:rPr>
        <w:t xml:space="preserve"> </w:t>
      </w:r>
      <w:r>
        <w:t>is</w:t>
      </w:r>
      <w:r>
        <w:rPr>
          <w:spacing w:val="-3"/>
        </w:rPr>
        <w:t xml:space="preserve"> </w:t>
      </w:r>
      <w:r>
        <w:t>central</w:t>
      </w:r>
      <w:r>
        <w:rPr>
          <w:spacing w:val="-3"/>
        </w:rPr>
        <w:t xml:space="preserve"> </w:t>
      </w:r>
      <w:r>
        <w:t>to</w:t>
      </w:r>
      <w:r>
        <w:rPr>
          <w:spacing w:val="-3"/>
        </w:rPr>
        <w:t xml:space="preserve"> </w:t>
      </w:r>
      <w:r>
        <w:t>our</w:t>
      </w:r>
      <w:r>
        <w:rPr>
          <w:spacing w:val="-3"/>
        </w:rPr>
        <w:t xml:space="preserve"> </w:t>
      </w:r>
      <w:r>
        <w:rPr>
          <w:spacing w:val="-2"/>
        </w:rPr>
        <w:t>vision.</w:t>
      </w:r>
    </w:p>
    <w:p w14:paraId="2B132CDD" w14:textId="77777777" w:rsidR="00AC6F3C" w:rsidRDefault="00570E88">
      <w:pPr>
        <w:pStyle w:val="BodyText"/>
        <w:spacing w:before="10" w:line="249" w:lineRule="auto"/>
        <w:ind w:left="815" w:right="539"/>
      </w:pPr>
      <w:r>
        <w:t>This report outlines the many different ways we appreciate and value our members which includes our</w:t>
      </w:r>
      <w:r>
        <w:rPr>
          <w:spacing w:val="-4"/>
        </w:rPr>
        <w:t xml:space="preserve"> </w:t>
      </w:r>
      <w:r>
        <w:t>QLS</w:t>
      </w:r>
      <w:r>
        <w:rPr>
          <w:spacing w:val="-14"/>
        </w:rPr>
        <w:t xml:space="preserve"> </w:t>
      </w:r>
      <w:r>
        <w:t>Awards</w:t>
      </w:r>
      <w:r>
        <w:rPr>
          <w:spacing w:val="-4"/>
        </w:rPr>
        <w:t xml:space="preserve"> </w:t>
      </w:r>
      <w:r>
        <w:t>program.</w:t>
      </w:r>
      <w:r>
        <w:rPr>
          <w:spacing w:val="-4"/>
        </w:rPr>
        <w:t xml:space="preserve"> </w:t>
      </w:r>
      <w:r>
        <w:t>We</w:t>
      </w:r>
      <w:r>
        <w:rPr>
          <w:spacing w:val="-4"/>
        </w:rPr>
        <w:t xml:space="preserve"> </w:t>
      </w:r>
      <w:r>
        <w:t>also</w:t>
      </w:r>
      <w:r>
        <w:rPr>
          <w:spacing w:val="-4"/>
        </w:rPr>
        <w:t xml:space="preserve"> </w:t>
      </w:r>
      <w:r>
        <w:t>acknowledge</w:t>
      </w:r>
      <w:r>
        <w:rPr>
          <w:spacing w:val="-4"/>
        </w:rPr>
        <w:t xml:space="preserve"> </w:t>
      </w:r>
      <w:r>
        <w:t>our</w:t>
      </w:r>
      <w:r>
        <w:rPr>
          <w:spacing w:val="-4"/>
        </w:rPr>
        <w:t xml:space="preserve"> </w:t>
      </w:r>
      <w:r>
        <w:t>long-standing</w:t>
      </w:r>
      <w:r>
        <w:rPr>
          <w:spacing w:val="-4"/>
        </w:rPr>
        <w:t xml:space="preserve"> </w:t>
      </w:r>
      <w:r>
        <w:t>members</w:t>
      </w:r>
      <w:r>
        <w:rPr>
          <w:spacing w:val="-4"/>
        </w:rPr>
        <w:t xml:space="preserve"> </w:t>
      </w:r>
      <w:r>
        <w:t>through</w:t>
      </w:r>
      <w:r>
        <w:rPr>
          <w:spacing w:val="-4"/>
        </w:rPr>
        <w:t xml:space="preserve"> </w:t>
      </w:r>
      <w:r>
        <w:t>Honorary</w:t>
      </w:r>
      <w:r>
        <w:rPr>
          <w:spacing w:val="-4"/>
        </w:rPr>
        <w:t xml:space="preserve"> </w:t>
      </w:r>
      <w:r>
        <w:t>QLS Membership and 25-year and 50-year member pins.</w:t>
      </w:r>
    </w:p>
    <w:p w14:paraId="19ACDD59" w14:textId="77777777" w:rsidR="00AC6F3C" w:rsidRDefault="00570E88">
      <w:pPr>
        <w:pStyle w:val="BodyText"/>
        <w:spacing w:before="173" w:line="249" w:lineRule="auto"/>
        <w:ind w:left="815"/>
      </w:pPr>
      <w:r>
        <w:t>Congratulations</w:t>
      </w:r>
      <w:r>
        <w:rPr>
          <w:spacing w:val="-3"/>
        </w:rPr>
        <w:t xml:space="preserve"> </w:t>
      </w:r>
      <w:r>
        <w:t>to</w:t>
      </w:r>
      <w:r>
        <w:rPr>
          <w:spacing w:val="-3"/>
        </w:rPr>
        <w:t xml:space="preserve"> </w:t>
      </w:r>
      <w:r>
        <w:t>the</w:t>
      </w:r>
      <w:r>
        <w:rPr>
          <w:spacing w:val="-3"/>
        </w:rPr>
        <w:t xml:space="preserve"> </w:t>
      </w:r>
      <w:r>
        <w:t>following</w:t>
      </w:r>
      <w:r>
        <w:rPr>
          <w:spacing w:val="-3"/>
        </w:rPr>
        <w:t xml:space="preserve"> </w:t>
      </w:r>
      <w:r>
        <w:t>individuals</w:t>
      </w:r>
      <w:r>
        <w:rPr>
          <w:spacing w:val="-3"/>
        </w:rPr>
        <w:t xml:space="preserve"> </w:t>
      </w:r>
      <w:r>
        <w:t>awarded</w:t>
      </w:r>
      <w:r>
        <w:rPr>
          <w:spacing w:val="-3"/>
        </w:rPr>
        <w:t xml:space="preserve"> </w:t>
      </w:r>
      <w:r>
        <w:t>Honorary</w:t>
      </w:r>
      <w:r>
        <w:rPr>
          <w:spacing w:val="-3"/>
        </w:rPr>
        <w:t xml:space="preserve"> </w:t>
      </w:r>
      <w:r>
        <w:t>QLS</w:t>
      </w:r>
      <w:r>
        <w:rPr>
          <w:spacing w:val="-3"/>
        </w:rPr>
        <w:t xml:space="preserve"> </w:t>
      </w:r>
      <w:r>
        <w:t>Membership</w:t>
      </w:r>
      <w:r>
        <w:rPr>
          <w:spacing w:val="-3"/>
        </w:rPr>
        <w:t xml:space="preserve"> </w:t>
      </w:r>
      <w:r>
        <w:t>during</w:t>
      </w:r>
      <w:r>
        <w:rPr>
          <w:spacing w:val="-3"/>
        </w:rPr>
        <w:t xml:space="preserve"> </w:t>
      </w:r>
      <w:r>
        <w:t>the</w:t>
      </w:r>
      <w:r>
        <w:rPr>
          <w:spacing w:val="-3"/>
        </w:rPr>
        <w:t xml:space="preserve"> </w:t>
      </w:r>
      <w:r>
        <w:t>2022-23</w:t>
      </w:r>
      <w:r>
        <w:rPr>
          <w:spacing w:val="-3"/>
        </w:rPr>
        <w:t xml:space="preserve"> </w:t>
      </w:r>
      <w:r>
        <w:t>year (Admission date order):</w:t>
      </w:r>
    </w:p>
    <w:p w14:paraId="17B4689D" w14:textId="77777777" w:rsidR="00AC6F3C" w:rsidRDefault="00AC6F3C">
      <w:pPr>
        <w:spacing w:line="249" w:lineRule="auto"/>
        <w:sectPr w:rsidR="00AC6F3C">
          <w:headerReference w:type="default" r:id="rId148"/>
          <w:footerReference w:type="default" r:id="rId149"/>
          <w:pgSz w:w="11910" w:h="16840"/>
          <w:pgMar w:top="1140" w:right="1160" w:bottom="520" w:left="460" w:header="0" w:footer="336" w:gutter="0"/>
          <w:cols w:space="720"/>
        </w:sectPr>
      </w:pPr>
    </w:p>
    <w:p w14:paraId="7F1E1B3C" w14:textId="77777777" w:rsidR="00AC6F3C" w:rsidRDefault="00570E88">
      <w:pPr>
        <w:pStyle w:val="BodyText"/>
        <w:spacing w:before="157" w:line="338" w:lineRule="auto"/>
        <w:ind w:left="815"/>
      </w:pPr>
      <w:r>
        <w:t>David Phipps Robert Lehn Dennis Boucher Michael</w:t>
      </w:r>
      <w:r>
        <w:rPr>
          <w:spacing w:val="-14"/>
        </w:rPr>
        <w:t xml:space="preserve"> </w:t>
      </w:r>
      <w:r>
        <w:t>Kyle</w:t>
      </w:r>
      <w:r>
        <w:rPr>
          <w:spacing w:val="-14"/>
        </w:rPr>
        <w:t xml:space="preserve"> </w:t>
      </w:r>
      <w:r>
        <w:t>OAM Paul Sayer</w:t>
      </w:r>
    </w:p>
    <w:p w14:paraId="4107C296" w14:textId="77777777" w:rsidR="00AC6F3C" w:rsidRDefault="00570E88">
      <w:pPr>
        <w:pStyle w:val="BodyText"/>
        <w:spacing w:before="4"/>
        <w:ind w:left="815"/>
      </w:pPr>
      <w:r>
        <w:t>Brian</w:t>
      </w:r>
      <w:r>
        <w:rPr>
          <w:spacing w:val="-4"/>
        </w:rPr>
        <w:t xml:space="preserve"> </w:t>
      </w:r>
      <w:r>
        <w:rPr>
          <w:spacing w:val="-2"/>
        </w:rPr>
        <w:t>Bartley</w:t>
      </w:r>
    </w:p>
    <w:p w14:paraId="61C0BCA5" w14:textId="77777777" w:rsidR="00AC6F3C" w:rsidRDefault="00570E88">
      <w:pPr>
        <w:pStyle w:val="BodyText"/>
        <w:spacing w:before="157" w:line="338" w:lineRule="auto"/>
        <w:ind w:left="815" w:right="4435"/>
      </w:pPr>
      <w:r>
        <w:br w:type="column"/>
      </w:r>
      <w:r>
        <w:t>Keith Bow Donald Boyd Peter</w:t>
      </w:r>
      <w:r>
        <w:rPr>
          <w:spacing w:val="-14"/>
        </w:rPr>
        <w:t xml:space="preserve"> </w:t>
      </w:r>
      <w:r>
        <w:t>Challen Raoul</w:t>
      </w:r>
      <w:r>
        <w:rPr>
          <w:spacing w:val="-4"/>
        </w:rPr>
        <w:t xml:space="preserve"> </w:t>
      </w:r>
      <w:proofErr w:type="spellStart"/>
      <w:r>
        <w:rPr>
          <w:spacing w:val="-2"/>
        </w:rPr>
        <w:t>Giudes</w:t>
      </w:r>
      <w:proofErr w:type="spellEnd"/>
    </w:p>
    <w:p w14:paraId="3A120313" w14:textId="77777777" w:rsidR="00AC6F3C" w:rsidRDefault="00570E88">
      <w:pPr>
        <w:pStyle w:val="BodyText"/>
        <w:spacing w:before="3" w:line="338" w:lineRule="auto"/>
        <w:ind w:left="815" w:right="3782"/>
      </w:pPr>
      <w:r>
        <w:t>Dr</w:t>
      </w:r>
      <w:r>
        <w:rPr>
          <w:spacing w:val="-12"/>
        </w:rPr>
        <w:t xml:space="preserve"> </w:t>
      </w:r>
      <w:r>
        <w:t>John</w:t>
      </w:r>
      <w:r>
        <w:rPr>
          <w:spacing w:val="-12"/>
        </w:rPr>
        <w:t xml:space="preserve"> </w:t>
      </w:r>
      <w:r>
        <w:t>de</w:t>
      </w:r>
      <w:r>
        <w:rPr>
          <w:spacing w:val="-12"/>
        </w:rPr>
        <w:t xml:space="preserve"> </w:t>
      </w:r>
      <w:r>
        <w:t>Groot Michael Klug</w:t>
      </w:r>
    </w:p>
    <w:p w14:paraId="600CB06A" w14:textId="77777777" w:rsidR="00AC6F3C" w:rsidRDefault="00AC6F3C">
      <w:pPr>
        <w:spacing w:line="338" w:lineRule="auto"/>
        <w:sectPr w:rsidR="00AC6F3C">
          <w:type w:val="continuous"/>
          <w:pgSz w:w="11910" w:h="16840"/>
          <w:pgMar w:top="1920" w:right="1160" w:bottom="280" w:left="460" w:header="0" w:footer="336" w:gutter="0"/>
          <w:cols w:num="2" w:space="720" w:equalWidth="0">
            <w:col w:w="2501" w:space="1024"/>
            <w:col w:w="6765"/>
          </w:cols>
        </w:sectPr>
      </w:pPr>
    </w:p>
    <w:p w14:paraId="61D8BB68" w14:textId="77777777" w:rsidR="00AC6F3C" w:rsidRDefault="00AC6F3C">
      <w:pPr>
        <w:pStyle w:val="BodyText"/>
      </w:pPr>
    </w:p>
    <w:p w14:paraId="529A6A02" w14:textId="77777777" w:rsidR="00AC6F3C" w:rsidRDefault="00AC6F3C">
      <w:pPr>
        <w:pStyle w:val="BodyText"/>
      </w:pPr>
    </w:p>
    <w:p w14:paraId="08E1B7C8" w14:textId="77777777" w:rsidR="00AC6F3C" w:rsidRDefault="00AC6F3C">
      <w:pPr>
        <w:pStyle w:val="BodyText"/>
      </w:pPr>
    </w:p>
    <w:p w14:paraId="56541A18" w14:textId="77777777" w:rsidR="00AC6F3C" w:rsidRDefault="00AC6F3C">
      <w:pPr>
        <w:pStyle w:val="BodyText"/>
      </w:pPr>
    </w:p>
    <w:p w14:paraId="7379EB86" w14:textId="77777777" w:rsidR="00AC6F3C" w:rsidRDefault="00AC6F3C">
      <w:pPr>
        <w:pStyle w:val="BodyText"/>
      </w:pPr>
    </w:p>
    <w:p w14:paraId="274D6798" w14:textId="77777777" w:rsidR="00AC6F3C" w:rsidRDefault="00AC6F3C">
      <w:pPr>
        <w:pStyle w:val="BodyText"/>
      </w:pPr>
    </w:p>
    <w:p w14:paraId="5F8C0C0E" w14:textId="77777777" w:rsidR="00AC6F3C" w:rsidRDefault="00AC6F3C">
      <w:pPr>
        <w:pStyle w:val="BodyText"/>
      </w:pPr>
    </w:p>
    <w:p w14:paraId="1AB76D20" w14:textId="77777777" w:rsidR="00AC6F3C" w:rsidRDefault="00AC6F3C">
      <w:pPr>
        <w:pStyle w:val="BodyText"/>
      </w:pPr>
    </w:p>
    <w:p w14:paraId="09E217A8" w14:textId="77777777" w:rsidR="00AC6F3C" w:rsidRDefault="00AC6F3C">
      <w:pPr>
        <w:pStyle w:val="BodyText"/>
      </w:pPr>
    </w:p>
    <w:p w14:paraId="41B22FE5" w14:textId="77777777" w:rsidR="00AC6F3C" w:rsidRDefault="00AC6F3C">
      <w:pPr>
        <w:pStyle w:val="BodyText"/>
      </w:pPr>
    </w:p>
    <w:p w14:paraId="6BE42FF1" w14:textId="77777777" w:rsidR="00AC6F3C" w:rsidRDefault="00AC6F3C">
      <w:pPr>
        <w:pStyle w:val="BodyText"/>
      </w:pPr>
    </w:p>
    <w:p w14:paraId="2C1022E5" w14:textId="77777777" w:rsidR="00AC6F3C" w:rsidRDefault="00AC6F3C">
      <w:pPr>
        <w:pStyle w:val="BodyText"/>
      </w:pPr>
    </w:p>
    <w:p w14:paraId="021765DD" w14:textId="77777777" w:rsidR="00AC6F3C" w:rsidRDefault="00AC6F3C">
      <w:pPr>
        <w:pStyle w:val="BodyText"/>
      </w:pPr>
    </w:p>
    <w:p w14:paraId="56AB8B60" w14:textId="77777777" w:rsidR="00AC6F3C" w:rsidRDefault="00AC6F3C">
      <w:pPr>
        <w:pStyle w:val="BodyText"/>
      </w:pPr>
    </w:p>
    <w:p w14:paraId="0E0ED5A5" w14:textId="77777777" w:rsidR="00AC6F3C" w:rsidRDefault="00AC6F3C">
      <w:pPr>
        <w:pStyle w:val="BodyText"/>
      </w:pPr>
    </w:p>
    <w:p w14:paraId="6A26D768" w14:textId="77777777" w:rsidR="00AC6F3C" w:rsidRDefault="00AC6F3C">
      <w:pPr>
        <w:pStyle w:val="BodyText"/>
      </w:pPr>
    </w:p>
    <w:p w14:paraId="6F22A105" w14:textId="77777777" w:rsidR="00AC6F3C" w:rsidRDefault="00AC6F3C">
      <w:pPr>
        <w:pStyle w:val="BodyText"/>
      </w:pPr>
    </w:p>
    <w:p w14:paraId="1E8840C4" w14:textId="77777777" w:rsidR="00AC6F3C" w:rsidRDefault="00AC6F3C">
      <w:pPr>
        <w:pStyle w:val="BodyText"/>
      </w:pPr>
    </w:p>
    <w:p w14:paraId="6C297418" w14:textId="77777777" w:rsidR="00AC6F3C" w:rsidRDefault="00AC6F3C">
      <w:pPr>
        <w:pStyle w:val="BodyText"/>
      </w:pPr>
    </w:p>
    <w:p w14:paraId="0D57B535" w14:textId="77777777" w:rsidR="00AC6F3C" w:rsidRDefault="00AC6F3C">
      <w:pPr>
        <w:pStyle w:val="BodyText"/>
      </w:pPr>
    </w:p>
    <w:p w14:paraId="78CF68B9" w14:textId="77777777" w:rsidR="00AC6F3C" w:rsidRDefault="00AC6F3C">
      <w:pPr>
        <w:pStyle w:val="BodyText"/>
      </w:pPr>
    </w:p>
    <w:p w14:paraId="47F1836F" w14:textId="77777777" w:rsidR="00AC6F3C" w:rsidRDefault="00AC6F3C">
      <w:pPr>
        <w:pStyle w:val="BodyText"/>
      </w:pPr>
    </w:p>
    <w:p w14:paraId="174C077A" w14:textId="77777777" w:rsidR="00AC6F3C" w:rsidRDefault="00AC6F3C">
      <w:pPr>
        <w:pStyle w:val="BodyText"/>
      </w:pPr>
    </w:p>
    <w:p w14:paraId="5AC7981A" w14:textId="77777777" w:rsidR="00AC6F3C" w:rsidRDefault="00AC6F3C">
      <w:pPr>
        <w:pStyle w:val="BodyText"/>
      </w:pPr>
    </w:p>
    <w:p w14:paraId="362313E8" w14:textId="77777777" w:rsidR="00AC6F3C" w:rsidRDefault="00AC6F3C">
      <w:pPr>
        <w:pStyle w:val="BodyText"/>
      </w:pPr>
    </w:p>
    <w:p w14:paraId="7ABF8BC9" w14:textId="77777777" w:rsidR="00AC6F3C" w:rsidRDefault="00AC6F3C">
      <w:pPr>
        <w:pStyle w:val="BodyText"/>
      </w:pPr>
    </w:p>
    <w:p w14:paraId="21629C6D" w14:textId="77777777" w:rsidR="00AC6F3C" w:rsidRDefault="00AC6F3C">
      <w:pPr>
        <w:pStyle w:val="BodyText"/>
      </w:pPr>
    </w:p>
    <w:p w14:paraId="5F17C58E" w14:textId="77777777" w:rsidR="00AC6F3C" w:rsidRDefault="00AC6F3C">
      <w:pPr>
        <w:pStyle w:val="BodyText"/>
      </w:pPr>
    </w:p>
    <w:p w14:paraId="2E02CF20" w14:textId="77777777" w:rsidR="00AC6F3C" w:rsidRDefault="00AC6F3C">
      <w:pPr>
        <w:pStyle w:val="BodyText"/>
      </w:pPr>
    </w:p>
    <w:p w14:paraId="3CD0BFBD" w14:textId="77777777" w:rsidR="00AC6F3C" w:rsidRDefault="00AC6F3C">
      <w:pPr>
        <w:pStyle w:val="BodyText"/>
      </w:pPr>
    </w:p>
    <w:p w14:paraId="2F588995" w14:textId="77777777" w:rsidR="00AC6F3C" w:rsidRDefault="00AC6F3C">
      <w:pPr>
        <w:pStyle w:val="BodyText"/>
      </w:pPr>
    </w:p>
    <w:p w14:paraId="72A2DD63" w14:textId="77777777" w:rsidR="00AC6F3C" w:rsidRDefault="00AC6F3C">
      <w:pPr>
        <w:pStyle w:val="BodyText"/>
      </w:pPr>
    </w:p>
    <w:p w14:paraId="6D140B02" w14:textId="77777777" w:rsidR="00AC6F3C" w:rsidRDefault="00AC6F3C">
      <w:pPr>
        <w:pStyle w:val="BodyText"/>
      </w:pPr>
    </w:p>
    <w:p w14:paraId="34F7493C" w14:textId="77777777" w:rsidR="00AC6F3C" w:rsidRDefault="00AC6F3C">
      <w:pPr>
        <w:pStyle w:val="BodyText"/>
      </w:pPr>
    </w:p>
    <w:p w14:paraId="0DC13FDE" w14:textId="77777777" w:rsidR="00AC6F3C" w:rsidRDefault="00AC6F3C">
      <w:pPr>
        <w:pStyle w:val="BodyText"/>
      </w:pPr>
    </w:p>
    <w:p w14:paraId="49BBDC8C" w14:textId="77777777" w:rsidR="00AC6F3C" w:rsidRDefault="00AC6F3C">
      <w:pPr>
        <w:pStyle w:val="BodyText"/>
        <w:spacing w:before="1"/>
        <w:rPr>
          <w:sz w:val="21"/>
        </w:rPr>
      </w:pPr>
    </w:p>
    <w:p w14:paraId="4708C9D7" w14:textId="77777777" w:rsidR="00AC6F3C" w:rsidRDefault="00570E88">
      <w:pPr>
        <w:spacing w:before="96"/>
        <w:ind w:left="815"/>
        <w:rPr>
          <w:sz w:val="13"/>
        </w:rPr>
      </w:pPr>
      <w:r>
        <w:rPr>
          <w:spacing w:val="-4"/>
          <w:position w:val="4"/>
          <w:sz w:val="7"/>
        </w:rPr>
        <w:t>#</w:t>
      </w:r>
      <w:r>
        <w:rPr>
          <w:spacing w:val="-4"/>
          <w:sz w:val="13"/>
        </w:rPr>
        <w:t>Membership</w:t>
      </w:r>
      <w:r>
        <w:rPr>
          <w:spacing w:val="-5"/>
          <w:sz w:val="13"/>
        </w:rPr>
        <w:t xml:space="preserve"> </w:t>
      </w:r>
      <w:r>
        <w:rPr>
          <w:spacing w:val="-4"/>
          <w:sz w:val="13"/>
        </w:rPr>
        <w:t xml:space="preserve">and </w:t>
      </w:r>
      <w:proofErr w:type="spellStart"/>
      <w:r>
        <w:rPr>
          <w:spacing w:val="-4"/>
          <w:sz w:val="13"/>
        </w:rPr>
        <w:t>practising</w:t>
      </w:r>
      <w:proofErr w:type="spellEnd"/>
      <w:r>
        <w:rPr>
          <w:spacing w:val="-4"/>
          <w:sz w:val="13"/>
        </w:rPr>
        <w:t xml:space="preserve"> certificate figures circulated through Dynamics software based</w:t>
      </w:r>
      <w:r>
        <w:rPr>
          <w:spacing w:val="-5"/>
          <w:sz w:val="13"/>
        </w:rPr>
        <w:t xml:space="preserve"> </w:t>
      </w:r>
      <w:r>
        <w:rPr>
          <w:spacing w:val="-4"/>
          <w:sz w:val="13"/>
        </w:rPr>
        <w:t>on available data as at 30 June 2023</w:t>
      </w:r>
    </w:p>
    <w:p w14:paraId="373414EC" w14:textId="77777777" w:rsidR="00AC6F3C" w:rsidRDefault="00AC6F3C">
      <w:pPr>
        <w:rPr>
          <w:sz w:val="13"/>
        </w:rPr>
        <w:sectPr w:rsidR="00AC6F3C">
          <w:type w:val="continuous"/>
          <w:pgSz w:w="11910" w:h="16840"/>
          <w:pgMar w:top="1920" w:right="1160" w:bottom="280" w:left="460" w:header="0" w:footer="336" w:gutter="0"/>
          <w:cols w:space="720"/>
        </w:sectPr>
      </w:pPr>
    </w:p>
    <w:p w14:paraId="64137713" w14:textId="77777777" w:rsidR="00AC6F3C" w:rsidRDefault="00570E88">
      <w:pPr>
        <w:pStyle w:val="BodyText"/>
        <w:spacing w:before="71" w:line="249" w:lineRule="auto"/>
        <w:ind w:left="808" w:right="234"/>
      </w:pPr>
      <w:r>
        <w:lastRenderedPageBreak/>
        <w:t>Congratulations</w:t>
      </w:r>
      <w:r>
        <w:rPr>
          <w:spacing w:val="-3"/>
        </w:rPr>
        <w:t xml:space="preserve"> </w:t>
      </w:r>
      <w:r>
        <w:t>to</w:t>
      </w:r>
      <w:r>
        <w:rPr>
          <w:spacing w:val="-3"/>
        </w:rPr>
        <w:t xml:space="preserve"> </w:t>
      </w:r>
      <w:r>
        <w:t>the</w:t>
      </w:r>
      <w:r>
        <w:rPr>
          <w:spacing w:val="-3"/>
        </w:rPr>
        <w:t xml:space="preserve"> </w:t>
      </w:r>
      <w:r>
        <w:t>following</w:t>
      </w:r>
      <w:r>
        <w:rPr>
          <w:spacing w:val="-3"/>
        </w:rPr>
        <w:t xml:space="preserve"> </w:t>
      </w:r>
      <w:r>
        <w:t>individuals</w:t>
      </w:r>
      <w:r>
        <w:rPr>
          <w:spacing w:val="-3"/>
        </w:rPr>
        <w:t xml:space="preserve"> </w:t>
      </w:r>
      <w:r>
        <w:t>who</w:t>
      </w:r>
      <w:r>
        <w:rPr>
          <w:spacing w:val="-3"/>
        </w:rPr>
        <w:t xml:space="preserve"> </w:t>
      </w:r>
      <w:r>
        <w:t>were</w:t>
      </w:r>
      <w:r>
        <w:rPr>
          <w:spacing w:val="-3"/>
        </w:rPr>
        <w:t xml:space="preserve"> </w:t>
      </w:r>
      <w:r>
        <w:t>awarded</w:t>
      </w:r>
      <w:r>
        <w:rPr>
          <w:spacing w:val="-3"/>
        </w:rPr>
        <w:t xml:space="preserve"> </w:t>
      </w:r>
      <w:r>
        <w:t>50-year</w:t>
      </w:r>
      <w:r>
        <w:rPr>
          <w:spacing w:val="-3"/>
        </w:rPr>
        <w:t xml:space="preserve"> </w:t>
      </w:r>
      <w:r>
        <w:t>and</w:t>
      </w:r>
      <w:r>
        <w:rPr>
          <w:spacing w:val="-3"/>
        </w:rPr>
        <w:t xml:space="preserve"> </w:t>
      </w:r>
      <w:r>
        <w:t>25-year</w:t>
      </w:r>
      <w:r>
        <w:rPr>
          <w:spacing w:val="-3"/>
        </w:rPr>
        <w:t xml:space="preserve"> </w:t>
      </w:r>
      <w:r>
        <w:t>Member</w:t>
      </w:r>
      <w:r>
        <w:rPr>
          <w:spacing w:val="-3"/>
        </w:rPr>
        <w:t xml:space="preserve"> </w:t>
      </w:r>
      <w:r>
        <w:t>Pins</w:t>
      </w:r>
      <w:r>
        <w:rPr>
          <w:spacing w:val="-3"/>
        </w:rPr>
        <w:t xml:space="preserve"> </w:t>
      </w:r>
      <w:r>
        <w:t>during the 2022-23 year (Admission date order):</w:t>
      </w:r>
    </w:p>
    <w:p w14:paraId="59CC0FD5" w14:textId="77777777" w:rsidR="00AC6F3C" w:rsidRDefault="00AC6F3C">
      <w:pPr>
        <w:pStyle w:val="BodyText"/>
        <w:spacing w:before="6"/>
        <w:rPr>
          <w:sz w:val="16"/>
        </w:rPr>
      </w:pPr>
    </w:p>
    <w:p w14:paraId="048848DB" w14:textId="77777777" w:rsidR="00AC6F3C" w:rsidRDefault="00AC6F3C">
      <w:pPr>
        <w:rPr>
          <w:sz w:val="16"/>
        </w:rPr>
        <w:sectPr w:rsidR="00AC6F3C">
          <w:headerReference w:type="default" r:id="rId150"/>
          <w:footerReference w:type="default" r:id="rId151"/>
          <w:pgSz w:w="11910" w:h="16840"/>
          <w:pgMar w:top="1140" w:right="1160" w:bottom="520" w:left="460" w:header="0" w:footer="336" w:gutter="0"/>
          <w:cols w:space="720"/>
        </w:sectPr>
      </w:pPr>
    </w:p>
    <w:p w14:paraId="7B5FB14D" w14:textId="77777777" w:rsidR="00AC6F3C" w:rsidRDefault="00570E88">
      <w:pPr>
        <w:spacing w:before="92"/>
        <w:ind w:left="808"/>
        <w:rPr>
          <w:b/>
          <w:sz w:val="26"/>
        </w:rPr>
      </w:pPr>
      <w:r>
        <w:rPr>
          <w:b/>
          <w:sz w:val="26"/>
        </w:rPr>
        <w:t>50-year</w:t>
      </w:r>
      <w:r>
        <w:rPr>
          <w:b/>
          <w:spacing w:val="-6"/>
          <w:sz w:val="26"/>
        </w:rPr>
        <w:t xml:space="preserve"> </w:t>
      </w:r>
      <w:r>
        <w:rPr>
          <w:b/>
          <w:spacing w:val="-5"/>
          <w:sz w:val="26"/>
        </w:rPr>
        <w:t>pin</w:t>
      </w:r>
    </w:p>
    <w:p w14:paraId="2121DC92" w14:textId="77777777" w:rsidR="00AC6F3C" w:rsidRDefault="00570E88">
      <w:pPr>
        <w:pStyle w:val="BodyText"/>
        <w:spacing w:before="167"/>
        <w:ind w:left="808"/>
      </w:pPr>
      <w:r>
        <w:t xml:space="preserve">Jim </w:t>
      </w:r>
      <w:r>
        <w:rPr>
          <w:spacing w:val="-2"/>
        </w:rPr>
        <w:t>Creagh</w:t>
      </w:r>
    </w:p>
    <w:p w14:paraId="2B17A1C9" w14:textId="77777777" w:rsidR="00AC6F3C" w:rsidRDefault="00570E88">
      <w:pPr>
        <w:pStyle w:val="BodyText"/>
        <w:spacing w:before="95" w:line="338" w:lineRule="auto"/>
        <w:ind w:left="808" w:right="239"/>
      </w:pPr>
      <w:r>
        <w:t>David</w:t>
      </w:r>
      <w:r>
        <w:rPr>
          <w:spacing w:val="-14"/>
        </w:rPr>
        <w:t xml:space="preserve"> </w:t>
      </w:r>
      <w:r>
        <w:t>Grace</w:t>
      </w:r>
      <w:r>
        <w:rPr>
          <w:spacing w:val="-14"/>
        </w:rPr>
        <w:t xml:space="preserve"> </w:t>
      </w:r>
      <w:r>
        <w:t>OAM Joseph Mackay Iain Marshall</w:t>
      </w:r>
      <w:r>
        <w:rPr>
          <w:spacing w:val="40"/>
        </w:rPr>
        <w:t xml:space="preserve"> </w:t>
      </w:r>
      <w:r>
        <w:t>Virgil Power</w:t>
      </w:r>
    </w:p>
    <w:p w14:paraId="44A66034" w14:textId="77777777" w:rsidR="00AC6F3C" w:rsidRDefault="00570E88">
      <w:pPr>
        <w:pStyle w:val="BodyText"/>
        <w:spacing w:before="3" w:line="338" w:lineRule="auto"/>
        <w:ind w:left="808"/>
      </w:pPr>
      <w:r>
        <w:t xml:space="preserve">Garry Cockerill Vincent Hefferan </w:t>
      </w:r>
      <w:r>
        <w:rPr>
          <w:spacing w:val="-2"/>
        </w:rPr>
        <w:t>Christopher</w:t>
      </w:r>
      <w:r>
        <w:rPr>
          <w:spacing w:val="-12"/>
        </w:rPr>
        <w:t xml:space="preserve"> </w:t>
      </w:r>
      <w:r>
        <w:rPr>
          <w:spacing w:val="-2"/>
        </w:rPr>
        <w:t xml:space="preserve">Toogood </w:t>
      </w:r>
      <w:r>
        <w:t>Geoffrey Hyland Robert Lehn</w:t>
      </w:r>
    </w:p>
    <w:p w14:paraId="3DC58FF8" w14:textId="77777777" w:rsidR="00AC6F3C" w:rsidRDefault="00570E88">
      <w:pPr>
        <w:pStyle w:val="BodyText"/>
        <w:spacing w:before="4" w:line="338" w:lineRule="auto"/>
        <w:ind w:left="808"/>
      </w:pPr>
      <w:r>
        <w:t>Dennis Boucher Michael</w:t>
      </w:r>
      <w:r>
        <w:rPr>
          <w:spacing w:val="-14"/>
        </w:rPr>
        <w:t xml:space="preserve"> </w:t>
      </w:r>
      <w:r>
        <w:t>Kyle</w:t>
      </w:r>
      <w:r>
        <w:rPr>
          <w:spacing w:val="-14"/>
        </w:rPr>
        <w:t xml:space="preserve"> </w:t>
      </w:r>
      <w:r>
        <w:t>OAM Paul Sayer</w:t>
      </w:r>
    </w:p>
    <w:p w14:paraId="5F30F834" w14:textId="77777777" w:rsidR="00AC6F3C" w:rsidRDefault="00570E88">
      <w:pPr>
        <w:spacing w:before="92"/>
        <w:ind w:left="568"/>
        <w:rPr>
          <w:b/>
          <w:sz w:val="26"/>
        </w:rPr>
      </w:pPr>
      <w:r>
        <w:br w:type="column"/>
      </w:r>
      <w:r>
        <w:rPr>
          <w:b/>
          <w:sz w:val="26"/>
        </w:rPr>
        <w:t>25-year</w:t>
      </w:r>
      <w:r>
        <w:rPr>
          <w:b/>
          <w:spacing w:val="-6"/>
          <w:sz w:val="26"/>
        </w:rPr>
        <w:t xml:space="preserve"> </w:t>
      </w:r>
      <w:r>
        <w:rPr>
          <w:b/>
          <w:spacing w:val="-5"/>
          <w:sz w:val="26"/>
        </w:rPr>
        <w:t>pin</w:t>
      </w:r>
    </w:p>
    <w:p w14:paraId="74AEDE4B" w14:textId="77777777" w:rsidR="00AC6F3C" w:rsidRDefault="00570E88">
      <w:pPr>
        <w:pStyle w:val="BodyText"/>
        <w:spacing w:before="167" w:line="338" w:lineRule="auto"/>
        <w:ind w:left="568" w:right="365"/>
      </w:pPr>
      <w:r>
        <w:t>Lesleigh Mayes Mary-Anne Ole Margaret</w:t>
      </w:r>
      <w:r>
        <w:rPr>
          <w:spacing w:val="-14"/>
        </w:rPr>
        <w:t xml:space="preserve"> </w:t>
      </w:r>
      <w:r>
        <w:t>Redmond John Henderson Michael Dean Michael</w:t>
      </w:r>
      <w:r>
        <w:rPr>
          <w:spacing w:val="-25"/>
        </w:rPr>
        <w:t xml:space="preserve"> </w:t>
      </w:r>
      <w:r>
        <w:t xml:space="preserve">Behm Robyn Wilkinson Martin </w:t>
      </w:r>
      <w:proofErr w:type="spellStart"/>
      <w:r>
        <w:t>McEniery</w:t>
      </w:r>
      <w:proofErr w:type="spellEnd"/>
      <w:r>
        <w:t xml:space="preserve"> Russell Sparke John Sneddon Craig Chapman Kylie Warlow Michelle Hogan Alfio Borzi</w:t>
      </w:r>
    </w:p>
    <w:p w14:paraId="7392E9AA" w14:textId="77777777" w:rsidR="00AC6F3C" w:rsidRDefault="00570E88">
      <w:pPr>
        <w:pStyle w:val="BodyText"/>
        <w:spacing w:before="11" w:line="338" w:lineRule="auto"/>
        <w:ind w:left="568"/>
      </w:pPr>
      <w:r>
        <w:t>Maree</w:t>
      </w:r>
      <w:r>
        <w:rPr>
          <w:spacing w:val="52"/>
          <w:w w:val="150"/>
        </w:rPr>
        <w:t xml:space="preserve">  </w:t>
      </w:r>
      <w:r>
        <w:t>Clark</w:t>
      </w:r>
      <w:r>
        <w:rPr>
          <w:spacing w:val="80"/>
          <w:w w:val="150"/>
        </w:rPr>
        <w:t xml:space="preserve"> </w:t>
      </w:r>
      <w:r>
        <w:rPr>
          <w:spacing w:val="-2"/>
        </w:rPr>
        <w:t>Lachlan</w:t>
      </w:r>
      <w:r>
        <w:rPr>
          <w:spacing w:val="-36"/>
        </w:rPr>
        <w:t xml:space="preserve"> </w:t>
      </w:r>
      <w:r>
        <w:rPr>
          <w:spacing w:val="-2"/>
        </w:rPr>
        <w:t xml:space="preserve">Trafford-Walker </w:t>
      </w:r>
      <w:r>
        <w:t>John Hunter</w:t>
      </w:r>
    </w:p>
    <w:p w14:paraId="661B19DD" w14:textId="77777777" w:rsidR="00AC6F3C" w:rsidRDefault="00570E88">
      <w:pPr>
        <w:pStyle w:val="BodyText"/>
        <w:spacing w:before="2" w:line="338" w:lineRule="auto"/>
        <w:ind w:left="568" w:right="131"/>
      </w:pPr>
      <w:r>
        <w:t>Mark Ruddy Nandakumar</w:t>
      </w:r>
      <w:r>
        <w:rPr>
          <w:spacing w:val="-14"/>
        </w:rPr>
        <w:t xml:space="preserve"> </w:t>
      </w:r>
      <w:proofErr w:type="spellStart"/>
      <w:r>
        <w:t>Gulhane</w:t>
      </w:r>
      <w:proofErr w:type="spellEnd"/>
      <w:r>
        <w:t xml:space="preserve"> Scott Standen</w:t>
      </w:r>
      <w:r>
        <w:rPr>
          <w:spacing w:val="40"/>
        </w:rPr>
        <w:t xml:space="preserve"> </w:t>
      </w:r>
      <w:r>
        <w:t>Richard</w:t>
      </w:r>
      <w:r>
        <w:rPr>
          <w:spacing w:val="-25"/>
        </w:rPr>
        <w:t xml:space="preserve"> </w:t>
      </w:r>
      <w:r>
        <w:t>Butler Michelle Denning Majella Pollard</w:t>
      </w:r>
    </w:p>
    <w:p w14:paraId="38BC1DE9" w14:textId="77777777" w:rsidR="00AC6F3C" w:rsidRDefault="00570E88">
      <w:pPr>
        <w:pStyle w:val="BodyText"/>
        <w:spacing w:before="4" w:line="338" w:lineRule="auto"/>
        <w:ind w:left="568" w:right="407"/>
      </w:pPr>
      <w:r>
        <w:t xml:space="preserve">Scott Thompson Julie Brown Matthew Baker Kyle Terrance </w:t>
      </w:r>
      <w:proofErr w:type="spellStart"/>
      <w:r>
        <w:t>Ravendra</w:t>
      </w:r>
      <w:proofErr w:type="spellEnd"/>
      <w:r>
        <w:rPr>
          <w:spacing w:val="-14"/>
        </w:rPr>
        <w:t xml:space="preserve"> </w:t>
      </w:r>
      <w:r>
        <w:t>Narayan Paul</w:t>
      </w:r>
      <w:r>
        <w:rPr>
          <w:spacing w:val="-7"/>
        </w:rPr>
        <w:t xml:space="preserve"> </w:t>
      </w:r>
      <w:r>
        <w:t>Agnew</w:t>
      </w:r>
    </w:p>
    <w:p w14:paraId="23D43954" w14:textId="77777777" w:rsidR="00AC6F3C" w:rsidRDefault="00570E88">
      <w:pPr>
        <w:pStyle w:val="BodyText"/>
        <w:spacing w:before="5" w:line="338" w:lineRule="auto"/>
        <w:ind w:left="568" w:right="807"/>
      </w:pPr>
      <w:r>
        <w:t>Chok Chan David Eaton Mark</w:t>
      </w:r>
      <w:r>
        <w:rPr>
          <w:spacing w:val="-14"/>
        </w:rPr>
        <w:t xml:space="preserve"> </w:t>
      </w:r>
      <w:r>
        <w:t xml:space="preserve">Edwards Warren </w:t>
      </w:r>
      <w:proofErr w:type="spellStart"/>
      <w:r>
        <w:t>Jiear</w:t>
      </w:r>
      <w:proofErr w:type="spellEnd"/>
    </w:p>
    <w:p w14:paraId="1FA82282" w14:textId="77777777" w:rsidR="00AC6F3C" w:rsidRDefault="00570E88">
      <w:pPr>
        <w:pStyle w:val="BodyText"/>
        <w:spacing w:before="2" w:line="338" w:lineRule="auto"/>
        <w:ind w:left="568" w:right="332"/>
      </w:pPr>
      <w:r>
        <w:t>Malcolm</w:t>
      </w:r>
      <w:r>
        <w:rPr>
          <w:spacing w:val="-14"/>
        </w:rPr>
        <w:t xml:space="preserve"> </w:t>
      </w:r>
      <w:r>
        <w:t>McBratney Matthew Murphy Gregory Robson Gavin Scott</w:t>
      </w:r>
      <w:r>
        <w:rPr>
          <w:spacing w:val="40"/>
        </w:rPr>
        <w:t xml:space="preserve"> </w:t>
      </w:r>
      <w:r>
        <w:t>Andrew</w:t>
      </w:r>
      <w:r>
        <w:rPr>
          <w:spacing w:val="-13"/>
        </w:rPr>
        <w:t xml:space="preserve"> </w:t>
      </w:r>
      <w:r>
        <w:t>Shute Bradley</w:t>
      </w:r>
      <w:r>
        <w:rPr>
          <w:spacing w:val="-13"/>
        </w:rPr>
        <w:t xml:space="preserve"> </w:t>
      </w:r>
      <w:r>
        <w:t>Skinner Fiona Franke</w:t>
      </w:r>
    </w:p>
    <w:p w14:paraId="1040AAA6" w14:textId="77777777" w:rsidR="00AC6F3C" w:rsidRDefault="00570E88">
      <w:r>
        <w:br w:type="column"/>
      </w:r>
    </w:p>
    <w:p w14:paraId="1BDF587B" w14:textId="77777777" w:rsidR="00AC6F3C" w:rsidRDefault="00AC6F3C">
      <w:pPr>
        <w:pStyle w:val="BodyText"/>
        <w:spacing w:before="5"/>
        <w:rPr>
          <w:sz w:val="24"/>
        </w:rPr>
      </w:pPr>
    </w:p>
    <w:p w14:paraId="625226AC" w14:textId="77777777" w:rsidR="00AC6F3C" w:rsidRDefault="00570E88">
      <w:pPr>
        <w:pStyle w:val="BodyText"/>
        <w:ind w:left="211"/>
      </w:pPr>
      <w:proofErr w:type="spellStart"/>
      <w:r>
        <w:t>Ceri</w:t>
      </w:r>
      <w:proofErr w:type="spellEnd"/>
      <w:r>
        <w:rPr>
          <w:spacing w:val="-5"/>
        </w:rPr>
        <w:t xml:space="preserve"> </w:t>
      </w:r>
      <w:r>
        <w:rPr>
          <w:spacing w:val="-2"/>
        </w:rPr>
        <w:t>McDonald</w:t>
      </w:r>
    </w:p>
    <w:p w14:paraId="04A272F9" w14:textId="77777777" w:rsidR="00AC6F3C" w:rsidRDefault="00570E88">
      <w:pPr>
        <w:pStyle w:val="BodyText"/>
        <w:spacing w:before="95"/>
        <w:ind w:left="211"/>
      </w:pPr>
      <w:r>
        <w:rPr>
          <w:spacing w:val="-2"/>
        </w:rPr>
        <w:t>Seanna</w:t>
      </w:r>
      <w:r>
        <w:rPr>
          <w:spacing w:val="-18"/>
        </w:rPr>
        <w:t xml:space="preserve"> </w:t>
      </w:r>
      <w:r>
        <w:rPr>
          <w:spacing w:val="-2"/>
        </w:rPr>
        <w:t>Strong</w:t>
      </w:r>
    </w:p>
    <w:p w14:paraId="67216FCE" w14:textId="77777777" w:rsidR="00AC6F3C" w:rsidRDefault="00570E88">
      <w:pPr>
        <w:pStyle w:val="BodyText"/>
        <w:spacing w:before="95" w:line="338" w:lineRule="auto"/>
        <w:ind w:left="211" w:right="9"/>
      </w:pPr>
      <w:r>
        <w:rPr>
          <w:spacing w:val="-2"/>
        </w:rPr>
        <w:t>Damien</w:t>
      </w:r>
      <w:r>
        <w:rPr>
          <w:spacing w:val="-25"/>
        </w:rPr>
        <w:t xml:space="preserve"> </w:t>
      </w:r>
      <w:r>
        <w:rPr>
          <w:spacing w:val="-2"/>
        </w:rPr>
        <w:t>Van</w:t>
      </w:r>
      <w:r>
        <w:rPr>
          <w:spacing w:val="-12"/>
        </w:rPr>
        <w:t xml:space="preserve"> </w:t>
      </w:r>
      <w:proofErr w:type="spellStart"/>
      <w:r>
        <w:rPr>
          <w:spacing w:val="-2"/>
        </w:rPr>
        <w:t>Brunschot</w:t>
      </w:r>
      <w:proofErr w:type="spellEnd"/>
      <w:r>
        <w:rPr>
          <w:spacing w:val="-2"/>
        </w:rPr>
        <w:t xml:space="preserve"> </w:t>
      </w:r>
      <w:r>
        <w:t>Alison Fleming</w:t>
      </w:r>
      <w:r>
        <w:rPr>
          <w:spacing w:val="40"/>
        </w:rPr>
        <w:t xml:space="preserve"> </w:t>
      </w:r>
      <w:r>
        <w:t>Andrew Taylor</w:t>
      </w:r>
    </w:p>
    <w:p w14:paraId="08CB1844" w14:textId="77777777" w:rsidR="00AC6F3C" w:rsidRDefault="00570E88">
      <w:pPr>
        <w:pStyle w:val="BodyText"/>
        <w:spacing w:before="2" w:line="338" w:lineRule="auto"/>
        <w:ind w:left="211" w:right="267"/>
      </w:pPr>
      <w:r>
        <w:t>Susan</w:t>
      </w:r>
      <w:r>
        <w:rPr>
          <w:spacing w:val="-7"/>
        </w:rPr>
        <w:t xml:space="preserve"> </w:t>
      </w:r>
      <w:r>
        <w:t>Andersen Brady Cockburn Deanne</w:t>
      </w:r>
      <w:r>
        <w:rPr>
          <w:spacing w:val="-14"/>
        </w:rPr>
        <w:t xml:space="preserve"> </w:t>
      </w:r>
      <w:r>
        <w:t>Drummond Celia Farrell Anthony Freese Andrew Johnston Stuart Bell</w:t>
      </w:r>
    </w:p>
    <w:p w14:paraId="726EA7CA" w14:textId="77777777" w:rsidR="00AC6F3C" w:rsidRDefault="00570E88">
      <w:pPr>
        <w:pStyle w:val="BodyText"/>
        <w:spacing w:before="5" w:line="338" w:lineRule="auto"/>
        <w:ind w:left="211" w:right="527"/>
      </w:pPr>
      <w:r>
        <w:t xml:space="preserve">Michael Keir </w:t>
      </w:r>
      <w:r>
        <w:rPr>
          <w:spacing w:val="-2"/>
        </w:rPr>
        <w:t>Deborah</w:t>
      </w:r>
      <w:r>
        <w:rPr>
          <w:spacing w:val="-12"/>
        </w:rPr>
        <w:t xml:space="preserve"> </w:t>
      </w:r>
      <w:proofErr w:type="spellStart"/>
      <w:r>
        <w:rPr>
          <w:spacing w:val="-2"/>
        </w:rPr>
        <w:t>Awyzio</w:t>
      </w:r>
      <w:proofErr w:type="spellEnd"/>
      <w:r>
        <w:rPr>
          <w:spacing w:val="-2"/>
        </w:rPr>
        <w:t xml:space="preserve"> </w:t>
      </w:r>
      <w:r>
        <w:t>David Buckley Anthony Collins Faran</w:t>
      </w:r>
      <w:r>
        <w:rPr>
          <w:spacing w:val="-14"/>
        </w:rPr>
        <w:t xml:space="preserve"> </w:t>
      </w:r>
      <w:r>
        <w:t>Gouldson David Love David Power Nicholas Smith</w:t>
      </w:r>
    </w:p>
    <w:p w14:paraId="1A27EE57" w14:textId="77777777" w:rsidR="00AC6F3C" w:rsidRDefault="00570E88">
      <w:pPr>
        <w:pStyle w:val="BodyText"/>
        <w:spacing w:before="6" w:line="338" w:lineRule="auto"/>
        <w:ind w:left="211" w:right="303"/>
      </w:pPr>
      <w:r>
        <w:t xml:space="preserve">Michelle </w:t>
      </w:r>
      <w:proofErr w:type="spellStart"/>
      <w:r>
        <w:t>Pennicott</w:t>
      </w:r>
      <w:proofErr w:type="spellEnd"/>
      <w:r>
        <w:t xml:space="preserve"> Daniel </w:t>
      </w:r>
      <w:proofErr w:type="spellStart"/>
      <w:r>
        <w:t>Beikoff</w:t>
      </w:r>
      <w:proofErr w:type="spellEnd"/>
      <w:r>
        <w:t xml:space="preserve"> Matthew Boland Robert Bosiljevac Craig Bowie Matthew</w:t>
      </w:r>
      <w:r>
        <w:rPr>
          <w:spacing w:val="-14"/>
        </w:rPr>
        <w:t xml:space="preserve"> </w:t>
      </w:r>
      <w:r>
        <w:t>Buchanan Hedy Cray</w:t>
      </w:r>
      <w:r>
        <w:rPr>
          <w:spacing w:val="40"/>
        </w:rPr>
        <w:t xml:space="preserve"> </w:t>
      </w:r>
      <w:r>
        <w:t>Amanda Dodds Darren Firth</w:t>
      </w:r>
    </w:p>
    <w:p w14:paraId="08EF401F" w14:textId="77777777" w:rsidR="00AC6F3C" w:rsidRDefault="00570E88">
      <w:pPr>
        <w:pStyle w:val="BodyText"/>
        <w:spacing w:before="7" w:line="338" w:lineRule="auto"/>
        <w:ind w:left="211" w:right="214"/>
      </w:pPr>
      <w:r>
        <w:t>Leanne</w:t>
      </w:r>
      <w:r>
        <w:rPr>
          <w:spacing w:val="-14"/>
        </w:rPr>
        <w:t xml:space="preserve"> </w:t>
      </w:r>
      <w:r>
        <w:t>Matthewson Samantha McNee Margaret Miller Martin Osborne Roderick O’Sullivan Tracey Rundle Fiona Sennett Gregg Sivyer</w:t>
      </w:r>
    </w:p>
    <w:p w14:paraId="5D7BA7CC" w14:textId="77777777" w:rsidR="00AC6F3C" w:rsidRDefault="00570E88">
      <w:pPr>
        <w:pStyle w:val="BodyText"/>
        <w:spacing w:before="6" w:line="338" w:lineRule="auto"/>
        <w:ind w:left="211" w:right="434"/>
      </w:pPr>
      <w:r>
        <w:t>Martin Treston Aaron Webb Jonathon</w:t>
      </w:r>
      <w:r>
        <w:rPr>
          <w:spacing w:val="-14"/>
        </w:rPr>
        <w:t xml:space="preserve"> </w:t>
      </w:r>
      <w:r>
        <w:t>Webber</w:t>
      </w:r>
    </w:p>
    <w:p w14:paraId="6BE12256" w14:textId="77777777" w:rsidR="00AC6F3C" w:rsidRDefault="00570E88">
      <w:r>
        <w:br w:type="column"/>
      </w:r>
    </w:p>
    <w:p w14:paraId="36EF264B" w14:textId="77777777" w:rsidR="00AC6F3C" w:rsidRDefault="00AC6F3C">
      <w:pPr>
        <w:pStyle w:val="BodyText"/>
        <w:spacing w:before="3"/>
        <w:rPr>
          <w:sz w:val="24"/>
        </w:rPr>
      </w:pPr>
    </w:p>
    <w:p w14:paraId="0F9CD833" w14:textId="77777777" w:rsidR="00AC6F3C" w:rsidRDefault="00570E88">
      <w:pPr>
        <w:pStyle w:val="BodyText"/>
        <w:spacing w:line="338" w:lineRule="auto"/>
        <w:ind w:left="284" w:right="976"/>
      </w:pPr>
      <w:r>
        <w:t>Jon Wiedman Mark Budd Keta Roseby Bradley</w:t>
      </w:r>
      <w:r>
        <w:rPr>
          <w:spacing w:val="-14"/>
        </w:rPr>
        <w:t xml:space="preserve"> </w:t>
      </w:r>
      <w:r>
        <w:t>Krebs Fiona</w:t>
      </w:r>
      <w:r>
        <w:rPr>
          <w:spacing w:val="-4"/>
        </w:rPr>
        <w:t xml:space="preserve"> </w:t>
      </w:r>
      <w:r>
        <w:rPr>
          <w:spacing w:val="-2"/>
        </w:rPr>
        <w:t>Browne</w:t>
      </w:r>
    </w:p>
    <w:p w14:paraId="0F1EE4E9" w14:textId="77777777" w:rsidR="00AC6F3C" w:rsidRDefault="00570E88">
      <w:pPr>
        <w:pStyle w:val="BodyText"/>
        <w:spacing w:before="4" w:line="338" w:lineRule="auto"/>
        <w:ind w:left="284" w:right="709"/>
      </w:pPr>
      <w:r>
        <w:t>Benjamin Cohen Mark Curran Kendall Hawdon Mark Madsen Andrew</w:t>
      </w:r>
      <w:r>
        <w:rPr>
          <w:spacing w:val="-14"/>
        </w:rPr>
        <w:t xml:space="preserve"> </w:t>
      </w:r>
      <w:r>
        <w:t>McKenzie Mark Mellick Ronald Plass Leslie Power</w:t>
      </w:r>
    </w:p>
    <w:p w14:paraId="2F4083F4" w14:textId="77777777" w:rsidR="00AC6F3C" w:rsidRDefault="00570E88">
      <w:pPr>
        <w:pStyle w:val="BodyText"/>
        <w:spacing w:before="6" w:line="338" w:lineRule="auto"/>
        <w:ind w:left="284" w:right="709"/>
      </w:pPr>
      <w:r>
        <w:t>Tien Nguyen Timothy Hancock Justin Beirne Michael Coman Aaron Lovell Jason McAulay Jennifer</w:t>
      </w:r>
      <w:r>
        <w:rPr>
          <w:spacing w:val="-14"/>
        </w:rPr>
        <w:t xml:space="preserve"> </w:t>
      </w:r>
      <w:r>
        <w:t xml:space="preserve">Wickman Michelle King Robert </w:t>
      </w:r>
      <w:proofErr w:type="spellStart"/>
      <w:r>
        <w:t>Tidbury</w:t>
      </w:r>
      <w:proofErr w:type="spellEnd"/>
      <w:r>
        <w:t xml:space="preserve"> Kate Holmes</w:t>
      </w:r>
    </w:p>
    <w:p w14:paraId="59130227" w14:textId="77777777" w:rsidR="00AC6F3C" w:rsidRDefault="00570E88">
      <w:pPr>
        <w:pStyle w:val="BodyText"/>
        <w:spacing w:before="7" w:line="338" w:lineRule="auto"/>
        <w:ind w:left="284" w:right="583"/>
      </w:pPr>
      <w:r>
        <w:t>Leonard</w:t>
      </w:r>
      <w:r>
        <w:rPr>
          <w:spacing w:val="-14"/>
        </w:rPr>
        <w:t xml:space="preserve"> </w:t>
      </w:r>
      <w:r>
        <w:t>McKeering Tracy Pickett James Tealby Stephen Lo</w:t>
      </w:r>
    </w:p>
    <w:p w14:paraId="49467C31" w14:textId="77777777" w:rsidR="00AC6F3C" w:rsidRDefault="00570E88">
      <w:pPr>
        <w:pStyle w:val="BodyText"/>
        <w:spacing w:before="3" w:line="338" w:lineRule="auto"/>
        <w:ind w:left="284" w:right="742"/>
      </w:pPr>
      <w:r>
        <w:t>Paul Coves Donna</w:t>
      </w:r>
      <w:r>
        <w:rPr>
          <w:spacing w:val="-14"/>
        </w:rPr>
        <w:t xml:space="preserve"> </w:t>
      </w:r>
      <w:r>
        <w:t>Borthwick Adair</w:t>
      </w:r>
      <w:r>
        <w:rPr>
          <w:spacing w:val="-1"/>
        </w:rPr>
        <w:t xml:space="preserve"> </w:t>
      </w:r>
      <w:r>
        <w:t>Donaldson Tia Cox</w:t>
      </w:r>
    </w:p>
    <w:p w14:paraId="30173E77" w14:textId="77777777" w:rsidR="00AC6F3C" w:rsidRDefault="00570E88">
      <w:pPr>
        <w:pStyle w:val="BodyText"/>
        <w:spacing w:before="3"/>
        <w:ind w:left="284"/>
      </w:pPr>
      <w:r>
        <w:t xml:space="preserve">Hay </w:t>
      </w:r>
      <w:r>
        <w:rPr>
          <w:spacing w:val="-5"/>
        </w:rPr>
        <w:t>Ho</w:t>
      </w:r>
    </w:p>
    <w:p w14:paraId="06C42CD5" w14:textId="77777777" w:rsidR="00AC6F3C" w:rsidRDefault="00AC6F3C">
      <w:pPr>
        <w:sectPr w:rsidR="00AC6F3C">
          <w:type w:val="continuous"/>
          <w:pgSz w:w="11910" w:h="16840"/>
          <w:pgMar w:top="1920" w:right="1160" w:bottom="280" w:left="460" w:header="0" w:footer="336" w:gutter="0"/>
          <w:cols w:num="4" w:space="720" w:equalWidth="0">
            <w:col w:w="2662" w:space="40"/>
            <w:col w:w="2660" w:space="39"/>
            <w:col w:w="2230" w:space="40"/>
            <w:col w:w="2619"/>
          </w:cols>
        </w:sectPr>
      </w:pPr>
    </w:p>
    <w:p w14:paraId="2EF89370" w14:textId="77777777" w:rsidR="00AC6F3C" w:rsidRDefault="00570E88">
      <w:pPr>
        <w:pStyle w:val="Heading3"/>
        <w:spacing w:before="70"/>
      </w:pPr>
      <w:bookmarkStart w:id="65" w:name="LawCare"/>
      <w:bookmarkStart w:id="66" w:name="The_public_good:_our_corporate_citizensh"/>
      <w:bookmarkStart w:id="67" w:name="_bookmark23"/>
      <w:bookmarkEnd w:id="65"/>
      <w:bookmarkEnd w:id="66"/>
      <w:bookmarkEnd w:id="67"/>
      <w:proofErr w:type="spellStart"/>
      <w:r>
        <w:rPr>
          <w:spacing w:val="-2"/>
        </w:rPr>
        <w:lastRenderedPageBreak/>
        <w:t>LawCare</w:t>
      </w:r>
      <w:proofErr w:type="spellEnd"/>
    </w:p>
    <w:p w14:paraId="113D0209" w14:textId="77777777" w:rsidR="00AC6F3C" w:rsidRDefault="00570E88">
      <w:pPr>
        <w:pStyle w:val="BodyText"/>
        <w:spacing w:before="155" w:line="249" w:lineRule="auto"/>
        <w:ind w:left="815" w:right="157"/>
      </w:pPr>
      <w:proofErr w:type="spellStart"/>
      <w:r>
        <w:t>LawCare</w:t>
      </w:r>
      <w:proofErr w:type="spellEnd"/>
      <w:r>
        <w:rPr>
          <w:spacing w:val="-3"/>
        </w:rPr>
        <w:t xml:space="preserve"> </w:t>
      </w:r>
      <w:r>
        <w:t>is</w:t>
      </w:r>
      <w:r>
        <w:rPr>
          <w:spacing w:val="-3"/>
        </w:rPr>
        <w:t xml:space="preserve"> </w:t>
      </w:r>
      <w:r>
        <w:t>a</w:t>
      </w:r>
      <w:r>
        <w:rPr>
          <w:spacing w:val="-3"/>
        </w:rPr>
        <w:t xml:space="preserve"> </w:t>
      </w:r>
      <w:r>
        <w:t>QLS</w:t>
      </w:r>
      <w:r>
        <w:rPr>
          <w:spacing w:val="-3"/>
        </w:rPr>
        <w:t xml:space="preserve"> </w:t>
      </w:r>
      <w:r>
        <w:t>member</w:t>
      </w:r>
      <w:r>
        <w:rPr>
          <w:spacing w:val="-3"/>
        </w:rPr>
        <w:t xml:space="preserve"> </w:t>
      </w:r>
      <w:r>
        <w:t>benefit</w:t>
      </w:r>
      <w:r>
        <w:rPr>
          <w:spacing w:val="-3"/>
        </w:rPr>
        <w:t xml:space="preserve"> </w:t>
      </w:r>
      <w:r>
        <w:t>that</w:t>
      </w:r>
      <w:r>
        <w:rPr>
          <w:spacing w:val="-3"/>
        </w:rPr>
        <w:t xml:space="preserve"> </w:t>
      </w:r>
      <w:r>
        <w:t>provides</w:t>
      </w:r>
      <w:r>
        <w:rPr>
          <w:spacing w:val="-3"/>
        </w:rPr>
        <w:t xml:space="preserve"> </w:t>
      </w:r>
      <w:r>
        <w:t>a</w:t>
      </w:r>
      <w:r>
        <w:rPr>
          <w:spacing w:val="-3"/>
        </w:rPr>
        <w:t xml:space="preserve"> </w:t>
      </w:r>
      <w:r>
        <w:t>confidential,</w:t>
      </w:r>
      <w:r>
        <w:rPr>
          <w:spacing w:val="-3"/>
        </w:rPr>
        <w:t xml:space="preserve"> </w:t>
      </w:r>
      <w:r>
        <w:t>personal</w:t>
      </w:r>
      <w:r>
        <w:rPr>
          <w:spacing w:val="-3"/>
        </w:rPr>
        <w:t xml:space="preserve"> </w:t>
      </w:r>
      <w:r>
        <w:t>assistance</w:t>
      </w:r>
      <w:r>
        <w:rPr>
          <w:spacing w:val="-3"/>
        </w:rPr>
        <w:t xml:space="preserve"> </w:t>
      </w:r>
      <w:r>
        <w:t>program</w:t>
      </w:r>
      <w:r>
        <w:rPr>
          <w:spacing w:val="-3"/>
        </w:rPr>
        <w:t xml:space="preserve"> </w:t>
      </w:r>
      <w:r>
        <w:t>available</w:t>
      </w:r>
      <w:r>
        <w:rPr>
          <w:spacing w:val="-3"/>
        </w:rPr>
        <w:t xml:space="preserve"> </w:t>
      </w:r>
      <w:r>
        <w:t>to all full and associate members, their staff and immediate family.</w:t>
      </w:r>
    </w:p>
    <w:p w14:paraId="6C83DEA5" w14:textId="77777777" w:rsidR="00AC6F3C" w:rsidRDefault="00570E88">
      <w:pPr>
        <w:pStyle w:val="BodyText"/>
        <w:spacing w:before="172" w:line="249" w:lineRule="auto"/>
        <w:ind w:left="815" w:right="234"/>
      </w:pPr>
      <w:r>
        <w:t>Provided</w:t>
      </w:r>
      <w:r>
        <w:rPr>
          <w:spacing w:val="-4"/>
        </w:rPr>
        <w:t xml:space="preserve"> </w:t>
      </w:r>
      <w:r>
        <w:t>by</w:t>
      </w:r>
      <w:r>
        <w:rPr>
          <w:spacing w:val="-4"/>
        </w:rPr>
        <w:t xml:space="preserve"> </w:t>
      </w:r>
      <w:r>
        <w:t>Converge</w:t>
      </w:r>
      <w:r>
        <w:rPr>
          <w:spacing w:val="-4"/>
        </w:rPr>
        <w:t xml:space="preserve"> </w:t>
      </w:r>
      <w:r>
        <w:t>International,</w:t>
      </w:r>
      <w:r>
        <w:rPr>
          <w:spacing w:val="-4"/>
        </w:rPr>
        <w:t xml:space="preserve"> </w:t>
      </w:r>
      <w:r>
        <w:t>the</w:t>
      </w:r>
      <w:r>
        <w:rPr>
          <w:spacing w:val="-4"/>
        </w:rPr>
        <w:t xml:space="preserve"> </w:t>
      </w:r>
      <w:r>
        <w:t>service</w:t>
      </w:r>
      <w:r>
        <w:rPr>
          <w:spacing w:val="-4"/>
        </w:rPr>
        <w:t xml:space="preserve"> </w:t>
      </w:r>
      <w:r>
        <w:t>offers</w:t>
      </w:r>
      <w:r>
        <w:rPr>
          <w:spacing w:val="-4"/>
        </w:rPr>
        <w:t xml:space="preserve"> </w:t>
      </w:r>
      <w:r>
        <w:t>up</w:t>
      </w:r>
      <w:r>
        <w:rPr>
          <w:spacing w:val="-4"/>
        </w:rPr>
        <w:t xml:space="preserve"> </w:t>
      </w:r>
      <w:r>
        <w:t>to</w:t>
      </w:r>
      <w:r>
        <w:rPr>
          <w:spacing w:val="-4"/>
        </w:rPr>
        <w:t xml:space="preserve"> </w:t>
      </w:r>
      <w:r>
        <w:t>six</w:t>
      </w:r>
      <w:r>
        <w:rPr>
          <w:spacing w:val="-4"/>
        </w:rPr>
        <w:t xml:space="preserve"> </w:t>
      </w:r>
      <w:r>
        <w:t>hours</w:t>
      </w:r>
      <w:r>
        <w:rPr>
          <w:spacing w:val="-4"/>
        </w:rPr>
        <w:t xml:space="preserve"> </w:t>
      </w:r>
      <w:r>
        <w:t>of</w:t>
      </w:r>
      <w:r>
        <w:rPr>
          <w:spacing w:val="-4"/>
        </w:rPr>
        <w:t xml:space="preserve"> </w:t>
      </w:r>
      <w:r>
        <w:t>free</w:t>
      </w:r>
      <w:r>
        <w:rPr>
          <w:spacing w:val="-4"/>
        </w:rPr>
        <w:t xml:space="preserve"> </w:t>
      </w:r>
      <w:r>
        <w:t>counselling</w:t>
      </w:r>
      <w:r>
        <w:rPr>
          <w:spacing w:val="-4"/>
        </w:rPr>
        <w:t xml:space="preserve"> </w:t>
      </w:r>
      <w:r>
        <w:t>per</w:t>
      </w:r>
      <w:r>
        <w:rPr>
          <w:spacing w:val="-4"/>
        </w:rPr>
        <w:t xml:space="preserve"> </w:t>
      </w:r>
      <w:r>
        <w:t>year,</w:t>
      </w:r>
      <w:r>
        <w:rPr>
          <w:spacing w:val="-4"/>
        </w:rPr>
        <w:t xml:space="preserve"> </w:t>
      </w:r>
      <w:r>
        <w:t>along with access to EAP Connect online portal and mobile app, which gives members instant access to wellbeing resources and online counselling appointments.</w:t>
      </w:r>
    </w:p>
    <w:p w14:paraId="1A0155CE" w14:textId="77777777" w:rsidR="00AC6F3C" w:rsidRDefault="00570E88">
      <w:pPr>
        <w:pStyle w:val="BodyText"/>
        <w:spacing w:before="172" w:line="249" w:lineRule="auto"/>
        <w:ind w:left="815"/>
      </w:pPr>
      <w:r>
        <w:t>During</w:t>
      </w:r>
      <w:r>
        <w:rPr>
          <w:spacing w:val="-4"/>
        </w:rPr>
        <w:t xml:space="preserve"> </w:t>
      </w:r>
      <w:r>
        <w:t>the</w:t>
      </w:r>
      <w:r>
        <w:rPr>
          <w:spacing w:val="-4"/>
        </w:rPr>
        <w:t xml:space="preserve"> </w:t>
      </w:r>
      <w:r>
        <w:t>2022-23</w:t>
      </w:r>
      <w:r>
        <w:rPr>
          <w:spacing w:val="-4"/>
        </w:rPr>
        <w:t xml:space="preserve"> </w:t>
      </w:r>
      <w:r>
        <w:t>financial</w:t>
      </w:r>
      <w:r>
        <w:rPr>
          <w:spacing w:val="-4"/>
        </w:rPr>
        <w:t xml:space="preserve"> </w:t>
      </w:r>
      <w:r>
        <w:t>year,</w:t>
      </w:r>
      <w:r>
        <w:rPr>
          <w:spacing w:val="-4"/>
        </w:rPr>
        <w:t xml:space="preserve"> </w:t>
      </w:r>
      <w:r>
        <w:t>approximately</w:t>
      </w:r>
      <w:r>
        <w:rPr>
          <w:spacing w:val="-4"/>
        </w:rPr>
        <w:t xml:space="preserve"> </w:t>
      </w:r>
      <w:r>
        <w:t>402</w:t>
      </w:r>
      <w:r>
        <w:rPr>
          <w:spacing w:val="-4"/>
        </w:rPr>
        <w:t xml:space="preserve"> </w:t>
      </w:r>
      <w:r>
        <w:t>members,</w:t>
      </w:r>
      <w:r>
        <w:rPr>
          <w:spacing w:val="-4"/>
        </w:rPr>
        <w:t xml:space="preserve"> </w:t>
      </w:r>
      <w:r>
        <w:t>their</w:t>
      </w:r>
      <w:r>
        <w:rPr>
          <w:spacing w:val="-4"/>
        </w:rPr>
        <w:t xml:space="preserve"> </w:t>
      </w:r>
      <w:r>
        <w:t>staff</w:t>
      </w:r>
      <w:r>
        <w:rPr>
          <w:spacing w:val="-4"/>
        </w:rPr>
        <w:t xml:space="preserve"> </w:t>
      </w:r>
      <w:r>
        <w:t>or</w:t>
      </w:r>
      <w:r>
        <w:rPr>
          <w:spacing w:val="-4"/>
        </w:rPr>
        <w:t xml:space="preserve"> </w:t>
      </w:r>
      <w:r>
        <w:t>immediate</w:t>
      </w:r>
      <w:r>
        <w:rPr>
          <w:spacing w:val="-4"/>
        </w:rPr>
        <w:t xml:space="preserve"> </w:t>
      </w:r>
      <w:r>
        <w:t>family</w:t>
      </w:r>
      <w:r>
        <w:rPr>
          <w:spacing w:val="-4"/>
        </w:rPr>
        <w:t xml:space="preserve"> </w:t>
      </w:r>
      <w:r>
        <w:t xml:space="preserve">accessed </w:t>
      </w:r>
      <w:proofErr w:type="spellStart"/>
      <w:r>
        <w:t>LawCare</w:t>
      </w:r>
      <w:proofErr w:type="spellEnd"/>
      <w:r>
        <w:t>, which is a small increase from the previous financial year.</w:t>
      </w:r>
    </w:p>
    <w:p w14:paraId="40458F09" w14:textId="77777777" w:rsidR="00AC6F3C" w:rsidRDefault="00570E88">
      <w:pPr>
        <w:pStyle w:val="BodyText"/>
        <w:spacing w:before="172"/>
        <w:ind w:left="815"/>
      </w:pPr>
      <w:r>
        <w:t>The</w:t>
      </w:r>
      <w:r>
        <w:rPr>
          <w:spacing w:val="-4"/>
        </w:rPr>
        <w:t xml:space="preserve"> </w:t>
      </w:r>
      <w:r>
        <w:t>top</w:t>
      </w:r>
      <w:r>
        <w:rPr>
          <w:spacing w:val="-3"/>
        </w:rPr>
        <w:t xml:space="preserve"> </w:t>
      </w:r>
      <w:r>
        <w:t>five</w:t>
      </w:r>
      <w:r>
        <w:rPr>
          <w:spacing w:val="-3"/>
        </w:rPr>
        <w:t xml:space="preserve"> </w:t>
      </w:r>
      <w:r>
        <w:t>personal</w:t>
      </w:r>
      <w:r>
        <w:rPr>
          <w:spacing w:val="-3"/>
        </w:rPr>
        <w:t xml:space="preserve"> </w:t>
      </w:r>
      <w:r>
        <w:t>issues</w:t>
      </w:r>
      <w:r>
        <w:rPr>
          <w:spacing w:val="-3"/>
        </w:rPr>
        <w:t xml:space="preserve"> </w:t>
      </w:r>
      <w:r>
        <w:t>reported</w:t>
      </w:r>
      <w:r>
        <w:rPr>
          <w:spacing w:val="-3"/>
        </w:rPr>
        <w:t xml:space="preserve"> </w:t>
      </w:r>
      <w:r>
        <w:t>to</w:t>
      </w:r>
      <w:r>
        <w:rPr>
          <w:spacing w:val="-3"/>
        </w:rPr>
        <w:t xml:space="preserve"> </w:t>
      </w:r>
      <w:proofErr w:type="spellStart"/>
      <w:r>
        <w:rPr>
          <w:spacing w:val="-2"/>
        </w:rPr>
        <w:t>LawCare</w:t>
      </w:r>
      <w:proofErr w:type="spellEnd"/>
      <w:r>
        <w:rPr>
          <w:spacing w:val="-2"/>
        </w:rPr>
        <w:t>:</w:t>
      </w:r>
    </w:p>
    <w:p w14:paraId="478D25E2" w14:textId="77777777" w:rsidR="00AC6F3C" w:rsidRDefault="00570E88">
      <w:pPr>
        <w:pStyle w:val="ListParagraph"/>
        <w:numPr>
          <w:ilvl w:val="0"/>
          <w:numId w:val="45"/>
        </w:numPr>
        <w:tabs>
          <w:tab w:val="left" w:pos="1155"/>
        </w:tabs>
        <w:ind w:hanging="340"/>
        <w:rPr>
          <w:sz w:val="20"/>
        </w:rPr>
      </w:pPr>
      <w:r>
        <w:rPr>
          <w:sz w:val="20"/>
        </w:rPr>
        <w:t>Ongoing</w:t>
      </w:r>
      <w:r>
        <w:rPr>
          <w:spacing w:val="-6"/>
          <w:sz w:val="20"/>
        </w:rPr>
        <w:t xml:space="preserve"> </w:t>
      </w:r>
      <w:r>
        <w:rPr>
          <w:spacing w:val="-2"/>
          <w:sz w:val="20"/>
        </w:rPr>
        <w:t>Stress</w:t>
      </w:r>
    </w:p>
    <w:p w14:paraId="0CF3323C" w14:textId="77777777" w:rsidR="00AC6F3C" w:rsidRDefault="00570E88">
      <w:pPr>
        <w:pStyle w:val="ListParagraph"/>
        <w:numPr>
          <w:ilvl w:val="0"/>
          <w:numId w:val="45"/>
        </w:numPr>
        <w:tabs>
          <w:tab w:val="left" w:pos="1155"/>
        </w:tabs>
        <w:ind w:hanging="340"/>
        <w:rPr>
          <w:sz w:val="20"/>
        </w:rPr>
      </w:pPr>
      <w:r>
        <w:rPr>
          <w:spacing w:val="-2"/>
          <w:sz w:val="20"/>
        </w:rPr>
        <w:t>Anxiety</w:t>
      </w:r>
    </w:p>
    <w:p w14:paraId="68DAE72F" w14:textId="77777777" w:rsidR="00AC6F3C" w:rsidRDefault="00570E88">
      <w:pPr>
        <w:pStyle w:val="ListParagraph"/>
        <w:numPr>
          <w:ilvl w:val="0"/>
          <w:numId w:val="45"/>
        </w:numPr>
        <w:tabs>
          <w:tab w:val="left" w:pos="1155"/>
        </w:tabs>
        <w:ind w:hanging="340"/>
        <w:rPr>
          <w:sz w:val="20"/>
        </w:rPr>
      </w:pPr>
      <w:r>
        <w:rPr>
          <w:spacing w:val="-2"/>
          <w:sz w:val="20"/>
        </w:rPr>
        <w:t>Relationships</w:t>
      </w:r>
    </w:p>
    <w:p w14:paraId="30E3E98A" w14:textId="77777777" w:rsidR="00AC6F3C" w:rsidRDefault="00570E88">
      <w:pPr>
        <w:pStyle w:val="ListParagraph"/>
        <w:numPr>
          <w:ilvl w:val="0"/>
          <w:numId w:val="45"/>
        </w:numPr>
        <w:tabs>
          <w:tab w:val="left" w:pos="1155"/>
        </w:tabs>
        <w:ind w:hanging="340"/>
        <w:rPr>
          <w:sz w:val="20"/>
        </w:rPr>
      </w:pPr>
      <w:r>
        <w:rPr>
          <w:sz w:val="20"/>
        </w:rPr>
        <w:t>Other</w:t>
      </w:r>
      <w:r>
        <w:rPr>
          <w:spacing w:val="-4"/>
          <w:sz w:val="20"/>
        </w:rPr>
        <w:t xml:space="preserve"> </w:t>
      </w:r>
      <w:r>
        <w:rPr>
          <w:sz w:val="20"/>
        </w:rPr>
        <w:t>Mental</w:t>
      </w:r>
      <w:r>
        <w:rPr>
          <w:spacing w:val="-3"/>
          <w:sz w:val="20"/>
        </w:rPr>
        <w:t xml:space="preserve"> </w:t>
      </w:r>
      <w:r>
        <w:rPr>
          <w:sz w:val="20"/>
        </w:rPr>
        <w:t>Health</w:t>
      </w:r>
      <w:r>
        <w:rPr>
          <w:spacing w:val="-3"/>
          <w:sz w:val="20"/>
        </w:rPr>
        <w:t xml:space="preserve"> </w:t>
      </w:r>
      <w:r>
        <w:rPr>
          <w:spacing w:val="-2"/>
          <w:sz w:val="20"/>
        </w:rPr>
        <w:t>Conditions</w:t>
      </w:r>
    </w:p>
    <w:p w14:paraId="32832974" w14:textId="77777777" w:rsidR="00AC6F3C" w:rsidRDefault="00570E88">
      <w:pPr>
        <w:pStyle w:val="ListParagraph"/>
        <w:numPr>
          <w:ilvl w:val="0"/>
          <w:numId w:val="45"/>
        </w:numPr>
        <w:tabs>
          <w:tab w:val="left" w:pos="1155"/>
        </w:tabs>
        <w:ind w:hanging="340"/>
        <w:rPr>
          <w:sz w:val="20"/>
        </w:rPr>
      </w:pPr>
      <w:r>
        <w:rPr>
          <w:sz w:val="20"/>
        </w:rPr>
        <w:t>Parenting</w:t>
      </w:r>
      <w:r>
        <w:rPr>
          <w:spacing w:val="-5"/>
          <w:sz w:val="20"/>
        </w:rPr>
        <w:t xml:space="preserve"> </w:t>
      </w:r>
      <w:r>
        <w:rPr>
          <w:sz w:val="20"/>
        </w:rPr>
        <w:t>and</w:t>
      </w:r>
      <w:r>
        <w:rPr>
          <w:spacing w:val="-5"/>
          <w:sz w:val="20"/>
        </w:rPr>
        <w:t xml:space="preserve"> </w:t>
      </w:r>
      <w:r>
        <w:rPr>
          <w:spacing w:val="-2"/>
          <w:sz w:val="20"/>
        </w:rPr>
        <w:t>children</w:t>
      </w:r>
    </w:p>
    <w:p w14:paraId="6CDA0434" w14:textId="77777777" w:rsidR="00AC6F3C" w:rsidRDefault="00570E88">
      <w:pPr>
        <w:pStyle w:val="BodyText"/>
        <w:spacing w:before="180"/>
        <w:ind w:left="815"/>
      </w:pPr>
      <w:r>
        <w:t>The</w:t>
      </w:r>
      <w:r>
        <w:rPr>
          <w:spacing w:val="-5"/>
        </w:rPr>
        <w:t xml:space="preserve"> </w:t>
      </w:r>
      <w:r>
        <w:t>top</w:t>
      </w:r>
      <w:r>
        <w:rPr>
          <w:spacing w:val="-2"/>
        </w:rPr>
        <w:t xml:space="preserve"> </w:t>
      </w:r>
      <w:r>
        <w:t>five</w:t>
      </w:r>
      <w:r>
        <w:rPr>
          <w:spacing w:val="-2"/>
        </w:rPr>
        <w:t xml:space="preserve"> </w:t>
      </w:r>
      <w:r>
        <w:t>work</w:t>
      </w:r>
      <w:r>
        <w:rPr>
          <w:spacing w:val="-2"/>
        </w:rPr>
        <w:t xml:space="preserve"> </w:t>
      </w:r>
      <w:r>
        <w:t>issues</w:t>
      </w:r>
      <w:r>
        <w:rPr>
          <w:spacing w:val="-2"/>
        </w:rPr>
        <w:t xml:space="preserve"> </w:t>
      </w:r>
      <w:r>
        <w:t>reported</w:t>
      </w:r>
      <w:r>
        <w:rPr>
          <w:spacing w:val="-2"/>
        </w:rPr>
        <w:t xml:space="preserve"> </w:t>
      </w:r>
      <w:r>
        <w:t>to</w:t>
      </w:r>
      <w:r>
        <w:rPr>
          <w:spacing w:val="-2"/>
        </w:rPr>
        <w:t xml:space="preserve"> </w:t>
      </w:r>
      <w:proofErr w:type="spellStart"/>
      <w:r>
        <w:rPr>
          <w:spacing w:val="-2"/>
        </w:rPr>
        <w:t>LawCare</w:t>
      </w:r>
      <w:proofErr w:type="spellEnd"/>
      <w:r>
        <w:rPr>
          <w:spacing w:val="-2"/>
        </w:rPr>
        <w:t>:</w:t>
      </w:r>
    </w:p>
    <w:p w14:paraId="02E04085" w14:textId="77777777" w:rsidR="00AC6F3C" w:rsidRDefault="00570E88">
      <w:pPr>
        <w:pStyle w:val="ListParagraph"/>
        <w:numPr>
          <w:ilvl w:val="0"/>
          <w:numId w:val="45"/>
        </w:numPr>
        <w:tabs>
          <w:tab w:val="left" w:pos="1155"/>
        </w:tabs>
        <w:ind w:hanging="340"/>
        <w:rPr>
          <w:sz w:val="20"/>
        </w:rPr>
      </w:pPr>
      <w:proofErr w:type="spellStart"/>
      <w:r>
        <w:rPr>
          <w:sz w:val="20"/>
        </w:rPr>
        <w:t>Worklife</w:t>
      </w:r>
      <w:proofErr w:type="spellEnd"/>
      <w:r>
        <w:rPr>
          <w:spacing w:val="-10"/>
          <w:sz w:val="20"/>
        </w:rPr>
        <w:t xml:space="preserve"> </w:t>
      </w:r>
      <w:r>
        <w:rPr>
          <w:spacing w:val="-2"/>
          <w:sz w:val="20"/>
        </w:rPr>
        <w:t>balance</w:t>
      </w:r>
    </w:p>
    <w:p w14:paraId="7017EB15" w14:textId="77777777" w:rsidR="00AC6F3C" w:rsidRDefault="00570E88">
      <w:pPr>
        <w:pStyle w:val="ListParagraph"/>
        <w:numPr>
          <w:ilvl w:val="0"/>
          <w:numId w:val="45"/>
        </w:numPr>
        <w:tabs>
          <w:tab w:val="left" w:pos="1155"/>
        </w:tabs>
        <w:ind w:hanging="340"/>
        <w:rPr>
          <w:sz w:val="20"/>
        </w:rPr>
      </w:pPr>
      <w:r>
        <w:rPr>
          <w:spacing w:val="-2"/>
          <w:sz w:val="20"/>
        </w:rPr>
        <w:t>Workload/Time</w:t>
      </w:r>
      <w:r>
        <w:rPr>
          <w:spacing w:val="12"/>
          <w:sz w:val="20"/>
        </w:rPr>
        <w:t xml:space="preserve"> </w:t>
      </w:r>
      <w:r>
        <w:rPr>
          <w:spacing w:val="-2"/>
          <w:sz w:val="20"/>
        </w:rPr>
        <w:t>Pressure</w:t>
      </w:r>
    </w:p>
    <w:p w14:paraId="60A26A62" w14:textId="77777777" w:rsidR="00AC6F3C" w:rsidRDefault="00570E88">
      <w:pPr>
        <w:pStyle w:val="ListParagraph"/>
        <w:numPr>
          <w:ilvl w:val="0"/>
          <w:numId w:val="45"/>
        </w:numPr>
        <w:tabs>
          <w:tab w:val="left" w:pos="1155"/>
        </w:tabs>
        <w:ind w:hanging="340"/>
        <w:rPr>
          <w:sz w:val="20"/>
        </w:rPr>
      </w:pPr>
      <w:r>
        <w:rPr>
          <w:sz w:val="20"/>
        </w:rPr>
        <w:t>Client</w:t>
      </w:r>
      <w:r>
        <w:rPr>
          <w:spacing w:val="-5"/>
          <w:sz w:val="20"/>
        </w:rPr>
        <w:t xml:space="preserve"> </w:t>
      </w:r>
      <w:r>
        <w:rPr>
          <w:sz w:val="20"/>
        </w:rPr>
        <w:t>related</w:t>
      </w:r>
      <w:r>
        <w:rPr>
          <w:spacing w:val="-3"/>
          <w:sz w:val="20"/>
        </w:rPr>
        <w:t xml:space="preserve"> </w:t>
      </w:r>
      <w:r>
        <w:rPr>
          <w:spacing w:val="-2"/>
          <w:sz w:val="20"/>
        </w:rPr>
        <w:t>incident</w:t>
      </w:r>
    </w:p>
    <w:p w14:paraId="51D815C8" w14:textId="77777777" w:rsidR="00AC6F3C" w:rsidRDefault="00570E88">
      <w:pPr>
        <w:pStyle w:val="ListParagraph"/>
        <w:numPr>
          <w:ilvl w:val="0"/>
          <w:numId w:val="45"/>
        </w:numPr>
        <w:tabs>
          <w:tab w:val="left" w:pos="1155"/>
        </w:tabs>
        <w:ind w:hanging="340"/>
        <w:rPr>
          <w:sz w:val="20"/>
        </w:rPr>
      </w:pPr>
      <w:r>
        <w:rPr>
          <w:sz w:val="20"/>
        </w:rPr>
        <w:t>Emotional</w:t>
      </w:r>
      <w:r>
        <w:rPr>
          <w:spacing w:val="-8"/>
          <w:sz w:val="20"/>
        </w:rPr>
        <w:t xml:space="preserve"> </w:t>
      </w:r>
      <w:r>
        <w:rPr>
          <w:spacing w:val="-2"/>
          <w:sz w:val="20"/>
        </w:rPr>
        <w:t>residence</w:t>
      </w:r>
    </w:p>
    <w:p w14:paraId="69C86DE0" w14:textId="77777777" w:rsidR="00AC6F3C" w:rsidRDefault="00570E88">
      <w:pPr>
        <w:pStyle w:val="ListParagraph"/>
        <w:numPr>
          <w:ilvl w:val="0"/>
          <w:numId w:val="45"/>
        </w:numPr>
        <w:tabs>
          <w:tab w:val="left" w:pos="1155"/>
        </w:tabs>
        <w:ind w:hanging="340"/>
        <w:rPr>
          <w:sz w:val="20"/>
        </w:rPr>
      </w:pPr>
      <w:r>
        <w:rPr>
          <w:sz w:val="20"/>
        </w:rPr>
        <w:t>Managing</w:t>
      </w:r>
      <w:r>
        <w:rPr>
          <w:spacing w:val="-6"/>
          <w:sz w:val="20"/>
        </w:rPr>
        <w:t xml:space="preserve"> </w:t>
      </w:r>
      <w:r>
        <w:rPr>
          <w:sz w:val="20"/>
        </w:rPr>
        <w:t>mental</w:t>
      </w:r>
      <w:r>
        <w:rPr>
          <w:spacing w:val="-6"/>
          <w:sz w:val="20"/>
        </w:rPr>
        <w:t xml:space="preserve"> </w:t>
      </w:r>
      <w:r>
        <w:rPr>
          <w:sz w:val="20"/>
        </w:rPr>
        <w:t>health</w:t>
      </w:r>
      <w:r>
        <w:rPr>
          <w:spacing w:val="-5"/>
          <w:sz w:val="20"/>
        </w:rPr>
        <w:t xml:space="preserve"> </w:t>
      </w:r>
      <w:r>
        <w:rPr>
          <w:spacing w:val="-2"/>
          <w:sz w:val="20"/>
        </w:rPr>
        <w:t>issues</w:t>
      </w:r>
    </w:p>
    <w:p w14:paraId="492C0A82" w14:textId="77777777" w:rsidR="00AC6F3C" w:rsidRDefault="00AC6F3C">
      <w:pPr>
        <w:pStyle w:val="BodyText"/>
        <w:rPr>
          <w:sz w:val="22"/>
        </w:rPr>
      </w:pPr>
    </w:p>
    <w:p w14:paraId="399BF8CA" w14:textId="77777777" w:rsidR="00AC6F3C" w:rsidRDefault="00570E88">
      <w:pPr>
        <w:pStyle w:val="Heading3"/>
        <w:spacing w:before="130"/>
      </w:pPr>
      <w:r>
        <w:t>The</w:t>
      </w:r>
      <w:r>
        <w:rPr>
          <w:spacing w:val="-4"/>
        </w:rPr>
        <w:t xml:space="preserve"> </w:t>
      </w:r>
      <w:r>
        <w:t>public</w:t>
      </w:r>
      <w:r>
        <w:rPr>
          <w:spacing w:val="-3"/>
        </w:rPr>
        <w:t xml:space="preserve"> </w:t>
      </w:r>
      <w:r>
        <w:t>good:</w:t>
      </w:r>
      <w:r>
        <w:rPr>
          <w:spacing w:val="-4"/>
        </w:rPr>
        <w:t xml:space="preserve"> </w:t>
      </w:r>
      <w:r>
        <w:t>our</w:t>
      </w:r>
      <w:r>
        <w:rPr>
          <w:spacing w:val="-3"/>
        </w:rPr>
        <w:t xml:space="preserve"> </w:t>
      </w:r>
      <w:r>
        <w:t>corporate</w:t>
      </w:r>
      <w:r>
        <w:rPr>
          <w:spacing w:val="-3"/>
        </w:rPr>
        <w:t xml:space="preserve"> </w:t>
      </w:r>
      <w:r>
        <w:rPr>
          <w:spacing w:val="-2"/>
        </w:rPr>
        <w:t>citizenship</w:t>
      </w:r>
    </w:p>
    <w:p w14:paraId="2FA435E0" w14:textId="77777777" w:rsidR="00AC6F3C" w:rsidRDefault="00570E88">
      <w:pPr>
        <w:pStyle w:val="BodyText"/>
        <w:spacing w:before="154" w:line="249" w:lineRule="auto"/>
        <w:ind w:left="815" w:right="439"/>
        <w:jc w:val="both"/>
      </w:pPr>
      <w:r>
        <w:t>Our continued focus on contributing to the public good has seen us deliver significant financial and in- kind</w:t>
      </w:r>
      <w:r>
        <w:rPr>
          <w:spacing w:val="-3"/>
        </w:rPr>
        <w:t xml:space="preserve"> </w:t>
      </w:r>
      <w:r>
        <w:t>support</w:t>
      </w:r>
      <w:r>
        <w:rPr>
          <w:spacing w:val="-3"/>
        </w:rPr>
        <w:t xml:space="preserve"> </w:t>
      </w:r>
      <w:r>
        <w:t>to</w:t>
      </w:r>
      <w:r>
        <w:rPr>
          <w:spacing w:val="-3"/>
        </w:rPr>
        <w:t xml:space="preserve"> </w:t>
      </w:r>
      <w:r>
        <w:t>a</w:t>
      </w:r>
      <w:r>
        <w:rPr>
          <w:spacing w:val="-3"/>
        </w:rPr>
        <w:t xml:space="preserve"> </w:t>
      </w:r>
      <w:r>
        <w:t>number</w:t>
      </w:r>
      <w:r>
        <w:rPr>
          <w:spacing w:val="-3"/>
        </w:rPr>
        <w:t xml:space="preserve"> </w:t>
      </w:r>
      <w:r>
        <w:t>of</w:t>
      </w:r>
      <w:r>
        <w:rPr>
          <w:spacing w:val="-3"/>
        </w:rPr>
        <w:t xml:space="preserve"> </w:t>
      </w:r>
      <w:r>
        <w:t>legal</w:t>
      </w:r>
      <w:r>
        <w:rPr>
          <w:spacing w:val="-3"/>
        </w:rPr>
        <w:t xml:space="preserve"> </w:t>
      </w:r>
      <w:r>
        <w:t>not-for-profit</w:t>
      </w:r>
      <w:r>
        <w:rPr>
          <w:spacing w:val="-3"/>
        </w:rPr>
        <w:t xml:space="preserve"> </w:t>
      </w:r>
      <w:proofErr w:type="spellStart"/>
      <w:r>
        <w:t>organisations</w:t>
      </w:r>
      <w:proofErr w:type="spellEnd"/>
      <w:r>
        <w:rPr>
          <w:spacing w:val="-3"/>
        </w:rPr>
        <w:t xml:space="preserve"> </w:t>
      </w:r>
      <w:r>
        <w:t>throughout</w:t>
      </w:r>
      <w:r>
        <w:rPr>
          <w:spacing w:val="-3"/>
        </w:rPr>
        <w:t xml:space="preserve"> </w:t>
      </w:r>
      <w:r>
        <w:t>the</w:t>
      </w:r>
      <w:r>
        <w:rPr>
          <w:spacing w:val="-3"/>
        </w:rPr>
        <w:t xml:space="preserve"> </w:t>
      </w:r>
      <w:r>
        <w:t>state,</w:t>
      </w:r>
      <w:r>
        <w:rPr>
          <w:spacing w:val="-3"/>
        </w:rPr>
        <w:t xml:space="preserve"> </w:t>
      </w:r>
      <w:r>
        <w:t>helping</w:t>
      </w:r>
      <w:r>
        <w:rPr>
          <w:spacing w:val="-3"/>
        </w:rPr>
        <w:t xml:space="preserve"> </w:t>
      </w:r>
      <w:r>
        <w:t>Queensland practitioners to experience more fulfilling legal careers – and all Queenslanders access to justice.</w:t>
      </w:r>
    </w:p>
    <w:p w14:paraId="49B399B5" w14:textId="77777777" w:rsidR="00AC6F3C" w:rsidRDefault="00AC6F3C">
      <w:pPr>
        <w:pStyle w:val="BodyText"/>
        <w:spacing w:before="8"/>
        <w:rPr>
          <w:sz w:val="25"/>
        </w:rPr>
      </w:pPr>
    </w:p>
    <w:tbl>
      <w:tblPr>
        <w:tblW w:w="0" w:type="auto"/>
        <w:tblInd w:w="823" w:type="dxa"/>
        <w:tblLayout w:type="fixed"/>
        <w:tblCellMar>
          <w:left w:w="0" w:type="dxa"/>
          <w:right w:w="0" w:type="dxa"/>
        </w:tblCellMar>
        <w:tblLook w:val="01E0" w:firstRow="1" w:lastRow="1" w:firstColumn="1" w:lastColumn="1" w:noHBand="0" w:noVBand="0"/>
      </w:tblPr>
      <w:tblGrid>
        <w:gridCol w:w="3095"/>
        <w:gridCol w:w="3068"/>
        <w:gridCol w:w="3190"/>
      </w:tblGrid>
      <w:tr w:rsidR="00AC6F3C" w14:paraId="7B7E3C74" w14:textId="77777777">
        <w:trPr>
          <w:trHeight w:val="362"/>
        </w:trPr>
        <w:tc>
          <w:tcPr>
            <w:tcW w:w="3095" w:type="dxa"/>
            <w:tcBorders>
              <w:top w:val="single" w:sz="4" w:space="0" w:color="000000"/>
              <w:bottom w:val="single" w:sz="4" w:space="0" w:color="000000"/>
            </w:tcBorders>
          </w:tcPr>
          <w:p w14:paraId="0A1C8B99" w14:textId="77777777" w:rsidR="00AC6F3C" w:rsidRDefault="00570E88">
            <w:pPr>
              <w:pStyle w:val="TableParagraph"/>
              <w:spacing w:before="66"/>
              <w:ind w:left="113"/>
              <w:rPr>
                <w:b/>
                <w:sz w:val="20"/>
              </w:rPr>
            </w:pPr>
            <w:r>
              <w:rPr>
                <w:b/>
                <w:spacing w:val="-2"/>
                <w:sz w:val="20"/>
              </w:rPr>
              <w:t>Organisation</w:t>
            </w:r>
          </w:p>
        </w:tc>
        <w:tc>
          <w:tcPr>
            <w:tcW w:w="3068" w:type="dxa"/>
            <w:tcBorders>
              <w:top w:val="single" w:sz="4" w:space="0" w:color="000000"/>
              <w:bottom w:val="single" w:sz="4" w:space="0" w:color="000000"/>
            </w:tcBorders>
          </w:tcPr>
          <w:p w14:paraId="04243411" w14:textId="77777777" w:rsidR="00AC6F3C" w:rsidRDefault="00570E88">
            <w:pPr>
              <w:pStyle w:val="TableParagraph"/>
              <w:spacing w:before="66"/>
              <w:ind w:left="136"/>
              <w:rPr>
                <w:b/>
                <w:sz w:val="20"/>
              </w:rPr>
            </w:pPr>
            <w:r>
              <w:rPr>
                <w:b/>
                <w:sz w:val="20"/>
              </w:rPr>
              <w:t xml:space="preserve">QLS </w:t>
            </w:r>
            <w:r>
              <w:rPr>
                <w:b/>
                <w:spacing w:val="-2"/>
                <w:sz w:val="20"/>
              </w:rPr>
              <w:t>contribution</w:t>
            </w:r>
          </w:p>
        </w:tc>
        <w:tc>
          <w:tcPr>
            <w:tcW w:w="3190" w:type="dxa"/>
            <w:tcBorders>
              <w:top w:val="single" w:sz="4" w:space="0" w:color="000000"/>
              <w:bottom w:val="single" w:sz="4" w:space="0" w:color="000000"/>
            </w:tcBorders>
          </w:tcPr>
          <w:p w14:paraId="7BEE2E96" w14:textId="77777777" w:rsidR="00AC6F3C" w:rsidRDefault="00570E88">
            <w:pPr>
              <w:pStyle w:val="TableParagraph"/>
              <w:spacing w:before="66"/>
              <w:ind w:left="186"/>
              <w:rPr>
                <w:b/>
                <w:sz w:val="20"/>
              </w:rPr>
            </w:pPr>
            <w:r>
              <w:rPr>
                <w:b/>
                <w:spacing w:val="-2"/>
                <w:sz w:val="20"/>
              </w:rPr>
              <w:t>Benefit</w:t>
            </w:r>
          </w:p>
        </w:tc>
      </w:tr>
      <w:tr w:rsidR="00AC6F3C" w14:paraId="561C2CD7" w14:textId="77777777">
        <w:trPr>
          <w:trHeight w:val="304"/>
        </w:trPr>
        <w:tc>
          <w:tcPr>
            <w:tcW w:w="3095" w:type="dxa"/>
            <w:tcBorders>
              <w:top w:val="single" w:sz="4" w:space="0" w:color="000000"/>
            </w:tcBorders>
          </w:tcPr>
          <w:p w14:paraId="34E23A08" w14:textId="77777777" w:rsidR="00AC6F3C" w:rsidRDefault="00570E88">
            <w:pPr>
              <w:pStyle w:val="TableParagraph"/>
              <w:spacing w:before="66" w:line="218" w:lineRule="exact"/>
              <w:ind w:left="113"/>
              <w:rPr>
                <w:b/>
                <w:sz w:val="20"/>
              </w:rPr>
            </w:pPr>
            <w:r>
              <w:rPr>
                <w:b/>
                <w:sz w:val="20"/>
              </w:rPr>
              <w:t>District</w:t>
            </w:r>
            <w:r>
              <w:rPr>
                <w:b/>
                <w:spacing w:val="-2"/>
                <w:sz w:val="20"/>
              </w:rPr>
              <w:t xml:space="preserve"> </w:t>
            </w:r>
            <w:r>
              <w:rPr>
                <w:b/>
                <w:sz w:val="20"/>
              </w:rPr>
              <w:t>Law</w:t>
            </w:r>
            <w:r>
              <w:rPr>
                <w:b/>
                <w:spacing w:val="-8"/>
                <w:sz w:val="20"/>
              </w:rPr>
              <w:t xml:space="preserve"> </w:t>
            </w:r>
            <w:r>
              <w:rPr>
                <w:b/>
                <w:spacing w:val="-2"/>
                <w:sz w:val="20"/>
              </w:rPr>
              <w:t>Associations</w:t>
            </w:r>
          </w:p>
        </w:tc>
        <w:tc>
          <w:tcPr>
            <w:tcW w:w="3068" w:type="dxa"/>
            <w:tcBorders>
              <w:top w:val="single" w:sz="4" w:space="0" w:color="000000"/>
            </w:tcBorders>
          </w:tcPr>
          <w:p w14:paraId="65D9238A" w14:textId="77777777" w:rsidR="00AC6F3C" w:rsidRDefault="00570E88">
            <w:pPr>
              <w:pStyle w:val="TableParagraph"/>
              <w:spacing w:before="66" w:line="218" w:lineRule="exact"/>
              <w:ind w:left="136"/>
              <w:rPr>
                <w:sz w:val="20"/>
              </w:rPr>
            </w:pPr>
            <w:r>
              <w:rPr>
                <w:sz w:val="20"/>
              </w:rPr>
              <w:t>Financial</w:t>
            </w:r>
            <w:r>
              <w:rPr>
                <w:spacing w:val="-6"/>
                <w:sz w:val="20"/>
              </w:rPr>
              <w:t xml:space="preserve"> </w:t>
            </w:r>
            <w:r>
              <w:rPr>
                <w:sz w:val="20"/>
              </w:rPr>
              <w:t>and</w:t>
            </w:r>
            <w:r>
              <w:rPr>
                <w:spacing w:val="-5"/>
                <w:sz w:val="20"/>
              </w:rPr>
              <w:t xml:space="preserve"> </w:t>
            </w:r>
            <w:r>
              <w:rPr>
                <w:sz w:val="20"/>
              </w:rPr>
              <w:t>in-kind</w:t>
            </w:r>
            <w:r>
              <w:rPr>
                <w:spacing w:val="-5"/>
                <w:sz w:val="20"/>
              </w:rPr>
              <w:t xml:space="preserve"> </w:t>
            </w:r>
            <w:r>
              <w:rPr>
                <w:spacing w:val="-2"/>
                <w:sz w:val="20"/>
              </w:rPr>
              <w:t>support</w:t>
            </w:r>
          </w:p>
        </w:tc>
        <w:tc>
          <w:tcPr>
            <w:tcW w:w="3190" w:type="dxa"/>
            <w:tcBorders>
              <w:top w:val="single" w:sz="4" w:space="0" w:color="000000"/>
            </w:tcBorders>
          </w:tcPr>
          <w:p w14:paraId="56354EC8" w14:textId="77777777" w:rsidR="00AC6F3C" w:rsidRDefault="00570E88">
            <w:pPr>
              <w:pStyle w:val="TableParagraph"/>
              <w:spacing w:before="66" w:line="218" w:lineRule="exact"/>
              <w:ind w:left="186"/>
              <w:rPr>
                <w:sz w:val="20"/>
              </w:rPr>
            </w:pPr>
            <w:r>
              <w:rPr>
                <w:sz w:val="20"/>
              </w:rPr>
              <w:t>Additional</w:t>
            </w:r>
            <w:r>
              <w:rPr>
                <w:spacing w:val="-5"/>
                <w:sz w:val="20"/>
              </w:rPr>
              <w:t xml:space="preserve"> </w:t>
            </w:r>
            <w:r>
              <w:rPr>
                <w:sz w:val="20"/>
              </w:rPr>
              <w:t>support</w:t>
            </w:r>
            <w:r>
              <w:rPr>
                <w:spacing w:val="-4"/>
                <w:sz w:val="20"/>
              </w:rPr>
              <w:t xml:space="preserve"> </w:t>
            </w:r>
            <w:r>
              <w:rPr>
                <w:spacing w:val="-5"/>
                <w:sz w:val="20"/>
              </w:rPr>
              <w:t>of</w:t>
            </w:r>
          </w:p>
        </w:tc>
      </w:tr>
      <w:tr w:rsidR="00AC6F3C" w14:paraId="796D42C8" w14:textId="77777777">
        <w:trPr>
          <w:trHeight w:val="240"/>
        </w:trPr>
        <w:tc>
          <w:tcPr>
            <w:tcW w:w="3095" w:type="dxa"/>
          </w:tcPr>
          <w:p w14:paraId="11F11A50" w14:textId="77777777" w:rsidR="00AC6F3C" w:rsidRDefault="00570E88">
            <w:pPr>
              <w:pStyle w:val="TableParagraph"/>
              <w:spacing w:before="1" w:line="218" w:lineRule="exact"/>
              <w:ind w:left="113"/>
              <w:rPr>
                <w:b/>
                <w:sz w:val="20"/>
              </w:rPr>
            </w:pPr>
            <w:r>
              <w:rPr>
                <w:b/>
                <w:sz w:val="20"/>
              </w:rPr>
              <w:t xml:space="preserve">throughout </w:t>
            </w:r>
            <w:r>
              <w:rPr>
                <w:b/>
                <w:spacing w:val="-2"/>
                <w:sz w:val="20"/>
              </w:rPr>
              <w:t>Queensland</w:t>
            </w:r>
          </w:p>
        </w:tc>
        <w:tc>
          <w:tcPr>
            <w:tcW w:w="3068" w:type="dxa"/>
          </w:tcPr>
          <w:p w14:paraId="698B193F" w14:textId="77777777" w:rsidR="00AC6F3C" w:rsidRDefault="00570E88">
            <w:pPr>
              <w:pStyle w:val="TableParagraph"/>
              <w:spacing w:before="1" w:line="218" w:lineRule="exact"/>
              <w:ind w:left="136"/>
              <w:rPr>
                <w:sz w:val="20"/>
              </w:rPr>
            </w:pPr>
            <w:r>
              <w:rPr>
                <w:sz w:val="20"/>
              </w:rPr>
              <w:t xml:space="preserve">across various events </w:t>
            </w:r>
            <w:r>
              <w:rPr>
                <w:spacing w:val="-5"/>
                <w:sz w:val="20"/>
              </w:rPr>
              <w:t>and</w:t>
            </w:r>
          </w:p>
        </w:tc>
        <w:tc>
          <w:tcPr>
            <w:tcW w:w="3190" w:type="dxa"/>
          </w:tcPr>
          <w:p w14:paraId="185469D8" w14:textId="77777777" w:rsidR="00AC6F3C" w:rsidRDefault="00570E88">
            <w:pPr>
              <w:pStyle w:val="TableParagraph"/>
              <w:spacing w:before="1" w:line="218" w:lineRule="exact"/>
              <w:ind w:left="186"/>
              <w:rPr>
                <w:sz w:val="20"/>
              </w:rPr>
            </w:pPr>
            <w:r>
              <w:rPr>
                <w:sz w:val="20"/>
              </w:rPr>
              <w:t>Queensland</w:t>
            </w:r>
            <w:r>
              <w:rPr>
                <w:spacing w:val="-9"/>
                <w:sz w:val="20"/>
              </w:rPr>
              <w:t xml:space="preserve"> </w:t>
            </w:r>
            <w:r>
              <w:rPr>
                <w:spacing w:val="-2"/>
                <w:sz w:val="20"/>
              </w:rPr>
              <w:t>practitioners</w:t>
            </w:r>
          </w:p>
        </w:tc>
      </w:tr>
      <w:tr w:rsidR="00AC6F3C" w14:paraId="52215470" w14:textId="77777777">
        <w:trPr>
          <w:trHeight w:val="240"/>
        </w:trPr>
        <w:tc>
          <w:tcPr>
            <w:tcW w:w="3095" w:type="dxa"/>
          </w:tcPr>
          <w:p w14:paraId="6FA7DF26" w14:textId="77777777" w:rsidR="00AC6F3C" w:rsidRDefault="00AC6F3C">
            <w:pPr>
              <w:pStyle w:val="TableParagraph"/>
              <w:rPr>
                <w:rFonts w:ascii="Times New Roman"/>
                <w:sz w:val="16"/>
              </w:rPr>
            </w:pPr>
          </w:p>
        </w:tc>
        <w:tc>
          <w:tcPr>
            <w:tcW w:w="3068" w:type="dxa"/>
          </w:tcPr>
          <w:p w14:paraId="1628B59C" w14:textId="77777777" w:rsidR="00AC6F3C" w:rsidRDefault="00570E88">
            <w:pPr>
              <w:pStyle w:val="TableParagraph"/>
              <w:spacing w:before="1" w:line="218" w:lineRule="exact"/>
              <w:ind w:left="136"/>
              <w:rPr>
                <w:sz w:val="20"/>
              </w:rPr>
            </w:pPr>
            <w:r>
              <w:rPr>
                <w:sz w:val="20"/>
              </w:rPr>
              <w:t>initiatives,</w:t>
            </w:r>
            <w:r>
              <w:rPr>
                <w:spacing w:val="-4"/>
                <w:sz w:val="20"/>
              </w:rPr>
              <w:t xml:space="preserve"> </w:t>
            </w:r>
            <w:r>
              <w:rPr>
                <w:sz w:val="20"/>
              </w:rPr>
              <w:t>both</w:t>
            </w:r>
            <w:r>
              <w:rPr>
                <w:spacing w:val="-3"/>
                <w:sz w:val="20"/>
              </w:rPr>
              <w:t xml:space="preserve"> </w:t>
            </w:r>
            <w:r>
              <w:rPr>
                <w:sz w:val="20"/>
              </w:rPr>
              <w:t>Brisbane</w:t>
            </w:r>
            <w:r>
              <w:rPr>
                <w:spacing w:val="-3"/>
                <w:sz w:val="20"/>
              </w:rPr>
              <w:t xml:space="preserve"> </w:t>
            </w:r>
            <w:r>
              <w:rPr>
                <w:spacing w:val="-5"/>
                <w:sz w:val="20"/>
              </w:rPr>
              <w:t>and</w:t>
            </w:r>
          </w:p>
        </w:tc>
        <w:tc>
          <w:tcPr>
            <w:tcW w:w="3190" w:type="dxa"/>
          </w:tcPr>
          <w:p w14:paraId="32CBDE71" w14:textId="77777777" w:rsidR="00AC6F3C" w:rsidRDefault="00AC6F3C">
            <w:pPr>
              <w:pStyle w:val="TableParagraph"/>
              <w:rPr>
                <w:rFonts w:ascii="Times New Roman"/>
                <w:sz w:val="16"/>
              </w:rPr>
            </w:pPr>
          </w:p>
        </w:tc>
      </w:tr>
      <w:tr w:rsidR="00AC6F3C" w14:paraId="2BF49996" w14:textId="77777777">
        <w:trPr>
          <w:trHeight w:val="297"/>
        </w:trPr>
        <w:tc>
          <w:tcPr>
            <w:tcW w:w="3095" w:type="dxa"/>
            <w:tcBorders>
              <w:bottom w:val="single" w:sz="4" w:space="0" w:color="000000"/>
            </w:tcBorders>
          </w:tcPr>
          <w:p w14:paraId="63B14026" w14:textId="77777777" w:rsidR="00AC6F3C" w:rsidRDefault="00AC6F3C">
            <w:pPr>
              <w:pStyle w:val="TableParagraph"/>
              <w:rPr>
                <w:rFonts w:ascii="Times New Roman"/>
                <w:sz w:val="20"/>
              </w:rPr>
            </w:pPr>
          </w:p>
        </w:tc>
        <w:tc>
          <w:tcPr>
            <w:tcW w:w="3068" w:type="dxa"/>
            <w:tcBorders>
              <w:bottom w:val="single" w:sz="4" w:space="0" w:color="000000"/>
            </w:tcBorders>
          </w:tcPr>
          <w:p w14:paraId="21F6EE7D" w14:textId="77777777" w:rsidR="00AC6F3C" w:rsidRDefault="00570E88">
            <w:pPr>
              <w:pStyle w:val="TableParagraph"/>
              <w:spacing w:before="1"/>
              <w:ind w:left="136"/>
              <w:rPr>
                <w:sz w:val="20"/>
              </w:rPr>
            </w:pPr>
            <w:r>
              <w:rPr>
                <w:spacing w:val="-2"/>
                <w:sz w:val="20"/>
              </w:rPr>
              <w:t>regionally-based</w:t>
            </w:r>
          </w:p>
        </w:tc>
        <w:tc>
          <w:tcPr>
            <w:tcW w:w="3190" w:type="dxa"/>
            <w:tcBorders>
              <w:bottom w:val="single" w:sz="4" w:space="0" w:color="000000"/>
            </w:tcBorders>
          </w:tcPr>
          <w:p w14:paraId="1927EE7B" w14:textId="77777777" w:rsidR="00AC6F3C" w:rsidRDefault="00AC6F3C">
            <w:pPr>
              <w:pStyle w:val="TableParagraph"/>
              <w:rPr>
                <w:rFonts w:ascii="Times New Roman"/>
                <w:sz w:val="20"/>
              </w:rPr>
            </w:pPr>
          </w:p>
        </w:tc>
      </w:tr>
      <w:tr w:rsidR="00AC6F3C" w14:paraId="5BCD0341" w14:textId="77777777">
        <w:trPr>
          <w:trHeight w:val="304"/>
        </w:trPr>
        <w:tc>
          <w:tcPr>
            <w:tcW w:w="3095" w:type="dxa"/>
            <w:tcBorders>
              <w:top w:val="single" w:sz="4" w:space="0" w:color="000000"/>
            </w:tcBorders>
          </w:tcPr>
          <w:p w14:paraId="61B4CC1C" w14:textId="77777777" w:rsidR="00AC6F3C" w:rsidRDefault="00570E88">
            <w:pPr>
              <w:pStyle w:val="TableParagraph"/>
              <w:spacing w:before="66" w:line="218" w:lineRule="exact"/>
              <w:ind w:left="113"/>
              <w:rPr>
                <w:b/>
                <w:sz w:val="20"/>
              </w:rPr>
            </w:pPr>
            <w:proofErr w:type="spellStart"/>
            <w:r>
              <w:rPr>
                <w:b/>
                <w:spacing w:val="-2"/>
                <w:sz w:val="20"/>
              </w:rPr>
              <w:t>LawRight</w:t>
            </w:r>
            <w:proofErr w:type="spellEnd"/>
          </w:p>
        </w:tc>
        <w:tc>
          <w:tcPr>
            <w:tcW w:w="3068" w:type="dxa"/>
            <w:tcBorders>
              <w:top w:val="single" w:sz="4" w:space="0" w:color="000000"/>
            </w:tcBorders>
          </w:tcPr>
          <w:p w14:paraId="700725FC" w14:textId="77777777" w:rsidR="00AC6F3C" w:rsidRDefault="00570E88">
            <w:pPr>
              <w:pStyle w:val="TableParagraph"/>
              <w:spacing w:before="66" w:line="218" w:lineRule="exact"/>
              <w:ind w:left="136"/>
              <w:rPr>
                <w:sz w:val="20"/>
              </w:rPr>
            </w:pPr>
            <w:r>
              <w:rPr>
                <w:sz w:val="20"/>
              </w:rPr>
              <w:t>In-kind</w:t>
            </w:r>
            <w:r>
              <w:rPr>
                <w:spacing w:val="-3"/>
                <w:sz w:val="20"/>
              </w:rPr>
              <w:t xml:space="preserve"> </w:t>
            </w:r>
            <w:r>
              <w:rPr>
                <w:sz w:val="20"/>
              </w:rPr>
              <w:t>support</w:t>
            </w:r>
            <w:r>
              <w:rPr>
                <w:spacing w:val="-3"/>
                <w:sz w:val="20"/>
              </w:rPr>
              <w:t xml:space="preserve"> </w:t>
            </w:r>
            <w:r>
              <w:rPr>
                <w:sz w:val="20"/>
              </w:rPr>
              <w:t>and</w:t>
            </w:r>
            <w:r>
              <w:rPr>
                <w:spacing w:val="-2"/>
                <w:sz w:val="20"/>
              </w:rPr>
              <w:t xml:space="preserve"> fundraising</w:t>
            </w:r>
          </w:p>
        </w:tc>
        <w:tc>
          <w:tcPr>
            <w:tcW w:w="3190" w:type="dxa"/>
            <w:tcBorders>
              <w:top w:val="single" w:sz="4" w:space="0" w:color="000000"/>
            </w:tcBorders>
          </w:tcPr>
          <w:p w14:paraId="5D493041" w14:textId="77777777" w:rsidR="00AC6F3C" w:rsidRDefault="00570E88">
            <w:pPr>
              <w:pStyle w:val="TableParagraph"/>
              <w:spacing w:before="66" w:line="218" w:lineRule="exact"/>
              <w:ind w:left="187"/>
              <w:rPr>
                <w:sz w:val="20"/>
              </w:rPr>
            </w:pPr>
            <w:r>
              <w:rPr>
                <w:sz w:val="20"/>
              </w:rPr>
              <w:t xml:space="preserve">Support for </w:t>
            </w:r>
            <w:proofErr w:type="spellStart"/>
            <w:r>
              <w:rPr>
                <w:spacing w:val="-2"/>
                <w:sz w:val="20"/>
              </w:rPr>
              <w:t>LawRight’s</w:t>
            </w:r>
            <w:proofErr w:type="spellEnd"/>
          </w:p>
        </w:tc>
      </w:tr>
      <w:tr w:rsidR="00AC6F3C" w14:paraId="2607F3BD" w14:textId="77777777">
        <w:trPr>
          <w:trHeight w:val="240"/>
        </w:trPr>
        <w:tc>
          <w:tcPr>
            <w:tcW w:w="3095" w:type="dxa"/>
          </w:tcPr>
          <w:p w14:paraId="6302C60E" w14:textId="77777777" w:rsidR="00AC6F3C" w:rsidRDefault="00AC6F3C">
            <w:pPr>
              <w:pStyle w:val="TableParagraph"/>
              <w:rPr>
                <w:rFonts w:ascii="Times New Roman"/>
                <w:sz w:val="16"/>
              </w:rPr>
            </w:pPr>
          </w:p>
        </w:tc>
        <w:tc>
          <w:tcPr>
            <w:tcW w:w="3068" w:type="dxa"/>
          </w:tcPr>
          <w:p w14:paraId="7C74E112" w14:textId="77777777" w:rsidR="00AC6F3C" w:rsidRDefault="00570E88">
            <w:pPr>
              <w:pStyle w:val="TableParagraph"/>
              <w:spacing w:before="1" w:line="218" w:lineRule="exact"/>
              <w:ind w:left="136"/>
              <w:rPr>
                <w:sz w:val="20"/>
              </w:rPr>
            </w:pPr>
            <w:r>
              <w:rPr>
                <w:sz w:val="20"/>
              </w:rPr>
              <w:t>for</w:t>
            </w:r>
            <w:r>
              <w:rPr>
                <w:spacing w:val="-2"/>
                <w:sz w:val="20"/>
              </w:rPr>
              <w:t xml:space="preserve"> </w:t>
            </w:r>
            <w:r>
              <w:rPr>
                <w:sz w:val="20"/>
              </w:rPr>
              <w:t>the</w:t>
            </w:r>
            <w:r>
              <w:rPr>
                <w:spacing w:val="-2"/>
                <w:sz w:val="20"/>
              </w:rPr>
              <w:t xml:space="preserve"> </w:t>
            </w:r>
            <w:r>
              <w:rPr>
                <w:sz w:val="20"/>
              </w:rPr>
              <w:t>2023</w:t>
            </w:r>
            <w:r>
              <w:rPr>
                <w:spacing w:val="-1"/>
                <w:sz w:val="20"/>
              </w:rPr>
              <w:t xml:space="preserve"> </w:t>
            </w:r>
            <w:r>
              <w:rPr>
                <w:spacing w:val="-2"/>
                <w:sz w:val="20"/>
              </w:rPr>
              <w:t>Queensland</w:t>
            </w:r>
          </w:p>
        </w:tc>
        <w:tc>
          <w:tcPr>
            <w:tcW w:w="3190" w:type="dxa"/>
          </w:tcPr>
          <w:p w14:paraId="2AEB7583" w14:textId="77777777" w:rsidR="00AC6F3C" w:rsidRDefault="00570E88">
            <w:pPr>
              <w:pStyle w:val="TableParagraph"/>
              <w:spacing w:before="1" w:line="218" w:lineRule="exact"/>
              <w:ind w:left="187"/>
              <w:rPr>
                <w:sz w:val="20"/>
              </w:rPr>
            </w:pPr>
            <w:r>
              <w:rPr>
                <w:sz w:val="20"/>
              </w:rPr>
              <w:t>mission</w:t>
            </w:r>
            <w:r>
              <w:rPr>
                <w:spacing w:val="-4"/>
                <w:sz w:val="20"/>
              </w:rPr>
              <w:t xml:space="preserve"> </w:t>
            </w:r>
            <w:r>
              <w:rPr>
                <w:sz w:val="20"/>
              </w:rPr>
              <w:t>to</w:t>
            </w:r>
            <w:r>
              <w:rPr>
                <w:spacing w:val="-4"/>
                <w:sz w:val="20"/>
              </w:rPr>
              <w:t xml:space="preserve"> </w:t>
            </w:r>
            <w:r>
              <w:rPr>
                <w:sz w:val="20"/>
              </w:rPr>
              <w:t>improve</w:t>
            </w:r>
            <w:r>
              <w:rPr>
                <w:spacing w:val="-4"/>
                <w:sz w:val="20"/>
              </w:rPr>
              <w:t xml:space="preserve"> </w:t>
            </w:r>
            <w:r>
              <w:rPr>
                <w:sz w:val="20"/>
              </w:rPr>
              <w:t>the</w:t>
            </w:r>
            <w:r>
              <w:rPr>
                <w:spacing w:val="-3"/>
                <w:sz w:val="20"/>
              </w:rPr>
              <w:t xml:space="preserve"> </w:t>
            </w:r>
            <w:r>
              <w:rPr>
                <w:spacing w:val="-2"/>
                <w:sz w:val="20"/>
              </w:rPr>
              <w:t>lives</w:t>
            </w:r>
          </w:p>
        </w:tc>
      </w:tr>
      <w:tr w:rsidR="00AC6F3C" w14:paraId="77480FB2" w14:textId="77777777">
        <w:trPr>
          <w:trHeight w:val="240"/>
        </w:trPr>
        <w:tc>
          <w:tcPr>
            <w:tcW w:w="3095" w:type="dxa"/>
          </w:tcPr>
          <w:p w14:paraId="1A1E68A3" w14:textId="77777777" w:rsidR="00AC6F3C" w:rsidRDefault="00AC6F3C">
            <w:pPr>
              <w:pStyle w:val="TableParagraph"/>
              <w:rPr>
                <w:rFonts w:ascii="Times New Roman"/>
                <w:sz w:val="16"/>
              </w:rPr>
            </w:pPr>
          </w:p>
        </w:tc>
        <w:tc>
          <w:tcPr>
            <w:tcW w:w="3068" w:type="dxa"/>
          </w:tcPr>
          <w:p w14:paraId="1BA0F9ED" w14:textId="77777777" w:rsidR="00AC6F3C" w:rsidRDefault="00570E88">
            <w:pPr>
              <w:pStyle w:val="TableParagraph"/>
              <w:spacing w:before="1" w:line="218" w:lineRule="exact"/>
              <w:ind w:left="136"/>
              <w:rPr>
                <w:sz w:val="20"/>
              </w:rPr>
            </w:pPr>
            <w:r>
              <w:rPr>
                <w:sz w:val="20"/>
              </w:rPr>
              <w:t>Legal</w:t>
            </w:r>
            <w:r>
              <w:rPr>
                <w:spacing w:val="-4"/>
                <w:sz w:val="20"/>
              </w:rPr>
              <w:t xml:space="preserve"> Walk</w:t>
            </w:r>
          </w:p>
        </w:tc>
        <w:tc>
          <w:tcPr>
            <w:tcW w:w="3190" w:type="dxa"/>
          </w:tcPr>
          <w:p w14:paraId="09A0C23B" w14:textId="77777777" w:rsidR="00AC6F3C" w:rsidRDefault="00570E88">
            <w:pPr>
              <w:pStyle w:val="TableParagraph"/>
              <w:spacing w:before="1" w:line="218" w:lineRule="exact"/>
              <w:ind w:left="187"/>
              <w:rPr>
                <w:sz w:val="20"/>
              </w:rPr>
            </w:pPr>
            <w:r>
              <w:rPr>
                <w:sz w:val="20"/>
              </w:rPr>
              <w:t>of</w:t>
            </w:r>
            <w:r>
              <w:rPr>
                <w:spacing w:val="-5"/>
                <w:sz w:val="20"/>
              </w:rPr>
              <w:t xml:space="preserve"> </w:t>
            </w:r>
            <w:r>
              <w:rPr>
                <w:sz w:val="20"/>
              </w:rPr>
              <w:t>vulnerable</w:t>
            </w:r>
            <w:r>
              <w:rPr>
                <w:spacing w:val="-5"/>
                <w:sz w:val="20"/>
              </w:rPr>
              <w:t xml:space="preserve"> </w:t>
            </w:r>
            <w:r>
              <w:rPr>
                <w:sz w:val="20"/>
              </w:rPr>
              <w:t>people</w:t>
            </w:r>
            <w:r>
              <w:rPr>
                <w:spacing w:val="-4"/>
                <w:sz w:val="20"/>
              </w:rPr>
              <w:t xml:space="preserve"> </w:t>
            </w:r>
            <w:r>
              <w:rPr>
                <w:spacing w:val="-5"/>
                <w:sz w:val="20"/>
              </w:rPr>
              <w:t>by</w:t>
            </w:r>
          </w:p>
        </w:tc>
      </w:tr>
      <w:tr w:rsidR="00AC6F3C" w14:paraId="7CC008D5" w14:textId="77777777">
        <w:trPr>
          <w:trHeight w:val="240"/>
        </w:trPr>
        <w:tc>
          <w:tcPr>
            <w:tcW w:w="3095" w:type="dxa"/>
          </w:tcPr>
          <w:p w14:paraId="228F1DB2" w14:textId="77777777" w:rsidR="00AC6F3C" w:rsidRDefault="00AC6F3C">
            <w:pPr>
              <w:pStyle w:val="TableParagraph"/>
              <w:rPr>
                <w:rFonts w:ascii="Times New Roman"/>
                <w:sz w:val="16"/>
              </w:rPr>
            </w:pPr>
          </w:p>
        </w:tc>
        <w:tc>
          <w:tcPr>
            <w:tcW w:w="3068" w:type="dxa"/>
          </w:tcPr>
          <w:p w14:paraId="6772FD38" w14:textId="77777777" w:rsidR="00AC6F3C" w:rsidRDefault="00AC6F3C">
            <w:pPr>
              <w:pStyle w:val="TableParagraph"/>
              <w:rPr>
                <w:rFonts w:ascii="Times New Roman"/>
                <w:sz w:val="16"/>
              </w:rPr>
            </w:pPr>
          </w:p>
        </w:tc>
        <w:tc>
          <w:tcPr>
            <w:tcW w:w="3190" w:type="dxa"/>
          </w:tcPr>
          <w:p w14:paraId="41693917" w14:textId="77777777" w:rsidR="00AC6F3C" w:rsidRDefault="00570E88">
            <w:pPr>
              <w:pStyle w:val="TableParagraph"/>
              <w:spacing w:before="1" w:line="218" w:lineRule="exact"/>
              <w:ind w:left="187"/>
              <w:rPr>
                <w:sz w:val="20"/>
              </w:rPr>
            </w:pPr>
            <w:r>
              <w:rPr>
                <w:sz w:val="20"/>
              </w:rPr>
              <w:t>increasing</w:t>
            </w:r>
            <w:r>
              <w:rPr>
                <w:spacing w:val="-4"/>
                <w:sz w:val="20"/>
              </w:rPr>
              <w:t xml:space="preserve"> </w:t>
            </w:r>
            <w:r>
              <w:rPr>
                <w:sz w:val="20"/>
              </w:rPr>
              <w:t>access</w:t>
            </w:r>
            <w:r>
              <w:rPr>
                <w:spacing w:val="-3"/>
                <w:sz w:val="20"/>
              </w:rPr>
              <w:t xml:space="preserve"> </w:t>
            </w:r>
            <w:r>
              <w:rPr>
                <w:sz w:val="20"/>
              </w:rPr>
              <w:t>to</w:t>
            </w:r>
            <w:r>
              <w:rPr>
                <w:spacing w:val="-3"/>
                <w:sz w:val="20"/>
              </w:rPr>
              <w:t xml:space="preserve"> </w:t>
            </w:r>
            <w:r>
              <w:rPr>
                <w:spacing w:val="-2"/>
                <w:sz w:val="20"/>
              </w:rPr>
              <w:t>justice</w:t>
            </w:r>
          </w:p>
        </w:tc>
      </w:tr>
      <w:tr w:rsidR="00AC6F3C" w14:paraId="4CE91607" w14:textId="77777777">
        <w:trPr>
          <w:trHeight w:val="240"/>
        </w:trPr>
        <w:tc>
          <w:tcPr>
            <w:tcW w:w="3095" w:type="dxa"/>
          </w:tcPr>
          <w:p w14:paraId="6E1FDFA4" w14:textId="77777777" w:rsidR="00AC6F3C" w:rsidRDefault="00AC6F3C">
            <w:pPr>
              <w:pStyle w:val="TableParagraph"/>
              <w:rPr>
                <w:rFonts w:ascii="Times New Roman"/>
                <w:sz w:val="16"/>
              </w:rPr>
            </w:pPr>
          </w:p>
        </w:tc>
        <w:tc>
          <w:tcPr>
            <w:tcW w:w="3068" w:type="dxa"/>
          </w:tcPr>
          <w:p w14:paraId="57D397FA" w14:textId="77777777" w:rsidR="00AC6F3C" w:rsidRDefault="00AC6F3C">
            <w:pPr>
              <w:pStyle w:val="TableParagraph"/>
              <w:rPr>
                <w:rFonts w:ascii="Times New Roman"/>
                <w:sz w:val="16"/>
              </w:rPr>
            </w:pPr>
          </w:p>
        </w:tc>
        <w:tc>
          <w:tcPr>
            <w:tcW w:w="3190" w:type="dxa"/>
          </w:tcPr>
          <w:p w14:paraId="6B7A4655" w14:textId="77777777" w:rsidR="00AC6F3C" w:rsidRDefault="00570E88">
            <w:pPr>
              <w:pStyle w:val="TableParagraph"/>
              <w:spacing w:before="1" w:line="218" w:lineRule="exact"/>
              <w:ind w:left="187"/>
              <w:rPr>
                <w:sz w:val="20"/>
              </w:rPr>
            </w:pPr>
            <w:r>
              <w:rPr>
                <w:sz w:val="20"/>
              </w:rPr>
              <w:t>through</w:t>
            </w:r>
            <w:r>
              <w:rPr>
                <w:spacing w:val="-3"/>
                <w:sz w:val="20"/>
              </w:rPr>
              <w:t xml:space="preserve"> </w:t>
            </w:r>
            <w:r>
              <w:rPr>
                <w:sz w:val="20"/>
              </w:rPr>
              <w:t>strategic</w:t>
            </w:r>
            <w:r>
              <w:rPr>
                <w:spacing w:val="-3"/>
                <w:sz w:val="20"/>
              </w:rPr>
              <w:t xml:space="preserve"> </w:t>
            </w:r>
            <w:r>
              <w:rPr>
                <w:spacing w:val="-2"/>
                <w:sz w:val="20"/>
              </w:rPr>
              <w:t>partnerships</w:t>
            </w:r>
          </w:p>
        </w:tc>
      </w:tr>
      <w:tr w:rsidR="00AC6F3C" w14:paraId="6032278F" w14:textId="77777777">
        <w:trPr>
          <w:trHeight w:val="297"/>
        </w:trPr>
        <w:tc>
          <w:tcPr>
            <w:tcW w:w="3095" w:type="dxa"/>
            <w:tcBorders>
              <w:bottom w:val="single" w:sz="4" w:space="0" w:color="000000"/>
            </w:tcBorders>
          </w:tcPr>
          <w:p w14:paraId="24FEDACB" w14:textId="77777777" w:rsidR="00AC6F3C" w:rsidRDefault="00AC6F3C">
            <w:pPr>
              <w:pStyle w:val="TableParagraph"/>
              <w:rPr>
                <w:rFonts w:ascii="Times New Roman"/>
                <w:sz w:val="20"/>
              </w:rPr>
            </w:pPr>
          </w:p>
        </w:tc>
        <w:tc>
          <w:tcPr>
            <w:tcW w:w="3068" w:type="dxa"/>
            <w:tcBorders>
              <w:bottom w:val="single" w:sz="4" w:space="0" w:color="000000"/>
            </w:tcBorders>
          </w:tcPr>
          <w:p w14:paraId="601C65D3" w14:textId="77777777" w:rsidR="00AC6F3C" w:rsidRDefault="00AC6F3C">
            <w:pPr>
              <w:pStyle w:val="TableParagraph"/>
              <w:rPr>
                <w:rFonts w:ascii="Times New Roman"/>
                <w:sz w:val="20"/>
              </w:rPr>
            </w:pPr>
          </w:p>
        </w:tc>
        <w:tc>
          <w:tcPr>
            <w:tcW w:w="3190" w:type="dxa"/>
            <w:tcBorders>
              <w:bottom w:val="single" w:sz="4" w:space="0" w:color="000000"/>
            </w:tcBorders>
          </w:tcPr>
          <w:p w14:paraId="3C7B45D1" w14:textId="77777777" w:rsidR="00AC6F3C" w:rsidRDefault="00570E88">
            <w:pPr>
              <w:pStyle w:val="TableParagraph"/>
              <w:spacing w:before="1"/>
              <w:ind w:left="187"/>
              <w:rPr>
                <w:sz w:val="20"/>
              </w:rPr>
            </w:pPr>
            <w:r>
              <w:rPr>
                <w:sz w:val="20"/>
              </w:rPr>
              <w:t>with</w:t>
            </w:r>
            <w:r>
              <w:rPr>
                <w:spacing w:val="-3"/>
                <w:sz w:val="20"/>
              </w:rPr>
              <w:t xml:space="preserve"> </w:t>
            </w:r>
            <w:r>
              <w:rPr>
                <w:sz w:val="20"/>
              </w:rPr>
              <w:t>pro</w:t>
            </w:r>
            <w:r>
              <w:rPr>
                <w:spacing w:val="-3"/>
                <w:sz w:val="20"/>
              </w:rPr>
              <w:t xml:space="preserve"> </w:t>
            </w:r>
            <w:r>
              <w:rPr>
                <w:sz w:val="20"/>
              </w:rPr>
              <w:t>bono</w:t>
            </w:r>
            <w:r>
              <w:rPr>
                <w:spacing w:val="-2"/>
                <w:sz w:val="20"/>
              </w:rPr>
              <w:t xml:space="preserve"> lawyers</w:t>
            </w:r>
          </w:p>
        </w:tc>
      </w:tr>
      <w:tr w:rsidR="00AC6F3C" w14:paraId="66827107" w14:textId="77777777">
        <w:trPr>
          <w:trHeight w:val="304"/>
        </w:trPr>
        <w:tc>
          <w:tcPr>
            <w:tcW w:w="3095" w:type="dxa"/>
            <w:tcBorders>
              <w:top w:val="single" w:sz="4" w:space="0" w:color="000000"/>
            </w:tcBorders>
          </w:tcPr>
          <w:p w14:paraId="7F248178" w14:textId="77777777" w:rsidR="00AC6F3C" w:rsidRDefault="00570E88">
            <w:pPr>
              <w:pStyle w:val="TableParagraph"/>
              <w:spacing w:before="66" w:line="218" w:lineRule="exact"/>
              <w:ind w:left="113"/>
              <w:rPr>
                <w:b/>
                <w:sz w:val="20"/>
              </w:rPr>
            </w:pPr>
            <w:r>
              <w:rPr>
                <w:b/>
                <w:sz w:val="20"/>
              </w:rPr>
              <w:t>Minds</w:t>
            </w:r>
            <w:r>
              <w:rPr>
                <w:b/>
                <w:spacing w:val="-4"/>
                <w:sz w:val="20"/>
              </w:rPr>
              <w:t xml:space="preserve"> </w:t>
            </w:r>
            <w:r>
              <w:rPr>
                <w:b/>
                <w:sz w:val="20"/>
              </w:rPr>
              <w:t>Count</w:t>
            </w:r>
            <w:r>
              <w:rPr>
                <w:b/>
                <w:spacing w:val="-4"/>
                <w:sz w:val="20"/>
              </w:rPr>
              <w:t xml:space="preserve"> </w:t>
            </w:r>
            <w:r>
              <w:rPr>
                <w:b/>
                <w:sz w:val="20"/>
              </w:rPr>
              <w:t>(formerly</w:t>
            </w:r>
            <w:r>
              <w:rPr>
                <w:b/>
                <w:spacing w:val="-4"/>
                <w:sz w:val="20"/>
              </w:rPr>
              <w:t xml:space="preserve"> </w:t>
            </w:r>
            <w:r>
              <w:rPr>
                <w:b/>
                <w:spacing w:val="-2"/>
                <w:sz w:val="20"/>
              </w:rPr>
              <w:t>Tristan</w:t>
            </w:r>
          </w:p>
        </w:tc>
        <w:tc>
          <w:tcPr>
            <w:tcW w:w="3068" w:type="dxa"/>
            <w:tcBorders>
              <w:top w:val="single" w:sz="4" w:space="0" w:color="000000"/>
            </w:tcBorders>
          </w:tcPr>
          <w:p w14:paraId="3687E7B5" w14:textId="77777777" w:rsidR="00AC6F3C" w:rsidRDefault="00570E88">
            <w:pPr>
              <w:pStyle w:val="TableParagraph"/>
              <w:spacing w:before="66" w:line="218" w:lineRule="exact"/>
              <w:ind w:left="137"/>
              <w:rPr>
                <w:sz w:val="20"/>
              </w:rPr>
            </w:pPr>
            <w:r>
              <w:rPr>
                <w:sz w:val="20"/>
              </w:rPr>
              <w:t>Financial</w:t>
            </w:r>
            <w:r>
              <w:rPr>
                <w:spacing w:val="-6"/>
                <w:sz w:val="20"/>
              </w:rPr>
              <w:t xml:space="preserve"> </w:t>
            </w:r>
            <w:r>
              <w:rPr>
                <w:sz w:val="20"/>
              </w:rPr>
              <w:t>and</w:t>
            </w:r>
            <w:r>
              <w:rPr>
                <w:spacing w:val="-5"/>
                <w:sz w:val="20"/>
              </w:rPr>
              <w:t xml:space="preserve"> </w:t>
            </w:r>
            <w:r>
              <w:rPr>
                <w:sz w:val="20"/>
              </w:rPr>
              <w:t>in-kind</w:t>
            </w:r>
            <w:r>
              <w:rPr>
                <w:spacing w:val="-5"/>
                <w:sz w:val="20"/>
              </w:rPr>
              <w:t xml:space="preserve"> </w:t>
            </w:r>
            <w:r>
              <w:rPr>
                <w:spacing w:val="-2"/>
                <w:sz w:val="20"/>
              </w:rPr>
              <w:t>support</w:t>
            </w:r>
          </w:p>
        </w:tc>
        <w:tc>
          <w:tcPr>
            <w:tcW w:w="3190" w:type="dxa"/>
            <w:tcBorders>
              <w:top w:val="single" w:sz="4" w:space="0" w:color="000000"/>
            </w:tcBorders>
          </w:tcPr>
          <w:p w14:paraId="16D0E233" w14:textId="77777777" w:rsidR="00AC6F3C" w:rsidRDefault="00570E88">
            <w:pPr>
              <w:pStyle w:val="TableParagraph"/>
              <w:spacing w:before="66" w:line="218" w:lineRule="exact"/>
              <w:ind w:left="187"/>
              <w:rPr>
                <w:sz w:val="20"/>
              </w:rPr>
            </w:pPr>
            <w:r>
              <w:rPr>
                <w:sz w:val="20"/>
              </w:rPr>
              <w:t>Supporting</w:t>
            </w:r>
            <w:r>
              <w:rPr>
                <w:spacing w:val="-6"/>
                <w:sz w:val="20"/>
              </w:rPr>
              <w:t xml:space="preserve"> </w:t>
            </w:r>
            <w:r>
              <w:rPr>
                <w:sz w:val="20"/>
              </w:rPr>
              <w:t>the</w:t>
            </w:r>
            <w:r>
              <w:rPr>
                <w:spacing w:val="-5"/>
                <w:sz w:val="20"/>
              </w:rPr>
              <w:t xml:space="preserve"> </w:t>
            </w:r>
            <w:r>
              <w:rPr>
                <w:sz w:val="20"/>
              </w:rPr>
              <w:t>mental</w:t>
            </w:r>
            <w:r>
              <w:rPr>
                <w:spacing w:val="-5"/>
                <w:sz w:val="20"/>
              </w:rPr>
              <w:t xml:space="preserve"> </w:t>
            </w:r>
            <w:r>
              <w:rPr>
                <w:sz w:val="20"/>
              </w:rPr>
              <w:t>health</w:t>
            </w:r>
            <w:r>
              <w:rPr>
                <w:spacing w:val="-5"/>
                <w:sz w:val="20"/>
              </w:rPr>
              <w:t xml:space="preserve"> of</w:t>
            </w:r>
          </w:p>
        </w:tc>
      </w:tr>
      <w:tr w:rsidR="00AC6F3C" w14:paraId="4F26D8B7" w14:textId="77777777">
        <w:trPr>
          <w:trHeight w:val="297"/>
        </w:trPr>
        <w:tc>
          <w:tcPr>
            <w:tcW w:w="3095" w:type="dxa"/>
            <w:tcBorders>
              <w:bottom w:val="single" w:sz="4" w:space="0" w:color="000000"/>
            </w:tcBorders>
          </w:tcPr>
          <w:p w14:paraId="353703B8" w14:textId="77777777" w:rsidR="00AC6F3C" w:rsidRDefault="00570E88">
            <w:pPr>
              <w:pStyle w:val="TableParagraph"/>
              <w:spacing w:before="1"/>
              <w:ind w:left="113"/>
              <w:rPr>
                <w:b/>
                <w:sz w:val="20"/>
              </w:rPr>
            </w:pPr>
            <w:r>
              <w:rPr>
                <w:b/>
                <w:sz w:val="20"/>
              </w:rPr>
              <w:t xml:space="preserve">Jepson Memorial </w:t>
            </w:r>
            <w:r>
              <w:rPr>
                <w:b/>
                <w:spacing w:val="-2"/>
                <w:sz w:val="20"/>
              </w:rPr>
              <w:t>Foundation)</w:t>
            </w:r>
          </w:p>
        </w:tc>
        <w:tc>
          <w:tcPr>
            <w:tcW w:w="3068" w:type="dxa"/>
            <w:tcBorders>
              <w:bottom w:val="single" w:sz="4" w:space="0" w:color="000000"/>
            </w:tcBorders>
          </w:tcPr>
          <w:p w14:paraId="1A966C15" w14:textId="77777777" w:rsidR="00AC6F3C" w:rsidRDefault="00AC6F3C">
            <w:pPr>
              <w:pStyle w:val="TableParagraph"/>
              <w:rPr>
                <w:rFonts w:ascii="Times New Roman"/>
                <w:sz w:val="20"/>
              </w:rPr>
            </w:pPr>
          </w:p>
        </w:tc>
        <w:tc>
          <w:tcPr>
            <w:tcW w:w="3190" w:type="dxa"/>
            <w:tcBorders>
              <w:bottom w:val="single" w:sz="4" w:space="0" w:color="000000"/>
            </w:tcBorders>
          </w:tcPr>
          <w:p w14:paraId="17BD2AFD" w14:textId="77777777" w:rsidR="00AC6F3C" w:rsidRDefault="00570E88">
            <w:pPr>
              <w:pStyle w:val="TableParagraph"/>
              <w:spacing w:before="1"/>
              <w:ind w:left="187"/>
              <w:rPr>
                <w:sz w:val="20"/>
              </w:rPr>
            </w:pPr>
            <w:r>
              <w:rPr>
                <w:sz w:val="20"/>
              </w:rPr>
              <w:t>Queensland</w:t>
            </w:r>
            <w:r>
              <w:rPr>
                <w:spacing w:val="-7"/>
                <w:sz w:val="20"/>
              </w:rPr>
              <w:t xml:space="preserve"> </w:t>
            </w:r>
            <w:r>
              <w:rPr>
                <w:sz w:val="20"/>
              </w:rPr>
              <w:t>legal</w:t>
            </w:r>
            <w:r>
              <w:rPr>
                <w:spacing w:val="-6"/>
                <w:sz w:val="20"/>
              </w:rPr>
              <w:t xml:space="preserve"> </w:t>
            </w:r>
            <w:r>
              <w:rPr>
                <w:spacing w:val="-2"/>
                <w:sz w:val="20"/>
              </w:rPr>
              <w:t>practitioners</w:t>
            </w:r>
          </w:p>
        </w:tc>
      </w:tr>
      <w:tr w:rsidR="00AC6F3C" w14:paraId="7AE6A3C1" w14:textId="77777777">
        <w:trPr>
          <w:trHeight w:val="304"/>
        </w:trPr>
        <w:tc>
          <w:tcPr>
            <w:tcW w:w="3095" w:type="dxa"/>
            <w:tcBorders>
              <w:top w:val="single" w:sz="4" w:space="0" w:color="000000"/>
            </w:tcBorders>
          </w:tcPr>
          <w:p w14:paraId="2054D626" w14:textId="77777777" w:rsidR="00AC6F3C" w:rsidRDefault="00570E88">
            <w:pPr>
              <w:pStyle w:val="TableParagraph"/>
              <w:spacing w:before="66" w:line="218" w:lineRule="exact"/>
              <w:ind w:left="114"/>
              <w:rPr>
                <w:b/>
                <w:sz w:val="20"/>
              </w:rPr>
            </w:pPr>
            <w:r>
              <w:rPr>
                <w:b/>
                <w:sz w:val="20"/>
              </w:rPr>
              <w:t>Pride</w:t>
            </w:r>
            <w:r>
              <w:rPr>
                <w:b/>
                <w:spacing w:val="-2"/>
                <w:sz w:val="20"/>
              </w:rPr>
              <w:t xml:space="preserve"> </w:t>
            </w:r>
            <w:r>
              <w:rPr>
                <w:b/>
                <w:sz w:val="20"/>
              </w:rPr>
              <w:t>in</w:t>
            </w:r>
            <w:r>
              <w:rPr>
                <w:b/>
                <w:spacing w:val="-2"/>
                <w:sz w:val="20"/>
              </w:rPr>
              <w:t xml:space="preserve"> </w:t>
            </w:r>
            <w:r>
              <w:rPr>
                <w:b/>
                <w:spacing w:val="-5"/>
                <w:sz w:val="20"/>
              </w:rPr>
              <w:t>Law</w:t>
            </w:r>
          </w:p>
        </w:tc>
        <w:tc>
          <w:tcPr>
            <w:tcW w:w="3068" w:type="dxa"/>
            <w:tcBorders>
              <w:top w:val="single" w:sz="4" w:space="0" w:color="000000"/>
            </w:tcBorders>
          </w:tcPr>
          <w:p w14:paraId="71A83855" w14:textId="77777777" w:rsidR="00AC6F3C" w:rsidRDefault="00570E88">
            <w:pPr>
              <w:pStyle w:val="TableParagraph"/>
              <w:spacing w:before="66" w:line="218" w:lineRule="exact"/>
              <w:ind w:left="137"/>
              <w:rPr>
                <w:sz w:val="20"/>
              </w:rPr>
            </w:pPr>
            <w:r>
              <w:rPr>
                <w:sz w:val="20"/>
              </w:rPr>
              <w:t>Financial</w:t>
            </w:r>
            <w:r>
              <w:rPr>
                <w:spacing w:val="-6"/>
                <w:sz w:val="20"/>
              </w:rPr>
              <w:t xml:space="preserve"> </w:t>
            </w:r>
            <w:r>
              <w:rPr>
                <w:sz w:val="20"/>
              </w:rPr>
              <w:t>and</w:t>
            </w:r>
            <w:r>
              <w:rPr>
                <w:spacing w:val="-5"/>
                <w:sz w:val="20"/>
              </w:rPr>
              <w:t xml:space="preserve"> </w:t>
            </w:r>
            <w:r>
              <w:rPr>
                <w:sz w:val="20"/>
              </w:rPr>
              <w:t>in-kind</w:t>
            </w:r>
            <w:r>
              <w:rPr>
                <w:spacing w:val="-5"/>
                <w:sz w:val="20"/>
              </w:rPr>
              <w:t xml:space="preserve"> </w:t>
            </w:r>
            <w:r>
              <w:rPr>
                <w:spacing w:val="-2"/>
                <w:sz w:val="20"/>
              </w:rPr>
              <w:t>support</w:t>
            </w:r>
          </w:p>
        </w:tc>
        <w:tc>
          <w:tcPr>
            <w:tcW w:w="3190" w:type="dxa"/>
            <w:tcBorders>
              <w:top w:val="single" w:sz="4" w:space="0" w:color="000000"/>
            </w:tcBorders>
          </w:tcPr>
          <w:p w14:paraId="5D860E7C" w14:textId="77777777" w:rsidR="00AC6F3C" w:rsidRDefault="00570E88">
            <w:pPr>
              <w:pStyle w:val="TableParagraph"/>
              <w:spacing w:before="66" w:line="218" w:lineRule="exact"/>
              <w:ind w:left="187"/>
              <w:rPr>
                <w:sz w:val="20"/>
              </w:rPr>
            </w:pPr>
            <w:r>
              <w:rPr>
                <w:sz w:val="20"/>
              </w:rPr>
              <w:t xml:space="preserve">Encourages diversity </w:t>
            </w:r>
            <w:r>
              <w:rPr>
                <w:spacing w:val="-5"/>
                <w:sz w:val="20"/>
              </w:rPr>
              <w:t>and</w:t>
            </w:r>
          </w:p>
        </w:tc>
      </w:tr>
      <w:tr w:rsidR="00AC6F3C" w14:paraId="134870B4" w14:textId="77777777">
        <w:trPr>
          <w:trHeight w:val="297"/>
        </w:trPr>
        <w:tc>
          <w:tcPr>
            <w:tcW w:w="3095" w:type="dxa"/>
            <w:tcBorders>
              <w:bottom w:val="single" w:sz="4" w:space="0" w:color="000000"/>
            </w:tcBorders>
          </w:tcPr>
          <w:p w14:paraId="7D2514DA" w14:textId="77777777" w:rsidR="00AC6F3C" w:rsidRDefault="00AC6F3C">
            <w:pPr>
              <w:pStyle w:val="TableParagraph"/>
              <w:rPr>
                <w:rFonts w:ascii="Times New Roman"/>
                <w:sz w:val="20"/>
              </w:rPr>
            </w:pPr>
          </w:p>
        </w:tc>
        <w:tc>
          <w:tcPr>
            <w:tcW w:w="3068" w:type="dxa"/>
            <w:tcBorders>
              <w:bottom w:val="single" w:sz="4" w:space="0" w:color="000000"/>
            </w:tcBorders>
          </w:tcPr>
          <w:p w14:paraId="129DE536" w14:textId="77777777" w:rsidR="00AC6F3C" w:rsidRDefault="00AC6F3C">
            <w:pPr>
              <w:pStyle w:val="TableParagraph"/>
              <w:rPr>
                <w:rFonts w:ascii="Times New Roman"/>
                <w:sz w:val="20"/>
              </w:rPr>
            </w:pPr>
          </w:p>
        </w:tc>
        <w:tc>
          <w:tcPr>
            <w:tcW w:w="3190" w:type="dxa"/>
            <w:tcBorders>
              <w:bottom w:val="single" w:sz="4" w:space="0" w:color="000000"/>
            </w:tcBorders>
          </w:tcPr>
          <w:p w14:paraId="4E6EFF64" w14:textId="77777777" w:rsidR="00AC6F3C" w:rsidRDefault="00570E88">
            <w:pPr>
              <w:pStyle w:val="TableParagraph"/>
              <w:spacing w:before="1"/>
              <w:ind w:left="187"/>
              <w:rPr>
                <w:sz w:val="20"/>
              </w:rPr>
            </w:pPr>
            <w:r>
              <w:rPr>
                <w:sz w:val="20"/>
              </w:rPr>
              <w:t>inclusion</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pacing w:val="-2"/>
                <w:sz w:val="20"/>
              </w:rPr>
              <w:t>profession</w:t>
            </w:r>
          </w:p>
        </w:tc>
      </w:tr>
    </w:tbl>
    <w:p w14:paraId="5D1866E8" w14:textId="77777777" w:rsidR="00AC6F3C" w:rsidRDefault="00AC6F3C">
      <w:pPr>
        <w:rPr>
          <w:sz w:val="20"/>
        </w:rPr>
        <w:sectPr w:rsidR="00AC6F3C">
          <w:headerReference w:type="default" r:id="rId152"/>
          <w:footerReference w:type="default" r:id="rId153"/>
          <w:pgSz w:w="11910" w:h="16840"/>
          <w:pgMar w:top="1120" w:right="1160" w:bottom="520" w:left="460" w:header="0" w:footer="336" w:gutter="0"/>
          <w:cols w:space="720"/>
        </w:sectPr>
      </w:pPr>
    </w:p>
    <w:tbl>
      <w:tblPr>
        <w:tblW w:w="0" w:type="auto"/>
        <w:tblInd w:w="823" w:type="dxa"/>
        <w:tblLayout w:type="fixed"/>
        <w:tblCellMar>
          <w:left w:w="0" w:type="dxa"/>
          <w:right w:w="0" w:type="dxa"/>
        </w:tblCellMar>
        <w:tblLook w:val="01E0" w:firstRow="1" w:lastRow="1" w:firstColumn="1" w:lastColumn="1" w:noHBand="0" w:noVBand="0"/>
      </w:tblPr>
      <w:tblGrid>
        <w:gridCol w:w="3001"/>
        <w:gridCol w:w="3169"/>
        <w:gridCol w:w="3185"/>
      </w:tblGrid>
      <w:tr w:rsidR="00AC6F3C" w14:paraId="41862D63" w14:textId="77777777">
        <w:trPr>
          <w:trHeight w:val="362"/>
        </w:trPr>
        <w:tc>
          <w:tcPr>
            <w:tcW w:w="3001" w:type="dxa"/>
            <w:tcBorders>
              <w:top w:val="single" w:sz="4" w:space="0" w:color="000000"/>
              <w:bottom w:val="single" w:sz="4" w:space="0" w:color="000000"/>
            </w:tcBorders>
          </w:tcPr>
          <w:p w14:paraId="0C30B0FE" w14:textId="77777777" w:rsidR="00AC6F3C" w:rsidRDefault="00570E88">
            <w:pPr>
              <w:pStyle w:val="TableParagraph"/>
              <w:spacing w:before="66"/>
              <w:ind w:left="113"/>
              <w:rPr>
                <w:b/>
                <w:sz w:val="20"/>
              </w:rPr>
            </w:pPr>
            <w:bookmarkStart w:id="68" w:name="Our_publications"/>
            <w:bookmarkStart w:id="69" w:name="_bookmark24"/>
            <w:bookmarkEnd w:id="68"/>
            <w:bookmarkEnd w:id="69"/>
            <w:r>
              <w:rPr>
                <w:b/>
                <w:spacing w:val="-2"/>
                <w:sz w:val="20"/>
              </w:rPr>
              <w:lastRenderedPageBreak/>
              <w:t>Organisation</w:t>
            </w:r>
          </w:p>
        </w:tc>
        <w:tc>
          <w:tcPr>
            <w:tcW w:w="3169" w:type="dxa"/>
            <w:tcBorders>
              <w:top w:val="single" w:sz="4" w:space="0" w:color="000000"/>
              <w:bottom w:val="single" w:sz="4" w:space="0" w:color="000000"/>
            </w:tcBorders>
          </w:tcPr>
          <w:p w14:paraId="4302CA87" w14:textId="77777777" w:rsidR="00AC6F3C" w:rsidRDefault="00570E88">
            <w:pPr>
              <w:pStyle w:val="TableParagraph"/>
              <w:spacing w:before="66"/>
              <w:ind w:left="230"/>
              <w:rPr>
                <w:b/>
                <w:sz w:val="20"/>
              </w:rPr>
            </w:pPr>
            <w:r>
              <w:rPr>
                <w:b/>
                <w:sz w:val="20"/>
              </w:rPr>
              <w:t xml:space="preserve">QLS </w:t>
            </w:r>
            <w:r>
              <w:rPr>
                <w:b/>
                <w:spacing w:val="-2"/>
                <w:sz w:val="20"/>
              </w:rPr>
              <w:t>contribution</w:t>
            </w:r>
          </w:p>
        </w:tc>
        <w:tc>
          <w:tcPr>
            <w:tcW w:w="3185" w:type="dxa"/>
            <w:tcBorders>
              <w:top w:val="single" w:sz="4" w:space="0" w:color="000000"/>
              <w:bottom w:val="single" w:sz="4" w:space="0" w:color="000000"/>
            </w:tcBorders>
          </w:tcPr>
          <w:p w14:paraId="5D20771B" w14:textId="77777777" w:rsidR="00AC6F3C" w:rsidRDefault="00570E88">
            <w:pPr>
              <w:pStyle w:val="TableParagraph"/>
              <w:spacing w:before="66"/>
              <w:ind w:left="179"/>
              <w:rPr>
                <w:b/>
                <w:sz w:val="20"/>
              </w:rPr>
            </w:pPr>
            <w:r>
              <w:rPr>
                <w:b/>
                <w:spacing w:val="-2"/>
                <w:sz w:val="20"/>
              </w:rPr>
              <w:t>Benefit</w:t>
            </w:r>
          </w:p>
        </w:tc>
      </w:tr>
      <w:tr w:rsidR="00AC6F3C" w14:paraId="7486C4F3" w14:textId="77777777">
        <w:trPr>
          <w:trHeight w:val="304"/>
        </w:trPr>
        <w:tc>
          <w:tcPr>
            <w:tcW w:w="3001" w:type="dxa"/>
            <w:tcBorders>
              <w:top w:val="single" w:sz="4" w:space="0" w:color="000000"/>
            </w:tcBorders>
          </w:tcPr>
          <w:p w14:paraId="5387FBFE" w14:textId="77777777" w:rsidR="00AC6F3C" w:rsidRDefault="00570E88">
            <w:pPr>
              <w:pStyle w:val="TableParagraph"/>
              <w:spacing w:before="66" w:line="218" w:lineRule="exact"/>
              <w:ind w:left="113"/>
              <w:rPr>
                <w:b/>
                <w:sz w:val="20"/>
              </w:rPr>
            </w:pPr>
            <w:r>
              <w:rPr>
                <w:b/>
                <w:sz w:val="20"/>
              </w:rPr>
              <w:t>The</w:t>
            </w:r>
            <w:r>
              <w:rPr>
                <w:b/>
                <w:spacing w:val="-1"/>
                <w:sz w:val="20"/>
              </w:rPr>
              <w:t xml:space="preserve"> </w:t>
            </w:r>
            <w:r>
              <w:rPr>
                <w:b/>
                <w:sz w:val="20"/>
              </w:rPr>
              <w:t>Legal Forecast</w:t>
            </w:r>
            <w:r>
              <w:rPr>
                <w:b/>
                <w:spacing w:val="-1"/>
                <w:sz w:val="20"/>
              </w:rPr>
              <w:t xml:space="preserve"> </w:t>
            </w:r>
            <w:r>
              <w:rPr>
                <w:b/>
                <w:sz w:val="20"/>
              </w:rPr>
              <w:t xml:space="preserve">and </w:t>
            </w:r>
            <w:r>
              <w:rPr>
                <w:b/>
                <w:spacing w:val="-5"/>
                <w:sz w:val="20"/>
              </w:rPr>
              <w:t>TLF</w:t>
            </w:r>
          </w:p>
        </w:tc>
        <w:tc>
          <w:tcPr>
            <w:tcW w:w="3169" w:type="dxa"/>
            <w:tcBorders>
              <w:top w:val="single" w:sz="4" w:space="0" w:color="000000"/>
            </w:tcBorders>
          </w:tcPr>
          <w:p w14:paraId="22DB0EA0" w14:textId="77777777" w:rsidR="00AC6F3C" w:rsidRDefault="00570E88">
            <w:pPr>
              <w:pStyle w:val="TableParagraph"/>
              <w:spacing w:before="66" w:line="218" w:lineRule="exact"/>
              <w:ind w:left="230"/>
              <w:rPr>
                <w:sz w:val="20"/>
              </w:rPr>
            </w:pPr>
            <w:r>
              <w:rPr>
                <w:sz w:val="20"/>
              </w:rPr>
              <w:t>Financial</w:t>
            </w:r>
            <w:r>
              <w:rPr>
                <w:spacing w:val="-6"/>
                <w:sz w:val="20"/>
              </w:rPr>
              <w:t xml:space="preserve"> </w:t>
            </w:r>
            <w:r>
              <w:rPr>
                <w:sz w:val="20"/>
              </w:rPr>
              <w:t>and</w:t>
            </w:r>
            <w:r>
              <w:rPr>
                <w:spacing w:val="-5"/>
                <w:sz w:val="20"/>
              </w:rPr>
              <w:t xml:space="preserve"> </w:t>
            </w:r>
            <w:r>
              <w:rPr>
                <w:sz w:val="20"/>
              </w:rPr>
              <w:t>in-kind</w:t>
            </w:r>
            <w:r>
              <w:rPr>
                <w:spacing w:val="-5"/>
                <w:sz w:val="20"/>
              </w:rPr>
              <w:t xml:space="preserve"> </w:t>
            </w:r>
            <w:r>
              <w:rPr>
                <w:spacing w:val="-2"/>
                <w:sz w:val="20"/>
              </w:rPr>
              <w:t>support</w:t>
            </w:r>
          </w:p>
        </w:tc>
        <w:tc>
          <w:tcPr>
            <w:tcW w:w="3185" w:type="dxa"/>
            <w:tcBorders>
              <w:top w:val="single" w:sz="4" w:space="0" w:color="000000"/>
            </w:tcBorders>
          </w:tcPr>
          <w:p w14:paraId="48CCD150" w14:textId="77777777" w:rsidR="00AC6F3C" w:rsidRDefault="00570E88">
            <w:pPr>
              <w:pStyle w:val="TableParagraph"/>
              <w:spacing w:before="66" w:line="218" w:lineRule="exact"/>
              <w:ind w:left="179"/>
              <w:rPr>
                <w:sz w:val="20"/>
              </w:rPr>
            </w:pPr>
            <w:r>
              <w:rPr>
                <w:sz w:val="20"/>
              </w:rPr>
              <w:t>Supporting</w:t>
            </w:r>
            <w:r>
              <w:rPr>
                <w:spacing w:val="-3"/>
                <w:sz w:val="20"/>
              </w:rPr>
              <w:t xml:space="preserve"> </w:t>
            </w:r>
            <w:r>
              <w:rPr>
                <w:sz w:val="20"/>
              </w:rPr>
              <w:t>lawyers</w:t>
            </w:r>
            <w:r>
              <w:rPr>
                <w:spacing w:val="-2"/>
                <w:sz w:val="20"/>
              </w:rPr>
              <w:t xml:space="preserve"> </w:t>
            </w:r>
            <w:r>
              <w:rPr>
                <w:sz w:val="20"/>
              </w:rPr>
              <w:t>at</w:t>
            </w:r>
            <w:r>
              <w:rPr>
                <w:spacing w:val="-3"/>
                <w:sz w:val="20"/>
              </w:rPr>
              <w:t xml:space="preserve"> </w:t>
            </w:r>
            <w:r>
              <w:rPr>
                <w:sz w:val="20"/>
              </w:rPr>
              <w:t>an</w:t>
            </w:r>
            <w:r>
              <w:rPr>
                <w:spacing w:val="-2"/>
                <w:sz w:val="20"/>
              </w:rPr>
              <w:t xml:space="preserve"> early</w:t>
            </w:r>
          </w:p>
        </w:tc>
      </w:tr>
      <w:tr w:rsidR="00AC6F3C" w14:paraId="705AD652" w14:textId="77777777">
        <w:trPr>
          <w:trHeight w:val="240"/>
        </w:trPr>
        <w:tc>
          <w:tcPr>
            <w:tcW w:w="3001" w:type="dxa"/>
          </w:tcPr>
          <w:p w14:paraId="713E84C7" w14:textId="77777777" w:rsidR="00AC6F3C" w:rsidRDefault="00570E88">
            <w:pPr>
              <w:pStyle w:val="TableParagraph"/>
              <w:spacing w:before="1" w:line="218" w:lineRule="exact"/>
              <w:ind w:left="113"/>
              <w:rPr>
                <w:b/>
                <w:sz w:val="20"/>
              </w:rPr>
            </w:pPr>
            <w:r>
              <w:rPr>
                <w:b/>
                <w:sz w:val="20"/>
              </w:rPr>
              <w:t>Creative</w:t>
            </w:r>
            <w:r>
              <w:rPr>
                <w:b/>
                <w:spacing w:val="-7"/>
                <w:sz w:val="20"/>
              </w:rPr>
              <w:t xml:space="preserve"> </w:t>
            </w:r>
            <w:r>
              <w:rPr>
                <w:b/>
                <w:spacing w:val="-2"/>
                <w:sz w:val="20"/>
              </w:rPr>
              <w:t>initiative</w:t>
            </w:r>
          </w:p>
        </w:tc>
        <w:tc>
          <w:tcPr>
            <w:tcW w:w="3169" w:type="dxa"/>
          </w:tcPr>
          <w:p w14:paraId="0678B2B8" w14:textId="77777777" w:rsidR="00AC6F3C" w:rsidRDefault="00AC6F3C">
            <w:pPr>
              <w:pStyle w:val="TableParagraph"/>
              <w:rPr>
                <w:rFonts w:ascii="Times New Roman"/>
                <w:sz w:val="16"/>
              </w:rPr>
            </w:pPr>
          </w:p>
        </w:tc>
        <w:tc>
          <w:tcPr>
            <w:tcW w:w="3185" w:type="dxa"/>
          </w:tcPr>
          <w:p w14:paraId="5F6CEA06" w14:textId="77777777" w:rsidR="00AC6F3C" w:rsidRDefault="00570E88">
            <w:pPr>
              <w:pStyle w:val="TableParagraph"/>
              <w:spacing w:before="1" w:line="218" w:lineRule="exact"/>
              <w:ind w:left="179"/>
              <w:rPr>
                <w:sz w:val="20"/>
              </w:rPr>
            </w:pPr>
            <w:r>
              <w:rPr>
                <w:sz w:val="20"/>
              </w:rPr>
              <w:t>stage</w:t>
            </w:r>
            <w:r>
              <w:rPr>
                <w:spacing w:val="-3"/>
                <w:sz w:val="20"/>
              </w:rPr>
              <w:t xml:space="preserve"> </w:t>
            </w:r>
            <w:r>
              <w:rPr>
                <w:sz w:val="20"/>
              </w:rPr>
              <w:t>of</w:t>
            </w:r>
            <w:r>
              <w:rPr>
                <w:spacing w:val="-1"/>
                <w:sz w:val="20"/>
              </w:rPr>
              <w:t xml:space="preserve"> </w:t>
            </w:r>
            <w:r>
              <w:rPr>
                <w:sz w:val="20"/>
              </w:rPr>
              <w:t>their</w:t>
            </w:r>
            <w:r>
              <w:rPr>
                <w:spacing w:val="-1"/>
                <w:sz w:val="20"/>
              </w:rPr>
              <w:t xml:space="preserve"> </w:t>
            </w:r>
            <w:r>
              <w:rPr>
                <w:sz w:val="20"/>
              </w:rPr>
              <w:t>careers</w:t>
            </w:r>
            <w:r>
              <w:rPr>
                <w:spacing w:val="-1"/>
                <w:sz w:val="20"/>
              </w:rPr>
              <w:t xml:space="preserve"> </w:t>
            </w:r>
            <w:r>
              <w:rPr>
                <w:spacing w:val="-5"/>
                <w:sz w:val="20"/>
              </w:rPr>
              <w:t>and</w:t>
            </w:r>
          </w:p>
        </w:tc>
      </w:tr>
      <w:tr w:rsidR="00AC6F3C" w14:paraId="0C271EAC" w14:textId="77777777">
        <w:trPr>
          <w:trHeight w:val="297"/>
        </w:trPr>
        <w:tc>
          <w:tcPr>
            <w:tcW w:w="3001" w:type="dxa"/>
            <w:tcBorders>
              <w:bottom w:val="single" w:sz="4" w:space="0" w:color="000000"/>
            </w:tcBorders>
          </w:tcPr>
          <w:p w14:paraId="67DD0870" w14:textId="77777777" w:rsidR="00AC6F3C" w:rsidRDefault="00AC6F3C">
            <w:pPr>
              <w:pStyle w:val="TableParagraph"/>
              <w:rPr>
                <w:rFonts w:ascii="Times New Roman"/>
                <w:sz w:val="20"/>
              </w:rPr>
            </w:pPr>
          </w:p>
        </w:tc>
        <w:tc>
          <w:tcPr>
            <w:tcW w:w="3169" w:type="dxa"/>
            <w:tcBorders>
              <w:bottom w:val="single" w:sz="4" w:space="0" w:color="000000"/>
            </w:tcBorders>
          </w:tcPr>
          <w:p w14:paraId="2599AC3F" w14:textId="77777777" w:rsidR="00AC6F3C" w:rsidRDefault="00AC6F3C">
            <w:pPr>
              <w:pStyle w:val="TableParagraph"/>
              <w:rPr>
                <w:rFonts w:ascii="Times New Roman"/>
                <w:sz w:val="20"/>
              </w:rPr>
            </w:pPr>
          </w:p>
        </w:tc>
        <w:tc>
          <w:tcPr>
            <w:tcW w:w="3185" w:type="dxa"/>
            <w:tcBorders>
              <w:bottom w:val="single" w:sz="4" w:space="0" w:color="000000"/>
            </w:tcBorders>
          </w:tcPr>
          <w:p w14:paraId="1371B485" w14:textId="77777777" w:rsidR="00AC6F3C" w:rsidRDefault="00570E88">
            <w:pPr>
              <w:pStyle w:val="TableParagraph"/>
              <w:spacing w:before="1"/>
              <w:ind w:left="179"/>
              <w:rPr>
                <w:sz w:val="20"/>
              </w:rPr>
            </w:pPr>
            <w:r>
              <w:rPr>
                <w:sz w:val="20"/>
              </w:rPr>
              <w:t>encouraging</w:t>
            </w:r>
            <w:r>
              <w:rPr>
                <w:spacing w:val="-12"/>
                <w:sz w:val="20"/>
              </w:rPr>
              <w:t xml:space="preserve"> </w:t>
            </w:r>
            <w:r>
              <w:rPr>
                <w:sz w:val="20"/>
              </w:rPr>
              <w:t>lawyers’</w:t>
            </w:r>
            <w:r>
              <w:rPr>
                <w:spacing w:val="-13"/>
                <w:sz w:val="20"/>
              </w:rPr>
              <w:t xml:space="preserve"> </w:t>
            </w:r>
            <w:r>
              <w:rPr>
                <w:spacing w:val="-2"/>
                <w:sz w:val="20"/>
              </w:rPr>
              <w:t>creativity</w:t>
            </w:r>
          </w:p>
        </w:tc>
      </w:tr>
      <w:tr w:rsidR="00AC6F3C" w14:paraId="7EFC04EE" w14:textId="77777777">
        <w:trPr>
          <w:trHeight w:val="304"/>
        </w:trPr>
        <w:tc>
          <w:tcPr>
            <w:tcW w:w="3001" w:type="dxa"/>
            <w:tcBorders>
              <w:top w:val="single" w:sz="4" w:space="0" w:color="000000"/>
            </w:tcBorders>
          </w:tcPr>
          <w:p w14:paraId="53D0637B" w14:textId="77777777" w:rsidR="00AC6F3C" w:rsidRDefault="00570E88">
            <w:pPr>
              <w:pStyle w:val="TableParagraph"/>
              <w:spacing w:before="66" w:line="218" w:lineRule="exact"/>
              <w:ind w:left="113"/>
              <w:rPr>
                <w:b/>
                <w:sz w:val="20"/>
              </w:rPr>
            </w:pPr>
            <w:r>
              <w:rPr>
                <w:b/>
                <w:spacing w:val="-2"/>
                <w:sz w:val="20"/>
              </w:rPr>
              <w:t>Various</w:t>
            </w:r>
            <w:r>
              <w:rPr>
                <w:b/>
                <w:spacing w:val="-3"/>
                <w:sz w:val="20"/>
              </w:rPr>
              <w:t xml:space="preserve"> </w:t>
            </w:r>
            <w:r>
              <w:rPr>
                <w:b/>
                <w:spacing w:val="-2"/>
                <w:sz w:val="20"/>
              </w:rPr>
              <w:t>charities</w:t>
            </w:r>
          </w:p>
        </w:tc>
        <w:tc>
          <w:tcPr>
            <w:tcW w:w="3169" w:type="dxa"/>
            <w:tcBorders>
              <w:top w:val="single" w:sz="4" w:space="0" w:color="000000"/>
            </w:tcBorders>
          </w:tcPr>
          <w:p w14:paraId="7C854BF5" w14:textId="77777777" w:rsidR="00AC6F3C" w:rsidRDefault="00570E88">
            <w:pPr>
              <w:pStyle w:val="TableParagraph"/>
              <w:spacing w:before="66" w:line="218" w:lineRule="exact"/>
              <w:ind w:left="230"/>
              <w:rPr>
                <w:sz w:val="20"/>
              </w:rPr>
            </w:pPr>
            <w:r>
              <w:rPr>
                <w:sz w:val="20"/>
              </w:rPr>
              <w:t>Financial</w:t>
            </w:r>
            <w:r>
              <w:rPr>
                <w:spacing w:val="-3"/>
                <w:sz w:val="20"/>
              </w:rPr>
              <w:t xml:space="preserve"> </w:t>
            </w:r>
            <w:r>
              <w:rPr>
                <w:sz w:val="20"/>
              </w:rPr>
              <w:t>support</w:t>
            </w:r>
            <w:r>
              <w:rPr>
                <w:spacing w:val="-2"/>
                <w:sz w:val="20"/>
              </w:rPr>
              <w:t xml:space="preserve"> </w:t>
            </w:r>
            <w:r>
              <w:rPr>
                <w:sz w:val="20"/>
              </w:rPr>
              <w:t>on</w:t>
            </w:r>
            <w:r>
              <w:rPr>
                <w:spacing w:val="-2"/>
                <w:sz w:val="20"/>
              </w:rPr>
              <w:t xml:space="preserve"> </w:t>
            </w:r>
            <w:r>
              <w:rPr>
                <w:sz w:val="20"/>
              </w:rPr>
              <w:t>behalf</w:t>
            </w:r>
            <w:r>
              <w:rPr>
                <w:spacing w:val="-2"/>
                <w:sz w:val="20"/>
              </w:rPr>
              <w:t xml:space="preserve"> </w:t>
            </w:r>
            <w:r>
              <w:rPr>
                <w:spacing w:val="-5"/>
                <w:sz w:val="20"/>
              </w:rPr>
              <w:t>of</w:t>
            </w:r>
          </w:p>
        </w:tc>
        <w:tc>
          <w:tcPr>
            <w:tcW w:w="3185" w:type="dxa"/>
            <w:tcBorders>
              <w:top w:val="single" w:sz="4" w:space="0" w:color="000000"/>
            </w:tcBorders>
          </w:tcPr>
          <w:p w14:paraId="20BFF3E3" w14:textId="77777777" w:rsidR="00AC6F3C" w:rsidRDefault="00570E88">
            <w:pPr>
              <w:pStyle w:val="TableParagraph"/>
              <w:spacing w:before="66" w:line="218" w:lineRule="exact"/>
              <w:ind w:left="180"/>
              <w:rPr>
                <w:sz w:val="20"/>
              </w:rPr>
            </w:pPr>
            <w:r>
              <w:rPr>
                <w:sz w:val="20"/>
              </w:rPr>
              <w:t>Support</w:t>
            </w:r>
            <w:r>
              <w:rPr>
                <w:spacing w:val="-3"/>
                <w:sz w:val="20"/>
              </w:rPr>
              <w:t xml:space="preserve"> </w:t>
            </w:r>
            <w:r>
              <w:rPr>
                <w:sz w:val="20"/>
              </w:rPr>
              <w:t>of</w:t>
            </w:r>
            <w:r>
              <w:rPr>
                <w:spacing w:val="-1"/>
                <w:sz w:val="20"/>
              </w:rPr>
              <w:t xml:space="preserve"> </w:t>
            </w:r>
            <w:r>
              <w:rPr>
                <w:sz w:val="20"/>
              </w:rPr>
              <w:t>a</w:t>
            </w:r>
            <w:r>
              <w:rPr>
                <w:spacing w:val="-1"/>
                <w:sz w:val="20"/>
              </w:rPr>
              <w:t xml:space="preserve"> </w:t>
            </w:r>
            <w:r>
              <w:rPr>
                <w:sz w:val="20"/>
              </w:rPr>
              <w:t>range</w:t>
            </w:r>
            <w:r>
              <w:rPr>
                <w:spacing w:val="-1"/>
                <w:sz w:val="20"/>
              </w:rPr>
              <w:t xml:space="preserve"> </w:t>
            </w:r>
            <w:r>
              <w:rPr>
                <w:spacing w:val="-5"/>
                <w:sz w:val="20"/>
              </w:rPr>
              <w:t>of</w:t>
            </w:r>
          </w:p>
        </w:tc>
      </w:tr>
      <w:tr w:rsidR="00AC6F3C" w14:paraId="0D1289E8" w14:textId="77777777">
        <w:trPr>
          <w:trHeight w:val="240"/>
        </w:trPr>
        <w:tc>
          <w:tcPr>
            <w:tcW w:w="3001" w:type="dxa"/>
          </w:tcPr>
          <w:p w14:paraId="25562AE1" w14:textId="77777777" w:rsidR="00AC6F3C" w:rsidRDefault="00AC6F3C">
            <w:pPr>
              <w:pStyle w:val="TableParagraph"/>
              <w:rPr>
                <w:rFonts w:ascii="Times New Roman"/>
                <w:sz w:val="16"/>
              </w:rPr>
            </w:pPr>
          </w:p>
        </w:tc>
        <w:tc>
          <w:tcPr>
            <w:tcW w:w="3169" w:type="dxa"/>
          </w:tcPr>
          <w:p w14:paraId="75B7BC7F" w14:textId="77777777" w:rsidR="00AC6F3C" w:rsidRDefault="00570E88">
            <w:pPr>
              <w:pStyle w:val="TableParagraph"/>
              <w:spacing w:before="1" w:line="218" w:lineRule="exact"/>
              <w:ind w:left="230"/>
              <w:rPr>
                <w:sz w:val="20"/>
              </w:rPr>
            </w:pPr>
            <w:r>
              <w:rPr>
                <w:sz w:val="20"/>
              </w:rPr>
              <w:t>our</w:t>
            </w:r>
            <w:r>
              <w:rPr>
                <w:spacing w:val="-1"/>
                <w:sz w:val="20"/>
              </w:rPr>
              <w:t xml:space="preserve"> </w:t>
            </w:r>
            <w:r>
              <w:rPr>
                <w:sz w:val="20"/>
              </w:rPr>
              <w:t>speakers and</w:t>
            </w:r>
            <w:r>
              <w:rPr>
                <w:spacing w:val="-1"/>
                <w:sz w:val="20"/>
              </w:rPr>
              <w:t xml:space="preserve"> </w:t>
            </w:r>
            <w:r>
              <w:rPr>
                <w:sz w:val="20"/>
              </w:rPr>
              <w:t xml:space="preserve">presenters </w:t>
            </w:r>
            <w:r>
              <w:rPr>
                <w:spacing w:val="-5"/>
                <w:sz w:val="20"/>
              </w:rPr>
              <w:t>in</w:t>
            </w:r>
          </w:p>
        </w:tc>
        <w:tc>
          <w:tcPr>
            <w:tcW w:w="3185" w:type="dxa"/>
          </w:tcPr>
          <w:p w14:paraId="24C74E46" w14:textId="77777777" w:rsidR="00AC6F3C" w:rsidRDefault="00570E88">
            <w:pPr>
              <w:pStyle w:val="TableParagraph"/>
              <w:spacing w:before="1" w:line="218" w:lineRule="exact"/>
              <w:ind w:left="180"/>
              <w:rPr>
                <w:sz w:val="20"/>
              </w:rPr>
            </w:pPr>
            <w:r>
              <w:rPr>
                <w:spacing w:val="-2"/>
                <w:sz w:val="20"/>
              </w:rPr>
              <w:t>community-based</w:t>
            </w:r>
            <w:r>
              <w:rPr>
                <w:spacing w:val="32"/>
                <w:sz w:val="20"/>
              </w:rPr>
              <w:t xml:space="preserve"> </w:t>
            </w:r>
            <w:r>
              <w:rPr>
                <w:spacing w:val="-2"/>
                <w:sz w:val="20"/>
              </w:rPr>
              <w:t>not-for-profit</w:t>
            </w:r>
          </w:p>
        </w:tc>
      </w:tr>
      <w:tr w:rsidR="00AC6F3C" w14:paraId="5ADD70DD" w14:textId="77777777">
        <w:trPr>
          <w:trHeight w:val="297"/>
        </w:trPr>
        <w:tc>
          <w:tcPr>
            <w:tcW w:w="3001" w:type="dxa"/>
            <w:tcBorders>
              <w:bottom w:val="single" w:sz="4" w:space="0" w:color="000000"/>
            </w:tcBorders>
          </w:tcPr>
          <w:p w14:paraId="1B413EC8" w14:textId="77777777" w:rsidR="00AC6F3C" w:rsidRDefault="00AC6F3C">
            <w:pPr>
              <w:pStyle w:val="TableParagraph"/>
              <w:rPr>
                <w:rFonts w:ascii="Times New Roman"/>
                <w:sz w:val="20"/>
              </w:rPr>
            </w:pPr>
          </w:p>
        </w:tc>
        <w:tc>
          <w:tcPr>
            <w:tcW w:w="3169" w:type="dxa"/>
            <w:tcBorders>
              <w:bottom w:val="single" w:sz="4" w:space="0" w:color="000000"/>
            </w:tcBorders>
          </w:tcPr>
          <w:p w14:paraId="31124CA8" w14:textId="77777777" w:rsidR="00AC6F3C" w:rsidRDefault="00570E88">
            <w:pPr>
              <w:pStyle w:val="TableParagraph"/>
              <w:spacing w:before="1"/>
              <w:ind w:left="230"/>
              <w:rPr>
                <w:sz w:val="20"/>
              </w:rPr>
            </w:pPr>
            <w:r>
              <w:rPr>
                <w:sz w:val="20"/>
              </w:rPr>
              <w:t>lieu</w:t>
            </w:r>
            <w:r>
              <w:rPr>
                <w:spacing w:val="-2"/>
                <w:sz w:val="20"/>
              </w:rPr>
              <w:t xml:space="preserve"> </w:t>
            </w:r>
            <w:r>
              <w:rPr>
                <w:sz w:val="20"/>
              </w:rPr>
              <w:t>of</w:t>
            </w:r>
            <w:r>
              <w:rPr>
                <w:spacing w:val="-1"/>
                <w:sz w:val="20"/>
              </w:rPr>
              <w:t xml:space="preserve"> </w:t>
            </w:r>
            <w:r>
              <w:rPr>
                <w:spacing w:val="-2"/>
                <w:sz w:val="20"/>
              </w:rPr>
              <w:t>payment</w:t>
            </w:r>
          </w:p>
        </w:tc>
        <w:tc>
          <w:tcPr>
            <w:tcW w:w="3185" w:type="dxa"/>
            <w:tcBorders>
              <w:bottom w:val="single" w:sz="4" w:space="0" w:color="000000"/>
            </w:tcBorders>
          </w:tcPr>
          <w:p w14:paraId="2613A63E" w14:textId="77777777" w:rsidR="00AC6F3C" w:rsidRDefault="00570E88">
            <w:pPr>
              <w:pStyle w:val="TableParagraph"/>
              <w:spacing w:before="1"/>
              <w:ind w:left="180"/>
              <w:rPr>
                <w:sz w:val="20"/>
              </w:rPr>
            </w:pPr>
            <w:proofErr w:type="spellStart"/>
            <w:r>
              <w:rPr>
                <w:spacing w:val="-2"/>
                <w:sz w:val="20"/>
              </w:rPr>
              <w:t>organisations</w:t>
            </w:r>
            <w:proofErr w:type="spellEnd"/>
          </w:p>
        </w:tc>
      </w:tr>
      <w:tr w:rsidR="00AC6F3C" w14:paraId="15B4241E" w14:textId="77777777">
        <w:trPr>
          <w:trHeight w:val="304"/>
        </w:trPr>
        <w:tc>
          <w:tcPr>
            <w:tcW w:w="3001" w:type="dxa"/>
            <w:tcBorders>
              <w:top w:val="single" w:sz="4" w:space="0" w:color="000000"/>
            </w:tcBorders>
          </w:tcPr>
          <w:p w14:paraId="7C3FAE0A" w14:textId="77777777" w:rsidR="00AC6F3C" w:rsidRDefault="00570E88">
            <w:pPr>
              <w:pStyle w:val="TableParagraph"/>
              <w:spacing w:before="66" w:line="218" w:lineRule="exact"/>
              <w:ind w:left="113"/>
              <w:rPr>
                <w:b/>
                <w:sz w:val="20"/>
              </w:rPr>
            </w:pPr>
            <w:r>
              <w:rPr>
                <w:b/>
                <w:spacing w:val="-2"/>
                <w:sz w:val="20"/>
              </w:rPr>
              <w:t>Various</w:t>
            </w:r>
            <w:r>
              <w:rPr>
                <w:b/>
                <w:spacing w:val="11"/>
                <w:sz w:val="20"/>
              </w:rPr>
              <w:t xml:space="preserve"> </w:t>
            </w:r>
            <w:r>
              <w:rPr>
                <w:b/>
                <w:spacing w:val="-2"/>
                <w:sz w:val="20"/>
              </w:rPr>
              <w:t>not-for-profit</w:t>
            </w:r>
          </w:p>
        </w:tc>
        <w:tc>
          <w:tcPr>
            <w:tcW w:w="3169" w:type="dxa"/>
            <w:tcBorders>
              <w:top w:val="single" w:sz="4" w:space="0" w:color="000000"/>
            </w:tcBorders>
          </w:tcPr>
          <w:p w14:paraId="3204BB15" w14:textId="77777777" w:rsidR="00AC6F3C" w:rsidRDefault="00570E88">
            <w:pPr>
              <w:pStyle w:val="TableParagraph"/>
              <w:spacing w:before="66" w:line="218" w:lineRule="exact"/>
              <w:ind w:left="231"/>
              <w:rPr>
                <w:sz w:val="20"/>
              </w:rPr>
            </w:pPr>
            <w:r>
              <w:rPr>
                <w:sz w:val="20"/>
              </w:rPr>
              <w:t>Use</w:t>
            </w:r>
            <w:r>
              <w:rPr>
                <w:spacing w:val="-1"/>
                <w:sz w:val="20"/>
              </w:rPr>
              <w:t xml:space="preserve"> </w:t>
            </w:r>
            <w:r>
              <w:rPr>
                <w:sz w:val="20"/>
              </w:rPr>
              <w:t>of</w:t>
            </w:r>
            <w:r>
              <w:rPr>
                <w:spacing w:val="-1"/>
                <w:sz w:val="20"/>
              </w:rPr>
              <w:t xml:space="preserve"> </w:t>
            </w:r>
            <w:r>
              <w:rPr>
                <w:sz w:val="20"/>
              </w:rPr>
              <w:t>Law</w:t>
            </w:r>
            <w:r>
              <w:rPr>
                <w:spacing w:val="-1"/>
                <w:sz w:val="20"/>
              </w:rPr>
              <w:t xml:space="preserve"> </w:t>
            </w:r>
            <w:r>
              <w:rPr>
                <w:sz w:val="20"/>
              </w:rPr>
              <w:t>Society</w:t>
            </w:r>
            <w:r>
              <w:rPr>
                <w:spacing w:val="-1"/>
                <w:sz w:val="20"/>
              </w:rPr>
              <w:t xml:space="preserve"> </w:t>
            </w:r>
            <w:r>
              <w:rPr>
                <w:spacing w:val="-2"/>
                <w:sz w:val="20"/>
              </w:rPr>
              <w:t>House</w:t>
            </w:r>
          </w:p>
        </w:tc>
        <w:tc>
          <w:tcPr>
            <w:tcW w:w="3185" w:type="dxa"/>
            <w:tcBorders>
              <w:top w:val="single" w:sz="4" w:space="0" w:color="000000"/>
            </w:tcBorders>
          </w:tcPr>
          <w:p w14:paraId="7A89DB6F" w14:textId="77777777" w:rsidR="00AC6F3C" w:rsidRDefault="00570E88">
            <w:pPr>
              <w:pStyle w:val="TableParagraph"/>
              <w:spacing w:before="66" w:line="218" w:lineRule="exact"/>
              <w:ind w:left="180"/>
              <w:rPr>
                <w:sz w:val="20"/>
              </w:rPr>
            </w:pPr>
            <w:r>
              <w:rPr>
                <w:sz w:val="20"/>
              </w:rPr>
              <w:t>Approximately</w:t>
            </w:r>
            <w:r>
              <w:rPr>
                <w:spacing w:val="-3"/>
                <w:sz w:val="20"/>
              </w:rPr>
              <w:t xml:space="preserve"> </w:t>
            </w:r>
            <w:r>
              <w:rPr>
                <w:sz w:val="20"/>
              </w:rPr>
              <w:t>$9,833</w:t>
            </w:r>
            <w:r>
              <w:rPr>
                <w:spacing w:val="-2"/>
                <w:sz w:val="20"/>
              </w:rPr>
              <w:t xml:space="preserve"> </w:t>
            </w:r>
            <w:r>
              <w:rPr>
                <w:spacing w:val="-5"/>
                <w:sz w:val="20"/>
              </w:rPr>
              <w:t>of</w:t>
            </w:r>
          </w:p>
        </w:tc>
      </w:tr>
      <w:tr w:rsidR="00AC6F3C" w14:paraId="524777DD" w14:textId="77777777">
        <w:trPr>
          <w:trHeight w:val="240"/>
        </w:trPr>
        <w:tc>
          <w:tcPr>
            <w:tcW w:w="3001" w:type="dxa"/>
          </w:tcPr>
          <w:p w14:paraId="3ADA50DD" w14:textId="77777777" w:rsidR="00AC6F3C" w:rsidRDefault="00570E88">
            <w:pPr>
              <w:pStyle w:val="TableParagraph"/>
              <w:spacing w:before="1" w:line="218" w:lineRule="exact"/>
              <w:ind w:left="113"/>
              <w:rPr>
                <w:b/>
                <w:sz w:val="20"/>
              </w:rPr>
            </w:pPr>
            <w:proofErr w:type="spellStart"/>
            <w:r>
              <w:rPr>
                <w:b/>
                <w:spacing w:val="-2"/>
                <w:sz w:val="20"/>
              </w:rPr>
              <w:t>Organisations</w:t>
            </w:r>
            <w:proofErr w:type="spellEnd"/>
          </w:p>
        </w:tc>
        <w:tc>
          <w:tcPr>
            <w:tcW w:w="3169" w:type="dxa"/>
          </w:tcPr>
          <w:p w14:paraId="645D1070" w14:textId="77777777" w:rsidR="00AC6F3C" w:rsidRDefault="00570E88">
            <w:pPr>
              <w:pStyle w:val="TableParagraph"/>
              <w:spacing w:before="1" w:line="218" w:lineRule="exact"/>
              <w:ind w:left="231"/>
              <w:rPr>
                <w:sz w:val="20"/>
              </w:rPr>
            </w:pPr>
            <w:r>
              <w:rPr>
                <w:sz w:val="20"/>
              </w:rPr>
              <w:t>for</w:t>
            </w:r>
            <w:r>
              <w:rPr>
                <w:spacing w:val="-1"/>
                <w:sz w:val="20"/>
              </w:rPr>
              <w:t xml:space="preserve"> </w:t>
            </w:r>
            <w:r>
              <w:rPr>
                <w:sz w:val="20"/>
              </w:rPr>
              <w:t xml:space="preserve">no cost or </w:t>
            </w:r>
            <w:r>
              <w:rPr>
                <w:spacing w:val="-2"/>
                <w:sz w:val="20"/>
              </w:rPr>
              <w:t>significantly</w:t>
            </w:r>
          </w:p>
        </w:tc>
        <w:tc>
          <w:tcPr>
            <w:tcW w:w="3185" w:type="dxa"/>
          </w:tcPr>
          <w:p w14:paraId="614C96F1" w14:textId="77777777" w:rsidR="00AC6F3C" w:rsidRDefault="00570E88">
            <w:pPr>
              <w:pStyle w:val="TableParagraph"/>
              <w:spacing w:before="1" w:line="218" w:lineRule="exact"/>
              <w:ind w:left="180"/>
              <w:rPr>
                <w:sz w:val="20"/>
              </w:rPr>
            </w:pPr>
            <w:r>
              <w:rPr>
                <w:sz w:val="20"/>
              </w:rPr>
              <w:t>foregone</w:t>
            </w:r>
            <w:r>
              <w:rPr>
                <w:spacing w:val="-9"/>
                <w:sz w:val="20"/>
              </w:rPr>
              <w:t xml:space="preserve"> </w:t>
            </w:r>
            <w:r>
              <w:rPr>
                <w:sz w:val="20"/>
              </w:rPr>
              <w:t>revenue</w:t>
            </w:r>
            <w:r>
              <w:rPr>
                <w:spacing w:val="-6"/>
                <w:sz w:val="20"/>
              </w:rPr>
              <w:t xml:space="preserve"> </w:t>
            </w:r>
            <w:r>
              <w:rPr>
                <w:spacing w:val="-2"/>
                <w:sz w:val="20"/>
              </w:rPr>
              <w:t>contributed</w:t>
            </w:r>
          </w:p>
        </w:tc>
      </w:tr>
      <w:tr w:rsidR="00AC6F3C" w14:paraId="26222498" w14:textId="77777777">
        <w:trPr>
          <w:trHeight w:val="240"/>
        </w:trPr>
        <w:tc>
          <w:tcPr>
            <w:tcW w:w="3001" w:type="dxa"/>
          </w:tcPr>
          <w:p w14:paraId="1ACE2ABC" w14:textId="77777777" w:rsidR="00AC6F3C" w:rsidRDefault="00AC6F3C">
            <w:pPr>
              <w:pStyle w:val="TableParagraph"/>
              <w:rPr>
                <w:rFonts w:ascii="Times New Roman"/>
                <w:sz w:val="16"/>
              </w:rPr>
            </w:pPr>
          </w:p>
        </w:tc>
        <w:tc>
          <w:tcPr>
            <w:tcW w:w="3169" w:type="dxa"/>
          </w:tcPr>
          <w:p w14:paraId="724A32C7" w14:textId="77777777" w:rsidR="00AC6F3C" w:rsidRDefault="00570E88">
            <w:pPr>
              <w:pStyle w:val="TableParagraph"/>
              <w:spacing w:before="1" w:line="218" w:lineRule="exact"/>
              <w:ind w:left="231"/>
              <w:rPr>
                <w:sz w:val="20"/>
              </w:rPr>
            </w:pPr>
            <w:r>
              <w:rPr>
                <w:sz w:val="20"/>
              </w:rPr>
              <w:t>reduced</w:t>
            </w:r>
            <w:r>
              <w:rPr>
                <w:spacing w:val="-6"/>
                <w:sz w:val="20"/>
              </w:rPr>
              <w:t xml:space="preserve"> </w:t>
            </w:r>
            <w:r>
              <w:rPr>
                <w:spacing w:val="-4"/>
                <w:sz w:val="20"/>
              </w:rPr>
              <w:t>fees</w:t>
            </w:r>
          </w:p>
        </w:tc>
        <w:tc>
          <w:tcPr>
            <w:tcW w:w="3185" w:type="dxa"/>
          </w:tcPr>
          <w:p w14:paraId="238AFD3F" w14:textId="77777777" w:rsidR="00AC6F3C" w:rsidRDefault="00570E88">
            <w:pPr>
              <w:pStyle w:val="TableParagraph"/>
              <w:spacing w:before="1" w:line="218" w:lineRule="exact"/>
              <w:ind w:left="180"/>
              <w:rPr>
                <w:sz w:val="20"/>
              </w:rPr>
            </w:pPr>
            <w:r>
              <w:rPr>
                <w:sz w:val="20"/>
              </w:rPr>
              <w:t>to</w:t>
            </w:r>
            <w:r>
              <w:rPr>
                <w:spacing w:val="-2"/>
                <w:sz w:val="20"/>
              </w:rPr>
              <w:t xml:space="preserve"> </w:t>
            </w:r>
            <w:r>
              <w:rPr>
                <w:sz w:val="20"/>
              </w:rPr>
              <w:t>a</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not-for-</w:t>
            </w:r>
            <w:r>
              <w:rPr>
                <w:spacing w:val="-2"/>
                <w:sz w:val="20"/>
              </w:rPr>
              <w:t>profit</w:t>
            </w:r>
          </w:p>
        </w:tc>
      </w:tr>
      <w:tr w:rsidR="00AC6F3C" w14:paraId="0E666F04" w14:textId="77777777">
        <w:trPr>
          <w:trHeight w:val="297"/>
        </w:trPr>
        <w:tc>
          <w:tcPr>
            <w:tcW w:w="3001" w:type="dxa"/>
            <w:tcBorders>
              <w:bottom w:val="single" w:sz="4" w:space="0" w:color="000000"/>
            </w:tcBorders>
          </w:tcPr>
          <w:p w14:paraId="06E2925F" w14:textId="77777777" w:rsidR="00AC6F3C" w:rsidRDefault="00AC6F3C">
            <w:pPr>
              <w:pStyle w:val="TableParagraph"/>
              <w:rPr>
                <w:rFonts w:ascii="Times New Roman"/>
                <w:sz w:val="20"/>
              </w:rPr>
            </w:pPr>
          </w:p>
        </w:tc>
        <w:tc>
          <w:tcPr>
            <w:tcW w:w="3169" w:type="dxa"/>
            <w:tcBorders>
              <w:bottom w:val="single" w:sz="4" w:space="0" w:color="000000"/>
            </w:tcBorders>
          </w:tcPr>
          <w:p w14:paraId="3D15EE00" w14:textId="77777777" w:rsidR="00AC6F3C" w:rsidRDefault="00AC6F3C">
            <w:pPr>
              <w:pStyle w:val="TableParagraph"/>
              <w:rPr>
                <w:rFonts w:ascii="Times New Roman"/>
                <w:sz w:val="20"/>
              </w:rPr>
            </w:pPr>
          </w:p>
        </w:tc>
        <w:tc>
          <w:tcPr>
            <w:tcW w:w="3185" w:type="dxa"/>
            <w:tcBorders>
              <w:bottom w:val="single" w:sz="4" w:space="0" w:color="000000"/>
            </w:tcBorders>
          </w:tcPr>
          <w:p w14:paraId="0D584547" w14:textId="77777777" w:rsidR="00AC6F3C" w:rsidRDefault="00570E88">
            <w:pPr>
              <w:pStyle w:val="TableParagraph"/>
              <w:spacing w:before="1"/>
              <w:ind w:left="180"/>
              <w:rPr>
                <w:sz w:val="20"/>
              </w:rPr>
            </w:pPr>
            <w:proofErr w:type="spellStart"/>
            <w:r>
              <w:rPr>
                <w:spacing w:val="-2"/>
                <w:sz w:val="20"/>
              </w:rPr>
              <w:t>organisations</w:t>
            </w:r>
            <w:proofErr w:type="spellEnd"/>
          </w:p>
        </w:tc>
      </w:tr>
      <w:tr w:rsidR="00AC6F3C" w14:paraId="0D8EE93E" w14:textId="77777777">
        <w:trPr>
          <w:trHeight w:val="304"/>
        </w:trPr>
        <w:tc>
          <w:tcPr>
            <w:tcW w:w="3001" w:type="dxa"/>
            <w:tcBorders>
              <w:top w:val="single" w:sz="4" w:space="0" w:color="000000"/>
            </w:tcBorders>
          </w:tcPr>
          <w:p w14:paraId="0ABDA51A" w14:textId="77777777" w:rsidR="00AC6F3C" w:rsidRDefault="00570E88">
            <w:pPr>
              <w:pStyle w:val="TableParagraph"/>
              <w:spacing w:before="66" w:line="218" w:lineRule="exact"/>
              <w:ind w:left="114"/>
              <w:rPr>
                <w:b/>
                <w:sz w:val="20"/>
              </w:rPr>
            </w:pPr>
            <w:r>
              <w:rPr>
                <w:b/>
                <w:sz w:val="20"/>
              </w:rPr>
              <w:t>Women’s</w:t>
            </w:r>
            <w:r>
              <w:rPr>
                <w:b/>
                <w:spacing w:val="-6"/>
                <w:sz w:val="20"/>
              </w:rPr>
              <w:t xml:space="preserve"> </w:t>
            </w:r>
            <w:r>
              <w:rPr>
                <w:b/>
                <w:sz w:val="20"/>
              </w:rPr>
              <w:t>Legal</w:t>
            </w:r>
            <w:r>
              <w:rPr>
                <w:b/>
                <w:spacing w:val="-6"/>
                <w:sz w:val="20"/>
              </w:rPr>
              <w:t xml:space="preserve"> </w:t>
            </w:r>
            <w:r>
              <w:rPr>
                <w:b/>
                <w:spacing w:val="-2"/>
                <w:sz w:val="20"/>
              </w:rPr>
              <w:t>Service</w:t>
            </w:r>
          </w:p>
        </w:tc>
        <w:tc>
          <w:tcPr>
            <w:tcW w:w="3169" w:type="dxa"/>
            <w:tcBorders>
              <w:top w:val="single" w:sz="4" w:space="0" w:color="000000"/>
            </w:tcBorders>
          </w:tcPr>
          <w:p w14:paraId="28739636" w14:textId="77777777" w:rsidR="00AC6F3C" w:rsidRDefault="00570E88">
            <w:pPr>
              <w:pStyle w:val="TableParagraph"/>
              <w:spacing w:before="66" w:line="218" w:lineRule="exact"/>
              <w:ind w:left="231"/>
              <w:rPr>
                <w:sz w:val="20"/>
              </w:rPr>
            </w:pPr>
            <w:r>
              <w:rPr>
                <w:sz w:val="20"/>
              </w:rPr>
              <w:t>Financial</w:t>
            </w:r>
            <w:r>
              <w:rPr>
                <w:spacing w:val="-6"/>
                <w:sz w:val="20"/>
              </w:rPr>
              <w:t xml:space="preserve"> </w:t>
            </w:r>
            <w:r>
              <w:rPr>
                <w:sz w:val="20"/>
              </w:rPr>
              <w:t>and</w:t>
            </w:r>
            <w:r>
              <w:rPr>
                <w:spacing w:val="-5"/>
                <w:sz w:val="20"/>
              </w:rPr>
              <w:t xml:space="preserve"> </w:t>
            </w:r>
            <w:r>
              <w:rPr>
                <w:sz w:val="20"/>
              </w:rPr>
              <w:t>in-kind</w:t>
            </w:r>
            <w:r>
              <w:rPr>
                <w:spacing w:val="-5"/>
                <w:sz w:val="20"/>
              </w:rPr>
              <w:t xml:space="preserve"> </w:t>
            </w:r>
            <w:r>
              <w:rPr>
                <w:spacing w:val="-2"/>
                <w:sz w:val="20"/>
              </w:rPr>
              <w:t>support</w:t>
            </w:r>
          </w:p>
        </w:tc>
        <w:tc>
          <w:tcPr>
            <w:tcW w:w="3185" w:type="dxa"/>
            <w:tcBorders>
              <w:top w:val="single" w:sz="4" w:space="0" w:color="000000"/>
            </w:tcBorders>
          </w:tcPr>
          <w:p w14:paraId="75565F32" w14:textId="77777777" w:rsidR="00AC6F3C" w:rsidRDefault="00570E88">
            <w:pPr>
              <w:pStyle w:val="TableParagraph"/>
              <w:spacing w:before="66" w:line="218" w:lineRule="exact"/>
              <w:ind w:left="180"/>
              <w:rPr>
                <w:sz w:val="20"/>
              </w:rPr>
            </w:pPr>
            <w:r>
              <w:rPr>
                <w:sz w:val="20"/>
              </w:rPr>
              <w:t>Supporting</w:t>
            </w:r>
            <w:r>
              <w:rPr>
                <w:spacing w:val="-8"/>
                <w:sz w:val="20"/>
              </w:rPr>
              <w:t xml:space="preserve"> </w:t>
            </w:r>
            <w:r>
              <w:rPr>
                <w:sz w:val="20"/>
              </w:rPr>
              <w:t>free</w:t>
            </w:r>
            <w:r>
              <w:rPr>
                <w:spacing w:val="-5"/>
                <w:sz w:val="20"/>
              </w:rPr>
              <w:t xml:space="preserve"> </w:t>
            </w:r>
            <w:r>
              <w:rPr>
                <w:sz w:val="20"/>
              </w:rPr>
              <w:t>legal</w:t>
            </w:r>
            <w:r>
              <w:rPr>
                <w:spacing w:val="-5"/>
                <w:sz w:val="20"/>
              </w:rPr>
              <w:t xml:space="preserve"> </w:t>
            </w:r>
            <w:r>
              <w:rPr>
                <w:spacing w:val="-2"/>
                <w:sz w:val="20"/>
              </w:rPr>
              <w:t>services</w:t>
            </w:r>
          </w:p>
        </w:tc>
      </w:tr>
      <w:tr w:rsidR="00AC6F3C" w14:paraId="135EA9D4" w14:textId="77777777">
        <w:trPr>
          <w:trHeight w:val="297"/>
        </w:trPr>
        <w:tc>
          <w:tcPr>
            <w:tcW w:w="3001" w:type="dxa"/>
            <w:tcBorders>
              <w:bottom w:val="single" w:sz="4" w:space="0" w:color="000000"/>
            </w:tcBorders>
          </w:tcPr>
          <w:p w14:paraId="3E96AE8A" w14:textId="77777777" w:rsidR="00AC6F3C" w:rsidRDefault="00AC6F3C">
            <w:pPr>
              <w:pStyle w:val="TableParagraph"/>
              <w:rPr>
                <w:rFonts w:ascii="Times New Roman"/>
                <w:sz w:val="20"/>
              </w:rPr>
            </w:pPr>
          </w:p>
        </w:tc>
        <w:tc>
          <w:tcPr>
            <w:tcW w:w="3169" w:type="dxa"/>
            <w:tcBorders>
              <w:bottom w:val="single" w:sz="4" w:space="0" w:color="000000"/>
            </w:tcBorders>
          </w:tcPr>
          <w:p w14:paraId="35B2B4C2" w14:textId="77777777" w:rsidR="00AC6F3C" w:rsidRDefault="00AC6F3C">
            <w:pPr>
              <w:pStyle w:val="TableParagraph"/>
              <w:rPr>
                <w:rFonts w:ascii="Times New Roman"/>
                <w:sz w:val="20"/>
              </w:rPr>
            </w:pPr>
          </w:p>
        </w:tc>
        <w:tc>
          <w:tcPr>
            <w:tcW w:w="3185" w:type="dxa"/>
            <w:tcBorders>
              <w:bottom w:val="single" w:sz="4" w:space="0" w:color="000000"/>
            </w:tcBorders>
          </w:tcPr>
          <w:p w14:paraId="23CD3B0A" w14:textId="77777777" w:rsidR="00AC6F3C" w:rsidRDefault="00570E88">
            <w:pPr>
              <w:pStyle w:val="TableParagraph"/>
              <w:spacing w:before="1"/>
              <w:ind w:left="180"/>
              <w:rPr>
                <w:sz w:val="20"/>
              </w:rPr>
            </w:pPr>
            <w:r>
              <w:rPr>
                <w:sz w:val="20"/>
              </w:rPr>
              <w:t>for</w:t>
            </w:r>
            <w:r>
              <w:rPr>
                <w:spacing w:val="-2"/>
                <w:sz w:val="20"/>
              </w:rPr>
              <w:t xml:space="preserve"> </w:t>
            </w:r>
            <w:r>
              <w:rPr>
                <w:sz w:val="20"/>
              </w:rPr>
              <w:t>women</w:t>
            </w:r>
            <w:r>
              <w:rPr>
                <w:spacing w:val="-2"/>
                <w:sz w:val="20"/>
              </w:rPr>
              <w:t xml:space="preserve"> </w:t>
            </w:r>
            <w:r>
              <w:rPr>
                <w:sz w:val="20"/>
              </w:rPr>
              <w:t>in</w:t>
            </w:r>
            <w:r>
              <w:rPr>
                <w:spacing w:val="-1"/>
                <w:sz w:val="20"/>
              </w:rPr>
              <w:t xml:space="preserve"> </w:t>
            </w:r>
            <w:r>
              <w:rPr>
                <w:spacing w:val="-2"/>
                <w:sz w:val="20"/>
              </w:rPr>
              <w:t>Queensland</w:t>
            </w:r>
          </w:p>
        </w:tc>
      </w:tr>
      <w:tr w:rsidR="00AC6F3C" w14:paraId="20069291" w14:textId="77777777">
        <w:trPr>
          <w:trHeight w:val="304"/>
        </w:trPr>
        <w:tc>
          <w:tcPr>
            <w:tcW w:w="3001" w:type="dxa"/>
            <w:tcBorders>
              <w:top w:val="single" w:sz="4" w:space="0" w:color="000000"/>
            </w:tcBorders>
          </w:tcPr>
          <w:p w14:paraId="31A5F086" w14:textId="77777777" w:rsidR="00AC6F3C" w:rsidRDefault="00570E88">
            <w:pPr>
              <w:pStyle w:val="TableParagraph"/>
              <w:spacing w:before="66" w:line="218" w:lineRule="exact"/>
              <w:ind w:left="114"/>
              <w:rPr>
                <w:b/>
                <w:sz w:val="20"/>
              </w:rPr>
            </w:pPr>
            <w:r>
              <w:rPr>
                <w:b/>
                <w:sz w:val="20"/>
              </w:rPr>
              <w:t>Women’s</w:t>
            </w:r>
            <w:r>
              <w:rPr>
                <w:b/>
                <w:spacing w:val="-7"/>
                <w:sz w:val="20"/>
              </w:rPr>
              <w:t xml:space="preserve"> </w:t>
            </w:r>
            <w:r>
              <w:rPr>
                <w:b/>
                <w:sz w:val="20"/>
              </w:rPr>
              <w:t>Law</w:t>
            </w:r>
            <w:r>
              <w:rPr>
                <w:b/>
                <w:spacing w:val="-13"/>
                <w:sz w:val="20"/>
              </w:rPr>
              <w:t xml:space="preserve"> </w:t>
            </w:r>
            <w:r>
              <w:rPr>
                <w:b/>
                <w:spacing w:val="-2"/>
                <w:sz w:val="20"/>
              </w:rPr>
              <w:t>Association</w:t>
            </w:r>
          </w:p>
        </w:tc>
        <w:tc>
          <w:tcPr>
            <w:tcW w:w="3169" w:type="dxa"/>
            <w:tcBorders>
              <w:top w:val="single" w:sz="4" w:space="0" w:color="000000"/>
            </w:tcBorders>
          </w:tcPr>
          <w:p w14:paraId="46091B99" w14:textId="77777777" w:rsidR="00AC6F3C" w:rsidRDefault="00570E88">
            <w:pPr>
              <w:pStyle w:val="TableParagraph"/>
              <w:spacing w:before="66" w:line="218" w:lineRule="exact"/>
              <w:ind w:left="231"/>
              <w:rPr>
                <w:sz w:val="20"/>
              </w:rPr>
            </w:pPr>
            <w:r>
              <w:rPr>
                <w:sz w:val="20"/>
              </w:rPr>
              <w:t>In-kind</w:t>
            </w:r>
            <w:r>
              <w:rPr>
                <w:spacing w:val="-6"/>
                <w:sz w:val="20"/>
              </w:rPr>
              <w:t xml:space="preserve"> </w:t>
            </w:r>
            <w:r>
              <w:rPr>
                <w:spacing w:val="-2"/>
                <w:sz w:val="20"/>
              </w:rPr>
              <w:t>support</w:t>
            </w:r>
          </w:p>
        </w:tc>
        <w:tc>
          <w:tcPr>
            <w:tcW w:w="3185" w:type="dxa"/>
            <w:tcBorders>
              <w:top w:val="single" w:sz="4" w:space="0" w:color="000000"/>
            </w:tcBorders>
          </w:tcPr>
          <w:p w14:paraId="66748B08" w14:textId="77777777" w:rsidR="00AC6F3C" w:rsidRDefault="00570E88">
            <w:pPr>
              <w:pStyle w:val="TableParagraph"/>
              <w:spacing w:before="66" w:line="218" w:lineRule="exact"/>
              <w:ind w:left="180"/>
              <w:rPr>
                <w:sz w:val="20"/>
              </w:rPr>
            </w:pPr>
            <w:r>
              <w:rPr>
                <w:sz w:val="20"/>
              </w:rPr>
              <w:t>Supporting</w:t>
            </w:r>
            <w:r>
              <w:rPr>
                <w:spacing w:val="-4"/>
                <w:sz w:val="20"/>
              </w:rPr>
              <w:t xml:space="preserve"> </w:t>
            </w:r>
            <w:r>
              <w:rPr>
                <w:sz w:val="20"/>
              </w:rPr>
              <w:t>the</w:t>
            </w:r>
            <w:r>
              <w:rPr>
                <w:spacing w:val="-4"/>
                <w:sz w:val="20"/>
              </w:rPr>
              <w:t xml:space="preserve"> </w:t>
            </w:r>
            <w:r>
              <w:rPr>
                <w:sz w:val="20"/>
              </w:rPr>
              <w:t>success</w:t>
            </w:r>
            <w:r>
              <w:rPr>
                <w:spacing w:val="-3"/>
                <w:sz w:val="20"/>
              </w:rPr>
              <w:t xml:space="preserve"> </w:t>
            </w:r>
            <w:r>
              <w:rPr>
                <w:spacing w:val="-5"/>
                <w:sz w:val="20"/>
              </w:rPr>
              <w:t>and</w:t>
            </w:r>
          </w:p>
        </w:tc>
      </w:tr>
      <w:tr w:rsidR="00AC6F3C" w14:paraId="0272CD37" w14:textId="77777777">
        <w:trPr>
          <w:trHeight w:val="240"/>
        </w:trPr>
        <w:tc>
          <w:tcPr>
            <w:tcW w:w="3001" w:type="dxa"/>
          </w:tcPr>
          <w:p w14:paraId="3731844A" w14:textId="77777777" w:rsidR="00AC6F3C" w:rsidRDefault="00570E88">
            <w:pPr>
              <w:pStyle w:val="TableParagraph"/>
              <w:spacing w:before="1" w:line="218" w:lineRule="exact"/>
              <w:ind w:left="114"/>
              <w:rPr>
                <w:b/>
                <w:sz w:val="20"/>
              </w:rPr>
            </w:pPr>
            <w:r>
              <w:rPr>
                <w:b/>
                <w:spacing w:val="-2"/>
                <w:sz w:val="20"/>
              </w:rPr>
              <w:t>Queensland</w:t>
            </w:r>
          </w:p>
        </w:tc>
        <w:tc>
          <w:tcPr>
            <w:tcW w:w="3169" w:type="dxa"/>
          </w:tcPr>
          <w:p w14:paraId="01ACECE5" w14:textId="77777777" w:rsidR="00AC6F3C" w:rsidRDefault="00AC6F3C">
            <w:pPr>
              <w:pStyle w:val="TableParagraph"/>
              <w:rPr>
                <w:rFonts w:ascii="Times New Roman"/>
                <w:sz w:val="16"/>
              </w:rPr>
            </w:pPr>
          </w:p>
        </w:tc>
        <w:tc>
          <w:tcPr>
            <w:tcW w:w="3185" w:type="dxa"/>
          </w:tcPr>
          <w:p w14:paraId="6208B0C8" w14:textId="77777777" w:rsidR="00AC6F3C" w:rsidRDefault="00570E88">
            <w:pPr>
              <w:pStyle w:val="TableParagraph"/>
              <w:spacing w:before="1" w:line="218" w:lineRule="exact"/>
              <w:ind w:left="180"/>
              <w:rPr>
                <w:sz w:val="20"/>
              </w:rPr>
            </w:pPr>
            <w:r>
              <w:rPr>
                <w:sz w:val="20"/>
              </w:rPr>
              <w:t>leadership</w:t>
            </w:r>
            <w:r>
              <w:rPr>
                <w:spacing w:val="-4"/>
                <w:sz w:val="20"/>
              </w:rPr>
              <w:t xml:space="preserve"> </w:t>
            </w:r>
            <w:r>
              <w:rPr>
                <w:sz w:val="20"/>
              </w:rPr>
              <w:t>of</w:t>
            </w:r>
            <w:r>
              <w:rPr>
                <w:spacing w:val="-3"/>
                <w:sz w:val="20"/>
              </w:rPr>
              <w:t xml:space="preserve"> </w:t>
            </w:r>
            <w:r>
              <w:rPr>
                <w:sz w:val="20"/>
              </w:rPr>
              <w:t>women</w:t>
            </w:r>
            <w:r>
              <w:rPr>
                <w:spacing w:val="-4"/>
                <w:sz w:val="20"/>
              </w:rPr>
              <w:t xml:space="preserve"> </w:t>
            </w:r>
            <w:r>
              <w:rPr>
                <w:sz w:val="20"/>
              </w:rPr>
              <w:t>in</w:t>
            </w:r>
            <w:r>
              <w:rPr>
                <w:spacing w:val="-3"/>
                <w:sz w:val="20"/>
              </w:rPr>
              <w:t xml:space="preserve"> </w:t>
            </w:r>
            <w:r>
              <w:rPr>
                <w:spacing w:val="-5"/>
                <w:sz w:val="20"/>
              </w:rPr>
              <w:t>the</w:t>
            </w:r>
          </w:p>
        </w:tc>
      </w:tr>
      <w:tr w:rsidR="00AC6F3C" w14:paraId="6F74C9B8" w14:textId="77777777">
        <w:trPr>
          <w:trHeight w:val="297"/>
        </w:trPr>
        <w:tc>
          <w:tcPr>
            <w:tcW w:w="3001" w:type="dxa"/>
            <w:tcBorders>
              <w:bottom w:val="single" w:sz="4" w:space="0" w:color="000000"/>
            </w:tcBorders>
          </w:tcPr>
          <w:p w14:paraId="09377852" w14:textId="77777777" w:rsidR="00AC6F3C" w:rsidRDefault="00AC6F3C">
            <w:pPr>
              <w:pStyle w:val="TableParagraph"/>
              <w:rPr>
                <w:rFonts w:ascii="Times New Roman"/>
                <w:sz w:val="20"/>
              </w:rPr>
            </w:pPr>
          </w:p>
        </w:tc>
        <w:tc>
          <w:tcPr>
            <w:tcW w:w="3169" w:type="dxa"/>
            <w:tcBorders>
              <w:bottom w:val="single" w:sz="4" w:space="0" w:color="000000"/>
            </w:tcBorders>
          </w:tcPr>
          <w:p w14:paraId="300FA441" w14:textId="77777777" w:rsidR="00AC6F3C" w:rsidRDefault="00AC6F3C">
            <w:pPr>
              <w:pStyle w:val="TableParagraph"/>
              <w:rPr>
                <w:rFonts w:ascii="Times New Roman"/>
                <w:sz w:val="20"/>
              </w:rPr>
            </w:pPr>
          </w:p>
        </w:tc>
        <w:tc>
          <w:tcPr>
            <w:tcW w:w="3185" w:type="dxa"/>
            <w:tcBorders>
              <w:bottom w:val="single" w:sz="4" w:space="0" w:color="000000"/>
            </w:tcBorders>
          </w:tcPr>
          <w:p w14:paraId="631D2080" w14:textId="77777777" w:rsidR="00AC6F3C" w:rsidRDefault="00570E88">
            <w:pPr>
              <w:pStyle w:val="TableParagraph"/>
              <w:spacing w:before="1"/>
              <w:ind w:left="180"/>
              <w:rPr>
                <w:sz w:val="20"/>
              </w:rPr>
            </w:pPr>
            <w:r>
              <w:rPr>
                <w:sz w:val="20"/>
              </w:rPr>
              <w:t>legal</w:t>
            </w:r>
            <w:r>
              <w:rPr>
                <w:spacing w:val="-4"/>
                <w:sz w:val="20"/>
              </w:rPr>
              <w:t xml:space="preserve"> </w:t>
            </w:r>
            <w:r>
              <w:rPr>
                <w:spacing w:val="-2"/>
                <w:sz w:val="20"/>
              </w:rPr>
              <w:t>profession</w:t>
            </w:r>
          </w:p>
        </w:tc>
      </w:tr>
    </w:tbl>
    <w:p w14:paraId="6E6B79B3" w14:textId="77777777" w:rsidR="00AC6F3C" w:rsidRDefault="00AC6F3C">
      <w:pPr>
        <w:pStyle w:val="BodyText"/>
      </w:pPr>
    </w:p>
    <w:p w14:paraId="2C28AA8F" w14:textId="77777777" w:rsidR="00AC6F3C" w:rsidRDefault="00AC6F3C">
      <w:pPr>
        <w:pStyle w:val="BodyText"/>
        <w:rPr>
          <w:sz w:val="26"/>
        </w:rPr>
      </w:pPr>
    </w:p>
    <w:p w14:paraId="2F240465" w14:textId="77777777" w:rsidR="00AC6F3C" w:rsidRDefault="00570E88">
      <w:pPr>
        <w:pStyle w:val="Heading3"/>
        <w:spacing w:before="90"/>
      </w:pPr>
      <w:r>
        <w:t>Our</w:t>
      </w:r>
      <w:r>
        <w:rPr>
          <w:spacing w:val="-2"/>
        </w:rPr>
        <w:t xml:space="preserve"> publications</w:t>
      </w:r>
    </w:p>
    <w:p w14:paraId="13C9655E" w14:textId="77777777" w:rsidR="00AC6F3C" w:rsidRDefault="00570E88">
      <w:pPr>
        <w:pStyle w:val="BodyText"/>
        <w:spacing w:before="155" w:line="249" w:lineRule="auto"/>
        <w:ind w:left="815" w:right="157"/>
      </w:pPr>
      <w:r>
        <w:t>QLS</w:t>
      </w:r>
      <w:r>
        <w:rPr>
          <w:spacing w:val="-3"/>
        </w:rPr>
        <w:t xml:space="preserve"> </w:t>
      </w:r>
      <w:r>
        <w:t>publications</w:t>
      </w:r>
      <w:r>
        <w:rPr>
          <w:spacing w:val="-3"/>
        </w:rPr>
        <w:t xml:space="preserve"> </w:t>
      </w:r>
      <w:r>
        <w:t>ensures</w:t>
      </w:r>
      <w:r>
        <w:rPr>
          <w:spacing w:val="-3"/>
        </w:rPr>
        <w:t xml:space="preserve"> </w:t>
      </w:r>
      <w:r>
        <w:t>our</w:t>
      </w:r>
      <w:r>
        <w:rPr>
          <w:spacing w:val="-3"/>
        </w:rPr>
        <w:t xml:space="preserve"> </w:t>
      </w:r>
      <w:r>
        <w:t>members</w:t>
      </w:r>
      <w:r>
        <w:rPr>
          <w:spacing w:val="-3"/>
        </w:rPr>
        <w:t xml:space="preserve"> </w:t>
      </w:r>
      <w:r>
        <w:t>have</w:t>
      </w:r>
      <w:r>
        <w:rPr>
          <w:spacing w:val="-3"/>
        </w:rPr>
        <w:t xml:space="preserve"> </w:t>
      </w:r>
      <w:r>
        <w:t>ready</w:t>
      </w:r>
      <w:r>
        <w:rPr>
          <w:spacing w:val="-3"/>
        </w:rPr>
        <w:t xml:space="preserve"> </w:t>
      </w:r>
      <w:r>
        <w:t>access</w:t>
      </w:r>
      <w:r>
        <w:rPr>
          <w:spacing w:val="-3"/>
        </w:rPr>
        <w:t xml:space="preserve"> </w:t>
      </w:r>
      <w:r>
        <w:t>to</w:t>
      </w:r>
      <w:r>
        <w:rPr>
          <w:spacing w:val="-3"/>
        </w:rPr>
        <w:t xml:space="preserve"> </w:t>
      </w:r>
      <w:r>
        <w:t>legal</w:t>
      </w:r>
      <w:r>
        <w:rPr>
          <w:spacing w:val="-3"/>
        </w:rPr>
        <w:t xml:space="preserve"> </w:t>
      </w:r>
      <w:r>
        <w:t>news</w:t>
      </w:r>
      <w:r>
        <w:rPr>
          <w:spacing w:val="-3"/>
        </w:rPr>
        <w:t xml:space="preserve"> </w:t>
      </w:r>
      <w:r>
        <w:t>and</w:t>
      </w:r>
      <w:r>
        <w:rPr>
          <w:spacing w:val="-3"/>
        </w:rPr>
        <w:t xml:space="preserve"> </w:t>
      </w:r>
      <w:r>
        <w:t>information</w:t>
      </w:r>
      <w:r>
        <w:rPr>
          <w:spacing w:val="-3"/>
        </w:rPr>
        <w:t xml:space="preserve"> </w:t>
      </w:r>
      <w:r>
        <w:t>that</w:t>
      </w:r>
      <w:r>
        <w:rPr>
          <w:spacing w:val="-3"/>
        </w:rPr>
        <w:t xml:space="preserve"> </w:t>
      </w:r>
      <w:r>
        <w:t>is</w:t>
      </w:r>
      <w:r>
        <w:rPr>
          <w:spacing w:val="-3"/>
        </w:rPr>
        <w:t xml:space="preserve"> </w:t>
      </w:r>
      <w:r>
        <w:t>relevant to their practice and to their business.</w:t>
      </w:r>
    </w:p>
    <w:p w14:paraId="30429659" w14:textId="77777777" w:rsidR="00AC6F3C" w:rsidRDefault="00AC6F3C">
      <w:pPr>
        <w:pStyle w:val="BodyText"/>
        <w:rPr>
          <w:sz w:val="31"/>
        </w:rPr>
      </w:pPr>
    </w:p>
    <w:p w14:paraId="058EADF3" w14:textId="77777777" w:rsidR="00AC6F3C" w:rsidRDefault="00570E88">
      <w:pPr>
        <w:spacing w:before="1"/>
        <w:ind w:left="815"/>
        <w:rPr>
          <w:b/>
          <w:sz w:val="26"/>
        </w:rPr>
      </w:pPr>
      <w:r>
        <w:rPr>
          <w:b/>
          <w:sz w:val="26"/>
        </w:rPr>
        <w:t xml:space="preserve">QLS </w:t>
      </w:r>
      <w:r>
        <w:rPr>
          <w:b/>
          <w:spacing w:val="-2"/>
          <w:sz w:val="26"/>
        </w:rPr>
        <w:t>Update</w:t>
      </w:r>
    </w:p>
    <w:p w14:paraId="4DB4000B" w14:textId="77777777" w:rsidR="00AC6F3C" w:rsidRDefault="00570E88">
      <w:pPr>
        <w:pStyle w:val="BodyText"/>
        <w:spacing w:before="167" w:line="249" w:lineRule="auto"/>
        <w:ind w:left="815" w:right="112"/>
      </w:pPr>
      <w:r>
        <w:t>Valued by members, QLS Update is our weekly communication to the membership. Providing profession news</w:t>
      </w:r>
      <w:r>
        <w:rPr>
          <w:spacing w:val="-2"/>
        </w:rPr>
        <w:t xml:space="preserve"> </w:t>
      </w:r>
      <w:r>
        <w:t>and</w:t>
      </w:r>
      <w:r>
        <w:rPr>
          <w:spacing w:val="-2"/>
        </w:rPr>
        <w:t xml:space="preserve"> </w:t>
      </w:r>
      <w:r>
        <w:t>information,</w:t>
      </w:r>
      <w:r>
        <w:rPr>
          <w:spacing w:val="-2"/>
        </w:rPr>
        <w:t xml:space="preserve"> </w:t>
      </w:r>
      <w:r>
        <w:t>QLS</w:t>
      </w:r>
      <w:r>
        <w:rPr>
          <w:spacing w:val="-2"/>
        </w:rPr>
        <w:t xml:space="preserve"> </w:t>
      </w:r>
      <w:r>
        <w:t>events,</w:t>
      </w:r>
      <w:r>
        <w:rPr>
          <w:spacing w:val="-2"/>
        </w:rPr>
        <w:t xml:space="preserve"> </w:t>
      </w:r>
      <w:r>
        <w:t>ethical</w:t>
      </w:r>
      <w:r>
        <w:rPr>
          <w:spacing w:val="-2"/>
        </w:rPr>
        <w:t xml:space="preserve"> </w:t>
      </w:r>
      <w:r>
        <w:t>guidance</w:t>
      </w:r>
      <w:r>
        <w:rPr>
          <w:spacing w:val="-2"/>
        </w:rPr>
        <w:t xml:space="preserve"> </w:t>
      </w:r>
      <w:r>
        <w:t>and</w:t>
      </w:r>
      <w:r>
        <w:rPr>
          <w:spacing w:val="-2"/>
        </w:rPr>
        <w:t xml:space="preserve"> </w:t>
      </w:r>
      <w:r>
        <w:t>legal</w:t>
      </w:r>
      <w:r>
        <w:rPr>
          <w:spacing w:val="-2"/>
        </w:rPr>
        <w:t xml:space="preserve"> </w:t>
      </w:r>
      <w:r>
        <w:t>policy</w:t>
      </w:r>
      <w:r>
        <w:rPr>
          <w:spacing w:val="-2"/>
        </w:rPr>
        <w:t xml:space="preserve"> </w:t>
      </w:r>
      <w:r>
        <w:t>news</w:t>
      </w:r>
      <w:r>
        <w:rPr>
          <w:spacing w:val="-2"/>
        </w:rPr>
        <w:t xml:space="preserve"> </w:t>
      </w:r>
      <w:r>
        <w:t>that</w:t>
      </w:r>
      <w:r>
        <w:rPr>
          <w:spacing w:val="-2"/>
        </w:rPr>
        <w:t xml:space="preserve"> </w:t>
      </w:r>
      <w:r>
        <w:t>is</w:t>
      </w:r>
      <w:r>
        <w:rPr>
          <w:spacing w:val="-2"/>
        </w:rPr>
        <w:t xml:space="preserve"> </w:t>
      </w:r>
      <w:r>
        <w:t>relevant</w:t>
      </w:r>
      <w:r>
        <w:rPr>
          <w:spacing w:val="-2"/>
        </w:rPr>
        <w:t xml:space="preserve"> </w:t>
      </w:r>
      <w:r>
        <w:t>and</w:t>
      </w:r>
      <w:r>
        <w:rPr>
          <w:spacing w:val="-2"/>
        </w:rPr>
        <w:t xml:space="preserve"> </w:t>
      </w:r>
      <w:r>
        <w:t>up</w:t>
      </w:r>
      <w:r>
        <w:rPr>
          <w:spacing w:val="-2"/>
        </w:rPr>
        <w:t xml:space="preserve"> </w:t>
      </w:r>
      <w:r>
        <w:t>to</w:t>
      </w:r>
      <w:r>
        <w:rPr>
          <w:spacing w:val="-2"/>
        </w:rPr>
        <w:t xml:space="preserve"> </w:t>
      </w:r>
      <w:r>
        <w:t>date, it is a key member benefit.</w:t>
      </w:r>
    </w:p>
    <w:p w14:paraId="0D728BC1" w14:textId="77777777" w:rsidR="00AC6F3C" w:rsidRDefault="00570E88">
      <w:pPr>
        <w:pStyle w:val="BodyText"/>
        <w:spacing w:before="172" w:line="249" w:lineRule="auto"/>
        <w:ind w:left="815"/>
      </w:pPr>
      <w:r>
        <w:t>QLS</w:t>
      </w:r>
      <w:r>
        <w:rPr>
          <w:spacing w:val="-3"/>
        </w:rPr>
        <w:t xml:space="preserve"> </w:t>
      </w:r>
      <w:r>
        <w:t>Update</w:t>
      </w:r>
      <w:r>
        <w:rPr>
          <w:spacing w:val="-3"/>
        </w:rPr>
        <w:t xml:space="preserve"> </w:t>
      </w:r>
      <w:r>
        <w:t>is</w:t>
      </w:r>
      <w:r>
        <w:rPr>
          <w:spacing w:val="-3"/>
        </w:rPr>
        <w:t xml:space="preserve"> </w:t>
      </w:r>
      <w:r>
        <w:t>distributed</w:t>
      </w:r>
      <w:r>
        <w:rPr>
          <w:spacing w:val="-3"/>
        </w:rPr>
        <w:t xml:space="preserve"> </w:t>
      </w:r>
      <w:r>
        <w:t>to</w:t>
      </w:r>
      <w:r>
        <w:rPr>
          <w:spacing w:val="-3"/>
        </w:rPr>
        <w:t xml:space="preserve"> </w:t>
      </w:r>
      <w:r>
        <w:t>approximately</w:t>
      </w:r>
      <w:r>
        <w:rPr>
          <w:spacing w:val="-3"/>
        </w:rPr>
        <w:t xml:space="preserve"> </w:t>
      </w:r>
      <w:r>
        <w:t>12,000</w:t>
      </w:r>
      <w:r>
        <w:rPr>
          <w:spacing w:val="-3"/>
        </w:rPr>
        <w:t xml:space="preserve"> </w:t>
      </w:r>
      <w:r>
        <w:t>members</w:t>
      </w:r>
      <w:r>
        <w:rPr>
          <w:spacing w:val="-3"/>
        </w:rPr>
        <w:t xml:space="preserve"> </w:t>
      </w:r>
      <w:r>
        <w:t>each</w:t>
      </w:r>
      <w:r>
        <w:rPr>
          <w:spacing w:val="-3"/>
        </w:rPr>
        <w:t xml:space="preserve"> </w:t>
      </w:r>
      <w:r>
        <w:t>week</w:t>
      </w:r>
      <w:r>
        <w:rPr>
          <w:spacing w:val="-3"/>
        </w:rPr>
        <w:t xml:space="preserve"> </w:t>
      </w:r>
      <w:r>
        <w:t>and</w:t>
      </w:r>
      <w:r>
        <w:rPr>
          <w:spacing w:val="-3"/>
        </w:rPr>
        <w:t xml:space="preserve"> </w:t>
      </w:r>
      <w:r>
        <w:t>continues</w:t>
      </w:r>
      <w:r>
        <w:rPr>
          <w:spacing w:val="-3"/>
        </w:rPr>
        <w:t xml:space="preserve"> </w:t>
      </w:r>
      <w:r>
        <w:t>to</w:t>
      </w:r>
      <w:r>
        <w:rPr>
          <w:spacing w:val="-3"/>
        </w:rPr>
        <w:t xml:space="preserve"> </w:t>
      </w:r>
      <w:r>
        <w:t>achieve</w:t>
      </w:r>
      <w:r>
        <w:rPr>
          <w:spacing w:val="-3"/>
        </w:rPr>
        <w:t xml:space="preserve"> </w:t>
      </w:r>
      <w:r>
        <w:t>higher than average open rates (above 40%) and click through rates (above 11%).</w:t>
      </w:r>
    </w:p>
    <w:p w14:paraId="7E6811D9" w14:textId="77777777" w:rsidR="00AC6F3C" w:rsidRDefault="00AC6F3C">
      <w:pPr>
        <w:pStyle w:val="BodyText"/>
        <w:spacing w:before="1"/>
        <w:rPr>
          <w:sz w:val="31"/>
        </w:rPr>
      </w:pPr>
    </w:p>
    <w:p w14:paraId="7981AE82" w14:textId="77777777" w:rsidR="00AC6F3C" w:rsidRDefault="00570E88">
      <w:pPr>
        <w:spacing w:before="1"/>
        <w:ind w:left="815"/>
        <w:rPr>
          <w:b/>
          <w:sz w:val="26"/>
        </w:rPr>
      </w:pPr>
      <w:r>
        <w:rPr>
          <w:b/>
          <w:sz w:val="26"/>
        </w:rPr>
        <w:t xml:space="preserve">QLS </w:t>
      </w:r>
      <w:r>
        <w:rPr>
          <w:b/>
          <w:spacing w:val="-2"/>
          <w:sz w:val="26"/>
        </w:rPr>
        <w:t>Proctor</w:t>
      </w:r>
    </w:p>
    <w:p w14:paraId="7F10BB04" w14:textId="77777777" w:rsidR="00AC6F3C" w:rsidRDefault="00570E88">
      <w:pPr>
        <w:pStyle w:val="BodyText"/>
        <w:spacing w:before="167" w:line="249" w:lineRule="auto"/>
        <w:ind w:left="815" w:right="730"/>
      </w:pPr>
      <w:r>
        <w:t>QLS</w:t>
      </w:r>
      <w:r>
        <w:rPr>
          <w:spacing w:val="-3"/>
        </w:rPr>
        <w:t xml:space="preserve"> </w:t>
      </w:r>
      <w:r>
        <w:t>Proctor</w:t>
      </w:r>
      <w:r>
        <w:rPr>
          <w:spacing w:val="-3"/>
        </w:rPr>
        <w:t xml:space="preserve"> </w:t>
      </w:r>
      <w:r>
        <w:t>provides</w:t>
      </w:r>
      <w:r>
        <w:rPr>
          <w:spacing w:val="-3"/>
        </w:rPr>
        <w:t xml:space="preserve"> </w:t>
      </w:r>
      <w:r>
        <w:t>members</w:t>
      </w:r>
      <w:r>
        <w:rPr>
          <w:spacing w:val="-3"/>
        </w:rPr>
        <w:t xml:space="preserve"> </w:t>
      </w:r>
      <w:r>
        <w:t>and</w:t>
      </w:r>
      <w:r>
        <w:rPr>
          <w:spacing w:val="-3"/>
        </w:rPr>
        <w:t xml:space="preserve"> </w:t>
      </w:r>
      <w:r>
        <w:t>practitioners</w:t>
      </w:r>
      <w:r>
        <w:rPr>
          <w:spacing w:val="-3"/>
        </w:rPr>
        <w:t xml:space="preserve"> </w:t>
      </w:r>
      <w:r>
        <w:t>with</w:t>
      </w:r>
      <w:r>
        <w:rPr>
          <w:spacing w:val="-3"/>
        </w:rPr>
        <w:t xml:space="preserve"> </w:t>
      </w:r>
      <w:r>
        <w:t>legal</w:t>
      </w:r>
      <w:r>
        <w:rPr>
          <w:spacing w:val="-3"/>
        </w:rPr>
        <w:t xml:space="preserve"> </w:t>
      </w:r>
      <w:r>
        <w:t>news</w:t>
      </w:r>
      <w:r>
        <w:rPr>
          <w:spacing w:val="-3"/>
        </w:rPr>
        <w:t xml:space="preserve"> </w:t>
      </w:r>
      <w:r>
        <w:t>and</w:t>
      </w:r>
      <w:r>
        <w:rPr>
          <w:spacing w:val="-3"/>
        </w:rPr>
        <w:t xml:space="preserve"> </w:t>
      </w:r>
      <w:r>
        <w:t>views</w:t>
      </w:r>
      <w:r>
        <w:rPr>
          <w:spacing w:val="-3"/>
        </w:rPr>
        <w:t xml:space="preserve"> </w:t>
      </w:r>
      <w:r>
        <w:t>to</w:t>
      </w:r>
      <w:r>
        <w:rPr>
          <w:spacing w:val="-3"/>
        </w:rPr>
        <w:t xml:space="preserve"> </w:t>
      </w:r>
      <w:r>
        <w:t>keep</w:t>
      </w:r>
      <w:r>
        <w:rPr>
          <w:spacing w:val="-3"/>
        </w:rPr>
        <w:t xml:space="preserve"> </w:t>
      </w:r>
      <w:r>
        <w:t>them</w:t>
      </w:r>
      <w:r>
        <w:rPr>
          <w:spacing w:val="-3"/>
        </w:rPr>
        <w:t xml:space="preserve"> </w:t>
      </w:r>
      <w:r>
        <w:t>informed of all aspects of law and legal practice.</w:t>
      </w:r>
    </w:p>
    <w:p w14:paraId="3FE38A28" w14:textId="77777777" w:rsidR="00AC6F3C" w:rsidRDefault="00570E88">
      <w:pPr>
        <w:pStyle w:val="BodyText"/>
        <w:spacing w:before="172" w:line="249" w:lineRule="auto"/>
        <w:ind w:left="815" w:right="730"/>
      </w:pPr>
      <w:r>
        <w:t>The</w:t>
      </w:r>
      <w:r>
        <w:rPr>
          <w:spacing w:val="-3"/>
        </w:rPr>
        <w:t xml:space="preserve"> </w:t>
      </w:r>
      <w:r>
        <w:t>mix</w:t>
      </w:r>
      <w:r>
        <w:rPr>
          <w:spacing w:val="-3"/>
        </w:rPr>
        <w:t xml:space="preserve"> </w:t>
      </w:r>
      <w:r>
        <w:t>of</w:t>
      </w:r>
      <w:r>
        <w:rPr>
          <w:spacing w:val="-3"/>
        </w:rPr>
        <w:t xml:space="preserve"> </w:t>
      </w:r>
      <w:r>
        <w:t>legal</w:t>
      </w:r>
      <w:r>
        <w:rPr>
          <w:spacing w:val="-3"/>
        </w:rPr>
        <w:t xml:space="preserve"> </w:t>
      </w:r>
      <w:r>
        <w:t>news,</w:t>
      </w:r>
      <w:r>
        <w:rPr>
          <w:spacing w:val="-3"/>
        </w:rPr>
        <w:t xml:space="preserve"> </w:t>
      </w:r>
      <w:r>
        <w:t>opinion,</w:t>
      </w:r>
      <w:r>
        <w:rPr>
          <w:spacing w:val="-3"/>
        </w:rPr>
        <w:t xml:space="preserve"> </w:t>
      </w:r>
      <w:r>
        <w:t>legislation</w:t>
      </w:r>
      <w:r>
        <w:rPr>
          <w:spacing w:val="-3"/>
        </w:rPr>
        <w:t xml:space="preserve"> </w:t>
      </w:r>
      <w:r>
        <w:t>updates</w:t>
      </w:r>
      <w:r>
        <w:rPr>
          <w:spacing w:val="-3"/>
        </w:rPr>
        <w:t xml:space="preserve"> </w:t>
      </w:r>
      <w:r>
        <w:t>along</w:t>
      </w:r>
      <w:r>
        <w:rPr>
          <w:spacing w:val="-3"/>
        </w:rPr>
        <w:t xml:space="preserve"> </w:t>
      </w:r>
      <w:r>
        <w:t>with</w:t>
      </w:r>
      <w:r>
        <w:rPr>
          <w:spacing w:val="-3"/>
        </w:rPr>
        <w:t xml:space="preserve"> </w:t>
      </w:r>
      <w:r>
        <w:t>practice</w:t>
      </w:r>
      <w:r>
        <w:rPr>
          <w:spacing w:val="-3"/>
        </w:rPr>
        <w:t xml:space="preserve"> </w:t>
      </w:r>
      <w:r>
        <w:t>support</w:t>
      </w:r>
      <w:r>
        <w:rPr>
          <w:spacing w:val="-3"/>
        </w:rPr>
        <w:t xml:space="preserve"> </w:t>
      </w:r>
      <w:r>
        <w:t>articles</w:t>
      </w:r>
      <w:r>
        <w:rPr>
          <w:spacing w:val="-3"/>
        </w:rPr>
        <w:t xml:space="preserve"> </w:t>
      </w:r>
      <w:r>
        <w:t>is</w:t>
      </w:r>
      <w:r>
        <w:rPr>
          <w:spacing w:val="-3"/>
        </w:rPr>
        <w:t xml:space="preserve"> </w:t>
      </w:r>
      <w:r>
        <w:t>unrivalled in Queensland and firmly cements QLS Proctor as the place to go for the latest information on the legal profession.</w:t>
      </w:r>
    </w:p>
    <w:p w14:paraId="1737E432" w14:textId="77777777" w:rsidR="00AC6F3C" w:rsidRDefault="00570E88">
      <w:pPr>
        <w:pStyle w:val="BodyText"/>
        <w:spacing w:before="172" w:line="249" w:lineRule="auto"/>
        <w:ind w:left="815"/>
      </w:pPr>
      <w:r>
        <w:t>QLS</w:t>
      </w:r>
      <w:r>
        <w:rPr>
          <w:spacing w:val="-3"/>
        </w:rPr>
        <w:t xml:space="preserve"> </w:t>
      </w:r>
      <w:r>
        <w:t>Proctor</w:t>
      </w:r>
      <w:r>
        <w:rPr>
          <w:spacing w:val="-3"/>
        </w:rPr>
        <w:t xml:space="preserve"> </w:t>
      </w:r>
      <w:r>
        <w:t>continues</w:t>
      </w:r>
      <w:r>
        <w:rPr>
          <w:spacing w:val="-3"/>
        </w:rPr>
        <w:t xml:space="preserve"> </w:t>
      </w:r>
      <w:r>
        <w:t>to</w:t>
      </w:r>
      <w:r>
        <w:rPr>
          <w:spacing w:val="-3"/>
        </w:rPr>
        <w:t xml:space="preserve"> </w:t>
      </w:r>
      <w:r>
        <w:t>improve</w:t>
      </w:r>
      <w:r>
        <w:rPr>
          <w:spacing w:val="-3"/>
        </w:rPr>
        <w:t xml:space="preserve"> </w:t>
      </w:r>
      <w:r>
        <w:t>its</w:t>
      </w:r>
      <w:r>
        <w:rPr>
          <w:spacing w:val="-3"/>
        </w:rPr>
        <w:t xml:space="preserve"> </w:t>
      </w:r>
      <w:r>
        <w:t>reach</w:t>
      </w:r>
      <w:r>
        <w:rPr>
          <w:spacing w:val="-3"/>
        </w:rPr>
        <w:t xml:space="preserve"> </w:t>
      </w:r>
      <w:r>
        <w:t>each</w:t>
      </w:r>
      <w:r>
        <w:rPr>
          <w:spacing w:val="-3"/>
        </w:rPr>
        <w:t xml:space="preserve"> </w:t>
      </w:r>
      <w:r>
        <w:t>year.</w:t>
      </w:r>
      <w:r>
        <w:rPr>
          <w:spacing w:val="-3"/>
        </w:rPr>
        <w:t xml:space="preserve"> </w:t>
      </w:r>
      <w:r>
        <w:t>In</w:t>
      </w:r>
      <w:r>
        <w:rPr>
          <w:spacing w:val="-3"/>
        </w:rPr>
        <w:t xml:space="preserve"> </w:t>
      </w:r>
      <w:r>
        <w:t>2022-23,</w:t>
      </w:r>
      <w:r>
        <w:rPr>
          <w:spacing w:val="-3"/>
        </w:rPr>
        <w:t xml:space="preserve"> </w:t>
      </w:r>
      <w:r>
        <w:t>it</w:t>
      </w:r>
      <w:r>
        <w:rPr>
          <w:spacing w:val="-3"/>
        </w:rPr>
        <w:t xml:space="preserve"> </w:t>
      </w:r>
      <w:r>
        <w:t>had</w:t>
      </w:r>
      <w:r>
        <w:rPr>
          <w:spacing w:val="-3"/>
        </w:rPr>
        <w:t xml:space="preserve"> </w:t>
      </w:r>
      <w:r>
        <w:t>297,371</w:t>
      </w:r>
      <w:r>
        <w:rPr>
          <w:spacing w:val="-3"/>
        </w:rPr>
        <w:t xml:space="preserve"> </w:t>
      </w:r>
      <w:r>
        <w:t>users,</w:t>
      </w:r>
      <w:r>
        <w:rPr>
          <w:spacing w:val="-3"/>
        </w:rPr>
        <w:t xml:space="preserve"> </w:t>
      </w:r>
      <w:r>
        <w:t>which</w:t>
      </w:r>
      <w:r>
        <w:rPr>
          <w:spacing w:val="-3"/>
        </w:rPr>
        <w:t xml:space="preserve"> </w:t>
      </w:r>
      <w:r>
        <w:t>is</w:t>
      </w:r>
      <w:r>
        <w:rPr>
          <w:spacing w:val="-3"/>
        </w:rPr>
        <w:t xml:space="preserve"> </w:t>
      </w:r>
      <w:r>
        <w:t>an increase from 2021-22 of 18%.</w:t>
      </w:r>
    </w:p>
    <w:p w14:paraId="563A0677" w14:textId="77777777" w:rsidR="00AC6F3C" w:rsidRDefault="00570E88">
      <w:pPr>
        <w:pStyle w:val="BodyText"/>
        <w:spacing w:before="172" w:line="249" w:lineRule="auto"/>
        <w:ind w:left="815" w:right="112"/>
      </w:pPr>
      <w:r>
        <w:t>To</w:t>
      </w:r>
      <w:r>
        <w:rPr>
          <w:spacing w:val="-5"/>
        </w:rPr>
        <w:t xml:space="preserve"> </w:t>
      </w:r>
      <w:r>
        <w:t>help</w:t>
      </w:r>
      <w:r>
        <w:rPr>
          <w:spacing w:val="-5"/>
        </w:rPr>
        <w:t xml:space="preserve"> </w:t>
      </w:r>
      <w:r>
        <w:t>drive</w:t>
      </w:r>
      <w:r>
        <w:rPr>
          <w:spacing w:val="-5"/>
        </w:rPr>
        <w:t xml:space="preserve"> </w:t>
      </w:r>
      <w:r>
        <w:t>traffic</w:t>
      </w:r>
      <w:r>
        <w:rPr>
          <w:spacing w:val="-5"/>
        </w:rPr>
        <w:t xml:space="preserve"> </w:t>
      </w:r>
      <w:r>
        <w:t>to</w:t>
      </w:r>
      <w:r>
        <w:rPr>
          <w:spacing w:val="-5"/>
        </w:rPr>
        <w:t xml:space="preserve"> </w:t>
      </w:r>
      <w:r>
        <w:t>QLS</w:t>
      </w:r>
      <w:r>
        <w:rPr>
          <w:spacing w:val="-5"/>
        </w:rPr>
        <w:t xml:space="preserve"> </w:t>
      </w:r>
      <w:r>
        <w:t>Proctor,</w:t>
      </w:r>
      <w:r>
        <w:rPr>
          <w:spacing w:val="-8"/>
        </w:rPr>
        <w:t xml:space="preserve"> </w:t>
      </w:r>
      <w:r>
        <w:t>This</w:t>
      </w:r>
      <w:r>
        <w:rPr>
          <w:spacing w:val="-5"/>
        </w:rPr>
        <w:t xml:space="preserve"> </w:t>
      </w:r>
      <w:r>
        <w:t>Week</w:t>
      </w:r>
      <w:r>
        <w:rPr>
          <w:spacing w:val="-5"/>
        </w:rPr>
        <w:t xml:space="preserve"> </w:t>
      </w:r>
      <w:r>
        <w:t>In</w:t>
      </w:r>
      <w:r>
        <w:rPr>
          <w:spacing w:val="-5"/>
        </w:rPr>
        <w:t xml:space="preserve"> </w:t>
      </w:r>
      <w:r>
        <w:t>Proctor</w:t>
      </w:r>
      <w:r>
        <w:rPr>
          <w:spacing w:val="-5"/>
        </w:rPr>
        <w:t xml:space="preserve"> </w:t>
      </w:r>
      <w:r>
        <w:t>–</w:t>
      </w:r>
      <w:r>
        <w:rPr>
          <w:spacing w:val="-5"/>
        </w:rPr>
        <w:t xml:space="preserve"> </w:t>
      </w:r>
      <w:r>
        <w:t>an</w:t>
      </w:r>
      <w:r>
        <w:rPr>
          <w:spacing w:val="-5"/>
        </w:rPr>
        <w:t xml:space="preserve"> </w:t>
      </w:r>
      <w:r>
        <w:t>email</w:t>
      </w:r>
      <w:r>
        <w:rPr>
          <w:spacing w:val="-5"/>
        </w:rPr>
        <w:t xml:space="preserve"> </w:t>
      </w:r>
      <w:r>
        <w:t>newsletter</w:t>
      </w:r>
      <w:r>
        <w:rPr>
          <w:spacing w:val="-5"/>
        </w:rPr>
        <w:t xml:space="preserve"> </w:t>
      </w:r>
      <w:r>
        <w:t>promoting</w:t>
      </w:r>
      <w:r>
        <w:rPr>
          <w:spacing w:val="-5"/>
        </w:rPr>
        <w:t xml:space="preserve"> </w:t>
      </w:r>
      <w:r>
        <w:t>the</w:t>
      </w:r>
      <w:r>
        <w:rPr>
          <w:spacing w:val="-5"/>
        </w:rPr>
        <w:t xml:space="preserve"> </w:t>
      </w:r>
      <w:r>
        <w:t>best</w:t>
      </w:r>
      <w:r>
        <w:rPr>
          <w:spacing w:val="-5"/>
        </w:rPr>
        <w:t xml:space="preserve"> </w:t>
      </w:r>
      <w:r>
        <w:t>articles of the week – is distributed to our membership. This Week in Proctor continues to have above average open and click rates.</w:t>
      </w:r>
    </w:p>
    <w:p w14:paraId="0B16D4D5" w14:textId="77777777" w:rsidR="00AC6F3C" w:rsidRDefault="00AC6F3C">
      <w:pPr>
        <w:spacing w:line="249" w:lineRule="auto"/>
        <w:sectPr w:rsidR="00AC6F3C">
          <w:headerReference w:type="default" r:id="rId154"/>
          <w:footerReference w:type="default" r:id="rId155"/>
          <w:pgSz w:w="11910" w:h="16840"/>
          <w:pgMar w:top="1240" w:right="1160" w:bottom="520" w:left="460" w:header="0" w:footer="336" w:gutter="0"/>
          <w:cols w:space="720"/>
        </w:sectPr>
      </w:pPr>
    </w:p>
    <w:p w14:paraId="05EF9B71" w14:textId="77777777" w:rsidR="00AC6F3C" w:rsidRDefault="00570E88">
      <w:pPr>
        <w:pStyle w:val="Heading3"/>
        <w:spacing w:before="70"/>
      </w:pPr>
      <w:bookmarkStart w:id="70" w:name="Recognising_and_celebrating_our_members"/>
      <w:bookmarkStart w:id="71" w:name="_bookmark25"/>
      <w:bookmarkEnd w:id="70"/>
      <w:bookmarkEnd w:id="71"/>
      <w:proofErr w:type="spellStart"/>
      <w:r>
        <w:lastRenderedPageBreak/>
        <w:t>Recognising</w:t>
      </w:r>
      <w:proofErr w:type="spellEnd"/>
      <w:r>
        <w:rPr>
          <w:spacing w:val="-1"/>
        </w:rPr>
        <w:t xml:space="preserve"> </w:t>
      </w:r>
      <w:r>
        <w:t>and celebrating</w:t>
      </w:r>
      <w:r>
        <w:rPr>
          <w:spacing w:val="-1"/>
        </w:rPr>
        <w:t xml:space="preserve"> </w:t>
      </w:r>
      <w:r>
        <w:t xml:space="preserve">our </w:t>
      </w:r>
      <w:r>
        <w:rPr>
          <w:spacing w:val="-2"/>
        </w:rPr>
        <w:t>members</w:t>
      </w:r>
    </w:p>
    <w:p w14:paraId="542AEA08" w14:textId="77777777" w:rsidR="00AC6F3C" w:rsidRDefault="00570E88">
      <w:pPr>
        <w:pStyle w:val="BodyText"/>
        <w:spacing w:before="155"/>
        <w:ind w:left="815"/>
      </w:pPr>
      <w:r>
        <w:t>The</w:t>
      </w:r>
      <w:r>
        <w:rPr>
          <w:spacing w:val="-2"/>
        </w:rPr>
        <w:t xml:space="preserve"> </w:t>
      </w:r>
      <w:r>
        <w:t>QLS</w:t>
      </w:r>
      <w:r>
        <w:rPr>
          <w:spacing w:val="-14"/>
        </w:rPr>
        <w:t xml:space="preserve"> </w:t>
      </w:r>
      <w:r>
        <w:t>Awards</w:t>
      </w:r>
      <w:r>
        <w:rPr>
          <w:spacing w:val="-2"/>
        </w:rPr>
        <w:t xml:space="preserve"> </w:t>
      </w:r>
      <w:r>
        <w:t>program</w:t>
      </w:r>
      <w:r>
        <w:rPr>
          <w:spacing w:val="-2"/>
        </w:rPr>
        <w:t xml:space="preserve"> </w:t>
      </w:r>
      <w:r>
        <w:t>is</w:t>
      </w:r>
      <w:r>
        <w:rPr>
          <w:spacing w:val="-2"/>
        </w:rPr>
        <w:t xml:space="preserve"> </w:t>
      </w:r>
      <w:r>
        <w:t>an</w:t>
      </w:r>
      <w:r>
        <w:rPr>
          <w:spacing w:val="-2"/>
        </w:rPr>
        <w:t xml:space="preserve"> </w:t>
      </w:r>
      <w:r>
        <w:t>important</w:t>
      </w:r>
      <w:r>
        <w:rPr>
          <w:spacing w:val="-2"/>
        </w:rPr>
        <w:t xml:space="preserve"> </w:t>
      </w:r>
      <w:r>
        <w:t>part</w:t>
      </w:r>
      <w:r>
        <w:rPr>
          <w:spacing w:val="-2"/>
        </w:rPr>
        <w:t xml:space="preserve"> </w:t>
      </w:r>
      <w:r>
        <w:t>of</w:t>
      </w:r>
      <w:r>
        <w:rPr>
          <w:spacing w:val="-2"/>
        </w:rPr>
        <w:t xml:space="preserve"> </w:t>
      </w:r>
      <w:r>
        <w:t>our</w:t>
      </w:r>
      <w:r>
        <w:rPr>
          <w:spacing w:val="-2"/>
        </w:rPr>
        <w:t xml:space="preserve"> </w:t>
      </w:r>
      <w:r>
        <w:t>overall</w:t>
      </w:r>
      <w:r>
        <w:rPr>
          <w:spacing w:val="-2"/>
        </w:rPr>
        <w:t xml:space="preserve"> </w:t>
      </w:r>
      <w:r>
        <w:t>recognition</w:t>
      </w:r>
      <w:r>
        <w:rPr>
          <w:spacing w:val="-1"/>
        </w:rPr>
        <w:t xml:space="preserve"> </w:t>
      </w:r>
      <w:r>
        <w:rPr>
          <w:spacing w:val="-2"/>
        </w:rPr>
        <w:t>program.</w:t>
      </w:r>
    </w:p>
    <w:p w14:paraId="0D6126A7" w14:textId="77777777" w:rsidR="00AC6F3C" w:rsidRDefault="00570E88">
      <w:pPr>
        <w:pStyle w:val="BodyText"/>
        <w:spacing w:before="180" w:line="249" w:lineRule="auto"/>
        <w:ind w:left="815"/>
      </w:pPr>
      <w:r>
        <w:t>Shining</w:t>
      </w:r>
      <w:r>
        <w:rPr>
          <w:spacing w:val="-3"/>
        </w:rPr>
        <w:t xml:space="preserve"> </w:t>
      </w:r>
      <w:r>
        <w:t>a</w:t>
      </w:r>
      <w:r>
        <w:rPr>
          <w:spacing w:val="-3"/>
        </w:rPr>
        <w:t xml:space="preserve"> </w:t>
      </w:r>
      <w:r>
        <w:t>light</w:t>
      </w:r>
      <w:r>
        <w:rPr>
          <w:spacing w:val="-3"/>
        </w:rPr>
        <w:t xml:space="preserve"> </w:t>
      </w:r>
      <w:r>
        <w:t>on</w:t>
      </w:r>
      <w:r>
        <w:rPr>
          <w:spacing w:val="-3"/>
        </w:rPr>
        <w:t xml:space="preserve"> </w:t>
      </w:r>
      <w:r>
        <w:t>the</w:t>
      </w:r>
      <w:r>
        <w:rPr>
          <w:spacing w:val="-3"/>
        </w:rPr>
        <w:t xml:space="preserve"> </w:t>
      </w:r>
      <w:r>
        <w:t>exemplary</w:t>
      </w:r>
      <w:r>
        <w:rPr>
          <w:spacing w:val="-3"/>
        </w:rPr>
        <w:t xml:space="preserve"> </w:t>
      </w:r>
      <w:r>
        <w:t>efforts</w:t>
      </w:r>
      <w:r>
        <w:rPr>
          <w:spacing w:val="-3"/>
        </w:rPr>
        <w:t xml:space="preserve"> </w:t>
      </w:r>
      <w:r>
        <w:t>of</w:t>
      </w:r>
      <w:r>
        <w:rPr>
          <w:spacing w:val="-3"/>
        </w:rPr>
        <w:t xml:space="preserve"> </w:t>
      </w:r>
      <w:r>
        <w:t>Queensland’s</w:t>
      </w:r>
      <w:r>
        <w:rPr>
          <w:spacing w:val="-3"/>
        </w:rPr>
        <w:t xml:space="preserve"> </w:t>
      </w:r>
      <w:r>
        <w:t>legal</w:t>
      </w:r>
      <w:r>
        <w:rPr>
          <w:spacing w:val="-3"/>
        </w:rPr>
        <w:t xml:space="preserve"> </w:t>
      </w:r>
      <w:r>
        <w:t>professionals,</w:t>
      </w:r>
      <w:r>
        <w:rPr>
          <w:spacing w:val="-3"/>
        </w:rPr>
        <w:t xml:space="preserve"> </w:t>
      </w:r>
      <w:r>
        <w:t>the</w:t>
      </w:r>
      <w:r>
        <w:rPr>
          <w:spacing w:val="-3"/>
        </w:rPr>
        <w:t xml:space="preserve"> </w:t>
      </w:r>
      <w:r>
        <w:t>QLS</w:t>
      </w:r>
      <w:r>
        <w:rPr>
          <w:spacing w:val="-3"/>
        </w:rPr>
        <w:t xml:space="preserve"> </w:t>
      </w:r>
      <w:r>
        <w:t>Excellence</w:t>
      </w:r>
      <w:r>
        <w:rPr>
          <w:spacing w:val="-3"/>
        </w:rPr>
        <w:t xml:space="preserve"> </w:t>
      </w:r>
      <w:r>
        <w:t>in</w:t>
      </w:r>
      <w:r>
        <w:rPr>
          <w:spacing w:val="-3"/>
        </w:rPr>
        <w:t xml:space="preserve"> </w:t>
      </w:r>
      <w:r>
        <w:t>Law Awards is the pinnacle of our recognition program.</w:t>
      </w:r>
    </w:p>
    <w:p w14:paraId="63147DCD" w14:textId="77777777" w:rsidR="00AC6F3C" w:rsidRDefault="00570E88">
      <w:pPr>
        <w:pStyle w:val="BodyText"/>
        <w:spacing w:before="172" w:line="249" w:lineRule="auto"/>
        <w:ind w:left="815" w:right="207"/>
      </w:pPr>
      <w:r>
        <w:t>Our</w:t>
      </w:r>
      <w:r>
        <w:rPr>
          <w:spacing w:val="-3"/>
        </w:rPr>
        <w:t xml:space="preserve"> </w:t>
      </w:r>
      <w:r>
        <w:t>awards</w:t>
      </w:r>
      <w:r>
        <w:rPr>
          <w:spacing w:val="-3"/>
        </w:rPr>
        <w:t xml:space="preserve"> </w:t>
      </w:r>
      <w:r>
        <w:t>highlight</w:t>
      </w:r>
      <w:r>
        <w:rPr>
          <w:spacing w:val="-3"/>
        </w:rPr>
        <w:t xml:space="preserve"> </w:t>
      </w:r>
      <w:r>
        <w:t>our</w:t>
      </w:r>
      <w:r>
        <w:rPr>
          <w:spacing w:val="-3"/>
        </w:rPr>
        <w:t xml:space="preserve"> </w:t>
      </w:r>
      <w:r>
        <w:t>members’</w:t>
      </w:r>
      <w:r>
        <w:rPr>
          <w:spacing w:val="-11"/>
        </w:rPr>
        <w:t xml:space="preserve"> </w:t>
      </w:r>
      <w:r>
        <w:t>contribution</w:t>
      </w:r>
      <w:r>
        <w:rPr>
          <w:spacing w:val="-3"/>
        </w:rPr>
        <w:t xml:space="preserve"> </w:t>
      </w:r>
      <w:r>
        <w:t>and</w:t>
      </w:r>
      <w:r>
        <w:rPr>
          <w:spacing w:val="-3"/>
        </w:rPr>
        <w:t xml:space="preserve"> </w:t>
      </w:r>
      <w:r>
        <w:t>commitment</w:t>
      </w:r>
      <w:r>
        <w:rPr>
          <w:spacing w:val="-3"/>
        </w:rPr>
        <w:t xml:space="preserve"> </w:t>
      </w:r>
      <w:r>
        <w:t>to</w:t>
      </w:r>
      <w:r>
        <w:rPr>
          <w:spacing w:val="-3"/>
        </w:rPr>
        <w:t xml:space="preserve"> </w:t>
      </w:r>
      <w:r>
        <w:t>and</w:t>
      </w:r>
      <w:r>
        <w:rPr>
          <w:spacing w:val="-3"/>
        </w:rPr>
        <w:t xml:space="preserve"> </w:t>
      </w:r>
      <w:r>
        <w:t>leadership</w:t>
      </w:r>
      <w:r>
        <w:rPr>
          <w:spacing w:val="-3"/>
        </w:rPr>
        <w:t xml:space="preserve"> </w:t>
      </w:r>
      <w:r>
        <w:t>within</w:t>
      </w:r>
      <w:r>
        <w:rPr>
          <w:spacing w:val="-3"/>
        </w:rPr>
        <w:t xml:space="preserve"> </w:t>
      </w:r>
      <w:r>
        <w:t>the</w:t>
      </w:r>
      <w:r>
        <w:rPr>
          <w:spacing w:val="-3"/>
        </w:rPr>
        <w:t xml:space="preserve"> </w:t>
      </w:r>
      <w:r>
        <w:t>profession. It is a recognition also of the impact their activities have on the profession and the wider community.</w:t>
      </w:r>
    </w:p>
    <w:p w14:paraId="242B16F6" w14:textId="77777777" w:rsidR="00AC6F3C" w:rsidRDefault="00570E88">
      <w:pPr>
        <w:pStyle w:val="BodyText"/>
        <w:spacing w:before="171" w:line="249" w:lineRule="auto"/>
        <w:ind w:left="815"/>
      </w:pPr>
      <w:r>
        <w:t>Winner are announced at various profession celebrations throughout the year, including the Legal Profession</w:t>
      </w:r>
      <w:r>
        <w:rPr>
          <w:spacing w:val="-5"/>
        </w:rPr>
        <w:t xml:space="preserve"> </w:t>
      </w:r>
      <w:r>
        <w:t>Dinner,</w:t>
      </w:r>
      <w:r>
        <w:rPr>
          <w:spacing w:val="-4"/>
        </w:rPr>
        <w:t xml:space="preserve"> </w:t>
      </w:r>
      <w:r>
        <w:t>Legal</w:t>
      </w:r>
      <w:r>
        <w:rPr>
          <w:spacing w:val="-4"/>
        </w:rPr>
        <w:t xml:space="preserve"> </w:t>
      </w:r>
      <w:r>
        <w:t>Profession</w:t>
      </w:r>
      <w:r>
        <w:rPr>
          <w:spacing w:val="-4"/>
        </w:rPr>
        <w:t xml:space="preserve"> </w:t>
      </w:r>
      <w:r>
        <w:t>Breakfast,</w:t>
      </w:r>
      <w:r>
        <w:rPr>
          <w:spacing w:val="-4"/>
        </w:rPr>
        <w:t xml:space="preserve"> </w:t>
      </w:r>
      <w:r>
        <w:t>QLS</w:t>
      </w:r>
      <w:r>
        <w:rPr>
          <w:spacing w:val="-4"/>
        </w:rPr>
        <w:t xml:space="preserve"> </w:t>
      </w:r>
      <w:r>
        <w:t>Excellence</w:t>
      </w:r>
      <w:r>
        <w:rPr>
          <w:spacing w:val="-4"/>
        </w:rPr>
        <w:t xml:space="preserve"> </w:t>
      </w:r>
      <w:r>
        <w:t>in</w:t>
      </w:r>
      <w:r>
        <w:rPr>
          <w:spacing w:val="-4"/>
        </w:rPr>
        <w:t xml:space="preserve"> </w:t>
      </w:r>
      <w:r>
        <w:t>Law</w:t>
      </w:r>
      <w:r>
        <w:rPr>
          <w:spacing w:val="-14"/>
        </w:rPr>
        <w:t xml:space="preserve"> </w:t>
      </w:r>
      <w:r>
        <w:t>Awards</w:t>
      </w:r>
      <w:r>
        <w:rPr>
          <w:spacing w:val="-4"/>
        </w:rPr>
        <w:t xml:space="preserve"> </w:t>
      </w:r>
      <w:r>
        <w:t>Gala</w:t>
      </w:r>
      <w:r>
        <w:rPr>
          <w:spacing w:val="-4"/>
        </w:rPr>
        <w:t xml:space="preserve"> </w:t>
      </w:r>
      <w:r>
        <w:t>and</w:t>
      </w:r>
      <w:r>
        <w:rPr>
          <w:spacing w:val="-4"/>
        </w:rPr>
        <w:t xml:space="preserve"> </w:t>
      </w:r>
      <w:r>
        <w:t>the</w:t>
      </w:r>
      <w:r>
        <w:rPr>
          <w:spacing w:val="-14"/>
        </w:rPr>
        <w:t xml:space="preserve"> </w:t>
      </w:r>
      <w:r>
        <w:t>Accredited Specialist Christmas Breakfast.</w:t>
      </w:r>
    </w:p>
    <w:p w14:paraId="241CAE04" w14:textId="77777777" w:rsidR="00AC6F3C" w:rsidRDefault="00570E88">
      <w:pPr>
        <w:pStyle w:val="BodyText"/>
        <w:spacing w:before="173"/>
        <w:ind w:left="815"/>
      </w:pPr>
      <w:r>
        <w:t>The</w:t>
      </w:r>
      <w:r>
        <w:rPr>
          <w:spacing w:val="-3"/>
        </w:rPr>
        <w:t xml:space="preserve"> </w:t>
      </w:r>
      <w:r>
        <w:t>award</w:t>
      </w:r>
      <w:r>
        <w:rPr>
          <w:spacing w:val="-2"/>
        </w:rPr>
        <w:t xml:space="preserve"> </w:t>
      </w:r>
      <w:r>
        <w:t>winners</w:t>
      </w:r>
      <w:r>
        <w:rPr>
          <w:spacing w:val="-3"/>
        </w:rPr>
        <w:t xml:space="preserve"> </w:t>
      </w:r>
      <w:r>
        <w:t>for</w:t>
      </w:r>
      <w:r>
        <w:rPr>
          <w:spacing w:val="-2"/>
        </w:rPr>
        <w:t xml:space="preserve"> </w:t>
      </w:r>
      <w:r>
        <w:t>2022-23</w:t>
      </w:r>
      <w:r>
        <w:rPr>
          <w:spacing w:val="-2"/>
        </w:rPr>
        <w:t xml:space="preserve"> were:</w:t>
      </w:r>
    </w:p>
    <w:p w14:paraId="7B4C9056" w14:textId="77777777" w:rsidR="00AC6F3C" w:rsidRDefault="00AC6F3C">
      <w:pPr>
        <w:pStyle w:val="BodyText"/>
        <w:spacing w:before="3"/>
        <w:rPr>
          <w:sz w:val="19"/>
        </w:rPr>
      </w:pPr>
    </w:p>
    <w:p w14:paraId="434A3EFC" w14:textId="77777777" w:rsidR="00AC6F3C" w:rsidRDefault="00AC6F3C">
      <w:pPr>
        <w:rPr>
          <w:sz w:val="19"/>
        </w:rPr>
        <w:sectPr w:rsidR="00AC6F3C">
          <w:headerReference w:type="default" r:id="rId156"/>
          <w:footerReference w:type="default" r:id="rId157"/>
          <w:pgSz w:w="11910" w:h="16840"/>
          <w:pgMar w:top="1120" w:right="1160" w:bottom="520" w:left="460" w:header="0" w:footer="336" w:gutter="0"/>
          <w:cols w:space="720"/>
        </w:sectPr>
      </w:pPr>
    </w:p>
    <w:p w14:paraId="125F1A3F" w14:textId="77777777" w:rsidR="00AC6F3C" w:rsidRDefault="00570E88">
      <w:pPr>
        <w:spacing w:before="91"/>
        <w:ind w:left="815"/>
        <w:rPr>
          <w:b/>
          <w:sz w:val="26"/>
        </w:rPr>
      </w:pPr>
      <w:r>
        <w:rPr>
          <w:b/>
          <w:sz w:val="26"/>
        </w:rPr>
        <w:t>President’s</w:t>
      </w:r>
      <w:r>
        <w:rPr>
          <w:b/>
          <w:spacing w:val="-10"/>
          <w:sz w:val="26"/>
        </w:rPr>
        <w:t xml:space="preserve"> </w:t>
      </w:r>
      <w:r>
        <w:rPr>
          <w:b/>
          <w:spacing w:val="-2"/>
          <w:sz w:val="26"/>
        </w:rPr>
        <w:t>Medal</w:t>
      </w:r>
    </w:p>
    <w:p w14:paraId="657EAE6A" w14:textId="77777777" w:rsidR="00AC6F3C" w:rsidRDefault="00570E88">
      <w:pPr>
        <w:spacing w:before="168"/>
        <w:ind w:left="815"/>
        <w:rPr>
          <w:b/>
          <w:sz w:val="20"/>
        </w:rPr>
      </w:pPr>
      <w:r>
        <w:rPr>
          <w:b/>
          <w:sz w:val="20"/>
        </w:rPr>
        <w:t xml:space="preserve">Stephen </w:t>
      </w:r>
      <w:r>
        <w:rPr>
          <w:b/>
          <w:spacing w:val="-4"/>
          <w:sz w:val="20"/>
        </w:rPr>
        <w:t>Page</w:t>
      </w:r>
    </w:p>
    <w:p w14:paraId="47F5F5F1" w14:textId="77777777" w:rsidR="00AC6F3C" w:rsidRDefault="00570E88">
      <w:pPr>
        <w:pStyle w:val="BodyText"/>
        <w:spacing w:before="10"/>
        <w:ind w:left="815"/>
      </w:pPr>
      <w:r>
        <w:t>Page</w:t>
      </w:r>
      <w:r>
        <w:rPr>
          <w:spacing w:val="-3"/>
        </w:rPr>
        <w:t xml:space="preserve"> </w:t>
      </w:r>
      <w:r>
        <w:rPr>
          <w:spacing w:val="-2"/>
        </w:rPr>
        <w:t>Provan</w:t>
      </w:r>
    </w:p>
    <w:p w14:paraId="41E90BCC" w14:textId="77777777" w:rsidR="00AC6F3C" w:rsidRDefault="00AC6F3C">
      <w:pPr>
        <w:pStyle w:val="BodyText"/>
        <w:spacing w:before="9"/>
        <w:rPr>
          <w:sz w:val="31"/>
        </w:rPr>
      </w:pPr>
    </w:p>
    <w:p w14:paraId="24766482" w14:textId="77777777" w:rsidR="00AC6F3C" w:rsidRDefault="00570E88">
      <w:pPr>
        <w:ind w:left="815"/>
        <w:rPr>
          <w:b/>
          <w:sz w:val="26"/>
        </w:rPr>
      </w:pPr>
      <w:r>
        <w:rPr>
          <w:b/>
          <w:sz w:val="26"/>
        </w:rPr>
        <w:t>Access</w:t>
      </w:r>
      <w:r>
        <w:rPr>
          <w:b/>
          <w:spacing w:val="-3"/>
          <w:sz w:val="26"/>
        </w:rPr>
        <w:t xml:space="preserve"> </w:t>
      </w:r>
      <w:r>
        <w:rPr>
          <w:b/>
          <w:sz w:val="26"/>
        </w:rPr>
        <w:t>to</w:t>
      </w:r>
      <w:r>
        <w:rPr>
          <w:b/>
          <w:spacing w:val="-2"/>
          <w:sz w:val="26"/>
        </w:rPr>
        <w:t xml:space="preserve"> Justice</w:t>
      </w:r>
    </w:p>
    <w:p w14:paraId="6CFA8912" w14:textId="77777777" w:rsidR="00AC6F3C" w:rsidRDefault="00570E88">
      <w:pPr>
        <w:spacing w:before="168"/>
        <w:ind w:left="815"/>
        <w:rPr>
          <w:b/>
          <w:sz w:val="20"/>
        </w:rPr>
      </w:pPr>
      <w:r>
        <w:rPr>
          <w:b/>
          <w:sz w:val="20"/>
        </w:rPr>
        <w:t xml:space="preserve">Bill Mitchell </w:t>
      </w:r>
      <w:r>
        <w:rPr>
          <w:b/>
          <w:spacing w:val="-5"/>
          <w:sz w:val="20"/>
        </w:rPr>
        <w:t>OAM</w:t>
      </w:r>
    </w:p>
    <w:p w14:paraId="62695A11" w14:textId="77777777" w:rsidR="00AC6F3C" w:rsidRDefault="00570E88">
      <w:pPr>
        <w:pStyle w:val="BodyText"/>
        <w:spacing w:before="10"/>
        <w:ind w:left="815"/>
      </w:pPr>
      <w:r>
        <w:rPr>
          <w:spacing w:val="-2"/>
        </w:rPr>
        <w:t>Townsville</w:t>
      </w:r>
      <w:r>
        <w:rPr>
          <w:spacing w:val="3"/>
        </w:rPr>
        <w:t xml:space="preserve"> </w:t>
      </w:r>
      <w:r>
        <w:rPr>
          <w:spacing w:val="-2"/>
        </w:rPr>
        <w:t>Community</w:t>
      </w:r>
      <w:r>
        <w:rPr>
          <w:spacing w:val="4"/>
        </w:rPr>
        <w:t xml:space="preserve"> </w:t>
      </w:r>
      <w:r>
        <w:rPr>
          <w:spacing w:val="-5"/>
        </w:rPr>
        <w:t>Law</w:t>
      </w:r>
    </w:p>
    <w:p w14:paraId="7EB138FB" w14:textId="77777777" w:rsidR="00AC6F3C" w:rsidRDefault="00AC6F3C">
      <w:pPr>
        <w:pStyle w:val="BodyText"/>
        <w:spacing w:before="9"/>
        <w:rPr>
          <w:sz w:val="31"/>
        </w:rPr>
      </w:pPr>
    </w:p>
    <w:p w14:paraId="6FE3EA38" w14:textId="77777777" w:rsidR="00AC6F3C" w:rsidRDefault="00570E88">
      <w:pPr>
        <w:ind w:left="815"/>
        <w:rPr>
          <w:b/>
          <w:sz w:val="26"/>
        </w:rPr>
      </w:pPr>
      <w:r>
        <w:rPr>
          <w:b/>
          <w:sz w:val="26"/>
        </w:rPr>
        <w:t>Agnes</w:t>
      </w:r>
      <w:r>
        <w:rPr>
          <w:b/>
          <w:spacing w:val="-7"/>
          <w:sz w:val="26"/>
        </w:rPr>
        <w:t xml:space="preserve"> </w:t>
      </w:r>
      <w:r>
        <w:rPr>
          <w:b/>
          <w:sz w:val="26"/>
        </w:rPr>
        <w:t>McWhinney</w:t>
      </w:r>
      <w:r>
        <w:rPr>
          <w:b/>
          <w:spacing w:val="-15"/>
          <w:sz w:val="26"/>
        </w:rPr>
        <w:t xml:space="preserve"> </w:t>
      </w:r>
      <w:r>
        <w:rPr>
          <w:b/>
          <w:spacing w:val="-2"/>
          <w:sz w:val="26"/>
        </w:rPr>
        <w:t>Award</w:t>
      </w:r>
    </w:p>
    <w:p w14:paraId="159D5C0F" w14:textId="77777777" w:rsidR="00AC6F3C" w:rsidRDefault="00570E88">
      <w:pPr>
        <w:spacing w:before="168"/>
        <w:ind w:left="815"/>
        <w:rPr>
          <w:b/>
          <w:sz w:val="20"/>
        </w:rPr>
      </w:pPr>
      <w:r>
        <w:rPr>
          <w:b/>
          <w:sz w:val="20"/>
        </w:rPr>
        <w:t>Clarissa</w:t>
      </w:r>
      <w:r>
        <w:rPr>
          <w:b/>
          <w:spacing w:val="-7"/>
          <w:sz w:val="20"/>
        </w:rPr>
        <w:t xml:space="preserve"> </w:t>
      </w:r>
      <w:proofErr w:type="spellStart"/>
      <w:r>
        <w:rPr>
          <w:b/>
          <w:spacing w:val="-2"/>
          <w:sz w:val="20"/>
        </w:rPr>
        <w:t>Rayward</w:t>
      </w:r>
      <w:proofErr w:type="spellEnd"/>
    </w:p>
    <w:p w14:paraId="50E16CB6" w14:textId="77777777" w:rsidR="00AC6F3C" w:rsidRDefault="00570E88">
      <w:pPr>
        <w:pStyle w:val="BodyText"/>
        <w:spacing w:before="10" w:line="249" w:lineRule="auto"/>
        <w:ind w:left="815" w:right="1138"/>
      </w:pPr>
      <w:r>
        <w:t>Brisbane</w:t>
      </w:r>
      <w:r>
        <w:rPr>
          <w:spacing w:val="-13"/>
        </w:rPr>
        <w:t xml:space="preserve"> </w:t>
      </w:r>
      <w:r>
        <w:t>Family</w:t>
      </w:r>
      <w:r>
        <w:rPr>
          <w:spacing w:val="-13"/>
        </w:rPr>
        <w:t xml:space="preserve"> </w:t>
      </w:r>
      <w:r>
        <w:t>Law</w:t>
      </w:r>
      <w:r>
        <w:rPr>
          <w:spacing w:val="-13"/>
        </w:rPr>
        <w:t xml:space="preserve"> </w:t>
      </w:r>
      <w:r>
        <w:t>Centre/ Happy Lawyer Happy Life</w:t>
      </w:r>
    </w:p>
    <w:p w14:paraId="731463F9" w14:textId="77777777" w:rsidR="00AC6F3C" w:rsidRDefault="00AC6F3C">
      <w:pPr>
        <w:pStyle w:val="BodyText"/>
        <w:rPr>
          <w:sz w:val="31"/>
        </w:rPr>
      </w:pPr>
    </w:p>
    <w:p w14:paraId="704C29D6" w14:textId="77777777" w:rsidR="00AC6F3C" w:rsidRDefault="00570E88">
      <w:pPr>
        <w:spacing w:before="1"/>
        <w:ind w:left="815"/>
        <w:rPr>
          <w:b/>
          <w:sz w:val="26"/>
        </w:rPr>
      </w:pPr>
      <w:r>
        <w:rPr>
          <w:b/>
          <w:sz w:val="26"/>
        </w:rPr>
        <w:t xml:space="preserve">Emerging </w:t>
      </w:r>
      <w:r>
        <w:rPr>
          <w:b/>
          <w:spacing w:val="-2"/>
          <w:sz w:val="26"/>
        </w:rPr>
        <w:t>Leader</w:t>
      </w:r>
    </w:p>
    <w:p w14:paraId="34EDE39D" w14:textId="77777777" w:rsidR="00AC6F3C" w:rsidRDefault="00570E88">
      <w:pPr>
        <w:spacing w:before="167"/>
        <w:ind w:left="815"/>
        <w:rPr>
          <w:b/>
          <w:sz w:val="20"/>
        </w:rPr>
      </w:pPr>
      <w:r>
        <w:rPr>
          <w:b/>
          <w:sz w:val="20"/>
        </w:rPr>
        <w:t>Tilé</w:t>
      </w:r>
      <w:r>
        <w:rPr>
          <w:b/>
          <w:spacing w:val="-6"/>
          <w:sz w:val="20"/>
        </w:rPr>
        <w:t xml:space="preserve"> </w:t>
      </w:r>
      <w:r>
        <w:rPr>
          <w:b/>
          <w:spacing w:val="-5"/>
          <w:sz w:val="20"/>
        </w:rPr>
        <w:t>Imo</w:t>
      </w:r>
    </w:p>
    <w:p w14:paraId="2541D507" w14:textId="77777777" w:rsidR="00AC6F3C" w:rsidRDefault="00570E88">
      <w:pPr>
        <w:pStyle w:val="BodyText"/>
        <w:spacing w:before="10"/>
        <w:ind w:left="815"/>
      </w:pPr>
      <w:r>
        <w:t>Caxton</w:t>
      </w:r>
      <w:r>
        <w:rPr>
          <w:spacing w:val="-5"/>
        </w:rPr>
        <w:t xml:space="preserve"> </w:t>
      </w:r>
      <w:r>
        <w:t>Legal</w:t>
      </w:r>
      <w:r>
        <w:rPr>
          <w:spacing w:val="-4"/>
        </w:rPr>
        <w:t xml:space="preserve"> </w:t>
      </w:r>
      <w:r>
        <w:rPr>
          <w:spacing w:val="-2"/>
        </w:rPr>
        <w:t>Centre</w:t>
      </w:r>
    </w:p>
    <w:p w14:paraId="699642F6" w14:textId="77777777" w:rsidR="00AC6F3C" w:rsidRDefault="00AC6F3C">
      <w:pPr>
        <w:pStyle w:val="BodyText"/>
        <w:spacing w:before="9"/>
        <w:rPr>
          <w:sz w:val="31"/>
        </w:rPr>
      </w:pPr>
    </w:p>
    <w:p w14:paraId="4493B3E7" w14:textId="77777777" w:rsidR="00AC6F3C" w:rsidRDefault="00570E88">
      <w:pPr>
        <w:ind w:left="815"/>
        <w:rPr>
          <w:b/>
          <w:sz w:val="26"/>
        </w:rPr>
      </w:pPr>
      <w:r>
        <w:rPr>
          <w:b/>
          <w:sz w:val="26"/>
        </w:rPr>
        <w:t>First</w:t>
      </w:r>
      <w:r>
        <w:rPr>
          <w:b/>
          <w:spacing w:val="-4"/>
          <w:sz w:val="26"/>
        </w:rPr>
        <w:t xml:space="preserve"> </w:t>
      </w:r>
      <w:r>
        <w:rPr>
          <w:b/>
          <w:sz w:val="26"/>
        </w:rPr>
        <w:t>Nations</w:t>
      </w:r>
      <w:r>
        <w:rPr>
          <w:b/>
          <w:spacing w:val="-3"/>
          <w:sz w:val="26"/>
        </w:rPr>
        <w:t xml:space="preserve"> </w:t>
      </w:r>
      <w:r>
        <w:rPr>
          <w:b/>
          <w:sz w:val="26"/>
        </w:rPr>
        <w:t>Solicitor</w:t>
      </w:r>
      <w:r>
        <w:rPr>
          <w:b/>
          <w:spacing w:val="-3"/>
          <w:sz w:val="26"/>
        </w:rPr>
        <w:t xml:space="preserve"> </w:t>
      </w:r>
      <w:r>
        <w:rPr>
          <w:b/>
          <w:sz w:val="26"/>
        </w:rPr>
        <w:t>of</w:t>
      </w:r>
      <w:r>
        <w:rPr>
          <w:b/>
          <w:spacing w:val="-4"/>
          <w:sz w:val="26"/>
        </w:rPr>
        <w:t xml:space="preserve"> </w:t>
      </w:r>
      <w:r>
        <w:rPr>
          <w:b/>
          <w:sz w:val="26"/>
        </w:rPr>
        <w:t>the</w:t>
      </w:r>
      <w:r>
        <w:rPr>
          <w:b/>
          <w:spacing w:val="-8"/>
          <w:sz w:val="26"/>
        </w:rPr>
        <w:t xml:space="preserve"> </w:t>
      </w:r>
      <w:r>
        <w:rPr>
          <w:b/>
          <w:spacing w:val="-4"/>
          <w:sz w:val="26"/>
        </w:rPr>
        <w:t>Year</w:t>
      </w:r>
    </w:p>
    <w:p w14:paraId="71698B44" w14:textId="77777777" w:rsidR="00AC6F3C" w:rsidRDefault="00570E88">
      <w:pPr>
        <w:spacing w:before="168"/>
        <w:ind w:left="815"/>
        <w:rPr>
          <w:b/>
          <w:sz w:val="20"/>
        </w:rPr>
      </w:pPr>
      <w:r>
        <w:rPr>
          <w:b/>
          <w:sz w:val="20"/>
        </w:rPr>
        <w:t>Nikita</w:t>
      </w:r>
      <w:r>
        <w:rPr>
          <w:b/>
          <w:spacing w:val="-5"/>
          <w:sz w:val="20"/>
        </w:rPr>
        <w:t xml:space="preserve"> </w:t>
      </w:r>
      <w:r>
        <w:rPr>
          <w:b/>
          <w:spacing w:val="-2"/>
          <w:sz w:val="20"/>
        </w:rPr>
        <w:t>Sellin</w:t>
      </w:r>
    </w:p>
    <w:p w14:paraId="7910B48C" w14:textId="77777777" w:rsidR="00AC6F3C" w:rsidRDefault="00570E88">
      <w:pPr>
        <w:pStyle w:val="BodyText"/>
        <w:spacing w:before="10" w:line="249" w:lineRule="auto"/>
        <w:ind w:left="815" w:right="4"/>
      </w:pPr>
      <w:proofErr w:type="spellStart"/>
      <w:r>
        <w:t>Junkurilaka</w:t>
      </w:r>
      <w:proofErr w:type="spellEnd"/>
      <w:r>
        <w:rPr>
          <w:spacing w:val="-10"/>
        </w:rPr>
        <w:t xml:space="preserve"> </w:t>
      </w:r>
      <w:r>
        <w:t>Justice</w:t>
      </w:r>
      <w:r>
        <w:rPr>
          <w:spacing w:val="-10"/>
        </w:rPr>
        <w:t xml:space="preserve"> </w:t>
      </w:r>
      <w:r>
        <w:t>Group</w:t>
      </w:r>
      <w:r>
        <w:rPr>
          <w:spacing w:val="-10"/>
        </w:rPr>
        <w:t xml:space="preserve"> </w:t>
      </w:r>
      <w:r>
        <w:t>Mornington</w:t>
      </w:r>
      <w:r>
        <w:rPr>
          <w:spacing w:val="-10"/>
        </w:rPr>
        <w:t xml:space="preserve"> </w:t>
      </w:r>
      <w:r>
        <w:t>Island and Atherton Tablelands Law</w:t>
      </w:r>
    </w:p>
    <w:p w14:paraId="10EB6103" w14:textId="77777777" w:rsidR="00AC6F3C" w:rsidRDefault="00AC6F3C">
      <w:pPr>
        <w:pStyle w:val="BodyText"/>
        <w:spacing w:before="1"/>
        <w:rPr>
          <w:sz w:val="31"/>
        </w:rPr>
      </w:pPr>
    </w:p>
    <w:p w14:paraId="30F57733" w14:textId="77777777" w:rsidR="00AC6F3C" w:rsidRDefault="00570E88">
      <w:pPr>
        <w:ind w:left="815"/>
        <w:rPr>
          <w:b/>
          <w:sz w:val="26"/>
        </w:rPr>
      </w:pPr>
      <w:r>
        <w:rPr>
          <w:b/>
          <w:sz w:val="26"/>
        </w:rPr>
        <w:t>First</w:t>
      </w:r>
      <w:r>
        <w:rPr>
          <w:b/>
          <w:spacing w:val="-3"/>
          <w:sz w:val="26"/>
        </w:rPr>
        <w:t xml:space="preserve"> </w:t>
      </w:r>
      <w:r>
        <w:rPr>
          <w:b/>
          <w:sz w:val="26"/>
        </w:rPr>
        <w:t>Nations</w:t>
      </w:r>
      <w:r>
        <w:rPr>
          <w:b/>
          <w:spacing w:val="-3"/>
          <w:sz w:val="26"/>
        </w:rPr>
        <w:t xml:space="preserve"> </w:t>
      </w:r>
      <w:r>
        <w:rPr>
          <w:b/>
          <w:spacing w:val="-2"/>
          <w:sz w:val="26"/>
        </w:rPr>
        <w:t>Student</w:t>
      </w:r>
    </w:p>
    <w:p w14:paraId="53EAA177" w14:textId="77777777" w:rsidR="00AC6F3C" w:rsidRDefault="00570E88">
      <w:pPr>
        <w:spacing w:before="167"/>
        <w:ind w:left="815"/>
        <w:rPr>
          <w:b/>
          <w:sz w:val="20"/>
        </w:rPr>
      </w:pPr>
      <w:r>
        <w:rPr>
          <w:b/>
          <w:sz w:val="20"/>
        </w:rPr>
        <w:t xml:space="preserve">Cameron </w:t>
      </w:r>
      <w:r>
        <w:rPr>
          <w:b/>
          <w:spacing w:val="-2"/>
          <w:sz w:val="20"/>
        </w:rPr>
        <w:t>Downey</w:t>
      </w:r>
    </w:p>
    <w:p w14:paraId="6B412613" w14:textId="77777777" w:rsidR="00AC6F3C" w:rsidRDefault="00570E88">
      <w:pPr>
        <w:pStyle w:val="BodyText"/>
        <w:spacing w:before="10"/>
        <w:ind w:left="815"/>
      </w:pPr>
      <w:r>
        <w:t>Queensland</w:t>
      </w:r>
      <w:r>
        <w:rPr>
          <w:spacing w:val="-4"/>
        </w:rPr>
        <w:t xml:space="preserve"> </w:t>
      </w:r>
      <w:r>
        <w:t>University</w:t>
      </w:r>
      <w:r>
        <w:rPr>
          <w:spacing w:val="-3"/>
        </w:rPr>
        <w:t xml:space="preserve"> </w:t>
      </w:r>
      <w:r>
        <w:t>of</w:t>
      </w:r>
      <w:r>
        <w:rPr>
          <w:spacing w:val="-6"/>
        </w:rPr>
        <w:t xml:space="preserve"> </w:t>
      </w:r>
      <w:r>
        <w:rPr>
          <w:spacing w:val="-2"/>
        </w:rPr>
        <w:t>Technology</w:t>
      </w:r>
    </w:p>
    <w:p w14:paraId="3D5E8A8F" w14:textId="77777777" w:rsidR="00AC6F3C" w:rsidRDefault="00AC6F3C">
      <w:pPr>
        <w:pStyle w:val="BodyText"/>
        <w:spacing w:before="10"/>
        <w:rPr>
          <w:sz w:val="31"/>
        </w:rPr>
      </w:pPr>
    </w:p>
    <w:p w14:paraId="6EF659E7" w14:textId="77777777" w:rsidR="00AC6F3C" w:rsidRDefault="00570E88">
      <w:pPr>
        <w:ind w:left="815"/>
        <w:rPr>
          <w:b/>
          <w:sz w:val="26"/>
        </w:rPr>
      </w:pPr>
      <w:r>
        <w:rPr>
          <w:b/>
          <w:sz w:val="26"/>
        </w:rPr>
        <w:t>In-House</w:t>
      </w:r>
      <w:r>
        <w:rPr>
          <w:b/>
          <w:spacing w:val="-3"/>
          <w:sz w:val="26"/>
        </w:rPr>
        <w:t xml:space="preserve"> </w:t>
      </w:r>
      <w:r>
        <w:rPr>
          <w:b/>
          <w:sz w:val="26"/>
        </w:rPr>
        <w:t>Counsel</w:t>
      </w:r>
      <w:r>
        <w:rPr>
          <w:b/>
          <w:spacing w:val="-2"/>
          <w:sz w:val="26"/>
        </w:rPr>
        <w:t xml:space="preserve"> </w:t>
      </w:r>
      <w:r>
        <w:rPr>
          <w:b/>
          <w:sz w:val="26"/>
        </w:rPr>
        <w:t>of</w:t>
      </w:r>
      <w:r>
        <w:rPr>
          <w:b/>
          <w:spacing w:val="-2"/>
          <w:sz w:val="26"/>
        </w:rPr>
        <w:t xml:space="preserve"> </w:t>
      </w:r>
      <w:r>
        <w:rPr>
          <w:b/>
          <w:sz w:val="26"/>
        </w:rPr>
        <w:t>the</w:t>
      </w:r>
      <w:r>
        <w:rPr>
          <w:b/>
          <w:spacing w:val="-7"/>
          <w:sz w:val="26"/>
        </w:rPr>
        <w:t xml:space="preserve"> </w:t>
      </w:r>
      <w:r>
        <w:rPr>
          <w:b/>
          <w:spacing w:val="-4"/>
          <w:sz w:val="26"/>
        </w:rPr>
        <w:t>Year</w:t>
      </w:r>
    </w:p>
    <w:p w14:paraId="7BE3D778" w14:textId="77777777" w:rsidR="00AC6F3C" w:rsidRDefault="00570E88">
      <w:pPr>
        <w:spacing w:before="167"/>
        <w:ind w:left="815"/>
        <w:rPr>
          <w:b/>
          <w:sz w:val="20"/>
        </w:rPr>
      </w:pPr>
      <w:r>
        <w:rPr>
          <w:b/>
          <w:sz w:val="20"/>
        </w:rPr>
        <w:t>Claudia</w:t>
      </w:r>
      <w:r>
        <w:rPr>
          <w:b/>
          <w:spacing w:val="-6"/>
          <w:sz w:val="20"/>
        </w:rPr>
        <w:t xml:space="preserve"> </w:t>
      </w:r>
      <w:r>
        <w:rPr>
          <w:b/>
          <w:spacing w:val="-2"/>
          <w:sz w:val="20"/>
        </w:rPr>
        <w:t>Cameron</w:t>
      </w:r>
    </w:p>
    <w:p w14:paraId="6ECE0DCD" w14:textId="77777777" w:rsidR="00AC6F3C" w:rsidRDefault="00570E88">
      <w:pPr>
        <w:pStyle w:val="BodyText"/>
        <w:spacing w:before="10"/>
        <w:ind w:left="815"/>
      </w:pPr>
      <w:r>
        <w:t xml:space="preserve">CS </w:t>
      </w:r>
      <w:r>
        <w:rPr>
          <w:spacing w:val="-2"/>
        </w:rPr>
        <w:t>Energy</w:t>
      </w:r>
    </w:p>
    <w:p w14:paraId="71F4715F" w14:textId="77777777" w:rsidR="00AC6F3C" w:rsidRDefault="00AC6F3C">
      <w:pPr>
        <w:pStyle w:val="BodyText"/>
        <w:spacing w:before="9"/>
        <w:rPr>
          <w:sz w:val="31"/>
        </w:rPr>
      </w:pPr>
    </w:p>
    <w:p w14:paraId="49AE4C1D" w14:textId="77777777" w:rsidR="00AC6F3C" w:rsidRDefault="00570E88">
      <w:pPr>
        <w:spacing w:before="1"/>
        <w:ind w:left="815"/>
        <w:rPr>
          <w:b/>
          <w:sz w:val="26"/>
        </w:rPr>
      </w:pPr>
      <w:r>
        <w:rPr>
          <w:b/>
          <w:sz w:val="26"/>
        </w:rPr>
        <w:t>Outstanding</w:t>
      </w:r>
      <w:r>
        <w:rPr>
          <w:b/>
          <w:spacing w:val="-10"/>
          <w:sz w:val="26"/>
        </w:rPr>
        <w:t xml:space="preserve"> </w:t>
      </w:r>
      <w:r>
        <w:rPr>
          <w:b/>
          <w:sz w:val="26"/>
        </w:rPr>
        <w:t xml:space="preserve">Accredited </w:t>
      </w:r>
      <w:r>
        <w:rPr>
          <w:b/>
          <w:spacing w:val="-2"/>
          <w:sz w:val="26"/>
        </w:rPr>
        <w:t>Specialist</w:t>
      </w:r>
    </w:p>
    <w:p w14:paraId="3EAABF17" w14:textId="77777777" w:rsidR="00AC6F3C" w:rsidRDefault="00570E88">
      <w:pPr>
        <w:spacing w:before="167"/>
        <w:ind w:left="815"/>
        <w:rPr>
          <w:b/>
          <w:sz w:val="20"/>
        </w:rPr>
      </w:pPr>
      <w:r>
        <w:rPr>
          <w:b/>
          <w:sz w:val="20"/>
        </w:rPr>
        <w:t>Catherine</w:t>
      </w:r>
      <w:r>
        <w:rPr>
          <w:b/>
          <w:spacing w:val="-8"/>
          <w:sz w:val="20"/>
        </w:rPr>
        <w:t xml:space="preserve"> </w:t>
      </w:r>
      <w:r>
        <w:rPr>
          <w:b/>
          <w:spacing w:val="-2"/>
          <w:sz w:val="20"/>
        </w:rPr>
        <w:t>Cheek</w:t>
      </w:r>
    </w:p>
    <w:p w14:paraId="3771A4EE" w14:textId="77777777" w:rsidR="00AC6F3C" w:rsidRDefault="00570E88">
      <w:pPr>
        <w:pStyle w:val="BodyText"/>
        <w:spacing w:before="10"/>
        <w:ind w:left="815"/>
      </w:pPr>
      <w:r>
        <w:t xml:space="preserve">Kennedy </w:t>
      </w:r>
      <w:r>
        <w:rPr>
          <w:spacing w:val="-2"/>
        </w:rPr>
        <w:t>Spanner</w:t>
      </w:r>
    </w:p>
    <w:p w14:paraId="1DD1148E" w14:textId="77777777" w:rsidR="00AC6F3C" w:rsidRDefault="00570E88">
      <w:pPr>
        <w:spacing w:before="91" w:line="249" w:lineRule="auto"/>
        <w:ind w:left="532" w:right="98"/>
        <w:rPr>
          <w:b/>
          <w:sz w:val="26"/>
        </w:rPr>
      </w:pPr>
      <w:r>
        <w:br w:type="column"/>
      </w:r>
      <w:r>
        <w:rPr>
          <w:b/>
          <w:sz w:val="26"/>
        </w:rPr>
        <w:t>Queensland</w:t>
      </w:r>
      <w:r>
        <w:rPr>
          <w:b/>
          <w:spacing w:val="-12"/>
          <w:sz w:val="26"/>
        </w:rPr>
        <w:t xml:space="preserve"> </w:t>
      </w:r>
      <w:r>
        <w:rPr>
          <w:b/>
          <w:sz w:val="26"/>
        </w:rPr>
        <w:t>Solicitor</w:t>
      </w:r>
      <w:r>
        <w:rPr>
          <w:b/>
          <w:spacing w:val="-12"/>
          <w:sz w:val="26"/>
        </w:rPr>
        <w:t xml:space="preserve"> </w:t>
      </w:r>
      <w:r>
        <w:rPr>
          <w:b/>
          <w:sz w:val="26"/>
        </w:rPr>
        <w:t>of</w:t>
      </w:r>
      <w:r>
        <w:rPr>
          <w:b/>
          <w:spacing w:val="-12"/>
          <w:sz w:val="26"/>
        </w:rPr>
        <w:t xml:space="preserve"> </w:t>
      </w:r>
      <w:r>
        <w:rPr>
          <w:b/>
          <w:sz w:val="26"/>
        </w:rPr>
        <w:t>the</w:t>
      </w:r>
      <w:r>
        <w:rPr>
          <w:b/>
          <w:spacing w:val="-17"/>
          <w:sz w:val="26"/>
        </w:rPr>
        <w:t xml:space="preserve"> </w:t>
      </w:r>
      <w:r>
        <w:rPr>
          <w:b/>
          <w:sz w:val="26"/>
        </w:rPr>
        <w:t>Year (Sole Practitioner)</w:t>
      </w:r>
    </w:p>
    <w:p w14:paraId="790E5A1C" w14:textId="77777777" w:rsidR="00AC6F3C" w:rsidRDefault="00570E88">
      <w:pPr>
        <w:spacing w:before="157"/>
        <w:ind w:left="532"/>
        <w:rPr>
          <w:b/>
          <w:sz w:val="20"/>
        </w:rPr>
      </w:pPr>
      <w:r>
        <w:rPr>
          <w:b/>
          <w:sz w:val="20"/>
        </w:rPr>
        <w:t xml:space="preserve">Rebekah </w:t>
      </w:r>
      <w:r>
        <w:rPr>
          <w:b/>
          <w:spacing w:val="-2"/>
          <w:sz w:val="20"/>
        </w:rPr>
        <w:t>O’Sullivan</w:t>
      </w:r>
    </w:p>
    <w:p w14:paraId="36A3CBCC" w14:textId="77777777" w:rsidR="00AC6F3C" w:rsidRDefault="00570E88">
      <w:pPr>
        <w:pStyle w:val="BodyText"/>
        <w:spacing w:before="10"/>
        <w:ind w:left="532"/>
      </w:pPr>
      <w:proofErr w:type="spellStart"/>
      <w:r>
        <w:t>Tribeth</w:t>
      </w:r>
      <w:proofErr w:type="spellEnd"/>
      <w:r>
        <w:rPr>
          <w:spacing w:val="-13"/>
        </w:rPr>
        <w:t xml:space="preserve"> </w:t>
      </w:r>
      <w:r>
        <w:rPr>
          <w:spacing w:val="-2"/>
        </w:rPr>
        <w:t>Group</w:t>
      </w:r>
    </w:p>
    <w:p w14:paraId="44CE330A" w14:textId="77777777" w:rsidR="00AC6F3C" w:rsidRDefault="00AC6F3C">
      <w:pPr>
        <w:pStyle w:val="BodyText"/>
        <w:spacing w:before="9"/>
        <w:rPr>
          <w:sz w:val="31"/>
        </w:rPr>
      </w:pPr>
    </w:p>
    <w:p w14:paraId="3588EFFC" w14:textId="77777777" w:rsidR="00AC6F3C" w:rsidRDefault="00570E88">
      <w:pPr>
        <w:spacing w:line="249" w:lineRule="auto"/>
        <w:ind w:left="532" w:right="98"/>
        <w:rPr>
          <w:b/>
          <w:sz w:val="26"/>
        </w:rPr>
      </w:pPr>
      <w:r>
        <w:rPr>
          <w:b/>
          <w:sz w:val="26"/>
        </w:rPr>
        <w:t>Queensland</w:t>
      </w:r>
      <w:r>
        <w:rPr>
          <w:b/>
          <w:spacing w:val="-12"/>
          <w:sz w:val="26"/>
        </w:rPr>
        <w:t xml:space="preserve"> </w:t>
      </w:r>
      <w:r>
        <w:rPr>
          <w:b/>
          <w:sz w:val="26"/>
        </w:rPr>
        <w:t>Solicitor</w:t>
      </w:r>
      <w:r>
        <w:rPr>
          <w:b/>
          <w:spacing w:val="-12"/>
          <w:sz w:val="26"/>
        </w:rPr>
        <w:t xml:space="preserve"> </w:t>
      </w:r>
      <w:r>
        <w:rPr>
          <w:b/>
          <w:sz w:val="26"/>
        </w:rPr>
        <w:t>of</w:t>
      </w:r>
      <w:r>
        <w:rPr>
          <w:b/>
          <w:spacing w:val="-12"/>
          <w:sz w:val="26"/>
        </w:rPr>
        <w:t xml:space="preserve"> </w:t>
      </w:r>
      <w:r>
        <w:rPr>
          <w:b/>
          <w:sz w:val="26"/>
        </w:rPr>
        <w:t>the</w:t>
      </w:r>
      <w:r>
        <w:rPr>
          <w:b/>
          <w:spacing w:val="-17"/>
          <w:sz w:val="26"/>
        </w:rPr>
        <w:t xml:space="preserve"> </w:t>
      </w:r>
      <w:r>
        <w:rPr>
          <w:b/>
          <w:sz w:val="26"/>
        </w:rPr>
        <w:t>Year (Small Firm)</w:t>
      </w:r>
    </w:p>
    <w:p w14:paraId="616B58DB" w14:textId="77777777" w:rsidR="00AC6F3C" w:rsidRDefault="00570E88">
      <w:pPr>
        <w:spacing w:before="157"/>
        <w:ind w:left="532"/>
        <w:rPr>
          <w:b/>
          <w:sz w:val="20"/>
        </w:rPr>
      </w:pPr>
      <w:r>
        <w:rPr>
          <w:b/>
          <w:sz w:val="20"/>
        </w:rPr>
        <w:t xml:space="preserve">Kathleen </w:t>
      </w:r>
      <w:r>
        <w:rPr>
          <w:b/>
          <w:spacing w:val="-2"/>
          <w:sz w:val="20"/>
        </w:rPr>
        <w:t>Simpson</w:t>
      </w:r>
    </w:p>
    <w:p w14:paraId="6E3CC03E" w14:textId="77777777" w:rsidR="00AC6F3C" w:rsidRDefault="00570E88">
      <w:pPr>
        <w:pStyle w:val="BodyText"/>
        <w:spacing w:before="10"/>
        <w:ind w:left="532"/>
      </w:pPr>
      <w:r>
        <w:t xml:space="preserve">DV </w:t>
      </w:r>
      <w:r>
        <w:rPr>
          <w:spacing w:val="-2"/>
        </w:rPr>
        <w:t>Lawyer</w:t>
      </w:r>
    </w:p>
    <w:p w14:paraId="2BA7FFF0" w14:textId="77777777" w:rsidR="00AC6F3C" w:rsidRDefault="00AC6F3C">
      <w:pPr>
        <w:pStyle w:val="BodyText"/>
        <w:spacing w:before="9"/>
        <w:rPr>
          <w:sz w:val="31"/>
        </w:rPr>
      </w:pPr>
    </w:p>
    <w:p w14:paraId="671265F0" w14:textId="77777777" w:rsidR="00AC6F3C" w:rsidRDefault="00570E88">
      <w:pPr>
        <w:spacing w:line="249" w:lineRule="auto"/>
        <w:ind w:left="532" w:right="98"/>
        <w:rPr>
          <w:b/>
          <w:sz w:val="26"/>
        </w:rPr>
      </w:pPr>
      <w:r>
        <w:rPr>
          <w:b/>
          <w:sz w:val="26"/>
        </w:rPr>
        <w:t>Queensland</w:t>
      </w:r>
      <w:r>
        <w:rPr>
          <w:b/>
          <w:spacing w:val="-12"/>
          <w:sz w:val="26"/>
        </w:rPr>
        <w:t xml:space="preserve"> </w:t>
      </w:r>
      <w:r>
        <w:rPr>
          <w:b/>
          <w:sz w:val="26"/>
        </w:rPr>
        <w:t>Solicitor</w:t>
      </w:r>
      <w:r>
        <w:rPr>
          <w:b/>
          <w:spacing w:val="-12"/>
          <w:sz w:val="26"/>
        </w:rPr>
        <w:t xml:space="preserve"> </w:t>
      </w:r>
      <w:r>
        <w:rPr>
          <w:b/>
          <w:sz w:val="26"/>
        </w:rPr>
        <w:t>of</w:t>
      </w:r>
      <w:r>
        <w:rPr>
          <w:b/>
          <w:spacing w:val="-12"/>
          <w:sz w:val="26"/>
        </w:rPr>
        <w:t xml:space="preserve"> </w:t>
      </w:r>
      <w:r>
        <w:rPr>
          <w:b/>
          <w:sz w:val="26"/>
        </w:rPr>
        <w:t>the</w:t>
      </w:r>
      <w:r>
        <w:rPr>
          <w:b/>
          <w:spacing w:val="-17"/>
          <w:sz w:val="26"/>
        </w:rPr>
        <w:t xml:space="preserve"> </w:t>
      </w:r>
      <w:r>
        <w:rPr>
          <w:b/>
          <w:sz w:val="26"/>
        </w:rPr>
        <w:t>Year (Large Firm)</w:t>
      </w:r>
    </w:p>
    <w:p w14:paraId="47DD9A87" w14:textId="77777777" w:rsidR="00AC6F3C" w:rsidRDefault="00570E88">
      <w:pPr>
        <w:spacing w:before="157"/>
        <w:ind w:left="532"/>
        <w:rPr>
          <w:b/>
          <w:sz w:val="20"/>
        </w:rPr>
      </w:pPr>
      <w:r>
        <w:rPr>
          <w:b/>
          <w:sz w:val="20"/>
        </w:rPr>
        <w:t xml:space="preserve">Brian </w:t>
      </w:r>
      <w:r>
        <w:rPr>
          <w:b/>
          <w:spacing w:val="-4"/>
          <w:sz w:val="20"/>
        </w:rPr>
        <w:t>Herd</w:t>
      </w:r>
    </w:p>
    <w:p w14:paraId="1B7E0DEE" w14:textId="77777777" w:rsidR="00AC6F3C" w:rsidRDefault="00570E88">
      <w:pPr>
        <w:pStyle w:val="BodyText"/>
        <w:spacing w:before="10"/>
        <w:ind w:left="532"/>
      </w:pPr>
      <w:r>
        <w:t>Hopgood</w:t>
      </w:r>
      <w:r>
        <w:rPr>
          <w:spacing w:val="-3"/>
        </w:rPr>
        <w:t xml:space="preserve"> </w:t>
      </w:r>
      <w:r>
        <w:t>Ganim</w:t>
      </w:r>
      <w:r>
        <w:rPr>
          <w:spacing w:val="-3"/>
        </w:rPr>
        <w:t xml:space="preserve"> </w:t>
      </w:r>
      <w:r>
        <w:rPr>
          <w:spacing w:val="-2"/>
        </w:rPr>
        <w:t>Lawyers</w:t>
      </w:r>
    </w:p>
    <w:p w14:paraId="4DE9119E" w14:textId="77777777" w:rsidR="00AC6F3C" w:rsidRDefault="00AC6F3C">
      <w:pPr>
        <w:pStyle w:val="BodyText"/>
        <w:spacing w:before="9"/>
        <w:rPr>
          <w:sz w:val="31"/>
        </w:rPr>
      </w:pPr>
    </w:p>
    <w:p w14:paraId="0155B00C" w14:textId="77777777" w:rsidR="00AC6F3C" w:rsidRDefault="00570E88">
      <w:pPr>
        <w:ind w:left="532"/>
        <w:rPr>
          <w:b/>
          <w:sz w:val="26"/>
        </w:rPr>
      </w:pPr>
      <w:r>
        <w:rPr>
          <w:b/>
          <w:sz w:val="26"/>
        </w:rPr>
        <w:t>Regional</w:t>
      </w:r>
      <w:r>
        <w:rPr>
          <w:b/>
          <w:spacing w:val="-4"/>
          <w:sz w:val="26"/>
        </w:rPr>
        <w:t xml:space="preserve"> </w:t>
      </w:r>
      <w:r>
        <w:rPr>
          <w:b/>
          <w:sz w:val="26"/>
        </w:rPr>
        <w:t>Practitioner</w:t>
      </w:r>
      <w:r>
        <w:rPr>
          <w:b/>
          <w:spacing w:val="-3"/>
          <w:sz w:val="26"/>
        </w:rPr>
        <w:t xml:space="preserve"> </w:t>
      </w:r>
      <w:r>
        <w:rPr>
          <w:b/>
          <w:sz w:val="26"/>
        </w:rPr>
        <w:t>of</w:t>
      </w:r>
      <w:r>
        <w:rPr>
          <w:b/>
          <w:spacing w:val="-3"/>
          <w:sz w:val="26"/>
        </w:rPr>
        <w:t xml:space="preserve"> </w:t>
      </w:r>
      <w:r>
        <w:rPr>
          <w:b/>
          <w:sz w:val="26"/>
        </w:rPr>
        <w:t>the</w:t>
      </w:r>
      <w:r>
        <w:rPr>
          <w:b/>
          <w:spacing w:val="-8"/>
          <w:sz w:val="26"/>
        </w:rPr>
        <w:t xml:space="preserve"> </w:t>
      </w:r>
      <w:r>
        <w:rPr>
          <w:b/>
          <w:spacing w:val="-4"/>
          <w:sz w:val="26"/>
        </w:rPr>
        <w:t>Year</w:t>
      </w:r>
    </w:p>
    <w:p w14:paraId="4F4F6113" w14:textId="77777777" w:rsidR="00AC6F3C" w:rsidRDefault="00570E88">
      <w:pPr>
        <w:spacing w:before="168"/>
        <w:ind w:left="532"/>
        <w:rPr>
          <w:b/>
          <w:sz w:val="20"/>
        </w:rPr>
      </w:pPr>
      <w:r>
        <w:rPr>
          <w:b/>
          <w:sz w:val="20"/>
        </w:rPr>
        <w:t xml:space="preserve">Ben </w:t>
      </w:r>
      <w:r>
        <w:rPr>
          <w:b/>
          <w:spacing w:val="-2"/>
          <w:sz w:val="20"/>
        </w:rPr>
        <w:t>Gouldson</w:t>
      </w:r>
    </w:p>
    <w:p w14:paraId="334BEFE5" w14:textId="77777777" w:rsidR="00AC6F3C" w:rsidRDefault="00570E88">
      <w:pPr>
        <w:pStyle w:val="BodyText"/>
        <w:spacing w:before="10"/>
        <w:ind w:left="532"/>
      </w:pPr>
      <w:r>
        <w:t>Clifford</w:t>
      </w:r>
      <w:r>
        <w:rPr>
          <w:spacing w:val="-11"/>
        </w:rPr>
        <w:t xml:space="preserve"> </w:t>
      </w:r>
      <w:r>
        <w:t>Gouldson</w:t>
      </w:r>
      <w:r>
        <w:rPr>
          <w:spacing w:val="-10"/>
        </w:rPr>
        <w:t xml:space="preserve"> </w:t>
      </w:r>
      <w:r>
        <w:rPr>
          <w:spacing w:val="-2"/>
        </w:rPr>
        <w:t>Lawyers</w:t>
      </w:r>
    </w:p>
    <w:p w14:paraId="033EE8E8" w14:textId="77777777" w:rsidR="00AC6F3C" w:rsidRDefault="00AC6F3C">
      <w:pPr>
        <w:pStyle w:val="BodyText"/>
        <w:spacing w:before="9"/>
        <w:rPr>
          <w:sz w:val="31"/>
        </w:rPr>
      </w:pPr>
    </w:p>
    <w:p w14:paraId="1F79AF0D" w14:textId="77777777" w:rsidR="00AC6F3C" w:rsidRDefault="00570E88">
      <w:pPr>
        <w:spacing w:line="249" w:lineRule="auto"/>
        <w:ind w:left="532" w:right="41"/>
        <w:rPr>
          <w:b/>
          <w:sz w:val="26"/>
        </w:rPr>
      </w:pPr>
      <w:r>
        <w:rPr>
          <w:b/>
          <w:sz w:val="26"/>
        </w:rPr>
        <w:t>Workplace</w:t>
      </w:r>
      <w:r>
        <w:rPr>
          <w:b/>
          <w:spacing w:val="-12"/>
          <w:sz w:val="26"/>
        </w:rPr>
        <w:t xml:space="preserve"> </w:t>
      </w:r>
      <w:r>
        <w:rPr>
          <w:b/>
          <w:sz w:val="26"/>
        </w:rPr>
        <w:t>Culture</w:t>
      </w:r>
      <w:r>
        <w:rPr>
          <w:b/>
          <w:spacing w:val="-11"/>
          <w:sz w:val="26"/>
        </w:rPr>
        <w:t xml:space="preserve"> </w:t>
      </w:r>
      <w:r>
        <w:rPr>
          <w:b/>
          <w:sz w:val="26"/>
        </w:rPr>
        <w:t>and</w:t>
      </w:r>
      <w:r>
        <w:rPr>
          <w:b/>
          <w:spacing w:val="-11"/>
          <w:sz w:val="26"/>
        </w:rPr>
        <w:t xml:space="preserve"> </w:t>
      </w:r>
      <w:r>
        <w:rPr>
          <w:b/>
          <w:sz w:val="26"/>
        </w:rPr>
        <w:t>Health</w:t>
      </w:r>
      <w:r>
        <w:rPr>
          <w:b/>
          <w:spacing w:val="-19"/>
          <w:sz w:val="26"/>
        </w:rPr>
        <w:t xml:space="preserve"> </w:t>
      </w:r>
      <w:r>
        <w:rPr>
          <w:b/>
          <w:sz w:val="26"/>
        </w:rPr>
        <w:t>Award – Individual</w:t>
      </w:r>
    </w:p>
    <w:p w14:paraId="1A3D43FE" w14:textId="77777777" w:rsidR="00AC6F3C" w:rsidRDefault="00570E88">
      <w:pPr>
        <w:spacing w:before="157"/>
        <w:ind w:left="532"/>
        <w:rPr>
          <w:b/>
          <w:sz w:val="20"/>
        </w:rPr>
      </w:pPr>
      <w:r>
        <w:rPr>
          <w:b/>
          <w:sz w:val="20"/>
        </w:rPr>
        <w:t>Tracey</w:t>
      </w:r>
      <w:r>
        <w:rPr>
          <w:b/>
          <w:spacing w:val="-9"/>
          <w:sz w:val="20"/>
        </w:rPr>
        <w:t xml:space="preserve"> </w:t>
      </w:r>
      <w:r>
        <w:rPr>
          <w:b/>
          <w:sz w:val="20"/>
        </w:rPr>
        <w:t>De</w:t>
      </w:r>
      <w:r>
        <w:rPr>
          <w:b/>
          <w:spacing w:val="-8"/>
          <w:sz w:val="20"/>
        </w:rPr>
        <w:t xml:space="preserve"> </w:t>
      </w:r>
      <w:r>
        <w:rPr>
          <w:b/>
          <w:spacing w:val="-2"/>
          <w:sz w:val="20"/>
        </w:rPr>
        <w:t>Simone</w:t>
      </w:r>
    </w:p>
    <w:p w14:paraId="3B662F94" w14:textId="77777777" w:rsidR="00AC6F3C" w:rsidRDefault="00570E88">
      <w:pPr>
        <w:pStyle w:val="BodyText"/>
        <w:spacing w:before="10"/>
        <w:ind w:left="532"/>
      </w:pPr>
      <w:r>
        <w:t>Office</w:t>
      </w:r>
      <w:r>
        <w:rPr>
          <w:spacing w:val="-5"/>
        </w:rPr>
        <w:t xml:space="preserve"> </w:t>
      </w:r>
      <w:r>
        <w:t>of</w:t>
      </w:r>
      <w:r>
        <w:rPr>
          <w:spacing w:val="-4"/>
        </w:rPr>
        <w:t xml:space="preserve"> </w:t>
      </w:r>
      <w:r>
        <w:t>the</w:t>
      </w:r>
      <w:r>
        <w:rPr>
          <w:spacing w:val="-5"/>
        </w:rPr>
        <w:t xml:space="preserve"> </w:t>
      </w:r>
      <w:r>
        <w:t>Child</w:t>
      </w:r>
      <w:r>
        <w:rPr>
          <w:spacing w:val="-4"/>
        </w:rPr>
        <w:t xml:space="preserve"> </w:t>
      </w:r>
      <w:r>
        <w:t>and</w:t>
      </w:r>
      <w:r>
        <w:rPr>
          <w:spacing w:val="-5"/>
        </w:rPr>
        <w:t xml:space="preserve"> </w:t>
      </w:r>
      <w:r>
        <w:t>Family</w:t>
      </w:r>
      <w:r>
        <w:rPr>
          <w:spacing w:val="-4"/>
        </w:rPr>
        <w:t xml:space="preserve"> </w:t>
      </w:r>
      <w:r>
        <w:t>Official</w:t>
      </w:r>
      <w:r>
        <w:rPr>
          <w:spacing w:val="-5"/>
        </w:rPr>
        <w:t xml:space="preserve"> </w:t>
      </w:r>
      <w:r>
        <w:rPr>
          <w:spacing w:val="-2"/>
        </w:rPr>
        <w:t>Solicitor</w:t>
      </w:r>
    </w:p>
    <w:p w14:paraId="5A3C2578" w14:textId="77777777" w:rsidR="00AC6F3C" w:rsidRDefault="00AC6F3C">
      <w:pPr>
        <w:pStyle w:val="BodyText"/>
        <w:spacing w:before="9"/>
        <w:rPr>
          <w:sz w:val="31"/>
        </w:rPr>
      </w:pPr>
    </w:p>
    <w:p w14:paraId="50764B3A" w14:textId="77777777" w:rsidR="00AC6F3C" w:rsidRDefault="00570E88">
      <w:pPr>
        <w:spacing w:line="249" w:lineRule="auto"/>
        <w:ind w:left="532" w:right="41"/>
        <w:rPr>
          <w:b/>
          <w:sz w:val="26"/>
        </w:rPr>
      </w:pPr>
      <w:r>
        <w:rPr>
          <w:b/>
          <w:sz w:val="26"/>
        </w:rPr>
        <w:t>Workplace</w:t>
      </w:r>
      <w:r>
        <w:rPr>
          <w:b/>
          <w:spacing w:val="-12"/>
          <w:sz w:val="26"/>
        </w:rPr>
        <w:t xml:space="preserve"> </w:t>
      </w:r>
      <w:r>
        <w:rPr>
          <w:b/>
          <w:sz w:val="26"/>
        </w:rPr>
        <w:t>Culture</w:t>
      </w:r>
      <w:r>
        <w:rPr>
          <w:b/>
          <w:spacing w:val="-11"/>
          <w:sz w:val="26"/>
        </w:rPr>
        <w:t xml:space="preserve"> </w:t>
      </w:r>
      <w:r>
        <w:rPr>
          <w:b/>
          <w:sz w:val="26"/>
        </w:rPr>
        <w:t>and</w:t>
      </w:r>
      <w:r>
        <w:rPr>
          <w:b/>
          <w:spacing w:val="-11"/>
          <w:sz w:val="26"/>
        </w:rPr>
        <w:t xml:space="preserve"> </w:t>
      </w:r>
      <w:r>
        <w:rPr>
          <w:b/>
          <w:sz w:val="26"/>
        </w:rPr>
        <w:t>Health</w:t>
      </w:r>
      <w:r>
        <w:rPr>
          <w:b/>
          <w:spacing w:val="-19"/>
          <w:sz w:val="26"/>
        </w:rPr>
        <w:t xml:space="preserve"> </w:t>
      </w:r>
      <w:r>
        <w:rPr>
          <w:b/>
          <w:sz w:val="26"/>
        </w:rPr>
        <w:t>Award – Organisation</w:t>
      </w:r>
    </w:p>
    <w:p w14:paraId="6530D9B8" w14:textId="77777777" w:rsidR="00AC6F3C" w:rsidRDefault="00570E88">
      <w:pPr>
        <w:spacing w:before="157"/>
        <w:ind w:left="532"/>
        <w:rPr>
          <w:b/>
          <w:sz w:val="20"/>
        </w:rPr>
      </w:pPr>
      <w:r>
        <w:rPr>
          <w:b/>
          <w:sz w:val="20"/>
        </w:rPr>
        <w:t>Carter</w:t>
      </w:r>
      <w:r>
        <w:rPr>
          <w:b/>
          <w:spacing w:val="-5"/>
          <w:sz w:val="20"/>
        </w:rPr>
        <w:t xml:space="preserve"> </w:t>
      </w:r>
      <w:r>
        <w:rPr>
          <w:b/>
          <w:spacing w:val="-2"/>
          <w:sz w:val="20"/>
        </w:rPr>
        <w:t>Newell</w:t>
      </w:r>
    </w:p>
    <w:p w14:paraId="1E1D4608" w14:textId="77777777" w:rsidR="00AC6F3C" w:rsidRDefault="00AC6F3C">
      <w:pPr>
        <w:rPr>
          <w:sz w:val="20"/>
        </w:rPr>
        <w:sectPr w:rsidR="00AC6F3C">
          <w:type w:val="continuous"/>
          <w:pgSz w:w="11910" w:h="16840"/>
          <w:pgMar w:top="1920" w:right="1160" w:bottom="280" w:left="460" w:header="0" w:footer="336" w:gutter="0"/>
          <w:cols w:num="2" w:space="720" w:equalWidth="0">
            <w:col w:w="5040" w:space="40"/>
            <w:col w:w="5210"/>
          </w:cols>
        </w:sectPr>
      </w:pPr>
    </w:p>
    <w:p w14:paraId="641460BE" w14:textId="77777777" w:rsidR="00AC6F3C" w:rsidRDefault="00570E88">
      <w:pPr>
        <w:pStyle w:val="Heading3"/>
        <w:spacing w:before="70"/>
      </w:pPr>
      <w:bookmarkStart w:id="72" w:name="Our_diverse_and_inclusive_profession_"/>
      <w:bookmarkStart w:id="73" w:name="The_First_Nations_Cultural_Outreach_Stra"/>
      <w:bookmarkStart w:id="74" w:name="_bookmark26"/>
      <w:bookmarkEnd w:id="72"/>
      <w:bookmarkEnd w:id="73"/>
      <w:bookmarkEnd w:id="74"/>
      <w:r>
        <w:lastRenderedPageBreak/>
        <w:t>Our</w:t>
      </w:r>
      <w:r>
        <w:rPr>
          <w:spacing w:val="-4"/>
        </w:rPr>
        <w:t xml:space="preserve"> </w:t>
      </w:r>
      <w:r>
        <w:t>diverse</w:t>
      </w:r>
      <w:r>
        <w:rPr>
          <w:spacing w:val="-4"/>
        </w:rPr>
        <w:t xml:space="preserve"> </w:t>
      </w:r>
      <w:r>
        <w:t>and</w:t>
      </w:r>
      <w:r>
        <w:rPr>
          <w:spacing w:val="-4"/>
        </w:rPr>
        <w:t xml:space="preserve"> </w:t>
      </w:r>
      <w:r>
        <w:t>inclusive</w:t>
      </w:r>
      <w:r>
        <w:rPr>
          <w:spacing w:val="-4"/>
        </w:rPr>
        <w:t xml:space="preserve"> </w:t>
      </w:r>
      <w:r>
        <w:rPr>
          <w:spacing w:val="-2"/>
        </w:rPr>
        <w:t>profession</w:t>
      </w:r>
    </w:p>
    <w:p w14:paraId="7CD04FEE" w14:textId="77777777" w:rsidR="00AC6F3C" w:rsidRDefault="00570E88">
      <w:pPr>
        <w:pStyle w:val="BodyText"/>
        <w:spacing w:before="155"/>
        <w:ind w:left="815"/>
      </w:pPr>
      <w:r>
        <w:t>Queensland</w:t>
      </w:r>
      <w:r>
        <w:rPr>
          <w:spacing w:val="-5"/>
        </w:rPr>
        <w:t xml:space="preserve"> </w:t>
      </w:r>
      <w:r>
        <w:t>Law</w:t>
      </w:r>
      <w:r>
        <w:rPr>
          <w:spacing w:val="-3"/>
        </w:rPr>
        <w:t xml:space="preserve"> </w:t>
      </w:r>
      <w:r>
        <w:t>Society</w:t>
      </w:r>
      <w:r>
        <w:rPr>
          <w:spacing w:val="-3"/>
        </w:rPr>
        <w:t xml:space="preserve"> </w:t>
      </w:r>
      <w:r>
        <w:t>(QLS)</w:t>
      </w:r>
      <w:r>
        <w:rPr>
          <w:spacing w:val="-3"/>
        </w:rPr>
        <w:t xml:space="preserve"> </w:t>
      </w:r>
      <w:r>
        <w:t>is</w:t>
      </w:r>
      <w:r>
        <w:rPr>
          <w:spacing w:val="-2"/>
        </w:rPr>
        <w:t xml:space="preserve"> </w:t>
      </w:r>
      <w:r>
        <w:t>committed</w:t>
      </w:r>
      <w:r>
        <w:rPr>
          <w:spacing w:val="-3"/>
        </w:rPr>
        <w:t xml:space="preserve"> </w:t>
      </w:r>
      <w:r>
        <w:t>to</w:t>
      </w:r>
      <w:r>
        <w:rPr>
          <w:spacing w:val="-3"/>
        </w:rPr>
        <w:t xml:space="preserve"> </w:t>
      </w:r>
      <w:r>
        <w:t>promoting</w:t>
      </w:r>
      <w:r>
        <w:rPr>
          <w:spacing w:val="-3"/>
        </w:rPr>
        <w:t xml:space="preserve"> </w:t>
      </w:r>
      <w:r>
        <w:t>the</w:t>
      </w:r>
      <w:r>
        <w:rPr>
          <w:spacing w:val="-3"/>
        </w:rPr>
        <w:t xml:space="preserve"> </w:t>
      </w:r>
      <w:r>
        <w:t>principles</w:t>
      </w:r>
      <w:r>
        <w:rPr>
          <w:spacing w:val="-2"/>
        </w:rPr>
        <w:t xml:space="preserve"> </w:t>
      </w:r>
      <w:r>
        <w:t>and</w:t>
      </w:r>
      <w:r>
        <w:rPr>
          <w:spacing w:val="-3"/>
        </w:rPr>
        <w:t xml:space="preserve"> </w:t>
      </w:r>
      <w:r>
        <w:t>practice</w:t>
      </w:r>
      <w:r>
        <w:rPr>
          <w:spacing w:val="-3"/>
        </w:rPr>
        <w:t xml:space="preserve"> </w:t>
      </w:r>
      <w:r>
        <w:t>of</w:t>
      </w:r>
      <w:r>
        <w:rPr>
          <w:spacing w:val="-3"/>
        </w:rPr>
        <w:t xml:space="preserve"> </w:t>
      </w:r>
      <w:r>
        <w:t>diversity</w:t>
      </w:r>
      <w:r>
        <w:rPr>
          <w:spacing w:val="-2"/>
        </w:rPr>
        <w:t xml:space="preserve"> </w:t>
      </w:r>
      <w:r>
        <w:rPr>
          <w:spacing w:val="-5"/>
        </w:rPr>
        <w:t>and</w:t>
      </w:r>
    </w:p>
    <w:p w14:paraId="5E9767C7" w14:textId="77777777" w:rsidR="00AC6F3C" w:rsidRDefault="00570E88">
      <w:pPr>
        <w:pStyle w:val="BodyText"/>
        <w:spacing w:before="10"/>
        <w:ind w:left="815"/>
      </w:pPr>
      <w:r>
        <w:t>inclusion</w:t>
      </w:r>
      <w:r>
        <w:rPr>
          <w:spacing w:val="-5"/>
        </w:rPr>
        <w:t xml:space="preserve"> </w:t>
      </w:r>
      <w:r>
        <w:t>in</w:t>
      </w:r>
      <w:r>
        <w:rPr>
          <w:spacing w:val="-5"/>
        </w:rPr>
        <w:t xml:space="preserve"> </w:t>
      </w:r>
      <w:r>
        <w:t>the</w:t>
      </w:r>
      <w:r>
        <w:rPr>
          <w:spacing w:val="-5"/>
        </w:rPr>
        <w:t xml:space="preserve"> </w:t>
      </w:r>
      <w:r>
        <w:t>Queensland</w:t>
      </w:r>
      <w:r>
        <w:rPr>
          <w:spacing w:val="-5"/>
        </w:rPr>
        <w:t xml:space="preserve"> </w:t>
      </w:r>
      <w:r>
        <w:t>legal</w:t>
      </w:r>
      <w:r>
        <w:rPr>
          <w:spacing w:val="-4"/>
        </w:rPr>
        <w:t xml:space="preserve"> </w:t>
      </w:r>
      <w:r>
        <w:rPr>
          <w:spacing w:val="-2"/>
        </w:rPr>
        <w:t>profession.</w:t>
      </w:r>
    </w:p>
    <w:p w14:paraId="7175231E" w14:textId="77777777" w:rsidR="00AC6F3C" w:rsidRDefault="00570E88">
      <w:pPr>
        <w:pStyle w:val="BodyText"/>
        <w:spacing w:before="180" w:line="249" w:lineRule="auto"/>
        <w:ind w:left="815" w:right="234"/>
      </w:pPr>
      <w:r>
        <w:t>To champion this important work, the QLS Diverse</w:t>
      </w:r>
      <w:r>
        <w:rPr>
          <w:spacing w:val="-5"/>
        </w:rPr>
        <w:t xml:space="preserve"> </w:t>
      </w:r>
      <w:r>
        <w:t>Abilities Network has continued to support, educate and</w:t>
      </w:r>
      <w:r>
        <w:rPr>
          <w:spacing w:val="-3"/>
        </w:rPr>
        <w:t xml:space="preserve"> </w:t>
      </w:r>
      <w:r>
        <w:t>strengthen</w:t>
      </w:r>
      <w:r>
        <w:rPr>
          <w:spacing w:val="-3"/>
        </w:rPr>
        <w:t xml:space="preserve"> </w:t>
      </w:r>
      <w:r>
        <w:t>the</w:t>
      </w:r>
      <w:r>
        <w:rPr>
          <w:spacing w:val="-3"/>
        </w:rPr>
        <w:t xml:space="preserve"> </w:t>
      </w:r>
      <w:r>
        <w:t>legal</w:t>
      </w:r>
      <w:r>
        <w:rPr>
          <w:spacing w:val="-3"/>
        </w:rPr>
        <w:t xml:space="preserve"> </w:t>
      </w:r>
      <w:r>
        <w:t>profession</w:t>
      </w:r>
      <w:r>
        <w:rPr>
          <w:spacing w:val="-3"/>
        </w:rPr>
        <w:t xml:space="preserve"> </w:t>
      </w:r>
      <w:r>
        <w:t>by</w:t>
      </w:r>
      <w:r>
        <w:rPr>
          <w:spacing w:val="-3"/>
        </w:rPr>
        <w:t xml:space="preserve"> </w:t>
      </w:r>
      <w:r>
        <w:t>breaking</w:t>
      </w:r>
      <w:r>
        <w:rPr>
          <w:spacing w:val="-3"/>
        </w:rPr>
        <w:t xml:space="preserve"> </w:t>
      </w:r>
      <w:r>
        <w:t>down</w:t>
      </w:r>
      <w:r>
        <w:rPr>
          <w:spacing w:val="-3"/>
        </w:rPr>
        <w:t xml:space="preserve"> </w:t>
      </w:r>
      <w:r>
        <w:t>the</w:t>
      </w:r>
      <w:r>
        <w:rPr>
          <w:spacing w:val="-3"/>
        </w:rPr>
        <w:t xml:space="preserve"> </w:t>
      </w:r>
      <w:r>
        <w:t>barriers</w:t>
      </w:r>
      <w:r>
        <w:rPr>
          <w:spacing w:val="-3"/>
        </w:rPr>
        <w:t xml:space="preserve"> </w:t>
      </w:r>
      <w:r>
        <w:t>to</w:t>
      </w:r>
      <w:r>
        <w:rPr>
          <w:spacing w:val="-3"/>
        </w:rPr>
        <w:t xml:space="preserve"> </w:t>
      </w:r>
      <w:r>
        <w:t>disability</w:t>
      </w:r>
      <w:r>
        <w:rPr>
          <w:spacing w:val="-3"/>
        </w:rPr>
        <w:t xml:space="preserve"> </w:t>
      </w:r>
      <w:r>
        <w:t>inclusion</w:t>
      </w:r>
      <w:r>
        <w:rPr>
          <w:spacing w:val="-3"/>
        </w:rPr>
        <w:t xml:space="preserve"> </w:t>
      </w:r>
      <w:r>
        <w:t>and</w:t>
      </w:r>
      <w:r>
        <w:rPr>
          <w:spacing w:val="-3"/>
        </w:rPr>
        <w:t xml:space="preserve"> </w:t>
      </w:r>
      <w:r>
        <w:t>encouraging disability confidence, throughout the membership of the QLS.</w:t>
      </w:r>
    </w:p>
    <w:p w14:paraId="35D13055" w14:textId="77777777" w:rsidR="00AC6F3C" w:rsidRDefault="00570E88">
      <w:pPr>
        <w:pStyle w:val="BodyText"/>
        <w:spacing w:before="172" w:line="249" w:lineRule="auto"/>
        <w:ind w:left="815" w:right="375"/>
      </w:pPr>
      <w:r>
        <w:t>The</w:t>
      </w:r>
      <w:r>
        <w:rPr>
          <w:spacing w:val="-3"/>
        </w:rPr>
        <w:t xml:space="preserve"> </w:t>
      </w:r>
      <w:r>
        <w:t>network</w:t>
      </w:r>
      <w:r>
        <w:rPr>
          <w:spacing w:val="-3"/>
        </w:rPr>
        <w:t xml:space="preserve"> </w:t>
      </w:r>
      <w:r>
        <w:t>is</w:t>
      </w:r>
      <w:r>
        <w:rPr>
          <w:spacing w:val="-3"/>
        </w:rPr>
        <w:t xml:space="preserve"> </w:t>
      </w:r>
      <w:r>
        <w:t>comprised</w:t>
      </w:r>
      <w:r>
        <w:rPr>
          <w:spacing w:val="-3"/>
        </w:rPr>
        <w:t xml:space="preserve"> </w:t>
      </w:r>
      <w:r>
        <w:t>of</w:t>
      </w:r>
      <w:r>
        <w:rPr>
          <w:spacing w:val="-3"/>
        </w:rPr>
        <w:t xml:space="preserve"> </w:t>
      </w:r>
      <w:r>
        <w:t>Diverse</w:t>
      </w:r>
      <w:r>
        <w:rPr>
          <w:spacing w:val="-13"/>
        </w:rPr>
        <w:t xml:space="preserve"> </w:t>
      </w:r>
      <w:r>
        <w:t>Abilities</w:t>
      </w:r>
      <w:r>
        <w:rPr>
          <w:spacing w:val="-3"/>
        </w:rPr>
        <w:t xml:space="preserve"> </w:t>
      </w:r>
      <w:r>
        <w:t>advocates</w:t>
      </w:r>
      <w:r>
        <w:rPr>
          <w:spacing w:val="-3"/>
        </w:rPr>
        <w:t xml:space="preserve"> </w:t>
      </w:r>
      <w:r>
        <w:t>from</w:t>
      </w:r>
      <w:r>
        <w:rPr>
          <w:spacing w:val="-3"/>
        </w:rPr>
        <w:t xml:space="preserve"> </w:t>
      </w:r>
      <w:r>
        <w:t>within</w:t>
      </w:r>
      <w:r>
        <w:rPr>
          <w:spacing w:val="-3"/>
        </w:rPr>
        <w:t xml:space="preserve"> </w:t>
      </w:r>
      <w:r>
        <w:t>the</w:t>
      </w:r>
      <w:r>
        <w:rPr>
          <w:spacing w:val="-3"/>
        </w:rPr>
        <w:t xml:space="preserve"> </w:t>
      </w:r>
      <w:r>
        <w:t>profession</w:t>
      </w:r>
      <w:r>
        <w:rPr>
          <w:spacing w:val="-3"/>
        </w:rPr>
        <w:t xml:space="preserve"> </w:t>
      </w:r>
      <w:r>
        <w:t>and</w:t>
      </w:r>
      <w:r>
        <w:rPr>
          <w:spacing w:val="-3"/>
        </w:rPr>
        <w:t xml:space="preserve"> </w:t>
      </w:r>
      <w:r>
        <w:t>is</w:t>
      </w:r>
      <w:r>
        <w:rPr>
          <w:spacing w:val="-3"/>
        </w:rPr>
        <w:t xml:space="preserve"> </w:t>
      </w:r>
      <w:r>
        <w:t>facilitated</w:t>
      </w:r>
      <w:r>
        <w:rPr>
          <w:spacing w:val="-3"/>
        </w:rPr>
        <w:t xml:space="preserve"> </w:t>
      </w:r>
      <w:r>
        <w:t>by QLS. They provide advice and assistance to QLS on diversity and inclusivity as well as championing QLS’s goals of leading the profession in this area. In December 2022, the network hosted an online forum exploring the role of policy and legislation in making air travel and public transport in general more accessible.</w:t>
      </w:r>
    </w:p>
    <w:p w14:paraId="3537FF3A" w14:textId="77777777" w:rsidR="00AC6F3C" w:rsidRDefault="00AC6F3C">
      <w:pPr>
        <w:pStyle w:val="BodyText"/>
        <w:spacing w:before="8"/>
        <w:rPr>
          <w:sz w:val="32"/>
        </w:rPr>
      </w:pPr>
    </w:p>
    <w:p w14:paraId="40471F73" w14:textId="77777777" w:rsidR="00AC6F3C" w:rsidRDefault="00570E88">
      <w:pPr>
        <w:pStyle w:val="Heading3"/>
      </w:pPr>
      <w:r>
        <w:t>The</w:t>
      </w:r>
      <w:r>
        <w:rPr>
          <w:spacing w:val="-5"/>
        </w:rPr>
        <w:t xml:space="preserve"> </w:t>
      </w:r>
      <w:r>
        <w:t>First</w:t>
      </w:r>
      <w:r>
        <w:rPr>
          <w:spacing w:val="-3"/>
        </w:rPr>
        <w:t xml:space="preserve"> </w:t>
      </w:r>
      <w:r>
        <w:t>Nations</w:t>
      </w:r>
      <w:r>
        <w:rPr>
          <w:spacing w:val="-3"/>
        </w:rPr>
        <w:t xml:space="preserve"> </w:t>
      </w:r>
      <w:r>
        <w:t>Cultural</w:t>
      </w:r>
      <w:r>
        <w:rPr>
          <w:spacing w:val="-3"/>
        </w:rPr>
        <w:t xml:space="preserve"> </w:t>
      </w:r>
      <w:r>
        <w:t>Outreach</w:t>
      </w:r>
      <w:r>
        <w:rPr>
          <w:spacing w:val="-3"/>
        </w:rPr>
        <w:t xml:space="preserve"> </w:t>
      </w:r>
      <w:r>
        <w:t>Strategy</w:t>
      </w:r>
      <w:r>
        <w:rPr>
          <w:spacing w:val="-3"/>
        </w:rPr>
        <w:t xml:space="preserve"> </w:t>
      </w:r>
      <w:r>
        <w:t>2020-25</w:t>
      </w:r>
      <w:r>
        <w:rPr>
          <w:spacing w:val="-3"/>
        </w:rPr>
        <w:t xml:space="preserve"> </w:t>
      </w:r>
      <w:r>
        <w:rPr>
          <w:spacing w:val="-2"/>
        </w:rPr>
        <w:t>(COS)</w:t>
      </w:r>
    </w:p>
    <w:p w14:paraId="038E4E48" w14:textId="77777777" w:rsidR="00AC6F3C" w:rsidRDefault="00570E88">
      <w:pPr>
        <w:pStyle w:val="BodyText"/>
        <w:spacing w:before="155" w:line="249" w:lineRule="auto"/>
        <w:ind w:left="815" w:right="352"/>
      </w:pPr>
      <w:r>
        <w:t>As part of our commitment to diversity and inclusion in the Queensland legal profession, the inaugural five-year</w:t>
      </w:r>
      <w:r>
        <w:rPr>
          <w:spacing w:val="-3"/>
        </w:rPr>
        <w:t xml:space="preserve"> </w:t>
      </w:r>
      <w:r>
        <w:t>First</w:t>
      </w:r>
      <w:r>
        <w:rPr>
          <w:spacing w:val="-3"/>
        </w:rPr>
        <w:t xml:space="preserve"> </w:t>
      </w:r>
      <w:r>
        <w:t>Nations</w:t>
      </w:r>
      <w:r>
        <w:rPr>
          <w:spacing w:val="-3"/>
        </w:rPr>
        <w:t xml:space="preserve"> </w:t>
      </w:r>
      <w:r>
        <w:t>Cultural</w:t>
      </w:r>
      <w:r>
        <w:rPr>
          <w:spacing w:val="-3"/>
        </w:rPr>
        <w:t xml:space="preserve"> </w:t>
      </w:r>
      <w:r>
        <w:t>Outreach</w:t>
      </w:r>
      <w:r>
        <w:rPr>
          <w:spacing w:val="-3"/>
        </w:rPr>
        <w:t xml:space="preserve"> </w:t>
      </w:r>
      <w:r>
        <w:t>Strategy</w:t>
      </w:r>
      <w:r>
        <w:rPr>
          <w:spacing w:val="-3"/>
        </w:rPr>
        <w:t xml:space="preserve"> </w:t>
      </w:r>
      <w:r>
        <w:t>2020-25</w:t>
      </w:r>
      <w:r>
        <w:rPr>
          <w:spacing w:val="-3"/>
        </w:rPr>
        <w:t xml:space="preserve"> </w:t>
      </w:r>
      <w:r>
        <w:t>and</w:t>
      </w:r>
      <w:r>
        <w:rPr>
          <w:spacing w:val="-3"/>
        </w:rPr>
        <w:t xml:space="preserve"> </w:t>
      </w:r>
      <w:r>
        <w:t>First</w:t>
      </w:r>
      <w:r>
        <w:rPr>
          <w:spacing w:val="-3"/>
        </w:rPr>
        <w:t xml:space="preserve"> </w:t>
      </w:r>
      <w:r>
        <w:t>Nations</w:t>
      </w:r>
      <w:r>
        <w:rPr>
          <w:spacing w:val="-3"/>
        </w:rPr>
        <w:t xml:space="preserve"> </w:t>
      </w:r>
      <w:r>
        <w:t>Plan</w:t>
      </w:r>
      <w:r>
        <w:rPr>
          <w:spacing w:val="-3"/>
        </w:rPr>
        <w:t xml:space="preserve"> </w:t>
      </w:r>
      <w:r>
        <w:t>2020-21</w:t>
      </w:r>
      <w:r>
        <w:rPr>
          <w:spacing w:val="-3"/>
        </w:rPr>
        <w:t xml:space="preserve"> </w:t>
      </w:r>
      <w:r>
        <w:t>launched</w:t>
      </w:r>
      <w:r>
        <w:rPr>
          <w:spacing w:val="-3"/>
        </w:rPr>
        <w:t xml:space="preserve"> </w:t>
      </w:r>
      <w:r>
        <w:t>on 1</w:t>
      </w:r>
      <w:r>
        <w:rPr>
          <w:spacing w:val="-1"/>
        </w:rPr>
        <w:t xml:space="preserve"> </w:t>
      </w:r>
      <w:r>
        <w:t>July</w:t>
      </w:r>
      <w:r>
        <w:rPr>
          <w:spacing w:val="-1"/>
        </w:rPr>
        <w:t xml:space="preserve"> </w:t>
      </w:r>
      <w:r>
        <w:t>2020.</w:t>
      </w:r>
      <w:r>
        <w:rPr>
          <w:spacing w:val="-5"/>
        </w:rPr>
        <w:t xml:space="preserve"> </w:t>
      </w:r>
      <w:r>
        <w:t>This</w:t>
      </w:r>
      <w:r>
        <w:rPr>
          <w:spacing w:val="-1"/>
        </w:rPr>
        <w:t xml:space="preserve"> </w:t>
      </w:r>
      <w:r>
        <w:t>financial</w:t>
      </w:r>
      <w:r>
        <w:rPr>
          <w:spacing w:val="-1"/>
        </w:rPr>
        <w:t xml:space="preserve"> </w:t>
      </w:r>
      <w:r>
        <w:t>year</w:t>
      </w:r>
      <w:r>
        <w:rPr>
          <w:spacing w:val="-1"/>
        </w:rPr>
        <w:t xml:space="preserve"> </w:t>
      </w:r>
      <w:r>
        <w:t>(FY23)</w:t>
      </w:r>
      <w:r>
        <w:rPr>
          <w:spacing w:val="-1"/>
        </w:rPr>
        <w:t xml:space="preserve"> </w:t>
      </w:r>
      <w:r>
        <w:t>is</w:t>
      </w:r>
      <w:r>
        <w:rPr>
          <w:spacing w:val="-1"/>
        </w:rPr>
        <w:t xml:space="preserve"> </w:t>
      </w:r>
      <w:r>
        <w:t>the</w:t>
      </w:r>
      <w:r>
        <w:rPr>
          <w:spacing w:val="-1"/>
        </w:rPr>
        <w:t xml:space="preserve"> </w:t>
      </w:r>
      <w:r>
        <w:t>third</w:t>
      </w:r>
      <w:r>
        <w:rPr>
          <w:spacing w:val="-1"/>
        </w:rPr>
        <w:t xml:space="preserve"> </w:t>
      </w:r>
      <w:r>
        <w:t>year</w:t>
      </w:r>
      <w:r>
        <w:rPr>
          <w:spacing w:val="-1"/>
        </w:rPr>
        <w:t xml:space="preserve"> </w:t>
      </w:r>
      <w:r>
        <w:t>under</w:t>
      </w:r>
      <w:r>
        <w:rPr>
          <w:spacing w:val="-1"/>
        </w:rPr>
        <w:t xml:space="preserve"> </w:t>
      </w:r>
      <w:r>
        <w:t>the</w:t>
      </w:r>
      <w:r>
        <w:rPr>
          <w:spacing w:val="-1"/>
        </w:rPr>
        <w:t xml:space="preserve"> </w:t>
      </w:r>
      <w:r>
        <w:t>five</w:t>
      </w:r>
      <w:r>
        <w:rPr>
          <w:spacing w:val="-1"/>
        </w:rPr>
        <w:t xml:space="preserve"> </w:t>
      </w:r>
      <w:r>
        <w:t>year</w:t>
      </w:r>
      <w:r>
        <w:rPr>
          <w:spacing w:val="-1"/>
        </w:rPr>
        <w:t xml:space="preserve"> </w:t>
      </w:r>
      <w:r>
        <w:t>strategic</w:t>
      </w:r>
      <w:r>
        <w:rPr>
          <w:spacing w:val="-1"/>
        </w:rPr>
        <w:t xml:space="preserve"> </w:t>
      </w:r>
      <w:r>
        <w:t>plan</w:t>
      </w:r>
      <w:r>
        <w:rPr>
          <w:spacing w:val="-1"/>
        </w:rPr>
        <w:t xml:space="preserve"> </w:t>
      </w:r>
      <w:r>
        <w:t>and</w:t>
      </w:r>
      <w:r>
        <w:rPr>
          <w:spacing w:val="-1"/>
        </w:rPr>
        <w:t xml:space="preserve"> </w:t>
      </w:r>
      <w:r>
        <w:t>continues to develop and advance the five key objectives</w:t>
      </w:r>
      <w:r>
        <w:rPr>
          <w:spacing w:val="-3"/>
        </w:rPr>
        <w:t xml:space="preserve"> </w:t>
      </w:r>
      <w:r>
        <w:t>Advocate, Educate, Connect, Support, and Embed.</w:t>
      </w:r>
    </w:p>
    <w:p w14:paraId="055DC8EC" w14:textId="77777777" w:rsidR="00AC6F3C" w:rsidRDefault="00570E88">
      <w:pPr>
        <w:pStyle w:val="BodyText"/>
        <w:spacing w:before="173" w:line="249" w:lineRule="auto"/>
        <w:ind w:left="815" w:right="330"/>
        <w:jc w:val="both"/>
        <w:rPr>
          <w:sz w:val="11"/>
        </w:rPr>
      </w:pPr>
      <w:r>
        <w:t>The</w:t>
      </w:r>
      <w:r>
        <w:rPr>
          <w:spacing w:val="-3"/>
        </w:rPr>
        <w:t xml:space="preserve"> </w:t>
      </w:r>
      <w:r>
        <w:t>annual</w:t>
      </w:r>
      <w:r>
        <w:rPr>
          <w:spacing w:val="-3"/>
        </w:rPr>
        <w:t xml:space="preserve"> </w:t>
      </w:r>
      <w:r>
        <w:t>First</w:t>
      </w:r>
      <w:r>
        <w:rPr>
          <w:spacing w:val="-3"/>
        </w:rPr>
        <w:t xml:space="preserve"> </w:t>
      </w:r>
      <w:r>
        <w:t>Nations</w:t>
      </w:r>
      <w:r>
        <w:rPr>
          <w:spacing w:val="-3"/>
        </w:rPr>
        <w:t xml:space="preserve"> </w:t>
      </w:r>
      <w:r>
        <w:t>Plan</w:t>
      </w:r>
      <w:r>
        <w:rPr>
          <w:spacing w:val="-3"/>
        </w:rPr>
        <w:t xml:space="preserve"> </w:t>
      </w:r>
      <w:r>
        <w:t>monitors</w:t>
      </w:r>
      <w:r>
        <w:rPr>
          <w:spacing w:val="-3"/>
        </w:rPr>
        <w:t xml:space="preserve"> </w:t>
      </w:r>
      <w:r>
        <w:t>our</w:t>
      </w:r>
      <w:r>
        <w:rPr>
          <w:spacing w:val="-3"/>
        </w:rPr>
        <w:t xml:space="preserve"> </w:t>
      </w:r>
      <w:r>
        <w:t>progress,</w:t>
      </w:r>
      <w:r>
        <w:rPr>
          <w:spacing w:val="-3"/>
        </w:rPr>
        <w:t xml:space="preserve"> </w:t>
      </w:r>
      <w:r>
        <w:t>ensuring</w:t>
      </w:r>
      <w:r>
        <w:rPr>
          <w:spacing w:val="-3"/>
        </w:rPr>
        <w:t xml:space="preserve"> </w:t>
      </w:r>
      <w:r>
        <w:t>we</w:t>
      </w:r>
      <w:r>
        <w:rPr>
          <w:spacing w:val="-3"/>
        </w:rPr>
        <w:t xml:space="preserve"> </w:t>
      </w:r>
      <w:r>
        <w:t>meet</w:t>
      </w:r>
      <w:r>
        <w:rPr>
          <w:spacing w:val="-3"/>
        </w:rPr>
        <w:t xml:space="preserve"> </w:t>
      </w:r>
      <w:r>
        <w:t>our</w:t>
      </w:r>
      <w:r>
        <w:rPr>
          <w:spacing w:val="-3"/>
        </w:rPr>
        <w:t xml:space="preserve"> </w:t>
      </w:r>
      <w:r>
        <w:t>objectives</w:t>
      </w:r>
      <w:r>
        <w:rPr>
          <w:spacing w:val="-3"/>
        </w:rPr>
        <w:t xml:space="preserve"> </w:t>
      </w:r>
      <w:r>
        <w:t>and</w:t>
      </w:r>
      <w:r>
        <w:rPr>
          <w:spacing w:val="-3"/>
        </w:rPr>
        <w:t xml:space="preserve"> </w:t>
      </w:r>
      <w:r>
        <w:t>move</w:t>
      </w:r>
      <w:r>
        <w:rPr>
          <w:spacing w:val="-3"/>
        </w:rPr>
        <w:t xml:space="preserve"> </w:t>
      </w:r>
      <w:r>
        <w:t>closer to quadrupling the number of First Nations solicitors in Queensland by 2025 and we are proud to report on</w:t>
      </w:r>
      <w:r>
        <w:rPr>
          <w:spacing w:val="-1"/>
        </w:rPr>
        <w:t xml:space="preserve"> </w:t>
      </w:r>
      <w:r>
        <w:t>the</w:t>
      </w:r>
      <w:r>
        <w:rPr>
          <w:spacing w:val="-1"/>
        </w:rPr>
        <w:t xml:space="preserve"> </w:t>
      </w:r>
      <w:r>
        <w:t>third</w:t>
      </w:r>
      <w:r>
        <w:rPr>
          <w:spacing w:val="-1"/>
        </w:rPr>
        <w:t xml:space="preserve"> </w:t>
      </w:r>
      <w:r>
        <w:t>year</w:t>
      </w:r>
      <w:r>
        <w:rPr>
          <w:spacing w:val="-1"/>
        </w:rPr>
        <w:t xml:space="preserve"> </w:t>
      </w:r>
      <w:r>
        <w:t>of</w:t>
      </w:r>
      <w:r>
        <w:rPr>
          <w:spacing w:val="-1"/>
        </w:rPr>
        <w:t xml:space="preserve"> </w:t>
      </w:r>
      <w:r>
        <w:t>the</w:t>
      </w:r>
      <w:r>
        <w:rPr>
          <w:spacing w:val="-1"/>
        </w:rPr>
        <w:t xml:space="preserve"> </w:t>
      </w:r>
      <w:r>
        <w:t>plan</w:t>
      </w:r>
      <w:r>
        <w:rPr>
          <w:spacing w:val="-1"/>
        </w:rPr>
        <w:t xml:space="preserve"> </w:t>
      </w:r>
      <w:r>
        <w:t>which</w:t>
      </w:r>
      <w:r>
        <w:rPr>
          <w:spacing w:val="-1"/>
        </w:rPr>
        <w:t xml:space="preserve"> </w:t>
      </w:r>
      <w:r>
        <w:t>shows</w:t>
      </w:r>
      <w:r>
        <w:rPr>
          <w:spacing w:val="-1"/>
        </w:rPr>
        <w:t xml:space="preserve"> </w:t>
      </w:r>
      <w:r>
        <w:t>approximately</w:t>
      </w:r>
      <w:r>
        <w:rPr>
          <w:spacing w:val="-1"/>
        </w:rPr>
        <w:t xml:space="preserve"> </w:t>
      </w:r>
      <w:r>
        <w:t>117</w:t>
      </w:r>
      <w:r>
        <w:rPr>
          <w:spacing w:val="-1"/>
        </w:rPr>
        <w:t xml:space="preserve"> </w:t>
      </w:r>
      <w:r>
        <w:t>First</w:t>
      </w:r>
      <w:r>
        <w:rPr>
          <w:spacing w:val="-1"/>
        </w:rPr>
        <w:t xml:space="preserve"> </w:t>
      </w:r>
      <w:r>
        <w:t>Nations</w:t>
      </w:r>
      <w:r>
        <w:rPr>
          <w:spacing w:val="-1"/>
        </w:rPr>
        <w:t xml:space="preserve"> </w:t>
      </w:r>
      <w:r>
        <w:t>practitioners</w:t>
      </w:r>
      <w:r>
        <w:rPr>
          <w:position w:val="7"/>
          <w:sz w:val="11"/>
        </w:rPr>
        <w:t>3</w:t>
      </w:r>
      <w:r>
        <w:t>,</w:t>
      </w:r>
      <w:r>
        <w:rPr>
          <w:spacing w:val="-1"/>
        </w:rPr>
        <w:t xml:space="preserve"> </w:t>
      </w:r>
      <w:r>
        <w:t>up</w:t>
      </w:r>
      <w:r>
        <w:rPr>
          <w:spacing w:val="-1"/>
        </w:rPr>
        <w:t xml:space="preserve"> </w:t>
      </w:r>
      <w:r>
        <w:t>3.25%</w:t>
      </w:r>
      <w:r>
        <w:rPr>
          <w:spacing w:val="-1"/>
        </w:rPr>
        <w:t xml:space="preserve"> </w:t>
      </w:r>
      <w:r>
        <w:t>from 36 First Nations practitioners reported in 2018.</w:t>
      </w:r>
      <w:r>
        <w:rPr>
          <w:position w:val="7"/>
          <w:sz w:val="11"/>
        </w:rPr>
        <w:t>4</w:t>
      </w:r>
    </w:p>
    <w:p w14:paraId="79F1B204" w14:textId="77777777" w:rsidR="00AC6F3C" w:rsidRDefault="00570E88">
      <w:pPr>
        <w:pStyle w:val="BodyText"/>
        <w:spacing w:before="174"/>
        <w:ind w:left="815"/>
      </w:pPr>
      <w:r>
        <w:t>During</w:t>
      </w:r>
      <w:r>
        <w:rPr>
          <w:spacing w:val="-3"/>
        </w:rPr>
        <w:t xml:space="preserve"> </w:t>
      </w:r>
      <w:r>
        <w:t>the</w:t>
      </w:r>
      <w:r>
        <w:rPr>
          <w:spacing w:val="-3"/>
        </w:rPr>
        <w:t xml:space="preserve"> </w:t>
      </w:r>
      <w:r>
        <w:t>financial</w:t>
      </w:r>
      <w:r>
        <w:rPr>
          <w:spacing w:val="-3"/>
        </w:rPr>
        <w:t xml:space="preserve"> </w:t>
      </w:r>
      <w:r>
        <w:t>year</w:t>
      </w:r>
      <w:r>
        <w:rPr>
          <w:spacing w:val="-3"/>
        </w:rPr>
        <w:t xml:space="preserve"> </w:t>
      </w:r>
      <w:r>
        <w:t>we</w:t>
      </w:r>
      <w:r>
        <w:rPr>
          <w:spacing w:val="-3"/>
        </w:rPr>
        <w:t xml:space="preserve"> </w:t>
      </w:r>
      <w:r>
        <w:t>achieved</w:t>
      </w:r>
      <w:r>
        <w:rPr>
          <w:spacing w:val="-3"/>
        </w:rPr>
        <w:t xml:space="preserve"> </w:t>
      </w:r>
      <w:r>
        <w:t>the</w:t>
      </w:r>
      <w:r>
        <w:rPr>
          <w:spacing w:val="-3"/>
        </w:rPr>
        <w:t xml:space="preserve"> </w:t>
      </w:r>
      <w:r>
        <w:t>following</w:t>
      </w:r>
      <w:r>
        <w:rPr>
          <w:spacing w:val="-3"/>
        </w:rPr>
        <w:t xml:space="preserve"> </w:t>
      </w:r>
      <w:r>
        <w:t>under</w:t>
      </w:r>
      <w:r>
        <w:rPr>
          <w:spacing w:val="-3"/>
        </w:rPr>
        <w:t xml:space="preserve"> </w:t>
      </w:r>
      <w:r>
        <w:t>our</w:t>
      </w:r>
      <w:r>
        <w:rPr>
          <w:spacing w:val="-3"/>
        </w:rPr>
        <w:t xml:space="preserve"> </w:t>
      </w:r>
      <w:r>
        <w:t>five</w:t>
      </w:r>
      <w:r>
        <w:rPr>
          <w:spacing w:val="-3"/>
        </w:rPr>
        <w:t xml:space="preserve"> </w:t>
      </w:r>
      <w:r>
        <w:t>key</w:t>
      </w:r>
      <w:r>
        <w:rPr>
          <w:spacing w:val="-3"/>
        </w:rPr>
        <w:t xml:space="preserve"> </w:t>
      </w:r>
      <w:r>
        <w:rPr>
          <w:spacing w:val="-2"/>
        </w:rPr>
        <w:t>objectives:</w:t>
      </w:r>
    </w:p>
    <w:p w14:paraId="48472AB4" w14:textId="77777777" w:rsidR="00AC6F3C" w:rsidRDefault="00AC6F3C">
      <w:pPr>
        <w:pStyle w:val="BodyText"/>
        <w:spacing w:before="5"/>
        <w:rPr>
          <w:sz w:val="23"/>
        </w:rPr>
      </w:pPr>
    </w:p>
    <w:p w14:paraId="6D3E20EB" w14:textId="77777777" w:rsidR="00AC6F3C" w:rsidRDefault="00570E88">
      <w:pPr>
        <w:pStyle w:val="Heading9"/>
        <w:spacing w:before="1"/>
      </w:pPr>
      <w:r>
        <w:rPr>
          <w:spacing w:val="-2"/>
        </w:rPr>
        <w:t>Education</w:t>
      </w:r>
    </w:p>
    <w:p w14:paraId="0381B5EF" w14:textId="77777777" w:rsidR="00AC6F3C" w:rsidRDefault="00570E88">
      <w:pPr>
        <w:pStyle w:val="ListParagraph"/>
        <w:numPr>
          <w:ilvl w:val="0"/>
          <w:numId w:val="44"/>
        </w:numPr>
        <w:tabs>
          <w:tab w:val="left" w:pos="1155"/>
        </w:tabs>
        <w:spacing w:before="176"/>
        <w:ind w:hanging="340"/>
        <w:rPr>
          <w:sz w:val="20"/>
        </w:rPr>
      </w:pPr>
      <w:r>
        <w:rPr>
          <w:sz w:val="20"/>
        </w:rPr>
        <w:t>Completed</w:t>
      </w:r>
      <w:r>
        <w:rPr>
          <w:spacing w:val="-5"/>
          <w:sz w:val="20"/>
        </w:rPr>
        <w:t xml:space="preserve"> </w:t>
      </w:r>
      <w:r>
        <w:rPr>
          <w:sz w:val="20"/>
        </w:rPr>
        <w:t>and</w:t>
      </w:r>
      <w:r>
        <w:rPr>
          <w:spacing w:val="-5"/>
          <w:sz w:val="20"/>
        </w:rPr>
        <w:t xml:space="preserve"> </w:t>
      </w:r>
      <w:r>
        <w:rPr>
          <w:sz w:val="20"/>
        </w:rPr>
        <w:t>published</w:t>
      </w:r>
      <w:r>
        <w:rPr>
          <w:spacing w:val="-4"/>
          <w:sz w:val="20"/>
        </w:rPr>
        <w:t xml:space="preserve"> </w:t>
      </w:r>
      <w:r>
        <w:rPr>
          <w:sz w:val="20"/>
        </w:rPr>
        <w:t>the</w:t>
      </w:r>
      <w:r>
        <w:rPr>
          <w:spacing w:val="-5"/>
          <w:sz w:val="20"/>
        </w:rPr>
        <w:t xml:space="preserve"> </w:t>
      </w:r>
      <w:r>
        <w:rPr>
          <w:sz w:val="20"/>
        </w:rPr>
        <w:t>Cultural</w:t>
      </w:r>
      <w:r>
        <w:rPr>
          <w:spacing w:val="-5"/>
          <w:sz w:val="20"/>
        </w:rPr>
        <w:t xml:space="preserve"> </w:t>
      </w:r>
      <w:r>
        <w:rPr>
          <w:sz w:val="20"/>
        </w:rPr>
        <w:t>Competency</w:t>
      </w:r>
      <w:r>
        <w:rPr>
          <w:spacing w:val="-4"/>
          <w:sz w:val="20"/>
        </w:rPr>
        <w:t xml:space="preserve"> </w:t>
      </w:r>
      <w:r>
        <w:rPr>
          <w:sz w:val="20"/>
        </w:rPr>
        <w:t>Course</w:t>
      </w:r>
      <w:r>
        <w:rPr>
          <w:spacing w:val="-5"/>
          <w:sz w:val="20"/>
        </w:rPr>
        <w:t xml:space="preserve"> </w:t>
      </w:r>
      <w:r>
        <w:rPr>
          <w:sz w:val="20"/>
        </w:rPr>
        <w:t>with</w:t>
      </w:r>
      <w:r>
        <w:rPr>
          <w:spacing w:val="-5"/>
          <w:sz w:val="20"/>
        </w:rPr>
        <w:t xml:space="preserve"> </w:t>
      </w:r>
      <w:r>
        <w:rPr>
          <w:sz w:val="20"/>
        </w:rPr>
        <w:t>11</w:t>
      </w:r>
      <w:r>
        <w:rPr>
          <w:spacing w:val="-4"/>
          <w:sz w:val="20"/>
        </w:rPr>
        <w:t xml:space="preserve"> </w:t>
      </w:r>
      <w:r>
        <w:rPr>
          <w:sz w:val="20"/>
        </w:rPr>
        <w:t>registrations</w:t>
      </w:r>
      <w:r>
        <w:rPr>
          <w:spacing w:val="-5"/>
          <w:sz w:val="20"/>
        </w:rPr>
        <w:t xml:space="preserve"> </w:t>
      </w:r>
      <w:r>
        <w:rPr>
          <w:sz w:val="20"/>
        </w:rPr>
        <w:t>so</w:t>
      </w:r>
      <w:r>
        <w:rPr>
          <w:spacing w:val="-4"/>
          <w:sz w:val="20"/>
        </w:rPr>
        <w:t xml:space="preserve"> far.</w:t>
      </w:r>
    </w:p>
    <w:p w14:paraId="222D4E4B" w14:textId="77777777" w:rsidR="00AC6F3C" w:rsidRDefault="00570E88">
      <w:pPr>
        <w:pStyle w:val="ListParagraph"/>
        <w:numPr>
          <w:ilvl w:val="0"/>
          <w:numId w:val="44"/>
        </w:numPr>
        <w:tabs>
          <w:tab w:val="left" w:pos="1155"/>
        </w:tabs>
        <w:ind w:hanging="340"/>
        <w:rPr>
          <w:sz w:val="20"/>
        </w:rPr>
      </w:pPr>
      <w:r>
        <w:rPr>
          <w:sz w:val="20"/>
        </w:rPr>
        <w:t>Reached</w:t>
      </w:r>
      <w:r>
        <w:rPr>
          <w:spacing w:val="-2"/>
          <w:sz w:val="20"/>
        </w:rPr>
        <w:t xml:space="preserve"> </w:t>
      </w:r>
      <w:r>
        <w:rPr>
          <w:sz w:val="20"/>
        </w:rPr>
        <w:t>out</w:t>
      </w:r>
      <w:r>
        <w:rPr>
          <w:spacing w:val="-1"/>
          <w:sz w:val="20"/>
        </w:rPr>
        <w:t xml:space="preserve"> </w:t>
      </w:r>
      <w:r>
        <w:rPr>
          <w:sz w:val="20"/>
        </w:rPr>
        <w:t>to</w:t>
      </w:r>
      <w:r>
        <w:rPr>
          <w:spacing w:val="-2"/>
          <w:sz w:val="20"/>
        </w:rPr>
        <w:t xml:space="preserve"> </w:t>
      </w:r>
      <w:r>
        <w:rPr>
          <w:sz w:val="20"/>
        </w:rPr>
        <w:t>First</w:t>
      </w:r>
      <w:r>
        <w:rPr>
          <w:spacing w:val="-1"/>
          <w:sz w:val="20"/>
        </w:rPr>
        <w:t xml:space="preserve"> </w:t>
      </w:r>
      <w:r>
        <w:rPr>
          <w:sz w:val="20"/>
        </w:rPr>
        <w:t>Nations</w:t>
      </w:r>
      <w:r>
        <w:rPr>
          <w:spacing w:val="-2"/>
          <w:sz w:val="20"/>
        </w:rPr>
        <w:t xml:space="preserve"> </w:t>
      </w:r>
      <w:r>
        <w:rPr>
          <w:sz w:val="20"/>
        </w:rPr>
        <w:t>legal</w:t>
      </w:r>
      <w:r>
        <w:rPr>
          <w:spacing w:val="-1"/>
          <w:sz w:val="20"/>
        </w:rPr>
        <w:t xml:space="preserve"> </w:t>
      </w:r>
      <w:r>
        <w:rPr>
          <w:sz w:val="20"/>
        </w:rPr>
        <w:t>stakeholders</w:t>
      </w:r>
      <w:r>
        <w:rPr>
          <w:spacing w:val="-2"/>
          <w:sz w:val="20"/>
        </w:rPr>
        <w:t xml:space="preserve"> </w:t>
      </w:r>
      <w:r>
        <w:rPr>
          <w:sz w:val="20"/>
        </w:rPr>
        <w:t>to</w:t>
      </w:r>
      <w:r>
        <w:rPr>
          <w:spacing w:val="-1"/>
          <w:sz w:val="20"/>
        </w:rPr>
        <w:t xml:space="preserve"> </w:t>
      </w:r>
      <w:r>
        <w:rPr>
          <w:sz w:val="20"/>
        </w:rPr>
        <w:t>work</w:t>
      </w:r>
      <w:r>
        <w:rPr>
          <w:spacing w:val="-2"/>
          <w:sz w:val="20"/>
        </w:rPr>
        <w:t xml:space="preserve"> </w:t>
      </w:r>
      <w:r>
        <w:rPr>
          <w:sz w:val="20"/>
        </w:rPr>
        <w:t>together</w:t>
      </w:r>
      <w:r>
        <w:rPr>
          <w:spacing w:val="-1"/>
          <w:sz w:val="20"/>
        </w:rPr>
        <w:t xml:space="preserve"> </w:t>
      </w:r>
      <w:r>
        <w:rPr>
          <w:sz w:val="20"/>
        </w:rPr>
        <w:t>to</w:t>
      </w:r>
      <w:r>
        <w:rPr>
          <w:spacing w:val="-2"/>
          <w:sz w:val="20"/>
        </w:rPr>
        <w:t xml:space="preserve"> </w:t>
      </w:r>
      <w:r>
        <w:rPr>
          <w:sz w:val="20"/>
        </w:rPr>
        <w:t>increase</w:t>
      </w:r>
      <w:r>
        <w:rPr>
          <w:spacing w:val="-1"/>
          <w:sz w:val="20"/>
        </w:rPr>
        <w:t xml:space="preserve"> </w:t>
      </w:r>
      <w:r>
        <w:rPr>
          <w:sz w:val="20"/>
        </w:rPr>
        <w:t>the</w:t>
      </w:r>
      <w:r>
        <w:rPr>
          <w:spacing w:val="-2"/>
          <w:sz w:val="20"/>
        </w:rPr>
        <w:t xml:space="preserve"> </w:t>
      </w:r>
      <w:r>
        <w:rPr>
          <w:sz w:val="20"/>
        </w:rPr>
        <w:t>number</w:t>
      </w:r>
      <w:r>
        <w:rPr>
          <w:spacing w:val="-1"/>
          <w:sz w:val="20"/>
        </w:rPr>
        <w:t xml:space="preserve"> </w:t>
      </w:r>
      <w:r>
        <w:rPr>
          <w:sz w:val="20"/>
        </w:rPr>
        <w:t>of</w:t>
      </w:r>
      <w:r>
        <w:rPr>
          <w:spacing w:val="-1"/>
          <w:sz w:val="20"/>
        </w:rPr>
        <w:t xml:space="preserve"> </w:t>
      </w:r>
      <w:r>
        <w:rPr>
          <w:spacing w:val="-2"/>
          <w:sz w:val="20"/>
        </w:rPr>
        <w:t>First</w:t>
      </w:r>
    </w:p>
    <w:p w14:paraId="3F215D20" w14:textId="77777777" w:rsidR="00AC6F3C" w:rsidRDefault="00570E88">
      <w:pPr>
        <w:pStyle w:val="BodyText"/>
        <w:spacing w:before="10"/>
        <w:ind w:left="1155"/>
      </w:pPr>
      <w:r>
        <w:t xml:space="preserve">Nations </w:t>
      </w:r>
      <w:r>
        <w:rPr>
          <w:spacing w:val="-2"/>
        </w:rPr>
        <w:t>solicitors.</w:t>
      </w:r>
    </w:p>
    <w:p w14:paraId="7DFE7235" w14:textId="77777777" w:rsidR="00AC6F3C" w:rsidRDefault="00570E88">
      <w:pPr>
        <w:pStyle w:val="ListParagraph"/>
        <w:numPr>
          <w:ilvl w:val="0"/>
          <w:numId w:val="44"/>
        </w:numPr>
        <w:tabs>
          <w:tab w:val="left" w:pos="1155"/>
        </w:tabs>
        <w:ind w:hanging="340"/>
        <w:rPr>
          <w:sz w:val="20"/>
        </w:rPr>
      </w:pPr>
      <w:r>
        <w:rPr>
          <w:sz w:val="20"/>
        </w:rPr>
        <w:t>Rolled</w:t>
      </w:r>
      <w:r>
        <w:rPr>
          <w:spacing w:val="-3"/>
          <w:sz w:val="20"/>
        </w:rPr>
        <w:t xml:space="preserve"> </w:t>
      </w:r>
      <w:r>
        <w:rPr>
          <w:sz w:val="20"/>
        </w:rPr>
        <w:t>out</w:t>
      </w:r>
      <w:r>
        <w:rPr>
          <w:spacing w:val="-3"/>
          <w:sz w:val="20"/>
        </w:rPr>
        <w:t xml:space="preserve"> </w:t>
      </w:r>
      <w:r>
        <w:rPr>
          <w:sz w:val="20"/>
        </w:rPr>
        <w:t>Cultural</w:t>
      </w:r>
      <w:r>
        <w:rPr>
          <w:spacing w:val="-3"/>
          <w:sz w:val="20"/>
        </w:rPr>
        <w:t xml:space="preserve"> </w:t>
      </w:r>
      <w:r>
        <w:rPr>
          <w:sz w:val="20"/>
        </w:rPr>
        <w:t>On-boarding</w:t>
      </w:r>
      <w:r>
        <w:rPr>
          <w:spacing w:val="-3"/>
          <w:sz w:val="20"/>
        </w:rPr>
        <w:t xml:space="preserve"> </w:t>
      </w:r>
      <w:r>
        <w:rPr>
          <w:sz w:val="20"/>
        </w:rPr>
        <w:t>to</w:t>
      </w:r>
      <w:r>
        <w:rPr>
          <w:spacing w:val="-3"/>
          <w:sz w:val="20"/>
        </w:rPr>
        <w:t xml:space="preserve"> </w:t>
      </w:r>
      <w:r>
        <w:rPr>
          <w:sz w:val="20"/>
        </w:rPr>
        <w:t>DLA</w:t>
      </w:r>
      <w:r>
        <w:rPr>
          <w:spacing w:val="-13"/>
          <w:sz w:val="20"/>
        </w:rPr>
        <w:t xml:space="preserve"> </w:t>
      </w:r>
      <w:r>
        <w:rPr>
          <w:sz w:val="20"/>
        </w:rPr>
        <w:t>Presidents</w:t>
      </w:r>
      <w:r>
        <w:rPr>
          <w:spacing w:val="-3"/>
          <w:sz w:val="20"/>
        </w:rPr>
        <w:t xml:space="preserve"> </w:t>
      </w:r>
      <w:r>
        <w:rPr>
          <w:sz w:val="20"/>
        </w:rPr>
        <w:t>and</w:t>
      </w:r>
      <w:r>
        <w:rPr>
          <w:spacing w:val="-3"/>
          <w:sz w:val="20"/>
        </w:rPr>
        <w:t xml:space="preserve"> </w:t>
      </w:r>
      <w:r>
        <w:rPr>
          <w:sz w:val="20"/>
        </w:rPr>
        <w:t>QLS</w:t>
      </w:r>
      <w:r>
        <w:rPr>
          <w:spacing w:val="-2"/>
          <w:sz w:val="20"/>
        </w:rPr>
        <w:t xml:space="preserve"> staff.</w:t>
      </w:r>
    </w:p>
    <w:p w14:paraId="25705670" w14:textId="77777777" w:rsidR="00AC6F3C" w:rsidRDefault="00570E88">
      <w:pPr>
        <w:pStyle w:val="ListParagraph"/>
        <w:numPr>
          <w:ilvl w:val="0"/>
          <w:numId w:val="44"/>
        </w:numPr>
        <w:tabs>
          <w:tab w:val="left" w:pos="1155"/>
        </w:tabs>
        <w:ind w:hanging="340"/>
        <w:rPr>
          <w:sz w:val="20"/>
        </w:rPr>
      </w:pPr>
      <w:r>
        <w:rPr>
          <w:sz w:val="20"/>
        </w:rPr>
        <w:t>Rolled</w:t>
      </w:r>
      <w:r>
        <w:rPr>
          <w:spacing w:val="-3"/>
          <w:sz w:val="20"/>
        </w:rPr>
        <w:t xml:space="preserve"> </w:t>
      </w:r>
      <w:r>
        <w:rPr>
          <w:sz w:val="20"/>
        </w:rPr>
        <w:t>out</w:t>
      </w:r>
      <w:r>
        <w:rPr>
          <w:spacing w:val="-3"/>
          <w:sz w:val="20"/>
        </w:rPr>
        <w:t xml:space="preserve"> </w:t>
      </w:r>
      <w:r>
        <w:rPr>
          <w:sz w:val="20"/>
        </w:rPr>
        <w:t>Cultural</w:t>
      </w:r>
      <w:r>
        <w:rPr>
          <w:spacing w:val="-3"/>
          <w:sz w:val="20"/>
        </w:rPr>
        <w:t xml:space="preserve"> </w:t>
      </w:r>
      <w:r>
        <w:rPr>
          <w:sz w:val="20"/>
        </w:rPr>
        <w:t>Competency</w:t>
      </w:r>
      <w:r>
        <w:rPr>
          <w:spacing w:val="-2"/>
          <w:sz w:val="20"/>
        </w:rPr>
        <w:t xml:space="preserve"> </w:t>
      </w:r>
      <w:r>
        <w:rPr>
          <w:sz w:val="20"/>
        </w:rPr>
        <w:t>training</w:t>
      </w:r>
      <w:r>
        <w:rPr>
          <w:spacing w:val="-3"/>
          <w:sz w:val="20"/>
        </w:rPr>
        <w:t xml:space="preserve"> </w:t>
      </w:r>
      <w:r>
        <w:rPr>
          <w:sz w:val="20"/>
        </w:rPr>
        <w:t>over</w:t>
      </w:r>
      <w:r>
        <w:rPr>
          <w:spacing w:val="-3"/>
          <w:sz w:val="20"/>
        </w:rPr>
        <w:t xml:space="preserve"> </w:t>
      </w:r>
      <w:r>
        <w:rPr>
          <w:sz w:val="20"/>
        </w:rPr>
        <w:t>two</w:t>
      </w:r>
      <w:r>
        <w:rPr>
          <w:spacing w:val="-2"/>
          <w:sz w:val="20"/>
        </w:rPr>
        <w:t xml:space="preserve"> </w:t>
      </w:r>
      <w:r>
        <w:rPr>
          <w:sz w:val="20"/>
        </w:rPr>
        <w:t>days</w:t>
      </w:r>
      <w:r>
        <w:rPr>
          <w:spacing w:val="-3"/>
          <w:sz w:val="20"/>
        </w:rPr>
        <w:t xml:space="preserve"> </w:t>
      </w:r>
      <w:r>
        <w:rPr>
          <w:sz w:val="20"/>
        </w:rPr>
        <w:t>for</w:t>
      </w:r>
      <w:r>
        <w:rPr>
          <w:spacing w:val="-3"/>
          <w:sz w:val="20"/>
        </w:rPr>
        <w:t xml:space="preserve"> </w:t>
      </w:r>
      <w:r>
        <w:rPr>
          <w:sz w:val="20"/>
        </w:rPr>
        <w:t>QLS</w:t>
      </w:r>
      <w:r>
        <w:rPr>
          <w:spacing w:val="-2"/>
          <w:sz w:val="20"/>
        </w:rPr>
        <w:t xml:space="preserve"> </w:t>
      </w:r>
      <w:r>
        <w:rPr>
          <w:sz w:val="20"/>
        </w:rPr>
        <w:t>with</w:t>
      </w:r>
      <w:r>
        <w:rPr>
          <w:spacing w:val="-3"/>
          <w:sz w:val="20"/>
        </w:rPr>
        <w:t xml:space="preserve"> </w:t>
      </w:r>
      <w:r>
        <w:rPr>
          <w:sz w:val="20"/>
        </w:rPr>
        <w:t>60</w:t>
      </w:r>
      <w:r>
        <w:rPr>
          <w:spacing w:val="-3"/>
          <w:sz w:val="20"/>
        </w:rPr>
        <w:t xml:space="preserve"> </w:t>
      </w:r>
      <w:r>
        <w:rPr>
          <w:sz w:val="20"/>
        </w:rPr>
        <w:t>staff</w:t>
      </w:r>
      <w:r>
        <w:rPr>
          <w:spacing w:val="-2"/>
          <w:sz w:val="20"/>
        </w:rPr>
        <w:t xml:space="preserve"> </w:t>
      </w:r>
      <w:r>
        <w:rPr>
          <w:sz w:val="20"/>
        </w:rPr>
        <w:t>in</w:t>
      </w:r>
      <w:r>
        <w:rPr>
          <w:spacing w:val="-3"/>
          <w:sz w:val="20"/>
        </w:rPr>
        <w:t xml:space="preserve"> </w:t>
      </w:r>
      <w:r>
        <w:rPr>
          <w:spacing w:val="-2"/>
          <w:sz w:val="20"/>
        </w:rPr>
        <w:t>attendance.</w:t>
      </w:r>
    </w:p>
    <w:p w14:paraId="61B0D1D7" w14:textId="77777777" w:rsidR="00AC6F3C" w:rsidRDefault="00AC6F3C">
      <w:pPr>
        <w:pStyle w:val="BodyText"/>
        <w:spacing w:before="6"/>
        <w:rPr>
          <w:sz w:val="23"/>
        </w:rPr>
      </w:pPr>
    </w:p>
    <w:p w14:paraId="576F0610" w14:textId="77777777" w:rsidR="00AC6F3C" w:rsidRDefault="00570E88">
      <w:pPr>
        <w:pStyle w:val="Heading9"/>
      </w:pPr>
      <w:r>
        <w:rPr>
          <w:spacing w:val="-2"/>
        </w:rPr>
        <w:t>Advocacy</w:t>
      </w:r>
    </w:p>
    <w:p w14:paraId="59486F4C" w14:textId="77777777" w:rsidR="00AC6F3C" w:rsidRDefault="00570E88">
      <w:pPr>
        <w:pStyle w:val="ListParagraph"/>
        <w:numPr>
          <w:ilvl w:val="0"/>
          <w:numId w:val="44"/>
        </w:numPr>
        <w:tabs>
          <w:tab w:val="left" w:pos="1155"/>
        </w:tabs>
        <w:spacing w:before="176" w:line="249" w:lineRule="auto"/>
        <w:ind w:right="1424"/>
        <w:rPr>
          <w:sz w:val="20"/>
        </w:rPr>
      </w:pPr>
      <w:r>
        <w:rPr>
          <w:sz w:val="20"/>
        </w:rPr>
        <w:t>Undertook</w:t>
      </w:r>
      <w:r>
        <w:rPr>
          <w:spacing w:val="-4"/>
          <w:sz w:val="20"/>
        </w:rPr>
        <w:t xml:space="preserve"> </w:t>
      </w:r>
      <w:r>
        <w:rPr>
          <w:sz w:val="20"/>
        </w:rPr>
        <w:t>ten</w:t>
      </w:r>
      <w:r>
        <w:rPr>
          <w:spacing w:val="-4"/>
          <w:sz w:val="20"/>
        </w:rPr>
        <w:t xml:space="preserve"> </w:t>
      </w:r>
      <w:r>
        <w:rPr>
          <w:sz w:val="20"/>
        </w:rPr>
        <w:t>submissions</w:t>
      </w:r>
      <w:r>
        <w:rPr>
          <w:spacing w:val="-4"/>
          <w:sz w:val="20"/>
        </w:rPr>
        <w:t xml:space="preserve"> </w:t>
      </w:r>
      <w:r>
        <w:rPr>
          <w:sz w:val="20"/>
        </w:rPr>
        <w:t>in</w:t>
      </w:r>
      <w:r>
        <w:rPr>
          <w:spacing w:val="-4"/>
          <w:sz w:val="20"/>
        </w:rPr>
        <w:t xml:space="preserve"> </w:t>
      </w:r>
      <w:r>
        <w:rPr>
          <w:sz w:val="20"/>
        </w:rPr>
        <w:t>First</w:t>
      </w:r>
      <w:r>
        <w:rPr>
          <w:spacing w:val="-4"/>
          <w:sz w:val="20"/>
        </w:rPr>
        <w:t xml:space="preserve"> </w:t>
      </w:r>
      <w:r>
        <w:rPr>
          <w:sz w:val="20"/>
        </w:rPr>
        <w:t>Nations</w:t>
      </w:r>
      <w:r>
        <w:rPr>
          <w:spacing w:val="-4"/>
          <w:sz w:val="20"/>
        </w:rPr>
        <w:t xml:space="preserve"> </w:t>
      </w:r>
      <w:r>
        <w:rPr>
          <w:sz w:val="20"/>
        </w:rPr>
        <w:t>matters</w:t>
      </w:r>
      <w:r>
        <w:rPr>
          <w:spacing w:val="-4"/>
          <w:sz w:val="20"/>
        </w:rPr>
        <w:t xml:space="preserve"> </w:t>
      </w:r>
      <w:r>
        <w:rPr>
          <w:sz w:val="20"/>
        </w:rPr>
        <w:t>and</w:t>
      </w:r>
      <w:r>
        <w:rPr>
          <w:spacing w:val="-4"/>
          <w:sz w:val="20"/>
        </w:rPr>
        <w:t xml:space="preserve"> </w:t>
      </w:r>
      <w:r>
        <w:rPr>
          <w:sz w:val="20"/>
        </w:rPr>
        <w:t>six</w:t>
      </w:r>
      <w:r>
        <w:rPr>
          <w:spacing w:val="-4"/>
          <w:sz w:val="20"/>
        </w:rPr>
        <w:t xml:space="preserve"> </w:t>
      </w:r>
      <w:r>
        <w:rPr>
          <w:sz w:val="20"/>
        </w:rPr>
        <w:t>governmental/departmental stakeholder consultations.</w:t>
      </w:r>
    </w:p>
    <w:p w14:paraId="4AE2AE7F" w14:textId="77777777" w:rsidR="00AC6F3C" w:rsidRDefault="00570E88">
      <w:pPr>
        <w:pStyle w:val="ListParagraph"/>
        <w:numPr>
          <w:ilvl w:val="0"/>
          <w:numId w:val="44"/>
        </w:numPr>
        <w:tabs>
          <w:tab w:val="left" w:pos="1155"/>
        </w:tabs>
        <w:spacing w:before="171"/>
        <w:ind w:hanging="340"/>
        <w:rPr>
          <w:sz w:val="20"/>
        </w:rPr>
      </w:pPr>
      <w:r>
        <w:rPr>
          <w:sz w:val="20"/>
        </w:rPr>
        <w:t>Published</w:t>
      </w:r>
      <w:r>
        <w:rPr>
          <w:spacing w:val="-6"/>
          <w:sz w:val="20"/>
        </w:rPr>
        <w:t xml:space="preserve"> </w:t>
      </w:r>
      <w:r>
        <w:rPr>
          <w:sz w:val="20"/>
        </w:rPr>
        <w:t>and</w:t>
      </w:r>
      <w:r>
        <w:rPr>
          <w:spacing w:val="-3"/>
          <w:sz w:val="20"/>
        </w:rPr>
        <w:t xml:space="preserve"> </w:t>
      </w:r>
      <w:r>
        <w:rPr>
          <w:sz w:val="20"/>
        </w:rPr>
        <w:t>raised</w:t>
      </w:r>
      <w:r>
        <w:rPr>
          <w:spacing w:val="-4"/>
          <w:sz w:val="20"/>
        </w:rPr>
        <w:t xml:space="preserve"> </w:t>
      </w:r>
      <w:r>
        <w:rPr>
          <w:sz w:val="20"/>
        </w:rPr>
        <w:t>awareness</w:t>
      </w:r>
      <w:r>
        <w:rPr>
          <w:spacing w:val="-3"/>
          <w:sz w:val="20"/>
        </w:rPr>
        <w:t xml:space="preserve"> </w:t>
      </w:r>
      <w:r>
        <w:rPr>
          <w:sz w:val="20"/>
        </w:rPr>
        <w:t>on</w:t>
      </w:r>
      <w:r>
        <w:rPr>
          <w:spacing w:val="-3"/>
          <w:sz w:val="20"/>
        </w:rPr>
        <w:t xml:space="preserve"> </w:t>
      </w:r>
      <w:r>
        <w:rPr>
          <w:sz w:val="20"/>
        </w:rPr>
        <w:t>Indigenous</w:t>
      </w:r>
      <w:r>
        <w:rPr>
          <w:spacing w:val="-4"/>
          <w:sz w:val="20"/>
        </w:rPr>
        <w:t xml:space="preserve"> </w:t>
      </w:r>
      <w:r>
        <w:rPr>
          <w:sz w:val="20"/>
        </w:rPr>
        <w:t>Voice</w:t>
      </w:r>
      <w:r>
        <w:rPr>
          <w:spacing w:val="-3"/>
          <w:sz w:val="20"/>
        </w:rPr>
        <w:t xml:space="preserve"> </w:t>
      </w:r>
      <w:r>
        <w:rPr>
          <w:sz w:val="20"/>
        </w:rPr>
        <w:t>to</w:t>
      </w:r>
      <w:r>
        <w:rPr>
          <w:spacing w:val="-3"/>
          <w:sz w:val="20"/>
        </w:rPr>
        <w:t xml:space="preserve"> </w:t>
      </w:r>
      <w:r>
        <w:rPr>
          <w:sz w:val="20"/>
        </w:rPr>
        <w:t>Parliament</w:t>
      </w:r>
      <w:r>
        <w:rPr>
          <w:spacing w:val="-4"/>
          <w:sz w:val="20"/>
        </w:rPr>
        <w:t xml:space="preserve"> </w:t>
      </w:r>
      <w:r>
        <w:rPr>
          <w:sz w:val="20"/>
        </w:rPr>
        <w:t>and</w:t>
      </w:r>
      <w:r>
        <w:rPr>
          <w:spacing w:val="-13"/>
          <w:sz w:val="20"/>
        </w:rPr>
        <w:t xml:space="preserve"> </w:t>
      </w:r>
      <w:r>
        <w:rPr>
          <w:sz w:val="20"/>
        </w:rPr>
        <w:t>Aboriginal</w:t>
      </w:r>
      <w:r>
        <w:rPr>
          <w:spacing w:val="-4"/>
          <w:sz w:val="20"/>
        </w:rPr>
        <w:t xml:space="preserve"> </w:t>
      </w:r>
      <w:r>
        <w:rPr>
          <w:sz w:val="20"/>
        </w:rPr>
        <w:t>Deaths</w:t>
      </w:r>
      <w:r>
        <w:rPr>
          <w:spacing w:val="-3"/>
          <w:sz w:val="20"/>
        </w:rPr>
        <w:t xml:space="preserve"> </w:t>
      </w:r>
      <w:r>
        <w:rPr>
          <w:sz w:val="20"/>
        </w:rPr>
        <w:t>in</w:t>
      </w:r>
      <w:r>
        <w:rPr>
          <w:spacing w:val="-3"/>
          <w:sz w:val="20"/>
        </w:rPr>
        <w:t xml:space="preserve"> </w:t>
      </w:r>
      <w:r>
        <w:rPr>
          <w:spacing w:val="-2"/>
          <w:sz w:val="20"/>
        </w:rPr>
        <w:t>custody.</w:t>
      </w:r>
    </w:p>
    <w:p w14:paraId="754D0996" w14:textId="77777777" w:rsidR="00AC6F3C" w:rsidRDefault="00AC6F3C">
      <w:pPr>
        <w:pStyle w:val="BodyText"/>
        <w:spacing w:before="6"/>
        <w:rPr>
          <w:sz w:val="23"/>
        </w:rPr>
      </w:pPr>
    </w:p>
    <w:p w14:paraId="2775BC53" w14:textId="77777777" w:rsidR="00AC6F3C" w:rsidRDefault="00570E88">
      <w:pPr>
        <w:pStyle w:val="Heading9"/>
      </w:pPr>
      <w:r>
        <w:rPr>
          <w:spacing w:val="-2"/>
        </w:rPr>
        <w:t>Connect</w:t>
      </w:r>
    </w:p>
    <w:p w14:paraId="6AC6874E" w14:textId="77777777" w:rsidR="00AC6F3C" w:rsidRDefault="00570E88">
      <w:pPr>
        <w:pStyle w:val="ListParagraph"/>
        <w:numPr>
          <w:ilvl w:val="0"/>
          <w:numId w:val="44"/>
        </w:numPr>
        <w:tabs>
          <w:tab w:val="left" w:pos="1155"/>
        </w:tabs>
        <w:spacing w:before="176" w:line="249" w:lineRule="auto"/>
        <w:ind w:right="112"/>
        <w:rPr>
          <w:sz w:val="20"/>
        </w:rPr>
      </w:pPr>
      <w:r>
        <w:rPr>
          <w:sz w:val="20"/>
        </w:rPr>
        <w:t>Profiled</w:t>
      </w:r>
      <w:r>
        <w:rPr>
          <w:spacing w:val="-3"/>
          <w:sz w:val="20"/>
        </w:rPr>
        <w:t xml:space="preserve"> </w:t>
      </w:r>
      <w:r>
        <w:rPr>
          <w:sz w:val="20"/>
        </w:rPr>
        <w:t>four</w:t>
      </w:r>
      <w:r>
        <w:rPr>
          <w:spacing w:val="-3"/>
          <w:sz w:val="20"/>
        </w:rPr>
        <w:t xml:space="preserve"> </w:t>
      </w:r>
      <w:r>
        <w:rPr>
          <w:sz w:val="20"/>
        </w:rPr>
        <w:t>First</w:t>
      </w:r>
      <w:r>
        <w:rPr>
          <w:spacing w:val="-4"/>
          <w:sz w:val="20"/>
        </w:rPr>
        <w:t xml:space="preserve"> </w:t>
      </w:r>
      <w:r>
        <w:rPr>
          <w:sz w:val="20"/>
        </w:rPr>
        <w:t>Nations</w:t>
      </w:r>
      <w:r>
        <w:rPr>
          <w:spacing w:val="-3"/>
          <w:sz w:val="20"/>
        </w:rPr>
        <w:t xml:space="preserve"> </w:t>
      </w:r>
      <w:r>
        <w:rPr>
          <w:sz w:val="20"/>
        </w:rPr>
        <w:t>solicitors,</w:t>
      </w:r>
      <w:r>
        <w:rPr>
          <w:spacing w:val="-3"/>
          <w:sz w:val="20"/>
        </w:rPr>
        <w:t xml:space="preserve"> </w:t>
      </w:r>
      <w:r>
        <w:rPr>
          <w:sz w:val="20"/>
        </w:rPr>
        <w:t>barristers</w:t>
      </w:r>
      <w:r>
        <w:rPr>
          <w:spacing w:val="-3"/>
          <w:sz w:val="20"/>
        </w:rPr>
        <w:t xml:space="preserve"> </w:t>
      </w:r>
      <w:r>
        <w:rPr>
          <w:sz w:val="20"/>
        </w:rPr>
        <w:t>and</w:t>
      </w:r>
      <w:r>
        <w:rPr>
          <w:spacing w:val="-3"/>
          <w:sz w:val="20"/>
        </w:rPr>
        <w:t xml:space="preserve"> </w:t>
      </w:r>
      <w:r>
        <w:rPr>
          <w:sz w:val="20"/>
        </w:rPr>
        <w:t>legal</w:t>
      </w:r>
      <w:r>
        <w:rPr>
          <w:spacing w:val="-3"/>
          <w:sz w:val="20"/>
        </w:rPr>
        <w:t xml:space="preserve"> </w:t>
      </w:r>
      <w:r>
        <w:rPr>
          <w:sz w:val="20"/>
        </w:rPr>
        <w:t>students</w:t>
      </w:r>
      <w:r>
        <w:rPr>
          <w:spacing w:val="-3"/>
          <w:sz w:val="20"/>
        </w:rPr>
        <w:t xml:space="preserve"> </w:t>
      </w:r>
      <w:r>
        <w:rPr>
          <w:sz w:val="20"/>
        </w:rPr>
        <w:t>in</w:t>
      </w:r>
      <w:r>
        <w:rPr>
          <w:spacing w:val="-3"/>
          <w:sz w:val="20"/>
        </w:rPr>
        <w:t xml:space="preserve"> </w:t>
      </w:r>
      <w:r>
        <w:rPr>
          <w:sz w:val="20"/>
        </w:rPr>
        <w:t>QLS</w:t>
      </w:r>
      <w:r>
        <w:rPr>
          <w:spacing w:val="-4"/>
          <w:sz w:val="20"/>
        </w:rPr>
        <w:t xml:space="preserve"> </w:t>
      </w:r>
      <w:r>
        <w:rPr>
          <w:sz w:val="20"/>
        </w:rPr>
        <w:t>Proctor,</w:t>
      </w:r>
      <w:r>
        <w:rPr>
          <w:spacing w:val="-4"/>
          <w:sz w:val="20"/>
        </w:rPr>
        <w:t xml:space="preserve"> </w:t>
      </w:r>
      <w:r>
        <w:rPr>
          <w:sz w:val="20"/>
        </w:rPr>
        <w:t>raising</w:t>
      </w:r>
      <w:r>
        <w:rPr>
          <w:spacing w:val="-3"/>
          <w:sz w:val="20"/>
        </w:rPr>
        <w:t xml:space="preserve"> </w:t>
      </w:r>
      <w:r>
        <w:rPr>
          <w:sz w:val="20"/>
        </w:rPr>
        <w:t>awareness</w:t>
      </w:r>
      <w:r>
        <w:rPr>
          <w:spacing w:val="-3"/>
          <w:sz w:val="20"/>
        </w:rPr>
        <w:t xml:space="preserve"> </w:t>
      </w:r>
      <w:r>
        <w:rPr>
          <w:sz w:val="20"/>
        </w:rPr>
        <w:t>of their work and journeys throughout the law.</w:t>
      </w:r>
    </w:p>
    <w:p w14:paraId="5D419C4B" w14:textId="77777777" w:rsidR="00AC6F3C" w:rsidRDefault="00570E88">
      <w:pPr>
        <w:pStyle w:val="ListParagraph"/>
        <w:numPr>
          <w:ilvl w:val="0"/>
          <w:numId w:val="44"/>
        </w:numPr>
        <w:tabs>
          <w:tab w:val="left" w:pos="1155"/>
        </w:tabs>
        <w:spacing w:before="172" w:line="249" w:lineRule="auto"/>
        <w:ind w:right="270"/>
        <w:rPr>
          <w:sz w:val="20"/>
        </w:rPr>
      </w:pPr>
      <w:r>
        <w:rPr>
          <w:sz w:val="20"/>
        </w:rPr>
        <w:t>Held</w:t>
      </w:r>
      <w:r>
        <w:rPr>
          <w:spacing w:val="-4"/>
          <w:sz w:val="20"/>
        </w:rPr>
        <w:t xml:space="preserve"> </w:t>
      </w:r>
      <w:r>
        <w:rPr>
          <w:sz w:val="20"/>
        </w:rPr>
        <w:t>the</w:t>
      </w:r>
      <w:r>
        <w:rPr>
          <w:spacing w:val="-4"/>
          <w:sz w:val="20"/>
        </w:rPr>
        <w:t xml:space="preserve"> </w:t>
      </w:r>
      <w:r>
        <w:rPr>
          <w:sz w:val="20"/>
        </w:rPr>
        <w:t>5th</w:t>
      </w:r>
      <w:r>
        <w:rPr>
          <w:spacing w:val="-4"/>
          <w:sz w:val="20"/>
        </w:rPr>
        <w:t xml:space="preserve"> </w:t>
      </w:r>
      <w:r>
        <w:rPr>
          <w:sz w:val="20"/>
        </w:rPr>
        <w:t>annual</w:t>
      </w:r>
      <w:r>
        <w:rPr>
          <w:spacing w:val="-4"/>
          <w:sz w:val="20"/>
        </w:rPr>
        <w:t xml:space="preserve"> </w:t>
      </w:r>
      <w:r>
        <w:rPr>
          <w:sz w:val="20"/>
        </w:rPr>
        <w:t>First</w:t>
      </w:r>
      <w:r>
        <w:rPr>
          <w:spacing w:val="-4"/>
          <w:sz w:val="20"/>
        </w:rPr>
        <w:t xml:space="preserve"> </w:t>
      </w:r>
      <w:r>
        <w:rPr>
          <w:sz w:val="20"/>
        </w:rPr>
        <w:t>Nations</w:t>
      </w:r>
      <w:r>
        <w:rPr>
          <w:spacing w:val="-4"/>
          <w:sz w:val="20"/>
        </w:rPr>
        <w:t xml:space="preserve"> </w:t>
      </w:r>
      <w:r>
        <w:rPr>
          <w:sz w:val="20"/>
        </w:rPr>
        <w:t>Solicitor</w:t>
      </w:r>
      <w:r>
        <w:rPr>
          <w:spacing w:val="-4"/>
          <w:sz w:val="20"/>
        </w:rPr>
        <w:t xml:space="preserve"> </w:t>
      </w:r>
      <w:r>
        <w:rPr>
          <w:sz w:val="20"/>
        </w:rPr>
        <w:t>and</w:t>
      </w:r>
      <w:r>
        <w:rPr>
          <w:spacing w:val="-4"/>
          <w:sz w:val="20"/>
        </w:rPr>
        <w:t xml:space="preserve"> </w:t>
      </w:r>
      <w:r>
        <w:rPr>
          <w:sz w:val="20"/>
        </w:rPr>
        <w:t>Legal</w:t>
      </w:r>
      <w:r>
        <w:rPr>
          <w:spacing w:val="-4"/>
          <w:sz w:val="20"/>
        </w:rPr>
        <w:t xml:space="preserve"> </w:t>
      </w:r>
      <w:r>
        <w:rPr>
          <w:sz w:val="20"/>
        </w:rPr>
        <w:t>Student</w:t>
      </w:r>
      <w:r>
        <w:rPr>
          <w:spacing w:val="-4"/>
          <w:sz w:val="20"/>
        </w:rPr>
        <w:t xml:space="preserve"> </w:t>
      </w:r>
      <w:r>
        <w:rPr>
          <w:sz w:val="20"/>
        </w:rPr>
        <w:t>of</w:t>
      </w:r>
      <w:r>
        <w:rPr>
          <w:spacing w:val="-4"/>
          <w:sz w:val="20"/>
        </w:rPr>
        <w:t xml:space="preserve"> </w:t>
      </w:r>
      <w:r>
        <w:rPr>
          <w:sz w:val="20"/>
        </w:rPr>
        <w:t>the</w:t>
      </w:r>
      <w:r>
        <w:rPr>
          <w:spacing w:val="-8"/>
          <w:sz w:val="20"/>
        </w:rPr>
        <w:t xml:space="preserve"> </w:t>
      </w:r>
      <w:r>
        <w:rPr>
          <w:sz w:val="20"/>
        </w:rPr>
        <w:t>Year</w:t>
      </w:r>
      <w:r>
        <w:rPr>
          <w:spacing w:val="-14"/>
          <w:sz w:val="20"/>
        </w:rPr>
        <w:t xml:space="preserve"> </w:t>
      </w:r>
      <w:r>
        <w:rPr>
          <w:sz w:val="20"/>
        </w:rPr>
        <w:t>Awards</w:t>
      </w:r>
      <w:r>
        <w:rPr>
          <w:spacing w:val="-4"/>
          <w:sz w:val="20"/>
        </w:rPr>
        <w:t xml:space="preserve"> </w:t>
      </w:r>
      <w:r>
        <w:rPr>
          <w:sz w:val="20"/>
        </w:rPr>
        <w:t>(2023)</w:t>
      </w:r>
      <w:r>
        <w:rPr>
          <w:spacing w:val="-4"/>
          <w:sz w:val="20"/>
        </w:rPr>
        <w:t xml:space="preserve"> </w:t>
      </w:r>
      <w:r>
        <w:rPr>
          <w:sz w:val="20"/>
        </w:rPr>
        <w:t>to</w:t>
      </w:r>
      <w:r>
        <w:rPr>
          <w:spacing w:val="-4"/>
          <w:sz w:val="20"/>
        </w:rPr>
        <w:t xml:space="preserve"> </w:t>
      </w:r>
      <w:r>
        <w:rPr>
          <w:sz w:val="20"/>
        </w:rPr>
        <w:t>increased number of applicants for student nominations.</w:t>
      </w:r>
    </w:p>
    <w:p w14:paraId="3915C4E2" w14:textId="77777777" w:rsidR="00AC6F3C" w:rsidRDefault="00AC6F3C">
      <w:pPr>
        <w:pStyle w:val="BodyText"/>
      </w:pPr>
    </w:p>
    <w:p w14:paraId="132EF190" w14:textId="77777777" w:rsidR="00AC6F3C" w:rsidRDefault="00570E88">
      <w:pPr>
        <w:pStyle w:val="BodyText"/>
        <w:spacing w:before="5"/>
        <w:rPr>
          <w:sz w:val="18"/>
        </w:rPr>
      </w:pPr>
      <w:r>
        <w:rPr>
          <w:noProof/>
        </w:rPr>
        <mc:AlternateContent>
          <mc:Choice Requires="wps">
            <w:drawing>
              <wp:anchor distT="0" distB="0" distL="0" distR="0" simplePos="0" relativeHeight="487633408" behindDoc="1" locked="0" layoutInCell="1" allowOverlap="1" wp14:anchorId="5BBD72C4" wp14:editId="0DE8A033">
                <wp:simplePos x="0" y="0"/>
                <wp:positionH relativeFrom="page">
                  <wp:posOffset>809999</wp:posOffset>
                </wp:positionH>
                <wp:positionV relativeFrom="paragraph">
                  <wp:posOffset>150007</wp:posOffset>
                </wp:positionV>
                <wp:extent cx="91440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EC0D6" id="Graphic 417" o:spid="_x0000_s1026" style="position:absolute;margin-left:63.8pt;margin-top:11.8pt;width:1in;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" path="m,l914400,e" filled="f" strokeweight=".5pt">
                <v:path arrowok="t"/>
                <w10:wrap type="topAndBottom" anchorx="page"/>
              </v:shape>
            </w:pict>
          </mc:Fallback>
        </mc:AlternateContent>
      </w:r>
    </w:p>
    <w:p w14:paraId="0AF5E487" w14:textId="77777777" w:rsidR="00AC6F3C" w:rsidRDefault="00AC6F3C">
      <w:pPr>
        <w:pStyle w:val="BodyText"/>
        <w:spacing w:before="8"/>
        <w:rPr>
          <w:sz w:val="9"/>
        </w:rPr>
      </w:pPr>
    </w:p>
    <w:p w14:paraId="164CBFE6" w14:textId="77777777" w:rsidR="00AC6F3C" w:rsidRDefault="00570E88">
      <w:pPr>
        <w:spacing w:before="95" w:line="249" w:lineRule="auto"/>
        <w:ind w:left="985" w:right="150" w:hanging="171"/>
        <w:rPr>
          <w:sz w:val="16"/>
        </w:rPr>
      </w:pPr>
      <w:r>
        <w:rPr>
          <w:sz w:val="16"/>
        </w:rPr>
        <w:t>3</w:t>
      </w:r>
      <w:r>
        <w:rPr>
          <w:spacing w:val="23"/>
          <w:sz w:val="16"/>
        </w:rPr>
        <w:t xml:space="preserve"> </w:t>
      </w:r>
      <w:r>
        <w:rPr>
          <w:sz w:val="16"/>
        </w:rPr>
        <w:t>2022</w:t>
      </w:r>
      <w:r>
        <w:rPr>
          <w:spacing w:val="-7"/>
          <w:sz w:val="16"/>
        </w:rPr>
        <w:t xml:space="preserve"> </w:t>
      </w:r>
      <w:r>
        <w:rPr>
          <w:sz w:val="16"/>
        </w:rPr>
        <w:t>Profile</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Profession</w:t>
      </w:r>
      <w:r>
        <w:rPr>
          <w:spacing w:val="-7"/>
          <w:sz w:val="16"/>
        </w:rPr>
        <w:t xml:space="preserve"> </w:t>
      </w:r>
      <w:r>
        <w:rPr>
          <w:sz w:val="16"/>
        </w:rPr>
        <w:t>–</w:t>
      </w:r>
      <w:r>
        <w:rPr>
          <w:spacing w:val="-7"/>
          <w:sz w:val="16"/>
        </w:rPr>
        <w:t xml:space="preserve"> </w:t>
      </w:r>
      <w:hyperlink r:id="rId158">
        <w:r>
          <w:rPr>
            <w:sz w:val="16"/>
          </w:rPr>
          <w:t>https://www.lawsociety.com.au/sites/default/files/2023-05/2022%20National%20Profile%20of%20</w:t>
        </w:r>
      </w:hyperlink>
      <w:r>
        <w:rPr>
          <w:sz w:val="16"/>
        </w:rPr>
        <w:t xml:space="preserve"> </w:t>
      </w:r>
      <w:hyperlink r:id="rId159">
        <w:r>
          <w:rPr>
            <w:sz w:val="16"/>
          </w:rPr>
          <w:t>Solicitors%20-%20Final.pdf</w:t>
        </w:r>
      </w:hyperlink>
      <w:r>
        <w:rPr>
          <w:sz w:val="16"/>
        </w:rPr>
        <w:t xml:space="preserve"> accessed 17 August 2023</w:t>
      </w:r>
    </w:p>
    <w:p w14:paraId="196A9E84" w14:textId="77777777" w:rsidR="00AC6F3C" w:rsidRDefault="00570E88">
      <w:pPr>
        <w:spacing w:before="87" w:line="249" w:lineRule="auto"/>
        <w:ind w:left="985" w:hanging="171"/>
        <w:rPr>
          <w:sz w:val="16"/>
        </w:rPr>
      </w:pPr>
      <w:r>
        <w:rPr>
          <w:sz w:val="16"/>
        </w:rPr>
        <w:t>4</w:t>
      </w:r>
      <w:r>
        <w:rPr>
          <w:spacing w:val="23"/>
          <w:sz w:val="16"/>
        </w:rPr>
        <w:t xml:space="preserve"> </w:t>
      </w:r>
      <w:r>
        <w:rPr>
          <w:sz w:val="16"/>
        </w:rPr>
        <w:t>2018</w:t>
      </w:r>
      <w:r>
        <w:rPr>
          <w:spacing w:val="-7"/>
          <w:sz w:val="16"/>
        </w:rPr>
        <w:t xml:space="preserve"> </w:t>
      </w:r>
      <w:r>
        <w:rPr>
          <w:sz w:val="16"/>
        </w:rPr>
        <w:t>Profile</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Profession</w:t>
      </w:r>
      <w:r>
        <w:rPr>
          <w:spacing w:val="-7"/>
          <w:sz w:val="16"/>
        </w:rPr>
        <w:t xml:space="preserve"> </w:t>
      </w:r>
      <w:r>
        <w:rPr>
          <w:sz w:val="16"/>
        </w:rPr>
        <w:t>–</w:t>
      </w:r>
      <w:r>
        <w:rPr>
          <w:spacing w:val="-7"/>
          <w:sz w:val="16"/>
        </w:rPr>
        <w:t xml:space="preserve"> </w:t>
      </w:r>
      <w:hyperlink r:id="rId160">
        <w:r>
          <w:rPr>
            <w:sz w:val="16"/>
          </w:rPr>
          <w:t>https://www.lawsociety.com.au/sites/default/files/2019-07/2018%20National%20Profile%20of%20</w:t>
        </w:r>
      </w:hyperlink>
      <w:r>
        <w:rPr>
          <w:sz w:val="16"/>
        </w:rPr>
        <w:t xml:space="preserve"> </w:t>
      </w:r>
      <w:hyperlink r:id="rId161">
        <w:r>
          <w:rPr>
            <w:sz w:val="16"/>
          </w:rPr>
          <w:t>Solicitors_final%20report_190619.pdf</w:t>
        </w:r>
      </w:hyperlink>
      <w:r>
        <w:rPr>
          <w:sz w:val="16"/>
        </w:rPr>
        <w:t xml:space="preserve"> accessed 17 August 2023</w:t>
      </w:r>
    </w:p>
    <w:p w14:paraId="2A4FFE21" w14:textId="77777777" w:rsidR="00AC6F3C" w:rsidRDefault="00AC6F3C">
      <w:pPr>
        <w:spacing w:line="249" w:lineRule="auto"/>
        <w:rPr>
          <w:sz w:val="16"/>
        </w:rPr>
        <w:sectPr w:rsidR="00AC6F3C">
          <w:headerReference w:type="default" r:id="rId162"/>
          <w:footerReference w:type="default" r:id="rId163"/>
          <w:pgSz w:w="11910" w:h="16840"/>
          <w:pgMar w:top="1120" w:right="1160" w:bottom="520" w:left="460" w:header="0" w:footer="336" w:gutter="0"/>
          <w:cols w:space="720"/>
        </w:sectPr>
      </w:pPr>
    </w:p>
    <w:p w14:paraId="59D4F91A" w14:textId="77777777" w:rsidR="00AC6F3C" w:rsidRDefault="00570E88">
      <w:pPr>
        <w:pStyle w:val="Heading9"/>
        <w:spacing w:before="71"/>
      </w:pPr>
      <w:r>
        <w:rPr>
          <w:spacing w:val="-2"/>
        </w:rPr>
        <w:lastRenderedPageBreak/>
        <w:t>Support</w:t>
      </w:r>
    </w:p>
    <w:p w14:paraId="5A652E5D" w14:textId="77777777" w:rsidR="00AC6F3C" w:rsidRDefault="00570E88">
      <w:pPr>
        <w:pStyle w:val="ListParagraph"/>
        <w:numPr>
          <w:ilvl w:val="0"/>
          <w:numId w:val="44"/>
        </w:numPr>
        <w:tabs>
          <w:tab w:val="left" w:pos="1155"/>
        </w:tabs>
        <w:spacing w:before="176" w:line="249" w:lineRule="auto"/>
        <w:ind w:right="649"/>
        <w:rPr>
          <w:sz w:val="20"/>
        </w:rPr>
      </w:pPr>
      <w:r>
        <w:rPr>
          <w:sz w:val="20"/>
        </w:rPr>
        <w:t>Celebrated</w:t>
      </w:r>
      <w:r>
        <w:rPr>
          <w:spacing w:val="-4"/>
          <w:sz w:val="20"/>
        </w:rPr>
        <w:t xml:space="preserve"> </w:t>
      </w:r>
      <w:r>
        <w:rPr>
          <w:sz w:val="20"/>
        </w:rPr>
        <w:t>Indigenous</w:t>
      </w:r>
      <w:r>
        <w:rPr>
          <w:spacing w:val="-4"/>
          <w:sz w:val="20"/>
        </w:rPr>
        <w:t xml:space="preserve"> </w:t>
      </w:r>
      <w:r>
        <w:rPr>
          <w:sz w:val="20"/>
        </w:rPr>
        <w:t>Business</w:t>
      </w:r>
      <w:r>
        <w:rPr>
          <w:spacing w:val="-4"/>
          <w:sz w:val="20"/>
        </w:rPr>
        <w:t xml:space="preserve"> </w:t>
      </w:r>
      <w:r>
        <w:rPr>
          <w:sz w:val="20"/>
        </w:rPr>
        <w:t>Month,</w:t>
      </w:r>
      <w:r>
        <w:rPr>
          <w:spacing w:val="-4"/>
          <w:sz w:val="20"/>
        </w:rPr>
        <w:t xml:space="preserve"> </w:t>
      </w:r>
      <w:r>
        <w:rPr>
          <w:sz w:val="20"/>
        </w:rPr>
        <w:t>encouraging</w:t>
      </w:r>
      <w:r>
        <w:rPr>
          <w:spacing w:val="-4"/>
          <w:sz w:val="20"/>
        </w:rPr>
        <w:t xml:space="preserve"> </w:t>
      </w:r>
      <w:r>
        <w:rPr>
          <w:sz w:val="20"/>
        </w:rPr>
        <w:t>staff</w:t>
      </w:r>
      <w:r>
        <w:rPr>
          <w:spacing w:val="-4"/>
          <w:sz w:val="20"/>
        </w:rPr>
        <w:t xml:space="preserve"> </w:t>
      </w:r>
      <w:r>
        <w:rPr>
          <w:sz w:val="20"/>
        </w:rPr>
        <w:t>to</w:t>
      </w:r>
      <w:r>
        <w:rPr>
          <w:spacing w:val="-4"/>
          <w:sz w:val="20"/>
        </w:rPr>
        <w:t xml:space="preserve"> </w:t>
      </w:r>
      <w:r>
        <w:rPr>
          <w:sz w:val="20"/>
        </w:rPr>
        <w:t>share</w:t>
      </w:r>
      <w:r>
        <w:rPr>
          <w:spacing w:val="-4"/>
          <w:sz w:val="20"/>
        </w:rPr>
        <w:t xml:space="preserve"> </w:t>
      </w:r>
      <w:r>
        <w:rPr>
          <w:sz w:val="20"/>
        </w:rPr>
        <w:t>and</w:t>
      </w:r>
      <w:r>
        <w:rPr>
          <w:spacing w:val="-4"/>
          <w:sz w:val="20"/>
        </w:rPr>
        <w:t xml:space="preserve"> </w:t>
      </w:r>
      <w:r>
        <w:rPr>
          <w:sz w:val="20"/>
        </w:rPr>
        <w:t>raise</w:t>
      </w:r>
      <w:r>
        <w:rPr>
          <w:spacing w:val="-4"/>
          <w:sz w:val="20"/>
        </w:rPr>
        <w:t xml:space="preserve"> </w:t>
      </w:r>
      <w:r>
        <w:rPr>
          <w:sz w:val="20"/>
        </w:rPr>
        <w:t>awareness</w:t>
      </w:r>
      <w:r>
        <w:rPr>
          <w:spacing w:val="-4"/>
          <w:sz w:val="20"/>
        </w:rPr>
        <w:t xml:space="preserve"> </w:t>
      </w:r>
      <w:r>
        <w:rPr>
          <w:sz w:val="20"/>
        </w:rPr>
        <w:t>of</w:t>
      </w:r>
      <w:r>
        <w:rPr>
          <w:spacing w:val="-4"/>
          <w:sz w:val="20"/>
        </w:rPr>
        <w:t xml:space="preserve"> </w:t>
      </w:r>
      <w:r>
        <w:rPr>
          <w:sz w:val="20"/>
        </w:rPr>
        <w:t>First Nations businesses, whilst simultaneously engaging in First Nations procurement.</w:t>
      </w:r>
    </w:p>
    <w:p w14:paraId="76B09068" w14:textId="77777777" w:rsidR="00AC6F3C" w:rsidRDefault="00570E88">
      <w:pPr>
        <w:pStyle w:val="ListParagraph"/>
        <w:numPr>
          <w:ilvl w:val="0"/>
          <w:numId w:val="44"/>
        </w:numPr>
        <w:tabs>
          <w:tab w:val="left" w:pos="1155"/>
        </w:tabs>
        <w:spacing w:before="172"/>
        <w:ind w:hanging="340"/>
        <w:rPr>
          <w:sz w:val="20"/>
        </w:rPr>
      </w:pPr>
      <w:r>
        <w:rPr>
          <w:sz w:val="20"/>
        </w:rPr>
        <w:t>Raised</w:t>
      </w:r>
      <w:r>
        <w:rPr>
          <w:spacing w:val="-3"/>
          <w:sz w:val="20"/>
        </w:rPr>
        <w:t xml:space="preserve"> </w:t>
      </w:r>
      <w:r>
        <w:rPr>
          <w:sz w:val="20"/>
        </w:rPr>
        <w:t>$756</w:t>
      </w:r>
      <w:r>
        <w:rPr>
          <w:spacing w:val="-3"/>
          <w:sz w:val="20"/>
        </w:rPr>
        <w:t xml:space="preserve"> </w:t>
      </w:r>
      <w:r>
        <w:rPr>
          <w:sz w:val="20"/>
        </w:rPr>
        <w:t>for</w:t>
      </w:r>
      <w:r>
        <w:rPr>
          <w:spacing w:val="-2"/>
          <w:sz w:val="20"/>
        </w:rPr>
        <w:t xml:space="preserve"> </w:t>
      </w:r>
      <w:r>
        <w:rPr>
          <w:sz w:val="20"/>
        </w:rPr>
        <w:t>QLS’s</w:t>
      </w:r>
      <w:r>
        <w:rPr>
          <w:spacing w:val="-3"/>
          <w:sz w:val="20"/>
        </w:rPr>
        <w:t xml:space="preserve"> </w:t>
      </w:r>
      <w:r>
        <w:rPr>
          <w:sz w:val="20"/>
        </w:rPr>
        <w:t>nominated</w:t>
      </w:r>
      <w:r>
        <w:rPr>
          <w:spacing w:val="-2"/>
          <w:sz w:val="20"/>
        </w:rPr>
        <w:t xml:space="preserve"> </w:t>
      </w:r>
      <w:r>
        <w:rPr>
          <w:sz w:val="20"/>
        </w:rPr>
        <w:t>charity</w:t>
      </w:r>
      <w:r>
        <w:rPr>
          <w:spacing w:val="-3"/>
          <w:sz w:val="20"/>
        </w:rPr>
        <w:t xml:space="preserve"> </w:t>
      </w:r>
      <w:r>
        <w:rPr>
          <w:sz w:val="20"/>
        </w:rPr>
        <w:t>–</w:t>
      </w:r>
      <w:r>
        <w:rPr>
          <w:spacing w:val="-2"/>
          <w:sz w:val="20"/>
        </w:rPr>
        <w:t xml:space="preserve"> </w:t>
      </w:r>
      <w:r>
        <w:rPr>
          <w:sz w:val="20"/>
        </w:rPr>
        <w:t>Indigenous</w:t>
      </w:r>
      <w:r>
        <w:rPr>
          <w:spacing w:val="-3"/>
          <w:sz w:val="20"/>
        </w:rPr>
        <w:t xml:space="preserve"> </w:t>
      </w:r>
      <w:r>
        <w:rPr>
          <w:sz w:val="20"/>
        </w:rPr>
        <w:t>Literacy</w:t>
      </w:r>
      <w:r>
        <w:rPr>
          <w:spacing w:val="-2"/>
          <w:sz w:val="20"/>
        </w:rPr>
        <w:t xml:space="preserve"> Foundation.</w:t>
      </w:r>
    </w:p>
    <w:p w14:paraId="6EA0D1D3" w14:textId="77777777" w:rsidR="00AC6F3C" w:rsidRDefault="00AC6F3C">
      <w:pPr>
        <w:pStyle w:val="BodyText"/>
        <w:spacing w:before="6"/>
        <w:rPr>
          <w:sz w:val="23"/>
        </w:rPr>
      </w:pPr>
    </w:p>
    <w:p w14:paraId="2A9E8929" w14:textId="77777777" w:rsidR="00AC6F3C" w:rsidRDefault="00570E88">
      <w:pPr>
        <w:pStyle w:val="Heading9"/>
      </w:pPr>
      <w:r>
        <w:rPr>
          <w:spacing w:val="-2"/>
        </w:rPr>
        <w:t>Imbed</w:t>
      </w:r>
    </w:p>
    <w:p w14:paraId="1F00A6F7" w14:textId="77777777" w:rsidR="00AC6F3C" w:rsidRDefault="00570E88">
      <w:pPr>
        <w:pStyle w:val="ListParagraph"/>
        <w:numPr>
          <w:ilvl w:val="0"/>
          <w:numId w:val="44"/>
        </w:numPr>
        <w:tabs>
          <w:tab w:val="left" w:pos="1155"/>
        </w:tabs>
        <w:spacing w:before="176" w:line="249" w:lineRule="auto"/>
        <w:ind w:right="746"/>
        <w:rPr>
          <w:sz w:val="20"/>
        </w:rPr>
      </w:pPr>
      <w:r>
        <w:rPr>
          <w:sz w:val="20"/>
        </w:rPr>
        <w:t>Promoted</w:t>
      </w:r>
      <w:r>
        <w:rPr>
          <w:spacing w:val="-3"/>
          <w:sz w:val="20"/>
        </w:rPr>
        <w:t xml:space="preserve"> </w:t>
      </w:r>
      <w:r>
        <w:rPr>
          <w:sz w:val="20"/>
        </w:rPr>
        <w:t>cultural</w:t>
      </w:r>
      <w:r>
        <w:rPr>
          <w:spacing w:val="-3"/>
          <w:sz w:val="20"/>
        </w:rPr>
        <w:t xml:space="preserve"> </w:t>
      </w:r>
      <w:r>
        <w:rPr>
          <w:sz w:val="20"/>
        </w:rPr>
        <w:t>inclusion</w:t>
      </w:r>
      <w:r>
        <w:rPr>
          <w:spacing w:val="-3"/>
          <w:sz w:val="20"/>
        </w:rPr>
        <w:t xml:space="preserve"> </w:t>
      </w:r>
      <w:r>
        <w:rPr>
          <w:sz w:val="20"/>
        </w:rPr>
        <w:t>and</w:t>
      </w:r>
      <w:r>
        <w:rPr>
          <w:spacing w:val="-3"/>
          <w:sz w:val="20"/>
        </w:rPr>
        <w:t xml:space="preserve"> </w:t>
      </w:r>
      <w:r>
        <w:rPr>
          <w:sz w:val="20"/>
        </w:rPr>
        <w:t>awareness</w:t>
      </w:r>
      <w:r>
        <w:rPr>
          <w:spacing w:val="-3"/>
          <w:sz w:val="20"/>
        </w:rPr>
        <w:t xml:space="preserve"> </w:t>
      </w:r>
      <w:r>
        <w:rPr>
          <w:sz w:val="20"/>
        </w:rPr>
        <w:t>through</w:t>
      </w:r>
      <w:r>
        <w:rPr>
          <w:spacing w:val="-3"/>
          <w:sz w:val="20"/>
        </w:rPr>
        <w:t xml:space="preserve"> </w:t>
      </w:r>
      <w:r>
        <w:rPr>
          <w:sz w:val="20"/>
        </w:rPr>
        <w:t>a</w:t>
      </w:r>
      <w:r>
        <w:rPr>
          <w:spacing w:val="-3"/>
          <w:sz w:val="20"/>
        </w:rPr>
        <w:t xml:space="preserve"> </w:t>
      </w:r>
      <w:r>
        <w:rPr>
          <w:sz w:val="20"/>
        </w:rPr>
        <w:t>dedicated</w:t>
      </w:r>
      <w:r>
        <w:rPr>
          <w:spacing w:val="-3"/>
          <w:sz w:val="20"/>
        </w:rPr>
        <w:t xml:space="preserve"> </w:t>
      </w:r>
      <w:r>
        <w:rPr>
          <w:sz w:val="20"/>
        </w:rPr>
        <w:t>First</w:t>
      </w:r>
      <w:r>
        <w:rPr>
          <w:spacing w:val="-3"/>
          <w:sz w:val="20"/>
        </w:rPr>
        <w:t xml:space="preserve"> </w:t>
      </w:r>
      <w:r>
        <w:rPr>
          <w:sz w:val="20"/>
        </w:rPr>
        <w:t>Nations</w:t>
      </w:r>
      <w:r>
        <w:rPr>
          <w:spacing w:val="-3"/>
          <w:sz w:val="20"/>
        </w:rPr>
        <w:t xml:space="preserve"> </w:t>
      </w:r>
      <w:r>
        <w:rPr>
          <w:sz w:val="20"/>
        </w:rPr>
        <w:t>page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QLS website, providing resources and articles to lawyers and the wider community.</w:t>
      </w:r>
    </w:p>
    <w:p w14:paraId="771206A0" w14:textId="77777777" w:rsidR="00AC6F3C" w:rsidRDefault="00570E88">
      <w:pPr>
        <w:pStyle w:val="ListParagraph"/>
        <w:numPr>
          <w:ilvl w:val="0"/>
          <w:numId w:val="44"/>
        </w:numPr>
        <w:tabs>
          <w:tab w:val="left" w:pos="1155"/>
        </w:tabs>
        <w:spacing w:before="171" w:line="249" w:lineRule="auto"/>
        <w:ind w:right="401"/>
        <w:rPr>
          <w:sz w:val="20"/>
        </w:rPr>
      </w:pPr>
      <w:r>
        <w:rPr>
          <w:sz w:val="20"/>
        </w:rPr>
        <w:t>Published</w:t>
      </w:r>
      <w:r>
        <w:rPr>
          <w:spacing w:val="-3"/>
          <w:sz w:val="20"/>
        </w:rPr>
        <w:t xml:space="preserve"> </w:t>
      </w:r>
      <w:r>
        <w:rPr>
          <w:sz w:val="20"/>
        </w:rPr>
        <w:t>the</w:t>
      </w:r>
      <w:r>
        <w:rPr>
          <w:spacing w:val="-3"/>
          <w:sz w:val="20"/>
        </w:rPr>
        <w:t xml:space="preserve"> </w:t>
      </w:r>
      <w:r>
        <w:rPr>
          <w:sz w:val="20"/>
        </w:rPr>
        <w:t>annual</w:t>
      </w:r>
      <w:r>
        <w:rPr>
          <w:spacing w:val="-3"/>
          <w:sz w:val="20"/>
        </w:rPr>
        <w:t xml:space="preserve"> </w:t>
      </w:r>
      <w:r>
        <w:rPr>
          <w:sz w:val="20"/>
        </w:rPr>
        <w:t>cultural</w:t>
      </w:r>
      <w:r>
        <w:rPr>
          <w:spacing w:val="-3"/>
          <w:sz w:val="20"/>
        </w:rPr>
        <w:t xml:space="preserve"> </w:t>
      </w:r>
      <w:r>
        <w:rPr>
          <w:sz w:val="20"/>
        </w:rPr>
        <w:t>calendar</w:t>
      </w:r>
      <w:r>
        <w:rPr>
          <w:spacing w:val="-3"/>
          <w:sz w:val="20"/>
        </w:rPr>
        <w:t xml:space="preserve"> </w:t>
      </w:r>
      <w:r>
        <w:rPr>
          <w:sz w:val="20"/>
        </w:rPr>
        <w:t>to</w:t>
      </w:r>
      <w:r>
        <w:rPr>
          <w:spacing w:val="-3"/>
          <w:sz w:val="20"/>
        </w:rPr>
        <w:t xml:space="preserve"> </w:t>
      </w:r>
      <w:r>
        <w:rPr>
          <w:sz w:val="20"/>
        </w:rPr>
        <w:t>encourage</w:t>
      </w:r>
      <w:r>
        <w:rPr>
          <w:spacing w:val="-3"/>
          <w:sz w:val="20"/>
        </w:rPr>
        <w:t xml:space="preserve"> </w:t>
      </w:r>
      <w:r>
        <w:rPr>
          <w:sz w:val="20"/>
        </w:rPr>
        <w:t>lawyers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wider</w:t>
      </w:r>
      <w:r>
        <w:rPr>
          <w:spacing w:val="-3"/>
          <w:sz w:val="20"/>
        </w:rPr>
        <w:t xml:space="preserve"> </w:t>
      </w:r>
      <w:r>
        <w:rPr>
          <w:sz w:val="20"/>
        </w:rPr>
        <w:t>community</w:t>
      </w:r>
      <w:r>
        <w:rPr>
          <w:spacing w:val="-3"/>
          <w:sz w:val="20"/>
        </w:rPr>
        <w:t xml:space="preserve"> </w:t>
      </w:r>
      <w:r>
        <w:rPr>
          <w:sz w:val="20"/>
        </w:rPr>
        <w:t>to</w:t>
      </w:r>
      <w:r>
        <w:rPr>
          <w:spacing w:val="-3"/>
          <w:sz w:val="20"/>
        </w:rPr>
        <w:t xml:space="preserve"> </w:t>
      </w:r>
      <w:r>
        <w:rPr>
          <w:sz w:val="20"/>
        </w:rPr>
        <w:t>celebrate and be a part of important cultural events.</w:t>
      </w:r>
    </w:p>
    <w:p w14:paraId="09953179" w14:textId="77777777" w:rsidR="00AC6F3C" w:rsidRDefault="00570E88">
      <w:pPr>
        <w:pStyle w:val="ListParagraph"/>
        <w:numPr>
          <w:ilvl w:val="0"/>
          <w:numId w:val="44"/>
        </w:numPr>
        <w:tabs>
          <w:tab w:val="left" w:pos="1153"/>
          <w:tab w:val="left" w:pos="1155"/>
        </w:tabs>
        <w:spacing w:before="172" w:line="249" w:lineRule="auto"/>
        <w:ind w:right="113"/>
        <w:jc w:val="both"/>
        <w:rPr>
          <w:sz w:val="20"/>
        </w:rPr>
      </w:pPr>
      <w:r>
        <w:rPr>
          <w:sz w:val="20"/>
        </w:rPr>
        <w:t>Maintained</w:t>
      </w:r>
      <w:r>
        <w:rPr>
          <w:spacing w:val="-2"/>
          <w:sz w:val="20"/>
        </w:rPr>
        <w:t xml:space="preserve"> </w:t>
      </w:r>
      <w:r>
        <w:rPr>
          <w:sz w:val="20"/>
        </w:rPr>
        <w:t>two</w:t>
      </w:r>
      <w:r>
        <w:rPr>
          <w:spacing w:val="-3"/>
          <w:sz w:val="20"/>
        </w:rPr>
        <w:t xml:space="preserve"> </w:t>
      </w:r>
      <w:r>
        <w:rPr>
          <w:sz w:val="20"/>
        </w:rPr>
        <w:t>external</w:t>
      </w:r>
      <w:r>
        <w:rPr>
          <w:spacing w:val="-2"/>
          <w:sz w:val="20"/>
        </w:rPr>
        <w:t xml:space="preserve"> </w:t>
      </w:r>
      <w:r>
        <w:rPr>
          <w:sz w:val="20"/>
        </w:rPr>
        <w:t>First</w:t>
      </w:r>
      <w:r>
        <w:rPr>
          <w:spacing w:val="-3"/>
          <w:sz w:val="20"/>
        </w:rPr>
        <w:t xml:space="preserve"> </w:t>
      </w:r>
      <w:r>
        <w:rPr>
          <w:sz w:val="20"/>
        </w:rPr>
        <w:t>Nations</w:t>
      </w:r>
      <w:r>
        <w:rPr>
          <w:spacing w:val="-2"/>
          <w:sz w:val="20"/>
        </w:rPr>
        <w:t xml:space="preserve"> </w:t>
      </w:r>
      <w:r>
        <w:rPr>
          <w:sz w:val="20"/>
        </w:rPr>
        <w:t>committees</w:t>
      </w:r>
      <w:r>
        <w:rPr>
          <w:spacing w:val="-2"/>
          <w:sz w:val="20"/>
        </w:rPr>
        <w:t xml:space="preserve"> </w:t>
      </w:r>
      <w:r>
        <w:rPr>
          <w:sz w:val="20"/>
        </w:rPr>
        <w:t>to</w:t>
      </w:r>
      <w:r>
        <w:rPr>
          <w:spacing w:val="-3"/>
          <w:sz w:val="20"/>
        </w:rPr>
        <w:t xml:space="preserve"> </w:t>
      </w:r>
      <w:r>
        <w:rPr>
          <w:sz w:val="20"/>
        </w:rPr>
        <w:t>oversee</w:t>
      </w:r>
      <w:r>
        <w:rPr>
          <w:spacing w:val="-2"/>
          <w:sz w:val="20"/>
        </w:rPr>
        <w:t xml:space="preserve"> </w:t>
      </w:r>
      <w:r>
        <w:rPr>
          <w:sz w:val="20"/>
        </w:rPr>
        <w:t>our</w:t>
      </w:r>
      <w:r>
        <w:rPr>
          <w:spacing w:val="-2"/>
          <w:sz w:val="20"/>
        </w:rPr>
        <w:t xml:space="preserve"> </w:t>
      </w:r>
      <w:r>
        <w:rPr>
          <w:sz w:val="20"/>
        </w:rPr>
        <w:t>Cultural</w:t>
      </w:r>
      <w:r>
        <w:rPr>
          <w:spacing w:val="-2"/>
          <w:sz w:val="20"/>
        </w:rPr>
        <w:t xml:space="preserve"> </w:t>
      </w:r>
      <w:r>
        <w:rPr>
          <w:sz w:val="20"/>
        </w:rPr>
        <w:t>Outreach</w:t>
      </w:r>
      <w:r>
        <w:rPr>
          <w:spacing w:val="-2"/>
          <w:sz w:val="20"/>
        </w:rPr>
        <w:t xml:space="preserve"> </w:t>
      </w:r>
      <w:r>
        <w:rPr>
          <w:sz w:val="20"/>
        </w:rPr>
        <w:t>Strategy</w:t>
      </w:r>
      <w:r>
        <w:rPr>
          <w:spacing w:val="-3"/>
          <w:sz w:val="20"/>
        </w:rPr>
        <w:t xml:space="preserve"> </w:t>
      </w:r>
      <w:r>
        <w:rPr>
          <w:sz w:val="20"/>
        </w:rPr>
        <w:t>and</w:t>
      </w:r>
      <w:r>
        <w:rPr>
          <w:spacing w:val="-2"/>
          <w:sz w:val="20"/>
        </w:rPr>
        <w:t xml:space="preserve"> </w:t>
      </w:r>
      <w:r>
        <w:rPr>
          <w:sz w:val="20"/>
        </w:rPr>
        <w:t>to</w:t>
      </w:r>
      <w:r>
        <w:rPr>
          <w:spacing w:val="-3"/>
          <w:sz w:val="20"/>
        </w:rPr>
        <w:t xml:space="preserve"> </w:t>
      </w:r>
      <w:r>
        <w:rPr>
          <w:sz w:val="20"/>
        </w:rPr>
        <w:t>be involved</w:t>
      </w:r>
      <w:r>
        <w:rPr>
          <w:spacing w:val="-1"/>
          <w:sz w:val="20"/>
        </w:rPr>
        <w:t xml:space="preserve"> </w:t>
      </w:r>
      <w:r>
        <w:rPr>
          <w:sz w:val="20"/>
        </w:rPr>
        <w:t>with</w:t>
      </w:r>
      <w:r>
        <w:rPr>
          <w:spacing w:val="-1"/>
          <w:sz w:val="20"/>
        </w:rPr>
        <w:t xml:space="preserve"> </w:t>
      </w:r>
      <w:r>
        <w:rPr>
          <w:sz w:val="20"/>
        </w:rPr>
        <w:t>First</w:t>
      </w:r>
      <w:r>
        <w:rPr>
          <w:spacing w:val="-1"/>
          <w:sz w:val="20"/>
        </w:rPr>
        <w:t xml:space="preserve"> </w:t>
      </w:r>
      <w:r>
        <w:rPr>
          <w:sz w:val="20"/>
        </w:rPr>
        <w:t>Nations</w:t>
      </w:r>
      <w:r>
        <w:rPr>
          <w:spacing w:val="-1"/>
          <w:sz w:val="20"/>
        </w:rPr>
        <w:t xml:space="preserve"> </w:t>
      </w:r>
      <w:r>
        <w:rPr>
          <w:sz w:val="20"/>
        </w:rPr>
        <w:t>legal</w:t>
      </w:r>
      <w:r>
        <w:rPr>
          <w:spacing w:val="-1"/>
          <w:sz w:val="20"/>
        </w:rPr>
        <w:t xml:space="preserve"> </w:t>
      </w:r>
      <w:r>
        <w:rPr>
          <w:sz w:val="20"/>
        </w:rPr>
        <w:t>advocacy</w:t>
      </w:r>
      <w:r>
        <w:rPr>
          <w:spacing w:val="-1"/>
          <w:sz w:val="20"/>
        </w:rPr>
        <w:t xml:space="preserve"> </w:t>
      </w:r>
      <w:r>
        <w:rPr>
          <w:sz w:val="20"/>
        </w:rPr>
        <w:t>as</w:t>
      </w:r>
      <w:r>
        <w:rPr>
          <w:spacing w:val="-1"/>
          <w:sz w:val="20"/>
        </w:rPr>
        <w:t xml:space="preserve"> </w:t>
      </w:r>
      <w:r>
        <w:rPr>
          <w:sz w:val="20"/>
        </w:rPr>
        <w:t>well</w:t>
      </w:r>
      <w:r>
        <w:rPr>
          <w:spacing w:val="-1"/>
          <w:sz w:val="20"/>
        </w:rPr>
        <w:t xml:space="preserve"> </w:t>
      </w:r>
      <w:r>
        <w:rPr>
          <w:sz w:val="20"/>
        </w:rPr>
        <w:t>as</w:t>
      </w:r>
      <w:r>
        <w:rPr>
          <w:spacing w:val="-1"/>
          <w:sz w:val="20"/>
        </w:rPr>
        <w:t xml:space="preserve"> </w:t>
      </w:r>
      <w:r>
        <w:rPr>
          <w:sz w:val="20"/>
        </w:rPr>
        <w:t>an</w:t>
      </w:r>
      <w:r>
        <w:rPr>
          <w:spacing w:val="-1"/>
          <w:sz w:val="20"/>
        </w:rPr>
        <w:t xml:space="preserve"> </w:t>
      </w:r>
      <w:r>
        <w:rPr>
          <w:sz w:val="20"/>
        </w:rPr>
        <w:t>internal</w:t>
      </w:r>
      <w:r>
        <w:rPr>
          <w:spacing w:val="-1"/>
          <w:sz w:val="20"/>
        </w:rPr>
        <w:t xml:space="preserve"> </w:t>
      </w:r>
      <w:r>
        <w:rPr>
          <w:sz w:val="20"/>
        </w:rPr>
        <w:t>QLS</w:t>
      </w:r>
      <w:r>
        <w:rPr>
          <w:spacing w:val="-1"/>
          <w:sz w:val="20"/>
        </w:rPr>
        <w:t xml:space="preserve"> </w:t>
      </w:r>
      <w:r>
        <w:rPr>
          <w:sz w:val="20"/>
        </w:rPr>
        <w:t>committee</w:t>
      </w:r>
      <w:r>
        <w:rPr>
          <w:spacing w:val="-1"/>
          <w:sz w:val="20"/>
        </w:rPr>
        <w:t xml:space="preserve"> </w:t>
      </w:r>
      <w:r>
        <w:rPr>
          <w:sz w:val="20"/>
        </w:rPr>
        <w:t>to</w:t>
      </w:r>
      <w:r>
        <w:rPr>
          <w:spacing w:val="-1"/>
          <w:sz w:val="20"/>
        </w:rPr>
        <w:t xml:space="preserve"> </w:t>
      </w:r>
      <w:r>
        <w:rPr>
          <w:sz w:val="20"/>
        </w:rPr>
        <w:t>support</w:t>
      </w:r>
      <w:r>
        <w:rPr>
          <w:spacing w:val="-1"/>
          <w:sz w:val="20"/>
        </w:rPr>
        <w:t xml:space="preserve"> </w:t>
      </w:r>
      <w:r>
        <w:rPr>
          <w:sz w:val="20"/>
        </w:rPr>
        <w:t>the</w:t>
      </w:r>
      <w:r>
        <w:rPr>
          <w:spacing w:val="-1"/>
          <w:sz w:val="20"/>
        </w:rPr>
        <w:t xml:space="preserve"> </w:t>
      </w:r>
      <w:r>
        <w:rPr>
          <w:sz w:val="20"/>
        </w:rPr>
        <w:t>roll</w:t>
      </w:r>
      <w:r>
        <w:rPr>
          <w:spacing w:val="-1"/>
          <w:sz w:val="20"/>
        </w:rPr>
        <w:t xml:space="preserve"> </w:t>
      </w:r>
      <w:r>
        <w:rPr>
          <w:sz w:val="20"/>
        </w:rPr>
        <w:t>out of the Strategy.</w:t>
      </w:r>
    </w:p>
    <w:p w14:paraId="3B97A07C" w14:textId="77777777" w:rsidR="00AC6F3C" w:rsidRDefault="00AC6F3C">
      <w:pPr>
        <w:pStyle w:val="BodyText"/>
        <w:spacing w:before="2"/>
        <w:rPr>
          <w:sz w:val="31"/>
        </w:rPr>
      </w:pPr>
    </w:p>
    <w:p w14:paraId="42F4915C" w14:textId="77777777" w:rsidR="00AC6F3C" w:rsidRDefault="00570E88">
      <w:pPr>
        <w:ind w:left="815"/>
        <w:rPr>
          <w:b/>
          <w:sz w:val="26"/>
        </w:rPr>
      </w:pPr>
      <w:r>
        <w:rPr>
          <w:b/>
          <w:sz w:val="26"/>
        </w:rPr>
        <w:t>Internal</w:t>
      </w:r>
      <w:r>
        <w:rPr>
          <w:b/>
          <w:spacing w:val="-3"/>
          <w:sz w:val="26"/>
        </w:rPr>
        <w:t xml:space="preserve"> </w:t>
      </w:r>
      <w:r>
        <w:rPr>
          <w:b/>
          <w:sz w:val="26"/>
        </w:rPr>
        <w:t>staff</w:t>
      </w:r>
      <w:r>
        <w:rPr>
          <w:b/>
          <w:spacing w:val="-3"/>
          <w:sz w:val="26"/>
        </w:rPr>
        <w:t xml:space="preserve"> </w:t>
      </w:r>
      <w:r>
        <w:rPr>
          <w:b/>
          <w:sz w:val="26"/>
        </w:rPr>
        <w:t>contribution</w:t>
      </w:r>
      <w:r>
        <w:rPr>
          <w:b/>
          <w:spacing w:val="-3"/>
          <w:sz w:val="26"/>
        </w:rPr>
        <w:t xml:space="preserve"> </w:t>
      </w:r>
      <w:r>
        <w:rPr>
          <w:b/>
          <w:sz w:val="26"/>
        </w:rPr>
        <w:t>to</w:t>
      </w:r>
      <w:r>
        <w:rPr>
          <w:b/>
          <w:spacing w:val="-2"/>
          <w:sz w:val="26"/>
        </w:rPr>
        <w:t xml:space="preserve"> </w:t>
      </w:r>
      <w:r>
        <w:rPr>
          <w:b/>
          <w:spacing w:val="-5"/>
          <w:sz w:val="26"/>
        </w:rPr>
        <w:t>COS</w:t>
      </w:r>
    </w:p>
    <w:p w14:paraId="3B7947DF" w14:textId="77777777" w:rsidR="00AC6F3C" w:rsidRDefault="00570E88">
      <w:pPr>
        <w:pStyle w:val="BodyText"/>
        <w:spacing w:before="167" w:line="249" w:lineRule="auto"/>
        <w:ind w:left="815" w:right="322"/>
      </w:pPr>
      <w:r>
        <w:t>Throughout the year, QLS staff participated in a number of cultural events including Indigenous Business Month in October 2022, the inaugural Deadly voices choir in May 2023 with Caxton Legal Centre</w:t>
      </w:r>
      <w:r>
        <w:rPr>
          <w:spacing w:val="-3"/>
        </w:rPr>
        <w:t xml:space="preserve"> </w:t>
      </w:r>
      <w:r>
        <w:t>and</w:t>
      </w:r>
      <w:r>
        <w:rPr>
          <w:spacing w:val="-3"/>
        </w:rPr>
        <w:t xml:space="preserve"> </w:t>
      </w:r>
      <w:r>
        <w:t>in</w:t>
      </w:r>
      <w:r>
        <w:rPr>
          <w:spacing w:val="-3"/>
        </w:rPr>
        <w:t xml:space="preserve"> </w:t>
      </w:r>
      <w:r>
        <w:t>2023</w:t>
      </w:r>
      <w:r>
        <w:rPr>
          <w:spacing w:val="-3"/>
        </w:rPr>
        <w:t xml:space="preserve"> </w:t>
      </w:r>
      <w:r>
        <w:t>QLS</w:t>
      </w:r>
      <w:r>
        <w:rPr>
          <w:spacing w:val="-3"/>
        </w:rPr>
        <w:t xml:space="preserve"> </w:t>
      </w:r>
      <w:r>
        <w:t>collaborated</w:t>
      </w:r>
      <w:r>
        <w:rPr>
          <w:spacing w:val="-3"/>
        </w:rPr>
        <w:t xml:space="preserve"> </w:t>
      </w:r>
      <w:r>
        <w:t>with</w:t>
      </w:r>
      <w:r>
        <w:rPr>
          <w:spacing w:val="-3"/>
        </w:rPr>
        <w:t xml:space="preserve"> </w:t>
      </w:r>
      <w:r>
        <w:t>Carter</w:t>
      </w:r>
      <w:r>
        <w:rPr>
          <w:spacing w:val="-3"/>
        </w:rPr>
        <w:t xml:space="preserve"> </w:t>
      </w:r>
      <w:r>
        <w:t>Newell</w:t>
      </w:r>
      <w:r>
        <w:rPr>
          <w:spacing w:val="-3"/>
        </w:rPr>
        <w:t xml:space="preserve"> </w:t>
      </w:r>
      <w:r>
        <w:t>to</w:t>
      </w:r>
      <w:r>
        <w:rPr>
          <w:spacing w:val="-3"/>
        </w:rPr>
        <w:t xml:space="preserve"> </w:t>
      </w:r>
      <w:r>
        <w:t>celebrate</w:t>
      </w:r>
      <w:r>
        <w:rPr>
          <w:spacing w:val="-3"/>
        </w:rPr>
        <w:t xml:space="preserve"> </w:t>
      </w:r>
      <w:r>
        <w:t>National</w:t>
      </w:r>
      <w:r>
        <w:rPr>
          <w:spacing w:val="-3"/>
        </w:rPr>
        <w:t xml:space="preserve"> </w:t>
      </w:r>
      <w:r>
        <w:t>Reconciliation</w:t>
      </w:r>
      <w:r>
        <w:rPr>
          <w:spacing w:val="-3"/>
        </w:rPr>
        <w:t xml:space="preserve"> </w:t>
      </w:r>
      <w:r>
        <w:t>Week</w:t>
      </w:r>
      <w:r>
        <w:rPr>
          <w:spacing w:val="-3"/>
        </w:rPr>
        <w:t xml:space="preserve"> </w:t>
      </w:r>
      <w:r>
        <w:t>and Indigenous History Month.</w:t>
      </w:r>
    </w:p>
    <w:p w14:paraId="36C6FA7F" w14:textId="77777777" w:rsidR="00AC6F3C" w:rsidRDefault="00570E88">
      <w:pPr>
        <w:pStyle w:val="BodyText"/>
        <w:spacing w:before="174" w:line="249" w:lineRule="auto"/>
        <w:ind w:left="815"/>
      </w:pPr>
      <w:r>
        <w:t>Staff</w:t>
      </w:r>
      <w:r>
        <w:rPr>
          <w:spacing w:val="-3"/>
        </w:rPr>
        <w:t xml:space="preserve"> </w:t>
      </w:r>
      <w:r>
        <w:t>have</w:t>
      </w:r>
      <w:r>
        <w:rPr>
          <w:spacing w:val="-3"/>
        </w:rPr>
        <w:t xml:space="preserve"> </w:t>
      </w:r>
      <w:r>
        <w:t>maintained</w:t>
      </w:r>
      <w:r>
        <w:rPr>
          <w:spacing w:val="-3"/>
        </w:rPr>
        <w:t xml:space="preserve"> </w:t>
      </w:r>
      <w:r>
        <w:t>a</w:t>
      </w:r>
      <w:r>
        <w:rPr>
          <w:spacing w:val="-3"/>
        </w:rPr>
        <w:t xml:space="preserve"> </w:t>
      </w:r>
      <w:r>
        <w:t>strong</w:t>
      </w:r>
      <w:r>
        <w:rPr>
          <w:spacing w:val="-3"/>
        </w:rPr>
        <w:t xml:space="preserve"> </w:t>
      </w:r>
      <w:r>
        <w:t>focus</w:t>
      </w:r>
      <w:r>
        <w:rPr>
          <w:spacing w:val="-3"/>
        </w:rPr>
        <w:t xml:space="preserve"> </w:t>
      </w:r>
      <w:r>
        <w:t>on</w:t>
      </w:r>
      <w:r>
        <w:rPr>
          <w:spacing w:val="-3"/>
        </w:rPr>
        <w:t xml:space="preserve"> </w:t>
      </w:r>
      <w:r>
        <w:t>researching</w:t>
      </w:r>
      <w:r>
        <w:rPr>
          <w:spacing w:val="-3"/>
        </w:rPr>
        <w:t xml:space="preserve"> </w:t>
      </w:r>
      <w:r>
        <w:t>and</w:t>
      </w:r>
      <w:r>
        <w:rPr>
          <w:spacing w:val="-3"/>
        </w:rPr>
        <w:t xml:space="preserve"> </w:t>
      </w:r>
      <w:r>
        <w:t>raising</w:t>
      </w:r>
      <w:r>
        <w:rPr>
          <w:spacing w:val="-3"/>
        </w:rPr>
        <w:t xml:space="preserve"> </w:t>
      </w:r>
      <w:r>
        <w:t>awareness</w:t>
      </w:r>
      <w:r>
        <w:rPr>
          <w:spacing w:val="-3"/>
        </w:rPr>
        <w:t xml:space="preserve"> </w:t>
      </w:r>
      <w:r>
        <w:t>of</w:t>
      </w:r>
      <w:r>
        <w:rPr>
          <w:spacing w:val="-3"/>
        </w:rPr>
        <w:t xml:space="preserve"> </w:t>
      </w:r>
      <w:r>
        <w:t>First</w:t>
      </w:r>
      <w:r>
        <w:rPr>
          <w:spacing w:val="-3"/>
        </w:rPr>
        <w:t xml:space="preserve"> </w:t>
      </w:r>
      <w:r>
        <w:t>Nations</w:t>
      </w:r>
      <w:r>
        <w:rPr>
          <w:spacing w:val="-3"/>
        </w:rPr>
        <w:t xml:space="preserve"> </w:t>
      </w:r>
      <w:r>
        <w:t>matters, publishing number of articles in QLS Proctor about cultural events and matters throughout the year.</w:t>
      </w:r>
    </w:p>
    <w:p w14:paraId="0A84B4BB" w14:textId="77777777" w:rsidR="00AC6F3C" w:rsidRDefault="00AC6F3C">
      <w:pPr>
        <w:pStyle w:val="BodyText"/>
        <w:spacing w:before="1"/>
        <w:rPr>
          <w:sz w:val="31"/>
        </w:rPr>
      </w:pPr>
    </w:p>
    <w:p w14:paraId="20160E33" w14:textId="77777777" w:rsidR="00AC6F3C" w:rsidRDefault="00570E88">
      <w:pPr>
        <w:ind w:left="815"/>
        <w:rPr>
          <w:b/>
          <w:sz w:val="26"/>
        </w:rPr>
      </w:pPr>
      <w:r>
        <w:rPr>
          <w:b/>
          <w:sz w:val="26"/>
        </w:rPr>
        <w:t xml:space="preserve">Beyond </w:t>
      </w:r>
      <w:r>
        <w:rPr>
          <w:b/>
          <w:spacing w:val="-4"/>
          <w:sz w:val="26"/>
        </w:rPr>
        <w:t>2023</w:t>
      </w:r>
    </w:p>
    <w:p w14:paraId="092B9113" w14:textId="77777777" w:rsidR="00AC6F3C" w:rsidRDefault="00570E88">
      <w:pPr>
        <w:pStyle w:val="BodyText"/>
        <w:spacing w:before="167" w:line="249" w:lineRule="auto"/>
        <w:ind w:left="815" w:right="234"/>
      </w:pPr>
      <w:r>
        <w:t>Our primary focus is to continue to increase the number of First Nations Peoples practitioners in Queensland by 2025 and we have continued to engage with First Nations Legal Stakeholders to come together in this ambitious aim. This financial year has seen a wide collaboration with a number of stakeholders in celebrating cultural events and raising awareness of important cultural matters. The Society</w:t>
      </w:r>
      <w:r>
        <w:rPr>
          <w:spacing w:val="-4"/>
        </w:rPr>
        <w:t xml:space="preserve"> </w:t>
      </w:r>
      <w:r>
        <w:t>values</w:t>
      </w:r>
      <w:r>
        <w:rPr>
          <w:spacing w:val="-4"/>
        </w:rPr>
        <w:t xml:space="preserve"> </w:t>
      </w:r>
      <w:r>
        <w:t>these</w:t>
      </w:r>
      <w:r>
        <w:rPr>
          <w:spacing w:val="-4"/>
        </w:rPr>
        <w:t xml:space="preserve"> </w:t>
      </w:r>
      <w:r>
        <w:t>relationships</w:t>
      </w:r>
      <w:r>
        <w:rPr>
          <w:spacing w:val="-4"/>
        </w:rPr>
        <w:t xml:space="preserve"> </w:t>
      </w:r>
      <w:r>
        <w:t>and</w:t>
      </w:r>
      <w:r>
        <w:rPr>
          <w:spacing w:val="-4"/>
        </w:rPr>
        <w:t xml:space="preserve"> </w:t>
      </w:r>
      <w:r>
        <w:t>collaborations</w:t>
      </w:r>
      <w:r>
        <w:rPr>
          <w:spacing w:val="-4"/>
        </w:rPr>
        <w:t xml:space="preserve"> </w:t>
      </w:r>
      <w:r>
        <w:t>and</w:t>
      </w:r>
      <w:r>
        <w:rPr>
          <w:spacing w:val="-4"/>
        </w:rPr>
        <w:t xml:space="preserve"> </w:t>
      </w:r>
      <w:r>
        <w:t>will</w:t>
      </w:r>
      <w:r>
        <w:rPr>
          <w:spacing w:val="-4"/>
        </w:rPr>
        <w:t xml:space="preserve"> </w:t>
      </w:r>
      <w:r>
        <w:t>continue</w:t>
      </w:r>
      <w:r>
        <w:rPr>
          <w:spacing w:val="-4"/>
        </w:rPr>
        <w:t xml:space="preserve"> </w:t>
      </w:r>
      <w:r>
        <w:t>strengthening</w:t>
      </w:r>
      <w:r>
        <w:rPr>
          <w:spacing w:val="-4"/>
        </w:rPr>
        <w:t xml:space="preserve"> </w:t>
      </w:r>
      <w:r>
        <w:t>these</w:t>
      </w:r>
      <w:r>
        <w:rPr>
          <w:spacing w:val="-4"/>
        </w:rPr>
        <w:t xml:space="preserve"> </w:t>
      </w:r>
      <w:r>
        <w:t>connections into the next financial year.</w:t>
      </w:r>
    </w:p>
    <w:p w14:paraId="67693182" w14:textId="77777777" w:rsidR="00AC6F3C" w:rsidRDefault="00AC6F3C">
      <w:pPr>
        <w:pStyle w:val="BodyText"/>
        <w:spacing w:before="4"/>
        <w:rPr>
          <w:sz w:val="31"/>
        </w:rPr>
      </w:pPr>
    </w:p>
    <w:p w14:paraId="499D3D7D" w14:textId="77777777" w:rsidR="00AC6F3C" w:rsidRDefault="00570E88">
      <w:pPr>
        <w:ind w:left="815"/>
        <w:rPr>
          <w:b/>
          <w:sz w:val="26"/>
        </w:rPr>
      </w:pPr>
      <w:r>
        <w:rPr>
          <w:b/>
          <w:sz w:val="26"/>
        </w:rPr>
        <w:t xml:space="preserve">Acknowledgement and </w:t>
      </w:r>
      <w:r>
        <w:rPr>
          <w:b/>
          <w:spacing w:val="-2"/>
          <w:sz w:val="26"/>
        </w:rPr>
        <w:t>thanks</w:t>
      </w:r>
    </w:p>
    <w:p w14:paraId="304CC884" w14:textId="77777777" w:rsidR="00AC6F3C" w:rsidRDefault="00570E88">
      <w:pPr>
        <w:pStyle w:val="BodyText"/>
        <w:spacing w:before="168" w:line="249" w:lineRule="auto"/>
        <w:ind w:left="815" w:right="157"/>
      </w:pPr>
      <w:r>
        <w:t>The roll out and continuing support of the strategy is not possible without the support, commitment and dedication of QLS’s First Nations Consulting Committee Chair and Committee members, First Nations Legal Policy Chair and Committee members and our (internal) Cultural Champions and Stakeholders Committee. QLS would also like to acknowledge current and past staff and committee members who contributed</w:t>
      </w:r>
      <w:r>
        <w:rPr>
          <w:spacing w:val="-4"/>
        </w:rPr>
        <w:t xml:space="preserve"> </w:t>
      </w:r>
      <w:r>
        <w:t>to</w:t>
      </w:r>
      <w:r>
        <w:rPr>
          <w:spacing w:val="-4"/>
        </w:rPr>
        <w:t xml:space="preserve"> </w:t>
      </w:r>
      <w:r>
        <w:t>the</w:t>
      </w:r>
      <w:r>
        <w:rPr>
          <w:spacing w:val="-4"/>
        </w:rPr>
        <w:t xml:space="preserve"> </w:t>
      </w:r>
      <w:r>
        <w:t>work</w:t>
      </w:r>
      <w:r>
        <w:rPr>
          <w:spacing w:val="-4"/>
        </w:rPr>
        <w:t xml:space="preserve"> </w:t>
      </w:r>
      <w:r>
        <w:t>and</w:t>
      </w:r>
      <w:r>
        <w:rPr>
          <w:spacing w:val="-4"/>
        </w:rPr>
        <w:t xml:space="preserve"> </w:t>
      </w:r>
      <w:r>
        <w:t>development</w:t>
      </w:r>
      <w:r>
        <w:rPr>
          <w:spacing w:val="-4"/>
        </w:rPr>
        <w:t xml:space="preserve"> </w:t>
      </w:r>
      <w:r>
        <w:t>of</w:t>
      </w:r>
      <w:r>
        <w:rPr>
          <w:spacing w:val="-4"/>
        </w:rPr>
        <w:t xml:space="preserve"> </w:t>
      </w:r>
      <w:r>
        <w:t>our</w:t>
      </w:r>
      <w:r>
        <w:rPr>
          <w:spacing w:val="-4"/>
        </w:rPr>
        <w:t xml:space="preserve"> </w:t>
      </w:r>
      <w:r>
        <w:t>plan</w:t>
      </w:r>
      <w:r>
        <w:rPr>
          <w:spacing w:val="-4"/>
        </w:rPr>
        <w:t xml:space="preserve"> </w:t>
      </w:r>
      <w:r>
        <w:t>and</w:t>
      </w:r>
      <w:r>
        <w:rPr>
          <w:spacing w:val="-4"/>
        </w:rPr>
        <w:t xml:space="preserve"> </w:t>
      </w:r>
      <w:r>
        <w:t>strategy.</w:t>
      </w:r>
      <w:r>
        <w:rPr>
          <w:spacing w:val="-8"/>
        </w:rPr>
        <w:t xml:space="preserve"> </w:t>
      </w:r>
      <w:r>
        <w:t>To</w:t>
      </w:r>
      <w:r>
        <w:rPr>
          <w:spacing w:val="-4"/>
        </w:rPr>
        <w:t xml:space="preserve"> </w:t>
      </w:r>
      <w:r>
        <w:t>that</w:t>
      </w:r>
      <w:r>
        <w:rPr>
          <w:spacing w:val="-4"/>
        </w:rPr>
        <w:t xml:space="preserve"> </w:t>
      </w:r>
      <w:r>
        <w:t>end</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4"/>
        </w:rPr>
        <w:t xml:space="preserve"> </w:t>
      </w:r>
      <w:proofErr w:type="spellStart"/>
      <w:r>
        <w:t>recognise</w:t>
      </w:r>
      <w:proofErr w:type="spellEnd"/>
      <w:r>
        <w:t xml:space="preserve"> the work and support of the chairs of all committees, stakeholder committees and all other stakeholders for their commitment and generosity of time in joining with us on our cultural journey that positively contributes to closing the gap.</w:t>
      </w:r>
    </w:p>
    <w:p w14:paraId="0CB53D35" w14:textId="77777777" w:rsidR="00AC6F3C" w:rsidRDefault="00570E88">
      <w:pPr>
        <w:pStyle w:val="BodyText"/>
        <w:spacing w:before="176" w:line="249" w:lineRule="auto"/>
        <w:ind w:left="815" w:right="234"/>
      </w:pPr>
      <w:r>
        <w:t>QLS</w:t>
      </w:r>
      <w:r>
        <w:rPr>
          <w:spacing w:val="-3"/>
        </w:rPr>
        <w:t xml:space="preserve"> </w:t>
      </w:r>
      <w:r>
        <w:t>looks</w:t>
      </w:r>
      <w:r>
        <w:rPr>
          <w:spacing w:val="-3"/>
        </w:rPr>
        <w:t xml:space="preserve"> </w:t>
      </w:r>
      <w:r>
        <w:t>forward</w:t>
      </w:r>
      <w:r>
        <w:rPr>
          <w:spacing w:val="-3"/>
        </w:rPr>
        <w:t xml:space="preserve"> </w:t>
      </w:r>
      <w:r>
        <w:t>to</w:t>
      </w:r>
      <w:r>
        <w:rPr>
          <w:spacing w:val="-3"/>
        </w:rPr>
        <w:t xml:space="preserve"> </w:t>
      </w:r>
      <w:r>
        <w:t>working</w:t>
      </w:r>
      <w:r>
        <w:rPr>
          <w:spacing w:val="-3"/>
        </w:rPr>
        <w:t xml:space="preserve"> </w:t>
      </w:r>
      <w:r>
        <w:t>with</w:t>
      </w:r>
      <w:r>
        <w:rPr>
          <w:spacing w:val="-3"/>
        </w:rPr>
        <w:t xml:space="preserve"> </w:t>
      </w:r>
      <w:r>
        <w:t>all</w:t>
      </w:r>
      <w:r>
        <w:rPr>
          <w:spacing w:val="-3"/>
        </w:rPr>
        <w:t xml:space="preserve"> </w:t>
      </w:r>
      <w:r>
        <w:t>members</w:t>
      </w:r>
      <w:r>
        <w:rPr>
          <w:spacing w:val="-3"/>
        </w:rPr>
        <w:t xml:space="preserve"> </w:t>
      </w:r>
      <w:r>
        <w:t>and</w:t>
      </w:r>
      <w:r>
        <w:rPr>
          <w:spacing w:val="-3"/>
        </w:rPr>
        <w:t xml:space="preserve"> </w:t>
      </w:r>
      <w:r>
        <w:t>stakeholders</w:t>
      </w:r>
      <w:r>
        <w:rPr>
          <w:spacing w:val="-3"/>
        </w:rPr>
        <w:t xml:space="preserve"> </w:t>
      </w:r>
      <w:r>
        <w:t>in</w:t>
      </w:r>
      <w:r>
        <w:rPr>
          <w:spacing w:val="-3"/>
        </w:rPr>
        <w:t xml:space="preserve"> </w:t>
      </w:r>
      <w:r>
        <w:t>achieving</w:t>
      </w:r>
      <w:r>
        <w:rPr>
          <w:spacing w:val="-3"/>
        </w:rPr>
        <w:t xml:space="preserve"> </w:t>
      </w:r>
      <w:r>
        <w:t>these</w:t>
      </w:r>
      <w:r>
        <w:rPr>
          <w:spacing w:val="-3"/>
        </w:rPr>
        <w:t xml:space="preserve"> </w:t>
      </w:r>
      <w:r>
        <w:t>laudable</w:t>
      </w:r>
      <w:r>
        <w:rPr>
          <w:spacing w:val="-3"/>
        </w:rPr>
        <w:t xml:space="preserve"> </w:t>
      </w:r>
      <w:r>
        <w:t>initiatives. The annual reporting of our commitments is set out below.</w:t>
      </w:r>
    </w:p>
    <w:p w14:paraId="1FF9D826" w14:textId="77777777" w:rsidR="00AC6F3C" w:rsidRDefault="00AC6F3C">
      <w:pPr>
        <w:spacing w:line="249" w:lineRule="auto"/>
        <w:sectPr w:rsidR="00AC6F3C">
          <w:headerReference w:type="default" r:id="rId164"/>
          <w:footerReference w:type="default" r:id="rId165"/>
          <w:pgSz w:w="11910" w:h="16840"/>
          <w:pgMar w:top="1140" w:right="1160" w:bottom="520" w:left="460" w:header="0" w:footer="336" w:gutter="0"/>
          <w:cols w:space="720"/>
        </w:sectPr>
      </w:pPr>
    </w:p>
    <w:p w14:paraId="4EE5DEA1" w14:textId="77777777" w:rsidR="00AC6F3C" w:rsidRDefault="00570E88">
      <w:pPr>
        <w:spacing w:before="63"/>
        <w:ind w:left="815"/>
        <w:rPr>
          <w:b/>
          <w:sz w:val="26"/>
        </w:rPr>
      </w:pPr>
      <w:r>
        <w:rPr>
          <w:b/>
          <w:sz w:val="26"/>
        </w:rPr>
        <w:lastRenderedPageBreak/>
        <w:t>First</w:t>
      </w:r>
      <w:r>
        <w:rPr>
          <w:b/>
          <w:spacing w:val="-5"/>
          <w:sz w:val="26"/>
        </w:rPr>
        <w:t xml:space="preserve"> </w:t>
      </w:r>
      <w:r>
        <w:rPr>
          <w:b/>
          <w:sz w:val="26"/>
        </w:rPr>
        <w:t>Nations</w:t>
      </w:r>
      <w:r>
        <w:rPr>
          <w:b/>
          <w:spacing w:val="-11"/>
          <w:sz w:val="26"/>
        </w:rPr>
        <w:t xml:space="preserve"> </w:t>
      </w:r>
      <w:r>
        <w:rPr>
          <w:b/>
          <w:sz w:val="26"/>
        </w:rPr>
        <w:t>Annual</w:t>
      </w:r>
      <w:r>
        <w:rPr>
          <w:b/>
          <w:spacing w:val="-2"/>
          <w:sz w:val="26"/>
        </w:rPr>
        <w:t xml:space="preserve"> </w:t>
      </w:r>
      <w:r>
        <w:rPr>
          <w:b/>
          <w:sz w:val="26"/>
        </w:rPr>
        <w:t>Plan</w:t>
      </w:r>
      <w:r>
        <w:rPr>
          <w:b/>
          <w:spacing w:val="-2"/>
          <w:sz w:val="26"/>
        </w:rPr>
        <w:t xml:space="preserve"> </w:t>
      </w:r>
      <w:r>
        <w:rPr>
          <w:b/>
          <w:sz w:val="26"/>
        </w:rPr>
        <w:t>2022-23</w:t>
      </w:r>
      <w:r>
        <w:rPr>
          <w:b/>
          <w:spacing w:val="-2"/>
          <w:sz w:val="26"/>
        </w:rPr>
        <w:t xml:space="preserve"> </w:t>
      </w:r>
      <w:r>
        <w:rPr>
          <w:b/>
          <w:sz w:val="26"/>
        </w:rPr>
        <w:t>(QLS</w:t>
      </w:r>
      <w:r>
        <w:rPr>
          <w:b/>
          <w:spacing w:val="-2"/>
          <w:sz w:val="26"/>
        </w:rPr>
        <w:t xml:space="preserve"> </w:t>
      </w:r>
      <w:r>
        <w:rPr>
          <w:b/>
          <w:spacing w:val="-4"/>
          <w:sz w:val="26"/>
        </w:rPr>
        <w:t>FNP)</w:t>
      </w:r>
    </w:p>
    <w:p w14:paraId="639AA280" w14:textId="77777777" w:rsidR="00AC6F3C" w:rsidRDefault="00570E88">
      <w:pPr>
        <w:pStyle w:val="BodyText"/>
        <w:spacing w:before="8"/>
        <w:rPr>
          <w:b/>
          <w:sz w:val="22"/>
        </w:rPr>
      </w:pPr>
      <w:r>
        <w:rPr>
          <w:noProof/>
        </w:rPr>
        <mc:AlternateContent>
          <mc:Choice Requires="wpg">
            <w:drawing>
              <wp:anchor distT="0" distB="0" distL="0" distR="0" simplePos="0" relativeHeight="487633920" behindDoc="1" locked="0" layoutInCell="1" allowOverlap="1" wp14:anchorId="30567395" wp14:editId="7F9CF7A9">
                <wp:simplePos x="0" y="0"/>
                <wp:positionH relativeFrom="page">
                  <wp:posOffset>809999</wp:posOffset>
                </wp:positionH>
                <wp:positionV relativeFrom="paragraph">
                  <wp:posOffset>181143</wp:posOffset>
                </wp:positionV>
                <wp:extent cx="5940425" cy="12700"/>
                <wp:effectExtent l="0" t="0" r="0" b="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421" name="Graphic 421"/>
                        <wps:cNvSpPr/>
                        <wps:spPr>
                          <a:xfrm>
                            <a:off x="0" y="6350"/>
                            <a:ext cx="837565" cy="1270"/>
                          </a:xfrm>
                          <a:custGeom>
                            <a:avLst/>
                            <a:gdLst/>
                            <a:ahLst/>
                            <a:cxnLst/>
                            <a:rect l="l" t="t" r="r" b="b"/>
                            <a:pathLst>
                              <a:path w="837565">
                                <a:moveTo>
                                  <a:pt x="0" y="0"/>
                                </a:moveTo>
                                <a:lnTo>
                                  <a:pt x="837006" y="0"/>
                                </a:lnTo>
                              </a:path>
                            </a:pathLst>
                          </a:custGeom>
                          <a:ln w="12700">
                            <a:solidFill>
                              <a:srgbClr val="000000"/>
                            </a:solidFill>
                            <a:prstDash val="solid"/>
                          </a:ln>
                        </wps:spPr>
                        <wps:bodyPr wrap="square" lIns="0" tIns="0" rIns="0" bIns="0" rtlCol="0">
                          <a:prstTxWarp prst="textNoShape">
                            <a:avLst/>
                          </a:prstTxWarp>
                          <a:noAutofit/>
                        </wps:bodyPr>
                      </wps:wsp>
                      <wps:wsp>
                        <wps:cNvPr id="422" name="Graphic 422"/>
                        <wps:cNvSpPr/>
                        <wps:spPr>
                          <a:xfrm>
                            <a:off x="836999" y="6350"/>
                            <a:ext cx="1644014" cy="1270"/>
                          </a:xfrm>
                          <a:custGeom>
                            <a:avLst/>
                            <a:gdLst/>
                            <a:ahLst/>
                            <a:cxnLst/>
                            <a:rect l="l" t="t" r="r" b="b"/>
                            <a:pathLst>
                              <a:path w="1644014">
                                <a:moveTo>
                                  <a:pt x="0" y="0"/>
                                </a:moveTo>
                                <a:lnTo>
                                  <a:pt x="1644002" y="0"/>
                                </a:lnTo>
                              </a:path>
                            </a:pathLst>
                          </a:custGeom>
                          <a:ln w="12700">
                            <a:solidFill>
                              <a:srgbClr val="000000"/>
                            </a:solidFill>
                            <a:prstDash val="solid"/>
                          </a:ln>
                        </wps:spPr>
                        <wps:bodyPr wrap="square" lIns="0" tIns="0" rIns="0" bIns="0" rtlCol="0">
                          <a:prstTxWarp prst="textNoShape">
                            <a:avLst/>
                          </a:prstTxWarp>
                          <a:noAutofit/>
                        </wps:bodyPr>
                      </wps:wsp>
                      <wps:wsp>
                        <wps:cNvPr id="423" name="Graphic 423"/>
                        <wps:cNvSpPr/>
                        <wps:spPr>
                          <a:xfrm>
                            <a:off x="2481000" y="6350"/>
                            <a:ext cx="835025" cy="1270"/>
                          </a:xfrm>
                          <a:custGeom>
                            <a:avLst/>
                            <a:gdLst/>
                            <a:ahLst/>
                            <a:cxnLst/>
                            <a:rect l="l" t="t" r="r" b="b"/>
                            <a:pathLst>
                              <a:path w="835025">
                                <a:moveTo>
                                  <a:pt x="0" y="0"/>
                                </a:moveTo>
                                <a:lnTo>
                                  <a:pt x="834605" y="0"/>
                                </a:lnTo>
                              </a:path>
                            </a:pathLst>
                          </a:custGeom>
                          <a:ln w="12700">
                            <a:solidFill>
                              <a:srgbClr val="000000"/>
                            </a:solidFill>
                            <a:prstDash val="solid"/>
                          </a:ln>
                        </wps:spPr>
                        <wps:bodyPr wrap="square" lIns="0" tIns="0" rIns="0" bIns="0" rtlCol="0">
                          <a:prstTxWarp prst="textNoShape">
                            <a:avLst/>
                          </a:prstTxWarp>
                          <a:noAutofit/>
                        </wps:bodyPr>
                      </wps:wsp>
                      <wps:wsp>
                        <wps:cNvPr id="424" name="Graphic 424"/>
                        <wps:cNvSpPr/>
                        <wps:spPr>
                          <a:xfrm>
                            <a:off x="3315600" y="6350"/>
                            <a:ext cx="2624455" cy="1270"/>
                          </a:xfrm>
                          <a:custGeom>
                            <a:avLst/>
                            <a:gdLst/>
                            <a:ahLst/>
                            <a:cxnLst/>
                            <a:rect l="l" t="t" r="r" b="b"/>
                            <a:pathLst>
                              <a:path w="2624455">
                                <a:moveTo>
                                  <a:pt x="0" y="0"/>
                                </a:moveTo>
                                <a:lnTo>
                                  <a:pt x="262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7D75B" id="Group 420" o:spid="_x0000_s1026" style="position:absolute;margin-left:63.8pt;margin-top:14.25pt;width:467.75pt;height:1pt;z-index:-15682560;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">
                <v:shape id="Graphic 421" o:spid="_x0000_s1027" style="position:absolute;top:63;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" path="m,l837006,e" filled="f" strokeweight="1pt">
                  <v:path arrowok="t"/>
                </v:shape>
                <v:shape id="Graphic 422" o:spid="_x0000_s1028" style="position:absolute;left:8369;top:63;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" path="m,l1644002,e" filled="f" strokeweight="1pt">
                  <v:path arrowok="t"/>
                </v:shape>
                <v:shape id="Graphic 423" o:spid="_x0000_s1029" style="position:absolute;left:24810;top:63;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" path="m,l834605,e" filled="f" strokeweight="1pt">
                  <v:path arrowok="t"/>
                </v:shape>
                <v:shape id="Graphic 424" o:spid="_x0000_s1030" style="position:absolute;left:33156;top:63;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" path="m,l2624404,e" filled="f" strokeweight="1pt">
                  <v:path arrowok="t"/>
                </v:shape>
                <w10:wrap type="topAndBottom" anchorx="page"/>
              </v:group>
            </w:pict>
          </mc:Fallback>
        </mc:AlternateContent>
      </w:r>
    </w:p>
    <w:p w14:paraId="3E58E470" w14:textId="77777777" w:rsidR="00AC6F3C" w:rsidRDefault="00570E88">
      <w:pPr>
        <w:tabs>
          <w:tab w:val="left" w:pos="2247"/>
          <w:tab w:val="left" w:pos="4836"/>
          <w:tab w:val="left" w:pos="6150"/>
        </w:tabs>
        <w:spacing w:before="75"/>
        <w:ind w:left="928"/>
        <w:rPr>
          <w:b/>
          <w:sz w:val="15"/>
        </w:rPr>
      </w:pPr>
      <w:r>
        <w:rPr>
          <w:b/>
          <w:spacing w:val="-2"/>
          <w:sz w:val="15"/>
        </w:rPr>
        <w:t>Strategic</w:t>
      </w:r>
      <w:r>
        <w:rPr>
          <w:b/>
          <w:spacing w:val="-7"/>
          <w:sz w:val="15"/>
        </w:rPr>
        <w:t xml:space="preserve"> </w:t>
      </w:r>
      <w:r>
        <w:rPr>
          <w:b/>
          <w:spacing w:val="-4"/>
          <w:sz w:val="15"/>
        </w:rPr>
        <w:t>Goal</w:t>
      </w:r>
      <w:r>
        <w:rPr>
          <w:b/>
          <w:sz w:val="15"/>
        </w:rPr>
        <w:tab/>
      </w:r>
      <w:r>
        <w:rPr>
          <w:b/>
          <w:spacing w:val="-2"/>
          <w:sz w:val="15"/>
        </w:rPr>
        <w:t>Initiative</w:t>
      </w:r>
      <w:r>
        <w:rPr>
          <w:b/>
          <w:sz w:val="15"/>
        </w:rPr>
        <w:tab/>
      </w:r>
      <w:r>
        <w:rPr>
          <w:b/>
          <w:spacing w:val="-2"/>
          <w:sz w:val="15"/>
        </w:rPr>
        <w:t>Status</w:t>
      </w:r>
      <w:r>
        <w:rPr>
          <w:b/>
          <w:sz w:val="15"/>
        </w:rPr>
        <w:tab/>
      </w:r>
      <w:r>
        <w:rPr>
          <w:b/>
          <w:spacing w:val="-2"/>
          <w:sz w:val="15"/>
        </w:rPr>
        <w:t>1</w:t>
      </w:r>
      <w:r>
        <w:rPr>
          <w:b/>
          <w:spacing w:val="-8"/>
          <w:sz w:val="15"/>
        </w:rPr>
        <w:t xml:space="preserve"> </w:t>
      </w:r>
      <w:r>
        <w:rPr>
          <w:b/>
          <w:spacing w:val="-2"/>
          <w:sz w:val="15"/>
        </w:rPr>
        <w:t>July</w:t>
      </w:r>
      <w:r>
        <w:rPr>
          <w:b/>
          <w:spacing w:val="-8"/>
          <w:sz w:val="15"/>
        </w:rPr>
        <w:t xml:space="preserve"> </w:t>
      </w:r>
      <w:r>
        <w:rPr>
          <w:b/>
          <w:spacing w:val="-2"/>
          <w:sz w:val="15"/>
        </w:rPr>
        <w:t>2022</w:t>
      </w:r>
      <w:r>
        <w:rPr>
          <w:b/>
          <w:spacing w:val="-8"/>
          <w:sz w:val="15"/>
        </w:rPr>
        <w:t xml:space="preserve"> </w:t>
      </w:r>
      <w:r>
        <w:rPr>
          <w:b/>
          <w:spacing w:val="-2"/>
          <w:sz w:val="15"/>
        </w:rPr>
        <w:t>to</w:t>
      </w:r>
      <w:r>
        <w:rPr>
          <w:b/>
          <w:spacing w:val="-8"/>
          <w:sz w:val="15"/>
        </w:rPr>
        <w:t xml:space="preserve"> </w:t>
      </w:r>
      <w:r>
        <w:rPr>
          <w:b/>
          <w:spacing w:val="-2"/>
          <w:sz w:val="15"/>
        </w:rPr>
        <w:t>30</w:t>
      </w:r>
      <w:r>
        <w:rPr>
          <w:b/>
          <w:spacing w:val="-7"/>
          <w:sz w:val="15"/>
        </w:rPr>
        <w:t xml:space="preserve"> </w:t>
      </w:r>
      <w:r>
        <w:rPr>
          <w:b/>
          <w:spacing w:val="-2"/>
          <w:sz w:val="15"/>
        </w:rPr>
        <w:t>June</w:t>
      </w:r>
      <w:r>
        <w:rPr>
          <w:b/>
          <w:spacing w:val="-8"/>
          <w:sz w:val="15"/>
        </w:rPr>
        <w:t xml:space="preserve"> </w:t>
      </w:r>
      <w:r>
        <w:rPr>
          <w:b/>
          <w:spacing w:val="-4"/>
          <w:sz w:val="15"/>
        </w:rPr>
        <w:t>2023</w:t>
      </w:r>
    </w:p>
    <w:p w14:paraId="734071A7" w14:textId="77777777" w:rsidR="00AC6F3C" w:rsidRDefault="00AC6F3C">
      <w:pPr>
        <w:rPr>
          <w:sz w:val="15"/>
        </w:rPr>
        <w:sectPr w:rsidR="00AC6F3C">
          <w:headerReference w:type="default" r:id="rId166"/>
          <w:footerReference w:type="default" r:id="rId167"/>
          <w:pgSz w:w="11910" w:h="16840"/>
          <w:pgMar w:top="1140" w:right="1160" w:bottom="520" w:left="460" w:header="0" w:footer="336" w:gutter="0"/>
          <w:cols w:space="720"/>
        </w:sectPr>
      </w:pPr>
    </w:p>
    <w:p w14:paraId="0A551320" w14:textId="77777777" w:rsidR="00AC6F3C" w:rsidRDefault="00AC6F3C">
      <w:pPr>
        <w:pStyle w:val="BodyText"/>
        <w:spacing w:before="2"/>
        <w:rPr>
          <w:b/>
          <w:sz w:val="15"/>
        </w:rPr>
      </w:pPr>
    </w:p>
    <w:p w14:paraId="7CCB650C" w14:textId="77777777" w:rsidR="00AC6F3C" w:rsidRDefault="00570E88">
      <w:pPr>
        <w:tabs>
          <w:tab w:val="left" w:pos="2247"/>
        </w:tabs>
        <w:ind w:left="928"/>
        <w:rPr>
          <w:sz w:val="15"/>
        </w:rPr>
      </w:pPr>
      <w:r>
        <w:rPr>
          <w:noProof/>
        </w:rPr>
        <mc:AlternateContent>
          <mc:Choice Requires="wpg">
            <w:drawing>
              <wp:anchor distT="0" distB="0" distL="0" distR="0" simplePos="0" relativeHeight="15775744" behindDoc="0" locked="0" layoutInCell="1" allowOverlap="1" wp14:anchorId="43D61B1C" wp14:editId="07DADFCF">
                <wp:simplePos x="0" y="0"/>
                <wp:positionH relativeFrom="page">
                  <wp:posOffset>809999</wp:posOffset>
                </wp:positionH>
                <wp:positionV relativeFrom="paragraph">
                  <wp:posOffset>-65381</wp:posOffset>
                </wp:positionV>
                <wp:extent cx="5940425" cy="1270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426" name="Graphic 426"/>
                        <wps:cNvSpPr/>
                        <wps:spPr>
                          <a:xfrm>
                            <a:off x="0" y="6350"/>
                            <a:ext cx="837565" cy="1270"/>
                          </a:xfrm>
                          <a:custGeom>
                            <a:avLst/>
                            <a:gdLst/>
                            <a:ahLst/>
                            <a:cxnLst/>
                            <a:rect l="l" t="t" r="r" b="b"/>
                            <a:pathLst>
                              <a:path w="837565">
                                <a:moveTo>
                                  <a:pt x="0" y="0"/>
                                </a:moveTo>
                                <a:lnTo>
                                  <a:pt x="837006" y="0"/>
                                </a:lnTo>
                              </a:path>
                            </a:pathLst>
                          </a:custGeom>
                          <a:ln w="12700">
                            <a:solidFill>
                              <a:srgbClr val="000000"/>
                            </a:solidFill>
                            <a:prstDash val="solid"/>
                          </a:ln>
                        </wps:spPr>
                        <wps:bodyPr wrap="square" lIns="0" tIns="0" rIns="0" bIns="0" rtlCol="0">
                          <a:prstTxWarp prst="textNoShape">
                            <a:avLst/>
                          </a:prstTxWarp>
                          <a:noAutofit/>
                        </wps:bodyPr>
                      </wps:wsp>
                      <wps:wsp>
                        <wps:cNvPr id="427" name="Graphic 427"/>
                        <wps:cNvSpPr/>
                        <wps:spPr>
                          <a:xfrm>
                            <a:off x="836999" y="6350"/>
                            <a:ext cx="1644014" cy="1270"/>
                          </a:xfrm>
                          <a:custGeom>
                            <a:avLst/>
                            <a:gdLst/>
                            <a:ahLst/>
                            <a:cxnLst/>
                            <a:rect l="l" t="t" r="r" b="b"/>
                            <a:pathLst>
                              <a:path w="1644014">
                                <a:moveTo>
                                  <a:pt x="0" y="0"/>
                                </a:moveTo>
                                <a:lnTo>
                                  <a:pt x="1644002" y="0"/>
                                </a:lnTo>
                              </a:path>
                            </a:pathLst>
                          </a:custGeom>
                          <a:ln w="12700">
                            <a:solidFill>
                              <a:srgbClr val="000000"/>
                            </a:solidFill>
                            <a:prstDash val="solid"/>
                          </a:ln>
                        </wps:spPr>
                        <wps:bodyPr wrap="square" lIns="0" tIns="0" rIns="0" bIns="0" rtlCol="0">
                          <a:prstTxWarp prst="textNoShape">
                            <a:avLst/>
                          </a:prstTxWarp>
                          <a:noAutofit/>
                        </wps:bodyPr>
                      </wps:wsp>
                      <wps:wsp>
                        <wps:cNvPr id="428" name="Graphic 428"/>
                        <wps:cNvSpPr/>
                        <wps:spPr>
                          <a:xfrm>
                            <a:off x="2481000" y="6350"/>
                            <a:ext cx="835025" cy="1270"/>
                          </a:xfrm>
                          <a:custGeom>
                            <a:avLst/>
                            <a:gdLst/>
                            <a:ahLst/>
                            <a:cxnLst/>
                            <a:rect l="l" t="t" r="r" b="b"/>
                            <a:pathLst>
                              <a:path w="835025">
                                <a:moveTo>
                                  <a:pt x="0" y="0"/>
                                </a:moveTo>
                                <a:lnTo>
                                  <a:pt x="834605" y="0"/>
                                </a:lnTo>
                              </a:path>
                            </a:pathLst>
                          </a:custGeom>
                          <a:ln w="12700">
                            <a:solidFill>
                              <a:srgbClr val="000000"/>
                            </a:solidFill>
                            <a:prstDash val="solid"/>
                          </a:ln>
                        </wps:spPr>
                        <wps:bodyPr wrap="square" lIns="0" tIns="0" rIns="0" bIns="0" rtlCol="0">
                          <a:prstTxWarp prst="textNoShape">
                            <a:avLst/>
                          </a:prstTxWarp>
                          <a:noAutofit/>
                        </wps:bodyPr>
                      </wps:wsp>
                      <wps:wsp>
                        <wps:cNvPr id="429" name="Graphic 429"/>
                        <wps:cNvSpPr/>
                        <wps:spPr>
                          <a:xfrm>
                            <a:off x="3315600" y="6350"/>
                            <a:ext cx="2624455" cy="1270"/>
                          </a:xfrm>
                          <a:custGeom>
                            <a:avLst/>
                            <a:gdLst/>
                            <a:ahLst/>
                            <a:cxnLst/>
                            <a:rect l="l" t="t" r="r" b="b"/>
                            <a:pathLst>
                              <a:path w="2624455">
                                <a:moveTo>
                                  <a:pt x="0" y="0"/>
                                </a:moveTo>
                                <a:lnTo>
                                  <a:pt x="262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728C91" id="Group 425" o:spid="_x0000_s1026" style="position:absolute;margin-left:63.8pt;margin-top:-5.15pt;width:467.75pt;height:1pt;z-index:15775744;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">
                <v:shape id="Graphic 426" o:spid="_x0000_s1027" style="position:absolute;top:63;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" path="m,l837006,e" filled="f" strokeweight="1pt">
                  <v:path arrowok="t"/>
                </v:shape>
                <v:shape id="Graphic 427" o:spid="_x0000_s1028" style="position:absolute;left:8369;top:63;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" path="m,l1644002,e" filled="f" strokeweight="1pt">
                  <v:path arrowok="t"/>
                </v:shape>
                <v:shape id="Graphic 428" o:spid="_x0000_s1029" style="position:absolute;left:24810;top:63;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" path="m,l834605,e" filled="f" strokeweight="1pt">
                  <v:path arrowok="t"/>
                </v:shape>
                <v:shape id="Graphic 429" o:spid="_x0000_s1030" style="position:absolute;left:33156;top:63;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" path="m,l2624404,e" filled="f" strokeweight="1pt">
                  <v:path arrowok="t"/>
                </v:shape>
                <w10:wrap anchorx="page"/>
              </v:group>
            </w:pict>
          </mc:Fallback>
        </mc:AlternateContent>
      </w:r>
      <w:r>
        <w:rPr>
          <w:b/>
          <w:spacing w:val="-4"/>
          <w:sz w:val="15"/>
        </w:rPr>
        <w:t>Advocate</w:t>
      </w:r>
      <w:r>
        <w:rPr>
          <w:b/>
          <w:spacing w:val="3"/>
          <w:sz w:val="15"/>
        </w:rPr>
        <w:t xml:space="preserve"> </w:t>
      </w:r>
      <w:r>
        <w:rPr>
          <w:b/>
          <w:spacing w:val="-4"/>
          <w:sz w:val="15"/>
        </w:rPr>
        <w:t>Goal</w:t>
      </w:r>
      <w:r>
        <w:rPr>
          <w:b/>
          <w:sz w:val="15"/>
        </w:rPr>
        <w:tab/>
      </w:r>
      <w:r>
        <w:rPr>
          <w:sz w:val="15"/>
        </w:rPr>
        <w:t>1.</w:t>
      </w:r>
      <w:r>
        <w:rPr>
          <w:spacing w:val="64"/>
          <w:w w:val="150"/>
          <w:sz w:val="15"/>
        </w:rPr>
        <w:t xml:space="preserve"> </w:t>
      </w:r>
      <w:r>
        <w:rPr>
          <w:sz w:val="15"/>
        </w:rPr>
        <w:t>Be</w:t>
      </w:r>
      <w:r>
        <w:rPr>
          <w:spacing w:val="-10"/>
          <w:sz w:val="15"/>
        </w:rPr>
        <w:t xml:space="preserve"> </w:t>
      </w:r>
      <w:r>
        <w:rPr>
          <w:sz w:val="15"/>
        </w:rPr>
        <w:t>at</w:t>
      </w:r>
      <w:r>
        <w:rPr>
          <w:spacing w:val="-11"/>
          <w:sz w:val="15"/>
        </w:rPr>
        <w:t xml:space="preserve"> </w:t>
      </w:r>
      <w:r>
        <w:rPr>
          <w:sz w:val="15"/>
        </w:rPr>
        <w:t>the</w:t>
      </w:r>
      <w:r>
        <w:rPr>
          <w:spacing w:val="-10"/>
          <w:sz w:val="15"/>
        </w:rPr>
        <w:t xml:space="preserve"> </w:t>
      </w:r>
      <w:r>
        <w:rPr>
          <w:sz w:val="15"/>
        </w:rPr>
        <w:t>forefront</w:t>
      </w:r>
      <w:r>
        <w:rPr>
          <w:spacing w:val="-10"/>
          <w:sz w:val="15"/>
        </w:rPr>
        <w:t xml:space="preserve"> </w:t>
      </w:r>
      <w:r>
        <w:rPr>
          <w:sz w:val="15"/>
        </w:rPr>
        <w:t>of</w:t>
      </w:r>
      <w:r>
        <w:rPr>
          <w:spacing w:val="-11"/>
          <w:sz w:val="15"/>
        </w:rPr>
        <w:t xml:space="preserve"> </w:t>
      </w:r>
      <w:r>
        <w:rPr>
          <w:spacing w:val="-2"/>
          <w:sz w:val="15"/>
        </w:rPr>
        <w:t>identifying</w:t>
      </w:r>
    </w:p>
    <w:p w14:paraId="21F086EE" w14:textId="77777777" w:rsidR="00AC6F3C" w:rsidRDefault="00570E88">
      <w:pPr>
        <w:spacing w:before="14" w:line="259" w:lineRule="auto"/>
        <w:ind w:left="2530"/>
        <w:rPr>
          <w:sz w:val="15"/>
        </w:rPr>
      </w:pPr>
      <w:r>
        <w:rPr>
          <w:spacing w:val="-4"/>
          <w:sz w:val="15"/>
        </w:rPr>
        <w:t>issues that affect First Nations</w:t>
      </w:r>
      <w:r>
        <w:rPr>
          <w:sz w:val="15"/>
        </w:rPr>
        <w:t xml:space="preserve"> Solicitors and First Nations Community and consult with First Nations stakeholders</w:t>
      </w:r>
    </w:p>
    <w:p w14:paraId="23751ED2" w14:textId="77777777" w:rsidR="00AC6F3C" w:rsidRDefault="00AC6F3C">
      <w:pPr>
        <w:pStyle w:val="BodyText"/>
        <w:rPr>
          <w:sz w:val="16"/>
        </w:rPr>
      </w:pPr>
    </w:p>
    <w:p w14:paraId="5F2C2745" w14:textId="77777777" w:rsidR="00AC6F3C" w:rsidRDefault="00AC6F3C">
      <w:pPr>
        <w:pStyle w:val="BodyText"/>
        <w:rPr>
          <w:sz w:val="16"/>
        </w:rPr>
      </w:pPr>
    </w:p>
    <w:p w14:paraId="3BEB58C2" w14:textId="77777777" w:rsidR="00AC6F3C" w:rsidRDefault="00AC6F3C">
      <w:pPr>
        <w:pStyle w:val="BodyText"/>
        <w:rPr>
          <w:sz w:val="16"/>
        </w:rPr>
      </w:pPr>
    </w:p>
    <w:p w14:paraId="4EB8EA62" w14:textId="77777777" w:rsidR="00AC6F3C" w:rsidRDefault="00AC6F3C">
      <w:pPr>
        <w:pStyle w:val="BodyText"/>
        <w:rPr>
          <w:sz w:val="16"/>
        </w:rPr>
      </w:pPr>
    </w:p>
    <w:p w14:paraId="27049EA0" w14:textId="77777777" w:rsidR="00AC6F3C" w:rsidRDefault="00AC6F3C">
      <w:pPr>
        <w:pStyle w:val="BodyText"/>
        <w:rPr>
          <w:sz w:val="16"/>
        </w:rPr>
      </w:pPr>
    </w:p>
    <w:p w14:paraId="77461E9D" w14:textId="77777777" w:rsidR="00AC6F3C" w:rsidRDefault="00AC6F3C">
      <w:pPr>
        <w:pStyle w:val="BodyText"/>
        <w:rPr>
          <w:sz w:val="16"/>
        </w:rPr>
      </w:pPr>
    </w:p>
    <w:p w14:paraId="5811599B" w14:textId="77777777" w:rsidR="00AC6F3C" w:rsidRDefault="00AC6F3C">
      <w:pPr>
        <w:pStyle w:val="BodyText"/>
        <w:rPr>
          <w:sz w:val="16"/>
        </w:rPr>
      </w:pPr>
    </w:p>
    <w:p w14:paraId="2CA770CB" w14:textId="77777777" w:rsidR="00AC6F3C" w:rsidRDefault="00AC6F3C">
      <w:pPr>
        <w:pStyle w:val="BodyText"/>
        <w:rPr>
          <w:sz w:val="16"/>
        </w:rPr>
      </w:pPr>
    </w:p>
    <w:p w14:paraId="2E9EDB49" w14:textId="77777777" w:rsidR="00AC6F3C" w:rsidRDefault="00AC6F3C">
      <w:pPr>
        <w:pStyle w:val="BodyText"/>
        <w:rPr>
          <w:sz w:val="16"/>
        </w:rPr>
      </w:pPr>
    </w:p>
    <w:p w14:paraId="1F4F5A8F" w14:textId="77777777" w:rsidR="00AC6F3C" w:rsidRDefault="00570E88">
      <w:pPr>
        <w:tabs>
          <w:tab w:val="left" w:pos="2247"/>
        </w:tabs>
        <w:spacing w:before="138"/>
        <w:ind w:left="928"/>
        <w:rPr>
          <w:sz w:val="15"/>
        </w:rPr>
      </w:pPr>
      <w:r>
        <w:rPr>
          <w:noProof/>
        </w:rPr>
        <mc:AlternateContent>
          <mc:Choice Requires="wpg">
            <w:drawing>
              <wp:anchor distT="0" distB="0" distL="0" distR="0" simplePos="0" relativeHeight="15776256" behindDoc="0" locked="0" layoutInCell="1" allowOverlap="1" wp14:anchorId="72C8CB7B" wp14:editId="1C33323C">
                <wp:simplePos x="0" y="0"/>
                <wp:positionH relativeFrom="page">
                  <wp:posOffset>809999</wp:posOffset>
                </wp:positionH>
                <wp:positionV relativeFrom="paragraph">
                  <wp:posOffset>32033</wp:posOffset>
                </wp:positionV>
                <wp:extent cx="5940425" cy="317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31" name="Graphic 431"/>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32" name="Graphic 432"/>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33" name="Graphic 433"/>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34" name="Graphic 434"/>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3AE2A3" id="Group 430" o:spid="_x0000_s1026" style="position:absolute;margin-left:63.8pt;margin-top:2.5pt;width:467.75pt;height:.25pt;z-index:1577625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">
                <v:shape id="Graphic 431"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" path="m,l837006,e" filled="f" strokeweight=".25pt">
                  <v:path arrowok="t"/>
                </v:shape>
                <v:shape id="Graphic 432"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" path="m,l1644002,e" filled="f" strokeweight=".25pt">
                  <v:path arrowok="t"/>
                </v:shape>
                <v:shape id="Graphic 433"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" path="m,l834605,e" filled="f" strokeweight=".25pt">
                  <v:path arrowok="t"/>
                </v:shape>
                <v:shape id="Graphic 434"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" path="m,l2624404,e" filled="f" strokeweight=".25pt">
                  <v:path arrowok="t"/>
                </v:shape>
                <w10:wrap anchorx="page"/>
              </v:group>
            </w:pict>
          </mc:Fallback>
        </mc:AlternateContent>
      </w:r>
      <w:r>
        <w:rPr>
          <w:b/>
          <w:spacing w:val="-4"/>
          <w:sz w:val="15"/>
        </w:rPr>
        <w:t>Advocate</w:t>
      </w:r>
      <w:r>
        <w:rPr>
          <w:b/>
          <w:spacing w:val="3"/>
          <w:sz w:val="15"/>
        </w:rPr>
        <w:t xml:space="preserve"> </w:t>
      </w:r>
      <w:r>
        <w:rPr>
          <w:b/>
          <w:spacing w:val="-4"/>
          <w:sz w:val="15"/>
        </w:rPr>
        <w:t>Goal</w:t>
      </w:r>
      <w:r>
        <w:rPr>
          <w:b/>
          <w:sz w:val="15"/>
        </w:rPr>
        <w:tab/>
      </w:r>
      <w:r>
        <w:rPr>
          <w:sz w:val="15"/>
        </w:rPr>
        <w:t>2.</w:t>
      </w:r>
      <w:r>
        <w:rPr>
          <w:spacing w:val="62"/>
          <w:sz w:val="15"/>
        </w:rPr>
        <w:t xml:space="preserve"> </w:t>
      </w:r>
      <w:r>
        <w:rPr>
          <w:sz w:val="15"/>
        </w:rPr>
        <w:t>Actively</w:t>
      </w:r>
      <w:r>
        <w:rPr>
          <w:spacing w:val="-10"/>
          <w:sz w:val="15"/>
        </w:rPr>
        <w:t xml:space="preserve"> </w:t>
      </w:r>
      <w:r>
        <w:rPr>
          <w:sz w:val="15"/>
        </w:rPr>
        <w:t>represent</w:t>
      </w:r>
      <w:r>
        <w:rPr>
          <w:spacing w:val="-10"/>
          <w:sz w:val="15"/>
        </w:rPr>
        <w:t xml:space="preserve"> </w:t>
      </w:r>
      <w:r>
        <w:rPr>
          <w:sz w:val="15"/>
        </w:rPr>
        <w:t>First</w:t>
      </w:r>
      <w:r>
        <w:rPr>
          <w:spacing w:val="-11"/>
          <w:sz w:val="15"/>
        </w:rPr>
        <w:t xml:space="preserve"> </w:t>
      </w:r>
      <w:r>
        <w:rPr>
          <w:spacing w:val="-2"/>
          <w:sz w:val="15"/>
        </w:rPr>
        <w:t>Nations</w:t>
      </w:r>
    </w:p>
    <w:p w14:paraId="4251EE06" w14:textId="77777777" w:rsidR="00AC6F3C" w:rsidRDefault="00570E88">
      <w:pPr>
        <w:spacing w:before="14" w:line="259" w:lineRule="auto"/>
        <w:ind w:left="2530"/>
        <w:rPr>
          <w:sz w:val="15"/>
        </w:rPr>
      </w:pPr>
      <w:r>
        <w:rPr>
          <w:sz w:val="15"/>
        </w:rPr>
        <w:t xml:space="preserve">Solicitors and First Nations Community with lawmakers, </w:t>
      </w:r>
      <w:r>
        <w:rPr>
          <w:spacing w:val="-4"/>
          <w:sz w:val="15"/>
        </w:rPr>
        <w:t>policy</w:t>
      </w:r>
      <w:r>
        <w:rPr>
          <w:spacing w:val="-5"/>
          <w:sz w:val="15"/>
        </w:rPr>
        <w:t xml:space="preserve"> </w:t>
      </w:r>
      <w:r>
        <w:rPr>
          <w:spacing w:val="-4"/>
          <w:sz w:val="15"/>
        </w:rPr>
        <w:t>makers</w:t>
      </w:r>
      <w:r>
        <w:rPr>
          <w:spacing w:val="-5"/>
          <w:sz w:val="15"/>
        </w:rPr>
        <w:t xml:space="preserve"> </w:t>
      </w:r>
      <w:r>
        <w:rPr>
          <w:spacing w:val="-4"/>
          <w:sz w:val="15"/>
        </w:rPr>
        <w:t>and</w:t>
      </w:r>
      <w:r>
        <w:rPr>
          <w:spacing w:val="-5"/>
          <w:sz w:val="15"/>
        </w:rPr>
        <w:t xml:space="preserve"> </w:t>
      </w:r>
      <w:r>
        <w:rPr>
          <w:spacing w:val="-4"/>
          <w:sz w:val="15"/>
        </w:rPr>
        <w:t>law</w:t>
      </w:r>
      <w:r>
        <w:rPr>
          <w:spacing w:val="-5"/>
          <w:sz w:val="15"/>
        </w:rPr>
        <w:t xml:space="preserve"> </w:t>
      </w:r>
      <w:r>
        <w:rPr>
          <w:spacing w:val="-4"/>
          <w:sz w:val="15"/>
        </w:rPr>
        <w:t>enforcers</w:t>
      </w:r>
      <w:r>
        <w:rPr>
          <w:sz w:val="15"/>
        </w:rPr>
        <w:t xml:space="preserve"> that promote laws that are just and equitable for First Nations </w:t>
      </w:r>
      <w:r>
        <w:rPr>
          <w:spacing w:val="-2"/>
          <w:sz w:val="15"/>
        </w:rPr>
        <w:t>Peoples</w:t>
      </w:r>
    </w:p>
    <w:p w14:paraId="5C25405B" w14:textId="77777777" w:rsidR="00AC6F3C" w:rsidRDefault="00570E88">
      <w:pPr>
        <w:spacing w:before="2"/>
        <w:rPr>
          <w:sz w:val="15"/>
        </w:rPr>
      </w:pPr>
      <w:r>
        <w:br w:type="column"/>
      </w:r>
    </w:p>
    <w:p w14:paraId="1C22DDA5" w14:textId="77777777" w:rsidR="00AC6F3C" w:rsidRDefault="00570E88">
      <w:pPr>
        <w:tabs>
          <w:tab w:val="left" w:pos="1525"/>
        </w:tabs>
        <w:ind w:left="210"/>
        <w:rPr>
          <w:sz w:val="15"/>
        </w:rPr>
      </w:pPr>
      <w:r>
        <w:rPr>
          <w:b/>
          <w:spacing w:val="-2"/>
          <w:sz w:val="15"/>
        </w:rPr>
        <w:t>Deadly</w:t>
      </w:r>
      <w:r>
        <w:rPr>
          <w:b/>
          <w:sz w:val="15"/>
        </w:rPr>
        <w:tab/>
      </w:r>
      <w:r>
        <w:rPr>
          <w:spacing w:val="-4"/>
          <w:sz w:val="15"/>
        </w:rPr>
        <w:t>1.1.1</w:t>
      </w:r>
      <w:r>
        <w:rPr>
          <w:spacing w:val="36"/>
          <w:sz w:val="15"/>
        </w:rPr>
        <w:t xml:space="preserve">  </w:t>
      </w:r>
      <w:r>
        <w:rPr>
          <w:spacing w:val="-4"/>
          <w:sz w:val="15"/>
        </w:rPr>
        <w:t>ACHIEVED</w:t>
      </w:r>
      <w:r>
        <w:rPr>
          <w:spacing w:val="-7"/>
          <w:sz w:val="15"/>
        </w:rPr>
        <w:t xml:space="preserve"> </w:t>
      </w:r>
      <w:r>
        <w:rPr>
          <w:spacing w:val="-4"/>
          <w:sz w:val="15"/>
        </w:rPr>
        <w:t>–</w:t>
      </w:r>
      <w:r>
        <w:rPr>
          <w:spacing w:val="-7"/>
          <w:sz w:val="15"/>
        </w:rPr>
        <w:t xml:space="preserve"> </w:t>
      </w:r>
      <w:r>
        <w:rPr>
          <w:spacing w:val="-4"/>
          <w:sz w:val="15"/>
        </w:rPr>
        <w:t>There</w:t>
      </w:r>
      <w:r>
        <w:rPr>
          <w:spacing w:val="-7"/>
          <w:sz w:val="15"/>
        </w:rPr>
        <w:t xml:space="preserve"> </w:t>
      </w:r>
      <w:r>
        <w:rPr>
          <w:spacing w:val="-4"/>
          <w:sz w:val="15"/>
        </w:rPr>
        <w:t>have</w:t>
      </w:r>
      <w:r>
        <w:rPr>
          <w:spacing w:val="-7"/>
          <w:sz w:val="15"/>
        </w:rPr>
        <w:t xml:space="preserve"> </w:t>
      </w:r>
      <w:r>
        <w:rPr>
          <w:spacing w:val="-4"/>
          <w:sz w:val="15"/>
        </w:rPr>
        <w:t>been</w:t>
      </w:r>
      <w:r>
        <w:rPr>
          <w:spacing w:val="-7"/>
          <w:sz w:val="15"/>
        </w:rPr>
        <w:t xml:space="preserve"> </w:t>
      </w:r>
      <w:r>
        <w:rPr>
          <w:spacing w:val="-4"/>
          <w:sz w:val="15"/>
        </w:rPr>
        <w:t>10</w:t>
      </w:r>
      <w:r>
        <w:rPr>
          <w:spacing w:val="-7"/>
          <w:sz w:val="15"/>
        </w:rPr>
        <w:t xml:space="preserve"> </w:t>
      </w:r>
      <w:r>
        <w:rPr>
          <w:spacing w:val="-4"/>
          <w:sz w:val="15"/>
        </w:rPr>
        <w:t>submissions/public</w:t>
      </w:r>
    </w:p>
    <w:p w14:paraId="009DBCB7" w14:textId="77777777" w:rsidR="00AC6F3C" w:rsidRDefault="00570E88">
      <w:pPr>
        <w:spacing w:before="14"/>
        <w:ind w:left="1978"/>
        <w:rPr>
          <w:sz w:val="15"/>
        </w:rPr>
      </w:pPr>
      <w:r>
        <w:rPr>
          <w:spacing w:val="-4"/>
          <w:sz w:val="15"/>
        </w:rPr>
        <w:t>hearings</w:t>
      </w:r>
      <w:r>
        <w:rPr>
          <w:sz w:val="15"/>
        </w:rPr>
        <w:t xml:space="preserve"> </w:t>
      </w:r>
      <w:r>
        <w:rPr>
          <w:spacing w:val="-4"/>
          <w:sz w:val="15"/>
        </w:rPr>
        <w:t>on</w:t>
      </w:r>
      <w:r>
        <w:rPr>
          <w:sz w:val="15"/>
        </w:rPr>
        <w:t xml:space="preserve"> </w:t>
      </w:r>
      <w:r>
        <w:rPr>
          <w:spacing w:val="-4"/>
          <w:sz w:val="15"/>
        </w:rPr>
        <w:t>First</w:t>
      </w:r>
      <w:r>
        <w:rPr>
          <w:sz w:val="15"/>
        </w:rPr>
        <w:t xml:space="preserve"> </w:t>
      </w:r>
      <w:r>
        <w:rPr>
          <w:spacing w:val="-4"/>
          <w:sz w:val="15"/>
        </w:rPr>
        <w:t>Nations</w:t>
      </w:r>
      <w:r>
        <w:rPr>
          <w:sz w:val="15"/>
        </w:rPr>
        <w:t xml:space="preserve"> </w:t>
      </w:r>
      <w:r>
        <w:rPr>
          <w:spacing w:val="-4"/>
          <w:sz w:val="15"/>
        </w:rPr>
        <w:t>matters:</w:t>
      </w:r>
    </w:p>
    <w:p w14:paraId="3E5D6DAE" w14:textId="77777777" w:rsidR="00AC6F3C" w:rsidRDefault="00570E88">
      <w:pPr>
        <w:pStyle w:val="ListParagraph"/>
        <w:numPr>
          <w:ilvl w:val="0"/>
          <w:numId w:val="43"/>
        </w:numPr>
        <w:tabs>
          <w:tab w:val="left" w:pos="2147"/>
        </w:tabs>
        <w:spacing w:before="56"/>
        <w:ind w:left="2147" w:hanging="169"/>
        <w:rPr>
          <w:sz w:val="15"/>
        </w:rPr>
      </w:pPr>
      <w:r>
        <w:rPr>
          <w:spacing w:val="-4"/>
          <w:sz w:val="15"/>
        </w:rPr>
        <w:t>Path</w:t>
      </w:r>
      <w:r>
        <w:rPr>
          <w:spacing w:val="-5"/>
          <w:sz w:val="15"/>
        </w:rPr>
        <w:t xml:space="preserve"> </w:t>
      </w:r>
      <w:r>
        <w:rPr>
          <w:spacing w:val="-4"/>
          <w:sz w:val="15"/>
        </w:rPr>
        <w:t>to</w:t>
      </w:r>
      <w:r>
        <w:rPr>
          <w:spacing w:val="-5"/>
          <w:sz w:val="15"/>
        </w:rPr>
        <w:t xml:space="preserve"> </w:t>
      </w:r>
      <w:r>
        <w:rPr>
          <w:spacing w:val="-4"/>
          <w:sz w:val="15"/>
        </w:rPr>
        <w:t>Treaty Bill</w:t>
      </w:r>
      <w:r>
        <w:rPr>
          <w:spacing w:val="-5"/>
          <w:sz w:val="15"/>
        </w:rPr>
        <w:t xml:space="preserve"> </w:t>
      </w:r>
      <w:r>
        <w:rPr>
          <w:spacing w:val="-4"/>
          <w:sz w:val="15"/>
        </w:rPr>
        <w:t>2023</w:t>
      </w:r>
    </w:p>
    <w:p w14:paraId="214584B4" w14:textId="77777777" w:rsidR="00AC6F3C" w:rsidRDefault="00570E88">
      <w:pPr>
        <w:pStyle w:val="ListParagraph"/>
        <w:numPr>
          <w:ilvl w:val="0"/>
          <w:numId w:val="43"/>
        </w:numPr>
        <w:tabs>
          <w:tab w:val="left" w:pos="2147"/>
        </w:tabs>
        <w:spacing w:before="56"/>
        <w:ind w:left="2147" w:hanging="169"/>
        <w:rPr>
          <w:sz w:val="15"/>
        </w:rPr>
      </w:pPr>
      <w:r>
        <w:rPr>
          <w:spacing w:val="-4"/>
          <w:sz w:val="15"/>
        </w:rPr>
        <w:t>Reshaping</w:t>
      </w:r>
      <w:r>
        <w:rPr>
          <w:spacing w:val="1"/>
          <w:sz w:val="15"/>
        </w:rPr>
        <w:t xml:space="preserve"> </w:t>
      </w:r>
      <w:r>
        <w:rPr>
          <w:spacing w:val="-4"/>
          <w:sz w:val="15"/>
        </w:rPr>
        <w:t>Queensland’s</w:t>
      </w:r>
      <w:r>
        <w:rPr>
          <w:spacing w:val="2"/>
          <w:sz w:val="15"/>
        </w:rPr>
        <w:t xml:space="preserve"> </w:t>
      </w:r>
      <w:r>
        <w:rPr>
          <w:spacing w:val="-4"/>
          <w:sz w:val="15"/>
        </w:rPr>
        <w:t>cultural</w:t>
      </w:r>
      <w:r>
        <w:rPr>
          <w:spacing w:val="2"/>
          <w:sz w:val="15"/>
        </w:rPr>
        <w:t xml:space="preserve"> </w:t>
      </w:r>
      <w:r>
        <w:rPr>
          <w:spacing w:val="-4"/>
          <w:sz w:val="15"/>
        </w:rPr>
        <w:t>heritage</w:t>
      </w:r>
      <w:r>
        <w:rPr>
          <w:spacing w:val="2"/>
          <w:sz w:val="15"/>
        </w:rPr>
        <w:t xml:space="preserve"> </w:t>
      </w:r>
      <w:r>
        <w:rPr>
          <w:spacing w:val="-4"/>
          <w:sz w:val="15"/>
        </w:rPr>
        <w:t>laws</w:t>
      </w:r>
    </w:p>
    <w:p w14:paraId="0300C031" w14:textId="77777777" w:rsidR="00AC6F3C" w:rsidRDefault="00570E88">
      <w:pPr>
        <w:pStyle w:val="ListParagraph"/>
        <w:numPr>
          <w:ilvl w:val="0"/>
          <w:numId w:val="43"/>
        </w:numPr>
        <w:tabs>
          <w:tab w:val="left" w:pos="2146"/>
          <w:tab w:val="left" w:pos="2148"/>
        </w:tabs>
        <w:spacing w:before="56" w:line="259" w:lineRule="auto"/>
        <w:ind w:right="301"/>
        <w:rPr>
          <w:sz w:val="15"/>
        </w:rPr>
      </w:pPr>
      <w:r>
        <w:rPr>
          <w:spacing w:val="-4"/>
          <w:sz w:val="15"/>
        </w:rPr>
        <w:t>Standalone Legislation for Indigenous Knowledge:</w:t>
      </w:r>
      <w:r>
        <w:rPr>
          <w:sz w:val="15"/>
        </w:rPr>
        <w:t xml:space="preserve"> Interim Scoping Study Consultations</w:t>
      </w:r>
    </w:p>
    <w:p w14:paraId="4ED9C043" w14:textId="77777777" w:rsidR="00AC6F3C" w:rsidRDefault="00570E88">
      <w:pPr>
        <w:pStyle w:val="ListParagraph"/>
        <w:numPr>
          <w:ilvl w:val="0"/>
          <w:numId w:val="43"/>
        </w:numPr>
        <w:tabs>
          <w:tab w:val="left" w:pos="2147"/>
        </w:tabs>
        <w:spacing w:before="42"/>
        <w:ind w:left="2147" w:hanging="169"/>
        <w:rPr>
          <w:sz w:val="15"/>
        </w:rPr>
      </w:pPr>
      <w:r>
        <w:rPr>
          <w:spacing w:val="-4"/>
          <w:sz w:val="15"/>
        </w:rPr>
        <w:t>Supplementary</w:t>
      </w:r>
      <w:r>
        <w:rPr>
          <w:spacing w:val="-7"/>
          <w:sz w:val="15"/>
        </w:rPr>
        <w:t xml:space="preserve"> </w:t>
      </w:r>
      <w:r>
        <w:rPr>
          <w:spacing w:val="-4"/>
          <w:sz w:val="15"/>
        </w:rPr>
        <w:t>Submission:</w:t>
      </w:r>
      <w:r>
        <w:rPr>
          <w:spacing w:val="-6"/>
          <w:sz w:val="15"/>
        </w:rPr>
        <w:t xml:space="preserve"> </w:t>
      </w:r>
      <w:r>
        <w:rPr>
          <w:spacing w:val="-4"/>
          <w:sz w:val="15"/>
        </w:rPr>
        <w:t>Path</w:t>
      </w:r>
      <w:r>
        <w:rPr>
          <w:spacing w:val="-7"/>
          <w:sz w:val="15"/>
        </w:rPr>
        <w:t xml:space="preserve"> </w:t>
      </w:r>
      <w:r>
        <w:rPr>
          <w:spacing w:val="-4"/>
          <w:sz w:val="15"/>
        </w:rPr>
        <w:t>to</w:t>
      </w:r>
      <w:r>
        <w:rPr>
          <w:spacing w:val="-6"/>
          <w:sz w:val="15"/>
        </w:rPr>
        <w:t xml:space="preserve"> </w:t>
      </w:r>
      <w:r>
        <w:rPr>
          <w:spacing w:val="-4"/>
          <w:sz w:val="15"/>
        </w:rPr>
        <w:t>Treaty</w:t>
      </w:r>
      <w:r>
        <w:rPr>
          <w:spacing w:val="-7"/>
          <w:sz w:val="15"/>
        </w:rPr>
        <w:t xml:space="preserve"> </w:t>
      </w:r>
      <w:r>
        <w:rPr>
          <w:spacing w:val="-4"/>
          <w:sz w:val="15"/>
        </w:rPr>
        <w:t>Bill</w:t>
      </w:r>
      <w:r>
        <w:rPr>
          <w:spacing w:val="-6"/>
          <w:sz w:val="15"/>
        </w:rPr>
        <w:t xml:space="preserve"> </w:t>
      </w:r>
      <w:r>
        <w:rPr>
          <w:spacing w:val="-4"/>
          <w:sz w:val="15"/>
        </w:rPr>
        <w:t>2023</w:t>
      </w:r>
    </w:p>
    <w:p w14:paraId="12B1A77B" w14:textId="77777777" w:rsidR="00AC6F3C" w:rsidRDefault="00570E88">
      <w:pPr>
        <w:pStyle w:val="ListParagraph"/>
        <w:numPr>
          <w:ilvl w:val="0"/>
          <w:numId w:val="43"/>
        </w:numPr>
        <w:tabs>
          <w:tab w:val="left" w:pos="2146"/>
          <w:tab w:val="left" w:pos="2148"/>
        </w:tabs>
        <w:spacing w:before="56" w:line="259" w:lineRule="auto"/>
        <w:ind w:right="308"/>
        <w:rPr>
          <w:sz w:val="15"/>
        </w:rPr>
      </w:pPr>
      <w:r>
        <w:rPr>
          <w:spacing w:val="-4"/>
          <w:sz w:val="15"/>
        </w:rPr>
        <w:t xml:space="preserve">Review of sunsetting instruments under the </w:t>
      </w:r>
      <w:r>
        <w:rPr>
          <w:i/>
          <w:spacing w:val="-4"/>
          <w:sz w:val="15"/>
        </w:rPr>
        <w:t>Native</w:t>
      </w:r>
      <w:r>
        <w:rPr>
          <w:i/>
          <w:sz w:val="15"/>
        </w:rPr>
        <w:t xml:space="preserve"> Title Act 1992 </w:t>
      </w:r>
      <w:r>
        <w:rPr>
          <w:sz w:val="15"/>
        </w:rPr>
        <w:t>(</w:t>
      </w:r>
      <w:proofErr w:type="spellStart"/>
      <w:r>
        <w:rPr>
          <w:sz w:val="15"/>
        </w:rPr>
        <w:t>Cth</w:t>
      </w:r>
      <w:proofErr w:type="spellEnd"/>
      <w:r>
        <w:rPr>
          <w:sz w:val="15"/>
        </w:rPr>
        <w:t>)</w:t>
      </w:r>
    </w:p>
    <w:p w14:paraId="4472DBB2" w14:textId="77777777" w:rsidR="00AC6F3C" w:rsidRDefault="00570E88">
      <w:pPr>
        <w:pStyle w:val="ListParagraph"/>
        <w:numPr>
          <w:ilvl w:val="0"/>
          <w:numId w:val="43"/>
        </w:numPr>
        <w:tabs>
          <w:tab w:val="left" w:pos="2147"/>
        </w:tabs>
        <w:spacing w:before="42"/>
        <w:ind w:left="2147" w:hanging="169"/>
        <w:rPr>
          <w:sz w:val="15"/>
        </w:rPr>
      </w:pPr>
      <w:r>
        <w:rPr>
          <w:spacing w:val="-2"/>
          <w:sz w:val="15"/>
        </w:rPr>
        <w:t>Safeguarding</w:t>
      </w:r>
    </w:p>
    <w:p w14:paraId="0563167B" w14:textId="77777777" w:rsidR="00AC6F3C" w:rsidRDefault="00570E88">
      <w:pPr>
        <w:pStyle w:val="ListParagraph"/>
        <w:numPr>
          <w:ilvl w:val="0"/>
          <w:numId w:val="43"/>
        </w:numPr>
        <w:tabs>
          <w:tab w:val="left" w:pos="2147"/>
        </w:tabs>
        <w:spacing w:before="56"/>
        <w:ind w:left="2147" w:hanging="169"/>
        <w:rPr>
          <w:sz w:val="15"/>
        </w:rPr>
      </w:pPr>
      <w:r>
        <w:rPr>
          <w:spacing w:val="-4"/>
          <w:sz w:val="15"/>
        </w:rPr>
        <w:t>Youth Justice</w:t>
      </w:r>
      <w:r>
        <w:rPr>
          <w:spacing w:val="-3"/>
          <w:sz w:val="15"/>
        </w:rPr>
        <w:t xml:space="preserve"> </w:t>
      </w:r>
      <w:r>
        <w:rPr>
          <w:spacing w:val="-4"/>
          <w:sz w:val="15"/>
        </w:rPr>
        <w:t>and</w:t>
      </w:r>
      <w:r>
        <w:rPr>
          <w:spacing w:val="-3"/>
          <w:sz w:val="15"/>
        </w:rPr>
        <w:t xml:space="preserve"> </w:t>
      </w:r>
      <w:r>
        <w:rPr>
          <w:spacing w:val="-4"/>
          <w:sz w:val="15"/>
        </w:rPr>
        <w:t>Child Wellbeing</w:t>
      </w:r>
    </w:p>
    <w:p w14:paraId="456225DB" w14:textId="77777777" w:rsidR="00AC6F3C" w:rsidRDefault="00570E88">
      <w:pPr>
        <w:pStyle w:val="ListParagraph"/>
        <w:numPr>
          <w:ilvl w:val="0"/>
          <w:numId w:val="43"/>
        </w:numPr>
        <w:tabs>
          <w:tab w:val="left" w:pos="2147"/>
        </w:tabs>
        <w:spacing w:before="56"/>
        <w:ind w:left="2147" w:hanging="169"/>
        <w:rPr>
          <w:sz w:val="15"/>
        </w:rPr>
      </w:pPr>
      <w:r>
        <w:rPr>
          <w:spacing w:val="-4"/>
          <w:sz w:val="15"/>
        </w:rPr>
        <w:t>Welcome</w:t>
      </w:r>
      <w:r>
        <w:rPr>
          <w:spacing w:val="-1"/>
          <w:sz w:val="15"/>
        </w:rPr>
        <w:t xml:space="preserve"> </w:t>
      </w:r>
      <w:r>
        <w:rPr>
          <w:spacing w:val="-4"/>
          <w:sz w:val="15"/>
        </w:rPr>
        <w:t>to</w:t>
      </w:r>
      <w:r>
        <w:rPr>
          <w:sz w:val="15"/>
        </w:rPr>
        <w:t xml:space="preserve"> </w:t>
      </w:r>
      <w:r>
        <w:rPr>
          <w:spacing w:val="-4"/>
          <w:sz w:val="15"/>
        </w:rPr>
        <w:t>Portfolio</w:t>
      </w:r>
      <w:r>
        <w:rPr>
          <w:sz w:val="15"/>
        </w:rPr>
        <w:t xml:space="preserve"> </w:t>
      </w:r>
      <w:r>
        <w:rPr>
          <w:spacing w:val="-4"/>
          <w:sz w:val="15"/>
        </w:rPr>
        <w:t>to</w:t>
      </w:r>
      <w:r>
        <w:rPr>
          <w:spacing w:val="-1"/>
          <w:sz w:val="15"/>
        </w:rPr>
        <w:t xml:space="preserve"> </w:t>
      </w:r>
      <w:r>
        <w:rPr>
          <w:spacing w:val="-4"/>
          <w:sz w:val="15"/>
        </w:rPr>
        <w:t>the</w:t>
      </w:r>
      <w:r>
        <w:rPr>
          <w:sz w:val="15"/>
        </w:rPr>
        <w:t xml:space="preserve"> </w:t>
      </w:r>
      <w:r>
        <w:rPr>
          <w:spacing w:val="-4"/>
          <w:sz w:val="15"/>
        </w:rPr>
        <w:t>Hon</w:t>
      </w:r>
      <w:r>
        <w:rPr>
          <w:spacing w:val="-1"/>
          <w:sz w:val="15"/>
        </w:rPr>
        <w:t xml:space="preserve"> </w:t>
      </w:r>
      <w:r>
        <w:rPr>
          <w:spacing w:val="-4"/>
          <w:sz w:val="15"/>
        </w:rPr>
        <w:t>Di</w:t>
      </w:r>
      <w:r>
        <w:rPr>
          <w:sz w:val="15"/>
        </w:rPr>
        <w:t xml:space="preserve"> </w:t>
      </w:r>
      <w:r>
        <w:rPr>
          <w:spacing w:val="-4"/>
          <w:sz w:val="15"/>
        </w:rPr>
        <w:t>Farmer</w:t>
      </w:r>
      <w:r>
        <w:rPr>
          <w:sz w:val="15"/>
        </w:rPr>
        <w:t xml:space="preserve"> </w:t>
      </w:r>
      <w:r>
        <w:rPr>
          <w:spacing w:val="-5"/>
          <w:sz w:val="15"/>
        </w:rPr>
        <w:t>MP</w:t>
      </w:r>
    </w:p>
    <w:p w14:paraId="61530CBC" w14:textId="77777777" w:rsidR="00AC6F3C" w:rsidRDefault="00AC6F3C">
      <w:pPr>
        <w:pStyle w:val="BodyText"/>
        <w:spacing w:before="5"/>
        <w:rPr>
          <w:sz w:val="14"/>
        </w:rPr>
      </w:pPr>
    </w:p>
    <w:p w14:paraId="4A1C81C1" w14:textId="77777777" w:rsidR="00AC6F3C" w:rsidRDefault="00570E88">
      <w:pPr>
        <w:tabs>
          <w:tab w:val="left" w:pos="1525"/>
        </w:tabs>
        <w:spacing w:before="1"/>
        <w:ind w:left="210"/>
        <w:rPr>
          <w:sz w:val="15"/>
        </w:rPr>
      </w:pPr>
      <w:r>
        <w:rPr>
          <w:b/>
          <w:spacing w:val="-4"/>
          <w:sz w:val="15"/>
        </w:rPr>
        <w:t>Proper</w:t>
      </w:r>
      <w:r>
        <w:rPr>
          <w:b/>
          <w:sz w:val="15"/>
        </w:rPr>
        <w:t xml:space="preserve"> </w:t>
      </w:r>
      <w:r>
        <w:rPr>
          <w:b/>
          <w:spacing w:val="-2"/>
          <w:sz w:val="15"/>
        </w:rPr>
        <w:t>deadly</w:t>
      </w:r>
      <w:r>
        <w:rPr>
          <w:b/>
          <w:sz w:val="15"/>
        </w:rPr>
        <w:tab/>
      </w:r>
      <w:r>
        <w:rPr>
          <w:spacing w:val="-2"/>
          <w:sz w:val="15"/>
        </w:rPr>
        <w:t>2.1.1</w:t>
      </w:r>
      <w:r>
        <w:rPr>
          <w:spacing w:val="75"/>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There</w:t>
      </w:r>
      <w:r>
        <w:rPr>
          <w:spacing w:val="-8"/>
          <w:sz w:val="15"/>
        </w:rPr>
        <w:t xml:space="preserve"> </w:t>
      </w:r>
      <w:r>
        <w:rPr>
          <w:spacing w:val="-2"/>
          <w:sz w:val="15"/>
        </w:rPr>
        <w:t>has</w:t>
      </w:r>
      <w:r>
        <w:rPr>
          <w:spacing w:val="-8"/>
          <w:sz w:val="15"/>
        </w:rPr>
        <w:t xml:space="preserve"> </w:t>
      </w:r>
      <w:r>
        <w:rPr>
          <w:spacing w:val="-2"/>
          <w:sz w:val="15"/>
        </w:rPr>
        <w:t>been</w:t>
      </w:r>
      <w:r>
        <w:rPr>
          <w:spacing w:val="-9"/>
          <w:sz w:val="15"/>
        </w:rPr>
        <w:t xml:space="preserve"> </w:t>
      </w:r>
      <w:r>
        <w:rPr>
          <w:spacing w:val="-2"/>
          <w:sz w:val="15"/>
        </w:rPr>
        <w:t>six</w:t>
      </w:r>
      <w:r>
        <w:rPr>
          <w:spacing w:val="-8"/>
          <w:sz w:val="15"/>
        </w:rPr>
        <w:t xml:space="preserve"> </w:t>
      </w:r>
      <w:r>
        <w:rPr>
          <w:spacing w:val="-2"/>
          <w:sz w:val="15"/>
        </w:rPr>
        <w:t>submissions</w:t>
      </w:r>
    </w:p>
    <w:p w14:paraId="42AAB3D0" w14:textId="77777777" w:rsidR="00AC6F3C" w:rsidRDefault="00570E88">
      <w:pPr>
        <w:spacing w:before="13" w:line="259" w:lineRule="auto"/>
        <w:ind w:left="1978" w:right="125"/>
        <w:rPr>
          <w:sz w:val="15"/>
        </w:rPr>
      </w:pPr>
      <w:r>
        <w:rPr>
          <w:spacing w:val="-4"/>
          <w:sz w:val="15"/>
        </w:rPr>
        <w:t>on governmental/departmental stakeholder</w:t>
      </w:r>
      <w:r>
        <w:rPr>
          <w:sz w:val="15"/>
        </w:rPr>
        <w:t xml:space="preserve"> </w:t>
      </w:r>
      <w:r>
        <w:rPr>
          <w:spacing w:val="-2"/>
          <w:sz w:val="15"/>
        </w:rPr>
        <w:t>consultations:</w:t>
      </w:r>
    </w:p>
    <w:p w14:paraId="29C0FF37" w14:textId="77777777" w:rsidR="00AC6F3C" w:rsidRDefault="00570E88">
      <w:pPr>
        <w:pStyle w:val="ListParagraph"/>
        <w:numPr>
          <w:ilvl w:val="0"/>
          <w:numId w:val="43"/>
        </w:numPr>
        <w:tabs>
          <w:tab w:val="left" w:pos="2146"/>
          <w:tab w:val="left" w:pos="2148"/>
        </w:tabs>
        <w:spacing w:before="42" w:line="259" w:lineRule="auto"/>
        <w:ind w:right="226"/>
        <w:rPr>
          <w:sz w:val="15"/>
        </w:rPr>
      </w:pPr>
      <w:r>
        <w:rPr>
          <w:sz w:val="15"/>
        </w:rPr>
        <w:t>Queensland</w:t>
      </w:r>
      <w:r>
        <w:rPr>
          <w:spacing w:val="-5"/>
          <w:sz w:val="15"/>
        </w:rPr>
        <w:t xml:space="preserve"> </w:t>
      </w:r>
      <w:r>
        <w:rPr>
          <w:sz w:val="15"/>
        </w:rPr>
        <w:t>Aboriginal</w:t>
      </w:r>
      <w:r>
        <w:rPr>
          <w:spacing w:val="-5"/>
          <w:sz w:val="15"/>
        </w:rPr>
        <w:t xml:space="preserve"> </w:t>
      </w:r>
      <w:r>
        <w:rPr>
          <w:sz w:val="15"/>
        </w:rPr>
        <w:t>and</w:t>
      </w:r>
      <w:r>
        <w:rPr>
          <w:spacing w:val="-5"/>
          <w:sz w:val="15"/>
        </w:rPr>
        <w:t xml:space="preserve"> </w:t>
      </w:r>
      <w:r>
        <w:rPr>
          <w:sz w:val="15"/>
        </w:rPr>
        <w:t>Torres</w:t>
      </w:r>
      <w:r>
        <w:rPr>
          <w:spacing w:val="-5"/>
          <w:sz w:val="15"/>
        </w:rPr>
        <w:t xml:space="preserve"> </w:t>
      </w:r>
      <w:r>
        <w:rPr>
          <w:sz w:val="15"/>
        </w:rPr>
        <w:t>Strait</w:t>
      </w:r>
      <w:r>
        <w:rPr>
          <w:spacing w:val="-5"/>
          <w:sz w:val="15"/>
        </w:rPr>
        <w:t xml:space="preserve"> </w:t>
      </w:r>
      <w:r>
        <w:rPr>
          <w:sz w:val="15"/>
        </w:rPr>
        <w:t xml:space="preserve">Islander </w:t>
      </w:r>
      <w:r>
        <w:rPr>
          <w:spacing w:val="-4"/>
          <w:sz w:val="15"/>
        </w:rPr>
        <w:t>(ATSILS)</w:t>
      </w:r>
      <w:r>
        <w:rPr>
          <w:spacing w:val="-6"/>
          <w:sz w:val="15"/>
        </w:rPr>
        <w:t xml:space="preserve"> </w:t>
      </w:r>
      <w:r>
        <w:rPr>
          <w:spacing w:val="-4"/>
          <w:sz w:val="15"/>
        </w:rPr>
        <w:t>–</w:t>
      </w:r>
      <w:r>
        <w:rPr>
          <w:spacing w:val="-6"/>
          <w:sz w:val="15"/>
        </w:rPr>
        <w:t xml:space="preserve"> </w:t>
      </w:r>
      <w:r>
        <w:rPr>
          <w:spacing w:val="-4"/>
          <w:sz w:val="15"/>
        </w:rPr>
        <w:t>Closing</w:t>
      </w:r>
      <w:r>
        <w:rPr>
          <w:spacing w:val="-6"/>
          <w:sz w:val="15"/>
        </w:rPr>
        <w:t xml:space="preserve"> </w:t>
      </w:r>
      <w:r>
        <w:rPr>
          <w:spacing w:val="-4"/>
          <w:sz w:val="15"/>
        </w:rPr>
        <w:t>the</w:t>
      </w:r>
      <w:r>
        <w:rPr>
          <w:spacing w:val="-6"/>
          <w:sz w:val="15"/>
        </w:rPr>
        <w:t xml:space="preserve"> </w:t>
      </w:r>
      <w:r>
        <w:rPr>
          <w:spacing w:val="-4"/>
          <w:sz w:val="15"/>
        </w:rPr>
        <w:t>Gap</w:t>
      </w:r>
      <w:r>
        <w:rPr>
          <w:spacing w:val="-6"/>
          <w:sz w:val="15"/>
        </w:rPr>
        <w:t xml:space="preserve"> </w:t>
      </w:r>
      <w:r>
        <w:rPr>
          <w:spacing w:val="-4"/>
          <w:sz w:val="15"/>
        </w:rPr>
        <w:t>framework</w:t>
      </w:r>
      <w:r>
        <w:rPr>
          <w:spacing w:val="-6"/>
          <w:sz w:val="15"/>
        </w:rPr>
        <w:t xml:space="preserve"> </w:t>
      </w:r>
      <w:r>
        <w:rPr>
          <w:spacing w:val="-4"/>
          <w:sz w:val="15"/>
        </w:rPr>
        <w:t>–</w:t>
      </w:r>
      <w:r>
        <w:rPr>
          <w:spacing w:val="-6"/>
          <w:sz w:val="15"/>
        </w:rPr>
        <w:t xml:space="preserve"> </w:t>
      </w:r>
      <w:r>
        <w:rPr>
          <w:spacing w:val="-4"/>
          <w:sz w:val="15"/>
        </w:rPr>
        <w:t>19</w:t>
      </w:r>
      <w:r>
        <w:rPr>
          <w:spacing w:val="-6"/>
          <w:sz w:val="15"/>
        </w:rPr>
        <w:t xml:space="preserve"> </w:t>
      </w:r>
      <w:r>
        <w:rPr>
          <w:spacing w:val="-4"/>
          <w:sz w:val="15"/>
        </w:rPr>
        <w:t>Aug</w:t>
      </w:r>
      <w:r>
        <w:rPr>
          <w:spacing w:val="-6"/>
          <w:sz w:val="15"/>
        </w:rPr>
        <w:t xml:space="preserve"> </w:t>
      </w:r>
      <w:r>
        <w:rPr>
          <w:spacing w:val="-4"/>
          <w:sz w:val="15"/>
        </w:rPr>
        <w:t>22</w:t>
      </w:r>
    </w:p>
    <w:p w14:paraId="6C0BB3D9" w14:textId="77777777" w:rsidR="00AC6F3C" w:rsidRDefault="00570E88">
      <w:pPr>
        <w:pStyle w:val="ListParagraph"/>
        <w:numPr>
          <w:ilvl w:val="0"/>
          <w:numId w:val="43"/>
        </w:numPr>
        <w:tabs>
          <w:tab w:val="left" w:pos="2146"/>
          <w:tab w:val="left" w:pos="2148"/>
        </w:tabs>
        <w:spacing w:before="42" w:line="259" w:lineRule="auto"/>
        <w:ind w:right="283"/>
        <w:rPr>
          <w:sz w:val="15"/>
        </w:rPr>
      </w:pPr>
      <w:r>
        <w:rPr>
          <w:spacing w:val="-4"/>
          <w:sz w:val="15"/>
        </w:rPr>
        <w:t>Attendance at Aboriginal and Torres Strait Islander</w:t>
      </w:r>
      <w:r>
        <w:rPr>
          <w:sz w:val="15"/>
        </w:rPr>
        <w:t xml:space="preserve"> Legal Assistance Forum – 31 Aug 22</w:t>
      </w:r>
    </w:p>
    <w:p w14:paraId="17FF87FE" w14:textId="77777777" w:rsidR="00AC6F3C" w:rsidRDefault="00570E88">
      <w:pPr>
        <w:pStyle w:val="ListParagraph"/>
        <w:numPr>
          <w:ilvl w:val="0"/>
          <w:numId w:val="43"/>
        </w:numPr>
        <w:tabs>
          <w:tab w:val="left" w:pos="2146"/>
          <w:tab w:val="left" w:pos="2148"/>
        </w:tabs>
        <w:spacing w:before="42" w:line="259" w:lineRule="auto"/>
        <w:ind w:right="656"/>
        <w:rPr>
          <w:sz w:val="15"/>
        </w:rPr>
      </w:pPr>
      <w:r>
        <w:rPr>
          <w:spacing w:val="-4"/>
          <w:sz w:val="15"/>
        </w:rPr>
        <w:t>Stakeholder presentation with Thomas Mayo</w:t>
      </w:r>
      <w:r>
        <w:rPr>
          <w:sz w:val="15"/>
        </w:rPr>
        <w:t xml:space="preserve"> regarding the Voice and referendum</w:t>
      </w:r>
    </w:p>
    <w:p w14:paraId="4110CE00" w14:textId="77777777" w:rsidR="00AC6F3C" w:rsidRDefault="00570E88">
      <w:pPr>
        <w:pStyle w:val="ListParagraph"/>
        <w:numPr>
          <w:ilvl w:val="0"/>
          <w:numId w:val="43"/>
        </w:numPr>
        <w:tabs>
          <w:tab w:val="left" w:pos="2146"/>
          <w:tab w:val="left" w:pos="2148"/>
        </w:tabs>
        <w:spacing w:before="42" w:line="259" w:lineRule="auto"/>
        <w:ind w:right="329"/>
        <w:rPr>
          <w:sz w:val="15"/>
        </w:rPr>
      </w:pPr>
      <w:r>
        <w:rPr>
          <w:spacing w:val="-2"/>
          <w:sz w:val="15"/>
        </w:rPr>
        <w:t>QLS</w:t>
      </w:r>
      <w:r>
        <w:rPr>
          <w:spacing w:val="-9"/>
          <w:sz w:val="15"/>
        </w:rPr>
        <w:t xml:space="preserve"> </w:t>
      </w:r>
      <w:r>
        <w:rPr>
          <w:spacing w:val="-2"/>
          <w:sz w:val="15"/>
        </w:rPr>
        <w:t>appeared</w:t>
      </w:r>
      <w:r>
        <w:rPr>
          <w:spacing w:val="-8"/>
          <w:sz w:val="15"/>
        </w:rPr>
        <w:t xml:space="preserve"> </w:t>
      </w:r>
      <w:r>
        <w:rPr>
          <w:spacing w:val="-2"/>
          <w:sz w:val="15"/>
        </w:rPr>
        <w:t>at</w:t>
      </w:r>
      <w:r>
        <w:rPr>
          <w:spacing w:val="-9"/>
          <w:sz w:val="15"/>
        </w:rPr>
        <w:t xml:space="preserve"> </w:t>
      </w:r>
      <w:r>
        <w:rPr>
          <w:spacing w:val="-2"/>
          <w:sz w:val="15"/>
        </w:rPr>
        <w:t>the</w:t>
      </w:r>
      <w:r>
        <w:rPr>
          <w:spacing w:val="-8"/>
          <w:sz w:val="15"/>
        </w:rPr>
        <w:t xml:space="preserve"> </w:t>
      </w:r>
      <w:r>
        <w:rPr>
          <w:spacing w:val="-2"/>
          <w:sz w:val="15"/>
        </w:rPr>
        <w:t>public</w:t>
      </w:r>
      <w:r>
        <w:rPr>
          <w:spacing w:val="-9"/>
          <w:sz w:val="15"/>
        </w:rPr>
        <w:t xml:space="preserve"> </w:t>
      </w:r>
      <w:r>
        <w:rPr>
          <w:spacing w:val="-2"/>
          <w:sz w:val="15"/>
        </w:rPr>
        <w:t>hearing</w:t>
      </w:r>
      <w:r>
        <w:rPr>
          <w:spacing w:val="-8"/>
          <w:sz w:val="15"/>
        </w:rPr>
        <w:t xml:space="preserve"> </w:t>
      </w:r>
      <w:r>
        <w:rPr>
          <w:spacing w:val="-2"/>
          <w:sz w:val="15"/>
        </w:rPr>
        <w:t>for</w:t>
      </w:r>
      <w:r>
        <w:rPr>
          <w:spacing w:val="-8"/>
          <w:sz w:val="15"/>
        </w:rPr>
        <w:t xml:space="preserve"> </w:t>
      </w:r>
      <w:r>
        <w:rPr>
          <w:spacing w:val="-2"/>
          <w:sz w:val="15"/>
        </w:rPr>
        <w:t>the</w:t>
      </w:r>
      <w:r>
        <w:rPr>
          <w:spacing w:val="-9"/>
          <w:sz w:val="15"/>
        </w:rPr>
        <w:t xml:space="preserve"> </w:t>
      </w:r>
      <w:r>
        <w:rPr>
          <w:spacing w:val="-2"/>
          <w:sz w:val="15"/>
        </w:rPr>
        <w:t>inquiry</w:t>
      </w:r>
      <w:r>
        <w:rPr>
          <w:sz w:val="15"/>
        </w:rPr>
        <w:t xml:space="preserve"> into</w:t>
      </w:r>
      <w:r>
        <w:rPr>
          <w:spacing w:val="-4"/>
          <w:sz w:val="15"/>
        </w:rPr>
        <w:t xml:space="preserve"> </w:t>
      </w:r>
      <w:r>
        <w:rPr>
          <w:sz w:val="15"/>
        </w:rPr>
        <w:t>the</w:t>
      </w:r>
      <w:r>
        <w:rPr>
          <w:spacing w:val="-4"/>
          <w:sz w:val="15"/>
        </w:rPr>
        <w:t xml:space="preserve"> </w:t>
      </w:r>
      <w:r>
        <w:rPr>
          <w:sz w:val="15"/>
        </w:rPr>
        <w:t>Path</w:t>
      </w:r>
      <w:r>
        <w:rPr>
          <w:spacing w:val="-4"/>
          <w:sz w:val="15"/>
        </w:rPr>
        <w:t xml:space="preserve"> </w:t>
      </w:r>
      <w:r>
        <w:rPr>
          <w:sz w:val="15"/>
        </w:rPr>
        <w:t>to</w:t>
      </w:r>
      <w:r>
        <w:rPr>
          <w:spacing w:val="-4"/>
          <w:sz w:val="15"/>
        </w:rPr>
        <w:t xml:space="preserve"> </w:t>
      </w:r>
      <w:r>
        <w:rPr>
          <w:sz w:val="15"/>
        </w:rPr>
        <w:t>Treaty</w:t>
      </w:r>
      <w:r>
        <w:rPr>
          <w:spacing w:val="-4"/>
          <w:sz w:val="15"/>
        </w:rPr>
        <w:t xml:space="preserve"> </w:t>
      </w:r>
      <w:r>
        <w:rPr>
          <w:sz w:val="15"/>
        </w:rPr>
        <w:t>Bill</w:t>
      </w:r>
      <w:r>
        <w:rPr>
          <w:spacing w:val="-4"/>
          <w:sz w:val="15"/>
        </w:rPr>
        <w:t xml:space="preserve"> </w:t>
      </w:r>
      <w:r>
        <w:rPr>
          <w:sz w:val="15"/>
        </w:rPr>
        <w:t>2023</w:t>
      </w:r>
      <w:r>
        <w:rPr>
          <w:spacing w:val="-4"/>
          <w:sz w:val="15"/>
        </w:rPr>
        <w:t xml:space="preserve"> </w:t>
      </w:r>
      <w:r>
        <w:rPr>
          <w:sz w:val="15"/>
        </w:rPr>
        <w:t>–</w:t>
      </w:r>
      <w:r>
        <w:rPr>
          <w:spacing w:val="-4"/>
          <w:sz w:val="15"/>
        </w:rPr>
        <w:t xml:space="preserve"> </w:t>
      </w:r>
      <w:r>
        <w:rPr>
          <w:sz w:val="15"/>
        </w:rPr>
        <w:t>27</w:t>
      </w:r>
      <w:r>
        <w:rPr>
          <w:spacing w:val="-4"/>
          <w:sz w:val="15"/>
        </w:rPr>
        <w:t xml:space="preserve"> </w:t>
      </w:r>
      <w:r>
        <w:rPr>
          <w:sz w:val="15"/>
        </w:rPr>
        <w:t>Mar</w:t>
      </w:r>
      <w:r>
        <w:rPr>
          <w:spacing w:val="-4"/>
          <w:sz w:val="15"/>
        </w:rPr>
        <w:t xml:space="preserve"> </w:t>
      </w:r>
      <w:r>
        <w:rPr>
          <w:sz w:val="15"/>
        </w:rPr>
        <w:t>23</w:t>
      </w:r>
    </w:p>
    <w:p w14:paraId="3CBBAEB7" w14:textId="77777777" w:rsidR="00AC6F3C" w:rsidRDefault="00570E88">
      <w:pPr>
        <w:pStyle w:val="ListParagraph"/>
        <w:numPr>
          <w:ilvl w:val="0"/>
          <w:numId w:val="43"/>
        </w:numPr>
        <w:tabs>
          <w:tab w:val="left" w:pos="2146"/>
          <w:tab w:val="left" w:pos="2148"/>
        </w:tabs>
        <w:spacing w:before="42" w:line="259" w:lineRule="auto"/>
        <w:ind w:right="489"/>
        <w:rPr>
          <w:i/>
          <w:sz w:val="15"/>
        </w:rPr>
      </w:pPr>
      <w:r>
        <w:rPr>
          <w:spacing w:val="-2"/>
          <w:sz w:val="15"/>
        </w:rPr>
        <w:t>Response</w:t>
      </w:r>
      <w:r>
        <w:rPr>
          <w:spacing w:val="-9"/>
          <w:sz w:val="15"/>
        </w:rPr>
        <w:t xml:space="preserve"> </w:t>
      </w:r>
      <w:r>
        <w:rPr>
          <w:spacing w:val="-2"/>
          <w:sz w:val="15"/>
        </w:rPr>
        <w:t>from</w:t>
      </w:r>
      <w:r>
        <w:rPr>
          <w:spacing w:val="-8"/>
          <w:sz w:val="15"/>
        </w:rPr>
        <w:t xml:space="preserve"> </w:t>
      </w:r>
      <w:r>
        <w:rPr>
          <w:spacing w:val="-2"/>
          <w:sz w:val="15"/>
        </w:rPr>
        <w:t>DJAG</w:t>
      </w:r>
      <w:r>
        <w:rPr>
          <w:spacing w:val="-9"/>
          <w:sz w:val="15"/>
        </w:rPr>
        <w:t xml:space="preserve"> </w:t>
      </w:r>
      <w:r>
        <w:rPr>
          <w:spacing w:val="-2"/>
          <w:sz w:val="15"/>
        </w:rPr>
        <w:t>in</w:t>
      </w:r>
      <w:r>
        <w:rPr>
          <w:spacing w:val="-8"/>
          <w:sz w:val="15"/>
        </w:rPr>
        <w:t xml:space="preserve"> </w:t>
      </w:r>
      <w:r>
        <w:rPr>
          <w:spacing w:val="-2"/>
          <w:sz w:val="15"/>
        </w:rPr>
        <w:t>relation</w:t>
      </w:r>
      <w:r>
        <w:rPr>
          <w:spacing w:val="-9"/>
          <w:sz w:val="15"/>
        </w:rPr>
        <w:t xml:space="preserve"> </w:t>
      </w:r>
      <w:r>
        <w:rPr>
          <w:spacing w:val="-2"/>
          <w:sz w:val="15"/>
        </w:rPr>
        <w:t>to</w:t>
      </w:r>
      <w:r>
        <w:rPr>
          <w:spacing w:val="-8"/>
          <w:sz w:val="15"/>
        </w:rPr>
        <w:t xml:space="preserve"> </w:t>
      </w:r>
      <w:r>
        <w:rPr>
          <w:spacing w:val="-2"/>
          <w:sz w:val="15"/>
        </w:rPr>
        <w:t>the</w:t>
      </w:r>
      <w:r>
        <w:rPr>
          <w:spacing w:val="-8"/>
          <w:sz w:val="15"/>
        </w:rPr>
        <w:t xml:space="preserve"> </w:t>
      </w:r>
      <w:r>
        <w:rPr>
          <w:i/>
          <w:spacing w:val="-2"/>
          <w:sz w:val="15"/>
        </w:rPr>
        <w:t>Security</w:t>
      </w:r>
      <w:r>
        <w:rPr>
          <w:i/>
          <w:sz w:val="15"/>
        </w:rPr>
        <w:t xml:space="preserve"> Providers Act 1993</w:t>
      </w:r>
    </w:p>
    <w:p w14:paraId="072A7EB9" w14:textId="77777777" w:rsidR="00AC6F3C" w:rsidRDefault="00570E88">
      <w:pPr>
        <w:pStyle w:val="ListParagraph"/>
        <w:numPr>
          <w:ilvl w:val="0"/>
          <w:numId w:val="43"/>
        </w:numPr>
        <w:tabs>
          <w:tab w:val="left" w:pos="2147"/>
        </w:tabs>
        <w:spacing w:before="42"/>
        <w:ind w:left="2147" w:hanging="169"/>
        <w:rPr>
          <w:sz w:val="15"/>
        </w:rPr>
      </w:pPr>
      <w:r>
        <w:rPr>
          <w:spacing w:val="-4"/>
          <w:sz w:val="15"/>
        </w:rPr>
        <w:t>Proactive</w:t>
      </w:r>
      <w:r>
        <w:rPr>
          <w:spacing w:val="-2"/>
          <w:sz w:val="15"/>
        </w:rPr>
        <w:t xml:space="preserve"> </w:t>
      </w:r>
      <w:r>
        <w:rPr>
          <w:spacing w:val="-4"/>
          <w:sz w:val="15"/>
        </w:rPr>
        <w:t>submission</w:t>
      </w:r>
      <w:r>
        <w:rPr>
          <w:spacing w:val="-2"/>
          <w:sz w:val="15"/>
        </w:rPr>
        <w:t xml:space="preserve"> </w:t>
      </w:r>
      <w:r>
        <w:rPr>
          <w:spacing w:val="-4"/>
          <w:sz w:val="15"/>
        </w:rPr>
        <w:t>for</w:t>
      </w:r>
      <w:r>
        <w:rPr>
          <w:spacing w:val="-2"/>
          <w:sz w:val="15"/>
        </w:rPr>
        <w:t xml:space="preserve"> </w:t>
      </w:r>
      <w:r>
        <w:rPr>
          <w:spacing w:val="-4"/>
          <w:sz w:val="15"/>
        </w:rPr>
        <w:t>ATSILS</w:t>
      </w:r>
      <w:r>
        <w:rPr>
          <w:spacing w:val="-1"/>
          <w:sz w:val="15"/>
        </w:rPr>
        <w:t xml:space="preserve"> </w:t>
      </w:r>
      <w:r>
        <w:rPr>
          <w:spacing w:val="-4"/>
          <w:sz w:val="15"/>
        </w:rPr>
        <w:t>funding</w:t>
      </w:r>
      <w:r>
        <w:rPr>
          <w:spacing w:val="-2"/>
          <w:sz w:val="15"/>
        </w:rPr>
        <w:t xml:space="preserve"> </w:t>
      </w:r>
      <w:r>
        <w:rPr>
          <w:spacing w:val="-4"/>
          <w:sz w:val="15"/>
        </w:rPr>
        <w:t>and</w:t>
      </w:r>
      <w:r>
        <w:rPr>
          <w:spacing w:val="-2"/>
          <w:sz w:val="15"/>
        </w:rPr>
        <w:t xml:space="preserve"> </w:t>
      </w:r>
      <w:r>
        <w:rPr>
          <w:spacing w:val="-4"/>
          <w:sz w:val="15"/>
        </w:rPr>
        <w:t>sent</w:t>
      </w:r>
    </w:p>
    <w:p w14:paraId="044C2354" w14:textId="77777777" w:rsidR="00AC6F3C" w:rsidRDefault="00570E88">
      <w:pPr>
        <w:spacing w:before="13"/>
        <w:ind w:left="2137" w:right="2500"/>
        <w:jc w:val="center"/>
        <w:rPr>
          <w:sz w:val="15"/>
        </w:rPr>
      </w:pPr>
      <w:r>
        <w:rPr>
          <w:noProof/>
        </w:rPr>
        <mc:AlternateContent>
          <mc:Choice Requires="wpg">
            <w:drawing>
              <wp:anchor distT="0" distB="0" distL="0" distR="0" simplePos="0" relativeHeight="15776768" behindDoc="0" locked="0" layoutInCell="1" allowOverlap="1" wp14:anchorId="731AE7B5" wp14:editId="6A3808A2">
                <wp:simplePos x="0" y="0"/>
                <wp:positionH relativeFrom="page">
                  <wp:posOffset>809999</wp:posOffset>
                </wp:positionH>
                <wp:positionV relativeFrom="paragraph">
                  <wp:posOffset>168503</wp:posOffset>
                </wp:positionV>
                <wp:extent cx="5940425" cy="317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36" name="Graphic 436"/>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37" name="Graphic 437"/>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38" name="Graphic 438"/>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39" name="Graphic 439"/>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370CD6" id="Group 435" o:spid="_x0000_s1026" style="position:absolute;margin-left:63.8pt;margin-top:13.25pt;width:467.75pt;height:.25pt;z-index:157767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">
                <v:shape id="Graphic 436"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" path="m,l837006,e" filled="f" strokeweight=".25pt">
                  <v:path arrowok="t"/>
                </v:shape>
                <v:shape id="Graphic 437"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" path="m,l1644002,e" filled="f" strokeweight=".25pt">
                  <v:path arrowok="t"/>
                </v:shape>
                <v:shape id="Graphic 438"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" path="m,l834605,e" filled="f" strokeweight=".25pt">
                  <v:path arrowok="t"/>
                </v:shape>
                <v:shape id="Graphic 439"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" path="m,l2624404,e" filled="f" strokeweight=".25pt">
                  <v:path arrowok="t"/>
                </v:shape>
                <w10:wrap anchorx="page"/>
              </v:group>
            </w:pict>
          </mc:Fallback>
        </mc:AlternateContent>
      </w:r>
      <w:r>
        <w:rPr>
          <w:spacing w:val="-6"/>
          <w:sz w:val="15"/>
        </w:rPr>
        <w:t>to</w:t>
      </w:r>
      <w:r>
        <w:rPr>
          <w:sz w:val="15"/>
        </w:rPr>
        <w:t xml:space="preserve"> </w:t>
      </w:r>
      <w:r>
        <w:rPr>
          <w:spacing w:val="-6"/>
          <w:sz w:val="15"/>
        </w:rPr>
        <w:t>ATSILS</w:t>
      </w:r>
      <w:r>
        <w:rPr>
          <w:spacing w:val="1"/>
          <w:sz w:val="15"/>
        </w:rPr>
        <w:t xml:space="preserve"> </w:t>
      </w:r>
      <w:r>
        <w:rPr>
          <w:spacing w:val="-6"/>
          <w:sz w:val="15"/>
        </w:rPr>
        <w:t>CEO</w:t>
      </w:r>
    </w:p>
    <w:p w14:paraId="77F3EFC1" w14:textId="77777777" w:rsidR="00AC6F3C" w:rsidRDefault="00AC6F3C">
      <w:pPr>
        <w:jc w:val="center"/>
        <w:rPr>
          <w:sz w:val="15"/>
        </w:rPr>
        <w:sectPr w:rsidR="00AC6F3C">
          <w:type w:val="continuous"/>
          <w:pgSz w:w="11910" w:h="16840"/>
          <w:pgMar w:top="1920" w:right="1160" w:bottom="280" w:left="460" w:header="0" w:footer="336" w:gutter="0"/>
          <w:cols w:num="2" w:space="720" w:equalWidth="0">
            <w:col w:w="4586" w:space="40"/>
            <w:col w:w="5664"/>
          </w:cols>
        </w:sectPr>
      </w:pPr>
    </w:p>
    <w:p w14:paraId="6441BFB0" w14:textId="77777777" w:rsidR="00AC6F3C" w:rsidRDefault="00AC6F3C">
      <w:pPr>
        <w:pStyle w:val="BodyText"/>
        <w:spacing w:before="6"/>
        <w:rPr>
          <w:sz w:val="14"/>
        </w:rPr>
      </w:pPr>
    </w:p>
    <w:p w14:paraId="4963B773" w14:textId="77777777" w:rsidR="00AC6F3C" w:rsidRDefault="00570E88">
      <w:pPr>
        <w:tabs>
          <w:tab w:val="left" w:pos="2247"/>
        </w:tabs>
        <w:ind w:left="928"/>
        <w:rPr>
          <w:sz w:val="15"/>
        </w:rPr>
      </w:pPr>
      <w:r>
        <w:rPr>
          <w:b/>
          <w:spacing w:val="-4"/>
          <w:sz w:val="15"/>
        </w:rPr>
        <w:t>Educate</w:t>
      </w:r>
      <w:r>
        <w:rPr>
          <w:b/>
          <w:spacing w:val="4"/>
          <w:sz w:val="15"/>
        </w:rPr>
        <w:t xml:space="preserve"> </w:t>
      </w:r>
      <w:r>
        <w:rPr>
          <w:b/>
          <w:spacing w:val="-4"/>
          <w:sz w:val="15"/>
        </w:rPr>
        <w:t>Goal</w:t>
      </w:r>
      <w:r>
        <w:rPr>
          <w:b/>
          <w:sz w:val="15"/>
        </w:rPr>
        <w:tab/>
      </w:r>
      <w:r>
        <w:rPr>
          <w:sz w:val="15"/>
        </w:rPr>
        <w:t>3.</w:t>
      </w:r>
      <w:r>
        <w:rPr>
          <w:spacing w:val="66"/>
          <w:w w:val="150"/>
          <w:sz w:val="15"/>
        </w:rPr>
        <w:t xml:space="preserve"> </w:t>
      </w:r>
      <w:r>
        <w:rPr>
          <w:sz w:val="15"/>
        </w:rPr>
        <w:t>Roll</w:t>
      </w:r>
      <w:r>
        <w:rPr>
          <w:spacing w:val="-10"/>
          <w:sz w:val="15"/>
        </w:rPr>
        <w:t xml:space="preserve"> </w:t>
      </w:r>
      <w:r>
        <w:rPr>
          <w:sz w:val="15"/>
        </w:rPr>
        <w:t>out</w:t>
      </w:r>
      <w:r>
        <w:rPr>
          <w:spacing w:val="-11"/>
          <w:sz w:val="15"/>
        </w:rPr>
        <w:t xml:space="preserve"> </w:t>
      </w:r>
      <w:r>
        <w:rPr>
          <w:sz w:val="15"/>
        </w:rPr>
        <w:t>a</w:t>
      </w:r>
      <w:r>
        <w:rPr>
          <w:spacing w:val="-10"/>
          <w:sz w:val="15"/>
        </w:rPr>
        <w:t xml:space="preserve"> </w:t>
      </w:r>
      <w:r>
        <w:rPr>
          <w:sz w:val="15"/>
        </w:rPr>
        <w:t>cultural</w:t>
      </w:r>
      <w:r>
        <w:rPr>
          <w:spacing w:val="-11"/>
          <w:sz w:val="15"/>
        </w:rPr>
        <w:t xml:space="preserve"> </w:t>
      </w:r>
      <w:r>
        <w:rPr>
          <w:spacing w:val="-2"/>
          <w:sz w:val="15"/>
        </w:rPr>
        <w:t>education</w:t>
      </w:r>
    </w:p>
    <w:p w14:paraId="1181A1EE" w14:textId="77777777" w:rsidR="00AC6F3C" w:rsidRDefault="00570E88">
      <w:pPr>
        <w:spacing w:before="14" w:line="259" w:lineRule="auto"/>
        <w:ind w:left="2530"/>
        <w:rPr>
          <w:sz w:val="15"/>
        </w:rPr>
      </w:pPr>
      <w:r>
        <w:rPr>
          <w:spacing w:val="-4"/>
          <w:sz w:val="15"/>
        </w:rPr>
        <w:t>syllabus</w:t>
      </w:r>
      <w:r>
        <w:rPr>
          <w:spacing w:val="-9"/>
          <w:sz w:val="15"/>
        </w:rPr>
        <w:t xml:space="preserve"> </w:t>
      </w:r>
      <w:r>
        <w:rPr>
          <w:spacing w:val="-4"/>
          <w:sz w:val="15"/>
        </w:rPr>
        <w:t>(Cultural</w:t>
      </w:r>
      <w:r>
        <w:rPr>
          <w:spacing w:val="-7"/>
          <w:sz w:val="15"/>
        </w:rPr>
        <w:t xml:space="preserve"> </w:t>
      </w:r>
      <w:r>
        <w:rPr>
          <w:spacing w:val="-4"/>
          <w:sz w:val="15"/>
        </w:rPr>
        <w:t>Competency)</w:t>
      </w:r>
      <w:r>
        <w:rPr>
          <w:sz w:val="15"/>
        </w:rPr>
        <w:t xml:space="preserve"> for the Queensland Legal </w:t>
      </w:r>
      <w:r>
        <w:rPr>
          <w:spacing w:val="-2"/>
          <w:sz w:val="15"/>
        </w:rPr>
        <w:t>Profession</w:t>
      </w:r>
    </w:p>
    <w:p w14:paraId="352DD132" w14:textId="77777777" w:rsidR="00AC6F3C" w:rsidRDefault="00AC6F3C">
      <w:pPr>
        <w:pStyle w:val="BodyText"/>
        <w:rPr>
          <w:sz w:val="16"/>
        </w:rPr>
      </w:pPr>
    </w:p>
    <w:p w14:paraId="39BF4BAC" w14:textId="77777777" w:rsidR="00AC6F3C" w:rsidRDefault="00AC6F3C">
      <w:pPr>
        <w:pStyle w:val="BodyText"/>
        <w:rPr>
          <w:sz w:val="16"/>
        </w:rPr>
      </w:pPr>
    </w:p>
    <w:p w14:paraId="7AC6DD86" w14:textId="77777777" w:rsidR="00AC6F3C" w:rsidRDefault="00AC6F3C">
      <w:pPr>
        <w:pStyle w:val="BodyText"/>
        <w:rPr>
          <w:sz w:val="16"/>
        </w:rPr>
      </w:pPr>
    </w:p>
    <w:p w14:paraId="3A2D47EE" w14:textId="77777777" w:rsidR="00AC6F3C" w:rsidRDefault="00AC6F3C">
      <w:pPr>
        <w:pStyle w:val="BodyText"/>
        <w:rPr>
          <w:sz w:val="16"/>
        </w:rPr>
      </w:pPr>
    </w:p>
    <w:p w14:paraId="762D3ED0" w14:textId="77777777" w:rsidR="00AC6F3C" w:rsidRDefault="00AC6F3C">
      <w:pPr>
        <w:pStyle w:val="BodyText"/>
        <w:rPr>
          <w:sz w:val="16"/>
        </w:rPr>
      </w:pPr>
    </w:p>
    <w:p w14:paraId="40CFAB19" w14:textId="77777777" w:rsidR="00AC6F3C" w:rsidRDefault="00AC6F3C">
      <w:pPr>
        <w:pStyle w:val="BodyText"/>
        <w:rPr>
          <w:sz w:val="16"/>
        </w:rPr>
      </w:pPr>
    </w:p>
    <w:p w14:paraId="79E3A988" w14:textId="77777777" w:rsidR="00AC6F3C" w:rsidRDefault="00AC6F3C">
      <w:pPr>
        <w:pStyle w:val="BodyText"/>
        <w:spacing w:before="1"/>
        <w:rPr>
          <w:sz w:val="18"/>
        </w:rPr>
      </w:pPr>
    </w:p>
    <w:p w14:paraId="2DEBC33D" w14:textId="77777777" w:rsidR="00AC6F3C" w:rsidRDefault="00570E88">
      <w:pPr>
        <w:tabs>
          <w:tab w:val="left" w:pos="2247"/>
        </w:tabs>
        <w:ind w:left="928"/>
        <w:rPr>
          <w:sz w:val="15"/>
        </w:rPr>
      </w:pPr>
      <w:r>
        <w:rPr>
          <w:noProof/>
        </w:rPr>
        <mc:AlternateContent>
          <mc:Choice Requires="wpg">
            <w:drawing>
              <wp:anchor distT="0" distB="0" distL="0" distR="0" simplePos="0" relativeHeight="15777280" behindDoc="0" locked="0" layoutInCell="1" allowOverlap="1" wp14:anchorId="02B00EB0" wp14:editId="373035A1">
                <wp:simplePos x="0" y="0"/>
                <wp:positionH relativeFrom="page">
                  <wp:posOffset>809999</wp:posOffset>
                </wp:positionH>
                <wp:positionV relativeFrom="paragraph">
                  <wp:posOffset>-55862</wp:posOffset>
                </wp:positionV>
                <wp:extent cx="5940425" cy="317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41" name="Graphic 441"/>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42" name="Graphic 442"/>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43" name="Graphic 443"/>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44" name="Graphic 444"/>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3E0D12" id="Group 440" o:spid="_x0000_s1026" style="position:absolute;margin-left:63.8pt;margin-top:-4.4pt;width:467.75pt;height:.25pt;z-index:1577728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">
                <v:shape id="Graphic 441"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" path="m,l837006,e" filled="f" strokeweight=".25pt">
                  <v:path arrowok="t"/>
                </v:shape>
                <v:shape id="Graphic 442"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" path="m,l1644002,e" filled="f" strokeweight=".25pt">
                  <v:path arrowok="t"/>
                </v:shape>
                <v:shape id="Graphic 443"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" path="m,l834605,e" filled="f" strokeweight=".25pt">
                  <v:path arrowok="t"/>
                </v:shape>
                <v:shape id="Graphic 444"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" path="m,l2624404,e" filled="f" strokeweight=".25pt">
                  <v:path arrowok="t"/>
                </v:shape>
                <w10:wrap anchorx="page"/>
              </v:group>
            </w:pict>
          </mc:Fallback>
        </mc:AlternateContent>
      </w:r>
      <w:r>
        <w:rPr>
          <w:b/>
          <w:spacing w:val="-4"/>
          <w:sz w:val="15"/>
        </w:rPr>
        <w:t>Educate</w:t>
      </w:r>
      <w:r>
        <w:rPr>
          <w:b/>
          <w:spacing w:val="4"/>
          <w:sz w:val="15"/>
        </w:rPr>
        <w:t xml:space="preserve"> </w:t>
      </w:r>
      <w:r>
        <w:rPr>
          <w:b/>
          <w:spacing w:val="-4"/>
          <w:sz w:val="15"/>
        </w:rPr>
        <w:t>Goal</w:t>
      </w:r>
      <w:r>
        <w:rPr>
          <w:b/>
          <w:sz w:val="15"/>
        </w:rPr>
        <w:tab/>
      </w:r>
      <w:r>
        <w:rPr>
          <w:sz w:val="15"/>
        </w:rPr>
        <w:t>4.</w:t>
      </w:r>
      <w:r>
        <w:rPr>
          <w:spacing w:val="67"/>
          <w:sz w:val="15"/>
        </w:rPr>
        <w:t xml:space="preserve"> </w:t>
      </w:r>
      <w:r>
        <w:rPr>
          <w:sz w:val="15"/>
        </w:rPr>
        <w:t>Advance</w:t>
      </w:r>
      <w:r>
        <w:rPr>
          <w:spacing w:val="-11"/>
          <w:sz w:val="15"/>
        </w:rPr>
        <w:t xml:space="preserve"> </w:t>
      </w:r>
      <w:r>
        <w:rPr>
          <w:sz w:val="15"/>
        </w:rPr>
        <w:t>the</w:t>
      </w:r>
      <w:r>
        <w:rPr>
          <w:spacing w:val="-10"/>
          <w:sz w:val="15"/>
        </w:rPr>
        <w:t xml:space="preserve"> </w:t>
      </w:r>
      <w:r>
        <w:rPr>
          <w:sz w:val="15"/>
        </w:rPr>
        <w:t>First</w:t>
      </w:r>
      <w:r>
        <w:rPr>
          <w:spacing w:val="-10"/>
          <w:sz w:val="15"/>
        </w:rPr>
        <w:t xml:space="preserve"> </w:t>
      </w:r>
      <w:r>
        <w:rPr>
          <w:sz w:val="15"/>
        </w:rPr>
        <w:t>Nations</w:t>
      </w:r>
      <w:r>
        <w:rPr>
          <w:spacing w:val="-11"/>
          <w:sz w:val="15"/>
        </w:rPr>
        <w:t xml:space="preserve"> </w:t>
      </w:r>
      <w:r>
        <w:rPr>
          <w:spacing w:val="-4"/>
          <w:sz w:val="15"/>
        </w:rPr>
        <w:t>Legal</w:t>
      </w:r>
    </w:p>
    <w:p w14:paraId="48ADC650" w14:textId="77777777" w:rsidR="00AC6F3C" w:rsidRDefault="00570E88">
      <w:pPr>
        <w:spacing w:before="13" w:line="259" w:lineRule="auto"/>
        <w:ind w:left="2530"/>
        <w:rPr>
          <w:sz w:val="15"/>
        </w:rPr>
      </w:pPr>
      <w:r>
        <w:rPr>
          <w:spacing w:val="-4"/>
          <w:sz w:val="15"/>
        </w:rPr>
        <w:t>Student Strategy to identify and</w:t>
      </w:r>
      <w:r>
        <w:rPr>
          <w:sz w:val="15"/>
        </w:rPr>
        <w:t xml:space="preserve"> encourage</w:t>
      </w:r>
      <w:r>
        <w:rPr>
          <w:spacing w:val="-3"/>
          <w:sz w:val="15"/>
        </w:rPr>
        <w:t xml:space="preserve"> </w:t>
      </w:r>
      <w:r>
        <w:rPr>
          <w:sz w:val="15"/>
        </w:rPr>
        <w:t>more</w:t>
      </w:r>
      <w:r>
        <w:rPr>
          <w:spacing w:val="-3"/>
          <w:sz w:val="15"/>
        </w:rPr>
        <w:t xml:space="preserve"> </w:t>
      </w:r>
      <w:r>
        <w:rPr>
          <w:sz w:val="15"/>
        </w:rPr>
        <w:t>First</w:t>
      </w:r>
      <w:r>
        <w:rPr>
          <w:spacing w:val="-3"/>
          <w:sz w:val="15"/>
        </w:rPr>
        <w:t xml:space="preserve"> </w:t>
      </w:r>
      <w:r>
        <w:rPr>
          <w:sz w:val="15"/>
        </w:rPr>
        <w:t>Nations people</w:t>
      </w:r>
      <w:r>
        <w:rPr>
          <w:spacing w:val="-4"/>
          <w:sz w:val="15"/>
        </w:rPr>
        <w:t xml:space="preserve"> </w:t>
      </w:r>
      <w:r>
        <w:rPr>
          <w:sz w:val="15"/>
        </w:rPr>
        <w:t>to</w:t>
      </w:r>
      <w:r>
        <w:rPr>
          <w:spacing w:val="-4"/>
          <w:sz w:val="15"/>
        </w:rPr>
        <w:t xml:space="preserve"> </w:t>
      </w:r>
      <w:r>
        <w:rPr>
          <w:sz w:val="15"/>
        </w:rPr>
        <w:t>study,</w:t>
      </w:r>
      <w:r>
        <w:rPr>
          <w:spacing w:val="-4"/>
          <w:sz w:val="15"/>
        </w:rPr>
        <w:t xml:space="preserve"> </w:t>
      </w:r>
      <w:r>
        <w:rPr>
          <w:sz w:val="15"/>
        </w:rPr>
        <w:t>graduate</w:t>
      </w:r>
      <w:r>
        <w:rPr>
          <w:spacing w:val="-4"/>
          <w:sz w:val="15"/>
        </w:rPr>
        <w:t xml:space="preserve"> </w:t>
      </w:r>
      <w:r>
        <w:rPr>
          <w:sz w:val="15"/>
        </w:rPr>
        <w:t>and practice in law</w:t>
      </w:r>
    </w:p>
    <w:p w14:paraId="4D9DCC05" w14:textId="77777777" w:rsidR="00AC6F3C" w:rsidRDefault="00570E88">
      <w:pPr>
        <w:spacing w:before="6"/>
        <w:rPr>
          <w:sz w:val="14"/>
        </w:rPr>
      </w:pPr>
      <w:r>
        <w:br w:type="column"/>
      </w:r>
    </w:p>
    <w:p w14:paraId="39A8B74E" w14:textId="77777777" w:rsidR="00AC6F3C" w:rsidRDefault="00570E88">
      <w:pPr>
        <w:spacing w:line="259" w:lineRule="auto"/>
        <w:ind w:left="227" w:right="-3"/>
        <w:rPr>
          <w:b/>
          <w:sz w:val="15"/>
        </w:rPr>
      </w:pPr>
      <w:r>
        <w:rPr>
          <w:b/>
          <w:spacing w:val="-4"/>
          <w:sz w:val="15"/>
        </w:rPr>
        <w:t>On</w:t>
      </w:r>
      <w:r>
        <w:rPr>
          <w:b/>
          <w:spacing w:val="-7"/>
          <w:sz w:val="15"/>
        </w:rPr>
        <w:t xml:space="preserve"> </w:t>
      </w:r>
      <w:r>
        <w:rPr>
          <w:b/>
          <w:spacing w:val="-4"/>
          <w:sz w:val="15"/>
        </w:rPr>
        <w:t>the</w:t>
      </w:r>
      <w:r>
        <w:rPr>
          <w:b/>
          <w:spacing w:val="-7"/>
          <w:sz w:val="15"/>
        </w:rPr>
        <w:t xml:space="preserve"> </w:t>
      </w:r>
      <w:r>
        <w:rPr>
          <w:b/>
          <w:spacing w:val="-4"/>
          <w:sz w:val="15"/>
        </w:rPr>
        <w:t>way</w:t>
      </w:r>
      <w:r>
        <w:rPr>
          <w:b/>
          <w:sz w:val="15"/>
        </w:rPr>
        <w:t xml:space="preserve"> to</w:t>
      </w:r>
      <w:r>
        <w:rPr>
          <w:b/>
          <w:spacing w:val="-11"/>
          <w:sz w:val="15"/>
        </w:rPr>
        <w:t xml:space="preserve"> </w:t>
      </w:r>
      <w:r>
        <w:rPr>
          <w:b/>
          <w:sz w:val="15"/>
        </w:rPr>
        <w:t>deadly</w:t>
      </w:r>
    </w:p>
    <w:p w14:paraId="188CFCDC" w14:textId="77777777" w:rsidR="00AC6F3C" w:rsidRDefault="00AC6F3C">
      <w:pPr>
        <w:pStyle w:val="BodyText"/>
        <w:rPr>
          <w:b/>
          <w:sz w:val="16"/>
        </w:rPr>
      </w:pPr>
    </w:p>
    <w:p w14:paraId="73CD4F5F" w14:textId="77777777" w:rsidR="00AC6F3C" w:rsidRDefault="00AC6F3C">
      <w:pPr>
        <w:pStyle w:val="BodyText"/>
        <w:rPr>
          <w:b/>
          <w:sz w:val="16"/>
        </w:rPr>
      </w:pPr>
    </w:p>
    <w:p w14:paraId="266AEC58" w14:textId="77777777" w:rsidR="00AC6F3C" w:rsidRDefault="00AC6F3C">
      <w:pPr>
        <w:pStyle w:val="BodyText"/>
        <w:rPr>
          <w:b/>
          <w:sz w:val="16"/>
        </w:rPr>
      </w:pPr>
    </w:p>
    <w:p w14:paraId="6EF9B71F" w14:textId="77777777" w:rsidR="00AC6F3C" w:rsidRDefault="00AC6F3C">
      <w:pPr>
        <w:pStyle w:val="BodyText"/>
        <w:rPr>
          <w:b/>
          <w:sz w:val="16"/>
        </w:rPr>
      </w:pPr>
    </w:p>
    <w:p w14:paraId="7CF30137" w14:textId="77777777" w:rsidR="00AC6F3C" w:rsidRDefault="00AC6F3C">
      <w:pPr>
        <w:pStyle w:val="BodyText"/>
        <w:rPr>
          <w:b/>
          <w:sz w:val="16"/>
        </w:rPr>
      </w:pPr>
    </w:p>
    <w:p w14:paraId="11829CFC" w14:textId="77777777" w:rsidR="00AC6F3C" w:rsidRDefault="00AC6F3C">
      <w:pPr>
        <w:pStyle w:val="BodyText"/>
        <w:rPr>
          <w:b/>
          <w:sz w:val="16"/>
        </w:rPr>
      </w:pPr>
    </w:p>
    <w:p w14:paraId="5ACD28B7" w14:textId="77777777" w:rsidR="00AC6F3C" w:rsidRDefault="00AC6F3C">
      <w:pPr>
        <w:pStyle w:val="BodyText"/>
        <w:rPr>
          <w:b/>
          <w:sz w:val="16"/>
        </w:rPr>
      </w:pPr>
    </w:p>
    <w:p w14:paraId="0B9FE507" w14:textId="77777777" w:rsidR="00AC6F3C" w:rsidRDefault="00AC6F3C">
      <w:pPr>
        <w:pStyle w:val="BodyText"/>
        <w:rPr>
          <w:b/>
          <w:sz w:val="16"/>
        </w:rPr>
      </w:pPr>
    </w:p>
    <w:p w14:paraId="1021EA47" w14:textId="77777777" w:rsidR="00AC6F3C" w:rsidRDefault="00AC6F3C">
      <w:pPr>
        <w:pStyle w:val="BodyText"/>
        <w:spacing w:before="5"/>
        <w:rPr>
          <w:b/>
          <w:sz w:val="18"/>
        </w:rPr>
      </w:pPr>
    </w:p>
    <w:p w14:paraId="00256A22" w14:textId="77777777" w:rsidR="00AC6F3C" w:rsidRDefault="00570E88">
      <w:pPr>
        <w:spacing w:before="1" w:line="259" w:lineRule="auto"/>
        <w:ind w:left="227" w:right="-3"/>
        <w:rPr>
          <w:b/>
          <w:sz w:val="15"/>
        </w:rPr>
      </w:pPr>
      <w:r>
        <w:rPr>
          <w:b/>
          <w:spacing w:val="-4"/>
          <w:sz w:val="15"/>
        </w:rPr>
        <w:t>On</w:t>
      </w:r>
      <w:r>
        <w:rPr>
          <w:b/>
          <w:spacing w:val="-7"/>
          <w:sz w:val="15"/>
        </w:rPr>
        <w:t xml:space="preserve"> </w:t>
      </w:r>
      <w:r>
        <w:rPr>
          <w:b/>
          <w:spacing w:val="-4"/>
          <w:sz w:val="15"/>
        </w:rPr>
        <w:t>the</w:t>
      </w:r>
      <w:r>
        <w:rPr>
          <w:b/>
          <w:spacing w:val="-7"/>
          <w:sz w:val="15"/>
        </w:rPr>
        <w:t xml:space="preserve"> </w:t>
      </w:r>
      <w:r>
        <w:rPr>
          <w:b/>
          <w:spacing w:val="-4"/>
          <w:sz w:val="15"/>
        </w:rPr>
        <w:t>way</w:t>
      </w:r>
      <w:r>
        <w:rPr>
          <w:b/>
          <w:sz w:val="15"/>
        </w:rPr>
        <w:t xml:space="preserve"> to</w:t>
      </w:r>
      <w:r>
        <w:rPr>
          <w:b/>
          <w:spacing w:val="-11"/>
          <w:sz w:val="15"/>
        </w:rPr>
        <w:t xml:space="preserve"> </w:t>
      </w:r>
      <w:r>
        <w:rPr>
          <w:b/>
          <w:sz w:val="15"/>
        </w:rPr>
        <w:t>deadly</w:t>
      </w:r>
    </w:p>
    <w:p w14:paraId="366540A4" w14:textId="77777777" w:rsidR="00AC6F3C" w:rsidRDefault="00570E88">
      <w:pPr>
        <w:spacing w:before="7"/>
        <w:rPr>
          <w:b/>
          <w:sz w:val="14"/>
        </w:rPr>
      </w:pPr>
      <w:r>
        <w:br w:type="column"/>
      </w:r>
    </w:p>
    <w:p w14:paraId="656DA673" w14:textId="77777777" w:rsidR="00AC6F3C" w:rsidRDefault="00570E88">
      <w:pPr>
        <w:ind w:left="502"/>
        <w:rPr>
          <w:sz w:val="15"/>
        </w:rPr>
      </w:pPr>
      <w:r>
        <w:rPr>
          <w:spacing w:val="-2"/>
          <w:sz w:val="15"/>
        </w:rPr>
        <w:t>3.1.1</w:t>
      </w:r>
      <w:r>
        <w:rPr>
          <w:spacing w:val="72"/>
          <w:sz w:val="15"/>
        </w:rPr>
        <w:t xml:space="preserve"> </w:t>
      </w:r>
      <w:r>
        <w:rPr>
          <w:spacing w:val="-2"/>
          <w:sz w:val="15"/>
        </w:rPr>
        <w:t>IN</w:t>
      </w:r>
      <w:r>
        <w:rPr>
          <w:spacing w:val="-9"/>
          <w:sz w:val="15"/>
        </w:rPr>
        <w:t xml:space="preserve"> </w:t>
      </w:r>
      <w:r>
        <w:rPr>
          <w:spacing w:val="-2"/>
          <w:sz w:val="15"/>
        </w:rPr>
        <w:t>PROGRESS</w:t>
      </w:r>
      <w:r>
        <w:rPr>
          <w:spacing w:val="-8"/>
          <w:sz w:val="15"/>
        </w:rPr>
        <w:t xml:space="preserve"> </w:t>
      </w:r>
      <w:r>
        <w:rPr>
          <w:spacing w:val="-2"/>
          <w:sz w:val="15"/>
        </w:rPr>
        <w:t>&amp;</w:t>
      </w:r>
      <w:r>
        <w:rPr>
          <w:spacing w:val="-9"/>
          <w:sz w:val="15"/>
        </w:rPr>
        <w:t xml:space="preserve"> </w:t>
      </w:r>
      <w:r>
        <w:rPr>
          <w:spacing w:val="-2"/>
          <w:sz w:val="15"/>
        </w:rPr>
        <w:t>CONTINUING</w:t>
      </w:r>
      <w:r>
        <w:rPr>
          <w:spacing w:val="-8"/>
          <w:sz w:val="15"/>
        </w:rPr>
        <w:t xml:space="preserve"> </w:t>
      </w:r>
      <w:r>
        <w:rPr>
          <w:spacing w:val="-2"/>
          <w:sz w:val="15"/>
        </w:rPr>
        <w:t>–</w:t>
      </w:r>
      <w:r>
        <w:rPr>
          <w:spacing w:val="-9"/>
          <w:sz w:val="15"/>
        </w:rPr>
        <w:t xml:space="preserve"> </w:t>
      </w:r>
      <w:r>
        <w:rPr>
          <w:spacing w:val="-2"/>
          <w:sz w:val="15"/>
        </w:rPr>
        <w:t>The</w:t>
      </w:r>
      <w:r>
        <w:rPr>
          <w:spacing w:val="-8"/>
          <w:sz w:val="15"/>
        </w:rPr>
        <w:t xml:space="preserve"> </w:t>
      </w:r>
      <w:r>
        <w:rPr>
          <w:spacing w:val="-2"/>
          <w:sz w:val="15"/>
        </w:rPr>
        <w:t>Cultural</w:t>
      </w:r>
    </w:p>
    <w:p w14:paraId="3A976DF5" w14:textId="77777777" w:rsidR="00AC6F3C" w:rsidRDefault="00570E88">
      <w:pPr>
        <w:spacing w:before="14" w:line="259" w:lineRule="auto"/>
        <w:ind w:left="956" w:right="208"/>
        <w:rPr>
          <w:sz w:val="15"/>
        </w:rPr>
      </w:pPr>
      <w:r>
        <w:rPr>
          <w:sz w:val="15"/>
        </w:rPr>
        <w:t>Competency</w:t>
      </w:r>
      <w:r>
        <w:rPr>
          <w:spacing w:val="-9"/>
          <w:sz w:val="15"/>
        </w:rPr>
        <w:t xml:space="preserve"> </w:t>
      </w:r>
      <w:r>
        <w:rPr>
          <w:sz w:val="15"/>
        </w:rPr>
        <w:t>Course</w:t>
      </w:r>
      <w:r>
        <w:rPr>
          <w:spacing w:val="-9"/>
          <w:sz w:val="15"/>
        </w:rPr>
        <w:t xml:space="preserve"> </w:t>
      </w:r>
      <w:r>
        <w:rPr>
          <w:sz w:val="15"/>
        </w:rPr>
        <w:t>launched</w:t>
      </w:r>
      <w:r>
        <w:rPr>
          <w:spacing w:val="-9"/>
          <w:sz w:val="15"/>
        </w:rPr>
        <w:t xml:space="preserve"> </w:t>
      </w:r>
      <w:r>
        <w:rPr>
          <w:sz w:val="15"/>
        </w:rPr>
        <w:t>in</w:t>
      </w:r>
      <w:r>
        <w:rPr>
          <w:spacing w:val="-9"/>
          <w:sz w:val="15"/>
        </w:rPr>
        <w:t xml:space="preserve"> </w:t>
      </w:r>
      <w:r>
        <w:rPr>
          <w:sz w:val="15"/>
        </w:rPr>
        <w:t>Q3.</w:t>
      </w:r>
      <w:r>
        <w:rPr>
          <w:spacing w:val="-9"/>
          <w:sz w:val="15"/>
        </w:rPr>
        <w:t xml:space="preserve"> </w:t>
      </w:r>
      <w:r>
        <w:rPr>
          <w:sz w:val="15"/>
        </w:rPr>
        <w:t>Have</w:t>
      </w:r>
      <w:r>
        <w:rPr>
          <w:spacing w:val="-9"/>
          <w:sz w:val="15"/>
        </w:rPr>
        <w:t xml:space="preserve"> </w:t>
      </w:r>
      <w:r>
        <w:rPr>
          <w:sz w:val="15"/>
        </w:rPr>
        <w:t xml:space="preserve">received </w:t>
      </w:r>
      <w:r>
        <w:rPr>
          <w:spacing w:val="-2"/>
          <w:sz w:val="15"/>
        </w:rPr>
        <w:t>interest</w:t>
      </w:r>
      <w:r>
        <w:rPr>
          <w:spacing w:val="-9"/>
          <w:sz w:val="15"/>
        </w:rPr>
        <w:t xml:space="preserve"> </w:t>
      </w:r>
      <w:r>
        <w:rPr>
          <w:spacing w:val="-2"/>
          <w:sz w:val="15"/>
        </w:rPr>
        <w:t>from</w:t>
      </w:r>
      <w:r>
        <w:rPr>
          <w:spacing w:val="-8"/>
          <w:sz w:val="15"/>
        </w:rPr>
        <w:t xml:space="preserve"> </w:t>
      </w:r>
      <w:r>
        <w:rPr>
          <w:spacing w:val="-2"/>
          <w:sz w:val="15"/>
        </w:rPr>
        <w:t>the</w:t>
      </w:r>
      <w:r>
        <w:rPr>
          <w:spacing w:val="-9"/>
          <w:sz w:val="15"/>
        </w:rPr>
        <w:t xml:space="preserve"> </w:t>
      </w:r>
      <w:r>
        <w:rPr>
          <w:spacing w:val="-2"/>
          <w:sz w:val="15"/>
        </w:rPr>
        <w:t>Law</w:t>
      </w:r>
      <w:r>
        <w:rPr>
          <w:spacing w:val="-8"/>
          <w:sz w:val="15"/>
        </w:rPr>
        <w:t xml:space="preserve"> </w:t>
      </w:r>
      <w:r>
        <w:rPr>
          <w:spacing w:val="-2"/>
          <w:sz w:val="15"/>
        </w:rPr>
        <w:t>Institute</w:t>
      </w:r>
      <w:r>
        <w:rPr>
          <w:spacing w:val="-9"/>
          <w:sz w:val="15"/>
        </w:rPr>
        <w:t xml:space="preserve"> </w:t>
      </w:r>
      <w:r>
        <w:rPr>
          <w:spacing w:val="-2"/>
          <w:sz w:val="15"/>
        </w:rPr>
        <w:t>of</w:t>
      </w:r>
      <w:r>
        <w:rPr>
          <w:spacing w:val="-8"/>
          <w:sz w:val="15"/>
        </w:rPr>
        <w:t xml:space="preserve"> </w:t>
      </w:r>
      <w:r>
        <w:rPr>
          <w:spacing w:val="-2"/>
          <w:sz w:val="15"/>
        </w:rPr>
        <w:t>Victoria,</w:t>
      </w:r>
      <w:r>
        <w:rPr>
          <w:spacing w:val="-8"/>
          <w:sz w:val="15"/>
        </w:rPr>
        <w:t xml:space="preserve"> </w:t>
      </w:r>
      <w:r>
        <w:rPr>
          <w:spacing w:val="-2"/>
          <w:sz w:val="15"/>
        </w:rPr>
        <w:t>the</w:t>
      </w:r>
      <w:r>
        <w:rPr>
          <w:spacing w:val="-9"/>
          <w:sz w:val="15"/>
        </w:rPr>
        <w:t xml:space="preserve"> </w:t>
      </w:r>
      <w:r>
        <w:rPr>
          <w:spacing w:val="-2"/>
          <w:sz w:val="15"/>
        </w:rPr>
        <w:t>Victorian</w:t>
      </w:r>
      <w:r>
        <w:rPr>
          <w:sz w:val="15"/>
        </w:rPr>
        <w:t xml:space="preserve"> Bar,</w:t>
      </w:r>
      <w:r>
        <w:rPr>
          <w:spacing w:val="-5"/>
          <w:sz w:val="15"/>
        </w:rPr>
        <w:t xml:space="preserve"> </w:t>
      </w:r>
      <w:r>
        <w:rPr>
          <w:sz w:val="15"/>
        </w:rPr>
        <w:t>through</w:t>
      </w:r>
      <w:r>
        <w:rPr>
          <w:spacing w:val="-5"/>
          <w:sz w:val="15"/>
        </w:rPr>
        <w:t xml:space="preserve"> </w:t>
      </w:r>
      <w:r>
        <w:rPr>
          <w:sz w:val="15"/>
        </w:rPr>
        <w:t>FNCC</w:t>
      </w:r>
      <w:r>
        <w:rPr>
          <w:spacing w:val="-5"/>
          <w:sz w:val="15"/>
        </w:rPr>
        <w:t xml:space="preserve"> </w:t>
      </w:r>
      <w:r>
        <w:rPr>
          <w:sz w:val="15"/>
        </w:rPr>
        <w:t>Chair</w:t>
      </w:r>
      <w:r>
        <w:rPr>
          <w:spacing w:val="-5"/>
          <w:sz w:val="15"/>
        </w:rPr>
        <w:t xml:space="preserve"> </w:t>
      </w:r>
      <w:r>
        <w:rPr>
          <w:sz w:val="15"/>
        </w:rPr>
        <w:t>as</w:t>
      </w:r>
      <w:r>
        <w:rPr>
          <w:spacing w:val="-5"/>
          <w:sz w:val="15"/>
        </w:rPr>
        <w:t xml:space="preserve"> </w:t>
      </w:r>
      <w:r>
        <w:rPr>
          <w:sz w:val="15"/>
        </w:rPr>
        <w:t>well</w:t>
      </w:r>
      <w:r>
        <w:rPr>
          <w:spacing w:val="-5"/>
          <w:sz w:val="15"/>
        </w:rPr>
        <w:t xml:space="preserve"> </w:t>
      </w:r>
      <w:r>
        <w:rPr>
          <w:sz w:val="15"/>
        </w:rPr>
        <w:t>as</w:t>
      </w:r>
      <w:r>
        <w:rPr>
          <w:spacing w:val="-5"/>
          <w:sz w:val="15"/>
        </w:rPr>
        <w:t xml:space="preserve"> </w:t>
      </w:r>
      <w:r>
        <w:rPr>
          <w:sz w:val="15"/>
        </w:rPr>
        <w:t>from</w:t>
      </w:r>
      <w:r>
        <w:rPr>
          <w:spacing w:val="-5"/>
          <w:sz w:val="15"/>
        </w:rPr>
        <w:t xml:space="preserve"> </w:t>
      </w:r>
      <w:r>
        <w:rPr>
          <w:sz w:val="15"/>
        </w:rPr>
        <w:t>a</w:t>
      </w:r>
      <w:r>
        <w:rPr>
          <w:spacing w:val="-5"/>
          <w:sz w:val="15"/>
        </w:rPr>
        <w:t xml:space="preserve"> </w:t>
      </w:r>
      <w:r>
        <w:rPr>
          <w:sz w:val="15"/>
        </w:rPr>
        <w:t>police office</w:t>
      </w:r>
      <w:r>
        <w:rPr>
          <w:spacing w:val="-2"/>
          <w:sz w:val="15"/>
        </w:rPr>
        <w:t xml:space="preserve"> </w:t>
      </w:r>
      <w:r>
        <w:rPr>
          <w:sz w:val="15"/>
        </w:rPr>
        <w:t>at</w:t>
      </w:r>
      <w:r>
        <w:rPr>
          <w:spacing w:val="-2"/>
          <w:sz w:val="15"/>
        </w:rPr>
        <w:t xml:space="preserve"> </w:t>
      </w:r>
      <w:r>
        <w:rPr>
          <w:sz w:val="15"/>
        </w:rPr>
        <w:t>the</w:t>
      </w:r>
      <w:r>
        <w:rPr>
          <w:spacing w:val="-2"/>
          <w:sz w:val="15"/>
        </w:rPr>
        <w:t xml:space="preserve"> </w:t>
      </w:r>
      <w:r>
        <w:rPr>
          <w:sz w:val="15"/>
        </w:rPr>
        <w:t>Logan</w:t>
      </w:r>
      <w:r>
        <w:rPr>
          <w:spacing w:val="-2"/>
          <w:sz w:val="15"/>
        </w:rPr>
        <w:t xml:space="preserve"> </w:t>
      </w:r>
      <w:r>
        <w:rPr>
          <w:sz w:val="15"/>
        </w:rPr>
        <w:t>ICPCG</w:t>
      </w:r>
      <w:r>
        <w:rPr>
          <w:spacing w:val="-2"/>
          <w:sz w:val="15"/>
        </w:rPr>
        <w:t xml:space="preserve"> </w:t>
      </w:r>
      <w:r>
        <w:rPr>
          <w:sz w:val="15"/>
        </w:rPr>
        <w:t>meeting</w:t>
      </w:r>
      <w:r>
        <w:rPr>
          <w:spacing w:val="-2"/>
          <w:sz w:val="15"/>
        </w:rPr>
        <w:t xml:space="preserve"> </w:t>
      </w:r>
      <w:r>
        <w:rPr>
          <w:sz w:val="15"/>
        </w:rPr>
        <w:t>and</w:t>
      </w:r>
      <w:r>
        <w:rPr>
          <w:spacing w:val="-2"/>
          <w:sz w:val="15"/>
        </w:rPr>
        <w:t xml:space="preserve"> </w:t>
      </w:r>
      <w:r>
        <w:rPr>
          <w:sz w:val="15"/>
        </w:rPr>
        <w:t>Carter Newell.</w:t>
      </w:r>
      <w:r>
        <w:rPr>
          <w:spacing w:val="-5"/>
          <w:sz w:val="15"/>
        </w:rPr>
        <w:t xml:space="preserve"> </w:t>
      </w:r>
      <w:r>
        <w:rPr>
          <w:sz w:val="15"/>
        </w:rPr>
        <w:t>The</w:t>
      </w:r>
      <w:r>
        <w:rPr>
          <w:spacing w:val="-5"/>
          <w:sz w:val="15"/>
        </w:rPr>
        <w:t xml:space="preserve"> </w:t>
      </w:r>
      <w:r>
        <w:rPr>
          <w:sz w:val="15"/>
        </w:rPr>
        <w:t>Cultural</w:t>
      </w:r>
      <w:r>
        <w:rPr>
          <w:spacing w:val="-5"/>
          <w:sz w:val="15"/>
        </w:rPr>
        <w:t xml:space="preserve"> </w:t>
      </w:r>
      <w:r>
        <w:rPr>
          <w:sz w:val="15"/>
        </w:rPr>
        <w:t>Competency</w:t>
      </w:r>
      <w:r>
        <w:rPr>
          <w:spacing w:val="-5"/>
          <w:sz w:val="15"/>
        </w:rPr>
        <w:t xml:space="preserve"> </w:t>
      </w:r>
      <w:r>
        <w:rPr>
          <w:sz w:val="15"/>
        </w:rPr>
        <w:t>Course</w:t>
      </w:r>
      <w:r>
        <w:rPr>
          <w:spacing w:val="-5"/>
          <w:sz w:val="15"/>
        </w:rPr>
        <w:t xml:space="preserve"> </w:t>
      </w:r>
      <w:r>
        <w:rPr>
          <w:sz w:val="15"/>
        </w:rPr>
        <w:t>has</w:t>
      </w:r>
      <w:r>
        <w:rPr>
          <w:spacing w:val="-5"/>
          <w:sz w:val="15"/>
        </w:rPr>
        <w:t xml:space="preserve"> </w:t>
      </w:r>
      <w:r>
        <w:rPr>
          <w:sz w:val="15"/>
        </w:rPr>
        <w:t>had</w:t>
      </w:r>
    </w:p>
    <w:p w14:paraId="5E622439" w14:textId="77777777" w:rsidR="00AC6F3C" w:rsidRDefault="00570E88">
      <w:pPr>
        <w:spacing w:line="171" w:lineRule="exact"/>
        <w:ind w:left="956"/>
        <w:rPr>
          <w:sz w:val="15"/>
        </w:rPr>
      </w:pPr>
      <w:r>
        <w:rPr>
          <w:spacing w:val="-4"/>
          <w:sz w:val="15"/>
        </w:rPr>
        <w:t>11 registrations</w:t>
      </w:r>
      <w:r>
        <w:rPr>
          <w:spacing w:val="-3"/>
          <w:sz w:val="15"/>
        </w:rPr>
        <w:t xml:space="preserve"> </w:t>
      </w:r>
      <w:r>
        <w:rPr>
          <w:spacing w:val="-4"/>
          <w:sz w:val="15"/>
        </w:rPr>
        <w:t>so</w:t>
      </w:r>
      <w:r>
        <w:rPr>
          <w:spacing w:val="-3"/>
          <w:sz w:val="15"/>
        </w:rPr>
        <w:t xml:space="preserve"> </w:t>
      </w:r>
      <w:r>
        <w:rPr>
          <w:spacing w:val="-5"/>
          <w:sz w:val="15"/>
        </w:rPr>
        <w:t>far</w:t>
      </w:r>
    </w:p>
    <w:p w14:paraId="76147ED6" w14:textId="77777777" w:rsidR="00AC6F3C" w:rsidRDefault="00570E88">
      <w:pPr>
        <w:pStyle w:val="ListParagraph"/>
        <w:numPr>
          <w:ilvl w:val="2"/>
          <w:numId w:val="42"/>
        </w:numPr>
        <w:tabs>
          <w:tab w:val="left" w:pos="952"/>
          <w:tab w:val="left" w:pos="956"/>
        </w:tabs>
        <w:spacing w:before="56" w:line="259" w:lineRule="auto"/>
        <w:ind w:right="250"/>
        <w:rPr>
          <w:sz w:val="15"/>
        </w:rPr>
      </w:pPr>
      <w:r>
        <w:rPr>
          <w:sz w:val="15"/>
        </w:rPr>
        <w:t>IN</w:t>
      </w:r>
      <w:r>
        <w:rPr>
          <w:spacing w:val="-7"/>
          <w:sz w:val="15"/>
        </w:rPr>
        <w:t xml:space="preserve"> </w:t>
      </w:r>
      <w:r>
        <w:rPr>
          <w:sz w:val="15"/>
        </w:rPr>
        <w:t>PROGRESS</w:t>
      </w:r>
      <w:r>
        <w:rPr>
          <w:spacing w:val="-7"/>
          <w:sz w:val="15"/>
        </w:rPr>
        <w:t xml:space="preserve"> </w:t>
      </w:r>
      <w:r>
        <w:rPr>
          <w:sz w:val="15"/>
        </w:rPr>
        <w:t>&amp;</w:t>
      </w:r>
      <w:r>
        <w:rPr>
          <w:spacing w:val="-7"/>
          <w:sz w:val="15"/>
        </w:rPr>
        <w:t xml:space="preserve"> </w:t>
      </w:r>
      <w:r>
        <w:rPr>
          <w:sz w:val="15"/>
        </w:rPr>
        <w:t>CONTINUING</w:t>
      </w:r>
      <w:r>
        <w:rPr>
          <w:spacing w:val="-7"/>
          <w:sz w:val="15"/>
        </w:rPr>
        <w:t xml:space="preserve"> </w:t>
      </w:r>
      <w:r>
        <w:rPr>
          <w:sz w:val="15"/>
        </w:rPr>
        <w:t>–</w:t>
      </w:r>
      <w:r>
        <w:rPr>
          <w:spacing w:val="-7"/>
          <w:sz w:val="15"/>
        </w:rPr>
        <w:t xml:space="preserve"> </w:t>
      </w:r>
      <w:r>
        <w:rPr>
          <w:sz w:val="15"/>
        </w:rPr>
        <w:t>Participants</w:t>
      </w:r>
      <w:r>
        <w:rPr>
          <w:spacing w:val="-7"/>
          <w:sz w:val="15"/>
        </w:rPr>
        <w:t xml:space="preserve"> </w:t>
      </w:r>
      <w:r>
        <w:rPr>
          <w:sz w:val="15"/>
        </w:rPr>
        <w:t>who have</w:t>
      </w:r>
      <w:r>
        <w:rPr>
          <w:spacing w:val="-9"/>
          <w:sz w:val="15"/>
        </w:rPr>
        <w:t xml:space="preserve"> </w:t>
      </w:r>
      <w:r>
        <w:rPr>
          <w:sz w:val="15"/>
        </w:rPr>
        <w:t>completed</w:t>
      </w:r>
      <w:r>
        <w:rPr>
          <w:spacing w:val="-9"/>
          <w:sz w:val="15"/>
        </w:rPr>
        <w:t xml:space="preserve"> </w:t>
      </w:r>
      <w:r>
        <w:rPr>
          <w:sz w:val="15"/>
        </w:rPr>
        <w:t>the</w:t>
      </w:r>
      <w:r>
        <w:rPr>
          <w:spacing w:val="-9"/>
          <w:sz w:val="15"/>
        </w:rPr>
        <w:t xml:space="preserve"> </w:t>
      </w:r>
      <w:r>
        <w:rPr>
          <w:sz w:val="15"/>
        </w:rPr>
        <w:t>course</w:t>
      </w:r>
      <w:r>
        <w:rPr>
          <w:spacing w:val="-9"/>
          <w:sz w:val="15"/>
        </w:rPr>
        <w:t xml:space="preserve"> </w:t>
      </w:r>
      <w:r>
        <w:rPr>
          <w:sz w:val="15"/>
        </w:rPr>
        <w:t>are</w:t>
      </w:r>
      <w:r>
        <w:rPr>
          <w:spacing w:val="-9"/>
          <w:sz w:val="15"/>
        </w:rPr>
        <w:t xml:space="preserve"> </w:t>
      </w:r>
      <w:r>
        <w:rPr>
          <w:sz w:val="15"/>
        </w:rPr>
        <w:t>eligible</w:t>
      </w:r>
      <w:r>
        <w:rPr>
          <w:spacing w:val="-9"/>
          <w:sz w:val="15"/>
        </w:rPr>
        <w:t xml:space="preserve"> </w:t>
      </w:r>
      <w:r>
        <w:rPr>
          <w:sz w:val="15"/>
        </w:rPr>
        <w:t>to</w:t>
      </w:r>
      <w:r>
        <w:rPr>
          <w:spacing w:val="-9"/>
          <w:sz w:val="15"/>
        </w:rPr>
        <w:t xml:space="preserve"> </w:t>
      </w:r>
      <w:r>
        <w:rPr>
          <w:sz w:val="15"/>
        </w:rPr>
        <w:t>receive</w:t>
      </w:r>
      <w:r>
        <w:rPr>
          <w:spacing w:val="-9"/>
          <w:sz w:val="15"/>
        </w:rPr>
        <w:t xml:space="preserve"> </w:t>
      </w:r>
      <w:r>
        <w:rPr>
          <w:sz w:val="15"/>
        </w:rPr>
        <w:t xml:space="preserve">an </w:t>
      </w:r>
      <w:r>
        <w:rPr>
          <w:spacing w:val="-2"/>
          <w:sz w:val="15"/>
        </w:rPr>
        <w:t>inhouse</w:t>
      </w:r>
      <w:r>
        <w:rPr>
          <w:spacing w:val="-9"/>
          <w:sz w:val="15"/>
        </w:rPr>
        <w:t xml:space="preserve"> </w:t>
      </w:r>
      <w:r>
        <w:rPr>
          <w:spacing w:val="-2"/>
          <w:sz w:val="15"/>
        </w:rPr>
        <w:t>Certification</w:t>
      </w:r>
      <w:r>
        <w:rPr>
          <w:spacing w:val="-8"/>
          <w:sz w:val="15"/>
        </w:rPr>
        <w:t xml:space="preserve"> </w:t>
      </w:r>
      <w:r>
        <w:rPr>
          <w:spacing w:val="-2"/>
          <w:sz w:val="15"/>
        </w:rPr>
        <w:t>of</w:t>
      </w:r>
      <w:r>
        <w:rPr>
          <w:spacing w:val="-9"/>
          <w:sz w:val="15"/>
        </w:rPr>
        <w:t xml:space="preserve"> </w:t>
      </w:r>
      <w:r>
        <w:rPr>
          <w:spacing w:val="-2"/>
          <w:sz w:val="15"/>
        </w:rPr>
        <w:t>Confirmation</w:t>
      </w:r>
      <w:r>
        <w:rPr>
          <w:spacing w:val="-8"/>
          <w:sz w:val="15"/>
        </w:rPr>
        <w:t xml:space="preserve"> </w:t>
      </w:r>
      <w:r>
        <w:rPr>
          <w:spacing w:val="-2"/>
          <w:sz w:val="15"/>
        </w:rPr>
        <w:t>and</w:t>
      </w:r>
      <w:r>
        <w:rPr>
          <w:spacing w:val="-9"/>
          <w:sz w:val="15"/>
        </w:rPr>
        <w:t xml:space="preserve"> </w:t>
      </w:r>
      <w:r>
        <w:rPr>
          <w:spacing w:val="-2"/>
          <w:sz w:val="15"/>
        </w:rPr>
        <w:t>Completion.</w:t>
      </w:r>
    </w:p>
    <w:p w14:paraId="0B52D9AC" w14:textId="77777777" w:rsidR="00AC6F3C" w:rsidRDefault="00AC6F3C">
      <w:pPr>
        <w:pStyle w:val="BodyText"/>
        <w:spacing w:before="3"/>
        <w:rPr>
          <w:sz w:val="13"/>
        </w:rPr>
      </w:pPr>
    </w:p>
    <w:p w14:paraId="04754DC4" w14:textId="77777777" w:rsidR="00AC6F3C" w:rsidRDefault="00570E88">
      <w:pPr>
        <w:pStyle w:val="ListParagraph"/>
        <w:numPr>
          <w:ilvl w:val="2"/>
          <w:numId w:val="41"/>
        </w:numPr>
        <w:tabs>
          <w:tab w:val="left" w:pos="994"/>
        </w:tabs>
        <w:spacing w:before="0"/>
        <w:rPr>
          <w:sz w:val="15"/>
        </w:rPr>
      </w:pPr>
      <w:r>
        <w:rPr>
          <w:spacing w:val="-4"/>
          <w:sz w:val="15"/>
        </w:rPr>
        <w:t>IN</w:t>
      </w:r>
      <w:r>
        <w:rPr>
          <w:spacing w:val="-2"/>
          <w:sz w:val="15"/>
        </w:rPr>
        <w:t xml:space="preserve"> </w:t>
      </w:r>
      <w:r>
        <w:rPr>
          <w:spacing w:val="-4"/>
          <w:sz w:val="15"/>
        </w:rPr>
        <w:t>PROGRESS</w:t>
      </w:r>
      <w:r>
        <w:rPr>
          <w:spacing w:val="-2"/>
          <w:sz w:val="15"/>
        </w:rPr>
        <w:t xml:space="preserve"> </w:t>
      </w:r>
      <w:r>
        <w:rPr>
          <w:spacing w:val="-4"/>
          <w:sz w:val="15"/>
        </w:rPr>
        <w:t>&amp;</w:t>
      </w:r>
      <w:r>
        <w:rPr>
          <w:spacing w:val="-1"/>
          <w:sz w:val="15"/>
        </w:rPr>
        <w:t xml:space="preserve"> </w:t>
      </w:r>
      <w:r>
        <w:rPr>
          <w:spacing w:val="-4"/>
          <w:sz w:val="15"/>
        </w:rPr>
        <w:t>CONTINUING</w:t>
      </w:r>
      <w:r>
        <w:rPr>
          <w:spacing w:val="-2"/>
          <w:sz w:val="15"/>
        </w:rPr>
        <w:t xml:space="preserve"> </w:t>
      </w:r>
      <w:r>
        <w:rPr>
          <w:spacing w:val="-4"/>
          <w:sz w:val="15"/>
        </w:rPr>
        <w:t>–</w:t>
      </w:r>
      <w:r>
        <w:rPr>
          <w:spacing w:val="-2"/>
          <w:sz w:val="15"/>
        </w:rPr>
        <w:t xml:space="preserve"> </w:t>
      </w:r>
      <w:r>
        <w:rPr>
          <w:spacing w:val="-4"/>
          <w:sz w:val="15"/>
        </w:rPr>
        <w:t>Mabel</w:t>
      </w:r>
      <w:r>
        <w:rPr>
          <w:spacing w:val="-1"/>
          <w:sz w:val="15"/>
        </w:rPr>
        <w:t xml:space="preserve"> </w:t>
      </w:r>
      <w:r>
        <w:rPr>
          <w:spacing w:val="-4"/>
          <w:sz w:val="15"/>
        </w:rPr>
        <w:t>Park</w:t>
      </w:r>
    </w:p>
    <w:p w14:paraId="2335071C" w14:textId="77777777" w:rsidR="00AC6F3C" w:rsidRDefault="00570E88">
      <w:pPr>
        <w:spacing w:before="13" w:line="259" w:lineRule="auto"/>
        <w:ind w:left="994" w:right="421"/>
        <w:rPr>
          <w:sz w:val="15"/>
        </w:rPr>
      </w:pPr>
      <w:r>
        <w:rPr>
          <w:spacing w:val="-2"/>
          <w:sz w:val="15"/>
        </w:rPr>
        <w:t>students</w:t>
      </w:r>
      <w:r>
        <w:rPr>
          <w:spacing w:val="-9"/>
          <w:sz w:val="15"/>
        </w:rPr>
        <w:t xml:space="preserve"> </w:t>
      </w:r>
      <w:r>
        <w:rPr>
          <w:spacing w:val="-2"/>
          <w:sz w:val="15"/>
        </w:rPr>
        <w:t>attended</w:t>
      </w:r>
      <w:r>
        <w:rPr>
          <w:spacing w:val="-8"/>
          <w:sz w:val="15"/>
        </w:rPr>
        <w:t xml:space="preserve"> </w:t>
      </w:r>
      <w:r>
        <w:rPr>
          <w:spacing w:val="-2"/>
          <w:sz w:val="15"/>
        </w:rPr>
        <w:t>NRW</w:t>
      </w:r>
      <w:r>
        <w:rPr>
          <w:spacing w:val="-9"/>
          <w:sz w:val="15"/>
        </w:rPr>
        <w:t xml:space="preserve"> </w:t>
      </w:r>
      <w:r>
        <w:rPr>
          <w:spacing w:val="-2"/>
          <w:sz w:val="15"/>
        </w:rPr>
        <w:t>and</w:t>
      </w:r>
      <w:r>
        <w:rPr>
          <w:spacing w:val="-8"/>
          <w:sz w:val="15"/>
        </w:rPr>
        <w:t xml:space="preserve"> </w:t>
      </w:r>
      <w:r>
        <w:rPr>
          <w:spacing w:val="-2"/>
          <w:sz w:val="15"/>
        </w:rPr>
        <w:t>IHM</w:t>
      </w:r>
      <w:r>
        <w:rPr>
          <w:spacing w:val="-9"/>
          <w:sz w:val="15"/>
        </w:rPr>
        <w:t xml:space="preserve"> </w:t>
      </w:r>
      <w:r>
        <w:rPr>
          <w:spacing w:val="-2"/>
          <w:sz w:val="15"/>
        </w:rPr>
        <w:t>at</w:t>
      </w:r>
      <w:r>
        <w:rPr>
          <w:spacing w:val="-8"/>
          <w:sz w:val="15"/>
        </w:rPr>
        <w:t xml:space="preserve"> </w:t>
      </w:r>
      <w:r>
        <w:rPr>
          <w:spacing w:val="-2"/>
          <w:sz w:val="15"/>
        </w:rPr>
        <w:t>Carter</w:t>
      </w:r>
      <w:r>
        <w:rPr>
          <w:spacing w:val="-8"/>
          <w:sz w:val="15"/>
        </w:rPr>
        <w:t xml:space="preserve"> </w:t>
      </w:r>
      <w:r>
        <w:rPr>
          <w:spacing w:val="-2"/>
          <w:sz w:val="15"/>
        </w:rPr>
        <w:t>Newell</w:t>
      </w:r>
      <w:r>
        <w:rPr>
          <w:sz w:val="15"/>
        </w:rPr>
        <w:t xml:space="preserve"> </w:t>
      </w:r>
      <w:r>
        <w:rPr>
          <w:spacing w:val="-2"/>
          <w:sz w:val="15"/>
        </w:rPr>
        <w:t>where</w:t>
      </w:r>
      <w:r>
        <w:rPr>
          <w:spacing w:val="-9"/>
          <w:sz w:val="15"/>
        </w:rPr>
        <w:t xml:space="preserve"> </w:t>
      </w:r>
      <w:r>
        <w:rPr>
          <w:spacing w:val="-2"/>
          <w:sz w:val="15"/>
        </w:rPr>
        <w:t>we</w:t>
      </w:r>
      <w:r>
        <w:rPr>
          <w:spacing w:val="-8"/>
          <w:sz w:val="15"/>
        </w:rPr>
        <w:t xml:space="preserve"> </w:t>
      </w:r>
      <w:r>
        <w:rPr>
          <w:spacing w:val="-2"/>
          <w:sz w:val="15"/>
        </w:rPr>
        <w:t>engaged</w:t>
      </w:r>
      <w:r>
        <w:rPr>
          <w:spacing w:val="-9"/>
          <w:sz w:val="15"/>
        </w:rPr>
        <w:t xml:space="preserve"> </w:t>
      </w:r>
      <w:r>
        <w:rPr>
          <w:spacing w:val="-2"/>
          <w:sz w:val="15"/>
        </w:rPr>
        <w:t>and</w:t>
      </w:r>
      <w:r>
        <w:rPr>
          <w:spacing w:val="-8"/>
          <w:sz w:val="15"/>
        </w:rPr>
        <w:t xml:space="preserve"> </w:t>
      </w:r>
      <w:r>
        <w:rPr>
          <w:spacing w:val="-2"/>
          <w:sz w:val="15"/>
        </w:rPr>
        <w:t>encouraged</w:t>
      </w:r>
      <w:r>
        <w:rPr>
          <w:spacing w:val="-9"/>
          <w:sz w:val="15"/>
        </w:rPr>
        <w:t xml:space="preserve"> </w:t>
      </w:r>
      <w:r>
        <w:rPr>
          <w:spacing w:val="-2"/>
          <w:sz w:val="15"/>
        </w:rPr>
        <w:t>careers</w:t>
      </w:r>
      <w:r>
        <w:rPr>
          <w:spacing w:val="-8"/>
          <w:sz w:val="15"/>
        </w:rPr>
        <w:t xml:space="preserve"> </w:t>
      </w:r>
      <w:r>
        <w:rPr>
          <w:spacing w:val="-2"/>
          <w:sz w:val="15"/>
        </w:rPr>
        <w:t>in</w:t>
      </w:r>
      <w:r>
        <w:rPr>
          <w:spacing w:val="-8"/>
          <w:sz w:val="15"/>
        </w:rPr>
        <w:t xml:space="preserve"> </w:t>
      </w:r>
      <w:r>
        <w:rPr>
          <w:spacing w:val="-2"/>
          <w:sz w:val="15"/>
        </w:rPr>
        <w:t>the</w:t>
      </w:r>
      <w:r>
        <w:rPr>
          <w:sz w:val="15"/>
        </w:rPr>
        <w:t xml:space="preserve"> law</w:t>
      </w:r>
      <w:r>
        <w:rPr>
          <w:spacing w:val="-11"/>
          <w:sz w:val="15"/>
        </w:rPr>
        <w:t xml:space="preserve"> </w:t>
      </w:r>
      <w:r>
        <w:rPr>
          <w:sz w:val="15"/>
        </w:rPr>
        <w:t>and</w:t>
      </w:r>
      <w:r>
        <w:rPr>
          <w:spacing w:val="-10"/>
          <w:sz w:val="15"/>
        </w:rPr>
        <w:t xml:space="preserve"> </w:t>
      </w:r>
      <w:r>
        <w:rPr>
          <w:sz w:val="15"/>
        </w:rPr>
        <w:t>support</w:t>
      </w:r>
      <w:r>
        <w:rPr>
          <w:spacing w:val="-11"/>
          <w:sz w:val="15"/>
        </w:rPr>
        <w:t xml:space="preserve"> </w:t>
      </w:r>
      <w:r>
        <w:rPr>
          <w:sz w:val="15"/>
        </w:rPr>
        <w:t>of</w:t>
      </w:r>
      <w:r>
        <w:rPr>
          <w:spacing w:val="-10"/>
          <w:sz w:val="15"/>
        </w:rPr>
        <w:t xml:space="preserve"> </w:t>
      </w:r>
      <w:r>
        <w:rPr>
          <w:sz w:val="15"/>
        </w:rPr>
        <w:t>Mob</w:t>
      </w:r>
      <w:r>
        <w:rPr>
          <w:spacing w:val="-11"/>
          <w:sz w:val="15"/>
        </w:rPr>
        <w:t xml:space="preserve"> </w:t>
      </w:r>
      <w:r>
        <w:rPr>
          <w:sz w:val="15"/>
        </w:rPr>
        <w:t>and</w:t>
      </w:r>
      <w:r>
        <w:rPr>
          <w:spacing w:val="-10"/>
          <w:sz w:val="15"/>
        </w:rPr>
        <w:t xml:space="preserve"> </w:t>
      </w:r>
      <w:r>
        <w:rPr>
          <w:sz w:val="15"/>
        </w:rPr>
        <w:t>Elders.</w:t>
      </w:r>
      <w:r>
        <w:rPr>
          <w:spacing w:val="-10"/>
          <w:sz w:val="15"/>
        </w:rPr>
        <w:t xml:space="preserve"> </w:t>
      </w:r>
      <w:r>
        <w:rPr>
          <w:sz w:val="15"/>
        </w:rPr>
        <w:t>Planning</w:t>
      </w:r>
      <w:r>
        <w:rPr>
          <w:spacing w:val="-11"/>
          <w:sz w:val="15"/>
        </w:rPr>
        <w:t xml:space="preserve"> </w:t>
      </w:r>
      <w:r>
        <w:rPr>
          <w:sz w:val="15"/>
        </w:rPr>
        <w:t xml:space="preserve">has </w:t>
      </w:r>
      <w:r>
        <w:rPr>
          <w:spacing w:val="-2"/>
          <w:sz w:val="15"/>
        </w:rPr>
        <w:t>been</w:t>
      </w:r>
      <w:r>
        <w:rPr>
          <w:spacing w:val="-8"/>
          <w:sz w:val="15"/>
        </w:rPr>
        <w:t xml:space="preserve"> </w:t>
      </w:r>
      <w:r>
        <w:rPr>
          <w:spacing w:val="-2"/>
          <w:sz w:val="15"/>
        </w:rPr>
        <w:t>in</w:t>
      </w:r>
      <w:r>
        <w:rPr>
          <w:spacing w:val="-8"/>
          <w:sz w:val="15"/>
        </w:rPr>
        <w:t xml:space="preserve"> </w:t>
      </w:r>
      <w:r>
        <w:rPr>
          <w:spacing w:val="-2"/>
          <w:sz w:val="15"/>
        </w:rPr>
        <w:t>progress</w:t>
      </w:r>
      <w:r>
        <w:rPr>
          <w:spacing w:val="-8"/>
          <w:sz w:val="15"/>
        </w:rPr>
        <w:t xml:space="preserve"> </w:t>
      </w:r>
      <w:r>
        <w:rPr>
          <w:spacing w:val="-2"/>
          <w:sz w:val="15"/>
        </w:rPr>
        <w:t>for</w:t>
      </w:r>
      <w:r>
        <w:rPr>
          <w:spacing w:val="-8"/>
          <w:sz w:val="15"/>
        </w:rPr>
        <w:t xml:space="preserve"> </w:t>
      </w:r>
      <w:proofErr w:type="spellStart"/>
      <w:r>
        <w:rPr>
          <w:spacing w:val="-2"/>
          <w:sz w:val="15"/>
        </w:rPr>
        <w:t>Lawlink</w:t>
      </w:r>
      <w:proofErr w:type="spellEnd"/>
      <w:r>
        <w:rPr>
          <w:spacing w:val="-8"/>
          <w:sz w:val="15"/>
        </w:rPr>
        <w:t xml:space="preserve"> </w:t>
      </w:r>
      <w:r>
        <w:rPr>
          <w:spacing w:val="-2"/>
          <w:sz w:val="15"/>
        </w:rPr>
        <w:t>at</w:t>
      </w:r>
      <w:r>
        <w:rPr>
          <w:spacing w:val="-8"/>
          <w:sz w:val="15"/>
        </w:rPr>
        <w:t xml:space="preserve"> </w:t>
      </w:r>
      <w:r>
        <w:rPr>
          <w:spacing w:val="-2"/>
          <w:sz w:val="15"/>
        </w:rPr>
        <w:t>JCU</w:t>
      </w:r>
      <w:r>
        <w:rPr>
          <w:spacing w:val="-8"/>
          <w:sz w:val="15"/>
        </w:rPr>
        <w:t xml:space="preserve"> </w:t>
      </w:r>
      <w:r>
        <w:rPr>
          <w:spacing w:val="-2"/>
          <w:sz w:val="15"/>
        </w:rPr>
        <w:t>and</w:t>
      </w:r>
      <w:r>
        <w:rPr>
          <w:spacing w:val="-8"/>
          <w:sz w:val="15"/>
        </w:rPr>
        <w:t xml:space="preserve"> </w:t>
      </w:r>
      <w:r>
        <w:rPr>
          <w:spacing w:val="-2"/>
          <w:sz w:val="15"/>
        </w:rPr>
        <w:t>plans</w:t>
      </w:r>
      <w:r>
        <w:rPr>
          <w:spacing w:val="-8"/>
          <w:sz w:val="15"/>
        </w:rPr>
        <w:t xml:space="preserve"> </w:t>
      </w:r>
      <w:r>
        <w:rPr>
          <w:spacing w:val="-2"/>
          <w:sz w:val="15"/>
        </w:rPr>
        <w:t>are</w:t>
      </w:r>
      <w:r>
        <w:rPr>
          <w:sz w:val="15"/>
        </w:rPr>
        <w:t xml:space="preserve"> </w:t>
      </w:r>
      <w:r>
        <w:rPr>
          <w:spacing w:val="-2"/>
          <w:sz w:val="15"/>
        </w:rPr>
        <w:t>in</w:t>
      </w:r>
      <w:r>
        <w:rPr>
          <w:spacing w:val="-8"/>
          <w:sz w:val="15"/>
        </w:rPr>
        <w:t xml:space="preserve"> </w:t>
      </w:r>
      <w:r>
        <w:rPr>
          <w:spacing w:val="-2"/>
          <w:sz w:val="15"/>
        </w:rPr>
        <w:t>place</w:t>
      </w:r>
      <w:r>
        <w:rPr>
          <w:spacing w:val="-8"/>
          <w:sz w:val="15"/>
        </w:rPr>
        <w:t xml:space="preserve"> </w:t>
      </w:r>
      <w:r>
        <w:rPr>
          <w:spacing w:val="-2"/>
          <w:sz w:val="15"/>
        </w:rPr>
        <w:t>for</w:t>
      </w:r>
      <w:r>
        <w:rPr>
          <w:spacing w:val="-8"/>
          <w:sz w:val="15"/>
        </w:rPr>
        <w:t xml:space="preserve"> </w:t>
      </w:r>
      <w:r>
        <w:rPr>
          <w:spacing w:val="-2"/>
          <w:sz w:val="15"/>
        </w:rPr>
        <w:t>next</w:t>
      </w:r>
      <w:r>
        <w:rPr>
          <w:spacing w:val="-8"/>
          <w:sz w:val="15"/>
        </w:rPr>
        <w:t xml:space="preserve"> </w:t>
      </w:r>
      <w:r>
        <w:rPr>
          <w:spacing w:val="-2"/>
          <w:sz w:val="15"/>
        </w:rPr>
        <w:t>financial</w:t>
      </w:r>
      <w:r>
        <w:rPr>
          <w:spacing w:val="-8"/>
          <w:sz w:val="15"/>
        </w:rPr>
        <w:t xml:space="preserve"> </w:t>
      </w:r>
      <w:r>
        <w:rPr>
          <w:spacing w:val="-2"/>
          <w:sz w:val="15"/>
        </w:rPr>
        <w:t>year</w:t>
      </w:r>
      <w:r>
        <w:rPr>
          <w:spacing w:val="-8"/>
          <w:sz w:val="15"/>
        </w:rPr>
        <w:t xml:space="preserve"> </w:t>
      </w:r>
      <w:r>
        <w:rPr>
          <w:spacing w:val="-2"/>
          <w:sz w:val="15"/>
        </w:rPr>
        <w:t>to</w:t>
      </w:r>
      <w:r>
        <w:rPr>
          <w:spacing w:val="-8"/>
          <w:sz w:val="15"/>
        </w:rPr>
        <w:t xml:space="preserve"> </w:t>
      </w:r>
      <w:r>
        <w:rPr>
          <w:spacing w:val="-2"/>
          <w:sz w:val="15"/>
        </w:rPr>
        <w:t>engage</w:t>
      </w:r>
      <w:r>
        <w:rPr>
          <w:spacing w:val="-8"/>
          <w:sz w:val="15"/>
        </w:rPr>
        <w:t xml:space="preserve"> </w:t>
      </w:r>
      <w:r>
        <w:rPr>
          <w:spacing w:val="-2"/>
          <w:sz w:val="15"/>
        </w:rPr>
        <w:t>with</w:t>
      </w:r>
      <w:r>
        <w:rPr>
          <w:spacing w:val="-8"/>
          <w:sz w:val="15"/>
        </w:rPr>
        <w:t xml:space="preserve"> </w:t>
      </w:r>
      <w:r>
        <w:rPr>
          <w:spacing w:val="-2"/>
          <w:sz w:val="15"/>
        </w:rPr>
        <w:t>First</w:t>
      </w:r>
      <w:r>
        <w:rPr>
          <w:sz w:val="15"/>
        </w:rPr>
        <w:t xml:space="preserve"> Nations boarders at Clayfield College</w:t>
      </w:r>
    </w:p>
    <w:p w14:paraId="445E8BC6" w14:textId="77777777" w:rsidR="00AC6F3C" w:rsidRDefault="00570E88">
      <w:pPr>
        <w:pStyle w:val="ListParagraph"/>
        <w:numPr>
          <w:ilvl w:val="2"/>
          <w:numId w:val="41"/>
        </w:numPr>
        <w:tabs>
          <w:tab w:val="left" w:pos="990"/>
        </w:tabs>
        <w:spacing w:before="41"/>
        <w:ind w:left="990" w:hanging="488"/>
        <w:rPr>
          <w:sz w:val="15"/>
        </w:rPr>
      </w:pPr>
      <w:r>
        <w:rPr>
          <w:spacing w:val="-4"/>
          <w:sz w:val="15"/>
        </w:rPr>
        <w:t>IN</w:t>
      </w:r>
      <w:r>
        <w:rPr>
          <w:spacing w:val="-3"/>
          <w:sz w:val="15"/>
        </w:rPr>
        <w:t xml:space="preserve"> </w:t>
      </w:r>
      <w:r>
        <w:rPr>
          <w:spacing w:val="-4"/>
          <w:sz w:val="15"/>
        </w:rPr>
        <w:t>PROGRESS</w:t>
      </w:r>
      <w:r>
        <w:rPr>
          <w:spacing w:val="-3"/>
          <w:sz w:val="15"/>
        </w:rPr>
        <w:t xml:space="preserve"> </w:t>
      </w:r>
      <w:r>
        <w:rPr>
          <w:spacing w:val="-4"/>
          <w:sz w:val="15"/>
        </w:rPr>
        <w:t>&amp;</w:t>
      </w:r>
      <w:r>
        <w:rPr>
          <w:spacing w:val="-3"/>
          <w:sz w:val="15"/>
        </w:rPr>
        <w:t xml:space="preserve"> </w:t>
      </w:r>
      <w:r>
        <w:rPr>
          <w:spacing w:val="-4"/>
          <w:sz w:val="15"/>
        </w:rPr>
        <w:t>CONTINUING</w:t>
      </w:r>
      <w:r>
        <w:rPr>
          <w:spacing w:val="-3"/>
          <w:sz w:val="15"/>
        </w:rPr>
        <w:t xml:space="preserve"> </w:t>
      </w:r>
      <w:r>
        <w:rPr>
          <w:spacing w:val="-4"/>
          <w:sz w:val="15"/>
        </w:rPr>
        <w:t>–</w:t>
      </w:r>
      <w:r>
        <w:rPr>
          <w:spacing w:val="-3"/>
          <w:sz w:val="15"/>
        </w:rPr>
        <w:t xml:space="preserve"> </w:t>
      </w:r>
      <w:r>
        <w:rPr>
          <w:spacing w:val="-4"/>
          <w:sz w:val="15"/>
        </w:rPr>
        <w:t>CEO</w:t>
      </w:r>
      <w:r>
        <w:rPr>
          <w:spacing w:val="-3"/>
          <w:sz w:val="15"/>
        </w:rPr>
        <w:t xml:space="preserve"> </w:t>
      </w:r>
      <w:r>
        <w:rPr>
          <w:spacing w:val="-4"/>
          <w:sz w:val="15"/>
        </w:rPr>
        <w:t>held</w:t>
      </w:r>
    </w:p>
    <w:p w14:paraId="7A24F328" w14:textId="77777777" w:rsidR="00AC6F3C" w:rsidRDefault="00570E88">
      <w:pPr>
        <w:spacing w:before="14" w:line="259" w:lineRule="auto"/>
        <w:ind w:left="994" w:right="208"/>
        <w:rPr>
          <w:sz w:val="15"/>
        </w:rPr>
      </w:pPr>
      <w:r>
        <w:rPr>
          <w:sz w:val="15"/>
        </w:rPr>
        <w:t>sessions</w:t>
      </w:r>
      <w:r>
        <w:rPr>
          <w:spacing w:val="-3"/>
          <w:sz w:val="15"/>
        </w:rPr>
        <w:t xml:space="preserve"> </w:t>
      </w:r>
      <w:r>
        <w:rPr>
          <w:sz w:val="15"/>
        </w:rPr>
        <w:t>with</w:t>
      </w:r>
      <w:r>
        <w:rPr>
          <w:spacing w:val="-3"/>
          <w:sz w:val="15"/>
        </w:rPr>
        <w:t xml:space="preserve"> </w:t>
      </w:r>
      <w:r>
        <w:rPr>
          <w:sz w:val="15"/>
        </w:rPr>
        <w:t>Law</w:t>
      </w:r>
      <w:r>
        <w:rPr>
          <w:spacing w:val="-3"/>
          <w:sz w:val="15"/>
        </w:rPr>
        <w:t xml:space="preserve"> </w:t>
      </w:r>
      <w:r>
        <w:rPr>
          <w:sz w:val="15"/>
        </w:rPr>
        <w:t>Deans</w:t>
      </w:r>
      <w:r>
        <w:rPr>
          <w:spacing w:val="-3"/>
          <w:sz w:val="15"/>
        </w:rPr>
        <w:t xml:space="preserve"> </w:t>
      </w:r>
      <w:r>
        <w:rPr>
          <w:sz w:val="15"/>
        </w:rPr>
        <w:t>on</w:t>
      </w:r>
      <w:r>
        <w:rPr>
          <w:spacing w:val="-3"/>
          <w:sz w:val="15"/>
        </w:rPr>
        <w:t xml:space="preserve"> </w:t>
      </w:r>
      <w:r>
        <w:rPr>
          <w:sz w:val="15"/>
        </w:rPr>
        <w:t>First</w:t>
      </w:r>
      <w:r>
        <w:rPr>
          <w:spacing w:val="-3"/>
          <w:sz w:val="15"/>
        </w:rPr>
        <w:t xml:space="preserve"> </w:t>
      </w:r>
      <w:r>
        <w:rPr>
          <w:sz w:val="15"/>
        </w:rPr>
        <w:t>Nations</w:t>
      </w:r>
      <w:r>
        <w:rPr>
          <w:spacing w:val="-3"/>
          <w:sz w:val="15"/>
        </w:rPr>
        <w:t xml:space="preserve"> </w:t>
      </w:r>
      <w:r>
        <w:rPr>
          <w:sz w:val="15"/>
        </w:rPr>
        <w:t xml:space="preserve">legal </w:t>
      </w:r>
      <w:r>
        <w:rPr>
          <w:spacing w:val="-4"/>
          <w:sz w:val="15"/>
        </w:rPr>
        <w:t>student engagement in November 2022 with the view</w:t>
      </w:r>
      <w:r>
        <w:rPr>
          <w:sz w:val="15"/>
        </w:rPr>
        <w:t xml:space="preserve"> </w:t>
      </w:r>
      <w:r>
        <w:rPr>
          <w:spacing w:val="-2"/>
          <w:sz w:val="15"/>
        </w:rPr>
        <w:t>to</w:t>
      </w:r>
      <w:r>
        <w:rPr>
          <w:spacing w:val="-7"/>
          <w:sz w:val="15"/>
        </w:rPr>
        <w:t xml:space="preserve"> </w:t>
      </w:r>
      <w:r>
        <w:rPr>
          <w:spacing w:val="-2"/>
          <w:sz w:val="15"/>
        </w:rPr>
        <w:t>circulating</w:t>
      </w:r>
      <w:r>
        <w:rPr>
          <w:spacing w:val="-7"/>
          <w:sz w:val="15"/>
        </w:rPr>
        <w:t xml:space="preserve"> </w:t>
      </w:r>
      <w:r>
        <w:rPr>
          <w:spacing w:val="-2"/>
          <w:sz w:val="15"/>
        </w:rPr>
        <w:t>a</w:t>
      </w:r>
      <w:r>
        <w:rPr>
          <w:spacing w:val="-7"/>
          <w:sz w:val="15"/>
        </w:rPr>
        <w:t xml:space="preserve"> </w:t>
      </w:r>
      <w:r>
        <w:rPr>
          <w:spacing w:val="-2"/>
          <w:sz w:val="15"/>
        </w:rPr>
        <w:t>survey</w:t>
      </w:r>
      <w:r>
        <w:rPr>
          <w:spacing w:val="-7"/>
          <w:sz w:val="15"/>
        </w:rPr>
        <w:t xml:space="preserve"> </w:t>
      </w:r>
      <w:r>
        <w:rPr>
          <w:spacing w:val="-2"/>
          <w:sz w:val="15"/>
        </w:rPr>
        <w:t>to</w:t>
      </w:r>
      <w:r>
        <w:rPr>
          <w:spacing w:val="-7"/>
          <w:sz w:val="15"/>
        </w:rPr>
        <w:t xml:space="preserve"> </w:t>
      </w:r>
      <w:r>
        <w:rPr>
          <w:spacing w:val="-2"/>
          <w:sz w:val="15"/>
        </w:rPr>
        <w:t>Law</w:t>
      </w:r>
      <w:r>
        <w:rPr>
          <w:spacing w:val="-7"/>
          <w:sz w:val="15"/>
        </w:rPr>
        <w:t xml:space="preserve"> </w:t>
      </w:r>
      <w:r>
        <w:rPr>
          <w:spacing w:val="-2"/>
          <w:sz w:val="15"/>
        </w:rPr>
        <w:t>Deans</w:t>
      </w:r>
      <w:r>
        <w:rPr>
          <w:spacing w:val="-7"/>
          <w:sz w:val="15"/>
        </w:rPr>
        <w:t xml:space="preserve"> </w:t>
      </w:r>
      <w:r>
        <w:rPr>
          <w:spacing w:val="-2"/>
          <w:sz w:val="15"/>
        </w:rPr>
        <w:t>on</w:t>
      </w:r>
      <w:r>
        <w:rPr>
          <w:spacing w:val="-7"/>
          <w:sz w:val="15"/>
        </w:rPr>
        <w:t xml:space="preserve"> </w:t>
      </w:r>
      <w:r>
        <w:rPr>
          <w:spacing w:val="-2"/>
          <w:sz w:val="15"/>
        </w:rPr>
        <w:t>First</w:t>
      </w:r>
      <w:r>
        <w:rPr>
          <w:spacing w:val="-7"/>
          <w:sz w:val="15"/>
        </w:rPr>
        <w:t xml:space="preserve"> </w:t>
      </w:r>
      <w:r>
        <w:rPr>
          <w:spacing w:val="-2"/>
          <w:sz w:val="15"/>
        </w:rPr>
        <w:t>Nations</w:t>
      </w:r>
      <w:r>
        <w:rPr>
          <w:sz w:val="15"/>
        </w:rPr>
        <w:t xml:space="preserve"> matters</w:t>
      </w:r>
      <w:r>
        <w:rPr>
          <w:spacing w:val="-5"/>
          <w:sz w:val="15"/>
        </w:rPr>
        <w:t xml:space="preserve"> </w:t>
      </w:r>
      <w:r>
        <w:rPr>
          <w:sz w:val="15"/>
        </w:rPr>
        <w:t>as</w:t>
      </w:r>
      <w:r>
        <w:rPr>
          <w:spacing w:val="-5"/>
          <w:sz w:val="15"/>
        </w:rPr>
        <w:t xml:space="preserve"> </w:t>
      </w:r>
      <w:r>
        <w:rPr>
          <w:sz w:val="15"/>
        </w:rPr>
        <w:t>well</w:t>
      </w:r>
      <w:r>
        <w:rPr>
          <w:spacing w:val="-5"/>
          <w:sz w:val="15"/>
        </w:rPr>
        <w:t xml:space="preserve"> </w:t>
      </w:r>
      <w:r>
        <w:rPr>
          <w:sz w:val="15"/>
        </w:rPr>
        <w:t>as</w:t>
      </w:r>
      <w:r>
        <w:rPr>
          <w:spacing w:val="-5"/>
          <w:sz w:val="15"/>
        </w:rPr>
        <w:t xml:space="preserve"> </w:t>
      </w:r>
      <w:r>
        <w:rPr>
          <w:sz w:val="15"/>
        </w:rPr>
        <w:t>the</w:t>
      </w:r>
      <w:r>
        <w:rPr>
          <w:spacing w:val="-5"/>
          <w:sz w:val="15"/>
        </w:rPr>
        <w:t xml:space="preserve"> </w:t>
      </w:r>
      <w:r>
        <w:rPr>
          <w:sz w:val="15"/>
        </w:rPr>
        <w:t>Steering</w:t>
      </w:r>
      <w:r>
        <w:rPr>
          <w:spacing w:val="-5"/>
          <w:sz w:val="15"/>
        </w:rPr>
        <w:t xml:space="preserve"> </w:t>
      </w:r>
      <w:r>
        <w:rPr>
          <w:sz w:val="15"/>
        </w:rPr>
        <w:t>Committee</w:t>
      </w:r>
      <w:r>
        <w:rPr>
          <w:spacing w:val="-5"/>
          <w:sz w:val="15"/>
        </w:rPr>
        <w:t xml:space="preserve"> </w:t>
      </w:r>
      <w:r>
        <w:rPr>
          <w:sz w:val="15"/>
        </w:rPr>
        <w:t>which</w:t>
      </w:r>
      <w:r>
        <w:rPr>
          <w:spacing w:val="-5"/>
          <w:sz w:val="15"/>
        </w:rPr>
        <w:t xml:space="preserve"> </w:t>
      </w:r>
      <w:r>
        <w:rPr>
          <w:sz w:val="15"/>
        </w:rPr>
        <w:t>is comprised</w:t>
      </w:r>
      <w:r>
        <w:rPr>
          <w:spacing w:val="-3"/>
          <w:sz w:val="15"/>
        </w:rPr>
        <w:t xml:space="preserve"> </w:t>
      </w:r>
      <w:r>
        <w:rPr>
          <w:sz w:val="15"/>
        </w:rPr>
        <w:t>of</w:t>
      </w:r>
      <w:r>
        <w:rPr>
          <w:spacing w:val="-3"/>
          <w:sz w:val="15"/>
        </w:rPr>
        <w:t xml:space="preserve"> </w:t>
      </w:r>
      <w:r>
        <w:rPr>
          <w:sz w:val="15"/>
        </w:rPr>
        <w:t>Elders,</w:t>
      </w:r>
      <w:r>
        <w:rPr>
          <w:spacing w:val="-3"/>
          <w:sz w:val="15"/>
        </w:rPr>
        <w:t xml:space="preserve"> </w:t>
      </w:r>
      <w:r>
        <w:rPr>
          <w:sz w:val="15"/>
        </w:rPr>
        <w:t>ILAQ,</w:t>
      </w:r>
      <w:r>
        <w:rPr>
          <w:spacing w:val="-3"/>
          <w:sz w:val="15"/>
        </w:rPr>
        <w:t xml:space="preserve"> </w:t>
      </w:r>
      <w:r>
        <w:rPr>
          <w:sz w:val="15"/>
        </w:rPr>
        <w:t>ATSILs,</w:t>
      </w:r>
      <w:r>
        <w:rPr>
          <w:spacing w:val="-3"/>
          <w:sz w:val="15"/>
        </w:rPr>
        <w:t xml:space="preserve"> </w:t>
      </w:r>
      <w:r>
        <w:rPr>
          <w:sz w:val="15"/>
        </w:rPr>
        <w:t>LAQ,</w:t>
      </w:r>
      <w:r>
        <w:rPr>
          <w:spacing w:val="-3"/>
          <w:sz w:val="15"/>
        </w:rPr>
        <w:t xml:space="preserve"> </w:t>
      </w:r>
      <w:r>
        <w:rPr>
          <w:sz w:val="15"/>
        </w:rPr>
        <w:t>the</w:t>
      </w:r>
      <w:r>
        <w:rPr>
          <w:spacing w:val="-3"/>
          <w:sz w:val="15"/>
        </w:rPr>
        <w:t xml:space="preserve"> </w:t>
      </w:r>
      <w:r>
        <w:rPr>
          <w:sz w:val="15"/>
        </w:rPr>
        <w:t>Bar and</w:t>
      </w:r>
      <w:r>
        <w:rPr>
          <w:spacing w:val="-11"/>
          <w:sz w:val="15"/>
        </w:rPr>
        <w:t xml:space="preserve"> </w:t>
      </w:r>
      <w:r>
        <w:rPr>
          <w:sz w:val="15"/>
        </w:rPr>
        <w:t>Caxton</w:t>
      </w:r>
    </w:p>
    <w:p w14:paraId="769149A0" w14:textId="77777777" w:rsidR="00AC6F3C" w:rsidRDefault="00AC6F3C">
      <w:pPr>
        <w:spacing w:line="259" w:lineRule="auto"/>
        <w:rPr>
          <w:sz w:val="15"/>
        </w:rPr>
        <w:sectPr w:rsidR="00AC6F3C">
          <w:type w:val="continuous"/>
          <w:pgSz w:w="11910" w:h="16840"/>
          <w:pgMar w:top="1920" w:right="1160" w:bottom="280" w:left="460" w:header="0" w:footer="336" w:gutter="0"/>
          <w:cols w:num="3" w:space="720" w:equalWidth="0">
            <w:col w:w="4569" w:space="40"/>
            <w:col w:w="999" w:space="39"/>
            <w:col w:w="4643"/>
          </w:cols>
        </w:sectPr>
      </w:pPr>
    </w:p>
    <w:p w14:paraId="3EC28852" w14:textId="77777777" w:rsidR="00AC6F3C" w:rsidRDefault="00AC6F3C">
      <w:pPr>
        <w:pStyle w:val="BodyText"/>
        <w:spacing w:before="5"/>
        <w:rPr>
          <w:sz w:val="5"/>
        </w:rPr>
      </w:pPr>
    </w:p>
    <w:p w14:paraId="47F47BBE"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4F86241A" wp14:editId="6823D648">
                <wp:extent cx="5940425" cy="3175"/>
                <wp:effectExtent l="9525" t="0" r="0" b="635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46" name="Graphic 446"/>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47" name="Graphic 447"/>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48" name="Graphic 448"/>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49" name="Graphic 449"/>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0D561E" id="Group 445"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">
                <v:shape id="Graphic 446"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" path="m,l837006,e" filled="f" strokeweight=".25pt">
                  <v:path arrowok="t"/>
                </v:shape>
                <v:shape id="Graphic 447"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" path="m,l1644002,e" filled="f" strokeweight=".25pt">
                  <v:path arrowok="t"/>
                </v:shape>
                <v:shape id="Graphic 448"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" path="m,l834605,e" filled="f" strokeweight=".25pt">
                  <v:path arrowok="t"/>
                </v:shape>
                <v:shape id="Graphic 449"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" path="m,l2624404,e" filled="f" strokeweight=".25pt">
                  <v:path arrowok="t"/>
                </v:shape>
                <w10:anchorlock/>
              </v:group>
            </w:pict>
          </mc:Fallback>
        </mc:AlternateContent>
      </w:r>
    </w:p>
    <w:p w14:paraId="093C0C95" w14:textId="77777777" w:rsidR="00AC6F3C" w:rsidRDefault="00AC6F3C">
      <w:pPr>
        <w:spacing w:line="20" w:lineRule="exact"/>
        <w:rPr>
          <w:sz w:val="2"/>
        </w:rPr>
        <w:sectPr w:rsidR="00AC6F3C">
          <w:type w:val="continuous"/>
          <w:pgSz w:w="11910" w:h="16840"/>
          <w:pgMar w:top="1920" w:right="1160" w:bottom="280" w:left="460" w:header="0" w:footer="336" w:gutter="0"/>
          <w:cols w:space="720"/>
        </w:sectPr>
      </w:pPr>
    </w:p>
    <w:p w14:paraId="5FBB5A76" w14:textId="77777777" w:rsidR="00AC6F3C" w:rsidRDefault="00AC6F3C">
      <w:pPr>
        <w:pStyle w:val="BodyText"/>
        <w:spacing w:before="4"/>
        <w:rPr>
          <w:sz w:val="2"/>
        </w:rPr>
      </w:pPr>
    </w:p>
    <w:tbl>
      <w:tblPr>
        <w:tblW w:w="0" w:type="auto"/>
        <w:tblInd w:w="823" w:type="dxa"/>
        <w:tblLayout w:type="fixed"/>
        <w:tblCellMar>
          <w:left w:w="0" w:type="dxa"/>
          <w:right w:w="0" w:type="dxa"/>
        </w:tblCellMar>
        <w:tblLook w:val="01E0" w:firstRow="1" w:lastRow="1" w:firstColumn="1" w:lastColumn="1" w:noHBand="0" w:noVBand="0"/>
      </w:tblPr>
      <w:tblGrid>
        <w:gridCol w:w="1268"/>
        <w:gridCol w:w="2622"/>
        <w:gridCol w:w="1274"/>
        <w:gridCol w:w="598"/>
        <w:gridCol w:w="3593"/>
      </w:tblGrid>
      <w:tr w:rsidR="00AC6F3C" w14:paraId="61B11F89" w14:textId="77777777">
        <w:trPr>
          <w:trHeight w:val="319"/>
        </w:trPr>
        <w:tc>
          <w:tcPr>
            <w:tcW w:w="1268" w:type="dxa"/>
            <w:tcBorders>
              <w:top w:val="single" w:sz="8" w:space="0" w:color="000000"/>
              <w:bottom w:val="single" w:sz="8" w:space="0" w:color="000000"/>
            </w:tcBorders>
          </w:tcPr>
          <w:p w14:paraId="318A52C2" w14:textId="77777777" w:rsidR="00AC6F3C" w:rsidRDefault="00570E88">
            <w:pPr>
              <w:pStyle w:val="TableParagraph"/>
              <w:spacing w:before="75"/>
              <w:ind w:left="113"/>
              <w:rPr>
                <w:b/>
                <w:sz w:val="15"/>
              </w:rPr>
            </w:pPr>
            <w:r>
              <w:rPr>
                <w:b/>
                <w:spacing w:val="-2"/>
                <w:sz w:val="15"/>
              </w:rPr>
              <w:t>Strategic</w:t>
            </w:r>
            <w:r>
              <w:rPr>
                <w:b/>
                <w:spacing w:val="-7"/>
                <w:sz w:val="15"/>
              </w:rPr>
              <w:t xml:space="preserve"> </w:t>
            </w:r>
            <w:r>
              <w:rPr>
                <w:b/>
                <w:spacing w:val="-4"/>
                <w:sz w:val="15"/>
              </w:rPr>
              <w:t>Goal</w:t>
            </w:r>
          </w:p>
        </w:tc>
        <w:tc>
          <w:tcPr>
            <w:tcW w:w="2622" w:type="dxa"/>
            <w:tcBorders>
              <w:top w:val="single" w:sz="8" w:space="0" w:color="000000"/>
              <w:bottom w:val="single" w:sz="8" w:space="0" w:color="000000"/>
            </w:tcBorders>
          </w:tcPr>
          <w:p w14:paraId="2295B9EA" w14:textId="77777777" w:rsidR="00AC6F3C" w:rsidRDefault="00570E88">
            <w:pPr>
              <w:pStyle w:val="TableParagraph"/>
              <w:spacing w:before="75"/>
              <w:ind w:left="163"/>
              <w:rPr>
                <w:b/>
                <w:sz w:val="15"/>
              </w:rPr>
            </w:pPr>
            <w:r>
              <w:rPr>
                <w:b/>
                <w:spacing w:val="-2"/>
                <w:sz w:val="15"/>
              </w:rPr>
              <w:t>Initiative</w:t>
            </w:r>
          </w:p>
        </w:tc>
        <w:tc>
          <w:tcPr>
            <w:tcW w:w="1274" w:type="dxa"/>
            <w:tcBorders>
              <w:top w:val="single" w:sz="8" w:space="0" w:color="000000"/>
              <w:bottom w:val="single" w:sz="8" w:space="0" w:color="000000"/>
            </w:tcBorders>
          </w:tcPr>
          <w:p w14:paraId="650A0CE3" w14:textId="77777777" w:rsidR="00AC6F3C" w:rsidRDefault="00570E88">
            <w:pPr>
              <w:pStyle w:val="TableParagraph"/>
              <w:spacing w:before="75"/>
              <w:ind w:left="130"/>
              <w:rPr>
                <w:b/>
                <w:sz w:val="15"/>
              </w:rPr>
            </w:pPr>
            <w:r>
              <w:rPr>
                <w:b/>
                <w:spacing w:val="-2"/>
                <w:sz w:val="15"/>
              </w:rPr>
              <w:t>Status</w:t>
            </w:r>
          </w:p>
        </w:tc>
        <w:tc>
          <w:tcPr>
            <w:tcW w:w="598" w:type="dxa"/>
            <w:tcBorders>
              <w:top w:val="single" w:sz="8" w:space="0" w:color="000000"/>
              <w:bottom w:val="single" w:sz="8" w:space="0" w:color="000000"/>
            </w:tcBorders>
          </w:tcPr>
          <w:p w14:paraId="4D9D5A39" w14:textId="77777777" w:rsidR="00AC6F3C" w:rsidRDefault="00570E88">
            <w:pPr>
              <w:pStyle w:val="TableParagraph"/>
              <w:spacing w:before="75"/>
              <w:ind w:left="170"/>
              <w:rPr>
                <w:b/>
                <w:sz w:val="15"/>
              </w:rPr>
            </w:pPr>
            <w:r>
              <w:rPr>
                <w:b/>
                <w:sz w:val="15"/>
              </w:rPr>
              <w:t>1</w:t>
            </w:r>
            <w:r>
              <w:rPr>
                <w:b/>
                <w:spacing w:val="-9"/>
                <w:sz w:val="15"/>
              </w:rPr>
              <w:t xml:space="preserve"> </w:t>
            </w:r>
            <w:r>
              <w:rPr>
                <w:b/>
                <w:spacing w:val="-4"/>
                <w:sz w:val="15"/>
              </w:rPr>
              <w:t>July</w:t>
            </w:r>
          </w:p>
        </w:tc>
        <w:tc>
          <w:tcPr>
            <w:tcW w:w="3593" w:type="dxa"/>
            <w:tcBorders>
              <w:top w:val="single" w:sz="8" w:space="0" w:color="000000"/>
              <w:bottom w:val="single" w:sz="8" w:space="0" w:color="000000"/>
            </w:tcBorders>
          </w:tcPr>
          <w:p w14:paraId="289B1CEB" w14:textId="77777777" w:rsidR="00AC6F3C" w:rsidRDefault="00570E88">
            <w:pPr>
              <w:pStyle w:val="TableParagraph"/>
              <w:spacing w:before="75"/>
              <w:ind w:left="17"/>
              <w:rPr>
                <w:b/>
                <w:sz w:val="15"/>
              </w:rPr>
            </w:pPr>
            <w:r>
              <w:rPr>
                <w:b/>
                <w:spacing w:val="-2"/>
                <w:sz w:val="15"/>
              </w:rPr>
              <w:t>2022</w:t>
            </w:r>
            <w:r>
              <w:rPr>
                <w:b/>
                <w:spacing w:val="-8"/>
                <w:sz w:val="15"/>
              </w:rPr>
              <w:t xml:space="preserve"> </w:t>
            </w:r>
            <w:r>
              <w:rPr>
                <w:b/>
                <w:spacing w:val="-2"/>
                <w:sz w:val="15"/>
              </w:rPr>
              <w:t>to</w:t>
            </w:r>
            <w:r>
              <w:rPr>
                <w:b/>
                <w:spacing w:val="-8"/>
                <w:sz w:val="15"/>
              </w:rPr>
              <w:t xml:space="preserve"> </w:t>
            </w:r>
            <w:r>
              <w:rPr>
                <w:b/>
                <w:spacing w:val="-2"/>
                <w:sz w:val="15"/>
              </w:rPr>
              <w:t>30</w:t>
            </w:r>
            <w:r>
              <w:rPr>
                <w:b/>
                <w:spacing w:val="-8"/>
                <w:sz w:val="15"/>
              </w:rPr>
              <w:t xml:space="preserve"> </w:t>
            </w:r>
            <w:r>
              <w:rPr>
                <w:b/>
                <w:spacing w:val="-2"/>
                <w:sz w:val="15"/>
              </w:rPr>
              <w:t>June</w:t>
            </w:r>
            <w:r>
              <w:rPr>
                <w:b/>
                <w:spacing w:val="-7"/>
                <w:sz w:val="15"/>
              </w:rPr>
              <w:t xml:space="preserve"> </w:t>
            </w:r>
            <w:r>
              <w:rPr>
                <w:b/>
                <w:spacing w:val="-4"/>
                <w:sz w:val="15"/>
              </w:rPr>
              <w:t>2023</w:t>
            </w:r>
          </w:p>
        </w:tc>
      </w:tr>
      <w:tr w:rsidR="00AC6F3C" w14:paraId="28D2A55B" w14:textId="77777777">
        <w:trPr>
          <w:trHeight w:val="262"/>
        </w:trPr>
        <w:tc>
          <w:tcPr>
            <w:tcW w:w="1268" w:type="dxa"/>
            <w:tcBorders>
              <w:top w:val="single" w:sz="8" w:space="0" w:color="000000"/>
            </w:tcBorders>
          </w:tcPr>
          <w:p w14:paraId="6313C580" w14:textId="77777777" w:rsidR="00AC6F3C" w:rsidRDefault="00570E88">
            <w:pPr>
              <w:pStyle w:val="TableParagraph"/>
              <w:spacing w:before="83" w:line="160" w:lineRule="exact"/>
              <w:ind w:left="113"/>
              <w:rPr>
                <w:b/>
                <w:sz w:val="15"/>
              </w:rPr>
            </w:pPr>
            <w:r>
              <w:rPr>
                <w:b/>
                <w:spacing w:val="-4"/>
                <w:sz w:val="15"/>
              </w:rPr>
              <w:t>Educate</w:t>
            </w:r>
            <w:r>
              <w:rPr>
                <w:b/>
                <w:spacing w:val="4"/>
                <w:sz w:val="15"/>
              </w:rPr>
              <w:t xml:space="preserve"> </w:t>
            </w:r>
            <w:r>
              <w:rPr>
                <w:b/>
                <w:spacing w:val="-4"/>
                <w:sz w:val="15"/>
              </w:rPr>
              <w:t>Goal</w:t>
            </w:r>
          </w:p>
        </w:tc>
        <w:tc>
          <w:tcPr>
            <w:tcW w:w="2622" w:type="dxa"/>
            <w:tcBorders>
              <w:top w:val="single" w:sz="8" w:space="0" w:color="000000"/>
            </w:tcBorders>
          </w:tcPr>
          <w:p w14:paraId="088CAD93" w14:textId="77777777" w:rsidR="00AC6F3C" w:rsidRDefault="00570E88">
            <w:pPr>
              <w:pStyle w:val="TableParagraph"/>
              <w:spacing w:before="83" w:line="160" w:lineRule="exact"/>
              <w:ind w:left="163"/>
              <w:rPr>
                <w:sz w:val="15"/>
              </w:rPr>
            </w:pPr>
            <w:r>
              <w:rPr>
                <w:sz w:val="15"/>
              </w:rPr>
              <w:t>5.</w:t>
            </w:r>
            <w:r>
              <w:rPr>
                <w:spacing w:val="65"/>
                <w:sz w:val="15"/>
              </w:rPr>
              <w:t xml:space="preserve"> </w:t>
            </w:r>
            <w:r>
              <w:rPr>
                <w:sz w:val="15"/>
              </w:rPr>
              <w:t>Supporting</w:t>
            </w:r>
            <w:r>
              <w:rPr>
                <w:spacing w:val="-10"/>
                <w:sz w:val="15"/>
              </w:rPr>
              <w:t xml:space="preserve"> </w:t>
            </w:r>
            <w:r>
              <w:rPr>
                <w:sz w:val="15"/>
              </w:rPr>
              <w:t>and</w:t>
            </w:r>
            <w:r>
              <w:rPr>
                <w:spacing w:val="-11"/>
                <w:sz w:val="15"/>
              </w:rPr>
              <w:t xml:space="preserve"> </w:t>
            </w:r>
            <w:r>
              <w:rPr>
                <w:sz w:val="15"/>
              </w:rPr>
              <w:t>advancing</w:t>
            </w:r>
            <w:r>
              <w:rPr>
                <w:spacing w:val="-10"/>
                <w:sz w:val="15"/>
              </w:rPr>
              <w:t xml:space="preserve"> </w:t>
            </w:r>
            <w:r>
              <w:rPr>
                <w:spacing w:val="-5"/>
                <w:sz w:val="15"/>
              </w:rPr>
              <w:t>the</w:t>
            </w:r>
          </w:p>
        </w:tc>
        <w:tc>
          <w:tcPr>
            <w:tcW w:w="1274" w:type="dxa"/>
            <w:tcBorders>
              <w:top w:val="single" w:sz="8" w:space="0" w:color="000000"/>
            </w:tcBorders>
          </w:tcPr>
          <w:p w14:paraId="17EB8D5D" w14:textId="77777777" w:rsidR="00AC6F3C" w:rsidRDefault="00570E88">
            <w:pPr>
              <w:pStyle w:val="TableParagraph"/>
              <w:spacing w:before="83" w:line="160" w:lineRule="exact"/>
              <w:ind w:left="130"/>
              <w:rPr>
                <w:b/>
                <w:sz w:val="15"/>
              </w:rPr>
            </w:pPr>
            <w:r>
              <w:rPr>
                <w:b/>
                <w:spacing w:val="-2"/>
                <w:sz w:val="15"/>
              </w:rPr>
              <w:t>On</w:t>
            </w:r>
            <w:r>
              <w:rPr>
                <w:b/>
                <w:spacing w:val="-7"/>
                <w:sz w:val="15"/>
              </w:rPr>
              <w:t xml:space="preserve"> </w:t>
            </w:r>
            <w:r>
              <w:rPr>
                <w:b/>
                <w:spacing w:val="-2"/>
                <w:sz w:val="15"/>
              </w:rPr>
              <w:t>the</w:t>
            </w:r>
            <w:r>
              <w:rPr>
                <w:b/>
                <w:spacing w:val="-6"/>
                <w:sz w:val="15"/>
              </w:rPr>
              <w:t xml:space="preserve"> </w:t>
            </w:r>
            <w:r>
              <w:rPr>
                <w:b/>
                <w:spacing w:val="-5"/>
                <w:sz w:val="15"/>
              </w:rPr>
              <w:t>way</w:t>
            </w:r>
          </w:p>
        </w:tc>
        <w:tc>
          <w:tcPr>
            <w:tcW w:w="598" w:type="dxa"/>
            <w:tcBorders>
              <w:top w:val="single" w:sz="8" w:space="0" w:color="000000"/>
            </w:tcBorders>
          </w:tcPr>
          <w:p w14:paraId="429ADBA9" w14:textId="77777777" w:rsidR="00AC6F3C" w:rsidRDefault="00570E88">
            <w:pPr>
              <w:pStyle w:val="TableParagraph"/>
              <w:spacing w:before="83" w:line="160" w:lineRule="exact"/>
              <w:ind w:left="170"/>
              <w:rPr>
                <w:sz w:val="15"/>
              </w:rPr>
            </w:pPr>
            <w:r>
              <w:rPr>
                <w:spacing w:val="-2"/>
                <w:sz w:val="15"/>
              </w:rPr>
              <w:t>5.1.1</w:t>
            </w:r>
          </w:p>
        </w:tc>
        <w:tc>
          <w:tcPr>
            <w:tcW w:w="3593" w:type="dxa"/>
            <w:tcBorders>
              <w:top w:val="single" w:sz="8" w:space="0" w:color="000000"/>
            </w:tcBorders>
          </w:tcPr>
          <w:p w14:paraId="49E9C90C" w14:textId="77777777" w:rsidR="00AC6F3C" w:rsidRDefault="00570E88">
            <w:pPr>
              <w:pStyle w:val="TableParagraph"/>
              <w:spacing w:before="83" w:line="160" w:lineRule="exact"/>
              <w:ind w:left="64"/>
              <w:rPr>
                <w:sz w:val="15"/>
              </w:rPr>
            </w:pPr>
            <w:r>
              <w:rPr>
                <w:spacing w:val="-4"/>
                <w:sz w:val="15"/>
              </w:rPr>
              <w:t>IN PROGRESS</w:t>
            </w:r>
            <w:r>
              <w:rPr>
                <w:spacing w:val="-1"/>
                <w:sz w:val="15"/>
              </w:rPr>
              <w:t xml:space="preserve"> </w:t>
            </w:r>
            <w:r>
              <w:rPr>
                <w:spacing w:val="-4"/>
                <w:sz w:val="15"/>
              </w:rPr>
              <w:t>&amp;</w:t>
            </w:r>
            <w:r>
              <w:rPr>
                <w:spacing w:val="-2"/>
                <w:sz w:val="15"/>
              </w:rPr>
              <w:t xml:space="preserve"> </w:t>
            </w:r>
            <w:r>
              <w:rPr>
                <w:spacing w:val="-4"/>
                <w:sz w:val="15"/>
              </w:rPr>
              <w:t>CONTINUING</w:t>
            </w:r>
            <w:r>
              <w:rPr>
                <w:spacing w:val="-1"/>
                <w:sz w:val="15"/>
              </w:rPr>
              <w:t xml:space="preserve"> </w:t>
            </w:r>
            <w:r>
              <w:rPr>
                <w:spacing w:val="-4"/>
                <w:sz w:val="15"/>
              </w:rPr>
              <w:t>–</w:t>
            </w:r>
            <w:r>
              <w:rPr>
                <w:spacing w:val="-2"/>
                <w:sz w:val="15"/>
              </w:rPr>
              <w:t xml:space="preserve"> </w:t>
            </w:r>
            <w:r>
              <w:rPr>
                <w:spacing w:val="-4"/>
                <w:sz w:val="15"/>
              </w:rPr>
              <w:t>Cultural</w:t>
            </w:r>
            <w:r>
              <w:rPr>
                <w:spacing w:val="-1"/>
                <w:sz w:val="15"/>
              </w:rPr>
              <w:t xml:space="preserve"> </w:t>
            </w:r>
            <w:r>
              <w:rPr>
                <w:spacing w:val="-4"/>
                <w:sz w:val="15"/>
              </w:rPr>
              <w:t>Pack</w:t>
            </w:r>
          </w:p>
        </w:tc>
      </w:tr>
      <w:tr w:rsidR="00AC6F3C" w14:paraId="68ABA42D" w14:textId="77777777">
        <w:trPr>
          <w:trHeight w:val="185"/>
        </w:trPr>
        <w:tc>
          <w:tcPr>
            <w:tcW w:w="1268" w:type="dxa"/>
          </w:tcPr>
          <w:p w14:paraId="341E5F4A" w14:textId="77777777" w:rsidR="00AC6F3C" w:rsidRDefault="00AC6F3C">
            <w:pPr>
              <w:pStyle w:val="TableParagraph"/>
              <w:rPr>
                <w:rFonts w:ascii="Times New Roman"/>
                <w:sz w:val="12"/>
              </w:rPr>
            </w:pPr>
          </w:p>
        </w:tc>
        <w:tc>
          <w:tcPr>
            <w:tcW w:w="2622" w:type="dxa"/>
          </w:tcPr>
          <w:p w14:paraId="0C3A5B73" w14:textId="77777777" w:rsidR="00AC6F3C" w:rsidRDefault="00570E88">
            <w:pPr>
              <w:pStyle w:val="TableParagraph"/>
              <w:spacing w:before="6" w:line="160" w:lineRule="exact"/>
              <w:ind w:left="447"/>
              <w:rPr>
                <w:sz w:val="15"/>
              </w:rPr>
            </w:pPr>
            <w:r>
              <w:rPr>
                <w:spacing w:val="-4"/>
                <w:sz w:val="15"/>
              </w:rPr>
              <w:t>District</w:t>
            </w:r>
            <w:r>
              <w:rPr>
                <w:spacing w:val="5"/>
                <w:sz w:val="15"/>
              </w:rPr>
              <w:t xml:space="preserve"> </w:t>
            </w:r>
            <w:r>
              <w:rPr>
                <w:spacing w:val="-4"/>
                <w:sz w:val="15"/>
              </w:rPr>
              <w:t>Law</w:t>
            </w:r>
            <w:r>
              <w:rPr>
                <w:spacing w:val="6"/>
                <w:sz w:val="15"/>
              </w:rPr>
              <w:t xml:space="preserve"> </w:t>
            </w:r>
            <w:r>
              <w:rPr>
                <w:spacing w:val="-4"/>
                <w:sz w:val="15"/>
              </w:rPr>
              <w:t>Associations</w:t>
            </w:r>
            <w:r>
              <w:rPr>
                <w:spacing w:val="5"/>
                <w:sz w:val="15"/>
              </w:rPr>
              <w:t xml:space="preserve"> </w:t>
            </w:r>
            <w:r>
              <w:rPr>
                <w:spacing w:val="-5"/>
                <w:sz w:val="15"/>
              </w:rPr>
              <w:t>in</w:t>
            </w:r>
          </w:p>
        </w:tc>
        <w:tc>
          <w:tcPr>
            <w:tcW w:w="1274" w:type="dxa"/>
          </w:tcPr>
          <w:p w14:paraId="35D2FBC8" w14:textId="77777777" w:rsidR="00AC6F3C" w:rsidRDefault="00570E88">
            <w:pPr>
              <w:pStyle w:val="TableParagraph"/>
              <w:spacing w:before="6" w:line="160" w:lineRule="exact"/>
              <w:ind w:left="130"/>
              <w:rPr>
                <w:b/>
                <w:sz w:val="15"/>
              </w:rPr>
            </w:pPr>
            <w:r>
              <w:rPr>
                <w:b/>
                <w:spacing w:val="-2"/>
                <w:sz w:val="15"/>
              </w:rPr>
              <w:t>to</w:t>
            </w:r>
            <w:r>
              <w:rPr>
                <w:b/>
                <w:spacing w:val="-7"/>
                <w:sz w:val="15"/>
              </w:rPr>
              <w:t xml:space="preserve"> </w:t>
            </w:r>
            <w:r>
              <w:rPr>
                <w:b/>
                <w:spacing w:val="-2"/>
                <w:sz w:val="15"/>
              </w:rPr>
              <w:t>deadly</w:t>
            </w:r>
          </w:p>
        </w:tc>
        <w:tc>
          <w:tcPr>
            <w:tcW w:w="598" w:type="dxa"/>
          </w:tcPr>
          <w:p w14:paraId="7A11F98D" w14:textId="77777777" w:rsidR="00AC6F3C" w:rsidRDefault="00AC6F3C">
            <w:pPr>
              <w:pStyle w:val="TableParagraph"/>
              <w:rPr>
                <w:rFonts w:ascii="Times New Roman"/>
                <w:sz w:val="12"/>
              </w:rPr>
            </w:pPr>
          </w:p>
        </w:tc>
        <w:tc>
          <w:tcPr>
            <w:tcW w:w="3593" w:type="dxa"/>
          </w:tcPr>
          <w:p w14:paraId="1E9F8485" w14:textId="77777777" w:rsidR="00AC6F3C" w:rsidRDefault="00570E88">
            <w:pPr>
              <w:pStyle w:val="TableParagraph"/>
              <w:spacing w:before="6" w:line="160" w:lineRule="exact"/>
              <w:ind w:left="64"/>
              <w:rPr>
                <w:sz w:val="15"/>
              </w:rPr>
            </w:pPr>
            <w:r>
              <w:rPr>
                <w:spacing w:val="-4"/>
                <w:sz w:val="15"/>
              </w:rPr>
              <w:t>provided</w:t>
            </w:r>
            <w:r>
              <w:rPr>
                <w:spacing w:val="-1"/>
                <w:sz w:val="15"/>
              </w:rPr>
              <w:t xml:space="preserve"> </w:t>
            </w:r>
            <w:r>
              <w:rPr>
                <w:spacing w:val="-4"/>
                <w:sz w:val="15"/>
              </w:rPr>
              <w:t>to</w:t>
            </w:r>
            <w:r>
              <w:rPr>
                <w:sz w:val="15"/>
              </w:rPr>
              <w:t xml:space="preserve"> </w:t>
            </w:r>
            <w:r>
              <w:rPr>
                <w:spacing w:val="-4"/>
                <w:sz w:val="15"/>
              </w:rPr>
              <w:t>QLD</w:t>
            </w:r>
            <w:r>
              <w:rPr>
                <w:spacing w:val="-1"/>
                <w:sz w:val="15"/>
              </w:rPr>
              <w:t xml:space="preserve"> </w:t>
            </w:r>
            <w:r>
              <w:rPr>
                <w:spacing w:val="-4"/>
                <w:sz w:val="15"/>
              </w:rPr>
              <w:t>Presidents</w:t>
            </w:r>
            <w:r>
              <w:rPr>
                <w:sz w:val="15"/>
              </w:rPr>
              <w:t xml:space="preserve"> </w:t>
            </w:r>
            <w:r>
              <w:rPr>
                <w:spacing w:val="-4"/>
                <w:sz w:val="15"/>
              </w:rPr>
              <w:t>in</w:t>
            </w:r>
            <w:r>
              <w:rPr>
                <w:sz w:val="15"/>
              </w:rPr>
              <w:t xml:space="preserve"> </w:t>
            </w:r>
            <w:r>
              <w:rPr>
                <w:spacing w:val="-4"/>
                <w:sz w:val="15"/>
              </w:rPr>
              <w:t>March</w:t>
            </w:r>
            <w:r>
              <w:rPr>
                <w:spacing w:val="-1"/>
                <w:sz w:val="15"/>
              </w:rPr>
              <w:t xml:space="preserve"> </w:t>
            </w:r>
            <w:r>
              <w:rPr>
                <w:spacing w:val="-4"/>
                <w:sz w:val="15"/>
              </w:rPr>
              <w:t>2023.</w:t>
            </w:r>
            <w:r>
              <w:rPr>
                <w:sz w:val="15"/>
              </w:rPr>
              <w:t xml:space="preserve"> </w:t>
            </w:r>
            <w:r>
              <w:rPr>
                <w:spacing w:val="-4"/>
                <w:sz w:val="15"/>
              </w:rPr>
              <w:t>Eleven</w:t>
            </w:r>
          </w:p>
        </w:tc>
      </w:tr>
      <w:tr w:rsidR="00AC6F3C" w14:paraId="3450B6BA" w14:textId="77777777">
        <w:trPr>
          <w:trHeight w:val="186"/>
        </w:trPr>
        <w:tc>
          <w:tcPr>
            <w:tcW w:w="1268" w:type="dxa"/>
          </w:tcPr>
          <w:p w14:paraId="1BC64597" w14:textId="77777777" w:rsidR="00AC6F3C" w:rsidRDefault="00AC6F3C">
            <w:pPr>
              <w:pStyle w:val="TableParagraph"/>
              <w:rPr>
                <w:rFonts w:ascii="Times New Roman"/>
                <w:sz w:val="12"/>
              </w:rPr>
            </w:pPr>
          </w:p>
        </w:tc>
        <w:tc>
          <w:tcPr>
            <w:tcW w:w="2622" w:type="dxa"/>
          </w:tcPr>
          <w:p w14:paraId="20687345" w14:textId="77777777" w:rsidR="00AC6F3C" w:rsidRDefault="00570E88">
            <w:pPr>
              <w:pStyle w:val="TableParagraph"/>
              <w:spacing w:before="6" w:line="160" w:lineRule="exact"/>
              <w:ind w:left="447"/>
              <w:rPr>
                <w:sz w:val="15"/>
              </w:rPr>
            </w:pPr>
            <w:r>
              <w:rPr>
                <w:spacing w:val="-4"/>
                <w:sz w:val="15"/>
              </w:rPr>
              <w:t>Cultural</w:t>
            </w:r>
            <w:r>
              <w:rPr>
                <w:spacing w:val="1"/>
                <w:sz w:val="15"/>
              </w:rPr>
              <w:t xml:space="preserve"> </w:t>
            </w:r>
            <w:r>
              <w:rPr>
                <w:spacing w:val="-2"/>
                <w:sz w:val="15"/>
              </w:rPr>
              <w:t>Competency</w:t>
            </w:r>
          </w:p>
        </w:tc>
        <w:tc>
          <w:tcPr>
            <w:tcW w:w="1274" w:type="dxa"/>
          </w:tcPr>
          <w:p w14:paraId="621AE77F" w14:textId="77777777" w:rsidR="00AC6F3C" w:rsidRDefault="00AC6F3C">
            <w:pPr>
              <w:pStyle w:val="TableParagraph"/>
              <w:rPr>
                <w:rFonts w:ascii="Times New Roman"/>
                <w:sz w:val="12"/>
              </w:rPr>
            </w:pPr>
          </w:p>
        </w:tc>
        <w:tc>
          <w:tcPr>
            <w:tcW w:w="598" w:type="dxa"/>
          </w:tcPr>
          <w:p w14:paraId="3D2FCD47" w14:textId="77777777" w:rsidR="00AC6F3C" w:rsidRDefault="00AC6F3C">
            <w:pPr>
              <w:pStyle w:val="TableParagraph"/>
              <w:rPr>
                <w:rFonts w:ascii="Times New Roman"/>
                <w:sz w:val="12"/>
              </w:rPr>
            </w:pPr>
          </w:p>
        </w:tc>
        <w:tc>
          <w:tcPr>
            <w:tcW w:w="3593" w:type="dxa"/>
          </w:tcPr>
          <w:p w14:paraId="6DE2E3F9" w14:textId="77777777" w:rsidR="00AC6F3C" w:rsidRDefault="00570E88">
            <w:pPr>
              <w:pStyle w:val="TableParagraph"/>
              <w:spacing w:before="6" w:line="160" w:lineRule="exact"/>
              <w:ind w:left="64"/>
              <w:rPr>
                <w:sz w:val="15"/>
              </w:rPr>
            </w:pPr>
            <w:r>
              <w:rPr>
                <w:spacing w:val="-4"/>
                <w:sz w:val="15"/>
              </w:rPr>
              <w:t>DLAs</w:t>
            </w:r>
            <w:r>
              <w:rPr>
                <w:spacing w:val="1"/>
                <w:sz w:val="15"/>
              </w:rPr>
              <w:t xml:space="preserve"> </w:t>
            </w:r>
            <w:r>
              <w:rPr>
                <w:spacing w:val="-4"/>
                <w:sz w:val="15"/>
              </w:rPr>
              <w:t>have</w:t>
            </w:r>
            <w:r>
              <w:rPr>
                <w:spacing w:val="1"/>
                <w:sz w:val="15"/>
              </w:rPr>
              <w:t xml:space="preserve"> </w:t>
            </w:r>
            <w:r>
              <w:rPr>
                <w:spacing w:val="-4"/>
                <w:sz w:val="15"/>
              </w:rPr>
              <w:t>participated</w:t>
            </w:r>
            <w:r>
              <w:rPr>
                <w:spacing w:val="1"/>
                <w:sz w:val="15"/>
              </w:rPr>
              <w:t xml:space="preserve"> </w:t>
            </w:r>
            <w:r>
              <w:rPr>
                <w:spacing w:val="-4"/>
                <w:sz w:val="15"/>
              </w:rPr>
              <w:t>in</w:t>
            </w:r>
            <w:r>
              <w:rPr>
                <w:spacing w:val="1"/>
                <w:sz w:val="15"/>
              </w:rPr>
              <w:t xml:space="preserve"> </w:t>
            </w:r>
            <w:r>
              <w:rPr>
                <w:spacing w:val="-4"/>
                <w:sz w:val="15"/>
              </w:rPr>
              <w:t>the</w:t>
            </w:r>
            <w:r>
              <w:rPr>
                <w:spacing w:val="1"/>
                <w:sz w:val="15"/>
              </w:rPr>
              <w:t xml:space="preserve"> </w:t>
            </w:r>
            <w:r>
              <w:rPr>
                <w:spacing w:val="-4"/>
                <w:sz w:val="15"/>
              </w:rPr>
              <w:t>online</w:t>
            </w:r>
            <w:r>
              <w:rPr>
                <w:spacing w:val="1"/>
                <w:sz w:val="15"/>
              </w:rPr>
              <w:t xml:space="preserve"> </w:t>
            </w:r>
            <w:r>
              <w:rPr>
                <w:spacing w:val="-4"/>
                <w:sz w:val="15"/>
              </w:rPr>
              <w:t>onboarding</w:t>
            </w:r>
            <w:r>
              <w:rPr>
                <w:spacing w:val="1"/>
                <w:sz w:val="15"/>
              </w:rPr>
              <w:t xml:space="preserve"> </w:t>
            </w:r>
            <w:r>
              <w:rPr>
                <w:spacing w:val="-4"/>
                <w:sz w:val="15"/>
              </w:rPr>
              <w:t>with</w:t>
            </w:r>
          </w:p>
        </w:tc>
      </w:tr>
      <w:tr w:rsidR="00AC6F3C" w14:paraId="5F1AC182" w14:textId="77777777">
        <w:trPr>
          <w:trHeight w:val="207"/>
        </w:trPr>
        <w:tc>
          <w:tcPr>
            <w:tcW w:w="1268" w:type="dxa"/>
          </w:tcPr>
          <w:p w14:paraId="177ECD5F" w14:textId="77777777" w:rsidR="00AC6F3C" w:rsidRDefault="00AC6F3C">
            <w:pPr>
              <w:pStyle w:val="TableParagraph"/>
              <w:rPr>
                <w:rFonts w:ascii="Times New Roman"/>
                <w:sz w:val="14"/>
              </w:rPr>
            </w:pPr>
          </w:p>
        </w:tc>
        <w:tc>
          <w:tcPr>
            <w:tcW w:w="2622" w:type="dxa"/>
          </w:tcPr>
          <w:p w14:paraId="76997A25" w14:textId="77777777" w:rsidR="00AC6F3C" w:rsidRDefault="00AC6F3C">
            <w:pPr>
              <w:pStyle w:val="TableParagraph"/>
              <w:rPr>
                <w:rFonts w:ascii="Times New Roman"/>
                <w:sz w:val="14"/>
              </w:rPr>
            </w:pPr>
          </w:p>
        </w:tc>
        <w:tc>
          <w:tcPr>
            <w:tcW w:w="1274" w:type="dxa"/>
          </w:tcPr>
          <w:p w14:paraId="78EFC5F7" w14:textId="77777777" w:rsidR="00AC6F3C" w:rsidRDefault="00AC6F3C">
            <w:pPr>
              <w:pStyle w:val="TableParagraph"/>
              <w:rPr>
                <w:rFonts w:ascii="Times New Roman"/>
                <w:sz w:val="14"/>
              </w:rPr>
            </w:pPr>
          </w:p>
        </w:tc>
        <w:tc>
          <w:tcPr>
            <w:tcW w:w="598" w:type="dxa"/>
          </w:tcPr>
          <w:p w14:paraId="218A7D8F" w14:textId="77777777" w:rsidR="00AC6F3C" w:rsidRDefault="00AC6F3C">
            <w:pPr>
              <w:pStyle w:val="TableParagraph"/>
              <w:rPr>
                <w:rFonts w:ascii="Times New Roman"/>
                <w:sz w:val="14"/>
              </w:rPr>
            </w:pPr>
          </w:p>
        </w:tc>
        <w:tc>
          <w:tcPr>
            <w:tcW w:w="3593" w:type="dxa"/>
          </w:tcPr>
          <w:p w14:paraId="58FF8EEB" w14:textId="77777777" w:rsidR="00AC6F3C" w:rsidRDefault="00570E88">
            <w:pPr>
              <w:pStyle w:val="TableParagraph"/>
              <w:spacing w:before="6"/>
              <w:ind w:left="64"/>
              <w:rPr>
                <w:sz w:val="15"/>
              </w:rPr>
            </w:pPr>
            <w:r>
              <w:rPr>
                <w:spacing w:val="-4"/>
                <w:sz w:val="15"/>
              </w:rPr>
              <w:t>five</w:t>
            </w:r>
            <w:r>
              <w:rPr>
                <w:spacing w:val="-2"/>
                <w:sz w:val="15"/>
              </w:rPr>
              <w:t xml:space="preserve"> </w:t>
            </w:r>
            <w:r>
              <w:rPr>
                <w:spacing w:val="-4"/>
                <w:sz w:val="15"/>
              </w:rPr>
              <w:t>who</w:t>
            </w:r>
            <w:r>
              <w:rPr>
                <w:spacing w:val="-2"/>
                <w:sz w:val="15"/>
              </w:rPr>
              <w:t xml:space="preserve"> </w:t>
            </w:r>
            <w:r>
              <w:rPr>
                <w:spacing w:val="-4"/>
                <w:sz w:val="15"/>
              </w:rPr>
              <w:t>have</w:t>
            </w:r>
            <w:r>
              <w:rPr>
                <w:spacing w:val="-2"/>
                <w:sz w:val="15"/>
              </w:rPr>
              <w:t xml:space="preserve"> </w:t>
            </w:r>
            <w:r>
              <w:rPr>
                <w:spacing w:val="-4"/>
                <w:sz w:val="15"/>
              </w:rPr>
              <w:t>completed</w:t>
            </w:r>
            <w:r>
              <w:rPr>
                <w:spacing w:val="-1"/>
                <w:sz w:val="15"/>
              </w:rPr>
              <w:t xml:space="preserve"> </w:t>
            </w:r>
            <w:r>
              <w:rPr>
                <w:spacing w:val="-4"/>
                <w:sz w:val="15"/>
              </w:rPr>
              <w:t>the</w:t>
            </w:r>
            <w:r>
              <w:rPr>
                <w:spacing w:val="-2"/>
                <w:sz w:val="15"/>
              </w:rPr>
              <w:t xml:space="preserve"> </w:t>
            </w:r>
            <w:r>
              <w:rPr>
                <w:spacing w:val="-4"/>
                <w:sz w:val="15"/>
              </w:rPr>
              <w:t>session</w:t>
            </w:r>
          </w:p>
        </w:tc>
      </w:tr>
      <w:tr w:rsidR="00AC6F3C" w14:paraId="45CAB2BC" w14:textId="77777777">
        <w:trPr>
          <w:trHeight w:val="207"/>
        </w:trPr>
        <w:tc>
          <w:tcPr>
            <w:tcW w:w="1268" w:type="dxa"/>
          </w:tcPr>
          <w:p w14:paraId="207E86E6" w14:textId="77777777" w:rsidR="00AC6F3C" w:rsidRDefault="00AC6F3C">
            <w:pPr>
              <w:pStyle w:val="TableParagraph"/>
              <w:rPr>
                <w:rFonts w:ascii="Times New Roman"/>
                <w:sz w:val="14"/>
              </w:rPr>
            </w:pPr>
          </w:p>
        </w:tc>
        <w:tc>
          <w:tcPr>
            <w:tcW w:w="2622" w:type="dxa"/>
          </w:tcPr>
          <w:p w14:paraId="3109E3E5" w14:textId="77777777" w:rsidR="00AC6F3C" w:rsidRDefault="00AC6F3C">
            <w:pPr>
              <w:pStyle w:val="TableParagraph"/>
              <w:rPr>
                <w:rFonts w:ascii="Times New Roman"/>
                <w:sz w:val="14"/>
              </w:rPr>
            </w:pPr>
          </w:p>
        </w:tc>
        <w:tc>
          <w:tcPr>
            <w:tcW w:w="1274" w:type="dxa"/>
          </w:tcPr>
          <w:p w14:paraId="6378A6D3" w14:textId="77777777" w:rsidR="00AC6F3C" w:rsidRDefault="00AC6F3C">
            <w:pPr>
              <w:pStyle w:val="TableParagraph"/>
              <w:rPr>
                <w:rFonts w:ascii="Times New Roman"/>
                <w:sz w:val="14"/>
              </w:rPr>
            </w:pPr>
          </w:p>
        </w:tc>
        <w:tc>
          <w:tcPr>
            <w:tcW w:w="598" w:type="dxa"/>
          </w:tcPr>
          <w:p w14:paraId="26A4D64E" w14:textId="77777777" w:rsidR="00AC6F3C" w:rsidRDefault="00570E88">
            <w:pPr>
              <w:pStyle w:val="TableParagraph"/>
              <w:spacing w:before="27" w:line="160" w:lineRule="exact"/>
              <w:ind w:left="170"/>
              <w:rPr>
                <w:sz w:val="15"/>
              </w:rPr>
            </w:pPr>
            <w:r>
              <w:rPr>
                <w:spacing w:val="-2"/>
                <w:sz w:val="15"/>
              </w:rPr>
              <w:t>5.2.1</w:t>
            </w:r>
          </w:p>
        </w:tc>
        <w:tc>
          <w:tcPr>
            <w:tcW w:w="3593" w:type="dxa"/>
          </w:tcPr>
          <w:p w14:paraId="1CBE2629" w14:textId="77777777" w:rsidR="00AC6F3C" w:rsidRDefault="00570E88">
            <w:pPr>
              <w:pStyle w:val="TableParagraph"/>
              <w:spacing w:before="27" w:line="160" w:lineRule="exact"/>
              <w:ind w:left="64"/>
              <w:rPr>
                <w:sz w:val="15"/>
              </w:rPr>
            </w:pPr>
            <w:r>
              <w:rPr>
                <w:spacing w:val="-4"/>
                <w:sz w:val="15"/>
              </w:rPr>
              <w:t>IN</w:t>
            </w:r>
            <w:r>
              <w:rPr>
                <w:spacing w:val="-3"/>
                <w:sz w:val="15"/>
              </w:rPr>
              <w:t xml:space="preserve"> </w:t>
            </w:r>
            <w:r>
              <w:rPr>
                <w:spacing w:val="-4"/>
                <w:sz w:val="15"/>
              </w:rPr>
              <w:t>PROGRESS</w:t>
            </w:r>
            <w:r>
              <w:rPr>
                <w:spacing w:val="-2"/>
                <w:sz w:val="15"/>
              </w:rPr>
              <w:t xml:space="preserve"> </w:t>
            </w:r>
            <w:r>
              <w:rPr>
                <w:spacing w:val="-4"/>
                <w:sz w:val="15"/>
              </w:rPr>
              <w:t>&amp;</w:t>
            </w:r>
            <w:r>
              <w:rPr>
                <w:spacing w:val="-2"/>
                <w:sz w:val="15"/>
              </w:rPr>
              <w:t xml:space="preserve"> </w:t>
            </w:r>
            <w:r>
              <w:rPr>
                <w:spacing w:val="-4"/>
                <w:sz w:val="15"/>
              </w:rPr>
              <w:t>CONTINUING</w:t>
            </w:r>
            <w:r>
              <w:rPr>
                <w:spacing w:val="-2"/>
                <w:sz w:val="15"/>
              </w:rPr>
              <w:t xml:space="preserve"> </w:t>
            </w:r>
            <w:r>
              <w:rPr>
                <w:spacing w:val="-4"/>
                <w:sz w:val="15"/>
              </w:rPr>
              <w:t>–</w:t>
            </w:r>
            <w:r>
              <w:rPr>
                <w:spacing w:val="-2"/>
                <w:sz w:val="15"/>
              </w:rPr>
              <w:t xml:space="preserve"> </w:t>
            </w:r>
            <w:r>
              <w:rPr>
                <w:spacing w:val="-4"/>
                <w:sz w:val="15"/>
              </w:rPr>
              <w:t>Throughout</w:t>
            </w:r>
          </w:p>
        </w:tc>
      </w:tr>
      <w:tr w:rsidR="00AC6F3C" w14:paraId="1B855103" w14:textId="77777777">
        <w:trPr>
          <w:trHeight w:val="185"/>
        </w:trPr>
        <w:tc>
          <w:tcPr>
            <w:tcW w:w="1268" w:type="dxa"/>
          </w:tcPr>
          <w:p w14:paraId="0C37A6D9" w14:textId="77777777" w:rsidR="00AC6F3C" w:rsidRDefault="00AC6F3C">
            <w:pPr>
              <w:pStyle w:val="TableParagraph"/>
              <w:rPr>
                <w:rFonts w:ascii="Times New Roman"/>
                <w:sz w:val="12"/>
              </w:rPr>
            </w:pPr>
          </w:p>
        </w:tc>
        <w:tc>
          <w:tcPr>
            <w:tcW w:w="2622" w:type="dxa"/>
          </w:tcPr>
          <w:p w14:paraId="4E08906C" w14:textId="77777777" w:rsidR="00AC6F3C" w:rsidRDefault="00AC6F3C">
            <w:pPr>
              <w:pStyle w:val="TableParagraph"/>
              <w:rPr>
                <w:rFonts w:ascii="Times New Roman"/>
                <w:sz w:val="12"/>
              </w:rPr>
            </w:pPr>
          </w:p>
        </w:tc>
        <w:tc>
          <w:tcPr>
            <w:tcW w:w="1274" w:type="dxa"/>
          </w:tcPr>
          <w:p w14:paraId="399964EA" w14:textId="77777777" w:rsidR="00AC6F3C" w:rsidRDefault="00AC6F3C">
            <w:pPr>
              <w:pStyle w:val="TableParagraph"/>
              <w:rPr>
                <w:rFonts w:ascii="Times New Roman"/>
                <w:sz w:val="12"/>
              </w:rPr>
            </w:pPr>
          </w:p>
        </w:tc>
        <w:tc>
          <w:tcPr>
            <w:tcW w:w="598" w:type="dxa"/>
          </w:tcPr>
          <w:p w14:paraId="4CC12B24" w14:textId="77777777" w:rsidR="00AC6F3C" w:rsidRDefault="00AC6F3C">
            <w:pPr>
              <w:pStyle w:val="TableParagraph"/>
              <w:rPr>
                <w:rFonts w:ascii="Times New Roman"/>
                <w:sz w:val="12"/>
              </w:rPr>
            </w:pPr>
          </w:p>
        </w:tc>
        <w:tc>
          <w:tcPr>
            <w:tcW w:w="3593" w:type="dxa"/>
          </w:tcPr>
          <w:p w14:paraId="29A0DE85" w14:textId="77777777" w:rsidR="00AC6F3C" w:rsidRDefault="00570E88">
            <w:pPr>
              <w:pStyle w:val="TableParagraph"/>
              <w:spacing w:before="6" w:line="160" w:lineRule="exact"/>
              <w:ind w:left="64"/>
              <w:rPr>
                <w:sz w:val="15"/>
              </w:rPr>
            </w:pPr>
            <w:r>
              <w:rPr>
                <w:spacing w:val="-4"/>
                <w:sz w:val="15"/>
              </w:rPr>
              <w:t>the</w:t>
            </w:r>
            <w:r>
              <w:rPr>
                <w:sz w:val="15"/>
              </w:rPr>
              <w:t xml:space="preserve"> </w:t>
            </w:r>
            <w:r>
              <w:rPr>
                <w:spacing w:val="-4"/>
                <w:sz w:val="15"/>
              </w:rPr>
              <w:t>financial</w:t>
            </w:r>
            <w:r>
              <w:rPr>
                <w:spacing w:val="1"/>
                <w:sz w:val="15"/>
              </w:rPr>
              <w:t xml:space="preserve"> </w:t>
            </w:r>
            <w:r>
              <w:rPr>
                <w:spacing w:val="-4"/>
                <w:sz w:val="15"/>
              </w:rPr>
              <w:t>year</w:t>
            </w:r>
            <w:r>
              <w:rPr>
                <w:sz w:val="15"/>
              </w:rPr>
              <w:t xml:space="preserve"> </w:t>
            </w:r>
            <w:r>
              <w:rPr>
                <w:spacing w:val="-4"/>
                <w:sz w:val="15"/>
              </w:rPr>
              <w:t>there</w:t>
            </w:r>
            <w:r>
              <w:rPr>
                <w:spacing w:val="1"/>
                <w:sz w:val="15"/>
              </w:rPr>
              <w:t xml:space="preserve"> </w:t>
            </w:r>
            <w:r>
              <w:rPr>
                <w:spacing w:val="-4"/>
                <w:sz w:val="15"/>
              </w:rPr>
              <w:t>has</w:t>
            </w:r>
            <w:r>
              <w:rPr>
                <w:spacing w:val="1"/>
                <w:sz w:val="15"/>
              </w:rPr>
              <w:t xml:space="preserve"> </w:t>
            </w:r>
            <w:r>
              <w:rPr>
                <w:spacing w:val="-4"/>
                <w:sz w:val="15"/>
              </w:rPr>
              <w:t>been</w:t>
            </w:r>
            <w:r>
              <w:rPr>
                <w:sz w:val="15"/>
              </w:rPr>
              <w:t xml:space="preserve"> </w:t>
            </w:r>
            <w:r>
              <w:rPr>
                <w:spacing w:val="-4"/>
                <w:sz w:val="15"/>
              </w:rPr>
              <w:t>consultation</w:t>
            </w:r>
            <w:r>
              <w:rPr>
                <w:spacing w:val="1"/>
                <w:sz w:val="15"/>
              </w:rPr>
              <w:t xml:space="preserve"> </w:t>
            </w:r>
            <w:r>
              <w:rPr>
                <w:spacing w:val="-4"/>
                <w:sz w:val="15"/>
              </w:rPr>
              <w:t>with</w:t>
            </w:r>
          </w:p>
        </w:tc>
      </w:tr>
      <w:tr w:rsidR="00AC6F3C" w14:paraId="599B4E11" w14:textId="77777777">
        <w:trPr>
          <w:trHeight w:val="185"/>
        </w:trPr>
        <w:tc>
          <w:tcPr>
            <w:tcW w:w="1268" w:type="dxa"/>
          </w:tcPr>
          <w:p w14:paraId="64819882" w14:textId="77777777" w:rsidR="00AC6F3C" w:rsidRDefault="00AC6F3C">
            <w:pPr>
              <w:pStyle w:val="TableParagraph"/>
              <w:rPr>
                <w:rFonts w:ascii="Times New Roman"/>
                <w:sz w:val="12"/>
              </w:rPr>
            </w:pPr>
          </w:p>
        </w:tc>
        <w:tc>
          <w:tcPr>
            <w:tcW w:w="2622" w:type="dxa"/>
          </w:tcPr>
          <w:p w14:paraId="5AC4AAD0" w14:textId="77777777" w:rsidR="00AC6F3C" w:rsidRDefault="00AC6F3C">
            <w:pPr>
              <w:pStyle w:val="TableParagraph"/>
              <w:rPr>
                <w:rFonts w:ascii="Times New Roman"/>
                <w:sz w:val="12"/>
              </w:rPr>
            </w:pPr>
          </w:p>
        </w:tc>
        <w:tc>
          <w:tcPr>
            <w:tcW w:w="1274" w:type="dxa"/>
          </w:tcPr>
          <w:p w14:paraId="45D9C381" w14:textId="77777777" w:rsidR="00AC6F3C" w:rsidRDefault="00AC6F3C">
            <w:pPr>
              <w:pStyle w:val="TableParagraph"/>
              <w:rPr>
                <w:rFonts w:ascii="Times New Roman"/>
                <w:sz w:val="12"/>
              </w:rPr>
            </w:pPr>
          </w:p>
        </w:tc>
        <w:tc>
          <w:tcPr>
            <w:tcW w:w="598" w:type="dxa"/>
          </w:tcPr>
          <w:p w14:paraId="4E2E12D0" w14:textId="77777777" w:rsidR="00AC6F3C" w:rsidRDefault="00AC6F3C">
            <w:pPr>
              <w:pStyle w:val="TableParagraph"/>
              <w:rPr>
                <w:rFonts w:ascii="Times New Roman"/>
                <w:sz w:val="12"/>
              </w:rPr>
            </w:pPr>
          </w:p>
        </w:tc>
        <w:tc>
          <w:tcPr>
            <w:tcW w:w="3593" w:type="dxa"/>
          </w:tcPr>
          <w:p w14:paraId="5894A56E" w14:textId="77777777" w:rsidR="00AC6F3C" w:rsidRDefault="00570E88">
            <w:pPr>
              <w:pStyle w:val="TableParagraph"/>
              <w:spacing w:before="6" w:line="160" w:lineRule="exact"/>
              <w:ind w:left="64"/>
              <w:rPr>
                <w:sz w:val="15"/>
              </w:rPr>
            </w:pPr>
            <w:r>
              <w:rPr>
                <w:spacing w:val="-4"/>
                <w:sz w:val="15"/>
              </w:rPr>
              <w:t>Anglican</w:t>
            </w:r>
            <w:r>
              <w:rPr>
                <w:sz w:val="15"/>
              </w:rPr>
              <w:t xml:space="preserve"> </w:t>
            </w:r>
            <w:r>
              <w:rPr>
                <w:spacing w:val="-4"/>
                <w:sz w:val="15"/>
              </w:rPr>
              <w:t>schools</w:t>
            </w:r>
            <w:r>
              <w:rPr>
                <w:spacing w:val="1"/>
                <w:sz w:val="15"/>
              </w:rPr>
              <w:t xml:space="preserve"> </w:t>
            </w:r>
            <w:r>
              <w:rPr>
                <w:spacing w:val="-4"/>
                <w:sz w:val="15"/>
              </w:rPr>
              <w:t>however</w:t>
            </w:r>
            <w:r>
              <w:rPr>
                <w:sz w:val="15"/>
              </w:rPr>
              <w:t xml:space="preserve"> </w:t>
            </w:r>
            <w:r>
              <w:rPr>
                <w:spacing w:val="-4"/>
                <w:sz w:val="15"/>
              </w:rPr>
              <w:t>the</w:t>
            </w:r>
            <w:r>
              <w:rPr>
                <w:spacing w:val="1"/>
                <w:sz w:val="15"/>
              </w:rPr>
              <w:t xml:space="preserve"> </w:t>
            </w:r>
            <w:r>
              <w:rPr>
                <w:spacing w:val="-4"/>
                <w:sz w:val="15"/>
              </w:rPr>
              <w:t>coordination</w:t>
            </w:r>
            <w:r>
              <w:rPr>
                <w:spacing w:val="1"/>
                <w:sz w:val="15"/>
              </w:rPr>
              <w:t xml:space="preserve"> </w:t>
            </w:r>
            <w:r>
              <w:rPr>
                <w:spacing w:val="-4"/>
                <w:sz w:val="15"/>
              </w:rPr>
              <w:t>of</w:t>
            </w:r>
            <w:r>
              <w:rPr>
                <w:sz w:val="15"/>
              </w:rPr>
              <w:t xml:space="preserve"> </w:t>
            </w:r>
            <w:r>
              <w:rPr>
                <w:spacing w:val="-4"/>
                <w:sz w:val="15"/>
              </w:rPr>
              <w:t>a</w:t>
            </w:r>
            <w:r>
              <w:rPr>
                <w:spacing w:val="1"/>
                <w:sz w:val="15"/>
              </w:rPr>
              <w:t xml:space="preserve"> </w:t>
            </w:r>
            <w:r>
              <w:rPr>
                <w:spacing w:val="-4"/>
                <w:sz w:val="15"/>
              </w:rPr>
              <w:t>large</w:t>
            </w:r>
          </w:p>
        </w:tc>
      </w:tr>
      <w:tr w:rsidR="00AC6F3C" w14:paraId="4B27BB23" w14:textId="77777777">
        <w:trPr>
          <w:trHeight w:val="185"/>
        </w:trPr>
        <w:tc>
          <w:tcPr>
            <w:tcW w:w="1268" w:type="dxa"/>
          </w:tcPr>
          <w:p w14:paraId="360ECB9A" w14:textId="77777777" w:rsidR="00AC6F3C" w:rsidRDefault="00AC6F3C">
            <w:pPr>
              <w:pStyle w:val="TableParagraph"/>
              <w:rPr>
                <w:rFonts w:ascii="Times New Roman"/>
                <w:sz w:val="12"/>
              </w:rPr>
            </w:pPr>
          </w:p>
        </w:tc>
        <w:tc>
          <w:tcPr>
            <w:tcW w:w="2622" w:type="dxa"/>
          </w:tcPr>
          <w:p w14:paraId="70A59C39" w14:textId="77777777" w:rsidR="00AC6F3C" w:rsidRDefault="00AC6F3C">
            <w:pPr>
              <w:pStyle w:val="TableParagraph"/>
              <w:rPr>
                <w:rFonts w:ascii="Times New Roman"/>
                <w:sz w:val="12"/>
              </w:rPr>
            </w:pPr>
          </w:p>
        </w:tc>
        <w:tc>
          <w:tcPr>
            <w:tcW w:w="1274" w:type="dxa"/>
          </w:tcPr>
          <w:p w14:paraId="1C672946" w14:textId="77777777" w:rsidR="00AC6F3C" w:rsidRDefault="00AC6F3C">
            <w:pPr>
              <w:pStyle w:val="TableParagraph"/>
              <w:rPr>
                <w:rFonts w:ascii="Times New Roman"/>
                <w:sz w:val="12"/>
              </w:rPr>
            </w:pPr>
          </w:p>
        </w:tc>
        <w:tc>
          <w:tcPr>
            <w:tcW w:w="598" w:type="dxa"/>
          </w:tcPr>
          <w:p w14:paraId="3CA731EE" w14:textId="77777777" w:rsidR="00AC6F3C" w:rsidRDefault="00AC6F3C">
            <w:pPr>
              <w:pStyle w:val="TableParagraph"/>
              <w:rPr>
                <w:rFonts w:ascii="Times New Roman"/>
                <w:sz w:val="12"/>
              </w:rPr>
            </w:pPr>
          </w:p>
        </w:tc>
        <w:tc>
          <w:tcPr>
            <w:tcW w:w="3593" w:type="dxa"/>
          </w:tcPr>
          <w:p w14:paraId="75334695" w14:textId="77777777" w:rsidR="00AC6F3C" w:rsidRDefault="00570E88">
            <w:pPr>
              <w:pStyle w:val="TableParagraph"/>
              <w:spacing w:before="6" w:line="160" w:lineRule="exact"/>
              <w:ind w:left="64"/>
              <w:rPr>
                <w:sz w:val="15"/>
              </w:rPr>
            </w:pPr>
            <w:r>
              <w:rPr>
                <w:spacing w:val="-4"/>
                <w:sz w:val="15"/>
              </w:rPr>
              <w:t>number</w:t>
            </w:r>
            <w:r>
              <w:rPr>
                <w:spacing w:val="-1"/>
                <w:sz w:val="15"/>
              </w:rPr>
              <w:t xml:space="preserve"> </w:t>
            </w:r>
            <w:r>
              <w:rPr>
                <w:spacing w:val="-4"/>
                <w:sz w:val="15"/>
              </w:rPr>
              <w:t>of</w:t>
            </w:r>
            <w:r>
              <w:rPr>
                <w:sz w:val="15"/>
              </w:rPr>
              <w:t xml:space="preserve"> </w:t>
            </w:r>
            <w:r>
              <w:rPr>
                <w:spacing w:val="-4"/>
                <w:sz w:val="15"/>
              </w:rPr>
              <w:t>stakeholders</w:t>
            </w:r>
            <w:r>
              <w:rPr>
                <w:sz w:val="15"/>
              </w:rPr>
              <w:t xml:space="preserve"> </w:t>
            </w:r>
            <w:r>
              <w:rPr>
                <w:spacing w:val="-4"/>
                <w:sz w:val="15"/>
              </w:rPr>
              <w:t>has</w:t>
            </w:r>
            <w:r>
              <w:rPr>
                <w:sz w:val="15"/>
              </w:rPr>
              <w:t xml:space="preserve"> </w:t>
            </w:r>
            <w:r>
              <w:rPr>
                <w:spacing w:val="-4"/>
                <w:sz w:val="15"/>
              </w:rPr>
              <w:t>been</w:t>
            </w:r>
            <w:r>
              <w:rPr>
                <w:sz w:val="15"/>
              </w:rPr>
              <w:t xml:space="preserve"> </w:t>
            </w:r>
            <w:r>
              <w:rPr>
                <w:spacing w:val="-4"/>
                <w:sz w:val="15"/>
              </w:rPr>
              <w:t>challenging.</w:t>
            </w:r>
            <w:r>
              <w:rPr>
                <w:sz w:val="15"/>
              </w:rPr>
              <w:t xml:space="preserve"> </w:t>
            </w:r>
            <w:r>
              <w:rPr>
                <w:spacing w:val="-5"/>
                <w:sz w:val="15"/>
              </w:rPr>
              <w:t>The</w:t>
            </w:r>
          </w:p>
        </w:tc>
      </w:tr>
      <w:tr w:rsidR="00AC6F3C" w14:paraId="11A7B085" w14:textId="77777777">
        <w:trPr>
          <w:trHeight w:val="185"/>
        </w:trPr>
        <w:tc>
          <w:tcPr>
            <w:tcW w:w="1268" w:type="dxa"/>
          </w:tcPr>
          <w:p w14:paraId="4E43150A" w14:textId="77777777" w:rsidR="00AC6F3C" w:rsidRDefault="00AC6F3C">
            <w:pPr>
              <w:pStyle w:val="TableParagraph"/>
              <w:rPr>
                <w:rFonts w:ascii="Times New Roman"/>
                <w:sz w:val="12"/>
              </w:rPr>
            </w:pPr>
          </w:p>
        </w:tc>
        <w:tc>
          <w:tcPr>
            <w:tcW w:w="2622" w:type="dxa"/>
          </w:tcPr>
          <w:p w14:paraId="7E8B0CFA" w14:textId="77777777" w:rsidR="00AC6F3C" w:rsidRDefault="00AC6F3C">
            <w:pPr>
              <w:pStyle w:val="TableParagraph"/>
              <w:rPr>
                <w:rFonts w:ascii="Times New Roman"/>
                <w:sz w:val="12"/>
              </w:rPr>
            </w:pPr>
          </w:p>
        </w:tc>
        <w:tc>
          <w:tcPr>
            <w:tcW w:w="1274" w:type="dxa"/>
          </w:tcPr>
          <w:p w14:paraId="377DC5B0" w14:textId="77777777" w:rsidR="00AC6F3C" w:rsidRDefault="00AC6F3C">
            <w:pPr>
              <w:pStyle w:val="TableParagraph"/>
              <w:rPr>
                <w:rFonts w:ascii="Times New Roman"/>
                <w:sz w:val="12"/>
              </w:rPr>
            </w:pPr>
          </w:p>
        </w:tc>
        <w:tc>
          <w:tcPr>
            <w:tcW w:w="598" w:type="dxa"/>
          </w:tcPr>
          <w:p w14:paraId="6F15B5F2" w14:textId="77777777" w:rsidR="00AC6F3C" w:rsidRDefault="00AC6F3C">
            <w:pPr>
              <w:pStyle w:val="TableParagraph"/>
              <w:rPr>
                <w:rFonts w:ascii="Times New Roman"/>
                <w:sz w:val="12"/>
              </w:rPr>
            </w:pPr>
          </w:p>
        </w:tc>
        <w:tc>
          <w:tcPr>
            <w:tcW w:w="3593" w:type="dxa"/>
          </w:tcPr>
          <w:p w14:paraId="2EF1E9EB" w14:textId="77777777" w:rsidR="00AC6F3C" w:rsidRDefault="00570E88">
            <w:pPr>
              <w:pStyle w:val="TableParagraph"/>
              <w:spacing w:before="6" w:line="160" w:lineRule="exact"/>
              <w:ind w:left="64"/>
              <w:rPr>
                <w:sz w:val="15"/>
              </w:rPr>
            </w:pPr>
            <w:r>
              <w:rPr>
                <w:spacing w:val="-4"/>
                <w:sz w:val="15"/>
              </w:rPr>
              <w:t>important</w:t>
            </w:r>
            <w:r>
              <w:rPr>
                <w:sz w:val="15"/>
              </w:rPr>
              <w:t xml:space="preserve"> </w:t>
            </w:r>
            <w:r>
              <w:rPr>
                <w:spacing w:val="-4"/>
                <w:sz w:val="15"/>
              </w:rPr>
              <w:t>component</w:t>
            </w:r>
            <w:r>
              <w:rPr>
                <w:spacing w:val="1"/>
                <w:sz w:val="15"/>
              </w:rPr>
              <w:t xml:space="preserve"> </w:t>
            </w:r>
            <w:r>
              <w:rPr>
                <w:spacing w:val="-4"/>
                <w:sz w:val="15"/>
              </w:rPr>
              <w:t>has</w:t>
            </w:r>
            <w:r>
              <w:rPr>
                <w:spacing w:val="1"/>
                <w:sz w:val="15"/>
              </w:rPr>
              <w:t xml:space="preserve"> </w:t>
            </w:r>
            <w:r>
              <w:rPr>
                <w:spacing w:val="-4"/>
                <w:sz w:val="15"/>
              </w:rPr>
              <w:t>been</w:t>
            </w:r>
            <w:r>
              <w:rPr>
                <w:sz w:val="15"/>
              </w:rPr>
              <w:t xml:space="preserve"> </w:t>
            </w:r>
            <w:r>
              <w:rPr>
                <w:spacing w:val="-4"/>
                <w:sz w:val="15"/>
              </w:rPr>
              <w:t>keeping</w:t>
            </w:r>
            <w:r>
              <w:rPr>
                <w:spacing w:val="1"/>
                <w:sz w:val="15"/>
              </w:rPr>
              <w:t xml:space="preserve"> </w:t>
            </w:r>
            <w:r>
              <w:rPr>
                <w:spacing w:val="-4"/>
                <w:sz w:val="15"/>
              </w:rPr>
              <w:t>connection</w:t>
            </w:r>
          </w:p>
        </w:tc>
      </w:tr>
      <w:tr w:rsidR="00AC6F3C" w14:paraId="512787BA" w14:textId="77777777">
        <w:trPr>
          <w:trHeight w:val="185"/>
        </w:trPr>
        <w:tc>
          <w:tcPr>
            <w:tcW w:w="1268" w:type="dxa"/>
          </w:tcPr>
          <w:p w14:paraId="692B911E" w14:textId="77777777" w:rsidR="00AC6F3C" w:rsidRDefault="00AC6F3C">
            <w:pPr>
              <w:pStyle w:val="TableParagraph"/>
              <w:rPr>
                <w:rFonts w:ascii="Times New Roman"/>
                <w:sz w:val="12"/>
              </w:rPr>
            </w:pPr>
          </w:p>
        </w:tc>
        <w:tc>
          <w:tcPr>
            <w:tcW w:w="2622" w:type="dxa"/>
          </w:tcPr>
          <w:p w14:paraId="476B0B95" w14:textId="77777777" w:rsidR="00AC6F3C" w:rsidRDefault="00AC6F3C">
            <w:pPr>
              <w:pStyle w:val="TableParagraph"/>
              <w:rPr>
                <w:rFonts w:ascii="Times New Roman"/>
                <w:sz w:val="12"/>
              </w:rPr>
            </w:pPr>
          </w:p>
        </w:tc>
        <w:tc>
          <w:tcPr>
            <w:tcW w:w="1274" w:type="dxa"/>
          </w:tcPr>
          <w:p w14:paraId="70A82B3E" w14:textId="77777777" w:rsidR="00AC6F3C" w:rsidRDefault="00AC6F3C">
            <w:pPr>
              <w:pStyle w:val="TableParagraph"/>
              <w:rPr>
                <w:rFonts w:ascii="Times New Roman"/>
                <w:sz w:val="12"/>
              </w:rPr>
            </w:pPr>
          </w:p>
        </w:tc>
        <w:tc>
          <w:tcPr>
            <w:tcW w:w="598" w:type="dxa"/>
          </w:tcPr>
          <w:p w14:paraId="7E8FDABD" w14:textId="77777777" w:rsidR="00AC6F3C" w:rsidRDefault="00AC6F3C">
            <w:pPr>
              <w:pStyle w:val="TableParagraph"/>
              <w:rPr>
                <w:rFonts w:ascii="Times New Roman"/>
                <w:sz w:val="12"/>
              </w:rPr>
            </w:pPr>
          </w:p>
        </w:tc>
        <w:tc>
          <w:tcPr>
            <w:tcW w:w="3593" w:type="dxa"/>
          </w:tcPr>
          <w:p w14:paraId="6FC7702E" w14:textId="77777777" w:rsidR="00AC6F3C" w:rsidRDefault="00570E88">
            <w:pPr>
              <w:pStyle w:val="TableParagraph"/>
              <w:spacing w:before="6" w:line="160" w:lineRule="exact"/>
              <w:ind w:left="64"/>
              <w:rPr>
                <w:sz w:val="15"/>
              </w:rPr>
            </w:pPr>
            <w:r>
              <w:rPr>
                <w:spacing w:val="-4"/>
                <w:sz w:val="15"/>
              </w:rPr>
              <w:t>and</w:t>
            </w:r>
            <w:r>
              <w:rPr>
                <w:spacing w:val="-1"/>
                <w:sz w:val="15"/>
              </w:rPr>
              <w:t xml:space="preserve"> </w:t>
            </w:r>
            <w:r>
              <w:rPr>
                <w:spacing w:val="-4"/>
                <w:sz w:val="15"/>
              </w:rPr>
              <w:t>engagement</w:t>
            </w:r>
            <w:r>
              <w:rPr>
                <w:sz w:val="15"/>
              </w:rPr>
              <w:t xml:space="preserve"> </w:t>
            </w:r>
            <w:r>
              <w:rPr>
                <w:spacing w:val="-4"/>
                <w:sz w:val="15"/>
              </w:rPr>
              <w:t>with</w:t>
            </w:r>
            <w:r>
              <w:rPr>
                <w:sz w:val="15"/>
              </w:rPr>
              <w:t xml:space="preserve"> </w:t>
            </w:r>
            <w:r>
              <w:rPr>
                <w:spacing w:val="-4"/>
                <w:sz w:val="15"/>
              </w:rPr>
              <w:t>the</w:t>
            </w:r>
            <w:r>
              <w:rPr>
                <w:sz w:val="15"/>
              </w:rPr>
              <w:t xml:space="preserve"> </w:t>
            </w:r>
            <w:r>
              <w:rPr>
                <w:spacing w:val="-4"/>
                <w:sz w:val="15"/>
              </w:rPr>
              <w:t>Anglican</w:t>
            </w:r>
            <w:r>
              <w:rPr>
                <w:sz w:val="15"/>
              </w:rPr>
              <w:t xml:space="preserve"> </w:t>
            </w:r>
            <w:r>
              <w:rPr>
                <w:spacing w:val="-4"/>
                <w:sz w:val="15"/>
              </w:rPr>
              <w:t>schools</w:t>
            </w:r>
            <w:r>
              <w:rPr>
                <w:sz w:val="15"/>
              </w:rPr>
              <w:t xml:space="preserve"> </w:t>
            </w:r>
            <w:r>
              <w:rPr>
                <w:spacing w:val="-4"/>
                <w:sz w:val="15"/>
              </w:rPr>
              <w:t>and</w:t>
            </w:r>
            <w:r>
              <w:rPr>
                <w:sz w:val="15"/>
              </w:rPr>
              <w:t xml:space="preserve"> </w:t>
            </w:r>
            <w:r>
              <w:rPr>
                <w:spacing w:val="-5"/>
                <w:sz w:val="15"/>
              </w:rPr>
              <w:t>QLS</w:t>
            </w:r>
          </w:p>
        </w:tc>
      </w:tr>
      <w:tr w:rsidR="00AC6F3C" w14:paraId="47FB7B39" w14:textId="77777777">
        <w:trPr>
          <w:trHeight w:val="185"/>
        </w:trPr>
        <w:tc>
          <w:tcPr>
            <w:tcW w:w="1268" w:type="dxa"/>
          </w:tcPr>
          <w:p w14:paraId="748EBD83" w14:textId="77777777" w:rsidR="00AC6F3C" w:rsidRDefault="00AC6F3C">
            <w:pPr>
              <w:pStyle w:val="TableParagraph"/>
              <w:rPr>
                <w:rFonts w:ascii="Times New Roman"/>
                <w:sz w:val="12"/>
              </w:rPr>
            </w:pPr>
          </w:p>
        </w:tc>
        <w:tc>
          <w:tcPr>
            <w:tcW w:w="2622" w:type="dxa"/>
          </w:tcPr>
          <w:p w14:paraId="23094DB7" w14:textId="77777777" w:rsidR="00AC6F3C" w:rsidRDefault="00AC6F3C">
            <w:pPr>
              <w:pStyle w:val="TableParagraph"/>
              <w:rPr>
                <w:rFonts w:ascii="Times New Roman"/>
                <w:sz w:val="12"/>
              </w:rPr>
            </w:pPr>
          </w:p>
        </w:tc>
        <w:tc>
          <w:tcPr>
            <w:tcW w:w="1274" w:type="dxa"/>
          </w:tcPr>
          <w:p w14:paraId="36F73A86" w14:textId="77777777" w:rsidR="00AC6F3C" w:rsidRDefault="00AC6F3C">
            <w:pPr>
              <w:pStyle w:val="TableParagraph"/>
              <w:rPr>
                <w:rFonts w:ascii="Times New Roman"/>
                <w:sz w:val="12"/>
              </w:rPr>
            </w:pPr>
          </w:p>
        </w:tc>
        <w:tc>
          <w:tcPr>
            <w:tcW w:w="598" w:type="dxa"/>
          </w:tcPr>
          <w:p w14:paraId="458D06BD" w14:textId="77777777" w:rsidR="00AC6F3C" w:rsidRDefault="00AC6F3C">
            <w:pPr>
              <w:pStyle w:val="TableParagraph"/>
              <w:rPr>
                <w:rFonts w:ascii="Times New Roman"/>
                <w:sz w:val="12"/>
              </w:rPr>
            </w:pPr>
          </w:p>
        </w:tc>
        <w:tc>
          <w:tcPr>
            <w:tcW w:w="3593" w:type="dxa"/>
          </w:tcPr>
          <w:p w14:paraId="4E485541" w14:textId="77777777" w:rsidR="00AC6F3C" w:rsidRDefault="00570E88">
            <w:pPr>
              <w:pStyle w:val="TableParagraph"/>
              <w:spacing w:before="6" w:line="160" w:lineRule="exact"/>
              <w:ind w:left="64"/>
              <w:rPr>
                <w:sz w:val="15"/>
              </w:rPr>
            </w:pPr>
            <w:r>
              <w:rPr>
                <w:spacing w:val="-4"/>
                <w:sz w:val="15"/>
              </w:rPr>
              <w:t>continues</w:t>
            </w:r>
            <w:r>
              <w:rPr>
                <w:sz w:val="15"/>
              </w:rPr>
              <w:t xml:space="preserve"> </w:t>
            </w:r>
            <w:r>
              <w:rPr>
                <w:spacing w:val="-4"/>
                <w:sz w:val="15"/>
              </w:rPr>
              <w:t>to</w:t>
            </w:r>
            <w:r>
              <w:rPr>
                <w:sz w:val="15"/>
              </w:rPr>
              <w:t xml:space="preserve"> </w:t>
            </w:r>
            <w:r>
              <w:rPr>
                <w:spacing w:val="-4"/>
                <w:sz w:val="15"/>
              </w:rPr>
              <w:t>keep</w:t>
            </w:r>
            <w:r>
              <w:rPr>
                <w:sz w:val="15"/>
              </w:rPr>
              <w:t xml:space="preserve"> </w:t>
            </w:r>
            <w:r>
              <w:rPr>
                <w:spacing w:val="-4"/>
                <w:sz w:val="15"/>
              </w:rPr>
              <w:t>the</w:t>
            </w:r>
            <w:r>
              <w:rPr>
                <w:sz w:val="15"/>
              </w:rPr>
              <w:t xml:space="preserve"> </w:t>
            </w:r>
            <w:r>
              <w:rPr>
                <w:spacing w:val="-4"/>
                <w:sz w:val="15"/>
              </w:rPr>
              <w:t>connection</w:t>
            </w:r>
            <w:r>
              <w:rPr>
                <w:sz w:val="15"/>
              </w:rPr>
              <w:t xml:space="preserve"> </w:t>
            </w:r>
            <w:r>
              <w:rPr>
                <w:spacing w:val="-4"/>
                <w:sz w:val="15"/>
              </w:rPr>
              <w:t>strong</w:t>
            </w:r>
            <w:r>
              <w:rPr>
                <w:sz w:val="15"/>
              </w:rPr>
              <w:t xml:space="preserve"> </w:t>
            </w:r>
            <w:r>
              <w:rPr>
                <w:spacing w:val="-4"/>
                <w:sz w:val="15"/>
              </w:rPr>
              <w:t>into</w:t>
            </w:r>
            <w:r>
              <w:rPr>
                <w:sz w:val="15"/>
              </w:rPr>
              <w:t xml:space="preserve"> </w:t>
            </w:r>
            <w:r>
              <w:rPr>
                <w:spacing w:val="-4"/>
                <w:sz w:val="15"/>
              </w:rPr>
              <w:t>the</w:t>
            </w:r>
            <w:r>
              <w:rPr>
                <w:spacing w:val="1"/>
                <w:sz w:val="15"/>
              </w:rPr>
              <w:t xml:space="preserve"> </w:t>
            </w:r>
            <w:r>
              <w:rPr>
                <w:spacing w:val="-4"/>
                <w:sz w:val="15"/>
              </w:rPr>
              <w:t>next</w:t>
            </w:r>
          </w:p>
        </w:tc>
      </w:tr>
      <w:tr w:rsidR="00AC6F3C" w14:paraId="5383D14A" w14:textId="77777777">
        <w:trPr>
          <w:trHeight w:val="185"/>
        </w:trPr>
        <w:tc>
          <w:tcPr>
            <w:tcW w:w="1268" w:type="dxa"/>
          </w:tcPr>
          <w:p w14:paraId="15B32708" w14:textId="77777777" w:rsidR="00AC6F3C" w:rsidRDefault="00AC6F3C">
            <w:pPr>
              <w:pStyle w:val="TableParagraph"/>
              <w:rPr>
                <w:rFonts w:ascii="Times New Roman"/>
                <w:sz w:val="12"/>
              </w:rPr>
            </w:pPr>
          </w:p>
        </w:tc>
        <w:tc>
          <w:tcPr>
            <w:tcW w:w="2622" w:type="dxa"/>
          </w:tcPr>
          <w:p w14:paraId="14ED11E9" w14:textId="77777777" w:rsidR="00AC6F3C" w:rsidRDefault="00AC6F3C">
            <w:pPr>
              <w:pStyle w:val="TableParagraph"/>
              <w:rPr>
                <w:rFonts w:ascii="Times New Roman"/>
                <w:sz w:val="12"/>
              </w:rPr>
            </w:pPr>
          </w:p>
        </w:tc>
        <w:tc>
          <w:tcPr>
            <w:tcW w:w="1274" w:type="dxa"/>
          </w:tcPr>
          <w:p w14:paraId="65D4CD5E" w14:textId="77777777" w:rsidR="00AC6F3C" w:rsidRDefault="00AC6F3C">
            <w:pPr>
              <w:pStyle w:val="TableParagraph"/>
              <w:rPr>
                <w:rFonts w:ascii="Times New Roman"/>
                <w:sz w:val="12"/>
              </w:rPr>
            </w:pPr>
          </w:p>
        </w:tc>
        <w:tc>
          <w:tcPr>
            <w:tcW w:w="598" w:type="dxa"/>
          </w:tcPr>
          <w:p w14:paraId="2FD7720E" w14:textId="77777777" w:rsidR="00AC6F3C" w:rsidRDefault="00AC6F3C">
            <w:pPr>
              <w:pStyle w:val="TableParagraph"/>
              <w:rPr>
                <w:rFonts w:ascii="Times New Roman"/>
                <w:sz w:val="12"/>
              </w:rPr>
            </w:pPr>
          </w:p>
        </w:tc>
        <w:tc>
          <w:tcPr>
            <w:tcW w:w="3593" w:type="dxa"/>
          </w:tcPr>
          <w:p w14:paraId="773F53EE" w14:textId="77777777" w:rsidR="00AC6F3C" w:rsidRDefault="00570E88">
            <w:pPr>
              <w:pStyle w:val="TableParagraph"/>
              <w:spacing w:before="6" w:line="160" w:lineRule="exact"/>
              <w:ind w:left="64"/>
              <w:rPr>
                <w:sz w:val="15"/>
              </w:rPr>
            </w:pPr>
            <w:r>
              <w:rPr>
                <w:spacing w:val="-4"/>
                <w:sz w:val="15"/>
              </w:rPr>
              <w:t>financial</w:t>
            </w:r>
            <w:r>
              <w:rPr>
                <w:spacing w:val="-2"/>
                <w:sz w:val="15"/>
              </w:rPr>
              <w:t xml:space="preserve"> </w:t>
            </w:r>
            <w:r>
              <w:rPr>
                <w:spacing w:val="-4"/>
                <w:sz w:val="15"/>
              </w:rPr>
              <w:t>year</w:t>
            </w:r>
            <w:r>
              <w:rPr>
                <w:spacing w:val="-2"/>
                <w:sz w:val="15"/>
              </w:rPr>
              <w:t xml:space="preserve"> </w:t>
            </w:r>
            <w:r>
              <w:rPr>
                <w:spacing w:val="-4"/>
                <w:sz w:val="15"/>
              </w:rPr>
              <w:t>and</w:t>
            </w:r>
            <w:r>
              <w:rPr>
                <w:spacing w:val="-2"/>
                <w:sz w:val="15"/>
              </w:rPr>
              <w:t xml:space="preserve"> </w:t>
            </w:r>
            <w:r>
              <w:rPr>
                <w:spacing w:val="-4"/>
                <w:sz w:val="15"/>
              </w:rPr>
              <w:t>focus</w:t>
            </w:r>
            <w:r>
              <w:rPr>
                <w:spacing w:val="-1"/>
                <w:sz w:val="15"/>
              </w:rPr>
              <w:t xml:space="preserve"> </w:t>
            </w:r>
            <w:r>
              <w:rPr>
                <w:spacing w:val="-4"/>
                <w:sz w:val="15"/>
              </w:rPr>
              <w:t>on</w:t>
            </w:r>
            <w:r>
              <w:rPr>
                <w:spacing w:val="-2"/>
                <w:sz w:val="15"/>
              </w:rPr>
              <w:t xml:space="preserve"> </w:t>
            </w:r>
            <w:r>
              <w:rPr>
                <w:spacing w:val="-4"/>
                <w:sz w:val="15"/>
              </w:rPr>
              <w:t>one</w:t>
            </w:r>
            <w:r>
              <w:rPr>
                <w:spacing w:val="-2"/>
                <w:sz w:val="15"/>
              </w:rPr>
              <w:t xml:space="preserve"> </w:t>
            </w:r>
            <w:r>
              <w:rPr>
                <w:spacing w:val="-4"/>
                <w:sz w:val="15"/>
              </w:rPr>
              <w:t>area</w:t>
            </w:r>
            <w:r>
              <w:rPr>
                <w:spacing w:val="-2"/>
                <w:sz w:val="15"/>
              </w:rPr>
              <w:t xml:space="preserve"> </w:t>
            </w:r>
            <w:r>
              <w:rPr>
                <w:spacing w:val="-4"/>
                <w:sz w:val="15"/>
              </w:rPr>
              <w:t>of</w:t>
            </w:r>
            <w:r>
              <w:rPr>
                <w:spacing w:val="-1"/>
                <w:sz w:val="15"/>
              </w:rPr>
              <w:t xml:space="preserve"> </w:t>
            </w:r>
            <w:r>
              <w:rPr>
                <w:spacing w:val="-4"/>
                <w:sz w:val="15"/>
              </w:rPr>
              <w:t>engagement</w:t>
            </w:r>
          </w:p>
        </w:tc>
      </w:tr>
      <w:tr w:rsidR="00AC6F3C" w14:paraId="3B346352" w14:textId="77777777">
        <w:trPr>
          <w:trHeight w:val="185"/>
        </w:trPr>
        <w:tc>
          <w:tcPr>
            <w:tcW w:w="1268" w:type="dxa"/>
          </w:tcPr>
          <w:p w14:paraId="0300D93B" w14:textId="77777777" w:rsidR="00AC6F3C" w:rsidRDefault="00AC6F3C">
            <w:pPr>
              <w:pStyle w:val="TableParagraph"/>
              <w:rPr>
                <w:rFonts w:ascii="Times New Roman"/>
                <w:sz w:val="12"/>
              </w:rPr>
            </w:pPr>
          </w:p>
        </w:tc>
        <w:tc>
          <w:tcPr>
            <w:tcW w:w="2622" w:type="dxa"/>
          </w:tcPr>
          <w:p w14:paraId="529A5BA3" w14:textId="77777777" w:rsidR="00AC6F3C" w:rsidRDefault="00AC6F3C">
            <w:pPr>
              <w:pStyle w:val="TableParagraph"/>
              <w:rPr>
                <w:rFonts w:ascii="Times New Roman"/>
                <w:sz w:val="12"/>
              </w:rPr>
            </w:pPr>
          </w:p>
        </w:tc>
        <w:tc>
          <w:tcPr>
            <w:tcW w:w="1274" w:type="dxa"/>
          </w:tcPr>
          <w:p w14:paraId="06BA66B2" w14:textId="77777777" w:rsidR="00AC6F3C" w:rsidRDefault="00AC6F3C">
            <w:pPr>
              <w:pStyle w:val="TableParagraph"/>
              <w:rPr>
                <w:rFonts w:ascii="Times New Roman"/>
                <w:sz w:val="12"/>
              </w:rPr>
            </w:pPr>
          </w:p>
        </w:tc>
        <w:tc>
          <w:tcPr>
            <w:tcW w:w="598" w:type="dxa"/>
          </w:tcPr>
          <w:p w14:paraId="3802630D" w14:textId="77777777" w:rsidR="00AC6F3C" w:rsidRDefault="00AC6F3C">
            <w:pPr>
              <w:pStyle w:val="TableParagraph"/>
              <w:rPr>
                <w:rFonts w:ascii="Times New Roman"/>
                <w:sz w:val="12"/>
              </w:rPr>
            </w:pPr>
          </w:p>
        </w:tc>
        <w:tc>
          <w:tcPr>
            <w:tcW w:w="3593" w:type="dxa"/>
          </w:tcPr>
          <w:p w14:paraId="4E9EBFE4" w14:textId="77777777" w:rsidR="00AC6F3C" w:rsidRDefault="00570E88">
            <w:pPr>
              <w:pStyle w:val="TableParagraph"/>
              <w:spacing w:before="6" w:line="160" w:lineRule="exact"/>
              <w:ind w:left="64"/>
              <w:rPr>
                <w:sz w:val="15"/>
              </w:rPr>
            </w:pPr>
            <w:r>
              <w:rPr>
                <w:spacing w:val="-4"/>
                <w:sz w:val="15"/>
              </w:rPr>
              <w:t>rather</w:t>
            </w:r>
            <w:r>
              <w:rPr>
                <w:sz w:val="15"/>
              </w:rPr>
              <w:t xml:space="preserve"> </w:t>
            </w:r>
            <w:r>
              <w:rPr>
                <w:spacing w:val="-4"/>
                <w:sz w:val="15"/>
              </w:rPr>
              <w:t>that</w:t>
            </w:r>
            <w:r>
              <w:rPr>
                <w:sz w:val="15"/>
              </w:rPr>
              <w:t xml:space="preserve"> </w:t>
            </w:r>
            <w:r>
              <w:rPr>
                <w:spacing w:val="-4"/>
                <w:sz w:val="15"/>
              </w:rPr>
              <w:t>all</w:t>
            </w:r>
            <w:r>
              <w:rPr>
                <w:sz w:val="15"/>
              </w:rPr>
              <w:t xml:space="preserve"> </w:t>
            </w:r>
            <w:r>
              <w:rPr>
                <w:spacing w:val="-4"/>
                <w:sz w:val="15"/>
              </w:rPr>
              <w:t>DLAs</w:t>
            </w:r>
            <w:r>
              <w:rPr>
                <w:spacing w:val="1"/>
                <w:sz w:val="15"/>
              </w:rPr>
              <w:t xml:space="preserve"> </w:t>
            </w:r>
            <w:r>
              <w:rPr>
                <w:spacing w:val="-4"/>
                <w:sz w:val="15"/>
              </w:rPr>
              <w:t>and</w:t>
            </w:r>
            <w:r>
              <w:rPr>
                <w:sz w:val="15"/>
              </w:rPr>
              <w:t xml:space="preserve"> </w:t>
            </w:r>
            <w:r>
              <w:rPr>
                <w:spacing w:val="-4"/>
                <w:sz w:val="15"/>
              </w:rPr>
              <w:t>schools</w:t>
            </w:r>
            <w:r>
              <w:rPr>
                <w:sz w:val="15"/>
              </w:rPr>
              <w:t xml:space="preserve"> </w:t>
            </w:r>
            <w:r>
              <w:rPr>
                <w:spacing w:val="-4"/>
                <w:sz w:val="15"/>
              </w:rPr>
              <w:t>throughout</w:t>
            </w:r>
          </w:p>
        </w:tc>
      </w:tr>
      <w:tr w:rsidR="00AC6F3C" w14:paraId="454F8EFC" w14:textId="77777777">
        <w:trPr>
          <w:trHeight w:val="257"/>
        </w:trPr>
        <w:tc>
          <w:tcPr>
            <w:tcW w:w="1268" w:type="dxa"/>
            <w:tcBorders>
              <w:bottom w:val="single" w:sz="2" w:space="0" w:color="000000"/>
            </w:tcBorders>
          </w:tcPr>
          <w:p w14:paraId="63D3244B" w14:textId="77777777" w:rsidR="00AC6F3C" w:rsidRDefault="00AC6F3C">
            <w:pPr>
              <w:pStyle w:val="TableParagraph"/>
              <w:rPr>
                <w:rFonts w:ascii="Times New Roman"/>
                <w:sz w:val="14"/>
              </w:rPr>
            </w:pPr>
          </w:p>
        </w:tc>
        <w:tc>
          <w:tcPr>
            <w:tcW w:w="2622" w:type="dxa"/>
            <w:tcBorders>
              <w:bottom w:val="single" w:sz="2" w:space="0" w:color="000000"/>
            </w:tcBorders>
          </w:tcPr>
          <w:p w14:paraId="3624337A" w14:textId="77777777" w:rsidR="00AC6F3C" w:rsidRDefault="00AC6F3C">
            <w:pPr>
              <w:pStyle w:val="TableParagraph"/>
              <w:rPr>
                <w:rFonts w:ascii="Times New Roman"/>
                <w:sz w:val="14"/>
              </w:rPr>
            </w:pPr>
          </w:p>
        </w:tc>
        <w:tc>
          <w:tcPr>
            <w:tcW w:w="1274" w:type="dxa"/>
            <w:tcBorders>
              <w:bottom w:val="single" w:sz="2" w:space="0" w:color="000000"/>
            </w:tcBorders>
          </w:tcPr>
          <w:p w14:paraId="25D7AE2E" w14:textId="77777777" w:rsidR="00AC6F3C" w:rsidRDefault="00AC6F3C">
            <w:pPr>
              <w:pStyle w:val="TableParagraph"/>
              <w:rPr>
                <w:rFonts w:ascii="Times New Roman"/>
                <w:sz w:val="14"/>
              </w:rPr>
            </w:pPr>
          </w:p>
        </w:tc>
        <w:tc>
          <w:tcPr>
            <w:tcW w:w="598" w:type="dxa"/>
            <w:tcBorders>
              <w:bottom w:val="single" w:sz="2" w:space="0" w:color="000000"/>
            </w:tcBorders>
          </w:tcPr>
          <w:p w14:paraId="5E41F2E6" w14:textId="77777777" w:rsidR="00AC6F3C" w:rsidRDefault="00AC6F3C">
            <w:pPr>
              <w:pStyle w:val="TableParagraph"/>
              <w:rPr>
                <w:rFonts w:ascii="Times New Roman"/>
                <w:sz w:val="14"/>
              </w:rPr>
            </w:pPr>
          </w:p>
        </w:tc>
        <w:tc>
          <w:tcPr>
            <w:tcW w:w="3593" w:type="dxa"/>
            <w:tcBorders>
              <w:bottom w:val="single" w:sz="2" w:space="0" w:color="000000"/>
            </w:tcBorders>
          </w:tcPr>
          <w:p w14:paraId="231059BE" w14:textId="77777777" w:rsidR="00AC6F3C" w:rsidRDefault="00570E88">
            <w:pPr>
              <w:pStyle w:val="TableParagraph"/>
              <w:spacing w:before="6"/>
              <w:ind w:left="64"/>
              <w:rPr>
                <w:sz w:val="15"/>
              </w:rPr>
            </w:pPr>
            <w:r>
              <w:rPr>
                <w:spacing w:val="-2"/>
                <w:sz w:val="15"/>
              </w:rPr>
              <w:t>Queensland</w:t>
            </w:r>
          </w:p>
        </w:tc>
      </w:tr>
      <w:tr w:rsidR="00AC6F3C" w14:paraId="5BE5C98C" w14:textId="77777777">
        <w:trPr>
          <w:trHeight w:val="262"/>
        </w:trPr>
        <w:tc>
          <w:tcPr>
            <w:tcW w:w="1268" w:type="dxa"/>
            <w:tcBorders>
              <w:top w:val="single" w:sz="2" w:space="0" w:color="000000"/>
            </w:tcBorders>
          </w:tcPr>
          <w:p w14:paraId="182D45E5" w14:textId="77777777" w:rsidR="00AC6F3C" w:rsidRDefault="00570E88">
            <w:pPr>
              <w:pStyle w:val="TableParagraph"/>
              <w:spacing w:before="83" w:line="160" w:lineRule="exact"/>
              <w:ind w:left="113"/>
              <w:rPr>
                <w:b/>
                <w:sz w:val="15"/>
              </w:rPr>
            </w:pPr>
            <w:r>
              <w:rPr>
                <w:b/>
                <w:spacing w:val="-4"/>
                <w:sz w:val="15"/>
              </w:rPr>
              <w:t>Educate</w:t>
            </w:r>
            <w:r>
              <w:rPr>
                <w:b/>
                <w:spacing w:val="4"/>
                <w:sz w:val="15"/>
              </w:rPr>
              <w:t xml:space="preserve"> </w:t>
            </w:r>
            <w:r>
              <w:rPr>
                <w:b/>
                <w:spacing w:val="-4"/>
                <w:sz w:val="15"/>
              </w:rPr>
              <w:t>Goal</w:t>
            </w:r>
          </w:p>
        </w:tc>
        <w:tc>
          <w:tcPr>
            <w:tcW w:w="2622" w:type="dxa"/>
            <w:tcBorders>
              <w:top w:val="single" w:sz="2" w:space="0" w:color="000000"/>
            </w:tcBorders>
          </w:tcPr>
          <w:p w14:paraId="1BDF2EB2" w14:textId="77777777" w:rsidR="00AC6F3C" w:rsidRDefault="00570E88">
            <w:pPr>
              <w:pStyle w:val="TableParagraph"/>
              <w:spacing w:before="83" w:line="160" w:lineRule="exact"/>
              <w:ind w:left="163"/>
              <w:rPr>
                <w:sz w:val="15"/>
              </w:rPr>
            </w:pPr>
            <w:r>
              <w:rPr>
                <w:sz w:val="15"/>
              </w:rPr>
              <w:t>6.</w:t>
            </w:r>
            <w:r>
              <w:rPr>
                <w:spacing w:val="63"/>
                <w:w w:val="150"/>
                <w:sz w:val="15"/>
              </w:rPr>
              <w:t xml:space="preserve"> </w:t>
            </w:r>
            <w:r>
              <w:rPr>
                <w:sz w:val="15"/>
              </w:rPr>
              <w:t>Working</w:t>
            </w:r>
            <w:r>
              <w:rPr>
                <w:spacing w:val="-11"/>
                <w:sz w:val="15"/>
              </w:rPr>
              <w:t xml:space="preserve"> </w:t>
            </w:r>
            <w:r>
              <w:rPr>
                <w:sz w:val="15"/>
              </w:rPr>
              <w:t>with</w:t>
            </w:r>
            <w:r>
              <w:rPr>
                <w:spacing w:val="-10"/>
                <w:sz w:val="15"/>
              </w:rPr>
              <w:t xml:space="preserve"> </w:t>
            </w:r>
            <w:r>
              <w:rPr>
                <w:sz w:val="15"/>
              </w:rPr>
              <w:t>the</w:t>
            </w:r>
            <w:r>
              <w:rPr>
                <w:spacing w:val="-11"/>
                <w:sz w:val="15"/>
              </w:rPr>
              <w:t xml:space="preserve"> </w:t>
            </w:r>
            <w:r>
              <w:rPr>
                <w:sz w:val="15"/>
              </w:rPr>
              <w:t>Bar</w:t>
            </w:r>
            <w:r>
              <w:rPr>
                <w:spacing w:val="-10"/>
                <w:sz w:val="15"/>
              </w:rPr>
              <w:t xml:space="preserve"> </w:t>
            </w:r>
            <w:r>
              <w:rPr>
                <w:spacing w:val="-5"/>
                <w:sz w:val="15"/>
              </w:rPr>
              <w:t>and</w:t>
            </w:r>
          </w:p>
        </w:tc>
        <w:tc>
          <w:tcPr>
            <w:tcW w:w="1274" w:type="dxa"/>
            <w:tcBorders>
              <w:top w:val="single" w:sz="2" w:space="0" w:color="000000"/>
            </w:tcBorders>
          </w:tcPr>
          <w:p w14:paraId="5C0F2799" w14:textId="77777777" w:rsidR="00AC6F3C" w:rsidRDefault="00570E88">
            <w:pPr>
              <w:pStyle w:val="TableParagraph"/>
              <w:spacing w:before="83" w:line="160" w:lineRule="exact"/>
              <w:ind w:left="130"/>
              <w:rPr>
                <w:b/>
                <w:sz w:val="15"/>
              </w:rPr>
            </w:pPr>
            <w:r>
              <w:rPr>
                <w:b/>
                <w:spacing w:val="-2"/>
                <w:sz w:val="15"/>
              </w:rPr>
              <w:t>On</w:t>
            </w:r>
            <w:r>
              <w:rPr>
                <w:b/>
                <w:spacing w:val="-7"/>
                <w:sz w:val="15"/>
              </w:rPr>
              <w:t xml:space="preserve"> </w:t>
            </w:r>
            <w:r>
              <w:rPr>
                <w:b/>
                <w:spacing w:val="-2"/>
                <w:sz w:val="15"/>
              </w:rPr>
              <w:t>the</w:t>
            </w:r>
            <w:r>
              <w:rPr>
                <w:b/>
                <w:spacing w:val="-6"/>
                <w:sz w:val="15"/>
              </w:rPr>
              <w:t xml:space="preserve"> </w:t>
            </w:r>
            <w:r>
              <w:rPr>
                <w:b/>
                <w:spacing w:val="-5"/>
                <w:sz w:val="15"/>
              </w:rPr>
              <w:t>way</w:t>
            </w:r>
          </w:p>
        </w:tc>
        <w:tc>
          <w:tcPr>
            <w:tcW w:w="598" w:type="dxa"/>
            <w:tcBorders>
              <w:top w:val="single" w:sz="2" w:space="0" w:color="000000"/>
            </w:tcBorders>
          </w:tcPr>
          <w:p w14:paraId="4C6EF69E" w14:textId="77777777" w:rsidR="00AC6F3C" w:rsidRDefault="00570E88">
            <w:pPr>
              <w:pStyle w:val="TableParagraph"/>
              <w:spacing w:before="83" w:line="160" w:lineRule="exact"/>
              <w:ind w:left="208"/>
              <w:rPr>
                <w:sz w:val="15"/>
              </w:rPr>
            </w:pPr>
            <w:r>
              <w:rPr>
                <w:spacing w:val="-2"/>
                <w:sz w:val="15"/>
              </w:rPr>
              <w:t>6.1.1</w:t>
            </w:r>
          </w:p>
        </w:tc>
        <w:tc>
          <w:tcPr>
            <w:tcW w:w="3593" w:type="dxa"/>
            <w:tcBorders>
              <w:top w:val="single" w:sz="2" w:space="0" w:color="000000"/>
            </w:tcBorders>
          </w:tcPr>
          <w:p w14:paraId="57F7E3AA" w14:textId="77777777" w:rsidR="00AC6F3C" w:rsidRDefault="00570E88">
            <w:pPr>
              <w:pStyle w:val="TableParagraph"/>
              <w:spacing w:before="83" w:line="160" w:lineRule="exact"/>
              <w:ind w:left="26"/>
              <w:rPr>
                <w:sz w:val="15"/>
              </w:rPr>
            </w:pPr>
            <w:r>
              <w:rPr>
                <w:spacing w:val="-4"/>
                <w:sz w:val="15"/>
              </w:rPr>
              <w:t>IN</w:t>
            </w:r>
            <w:r>
              <w:rPr>
                <w:spacing w:val="-2"/>
                <w:sz w:val="15"/>
              </w:rPr>
              <w:t xml:space="preserve"> </w:t>
            </w:r>
            <w:r>
              <w:rPr>
                <w:spacing w:val="-4"/>
                <w:sz w:val="15"/>
              </w:rPr>
              <w:t>PROGRESS</w:t>
            </w:r>
            <w:r>
              <w:rPr>
                <w:spacing w:val="-1"/>
                <w:sz w:val="15"/>
              </w:rPr>
              <w:t xml:space="preserve"> </w:t>
            </w:r>
            <w:r>
              <w:rPr>
                <w:spacing w:val="-4"/>
                <w:sz w:val="15"/>
              </w:rPr>
              <w:t>&amp;</w:t>
            </w:r>
            <w:r>
              <w:rPr>
                <w:spacing w:val="-1"/>
                <w:sz w:val="15"/>
              </w:rPr>
              <w:t xml:space="preserve"> </w:t>
            </w:r>
            <w:r>
              <w:rPr>
                <w:spacing w:val="-4"/>
                <w:sz w:val="15"/>
              </w:rPr>
              <w:t>CONTINUING</w:t>
            </w:r>
            <w:r>
              <w:rPr>
                <w:spacing w:val="-2"/>
                <w:sz w:val="15"/>
              </w:rPr>
              <w:t xml:space="preserve"> </w:t>
            </w:r>
            <w:r>
              <w:rPr>
                <w:spacing w:val="-4"/>
                <w:sz w:val="15"/>
              </w:rPr>
              <w:t>–</w:t>
            </w:r>
            <w:r>
              <w:rPr>
                <w:spacing w:val="-1"/>
                <w:sz w:val="15"/>
              </w:rPr>
              <w:t xml:space="preserve"> </w:t>
            </w:r>
            <w:r>
              <w:rPr>
                <w:spacing w:val="-4"/>
                <w:sz w:val="15"/>
              </w:rPr>
              <w:t>An</w:t>
            </w:r>
            <w:r>
              <w:rPr>
                <w:spacing w:val="-1"/>
                <w:sz w:val="15"/>
              </w:rPr>
              <w:t xml:space="preserve"> </w:t>
            </w:r>
            <w:r>
              <w:rPr>
                <w:spacing w:val="-4"/>
                <w:sz w:val="15"/>
              </w:rPr>
              <w:t>initiative</w:t>
            </w:r>
            <w:r>
              <w:rPr>
                <w:spacing w:val="-2"/>
                <w:sz w:val="15"/>
              </w:rPr>
              <w:t xml:space="preserve"> </w:t>
            </w:r>
            <w:r>
              <w:rPr>
                <w:spacing w:val="-5"/>
                <w:sz w:val="15"/>
              </w:rPr>
              <w:t>was</w:t>
            </w:r>
          </w:p>
        </w:tc>
      </w:tr>
      <w:tr w:rsidR="00AC6F3C" w14:paraId="4C3A9F06" w14:textId="77777777">
        <w:trPr>
          <w:trHeight w:val="185"/>
        </w:trPr>
        <w:tc>
          <w:tcPr>
            <w:tcW w:w="1268" w:type="dxa"/>
          </w:tcPr>
          <w:p w14:paraId="1971E311" w14:textId="77777777" w:rsidR="00AC6F3C" w:rsidRDefault="00AC6F3C">
            <w:pPr>
              <w:pStyle w:val="TableParagraph"/>
              <w:rPr>
                <w:rFonts w:ascii="Times New Roman"/>
                <w:sz w:val="12"/>
              </w:rPr>
            </w:pPr>
          </w:p>
        </w:tc>
        <w:tc>
          <w:tcPr>
            <w:tcW w:w="2622" w:type="dxa"/>
          </w:tcPr>
          <w:p w14:paraId="4120C989" w14:textId="77777777" w:rsidR="00AC6F3C" w:rsidRDefault="00570E88">
            <w:pPr>
              <w:pStyle w:val="TableParagraph"/>
              <w:spacing w:before="6" w:line="160" w:lineRule="exact"/>
              <w:ind w:left="447"/>
              <w:rPr>
                <w:sz w:val="15"/>
              </w:rPr>
            </w:pPr>
            <w:r>
              <w:rPr>
                <w:spacing w:val="-4"/>
                <w:sz w:val="15"/>
              </w:rPr>
              <w:t>the</w:t>
            </w:r>
            <w:r>
              <w:rPr>
                <w:spacing w:val="1"/>
                <w:sz w:val="15"/>
              </w:rPr>
              <w:t xml:space="preserve"> </w:t>
            </w:r>
            <w:r>
              <w:rPr>
                <w:spacing w:val="-4"/>
                <w:sz w:val="15"/>
              </w:rPr>
              <w:t>Judiciary</w:t>
            </w:r>
            <w:r>
              <w:rPr>
                <w:spacing w:val="2"/>
                <w:sz w:val="15"/>
              </w:rPr>
              <w:t xml:space="preserve"> </w:t>
            </w:r>
            <w:r>
              <w:rPr>
                <w:spacing w:val="-4"/>
                <w:sz w:val="15"/>
              </w:rPr>
              <w:t>in</w:t>
            </w:r>
            <w:r>
              <w:rPr>
                <w:spacing w:val="1"/>
                <w:sz w:val="15"/>
              </w:rPr>
              <w:t xml:space="preserve"> </w:t>
            </w:r>
            <w:r>
              <w:rPr>
                <w:spacing w:val="-4"/>
                <w:sz w:val="15"/>
              </w:rPr>
              <w:t>growing</w:t>
            </w:r>
            <w:r>
              <w:rPr>
                <w:spacing w:val="2"/>
                <w:sz w:val="15"/>
              </w:rPr>
              <w:t xml:space="preserve"> </w:t>
            </w:r>
            <w:r>
              <w:rPr>
                <w:spacing w:val="-5"/>
                <w:sz w:val="15"/>
              </w:rPr>
              <w:t>and</w:t>
            </w:r>
          </w:p>
        </w:tc>
        <w:tc>
          <w:tcPr>
            <w:tcW w:w="1274" w:type="dxa"/>
          </w:tcPr>
          <w:p w14:paraId="21E055C0" w14:textId="77777777" w:rsidR="00AC6F3C" w:rsidRDefault="00570E88">
            <w:pPr>
              <w:pStyle w:val="TableParagraph"/>
              <w:spacing w:before="6" w:line="160" w:lineRule="exact"/>
              <w:ind w:left="130"/>
              <w:rPr>
                <w:b/>
                <w:sz w:val="15"/>
              </w:rPr>
            </w:pPr>
            <w:r>
              <w:rPr>
                <w:b/>
                <w:spacing w:val="-2"/>
                <w:sz w:val="15"/>
              </w:rPr>
              <w:t>to</w:t>
            </w:r>
            <w:r>
              <w:rPr>
                <w:b/>
                <w:spacing w:val="-7"/>
                <w:sz w:val="15"/>
              </w:rPr>
              <w:t xml:space="preserve"> </w:t>
            </w:r>
            <w:r>
              <w:rPr>
                <w:b/>
                <w:spacing w:val="-2"/>
                <w:sz w:val="15"/>
              </w:rPr>
              <w:t>deadly</w:t>
            </w:r>
          </w:p>
        </w:tc>
        <w:tc>
          <w:tcPr>
            <w:tcW w:w="598" w:type="dxa"/>
          </w:tcPr>
          <w:p w14:paraId="36467D71" w14:textId="77777777" w:rsidR="00AC6F3C" w:rsidRDefault="00AC6F3C">
            <w:pPr>
              <w:pStyle w:val="TableParagraph"/>
              <w:rPr>
                <w:rFonts w:ascii="Times New Roman"/>
                <w:sz w:val="12"/>
              </w:rPr>
            </w:pPr>
          </w:p>
        </w:tc>
        <w:tc>
          <w:tcPr>
            <w:tcW w:w="3593" w:type="dxa"/>
          </w:tcPr>
          <w:p w14:paraId="494737F5" w14:textId="77777777" w:rsidR="00AC6F3C" w:rsidRDefault="00570E88">
            <w:pPr>
              <w:pStyle w:val="TableParagraph"/>
              <w:spacing w:before="6" w:line="160" w:lineRule="exact"/>
              <w:ind w:left="26"/>
              <w:rPr>
                <w:sz w:val="15"/>
              </w:rPr>
            </w:pPr>
            <w:r>
              <w:rPr>
                <w:spacing w:val="-4"/>
                <w:sz w:val="15"/>
              </w:rPr>
              <w:t>explored</w:t>
            </w:r>
            <w:r>
              <w:rPr>
                <w:sz w:val="15"/>
              </w:rPr>
              <w:t xml:space="preserve"> </w:t>
            </w:r>
            <w:r>
              <w:rPr>
                <w:spacing w:val="-4"/>
                <w:sz w:val="15"/>
              </w:rPr>
              <w:t>to</w:t>
            </w:r>
            <w:r>
              <w:rPr>
                <w:sz w:val="15"/>
              </w:rPr>
              <w:t xml:space="preserve"> </w:t>
            </w:r>
            <w:r>
              <w:rPr>
                <w:spacing w:val="-4"/>
                <w:sz w:val="15"/>
              </w:rPr>
              <w:t>hold</w:t>
            </w:r>
            <w:r>
              <w:rPr>
                <w:sz w:val="15"/>
              </w:rPr>
              <w:t xml:space="preserve"> </w:t>
            </w:r>
            <w:r>
              <w:rPr>
                <w:spacing w:val="-4"/>
                <w:sz w:val="15"/>
              </w:rPr>
              <w:t>a</w:t>
            </w:r>
            <w:r>
              <w:rPr>
                <w:sz w:val="15"/>
              </w:rPr>
              <w:t xml:space="preserve"> </w:t>
            </w:r>
            <w:r>
              <w:rPr>
                <w:spacing w:val="-4"/>
                <w:sz w:val="15"/>
              </w:rPr>
              <w:t>First</w:t>
            </w:r>
            <w:r>
              <w:rPr>
                <w:sz w:val="15"/>
              </w:rPr>
              <w:t xml:space="preserve"> </w:t>
            </w:r>
            <w:r>
              <w:rPr>
                <w:spacing w:val="-4"/>
                <w:sz w:val="15"/>
              </w:rPr>
              <w:t>Nations</w:t>
            </w:r>
            <w:r>
              <w:rPr>
                <w:sz w:val="15"/>
              </w:rPr>
              <w:t xml:space="preserve"> </w:t>
            </w:r>
            <w:r>
              <w:rPr>
                <w:spacing w:val="-4"/>
                <w:sz w:val="15"/>
              </w:rPr>
              <w:t>Workshop</w:t>
            </w:r>
            <w:r>
              <w:rPr>
                <w:sz w:val="15"/>
              </w:rPr>
              <w:t xml:space="preserve"> </w:t>
            </w:r>
            <w:r>
              <w:rPr>
                <w:spacing w:val="-4"/>
                <w:sz w:val="15"/>
              </w:rPr>
              <w:t>prior</w:t>
            </w:r>
            <w:r>
              <w:rPr>
                <w:sz w:val="15"/>
              </w:rPr>
              <w:t xml:space="preserve"> </w:t>
            </w:r>
            <w:r>
              <w:rPr>
                <w:spacing w:val="-5"/>
                <w:sz w:val="15"/>
              </w:rPr>
              <w:t>to</w:t>
            </w:r>
          </w:p>
        </w:tc>
      </w:tr>
      <w:tr w:rsidR="00AC6F3C" w14:paraId="0E6EA816" w14:textId="77777777">
        <w:trPr>
          <w:trHeight w:val="186"/>
        </w:trPr>
        <w:tc>
          <w:tcPr>
            <w:tcW w:w="1268" w:type="dxa"/>
          </w:tcPr>
          <w:p w14:paraId="7FF38E08" w14:textId="77777777" w:rsidR="00AC6F3C" w:rsidRDefault="00AC6F3C">
            <w:pPr>
              <w:pStyle w:val="TableParagraph"/>
              <w:rPr>
                <w:rFonts w:ascii="Times New Roman"/>
                <w:sz w:val="12"/>
              </w:rPr>
            </w:pPr>
          </w:p>
        </w:tc>
        <w:tc>
          <w:tcPr>
            <w:tcW w:w="2622" w:type="dxa"/>
          </w:tcPr>
          <w:p w14:paraId="3D9CB57A" w14:textId="77777777" w:rsidR="00AC6F3C" w:rsidRDefault="00570E88">
            <w:pPr>
              <w:pStyle w:val="TableParagraph"/>
              <w:spacing w:before="6" w:line="160" w:lineRule="exact"/>
              <w:ind w:right="128"/>
              <w:jc w:val="right"/>
              <w:rPr>
                <w:sz w:val="15"/>
              </w:rPr>
            </w:pPr>
            <w:r>
              <w:rPr>
                <w:spacing w:val="-4"/>
                <w:sz w:val="15"/>
              </w:rPr>
              <w:t>advancing</w:t>
            </w:r>
            <w:r>
              <w:rPr>
                <w:spacing w:val="1"/>
                <w:sz w:val="15"/>
              </w:rPr>
              <w:t xml:space="preserve"> </w:t>
            </w:r>
            <w:r>
              <w:rPr>
                <w:spacing w:val="-4"/>
                <w:sz w:val="15"/>
              </w:rPr>
              <w:t>Cultural</w:t>
            </w:r>
            <w:r>
              <w:rPr>
                <w:sz w:val="15"/>
              </w:rPr>
              <w:t xml:space="preserve"> </w:t>
            </w:r>
            <w:r>
              <w:rPr>
                <w:spacing w:val="-4"/>
                <w:sz w:val="15"/>
              </w:rPr>
              <w:t>Competency</w:t>
            </w:r>
          </w:p>
        </w:tc>
        <w:tc>
          <w:tcPr>
            <w:tcW w:w="1274" w:type="dxa"/>
          </w:tcPr>
          <w:p w14:paraId="3FEAEACD" w14:textId="77777777" w:rsidR="00AC6F3C" w:rsidRDefault="00AC6F3C">
            <w:pPr>
              <w:pStyle w:val="TableParagraph"/>
              <w:rPr>
                <w:rFonts w:ascii="Times New Roman"/>
                <w:sz w:val="12"/>
              </w:rPr>
            </w:pPr>
          </w:p>
        </w:tc>
        <w:tc>
          <w:tcPr>
            <w:tcW w:w="598" w:type="dxa"/>
          </w:tcPr>
          <w:p w14:paraId="323EA060" w14:textId="77777777" w:rsidR="00AC6F3C" w:rsidRDefault="00AC6F3C">
            <w:pPr>
              <w:pStyle w:val="TableParagraph"/>
              <w:rPr>
                <w:rFonts w:ascii="Times New Roman"/>
                <w:sz w:val="12"/>
              </w:rPr>
            </w:pPr>
          </w:p>
        </w:tc>
        <w:tc>
          <w:tcPr>
            <w:tcW w:w="3593" w:type="dxa"/>
          </w:tcPr>
          <w:p w14:paraId="279B5DEA" w14:textId="77777777" w:rsidR="00AC6F3C" w:rsidRDefault="00570E88">
            <w:pPr>
              <w:pStyle w:val="TableParagraph"/>
              <w:spacing w:before="6" w:line="160" w:lineRule="exact"/>
              <w:ind w:left="26"/>
              <w:rPr>
                <w:sz w:val="15"/>
              </w:rPr>
            </w:pPr>
            <w:r>
              <w:rPr>
                <w:spacing w:val="-4"/>
                <w:sz w:val="15"/>
              </w:rPr>
              <w:t>the</w:t>
            </w:r>
            <w:r>
              <w:rPr>
                <w:spacing w:val="-1"/>
                <w:sz w:val="15"/>
              </w:rPr>
              <w:t xml:space="preserve"> </w:t>
            </w:r>
            <w:r>
              <w:rPr>
                <w:spacing w:val="-4"/>
                <w:sz w:val="15"/>
              </w:rPr>
              <w:t>Awards</w:t>
            </w:r>
            <w:r>
              <w:rPr>
                <w:sz w:val="15"/>
              </w:rPr>
              <w:t xml:space="preserve"> </w:t>
            </w:r>
            <w:r>
              <w:rPr>
                <w:spacing w:val="-4"/>
                <w:sz w:val="15"/>
              </w:rPr>
              <w:t>Gala</w:t>
            </w:r>
            <w:r>
              <w:rPr>
                <w:spacing w:val="-1"/>
                <w:sz w:val="15"/>
              </w:rPr>
              <w:t xml:space="preserve"> </w:t>
            </w:r>
            <w:r>
              <w:rPr>
                <w:spacing w:val="-4"/>
                <w:sz w:val="15"/>
              </w:rPr>
              <w:t>2023.</w:t>
            </w:r>
            <w:r>
              <w:rPr>
                <w:sz w:val="15"/>
              </w:rPr>
              <w:t xml:space="preserve"> </w:t>
            </w:r>
            <w:r>
              <w:rPr>
                <w:spacing w:val="-4"/>
                <w:sz w:val="15"/>
              </w:rPr>
              <w:t>Following</w:t>
            </w:r>
            <w:r>
              <w:rPr>
                <w:spacing w:val="-1"/>
                <w:sz w:val="15"/>
              </w:rPr>
              <w:t xml:space="preserve"> </w:t>
            </w:r>
            <w:r>
              <w:rPr>
                <w:spacing w:val="-4"/>
                <w:sz w:val="15"/>
              </w:rPr>
              <w:t>the</w:t>
            </w:r>
            <w:r>
              <w:rPr>
                <w:sz w:val="15"/>
              </w:rPr>
              <w:t xml:space="preserve"> </w:t>
            </w:r>
            <w:r>
              <w:rPr>
                <w:spacing w:val="-4"/>
                <w:sz w:val="15"/>
              </w:rPr>
              <w:t>initial</w:t>
            </w:r>
            <w:r>
              <w:rPr>
                <w:spacing w:val="-1"/>
                <w:sz w:val="15"/>
              </w:rPr>
              <w:t xml:space="preserve"> </w:t>
            </w:r>
            <w:r>
              <w:rPr>
                <w:spacing w:val="-4"/>
                <w:sz w:val="15"/>
              </w:rPr>
              <w:t>pitch,</w:t>
            </w:r>
            <w:r>
              <w:rPr>
                <w:sz w:val="15"/>
              </w:rPr>
              <w:t xml:space="preserve"> </w:t>
            </w:r>
            <w:r>
              <w:rPr>
                <w:spacing w:val="-5"/>
                <w:sz w:val="15"/>
              </w:rPr>
              <w:t>the</w:t>
            </w:r>
          </w:p>
        </w:tc>
      </w:tr>
      <w:tr w:rsidR="00AC6F3C" w14:paraId="66CBCFED" w14:textId="77777777">
        <w:trPr>
          <w:trHeight w:val="185"/>
        </w:trPr>
        <w:tc>
          <w:tcPr>
            <w:tcW w:w="1268" w:type="dxa"/>
          </w:tcPr>
          <w:p w14:paraId="463311CF" w14:textId="77777777" w:rsidR="00AC6F3C" w:rsidRDefault="00AC6F3C">
            <w:pPr>
              <w:pStyle w:val="TableParagraph"/>
              <w:rPr>
                <w:rFonts w:ascii="Times New Roman"/>
                <w:sz w:val="12"/>
              </w:rPr>
            </w:pPr>
          </w:p>
        </w:tc>
        <w:tc>
          <w:tcPr>
            <w:tcW w:w="2622" w:type="dxa"/>
          </w:tcPr>
          <w:p w14:paraId="303F066B" w14:textId="77777777" w:rsidR="00AC6F3C" w:rsidRDefault="00AC6F3C">
            <w:pPr>
              <w:pStyle w:val="TableParagraph"/>
              <w:rPr>
                <w:rFonts w:ascii="Times New Roman"/>
                <w:sz w:val="12"/>
              </w:rPr>
            </w:pPr>
          </w:p>
        </w:tc>
        <w:tc>
          <w:tcPr>
            <w:tcW w:w="1274" w:type="dxa"/>
          </w:tcPr>
          <w:p w14:paraId="7CE61700" w14:textId="77777777" w:rsidR="00AC6F3C" w:rsidRDefault="00AC6F3C">
            <w:pPr>
              <w:pStyle w:val="TableParagraph"/>
              <w:rPr>
                <w:rFonts w:ascii="Times New Roman"/>
                <w:sz w:val="12"/>
              </w:rPr>
            </w:pPr>
          </w:p>
        </w:tc>
        <w:tc>
          <w:tcPr>
            <w:tcW w:w="598" w:type="dxa"/>
          </w:tcPr>
          <w:p w14:paraId="220D5CEE" w14:textId="77777777" w:rsidR="00AC6F3C" w:rsidRDefault="00AC6F3C">
            <w:pPr>
              <w:pStyle w:val="TableParagraph"/>
              <w:rPr>
                <w:rFonts w:ascii="Times New Roman"/>
                <w:sz w:val="12"/>
              </w:rPr>
            </w:pPr>
          </w:p>
        </w:tc>
        <w:tc>
          <w:tcPr>
            <w:tcW w:w="3593" w:type="dxa"/>
          </w:tcPr>
          <w:p w14:paraId="75B2C8BC" w14:textId="77777777" w:rsidR="00AC6F3C" w:rsidRDefault="00570E88">
            <w:pPr>
              <w:pStyle w:val="TableParagraph"/>
              <w:spacing w:before="6" w:line="160" w:lineRule="exact"/>
              <w:ind w:left="26"/>
              <w:rPr>
                <w:sz w:val="15"/>
              </w:rPr>
            </w:pPr>
            <w:r>
              <w:rPr>
                <w:spacing w:val="-4"/>
                <w:sz w:val="15"/>
              </w:rPr>
              <w:t>initiative</w:t>
            </w:r>
            <w:r>
              <w:rPr>
                <w:spacing w:val="-2"/>
                <w:sz w:val="15"/>
              </w:rPr>
              <w:t xml:space="preserve"> </w:t>
            </w:r>
            <w:r>
              <w:rPr>
                <w:spacing w:val="-4"/>
                <w:sz w:val="15"/>
              </w:rPr>
              <w:t>was</w:t>
            </w:r>
            <w:r>
              <w:rPr>
                <w:spacing w:val="-1"/>
                <w:sz w:val="15"/>
              </w:rPr>
              <w:t xml:space="preserve"> </w:t>
            </w:r>
            <w:r>
              <w:rPr>
                <w:spacing w:val="-4"/>
                <w:sz w:val="15"/>
              </w:rPr>
              <w:t>not</w:t>
            </w:r>
            <w:r>
              <w:rPr>
                <w:spacing w:val="-1"/>
                <w:sz w:val="15"/>
              </w:rPr>
              <w:t xml:space="preserve"> </w:t>
            </w:r>
            <w:r>
              <w:rPr>
                <w:spacing w:val="-4"/>
                <w:sz w:val="15"/>
              </w:rPr>
              <w:t>progressed</w:t>
            </w:r>
            <w:r>
              <w:rPr>
                <w:spacing w:val="-1"/>
                <w:sz w:val="15"/>
              </w:rPr>
              <w:t xml:space="preserve"> </w:t>
            </w:r>
            <w:r>
              <w:rPr>
                <w:spacing w:val="-4"/>
                <w:sz w:val="15"/>
              </w:rPr>
              <w:t>due</w:t>
            </w:r>
            <w:r>
              <w:rPr>
                <w:spacing w:val="-1"/>
                <w:sz w:val="15"/>
              </w:rPr>
              <w:t xml:space="preserve"> </w:t>
            </w:r>
            <w:r>
              <w:rPr>
                <w:spacing w:val="-4"/>
                <w:sz w:val="15"/>
              </w:rPr>
              <w:t>to</w:t>
            </w:r>
            <w:r>
              <w:rPr>
                <w:spacing w:val="-2"/>
                <w:sz w:val="15"/>
              </w:rPr>
              <w:t xml:space="preserve"> </w:t>
            </w:r>
            <w:r>
              <w:rPr>
                <w:spacing w:val="-4"/>
                <w:sz w:val="15"/>
              </w:rPr>
              <w:t>work</w:t>
            </w:r>
            <w:r>
              <w:rPr>
                <w:spacing w:val="-1"/>
                <w:sz w:val="15"/>
              </w:rPr>
              <w:t xml:space="preserve"> </w:t>
            </w:r>
            <w:r>
              <w:rPr>
                <w:spacing w:val="-4"/>
                <w:sz w:val="15"/>
              </w:rPr>
              <w:t>capacity</w:t>
            </w:r>
          </w:p>
        </w:tc>
      </w:tr>
      <w:tr w:rsidR="00AC6F3C" w14:paraId="75BD8522" w14:textId="77777777">
        <w:trPr>
          <w:trHeight w:val="185"/>
        </w:trPr>
        <w:tc>
          <w:tcPr>
            <w:tcW w:w="1268" w:type="dxa"/>
          </w:tcPr>
          <w:p w14:paraId="33F4AC36" w14:textId="77777777" w:rsidR="00AC6F3C" w:rsidRDefault="00AC6F3C">
            <w:pPr>
              <w:pStyle w:val="TableParagraph"/>
              <w:rPr>
                <w:rFonts w:ascii="Times New Roman"/>
                <w:sz w:val="12"/>
              </w:rPr>
            </w:pPr>
          </w:p>
        </w:tc>
        <w:tc>
          <w:tcPr>
            <w:tcW w:w="2622" w:type="dxa"/>
          </w:tcPr>
          <w:p w14:paraId="4C7F69C9" w14:textId="77777777" w:rsidR="00AC6F3C" w:rsidRDefault="00AC6F3C">
            <w:pPr>
              <w:pStyle w:val="TableParagraph"/>
              <w:rPr>
                <w:rFonts w:ascii="Times New Roman"/>
                <w:sz w:val="12"/>
              </w:rPr>
            </w:pPr>
          </w:p>
        </w:tc>
        <w:tc>
          <w:tcPr>
            <w:tcW w:w="1274" w:type="dxa"/>
          </w:tcPr>
          <w:p w14:paraId="4F0A1983" w14:textId="77777777" w:rsidR="00AC6F3C" w:rsidRDefault="00AC6F3C">
            <w:pPr>
              <w:pStyle w:val="TableParagraph"/>
              <w:rPr>
                <w:rFonts w:ascii="Times New Roman"/>
                <w:sz w:val="12"/>
              </w:rPr>
            </w:pPr>
          </w:p>
        </w:tc>
        <w:tc>
          <w:tcPr>
            <w:tcW w:w="598" w:type="dxa"/>
          </w:tcPr>
          <w:p w14:paraId="51819A18" w14:textId="77777777" w:rsidR="00AC6F3C" w:rsidRDefault="00AC6F3C">
            <w:pPr>
              <w:pStyle w:val="TableParagraph"/>
              <w:rPr>
                <w:rFonts w:ascii="Times New Roman"/>
                <w:sz w:val="12"/>
              </w:rPr>
            </w:pPr>
          </w:p>
        </w:tc>
        <w:tc>
          <w:tcPr>
            <w:tcW w:w="3593" w:type="dxa"/>
          </w:tcPr>
          <w:p w14:paraId="74016CF2" w14:textId="77777777" w:rsidR="00AC6F3C" w:rsidRDefault="00570E88">
            <w:pPr>
              <w:pStyle w:val="TableParagraph"/>
              <w:spacing w:before="6" w:line="160" w:lineRule="exact"/>
              <w:ind w:left="26"/>
              <w:rPr>
                <w:sz w:val="15"/>
              </w:rPr>
            </w:pPr>
            <w:r>
              <w:rPr>
                <w:spacing w:val="-4"/>
                <w:sz w:val="15"/>
              </w:rPr>
              <w:t>and</w:t>
            </w:r>
            <w:r>
              <w:rPr>
                <w:sz w:val="15"/>
              </w:rPr>
              <w:t xml:space="preserve"> </w:t>
            </w:r>
            <w:r>
              <w:rPr>
                <w:spacing w:val="-4"/>
                <w:sz w:val="15"/>
              </w:rPr>
              <w:t>budget</w:t>
            </w:r>
            <w:r>
              <w:rPr>
                <w:sz w:val="15"/>
              </w:rPr>
              <w:t xml:space="preserve"> </w:t>
            </w:r>
            <w:r>
              <w:rPr>
                <w:spacing w:val="-4"/>
                <w:sz w:val="15"/>
              </w:rPr>
              <w:t>constraints.</w:t>
            </w:r>
            <w:r>
              <w:rPr>
                <w:sz w:val="15"/>
              </w:rPr>
              <w:t xml:space="preserve"> </w:t>
            </w:r>
            <w:r>
              <w:rPr>
                <w:spacing w:val="-4"/>
                <w:sz w:val="15"/>
              </w:rPr>
              <w:t>QLS</w:t>
            </w:r>
            <w:r>
              <w:rPr>
                <w:sz w:val="15"/>
              </w:rPr>
              <w:t xml:space="preserve"> </w:t>
            </w:r>
            <w:r>
              <w:rPr>
                <w:spacing w:val="-4"/>
                <w:sz w:val="15"/>
              </w:rPr>
              <w:t>will</w:t>
            </w:r>
            <w:r>
              <w:rPr>
                <w:sz w:val="15"/>
              </w:rPr>
              <w:t xml:space="preserve"> </w:t>
            </w:r>
            <w:r>
              <w:rPr>
                <w:spacing w:val="-4"/>
                <w:sz w:val="15"/>
              </w:rPr>
              <w:t>continue</w:t>
            </w:r>
            <w:r>
              <w:rPr>
                <w:sz w:val="15"/>
              </w:rPr>
              <w:t xml:space="preserve"> </w:t>
            </w:r>
            <w:r>
              <w:rPr>
                <w:spacing w:val="-4"/>
                <w:sz w:val="15"/>
              </w:rPr>
              <w:t>to</w:t>
            </w:r>
            <w:r>
              <w:rPr>
                <w:sz w:val="15"/>
              </w:rPr>
              <w:t xml:space="preserve"> </w:t>
            </w:r>
            <w:r>
              <w:rPr>
                <w:spacing w:val="-4"/>
                <w:sz w:val="15"/>
              </w:rPr>
              <w:t>have</w:t>
            </w:r>
          </w:p>
        </w:tc>
      </w:tr>
      <w:tr w:rsidR="00AC6F3C" w14:paraId="274F8F24" w14:textId="77777777">
        <w:trPr>
          <w:trHeight w:val="185"/>
        </w:trPr>
        <w:tc>
          <w:tcPr>
            <w:tcW w:w="1268" w:type="dxa"/>
          </w:tcPr>
          <w:p w14:paraId="02A9680F" w14:textId="77777777" w:rsidR="00AC6F3C" w:rsidRDefault="00AC6F3C">
            <w:pPr>
              <w:pStyle w:val="TableParagraph"/>
              <w:rPr>
                <w:rFonts w:ascii="Times New Roman"/>
                <w:sz w:val="12"/>
              </w:rPr>
            </w:pPr>
          </w:p>
        </w:tc>
        <w:tc>
          <w:tcPr>
            <w:tcW w:w="2622" w:type="dxa"/>
          </w:tcPr>
          <w:p w14:paraId="3809C0EC" w14:textId="77777777" w:rsidR="00AC6F3C" w:rsidRDefault="00AC6F3C">
            <w:pPr>
              <w:pStyle w:val="TableParagraph"/>
              <w:rPr>
                <w:rFonts w:ascii="Times New Roman"/>
                <w:sz w:val="12"/>
              </w:rPr>
            </w:pPr>
          </w:p>
        </w:tc>
        <w:tc>
          <w:tcPr>
            <w:tcW w:w="1274" w:type="dxa"/>
          </w:tcPr>
          <w:p w14:paraId="693ADD6C" w14:textId="77777777" w:rsidR="00AC6F3C" w:rsidRDefault="00AC6F3C">
            <w:pPr>
              <w:pStyle w:val="TableParagraph"/>
              <w:rPr>
                <w:rFonts w:ascii="Times New Roman"/>
                <w:sz w:val="12"/>
              </w:rPr>
            </w:pPr>
          </w:p>
        </w:tc>
        <w:tc>
          <w:tcPr>
            <w:tcW w:w="598" w:type="dxa"/>
          </w:tcPr>
          <w:p w14:paraId="124D7837" w14:textId="77777777" w:rsidR="00AC6F3C" w:rsidRDefault="00AC6F3C">
            <w:pPr>
              <w:pStyle w:val="TableParagraph"/>
              <w:rPr>
                <w:rFonts w:ascii="Times New Roman"/>
                <w:sz w:val="12"/>
              </w:rPr>
            </w:pPr>
          </w:p>
        </w:tc>
        <w:tc>
          <w:tcPr>
            <w:tcW w:w="3593" w:type="dxa"/>
          </w:tcPr>
          <w:p w14:paraId="410992BF" w14:textId="77777777" w:rsidR="00AC6F3C" w:rsidRDefault="00570E88">
            <w:pPr>
              <w:pStyle w:val="TableParagraph"/>
              <w:spacing w:before="6" w:line="160" w:lineRule="exact"/>
              <w:ind w:left="26"/>
              <w:rPr>
                <w:sz w:val="15"/>
              </w:rPr>
            </w:pPr>
            <w:r>
              <w:rPr>
                <w:spacing w:val="-4"/>
                <w:sz w:val="15"/>
              </w:rPr>
              <w:t>First</w:t>
            </w:r>
            <w:r>
              <w:rPr>
                <w:spacing w:val="1"/>
                <w:sz w:val="15"/>
              </w:rPr>
              <w:t xml:space="preserve"> </w:t>
            </w:r>
            <w:r>
              <w:rPr>
                <w:spacing w:val="-4"/>
                <w:sz w:val="15"/>
              </w:rPr>
              <w:t>Nations</w:t>
            </w:r>
            <w:r>
              <w:rPr>
                <w:spacing w:val="1"/>
                <w:sz w:val="15"/>
              </w:rPr>
              <w:t xml:space="preserve"> </w:t>
            </w:r>
            <w:r>
              <w:rPr>
                <w:spacing w:val="-4"/>
                <w:sz w:val="15"/>
              </w:rPr>
              <w:t>sessions</w:t>
            </w:r>
            <w:r>
              <w:rPr>
                <w:spacing w:val="2"/>
                <w:sz w:val="15"/>
              </w:rPr>
              <w:t xml:space="preserve"> </w:t>
            </w:r>
            <w:r>
              <w:rPr>
                <w:spacing w:val="-4"/>
                <w:sz w:val="15"/>
              </w:rPr>
              <w:t>to</w:t>
            </w:r>
            <w:r>
              <w:rPr>
                <w:spacing w:val="1"/>
                <w:sz w:val="15"/>
              </w:rPr>
              <w:t xml:space="preserve"> </w:t>
            </w:r>
            <w:r>
              <w:rPr>
                <w:spacing w:val="-4"/>
                <w:sz w:val="15"/>
              </w:rPr>
              <w:t>ensure</w:t>
            </w:r>
            <w:r>
              <w:rPr>
                <w:spacing w:val="2"/>
                <w:sz w:val="15"/>
              </w:rPr>
              <w:t xml:space="preserve"> </w:t>
            </w:r>
            <w:r>
              <w:rPr>
                <w:spacing w:val="-4"/>
                <w:sz w:val="15"/>
              </w:rPr>
              <w:t>representation</w:t>
            </w:r>
            <w:r>
              <w:rPr>
                <w:spacing w:val="1"/>
                <w:sz w:val="15"/>
              </w:rPr>
              <w:t xml:space="preserve"> </w:t>
            </w:r>
            <w:r>
              <w:rPr>
                <w:spacing w:val="-5"/>
                <w:sz w:val="15"/>
              </w:rPr>
              <w:t>at</w:t>
            </w:r>
          </w:p>
        </w:tc>
      </w:tr>
      <w:tr w:rsidR="00AC6F3C" w14:paraId="6281BB5B" w14:textId="77777777">
        <w:trPr>
          <w:trHeight w:val="257"/>
        </w:trPr>
        <w:tc>
          <w:tcPr>
            <w:tcW w:w="1268" w:type="dxa"/>
            <w:tcBorders>
              <w:bottom w:val="single" w:sz="2" w:space="0" w:color="000000"/>
            </w:tcBorders>
          </w:tcPr>
          <w:p w14:paraId="3233252E" w14:textId="77777777" w:rsidR="00AC6F3C" w:rsidRDefault="00AC6F3C">
            <w:pPr>
              <w:pStyle w:val="TableParagraph"/>
              <w:rPr>
                <w:rFonts w:ascii="Times New Roman"/>
                <w:sz w:val="14"/>
              </w:rPr>
            </w:pPr>
          </w:p>
        </w:tc>
        <w:tc>
          <w:tcPr>
            <w:tcW w:w="2622" w:type="dxa"/>
            <w:tcBorders>
              <w:bottom w:val="single" w:sz="2" w:space="0" w:color="000000"/>
            </w:tcBorders>
          </w:tcPr>
          <w:p w14:paraId="6F262C07" w14:textId="77777777" w:rsidR="00AC6F3C" w:rsidRDefault="00AC6F3C">
            <w:pPr>
              <w:pStyle w:val="TableParagraph"/>
              <w:rPr>
                <w:rFonts w:ascii="Times New Roman"/>
                <w:sz w:val="14"/>
              </w:rPr>
            </w:pPr>
          </w:p>
        </w:tc>
        <w:tc>
          <w:tcPr>
            <w:tcW w:w="1274" w:type="dxa"/>
            <w:tcBorders>
              <w:bottom w:val="single" w:sz="2" w:space="0" w:color="000000"/>
            </w:tcBorders>
          </w:tcPr>
          <w:p w14:paraId="2673EBFA" w14:textId="77777777" w:rsidR="00AC6F3C" w:rsidRDefault="00AC6F3C">
            <w:pPr>
              <w:pStyle w:val="TableParagraph"/>
              <w:rPr>
                <w:rFonts w:ascii="Times New Roman"/>
                <w:sz w:val="14"/>
              </w:rPr>
            </w:pPr>
          </w:p>
        </w:tc>
        <w:tc>
          <w:tcPr>
            <w:tcW w:w="598" w:type="dxa"/>
            <w:tcBorders>
              <w:bottom w:val="single" w:sz="2" w:space="0" w:color="000000"/>
            </w:tcBorders>
          </w:tcPr>
          <w:p w14:paraId="48308ACB" w14:textId="77777777" w:rsidR="00AC6F3C" w:rsidRDefault="00AC6F3C">
            <w:pPr>
              <w:pStyle w:val="TableParagraph"/>
              <w:rPr>
                <w:rFonts w:ascii="Times New Roman"/>
                <w:sz w:val="14"/>
              </w:rPr>
            </w:pPr>
          </w:p>
        </w:tc>
        <w:tc>
          <w:tcPr>
            <w:tcW w:w="3593" w:type="dxa"/>
            <w:tcBorders>
              <w:bottom w:val="single" w:sz="2" w:space="0" w:color="000000"/>
            </w:tcBorders>
          </w:tcPr>
          <w:p w14:paraId="094977B3" w14:textId="77777777" w:rsidR="00AC6F3C" w:rsidRDefault="00570E88">
            <w:pPr>
              <w:pStyle w:val="TableParagraph"/>
              <w:spacing w:before="6"/>
              <w:ind w:left="26"/>
              <w:rPr>
                <w:sz w:val="15"/>
              </w:rPr>
            </w:pPr>
            <w:r>
              <w:rPr>
                <w:spacing w:val="-5"/>
                <w:sz w:val="15"/>
              </w:rPr>
              <w:t>key</w:t>
            </w:r>
            <w:r>
              <w:rPr>
                <w:spacing w:val="-6"/>
                <w:sz w:val="15"/>
              </w:rPr>
              <w:t xml:space="preserve"> </w:t>
            </w:r>
            <w:r>
              <w:rPr>
                <w:spacing w:val="-2"/>
                <w:sz w:val="15"/>
              </w:rPr>
              <w:t>events.</w:t>
            </w:r>
          </w:p>
        </w:tc>
      </w:tr>
      <w:tr w:rsidR="00AC6F3C" w14:paraId="1F17312E" w14:textId="77777777">
        <w:trPr>
          <w:trHeight w:val="262"/>
        </w:trPr>
        <w:tc>
          <w:tcPr>
            <w:tcW w:w="1268" w:type="dxa"/>
            <w:tcBorders>
              <w:top w:val="single" w:sz="2" w:space="0" w:color="000000"/>
            </w:tcBorders>
          </w:tcPr>
          <w:p w14:paraId="25FD8E24" w14:textId="77777777" w:rsidR="00AC6F3C" w:rsidRDefault="00570E88">
            <w:pPr>
              <w:pStyle w:val="TableParagraph"/>
              <w:spacing w:before="83" w:line="160" w:lineRule="exact"/>
              <w:ind w:left="113"/>
              <w:rPr>
                <w:b/>
                <w:sz w:val="15"/>
              </w:rPr>
            </w:pPr>
            <w:r>
              <w:rPr>
                <w:b/>
                <w:spacing w:val="-4"/>
                <w:sz w:val="15"/>
              </w:rPr>
              <w:t>Connect</w:t>
            </w:r>
            <w:r>
              <w:rPr>
                <w:b/>
                <w:spacing w:val="3"/>
                <w:sz w:val="15"/>
              </w:rPr>
              <w:t xml:space="preserve"> </w:t>
            </w:r>
            <w:r>
              <w:rPr>
                <w:b/>
                <w:spacing w:val="-4"/>
                <w:sz w:val="15"/>
              </w:rPr>
              <w:t>Goal</w:t>
            </w:r>
          </w:p>
        </w:tc>
        <w:tc>
          <w:tcPr>
            <w:tcW w:w="2622" w:type="dxa"/>
            <w:tcBorders>
              <w:top w:val="single" w:sz="2" w:space="0" w:color="000000"/>
            </w:tcBorders>
          </w:tcPr>
          <w:p w14:paraId="0B42CD21" w14:textId="77777777" w:rsidR="00AC6F3C" w:rsidRDefault="00570E88">
            <w:pPr>
              <w:pStyle w:val="TableParagraph"/>
              <w:spacing w:before="83" w:line="160" w:lineRule="exact"/>
              <w:ind w:left="163"/>
              <w:rPr>
                <w:sz w:val="15"/>
              </w:rPr>
            </w:pPr>
            <w:r>
              <w:rPr>
                <w:spacing w:val="-2"/>
                <w:sz w:val="15"/>
              </w:rPr>
              <w:t>7.</w:t>
            </w:r>
            <w:r>
              <w:rPr>
                <w:spacing w:val="33"/>
                <w:sz w:val="15"/>
              </w:rPr>
              <w:t xml:space="preserve">  </w:t>
            </w:r>
            <w:r>
              <w:rPr>
                <w:spacing w:val="-2"/>
                <w:sz w:val="15"/>
              </w:rPr>
              <w:t>Promote,</w:t>
            </w:r>
            <w:r>
              <w:rPr>
                <w:spacing w:val="-7"/>
                <w:sz w:val="15"/>
              </w:rPr>
              <w:t xml:space="preserve"> </w:t>
            </w:r>
            <w:r>
              <w:rPr>
                <w:spacing w:val="-2"/>
                <w:sz w:val="15"/>
              </w:rPr>
              <w:t>and</w:t>
            </w:r>
            <w:r>
              <w:rPr>
                <w:spacing w:val="-9"/>
                <w:sz w:val="15"/>
              </w:rPr>
              <w:t xml:space="preserve"> </w:t>
            </w:r>
            <w:r>
              <w:rPr>
                <w:spacing w:val="-2"/>
                <w:sz w:val="15"/>
              </w:rPr>
              <w:t>connect</w:t>
            </w:r>
            <w:r>
              <w:rPr>
                <w:spacing w:val="-8"/>
                <w:sz w:val="15"/>
              </w:rPr>
              <w:t xml:space="preserve"> </w:t>
            </w:r>
            <w:r>
              <w:rPr>
                <w:spacing w:val="-2"/>
                <w:sz w:val="15"/>
              </w:rPr>
              <w:t>with</w:t>
            </w:r>
            <w:r>
              <w:rPr>
                <w:spacing w:val="-9"/>
                <w:sz w:val="15"/>
              </w:rPr>
              <w:t xml:space="preserve"> </w:t>
            </w:r>
            <w:r>
              <w:rPr>
                <w:spacing w:val="-5"/>
                <w:sz w:val="15"/>
              </w:rPr>
              <w:t>and</w:t>
            </w:r>
          </w:p>
        </w:tc>
        <w:tc>
          <w:tcPr>
            <w:tcW w:w="1274" w:type="dxa"/>
            <w:tcBorders>
              <w:top w:val="single" w:sz="2" w:space="0" w:color="000000"/>
            </w:tcBorders>
          </w:tcPr>
          <w:p w14:paraId="1CC41A7F" w14:textId="77777777" w:rsidR="00AC6F3C" w:rsidRDefault="00570E88">
            <w:pPr>
              <w:pStyle w:val="TableParagraph"/>
              <w:spacing w:before="83" w:line="160" w:lineRule="exact"/>
              <w:ind w:left="130"/>
              <w:rPr>
                <w:b/>
                <w:sz w:val="15"/>
              </w:rPr>
            </w:pPr>
            <w:r>
              <w:rPr>
                <w:b/>
                <w:spacing w:val="-4"/>
                <w:sz w:val="15"/>
              </w:rPr>
              <w:t>Proper</w:t>
            </w:r>
            <w:r>
              <w:rPr>
                <w:b/>
                <w:sz w:val="15"/>
              </w:rPr>
              <w:t xml:space="preserve"> </w:t>
            </w:r>
            <w:r>
              <w:rPr>
                <w:b/>
                <w:spacing w:val="-2"/>
                <w:sz w:val="15"/>
              </w:rPr>
              <w:t>deadly</w:t>
            </w:r>
          </w:p>
        </w:tc>
        <w:tc>
          <w:tcPr>
            <w:tcW w:w="598" w:type="dxa"/>
            <w:tcBorders>
              <w:top w:val="single" w:sz="2" w:space="0" w:color="000000"/>
            </w:tcBorders>
          </w:tcPr>
          <w:p w14:paraId="2A3933C2" w14:textId="77777777" w:rsidR="00AC6F3C" w:rsidRDefault="00570E88">
            <w:pPr>
              <w:pStyle w:val="TableParagraph"/>
              <w:spacing w:before="83" w:line="160" w:lineRule="exact"/>
              <w:ind w:left="170"/>
              <w:rPr>
                <w:sz w:val="15"/>
              </w:rPr>
            </w:pPr>
            <w:r>
              <w:rPr>
                <w:spacing w:val="-2"/>
                <w:sz w:val="15"/>
              </w:rPr>
              <w:t>7.1.1</w:t>
            </w:r>
          </w:p>
        </w:tc>
        <w:tc>
          <w:tcPr>
            <w:tcW w:w="3593" w:type="dxa"/>
            <w:tcBorders>
              <w:top w:val="single" w:sz="2" w:space="0" w:color="000000"/>
            </w:tcBorders>
          </w:tcPr>
          <w:p w14:paraId="6F83671A" w14:textId="77777777" w:rsidR="00AC6F3C" w:rsidRDefault="00570E88">
            <w:pPr>
              <w:pStyle w:val="TableParagraph"/>
              <w:spacing w:before="83" w:line="160" w:lineRule="exact"/>
              <w:ind w:left="26"/>
              <w:rPr>
                <w:sz w:val="15"/>
              </w:rPr>
            </w:pPr>
            <w:r>
              <w:rPr>
                <w:spacing w:val="-4"/>
                <w:sz w:val="15"/>
              </w:rPr>
              <w:t>ACHIEVED –</w:t>
            </w:r>
            <w:r>
              <w:rPr>
                <w:spacing w:val="-3"/>
                <w:sz w:val="15"/>
              </w:rPr>
              <w:t xml:space="preserve"> </w:t>
            </w:r>
            <w:r>
              <w:rPr>
                <w:spacing w:val="-4"/>
                <w:sz w:val="15"/>
              </w:rPr>
              <w:t>There were</w:t>
            </w:r>
            <w:r>
              <w:rPr>
                <w:spacing w:val="-3"/>
                <w:sz w:val="15"/>
              </w:rPr>
              <w:t xml:space="preserve"> </w:t>
            </w:r>
            <w:r>
              <w:rPr>
                <w:spacing w:val="-4"/>
                <w:sz w:val="15"/>
              </w:rPr>
              <w:t>11</w:t>
            </w:r>
            <w:r>
              <w:rPr>
                <w:spacing w:val="-3"/>
                <w:sz w:val="15"/>
              </w:rPr>
              <w:t xml:space="preserve"> </w:t>
            </w:r>
            <w:r>
              <w:rPr>
                <w:spacing w:val="-4"/>
                <w:sz w:val="15"/>
              </w:rPr>
              <w:t>First Nations</w:t>
            </w:r>
            <w:r>
              <w:rPr>
                <w:spacing w:val="-3"/>
                <w:sz w:val="15"/>
              </w:rPr>
              <w:t xml:space="preserve"> </w:t>
            </w:r>
            <w:r>
              <w:rPr>
                <w:spacing w:val="-4"/>
                <w:sz w:val="15"/>
              </w:rPr>
              <w:t>presenters</w:t>
            </w:r>
          </w:p>
        </w:tc>
      </w:tr>
      <w:tr w:rsidR="00AC6F3C" w14:paraId="1D831454" w14:textId="77777777">
        <w:trPr>
          <w:trHeight w:val="185"/>
        </w:trPr>
        <w:tc>
          <w:tcPr>
            <w:tcW w:w="1268" w:type="dxa"/>
          </w:tcPr>
          <w:p w14:paraId="57C6785E" w14:textId="77777777" w:rsidR="00AC6F3C" w:rsidRDefault="00AC6F3C">
            <w:pPr>
              <w:pStyle w:val="TableParagraph"/>
              <w:rPr>
                <w:rFonts w:ascii="Times New Roman"/>
                <w:sz w:val="12"/>
              </w:rPr>
            </w:pPr>
          </w:p>
        </w:tc>
        <w:tc>
          <w:tcPr>
            <w:tcW w:w="2622" w:type="dxa"/>
          </w:tcPr>
          <w:p w14:paraId="74049300" w14:textId="77777777" w:rsidR="00AC6F3C" w:rsidRDefault="00570E88">
            <w:pPr>
              <w:pStyle w:val="TableParagraph"/>
              <w:spacing w:before="6" w:line="160" w:lineRule="exact"/>
              <w:ind w:right="187"/>
              <w:jc w:val="right"/>
              <w:rPr>
                <w:sz w:val="15"/>
              </w:rPr>
            </w:pPr>
            <w:r>
              <w:rPr>
                <w:spacing w:val="-4"/>
                <w:sz w:val="15"/>
              </w:rPr>
              <w:t>raise</w:t>
            </w:r>
            <w:r>
              <w:rPr>
                <w:sz w:val="15"/>
              </w:rPr>
              <w:t xml:space="preserve"> </w:t>
            </w:r>
            <w:r>
              <w:rPr>
                <w:spacing w:val="-4"/>
                <w:sz w:val="15"/>
              </w:rPr>
              <w:t>the</w:t>
            </w:r>
            <w:r>
              <w:rPr>
                <w:sz w:val="15"/>
              </w:rPr>
              <w:t xml:space="preserve"> </w:t>
            </w:r>
            <w:r>
              <w:rPr>
                <w:spacing w:val="-4"/>
                <w:sz w:val="15"/>
              </w:rPr>
              <w:t>profile</w:t>
            </w:r>
            <w:r>
              <w:rPr>
                <w:spacing w:val="1"/>
                <w:sz w:val="15"/>
              </w:rPr>
              <w:t xml:space="preserve"> </w:t>
            </w:r>
            <w:r>
              <w:rPr>
                <w:spacing w:val="-4"/>
                <w:sz w:val="15"/>
              </w:rPr>
              <w:t>of</w:t>
            </w:r>
            <w:r>
              <w:rPr>
                <w:sz w:val="15"/>
              </w:rPr>
              <w:t xml:space="preserve"> </w:t>
            </w:r>
            <w:r>
              <w:rPr>
                <w:spacing w:val="-4"/>
                <w:sz w:val="15"/>
              </w:rPr>
              <w:t>First</w:t>
            </w:r>
            <w:r>
              <w:rPr>
                <w:sz w:val="15"/>
              </w:rPr>
              <w:t xml:space="preserve"> </w:t>
            </w:r>
            <w:r>
              <w:rPr>
                <w:spacing w:val="-4"/>
                <w:sz w:val="15"/>
              </w:rPr>
              <w:t>Nations</w:t>
            </w:r>
          </w:p>
        </w:tc>
        <w:tc>
          <w:tcPr>
            <w:tcW w:w="1274" w:type="dxa"/>
          </w:tcPr>
          <w:p w14:paraId="6E885392" w14:textId="77777777" w:rsidR="00AC6F3C" w:rsidRDefault="00AC6F3C">
            <w:pPr>
              <w:pStyle w:val="TableParagraph"/>
              <w:rPr>
                <w:rFonts w:ascii="Times New Roman"/>
                <w:sz w:val="12"/>
              </w:rPr>
            </w:pPr>
          </w:p>
        </w:tc>
        <w:tc>
          <w:tcPr>
            <w:tcW w:w="598" w:type="dxa"/>
          </w:tcPr>
          <w:p w14:paraId="7EFAE984" w14:textId="77777777" w:rsidR="00AC6F3C" w:rsidRDefault="00AC6F3C">
            <w:pPr>
              <w:pStyle w:val="TableParagraph"/>
              <w:rPr>
                <w:rFonts w:ascii="Times New Roman"/>
                <w:sz w:val="12"/>
              </w:rPr>
            </w:pPr>
          </w:p>
        </w:tc>
        <w:tc>
          <w:tcPr>
            <w:tcW w:w="3593" w:type="dxa"/>
          </w:tcPr>
          <w:p w14:paraId="7ADD794A" w14:textId="77777777" w:rsidR="00AC6F3C" w:rsidRDefault="00570E88">
            <w:pPr>
              <w:pStyle w:val="TableParagraph"/>
              <w:spacing w:before="6" w:line="160" w:lineRule="exact"/>
              <w:ind w:left="26"/>
              <w:rPr>
                <w:sz w:val="15"/>
              </w:rPr>
            </w:pPr>
            <w:r>
              <w:rPr>
                <w:spacing w:val="-4"/>
                <w:sz w:val="15"/>
              </w:rPr>
              <w:t>at</w:t>
            </w:r>
            <w:r>
              <w:rPr>
                <w:spacing w:val="-2"/>
                <w:sz w:val="15"/>
              </w:rPr>
              <w:t xml:space="preserve"> </w:t>
            </w:r>
            <w:r>
              <w:rPr>
                <w:spacing w:val="-4"/>
                <w:sz w:val="15"/>
              </w:rPr>
              <w:t>events</w:t>
            </w:r>
            <w:r>
              <w:rPr>
                <w:spacing w:val="-2"/>
                <w:sz w:val="15"/>
              </w:rPr>
              <w:t xml:space="preserve"> </w:t>
            </w:r>
            <w:r>
              <w:rPr>
                <w:spacing w:val="-4"/>
                <w:sz w:val="15"/>
              </w:rPr>
              <w:t>throughout</w:t>
            </w:r>
            <w:r>
              <w:rPr>
                <w:spacing w:val="-2"/>
                <w:sz w:val="15"/>
              </w:rPr>
              <w:t xml:space="preserve"> </w:t>
            </w:r>
            <w:r>
              <w:rPr>
                <w:spacing w:val="-4"/>
                <w:sz w:val="15"/>
              </w:rPr>
              <w:t>the</w:t>
            </w:r>
            <w:r>
              <w:rPr>
                <w:spacing w:val="-2"/>
                <w:sz w:val="15"/>
              </w:rPr>
              <w:t xml:space="preserve"> </w:t>
            </w:r>
            <w:r>
              <w:rPr>
                <w:spacing w:val="-4"/>
                <w:sz w:val="15"/>
              </w:rPr>
              <w:t>year</w:t>
            </w:r>
            <w:r>
              <w:rPr>
                <w:spacing w:val="-1"/>
                <w:sz w:val="15"/>
              </w:rPr>
              <w:t xml:space="preserve"> </w:t>
            </w:r>
            <w:r>
              <w:rPr>
                <w:spacing w:val="-4"/>
                <w:sz w:val="15"/>
              </w:rPr>
              <w:t>including</w:t>
            </w:r>
            <w:r>
              <w:rPr>
                <w:spacing w:val="-2"/>
                <w:sz w:val="15"/>
              </w:rPr>
              <w:t xml:space="preserve"> </w:t>
            </w:r>
            <w:r>
              <w:rPr>
                <w:spacing w:val="-4"/>
                <w:sz w:val="15"/>
              </w:rPr>
              <w:t>Symposium</w:t>
            </w:r>
          </w:p>
        </w:tc>
      </w:tr>
      <w:tr w:rsidR="00AC6F3C" w14:paraId="022FEA5F" w14:textId="77777777">
        <w:trPr>
          <w:trHeight w:val="186"/>
        </w:trPr>
        <w:tc>
          <w:tcPr>
            <w:tcW w:w="1268" w:type="dxa"/>
          </w:tcPr>
          <w:p w14:paraId="48AFAB83" w14:textId="77777777" w:rsidR="00AC6F3C" w:rsidRDefault="00AC6F3C">
            <w:pPr>
              <w:pStyle w:val="TableParagraph"/>
              <w:rPr>
                <w:rFonts w:ascii="Times New Roman"/>
                <w:sz w:val="12"/>
              </w:rPr>
            </w:pPr>
          </w:p>
        </w:tc>
        <w:tc>
          <w:tcPr>
            <w:tcW w:w="2622" w:type="dxa"/>
          </w:tcPr>
          <w:p w14:paraId="1653A7FE" w14:textId="77777777" w:rsidR="00AC6F3C" w:rsidRDefault="00570E88">
            <w:pPr>
              <w:pStyle w:val="TableParagraph"/>
              <w:spacing w:before="6" w:line="160" w:lineRule="exact"/>
              <w:ind w:right="144"/>
              <w:jc w:val="right"/>
              <w:rPr>
                <w:sz w:val="15"/>
              </w:rPr>
            </w:pPr>
            <w:r>
              <w:rPr>
                <w:spacing w:val="-4"/>
                <w:sz w:val="15"/>
              </w:rPr>
              <w:t>solicitors</w:t>
            </w:r>
            <w:r>
              <w:rPr>
                <w:spacing w:val="2"/>
                <w:sz w:val="15"/>
              </w:rPr>
              <w:t xml:space="preserve"> </w:t>
            </w:r>
            <w:r>
              <w:rPr>
                <w:spacing w:val="-4"/>
                <w:sz w:val="15"/>
              </w:rPr>
              <w:t>and</w:t>
            </w:r>
            <w:r>
              <w:rPr>
                <w:spacing w:val="2"/>
                <w:sz w:val="15"/>
              </w:rPr>
              <w:t xml:space="preserve"> </w:t>
            </w:r>
            <w:r>
              <w:rPr>
                <w:spacing w:val="-4"/>
                <w:sz w:val="15"/>
              </w:rPr>
              <w:t>First</w:t>
            </w:r>
            <w:r>
              <w:rPr>
                <w:spacing w:val="3"/>
                <w:sz w:val="15"/>
              </w:rPr>
              <w:t xml:space="preserve"> </w:t>
            </w:r>
            <w:r>
              <w:rPr>
                <w:spacing w:val="-4"/>
                <w:sz w:val="15"/>
              </w:rPr>
              <w:t>Nations</w:t>
            </w:r>
            <w:r>
              <w:rPr>
                <w:spacing w:val="2"/>
                <w:sz w:val="15"/>
              </w:rPr>
              <w:t xml:space="preserve"> </w:t>
            </w:r>
            <w:r>
              <w:rPr>
                <w:spacing w:val="-4"/>
                <w:sz w:val="15"/>
              </w:rPr>
              <w:t>legal</w:t>
            </w:r>
          </w:p>
        </w:tc>
        <w:tc>
          <w:tcPr>
            <w:tcW w:w="1274" w:type="dxa"/>
          </w:tcPr>
          <w:p w14:paraId="2260883A" w14:textId="77777777" w:rsidR="00AC6F3C" w:rsidRDefault="00AC6F3C">
            <w:pPr>
              <w:pStyle w:val="TableParagraph"/>
              <w:rPr>
                <w:rFonts w:ascii="Times New Roman"/>
                <w:sz w:val="12"/>
              </w:rPr>
            </w:pPr>
          </w:p>
        </w:tc>
        <w:tc>
          <w:tcPr>
            <w:tcW w:w="598" w:type="dxa"/>
          </w:tcPr>
          <w:p w14:paraId="6C56E173" w14:textId="77777777" w:rsidR="00AC6F3C" w:rsidRDefault="00AC6F3C">
            <w:pPr>
              <w:pStyle w:val="TableParagraph"/>
              <w:rPr>
                <w:rFonts w:ascii="Times New Roman"/>
                <w:sz w:val="12"/>
              </w:rPr>
            </w:pPr>
          </w:p>
        </w:tc>
        <w:tc>
          <w:tcPr>
            <w:tcW w:w="3593" w:type="dxa"/>
          </w:tcPr>
          <w:p w14:paraId="5C13E473" w14:textId="77777777" w:rsidR="00AC6F3C" w:rsidRDefault="00570E88">
            <w:pPr>
              <w:pStyle w:val="TableParagraph"/>
              <w:spacing w:before="6" w:line="160" w:lineRule="exact"/>
              <w:ind w:left="26"/>
              <w:rPr>
                <w:sz w:val="15"/>
              </w:rPr>
            </w:pPr>
            <w:r>
              <w:rPr>
                <w:spacing w:val="-4"/>
                <w:sz w:val="15"/>
              </w:rPr>
              <w:t>and</w:t>
            </w:r>
            <w:r>
              <w:rPr>
                <w:spacing w:val="-2"/>
                <w:sz w:val="15"/>
              </w:rPr>
              <w:t xml:space="preserve"> </w:t>
            </w:r>
            <w:r>
              <w:rPr>
                <w:spacing w:val="-4"/>
                <w:sz w:val="15"/>
              </w:rPr>
              <w:t>at</w:t>
            </w:r>
            <w:r>
              <w:rPr>
                <w:spacing w:val="-1"/>
                <w:sz w:val="15"/>
              </w:rPr>
              <w:t xml:space="preserve"> </w:t>
            </w:r>
            <w:r>
              <w:rPr>
                <w:spacing w:val="-4"/>
                <w:sz w:val="15"/>
              </w:rPr>
              <w:t>the</w:t>
            </w:r>
            <w:r>
              <w:rPr>
                <w:spacing w:val="-1"/>
                <w:sz w:val="15"/>
              </w:rPr>
              <w:t xml:space="preserve"> </w:t>
            </w:r>
            <w:r>
              <w:rPr>
                <w:spacing w:val="-4"/>
                <w:sz w:val="15"/>
              </w:rPr>
              <w:t>Access</w:t>
            </w:r>
            <w:r>
              <w:rPr>
                <w:spacing w:val="-1"/>
                <w:sz w:val="15"/>
              </w:rPr>
              <w:t xml:space="preserve"> </w:t>
            </w:r>
            <w:r>
              <w:rPr>
                <w:spacing w:val="-4"/>
                <w:sz w:val="15"/>
              </w:rPr>
              <w:t>to</w:t>
            </w:r>
            <w:r>
              <w:rPr>
                <w:spacing w:val="-1"/>
                <w:sz w:val="15"/>
              </w:rPr>
              <w:t xml:space="preserve"> </w:t>
            </w:r>
            <w:r>
              <w:rPr>
                <w:spacing w:val="-4"/>
                <w:sz w:val="15"/>
              </w:rPr>
              <w:t>Justice</w:t>
            </w:r>
            <w:r>
              <w:rPr>
                <w:spacing w:val="-1"/>
                <w:sz w:val="15"/>
              </w:rPr>
              <w:t xml:space="preserve"> </w:t>
            </w:r>
            <w:r>
              <w:rPr>
                <w:spacing w:val="-4"/>
                <w:sz w:val="15"/>
              </w:rPr>
              <w:t>Conference</w:t>
            </w:r>
          </w:p>
        </w:tc>
      </w:tr>
      <w:tr w:rsidR="00AC6F3C" w14:paraId="5DD8EF9A" w14:textId="77777777">
        <w:trPr>
          <w:trHeight w:val="228"/>
        </w:trPr>
        <w:tc>
          <w:tcPr>
            <w:tcW w:w="1268" w:type="dxa"/>
          </w:tcPr>
          <w:p w14:paraId="033EE2C8" w14:textId="77777777" w:rsidR="00AC6F3C" w:rsidRDefault="00AC6F3C">
            <w:pPr>
              <w:pStyle w:val="TableParagraph"/>
              <w:rPr>
                <w:rFonts w:ascii="Times New Roman"/>
                <w:sz w:val="14"/>
              </w:rPr>
            </w:pPr>
          </w:p>
        </w:tc>
        <w:tc>
          <w:tcPr>
            <w:tcW w:w="2622" w:type="dxa"/>
          </w:tcPr>
          <w:p w14:paraId="1E8EC2D7" w14:textId="77777777" w:rsidR="00AC6F3C" w:rsidRDefault="00570E88">
            <w:pPr>
              <w:pStyle w:val="TableParagraph"/>
              <w:spacing w:before="6"/>
              <w:ind w:left="446"/>
              <w:rPr>
                <w:sz w:val="15"/>
              </w:rPr>
            </w:pPr>
            <w:r>
              <w:rPr>
                <w:spacing w:val="-2"/>
                <w:sz w:val="15"/>
              </w:rPr>
              <w:t>students</w:t>
            </w:r>
          </w:p>
        </w:tc>
        <w:tc>
          <w:tcPr>
            <w:tcW w:w="1274" w:type="dxa"/>
          </w:tcPr>
          <w:p w14:paraId="65D574B6" w14:textId="77777777" w:rsidR="00AC6F3C" w:rsidRDefault="00AC6F3C">
            <w:pPr>
              <w:pStyle w:val="TableParagraph"/>
              <w:rPr>
                <w:rFonts w:ascii="Times New Roman"/>
                <w:sz w:val="14"/>
              </w:rPr>
            </w:pPr>
          </w:p>
        </w:tc>
        <w:tc>
          <w:tcPr>
            <w:tcW w:w="598" w:type="dxa"/>
          </w:tcPr>
          <w:p w14:paraId="48EB4EAC" w14:textId="77777777" w:rsidR="00AC6F3C" w:rsidRDefault="00570E88">
            <w:pPr>
              <w:pStyle w:val="TableParagraph"/>
              <w:spacing w:before="48" w:line="160" w:lineRule="exact"/>
              <w:ind w:left="170"/>
              <w:rPr>
                <w:sz w:val="15"/>
              </w:rPr>
            </w:pPr>
            <w:r>
              <w:rPr>
                <w:spacing w:val="-2"/>
                <w:sz w:val="15"/>
              </w:rPr>
              <w:t>7.2.1</w:t>
            </w:r>
          </w:p>
        </w:tc>
        <w:tc>
          <w:tcPr>
            <w:tcW w:w="3593" w:type="dxa"/>
          </w:tcPr>
          <w:p w14:paraId="0635ED30" w14:textId="77777777" w:rsidR="00AC6F3C" w:rsidRDefault="00570E88">
            <w:pPr>
              <w:pStyle w:val="TableParagraph"/>
              <w:spacing w:before="48" w:line="160" w:lineRule="exact"/>
              <w:ind w:left="26"/>
              <w:rPr>
                <w:sz w:val="15"/>
              </w:rPr>
            </w:pPr>
            <w:r>
              <w:rPr>
                <w:spacing w:val="-4"/>
                <w:sz w:val="15"/>
              </w:rPr>
              <w:t>ACHIEVED</w:t>
            </w:r>
            <w:r>
              <w:rPr>
                <w:sz w:val="15"/>
              </w:rPr>
              <w:t xml:space="preserve"> </w:t>
            </w:r>
            <w:r>
              <w:rPr>
                <w:spacing w:val="-4"/>
                <w:sz w:val="15"/>
              </w:rPr>
              <w:t>–</w:t>
            </w:r>
            <w:r>
              <w:rPr>
                <w:sz w:val="15"/>
              </w:rPr>
              <w:t xml:space="preserve"> </w:t>
            </w:r>
            <w:r>
              <w:rPr>
                <w:spacing w:val="-4"/>
                <w:sz w:val="15"/>
              </w:rPr>
              <w:t>There</w:t>
            </w:r>
            <w:r>
              <w:rPr>
                <w:spacing w:val="-1"/>
                <w:sz w:val="15"/>
              </w:rPr>
              <w:t xml:space="preserve"> </w:t>
            </w:r>
            <w:r>
              <w:rPr>
                <w:spacing w:val="-4"/>
                <w:sz w:val="15"/>
              </w:rPr>
              <w:t>were</w:t>
            </w:r>
            <w:r>
              <w:rPr>
                <w:sz w:val="15"/>
              </w:rPr>
              <w:t xml:space="preserve"> </w:t>
            </w:r>
            <w:r>
              <w:rPr>
                <w:spacing w:val="-4"/>
                <w:sz w:val="15"/>
              </w:rPr>
              <w:t>ten</w:t>
            </w:r>
            <w:r>
              <w:rPr>
                <w:sz w:val="15"/>
              </w:rPr>
              <w:t xml:space="preserve"> </w:t>
            </w:r>
            <w:r>
              <w:rPr>
                <w:spacing w:val="-4"/>
                <w:sz w:val="15"/>
              </w:rPr>
              <w:t>articles</w:t>
            </w:r>
            <w:r>
              <w:rPr>
                <w:sz w:val="15"/>
              </w:rPr>
              <w:t xml:space="preserve"> </w:t>
            </w:r>
            <w:r>
              <w:rPr>
                <w:spacing w:val="-4"/>
                <w:sz w:val="15"/>
              </w:rPr>
              <w:t>posted</w:t>
            </w:r>
            <w:r>
              <w:rPr>
                <w:sz w:val="15"/>
              </w:rPr>
              <w:t xml:space="preserve"> </w:t>
            </w:r>
            <w:r>
              <w:rPr>
                <w:spacing w:val="-4"/>
                <w:sz w:val="15"/>
              </w:rPr>
              <w:t>profiling</w:t>
            </w:r>
          </w:p>
        </w:tc>
      </w:tr>
      <w:tr w:rsidR="00AC6F3C" w14:paraId="20B1E05C" w14:textId="77777777">
        <w:trPr>
          <w:trHeight w:val="186"/>
        </w:trPr>
        <w:tc>
          <w:tcPr>
            <w:tcW w:w="1268" w:type="dxa"/>
          </w:tcPr>
          <w:p w14:paraId="666CC461" w14:textId="77777777" w:rsidR="00AC6F3C" w:rsidRDefault="00AC6F3C">
            <w:pPr>
              <w:pStyle w:val="TableParagraph"/>
              <w:rPr>
                <w:rFonts w:ascii="Times New Roman"/>
                <w:sz w:val="12"/>
              </w:rPr>
            </w:pPr>
          </w:p>
        </w:tc>
        <w:tc>
          <w:tcPr>
            <w:tcW w:w="2622" w:type="dxa"/>
          </w:tcPr>
          <w:p w14:paraId="75B6AA7B" w14:textId="77777777" w:rsidR="00AC6F3C" w:rsidRDefault="00AC6F3C">
            <w:pPr>
              <w:pStyle w:val="TableParagraph"/>
              <w:rPr>
                <w:rFonts w:ascii="Times New Roman"/>
                <w:sz w:val="12"/>
              </w:rPr>
            </w:pPr>
          </w:p>
        </w:tc>
        <w:tc>
          <w:tcPr>
            <w:tcW w:w="1274" w:type="dxa"/>
          </w:tcPr>
          <w:p w14:paraId="7BB72A70" w14:textId="77777777" w:rsidR="00AC6F3C" w:rsidRDefault="00AC6F3C">
            <w:pPr>
              <w:pStyle w:val="TableParagraph"/>
              <w:rPr>
                <w:rFonts w:ascii="Times New Roman"/>
                <w:sz w:val="12"/>
              </w:rPr>
            </w:pPr>
          </w:p>
        </w:tc>
        <w:tc>
          <w:tcPr>
            <w:tcW w:w="598" w:type="dxa"/>
          </w:tcPr>
          <w:p w14:paraId="3CE41156" w14:textId="77777777" w:rsidR="00AC6F3C" w:rsidRDefault="00AC6F3C">
            <w:pPr>
              <w:pStyle w:val="TableParagraph"/>
              <w:rPr>
                <w:rFonts w:ascii="Times New Roman"/>
                <w:sz w:val="12"/>
              </w:rPr>
            </w:pPr>
          </w:p>
        </w:tc>
        <w:tc>
          <w:tcPr>
            <w:tcW w:w="3593" w:type="dxa"/>
          </w:tcPr>
          <w:p w14:paraId="1479D375" w14:textId="77777777" w:rsidR="00AC6F3C" w:rsidRDefault="00570E88">
            <w:pPr>
              <w:pStyle w:val="TableParagraph"/>
              <w:spacing w:before="6" w:line="160" w:lineRule="exact"/>
              <w:ind w:left="26"/>
              <w:rPr>
                <w:sz w:val="15"/>
              </w:rPr>
            </w:pPr>
            <w:r>
              <w:rPr>
                <w:spacing w:val="-4"/>
                <w:sz w:val="15"/>
              </w:rPr>
              <w:t>First</w:t>
            </w:r>
            <w:r>
              <w:rPr>
                <w:spacing w:val="1"/>
                <w:sz w:val="15"/>
              </w:rPr>
              <w:t xml:space="preserve"> </w:t>
            </w:r>
            <w:r>
              <w:rPr>
                <w:spacing w:val="-4"/>
                <w:sz w:val="15"/>
              </w:rPr>
              <w:t>Nations</w:t>
            </w:r>
            <w:r>
              <w:rPr>
                <w:spacing w:val="2"/>
                <w:sz w:val="15"/>
              </w:rPr>
              <w:t xml:space="preserve"> </w:t>
            </w:r>
            <w:r>
              <w:rPr>
                <w:spacing w:val="-4"/>
                <w:sz w:val="15"/>
              </w:rPr>
              <w:t>solicitors,</w:t>
            </w:r>
            <w:r>
              <w:rPr>
                <w:spacing w:val="2"/>
                <w:sz w:val="15"/>
              </w:rPr>
              <w:t xml:space="preserve"> </w:t>
            </w:r>
            <w:r>
              <w:rPr>
                <w:spacing w:val="-4"/>
                <w:sz w:val="15"/>
              </w:rPr>
              <w:t>legal</w:t>
            </w:r>
            <w:r>
              <w:rPr>
                <w:spacing w:val="2"/>
                <w:sz w:val="15"/>
              </w:rPr>
              <w:t xml:space="preserve"> </w:t>
            </w:r>
            <w:r>
              <w:rPr>
                <w:spacing w:val="-4"/>
                <w:sz w:val="15"/>
              </w:rPr>
              <w:t>students</w:t>
            </w:r>
            <w:r>
              <w:rPr>
                <w:spacing w:val="2"/>
                <w:sz w:val="15"/>
              </w:rPr>
              <w:t xml:space="preserve"> </w:t>
            </w:r>
            <w:r>
              <w:rPr>
                <w:spacing w:val="-4"/>
                <w:sz w:val="15"/>
              </w:rPr>
              <w:t>and</w:t>
            </w:r>
            <w:r>
              <w:rPr>
                <w:spacing w:val="1"/>
                <w:sz w:val="15"/>
              </w:rPr>
              <w:t xml:space="preserve"> </w:t>
            </w:r>
            <w:r>
              <w:rPr>
                <w:spacing w:val="-4"/>
                <w:sz w:val="15"/>
              </w:rPr>
              <w:t>community</w:t>
            </w:r>
          </w:p>
        </w:tc>
      </w:tr>
      <w:tr w:rsidR="00AC6F3C" w14:paraId="05A155A7" w14:textId="77777777">
        <w:trPr>
          <w:trHeight w:val="257"/>
        </w:trPr>
        <w:tc>
          <w:tcPr>
            <w:tcW w:w="1268" w:type="dxa"/>
            <w:tcBorders>
              <w:bottom w:val="single" w:sz="2" w:space="0" w:color="000000"/>
            </w:tcBorders>
          </w:tcPr>
          <w:p w14:paraId="62F8ED61" w14:textId="77777777" w:rsidR="00AC6F3C" w:rsidRDefault="00AC6F3C">
            <w:pPr>
              <w:pStyle w:val="TableParagraph"/>
              <w:rPr>
                <w:rFonts w:ascii="Times New Roman"/>
                <w:sz w:val="14"/>
              </w:rPr>
            </w:pPr>
          </w:p>
        </w:tc>
        <w:tc>
          <w:tcPr>
            <w:tcW w:w="2622" w:type="dxa"/>
            <w:tcBorders>
              <w:bottom w:val="single" w:sz="2" w:space="0" w:color="000000"/>
            </w:tcBorders>
          </w:tcPr>
          <w:p w14:paraId="02B798C7" w14:textId="77777777" w:rsidR="00AC6F3C" w:rsidRDefault="00AC6F3C">
            <w:pPr>
              <w:pStyle w:val="TableParagraph"/>
              <w:rPr>
                <w:rFonts w:ascii="Times New Roman"/>
                <w:sz w:val="14"/>
              </w:rPr>
            </w:pPr>
          </w:p>
        </w:tc>
        <w:tc>
          <w:tcPr>
            <w:tcW w:w="1274" w:type="dxa"/>
            <w:tcBorders>
              <w:bottom w:val="single" w:sz="2" w:space="0" w:color="000000"/>
            </w:tcBorders>
          </w:tcPr>
          <w:p w14:paraId="586CCB68" w14:textId="77777777" w:rsidR="00AC6F3C" w:rsidRDefault="00AC6F3C">
            <w:pPr>
              <w:pStyle w:val="TableParagraph"/>
              <w:rPr>
                <w:rFonts w:ascii="Times New Roman"/>
                <w:sz w:val="14"/>
              </w:rPr>
            </w:pPr>
          </w:p>
        </w:tc>
        <w:tc>
          <w:tcPr>
            <w:tcW w:w="598" w:type="dxa"/>
            <w:tcBorders>
              <w:bottom w:val="single" w:sz="2" w:space="0" w:color="000000"/>
            </w:tcBorders>
          </w:tcPr>
          <w:p w14:paraId="60C428B4" w14:textId="77777777" w:rsidR="00AC6F3C" w:rsidRDefault="00AC6F3C">
            <w:pPr>
              <w:pStyle w:val="TableParagraph"/>
              <w:rPr>
                <w:rFonts w:ascii="Times New Roman"/>
                <w:sz w:val="14"/>
              </w:rPr>
            </w:pPr>
          </w:p>
        </w:tc>
        <w:tc>
          <w:tcPr>
            <w:tcW w:w="3593" w:type="dxa"/>
            <w:tcBorders>
              <w:bottom w:val="single" w:sz="2" w:space="0" w:color="000000"/>
            </w:tcBorders>
          </w:tcPr>
          <w:p w14:paraId="605A5CA7" w14:textId="77777777" w:rsidR="00AC6F3C" w:rsidRDefault="00570E88">
            <w:pPr>
              <w:pStyle w:val="TableParagraph"/>
              <w:spacing w:before="6"/>
              <w:ind w:left="26"/>
              <w:rPr>
                <w:sz w:val="15"/>
              </w:rPr>
            </w:pPr>
            <w:r>
              <w:rPr>
                <w:spacing w:val="-2"/>
                <w:sz w:val="15"/>
              </w:rPr>
              <w:t>issues</w:t>
            </w:r>
          </w:p>
        </w:tc>
      </w:tr>
      <w:tr w:rsidR="00AC6F3C" w14:paraId="462AB3C9" w14:textId="77777777">
        <w:trPr>
          <w:trHeight w:val="262"/>
        </w:trPr>
        <w:tc>
          <w:tcPr>
            <w:tcW w:w="1268" w:type="dxa"/>
            <w:tcBorders>
              <w:top w:val="single" w:sz="2" w:space="0" w:color="000000"/>
            </w:tcBorders>
          </w:tcPr>
          <w:p w14:paraId="195F9920" w14:textId="77777777" w:rsidR="00AC6F3C" w:rsidRDefault="00570E88">
            <w:pPr>
              <w:pStyle w:val="TableParagraph"/>
              <w:spacing w:before="83" w:line="160" w:lineRule="exact"/>
              <w:ind w:left="113"/>
              <w:rPr>
                <w:b/>
                <w:sz w:val="15"/>
              </w:rPr>
            </w:pPr>
            <w:r>
              <w:rPr>
                <w:b/>
                <w:spacing w:val="-4"/>
                <w:sz w:val="15"/>
              </w:rPr>
              <w:t>Connect</w:t>
            </w:r>
            <w:r>
              <w:rPr>
                <w:b/>
                <w:spacing w:val="3"/>
                <w:sz w:val="15"/>
              </w:rPr>
              <w:t xml:space="preserve"> </w:t>
            </w:r>
            <w:r>
              <w:rPr>
                <w:b/>
                <w:spacing w:val="-4"/>
                <w:sz w:val="15"/>
              </w:rPr>
              <w:t>Goal</w:t>
            </w:r>
          </w:p>
        </w:tc>
        <w:tc>
          <w:tcPr>
            <w:tcW w:w="2622" w:type="dxa"/>
            <w:tcBorders>
              <w:top w:val="single" w:sz="2" w:space="0" w:color="000000"/>
            </w:tcBorders>
          </w:tcPr>
          <w:p w14:paraId="03820F9C" w14:textId="77777777" w:rsidR="00AC6F3C" w:rsidRDefault="00570E88">
            <w:pPr>
              <w:pStyle w:val="TableParagraph"/>
              <w:spacing w:before="83" w:line="160" w:lineRule="exact"/>
              <w:ind w:left="163"/>
              <w:rPr>
                <w:sz w:val="15"/>
              </w:rPr>
            </w:pPr>
            <w:r>
              <w:rPr>
                <w:sz w:val="15"/>
              </w:rPr>
              <w:t>8.</w:t>
            </w:r>
            <w:r>
              <w:rPr>
                <w:spacing w:val="63"/>
                <w:w w:val="150"/>
                <w:sz w:val="15"/>
              </w:rPr>
              <w:t xml:space="preserve"> </w:t>
            </w:r>
            <w:proofErr w:type="spellStart"/>
            <w:r>
              <w:rPr>
                <w:sz w:val="15"/>
              </w:rPr>
              <w:t>Recognise</w:t>
            </w:r>
            <w:proofErr w:type="spellEnd"/>
            <w:r>
              <w:rPr>
                <w:spacing w:val="-10"/>
                <w:sz w:val="15"/>
              </w:rPr>
              <w:t xml:space="preserve"> </w:t>
            </w:r>
            <w:r>
              <w:rPr>
                <w:sz w:val="15"/>
              </w:rPr>
              <w:t>First</w:t>
            </w:r>
            <w:r>
              <w:rPr>
                <w:spacing w:val="-11"/>
                <w:sz w:val="15"/>
              </w:rPr>
              <w:t xml:space="preserve"> </w:t>
            </w:r>
            <w:r>
              <w:rPr>
                <w:spacing w:val="-2"/>
                <w:sz w:val="15"/>
              </w:rPr>
              <w:t>Nations</w:t>
            </w:r>
          </w:p>
        </w:tc>
        <w:tc>
          <w:tcPr>
            <w:tcW w:w="1274" w:type="dxa"/>
            <w:tcBorders>
              <w:top w:val="single" w:sz="2" w:space="0" w:color="000000"/>
            </w:tcBorders>
          </w:tcPr>
          <w:p w14:paraId="2F9D82E1" w14:textId="77777777" w:rsidR="00AC6F3C" w:rsidRDefault="00570E88">
            <w:pPr>
              <w:pStyle w:val="TableParagraph"/>
              <w:spacing w:before="83" w:line="160" w:lineRule="exact"/>
              <w:ind w:left="130"/>
              <w:rPr>
                <w:b/>
                <w:sz w:val="15"/>
              </w:rPr>
            </w:pPr>
            <w:r>
              <w:rPr>
                <w:b/>
                <w:spacing w:val="-2"/>
                <w:sz w:val="15"/>
              </w:rPr>
              <w:t>Deadly</w:t>
            </w:r>
          </w:p>
        </w:tc>
        <w:tc>
          <w:tcPr>
            <w:tcW w:w="598" w:type="dxa"/>
            <w:tcBorders>
              <w:top w:val="single" w:sz="2" w:space="0" w:color="000000"/>
            </w:tcBorders>
          </w:tcPr>
          <w:p w14:paraId="48B2B5D9" w14:textId="77777777" w:rsidR="00AC6F3C" w:rsidRDefault="00570E88">
            <w:pPr>
              <w:pStyle w:val="TableParagraph"/>
              <w:spacing w:before="83" w:line="160" w:lineRule="exact"/>
              <w:ind w:left="170"/>
              <w:rPr>
                <w:sz w:val="15"/>
              </w:rPr>
            </w:pPr>
            <w:r>
              <w:rPr>
                <w:spacing w:val="-2"/>
                <w:sz w:val="15"/>
              </w:rPr>
              <w:t>8.1.1</w:t>
            </w:r>
          </w:p>
        </w:tc>
        <w:tc>
          <w:tcPr>
            <w:tcW w:w="3593" w:type="dxa"/>
            <w:tcBorders>
              <w:top w:val="single" w:sz="2" w:space="0" w:color="000000"/>
            </w:tcBorders>
          </w:tcPr>
          <w:p w14:paraId="0AF723F2" w14:textId="77777777" w:rsidR="00AC6F3C" w:rsidRDefault="00570E88">
            <w:pPr>
              <w:pStyle w:val="TableParagraph"/>
              <w:spacing w:before="83" w:line="160" w:lineRule="exact"/>
              <w:ind w:left="26"/>
              <w:rPr>
                <w:sz w:val="15"/>
              </w:rPr>
            </w:pPr>
            <w:r>
              <w:rPr>
                <w:spacing w:val="-4"/>
                <w:sz w:val="15"/>
              </w:rPr>
              <w:t>ACHIEVED</w:t>
            </w:r>
            <w:r>
              <w:rPr>
                <w:sz w:val="15"/>
              </w:rPr>
              <w:t xml:space="preserve"> </w:t>
            </w:r>
            <w:r>
              <w:rPr>
                <w:spacing w:val="-4"/>
                <w:sz w:val="15"/>
              </w:rPr>
              <w:t>–</w:t>
            </w:r>
            <w:r>
              <w:rPr>
                <w:spacing w:val="1"/>
                <w:sz w:val="15"/>
              </w:rPr>
              <w:t xml:space="preserve"> </w:t>
            </w:r>
            <w:r>
              <w:rPr>
                <w:spacing w:val="-4"/>
                <w:sz w:val="15"/>
              </w:rPr>
              <w:t>First</w:t>
            </w:r>
            <w:r>
              <w:rPr>
                <w:spacing w:val="1"/>
                <w:sz w:val="15"/>
              </w:rPr>
              <w:t xml:space="preserve"> </w:t>
            </w:r>
            <w:r>
              <w:rPr>
                <w:spacing w:val="-4"/>
                <w:sz w:val="15"/>
              </w:rPr>
              <w:t>Nations</w:t>
            </w:r>
            <w:r>
              <w:rPr>
                <w:spacing w:val="1"/>
                <w:sz w:val="15"/>
              </w:rPr>
              <w:t xml:space="preserve"> </w:t>
            </w:r>
            <w:r>
              <w:rPr>
                <w:spacing w:val="-4"/>
                <w:sz w:val="15"/>
              </w:rPr>
              <w:t>Solicitors</w:t>
            </w:r>
            <w:r>
              <w:rPr>
                <w:spacing w:val="1"/>
                <w:sz w:val="15"/>
              </w:rPr>
              <w:t xml:space="preserve"> </w:t>
            </w:r>
            <w:r>
              <w:rPr>
                <w:spacing w:val="-4"/>
                <w:sz w:val="15"/>
              </w:rPr>
              <w:t>and</w:t>
            </w:r>
            <w:r>
              <w:rPr>
                <w:spacing w:val="1"/>
                <w:sz w:val="15"/>
              </w:rPr>
              <w:t xml:space="preserve"> </w:t>
            </w:r>
            <w:r>
              <w:rPr>
                <w:spacing w:val="-4"/>
                <w:sz w:val="15"/>
              </w:rPr>
              <w:t>Legal</w:t>
            </w:r>
          </w:p>
        </w:tc>
      </w:tr>
      <w:tr w:rsidR="00AC6F3C" w14:paraId="1EC5AB56" w14:textId="77777777">
        <w:trPr>
          <w:trHeight w:val="186"/>
        </w:trPr>
        <w:tc>
          <w:tcPr>
            <w:tcW w:w="1268" w:type="dxa"/>
          </w:tcPr>
          <w:p w14:paraId="6F3FFAB0" w14:textId="77777777" w:rsidR="00AC6F3C" w:rsidRDefault="00AC6F3C">
            <w:pPr>
              <w:pStyle w:val="TableParagraph"/>
              <w:rPr>
                <w:rFonts w:ascii="Times New Roman"/>
                <w:sz w:val="12"/>
              </w:rPr>
            </w:pPr>
          </w:p>
        </w:tc>
        <w:tc>
          <w:tcPr>
            <w:tcW w:w="2622" w:type="dxa"/>
          </w:tcPr>
          <w:p w14:paraId="04811585" w14:textId="77777777" w:rsidR="00AC6F3C" w:rsidRDefault="00570E88">
            <w:pPr>
              <w:pStyle w:val="TableParagraph"/>
              <w:spacing w:before="6" w:line="160" w:lineRule="exact"/>
              <w:ind w:left="446"/>
              <w:rPr>
                <w:sz w:val="15"/>
              </w:rPr>
            </w:pPr>
            <w:r>
              <w:rPr>
                <w:spacing w:val="-4"/>
                <w:sz w:val="15"/>
              </w:rPr>
              <w:t>Solicitors</w:t>
            </w:r>
            <w:r>
              <w:rPr>
                <w:sz w:val="15"/>
              </w:rPr>
              <w:t xml:space="preserve"> </w:t>
            </w:r>
            <w:r>
              <w:rPr>
                <w:spacing w:val="-4"/>
                <w:sz w:val="15"/>
              </w:rPr>
              <w:t>and</w:t>
            </w:r>
            <w:r>
              <w:rPr>
                <w:spacing w:val="2"/>
                <w:sz w:val="15"/>
              </w:rPr>
              <w:t xml:space="preserve"> </w:t>
            </w:r>
            <w:r>
              <w:rPr>
                <w:spacing w:val="-4"/>
                <w:sz w:val="15"/>
              </w:rPr>
              <w:t>First</w:t>
            </w:r>
            <w:r>
              <w:rPr>
                <w:spacing w:val="3"/>
                <w:sz w:val="15"/>
              </w:rPr>
              <w:t xml:space="preserve"> </w:t>
            </w:r>
            <w:r>
              <w:rPr>
                <w:spacing w:val="-4"/>
                <w:sz w:val="15"/>
              </w:rPr>
              <w:t>Nations</w:t>
            </w:r>
          </w:p>
        </w:tc>
        <w:tc>
          <w:tcPr>
            <w:tcW w:w="1274" w:type="dxa"/>
          </w:tcPr>
          <w:p w14:paraId="6723523A" w14:textId="77777777" w:rsidR="00AC6F3C" w:rsidRDefault="00AC6F3C">
            <w:pPr>
              <w:pStyle w:val="TableParagraph"/>
              <w:rPr>
                <w:rFonts w:ascii="Times New Roman"/>
                <w:sz w:val="12"/>
              </w:rPr>
            </w:pPr>
          </w:p>
        </w:tc>
        <w:tc>
          <w:tcPr>
            <w:tcW w:w="598" w:type="dxa"/>
          </w:tcPr>
          <w:p w14:paraId="51165CC7" w14:textId="77777777" w:rsidR="00AC6F3C" w:rsidRDefault="00AC6F3C">
            <w:pPr>
              <w:pStyle w:val="TableParagraph"/>
              <w:rPr>
                <w:rFonts w:ascii="Times New Roman"/>
                <w:sz w:val="12"/>
              </w:rPr>
            </w:pPr>
          </w:p>
        </w:tc>
        <w:tc>
          <w:tcPr>
            <w:tcW w:w="3593" w:type="dxa"/>
          </w:tcPr>
          <w:p w14:paraId="61F212BC" w14:textId="77777777" w:rsidR="00AC6F3C" w:rsidRDefault="00570E88">
            <w:pPr>
              <w:pStyle w:val="TableParagraph"/>
              <w:spacing w:before="6" w:line="160" w:lineRule="exact"/>
              <w:ind w:left="26"/>
              <w:rPr>
                <w:sz w:val="15"/>
              </w:rPr>
            </w:pPr>
            <w:r>
              <w:rPr>
                <w:spacing w:val="-4"/>
                <w:sz w:val="15"/>
              </w:rPr>
              <w:t>Students</w:t>
            </w:r>
            <w:r>
              <w:rPr>
                <w:spacing w:val="-2"/>
                <w:sz w:val="15"/>
              </w:rPr>
              <w:t xml:space="preserve"> </w:t>
            </w:r>
            <w:r>
              <w:rPr>
                <w:spacing w:val="-4"/>
                <w:sz w:val="15"/>
              </w:rPr>
              <w:t>Awards</w:t>
            </w:r>
            <w:r>
              <w:rPr>
                <w:spacing w:val="-2"/>
                <w:sz w:val="15"/>
              </w:rPr>
              <w:t xml:space="preserve"> </w:t>
            </w:r>
            <w:r>
              <w:rPr>
                <w:spacing w:val="-4"/>
                <w:sz w:val="15"/>
              </w:rPr>
              <w:t>held</w:t>
            </w:r>
            <w:r>
              <w:rPr>
                <w:spacing w:val="-2"/>
                <w:sz w:val="15"/>
              </w:rPr>
              <w:t xml:space="preserve"> </w:t>
            </w:r>
            <w:r>
              <w:rPr>
                <w:spacing w:val="-4"/>
                <w:sz w:val="15"/>
              </w:rPr>
              <w:t>August</w:t>
            </w:r>
            <w:r>
              <w:rPr>
                <w:spacing w:val="-1"/>
                <w:sz w:val="15"/>
              </w:rPr>
              <w:t xml:space="preserve"> </w:t>
            </w:r>
            <w:r>
              <w:rPr>
                <w:spacing w:val="-4"/>
                <w:sz w:val="15"/>
              </w:rPr>
              <w:t>2022</w:t>
            </w:r>
          </w:p>
        </w:tc>
      </w:tr>
      <w:tr w:rsidR="00AC6F3C" w14:paraId="76A65C2D" w14:textId="77777777">
        <w:trPr>
          <w:trHeight w:val="414"/>
        </w:trPr>
        <w:tc>
          <w:tcPr>
            <w:tcW w:w="1268" w:type="dxa"/>
          </w:tcPr>
          <w:p w14:paraId="204AD172" w14:textId="77777777" w:rsidR="00AC6F3C" w:rsidRDefault="00AC6F3C">
            <w:pPr>
              <w:pStyle w:val="TableParagraph"/>
              <w:rPr>
                <w:rFonts w:ascii="Times New Roman"/>
                <w:sz w:val="14"/>
              </w:rPr>
            </w:pPr>
          </w:p>
        </w:tc>
        <w:tc>
          <w:tcPr>
            <w:tcW w:w="2622" w:type="dxa"/>
          </w:tcPr>
          <w:p w14:paraId="7151B5AA" w14:textId="77777777" w:rsidR="00AC6F3C" w:rsidRDefault="00570E88">
            <w:pPr>
              <w:pStyle w:val="TableParagraph"/>
              <w:spacing w:before="6"/>
              <w:ind w:left="446"/>
              <w:rPr>
                <w:sz w:val="15"/>
              </w:rPr>
            </w:pPr>
            <w:r>
              <w:rPr>
                <w:spacing w:val="-4"/>
                <w:sz w:val="15"/>
              </w:rPr>
              <w:t>Legal</w:t>
            </w:r>
            <w:r>
              <w:rPr>
                <w:spacing w:val="-1"/>
                <w:sz w:val="15"/>
              </w:rPr>
              <w:t xml:space="preserve"> </w:t>
            </w:r>
            <w:r>
              <w:rPr>
                <w:spacing w:val="-4"/>
                <w:sz w:val="15"/>
              </w:rPr>
              <w:t>Students</w:t>
            </w:r>
            <w:r>
              <w:rPr>
                <w:sz w:val="15"/>
              </w:rPr>
              <w:t xml:space="preserve"> </w:t>
            </w:r>
            <w:r>
              <w:rPr>
                <w:spacing w:val="-4"/>
                <w:sz w:val="15"/>
              </w:rPr>
              <w:t>through</w:t>
            </w:r>
            <w:r>
              <w:rPr>
                <w:spacing w:val="-1"/>
                <w:sz w:val="15"/>
              </w:rPr>
              <w:t xml:space="preserve"> </w:t>
            </w:r>
            <w:r>
              <w:rPr>
                <w:spacing w:val="-4"/>
                <w:sz w:val="15"/>
              </w:rPr>
              <w:t>annual</w:t>
            </w:r>
          </w:p>
          <w:p w14:paraId="66B31DE3" w14:textId="77777777" w:rsidR="00AC6F3C" w:rsidRDefault="00570E88">
            <w:pPr>
              <w:pStyle w:val="TableParagraph"/>
              <w:spacing w:before="13"/>
              <w:ind w:left="446"/>
              <w:rPr>
                <w:sz w:val="15"/>
              </w:rPr>
            </w:pPr>
            <w:r>
              <w:rPr>
                <w:spacing w:val="-2"/>
                <w:sz w:val="15"/>
              </w:rPr>
              <w:t>Awards</w:t>
            </w:r>
          </w:p>
        </w:tc>
        <w:tc>
          <w:tcPr>
            <w:tcW w:w="1274" w:type="dxa"/>
          </w:tcPr>
          <w:p w14:paraId="008E734C" w14:textId="77777777" w:rsidR="00AC6F3C" w:rsidRDefault="00AC6F3C">
            <w:pPr>
              <w:pStyle w:val="TableParagraph"/>
              <w:rPr>
                <w:rFonts w:ascii="Times New Roman"/>
                <w:sz w:val="14"/>
              </w:rPr>
            </w:pPr>
          </w:p>
        </w:tc>
        <w:tc>
          <w:tcPr>
            <w:tcW w:w="598" w:type="dxa"/>
          </w:tcPr>
          <w:p w14:paraId="73E9D850" w14:textId="77777777" w:rsidR="00AC6F3C" w:rsidRDefault="00570E88">
            <w:pPr>
              <w:pStyle w:val="TableParagraph"/>
              <w:spacing w:before="48"/>
              <w:ind w:left="170"/>
              <w:rPr>
                <w:sz w:val="15"/>
              </w:rPr>
            </w:pPr>
            <w:r>
              <w:rPr>
                <w:spacing w:val="-2"/>
                <w:sz w:val="15"/>
              </w:rPr>
              <w:t>8.2.1</w:t>
            </w:r>
          </w:p>
        </w:tc>
        <w:tc>
          <w:tcPr>
            <w:tcW w:w="3593" w:type="dxa"/>
          </w:tcPr>
          <w:p w14:paraId="6D1C6D9F" w14:textId="77777777" w:rsidR="00AC6F3C" w:rsidRDefault="00570E88">
            <w:pPr>
              <w:pStyle w:val="TableParagraph"/>
              <w:spacing w:before="34" w:line="180" w:lineRule="atLeast"/>
              <w:ind w:left="26"/>
              <w:rPr>
                <w:sz w:val="15"/>
              </w:rPr>
            </w:pPr>
            <w:r>
              <w:rPr>
                <w:sz w:val="15"/>
              </w:rPr>
              <w:t>ACHIEVED</w:t>
            </w:r>
            <w:r>
              <w:rPr>
                <w:spacing w:val="-11"/>
                <w:sz w:val="15"/>
              </w:rPr>
              <w:t xml:space="preserve"> </w:t>
            </w:r>
            <w:r>
              <w:rPr>
                <w:sz w:val="15"/>
              </w:rPr>
              <w:t>–</w:t>
            </w:r>
            <w:r>
              <w:rPr>
                <w:spacing w:val="-10"/>
                <w:sz w:val="15"/>
              </w:rPr>
              <w:t xml:space="preserve"> </w:t>
            </w:r>
            <w:r>
              <w:rPr>
                <w:sz w:val="15"/>
              </w:rPr>
              <w:t>Nominations</w:t>
            </w:r>
            <w:r>
              <w:rPr>
                <w:spacing w:val="-11"/>
                <w:sz w:val="15"/>
              </w:rPr>
              <w:t xml:space="preserve"> </w:t>
            </w:r>
            <w:r>
              <w:rPr>
                <w:sz w:val="15"/>
              </w:rPr>
              <w:t>for</w:t>
            </w:r>
            <w:r>
              <w:rPr>
                <w:spacing w:val="-10"/>
                <w:sz w:val="15"/>
              </w:rPr>
              <w:t xml:space="preserve"> </w:t>
            </w:r>
            <w:r>
              <w:rPr>
                <w:sz w:val="15"/>
              </w:rPr>
              <w:t>the</w:t>
            </w:r>
            <w:r>
              <w:rPr>
                <w:spacing w:val="-11"/>
                <w:sz w:val="15"/>
              </w:rPr>
              <w:t xml:space="preserve"> </w:t>
            </w:r>
            <w:r>
              <w:rPr>
                <w:sz w:val="15"/>
              </w:rPr>
              <w:t>student</w:t>
            </w:r>
            <w:r>
              <w:rPr>
                <w:spacing w:val="-10"/>
                <w:sz w:val="15"/>
              </w:rPr>
              <w:t xml:space="preserve"> </w:t>
            </w:r>
            <w:r>
              <w:rPr>
                <w:sz w:val="15"/>
              </w:rPr>
              <w:t xml:space="preserve">category </w:t>
            </w:r>
            <w:r>
              <w:rPr>
                <w:spacing w:val="-4"/>
                <w:sz w:val="15"/>
              </w:rPr>
              <w:t>increased</w:t>
            </w:r>
            <w:r>
              <w:rPr>
                <w:spacing w:val="-9"/>
                <w:sz w:val="15"/>
              </w:rPr>
              <w:t xml:space="preserve"> </w:t>
            </w:r>
            <w:r>
              <w:rPr>
                <w:spacing w:val="-4"/>
                <w:sz w:val="15"/>
              </w:rPr>
              <w:t>to</w:t>
            </w:r>
            <w:r>
              <w:rPr>
                <w:spacing w:val="-9"/>
                <w:sz w:val="15"/>
              </w:rPr>
              <w:t xml:space="preserve"> </w:t>
            </w:r>
            <w:r>
              <w:rPr>
                <w:spacing w:val="-4"/>
                <w:sz w:val="15"/>
              </w:rPr>
              <w:t>six</w:t>
            </w:r>
            <w:r>
              <w:rPr>
                <w:spacing w:val="-9"/>
                <w:sz w:val="15"/>
              </w:rPr>
              <w:t xml:space="preserve"> </w:t>
            </w:r>
            <w:r>
              <w:rPr>
                <w:spacing w:val="-4"/>
                <w:sz w:val="15"/>
              </w:rPr>
              <w:t>nominations</w:t>
            </w:r>
            <w:r>
              <w:rPr>
                <w:spacing w:val="-9"/>
                <w:sz w:val="15"/>
              </w:rPr>
              <w:t xml:space="preserve"> </w:t>
            </w:r>
            <w:r>
              <w:rPr>
                <w:spacing w:val="-4"/>
                <w:sz w:val="15"/>
              </w:rPr>
              <w:t>while</w:t>
            </w:r>
            <w:r>
              <w:rPr>
                <w:spacing w:val="-9"/>
                <w:sz w:val="15"/>
              </w:rPr>
              <w:t xml:space="preserve"> </w:t>
            </w:r>
            <w:r>
              <w:rPr>
                <w:spacing w:val="-4"/>
                <w:sz w:val="15"/>
              </w:rPr>
              <w:t>solicitor</w:t>
            </w:r>
            <w:r>
              <w:rPr>
                <w:spacing w:val="-9"/>
                <w:sz w:val="15"/>
              </w:rPr>
              <w:t xml:space="preserve"> </w:t>
            </w:r>
            <w:r>
              <w:rPr>
                <w:spacing w:val="-4"/>
                <w:sz w:val="15"/>
              </w:rPr>
              <w:t>nominations</w:t>
            </w:r>
          </w:p>
        </w:tc>
      </w:tr>
      <w:tr w:rsidR="00AC6F3C" w14:paraId="645B27D3" w14:textId="77777777">
        <w:trPr>
          <w:trHeight w:val="207"/>
        </w:trPr>
        <w:tc>
          <w:tcPr>
            <w:tcW w:w="1268" w:type="dxa"/>
          </w:tcPr>
          <w:p w14:paraId="672B2E72" w14:textId="77777777" w:rsidR="00AC6F3C" w:rsidRDefault="00AC6F3C">
            <w:pPr>
              <w:pStyle w:val="TableParagraph"/>
              <w:rPr>
                <w:rFonts w:ascii="Times New Roman"/>
                <w:sz w:val="14"/>
              </w:rPr>
            </w:pPr>
          </w:p>
        </w:tc>
        <w:tc>
          <w:tcPr>
            <w:tcW w:w="2622" w:type="dxa"/>
          </w:tcPr>
          <w:p w14:paraId="7EA1AE3E" w14:textId="77777777" w:rsidR="00AC6F3C" w:rsidRDefault="00AC6F3C">
            <w:pPr>
              <w:pStyle w:val="TableParagraph"/>
              <w:rPr>
                <w:rFonts w:ascii="Times New Roman"/>
                <w:sz w:val="14"/>
              </w:rPr>
            </w:pPr>
          </w:p>
        </w:tc>
        <w:tc>
          <w:tcPr>
            <w:tcW w:w="1274" w:type="dxa"/>
          </w:tcPr>
          <w:p w14:paraId="1BA670C5" w14:textId="77777777" w:rsidR="00AC6F3C" w:rsidRDefault="00AC6F3C">
            <w:pPr>
              <w:pStyle w:val="TableParagraph"/>
              <w:rPr>
                <w:rFonts w:ascii="Times New Roman"/>
                <w:sz w:val="14"/>
              </w:rPr>
            </w:pPr>
          </w:p>
        </w:tc>
        <w:tc>
          <w:tcPr>
            <w:tcW w:w="598" w:type="dxa"/>
          </w:tcPr>
          <w:p w14:paraId="5B40ECF0" w14:textId="77777777" w:rsidR="00AC6F3C" w:rsidRDefault="00AC6F3C">
            <w:pPr>
              <w:pStyle w:val="TableParagraph"/>
              <w:rPr>
                <w:rFonts w:ascii="Times New Roman"/>
                <w:sz w:val="14"/>
              </w:rPr>
            </w:pPr>
          </w:p>
        </w:tc>
        <w:tc>
          <w:tcPr>
            <w:tcW w:w="3593" w:type="dxa"/>
          </w:tcPr>
          <w:p w14:paraId="64CE95F1" w14:textId="77777777" w:rsidR="00AC6F3C" w:rsidRDefault="00570E88">
            <w:pPr>
              <w:pStyle w:val="TableParagraph"/>
              <w:spacing w:before="6"/>
              <w:ind w:left="26"/>
              <w:rPr>
                <w:sz w:val="15"/>
              </w:rPr>
            </w:pPr>
            <w:r>
              <w:rPr>
                <w:spacing w:val="-4"/>
                <w:sz w:val="15"/>
              </w:rPr>
              <w:t>declined</w:t>
            </w:r>
            <w:r>
              <w:rPr>
                <w:spacing w:val="-8"/>
                <w:sz w:val="15"/>
              </w:rPr>
              <w:t xml:space="preserve"> </w:t>
            </w:r>
            <w:r>
              <w:rPr>
                <w:spacing w:val="-4"/>
                <w:sz w:val="15"/>
              </w:rPr>
              <w:t>slightly</w:t>
            </w:r>
            <w:r>
              <w:rPr>
                <w:spacing w:val="-8"/>
                <w:sz w:val="15"/>
              </w:rPr>
              <w:t xml:space="preserve"> </w:t>
            </w:r>
            <w:r>
              <w:rPr>
                <w:spacing w:val="-4"/>
                <w:sz w:val="15"/>
              </w:rPr>
              <w:t>in</w:t>
            </w:r>
            <w:r>
              <w:rPr>
                <w:spacing w:val="-8"/>
                <w:sz w:val="15"/>
              </w:rPr>
              <w:t xml:space="preserve"> </w:t>
            </w:r>
            <w:r>
              <w:rPr>
                <w:spacing w:val="-4"/>
                <w:sz w:val="15"/>
              </w:rPr>
              <w:t>2023</w:t>
            </w:r>
            <w:r>
              <w:rPr>
                <w:spacing w:val="-8"/>
                <w:sz w:val="15"/>
              </w:rPr>
              <w:t xml:space="preserve"> </w:t>
            </w:r>
            <w:r>
              <w:rPr>
                <w:spacing w:val="-4"/>
                <w:sz w:val="15"/>
              </w:rPr>
              <w:t>to</w:t>
            </w:r>
            <w:r>
              <w:rPr>
                <w:spacing w:val="-7"/>
                <w:sz w:val="15"/>
              </w:rPr>
              <w:t xml:space="preserve"> </w:t>
            </w:r>
            <w:r>
              <w:rPr>
                <w:spacing w:val="-4"/>
                <w:sz w:val="15"/>
              </w:rPr>
              <w:t>two</w:t>
            </w:r>
            <w:r>
              <w:rPr>
                <w:spacing w:val="-8"/>
                <w:sz w:val="15"/>
              </w:rPr>
              <w:t xml:space="preserve"> </w:t>
            </w:r>
            <w:r>
              <w:rPr>
                <w:spacing w:val="-4"/>
                <w:sz w:val="15"/>
              </w:rPr>
              <w:t>nominations.</w:t>
            </w:r>
          </w:p>
        </w:tc>
      </w:tr>
      <w:tr w:rsidR="00AC6F3C" w14:paraId="633049D4" w14:textId="77777777">
        <w:trPr>
          <w:trHeight w:val="207"/>
        </w:trPr>
        <w:tc>
          <w:tcPr>
            <w:tcW w:w="1268" w:type="dxa"/>
          </w:tcPr>
          <w:p w14:paraId="1813AB5D" w14:textId="77777777" w:rsidR="00AC6F3C" w:rsidRDefault="00AC6F3C">
            <w:pPr>
              <w:pStyle w:val="TableParagraph"/>
              <w:rPr>
                <w:rFonts w:ascii="Times New Roman"/>
                <w:sz w:val="14"/>
              </w:rPr>
            </w:pPr>
          </w:p>
        </w:tc>
        <w:tc>
          <w:tcPr>
            <w:tcW w:w="2622" w:type="dxa"/>
          </w:tcPr>
          <w:p w14:paraId="45A1BCDE" w14:textId="77777777" w:rsidR="00AC6F3C" w:rsidRDefault="00AC6F3C">
            <w:pPr>
              <w:pStyle w:val="TableParagraph"/>
              <w:rPr>
                <w:rFonts w:ascii="Times New Roman"/>
                <w:sz w:val="14"/>
              </w:rPr>
            </w:pPr>
          </w:p>
        </w:tc>
        <w:tc>
          <w:tcPr>
            <w:tcW w:w="1274" w:type="dxa"/>
          </w:tcPr>
          <w:p w14:paraId="68D75F52" w14:textId="77777777" w:rsidR="00AC6F3C" w:rsidRDefault="00AC6F3C">
            <w:pPr>
              <w:pStyle w:val="TableParagraph"/>
              <w:rPr>
                <w:rFonts w:ascii="Times New Roman"/>
                <w:sz w:val="14"/>
              </w:rPr>
            </w:pPr>
          </w:p>
        </w:tc>
        <w:tc>
          <w:tcPr>
            <w:tcW w:w="598" w:type="dxa"/>
          </w:tcPr>
          <w:p w14:paraId="2970C25A" w14:textId="77777777" w:rsidR="00AC6F3C" w:rsidRDefault="00570E88">
            <w:pPr>
              <w:pStyle w:val="TableParagraph"/>
              <w:spacing w:before="27" w:line="160" w:lineRule="exact"/>
              <w:ind w:left="170"/>
              <w:rPr>
                <w:sz w:val="15"/>
              </w:rPr>
            </w:pPr>
            <w:r>
              <w:rPr>
                <w:spacing w:val="-2"/>
                <w:sz w:val="15"/>
              </w:rPr>
              <w:t>8.2.2</w:t>
            </w:r>
          </w:p>
        </w:tc>
        <w:tc>
          <w:tcPr>
            <w:tcW w:w="3593" w:type="dxa"/>
          </w:tcPr>
          <w:p w14:paraId="65DCD04F" w14:textId="77777777" w:rsidR="00AC6F3C" w:rsidRDefault="00570E88">
            <w:pPr>
              <w:pStyle w:val="TableParagraph"/>
              <w:spacing w:before="27" w:line="160" w:lineRule="exact"/>
              <w:ind w:left="26"/>
              <w:rPr>
                <w:sz w:val="15"/>
              </w:rPr>
            </w:pPr>
            <w:r>
              <w:rPr>
                <w:spacing w:val="-4"/>
                <w:sz w:val="15"/>
              </w:rPr>
              <w:t>ACHIEVED</w:t>
            </w:r>
            <w:r>
              <w:rPr>
                <w:spacing w:val="-1"/>
                <w:sz w:val="15"/>
              </w:rPr>
              <w:t xml:space="preserve"> </w:t>
            </w:r>
            <w:r>
              <w:rPr>
                <w:spacing w:val="-4"/>
                <w:sz w:val="15"/>
              </w:rPr>
              <w:t>–</w:t>
            </w:r>
            <w:r>
              <w:rPr>
                <w:sz w:val="15"/>
              </w:rPr>
              <w:t xml:space="preserve"> </w:t>
            </w:r>
            <w:r>
              <w:rPr>
                <w:spacing w:val="-4"/>
                <w:sz w:val="15"/>
              </w:rPr>
              <w:t>Throughout</w:t>
            </w:r>
            <w:r>
              <w:rPr>
                <w:sz w:val="15"/>
              </w:rPr>
              <w:t xml:space="preserve"> </w:t>
            </w:r>
            <w:r>
              <w:rPr>
                <w:spacing w:val="-4"/>
                <w:sz w:val="15"/>
              </w:rPr>
              <w:t>the</w:t>
            </w:r>
            <w:r>
              <w:rPr>
                <w:sz w:val="15"/>
              </w:rPr>
              <w:t xml:space="preserve"> </w:t>
            </w:r>
            <w:r>
              <w:rPr>
                <w:spacing w:val="-4"/>
                <w:sz w:val="15"/>
              </w:rPr>
              <w:t>financial</w:t>
            </w:r>
            <w:r>
              <w:rPr>
                <w:sz w:val="15"/>
              </w:rPr>
              <w:t xml:space="preserve"> </w:t>
            </w:r>
            <w:r>
              <w:rPr>
                <w:spacing w:val="-4"/>
                <w:sz w:val="15"/>
              </w:rPr>
              <w:t>year</w:t>
            </w:r>
            <w:r>
              <w:rPr>
                <w:sz w:val="15"/>
              </w:rPr>
              <w:t xml:space="preserve"> </w:t>
            </w:r>
            <w:r>
              <w:rPr>
                <w:spacing w:val="-4"/>
                <w:sz w:val="15"/>
              </w:rPr>
              <w:t>this</w:t>
            </w:r>
          </w:p>
        </w:tc>
      </w:tr>
      <w:tr w:rsidR="00AC6F3C" w14:paraId="2DB888E1" w14:textId="77777777">
        <w:trPr>
          <w:trHeight w:val="185"/>
        </w:trPr>
        <w:tc>
          <w:tcPr>
            <w:tcW w:w="1268" w:type="dxa"/>
          </w:tcPr>
          <w:p w14:paraId="4E8D2FC5" w14:textId="77777777" w:rsidR="00AC6F3C" w:rsidRDefault="00AC6F3C">
            <w:pPr>
              <w:pStyle w:val="TableParagraph"/>
              <w:rPr>
                <w:rFonts w:ascii="Times New Roman"/>
                <w:sz w:val="12"/>
              </w:rPr>
            </w:pPr>
          </w:p>
        </w:tc>
        <w:tc>
          <w:tcPr>
            <w:tcW w:w="2622" w:type="dxa"/>
          </w:tcPr>
          <w:p w14:paraId="196E65AC" w14:textId="77777777" w:rsidR="00AC6F3C" w:rsidRDefault="00AC6F3C">
            <w:pPr>
              <w:pStyle w:val="TableParagraph"/>
              <w:rPr>
                <w:rFonts w:ascii="Times New Roman"/>
                <w:sz w:val="12"/>
              </w:rPr>
            </w:pPr>
          </w:p>
        </w:tc>
        <w:tc>
          <w:tcPr>
            <w:tcW w:w="1274" w:type="dxa"/>
          </w:tcPr>
          <w:p w14:paraId="3B3F2770" w14:textId="77777777" w:rsidR="00AC6F3C" w:rsidRDefault="00AC6F3C">
            <w:pPr>
              <w:pStyle w:val="TableParagraph"/>
              <w:rPr>
                <w:rFonts w:ascii="Times New Roman"/>
                <w:sz w:val="12"/>
              </w:rPr>
            </w:pPr>
          </w:p>
        </w:tc>
        <w:tc>
          <w:tcPr>
            <w:tcW w:w="598" w:type="dxa"/>
          </w:tcPr>
          <w:p w14:paraId="00D8D71F" w14:textId="77777777" w:rsidR="00AC6F3C" w:rsidRDefault="00AC6F3C">
            <w:pPr>
              <w:pStyle w:val="TableParagraph"/>
              <w:rPr>
                <w:rFonts w:ascii="Times New Roman"/>
                <w:sz w:val="12"/>
              </w:rPr>
            </w:pPr>
          </w:p>
        </w:tc>
        <w:tc>
          <w:tcPr>
            <w:tcW w:w="3593" w:type="dxa"/>
          </w:tcPr>
          <w:p w14:paraId="19C1752A" w14:textId="77777777" w:rsidR="00AC6F3C" w:rsidRDefault="00570E88">
            <w:pPr>
              <w:pStyle w:val="TableParagraph"/>
              <w:spacing w:before="6" w:line="160" w:lineRule="exact"/>
              <w:ind w:left="26"/>
              <w:rPr>
                <w:sz w:val="15"/>
              </w:rPr>
            </w:pPr>
            <w:r>
              <w:rPr>
                <w:spacing w:val="-4"/>
                <w:sz w:val="15"/>
              </w:rPr>
              <w:t>item</w:t>
            </w:r>
            <w:r>
              <w:rPr>
                <w:spacing w:val="-3"/>
                <w:sz w:val="15"/>
              </w:rPr>
              <w:t xml:space="preserve"> </w:t>
            </w:r>
            <w:r>
              <w:rPr>
                <w:spacing w:val="-4"/>
                <w:sz w:val="15"/>
              </w:rPr>
              <w:t>has</w:t>
            </w:r>
            <w:r>
              <w:rPr>
                <w:spacing w:val="-3"/>
                <w:sz w:val="15"/>
              </w:rPr>
              <w:t xml:space="preserve"> </w:t>
            </w:r>
            <w:r>
              <w:rPr>
                <w:spacing w:val="-4"/>
                <w:sz w:val="15"/>
              </w:rPr>
              <w:t>been</w:t>
            </w:r>
            <w:r>
              <w:rPr>
                <w:spacing w:val="-2"/>
                <w:sz w:val="15"/>
              </w:rPr>
              <w:t xml:space="preserve"> </w:t>
            </w:r>
            <w:r>
              <w:rPr>
                <w:spacing w:val="-4"/>
                <w:sz w:val="15"/>
              </w:rPr>
              <w:t>discussed</w:t>
            </w:r>
            <w:r>
              <w:rPr>
                <w:spacing w:val="-3"/>
                <w:sz w:val="15"/>
              </w:rPr>
              <w:t xml:space="preserve"> </w:t>
            </w:r>
            <w:r>
              <w:rPr>
                <w:spacing w:val="-4"/>
                <w:sz w:val="15"/>
              </w:rPr>
              <w:t>by</w:t>
            </w:r>
            <w:r>
              <w:rPr>
                <w:spacing w:val="-2"/>
                <w:sz w:val="15"/>
              </w:rPr>
              <w:t xml:space="preserve"> </w:t>
            </w:r>
            <w:r>
              <w:rPr>
                <w:spacing w:val="-4"/>
                <w:sz w:val="15"/>
              </w:rPr>
              <w:t>the</w:t>
            </w:r>
            <w:r>
              <w:rPr>
                <w:spacing w:val="-3"/>
                <w:sz w:val="15"/>
              </w:rPr>
              <w:t xml:space="preserve"> </w:t>
            </w:r>
            <w:r>
              <w:rPr>
                <w:spacing w:val="-4"/>
                <w:sz w:val="15"/>
              </w:rPr>
              <w:t>FNCC</w:t>
            </w:r>
            <w:r>
              <w:rPr>
                <w:spacing w:val="-2"/>
                <w:sz w:val="15"/>
              </w:rPr>
              <w:t xml:space="preserve"> </w:t>
            </w:r>
            <w:r>
              <w:rPr>
                <w:spacing w:val="-4"/>
                <w:sz w:val="15"/>
              </w:rPr>
              <w:t>in</w:t>
            </w:r>
            <w:r>
              <w:rPr>
                <w:spacing w:val="-3"/>
                <w:sz w:val="15"/>
              </w:rPr>
              <w:t xml:space="preserve"> </w:t>
            </w:r>
            <w:r>
              <w:rPr>
                <w:spacing w:val="-4"/>
                <w:sz w:val="15"/>
              </w:rPr>
              <w:t>February</w:t>
            </w:r>
          </w:p>
        </w:tc>
      </w:tr>
      <w:tr w:rsidR="00AC6F3C" w14:paraId="7FA42787" w14:textId="77777777">
        <w:trPr>
          <w:trHeight w:val="186"/>
        </w:trPr>
        <w:tc>
          <w:tcPr>
            <w:tcW w:w="1268" w:type="dxa"/>
          </w:tcPr>
          <w:p w14:paraId="1B67DCB2" w14:textId="77777777" w:rsidR="00AC6F3C" w:rsidRDefault="00AC6F3C">
            <w:pPr>
              <w:pStyle w:val="TableParagraph"/>
              <w:rPr>
                <w:rFonts w:ascii="Times New Roman"/>
                <w:sz w:val="12"/>
              </w:rPr>
            </w:pPr>
          </w:p>
        </w:tc>
        <w:tc>
          <w:tcPr>
            <w:tcW w:w="2622" w:type="dxa"/>
          </w:tcPr>
          <w:p w14:paraId="7A8A564A" w14:textId="77777777" w:rsidR="00AC6F3C" w:rsidRDefault="00AC6F3C">
            <w:pPr>
              <w:pStyle w:val="TableParagraph"/>
              <w:rPr>
                <w:rFonts w:ascii="Times New Roman"/>
                <w:sz w:val="12"/>
              </w:rPr>
            </w:pPr>
          </w:p>
        </w:tc>
        <w:tc>
          <w:tcPr>
            <w:tcW w:w="1274" w:type="dxa"/>
          </w:tcPr>
          <w:p w14:paraId="281D513A" w14:textId="77777777" w:rsidR="00AC6F3C" w:rsidRDefault="00AC6F3C">
            <w:pPr>
              <w:pStyle w:val="TableParagraph"/>
              <w:rPr>
                <w:rFonts w:ascii="Times New Roman"/>
                <w:sz w:val="12"/>
              </w:rPr>
            </w:pPr>
          </w:p>
        </w:tc>
        <w:tc>
          <w:tcPr>
            <w:tcW w:w="598" w:type="dxa"/>
          </w:tcPr>
          <w:p w14:paraId="07C1F55E" w14:textId="77777777" w:rsidR="00AC6F3C" w:rsidRDefault="00AC6F3C">
            <w:pPr>
              <w:pStyle w:val="TableParagraph"/>
              <w:rPr>
                <w:rFonts w:ascii="Times New Roman"/>
                <w:sz w:val="12"/>
              </w:rPr>
            </w:pPr>
          </w:p>
        </w:tc>
        <w:tc>
          <w:tcPr>
            <w:tcW w:w="3593" w:type="dxa"/>
          </w:tcPr>
          <w:p w14:paraId="36EEBBB7" w14:textId="77777777" w:rsidR="00AC6F3C" w:rsidRDefault="00570E88">
            <w:pPr>
              <w:pStyle w:val="TableParagraph"/>
              <w:spacing w:before="6" w:line="160" w:lineRule="exact"/>
              <w:ind w:left="26"/>
              <w:rPr>
                <w:sz w:val="15"/>
              </w:rPr>
            </w:pPr>
            <w:r>
              <w:rPr>
                <w:spacing w:val="-4"/>
                <w:sz w:val="15"/>
              </w:rPr>
              <w:t>2023</w:t>
            </w:r>
            <w:r>
              <w:rPr>
                <w:spacing w:val="-2"/>
                <w:sz w:val="15"/>
              </w:rPr>
              <w:t xml:space="preserve"> </w:t>
            </w:r>
            <w:r>
              <w:rPr>
                <w:spacing w:val="-4"/>
                <w:sz w:val="15"/>
              </w:rPr>
              <w:t>with</w:t>
            </w:r>
            <w:r>
              <w:rPr>
                <w:spacing w:val="-2"/>
                <w:sz w:val="15"/>
              </w:rPr>
              <w:t xml:space="preserve"> </w:t>
            </w:r>
            <w:r>
              <w:rPr>
                <w:spacing w:val="-4"/>
                <w:sz w:val="15"/>
              </w:rPr>
              <w:t>the</w:t>
            </w:r>
            <w:r>
              <w:rPr>
                <w:spacing w:val="-1"/>
                <w:sz w:val="15"/>
              </w:rPr>
              <w:t xml:space="preserve"> </w:t>
            </w:r>
            <w:r>
              <w:rPr>
                <w:spacing w:val="-4"/>
                <w:sz w:val="15"/>
              </w:rPr>
              <w:t>focus</w:t>
            </w:r>
            <w:r>
              <w:rPr>
                <w:spacing w:val="-2"/>
                <w:sz w:val="15"/>
              </w:rPr>
              <w:t xml:space="preserve"> </w:t>
            </w:r>
            <w:r>
              <w:rPr>
                <w:spacing w:val="-4"/>
                <w:sz w:val="15"/>
              </w:rPr>
              <w:t>to</w:t>
            </w:r>
            <w:r>
              <w:rPr>
                <w:spacing w:val="-1"/>
                <w:sz w:val="15"/>
              </w:rPr>
              <w:t xml:space="preserve"> </w:t>
            </w:r>
            <w:r>
              <w:rPr>
                <w:spacing w:val="-4"/>
                <w:sz w:val="15"/>
              </w:rPr>
              <w:t>be</w:t>
            </w:r>
            <w:r>
              <w:rPr>
                <w:spacing w:val="-2"/>
                <w:sz w:val="15"/>
              </w:rPr>
              <w:t xml:space="preserve"> </w:t>
            </w:r>
            <w:r>
              <w:rPr>
                <w:spacing w:val="-4"/>
                <w:sz w:val="15"/>
              </w:rPr>
              <w:t>involved</w:t>
            </w:r>
            <w:r>
              <w:rPr>
                <w:spacing w:val="-1"/>
                <w:sz w:val="15"/>
              </w:rPr>
              <w:t xml:space="preserve"> </w:t>
            </w:r>
            <w:r>
              <w:rPr>
                <w:spacing w:val="-4"/>
                <w:sz w:val="15"/>
              </w:rPr>
              <w:t>with</w:t>
            </w:r>
            <w:r>
              <w:rPr>
                <w:spacing w:val="-2"/>
                <w:sz w:val="15"/>
              </w:rPr>
              <w:t xml:space="preserve"> </w:t>
            </w:r>
            <w:r>
              <w:rPr>
                <w:spacing w:val="-4"/>
                <w:sz w:val="15"/>
              </w:rPr>
              <w:t>charities</w:t>
            </w:r>
          </w:p>
        </w:tc>
      </w:tr>
      <w:tr w:rsidR="00AC6F3C" w14:paraId="30206F93" w14:textId="77777777">
        <w:trPr>
          <w:trHeight w:val="185"/>
        </w:trPr>
        <w:tc>
          <w:tcPr>
            <w:tcW w:w="1268" w:type="dxa"/>
          </w:tcPr>
          <w:p w14:paraId="578D7441" w14:textId="77777777" w:rsidR="00AC6F3C" w:rsidRDefault="00AC6F3C">
            <w:pPr>
              <w:pStyle w:val="TableParagraph"/>
              <w:rPr>
                <w:rFonts w:ascii="Times New Roman"/>
                <w:sz w:val="12"/>
              </w:rPr>
            </w:pPr>
          </w:p>
        </w:tc>
        <w:tc>
          <w:tcPr>
            <w:tcW w:w="2622" w:type="dxa"/>
          </w:tcPr>
          <w:p w14:paraId="68B1D886" w14:textId="77777777" w:rsidR="00AC6F3C" w:rsidRDefault="00AC6F3C">
            <w:pPr>
              <w:pStyle w:val="TableParagraph"/>
              <w:rPr>
                <w:rFonts w:ascii="Times New Roman"/>
                <w:sz w:val="12"/>
              </w:rPr>
            </w:pPr>
          </w:p>
        </w:tc>
        <w:tc>
          <w:tcPr>
            <w:tcW w:w="1274" w:type="dxa"/>
          </w:tcPr>
          <w:p w14:paraId="09CC70A3" w14:textId="77777777" w:rsidR="00AC6F3C" w:rsidRDefault="00AC6F3C">
            <w:pPr>
              <w:pStyle w:val="TableParagraph"/>
              <w:rPr>
                <w:rFonts w:ascii="Times New Roman"/>
                <w:sz w:val="12"/>
              </w:rPr>
            </w:pPr>
          </w:p>
        </w:tc>
        <w:tc>
          <w:tcPr>
            <w:tcW w:w="598" w:type="dxa"/>
          </w:tcPr>
          <w:p w14:paraId="0309DC89" w14:textId="77777777" w:rsidR="00AC6F3C" w:rsidRDefault="00AC6F3C">
            <w:pPr>
              <w:pStyle w:val="TableParagraph"/>
              <w:rPr>
                <w:rFonts w:ascii="Times New Roman"/>
                <w:sz w:val="12"/>
              </w:rPr>
            </w:pPr>
          </w:p>
        </w:tc>
        <w:tc>
          <w:tcPr>
            <w:tcW w:w="3593" w:type="dxa"/>
          </w:tcPr>
          <w:p w14:paraId="2C5E138A" w14:textId="77777777" w:rsidR="00AC6F3C" w:rsidRDefault="00570E88">
            <w:pPr>
              <w:pStyle w:val="TableParagraph"/>
              <w:spacing w:before="6" w:line="160" w:lineRule="exact"/>
              <w:ind w:left="26"/>
              <w:rPr>
                <w:sz w:val="15"/>
              </w:rPr>
            </w:pPr>
            <w:r>
              <w:rPr>
                <w:spacing w:val="-4"/>
                <w:sz w:val="15"/>
              </w:rPr>
              <w:t>and</w:t>
            </w:r>
            <w:r>
              <w:rPr>
                <w:spacing w:val="1"/>
                <w:sz w:val="15"/>
              </w:rPr>
              <w:t xml:space="preserve"> </w:t>
            </w:r>
            <w:r>
              <w:rPr>
                <w:spacing w:val="-4"/>
                <w:sz w:val="15"/>
              </w:rPr>
              <w:t>projects</w:t>
            </w:r>
            <w:r>
              <w:rPr>
                <w:spacing w:val="1"/>
                <w:sz w:val="15"/>
              </w:rPr>
              <w:t xml:space="preserve"> </w:t>
            </w:r>
            <w:r>
              <w:rPr>
                <w:spacing w:val="-4"/>
                <w:sz w:val="15"/>
              </w:rPr>
              <w:t>that</w:t>
            </w:r>
            <w:r>
              <w:rPr>
                <w:spacing w:val="2"/>
                <w:sz w:val="15"/>
              </w:rPr>
              <w:t xml:space="preserve"> </w:t>
            </w:r>
            <w:r>
              <w:rPr>
                <w:spacing w:val="-4"/>
                <w:sz w:val="15"/>
              </w:rPr>
              <w:t>support</w:t>
            </w:r>
            <w:r>
              <w:rPr>
                <w:spacing w:val="1"/>
                <w:sz w:val="15"/>
              </w:rPr>
              <w:t xml:space="preserve"> </w:t>
            </w:r>
            <w:r>
              <w:rPr>
                <w:spacing w:val="-4"/>
                <w:sz w:val="15"/>
              </w:rPr>
              <w:t>First</w:t>
            </w:r>
            <w:r>
              <w:rPr>
                <w:spacing w:val="2"/>
                <w:sz w:val="15"/>
              </w:rPr>
              <w:t xml:space="preserve"> </w:t>
            </w:r>
            <w:r>
              <w:rPr>
                <w:spacing w:val="-4"/>
                <w:sz w:val="15"/>
              </w:rPr>
              <w:t>Nations</w:t>
            </w:r>
            <w:r>
              <w:rPr>
                <w:spacing w:val="1"/>
                <w:sz w:val="15"/>
              </w:rPr>
              <w:t xml:space="preserve"> </w:t>
            </w:r>
            <w:r>
              <w:rPr>
                <w:spacing w:val="-4"/>
                <w:sz w:val="15"/>
              </w:rPr>
              <w:t>high</w:t>
            </w:r>
            <w:r>
              <w:rPr>
                <w:spacing w:val="1"/>
                <w:sz w:val="15"/>
              </w:rPr>
              <w:t xml:space="preserve"> </w:t>
            </w:r>
            <w:r>
              <w:rPr>
                <w:spacing w:val="-4"/>
                <w:sz w:val="15"/>
              </w:rPr>
              <w:t>school</w:t>
            </w:r>
          </w:p>
        </w:tc>
      </w:tr>
      <w:tr w:rsidR="00AC6F3C" w14:paraId="77CD6C12" w14:textId="77777777">
        <w:trPr>
          <w:trHeight w:val="257"/>
        </w:trPr>
        <w:tc>
          <w:tcPr>
            <w:tcW w:w="1268" w:type="dxa"/>
            <w:tcBorders>
              <w:bottom w:val="single" w:sz="2" w:space="0" w:color="000000"/>
            </w:tcBorders>
          </w:tcPr>
          <w:p w14:paraId="67652E18" w14:textId="77777777" w:rsidR="00AC6F3C" w:rsidRDefault="00AC6F3C">
            <w:pPr>
              <w:pStyle w:val="TableParagraph"/>
              <w:rPr>
                <w:rFonts w:ascii="Times New Roman"/>
                <w:sz w:val="14"/>
              </w:rPr>
            </w:pPr>
          </w:p>
        </w:tc>
        <w:tc>
          <w:tcPr>
            <w:tcW w:w="2622" w:type="dxa"/>
            <w:tcBorders>
              <w:bottom w:val="single" w:sz="2" w:space="0" w:color="000000"/>
            </w:tcBorders>
          </w:tcPr>
          <w:p w14:paraId="2FA64ACD" w14:textId="77777777" w:rsidR="00AC6F3C" w:rsidRDefault="00AC6F3C">
            <w:pPr>
              <w:pStyle w:val="TableParagraph"/>
              <w:rPr>
                <w:rFonts w:ascii="Times New Roman"/>
                <w:sz w:val="14"/>
              </w:rPr>
            </w:pPr>
          </w:p>
        </w:tc>
        <w:tc>
          <w:tcPr>
            <w:tcW w:w="1274" w:type="dxa"/>
            <w:tcBorders>
              <w:bottom w:val="single" w:sz="2" w:space="0" w:color="000000"/>
            </w:tcBorders>
          </w:tcPr>
          <w:p w14:paraId="19906C86" w14:textId="77777777" w:rsidR="00AC6F3C" w:rsidRDefault="00AC6F3C">
            <w:pPr>
              <w:pStyle w:val="TableParagraph"/>
              <w:rPr>
                <w:rFonts w:ascii="Times New Roman"/>
                <w:sz w:val="14"/>
              </w:rPr>
            </w:pPr>
          </w:p>
        </w:tc>
        <w:tc>
          <w:tcPr>
            <w:tcW w:w="598" w:type="dxa"/>
            <w:tcBorders>
              <w:bottom w:val="single" w:sz="2" w:space="0" w:color="000000"/>
            </w:tcBorders>
          </w:tcPr>
          <w:p w14:paraId="54A0002F" w14:textId="77777777" w:rsidR="00AC6F3C" w:rsidRDefault="00AC6F3C">
            <w:pPr>
              <w:pStyle w:val="TableParagraph"/>
              <w:rPr>
                <w:rFonts w:ascii="Times New Roman"/>
                <w:sz w:val="14"/>
              </w:rPr>
            </w:pPr>
          </w:p>
        </w:tc>
        <w:tc>
          <w:tcPr>
            <w:tcW w:w="3593" w:type="dxa"/>
            <w:tcBorders>
              <w:bottom w:val="single" w:sz="2" w:space="0" w:color="000000"/>
            </w:tcBorders>
          </w:tcPr>
          <w:p w14:paraId="1933EB0F" w14:textId="77777777" w:rsidR="00AC6F3C" w:rsidRDefault="00570E88">
            <w:pPr>
              <w:pStyle w:val="TableParagraph"/>
              <w:spacing w:before="6"/>
              <w:ind w:left="26"/>
              <w:rPr>
                <w:sz w:val="15"/>
              </w:rPr>
            </w:pPr>
            <w:r>
              <w:rPr>
                <w:spacing w:val="-4"/>
                <w:sz w:val="15"/>
              </w:rPr>
              <w:t>students</w:t>
            </w:r>
            <w:r>
              <w:rPr>
                <w:spacing w:val="-3"/>
                <w:sz w:val="15"/>
              </w:rPr>
              <w:t xml:space="preserve"> </w:t>
            </w:r>
            <w:r>
              <w:rPr>
                <w:spacing w:val="-4"/>
                <w:sz w:val="15"/>
              </w:rPr>
              <w:t>and</w:t>
            </w:r>
            <w:r>
              <w:rPr>
                <w:spacing w:val="-2"/>
                <w:sz w:val="15"/>
              </w:rPr>
              <w:t xml:space="preserve"> </w:t>
            </w:r>
            <w:r>
              <w:rPr>
                <w:spacing w:val="-4"/>
                <w:sz w:val="15"/>
              </w:rPr>
              <w:t>Legal</w:t>
            </w:r>
            <w:r>
              <w:rPr>
                <w:spacing w:val="-2"/>
                <w:sz w:val="15"/>
              </w:rPr>
              <w:t xml:space="preserve"> </w:t>
            </w:r>
            <w:r>
              <w:rPr>
                <w:spacing w:val="-4"/>
                <w:sz w:val="15"/>
              </w:rPr>
              <w:t>Students</w:t>
            </w:r>
          </w:p>
        </w:tc>
      </w:tr>
      <w:tr w:rsidR="00AC6F3C" w14:paraId="6F7C65A9" w14:textId="77777777">
        <w:trPr>
          <w:trHeight w:val="262"/>
        </w:trPr>
        <w:tc>
          <w:tcPr>
            <w:tcW w:w="1268" w:type="dxa"/>
            <w:tcBorders>
              <w:top w:val="single" w:sz="2" w:space="0" w:color="000000"/>
            </w:tcBorders>
          </w:tcPr>
          <w:p w14:paraId="1EB7F5A3" w14:textId="77777777" w:rsidR="00AC6F3C" w:rsidRDefault="00570E88">
            <w:pPr>
              <w:pStyle w:val="TableParagraph"/>
              <w:spacing w:before="83" w:line="160" w:lineRule="exact"/>
              <w:ind w:left="113"/>
              <w:rPr>
                <w:b/>
                <w:sz w:val="15"/>
              </w:rPr>
            </w:pPr>
            <w:r>
              <w:rPr>
                <w:b/>
                <w:spacing w:val="-2"/>
                <w:sz w:val="15"/>
              </w:rPr>
              <w:t>Support</w:t>
            </w:r>
            <w:r>
              <w:rPr>
                <w:b/>
                <w:spacing w:val="-4"/>
                <w:sz w:val="15"/>
              </w:rPr>
              <w:t xml:space="preserve"> Goal</w:t>
            </w:r>
          </w:p>
        </w:tc>
        <w:tc>
          <w:tcPr>
            <w:tcW w:w="2622" w:type="dxa"/>
            <w:tcBorders>
              <w:top w:val="single" w:sz="2" w:space="0" w:color="000000"/>
            </w:tcBorders>
          </w:tcPr>
          <w:p w14:paraId="125734E0" w14:textId="77777777" w:rsidR="00AC6F3C" w:rsidRDefault="00570E88">
            <w:pPr>
              <w:pStyle w:val="TableParagraph"/>
              <w:spacing w:before="83" w:line="160" w:lineRule="exact"/>
              <w:ind w:left="163"/>
              <w:rPr>
                <w:sz w:val="15"/>
              </w:rPr>
            </w:pPr>
            <w:r>
              <w:rPr>
                <w:sz w:val="15"/>
              </w:rPr>
              <w:t>9.</w:t>
            </w:r>
            <w:r>
              <w:rPr>
                <w:spacing w:val="76"/>
                <w:sz w:val="15"/>
              </w:rPr>
              <w:t xml:space="preserve"> </w:t>
            </w:r>
            <w:r>
              <w:rPr>
                <w:sz w:val="15"/>
              </w:rPr>
              <w:t>Connect,</w:t>
            </w:r>
            <w:r>
              <w:rPr>
                <w:spacing w:val="-10"/>
                <w:sz w:val="15"/>
              </w:rPr>
              <w:t xml:space="preserve"> </w:t>
            </w:r>
            <w:r>
              <w:rPr>
                <w:sz w:val="15"/>
              </w:rPr>
              <w:t>promote</w:t>
            </w:r>
            <w:r>
              <w:rPr>
                <w:spacing w:val="-11"/>
                <w:sz w:val="15"/>
              </w:rPr>
              <w:t xml:space="preserve"> </w:t>
            </w:r>
            <w:r>
              <w:rPr>
                <w:sz w:val="15"/>
              </w:rPr>
              <w:t>and</w:t>
            </w:r>
            <w:r>
              <w:rPr>
                <w:spacing w:val="-10"/>
                <w:sz w:val="15"/>
              </w:rPr>
              <w:t xml:space="preserve"> </w:t>
            </w:r>
            <w:r>
              <w:rPr>
                <w:spacing w:val="-2"/>
                <w:sz w:val="15"/>
              </w:rPr>
              <w:t>highlight</w:t>
            </w:r>
          </w:p>
        </w:tc>
        <w:tc>
          <w:tcPr>
            <w:tcW w:w="1274" w:type="dxa"/>
            <w:tcBorders>
              <w:top w:val="single" w:sz="2" w:space="0" w:color="000000"/>
            </w:tcBorders>
          </w:tcPr>
          <w:p w14:paraId="369433DE" w14:textId="77777777" w:rsidR="00AC6F3C" w:rsidRDefault="00570E88">
            <w:pPr>
              <w:pStyle w:val="TableParagraph"/>
              <w:spacing w:before="83" w:line="160" w:lineRule="exact"/>
              <w:ind w:left="130"/>
              <w:rPr>
                <w:b/>
                <w:sz w:val="15"/>
              </w:rPr>
            </w:pPr>
            <w:r>
              <w:rPr>
                <w:b/>
                <w:spacing w:val="-2"/>
                <w:sz w:val="15"/>
              </w:rPr>
              <w:t>Deadly</w:t>
            </w:r>
          </w:p>
        </w:tc>
        <w:tc>
          <w:tcPr>
            <w:tcW w:w="598" w:type="dxa"/>
            <w:tcBorders>
              <w:top w:val="single" w:sz="2" w:space="0" w:color="000000"/>
            </w:tcBorders>
          </w:tcPr>
          <w:p w14:paraId="6E9691DB" w14:textId="77777777" w:rsidR="00AC6F3C" w:rsidRDefault="00570E88">
            <w:pPr>
              <w:pStyle w:val="TableParagraph"/>
              <w:spacing w:before="83" w:line="160" w:lineRule="exact"/>
              <w:ind w:left="170"/>
              <w:rPr>
                <w:sz w:val="15"/>
              </w:rPr>
            </w:pPr>
            <w:r>
              <w:rPr>
                <w:spacing w:val="-2"/>
                <w:sz w:val="15"/>
              </w:rPr>
              <w:t>9.1.1</w:t>
            </w:r>
          </w:p>
        </w:tc>
        <w:tc>
          <w:tcPr>
            <w:tcW w:w="3593" w:type="dxa"/>
            <w:tcBorders>
              <w:top w:val="single" w:sz="2" w:space="0" w:color="000000"/>
            </w:tcBorders>
          </w:tcPr>
          <w:p w14:paraId="21665FF8" w14:textId="77777777" w:rsidR="00AC6F3C" w:rsidRDefault="00570E88">
            <w:pPr>
              <w:pStyle w:val="TableParagraph"/>
              <w:spacing w:before="83" w:line="160" w:lineRule="exact"/>
              <w:ind w:left="26"/>
              <w:rPr>
                <w:sz w:val="15"/>
              </w:rPr>
            </w:pPr>
            <w:r>
              <w:rPr>
                <w:spacing w:val="-4"/>
                <w:sz w:val="15"/>
              </w:rPr>
              <w:t>ACHIEVED</w:t>
            </w:r>
            <w:r>
              <w:rPr>
                <w:sz w:val="15"/>
              </w:rPr>
              <w:t xml:space="preserve"> </w:t>
            </w:r>
            <w:r>
              <w:rPr>
                <w:spacing w:val="-4"/>
                <w:sz w:val="15"/>
              </w:rPr>
              <w:t>–</w:t>
            </w:r>
            <w:r>
              <w:rPr>
                <w:spacing w:val="1"/>
                <w:sz w:val="15"/>
              </w:rPr>
              <w:t xml:space="preserve"> </w:t>
            </w:r>
            <w:r>
              <w:rPr>
                <w:spacing w:val="-4"/>
                <w:sz w:val="15"/>
              </w:rPr>
              <w:t>IBM</w:t>
            </w:r>
            <w:r>
              <w:rPr>
                <w:spacing w:val="1"/>
                <w:sz w:val="15"/>
              </w:rPr>
              <w:t xml:space="preserve"> </w:t>
            </w:r>
            <w:r>
              <w:rPr>
                <w:spacing w:val="-4"/>
                <w:sz w:val="15"/>
              </w:rPr>
              <w:t>celebrated</w:t>
            </w:r>
            <w:r>
              <w:rPr>
                <w:sz w:val="15"/>
              </w:rPr>
              <w:t xml:space="preserve"> </w:t>
            </w:r>
            <w:r>
              <w:rPr>
                <w:spacing w:val="-4"/>
                <w:sz w:val="15"/>
              </w:rPr>
              <w:t>through</w:t>
            </w:r>
            <w:r>
              <w:rPr>
                <w:spacing w:val="1"/>
                <w:sz w:val="15"/>
              </w:rPr>
              <w:t xml:space="preserve"> </w:t>
            </w:r>
            <w:r>
              <w:rPr>
                <w:spacing w:val="-4"/>
                <w:sz w:val="15"/>
              </w:rPr>
              <w:t>Proctor</w:t>
            </w:r>
          </w:p>
        </w:tc>
      </w:tr>
      <w:tr w:rsidR="00AC6F3C" w14:paraId="6010AF9D" w14:textId="77777777">
        <w:trPr>
          <w:trHeight w:val="257"/>
        </w:trPr>
        <w:tc>
          <w:tcPr>
            <w:tcW w:w="1268" w:type="dxa"/>
            <w:tcBorders>
              <w:bottom w:val="single" w:sz="2" w:space="0" w:color="000000"/>
            </w:tcBorders>
          </w:tcPr>
          <w:p w14:paraId="125509EB" w14:textId="77777777" w:rsidR="00AC6F3C" w:rsidRDefault="00AC6F3C">
            <w:pPr>
              <w:pStyle w:val="TableParagraph"/>
              <w:rPr>
                <w:rFonts w:ascii="Times New Roman"/>
                <w:sz w:val="14"/>
              </w:rPr>
            </w:pPr>
          </w:p>
        </w:tc>
        <w:tc>
          <w:tcPr>
            <w:tcW w:w="2622" w:type="dxa"/>
            <w:tcBorders>
              <w:bottom w:val="single" w:sz="2" w:space="0" w:color="000000"/>
            </w:tcBorders>
          </w:tcPr>
          <w:p w14:paraId="636A4A38" w14:textId="77777777" w:rsidR="00AC6F3C" w:rsidRDefault="00570E88">
            <w:pPr>
              <w:pStyle w:val="TableParagraph"/>
              <w:spacing w:before="6"/>
              <w:ind w:left="446"/>
              <w:rPr>
                <w:sz w:val="15"/>
              </w:rPr>
            </w:pPr>
            <w:r>
              <w:rPr>
                <w:spacing w:val="-4"/>
                <w:sz w:val="15"/>
              </w:rPr>
              <w:t>First</w:t>
            </w:r>
            <w:r>
              <w:rPr>
                <w:spacing w:val="-1"/>
                <w:sz w:val="15"/>
              </w:rPr>
              <w:t xml:space="preserve"> </w:t>
            </w:r>
            <w:r>
              <w:rPr>
                <w:spacing w:val="-4"/>
                <w:sz w:val="15"/>
              </w:rPr>
              <w:t>Nations</w:t>
            </w:r>
            <w:r>
              <w:rPr>
                <w:spacing w:val="1"/>
                <w:sz w:val="15"/>
              </w:rPr>
              <w:t xml:space="preserve"> </w:t>
            </w:r>
            <w:r>
              <w:rPr>
                <w:spacing w:val="-4"/>
                <w:sz w:val="15"/>
              </w:rPr>
              <w:t>Businesses</w:t>
            </w:r>
          </w:p>
        </w:tc>
        <w:tc>
          <w:tcPr>
            <w:tcW w:w="1274" w:type="dxa"/>
            <w:tcBorders>
              <w:bottom w:val="single" w:sz="2" w:space="0" w:color="000000"/>
            </w:tcBorders>
          </w:tcPr>
          <w:p w14:paraId="7FAE3BFA" w14:textId="77777777" w:rsidR="00AC6F3C" w:rsidRDefault="00AC6F3C">
            <w:pPr>
              <w:pStyle w:val="TableParagraph"/>
              <w:rPr>
                <w:rFonts w:ascii="Times New Roman"/>
                <w:sz w:val="14"/>
              </w:rPr>
            </w:pPr>
          </w:p>
        </w:tc>
        <w:tc>
          <w:tcPr>
            <w:tcW w:w="598" w:type="dxa"/>
            <w:tcBorders>
              <w:bottom w:val="single" w:sz="2" w:space="0" w:color="000000"/>
            </w:tcBorders>
          </w:tcPr>
          <w:p w14:paraId="5A3FECC4" w14:textId="77777777" w:rsidR="00AC6F3C" w:rsidRDefault="00AC6F3C">
            <w:pPr>
              <w:pStyle w:val="TableParagraph"/>
              <w:rPr>
                <w:rFonts w:ascii="Times New Roman"/>
                <w:sz w:val="14"/>
              </w:rPr>
            </w:pPr>
          </w:p>
        </w:tc>
        <w:tc>
          <w:tcPr>
            <w:tcW w:w="3593" w:type="dxa"/>
            <w:tcBorders>
              <w:bottom w:val="single" w:sz="2" w:space="0" w:color="000000"/>
            </w:tcBorders>
          </w:tcPr>
          <w:p w14:paraId="616AFA49" w14:textId="77777777" w:rsidR="00AC6F3C" w:rsidRDefault="00570E88">
            <w:pPr>
              <w:pStyle w:val="TableParagraph"/>
              <w:spacing w:before="6"/>
              <w:ind w:left="26"/>
              <w:rPr>
                <w:sz w:val="15"/>
              </w:rPr>
            </w:pPr>
            <w:r>
              <w:rPr>
                <w:spacing w:val="-4"/>
                <w:sz w:val="15"/>
              </w:rPr>
              <w:t>October</w:t>
            </w:r>
            <w:r>
              <w:rPr>
                <w:spacing w:val="4"/>
                <w:sz w:val="15"/>
              </w:rPr>
              <w:t xml:space="preserve"> </w:t>
            </w:r>
            <w:r>
              <w:rPr>
                <w:spacing w:val="-4"/>
                <w:sz w:val="15"/>
              </w:rPr>
              <w:t>2022</w:t>
            </w:r>
          </w:p>
        </w:tc>
      </w:tr>
      <w:tr w:rsidR="00AC6F3C" w14:paraId="2EB69555" w14:textId="77777777">
        <w:trPr>
          <w:trHeight w:val="262"/>
        </w:trPr>
        <w:tc>
          <w:tcPr>
            <w:tcW w:w="1268" w:type="dxa"/>
            <w:tcBorders>
              <w:top w:val="single" w:sz="2" w:space="0" w:color="000000"/>
            </w:tcBorders>
          </w:tcPr>
          <w:p w14:paraId="7B2E05DB" w14:textId="77777777" w:rsidR="00AC6F3C" w:rsidRDefault="00570E88">
            <w:pPr>
              <w:pStyle w:val="TableParagraph"/>
              <w:spacing w:before="83" w:line="160" w:lineRule="exact"/>
              <w:ind w:left="113"/>
              <w:rPr>
                <w:b/>
                <w:sz w:val="15"/>
              </w:rPr>
            </w:pPr>
            <w:r>
              <w:rPr>
                <w:b/>
                <w:spacing w:val="-2"/>
                <w:sz w:val="15"/>
              </w:rPr>
              <w:t>Support</w:t>
            </w:r>
            <w:r>
              <w:rPr>
                <w:b/>
                <w:spacing w:val="-4"/>
                <w:sz w:val="15"/>
              </w:rPr>
              <w:t xml:space="preserve"> Goal</w:t>
            </w:r>
          </w:p>
        </w:tc>
        <w:tc>
          <w:tcPr>
            <w:tcW w:w="2622" w:type="dxa"/>
            <w:tcBorders>
              <w:top w:val="single" w:sz="2" w:space="0" w:color="000000"/>
            </w:tcBorders>
          </w:tcPr>
          <w:p w14:paraId="2FA38B03" w14:textId="77777777" w:rsidR="00AC6F3C" w:rsidRDefault="00570E88">
            <w:pPr>
              <w:pStyle w:val="TableParagraph"/>
              <w:spacing w:before="83" w:line="160" w:lineRule="exact"/>
              <w:ind w:left="163"/>
              <w:rPr>
                <w:sz w:val="15"/>
              </w:rPr>
            </w:pPr>
            <w:r>
              <w:rPr>
                <w:spacing w:val="-2"/>
                <w:sz w:val="15"/>
              </w:rPr>
              <w:t>10.</w:t>
            </w:r>
            <w:r>
              <w:rPr>
                <w:spacing w:val="26"/>
                <w:sz w:val="15"/>
              </w:rPr>
              <w:t xml:space="preserve"> </w:t>
            </w:r>
            <w:r>
              <w:rPr>
                <w:spacing w:val="-2"/>
                <w:sz w:val="15"/>
              </w:rPr>
              <w:t>Investigate</w:t>
            </w:r>
            <w:r>
              <w:rPr>
                <w:spacing w:val="-8"/>
                <w:sz w:val="15"/>
              </w:rPr>
              <w:t xml:space="preserve"> </w:t>
            </w:r>
            <w:r>
              <w:rPr>
                <w:spacing w:val="-2"/>
                <w:sz w:val="15"/>
              </w:rPr>
              <w:t>a</w:t>
            </w:r>
            <w:r>
              <w:rPr>
                <w:spacing w:val="-9"/>
                <w:sz w:val="15"/>
              </w:rPr>
              <w:t xml:space="preserve"> </w:t>
            </w:r>
            <w:r>
              <w:rPr>
                <w:spacing w:val="-2"/>
                <w:sz w:val="15"/>
              </w:rPr>
              <w:t>trust</w:t>
            </w:r>
            <w:r>
              <w:rPr>
                <w:spacing w:val="-8"/>
                <w:sz w:val="15"/>
              </w:rPr>
              <w:t xml:space="preserve"> </w:t>
            </w:r>
            <w:r>
              <w:rPr>
                <w:spacing w:val="-2"/>
                <w:sz w:val="15"/>
              </w:rPr>
              <w:t>or</w:t>
            </w:r>
            <w:r>
              <w:rPr>
                <w:spacing w:val="-8"/>
                <w:sz w:val="15"/>
              </w:rPr>
              <w:t xml:space="preserve"> </w:t>
            </w:r>
            <w:r>
              <w:rPr>
                <w:spacing w:val="-2"/>
                <w:sz w:val="15"/>
              </w:rPr>
              <w:t>fundraising</w:t>
            </w:r>
          </w:p>
        </w:tc>
        <w:tc>
          <w:tcPr>
            <w:tcW w:w="1274" w:type="dxa"/>
            <w:tcBorders>
              <w:top w:val="single" w:sz="2" w:space="0" w:color="000000"/>
            </w:tcBorders>
          </w:tcPr>
          <w:p w14:paraId="3018ADA9" w14:textId="77777777" w:rsidR="00AC6F3C" w:rsidRDefault="00570E88">
            <w:pPr>
              <w:pStyle w:val="TableParagraph"/>
              <w:spacing w:before="83" w:line="160" w:lineRule="exact"/>
              <w:ind w:left="130"/>
              <w:rPr>
                <w:b/>
                <w:sz w:val="15"/>
              </w:rPr>
            </w:pPr>
            <w:r>
              <w:rPr>
                <w:b/>
                <w:spacing w:val="-2"/>
                <w:sz w:val="15"/>
              </w:rPr>
              <w:t>Deadly</w:t>
            </w:r>
          </w:p>
        </w:tc>
        <w:tc>
          <w:tcPr>
            <w:tcW w:w="598" w:type="dxa"/>
            <w:tcBorders>
              <w:top w:val="single" w:sz="2" w:space="0" w:color="000000"/>
            </w:tcBorders>
          </w:tcPr>
          <w:p w14:paraId="3DCAEF62" w14:textId="77777777" w:rsidR="00AC6F3C" w:rsidRDefault="00570E88">
            <w:pPr>
              <w:pStyle w:val="TableParagraph"/>
              <w:spacing w:before="83" w:line="160" w:lineRule="exact"/>
              <w:ind w:left="170"/>
              <w:rPr>
                <w:sz w:val="15"/>
              </w:rPr>
            </w:pPr>
            <w:r>
              <w:rPr>
                <w:spacing w:val="-2"/>
                <w:sz w:val="15"/>
              </w:rPr>
              <w:t>10.1.1</w:t>
            </w:r>
          </w:p>
        </w:tc>
        <w:tc>
          <w:tcPr>
            <w:tcW w:w="3593" w:type="dxa"/>
            <w:tcBorders>
              <w:top w:val="single" w:sz="2" w:space="0" w:color="000000"/>
            </w:tcBorders>
          </w:tcPr>
          <w:p w14:paraId="2D4E44EA" w14:textId="77777777" w:rsidR="00AC6F3C" w:rsidRDefault="00570E88">
            <w:pPr>
              <w:pStyle w:val="TableParagraph"/>
              <w:spacing w:before="83" w:line="160" w:lineRule="exact"/>
              <w:ind w:left="26"/>
              <w:rPr>
                <w:sz w:val="15"/>
              </w:rPr>
            </w:pPr>
            <w:r>
              <w:rPr>
                <w:spacing w:val="-4"/>
                <w:sz w:val="15"/>
              </w:rPr>
              <w:t>ACHIEVED</w:t>
            </w:r>
            <w:r>
              <w:rPr>
                <w:spacing w:val="-3"/>
                <w:sz w:val="15"/>
              </w:rPr>
              <w:t xml:space="preserve"> </w:t>
            </w:r>
            <w:r>
              <w:rPr>
                <w:spacing w:val="-4"/>
                <w:sz w:val="15"/>
              </w:rPr>
              <w:t>–</w:t>
            </w:r>
            <w:r>
              <w:rPr>
                <w:spacing w:val="-3"/>
                <w:sz w:val="15"/>
              </w:rPr>
              <w:t xml:space="preserve"> </w:t>
            </w:r>
            <w:r>
              <w:rPr>
                <w:spacing w:val="-4"/>
                <w:sz w:val="15"/>
              </w:rPr>
              <w:t>Held</w:t>
            </w:r>
            <w:r>
              <w:rPr>
                <w:spacing w:val="-2"/>
                <w:sz w:val="15"/>
              </w:rPr>
              <w:t xml:space="preserve"> </w:t>
            </w:r>
            <w:r>
              <w:rPr>
                <w:spacing w:val="-4"/>
                <w:sz w:val="15"/>
              </w:rPr>
              <w:t>joint</w:t>
            </w:r>
            <w:r>
              <w:rPr>
                <w:spacing w:val="-3"/>
                <w:sz w:val="15"/>
              </w:rPr>
              <w:t xml:space="preserve"> </w:t>
            </w:r>
            <w:r>
              <w:rPr>
                <w:spacing w:val="-4"/>
                <w:sz w:val="15"/>
              </w:rPr>
              <w:t>event</w:t>
            </w:r>
            <w:r>
              <w:rPr>
                <w:spacing w:val="-2"/>
                <w:sz w:val="15"/>
              </w:rPr>
              <w:t xml:space="preserve"> </w:t>
            </w:r>
            <w:r>
              <w:rPr>
                <w:spacing w:val="-4"/>
                <w:sz w:val="15"/>
              </w:rPr>
              <w:t>for</w:t>
            </w:r>
            <w:r>
              <w:rPr>
                <w:spacing w:val="-3"/>
                <w:sz w:val="15"/>
              </w:rPr>
              <w:t xml:space="preserve"> </w:t>
            </w:r>
            <w:r>
              <w:rPr>
                <w:spacing w:val="-4"/>
                <w:sz w:val="15"/>
              </w:rPr>
              <w:t>NRW</w:t>
            </w:r>
            <w:r>
              <w:rPr>
                <w:spacing w:val="-3"/>
                <w:sz w:val="15"/>
              </w:rPr>
              <w:t xml:space="preserve"> </w:t>
            </w:r>
            <w:r>
              <w:rPr>
                <w:spacing w:val="-4"/>
                <w:sz w:val="15"/>
              </w:rPr>
              <w:t>and</w:t>
            </w:r>
            <w:r>
              <w:rPr>
                <w:spacing w:val="-2"/>
                <w:sz w:val="15"/>
              </w:rPr>
              <w:t xml:space="preserve"> </w:t>
            </w:r>
            <w:r>
              <w:rPr>
                <w:spacing w:val="-5"/>
                <w:sz w:val="15"/>
              </w:rPr>
              <w:t>IHM</w:t>
            </w:r>
          </w:p>
        </w:tc>
      </w:tr>
      <w:tr w:rsidR="00AC6F3C" w14:paraId="002A87D3" w14:textId="77777777">
        <w:trPr>
          <w:trHeight w:val="186"/>
        </w:trPr>
        <w:tc>
          <w:tcPr>
            <w:tcW w:w="1268" w:type="dxa"/>
          </w:tcPr>
          <w:p w14:paraId="2D8BACEE" w14:textId="77777777" w:rsidR="00AC6F3C" w:rsidRDefault="00AC6F3C">
            <w:pPr>
              <w:pStyle w:val="TableParagraph"/>
              <w:rPr>
                <w:rFonts w:ascii="Times New Roman"/>
                <w:sz w:val="12"/>
              </w:rPr>
            </w:pPr>
          </w:p>
        </w:tc>
        <w:tc>
          <w:tcPr>
            <w:tcW w:w="2622" w:type="dxa"/>
          </w:tcPr>
          <w:p w14:paraId="6275F223" w14:textId="77777777" w:rsidR="00AC6F3C" w:rsidRDefault="00570E88">
            <w:pPr>
              <w:pStyle w:val="TableParagraph"/>
              <w:spacing w:before="6" w:line="160" w:lineRule="exact"/>
              <w:ind w:right="129"/>
              <w:jc w:val="right"/>
              <w:rPr>
                <w:sz w:val="15"/>
              </w:rPr>
            </w:pPr>
            <w:r>
              <w:rPr>
                <w:spacing w:val="-4"/>
                <w:sz w:val="15"/>
              </w:rPr>
              <w:t>initiative</w:t>
            </w:r>
            <w:r>
              <w:rPr>
                <w:spacing w:val="1"/>
                <w:sz w:val="15"/>
              </w:rPr>
              <w:t xml:space="preserve"> </w:t>
            </w:r>
            <w:r>
              <w:rPr>
                <w:spacing w:val="-4"/>
                <w:sz w:val="15"/>
              </w:rPr>
              <w:t>to</w:t>
            </w:r>
            <w:r>
              <w:rPr>
                <w:spacing w:val="2"/>
                <w:sz w:val="15"/>
              </w:rPr>
              <w:t xml:space="preserve"> </w:t>
            </w:r>
            <w:r>
              <w:rPr>
                <w:spacing w:val="-4"/>
                <w:sz w:val="15"/>
              </w:rPr>
              <w:t>support</w:t>
            </w:r>
            <w:r>
              <w:rPr>
                <w:spacing w:val="2"/>
                <w:sz w:val="15"/>
              </w:rPr>
              <w:t xml:space="preserve"> </w:t>
            </w:r>
            <w:r>
              <w:rPr>
                <w:spacing w:val="-4"/>
                <w:sz w:val="15"/>
              </w:rPr>
              <w:t>First</w:t>
            </w:r>
            <w:r>
              <w:rPr>
                <w:spacing w:val="2"/>
                <w:sz w:val="15"/>
              </w:rPr>
              <w:t xml:space="preserve"> </w:t>
            </w:r>
            <w:r>
              <w:rPr>
                <w:spacing w:val="-4"/>
                <w:sz w:val="15"/>
              </w:rPr>
              <w:t>Nations</w:t>
            </w:r>
          </w:p>
        </w:tc>
        <w:tc>
          <w:tcPr>
            <w:tcW w:w="1274" w:type="dxa"/>
          </w:tcPr>
          <w:p w14:paraId="61D71416" w14:textId="77777777" w:rsidR="00AC6F3C" w:rsidRDefault="00AC6F3C">
            <w:pPr>
              <w:pStyle w:val="TableParagraph"/>
              <w:rPr>
                <w:rFonts w:ascii="Times New Roman"/>
                <w:sz w:val="12"/>
              </w:rPr>
            </w:pPr>
          </w:p>
        </w:tc>
        <w:tc>
          <w:tcPr>
            <w:tcW w:w="598" w:type="dxa"/>
          </w:tcPr>
          <w:p w14:paraId="132A7500" w14:textId="77777777" w:rsidR="00AC6F3C" w:rsidRDefault="00AC6F3C">
            <w:pPr>
              <w:pStyle w:val="TableParagraph"/>
              <w:rPr>
                <w:rFonts w:ascii="Times New Roman"/>
                <w:sz w:val="12"/>
              </w:rPr>
            </w:pPr>
          </w:p>
        </w:tc>
        <w:tc>
          <w:tcPr>
            <w:tcW w:w="3593" w:type="dxa"/>
          </w:tcPr>
          <w:p w14:paraId="5ED72EC8" w14:textId="77777777" w:rsidR="00AC6F3C" w:rsidRDefault="00570E88">
            <w:pPr>
              <w:pStyle w:val="TableParagraph"/>
              <w:spacing w:before="6" w:line="160" w:lineRule="exact"/>
              <w:ind w:left="26"/>
              <w:rPr>
                <w:sz w:val="15"/>
              </w:rPr>
            </w:pPr>
            <w:r>
              <w:rPr>
                <w:spacing w:val="-4"/>
                <w:sz w:val="15"/>
              </w:rPr>
              <w:t>Event</w:t>
            </w:r>
            <w:r>
              <w:rPr>
                <w:spacing w:val="-2"/>
                <w:sz w:val="15"/>
              </w:rPr>
              <w:t xml:space="preserve"> </w:t>
            </w:r>
            <w:r>
              <w:rPr>
                <w:spacing w:val="-4"/>
                <w:sz w:val="15"/>
              </w:rPr>
              <w:t>hosted</w:t>
            </w:r>
            <w:r>
              <w:rPr>
                <w:spacing w:val="-1"/>
                <w:sz w:val="15"/>
              </w:rPr>
              <w:t xml:space="preserve"> </w:t>
            </w:r>
            <w:r>
              <w:rPr>
                <w:spacing w:val="-4"/>
                <w:sz w:val="15"/>
              </w:rPr>
              <w:t>by</w:t>
            </w:r>
            <w:r>
              <w:rPr>
                <w:spacing w:val="-2"/>
                <w:sz w:val="15"/>
              </w:rPr>
              <w:t xml:space="preserve"> </w:t>
            </w:r>
            <w:r>
              <w:rPr>
                <w:spacing w:val="-4"/>
                <w:sz w:val="15"/>
              </w:rPr>
              <w:t>Carter</w:t>
            </w:r>
            <w:r>
              <w:rPr>
                <w:spacing w:val="-1"/>
                <w:sz w:val="15"/>
              </w:rPr>
              <w:t xml:space="preserve"> </w:t>
            </w:r>
            <w:r>
              <w:rPr>
                <w:spacing w:val="-4"/>
                <w:sz w:val="15"/>
              </w:rPr>
              <w:t>Newell</w:t>
            </w:r>
            <w:r>
              <w:rPr>
                <w:spacing w:val="-1"/>
                <w:sz w:val="15"/>
              </w:rPr>
              <w:t xml:space="preserve"> </w:t>
            </w:r>
            <w:r>
              <w:rPr>
                <w:spacing w:val="-4"/>
                <w:sz w:val="15"/>
              </w:rPr>
              <w:t>Lawyers</w:t>
            </w:r>
            <w:r>
              <w:rPr>
                <w:spacing w:val="-2"/>
                <w:sz w:val="15"/>
              </w:rPr>
              <w:t xml:space="preserve"> </w:t>
            </w:r>
            <w:r>
              <w:rPr>
                <w:spacing w:val="-4"/>
                <w:sz w:val="15"/>
              </w:rPr>
              <w:t>with</w:t>
            </w:r>
            <w:r>
              <w:rPr>
                <w:spacing w:val="-1"/>
                <w:sz w:val="15"/>
              </w:rPr>
              <w:t xml:space="preserve"> </w:t>
            </w:r>
            <w:r>
              <w:rPr>
                <w:spacing w:val="-4"/>
                <w:sz w:val="15"/>
              </w:rPr>
              <w:t>guest</w:t>
            </w:r>
          </w:p>
        </w:tc>
      </w:tr>
      <w:tr w:rsidR="00AC6F3C" w14:paraId="025DF231" w14:textId="77777777">
        <w:trPr>
          <w:trHeight w:val="179"/>
        </w:trPr>
        <w:tc>
          <w:tcPr>
            <w:tcW w:w="1268" w:type="dxa"/>
          </w:tcPr>
          <w:p w14:paraId="7AA962F8" w14:textId="77777777" w:rsidR="00AC6F3C" w:rsidRDefault="00AC6F3C">
            <w:pPr>
              <w:pStyle w:val="TableParagraph"/>
              <w:rPr>
                <w:rFonts w:ascii="Times New Roman"/>
                <w:sz w:val="12"/>
              </w:rPr>
            </w:pPr>
          </w:p>
        </w:tc>
        <w:tc>
          <w:tcPr>
            <w:tcW w:w="2622" w:type="dxa"/>
          </w:tcPr>
          <w:p w14:paraId="4F46C293" w14:textId="77777777" w:rsidR="00AC6F3C" w:rsidRDefault="00570E88">
            <w:pPr>
              <w:pStyle w:val="TableParagraph"/>
              <w:spacing w:before="6" w:line="154" w:lineRule="exact"/>
              <w:ind w:left="446"/>
              <w:rPr>
                <w:sz w:val="15"/>
              </w:rPr>
            </w:pPr>
            <w:r>
              <w:rPr>
                <w:spacing w:val="-4"/>
                <w:sz w:val="15"/>
              </w:rPr>
              <w:t>Legal</w:t>
            </w:r>
            <w:r>
              <w:rPr>
                <w:spacing w:val="3"/>
                <w:sz w:val="15"/>
              </w:rPr>
              <w:t xml:space="preserve"> </w:t>
            </w:r>
            <w:r>
              <w:rPr>
                <w:spacing w:val="-4"/>
                <w:sz w:val="15"/>
              </w:rPr>
              <w:t>Students,</w:t>
            </w:r>
            <w:r>
              <w:rPr>
                <w:spacing w:val="3"/>
                <w:sz w:val="15"/>
              </w:rPr>
              <w:t xml:space="preserve"> </w:t>
            </w:r>
            <w:r>
              <w:rPr>
                <w:spacing w:val="-4"/>
                <w:sz w:val="15"/>
              </w:rPr>
              <w:t>Solicitors</w:t>
            </w:r>
            <w:r>
              <w:rPr>
                <w:spacing w:val="3"/>
                <w:sz w:val="15"/>
              </w:rPr>
              <w:t xml:space="preserve"> </w:t>
            </w:r>
            <w:r>
              <w:rPr>
                <w:spacing w:val="-5"/>
                <w:sz w:val="15"/>
              </w:rPr>
              <w:t>and</w:t>
            </w:r>
          </w:p>
        </w:tc>
        <w:tc>
          <w:tcPr>
            <w:tcW w:w="1274" w:type="dxa"/>
          </w:tcPr>
          <w:p w14:paraId="68A35AA4" w14:textId="77777777" w:rsidR="00AC6F3C" w:rsidRDefault="00AC6F3C">
            <w:pPr>
              <w:pStyle w:val="TableParagraph"/>
              <w:rPr>
                <w:rFonts w:ascii="Times New Roman"/>
                <w:sz w:val="12"/>
              </w:rPr>
            </w:pPr>
          </w:p>
        </w:tc>
        <w:tc>
          <w:tcPr>
            <w:tcW w:w="598" w:type="dxa"/>
          </w:tcPr>
          <w:p w14:paraId="5DD92C3A" w14:textId="77777777" w:rsidR="00AC6F3C" w:rsidRDefault="00AC6F3C">
            <w:pPr>
              <w:pStyle w:val="TableParagraph"/>
              <w:rPr>
                <w:rFonts w:ascii="Times New Roman"/>
                <w:sz w:val="12"/>
              </w:rPr>
            </w:pPr>
          </w:p>
        </w:tc>
        <w:tc>
          <w:tcPr>
            <w:tcW w:w="3593" w:type="dxa"/>
          </w:tcPr>
          <w:p w14:paraId="6F82A76D" w14:textId="77777777" w:rsidR="00AC6F3C" w:rsidRDefault="00570E88">
            <w:pPr>
              <w:pStyle w:val="TableParagraph"/>
              <w:spacing w:before="6" w:line="154" w:lineRule="exact"/>
              <w:ind w:left="26"/>
              <w:rPr>
                <w:sz w:val="15"/>
              </w:rPr>
            </w:pPr>
            <w:r>
              <w:rPr>
                <w:spacing w:val="-4"/>
                <w:sz w:val="15"/>
              </w:rPr>
              <w:t>speaker</w:t>
            </w:r>
            <w:r>
              <w:rPr>
                <w:spacing w:val="-3"/>
                <w:sz w:val="15"/>
              </w:rPr>
              <w:t xml:space="preserve"> </w:t>
            </w:r>
            <w:r>
              <w:rPr>
                <w:spacing w:val="-4"/>
                <w:sz w:val="15"/>
              </w:rPr>
              <w:t>and</w:t>
            </w:r>
            <w:r>
              <w:rPr>
                <w:spacing w:val="-2"/>
                <w:sz w:val="15"/>
              </w:rPr>
              <w:t xml:space="preserve"> </w:t>
            </w:r>
            <w:r>
              <w:rPr>
                <w:spacing w:val="-4"/>
                <w:sz w:val="15"/>
              </w:rPr>
              <w:t>Elder</w:t>
            </w:r>
            <w:r>
              <w:rPr>
                <w:spacing w:val="-2"/>
                <w:sz w:val="15"/>
              </w:rPr>
              <w:t xml:space="preserve"> </w:t>
            </w:r>
            <w:r>
              <w:rPr>
                <w:spacing w:val="-4"/>
                <w:sz w:val="15"/>
              </w:rPr>
              <w:t>Aunty</w:t>
            </w:r>
            <w:r>
              <w:rPr>
                <w:spacing w:val="-3"/>
                <w:sz w:val="15"/>
              </w:rPr>
              <w:t xml:space="preserve"> </w:t>
            </w:r>
            <w:r>
              <w:rPr>
                <w:spacing w:val="-4"/>
                <w:sz w:val="15"/>
              </w:rPr>
              <w:t>Sarah</w:t>
            </w:r>
            <w:r>
              <w:rPr>
                <w:spacing w:val="-2"/>
                <w:sz w:val="15"/>
              </w:rPr>
              <w:t xml:space="preserve"> </w:t>
            </w:r>
            <w:r>
              <w:rPr>
                <w:spacing w:val="-4"/>
                <w:sz w:val="15"/>
              </w:rPr>
              <w:t>Addo.</w:t>
            </w:r>
          </w:p>
        </w:tc>
      </w:tr>
    </w:tbl>
    <w:p w14:paraId="6921035C" w14:textId="77777777" w:rsidR="00AC6F3C" w:rsidRDefault="00AC6F3C">
      <w:pPr>
        <w:spacing w:line="154" w:lineRule="exact"/>
        <w:rPr>
          <w:sz w:val="15"/>
        </w:rPr>
        <w:sectPr w:rsidR="00AC6F3C">
          <w:headerReference w:type="default" r:id="rId168"/>
          <w:footerReference w:type="default" r:id="rId169"/>
          <w:pgSz w:w="11910" w:h="16840"/>
          <w:pgMar w:top="1240" w:right="1160" w:bottom="520" w:left="460" w:header="0" w:footer="336" w:gutter="0"/>
          <w:cols w:space="720"/>
        </w:sectPr>
      </w:pPr>
    </w:p>
    <w:p w14:paraId="328ADE28" w14:textId="77777777" w:rsidR="00AC6F3C" w:rsidRDefault="00570E88">
      <w:pPr>
        <w:spacing w:before="31"/>
        <w:ind w:left="2530"/>
        <w:rPr>
          <w:sz w:val="15"/>
        </w:rPr>
      </w:pPr>
      <w:r>
        <w:rPr>
          <w:spacing w:val="-2"/>
          <w:sz w:val="15"/>
        </w:rPr>
        <w:t>Community</w:t>
      </w:r>
    </w:p>
    <w:p w14:paraId="14796712" w14:textId="77777777" w:rsidR="00AC6F3C" w:rsidRDefault="00AC6F3C">
      <w:pPr>
        <w:pStyle w:val="BodyText"/>
        <w:rPr>
          <w:sz w:val="16"/>
        </w:rPr>
      </w:pPr>
    </w:p>
    <w:p w14:paraId="1073DC68" w14:textId="77777777" w:rsidR="00AC6F3C" w:rsidRDefault="00AC6F3C">
      <w:pPr>
        <w:pStyle w:val="BodyText"/>
        <w:rPr>
          <w:sz w:val="16"/>
        </w:rPr>
      </w:pPr>
    </w:p>
    <w:p w14:paraId="47DB4478" w14:textId="77777777" w:rsidR="00AC6F3C" w:rsidRDefault="00AC6F3C">
      <w:pPr>
        <w:pStyle w:val="BodyText"/>
        <w:spacing w:before="7"/>
        <w:rPr>
          <w:sz w:val="18"/>
        </w:rPr>
      </w:pPr>
    </w:p>
    <w:p w14:paraId="41DE7C65" w14:textId="77777777" w:rsidR="00AC6F3C" w:rsidRDefault="00570E88">
      <w:pPr>
        <w:tabs>
          <w:tab w:val="left" w:pos="2247"/>
        </w:tabs>
        <w:ind w:left="928"/>
        <w:rPr>
          <w:sz w:val="15"/>
        </w:rPr>
      </w:pPr>
      <w:r>
        <w:rPr>
          <w:noProof/>
        </w:rPr>
        <mc:AlternateContent>
          <mc:Choice Requires="wpg">
            <w:drawing>
              <wp:anchor distT="0" distB="0" distL="0" distR="0" simplePos="0" relativeHeight="15778304" behindDoc="0" locked="0" layoutInCell="1" allowOverlap="1" wp14:anchorId="41E06405" wp14:editId="5869E1D1">
                <wp:simplePos x="0" y="0"/>
                <wp:positionH relativeFrom="page">
                  <wp:posOffset>809999</wp:posOffset>
                </wp:positionH>
                <wp:positionV relativeFrom="paragraph">
                  <wp:posOffset>-55848</wp:posOffset>
                </wp:positionV>
                <wp:extent cx="5940425" cy="317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52" name="Graphic 452"/>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53" name="Graphic 453"/>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54" name="Graphic 454"/>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55" name="Graphic 455"/>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101D68" id="Group 451" o:spid="_x0000_s1026" style="position:absolute;margin-left:63.8pt;margin-top:-4.4pt;width:467.75pt;height:.25pt;z-index:1577830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">
                <v:shape id="Graphic 452"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" path="m,l837006,e" filled="f" strokeweight=".25pt">
                  <v:path arrowok="t"/>
                </v:shape>
                <v:shape id="Graphic 453"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" path="m,l1644002,e" filled="f" strokeweight=".25pt">
                  <v:path arrowok="t"/>
                </v:shape>
                <v:shape id="Graphic 454"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" path="m,l834605,e" filled="f" strokeweight=".25pt">
                  <v:path arrowok="t"/>
                </v:shape>
                <v:shape id="Graphic 455"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" path="m,l2624404,e" filled="f" strokeweight=".25pt">
                  <v:path arrowok="t"/>
                </v:shape>
                <w10:wrap anchorx="page"/>
              </v:group>
            </w:pict>
          </mc:Fallback>
        </mc:AlternateContent>
      </w:r>
      <w:r>
        <w:rPr>
          <w:b/>
          <w:spacing w:val="-2"/>
          <w:sz w:val="15"/>
        </w:rPr>
        <w:t>Support</w:t>
      </w:r>
      <w:r>
        <w:rPr>
          <w:b/>
          <w:spacing w:val="-4"/>
          <w:sz w:val="15"/>
        </w:rPr>
        <w:t xml:space="preserve"> Goal</w:t>
      </w:r>
      <w:r>
        <w:rPr>
          <w:b/>
          <w:sz w:val="15"/>
        </w:rPr>
        <w:tab/>
      </w:r>
      <w:r>
        <w:rPr>
          <w:spacing w:val="-2"/>
          <w:sz w:val="15"/>
        </w:rPr>
        <w:t>11.</w:t>
      </w:r>
      <w:r>
        <w:rPr>
          <w:spacing w:val="36"/>
          <w:sz w:val="15"/>
        </w:rPr>
        <w:t xml:space="preserve"> </w:t>
      </w:r>
      <w:r>
        <w:rPr>
          <w:spacing w:val="-2"/>
          <w:sz w:val="15"/>
        </w:rPr>
        <w:t>Connect,</w:t>
      </w:r>
      <w:r>
        <w:rPr>
          <w:spacing w:val="-9"/>
          <w:sz w:val="15"/>
        </w:rPr>
        <w:t xml:space="preserve"> </w:t>
      </w:r>
      <w:r>
        <w:rPr>
          <w:spacing w:val="-2"/>
          <w:sz w:val="15"/>
        </w:rPr>
        <w:t>support</w:t>
      </w:r>
      <w:r>
        <w:rPr>
          <w:spacing w:val="-8"/>
          <w:sz w:val="15"/>
        </w:rPr>
        <w:t xml:space="preserve"> </w:t>
      </w:r>
      <w:r>
        <w:rPr>
          <w:spacing w:val="-2"/>
          <w:sz w:val="15"/>
        </w:rPr>
        <w:t>and</w:t>
      </w:r>
      <w:r>
        <w:rPr>
          <w:spacing w:val="-9"/>
          <w:sz w:val="15"/>
        </w:rPr>
        <w:t xml:space="preserve"> </w:t>
      </w:r>
      <w:r>
        <w:rPr>
          <w:spacing w:val="-4"/>
          <w:sz w:val="15"/>
        </w:rPr>
        <w:t>promote</w:t>
      </w:r>
    </w:p>
    <w:p w14:paraId="0F570F81" w14:textId="77777777" w:rsidR="00AC6F3C" w:rsidRDefault="00570E88">
      <w:pPr>
        <w:spacing w:before="13" w:line="259" w:lineRule="auto"/>
        <w:ind w:left="2530" w:right="127"/>
        <w:rPr>
          <w:sz w:val="15"/>
        </w:rPr>
      </w:pPr>
      <w:r>
        <w:rPr>
          <w:spacing w:val="-2"/>
          <w:sz w:val="15"/>
        </w:rPr>
        <w:t>a</w:t>
      </w:r>
      <w:r>
        <w:rPr>
          <w:spacing w:val="-9"/>
          <w:sz w:val="15"/>
        </w:rPr>
        <w:t xml:space="preserve"> </w:t>
      </w:r>
      <w:r>
        <w:rPr>
          <w:spacing w:val="-2"/>
          <w:sz w:val="15"/>
        </w:rPr>
        <w:t>First</w:t>
      </w:r>
      <w:r>
        <w:rPr>
          <w:spacing w:val="-8"/>
          <w:sz w:val="15"/>
        </w:rPr>
        <w:t xml:space="preserve"> </w:t>
      </w:r>
      <w:r>
        <w:rPr>
          <w:spacing w:val="-2"/>
          <w:sz w:val="15"/>
        </w:rPr>
        <w:t>Nations</w:t>
      </w:r>
      <w:r>
        <w:rPr>
          <w:spacing w:val="-9"/>
          <w:sz w:val="15"/>
        </w:rPr>
        <w:t xml:space="preserve"> </w:t>
      </w:r>
      <w:r>
        <w:rPr>
          <w:spacing w:val="-2"/>
          <w:sz w:val="15"/>
        </w:rPr>
        <w:t>Charity</w:t>
      </w:r>
      <w:r>
        <w:rPr>
          <w:spacing w:val="-8"/>
          <w:sz w:val="15"/>
        </w:rPr>
        <w:t xml:space="preserve"> </w:t>
      </w:r>
      <w:r>
        <w:rPr>
          <w:spacing w:val="-2"/>
          <w:sz w:val="15"/>
        </w:rPr>
        <w:t>on</w:t>
      </w:r>
      <w:r>
        <w:rPr>
          <w:spacing w:val="-9"/>
          <w:sz w:val="15"/>
        </w:rPr>
        <w:t xml:space="preserve"> </w:t>
      </w:r>
      <w:r>
        <w:rPr>
          <w:spacing w:val="-2"/>
          <w:sz w:val="15"/>
        </w:rPr>
        <w:t>an</w:t>
      </w:r>
      <w:r>
        <w:rPr>
          <w:sz w:val="15"/>
        </w:rPr>
        <w:t xml:space="preserve"> annual</w:t>
      </w:r>
      <w:r>
        <w:rPr>
          <w:spacing w:val="-11"/>
          <w:sz w:val="15"/>
        </w:rPr>
        <w:t xml:space="preserve"> </w:t>
      </w:r>
      <w:r>
        <w:rPr>
          <w:sz w:val="15"/>
        </w:rPr>
        <w:t>basis</w:t>
      </w:r>
    </w:p>
    <w:p w14:paraId="19FA6F0E" w14:textId="77777777" w:rsidR="00AC6F3C" w:rsidRDefault="00570E88">
      <w:pPr>
        <w:rPr>
          <w:sz w:val="16"/>
        </w:rPr>
      </w:pPr>
      <w:r>
        <w:br w:type="column"/>
      </w:r>
    </w:p>
    <w:p w14:paraId="37831F7D" w14:textId="77777777" w:rsidR="00AC6F3C" w:rsidRDefault="00AC6F3C">
      <w:pPr>
        <w:pStyle w:val="BodyText"/>
        <w:rPr>
          <w:sz w:val="16"/>
        </w:rPr>
      </w:pPr>
    </w:p>
    <w:p w14:paraId="3C5BC91D" w14:textId="77777777" w:rsidR="00AC6F3C" w:rsidRDefault="00AC6F3C">
      <w:pPr>
        <w:pStyle w:val="BodyText"/>
        <w:rPr>
          <w:sz w:val="16"/>
        </w:rPr>
      </w:pPr>
    </w:p>
    <w:p w14:paraId="283F3B0C" w14:textId="77777777" w:rsidR="00AC6F3C" w:rsidRDefault="00AC6F3C">
      <w:pPr>
        <w:pStyle w:val="BodyText"/>
        <w:spacing w:before="3"/>
      </w:pPr>
    </w:p>
    <w:p w14:paraId="1CC90936" w14:textId="77777777" w:rsidR="00AC6F3C" w:rsidRDefault="00570E88">
      <w:pPr>
        <w:spacing w:line="259" w:lineRule="auto"/>
        <w:ind w:left="309" w:right="-1" w:hanging="1"/>
        <w:rPr>
          <w:b/>
          <w:sz w:val="15"/>
        </w:rPr>
      </w:pPr>
      <w:r>
        <w:rPr>
          <w:b/>
          <w:spacing w:val="-4"/>
          <w:sz w:val="15"/>
        </w:rPr>
        <w:t>On</w:t>
      </w:r>
      <w:r>
        <w:rPr>
          <w:b/>
          <w:spacing w:val="-7"/>
          <w:sz w:val="15"/>
        </w:rPr>
        <w:t xml:space="preserve"> </w:t>
      </w:r>
      <w:r>
        <w:rPr>
          <w:b/>
          <w:spacing w:val="-4"/>
          <w:sz w:val="15"/>
        </w:rPr>
        <w:t>the</w:t>
      </w:r>
      <w:r>
        <w:rPr>
          <w:b/>
          <w:spacing w:val="-7"/>
          <w:sz w:val="15"/>
        </w:rPr>
        <w:t xml:space="preserve"> </w:t>
      </w:r>
      <w:r>
        <w:rPr>
          <w:b/>
          <w:spacing w:val="-4"/>
          <w:sz w:val="15"/>
        </w:rPr>
        <w:t>way</w:t>
      </w:r>
      <w:r>
        <w:rPr>
          <w:b/>
          <w:sz w:val="15"/>
        </w:rPr>
        <w:t xml:space="preserve"> to</w:t>
      </w:r>
      <w:r>
        <w:rPr>
          <w:b/>
          <w:spacing w:val="-11"/>
          <w:sz w:val="15"/>
        </w:rPr>
        <w:t xml:space="preserve"> </w:t>
      </w:r>
      <w:r>
        <w:rPr>
          <w:b/>
          <w:sz w:val="15"/>
        </w:rPr>
        <w:t>deadly</w:t>
      </w:r>
    </w:p>
    <w:p w14:paraId="67732BE4" w14:textId="77777777" w:rsidR="00AC6F3C" w:rsidRDefault="00570E88">
      <w:pPr>
        <w:spacing w:before="74" w:line="259" w:lineRule="auto"/>
        <w:ind w:left="956" w:right="338" w:hanging="454"/>
        <w:rPr>
          <w:sz w:val="15"/>
        </w:rPr>
      </w:pPr>
      <w:r>
        <w:br w:type="column"/>
      </w:r>
      <w:r>
        <w:rPr>
          <w:sz w:val="15"/>
        </w:rPr>
        <w:t>10.2.1</w:t>
      </w:r>
      <w:r>
        <w:rPr>
          <w:spacing w:val="-1"/>
          <w:sz w:val="15"/>
        </w:rPr>
        <w:t xml:space="preserve"> </w:t>
      </w:r>
      <w:r>
        <w:rPr>
          <w:sz w:val="15"/>
        </w:rPr>
        <w:t>ACHIEVED</w:t>
      </w:r>
      <w:r>
        <w:rPr>
          <w:spacing w:val="-10"/>
          <w:sz w:val="15"/>
        </w:rPr>
        <w:t xml:space="preserve"> </w:t>
      </w:r>
      <w:r>
        <w:rPr>
          <w:sz w:val="15"/>
        </w:rPr>
        <w:t>–</w:t>
      </w:r>
      <w:r>
        <w:rPr>
          <w:spacing w:val="-11"/>
          <w:sz w:val="15"/>
        </w:rPr>
        <w:t xml:space="preserve"> </w:t>
      </w:r>
      <w:r>
        <w:rPr>
          <w:sz w:val="15"/>
        </w:rPr>
        <w:t>Consultation</w:t>
      </w:r>
      <w:r>
        <w:rPr>
          <w:spacing w:val="-10"/>
          <w:sz w:val="15"/>
        </w:rPr>
        <w:t xml:space="preserve"> </w:t>
      </w:r>
      <w:r>
        <w:rPr>
          <w:sz w:val="15"/>
        </w:rPr>
        <w:t>and</w:t>
      </w:r>
      <w:r>
        <w:rPr>
          <w:spacing w:val="-10"/>
          <w:sz w:val="15"/>
        </w:rPr>
        <w:t xml:space="preserve"> </w:t>
      </w:r>
      <w:r>
        <w:rPr>
          <w:sz w:val="15"/>
        </w:rPr>
        <w:t>discussion</w:t>
      </w:r>
      <w:r>
        <w:rPr>
          <w:spacing w:val="-11"/>
          <w:sz w:val="15"/>
        </w:rPr>
        <w:t xml:space="preserve"> </w:t>
      </w:r>
      <w:r>
        <w:rPr>
          <w:sz w:val="15"/>
        </w:rPr>
        <w:t>with</w:t>
      </w:r>
      <w:r>
        <w:rPr>
          <w:spacing w:val="-10"/>
          <w:sz w:val="15"/>
        </w:rPr>
        <w:t xml:space="preserve"> </w:t>
      </w:r>
      <w:r>
        <w:rPr>
          <w:sz w:val="15"/>
        </w:rPr>
        <w:t xml:space="preserve">the </w:t>
      </w:r>
      <w:r>
        <w:rPr>
          <w:spacing w:val="-2"/>
          <w:sz w:val="15"/>
        </w:rPr>
        <w:t>FNCC</w:t>
      </w:r>
      <w:r>
        <w:rPr>
          <w:spacing w:val="-9"/>
          <w:sz w:val="15"/>
        </w:rPr>
        <w:t xml:space="preserve"> </w:t>
      </w:r>
      <w:r>
        <w:rPr>
          <w:spacing w:val="-2"/>
          <w:sz w:val="15"/>
        </w:rPr>
        <w:t>regarding</w:t>
      </w:r>
      <w:r>
        <w:rPr>
          <w:spacing w:val="-8"/>
          <w:sz w:val="15"/>
        </w:rPr>
        <w:t xml:space="preserve"> </w:t>
      </w:r>
      <w:r>
        <w:rPr>
          <w:spacing w:val="-2"/>
          <w:sz w:val="15"/>
        </w:rPr>
        <w:t>charities</w:t>
      </w:r>
      <w:r>
        <w:rPr>
          <w:spacing w:val="-9"/>
          <w:sz w:val="15"/>
        </w:rPr>
        <w:t xml:space="preserve"> </w:t>
      </w:r>
      <w:r>
        <w:rPr>
          <w:spacing w:val="-2"/>
          <w:sz w:val="15"/>
        </w:rPr>
        <w:t>and</w:t>
      </w:r>
      <w:r>
        <w:rPr>
          <w:spacing w:val="-8"/>
          <w:sz w:val="15"/>
        </w:rPr>
        <w:t xml:space="preserve"> </w:t>
      </w:r>
      <w:r>
        <w:rPr>
          <w:spacing w:val="-2"/>
          <w:sz w:val="15"/>
        </w:rPr>
        <w:t>fundraising</w:t>
      </w:r>
      <w:r>
        <w:rPr>
          <w:spacing w:val="-9"/>
          <w:sz w:val="15"/>
        </w:rPr>
        <w:t xml:space="preserve"> </w:t>
      </w:r>
      <w:r>
        <w:rPr>
          <w:spacing w:val="-2"/>
          <w:sz w:val="15"/>
        </w:rPr>
        <w:t>to</w:t>
      </w:r>
      <w:r>
        <w:rPr>
          <w:spacing w:val="-8"/>
          <w:sz w:val="15"/>
        </w:rPr>
        <w:t xml:space="preserve"> </w:t>
      </w:r>
      <w:r>
        <w:rPr>
          <w:spacing w:val="-2"/>
          <w:sz w:val="15"/>
        </w:rPr>
        <w:t>support</w:t>
      </w:r>
      <w:r>
        <w:rPr>
          <w:sz w:val="15"/>
        </w:rPr>
        <w:t xml:space="preserve"> First Nations legal students.</w:t>
      </w:r>
    </w:p>
    <w:p w14:paraId="4867AA69" w14:textId="77777777" w:rsidR="00AC6F3C" w:rsidRDefault="00AC6F3C">
      <w:pPr>
        <w:pStyle w:val="BodyText"/>
        <w:spacing w:before="3"/>
        <w:rPr>
          <w:sz w:val="13"/>
        </w:rPr>
      </w:pPr>
    </w:p>
    <w:p w14:paraId="4C015D27" w14:textId="77777777" w:rsidR="00AC6F3C" w:rsidRDefault="00570E88">
      <w:pPr>
        <w:pStyle w:val="ListParagraph"/>
        <w:numPr>
          <w:ilvl w:val="2"/>
          <w:numId w:val="40"/>
        </w:numPr>
        <w:tabs>
          <w:tab w:val="left" w:pos="951"/>
          <w:tab w:val="left" w:pos="956"/>
        </w:tabs>
        <w:spacing w:before="0" w:line="259" w:lineRule="auto"/>
        <w:ind w:right="258"/>
        <w:rPr>
          <w:sz w:val="15"/>
        </w:rPr>
      </w:pPr>
      <w:r>
        <w:rPr>
          <w:sz w:val="15"/>
        </w:rPr>
        <w:t>COMPLETED</w:t>
      </w:r>
      <w:r>
        <w:rPr>
          <w:spacing w:val="-6"/>
          <w:sz w:val="15"/>
        </w:rPr>
        <w:t xml:space="preserve"> </w:t>
      </w:r>
      <w:r>
        <w:rPr>
          <w:sz w:val="15"/>
        </w:rPr>
        <w:t>–</w:t>
      </w:r>
      <w:r>
        <w:rPr>
          <w:spacing w:val="-6"/>
          <w:sz w:val="15"/>
        </w:rPr>
        <w:t xml:space="preserve"> </w:t>
      </w:r>
      <w:r>
        <w:rPr>
          <w:sz w:val="15"/>
        </w:rPr>
        <w:t>Throughout</w:t>
      </w:r>
      <w:r>
        <w:rPr>
          <w:spacing w:val="-6"/>
          <w:sz w:val="15"/>
        </w:rPr>
        <w:t xml:space="preserve"> </w:t>
      </w:r>
      <w:r>
        <w:rPr>
          <w:sz w:val="15"/>
        </w:rPr>
        <w:t>the</w:t>
      </w:r>
      <w:r>
        <w:rPr>
          <w:spacing w:val="-6"/>
          <w:sz w:val="15"/>
        </w:rPr>
        <w:t xml:space="preserve"> </w:t>
      </w:r>
      <w:r>
        <w:rPr>
          <w:sz w:val="15"/>
        </w:rPr>
        <w:t>financial</w:t>
      </w:r>
      <w:r>
        <w:rPr>
          <w:spacing w:val="-6"/>
          <w:sz w:val="15"/>
        </w:rPr>
        <w:t xml:space="preserve"> </w:t>
      </w:r>
      <w:r>
        <w:rPr>
          <w:sz w:val="15"/>
        </w:rPr>
        <w:t>year,</w:t>
      </w:r>
      <w:r>
        <w:rPr>
          <w:spacing w:val="-6"/>
          <w:sz w:val="15"/>
        </w:rPr>
        <w:t xml:space="preserve"> </w:t>
      </w:r>
      <w:r>
        <w:rPr>
          <w:sz w:val="15"/>
        </w:rPr>
        <w:t>QLS held</w:t>
      </w:r>
      <w:r>
        <w:rPr>
          <w:spacing w:val="-3"/>
          <w:sz w:val="15"/>
        </w:rPr>
        <w:t xml:space="preserve"> </w:t>
      </w:r>
      <w:r>
        <w:rPr>
          <w:sz w:val="15"/>
        </w:rPr>
        <w:t>two</w:t>
      </w:r>
      <w:r>
        <w:rPr>
          <w:spacing w:val="-3"/>
          <w:sz w:val="15"/>
        </w:rPr>
        <w:t xml:space="preserve"> </w:t>
      </w:r>
      <w:r>
        <w:rPr>
          <w:sz w:val="15"/>
        </w:rPr>
        <w:t>fundraisers,</w:t>
      </w:r>
      <w:r>
        <w:rPr>
          <w:spacing w:val="-3"/>
          <w:sz w:val="15"/>
        </w:rPr>
        <w:t xml:space="preserve"> </w:t>
      </w:r>
      <w:r>
        <w:rPr>
          <w:sz w:val="15"/>
        </w:rPr>
        <w:t>the</w:t>
      </w:r>
      <w:r>
        <w:rPr>
          <w:spacing w:val="-3"/>
          <w:sz w:val="15"/>
        </w:rPr>
        <w:t xml:space="preserve"> </w:t>
      </w:r>
      <w:r>
        <w:rPr>
          <w:sz w:val="15"/>
        </w:rPr>
        <w:t>first</w:t>
      </w:r>
      <w:r>
        <w:rPr>
          <w:spacing w:val="-3"/>
          <w:sz w:val="15"/>
        </w:rPr>
        <w:t xml:space="preserve"> </w:t>
      </w:r>
      <w:r>
        <w:rPr>
          <w:sz w:val="15"/>
        </w:rPr>
        <w:t>QLS</w:t>
      </w:r>
      <w:r>
        <w:rPr>
          <w:spacing w:val="-3"/>
          <w:sz w:val="15"/>
        </w:rPr>
        <w:t xml:space="preserve"> </w:t>
      </w:r>
      <w:r>
        <w:rPr>
          <w:sz w:val="15"/>
        </w:rPr>
        <w:t>Christmas</w:t>
      </w:r>
      <w:r>
        <w:rPr>
          <w:spacing w:val="-3"/>
          <w:sz w:val="15"/>
        </w:rPr>
        <w:t xml:space="preserve"> </w:t>
      </w:r>
      <w:r>
        <w:rPr>
          <w:sz w:val="15"/>
        </w:rPr>
        <w:t xml:space="preserve">raffle </w:t>
      </w:r>
      <w:r>
        <w:rPr>
          <w:spacing w:val="-2"/>
          <w:sz w:val="15"/>
        </w:rPr>
        <w:t>and</w:t>
      </w:r>
      <w:r>
        <w:rPr>
          <w:spacing w:val="-5"/>
          <w:sz w:val="15"/>
        </w:rPr>
        <w:t xml:space="preserve"> </w:t>
      </w:r>
      <w:r>
        <w:rPr>
          <w:spacing w:val="-2"/>
          <w:sz w:val="15"/>
        </w:rPr>
        <w:t>the</w:t>
      </w:r>
      <w:r>
        <w:rPr>
          <w:spacing w:val="-5"/>
          <w:sz w:val="15"/>
        </w:rPr>
        <w:t xml:space="preserve"> </w:t>
      </w:r>
      <w:r>
        <w:rPr>
          <w:spacing w:val="-2"/>
          <w:sz w:val="15"/>
        </w:rPr>
        <w:t>second,</w:t>
      </w:r>
      <w:r>
        <w:rPr>
          <w:spacing w:val="-5"/>
          <w:sz w:val="15"/>
        </w:rPr>
        <w:t xml:space="preserve"> </w:t>
      </w:r>
      <w:r>
        <w:rPr>
          <w:spacing w:val="-2"/>
          <w:sz w:val="15"/>
        </w:rPr>
        <w:t>a</w:t>
      </w:r>
      <w:r>
        <w:rPr>
          <w:spacing w:val="-5"/>
          <w:sz w:val="15"/>
        </w:rPr>
        <w:t xml:space="preserve"> </w:t>
      </w:r>
      <w:r>
        <w:rPr>
          <w:spacing w:val="-2"/>
          <w:sz w:val="15"/>
        </w:rPr>
        <w:t>joint</w:t>
      </w:r>
      <w:r>
        <w:rPr>
          <w:spacing w:val="-5"/>
          <w:sz w:val="15"/>
        </w:rPr>
        <w:t xml:space="preserve"> </w:t>
      </w:r>
      <w:r>
        <w:rPr>
          <w:spacing w:val="-2"/>
          <w:sz w:val="15"/>
        </w:rPr>
        <w:t>initiative</w:t>
      </w:r>
      <w:r>
        <w:rPr>
          <w:spacing w:val="-5"/>
          <w:sz w:val="15"/>
        </w:rPr>
        <w:t xml:space="preserve"> </w:t>
      </w:r>
      <w:r>
        <w:rPr>
          <w:spacing w:val="-2"/>
          <w:sz w:val="15"/>
        </w:rPr>
        <w:t>with</w:t>
      </w:r>
      <w:r>
        <w:rPr>
          <w:spacing w:val="-5"/>
          <w:sz w:val="15"/>
        </w:rPr>
        <w:t xml:space="preserve"> </w:t>
      </w:r>
      <w:r>
        <w:rPr>
          <w:spacing w:val="-2"/>
          <w:sz w:val="15"/>
        </w:rPr>
        <w:t>Carter</w:t>
      </w:r>
      <w:r>
        <w:rPr>
          <w:spacing w:val="-5"/>
          <w:sz w:val="15"/>
        </w:rPr>
        <w:t xml:space="preserve"> </w:t>
      </w:r>
      <w:r>
        <w:rPr>
          <w:spacing w:val="-2"/>
          <w:sz w:val="15"/>
        </w:rPr>
        <w:t>Newell</w:t>
      </w:r>
      <w:r>
        <w:rPr>
          <w:spacing w:val="-5"/>
          <w:sz w:val="15"/>
        </w:rPr>
        <w:t xml:space="preserve"> </w:t>
      </w:r>
      <w:r>
        <w:rPr>
          <w:spacing w:val="-2"/>
          <w:sz w:val="15"/>
        </w:rPr>
        <w:t>to</w:t>
      </w:r>
      <w:r>
        <w:rPr>
          <w:sz w:val="15"/>
        </w:rPr>
        <w:t xml:space="preserve"> raise</w:t>
      </w:r>
      <w:r>
        <w:rPr>
          <w:spacing w:val="-7"/>
          <w:sz w:val="15"/>
        </w:rPr>
        <w:t xml:space="preserve"> </w:t>
      </w:r>
      <w:r>
        <w:rPr>
          <w:sz w:val="15"/>
        </w:rPr>
        <w:t>funds</w:t>
      </w:r>
      <w:r>
        <w:rPr>
          <w:spacing w:val="-7"/>
          <w:sz w:val="15"/>
        </w:rPr>
        <w:t xml:space="preserve"> </w:t>
      </w:r>
      <w:r>
        <w:rPr>
          <w:sz w:val="15"/>
        </w:rPr>
        <w:t>for</w:t>
      </w:r>
      <w:r>
        <w:rPr>
          <w:spacing w:val="-7"/>
          <w:sz w:val="15"/>
        </w:rPr>
        <w:t xml:space="preserve"> </w:t>
      </w:r>
      <w:r>
        <w:rPr>
          <w:sz w:val="15"/>
        </w:rPr>
        <w:t>the</w:t>
      </w:r>
      <w:r>
        <w:rPr>
          <w:spacing w:val="-7"/>
          <w:sz w:val="15"/>
        </w:rPr>
        <w:t xml:space="preserve"> </w:t>
      </w:r>
      <w:r>
        <w:rPr>
          <w:sz w:val="15"/>
        </w:rPr>
        <w:t>Indigenous</w:t>
      </w:r>
      <w:r>
        <w:rPr>
          <w:spacing w:val="-7"/>
          <w:sz w:val="15"/>
        </w:rPr>
        <w:t xml:space="preserve"> </w:t>
      </w:r>
      <w:r>
        <w:rPr>
          <w:sz w:val="15"/>
        </w:rPr>
        <w:t>Literacy</w:t>
      </w:r>
      <w:r>
        <w:rPr>
          <w:spacing w:val="-7"/>
          <w:sz w:val="15"/>
        </w:rPr>
        <w:t xml:space="preserve"> </w:t>
      </w:r>
      <w:r>
        <w:rPr>
          <w:sz w:val="15"/>
        </w:rPr>
        <w:t>Foundation. QLS</w:t>
      </w:r>
      <w:r>
        <w:rPr>
          <w:spacing w:val="-6"/>
          <w:sz w:val="15"/>
        </w:rPr>
        <w:t xml:space="preserve"> </w:t>
      </w:r>
      <w:r>
        <w:rPr>
          <w:sz w:val="15"/>
        </w:rPr>
        <w:t>staff</w:t>
      </w:r>
      <w:r>
        <w:rPr>
          <w:spacing w:val="-6"/>
          <w:sz w:val="15"/>
        </w:rPr>
        <w:t xml:space="preserve"> </w:t>
      </w:r>
      <w:r>
        <w:rPr>
          <w:sz w:val="15"/>
        </w:rPr>
        <w:t>(and</w:t>
      </w:r>
      <w:r>
        <w:rPr>
          <w:spacing w:val="-6"/>
          <w:sz w:val="15"/>
        </w:rPr>
        <w:t xml:space="preserve"> </w:t>
      </w:r>
      <w:r>
        <w:rPr>
          <w:sz w:val="15"/>
        </w:rPr>
        <w:t>matching</w:t>
      </w:r>
      <w:r>
        <w:rPr>
          <w:spacing w:val="-6"/>
          <w:sz w:val="15"/>
        </w:rPr>
        <w:t xml:space="preserve"> </w:t>
      </w:r>
      <w:r>
        <w:rPr>
          <w:sz w:val="15"/>
        </w:rPr>
        <w:t>by</w:t>
      </w:r>
      <w:r>
        <w:rPr>
          <w:spacing w:val="-6"/>
          <w:sz w:val="15"/>
        </w:rPr>
        <w:t xml:space="preserve"> </w:t>
      </w:r>
      <w:r>
        <w:rPr>
          <w:sz w:val="15"/>
        </w:rPr>
        <w:t>QLS)</w:t>
      </w:r>
      <w:r>
        <w:rPr>
          <w:spacing w:val="-6"/>
          <w:sz w:val="15"/>
        </w:rPr>
        <w:t xml:space="preserve"> </w:t>
      </w:r>
      <w:r>
        <w:rPr>
          <w:sz w:val="15"/>
        </w:rPr>
        <w:t>raised</w:t>
      </w:r>
      <w:r>
        <w:rPr>
          <w:spacing w:val="-6"/>
          <w:sz w:val="15"/>
        </w:rPr>
        <w:t xml:space="preserve"> </w:t>
      </w:r>
      <w:r>
        <w:rPr>
          <w:sz w:val="15"/>
        </w:rPr>
        <w:t>$756</w:t>
      </w:r>
      <w:r>
        <w:rPr>
          <w:spacing w:val="-6"/>
          <w:sz w:val="15"/>
        </w:rPr>
        <w:t xml:space="preserve"> </w:t>
      </w:r>
      <w:r>
        <w:rPr>
          <w:sz w:val="15"/>
        </w:rPr>
        <w:t>and with</w:t>
      </w:r>
      <w:r>
        <w:rPr>
          <w:spacing w:val="-8"/>
          <w:sz w:val="15"/>
        </w:rPr>
        <w:t xml:space="preserve"> </w:t>
      </w:r>
      <w:r>
        <w:rPr>
          <w:sz w:val="15"/>
        </w:rPr>
        <w:t>Carter</w:t>
      </w:r>
      <w:r>
        <w:rPr>
          <w:spacing w:val="-8"/>
          <w:sz w:val="15"/>
        </w:rPr>
        <w:t xml:space="preserve"> </w:t>
      </w:r>
      <w:r>
        <w:rPr>
          <w:sz w:val="15"/>
        </w:rPr>
        <w:t>Newell</w:t>
      </w:r>
      <w:r>
        <w:rPr>
          <w:spacing w:val="-8"/>
          <w:sz w:val="15"/>
        </w:rPr>
        <w:t xml:space="preserve"> </w:t>
      </w:r>
      <w:r>
        <w:rPr>
          <w:sz w:val="15"/>
        </w:rPr>
        <w:t>raised</w:t>
      </w:r>
      <w:r>
        <w:rPr>
          <w:spacing w:val="-8"/>
          <w:sz w:val="15"/>
        </w:rPr>
        <w:t xml:space="preserve"> </w:t>
      </w:r>
      <w:r>
        <w:rPr>
          <w:sz w:val="15"/>
        </w:rPr>
        <w:t>$106.</w:t>
      </w:r>
      <w:r>
        <w:rPr>
          <w:spacing w:val="-8"/>
          <w:sz w:val="15"/>
        </w:rPr>
        <w:t xml:space="preserve"> </w:t>
      </w:r>
      <w:r>
        <w:rPr>
          <w:sz w:val="15"/>
        </w:rPr>
        <w:t>As</w:t>
      </w:r>
      <w:r>
        <w:rPr>
          <w:spacing w:val="-8"/>
          <w:sz w:val="15"/>
        </w:rPr>
        <w:t xml:space="preserve"> </w:t>
      </w:r>
      <w:r>
        <w:rPr>
          <w:sz w:val="15"/>
        </w:rPr>
        <w:t>a</w:t>
      </w:r>
      <w:r>
        <w:rPr>
          <w:spacing w:val="-8"/>
          <w:sz w:val="15"/>
        </w:rPr>
        <w:t xml:space="preserve"> </w:t>
      </w:r>
      <w:r>
        <w:rPr>
          <w:sz w:val="15"/>
        </w:rPr>
        <w:t>result</w:t>
      </w:r>
      <w:r>
        <w:rPr>
          <w:spacing w:val="-8"/>
          <w:sz w:val="15"/>
        </w:rPr>
        <w:t xml:space="preserve"> </w:t>
      </w:r>
      <w:r>
        <w:rPr>
          <w:sz w:val="15"/>
        </w:rPr>
        <w:t>of</w:t>
      </w:r>
      <w:r>
        <w:rPr>
          <w:spacing w:val="-8"/>
          <w:sz w:val="15"/>
        </w:rPr>
        <w:t xml:space="preserve"> </w:t>
      </w:r>
      <w:r>
        <w:rPr>
          <w:sz w:val="15"/>
        </w:rPr>
        <w:t>QLS’s efforts</w:t>
      </w:r>
      <w:r>
        <w:rPr>
          <w:spacing w:val="-2"/>
          <w:sz w:val="15"/>
        </w:rPr>
        <w:t xml:space="preserve"> </w:t>
      </w:r>
      <w:r>
        <w:rPr>
          <w:sz w:val="15"/>
        </w:rPr>
        <w:t>ILF</w:t>
      </w:r>
      <w:r>
        <w:rPr>
          <w:spacing w:val="-2"/>
          <w:sz w:val="15"/>
        </w:rPr>
        <w:t xml:space="preserve"> </w:t>
      </w:r>
      <w:r>
        <w:rPr>
          <w:sz w:val="15"/>
        </w:rPr>
        <w:t>reached</w:t>
      </w:r>
      <w:r>
        <w:rPr>
          <w:spacing w:val="-2"/>
          <w:sz w:val="15"/>
        </w:rPr>
        <w:t xml:space="preserve"> </w:t>
      </w:r>
      <w:r>
        <w:rPr>
          <w:sz w:val="15"/>
        </w:rPr>
        <w:t>out</w:t>
      </w:r>
      <w:r>
        <w:rPr>
          <w:spacing w:val="-2"/>
          <w:sz w:val="15"/>
        </w:rPr>
        <w:t xml:space="preserve"> </w:t>
      </w:r>
      <w:r>
        <w:rPr>
          <w:sz w:val="15"/>
        </w:rPr>
        <w:t>to</w:t>
      </w:r>
      <w:r>
        <w:rPr>
          <w:spacing w:val="-2"/>
          <w:sz w:val="15"/>
        </w:rPr>
        <w:t xml:space="preserve"> </w:t>
      </w:r>
      <w:r>
        <w:rPr>
          <w:sz w:val="15"/>
        </w:rPr>
        <w:t>QLS</w:t>
      </w:r>
      <w:r>
        <w:rPr>
          <w:spacing w:val="-2"/>
          <w:sz w:val="15"/>
        </w:rPr>
        <w:t xml:space="preserve"> </w:t>
      </w:r>
      <w:r>
        <w:rPr>
          <w:sz w:val="15"/>
        </w:rPr>
        <w:t>and</w:t>
      </w:r>
      <w:r>
        <w:rPr>
          <w:spacing w:val="-2"/>
          <w:sz w:val="15"/>
        </w:rPr>
        <w:t xml:space="preserve"> </w:t>
      </w:r>
      <w:r>
        <w:rPr>
          <w:sz w:val="15"/>
        </w:rPr>
        <w:t>provided</w:t>
      </w:r>
      <w:r>
        <w:rPr>
          <w:spacing w:val="-2"/>
          <w:sz w:val="15"/>
        </w:rPr>
        <w:t xml:space="preserve"> </w:t>
      </w:r>
      <w:r>
        <w:rPr>
          <w:sz w:val="15"/>
        </w:rPr>
        <w:t xml:space="preserve">a </w:t>
      </w:r>
      <w:r>
        <w:rPr>
          <w:spacing w:val="-4"/>
          <w:sz w:val="15"/>
        </w:rPr>
        <w:t>personal acknowledgment and Thank You Certificate.</w:t>
      </w:r>
      <w:r>
        <w:rPr>
          <w:sz w:val="15"/>
        </w:rPr>
        <w:t xml:space="preserve"> This</w:t>
      </w:r>
      <w:r>
        <w:rPr>
          <w:spacing w:val="-4"/>
          <w:sz w:val="15"/>
        </w:rPr>
        <w:t xml:space="preserve"> </w:t>
      </w:r>
      <w:r>
        <w:rPr>
          <w:sz w:val="15"/>
        </w:rPr>
        <w:t>is</w:t>
      </w:r>
      <w:r>
        <w:rPr>
          <w:spacing w:val="-4"/>
          <w:sz w:val="15"/>
        </w:rPr>
        <w:t xml:space="preserve"> </w:t>
      </w:r>
      <w:r>
        <w:rPr>
          <w:sz w:val="15"/>
        </w:rPr>
        <w:t>the</w:t>
      </w:r>
      <w:r>
        <w:rPr>
          <w:spacing w:val="-4"/>
          <w:sz w:val="15"/>
        </w:rPr>
        <w:t xml:space="preserve"> </w:t>
      </w:r>
      <w:r>
        <w:rPr>
          <w:sz w:val="15"/>
        </w:rPr>
        <w:t>first</w:t>
      </w:r>
      <w:r>
        <w:rPr>
          <w:spacing w:val="-4"/>
          <w:sz w:val="15"/>
        </w:rPr>
        <w:t xml:space="preserve"> </w:t>
      </w:r>
      <w:r>
        <w:rPr>
          <w:sz w:val="15"/>
        </w:rPr>
        <w:t>time</w:t>
      </w:r>
      <w:r>
        <w:rPr>
          <w:spacing w:val="-4"/>
          <w:sz w:val="15"/>
        </w:rPr>
        <w:t xml:space="preserve"> </w:t>
      </w:r>
      <w:r>
        <w:rPr>
          <w:sz w:val="15"/>
        </w:rPr>
        <w:t>QLS</w:t>
      </w:r>
      <w:r>
        <w:rPr>
          <w:spacing w:val="-4"/>
          <w:sz w:val="15"/>
        </w:rPr>
        <w:t xml:space="preserve"> </w:t>
      </w:r>
      <w:r>
        <w:rPr>
          <w:sz w:val="15"/>
        </w:rPr>
        <w:t>has</w:t>
      </w:r>
      <w:r>
        <w:rPr>
          <w:spacing w:val="-4"/>
          <w:sz w:val="15"/>
        </w:rPr>
        <w:t xml:space="preserve"> </w:t>
      </w:r>
      <w:r>
        <w:rPr>
          <w:sz w:val="15"/>
        </w:rPr>
        <w:t>raised</w:t>
      </w:r>
      <w:r>
        <w:rPr>
          <w:spacing w:val="-4"/>
          <w:sz w:val="15"/>
        </w:rPr>
        <w:t xml:space="preserve"> </w:t>
      </w:r>
      <w:r>
        <w:rPr>
          <w:sz w:val="15"/>
        </w:rPr>
        <w:t>held</w:t>
      </w:r>
      <w:r>
        <w:rPr>
          <w:spacing w:val="-4"/>
          <w:sz w:val="15"/>
        </w:rPr>
        <w:t xml:space="preserve"> </w:t>
      </w:r>
      <w:r>
        <w:rPr>
          <w:sz w:val="15"/>
        </w:rPr>
        <w:t>multiple fundraisers</w:t>
      </w:r>
      <w:r>
        <w:rPr>
          <w:spacing w:val="-4"/>
          <w:sz w:val="15"/>
        </w:rPr>
        <w:t xml:space="preserve"> </w:t>
      </w:r>
      <w:r>
        <w:rPr>
          <w:sz w:val="15"/>
        </w:rPr>
        <w:t>throughout</w:t>
      </w:r>
      <w:r>
        <w:rPr>
          <w:spacing w:val="-4"/>
          <w:sz w:val="15"/>
        </w:rPr>
        <w:t xml:space="preserve"> </w:t>
      </w:r>
      <w:r>
        <w:rPr>
          <w:sz w:val="15"/>
        </w:rPr>
        <w:t>the</w:t>
      </w:r>
      <w:r>
        <w:rPr>
          <w:spacing w:val="-4"/>
          <w:sz w:val="15"/>
        </w:rPr>
        <w:t xml:space="preserve"> </w:t>
      </w:r>
      <w:r>
        <w:rPr>
          <w:sz w:val="15"/>
        </w:rPr>
        <w:t>financial</w:t>
      </w:r>
      <w:r>
        <w:rPr>
          <w:spacing w:val="-4"/>
          <w:sz w:val="15"/>
        </w:rPr>
        <w:t xml:space="preserve"> </w:t>
      </w:r>
      <w:r>
        <w:rPr>
          <w:sz w:val="15"/>
        </w:rPr>
        <w:t>year</w:t>
      </w:r>
      <w:r>
        <w:rPr>
          <w:spacing w:val="-4"/>
          <w:sz w:val="15"/>
        </w:rPr>
        <w:t xml:space="preserve"> </w:t>
      </w:r>
      <w:r>
        <w:rPr>
          <w:sz w:val="15"/>
        </w:rPr>
        <w:t>and</w:t>
      </w:r>
      <w:r>
        <w:rPr>
          <w:spacing w:val="-4"/>
          <w:sz w:val="15"/>
        </w:rPr>
        <w:t xml:space="preserve"> </w:t>
      </w:r>
      <w:r>
        <w:rPr>
          <w:sz w:val="15"/>
        </w:rPr>
        <w:t>the</w:t>
      </w:r>
    </w:p>
    <w:p w14:paraId="6B5F874B" w14:textId="77777777" w:rsidR="00AC6F3C" w:rsidRDefault="00570E88">
      <w:pPr>
        <w:spacing w:line="259" w:lineRule="auto"/>
        <w:ind w:left="956" w:right="349"/>
        <w:rPr>
          <w:sz w:val="15"/>
        </w:rPr>
      </w:pPr>
      <w:r>
        <w:rPr>
          <w:spacing w:val="-2"/>
          <w:sz w:val="15"/>
        </w:rPr>
        <w:t>first</w:t>
      </w:r>
      <w:r>
        <w:rPr>
          <w:spacing w:val="-9"/>
          <w:sz w:val="15"/>
        </w:rPr>
        <w:t xml:space="preserve"> </w:t>
      </w:r>
      <w:r>
        <w:rPr>
          <w:spacing w:val="-2"/>
          <w:sz w:val="15"/>
        </w:rPr>
        <w:t>joint</w:t>
      </w:r>
      <w:r>
        <w:rPr>
          <w:spacing w:val="-8"/>
          <w:sz w:val="15"/>
        </w:rPr>
        <w:t xml:space="preserve"> </w:t>
      </w:r>
      <w:r>
        <w:rPr>
          <w:spacing w:val="-2"/>
          <w:sz w:val="15"/>
        </w:rPr>
        <w:t>fundraiser.</w:t>
      </w:r>
      <w:r>
        <w:rPr>
          <w:spacing w:val="-9"/>
          <w:sz w:val="15"/>
        </w:rPr>
        <w:t xml:space="preserve"> </w:t>
      </w:r>
      <w:r>
        <w:rPr>
          <w:spacing w:val="-2"/>
          <w:sz w:val="15"/>
        </w:rPr>
        <w:t>Although</w:t>
      </w:r>
      <w:r>
        <w:rPr>
          <w:spacing w:val="-8"/>
          <w:sz w:val="15"/>
        </w:rPr>
        <w:t xml:space="preserve"> </w:t>
      </w:r>
      <w:r>
        <w:rPr>
          <w:spacing w:val="-2"/>
          <w:sz w:val="15"/>
        </w:rPr>
        <w:t>QLS</w:t>
      </w:r>
      <w:r>
        <w:rPr>
          <w:spacing w:val="-9"/>
          <w:sz w:val="15"/>
        </w:rPr>
        <w:t xml:space="preserve"> </w:t>
      </w:r>
      <w:r>
        <w:rPr>
          <w:spacing w:val="-2"/>
          <w:sz w:val="15"/>
        </w:rPr>
        <w:t>has</w:t>
      </w:r>
      <w:r>
        <w:rPr>
          <w:spacing w:val="-8"/>
          <w:sz w:val="15"/>
        </w:rPr>
        <w:t xml:space="preserve"> </w:t>
      </w:r>
      <w:r>
        <w:rPr>
          <w:spacing w:val="-2"/>
          <w:sz w:val="15"/>
        </w:rPr>
        <w:t>been</w:t>
      </w:r>
      <w:r>
        <w:rPr>
          <w:spacing w:val="-8"/>
          <w:sz w:val="15"/>
        </w:rPr>
        <w:t xml:space="preserve"> </w:t>
      </w:r>
      <w:r>
        <w:rPr>
          <w:spacing w:val="-2"/>
          <w:sz w:val="15"/>
        </w:rPr>
        <w:t>short</w:t>
      </w:r>
      <w:r>
        <w:rPr>
          <w:spacing w:val="-9"/>
          <w:sz w:val="15"/>
        </w:rPr>
        <w:t xml:space="preserve"> </w:t>
      </w:r>
      <w:r>
        <w:rPr>
          <w:spacing w:val="-2"/>
          <w:sz w:val="15"/>
        </w:rPr>
        <w:t>in</w:t>
      </w:r>
      <w:r>
        <w:rPr>
          <w:sz w:val="15"/>
        </w:rPr>
        <w:t xml:space="preserve"> </w:t>
      </w:r>
      <w:r>
        <w:rPr>
          <w:spacing w:val="-2"/>
          <w:sz w:val="15"/>
        </w:rPr>
        <w:t>reaching</w:t>
      </w:r>
      <w:r>
        <w:rPr>
          <w:spacing w:val="-6"/>
          <w:sz w:val="15"/>
        </w:rPr>
        <w:t xml:space="preserve"> </w:t>
      </w:r>
      <w:r>
        <w:rPr>
          <w:spacing w:val="-2"/>
          <w:sz w:val="15"/>
        </w:rPr>
        <w:t>$900</w:t>
      </w:r>
      <w:r>
        <w:rPr>
          <w:spacing w:val="-6"/>
          <w:sz w:val="15"/>
        </w:rPr>
        <w:t xml:space="preserve"> </w:t>
      </w:r>
      <w:r>
        <w:rPr>
          <w:spacing w:val="-2"/>
          <w:sz w:val="15"/>
        </w:rPr>
        <w:t>in</w:t>
      </w:r>
      <w:r>
        <w:rPr>
          <w:spacing w:val="-6"/>
          <w:sz w:val="15"/>
        </w:rPr>
        <w:t xml:space="preserve"> </w:t>
      </w:r>
      <w:r>
        <w:rPr>
          <w:spacing w:val="-2"/>
          <w:sz w:val="15"/>
        </w:rPr>
        <w:t>donations,</w:t>
      </w:r>
      <w:r>
        <w:rPr>
          <w:spacing w:val="-6"/>
          <w:sz w:val="15"/>
        </w:rPr>
        <w:t xml:space="preserve"> </w:t>
      </w:r>
      <w:r>
        <w:rPr>
          <w:spacing w:val="-2"/>
          <w:sz w:val="15"/>
        </w:rPr>
        <w:t>overall</w:t>
      </w:r>
      <w:r>
        <w:rPr>
          <w:spacing w:val="-6"/>
          <w:sz w:val="15"/>
        </w:rPr>
        <w:t xml:space="preserve"> </w:t>
      </w:r>
      <w:r>
        <w:rPr>
          <w:spacing w:val="-2"/>
          <w:sz w:val="15"/>
        </w:rPr>
        <w:t>it</w:t>
      </w:r>
      <w:r>
        <w:rPr>
          <w:spacing w:val="-6"/>
          <w:sz w:val="15"/>
        </w:rPr>
        <w:t xml:space="preserve"> </w:t>
      </w:r>
      <w:r>
        <w:rPr>
          <w:spacing w:val="-2"/>
          <w:sz w:val="15"/>
        </w:rPr>
        <w:t>has</w:t>
      </w:r>
      <w:r>
        <w:rPr>
          <w:spacing w:val="-6"/>
          <w:sz w:val="15"/>
        </w:rPr>
        <w:t xml:space="preserve"> </w:t>
      </w:r>
      <w:r>
        <w:rPr>
          <w:spacing w:val="-2"/>
          <w:sz w:val="15"/>
        </w:rPr>
        <w:t>been</w:t>
      </w:r>
      <w:r>
        <w:rPr>
          <w:spacing w:val="-6"/>
          <w:sz w:val="15"/>
        </w:rPr>
        <w:t xml:space="preserve"> </w:t>
      </w:r>
      <w:r>
        <w:rPr>
          <w:spacing w:val="-2"/>
          <w:sz w:val="15"/>
        </w:rPr>
        <w:t>very</w:t>
      </w:r>
      <w:r>
        <w:rPr>
          <w:sz w:val="15"/>
        </w:rPr>
        <w:t xml:space="preserve"> rewarding and very collaborative.</w:t>
      </w:r>
    </w:p>
    <w:p w14:paraId="4AD63830" w14:textId="77777777" w:rsidR="00AC6F3C" w:rsidRDefault="00AC6F3C">
      <w:pPr>
        <w:spacing w:line="259" w:lineRule="auto"/>
        <w:rPr>
          <w:sz w:val="15"/>
        </w:rPr>
        <w:sectPr w:rsidR="00AC6F3C">
          <w:type w:val="continuous"/>
          <w:pgSz w:w="11910" w:h="16840"/>
          <w:pgMar w:top="1920" w:right="1160" w:bottom="280" w:left="460" w:header="0" w:footer="336" w:gutter="0"/>
          <w:cols w:num="3" w:space="720" w:equalWidth="0">
            <w:col w:w="4487" w:space="40"/>
            <w:col w:w="1082" w:space="39"/>
            <w:col w:w="4642"/>
          </w:cols>
        </w:sectPr>
      </w:pPr>
    </w:p>
    <w:p w14:paraId="173671AA" w14:textId="77777777" w:rsidR="00AC6F3C" w:rsidRDefault="00AC6F3C">
      <w:pPr>
        <w:pStyle w:val="BodyText"/>
        <w:spacing w:before="4"/>
        <w:rPr>
          <w:sz w:val="5"/>
        </w:rPr>
      </w:pPr>
    </w:p>
    <w:p w14:paraId="1EB353A3"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7108EC22" wp14:editId="7E57D30D">
                <wp:extent cx="5940425" cy="3175"/>
                <wp:effectExtent l="9525" t="0" r="0" b="635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57" name="Graphic 457"/>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58" name="Graphic 458"/>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59" name="Graphic 459"/>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60" name="Graphic 460"/>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FBA265" id="Group 456"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">
                <v:shape id="Graphic 457"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" path="m,l837006,e" filled="f" strokeweight=".25pt">
                  <v:path arrowok="t"/>
                </v:shape>
                <v:shape id="Graphic 458"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" path="m,l1644002,e" filled="f" strokeweight=".25pt">
                  <v:path arrowok="t"/>
                </v:shape>
                <v:shape id="Graphic 459"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" path="m,l834605,e" filled="f" strokeweight=".25pt">
                  <v:path arrowok="t"/>
                </v:shape>
                <v:shape id="Graphic 460"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" path="m,l2624404,e" filled="f" strokeweight=".25pt">
                  <v:path arrowok="t"/>
                </v:shape>
                <w10:anchorlock/>
              </v:group>
            </w:pict>
          </mc:Fallback>
        </mc:AlternateContent>
      </w:r>
    </w:p>
    <w:p w14:paraId="609C55A0" w14:textId="77777777" w:rsidR="00AC6F3C" w:rsidRDefault="00AC6F3C">
      <w:pPr>
        <w:spacing w:line="20" w:lineRule="exact"/>
        <w:rPr>
          <w:sz w:val="2"/>
        </w:rPr>
        <w:sectPr w:rsidR="00AC6F3C">
          <w:type w:val="continuous"/>
          <w:pgSz w:w="11910" w:h="16840"/>
          <w:pgMar w:top="1920" w:right="1160" w:bottom="280" w:left="460" w:header="0" w:footer="336" w:gutter="0"/>
          <w:cols w:space="720"/>
        </w:sectPr>
      </w:pPr>
    </w:p>
    <w:p w14:paraId="688DCAEA" w14:textId="77777777" w:rsidR="00AC6F3C" w:rsidRDefault="00570E88">
      <w:pPr>
        <w:pStyle w:val="BodyText"/>
        <w:spacing w:line="20" w:lineRule="exact"/>
        <w:ind w:left="805"/>
        <w:rPr>
          <w:sz w:val="2"/>
        </w:rPr>
      </w:pPr>
      <w:r>
        <w:rPr>
          <w:noProof/>
          <w:sz w:val="2"/>
        </w:rPr>
        <w:lastRenderedPageBreak/>
        <mc:AlternateContent>
          <mc:Choice Requires="wpg">
            <w:drawing>
              <wp:inline distT="0" distB="0" distL="0" distR="0" wp14:anchorId="0A489FEC" wp14:editId="1F2BE080">
                <wp:extent cx="5940425" cy="12700"/>
                <wp:effectExtent l="9525" t="0" r="3175"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463" name="Graphic 463"/>
                        <wps:cNvSpPr/>
                        <wps:spPr>
                          <a:xfrm>
                            <a:off x="0" y="6350"/>
                            <a:ext cx="837565" cy="1270"/>
                          </a:xfrm>
                          <a:custGeom>
                            <a:avLst/>
                            <a:gdLst/>
                            <a:ahLst/>
                            <a:cxnLst/>
                            <a:rect l="l" t="t" r="r" b="b"/>
                            <a:pathLst>
                              <a:path w="837565">
                                <a:moveTo>
                                  <a:pt x="0" y="0"/>
                                </a:moveTo>
                                <a:lnTo>
                                  <a:pt x="837006" y="0"/>
                                </a:lnTo>
                              </a:path>
                            </a:pathLst>
                          </a:custGeom>
                          <a:ln w="12700">
                            <a:solidFill>
                              <a:srgbClr val="000000"/>
                            </a:solidFill>
                            <a:prstDash val="solid"/>
                          </a:ln>
                        </wps:spPr>
                        <wps:bodyPr wrap="square" lIns="0" tIns="0" rIns="0" bIns="0" rtlCol="0">
                          <a:prstTxWarp prst="textNoShape">
                            <a:avLst/>
                          </a:prstTxWarp>
                          <a:noAutofit/>
                        </wps:bodyPr>
                      </wps:wsp>
                      <wps:wsp>
                        <wps:cNvPr id="464" name="Graphic 464"/>
                        <wps:cNvSpPr/>
                        <wps:spPr>
                          <a:xfrm>
                            <a:off x="836999" y="6350"/>
                            <a:ext cx="1644014" cy="1270"/>
                          </a:xfrm>
                          <a:custGeom>
                            <a:avLst/>
                            <a:gdLst/>
                            <a:ahLst/>
                            <a:cxnLst/>
                            <a:rect l="l" t="t" r="r" b="b"/>
                            <a:pathLst>
                              <a:path w="1644014">
                                <a:moveTo>
                                  <a:pt x="0" y="0"/>
                                </a:moveTo>
                                <a:lnTo>
                                  <a:pt x="1644002" y="0"/>
                                </a:lnTo>
                              </a:path>
                            </a:pathLst>
                          </a:custGeom>
                          <a:ln w="12700">
                            <a:solidFill>
                              <a:srgbClr val="000000"/>
                            </a:solidFill>
                            <a:prstDash val="solid"/>
                          </a:ln>
                        </wps:spPr>
                        <wps:bodyPr wrap="square" lIns="0" tIns="0" rIns="0" bIns="0" rtlCol="0">
                          <a:prstTxWarp prst="textNoShape">
                            <a:avLst/>
                          </a:prstTxWarp>
                          <a:noAutofit/>
                        </wps:bodyPr>
                      </wps:wsp>
                      <wps:wsp>
                        <wps:cNvPr id="465" name="Graphic 465"/>
                        <wps:cNvSpPr/>
                        <wps:spPr>
                          <a:xfrm>
                            <a:off x="2481000" y="6350"/>
                            <a:ext cx="835025" cy="1270"/>
                          </a:xfrm>
                          <a:custGeom>
                            <a:avLst/>
                            <a:gdLst/>
                            <a:ahLst/>
                            <a:cxnLst/>
                            <a:rect l="l" t="t" r="r" b="b"/>
                            <a:pathLst>
                              <a:path w="835025">
                                <a:moveTo>
                                  <a:pt x="0" y="0"/>
                                </a:moveTo>
                                <a:lnTo>
                                  <a:pt x="834605" y="0"/>
                                </a:lnTo>
                              </a:path>
                            </a:pathLst>
                          </a:custGeom>
                          <a:ln w="12700">
                            <a:solidFill>
                              <a:srgbClr val="000000"/>
                            </a:solidFill>
                            <a:prstDash val="solid"/>
                          </a:ln>
                        </wps:spPr>
                        <wps:bodyPr wrap="square" lIns="0" tIns="0" rIns="0" bIns="0" rtlCol="0">
                          <a:prstTxWarp prst="textNoShape">
                            <a:avLst/>
                          </a:prstTxWarp>
                          <a:noAutofit/>
                        </wps:bodyPr>
                      </wps:wsp>
                      <wps:wsp>
                        <wps:cNvPr id="466" name="Graphic 466"/>
                        <wps:cNvSpPr/>
                        <wps:spPr>
                          <a:xfrm>
                            <a:off x="3315600" y="6350"/>
                            <a:ext cx="2624455" cy="1270"/>
                          </a:xfrm>
                          <a:custGeom>
                            <a:avLst/>
                            <a:gdLst/>
                            <a:ahLst/>
                            <a:cxnLst/>
                            <a:rect l="l" t="t" r="r" b="b"/>
                            <a:pathLst>
                              <a:path w="2624455">
                                <a:moveTo>
                                  <a:pt x="0" y="0"/>
                                </a:moveTo>
                                <a:lnTo>
                                  <a:pt x="262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1311F0" id="Group 462"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">
                <v:shape id="Graphic 463" o:spid="_x0000_s1027" style="position:absolute;top:63;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" path="m,l837006,e" filled="f" strokeweight="1pt">
                  <v:path arrowok="t"/>
                </v:shape>
                <v:shape id="Graphic 464" o:spid="_x0000_s1028" style="position:absolute;left:8369;top:63;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" path="m,l1644002,e" filled="f" strokeweight="1pt">
                  <v:path arrowok="t"/>
                </v:shape>
                <v:shape id="Graphic 465" o:spid="_x0000_s1029" style="position:absolute;left:24810;top:63;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" path="m,l834605,e" filled="f" strokeweight="1pt">
                  <v:path arrowok="t"/>
                </v:shape>
                <v:shape id="Graphic 466" o:spid="_x0000_s1030" style="position:absolute;left:33156;top:63;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" path="m,l2624404,e" filled="f" strokeweight="1pt">
                  <v:path arrowok="t"/>
                </v:shape>
                <w10:anchorlock/>
              </v:group>
            </w:pict>
          </mc:Fallback>
        </mc:AlternateContent>
      </w:r>
    </w:p>
    <w:p w14:paraId="22AE7383" w14:textId="77777777" w:rsidR="00AC6F3C" w:rsidRDefault="00570E88">
      <w:pPr>
        <w:tabs>
          <w:tab w:val="left" w:pos="2247"/>
          <w:tab w:val="left" w:pos="4836"/>
          <w:tab w:val="left" w:pos="6150"/>
        </w:tabs>
        <w:spacing w:before="73"/>
        <w:ind w:left="928"/>
        <w:rPr>
          <w:b/>
          <w:sz w:val="15"/>
        </w:rPr>
      </w:pPr>
      <w:r>
        <w:rPr>
          <w:noProof/>
        </w:rPr>
        <mc:AlternateContent>
          <mc:Choice Requires="wpg">
            <w:drawing>
              <wp:anchor distT="0" distB="0" distL="0" distR="0" simplePos="0" relativeHeight="15780864" behindDoc="0" locked="0" layoutInCell="1" allowOverlap="1" wp14:anchorId="71505814" wp14:editId="324FDF58">
                <wp:simplePos x="0" y="0"/>
                <wp:positionH relativeFrom="page">
                  <wp:posOffset>809999</wp:posOffset>
                </wp:positionH>
                <wp:positionV relativeFrom="paragraph">
                  <wp:posOffset>201347</wp:posOffset>
                </wp:positionV>
                <wp:extent cx="5940425" cy="1270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468" name="Graphic 468"/>
                        <wps:cNvSpPr/>
                        <wps:spPr>
                          <a:xfrm>
                            <a:off x="0" y="6350"/>
                            <a:ext cx="837565" cy="1270"/>
                          </a:xfrm>
                          <a:custGeom>
                            <a:avLst/>
                            <a:gdLst/>
                            <a:ahLst/>
                            <a:cxnLst/>
                            <a:rect l="l" t="t" r="r" b="b"/>
                            <a:pathLst>
                              <a:path w="837565">
                                <a:moveTo>
                                  <a:pt x="0" y="0"/>
                                </a:moveTo>
                                <a:lnTo>
                                  <a:pt x="837006" y="0"/>
                                </a:lnTo>
                              </a:path>
                            </a:pathLst>
                          </a:custGeom>
                          <a:ln w="12700">
                            <a:solidFill>
                              <a:srgbClr val="000000"/>
                            </a:solidFill>
                            <a:prstDash val="solid"/>
                          </a:ln>
                        </wps:spPr>
                        <wps:bodyPr wrap="square" lIns="0" tIns="0" rIns="0" bIns="0" rtlCol="0">
                          <a:prstTxWarp prst="textNoShape">
                            <a:avLst/>
                          </a:prstTxWarp>
                          <a:noAutofit/>
                        </wps:bodyPr>
                      </wps:wsp>
                      <wps:wsp>
                        <wps:cNvPr id="469" name="Graphic 469"/>
                        <wps:cNvSpPr/>
                        <wps:spPr>
                          <a:xfrm>
                            <a:off x="836999" y="6350"/>
                            <a:ext cx="1644014" cy="1270"/>
                          </a:xfrm>
                          <a:custGeom>
                            <a:avLst/>
                            <a:gdLst/>
                            <a:ahLst/>
                            <a:cxnLst/>
                            <a:rect l="l" t="t" r="r" b="b"/>
                            <a:pathLst>
                              <a:path w="1644014">
                                <a:moveTo>
                                  <a:pt x="0" y="0"/>
                                </a:moveTo>
                                <a:lnTo>
                                  <a:pt x="1644002" y="0"/>
                                </a:lnTo>
                              </a:path>
                            </a:pathLst>
                          </a:custGeom>
                          <a:ln w="12700">
                            <a:solidFill>
                              <a:srgbClr val="000000"/>
                            </a:solidFill>
                            <a:prstDash val="solid"/>
                          </a:ln>
                        </wps:spPr>
                        <wps:bodyPr wrap="square" lIns="0" tIns="0" rIns="0" bIns="0" rtlCol="0">
                          <a:prstTxWarp prst="textNoShape">
                            <a:avLst/>
                          </a:prstTxWarp>
                          <a:noAutofit/>
                        </wps:bodyPr>
                      </wps:wsp>
                      <wps:wsp>
                        <wps:cNvPr id="470" name="Graphic 470"/>
                        <wps:cNvSpPr/>
                        <wps:spPr>
                          <a:xfrm>
                            <a:off x="2481000" y="6350"/>
                            <a:ext cx="835025" cy="1270"/>
                          </a:xfrm>
                          <a:custGeom>
                            <a:avLst/>
                            <a:gdLst/>
                            <a:ahLst/>
                            <a:cxnLst/>
                            <a:rect l="l" t="t" r="r" b="b"/>
                            <a:pathLst>
                              <a:path w="835025">
                                <a:moveTo>
                                  <a:pt x="0" y="0"/>
                                </a:moveTo>
                                <a:lnTo>
                                  <a:pt x="834605" y="0"/>
                                </a:lnTo>
                              </a:path>
                            </a:pathLst>
                          </a:custGeom>
                          <a:ln w="12700">
                            <a:solidFill>
                              <a:srgbClr val="000000"/>
                            </a:solidFill>
                            <a:prstDash val="solid"/>
                          </a:ln>
                        </wps:spPr>
                        <wps:bodyPr wrap="square" lIns="0" tIns="0" rIns="0" bIns="0" rtlCol="0">
                          <a:prstTxWarp prst="textNoShape">
                            <a:avLst/>
                          </a:prstTxWarp>
                          <a:noAutofit/>
                        </wps:bodyPr>
                      </wps:wsp>
                      <wps:wsp>
                        <wps:cNvPr id="471" name="Graphic 471"/>
                        <wps:cNvSpPr/>
                        <wps:spPr>
                          <a:xfrm>
                            <a:off x="3315600" y="6350"/>
                            <a:ext cx="2624455" cy="1270"/>
                          </a:xfrm>
                          <a:custGeom>
                            <a:avLst/>
                            <a:gdLst/>
                            <a:ahLst/>
                            <a:cxnLst/>
                            <a:rect l="l" t="t" r="r" b="b"/>
                            <a:pathLst>
                              <a:path w="2624455">
                                <a:moveTo>
                                  <a:pt x="0" y="0"/>
                                </a:moveTo>
                                <a:lnTo>
                                  <a:pt x="262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19507F" id="Group 467" o:spid="_x0000_s1026" style="position:absolute;margin-left:63.8pt;margin-top:15.85pt;width:467.75pt;height:1pt;z-index:15780864;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">
                <v:shape id="Graphic 468" o:spid="_x0000_s1027" style="position:absolute;top:63;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" path="m,l837006,e" filled="f" strokeweight="1pt">
                  <v:path arrowok="t"/>
                </v:shape>
                <v:shape id="Graphic 469" o:spid="_x0000_s1028" style="position:absolute;left:8369;top:63;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" path="m,l1644002,e" filled="f" strokeweight="1pt">
                  <v:path arrowok="t"/>
                </v:shape>
                <v:shape id="Graphic 470" o:spid="_x0000_s1029" style="position:absolute;left:24810;top:63;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" path="m,l834605,e" filled="f" strokeweight="1pt">
                  <v:path arrowok="t"/>
                </v:shape>
                <v:shape id="Graphic 471" o:spid="_x0000_s1030" style="position:absolute;left:33156;top:63;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" path="m,l2624404,e" filled="f" strokeweight="1pt">
                  <v:path arrowok="t"/>
                </v:shape>
                <w10:wrap anchorx="page"/>
              </v:group>
            </w:pict>
          </mc:Fallback>
        </mc:AlternateContent>
      </w:r>
      <w:r>
        <w:rPr>
          <w:b/>
          <w:spacing w:val="-2"/>
          <w:sz w:val="15"/>
        </w:rPr>
        <w:t>Strategic</w:t>
      </w:r>
      <w:r>
        <w:rPr>
          <w:b/>
          <w:spacing w:val="-7"/>
          <w:sz w:val="15"/>
        </w:rPr>
        <w:t xml:space="preserve"> </w:t>
      </w:r>
      <w:r>
        <w:rPr>
          <w:b/>
          <w:spacing w:val="-4"/>
          <w:sz w:val="15"/>
        </w:rPr>
        <w:t>Goal</w:t>
      </w:r>
      <w:r>
        <w:rPr>
          <w:b/>
          <w:sz w:val="15"/>
        </w:rPr>
        <w:tab/>
      </w:r>
      <w:r>
        <w:rPr>
          <w:b/>
          <w:spacing w:val="-2"/>
          <w:sz w:val="15"/>
        </w:rPr>
        <w:t>Initiative</w:t>
      </w:r>
      <w:r>
        <w:rPr>
          <w:b/>
          <w:sz w:val="15"/>
        </w:rPr>
        <w:tab/>
      </w:r>
      <w:r>
        <w:rPr>
          <w:b/>
          <w:spacing w:val="-2"/>
          <w:sz w:val="15"/>
        </w:rPr>
        <w:t>Status</w:t>
      </w:r>
      <w:r>
        <w:rPr>
          <w:b/>
          <w:sz w:val="15"/>
        </w:rPr>
        <w:tab/>
      </w:r>
      <w:r>
        <w:rPr>
          <w:b/>
          <w:spacing w:val="-2"/>
          <w:sz w:val="15"/>
        </w:rPr>
        <w:t>1</w:t>
      </w:r>
      <w:r>
        <w:rPr>
          <w:b/>
          <w:spacing w:val="-8"/>
          <w:sz w:val="15"/>
        </w:rPr>
        <w:t xml:space="preserve"> </w:t>
      </w:r>
      <w:r>
        <w:rPr>
          <w:b/>
          <w:spacing w:val="-2"/>
          <w:sz w:val="15"/>
        </w:rPr>
        <w:t>July</w:t>
      </w:r>
      <w:r>
        <w:rPr>
          <w:b/>
          <w:spacing w:val="-8"/>
          <w:sz w:val="15"/>
        </w:rPr>
        <w:t xml:space="preserve"> </w:t>
      </w:r>
      <w:r>
        <w:rPr>
          <w:b/>
          <w:spacing w:val="-2"/>
          <w:sz w:val="15"/>
        </w:rPr>
        <w:t>2022</w:t>
      </w:r>
      <w:r>
        <w:rPr>
          <w:b/>
          <w:spacing w:val="-8"/>
          <w:sz w:val="15"/>
        </w:rPr>
        <w:t xml:space="preserve"> </w:t>
      </w:r>
      <w:r>
        <w:rPr>
          <w:b/>
          <w:spacing w:val="-2"/>
          <w:sz w:val="15"/>
        </w:rPr>
        <w:t>to</w:t>
      </w:r>
      <w:r>
        <w:rPr>
          <w:b/>
          <w:spacing w:val="-8"/>
          <w:sz w:val="15"/>
        </w:rPr>
        <w:t xml:space="preserve"> </w:t>
      </w:r>
      <w:r>
        <w:rPr>
          <w:b/>
          <w:spacing w:val="-2"/>
          <w:sz w:val="15"/>
        </w:rPr>
        <w:t>30</w:t>
      </w:r>
      <w:r>
        <w:rPr>
          <w:b/>
          <w:spacing w:val="-7"/>
          <w:sz w:val="15"/>
        </w:rPr>
        <w:t xml:space="preserve"> </w:t>
      </w:r>
      <w:r>
        <w:rPr>
          <w:b/>
          <w:spacing w:val="-2"/>
          <w:sz w:val="15"/>
        </w:rPr>
        <w:t>June</w:t>
      </w:r>
      <w:r>
        <w:rPr>
          <w:b/>
          <w:spacing w:val="-8"/>
          <w:sz w:val="15"/>
        </w:rPr>
        <w:t xml:space="preserve"> </w:t>
      </w:r>
      <w:r>
        <w:rPr>
          <w:b/>
          <w:spacing w:val="-4"/>
          <w:sz w:val="15"/>
        </w:rPr>
        <w:t>2023</w:t>
      </w:r>
    </w:p>
    <w:p w14:paraId="19922FC6" w14:textId="77777777" w:rsidR="00AC6F3C" w:rsidRDefault="00AC6F3C">
      <w:pPr>
        <w:rPr>
          <w:sz w:val="15"/>
        </w:rPr>
        <w:sectPr w:rsidR="00AC6F3C">
          <w:headerReference w:type="default" r:id="rId170"/>
          <w:footerReference w:type="default" r:id="rId171"/>
          <w:pgSz w:w="11910" w:h="16840"/>
          <w:pgMar w:top="1260" w:right="1160" w:bottom="520" w:left="460" w:header="0" w:footer="336" w:gutter="0"/>
          <w:cols w:space="720"/>
        </w:sectPr>
      </w:pPr>
    </w:p>
    <w:p w14:paraId="183F87D6" w14:textId="77777777" w:rsidR="00AC6F3C" w:rsidRDefault="00AC6F3C">
      <w:pPr>
        <w:pStyle w:val="BodyText"/>
        <w:spacing w:before="2"/>
        <w:rPr>
          <w:b/>
          <w:sz w:val="15"/>
        </w:rPr>
      </w:pPr>
    </w:p>
    <w:p w14:paraId="584AEC77" w14:textId="77777777" w:rsidR="00AC6F3C" w:rsidRDefault="00570E88">
      <w:pPr>
        <w:tabs>
          <w:tab w:val="left" w:pos="2247"/>
        </w:tabs>
        <w:ind w:left="928"/>
        <w:rPr>
          <w:sz w:val="15"/>
        </w:rPr>
      </w:pPr>
      <w:r>
        <w:rPr>
          <w:b/>
          <w:spacing w:val="-2"/>
          <w:sz w:val="15"/>
        </w:rPr>
        <w:t>Imbed</w:t>
      </w:r>
      <w:r>
        <w:rPr>
          <w:b/>
          <w:spacing w:val="-8"/>
          <w:sz w:val="15"/>
        </w:rPr>
        <w:t xml:space="preserve"> </w:t>
      </w:r>
      <w:r>
        <w:rPr>
          <w:b/>
          <w:spacing w:val="-4"/>
          <w:sz w:val="15"/>
        </w:rPr>
        <w:t>Goal</w:t>
      </w:r>
      <w:r>
        <w:rPr>
          <w:b/>
          <w:sz w:val="15"/>
        </w:rPr>
        <w:tab/>
      </w:r>
      <w:r>
        <w:rPr>
          <w:spacing w:val="-2"/>
          <w:sz w:val="15"/>
        </w:rPr>
        <w:t>12.</w:t>
      </w:r>
      <w:r>
        <w:rPr>
          <w:spacing w:val="27"/>
          <w:sz w:val="15"/>
        </w:rPr>
        <w:t xml:space="preserve"> </w:t>
      </w:r>
      <w:r>
        <w:rPr>
          <w:spacing w:val="-2"/>
          <w:sz w:val="15"/>
        </w:rPr>
        <w:t>Provide</w:t>
      </w:r>
      <w:r>
        <w:rPr>
          <w:spacing w:val="-8"/>
          <w:sz w:val="15"/>
        </w:rPr>
        <w:t xml:space="preserve"> </w:t>
      </w:r>
      <w:r>
        <w:rPr>
          <w:spacing w:val="-2"/>
          <w:sz w:val="15"/>
        </w:rPr>
        <w:t>cultural</w:t>
      </w:r>
      <w:r>
        <w:rPr>
          <w:spacing w:val="-9"/>
          <w:sz w:val="15"/>
        </w:rPr>
        <w:t xml:space="preserve"> </w:t>
      </w:r>
      <w:r>
        <w:rPr>
          <w:spacing w:val="-2"/>
          <w:sz w:val="15"/>
        </w:rPr>
        <w:t>competency</w:t>
      </w:r>
    </w:p>
    <w:p w14:paraId="4D5E7542" w14:textId="77777777" w:rsidR="00AC6F3C" w:rsidRDefault="00570E88">
      <w:pPr>
        <w:spacing w:before="14" w:line="259" w:lineRule="auto"/>
        <w:ind w:left="2530"/>
        <w:rPr>
          <w:sz w:val="15"/>
        </w:rPr>
      </w:pPr>
      <w:r>
        <w:rPr>
          <w:sz w:val="15"/>
        </w:rPr>
        <w:t xml:space="preserve">training annually for internal </w:t>
      </w:r>
      <w:r>
        <w:rPr>
          <w:spacing w:val="-4"/>
          <w:sz w:val="15"/>
        </w:rPr>
        <w:t>staff</w:t>
      </w:r>
      <w:r>
        <w:rPr>
          <w:spacing w:val="-5"/>
          <w:sz w:val="15"/>
        </w:rPr>
        <w:t xml:space="preserve"> </w:t>
      </w:r>
      <w:r>
        <w:rPr>
          <w:spacing w:val="-4"/>
          <w:sz w:val="15"/>
        </w:rPr>
        <w:t>and</w:t>
      </w:r>
      <w:r>
        <w:rPr>
          <w:spacing w:val="-5"/>
          <w:sz w:val="15"/>
        </w:rPr>
        <w:t xml:space="preserve"> </w:t>
      </w:r>
      <w:r>
        <w:rPr>
          <w:spacing w:val="-4"/>
          <w:sz w:val="15"/>
        </w:rPr>
        <w:t>a</w:t>
      </w:r>
      <w:r>
        <w:rPr>
          <w:spacing w:val="-5"/>
          <w:sz w:val="15"/>
        </w:rPr>
        <w:t xml:space="preserve"> </w:t>
      </w:r>
      <w:r>
        <w:rPr>
          <w:spacing w:val="-4"/>
          <w:sz w:val="15"/>
        </w:rPr>
        <w:t>Cultural</w:t>
      </w:r>
      <w:r>
        <w:rPr>
          <w:spacing w:val="-5"/>
          <w:sz w:val="15"/>
        </w:rPr>
        <w:t xml:space="preserve"> </w:t>
      </w:r>
      <w:r>
        <w:rPr>
          <w:spacing w:val="-4"/>
          <w:sz w:val="15"/>
        </w:rPr>
        <w:t>Outreach</w:t>
      </w:r>
      <w:r>
        <w:rPr>
          <w:spacing w:val="-5"/>
          <w:sz w:val="15"/>
        </w:rPr>
        <w:t xml:space="preserve"> </w:t>
      </w:r>
      <w:r>
        <w:rPr>
          <w:spacing w:val="-4"/>
          <w:sz w:val="15"/>
        </w:rPr>
        <w:t>on</w:t>
      </w:r>
      <w:r>
        <w:rPr>
          <w:sz w:val="15"/>
        </w:rPr>
        <w:t xml:space="preserve"> </w:t>
      </w:r>
      <w:r>
        <w:rPr>
          <w:spacing w:val="-4"/>
          <w:sz w:val="15"/>
        </w:rPr>
        <w:t>boarding</w:t>
      </w:r>
      <w:r>
        <w:rPr>
          <w:sz w:val="15"/>
        </w:rPr>
        <w:t xml:space="preserve"> </w:t>
      </w:r>
      <w:r>
        <w:rPr>
          <w:spacing w:val="-4"/>
          <w:sz w:val="15"/>
        </w:rPr>
        <w:t>induction</w:t>
      </w:r>
      <w:r>
        <w:rPr>
          <w:sz w:val="15"/>
        </w:rPr>
        <w:t xml:space="preserve"> </w:t>
      </w:r>
      <w:r>
        <w:rPr>
          <w:spacing w:val="-4"/>
          <w:sz w:val="15"/>
        </w:rPr>
        <w:t>for</w:t>
      </w:r>
      <w:r>
        <w:rPr>
          <w:sz w:val="15"/>
        </w:rPr>
        <w:t xml:space="preserve"> </w:t>
      </w:r>
      <w:r>
        <w:rPr>
          <w:spacing w:val="-4"/>
          <w:sz w:val="15"/>
        </w:rPr>
        <w:t>new</w:t>
      </w:r>
      <w:r>
        <w:rPr>
          <w:sz w:val="15"/>
        </w:rPr>
        <w:t xml:space="preserve"> </w:t>
      </w:r>
      <w:r>
        <w:rPr>
          <w:spacing w:val="-4"/>
          <w:sz w:val="15"/>
        </w:rPr>
        <w:t>staff</w:t>
      </w:r>
    </w:p>
    <w:p w14:paraId="3BC551A0" w14:textId="77777777" w:rsidR="00AC6F3C" w:rsidRDefault="00570E88">
      <w:pPr>
        <w:spacing w:before="2"/>
        <w:rPr>
          <w:sz w:val="15"/>
        </w:rPr>
      </w:pPr>
      <w:r>
        <w:br w:type="column"/>
      </w:r>
    </w:p>
    <w:p w14:paraId="1BD92924" w14:textId="77777777" w:rsidR="00AC6F3C" w:rsidRDefault="00570E88">
      <w:pPr>
        <w:spacing w:line="259" w:lineRule="auto"/>
        <w:ind w:left="231" w:right="-2"/>
        <w:rPr>
          <w:b/>
          <w:sz w:val="15"/>
        </w:rPr>
      </w:pPr>
      <w:r>
        <w:rPr>
          <w:b/>
          <w:spacing w:val="-4"/>
          <w:sz w:val="15"/>
        </w:rPr>
        <w:t>On</w:t>
      </w:r>
      <w:r>
        <w:rPr>
          <w:b/>
          <w:spacing w:val="-7"/>
          <w:sz w:val="15"/>
        </w:rPr>
        <w:t xml:space="preserve"> </w:t>
      </w:r>
      <w:r>
        <w:rPr>
          <w:b/>
          <w:spacing w:val="-4"/>
          <w:sz w:val="15"/>
        </w:rPr>
        <w:t>the</w:t>
      </w:r>
      <w:r>
        <w:rPr>
          <w:b/>
          <w:spacing w:val="-7"/>
          <w:sz w:val="15"/>
        </w:rPr>
        <w:t xml:space="preserve"> </w:t>
      </w:r>
      <w:r>
        <w:rPr>
          <w:b/>
          <w:spacing w:val="-4"/>
          <w:sz w:val="15"/>
        </w:rPr>
        <w:t>way</w:t>
      </w:r>
      <w:r>
        <w:rPr>
          <w:b/>
          <w:sz w:val="15"/>
        </w:rPr>
        <w:t xml:space="preserve"> to</w:t>
      </w:r>
      <w:r>
        <w:rPr>
          <w:b/>
          <w:spacing w:val="-11"/>
          <w:sz w:val="15"/>
        </w:rPr>
        <w:t xml:space="preserve"> </w:t>
      </w:r>
      <w:r>
        <w:rPr>
          <w:b/>
          <w:sz w:val="15"/>
        </w:rPr>
        <w:t>deadly</w:t>
      </w:r>
    </w:p>
    <w:p w14:paraId="750BFE86" w14:textId="77777777" w:rsidR="00AC6F3C" w:rsidRDefault="00570E88">
      <w:pPr>
        <w:spacing w:before="2"/>
        <w:rPr>
          <w:b/>
          <w:sz w:val="15"/>
        </w:rPr>
      </w:pPr>
      <w:r>
        <w:br w:type="column"/>
      </w:r>
    </w:p>
    <w:p w14:paraId="68306093" w14:textId="77777777" w:rsidR="00AC6F3C" w:rsidRDefault="00570E88">
      <w:pPr>
        <w:pStyle w:val="ListParagraph"/>
        <w:numPr>
          <w:ilvl w:val="2"/>
          <w:numId w:val="39"/>
        </w:numPr>
        <w:tabs>
          <w:tab w:val="left" w:pos="952"/>
          <w:tab w:val="left" w:pos="956"/>
        </w:tabs>
        <w:spacing w:before="0" w:line="259" w:lineRule="auto"/>
        <w:ind w:right="269"/>
        <w:rPr>
          <w:sz w:val="15"/>
        </w:rPr>
      </w:pPr>
      <w:r>
        <w:rPr>
          <w:spacing w:val="-2"/>
          <w:sz w:val="15"/>
        </w:rPr>
        <w:t>ACHIEVED</w:t>
      </w:r>
      <w:r>
        <w:rPr>
          <w:spacing w:val="-9"/>
          <w:sz w:val="15"/>
        </w:rPr>
        <w:t xml:space="preserve"> </w:t>
      </w:r>
      <w:r>
        <w:rPr>
          <w:spacing w:val="-2"/>
          <w:sz w:val="15"/>
        </w:rPr>
        <w:t>–</w:t>
      </w:r>
      <w:r>
        <w:rPr>
          <w:spacing w:val="-8"/>
          <w:sz w:val="15"/>
        </w:rPr>
        <w:t xml:space="preserve"> </w:t>
      </w:r>
      <w:r>
        <w:rPr>
          <w:spacing w:val="-2"/>
          <w:sz w:val="15"/>
        </w:rPr>
        <w:t>QLS</w:t>
      </w:r>
      <w:r>
        <w:rPr>
          <w:spacing w:val="-9"/>
          <w:sz w:val="15"/>
        </w:rPr>
        <w:t xml:space="preserve"> </w:t>
      </w:r>
      <w:r>
        <w:rPr>
          <w:spacing w:val="-2"/>
          <w:sz w:val="15"/>
        </w:rPr>
        <w:t>Indigenous</w:t>
      </w:r>
      <w:r>
        <w:rPr>
          <w:spacing w:val="-8"/>
          <w:sz w:val="15"/>
        </w:rPr>
        <w:t xml:space="preserve"> </w:t>
      </w:r>
      <w:r>
        <w:rPr>
          <w:spacing w:val="-2"/>
          <w:sz w:val="15"/>
        </w:rPr>
        <w:t>staff</w:t>
      </w:r>
      <w:r>
        <w:rPr>
          <w:spacing w:val="-9"/>
          <w:sz w:val="15"/>
        </w:rPr>
        <w:t xml:space="preserve"> </w:t>
      </w:r>
      <w:r>
        <w:rPr>
          <w:spacing w:val="-2"/>
          <w:sz w:val="15"/>
        </w:rPr>
        <w:t>wonderfully</w:t>
      </w:r>
      <w:r>
        <w:rPr>
          <w:spacing w:val="-8"/>
          <w:sz w:val="15"/>
        </w:rPr>
        <w:t xml:space="preserve"> </w:t>
      </w:r>
      <w:r>
        <w:rPr>
          <w:spacing w:val="-2"/>
          <w:sz w:val="15"/>
        </w:rPr>
        <w:t>rolled</w:t>
      </w:r>
      <w:r>
        <w:rPr>
          <w:sz w:val="15"/>
        </w:rPr>
        <w:t xml:space="preserve"> out</w:t>
      </w:r>
      <w:r>
        <w:rPr>
          <w:spacing w:val="-6"/>
          <w:sz w:val="15"/>
        </w:rPr>
        <w:t xml:space="preserve"> </w:t>
      </w:r>
      <w:r>
        <w:rPr>
          <w:sz w:val="15"/>
        </w:rPr>
        <w:t>of</w:t>
      </w:r>
      <w:r>
        <w:rPr>
          <w:spacing w:val="-6"/>
          <w:sz w:val="15"/>
        </w:rPr>
        <w:t xml:space="preserve"> </w:t>
      </w:r>
      <w:r>
        <w:rPr>
          <w:sz w:val="15"/>
        </w:rPr>
        <w:t>Cultural</w:t>
      </w:r>
      <w:r>
        <w:rPr>
          <w:spacing w:val="-6"/>
          <w:sz w:val="15"/>
        </w:rPr>
        <w:t xml:space="preserve"> </w:t>
      </w:r>
      <w:r>
        <w:rPr>
          <w:sz w:val="15"/>
        </w:rPr>
        <w:t>Competency</w:t>
      </w:r>
      <w:r>
        <w:rPr>
          <w:spacing w:val="-6"/>
          <w:sz w:val="15"/>
        </w:rPr>
        <w:t xml:space="preserve"> </w:t>
      </w:r>
      <w:r>
        <w:rPr>
          <w:sz w:val="15"/>
        </w:rPr>
        <w:t>training</w:t>
      </w:r>
      <w:r>
        <w:rPr>
          <w:spacing w:val="-6"/>
          <w:sz w:val="15"/>
        </w:rPr>
        <w:t xml:space="preserve"> </w:t>
      </w:r>
      <w:r>
        <w:rPr>
          <w:sz w:val="15"/>
        </w:rPr>
        <w:t>over</w:t>
      </w:r>
      <w:r>
        <w:rPr>
          <w:spacing w:val="-6"/>
          <w:sz w:val="15"/>
        </w:rPr>
        <w:t xml:space="preserve"> </w:t>
      </w:r>
      <w:r>
        <w:rPr>
          <w:sz w:val="15"/>
        </w:rPr>
        <w:t>two</w:t>
      </w:r>
      <w:r>
        <w:rPr>
          <w:spacing w:val="-6"/>
          <w:sz w:val="15"/>
        </w:rPr>
        <w:t xml:space="preserve"> </w:t>
      </w:r>
      <w:r>
        <w:rPr>
          <w:sz w:val="15"/>
        </w:rPr>
        <w:t xml:space="preserve">days </w:t>
      </w:r>
      <w:r>
        <w:rPr>
          <w:spacing w:val="-2"/>
          <w:sz w:val="15"/>
        </w:rPr>
        <w:t>with</w:t>
      </w:r>
      <w:r>
        <w:rPr>
          <w:spacing w:val="-8"/>
          <w:sz w:val="15"/>
        </w:rPr>
        <w:t xml:space="preserve"> </w:t>
      </w:r>
      <w:r>
        <w:rPr>
          <w:spacing w:val="-2"/>
          <w:sz w:val="15"/>
        </w:rPr>
        <w:t>60</w:t>
      </w:r>
      <w:r>
        <w:rPr>
          <w:spacing w:val="-8"/>
          <w:sz w:val="15"/>
        </w:rPr>
        <w:t xml:space="preserve"> </w:t>
      </w:r>
      <w:r>
        <w:rPr>
          <w:spacing w:val="-2"/>
          <w:sz w:val="15"/>
        </w:rPr>
        <w:t>staff</w:t>
      </w:r>
      <w:r>
        <w:rPr>
          <w:spacing w:val="-8"/>
          <w:sz w:val="15"/>
        </w:rPr>
        <w:t xml:space="preserve"> </w:t>
      </w:r>
      <w:r>
        <w:rPr>
          <w:spacing w:val="-2"/>
          <w:sz w:val="15"/>
        </w:rPr>
        <w:t>in</w:t>
      </w:r>
      <w:r>
        <w:rPr>
          <w:spacing w:val="-8"/>
          <w:sz w:val="15"/>
        </w:rPr>
        <w:t xml:space="preserve"> </w:t>
      </w:r>
      <w:r>
        <w:rPr>
          <w:spacing w:val="-2"/>
          <w:sz w:val="15"/>
        </w:rPr>
        <w:t>attendance.</w:t>
      </w:r>
      <w:r>
        <w:rPr>
          <w:spacing w:val="-8"/>
          <w:sz w:val="15"/>
        </w:rPr>
        <w:t xml:space="preserve"> </w:t>
      </w:r>
      <w:r>
        <w:rPr>
          <w:spacing w:val="-2"/>
          <w:sz w:val="15"/>
        </w:rPr>
        <w:t>Staff</w:t>
      </w:r>
      <w:r>
        <w:rPr>
          <w:spacing w:val="-8"/>
          <w:sz w:val="15"/>
        </w:rPr>
        <w:t xml:space="preserve"> </w:t>
      </w:r>
      <w:r>
        <w:rPr>
          <w:spacing w:val="-2"/>
          <w:sz w:val="15"/>
        </w:rPr>
        <w:t>engaged</w:t>
      </w:r>
      <w:r>
        <w:rPr>
          <w:spacing w:val="-8"/>
          <w:sz w:val="15"/>
        </w:rPr>
        <w:t xml:space="preserve"> </w:t>
      </w:r>
      <w:r>
        <w:rPr>
          <w:spacing w:val="-2"/>
          <w:sz w:val="15"/>
        </w:rPr>
        <w:t>in</w:t>
      </w:r>
      <w:r>
        <w:rPr>
          <w:spacing w:val="-8"/>
          <w:sz w:val="15"/>
        </w:rPr>
        <w:t xml:space="preserve"> </w:t>
      </w:r>
      <w:r>
        <w:rPr>
          <w:spacing w:val="-2"/>
          <w:sz w:val="15"/>
        </w:rPr>
        <w:t>dialogue</w:t>
      </w:r>
      <w:r>
        <w:rPr>
          <w:sz w:val="15"/>
        </w:rPr>
        <w:t xml:space="preserve"> and</w:t>
      </w:r>
      <w:r>
        <w:rPr>
          <w:spacing w:val="-2"/>
          <w:sz w:val="15"/>
        </w:rPr>
        <w:t xml:space="preserve"> </w:t>
      </w:r>
      <w:r>
        <w:rPr>
          <w:sz w:val="15"/>
        </w:rPr>
        <w:t>cultural</w:t>
      </w:r>
      <w:r>
        <w:rPr>
          <w:spacing w:val="-2"/>
          <w:sz w:val="15"/>
        </w:rPr>
        <w:t xml:space="preserve"> </w:t>
      </w:r>
      <w:r>
        <w:rPr>
          <w:sz w:val="15"/>
        </w:rPr>
        <w:t>activities</w:t>
      </w:r>
      <w:r>
        <w:rPr>
          <w:spacing w:val="-2"/>
          <w:sz w:val="15"/>
        </w:rPr>
        <w:t xml:space="preserve"> </w:t>
      </w:r>
      <w:r>
        <w:rPr>
          <w:sz w:val="15"/>
        </w:rPr>
        <w:t>in</w:t>
      </w:r>
      <w:r>
        <w:rPr>
          <w:spacing w:val="-2"/>
          <w:sz w:val="15"/>
        </w:rPr>
        <w:t xml:space="preserve"> </w:t>
      </w:r>
      <w:r>
        <w:rPr>
          <w:sz w:val="15"/>
        </w:rPr>
        <w:t>a</w:t>
      </w:r>
      <w:r>
        <w:rPr>
          <w:spacing w:val="-2"/>
          <w:sz w:val="15"/>
        </w:rPr>
        <w:t xml:space="preserve"> </w:t>
      </w:r>
      <w:r>
        <w:rPr>
          <w:sz w:val="15"/>
        </w:rPr>
        <w:t>number</w:t>
      </w:r>
      <w:r>
        <w:rPr>
          <w:spacing w:val="-2"/>
          <w:sz w:val="15"/>
        </w:rPr>
        <w:t xml:space="preserve"> </w:t>
      </w:r>
      <w:r>
        <w:rPr>
          <w:sz w:val="15"/>
        </w:rPr>
        <w:t>of</w:t>
      </w:r>
      <w:r>
        <w:rPr>
          <w:spacing w:val="-2"/>
          <w:sz w:val="15"/>
        </w:rPr>
        <w:t xml:space="preserve"> </w:t>
      </w:r>
      <w:r>
        <w:rPr>
          <w:sz w:val="15"/>
        </w:rPr>
        <w:t>areas.</w:t>
      </w:r>
    </w:p>
    <w:p w14:paraId="22F5D806" w14:textId="77777777" w:rsidR="00AC6F3C" w:rsidRDefault="00570E88">
      <w:pPr>
        <w:pStyle w:val="ListParagraph"/>
        <w:numPr>
          <w:ilvl w:val="2"/>
          <w:numId w:val="39"/>
        </w:numPr>
        <w:tabs>
          <w:tab w:val="left" w:pos="951"/>
          <w:tab w:val="left" w:pos="956"/>
        </w:tabs>
        <w:spacing w:before="42" w:line="259" w:lineRule="auto"/>
        <w:ind w:right="428"/>
        <w:rPr>
          <w:sz w:val="15"/>
        </w:rPr>
      </w:pPr>
      <w:r>
        <w:rPr>
          <w:noProof/>
        </w:rPr>
        <mc:AlternateContent>
          <mc:Choice Requires="wpg">
            <w:drawing>
              <wp:anchor distT="0" distB="0" distL="0" distR="0" simplePos="0" relativeHeight="15781376" behindDoc="0" locked="0" layoutInCell="1" allowOverlap="1" wp14:anchorId="3D37F1FC" wp14:editId="264B212C">
                <wp:simplePos x="0" y="0"/>
                <wp:positionH relativeFrom="page">
                  <wp:posOffset>809999</wp:posOffset>
                </wp:positionH>
                <wp:positionV relativeFrom="paragraph">
                  <wp:posOffset>658896</wp:posOffset>
                </wp:positionV>
                <wp:extent cx="5940425" cy="317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73" name="Graphic 473"/>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74" name="Graphic 474"/>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75" name="Graphic 475"/>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76" name="Graphic 476"/>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A9FB2" id="Group 472" o:spid="_x0000_s1026" style="position:absolute;margin-left:63.8pt;margin-top:51.9pt;width:467.75pt;height:.25pt;z-index:1578137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">
                <v:shape id="Graphic 473"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" path="m,l837006,e" filled="f" strokeweight=".25pt">
                  <v:path arrowok="t"/>
                </v:shape>
                <v:shape id="Graphic 474"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" path="m,l1644002,e" filled="f" strokeweight=".25pt">
                  <v:path arrowok="t"/>
                </v:shape>
                <v:shape id="Graphic 475"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" path="m,l834605,e" filled="f" strokeweight=".25pt">
                  <v:path arrowok="t"/>
                </v:shape>
                <v:shape id="Graphic 476"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" path="m,l2624404,e" filled="f" strokeweight=".25pt">
                  <v:path arrowok="t"/>
                </v:shape>
                <w10:wrap anchorx="page"/>
              </v:group>
            </w:pict>
          </mc:Fallback>
        </mc:AlternateContent>
      </w:r>
      <w:r>
        <w:rPr>
          <w:sz w:val="15"/>
        </w:rPr>
        <w:t>COMPLETED</w:t>
      </w:r>
      <w:r>
        <w:rPr>
          <w:spacing w:val="-1"/>
          <w:sz w:val="15"/>
        </w:rPr>
        <w:t xml:space="preserve"> </w:t>
      </w:r>
      <w:r>
        <w:rPr>
          <w:sz w:val="15"/>
        </w:rPr>
        <w:t>–</w:t>
      </w:r>
      <w:r>
        <w:rPr>
          <w:spacing w:val="-1"/>
          <w:sz w:val="15"/>
        </w:rPr>
        <w:t xml:space="preserve"> </w:t>
      </w:r>
      <w:r>
        <w:rPr>
          <w:sz w:val="15"/>
        </w:rPr>
        <w:t>QLS</w:t>
      </w:r>
      <w:r>
        <w:rPr>
          <w:spacing w:val="-1"/>
          <w:sz w:val="15"/>
        </w:rPr>
        <w:t xml:space="preserve"> </w:t>
      </w:r>
      <w:r>
        <w:rPr>
          <w:sz w:val="15"/>
        </w:rPr>
        <w:t>is</w:t>
      </w:r>
      <w:r>
        <w:rPr>
          <w:spacing w:val="-1"/>
          <w:sz w:val="15"/>
        </w:rPr>
        <w:t xml:space="preserve"> </w:t>
      </w:r>
      <w:r>
        <w:rPr>
          <w:sz w:val="15"/>
        </w:rPr>
        <w:t>transitioning</w:t>
      </w:r>
      <w:r>
        <w:rPr>
          <w:spacing w:val="-1"/>
          <w:sz w:val="15"/>
        </w:rPr>
        <w:t xml:space="preserve"> </w:t>
      </w:r>
      <w:r>
        <w:rPr>
          <w:sz w:val="15"/>
        </w:rPr>
        <w:t>to</w:t>
      </w:r>
      <w:r>
        <w:rPr>
          <w:spacing w:val="-1"/>
          <w:sz w:val="15"/>
        </w:rPr>
        <w:t xml:space="preserve"> </w:t>
      </w:r>
      <w:r>
        <w:rPr>
          <w:sz w:val="15"/>
        </w:rPr>
        <w:t>a</w:t>
      </w:r>
      <w:r>
        <w:rPr>
          <w:spacing w:val="-1"/>
          <w:sz w:val="15"/>
        </w:rPr>
        <w:t xml:space="preserve"> </w:t>
      </w:r>
      <w:r>
        <w:rPr>
          <w:sz w:val="15"/>
        </w:rPr>
        <w:t>new software</w:t>
      </w:r>
      <w:r>
        <w:rPr>
          <w:spacing w:val="-9"/>
          <w:sz w:val="15"/>
        </w:rPr>
        <w:t xml:space="preserve"> </w:t>
      </w:r>
      <w:r>
        <w:rPr>
          <w:sz w:val="15"/>
        </w:rPr>
        <w:t>for</w:t>
      </w:r>
      <w:r>
        <w:rPr>
          <w:spacing w:val="-9"/>
          <w:sz w:val="15"/>
        </w:rPr>
        <w:t xml:space="preserve"> </w:t>
      </w:r>
      <w:r>
        <w:rPr>
          <w:sz w:val="15"/>
        </w:rPr>
        <w:t>staff</w:t>
      </w:r>
      <w:r>
        <w:rPr>
          <w:spacing w:val="-9"/>
          <w:sz w:val="15"/>
        </w:rPr>
        <w:t xml:space="preserve"> </w:t>
      </w:r>
      <w:r>
        <w:rPr>
          <w:sz w:val="15"/>
        </w:rPr>
        <w:t>education</w:t>
      </w:r>
      <w:r>
        <w:rPr>
          <w:spacing w:val="-9"/>
          <w:sz w:val="15"/>
        </w:rPr>
        <w:t xml:space="preserve"> </w:t>
      </w:r>
      <w:r>
        <w:rPr>
          <w:sz w:val="15"/>
        </w:rPr>
        <w:t>and</w:t>
      </w:r>
      <w:r>
        <w:rPr>
          <w:spacing w:val="-9"/>
          <w:sz w:val="15"/>
        </w:rPr>
        <w:t xml:space="preserve"> </w:t>
      </w:r>
      <w:r>
        <w:rPr>
          <w:sz w:val="15"/>
        </w:rPr>
        <w:t>provided</w:t>
      </w:r>
      <w:r>
        <w:rPr>
          <w:spacing w:val="-9"/>
          <w:sz w:val="15"/>
        </w:rPr>
        <w:t xml:space="preserve"> </w:t>
      </w:r>
      <w:r>
        <w:rPr>
          <w:sz w:val="15"/>
        </w:rPr>
        <w:t>Cultural LMS</w:t>
      </w:r>
      <w:r>
        <w:rPr>
          <w:spacing w:val="-11"/>
          <w:sz w:val="15"/>
        </w:rPr>
        <w:t xml:space="preserve"> </w:t>
      </w:r>
      <w:r>
        <w:rPr>
          <w:sz w:val="15"/>
        </w:rPr>
        <w:t>to</w:t>
      </w:r>
      <w:r>
        <w:rPr>
          <w:spacing w:val="-10"/>
          <w:sz w:val="15"/>
        </w:rPr>
        <w:t xml:space="preserve"> </w:t>
      </w:r>
      <w:r>
        <w:rPr>
          <w:sz w:val="15"/>
        </w:rPr>
        <w:t>new</w:t>
      </w:r>
      <w:r>
        <w:rPr>
          <w:spacing w:val="-11"/>
          <w:sz w:val="15"/>
        </w:rPr>
        <w:t xml:space="preserve"> </w:t>
      </w:r>
      <w:r>
        <w:rPr>
          <w:sz w:val="15"/>
        </w:rPr>
        <w:t>staff.</w:t>
      </w:r>
      <w:r>
        <w:rPr>
          <w:spacing w:val="-10"/>
          <w:sz w:val="15"/>
        </w:rPr>
        <w:t xml:space="preserve"> </w:t>
      </w:r>
      <w:r>
        <w:rPr>
          <w:sz w:val="15"/>
        </w:rPr>
        <w:t>There</w:t>
      </w:r>
      <w:r>
        <w:rPr>
          <w:spacing w:val="-11"/>
          <w:sz w:val="15"/>
        </w:rPr>
        <w:t xml:space="preserve"> </w:t>
      </w:r>
      <w:r>
        <w:rPr>
          <w:sz w:val="15"/>
        </w:rPr>
        <w:t>were</w:t>
      </w:r>
      <w:r>
        <w:rPr>
          <w:spacing w:val="-10"/>
          <w:sz w:val="15"/>
        </w:rPr>
        <w:t xml:space="preserve"> </w:t>
      </w:r>
      <w:r>
        <w:rPr>
          <w:sz w:val="15"/>
        </w:rPr>
        <w:t>45</w:t>
      </w:r>
      <w:r>
        <w:rPr>
          <w:spacing w:val="-10"/>
          <w:sz w:val="15"/>
        </w:rPr>
        <w:t xml:space="preserve"> </w:t>
      </w:r>
      <w:r>
        <w:rPr>
          <w:sz w:val="15"/>
        </w:rPr>
        <w:t>new</w:t>
      </w:r>
      <w:r>
        <w:rPr>
          <w:spacing w:val="-11"/>
          <w:sz w:val="15"/>
        </w:rPr>
        <w:t xml:space="preserve"> </w:t>
      </w:r>
      <w:r>
        <w:rPr>
          <w:sz w:val="15"/>
        </w:rPr>
        <w:t>starters</w:t>
      </w:r>
      <w:r>
        <w:rPr>
          <w:spacing w:val="-10"/>
          <w:sz w:val="15"/>
        </w:rPr>
        <w:t xml:space="preserve"> </w:t>
      </w:r>
      <w:r>
        <w:rPr>
          <w:sz w:val="15"/>
        </w:rPr>
        <w:t xml:space="preserve">and </w:t>
      </w:r>
      <w:r>
        <w:rPr>
          <w:spacing w:val="-4"/>
          <w:sz w:val="15"/>
        </w:rPr>
        <w:t>approximately 22 employees have commenced the</w:t>
      </w:r>
      <w:r>
        <w:rPr>
          <w:sz w:val="15"/>
        </w:rPr>
        <w:t xml:space="preserve"> Cultural</w:t>
      </w:r>
      <w:r>
        <w:rPr>
          <w:spacing w:val="-11"/>
          <w:sz w:val="15"/>
        </w:rPr>
        <w:t xml:space="preserve"> </w:t>
      </w:r>
      <w:r>
        <w:rPr>
          <w:sz w:val="15"/>
        </w:rPr>
        <w:t>LMS.</w:t>
      </w:r>
    </w:p>
    <w:p w14:paraId="4C6D11E1" w14:textId="77777777" w:rsidR="00AC6F3C" w:rsidRDefault="00AC6F3C">
      <w:pPr>
        <w:spacing w:line="259" w:lineRule="auto"/>
        <w:rPr>
          <w:sz w:val="15"/>
        </w:rPr>
        <w:sectPr w:rsidR="00AC6F3C">
          <w:type w:val="continuous"/>
          <w:pgSz w:w="11910" w:h="16840"/>
          <w:pgMar w:top="1920" w:right="1160" w:bottom="280" w:left="460" w:header="0" w:footer="336" w:gutter="0"/>
          <w:cols w:num="3" w:space="720" w:equalWidth="0">
            <w:col w:w="4565" w:space="40"/>
            <w:col w:w="1004" w:space="39"/>
            <w:col w:w="4642"/>
          </w:cols>
        </w:sectPr>
      </w:pPr>
    </w:p>
    <w:p w14:paraId="0F53CB52" w14:textId="77777777" w:rsidR="00AC6F3C" w:rsidRDefault="00AC6F3C">
      <w:pPr>
        <w:pStyle w:val="BodyText"/>
        <w:spacing w:before="2"/>
        <w:rPr>
          <w:sz w:val="13"/>
        </w:rPr>
      </w:pPr>
    </w:p>
    <w:p w14:paraId="1CABAF74" w14:textId="77777777" w:rsidR="00AC6F3C" w:rsidRDefault="00570E88">
      <w:pPr>
        <w:tabs>
          <w:tab w:val="left" w:pos="2247"/>
        </w:tabs>
        <w:ind w:left="928"/>
        <w:rPr>
          <w:sz w:val="15"/>
        </w:rPr>
      </w:pPr>
      <w:r>
        <w:rPr>
          <w:b/>
          <w:spacing w:val="-2"/>
          <w:sz w:val="15"/>
        </w:rPr>
        <w:t>Imbed</w:t>
      </w:r>
      <w:r>
        <w:rPr>
          <w:b/>
          <w:spacing w:val="-8"/>
          <w:sz w:val="15"/>
        </w:rPr>
        <w:t xml:space="preserve"> </w:t>
      </w:r>
      <w:r>
        <w:rPr>
          <w:b/>
          <w:spacing w:val="-4"/>
          <w:sz w:val="15"/>
        </w:rPr>
        <w:t>Goal</w:t>
      </w:r>
      <w:r>
        <w:rPr>
          <w:b/>
          <w:sz w:val="15"/>
        </w:rPr>
        <w:tab/>
      </w:r>
      <w:r>
        <w:rPr>
          <w:spacing w:val="-2"/>
          <w:sz w:val="15"/>
        </w:rPr>
        <w:t>13.</w:t>
      </w:r>
      <w:r>
        <w:rPr>
          <w:spacing w:val="33"/>
          <w:sz w:val="15"/>
        </w:rPr>
        <w:t xml:space="preserve"> </w:t>
      </w:r>
      <w:r>
        <w:rPr>
          <w:spacing w:val="-2"/>
          <w:sz w:val="15"/>
        </w:rPr>
        <w:t>Connect</w:t>
      </w:r>
      <w:r>
        <w:rPr>
          <w:spacing w:val="-8"/>
          <w:sz w:val="15"/>
        </w:rPr>
        <w:t xml:space="preserve"> </w:t>
      </w:r>
      <w:r>
        <w:rPr>
          <w:spacing w:val="-2"/>
          <w:sz w:val="15"/>
        </w:rPr>
        <w:t>with</w:t>
      </w:r>
      <w:r>
        <w:rPr>
          <w:spacing w:val="-9"/>
          <w:sz w:val="15"/>
        </w:rPr>
        <w:t xml:space="preserve"> </w:t>
      </w:r>
      <w:r>
        <w:rPr>
          <w:spacing w:val="-2"/>
          <w:sz w:val="15"/>
        </w:rPr>
        <w:t>First</w:t>
      </w:r>
      <w:r>
        <w:rPr>
          <w:spacing w:val="-8"/>
          <w:sz w:val="15"/>
        </w:rPr>
        <w:t xml:space="preserve"> </w:t>
      </w:r>
      <w:r>
        <w:rPr>
          <w:spacing w:val="-2"/>
          <w:sz w:val="15"/>
        </w:rPr>
        <w:t>Nations</w:t>
      </w:r>
    </w:p>
    <w:p w14:paraId="0176C47E" w14:textId="77777777" w:rsidR="00AC6F3C" w:rsidRDefault="00570E88">
      <w:pPr>
        <w:spacing w:before="14" w:line="259" w:lineRule="auto"/>
        <w:ind w:left="2530"/>
        <w:rPr>
          <w:sz w:val="15"/>
        </w:rPr>
      </w:pPr>
      <w:r>
        <w:rPr>
          <w:spacing w:val="-4"/>
          <w:sz w:val="15"/>
        </w:rPr>
        <w:t>Elders and community members</w:t>
      </w:r>
      <w:r>
        <w:rPr>
          <w:sz w:val="15"/>
        </w:rPr>
        <w:t xml:space="preserve"> that promote the benefits of </w:t>
      </w:r>
      <w:r>
        <w:rPr>
          <w:spacing w:val="-4"/>
          <w:sz w:val="15"/>
        </w:rPr>
        <w:t>cultural</w:t>
      </w:r>
      <w:r>
        <w:rPr>
          <w:spacing w:val="-5"/>
          <w:sz w:val="15"/>
        </w:rPr>
        <w:t xml:space="preserve"> </w:t>
      </w:r>
      <w:r>
        <w:rPr>
          <w:spacing w:val="-4"/>
          <w:sz w:val="15"/>
        </w:rPr>
        <w:t>inclusion</w:t>
      </w:r>
      <w:r>
        <w:rPr>
          <w:spacing w:val="-5"/>
          <w:sz w:val="15"/>
        </w:rPr>
        <w:t xml:space="preserve"> </w:t>
      </w:r>
      <w:r>
        <w:rPr>
          <w:spacing w:val="-4"/>
          <w:sz w:val="15"/>
        </w:rPr>
        <w:t>and</w:t>
      </w:r>
      <w:r>
        <w:rPr>
          <w:spacing w:val="-5"/>
          <w:sz w:val="15"/>
        </w:rPr>
        <w:t xml:space="preserve"> </w:t>
      </w:r>
      <w:r>
        <w:rPr>
          <w:spacing w:val="-4"/>
          <w:sz w:val="15"/>
        </w:rPr>
        <w:t>awareness</w:t>
      </w:r>
    </w:p>
    <w:p w14:paraId="445CD6F6" w14:textId="77777777" w:rsidR="00AC6F3C" w:rsidRDefault="00AC6F3C">
      <w:pPr>
        <w:pStyle w:val="BodyText"/>
        <w:rPr>
          <w:sz w:val="16"/>
        </w:rPr>
      </w:pPr>
    </w:p>
    <w:p w14:paraId="38AF7642" w14:textId="77777777" w:rsidR="00AC6F3C" w:rsidRDefault="00AC6F3C">
      <w:pPr>
        <w:pStyle w:val="BodyText"/>
        <w:rPr>
          <w:sz w:val="16"/>
        </w:rPr>
      </w:pPr>
    </w:p>
    <w:p w14:paraId="3E588D94" w14:textId="77777777" w:rsidR="00AC6F3C" w:rsidRDefault="00AC6F3C">
      <w:pPr>
        <w:pStyle w:val="BodyText"/>
        <w:rPr>
          <w:sz w:val="16"/>
        </w:rPr>
      </w:pPr>
    </w:p>
    <w:p w14:paraId="663C4B2B" w14:textId="77777777" w:rsidR="00AC6F3C" w:rsidRDefault="00AC6F3C">
      <w:pPr>
        <w:pStyle w:val="BodyText"/>
        <w:rPr>
          <w:sz w:val="16"/>
        </w:rPr>
      </w:pPr>
    </w:p>
    <w:p w14:paraId="321C99BF" w14:textId="77777777" w:rsidR="00AC6F3C" w:rsidRDefault="00AC6F3C">
      <w:pPr>
        <w:pStyle w:val="BodyText"/>
        <w:rPr>
          <w:sz w:val="16"/>
        </w:rPr>
      </w:pPr>
    </w:p>
    <w:p w14:paraId="0E430829" w14:textId="77777777" w:rsidR="00AC6F3C" w:rsidRDefault="00AC6F3C">
      <w:pPr>
        <w:pStyle w:val="BodyText"/>
        <w:rPr>
          <w:sz w:val="16"/>
        </w:rPr>
      </w:pPr>
    </w:p>
    <w:p w14:paraId="3C9CC338" w14:textId="77777777" w:rsidR="00AC6F3C" w:rsidRDefault="00AC6F3C">
      <w:pPr>
        <w:pStyle w:val="BodyText"/>
        <w:rPr>
          <w:sz w:val="16"/>
        </w:rPr>
      </w:pPr>
    </w:p>
    <w:p w14:paraId="64FA0944" w14:textId="77777777" w:rsidR="00AC6F3C" w:rsidRDefault="00AC6F3C">
      <w:pPr>
        <w:pStyle w:val="BodyText"/>
        <w:rPr>
          <w:sz w:val="16"/>
        </w:rPr>
      </w:pPr>
    </w:p>
    <w:p w14:paraId="6742724F" w14:textId="77777777" w:rsidR="00AC6F3C" w:rsidRDefault="00AC6F3C">
      <w:pPr>
        <w:pStyle w:val="BodyText"/>
        <w:rPr>
          <w:sz w:val="16"/>
        </w:rPr>
      </w:pPr>
    </w:p>
    <w:p w14:paraId="7B281D28" w14:textId="77777777" w:rsidR="00AC6F3C" w:rsidRDefault="00AC6F3C">
      <w:pPr>
        <w:pStyle w:val="BodyText"/>
        <w:rPr>
          <w:sz w:val="16"/>
        </w:rPr>
      </w:pPr>
    </w:p>
    <w:p w14:paraId="4CF38D47" w14:textId="77777777" w:rsidR="00AC6F3C" w:rsidRDefault="00AC6F3C">
      <w:pPr>
        <w:pStyle w:val="BodyText"/>
        <w:rPr>
          <w:sz w:val="16"/>
        </w:rPr>
      </w:pPr>
    </w:p>
    <w:p w14:paraId="367FBF79" w14:textId="77777777" w:rsidR="00AC6F3C" w:rsidRDefault="00AC6F3C">
      <w:pPr>
        <w:pStyle w:val="BodyText"/>
        <w:rPr>
          <w:sz w:val="16"/>
        </w:rPr>
      </w:pPr>
    </w:p>
    <w:p w14:paraId="5DE16743" w14:textId="77777777" w:rsidR="00AC6F3C" w:rsidRDefault="00AC6F3C">
      <w:pPr>
        <w:pStyle w:val="BodyText"/>
        <w:rPr>
          <w:sz w:val="16"/>
        </w:rPr>
      </w:pPr>
    </w:p>
    <w:p w14:paraId="2B435B2B" w14:textId="77777777" w:rsidR="00AC6F3C" w:rsidRDefault="00AC6F3C">
      <w:pPr>
        <w:pStyle w:val="BodyText"/>
        <w:rPr>
          <w:sz w:val="16"/>
        </w:rPr>
      </w:pPr>
    </w:p>
    <w:p w14:paraId="520D54B1" w14:textId="77777777" w:rsidR="00AC6F3C" w:rsidRDefault="00AC6F3C">
      <w:pPr>
        <w:pStyle w:val="BodyText"/>
        <w:rPr>
          <w:sz w:val="16"/>
        </w:rPr>
      </w:pPr>
    </w:p>
    <w:p w14:paraId="6476DC7F" w14:textId="77777777" w:rsidR="00AC6F3C" w:rsidRDefault="00AC6F3C">
      <w:pPr>
        <w:pStyle w:val="BodyText"/>
        <w:rPr>
          <w:sz w:val="16"/>
        </w:rPr>
      </w:pPr>
    </w:p>
    <w:p w14:paraId="3EF5D7F1" w14:textId="77777777" w:rsidR="00AC6F3C" w:rsidRDefault="00AC6F3C">
      <w:pPr>
        <w:pStyle w:val="BodyText"/>
        <w:spacing w:before="5"/>
        <w:rPr>
          <w:sz w:val="23"/>
        </w:rPr>
      </w:pPr>
    </w:p>
    <w:p w14:paraId="786A104A" w14:textId="77777777" w:rsidR="00AC6F3C" w:rsidRDefault="00570E88">
      <w:pPr>
        <w:tabs>
          <w:tab w:val="left" w:pos="2247"/>
        </w:tabs>
        <w:ind w:left="928"/>
        <w:rPr>
          <w:sz w:val="15"/>
        </w:rPr>
      </w:pPr>
      <w:r>
        <w:rPr>
          <w:noProof/>
        </w:rPr>
        <mc:AlternateContent>
          <mc:Choice Requires="wpg">
            <w:drawing>
              <wp:anchor distT="0" distB="0" distL="0" distR="0" simplePos="0" relativeHeight="15781888" behindDoc="0" locked="0" layoutInCell="1" allowOverlap="1" wp14:anchorId="2B44598C" wp14:editId="782C0B0D">
                <wp:simplePos x="0" y="0"/>
                <wp:positionH relativeFrom="page">
                  <wp:posOffset>809999</wp:posOffset>
                </wp:positionH>
                <wp:positionV relativeFrom="paragraph">
                  <wp:posOffset>-55792</wp:posOffset>
                </wp:positionV>
                <wp:extent cx="5940425" cy="3175"/>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78" name="Graphic 478"/>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79" name="Graphic 479"/>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80" name="Graphic 480"/>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81" name="Graphic 481"/>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02215B" id="Group 477" o:spid="_x0000_s1026" style="position:absolute;margin-left:63.8pt;margin-top:-4.4pt;width:467.75pt;height:.25pt;z-index:1578188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">
                <v:shape id="Graphic 478"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" path="m,l837006,e" filled="f" strokeweight=".25pt">
                  <v:path arrowok="t"/>
                </v:shape>
                <v:shape id="Graphic 479"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" path="m,l1644002,e" filled="f" strokeweight=".25pt">
                  <v:path arrowok="t"/>
                </v:shape>
                <v:shape id="Graphic 480"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" path="m,l834605,e" filled="f" strokeweight=".25pt">
                  <v:path arrowok="t"/>
                </v:shape>
                <v:shape id="Graphic 481"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" path="m,l2624404,e" filled="f" strokeweight=".25pt">
                  <v:path arrowok="t"/>
                </v:shape>
                <w10:wrap anchorx="page"/>
              </v:group>
            </w:pict>
          </mc:Fallback>
        </mc:AlternateContent>
      </w:r>
      <w:r>
        <w:rPr>
          <w:b/>
          <w:spacing w:val="-2"/>
          <w:sz w:val="15"/>
        </w:rPr>
        <w:t>Imbed</w:t>
      </w:r>
      <w:r>
        <w:rPr>
          <w:b/>
          <w:spacing w:val="-8"/>
          <w:sz w:val="15"/>
        </w:rPr>
        <w:t xml:space="preserve"> </w:t>
      </w:r>
      <w:r>
        <w:rPr>
          <w:b/>
          <w:spacing w:val="-4"/>
          <w:sz w:val="15"/>
        </w:rPr>
        <w:t>Goal</w:t>
      </w:r>
      <w:r>
        <w:rPr>
          <w:b/>
          <w:sz w:val="15"/>
        </w:rPr>
        <w:tab/>
      </w:r>
      <w:r>
        <w:rPr>
          <w:spacing w:val="-2"/>
          <w:sz w:val="15"/>
        </w:rPr>
        <w:t>14.</w:t>
      </w:r>
      <w:r>
        <w:rPr>
          <w:spacing w:val="19"/>
          <w:sz w:val="15"/>
        </w:rPr>
        <w:t xml:space="preserve"> </w:t>
      </w:r>
      <w:r>
        <w:rPr>
          <w:spacing w:val="-2"/>
          <w:sz w:val="15"/>
        </w:rPr>
        <w:t>Imbed</w:t>
      </w:r>
      <w:r>
        <w:rPr>
          <w:spacing w:val="-8"/>
          <w:sz w:val="15"/>
        </w:rPr>
        <w:t xml:space="preserve"> </w:t>
      </w:r>
      <w:r>
        <w:rPr>
          <w:spacing w:val="-2"/>
          <w:sz w:val="15"/>
        </w:rPr>
        <w:t>cultural</w:t>
      </w:r>
      <w:r>
        <w:rPr>
          <w:spacing w:val="-9"/>
          <w:sz w:val="15"/>
        </w:rPr>
        <w:t xml:space="preserve"> </w:t>
      </w:r>
      <w:r>
        <w:rPr>
          <w:spacing w:val="-2"/>
          <w:sz w:val="15"/>
        </w:rPr>
        <w:t>key</w:t>
      </w:r>
      <w:r>
        <w:rPr>
          <w:spacing w:val="-8"/>
          <w:sz w:val="15"/>
        </w:rPr>
        <w:t xml:space="preserve"> </w:t>
      </w:r>
      <w:r>
        <w:rPr>
          <w:spacing w:val="-2"/>
          <w:sz w:val="15"/>
        </w:rPr>
        <w:t>dates</w:t>
      </w:r>
      <w:r>
        <w:rPr>
          <w:spacing w:val="-9"/>
          <w:sz w:val="15"/>
        </w:rPr>
        <w:t xml:space="preserve"> </w:t>
      </w:r>
      <w:r>
        <w:rPr>
          <w:spacing w:val="-2"/>
          <w:sz w:val="15"/>
        </w:rPr>
        <w:t>within</w:t>
      </w:r>
    </w:p>
    <w:p w14:paraId="17FFDBA0" w14:textId="77777777" w:rsidR="00AC6F3C" w:rsidRDefault="00570E88">
      <w:pPr>
        <w:spacing w:before="14"/>
        <w:ind w:left="2530"/>
        <w:rPr>
          <w:sz w:val="15"/>
        </w:rPr>
      </w:pPr>
      <w:r>
        <w:rPr>
          <w:spacing w:val="-4"/>
          <w:sz w:val="15"/>
        </w:rPr>
        <w:t>the</w:t>
      </w:r>
      <w:r>
        <w:rPr>
          <w:spacing w:val="3"/>
          <w:sz w:val="15"/>
        </w:rPr>
        <w:t xml:space="preserve"> </w:t>
      </w:r>
      <w:r>
        <w:rPr>
          <w:spacing w:val="-4"/>
          <w:sz w:val="15"/>
        </w:rPr>
        <w:t>organisation</w:t>
      </w:r>
      <w:r>
        <w:rPr>
          <w:spacing w:val="3"/>
          <w:sz w:val="15"/>
        </w:rPr>
        <w:t xml:space="preserve"> </w:t>
      </w:r>
      <w:r>
        <w:rPr>
          <w:spacing w:val="-4"/>
          <w:sz w:val="15"/>
        </w:rPr>
        <w:t>annually</w:t>
      </w:r>
    </w:p>
    <w:p w14:paraId="4D993C9A" w14:textId="77777777" w:rsidR="00AC6F3C" w:rsidRDefault="00AC6F3C">
      <w:pPr>
        <w:pStyle w:val="BodyText"/>
        <w:rPr>
          <w:sz w:val="16"/>
        </w:rPr>
      </w:pPr>
    </w:p>
    <w:p w14:paraId="0AB6B19F" w14:textId="77777777" w:rsidR="00AC6F3C" w:rsidRDefault="00AC6F3C">
      <w:pPr>
        <w:pStyle w:val="BodyText"/>
        <w:rPr>
          <w:sz w:val="16"/>
        </w:rPr>
      </w:pPr>
    </w:p>
    <w:p w14:paraId="1DC8D3CA" w14:textId="77777777" w:rsidR="00AC6F3C" w:rsidRDefault="00AC6F3C">
      <w:pPr>
        <w:pStyle w:val="BodyText"/>
        <w:rPr>
          <w:sz w:val="16"/>
        </w:rPr>
      </w:pPr>
    </w:p>
    <w:p w14:paraId="3C71BA9C" w14:textId="77777777" w:rsidR="00AC6F3C" w:rsidRDefault="00AC6F3C">
      <w:pPr>
        <w:pStyle w:val="BodyText"/>
        <w:rPr>
          <w:sz w:val="16"/>
        </w:rPr>
      </w:pPr>
    </w:p>
    <w:p w14:paraId="7210BE6C" w14:textId="77777777" w:rsidR="00AC6F3C" w:rsidRDefault="00AC6F3C">
      <w:pPr>
        <w:pStyle w:val="BodyText"/>
        <w:spacing w:before="10"/>
        <w:rPr>
          <w:sz w:val="18"/>
        </w:rPr>
      </w:pPr>
    </w:p>
    <w:p w14:paraId="07662794" w14:textId="77777777" w:rsidR="00AC6F3C" w:rsidRDefault="00570E88">
      <w:pPr>
        <w:tabs>
          <w:tab w:val="left" w:pos="2247"/>
        </w:tabs>
        <w:ind w:left="928"/>
        <w:rPr>
          <w:sz w:val="15"/>
        </w:rPr>
      </w:pPr>
      <w:r>
        <w:rPr>
          <w:noProof/>
        </w:rPr>
        <mc:AlternateContent>
          <mc:Choice Requires="wpg">
            <w:drawing>
              <wp:anchor distT="0" distB="0" distL="0" distR="0" simplePos="0" relativeHeight="15782400" behindDoc="0" locked="0" layoutInCell="1" allowOverlap="1" wp14:anchorId="4CB0DE98" wp14:editId="38584436">
                <wp:simplePos x="0" y="0"/>
                <wp:positionH relativeFrom="page">
                  <wp:posOffset>809999</wp:posOffset>
                </wp:positionH>
                <wp:positionV relativeFrom="paragraph">
                  <wp:posOffset>-55753</wp:posOffset>
                </wp:positionV>
                <wp:extent cx="5940425" cy="317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83" name="Graphic 483"/>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84" name="Graphic 484"/>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85" name="Graphic 485"/>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86" name="Graphic 486"/>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8AA187" id="Group 482" o:spid="_x0000_s1026" style="position:absolute;margin-left:63.8pt;margin-top:-4.4pt;width:467.75pt;height:.25pt;z-index:1578240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">
                <v:shape id="Graphic 483"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" path="m,l837006,e" filled="f" strokeweight=".25pt">
                  <v:path arrowok="t"/>
                </v:shape>
                <v:shape id="Graphic 484"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" path="m,l1644002,e" filled="f" strokeweight=".25pt">
                  <v:path arrowok="t"/>
                </v:shape>
                <v:shape id="Graphic 485"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" path="m,l834605,e" filled="f" strokeweight=".25pt">
                  <v:path arrowok="t"/>
                </v:shape>
                <v:shape id="Graphic 486"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" path="m,l2624404,e" filled="f" strokeweight=".25pt">
                  <v:path arrowok="t"/>
                </v:shape>
                <w10:wrap anchorx="page"/>
              </v:group>
            </w:pict>
          </mc:Fallback>
        </mc:AlternateContent>
      </w:r>
      <w:r>
        <w:rPr>
          <w:b/>
          <w:spacing w:val="-2"/>
          <w:sz w:val="15"/>
        </w:rPr>
        <w:t>Imbed</w:t>
      </w:r>
      <w:r>
        <w:rPr>
          <w:b/>
          <w:spacing w:val="-8"/>
          <w:sz w:val="15"/>
        </w:rPr>
        <w:t xml:space="preserve"> </w:t>
      </w:r>
      <w:r>
        <w:rPr>
          <w:b/>
          <w:spacing w:val="-4"/>
          <w:sz w:val="15"/>
        </w:rPr>
        <w:t>Goal</w:t>
      </w:r>
      <w:r>
        <w:rPr>
          <w:b/>
          <w:sz w:val="15"/>
        </w:rPr>
        <w:tab/>
      </w:r>
      <w:r>
        <w:rPr>
          <w:spacing w:val="-2"/>
          <w:sz w:val="15"/>
        </w:rPr>
        <w:t>15.</w:t>
      </w:r>
      <w:r>
        <w:rPr>
          <w:spacing w:val="33"/>
          <w:sz w:val="15"/>
        </w:rPr>
        <w:t xml:space="preserve"> </w:t>
      </w:r>
      <w:r>
        <w:rPr>
          <w:spacing w:val="-2"/>
          <w:sz w:val="15"/>
        </w:rPr>
        <w:t>Imbed</w:t>
      </w:r>
      <w:r>
        <w:rPr>
          <w:spacing w:val="-9"/>
          <w:sz w:val="15"/>
        </w:rPr>
        <w:t xml:space="preserve"> </w:t>
      </w:r>
      <w:r>
        <w:rPr>
          <w:spacing w:val="-2"/>
          <w:sz w:val="15"/>
        </w:rPr>
        <w:t>long</w:t>
      </w:r>
      <w:r>
        <w:rPr>
          <w:spacing w:val="-8"/>
          <w:sz w:val="15"/>
        </w:rPr>
        <w:t xml:space="preserve"> </w:t>
      </w:r>
      <w:r>
        <w:rPr>
          <w:spacing w:val="-2"/>
          <w:sz w:val="15"/>
        </w:rPr>
        <w:t>term</w:t>
      </w:r>
      <w:r>
        <w:rPr>
          <w:spacing w:val="-9"/>
          <w:sz w:val="15"/>
        </w:rPr>
        <w:t xml:space="preserve"> </w:t>
      </w:r>
      <w:r>
        <w:rPr>
          <w:spacing w:val="-2"/>
          <w:sz w:val="15"/>
        </w:rPr>
        <w:t>operational</w:t>
      </w:r>
    </w:p>
    <w:p w14:paraId="7509136E" w14:textId="77777777" w:rsidR="00AC6F3C" w:rsidRDefault="00570E88">
      <w:pPr>
        <w:spacing w:before="14" w:line="259" w:lineRule="auto"/>
        <w:ind w:left="2530" w:right="19"/>
        <w:rPr>
          <w:sz w:val="15"/>
        </w:rPr>
      </w:pPr>
      <w:r>
        <w:rPr>
          <w:spacing w:val="-2"/>
          <w:sz w:val="15"/>
        </w:rPr>
        <w:t>structures</w:t>
      </w:r>
      <w:r>
        <w:rPr>
          <w:spacing w:val="-9"/>
          <w:sz w:val="15"/>
        </w:rPr>
        <w:t xml:space="preserve"> </w:t>
      </w:r>
      <w:r>
        <w:rPr>
          <w:spacing w:val="-2"/>
          <w:sz w:val="15"/>
        </w:rPr>
        <w:t>for</w:t>
      </w:r>
      <w:r>
        <w:rPr>
          <w:spacing w:val="-8"/>
          <w:sz w:val="15"/>
        </w:rPr>
        <w:t xml:space="preserve"> </w:t>
      </w:r>
      <w:r>
        <w:rPr>
          <w:spacing w:val="-2"/>
          <w:sz w:val="15"/>
        </w:rPr>
        <w:t>cultural</w:t>
      </w:r>
      <w:r>
        <w:rPr>
          <w:spacing w:val="-9"/>
          <w:sz w:val="15"/>
        </w:rPr>
        <w:t xml:space="preserve"> </w:t>
      </w:r>
      <w:r>
        <w:rPr>
          <w:spacing w:val="-2"/>
          <w:sz w:val="15"/>
        </w:rPr>
        <w:t>safety</w:t>
      </w:r>
      <w:r>
        <w:rPr>
          <w:spacing w:val="-8"/>
          <w:sz w:val="15"/>
        </w:rPr>
        <w:t xml:space="preserve"> </w:t>
      </w:r>
      <w:r>
        <w:rPr>
          <w:spacing w:val="-2"/>
          <w:sz w:val="15"/>
        </w:rPr>
        <w:t>and</w:t>
      </w:r>
      <w:r>
        <w:rPr>
          <w:sz w:val="15"/>
        </w:rPr>
        <w:t xml:space="preserve"> unconscious bias prejudices</w:t>
      </w:r>
    </w:p>
    <w:p w14:paraId="783B6BC7" w14:textId="77777777" w:rsidR="00AC6F3C" w:rsidRDefault="00570E88">
      <w:pPr>
        <w:spacing w:before="2"/>
        <w:rPr>
          <w:sz w:val="13"/>
        </w:rPr>
      </w:pPr>
      <w:r>
        <w:br w:type="column"/>
      </w:r>
    </w:p>
    <w:p w14:paraId="1AA2A536" w14:textId="77777777" w:rsidR="00AC6F3C" w:rsidRDefault="00570E88">
      <w:pPr>
        <w:ind w:left="186"/>
        <w:jc w:val="both"/>
        <w:rPr>
          <w:sz w:val="15"/>
        </w:rPr>
      </w:pPr>
      <w:r>
        <w:rPr>
          <w:b/>
          <w:spacing w:val="-2"/>
          <w:sz w:val="15"/>
        </w:rPr>
        <w:t>Proper</w:t>
      </w:r>
      <w:r>
        <w:rPr>
          <w:b/>
          <w:spacing w:val="-9"/>
          <w:sz w:val="15"/>
        </w:rPr>
        <w:t xml:space="preserve"> </w:t>
      </w:r>
      <w:r>
        <w:rPr>
          <w:b/>
          <w:spacing w:val="-2"/>
          <w:sz w:val="15"/>
        </w:rPr>
        <w:t>Deadly</w:t>
      </w:r>
      <w:r>
        <w:rPr>
          <w:b/>
          <w:spacing w:val="69"/>
          <w:w w:val="150"/>
          <w:sz w:val="15"/>
        </w:rPr>
        <w:t xml:space="preserve">  </w:t>
      </w:r>
      <w:r>
        <w:rPr>
          <w:spacing w:val="-2"/>
          <w:sz w:val="15"/>
        </w:rPr>
        <w:t>13.1.1</w:t>
      </w:r>
      <w:r>
        <w:rPr>
          <w:spacing w:val="35"/>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Continuing</w:t>
      </w:r>
      <w:r>
        <w:rPr>
          <w:spacing w:val="-8"/>
          <w:sz w:val="15"/>
        </w:rPr>
        <w:t xml:space="preserve"> </w:t>
      </w:r>
      <w:r>
        <w:rPr>
          <w:spacing w:val="-2"/>
          <w:sz w:val="15"/>
        </w:rPr>
        <w:t>engagement</w:t>
      </w:r>
      <w:r>
        <w:rPr>
          <w:spacing w:val="-9"/>
          <w:sz w:val="15"/>
        </w:rPr>
        <w:t xml:space="preserve"> </w:t>
      </w:r>
      <w:r>
        <w:rPr>
          <w:spacing w:val="-4"/>
          <w:sz w:val="15"/>
        </w:rPr>
        <w:t>with</w:t>
      </w:r>
    </w:p>
    <w:p w14:paraId="6CA8BC17" w14:textId="77777777" w:rsidR="00AC6F3C" w:rsidRDefault="00570E88">
      <w:pPr>
        <w:spacing w:before="14" w:line="259" w:lineRule="auto"/>
        <w:ind w:left="1954" w:right="582"/>
        <w:jc w:val="both"/>
        <w:rPr>
          <w:sz w:val="15"/>
        </w:rPr>
      </w:pPr>
      <w:r>
        <w:rPr>
          <w:sz w:val="15"/>
        </w:rPr>
        <w:t xml:space="preserve">Aunty Sarah Addo, Uncle Terry Stedman and </w:t>
      </w:r>
      <w:r>
        <w:rPr>
          <w:spacing w:val="-4"/>
          <w:sz w:val="15"/>
        </w:rPr>
        <w:t>Aunty</w:t>
      </w:r>
      <w:r>
        <w:rPr>
          <w:spacing w:val="1"/>
          <w:sz w:val="15"/>
        </w:rPr>
        <w:t xml:space="preserve"> </w:t>
      </w:r>
      <w:r>
        <w:rPr>
          <w:spacing w:val="-4"/>
          <w:sz w:val="15"/>
        </w:rPr>
        <w:t>Margaret</w:t>
      </w:r>
      <w:r>
        <w:rPr>
          <w:spacing w:val="2"/>
          <w:sz w:val="15"/>
        </w:rPr>
        <w:t xml:space="preserve"> </w:t>
      </w:r>
      <w:r>
        <w:rPr>
          <w:spacing w:val="-4"/>
          <w:sz w:val="15"/>
        </w:rPr>
        <w:t>Hornagold</w:t>
      </w:r>
      <w:r>
        <w:rPr>
          <w:spacing w:val="2"/>
          <w:sz w:val="15"/>
        </w:rPr>
        <w:t xml:space="preserve"> </w:t>
      </w:r>
      <w:r>
        <w:rPr>
          <w:spacing w:val="-4"/>
          <w:sz w:val="15"/>
        </w:rPr>
        <w:t>and</w:t>
      </w:r>
      <w:r>
        <w:rPr>
          <w:spacing w:val="2"/>
          <w:sz w:val="15"/>
        </w:rPr>
        <w:t xml:space="preserve"> </w:t>
      </w:r>
      <w:r>
        <w:rPr>
          <w:spacing w:val="-4"/>
          <w:sz w:val="15"/>
        </w:rPr>
        <w:t>their</w:t>
      </w:r>
      <w:r>
        <w:rPr>
          <w:spacing w:val="2"/>
          <w:sz w:val="15"/>
        </w:rPr>
        <w:t xml:space="preserve"> </w:t>
      </w:r>
      <w:r>
        <w:rPr>
          <w:spacing w:val="-4"/>
          <w:sz w:val="15"/>
        </w:rPr>
        <w:t>support</w:t>
      </w:r>
      <w:r>
        <w:rPr>
          <w:spacing w:val="2"/>
          <w:sz w:val="15"/>
        </w:rPr>
        <w:t xml:space="preserve"> </w:t>
      </w:r>
      <w:r>
        <w:rPr>
          <w:spacing w:val="-5"/>
          <w:sz w:val="15"/>
        </w:rPr>
        <w:t>and</w:t>
      </w:r>
    </w:p>
    <w:p w14:paraId="2044B665" w14:textId="77777777" w:rsidR="00AC6F3C" w:rsidRDefault="00570E88">
      <w:pPr>
        <w:spacing w:line="259" w:lineRule="auto"/>
        <w:ind w:left="1954" w:right="291"/>
        <w:jc w:val="both"/>
        <w:rPr>
          <w:sz w:val="15"/>
        </w:rPr>
      </w:pPr>
      <w:r>
        <w:rPr>
          <w:spacing w:val="-4"/>
          <w:sz w:val="15"/>
        </w:rPr>
        <w:t>engagement of QLS events and catch ups have been</w:t>
      </w:r>
      <w:r>
        <w:rPr>
          <w:sz w:val="15"/>
        </w:rPr>
        <w:t xml:space="preserve"> </w:t>
      </w:r>
      <w:r>
        <w:rPr>
          <w:spacing w:val="-2"/>
          <w:sz w:val="15"/>
        </w:rPr>
        <w:t>instrumental</w:t>
      </w:r>
      <w:r>
        <w:rPr>
          <w:spacing w:val="-8"/>
          <w:sz w:val="15"/>
        </w:rPr>
        <w:t xml:space="preserve"> </w:t>
      </w:r>
      <w:r>
        <w:rPr>
          <w:spacing w:val="-2"/>
          <w:sz w:val="15"/>
        </w:rPr>
        <w:t>to</w:t>
      </w:r>
      <w:r>
        <w:rPr>
          <w:spacing w:val="-8"/>
          <w:sz w:val="15"/>
        </w:rPr>
        <w:t xml:space="preserve"> </w:t>
      </w:r>
      <w:r>
        <w:rPr>
          <w:spacing w:val="-2"/>
          <w:sz w:val="15"/>
        </w:rPr>
        <w:t>strengthening</w:t>
      </w:r>
      <w:r>
        <w:rPr>
          <w:spacing w:val="-8"/>
          <w:sz w:val="15"/>
        </w:rPr>
        <w:t xml:space="preserve"> </w:t>
      </w:r>
      <w:r>
        <w:rPr>
          <w:spacing w:val="-2"/>
          <w:sz w:val="15"/>
        </w:rPr>
        <w:t>cultural</w:t>
      </w:r>
      <w:r>
        <w:rPr>
          <w:spacing w:val="-8"/>
          <w:sz w:val="15"/>
        </w:rPr>
        <w:t xml:space="preserve"> </w:t>
      </w:r>
      <w:r>
        <w:rPr>
          <w:spacing w:val="-2"/>
          <w:sz w:val="15"/>
        </w:rPr>
        <w:t>immersion</w:t>
      </w:r>
      <w:r>
        <w:rPr>
          <w:spacing w:val="-8"/>
          <w:sz w:val="15"/>
        </w:rPr>
        <w:t xml:space="preserve"> </w:t>
      </w:r>
      <w:r>
        <w:rPr>
          <w:spacing w:val="-2"/>
          <w:sz w:val="15"/>
        </w:rPr>
        <w:t>and</w:t>
      </w:r>
      <w:r>
        <w:rPr>
          <w:sz w:val="15"/>
        </w:rPr>
        <w:t xml:space="preserve"> </w:t>
      </w:r>
      <w:r>
        <w:rPr>
          <w:spacing w:val="-2"/>
          <w:sz w:val="15"/>
        </w:rPr>
        <w:t>engagement</w:t>
      </w:r>
      <w:r>
        <w:rPr>
          <w:spacing w:val="-9"/>
          <w:sz w:val="15"/>
        </w:rPr>
        <w:t xml:space="preserve"> </w:t>
      </w:r>
      <w:r>
        <w:rPr>
          <w:spacing w:val="-2"/>
          <w:sz w:val="15"/>
        </w:rPr>
        <w:t>and</w:t>
      </w:r>
      <w:r>
        <w:rPr>
          <w:spacing w:val="-8"/>
          <w:sz w:val="15"/>
        </w:rPr>
        <w:t xml:space="preserve"> </w:t>
      </w:r>
      <w:r>
        <w:rPr>
          <w:spacing w:val="-2"/>
          <w:sz w:val="15"/>
        </w:rPr>
        <w:t>have</w:t>
      </w:r>
      <w:r>
        <w:rPr>
          <w:spacing w:val="-9"/>
          <w:sz w:val="15"/>
        </w:rPr>
        <w:t xml:space="preserve"> </w:t>
      </w:r>
      <w:r>
        <w:rPr>
          <w:spacing w:val="-2"/>
          <w:sz w:val="15"/>
        </w:rPr>
        <w:t>deepened</w:t>
      </w:r>
      <w:r>
        <w:rPr>
          <w:spacing w:val="-8"/>
          <w:sz w:val="15"/>
        </w:rPr>
        <w:t xml:space="preserve"> </w:t>
      </w:r>
      <w:r>
        <w:rPr>
          <w:spacing w:val="-2"/>
          <w:sz w:val="15"/>
        </w:rPr>
        <w:t>understanding</w:t>
      </w:r>
      <w:r>
        <w:rPr>
          <w:spacing w:val="-9"/>
          <w:sz w:val="15"/>
        </w:rPr>
        <w:t xml:space="preserve"> </w:t>
      </w:r>
      <w:r>
        <w:rPr>
          <w:spacing w:val="-2"/>
          <w:sz w:val="15"/>
        </w:rPr>
        <w:t>and</w:t>
      </w:r>
      <w:r>
        <w:rPr>
          <w:sz w:val="15"/>
        </w:rPr>
        <w:t xml:space="preserve"> promoted further discussion and dialogue.</w:t>
      </w:r>
    </w:p>
    <w:p w14:paraId="0715F3DF" w14:textId="77777777" w:rsidR="00AC6F3C" w:rsidRDefault="00570E88">
      <w:pPr>
        <w:spacing w:before="40" w:line="259" w:lineRule="auto"/>
        <w:ind w:left="1954" w:right="396" w:hanging="454"/>
        <w:rPr>
          <w:sz w:val="15"/>
        </w:rPr>
      </w:pPr>
      <w:r>
        <w:rPr>
          <w:sz w:val="15"/>
        </w:rPr>
        <w:t>13.2.1</w:t>
      </w:r>
      <w:r>
        <w:rPr>
          <w:spacing w:val="30"/>
          <w:sz w:val="15"/>
        </w:rPr>
        <w:t xml:space="preserve"> </w:t>
      </w:r>
      <w:r>
        <w:rPr>
          <w:sz w:val="15"/>
        </w:rPr>
        <w:t>ACHIEVED</w:t>
      </w:r>
      <w:r>
        <w:rPr>
          <w:spacing w:val="-4"/>
          <w:sz w:val="15"/>
        </w:rPr>
        <w:t xml:space="preserve"> </w:t>
      </w:r>
      <w:r>
        <w:rPr>
          <w:sz w:val="15"/>
        </w:rPr>
        <w:t>–</w:t>
      </w:r>
      <w:r>
        <w:rPr>
          <w:spacing w:val="-4"/>
          <w:sz w:val="15"/>
        </w:rPr>
        <w:t xml:space="preserve"> </w:t>
      </w:r>
      <w:r>
        <w:rPr>
          <w:sz w:val="15"/>
        </w:rPr>
        <w:t>QLS</w:t>
      </w:r>
      <w:r>
        <w:rPr>
          <w:spacing w:val="-4"/>
          <w:sz w:val="15"/>
        </w:rPr>
        <w:t xml:space="preserve"> </w:t>
      </w:r>
      <w:r>
        <w:rPr>
          <w:sz w:val="15"/>
        </w:rPr>
        <w:t>has</w:t>
      </w:r>
      <w:r>
        <w:rPr>
          <w:spacing w:val="-4"/>
          <w:sz w:val="15"/>
        </w:rPr>
        <w:t xml:space="preserve"> </w:t>
      </w:r>
      <w:r>
        <w:rPr>
          <w:sz w:val="15"/>
        </w:rPr>
        <w:t>held</w:t>
      </w:r>
      <w:r>
        <w:rPr>
          <w:spacing w:val="-4"/>
          <w:sz w:val="15"/>
        </w:rPr>
        <w:t xml:space="preserve"> </w:t>
      </w:r>
      <w:r>
        <w:rPr>
          <w:sz w:val="15"/>
        </w:rPr>
        <w:t>a</w:t>
      </w:r>
      <w:r>
        <w:rPr>
          <w:spacing w:val="-4"/>
          <w:sz w:val="15"/>
        </w:rPr>
        <w:t xml:space="preserve"> </w:t>
      </w:r>
      <w:r>
        <w:rPr>
          <w:sz w:val="15"/>
        </w:rPr>
        <w:t xml:space="preserve">yarning </w:t>
      </w:r>
      <w:r>
        <w:rPr>
          <w:spacing w:val="-2"/>
          <w:sz w:val="15"/>
        </w:rPr>
        <w:t>commemoration</w:t>
      </w:r>
      <w:r>
        <w:rPr>
          <w:spacing w:val="-6"/>
          <w:sz w:val="15"/>
        </w:rPr>
        <w:t xml:space="preserve"> </w:t>
      </w:r>
      <w:r>
        <w:rPr>
          <w:spacing w:val="-2"/>
          <w:sz w:val="15"/>
        </w:rPr>
        <w:t>of</w:t>
      </w:r>
      <w:r>
        <w:rPr>
          <w:spacing w:val="-6"/>
          <w:sz w:val="15"/>
        </w:rPr>
        <w:t xml:space="preserve"> </w:t>
      </w:r>
      <w:r>
        <w:rPr>
          <w:spacing w:val="-2"/>
          <w:sz w:val="15"/>
        </w:rPr>
        <w:t>the</w:t>
      </w:r>
      <w:r>
        <w:rPr>
          <w:spacing w:val="-6"/>
          <w:sz w:val="15"/>
        </w:rPr>
        <w:t xml:space="preserve"> </w:t>
      </w:r>
      <w:r>
        <w:rPr>
          <w:spacing w:val="-2"/>
          <w:sz w:val="15"/>
        </w:rPr>
        <w:t>anniversary</w:t>
      </w:r>
      <w:r>
        <w:rPr>
          <w:spacing w:val="-6"/>
          <w:sz w:val="15"/>
        </w:rPr>
        <w:t xml:space="preserve"> </w:t>
      </w:r>
      <w:r>
        <w:rPr>
          <w:spacing w:val="-2"/>
          <w:sz w:val="15"/>
        </w:rPr>
        <w:t>of</w:t>
      </w:r>
      <w:r>
        <w:rPr>
          <w:spacing w:val="-6"/>
          <w:sz w:val="15"/>
        </w:rPr>
        <w:t xml:space="preserve"> </w:t>
      </w:r>
      <w:r>
        <w:rPr>
          <w:spacing w:val="-2"/>
          <w:sz w:val="15"/>
        </w:rPr>
        <w:t>the</w:t>
      </w:r>
      <w:r>
        <w:rPr>
          <w:spacing w:val="-6"/>
          <w:sz w:val="15"/>
        </w:rPr>
        <w:t xml:space="preserve"> </w:t>
      </w:r>
      <w:r>
        <w:rPr>
          <w:spacing w:val="-2"/>
          <w:sz w:val="15"/>
        </w:rPr>
        <w:t>Apology</w:t>
      </w:r>
      <w:r>
        <w:rPr>
          <w:sz w:val="15"/>
        </w:rPr>
        <w:t xml:space="preserve"> </w:t>
      </w:r>
      <w:r>
        <w:rPr>
          <w:spacing w:val="-4"/>
          <w:sz w:val="15"/>
        </w:rPr>
        <w:t>to</w:t>
      </w:r>
      <w:r>
        <w:rPr>
          <w:sz w:val="15"/>
        </w:rPr>
        <w:t xml:space="preserve"> </w:t>
      </w:r>
      <w:r>
        <w:rPr>
          <w:spacing w:val="-4"/>
          <w:sz w:val="15"/>
        </w:rPr>
        <w:t>the</w:t>
      </w:r>
      <w:r>
        <w:rPr>
          <w:spacing w:val="1"/>
          <w:sz w:val="15"/>
        </w:rPr>
        <w:t xml:space="preserve"> </w:t>
      </w:r>
      <w:r>
        <w:rPr>
          <w:spacing w:val="-4"/>
          <w:sz w:val="15"/>
        </w:rPr>
        <w:t>Stolen</w:t>
      </w:r>
      <w:r>
        <w:rPr>
          <w:spacing w:val="1"/>
          <w:sz w:val="15"/>
        </w:rPr>
        <w:t xml:space="preserve"> </w:t>
      </w:r>
      <w:r>
        <w:rPr>
          <w:spacing w:val="-4"/>
          <w:sz w:val="15"/>
        </w:rPr>
        <w:t>Generations,</w:t>
      </w:r>
      <w:r>
        <w:rPr>
          <w:spacing w:val="1"/>
          <w:sz w:val="15"/>
        </w:rPr>
        <w:t xml:space="preserve"> </w:t>
      </w:r>
      <w:r>
        <w:rPr>
          <w:spacing w:val="-4"/>
          <w:sz w:val="15"/>
        </w:rPr>
        <w:t>held</w:t>
      </w:r>
      <w:r>
        <w:rPr>
          <w:spacing w:val="1"/>
          <w:sz w:val="15"/>
        </w:rPr>
        <w:t xml:space="preserve"> </w:t>
      </w:r>
      <w:r>
        <w:rPr>
          <w:spacing w:val="-4"/>
          <w:sz w:val="15"/>
        </w:rPr>
        <w:t>with</w:t>
      </w:r>
      <w:r>
        <w:rPr>
          <w:spacing w:val="1"/>
          <w:sz w:val="15"/>
        </w:rPr>
        <w:t xml:space="preserve"> </w:t>
      </w:r>
      <w:r>
        <w:rPr>
          <w:spacing w:val="-4"/>
          <w:sz w:val="15"/>
        </w:rPr>
        <w:t>Carter</w:t>
      </w:r>
      <w:r>
        <w:rPr>
          <w:spacing w:val="1"/>
          <w:sz w:val="15"/>
        </w:rPr>
        <w:t xml:space="preserve"> </w:t>
      </w:r>
      <w:r>
        <w:rPr>
          <w:spacing w:val="-4"/>
          <w:sz w:val="15"/>
        </w:rPr>
        <w:t>Newell,</w:t>
      </w:r>
    </w:p>
    <w:p w14:paraId="703967CF" w14:textId="77777777" w:rsidR="00AC6F3C" w:rsidRDefault="00570E88">
      <w:pPr>
        <w:spacing w:line="259" w:lineRule="auto"/>
        <w:ind w:left="1954" w:right="225"/>
        <w:rPr>
          <w:sz w:val="15"/>
        </w:rPr>
      </w:pPr>
      <w:r>
        <w:rPr>
          <w:spacing w:val="-2"/>
          <w:sz w:val="15"/>
        </w:rPr>
        <w:t>Indigenous</w:t>
      </w:r>
      <w:r>
        <w:rPr>
          <w:spacing w:val="-8"/>
          <w:sz w:val="15"/>
        </w:rPr>
        <w:t xml:space="preserve"> </w:t>
      </w:r>
      <w:r>
        <w:rPr>
          <w:spacing w:val="-2"/>
          <w:sz w:val="15"/>
        </w:rPr>
        <w:t>History</w:t>
      </w:r>
      <w:r>
        <w:rPr>
          <w:spacing w:val="-8"/>
          <w:sz w:val="15"/>
        </w:rPr>
        <w:t xml:space="preserve"> </w:t>
      </w:r>
      <w:r>
        <w:rPr>
          <w:spacing w:val="-2"/>
          <w:sz w:val="15"/>
        </w:rPr>
        <w:t>Month</w:t>
      </w:r>
      <w:r>
        <w:rPr>
          <w:spacing w:val="-8"/>
          <w:sz w:val="15"/>
        </w:rPr>
        <w:t xml:space="preserve"> </w:t>
      </w:r>
      <w:r>
        <w:rPr>
          <w:spacing w:val="-2"/>
          <w:sz w:val="15"/>
        </w:rPr>
        <w:t>and</w:t>
      </w:r>
      <w:r>
        <w:rPr>
          <w:spacing w:val="-8"/>
          <w:sz w:val="15"/>
        </w:rPr>
        <w:t xml:space="preserve"> </w:t>
      </w:r>
      <w:r>
        <w:rPr>
          <w:spacing w:val="-2"/>
          <w:sz w:val="15"/>
        </w:rPr>
        <w:t>NRW</w:t>
      </w:r>
      <w:r>
        <w:rPr>
          <w:spacing w:val="-8"/>
          <w:sz w:val="15"/>
        </w:rPr>
        <w:t xml:space="preserve"> </w:t>
      </w:r>
      <w:r>
        <w:rPr>
          <w:spacing w:val="-2"/>
          <w:sz w:val="15"/>
        </w:rPr>
        <w:t>and</w:t>
      </w:r>
      <w:r>
        <w:rPr>
          <w:spacing w:val="-8"/>
          <w:sz w:val="15"/>
        </w:rPr>
        <w:t xml:space="preserve"> </w:t>
      </w:r>
      <w:r>
        <w:rPr>
          <w:spacing w:val="-2"/>
          <w:sz w:val="15"/>
        </w:rPr>
        <w:t>with</w:t>
      </w:r>
      <w:r>
        <w:rPr>
          <w:spacing w:val="-8"/>
          <w:sz w:val="15"/>
        </w:rPr>
        <w:t xml:space="preserve"> </w:t>
      </w:r>
      <w:r>
        <w:rPr>
          <w:spacing w:val="-2"/>
          <w:sz w:val="15"/>
        </w:rPr>
        <w:t>Caxton,</w:t>
      </w:r>
      <w:r>
        <w:rPr>
          <w:sz w:val="15"/>
        </w:rPr>
        <w:t xml:space="preserve"> through</w:t>
      </w:r>
      <w:r>
        <w:rPr>
          <w:spacing w:val="-4"/>
          <w:sz w:val="15"/>
        </w:rPr>
        <w:t xml:space="preserve"> </w:t>
      </w:r>
      <w:r>
        <w:rPr>
          <w:sz w:val="15"/>
        </w:rPr>
        <w:t>Uncle</w:t>
      </w:r>
      <w:r>
        <w:rPr>
          <w:spacing w:val="-4"/>
          <w:sz w:val="15"/>
        </w:rPr>
        <w:t xml:space="preserve"> </w:t>
      </w:r>
      <w:r>
        <w:rPr>
          <w:sz w:val="15"/>
        </w:rPr>
        <w:t>Terry</w:t>
      </w:r>
      <w:r>
        <w:rPr>
          <w:spacing w:val="-4"/>
          <w:sz w:val="15"/>
        </w:rPr>
        <w:t xml:space="preserve"> </w:t>
      </w:r>
      <w:r>
        <w:rPr>
          <w:sz w:val="15"/>
        </w:rPr>
        <w:t>Stedman,</w:t>
      </w:r>
      <w:r>
        <w:rPr>
          <w:spacing w:val="-4"/>
          <w:sz w:val="15"/>
        </w:rPr>
        <w:t xml:space="preserve"> </w:t>
      </w:r>
      <w:proofErr w:type="spellStart"/>
      <w:r>
        <w:rPr>
          <w:sz w:val="15"/>
        </w:rPr>
        <w:t>organised</w:t>
      </w:r>
      <w:proofErr w:type="spellEnd"/>
      <w:r>
        <w:rPr>
          <w:spacing w:val="-4"/>
          <w:sz w:val="15"/>
        </w:rPr>
        <w:t xml:space="preserve"> </w:t>
      </w:r>
      <w:r>
        <w:rPr>
          <w:sz w:val="15"/>
        </w:rPr>
        <w:t>the</w:t>
      </w:r>
      <w:r>
        <w:rPr>
          <w:spacing w:val="-4"/>
          <w:sz w:val="15"/>
        </w:rPr>
        <w:t xml:space="preserve"> </w:t>
      </w:r>
      <w:r>
        <w:rPr>
          <w:sz w:val="15"/>
        </w:rPr>
        <w:t>first Deadly</w:t>
      </w:r>
      <w:r>
        <w:rPr>
          <w:spacing w:val="-7"/>
          <w:sz w:val="15"/>
        </w:rPr>
        <w:t xml:space="preserve"> </w:t>
      </w:r>
      <w:r>
        <w:rPr>
          <w:sz w:val="15"/>
        </w:rPr>
        <w:t>Voices</w:t>
      </w:r>
      <w:r>
        <w:rPr>
          <w:spacing w:val="-7"/>
          <w:sz w:val="15"/>
        </w:rPr>
        <w:t xml:space="preserve"> </w:t>
      </w:r>
      <w:r>
        <w:rPr>
          <w:sz w:val="15"/>
        </w:rPr>
        <w:t>choir,</w:t>
      </w:r>
      <w:r>
        <w:rPr>
          <w:spacing w:val="-7"/>
          <w:sz w:val="15"/>
        </w:rPr>
        <w:t xml:space="preserve"> </w:t>
      </w:r>
      <w:r>
        <w:rPr>
          <w:sz w:val="15"/>
        </w:rPr>
        <w:t>singing</w:t>
      </w:r>
      <w:r>
        <w:rPr>
          <w:spacing w:val="-7"/>
          <w:sz w:val="15"/>
        </w:rPr>
        <w:t xml:space="preserve"> </w:t>
      </w:r>
      <w:r>
        <w:rPr>
          <w:sz w:val="15"/>
        </w:rPr>
        <w:t>From</w:t>
      </w:r>
      <w:r>
        <w:rPr>
          <w:spacing w:val="-7"/>
          <w:sz w:val="15"/>
        </w:rPr>
        <w:t xml:space="preserve"> </w:t>
      </w:r>
      <w:r>
        <w:rPr>
          <w:sz w:val="15"/>
        </w:rPr>
        <w:t>Little</w:t>
      </w:r>
      <w:r>
        <w:rPr>
          <w:spacing w:val="-7"/>
          <w:sz w:val="15"/>
        </w:rPr>
        <w:t xml:space="preserve"> </w:t>
      </w:r>
      <w:r>
        <w:rPr>
          <w:sz w:val="15"/>
        </w:rPr>
        <w:t>Things</w:t>
      </w:r>
      <w:r>
        <w:rPr>
          <w:spacing w:val="-7"/>
          <w:sz w:val="15"/>
        </w:rPr>
        <w:t xml:space="preserve"> </w:t>
      </w:r>
      <w:r>
        <w:rPr>
          <w:sz w:val="15"/>
        </w:rPr>
        <w:t>Big Things</w:t>
      </w:r>
      <w:r>
        <w:rPr>
          <w:spacing w:val="-3"/>
          <w:sz w:val="15"/>
        </w:rPr>
        <w:t xml:space="preserve"> </w:t>
      </w:r>
      <w:r>
        <w:rPr>
          <w:sz w:val="15"/>
        </w:rPr>
        <w:t>grow.</w:t>
      </w:r>
      <w:r>
        <w:rPr>
          <w:spacing w:val="-3"/>
          <w:sz w:val="15"/>
        </w:rPr>
        <w:t xml:space="preserve"> </w:t>
      </w:r>
      <w:r>
        <w:rPr>
          <w:sz w:val="15"/>
        </w:rPr>
        <w:t>The</w:t>
      </w:r>
      <w:r>
        <w:rPr>
          <w:spacing w:val="-3"/>
          <w:sz w:val="15"/>
        </w:rPr>
        <w:t xml:space="preserve"> </w:t>
      </w:r>
      <w:r>
        <w:rPr>
          <w:sz w:val="15"/>
        </w:rPr>
        <w:t>knowledge</w:t>
      </w:r>
      <w:r>
        <w:rPr>
          <w:spacing w:val="-3"/>
          <w:sz w:val="15"/>
        </w:rPr>
        <w:t xml:space="preserve"> </w:t>
      </w:r>
      <w:r>
        <w:rPr>
          <w:sz w:val="15"/>
        </w:rPr>
        <w:t>gained</w:t>
      </w:r>
      <w:r>
        <w:rPr>
          <w:spacing w:val="-3"/>
          <w:sz w:val="15"/>
        </w:rPr>
        <w:t xml:space="preserve"> </w:t>
      </w:r>
      <w:r>
        <w:rPr>
          <w:sz w:val="15"/>
        </w:rPr>
        <w:t>from</w:t>
      </w:r>
      <w:r>
        <w:rPr>
          <w:spacing w:val="-3"/>
          <w:sz w:val="15"/>
        </w:rPr>
        <w:t xml:space="preserve"> </w:t>
      </w:r>
      <w:r>
        <w:rPr>
          <w:sz w:val="15"/>
        </w:rPr>
        <w:t xml:space="preserve">these </w:t>
      </w:r>
      <w:r>
        <w:rPr>
          <w:spacing w:val="-2"/>
          <w:sz w:val="15"/>
        </w:rPr>
        <w:t>events,</w:t>
      </w:r>
      <w:r>
        <w:rPr>
          <w:spacing w:val="-9"/>
          <w:sz w:val="15"/>
        </w:rPr>
        <w:t xml:space="preserve"> </w:t>
      </w:r>
      <w:r>
        <w:rPr>
          <w:spacing w:val="-2"/>
          <w:sz w:val="15"/>
        </w:rPr>
        <w:t>storytelling</w:t>
      </w:r>
      <w:r>
        <w:rPr>
          <w:spacing w:val="-8"/>
          <w:sz w:val="15"/>
        </w:rPr>
        <w:t xml:space="preserve"> </w:t>
      </w:r>
      <w:r>
        <w:rPr>
          <w:spacing w:val="-2"/>
          <w:sz w:val="15"/>
        </w:rPr>
        <w:t>and</w:t>
      </w:r>
      <w:r>
        <w:rPr>
          <w:spacing w:val="-9"/>
          <w:sz w:val="15"/>
        </w:rPr>
        <w:t xml:space="preserve"> </w:t>
      </w:r>
      <w:r>
        <w:rPr>
          <w:spacing w:val="-2"/>
          <w:sz w:val="15"/>
        </w:rPr>
        <w:t>yarning</w:t>
      </w:r>
      <w:r>
        <w:rPr>
          <w:spacing w:val="-8"/>
          <w:sz w:val="15"/>
        </w:rPr>
        <w:t xml:space="preserve"> </w:t>
      </w:r>
      <w:r>
        <w:rPr>
          <w:spacing w:val="-2"/>
          <w:sz w:val="15"/>
        </w:rPr>
        <w:t>were</w:t>
      </w:r>
      <w:r>
        <w:rPr>
          <w:spacing w:val="-9"/>
          <w:sz w:val="15"/>
        </w:rPr>
        <w:t xml:space="preserve"> </w:t>
      </w:r>
      <w:r>
        <w:rPr>
          <w:spacing w:val="-2"/>
          <w:sz w:val="15"/>
        </w:rPr>
        <w:t>so</w:t>
      </w:r>
      <w:r>
        <w:rPr>
          <w:spacing w:val="-8"/>
          <w:sz w:val="15"/>
        </w:rPr>
        <w:t xml:space="preserve"> </w:t>
      </w:r>
      <w:r>
        <w:rPr>
          <w:spacing w:val="-2"/>
          <w:sz w:val="15"/>
        </w:rPr>
        <w:t>important</w:t>
      </w:r>
      <w:r>
        <w:rPr>
          <w:spacing w:val="-8"/>
          <w:sz w:val="15"/>
        </w:rPr>
        <w:t xml:space="preserve"> </w:t>
      </w:r>
      <w:r>
        <w:rPr>
          <w:spacing w:val="-2"/>
          <w:sz w:val="15"/>
        </w:rPr>
        <w:t>and</w:t>
      </w:r>
      <w:r>
        <w:rPr>
          <w:sz w:val="15"/>
        </w:rPr>
        <w:t xml:space="preserve"> influential and enjoyed by all.</w:t>
      </w:r>
    </w:p>
    <w:p w14:paraId="65505A12" w14:textId="77777777" w:rsidR="00AC6F3C" w:rsidRDefault="00570E88">
      <w:pPr>
        <w:spacing w:before="40" w:line="259" w:lineRule="auto"/>
        <w:ind w:left="1954" w:right="235" w:hanging="454"/>
        <w:rPr>
          <w:sz w:val="15"/>
        </w:rPr>
      </w:pPr>
      <w:r>
        <w:rPr>
          <w:spacing w:val="-2"/>
          <w:sz w:val="15"/>
        </w:rPr>
        <w:t>13.3.1</w:t>
      </w:r>
      <w:r>
        <w:rPr>
          <w:spacing w:val="1"/>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Articles</w:t>
      </w:r>
      <w:r>
        <w:rPr>
          <w:spacing w:val="-8"/>
          <w:sz w:val="15"/>
        </w:rPr>
        <w:t xml:space="preserve"> </w:t>
      </w:r>
      <w:r>
        <w:rPr>
          <w:spacing w:val="-2"/>
          <w:sz w:val="15"/>
        </w:rPr>
        <w:t>published</w:t>
      </w:r>
      <w:r>
        <w:rPr>
          <w:spacing w:val="-9"/>
          <w:sz w:val="15"/>
        </w:rPr>
        <w:t xml:space="preserve"> </w:t>
      </w:r>
      <w:r>
        <w:rPr>
          <w:spacing w:val="-2"/>
          <w:sz w:val="15"/>
        </w:rPr>
        <w:t>on</w:t>
      </w:r>
      <w:r>
        <w:rPr>
          <w:spacing w:val="-8"/>
          <w:sz w:val="15"/>
        </w:rPr>
        <w:t xml:space="preserve"> </w:t>
      </w:r>
      <w:r>
        <w:rPr>
          <w:spacing w:val="-2"/>
          <w:sz w:val="15"/>
        </w:rPr>
        <w:t>Proctor</w:t>
      </w:r>
      <w:r>
        <w:rPr>
          <w:spacing w:val="-8"/>
          <w:sz w:val="15"/>
        </w:rPr>
        <w:t xml:space="preserve"> </w:t>
      </w:r>
      <w:r>
        <w:rPr>
          <w:spacing w:val="-2"/>
          <w:sz w:val="15"/>
        </w:rPr>
        <w:t>(NAIDOC,</w:t>
      </w:r>
      <w:r>
        <w:rPr>
          <w:sz w:val="15"/>
        </w:rPr>
        <w:t xml:space="preserve"> UNDRIP,</w:t>
      </w:r>
      <w:r>
        <w:rPr>
          <w:spacing w:val="-7"/>
          <w:sz w:val="15"/>
        </w:rPr>
        <w:t xml:space="preserve"> </w:t>
      </w:r>
      <w:r>
        <w:rPr>
          <w:sz w:val="15"/>
        </w:rPr>
        <w:t>Love</w:t>
      </w:r>
      <w:r>
        <w:rPr>
          <w:spacing w:val="-7"/>
          <w:sz w:val="15"/>
        </w:rPr>
        <w:t xml:space="preserve"> </w:t>
      </w:r>
      <w:r>
        <w:rPr>
          <w:sz w:val="15"/>
        </w:rPr>
        <w:t>v</w:t>
      </w:r>
      <w:r>
        <w:rPr>
          <w:spacing w:val="-7"/>
          <w:sz w:val="15"/>
        </w:rPr>
        <w:t xml:space="preserve"> </w:t>
      </w:r>
      <w:proofErr w:type="spellStart"/>
      <w:r>
        <w:rPr>
          <w:sz w:val="15"/>
        </w:rPr>
        <w:t>Cth</w:t>
      </w:r>
      <w:proofErr w:type="spellEnd"/>
      <w:r>
        <w:rPr>
          <w:sz w:val="15"/>
        </w:rPr>
        <w:t>,</w:t>
      </w:r>
      <w:r>
        <w:rPr>
          <w:spacing w:val="-7"/>
          <w:sz w:val="15"/>
        </w:rPr>
        <w:t xml:space="preserve"> </w:t>
      </w:r>
      <w:r>
        <w:rPr>
          <w:sz w:val="15"/>
        </w:rPr>
        <w:t>Carter</w:t>
      </w:r>
      <w:r>
        <w:rPr>
          <w:spacing w:val="-7"/>
          <w:sz w:val="15"/>
        </w:rPr>
        <w:t xml:space="preserve"> </w:t>
      </w:r>
      <w:r>
        <w:rPr>
          <w:sz w:val="15"/>
        </w:rPr>
        <w:t>Newell</w:t>
      </w:r>
      <w:r>
        <w:rPr>
          <w:spacing w:val="-7"/>
          <w:sz w:val="15"/>
        </w:rPr>
        <w:t xml:space="preserve"> </w:t>
      </w:r>
      <w:r>
        <w:rPr>
          <w:sz w:val="15"/>
        </w:rPr>
        <w:t>FN</w:t>
      </w:r>
      <w:r>
        <w:rPr>
          <w:spacing w:val="-7"/>
          <w:sz w:val="15"/>
        </w:rPr>
        <w:t xml:space="preserve"> </w:t>
      </w:r>
      <w:r>
        <w:rPr>
          <w:sz w:val="15"/>
        </w:rPr>
        <w:t xml:space="preserve">Champions, </w:t>
      </w:r>
      <w:r>
        <w:rPr>
          <w:spacing w:val="-2"/>
          <w:sz w:val="15"/>
        </w:rPr>
        <w:t>Pascoe</w:t>
      </w:r>
      <w:r>
        <w:rPr>
          <w:spacing w:val="-9"/>
          <w:sz w:val="15"/>
        </w:rPr>
        <w:t xml:space="preserve"> </w:t>
      </w:r>
      <w:r>
        <w:rPr>
          <w:spacing w:val="-2"/>
          <w:sz w:val="15"/>
        </w:rPr>
        <w:t>&amp;</w:t>
      </w:r>
      <w:r>
        <w:rPr>
          <w:spacing w:val="-8"/>
          <w:sz w:val="15"/>
        </w:rPr>
        <w:t xml:space="preserve"> </w:t>
      </w:r>
      <w:r>
        <w:rPr>
          <w:spacing w:val="-2"/>
          <w:sz w:val="15"/>
        </w:rPr>
        <w:t>Larsen,</w:t>
      </w:r>
      <w:r>
        <w:rPr>
          <w:spacing w:val="-9"/>
          <w:sz w:val="15"/>
        </w:rPr>
        <w:t xml:space="preserve"> </w:t>
      </w:r>
      <w:r>
        <w:rPr>
          <w:spacing w:val="-2"/>
          <w:sz w:val="15"/>
        </w:rPr>
        <w:t>An</w:t>
      </w:r>
      <w:r>
        <w:rPr>
          <w:spacing w:val="-8"/>
          <w:sz w:val="15"/>
        </w:rPr>
        <w:t xml:space="preserve"> </w:t>
      </w:r>
      <w:r>
        <w:rPr>
          <w:spacing w:val="-2"/>
          <w:sz w:val="15"/>
        </w:rPr>
        <w:t>Indigenous</w:t>
      </w:r>
      <w:r>
        <w:rPr>
          <w:spacing w:val="-9"/>
          <w:sz w:val="15"/>
        </w:rPr>
        <w:t xml:space="preserve"> </w:t>
      </w:r>
      <w:r>
        <w:rPr>
          <w:spacing w:val="-2"/>
          <w:sz w:val="15"/>
        </w:rPr>
        <w:t>Voice</w:t>
      </w:r>
      <w:r>
        <w:rPr>
          <w:spacing w:val="-8"/>
          <w:sz w:val="15"/>
        </w:rPr>
        <w:t xml:space="preserve"> </w:t>
      </w:r>
      <w:r>
        <w:rPr>
          <w:spacing w:val="-2"/>
          <w:sz w:val="15"/>
        </w:rPr>
        <w:t>to</w:t>
      </w:r>
      <w:r>
        <w:rPr>
          <w:spacing w:val="-8"/>
          <w:sz w:val="15"/>
        </w:rPr>
        <w:t xml:space="preserve"> </w:t>
      </w:r>
      <w:r>
        <w:rPr>
          <w:spacing w:val="-2"/>
          <w:sz w:val="15"/>
        </w:rPr>
        <w:t>Parliament)</w:t>
      </w:r>
      <w:r>
        <w:rPr>
          <w:sz w:val="15"/>
        </w:rPr>
        <w:t xml:space="preserve"> as well as on Yammer and Social</w:t>
      </w:r>
    </w:p>
    <w:p w14:paraId="569C57B4" w14:textId="77777777" w:rsidR="00AC6F3C" w:rsidRDefault="00AC6F3C">
      <w:pPr>
        <w:pStyle w:val="BodyText"/>
        <w:spacing w:before="3"/>
        <w:rPr>
          <w:sz w:val="13"/>
        </w:rPr>
      </w:pPr>
    </w:p>
    <w:p w14:paraId="46DD7533" w14:textId="77777777" w:rsidR="00AC6F3C" w:rsidRDefault="00570E88">
      <w:pPr>
        <w:ind w:left="186"/>
        <w:jc w:val="both"/>
        <w:rPr>
          <w:sz w:val="15"/>
        </w:rPr>
      </w:pPr>
      <w:r>
        <w:rPr>
          <w:b/>
          <w:spacing w:val="-2"/>
          <w:sz w:val="15"/>
        </w:rPr>
        <w:t>Proper</w:t>
      </w:r>
      <w:r>
        <w:rPr>
          <w:b/>
          <w:spacing w:val="-9"/>
          <w:sz w:val="15"/>
        </w:rPr>
        <w:t xml:space="preserve"> </w:t>
      </w:r>
      <w:r>
        <w:rPr>
          <w:b/>
          <w:spacing w:val="-2"/>
          <w:sz w:val="15"/>
        </w:rPr>
        <w:t>Deadly</w:t>
      </w:r>
      <w:r>
        <w:rPr>
          <w:b/>
          <w:spacing w:val="66"/>
          <w:w w:val="150"/>
          <w:sz w:val="15"/>
        </w:rPr>
        <w:t xml:space="preserve">  </w:t>
      </w:r>
      <w:r>
        <w:rPr>
          <w:spacing w:val="-2"/>
          <w:sz w:val="15"/>
        </w:rPr>
        <w:t>14.1.1</w:t>
      </w:r>
      <w:r>
        <w:rPr>
          <w:spacing w:val="35"/>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We</w:t>
      </w:r>
      <w:r>
        <w:rPr>
          <w:spacing w:val="-8"/>
          <w:sz w:val="15"/>
        </w:rPr>
        <w:t xml:space="preserve"> </w:t>
      </w:r>
      <w:r>
        <w:rPr>
          <w:spacing w:val="-2"/>
          <w:sz w:val="15"/>
        </w:rPr>
        <w:t>have</w:t>
      </w:r>
      <w:r>
        <w:rPr>
          <w:spacing w:val="-8"/>
          <w:sz w:val="15"/>
        </w:rPr>
        <w:t xml:space="preserve"> </w:t>
      </w:r>
      <w:proofErr w:type="spellStart"/>
      <w:r>
        <w:rPr>
          <w:spacing w:val="-2"/>
          <w:sz w:val="15"/>
        </w:rPr>
        <w:t>recognised</w:t>
      </w:r>
      <w:proofErr w:type="spellEnd"/>
      <w:r>
        <w:rPr>
          <w:spacing w:val="-9"/>
          <w:sz w:val="15"/>
        </w:rPr>
        <w:t xml:space="preserve"> </w:t>
      </w:r>
      <w:r>
        <w:rPr>
          <w:spacing w:val="-2"/>
          <w:sz w:val="15"/>
        </w:rPr>
        <w:t>events</w:t>
      </w:r>
      <w:r>
        <w:rPr>
          <w:spacing w:val="-8"/>
          <w:sz w:val="15"/>
        </w:rPr>
        <w:t xml:space="preserve"> </w:t>
      </w:r>
      <w:r>
        <w:rPr>
          <w:spacing w:val="-5"/>
          <w:sz w:val="15"/>
        </w:rPr>
        <w:t>and</w:t>
      </w:r>
    </w:p>
    <w:p w14:paraId="38E5F314" w14:textId="77777777" w:rsidR="00AC6F3C" w:rsidRDefault="00570E88">
      <w:pPr>
        <w:spacing w:before="14" w:line="259" w:lineRule="auto"/>
        <w:ind w:left="1954" w:right="272"/>
        <w:jc w:val="both"/>
        <w:rPr>
          <w:sz w:val="15"/>
        </w:rPr>
      </w:pPr>
      <w:r>
        <w:rPr>
          <w:spacing w:val="-2"/>
          <w:sz w:val="15"/>
        </w:rPr>
        <w:t>updated</w:t>
      </w:r>
      <w:r>
        <w:rPr>
          <w:spacing w:val="-8"/>
          <w:sz w:val="15"/>
        </w:rPr>
        <w:t xml:space="preserve"> </w:t>
      </w:r>
      <w:r>
        <w:rPr>
          <w:spacing w:val="-2"/>
          <w:sz w:val="15"/>
        </w:rPr>
        <w:t>themes</w:t>
      </w:r>
      <w:r>
        <w:rPr>
          <w:spacing w:val="-8"/>
          <w:sz w:val="15"/>
        </w:rPr>
        <w:t xml:space="preserve"> </w:t>
      </w:r>
      <w:r>
        <w:rPr>
          <w:spacing w:val="-2"/>
          <w:sz w:val="15"/>
        </w:rPr>
        <w:t>for</w:t>
      </w:r>
      <w:r>
        <w:rPr>
          <w:spacing w:val="-8"/>
          <w:sz w:val="15"/>
        </w:rPr>
        <w:t xml:space="preserve"> </w:t>
      </w:r>
      <w:r>
        <w:rPr>
          <w:spacing w:val="-2"/>
          <w:sz w:val="15"/>
        </w:rPr>
        <w:t>NAIDOC</w:t>
      </w:r>
      <w:r>
        <w:rPr>
          <w:spacing w:val="-8"/>
          <w:sz w:val="15"/>
        </w:rPr>
        <w:t xml:space="preserve"> </w:t>
      </w:r>
      <w:r>
        <w:rPr>
          <w:spacing w:val="-2"/>
          <w:sz w:val="15"/>
        </w:rPr>
        <w:t>–</w:t>
      </w:r>
      <w:r>
        <w:rPr>
          <w:spacing w:val="-8"/>
          <w:sz w:val="15"/>
        </w:rPr>
        <w:t xml:space="preserve"> </w:t>
      </w:r>
      <w:r>
        <w:rPr>
          <w:spacing w:val="-2"/>
          <w:sz w:val="15"/>
        </w:rPr>
        <w:t>For</w:t>
      </w:r>
      <w:r>
        <w:rPr>
          <w:spacing w:val="-8"/>
          <w:sz w:val="15"/>
        </w:rPr>
        <w:t xml:space="preserve"> </w:t>
      </w:r>
      <w:r>
        <w:rPr>
          <w:spacing w:val="-2"/>
          <w:sz w:val="15"/>
        </w:rPr>
        <w:t>Our</w:t>
      </w:r>
      <w:r>
        <w:rPr>
          <w:spacing w:val="-8"/>
          <w:sz w:val="15"/>
        </w:rPr>
        <w:t xml:space="preserve"> </w:t>
      </w:r>
      <w:r>
        <w:rPr>
          <w:spacing w:val="-2"/>
          <w:sz w:val="15"/>
        </w:rPr>
        <w:t>Elders,</w:t>
      </w:r>
      <w:r>
        <w:rPr>
          <w:spacing w:val="-8"/>
          <w:sz w:val="15"/>
        </w:rPr>
        <w:t xml:space="preserve"> </w:t>
      </w:r>
      <w:r>
        <w:rPr>
          <w:spacing w:val="-2"/>
          <w:sz w:val="15"/>
        </w:rPr>
        <w:t>NRW</w:t>
      </w:r>
      <w:r>
        <w:rPr>
          <w:sz w:val="15"/>
        </w:rPr>
        <w:t xml:space="preserve"> </w:t>
      </w:r>
      <w:r>
        <w:rPr>
          <w:spacing w:val="-2"/>
          <w:sz w:val="15"/>
        </w:rPr>
        <w:t>–</w:t>
      </w:r>
      <w:r>
        <w:rPr>
          <w:spacing w:val="-9"/>
          <w:sz w:val="15"/>
        </w:rPr>
        <w:t xml:space="preserve"> </w:t>
      </w:r>
      <w:r>
        <w:rPr>
          <w:spacing w:val="-2"/>
          <w:sz w:val="15"/>
        </w:rPr>
        <w:t>Be</w:t>
      </w:r>
      <w:r>
        <w:rPr>
          <w:spacing w:val="-8"/>
          <w:sz w:val="15"/>
        </w:rPr>
        <w:t xml:space="preserve"> </w:t>
      </w:r>
      <w:r>
        <w:rPr>
          <w:spacing w:val="-2"/>
          <w:sz w:val="15"/>
        </w:rPr>
        <w:t>a</w:t>
      </w:r>
      <w:r>
        <w:rPr>
          <w:spacing w:val="-9"/>
          <w:sz w:val="15"/>
        </w:rPr>
        <w:t xml:space="preserve"> </w:t>
      </w:r>
      <w:r>
        <w:rPr>
          <w:spacing w:val="-2"/>
          <w:sz w:val="15"/>
        </w:rPr>
        <w:t>voice</w:t>
      </w:r>
      <w:r>
        <w:rPr>
          <w:spacing w:val="-8"/>
          <w:sz w:val="15"/>
        </w:rPr>
        <w:t xml:space="preserve"> </w:t>
      </w:r>
      <w:r>
        <w:rPr>
          <w:spacing w:val="-2"/>
          <w:sz w:val="15"/>
        </w:rPr>
        <w:t>for</w:t>
      </w:r>
      <w:r>
        <w:rPr>
          <w:spacing w:val="-9"/>
          <w:sz w:val="15"/>
        </w:rPr>
        <w:t xml:space="preserve"> </w:t>
      </w:r>
      <w:r>
        <w:rPr>
          <w:spacing w:val="-2"/>
          <w:sz w:val="15"/>
        </w:rPr>
        <w:t>Generations,</w:t>
      </w:r>
      <w:r>
        <w:rPr>
          <w:spacing w:val="-8"/>
          <w:sz w:val="15"/>
        </w:rPr>
        <w:t xml:space="preserve"> </w:t>
      </w:r>
      <w:r>
        <w:rPr>
          <w:spacing w:val="-2"/>
          <w:sz w:val="15"/>
        </w:rPr>
        <w:t>Annual</w:t>
      </w:r>
      <w:r>
        <w:rPr>
          <w:spacing w:val="-8"/>
          <w:sz w:val="15"/>
        </w:rPr>
        <w:t xml:space="preserve"> </w:t>
      </w:r>
      <w:r>
        <w:rPr>
          <w:spacing w:val="-2"/>
          <w:sz w:val="15"/>
        </w:rPr>
        <w:t>Bedtime</w:t>
      </w:r>
      <w:r>
        <w:rPr>
          <w:spacing w:val="-9"/>
          <w:sz w:val="15"/>
        </w:rPr>
        <w:t xml:space="preserve"> </w:t>
      </w:r>
      <w:r>
        <w:rPr>
          <w:spacing w:val="-2"/>
          <w:sz w:val="15"/>
        </w:rPr>
        <w:t>Stories</w:t>
      </w:r>
      <w:r>
        <w:rPr>
          <w:sz w:val="15"/>
        </w:rPr>
        <w:t xml:space="preserve"> Week</w:t>
      </w:r>
      <w:r>
        <w:rPr>
          <w:spacing w:val="-4"/>
          <w:sz w:val="15"/>
        </w:rPr>
        <w:t xml:space="preserve"> </w:t>
      </w:r>
      <w:r>
        <w:rPr>
          <w:sz w:val="15"/>
        </w:rPr>
        <w:t>(Nov)</w:t>
      </w:r>
      <w:r>
        <w:rPr>
          <w:spacing w:val="-4"/>
          <w:sz w:val="15"/>
        </w:rPr>
        <w:t xml:space="preserve"> </w:t>
      </w:r>
      <w:r>
        <w:rPr>
          <w:sz w:val="15"/>
        </w:rPr>
        <w:t>on</w:t>
      </w:r>
      <w:r>
        <w:rPr>
          <w:spacing w:val="-4"/>
          <w:sz w:val="15"/>
        </w:rPr>
        <w:t xml:space="preserve"> </w:t>
      </w:r>
      <w:r>
        <w:rPr>
          <w:sz w:val="15"/>
        </w:rPr>
        <w:t>our</w:t>
      </w:r>
      <w:r>
        <w:rPr>
          <w:spacing w:val="-4"/>
          <w:sz w:val="15"/>
        </w:rPr>
        <w:t xml:space="preserve"> </w:t>
      </w:r>
      <w:r>
        <w:rPr>
          <w:sz w:val="15"/>
        </w:rPr>
        <w:t>Cultural</w:t>
      </w:r>
      <w:r>
        <w:rPr>
          <w:spacing w:val="-4"/>
          <w:sz w:val="15"/>
        </w:rPr>
        <w:t xml:space="preserve"> </w:t>
      </w:r>
      <w:r>
        <w:rPr>
          <w:sz w:val="15"/>
        </w:rPr>
        <w:t>Calendar</w:t>
      </w:r>
      <w:r>
        <w:rPr>
          <w:spacing w:val="-4"/>
          <w:sz w:val="15"/>
        </w:rPr>
        <w:t xml:space="preserve"> </w:t>
      </w:r>
      <w:r>
        <w:rPr>
          <w:sz w:val="15"/>
        </w:rPr>
        <w:t>for</w:t>
      </w:r>
      <w:r>
        <w:rPr>
          <w:spacing w:val="-4"/>
          <w:sz w:val="15"/>
        </w:rPr>
        <w:t xml:space="preserve"> </w:t>
      </w:r>
      <w:r>
        <w:rPr>
          <w:sz w:val="15"/>
        </w:rPr>
        <w:t>2023</w:t>
      </w:r>
    </w:p>
    <w:p w14:paraId="68AB2007" w14:textId="77777777" w:rsidR="00AC6F3C" w:rsidRDefault="00570E88">
      <w:pPr>
        <w:spacing w:before="42" w:line="259" w:lineRule="auto"/>
        <w:ind w:left="1954" w:right="451" w:hanging="454"/>
        <w:jc w:val="both"/>
        <w:rPr>
          <w:sz w:val="15"/>
        </w:rPr>
      </w:pPr>
      <w:r>
        <w:rPr>
          <w:spacing w:val="-2"/>
          <w:sz w:val="15"/>
        </w:rPr>
        <w:t>14.2.1</w:t>
      </w:r>
      <w:r>
        <w:rPr>
          <w:spacing w:val="-9"/>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The</w:t>
      </w:r>
      <w:r>
        <w:rPr>
          <w:spacing w:val="-8"/>
          <w:sz w:val="15"/>
        </w:rPr>
        <w:t xml:space="preserve"> </w:t>
      </w:r>
      <w:r>
        <w:rPr>
          <w:spacing w:val="-2"/>
          <w:sz w:val="15"/>
        </w:rPr>
        <w:t>calendar</w:t>
      </w:r>
      <w:r>
        <w:rPr>
          <w:spacing w:val="-9"/>
          <w:sz w:val="15"/>
        </w:rPr>
        <w:t xml:space="preserve"> </w:t>
      </w:r>
      <w:r>
        <w:rPr>
          <w:spacing w:val="-2"/>
          <w:sz w:val="15"/>
        </w:rPr>
        <w:t>has</w:t>
      </w:r>
      <w:r>
        <w:rPr>
          <w:spacing w:val="-8"/>
          <w:sz w:val="15"/>
        </w:rPr>
        <w:t xml:space="preserve"> </w:t>
      </w:r>
      <w:r>
        <w:rPr>
          <w:spacing w:val="-2"/>
          <w:sz w:val="15"/>
        </w:rPr>
        <w:t>been</w:t>
      </w:r>
      <w:r>
        <w:rPr>
          <w:spacing w:val="-8"/>
          <w:sz w:val="15"/>
        </w:rPr>
        <w:t xml:space="preserve"> </w:t>
      </w:r>
      <w:r>
        <w:rPr>
          <w:spacing w:val="-2"/>
          <w:sz w:val="15"/>
        </w:rPr>
        <w:t>published</w:t>
      </w:r>
      <w:r>
        <w:rPr>
          <w:spacing w:val="-9"/>
          <w:sz w:val="15"/>
        </w:rPr>
        <w:t xml:space="preserve"> </w:t>
      </w:r>
      <w:r>
        <w:rPr>
          <w:spacing w:val="-2"/>
          <w:sz w:val="15"/>
        </w:rPr>
        <w:t>on</w:t>
      </w:r>
      <w:r>
        <w:rPr>
          <w:sz w:val="15"/>
        </w:rPr>
        <w:t xml:space="preserve"> QLS</w:t>
      </w:r>
      <w:r>
        <w:rPr>
          <w:spacing w:val="-1"/>
          <w:sz w:val="15"/>
        </w:rPr>
        <w:t xml:space="preserve"> </w:t>
      </w:r>
      <w:r>
        <w:rPr>
          <w:sz w:val="15"/>
        </w:rPr>
        <w:t>Update,</w:t>
      </w:r>
      <w:r>
        <w:rPr>
          <w:spacing w:val="-1"/>
          <w:sz w:val="15"/>
        </w:rPr>
        <w:t xml:space="preserve"> </w:t>
      </w:r>
      <w:r>
        <w:rPr>
          <w:sz w:val="15"/>
        </w:rPr>
        <w:t>Proctor</w:t>
      </w:r>
      <w:r>
        <w:rPr>
          <w:spacing w:val="-1"/>
          <w:sz w:val="15"/>
        </w:rPr>
        <w:t xml:space="preserve"> </w:t>
      </w:r>
      <w:r>
        <w:rPr>
          <w:sz w:val="15"/>
        </w:rPr>
        <w:t>and</w:t>
      </w:r>
      <w:r>
        <w:rPr>
          <w:spacing w:val="-1"/>
          <w:sz w:val="15"/>
        </w:rPr>
        <w:t xml:space="preserve"> </w:t>
      </w:r>
      <w:r>
        <w:rPr>
          <w:sz w:val="15"/>
        </w:rPr>
        <w:t>the</w:t>
      </w:r>
      <w:r>
        <w:rPr>
          <w:spacing w:val="-1"/>
          <w:sz w:val="15"/>
        </w:rPr>
        <w:t xml:space="preserve"> </w:t>
      </w:r>
      <w:r>
        <w:rPr>
          <w:sz w:val="15"/>
        </w:rPr>
        <w:t>QLS</w:t>
      </w:r>
      <w:r>
        <w:rPr>
          <w:spacing w:val="-1"/>
          <w:sz w:val="15"/>
        </w:rPr>
        <w:t xml:space="preserve"> </w:t>
      </w:r>
      <w:r>
        <w:rPr>
          <w:sz w:val="15"/>
        </w:rPr>
        <w:t>website</w:t>
      </w:r>
    </w:p>
    <w:p w14:paraId="07F89D9D" w14:textId="77777777" w:rsidR="00AC6F3C" w:rsidRDefault="00AC6F3C">
      <w:pPr>
        <w:pStyle w:val="BodyText"/>
        <w:spacing w:before="3"/>
        <w:rPr>
          <w:sz w:val="13"/>
        </w:rPr>
      </w:pPr>
    </w:p>
    <w:p w14:paraId="67C3472E" w14:textId="77777777" w:rsidR="00AC6F3C" w:rsidRDefault="00570E88">
      <w:pPr>
        <w:tabs>
          <w:tab w:val="left" w:pos="1501"/>
        </w:tabs>
        <w:ind w:left="186"/>
        <w:rPr>
          <w:sz w:val="15"/>
        </w:rPr>
      </w:pPr>
      <w:r>
        <w:rPr>
          <w:b/>
          <w:spacing w:val="-2"/>
          <w:sz w:val="15"/>
        </w:rPr>
        <w:t>Deadly</w:t>
      </w:r>
      <w:r>
        <w:rPr>
          <w:b/>
          <w:sz w:val="15"/>
        </w:rPr>
        <w:tab/>
      </w:r>
      <w:r>
        <w:rPr>
          <w:spacing w:val="-4"/>
          <w:sz w:val="15"/>
        </w:rPr>
        <w:t>15.1.1</w:t>
      </w:r>
      <w:r>
        <w:rPr>
          <w:spacing w:val="47"/>
          <w:sz w:val="15"/>
        </w:rPr>
        <w:t xml:space="preserve"> </w:t>
      </w:r>
      <w:r>
        <w:rPr>
          <w:spacing w:val="-4"/>
          <w:sz w:val="15"/>
        </w:rPr>
        <w:t>ACHIEVED</w:t>
      </w:r>
      <w:r>
        <w:rPr>
          <w:spacing w:val="-6"/>
          <w:sz w:val="15"/>
        </w:rPr>
        <w:t xml:space="preserve"> </w:t>
      </w:r>
      <w:r>
        <w:rPr>
          <w:spacing w:val="-4"/>
          <w:sz w:val="15"/>
        </w:rPr>
        <w:t>–</w:t>
      </w:r>
      <w:r>
        <w:rPr>
          <w:spacing w:val="-6"/>
          <w:sz w:val="15"/>
        </w:rPr>
        <w:t xml:space="preserve"> </w:t>
      </w:r>
      <w:r>
        <w:rPr>
          <w:spacing w:val="-4"/>
          <w:sz w:val="15"/>
        </w:rPr>
        <w:t>Completed</w:t>
      </w:r>
      <w:r>
        <w:rPr>
          <w:spacing w:val="-6"/>
          <w:sz w:val="15"/>
        </w:rPr>
        <w:t xml:space="preserve"> </w:t>
      </w:r>
      <w:r>
        <w:rPr>
          <w:spacing w:val="-4"/>
          <w:sz w:val="15"/>
        </w:rPr>
        <w:t>and</w:t>
      </w:r>
      <w:r>
        <w:rPr>
          <w:spacing w:val="-6"/>
          <w:sz w:val="15"/>
        </w:rPr>
        <w:t xml:space="preserve"> </w:t>
      </w:r>
      <w:r>
        <w:rPr>
          <w:spacing w:val="-4"/>
          <w:sz w:val="15"/>
        </w:rPr>
        <w:t>approved</w:t>
      </w:r>
      <w:r>
        <w:rPr>
          <w:spacing w:val="-6"/>
          <w:sz w:val="15"/>
        </w:rPr>
        <w:t xml:space="preserve"> </w:t>
      </w:r>
      <w:r>
        <w:rPr>
          <w:spacing w:val="-4"/>
          <w:sz w:val="15"/>
        </w:rPr>
        <w:t>by</w:t>
      </w:r>
      <w:r>
        <w:rPr>
          <w:spacing w:val="-6"/>
          <w:sz w:val="15"/>
        </w:rPr>
        <w:t xml:space="preserve"> </w:t>
      </w:r>
      <w:r>
        <w:rPr>
          <w:spacing w:val="-4"/>
          <w:sz w:val="15"/>
        </w:rPr>
        <w:t>Council</w:t>
      </w:r>
      <w:r>
        <w:rPr>
          <w:spacing w:val="-6"/>
          <w:sz w:val="15"/>
        </w:rPr>
        <w:t xml:space="preserve"> </w:t>
      </w:r>
      <w:r>
        <w:rPr>
          <w:spacing w:val="-5"/>
          <w:sz w:val="15"/>
        </w:rPr>
        <w:t>in</w:t>
      </w:r>
    </w:p>
    <w:p w14:paraId="498EA3ED" w14:textId="77777777" w:rsidR="00AC6F3C" w:rsidRDefault="00570E88">
      <w:pPr>
        <w:spacing w:before="14"/>
        <w:ind w:left="1954"/>
        <w:rPr>
          <w:sz w:val="15"/>
        </w:rPr>
      </w:pPr>
      <w:r>
        <w:rPr>
          <w:spacing w:val="-2"/>
          <w:sz w:val="15"/>
        </w:rPr>
        <w:t>April</w:t>
      </w:r>
      <w:r>
        <w:rPr>
          <w:spacing w:val="-7"/>
          <w:sz w:val="15"/>
        </w:rPr>
        <w:t xml:space="preserve"> </w:t>
      </w:r>
      <w:r>
        <w:rPr>
          <w:spacing w:val="-4"/>
          <w:sz w:val="15"/>
        </w:rPr>
        <w:t>2023</w:t>
      </w:r>
    </w:p>
    <w:p w14:paraId="00338A60" w14:textId="77777777" w:rsidR="00AC6F3C" w:rsidRDefault="00570E88">
      <w:pPr>
        <w:spacing w:before="56" w:line="259" w:lineRule="auto"/>
        <w:ind w:left="1954" w:right="217" w:hanging="454"/>
        <w:rPr>
          <w:sz w:val="15"/>
        </w:rPr>
      </w:pPr>
      <w:r>
        <w:rPr>
          <w:spacing w:val="-2"/>
          <w:sz w:val="15"/>
        </w:rPr>
        <w:t>15.2.1</w:t>
      </w:r>
      <w:r>
        <w:rPr>
          <w:spacing w:val="-1"/>
          <w:sz w:val="15"/>
        </w:rPr>
        <w:t xml:space="preserve"> </w:t>
      </w:r>
      <w:r>
        <w:rPr>
          <w:spacing w:val="-2"/>
          <w:sz w:val="15"/>
        </w:rPr>
        <w:t>ACHIEVED</w:t>
      </w:r>
      <w:r>
        <w:rPr>
          <w:spacing w:val="-8"/>
          <w:sz w:val="15"/>
        </w:rPr>
        <w:t xml:space="preserve"> </w:t>
      </w:r>
      <w:r>
        <w:rPr>
          <w:spacing w:val="-2"/>
          <w:sz w:val="15"/>
        </w:rPr>
        <w:t>–</w:t>
      </w:r>
      <w:r>
        <w:rPr>
          <w:spacing w:val="-9"/>
          <w:sz w:val="15"/>
        </w:rPr>
        <w:t xml:space="preserve"> </w:t>
      </w:r>
      <w:r>
        <w:rPr>
          <w:spacing w:val="-2"/>
          <w:sz w:val="15"/>
        </w:rPr>
        <w:t>The</w:t>
      </w:r>
      <w:r>
        <w:rPr>
          <w:spacing w:val="-8"/>
          <w:sz w:val="15"/>
        </w:rPr>
        <w:t xml:space="preserve"> </w:t>
      </w:r>
      <w:r>
        <w:rPr>
          <w:spacing w:val="-2"/>
          <w:sz w:val="15"/>
        </w:rPr>
        <w:t>First</w:t>
      </w:r>
      <w:r>
        <w:rPr>
          <w:spacing w:val="-8"/>
          <w:sz w:val="15"/>
        </w:rPr>
        <w:t xml:space="preserve"> </w:t>
      </w:r>
      <w:r>
        <w:rPr>
          <w:spacing w:val="-2"/>
          <w:sz w:val="15"/>
        </w:rPr>
        <w:t>Nations</w:t>
      </w:r>
      <w:r>
        <w:rPr>
          <w:spacing w:val="-9"/>
          <w:sz w:val="15"/>
        </w:rPr>
        <w:t xml:space="preserve"> </w:t>
      </w:r>
      <w:r>
        <w:rPr>
          <w:spacing w:val="-2"/>
          <w:sz w:val="15"/>
        </w:rPr>
        <w:t>Consulting</w:t>
      </w:r>
      <w:r>
        <w:rPr>
          <w:spacing w:val="-8"/>
          <w:sz w:val="15"/>
        </w:rPr>
        <w:t xml:space="preserve"> </w:t>
      </w:r>
      <w:r>
        <w:rPr>
          <w:spacing w:val="-2"/>
          <w:sz w:val="15"/>
        </w:rPr>
        <w:t>Committee</w:t>
      </w:r>
      <w:r>
        <w:rPr>
          <w:sz w:val="15"/>
        </w:rPr>
        <w:t xml:space="preserve"> (FNCC)</w:t>
      </w:r>
      <w:r>
        <w:rPr>
          <w:spacing w:val="-5"/>
          <w:sz w:val="15"/>
        </w:rPr>
        <w:t xml:space="preserve"> </w:t>
      </w:r>
      <w:r>
        <w:rPr>
          <w:sz w:val="15"/>
        </w:rPr>
        <w:t>met</w:t>
      </w:r>
      <w:r>
        <w:rPr>
          <w:spacing w:val="-5"/>
          <w:sz w:val="15"/>
        </w:rPr>
        <w:t xml:space="preserve"> </w:t>
      </w:r>
      <w:r>
        <w:rPr>
          <w:sz w:val="15"/>
        </w:rPr>
        <w:t>five</w:t>
      </w:r>
      <w:r>
        <w:rPr>
          <w:spacing w:val="-5"/>
          <w:sz w:val="15"/>
        </w:rPr>
        <w:t xml:space="preserve"> </w:t>
      </w:r>
      <w:r>
        <w:rPr>
          <w:sz w:val="15"/>
        </w:rPr>
        <w:t>times</w:t>
      </w:r>
      <w:r>
        <w:rPr>
          <w:spacing w:val="-5"/>
          <w:sz w:val="15"/>
        </w:rPr>
        <w:t xml:space="preserve"> </w:t>
      </w:r>
      <w:r>
        <w:rPr>
          <w:sz w:val="15"/>
        </w:rPr>
        <w:t>and</w:t>
      </w:r>
      <w:r>
        <w:rPr>
          <w:spacing w:val="-5"/>
          <w:sz w:val="15"/>
        </w:rPr>
        <w:t xml:space="preserve"> </w:t>
      </w:r>
      <w:r>
        <w:rPr>
          <w:sz w:val="15"/>
        </w:rPr>
        <w:t>provides</w:t>
      </w:r>
      <w:r>
        <w:rPr>
          <w:spacing w:val="-5"/>
          <w:sz w:val="15"/>
        </w:rPr>
        <w:t xml:space="preserve"> </w:t>
      </w:r>
      <w:r>
        <w:rPr>
          <w:sz w:val="15"/>
        </w:rPr>
        <w:t>regular</w:t>
      </w:r>
      <w:r>
        <w:rPr>
          <w:spacing w:val="-5"/>
          <w:sz w:val="15"/>
        </w:rPr>
        <w:t xml:space="preserve"> </w:t>
      </w:r>
      <w:r>
        <w:rPr>
          <w:sz w:val="15"/>
        </w:rPr>
        <w:t>support and</w:t>
      </w:r>
      <w:r>
        <w:rPr>
          <w:spacing w:val="-4"/>
          <w:sz w:val="15"/>
        </w:rPr>
        <w:t xml:space="preserve"> </w:t>
      </w:r>
      <w:r>
        <w:rPr>
          <w:sz w:val="15"/>
        </w:rPr>
        <w:t>recommendations</w:t>
      </w:r>
      <w:r>
        <w:rPr>
          <w:spacing w:val="-4"/>
          <w:sz w:val="15"/>
        </w:rPr>
        <w:t xml:space="preserve"> </w:t>
      </w:r>
      <w:r>
        <w:rPr>
          <w:sz w:val="15"/>
        </w:rPr>
        <w:t>to</w:t>
      </w:r>
      <w:r>
        <w:rPr>
          <w:spacing w:val="-4"/>
          <w:sz w:val="15"/>
        </w:rPr>
        <w:t xml:space="preserve"> </w:t>
      </w:r>
      <w:r>
        <w:rPr>
          <w:sz w:val="15"/>
        </w:rPr>
        <w:t>the</w:t>
      </w:r>
      <w:r>
        <w:rPr>
          <w:spacing w:val="-4"/>
          <w:sz w:val="15"/>
        </w:rPr>
        <w:t xml:space="preserve"> </w:t>
      </w:r>
      <w:r>
        <w:rPr>
          <w:sz w:val="15"/>
        </w:rPr>
        <w:t>COS</w:t>
      </w:r>
      <w:r>
        <w:rPr>
          <w:spacing w:val="-4"/>
          <w:sz w:val="15"/>
        </w:rPr>
        <w:t xml:space="preserve"> </w:t>
      </w:r>
      <w:r>
        <w:rPr>
          <w:sz w:val="15"/>
        </w:rPr>
        <w:t>and</w:t>
      </w:r>
      <w:r>
        <w:rPr>
          <w:spacing w:val="-4"/>
          <w:sz w:val="15"/>
        </w:rPr>
        <w:t xml:space="preserve"> </w:t>
      </w:r>
      <w:r>
        <w:rPr>
          <w:sz w:val="15"/>
        </w:rPr>
        <w:t>First</w:t>
      </w:r>
      <w:r>
        <w:rPr>
          <w:spacing w:val="-4"/>
          <w:sz w:val="15"/>
        </w:rPr>
        <w:t xml:space="preserve"> </w:t>
      </w:r>
      <w:r>
        <w:rPr>
          <w:sz w:val="15"/>
        </w:rPr>
        <w:t>Nations Plan</w:t>
      </w:r>
      <w:r>
        <w:rPr>
          <w:spacing w:val="-11"/>
          <w:sz w:val="15"/>
        </w:rPr>
        <w:t xml:space="preserve"> </w:t>
      </w:r>
      <w:r>
        <w:rPr>
          <w:sz w:val="15"/>
        </w:rPr>
        <w:t>initiatives</w:t>
      </w:r>
    </w:p>
    <w:p w14:paraId="54503F18" w14:textId="77777777" w:rsidR="00AC6F3C" w:rsidRDefault="00570E88">
      <w:pPr>
        <w:spacing w:before="41" w:line="259" w:lineRule="auto"/>
        <w:ind w:left="1954" w:right="225" w:hanging="454"/>
        <w:rPr>
          <w:sz w:val="15"/>
        </w:rPr>
      </w:pPr>
      <w:r>
        <w:rPr>
          <w:sz w:val="15"/>
        </w:rPr>
        <w:t>15.3.1</w:t>
      </w:r>
      <w:r>
        <w:rPr>
          <w:spacing w:val="26"/>
          <w:sz w:val="15"/>
        </w:rPr>
        <w:t xml:space="preserve"> </w:t>
      </w:r>
      <w:r>
        <w:rPr>
          <w:sz w:val="15"/>
        </w:rPr>
        <w:t>ACHIEVED</w:t>
      </w:r>
      <w:r>
        <w:rPr>
          <w:spacing w:val="-6"/>
          <w:sz w:val="15"/>
        </w:rPr>
        <w:t xml:space="preserve"> </w:t>
      </w:r>
      <w:r>
        <w:rPr>
          <w:sz w:val="15"/>
        </w:rPr>
        <w:t>–</w:t>
      </w:r>
      <w:r>
        <w:rPr>
          <w:spacing w:val="-6"/>
          <w:sz w:val="15"/>
        </w:rPr>
        <w:t xml:space="preserve"> </w:t>
      </w:r>
      <w:r>
        <w:rPr>
          <w:sz w:val="15"/>
        </w:rPr>
        <w:t>The</w:t>
      </w:r>
      <w:r>
        <w:rPr>
          <w:spacing w:val="-6"/>
          <w:sz w:val="15"/>
        </w:rPr>
        <w:t xml:space="preserve"> </w:t>
      </w:r>
      <w:r>
        <w:rPr>
          <w:sz w:val="15"/>
        </w:rPr>
        <w:t>Cultural</w:t>
      </w:r>
      <w:r>
        <w:rPr>
          <w:spacing w:val="-6"/>
          <w:sz w:val="15"/>
        </w:rPr>
        <w:t xml:space="preserve"> </w:t>
      </w:r>
      <w:r>
        <w:rPr>
          <w:sz w:val="15"/>
        </w:rPr>
        <w:t>Champions</w:t>
      </w:r>
      <w:r>
        <w:rPr>
          <w:spacing w:val="-6"/>
          <w:sz w:val="15"/>
        </w:rPr>
        <w:t xml:space="preserve"> </w:t>
      </w:r>
      <w:r>
        <w:rPr>
          <w:sz w:val="15"/>
        </w:rPr>
        <w:t xml:space="preserve">and </w:t>
      </w:r>
      <w:r>
        <w:rPr>
          <w:spacing w:val="-4"/>
          <w:sz w:val="15"/>
        </w:rPr>
        <w:t>Stakeholders Committee (CCS) has met 6 times this</w:t>
      </w:r>
      <w:r>
        <w:rPr>
          <w:sz w:val="15"/>
        </w:rPr>
        <w:t xml:space="preserve"> financial</w:t>
      </w:r>
      <w:r>
        <w:rPr>
          <w:spacing w:val="-11"/>
          <w:sz w:val="15"/>
        </w:rPr>
        <w:t xml:space="preserve"> </w:t>
      </w:r>
      <w:r>
        <w:rPr>
          <w:sz w:val="15"/>
        </w:rPr>
        <w:t>year</w:t>
      </w:r>
    </w:p>
    <w:p w14:paraId="25915ABB" w14:textId="77777777" w:rsidR="00AC6F3C" w:rsidRDefault="00AC6F3C">
      <w:pPr>
        <w:spacing w:line="259" w:lineRule="auto"/>
        <w:rPr>
          <w:sz w:val="15"/>
        </w:rPr>
        <w:sectPr w:rsidR="00AC6F3C">
          <w:type w:val="continuous"/>
          <w:pgSz w:w="11910" w:h="16840"/>
          <w:pgMar w:top="1920" w:right="1160" w:bottom="280" w:left="460" w:header="0" w:footer="336" w:gutter="0"/>
          <w:cols w:num="2" w:space="720" w:equalWidth="0">
            <w:col w:w="4610" w:space="40"/>
            <w:col w:w="5640"/>
          </w:cols>
        </w:sectPr>
      </w:pPr>
    </w:p>
    <w:p w14:paraId="54528615" w14:textId="77777777" w:rsidR="00AC6F3C" w:rsidRDefault="00AC6F3C">
      <w:pPr>
        <w:pStyle w:val="BodyText"/>
        <w:spacing w:before="7"/>
        <w:rPr>
          <w:sz w:val="5"/>
        </w:rPr>
      </w:pPr>
    </w:p>
    <w:p w14:paraId="7CEEBEC6"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2D3DA109" wp14:editId="3057B2CF">
                <wp:extent cx="5940425" cy="3175"/>
                <wp:effectExtent l="9525" t="0" r="0" b="635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488" name="Graphic 488"/>
                        <wps:cNvSpPr/>
                        <wps:spPr>
                          <a:xfrm>
                            <a:off x="0" y="1587"/>
                            <a:ext cx="837565" cy="1270"/>
                          </a:xfrm>
                          <a:custGeom>
                            <a:avLst/>
                            <a:gdLst/>
                            <a:ahLst/>
                            <a:cxnLst/>
                            <a:rect l="l" t="t" r="r" b="b"/>
                            <a:pathLst>
                              <a:path w="837565">
                                <a:moveTo>
                                  <a:pt x="0" y="0"/>
                                </a:moveTo>
                                <a:lnTo>
                                  <a:pt x="837006" y="0"/>
                                </a:lnTo>
                              </a:path>
                            </a:pathLst>
                          </a:custGeom>
                          <a:ln w="3175">
                            <a:solidFill>
                              <a:srgbClr val="000000"/>
                            </a:solidFill>
                            <a:prstDash val="solid"/>
                          </a:ln>
                        </wps:spPr>
                        <wps:bodyPr wrap="square" lIns="0" tIns="0" rIns="0" bIns="0" rtlCol="0">
                          <a:prstTxWarp prst="textNoShape">
                            <a:avLst/>
                          </a:prstTxWarp>
                          <a:noAutofit/>
                        </wps:bodyPr>
                      </wps:wsp>
                      <wps:wsp>
                        <wps:cNvPr id="489" name="Graphic 489"/>
                        <wps:cNvSpPr/>
                        <wps:spPr>
                          <a:xfrm>
                            <a:off x="836999" y="1587"/>
                            <a:ext cx="1644014" cy="1270"/>
                          </a:xfrm>
                          <a:custGeom>
                            <a:avLst/>
                            <a:gdLst/>
                            <a:ahLst/>
                            <a:cxnLst/>
                            <a:rect l="l" t="t" r="r" b="b"/>
                            <a:pathLst>
                              <a:path w="1644014">
                                <a:moveTo>
                                  <a:pt x="0" y="0"/>
                                </a:moveTo>
                                <a:lnTo>
                                  <a:pt x="1644002" y="0"/>
                                </a:lnTo>
                              </a:path>
                            </a:pathLst>
                          </a:custGeom>
                          <a:ln w="3175">
                            <a:solidFill>
                              <a:srgbClr val="000000"/>
                            </a:solidFill>
                            <a:prstDash val="solid"/>
                          </a:ln>
                        </wps:spPr>
                        <wps:bodyPr wrap="square" lIns="0" tIns="0" rIns="0" bIns="0" rtlCol="0">
                          <a:prstTxWarp prst="textNoShape">
                            <a:avLst/>
                          </a:prstTxWarp>
                          <a:noAutofit/>
                        </wps:bodyPr>
                      </wps:wsp>
                      <wps:wsp>
                        <wps:cNvPr id="490" name="Graphic 490"/>
                        <wps:cNvSpPr/>
                        <wps:spPr>
                          <a:xfrm>
                            <a:off x="2481000" y="1587"/>
                            <a:ext cx="835025" cy="1270"/>
                          </a:xfrm>
                          <a:custGeom>
                            <a:avLst/>
                            <a:gdLst/>
                            <a:ahLst/>
                            <a:cxnLst/>
                            <a:rect l="l" t="t" r="r" b="b"/>
                            <a:pathLst>
                              <a:path w="835025">
                                <a:moveTo>
                                  <a:pt x="0" y="0"/>
                                </a:moveTo>
                                <a:lnTo>
                                  <a:pt x="834605" y="0"/>
                                </a:lnTo>
                              </a:path>
                            </a:pathLst>
                          </a:custGeom>
                          <a:ln w="3175">
                            <a:solidFill>
                              <a:srgbClr val="000000"/>
                            </a:solidFill>
                            <a:prstDash val="solid"/>
                          </a:ln>
                        </wps:spPr>
                        <wps:bodyPr wrap="square" lIns="0" tIns="0" rIns="0" bIns="0" rtlCol="0">
                          <a:prstTxWarp prst="textNoShape">
                            <a:avLst/>
                          </a:prstTxWarp>
                          <a:noAutofit/>
                        </wps:bodyPr>
                      </wps:wsp>
                      <wps:wsp>
                        <wps:cNvPr id="491" name="Graphic 491"/>
                        <wps:cNvSpPr/>
                        <wps:spPr>
                          <a:xfrm>
                            <a:off x="3315600" y="1587"/>
                            <a:ext cx="2624455" cy="1270"/>
                          </a:xfrm>
                          <a:custGeom>
                            <a:avLst/>
                            <a:gdLst/>
                            <a:ahLst/>
                            <a:cxnLst/>
                            <a:rect l="l" t="t" r="r" b="b"/>
                            <a:pathLst>
                              <a:path w="2624455">
                                <a:moveTo>
                                  <a:pt x="0" y="0"/>
                                </a:moveTo>
                                <a:lnTo>
                                  <a:pt x="262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CCA1B4" id="Group 487"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">
                <v:shape id="Graphic 488" o:spid="_x0000_s1027" style="position:absolute;top:15;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" path="m,l837006,e" filled="f" strokeweight=".25pt">
                  <v:path arrowok="t"/>
                </v:shape>
                <v:shape id="Graphic 489" o:spid="_x0000_s1028" style="position:absolute;left:8369;top:15;width:16441;height:13;visibility:visible;mso-wrap-style:square;v-text-anchor:top" coordsize="1644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" path="m,l1644002,e" filled="f" strokeweight=".25pt">
                  <v:path arrowok="t"/>
                </v:shape>
                <v:shape id="Graphic 490" o:spid="_x0000_s1029" style="position:absolute;left:24810;top:15;width:8350;height:13;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" path="m,l834605,e" filled="f" strokeweight=".25pt">
                  <v:path arrowok="t"/>
                </v:shape>
                <v:shape id="Graphic 491" o:spid="_x0000_s1030" style="position:absolute;left:33156;top:15;width:26244;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" path="m,l2624404,e" filled="f" strokeweight=".25pt">
                  <v:path arrowok="t"/>
                </v:shape>
                <w10:anchorlock/>
              </v:group>
            </w:pict>
          </mc:Fallback>
        </mc:AlternateContent>
      </w:r>
    </w:p>
    <w:p w14:paraId="6E19A864" w14:textId="77777777" w:rsidR="00AC6F3C" w:rsidRDefault="00AC6F3C">
      <w:pPr>
        <w:pStyle w:val="BodyText"/>
      </w:pPr>
    </w:p>
    <w:p w14:paraId="695DE4E9" w14:textId="77777777" w:rsidR="00AC6F3C" w:rsidRDefault="00AC6F3C">
      <w:pPr>
        <w:sectPr w:rsidR="00AC6F3C">
          <w:type w:val="continuous"/>
          <w:pgSz w:w="11910" w:h="16840"/>
          <w:pgMar w:top="1920" w:right="1160" w:bottom="280" w:left="460" w:header="0" w:footer="336" w:gutter="0"/>
          <w:cols w:space="720"/>
        </w:sectPr>
      </w:pPr>
    </w:p>
    <w:p w14:paraId="52239DBA" w14:textId="77777777" w:rsidR="00AC6F3C" w:rsidRDefault="00AC6F3C">
      <w:pPr>
        <w:pStyle w:val="BodyText"/>
        <w:spacing w:before="8"/>
        <w:rPr>
          <w:sz w:val="12"/>
        </w:rPr>
      </w:pPr>
    </w:p>
    <w:p w14:paraId="3B66D5AB" w14:textId="77777777" w:rsidR="00AC6F3C" w:rsidRDefault="00570E88">
      <w:pPr>
        <w:pStyle w:val="BodyText"/>
        <w:spacing w:line="20" w:lineRule="exact"/>
        <w:ind w:left="815" w:right="-288"/>
        <w:rPr>
          <w:sz w:val="2"/>
        </w:rPr>
      </w:pPr>
      <w:r>
        <w:rPr>
          <w:noProof/>
          <w:sz w:val="2"/>
        </w:rPr>
        <mc:AlternateContent>
          <mc:Choice Requires="wpg">
            <w:drawing>
              <wp:inline distT="0" distB="0" distL="0" distR="0" wp14:anchorId="2F736F30" wp14:editId="7A7D62EB">
                <wp:extent cx="2169160" cy="12700"/>
                <wp:effectExtent l="9525" t="0" r="2539" b="635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160" cy="12700"/>
                          <a:chOff x="0" y="0"/>
                          <a:chExt cx="2169160" cy="12700"/>
                        </a:xfrm>
                      </wpg:grpSpPr>
                      <wps:wsp>
                        <wps:cNvPr id="493" name="Graphic 493"/>
                        <wps:cNvSpPr/>
                        <wps:spPr>
                          <a:xfrm>
                            <a:off x="0" y="6350"/>
                            <a:ext cx="2169160" cy="1270"/>
                          </a:xfrm>
                          <a:custGeom>
                            <a:avLst/>
                            <a:gdLst/>
                            <a:ahLst/>
                            <a:cxnLst/>
                            <a:rect l="l" t="t" r="r" b="b"/>
                            <a:pathLst>
                              <a:path w="2169160">
                                <a:moveTo>
                                  <a:pt x="0" y="0"/>
                                </a:moveTo>
                                <a:lnTo>
                                  <a:pt x="216899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FBBDEA" id="Group 492" o:spid="_x0000_s1026" style="width:170.8pt;height:1pt;mso-position-horizontal-relative:char;mso-position-vertical-relative:line" coordsize="216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">
                <v:shape id="Graphic 493" o:spid="_x0000_s1027" style="position:absolute;top:63;width:21691;height:13;visibility:visible;mso-wrap-style:square;v-text-anchor:top" coordsize="2169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" path="m,l2168994,e" filled="f" strokeweight="1pt">
                  <v:path arrowok="t"/>
                </v:shape>
                <w10:anchorlock/>
              </v:group>
            </w:pict>
          </mc:Fallback>
        </mc:AlternateContent>
      </w:r>
    </w:p>
    <w:p w14:paraId="731FC694" w14:textId="77777777" w:rsidR="00AC6F3C" w:rsidRDefault="00570E88">
      <w:pPr>
        <w:spacing w:before="23"/>
        <w:ind w:left="900"/>
        <w:rPr>
          <w:b/>
          <w:sz w:val="20"/>
        </w:rPr>
      </w:pPr>
      <w:r>
        <w:rPr>
          <w:b/>
          <w:spacing w:val="-5"/>
          <w:sz w:val="20"/>
        </w:rPr>
        <w:t>Key</w:t>
      </w:r>
    </w:p>
    <w:p w14:paraId="25120438" w14:textId="77777777" w:rsidR="00AC6F3C" w:rsidRDefault="00AC6F3C">
      <w:pPr>
        <w:pStyle w:val="BodyText"/>
        <w:spacing w:before="8"/>
        <w:rPr>
          <w:b/>
          <w:sz w:val="3"/>
        </w:rPr>
      </w:pPr>
    </w:p>
    <w:p w14:paraId="3F3893EA" w14:textId="77777777" w:rsidR="00AC6F3C" w:rsidRDefault="00570E88">
      <w:pPr>
        <w:pStyle w:val="BodyText"/>
        <w:spacing w:line="20" w:lineRule="exact"/>
        <w:ind w:left="815" w:right="-288"/>
        <w:rPr>
          <w:sz w:val="2"/>
        </w:rPr>
      </w:pPr>
      <w:r>
        <w:rPr>
          <w:noProof/>
          <w:sz w:val="2"/>
        </w:rPr>
        <mc:AlternateContent>
          <mc:Choice Requires="wpg">
            <w:drawing>
              <wp:inline distT="0" distB="0" distL="0" distR="0" wp14:anchorId="3748D373" wp14:editId="7FE4A2D6">
                <wp:extent cx="2169160" cy="12700"/>
                <wp:effectExtent l="9525" t="0" r="2539" b="635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160" cy="12700"/>
                          <a:chOff x="0" y="0"/>
                          <a:chExt cx="2169160" cy="12700"/>
                        </a:xfrm>
                      </wpg:grpSpPr>
                      <wps:wsp>
                        <wps:cNvPr id="495" name="Graphic 495"/>
                        <wps:cNvSpPr/>
                        <wps:spPr>
                          <a:xfrm>
                            <a:off x="0" y="6350"/>
                            <a:ext cx="2169160" cy="1270"/>
                          </a:xfrm>
                          <a:custGeom>
                            <a:avLst/>
                            <a:gdLst/>
                            <a:ahLst/>
                            <a:cxnLst/>
                            <a:rect l="l" t="t" r="r" b="b"/>
                            <a:pathLst>
                              <a:path w="2169160">
                                <a:moveTo>
                                  <a:pt x="0" y="0"/>
                                </a:moveTo>
                                <a:lnTo>
                                  <a:pt x="216899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657C62" id="Group 494" o:spid="_x0000_s1026" style="width:170.8pt;height:1pt;mso-position-horizontal-relative:char;mso-position-vertical-relative:line" coordsize="216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">
                <v:shape id="Graphic 495" o:spid="_x0000_s1027" style="position:absolute;top:63;width:21691;height:13;visibility:visible;mso-wrap-style:square;v-text-anchor:top" coordsize="2169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" path="m,l2168994,e" filled="f" strokeweight="1pt">
                  <v:path arrowok="t"/>
                </v:shape>
                <w10:anchorlock/>
              </v:group>
            </w:pict>
          </mc:Fallback>
        </mc:AlternateContent>
      </w:r>
    </w:p>
    <w:p w14:paraId="788F3AFE" w14:textId="77777777" w:rsidR="00AC6F3C" w:rsidRDefault="00570E88">
      <w:pPr>
        <w:pStyle w:val="BodyText"/>
        <w:spacing w:before="30" w:line="328" w:lineRule="auto"/>
        <w:ind w:left="900" w:right="122"/>
      </w:pPr>
      <w:r>
        <w:rPr>
          <w:noProof/>
        </w:rPr>
        <mc:AlternateContent>
          <mc:Choice Requires="wps">
            <w:drawing>
              <wp:anchor distT="0" distB="0" distL="0" distR="0" simplePos="0" relativeHeight="15782912" behindDoc="0" locked="0" layoutInCell="1" allowOverlap="1" wp14:anchorId="0147F790" wp14:editId="40F100B1">
                <wp:simplePos x="0" y="0"/>
                <wp:positionH relativeFrom="page">
                  <wp:posOffset>809999</wp:posOffset>
                </wp:positionH>
                <wp:positionV relativeFrom="paragraph">
                  <wp:posOffset>192163</wp:posOffset>
                </wp:positionV>
                <wp:extent cx="2169160" cy="127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1270"/>
                        </a:xfrm>
                        <a:custGeom>
                          <a:avLst/>
                          <a:gdLst/>
                          <a:ahLst/>
                          <a:cxnLst/>
                          <a:rect l="l" t="t" r="r" b="b"/>
                          <a:pathLst>
                            <a:path w="2169160">
                              <a:moveTo>
                                <a:pt x="0" y="0"/>
                              </a:moveTo>
                              <a:lnTo>
                                <a:pt x="2168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CE6AC" id="Graphic 496" o:spid="_x0000_s1026" style="position:absolute;margin-left:63.8pt;margin-top:15.15pt;width:170.8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216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" path="m,l2168994,e" filled="f" strokeweight=".25pt">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78B454AC" wp14:editId="39215600">
                <wp:simplePos x="0" y="0"/>
                <wp:positionH relativeFrom="page">
                  <wp:posOffset>809999</wp:posOffset>
                </wp:positionH>
                <wp:positionV relativeFrom="paragraph">
                  <wp:posOffset>392622</wp:posOffset>
                </wp:positionV>
                <wp:extent cx="2169160" cy="12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1270"/>
                        </a:xfrm>
                        <a:custGeom>
                          <a:avLst/>
                          <a:gdLst/>
                          <a:ahLst/>
                          <a:cxnLst/>
                          <a:rect l="l" t="t" r="r" b="b"/>
                          <a:pathLst>
                            <a:path w="2169160">
                              <a:moveTo>
                                <a:pt x="0" y="0"/>
                              </a:moveTo>
                              <a:lnTo>
                                <a:pt x="2168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15D6E" id="Graphic 497" o:spid="_x0000_s1026" style="position:absolute;margin-left:63.8pt;margin-top:30.9pt;width:170.8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216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" path="m,l2168994,e" filled="f" strokeweight=".25pt">
                <v:path arrowok="t"/>
                <w10:wrap anchorx="page"/>
              </v:shape>
            </w:pict>
          </mc:Fallback>
        </mc:AlternateContent>
      </w:r>
      <w:r>
        <w:t>Proper</w:t>
      </w:r>
      <w:r>
        <w:rPr>
          <w:spacing w:val="-14"/>
        </w:rPr>
        <w:t xml:space="preserve"> </w:t>
      </w:r>
      <w:r>
        <w:t>Deadly</w:t>
      </w:r>
      <w:r>
        <w:rPr>
          <w:spacing w:val="-14"/>
        </w:rPr>
        <w:t xml:space="preserve"> </w:t>
      </w:r>
      <w:r>
        <w:t>(Exceeded</w:t>
      </w:r>
      <w:r>
        <w:rPr>
          <w:spacing w:val="-14"/>
        </w:rPr>
        <w:t xml:space="preserve"> </w:t>
      </w:r>
      <w:r>
        <w:t>Target) Deadly (Target Achieved)</w:t>
      </w:r>
    </w:p>
    <w:p w14:paraId="29D70AF3" w14:textId="77777777" w:rsidR="00AC6F3C" w:rsidRDefault="00570E88">
      <w:pPr>
        <w:pStyle w:val="BodyText"/>
        <w:spacing w:before="2" w:line="328" w:lineRule="auto"/>
        <w:ind w:left="900"/>
      </w:pPr>
      <w:r>
        <w:rPr>
          <w:noProof/>
        </w:rPr>
        <mc:AlternateContent>
          <mc:Choice Requires="wps">
            <w:drawing>
              <wp:anchor distT="0" distB="0" distL="0" distR="0" simplePos="0" relativeHeight="15783936" behindDoc="0" locked="0" layoutInCell="1" allowOverlap="1" wp14:anchorId="4EED203B" wp14:editId="79FA564A">
                <wp:simplePos x="0" y="0"/>
                <wp:positionH relativeFrom="page">
                  <wp:posOffset>809999</wp:posOffset>
                </wp:positionH>
                <wp:positionV relativeFrom="paragraph">
                  <wp:posOffset>174490</wp:posOffset>
                </wp:positionV>
                <wp:extent cx="2169160" cy="127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1270"/>
                        </a:xfrm>
                        <a:custGeom>
                          <a:avLst/>
                          <a:gdLst/>
                          <a:ahLst/>
                          <a:cxnLst/>
                          <a:rect l="l" t="t" r="r" b="b"/>
                          <a:pathLst>
                            <a:path w="2169160">
                              <a:moveTo>
                                <a:pt x="0" y="0"/>
                              </a:moveTo>
                              <a:lnTo>
                                <a:pt x="2168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6AC694" id="Graphic 498" o:spid="_x0000_s1026" style="position:absolute;margin-left:63.8pt;margin-top:13.75pt;width:170.8pt;height:.1pt;z-index:15783936;visibility:visible;mso-wrap-style:square;mso-wrap-distance-left:0;mso-wrap-distance-top:0;mso-wrap-distance-right:0;mso-wrap-distance-bottom:0;mso-position-horizontal:absolute;mso-position-horizontal-relative:page;mso-position-vertical:absolute;mso-position-vertical-relative:text;v-text-anchor:top" coordsize="216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" path="m,l2168994,e" filled="f" strokeweight=".25pt">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13CD5371" wp14:editId="4706C196">
                <wp:simplePos x="0" y="0"/>
                <wp:positionH relativeFrom="page">
                  <wp:posOffset>809999</wp:posOffset>
                </wp:positionH>
                <wp:positionV relativeFrom="paragraph">
                  <wp:posOffset>374949</wp:posOffset>
                </wp:positionV>
                <wp:extent cx="2169160"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1270"/>
                        </a:xfrm>
                        <a:custGeom>
                          <a:avLst/>
                          <a:gdLst/>
                          <a:ahLst/>
                          <a:cxnLst/>
                          <a:rect l="l" t="t" r="r" b="b"/>
                          <a:pathLst>
                            <a:path w="2169160">
                              <a:moveTo>
                                <a:pt x="0" y="0"/>
                              </a:moveTo>
                              <a:lnTo>
                                <a:pt x="2168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73A39C" id="Graphic 499" o:spid="_x0000_s1026" style="position:absolute;margin-left:63.8pt;margin-top:29.5pt;width:170.8pt;height:.1pt;z-index:15784448;visibility:visible;mso-wrap-style:square;mso-wrap-distance-left:0;mso-wrap-distance-top:0;mso-wrap-distance-right:0;mso-wrap-distance-bottom:0;mso-position-horizontal:absolute;mso-position-horizontal-relative:page;mso-position-vertical:absolute;mso-position-vertical-relative:text;v-text-anchor:top" coordsize="216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" path="m,l2168994,e" filled="f" strokeweight=".25pt">
                <v:path arrowok="t"/>
                <w10:wrap anchorx="page"/>
              </v:shape>
            </w:pict>
          </mc:Fallback>
        </mc:AlternateContent>
      </w:r>
      <w:r>
        <w:t>On the way to deadly (On track) Which</w:t>
      </w:r>
      <w:r>
        <w:rPr>
          <w:spacing w:val="-14"/>
        </w:rPr>
        <w:t xml:space="preserve"> </w:t>
      </w:r>
      <w:r>
        <w:t>Way?</w:t>
      </w:r>
      <w:r>
        <w:rPr>
          <w:spacing w:val="-14"/>
        </w:rPr>
        <w:t xml:space="preserve"> </w:t>
      </w:r>
      <w:r>
        <w:t>(Target</w:t>
      </w:r>
      <w:r>
        <w:rPr>
          <w:spacing w:val="-14"/>
        </w:rPr>
        <w:t xml:space="preserve"> </w:t>
      </w:r>
      <w:r>
        <w:t>not</w:t>
      </w:r>
      <w:r>
        <w:rPr>
          <w:spacing w:val="-14"/>
        </w:rPr>
        <w:t xml:space="preserve"> </w:t>
      </w:r>
      <w:r>
        <w:t>achieved)</w:t>
      </w:r>
    </w:p>
    <w:p w14:paraId="39CBDCAD" w14:textId="77777777" w:rsidR="00AC6F3C" w:rsidRDefault="00570E88">
      <w:pPr>
        <w:spacing w:before="94"/>
        <w:ind w:left="900"/>
        <w:rPr>
          <w:b/>
          <w:sz w:val="20"/>
        </w:rPr>
      </w:pPr>
      <w:r>
        <w:br w:type="column"/>
      </w:r>
      <w:r>
        <w:rPr>
          <w:b/>
          <w:spacing w:val="-4"/>
          <w:sz w:val="20"/>
        </w:rPr>
        <w:t>KPIs</w:t>
      </w:r>
    </w:p>
    <w:p w14:paraId="5CDDAEDD" w14:textId="77777777" w:rsidR="00AC6F3C" w:rsidRDefault="00570E88">
      <w:pPr>
        <w:pStyle w:val="ListParagraph"/>
        <w:numPr>
          <w:ilvl w:val="3"/>
          <w:numId w:val="39"/>
        </w:numPr>
        <w:tabs>
          <w:tab w:val="left" w:pos="1239"/>
        </w:tabs>
        <w:ind w:left="1239" w:hanging="339"/>
        <w:rPr>
          <w:sz w:val="20"/>
        </w:rPr>
      </w:pPr>
      <w:r>
        <w:rPr>
          <w:sz w:val="20"/>
        </w:rPr>
        <w:t>We</w:t>
      </w:r>
      <w:r>
        <w:rPr>
          <w:spacing w:val="-13"/>
          <w:sz w:val="20"/>
        </w:rPr>
        <w:t xml:space="preserve"> </w:t>
      </w:r>
      <w:r>
        <w:rPr>
          <w:sz w:val="20"/>
        </w:rPr>
        <w:t>are</w:t>
      </w:r>
      <w:r>
        <w:rPr>
          <w:spacing w:val="-13"/>
          <w:sz w:val="20"/>
        </w:rPr>
        <w:t xml:space="preserve"> </w:t>
      </w:r>
      <w:r>
        <w:rPr>
          <w:sz w:val="20"/>
        </w:rPr>
        <w:t>listened</w:t>
      </w:r>
      <w:r>
        <w:rPr>
          <w:spacing w:val="-13"/>
          <w:sz w:val="20"/>
        </w:rPr>
        <w:t xml:space="preserve"> </w:t>
      </w:r>
      <w:r>
        <w:rPr>
          <w:sz w:val="20"/>
        </w:rPr>
        <w:t>to</w:t>
      </w:r>
      <w:r>
        <w:rPr>
          <w:spacing w:val="-13"/>
          <w:sz w:val="20"/>
        </w:rPr>
        <w:t xml:space="preserve"> </w:t>
      </w:r>
      <w:r>
        <w:rPr>
          <w:sz w:val="20"/>
        </w:rPr>
        <w:t>by</w:t>
      </w:r>
      <w:r>
        <w:rPr>
          <w:spacing w:val="-13"/>
          <w:sz w:val="20"/>
        </w:rPr>
        <w:t xml:space="preserve"> </w:t>
      </w:r>
      <w:r>
        <w:rPr>
          <w:sz w:val="20"/>
        </w:rPr>
        <w:t>government</w:t>
      </w:r>
      <w:r>
        <w:rPr>
          <w:spacing w:val="-13"/>
          <w:sz w:val="20"/>
        </w:rPr>
        <w:t xml:space="preserve"> </w:t>
      </w:r>
      <w:r>
        <w:rPr>
          <w:sz w:val="20"/>
        </w:rPr>
        <w:t>and</w:t>
      </w:r>
      <w:r>
        <w:rPr>
          <w:spacing w:val="-12"/>
          <w:sz w:val="20"/>
        </w:rPr>
        <w:t xml:space="preserve"> </w:t>
      </w:r>
      <w:r>
        <w:rPr>
          <w:spacing w:val="-2"/>
          <w:sz w:val="20"/>
        </w:rPr>
        <w:t>members</w:t>
      </w:r>
    </w:p>
    <w:p w14:paraId="3F8A4235" w14:textId="77777777" w:rsidR="00AC6F3C" w:rsidRDefault="00570E88">
      <w:pPr>
        <w:pStyle w:val="BodyText"/>
        <w:spacing w:before="10"/>
        <w:ind w:left="1240"/>
      </w:pPr>
      <w:r>
        <w:t>of</w:t>
      </w:r>
      <w:r>
        <w:rPr>
          <w:spacing w:val="-6"/>
        </w:rPr>
        <w:t xml:space="preserve"> </w:t>
      </w:r>
      <w:r>
        <w:rPr>
          <w:spacing w:val="-2"/>
        </w:rPr>
        <w:t>parliament.</w:t>
      </w:r>
    </w:p>
    <w:p w14:paraId="361AB0A3" w14:textId="77777777" w:rsidR="00AC6F3C" w:rsidRDefault="00570E88">
      <w:pPr>
        <w:pStyle w:val="ListParagraph"/>
        <w:numPr>
          <w:ilvl w:val="3"/>
          <w:numId w:val="39"/>
        </w:numPr>
        <w:tabs>
          <w:tab w:val="left" w:pos="1238"/>
          <w:tab w:val="left" w:pos="1240"/>
        </w:tabs>
        <w:spacing w:line="249" w:lineRule="auto"/>
        <w:ind w:right="189"/>
        <w:rPr>
          <w:sz w:val="20"/>
        </w:rPr>
      </w:pPr>
      <w:r>
        <w:rPr>
          <w:sz w:val="20"/>
        </w:rPr>
        <w:t xml:space="preserve">There is increased engagement by the legal </w:t>
      </w:r>
      <w:r>
        <w:rPr>
          <w:spacing w:val="-2"/>
          <w:sz w:val="20"/>
        </w:rPr>
        <w:t>profession</w:t>
      </w:r>
      <w:r>
        <w:rPr>
          <w:spacing w:val="-9"/>
          <w:sz w:val="20"/>
        </w:rPr>
        <w:t xml:space="preserve"> </w:t>
      </w:r>
      <w:r>
        <w:rPr>
          <w:spacing w:val="-2"/>
          <w:sz w:val="20"/>
        </w:rPr>
        <w:t>and</w:t>
      </w:r>
      <w:r>
        <w:rPr>
          <w:spacing w:val="-9"/>
          <w:sz w:val="20"/>
        </w:rPr>
        <w:t xml:space="preserve"> </w:t>
      </w:r>
      <w:r>
        <w:rPr>
          <w:spacing w:val="-2"/>
          <w:sz w:val="20"/>
        </w:rPr>
        <w:t>community</w:t>
      </w:r>
      <w:r>
        <w:rPr>
          <w:spacing w:val="-9"/>
          <w:sz w:val="20"/>
        </w:rPr>
        <w:t xml:space="preserve"> </w:t>
      </w:r>
      <w:r>
        <w:rPr>
          <w:spacing w:val="-2"/>
          <w:sz w:val="20"/>
        </w:rPr>
        <w:t>in</w:t>
      </w:r>
      <w:r>
        <w:rPr>
          <w:spacing w:val="-9"/>
          <w:sz w:val="20"/>
        </w:rPr>
        <w:t xml:space="preserve"> </w:t>
      </w:r>
      <w:r>
        <w:rPr>
          <w:spacing w:val="-2"/>
          <w:sz w:val="20"/>
        </w:rPr>
        <w:t>cultural</w:t>
      </w:r>
      <w:r>
        <w:rPr>
          <w:spacing w:val="-9"/>
          <w:sz w:val="20"/>
        </w:rPr>
        <w:t xml:space="preserve"> </w:t>
      </w:r>
      <w:r>
        <w:rPr>
          <w:spacing w:val="-2"/>
          <w:sz w:val="20"/>
        </w:rPr>
        <w:t>resources.</w:t>
      </w:r>
    </w:p>
    <w:p w14:paraId="38F73EB3" w14:textId="77777777" w:rsidR="00AC6F3C" w:rsidRDefault="00570E88">
      <w:pPr>
        <w:pStyle w:val="ListParagraph"/>
        <w:numPr>
          <w:ilvl w:val="3"/>
          <w:numId w:val="39"/>
        </w:numPr>
        <w:tabs>
          <w:tab w:val="left" w:pos="1238"/>
          <w:tab w:val="left" w:pos="1240"/>
        </w:tabs>
        <w:spacing w:before="172" w:line="249" w:lineRule="auto"/>
        <w:ind w:right="199"/>
        <w:rPr>
          <w:sz w:val="20"/>
        </w:rPr>
      </w:pPr>
      <w:r>
        <w:rPr>
          <w:sz w:val="20"/>
        </w:rPr>
        <w:t>Proportion of First Nations solicitors and First Nations</w:t>
      </w:r>
      <w:r>
        <w:rPr>
          <w:spacing w:val="-5"/>
          <w:sz w:val="20"/>
        </w:rPr>
        <w:t xml:space="preserve"> </w:t>
      </w:r>
      <w:r>
        <w:rPr>
          <w:sz w:val="20"/>
        </w:rPr>
        <w:t>legal</w:t>
      </w:r>
      <w:r>
        <w:rPr>
          <w:spacing w:val="-5"/>
          <w:sz w:val="20"/>
        </w:rPr>
        <w:t xml:space="preserve"> </w:t>
      </w:r>
      <w:r>
        <w:rPr>
          <w:sz w:val="20"/>
        </w:rPr>
        <w:t>students</w:t>
      </w:r>
      <w:r>
        <w:rPr>
          <w:spacing w:val="-5"/>
          <w:sz w:val="20"/>
        </w:rPr>
        <w:t xml:space="preserve"> </w:t>
      </w:r>
      <w:r>
        <w:rPr>
          <w:sz w:val="20"/>
        </w:rPr>
        <w:t>that</w:t>
      </w:r>
      <w:r>
        <w:rPr>
          <w:spacing w:val="-5"/>
          <w:sz w:val="20"/>
        </w:rPr>
        <w:t xml:space="preserve"> </w:t>
      </w:r>
      <w:r>
        <w:rPr>
          <w:sz w:val="20"/>
        </w:rPr>
        <w:t>are</w:t>
      </w:r>
      <w:r>
        <w:rPr>
          <w:spacing w:val="-5"/>
          <w:sz w:val="20"/>
        </w:rPr>
        <w:t xml:space="preserve"> </w:t>
      </w:r>
      <w:proofErr w:type="spellStart"/>
      <w:r>
        <w:rPr>
          <w:sz w:val="20"/>
        </w:rPr>
        <w:t>recognised</w:t>
      </w:r>
      <w:proofErr w:type="spellEnd"/>
      <w:r>
        <w:rPr>
          <w:spacing w:val="-5"/>
          <w:sz w:val="20"/>
        </w:rPr>
        <w:t xml:space="preserve"> </w:t>
      </w:r>
      <w:r>
        <w:rPr>
          <w:sz w:val="20"/>
        </w:rPr>
        <w:t xml:space="preserve">and that grows each financial year and by the 5th year of the COS, the number of First Nations </w:t>
      </w:r>
      <w:r>
        <w:rPr>
          <w:spacing w:val="-2"/>
          <w:sz w:val="20"/>
        </w:rPr>
        <w:t>solicitors</w:t>
      </w:r>
      <w:r>
        <w:rPr>
          <w:spacing w:val="-8"/>
          <w:sz w:val="20"/>
        </w:rPr>
        <w:t xml:space="preserve"> </w:t>
      </w:r>
      <w:r>
        <w:rPr>
          <w:spacing w:val="-2"/>
          <w:sz w:val="20"/>
        </w:rPr>
        <w:t>in</w:t>
      </w:r>
      <w:r>
        <w:rPr>
          <w:spacing w:val="-8"/>
          <w:sz w:val="20"/>
        </w:rPr>
        <w:t xml:space="preserve"> </w:t>
      </w:r>
      <w:r>
        <w:rPr>
          <w:spacing w:val="-2"/>
          <w:sz w:val="20"/>
        </w:rPr>
        <w:t>Queensland</w:t>
      </w:r>
      <w:r>
        <w:rPr>
          <w:spacing w:val="-8"/>
          <w:sz w:val="20"/>
        </w:rPr>
        <w:t xml:space="preserve"> </w:t>
      </w:r>
      <w:r>
        <w:rPr>
          <w:spacing w:val="-2"/>
          <w:sz w:val="20"/>
        </w:rPr>
        <w:t>has</w:t>
      </w:r>
      <w:r>
        <w:rPr>
          <w:spacing w:val="-8"/>
          <w:sz w:val="20"/>
        </w:rPr>
        <w:t xml:space="preserve"> </w:t>
      </w:r>
      <w:r>
        <w:rPr>
          <w:spacing w:val="-2"/>
          <w:sz w:val="20"/>
        </w:rPr>
        <w:t>quadrupled</w:t>
      </w:r>
      <w:r>
        <w:rPr>
          <w:spacing w:val="-8"/>
          <w:sz w:val="20"/>
        </w:rPr>
        <w:t xml:space="preserve"> </w:t>
      </w:r>
      <w:r>
        <w:rPr>
          <w:spacing w:val="-2"/>
          <w:sz w:val="20"/>
        </w:rPr>
        <w:t>to</w:t>
      </w:r>
      <w:r>
        <w:rPr>
          <w:spacing w:val="-8"/>
          <w:sz w:val="20"/>
        </w:rPr>
        <w:t xml:space="preserve"> </w:t>
      </w:r>
      <w:r>
        <w:rPr>
          <w:spacing w:val="-2"/>
          <w:sz w:val="20"/>
        </w:rPr>
        <w:t>144.</w:t>
      </w:r>
    </w:p>
    <w:p w14:paraId="002D1892" w14:textId="77777777" w:rsidR="00AC6F3C" w:rsidRDefault="00570E88">
      <w:pPr>
        <w:pStyle w:val="ListParagraph"/>
        <w:numPr>
          <w:ilvl w:val="3"/>
          <w:numId w:val="39"/>
        </w:numPr>
        <w:tabs>
          <w:tab w:val="left" w:pos="1239"/>
        </w:tabs>
        <w:spacing w:before="174"/>
        <w:ind w:left="1239" w:hanging="339"/>
        <w:rPr>
          <w:sz w:val="20"/>
        </w:rPr>
      </w:pPr>
      <w:r>
        <w:rPr>
          <w:spacing w:val="-2"/>
          <w:sz w:val="20"/>
        </w:rPr>
        <w:t>Annual</w:t>
      </w:r>
      <w:r>
        <w:rPr>
          <w:spacing w:val="-6"/>
          <w:sz w:val="20"/>
        </w:rPr>
        <w:t xml:space="preserve"> </w:t>
      </w:r>
      <w:r>
        <w:rPr>
          <w:spacing w:val="-2"/>
          <w:sz w:val="20"/>
        </w:rPr>
        <w:t>financial</w:t>
      </w:r>
      <w:r>
        <w:rPr>
          <w:spacing w:val="-5"/>
          <w:sz w:val="20"/>
        </w:rPr>
        <w:t xml:space="preserve"> </w:t>
      </w:r>
      <w:r>
        <w:rPr>
          <w:spacing w:val="-2"/>
          <w:sz w:val="20"/>
        </w:rPr>
        <w:t>targets</w:t>
      </w:r>
      <w:r>
        <w:rPr>
          <w:spacing w:val="-5"/>
          <w:sz w:val="20"/>
        </w:rPr>
        <w:t xml:space="preserve"> </w:t>
      </w:r>
      <w:r>
        <w:rPr>
          <w:spacing w:val="-2"/>
          <w:sz w:val="20"/>
        </w:rPr>
        <w:t>are</w:t>
      </w:r>
      <w:r>
        <w:rPr>
          <w:spacing w:val="-5"/>
          <w:sz w:val="20"/>
        </w:rPr>
        <w:t xml:space="preserve"> </w:t>
      </w:r>
      <w:r>
        <w:rPr>
          <w:spacing w:val="-2"/>
          <w:sz w:val="20"/>
        </w:rPr>
        <w:t>achieved.</w:t>
      </w:r>
    </w:p>
    <w:p w14:paraId="5D144DB6" w14:textId="77777777" w:rsidR="00AC6F3C" w:rsidRDefault="00570E88">
      <w:pPr>
        <w:pStyle w:val="ListParagraph"/>
        <w:numPr>
          <w:ilvl w:val="3"/>
          <w:numId w:val="39"/>
        </w:numPr>
        <w:tabs>
          <w:tab w:val="left" w:pos="1238"/>
          <w:tab w:val="left" w:pos="1240"/>
        </w:tabs>
        <w:spacing w:line="249" w:lineRule="auto"/>
        <w:ind w:right="808"/>
        <w:rPr>
          <w:sz w:val="20"/>
        </w:rPr>
      </w:pPr>
      <w:r>
        <w:rPr>
          <w:sz w:val="20"/>
        </w:rPr>
        <w:t>Increased awareness and participation in</w:t>
      </w:r>
      <w:r>
        <w:rPr>
          <w:spacing w:val="-14"/>
          <w:sz w:val="20"/>
        </w:rPr>
        <w:t xml:space="preserve"> </w:t>
      </w:r>
      <w:r>
        <w:rPr>
          <w:sz w:val="20"/>
        </w:rPr>
        <w:t>cultural</w:t>
      </w:r>
      <w:r>
        <w:rPr>
          <w:spacing w:val="-14"/>
          <w:sz w:val="20"/>
        </w:rPr>
        <w:t xml:space="preserve"> </w:t>
      </w:r>
      <w:r>
        <w:rPr>
          <w:sz w:val="20"/>
        </w:rPr>
        <w:t>initiatives</w:t>
      </w:r>
      <w:r>
        <w:rPr>
          <w:spacing w:val="-14"/>
          <w:sz w:val="20"/>
        </w:rPr>
        <w:t xml:space="preserve"> </w:t>
      </w:r>
      <w:r>
        <w:rPr>
          <w:sz w:val="20"/>
        </w:rPr>
        <w:t>by</w:t>
      </w:r>
      <w:r>
        <w:rPr>
          <w:spacing w:val="-14"/>
          <w:sz w:val="20"/>
        </w:rPr>
        <w:t xml:space="preserve"> </w:t>
      </w:r>
      <w:r>
        <w:rPr>
          <w:sz w:val="20"/>
        </w:rPr>
        <w:t>QLS</w:t>
      </w:r>
      <w:r>
        <w:rPr>
          <w:spacing w:val="-14"/>
          <w:sz w:val="20"/>
        </w:rPr>
        <w:t xml:space="preserve"> </w:t>
      </w:r>
      <w:r>
        <w:rPr>
          <w:sz w:val="20"/>
        </w:rPr>
        <w:t>staff</w:t>
      </w:r>
      <w:r>
        <w:rPr>
          <w:spacing w:val="-14"/>
          <w:sz w:val="20"/>
        </w:rPr>
        <w:t xml:space="preserve"> </w:t>
      </w:r>
      <w:r>
        <w:rPr>
          <w:sz w:val="20"/>
        </w:rPr>
        <w:t>and</w:t>
      </w:r>
      <w:r>
        <w:rPr>
          <w:spacing w:val="-14"/>
          <w:sz w:val="20"/>
        </w:rPr>
        <w:t xml:space="preserve"> </w:t>
      </w:r>
      <w:r>
        <w:rPr>
          <w:sz w:val="20"/>
        </w:rPr>
        <w:t>the Queensland legal profession.</w:t>
      </w:r>
    </w:p>
    <w:p w14:paraId="6EF6338E" w14:textId="77777777" w:rsidR="00AC6F3C" w:rsidRDefault="00AC6F3C">
      <w:pPr>
        <w:spacing w:line="249" w:lineRule="auto"/>
        <w:rPr>
          <w:sz w:val="20"/>
        </w:rPr>
        <w:sectPr w:rsidR="00AC6F3C">
          <w:type w:val="continuous"/>
          <w:pgSz w:w="11910" w:h="16840"/>
          <w:pgMar w:top="1920" w:right="1160" w:bottom="280" w:left="460" w:header="0" w:footer="336" w:gutter="0"/>
          <w:cols w:num="2" w:space="720" w:equalWidth="0">
            <w:col w:w="3991" w:space="721"/>
            <w:col w:w="5578"/>
          </w:cols>
        </w:sectPr>
      </w:pPr>
    </w:p>
    <w:p w14:paraId="7624C126" w14:textId="77777777" w:rsidR="00AC6F3C" w:rsidRDefault="00570E88">
      <w:pPr>
        <w:pStyle w:val="Heading3"/>
        <w:spacing w:before="70"/>
      </w:pPr>
      <w:bookmarkStart w:id="75" w:name="District_Law_Associations"/>
      <w:bookmarkStart w:id="76" w:name="The_future_of_the_profession_–_our_futur"/>
      <w:bookmarkStart w:id="77" w:name="_bookmark27"/>
      <w:bookmarkEnd w:id="75"/>
      <w:bookmarkEnd w:id="76"/>
      <w:bookmarkEnd w:id="77"/>
      <w:r>
        <w:lastRenderedPageBreak/>
        <w:t>District</w:t>
      </w:r>
      <w:r>
        <w:rPr>
          <w:spacing w:val="-2"/>
        </w:rPr>
        <w:t xml:space="preserve"> </w:t>
      </w:r>
      <w:r>
        <w:t>Law</w:t>
      </w:r>
      <w:r>
        <w:rPr>
          <w:spacing w:val="-12"/>
        </w:rPr>
        <w:t xml:space="preserve"> </w:t>
      </w:r>
      <w:r>
        <w:rPr>
          <w:spacing w:val="-2"/>
        </w:rPr>
        <w:t>Associations</w:t>
      </w:r>
    </w:p>
    <w:p w14:paraId="7B12C4AA" w14:textId="77777777" w:rsidR="00AC6F3C" w:rsidRDefault="00570E88">
      <w:pPr>
        <w:pStyle w:val="BodyText"/>
        <w:spacing w:before="155" w:line="249" w:lineRule="auto"/>
        <w:ind w:left="815" w:right="730"/>
      </w:pPr>
      <w:r>
        <w:t>QLS</w:t>
      </w:r>
      <w:r>
        <w:rPr>
          <w:spacing w:val="-3"/>
        </w:rPr>
        <w:t xml:space="preserve"> </w:t>
      </w:r>
      <w:r>
        <w:t>works</w:t>
      </w:r>
      <w:r>
        <w:rPr>
          <w:spacing w:val="-3"/>
        </w:rPr>
        <w:t xml:space="preserve"> </w:t>
      </w:r>
      <w:r>
        <w:t>with</w:t>
      </w:r>
      <w:r>
        <w:rPr>
          <w:spacing w:val="-3"/>
        </w:rPr>
        <w:t xml:space="preserve"> </w:t>
      </w:r>
      <w:r>
        <w:t>District</w:t>
      </w:r>
      <w:r>
        <w:rPr>
          <w:spacing w:val="-3"/>
        </w:rPr>
        <w:t xml:space="preserve"> </w:t>
      </w:r>
      <w:r>
        <w:t>Law</w:t>
      </w:r>
      <w:r>
        <w:rPr>
          <w:spacing w:val="-13"/>
        </w:rPr>
        <w:t xml:space="preserve"> </w:t>
      </w:r>
      <w:r>
        <w:t>Associations</w:t>
      </w:r>
      <w:r>
        <w:rPr>
          <w:spacing w:val="-3"/>
        </w:rPr>
        <w:t xml:space="preserve"> </w:t>
      </w:r>
      <w:r>
        <w:t>throughout</w:t>
      </w:r>
      <w:r>
        <w:rPr>
          <w:spacing w:val="-3"/>
        </w:rPr>
        <w:t xml:space="preserve"> </w:t>
      </w:r>
      <w:r>
        <w:t>the</w:t>
      </w:r>
      <w:r>
        <w:rPr>
          <w:spacing w:val="-3"/>
        </w:rPr>
        <w:t xml:space="preserve"> </w:t>
      </w:r>
      <w:r>
        <w:t>state</w:t>
      </w:r>
      <w:r>
        <w:rPr>
          <w:spacing w:val="-3"/>
        </w:rPr>
        <w:t xml:space="preserve"> </w:t>
      </w:r>
      <w:r>
        <w:t>to</w:t>
      </w:r>
      <w:r>
        <w:rPr>
          <w:spacing w:val="-3"/>
        </w:rPr>
        <w:t xml:space="preserve"> </w:t>
      </w:r>
      <w:r>
        <w:t>ensure</w:t>
      </w:r>
      <w:r>
        <w:rPr>
          <w:spacing w:val="-3"/>
        </w:rPr>
        <w:t xml:space="preserve"> </w:t>
      </w:r>
      <w:r>
        <w:t>our</w:t>
      </w:r>
      <w:r>
        <w:rPr>
          <w:spacing w:val="-3"/>
        </w:rPr>
        <w:t xml:space="preserve"> </w:t>
      </w:r>
      <w:r>
        <w:t>regional</w:t>
      </w:r>
      <w:r>
        <w:rPr>
          <w:spacing w:val="-3"/>
        </w:rPr>
        <w:t xml:space="preserve"> </w:t>
      </w:r>
      <w:r>
        <w:t>lawyers</w:t>
      </w:r>
      <w:r>
        <w:rPr>
          <w:spacing w:val="-3"/>
        </w:rPr>
        <w:t xml:space="preserve"> </w:t>
      </w:r>
      <w:r>
        <w:t>have access to information, training, professional development opportunities and connection. There are 17 District Law</w:t>
      </w:r>
      <w:r>
        <w:rPr>
          <w:spacing w:val="-7"/>
        </w:rPr>
        <w:t xml:space="preserve"> </w:t>
      </w:r>
      <w:r>
        <w:t>Associations in Queensland and our partnership with them help us to connect and deliver services to our regional and remote cohort.</w:t>
      </w:r>
    </w:p>
    <w:p w14:paraId="1A0FA353" w14:textId="77777777" w:rsidR="00AC6F3C" w:rsidRDefault="00570E88">
      <w:pPr>
        <w:pStyle w:val="BodyText"/>
        <w:spacing w:before="173" w:line="249" w:lineRule="auto"/>
        <w:ind w:left="815"/>
      </w:pPr>
      <w:r>
        <w:t>The DLA</w:t>
      </w:r>
      <w:r>
        <w:rPr>
          <w:spacing w:val="-3"/>
        </w:rPr>
        <w:t xml:space="preserve"> </w:t>
      </w:r>
      <w:r>
        <w:t>Presidents workshop is held annually in March, and provides an important opportunity for Presidents to meet with the QLS President and CEO to discuss how we can continue our outreach to our regional solicitors and how we can best support regional Queensland. QLS also holds quarterly briefings with</w:t>
      </w:r>
      <w:r>
        <w:rPr>
          <w:spacing w:val="-3"/>
        </w:rPr>
        <w:t xml:space="preserve"> </w:t>
      </w:r>
      <w:r>
        <w:t>our</w:t>
      </w:r>
      <w:r>
        <w:rPr>
          <w:spacing w:val="-3"/>
        </w:rPr>
        <w:t xml:space="preserve"> </w:t>
      </w:r>
      <w:r>
        <w:t>CEO</w:t>
      </w:r>
      <w:r>
        <w:rPr>
          <w:spacing w:val="-3"/>
        </w:rPr>
        <w:t xml:space="preserve"> </w:t>
      </w:r>
      <w:r>
        <w:t>and</w:t>
      </w:r>
      <w:r>
        <w:rPr>
          <w:spacing w:val="-3"/>
        </w:rPr>
        <w:t xml:space="preserve"> </w:t>
      </w:r>
      <w:r>
        <w:t>President,</w:t>
      </w:r>
      <w:r>
        <w:rPr>
          <w:spacing w:val="-3"/>
        </w:rPr>
        <w:t xml:space="preserve"> </w:t>
      </w:r>
      <w:r>
        <w:t>providing</w:t>
      </w:r>
      <w:r>
        <w:rPr>
          <w:spacing w:val="-3"/>
        </w:rPr>
        <w:t xml:space="preserve"> </w:t>
      </w:r>
      <w:r>
        <w:t>an</w:t>
      </w:r>
      <w:r>
        <w:rPr>
          <w:spacing w:val="-3"/>
        </w:rPr>
        <w:t xml:space="preserve"> </w:t>
      </w:r>
      <w:r>
        <w:t>opportunity</w:t>
      </w:r>
      <w:r>
        <w:rPr>
          <w:spacing w:val="-3"/>
        </w:rPr>
        <w:t xml:space="preserve"> </w:t>
      </w:r>
      <w:r>
        <w:t>for</w:t>
      </w:r>
      <w:r>
        <w:rPr>
          <w:spacing w:val="-3"/>
        </w:rPr>
        <w:t xml:space="preserve"> </w:t>
      </w:r>
      <w:r>
        <w:t>QLS</w:t>
      </w:r>
      <w:r>
        <w:rPr>
          <w:spacing w:val="-3"/>
        </w:rPr>
        <w:t xml:space="preserve"> </w:t>
      </w:r>
      <w:r>
        <w:t>to</w:t>
      </w:r>
      <w:r>
        <w:rPr>
          <w:spacing w:val="-3"/>
        </w:rPr>
        <w:t xml:space="preserve"> </w:t>
      </w:r>
      <w:r>
        <w:t>connect</w:t>
      </w:r>
      <w:r>
        <w:rPr>
          <w:spacing w:val="-3"/>
        </w:rPr>
        <w:t xml:space="preserve"> </w:t>
      </w:r>
      <w:r>
        <w:t>DLAs</w:t>
      </w:r>
      <w:r>
        <w:rPr>
          <w:spacing w:val="-3"/>
        </w:rPr>
        <w:t xml:space="preserve"> </w:t>
      </w:r>
      <w:r>
        <w:t>with</w:t>
      </w:r>
      <w:r>
        <w:rPr>
          <w:spacing w:val="-3"/>
        </w:rPr>
        <w:t xml:space="preserve"> </w:t>
      </w:r>
      <w:r>
        <w:t>key</w:t>
      </w:r>
      <w:r>
        <w:rPr>
          <w:spacing w:val="-3"/>
        </w:rPr>
        <w:t xml:space="preserve"> </w:t>
      </w:r>
      <w:r>
        <w:t>stakeholders</w:t>
      </w:r>
      <w:r>
        <w:rPr>
          <w:spacing w:val="-3"/>
        </w:rPr>
        <w:t xml:space="preserve"> </w:t>
      </w:r>
      <w:r>
        <w:t>and leaders in the legal profession as well as opportunity to raise issues relevant to their particular region.</w:t>
      </w:r>
    </w:p>
    <w:p w14:paraId="64F95A7A" w14:textId="77777777" w:rsidR="00AC6F3C" w:rsidRDefault="00AC6F3C">
      <w:pPr>
        <w:pStyle w:val="BodyText"/>
        <w:spacing w:before="8"/>
        <w:rPr>
          <w:sz w:val="32"/>
        </w:rPr>
      </w:pPr>
    </w:p>
    <w:p w14:paraId="4D10E46B" w14:textId="77777777" w:rsidR="00AC6F3C" w:rsidRDefault="00570E88">
      <w:pPr>
        <w:pStyle w:val="Heading3"/>
      </w:pPr>
      <w:r>
        <w:t>The</w:t>
      </w:r>
      <w:r>
        <w:rPr>
          <w:spacing w:val="-2"/>
        </w:rPr>
        <w:t xml:space="preserve"> </w:t>
      </w:r>
      <w:r>
        <w:t>future</w:t>
      </w:r>
      <w:r>
        <w:rPr>
          <w:spacing w:val="-2"/>
        </w:rPr>
        <w:t xml:space="preserve"> </w:t>
      </w:r>
      <w:r>
        <w:t>of</w:t>
      </w:r>
      <w:r>
        <w:rPr>
          <w:spacing w:val="-2"/>
        </w:rPr>
        <w:t xml:space="preserve"> </w:t>
      </w:r>
      <w:r>
        <w:t>the</w:t>
      </w:r>
      <w:r>
        <w:rPr>
          <w:spacing w:val="-2"/>
        </w:rPr>
        <w:t xml:space="preserve"> </w:t>
      </w:r>
      <w:r>
        <w:t>profession</w:t>
      </w:r>
      <w:r>
        <w:rPr>
          <w:spacing w:val="-2"/>
        </w:rPr>
        <w:t xml:space="preserve"> </w:t>
      </w:r>
      <w:r>
        <w:t>–</w:t>
      </w:r>
      <w:r>
        <w:rPr>
          <w:spacing w:val="-2"/>
        </w:rPr>
        <w:t xml:space="preserve"> </w:t>
      </w:r>
      <w:r>
        <w:t>our</w:t>
      </w:r>
      <w:r>
        <w:rPr>
          <w:spacing w:val="-2"/>
        </w:rPr>
        <w:t xml:space="preserve"> </w:t>
      </w:r>
      <w:r>
        <w:t>future</w:t>
      </w:r>
      <w:r>
        <w:rPr>
          <w:spacing w:val="-2"/>
        </w:rPr>
        <w:t xml:space="preserve"> leaders</w:t>
      </w:r>
    </w:p>
    <w:p w14:paraId="1C17BE81" w14:textId="77777777" w:rsidR="00AC6F3C" w:rsidRDefault="00570E88">
      <w:pPr>
        <w:pStyle w:val="BodyText"/>
        <w:spacing w:before="155" w:line="249" w:lineRule="auto"/>
        <w:ind w:left="815"/>
      </w:pPr>
      <w:r>
        <w:t>In 2022-23, we have continued our focus on our future leaders – lawyers with zero to five years of post- admission</w:t>
      </w:r>
      <w:r>
        <w:rPr>
          <w:spacing w:val="-3"/>
        </w:rPr>
        <w:t xml:space="preserve"> </w:t>
      </w:r>
      <w:r>
        <w:t>experience</w:t>
      </w:r>
      <w:r>
        <w:rPr>
          <w:spacing w:val="-3"/>
        </w:rPr>
        <w:t xml:space="preserve"> </w:t>
      </w:r>
      <w:r>
        <w:t>and</w:t>
      </w:r>
      <w:r>
        <w:rPr>
          <w:spacing w:val="-3"/>
        </w:rPr>
        <w:t xml:space="preserve"> </w:t>
      </w:r>
      <w:r>
        <w:t>lawyers</w:t>
      </w:r>
      <w:r>
        <w:rPr>
          <w:spacing w:val="-3"/>
        </w:rPr>
        <w:t xml:space="preserve"> </w:t>
      </w:r>
      <w:r>
        <w:t>aged</w:t>
      </w:r>
      <w:r>
        <w:rPr>
          <w:spacing w:val="-3"/>
        </w:rPr>
        <w:t xml:space="preserve"> </w:t>
      </w:r>
      <w:r>
        <w:t>under</w:t>
      </w:r>
      <w:r>
        <w:rPr>
          <w:spacing w:val="-3"/>
        </w:rPr>
        <w:t xml:space="preserve"> </w:t>
      </w:r>
      <w:r>
        <w:t>36.</w:t>
      </w:r>
      <w:r>
        <w:rPr>
          <w:spacing w:val="-6"/>
        </w:rPr>
        <w:t xml:space="preserve"> </w:t>
      </w:r>
      <w:r>
        <w:t>This</w:t>
      </w:r>
      <w:r>
        <w:rPr>
          <w:spacing w:val="-3"/>
        </w:rPr>
        <w:t xml:space="preserve"> </w:t>
      </w:r>
      <w:r>
        <w:t>segment</w:t>
      </w:r>
      <w:r>
        <w:rPr>
          <w:spacing w:val="-3"/>
        </w:rPr>
        <w:t xml:space="preserve"> </w:t>
      </w:r>
      <w:r>
        <w:t>of</w:t>
      </w:r>
      <w:r>
        <w:rPr>
          <w:spacing w:val="-3"/>
        </w:rPr>
        <w:t xml:space="preserve"> </w:t>
      </w:r>
      <w:r>
        <w:t>our</w:t>
      </w:r>
      <w:r>
        <w:rPr>
          <w:spacing w:val="-3"/>
        </w:rPr>
        <w:t xml:space="preserve"> </w:t>
      </w:r>
      <w:r>
        <w:t>membership</w:t>
      </w:r>
      <w:r>
        <w:rPr>
          <w:spacing w:val="-3"/>
        </w:rPr>
        <w:t xml:space="preserve"> </w:t>
      </w:r>
      <w:r>
        <w:t>will</w:t>
      </w:r>
      <w:r>
        <w:rPr>
          <w:spacing w:val="-3"/>
        </w:rPr>
        <w:t xml:space="preserve"> </w:t>
      </w:r>
      <w:r>
        <w:t>continue</w:t>
      </w:r>
      <w:r>
        <w:rPr>
          <w:spacing w:val="-3"/>
        </w:rPr>
        <w:t xml:space="preserve"> </w:t>
      </w:r>
      <w:r>
        <w:t>to</w:t>
      </w:r>
      <w:r>
        <w:rPr>
          <w:spacing w:val="-3"/>
        </w:rPr>
        <w:t xml:space="preserve"> </w:t>
      </w:r>
      <w:r>
        <w:t>grow and as such, the importance of delivering relevant targeted services and resources is crucial to build knowledge and skills and professional confidence.</w:t>
      </w:r>
    </w:p>
    <w:p w14:paraId="55F42857" w14:textId="77777777" w:rsidR="00AC6F3C" w:rsidRDefault="00570E88">
      <w:pPr>
        <w:pStyle w:val="BodyText"/>
        <w:spacing w:before="173"/>
        <w:ind w:left="815"/>
      </w:pPr>
      <w:r>
        <w:t>QLS</w:t>
      </w:r>
      <w:r>
        <w:rPr>
          <w:spacing w:val="-3"/>
        </w:rPr>
        <w:t xml:space="preserve"> </w:t>
      </w:r>
      <w:r>
        <w:t>has</w:t>
      </w:r>
      <w:r>
        <w:rPr>
          <w:spacing w:val="-2"/>
        </w:rPr>
        <w:t xml:space="preserve"> </w:t>
      </w:r>
      <w:r>
        <w:t>ensured</w:t>
      </w:r>
      <w:r>
        <w:rPr>
          <w:spacing w:val="-2"/>
        </w:rPr>
        <w:t xml:space="preserve"> </w:t>
      </w:r>
      <w:r>
        <w:t>the</w:t>
      </w:r>
      <w:r>
        <w:rPr>
          <w:spacing w:val="-2"/>
        </w:rPr>
        <w:t xml:space="preserve"> </w:t>
      </w:r>
      <w:r>
        <w:t>voice</w:t>
      </w:r>
      <w:r>
        <w:rPr>
          <w:spacing w:val="-2"/>
        </w:rPr>
        <w:t xml:space="preserve"> </w:t>
      </w:r>
      <w:r>
        <w:t>of</w:t>
      </w:r>
      <w:r>
        <w:rPr>
          <w:spacing w:val="-2"/>
        </w:rPr>
        <w:t xml:space="preserve"> </w:t>
      </w:r>
      <w:r>
        <w:t>this</w:t>
      </w:r>
      <w:r>
        <w:rPr>
          <w:spacing w:val="-2"/>
        </w:rPr>
        <w:t xml:space="preserve"> </w:t>
      </w:r>
      <w:r>
        <w:t>segment</w:t>
      </w:r>
      <w:r>
        <w:rPr>
          <w:spacing w:val="-2"/>
        </w:rPr>
        <w:t xml:space="preserve"> </w:t>
      </w:r>
      <w:r>
        <w:t>of</w:t>
      </w:r>
      <w:r>
        <w:rPr>
          <w:spacing w:val="-2"/>
        </w:rPr>
        <w:t xml:space="preserve"> </w:t>
      </w:r>
      <w:r>
        <w:t>our</w:t>
      </w:r>
      <w:r>
        <w:rPr>
          <w:spacing w:val="-2"/>
        </w:rPr>
        <w:t xml:space="preserve"> </w:t>
      </w:r>
      <w:r>
        <w:t>membership</w:t>
      </w:r>
      <w:r>
        <w:rPr>
          <w:spacing w:val="-2"/>
        </w:rPr>
        <w:t xml:space="preserve"> </w:t>
      </w:r>
      <w:r>
        <w:t>is</w:t>
      </w:r>
      <w:r>
        <w:rPr>
          <w:spacing w:val="-2"/>
        </w:rPr>
        <w:t xml:space="preserve"> </w:t>
      </w:r>
      <w:r>
        <w:t>heard</w:t>
      </w:r>
      <w:r>
        <w:rPr>
          <w:spacing w:val="-2"/>
        </w:rPr>
        <w:t xml:space="preserve"> </w:t>
      </w:r>
      <w:r>
        <w:t>through</w:t>
      </w:r>
      <w:r>
        <w:rPr>
          <w:spacing w:val="-2"/>
        </w:rPr>
        <w:t xml:space="preserve"> </w:t>
      </w:r>
      <w:r>
        <w:t>our</w:t>
      </w:r>
      <w:r>
        <w:rPr>
          <w:spacing w:val="-2"/>
        </w:rPr>
        <w:t xml:space="preserve"> Future</w:t>
      </w:r>
    </w:p>
    <w:p w14:paraId="12BC6468" w14:textId="77777777" w:rsidR="00AC6F3C" w:rsidRDefault="00570E88">
      <w:pPr>
        <w:pStyle w:val="BodyText"/>
        <w:spacing w:before="10"/>
        <w:ind w:left="815"/>
      </w:pPr>
      <w:r>
        <w:t xml:space="preserve">Leaders </w:t>
      </w:r>
      <w:r>
        <w:rPr>
          <w:spacing w:val="-2"/>
        </w:rPr>
        <w:t>Committee.</w:t>
      </w:r>
    </w:p>
    <w:p w14:paraId="6064923E" w14:textId="77777777" w:rsidR="00AC6F3C" w:rsidRDefault="00570E88">
      <w:pPr>
        <w:pStyle w:val="BodyText"/>
        <w:spacing w:before="180" w:line="249" w:lineRule="auto"/>
        <w:ind w:left="815"/>
      </w:pPr>
      <w:r>
        <w:t>In</w:t>
      </w:r>
      <w:r>
        <w:rPr>
          <w:spacing w:val="-3"/>
        </w:rPr>
        <w:t xml:space="preserve"> </w:t>
      </w:r>
      <w:r>
        <w:t>February</w:t>
      </w:r>
      <w:r>
        <w:rPr>
          <w:spacing w:val="-3"/>
        </w:rPr>
        <w:t xml:space="preserve"> </w:t>
      </w:r>
      <w:r>
        <w:t>2023,</w:t>
      </w:r>
      <w:r>
        <w:rPr>
          <w:spacing w:val="-3"/>
        </w:rPr>
        <w:t xml:space="preserve"> </w:t>
      </w:r>
      <w:r>
        <w:t>six</w:t>
      </w:r>
      <w:r>
        <w:rPr>
          <w:spacing w:val="-3"/>
        </w:rPr>
        <w:t xml:space="preserve"> </w:t>
      </w:r>
      <w:r>
        <w:t>new</w:t>
      </w:r>
      <w:r>
        <w:rPr>
          <w:spacing w:val="-3"/>
        </w:rPr>
        <w:t xml:space="preserve"> </w:t>
      </w:r>
      <w:r>
        <w:t>Future</w:t>
      </w:r>
      <w:r>
        <w:rPr>
          <w:spacing w:val="-3"/>
        </w:rPr>
        <w:t xml:space="preserve"> </w:t>
      </w:r>
      <w:r>
        <w:t>Leaders</w:t>
      </w:r>
      <w:r>
        <w:rPr>
          <w:spacing w:val="-3"/>
        </w:rPr>
        <w:t xml:space="preserve"> </w:t>
      </w:r>
      <w:r>
        <w:t>Committee</w:t>
      </w:r>
      <w:r>
        <w:rPr>
          <w:spacing w:val="-3"/>
        </w:rPr>
        <w:t xml:space="preserve"> </w:t>
      </w:r>
      <w:r>
        <w:t>(FLC)</w:t>
      </w:r>
      <w:r>
        <w:rPr>
          <w:spacing w:val="-3"/>
        </w:rPr>
        <w:t xml:space="preserve"> </w:t>
      </w:r>
      <w:r>
        <w:t>members</w:t>
      </w:r>
      <w:r>
        <w:rPr>
          <w:spacing w:val="-3"/>
        </w:rPr>
        <w:t xml:space="preserve"> </w:t>
      </w:r>
      <w:r>
        <w:t>were</w:t>
      </w:r>
      <w:r>
        <w:rPr>
          <w:spacing w:val="-3"/>
        </w:rPr>
        <w:t xml:space="preserve"> </w:t>
      </w:r>
      <w:r>
        <w:t>democratically</w:t>
      </w:r>
      <w:r>
        <w:rPr>
          <w:spacing w:val="-3"/>
        </w:rPr>
        <w:t xml:space="preserve"> </w:t>
      </w:r>
      <w:r>
        <w:t>elected</w:t>
      </w:r>
      <w:r>
        <w:rPr>
          <w:spacing w:val="-3"/>
        </w:rPr>
        <w:t xml:space="preserve"> </w:t>
      </w:r>
      <w:r>
        <w:t>to replace members completing their term. The main duties and responsibilities of the FLC are to:</w:t>
      </w:r>
    </w:p>
    <w:p w14:paraId="0D4B31AA" w14:textId="77777777" w:rsidR="00AC6F3C" w:rsidRDefault="00570E88">
      <w:pPr>
        <w:pStyle w:val="ListParagraph"/>
        <w:numPr>
          <w:ilvl w:val="0"/>
          <w:numId w:val="38"/>
        </w:numPr>
        <w:tabs>
          <w:tab w:val="left" w:pos="1155"/>
        </w:tabs>
        <w:spacing w:before="172"/>
        <w:ind w:hanging="340"/>
        <w:rPr>
          <w:sz w:val="20"/>
        </w:rPr>
      </w:pPr>
      <w:r>
        <w:rPr>
          <w:sz w:val="20"/>
        </w:rPr>
        <w:t>prepare</w:t>
      </w:r>
      <w:r>
        <w:rPr>
          <w:spacing w:val="-6"/>
          <w:sz w:val="20"/>
        </w:rPr>
        <w:t xml:space="preserve"> </w:t>
      </w:r>
      <w:r>
        <w:rPr>
          <w:sz w:val="20"/>
        </w:rPr>
        <w:t>and</w:t>
      </w:r>
      <w:r>
        <w:rPr>
          <w:spacing w:val="-3"/>
          <w:sz w:val="20"/>
        </w:rPr>
        <w:t xml:space="preserve"> </w:t>
      </w:r>
      <w:r>
        <w:rPr>
          <w:sz w:val="20"/>
        </w:rPr>
        <w:t>submit</w:t>
      </w:r>
      <w:r>
        <w:rPr>
          <w:spacing w:val="-3"/>
          <w:sz w:val="20"/>
        </w:rPr>
        <w:t xml:space="preserve"> </w:t>
      </w:r>
      <w:r>
        <w:rPr>
          <w:sz w:val="20"/>
        </w:rPr>
        <w:t>to</w:t>
      </w:r>
      <w:r>
        <w:rPr>
          <w:spacing w:val="-4"/>
          <w:sz w:val="20"/>
        </w:rPr>
        <w:t xml:space="preserve"> </w:t>
      </w:r>
      <w:r>
        <w:rPr>
          <w:sz w:val="20"/>
        </w:rPr>
        <w:t>Council</w:t>
      </w:r>
      <w:r>
        <w:rPr>
          <w:spacing w:val="-3"/>
          <w:sz w:val="20"/>
        </w:rPr>
        <w:t xml:space="preserve"> </w:t>
      </w:r>
      <w:r>
        <w:rPr>
          <w:sz w:val="20"/>
        </w:rPr>
        <w:t>and</w:t>
      </w:r>
      <w:r>
        <w:rPr>
          <w:spacing w:val="-3"/>
          <w:sz w:val="20"/>
        </w:rPr>
        <w:t xml:space="preserve"> </w:t>
      </w:r>
      <w:r>
        <w:rPr>
          <w:sz w:val="20"/>
        </w:rPr>
        <w:t>annually</w:t>
      </w:r>
      <w:r>
        <w:rPr>
          <w:spacing w:val="-4"/>
          <w:sz w:val="20"/>
        </w:rPr>
        <w:t xml:space="preserve"> </w:t>
      </w:r>
      <w:r>
        <w:rPr>
          <w:sz w:val="20"/>
        </w:rPr>
        <w:t>review</w:t>
      </w:r>
      <w:r>
        <w:rPr>
          <w:spacing w:val="-3"/>
          <w:sz w:val="20"/>
        </w:rPr>
        <w:t xml:space="preserve"> </w:t>
      </w:r>
      <w:r>
        <w:rPr>
          <w:sz w:val="20"/>
        </w:rPr>
        <w:t>the</w:t>
      </w:r>
      <w:r>
        <w:rPr>
          <w:spacing w:val="-3"/>
          <w:sz w:val="20"/>
        </w:rPr>
        <w:t xml:space="preserve"> </w:t>
      </w:r>
      <w:r>
        <w:rPr>
          <w:sz w:val="20"/>
        </w:rPr>
        <w:t>Future</w:t>
      </w:r>
      <w:r>
        <w:rPr>
          <w:spacing w:val="-4"/>
          <w:sz w:val="20"/>
        </w:rPr>
        <w:t xml:space="preserve"> </w:t>
      </w:r>
      <w:r>
        <w:rPr>
          <w:sz w:val="20"/>
        </w:rPr>
        <w:t>Leaders</w:t>
      </w:r>
      <w:r>
        <w:rPr>
          <w:spacing w:val="-3"/>
          <w:sz w:val="20"/>
        </w:rPr>
        <w:t xml:space="preserve"> </w:t>
      </w:r>
      <w:r>
        <w:rPr>
          <w:sz w:val="20"/>
        </w:rPr>
        <w:t>Committee’s</w:t>
      </w:r>
      <w:r>
        <w:rPr>
          <w:spacing w:val="-3"/>
          <w:sz w:val="20"/>
        </w:rPr>
        <w:t xml:space="preserve"> </w:t>
      </w:r>
      <w:r>
        <w:rPr>
          <w:sz w:val="20"/>
        </w:rPr>
        <w:t>two</w:t>
      </w:r>
      <w:r>
        <w:rPr>
          <w:spacing w:val="-3"/>
          <w:sz w:val="20"/>
        </w:rPr>
        <w:t xml:space="preserve"> </w:t>
      </w:r>
      <w:r>
        <w:rPr>
          <w:spacing w:val="-4"/>
          <w:sz w:val="20"/>
        </w:rPr>
        <w:t>year</w:t>
      </w:r>
    </w:p>
    <w:p w14:paraId="18BCF1C5" w14:textId="77777777" w:rsidR="00AC6F3C" w:rsidRDefault="00570E88">
      <w:pPr>
        <w:pStyle w:val="BodyText"/>
        <w:spacing w:before="10"/>
        <w:ind w:left="1155"/>
      </w:pPr>
      <w:r>
        <w:t xml:space="preserve">Strategic </w:t>
      </w:r>
      <w:r>
        <w:rPr>
          <w:spacing w:val="-2"/>
        </w:rPr>
        <w:t>Plan.</w:t>
      </w:r>
    </w:p>
    <w:p w14:paraId="2393D016" w14:textId="77777777" w:rsidR="00AC6F3C" w:rsidRDefault="00570E88">
      <w:pPr>
        <w:pStyle w:val="ListParagraph"/>
        <w:numPr>
          <w:ilvl w:val="0"/>
          <w:numId w:val="38"/>
        </w:numPr>
        <w:tabs>
          <w:tab w:val="left" w:pos="1155"/>
        </w:tabs>
        <w:spacing w:line="249" w:lineRule="auto"/>
        <w:ind w:right="846"/>
        <w:rPr>
          <w:sz w:val="20"/>
        </w:rPr>
      </w:pPr>
      <w:r>
        <w:rPr>
          <w:sz w:val="20"/>
        </w:rPr>
        <w:t>provide</w:t>
      </w:r>
      <w:r>
        <w:rPr>
          <w:spacing w:val="-4"/>
          <w:sz w:val="20"/>
        </w:rPr>
        <w:t xml:space="preserve"> </w:t>
      </w:r>
      <w:r>
        <w:rPr>
          <w:sz w:val="20"/>
        </w:rPr>
        <w:t>advice</w:t>
      </w:r>
      <w:r>
        <w:rPr>
          <w:spacing w:val="-4"/>
          <w:sz w:val="20"/>
        </w:rPr>
        <w:t xml:space="preserve"> </w:t>
      </w:r>
      <w:r>
        <w:rPr>
          <w:sz w:val="20"/>
        </w:rPr>
        <w:t>and</w:t>
      </w:r>
      <w:r>
        <w:rPr>
          <w:spacing w:val="-4"/>
          <w:sz w:val="20"/>
        </w:rPr>
        <w:t xml:space="preserve"> </w:t>
      </w:r>
      <w:r>
        <w:rPr>
          <w:sz w:val="20"/>
        </w:rPr>
        <w:t>recommendations</w:t>
      </w:r>
      <w:r>
        <w:rPr>
          <w:spacing w:val="-4"/>
          <w:sz w:val="20"/>
        </w:rPr>
        <w:t xml:space="preserve"> </w:t>
      </w:r>
      <w:r>
        <w:rPr>
          <w:sz w:val="20"/>
        </w:rPr>
        <w:t>to</w:t>
      </w:r>
      <w:r>
        <w:rPr>
          <w:spacing w:val="-4"/>
          <w:sz w:val="20"/>
        </w:rPr>
        <w:t xml:space="preserve"> </w:t>
      </w:r>
      <w:r>
        <w:rPr>
          <w:sz w:val="20"/>
        </w:rPr>
        <w:t>Council</w:t>
      </w:r>
      <w:r>
        <w:rPr>
          <w:spacing w:val="-4"/>
          <w:sz w:val="20"/>
        </w:rPr>
        <w:t xml:space="preserve"> </w:t>
      </w:r>
      <w:r>
        <w:rPr>
          <w:sz w:val="20"/>
        </w:rPr>
        <w:t>regarding</w:t>
      </w:r>
      <w:r>
        <w:rPr>
          <w:spacing w:val="-4"/>
          <w:sz w:val="20"/>
        </w:rPr>
        <w:t xml:space="preserve"> </w:t>
      </w:r>
      <w:r>
        <w:rPr>
          <w:sz w:val="20"/>
        </w:rPr>
        <w:t>Queensland</w:t>
      </w:r>
      <w:r>
        <w:rPr>
          <w:spacing w:val="-4"/>
          <w:sz w:val="20"/>
        </w:rPr>
        <w:t xml:space="preserve"> </w:t>
      </w:r>
      <w:r>
        <w:rPr>
          <w:sz w:val="20"/>
        </w:rPr>
        <w:t>Law</w:t>
      </w:r>
      <w:r>
        <w:rPr>
          <w:spacing w:val="-4"/>
          <w:sz w:val="20"/>
        </w:rPr>
        <w:t xml:space="preserve"> </w:t>
      </w:r>
      <w:r>
        <w:rPr>
          <w:sz w:val="20"/>
        </w:rPr>
        <w:t>Society</w:t>
      </w:r>
      <w:r>
        <w:rPr>
          <w:spacing w:val="-4"/>
          <w:sz w:val="20"/>
        </w:rPr>
        <w:t xml:space="preserve"> </w:t>
      </w:r>
      <w:r>
        <w:rPr>
          <w:sz w:val="20"/>
        </w:rPr>
        <w:t>Strategic Planning with a particular focus on Future Leader Members.</w:t>
      </w:r>
    </w:p>
    <w:p w14:paraId="78A29456" w14:textId="77777777" w:rsidR="00AC6F3C" w:rsidRDefault="00570E88">
      <w:pPr>
        <w:pStyle w:val="ListParagraph"/>
        <w:numPr>
          <w:ilvl w:val="0"/>
          <w:numId w:val="38"/>
        </w:numPr>
        <w:tabs>
          <w:tab w:val="left" w:pos="1155"/>
        </w:tabs>
        <w:spacing w:before="171"/>
        <w:ind w:hanging="340"/>
        <w:rPr>
          <w:sz w:val="20"/>
        </w:rPr>
      </w:pPr>
      <w:r>
        <w:rPr>
          <w:sz w:val="20"/>
        </w:rPr>
        <w:t>provide</w:t>
      </w:r>
      <w:r>
        <w:rPr>
          <w:spacing w:val="-5"/>
          <w:sz w:val="20"/>
        </w:rPr>
        <w:t xml:space="preserve"> </w:t>
      </w:r>
      <w:r>
        <w:rPr>
          <w:sz w:val="20"/>
        </w:rPr>
        <w:t>advice</w:t>
      </w:r>
      <w:r>
        <w:rPr>
          <w:spacing w:val="-4"/>
          <w:sz w:val="20"/>
        </w:rPr>
        <w:t xml:space="preserve"> </w:t>
      </w:r>
      <w:r>
        <w:rPr>
          <w:sz w:val="20"/>
        </w:rPr>
        <w:t>and</w:t>
      </w:r>
      <w:r>
        <w:rPr>
          <w:spacing w:val="-5"/>
          <w:sz w:val="20"/>
        </w:rPr>
        <w:t xml:space="preserve"> </w:t>
      </w:r>
      <w:r>
        <w:rPr>
          <w:sz w:val="20"/>
        </w:rPr>
        <w:t>recommendations</w:t>
      </w:r>
      <w:r>
        <w:rPr>
          <w:spacing w:val="-4"/>
          <w:sz w:val="20"/>
        </w:rPr>
        <w:t xml:space="preserve"> </w:t>
      </w:r>
      <w:r>
        <w:rPr>
          <w:sz w:val="20"/>
        </w:rPr>
        <w:t>to</w:t>
      </w:r>
      <w:r>
        <w:rPr>
          <w:spacing w:val="-5"/>
          <w:sz w:val="20"/>
        </w:rPr>
        <w:t xml:space="preserve"> </w:t>
      </w:r>
      <w:r>
        <w:rPr>
          <w:sz w:val="20"/>
        </w:rPr>
        <w:t>Council</w:t>
      </w:r>
      <w:r>
        <w:rPr>
          <w:spacing w:val="-4"/>
          <w:sz w:val="20"/>
        </w:rPr>
        <w:t xml:space="preserve"> </w:t>
      </w:r>
      <w:r>
        <w:rPr>
          <w:sz w:val="20"/>
        </w:rPr>
        <w:t>regarding</w:t>
      </w:r>
      <w:r>
        <w:rPr>
          <w:spacing w:val="-4"/>
          <w:sz w:val="20"/>
        </w:rPr>
        <w:t xml:space="preserve"> </w:t>
      </w:r>
      <w:r>
        <w:rPr>
          <w:sz w:val="20"/>
        </w:rPr>
        <w:t>matters</w:t>
      </w:r>
      <w:r>
        <w:rPr>
          <w:spacing w:val="-5"/>
          <w:sz w:val="20"/>
        </w:rPr>
        <w:t xml:space="preserve"> </w:t>
      </w:r>
      <w:r>
        <w:rPr>
          <w:sz w:val="20"/>
        </w:rPr>
        <w:t>affecting</w:t>
      </w:r>
      <w:r>
        <w:rPr>
          <w:spacing w:val="-4"/>
          <w:sz w:val="20"/>
        </w:rPr>
        <w:t xml:space="preserve"> </w:t>
      </w:r>
      <w:r>
        <w:rPr>
          <w:sz w:val="20"/>
        </w:rPr>
        <w:t>Future</w:t>
      </w:r>
      <w:r>
        <w:rPr>
          <w:spacing w:val="-5"/>
          <w:sz w:val="20"/>
        </w:rPr>
        <w:t xml:space="preserve"> </w:t>
      </w:r>
      <w:r>
        <w:rPr>
          <w:sz w:val="20"/>
        </w:rPr>
        <w:t>Leader</w:t>
      </w:r>
      <w:r>
        <w:rPr>
          <w:spacing w:val="-4"/>
          <w:sz w:val="20"/>
        </w:rPr>
        <w:t xml:space="preserve"> </w:t>
      </w:r>
      <w:r>
        <w:rPr>
          <w:spacing w:val="-2"/>
          <w:sz w:val="20"/>
        </w:rPr>
        <w:t>Members</w:t>
      </w:r>
    </w:p>
    <w:p w14:paraId="102197DD" w14:textId="77777777" w:rsidR="00AC6F3C" w:rsidRDefault="00570E88">
      <w:pPr>
        <w:pStyle w:val="ListParagraph"/>
        <w:numPr>
          <w:ilvl w:val="0"/>
          <w:numId w:val="38"/>
        </w:numPr>
        <w:tabs>
          <w:tab w:val="left" w:pos="1155"/>
        </w:tabs>
        <w:spacing w:line="249" w:lineRule="auto"/>
        <w:ind w:right="1089"/>
        <w:rPr>
          <w:sz w:val="20"/>
        </w:rPr>
      </w:pPr>
      <w:r>
        <w:rPr>
          <w:sz w:val="20"/>
        </w:rPr>
        <w:t>research</w:t>
      </w:r>
      <w:r>
        <w:rPr>
          <w:spacing w:val="-3"/>
          <w:sz w:val="20"/>
        </w:rPr>
        <w:t xml:space="preserve"> </w:t>
      </w:r>
      <w:r>
        <w:rPr>
          <w:sz w:val="20"/>
        </w:rPr>
        <w:t>and</w:t>
      </w:r>
      <w:r>
        <w:rPr>
          <w:spacing w:val="-3"/>
          <w:sz w:val="20"/>
        </w:rPr>
        <w:t xml:space="preserve"> </w:t>
      </w:r>
      <w:r>
        <w:rPr>
          <w:sz w:val="20"/>
        </w:rPr>
        <w:t>consult</w:t>
      </w:r>
      <w:r>
        <w:rPr>
          <w:spacing w:val="-3"/>
          <w:sz w:val="20"/>
        </w:rPr>
        <w:t xml:space="preserve"> </w:t>
      </w:r>
      <w:r>
        <w:rPr>
          <w:sz w:val="20"/>
        </w:rPr>
        <w:t>on</w:t>
      </w:r>
      <w:r>
        <w:rPr>
          <w:spacing w:val="-3"/>
          <w:sz w:val="20"/>
        </w:rPr>
        <w:t xml:space="preserve"> </w:t>
      </w:r>
      <w:r>
        <w:rPr>
          <w:sz w:val="20"/>
        </w:rPr>
        <w:t>programs</w:t>
      </w:r>
      <w:r>
        <w:rPr>
          <w:spacing w:val="-3"/>
          <w:sz w:val="20"/>
        </w:rPr>
        <w:t xml:space="preserve"> </w:t>
      </w:r>
      <w:r>
        <w:rPr>
          <w:sz w:val="20"/>
        </w:rPr>
        <w:t>of</w:t>
      </w:r>
      <w:r>
        <w:rPr>
          <w:spacing w:val="-3"/>
          <w:sz w:val="20"/>
        </w:rPr>
        <w:t xml:space="preserve"> </w:t>
      </w:r>
      <w:r>
        <w:rPr>
          <w:sz w:val="20"/>
        </w:rPr>
        <w:t>interest</w:t>
      </w:r>
      <w:r>
        <w:rPr>
          <w:spacing w:val="-3"/>
          <w:sz w:val="20"/>
        </w:rPr>
        <w:t xml:space="preserve"> </w:t>
      </w:r>
      <w:r>
        <w:rPr>
          <w:sz w:val="20"/>
        </w:rPr>
        <w:t>and</w:t>
      </w:r>
      <w:r>
        <w:rPr>
          <w:spacing w:val="-3"/>
          <w:sz w:val="20"/>
        </w:rPr>
        <w:t xml:space="preserve"> </w:t>
      </w:r>
      <w:r>
        <w:rPr>
          <w:sz w:val="20"/>
        </w:rPr>
        <w:t>value</w:t>
      </w:r>
      <w:r>
        <w:rPr>
          <w:spacing w:val="-3"/>
          <w:sz w:val="20"/>
        </w:rPr>
        <w:t xml:space="preserve"> </w:t>
      </w:r>
      <w:r>
        <w:rPr>
          <w:sz w:val="20"/>
        </w:rPr>
        <w:t>to</w:t>
      </w:r>
      <w:r>
        <w:rPr>
          <w:spacing w:val="-3"/>
          <w:sz w:val="20"/>
        </w:rPr>
        <w:t xml:space="preserve"> </w:t>
      </w:r>
      <w:r>
        <w:rPr>
          <w:sz w:val="20"/>
        </w:rPr>
        <w:t>Future</w:t>
      </w:r>
      <w:r>
        <w:rPr>
          <w:spacing w:val="-3"/>
          <w:sz w:val="20"/>
        </w:rPr>
        <w:t xml:space="preserve"> </w:t>
      </w:r>
      <w:r>
        <w:rPr>
          <w:sz w:val="20"/>
        </w:rPr>
        <w:t>Leader</w:t>
      </w:r>
      <w:r>
        <w:rPr>
          <w:spacing w:val="-3"/>
          <w:sz w:val="20"/>
        </w:rPr>
        <w:t xml:space="preserve"> </w:t>
      </w:r>
      <w:r>
        <w:rPr>
          <w:sz w:val="20"/>
        </w:rPr>
        <w:t>Members</w:t>
      </w:r>
      <w:r>
        <w:rPr>
          <w:spacing w:val="-3"/>
          <w:sz w:val="20"/>
        </w:rPr>
        <w:t xml:space="preserve"> </w:t>
      </w:r>
      <w:r>
        <w:rPr>
          <w:sz w:val="20"/>
        </w:rPr>
        <w:t>and</w:t>
      </w:r>
      <w:r>
        <w:rPr>
          <w:spacing w:val="-3"/>
          <w:sz w:val="20"/>
        </w:rPr>
        <w:t xml:space="preserve"> </w:t>
      </w:r>
      <w:r>
        <w:rPr>
          <w:sz w:val="20"/>
        </w:rPr>
        <w:t>the community and produce newsletters or articles for Future Leader Members.</w:t>
      </w:r>
    </w:p>
    <w:p w14:paraId="73CBAD0F" w14:textId="77777777" w:rsidR="00AC6F3C" w:rsidRDefault="00570E88">
      <w:pPr>
        <w:pStyle w:val="ListParagraph"/>
        <w:numPr>
          <w:ilvl w:val="0"/>
          <w:numId w:val="38"/>
        </w:numPr>
        <w:tabs>
          <w:tab w:val="left" w:pos="1155"/>
        </w:tabs>
        <w:spacing w:before="172" w:line="249" w:lineRule="auto"/>
        <w:ind w:right="200"/>
        <w:rPr>
          <w:sz w:val="20"/>
        </w:rPr>
      </w:pPr>
      <w:r>
        <w:rPr>
          <w:sz w:val="20"/>
        </w:rPr>
        <w:t>develop</w:t>
      </w:r>
      <w:r>
        <w:rPr>
          <w:spacing w:val="-3"/>
          <w:sz w:val="20"/>
        </w:rPr>
        <w:t xml:space="preserve"> </w:t>
      </w:r>
      <w:r>
        <w:rPr>
          <w:sz w:val="20"/>
        </w:rPr>
        <w:t>and</w:t>
      </w:r>
      <w:r>
        <w:rPr>
          <w:spacing w:val="-3"/>
          <w:sz w:val="20"/>
        </w:rPr>
        <w:t xml:space="preserve"> </w:t>
      </w:r>
      <w:r>
        <w:rPr>
          <w:sz w:val="20"/>
        </w:rPr>
        <w:t>extend</w:t>
      </w:r>
      <w:r>
        <w:rPr>
          <w:spacing w:val="-3"/>
          <w:sz w:val="20"/>
        </w:rPr>
        <w:t xml:space="preserve"> </w:t>
      </w:r>
      <w:r>
        <w:rPr>
          <w:sz w:val="20"/>
        </w:rPr>
        <w:t>areas</w:t>
      </w:r>
      <w:r>
        <w:rPr>
          <w:spacing w:val="-3"/>
          <w:sz w:val="20"/>
        </w:rPr>
        <w:t xml:space="preserve"> </w:t>
      </w:r>
      <w:r>
        <w:rPr>
          <w:sz w:val="20"/>
        </w:rPr>
        <w:t>of</w:t>
      </w:r>
      <w:r>
        <w:rPr>
          <w:spacing w:val="-3"/>
          <w:sz w:val="20"/>
        </w:rPr>
        <w:t xml:space="preserve"> </w:t>
      </w:r>
      <w:r>
        <w:rPr>
          <w:sz w:val="20"/>
        </w:rPr>
        <w:t>mutual</w:t>
      </w:r>
      <w:r>
        <w:rPr>
          <w:spacing w:val="-3"/>
          <w:sz w:val="20"/>
        </w:rPr>
        <w:t xml:space="preserve"> </w:t>
      </w:r>
      <w:r>
        <w:rPr>
          <w:sz w:val="20"/>
        </w:rPr>
        <w:t>interest</w:t>
      </w:r>
      <w:r>
        <w:rPr>
          <w:spacing w:val="-3"/>
          <w:sz w:val="20"/>
        </w:rPr>
        <w:t xml:space="preserve"> </w:t>
      </w:r>
      <w:r>
        <w:rPr>
          <w:sz w:val="20"/>
        </w:rPr>
        <w:t>between</w:t>
      </w:r>
      <w:r>
        <w:rPr>
          <w:spacing w:val="-3"/>
          <w:sz w:val="20"/>
        </w:rPr>
        <w:t xml:space="preserve"> </w:t>
      </w:r>
      <w:r>
        <w:rPr>
          <w:sz w:val="20"/>
        </w:rPr>
        <w:t>the</w:t>
      </w:r>
      <w:r>
        <w:rPr>
          <w:spacing w:val="-3"/>
          <w:sz w:val="20"/>
        </w:rPr>
        <w:t xml:space="preserve"> </w:t>
      </w:r>
      <w:r>
        <w:rPr>
          <w:sz w:val="20"/>
        </w:rPr>
        <w:t>Committee</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related</w:t>
      </w:r>
      <w:r>
        <w:rPr>
          <w:spacing w:val="-3"/>
          <w:sz w:val="20"/>
        </w:rPr>
        <w:t xml:space="preserve"> </w:t>
      </w:r>
      <w:proofErr w:type="spellStart"/>
      <w:r>
        <w:rPr>
          <w:sz w:val="20"/>
        </w:rPr>
        <w:t>organisations</w:t>
      </w:r>
      <w:proofErr w:type="spellEnd"/>
      <w:r>
        <w:rPr>
          <w:sz w:val="20"/>
        </w:rPr>
        <w:t>, district law associations, and stakeholders across all parts of Queensland.</w:t>
      </w:r>
    </w:p>
    <w:p w14:paraId="67BB05FE" w14:textId="77777777" w:rsidR="00AC6F3C" w:rsidRDefault="00570E88">
      <w:pPr>
        <w:pStyle w:val="ListParagraph"/>
        <w:numPr>
          <w:ilvl w:val="0"/>
          <w:numId w:val="38"/>
        </w:numPr>
        <w:tabs>
          <w:tab w:val="left" w:pos="1155"/>
        </w:tabs>
        <w:spacing w:before="172" w:line="249" w:lineRule="auto"/>
        <w:ind w:right="360"/>
        <w:rPr>
          <w:sz w:val="20"/>
        </w:rPr>
      </w:pPr>
      <w:r>
        <w:rPr>
          <w:sz w:val="20"/>
        </w:rPr>
        <w:t>further</w:t>
      </w:r>
      <w:r>
        <w:rPr>
          <w:spacing w:val="-4"/>
          <w:sz w:val="20"/>
        </w:rPr>
        <w:t xml:space="preserve"> </w:t>
      </w:r>
      <w:r>
        <w:rPr>
          <w:sz w:val="20"/>
        </w:rPr>
        <w:t>the</w:t>
      </w:r>
      <w:r>
        <w:rPr>
          <w:spacing w:val="-4"/>
          <w:sz w:val="20"/>
        </w:rPr>
        <w:t xml:space="preserve"> </w:t>
      </w:r>
      <w:r>
        <w:rPr>
          <w:sz w:val="20"/>
        </w:rPr>
        <w:t>vision,</w:t>
      </w:r>
      <w:r>
        <w:rPr>
          <w:spacing w:val="-4"/>
          <w:sz w:val="20"/>
        </w:rPr>
        <w:t xml:space="preserve"> </w:t>
      </w:r>
      <w:r>
        <w:rPr>
          <w:sz w:val="20"/>
        </w:rPr>
        <w:t>purpose</w:t>
      </w:r>
      <w:r>
        <w:rPr>
          <w:spacing w:val="-4"/>
          <w:sz w:val="20"/>
        </w:rPr>
        <w:t xml:space="preserve"> </w:t>
      </w:r>
      <w:r>
        <w:rPr>
          <w:sz w:val="20"/>
        </w:rPr>
        <w:t>and</w:t>
      </w:r>
      <w:r>
        <w:rPr>
          <w:spacing w:val="-4"/>
          <w:sz w:val="20"/>
        </w:rPr>
        <w:t xml:space="preserve"> </w:t>
      </w:r>
      <w:r>
        <w:rPr>
          <w:sz w:val="20"/>
        </w:rPr>
        <w:t>objectives</w:t>
      </w:r>
      <w:r>
        <w:rPr>
          <w:spacing w:val="-4"/>
          <w:sz w:val="20"/>
        </w:rPr>
        <w:t xml:space="preserve"> </w:t>
      </w:r>
      <w:r>
        <w:rPr>
          <w:sz w:val="20"/>
        </w:rPr>
        <w:t>of</w:t>
      </w:r>
      <w:r>
        <w:rPr>
          <w:spacing w:val="-4"/>
          <w:sz w:val="20"/>
        </w:rPr>
        <w:t xml:space="preserve"> </w:t>
      </w:r>
      <w:r>
        <w:rPr>
          <w:sz w:val="20"/>
        </w:rPr>
        <w:t>Queensland</w:t>
      </w:r>
      <w:r>
        <w:rPr>
          <w:spacing w:val="-4"/>
          <w:sz w:val="20"/>
        </w:rPr>
        <w:t xml:space="preserve"> </w:t>
      </w:r>
      <w:r>
        <w:rPr>
          <w:sz w:val="20"/>
        </w:rPr>
        <w:t>solicitors</w:t>
      </w:r>
      <w:r>
        <w:rPr>
          <w:spacing w:val="-4"/>
          <w:sz w:val="20"/>
        </w:rPr>
        <w:t xml:space="preserve"> </w:t>
      </w:r>
      <w:r>
        <w:rPr>
          <w:sz w:val="20"/>
        </w:rPr>
        <w:t>generally,</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focus</w:t>
      </w:r>
      <w:r>
        <w:rPr>
          <w:spacing w:val="-4"/>
          <w:sz w:val="20"/>
        </w:rPr>
        <w:t xml:space="preserve"> </w:t>
      </w:r>
      <w:r>
        <w:rPr>
          <w:sz w:val="20"/>
        </w:rPr>
        <w:t>on</w:t>
      </w:r>
      <w:r>
        <w:rPr>
          <w:spacing w:val="-4"/>
          <w:sz w:val="20"/>
        </w:rPr>
        <w:t xml:space="preserve"> </w:t>
      </w:r>
      <w:r>
        <w:rPr>
          <w:sz w:val="20"/>
        </w:rPr>
        <w:t>Future Leader Members in Queensland.</w:t>
      </w:r>
    </w:p>
    <w:p w14:paraId="0CE1D0B2" w14:textId="77777777" w:rsidR="00AC6F3C" w:rsidRDefault="00AC6F3C">
      <w:pPr>
        <w:spacing w:line="249" w:lineRule="auto"/>
        <w:rPr>
          <w:sz w:val="20"/>
        </w:rPr>
        <w:sectPr w:rsidR="00AC6F3C">
          <w:headerReference w:type="default" r:id="rId172"/>
          <w:footerReference w:type="default" r:id="rId173"/>
          <w:pgSz w:w="11910" w:h="16840"/>
          <w:pgMar w:top="1120" w:right="1160" w:bottom="520" w:left="460" w:header="0" w:footer="336" w:gutter="0"/>
          <w:cols w:space="720"/>
        </w:sectPr>
      </w:pPr>
    </w:p>
    <w:p w14:paraId="4E0FF3F6" w14:textId="77777777" w:rsidR="00AC6F3C" w:rsidRDefault="00570E88">
      <w:pPr>
        <w:pStyle w:val="ListParagraph"/>
        <w:numPr>
          <w:ilvl w:val="0"/>
          <w:numId w:val="38"/>
        </w:numPr>
        <w:tabs>
          <w:tab w:val="left" w:pos="1155"/>
        </w:tabs>
        <w:spacing w:before="167"/>
        <w:ind w:hanging="340"/>
        <w:rPr>
          <w:sz w:val="20"/>
        </w:rPr>
      </w:pPr>
      <w:r>
        <w:rPr>
          <w:spacing w:val="-2"/>
          <w:sz w:val="20"/>
        </w:rPr>
        <w:lastRenderedPageBreak/>
        <w:t>Georgia</w:t>
      </w:r>
      <w:r>
        <w:rPr>
          <w:spacing w:val="-3"/>
          <w:sz w:val="20"/>
        </w:rPr>
        <w:t xml:space="preserve"> </w:t>
      </w:r>
      <w:r>
        <w:rPr>
          <w:spacing w:val="-2"/>
          <w:sz w:val="20"/>
        </w:rPr>
        <w:t>Athanasellis</w:t>
      </w:r>
    </w:p>
    <w:p w14:paraId="550F0027" w14:textId="77777777" w:rsidR="00AC6F3C" w:rsidRDefault="00570E88">
      <w:pPr>
        <w:pStyle w:val="ListParagraph"/>
        <w:numPr>
          <w:ilvl w:val="0"/>
          <w:numId w:val="38"/>
        </w:numPr>
        <w:tabs>
          <w:tab w:val="left" w:pos="1155"/>
        </w:tabs>
        <w:ind w:hanging="340"/>
        <w:rPr>
          <w:sz w:val="20"/>
        </w:rPr>
      </w:pPr>
      <w:r>
        <w:rPr>
          <w:sz w:val="20"/>
        </w:rPr>
        <w:t>Minnie</w:t>
      </w:r>
      <w:r>
        <w:rPr>
          <w:spacing w:val="-5"/>
          <w:sz w:val="20"/>
        </w:rPr>
        <w:t xml:space="preserve"> </w:t>
      </w:r>
      <w:r>
        <w:rPr>
          <w:spacing w:val="-2"/>
          <w:sz w:val="20"/>
        </w:rPr>
        <w:t>Hannaford</w:t>
      </w:r>
    </w:p>
    <w:p w14:paraId="3B85C590" w14:textId="77777777" w:rsidR="00AC6F3C" w:rsidRDefault="00570E88">
      <w:pPr>
        <w:pStyle w:val="ListParagraph"/>
        <w:numPr>
          <w:ilvl w:val="0"/>
          <w:numId w:val="38"/>
        </w:numPr>
        <w:tabs>
          <w:tab w:val="left" w:pos="1155"/>
        </w:tabs>
        <w:ind w:hanging="340"/>
        <w:rPr>
          <w:sz w:val="20"/>
        </w:rPr>
      </w:pPr>
      <w:r>
        <w:rPr>
          <w:spacing w:val="-2"/>
          <w:sz w:val="20"/>
        </w:rPr>
        <w:t>Stafford</w:t>
      </w:r>
      <w:r>
        <w:rPr>
          <w:sz w:val="20"/>
        </w:rPr>
        <w:t xml:space="preserve"> </w:t>
      </w:r>
      <w:r>
        <w:rPr>
          <w:spacing w:val="-2"/>
          <w:sz w:val="20"/>
        </w:rPr>
        <w:t>Mortensen</w:t>
      </w:r>
    </w:p>
    <w:p w14:paraId="15F906A6" w14:textId="77777777" w:rsidR="00AC6F3C" w:rsidRDefault="00570E88">
      <w:pPr>
        <w:pStyle w:val="ListParagraph"/>
        <w:numPr>
          <w:ilvl w:val="0"/>
          <w:numId w:val="38"/>
        </w:numPr>
        <w:tabs>
          <w:tab w:val="left" w:pos="1155"/>
        </w:tabs>
        <w:ind w:hanging="340"/>
        <w:rPr>
          <w:sz w:val="20"/>
        </w:rPr>
      </w:pPr>
      <w:r>
        <w:rPr>
          <w:sz w:val="20"/>
        </w:rPr>
        <w:t>Michael</w:t>
      </w:r>
      <w:r>
        <w:rPr>
          <w:spacing w:val="-6"/>
          <w:sz w:val="20"/>
        </w:rPr>
        <w:t xml:space="preserve"> </w:t>
      </w:r>
      <w:r>
        <w:rPr>
          <w:spacing w:val="-2"/>
          <w:sz w:val="20"/>
        </w:rPr>
        <w:t>Murray</w:t>
      </w:r>
    </w:p>
    <w:p w14:paraId="0D80BFE9" w14:textId="77777777" w:rsidR="00AC6F3C" w:rsidRDefault="00570E88">
      <w:pPr>
        <w:pStyle w:val="ListParagraph"/>
        <w:numPr>
          <w:ilvl w:val="0"/>
          <w:numId w:val="38"/>
        </w:numPr>
        <w:tabs>
          <w:tab w:val="left" w:pos="1155"/>
        </w:tabs>
        <w:ind w:hanging="340"/>
        <w:rPr>
          <w:sz w:val="20"/>
        </w:rPr>
      </w:pPr>
      <w:r>
        <w:rPr>
          <w:sz w:val="20"/>
        </w:rPr>
        <w:t>Sarah</w:t>
      </w:r>
      <w:r>
        <w:rPr>
          <w:spacing w:val="-4"/>
          <w:sz w:val="20"/>
        </w:rPr>
        <w:t xml:space="preserve"> </w:t>
      </w:r>
      <w:proofErr w:type="spellStart"/>
      <w:r>
        <w:rPr>
          <w:spacing w:val="-2"/>
          <w:sz w:val="20"/>
        </w:rPr>
        <w:t>Plasto</w:t>
      </w:r>
      <w:proofErr w:type="spellEnd"/>
    </w:p>
    <w:p w14:paraId="1F4F0A90" w14:textId="77777777" w:rsidR="00AC6F3C" w:rsidRDefault="00570E88">
      <w:pPr>
        <w:pStyle w:val="ListParagraph"/>
        <w:numPr>
          <w:ilvl w:val="0"/>
          <w:numId w:val="38"/>
        </w:numPr>
        <w:tabs>
          <w:tab w:val="left" w:pos="1155"/>
        </w:tabs>
        <w:ind w:hanging="340"/>
        <w:rPr>
          <w:sz w:val="20"/>
        </w:rPr>
      </w:pPr>
      <w:r>
        <w:rPr>
          <w:sz w:val="20"/>
        </w:rPr>
        <w:t>Simon</w:t>
      </w:r>
      <w:r>
        <w:rPr>
          <w:spacing w:val="-6"/>
          <w:sz w:val="20"/>
        </w:rPr>
        <w:t xml:space="preserve"> </w:t>
      </w:r>
      <w:r>
        <w:rPr>
          <w:spacing w:val="-2"/>
          <w:sz w:val="20"/>
        </w:rPr>
        <w:t>Playford</w:t>
      </w:r>
    </w:p>
    <w:p w14:paraId="365503A4" w14:textId="77777777" w:rsidR="00AC6F3C" w:rsidRDefault="00570E88">
      <w:pPr>
        <w:pStyle w:val="ListParagraph"/>
        <w:numPr>
          <w:ilvl w:val="0"/>
          <w:numId w:val="38"/>
        </w:numPr>
        <w:tabs>
          <w:tab w:val="left" w:pos="1155"/>
        </w:tabs>
        <w:ind w:hanging="340"/>
        <w:rPr>
          <w:sz w:val="20"/>
        </w:rPr>
      </w:pPr>
      <w:r>
        <w:rPr>
          <w:sz w:val="20"/>
        </w:rPr>
        <w:t>Ella</w:t>
      </w:r>
      <w:r>
        <w:rPr>
          <w:spacing w:val="-7"/>
          <w:sz w:val="20"/>
        </w:rPr>
        <w:t xml:space="preserve"> </w:t>
      </w:r>
      <w:r>
        <w:rPr>
          <w:spacing w:val="-2"/>
          <w:sz w:val="20"/>
        </w:rPr>
        <w:t>Thomas</w:t>
      </w:r>
    </w:p>
    <w:p w14:paraId="76796F6F" w14:textId="77777777" w:rsidR="00AC6F3C" w:rsidRDefault="00570E88">
      <w:pPr>
        <w:pStyle w:val="ListParagraph"/>
        <w:numPr>
          <w:ilvl w:val="0"/>
          <w:numId w:val="38"/>
        </w:numPr>
        <w:tabs>
          <w:tab w:val="left" w:pos="1155"/>
          <w:tab w:val="left" w:pos="3695"/>
        </w:tabs>
        <w:ind w:hanging="340"/>
        <w:rPr>
          <w:i/>
          <w:sz w:val="20"/>
        </w:rPr>
      </w:pPr>
      <w:r>
        <w:rPr>
          <w:sz w:val="20"/>
        </w:rPr>
        <w:t>Kate</w:t>
      </w:r>
      <w:r>
        <w:rPr>
          <w:spacing w:val="-3"/>
          <w:sz w:val="20"/>
        </w:rPr>
        <w:t xml:space="preserve"> </w:t>
      </w:r>
      <w:r>
        <w:rPr>
          <w:spacing w:val="-2"/>
          <w:sz w:val="20"/>
        </w:rPr>
        <w:t>Pidgeon</w:t>
      </w:r>
      <w:r>
        <w:rPr>
          <w:sz w:val="20"/>
        </w:rPr>
        <w:tab/>
      </w:r>
      <w:r>
        <w:rPr>
          <w:i/>
          <w:sz w:val="20"/>
        </w:rPr>
        <w:t>until</w:t>
      </w:r>
      <w:r>
        <w:rPr>
          <w:i/>
          <w:spacing w:val="-4"/>
          <w:sz w:val="20"/>
        </w:rPr>
        <w:t xml:space="preserve"> </w:t>
      </w:r>
      <w:r>
        <w:rPr>
          <w:i/>
          <w:spacing w:val="-2"/>
          <w:sz w:val="20"/>
        </w:rPr>
        <w:t>31/12/22</w:t>
      </w:r>
    </w:p>
    <w:p w14:paraId="2BB4F2C1" w14:textId="77777777" w:rsidR="00AC6F3C" w:rsidRDefault="00570E88">
      <w:pPr>
        <w:pStyle w:val="ListParagraph"/>
        <w:numPr>
          <w:ilvl w:val="0"/>
          <w:numId w:val="38"/>
        </w:numPr>
        <w:tabs>
          <w:tab w:val="left" w:pos="1155"/>
          <w:tab w:val="left" w:pos="3695"/>
        </w:tabs>
        <w:ind w:hanging="340"/>
        <w:rPr>
          <w:i/>
          <w:sz w:val="20"/>
        </w:rPr>
      </w:pPr>
      <w:r>
        <w:rPr>
          <w:sz w:val="20"/>
        </w:rPr>
        <w:t>Rebecca</w:t>
      </w:r>
      <w:r>
        <w:rPr>
          <w:spacing w:val="-6"/>
          <w:sz w:val="20"/>
        </w:rPr>
        <w:t xml:space="preserve"> </w:t>
      </w:r>
      <w:r>
        <w:rPr>
          <w:spacing w:val="-2"/>
          <w:sz w:val="20"/>
        </w:rPr>
        <w:t>Murray</w:t>
      </w:r>
      <w:r>
        <w:rPr>
          <w:sz w:val="20"/>
        </w:rPr>
        <w:tab/>
      </w:r>
      <w:r>
        <w:rPr>
          <w:i/>
          <w:sz w:val="20"/>
        </w:rPr>
        <w:t>until</w:t>
      </w:r>
      <w:r>
        <w:rPr>
          <w:i/>
          <w:spacing w:val="-4"/>
          <w:sz w:val="20"/>
        </w:rPr>
        <w:t xml:space="preserve"> </w:t>
      </w:r>
      <w:r>
        <w:rPr>
          <w:i/>
          <w:spacing w:val="-2"/>
          <w:sz w:val="20"/>
        </w:rPr>
        <w:t>31/12/22</w:t>
      </w:r>
    </w:p>
    <w:p w14:paraId="57D1B2A6" w14:textId="77777777" w:rsidR="00AC6F3C" w:rsidRDefault="00570E88">
      <w:pPr>
        <w:pStyle w:val="ListParagraph"/>
        <w:numPr>
          <w:ilvl w:val="0"/>
          <w:numId w:val="38"/>
        </w:numPr>
        <w:tabs>
          <w:tab w:val="left" w:pos="1155"/>
          <w:tab w:val="left" w:pos="3695"/>
        </w:tabs>
        <w:ind w:hanging="340"/>
        <w:rPr>
          <w:i/>
          <w:sz w:val="20"/>
        </w:rPr>
      </w:pPr>
      <w:r>
        <w:rPr>
          <w:sz w:val="20"/>
        </w:rPr>
        <w:t>Zoe</w:t>
      </w:r>
      <w:r>
        <w:rPr>
          <w:spacing w:val="-2"/>
          <w:sz w:val="20"/>
        </w:rPr>
        <w:t xml:space="preserve"> Navarro</w:t>
      </w:r>
      <w:r>
        <w:rPr>
          <w:sz w:val="20"/>
        </w:rPr>
        <w:tab/>
      </w:r>
      <w:r>
        <w:rPr>
          <w:i/>
          <w:sz w:val="20"/>
        </w:rPr>
        <w:t>until</w:t>
      </w:r>
      <w:r>
        <w:rPr>
          <w:i/>
          <w:spacing w:val="-4"/>
          <w:sz w:val="20"/>
        </w:rPr>
        <w:t xml:space="preserve"> </w:t>
      </w:r>
      <w:r>
        <w:rPr>
          <w:i/>
          <w:spacing w:val="-2"/>
          <w:sz w:val="20"/>
        </w:rPr>
        <w:t>31/12/22</w:t>
      </w:r>
    </w:p>
    <w:p w14:paraId="22BF70A9" w14:textId="77777777" w:rsidR="00AC6F3C" w:rsidRDefault="00570E88">
      <w:pPr>
        <w:pStyle w:val="ListParagraph"/>
        <w:numPr>
          <w:ilvl w:val="0"/>
          <w:numId w:val="38"/>
        </w:numPr>
        <w:tabs>
          <w:tab w:val="left" w:pos="1155"/>
          <w:tab w:val="left" w:pos="3695"/>
        </w:tabs>
        <w:ind w:hanging="340"/>
        <w:rPr>
          <w:i/>
          <w:sz w:val="20"/>
        </w:rPr>
      </w:pPr>
      <w:r>
        <w:rPr>
          <w:sz w:val="20"/>
        </w:rPr>
        <w:t>Matthew</w:t>
      </w:r>
      <w:r>
        <w:rPr>
          <w:spacing w:val="-8"/>
          <w:sz w:val="20"/>
        </w:rPr>
        <w:t xml:space="preserve"> </w:t>
      </w:r>
      <w:r>
        <w:rPr>
          <w:spacing w:val="-2"/>
          <w:sz w:val="20"/>
        </w:rPr>
        <w:t>Hollings</w:t>
      </w:r>
      <w:r>
        <w:rPr>
          <w:sz w:val="20"/>
        </w:rPr>
        <w:tab/>
      </w:r>
      <w:r>
        <w:rPr>
          <w:i/>
          <w:sz w:val="20"/>
        </w:rPr>
        <w:t>until</w:t>
      </w:r>
      <w:r>
        <w:rPr>
          <w:i/>
          <w:spacing w:val="-4"/>
          <w:sz w:val="20"/>
        </w:rPr>
        <w:t xml:space="preserve"> </w:t>
      </w:r>
      <w:r>
        <w:rPr>
          <w:i/>
          <w:spacing w:val="-2"/>
          <w:sz w:val="20"/>
        </w:rPr>
        <w:t>31/1/2023</w:t>
      </w:r>
    </w:p>
    <w:p w14:paraId="2551BB85" w14:textId="77777777" w:rsidR="00AC6F3C" w:rsidRDefault="00570E88">
      <w:pPr>
        <w:pStyle w:val="ListParagraph"/>
        <w:numPr>
          <w:ilvl w:val="0"/>
          <w:numId w:val="38"/>
        </w:numPr>
        <w:tabs>
          <w:tab w:val="left" w:pos="1155"/>
          <w:tab w:val="left" w:pos="3695"/>
        </w:tabs>
        <w:ind w:hanging="340"/>
        <w:rPr>
          <w:i/>
          <w:sz w:val="20"/>
        </w:rPr>
      </w:pPr>
      <w:r>
        <w:rPr>
          <w:sz w:val="20"/>
        </w:rPr>
        <w:t>Ashleigh</w:t>
      </w:r>
      <w:r>
        <w:rPr>
          <w:spacing w:val="-7"/>
          <w:sz w:val="20"/>
        </w:rPr>
        <w:t xml:space="preserve"> </w:t>
      </w:r>
      <w:r>
        <w:rPr>
          <w:spacing w:val="-2"/>
          <w:sz w:val="20"/>
        </w:rPr>
        <w:t>Fanning</w:t>
      </w:r>
      <w:r>
        <w:rPr>
          <w:sz w:val="20"/>
        </w:rPr>
        <w:tab/>
      </w:r>
      <w:r>
        <w:rPr>
          <w:i/>
          <w:sz w:val="20"/>
        </w:rPr>
        <w:t xml:space="preserve">from </w:t>
      </w:r>
      <w:r>
        <w:rPr>
          <w:i/>
          <w:spacing w:val="-2"/>
          <w:sz w:val="20"/>
        </w:rPr>
        <w:t>1/02/2023</w:t>
      </w:r>
    </w:p>
    <w:p w14:paraId="4B9392AA" w14:textId="77777777" w:rsidR="00AC6F3C" w:rsidRDefault="00570E88">
      <w:pPr>
        <w:pStyle w:val="ListParagraph"/>
        <w:numPr>
          <w:ilvl w:val="0"/>
          <w:numId w:val="38"/>
        </w:numPr>
        <w:tabs>
          <w:tab w:val="left" w:pos="1155"/>
          <w:tab w:val="left" w:pos="3695"/>
        </w:tabs>
        <w:ind w:hanging="340"/>
        <w:rPr>
          <w:i/>
          <w:sz w:val="20"/>
        </w:rPr>
      </w:pPr>
      <w:r>
        <w:rPr>
          <w:sz w:val="20"/>
        </w:rPr>
        <w:t>Jonathan</w:t>
      </w:r>
      <w:r>
        <w:rPr>
          <w:spacing w:val="-7"/>
          <w:sz w:val="20"/>
        </w:rPr>
        <w:t xml:space="preserve"> </w:t>
      </w:r>
      <w:r>
        <w:rPr>
          <w:spacing w:val="-4"/>
          <w:sz w:val="20"/>
        </w:rPr>
        <w:t>Nyst</w:t>
      </w:r>
      <w:r>
        <w:rPr>
          <w:sz w:val="20"/>
        </w:rPr>
        <w:tab/>
      </w:r>
      <w:r>
        <w:rPr>
          <w:i/>
          <w:sz w:val="20"/>
        </w:rPr>
        <w:t xml:space="preserve">from </w:t>
      </w:r>
      <w:r>
        <w:rPr>
          <w:i/>
          <w:spacing w:val="-2"/>
          <w:sz w:val="20"/>
        </w:rPr>
        <w:t>1/02/2023</w:t>
      </w:r>
    </w:p>
    <w:p w14:paraId="776E6A2F" w14:textId="77777777" w:rsidR="00AC6F3C" w:rsidRDefault="00570E88">
      <w:pPr>
        <w:pStyle w:val="ListParagraph"/>
        <w:numPr>
          <w:ilvl w:val="0"/>
          <w:numId w:val="38"/>
        </w:numPr>
        <w:tabs>
          <w:tab w:val="left" w:pos="1155"/>
          <w:tab w:val="left" w:pos="3695"/>
        </w:tabs>
        <w:spacing w:before="181"/>
        <w:ind w:hanging="340"/>
        <w:rPr>
          <w:i/>
          <w:sz w:val="20"/>
        </w:rPr>
      </w:pPr>
      <w:r>
        <w:rPr>
          <w:spacing w:val="-4"/>
          <w:sz w:val="20"/>
        </w:rPr>
        <w:t>Georgina</w:t>
      </w:r>
      <w:r>
        <w:rPr>
          <w:spacing w:val="-5"/>
          <w:sz w:val="20"/>
        </w:rPr>
        <w:t xml:space="preserve"> </w:t>
      </w:r>
      <w:proofErr w:type="spellStart"/>
      <w:r>
        <w:rPr>
          <w:spacing w:val="-2"/>
          <w:sz w:val="20"/>
        </w:rPr>
        <w:t>Peereboom</w:t>
      </w:r>
      <w:proofErr w:type="spellEnd"/>
      <w:r>
        <w:rPr>
          <w:sz w:val="20"/>
        </w:rPr>
        <w:tab/>
      </w:r>
      <w:r>
        <w:rPr>
          <w:i/>
          <w:sz w:val="20"/>
        </w:rPr>
        <w:t xml:space="preserve">from </w:t>
      </w:r>
      <w:r>
        <w:rPr>
          <w:i/>
          <w:spacing w:val="-2"/>
          <w:sz w:val="20"/>
        </w:rPr>
        <w:t>1/02/2023</w:t>
      </w:r>
    </w:p>
    <w:p w14:paraId="61EC7287" w14:textId="77777777" w:rsidR="00AC6F3C" w:rsidRDefault="00570E88">
      <w:pPr>
        <w:pStyle w:val="BodyText"/>
        <w:spacing w:before="180" w:line="249" w:lineRule="auto"/>
        <w:ind w:left="815" w:right="234"/>
      </w:pPr>
      <w:r>
        <w:t>The</w:t>
      </w:r>
      <w:r>
        <w:rPr>
          <w:spacing w:val="-3"/>
        </w:rPr>
        <w:t xml:space="preserve"> </w:t>
      </w:r>
      <w:r>
        <w:t>FLC</w:t>
      </w:r>
      <w:r>
        <w:rPr>
          <w:spacing w:val="-3"/>
        </w:rPr>
        <w:t xml:space="preserve"> </w:t>
      </w:r>
      <w:r>
        <w:t>Committee</w:t>
      </w:r>
      <w:r>
        <w:rPr>
          <w:spacing w:val="-3"/>
        </w:rPr>
        <w:t xml:space="preserve"> </w:t>
      </w:r>
      <w:r>
        <w:t>has</w:t>
      </w:r>
      <w:r>
        <w:rPr>
          <w:spacing w:val="-3"/>
        </w:rPr>
        <w:t xml:space="preserve"> </w:t>
      </w:r>
      <w:r>
        <w:t>consulted</w:t>
      </w:r>
      <w:r>
        <w:rPr>
          <w:spacing w:val="-3"/>
        </w:rPr>
        <w:t xml:space="preserve"> </w:t>
      </w:r>
      <w:r>
        <w:t>on</w:t>
      </w:r>
      <w:r>
        <w:rPr>
          <w:spacing w:val="-3"/>
        </w:rPr>
        <w:t xml:space="preserve"> </w:t>
      </w:r>
      <w:r>
        <w:t>the</w:t>
      </w:r>
      <w:r>
        <w:rPr>
          <w:spacing w:val="-3"/>
        </w:rPr>
        <w:t xml:space="preserve"> </w:t>
      </w:r>
      <w:r>
        <w:t>development</w:t>
      </w:r>
      <w:r>
        <w:rPr>
          <w:spacing w:val="-3"/>
        </w:rPr>
        <w:t xml:space="preserve"> </w:t>
      </w:r>
      <w:r>
        <w:t>of</w:t>
      </w:r>
      <w:r>
        <w:rPr>
          <w:spacing w:val="-3"/>
        </w:rPr>
        <w:t xml:space="preserve"> </w:t>
      </w:r>
      <w:r>
        <w:t>several</w:t>
      </w:r>
      <w:r>
        <w:rPr>
          <w:spacing w:val="-3"/>
        </w:rPr>
        <w:t xml:space="preserve"> </w:t>
      </w:r>
      <w:r>
        <w:t>products</w:t>
      </w:r>
      <w:r>
        <w:rPr>
          <w:spacing w:val="-3"/>
        </w:rPr>
        <w:t xml:space="preserve"> </w:t>
      </w:r>
      <w:r>
        <w:t>and</w:t>
      </w:r>
      <w:r>
        <w:rPr>
          <w:spacing w:val="-3"/>
        </w:rPr>
        <w:t xml:space="preserve"> </w:t>
      </w:r>
      <w:r>
        <w:t>services</w:t>
      </w:r>
      <w:r>
        <w:rPr>
          <w:spacing w:val="-3"/>
        </w:rPr>
        <w:t xml:space="preserve"> </w:t>
      </w:r>
      <w:r>
        <w:t>specific</w:t>
      </w:r>
      <w:r>
        <w:rPr>
          <w:spacing w:val="-3"/>
        </w:rPr>
        <w:t xml:space="preserve"> </w:t>
      </w:r>
      <w:r>
        <w:t>to</w:t>
      </w:r>
      <w:r>
        <w:rPr>
          <w:spacing w:val="-3"/>
        </w:rPr>
        <w:t xml:space="preserve"> </w:t>
      </w:r>
      <w:r>
        <w:t>the early career cohort, including:</w:t>
      </w:r>
    </w:p>
    <w:p w14:paraId="46F27CC9" w14:textId="77777777" w:rsidR="00AC6F3C" w:rsidRDefault="00570E88">
      <w:pPr>
        <w:pStyle w:val="ListParagraph"/>
        <w:numPr>
          <w:ilvl w:val="0"/>
          <w:numId w:val="38"/>
        </w:numPr>
        <w:tabs>
          <w:tab w:val="left" w:pos="1155"/>
        </w:tabs>
        <w:spacing w:before="172" w:line="249" w:lineRule="auto"/>
        <w:ind w:right="316"/>
        <w:rPr>
          <w:sz w:val="20"/>
        </w:rPr>
      </w:pPr>
      <w:r>
        <w:rPr>
          <w:b/>
          <w:sz w:val="20"/>
        </w:rPr>
        <w:t>The</w:t>
      </w:r>
      <w:r>
        <w:rPr>
          <w:b/>
          <w:spacing w:val="-3"/>
          <w:sz w:val="20"/>
        </w:rPr>
        <w:t xml:space="preserve"> </w:t>
      </w:r>
      <w:proofErr w:type="spellStart"/>
      <w:r>
        <w:rPr>
          <w:b/>
          <w:sz w:val="20"/>
        </w:rPr>
        <w:t>Callover</w:t>
      </w:r>
      <w:proofErr w:type="spellEnd"/>
      <w:r>
        <w:rPr>
          <w:b/>
          <w:spacing w:val="-3"/>
          <w:sz w:val="20"/>
        </w:rPr>
        <w:t xml:space="preserve"> </w:t>
      </w:r>
      <w:r>
        <w:rPr>
          <w:b/>
          <w:sz w:val="20"/>
        </w:rPr>
        <w:t>–</w:t>
      </w:r>
      <w:r>
        <w:rPr>
          <w:b/>
          <w:spacing w:val="-3"/>
          <w:sz w:val="20"/>
        </w:rPr>
        <w:t xml:space="preserve"> </w:t>
      </w:r>
      <w:r>
        <w:rPr>
          <w:sz w:val="20"/>
        </w:rPr>
        <w:t>a</w:t>
      </w:r>
      <w:r>
        <w:rPr>
          <w:spacing w:val="-3"/>
          <w:sz w:val="20"/>
        </w:rPr>
        <w:t xml:space="preserve"> </w:t>
      </w:r>
      <w:r>
        <w:rPr>
          <w:sz w:val="20"/>
        </w:rPr>
        <w:t>podcast</w:t>
      </w:r>
      <w:r>
        <w:rPr>
          <w:spacing w:val="-3"/>
          <w:sz w:val="20"/>
        </w:rPr>
        <w:t xml:space="preserve"> </w:t>
      </w:r>
      <w:r>
        <w:rPr>
          <w:sz w:val="20"/>
        </w:rPr>
        <w:t>developed</w:t>
      </w:r>
      <w:r>
        <w:rPr>
          <w:spacing w:val="-3"/>
          <w:sz w:val="20"/>
        </w:rPr>
        <w:t xml:space="preserve"> </w:t>
      </w:r>
      <w:r>
        <w:rPr>
          <w:sz w:val="20"/>
        </w:rPr>
        <w:t>specifically</w:t>
      </w:r>
      <w:r>
        <w:rPr>
          <w:spacing w:val="-3"/>
          <w:sz w:val="20"/>
        </w:rPr>
        <w:t xml:space="preserve"> </w:t>
      </w:r>
      <w:r>
        <w:rPr>
          <w:sz w:val="20"/>
        </w:rPr>
        <w:t>for</w:t>
      </w:r>
      <w:r>
        <w:rPr>
          <w:spacing w:val="-3"/>
          <w:sz w:val="20"/>
        </w:rPr>
        <w:t xml:space="preserve"> </w:t>
      </w:r>
      <w:r>
        <w:rPr>
          <w:sz w:val="20"/>
        </w:rPr>
        <w:t>young</w:t>
      </w:r>
      <w:r>
        <w:rPr>
          <w:spacing w:val="-3"/>
          <w:sz w:val="20"/>
        </w:rPr>
        <w:t xml:space="preserve"> </w:t>
      </w:r>
      <w:r>
        <w:rPr>
          <w:sz w:val="20"/>
        </w:rPr>
        <w:t>lawyers,</w:t>
      </w:r>
      <w:r>
        <w:rPr>
          <w:spacing w:val="-3"/>
          <w:sz w:val="20"/>
        </w:rPr>
        <w:t xml:space="preserve"> </w:t>
      </w:r>
      <w:r>
        <w:rPr>
          <w:sz w:val="20"/>
        </w:rPr>
        <w:t>by</w:t>
      </w:r>
      <w:r>
        <w:rPr>
          <w:spacing w:val="-3"/>
          <w:sz w:val="20"/>
        </w:rPr>
        <w:t xml:space="preserve"> </w:t>
      </w:r>
      <w:r>
        <w:rPr>
          <w:sz w:val="20"/>
        </w:rPr>
        <w:t>young</w:t>
      </w:r>
      <w:r>
        <w:rPr>
          <w:spacing w:val="-3"/>
          <w:sz w:val="20"/>
        </w:rPr>
        <w:t xml:space="preserve"> </w:t>
      </w:r>
      <w:r>
        <w:rPr>
          <w:sz w:val="20"/>
        </w:rPr>
        <w:t>lawyers.</w:t>
      </w:r>
      <w:r>
        <w:rPr>
          <w:spacing w:val="-7"/>
          <w:sz w:val="20"/>
        </w:rPr>
        <w:t xml:space="preserve"> </w:t>
      </w:r>
      <w:r>
        <w:rPr>
          <w:sz w:val="20"/>
        </w:rPr>
        <w:t>The</w:t>
      </w:r>
      <w:r>
        <w:rPr>
          <w:spacing w:val="-3"/>
          <w:sz w:val="20"/>
        </w:rPr>
        <w:t xml:space="preserve"> </w:t>
      </w:r>
      <w:proofErr w:type="spellStart"/>
      <w:r>
        <w:rPr>
          <w:sz w:val="20"/>
        </w:rPr>
        <w:t>Callover</w:t>
      </w:r>
      <w:proofErr w:type="spellEnd"/>
      <w:r>
        <w:rPr>
          <w:sz w:val="20"/>
        </w:rPr>
        <w:t xml:space="preserve"> has new episodes monthly and covers topics of interest to young lawyers around career growth, women in law, what makes a good lawyer, and First Nations culture.</w:t>
      </w:r>
    </w:p>
    <w:p w14:paraId="5FA9F965" w14:textId="77777777" w:rsidR="00AC6F3C" w:rsidRDefault="00570E88">
      <w:pPr>
        <w:pStyle w:val="ListParagraph"/>
        <w:numPr>
          <w:ilvl w:val="0"/>
          <w:numId w:val="38"/>
        </w:numPr>
        <w:tabs>
          <w:tab w:val="left" w:pos="1155"/>
        </w:tabs>
        <w:spacing w:before="172" w:line="249" w:lineRule="auto"/>
        <w:ind w:right="156"/>
        <w:rPr>
          <w:sz w:val="20"/>
        </w:rPr>
      </w:pPr>
      <w:r>
        <w:rPr>
          <w:b/>
          <w:sz w:val="20"/>
        </w:rPr>
        <w:t xml:space="preserve">The FLC Hub – </w:t>
      </w:r>
      <w:r>
        <w:rPr>
          <w:sz w:val="20"/>
        </w:rPr>
        <w:t>a dedicated hub on the QLS website to help ensure young lawyers are connected,</w:t>
      </w:r>
      <w:r>
        <w:rPr>
          <w:spacing w:val="40"/>
          <w:sz w:val="20"/>
        </w:rPr>
        <w:t xml:space="preserve"> </w:t>
      </w:r>
      <w:r>
        <w:rPr>
          <w:sz w:val="20"/>
        </w:rPr>
        <w:t>be</w:t>
      </w:r>
      <w:r>
        <w:rPr>
          <w:spacing w:val="-3"/>
          <w:sz w:val="20"/>
        </w:rPr>
        <w:t xml:space="preserve"> </w:t>
      </w:r>
      <w:r>
        <w:rPr>
          <w:sz w:val="20"/>
        </w:rPr>
        <w:t>it</w:t>
      </w:r>
      <w:r>
        <w:rPr>
          <w:spacing w:val="-3"/>
          <w:sz w:val="20"/>
        </w:rPr>
        <w:t xml:space="preserve"> </w:t>
      </w:r>
      <w:r>
        <w:rPr>
          <w:sz w:val="20"/>
        </w:rPr>
        <w:t>through</w:t>
      </w:r>
      <w:r>
        <w:rPr>
          <w:spacing w:val="-3"/>
          <w:sz w:val="20"/>
        </w:rPr>
        <w:t xml:space="preserve"> </w:t>
      </w:r>
      <w:r>
        <w:rPr>
          <w:sz w:val="20"/>
        </w:rPr>
        <w:t>social</w:t>
      </w:r>
      <w:r>
        <w:rPr>
          <w:spacing w:val="-3"/>
          <w:sz w:val="20"/>
        </w:rPr>
        <w:t xml:space="preserve"> </w:t>
      </w:r>
      <w:r>
        <w:rPr>
          <w:sz w:val="20"/>
        </w:rPr>
        <w:t>networking</w:t>
      </w:r>
      <w:r>
        <w:rPr>
          <w:spacing w:val="-3"/>
          <w:sz w:val="20"/>
        </w:rPr>
        <w:t xml:space="preserve"> </w:t>
      </w:r>
      <w:r>
        <w:rPr>
          <w:sz w:val="20"/>
        </w:rPr>
        <w:t>events,</w:t>
      </w:r>
      <w:r>
        <w:rPr>
          <w:spacing w:val="-3"/>
          <w:sz w:val="20"/>
        </w:rPr>
        <w:t xml:space="preserve"> </w:t>
      </w:r>
      <w:r>
        <w:rPr>
          <w:sz w:val="20"/>
        </w:rPr>
        <w:t>bespoke</w:t>
      </w:r>
      <w:r>
        <w:rPr>
          <w:spacing w:val="-3"/>
          <w:sz w:val="20"/>
        </w:rPr>
        <w:t xml:space="preserve"> </w:t>
      </w:r>
      <w:r>
        <w:rPr>
          <w:sz w:val="20"/>
        </w:rPr>
        <w:t>professional</w:t>
      </w:r>
      <w:r>
        <w:rPr>
          <w:spacing w:val="-3"/>
          <w:sz w:val="20"/>
        </w:rPr>
        <w:t xml:space="preserve"> </w:t>
      </w:r>
      <w:r>
        <w:rPr>
          <w:sz w:val="20"/>
        </w:rPr>
        <w:t>development</w:t>
      </w:r>
      <w:r>
        <w:rPr>
          <w:spacing w:val="-3"/>
          <w:sz w:val="20"/>
        </w:rPr>
        <w:t xml:space="preserve"> </w:t>
      </w:r>
      <w:r>
        <w:rPr>
          <w:sz w:val="20"/>
        </w:rPr>
        <w:t>courses</w:t>
      </w:r>
      <w:r>
        <w:rPr>
          <w:spacing w:val="-3"/>
          <w:sz w:val="20"/>
        </w:rPr>
        <w:t xml:space="preserve"> </w:t>
      </w:r>
      <w:r>
        <w:rPr>
          <w:sz w:val="20"/>
        </w:rPr>
        <w:t>or</w:t>
      </w:r>
      <w:r>
        <w:rPr>
          <w:spacing w:val="-3"/>
          <w:sz w:val="20"/>
        </w:rPr>
        <w:t xml:space="preserve"> </w:t>
      </w:r>
      <w:r>
        <w:rPr>
          <w:sz w:val="20"/>
        </w:rPr>
        <w:t>information</w:t>
      </w:r>
      <w:r>
        <w:rPr>
          <w:spacing w:val="-3"/>
          <w:sz w:val="20"/>
        </w:rPr>
        <w:t xml:space="preserve"> </w:t>
      </w:r>
      <w:r>
        <w:rPr>
          <w:sz w:val="20"/>
        </w:rPr>
        <w:t>and resources that will help career development.</w:t>
      </w:r>
    </w:p>
    <w:p w14:paraId="16D17162" w14:textId="77777777" w:rsidR="00AC6F3C" w:rsidRDefault="00570E88">
      <w:pPr>
        <w:pStyle w:val="ListParagraph"/>
        <w:numPr>
          <w:ilvl w:val="0"/>
          <w:numId w:val="38"/>
        </w:numPr>
        <w:tabs>
          <w:tab w:val="left" w:pos="1155"/>
        </w:tabs>
        <w:spacing w:before="173"/>
        <w:ind w:hanging="340"/>
        <w:rPr>
          <w:sz w:val="20"/>
        </w:rPr>
      </w:pPr>
      <w:r>
        <w:rPr>
          <w:b/>
          <w:sz w:val="20"/>
        </w:rPr>
        <w:t>Professional,</w:t>
      </w:r>
      <w:r>
        <w:rPr>
          <w:b/>
          <w:spacing w:val="-3"/>
          <w:sz w:val="20"/>
        </w:rPr>
        <w:t xml:space="preserve"> </w:t>
      </w:r>
      <w:r>
        <w:rPr>
          <w:b/>
          <w:sz w:val="20"/>
        </w:rPr>
        <w:t>personal</w:t>
      </w:r>
      <w:r>
        <w:rPr>
          <w:b/>
          <w:spacing w:val="-2"/>
          <w:sz w:val="20"/>
        </w:rPr>
        <w:t xml:space="preserve"> </w:t>
      </w:r>
      <w:r>
        <w:rPr>
          <w:b/>
          <w:sz w:val="20"/>
        </w:rPr>
        <w:t>and</w:t>
      </w:r>
      <w:r>
        <w:rPr>
          <w:b/>
          <w:spacing w:val="-2"/>
          <w:sz w:val="20"/>
        </w:rPr>
        <w:t xml:space="preserve"> </w:t>
      </w:r>
      <w:r>
        <w:rPr>
          <w:b/>
          <w:sz w:val="20"/>
        </w:rPr>
        <w:t>wellbeing</w:t>
      </w:r>
      <w:r>
        <w:rPr>
          <w:b/>
          <w:spacing w:val="-3"/>
          <w:sz w:val="20"/>
        </w:rPr>
        <w:t xml:space="preserve"> </w:t>
      </w:r>
      <w:r>
        <w:rPr>
          <w:b/>
          <w:sz w:val="20"/>
        </w:rPr>
        <w:t>development</w:t>
      </w:r>
      <w:r>
        <w:rPr>
          <w:b/>
          <w:spacing w:val="-2"/>
          <w:sz w:val="20"/>
        </w:rPr>
        <w:t xml:space="preserve"> </w:t>
      </w:r>
      <w:r>
        <w:rPr>
          <w:b/>
          <w:sz w:val="20"/>
        </w:rPr>
        <w:t>events</w:t>
      </w:r>
      <w:r>
        <w:rPr>
          <w:b/>
          <w:spacing w:val="-2"/>
          <w:sz w:val="20"/>
        </w:rPr>
        <w:t xml:space="preserve"> </w:t>
      </w:r>
      <w:r>
        <w:rPr>
          <w:b/>
          <w:sz w:val="20"/>
        </w:rPr>
        <w:t>–</w:t>
      </w:r>
      <w:r>
        <w:rPr>
          <w:b/>
          <w:spacing w:val="-5"/>
          <w:sz w:val="20"/>
        </w:rPr>
        <w:t xml:space="preserve"> </w:t>
      </w:r>
      <w:r>
        <w:rPr>
          <w:sz w:val="20"/>
        </w:rPr>
        <w:t>face-to-face</w:t>
      </w:r>
      <w:r>
        <w:rPr>
          <w:spacing w:val="-2"/>
          <w:sz w:val="20"/>
        </w:rPr>
        <w:t xml:space="preserve"> </w:t>
      </w:r>
      <w:r>
        <w:rPr>
          <w:sz w:val="20"/>
        </w:rPr>
        <w:t>and</w:t>
      </w:r>
      <w:r>
        <w:rPr>
          <w:spacing w:val="-2"/>
          <w:sz w:val="20"/>
        </w:rPr>
        <w:t xml:space="preserve"> </w:t>
      </w:r>
      <w:r>
        <w:rPr>
          <w:sz w:val="20"/>
        </w:rPr>
        <w:t>online</w:t>
      </w:r>
      <w:r>
        <w:rPr>
          <w:spacing w:val="-2"/>
          <w:sz w:val="20"/>
        </w:rPr>
        <w:t xml:space="preserve"> education</w:t>
      </w:r>
    </w:p>
    <w:p w14:paraId="7BF78055" w14:textId="77777777" w:rsidR="00AC6F3C" w:rsidRDefault="00570E88">
      <w:pPr>
        <w:pStyle w:val="BodyText"/>
        <w:spacing w:before="10"/>
        <w:ind w:left="1155"/>
      </w:pPr>
      <w:r>
        <w:t>sessions</w:t>
      </w:r>
      <w:r>
        <w:rPr>
          <w:spacing w:val="-6"/>
        </w:rPr>
        <w:t xml:space="preserve"> </w:t>
      </w:r>
      <w:r>
        <w:t>to</w:t>
      </w:r>
      <w:r>
        <w:rPr>
          <w:spacing w:val="-3"/>
        </w:rPr>
        <w:t xml:space="preserve"> </w:t>
      </w:r>
      <w:r>
        <w:t>help</w:t>
      </w:r>
      <w:r>
        <w:rPr>
          <w:spacing w:val="-4"/>
        </w:rPr>
        <w:t xml:space="preserve"> </w:t>
      </w:r>
      <w:r>
        <w:t>career,</w:t>
      </w:r>
      <w:r>
        <w:rPr>
          <w:spacing w:val="-3"/>
        </w:rPr>
        <w:t xml:space="preserve"> </w:t>
      </w:r>
      <w:r>
        <w:t>social</w:t>
      </w:r>
      <w:r>
        <w:rPr>
          <w:spacing w:val="-3"/>
        </w:rPr>
        <w:t xml:space="preserve"> </w:t>
      </w:r>
      <w:r>
        <w:t>and</w:t>
      </w:r>
      <w:r>
        <w:rPr>
          <w:spacing w:val="-4"/>
        </w:rPr>
        <w:t xml:space="preserve"> </w:t>
      </w:r>
      <w:r>
        <w:t>wellbeing</w:t>
      </w:r>
      <w:r>
        <w:rPr>
          <w:spacing w:val="-3"/>
        </w:rPr>
        <w:t xml:space="preserve"> </w:t>
      </w:r>
      <w:r>
        <w:t>development</w:t>
      </w:r>
      <w:r>
        <w:rPr>
          <w:spacing w:val="-4"/>
        </w:rPr>
        <w:t xml:space="preserve"> </w:t>
      </w:r>
      <w:r>
        <w:t>of</w:t>
      </w:r>
      <w:r>
        <w:rPr>
          <w:spacing w:val="-3"/>
        </w:rPr>
        <w:t xml:space="preserve"> </w:t>
      </w:r>
      <w:r>
        <w:t>young</w:t>
      </w:r>
      <w:r>
        <w:rPr>
          <w:spacing w:val="-3"/>
        </w:rPr>
        <w:t xml:space="preserve"> </w:t>
      </w:r>
      <w:r>
        <w:rPr>
          <w:spacing w:val="-2"/>
        </w:rPr>
        <w:t>lawyers.</w:t>
      </w:r>
    </w:p>
    <w:p w14:paraId="610344DF" w14:textId="77777777" w:rsidR="00AC6F3C" w:rsidRDefault="00AC6F3C">
      <w:pPr>
        <w:pStyle w:val="BodyText"/>
        <w:spacing w:before="10"/>
        <w:rPr>
          <w:sz w:val="31"/>
        </w:rPr>
      </w:pPr>
    </w:p>
    <w:p w14:paraId="557612ED" w14:textId="77777777" w:rsidR="00AC6F3C" w:rsidRDefault="00570E88">
      <w:pPr>
        <w:ind w:left="815"/>
        <w:rPr>
          <w:b/>
          <w:sz w:val="26"/>
        </w:rPr>
      </w:pPr>
      <w:r>
        <w:rPr>
          <w:b/>
          <w:sz w:val="26"/>
        </w:rPr>
        <w:t xml:space="preserve">Queensland law </w:t>
      </w:r>
      <w:r>
        <w:rPr>
          <w:b/>
          <w:spacing w:val="-2"/>
          <w:sz w:val="26"/>
        </w:rPr>
        <w:t>students</w:t>
      </w:r>
    </w:p>
    <w:p w14:paraId="2DC0E7DD" w14:textId="77777777" w:rsidR="00AC6F3C" w:rsidRDefault="00570E88">
      <w:pPr>
        <w:pStyle w:val="BodyText"/>
        <w:spacing w:before="167" w:line="249" w:lineRule="auto"/>
        <w:ind w:left="815"/>
      </w:pPr>
      <w:r>
        <w:t>QLS</w:t>
      </w:r>
      <w:r>
        <w:rPr>
          <w:spacing w:val="-3"/>
        </w:rPr>
        <w:t xml:space="preserve"> </w:t>
      </w:r>
      <w:proofErr w:type="spellStart"/>
      <w:r>
        <w:t>recognises</w:t>
      </w:r>
      <w:proofErr w:type="spellEnd"/>
      <w:r>
        <w:rPr>
          <w:spacing w:val="-3"/>
        </w:rPr>
        <w:t xml:space="preserve"> </w:t>
      </w:r>
      <w:r>
        <w:t>that</w:t>
      </w:r>
      <w:r>
        <w:rPr>
          <w:spacing w:val="-3"/>
        </w:rPr>
        <w:t xml:space="preserve"> </w:t>
      </w:r>
      <w:r>
        <w:t>the</w:t>
      </w:r>
      <w:r>
        <w:rPr>
          <w:spacing w:val="-3"/>
        </w:rPr>
        <w:t xml:space="preserve"> </w:t>
      </w:r>
      <w:r>
        <w:t>future</w:t>
      </w:r>
      <w:r>
        <w:rPr>
          <w:spacing w:val="-3"/>
        </w:rPr>
        <w:t xml:space="preserve"> </w:t>
      </w:r>
      <w:r>
        <w:t>lawyers</w:t>
      </w:r>
      <w:r>
        <w:rPr>
          <w:spacing w:val="-3"/>
        </w:rPr>
        <w:t xml:space="preserve"> </w:t>
      </w:r>
      <w:r>
        <w:t>of</w:t>
      </w:r>
      <w:r>
        <w:rPr>
          <w:spacing w:val="-3"/>
        </w:rPr>
        <w:t xml:space="preserve"> </w:t>
      </w:r>
      <w:r>
        <w:t>Queensland</w:t>
      </w:r>
      <w:r>
        <w:rPr>
          <w:spacing w:val="-3"/>
        </w:rPr>
        <w:t xml:space="preserve"> </w:t>
      </w:r>
      <w:r>
        <w:t>demand</w:t>
      </w:r>
      <w:r>
        <w:rPr>
          <w:spacing w:val="-3"/>
        </w:rPr>
        <w:t xml:space="preserve"> </w:t>
      </w:r>
      <w:r>
        <w:t>more</w:t>
      </w:r>
      <w:r>
        <w:rPr>
          <w:spacing w:val="-3"/>
        </w:rPr>
        <w:t xml:space="preserve"> </w:t>
      </w:r>
      <w:r>
        <w:t>from</w:t>
      </w:r>
      <w:r>
        <w:rPr>
          <w:spacing w:val="-3"/>
        </w:rPr>
        <w:t xml:space="preserve"> </w:t>
      </w:r>
      <w:r>
        <w:t>their</w:t>
      </w:r>
      <w:r>
        <w:rPr>
          <w:spacing w:val="-3"/>
        </w:rPr>
        <w:t xml:space="preserve"> </w:t>
      </w:r>
      <w:r>
        <w:t>membership</w:t>
      </w:r>
      <w:r>
        <w:rPr>
          <w:spacing w:val="-3"/>
        </w:rPr>
        <w:t xml:space="preserve"> </w:t>
      </w:r>
      <w:r>
        <w:t>organisation. Our future lawyers value convenience, quality and collaboration.</w:t>
      </w:r>
    </w:p>
    <w:p w14:paraId="5C8BD3FD" w14:textId="77777777" w:rsidR="00AC6F3C" w:rsidRDefault="00570E88">
      <w:pPr>
        <w:pStyle w:val="BodyText"/>
        <w:spacing w:before="172" w:line="249" w:lineRule="auto"/>
        <w:ind w:left="815"/>
      </w:pPr>
      <w:r>
        <w:t>In 2022-23, QLS again collaborated with 19 mid to top-tier law firms and the eight law schools to institute transparency</w:t>
      </w:r>
      <w:r>
        <w:rPr>
          <w:spacing w:val="-3"/>
        </w:rPr>
        <w:t xml:space="preserve"> </w:t>
      </w:r>
      <w:r>
        <w:t>and</w:t>
      </w:r>
      <w:r>
        <w:rPr>
          <w:spacing w:val="-3"/>
        </w:rPr>
        <w:t xml:space="preserve"> </w:t>
      </w:r>
      <w:r>
        <w:t>consistency</w:t>
      </w:r>
      <w:r>
        <w:rPr>
          <w:spacing w:val="-3"/>
        </w:rPr>
        <w:t xml:space="preserve"> </w:t>
      </w:r>
      <w:r>
        <w:t>in</w:t>
      </w:r>
      <w:r>
        <w:rPr>
          <w:spacing w:val="-3"/>
        </w:rPr>
        <w:t xml:space="preserve"> </w:t>
      </w:r>
      <w:r>
        <w:t>the</w:t>
      </w:r>
      <w:r>
        <w:rPr>
          <w:spacing w:val="-3"/>
        </w:rPr>
        <w:t xml:space="preserve"> </w:t>
      </w:r>
      <w:r>
        <w:t>Queensland</w:t>
      </w:r>
      <w:r>
        <w:rPr>
          <w:spacing w:val="-3"/>
        </w:rPr>
        <w:t xml:space="preserve"> </w:t>
      </w:r>
      <w:r>
        <w:t>legal</w:t>
      </w:r>
      <w:r>
        <w:rPr>
          <w:spacing w:val="-3"/>
        </w:rPr>
        <w:t xml:space="preserve"> </w:t>
      </w:r>
      <w:r>
        <w:t>recruitment</w:t>
      </w:r>
      <w:r>
        <w:rPr>
          <w:spacing w:val="-3"/>
        </w:rPr>
        <w:t xml:space="preserve"> </w:t>
      </w:r>
      <w:r>
        <w:t>cycle</w:t>
      </w:r>
      <w:r>
        <w:rPr>
          <w:spacing w:val="-3"/>
        </w:rPr>
        <w:t xml:space="preserve"> </w:t>
      </w:r>
      <w:r>
        <w:t>with</w:t>
      </w:r>
      <w:r>
        <w:rPr>
          <w:spacing w:val="-3"/>
        </w:rPr>
        <w:t xml:space="preserve"> </w:t>
      </w:r>
      <w:r>
        <w:t>the</w:t>
      </w:r>
      <w:r>
        <w:rPr>
          <w:spacing w:val="-3"/>
        </w:rPr>
        <w:t xml:space="preserve"> </w:t>
      </w:r>
      <w:r>
        <w:t>QLS</w:t>
      </w:r>
      <w:r>
        <w:rPr>
          <w:spacing w:val="-3"/>
        </w:rPr>
        <w:t xml:space="preserve"> </w:t>
      </w:r>
      <w:r>
        <w:t>Seasonal</w:t>
      </w:r>
      <w:r>
        <w:rPr>
          <w:spacing w:val="-3"/>
        </w:rPr>
        <w:t xml:space="preserve"> </w:t>
      </w:r>
      <w:r>
        <w:t>Clerkship and Graduate Recruitment Guidelines.</w:t>
      </w:r>
    </w:p>
    <w:p w14:paraId="7B506E6B" w14:textId="77777777" w:rsidR="00AC6F3C" w:rsidRDefault="00570E88">
      <w:pPr>
        <w:pStyle w:val="ListParagraph"/>
        <w:numPr>
          <w:ilvl w:val="0"/>
          <w:numId w:val="38"/>
        </w:numPr>
        <w:tabs>
          <w:tab w:val="left" w:pos="1155"/>
        </w:tabs>
        <w:spacing w:before="172"/>
        <w:ind w:hanging="340"/>
        <w:rPr>
          <w:sz w:val="20"/>
        </w:rPr>
      </w:pPr>
      <w:r>
        <w:rPr>
          <w:sz w:val="20"/>
        </w:rPr>
        <w:t>Fifteen</w:t>
      </w:r>
      <w:r>
        <w:rPr>
          <w:spacing w:val="-5"/>
          <w:sz w:val="20"/>
        </w:rPr>
        <w:t xml:space="preserve"> </w:t>
      </w:r>
      <w:r>
        <w:rPr>
          <w:sz w:val="20"/>
        </w:rPr>
        <w:t>firms</w:t>
      </w:r>
      <w:r>
        <w:rPr>
          <w:spacing w:val="-5"/>
          <w:sz w:val="20"/>
        </w:rPr>
        <w:t xml:space="preserve"> </w:t>
      </w:r>
      <w:r>
        <w:rPr>
          <w:sz w:val="20"/>
        </w:rPr>
        <w:t>participated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seasonal</w:t>
      </w:r>
      <w:r>
        <w:rPr>
          <w:spacing w:val="-5"/>
          <w:sz w:val="20"/>
        </w:rPr>
        <w:t xml:space="preserve"> </w:t>
      </w:r>
      <w:r>
        <w:rPr>
          <w:sz w:val="20"/>
        </w:rPr>
        <w:t>clerkship</w:t>
      </w:r>
      <w:r>
        <w:rPr>
          <w:spacing w:val="-5"/>
          <w:sz w:val="20"/>
        </w:rPr>
        <w:t xml:space="preserve"> </w:t>
      </w:r>
      <w:r>
        <w:rPr>
          <w:spacing w:val="-2"/>
          <w:sz w:val="20"/>
        </w:rPr>
        <w:t>program</w:t>
      </w:r>
    </w:p>
    <w:p w14:paraId="57A8F315" w14:textId="77777777" w:rsidR="00AC6F3C" w:rsidRDefault="00570E88">
      <w:pPr>
        <w:pStyle w:val="ListParagraph"/>
        <w:numPr>
          <w:ilvl w:val="0"/>
          <w:numId w:val="38"/>
        </w:numPr>
        <w:tabs>
          <w:tab w:val="left" w:pos="1155"/>
        </w:tabs>
        <w:ind w:hanging="340"/>
        <w:rPr>
          <w:sz w:val="20"/>
        </w:rPr>
      </w:pPr>
      <w:r>
        <w:rPr>
          <w:sz w:val="20"/>
        </w:rPr>
        <w:t>Fifteen</w:t>
      </w:r>
      <w:r>
        <w:rPr>
          <w:spacing w:val="-5"/>
          <w:sz w:val="20"/>
        </w:rPr>
        <w:t xml:space="preserve"> </w:t>
      </w:r>
      <w:r>
        <w:rPr>
          <w:sz w:val="20"/>
        </w:rPr>
        <w:t>firms</w:t>
      </w:r>
      <w:r>
        <w:rPr>
          <w:spacing w:val="-4"/>
          <w:sz w:val="20"/>
        </w:rPr>
        <w:t xml:space="preserve"> </w:t>
      </w:r>
      <w:r>
        <w:rPr>
          <w:sz w:val="20"/>
        </w:rPr>
        <w:t>participated</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graduate</w:t>
      </w:r>
      <w:r>
        <w:rPr>
          <w:spacing w:val="-4"/>
          <w:sz w:val="20"/>
        </w:rPr>
        <w:t xml:space="preserve"> </w:t>
      </w:r>
      <w:r>
        <w:rPr>
          <w:spacing w:val="-2"/>
          <w:sz w:val="20"/>
        </w:rPr>
        <w:t>program</w:t>
      </w:r>
    </w:p>
    <w:p w14:paraId="07826258" w14:textId="77777777" w:rsidR="00AC6F3C" w:rsidRDefault="00570E88">
      <w:pPr>
        <w:pStyle w:val="BodyText"/>
        <w:spacing w:before="180" w:line="249" w:lineRule="auto"/>
        <w:ind w:left="815"/>
      </w:pPr>
      <w:r>
        <w:t>The</w:t>
      </w:r>
      <w:r>
        <w:rPr>
          <w:spacing w:val="-3"/>
        </w:rPr>
        <w:t xml:space="preserve"> </w:t>
      </w:r>
      <w:r>
        <w:t>guidelines</w:t>
      </w:r>
      <w:r>
        <w:rPr>
          <w:spacing w:val="-3"/>
        </w:rPr>
        <w:t xml:space="preserve"> </w:t>
      </w:r>
      <w:r>
        <w:t>offer</w:t>
      </w:r>
      <w:r>
        <w:rPr>
          <w:spacing w:val="-3"/>
        </w:rPr>
        <w:t xml:space="preserve"> </w:t>
      </w:r>
      <w:r>
        <w:t>both</w:t>
      </w:r>
      <w:r>
        <w:rPr>
          <w:spacing w:val="-3"/>
        </w:rPr>
        <w:t xml:space="preserve"> </w:t>
      </w:r>
      <w:r>
        <w:t>firms</w:t>
      </w:r>
      <w:r>
        <w:rPr>
          <w:spacing w:val="-3"/>
        </w:rPr>
        <w:t xml:space="preserve"> </w:t>
      </w:r>
      <w:r>
        <w:t>and</w:t>
      </w:r>
      <w:r>
        <w:rPr>
          <w:spacing w:val="-3"/>
        </w:rPr>
        <w:t xml:space="preserve"> </w:t>
      </w:r>
      <w:r>
        <w:t>students</w:t>
      </w:r>
      <w:r>
        <w:rPr>
          <w:spacing w:val="-3"/>
        </w:rPr>
        <w:t xml:space="preserve"> </w:t>
      </w:r>
      <w:r>
        <w:t>the</w:t>
      </w:r>
      <w:r>
        <w:rPr>
          <w:spacing w:val="-3"/>
        </w:rPr>
        <w:t xml:space="preserve"> </w:t>
      </w:r>
      <w:r>
        <w:t>opportunity</w:t>
      </w:r>
      <w:r>
        <w:rPr>
          <w:spacing w:val="-3"/>
        </w:rPr>
        <w:t xml:space="preserve"> </w:t>
      </w:r>
      <w:r>
        <w:t>to</w:t>
      </w:r>
      <w:r>
        <w:rPr>
          <w:spacing w:val="-3"/>
        </w:rPr>
        <w:t xml:space="preserve"> </w:t>
      </w:r>
      <w:r>
        <w:t>simultaneously</w:t>
      </w:r>
      <w:r>
        <w:rPr>
          <w:spacing w:val="-3"/>
        </w:rPr>
        <w:t xml:space="preserve"> </w:t>
      </w:r>
      <w:r>
        <w:t>make</w:t>
      </w:r>
      <w:r>
        <w:rPr>
          <w:spacing w:val="-3"/>
        </w:rPr>
        <w:t xml:space="preserve"> </w:t>
      </w:r>
      <w:r>
        <w:t>and</w:t>
      </w:r>
      <w:r>
        <w:rPr>
          <w:spacing w:val="-3"/>
        </w:rPr>
        <w:t xml:space="preserve"> </w:t>
      </w:r>
      <w:r>
        <w:t>consider</w:t>
      </w:r>
      <w:r>
        <w:rPr>
          <w:spacing w:val="-3"/>
        </w:rPr>
        <w:t xml:space="preserve"> </w:t>
      </w:r>
      <w:r>
        <w:t>offers, ensuring students can make informed decisions.</w:t>
      </w:r>
    </w:p>
    <w:p w14:paraId="30038B28" w14:textId="77777777" w:rsidR="00AC6F3C" w:rsidRDefault="00AC6F3C">
      <w:pPr>
        <w:spacing w:line="249" w:lineRule="auto"/>
        <w:sectPr w:rsidR="00AC6F3C">
          <w:headerReference w:type="default" r:id="rId174"/>
          <w:footerReference w:type="default" r:id="rId175"/>
          <w:pgSz w:w="11910" w:h="16840"/>
          <w:pgMar w:top="1500" w:right="1160" w:bottom="520" w:left="460" w:header="1230" w:footer="336" w:gutter="0"/>
          <w:cols w:space="720"/>
        </w:sectPr>
      </w:pPr>
    </w:p>
    <w:p w14:paraId="12FE586C" w14:textId="77777777" w:rsidR="00AC6F3C" w:rsidRDefault="00570E88">
      <w:pPr>
        <w:pStyle w:val="BodyText"/>
        <w:spacing w:before="167" w:line="249" w:lineRule="auto"/>
        <w:ind w:left="815"/>
      </w:pPr>
      <w:r>
        <w:lastRenderedPageBreak/>
        <w:t>The</w:t>
      </w:r>
      <w:r>
        <w:rPr>
          <w:spacing w:val="-2"/>
        </w:rPr>
        <w:t xml:space="preserve"> </w:t>
      </w:r>
      <w:r>
        <w:t>Legal</w:t>
      </w:r>
      <w:r>
        <w:rPr>
          <w:spacing w:val="-2"/>
        </w:rPr>
        <w:t xml:space="preserve"> </w:t>
      </w:r>
      <w:r>
        <w:t>Careers</w:t>
      </w:r>
      <w:r>
        <w:rPr>
          <w:spacing w:val="-2"/>
        </w:rPr>
        <w:t xml:space="preserve"> </w:t>
      </w:r>
      <w:r>
        <w:t>Expo</w:t>
      </w:r>
      <w:r>
        <w:rPr>
          <w:spacing w:val="-2"/>
        </w:rPr>
        <w:t xml:space="preserve"> </w:t>
      </w:r>
      <w:r>
        <w:t>(LCE)</w:t>
      </w:r>
      <w:r>
        <w:rPr>
          <w:spacing w:val="-2"/>
        </w:rPr>
        <w:t xml:space="preserve"> </w:t>
      </w:r>
      <w:r>
        <w:t>has</w:t>
      </w:r>
      <w:r>
        <w:rPr>
          <w:spacing w:val="-2"/>
        </w:rPr>
        <w:t xml:space="preserve"> </w:t>
      </w:r>
      <w:r>
        <w:t>been</w:t>
      </w:r>
      <w:r>
        <w:rPr>
          <w:spacing w:val="-2"/>
        </w:rPr>
        <w:t xml:space="preserve"> </w:t>
      </w:r>
      <w:r>
        <w:t>the</w:t>
      </w:r>
      <w:r>
        <w:rPr>
          <w:spacing w:val="-2"/>
        </w:rPr>
        <w:t xml:space="preserve"> </w:t>
      </w:r>
      <w:r>
        <w:t>flagship</w:t>
      </w:r>
      <w:r>
        <w:rPr>
          <w:spacing w:val="-2"/>
        </w:rPr>
        <w:t xml:space="preserve"> </w:t>
      </w:r>
      <w:r>
        <w:t>event</w:t>
      </w:r>
      <w:r>
        <w:rPr>
          <w:spacing w:val="-2"/>
        </w:rPr>
        <w:t xml:space="preserve"> </w:t>
      </w:r>
      <w:r>
        <w:t>for</w:t>
      </w:r>
      <w:r>
        <w:rPr>
          <w:spacing w:val="-2"/>
        </w:rPr>
        <w:t xml:space="preserve"> </w:t>
      </w:r>
      <w:r>
        <w:t>law</w:t>
      </w:r>
      <w:r>
        <w:rPr>
          <w:spacing w:val="-2"/>
        </w:rPr>
        <w:t xml:space="preserve"> </w:t>
      </w:r>
      <w:r>
        <w:t>students.</w:t>
      </w:r>
      <w:r>
        <w:rPr>
          <w:spacing w:val="-2"/>
        </w:rPr>
        <w:t xml:space="preserve"> </w:t>
      </w:r>
      <w:r>
        <w:t>It</w:t>
      </w:r>
      <w:r>
        <w:rPr>
          <w:spacing w:val="-2"/>
        </w:rPr>
        <w:t xml:space="preserve"> </w:t>
      </w:r>
      <w:r>
        <w:t>has</w:t>
      </w:r>
      <w:r>
        <w:rPr>
          <w:spacing w:val="-2"/>
        </w:rPr>
        <w:t xml:space="preserve"> </w:t>
      </w:r>
      <w:r>
        <w:t>a</w:t>
      </w:r>
      <w:r>
        <w:rPr>
          <w:spacing w:val="-2"/>
        </w:rPr>
        <w:t xml:space="preserve"> </w:t>
      </w:r>
      <w:r>
        <w:t>reputation</w:t>
      </w:r>
      <w:r>
        <w:rPr>
          <w:spacing w:val="-2"/>
        </w:rPr>
        <w:t xml:space="preserve"> </w:t>
      </w:r>
      <w:r>
        <w:t>among some national firms as the preferred avenue for student recruitment.</w:t>
      </w:r>
    </w:p>
    <w:p w14:paraId="4292E760" w14:textId="77777777" w:rsidR="00AC6F3C" w:rsidRDefault="00570E88">
      <w:pPr>
        <w:pStyle w:val="BodyText"/>
        <w:spacing w:before="172"/>
        <w:ind w:left="815"/>
      </w:pPr>
      <w:r>
        <w:t>In</w:t>
      </w:r>
      <w:r>
        <w:rPr>
          <w:spacing w:val="-3"/>
        </w:rPr>
        <w:t xml:space="preserve"> </w:t>
      </w:r>
      <w:r>
        <w:t>2023,</w:t>
      </w:r>
      <w:r>
        <w:rPr>
          <w:spacing w:val="-2"/>
        </w:rPr>
        <w:t xml:space="preserve"> </w:t>
      </w:r>
      <w:r>
        <w:t>LCE</w:t>
      </w:r>
      <w:r>
        <w:rPr>
          <w:spacing w:val="-3"/>
        </w:rPr>
        <w:t xml:space="preserve"> </w:t>
      </w:r>
      <w:r>
        <w:t>was</w:t>
      </w:r>
      <w:r>
        <w:rPr>
          <w:spacing w:val="-2"/>
        </w:rPr>
        <w:t xml:space="preserve"> </w:t>
      </w:r>
      <w:r>
        <w:t>held</w:t>
      </w:r>
      <w:r>
        <w:rPr>
          <w:spacing w:val="-3"/>
        </w:rPr>
        <w:t xml:space="preserve"> </w:t>
      </w:r>
      <w:r>
        <w:t>at</w:t>
      </w:r>
      <w:r>
        <w:rPr>
          <w:spacing w:val="-2"/>
        </w:rPr>
        <w:t xml:space="preserve"> </w:t>
      </w:r>
      <w:proofErr w:type="spellStart"/>
      <w:r>
        <w:t>Lightspace</w:t>
      </w:r>
      <w:proofErr w:type="spellEnd"/>
      <w:r>
        <w:t>,</w:t>
      </w:r>
      <w:r>
        <w:rPr>
          <w:spacing w:val="-2"/>
        </w:rPr>
        <w:t xml:space="preserve"> </w:t>
      </w:r>
      <w:r>
        <w:t>Fortitude</w:t>
      </w:r>
      <w:r>
        <w:rPr>
          <w:spacing w:val="-3"/>
        </w:rPr>
        <w:t xml:space="preserve"> </w:t>
      </w:r>
      <w:r>
        <w:t>Valley</w:t>
      </w:r>
      <w:r>
        <w:rPr>
          <w:spacing w:val="-2"/>
        </w:rPr>
        <w:t xml:space="preserve"> </w:t>
      </w:r>
      <w:r>
        <w:t>in</w:t>
      </w:r>
      <w:r>
        <w:rPr>
          <w:spacing w:val="-3"/>
        </w:rPr>
        <w:t xml:space="preserve"> </w:t>
      </w:r>
      <w:r>
        <w:t>May</w:t>
      </w:r>
      <w:r>
        <w:rPr>
          <w:spacing w:val="-2"/>
        </w:rPr>
        <w:t xml:space="preserve"> </w:t>
      </w:r>
      <w:r>
        <w:t>with</w:t>
      </w:r>
      <w:r>
        <w:rPr>
          <w:spacing w:val="-2"/>
        </w:rPr>
        <w:t xml:space="preserve"> </w:t>
      </w:r>
      <w:r>
        <w:t>more</w:t>
      </w:r>
      <w:r>
        <w:rPr>
          <w:spacing w:val="-3"/>
        </w:rPr>
        <w:t xml:space="preserve"> </w:t>
      </w:r>
      <w:r>
        <w:t>than</w:t>
      </w:r>
      <w:r>
        <w:rPr>
          <w:spacing w:val="-2"/>
        </w:rPr>
        <w:t xml:space="preserve"> </w:t>
      </w:r>
      <w:r>
        <w:t>170</w:t>
      </w:r>
      <w:r>
        <w:rPr>
          <w:spacing w:val="-3"/>
        </w:rPr>
        <w:t xml:space="preserve"> </w:t>
      </w:r>
      <w:r>
        <w:t>law</w:t>
      </w:r>
      <w:r>
        <w:rPr>
          <w:spacing w:val="-2"/>
        </w:rPr>
        <w:t xml:space="preserve"> </w:t>
      </w:r>
      <w:r>
        <w:t>students</w:t>
      </w:r>
      <w:r>
        <w:rPr>
          <w:spacing w:val="-2"/>
        </w:rPr>
        <w:t xml:space="preserve"> attending.</w:t>
      </w:r>
    </w:p>
    <w:p w14:paraId="18C313F0" w14:textId="77777777" w:rsidR="00AC6F3C" w:rsidRDefault="00570E88">
      <w:pPr>
        <w:pStyle w:val="BodyText"/>
        <w:spacing w:before="180" w:line="249" w:lineRule="auto"/>
        <w:ind w:left="815"/>
      </w:pPr>
      <w:r>
        <w:t>The journey from law student to lawyer is a profound and impactful experience within a prospective member’s</w:t>
      </w:r>
      <w:r>
        <w:rPr>
          <w:spacing w:val="-2"/>
        </w:rPr>
        <w:t xml:space="preserve"> </w:t>
      </w:r>
      <w:r>
        <w:t>career</w:t>
      </w:r>
      <w:r>
        <w:rPr>
          <w:spacing w:val="-2"/>
        </w:rPr>
        <w:t xml:space="preserve"> </w:t>
      </w:r>
      <w:r>
        <w:t>journey</w:t>
      </w:r>
      <w:r>
        <w:rPr>
          <w:spacing w:val="-2"/>
        </w:rPr>
        <w:t xml:space="preserve"> </w:t>
      </w:r>
      <w:r>
        <w:t>and</w:t>
      </w:r>
      <w:r>
        <w:rPr>
          <w:spacing w:val="-2"/>
        </w:rPr>
        <w:t xml:space="preserve"> </w:t>
      </w:r>
      <w:r>
        <w:t>it</w:t>
      </w:r>
      <w:r>
        <w:rPr>
          <w:spacing w:val="-2"/>
        </w:rPr>
        <w:t xml:space="preserve"> </w:t>
      </w:r>
      <w:r>
        <w:t>is</w:t>
      </w:r>
      <w:r>
        <w:rPr>
          <w:spacing w:val="-2"/>
        </w:rPr>
        <w:t xml:space="preserve"> </w:t>
      </w:r>
      <w:r>
        <w:t>important</w:t>
      </w:r>
      <w:r>
        <w:rPr>
          <w:spacing w:val="-2"/>
        </w:rPr>
        <w:t xml:space="preserve"> </w:t>
      </w:r>
      <w:r>
        <w:t>QLS</w:t>
      </w:r>
      <w:r>
        <w:rPr>
          <w:spacing w:val="-2"/>
        </w:rPr>
        <w:t xml:space="preserve"> </w:t>
      </w:r>
      <w:r>
        <w:t>is</w:t>
      </w:r>
      <w:r>
        <w:rPr>
          <w:spacing w:val="-2"/>
        </w:rPr>
        <w:t xml:space="preserve"> </w:t>
      </w:r>
      <w:r>
        <w:t>not</w:t>
      </w:r>
      <w:r>
        <w:rPr>
          <w:spacing w:val="-2"/>
        </w:rPr>
        <w:t xml:space="preserve"> </w:t>
      </w:r>
      <w:r>
        <w:t>only</w:t>
      </w:r>
      <w:r>
        <w:rPr>
          <w:spacing w:val="-2"/>
        </w:rPr>
        <w:t xml:space="preserve"> </w:t>
      </w:r>
      <w:r>
        <w:t>present,</w:t>
      </w:r>
      <w:r>
        <w:rPr>
          <w:spacing w:val="-2"/>
        </w:rPr>
        <w:t xml:space="preserve"> </w:t>
      </w:r>
      <w:r>
        <w:t>but</w:t>
      </w:r>
      <w:r>
        <w:rPr>
          <w:spacing w:val="-2"/>
        </w:rPr>
        <w:t xml:space="preserve"> </w:t>
      </w:r>
      <w:r>
        <w:t>a</w:t>
      </w:r>
      <w:r>
        <w:rPr>
          <w:spacing w:val="-2"/>
        </w:rPr>
        <w:t xml:space="preserve"> </w:t>
      </w:r>
      <w:r>
        <w:t>partner</w:t>
      </w:r>
      <w:r>
        <w:rPr>
          <w:spacing w:val="-2"/>
        </w:rPr>
        <w:t xml:space="preserve"> </w:t>
      </w:r>
      <w:r>
        <w:t>in</w:t>
      </w:r>
      <w:r>
        <w:rPr>
          <w:spacing w:val="-2"/>
        </w:rPr>
        <w:t xml:space="preserve"> </w:t>
      </w:r>
      <w:r>
        <w:t>this</w:t>
      </w:r>
      <w:r>
        <w:rPr>
          <w:spacing w:val="-2"/>
        </w:rPr>
        <w:t xml:space="preserve"> </w:t>
      </w:r>
      <w:r>
        <w:t>critical</w:t>
      </w:r>
      <w:r>
        <w:rPr>
          <w:spacing w:val="-2"/>
        </w:rPr>
        <w:t xml:space="preserve"> </w:t>
      </w:r>
      <w:r>
        <w:t>transition.</w:t>
      </w:r>
    </w:p>
    <w:p w14:paraId="0EE08B4C" w14:textId="77777777" w:rsidR="00AC6F3C" w:rsidRDefault="00570E88">
      <w:pPr>
        <w:pStyle w:val="BodyText"/>
        <w:spacing w:before="171" w:line="249" w:lineRule="auto"/>
        <w:ind w:left="815" w:right="468"/>
      </w:pPr>
      <w:r>
        <w:t>By opening doors, creating connections and introducing opportunities, QLS is well-positioned to support</w:t>
      </w:r>
      <w:r>
        <w:rPr>
          <w:spacing w:val="-5"/>
        </w:rPr>
        <w:t xml:space="preserve"> </w:t>
      </w:r>
      <w:r>
        <w:t>law</w:t>
      </w:r>
      <w:r>
        <w:rPr>
          <w:spacing w:val="-5"/>
        </w:rPr>
        <w:t xml:space="preserve"> </w:t>
      </w:r>
      <w:r>
        <w:t>students</w:t>
      </w:r>
      <w:r>
        <w:rPr>
          <w:spacing w:val="-5"/>
        </w:rPr>
        <w:t xml:space="preserve"> </w:t>
      </w:r>
      <w:r>
        <w:t>in</w:t>
      </w:r>
      <w:r>
        <w:rPr>
          <w:spacing w:val="-5"/>
        </w:rPr>
        <w:t xml:space="preserve"> </w:t>
      </w:r>
      <w:r>
        <w:t>their</w:t>
      </w:r>
      <w:r>
        <w:rPr>
          <w:spacing w:val="-5"/>
        </w:rPr>
        <w:t xml:space="preserve"> </w:t>
      </w:r>
      <w:r>
        <w:t>early</w:t>
      </w:r>
      <w:r>
        <w:rPr>
          <w:spacing w:val="-5"/>
        </w:rPr>
        <w:t xml:space="preserve"> </w:t>
      </w:r>
      <w:r>
        <w:t>career</w:t>
      </w:r>
      <w:r>
        <w:rPr>
          <w:spacing w:val="-5"/>
        </w:rPr>
        <w:t xml:space="preserve"> </w:t>
      </w:r>
      <w:r>
        <w:t>journey.</w:t>
      </w:r>
      <w:r>
        <w:rPr>
          <w:spacing w:val="-5"/>
        </w:rPr>
        <w:t xml:space="preserve"> </w:t>
      </w:r>
      <w:r>
        <w:t>Importantly,</w:t>
      </w:r>
      <w:r>
        <w:rPr>
          <w:spacing w:val="-5"/>
        </w:rPr>
        <w:t xml:space="preserve"> </w:t>
      </w:r>
      <w:r>
        <w:t>this</w:t>
      </w:r>
      <w:r>
        <w:rPr>
          <w:spacing w:val="-5"/>
        </w:rPr>
        <w:t xml:space="preserve"> </w:t>
      </w:r>
      <w:r>
        <w:t>growing</w:t>
      </w:r>
      <w:r>
        <w:rPr>
          <w:spacing w:val="-5"/>
        </w:rPr>
        <w:t xml:space="preserve"> </w:t>
      </w:r>
      <w:r>
        <w:t>cohort</w:t>
      </w:r>
      <w:r>
        <w:rPr>
          <w:spacing w:val="-5"/>
        </w:rPr>
        <w:t xml:space="preserve"> </w:t>
      </w:r>
      <w:r>
        <w:t>will</w:t>
      </w:r>
      <w:r>
        <w:rPr>
          <w:spacing w:val="-5"/>
        </w:rPr>
        <w:t xml:space="preserve"> </w:t>
      </w:r>
      <w:r>
        <w:t>form</w:t>
      </w:r>
      <w:r>
        <w:rPr>
          <w:spacing w:val="-5"/>
        </w:rPr>
        <w:t xml:space="preserve"> </w:t>
      </w:r>
      <w:r>
        <w:t>our</w:t>
      </w:r>
      <w:r>
        <w:rPr>
          <w:spacing w:val="-5"/>
        </w:rPr>
        <w:t xml:space="preserve"> </w:t>
      </w:r>
      <w:r>
        <w:t>future membership base.</w:t>
      </w:r>
    </w:p>
    <w:p w14:paraId="574CA36C" w14:textId="77777777" w:rsidR="00AC6F3C" w:rsidRDefault="00AC6F3C">
      <w:pPr>
        <w:spacing w:line="249" w:lineRule="auto"/>
        <w:sectPr w:rsidR="00AC6F3C">
          <w:headerReference w:type="default" r:id="rId176"/>
          <w:footerReference w:type="default" r:id="rId177"/>
          <w:pgSz w:w="11910" w:h="16840"/>
          <w:pgMar w:top="1500" w:right="1160" w:bottom="520" w:left="460" w:header="1230" w:footer="336" w:gutter="0"/>
          <w:cols w:space="720"/>
        </w:sectPr>
      </w:pPr>
    </w:p>
    <w:p w14:paraId="322644A5"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693D5F6C" wp14:editId="72829A75">
                <wp:extent cx="5940425" cy="25400"/>
                <wp:effectExtent l="19050" t="0" r="3175" b="3175"/>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507" name="Graphic 507"/>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67A257" id="Group 506"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">
                <v:shape id="Graphic 507"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" path="m,l5940005,e" filled="f" strokeweight="2pt">
                  <v:path arrowok="t"/>
                </v:shape>
                <w10:anchorlock/>
              </v:group>
            </w:pict>
          </mc:Fallback>
        </mc:AlternateContent>
      </w:r>
    </w:p>
    <w:p w14:paraId="012442B1" w14:textId="77777777" w:rsidR="00AC6F3C" w:rsidRDefault="00570E88">
      <w:pPr>
        <w:pStyle w:val="Heading1"/>
      </w:pPr>
      <w:bookmarkStart w:id="78" w:name="GROW"/>
      <w:bookmarkStart w:id="79" w:name="Our_people"/>
      <w:bookmarkStart w:id="80" w:name="_bookmark28"/>
      <w:bookmarkEnd w:id="78"/>
      <w:bookmarkEnd w:id="79"/>
      <w:bookmarkEnd w:id="80"/>
      <w:r>
        <w:rPr>
          <w:spacing w:val="-4"/>
        </w:rPr>
        <w:t>GROW</w:t>
      </w:r>
    </w:p>
    <w:p w14:paraId="671F1E1F" w14:textId="77777777" w:rsidR="00AC6F3C" w:rsidRDefault="00570E88">
      <w:pPr>
        <w:spacing w:before="320"/>
        <w:ind w:left="815"/>
        <w:rPr>
          <w:b/>
          <w:sz w:val="28"/>
        </w:rPr>
      </w:pPr>
      <w:r>
        <w:rPr>
          <w:b/>
          <w:sz w:val="28"/>
        </w:rPr>
        <w:t>We</w:t>
      </w:r>
      <w:r>
        <w:rPr>
          <w:b/>
          <w:spacing w:val="-18"/>
          <w:sz w:val="28"/>
        </w:rPr>
        <w:t xml:space="preserve"> </w:t>
      </w:r>
      <w:r>
        <w:rPr>
          <w:b/>
          <w:sz w:val="28"/>
        </w:rPr>
        <w:t>grow</w:t>
      </w:r>
      <w:r>
        <w:rPr>
          <w:b/>
          <w:spacing w:val="-16"/>
          <w:sz w:val="28"/>
        </w:rPr>
        <w:t xml:space="preserve"> </w:t>
      </w:r>
      <w:r>
        <w:rPr>
          <w:b/>
          <w:sz w:val="28"/>
        </w:rPr>
        <w:t>the</w:t>
      </w:r>
      <w:r>
        <w:rPr>
          <w:b/>
          <w:spacing w:val="-16"/>
          <w:sz w:val="28"/>
        </w:rPr>
        <w:t xml:space="preserve"> </w:t>
      </w:r>
      <w:r>
        <w:rPr>
          <w:b/>
          <w:sz w:val="28"/>
        </w:rPr>
        <w:t>member</w:t>
      </w:r>
      <w:r>
        <w:rPr>
          <w:b/>
          <w:spacing w:val="-16"/>
          <w:sz w:val="28"/>
        </w:rPr>
        <w:t xml:space="preserve"> </w:t>
      </w:r>
      <w:r>
        <w:rPr>
          <w:b/>
          <w:sz w:val="28"/>
        </w:rPr>
        <w:t>centric</w:t>
      </w:r>
      <w:r>
        <w:rPr>
          <w:b/>
          <w:spacing w:val="-16"/>
          <w:sz w:val="28"/>
        </w:rPr>
        <w:t xml:space="preserve"> </w:t>
      </w:r>
      <w:r>
        <w:rPr>
          <w:b/>
          <w:sz w:val="28"/>
        </w:rPr>
        <w:t>capability</w:t>
      </w:r>
      <w:r>
        <w:rPr>
          <w:b/>
          <w:spacing w:val="-16"/>
          <w:sz w:val="28"/>
        </w:rPr>
        <w:t xml:space="preserve"> </w:t>
      </w:r>
      <w:r>
        <w:rPr>
          <w:b/>
          <w:sz w:val="28"/>
        </w:rPr>
        <w:t>of</w:t>
      </w:r>
      <w:r>
        <w:rPr>
          <w:b/>
          <w:spacing w:val="-16"/>
          <w:sz w:val="28"/>
        </w:rPr>
        <w:t xml:space="preserve"> </w:t>
      </w:r>
      <w:r>
        <w:rPr>
          <w:b/>
          <w:sz w:val="28"/>
        </w:rPr>
        <w:t>QLS</w:t>
      </w:r>
      <w:r>
        <w:rPr>
          <w:b/>
          <w:spacing w:val="-16"/>
          <w:sz w:val="28"/>
        </w:rPr>
        <w:t xml:space="preserve"> </w:t>
      </w:r>
      <w:r>
        <w:rPr>
          <w:b/>
          <w:sz w:val="28"/>
        </w:rPr>
        <w:t>and</w:t>
      </w:r>
      <w:r>
        <w:rPr>
          <w:b/>
          <w:spacing w:val="-16"/>
          <w:sz w:val="28"/>
        </w:rPr>
        <w:t xml:space="preserve"> </w:t>
      </w:r>
      <w:r>
        <w:rPr>
          <w:b/>
          <w:sz w:val="28"/>
        </w:rPr>
        <w:t>embed</w:t>
      </w:r>
      <w:r>
        <w:rPr>
          <w:b/>
          <w:spacing w:val="-16"/>
          <w:sz w:val="28"/>
        </w:rPr>
        <w:t xml:space="preserve"> </w:t>
      </w:r>
      <w:r>
        <w:rPr>
          <w:b/>
          <w:sz w:val="28"/>
        </w:rPr>
        <w:t>a</w:t>
      </w:r>
      <w:r>
        <w:rPr>
          <w:b/>
          <w:spacing w:val="-16"/>
          <w:sz w:val="28"/>
        </w:rPr>
        <w:t xml:space="preserve"> </w:t>
      </w:r>
      <w:r>
        <w:rPr>
          <w:b/>
          <w:spacing w:val="-2"/>
          <w:sz w:val="28"/>
        </w:rPr>
        <w:t>positive</w:t>
      </w:r>
    </w:p>
    <w:p w14:paraId="2FD37058" w14:textId="77777777" w:rsidR="00AC6F3C" w:rsidRDefault="00570E88">
      <w:pPr>
        <w:spacing w:before="14"/>
        <w:ind w:left="815"/>
        <w:rPr>
          <w:b/>
          <w:sz w:val="28"/>
        </w:rPr>
      </w:pPr>
      <w:r>
        <w:rPr>
          <w:b/>
          <w:spacing w:val="-2"/>
          <w:sz w:val="28"/>
        </w:rPr>
        <w:t>work</w:t>
      </w:r>
      <w:r>
        <w:rPr>
          <w:b/>
          <w:spacing w:val="-13"/>
          <w:sz w:val="28"/>
        </w:rPr>
        <w:t xml:space="preserve"> </w:t>
      </w:r>
      <w:r>
        <w:rPr>
          <w:b/>
          <w:spacing w:val="-2"/>
          <w:sz w:val="28"/>
        </w:rPr>
        <w:t>place</w:t>
      </w:r>
      <w:r>
        <w:rPr>
          <w:b/>
          <w:spacing w:val="-10"/>
          <w:sz w:val="28"/>
        </w:rPr>
        <w:t xml:space="preserve"> </w:t>
      </w:r>
      <w:r>
        <w:rPr>
          <w:b/>
          <w:spacing w:val="-2"/>
          <w:sz w:val="28"/>
        </w:rPr>
        <w:t>culture,</w:t>
      </w:r>
      <w:r>
        <w:rPr>
          <w:b/>
          <w:spacing w:val="-11"/>
          <w:sz w:val="28"/>
        </w:rPr>
        <w:t xml:space="preserve"> </w:t>
      </w:r>
      <w:r>
        <w:rPr>
          <w:b/>
          <w:spacing w:val="-2"/>
          <w:sz w:val="28"/>
        </w:rPr>
        <w:t>technological</w:t>
      </w:r>
      <w:r>
        <w:rPr>
          <w:b/>
          <w:spacing w:val="-10"/>
          <w:sz w:val="28"/>
        </w:rPr>
        <w:t xml:space="preserve"> </w:t>
      </w:r>
      <w:r>
        <w:rPr>
          <w:b/>
          <w:spacing w:val="-2"/>
          <w:sz w:val="28"/>
        </w:rPr>
        <w:t>resilience</w:t>
      </w:r>
      <w:r>
        <w:rPr>
          <w:b/>
          <w:spacing w:val="-11"/>
          <w:sz w:val="28"/>
        </w:rPr>
        <w:t xml:space="preserve"> </w:t>
      </w:r>
      <w:r>
        <w:rPr>
          <w:b/>
          <w:spacing w:val="-2"/>
          <w:sz w:val="28"/>
        </w:rPr>
        <w:t>and</w:t>
      </w:r>
      <w:r>
        <w:rPr>
          <w:b/>
          <w:spacing w:val="-10"/>
          <w:sz w:val="28"/>
        </w:rPr>
        <w:t xml:space="preserve"> </w:t>
      </w:r>
      <w:r>
        <w:rPr>
          <w:b/>
          <w:spacing w:val="-2"/>
          <w:sz w:val="28"/>
        </w:rPr>
        <w:t>financial</w:t>
      </w:r>
      <w:r>
        <w:rPr>
          <w:b/>
          <w:spacing w:val="-10"/>
          <w:sz w:val="28"/>
        </w:rPr>
        <w:t xml:space="preserve"> </w:t>
      </w:r>
      <w:r>
        <w:rPr>
          <w:b/>
          <w:spacing w:val="-2"/>
          <w:sz w:val="28"/>
        </w:rPr>
        <w:t>sustainability.</w:t>
      </w:r>
    </w:p>
    <w:p w14:paraId="5D89A02E" w14:textId="77777777" w:rsidR="00AC6F3C" w:rsidRDefault="00AC6F3C">
      <w:pPr>
        <w:pStyle w:val="BodyText"/>
        <w:spacing w:before="8"/>
        <w:rPr>
          <w:b/>
          <w:sz w:val="31"/>
        </w:rPr>
      </w:pPr>
    </w:p>
    <w:p w14:paraId="03D2F81B" w14:textId="77777777" w:rsidR="00AC6F3C" w:rsidRDefault="00570E88">
      <w:pPr>
        <w:pStyle w:val="Heading3"/>
        <w:spacing w:before="1"/>
      </w:pPr>
      <w:r>
        <w:t>Our</w:t>
      </w:r>
      <w:r>
        <w:rPr>
          <w:spacing w:val="-2"/>
        </w:rPr>
        <w:t xml:space="preserve"> people</w:t>
      </w:r>
    </w:p>
    <w:p w14:paraId="4F84CCCB" w14:textId="77777777" w:rsidR="00AC6F3C" w:rsidRDefault="00570E88">
      <w:pPr>
        <w:pStyle w:val="BodyText"/>
        <w:spacing w:before="154" w:line="249" w:lineRule="auto"/>
        <w:ind w:left="815" w:right="1183"/>
      </w:pPr>
      <w:r>
        <w:t>Our</w:t>
      </w:r>
      <w:r>
        <w:rPr>
          <w:spacing w:val="-4"/>
        </w:rPr>
        <w:t xml:space="preserve"> </w:t>
      </w:r>
      <w:r>
        <w:t>people,</w:t>
      </w:r>
      <w:r>
        <w:rPr>
          <w:spacing w:val="-4"/>
        </w:rPr>
        <w:t xml:space="preserve"> </w:t>
      </w:r>
      <w:r>
        <w:t>their</w:t>
      </w:r>
      <w:r>
        <w:rPr>
          <w:spacing w:val="-4"/>
        </w:rPr>
        <w:t xml:space="preserve"> </w:t>
      </w:r>
      <w:r>
        <w:t>skills</w:t>
      </w:r>
      <w:r>
        <w:rPr>
          <w:spacing w:val="-4"/>
        </w:rPr>
        <w:t xml:space="preserve"> </w:t>
      </w:r>
      <w:r>
        <w:t>and</w:t>
      </w:r>
      <w:r>
        <w:rPr>
          <w:spacing w:val="-4"/>
        </w:rPr>
        <w:t xml:space="preserve"> </w:t>
      </w:r>
      <w:r>
        <w:t>commitments</w:t>
      </w:r>
      <w:r>
        <w:rPr>
          <w:spacing w:val="-4"/>
        </w:rPr>
        <w:t xml:space="preserve"> </w:t>
      </w:r>
      <w:r>
        <w:t>contribute</w:t>
      </w:r>
      <w:r>
        <w:rPr>
          <w:spacing w:val="-4"/>
        </w:rPr>
        <w:t xml:space="preserve"> </w:t>
      </w:r>
      <w:r>
        <w:t>to</w:t>
      </w:r>
      <w:r>
        <w:rPr>
          <w:spacing w:val="-4"/>
        </w:rPr>
        <w:t xml:space="preserve"> </w:t>
      </w:r>
      <w:r>
        <w:t>a</w:t>
      </w:r>
      <w:r>
        <w:rPr>
          <w:spacing w:val="-4"/>
        </w:rPr>
        <w:t xml:space="preserve"> </w:t>
      </w:r>
      <w:r>
        <w:t>leading</w:t>
      </w:r>
      <w:r>
        <w:rPr>
          <w:spacing w:val="-4"/>
        </w:rPr>
        <w:t xml:space="preserve"> </w:t>
      </w:r>
      <w:r>
        <w:t>professional</w:t>
      </w:r>
      <w:r>
        <w:rPr>
          <w:spacing w:val="-4"/>
        </w:rPr>
        <w:t xml:space="preserve"> </w:t>
      </w:r>
      <w:r>
        <w:t>society,</w:t>
      </w:r>
      <w:r>
        <w:rPr>
          <w:spacing w:val="-4"/>
        </w:rPr>
        <w:t xml:space="preserve"> </w:t>
      </w:r>
      <w:r>
        <w:t>valued by our members.</w:t>
      </w:r>
    </w:p>
    <w:p w14:paraId="34B16F4C" w14:textId="77777777" w:rsidR="00AC6F3C" w:rsidRDefault="00570E88">
      <w:pPr>
        <w:pStyle w:val="BodyText"/>
        <w:spacing w:before="172" w:line="249" w:lineRule="auto"/>
        <w:ind w:left="815" w:right="234"/>
      </w:pPr>
      <w:r>
        <w:t>QLS employs people across diverse areas, including law, accountancy, membership services, events management,</w:t>
      </w:r>
      <w:r>
        <w:rPr>
          <w:spacing w:val="-3"/>
        </w:rPr>
        <w:t xml:space="preserve"> </w:t>
      </w:r>
      <w:r>
        <w:t>human</w:t>
      </w:r>
      <w:r>
        <w:rPr>
          <w:spacing w:val="-3"/>
        </w:rPr>
        <w:t xml:space="preserve"> </w:t>
      </w:r>
      <w:r>
        <w:t>resources,</w:t>
      </w:r>
      <w:r>
        <w:rPr>
          <w:spacing w:val="-3"/>
        </w:rPr>
        <w:t xml:space="preserve"> </w:t>
      </w:r>
      <w:r>
        <w:t>ethics,</w:t>
      </w:r>
      <w:r>
        <w:rPr>
          <w:spacing w:val="-3"/>
        </w:rPr>
        <w:t xml:space="preserve"> </w:t>
      </w:r>
      <w:r>
        <w:t>policy</w:t>
      </w:r>
      <w:r>
        <w:rPr>
          <w:spacing w:val="-3"/>
        </w:rPr>
        <w:t xml:space="preserve"> </w:t>
      </w:r>
      <w:r>
        <w:t>and</w:t>
      </w:r>
      <w:r>
        <w:rPr>
          <w:spacing w:val="-3"/>
        </w:rPr>
        <w:t xml:space="preserve"> </w:t>
      </w:r>
      <w:r>
        <w:t>administration.</w:t>
      </w:r>
      <w:r>
        <w:rPr>
          <w:spacing w:val="-3"/>
        </w:rPr>
        <w:t xml:space="preserve"> </w:t>
      </w:r>
      <w:r>
        <w:t>Our</w:t>
      </w:r>
      <w:r>
        <w:rPr>
          <w:spacing w:val="-3"/>
        </w:rPr>
        <w:t xml:space="preserve"> </w:t>
      </w:r>
      <w:r>
        <w:t>people,</w:t>
      </w:r>
      <w:r>
        <w:rPr>
          <w:spacing w:val="-3"/>
        </w:rPr>
        <w:t xml:space="preserve"> </w:t>
      </w:r>
      <w:r>
        <w:t>their</w:t>
      </w:r>
      <w:r>
        <w:rPr>
          <w:spacing w:val="-3"/>
        </w:rPr>
        <w:t xml:space="preserve"> </w:t>
      </w:r>
      <w:r>
        <w:t>range</w:t>
      </w:r>
      <w:r>
        <w:rPr>
          <w:spacing w:val="-3"/>
        </w:rPr>
        <w:t xml:space="preserve"> </w:t>
      </w:r>
      <w:r>
        <w:t>of</w:t>
      </w:r>
      <w:r>
        <w:rPr>
          <w:spacing w:val="-3"/>
        </w:rPr>
        <w:t xml:space="preserve"> </w:t>
      </w:r>
      <w:r>
        <w:t>skills</w:t>
      </w:r>
      <w:r>
        <w:rPr>
          <w:spacing w:val="-3"/>
        </w:rPr>
        <w:t xml:space="preserve"> </w:t>
      </w:r>
      <w:r>
        <w:t xml:space="preserve">and their commitment to our values of </w:t>
      </w:r>
      <w:r>
        <w:rPr>
          <w:i/>
        </w:rPr>
        <w:t>Respect</w:t>
      </w:r>
      <w:r>
        <w:t xml:space="preserve">, </w:t>
      </w:r>
      <w:r>
        <w:rPr>
          <w:i/>
        </w:rPr>
        <w:t xml:space="preserve">Service </w:t>
      </w:r>
      <w:r>
        <w:t xml:space="preserve">and </w:t>
      </w:r>
      <w:r>
        <w:rPr>
          <w:i/>
        </w:rPr>
        <w:t xml:space="preserve">Integrity </w:t>
      </w:r>
      <w:r>
        <w:t>ensure we are a leading professional society valued by our members.</w:t>
      </w:r>
    </w:p>
    <w:p w14:paraId="16079180" w14:textId="77777777" w:rsidR="00AC6F3C" w:rsidRDefault="00AC6F3C">
      <w:pPr>
        <w:pStyle w:val="BodyText"/>
        <w:spacing w:before="3"/>
        <w:rPr>
          <w:sz w:val="31"/>
        </w:rPr>
      </w:pPr>
    </w:p>
    <w:p w14:paraId="3B659BA4" w14:textId="77777777" w:rsidR="00AC6F3C" w:rsidRDefault="00570E88">
      <w:pPr>
        <w:ind w:left="815"/>
        <w:rPr>
          <w:b/>
          <w:sz w:val="26"/>
        </w:rPr>
      </w:pPr>
      <w:r>
        <w:rPr>
          <w:b/>
          <w:sz w:val="26"/>
        </w:rPr>
        <w:t>Diversity</w:t>
      </w:r>
      <w:r>
        <w:rPr>
          <w:b/>
          <w:spacing w:val="-4"/>
          <w:sz w:val="26"/>
        </w:rPr>
        <w:t xml:space="preserve"> </w:t>
      </w:r>
      <w:r>
        <w:rPr>
          <w:b/>
          <w:sz w:val="26"/>
        </w:rPr>
        <w:t>and</w:t>
      </w:r>
      <w:r>
        <w:rPr>
          <w:b/>
          <w:spacing w:val="-4"/>
          <w:sz w:val="26"/>
        </w:rPr>
        <w:t xml:space="preserve"> </w:t>
      </w:r>
      <w:r>
        <w:rPr>
          <w:b/>
          <w:spacing w:val="-2"/>
          <w:sz w:val="26"/>
        </w:rPr>
        <w:t>inclusion</w:t>
      </w:r>
    </w:p>
    <w:p w14:paraId="4410A8A3" w14:textId="77777777" w:rsidR="00AC6F3C" w:rsidRDefault="00570E88">
      <w:pPr>
        <w:pStyle w:val="BodyText"/>
        <w:spacing w:before="167" w:line="249" w:lineRule="auto"/>
        <w:ind w:left="815" w:right="632"/>
      </w:pPr>
      <w:r>
        <w:t>QLS achieved recertification for the Workplace Gender Equality</w:t>
      </w:r>
      <w:r>
        <w:rPr>
          <w:spacing w:val="-2"/>
        </w:rPr>
        <w:t xml:space="preserve"> </w:t>
      </w:r>
      <w:r>
        <w:t>Agency (WGEA) 2022-2024 Employer</w:t>
      </w:r>
      <w:r>
        <w:rPr>
          <w:spacing w:val="-3"/>
        </w:rPr>
        <w:t xml:space="preserve"> </w:t>
      </w:r>
      <w:r>
        <w:t>of</w:t>
      </w:r>
      <w:r>
        <w:rPr>
          <w:spacing w:val="-3"/>
        </w:rPr>
        <w:t xml:space="preserve"> </w:t>
      </w:r>
      <w:r>
        <w:t>Choice</w:t>
      </w:r>
      <w:r>
        <w:rPr>
          <w:spacing w:val="-3"/>
        </w:rPr>
        <w:t xml:space="preserve"> </w:t>
      </w:r>
      <w:r>
        <w:t>for</w:t>
      </w:r>
      <w:r>
        <w:rPr>
          <w:spacing w:val="-3"/>
        </w:rPr>
        <w:t xml:space="preserve"> </w:t>
      </w:r>
      <w:r>
        <w:t>Gender</w:t>
      </w:r>
      <w:r>
        <w:rPr>
          <w:spacing w:val="-3"/>
        </w:rPr>
        <w:t xml:space="preserve"> </w:t>
      </w:r>
      <w:r>
        <w:t>Equality</w:t>
      </w:r>
      <w:r>
        <w:rPr>
          <w:spacing w:val="-3"/>
        </w:rPr>
        <w:t xml:space="preserve"> </w:t>
      </w:r>
      <w:r>
        <w:t>(EOCGE)</w:t>
      </w:r>
      <w:r>
        <w:rPr>
          <w:spacing w:val="-3"/>
        </w:rPr>
        <w:t xml:space="preserve"> </w:t>
      </w:r>
      <w:r>
        <w:t>citation.</w:t>
      </w:r>
      <w:r>
        <w:rPr>
          <w:spacing w:val="-7"/>
        </w:rPr>
        <w:t xml:space="preserve"> </w:t>
      </w:r>
      <w:r>
        <w:t>The</w:t>
      </w:r>
      <w:r>
        <w:rPr>
          <w:spacing w:val="-3"/>
        </w:rPr>
        <w:t xml:space="preserve"> </w:t>
      </w:r>
      <w:r>
        <w:t>citation</w:t>
      </w:r>
      <w:r>
        <w:rPr>
          <w:spacing w:val="-3"/>
        </w:rPr>
        <w:t xml:space="preserve"> </w:t>
      </w:r>
      <w:r>
        <w:t>encourages,</w:t>
      </w:r>
      <w:r>
        <w:rPr>
          <w:spacing w:val="-3"/>
        </w:rPr>
        <w:t xml:space="preserve"> </w:t>
      </w:r>
      <w:proofErr w:type="spellStart"/>
      <w:r>
        <w:t>recognises</w:t>
      </w:r>
      <w:proofErr w:type="spellEnd"/>
      <w:r>
        <w:rPr>
          <w:spacing w:val="-3"/>
        </w:rPr>
        <w:t xml:space="preserve"> </w:t>
      </w:r>
      <w:r>
        <w:t>and promotes</w:t>
      </w:r>
      <w:r>
        <w:rPr>
          <w:spacing w:val="-1"/>
        </w:rPr>
        <w:t xml:space="preserve"> </w:t>
      </w:r>
      <w:r>
        <w:t>active</w:t>
      </w:r>
      <w:r>
        <w:rPr>
          <w:spacing w:val="-1"/>
        </w:rPr>
        <w:t xml:space="preserve"> </w:t>
      </w:r>
      <w:r>
        <w:t>commitment</w:t>
      </w:r>
      <w:r>
        <w:rPr>
          <w:spacing w:val="-1"/>
        </w:rPr>
        <w:t xml:space="preserve"> </w:t>
      </w:r>
      <w:r>
        <w:t>to</w:t>
      </w:r>
      <w:r>
        <w:rPr>
          <w:spacing w:val="-1"/>
        </w:rPr>
        <w:t xml:space="preserve"> </w:t>
      </w:r>
      <w:r>
        <w:t>achieving</w:t>
      </w:r>
      <w:r>
        <w:rPr>
          <w:spacing w:val="-1"/>
        </w:rPr>
        <w:t xml:space="preserve"> </w:t>
      </w:r>
      <w:r>
        <w:t>gender</w:t>
      </w:r>
      <w:r>
        <w:rPr>
          <w:spacing w:val="-1"/>
        </w:rPr>
        <w:t xml:space="preserve"> </w:t>
      </w:r>
      <w:r>
        <w:t>equality</w:t>
      </w:r>
      <w:r>
        <w:rPr>
          <w:spacing w:val="-1"/>
        </w:rPr>
        <w:t xml:space="preserve"> </w:t>
      </w:r>
      <w:r>
        <w:t>in</w:t>
      </w:r>
      <w:r>
        <w:rPr>
          <w:spacing w:val="-12"/>
        </w:rPr>
        <w:t xml:space="preserve"> </w:t>
      </w:r>
      <w:r>
        <w:t>Australian</w:t>
      </w:r>
      <w:r>
        <w:rPr>
          <w:spacing w:val="-1"/>
        </w:rPr>
        <w:t xml:space="preserve"> </w:t>
      </w:r>
      <w:r>
        <w:t>workplaces.</w:t>
      </w:r>
      <w:r>
        <w:rPr>
          <w:spacing w:val="-1"/>
        </w:rPr>
        <w:t xml:space="preserve"> </w:t>
      </w:r>
      <w:r>
        <w:t>QLS</w:t>
      </w:r>
      <w:r>
        <w:rPr>
          <w:spacing w:val="-1"/>
        </w:rPr>
        <w:t xml:space="preserve"> </w:t>
      </w:r>
      <w:r>
        <w:t>is</w:t>
      </w:r>
      <w:r>
        <w:rPr>
          <w:spacing w:val="-1"/>
        </w:rPr>
        <w:t xml:space="preserve"> </w:t>
      </w:r>
      <w:r>
        <w:t>proud</w:t>
      </w:r>
      <w:r>
        <w:rPr>
          <w:spacing w:val="-1"/>
        </w:rPr>
        <w:t xml:space="preserve"> </w:t>
      </w:r>
      <w:r>
        <w:t>of our commitment to gender equality and our strategies to attract and retain the best possible talent. This is key to underpinning a culture that values equality, diversity, and inclusion of all employees.</w:t>
      </w:r>
    </w:p>
    <w:p w14:paraId="4E2248AF" w14:textId="77777777" w:rsidR="00AC6F3C" w:rsidRDefault="00570E88">
      <w:pPr>
        <w:pStyle w:val="BodyText"/>
        <w:spacing w:before="174" w:line="249" w:lineRule="auto"/>
        <w:ind w:left="815" w:right="234"/>
      </w:pPr>
      <w:r>
        <w:t>The QLS Diversity and Inclusion Committee (D&amp;I Committee) has continued to flourish this year and is working together to promote and achieve diversity and inclusion both within and outside the workplace. In the past year, the D&amp;I Committee has run successful awareness and educational events, including International</w:t>
      </w:r>
      <w:r>
        <w:rPr>
          <w:spacing w:val="-4"/>
        </w:rPr>
        <w:t xml:space="preserve"> </w:t>
      </w:r>
      <w:r>
        <w:t>Women’s</w:t>
      </w:r>
      <w:r>
        <w:rPr>
          <w:spacing w:val="-4"/>
        </w:rPr>
        <w:t xml:space="preserve"> </w:t>
      </w:r>
      <w:r>
        <w:t>Day</w:t>
      </w:r>
      <w:r>
        <w:rPr>
          <w:spacing w:val="-4"/>
        </w:rPr>
        <w:t xml:space="preserve"> </w:t>
      </w:r>
      <w:r>
        <w:t>and</w:t>
      </w:r>
      <w:r>
        <w:rPr>
          <w:spacing w:val="-4"/>
        </w:rPr>
        <w:t xml:space="preserve"> </w:t>
      </w:r>
      <w:r>
        <w:t>a</w:t>
      </w:r>
      <w:r>
        <w:rPr>
          <w:spacing w:val="-4"/>
        </w:rPr>
        <w:t xml:space="preserve"> </w:t>
      </w:r>
      <w:r>
        <w:t>month-long</w:t>
      </w:r>
      <w:r>
        <w:rPr>
          <w:spacing w:val="-4"/>
        </w:rPr>
        <w:t xml:space="preserve"> </w:t>
      </w:r>
      <w:r>
        <w:t>campaign</w:t>
      </w:r>
      <w:r>
        <w:rPr>
          <w:spacing w:val="-4"/>
        </w:rPr>
        <w:t xml:space="preserve"> </w:t>
      </w:r>
      <w:r>
        <w:t>to</w:t>
      </w:r>
      <w:r>
        <w:rPr>
          <w:spacing w:val="-4"/>
        </w:rPr>
        <w:t xml:space="preserve"> </w:t>
      </w:r>
      <w:r>
        <w:t>raise</w:t>
      </w:r>
      <w:r>
        <w:rPr>
          <w:spacing w:val="-4"/>
        </w:rPr>
        <w:t xml:space="preserve"> </w:t>
      </w:r>
      <w:r>
        <w:t>awareness</w:t>
      </w:r>
      <w:r>
        <w:rPr>
          <w:spacing w:val="-4"/>
        </w:rPr>
        <w:t xml:space="preserve"> </w:t>
      </w:r>
      <w:r>
        <w:t>and</w:t>
      </w:r>
      <w:r>
        <w:rPr>
          <w:spacing w:val="-4"/>
        </w:rPr>
        <w:t xml:space="preserve"> </w:t>
      </w:r>
      <w:r>
        <w:t>open</w:t>
      </w:r>
      <w:r>
        <w:rPr>
          <w:spacing w:val="-4"/>
        </w:rPr>
        <w:t xml:space="preserve"> </w:t>
      </w:r>
      <w:r>
        <w:t>communication</w:t>
      </w:r>
      <w:r>
        <w:rPr>
          <w:spacing w:val="-4"/>
        </w:rPr>
        <w:t xml:space="preserve"> </w:t>
      </w:r>
      <w:r>
        <w:t>for Mental Health Month.</w:t>
      </w:r>
    </w:p>
    <w:p w14:paraId="144B48C1" w14:textId="77777777" w:rsidR="00AC6F3C" w:rsidRDefault="00570E88">
      <w:pPr>
        <w:pStyle w:val="BodyText"/>
        <w:spacing w:before="174" w:line="249" w:lineRule="auto"/>
        <w:ind w:left="815" w:right="497"/>
        <w:jc w:val="both"/>
      </w:pPr>
      <w:r>
        <w:t>The</w:t>
      </w:r>
      <w:r>
        <w:rPr>
          <w:spacing w:val="-3"/>
        </w:rPr>
        <w:t xml:space="preserve"> </w:t>
      </w:r>
      <w:r>
        <w:t>D&amp;I</w:t>
      </w:r>
      <w:r>
        <w:rPr>
          <w:spacing w:val="-3"/>
        </w:rPr>
        <w:t xml:space="preserve"> </w:t>
      </w:r>
      <w:r>
        <w:t>Committee</w:t>
      </w:r>
      <w:r>
        <w:rPr>
          <w:spacing w:val="-3"/>
        </w:rPr>
        <w:t xml:space="preserve"> </w:t>
      </w:r>
      <w:r>
        <w:t>have</w:t>
      </w:r>
      <w:r>
        <w:rPr>
          <w:spacing w:val="-3"/>
        </w:rPr>
        <w:t xml:space="preserve"> </w:t>
      </w:r>
      <w:r>
        <w:t>over</w:t>
      </w:r>
      <w:r>
        <w:rPr>
          <w:spacing w:val="-3"/>
        </w:rPr>
        <w:t xml:space="preserve"> </w:t>
      </w:r>
      <w:r>
        <w:t>the</w:t>
      </w:r>
      <w:r>
        <w:rPr>
          <w:spacing w:val="-3"/>
        </w:rPr>
        <w:t xml:space="preserve"> </w:t>
      </w:r>
      <w:r>
        <w:t>course</w:t>
      </w:r>
      <w:r>
        <w:rPr>
          <w:spacing w:val="-3"/>
        </w:rPr>
        <w:t xml:space="preserve"> </w:t>
      </w:r>
      <w:r>
        <w:t>of</w:t>
      </w:r>
      <w:r>
        <w:rPr>
          <w:spacing w:val="-3"/>
        </w:rPr>
        <w:t xml:space="preserve"> </w:t>
      </w:r>
      <w:r>
        <w:t>the</w:t>
      </w:r>
      <w:r>
        <w:rPr>
          <w:spacing w:val="-3"/>
        </w:rPr>
        <w:t xml:space="preserve"> </w:t>
      </w:r>
      <w:r>
        <w:t>year</w:t>
      </w:r>
      <w:r>
        <w:rPr>
          <w:spacing w:val="-3"/>
        </w:rPr>
        <w:t xml:space="preserve"> </w:t>
      </w:r>
      <w:r>
        <w:t>provided</w:t>
      </w:r>
      <w:r>
        <w:rPr>
          <w:spacing w:val="-3"/>
        </w:rPr>
        <w:t xml:space="preserve"> </w:t>
      </w:r>
      <w:r>
        <w:t>employees</w:t>
      </w:r>
      <w:r>
        <w:rPr>
          <w:spacing w:val="-3"/>
        </w:rPr>
        <w:t xml:space="preserve"> </w:t>
      </w:r>
      <w:r>
        <w:t>with</w:t>
      </w:r>
      <w:r>
        <w:rPr>
          <w:spacing w:val="-3"/>
        </w:rPr>
        <w:t xml:space="preserve"> </w:t>
      </w:r>
      <w:r>
        <w:t>the</w:t>
      </w:r>
      <w:r>
        <w:rPr>
          <w:spacing w:val="-3"/>
        </w:rPr>
        <w:t xml:space="preserve"> </w:t>
      </w:r>
      <w:r>
        <w:t>opportunity</w:t>
      </w:r>
      <w:r>
        <w:rPr>
          <w:spacing w:val="-3"/>
        </w:rPr>
        <w:t xml:space="preserve"> </w:t>
      </w:r>
      <w:r>
        <w:t>to</w:t>
      </w:r>
      <w:r>
        <w:rPr>
          <w:spacing w:val="-3"/>
        </w:rPr>
        <w:t xml:space="preserve"> </w:t>
      </w:r>
      <w:r>
        <w:t>gain a deeper understanding through education and awareness around diversity and inclusion. QLS also</w:t>
      </w:r>
    </w:p>
    <w:p w14:paraId="2732CC29" w14:textId="77777777" w:rsidR="00AC6F3C" w:rsidRDefault="00570E88">
      <w:pPr>
        <w:pStyle w:val="BodyText"/>
        <w:spacing w:before="2" w:line="249" w:lineRule="auto"/>
        <w:ind w:left="815" w:right="186"/>
        <w:jc w:val="both"/>
      </w:pPr>
      <w:r>
        <w:t>continues</w:t>
      </w:r>
      <w:r>
        <w:rPr>
          <w:spacing w:val="-1"/>
        </w:rPr>
        <w:t xml:space="preserve"> </w:t>
      </w:r>
      <w:r>
        <w:t>to</w:t>
      </w:r>
      <w:r>
        <w:rPr>
          <w:spacing w:val="-1"/>
        </w:rPr>
        <w:t xml:space="preserve"> </w:t>
      </w:r>
      <w:r>
        <w:t>be</w:t>
      </w:r>
      <w:r>
        <w:rPr>
          <w:spacing w:val="-1"/>
        </w:rPr>
        <w:t xml:space="preserve"> </w:t>
      </w:r>
      <w:r>
        <w:t>a</w:t>
      </w:r>
      <w:r>
        <w:rPr>
          <w:spacing w:val="-1"/>
        </w:rPr>
        <w:t xml:space="preserve"> </w:t>
      </w:r>
      <w:r>
        <w:t>member</w:t>
      </w:r>
      <w:r>
        <w:rPr>
          <w:spacing w:val="-1"/>
        </w:rPr>
        <w:t xml:space="preserve"> </w:t>
      </w:r>
      <w:r>
        <w:t>of</w:t>
      </w:r>
      <w:r>
        <w:rPr>
          <w:spacing w:val="-1"/>
        </w:rPr>
        <w:t xml:space="preserve"> </w:t>
      </w:r>
      <w:r>
        <w:t>the</w:t>
      </w:r>
      <w:r>
        <w:rPr>
          <w:spacing w:val="-1"/>
        </w:rPr>
        <w:t xml:space="preserve"> </w:t>
      </w:r>
      <w:r>
        <w:t>Diversity</w:t>
      </w:r>
      <w:r>
        <w:rPr>
          <w:spacing w:val="-1"/>
        </w:rPr>
        <w:t xml:space="preserve"> </w:t>
      </w:r>
      <w:r>
        <w:t>Council</w:t>
      </w:r>
      <w:r>
        <w:rPr>
          <w:spacing w:val="-1"/>
        </w:rPr>
        <w:t xml:space="preserve"> </w:t>
      </w:r>
      <w:r>
        <w:t>of</w:t>
      </w:r>
      <w:r>
        <w:rPr>
          <w:spacing w:val="-12"/>
        </w:rPr>
        <w:t xml:space="preserve"> </w:t>
      </w:r>
      <w:r>
        <w:t>Australia</w:t>
      </w:r>
      <w:r>
        <w:rPr>
          <w:spacing w:val="-1"/>
        </w:rPr>
        <w:t xml:space="preserve"> </w:t>
      </w:r>
      <w:r>
        <w:t>and</w:t>
      </w:r>
      <w:r>
        <w:rPr>
          <w:spacing w:val="-1"/>
        </w:rPr>
        <w:t xml:space="preserve"> </w:t>
      </w:r>
      <w:r>
        <w:t>all</w:t>
      </w:r>
      <w:r>
        <w:rPr>
          <w:spacing w:val="-1"/>
        </w:rPr>
        <w:t xml:space="preserve"> </w:t>
      </w:r>
      <w:r>
        <w:t>employees</w:t>
      </w:r>
      <w:r>
        <w:rPr>
          <w:spacing w:val="-1"/>
        </w:rPr>
        <w:t xml:space="preserve"> </w:t>
      </w:r>
      <w:r>
        <w:t>have</w:t>
      </w:r>
      <w:r>
        <w:rPr>
          <w:spacing w:val="-1"/>
        </w:rPr>
        <w:t xml:space="preserve"> </w:t>
      </w:r>
      <w:r>
        <w:t>free</w:t>
      </w:r>
      <w:r>
        <w:rPr>
          <w:spacing w:val="-1"/>
        </w:rPr>
        <w:t xml:space="preserve"> </w:t>
      </w:r>
      <w:r>
        <w:t>access</w:t>
      </w:r>
      <w:r>
        <w:rPr>
          <w:spacing w:val="-1"/>
        </w:rPr>
        <w:t xml:space="preserve"> </w:t>
      </w:r>
      <w:r>
        <w:t>to</w:t>
      </w:r>
      <w:r>
        <w:rPr>
          <w:spacing w:val="-1"/>
        </w:rPr>
        <w:t xml:space="preserve"> </w:t>
      </w:r>
      <w:r>
        <w:t>the resources and events DCA</w:t>
      </w:r>
      <w:r>
        <w:rPr>
          <w:spacing w:val="-11"/>
        </w:rPr>
        <w:t xml:space="preserve"> </w:t>
      </w:r>
      <w:r>
        <w:t>provide.</w:t>
      </w:r>
      <w:r>
        <w:rPr>
          <w:spacing w:val="-4"/>
        </w:rPr>
        <w:t xml:space="preserve"> </w:t>
      </w:r>
      <w:r>
        <w:t>The People and Culture team support these initiatives. For example, we</w:t>
      </w:r>
      <w:r>
        <w:rPr>
          <w:spacing w:val="-2"/>
        </w:rPr>
        <w:t xml:space="preserve"> </w:t>
      </w:r>
      <w:r>
        <w:t>have</w:t>
      </w:r>
      <w:r>
        <w:rPr>
          <w:spacing w:val="-2"/>
        </w:rPr>
        <w:t xml:space="preserve"> </w:t>
      </w:r>
      <w:r>
        <w:t>a</w:t>
      </w:r>
      <w:r>
        <w:rPr>
          <w:spacing w:val="-2"/>
        </w:rPr>
        <w:t xml:space="preserve"> </w:t>
      </w:r>
      <w:r>
        <w:t>dedicated</w:t>
      </w:r>
      <w:r>
        <w:rPr>
          <w:spacing w:val="-2"/>
        </w:rPr>
        <w:t xml:space="preserve"> </w:t>
      </w:r>
      <w:r>
        <w:t>room</w:t>
      </w:r>
      <w:r>
        <w:rPr>
          <w:spacing w:val="-2"/>
        </w:rPr>
        <w:t xml:space="preserve"> </w:t>
      </w:r>
      <w:r>
        <w:t>for</w:t>
      </w:r>
      <w:r>
        <w:rPr>
          <w:spacing w:val="-2"/>
        </w:rPr>
        <w:t xml:space="preserve"> </w:t>
      </w:r>
      <w:r>
        <w:t>working</w:t>
      </w:r>
      <w:r>
        <w:rPr>
          <w:spacing w:val="-2"/>
        </w:rPr>
        <w:t xml:space="preserve"> </w:t>
      </w:r>
      <w:r>
        <w:t>parents</w:t>
      </w:r>
      <w:r>
        <w:rPr>
          <w:spacing w:val="-2"/>
        </w:rPr>
        <w:t xml:space="preserve"> </w:t>
      </w:r>
      <w:r>
        <w:t>to</w:t>
      </w:r>
      <w:r>
        <w:rPr>
          <w:spacing w:val="-2"/>
        </w:rPr>
        <w:t xml:space="preserve"> </w:t>
      </w:r>
      <w:proofErr w:type="spellStart"/>
      <w:r>
        <w:t>utilise</w:t>
      </w:r>
      <w:proofErr w:type="spellEnd"/>
      <w:r>
        <w:rPr>
          <w:spacing w:val="-2"/>
        </w:rPr>
        <w:t xml:space="preserve"> </w:t>
      </w:r>
      <w:r>
        <w:t>as</w:t>
      </w:r>
      <w:r>
        <w:rPr>
          <w:spacing w:val="-2"/>
        </w:rPr>
        <w:t xml:space="preserve"> </w:t>
      </w:r>
      <w:r>
        <w:t>required</w:t>
      </w:r>
      <w:r>
        <w:rPr>
          <w:spacing w:val="-2"/>
        </w:rPr>
        <w:t xml:space="preserve"> </w:t>
      </w:r>
      <w:r>
        <w:t>to</w:t>
      </w:r>
      <w:r>
        <w:rPr>
          <w:spacing w:val="-2"/>
        </w:rPr>
        <w:t xml:space="preserve"> </w:t>
      </w:r>
      <w:r>
        <w:t>care</w:t>
      </w:r>
      <w:r>
        <w:rPr>
          <w:spacing w:val="-2"/>
        </w:rPr>
        <w:t xml:space="preserve"> </w:t>
      </w:r>
      <w:r>
        <w:t>for</w:t>
      </w:r>
      <w:r>
        <w:rPr>
          <w:spacing w:val="-2"/>
        </w:rPr>
        <w:t xml:space="preserve"> </w:t>
      </w:r>
      <w:r>
        <w:t>infants</w:t>
      </w:r>
      <w:r>
        <w:rPr>
          <w:spacing w:val="-2"/>
        </w:rPr>
        <w:t xml:space="preserve"> </w:t>
      </w:r>
      <w:r>
        <w:t>and</w:t>
      </w:r>
      <w:r>
        <w:rPr>
          <w:spacing w:val="-2"/>
        </w:rPr>
        <w:t xml:space="preserve"> </w:t>
      </w:r>
      <w:r>
        <w:t>we</w:t>
      </w:r>
      <w:r>
        <w:rPr>
          <w:spacing w:val="-2"/>
        </w:rPr>
        <w:t xml:space="preserve"> </w:t>
      </w:r>
      <w:r>
        <w:t>continue</w:t>
      </w:r>
      <w:r>
        <w:rPr>
          <w:spacing w:val="-2"/>
        </w:rPr>
        <w:t xml:space="preserve"> </w:t>
      </w:r>
      <w:r>
        <w:t>to be a Breastfeeding Friendly Accredited Workplace.</w:t>
      </w:r>
    </w:p>
    <w:p w14:paraId="62CF15A3" w14:textId="77777777" w:rsidR="00AC6F3C" w:rsidRDefault="00570E88">
      <w:pPr>
        <w:pStyle w:val="BodyText"/>
        <w:spacing w:before="173"/>
        <w:ind w:left="815"/>
        <w:jc w:val="both"/>
      </w:pPr>
      <w:r>
        <w:t>QLS</w:t>
      </w:r>
      <w:r>
        <w:rPr>
          <w:spacing w:val="-2"/>
        </w:rPr>
        <w:t xml:space="preserve"> </w:t>
      </w:r>
      <w:r>
        <w:t>continues</w:t>
      </w:r>
      <w:r>
        <w:rPr>
          <w:spacing w:val="-2"/>
        </w:rPr>
        <w:t xml:space="preserve"> </w:t>
      </w:r>
      <w:r>
        <w:t>to</w:t>
      </w:r>
      <w:r>
        <w:rPr>
          <w:spacing w:val="-1"/>
        </w:rPr>
        <w:t xml:space="preserve"> </w:t>
      </w:r>
      <w:r>
        <w:t>drive</w:t>
      </w:r>
      <w:r>
        <w:rPr>
          <w:spacing w:val="-2"/>
        </w:rPr>
        <w:t xml:space="preserve"> </w:t>
      </w:r>
      <w:r>
        <w:t>the</w:t>
      </w:r>
      <w:r>
        <w:rPr>
          <w:spacing w:val="-1"/>
        </w:rPr>
        <w:t xml:space="preserve"> </w:t>
      </w:r>
      <w:r>
        <w:t>First</w:t>
      </w:r>
      <w:r>
        <w:rPr>
          <w:spacing w:val="-2"/>
        </w:rPr>
        <w:t xml:space="preserve"> </w:t>
      </w:r>
      <w:r>
        <w:t>Nations</w:t>
      </w:r>
      <w:r>
        <w:rPr>
          <w:spacing w:val="-1"/>
        </w:rPr>
        <w:t xml:space="preserve"> </w:t>
      </w:r>
      <w:r>
        <w:t>cultural</w:t>
      </w:r>
      <w:r>
        <w:rPr>
          <w:spacing w:val="-2"/>
        </w:rPr>
        <w:t xml:space="preserve"> </w:t>
      </w:r>
      <w:r>
        <w:t>outreach</w:t>
      </w:r>
      <w:r>
        <w:rPr>
          <w:spacing w:val="-1"/>
        </w:rPr>
        <w:t xml:space="preserve"> </w:t>
      </w:r>
      <w:r>
        <w:t>initiatives.</w:t>
      </w:r>
      <w:r>
        <w:rPr>
          <w:spacing w:val="-2"/>
        </w:rPr>
        <w:t xml:space="preserve"> </w:t>
      </w:r>
      <w:r>
        <w:t>Further</w:t>
      </w:r>
      <w:r>
        <w:rPr>
          <w:spacing w:val="-1"/>
        </w:rPr>
        <w:t xml:space="preserve"> </w:t>
      </w:r>
      <w:r>
        <w:t>details</w:t>
      </w:r>
      <w:r>
        <w:rPr>
          <w:spacing w:val="-2"/>
        </w:rPr>
        <w:t xml:space="preserve"> </w:t>
      </w:r>
      <w:r>
        <w:t>about</w:t>
      </w:r>
      <w:r>
        <w:rPr>
          <w:spacing w:val="-1"/>
        </w:rPr>
        <w:t xml:space="preserve"> </w:t>
      </w:r>
      <w:r>
        <w:t>this</w:t>
      </w:r>
      <w:r>
        <w:rPr>
          <w:spacing w:val="-2"/>
        </w:rPr>
        <w:t xml:space="preserve"> </w:t>
      </w:r>
      <w:r>
        <w:t>can</w:t>
      </w:r>
      <w:r>
        <w:rPr>
          <w:spacing w:val="-1"/>
        </w:rPr>
        <w:t xml:space="preserve"> </w:t>
      </w:r>
      <w:r>
        <w:rPr>
          <w:spacing w:val="-5"/>
        </w:rPr>
        <w:t>be</w:t>
      </w:r>
    </w:p>
    <w:p w14:paraId="3D7DF8C3" w14:textId="77777777" w:rsidR="00AC6F3C" w:rsidRDefault="00570E88">
      <w:pPr>
        <w:pStyle w:val="BodyText"/>
        <w:spacing w:before="10"/>
        <w:ind w:left="815"/>
        <w:jc w:val="both"/>
      </w:pPr>
      <w:r>
        <w:t>found</w:t>
      </w:r>
      <w:r>
        <w:rPr>
          <w:spacing w:val="-2"/>
        </w:rPr>
        <w:t xml:space="preserve"> </w:t>
      </w:r>
      <w:r>
        <w:t>in</w:t>
      </w:r>
      <w:r>
        <w:rPr>
          <w:spacing w:val="-2"/>
        </w:rPr>
        <w:t xml:space="preserve"> </w:t>
      </w:r>
      <w:r>
        <w:t>this</w:t>
      </w:r>
      <w:r>
        <w:rPr>
          <w:spacing w:val="-1"/>
        </w:rPr>
        <w:t xml:space="preserve"> </w:t>
      </w:r>
      <w:r>
        <w:rPr>
          <w:spacing w:val="-2"/>
        </w:rPr>
        <w:t>report.</w:t>
      </w:r>
    </w:p>
    <w:p w14:paraId="24BD35EC" w14:textId="77777777" w:rsidR="00AC6F3C" w:rsidRDefault="00AC6F3C">
      <w:pPr>
        <w:pStyle w:val="BodyText"/>
        <w:spacing w:before="10"/>
        <w:rPr>
          <w:sz w:val="31"/>
        </w:rPr>
      </w:pPr>
    </w:p>
    <w:p w14:paraId="09CA537D" w14:textId="77777777" w:rsidR="00AC6F3C" w:rsidRDefault="00570E88">
      <w:pPr>
        <w:ind w:left="815"/>
        <w:jc w:val="both"/>
        <w:rPr>
          <w:b/>
          <w:sz w:val="26"/>
        </w:rPr>
      </w:pPr>
      <w:r>
        <w:rPr>
          <w:b/>
          <w:sz w:val="26"/>
        </w:rPr>
        <w:t>QLS</w:t>
      </w:r>
      <w:r>
        <w:rPr>
          <w:b/>
          <w:spacing w:val="-7"/>
          <w:sz w:val="26"/>
        </w:rPr>
        <w:t xml:space="preserve"> </w:t>
      </w:r>
      <w:r>
        <w:rPr>
          <w:b/>
          <w:sz w:val="26"/>
        </w:rPr>
        <w:t>Charity</w:t>
      </w:r>
      <w:r>
        <w:rPr>
          <w:b/>
          <w:spacing w:val="-6"/>
          <w:sz w:val="26"/>
        </w:rPr>
        <w:t xml:space="preserve"> </w:t>
      </w:r>
      <w:r>
        <w:rPr>
          <w:b/>
          <w:sz w:val="26"/>
        </w:rPr>
        <w:t>and</w:t>
      </w:r>
      <w:r>
        <w:rPr>
          <w:b/>
          <w:spacing w:val="-7"/>
          <w:sz w:val="26"/>
        </w:rPr>
        <w:t xml:space="preserve"> </w:t>
      </w:r>
      <w:r>
        <w:rPr>
          <w:b/>
          <w:sz w:val="26"/>
        </w:rPr>
        <w:t>Volunteering</w:t>
      </w:r>
      <w:r>
        <w:rPr>
          <w:b/>
          <w:spacing w:val="-6"/>
          <w:sz w:val="26"/>
        </w:rPr>
        <w:t xml:space="preserve"> </w:t>
      </w:r>
      <w:r>
        <w:rPr>
          <w:b/>
          <w:spacing w:val="-2"/>
          <w:sz w:val="26"/>
        </w:rPr>
        <w:t>Committee</w:t>
      </w:r>
    </w:p>
    <w:p w14:paraId="31F19117" w14:textId="77777777" w:rsidR="00AC6F3C" w:rsidRDefault="00570E88">
      <w:pPr>
        <w:pStyle w:val="BodyText"/>
        <w:spacing w:before="167" w:line="249" w:lineRule="auto"/>
        <w:ind w:left="815" w:right="234"/>
      </w:pPr>
      <w:r>
        <w:t>The</w:t>
      </w:r>
      <w:r>
        <w:rPr>
          <w:spacing w:val="-4"/>
        </w:rPr>
        <w:t xml:space="preserve"> </w:t>
      </w:r>
      <w:r>
        <w:t>QLS</w:t>
      </w:r>
      <w:r>
        <w:rPr>
          <w:spacing w:val="-4"/>
        </w:rPr>
        <w:t xml:space="preserve"> </w:t>
      </w:r>
      <w:r>
        <w:t>Charity</w:t>
      </w:r>
      <w:r>
        <w:rPr>
          <w:spacing w:val="-4"/>
        </w:rPr>
        <w:t xml:space="preserve"> </w:t>
      </w:r>
      <w:r>
        <w:t>and</w:t>
      </w:r>
      <w:r>
        <w:rPr>
          <w:spacing w:val="-4"/>
        </w:rPr>
        <w:t xml:space="preserve"> </w:t>
      </w:r>
      <w:r>
        <w:t>Volunteering</w:t>
      </w:r>
      <w:r>
        <w:rPr>
          <w:spacing w:val="-4"/>
        </w:rPr>
        <w:t xml:space="preserve"> </w:t>
      </w:r>
      <w:r>
        <w:t>Committee</w:t>
      </w:r>
      <w:r>
        <w:rPr>
          <w:spacing w:val="-4"/>
        </w:rPr>
        <w:t xml:space="preserve"> </w:t>
      </w:r>
      <w:r>
        <w:t>continued</w:t>
      </w:r>
      <w:r>
        <w:rPr>
          <w:spacing w:val="-4"/>
        </w:rPr>
        <w:t xml:space="preserve"> </w:t>
      </w:r>
      <w:r>
        <w:t>to</w:t>
      </w:r>
      <w:r>
        <w:rPr>
          <w:spacing w:val="-4"/>
        </w:rPr>
        <w:t xml:space="preserve"> </w:t>
      </w:r>
      <w:r>
        <w:t>raise</w:t>
      </w:r>
      <w:r>
        <w:rPr>
          <w:spacing w:val="-4"/>
        </w:rPr>
        <w:t xml:space="preserve"> </w:t>
      </w:r>
      <w:r>
        <w:t>funds</w:t>
      </w:r>
      <w:r>
        <w:rPr>
          <w:spacing w:val="-4"/>
        </w:rPr>
        <w:t xml:space="preserve"> </w:t>
      </w:r>
      <w:r>
        <w:t>for</w:t>
      </w:r>
      <w:r>
        <w:rPr>
          <w:spacing w:val="-4"/>
        </w:rPr>
        <w:t xml:space="preserve"> </w:t>
      </w:r>
      <w:r>
        <w:t>worthy</w:t>
      </w:r>
      <w:r>
        <w:rPr>
          <w:spacing w:val="-4"/>
        </w:rPr>
        <w:t xml:space="preserve"> </w:t>
      </w:r>
      <w:r>
        <w:t>causes</w:t>
      </w:r>
      <w:r>
        <w:rPr>
          <w:spacing w:val="-4"/>
        </w:rPr>
        <w:t xml:space="preserve"> </w:t>
      </w:r>
      <w:r>
        <w:t>this</w:t>
      </w:r>
      <w:r>
        <w:rPr>
          <w:spacing w:val="-4"/>
        </w:rPr>
        <w:t xml:space="preserve"> </w:t>
      </w:r>
      <w:r>
        <w:t>financial year and participate in events. During the 2022-23 financial year the Committee raised approximately</w:t>
      </w:r>
    </w:p>
    <w:p w14:paraId="1B57FF6B" w14:textId="77777777" w:rsidR="00AC6F3C" w:rsidRDefault="00570E88">
      <w:pPr>
        <w:pStyle w:val="BodyText"/>
        <w:spacing w:before="2" w:line="249" w:lineRule="auto"/>
        <w:ind w:left="815" w:right="354"/>
      </w:pPr>
      <w:r>
        <w:t xml:space="preserve">$3,476 (including dollar matching by QLS). Several initiatives throughout the year included the Lung Foundation, RSPCA, </w:t>
      </w:r>
      <w:proofErr w:type="spellStart"/>
      <w:r>
        <w:t>Movember</w:t>
      </w:r>
      <w:proofErr w:type="spellEnd"/>
      <w:r>
        <w:t>, YMCA</w:t>
      </w:r>
      <w:r>
        <w:rPr>
          <w:spacing w:val="-2"/>
        </w:rPr>
        <w:t xml:space="preserve"> </w:t>
      </w:r>
      <w:r>
        <w:t>School Breakfast Program and raising funds for Parkinson’s research. The QLS Christmas raffle raised money for the Indigenous Literacy Foundation. The Committee also continued with chocolate fundraising which was the most successful of fundraisers</w:t>
      </w:r>
      <w:r>
        <w:rPr>
          <w:spacing w:val="80"/>
        </w:rPr>
        <w:t xml:space="preserve"> </w:t>
      </w:r>
      <w:r>
        <w:t>and the money was donated to</w:t>
      </w:r>
      <w:r>
        <w:rPr>
          <w:spacing w:val="-4"/>
        </w:rPr>
        <w:t xml:space="preserve"> </w:t>
      </w:r>
      <w:r>
        <w:t>The Women’s Legal Service. For the first time this year, the Committee arranged</w:t>
      </w:r>
      <w:r>
        <w:rPr>
          <w:spacing w:val="-3"/>
        </w:rPr>
        <w:t xml:space="preserve"> </w:t>
      </w:r>
      <w:r>
        <w:t>donations</w:t>
      </w:r>
      <w:r>
        <w:rPr>
          <w:spacing w:val="-3"/>
        </w:rPr>
        <w:t xml:space="preserve"> </w:t>
      </w:r>
      <w:r>
        <w:t>from</w:t>
      </w:r>
      <w:r>
        <w:rPr>
          <w:spacing w:val="-3"/>
        </w:rPr>
        <w:t xml:space="preserve"> </w:t>
      </w:r>
      <w:r>
        <w:t>QLS</w:t>
      </w:r>
      <w:r>
        <w:rPr>
          <w:spacing w:val="-3"/>
        </w:rPr>
        <w:t xml:space="preserve"> </w:t>
      </w:r>
      <w:r>
        <w:t>employees</w:t>
      </w:r>
      <w:r>
        <w:rPr>
          <w:spacing w:val="-3"/>
        </w:rPr>
        <w:t xml:space="preserve"> </w:t>
      </w:r>
      <w:r>
        <w:t>to</w:t>
      </w:r>
      <w:r>
        <w:rPr>
          <w:spacing w:val="-3"/>
        </w:rPr>
        <w:t xml:space="preserve"> </w:t>
      </w:r>
      <w:r>
        <w:t>the</w:t>
      </w:r>
      <w:r>
        <w:rPr>
          <w:spacing w:val="-3"/>
        </w:rPr>
        <w:t xml:space="preserve"> </w:t>
      </w:r>
      <w:r>
        <w:t>Share</w:t>
      </w:r>
      <w:r>
        <w:rPr>
          <w:spacing w:val="-3"/>
        </w:rPr>
        <w:t xml:space="preserve"> </w:t>
      </w:r>
      <w:r>
        <w:t>the</w:t>
      </w:r>
      <w:r>
        <w:rPr>
          <w:spacing w:val="-3"/>
        </w:rPr>
        <w:t xml:space="preserve"> </w:t>
      </w:r>
      <w:r>
        <w:t>Dignity</w:t>
      </w:r>
      <w:r>
        <w:rPr>
          <w:spacing w:val="-3"/>
        </w:rPr>
        <w:t xml:space="preserve"> </w:t>
      </w:r>
      <w:r>
        <w:t>drive</w:t>
      </w:r>
      <w:r>
        <w:rPr>
          <w:spacing w:val="-3"/>
        </w:rPr>
        <w:t xml:space="preserve"> </w:t>
      </w:r>
      <w:r>
        <w:t>with</w:t>
      </w:r>
      <w:r>
        <w:rPr>
          <w:spacing w:val="-3"/>
        </w:rPr>
        <w:t xml:space="preserve"> </w:t>
      </w:r>
      <w:r>
        <w:t>a</w:t>
      </w:r>
      <w:r>
        <w:rPr>
          <w:spacing w:val="-3"/>
        </w:rPr>
        <w:t xml:space="preserve"> </w:t>
      </w:r>
      <w:r>
        <w:t>total</w:t>
      </w:r>
      <w:r>
        <w:rPr>
          <w:spacing w:val="-3"/>
        </w:rPr>
        <w:t xml:space="preserve"> </w:t>
      </w:r>
      <w:r>
        <w:t>of</w:t>
      </w:r>
      <w:r>
        <w:rPr>
          <w:spacing w:val="-3"/>
        </w:rPr>
        <w:t xml:space="preserve"> </w:t>
      </w:r>
      <w:r>
        <w:t>11</w:t>
      </w:r>
      <w:r>
        <w:rPr>
          <w:spacing w:val="-3"/>
        </w:rPr>
        <w:t xml:space="preserve"> </w:t>
      </w:r>
      <w:r>
        <w:t>bags</w:t>
      </w:r>
      <w:r>
        <w:rPr>
          <w:spacing w:val="-3"/>
        </w:rPr>
        <w:t xml:space="preserve"> </w:t>
      </w:r>
      <w:r>
        <w:t>donated. The Committee is working hard to recruit new members and to plan for new initiatives for the next financial year.</w:t>
      </w:r>
    </w:p>
    <w:p w14:paraId="19EE5A1B" w14:textId="77777777" w:rsidR="00AC6F3C" w:rsidRDefault="00AC6F3C">
      <w:pPr>
        <w:spacing w:line="249" w:lineRule="auto"/>
        <w:sectPr w:rsidR="00AC6F3C">
          <w:headerReference w:type="default" r:id="rId178"/>
          <w:footerReference w:type="default" r:id="rId179"/>
          <w:pgSz w:w="11910" w:h="16840"/>
          <w:pgMar w:top="980" w:right="1160" w:bottom="520" w:left="460" w:header="0" w:footer="336" w:gutter="0"/>
          <w:cols w:space="720"/>
        </w:sectPr>
      </w:pPr>
    </w:p>
    <w:p w14:paraId="6803740E" w14:textId="77777777" w:rsidR="00AC6F3C" w:rsidRDefault="00570E88">
      <w:pPr>
        <w:spacing w:before="63"/>
        <w:ind w:left="815"/>
        <w:rPr>
          <w:b/>
          <w:sz w:val="26"/>
        </w:rPr>
      </w:pPr>
      <w:r>
        <w:rPr>
          <w:b/>
          <w:sz w:val="26"/>
        </w:rPr>
        <w:lastRenderedPageBreak/>
        <w:t>Workplace</w:t>
      </w:r>
      <w:r>
        <w:rPr>
          <w:b/>
          <w:spacing w:val="-12"/>
          <w:sz w:val="26"/>
        </w:rPr>
        <w:t xml:space="preserve"> </w:t>
      </w:r>
      <w:r>
        <w:rPr>
          <w:b/>
          <w:spacing w:val="-2"/>
          <w:sz w:val="26"/>
        </w:rPr>
        <w:t>wellbeing</w:t>
      </w:r>
    </w:p>
    <w:p w14:paraId="67882A67" w14:textId="77777777" w:rsidR="00AC6F3C" w:rsidRDefault="00570E88">
      <w:pPr>
        <w:pStyle w:val="BodyText"/>
        <w:spacing w:before="167" w:line="249" w:lineRule="auto"/>
        <w:ind w:left="815" w:right="468"/>
      </w:pPr>
      <w:r>
        <w:t>We continued to build on our commitment to workplace wellbeing.</w:t>
      </w:r>
      <w:r>
        <w:rPr>
          <w:spacing w:val="-5"/>
        </w:rPr>
        <w:t xml:space="preserve"> </w:t>
      </w:r>
      <w:r>
        <w:t>As a result of the office refurbishment, we have updated the fit out of our Wellbeing Room which includes equipment and facilities</w:t>
      </w:r>
      <w:r>
        <w:rPr>
          <w:spacing w:val="-3"/>
        </w:rPr>
        <w:t xml:space="preserve"> </w:t>
      </w:r>
      <w:r>
        <w:t>for</w:t>
      </w:r>
      <w:r>
        <w:rPr>
          <w:spacing w:val="-3"/>
        </w:rPr>
        <w:t xml:space="preserve"> </w:t>
      </w:r>
      <w:r>
        <w:t>breastfeeding.</w:t>
      </w:r>
      <w:r>
        <w:rPr>
          <w:spacing w:val="-3"/>
        </w:rPr>
        <w:t xml:space="preserve"> </w:t>
      </w:r>
      <w:r>
        <w:t>We</w:t>
      </w:r>
      <w:r>
        <w:rPr>
          <w:spacing w:val="-3"/>
        </w:rPr>
        <w:t xml:space="preserve"> </w:t>
      </w:r>
      <w:r>
        <w:t>have</w:t>
      </w:r>
      <w:r>
        <w:rPr>
          <w:spacing w:val="-3"/>
        </w:rPr>
        <w:t xml:space="preserve"> </w:t>
      </w:r>
      <w:r>
        <w:t>actively</w:t>
      </w:r>
      <w:r>
        <w:rPr>
          <w:spacing w:val="-3"/>
        </w:rPr>
        <w:t xml:space="preserve"> </w:t>
      </w:r>
      <w:r>
        <w:t>engaged</w:t>
      </w:r>
      <w:r>
        <w:rPr>
          <w:spacing w:val="-3"/>
        </w:rPr>
        <w:t xml:space="preserve"> </w:t>
      </w:r>
      <w:r>
        <w:t>and</w:t>
      </w:r>
      <w:r>
        <w:rPr>
          <w:spacing w:val="-3"/>
        </w:rPr>
        <w:t xml:space="preserve"> </w:t>
      </w:r>
      <w:r>
        <w:t>encouraged</w:t>
      </w:r>
      <w:r>
        <w:rPr>
          <w:spacing w:val="-3"/>
        </w:rPr>
        <w:t xml:space="preserve"> </w:t>
      </w:r>
      <w:r>
        <w:t>employees</w:t>
      </w:r>
      <w:r>
        <w:rPr>
          <w:spacing w:val="-3"/>
        </w:rPr>
        <w:t xml:space="preserve"> </w:t>
      </w:r>
      <w:r>
        <w:t>to</w:t>
      </w:r>
      <w:r>
        <w:rPr>
          <w:spacing w:val="-3"/>
        </w:rPr>
        <w:t xml:space="preserve"> </w:t>
      </w:r>
      <w:r>
        <w:t>be</w:t>
      </w:r>
      <w:r>
        <w:rPr>
          <w:spacing w:val="-3"/>
        </w:rPr>
        <w:t xml:space="preserve"> </w:t>
      </w:r>
      <w:r>
        <w:t>involved</w:t>
      </w:r>
      <w:r>
        <w:rPr>
          <w:spacing w:val="-3"/>
        </w:rPr>
        <w:t xml:space="preserve"> </w:t>
      </w:r>
      <w:r>
        <w:t>in initiatives such as R U OK day, Queensland Legal Walk and Mental Health Month.</w:t>
      </w:r>
    </w:p>
    <w:p w14:paraId="6DCFB224" w14:textId="77777777" w:rsidR="00AC6F3C" w:rsidRDefault="00570E88">
      <w:pPr>
        <w:pStyle w:val="BodyText"/>
        <w:spacing w:before="174" w:line="249" w:lineRule="auto"/>
        <w:ind w:left="815" w:right="385"/>
      </w:pPr>
      <w:r>
        <w:t>QLS</w:t>
      </w:r>
      <w:r>
        <w:rPr>
          <w:spacing w:val="-3"/>
        </w:rPr>
        <w:t xml:space="preserve"> </w:t>
      </w:r>
      <w:r>
        <w:t>employees</w:t>
      </w:r>
      <w:r>
        <w:rPr>
          <w:spacing w:val="-3"/>
        </w:rPr>
        <w:t xml:space="preserve"> </w:t>
      </w:r>
      <w:r>
        <w:t>have</w:t>
      </w:r>
      <w:r>
        <w:rPr>
          <w:spacing w:val="-3"/>
        </w:rPr>
        <w:t xml:space="preserve"> </w:t>
      </w:r>
      <w:r>
        <w:t>access</w:t>
      </w:r>
      <w:r>
        <w:rPr>
          <w:spacing w:val="-3"/>
        </w:rPr>
        <w:t xml:space="preserve"> </w:t>
      </w:r>
      <w:r>
        <w:t>to</w:t>
      </w:r>
      <w:r>
        <w:rPr>
          <w:spacing w:val="-3"/>
        </w:rPr>
        <w:t xml:space="preserve"> </w:t>
      </w:r>
      <w:proofErr w:type="spellStart"/>
      <w:r>
        <w:t>LawCare</w:t>
      </w:r>
      <w:proofErr w:type="spellEnd"/>
      <w:r>
        <w:rPr>
          <w:spacing w:val="-3"/>
        </w:rPr>
        <w:t xml:space="preserve"> </w:t>
      </w:r>
      <w:r>
        <w:t>counselling</w:t>
      </w:r>
      <w:r>
        <w:rPr>
          <w:spacing w:val="-3"/>
        </w:rPr>
        <w:t xml:space="preserve"> </w:t>
      </w:r>
      <w:r>
        <w:t>services</w:t>
      </w:r>
      <w:r>
        <w:rPr>
          <w:spacing w:val="-3"/>
        </w:rPr>
        <w:t xml:space="preserve"> </w:t>
      </w:r>
      <w:r>
        <w:t>and</w:t>
      </w:r>
      <w:r>
        <w:rPr>
          <w:spacing w:val="-3"/>
        </w:rPr>
        <w:t xml:space="preserve"> </w:t>
      </w:r>
      <w:r>
        <w:t>are</w:t>
      </w:r>
      <w:r>
        <w:rPr>
          <w:spacing w:val="-3"/>
        </w:rPr>
        <w:t xml:space="preserve"> </w:t>
      </w:r>
      <w:r>
        <w:t>encouraged</w:t>
      </w:r>
      <w:r>
        <w:rPr>
          <w:spacing w:val="-3"/>
        </w:rPr>
        <w:t xml:space="preserve"> </w:t>
      </w:r>
      <w:r>
        <w:t>to</w:t>
      </w:r>
      <w:r>
        <w:rPr>
          <w:spacing w:val="-3"/>
        </w:rPr>
        <w:t xml:space="preserve"> </w:t>
      </w:r>
      <w:r>
        <w:t>seek</w:t>
      </w:r>
      <w:r>
        <w:rPr>
          <w:spacing w:val="-3"/>
        </w:rPr>
        <w:t xml:space="preserve"> </w:t>
      </w:r>
      <w:r>
        <w:t>help</w:t>
      </w:r>
      <w:r>
        <w:rPr>
          <w:spacing w:val="-3"/>
        </w:rPr>
        <w:t xml:space="preserve"> </w:t>
      </w:r>
      <w:r>
        <w:t>if</w:t>
      </w:r>
      <w:r>
        <w:rPr>
          <w:spacing w:val="-3"/>
        </w:rPr>
        <w:t xml:space="preserve"> </w:t>
      </w:r>
      <w:r>
        <w:t>they need it at any time. In FY23 QLS has delivered Mental Health First</w:t>
      </w:r>
      <w:r>
        <w:rPr>
          <w:spacing w:val="-6"/>
        </w:rPr>
        <w:t xml:space="preserve"> </w:t>
      </w:r>
      <w:r>
        <w:t xml:space="preserve">Aid training to internal employees and external members. This has been provided by a fully trained internal resource and extends the QLS’ commitment to ensure all employees’ mental health is supported, and conversations about mental health </w:t>
      </w:r>
      <w:proofErr w:type="spellStart"/>
      <w:r>
        <w:t>normalised</w:t>
      </w:r>
      <w:proofErr w:type="spellEnd"/>
      <w:r>
        <w:t>.</w:t>
      </w:r>
    </w:p>
    <w:p w14:paraId="53F21187" w14:textId="77777777" w:rsidR="00AC6F3C" w:rsidRDefault="00AC6F3C">
      <w:pPr>
        <w:pStyle w:val="BodyText"/>
        <w:spacing w:before="3"/>
        <w:rPr>
          <w:sz w:val="31"/>
        </w:rPr>
      </w:pPr>
    </w:p>
    <w:p w14:paraId="08974B07" w14:textId="77777777" w:rsidR="00AC6F3C" w:rsidRDefault="00570E88">
      <w:pPr>
        <w:ind w:left="815"/>
        <w:rPr>
          <w:b/>
          <w:sz w:val="26"/>
        </w:rPr>
      </w:pPr>
      <w:r>
        <w:rPr>
          <w:b/>
          <w:sz w:val="26"/>
        </w:rPr>
        <w:t>Flexible</w:t>
      </w:r>
      <w:r>
        <w:rPr>
          <w:b/>
          <w:spacing w:val="-5"/>
          <w:sz w:val="26"/>
        </w:rPr>
        <w:t xml:space="preserve"> </w:t>
      </w:r>
      <w:r>
        <w:rPr>
          <w:b/>
          <w:sz w:val="26"/>
        </w:rPr>
        <w:t>working</w:t>
      </w:r>
      <w:r>
        <w:rPr>
          <w:b/>
          <w:spacing w:val="-4"/>
          <w:sz w:val="26"/>
        </w:rPr>
        <w:t xml:space="preserve"> </w:t>
      </w:r>
      <w:r>
        <w:rPr>
          <w:b/>
          <w:sz w:val="26"/>
        </w:rPr>
        <w:t>arrangements</w:t>
      </w:r>
      <w:r>
        <w:rPr>
          <w:b/>
          <w:spacing w:val="-5"/>
          <w:sz w:val="26"/>
        </w:rPr>
        <w:t xml:space="preserve"> </w:t>
      </w:r>
      <w:r>
        <w:rPr>
          <w:b/>
          <w:sz w:val="26"/>
        </w:rPr>
        <w:t>and</w:t>
      </w:r>
      <w:r>
        <w:rPr>
          <w:b/>
          <w:spacing w:val="-4"/>
          <w:sz w:val="26"/>
        </w:rPr>
        <w:t xml:space="preserve"> </w:t>
      </w:r>
      <w:r>
        <w:rPr>
          <w:b/>
          <w:spacing w:val="-2"/>
          <w:sz w:val="26"/>
        </w:rPr>
        <w:t>support</w:t>
      </w:r>
    </w:p>
    <w:p w14:paraId="2F25FCFF" w14:textId="77777777" w:rsidR="00AC6F3C" w:rsidRDefault="00570E88">
      <w:pPr>
        <w:pStyle w:val="BodyText"/>
        <w:spacing w:before="168" w:line="249" w:lineRule="auto"/>
        <w:ind w:left="815" w:right="256"/>
      </w:pPr>
      <w:r>
        <w:t xml:space="preserve">QLS is committed to a diverse and inclusive culture that </w:t>
      </w:r>
      <w:proofErr w:type="spellStart"/>
      <w:r>
        <w:t>recognises</w:t>
      </w:r>
      <w:proofErr w:type="spellEnd"/>
      <w:r>
        <w:t xml:space="preserve"> the benefits of including flexibility into</w:t>
      </w:r>
      <w:r>
        <w:rPr>
          <w:spacing w:val="-3"/>
        </w:rPr>
        <w:t xml:space="preserve"> </w:t>
      </w:r>
      <w:r>
        <w:t>our</w:t>
      </w:r>
      <w:r>
        <w:rPr>
          <w:spacing w:val="-3"/>
        </w:rPr>
        <w:t xml:space="preserve"> </w:t>
      </w:r>
      <w:r>
        <w:t>working</w:t>
      </w:r>
      <w:r>
        <w:rPr>
          <w:spacing w:val="-3"/>
        </w:rPr>
        <w:t xml:space="preserve"> </w:t>
      </w:r>
      <w:r>
        <w:t>lives.</w:t>
      </w:r>
      <w:r>
        <w:rPr>
          <w:spacing w:val="-3"/>
        </w:rPr>
        <w:t xml:space="preserve"> </w:t>
      </w:r>
      <w:r>
        <w:t>QLS</w:t>
      </w:r>
      <w:r>
        <w:rPr>
          <w:spacing w:val="-3"/>
        </w:rPr>
        <w:t xml:space="preserve"> </w:t>
      </w:r>
      <w:r>
        <w:t>continues</w:t>
      </w:r>
      <w:r>
        <w:rPr>
          <w:spacing w:val="-3"/>
        </w:rPr>
        <w:t xml:space="preserve"> </w:t>
      </w:r>
      <w:r>
        <w:t>to</w:t>
      </w:r>
      <w:r>
        <w:rPr>
          <w:spacing w:val="-3"/>
        </w:rPr>
        <w:t xml:space="preserve"> </w:t>
      </w:r>
      <w:r>
        <w:t>support</w:t>
      </w:r>
      <w:r>
        <w:rPr>
          <w:spacing w:val="-3"/>
        </w:rPr>
        <w:t xml:space="preserve"> </w:t>
      </w:r>
      <w:r>
        <w:t>flexible</w:t>
      </w:r>
      <w:r>
        <w:rPr>
          <w:spacing w:val="-3"/>
        </w:rPr>
        <w:t xml:space="preserve"> </w:t>
      </w:r>
      <w:r>
        <w:t>working</w:t>
      </w:r>
      <w:r>
        <w:rPr>
          <w:spacing w:val="-3"/>
        </w:rPr>
        <w:t xml:space="preserve"> </w:t>
      </w:r>
      <w:r>
        <w:t>arrangements</w:t>
      </w:r>
      <w:r>
        <w:rPr>
          <w:spacing w:val="-3"/>
        </w:rPr>
        <w:t xml:space="preserve"> </w:t>
      </w:r>
      <w:r>
        <w:t>for</w:t>
      </w:r>
      <w:r>
        <w:rPr>
          <w:spacing w:val="-3"/>
        </w:rPr>
        <w:t xml:space="preserve"> </w:t>
      </w:r>
      <w:r>
        <w:t>employees</w:t>
      </w:r>
      <w:r>
        <w:rPr>
          <w:spacing w:val="-3"/>
        </w:rPr>
        <w:t xml:space="preserve"> </w:t>
      </w:r>
      <w:r>
        <w:t>including remote</w:t>
      </w:r>
      <w:r>
        <w:rPr>
          <w:spacing w:val="-1"/>
        </w:rPr>
        <w:t xml:space="preserve"> </w:t>
      </w:r>
      <w:r>
        <w:t>working,</w:t>
      </w:r>
      <w:r>
        <w:rPr>
          <w:spacing w:val="-1"/>
        </w:rPr>
        <w:t xml:space="preserve"> </w:t>
      </w:r>
      <w:r>
        <w:t>staggered</w:t>
      </w:r>
      <w:r>
        <w:rPr>
          <w:spacing w:val="-1"/>
        </w:rPr>
        <w:t xml:space="preserve"> </w:t>
      </w:r>
      <w:r>
        <w:t>hours</w:t>
      </w:r>
      <w:r>
        <w:rPr>
          <w:spacing w:val="-1"/>
        </w:rPr>
        <w:t xml:space="preserve"> </w:t>
      </w:r>
      <w:r>
        <w:t>and</w:t>
      </w:r>
      <w:r>
        <w:rPr>
          <w:spacing w:val="-1"/>
        </w:rPr>
        <w:t xml:space="preserve"> </w:t>
      </w:r>
      <w:r>
        <w:t>part-time</w:t>
      </w:r>
      <w:r>
        <w:rPr>
          <w:spacing w:val="-1"/>
        </w:rPr>
        <w:t xml:space="preserve"> </w:t>
      </w:r>
      <w:r>
        <w:t>opportunities.</w:t>
      </w:r>
      <w:r>
        <w:rPr>
          <w:spacing w:val="-1"/>
        </w:rPr>
        <w:t xml:space="preserve"> </w:t>
      </w:r>
      <w:r>
        <w:t>Our</w:t>
      </w:r>
      <w:r>
        <w:rPr>
          <w:spacing w:val="-1"/>
        </w:rPr>
        <w:t xml:space="preserve"> </w:t>
      </w:r>
      <w:r>
        <w:t>advanced</w:t>
      </w:r>
      <w:r>
        <w:rPr>
          <w:spacing w:val="-1"/>
        </w:rPr>
        <w:t xml:space="preserve"> </w:t>
      </w:r>
      <w:r>
        <w:t>systems</w:t>
      </w:r>
      <w:r>
        <w:rPr>
          <w:spacing w:val="-1"/>
        </w:rPr>
        <w:t xml:space="preserve"> </w:t>
      </w:r>
      <w:r>
        <w:t>and</w:t>
      </w:r>
      <w:r>
        <w:rPr>
          <w:spacing w:val="-1"/>
        </w:rPr>
        <w:t xml:space="preserve"> </w:t>
      </w:r>
      <w:r>
        <w:t>technologies mean we can pivot very quickly in response to the impact of environmental and societal events and to ensure the safety and wellbeing of our employees.</w:t>
      </w:r>
    </w:p>
    <w:p w14:paraId="5F6797FA" w14:textId="77777777" w:rsidR="00AC6F3C" w:rsidRDefault="00AC6F3C">
      <w:pPr>
        <w:pStyle w:val="BodyText"/>
        <w:spacing w:before="3"/>
        <w:rPr>
          <w:sz w:val="31"/>
        </w:rPr>
      </w:pPr>
    </w:p>
    <w:p w14:paraId="243E4DC1" w14:textId="77777777" w:rsidR="00AC6F3C" w:rsidRDefault="00570E88">
      <w:pPr>
        <w:ind w:left="815"/>
        <w:rPr>
          <w:b/>
          <w:sz w:val="26"/>
        </w:rPr>
      </w:pPr>
      <w:r>
        <w:rPr>
          <w:b/>
          <w:sz w:val="26"/>
        </w:rPr>
        <w:t>Talent</w:t>
      </w:r>
      <w:r>
        <w:rPr>
          <w:b/>
          <w:spacing w:val="-7"/>
          <w:sz w:val="26"/>
        </w:rPr>
        <w:t xml:space="preserve"> </w:t>
      </w:r>
      <w:r>
        <w:rPr>
          <w:b/>
          <w:sz w:val="26"/>
        </w:rPr>
        <w:t>attraction</w:t>
      </w:r>
      <w:r>
        <w:rPr>
          <w:b/>
          <w:spacing w:val="-7"/>
          <w:sz w:val="26"/>
        </w:rPr>
        <w:t xml:space="preserve"> </w:t>
      </w:r>
      <w:r>
        <w:rPr>
          <w:b/>
          <w:sz w:val="26"/>
        </w:rPr>
        <w:t>and</w:t>
      </w:r>
      <w:r>
        <w:rPr>
          <w:b/>
          <w:spacing w:val="-6"/>
          <w:sz w:val="26"/>
        </w:rPr>
        <w:t xml:space="preserve"> </w:t>
      </w:r>
      <w:r>
        <w:rPr>
          <w:b/>
          <w:spacing w:val="-2"/>
          <w:sz w:val="26"/>
        </w:rPr>
        <w:t>retention</w:t>
      </w:r>
    </w:p>
    <w:p w14:paraId="0539A93A" w14:textId="77777777" w:rsidR="00AC6F3C" w:rsidRDefault="00570E88">
      <w:pPr>
        <w:pStyle w:val="BodyText"/>
        <w:spacing w:before="167" w:line="249" w:lineRule="auto"/>
        <w:ind w:left="815"/>
      </w:pPr>
      <w:r>
        <w:t>QLS is committed to attracting and retaining quality employees. Our remuneration policy and strategy is aimed at achieving internal parity for “like-for-like” roles, addressing gender inequity and working towards market</w:t>
      </w:r>
      <w:r>
        <w:rPr>
          <w:spacing w:val="-4"/>
        </w:rPr>
        <w:t xml:space="preserve"> </w:t>
      </w:r>
      <w:r>
        <w:t>parity.</w:t>
      </w:r>
      <w:r>
        <w:rPr>
          <w:spacing w:val="-8"/>
        </w:rPr>
        <w:t xml:space="preserve"> </w:t>
      </w:r>
      <w:r>
        <w:t>This</w:t>
      </w:r>
      <w:r>
        <w:rPr>
          <w:spacing w:val="-4"/>
        </w:rPr>
        <w:t xml:space="preserve"> </w:t>
      </w:r>
      <w:r>
        <w:t>strategy</w:t>
      </w:r>
      <w:r>
        <w:rPr>
          <w:spacing w:val="-4"/>
        </w:rPr>
        <w:t xml:space="preserve"> </w:t>
      </w:r>
      <w:r>
        <w:t>underpins</w:t>
      </w:r>
      <w:r>
        <w:rPr>
          <w:spacing w:val="-4"/>
        </w:rPr>
        <w:t xml:space="preserve"> </w:t>
      </w:r>
      <w:r>
        <w:t>our</w:t>
      </w:r>
      <w:r>
        <w:rPr>
          <w:spacing w:val="-4"/>
        </w:rPr>
        <w:t xml:space="preserve"> </w:t>
      </w:r>
      <w:r>
        <w:t>Employer</w:t>
      </w:r>
      <w:r>
        <w:rPr>
          <w:spacing w:val="-4"/>
        </w:rPr>
        <w:t xml:space="preserve"> </w:t>
      </w:r>
      <w:r>
        <w:t>of</w:t>
      </w:r>
      <w:r>
        <w:rPr>
          <w:spacing w:val="-4"/>
        </w:rPr>
        <w:t xml:space="preserve"> </w:t>
      </w:r>
      <w:r>
        <w:t>Choice</w:t>
      </w:r>
      <w:r>
        <w:rPr>
          <w:spacing w:val="-4"/>
        </w:rPr>
        <w:t xml:space="preserve"> </w:t>
      </w:r>
      <w:r>
        <w:t>for</w:t>
      </w:r>
      <w:r>
        <w:rPr>
          <w:spacing w:val="-4"/>
        </w:rPr>
        <w:t xml:space="preserve"> </w:t>
      </w:r>
      <w:r>
        <w:t>Gender</w:t>
      </w:r>
      <w:r>
        <w:rPr>
          <w:spacing w:val="-4"/>
        </w:rPr>
        <w:t xml:space="preserve"> </w:t>
      </w:r>
      <w:r>
        <w:t>Equality</w:t>
      </w:r>
      <w:r>
        <w:rPr>
          <w:spacing w:val="-4"/>
        </w:rPr>
        <w:t xml:space="preserve"> </w:t>
      </w:r>
      <w:r>
        <w:t>(EOCGE)</w:t>
      </w:r>
      <w:r>
        <w:rPr>
          <w:spacing w:val="-4"/>
        </w:rPr>
        <w:t xml:space="preserve"> </w:t>
      </w:r>
      <w:r>
        <w:t>citation.</w:t>
      </w:r>
      <w:r>
        <w:rPr>
          <w:spacing w:val="-4"/>
        </w:rPr>
        <w:t xml:space="preserve"> </w:t>
      </w:r>
      <w:r>
        <w:t>Our policy also supports the link between on-the-job performance and remuneration.</w:t>
      </w:r>
    </w:p>
    <w:p w14:paraId="101DCDD2" w14:textId="77777777" w:rsidR="00AC6F3C" w:rsidRDefault="00570E88">
      <w:pPr>
        <w:pStyle w:val="BodyText"/>
        <w:spacing w:before="174" w:line="249" w:lineRule="auto"/>
        <w:ind w:left="815" w:right="468"/>
      </w:pPr>
      <w:r>
        <w:t>In</w:t>
      </w:r>
      <w:r>
        <w:rPr>
          <w:spacing w:val="-3"/>
        </w:rPr>
        <w:t xml:space="preserve"> </w:t>
      </w:r>
      <w:r>
        <w:t>addition</w:t>
      </w:r>
      <w:r>
        <w:rPr>
          <w:spacing w:val="-3"/>
        </w:rPr>
        <w:t xml:space="preserve"> </w:t>
      </w:r>
      <w:r>
        <w:t>to</w:t>
      </w:r>
      <w:r>
        <w:rPr>
          <w:spacing w:val="-3"/>
        </w:rPr>
        <w:t xml:space="preserve"> </w:t>
      </w:r>
      <w:r>
        <w:t>this,</w:t>
      </w:r>
      <w:r>
        <w:rPr>
          <w:spacing w:val="-3"/>
        </w:rPr>
        <w:t xml:space="preserve"> </w:t>
      </w:r>
      <w:r>
        <w:t>QLS</w:t>
      </w:r>
      <w:r>
        <w:rPr>
          <w:spacing w:val="-3"/>
        </w:rPr>
        <w:t xml:space="preserve"> </w:t>
      </w:r>
      <w:r>
        <w:t>has</w:t>
      </w:r>
      <w:r>
        <w:rPr>
          <w:spacing w:val="-3"/>
        </w:rPr>
        <w:t xml:space="preserve"> </w:t>
      </w:r>
      <w:r>
        <w:t>implemented</w:t>
      </w:r>
      <w:r>
        <w:rPr>
          <w:spacing w:val="-3"/>
        </w:rPr>
        <w:t xml:space="preserve"> </w:t>
      </w:r>
      <w:r>
        <w:t>a</w:t>
      </w:r>
      <w:r>
        <w:rPr>
          <w:spacing w:val="-3"/>
        </w:rPr>
        <w:t xml:space="preserve"> </w:t>
      </w:r>
      <w:r>
        <w:t>Retention</w:t>
      </w:r>
      <w:r>
        <w:rPr>
          <w:spacing w:val="-13"/>
        </w:rPr>
        <w:t xml:space="preserve"> </w:t>
      </w:r>
      <w:r>
        <w:t>Action</w:t>
      </w:r>
      <w:r>
        <w:rPr>
          <w:spacing w:val="-3"/>
        </w:rPr>
        <w:t xml:space="preserve"> </w:t>
      </w:r>
      <w:r>
        <w:t>Plan.</w:t>
      </w:r>
      <w:r>
        <w:rPr>
          <w:spacing w:val="-7"/>
        </w:rPr>
        <w:t xml:space="preserve"> </w:t>
      </w:r>
      <w:r>
        <w:t>The</w:t>
      </w:r>
      <w:r>
        <w:rPr>
          <w:spacing w:val="-3"/>
        </w:rPr>
        <w:t xml:space="preserve"> </w:t>
      </w:r>
      <w:r>
        <w:t>plan</w:t>
      </w:r>
      <w:r>
        <w:rPr>
          <w:spacing w:val="-3"/>
        </w:rPr>
        <w:t xml:space="preserve"> </w:t>
      </w:r>
      <w:r>
        <w:t>identifies</w:t>
      </w:r>
      <w:r>
        <w:rPr>
          <w:spacing w:val="-3"/>
        </w:rPr>
        <w:t xml:space="preserve"> </w:t>
      </w:r>
      <w:r>
        <w:t>critical</w:t>
      </w:r>
      <w:r>
        <w:rPr>
          <w:spacing w:val="-3"/>
        </w:rPr>
        <w:t xml:space="preserve"> </w:t>
      </w:r>
      <w:r>
        <w:t xml:space="preserve">risk employees and addresses retention at an individual, team and </w:t>
      </w:r>
      <w:proofErr w:type="spellStart"/>
      <w:r>
        <w:t>organisational</w:t>
      </w:r>
      <w:proofErr w:type="spellEnd"/>
      <w:r>
        <w:t xml:space="preserve"> level.</w:t>
      </w:r>
    </w:p>
    <w:p w14:paraId="626DAA28" w14:textId="77777777" w:rsidR="00AC6F3C" w:rsidRDefault="00570E88">
      <w:pPr>
        <w:pStyle w:val="BodyText"/>
        <w:spacing w:before="171" w:line="249" w:lineRule="auto"/>
        <w:ind w:left="815"/>
      </w:pPr>
      <w:r>
        <w:t>We</w:t>
      </w:r>
      <w:r>
        <w:rPr>
          <w:spacing w:val="-3"/>
        </w:rPr>
        <w:t xml:space="preserve"> </w:t>
      </w:r>
      <w:r>
        <w:t>are</w:t>
      </w:r>
      <w:r>
        <w:rPr>
          <w:spacing w:val="-3"/>
        </w:rPr>
        <w:t xml:space="preserve"> </w:t>
      </w:r>
      <w:r>
        <w:t>realigning</w:t>
      </w:r>
      <w:r>
        <w:rPr>
          <w:spacing w:val="-3"/>
        </w:rPr>
        <w:t xml:space="preserve"> </w:t>
      </w:r>
      <w:r>
        <w:t>our</w:t>
      </w:r>
      <w:r>
        <w:rPr>
          <w:spacing w:val="-3"/>
        </w:rPr>
        <w:t xml:space="preserve"> </w:t>
      </w:r>
      <w:r>
        <w:t>internal</w:t>
      </w:r>
      <w:r>
        <w:rPr>
          <w:spacing w:val="-3"/>
        </w:rPr>
        <w:t xml:space="preserve"> </w:t>
      </w:r>
      <w:r>
        <w:t>employee</w:t>
      </w:r>
      <w:r>
        <w:rPr>
          <w:spacing w:val="-3"/>
        </w:rPr>
        <w:t xml:space="preserve"> </w:t>
      </w:r>
      <w:r>
        <w:t>performance</w:t>
      </w:r>
      <w:r>
        <w:rPr>
          <w:spacing w:val="-3"/>
        </w:rPr>
        <w:t xml:space="preserve"> </w:t>
      </w:r>
      <w:r>
        <w:t>review</w:t>
      </w:r>
      <w:r>
        <w:rPr>
          <w:spacing w:val="-3"/>
        </w:rPr>
        <w:t xml:space="preserve"> </w:t>
      </w:r>
      <w:r>
        <w:t>process</w:t>
      </w:r>
      <w:r>
        <w:rPr>
          <w:spacing w:val="-3"/>
        </w:rPr>
        <w:t xml:space="preserve"> </w:t>
      </w:r>
      <w:r>
        <w:t>to</w:t>
      </w:r>
      <w:r>
        <w:rPr>
          <w:spacing w:val="-3"/>
        </w:rPr>
        <w:t xml:space="preserve"> </w:t>
      </w:r>
      <w:r>
        <w:t>ensure</w:t>
      </w:r>
      <w:r>
        <w:rPr>
          <w:spacing w:val="-3"/>
        </w:rPr>
        <w:t xml:space="preserve"> </w:t>
      </w:r>
      <w:r>
        <w:t>a</w:t>
      </w:r>
      <w:r>
        <w:rPr>
          <w:spacing w:val="-3"/>
        </w:rPr>
        <w:t xml:space="preserve"> </w:t>
      </w:r>
      <w:r>
        <w:t>continual</w:t>
      </w:r>
      <w:r>
        <w:rPr>
          <w:spacing w:val="-3"/>
        </w:rPr>
        <w:t xml:space="preserve"> </w:t>
      </w:r>
      <w:r>
        <w:t>flow</w:t>
      </w:r>
      <w:r>
        <w:rPr>
          <w:spacing w:val="-3"/>
        </w:rPr>
        <w:t xml:space="preserve"> </w:t>
      </w:r>
      <w:r>
        <w:t>of</w:t>
      </w:r>
      <w:r>
        <w:rPr>
          <w:spacing w:val="-3"/>
        </w:rPr>
        <w:t xml:space="preserve"> </w:t>
      </w:r>
      <w:r>
        <w:t>regular feedback between managers and their teams. We have developed a fully integrated on-line on boarding program using our new human resources information system. We are also reviewing and redesigning our employee check-in surveys and exit interviews.</w:t>
      </w:r>
    </w:p>
    <w:p w14:paraId="2425BB91" w14:textId="77777777" w:rsidR="00AC6F3C" w:rsidRDefault="00AC6F3C">
      <w:pPr>
        <w:pStyle w:val="BodyText"/>
        <w:spacing w:before="3"/>
        <w:rPr>
          <w:sz w:val="31"/>
        </w:rPr>
      </w:pPr>
    </w:p>
    <w:p w14:paraId="569966E4" w14:textId="77777777" w:rsidR="00AC6F3C" w:rsidRDefault="00570E88">
      <w:pPr>
        <w:ind w:left="815"/>
        <w:rPr>
          <w:b/>
          <w:sz w:val="26"/>
        </w:rPr>
      </w:pPr>
      <w:r>
        <w:rPr>
          <w:b/>
          <w:sz w:val="26"/>
        </w:rPr>
        <w:t>Policy</w:t>
      </w:r>
      <w:r>
        <w:rPr>
          <w:b/>
          <w:spacing w:val="-5"/>
          <w:sz w:val="26"/>
        </w:rPr>
        <w:t xml:space="preserve"> </w:t>
      </w:r>
      <w:r>
        <w:rPr>
          <w:b/>
          <w:sz w:val="26"/>
        </w:rPr>
        <w:t>and</w:t>
      </w:r>
      <w:r>
        <w:rPr>
          <w:b/>
          <w:spacing w:val="-4"/>
          <w:sz w:val="26"/>
        </w:rPr>
        <w:t xml:space="preserve"> </w:t>
      </w:r>
      <w:r>
        <w:rPr>
          <w:b/>
          <w:sz w:val="26"/>
        </w:rPr>
        <w:t>guideline</w:t>
      </w:r>
      <w:r>
        <w:rPr>
          <w:b/>
          <w:spacing w:val="-4"/>
          <w:sz w:val="26"/>
        </w:rPr>
        <w:t xml:space="preserve"> </w:t>
      </w:r>
      <w:r>
        <w:rPr>
          <w:b/>
          <w:spacing w:val="-2"/>
          <w:sz w:val="26"/>
        </w:rPr>
        <w:t>reviews</w:t>
      </w:r>
    </w:p>
    <w:p w14:paraId="560D2207" w14:textId="77777777" w:rsidR="00AC6F3C" w:rsidRDefault="00570E88">
      <w:pPr>
        <w:pStyle w:val="BodyText"/>
        <w:spacing w:before="168" w:line="249" w:lineRule="auto"/>
        <w:ind w:left="815" w:right="314"/>
      </w:pPr>
      <w:r>
        <w:t>Over the past year we continued to review human resource policies and guidelines to ensure they remain current and promote employee wellbeing, gender equality, diversity and inclusion. We updated our</w:t>
      </w:r>
      <w:r>
        <w:rPr>
          <w:spacing w:val="-4"/>
        </w:rPr>
        <w:t xml:space="preserve"> </w:t>
      </w:r>
      <w:r>
        <w:t>Workplace</w:t>
      </w:r>
      <w:r>
        <w:rPr>
          <w:spacing w:val="-4"/>
        </w:rPr>
        <w:t xml:space="preserve"> </w:t>
      </w:r>
      <w:r>
        <w:t>Wellbeing</w:t>
      </w:r>
      <w:r>
        <w:rPr>
          <w:spacing w:val="-4"/>
        </w:rPr>
        <w:t xml:space="preserve"> </w:t>
      </w:r>
      <w:r>
        <w:t>policy</w:t>
      </w:r>
      <w:r>
        <w:rPr>
          <w:spacing w:val="-4"/>
        </w:rPr>
        <w:t xml:space="preserve"> </w:t>
      </w:r>
      <w:r>
        <w:t>to</w:t>
      </w:r>
      <w:r>
        <w:rPr>
          <w:spacing w:val="-4"/>
        </w:rPr>
        <w:t xml:space="preserve"> </w:t>
      </w:r>
      <w:r>
        <w:t>include</w:t>
      </w:r>
      <w:r>
        <w:rPr>
          <w:spacing w:val="-4"/>
        </w:rPr>
        <w:t xml:space="preserve"> </w:t>
      </w:r>
      <w:r>
        <w:t>a</w:t>
      </w:r>
      <w:r>
        <w:rPr>
          <w:spacing w:val="-4"/>
        </w:rPr>
        <w:t xml:space="preserve"> </w:t>
      </w:r>
      <w:r>
        <w:t>proactive</w:t>
      </w:r>
      <w:r>
        <w:rPr>
          <w:spacing w:val="-4"/>
        </w:rPr>
        <w:t xml:space="preserve"> </w:t>
      </w:r>
      <w:r>
        <w:t>mental</w:t>
      </w:r>
      <w:r>
        <w:rPr>
          <w:spacing w:val="-4"/>
        </w:rPr>
        <w:t xml:space="preserve"> </w:t>
      </w:r>
      <w:r>
        <w:t>health</w:t>
      </w:r>
      <w:r>
        <w:rPr>
          <w:spacing w:val="-4"/>
        </w:rPr>
        <w:t xml:space="preserve"> </w:t>
      </w:r>
      <w:r>
        <w:t>day</w:t>
      </w:r>
      <w:r>
        <w:rPr>
          <w:spacing w:val="-4"/>
        </w:rPr>
        <w:t xml:space="preserve"> </w:t>
      </w:r>
      <w:r>
        <w:t>for</w:t>
      </w:r>
      <w:r>
        <w:rPr>
          <w:spacing w:val="-4"/>
        </w:rPr>
        <w:t xml:space="preserve"> </w:t>
      </w:r>
      <w:r>
        <w:t>all</w:t>
      </w:r>
      <w:r>
        <w:rPr>
          <w:spacing w:val="-4"/>
        </w:rPr>
        <w:t xml:space="preserve"> </w:t>
      </w:r>
      <w:r>
        <w:t>employees</w:t>
      </w:r>
      <w:r>
        <w:rPr>
          <w:spacing w:val="-4"/>
        </w:rPr>
        <w:t xml:space="preserve"> </w:t>
      </w:r>
      <w:r>
        <w:t>each</w:t>
      </w:r>
      <w:r>
        <w:rPr>
          <w:spacing w:val="-4"/>
        </w:rPr>
        <w:t xml:space="preserve"> </w:t>
      </w:r>
      <w:r>
        <w:t>quarter. Our leave policy has been updated to include an annual work from anywhere offering. This policy sets out the process for employees to combine remote working with annual leave giving them flexibility to meet personal needs while still maintaining work continuity. Our parental leave policy remains as a stand-alone policy with regular reviews to ensure we meet any updates to legislation.</w:t>
      </w:r>
    </w:p>
    <w:p w14:paraId="50DF4148" w14:textId="77777777" w:rsidR="00AC6F3C" w:rsidRDefault="00570E88">
      <w:pPr>
        <w:pStyle w:val="BodyText"/>
        <w:spacing w:before="175" w:line="249" w:lineRule="auto"/>
        <w:ind w:left="815" w:right="375"/>
      </w:pPr>
      <w:r>
        <w:t>QLS</w:t>
      </w:r>
      <w:r>
        <w:rPr>
          <w:spacing w:val="-3"/>
        </w:rPr>
        <w:t xml:space="preserve"> </w:t>
      </w:r>
      <w:r>
        <w:t>continues</w:t>
      </w:r>
      <w:r>
        <w:rPr>
          <w:spacing w:val="-3"/>
        </w:rPr>
        <w:t xml:space="preserve"> </w:t>
      </w:r>
      <w:r>
        <w:t>to</w:t>
      </w:r>
      <w:r>
        <w:rPr>
          <w:spacing w:val="-3"/>
        </w:rPr>
        <w:t xml:space="preserve"> </w:t>
      </w:r>
      <w:proofErr w:type="spellStart"/>
      <w:r>
        <w:t>recognise</w:t>
      </w:r>
      <w:proofErr w:type="spellEnd"/>
      <w:r>
        <w:rPr>
          <w:spacing w:val="-3"/>
        </w:rPr>
        <w:t xml:space="preserve"> </w:t>
      </w:r>
      <w:r>
        <w:t>and</w:t>
      </w:r>
      <w:r>
        <w:rPr>
          <w:spacing w:val="-3"/>
        </w:rPr>
        <w:t xml:space="preserve"> </w:t>
      </w:r>
      <w:r>
        <w:t>support</w:t>
      </w:r>
      <w:r>
        <w:rPr>
          <w:spacing w:val="-3"/>
        </w:rPr>
        <w:t xml:space="preserve"> </w:t>
      </w:r>
      <w:r>
        <w:t>Human</w:t>
      </w:r>
      <w:r>
        <w:rPr>
          <w:spacing w:val="-3"/>
        </w:rPr>
        <w:t xml:space="preserve"> </w:t>
      </w:r>
      <w:r>
        <w:t>Rights</w:t>
      </w:r>
      <w:r>
        <w:rPr>
          <w:spacing w:val="-3"/>
        </w:rPr>
        <w:t xml:space="preserve"> </w:t>
      </w:r>
      <w:r>
        <w:t>and</w:t>
      </w:r>
      <w:r>
        <w:rPr>
          <w:spacing w:val="-3"/>
        </w:rPr>
        <w:t xml:space="preserve"> </w:t>
      </w:r>
      <w:r>
        <w:t>the</w:t>
      </w:r>
      <w:r>
        <w:rPr>
          <w:spacing w:val="-3"/>
        </w:rPr>
        <w:t xml:space="preserve"> </w:t>
      </w:r>
      <w:r>
        <w:t>principles</w:t>
      </w:r>
      <w:r>
        <w:rPr>
          <w:spacing w:val="-3"/>
        </w:rPr>
        <w:t xml:space="preserve"> </w:t>
      </w:r>
      <w:r>
        <w:t>they</w:t>
      </w:r>
      <w:r>
        <w:rPr>
          <w:spacing w:val="-3"/>
        </w:rPr>
        <w:t xml:space="preserve"> </w:t>
      </w:r>
      <w:r>
        <w:t>are</w:t>
      </w:r>
      <w:r>
        <w:rPr>
          <w:spacing w:val="-3"/>
        </w:rPr>
        <w:t xml:space="preserve"> </w:t>
      </w:r>
      <w:r>
        <w:t>based</w:t>
      </w:r>
      <w:r>
        <w:rPr>
          <w:spacing w:val="-3"/>
        </w:rPr>
        <w:t xml:space="preserve"> </w:t>
      </w:r>
      <w:r>
        <w:t>on</w:t>
      </w:r>
      <w:r>
        <w:rPr>
          <w:spacing w:val="-3"/>
        </w:rPr>
        <w:t xml:space="preserve"> </w:t>
      </w:r>
      <w:r>
        <w:t>including dignity, equality and mutual respect. We continue to embed consideration of the Human Rights</w:t>
      </w:r>
      <w:r>
        <w:rPr>
          <w:spacing w:val="-8"/>
        </w:rPr>
        <w:t xml:space="preserve"> </w:t>
      </w:r>
      <w:r>
        <w:t>Act in all</w:t>
      </w:r>
      <w:r>
        <w:rPr>
          <w:spacing w:val="-2"/>
        </w:rPr>
        <w:t xml:space="preserve"> </w:t>
      </w:r>
      <w:r>
        <w:t>administrative</w:t>
      </w:r>
      <w:r>
        <w:rPr>
          <w:spacing w:val="-2"/>
        </w:rPr>
        <w:t xml:space="preserve"> </w:t>
      </w:r>
      <w:r>
        <w:t>decision</w:t>
      </w:r>
      <w:r>
        <w:rPr>
          <w:spacing w:val="-2"/>
        </w:rPr>
        <w:t xml:space="preserve"> </w:t>
      </w:r>
      <w:r>
        <w:t>making</w:t>
      </w:r>
      <w:r>
        <w:rPr>
          <w:spacing w:val="-2"/>
        </w:rPr>
        <w:t xml:space="preserve"> </w:t>
      </w:r>
      <w:r>
        <w:t>and</w:t>
      </w:r>
      <w:r>
        <w:rPr>
          <w:spacing w:val="-2"/>
        </w:rPr>
        <w:t xml:space="preserve"> </w:t>
      </w:r>
      <w:r>
        <w:t>has</w:t>
      </w:r>
      <w:r>
        <w:rPr>
          <w:spacing w:val="-2"/>
        </w:rPr>
        <w:t xml:space="preserve"> </w:t>
      </w:r>
      <w:r>
        <w:t>stated</w:t>
      </w:r>
      <w:r>
        <w:rPr>
          <w:spacing w:val="-2"/>
        </w:rPr>
        <w:t xml:space="preserve"> </w:t>
      </w:r>
      <w:r>
        <w:t>its</w:t>
      </w:r>
      <w:r>
        <w:rPr>
          <w:spacing w:val="-2"/>
        </w:rPr>
        <w:t xml:space="preserve"> </w:t>
      </w:r>
      <w:r>
        <w:t>purpose</w:t>
      </w:r>
      <w:r>
        <w:rPr>
          <w:spacing w:val="-2"/>
        </w:rPr>
        <w:t xml:space="preserve"> </w:t>
      </w:r>
      <w:r>
        <w:t>in</w:t>
      </w:r>
      <w:r>
        <w:rPr>
          <w:spacing w:val="-2"/>
        </w:rPr>
        <w:t xml:space="preserve"> </w:t>
      </w:r>
      <w:r>
        <w:t>the</w:t>
      </w:r>
      <w:r>
        <w:rPr>
          <w:spacing w:val="-2"/>
        </w:rPr>
        <w:t xml:space="preserve"> </w:t>
      </w:r>
      <w:r>
        <w:t>Strategic</w:t>
      </w:r>
      <w:r>
        <w:rPr>
          <w:spacing w:val="-2"/>
        </w:rPr>
        <w:t xml:space="preserve"> </w:t>
      </w:r>
      <w:r>
        <w:t>Plan</w:t>
      </w:r>
      <w:r>
        <w:rPr>
          <w:spacing w:val="-2"/>
        </w:rPr>
        <w:t xml:space="preserve"> </w:t>
      </w:r>
      <w:r>
        <w:t>2021-25</w:t>
      </w:r>
      <w:r>
        <w:rPr>
          <w:spacing w:val="-2"/>
        </w:rPr>
        <w:t xml:space="preserve"> </w:t>
      </w:r>
      <w:r>
        <w:t>to</w:t>
      </w:r>
      <w:r>
        <w:rPr>
          <w:spacing w:val="-2"/>
        </w:rPr>
        <w:t xml:space="preserve"> </w:t>
      </w:r>
      <w:r>
        <w:t>respect,</w:t>
      </w:r>
    </w:p>
    <w:p w14:paraId="1FD83FB9" w14:textId="77777777" w:rsidR="00AC6F3C" w:rsidRDefault="00570E88">
      <w:pPr>
        <w:pStyle w:val="BodyText"/>
        <w:spacing w:before="3" w:line="249" w:lineRule="auto"/>
        <w:ind w:left="815" w:right="129"/>
      </w:pPr>
      <w:r>
        <w:t>protect and promote human rights in our decision making actions. In addition to our Strategic Plan, there is access and reference to the Human Rights</w:t>
      </w:r>
      <w:r>
        <w:rPr>
          <w:spacing w:val="-5"/>
        </w:rPr>
        <w:t xml:space="preserve"> </w:t>
      </w:r>
      <w:r>
        <w:t>Act in our administrative decision making guidelines which includes guidance, commentary and an annexure checklist. Further, QLS’s template Council submissions including</w:t>
      </w:r>
      <w:r>
        <w:rPr>
          <w:spacing w:val="-3"/>
        </w:rPr>
        <w:t xml:space="preserve"> </w:t>
      </w:r>
      <w:r>
        <w:t>a</w:t>
      </w:r>
      <w:r>
        <w:rPr>
          <w:spacing w:val="-3"/>
        </w:rPr>
        <w:t xml:space="preserve"> </w:t>
      </w:r>
      <w:r>
        <w:t>heading</w:t>
      </w:r>
      <w:r>
        <w:rPr>
          <w:spacing w:val="-3"/>
        </w:rPr>
        <w:t xml:space="preserve"> </w:t>
      </w:r>
      <w:r>
        <w:t>for</w:t>
      </w:r>
      <w:r>
        <w:rPr>
          <w:spacing w:val="-3"/>
        </w:rPr>
        <w:t xml:space="preserve"> </w:t>
      </w:r>
      <w:r>
        <w:t>the</w:t>
      </w:r>
      <w:r>
        <w:rPr>
          <w:spacing w:val="-3"/>
        </w:rPr>
        <w:t xml:space="preserve"> </w:t>
      </w:r>
      <w:r>
        <w:t>author</w:t>
      </w:r>
      <w:r>
        <w:rPr>
          <w:spacing w:val="-3"/>
        </w:rPr>
        <w:t xml:space="preserve"> </w:t>
      </w:r>
      <w:r>
        <w:t>to</w:t>
      </w:r>
      <w:r>
        <w:rPr>
          <w:spacing w:val="-3"/>
        </w:rPr>
        <w:t xml:space="preserve"> </w:t>
      </w:r>
      <w:r>
        <w:t>include</w:t>
      </w:r>
      <w:r>
        <w:rPr>
          <w:spacing w:val="-3"/>
        </w:rPr>
        <w:t xml:space="preserve"> </w:t>
      </w:r>
      <w:r>
        <w:t>commentary</w:t>
      </w:r>
      <w:r>
        <w:rPr>
          <w:spacing w:val="-3"/>
        </w:rPr>
        <w:t xml:space="preserve"> </w:t>
      </w:r>
      <w:r>
        <w:t>on</w:t>
      </w:r>
      <w:r>
        <w:rPr>
          <w:spacing w:val="-3"/>
        </w:rPr>
        <w:t xml:space="preserve"> </w:t>
      </w:r>
      <w:r>
        <w:t>Human</w:t>
      </w:r>
      <w:r>
        <w:rPr>
          <w:spacing w:val="-3"/>
        </w:rPr>
        <w:t xml:space="preserve"> </w:t>
      </w:r>
      <w:r>
        <w:t>Rights</w:t>
      </w:r>
      <w:r>
        <w:rPr>
          <w:spacing w:val="-3"/>
        </w:rPr>
        <w:t xml:space="preserve"> </w:t>
      </w:r>
      <w:r>
        <w:t>considerations,</w:t>
      </w:r>
      <w:r>
        <w:rPr>
          <w:spacing w:val="-14"/>
        </w:rPr>
        <w:t xml:space="preserve"> </w:t>
      </w:r>
      <w:r>
        <w:t>Administrative decision</w:t>
      </w:r>
      <w:r>
        <w:rPr>
          <w:spacing w:val="-3"/>
        </w:rPr>
        <w:t xml:space="preserve"> </w:t>
      </w:r>
      <w:r>
        <w:t>making</w:t>
      </w:r>
      <w:r>
        <w:rPr>
          <w:spacing w:val="-3"/>
        </w:rPr>
        <w:t xml:space="preserve"> </w:t>
      </w:r>
      <w:r>
        <w:t>is</w:t>
      </w:r>
      <w:r>
        <w:rPr>
          <w:spacing w:val="-3"/>
        </w:rPr>
        <w:t xml:space="preserve"> </w:t>
      </w:r>
      <w:r>
        <w:t>made</w:t>
      </w:r>
      <w:r>
        <w:rPr>
          <w:spacing w:val="-3"/>
        </w:rPr>
        <w:t xml:space="preserve"> </w:t>
      </w:r>
      <w:r>
        <w:t>in</w:t>
      </w:r>
      <w:r>
        <w:rPr>
          <w:spacing w:val="-3"/>
        </w:rPr>
        <w:t xml:space="preserve"> </w:t>
      </w:r>
      <w:r>
        <w:t>consultation</w:t>
      </w:r>
      <w:r>
        <w:rPr>
          <w:spacing w:val="-3"/>
        </w:rPr>
        <w:t xml:space="preserve"> </w:t>
      </w:r>
      <w:r>
        <w:t>and</w:t>
      </w:r>
      <w:r>
        <w:rPr>
          <w:spacing w:val="-3"/>
        </w:rPr>
        <w:t xml:space="preserve"> </w:t>
      </w:r>
      <w:r>
        <w:t>consideration</w:t>
      </w:r>
      <w:r>
        <w:rPr>
          <w:spacing w:val="-3"/>
        </w:rPr>
        <w:t xml:space="preserve"> </w:t>
      </w:r>
      <w:r>
        <w:t>of</w:t>
      </w:r>
      <w:r>
        <w:rPr>
          <w:spacing w:val="-3"/>
        </w:rPr>
        <w:t xml:space="preserve"> </w:t>
      </w:r>
      <w:r>
        <w:t>the</w:t>
      </w:r>
      <w:r>
        <w:rPr>
          <w:spacing w:val="-3"/>
        </w:rPr>
        <w:t xml:space="preserve"> </w:t>
      </w:r>
      <w:r>
        <w:t>Human</w:t>
      </w:r>
      <w:r>
        <w:rPr>
          <w:spacing w:val="-3"/>
        </w:rPr>
        <w:t xml:space="preserve"> </w:t>
      </w:r>
      <w:r>
        <w:t>Rights</w:t>
      </w:r>
      <w:r>
        <w:rPr>
          <w:spacing w:val="-12"/>
        </w:rPr>
        <w:t xml:space="preserve"> </w:t>
      </w:r>
      <w:r>
        <w:t>Act</w:t>
      </w:r>
      <w:r>
        <w:rPr>
          <w:spacing w:val="-3"/>
        </w:rPr>
        <w:t xml:space="preserve"> </w:t>
      </w:r>
      <w:r>
        <w:t>and</w:t>
      </w:r>
      <w:r>
        <w:rPr>
          <w:spacing w:val="-3"/>
        </w:rPr>
        <w:t xml:space="preserve"> </w:t>
      </w:r>
      <w:r>
        <w:t>is</w:t>
      </w:r>
      <w:r>
        <w:rPr>
          <w:spacing w:val="-3"/>
        </w:rPr>
        <w:t xml:space="preserve"> </w:t>
      </w:r>
      <w:r>
        <w:t>either</w:t>
      </w:r>
      <w:r>
        <w:rPr>
          <w:spacing w:val="-3"/>
        </w:rPr>
        <w:t xml:space="preserve"> </w:t>
      </w:r>
      <w:r>
        <w:t>reflected or referenced in written decisions. QLS has had no human rights complaints and one resolved public interest disclosure complaint during the financial year.</w:t>
      </w:r>
    </w:p>
    <w:p w14:paraId="46116A82" w14:textId="77777777" w:rsidR="00AC6F3C" w:rsidRDefault="00AC6F3C">
      <w:pPr>
        <w:spacing w:line="249" w:lineRule="auto"/>
        <w:sectPr w:rsidR="00AC6F3C">
          <w:headerReference w:type="default" r:id="rId180"/>
          <w:footerReference w:type="default" r:id="rId181"/>
          <w:pgSz w:w="11910" w:h="16840"/>
          <w:pgMar w:top="1140" w:right="1160" w:bottom="520" w:left="460" w:header="0" w:footer="336" w:gutter="0"/>
          <w:cols w:space="720"/>
        </w:sectPr>
      </w:pPr>
    </w:p>
    <w:p w14:paraId="252FCFF3" w14:textId="77777777" w:rsidR="00AC6F3C" w:rsidRDefault="00570E88">
      <w:pPr>
        <w:spacing w:before="63"/>
        <w:ind w:left="815"/>
        <w:rPr>
          <w:b/>
          <w:sz w:val="26"/>
        </w:rPr>
      </w:pPr>
      <w:r>
        <w:rPr>
          <w:b/>
          <w:sz w:val="26"/>
        </w:rPr>
        <w:lastRenderedPageBreak/>
        <w:t>Staff</w:t>
      </w:r>
      <w:r>
        <w:rPr>
          <w:b/>
          <w:spacing w:val="-4"/>
          <w:sz w:val="26"/>
        </w:rPr>
        <w:t xml:space="preserve"> </w:t>
      </w:r>
      <w:r>
        <w:rPr>
          <w:b/>
          <w:sz w:val="26"/>
        </w:rPr>
        <w:t>learning</w:t>
      </w:r>
      <w:r>
        <w:rPr>
          <w:b/>
          <w:spacing w:val="-4"/>
          <w:sz w:val="26"/>
        </w:rPr>
        <w:t xml:space="preserve"> </w:t>
      </w:r>
      <w:r>
        <w:rPr>
          <w:b/>
          <w:sz w:val="26"/>
        </w:rPr>
        <w:t>and</w:t>
      </w:r>
      <w:r>
        <w:rPr>
          <w:b/>
          <w:spacing w:val="-4"/>
          <w:sz w:val="26"/>
        </w:rPr>
        <w:t xml:space="preserve"> </w:t>
      </w:r>
      <w:r>
        <w:rPr>
          <w:b/>
          <w:spacing w:val="-2"/>
          <w:sz w:val="26"/>
        </w:rPr>
        <w:t>development</w:t>
      </w:r>
    </w:p>
    <w:p w14:paraId="36496522" w14:textId="77777777" w:rsidR="00AC6F3C" w:rsidRDefault="00570E88">
      <w:pPr>
        <w:pStyle w:val="BodyText"/>
        <w:spacing w:before="167" w:line="249" w:lineRule="auto"/>
        <w:ind w:left="815"/>
      </w:pPr>
      <w:r>
        <w:t>Throughout the year, we have made significant strides in enhancing our learning and development initiatives.</w:t>
      </w:r>
      <w:r>
        <w:rPr>
          <w:spacing w:val="-14"/>
        </w:rPr>
        <w:t xml:space="preserve"> </w:t>
      </w:r>
      <w:r>
        <w:t>A</w:t>
      </w:r>
      <w:r>
        <w:rPr>
          <w:spacing w:val="-13"/>
        </w:rPr>
        <w:t xml:space="preserve"> </w:t>
      </w:r>
      <w:r>
        <w:t>major</w:t>
      </w:r>
      <w:r>
        <w:rPr>
          <w:spacing w:val="-3"/>
        </w:rPr>
        <w:t xml:space="preserve"> </w:t>
      </w:r>
      <w:r>
        <w:t>accomplishment</w:t>
      </w:r>
      <w:r>
        <w:rPr>
          <w:spacing w:val="-3"/>
        </w:rPr>
        <w:t xml:space="preserve"> </w:t>
      </w:r>
      <w:r>
        <w:t>has</w:t>
      </w:r>
      <w:r>
        <w:rPr>
          <w:spacing w:val="-3"/>
        </w:rPr>
        <w:t xml:space="preserve"> </w:t>
      </w:r>
      <w:r>
        <w:t>been</w:t>
      </w:r>
      <w:r>
        <w:rPr>
          <w:spacing w:val="-3"/>
        </w:rPr>
        <w:t xml:space="preserve"> </w:t>
      </w:r>
      <w:r>
        <w:t>the</w:t>
      </w:r>
      <w:r>
        <w:rPr>
          <w:spacing w:val="-3"/>
        </w:rPr>
        <w:t xml:space="preserve"> </w:t>
      </w:r>
      <w:r>
        <w:t>successful</w:t>
      </w:r>
      <w:r>
        <w:rPr>
          <w:spacing w:val="-3"/>
        </w:rPr>
        <w:t xml:space="preserve"> </w:t>
      </w:r>
      <w:r>
        <w:t>implementation</w:t>
      </w:r>
      <w:r>
        <w:rPr>
          <w:spacing w:val="-3"/>
        </w:rPr>
        <w:t xml:space="preserve"> </w:t>
      </w:r>
      <w:r>
        <w:t>of</w:t>
      </w:r>
      <w:r>
        <w:rPr>
          <w:spacing w:val="-3"/>
        </w:rPr>
        <w:t xml:space="preserve"> </w:t>
      </w:r>
      <w:r>
        <w:t>a</w:t>
      </w:r>
      <w:r>
        <w:rPr>
          <w:spacing w:val="-3"/>
        </w:rPr>
        <w:t xml:space="preserve"> </w:t>
      </w:r>
      <w:r>
        <w:t>dedicated</w:t>
      </w:r>
      <w:r>
        <w:rPr>
          <w:spacing w:val="-3"/>
        </w:rPr>
        <w:t xml:space="preserve"> </w:t>
      </w:r>
      <w:r>
        <w:t>Learning</w:t>
      </w:r>
      <w:r>
        <w:rPr>
          <w:spacing w:val="-3"/>
        </w:rPr>
        <w:t xml:space="preserve"> </w:t>
      </w:r>
      <w:r>
        <w:t>Hub, serving as a comprehensive “one-stop shop” for our employees. This dynamic platform offers access to</w:t>
      </w:r>
    </w:p>
    <w:p w14:paraId="38B9AA9C" w14:textId="77777777" w:rsidR="00AC6F3C" w:rsidRDefault="00570E88">
      <w:pPr>
        <w:pStyle w:val="BodyText"/>
        <w:spacing w:before="3" w:line="249" w:lineRule="auto"/>
        <w:ind w:left="815"/>
      </w:pPr>
      <w:r>
        <w:t>a</w:t>
      </w:r>
      <w:r>
        <w:rPr>
          <w:spacing w:val="-3"/>
        </w:rPr>
        <w:t xml:space="preserve"> </w:t>
      </w:r>
      <w:r>
        <w:t>wide</w:t>
      </w:r>
      <w:r>
        <w:rPr>
          <w:spacing w:val="-3"/>
        </w:rPr>
        <w:t xml:space="preserve"> </w:t>
      </w:r>
      <w:r>
        <w:t>range</w:t>
      </w:r>
      <w:r>
        <w:rPr>
          <w:spacing w:val="-3"/>
        </w:rPr>
        <w:t xml:space="preserve"> </w:t>
      </w:r>
      <w:r>
        <w:t>of</w:t>
      </w:r>
      <w:r>
        <w:rPr>
          <w:spacing w:val="-3"/>
        </w:rPr>
        <w:t xml:space="preserve"> </w:t>
      </w:r>
      <w:r>
        <w:t>internal</w:t>
      </w:r>
      <w:r>
        <w:rPr>
          <w:spacing w:val="-3"/>
        </w:rPr>
        <w:t xml:space="preserve"> </w:t>
      </w:r>
      <w:r>
        <w:t>and</w:t>
      </w:r>
      <w:r>
        <w:rPr>
          <w:spacing w:val="-3"/>
        </w:rPr>
        <w:t xml:space="preserve"> </w:t>
      </w:r>
      <w:r>
        <w:t>external</w:t>
      </w:r>
      <w:r>
        <w:rPr>
          <w:spacing w:val="-3"/>
        </w:rPr>
        <w:t xml:space="preserve"> </w:t>
      </w:r>
      <w:r>
        <w:t>training</w:t>
      </w:r>
      <w:r>
        <w:rPr>
          <w:spacing w:val="-3"/>
        </w:rPr>
        <w:t xml:space="preserve"> </w:t>
      </w:r>
      <w:r>
        <w:t>opportunities,</w:t>
      </w:r>
      <w:r>
        <w:rPr>
          <w:spacing w:val="-3"/>
        </w:rPr>
        <w:t xml:space="preserve"> </w:t>
      </w:r>
      <w:r>
        <w:t>along</w:t>
      </w:r>
      <w:r>
        <w:rPr>
          <w:spacing w:val="-3"/>
        </w:rPr>
        <w:t xml:space="preserve"> </w:t>
      </w:r>
      <w:r>
        <w:t>with</w:t>
      </w:r>
      <w:r>
        <w:rPr>
          <w:spacing w:val="-3"/>
        </w:rPr>
        <w:t xml:space="preserve"> </w:t>
      </w:r>
      <w:r>
        <w:t>a</w:t>
      </w:r>
      <w:r>
        <w:rPr>
          <w:spacing w:val="-3"/>
        </w:rPr>
        <w:t xml:space="preserve"> </w:t>
      </w:r>
      <w:r>
        <w:t>space</w:t>
      </w:r>
      <w:r>
        <w:rPr>
          <w:spacing w:val="-3"/>
        </w:rPr>
        <w:t xml:space="preserve"> </w:t>
      </w:r>
      <w:r>
        <w:t>for</w:t>
      </w:r>
      <w:r>
        <w:rPr>
          <w:spacing w:val="-3"/>
        </w:rPr>
        <w:t xml:space="preserve"> </w:t>
      </w:r>
      <w:r>
        <w:t>employees</w:t>
      </w:r>
      <w:r>
        <w:rPr>
          <w:spacing w:val="-3"/>
        </w:rPr>
        <w:t xml:space="preserve"> </w:t>
      </w:r>
      <w:r>
        <w:t>to</w:t>
      </w:r>
      <w:r>
        <w:rPr>
          <w:spacing w:val="-3"/>
        </w:rPr>
        <w:t xml:space="preserve"> </w:t>
      </w:r>
      <w:r>
        <w:t>share resources and offer suggestions.</w:t>
      </w:r>
    </w:p>
    <w:p w14:paraId="45D2F3AB" w14:textId="77777777" w:rsidR="00AC6F3C" w:rsidRDefault="00570E88">
      <w:pPr>
        <w:pStyle w:val="BodyText"/>
        <w:spacing w:before="171" w:line="249" w:lineRule="auto"/>
        <w:ind w:left="815" w:right="164"/>
      </w:pPr>
      <w:r>
        <w:t>One</w:t>
      </w:r>
      <w:r>
        <w:rPr>
          <w:spacing w:val="-4"/>
        </w:rPr>
        <w:t xml:space="preserve"> </w:t>
      </w:r>
      <w:r>
        <w:t>of</w:t>
      </w:r>
      <w:r>
        <w:rPr>
          <w:spacing w:val="-4"/>
        </w:rPr>
        <w:t xml:space="preserve"> </w:t>
      </w:r>
      <w:r>
        <w:t>the</w:t>
      </w:r>
      <w:r>
        <w:rPr>
          <w:spacing w:val="-4"/>
        </w:rPr>
        <w:t xml:space="preserve"> </w:t>
      </w:r>
      <w:r>
        <w:t>standout</w:t>
      </w:r>
      <w:r>
        <w:rPr>
          <w:spacing w:val="-4"/>
        </w:rPr>
        <w:t xml:space="preserve"> </w:t>
      </w:r>
      <w:r>
        <w:t>features</w:t>
      </w:r>
      <w:r>
        <w:rPr>
          <w:spacing w:val="-4"/>
        </w:rPr>
        <w:t xml:space="preserve"> </w:t>
      </w:r>
      <w:r>
        <w:t>of</w:t>
      </w:r>
      <w:r>
        <w:rPr>
          <w:spacing w:val="-4"/>
        </w:rPr>
        <w:t xml:space="preserve"> </w:t>
      </w:r>
      <w:r>
        <w:t>the</w:t>
      </w:r>
      <w:r>
        <w:rPr>
          <w:spacing w:val="-4"/>
        </w:rPr>
        <w:t xml:space="preserve"> </w:t>
      </w:r>
      <w:r>
        <w:t>Learning</w:t>
      </w:r>
      <w:r>
        <w:rPr>
          <w:spacing w:val="-4"/>
        </w:rPr>
        <w:t xml:space="preserve"> </w:t>
      </w:r>
      <w:r>
        <w:t>Hub</w:t>
      </w:r>
      <w:r>
        <w:rPr>
          <w:spacing w:val="-4"/>
        </w:rPr>
        <w:t xml:space="preserve"> </w:t>
      </w:r>
      <w:r>
        <w:t>is</w:t>
      </w:r>
      <w:r>
        <w:rPr>
          <w:spacing w:val="-4"/>
        </w:rPr>
        <w:t xml:space="preserve"> </w:t>
      </w:r>
      <w:r>
        <w:t>the</w:t>
      </w:r>
      <w:r>
        <w:rPr>
          <w:spacing w:val="-4"/>
        </w:rPr>
        <w:t xml:space="preserve"> </w:t>
      </w:r>
      <w:r>
        <w:t>‘Focus</w:t>
      </w:r>
      <w:r>
        <w:rPr>
          <w:spacing w:val="-7"/>
        </w:rPr>
        <w:t xml:space="preserve"> </w:t>
      </w:r>
      <w:r>
        <w:t>Topic’</w:t>
      </w:r>
      <w:r>
        <w:rPr>
          <w:spacing w:val="-11"/>
        </w:rPr>
        <w:t xml:space="preserve"> </w:t>
      </w:r>
      <w:r>
        <w:t>section.</w:t>
      </w:r>
      <w:r>
        <w:rPr>
          <w:spacing w:val="-7"/>
        </w:rPr>
        <w:t xml:space="preserve"> </w:t>
      </w:r>
      <w:r>
        <w:t>This</w:t>
      </w:r>
      <w:r>
        <w:rPr>
          <w:spacing w:val="-4"/>
        </w:rPr>
        <w:t xml:space="preserve"> </w:t>
      </w:r>
      <w:r>
        <w:t>rotating</w:t>
      </w:r>
      <w:r>
        <w:rPr>
          <w:spacing w:val="-4"/>
        </w:rPr>
        <w:t xml:space="preserve"> </w:t>
      </w:r>
      <w:r>
        <w:t>section</w:t>
      </w:r>
      <w:r>
        <w:rPr>
          <w:spacing w:val="-4"/>
        </w:rPr>
        <w:t xml:space="preserve"> </w:t>
      </w:r>
      <w:r>
        <w:t>shines a spotlight on timely and relevant subjects, both in the context of QLS’</w:t>
      </w:r>
      <w:r>
        <w:rPr>
          <w:spacing w:val="-7"/>
        </w:rPr>
        <w:t xml:space="preserve"> </w:t>
      </w:r>
      <w:r>
        <w:t xml:space="preserve">operations and the broader world. It serves both reactively, providing guidance on recent </w:t>
      </w:r>
      <w:proofErr w:type="spellStart"/>
      <w:r>
        <w:t>organisational</w:t>
      </w:r>
      <w:proofErr w:type="spellEnd"/>
      <w:r>
        <w:t xml:space="preserve"> occurrences, and proactively, preparing for upcoming events such as performance reviews, renewals, and start-of-the-year planning.</w:t>
      </w:r>
    </w:p>
    <w:p w14:paraId="48DACE86" w14:textId="77777777" w:rsidR="00AC6F3C" w:rsidRDefault="00570E88">
      <w:pPr>
        <w:pStyle w:val="BodyText"/>
        <w:spacing w:before="174" w:line="249" w:lineRule="auto"/>
        <w:ind w:left="815" w:right="468"/>
      </w:pPr>
      <w:r>
        <w:t>We</w:t>
      </w:r>
      <w:r>
        <w:rPr>
          <w:spacing w:val="-3"/>
        </w:rPr>
        <w:t xml:space="preserve"> </w:t>
      </w:r>
      <w:r>
        <w:t>have</w:t>
      </w:r>
      <w:r>
        <w:rPr>
          <w:spacing w:val="-3"/>
        </w:rPr>
        <w:t xml:space="preserve"> </w:t>
      </w:r>
      <w:r>
        <w:t>provided</w:t>
      </w:r>
      <w:r>
        <w:rPr>
          <w:spacing w:val="-3"/>
        </w:rPr>
        <w:t xml:space="preserve"> </w:t>
      </w:r>
      <w:r>
        <w:t>our</w:t>
      </w:r>
      <w:r>
        <w:rPr>
          <w:spacing w:val="-3"/>
        </w:rPr>
        <w:t xml:space="preserve"> </w:t>
      </w:r>
      <w:r>
        <w:t>employees</w:t>
      </w:r>
      <w:r>
        <w:rPr>
          <w:spacing w:val="-3"/>
        </w:rPr>
        <w:t xml:space="preserve"> </w:t>
      </w:r>
      <w:r>
        <w:t>with</w:t>
      </w:r>
      <w:r>
        <w:rPr>
          <w:spacing w:val="-3"/>
        </w:rPr>
        <w:t xml:space="preserve"> </w:t>
      </w:r>
      <w:r>
        <w:t>a</w:t>
      </w:r>
      <w:r>
        <w:rPr>
          <w:spacing w:val="-3"/>
        </w:rPr>
        <w:t xml:space="preserve"> </w:t>
      </w:r>
      <w:r>
        <w:t>diverse</w:t>
      </w:r>
      <w:r>
        <w:rPr>
          <w:spacing w:val="-3"/>
        </w:rPr>
        <w:t xml:space="preserve"> </w:t>
      </w:r>
      <w:r>
        <w:t>range</w:t>
      </w:r>
      <w:r>
        <w:rPr>
          <w:spacing w:val="-3"/>
        </w:rPr>
        <w:t xml:space="preserve"> </w:t>
      </w:r>
      <w:r>
        <w:t>of</w:t>
      </w:r>
      <w:r>
        <w:rPr>
          <w:spacing w:val="-3"/>
        </w:rPr>
        <w:t xml:space="preserve"> </w:t>
      </w:r>
      <w:r>
        <w:t>learning</w:t>
      </w:r>
      <w:r>
        <w:rPr>
          <w:spacing w:val="-3"/>
        </w:rPr>
        <w:t xml:space="preserve"> </w:t>
      </w:r>
      <w:r>
        <w:t>and</w:t>
      </w:r>
      <w:r>
        <w:rPr>
          <w:spacing w:val="-3"/>
        </w:rPr>
        <w:t xml:space="preserve"> </w:t>
      </w:r>
      <w:r>
        <w:t>development</w:t>
      </w:r>
      <w:r>
        <w:rPr>
          <w:spacing w:val="-3"/>
        </w:rPr>
        <w:t xml:space="preserve"> </w:t>
      </w:r>
      <w:r>
        <w:t>opportunities, catering to their specific needs and growth areas. Some of the highlights include:</w:t>
      </w:r>
    </w:p>
    <w:p w14:paraId="0D31B7A2" w14:textId="77777777" w:rsidR="00AC6F3C" w:rsidRDefault="00570E88">
      <w:pPr>
        <w:pStyle w:val="ListParagraph"/>
        <w:numPr>
          <w:ilvl w:val="0"/>
          <w:numId w:val="37"/>
        </w:numPr>
        <w:tabs>
          <w:tab w:val="left" w:pos="1155"/>
        </w:tabs>
        <w:spacing w:before="171" w:line="249" w:lineRule="auto"/>
        <w:ind w:right="227"/>
        <w:rPr>
          <w:sz w:val="20"/>
        </w:rPr>
      </w:pPr>
      <w:r>
        <w:rPr>
          <w:sz w:val="20"/>
        </w:rPr>
        <w:t>A</w:t>
      </w:r>
      <w:r>
        <w:rPr>
          <w:spacing w:val="-14"/>
          <w:sz w:val="20"/>
        </w:rPr>
        <w:t xml:space="preserve"> </w:t>
      </w:r>
      <w:r>
        <w:rPr>
          <w:sz w:val="20"/>
        </w:rPr>
        <w:t>custom-designed</w:t>
      </w:r>
      <w:r>
        <w:rPr>
          <w:spacing w:val="-4"/>
          <w:sz w:val="20"/>
        </w:rPr>
        <w:t xml:space="preserve"> </w:t>
      </w:r>
      <w:r>
        <w:rPr>
          <w:sz w:val="20"/>
        </w:rPr>
        <w:t>Feedback</w:t>
      </w:r>
      <w:r>
        <w:rPr>
          <w:spacing w:val="-4"/>
          <w:sz w:val="20"/>
        </w:rPr>
        <w:t xml:space="preserve"> </w:t>
      </w:r>
      <w:r>
        <w:rPr>
          <w:sz w:val="20"/>
        </w:rPr>
        <w:t>Workshop</w:t>
      </w:r>
      <w:r>
        <w:rPr>
          <w:spacing w:val="-4"/>
          <w:sz w:val="20"/>
        </w:rPr>
        <w:t xml:space="preserve"> </w:t>
      </w:r>
      <w:r>
        <w:rPr>
          <w:sz w:val="20"/>
        </w:rPr>
        <w:t>tailored</w:t>
      </w:r>
      <w:r>
        <w:rPr>
          <w:spacing w:val="-4"/>
          <w:sz w:val="20"/>
        </w:rPr>
        <w:t xml:space="preserve"> </w:t>
      </w:r>
      <w:r>
        <w:rPr>
          <w:sz w:val="20"/>
        </w:rPr>
        <w:t>exclusively</w:t>
      </w:r>
      <w:r>
        <w:rPr>
          <w:spacing w:val="-4"/>
          <w:sz w:val="20"/>
        </w:rPr>
        <w:t xml:space="preserve"> </w:t>
      </w:r>
      <w:r>
        <w:rPr>
          <w:sz w:val="20"/>
        </w:rPr>
        <w:t>for</w:t>
      </w:r>
      <w:r>
        <w:rPr>
          <w:spacing w:val="-4"/>
          <w:sz w:val="20"/>
        </w:rPr>
        <w:t xml:space="preserve"> </w:t>
      </w:r>
      <w:r>
        <w:rPr>
          <w:sz w:val="20"/>
        </w:rPr>
        <w:t>Managers,</w:t>
      </w:r>
      <w:r>
        <w:rPr>
          <w:spacing w:val="-4"/>
          <w:sz w:val="20"/>
        </w:rPr>
        <w:t xml:space="preserve"> </w:t>
      </w:r>
      <w:r>
        <w:rPr>
          <w:sz w:val="20"/>
        </w:rPr>
        <w:t>responding</w:t>
      </w:r>
      <w:r>
        <w:rPr>
          <w:spacing w:val="-4"/>
          <w:sz w:val="20"/>
        </w:rPr>
        <w:t xml:space="preserve"> </w:t>
      </w:r>
      <w:r>
        <w:rPr>
          <w:sz w:val="20"/>
        </w:rPr>
        <w:t>directly</w:t>
      </w:r>
      <w:r>
        <w:rPr>
          <w:spacing w:val="-4"/>
          <w:sz w:val="20"/>
        </w:rPr>
        <w:t xml:space="preserve"> </w:t>
      </w:r>
      <w:r>
        <w:rPr>
          <w:sz w:val="20"/>
        </w:rPr>
        <w:t>to</w:t>
      </w:r>
      <w:r>
        <w:rPr>
          <w:spacing w:val="-4"/>
          <w:sz w:val="20"/>
        </w:rPr>
        <w:t xml:space="preserve"> </w:t>
      </w:r>
      <w:r>
        <w:rPr>
          <w:sz w:val="20"/>
        </w:rPr>
        <w:t>the requests of mid- and senior-level managers, aligning with the current needs of QLS leaders.</w:t>
      </w:r>
    </w:p>
    <w:p w14:paraId="475E8A3B" w14:textId="77777777" w:rsidR="00AC6F3C" w:rsidRDefault="00570E88">
      <w:pPr>
        <w:pStyle w:val="ListParagraph"/>
        <w:numPr>
          <w:ilvl w:val="0"/>
          <w:numId w:val="37"/>
        </w:numPr>
        <w:tabs>
          <w:tab w:val="left" w:pos="1155"/>
        </w:tabs>
        <w:spacing w:before="172" w:line="249" w:lineRule="auto"/>
        <w:ind w:right="123"/>
        <w:rPr>
          <w:sz w:val="20"/>
        </w:rPr>
      </w:pPr>
      <w:r>
        <w:rPr>
          <w:sz w:val="20"/>
        </w:rPr>
        <w:t>Mental</w:t>
      </w:r>
      <w:r>
        <w:rPr>
          <w:spacing w:val="-3"/>
          <w:sz w:val="20"/>
        </w:rPr>
        <w:t xml:space="preserve"> </w:t>
      </w:r>
      <w:r>
        <w:rPr>
          <w:sz w:val="20"/>
        </w:rPr>
        <w:t>Health</w:t>
      </w:r>
      <w:r>
        <w:rPr>
          <w:spacing w:val="-3"/>
          <w:sz w:val="20"/>
        </w:rPr>
        <w:t xml:space="preserve"> </w:t>
      </w:r>
      <w:r>
        <w:rPr>
          <w:sz w:val="20"/>
        </w:rPr>
        <w:t>First</w:t>
      </w:r>
      <w:r>
        <w:rPr>
          <w:spacing w:val="-14"/>
          <w:sz w:val="20"/>
        </w:rPr>
        <w:t xml:space="preserve"> </w:t>
      </w:r>
      <w:r>
        <w:rPr>
          <w:sz w:val="20"/>
        </w:rPr>
        <w:t>Aid</w:t>
      </w:r>
      <w:r>
        <w:rPr>
          <w:spacing w:val="-3"/>
          <w:sz w:val="20"/>
        </w:rPr>
        <w:t xml:space="preserve"> </w:t>
      </w:r>
      <w:r>
        <w:rPr>
          <w:sz w:val="20"/>
        </w:rPr>
        <w:t>training,</w:t>
      </w:r>
      <w:r>
        <w:rPr>
          <w:spacing w:val="-3"/>
          <w:sz w:val="20"/>
        </w:rPr>
        <w:t xml:space="preserve"> </w:t>
      </w:r>
      <w:r>
        <w:rPr>
          <w:sz w:val="20"/>
        </w:rPr>
        <w:t>demonstrating</w:t>
      </w:r>
      <w:r>
        <w:rPr>
          <w:spacing w:val="-3"/>
          <w:sz w:val="20"/>
        </w:rPr>
        <w:t xml:space="preserve"> </w:t>
      </w:r>
      <w:r>
        <w:rPr>
          <w:sz w:val="20"/>
        </w:rPr>
        <w:t>our</w:t>
      </w:r>
      <w:r>
        <w:rPr>
          <w:spacing w:val="-3"/>
          <w:sz w:val="20"/>
        </w:rPr>
        <w:t xml:space="preserve"> </w:t>
      </w:r>
      <w:r>
        <w:rPr>
          <w:sz w:val="20"/>
        </w:rPr>
        <w:t>ongoing</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being</w:t>
      </w:r>
      <w:r>
        <w:rPr>
          <w:spacing w:val="-3"/>
          <w:sz w:val="20"/>
        </w:rPr>
        <w:t xml:space="preserve"> </w:t>
      </w:r>
      <w:r>
        <w:rPr>
          <w:sz w:val="20"/>
        </w:rPr>
        <w:t>Gold</w:t>
      </w:r>
      <w:r>
        <w:rPr>
          <w:spacing w:val="-14"/>
          <w:sz w:val="20"/>
        </w:rPr>
        <w:t xml:space="preserve"> </w:t>
      </w:r>
      <w:r>
        <w:rPr>
          <w:sz w:val="20"/>
        </w:rPr>
        <w:t>Accredited</w:t>
      </w:r>
      <w:r>
        <w:rPr>
          <w:spacing w:val="-3"/>
          <w:sz w:val="20"/>
        </w:rPr>
        <w:t xml:space="preserve"> </w:t>
      </w:r>
      <w:r>
        <w:rPr>
          <w:sz w:val="20"/>
        </w:rPr>
        <w:t>with Mental Health First Aid Australia.</w:t>
      </w:r>
    </w:p>
    <w:p w14:paraId="10E9E51C" w14:textId="77777777" w:rsidR="00AC6F3C" w:rsidRDefault="00570E88">
      <w:pPr>
        <w:pStyle w:val="ListParagraph"/>
        <w:numPr>
          <w:ilvl w:val="0"/>
          <w:numId w:val="37"/>
        </w:numPr>
        <w:tabs>
          <w:tab w:val="left" w:pos="1155"/>
        </w:tabs>
        <w:spacing w:before="172"/>
        <w:ind w:hanging="340"/>
        <w:rPr>
          <w:sz w:val="20"/>
        </w:rPr>
      </w:pPr>
      <w:r>
        <w:rPr>
          <w:sz w:val="20"/>
        </w:rPr>
        <w:t>First</w:t>
      </w:r>
      <w:r>
        <w:rPr>
          <w:spacing w:val="-16"/>
          <w:sz w:val="20"/>
        </w:rPr>
        <w:t xml:space="preserve"> </w:t>
      </w:r>
      <w:r>
        <w:rPr>
          <w:sz w:val="20"/>
        </w:rPr>
        <w:t>Aid</w:t>
      </w:r>
      <w:r>
        <w:rPr>
          <w:spacing w:val="-5"/>
          <w:sz w:val="20"/>
        </w:rPr>
        <w:t xml:space="preserve"> </w:t>
      </w:r>
      <w:r>
        <w:rPr>
          <w:sz w:val="20"/>
        </w:rPr>
        <w:t>training,</w:t>
      </w:r>
      <w:r>
        <w:rPr>
          <w:spacing w:val="-4"/>
          <w:sz w:val="20"/>
        </w:rPr>
        <w:t xml:space="preserve"> </w:t>
      </w:r>
      <w:r>
        <w:rPr>
          <w:sz w:val="20"/>
        </w:rPr>
        <w:t>ensuring</w:t>
      </w:r>
      <w:r>
        <w:rPr>
          <w:spacing w:val="-3"/>
          <w:sz w:val="20"/>
        </w:rPr>
        <w:t xml:space="preserve"> </w:t>
      </w:r>
      <w:r>
        <w:rPr>
          <w:sz w:val="20"/>
        </w:rPr>
        <w:t>our</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equipped</w:t>
      </w:r>
      <w:r>
        <w:rPr>
          <w:spacing w:val="-4"/>
          <w:sz w:val="20"/>
        </w:rPr>
        <w:t xml:space="preserve"> </w:t>
      </w:r>
      <w:r>
        <w:rPr>
          <w:sz w:val="20"/>
        </w:rPr>
        <w:t>with</w:t>
      </w:r>
      <w:r>
        <w:rPr>
          <w:spacing w:val="-3"/>
          <w:sz w:val="20"/>
        </w:rPr>
        <w:t xml:space="preserve"> </w:t>
      </w:r>
      <w:r>
        <w:rPr>
          <w:sz w:val="20"/>
        </w:rPr>
        <w:t>essential</w:t>
      </w:r>
      <w:r>
        <w:rPr>
          <w:spacing w:val="-4"/>
          <w:sz w:val="20"/>
        </w:rPr>
        <w:t xml:space="preserve"> </w:t>
      </w:r>
      <w:r>
        <w:rPr>
          <w:sz w:val="20"/>
        </w:rPr>
        <w:t>life-saving</w:t>
      </w:r>
      <w:r>
        <w:rPr>
          <w:spacing w:val="-3"/>
          <w:sz w:val="20"/>
        </w:rPr>
        <w:t xml:space="preserve"> </w:t>
      </w:r>
      <w:r>
        <w:rPr>
          <w:spacing w:val="-2"/>
          <w:sz w:val="20"/>
        </w:rPr>
        <w:t>skills.</w:t>
      </w:r>
    </w:p>
    <w:p w14:paraId="78071752" w14:textId="77777777" w:rsidR="00AC6F3C" w:rsidRDefault="00570E88">
      <w:pPr>
        <w:pStyle w:val="ListParagraph"/>
        <w:numPr>
          <w:ilvl w:val="0"/>
          <w:numId w:val="37"/>
        </w:numPr>
        <w:tabs>
          <w:tab w:val="left" w:pos="1155"/>
        </w:tabs>
        <w:spacing w:line="249" w:lineRule="auto"/>
        <w:ind w:right="555"/>
        <w:rPr>
          <w:sz w:val="20"/>
        </w:rPr>
      </w:pPr>
      <w:r>
        <w:rPr>
          <w:sz w:val="20"/>
        </w:rPr>
        <w:t>Custom</w:t>
      </w:r>
      <w:r>
        <w:rPr>
          <w:spacing w:val="-4"/>
          <w:sz w:val="20"/>
        </w:rPr>
        <w:t xml:space="preserve"> </w:t>
      </w:r>
      <w:r>
        <w:rPr>
          <w:sz w:val="20"/>
        </w:rPr>
        <w:t>HRIS</w:t>
      </w:r>
      <w:r>
        <w:rPr>
          <w:spacing w:val="-4"/>
          <w:sz w:val="20"/>
        </w:rPr>
        <w:t xml:space="preserve"> </w:t>
      </w:r>
      <w:r>
        <w:rPr>
          <w:sz w:val="20"/>
        </w:rPr>
        <w:t>training</w:t>
      </w:r>
      <w:r>
        <w:rPr>
          <w:spacing w:val="-4"/>
          <w:sz w:val="20"/>
        </w:rPr>
        <w:t xml:space="preserve"> </w:t>
      </w:r>
      <w:r>
        <w:rPr>
          <w:sz w:val="20"/>
        </w:rPr>
        <w:t>offered</w:t>
      </w:r>
      <w:r>
        <w:rPr>
          <w:spacing w:val="-4"/>
          <w:sz w:val="20"/>
        </w:rPr>
        <w:t xml:space="preserve"> </w:t>
      </w:r>
      <w:r>
        <w:rPr>
          <w:sz w:val="20"/>
        </w:rPr>
        <w:t>to</w:t>
      </w:r>
      <w:r>
        <w:rPr>
          <w:spacing w:val="-4"/>
          <w:sz w:val="20"/>
        </w:rPr>
        <w:t xml:space="preserve"> </w:t>
      </w:r>
      <w:r>
        <w:rPr>
          <w:sz w:val="20"/>
        </w:rPr>
        <w:t>all</w:t>
      </w:r>
      <w:r>
        <w:rPr>
          <w:spacing w:val="-4"/>
          <w:sz w:val="20"/>
        </w:rPr>
        <w:t xml:space="preserve"> </w:t>
      </w:r>
      <w:r>
        <w:rPr>
          <w:sz w:val="20"/>
        </w:rPr>
        <w:t>QLS</w:t>
      </w:r>
      <w:r>
        <w:rPr>
          <w:spacing w:val="-4"/>
          <w:sz w:val="20"/>
        </w:rPr>
        <w:t xml:space="preserve"> </w:t>
      </w:r>
      <w:r>
        <w:rPr>
          <w:sz w:val="20"/>
        </w:rPr>
        <w:t>employees,</w:t>
      </w:r>
      <w:r>
        <w:rPr>
          <w:spacing w:val="-4"/>
          <w:sz w:val="20"/>
        </w:rPr>
        <w:t xml:space="preserve"> </w:t>
      </w:r>
      <w:r>
        <w:rPr>
          <w:sz w:val="20"/>
        </w:rPr>
        <w:t>empowering</w:t>
      </w:r>
      <w:r>
        <w:rPr>
          <w:spacing w:val="-4"/>
          <w:sz w:val="20"/>
        </w:rPr>
        <w:t xml:space="preserve"> </w:t>
      </w:r>
      <w:r>
        <w:rPr>
          <w:sz w:val="20"/>
        </w:rPr>
        <w:t>them</w:t>
      </w:r>
      <w:r>
        <w:rPr>
          <w:spacing w:val="-4"/>
          <w:sz w:val="20"/>
        </w:rPr>
        <w:t xml:space="preserve"> </w:t>
      </w:r>
      <w:r>
        <w:rPr>
          <w:sz w:val="20"/>
        </w:rPr>
        <w:t>to</w:t>
      </w:r>
      <w:r>
        <w:rPr>
          <w:spacing w:val="-4"/>
          <w:sz w:val="20"/>
        </w:rPr>
        <w:t xml:space="preserve"> </w:t>
      </w:r>
      <w:r>
        <w:rPr>
          <w:sz w:val="20"/>
        </w:rPr>
        <w:t>efficiently</w:t>
      </w:r>
      <w:r>
        <w:rPr>
          <w:spacing w:val="-4"/>
          <w:sz w:val="20"/>
        </w:rPr>
        <w:t xml:space="preserve"> </w:t>
      </w:r>
      <w:r>
        <w:rPr>
          <w:sz w:val="20"/>
        </w:rPr>
        <w:t>navigate</w:t>
      </w:r>
      <w:r>
        <w:rPr>
          <w:spacing w:val="-4"/>
          <w:sz w:val="20"/>
        </w:rPr>
        <w:t xml:space="preserve"> </w:t>
      </w:r>
      <w:r>
        <w:rPr>
          <w:sz w:val="20"/>
        </w:rPr>
        <w:t xml:space="preserve">and </w:t>
      </w:r>
      <w:proofErr w:type="spellStart"/>
      <w:r>
        <w:rPr>
          <w:sz w:val="20"/>
        </w:rPr>
        <w:t>utilise</w:t>
      </w:r>
      <w:proofErr w:type="spellEnd"/>
      <w:r>
        <w:rPr>
          <w:sz w:val="20"/>
        </w:rPr>
        <w:t xml:space="preserve"> our new HRIS system.</w:t>
      </w:r>
    </w:p>
    <w:p w14:paraId="43168ED0" w14:textId="77777777" w:rsidR="00AC6F3C" w:rsidRDefault="00570E88">
      <w:pPr>
        <w:pStyle w:val="ListParagraph"/>
        <w:numPr>
          <w:ilvl w:val="0"/>
          <w:numId w:val="37"/>
        </w:numPr>
        <w:tabs>
          <w:tab w:val="left" w:pos="1155"/>
        </w:tabs>
        <w:spacing w:before="171"/>
        <w:ind w:hanging="340"/>
        <w:rPr>
          <w:sz w:val="20"/>
        </w:rPr>
      </w:pPr>
      <w:r>
        <w:rPr>
          <w:sz w:val="20"/>
        </w:rPr>
        <w:t>MS</w:t>
      </w:r>
      <w:r>
        <w:rPr>
          <w:spacing w:val="-7"/>
          <w:sz w:val="20"/>
        </w:rPr>
        <w:t xml:space="preserve"> </w:t>
      </w:r>
      <w:r>
        <w:rPr>
          <w:sz w:val="20"/>
        </w:rPr>
        <w:t>Excel</w:t>
      </w:r>
      <w:r>
        <w:rPr>
          <w:spacing w:val="-4"/>
          <w:sz w:val="20"/>
        </w:rPr>
        <w:t xml:space="preserve"> </w:t>
      </w:r>
      <w:r>
        <w:rPr>
          <w:sz w:val="20"/>
        </w:rPr>
        <w:t>upskilling</w:t>
      </w:r>
      <w:r>
        <w:rPr>
          <w:spacing w:val="-4"/>
          <w:sz w:val="20"/>
        </w:rPr>
        <w:t xml:space="preserve"> </w:t>
      </w:r>
      <w:r>
        <w:rPr>
          <w:sz w:val="20"/>
        </w:rPr>
        <w:t>sessions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EI</w:t>
      </w:r>
      <w:r>
        <w:rPr>
          <w:spacing w:val="-4"/>
          <w:sz w:val="20"/>
        </w:rPr>
        <w:t xml:space="preserve"> </w:t>
      </w:r>
      <w:r>
        <w:rPr>
          <w:sz w:val="20"/>
        </w:rPr>
        <w:t>and</w:t>
      </w:r>
      <w:r>
        <w:rPr>
          <w:spacing w:val="-4"/>
          <w:sz w:val="20"/>
        </w:rPr>
        <w:t xml:space="preserve"> </w:t>
      </w:r>
      <w:proofErr w:type="spellStart"/>
      <w:r>
        <w:rPr>
          <w:sz w:val="20"/>
        </w:rPr>
        <w:t>Licencing</w:t>
      </w:r>
      <w:proofErr w:type="spellEnd"/>
      <w:r>
        <w:rPr>
          <w:spacing w:val="-8"/>
          <w:sz w:val="20"/>
        </w:rPr>
        <w:t xml:space="preserve"> </w:t>
      </w:r>
      <w:r>
        <w:rPr>
          <w:sz w:val="20"/>
        </w:rPr>
        <w:t>Teams,</w:t>
      </w:r>
      <w:r>
        <w:rPr>
          <w:spacing w:val="-4"/>
          <w:sz w:val="20"/>
        </w:rPr>
        <w:t xml:space="preserve"> </w:t>
      </w:r>
      <w:r>
        <w:rPr>
          <w:sz w:val="20"/>
        </w:rPr>
        <w:t>enhancing</w:t>
      </w:r>
      <w:r>
        <w:rPr>
          <w:spacing w:val="-4"/>
          <w:sz w:val="20"/>
        </w:rPr>
        <w:t xml:space="preserve"> </w:t>
      </w:r>
      <w:r>
        <w:rPr>
          <w:sz w:val="20"/>
        </w:rPr>
        <w:t>their</w:t>
      </w:r>
      <w:r>
        <w:rPr>
          <w:spacing w:val="-4"/>
          <w:sz w:val="20"/>
        </w:rPr>
        <w:t xml:space="preserve"> </w:t>
      </w:r>
      <w:r>
        <w:rPr>
          <w:sz w:val="20"/>
        </w:rPr>
        <w:t>proficiency</w:t>
      </w:r>
      <w:r>
        <w:rPr>
          <w:spacing w:val="-4"/>
          <w:sz w:val="20"/>
        </w:rPr>
        <w:t xml:space="preserve"> </w:t>
      </w:r>
      <w:r>
        <w:rPr>
          <w:sz w:val="20"/>
        </w:rPr>
        <w:t>in</w:t>
      </w:r>
      <w:r>
        <w:rPr>
          <w:spacing w:val="-4"/>
          <w:sz w:val="20"/>
        </w:rPr>
        <w:t xml:space="preserve"> this</w:t>
      </w:r>
    </w:p>
    <w:p w14:paraId="53719C4D" w14:textId="77777777" w:rsidR="00AC6F3C" w:rsidRDefault="00570E88">
      <w:pPr>
        <w:pStyle w:val="BodyText"/>
        <w:spacing w:before="10"/>
        <w:ind w:left="1155"/>
      </w:pPr>
      <w:r>
        <w:t>essential</w:t>
      </w:r>
      <w:r>
        <w:rPr>
          <w:spacing w:val="-8"/>
        </w:rPr>
        <w:t xml:space="preserve"> </w:t>
      </w:r>
      <w:r>
        <w:rPr>
          <w:spacing w:val="-2"/>
        </w:rPr>
        <w:t>tool.</w:t>
      </w:r>
    </w:p>
    <w:p w14:paraId="48860E8A" w14:textId="77777777" w:rsidR="00AC6F3C" w:rsidRDefault="00570E88">
      <w:pPr>
        <w:pStyle w:val="ListParagraph"/>
        <w:numPr>
          <w:ilvl w:val="0"/>
          <w:numId w:val="37"/>
        </w:numPr>
        <w:tabs>
          <w:tab w:val="left" w:pos="1155"/>
        </w:tabs>
        <w:spacing w:line="249" w:lineRule="auto"/>
        <w:ind w:right="1173"/>
        <w:rPr>
          <w:sz w:val="20"/>
        </w:rPr>
      </w:pPr>
      <w:r>
        <w:rPr>
          <w:sz w:val="20"/>
        </w:rPr>
        <w:t>Increasing</w:t>
      </w:r>
      <w:r>
        <w:rPr>
          <w:spacing w:val="-5"/>
          <w:sz w:val="20"/>
        </w:rPr>
        <w:t xml:space="preserve"> </w:t>
      </w:r>
      <w:r>
        <w:rPr>
          <w:sz w:val="20"/>
        </w:rPr>
        <w:t>our</w:t>
      </w:r>
      <w:r>
        <w:rPr>
          <w:spacing w:val="-5"/>
          <w:sz w:val="20"/>
        </w:rPr>
        <w:t xml:space="preserve"> </w:t>
      </w:r>
      <w:r>
        <w:rPr>
          <w:sz w:val="20"/>
        </w:rPr>
        <w:t>Contact</w:t>
      </w:r>
      <w:r>
        <w:rPr>
          <w:spacing w:val="-5"/>
          <w:sz w:val="20"/>
        </w:rPr>
        <w:t xml:space="preserve"> </w:t>
      </w:r>
      <w:r>
        <w:rPr>
          <w:sz w:val="20"/>
        </w:rPr>
        <w:t>Officer</w:t>
      </w:r>
      <w:r>
        <w:rPr>
          <w:spacing w:val="-5"/>
          <w:sz w:val="20"/>
        </w:rPr>
        <w:t xml:space="preserve"> </w:t>
      </w:r>
      <w:r>
        <w:rPr>
          <w:sz w:val="20"/>
        </w:rPr>
        <w:t>capacity</w:t>
      </w:r>
      <w:r>
        <w:rPr>
          <w:spacing w:val="-5"/>
          <w:sz w:val="20"/>
        </w:rPr>
        <w:t xml:space="preserve"> </w:t>
      </w:r>
      <w:r>
        <w:rPr>
          <w:sz w:val="20"/>
        </w:rPr>
        <w:t>through</w:t>
      </w:r>
      <w:r>
        <w:rPr>
          <w:spacing w:val="-5"/>
          <w:sz w:val="20"/>
        </w:rPr>
        <w:t xml:space="preserve"> </w:t>
      </w:r>
      <w:r>
        <w:rPr>
          <w:sz w:val="20"/>
        </w:rPr>
        <w:t>additional</w:t>
      </w:r>
      <w:r>
        <w:rPr>
          <w:spacing w:val="-5"/>
          <w:sz w:val="20"/>
        </w:rPr>
        <w:t xml:space="preserve"> </w:t>
      </w:r>
      <w:r>
        <w:rPr>
          <w:sz w:val="20"/>
        </w:rPr>
        <w:t>employees</w:t>
      </w:r>
      <w:r>
        <w:rPr>
          <w:spacing w:val="-5"/>
          <w:sz w:val="20"/>
        </w:rPr>
        <w:t xml:space="preserve"> </w:t>
      </w:r>
      <w:r>
        <w:rPr>
          <w:sz w:val="20"/>
        </w:rPr>
        <w:t>undertaking</w:t>
      </w:r>
      <w:r>
        <w:rPr>
          <w:spacing w:val="-5"/>
          <w:sz w:val="20"/>
        </w:rPr>
        <w:t xml:space="preserve"> </w:t>
      </w:r>
      <w:r>
        <w:rPr>
          <w:sz w:val="20"/>
        </w:rPr>
        <w:t>Contact Officer training.</w:t>
      </w:r>
    </w:p>
    <w:p w14:paraId="59E8926E" w14:textId="77777777" w:rsidR="00AC6F3C" w:rsidRDefault="00570E88">
      <w:pPr>
        <w:pStyle w:val="ListParagraph"/>
        <w:numPr>
          <w:ilvl w:val="0"/>
          <w:numId w:val="37"/>
        </w:numPr>
        <w:tabs>
          <w:tab w:val="left" w:pos="1155"/>
        </w:tabs>
        <w:spacing w:before="172" w:line="249" w:lineRule="auto"/>
        <w:ind w:right="556"/>
        <w:rPr>
          <w:sz w:val="20"/>
        </w:rPr>
      </w:pPr>
      <w:r>
        <w:rPr>
          <w:sz w:val="20"/>
        </w:rPr>
        <w:t>Targeted</w:t>
      </w:r>
      <w:r>
        <w:rPr>
          <w:spacing w:val="-5"/>
          <w:sz w:val="20"/>
        </w:rPr>
        <w:t xml:space="preserve"> </w:t>
      </w:r>
      <w:r>
        <w:rPr>
          <w:sz w:val="20"/>
        </w:rPr>
        <w:t>industry</w:t>
      </w:r>
      <w:r>
        <w:rPr>
          <w:spacing w:val="-5"/>
          <w:sz w:val="20"/>
        </w:rPr>
        <w:t xml:space="preserve"> </w:t>
      </w:r>
      <w:r>
        <w:rPr>
          <w:sz w:val="20"/>
        </w:rPr>
        <w:t>development</w:t>
      </w:r>
      <w:r>
        <w:rPr>
          <w:spacing w:val="-5"/>
          <w:sz w:val="20"/>
        </w:rPr>
        <w:t xml:space="preserve"> </w:t>
      </w:r>
      <w:r>
        <w:rPr>
          <w:sz w:val="20"/>
        </w:rPr>
        <w:t>seminars</w:t>
      </w:r>
      <w:r>
        <w:rPr>
          <w:spacing w:val="-5"/>
          <w:sz w:val="20"/>
        </w:rPr>
        <w:t xml:space="preserve"> </w:t>
      </w:r>
      <w:r>
        <w:rPr>
          <w:sz w:val="20"/>
        </w:rPr>
        <w:t>exclusively</w:t>
      </w:r>
      <w:r>
        <w:rPr>
          <w:spacing w:val="-5"/>
          <w:sz w:val="20"/>
        </w:rPr>
        <w:t xml:space="preserve"> </w:t>
      </w:r>
      <w:r>
        <w:rPr>
          <w:sz w:val="20"/>
        </w:rPr>
        <w:t>tailored</w:t>
      </w:r>
      <w:r>
        <w:rPr>
          <w:spacing w:val="-5"/>
          <w:sz w:val="20"/>
        </w:rPr>
        <w:t xml:space="preserve"> </w:t>
      </w:r>
      <w:r>
        <w:rPr>
          <w:sz w:val="20"/>
        </w:rPr>
        <w:t>for</w:t>
      </w:r>
      <w:r>
        <w:rPr>
          <w:spacing w:val="-5"/>
          <w:sz w:val="20"/>
        </w:rPr>
        <w:t xml:space="preserve"> </w:t>
      </w:r>
      <w:r>
        <w:rPr>
          <w:sz w:val="20"/>
        </w:rPr>
        <w:t>our</w:t>
      </w:r>
      <w:r>
        <w:rPr>
          <w:spacing w:val="-5"/>
          <w:sz w:val="20"/>
        </w:rPr>
        <w:t xml:space="preserve"> </w:t>
      </w:r>
      <w:r>
        <w:rPr>
          <w:sz w:val="20"/>
        </w:rPr>
        <w:t>in-house</w:t>
      </w:r>
      <w:r>
        <w:rPr>
          <w:spacing w:val="-5"/>
          <w:sz w:val="20"/>
        </w:rPr>
        <w:t xml:space="preserve"> </w:t>
      </w:r>
      <w:r>
        <w:rPr>
          <w:sz w:val="20"/>
        </w:rPr>
        <w:t>legal</w:t>
      </w:r>
      <w:r>
        <w:rPr>
          <w:spacing w:val="-5"/>
          <w:sz w:val="20"/>
        </w:rPr>
        <w:t xml:space="preserve"> </w:t>
      </w:r>
      <w:r>
        <w:rPr>
          <w:sz w:val="20"/>
        </w:rPr>
        <w:t>counsel</w:t>
      </w:r>
      <w:r>
        <w:rPr>
          <w:spacing w:val="-5"/>
          <w:sz w:val="20"/>
        </w:rPr>
        <w:t xml:space="preserve"> </w:t>
      </w:r>
      <w:r>
        <w:rPr>
          <w:sz w:val="20"/>
        </w:rPr>
        <w:t xml:space="preserve">team, providing them with </w:t>
      </w:r>
      <w:proofErr w:type="spellStart"/>
      <w:r>
        <w:rPr>
          <w:sz w:val="20"/>
        </w:rPr>
        <w:t>specialised</w:t>
      </w:r>
      <w:proofErr w:type="spellEnd"/>
      <w:r>
        <w:rPr>
          <w:sz w:val="20"/>
        </w:rPr>
        <w:t xml:space="preserve"> insights.</w:t>
      </w:r>
    </w:p>
    <w:p w14:paraId="4A467F0B" w14:textId="77777777" w:rsidR="00AC6F3C" w:rsidRDefault="00570E88">
      <w:pPr>
        <w:pStyle w:val="ListParagraph"/>
        <w:numPr>
          <w:ilvl w:val="0"/>
          <w:numId w:val="37"/>
        </w:numPr>
        <w:tabs>
          <w:tab w:val="left" w:pos="1155"/>
        </w:tabs>
        <w:spacing w:before="172" w:line="249" w:lineRule="auto"/>
        <w:ind w:right="226"/>
        <w:rPr>
          <w:sz w:val="20"/>
        </w:rPr>
      </w:pPr>
      <w:r>
        <w:rPr>
          <w:sz w:val="20"/>
        </w:rPr>
        <w:t>Comprehensive</w:t>
      </w:r>
      <w:r>
        <w:rPr>
          <w:spacing w:val="-4"/>
          <w:sz w:val="20"/>
        </w:rPr>
        <w:t xml:space="preserve"> </w:t>
      </w:r>
      <w:r>
        <w:rPr>
          <w:sz w:val="20"/>
        </w:rPr>
        <w:t>onboarding</w:t>
      </w:r>
      <w:r>
        <w:rPr>
          <w:spacing w:val="-4"/>
          <w:sz w:val="20"/>
        </w:rPr>
        <w:t xml:space="preserve"> </w:t>
      </w:r>
      <w:r>
        <w:rPr>
          <w:sz w:val="20"/>
        </w:rPr>
        <w:t>sessions</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new</w:t>
      </w:r>
      <w:r>
        <w:rPr>
          <w:spacing w:val="-4"/>
          <w:sz w:val="20"/>
        </w:rPr>
        <w:t xml:space="preserve"> </w:t>
      </w:r>
      <w:r>
        <w:rPr>
          <w:sz w:val="20"/>
        </w:rPr>
        <w:t>starters,</w:t>
      </w:r>
      <w:r>
        <w:rPr>
          <w:spacing w:val="-4"/>
          <w:sz w:val="20"/>
        </w:rPr>
        <w:t xml:space="preserve"> </w:t>
      </w:r>
      <w:r>
        <w:rPr>
          <w:sz w:val="20"/>
        </w:rPr>
        <w:t>covering</w:t>
      </w:r>
      <w:r>
        <w:rPr>
          <w:spacing w:val="-4"/>
          <w:sz w:val="20"/>
        </w:rPr>
        <w:t xml:space="preserve"> </w:t>
      </w:r>
      <w:r>
        <w:rPr>
          <w:sz w:val="20"/>
        </w:rPr>
        <w:t>workplace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legal requirements, information management, and a structured new starter program.</w:t>
      </w:r>
    </w:p>
    <w:p w14:paraId="0D84B738" w14:textId="77777777" w:rsidR="00AC6F3C" w:rsidRDefault="00570E88">
      <w:pPr>
        <w:pStyle w:val="ListParagraph"/>
        <w:numPr>
          <w:ilvl w:val="0"/>
          <w:numId w:val="37"/>
        </w:numPr>
        <w:tabs>
          <w:tab w:val="left" w:pos="1155"/>
        </w:tabs>
        <w:spacing w:before="171" w:line="249" w:lineRule="auto"/>
        <w:ind w:right="1305"/>
        <w:rPr>
          <w:sz w:val="20"/>
        </w:rPr>
      </w:pPr>
      <w:r>
        <w:rPr>
          <w:sz w:val="20"/>
        </w:rPr>
        <w:t>Vital</w:t>
      </w:r>
      <w:r>
        <w:rPr>
          <w:spacing w:val="-5"/>
          <w:sz w:val="20"/>
        </w:rPr>
        <w:t xml:space="preserve"> </w:t>
      </w:r>
      <w:r>
        <w:rPr>
          <w:sz w:val="20"/>
        </w:rPr>
        <w:t>workplace</w:t>
      </w:r>
      <w:r>
        <w:rPr>
          <w:spacing w:val="-5"/>
          <w:sz w:val="20"/>
        </w:rPr>
        <w:t xml:space="preserve"> </w:t>
      </w:r>
      <w:proofErr w:type="spellStart"/>
      <w:r>
        <w:rPr>
          <w:sz w:val="20"/>
        </w:rPr>
        <w:t>behaviour</w:t>
      </w:r>
      <w:proofErr w:type="spellEnd"/>
      <w:r>
        <w:rPr>
          <w:spacing w:val="-5"/>
          <w:sz w:val="20"/>
        </w:rPr>
        <w:t xml:space="preserve"> </w:t>
      </w:r>
      <w:r>
        <w:rPr>
          <w:sz w:val="20"/>
        </w:rPr>
        <w:t>training</w:t>
      </w:r>
      <w:r>
        <w:rPr>
          <w:spacing w:val="-5"/>
          <w:sz w:val="20"/>
        </w:rPr>
        <w:t xml:space="preserve"> </w:t>
      </w:r>
      <w:r>
        <w:rPr>
          <w:sz w:val="20"/>
        </w:rPr>
        <w:t>sessions</w:t>
      </w:r>
      <w:r>
        <w:rPr>
          <w:spacing w:val="-5"/>
          <w:sz w:val="20"/>
        </w:rPr>
        <w:t xml:space="preserve"> </w:t>
      </w:r>
      <w:r>
        <w:rPr>
          <w:sz w:val="20"/>
        </w:rPr>
        <w:t>addressing</w:t>
      </w:r>
      <w:r>
        <w:rPr>
          <w:spacing w:val="-5"/>
          <w:sz w:val="20"/>
        </w:rPr>
        <w:t xml:space="preserve"> </w:t>
      </w:r>
      <w:r>
        <w:rPr>
          <w:sz w:val="20"/>
        </w:rPr>
        <w:t>bullying,</w:t>
      </w:r>
      <w:r>
        <w:rPr>
          <w:spacing w:val="-5"/>
          <w:sz w:val="20"/>
        </w:rPr>
        <w:t xml:space="preserve"> </w:t>
      </w:r>
      <w:r>
        <w:rPr>
          <w:sz w:val="20"/>
        </w:rPr>
        <w:t>sexual</w:t>
      </w:r>
      <w:r>
        <w:rPr>
          <w:spacing w:val="-5"/>
          <w:sz w:val="20"/>
        </w:rPr>
        <w:t xml:space="preserve"> </w:t>
      </w:r>
      <w:r>
        <w:rPr>
          <w:sz w:val="20"/>
        </w:rPr>
        <w:t>harassment,</w:t>
      </w:r>
      <w:r>
        <w:rPr>
          <w:spacing w:val="-5"/>
          <w:sz w:val="20"/>
        </w:rPr>
        <w:t xml:space="preserve"> </w:t>
      </w:r>
      <w:r>
        <w:rPr>
          <w:sz w:val="20"/>
        </w:rPr>
        <w:t>and discrimination, ensuring a safe and respectful work environment.</w:t>
      </w:r>
    </w:p>
    <w:p w14:paraId="37759A3D" w14:textId="77777777" w:rsidR="00AC6F3C" w:rsidRDefault="00570E88">
      <w:pPr>
        <w:pStyle w:val="ListParagraph"/>
        <w:numPr>
          <w:ilvl w:val="0"/>
          <w:numId w:val="37"/>
        </w:numPr>
        <w:tabs>
          <w:tab w:val="left" w:pos="1155"/>
        </w:tabs>
        <w:spacing w:before="172" w:line="249" w:lineRule="auto"/>
        <w:ind w:right="227"/>
        <w:rPr>
          <w:sz w:val="20"/>
        </w:rPr>
      </w:pPr>
      <w:r>
        <w:rPr>
          <w:sz w:val="20"/>
        </w:rPr>
        <w:t>Cultural</w:t>
      </w:r>
      <w:r>
        <w:rPr>
          <w:spacing w:val="-3"/>
          <w:sz w:val="20"/>
        </w:rPr>
        <w:t xml:space="preserve"> </w:t>
      </w:r>
      <w:r>
        <w:rPr>
          <w:sz w:val="20"/>
        </w:rPr>
        <w:t>awareness</w:t>
      </w:r>
      <w:r>
        <w:rPr>
          <w:spacing w:val="-3"/>
          <w:sz w:val="20"/>
        </w:rPr>
        <w:t xml:space="preserve"> </w:t>
      </w:r>
      <w:r>
        <w:rPr>
          <w:sz w:val="20"/>
        </w:rPr>
        <w:t>training,</w:t>
      </w:r>
      <w:r>
        <w:rPr>
          <w:spacing w:val="-3"/>
          <w:sz w:val="20"/>
        </w:rPr>
        <w:t xml:space="preserve"> </w:t>
      </w:r>
      <w:r>
        <w:rPr>
          <w:sz w:val="20"/>
        </w:rPr>
        <w:t>including</w:t>
      </w:r>
      <w:r>
        <w:rPr>
          <w:spacing w:val="-3"/>
          <w:sz w:val="20"/>
        </w:rPr>
        <w:t xml:space="preserve"> </w:t>
      </w:r>
      <w:r>
        <w:rPr>
          <w:sz w:val="20"/>
        </w:rPr>
        <w:t>the</w:t>
      </w:r>
      <w:r>
        <w:rPr>
          <w:spacing w:val="-3"/>
          <w:sz w:val="20"/>
        </w:rPr>
        <w:t xml:space="preserve"> </w:t>
      </w:r>
      <w:r>
        <w:rPr>
          <w:sz w:val="20"/>
        </w:rPr>
        <w:t>“Share</w:t>
      </w:r>
      <w:r>
        <w:rPr>
          <w:spacing w:val="-3"/>
          <w:sz w:val="20"/>
        </w:rPr>
        <w:t xml:space="preserve"> </w:t>
      </w:r>
      <w:r>
        <w:rPr>
          <w:sz w:val="20"/>
        </w:rPr>
        <w:t>our</w:t>
      </w:r>
      <w:r>
        <w:rPr>
          <w:spacing w:val="-3"/>
          <w:sz w:val="20"/>
        </w:rPr>
        <w:t xml:space="preserve"> </w:t>
      </w:r>
      <w:r>
        <w:rPr>
          <w:sz w:val="20"/>
        </w:rPr>
        <w:t>Pride”</w:t>
      </w:r>
      <w:r>
        <w:rPr>
          <w:spacing w:val="-3"/>
          <w:sz w:val="20"/>
        </w:rPr>
        <w:t xml:space="preserve"> </w:t>
      </w:r>
      <w:r>
        <w:rPr>
          <w:sz w:val="20"/>
        </w:rPr>
        <w:t>online</w:t>
      </w:r>
      <w:r>
        <w:rPr>
          <w:spacing w:val="-3"/>
          <w:sz w:val="20"/>
        </w:rPr>
        <w:t xml:space="preserve"> </w:t>
      </w:r>
      <w:r>
        <w:rPr>
          <w:sz w:val="20"/>
        </w:rPr>
        <w:t>course,</w:t>
      </w:r>
      <w:r>
        <w:rPr>
          <w:spacing w:val="-3"/>
          <w:sz w:val="20"/>
        </w:rPr>
        <w:t xml:space="preserve"> </w:t>
      </w:r>
      <w:r>
        <w:rPr>
          <w:sz w:val="20"/>
        </w:rPr>
        <w:t>offered</w:t>
      </w:r>
      <w:r>
        <w:rPr>
          <w:spacing w:val="-3"/>
          <w:sz w:val="20"/>
        </w:rPr>
        <w:t xml:space="preserve"> </w:t>
      </w:r>
      <w:r>
        <w:rPr>
          <w:sz w:val="20"/>
        </w:rPr>
        <w:t>to</w:t>
      </w:r>
      <w:r>
        <w:rPr>
          <w:spacing w:val="-3"/>
          <w:sz w:val="20"/>
        </w:rPr>
        <w:t xml:space="preserve"> </w:t>
      </w:r>
      <w:r>
        <w:rPr>
          <w:sz w:val="20"/>
        </w:rPr>
        <w:t>all</w:t>
      </w:r>
      <w:r>
        <w:rPr>
          <w:spacing w:val="-3"/>
          <w:sz w:val="20"/>
        </w:rPr>
        <w:t xml:space="preserve"> </w:t>
      </w:r>
      <w:r>
        <w:rPr>
          <w:sz w:val="20"/>
        </w:rPr>
        <w:t>new</w:t>
      </w:r>
      <w:r>
        <w:rPr>
          <w:spacing w:val="-3"/>
          <w:sz w:val="20"/>
        </w:rPr>
        <w:t xml:space="preserve"> </w:t>
      </w:r>
      <w:r>
        <w:rPr>
          <w:sz w:val="20"/>
        </w:rPr>
        <w:t>starters, fostering a culture of inclusivity and understanding.</w:t>
      </w:r>
    </w:p>
    <w:p w14:paraId="35AAE729" w14:textId="77777777" w:rsidR="00AC6F3C" w:rsidRDefault="00570E88">
      <w:pPr>
        <w:pStyle w:val="ListParagraph"/>
        <w:numPr>
          <w:ilvl w:val="0"/>
          <w:numId w:val="37"/>
        </w:numPr>
        <w:tabs>
          <w:tab w:val="left" w:pos="1155"/>
        </w:tabs>
        <w:spacing w:before="171"/>
        <w:ind w:hanging="340"/>
        <w:rPr>
          <w:sz w:val="20"/>
        </w:rPr>
      </w:pPr>
      <w:r>
        <w:rPr>
          <w:sz w:val="20"/>
        </w:rPr>
        <w:t>Study</w:t>
      </w:r>
      <w:r>
        <w:rPr>
          <w:spacing w:val="-4"/>
          <w:sz w:val="20"/>
        </w:rPr>
        <w:t xml:space="preserve"> </w:t>
      </w:r>
      <w:r>
        <w:rPr>
          <w:sz w:val="20"/>
        </w:rPr>
        <w:t>assistance</w:t>
      </w:r>
      <w:r>
        <w:rPr>
          <w:spacing w:val="-3"/>
          <w:sz w:val="20"/>
        </w:rPr>
        <w:t xml:space="preserve"> </w:t>
      </w:r>
      <w:r>
        <w:rPr>
          <w:sz w:val="20"/>
        </w:rPr>
        <w:t>opportunities,</w:t>
      </w:r>
      <w:r>
        <w:rPr>
          <w:spacing w:val="-3"/>
          <w:sz w:val="20"/>
        </w:rPr>
        <w:t xml:space="preserve"> </w:t>
      </w:r>
      <w:r>
        <w:rPr>
          <w:sz w:val="20"/>
        </w:rPr>
        <w:t>reflecting</w:t>
      </w:r>
      <w:r>
        <w:rPr>
          <w:spacing w:val="-3"/>
          <w:sz w:val="20"/>
        </w:rPr>
        <w:t xml:space="preserve"> </w:t>
      </w:r>
      <w:r>
        <w:rPr>
          <w:sz w:val="20"/>
        </w:rPr>
        <w:t>our</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supporting</w:t>
      </w:r>
      <w:r>
        <w:rPr>
          <w:spacing w:val="-3"/>
          <w:sz w:val="20"/>
        </w:rPr>
        <w:t xml:space="preserve"> </w:t>
      </w:r>
      <w:r>
        <w:rPr>
          <w:sz w:val="20"/>
        </w:rPr>
        <w:t>our</w:t>
      </w:r>
      <w:r>
        <w:rPr>
          <w:spacing w:val="-3"/>
          <w:sz w:val="20"/>
        </w:rPr>
        <w:t xml:space="preserve"> </w:t>
      </w:r>
      <w:r>
        <w:rPr>
          <w:spacing w:val="-2"/>
          <w:sz w:val="20"/>
        </w:rPr>
        <w:t>employees’</w:t>
      </w:r>
    </w:p>
    <w:p w14:paraId="7872D0EE" w14:textId="77777777" w:rsidR="00AC6F3C" w:rsidRDefault="00570E88">
      <w:pPr>
        <w:pStyle w:val="BodyText"/>
        <w:spacing w:before="11"/>
        <w:ind w:left="1155"/>
      </w:pPr>
      <w:r>
        <w:t>educational</w:t>
      </w:r>
      <w:r>
        <w:rPr>
          <w:spacing w:val="-10"/>
        </w:rPr>
        <w:t xml:space="preserve"> </w:t>
      </w:r>
      <w:r>
        <w:rPr>
          <w:spacing w:val="-2"/>
        </w:rPr>
        <w:t>pursuits.</w:t>
      </w:r>
    </w:p>
    <w:p w14:paraId="67C62DC6" w14:textId="77777777" w:rsidR="00AC6F3C" w:rsidRDefault="00570E88">
      <w:pPr>
        <w:pStyle w:val="ListParagraph"/>
        <w:numPr>
          <w:ilvl w:val="0"/>
          <w:numId w:val="37"/>
        </w:numPr>
        <w:tabs>
          <w:tab w:val="left" w:pos="1155"/>
        </w:tabs>
        <w:spacing w:line="249" w:lineRule="auto"/>
        <w:ind w:right="1068"/>
        <w:rPr>
          <w:sz w:val="20"/>
        </w:rPr>
      </w:pPr>
      <w:r>
        <w:rPr>
          <w:sz w:val="20"/>
        </w:rPr>
        <w:t>An</w:t>
      </w:r>
      <w:r>
        <w:rPr>
          <w:spacing w:val="-3"/>
          <w:sz w:val="20"/>
        </w:rPr>
        <w:t xml:space="preserve"> </w:t>
      </w:r>
      <w:r>
        <w:rPr>
          <w:sz w:val="20"/>
        </w:rPr>
        <w:t>annual</w:t>
      </w:r>
      <w:r>
        <w:rPr>
          <w:spacing w:val="-3"/>
          <w:sz w:val="20"/>
        </w:rPr>
        <w:t xml:space="preserve"> </w:t>
      </w:r>
      <w:r>
        <w:rPr>
          <w:sz w:val="20"/>
        </w:rPr>
        <w:t>refresher</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work</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compliance</w:t>
      </w:r>
      <w:r>
        <w:rPr>
          <w:spacing w:val="-3"/>
          <w:sz w:val="20"/>
        </w:rPr>
        <w:t xml:space="preserve"> </w:t>
      </w:r>
      <w:r>
        <w:rPr>
          <w:sz w:val="20"/>
        </w:rPr>
        <w:t>requirements,</w:t>
      </w:r>
      <w:r>
        <w:rPr>
          <w:spacing w:val="-3"/>
          <w:sz w:val="20"/>
        </w:rPr>
        <w:t xml:space="preserve"> </w:t>
      </w:r>
      <w:r>
        <w:rPr>
          <w:sz w:val="20"/>
        </w:rPr>
        <w:t>reinforcing</w:t>
      </w:r>
      <w:r>
        <w:rPr>
          <w:spacing w:val="-3"/>
          <w:sz w:val="20"/>
        </w:rPr>
        <w:t xml:space="preserve"> </w:t>
      </w:r>
      <w:r>
        <w:rPr>
          <w:sz w:val="20"/>
        </w:rPr>
        <w:t>our dedication to maintaining a safe workplace.</w:t>
      </w:r>
    </w:p>
    <w:p w14:paraId="38D6F3C0" w14:textId="77777777" w:rsidR="00AC6F3C" w:rsidRDefault="00570E88">
      <w:pPr>
        <w:pStyle w:val="ListParagraph"/>
        <w:numPr>
          <w:ilvl w:val="0"/>
          <w:numId w:val="37"/>
        </w:numPr>
        <w:tabs>
          <w:tab w:val="left" w:pos="1155"/>
        </w:tabs>
        <w:spacing w:before="171"/>
        <w:ind w:hanging="340"/>
        <w:rPr>
          <w:sz w:val="20"/>
        </w:rPr>
      </w:pPr>
      <w:r>
        <w:rPr>
          <w:sz w:val="20"/>
        </w:rPr>
        <w:t>Participation</w:t>
      </w:r>
      <w:r>
        <w:rPr>
          <w:spacing w:val="-5"/>
          <w:sz w:val="20"/>
        </w:rPr>
        <w:t xml:space="preserve"> </w:t>
      </w:r>
      <w:r>
        <w:rPr>
          <w:sz w:val="20"/>
        </w:rPr>
        <w:t>in</w:t>
      </w:r>
      <w:r>
        <w:rPr>
          <w:spacing w:val="-5"/>
          <w:sz w:val="20"/>
        </w:rPr>
        <w:t xml:space="preserve"> </w:t>
      </w:r>
      <w:r>
        <w:rPr>
          <w:sz w:val="20"/>
        </w:rPr>
        <w:t>external</w:t>
      </w:r>
      <w:r>
        <w:rPr>
          <w:spacing w:val="-5"/>
          <w:sz w:val="20"/>
        </w:rPr>
        <w:t xml:space="preserve"> </w:t>
      </w:r>
      <w:r>
        <w:rPr>
          <w:sz w:val="20"/>
        </w:rPr>
        <w:t>workshops</w:t>
      </w:r>
      <w:r>
        <w:rPr>
          <w:spacing w:val="-5"/>
          <w:sz w:val="20"/>
        </w:rPr>
        <w:t xml:space="preserve"> </w:t>
      </w:r>
      <w:r>
        <w:rPr>
          <w:sz w:val="20"/>
        </w:rPr>
        <w:t>and</w:t>
      </w:r>
      <w:r>
        <w:rPr>
          <w:spacing w:val="-4"/>
          <w:sz w:val="20"/>
        </w:rPr>
        <w:t xml:space="preserve"> </w:t>
      </w:r>
      <w:r>
        <w:rPr>
          <w:sz w:val="20"/>
        </w:rPr>
        <w:t>conferences,</w:t>
      </w:r>
      <w:r>
        <w:rPr>
          <w:spacing w:val="-5"/>
          <w:sz w:val="20"/>
        </w:rPr>
        <w:t xml:space="preserve"> </w:t>
      </w:r>
      <w:r>
        <w:rPr>
          <w:sz w:val="20"/>
        </w:rPr>
        <w:t>encouraging</w:t>
      </w:r>
      <w:r>
        <w:rPr>
          <w:spacing w:val="-5"/>
          <w:sz w:val="20"/>
        </w:rPr>
        <w:t xml:space="preserve"> </w:t>
      </w:r>
      <w:r>
        <w:rPr>
          <w:sz w:val="20"/>
        </w:rPr>
        <w:t>continuous</w:t>
      </w:r>
      <w:r>
        <w:rPr>
          <w:spacing w:val="-5"/>
          <w:sz w:val="20"/>
        </w:rPr>
        <w:t xml:space="preserve"> </w:t>
      </w:r>
      <w:r>
        <w:rPr>
          <w:sz w:val="20"/>
        </w:rPr>
        <w:t>professional</w:t>
      </w:r>
      <w:r>
        <w:rPr>
          <w:spacing w:val="-4"/>
          <w:sz w:val="20"/>
        </w:rPr>
        <w:t xml:space="preserve"> </w:t>
      </w:r>
      <w:r>
        <w:rPr>
          <w:spacing w:val="-2"/>
          <w:sz w:val="20"/>
        </w:rPr>
        <w:t>growth.</w:t>
      </w:r>
    </w:p>
    <w:p w14:paraId="2951D907" w14:textId="77777777" w:rsidR="00AC6F3C" w:rsidRDefault="00570E88">
      <w:pPr>
        <w:pStyle w:val="ListParagraph"/>
        <w:numPr>
          <w:ilvl w:val="0"/>
          <w:numId w:val="37"/>
        </w:numPr>
        <w:tabs>
          <w:tab w:val="left" w:pos="1155"/>
        </w:tabs>
        <w:ind w:hanging="340"/>
        <w:rPr>
          <w:sz w:val="20"/>
        </w:rPr>
      </w:pPr>
      <w:r>
        <w:rPr>
          <w:sz w:val="20"/>
        </w:rPr>
        <w:t>Continued</w:t>
      </w:r>
      <w:r>
        <w:rPr>
          <w:spacing w:val="-6"/>
          <w:sz w:val="20"/>
        </w:rPr>
        <w:t xml:space="preserve"> </w:t>
      </w:r>
      <w:r>
        <w:rPr>
          <w:sz w:val="20"/>
        </w:rPr>
        <w:t>support</w:t>
      </w:r>
      <w:r>
        <w:rPr>
          <w:spacing w:val="-3"/>
          <w:sz w:val="20"/>
        </w:rPr>
        <w:t xml:space="preserve"> </w:t>
      </w:r>
      <w:r>
        <w:rPr>
          <w:sz w:val="20"/>
        </w:rPr>
        <w:t>for</w:t>
      </w:r>
      <w:r>
        <w:rPr>
          <w:spacing w:val="-3"/>
          <w:sz w:val="20"/>
        </w:rPr>
        <w:t xml:space="preserve"> </w:t>
      </w:r>
      <w:r>
        <w:rPr>
          <w:sz w:val="20"/>
        </w:rPr>
        <w:t>individual</w:t>
      </w:r>
      <w:r>
        <w:rPr>
          <w:spacing w:val="-3"/>
          <w:sz w:val="20"/>
        </w:rPr>
        <w:t xml:space="preserve"> </w:t>
      </w:r>
      <w:r>
        <w:rPr>
          <w:sz w:val="20"/>
        </w:rPr>
        <w:t>learning</w:t>
      </w:r>
      <w:r>
        <w:rPr>
          <w:spacing w:val="-3"/>
          <w:sz w:val="20"/>
        </w:rPr>
        <w:t xml:space="preserve"> </w:t>
      </w:r>
      <w:r>
        <w:rPr>
          <w:sz w:val="20"/>
        </w:rPr>
        <w:t>and</w:t>
      </w:r>
      <w:r>
        <w:rPr>
          <w:spacing w:val="-4"/>
          <w:sz w:val="20"/>
        </w:rPr>
        <w:t xml:space="preserve"> </w:t>
      </w:r>
      <w:r>
        <w:rPr>
          <w:sz w:val="20"/>
        </w:rPr>
        <w:t>development</w:t>
      </w:r>
      <w:r>
        <w:rPr>
          <w:spacing w:val="-3"/>
          <w:sz w:val="20"/>
        </w:rPr>
        <w:t xml:space="preserve"> </w:t>
      </w:r>
      <w:r>
        <w:rPr>
          <w:sz w:val="20"/>
        </w:rPr>
        <w:t>in</w:t>
      </w:r>
      <w:r>
        <w:rPr>
          <w:spacing w:val="-3"/>
          <w:sz w:val="20"/>
        </w:rPr>
        <w:t xml:space="preserve"> </w:t>
      </w:r>
      <w:r>
        <w:rPr>
          <w:sz w:val="20"/>
        </w:rPr>
        <w:t>leadership,</w:t>
      </w:r>
      <w:r>
        <w:rPr>
          <w:spacing w:val="-3"/>
          <w:sz w:val="20"/>
        </w:rPr>
        <w:t xml:space="preserve"> </w:t>
      </w:r>
      <w:r>
        <w:rPr>
          <w:sz w:val="20"/>
        </w:rPr>
        <w:t>change</w:t>
      </w:r>
      <w:r>
        <w:rPr>
          <w:spacing w:val="-3"/>
          <w:sz w:val="20"/>
        </w:rPr>
        <w:t xml:space="preserve"> </w:t>
      </w:r>
      <w:r>
        <w:rPr>
          <w:spacing w:val="-2"/>
          <w:sz w:val="20"/>
        </w:rPr>
        <w:t>management,</w:t>
      </w:r>
    </w:p>
    <w:p w14:paraId="43FFB7EF" w14:textId="77777777" w:rsidR="00AC6F3C" w:rsidRDefault="00570E88">
      <w:pPr>
        <w:pStyle w:val="BodyText"/>
        <w:spacing w:before="10"/>
        <w:ind w:left="1155"/>
      </w:pPr>
      <w:r>
        <w:t>innovation,</w:t>
      </w:r>
      <w:r>
        <w:rPr>
          <w:spacing w:val="-5"/>
        </w:rPr>
        <w:t xml:space="preserve"> </w:t>
      </w:r>
      <w:r>
        <w:t>and</w:t>
      </w:r>
      <w:r>
        <w:rPr>
          <w:spacing w:val="-3"/>
        </w:rPr>
        <w:t xml:space="preserve"> </w:t>
      </w:r>
      <w:r>
        <w:t>technical</w:t>
      </w:r>
      <w:r>
        <w:rPr>
          <w:spacing w:val="-3"/>
        </w:rPr>
        <w:t xml:space="preserve"> </w:t>
      </w:r>
      <w:r>
        <w:t>training</w:t>
      </w:r>
      <w:r>
        <w:rPr>
          <w:spacing w:val="-2"/>
        </w:rPr>
        <w:t xml:space="preserve"> </w:t>
      </w:r>
      <w:r>
        <w:t>opportunities,</w:t>
      </w:r>
      <w:r>
        <w:rPr>
          <w:spacing w:val="-3"/>
        </w:rPr>
        <w:t xml:space="preserve"> </w:t>
      </w:r>
      <w:r>
        <w:t>empowering</w:t>
      </w:r>
      <w:r>
        <w:rPr>
          <w:spacing w:val="-3"/>
        </w:rPr>
        <w:t xml:space="preserve"> </w:t>
      </w:r>
      <w:r>
        <w:t>our</w:t>
      </w:r>
      <w:r>
        <w:rPr>
          <w:spacing w:val="-3"/>
        </w:rPr>
        <w:t xml:space="preserve"> </w:t>
      </w:r>
      <w:r>
        <w:t>employees</w:t>
      </w:r>
      <w:r>
        <w:rPr>
          <w:spacing w:val="-2"/>
        </w:rPr>
        <w:t xml:space="preserve"> </w:t>
      </w:r>
      <w:r>
        <w:t>to</w:t>
      </w:r>
      <w:r>
        <w:rPr>
          <w:spacing w:val="-3"/>
        </w:rPr>
        <w:t xml:space="preserve"> </w:t>
      </w:r>
      <w:r>
        <w:t>thrive</w:t>
      </w:r>
      <w:r>
        <w:rPr>
          <w:spacing w:val="-3"/>
        </w:rPr>
        <w:t xml:space="preserve"> </w:t>
      </w:r>
      <w:r>
        <w:t>in</w:t>
      </w:r>
      <w:r>
        <w:rPr>
          <w:spacing w:val="-3"/>
        </w:rPr>
        <w:t xml:space="preserve"> </w:t>
      </w:r>
      <w:r>
        <w:t>their</w:t>
      </w:r>
      <w:r>
        <w:rPr>
          <w:spacing w:val="-2"/>
        </w:rPr>
        <w:t xml:space="preserve"> roles.</w:t>
      </w:r>
    </w:p>
    <w:p w14:paraId="44403639" w14:textId="77777777" w:rsidR="00AC6F3C" w:rsidRDefault="00570E88">
      <w:pPr>
        <w:pStyle w:val="BodyText"/>
        <w:spacing w:before="180" w:line="249" w:lineRule="auto"/>
        <w:ind w:left="815"/>
      </w:pPr>
      <w:r>
        <w:t>The</w:t>
      </w:r>
      <w:r>
        <w:rPr>
          <w:spacing w:val="-3"/>
        </w:rPr>
        <w:t xml:space="preserve"> </w:t>
      </w:r>
      <w:r>
        <w:t>previously</w:t>
      </w:r>
      <w:r>
        <w:rPr>
          <w:spacing w:val="-3"/>
        </w:rPr>
        <w:t xml:space="preserve"> </w:t>
      </w:r>
      <w:r>
        <w:t>mentioned</w:t>
      </w:r>
      <w:r>
        <w:rPr>
          <w:spacing w:val="-3"/>
        </w:rPr>
        <w:t xml:space="preserve"> </w:t>
      </w:r>
      <w:r>
        <w:t>Retention</w:t>
      </w:r>
      <w:r>
        <w:rPr>
          <w:spacing w:val="-3"/>
        </w:rPr>
        <w:t xml:space="preserve"> </w:t>
      </w:r>
      <w:r>
        <w:t>project</w:t>
      </w:r>
      <w:r>
        <w:rPr>
          <w:spacing w:val="-3"/>
        </w:rPr>
        <w:t xml:space="preserve"> </w:t>
      </w:r>
      <w:r>
        <w:t>also</w:t>
      </w:r>
      <w:r>
        <w:rPr>
          <w:spacing w:val="-3"/>
        </w:rPr>
        <w:t xml:space="preserve"> </w:t>
      </w:r>
      <w:r>
        <w:t>includes</w:t>
      </w:r>
      <w:r>
        <w:rPr>
          <w:spacing w:val="-3"/>
        </w:rPr>
        <w:t xml:space="preserve"> </w:t>
      </w:r>
      <w:r>
        <w:t>the</w:t>
      </w:r>
      <w:r>
        <w:rPr>
          <w:spacing w:val="-3"/>
        </w:rPr>
        <w:t xml:space="preserve"> </w:t>
      </w:r>
      <w:r>
        <w:t>development</w:t>
      </w:r>
      <w:r>
        <w:rPr>
          <w:spacing w:val="-3"/>
        </w:rPr>
        <w:t xml:space="preserve"> </w:t>
      </w:r>
      <w:r>
        <w:t>of</w:t>
      </w:r>
      <w:r>
        <w:rPr>
          <w:spacing w:val="-3"/>
        </w:rPr>
        <w:t xml:space="preserve"> </w:t>
      </w:r>
      <w:r>
        <w:t>individual</w:t>
      </w:r>
      <w:r>
        <w:rPr>
          <w:spacing w:val="-3"/>
        </w:rPr>
        <w:t xml:space="preserve"> </w:t>
      </w:r>
      <w:r>
        <w:t>employee</w:t>
      </w:r>
      <w:r>
        <w:rPr>
          <w:spacing w:val="-3"/>
        </w:rPr>
        <w:t xml:space="preserve"> </w:t>
      </w:r>
      <w:r>
        <w:t>action plans, a significant component of which includes development opportunities. Our individual training commitment was an average of $545 per full-time equivalent (FTE) employee.</w:t>
      </w:r>
    </w:p>
    <w:p w14:paraId="6E6CFFD9" w14:textId="77777777" w:rsidR="00AC6F3C" w:rsidRDefault="00AC6F3C">
      <w:pPr>
        <w:pStyle w:val="BodyText"/>
        <w:spacing w:before="3"/>
        <w:rPr>
          <w:sz w:val="31"/>
        </w:rPr>
      </w:pPr>
    </w:p>
    <w:p w14:paraId="66A00B2F" w14:textId="77777777" w:rsidR="00AC6F3C" w:rsidRDefault="00570E88">
      <w:pPr>
        <w:ind w:left="815"/>
        <w:rPr>
          <w:b/>
          <w:sz w:val="26"/>
        </w:rPr>
      </w:pPr>
      <w:r>
        <w:rPr>
          <w:b/>
          <w:sz w:val="26"/>
        </w:rPr>
        <w:t>Opportunities</w:t>
      </w:r>
      <w:r>
        <w:rPr>
          <w:b/>
          <w:spacing w:val="-6"/>
          <w:sz w:val="26"/>
        </w:rPr>
        <w:t xml:space="preserve"> </w:t>
      </w:r>
      <w:r>
        <w:rPr>
          <w:b/>
          <w:sz w:val="26"/>
        </w:rPr>
        <w:t>for</w:t>
      </w:r>
      <w:r>
        <w:rPr>
          <w:b/>
          <w:spacing w:val="-6"/>
          <w:sz w:val="26"/>
        </w:rPr>
        <w:t xml:space="preserve"> </w:t>
      </w:r>
      <w:r>
        <w:rPr>
          <w:b/>
          <w:sz w:val="26"/>
        </w:rPr>
        <w:t>early</w:t>
      </w:r>
      <w:r>
        <w:rPr>
          <w:b/>
          <w:spacing w:val="-6"/>
          <w:sz w:val="26"/>
        </w:rPr>
        <w:t xml:space="preserve"> </w:t>
      </w:r>
      <w:r>
        <w:rPr>
          <w:b/>
          <w:sz w:val="26"/>
        </w:rPr>
        <w:t>career</w:t>
      </w:r>
      <w:r>
        <w:rPr>
          <w:b/>
          <w:spacing w:val="-5"/>
          <w:sz w:val="26"/>
        </w:rPr>
        <w:t xml:space="preserve"> </w:t>
      </w:r>
      <w:r>
        <w:rPr>
          <w:b/>
          <w:spacing w:val="-2"/>
          <w:sz w:val="26"/>
        </w:rPr>
        <w:t>lawyers</w:t>
      </w:r>
    </w:p>
    <w:p w14:paraId="24DA04E2" w14:textId="77777777" w:rsidR="00AC6F3C" w:rsidRDefault="00570E88">
      <w:pPr>
        <w:pStyle w:val="BodyText"/>
        <w:spacing w:before="168" w:line="249" w:lineRule="auto"/>
        <w:ind w:left="815"/>
      </w:pPr>
      <w:r>
        <w:t>In</w:t>
      </w:r>
      <w:r>
        <w:rPr>
          <w:spacing w:val="-2"/>
        </w:rPr>
        <w:t xml:space="preserve"> </w:t>
      </w:r>
      <w:r>
        <w:t>FY23,</w:t>
      </w:r>
      <w:r>
        <w:rPr>
          <w:spacing w:val="-2"/>
        </w:rPr>
        <w:t xml:space="preserve"> </w:t>
      </w:r>
      <w:r>
        <w:t>QLS</w:t>
      </w:r>
      <w:r>
        <w:rPr>
          <w:spacing w:val="-2"/>
        </w:rPr>
        <w:t xml:space="preserve"> </w:t>
      </w:r>
      <w:r>
        <w:t>was</w:t>
      </w:r>
      <w:r>
        <w:rPr>
          <w:spacing w:val="-2"/>
        </w:rPr>
        <w:t xml:space="preserve"> </w:t>
      </w:r>
      <w:r>
        <w:t>pleased</w:t>
      </w:r>
      <w:r>
        <w:rPr>
          <w:spacing w:val="-2"/>
        </w:rPr>
        <w:t xml:space="preserve"> </w:t>
      </w:r>
      <w:r>
        <w:t>to</w:t>
      </w:r>
      <w:r>
        <w:rPr>
          <w:spacing w:val="-2"/>
        </w:rPr>
        <w:t xml:space="preserve"> </w:t>
      </w:r>
      <w:r>
        <w:t>support</w:t>
      </w:r>
      <w:r>
        <w:rPr>
          <w:spacing w:val="-2"/>
        </w:rPr>
        <w:t xml:space="preserve"> </w:t>
      </w:r>
      <w:r>
        <w:t>career</w:t>
      </w:r>
      <w:r>
        <w:rPr>
          <w:spacing w:val="-2"/>
        </w:rPr>
        <w:t xml:space="preserve"> </w:t>
      </w:r>
      <w:r>
        <w:t>development</w:t>
      </w:r>
      <w:r>
        <w:rPr>
          <w:spacing w:val="-2"/>
        </w:rPr>
        <w:t xml:space="preserve"> </w:t>
      </w:r>
      <w:r>
        <w:t>for</w:t>
      </w:r>
      <w:r>
        <w:rPr>
          <w:spacing w:val="-2"/>
        </w:rPr>
        <w:t xml:space="preserve"> </w:t>
      </w:r>
      <w:r>
        <w:t>law</w:t>
      </w:r>
      <w:r>
        <w:rPr>
          <w:spacing w:val="-2"/>
        </w:rPr>
        <w:t xml:space="preserve"> </w:t>
      </w:r>
      <w:r>
        <w:t>students</w:t>
      </w:r>
      <w:r>
        <w:rPr>
          <w:spacing w:val="-2"/>
        </w:rPr>
        <w:t xml:space="preserve"> </w:t>
      </w:r>
      <w:r>
        <w:t>at</w:t>
      </w:r>
      <w:r>
        <w:rPr>
          <w:spacing w:val="-2"/>
        </w:rPr>
        <w:t xml:space="preserve"> </w:t>
      </w:r>
      <w:r>
        <w:t>various</w:t>
      </w:r>
      <w:r>
        <w:rPr>
          <w:spacing w:val="-2"/>
        </w:rPr>
        <w:t xml:space="preserve"> </w:t>
      </w:r>
      <w:r>
        <w:t>stages</w:t>
      </w:r>
      <w:r>
        <w:rPr>
          <w:spacing w:val="-2"/>
        </w:rPr>
        <w:t xml:space="preserve"> </w:t>
      </w:r>
      <w:r>
        <w:t>of</w:t>
      </w:r>
      <w:r>
        <w:rPr>
          <w:spacing w:val="-2"/>
        </w:rPr>
        <w:t xml:space="preserve"> </w:t>
      </w:r>
      <w:r>
        <w:t>their</w:t>
      </w:r>
      <w:r>
        <w:rPr>
          <w:spacing w:val="-2"/>
        </w:rPr>
        <w:t xml:space="preserve"> </w:t>
      </w:r>
      <w:r>
        <w:t>legal studies. QLS offered casual or part-time working opportunities in the Legal Policy and Ethics teams.</w:t>
      </w:r>
    </w:p>
    <w:p w14:paraId="5AFA20C6" w14:textId="77777777" w:rsidR="00AC6F3C" w:rsidRDefault="00AC6F3C">
      <w:pPr>
        <w:spacing w:line="249" w:lineRule="auto"/>
        <w:sectPr w:rsidR="00AC6F3C">
          <w:headerReference w:type="default" r:id="rId182"/>
          <w:footerReference w:type="default" r:id="rId183"/>
          <w:pgSz w:w="11910" w:h="16840"/>
          <w:pgMar w:top="1140" w:right="1160" w:bottom="520" w:left="460" w:header="0" w:footer="336" w:gutter="0"/>
          <w:cols w:space="720"/>
        </w:sectPr>
      </w:pPr>
    </w:p>
    <w:p w14:paraId="48C8417E" w14:textId="77777777" w:rsidR="00AC6F3C" w:rsidRDefault="00570E88">
      <w:pPr>
        <w:spacing w:before="63"/>
        <w:ind w:left="815"/>
        <w:rPr>
          <w:b/>
          <w:sz w:val="26"/>
        </w:rPr>
      </w:pPr>
      <w:bookmarkStart w:id="81" w:name="Our_working_environment"/>
      <w:bookmarkStart w:id="82" w:name="_bookmark29"/>
      <w:bookmarkEnd w:id="81"/>
      <w:bookmarkEnd w:id="82"/>
      <w:r>
        <w:rPr>
          <w:b/>
          <w:sz w:val="26"/>
        </w:rPr>
        <w:lastRenderedPageBreak/>
        <w:t>Welcomes</w:t>
      </w:r>
      <w:r>
        <w:rPr>
          <w:b/>
          <w:spacing w:val="-6"/>
          <w:sz w:val="26"/>
        </w:rPr>
        <w:t xml:space="preserve"> </w:t>
      </w:r>
      <w:r>
        <w:rPr>
          <w:b/>
          <w:sz w:val="26"/>
        </w:rPr>
        <w:t>and</w:t>
      </w:r>
      <w:r>
        <w:rPr>
          <w:b/>
          <w:spacing w:val="-5"/>
          <w:sz w:val="26"/>
        </w:rPr>
        <w:t xml:space="preserve"> </w:t>
      </w:r>
      <w:r>
        <w:rPr>
          <w:b/>
          <w:spacing w:val="-2"/>
          <w:sz w:val="26"/>
        </w:rPr>
        <w:t>farewells</w:t>
      </w:r>
    </w:p>
    <w:p w14:paraId="45855863" w14:textId="77777777" w:rsidR="00AC6F3C" w:rsidRDefault="00570E88">
      <w:pPr>
        <w:pStyle w:val="BodyText"/>
        <w:spacing w:before="167" w:line="249" w:lineRule="auto"/>
        <w:ind w:left="815" w:right="606"/>
      </w:pPr>
      <w:r>
        <w:t>QLS welcomed 49 new employees this year, all of whom took part in a comprehensive on-boarding program which involved education on bullying, sexual harassment and discrimination, health and well-being</w:t>
      </w:r>
      <w:r>
        <w:rPr>
          <w:spacing w:val="-3"/>
        </w:rPr>
        <w:t xml:space="preserve"> </w:t>
      </w:r>
      <w:r>
        <w:t>to</w:t>
      </w:r>
      <w:r>
        <w:rPr>
          <w:spacing w:val="-3"/>
        </w:rPr>
        <w:t xml:space="preserve"> </w:t>
      </w:r>
      <w:r>
        <w:t>advance</w:t>
      </w:r>
      <w:r>
        <w:rPr>
          <w:spacing w:val="-3"/>
        </w:rPr>
        <w:t xml:space="preserve"> </w:t>
      </w:r>
      <w:r>
        <w:t>the</w:t>
      </w:r>
      <w:r>
        <w:rPr>
          <w:spacing w:val="-3"/>
        </w:rPr>
        <w:t xml:space="preserve"> </w:t>
      </w:r>
      <w:r>
        <w:t>principles</w:t>
      </w:r>
      <w:r>
        <w:rPr>
          <w:spacing w:val="-3"/>
        </w:rPr>
        <w:t xml:space="preserve"> </w:t>
      </w:r>
      <w:r>
        <w:t>and</w:t>
      </w:r>
      <w:r>
        <w:rPr>
          <w:spacing w:val="-3"/>
        </w:rPr>
        <w:t xml:space="preserve"> </w:t>
      </w:r>
      <w:r>
        <w:t>values</w:t>
      </w:r>
      <w:r>
        <w:rPr>
          <w:spacing w:val="-3"/>
        </w:rPr>
        <w:t xml:space="preserve"> </w:t>
      </w:r>
      <w:r>
        <w:t>under</w:t>
      </w:r>
      <w:r>
        <w:rPr>
          <w:spacing w:val="-3"/>
        </w:rPr>
        <w:t xml:space="preserve"> </w:t>
      </w:r>
      <w:r>
        <w:t>the</w:t>
      </w:r>
      <w:r>
        <w:rPr>
          <w:spacing w:val="-3"/>
        </w:rPr>
        <w:t xml:space="preserve"> </w:t>
      </w:r>
      <w:r>
        <w:t>Code</w:t>
      </w:r>
      <w:r>
        <w:rPr>
          <w:spacing w:val="-3"/>
        </w:rPr>
        <w:t xml:space="preserve"> </w:t>
      </w:r>
      <w:r>
        <w:t>of</w:t>
      </w:r>
      <w:r>
        <w:rPr>
          <w:spacing w:val="-3"/>
        </w:rPr>
        <w:t xml:space="preserve"> </w:t>
      </w:r>
      <w:r>
        <w:t>Conduct.</w:t>
      </w:r>
      <w:r>
        <w:rPr>
          <w:spacing w:val="-3"/>
        </w:rPr>
        <w:t xml:space="preserve"> </w:t>
      </w:r>
      <w:r>
        <w:t>Employee</w:t>
      </w:r>
      <w:r>
        <w:rPr>
          <w:spacing w:val="-3"/>
        </w:rPr>
        <w:t xml:space="preserve"> </w:t>
      </w:r>
      <w:r>
        <w:t>headcount</w:t>
      </w:r>
      <w:r>
        <w:rPr>
          <w:spacing w:val="-3"/>
        </w:rPr>
        <w:t xml:space="preserve"> </w:t>
      </w:r>
      <w:r>
        <w:t>at</w:t>
      </w:r>
    </w:p>
    <w:p w14:paraId="279CB119" w14:textId="77777777" w:rsidR="00AC6F3C" w:rsidRDefault="00570E88">
      <w:pPr>
        <w:pStyle w:val="BodyText"/>
        <w:spacing w:before="3" w:line="249" w:lineRule="auto"/>
        <w:ind w:left="815" w:right="475"/>
        <w:jc w:val="both"/>
      </w:pPr>
      <w:r>
        <w:t>30</w:t>
      </w:r>
      <w:r>
        <w:rPr>
          <w:spacing w:val="-3"/>
        </w:rPr>
        <w:t xml:space="preserve"> </w:t>
      </w:r>
      <w:r>
        <w:t>June</w:t>
      </w:r>
      <w:r>
        <w:rPr>
          <w:spacing w:val="-3"/>
        </w:rPr>
        <w:t xml:space="preserve"> </w:t>
      </w:r>
      <w:r>
        <w:t>2023</w:t>
      </w:r>
      <w:r>
        <w:rPr>
          <w:spacing w:val="-3"/>
        </w:rPr>
        <w:t xml:space="preserve"> </w:t>
      </w:r>
      <w:r>
        <w:t>was</w:t>
      </w:r>
      <w:r>
        <w:rPr>
          <w:spacing w:val="-3"/>
        </w:rPr>
        <w:t xml:space="preserve"> </w:t>
      </w:r>
      <w:r>
        <w:t>125</w:t>
      </w:r>
      <w:r>
        <w:rPr>
          <w:spacing w:val="-3"/>
        </w:rPr>
        <w:t xml:space="preserve"> </w:t>
      </w:r>
      <w:r>
        <w:t>people</w:t>
      </w:r>
      <w:r>
        <w:rPr>
          <w:spacing w:val="-3"/>
        </w:rPr>
        <w:t xml:space="preserve"> </w:t>
      </w:r>
      <w:r>
        <w:t>with</w:t>
      </w:r>
      <w:r>
        <w:rPr>
          <w:spacing w:val="-3"/>
        </w:rPr>
        <w:t xml:space="preserve"> </w:t>
      </w:r>
      <w:r>
        <w:t>116</w:t>
      </w:r>
      <w:r>
        <w:rPr>
          <w:spacing w:val="-3"/>
        </w:rPr>
        <w:t xml:space="preserve"> </w:t>
      </w:r>
      <w:r>
        <w:t>FTE.</w:t>
      </w:r>
      <w:r>
        <w:rPr>
          <w:spacing w:val="-7"/>
        </w:rPr>
        <w:t xml:space="preserve"> </w:t>
      </w:r>
      <w:r>
        <w:t>The</w:t>
      </w:r>
      <w:r>
        <w:rPr>
          <w:spacing w:val="-3"/>
        </w:rPr>
        <w:t xml:space="preserve"> </w:t>
      </w:r>
      <w:r>
        <w:t>workforce</w:t>
      </w:r>
      <w:r>
        <w:rPr>
          <w:spacing w:val="-3"/>
        </w:rPr>
        <w:t xml:space="preserve"> </w:t>
      </w:r>
      <w:r>
        <w:t>demographics</w:t>
      </w:r>
      <w:r>
        <w:rPr>
          <w:spacing w:val="-3"/>
        </w:rPr>
        <w:t xml:space="preserve"> </w:t>
      </w:r>
      <w:r>
        <w:t>are</w:t>
      </w:r>
      <w:r>
        <w:rPr>
          <w:spacing w:val="-3"/>
        </w:rPr>
        <w:t xml:space="preserve"> </w:t>
      </w:r>
      <w:r>
        <w:t>made</w:t>
      </w:r>
      <w:r>
        <w:rPr>
          <w:spacing w:val="-3"/>
        </w:rPr>
        <w:t xml:space="preserve"> </w:t>
      </w:r>
      <w:r>
        <w:t>up</w:t>
      </w:r>
      <w:r>
        <w:rPr>
          <w:spacing w:val="-3"/>
        </w:rPr>
        <w:t xml:space="preserve"> </w:t>
      </w:r>
      <w:r>
        <w:t>of</w:t>
      </w:r>
      <w:r>
        <w:rPr>
          <w:spacing w:val="-3"/>
        </w:rPr>
        <w:t xml:space="preserve"> </w:t>
      </w:r>
      <w:r>
        <w:t>permanent full-time</w:t>
      </w:r>
      <w:r>
        <w:rPr>
          <w:spacing w:val="-3"/>
        </w:rPr>
        <w:t xml:space="preserve"> </w:t>
      </w:r>
      <w:r>
        <w:t>employees</w:t>
      </w:r>
      <w:r>
        <w:rPr>
          <w:spacing w:val="-3"/>
        </w:rPr>
        <w:t xml:space="preserve"> </w:t>
      </w:r>
      <w:r>
        <w:t>(65%);</w:t>
      </w:r>
      <w:r>
        <w:rPr>
          <w:spacing w:val="-3"/>
        </w:rPr>
        <w:t xml:space="preserve"> </w:t>
      </w:r>
      <w:r>
        <w:t>permanent</w:t>
      </w:r>
      <w:r>
        <w:rPr>
          <w:spacing w:val="-3"/>
        </w:rPr>
        <w:t xml:space="preserve"> </w:t>
      </w:r>
      <w:r>
        <w:t>part-time</w:t>
      </w:r>
      <w:r>
        <w:rPr>
          <w:spacing w:val="-3"/>
        </w:rPr>
        <w:t xml:space="preserve"> </w:t>
      </w:r>
      <w:r>
        <w:t>employees</w:t>
      </w:r>
      <w:r>
        <w:rPr>
          <w:spacing w:val="-3"/>
        </w:rPr>
        <w:t xml:space="preserve"> </w:t>
      </w:r>
      <w:r>
        <w:t>(22%);</w:t>
      </w:r>
      <w:r>
        <w:rPr>
          <w:spacing w:val="-3"/>
        </w:rPr>
        <w:t xml:space="preserve"> </w:t>
      </w:r>
      <w:r>
        <w:t>employees</w:t>
      </w:r>
      <w:r>
        <w:rPr>
          <w:spacing w:val="-3"/>
        </w:rPr>
        <w:t xml:space="preserve"> </w:t>
      </w:r>
      <w:r>
        <w:t>on</w:t>
      </w:r>
      <w:r>
        <w:rPr>
          <w:spacing w:val="-3"/>
        </w:rPr>
        <w:t xml:space="preserve"> </w:t>
      </w:r>
      <w:r>
        <w:t>fixed</w:t>
      </w:r>
      <w:r>
        <w:rPr>
          <w:spacing w:val="-3"/>
        </w:rPr>
        <w:t xml:space="preserve"> </w:t>
      </w:r>
      <w:r>
        <w:t>term</w:t>
      </w:r>
      <w:r>
        <w:rPr>
          <w:spacing w:val="-3"/>
        </w:rPr>
        <w:t xml:space="preserve"> </w:t>
      </w:r>
      <w:r>
        <w:t>contracts (10%); and employees on parental leave (3%).</w:t>
      </w:r>
    </w:p>
    <w:p w14:paraId="4142CB79" w14:textId="77777777" w:rsidR="00AC6F3C" w:rsidRDefault="00570E88">
      <w:pPr>
        <w:pStyle w:val="BodyText"/>
        <w:spacing w:before="172" w:line="249" w:lineRule="auto"/>
        <w:ind w:left="815" w:right="252"/>
        <w:jc w:val="both"/>
      </w:pPr>
      <w:r>
        <w:t>QLS</w:t>
      </w:r>
      <w:r>
        <w:rPr>
          <w:spacing w:val="-2"/>
        </w:rPr>
        <w:t xml:space="preserve"> </w:t>
      </w:r>
      <w:r>
        <w:t>farewelled</w:t>
      </w:r>
      <w:r>
        <w:rPr>
          <w:spacing w:val="-2"/>
        </w:rPr>
        <w:t xml:space="preserve"> </w:t>
      </w:r>
      <w:r>
        <w:t>36</w:t>
      </w:r>
      <w:r>
        <w:rPr>
          <w:spacing w:val="-2"/>
        </w:rPr>
        <w:t xml:space="preserve"> </w:t>
      </w:r>
      <w:r>
        <w:t>employees</w:t>
      </w:r>
      <w:r>
        <w:rPr>
          <w:spacing w:val="-2"/>
        </w:rPr>
        <w:t xml:space="preserve"> </w:t>
      </w:r>
      <w:r>
        <w:t>over</w:t>
      </w:r>
      <w:r>
        <w:rPr>
          <w:spacing w:val="-2"/>
        </w:rPr>
        <w:t xml:space="preserve"> </w:t>
      </w:r>
      <w:r>
        <w:t>the</w:t>
      </w:r>
      <w:r>
        <w:rPr>
          <w:spacing w:val="-2"/>
        </w:rPr>
        <w:t xml:space="preserve"> </w:t>
      </w:r>
      <w:r>
        <w:t>same</w:t>
      </w:r>
      <w:r>
        <w:rPr>
          <w:spacing w:val="-2"/>
        </w:rPr>
        <w:t xml:space="preserve"> </w:t>
      </w:r>
      <w:r>
        <w:t>timeframe</w:t>
      </w:r>
      <w:r>
        <w:rPr>
          <w:spacing w:val="-2"/>
        </w:rPr>
        <w:t xml:space="preserve"> </w:t>
      </w:r>
      <w:r>
        <w:t>and</w:t>
      </w:r>
      <w:r>
        <w:rPr>
          <w:spacing w:val="-2"/>
        </w:rPr>
        <w:t xml:space="preserve"> </w:t>
      </w:r>
      <w:r>
        <w:t>our</w:t>
      </w:r>
      <w:r>
        <w:rPr>
          <w:spacing w:val="-2"/>
        </w:rPr>
        <w:t xml:space="preserve"> </w:t>
      </w:r>
      <w:r>
        <w:t>turnover</w:t>
      </w:r>
      <w:r>
        <w:rPr>
          <w:spacing w:val="-2"/>
        </w:rPr>
        <w:t xml:space="preserve"> </w:t>
      </w:r>
      <w:r>
        <w:t>rate</w:t>
      </w:r>
      <w:r>
        <w:rPr>
          <w:spacing w:val="-2"/>
        </w:rPr>
        <w:t xml:space="preserve"> </w:t>
      </w:r>
      <w:r>
        <w:t>at</w:t>
      </w:r>
      <w:r>
        <w:rPr>
          <w:spacing w:val="-2"/>
        </w:rPr>
        <w:t xml:space="preserve"> </w:t>
      </w:r>
      <w:r>
        <w:t>30</w:t>
      </w:r>
      <w:r>
        <w:rPr>
          <w:spacing w:val="-2"/>
        </w:rPr>
        <w:t xml:space="preserve"> </w:t>
      </w:r>
      <w:r>
        <w:t>June</w:t>
      </w:r>
      <w:r>
        <w:rPr>
          <w:spacing w:val="-2"/>
        </w:rPr>
        <w:t xml:space="preserve"> </w:t>
      </w:r>
      <w:r>
        <w:t>2023</w:t>
      </w:r>
      <w:r>
        <w:rPr>
          <w:spacing w:val="-2"/>
        </w:rPr>
        <w:t xml:space="preserve"> </w:t>
      </w:r>
      <w:r>
        <w:t>was</w:t>
      </w:r>
      <w:r>
        <w:rPr>
          <w:spacing w:val="-2"/>
        </w:rPr>
        <w:t xml:space="preserve"> </w:t>
      </w:r>
      <w:r>
        <w:t>29% for</w:t>
      </w:r>
      <w:r>
        <w:rPr>
          <w:spacing w:val="-2"/>
        </w:rPr>
        <w:t xml:space="preserve"> </w:t>
      </w:r>
      <w:r>
        <w:t>the</w:t>
      </w:r>
      <w:r>
        <w:rPr>
          <w:spacing w:val="-2"/>
        </w:rPr>
        <w:t xml:space="preserve"> </w:t>
      </w:r>
      <w:r>
        <w:t>financial</w:t>
      </w:r>
      <w:r>
        <w:rPr>
          <w:spacing w:val="-2"/>
        </w:rPr>
        <w:t xml:space="preserve"> </w:t>
      </w:r>
      <w:r>
        <w:t>year</w:t>
      </w:r>
      <w:r>
        <w:rPr>
          <w:spacing w:val="-2"/>
        </w:rPr>
        <w:t xml:space="preserve"> </w:t>
      </w:r>
      <w:r>
        <w:t>and</w:t>
      </w:r>
      <w:r>
        <w:rPr>
          <w:spacing w:val="-2"/>
        </w:rPr>
        <w:t xml:space="preserve"> </w:t>
      </w:r>
      <w:r>
        <w:t>is</w:t>
      </w:r>
      <w:r>
        <w:rPr>
          <w:spacing w:val="-2"/>
        </w:rPr>
        <w:t xml:space="preserve"> </w:t>
      </w:r>
      <w:r>
        <w:t>18%</w:t>
      </w:r>
      <w:r>
        <w:rPr>
          <w:spacing w:val="-2"/>
        </w:rPr>
        <w:t xml:space="preserve"> </w:t>
      </w:r>
      <w:r>
        <w:t>for</w:t>
      </w:r>
      <w:r>
        <w:rPr>
          <w:spacing w:val="-2"/>
        </w:rPr>
        <w:t xml:space="preserve"> </w:t>
      </w:r>
      <w:r>
        <w:t>this</w:t>
      </w:r>
      <w:r>
        <w:rPr>
          <w:spacing w:val="-2"/>
        </w:rPr>
        <w:t xml:space="preserve"> </w:t>
      </w:r>
      <w:r>
        <w:t>calendar</w:t>
      </w:r>
      <w:r>
        <w:rPr>
          <w:spacing w:val="-2"/>
        </w:rPr>
        <w:t xml:space="preserve"> </w:t>
      </w:r>
      <w:r>
        <w:t>year</w:t>
      </w:r>
      <w:r>
        <w:rPr>
          <w:spacing w:val="-2"/>
        </w:rPr>
        <w:t xml:space="preserve"> </w:t>
      </w:r>
      <w:r>
        <w:t>to</w:t>
      </w:r>
      <w:r>
        <w:rPr>
          <w:spacing w:val="-2"/>
        </w:rPr>
        <w:t xml:space="preserve"> </w:t>
      </w:r>
      <w:r>
        <w:t>date.</w:t>
      </w:r>
      <w:r>
        <w:rPr>
          <w:spacing w:val="-5"/>
        </w:rPr>
        <w:t xml:space="preserve"> </w:t>
      </w:r>
      <w:r>
        <w:t>The</w:t>
      </w:r>
      <w:r>
        <w:rPr>
          <w:spacing w:val="-2"/>
        </w:rPr>
        <w:t xml:space="preserve"> </w:t>
      </w:r>
      <w:r>
        <w:t>financial</w:t>
      </w:r>
      <w:r>
        <w:rPr>
          <w:spacing w:val="-2"/>
        </w:rPr>
        <w:t xml:space="preserve"> </w:t>
      </w:r>
      <w:r>
        <w:t>year</w:t>
      </w:r>
      <w:r>
        <w:rPr>
          <w:spacing w:val="-2"/>
        </w:rPr>
        <w:t xml:space="preserve"> </w:t>
      </w:r>
      <w:r>
        <w:t>attrition</w:t>
      </w:r>
      <w:r>
        <w:rPr>
          <w:spacing w:val="-2"/>
        </w:rPr>
        <w:t xml:space="preserve"> </w:t>
      </w:r>
      <w:r>
        <w:t>has</w:t>
      </w:r>
      <w:r>
        <w:rPr>
          <w:spacing w:val="-2"/>
        </w:rPr>
        <w:t xml:space="preserve"> </w:t>
      </w:r>
      <w:r>
        <w:t>decreased by 11% from FY22. The execution of the QLS Retention Risk Strategy has had an impact on attrition.</w:t>
      </w:r>
    </w:p>
    <w:p w14:paraId="3A84AE0F" w14:textId="77777777" w:rsidR="00AC6F3C" w:rsidRDefault="00AC6F3C">
      <w:pPr>
        <w:pStyle w:val="BodyText"/>
        <w:spacing w:before="2"/>
        <w:rPr>
          <w:sz w:val="31"/>
        </w:rPr>
      </w:pPr>
    </w:p>
    <w:p w14:paraId="0F164BC5" w14:textId="77777777" w:rsidR="00AC6F3C" w:rsidRDefault="00570E88">
      <w:pPr>
        <w:ind w:left="815"/>
        <w:rPr>
          <w:b/>
          <w:sz w:val="26"/>
        </w:rPr>
      </w:pPr>
      <w:r>
        <w:rPr>
          <w:b/>
          <w:sz w:val="26"/>
        </w:rPr>
        <w:t>Gender</w:t>
      </w:r>
      <w:r>
        <w:rPr>
          <w:b/>
          <w:spacing w:val="-5"/>
          <w:sz w:val="26"/>
        </w:rPr>
        <w:t xml:space="preserve"> </w:t>
      </w:r>
      <w:r>
        <w:rPr>
          <w:b/>
          <w:spacing w:val="-2"/>
          <w:sz w:val="26"/>
        </w:rPr>
        <w:t>composition</w:t>
      </w:r>
    </w:p>
    <w:p w14:paraId="656581A2" w14:textId="77777777" w:rsidR="00AC6F3C" w:rsidRDefault="00570E88">
      <w:pPr>
        <w:pStyle w:val="BodyText"/>
        <w:spacing w:before="168"/>
        <w:ind w:left="815"/>
      </w:pPr>
      <w:r>
        <w:t>The</w:t>
      </w:r>
      <w:r>
        <w:rPr>
          <w:spacing w:val="-5"/>
        </w:rPr>
        <w:t xml:space="preserve"> </w:t>
      </w:r>
      <w:r>
        <w:t>gender</w:t>
      </w:r>
      <w:r>
        <w:rPr>
          <w:spacing w:val="-2"/>
        </w:rPr>
        <w:t xml:space="preserve"> </w:t>
      </w:r>
      <w:r>
        <w:t>composition</w:t>
      </w:r>
      <w:r>
        <w:rPr>
          <w:spacing w:val="-3"/>
        </w:rPr>
        <w:t xml:space="preserve"> </w:t>
      </w:r>
      <w:r>
        <w:t>of</w:t>
      </w:r>
      <w:r>
        <w:rPr>
          <w:spacing w:val="-2"/>
        </w:rPr>
        <w:t xml:space="preserve"> </w:t>
      </w:r>
      <w:r>
        <w:t>the</w:t>
      </w:r>
      <w:r>
        <w:rPr>
          <w:spacing w:val="-3"/>
        </w:rPr>
        <w:t xml:space="preserve"> </w:t>
      </w:r>
      <w:r>
        <w:t>QLS</w:t>
      </w:r>
      <w:r>
        <w:rPr>
          <w:spacing w:val="-2"/>
        </w:rPr>
        <w:t xml:space="preserve"> </w:t>
      </w:r>
      <w:r>
        <w:t>workforce</w:t>
      </w:r>
      <w:r>
        <w:rPr>
          <w:spacing w:val="-3"/>
        </w:rPr>
        <w:t xml:space="preserve"> </w:t>
      </w:r>
      <w:r>
        <w:t>at</w:t>
      </w:r>
      <w:r>
        <w:rPr>
          <w:spacing w:val="-2"/>
        </w:rPr>
        <w:t xml:space="preserve"> </w:t>
      </w:r>
      <w:r>
        <w:t>30</w:t>
      </w:r>
      <w:r>
        <w:rPr>
          <w:spacing w:val="-3"/>
        </w:rPr>
        <w:t xml:space="preserve"> </w:t>
      </w:r>
      <w:r>
        <w:t>June</w:t>
      </w:r>
      <w:r>
        <w:rPr>
          <w:spacing w:val="-2"/>
        </w:rPr>
        <w:t xml:space="preserve"> </w:t>
      </w:r>
      <w:r>
        <w:t>2023</w:t>
      </w:r>
      <w:r>
        <w:rPr>
          <w:spacing w:val="-3"/>
        </w:rPr>
        <w:t xml:space="preserve"> </w:t>
      </w:r>
      <w:r>
        <w:t>was</w:t>
      </w:r>
      <w:r>
        <w:rPr>
          <w:spacing w:val="-2"/>
        </w:rPr>
        <w:t xml:space="preserve"> </w:t>
      </w:r>
      <w:r>
        <w:t>70%</w:t>
      </w:r>
      <w:r>
        <w:rPr>
          <w:spacing w:val="-3"/>
        </w:rPr>
        <w:t xml:space="preserve"> </w:t>
      </w:r>
      <w:r>
        <w:t>female</w:t>
      </w:r>
      <w:r>
        <w:rPr>
          <w:spacing w:val="-2"/>
        </w:rPr>
        <w:t xml:space="preserve"> </w:t>
      </w:r>
      <w:r>
        <w:t>and</w:t>
      </w:r>
      <w:r>
        <w:rPr>
          <w:spacing w:val="-3"/>
        </w:rPr>
        <w:t xml:space="preserve"> </w:t>
      </w:r>
      <w:r>
        <w:t>30%</w:t>
      </w:r>
      <w:r>
        <w:rPr>
          <w:spacing w:val="-2"/>
        </w:rPr>
        <w:t xml:space="preserve"> male.</w:t>
      </w:r>
    </w:p>
    <w:p w14:paraId="022AFF1E" w14:textId="77777777" w:rsidR="00AC6F3C" w:rsidRDefault="00AC6F3C">
      <w:pPr>
        <w:pStyle w:val="BodyText"/>
        <w:spacing w:before="9"/>
        <w:rPr>
          <w:sz w:val="31"/>
        </w:rPr>
      </w:pPr>
    </w:p>
    <w:p w14:paraId="4689DE84" w14:textId="77777777" w:rsidR="00AC6F3C" w:rsidRDefault="00570E88">
      <w:pPr>
        <w:ind w:left="815"/>
        <w:rPr>
          <w:b/>
          <w:sz w:val="26"/>
        </w:rPr>
      </w:pPr>
      <w:r>
        <w:rPr>
          <w:b/>
          <w:sz w:val="26"/>
        </w:rPr>
        <w:t>Outlook</w:t>
      </w:r>
      <w:r>
        <w:rPr>
          <w:b/>
          <w:spacing w:val="-7"/>
          <w:sz w:val="26"/>
        </w:rPr>
        <w:t xml:space="preserve"> </w:t>
      </w:r>
      <w:r>
        <w:rPr>
          <w:b/>
          <w:sz w:val="26"/>
        </w:rPr>
        <w:t>for</w:t>
      </w:r>
      <w:r>
        <w:rPr>
          <w:b/>
          <w:spacing w:val="-6"/>
          <w:sz w:val="26"/>
        </w:rPr>
        <w:t xml:space="preserve"> </w:t>
      </w:r>
      <w:r>
        <w:rPr>
          <w:b/>
          <w:sz w:val="26"/>
        </w:rPr>
        <w:t>2023-</w:t>
      </w:r>
      <w:r>
        <w:rPr>
          <w:b/>
          <w:spacing w:val="-5"/>
          <w:sz w:val="26"/>
        </w:rPr>
        <w:t>24</w:t>
      </w:r>
    </w:p>
    <w:p w14:paraId="322A45C6" w14:textId="77777777" w:rsidR="00AC6F3C" w:rsidRDefault="00570E88">
      <w:pPr>
        <w:pStyle w:val="BodyText"/>
        <w:spacing w:before="167" w:line="249" w:lineRule="auto"/>
        <w:ind w:left="815" w:right="234"/>
      </w:pPr>
      <w:r>
        <w:t xml:space="preserve">Key people initiatives for 2023-24 include the </w:t>
      </w:r>
      <w:proofErr w:type="spellStart"/>
      <w:r>
        <w:t>finalisation</w:t>
      </w:r>
      <w:proofErr w:type="spellEnd"/>
      <w:r>
        <w:t xml:space="preserve"> of the implementation of all modules in the Human Resources Information System (HRIS). Focus will continue on the Retention Risk Strategy. We plan</w:t>
      </w:r>
      <w:r>
        <w:rPr>
          <w:spacing w:val="-3"/>
        </w:rPr>
        <w:t xml:space="preserve"> </w:t>
      </w:r>
      <w:r>
        <w:t>to</w:t>
      </w:r>
      <w:r>
        <w:rPr>
          <w:spacing w:val="-3"/>
        </w:rPr>
        <w:t xml:space="preserve"> </w:t>
      </w:r>
      <w:r>
        <w:t>enhance</w:t>
      </w:r>
      <w:r>
        <w:rPr>
          <w:spacing w:val="-3"/>
        </w:rPr>
        <w:t xml:space="preserve"> </w:t>
      </w:r>
      <w:r>
        <w:t>our</w:t>
      </w:r>
      <w:r>
        <w:rPr>
          <w:spacing w:val="-3"/>
        </w:rPr>
        <w:t xml:space="preserve"> </w:t>
      </w:r>
      <w:r>
        <w:t>internal</w:t>
      </w:r>
      <w:r>
        <w:rPr>
          <w:spacing w:val="-3"/>
        </w:rPr>
        <w:t xml:space="preserve"> </w:t>
      </w:r>
      <w:r>
        <w:t>employee</w:t>
      </w:r>
      <w:r>
        <w:rPr>
          <w:spacing w:val="-3"/>
        </w:rPr>
        <w:t xml:space="preserve"> </w:t>
      </w:r>
      <w:r>
        <w:t>performance</w:t>
      </w:r>
      <w:r>
        <w:rPr>
          <w:spacing w:val="-3"/>
        </w:rPr>
        <w:t xml:space="preserve"> </w:t>
      </w:r>
      <w:r>
        <w:t>review</w:t>
      </w:r>
      <w:r>
        <w:rPr>
          <w:spacing w:val="-3"/>
        </w:rPr>
        <w:t xml:space="preserve"> </w:t>
      </w:r>
      <w:r>
        <w:t>process</w:t>
      </w:r>
      <w:r>
        <w:rPr>
          <w:spacing w:val="-3"/>
        </w:rPr>
        <w:t xml:space="preserve"> </w:t>
      </w:r>
      <w:r>
        <w:t>to</w:t>
      </w:r>
      <w:r>
        <w:rPr>
          <w:spacing w:val="-3"/>
        </w:rPr>
        <w:t xml:space="preserve"> </w:t>
      </w:r>
      <w:r>
        <w:t>ensure</w:t>
      </w:r>
      <w:r>
        <w:rPr>
          <w:spacing w:val="-3"/>
        </w:rPr>
        <w:t xml:space="preserve"> </w:t>
      </w:r>
      <w:r>
        <w:t>a</w:t>
      </w:r>
      <w:r>
        <w:rPr>
          <w:spacing w:val="-3"/>
        </w:rPr>
        <w:t xml:space="preserve"> </w:t>
      </w:r>
      <w:r>
        <w:t>continual</w:t>
      </w:r>
      <w:r>
        <w:rPr>
          <w:spacing w:val="-3"/>
        </w:rPr>
        <w:t xml:space="preserve"> </w:t>
      </w:r>
      <w:r>
        <w:t>flow</w:t>
      </w:r>
      <w:r>
        <w:rPr>
          <w:spacing w:val="-3"/>
        </w:rPr>
        <w:t xml:space="preserve"> </w:t>
      </w:r>
      <w:r>
        <w:t>of</w:t>
      </w:r>
      <w:r>
        <w:rPr>
          <w:spacing w:val="-3"/>
        </w:rPr>
        <w:t xml:space="preserve"> </w:t>
      </w:r>
      <w:r>
        <w:t xml:space="preserve">regular feedback between managers and their teams. We will take advantage of our new onboarding platform and the data we can </w:t>
      </w:r>
      <w:proofErr w:type="spellStart"/>
      <w:r>
        <w:t>analyse</w:t>
      </w:r>
      <w:proofErr w:type="spellEnd"/>
      <w:r>
        <w:t xml:space="preserve"> as a result of reshaping the questions in our regular check-ins for new employees. We will continue to support our wellbeing initiatives such as Mental Health First</w:t>
      </w:r>
      <w:r>
        <w:rPr>
          <w:spacing w:val="-5"/>
        </w:rPr>
        <w:t xml:space="preserve"> </w:t>
      </w:r>
      <w:r>
        <w:t xml:space="preserve">Aid and access to counselling services through our </w:t>
      </w:r>
      <w:proofErr w:type="spellStart"/>
      <w:r>
        <w:t>LawCare</w:t>
      </w:r>
      <w:proofErr w:type="spellEnd"/>
      <w:r>
        <w:t xml:space="preserve"> provider.</w:t>
      </w:r>
    </w:p>
    <w:p w14:paraId="1AC382EA" w14:textId="77777777" w:rsidR="00AC6F3C" w:rsidRDefault="00570E88">
      <w:pPr>
        <w:pStyle w:val="BodyText"/>
        <w:spacing w:before="176" w:line="249" w:lineRule="auto"/>
        <w:ind w:left="815" w:right="668"/>
        <w:jc w:val="both"/>
      </w:pPr>
      <w:r>
        <w:t>The People and Culture team will continue working on strategic initiatives that support an engaged, high</w:t>
      </w:r>
      <w:r>
        <w:rPr>
          <w:spacing w:val="-2"/>
        </w:rPr>
        <w:t xml:space="preserve"> </w:t>
      </w:r>
      <w:r>
        <w:t>performing</w:t>
      </w:r>
      <w:r>
        <w:rPr>
          <w:spacing w:val="-2"/>
        </w:rPr>
        <w:t xml:space="preserve"> </w:t>
      </w:r>
      <w:r>
        <w:t>and</w:t>
      </w:r>
      <w:r>
        <w:rPr>
          <w:spacing w:val="-2"/>
        </w:rPr>
        <w:t xml:space="preserve"> </w:t>
      </w:r>
      <w:r>
        <w:t>productive</w:t>
      </w:r>
      <w:r>
        <w:rPr>
          <w:spacing w:val="-2"/>
        </w:rPr>
        <w:t xml:space="preserve"> </w:t>
      </w:r>
      <w:r>
        <w:t>team.</w:t>
      </w:r>
      <w:r>
        <w:rPr>
          <w:spacing w:val="40"/>
        </w:rPr>
        <w:t xml:space="preserve"> </w:t>
      </w:r>
      <w:r>
        <w:t>In</w:t>
      </w:r>
      <w:r>
        <w:rPr>
          <w:spacing w:val="-2"/>
        </w:rPr>
        <w:t xml:space="preserve"> </w:t>
      </w:r>
      <w:r>
        <w:t>the</w:t>
      </w:r>
      <w:r>
        <w:rPr>
          <w:spacing w:val="-2"/>
        </w:rPr>
        <w:t xml:space="preserve"> </w:t>
      </w:r>
      <w:r>
        <w:t>first</w:t>
      </w:r>
      <w:r>
        <w:rPr>
          <w:spacing w:val="-2"/>
        </w:rPr>
        <w:t xml:space="preserve"> </w:t>
      </w:r>
      <w:r>
        <w:t>quarter</w:t>
      </w:r>
      <w:r>
        <w:rPr>
          <w:spacing w:val="-2"/>
        </w:rPr>
        <w:t xml:space="preserve"> </w:t>
      </w:r>
      <w:r>
        <w:t>of</w:t>
      </w:r>
      <w:r>
        <w:rPr>
          <w:spacing w:val="-2"/>
        </w:rPr>
        <w:t xml:space="preserve"> </w:t>
      </w:r>
      <w:r>
        <w:t>2023-24,</w:t>
      </w:r>
      <w:r>
        <w:rPr>
          <w:spacing w:val="-2"/>
        </w:rPr>
        <w:t xml:space="preserve"> </w:t>
      </w:r>
      <w:r>
        <w:t>employees</w:t>
      </w:r>
      <w:r>
        <w:rPr>
          <w:spacing w:val="-2"/>
        </w:rPr>
        <w:t xml:space="preserve"> </w:t>
      </w:r>
      <w:r>
        <w:t>have</w:t>
      </w:r>
      <w:r>
        <w:rPr>
          <w:spacing w:val="-2"/>
        </w:rPr>
        <w:t xml:space="preserve"> </w:t>
      </w:r>
      <w:r>
        <w:t>responded</w:t>
      </w:r>
      <w:r>
        <w:rPr>
          <w:spacing w:val="-2"/>
        </w:rPr>
        <w:t xml:space="preserve"> </w:t>
      </w:r>
      <w:r>
        <w:t>to a</w:t>
      </w:r>
      <w:r>
        <w:rPr>
          <w:spacing w:val="-3"/>
        </w:rPr>
        <w:t xml:space="preserve"> </w:t>
      </w:r>
      <w:r>
        <w:t>diversity</w:t>
      </w:r>
      <w:r>
        <w:rPr>
          <w:spacing w:val="-3"/>
        </w:rPr>
        <w:t xml:space="preserve"> </w:t>
      </w:r>
      <w:r>
        <w:t>and</w:t>
      </w:r>
      <w:r>
        <w:rPr>
          <w:spacing w:val="-3"/>
        </w:rPr>
        <w:t xml:space="preserve"> </w:t>
      </w:r>
      <w:r>
        <w:t>inclusion</w:t>
      </w:r>
      <w:r>
        <w:rPr>
          <w:spacing w:val="-3"/>
        </w:rPr>
        <w:t xml:space="preserve"> </w:t>
      </w:r>
      <w:r>
        <w:t>survey</w:t>
      </w:r>
      <w:r>
        <w:rPr>
          <w:spacing w:val="-3"/>
        </w:rPr>
        <w:t xml:space="preserve"> </w:t>
      </w:r>
      <w:r>
        <w:t>which</w:t>
      </w:r>
      <w:r>
        <w:rPr>
          <w:spacing w:val="-3"/>
        </w:rPr>
        <w:t xml:space="preserve"> </w:t>
      </w:r>
      <w:r>
        <w:t>will</w:t>
      </w:r>
      <w:r>
        <w:rPr>
          <w:spacing w:val="-3"/>
        </w:rPr>
        <w:t xml:space="preserve"> </w:t>
      </w:r>
      <w:r>
        <w:t>potentially</w:t>
      </w:r>
      <w:r>
        <w:rPr>
          <w:spacing w:val="-3"/>
        </w:rPr>
        <w:t xml:space="preserve"> </w:t>
      </w:r>
      <w:r>
        <w:t>lead</w:t>
      </w:r>
      <w:r>
        <w:rPr>
          <w:spacing w:val="-3"/>
        </w:rPr>
        <w:t xml:space="preserve"> </w:t>
      </w:r>
      <w:r>
        <w:t>to</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receiving</w:t>
      </w:r>
      <w:r>
        <w:rPr>
          <w:spacing w:val="-6"/>
        </w:rPr>
        <w:t xml:space="preserve"> </w:t>
      </w:r>
      <w:r>
        <w:t>The</w:t>
      </w:r>
    </w:p>
    <w:p w14:paraId="59821782" w14:textId="77777777" w:rsidR="00AC6F3C" w:rsidRDefault="00570E88">
      <w:pPr>
        <w:pStyle w:val="BodyText"/>
        <w:spacing w:before="3" w:line="249" w:lineRule="auto"/>
        <w:ind w:left="815" w:right="157"/>
      </w:pPr>
      <w:r>
        <w:t>Diversity</w:t>
      </w:r>
      <w:r>
        <w:rPr>
          <w:spacing w:val="-2"/>
        </w:rPr>
        <w:t xml:space="preserve"> </w:t>
      </w:r>
      <w:r>
        <w:t>Council</w:t>
      </w:r>
      <w:r>
        <w:rPr>
          <w:spacing w:val="-2"/>
        </w:rPr>
        <w:t xml:space="preserve"> </w:t>
      </w:r>
      <w:r>
        <w:t>of</w:t>
      </w:r>
      <w:r>
        <w:rPr>
          <w:spacing w:val="-13"/>
        </w:rPr>
        <w:t xml:space="preserve"> </w:t>
      </w:r>
      <w:r>
        <w:t>Australia</w:t>
      </w:r>
      <w:r>
        <w:rPr>
          <w:spacing w:val="-2"/>
        </w:rPr>
        <w:t xml:space="preserve"> </w:t>
      </w:r>
      <w:r>
        <w:t>Inclusive</w:t>
      </w:r>
      <w:r>
        <w:rPr>
          <w:spacing w:val="-2"/>
        </w:rPr>
        <w:t xml:space="preserve"> </w:t>
      </w:r>
      <w:r>
        <w:t>Employer</w:t>
      </w:r>
      <w:r>
        <w:rPr>
          <w:spacing w:val="-2"/>
        </w:rPr>
        <w:t xml:space="preserve"> </w:t>
      </w:r>
      <w:r>
        <w:t>Index</w:t>
      </w:r>
      <w:r>
        <w:rPr>
          <w:spacing w:val="-2"/>
        </w:rPr>
        <w:t xml:space="preserve"> </w:t>
      </w:r>
      <w:r>
        <w:t>accreditation.</w:t>
      </w:r>
      <w:r>
        <w:rPr>
          <w:spacing w:val="-13"/>
        </w:rPr>
        <w:t xml:space="preserve"> </w:t>
      </w:r>
      <w:r>
        <w:t>As</w:t>
      </w:r>
      <w:r>
        <w:rPr>
          <w:spacing w:val="-2"/>
        </w:rPr>
        <w:t xml:space="preserve"> </w:t>
      </w:r>
      <w:r>
        <w:t>a</w:t>
      </w:r>
      <w:r>
        <w:rPr>
          <w:spacing w:val="-2"/>
        </w:rPr>
        <w:t xml:space="preserve"> </w:t>
      </w:r>
      <w:r>
        <w:t>result</w:t>
      </w:r>
      <w:r>
        <w:rPr>
          <w:spacing w:val="-2"/>
        </w:rPr>
        <w:t xml:space="preserve"> </w:t>
      </w:r>
      <w:r>
        <w:t>of</w:t>
      </w:r>
      <w:r>
        <w:rPr>
          <w:spacing w:val="-2"/>
        </w:rPr>
        <w:t xml:space="preserve"> </w:t>
      </w:r>
      <w:r>
        <w:t>this</w:t>
      </w:r>
      <w:r>
        <w:rPr>
          <w:spacing w:val="-2"/>
        </w:rPr>
        <w:t xml:space="preserve"> </w:t>
      </w:r>
      <w:r>
        <w:t>work</w:t>
      </w:r>
      <w:r>
        <w:rPr>
          <w:spacing w:val="-2"/>
        </w:rPr>
        <w:t xml:space="preserve"> </w:t>
      </w:r>
      <w:r>
        <w:t>we</w:t>
      </w:r>
      <w:r>
        <w:rPr>
          <w:spacing w:val="-2"/>
        </w:rPr>
        <w:t xml:space="preserve"> </w:t>
      </w:r>
      <w:r>
        <w:t>will</w:t>
      </w:r>
      <w:r>
        <w:rPr>
          <w:spacing w:val="-2"/>
        </w:rPr>
        <w:t xml:space="preserve"> </w:t>
      </w:r>
      <w:r>
        <w:t>have access to our own statistics and benchmarking data that will assist us to inform policy around diversity and inclusion, learning and development, employee benefits and other programs.</w:t>
      </w:r>
      <w:r>
        <w:rPr>
          <w:spacing w:val="40"/>
        </w:rPr>
        <w:t xml:space="preserve"> </w:t>
      </w:r>
      <w:r>
        <w:t>Following this we will undertake</w:t>
      </w:r>
      <w:r>
        <w:rPr>
          <w:spacing w:val="-3"/>
        </w:rPr>
        <w:t xml:space="preserve"> </w:t>
      </w:r>
      <w:r>
        <w:t>work</w:t>
      </w:r>
      <w:r>
        <w:rPr>
          <w:spacing w:val="-3"/>
        </w:rPr>
        <w:t xml:space="preserve"> </w:t>
      </w:r>
      <w:r>
        <w:t>on</w:t>
      </w:r>
      <w:r>
        <w:rPr>
          <w:spacing w:val="-3"/>
        </w:rPr>
        <w:t xml:space="preserve"> </w:t>
      </w:r>
      <w:r>
        <w:t>Psychosocial</w:t>
      </w:r>
      <w:r>
        <w:rPr>
          <w:spacing w:val="-3"/>
        </w:rPr>
        <w:t xml:space="preserve"> </w:t>
      </w:r>
      <w:r>
        <w:t>hazards</w:t>
      </w:r>
      <w:r>
        <w:rPr>
          <w:spacing w:val="-3"/>
        </w:rPr>
        <w:t xml:space="preserve"> </w:t>
      </w:r>
      <w:r>
        <w:t>in</w:t>
      </w:r>
      <w:r>
        <w:rPr>
          <w:spacing w:val="-3"/>
        </w:rPr>
        <w:t xml:space="preserve"> </w:t>
      </w:r>
      <w:r>
        <w:t>the</w:t>
      </w:r>
      <w:r>
        <w:rPr>
          <w:spacing w:val="-3"/>
        </w:rPr>
        <w:t xml:space="preserve"> </w:t>
      </w:r>
      <w:r>
        <w:t>workplace</w:t>
      </w:r>
      <w:r>
        <w:rPr>
          <w:spacing w:val="-3"/>
        </w:rPr>
        <w:t xml:space="preserve"> </w:t>
      </w:r>
      <w:r>
        <w:t>to</w:t>
      </w:r>
      <w:r>
        <w:rPr>
          <w:spacing w:val="-3"/>
        </w:rPr>
        <w:t xml:space="preserve"> </w:t>
      </w:r>
      <w:r>
        <w:t>ensure</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is</w:t>
      </w:r>
      <w:r>
        <w:rPr>
          <w:spacing w:val="-3"/>
        </w:rPr>
        <w:t xml:space="preserve"> </w:t>
      </w:r>
      <w:r>
        <w:t>meeting its obligations as an employer.</w:t>
      </w:r>
      <w:r>
        <w:rPr>
          <w:spacing w:val="40"/>
        </w:rPr>
        <w:t xml:space="preserve"> </w:t>
      </w:r>
      <w:r>
        <w:t>This will include awareness training, an employee information gathering survey, a risk assessment and audit and the implementation of resulting controls.</w:t>
      </w:r>
    </w:p>
    <w:p w14:paraId="6ECCC185" w14:textId="77777777" w:rsidR="00AC6F3C" w:rsidRDefault="00570E88">
      <w:pPr>
        <w:pStyle w:val="BodyText"/>
        <w:spacing w:before="174" w:line="249" w:lineRule="auto"/>
        <w:ind w:left="815" w:right="157"/>
      </w:pPr>
      <w:r>
        <w:t>In addition, the People and Culture team are working on a cultural and technical review of the internal performance review process and the completion of the implementation of the Human Resources information</w:t>
      </w:r>
      <w:r>
        <w:rPr>
          <w:spacing w:val="-3"/>
        </w:rPr>
        <w:t xml:space="preserve"> </w:t>
      </w:r>
      <w:r>
        <w:t>System</w:t>
      </w:r>
      <w:r>
        <w:rPr>
          <w:spacing w:val="-3"/>
        </w:rPr>
        <w:t xml:space="preserve"> </w:t>
      </w:r>
      <w:r>
        <w:t>which</w:t>
      </w:r>
      <w:r>
        <w:rPr>
          <w:spacing w:val="-3"/>
        </w:rPr>
        <w:t xml:space="preserve"> </w:t>
      </w:r>
      <w:r>
        <w:t>includes</w:t>
      </w:r>
      <w:r>
        <w:rPr>
          <w:spacing w:val="-3"/>
        </w:rPr>
        <w:t xml:space="preserve"> </w:t>
      </w:r>
      <w:r>
        <w:t>modules</w:t>
      </w:r>
      <w:r>
        <w:rPr>
          <w:spacing w:val="-3"/>
        </w:rPr>
        <w:t xml:space="preserve"> </w:t>
      </w:r>
      <w:r>
        <w:t>on</w:t>
      </w:r>
      <w:r>
        <w:rPr>
          <w:spacing w:val="-3"/>
        </w:rPr>
        <w:t xml:space="preserve"> </w:t>
      </w:r>
      <w:r>
        <w:t>performance,</w:t>
      </w:r>
      <w:r>
        <w:rPr>
          <w:spacing w:val="-3"/>
        </w:rPr>
        <w:t xml:space="preserve"> </w:t>
      </w:r>
      <w:r>
        <w:t>recruitment</w:t>
      </w:r>
      <w:r>
        <w:rPr>
          <w:spacing w:val="-3"/>
        </w:rPr>
        <w:t xml:space="preserve"> </w:t>
      </w:r>
      <w:r>
        <w:t>and</w:t>
      </w:r>
      <w:r>
        <w:rPr>
          <w:spacing w:val="-3"/>
        </w:rPr>
        <w:t xml:space="preserve"> </w:t>
      </w:r>
      <w:r>
        <w:t>learning</w:t>
      </w:r>
      <w:r>
        <w:rPr>
          <w:spacing w:val="-3"/>
        </w:rPr>
        <w:t xml:space="preserve"> </w:t>
      </w:r>
      <w:r>
        <w:t>and</w:t>
      </w:r>
      <w:r>
        <w:rPr>
          <w:spacing w:val="-3"/>
        </w:rPr>
        <w:t xml:space="preserve"> </w:t>
      </w:r>
      <w:r>
        <w:t>development.</w:t>
      </w:r>
    </w:p>
    <w:p w14:paraId="40290FB7" w14:textId="77777777" w:rsidR="00AC6F3C" w:rsidRDefault="00AC6F3C">
      <w:pPr>
        <w:pStyle w:val="BodyText"/>
        <w:spacing w:before="7"/>
        <w:rPr>
          <w:sz w:val="32"/>
        </w:rPr>
      </w:pPr>
    </w:p>
    <w:p w14:paraId="024CB7D3" w14:textId="77777777" w:rsidR="00AC6F3C" w:rsidRDefault="00570E88">
      <w:pPr>
        <w:pStyle w:val="Heading3"/>
        <w:jc w:val="both"/>
      </w:pPr>
      <w:r>
        <w:t>Our</w:t>
      </w:r>
      <w:r>
        <w:rPr>
          <w:spacing w:val="-1"/>
        </w:rPr>
        <w:t xml:space="preserve"> </w:t>
      </w:r>
      <w:r>
        <w:t>working</w:t>
      </w:r>
      <w:r>
        <w:rPr>
          <w:spacing w:val="-1"/>
        </w:rPr>
        <w:t xml:space="preserve"> </w:t>
      </w:r>
      <w:r>
        <w:rPr>
          <w:spacing w:val="-2"/>
        </w:rPr>
        <w:t>environment</w:t>
      </w:r>
    </w:p>
    <w:p w14:paraId="5434D30C" w14:textId="77777777" w:rsidR="00AC6F3C" w:rsidRDefault="00570E88">
      <w:pPr>
        <w:pStyle w:val="Heading9"/>
        <w:spacing w:before="245"/>
      </w:pPr>
      <w:r>
        <w:rPr>
          <w:spacing w:val="-2"/>
        </w:rPr>
        <w:t>Sustainability</w:t>
      </w:r>
    </w:p>
    <w:p w14:paraId="09915273" w14:textId="77777777" w:rsidR="00AC6F3C" w:rsidRDefault="00570E88">
      <w:pPr>
        <w:pStyle w:val="BodyText"/>
        <w:spacing w:before="176" w:line="249" w:lineRule="auto"/>
        <w:ind w:left="815" w:right="463"/>
        <w:jc w:val="both"/>
      </w:pPr>
      <w:r>
        <w:t>QLS</w:t>
      </w:r>
      <w:r>
        <w:rPr>
          <w:spacing w:val="-3"/>
        </w:rPr>
        <w:t xml:space="preserve"> </w:t>
      </w:r>
      <w:r>
        <w:t>is</w:t>
      </w:r>
      <w:r>
        <w:rPr>
          <w:spacing w:val="-3"/>
        </w:rPr>
        <w:t xml:space="preserve"> </w:t>
      </w:r>
      <w:r>
        <w:t>committed</w:t>
      </w:r>
      <w:r>
        <w:rPr>
          <w:spacing w:val="-3"/>
        </w:rPr>
        <w:t xml:space="preserve"> </w:t>
      </w:r>
      <w:r>
        <w:t>to</w:t>
      </w:r>
      <w:r>
        <w:rPr>
          <w:spacing w:val="-3"/>
        </w:rPr>
        <w:t xml:space="preserve"> </w:t>
      </w:r>
      <w:r>
        <w:t>sustainable</w:t>
      </w:r>
      <w:r>
        <w:rPr>
          <w:spacing w:val="-3"/>
        </w:rPr>
        <w:t xml:space="preserve"> </w:t>
      </w:r>
      <w:r>
        <w:t>work</w:t>
      </w:r>
      <w:r>
        <w:rPr>
          <w:spacing w:val="-3"/>
        </w:rPr>
        <w:t xml:space="preserve"> </w:t>
      </w:r>
      <w:r>
        <w:t>practices</w:t>
      </w:r>
      <w:r>
        <w:rPr>
          <w:spacing w:val="-3"/>
        </w:rPr>
        <w:t xml:space="preserve"> </w:t>
      </w:r>
      <w:r>
        <w:t>designed</w:t>
      </w:r>
      <w:r>
        <w:rPr>
          <w:spacing w:val="-3"/>
        </w:rPr>
        <w:t xml:space="preserve"> </w:t>
      </w:r>
      <w:r>
        <w:t>to</w:t>
      </w:r>
      <w:r>
        <w:rPr>
          <w:spacing w:val="-3"/>
        </w:rPr>
        <w:t xml:space="preserve"> </w:t>
      </w:r>
      <w:r>
        <w:t>cut</w:t>
      </w:r>
      <w:r>
        <w:rPr>
          <w:spacing w:val="-3"/>
        </w:rPr>
        <w:t xml:space="preserve"> </w:t>
      </w:r>
      <w:r>
        <w:t>greenhouse</w:t>
      </w:r>
      <w:r>
        <w:rPr>
          <w:spacing w:val="-3"/>
        </w:rPr>
        <w:t xml:space="preserve"> </w:t>
      </w:r>
      <w:r>
        <w:t>gases,</w:t>
      </w:r>
      <w:r>
        <w:rPr>
          <w:spacing w:val="-3"/>
        </w:rPr>
        <w:t xml:space="preserve"> </w:t>
      </w:r>
      <w:r>
        <w:t>reduce</w:t>
      </w:r>
      <w:r>
        <w:rPr>
          <w:spacing w:val="-3"/>
        </w:rPr>
        <w:t xml:space="preserve"> </w:t>
      </w:r>
      <w:r>
        <w:t>waste</w:t>
      </w:r>
      <w:r>
        <w:rPr>
          <w:spacing w:val="-3"/>
        </w:rPr>
        <w:t xml:space="preserve"> </w:t>
      </w:r>
      <w:r>
        <w:t>and landfill, and save water and energy.</w:t>
      </w:r>
    </w:p>
    <w:p w14:paraId="2714BD27" w14:textId="77777777" w:rsidR="00AC6F3C" w:rsidRDefault="00570E88">
      <w:pPr>
        <w:pStyle w:val="BodyText"/>
        <w:spacing w:before="171"/>
        <w:ind w:left="815"/>
      </w:pPr>
      <w:r>
        <w:t>The</w:t>
      </w:r>
      <w:r>
        <w:rPr>
          <w:spacing w:val="-2"/>
        </w:rPr>
        <w:t xml:space="preserve"> </w:t>
      </w:r>
      <w:r>
        <w:t>culture</w:t>
      </w:r>
      <w:r>
        <w:rPr>
          <w:spacing w:val="-2"/>
        </w:rPr>
        <w:t xml:space="preserve"> </w:t>
      </w:r>
      <w:r>
        <w:t>of</w:t>
      </w:r>
      <w:r>
        <w:rPr>
          <w:spacing w:val="-1"/>
        </w:rPr>
        <w:t xml:space="preserve"> </w:t>
      </w:r>
      <w:r>
        <w:t>sustainability</w:t>
      </w:r>
      <w:r>
        <w:rPr>
          <w:spacing w:val="-2"/>
        </w:rPr>
        <w:t xml:space="preserve"> </w:t>
      </w:r>
      <w:r>
        <w:t>is</w:t>
      </w:r>
      <w:r>
        <w:rPr>
          <w:spacing w:val="-2"/>
        </w:rPr>
        <w:t xml:space="preserve"> </w:t>
      </w:r>
      <w:r>
        <w:t>embedded</w:t>
      </w:r>
      <w:r>
        <w:rPr>
          <w:spacing w:val="-1"/>
        </w:rPr>
        <w:t xml:space="preserve"> </w:t>
      </w:r>
      <w:r>
        <w:t>in</w:t>
      </w:r>
      <w:r>
        <w:rPr>
          <w:spacing w:val="-2"/>
        </w:rPr>
        <w:t xml:space="preserve"> </w:t>
      </w:r>
      <w:r>
        <w:t>our</w:t>
      </w:r>
      <w:r>
        <w:rPr>
          <w:spacing w:val="-1"/>
        </w:rPr>
        <w:t xml:space="preserve"> </w:t>
      </w:r>
      <w:r>
        <w:t>work</w:t>
      </w:r>
      <w:r>
        <w:rPr>
          <w:spacing w:val="-2"/>
        </w:rPr>
        <w:t xml:space="preserve"> </w:t>
      </w:r>
      <w:r>
        <w:t>practices</w:t>
      </w:r>
      <w:r>
        <w:rPr>
          <w:spacing w:val="-2"/>
        </w:rPr>
        <w:t xml:space="preserve"> </w:t>
      </w:r>
      <w:r>
        <w:t>in</w:t>
      </w:r>
      <w:r>
        <w:rPr>
          <w:spacing w:val="-1"/>
        </w:rPr>
        <w:t xml:space="preserve"> </w:t>
      </w:r>
      <w:r>
        <w:t>three</w:t>
      </w:r>
      <w:r>
        <w:rPr>
          <w:spacing w:val="-2"/>
        </w:rPr>
        <w:t xml:space="preserve"> </w:t>
      </w:r>
      <w:r>
        <w:t>key</w:t>
      </w:r>
      <w:r>
        <w:rPr>
          <w:spacing w:val="-1"/>
        </w:rPr>
        <w:t xml:space="preserve"> </w:t>
      </w:r>
      <w:r>
        <w:rPr>
          <w:spacing w:val="-2"/>
        </w:rPr>
        <w:t>areas:</w:t>
      </w:r>
    </w:p>
    <w:p w14:paraId="61A93D8F" w14:textId="77777777" w:rsidR="00AC6F3C" w:rsidRDefault="00AC6F3C">
      <w:pPr>
        <w:pStyle w:val="BodyText"/>
        <w:spacing w:before="6"/>
        <w:rPr>
          <w:sz w:val="23"/>
        </w:rPr>
      </w:pPr>
    </w:p>
    <w:p w14:paraId="34AB8039" w14:textId="77777777" w:rsidR="00AC6F3C" w:rsidRDefault="00570E88">
      <w:pPr>
        <w:pStyle w:val="Heading9"/>
      </w:pPr>
      <w:r>
        <w:t xml:space="preserve">Decreasing landfill </w:t>
      </w:r>
      <w:r>
        <w:rPr>
          <w:spacing w:val="-2"/>
        </w:rPr>
        <w:t>contributions</w:t>
      </w:r>
    </w:p>
    <w:p w14:paraId="3262EC6A" w14:textId="77777777" w:rsidR="00AC6F3C" w:rsidRDefault="00570E88">
      <w:pPr>
        <w:pStyle w:val="BodyText"/>
        <w:spacing w:before="176" w:line="249" w:lineRule="auto"/>
        <w:ind w:left="815" w:right="660"/>
        <w:jc w:val="both"/>
      </w:pPr>
      <w:r>
        <w:t>We</w:t>
      </w:r>
      <w:r>
        <w:rPr>
          <w:spacing w:val="-4"/>
        </w:rPr>
        <w:t xml:space="preserve"> </w:t>
      </w:r>
      <w:r>
        <w:t>continue</w:t>
      </w:r>
      <w:r>
        <w:rPr>
          <w:spacing w:val="-4"/>
        </w:rPr>
        <w:t xml:space="preserve"> </w:t>
      </w:r>
      <w:r>
        <w:t>to</w:t>
      </w:r>
      <w:r>
        <w:rPr>
          <w:spacing w:val="-4"/>
        </w:rPr>
        <w:t xml:space="preserve"> </w:t>
      </w:r>
      <w:r>
        <w:t>commit</w:t>
      </w:r>
      <w:r>
        <w:rPr>
          <w:spacing w:val="-4"/>
        </w:rPr>
        <w:t xml:space="preserve"> </w:t>
      </w:r>
      <w:r>
        <w:t>to</w:t>
      </w:r>
      <w:r>
        <w:rPr>
          <w:spacing w:val="-4"/>
        </w:rPr>
        <w:t xml:space="preserve"> </w:t>
      </w:r>
      <w:r>
        <w:t>protect</w:t>
      </w:r>
      <w:r>
        <w:rPr>
          <w:spacing w:val="-4"/>
        </w:rPr>
        <w:t xml:space="preserve"> </w:t>
      </w:r>
      <w:r>
        <w:t>the</w:t>
      </w:r>
      <w:r>
        <w:rPr>
          <w:spacing w:val="-4"/>
        </w:rPr>
        <w:t xml:space="preserve"> </w:t>
      </w:r>
      <w:r>
        <w:t>environment</w:t>
      </w:r>
      <w:r>
        <w:rPr>
          <w:spacing w:val="-4"/>
        </w:rPr>
        <w:t xml:space="preserve"> </w:t>
      </w:r>
      <w:r>
        <w:t>and</w:t>
      </w:r>
      <w:r>
        <w:rPr>
          <w:spacing w:val="-4"/>
        </w:rPr>
        <w:t xml:space="preserve"> </w:t>
      </w:r>
      <w:r>
        <w:t>reduce</w:t>
      </w:r>
      <w:r>
        <w:rPr>
          <w:spacing w:val="-4"/>
        </w:rPr>
        <w:t xml:space="preserve"> </w:t>
      </w:r>
      <w:r>
        <w:t>landfill</w:t>
      </w:r>
      <w:r>
        <w:rPr>
          <w:spacing w:val="-4"/>
        </w:rPr>
        <w:t xml:space="preserve"> </w:t>
      </w:r>
      <w:r>
        <w:t>through</w:t>
      </w:r>
      <w:r>
        <w:rPr>
          <w:spacing w:val="-4"/>
        </w:rPr>
        <w:t xml:space="preserve"> </w:t>
      </w:r>
      <w:r>
        <w:t>recycling</w:t>
      </w:r>
      <w:r>
        <w:rPr>
          <w:spacing w:val="-4"/>
        </w:rPr>
        <w:t xml:space="preserve"> </w:t>
      </w:r>
      <w:r>
        <w:t>office</w:t>
      </w:r>
      <w:r>
        <w:rPr>
          <w:spacing w:val="-4"/>
        </w:rPr>
        <w:t xml:space="preserve"> </w:t>
      </w:r>
      <w:r>
        <w:t>paper, toners and ink cartridges as well as computers, photocopiers and other office equipment.</w:t>
      </w:r>
    </w:p>
    <w:p w14:paraId="181472F4" w14:textId="77777777" w:rsidR="00AC6F3C" w:rsidRDefault="00AC6F3C">
      <w:pPr>
        <w:pStyle w:val="BodyText"/>
        <w:spacing w:before="9"/>
        <w:rPr>
          <w:sz w:val="22"/>
        </w:rPr>
      </w:pPr>
    </w:p>
    <w:p w14:paraId="638AC950" w14:textId="77777777" w:rsidR="00AC6F3C" w:rsidRDefault="00570E88">
      <w:pPr>
        <w:pStyle w:val="Heading9"/>
      </w:pPr>
      <w:r>
        <w:t>Lowering</w:t>
      </w:r>
      <w:r>
        <w:rPr>
          <w:spacing w:val="-5"/>
        </w:rPr>
        <w:t xml:space="preserve"> </w:t>
      </w:r>
      <w:r>
        <w:t>our</w:t>
      </w:r>
      <w:r>
        <w:rPr>
          <w:spacing w:val="-2"/>
        </w:rPr>
        <w:t xml:space="preserve"> </w:t>
      </w:r>
      <w:r>
        <w:t>energy</w:t>
      </w:r>
      <w:r>
        <w:rPr>
          <w:spacing w:val="-2"/>
        </w:rPr>
        <w:t xml:space="preserve"> consumption</w:t>
      </w:r>
    </w:p>
    <w:p w14:paraId="5E59F7A0" w14:textId="77777777" w:rsidR="00AC6F3C" w:rsidRDefault="00570E88">
      <w:pPr>
        <w:pStyle w:val="BodyText"/>
        <w:spacing w:before="176" w:line="249" w:lineRule="auto"/>
        <w:ind w:left="815" w:right="227"/>
        <w:jc w:val="both"/>
      </w:pPr>
      <w:r>
        <w:t>A</w:t>
      </w:r>
      <w:r>
        <w:rPr>
          <w:spacing w:val="-14"/>
        </w:rPr>
        <w:t xml:space="preserve"> </w:t>
      </w:r>
      <w:r>
        <w:t>strong</w:t>
      </w:r>
      <w:r>
        <w:rPr>
          <w:spacing w:val="-3"/>
        </w:rPr>
        <w:t xml:space="preserve"> </w:t>
      </w:r>
      <w:r>
        <w:t>focus</w:t>
      </w:r>
      <w:r>
        <w:rPr>
          <w:spacing w:val="-3"/>
        </w:rPr>
        <w:t xml:space="preserve"> </w:t>
      </w:r>
      <w:r>
        <w:t>remains</w:t>
      </w:r>
      <w:r>
        <w:rPr>
          <w:spacing w:val="-3"/>
        </w:rPr>
        <w:t xml:space="preserve"> </w:t>
      </w:r>
      <w:r>
        <w:t>on</w:t>
      </w:r>
      <w:r>
        <w:rPr>
          <w:spacing w:val="-3"/>
        </w:rPr>
        <w:t xml:space="preserve"> </w:t>
      </w:r>
      <w:r>
        <w:t>reducing</w:t>
      </w:r>
      <w:r>
        <w:rPr>
          <w:spacing w:val="-3"/>
        </w:rPr>
        <w:t xml:space="preserve"> </w:t>
      </w:r>
      <w:r>
        <w:t>energy</w:t>
      </w:r>
      <w:r>
        <w:rPr>
          <w:spacing w:val="-3"/>
        </w:rPr>
        <w:t xml:space="preserve"> </w:t>
      </w:r>
      <w:r>
        <w:t>consumption</w:t>
      </w:r>
      <w:r>
        <w:rPr>
          <w:spacing w:val="-3"/>
        </w:rPr>
        <w:t xml:space="preserve"> </w:t>
      </w:r>
      <w:r>
        <w:t>through</w:t>
      </w:r>
      <w:r>
        <w:rPr>
          <w:spacing w:val="-3"/>
        </w:rPr>
        <w:t xml:space="preserve"> </w:t>
      </w:r>
      <w:r>
        <w:t>the</w:t>
      </w:r>
      <w:r>
        <w:rPr>
          <w:spacing w:val="-3"/>
        </w:rPr>
        <w:t xml:space="preserve"> </w:t>
      </w:r>
      <w:r>
        <w:t>use</w:t>
      </w:r>
      <w:r>
        <w:rPr>
          <w:spacing w:val="-3"/>
        </w:rPr>
        <w:t xml:space="preserve"> </w:t>
      </w:r>
      <w:r>
        <w:t>of</w:t>
      </w:r>
      <w:r>
        <w:rPr>
          <w:spacing w:val="-3"/>
        </w:rPr>
        <w:t xml:space="preserve"> </w:t>
      </w:r>
      <w:r>
        <w:t>energy</w:t>
      </w:r>
      <w:r>
        <w:rPr>
          <w:spacing w:val="-3"/>
        </w:rPr>
        <w:t xml:space="preserve"> </w:t>
      </w:r>
      <w:r>
        <w:t>efficient</w:t>
      </w:r>
      <w:r>
        <w:rPr>
          <w:spacing w:val="-3"/>
        </w:rPr>
        <w:t xml:space="preserve"> </w:t>
      </w:r>
      <w:r>
        <w:t>lighting.</w:t>
      </w:r>
      <w:r>
        <w:rPr>
          <w:spacing w:val="-6"/>
        </w:rPr>
        <w:t xml:space="preserve"> </w:t>
      </w:r>
      <w:r>
        <w:t>This helps us reduce our power consumption.</w:t>
      </w:r>
    </w:p>
    <w:p w14:paraId="3C7D8EBD" w14:textId="77777777" w:rsidR="00AC6F3C" w:rsidRDefault="00AC6F3C">
      <w:pPr>
        <w:spacing w:line="249" w:lineRule="auto"/>
        <w:jc w:val="both"/>
        <w:sectPr w:rsidR="00AC6F3C">
          <w:headerReference w:type="default" r:id="rId184"/>
          <w:footerReference w:type="default" r:id="rId185"/>
          <w:pgSz w:w="11910" w:h="16840"/>
          <w:pgMar w:top="1140" w:right="1160" w:bottom="520" w:left="460" w:header="0" w:footer="336" w:gutter="0"/>
          <w:cols w:space="720"/>
        </w:sectPr>
      </w:pPr>
    </w:p>
    <w:p w14:paraId="37D9CBCB" w14:textId="77777777" w:rsidR="00AC6F3C" w:rsidRDefault="00570E88">
      <w:pPr>
        <w:pStyle w:val="Heading9"/>
        <w:spacing w:before="71"/>
      </w:pPr>
      <w:r>
        <w:lastRenderedPageBreak/>
        <w:t>Decreasing</w:t>
      </w:r>
      <w:r>
        <w:rPr>
          <w:spacing w:val="-1"/>
        </w:rPr>
        <w:t xml:space="preserve"> </w:t>
      </w:r>
      <w:r>
        <w:t>our</w:t>
      </w:r>
      <w:r>
        <w:rPr>
          <w:spacing w:val="-1"/>
        </w:rPr>
        <w:t xml:space="preserve"> </w:t>
      </w:r>
      <w:r>
        <w:t xml:space="preserve">carbon </w:t>
      </w:r>
      <w:r>
        <w:rPr>
          <w:spacing w:val="-2"/>
        </w:rPr>
        <w:t>footprint</w:t>
      </w:r>
    </w:p>
    <w:p w14:paraId="396BEA23" w14:textId="77777777" w:rsidR="00AC6F3C" w:rsidRDefault="00570E88">
      <w:pPr>
        <w:pStyle w:val="BodyText"/>
        <w:spacing w:before="176" w:line="249" w:lineRule="auto"/>
        <w:ind w:left="815" w:right="468"/>
      </w:pPr>
      <w:r>
        <w:t>QLS</w:t>
      </w:r>
      <w:r>
        <w:rPr>
          <w:spacing w:val="-2"/>
        </w:rPr>
        <w:t xml:space="preserve"> </w:t>
      </w:r>
      <w:r>
        <w:t>has</w:t>
      </w:r>
      <w:r>
        <w:rPr>
          <w:spacing w:val="-2"/>
        </w:rPr>
        <w:t xml:space="preserve"> </w:t>
      </w:r>
      <w:r>
        <w:t>always</w:t>
      </w:r>
      <w:r>
        <w:rPr>
          <w:spacing w:val="-2"/>
        </w:rPr>
        <w:t xml:space="preserve"> </w:t>
      </w:r>
      <w:r>
        <w:t>been</w:t>
      </w:r>
      <w:r>
        <w:rPr>
          <w:spacing w:val="-2"/>
        </w:rPr>
        <w:t xml:space="preserve"> </w:t>
      </w:r>
      <w:r>
        <w:t>committed</w:t>
      </w:r>
      <w:r>
        <w:rPr>
          <w:spacing w:val="-2"/>
        </w:rPr>
        <w:t xml:space="preserve"> </w:t>
      </w:r>
      <w:r>
        <w:t>to</w:t>
      </w:r>
      <w:r>
        <w:rPr>
          <w:spacing w:val="-2"/>
        </w:rPr>
        <w:t xml:space="preserve"> </w:t>
      </w:r>
      <w:r>
        <w:t>reducing</w:t>
      </w:r>
      <w:r>
        <w:rPr>
          <w:spacing w:val="-2"/>
        </w:rPr>
        <w:t xml:space="preserve"> </w:t>
      </w:r>
      <w:r>
        <w:t>food</w:t>
      </w:r>
      <w:r>
        <w:rPr>
          <w:spacing w:val="-2"/>
        </w:rPr>
        <w:t xml:space="preserve"> </w:t>
      </w:r>
      <w:r>
        <w:t>and</w:t>
      </w:r>
      <w:r>
        <w:rPr>
          <w:spacing w:val="-2"/>
        </w:rPr>
        <w:t xml:space="preserve"> </w:t>
      </w:r>
      <w:r>
        <w:t>beverage</w:t>
      </w:r>
      <w:r>
        <w:rPr>
          <w:spacing w:val="-2"/>
        </w:rPr>
        <w:t xml:space="preserve"> </w:t>
      </w:r>
      <w:r>
        <w:t>wastage</w:t>
      </w:r>
      <w:r>
        <w:rPr>
          <w:spacing w:val="-2"/>
        </w:rPr>
        <w:t xml:space="preserve"> </w:t>
      </w:r>
      <w:r>
        <w:t>through</w:t>
      </w:r>
      <w:r>
        <w:rPr>
          <w:spacing w:val="-2"/>
        </w:rPr>
        <w:t xml:space="preserve"> </w:t>
      </w:r>
      <w:r>
        <w:t>actively</w:t>
      </w:r>
      <w:r>
        <w:rPr>
          <w:spacing w:val="-2"/>
        </w:rPr>
        <w:t xml:space="preserve"> </w:t>
      </w:r>
      <w:r>
        <w:t>identifying areas of waste such as continuing to supply bottled beverages instead of poured beverages at the majority</w:t>
      </w:r>
      <w:r>
        <w:rPr>
          <w:spacing w:val="-3"/>
        </w:rPr>
        <w:t xml:space="preserve"> </w:t>
      </w:r>
      <w:r>
        <w:t>of</w:t>
      </w:r>
      <w:r>
        <w:rPr>
          <w:spacing w:val="-3"/>
        </w:rPr>
        <w:t xml:space="preserve"> </w:t>
      </w:r>
      <w:r>
        <w:t>our</w:t>
      </w:r>
      <w:r>
        <w:rPr>
          <w:spacing w:val="-3"/>
        </w:rPr>
        <w:t xml:space="preserve"> </w:t>
      </w:r>
      <w:r>
        <w:t>in-house</w:t>
      </w:r>
      <w:r>
        <w:rPr>
          <w:spacing w:val="-3"/>
        </w:rPr>
        <w:t xml:space="preserve"> </w:t>
      </w:r>
      <w:r>
        <w:t>events.</w:t>
      </w:r>
      <w:r>
        <w:rPr>
          <w:spacing w:val="-3"/>
        </w:rPr>
        <w:t xml:space="preserve"> </w:t>
      </w:r>
      <w:r>
        <w:t>We</w:t>
      </w:r>
      <w:r>
        <w:rPr>
          <w:spacing w:val="-3"/>
        </w:rPr>
        <w:t xml:space="preserve"> </w:t>
      </w:r>
      <w:r>
        <w:t>continue</w:t>
      </w:r>
      <w:r>
        <w:rPr>
          <w:spacing w:val="-3"/>
        </w:rPr>
        <w:t xml:space="preserve"> </w:t>
      </w:r>
      <w:r>
        <w:t>to</w:t>
      </w:r>
      <w:r>
        <w:rPr>
          <w:spacing w:val="-3"/>
        </w:rPr>
        <w:t xml:space="preserve"> </w:t>
      </w:r>
      <w:r>
        <w:t>source</w:t>
      </w:r>
      <w:r>
        <w:rPr>
          <w:spacing w:val="-3"/>
        </w:rPr>
        <w:t xml:space="preserve"> </w:t>
      </w:r>
      <w:r>
        <w:t>catering</w:t>
      </w:r>
      <w:r>
        <w:rPr>
          <w:spacing w:val="-3"/>
        </w:rPr>
        <w:t xml:space="preserve"> </w:t>
      </w:r>
      <w:r>
        <w:t>from</w:t>
      </w:r>
      <w:r>
        <w:rPr>
          <w:spacing w:val="-3"/>
        </w:rPr>
        <w:t xml:space="preserve"> </w:t>
      </w:r>
      <w:r>
        <w:t>local</w:t>
      </w:r>
      <w:r>
        <w:rPr>
          <w:spacing w:val="-3"/>
        </w:rPr>
        <w:t xml:space="preserve"> </w:t>
      </w:r>
      <w:r>
        <w:t>CBD</w:t>
      </w:r>
      <w:r>
        <w:rPr>
          <w:spacing w:val="-3"/>
        </w:rPr>
        <w:t xml:space="preserve"> </w:t>
      </w:r>
      <w:r>
        <w:t>suppliers</w:t>
      </w:r>
      <w:r>
        <w:rPr>
          <w:spacing w:val="-3"/>
        </w:rPr>
        <w:t xml:space="preserve"> </w:t>
      </w:r>
      <w:r>
        <w:t>who</w:t>
      </w:r>
      <w:r>
        <w:rPr>
          <w:spacing w:val="-3"/>
        </w:rPr>
        <w:t xml:space="preserve"> </w:t>
      </w:r>
      <w:r>
        <w:t>deliver on foot, to reduce carbon emissions.</w:t>
      </w:r>
    </w:p>
    <w:p w14:paraId="7C020DD0" w14:textId="77777777" w:rsidR="00AC6F3C" w:rsidRDefault="00AC6F3C">
      <w:pPr>
        <w:pStyle w:val="BodyText"/>
        <w:spacing w:before="3"/>
        <w:rPr>
          <w:sz w:val="31"/>
        </w:rPr>
      </w:pPr>
    </w:p>
    <w:p w14:paraId="75D8E13D" w14:textId="77777777" w:rsidR="00AC6F3C" w:rsidRDefault="00570E88">
      <w:pPr>
        <w:ind w:left="815"/>
        <w:rPr>
          <w:b/>
          <w:sz w:val="26"/>
        </w:rPr>
      </w:pPr>
      <w:r>
        <w:rPr>
          <w:b/>
          <w:sz w:val="26"/>
        </w:rPr>
        <w:t>Room</w:t>
      </w:r>
      <w:r>
        <w:rPr>
          <w:b/>
          <w:spacing w:val="-3"/>
          <w:sz w:val="26"/>
        </w:rPr>
        <w:t xml:space="preserve"> </w:t>
      </w:r>
      <w:r>
        <w:rPr>
          <w:b/>
          <w:spacing w:val="-4"/>
          <w:sz w:val="26"/>
        </w:rPr>
        <w:t>hire</w:t>
      </w:r>
    </w:p>
    <w:p w14:paraId="1C45EAF5" w14:textId="77777777" w:rsidR="00AC6F3C" w:rsidRDefault="00570E88">
      <w:pPr>
        <w:pStyle w:val="BodyText"/>
        <w:spacing w:before="167" w:line="249" w:lineRule="auto"/>
        <w:ind w:left="815" w:right="539"/>
      </w:pPr>
      <w:r>
        <w:t>Room Bookings for 2022-23 which included bookings for member, internal and corporate functions dropped</w:t>
      </w:r>
      <w:r>
        <w:rPr>
          <w:spacing w:val="-3"/>
        </w:rPr>
        <w:t xml:space="preserve"> </w:t>
      </w:r>
      <w:r>
        <w:t>to</w:t>
      </w:r>
      <w:r>
        <w:rPr>
          <w:spacing w:val="-3"/>
        </w:rPr>
        <w:t xml:space="preserve"> </w:t>
      </w:r>
      <w:r>
        <w:t>2,354</w:t>
      </w:r>
      <w:r>
        <w:rPr>
          <w:spacing w:val="-3"/>
        </w:rPr>
        <w:t xml:space="preserve"> </w:t>
      </w:r>
      <w:r>
        <w:t>from</w:t>
      </w:r>
      <w:r>
        <w:rPr>
          <w:spacing w:val="-3"/>
        </w:rPr>
        <w:t xml:space="preserve"> </w:t>
      </w:r>
      <w:r>
        <w:t>7,758</w:t>
      </w:r>
      <w:r>
        <w:rPr>
          <w:spacing w:val="-3"/>
        </w:rPr>
        <w:t xml:space="preserve"> </w:t>
      </w:r>
      <w:r>
        <w:t>the</w:t>
      </w:r>
      <w:r>
        <w:rPr>
          <w:spacing w:val="-3"/>
        </w:rPr>
        <w:t xml:space="preserve"> </w:t>
      </w:r>
      <w:r>
        <w:t>previous</w:t>
      </w:r>
      <w:r>
        <w:rPr>
          <w:spacing w:val="-3"/>
        </w:rPr>
        <w:t xml:space="preserve"> </w:t>
      </w:r>
      <w:r>
        <w:t>year.</w:t>
      </w:r>
      <w:r>
        <w:rPr>
          <w:spacing w:val="-7"/>
        </w:rPr>
        <w:t xml:space="preserve"> </w:t>
      </w:r>
      <w:r>
        <w:t>This</w:t>
      </w:r>
      <w:r>
        <w:rPr>
          <w:spacing w:val="-3"/>
        </w:rPr>
        <w:t xml:space="preserve"> </w:t>
      </w:r>
      <w:r>
        <w:t>reduction</w:t>
      </w:r>
      <w:r>
        <w:rPr>
          <w:spacing w:val="-3"/>
        </w:rPr>
        <w:t xml:space="preserve"> </w:t>
      </w:r>
      <w:r>
        <w:t>was</w:t>
      </w:r>
      <w:r>
        <w:rPr>
          <w:spacing w:val="-3"/>
        </w:rPr>
        <w:t xml:space="preserve"> </w:t>
      </w:r>
      <w:r>
        <w:t>due</w:t>
      </w:r>
      <w:r>
        <w:rPr>
          <w:spacing w:val="-3"/>
        </w:rPr>
        <w:t xml:space="preserve"> </w:t>
      </w:r>
      <w:r>
        <w:t>to</w:t>
      </w:r>
      <w:r>
        <w:rPr>
          <w:spacing w:val="-3"/>
        </w:rPr>
        <w:t xml:space="preserve"> </w:t>
      </w:r>
      <w:r>
        <w:t>the</w:t>
      </w:r>
      <w:r>
        <w:rPr>
          <w:spacing w:val="-3"/>
        </w:rPr>
        <w:t xml:space="preserve"> </w:t>
      </w:r>
      <w:r>
        <w:t>Refurbishment</w:t>
      </w:r>
      <w:r>
        <w:rPr>
          <w:spacing w:val="-3"/>
        </w:rPr>
        <w:t xml:space="preserve"> </w:t>
      </w:r>
      <w:r>
        <w:t>Project commencing on October 2022. The number of people that were hosted on Level 2 during 2022-23 was 15,846.</w:t>
      </w:r>
    </w:p>
    <w:p w14:paraId="41536DFA" w14:textId="77777777" w:rsidR="00AC6F3C" w:rsidRDefault="00570E88">
      <w:pPr>
        <w:pStyle w:val="BodyText"/>
        <w:spacing w:before="174" w:line="249" w:lineRule="auto"/>
        <w:ind w:left="815"/>
      </w:pPr>
      <w:r>
        <w:t>From</w:t>
      </w:r>
      <w:r>
        <w:rPr>
          <w:spacing w:val="-3"/>
        </w:rPr>
        <w:t xml:space="preserve"> </w:t>
      </w:r>
      <w:r>
        <w:t>October</w:t>
      </w:r>
      <w:r>
        <w:rPr>
          <w:spacing w:val="-3"/>
        </w:rPr>
        <w:t xml:space="preserve"> </w:t>
      </w:r>
      <w:r>
        <w:t>until</w:t>
      </w:r>
      <w:r>
        <w:rPr>
          <w:spacing w:val="-3"/>
        </w:rPr>
        <w:t xml:space="preserve"> </w:t>
      </w:r>
      <w:r>
        <w:t>end</w:t>
      </w:r>
      <w:r>
        <w:rPr>
          <w:spacing w:val="-3"/>
        </w:rPr>
        <w:t xml:space="preserve"> </w:t>
      </w:r>
      <w:r>
        <w:t>of</w:t>
      </w:r>
      <w:r>
        <w:rPr>
          <w:spacing w:val="-14"/>
        </w:rPr>
        <w:t xml:space="preserve"> </w:t>
      </w:r>
      <w:r>
        <w:t>April</w:t>
      </w:r>
      <w:r>
        <w:rPr>
          <w:spacing w:val="-3"/>
        </w:rPr>
        <w:t xml:space="preserve"> </w:t>
      </w:r>
      <w:r>
        <w:t>2023,</w:t>
      </w:r>
      <w:r>
        <w:rPr>
          <w:spacing w:val="-3"/>
        </w:rPr>
        <w:t xml:space="preserve"> </w:t>
      </w:r>
      <w:r>
        <w:t>bookable</w:t>
      </w:r>
      <w:r>
        <w:rPr>
          <w:spacing w:val="-3"/>
        </w:rPr>
        <w:t xml:space="preserve"> </w:t>
      </w:r>
      <w:r>
        <w:t>rooms</w:t>
      </w:r>
      <w:r>
        <w:rPr>
          <w:spacing w:val="-3"/>
        </w:rPr>
        <w:t xml:space="preserve"> </w:t>
      </w:r>
      <w:r>
        <w:t>were</w:t>
      </w:r>
      <w:r>
        <w:rPr>
          <w:spacing w:val="-3"/>
        </w:rPr>
        <w:t xml:space="preserve"> </w:t>
      </w:r>
      <w:r>
        <w:t>being</w:t>
      </w:r>
      <w:r>
        <w:rPr>
          <w:spacing w:val="-3"/>
        </w:rPr>
        <w:t xml:space="preserve"> </w:t>
      </w:r>
      <w:proofErr w:type="spellStart"/>
      <w:r>
        <w:t>utilised</w:t>
      </w:r>
      <w:proofErr w:type="spellEnd"/>
      <w:r>
        <w:rPr>
          <w:spacing w:val="-3"/>
        </w:rPr>
        <w:t xml:space="preserve"> </w:t>
      </w:r>
      <w:r>
        <w:t>to</w:t>
      </w:r>
      <w:r>
        <w:rPr>
          <w:spacing w:val="-3"/>
        </w:rPr>
        <w:t xml:space="preserve"> </w:t>
      </w:r>
      <w:r>
        <w:t>accommodate</w:t>
      </w:r>
      <w:r>
        <w:rPr>
          <w:spacing w:val="-3"/>
        </w:rPr>
        <w:t xml:space="preserve"> </w:t>
      </w:r>
      <w:r>
        <w:t>staff</w:t>
      </w:r>
      <w:r>
        <w:rPr>
          <w:spacing w:val="-3"/>
        </w:rPr>
        <w:t xml:space="preserve"> </w:t>
      </w:r>
      <w:r>
        <w:t>displaced from those floors undergoing refurbishment.</w:t>
      </w:r>
    </w:p>
    <w:p w14:paraId="38AEF9C5" w14:textId="77777777" w:rsidR="00AC6F3C" w:rsidRDefault="00570E88">
      <w:pPr>
        <w:pStyle w:val="BodyText"/>
        <w:spacing w:before="171" w:line="249" w:lineRule="auto"/>
        <w:ind w:left="815" w:right="468"/>
      </w:pPr>
      <w:r>
        <w:t>There</w:t>
      </w:r>
      <w:r>
        <w:rPr>
          <w:spacing w:val="-2"/>
        </w:rPr>
        <w:t xml:space="preserve"> </w:t>
      </w:r>
      <w:r>
        <w:t>was</w:t>
      </w:r>
      <w:r>
        <w:rPr>
          <w:spacing w:val="-2"/>
        </w:rPr>
        <w:t xml:space="preserve"> </w:t>
      </w:r>
      <w:r>
        <w:t>a</w:t>
      </w:r>
      <w:r>
        <w:rPr>
          <w:spacing w:val="-2"/>
        </w:rPr>
        <w:t xml:space="preserve"> </w:t>
      </w:r>
      <w:r>
        <w:t>rate</w:t>
      </w:r>
      <w:r>
        <w:rPr>
          <w:spacing w:val="-2"/>
        </w:rPr>
        <w:t xml:space="preserve"> </w:t>
      </w:r>
      <w:r>
        <w:t>increase</w:t>
      </w:r>
      <w:r>
        <w:rPr>
          <w:spacing w:val="-2"/>
        </w:rPr>
        <w:t xml:space="preserve"> </w:t>
      </w:r>
      <w:r>
        <w:t>for</w:t>
      </w:r>
      <w:r>
        <w:rPr>
          <w:spacing w:val="-2"/>
        </w:rPr>
        <w:t xml:space="preserve"> </w:t>
      </w:r>
      <w:r>
        <w:t>room</w:t>
      </w:r>
      <w:r>
        <w:rPr>
          <w:spacing w:val="-2"/>
        </w:rPr>
        <w:t xml:space="preserve"> </w:t>
      </w:r>
      <w:r>
        <w:t>hire</w:t>
      </w:r>
      <w:r>
        <w:rPr>
          <w:spacing w:val="-2"/>
        </w:rPr>
        <w:t xml:space="preserve"> </w:t>
      </w:r>
      <w:r>
        <w:t>as</w:t>
      </w:r>
      <w:r>
        <w:rPr>
          <w:spacing w:val="-2"/>
        </w:rPr>
        <w:t xml:space="preserve"> </w:t>
      </w:r>
      <w:r>
        <w:t>of</w:t>
      </w:r>
      <w:r>
        <w:rPr>
          <w:spacing w:val="-2"/>
        </w:rPr>
        <w:t xml:space="preserve"> </w:t>
      </w:r>
      <w:r>
        <w:t>1</w:t>
      </w:r>
      <w:r>
        <w:rPr>
          <w:spacing w:val="-2"/>
        </w:rPr>
        <w:t xml:space="preserve"> </w:t>
      </w:r>
      <w:r>
        <w:t>July</w:t>
      </w:r>
      <w:r>
        <w:rPr>
          <w:spacing w:val="-2"/>
        </w:rPr>
        <w:t xml:space="preserve"> </w:t>
      </w:r>
      <w:r>
        <w:t>2022.</w:t>
      </w:r>
      <w:r>
        <w:rPr>
          <w:spacing w:val="-6"/>
        </w:rPr>
        <w:t xml:space="preserve"> </w:t>
      </w:r>
      <w:r>
        <w:t>This</w:t>
      </w:r>
      <w:r>
        <w:rPr>
          <w:spacing w:val="-2"/>
        </w:rPr>
        <w:t xml:space="preserve"> </w:t>
      </w:r>
      <w:r>
        <w:t>increase</w:t>
      </w:r>
      <w:r>
        <w:rPr>
          <w:spacing w:val="-2"/>
        </w:rPr>
        <w:t xml:space="preserve"> </w:t>
      </w:r>
      <w:r>
        <w:t>maintained</w:t>
      </w:r>
      <w:r>
        <w:rPr>
          <w:spacing w:val="-2"/>
        </w:rPr>
        <w:t xml:space="preserve"> </w:t>
      </w:r>
      <w:r>
        <w:t>total</w:t>
      </w:r>
      <w:r>
        <w:rPr>
          <w:spacing w:val="-2"/>
        </w:rPr>
        <w:t xml:space="preserve"> </w:t>
      </w:r>
      <w:r>
        <w:t>revenue</w:t>
      </w:r>
      <w:r>
        <w:rPr>
          <w:spacing w:val="-2"/>
        </w:rPr>
        <w:t xml:space="preserve"> </w:t>
      </w:r>
      <w:r>
        <w:t>for room hire achieving $167,230 at 30 June 2023.</w:t>
      </w:r>
    </w:p>
    <w:p w14:paraId="2BB0CE43" w14:textId="77777777" w:rsidR="00AC6F3C" w:rsidRDefault="00570E88">
      <w:pPr>
        <w:pStyle w:val="BodyText"/>
        <w:spacing w:before="172" w:line="249" w:lineRule="auto"/>
        <w:ind w:left="815" w:right="468"/>
      </w:pPr>
      <w:r>
        <w:t>This</w:t>
      </w:r>
      <w:r>
        <w:rPr>
          <w:spacing w:val="-4"/>
        </w:rPr>
        <w:t xml:space="preserve"> </w:t>
      </w:r>
      <w:r>
        <w:t>increased</w:t>
      </w:r>
      <w:r>
        <w:rPr>
          <w:spacing w:val="-4"/>
        </w:rPr>
        <w:t xml:space="preserve"> </w:t>
      </w:r>
      <w:r>
        <w:t>revenue</w:t>
      </w:r>
      <w:r>
        <w:rPr>
          <w:spacing w:val="-4"/>
        </w:rPr>
        <w:t xml:space="preserve"> </w:t>
      </w:r>
      <w:r>
        <w:t>by</w:t>
      </w:r>
      <w:r>
        <w:rPr>
          <w:spacing w:val="-4"/>
        </w:rPr>
        <w:t xml:space="preserve"> </w:t>
      </w:r>
      <w:r>
        <w:t>approximately</w:t>
      </w:r>
      <w:r>
        <w:rPr>
          <w:spacing w:val="-4"/>
        </w:rPr>
        <w:t xml:space="preserve"> </w:t>
      </w:r>
      <w:r>
        <w:t>$11,039</w:t>
      </w:r>
      <w:r>
        <w:rPr>
          <w:spacing w:val="-4"/>
        </w:rPr>
        <w:t xml:space="preserve"> </w:t>
      </w:r>
      <w:r>
        <w:t>on</w:t>
      </w:r>
      <w:r>
        <w:rPr>
          <w:spacing w:val="-4"/>
        </w:rPr>
        <w:t xml:space="preserve"> </w:t>
      </w:r>
      <w:r>
        <w:t>2021-22</w:t>
      </w:r>
      <w:r>
        <w:rPr>
          <w:spacing w:val="-4"/>
        </w:rPr>
        <w:t xml:space="preserve"> </w:t>
      </w:r>
      <w:r>
        <w:t>results,</w:t>
      </w:r>
      <w:r>
        <w:rPr>
          <w:spacing w:val="-4"/>
        </w:rPr>
        <w:t xml:space="preserve"> </w:t>
      </w:r>
      <w:r>
        <w:t>despite</w:t>
      </w:r>
      <w:r>
        <w:rPr>
          <w:spacing w:val="-4"/>
        </w:rPr>
        <w:t xml:space="preserve"> </w:t>
      </w:r>
      <w:r>
        <w:t>service</w:t>
      </w:r>
      <w:r>
        <w:rPr>
          <w:spacing w:val="-4"/>
        </w:rPr>
        <w:t xml:space="preserve"> </w:t>
      </w:r>
      <w:r>
        <w:t>disruptions</w:t>
      </w:r>
      <w:r>
        <w:rPr>
          <w:spacing w:val="-4"/>
        </w:rPr>
        <w:t xml:space="preserve"> </w:t>
      </w:r>
      <w:r>
        <w:t>and fewer bookings.</w:t>
      </w:r>
    </w:p>
    <w:p w14:paraId="38E5B60F" w14:textId="77777777" w:rsidR="00AC6F3C" w:rsidRDefault="00AC6F3C">
      <w:pPr>
        <w:pStyle w:val="BodyText"/>
        <w:spacing w:before="1"/>
        <w:rPr>
          <w:sz w:val="31"/>
        </w:rPr>
      </w:pPr>
    </w:p>
    <w:p w14:paraId="5F862F7E" w14:textId="77777777" w:rsidR="00AC6F3C" w:rsidRDefault="00570E88">
      <w:pPr>
        <w:ind w:left="815"/>
        <w:rPr>
          <w:b/>
          <w:sz w:val="26"/>
        </w:rPr>
      </w:pPr>
      <w:r>
        <w:rPr>
          <w:b/>
          <w:sz w:val="26"/>
        </w:rPr>
        <w:t>Our</w:t>
      </w:r>
      <w:r>
        <w:rPr>
          <w:b/>
          <w:spacing w:val="-5"/>
          <w:sz w:val="26"/>
        </w:rPr>
        <w:t xml:space="preserve"> </w:t>
      </w:r>
      <w:r>
        <w:rPr>
          <w:b/>
          <w:sz w:val="26"/>
        </w:rPr>
        <w:t>Corporate</w:t>
      </w:r>
      <w:r>
        <w:rPr>
          <w:b/>
          <w:spacing w:val="-5"/>
          <w:sz w:val="26"/>
        </w:rPr>
        <w:t xml:space="preserve"> </w:t>
      </w:r>
      <w:r>
        <w:rPr>
          <w:b/>
          <w:spacing w:val="-2"/>
          <w:sz w:val="26"/>
        </w:rPr>
        <w:t>Structure</w:t>
      </w:r>
    </w:p>
    <w:p w14:paraId="39D8F101" w14:textId="77777777" w:rsidR="00AC6F3C" w:rsidRDefault="00570E88">
      <w:pPr>
        <w:pStyle w:val="BodyText"/>
        <w:spacing w:before="167"/>
        <w:ind w:left="815"/>
      </w:pPr>
      <w:r>
        <w:t>In</w:t>
      </w:r>
      <w:r>
        <w:rPr>
          <w:spacing w:val="-5"/>
        </w:rPr>
        <w:t xml:space="preserve"> </w:t>
      </w:r>
      <w:r>
        <w:t>this</w:t>
      </w:r>
      <w:r>
        <w:rPr>
          <w:spacing w:val="-3"/>
        </w:rPr>
        <w:t xml:space="preserve"> </w:t>
      </w:r>
      <w:r>
        <w:t>financial</w:t>
      </w:r>
      <w:r>
        <w:rPr>
          <w:spacing w:val="-3"/>
        </w:rPr>
        <w:t xml:space="preserve"> </w:t>
      </w:r>
      <w:r>
        <w:t>year,</w:t>
      </w:r>
      <w:r>
        <w:rPr>
          <w:spacing w:val="-3"/>
        </w:rPr>
        <w:t xml:space="preserve"> </w:t>
      </w:r>
      <w:r>
        <w:t>there</w:t>
      </w:r>
      <w:r>
        <w:rPr>
          <w:spacing w:val="-3"/>
        </w:rPr>
        <w:t xml:space="preserve"> </w:t>
      </w:r>
      <w:r>
        <w:t>are</w:t>
      </w:r>
      <w:r>
        <w:rPr>
          <w:spacing w:val="-3"/>
        </w:rPr>
        <w:t xml:space="preserve"> </w:t>
      </w:r>
      <w:r>
        <w:t>eight</w:t>
      </w:r>
      <w:r>
        <w:rPr>
          <w:spacing w:val="-3"/>
        </w:rPr>
        <w:t xml:space="preserve"> </w:t>
      </w:r>
      <w:r>
        <w:t>departments</w:t>
      </w:r>
      <w:r>
        <w:rPr>
          <w:spacing w:val="-3"/>
        </w:rPr>
        <w:t xml:space="preserve"> </w:t>
      </w:r>
      <w:r>
        <w:t>that</w:t>
      </w:r>
      <w:r>
        <w:rPr>
          <w:spacing w:val="-3"/>
        </w:rPr>
        <w:t xml:space="preserve"> </w:t>
      </w:r>
      <w:r>
        <w:t>report</w:t>
      </w:r>
      <w:r>
        <w:rPr>
          <w:spacing w:val="-3"/>
        </w:rPr>
        <w:t xml:space="preserve"> </w:t>
      </w:r>
      <w:r>
        <w:t>to</w:t>
      </w:r>
      <w:r>
        <w:rPr>
          <w:spacing w:val="-3"/>
        </w:rPr>
        <w:t xml:space="preserve"> </w:t>
      </w:r>
      <w:r>
        <w:t>QLS’s</w:t>
      </w:r>
      <w:r>
        <w:rPr>
          <w:spacing w:val="-3"/>
        </w:rPr>
        <w:t xml:space="preserve"> </w:t>
      </w:r>
      <w:r>
        <w:t>Chief</w:t>
      </w:r>
      <w:r>
        <w:rPr>
          <w:spacing w:val="-3"/>
        </w:rPr>
        <w:t xml:space="preserve"> </w:t>
      </w:r>
      <w:r>
        <w:t>Executive</w:t>
      </w:r>
      <w:r>
        <w:rPr>
          <w:spacing w:val="-3"/>
        </w:rPr>
        <w:t xml:space="preserve"> </w:t>
      </w:r>
      <w:r>
        <w:rPr>
          <w:spacing w:val="-2"/>
        </w:rPr>
        <w:t>Officer:</w:t>
      </w:r>
    </w:p>
    <w:p w14:paraId="52A29358" w14:textId="77777777" w:rsidR="00AC6F3C" w:rsidRDefault="00570E88">
      <w:pPr>
        <w:pStyle w:val="ListParagraph"/>
        <w:numPr>
          <w:ilvl w:val="0"/>
          <w:numId w:val="37"/>
        </w:numPr>
        <w:tabs>
          <w:tab w:val="left" w:pos="1155"/>
        </w:tabs>
        <w:ind w:hanging="340"/>
        <w:rPr>
          <w:sz w:val="20"/>
        </w:rPr>
      </w:pPr>
      <w:r>
        <w:rPr>
          <w:b/>
          <w:sz w:val="20"/>
        </w:rPr>
        <w:t>Legal:</w:t>
      </w:r>
      <w:r>
        <w:rPr>
          <w:b/>
          <w:spacing w:val="-3"/>
          <w:sz w:val="20"/>
        </w:rPr>
        <w:t xml:space="preserve"> </w:t>
      </w:r>
      <w:r>
        <w:rPr>
          <w:sz w:val="20"/>
        </w:rPr>
        <w:t>Provides</w:t>
      </w:r>
      <w:r>
        <w:rPr>
          <w:spacing w:val="-3"/>
          <w:sz w:val="20"/>
        </w:rPr>
        <w:t xml:space="preserve"> </w:t>
      </w:r>
      <w:r>
        <w:rPr>
          <w:sz w:val="20"/>
        </w:rPr>
        <w:t>in-house</w:t>
      </w:r>
      <w:r>
        <w:rPr>
          <w:spacing w:val="-3"/>
          <w:sz w:val="20"/>
        </w:rPr>
        <w:t xml:space="preserve"> </w:t>
      </w:r>
      <w:r>
        <w:rPr>
          <w:sz w:val="20"/>
        </w:rPr>
        <w:t>legal</w:t>
      </w:r>
      <w:r>
        <w:rPr>
          <w:spacing w:val="-2"/>
          <w:sz w:val="20"/>
        </w:rPr>
        <w:t xml:space="preserve"> advice.</w:t>
      </w:r>
    </w:p>
    <w:p w14:paraId="41FB8AF5" w14:textId="77777777" w:rsidR="00AC6F3C" w:rsidRDefault="00570E88">
      <w:pPr>
        <w:pStyle w:val="ListParagraph"/>
        <w:numPr>
          <w:ilvl w:val="0"/>
          <w:numId w:val="37"/>
        </w:numPr>
        <w:tabs>
          <w:tab w:val="left" w:pos="1155"/>
        </w:tabs>
        <w:spacing w:before="181" w:line="249" w:lineRule="auto"/>
        <w:ind w:right="424"/>
        <w:rPr>
          <w:sz w:val="20"/>
        </w:rPr>
      </w:pPr>
      <w:r>
        <w:rPr>
          <w:b/>
          <w:sz w:val="20"/>
        </w:rPr>
        <w:t>Membership</w:t>
      </w:r>
      <w:r>
        <w:rPr>
          <w:b/>
          <w:spacing w:val="-4"/>
          <w:sz w:val="20"/>
        </w:rPr>
        <w:t xml:space="preserve"> </w:t>
      </w:r>
      <w:r>
        <w:rPr>
          <w:b/>
          <w:sz w:val="20"/>
        </w:rPr>
        <w:t>and</w:t>
      </w:r>
      <w:r>
        <w:rPr>
          <w:b/>
          <w:spacing w:val="-4"/>
          <w:sz w:val="20"/>
        </w:rPr>
        <w:t xml:space="preserve"> </w:t>
      </w:r>
      <w:r>
        <w:rPr>
          <w:b/>
          <w:sz w:val="20"/>
        </w:rPr>
        <w:t>Engagement:</w:t>
      </w:r>
      <w:r>
        <w:rPr>
          <w:b/>
          <w:spacing w:val="-5"/>
          <w:sz w:val="20"/>
        </w:rPr>
        <w:t xml:space="preserve"> </w:t>
      </w:r>
      <w:r>
        <w:rPr>
          <w:sz w:val="20"/>
        </w:rPr>
        <w:t>Provides</w:t>
      </w:r>
      <w:r>
        <w:rPr>
          <w:spacing w:val="-4"/>
          <w:sz w:val="20"/>
        </w:rPr>
        <w:t xml:space="preserve"> </w:t>
      </w:r>
      <w:r>
        <w:rPr>
          <w:sz w:val="20"/>
        </w:rPr>
        <w:t>marketing,</w:t>
      </w:r>
      <w:r>
        <w:rPr>
          <w:spacing w:val="-4"/>
          <w:sz w:val="20"/>
        </w:rPr>
        <w:t xml:space="preserve"> </w:t>
      </w:r>
      <w:r>
        <w:rPr>
          <w:sz w:val="20"/>
        </w:rPr>
        <w:t>media</w:t>
      </w:r>
      <w:r>
        <w:rPr>
          <w:spacing w:val="-4"/>
          <w:sz w:val="20"/>
        </w:rPr>
        <w:t xml:space="preserve"> </w:t>
      </w:r>
      <w:r>
        <w:rPr>
          <w:sz w:val="20"/>
        </w:rPr>
        <w:t>and</w:t>
      </w:r>
      <w:r>
        <w:rPr>
          <w:spacing w:val="-4"/>
          <w:sz w:val="20"/>
        </w:rPr>
        <w:t xml:space="preserve"> </w:t>
      </w:r>
      <w:r>
        <w:rPr>
          <w:sz w:val="20"/>
        </w:rPr>
        <w:t>communications</w:t>
      </w:r>
      <w:r>
        <w:rPr>
          <w:spacing w:val="-4"/>
          <w:sz w:val="20"/>
        </w:rPr>
        <w:t xml:space="preserve"> </w:t>
      </w:r>
      <w:r>
        <w:rPr>
          <w:sz w:val="20"/>
        </w:rPr>
        <w:t>services</w:t>
      </w:r>
      <w:r>
        <w:rPr>
          <w:spacing w:val="-4"/>
          <w:sz w:val="20"/>
        </w:rPr>
        <w:t xml:space="preserve"> </w:t>
      </w:r>
      <w:r>
        <w:rPr>
          <w:sz w:val="20"/>
        </w:rPr>
        <w:t>with</w:t>
      </w:r>
      <w:r>
        <w:rPr>
          <w:spacing w:val="-4"/>
          <w:sz w:val="20"/>
        </w:rPr>
        <w:t xml:space="preserve"> </w:t>
      </w:r>
      <w:r>
        <w:rPr>
          <w:sz w:val="20"/>
        </w:rPr>
        <w:t>an in-house marketing and communications team, design team, partnerships and growth team and events team.</w:t>
      </w:r>
    </w:p>
    <w:p w14:paraId="6A0EB9BC" w14:textId="77777777" w:rsidR="00AC6F3C" w:rsidRDefault="00570E88">
      <w:pPr>
        <w:pStyle w:val="ListParagraph"/>
        <w:numPr>
          <w:ilvl w:val="0"/>
          <w:numId w:val="37"/>
        </w:numPr>
        <w:tabs>
          <w:tab w:val="left" w:pos="1155"/>
        </w:tabs>
        <w:spacing w:before="172" w:line="249" w:lineRule="auto"/>
        <w:ind w:right="230"/>
        <w:rPr>
          <w:sz w:val="20"/>
        </w:rPr>
      </w:pPr>
      <w:r>
        <w:rPr>
          <w:b/>
          <w:sz w:val="20"/>
        </w:rPr>
        <w:t xml:space="preserve">Regulation: </w:t>
      </w:r>
      <w:r>
        <w:rPr>
          <w:sz w:val="20"/>
        </w:rPr>
        <w:t>Oversees QLS’s regulatory arm in trust account investigations, external interventions, management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Legal</w:t>
      </w:r>
      <w:r>
        <w:rPr>
          <w:spacing w:val="-3"/>
          <w:sz w:val="20"/>
        </w:rPr>
        <w:t xml:space="preserve"> </w:t>
      </w:r>
      <w:r>
        <w:rPr>
          <w:sz w:val="20"/>
        </w:rPr>
        <w:t>Practitioners’</w:t>
      </w:r>
      <w:r>
        <w:rPr>
          <w:spacing w:val="-11"/>
          <w:sz w:val="20"/>
        </w:rPr>
        <w:t xml:space="preserve"> </w:t>
      </w:r>
      <w:r>
        <w:rPr>
          <w:sz w:val="20"/>
        </w:rPr>
        <w:t>Fidelity</w:t>
      </w:r>
      <w:r>
        <w:rPr>
          <w:spacing w:val="-3"/>
          <w:sz w:val="20"/>
        </w:rPr>
        <w:t xml:space="preserve"> </w:t>
      </w:r>
      <w:r>
        <w:rPr>
          <w:sz w:val="20"/>
        </w:rPr>
        <w:t>Guarantee</w:t>
      </w:r>
      <w:r>
        <w:rPr>
          <w:spacing w:val="-3"/>
          <w:sz w:val="20"/>
        </w:rPr>
        <w:t xml:space="preserve"> </w:t>
      </w:r>
      <w:r>
        <w:rPr>
          <w:sz w:val="20"/>
        </w:rPr>
        <w:t>Fund,</w:t>
      </w:r>
      <w:r>
        <w:rPr>
          <w:spacing w:val="-3"/>
          <w:sz w:val="20"/>
        </w:rPr>
        <w:t xml:space="preserve"> </w:t>
      </w:r>
      <w:proofErr w:type="spellStart"/>
      <w:r>
        <w:rPr>
          <w:sz w:val="20"/>
        </w:rPr>
        <w:t>practising</w:t>
      </w:r>
      <w:proofErr w:type="spellEnd"/>
      <w:r>
        <w:rPr>
          <w:spacing w:val="-3"/>
          <w:sz w:val="20"/>
        </w:rPr>
        <w:t xml:space="preserve"> </w:t>
      </w:r>
      <w:r>
        <w:rPr>
          <w:sz w:val="20"/>
        </w:rPr>
        <w:t>certificates,</w:t>
      </w:r>
      <w:r>
        <w:rPr>
          <w:spacing w:val="-3"/>
          <w:sz w:val="20"/>
        </w:rPr>
        <w:t xml:space="preserve"> </w:t>
      </w:r>
      <w:r>
        <w:rPr>
          <w:sz w:val="20"/>
        </w:rPr>
        <w:t>Records</w:t>
      </w:r>
      <w:r>
        <w:rPr>
          <w:spacing w:val="-3"/>
          <w:sz w:val="20"/>
        </w:rPr>
        <w:t xml:space="preserve"> </w:t>
      </w:r>
      <w:r>
        <w:rPr>
          <w:sz w:val="20"/>
        </w:rPr>
        <w:t>and Member Services as well as supporting the Legal Practitioners Admissions Board.</w:t>
      </w:r>
    </w:p>
    <w:p w14:paraId="51F84E3E" w14:textId="77777777" w:rsidR="00AC6F3C" w:rsidRDefault="00570E88">
      <w:pPr>
        <w:pStyle w:val="ListParagraph"/>
        <w:numPr>
          <w:ilvl w:val="0"/>
          <w:numId w:val="37"/>
        </w:numPr>
        <w:tabs>
          <w:tab w:val="left" w:pos="1155"/>
        </w:tabs>
        <w:spacing w:before="172"/>
        <w:ind w:hanging="340"/>
        <w:rPr>
          <w:sz w:val="20"/>
        </w:rPr>
      </w:pPr>
      <w:r>
        <w:rPr>
          <w:b/>
          <w:sz w:val="20"/>
        </w:rPr>
        <w:t>Finance</w:t>
      </w:r>
      <w:r>
        <w:rPr>
          <w:b/>
          <w:spacing w:val="-5"/>
          <w:sz w:val="20"/>
        </w:rPr>
        <w:t xml:space="preserve"> </w:t>
      </w:r>
      <w:r>
        <w:rPr>
          <w:b/>
          <w:sz w:val="20"/>
        </w:rPr>
        <w:t>and</w:t>
      </w:r>
      <w:r>
        <w:rPr>
          <w:b/>
          <w:spacing w:val="-2"/>
          <w:sz w:val="20"/>
        </w:rPr>
        <w:t xml:space="preserve"> </w:t>
      </w:r>
      <w:r>
        <w:rPr>
          <w:b/>
          <w:sz w:val="20"/>
        </w:rPr>
        <w:t>Facilities:</w:t>
      </w:r>
      <w:r>
        <w:rPr>
          <w:b/>
          <w:spacing w:val="-2"/>
          <w:sz w:val="20"/>
        </w:rPr>
        <w:t xml:space="preserve"> </w:t>
      </w:r>
      <w:r>
        <w:rPr>
          <w:sz w:val="20"/>
        </w:rPr>
        <w:t>Oversees</w:t>
      </w:r>
      <w:r>
        <w:rPr>
          <w:spacing w:val="-2"/>
          <w:sz w:val="20"/>
        </w:rPr>
        <w:t xml:space="preserve"> </w:t>
      </w:r>
      <w:r>
        <w:rPr>
          <w:sz w:val="20"/>
        </w:rPr>
        <w:t>finances</w:t>
      </w:r>
      <w:r>
        <w:rPr>
          <w:spacing w:val="-2"/>
          <w:sz w:val="20"/>
        </w:rPr>
        <w:t xml:space="preserve"> </w:t>
      </w:r>
      <w:r>
        <w:rPr>
          <w:sz w:val="20"/>
        </w:rPr>
        <w:t>and</w:t>
      </w:r>
      <w:r>
        <w:rPr>
          <w:spacing w:val="-2"/>
          <w:sz w:val="20"/>
        </w:rPr>
        <w:t xml:space="preserve"> </w:t>
      </w:r>
      <w:r>
        <w:rPr>
          <w:sz w:val="20"/>
        </w:rPr>
        <w:t>in-house</w:t>
      </w:r>
      <w:r>
        <w:rPr>
          <w:spacing w:val="-2"/>
          <w:sz w:val="20"/>
        </w:rPr>
        <w:t xml:space="preserve"> facilities.</w:t>
      </w:r>
    </w:p>
    <w:p w14:paraId="3DDE7E69" w14:textId="77777777" w:rsidR="00AC6F3C" w:rsidRDefault="00570E88">
      <w:pPr>
        <w:pStyle w:val="ListParagraph"/>
        <w:numPr>
          <w:ilvl w:val="0"/>
          <w:numId w:val="37"/>
        </w:numPr>
        <w:tabs>
          <w:tab w:val="left" w:pos="1155"/>
        </w:tabs>
        <w:spacing w:line="249" w:lineRule="auto"/>
        <w:ind w:right="282"/>
        <w:rPr>
          <w:sz w:val="20"/>
        </w:rPr>
      </w:pPr>
      <w:r>
        <w:rPr>
          <w:b/>
          <w:sz w:val="20"/>
        </w:rPr>
        <w:t>Information</w:t>
      </w:r>
      <w:r>
        <w:rPr>
          <w:b/>
          <w:spacing w:val="-5"/>
          <w:sz w:val="20"/>
        </w:rPr>
        <w:t xml:space="preserve"> </w:t>
      </w:r>
      <w:r>
        <w:rPr>
          <w:b/>
          <w:sz w:val="20"/>
        </w:rPr>
        <w:t>Management</w:t>
      </w:r>
      <w:r>
        <w:rPr>
          <w:b/>
          <w:spacing w:val="-5"/>
          <w:sz w:val="20"/>
        </w:rPr>
        <w:t xml:space="preserve"> </w:t>
      </w:r>
      <w:r>
        <w:rPr>
          <w:b/>
          <w:sz w:val="20"/>
        </w:rPr>
        <w:t>and</w:t>
      </w:r>
      <w:r>
        <w:rPr>
          <w:b/>
          <w:spacing w:val="-5"/>
          <w:sz w:val="20"/>
        </w:rPr>
        <w:t xml:space="preserve"> </w:t>
      </w:r>
      <w:r>
        <w:rPr>
          <w:b/>
          <w:sz w:val="20"/>
        </w:rPr>
        <w:t>Technology:</w:t>
      </w:r>
      <w:r>
        <w:rPr>
          <w:b/>
          <w:spacing w:val="-6"/>
          <w:sz w:val="20"/>
        </w:rPr>
        <w:t xml:space="preserve"> </w:t>
      </w:r>
      <w:r>
        <w:rPr>
          <w:sz w:val="20"/>
        </w:rPr>
        <w:t>Oversees</w:t>
      </w:r>
      <w:r>
        <w:rPr>
          <w:spacing w:val="-5"/>
          <w:sz w:val="20"/>
        </w:rPr>
        <w:t xml:space="preserve"> </w:t>
      </w:r>
      <w:r>
        <w:rPr>
          <w:sz w:val="20"/>
        </w:rPr>
        <w:t>the</w:t>
      </w:r>
      <w:r>
        <w:rPr>
          <w:spacing w:val="-5"/>
          <w:sz w:val="20"/>
        </w:rPr>
        <w:t xml:space="preserve"> </w:t>
      </w:r>
      <w:r>
        <w:rPr>
          <w:sz w:val="20"/>
        </w:rPr>
        <w:t>management</w:t>
      </w:r>
      <w:r>
        <w:rPr>
          <w:spacing w:val="-5"/>
          <w:sz w:val="20"/>
        </w:rPr>
        <w:t xml:space="preserve"> </w:t>
      </w:r>
      <w:r>
        <w:rPr>
          <w:sz w:val="20"/>
        </w:rPr>
        <w:t>of</w:t>
      </w:r>
      <w:r>
        <w:rPr>
          <w:spacing w:val="-5"/>
          <w:sz w:val="20"/>
        </w:rPr>
        <w:t xml:space="preserve"> </w:t>
      </w:r>
      <w:r>
        <w:rPr>
          <w:sz w:val="20"/>
        </w:rPr>
        <w:t>information,</w:t>
      </w:r>
      <w:r>
        <w:rPr>
          <w:spacing w:val="-5"/>
          <w:sz w:val="20"/>
        </w:rPr>
        <w:t xml:space="preserve"> </w:t>
      </w:r>
      <w:r>
        <w:rPr>
          <w:sz w:val="20"/>
        </w:rPr>
        <w:t>databases, information systems, associated business processes and IT.</w:t>
      </w:r>
    </w:p>
    <w:p w14:paraId="1BA44C7A" w14:textId="77777777" w:rsidR="00AC6F3C" w:rsidRDefault="00570E88">
      <w:pPr>
        <w:pStyle w:val="ListParagraph"/>
        <w:numPr>
          <w:ilvl w:val="0"/>
          <w:numId w:val="37"/>
        </w:numPr>
        <w:tabs>
          <w:tab w:val="left" w:pos="1155"/>
        </w:tabs>
        <w:spacing w:before="172" w:line="249" w:lineRule="auto"/>
        <w:ind w:right="197"/>
        <w:rPr>
          <w:sz w:val="20"/>
        </w:rPr>
      </w:pPr>
      <w:r>
        <w:rPr>
          <w:b/>
          <w:sz w:val="20"/>
        </w:rPr>
        <w:t xml:space="preserve">Advocacy, Guidance and Governance: </w:t>
      </w:r>
      <w:r>
        <w:rPr>
          <w:sz w:val="20"/>
        </w:rPr>
        <w:t>Advocates for QLS and the profession through submissions, public hearings, consultation and updates to the profession, oversees the QLS’s reach in mainstream media through public comment, speeches and media releases and includes the office of the secretariat which oversees the governance of QLS, including risk management, insurance and implementation</w:t>
      </w:r>
      <w:r>
        <w:rPr>
          <w:spacing w:val="-3"/>
          <w:sz w:val="20"/>
        </w:rPr>
        <w:t xml:space="preserve"> </w:t>
      </w:r>
      <w:r>
        <w:rPr>
          <w:sz w:val="20"/>
        </w:rPr>
        <w:t>of</w:t>
      </w:r>
      <w:r>
        <w:rPr>
          <w:spacing w:val="-3"/>
          <w:sz w:val="20"/>
        </w:rPr>
        <w:t xml:space="preserve"> </w:t>
      </w:r>
      <w:r>
        <w:rPr>
          <w:sz w:val="20"/>
        </w:rPr>
        <w:t>QLS’s</w:t>
      </w:r>
      <w:r>
        <w:rPr>
          <w:spacing w:val="-3"/>
          <w:sz w:val="20"/>
        </w:rPr>
        <w:t xml:space="preserve"> </w:t>
      </w:r>
      <w:r>
        <w:rPr>
          <w:sz w:val="20"/>
        </w:rPr>
        <w:t>First</w:t>
      </w:r>
      <w:r>
        <w:rPr>
          <w:spacing w:val="-3"/>
          <w:sz w:val="20"/>
        </w:rPr>
        <w:t xml:space="preserve"> </w:t>
      </w:r>
      <w:r>
        <w:rPr>
          <w:sz w:val="20"/>
        </w:rPr>
        <w:t>Nations</w:t>
      </w:r>
      <w:r>
        <w:rPr>
          <w:spacing w:val="-3"/>
          <w:sz w:val="20"/>
        </w:rPr>
        <w:t xml:space="preserve"> </w:t>
      </w:r>
      <w:r>
        <w:rPr>
          <w:sz w:val="20"/>
        </w:rPr>
        <w:t>Cultural</w:t>
      </w:r>
      <w:r>
        <w:rPr>
          <w:spacing w:val="-3"/>
          <w:sz w:val="20"/>
        </w:rPr>
        <w:t xml:space="preserve"> </w:t>
      </w:r>
      <w:r>
        <w:rPr>
          <w:sz w:val="20"/>
        </w:rPr>
        <w:t>commitments.</w:t>
      </w:r>
      <w:r>
        <w:rPr>
          <w:spacing w:val="-7"/>
          <w:sz w:val="20"/>
        </w:rPr>
        <w:t xml:space="preserve"> </w:t>
      </w:r>
      <w:r>
        <w:rPr>
          <w:sz w:val="20"/>
        </w:rPr>
        <w:t>The</w:t>
      </w:r>
      <w:r>
        <w:rPr>
          <w:spacing w:val="-3"/>
          <w:sz w:val="20"/>
        </w:rPr>
        <w:t xml:space="preserve"> </w:t>
      </w:r>
      <w:r>
        <w:rPr>
          <w:sz w:val="20"/>
        </w:rPr>
        <w:t>guidance</w:t>
      </w:r>
      <w:r>
        <w:rPr>
          <w:spacing w:val="-3"/>
          <w:sz w:val="20"/>
        </w:rPr>
        <w:t xml:space="preserve"> </w:t>
      </w:r>
      <w:r>
        <w:rPr>
          <w:sz w:val="20"/>
        </w:rPr>
        <w:t>arm</w:t>
      </w:r>
      <w:r>
        <w:rPr>
          <w:spacing w:val="-3"/>
          <w:sz w:val="20"/>
        </w:rPr>
        <w:t xml:space="preserve"> </w:t>
      </w:r>
      <w:r>
        <w:rPr>
          <w:sz w:val="20"/>
        </w:rPr>
        <w:t>provides</w:t>
      </w:r>
      <w:r>
        <w:rPr>
          <w:spacing w:val="-3"/>
          <w:sz w:val="20"/>
        </w:rPr>
        <w:t xml:space="preserve"> </w:t>
      </w:r>
      <w:r>
        <w:rPr>
          <w:sz w:val="20"/>
        </w:rPr>
        <w:t>legal</w:t>
      </w:r>
      <w:r>
        <w:rPr>
          <w:spacing w:val="-3"/>
          <w:sz w:val="20"/>
        </w:rPr>
        <w:t xml:space="preserve"> </w:t>
      </w:r>
      <w:r>
        <w:rPr>
          <w:sz w:val="20"/>
        </w:rPr>
        <w:t>ethics and practice support guidance and ethical legal education to QLS members.</w:t>
      </w:r>
    </w:p>
    <w:p w14:paraId="09169EFE" w14:textId="77777777" w:rsidR="00AC6F3C" w:rsidRDefault="00570E88">
      <w:pPr>
        <w:pStyle w:val="ListParagraph"/>
        <w:numPr>
          <w:ilvl w:val="0"/>
          <w:numId w:val="37"/>
        </w:numPr>
        <w:tabs>
          <w:tab w:val="left" w:pos="1155"/>
        </w:tabs>
        <w:spacing w:before="175" w:line="249" w:lineRule="auto"/>
        <w:ind w:right="334"/>
        <w:rPr>
          <w:sz w:val="20"/>
        </w:rPr>
      </w:pPr>
      <w:r>
        <w:rPr>
          <w:b/>
          <w:sz w:val="20"/>
        </w:rPr>
        <w:t xml:space="preserve">Education: </w:t>
      </w:r>
      <w:r>
        <w:rPr>
          <w:sz w:val="20"/>
        </w:rPr>
        <w:t>Oversees QLS’s provision of continuing professional development, seminars, conferences,</w:t>
      </w:r>
      <w:r>
        <w:rPr>
          <w:spacing w:val="-4"/>
          <w:sz w:val="20"/>
        </w:rPr>
        <w:t xml:space="preserve"> </w:t>
      </w:r>
      <w:r>
        <w:rPr>
          <w:sz w:val="20"/>
        </w:rPr>
        <w:t>Symposium,</w:t>
      </w:r>
      <w:r>
        <w:rPr>
          <w:spacing w:val="-4"/>
          <w:sz w:val="20"/>
        </w:rPr>
        <w:t xml:space="preserve"> </w:t>
      </w:r>
      <w:r>
        <w:rPr>
          <w:sz w:val="20"/>
        </w:rPr>
        <w:t>and</w:t>
      </w:r>
      <w:r>
        <w:rPr>
          <w:spacing w:val="-4"/>
          <w:sz w:val="20"/>
        </w:rPr>
        <w:t xml:space="preserve"> </w:t>
      </w:r>
      <w:r>
        <w:rPr>
          <w:sz w:val="20"/>
        </w:rPr>
        <w:t>masterclasses</w:t>
      </w:r>
      <w:r>
        <w:rPr>
          <w:spacing w:val="-4"/>
          <w:sz w:val="20"/>
        </w:rPr>
        <w:t xml:space="preserve"> </w:t>
      </w:r>
      <w:r>
        <w:rPr>
          <w:sz w:val="20"/>
        </w:rPr>
        <w:t>as</w:t>
      </w:r>
      <w:r>
        <w:rPr>
          <w:spacing w:val="-4"/>
          <w:sz w:val="20"/>
        </w:rPr>
        <w:t xml:space="preserve"> </w:t>
      </w:r>
      <w:r>
        <w:rPr>
          <w:sz w:val="20"/>
        </w:rPr>
        <w:t>well</w:t>
      </w:r>
      <w:r>
        <w:rPr>
          <w:spacing w:val="-4"/>
          <w:sz w:val="20"/>
        </w:rPr>
        <w:t xml:space="preserve"> </w:t>
      </w:r>
      <w:r>
        <w:rPr>
          <w:sz w:val="20"/>
        </w:rPr>
        <w:t>as</w:t>
      </w:r>
      <w:r>
        <w:rPr>
          <w:spacing w:val="-4"/>
          <w:sz w:val="20"/>
        </w:rPr>
        <w:t xml:space="preserve"> </w:t>
      </w:r>
      <w:r>
        <w:rPr>
          <w:sz w:val="20"/>
        </w:rPr>
        <w:t>overseeing</w:t>
      </w:r>
      <w:r>
        <w:rPr>
          <w:spacing w:val="-4"/>
          <w:sz w:val="20"/>
        </w:rPr>
        <w:t xml:space="preserve"> </w:t>
      </w:r>
      <w:r>
        <w:rPr>
          <w:sz w:val="20"/>
        </w:rPr>
        <w:t>professional</w:t>
      </w:r>
      <w:r>
        <w:rPr>
          <w:spacing w:val="-4"/>
          <w:sz w:val="20"/>
        </w:rPr>
        <w:t xml:space="preserve"> </w:t>
      </w:r>
      <w:r>
        <w:rPr>
          <w:sz w:val="20"/>
        </w:rPr>
        <w:t>advancement</w:t>
      </w:r>
      <w:r>
        <w:rPr>
          <w:spacing w:val="-4"/>
          <w:sz w:val="20"/>
        </w:rPr>
        <w:t xml:space="preserve"> </w:t>
      </w:r>
      <w:r>
        <w:rPr>
          <w:sz w:val="20"/>
        </w:rPr>
        <w:t>with the roll out of Specialist Accreditation and Practice Management courses.</w:t>
      </w:r>
    </w:p>
    <w:p w14:paraId="43DE325E" w14:textId="77777777" w:rsidR="00AC6F3C" w:rsidRDefault="00570E88">
      <w:pPr>
        <w:pStyle w:val="ListParagraph"/>
        <w:numPr>
          <w:ilvl w:val="0"/>
          <w:numId w:val="37"/>
        </w:numPr>
        <w:tabs>
          <w:tab w:val="left" w:pos="1155"/>
        </w:tabs>
        <w:spacing w:before="172"/>
        <w:ind w:hanging="340"/>
        <w:rPr>
          <w:sz w:val="20"/>
        </w:rPr>
      </w:pPr>
      <w:r>
        <w:rPr>
          <w:b/>
          <w:sz w:val="20"/>
        </w:rPr>
        <w:t>People</w:t>
      </w:r>
      <w:r>
        <w:rPr>
          <w:b/>
          <w:spacing w:val="-5"/>
          <w:sz w:val="20"/>
        </w:rPr>
        <w:t xml:space="preserve"> </w:t>
      </w:r>
      <w:r>
        <w:rPr>
          <w:b/>
          <w:sz w:val="20"/>
        </w:rPr>
        <w:t>and</w:t>
      </w:r>
      <w:r>
        <w:rPr>
          <w:b/>
          <w:spacing w:val="-4"/>
          <w:sz w:val="20"/>
        </w:rPr>
        <w:t xml:space="preserve"> </w:t>
      </w:r>
      <w:r>
        <w:rPr>
          <w:b/>
          <w:sz w:val="20"/>
        </w:rPr>
        <w:t>Culture:</w:t>
      </w:r>
      <w:r>
        <w:rPr>
          <w:b/>
          <w:spacing w:val="-4"/>
          <w:sz w:val="20"/>
        </w:rPr>
        <w:t xml:space="preserve"> </w:t>
      </w:r>
      <w:r>
        <w:rPr>
          <w:sz w:val="20"/>
        </w:rPr>
        <w:t>Oversees</w:t>
      </w:r>
      <w:r>
        <w:rPr>
          <w:spacing w:val="-4"/>
          <w:sz w:val="20"/>
        </w:rPr>
        <w:t xml:space="preserve"> </w:t>
      </w:r>
      <w:r>
        <w:rPr>
          <w:sz w:val="20"/>
        </w:rPr>
        <w:t>recruitment,</w:t>
      </w:r>
      <w:r>
        <w:rPr>
          <w:spacing w:val="-4"/>
          <w:sz w:val="20"/>
        </w:rPr>
        <w:t xml:space="preserve"> </w:t>
      </w:r>
      <w:r>
        <w:rPr>
          <w:sz w:val="20"/>
        </w:rPr>
        <w:t>staff</w:t>
      </w:r>
      <w:r>
        <w:rPr>
          <w:spacing w:val="-4"/>
          <w:sz w:val="20"/>
        </w:rPr>
        <w:t xml:space="preserve"> </w:t>
      </w:r>
      <w:r>
        <w:rPr>
          <w:sz w:val="20"/>
        </w:rPr>
        <w:t>performance</w:t>
      </w:r>
      <w:r>
        <w:rPr>
          <w:spacing w:val="-4"/>
          <w:sz w:val="20"/>
        </w:rPr>
        <w:t xml:space="preserve"> </w:t>
      </w:r>
      <w:r>
        <w:rPr>
          <w:sz w:val="20"/>
        </w:rPr>
        <w:t>and</w:t>
      </w:r>
      <w:r>
        <w:rPr>
          <w:spacing w:val="-4"/>
          <w:sz w:val="20"/>
        </w:rPr>
        <w:t xml:space="preserve"> </w:t>
      </w:r>
      <w:r>
        <w:rPr>
          <w:sz w:val="20"/>
        </w:rPr>
        <w:t>evaluation</w:t>
      </w:r>
      <w:r>
        <w:rPr>
          <w:spacing w:val="-4"/>
          <w:sz w:val="20"/>
        </w:rPr>
        <w:t xml:space="preserve"> </w:t>
      </w:r>
      <w:r>
        <w:rPr>
          <w:sz w:val="20"/>
        </w:rPr>
        <w:t>and</w:t>
      </w:r>
      <w:r>
        <w:rPr>
          <w:spacing w:val="-4"/>
          <w:sz w:val="20"/>
        </w:rPr>
        <w:t xml:space="preserve"> </w:t>
      </w:r>
      <w:r>
        <w:rPr>
          <w:sz w:val="20"/>
        </w:rPr>
        <w:t>people</w:t>
      </w:r>
      <w:r>
        <w:rPr>
          <w:spacing w:val="-4"/>
          <w:sz w:val="20"/>
        </w:rPr>
        <w:t xml:space="preserve"> </w:t>
      </w:r>
      <w:r>
        <w:rPr>
          <w:spacing w:val="-5"/>
          <w:sz w:val="20"/>
        </w:rPr>
        <w:t>and</w:t>
      </w:r>
    </w:p>
    <w:p w14:paraId="3E3F0D8D" w14:textId="77777777" w:rsidR="00AC6F3C" w:rsidRDefault="00570E88">
      <w:pPr>
        <w:pStyle w:val="BodyText"/>
        <w:spacing w:before="10"/>
        <w:ind w:left="1155"/>
      </w:pPr>
      <w:r>
        <w:t>culture</w:t>
      </w:r>
      <w:r>
        <w:rPr>
          <w:spacing w:val="-3"/>
        </w:rPr>
        <w:t xml:space="preserve"> </w:t>
      </w:r>
      <w:r>
        <w:t>policies</w:t>
      </w:r>
      <w:r>
        <w:rPr>
          <w:spacing w:val="-3"/>
        </w:rPr>
        <w:t xml:space="preserve"> </w:t>
      </w:r>
      <w:r>
        <w:t>and</w:t>
      </w:r>
      <w:r>
        <w:rPr>
          <w:spacing w:val="-2"/>
        </w:rPr>
        <w:t xml:space="preserve"> education.</w:t>
      </w:r>
    </w:p>
    <w:p w14:paraId="13F7A60E" w14:textId="77777777" w:rsidR="00AC6F3C" w:rsidRDefault="00AC6F3C">
      <w:pPr>
        <w:sectPr w:rsidR="00AC6F3C">
          <w:headerReference w:type="default" r:id="rId186"/>
          <w:footerReference w:type="default" r:id="rId187"/>
          <w:pgSz w:w="11910" w:h="16840"/>
          <w:pgMar w:top="1140" w:right="1160" w:bottom="520" w:left="460" w:header="0" w:footer="336" w:gutter="0"/>
          <w:cols w:space="720"/>
        </w:sectPr>
      </w:pPr>
    </w:p>
    <w:p w14:paraId="1EAA13AC" w14:textId="77777777" w:rsidR="00AC6F3C" w:rsidRDefault="00570E88">
      <w:pPr>
        <w:spacing w:before="63"/>
        <w:ind w:left="815"/>
        <w:rPr>
          <w:b/>
          <w:sz w:val="26"/>
        </w:rPr>
      </w:pPr>
      <w:r>
        <w:rPr>
          <w:b/>
          <w:sz w:val="26"/>
        </w:rPr>
        <w:lastRenderedPageBreak/>
        <w:t>Our</w:t>
      </w:r>
      <w:r>
        <w:rPr>
          <w:b/>
          <w:spacing w:val="-1"/>
          <w:sz w:val="26"/>
        </w:rPr>
        <w:t xml:space="preserve"> </w:t>
      </w:r>
      <w:r>
        <w:rPr>
          <w:b/>
          <w:sz w:val="26"/>
        </w:rPr>
        <w:t>Leadership</w:t>
      </w:r>
      <w:r>
        <w:rPr>
          <w:b/>
          <w:spacing w:val="-1"/>
          <w:sz w:val="26"/>
        </w:rPr>
        <w:t xml:space="preserve"> </w:t>
      </w:r>
      <w:r>
        <w:rPr>
          <w:b/>
          <w:spacing w:val="-4"/>
          <w:sz w:val="26"/>
        </w:rPr>
        <w:t>team</w:t>
      </w:r>
    </w:p>
    <w:p w14:paraId="7DC163E1" w14:textId="77777777" w:rsidR="00AC6F3C" w:rsidRDefault="00AC6F3C">
      <w:pPr>
        <w:pStyle w:val="BodyText"/>
        <w:spacing w:before="4"/>
        <w:rPr>
          <w:b/>
          <w:sz w:val="22"/>
        </w:rPr>
      </w:pPr>
    </w:p>
    <w:p w14:paraId="7F21A9FE" w14:textId="77777777" w:rsidR="00AC6F3C" w:rsidRDefault="00570E88">
      <w:pPr>
        <w:pStyle w:val="Heading9"/>
        <w:spacing w:before="1"/>
      </w:pPr>
      <w:r>
        <w:t xml:space="preserve">Rolf </w:t>
      </w:r>
      <w:r>
        <w:rPr>
          <w:spacing w:val="-2"/>
        </w:rPr>
        <w:t>Moses</w:t>
      </w:r>
    </w:p>
    <w:p w14:paraId="49836DD5" w14:textId="77777777" w:rsidR="00AC6F3C" w:rsidRDefault="00570E88">
      <w:pPr>
        <w:spacing w:before="175"/>
        <w:ind w:left="815"/>
        <w:rPr>
          <w:b/>
          <w:sz w:val="20"/>
        </w:rPr>
      </w:pPr>
      <w:r>
        <w:rPr>
          <w:b/>
          <w:sz w:val="20"/>
        </w:rPr>
        <w:t>Chief</w:t>
      </w:r>
      <w:r>
        <w:rPr>
          <w:b/>
          <w:spacing w:val="-4"/>
          <w:sz w:val="20"/>
        </w:rPr>
        <w:t xml:space="preserve"> </w:t>
      </w:r>
      <w:r>
        <w:rPr>
          <w:b/>
          <w:sz w:val="20"/>
        </w:rPr>
        <w:t>Executive</w:t>
      </w:r>
      <w:r>
        <w:rPr>
          <w:b/>
          <w:spacing w:val="-4"/>
          <w:sz w:val="20"/>
        </w:rPr>
        <w:t xml:space="preserve"> </w:t>
      </w:r>
      <w:r>
        <w:rPr>
          <w:b/>
          <w:spacing w:val="-2"/>
          <w:sz w:val="20"/>
        </w:rPr>
        <w:t>Officer</w:t>
      </w:r>
    </w:p>
    <w:p w14:paraId="52196842" w14:textId="77777777" w:rsidR="00AC6F3C" w:rsidRDefault="00570E88">
      <w:pPr>
        <w:spacing w:before="48"/>
        <w:ind w:left="815"/>
        <w:rPr>
          <w:b/>
          <w:sz w:val="16"/>
        </w:rPr>
      </w:pPr>
      <w:r>
        <w:rPr>
          <w:b/>
          <w:sz w:val="16"/>
        </w:rPr>
        <w:t>BCom,</w:t>
      </w:r>
      <w:r>
        <w:rPr>
          <w:b/>
          <w:spacing w:val="-4"/>
          <w:sz w:val="16"/>
        </w:rPr>
        <w:t xml:space="preserve"> </w:t>
      </w:r>
      <w:r>
        <w:rPr>
          <w:b/>
          <w:sz w:val="16"/>
        </w:rPr>
        <w:t>Dip</w:t>
      </w:r>
      <w:r>
        <w:rPr>
          <w:b/>
          <w:spacing w:val="-3"/>
          <w:sz w:val="16"/>
        </w:rPr>
        <w:t xml:space="preserve"> </w:t>
      </w:r>
      <w:r>
        <w:rPr>
          <w:b/>
          <w:sz w:val="16"/>
        </w:rPr>
        <w:t>Corporate</w:t>
      </w:r>
      <w:r>
        <w:rPr>
          <w:b/>
          <w:spacing w:val="-4"/>
          <w:sz w:val="16"/>
        </w:rPr>
        <w:t xml:space="preserve"> </w:t>
      </w:r>
      <w:r>
        <w:rPr>
          <w:b/>
          <w:sz w:val="16"/>
        </w:rPr>
        <w:t>Director,</w:t>
      </w:r>
      <w:r>
        <w:rPr>
          <w:b/>
          <w:spacing w:val="-3"/>
          <w:sz w:val="16"/>
        </w:rPr>
        <w:t xml:space="preserve"> </w:t>
      </w:r>
      <w:r>
        <w:rPr>
          <w:b/>
          <w:sz w:val="16"/>
        </w:rPr>
        <w:t>Post</w:t>
      </w:r>
      <w:r>
        <w:rPr>
          <w:b/>
          <w:spacing w:val="-4"/>
          <w:sz w:val="16"/>
        </w:rPr>
        <w:t xml:space="preserve"> </w:t>
      </w:r>
      <w:r>
        <w:rPr>
          <w:b/>
          <w:sz w:val="16"/>
        </w:rPr>
        <w:t>Grad</w:t>
      </w:r>
      <w:r>
        <w:rPr>
          <w:b/>
          <w:spacing w:val="-3"/>
          <w:sz w:val="16"/>
        </w:rPr>
        <w:t xml:space="preserve"> </w:t>
      </w:r>
      <w:r>
        <w:rPr>
          <w:b/>
          <w:sz w:val="16"/>
        </w:rPr>
        <w:t>Dip</w:t>
      </w:r>
      <w:r>
        <w:rPr>
          <w:b/>
          <w:spacing w:val="-3"/>
          <w:sz w:val="16"/>
        </w:rPr>
        <w:t xml:space="preserve"> </w:t>
      </w:r>
      <w:r>
        <w:rPr>
          <w:b/>
          <w:spacing w:val="-2"/>
          <w:sz w:val="16"/>
        </w:rPr>
        <w:t>Counselling</w:t>
      </w:r>
    </w:p>
    <w:p w14:paraId="33C18AB0" w14:textId="77777777" w:rsidR="00AC6F3C" w:rsidRDefault="00AC6F3C">
      <w:pPr>
        <w:pStyle w:val="BodyText"/>
        <w:spacing w:before="4"/>
        <w:rPr>
          <w:b/>
          <w:sz w:val="16"/>
        </w:rPr>
      </w:pPr>
    </w:p>
    <w:p w14:paraId="22F24C32" w14:textId="77777777" w:rsidR="00AC6F3C" w:rsidRDefault="00570E88">
      <w:pPr>
        <w:pStyle w:val="BodyText"/>
        <w:spacing w:before="1" w:line="249" w:lineRule="auto"/>
        <w:ind w:left="815"/>
      </w:pPr>
      <w:r>
        <w:t>Rolf joined Queensland Law Society in March 2018 as CEO having previously been a founding member and chair of the Queensland Law Society Wellbeing Working Group and a faculty member of the QLS Practice Management Course. Rolf has over 25 years’</w:t>
      </w:r>
      <w:r>
        <w:rPr>
          <w:spacing w:val="-3"/>
        </w:rPr>
        <w:t xml:space="preserve"> </w:t>
      </w:r>
      <w:r>
        <w:t>executive and leadership experience in the legal sector</w:t>
      </w:r>
      <w:r>
        <w:rPr>
          <w:spacing w:val="-3"/>
        </w:rPr>
        <w:t xml:space="preserve"> </w:t>
      </w:r>
      <w:r>
        <w:t>having</w:t>
      </w:r>
      <w:r>
        <w:rPr>
          <w:spacing w:val="-3"/>
        </w:rPr>
        <w:t xml:space="preserve"> </w:t>
      </w:r>
      <w:r>
        <w:t>occupied</w:t>
      </w:r>
      <w:r>
        <w:rPr>
          <w:spacing w:val="-3"/>
        </w:rPr>
        <w:t xml:space="preserve"> </w:t>
      </w:r>
      <w:r>
        <w:t>senior</w:t>
      </w:r>
      <w:r>
        <w:rPr>
          <w:spacing w:val="-3"/>
        </w:rPr>
        <w:t xml:space="preserve"> </w:t>
      </w:r>
      <w:r>
        <w:t>leadership</w:t>
      </w:r>
      <w:r>
        <w:rPr>
          <w:spacing w:val="-3"/>
        </w:rPr>
        <w:t xml:space="preserve"> </w:t>
      </w:r>
      <w:r>
        <w:t>roles</w:t>
      </w:r>
      <w:r>
        <w:rPr>
          <w:spacing w:val="-3"/>
        </w:rPr>
        <w:t xml:space="preserve"> </w:t>
      </w:r>
      <w:r>
        <w:t>in</w:t>
      </w:r>
      <w:r>
        <w:rPr>
          <w:spacing w:val="-3"/>
        </w:rPr>
        <w:t xml:space="preserve"> </w:t>
      </w:r>
      <w:r>
        <w:t>large,</w:t>
      </w:r>
      <w:r>
        <w:rPr>
          <w:spacing w:val="-3"/>
        </w:rPr>
        <w:t xml:space="preserve"> </w:t>
      </w:r>
      <w:r>
        <w:t>international</w:t>
      </w:r>
      <w:r>
        <w:rPr>
          <w:spacing w:val="-3"/>
        </w:rPr>
        <w:t xml:space="preserve"> </w:t>
      </w:r>
      <w:r>
        <w:t>legal</w:t>
      </w:r>
      <w:r>
        <w:rPr>
          <w:spacing w:val="-3"/>
        </w:rPr>
        <w:t xml:space="preserve"> </w:t>
      </w:r>
      <w:r>
        <w:t>firms</w:t>
      </w:r>
      <w:r>
        <w:rPr>
          <w:spacing w:val="-3"/>
        </w:rPr>
        <w:t xml:space="preserve"> </w:t>
      </w:r>
      <w:r>
        <w:t>throughout</w:t>
      </w:r>
      <w:r>
        <w:rPr>
          <w:spacing w:val="-14"/>
        </w:rPr>
        <w:t xml:space="preserve"> </w:t>
      </w:r>
      <w:r>
        <w:t>Australia</w:t>
      </w:r>
      <w:r>
        <w:rPr>
          <w:spacing w:val="-3"/>
        </w:rPr>
        <w:t xml:space="preserve"> </w:t>
      </w:r>
      <w:r>
        <w:t xml:space="preserve">and Asia. Rolf is an active facilitator and trainer, particularly in the areas of workplace culture and </w:t>
      </w:r>
      <w:proofErr w:type="spellStart"/>
      <w:r>
        <w:t>behaviour</w:t>
      </w:r>
      <w:proofErr w:type="spellEnd"/>
      <w:r>
        <w:t>.</w:t>
      </w:r>
    </w:p>
    <w:p w14:paraId="4461CDDD" w14:textId="77777777" w:rsidR="00AC6F3C" w:rsidRDefault="00AC6F3C">
      <w:pPr>
        <w:pStyle w:val="BodyText"/>
        <w:spacing w:before="11"/>
        <w:rPr>
          <w:sz w:val="22"/>
        </w:rPr>
      </w:pPr>
    </w:p>
    <w:p w14:paraId="77237DDC" w14:textId="77777777" w:rsidR="00AC6F3C" w:rsidRDefault="00570E88">
      <w:pPr>
        <w:pStyle w:val="Heading9"/>
      </w:pPr>
      <w:r>
        <w:t xml:space="preserve">Matt </w:t>
      </w:r>
      <w:r>
        <w:rPr>
          <w:spacing w:val="-4"/>
        </w:rPr>
        <w:t>Dunn</w:t>
      </w:r>
    </w:p>
    <w:p w14:paraId="27A05450" w14:textId="77777777" w:rsidR="00AC6F3C" w:rsidRDefault="00570E88">
      <w:pPr>
        <w:spacing w:before="176"/>
        <w:ind w:left="815"/>
        <w:rPr>
          <w:b/>
          <w:sz w:val="20"/>
        </w:rPr>
      </w:pPr>
      <w:r>
        <w:rPr>
          <w:b/>
          <w:sz w:val="20"/>
        </w:rPr>
        <w:t>General</w:t>
      </w:r>
      <w:r>
        <w:rPr>
          <w:b/>
          <w:spacing w:val="-13"/>
          <w:sz w:val="20"/>
        </w:rPr>
        <w:t xml:space="preserve"> </w:t>
      </w:r>
      <w:r>
        <w:rPr>
          <w:b/>
          <w:sz w:val="20"/>
        </w:rPr>
        <w:t>Manager,</w:t>
      </w:r>
      <w:r>
        <w:rPr>
          <w:b/>
          <w:spacing w:val="-13"/>
          <w:sz w:val="20"/>
        </w:rPr>
        <w:t xml:space="preserve"> </w:t>
      </w:r>
      <w:r>
        <w:rPr>
          <w:b/>
          <w:sz w:val="20"/>
        </w:rPr>
        <w:t>Advocacy,</w:t>
      </w:r>
      <w:r>
        <w:rPr>
          <w:b/>
          <w:spacing w:val="-10"/>
          <w:sz w:val="20"/>
        </w:rPr>
        <w:t xml:space="preserve"> </w:t>
      </w:r>
      <w:r>
        <w:rPr>
          <w:b/>
          <w:sz w:val="20"/>
        </w:rPr>
        <w:t>Guidance</w:t>
      </w:r>
      <w:r>
        <w:rPr>
          <w:b/>
          <w:spacing w:val="-10"/>
          <w:sz w:val="20"/>
        </w:rPr>
        <w:t xml:space="preserve"> </w:t>
      </w:r>
      <w:r>
        <w:rPr>
          <w:b/>
          <w:sz w:val="20"/>
        </w:rPr>
        <w:t>and</w:t>
      </w:r>
      <w:r>
        <w:rPr>
          <w:b/>
          <w:spacing w:val="-9"/>
          <w:sz w:val="20"/>
        </w:rPr>
        <w:t xml:space="preserve"> </w:t>
      </w:r>
      <w:r>
        <w:rPr>
          <w:b/>
          <w:spacing w:val="-2"/>
          <w:sz w:val="20"/>
        </w:rPr>
        <w:t>Governance</w:t>
      </w:r>
    </w:p>
    <w:p w14:paraId="4CCF5069" w14:textId="77777777" w:rsidR="00AC6F3C" w:rsidRDefault="00570E88">
      <w:pPr>
        <w:spacing w:before="47"/>
        <w:ind w:left="815"/>
        <w:rPr>
          <w:b/>
          <w:sz w:val="16"/>
        </w:rPr>
      </w:pPr>
      <w:r>
        <w:rPr>
          <w:b/>
          <w:sz w:val="16"/>
        </w:rPr>
        <w:t>BSc</w:t>
      </w:r>
      <w:r>
        <w:rPr>
          <w:b/>
          <w:spacing w:val="-4"/>
          <w:sz w:val="16"/>
        </w:rPr>
        <w:t xml:space="preserve"> </w:t>
      </w:r>
      <w:r>
        <w:rPr>
          <w:b/>
          <w:sz w:val="16"/>
        </w:rPr>
        <w:t>LLB</w:t>
      </w:r>
      <w:r>
        <w:rPr>
          <w:b/>
          <w:spacing w:val="-1"/>
          <w:sz w:val="16"/>
        </w:rPr>
        <w:t xml:space="preserve"> </w:t>
      </w:r>
      <w:r>
        <w:rPr>
          <w:b/>
          <w:sz w:val="16"/>
        </w:rPr>
        <w:t>(Hons)</w:t>
      </w:r>
      <w:r>
        <w:rPr>
          <w:b/>
          <w:spacing w:val="-1"/>
          <w:sz w:val="16"/>
        </w:rPr>
        <w:t xml:space="preserve"> </w:t>
      </w:r>
      <w:r>
        <w:rPr>
          <w:b/>
          <w:spacing w:val="-2"/>
          <w:sz w:val="16"/>
        </w:rPr>
        <w:t>GAICD</w:t>
      </w:r>
    </w:p>
    <w:p w14:paraId="484CB3B2" w14:textId="77777777" w:rsidR="00AC6F3C" w:rsidRDefault="00AC6F3C">
      <w:pPr>
        <w:pStyle w:val="BodyText"/>
        <w:spacing w:before="5"/>
        <w:rPr>
          <w:b/>
          <w:sz w:val="16"/>
        </w:rPr>
      </w:pPr>
    </w:p>
    <w:p w14:paraId="41968E8D" w14:textId="77777777" w:rsidR="00AC6F3C" w:rsidRDefault="00570E88">
      <w:pPr>
        <w:pStyle w:val="BodyText"/>
        <w:spacing w:line="249" w:lineRule="auto"/>
        <w:ind w:left="815" w:right="468"/>
      </w:pPr>
      <w:r>
        <w:t>Matt started at QLS in a policy and in-house legal role in 2005, establishing a successful policy team. He led that team until he took on the role of first Director of Policy at the Law Council of</w:t>
      </w:r>
      <w:r>
        <w:rPr>
          <w:spacing w:val="-7"/>
        </w:rPr>
        <w:t xml:space="preserve"> </w:t>
      </w:r>
      <w:r>
        <w:t>Australia in 2014.</w:t>
      </w:r>
      <w:r>
        <w:rPr>
          <w:spacing w:val="-3"/>
        </w:rPr>
        <w:t xml:space="preserve"> </w:t>
      </w:r>
      <w:r>
        <w:t>Matt</w:t>
      </w:r>
      <w:r>
        <w:rPr>
          <w:spacing w:val="-4"/>
        </w:rPr>
        <w:t xml:space="preserve"> </w:t>
      </w:r>
      <w:r>
        <w:t>returned</w:t>
      </w:r>
      <w:r>
        <w:rPr>
          <w:spacing w:val="-3"/>
        </w:rPr>
        <w:t xml:space="preserve"> </w:t>
      </w:r>
      <w:r>
        <w:t>to</w:t>
      </w:r>
      <w:r>
        <w:rPr>
          <w:spacing w:val="-4"/>
        </w:rPr>
        <w:t xml:space="preserve"> </w:t>
      </w:r>
      <w:r>
        <w:t>QLS</w:t>
      </w:r>
      <w:r>
        <w:rPr>
          <w:spacing w:val="-4"/>
        </w:rPr>
        <w:t xml:space="preserve"> </w:t>
      </w:r>
      <w:r>
        <w:t>in</w:t>
      </w:r>
      <w:r>
        <w:rPr>
          <w:spacing w:val="-4"/>
        </w:rPr>
        <w:t xml:space="preserve"> </w:t>
      </w:r>
      <w:r>
        <w:t>late</w:t>
      </w:r>
      <w:r>
        <w:rPr>
          <w:spacing w:val="-4"/>
        </w:rPr>
        <w:t xml:space="preserve"> </w:t>
      </w:r>
      <w:r>
        <w:t>2015</w:t>
      </w:r>
      <w:r>
        <w:rPr>
          <w:spacing w:val="-3"/>
        </w:rPr>
        <w:t xml:space="preserve"> </w:t>
      </w:r>
      <w:r>
        <w:t>to</w:t>
      </w:r>
      <w:r>
        <w:rPr>
          <w:spacing w:val="-4"/>
        </w:rPr>
        <w:t xml:space="preserve"> </w:t>
      </w:r>
      <w:r>
        <w:t>take</w:t>
      </w:r>
      <w:r>
        <w:rPr>
          <w:spacing w:val="-4"/>
        </w:rPr>
        <w:t xml:space="preserve"> </w:t>
      </w:r>
      <w:r>
        <w:t>on</w:t>
      </w:r>
      <w:r>
        <w:rPr>
          <w:spacing w:val="-4"/>
        </w:rPr>
        <w:t xml:space="preserve"> </w:t>
      </w:r>
      <w:r>
        <w:t>the</w:t>
      </w:r>
      <w:r>
        <w:rPr>
          <w:spacing w:val="-4"/>
        </w:rPr>
        <w:t xml:space="preserve"> </w:t>
      </w:r>
      <w:r>
        <w:t>role</w:t>
      </w:r>
      <w:r>
        <w:rPr>
          <w:spacing w:val="-4"/>
        </w:rPr>
        <w:t xml:space="preserve"> </w:t>
      </w:r>
      <w:r>
        <w:t>of</w:t>
      </w:r>
      <w:r>
        <w:rPr>
          <w:spacing w:val="-4"/>
        </w:rPr>
        <w:t xml:space="preserve"> </w:t>
      </w:r>
      <w:r>
        <w:t>Government</w:t>
      </w:r>
      <w:r>
        <w:rPr>
          <w:spacing w:val="-3"/>
        </w:rPr>
        <w:t xml:space="preserve"> </w:t>
      </w:r>
      <w:r>
        <w:t>Relations</w:t>
      </w:r>
      <w:r>
        <w:rPr>
          <w:spacing w:val="-3"/>
        </w:rPr>
        <w:t xml:space="preserve"> </w:t>
      </w:r>
      <w:r>
        <w:t>Principal</w:t>
      </w:r>
      <w:r>
        <w:rPr>
          <w:spacing w:val="-13"/>
        </w:rPr>
        <w:t xml:space="preserve"> </w:t>
      </w:r>
      <w:r>
        <w:t>Advisor, growing and maintaining QLS’s vital relationships with government at both state and federal levels.</w:t>
      </w:r>
    </w:p>
    <w:p w14:paraId="47E79DB9" w14:textId="77777777" w:rsidR="00AC6F3C" w:rsidRDefault="00570E88">
      <w:pPr>
        <w:pStyle w:val="BodyText"/>
        <w:spacing w:before="3" w:line="249" w:lineRule="auto"/>
        <w:ind w:left="815" w:right="468"/>
      </w:pPr>
      <w:r>
        <w:t>Matt served as QLS’s</w:t>
      </w:r>
      <w:r>
        <w:rPr>
          <w:spacing w:val="-7"/>
        </w:rPr>
        <w:t xml:space="preserve"> </w:t>
      </w:r>
      <w:r>
        <w:t>Acting CEO between February 2017 and March 2018 when he returned to a General</w:t>
      </w:r>
      <w:r>
        <w:rPr>
          <w:spacing w:val="-4"/>
        </w:rPr>
        <w:t xml:space="preserve"> </w:t>
      </w:r>
      <w:r>
        <w:t>Manager</w:t>
      </w:r>
      <w:r>
        <w:rPr>
          <w:spacing w:val="-4"/>
        </w:rPr>
        <w:t xml:space="preserve"> </w:t>
      </w:r>
      <w:r>
        <w:t>position</w:t>
      </w:r>
      <w:r>
        <w:rPr>
          <w:spacing w:val="-4"/>
        </w:rPr>
        <w:t xml:space="preserve"> </w:t>
      </w:r>
      <w:r>
        <w:t>with</w:t>
      </w:r>
      <w:r>
        <w:rPr>
          <w:spacing w:val="-4"/>
        </w:rPr>
        <w:t xml:space="preserve"> </w:t>
      </w:r>
      <w:r>
        <w:t>its</w:t>
      </w:r>
      <w:r>
        <w:rPr>
          <w:spacing w:val="-4"/>
        </w:rPr>
        <w:t xml:space="preserve"> </w:t>
      </w:r>
      <w:r>
        <w:t>heart</w:t>
      </w:r>
      <w:r>
        <w:rPr>
          <w:spacing w:val="-4"/>
        </w:rPr>
        <w:t xml:space="preserve"> </w:t>
      </w:r>
      <w:r>
        <w:t>in</w:t>
      </w:r>
      <w:r>
        <w:rPr>
          <w:spacing w:val="-4"/>
        </w:rPr>
        <w:t xml:space="preserve"> </w:t>
      </w:r>
      <w:r>
        <w:t>legal</w:t>
      </w:r>
      <w:r>
        <w:rPr>
          <w:spacing w:val="-4"/>
        </w:rPr>
        <w:t xml:space="preserve"> </w:t>
      </w:r>
      <w:r>
        <w:t>policy,</w:t>
      </w:r>
      <w:r>
        <w:rPr>
          <w:spacing w:val="-4"/>
        </w:rPr>
        <w:t xml:space="preserve"> </w:t>
      </w:r>
      <w:r>
        <w:t>public</w:t>
      </w:r>
      <w:r>
        <w:rPr>
          <w:spacing w:val="-4"/>
        </w:rPr>
        <w:t xml:space="preserve"> </w:t>
      </w:r>
      <w:r>
        <w:t>affairs,</w:t>
      </w:r>
      <w:r>
        <w:rPr>
          <w:spacing w:val="-4"/>
        </w:rPr>
        <w:t xml:space="preserve"> </w:t>
      </w:r>
      <w:r>
        <w:t>stakeholder</w:t>
      </w:r>
      <w:r>
        <w:rPr>
          <w:spacing w:val="-4"/>
        </w:rPr>
        <w:t xml:space="preserve"> </w:t>
      </w:r>
      <w:r>
        <w:t>relations,</w:t>
      </w:r>
      <w:r>
        <w:rPr>
          <w:spacing w:val="-4"/>
        </w:rPr>
        <w:t xml:space="preserve"> </w:t>
      </w:r>
      <w:r>
        <w:t>ethical</w:t>
      </w:r>
      <w:r>
        <w:rPr>
          <w:spacing w:val="-4"/>
        </w:rPr>
        <w:t xml:space="preserve"> </w:t>
      </w:r>
      <w:r>
        <w:t>and practice guidance for the profession and corporate governance for QLS.</w:t>
      </w:r>
    </w:p>
    <w:p w14:paraId="1B9AAEA1" w14:textId="77777777" w:rsidR="00AC6F3C" w:rsidRDefault="00570E88">
      <w:pPr>
        <w:pStyle w:val="BodyText"/>
        <w:spacing w:before="173"/>
        <w:ind w:left="815"/>
      </w:pPr>
      <w:r>
        <w:t>Matt</w:t>
      </w:r>
      <w:r>
        <w:rPr>
          <w:spacing w:val="-3"/>
        </w:rPr>
        <w:t xml:space="preserve"> </w:t>
      </w:r>
      <w:r>
        <w:t>shares</w:t>
      </w:r>
      <w:r>
        <w:rPr>
          <w:spacing w:val="-3"/>
        </w:rPr>
        <w:t xml:space="preserve"> </w:t>
      </w:r>
      <w:r>
        <w:t>his</w:t>
      </w:r>
      <w:r>
        <w:rPr>
          <w:spacing w:val="-2"/>
        </w:rPr>
        <w:t xml:space="preserve"> </w:t>
      </w:r>
      <w:r>
        <w:t>love</w:t>
      </w:r>
      <w:r>
        <w:rPr>
          <w:spacing w:val="-3"/>
        </w:rPr>
        <w:t xml:space="preserve"> </w:t>
      </w:r>
      <w:r>
        <w:t>of</w:t>
      </w:r>
      <w:r>
        <w:rPr>
          <w:spacing w:val="-2"/>
        </w:rPr>
        <w:t xml:space="preserve"> </w:t>
      </w:r>
      <w:r>
        <w:t>fine</w:t>
      </w:r>
      <w:r>
        <w:rPr>
          <w:spacing w:val="-3"/>
        </w:rPr>
        <w:t xml:space="preserve"> </w:t>
      </w:r>
      <w:r>
        <w:t>wine</w:t>
      </w:r>
      <w:r>
        <w:rPr>
          <w:spacing w:val="-2"/>
        </w:rPr>
        <w:t xml:space="preserve"> </w:t>
      </w:r>
      <w:r>
        <w:t>in</w:t>
      </w:r>
      <w:r>
        <w:rPr>
          <w:spacing w:val="-3"/>
        </w:rPr>
        <w:t xml:space="preserve"> </w:t>
      </w:r>
      <w:r>
        <w:t>a</w:t>
      </w:r>
      <w:r>
        <w:rPr>
          <w:spacing w:val="-3"/>
        </w:rPr>
        <w:t xml:space="preserve"> </w:t>
      </w:r>
      <w:r>
        <w:t>long-running</w:t>
      </w:r>
      <w:r>
        <w:rPr>
          <w:spacing w:val="-2"/>
        </w:rPr>
        <w:t xml:space="preserve"> </w:t>
      </w:r>
      <w:r>
        <w:t>and</w:t>
      </w:r>
      <w:r>
        <w:rPr>
          <w:spacing w:val="-3"/>
        </w:rPr>
        <w:t xml:space="preserve"> </w:t>
      </w:r>
      <w:r>
        <w:t>popular</w:t>
      </w:r>
      <w:r>
        <w:rPr>
          <w:spacing w:val="-2"/>
        </w:rPr>
        <w:t xml:space="preserve"> </w:t>
      </w:r>
      <w:r>
        <w:t>column</w:t>
      </w:r>
      <w:r>
        <w:rPr>
          <w:spacing w:val="-3"/>
        </w:rPr>
        <w:t xml:space="preserve"> </w:t>
      </w:r>
      <w:r>
        <w:t>in</w:t>
      </w:r>
      <w:r>
        <w:rPr>
          <w:spacing w:val="-2"/>
        </w:rPr>
        <w:t xml:space="preserve"> </w:t>
      </w:r>
      <w:r>
        <w:t>QLS’s</w:t>
      </w:r>
      <w:r>
        <w:rPr>
          <w:spacing w:val="-3"/>
        </w:rPr>
        <w:t xml:space="preserve"> </w:t>
      </w:r>
      <w:r>
        <w:t>online</w:t>
      </w:r>
      <w:r>
        <w:rPr>
          <w:spacing w:val="-2"/>
        </w:rPr>
        <w:t xml:space="preserve"> publication,</w:t>
      </w:r>
    </w:p>
    <w:p w14:paraId="182A29F6" w14:textId="77777777" w:rsidR="00AC6F3C" w:rsidRDefault="00570E88">
      <w:pPr>
        <w:pStyle w:val="BodyText"/>
        <w:spacing w:before="10"/>
        <w:ind w:left="815"/>
      </w:pPr>
      <w:r>
        <w:t xml:space="preserve">QLS </w:t>
      </w:r>
      <w:r>
        <w:rPr>
          <w:spacing w:val="-2"/>
        </w:rPr>
        <w:t>Proctor.</w:t>
      </w:r>
    </w:p>
    <w:p w14:paraId="2498832F" w14:textId="77777777" w:rsidR="00AC6F3C" w:rsidRDefault="00AC6F3C">
      <w:pPr>
        <w:pStyle w:val="BodyText"/>
        <w:spacing w:before="6"/>
        <w:rPr>
          <w:sz w:val="23"/>
        </w:rPr>
      </w:pPr>
    </w:p>
    <w:p w14:paraId="09ED5A20" w14:textId="77777777" w:rsidR="00AC6F3C" w:rsidRDefault="00570E88">
      <w:pPr>
        <w:pStyle w:val="Heading9"/>
      </w:pPr>
      <w:r>
        <w:t>Catherine</w:t>
      </w:r>
      <w:r>
        <w:rPr>
          <w:spacing w:val="-8"/>
        </w:rPr>
        <w:t xml:space="preserve"> </w:t>
      </w:r>
      <w:r>
        <w:rPr>
          <w:spacing w:val="-2"/>
        </w:rPr>
        <w:t>Ellemor</w:t>
      </w:r>
    </w:p>
    <w:p w14:paraId="71A72C01" w14:textId="77777777" w:rsidR="00AC6F3C" w:rsidRDefault="00570E88">
      <w:pPr>
        <w:spacing w:before="176"/>
        <w:ind w:left="815"/>
        <w:rPr>
          <w:b/>
          <w:sz w:val="20"/>
        </w:rPr>
      </w:pPr>
      <w:r>
        <w:rPr>
          <w:b/>
          <w:sz w:val="20"/>
        </w:rPr>
        <w:t>People</w:t>
      </w:r>
      <w:r>
        <w:rPr>
          <w:b/>
          <w:spacing w:val="-4"/>
          <w:sz w:val="20"/>
        </w:rPr>
        <w:t xml:space="preserve"> </w:t>
      </w:r>
      <w:r>
        <w:rPr>
          <w:b/>
          <w:sz w:val="20"/>
        </w:rPr>
        <w:t>and</w:t>
      </w:r>
      <w:r>
        <w:rPr>
          <w:b/>
          <w:spacing w:val="-4"/>
          <w:sz w:val="20"/>
        </w:rPr>
        <w:t xml:space="preserve"> </w:t>
      </w:r>
      <w:r>
        <w:rPr>
          <w:b/>
          <w:sz w:val="20"/>
        </w:rPr>
        <w:t>Culture</w:t>
      </w:r>
      <w:r>
        <w:rPr>
          <w:b/>
          <w:spacing w:val="-3"/>
          <w:sz w:val="20"/>
        </w:rPr>
        <w:t xml:space="preserve"> </w:t>
      </w:r>
      <w:r>
        <w:rPr>
          <w:b/>
          <w:spacing w:val="-2"/>
          <w:sz w:val="20"/>
        </w:rPr>
        <w:t>Manager</w:t>
      </w:r>
    </w:p>
    <w:p w14:paraId="35500CEA" w14:textId="77777777" w:rsidR="00AC6F3C" w:rsidRDefault="00570E88">
      <w:pPr>
        <w:spacing w:before="47"/>
        <w:ind w:left="815"/>
        <w:rPr>
          <w:b/>
          <w:sz w:val="16"/>
        </w:rPr>
      </w:pPr>
      <w:r>
        <w:rPr>
          <w:b/>
          <w:sz w:val="16"/>
        </w:rPr>
        <w:t>BSc,</w:t>
      </w:r>
      <w:r>
        <w:rPr>
          <w:b/>
          <w:spacing w:val="-6"/>
          <w:sz w:val="16"/>
        </w:rPr>
        <w:t xml:space="preserve"> </w:t>
      </w:r>
      <w:r>
        <w:rPr>
          <w:b/>
          <w:spacing w:val="-4"/>
          <w:sz w:val="16"/>
        </w:rPr>
        <w:t>ATCL</w:t>
      </w:r>
    </w:p>
    <w:p w14:paraId="5B0C2BDF" w14:textId="77777777" w:rsidR="00AC6F3C" w:rsidRDefault="00AC6F3C">
      <w:pPr>
        <w:pStyle w:val="BodyText"/>
        <w:spacing w:before="5"/>
        <w:rPr>
          <w:b/>
          <w:sz w:val="16"/>
        </w:rPr>
      </w:pPr>
    </w:p>
    <w:p w14:paraId="7CFBF30F" w14:textId="77777777" w:rsidR="00AC6F3C" w:rsidRDefault="00570E88">
      <w:pPr>
        <w:pStyle w:val="BodyText"/>
        <w:spacing w:line="249" w:lineRule="auto"/>
        <w:ind w:left="815" w:right="122"/>
      </w:pPr>
      <w:r>
        <w:t>Catherine joined Queensland Law Society as People and Culture Manager in 2021. Catherine has over</w:t>
      </w:r>
      <w:r>
        <w:rPr>
          <w:spacing w:val="40"/>
        </w:rPr>
        <w:t xml:space="preserve"> </w:t>
      </w:r>
      <w:r>
        <w:t>20</w:t>
      </w:r>
      <w:r>
        <w:rPr>
          <w:spacing w:val="-3"/>
        </w:rPr>
        <w:t xml:space="preserve"> </w:t>
      </w:r>
      <w:r>
        <w:t>years’</w:t>
      </w:r>
      <w:r>
        <w:rPr>
          <w:spacing w:val="-10"/>
        </w:rPr>
        <w:t xml:space="preserve"> </w:t>
      </w:r>
      <w:r>
        <w:t>experience</w:t>
      </w:r>
      <w:r>
        <w:rPr>
          <w:spacing w:val="-3"/>
        </w:rPr>
        <w:t xml:space="preserve"> </w:t>
      </w:r>
      <w:r>
        <w:t>in</w:t>
      </w:r>
      <w:r>
        <w:rPr>
          <w:spacing w:val="-3"/>
        </w:rPr>
        <w:t xml:space="preserve"> </w:t>
      </w:r>
      <w:r>
        <w:t>human</w:t>
      </w:r>
      <w:r>
        <w:rPr>
          <w:spacing w:val="-3"/>
        </w:rPr>
        <w:t xml:space="preserve"> </w:t>
      </w:r>
      <w:r>
        <w:t>resources,</w:t>
      </w:r>
      <w:r>
        <w:rPr>
          <w:spacing w:val="-3"/>
        </w:rPr>
        <w:t xml:space="preserve"> </w:t>
      </w:r>
      <w:r>
        <w:t>having</w:t>
      </w:r>
      <w:r>
        <w:rPr>
          <w:spacing w:val="-3"/>
        </w:rPr>
        <w:t xml:space="preserve"> </w:t>
      </w:r>
      <w:r>
        <w:t>held</w:t>
      </w:r>
      <w:r>
        <w:rPr>
          <w:spacing w:val="-3"/>
        </w:rPr>
        <w:t xml:space="preserve"> </w:t>
      </w:r>
      <w:r>
        <w:t>management</w:t>
      </w:r>
      <w:r>
        <w:rPr>
          <w:spacing w:val="-3"/>
        </w:rPr>
        <w:t xml:space="preserve"> </w:t>
      </w:r>
      <w:r>
        <w:t>roles</w:t>
      </w:r>
      <w:r>
        <w:rPr>
          <w:spacing w:val="-3"/>
        </w:rPr>
        <w:t xml:space="preserve"> </w:t>
      </w:r>
      <w:r>
        <w:t>in</w:t>
      </w:r>
      <w:r>
        <w:rPr>
          <w:spacing w:val="-3"/>
        </w:rPr>
        <w:t xml:space="preserve"> </w:t>
      </w:r>
      <w:r>
        <w:t>national</w:t>
      </w:r>
      <w:r>
        <w:rPr>
          <w:spacing w:val="-3"/>
        </w:rPr>
        <w:t xml:space="preserve"> </w:t>
      </w:r>
      <w:r>
        <w:t>and</w:t>
      </w:r>
      <w:r>
        <w:rPr>
          <w:spacing w:val="-3"/>
        </w:rPr>
        <w:t xml:space="preserve"> </w:t>
      </w:r>
      <w:r>
        <w:t>international</w:t>
      </w:r>
      <w:r>
        <w:rPr>
          <w:spacing w:val="-3"/>
        </w:rPr>
        <w:t xml:space="preserve"> </w:t>
      </w:r>
      <w:r>
        <w:t>law firms, as well as senior roles in the education and government sectors.</w:t>
      </w:r>
    </w:p>
    <w:p w14:paraId="68A8799D" w14:textId="77777777" w:rsidR="00AC6F3C" w:rsidRDefault="00570E88">
      <w:pPr>
        <w:pStyle w:val="BodyText"/>
        <w:spacing w:before="172" w:line="249" w:lineRule="auto"/>
        <w:ind w:left="815"/>
      </w:pPr>
      <w:r>
        <w:t>Catherine’s human resources expertise include performance management and coaching, reward and recognition,</w:t>
      </w:r>
      <w:r>
        <w:rPr>
          <w:spacing w:val="-4"/>
        </w:rPr>
        <w:t xml:space="preserve"> </w:t>
      </w:r>
      <w:r>
        <w:t>recruitment</w:t>
      </w:r>
      <w:r>
        <w:rPr>
          <w:spacing w:val="-3"/>
        </w:rPr>
        <w:t xml:space="preserve"> </w:t>
      </w:r>
      <w:r>
        <w:t>and</w:t>
      </w:r>
      <w:r>
        <w:rPr>
          <w:spacing w:val="-3"/>
        </w:rPr>
        <w:t xml:space="preserve"> </w:t>
      </w:r>
      <w:r>
        <w:t>selection</w:t>
      </w:r>
      <w:r>
        <w:rPr>
          <w:spacing w:val="-3"/>
        </w:rPr>
        <w:t xml:space="preserve"> </w:t>
      </w:r>
      <w:r>
        <w:t>and</w:t>
      </w:r>
      <w:r>
        <w:rPr>
          <w:spacing w:val="-3"/>
        </w:rPr>
        <w:t xml:space="preserve"> </w:t>
      </w:r>
      <w:proofErr w:type="spellStart"/>
      <w:r>
        <w:t>organisational</w:t>
      </w:r>
      <w:proofErr w:type="spellEnd"/>
      <w:r>
        <w:rPr>
          <w:spacing w:val="-3"/>
        </w:rPr>
        <w:t xml:space="preserve"> </w:t>
      </w:r>
      <w:r>
        <w:t>development.</w:t>
      </w:r>
      <w:r>
        <w:rPr>
          <w:spacing w:val="-14"/>
        </w:rPr>
        <w:t xml:space="preserve"> </w:t>
      </w:r>
      <w:r>
        <w:t>As</w:t>
      </w:r>
      <w:r>
        <w:rPr>
          <w:spacing w:val="-3"/>
        </w:rPr>
        <w:t xml:space="preserve"> </w:t>
      </w:r>
      <w:r>
        <w:t>a</w:t>
      </w:r>
      <w:r>
        <w:rPr>
          <w:spacing w:val="-3"/>
        </w:rPr>
        <w:t xml:space="preserve"> </w:t>
      </w:r>
      <w:r>
        <w:t>human</w:t>
      </w:r>
      <w:r>
        <w:rPr>
          <w:spacing w:val="-3"/>
        </w:rPr>
        <w:t xml:space="preserve"> </w:t>
      </w:r>
      <w:r>
        <w:t>resources</w:t>
      </w:r>
      <w:r>
        <w:rPr>
          <w:spacing w:val="-3"/>
        </w:rPr>
        <w:t xml:space="preserve"> </w:t>
      </w:r>
      <w:r>
        <w:t>business partner she is passionate about providing stakeholders with human resources best practice advice and solutions to support the growth and success of their business.</w:t>
      </w:r>
    </w:p>
    <w:p w14:paraId="224E5CEB" w14:textId="77777777" w:rsidR="00AC6F3C" w:rsidRDefault="00570E88">
      <w:pPr>
        <w:pStyle w:val="BodyText"/>
        <w:spacing w:before="174"/>
        <w:ind w:left="815"/>
      </w:pPr>
      <w:r>
        <w:t>Catherine</w:t>
      </w:r>
      <w:r>
        <w:rPr>
          <w:spacing w:val="-3"/>
        </w:rPr>
        <w:t xml:space="preserve"> </w:t>
      </w:r>
      <w:r>
        <w:t>is</w:t>
      </w:r>
      <w:r>
        <w:rPr>
          <w:spacing w:val="-3"/>
        </w:rPr>
        <w:t xml:space="preserve"> </w:t>
      </w:r>
      <w:r>
        <w:t>a</w:t>
      </w:r>
      <w:r>
        <w:rPr>
          <w:spacing w:val="-2"/>
        </w:rPr>
        <w:t xml:space="preserve"> </w:t>
      </w:r>
      <w:r>
        <w:t>member</w:t>
      </w:r>
      <w:r>
        <w:rPr>
          <w:spacing w:val="-3"/>
        </w:rPr>
        <w:t xml:space="preserve"> </w:t>
      </w:r>
      <w:r>
        <w:t>of</w:t>
      </w:r>
      <w:r>
        <w:rPr>
          <w:spacing w:val="-3"/>
        </w:rPr>
        <w:t xml:space="preserve"> </w:t>
      </w:r>
      <w:r>
        <w:t>the</w:t>
      </w:r>
      <w:r>
        <w:rPr>
          <w:spacing w:val="-13"/>
        </w:rPr>
        <w:t xml:space="preserve"> </w:t>
      </w:r>
      <w:r>
        <w:t>Australian</w:t>
      </w:r>
      <w:r>
        <w:rPr>
          <w:spacing w:val="-2"/>
        </w:rPr>
        <w:t xml:space="preserve"> </w:t>
      </w:r>
      <w:r>
        <w:t>Human</w:t>
      </w:r>
      <w:r>
        <w:rPr>
          <w:spacing w:val="-3"/>
        </w:rPr>
        <w:t xml:space="preserve"> </w:t>
      </w:r>
      <w:r>
        <w:t>Resources</w:t>
      </w:r>
      <w:r>
        <w:rPr>
          <w:spacing w:val="-2"/>
        </w:rPr>
        <w:t xml:space="preserve"> Institute.</w:t>
      </w:r>
    </w:p>
    <w:p w14:paraId="334F77E4" w14:textId="77777777" w:rsidR="00AC6F3C" w:rsidRDefault="00AC6F3C">
      <w:pPr>
        <w:pStyle w:val="BodyText"/>
        <w:spacing w:before="5"/>
        <w:rPr>
          <w:sz w:val="23"/>
        </w:rPr>
      </w:pPr>
    </w:p>
    <w:p w14:paraId="0AB73B7A" w14:textId="77777777" w:rsidR="00AC6F3C" w:rsidRDefault="00570E88">
      <w:pPr>
        <w:pStyle w:val="Heading9"/>
        <w:spacing w:before="1"/>
      </w:pPr>
      <w:r>
        <w:t>Peter</w:t>
      </w:r>
      <w:r>
        <w:rPr>
          <w:spacing w:val="-4"/>
        </w:rPr>
        <w:t xml:space="preserve"> </w:t>
      </w:r>
      <w:r>
        <w:rPr>
          <w:spacing w:val="-2"/>
        </w:rPr>
        <w:t>Gamin</w:t>
      </w:r>
    </w:p>
    <w:p w14:paraId="32715C09" w14:textId="77777777" w:rsidR="00AC6F3C" w:rsidRDefault="00570E88">
      <w:pPr>
        <w:spacing w:before="175"/>
        <w:ind w:left="815"/>
        <w:rPr>
          <w:b/>
          <w:sz w:val="20"/>
        </w:rPr>
      </w:pPr>
      <w:r>
        <w:rPr>
          <w:b/>
          <w:sz w:val="20"/>
        </w:rPr>
        <w:t xml:space="preserve">Chief Financial </w:t>
      </w:r>
      <w:r>
        <w:rPr>
          <w:b/>
          <w:spacing w:val="-2"/>
          <w:sz w:val="20"/>
        </w:rPr>
        <w:t>Officer</w:t>
      </w:r>
    </w:p>
    <w:p w14:paraId="41E49F42" w14:textId="77777777" w:rsidR="00AC6F3C" w:rsidRDefault="00570E88">
      <w:pPr>
        <w:spacing w:before="48"/>
        <w:ind w:left="815"/>
        <w:rPr>
          <w:b/>
          <w:sz w:val="16"/>
        </w:rPr>
      </w:pPr>
      <w:proofErr w:type="spellStart"/>
      <w:r>
        <w:rPr>
          <w:b/>
          <w:sz w:val="16"/>
        </w:rPr>
        <w:t>BBus</w:t>
      </w:r>
      <w:proofErr w:type="spellEnd"/>
      <w:r>
        <w:rPr>
          <w:b/>
          <w:spacing w:val="-3"/>
          <w:sz w:val="16"/>
        </w:rPr>
        <w:t xml:space="preserve"> </w:t>
      </w:r>
      <w:proofErr w:type="spellStart"/>
      <w:r>
        <w:rPr>
          <w:b/>
          <w:sz w:val="16"/>
        </w:rPr>
        <w:t>MCom</w:t>
      </w:r>
      <w:proofErr w:type="spellEnd"/>
      <w:r>
        <w:rPr>
          <w:b/>
          <w:spacing w:val="-3"/>
          <w:sz w:val="16"/>
        </w:rPr>
        <w:t xml:space="preserve"> </w:t>
      </w:r>
      <w:r>
        <w:rPr>
          <w:b/>
          <w:sz w:val="16"/>
        </w:rPr>
        <w:t>FCA</w:t>
      </w:r>
      <w:r>
        <w:rPr>
          <w:b/>
          <w:spacing w:val="-9"/>
          <w:sz w:val="16"/>
        </w:rPr>
        <w:t xml:space="preserve"> </w:t>
      </w:r>
      <w:r>
        <w:rPr>
          <w:b/>
          <w:sz w:val="16"/>
        </w:rPr>
        <w:t>FGIA</w:t>
      </w:r>
      <w:r>
        <w:rPr>
          <w:b/>
          <w:spacing w:val="-9"/>
          <w:sz w:val="16"/>
        </w:rPr>
        <w:t xml:space="preserve"> </w:t>
      </w:r>
      <w:r>
        <w:rPr>
          <w:b/>
          <w:spacing w:val="-2"/>
          <w:sz w:val="16"/>
        </w:rPr>
        <w:t>GAICD</w:t>
      </w:r>
    </w:p>
    <w:p w14:paraId="7ABE8695" w14:textId="77777777" w:rsidR="00AC6F3C" w:rsidRDefault="00AC6F3C">
      <w:pPr>
        <w:pStyle w:val="BodyText"/>
        <w:spacing w:before="4"/>
        <w:rPr>
          <w:b/>
          <w:sz w:val="16"/>
        </w:rPr>
      </w:pPr>
    </w:p>
    <w:p w14:paraId="7A3DF9A3" w14:textId="77777777" w:rsidR="00AC6F3C" w:rsidRDefault="00570E88">
      <w:pPr>
        <w:pStyle w:val="BodyText"/>
        <w:spacing w:before="1" w:line="249" w:lineRule="auto"/>
        <w:ind w:left="815" w:right="173"/>
        <w:jc w:val="both"/>
      </w:pPr>
      <w:r>
        <w:t>Peter</w:t>
      </w:r>
      <w:r>
        <w:rPr>
          <w:spacing w:val="-3"/>
        </w:rPr>
        <w:t xml:space="preserve"> </w:t>
      </w:r>
      <w:r>
        <w:t>joined</w:t>
      </w:r>
      <w:r>
        <w:rPr>
          <w:spacing w:val="-3"/>
        </w:rPr>
        <w:t xml:space="preserve"> </w:t>
      </w:r>
      <w:r>
        <w:t>QLS</w:t>
      </w:r>
      <w:r>
        <w:rPr>
          <w:spacing w:val="-3"/>
        </w:rPr>
        <w:t xml:space="preserve"> </w:t>
      </w:r>
      <w:r>
        <w:t>in</w:t>
      </w:r>
      <w:r>
        <w:rPr>
          <w:spacing w:val="-13"/>
        </w:rPr>
        <w:t xml:space="preserve"> </w:t>
      </w:r>
      <w:r>
        <w:t>August</w:t>
      </w:r>
      <w:r>
        <w:rPr>
          <w:spacing w:val="-3"/>
        </w:rPr>
        <w:t xml:space="preserve"> </w:t>
      </w:r>
      <w:r>
        <w:t>2021</w:t>
      </w:r>
      <w:r>
        <w:rPr>
          <w:spacing w:val="-3"/>
        </w:rPr>
        <w:t xml:space="preserve"> </w:t>
      </w:r>
      <w:r>
        <w:t>and</w:t>
      </w:r>
      <w:r>
        <w:rPr>
          <w:spacing w:val="-3"/>
        </w:rPr>
        <w:t xml:space="preserve"> </w:t>
      </w:r>
      <w:r>
        <w:t>is</w:t>
      </w:r>
      <w:r>
        <w:rPr>
          <w:spacing w:val="-3"/>
        </w:rPr>
        <w:t xml:space="preserve"> </w:t>
      </w:r>
      <w:r>
        <w:t>responsible</w:t>
      </w:r>
      <w:r>
        <w:rPr>
          <w:spacing w:val="-3"/>
        </w:rPr>
        <w:t xml:space="preserve"> </w:t>
      </w:r>
      <w:r>
        <w:t>for</w:t>
      </w:r>
      <w:r>
        <w:rPr>
          <w:spacing w:val="-3"/>
        </w:rPr>
        <w:t xml:space="preserve"> </w:t>
      </w:r>
      <w:r>
        <w:t>all</w:t>
      </w:r>
      <w:r>
        <w:rPr>
          <w:spacing w:val="-3"/>
        </w:rPr>
        <w:t xml:space="preserve"> </w:t>
      </w:r>
      <w:r>
        <w:t>aspects</w:t>
      </w:r>
      <w:r>
        <w:rPr>
          <w:spacing w:val="-3"/>
        </w:rPr>
        <w:t xml:space="preserve"> </w:t>
      </w:r>
      <w:r>
        <w:t>of</w:t>
      </w:r>
      <w:r>
        <w:rPr>
          <w:spacing w:val="-3"/>
        </w:rPr>
        <w:t xml:space="preserve"> </w:t>
      </w:r>
      <w:r>
        <w:t>finance,</w:t>
      </w:r>
      <w:r>
        <w:rPr>
          <w:spacing w:val="-3"/>
        </w:rPr>
        <w:t xml:space="preserve"> </w:t>
      </w:r>
      <w:r>
        <w:t>facilities</w:t>
      </w:r>
      <w:r>
        <w:rPr>
          <w:spacing w:val="-3"/>
        </w:rPr>
        <w:t xml:space="preserve"> </w:t>
      </w:r>
      <w:r>
        <w:t>and</w:t>
      </w:r>
      <w:r>
        <w:rPr>
          <w:spacing w:val="-3"/>
        </w:rPr>
        <w:t xml:space="preserve"> </w:t>
      </w:r>
      <w:r>
        <w:t>administration functions.</w:t>
      </w:r>
      <w:r>
        <w:rPr>
          <w:spacing w:val="-1"/>
        </w:rPr>
        <w:t xml:space="preserve"> </w:t>
      </w:r>
      <w:r>
        <w:t>Peter</w:t>
      </w:r>
      <w:r>
        <w:rPr>
          <w:spacing w:val="-1"/>
        </w:rPr>
        <w:t xml:space="preserve"> </w:t>
      </w:r>
      <w:r>
        <w:t>is</w:t>
      </w:r>
      <w:r>
        <w:rPr>
          <w:spacing w:val="-1"/>
        </w:rPr>
        <w:t xml:space="preserve"> </w:t>
      </w:r>
      <w:r>
        <w:t>a</w:t>
      </w:r>
      <w:r>
        <w:rPr>
          <w:spacing w:val="-1"/>
        </w:rPr>
        <w:t xml:space="preserve"> </w:t>
      </w:r>
      <w:r>
        <w:t>Chartered</w:t>
      </w:r>
      <w:r>
        <w:rPr>
          <w:spacing w:val="-12"/>
        </w:rPr>
        <w:t xml:space="preserve"> </w:t>
      </w:r>
      <w:r>
        <w:t>Accountant</w:t>
      </w:r>
      <w:r>
        <w:rPr>
          <w:spacing w:val="-1"/>
        </w:rPr>
        <w:t xml:space="preserve"> </w:t>
      </w:r>
      <w:r>
        <w:t>with</w:t>
      </w:r>
      <w:r>
        <w:rPr>
          <w:spacing w:val="-1"/>
        </w:rPr>
        <w:t xml:space="preserve"> </w:t>
      </w:r>
      <w:r>
        <w:t>20</w:t>
      </w:r>
      <w:r>
        <w:rPr>
          <w:spacing w:val="-1"/>
        </w:rPr>
        <w:t xml:space="preserve"> </w:t>
      </w:r>
      <w:r>
        <w:t>years’</w:t>
      </w:r>
      <w:r>
        <w:rPr>
          <w:spacing w:val="-9"/>
        </w:rPr>
        <w:t xml:space="preserve"> </w:t>
      </w:r>
      <w:r>
        <w:t>experience</w:t>
      </w:r>
      <w:r>
        <w:rPr>
          <w:spacing w:val="-1"/>
        </w:rPr>
        <w:t xml:space="preserve"> </w:t>
      </w:r>
      <w:r>
        <w:t>in</w:t>
      </w:r>
      <w:r>
        <w:rPr>
          <w:spacing w:val="-1"/>
        </w:rPr>
        <w:t xml:space="preserve"> </w:t>
      </w:r>
      <w:r>
        <w:t>strategic</w:t>
      </w:r>
      <w:r>
        <w:rPr>
          <w:spacing w:val="-1"/>
        </w:rPr>
        <w:t xml:space="preserve"> </w:t>
      </w:r>
      <w:r>
        <w:t>financial</w:t>
      </w:r>
      <w:r>
        <w:rPr>
          <w:spacing w:val="-1"/>
        </w:rPr>
        <w:t xml:space="preserve"> </w:t>
      </w:r>
      <w:r>
        <w:t>leadership,</w:t>
      </w:r>
      <w:r>
        <w:rPr>
          <w:spacing w:val="-1"/>
        </w:rPr>
        <w:t xml:space="preserve"> </w:t>
      </w:r>
      <w:r>
        <w:t>risk management, taxation, business process improvement, governance and creation of commercial value.</w:t>
      </w:r>
    </w:p>
    <w:p w14:paraId="369ED7A1" w14:textId="77777777" w:rsidR="00AC6F3C" w:rsidRDefault="00570E88">
      <w:pPr>
        <w:pStyle w:val="BodyText"/>
        <w:spacing w:before="2" w:line="249" w:lineRule="auto"/>
        <w:ind w:left="815" w:right="234"/>
      </w:pPr>
      <w:r>
        <w:t>He has a finance background spanning superannuation (profit for member fund), government funds management,</w:t>
      </w:r>
      <w:r>
        <w:rPr>
          <w:spacing w:val="-3"/>
        </w:rPr>
        <w:t xml:space="preserve"> </w:t>
      </w:r>
      <w:r>
        <w:t>private</w:t>
      </w:r>
      <w:r>
        <w:rPr>
          <w:spacing w:val="-3"/>
        </w:rPr>
        <w:t xml:space="preserve"> </w:t>
      </w:r>
      <w:r>
        <w:t>sector</w:t>
      </w:r>
      <w:r>
        <w:rPr>
          <w:spacing w:val="-3"/>
        </w:rPr>
        <w:t xml:space="preserve"> </w:t>
      </w:r>
      <w:r>
        <w:t>group</w:t>
      </w:r>
      <w:r>
        <w:rPr>
          <w:spacing w:val="-3"/>
        </w:rPr>
        <w:t xml:space="preserve"> </w:t>
      </w:r>
      <w:r>
        <w:t>finance</w:t>
      </w:r>
      <w:r>
        <w:rPr>
          <w:spacing w:val="-3"/>
        </w:rPr>
        <w:t xml:space="preserve"> </w:t>
      </w:r>
      <w:r>
        <w:t>and</w:t>
      </w:r>
      <w:r>
        <w:rPr>
          <w:spacing w:val="-3"/>
        </w:rPr>
        <w:t xml:space="preserve"> </w:t>
      </w:r>
      <w:r>
        <w:t>chartered</w:t>
      </w:r>
      <w:r>
        <w:rPr>
          <w:spacing w:val="-3"/>
        </w:rPr>
        <w:t xml:space="preserve"> </w:t>
      </w:r>
      <w:r>
        <w:t>accounting.</w:t>
      </w:r>
      <w:r>
        <w:rPr>
          <w:spacing w:val="-3"/>
        </w:rPr>
        <w:t xml:space="preserve"> </w:t>
      </w:r>
      <w:r>
        <w:t>Peter</w:t>
      </w:r>
      <w:r>
        <w:rPr>
          <w:spacing w:val="-3"/>
        </w:rPr>
        <w:t xml:space="preserve"> </w:t>
      </w:r>
      <w:r>
        <w:t>has</w:t>
      </w:r>
      <w:r>
        <w:rPr>
          <w:spacing w:val="-3"/>
        </w:rPr>
        <w:t xml:space="preserve"> </w:t>
      </w:r>
      <w:r>
        <w:t>a</w:t>
      </w:r>
      <w:r>
        <w:rPr>
          <w:spacing w:val="-3"/>
        </w:rPr>
        <w:t xml:space="preserve"> </w:t>
      </w:r>
      <w:r>
        <w:t>professional</w:t>
      </w:r>
      <w:r>
        <w:rPr>
          <w:spacing w:val="-3"/>
        </w:rPr>
        <w:t xml:space="preserve"> </w:t>
      </w:r>
      <w:r>
        <w:t>approach to stakeholder engagement and is committed to personal integrity, ethical business practice and the achievement of results.</w:t>
      </w:r>
    </w:p>
    <w:p w14:paraId="06C3073F" w14:textId="77777777" w:rsidR="00AC6F3C" w:rsidRDefault="00AC6F3C">
      <w:pPr>
        <w:spacing w:line="249" w:lineRule="auto"/>
        <w:sectPr w:rsidR="00AC6F3C">
          <w:headerReference w:type="default" r:id="rId188"/>
          <w:footerReference w:type="default" r:id="rId189"/>
          <w:pgSz w:w="11910" w:h="16840"/>
          <w:pgMar w:top="1140" w:right="1160" w:bottom="520" w:left="460" w:header="0" w:footer="336" w:gutter="0"/>
          <w:cols w:space="720"/>
        </w:sectPr>
      </w:pPr>
    </w:p>
    <w:p w14:paraId="02F9A181" w14:textId="77777777" w:rsidR="00AC6F3C" w:rsidRDefault="00570E88">
      <w:pPr>
        <w:spacing w:before="176"/>
        <w:ind w:left="815"/>
        <w:rPr>
          <w:b/>
          <w:sz w:val="20"/>
        </w:rPr>
      </w:pPr>
      <w:r>
        <w:rPr>
          <w:b/>
          <w:sz w:val="20"/>
        </w:rPr>
        <w:lastRenderedPageBreak/>
        <w:t>General</w:t>
      </w:r>
      <w:r>
        <w:rPr>
          <w:b/>
          <w:spacing w:val="-6"/>
          <w:sz w:val="20"/>
        </w:rPr>
        <w:t xml:space="preserve"> </w:t>
      </w:r>
      <w:r>
        <w:rPr>
          <w:b/>
          <w:sz w:val="20"/>
        </w:rPr>
        <w:t>Manager,</w:t>
      </w:r>
      <w:r>
        <w:rPr>
          <w:b/>
          <w:spacing w:val="-6"/>
          <w:sz w:val="20"/>
        </w:rPr>
        <w:t xml:space="preserve"> </w:t>
      </w:r>
      <w:r>
        <w:rPr>
          <w:b/>
          <w:sz w:val="20"/>
        </w:rPr>
        <w:t>Information</w:t>
      </w:r>
      <w:r>
        <w:rPr>
          <w:b/>
          <w:spacing w:val="-6"/>
          <w:sz w:val="20"/>
        </w:rPr>
        <w:t xml:space="preserve"> </w:t>
      </w:r>
      <w:r>
        <w:rPr>
          <w:b/>
          <w:spacing w:val="-2"/>
          <w:sz w:val="20"/>
        </w:rPr>
        <w:t>Management</w:t>
      </w:r>
    </w:p>
    <w:p w14:paraId="3DB58C62" w14:textId="77777777" w:rsidR="00AC6F3C" w:rsidRDefault="00570E88">
      <w:pPr>
        <w:spacing w:before="47"/>
        <w:ind w:left="815"/>
        <w:rPr>
          <w:b/>
          <w:sz w:val="16"/>
        </w:rPr>
      </w:pPr>
      <w:proofErr w:type="spellStart"/>
      <w:r>
        <w:rPr>
          <w:b/>
          <w:sz w:val="16"/>
        </w:rPr>
        <w:t>BSocSc</w:t>
      </w:r>
      <w:proofErr w:type="spellEnd"/>
      <w:r>
        <w:rPr>
          <w:b/>
          <w:spacing w:val="-9"/>
          <w:sz w:val="16"/>
        </w:rPr>
        <w:t xml:space="preserve"> </w:t>
      </w:r>
      <w:r>
        <w:rPr>
          <w:b/>
          <w:sz w:val="16"/>
        </w:rPr>
        <w:t>LLB</w:t>
      </w:r>
      <w:r>
        <w:rPr>
          <w:b/>
          <w:spacing w:val="-9"/>
          <w:sz w:val="16"/>
        </w:rPr>
        <w:t xml:space="preserve"> </w:t>
      </w:r>
      <w:proofErr w:type="spellStart"/>
      <w:r>
        <w:rPr>
          <w:b/>
          <w:sz w:val="16"/>
        </w:rPr>
        <w:t>GradCertProfLegalPrac</w:t>
      </w:r>
      <w:proofErr w:type="spellEnd"/>
      <w:r>
        <w:rPr>
          <w:b/>
          <w:spacing w:val="-9"/>
          <w:sz w:val="16"/>
        </w:rPr>
        <w:t xml:space="preserve"> </w:t>
      </w:r>
      <w:proofErr w:type="spellStart"/>
      <w:r>
        <w:rPr>
          <w:b/>
          <w:spacing w:val="-2"/>
          <w:sz w:val="16"/>
        </w:rPr>
        <w:t>GradDipDInfoM</w:t>
      </w:r>
      <w:proofErr w:type="spellEnd"/>
    </w:p>
    <w:p w14:paraId="78D7601F" w14:textId="77777777" w:rsidR="00AC6F3C" w:rsidRDefault="00AC6F3C">
      <w:pPr>
        <w:pStyle w:val="BodyText"/>
        <w:spacing w:before="4"/>
        <w:rPr>
          <w:b/>
          <w:sz w:val="16"/>
        </w:rPr>
      </w:pPr>
    </w:p>
    <w:p w14:paraId="798F71E8" w14:textId="77777777" w:rsidR="00AC6F3C" w:rsidRDefault="00570E88">
      <w:pPr>
        <w:pStyle w:val="BodyText"/>
        <w:spacing w:before="1" w:line="249" w:lineRule="auto"/>
        <w:ind w:left="815" w:right="234"/>
      </w:pPr>
      <w:r>
        <w:t>Megan has nearly twenty years of experience working with information technology, projects and implementing</w:t>
      </w:r>
      <w:r>
        <w:rPr>
          <w:spacing w:val="-4"/>
        </w:rPr>
        <w:t xml:space="preserve"> </w:t>
      </w:r>
      <w:r>
        <w:t>change</w:t>
      </w:r>
      <w:r>
        <w:rPr>
          <w:spacing w:val="-4"/>
        </w:rPr>
        <w:t xml:space="preserve"> </w:t>
      </w:r>
      <w:r>
        <w:t>in</w:t>
      </w:r>
      <w:r>
        <w:rPr>
          <w:spacing w:val="-4"/>
        </w:rPr>
        <w:t xml:space="preserve"> </w:t>
      </w:r>
      <w:r>
        <w:t>the</w:t>
      </w:r>
      <w:r>
        <w:rPr>
          <w:spacing w:val="-4"/>
        </w:rPr>
        <w:t xml:space="preserve"> </w:t>
      </w:r>
      <w:r>
        <w:t>legal</w:t>
      </w:r>
      <w:r>
        <w:rPr>
          <w:spacing w:val="-4"/>
        </w:rPr>
        <w:t xml:space="preserve"> </w:t>
      </w:r>
      <w:r>
        <w:t>sector.</w:t>
      </w:r>
      <w:r>
        <w:rPr>
          <w:spacing w:val="-4"/>
        </w:rPr>
        <w:t xml:space="preserve"> </w:t>
      </w:r>
      <w:r>
        <w:t>She</w:t>
      </w:r>
      <w:r>
        <w:rPr>
          <w:spacing w:val="-4"/>
        </w:rPr>
        <w:t xml:space="preserve"> </w:t>
      </w:r>
      <w:r>
        <w:t>has</w:t>
      </w:r>
      <w:r>
        <w:rPr>
          <w:spacing w:val="-4"/>
        </w:rPr>
        <w:t xml:space="preserve"> </w:t>
      </w:r>
      <w:r>
        <w:t>held</w:t>
      </w:r>
      <w:r>
        <w:rPr>
          <w:spacing w:val="-4"/>
        </w:rPr>
        <w:t xml:space="preserve"> </w:t>
      </w:r>
      <w:r>
        <w:t>positions</w:t>
      </w:r>
      <w:r>
        <w:rPr>
          <w:spacing w:val="-4"/>
        </w:rPr>
        <w:t xml:space="preserve"> </w:t>
      </w:r>
      <w:r>
        <w:t>responsible</w:t>
      </w:r>
      <w:r>
        <w:rPr>
          <w:spacing w:val="-4"/>
        </w:rPr>
        <w:t xml:space="preserve"> </w:t>
      </w:r>
      <w:r>
        <w:t>for</w:t>
      </w:r>
      <w:r>
        <w:rPr>
          <w:spacing w:val="-4"/>
        </w:rPr>
        <w:t xml:space="preserve"> </w:t>
      </w:r>
      <w:r>
        <w:t>providing</w:t>
      </w:r>
      <w:r>
        <w:rPr>
          <w:spacing w:val="-4"/>
        </w:rPr>
        <w:t xml:space="preserve"> </w:t>
      </w:r>
      <w:r>
        <w:t>expert</w:t>
      </w:r>
      <w:r>
        <w:rPr>
          <w:spacing w:val="-4"/>
        </w:rPr>
        <w:t xml:space="preserve"> </w:t>
      </w:r>
      <w:r>
        <w:t>advice on strategy, policy, legislation and systems regarding all information management matters as well as leading digital transformation projects. Megan is a Churchill Fellow.</w:t>
      </w:r>
    </w:p>
    <w:p w14:paraId="0F11B9CF" w14:textId="77777777" w:rsidR="00AC6F3C" w:rsidRDefault="00AC6F3C">
      <w:pPr>
        <w:pStyle w:val="BodyText"/>
        <w:spacing w:before="10"/>
        <w:rPr>
          <w:sz w:val="22"/>
        </w:rPr>
      </w:pPr>
    </w:p>
    <w:p w14:paraId="3611FCA9" w14:textId="77777777" w:rsidR="00AC6F3C" w:rsidRDefault="00570E88">
      <w:pPr>
        <w:pStyle w:val="Heading9"/>
      </w:pPr>
      <w:r>
        <w:t>Sandra</w:t>
      </w:r>
      <w:r>
        <w:rPr>
          <w:spacing w:val="-5"/>
        </w:rPr>
        <w:t xml:space="preserve"> </w:t>
      </w:r>
      <w:r>
        <w:rPr>
          <w:spacing w:val="-2"/>
        </w:rPr>
        <w:t>Pepper</w:t>
      </w:r>
    </w:p>
    <w:p w14:paraId="6B16BDA7" w14:textId="77777777" w:rsidR="00AC6F3C" w:rsidRDefault="00570E88">
      <w:pPr>
        <w:spacing w:before="176"/>
        <w:ind w:left="815"/>
        <w:rPr>
          <w:b/>
          <w:sz w:val="20"/>
        </w:rPr>
      </w:pPr>
      <w:r>
        <w:rPr>
          <w:b/>
          <w:sz w:val="20"/>
        </w:rPr>
        <w:t>General</w:t>
      </w:r>
      <w:r>
        <w:rPr>
          <w:b/>
          <w:spacing w:val="-9"/>
          <w:sz w:val="20"/>
        </w:rPr>
        <w:t xml:space="preserve"> </w:t>
      </w:r>
      <w:r>
        <w:rPr>
          <w:b/>
          <w:sz w:val="20"/>
        </w:rPr>
        <w:t>Manager,</w:t>
      </w:r>
      <w:r>
        <w:rPr>
          <w:b/>
          <w:spacing w:val="-9"/>
          <w:sz w:val="20"/>
        </w:rPr>
        <w:t xml:space="preserve"> </w:t>
      </w:r>
      <w:r>
        <w:rPr>
          <w:b/>
          <w:spacing w:val="-2"/>
          <w:sz w:val="20"/>
        </w:rPr>
        <w:t>Education</w:t>
      </w:r>
    </w:p>
    <w:p w14:paraId="62769CD6" w14:textId="77777777" w:rsidR="00AC6F3C" w:rsidRDefault="00570E88">
      <w:pPr>
        <w:spacing w:before="48"/>
        <w:ind w:left="815"/>
        <w:rPr>
          <w:b/>
          <w:sz w:val="16"/>
        </w:rPr>
      </w:pPr>
      <w:r>
        <w:rPr>
          <w:b/>
          <w:sz w:val="16"/>
        </w:rPr>
        <w:t>BA</w:t>
      </w:r>
      <w:r>
        <w:rPr>
          <w:b/>
          <w:spacing w:val="-7"/>
          <w:sz w:val="16"/>
        </w:rPr>
        <w:t xml:space="preserve"> </w:t>
      </w:r>
      <w:r>
        <w:rPr>
          <w:b/>
          <w:spacing w:val="-5"/>
          <w:sz w:val="16"/>
        </w:rPr>
        <w:t>LLB</w:t>
      </w:r>
    </w:p>
    <w:p w14:paraId="7B6BB09B" w14:textId="77777777" w:rsidR="00AC6F3C" w:rsidRDefault="00AC6F3C">
      <w:pPr>
        <w:pStyle w:val="BodyText"/>
        <w:spacing w:before="4"/>
        <w:rPr>
          <w:b/>
          <w:sz w:val="16"/>
        </w:rPr>
      </w:pPr>
    </w:p>
    <w:p w14:paraId="6D63159A" w14:textId="77777777" w:rsidR="00AC6F3C" w:rsidRDefault="00570E88">
      <w:pPr>
        <w:pStyle w:val="BodyText"/>
        <w:spacing w:line="249" w:lineRule="auto"/>
        <w:ind w:left="815" w:right="157"/>
      </w:pPr>
      <w:r>
        <w:t>Sandra is a senior lawyer with over 25 years’</w:t>
      </w:r>
      <w:r>
        <w:rPr>
          <w:spacing w:val="-3"/>
        </w:rPr>
        <w:t xml:space="preserve"> </w:t>
      </w:r>
      <w:r>
        <w:t xml:space="preserve">experience in the legal profession. Sandra </w:t>
      </w:r>
      <w:proofErr w:type="spellStart"/>
      <w:r>
        <w:t>practised</w:t>
      </w:r>
      <w:proofErr w:type="spellEnd"/>
      <w:r>
        <w:t xml:space="preserve"> in the areas of property and finance law before moving in to the legal Knowledge Management and Learning and Development fields. Her experience spans all stages of adult learning and includes syllabus development,</w:t>
      </w:r>
      <w:r>
        <w:rPr>
          <w:spacing w:val="-4"/>
        </w:rPr>
        <w:t xml:space="preserve"> </w:t>
      </w:r>
      <w:r>
        <w:t>content</w:t>
      </w:r>
      <w:r>
        <w:rPr>
          <w:spacing w:val="-4"/>
        </w:rPr>
        <w:t xml:space="preserve"> </w:t>
      </w:r>
      <w:r>
        <w:t>creation</w:t>
      </w:r>
      <w:r>
        <w:rPr>
          <w:spacing w:val="-4"/>
        </w:rPr>
        <w:t xml:space="preserve"> </w:t>
      </w:r>
      <w:r>
        <w:t>and</w:t>
      </w:r>
      <w:r>
        <w:rPr>
          <w:spacing w:val="-4"/>
        </w:rPr>
        <w:t xml:space="preserve"> </w:t>
      </w:r>
      <w:r>
        <w:t>training</w:t>
      </w:r>
      <w:r>
        <w:rPr>
          <w:spacing w:val="-4"/>
        </w:rPr>
        <w:t xml:space="preserve"> </w:t>
      </w:r>
      <w:r>
        <w:t>delivery.</w:t>
      </w:r>
      <w:r>
        <w:rPr>
          <w:spacing w:val="-4"/>
        </w:rPr>
        <w:t xml:space="preserve"> </w:t>
      </w:r>
      <w:r>
        <w:t>She</w:t>
      </w:r>
      <w:r>
        <w:rPr>
          <w:spacing w:val="-4"/>
        </w:rPr>
        <w:t xml:space="preserve"> </w:t>
      </w:r>
      <w:r>
        <w:t>has</w:t>
      </w:r>
      <w:r>
        <w:rPr>
          <w:spacing w:val="-4"/>
        </w:rPr>
        <w:t xml:space="preserve"> </w:t>
      </w:r>
      <w:r>
        <w:t>a</w:t>
      </w:r>
      <w:r>
        <w:rPr>
          <w:spacing w:val="-4"/>
        </w:rPr>
        <w:t xml:space="preserve"> </w:t>
      </w:r>
      <w:r>
        <w:t>strong</w:t>
      </w:r>
      <w:r>
        <w:rPr>
          <w:spacing w:val="-4"/>
        </w:rPr>
        <w:t xml:space="preserve"> </w:t>
      </w:r>
      <w:r>
        <w:t>track</w:t>
      </w:r>
      <w:r>
        <w:rPr>
          <w:spacing w:val="-4"/>
        </w:rPr>
        <w:t xml:space="preserve"> </w:t>
      </w:r>
      <w:r>
        <w:t>record</w:t>
      </w:r>
      <w:r>
        <w:rPr>
          <w:spacing w:val="-4"/>
        </w:rPr>
        <w:t xml:space="preserve"> </w:t>
      </w:r>
      <w:r>
        <w:t>in</w:t>
      </w:r>
      <w:r>
        <w:rPr>
          <w:spacing w:val="-4"/>
        </w:rPr>
        <w:t xml:space="preserve"> </w:t>
      </w:r>
      <w:r>
        <w:t>implementing</w:t>
      </w:r>
      <w:r>
        <w:rPr>
          <w:spacing w:val="-4"/>
        </w:rPr>
        <w:t xml:space="preserve"> </w:t>
      </w:r>
      <w:r>
        <w:t>digital solutions and building relationships with stakeholders, to provide quality learning outcomes.</w:t>
      </w:r>
    </w:p>
    <w:p w14:paraId="0D40B959" w14:textId="77777777" w:rsidR="00AC6F3C" w:rsidRDefault="00570E88">
      <w:pPr>
        <w:pStyle w:val="BodyText"/>
        <w:spacing w:before="174" w:line="249" w:lineRule="auto"/>
        <w:ind w:left="815" w:right="632"/>
      </w:pPr>
      <w:r>
        <w:t>Sandra is passionate about enabling lawyers, through continued education, to develop their professional</w:t>
      </w:r>
      <w:r>
        <w:rPr>
          <w:spacing w:val="-3"/>
        </w:rPr>
        <w:t xml:space="preserve"> </w:t>
      </w:r>
      <w:r>
        <w:t>skills</w:t>
      </w:r>
      <w:r>
        <w:rPr>
          <w:spacing w:val="-3"/>
        </w:rPr>
        <w:t xml:space="preserve"> </w:t>
      </w:r>
      <w:r>
        <w:t>and</w:t>
      </w:r>
      <w:r>
        <w:rPr>
          <w:spacing w:val="-3"/>
        </w:rPr>
        <w:t xml:space="preserve"> </w:t>
      </w:r>
      <w:r>
        <w:t>build</w:t>
      </w:r>
      <w:r>
        <w:rPr>
          <w:spacing w:val="-3"/>
        </w:rPr>
        <w:t xml:space="preserve"> </w:t>
      </w:r>
      <w:r>
        <w:t>successful</w:t>
      </w:r>
      <w:r>
        <w:rPr>
          <w:spacing w:val="-3"/>
        </w:rPr>
        <w:t xml:space="preserve"> </w:t>
      </w:r>
      <w:r>
        <w:t>careers,</w:t>
      </w:r>
      <w:r>
        <w:rPr>
          <w:spacing w:val="-3"/>
        </w:rPr>
        <w:t xml:space="preserve"> </w:t>
      </w:r>
      <w:r>
        <w:t>while</w:t>
      </w:r>
      <w:r>
        <w:rPr>
          <w:spacing w:val="-3"/>
        </w:rPr>
        <w:t xml:space="preserve"> </w:t>
      </w:r>
      <w:r>
        <w:t>maintaining</w:t>
      </w:r>
      <w:r>
        <w:rPr>
          <w:spacing w:val="-3"/>
        </w:rPr>
        <w:t xml:space="preserve"> </w:t>
      </w:r>
      <w:r>
        <w:t>wellbeing</w:t>
      </w:r>
      <w:r>
        <w:rPr>
          <w:spacing w:val="-3"/>
        </w:rPr>
        <w:t xml:space="preserve"> </w:t>
      </w:r>
      <w:r>
        <w:t>in</w:t>
      </w:r>
      <w:r>
        <w:rPr>
          <w:spacing w:val="-3"/>
        </w:rPr>
        <w:t xml:space="preserve"> </w:t>
      </w:r>
      <w:r>
        <w:t>a</w:t>
      </w:r>
      <w:r>
        <w:rPr>
          <w:spacing w:val="-3"/>
        </w:rPr>
        <w:t xml:space="preserve"> </w:t>
      </w:r>
      <w:r>
        <w:t>positive</w:t>
      </w:r>
      <w:r>
        <w:rPr>
          <w:spacing w:val="-3"/>
        </w:rPr>
        <w:t xml:space="preserve"> </w:t>
      </w:r>
      <w:r>
        <w:t>and inclusive cultural environment.</w:t>
      </w:r>
    </w:p>
    <w:p w14:paraId="07133D50" w14:textId="77777777" w:rsidR="00AC6F3C" w:rsidRDefault="00AC6F3C">
      <w:pPr>
        <w:pStyle w:val="BodyText"/>
        <w:spacing w:before="10"/>
        <w:rPr>
          <w:sz w:val="22"/>
        </w:rPr>
      </w:pPr>
    </w:p>
    <w:p w14:paraId="0823DF76" w14:textId="77777777" w:rsidR="00AC6F3C" w:rsidRDefault="00570E88">
      <w:pPr>
        <w:pStyle w:val="Heading9"/>
      </w:pPr>
      <w:r>
        <w:t>Louise</w:t>
      </w:r>
      <w:r>
        <w:rPr>
          <w:spacing w:val="-5"/>
        </w:rPr>
        <w:t xml:space="preserve"> </w:t>
      </w:r>
      <w:r>
        <w:rPr>
          <w:spacing w:val="-2"/>
        </w:rPr>
        <w:t>Pennisi</w:t>
      </w:r>
    </w:p>
    <w:p w14:paraId="63406A96" w14:textId="77777777" w:rsidR="00AC6F3C" w:rsidRDefault="00570E88">
      <w:pPr>
        <w:spacing w:before="176"/>
        <w:ind w:left="815"/>
        <w:rPr>
          <w:b/>
          <w:sz w:val="20"/>
        </w:rPr>
      </w:pPr>
      <w:r>
        <w:rPr>
          <w:b/>
          <w:sz w:val="20"/>
        </w:rPr>
        <w:t>Corporate</w:t>
      </w:r>
      <w:r>
        <w:rPr>
          <w:b/>
          <w:spacing w:val="-9"/>
          <w:sz w:val="20"/>
        </w:rPr>
        <w:t xml:space="preserve"> </w:t>
      </w:r>
      <w:r>
        <w:rPr>
          <w:b/>
          <w:sz w:val="20"/>
        </w:rPr>
        <w:t>Secretary,</w:t>
      </w:r>
      <w:r>
        <w:rPr>
          <w:b/>
          <w:spacing w:val="-8"/>
          <w:sz w:val="20"/>
        </w:rPr>
        <w:t xml:space="preserve"> </w:t>
      </w:r>
      <w:r>
        <w:rPr>
          <w:b/>
          <w:sz w:val="20"/>
        </w:rPr>
        <w:t>Manager,</w:t>
      </w:r>
      <w:r>
        <w:rPr>
          <w:b/>
          <w:spacing w:val="-8"/>
          <w:sz w:val="20"/>
        </w:rPr>
        <w:t xml:space="preserve"> </w:t>
      </w:r>
      <w:r>
        <w:rPr>
          <w:b/>
          <w:sz w:val="20"/>
        </w:rPr>
        <w:t>Corporate</w:t>
      </w:r>
      <w:r>
        <w:rPr>
          <w:b/>
          <w:spacing w:val="-8"/>
          <w:sz w:val="20"/>
        </w:rPr>
        <w:t xml:space="preserve"> </w:t>
      </w:r>
      <w:r>
        <w:rPr>
          <w:b/>
          <w:sz w:val="20"/>
        </w:rPr>
        <w:t>Governance</w:t>
      </w:r>
      <w:r>
        <w:rPr>
          <w:b/>
          <w:spacing w:val="-9"/>
          <w:sz w:val="20"/>
        </w:rPr>
        <w:t xml:space="preserve"> </w:t>
      </w:r>
      <w:r>
        <w:rPr>
          <w:b/>
          <w:sz w:val="20"/>
        </w:rPr>
        <w:t>and</w:t>
      </w:r>
      <w:r>
        <w:rPr>
          <w:b/>
          <w:spacing w:val="-8"/>
          <w:sz w:val="20"/>
        </w:rPr>
        <w:t xml:space="preserve"> </w:t>
      </w:r>
      <w:r>
        <w:rPr>
          <w:b/>
          <w:sz w:val="20"/>
        </w:rPr>
        <w:t>Cultural</w:t>
      </w:r>
      <w:r>
        <w:rPr>
          <w:b/>
          <w:spacing w:val="-8"/>
          <w:sz w:val="20"/>
        </w:rPr>
        <w:t xml:space="preserve"> </w:t>
      </w:r>
      <w:r>
        <w:rPr>
          <w:b/>
          <w:sz w:val="20"/>
        </w:rPr>
        <w:t>Outreach</w:t>
      </w:r>
      <w:r>
        <w:rPr>
          <w:b/>
          <w:spacing w:val="-8"/>
          <w:sz w:val="20"/>
        </w:rPr>
        <w:t xml:space="preserve"> </w:t>
      </w:r>
      <w:r>
        <w:rPr>
          <w:b/>
          <w:spacing w:val="-2"/>
          <w:sz w:val="20"/>
        </w:rPr>
        <w:t>Strategy</w:t>
      </w:r>
    </w:p>
    <w:p w14:paraId="3945E997" w14:textId="77777777" w:rsidR="00AC6F3C" w:rsidRDefault="00570E88">
      <w:pPr>
        <w:spacing w:before="48"/>
        <w:ind w:left="815"/>
        <w:rPr>
          <w:b/>
          <w:sz w:val="16"/>
        </w:rPr>
      </w:pPr>
      <w:r>
        <w:rPr>
          <w:b/>
          <w:sz w:val="16"/>
        </w:rPr>
        <w:t>BA/LLB</w:t>
      </w:r>
      <w:r>
        <w:rPr>
          <w:b/>
          <w:spacing w:val="-2"/>
          <w:sz w:val="16"/>
        </w:rPr>
        <w:t xml:space="preserve"> </w:t>
      </w:r>
      <w:r>
        <w:rPr>
          <w:b/>
          <w:sz w:val="16"/>
        </w:rPr>
        <w:t>LLM</w:t>
      </w:r>
      <w:r>
        <w:rPr>
          <w:b/>
          <w:spacing w:val="-2"/>
          <w:sz w:val="16"/>
        </w:rPr>
        <w:t xml:space="preserve"> </w:t>
      </w:r>
      <w:r>
        <w:rPr>
          <w:b/>
          <w:sz w:val="16"/>
        </w:rPr>
        <w:t>GIA</w:t>
      </w:r>
      <w:r>
        <w:rPr>
          <w:b/>
          <w:spacing w:val="-9"/>
          <w:sz w:val="16"/>
        </w:rPr>
        <w:t xml:space="preserve"> </w:t>
      </w:r>
      <w:r>
        <w:rPr>
          <w:b/>
          <w:sz w:val="16"/>
        </w:rPr>
        <w:t>(Cert)</w:t>
      </w:r>
      <w:r>
        <w:rPr>
          <w:b/>
          <w:spacing w:val="-1"/>
          <w:sz w:val="16"/>
        </w:rPr>
        <w:t xml:space="preserve"> </w:t>
      </w:r>
      <w:r>
        <w:rPr>
          <w:b/>
          <w:spacing w:val="-2"/>
          <w:sz w:val="16"/>
        </w:rPr>
        <w:t>GAICD</w:t>
      </w:r>
    </w:p>
    <w:p w14:paraId="4A1F0B50" w14:textId="77777777" w:rsidR="00AC6F3C" w:rsidRDefault="00AC6F3C">
      <w:pPr>
        <w:pStyle w:val="BodyText"/>
        <w:spacing w:before="4"/>
        <w:rPr>
          <w:b/>
          <w:sz w:val="16"/>
        </w:rPr>
      </w:pPr>
    </w:p>
    <w:p w14:paraId="2401E484" w14:textId="77777777" w:rsidR="00AC6F3C" w:rsidRDefault="00570E88">
      <w:pPr>
        <w:pStyle w:val="BodyText"/>
        <w:spacing w:line="249" w:lineRule="auto"/>
        <w:ind w:left="815" w:right="164"/>
      </w:pPr>
      <w:r>
        <w:t>Louise</w:t>
      </w:r>
      <w:r>
        <w:rPr>
          <w:spacing w:val="-3"/>
        </w:rPr>
        <w:t xml:space="preserve"> </w:t>
      </w:r>
      <w:r>
        <w:t>is</w:t>
      </w:r>
      <w:r>
        <w:rPr>
          <w:spacing w:val="-3"/>
        </w:rPr>
        <w:t xml:space="preserve"> </w:t>
      </w:r>
      <w:r>
        <w:t>tasked</w:t>
      </w:r>
      <w:r>
        <w:rPr>
          <w:spacing w:val="-3"/>
        </w:rPr>
        <w:t xml:space="preserve"> </w:t>
      </w:r>
      <w:r>
        <w:t>with</w:t>
      </w:r>
      <w:r>
        <w:rPr>
          <w:spacing w:val="-3"/>
        </w:rPr>
        <w:t xml:space="preserve"> </w:t>
      </w:r>
      <w:r>
        <w:t>overseeing</w:t>
      </w:r>
      <w:r>
        <w:rPr>
          <w:spacing w:val="-3"/>
        </w:rPr>
        <w:t xml:space="preserve"> </w:t>
      </w:r>
      <w:r>
        <w:t>corporate</w:t>
      </w:r>
      <w:r>
        <w:rPr>
          <w:spacing w:val="-3"/>
        </w:rPr>
        <w:t xml:space="preserve"> </w:t>
      </w:r>
      <w:r>
        <w:t>governance</w:t>
      </w:r>
      <w:r>
        <w:rPr>
          <w:spacing w:val="-3"/>
        </w:rPr>
        <w:t xml:space="preserve"> </w:t>
      </w:r>
      <w:r>
        <w:t>for</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as</w:t>
      </w:r>
      <w:r>
        <w:rPr>
          <w:spacing w:val="-3"/>
        </w:rPr>
        <w:t xml:space="preserve"> </w:t>
      </w:r>
      <w:r>
        <w:t>well</w:t>
      </w:r>
      <w:r>
        <w:rPr>
          <w:spacing w:val="-3"/>
        </w:rPr>
        <w:t xml:space="preserve"> </w:t>
      </w:r>
      <w:r>
        <w:t>as</w:t>
      </w:r>
      <w:r>
        <w:rPr>
          <w:spacing w:val="-3"/>
        </w:rPr>
        <w:t xml:space="preserve"> </w:t>
      </w:r>
      <w:r>
        <w:t>managing and monitoring QLS’s cultural commitments, risk management and corporate statutory functions. Louise is also responsible for working with Council and the Executive Leadership Team to develop, implement and report on strategy. Louise joined QLS in 2010 and commenced in this role in March 2017.</w:t>
      </w:r>
    </w:p>
    <w:p w14:paraId="77A8575E" w14:textId="77777777" w:rsidR="00AC6F3C" w:rsidRDefault="00570E88">
      <w:pPr>
        <w:pStyle w:val="BodyText"/>
        <w:spacing w:before="174" w:line="249" w:lineRule="auto"/>
        <w:ind w:left="815" w:right="234"/>
      </w:pPr>
      <w:r>
        <w:t xml:space="preserve">Louise was admitted to </w:t>
      </w:r>
      <w:proofErr w:type="spellStart"/>
      <w:r>
        <w:t>practise</w:t>
      </w:r>
      <w:proofErr w:type="spellEnd"/>
      <w:r>
        <w:t xml:space="preserve"> as a solicitor in the Supreme Court of Queensland in 2006 and has extensive experience in succession and commercial law private practice as well as governance, risk management</w:t>
      </w:r>
      <w:r>
        <w:rPr>
          <w:spacing w:val="-2"/>
        </w:rPr>
        <w:t xml:space="preserve"> </w:t>
      </w:r>
      <w:r>
        <w:t>and</w:t>
      </w:r>
      <w:r>
        <w:rPr>
          <w:spacing w:val="-2"/>
        </w:rPr>
        <w:t xml:space="preserve"> </w:t>
      </w:r>
      <w:r>
        <w:t>policy</w:t>
      </w:r>
      <w:r>
        <w:rPr>
          <w:spacing w:val="-2"/>
        </w:rPr>
        <w:t xml:space="preserve"> </w:t>
      </w:r>
      <w:r>
        <w:t>law</w:t>
      </w:r>
      <w:r>
        <w:rPr>
          <w:spacing w:val="-2"/>
        </w:rPr>
        <w:t xml:space="preserve"> </w:t>
      </w:r>
      <w:r>
        <w:t>reform.</w:t>
      </w:r>
      <w:r>
        <w:rPr>
          <w:spacing w:val="-2"/>
        </w:rPr>
        <w:t xml:space="preserve"> </w:t>
      </w:r>
      <w:r>
        <w:t>Louise</w:t>
      </w:r>
      <w:r>
        <w:rPr>
          <w:spacing w:val="-2"/>
        </w:rPr>
        <w:t xml:space="preserve"> </w:t>
      </w:r>
      <w:r>
        <w:t>completed</w:t>
      </w:r>
      <w:r>
        <w:rPr>
          <w:spacing w:val="-2"/>
        </w:rPr>
        <w:t xml:space="preserve"> </w:t>
      </w:r>
      <w:r>
        <w:t>the</w:t>
      </w:r>
      <w:r>
        <w:rPr>
          <w:spacing w:val="-13"/>
        </w:rPr>
        <w:t xml:space="preserve"> </w:t>
      </w:r>
      <w:r>
        <w:t>AICD</w:t>
      </w:r>
      <w:r>
        <w:rPr>
          <w:spacing w:val="-2"/>
        </w:rPr>
        <w:t xml:space="preserve"> </w:t>
      </w:r>
      <w:r>
        <w:t>course</w:t>
      </w:r>
      <w:r>
        <w:rPr>
          <w:spacing w:val="-2"/>
        </w:rPr>
        <w:t xml:space="preserve"> </w:t>
      </w:r>
      <w:r>
        <w:t>in</w:t>
      </w:r>
      <w:r>
        <w:rPr>
          <w:spacing w:val="-2"/>
        </w:rPr>
        <w:t xml:space="preserve"> </w:t>
      </w:r>
      <w:r>
        <w:t>2014,</w:t>
      </w:r>
      <w:r>
        <w:rPr>
          <w:spacing w:val="-2"/>
        </w:rPr>
        <w:t xml:space="preserve"> </w:t>
      </w:r>
      <w:r>
        <w:t>is</w:t>
      </w:r>
      <w:r>
        <w:rPr>
          <w:spacing w:val="-2"/>
        </w:rPr>
        <w:t xml:space="preserve"> </w:t>
      </w:r>
      <w:r>
        <w:t>a</w:t>
      </w:r>
      <w:r>
        <w:rPr>
          <w:spacing w:val="-2"/>
        </w:rPr>
        <w:t xml:space="preserve"> </w:t>
      </w:r>
      <w:r>
        <w:t>member</w:t>
      </w:r>
      <w:r>
        <w:rPr>
          <w:spacing w:val="-2"/>
        </w:rPr>
        <w:t xml:space="preserve"> </w:t>
      </w:r>
      <w:r>
        <w:t>of</w:t>
      </w:r>
      <w:r>
        <w:rPr>
          <w:spacing w:val="-2"/>
        </w:rPr>
        <w:t xml:space="preserve"> </w:t>
      </w:r>
      <w:r>
        <w:t>the</w:t>
      </w:r>
      <w:r>
        <w:rPr>
          <w:spacing w:val="-2"/>
        </w:rPr>
        <w:t xml:space="preserve"> </w:t>
      </w:r>
      <w:r>
        <w:t>Star of the Sea Parish Finance Council, Chair of the Star of the Sea Parish Workplace Health and Safety Committee and 2016-2018 Vice President of the</w:t>
      </w:r>
      <w:r>
        <w:rPr>
          <w:spacing w:val="-1"/>
        </w:rPr>
        <w:t xml:space="preserve"> </w:t>
      </w:r>
      <w:r>
        <w:t>Australian Breastfeeding</w:t>
      </w:r>
      <w:r>
        <w:rPr>
          <w:spacing w:val="-1"/>
        </w:rPr>
        <w:t xml:space="preserve"> </w:t>
      </w:r>
      <w:r>
        <w:t>Association.</w:t>
      </w:r>
    </w:p>
    <w:p w14:paraId="102CB2ED" w14:textId="77777777" w:rsidR="00AC6F3C" w:rsidRDefault="00AC6F3C">
      <w:pPr>
        <w:pStyle w:val="BodyText"/>
        <w:spacing w:before="11"/>
        <w:rPr>
          <w:sz w:val="22"/>
        </w:rPr>
      </w:pPr>
    </w:p>
    <w:p w14:paraId="1DD8F8A7" w14:textId="77777777" w:rsidR="00AC6F3C" w:rsidRDefault="00570E88">
      <w:pPr>
        <w:pStyle w:val="Heading9"/>
      </w:pPr>
      <w:r>
        <w:t xml:space="preserve">Dan </w:t>
      </w:r>
      <w:r>
        <w:rPr>
          <w:spacing w:val="-4"/>
        </w:rPr>
        <w:t>Ryan</w:t>
      </w:r>
    </w:p>
    <w:p w14:paraId="27C7EE3E" w14:textId="77777777" w:rsidR="00AC6F3C" w:rsidRDefault="00570E88">
      <w:pPr>
        <w:spacing w:before="176"/>
        <w:ind w:left="815"/>
        <w:rPr>
          <w:b/>
          <w:sz w:val="20"/>
        </w:rPr>
      </w:pPr>
      <w:r>
        <w:rPr>
          <w:b/>
          <w:sz w:val="20"/>
        </w:rPr>
        <w:t>Acting</w:t>
      </w:r>
      <w:r>
        <w:rPr>
          <w:b/>
          <w:spacing w:val="-5"/>
          <w:sz w:val="20"/>
        </w:rPr>
        <w:t xml:space="preserve"> </w:t>
      </w:r>
      <w:r>
        <w:rPr>
          <w:b/>
          <w:sz w:val="20"/>
        </w:rPr>
        <w:t>General</w:t>
      </w:r>
      <w:r>
        <w:rPr>
          <w:b/>
          <w:spacing w:val="-5"/>
          <w:sz w:val="20"/>
        </w:rPr>
        <w:t xml:space="preserve"> </w:t>
      </w:r>
      <w:r>
        <w:rPr>
          <w:b/>
          <w:sz w:val="20"/>
        </w:rPr>
        <w:t>Manager,</w:t>
      </w:r>
      <w:r>
        <w:rPr>
          <w:b/>
          <w:spacing w:val="-5"/>
          <w:sz w:val="20"/>
        </w:rPr>
        <w:t xml:space="preserve"> </w:t>
      </w:r>
      <w:r>
        <w:rPr>
          <w:b/>
          <w:sz w:val="20"/>
        </w:rPr>
        <w:t>Office</w:t>
      </w:r>
      <w:r>
        <w:rPr>
          <w:b/>
          <w:spacing w:val="-5"/>
          <w:sz w:val="20"/>
        </w:rPr>
        <w:t xml:space="preserve"> </w:t>
      </w:r>
      <w:r>
        <w:rPr>
          <w:b/>
          <w:sz w:val="20"/>
        </w:rPr>
        <w:t>of</w:t>
      </w:r>
      <w:r>
        <w:rPr>
          <w:b/>
          <w:spacing w:val="-4"/>
          <w:sz w:val="20"/>
        </w:rPr>
        <w:t xml:space="preserve"> </w:t>
      </w:r>
      <w:r>
        <w:rPr>
          <w:b/>
          <w:sz w:val="20"/>
        </w:rPr>
        <w:t>General</w:t>
      </w:r>
      <w:r>
        <w:rPr>
          <w:b/>
          <w:spacing w:val="-5"/>
          <w:sz w:val="20"/>
        </w:rPr>
        <w:t xml:space="preserve"> </w:t>
      </w:r>
      <w:r>
        <w:rPr>
          <w:b/>
          <w:spacing w:val="-2"/>
          <w:sz w:val="20"/>
        </w:rPr>
        <w:t>Counsel</w:t>
      </w:r>
    </w:p>
    <w:p w14:paraId="3C0B969E" w14:textId="77777777" w:rsidR="00AC6F3C" w:rsidRDefault="00570E88">
      <w:pPr>
        <w:spacing w:before="48"/>
        <w:ind w:left="815"/>
        <w:rPr>
          <w:b/>
          <w:sz w:val="16"/>
        </w:rPr>
      </w:pPr>
      <w:r>
        <w:rPr>
          <w:b/>
          <w:spacing w:val="-5"/>
          <w:sz w:val="16"/>
        </w:rPr>
        <w:t>LLB</w:t>
      </w:r>
    </w:p>
    <w:p w14:paraId="239DF9ED" w14:textId="77777777" w:rsidR="00AC6F3C" w:rsidRDefault="00AC6F3C">
      <w:pPr>
        <w:pStyle w:val="BodyText"/>
        <w:spacing w:before="4"/>
        <w:rPr>
          <w:b/>
          <w:sz w:val="16"/>
        </w:rPr>
      </w:pPr>
    </w:p>
    <w:p w14:paraId="7E89BA5B" w14:textId="77777777" w:rsidR="00AC6F3C" w:rsidRDefault="00570E88">
      <w:pPr>
        <w:pStyle w:val="BodyText"/>
        <w:spacing w:line="249" w:lineRule="auto"/>
        <w:ind w:left="815" w:right="234"/>
      </w:pPr>
      <w:r>
        <w:t>Dan Ryan serves as acting General Counsel of the Queensland Law Society. He has over 20 years of high</w:t>
      </w:r>
      <w:r>
        <w:rPr>
          <w:spacing w:val="-1"/>
        </w:rPr>
        <w:t xml:space="preserve"> </w:t>
      </w:r>
      <w:r>
        <w:t>level</w:t>
      </w:r>
      <w:r>
        <w:rPr>
          <w:spacing w:val="-1"/>
        </w:rPr>
        <w:t xml:space="preserve"> </w:t>
      </w:r>
      <w:r>
        <w:t>corporate</w:t>
      </w:r>
      <w:r>
        <w:rPr>
          <w:spacing w:val="-1"/>
        </w:rPr>
        <w:t xml:space="preserve"> </w:t>
      </w:r>
      <w:r>
        <w:t>and</w:t>
      </w:r>
      <w:r>
        <w:rPr>
          <w:spacing w:val="-1"/>
        </w:rPr>
        <w:t xml:space="preserve"> </w:t>
      </w:r>
      <w:r>
        <w:t>commercial</w:t>
      </w:r>
      <w:r>
        <w:rPr>
          <w:spacing w:val="-1"/>
        </w:rPr>
        <w:t xml:space="preserve"> </w:t>
      </w:r>
      <w:r>
        <w:t>experience</w:t>
      </w:r>
      <w:r>
        <w:rPr>
          <w:spacing w:val="-1"/>
        </w:rPr>
        <w:t xml:space="preserve"> </w:t>
      </w:r>
      <w:r>
        <w:t>in</w:t>
      </w:r>
      <w:r>
        <w:rPr>
          <w:spacing w:val="-1"/>
        </w:rPr>
        <w:t xml:space="preserve"> </w:t>
      </w:r>
      <w:r>
        <w:t>both</w:t>
      </w:r>
      <w:r>
        <w:rPr>
          <w:spacing w:val="-12"/>
        </w:rPr>
        <w:t xml:space="preserve"> </w:t>
      </w:r>
      <w:r>
        <w:t>Australia</w:t>
      </w:r>
      <w:r>
        <w:rPr>
          <w:spacing w:val="-1"/>
        </w:rPr>
        <w:t xml:space="preserve"> </w:t>
      </w:r>
      <w:r>
        <w:t>and</w:t>
      </w:r>
      <w:r>
        <w:rPr>
          <w:spacing w:val="-12"/>
        </w:rPr>
        <w:t xml:space="preserve"> </w:t>
      </w:r>
      <w:r>
        <w:t>Asia</w:t>
      </w:r>
      <w:r>
        <w:rPr>
          <w:spacing w:val="-1"/>
        </w:rPr>
        <w:t xml:space="preserve"> </w:t>
      </w:r>
      <w:r>
        <w:t>including</w:t>
      </w:r>
      <w:r>
        <w:rPr>
          <w:spacing w:val="-1"/>
        </w:rPr>
        <w:t xml:space="preserve"> </w:t>
      </w:r>
      <w:r>
        <w:t>working</w:t>
      </w:r>
      <w:r>
        <w:rPr>
          <w:spacing w:val="-1"/>
        </w:rPr>
        <w:t xml:space="preserve"> </w:t>
      </w:r>
      <w:r>
        <w:t>for</w:t>
      </w:r>
      <w:r>
        <w:rPr>
          <w:spacing w:val="-1"/>
        </w:rPr>
        <w:t xml:space="preserve"> </w:t>
      </w:r>
      <w:r>
        <w:t>leading international</w:t>
      </w:r>
      <w:r>
        <w:rPr>
          <w:spacing w:val="-3"/>
        </w:rPr>
        <w:t xml:space="preserve"> </w:t>
      </w:r>
      <w:r>
        <w:t>firms,</w:t>
      </w:r>
      <w:r>
        <w:rPr>
          <w:spacing w:val="-3"/>
        </w:rPr>
        <w:t xml:space="preserve"> </w:t>
      </w:r>
      <w:r>
        <w:t>Freshfields</w:t>
      </w:r>
      <w:r>
        <w:rPr>
          <w:spacing w:val="-3"/>
        </w:rPr>
        <w:t xml:space="preserve"> </w:t>
      </w:r>
      <w:r>
        <w:t>and</w:t>
      </w:r>
      <w:r>
        <w:rPr>
          <w:spacing w:val="-3"/>
        </w:rPr>
        <w:t xml:space="preserve"> </w:t>
      </w:r>
      <w:r>
        <w:t>Baker</w:t>
      </w:r>
      <w:r>
        <w:rPr>
          <w:spacing w:val="-3"/>
        </w:rPr>
        <w:t xml:space="preserve"> </w:t>
      </w:r>
      <w:r>
        <w:t>&amp;</w:t>
      </w:r>
      <w:r>
        <w:rPr>
          <w:spacing w:val="-3"/>
        </w:rPr>
        <w:t xml:space="preserve"> </w:t>
      </w:r>
      <w:r>
        <w:t>McKenzie</w:t>
      </w:r>
      <w:r>
        <w:rPr>
          <w:spacing w:val="-3"/>
        </w:rPr>
        <w:t xml:space="preserve"> </w:t>
      </w:r>
      <w:r>
        <w:t>and</w:t>
      </w:r>
      <w:r>
        <w:rPr>
          <w:spacing w:val="-3"/>
        </w:rPr>
        <w:t xml:space="preserve"> </w:t>
      </w:r>
      <w:r>
        <w:t>as</w:t>
      </w:r>
      <w:r>
        <w:rPr>
          <w:spacing w:val="-3"/>
        </w:rPr>
        <w:t xml:space="preserve"> </w:t>
      </w:r>
      <w:r>
        <w:t>general</w:t>
      </w:r>
      <w:r>
        <w:rPr>
          <w:spacing w:val="-3"/>
        </w:rPr>
        <w:t xml:space="preserve"> </w:t>
      </w:r>
      <w:r>
        <w:t>counsel</w:t>
      </w:r>
      <w:r>
        <w:rPr>
          <w:spacing w:val="-3"/>
        </w:rPr>
        <w:t xml:space="preserve"> </w:t>
      </w:r>
      <w:r>
        <w:t>to</w:t>
      </w:r>
      <w:r>
        <w:rPr>
          <w:spacing w:val="-3"/>
        </w:rPr>
        <w:t xml:space="preserve"> </w:t>
      </w:r>
      <w:r>
        <w:t>a</w:t>
      </w:r>
      <w:r>
        <w:rPr>
          <w:spacing w:val="-3"/>
        </w:rPr>
        <w:t xml:space="preserve"> </w:t>
      </w:r>
      <w:r>
        <w:t>variety</w:t>
      </w:r>
      <w:r>
        <w:rPr>
          <w:spacing w:val="-3"/>
        </w:rPr>
        <w:t xml:space="preserve"> </w:t>
      </w:r>
      <w:r>
        <w:t>of</w:t>
      </w:r>
      <w:r>
        <w:rPr>
          <w:spacing w:val="-3"/>
        </w:rPr>
        <w:t xml:space="preserve"> </w:t>
      </w:r>
      <w:r>
        <w:t>technology companies. He speaks Mandarin and is a former board member of the</w:t>
      </w:r>
      <w:r>
        <w:rPr>
          <w:spacing w:val="-5"/>
        </w:rPr>
        <w:t xml:space="preserve"> </w:t>
      </w:r>
      <w:r>
        <w:t>Australian China Council.</w:t>
      </w:r>
    </w:p>
    <w:p w14:paraId="04BF3D48" w14:textId="77777777" w:rsidR="00AC6F3C" w:rsidRDefault="00AC6F3C">
      <w:pPr>
        <w:pStyle w:val="BodyText"/>
        <w:spacing w:before="11"/>
        <w:rPr>
          <w:sz w:val="22"/>
        </w:rPr>
      </w:pPr>
    </w:p>
    <w:p w14:paraId="379EAF53" w14:textId="77777777" w:rsidR="00AC6F3C" w:rsidRDefault="00570E88">
      <w:pPr>
        <w:pStyle w:val="Heading9"/>
      </w:pPr>
      <w:r>
        <w:t xml:space="preserve">Craig </w:t>
      </w:r>
      <w:r>
        <w:rPr>
          <w:spacing w:val="-2"/>
        </w:rPr>
        <w:t>Smiley</w:t>
      </w:r>
    </w:p>
    <w:p w14:paraId="5DB8D785" w14:textId="77777777" w:rsidR="00AC6F3C" w:rsidRDefault="00570E88">
      <w:pPr>
        <w:spacing w:before="176"/>
        <w:ind w:left="815"/>
        <w:rPr>
          <w:b/>
          <w:sz w:val="20"/>
        </w:rPr>
      </w:pPr>
      <w:r>
        <w:rPr>
          <w:b/>
          <w:sz w:val="20"/>
        </w:rPr>
        <w:t>General</w:t>
      </w:r>
      <w:r>
        <w:rPr>
          <w:b/>
          <w:spacing w:val="-9"/>
          <w:sz w:val="20"/>
        </w:rPr>
        <w:t xml:space="preserve"> </w:t>
      </w:r>
      <w:r>
        <w:rPr>
          <w:b/>
          <w:sz w:val="20"/>
        </w:rPr>
        <w:t>Manager,</w:t>
      </w:r>
      <w:r>
        <w:rPr>
          <w:b/>
          <w:spacing w:val="-9"/>
          <w:sz w:val="20"/>
        </w:rPr>
        <w:t xml:space="preserve"> </w:t>
      </w:r>
      <w:r>
        <w:rPr>
          <w:b/>
          <w:spacing w:val="-2"/>
          <w:sz w:val="20"/>
        </w:rPr>
        <w:t>Regulation</w:t>
      </w:r>
    </w:p>
    <w:p w14:paraId="1730F764" w14:textId="77777777" w:rsidR="00AC6F3C" w:rsidRDefault="00570E88">
      <w:pPr>
        <w:spacing w:before="47"/>
        <w:ind w:left="815"/>
        <w:rPr>
          <w:b/>
          <w:sz w:val="16"/>
        </w:rPr>
      </w:pPr>
      <w:r>
        <w:rPr>
          <w:b/>
          <w:sz w:val="16"/>
        </w:rPr>
        <w:t>LLB</w:t>
      </w:r>
      <w:r>
        <w:rPr>
          <w:b/>
          <w:spacing w:val="-2"/>
          <w:sz w:val="16"/>
        </w:rPr>
        <w:t xml:space="preserve"> (Hons)</w:t>
      </w:r>
    </w:p>
    <w:p w14:paraId="4C8F6449" w14:textId="77777777" w:rsidR="00AC6F3C" w:rsidRDefault="00AC6F3C">
      <w:pPr>
        <w:pStyle w:val="BodyText"/>
        <w:spacing w:before="5"/>
        <w:rPr>
          <w:b/>
          <w:sz w:val="16"/>
        </w:rPr>
      </w:pPr>
    </w:p>
    <w:p w14:paraId="34071DC3" w14:textId="77777777" w:rsidR="00AC6F3C" w:rsidRDefault="00570E88">
      <w:pPr>
        <w:pStyle w:val="BodyText"/>
        <w:spacing w:line="249" w:lineRule="auto"/>
        <w:ind w:left="815"/>
      </w:pPr>
      <w:r>
        <w:t>Craig</w:t>
      </w:r>
      <w:r>
        <w:rPr>
          <w:spacing w:val="-3"/>
        </w:rPr>
        <w:t xml:space="preserve"> </w:t>
      </w:r>
      <w:r>
        <w:t>joined</w:t>
      </w:r>
      <w:r>
        <w:rPr>
          <w:spacing w:val="-3"/>
        </w:rPr>
        <w:t xml:space="preserve"> </w:t>
      </w:r>
      <w:r>
        <w:t>Queensland</w:t>
      </w:r>
      <w:r>
        <w:rPr>
          <w:spacing w:val="-3"/>
        </w:rPr>
        <w:t xml:space="preserve"> </w:t>
      </w:r>
      <w:r>
        <w:t>Law</w:t>
      </w:r>
      <w:r>
        <w:rPr>
          <w:spacing w:val="-3"/>
        </w:rPr>
        <w:t xml:space="preserve"> </w:t>
      </w:r>
      <w:r>
        <w:t>Society</w:t>
      </w:r>
      <w:r>
        <w:rPr>
          <w:spacing w:val="-3"/>
        </w:rPr>
        <w:t xml:space="preserve"> </w:t>
      </w:r>
      <w:r>
        <w:t>in</w:t>
      </w:r>
      <w:r>
        <w:rPr>
          <w:spacing w:val="-3"/>
        </w:rPr>
        <w:t xml:space="preserve"> </w:t>
      </w:r>
      <w:r>
        <w:t>June</w:t>
      </w:r>
      <w:r>
        <w:rPr>
          <w:spacing w:val="-3"/>
        </w:rPr>
        <w:t xml:space="preserve"> </w:t>
      </w:r>
      <w:r>
        <w:t>2004</w:t>
      </w:r>
      <w:r>
        <w:rPr>
          <w:spacing w:val="-3"/>
        </w:rPr>
        <w:t xml:space="preserve"> </w:t>
      </w:r>
      <w:r>
        <w:t>and</w:t>
      </w:r>
      <w:r>
        <w:rPr>
          <w:spacing w:val="-3"/>
        </w:rPr>
        <w:t xml:space="preserve"> </w:t>
      </w:r>
      <w:r>
        <w:t>heads</w:t>
      </w:r>
      <w:r>
        <w:rPr>
          <w:spacing w:val="-3"/>
        </w:rPr>
        <w:t xml:space="preserve"> </w:t>
      </w:r>
      <w:r>
        <w:t>our</w:t>
      </w:r>
      <w:r>
        <w:rPr>
          <w:spacing w:val="-3"/>
        </w:rPr>
        <w:t xml:space="preserve"> </w:t>
      </w:r>
      <w:r>
        <w:t>Regulation</w:t>
      </w:r>
      <w:r>
        <w:rPr>
          <w:spacing w:val="-3"/>
        </w:rPr>
        <w:t xml:space="preserve"> </w:t>
      </w:r>
      <w:r>
        <w:t>division.</w:t>
      </w:r>
      <w:r>
        <w:rPr>
          <w:spacing w:val="-3"/>
        </w:rPr>
        <w:t xml:space="preserve"> </w:t>
      </w:r>
      <w:r>
        <w:t>Craig’s</w:t>
      </w:r>
      <w:r>
        <w:rPr>
          <w:spacing w:val="-3"/>
        </w:rPr>
        <w:t xml:space="preserve"> </w:t>
      </w:r>
      <w:r>
        <w:t xml:space="preserve">leadership spans </w:t>
      </w:r>
      <w:proofErr w:type="spellStart"/>
      <w:r>
        <w:t>Licencing</w:t>
      </w:r>
      <w:proofErr w:type="spellEnd"/>
      <w:r>
        <w:t>, Trust</w:t>
      </w:r>
      <w:r>
        <w:rPr>
          <w:spacing w:val="-8"/>
        </w:rPr>
        <w:t xml:space="preserve"> </w:t>
      </w:r>
      <w:r>
        <w:t>Account Investigations, the Legal Practitioners’</w:t>
      </w:r>
      <w:r>
        <w:rPr>
          <w:spacing w:val="-4"/>
        </w:rPr>
        <w:t xml:space="preserve"> </w:t>
      </w:r>
      <w:r>
        <w:t>Fidelity Guarantee Fund, the QLS Professional Standards Scheme and External Interventions.</w:t>
      </w:r>
    </w:p>
    <w:p w14:paraId="100D8222" w14:textId="77777777" w:rsidR="00AC6F3C" w:rsidRDefault="00AC6F3C">
      <w:pPr>
        <w:spacing w:line="249" w:lineRule="auto"/>
        <w:sectPr w:rsidR="00AC6F3C">
          <w:headerReference w:type="default" r:id="rId190"/>
          <w:footerReference w:type="default" r:id="rId191"/>
          <w:pgSz w:w="11910" w:h="16840"/>
          <w:pgMar w:top="1480" w:right="1160" w:bottom="520" w:left="460" w:header="1237" w:footer="336" w:gutter="0"/>
          <w:cols w:space="720"/>
        </w:sectPr>
      </w:pPr>
    </w:p>
    <w:p w14:paraId="7145FFFB" w14:textId="77777777" w:rsidR="00AC6F3C" w:rsidRDefault="00570E88">
      <w:pPr>
        <w:spacing w:before="176"/>
        <w:ind w:left="815"/>
        <w:rPr>
          <w:b/>
          <w:sz w:val="20"/>
        </w:rPr>
      </w:pPr>
      <w:bookmarkStart w:id="83" w:name="Committees"/>
      <w:bookmarkStart w:id="84" w:name="_bookmark30"/>
      <w:bookmarkEnd w:id="83"/>
      <w:bookmarkEnd w:id="84"/>
      <w:r>
        <w:rPr>
          <w:b/>
          <w:sz w:val="20"/>
        </w:rPr>
        <w:lastRenderedPageBreak/>
        <w:t>General</w:t>
      </w:r>
      <w:r>
        <w:rPr>
          <w:b/>
          <w:spacing w:val="-3"/>
          <w:sz w:val="20"/>
        </w:rPr>
        <w:t xml:space="preserve"> </w:t>
      </w:r>
      <w:r>
        <w:rPr>
          <w:b/>
          <w:sz w:val="20"/>
        </w:rPr>
        <w:t>Counsel,</w:t>
      </w:r>
      <w:r>
        <w:rPr>
          <w:b/>
          <w:spacing w:val="-2"/>
          <w:sz w:val="20"/>
        </w:rPr>
        <w:t xml:space="preserve"> </w:t>
      </w:r>
      <w:r>
        <w:rPr>
          <w:b/>
          <w:sz w:val="20"/>
        </w:rPr>
        <w:t>Office</w:t>
      </w:r>
      <w:r>
        <w:rPr>
          <w:b/>
          <w:spacing w:val="-2"/>
          <w:sz w:val="20"/>
        </w:rPr>
        <w:t xml:space="preserve"> </w:t>
      </w:r>
      <w:r>
        <w:rPr>
          <w:b/>
          <w:sz w:val="20"/>
        </w:rPr>
        <w:t>of</w:t>
      </w:r>
      <w:r>
        <w:rPr>
          <w:b/>
          <w:spacing w:val="-2"/>
          <w:sz w:val="20"/>
        </w:rPr>
        <w:t xml:space="preserve"> </w:t>
      </w:r>
      <w:r>
        <w:rPr>
          <w:b/>
          <w:sz w:val="20"/>
        </w:rPr>
        <w:t>General</w:t>
      </w:r>
      <w:r>
        <w:rPr>
          <w:b/>
          <w:spacing w:val="-2"/>
          <w:sz w:val="20"/>
        </w:rPr>
        <w:t xml:space="preserve"> Counsel</w:t>
      </w:r>
    </w:p>
    <w:p w14:paraId="257A31C7" w14:textId="77777777" w:rsidR="00AC6F3C" w:rsidRDefault="00570E88">
      <w:pPr>
        <w:spacing w:before="47"/>
        <w:ind w:left="815"/>
        <w:rPr>
          <w:b/>
          <w:sz w:val="16"/>
        </w:rPr>
      </w:pPr>
      <w:r>
        <w:rPr>
          <w:b/>
          <w:sz w:val="16"/>
        </w:rPr>
        <w:t xml:space="preserve">LLB, LLM, Grad. Dip. </w:t>
      </w:r>
      <w:r>
        <w:rPr>
          <w:b/>
          <w:spacing w:val="-5"/>
          <w:sz w:val="16"/>
        </w:rPr>
        <w:t>LP.</w:t>
      </w:r>
    </w:p>
    <w:p w14:paraId="5BD460DB" w14:textId="77777777" w:rsidR="00AC6F3C" w:rsidRDefault="00AC6F3C">
      <w:pPr>
        <w:pStyle w:val="BodyText"/>
        <w:spacing w:before="4"/>
        <w:rPr>
          <w:b/>
          <w:sz w:val="16"/>
        </w:rPr>
      </w:pPr>
    </w:p>
    <w:p w14:paraId="7D9488EC" w14:textId="77777777" w:rsidR="00AC6F3C" w:rsidRDefault="00570E88">
      <w:pPr>
        <w:pStyle w:val="BodyText"/>
        <w:spacing w:before="1" w:line="249" w:lineRule="auto"/>
        <w:ind w:left="815"/>
      </w:pPr>
      <w:r>
        <w:t>Maree’s</w:t>
      </w:r>
      <w:r>
        <w:rPr>
          <w:spacing w:val="-4"/>
        </w:rPr>
        <w:t xml:space="preserve"> </w:t>
      </w:r>
      <w:r>
        <w:t>experience</w:t>
      </w:r>
      <w:r>
        <w:rPr>
          <w:spacing w:val="-4"/>
        </w:rPr>
        <w:t xml:space="preserve"> </w:t>
      </w:r>
      <w:r>
        <w:t>is</w:t>
      </w:r>
      <w:r>
        <w:rPr>
          <w:spacing w:val="-4"/>
        </w:rPr>
        <w:t xml:space="preserve"> </w:t>
      </w:r>
      <w:r>
        <w:t>predominantly</w:t>
      </w:r>
      <w:r>
        <w:rPr>
          <w:spacing w:val="-4"/>
        </w:rPr>
        <w:t xml:space="preserve"> </w:t>
      </w:r>
      <w:r>
        <w:t>with</w:t>
      </w:r>
      <w:r>
        <w:rPr>
          <w:spacing w:val="-4"/>
        </w:rPr>
        <w:t xml:space="preserve"> </w:t>
      </w:r>
      <w:r>
        <w:t>Queensland</w:t>
      </w:r>
      <w:r>
        <w:rPr>
          <w:spacing w:val="-4"/>
        </w:rPr>
        <w:t xml:space="preserve"> </w:t>
      </w:r>
      <w:r>
        <w:t>Government.</w:t>
      </w:r>
      <w:r>
        <w:rPr>
          <w:spacing w:val="-4"/>
        </w:rPr>
        <w:t xml:space="preserve"> </w:t>
      </w:r>
      <w:r>
        <w:t>She</w:t>
      </w:r>
      <w:r>
        <w:rPr>
          <w:spacing w:val="-4"/>
        </w:rPr>
        <w:t xml:space="preserve"> </w:t>
      </w:r>
      <w:r>
        <w:t>has</w:t>
      </w:r>
      <w:r>
        <w:rPr>
          <w:spacing w:val="-4"/>
        </w:rPr>
        <w:t xml:space="preserve"> </w:t>
      </w:r>
      <w:r>
        <w:t>been</w:t>
      </w:r>
      <w:r>
        <w:rPr>
          <w:spacing w:val="-4"/>
        </w:rPr>
        <w:t xml:space="preserve"> </w:t>
      </w:r>
      <w:r>
        <w:t>with</w:t>
      </w:r>
      <w:r>
        <w:rPr>
          <w:spacing w:val="-4"/>
        </w:rPr>
        <w:t xml:space="preserve"> </w:t>
      </w:r>
      <w:r>
        <w:t>the</w:t>
      </w:r>
      <w:r>
        <w:rPr>
          <w:spacing w:val="-4"/>
        </w:rPr>
        <w:t xml:space="preserve"> </w:t>
      </w:r>
      <w:r>
        <w:t>Queensland Law Society since 2008. Commencing as a Solicitor in the Office of General Counsel and is General Counsel for the Queensland Law Society.</w:t>
      </w:r>
    </w:p>
    <w:p w14:paraId="4655BDFF" w14:textId="77777777" w:rsidR="00AC6F3C" w:rsidRDefault="00AC6F3C">
      <w:pPr>
        <w:pStyle w:val="BodyText"/>
        <w:spacing w:before="9"/>
        <w:rPr>
          <w:sz w:val="22"/>
        </w:rPr>
      </w:pPr>
    </w:p>
    <w:p w14:paraId="6266A7A4" w14:textId="77777777" w:rsidR="00AC6F3C" w:rsidRDefault="00570E88">
      <w:pPr>
        <w:pStyle w:val="Heading9"/>
        <w:spacing w:before="1"/>
      </w:pPr>
      <w:r>
        <w:t>Rachel</w:t>
      </w:r>
      <w:r>
        <w:rPr>
          <w:spacing w:val="-4"/>
        </w:rPr>
        <w:t xml:space="preserve"> Young</w:t>
      </w:r>
    </w:p>
    <w:p w14:paraId="173A2DC6" w14:textId="77777777" w:rsidR="00AC6F3C" w:rsidRDefault="00570E88">
      <w:pPr>
        <w:spacing w:before="175"/>
        <w:ind w:left="815"/>
        <w:rPr>
          <w:b/>
          <w:sz w:val="20"/>
        </w:rPr>
      </w:pPr>
      <w:r>
        <w:rPr>
          <w:b/>
          <w:sz w:val="20"/>
        </w:rPr>
        <w:t>General</w:t>
      </w:r>
      <w:r>
        <w:rPr>
          <w:b/>
          <w:spacing w:val="-7"/>
          <w:sz w:val="20"/>
        </w:rPr>
        <w:t xml:space="preserve"> </w:t>
      </w:r>
      <w:r>
        <w:rPr>
          <w:b/>
          <w:sz w:val="20"/>
        </w:rPr>
        <w:t>Manager,</w:t>
      </w:r>
      <w:r>
        <w:rPr>
          <w:b/>
          <w:spacing w:val="-4"/>
          <w:sz w:val="20"/>
        </w:rPr>
        <w:t xml:space="preserve"> </w:t>
      </w:r>
      <w:r>
        <w:rPr>
          <w:b/>
          <w:sz w:val="20"/>
        </w:rPr>
        <w:t>Membership</w:t>
      </w:r>
      <w:r>
        <w:rPr>
          <w:b/>
          <w:spacing w:val="-5"/>
          <w:sz w:val="20"/>
        </w:rPr>
        <w:t xml:space="preserve"> </w:t>
      </w:r>
      <w:r>
        <w:rPr>
          <w:b/>
          <w:sz w:val="20"/>
        </w:rPr>
        <w:t>and</w:t>
      </w:r>
      <w:r>
        <w:rPr>
          <w:b/>
          <w:spacing w:val="-4"/>
          <w:sz w:val="20"/>
        </w:rPr>
        <w:t xml:space="preserve"> </w:t>
      </w:r>
      <w:r>
        <w:rPr>
          <w:b/>
          <w:spacing w:val="-2"/>
          <w:sz w:val="20"/>
        </w:rPr>
        <w:t>Engagement</w:t>
      </w:r>
    </w:p>
    <w:p w14:paraId="2DFACDB0" w14:textId="77777777" w:rsidR="00AC6F3C" w:rsidRDefault="00570E88">
      <w:pPr>
        <w:spacing w:before="48"/>
        <w:ind w:left="815"/>
        <w:rPr>
          <w:b/>
          <w:sz w:val="16"/>
        </w:rPr>
      </w:pPr>
      <w:proofErr w:type="spellStart"/>
      <w:r>
        <w:rPr>
          <w:b/>
          <w:sz w:val="16"/>
        </w:rPr>
        <w:t>BBus</w:t>
      </w:r>
      <w:proofErr w:type="spellEnd"/>
      <w:r>
        <w:rPr>
          <w:b/>
          <w:sz w:val="16"/>
        </w:rPr>
        <w:t xml:space="preserve">, Grad. Cert. </w:t>
      </w:r>
      <w:r>
        <w:rPr>
          <w:b/>
          <w:spacing w:val="-5"/>
          <w:sz w:val="16"/>
        </w:rPr>
        <w:t>BA</w:t>
      </w:r>
    </w:p>
    <w:p w14:paraId="09B19ABA" w14:textId="77777777" w:rsidR="00AC6F3C" w:rsidRDefault="00AC6F3C">
      <w:pPr>
        <w:pStyle w:val="BodyText"/>
        <w:spacing w:before="4"/>
        <w:rPr>
          <w:b/>
          <w:sz w:val="16"/>
        </w:rPr>
      </w:pPr>
    </w:p>
    <w:p w14:paraId="7D89977A" w14:textId="77777777" w:rsidR="00AC6F3C" w:rsidRDefault="00570E88">
      <w:pPr>
        <w:pStyle w:val="BodyText"/>
        <w:spacing w:before="1" w:line="249" w:lineRule="auto"/>
        <w:ind w:left="815" w:right="234"/>
      </w:pPr>
      <w:r>
        <w:t>Rachel joined Queensland Law Society in September 2021, bringing over 15 years’ experience in delivering</w:t>
      </w:r>
      <w:r>
        <w:rPr>
          <w:spacing w:val="-4"/>
        </w:rPr>
        <w:t xml:space="preserve"> </w:t>
      </w:r>
      <w:r>
        <w:t>growth</w:t>
      </w:r>
      <w:r>
        <w:rPr>
          <w:spacing w:val="-4"/>
        </w:rPr>
        <w:t xml:space="preserve"> </w:t>
      </w:r>
      <w:r>
        <w:t>through</w:t>
      </w:r>
      <w:r>
        <w:rPr>
          <w:spacing w:val="-4"/>
        </w:rPr>
        <w:t xml:space="preserve"> </w:t>
      </w:r>
      <w:r>
        <w:t>strategic</w:t>
      </w:r>
      <w:r>
        <w:rPr>
          <w:spacing w:val="-4"/>
        </w:rPr>
        <w:t xml:space="preserve"> </w:t>
      </w:r>
      <w:r>
        <w:t>marketing,</w:t>
      </w:r>
      <w:r>
        <w:rPr>
          <w:spacing w:val="-4"/>
        </w:rPr>
        <w:t xml:space="preserve"> </w:t>
      </w:r>
      <w:r>
        <w:t>digital</w:t>
      </w:r>
      <w:r>
        <w:rPr>
          <w:spacing w:val="-4"/>
        </w:rPr>
        <w:t xml:space="preserve"> </w:t>
      </w:r>
      <w:r>
        <w:t>transformation</w:t>
      </w:r>
      <w:r>
        <w:rPr>
          <w:spacing w:val="-4"/>
        </w:rPr>
        <w:t xml:space="preserve"> </w:t>
      </w:r>
      <w:r>
        <w:t>and</w:t>
      </w:r>
      <w:r>
        <w:rPr>
          <w:spacing w:val="-4"/>
        </w:rPr>
        <w:t xml:space="preserve"> </w:t>
      </w:r>
      <w:r>
        <w:t>member</w:t>
      </w:r>
      <w:r>
        <w:rPr>
          <w:spacing w:val="-4"/>
        </w:rPr>
        <w:t xml:space="preserve"> </w:t>
      </w:r>
      <w:r>
        <w:t>experience</w:t>
      </w:r>
      <w:r>
        <w:rPr>
          <w:spacing w:val="-4"/>
        </w:rPr>
        <w:t xml:space="preserve"> </w:t>
      </w:r>
      <w:r>
        <w:t>design.</w:t>
      </w:r>
      <w:r>
        <w:rPr>
          <w:spacing w:val="-14"/>
        </w:rPr>
        <w:t xml:space="preserve"> </w:t>
      </w:r>
      <w:r>
        <w:t>An experienced executive leader, Rachel has led large, multi-disciplined teams, across diverse industries including finance, not-for-profit, construction and hospitality, in both B2B and B2C markets. Rachel is currently working towards gaining her MBA</w:t>
      </w:r>
      <w:r>
        <w:rPr>
          <w:spacing w:val="-4"/>
        </w:rPr>
        <w:t xml:space="preserve"> </w:t>
      </w:r>
      <w:r>
        <w:t>and has a keen interest in emerging digital technologies.</w:t>
      </w:r>
    </w:p>
    <w:p w14:paraId="22850F38" w14:textId="77777777" w:rsidR="00AC6F3C" w:rsidRDefault="00AC6F3C">
      <w:pPr>
        <w:pStyle w:val="BodyText"/>
        <w:spacing w:before="7"/>
        <w:rPr>
          <w:sz w:val="32"/>
        </w:rPr>
      </w:pPr>
    </w:p>
    <w:p w14:paraId="65A5A066" w14:textId="77777777" w:rsidR="00AC6F3C" w:rsidRDefault="00570E88">
      <w:pPr>
        <w:pStyle w:val="Heading3"/>
      </w:pPr>
      <w:r>
        <w:rPr>
          <w:spacing w:val="-2"/>
        </w:rPr>
        <w:t>Committees</w:t>
      </w:r>
    </w:p>
    <w:p w14:paraId="1E0746B8" w14:textId="77777777" w:rsidR="00AC6F3C" w:rsidRDefault="00AC6F3C">
      <w:pPr>
        <w:pStyle w:val="BodyText"/>
        <w:spacing w:before="7"/>
        <w:rPr>
          <w:b/>
          <w:sz w:val="29"/>
        </w:rPr>
      </w:pPr>
    </w:p>
    <w:p w14:paraId="1830B645" w14:textId="77777777" w:rsidR="00AC6F3C" w:rsidRDefault="00570E88">
      <w:pPr>
        <w:ind w:left="815"/>
        <w:rPr>
          <w:b/>
          <w:sz w:val="26"/>
        </w:rPr>
      </w:pPr>
      <w:proofErr w:type="spellStart"/>
      <w:r>
        <w:rPr>
          <w:b/>
          <w:sz w:val="26"/>
        </w:rPr>
        <w:t>Recognising</w:t>
      </w:r>
      <w:proofErr w:type="spellEnd"/>
      <w:r>
        <w:rPr>
          <w:b/>
          <w:spacing w:val="-3"/>
          <w:sz w:val="26"/>
        </w:rPr>
        <w:t xml:space="preserve"> </w:t>
      </w:r>
      <w:r>
        <w:rPr>
          <w:b/>
          <w:sz w:val="26"/>
        </w:rPr>
        <w:t>member</w:t>
      </w:r>
      <w:r>
        <w:rPr>
          <w:b/>
          <w:spacing w:val="-2"/>
          <w:sz w:val="26"/>
        </w:rPr>
        <w:t xml:space="preserve"> contributions</w:t>
      </w:r>
    </w:p>
    <w:p w14:paraId="1FCD3C1A" w14:textId="77777777" w:rsidR="00AC6F3C" w:rsidRDefault="00570E88">
      <w:pPr>
        <w:pStyle w:val="BodyText"/>
        <w:spacing w:before="168" w:line="249" w:lineRule="auto"/>
        <w:ind w:left="815" w:right="234"/>
      </w:pPr>
      <w:r>
        <w:t>We</w:t>
      </w:r>
      <w:r>
        <w:rPr>
          <w:spacing w:val="-2"/>
        </w:rPr>
        <w:t xml:space="preserve"> </w:t>
      </w:r>
      <w:r>
        <w:t>thank</w:t>
      </w:r>
      <w:r>
        <w:rPr>
          <w:spacing w:val="-2"/>
        </w:rPr>
        <w:t xml:space="preserve"> </w:t>
      </w:r>
      <w:r>
        <w:t>all</w:t>
      </w:r>
      <w:r>
        <w:rPr>
          <w:spacing w:val="-2"/>
        </w:rPr>
        <w:t xml:space="preserve"> </w:t>
      </w:r>
      <w:r>
        <w:t>QLS</w:t>
      </w:r>
      <w:r>
        <w:rPr>
          <w:spacing w:val="-2"/>
        </w:rPr>
        <w:t xml:space="preserve"> </w:t>
      </w:r>
      <w:r>
        <w:t>policy</w:t>
      </w:r>
      <w:r>
        <w:rPr>
          <w:spacing w:val="-2"/>
        </w:rPr>
        <w:t xml:space="preserve"> </w:t>
      </w:r>
      <w:r>
        <w:t>committee</w:t>
      </w:r>
      <w:r>
        <w:rPr>
          <w:spacing w:val="-2"/>
        </w:rPr>
        <w:t xml:space="preserve"> </w:t>
      </w:r>
      <w:r>
        <w:t>Chairs,</w:t>
      </w:r>
      <w:r>
        <w:rPr>
          <w:spacing w:val="-2"/>
        </w:rPr>
        <w:t xml:space="preserve"> </w:t>
      </w:r>
      <w:r>
        <w:t>Deputy</w:t>
      </w:r>
      <w:r>
        <w:rPr>
          <w:spacing w:val="-2"/>
        </w:rPr>
        <w:t xml:space="preserve"> </w:t>
      </w:r>
      <w:r>
        <w:t>Chairs</w:t>
      </w:r>
      <w:r>
        <w:rPr>
          <w:spacing w:val="-2"/>
        </w:rPr>
        <w:t xml:space="preserve"> </w:t>
      </w:r>
      <w:r>
        <w:t>and</w:t>
      </w:r>
      <w:r>
        <w:rPr>
          <w:spacing w:val="-2"/>
        </w:rPr>
        <w:t xml:space="preserve"> </w:t>
      </w:r>
      <w:r>
        <w:t>members</w:t>
      </w:r>
      <w:r>
        <w:rPr>
          <w:spacing w:val="-2"/>
        </w:rPr>
        <w:t xml:space="preserve"> </w:t>
      </w:r>
      <w:r>
        <w:t>for</w:t>
      </w:r>
      <w:r>
        <w:rPr>
          <w:spacing w:val="-2"/>
        </w:rPr>
        <w:t xml:space="preserve"> </w:t>
      </w:r>
      <w:r>
        <w:t>applying</w:t>
      </w:r>
      <w:r>
        <w:rPr>
          <w:spacing w:val="-2"/>
        </w:rPr>
        <w:t xml:space="preserve"> </w:t>
      </w:r>
      <w:r>
        <w:t>their</w:t>
      </w:r>
      <w:r>
        <w:rPr>
          <w:spacing w:val="-2"/>
        </w:rPr>
        <w:t xml:space="preserve"> </w:t>
      </w:r>
      <w:r>
        <w:t>expertise</w:t>
      </w:r>
      <w:r>
        <w:rPr>
          <w:spacing w:val="-2"/>
        </w:rPr>
        <w:t xml:space="preserve"> </w:t>
      </w:r>
      <w:r>
        <w:t>and supplying their time throughout the year. In particular, we are grateful for the dedicated efforts of the Chairs</w:t>
      </w:r>
      <w:r>
        <w:rPr>
          <w:spacing w:val="-3"/>
        </w:rPr>
        <w:t xml:space="preserve"> </w:t>
      </w:r>
      <w:r>
        <w:t>and</w:t>
      </w:r>
      <w:r>
        <w:rPr>
          <w:spacing w:val="-3"/>
        </w:rPr>
        <w:t xml:space="preserve"> </w:t>
      </w:r>
      <w:r>
        <w:t>Deputy</w:t>
      </w:r>
      <w:r>
        <w:rPr>
          <w:spacing w:val="-3"/>
        </w:rPr>
        <w:t xml:space="preserve"> </w:t>
      </w:r>
      <w:r>
        <w:t>Chairs</w:t>
      </w:r>
      <w:r>
        <w:rPr>
          <w:spacing w:val="-3"/>
        </w:rPr>
        <w:t xml:space="preserve"> </w:t>
      </w:r>
      <w:r>
        <w:t>who</w:t>
      </w:r>
      <w:r>
        <w:rPr>
          <w:spacing w:val="-3"/>
        </w:rPr>
        <w:t xml:space="preserve"> </w:t>
      </w:r>
      <w:r>
        <w:t>are</w:t>
      </w:r>
      <w:r>
        <w:rPr>
          <w:spacing w:val="-3"/>
        </w:rPr>
        <w:t xml:space="preserve"> </w:t>
      </w:r>
      <w:r>
        <w:t>central</w:t>
      </w:r>
      <w:r>
        <w:rPr>
          <w:spacing w:val="-3"/>
        </w:rPr>
        <w:t xml:space="preserve"> </w:t>
      </w:r>
      <w:r>
        <w:t>to</w:t>
      </w:r>
      <w:r>
        <w:rPr>
          <w:spacing w:val="-3"/>
        </w:rPr>
        <w:t xml:space="preserve"> </w:t>
      </w:r>
      <w:r>
        <w:t>coordinating</w:t>
      </w:r>
      <w:r>
        <w:rPr>
          <w:spacing w:val="-3"/>
        </w:rPr>
        <w:t xml:space="preserve"> </w:t>
      </w:r>
      <w:r>
        <w:t>research</w:t>
      </w:r>
      <w:r>
        <w:rPr>
          <w:spacing w:val="-3"/>
        </w:rPr>
        <w:t xml:space="preserve"> </w:t>
      </w:r>
      <w:r>
        <w:t>and</w:t>
      </w:r>
      <w:r>
        <w:rPr>
          <w:spacing w:val="-3"/>
        </w:rPr>
        <w:t xml:space="preserve"> </w:t>
      </w:r>
      <w:r>
        <w:t>submissions,</w:t>
      </w:r>
      <w:r>
        <w:rPr>
          <w:spacing w:val="-3"/>
        </w:rPr>
        <w:t xml:space="preserve"> </w:t>
      </w:r>
      <w:r>
        <w:t>and</w:t>
      </w:r>
      <w:r>
        <w:rPr>
          <w:spacing w:val="-3"/>
        </w:rPr>
        <w:t xml:space="preserve"> </w:t>
      </w:r>
      <w:r>
        <w:t>engaging</w:t>
      </w:r>
      <w:r>
        <w:rPr>
          <w:spacing w:val="-3"/>
        </w:rPr>
        <w:t xml:space="preserve"> </w:t>
      </w:r>
      <w:r>
        <w:t>with priority stakeholders.</w:t>
      </w:r>
    </w:p>
    <w:p w14:paraId="1F876C6B" w14:textId="77777777" w:rsidR="00AC6F3C" w:rsidRDefault="00AC6F3C">
      <w:pPr>
        <w:pStyle w:val="BodyText"/>
        <w:spacing w:before="2"/>
        <w:rPr>
          <w:sz w:val="31"/>
        </w:rPr>
      </w:pPr>
    </w:p>
    <w:p w14:paraId="2956F67A" w14:textId="77777777" w:rsidR="00AC6F3C" w:rsidRDefault="00570E88">
      <w:pPr>
        <w:ind w:left="815"/>
        <w:rPr>
          <w:b/>
          <w:sz w:val="26"/>
        </w:rPr>
      </w:pPr>
      <w:r>
        <w:rPr>
          <w:b/>
          <w:sz w:val="26"/>
        </w:rPr>
        <w:t>Committees,</w:t>
      </w:r>
      <w:r>
        <w:rPr>
          <w:b/>
          <w:spacing w:val="-3"/>
          <w:sz w:val="26"/>
        </w:rPr>
        <w:t xml:space="preserve"> </w:t>
      </w:r>
      <w:r>
        <w:rPr>
          <w:b/>
          <w:sz w:val="26"/>
        </w:rPr>
        <w:t>Chairs</w:t>
      </w:r>
      <w:r>
        <w:rPr>
          <w:b/>
          <w:spacing w:val="-2"/>
          <w:sz w:val="26"/>
        </w:rPr>
        <w:t xml:space="preserve"> </w:t>
      </w:r>
      <w:r>
        <w:rPr>
          <w:b/>
          <w:sz w:val="26"/>
        </w:rPr>
        <w:t>and</w:t>
      </w:r>
      <w:r>
        <w:rPr>
          <w:b/>
          <w:spacing w:val="-3"/>
          <w:sz w:val="26"/>
        </w:rPr>
        <w:t xml:space="preserve"> </w:t>
      </w:r>
      <w:r>
        <w:rPr>
          <w:b/>
          <w:sz w:val="26"/>
        </w:rPr>
        <w:t>Deputy</w:t>
      </w:r>
      <w:r>
        <w:rPr>
          <w:b/>
          <w:spacing w:val="-2"/>
          <w:sz w:val="26"/>
        </w:rPr>
        <w:t xml:space="preserve"> Chairs</w:t>
      </w:r>
    </w:p>
    <w:p w14:paraId="083A633E" w14:textId="77777777" w:rsidR="00AC6F3C" w:rsidRDefault="00570E88">
      <w:pPr>
        <w:pStyle w:val="BodyText"/>
        <w:spacing w:before="8"/>
        <w:rPr>
          <w:b/>
          <w:sz w:val="22"/>
        </w:rPr>
      </w:pPr>
      <w:r>
        <w:rPr>
          <w:noProof/>
        </w:rPr>
        <mc:AlternateContent>
          <mc:Choice Requires="wpg">
            <w:drawing>
              <wp:anchor distT="0" distB="0" distL="0" distR="0" simplePos="0" relativeHeight="487644672" behindDoc="1" locked="0" layoutInCell="1" allowOverlap="1" wp14:anchorId="176C6DBF" wp14:editId="35BAF9F3">
                <wp:simplePos x="0" y="0"/>
                <wp:positionH relativeFrom="page">
                  <wp:posOffset>809999</wp:posOffset>
                </wp:positionH>
                <wp:positionV relativeFrom="paragraph">
                  <wp:posOffset>181406</wp:posOffset>
                </wp:positionV>
                <wp:extent cx="5940425" cy="12700"/>
                <wp:effectExtent l="0" t="0" r="0" b="0"/>
                <wp:wrapTopAndBottom/>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518" name="Graphic 518"/>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519" name="Graphic 519"/>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5F5949" id="Group 517" o:spid="_x0000_s1026" style="position:absolute;margin-left:63.8pt;margin-top:14.3pt;width:467.75pt;height:1pt;z-index:-15671808;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">
                <v:shape id="Graphic 518"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" path="m,l3249002,e" filled="f" strokeweight="1pt">
                  <v:path arrowok="t"/>
                </v:shape>
                <v:shape id="Graphic 519"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" path="m,l2691003,e" filled="f" strokeweight="1pt">
                  <v:path arrowok="t"/>
                </v:shape>
                <w10:wrap type="topAndBottom" anchorx="page"/>
              </v:group>
            </w:pict>
          </mc:Fallback>
        </mc:AlternateContent>
      </w:r>
    </w:p>
    <w:p w14:paraId="42FDE87C" w14:textId="77777777" w:rsidR="00AC6F3C" w:rsidRDefault="00570E88">
      <w:pPr>
        <w:tabs>
          <w:tab w:val="left" w:pos="6045"/>
        </w:tabs>
        <w:spacing w:before="61" w:after="61"/>
        <w:ind w:left="928"/>
        <w:rPr>
          <w:b/>
          <w:sz w:val="20"/>
        </w:rPr>
      </w:pPr>
      <w:r>
        <w:rPr>
          <w:b/>
          <w:spacing w:val="-2"/>
          <w:sz w:val="20"/>
        </w:rPr>
        <w:t>Committee</w:t>
      </w:r>
      <w:r>
        <w:rPr>
          <w:b/>
          <w:sz w:val="20"/>
        </w:rPr>
        <w:tab/>
        <w:t>Chair</w:t>
      </w:r>
      <w:r>
        <w:rPr>
          <w:b/>
          <w:spacing w:val="-5"/>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p w14:paraId="21CCC845" w14:textId="77777777" w:rsidR="00AC6F3C" w:rsidRDefault="00570E88">
      <w:pPr>
        <w:pStyle w:val="BodyText"/>
        <w:spacing w:line="20" w:lineRule="exact"/>
        <w:ind w:left="805"/>
        <w:rPr>
          <w:sz w:val="2"/>
        </w:rPr>
      </w:pPr>
      <w:r>
        <w:rPr>
          <w:noProof/>
          <w:sz w:val="2"/>
        </w:rPr>
        <mc:AlternateContent>
          <mc:Choice Requires="wpg">
            <w:drawing>
              <wp:inline distT="0" distB="0" distL="0" distR="0" wp14:anchorId="6113B6A4" wp14:editId="4C52A9D6">
                <wp:extent cx="5940425" cy="12700"/>
                <wp:effectExtent l="9525" t="0" r="3175" b="635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521" name="Graphic 521"/>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522" name="Graphic 522"/>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CF8720" id="Group 520"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">
                <v:shape id="Graphic 521"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" path="m,l3249002,e" filled="f" strokeweight="1pt">
                  <v:path arrowok="t"/>
                </v:shape>
                <v:shape id="Graphic 522"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" path="m,l2691003,e" filled="f" strokeweight="1pt">
                  <v:path arrowok="t"/>
                </v:shape>
                <w10:anchorlock/>
              </v:group>
            </w:pict>
          </mc:Fallback>
        </mc:AlternateContent>
      </w:r>
    </w:p>
    <w:p w14:paraId="482BD622" w14:textId="77777777" w:rsidR="00AC6F3C" w:rsidRDefault="00570E88">
      <w:pPr>
        <w:tabs>
          <w:tab w:val="left" w:pos="6045"/>
        </w:tabs>
        <w:spacing w:before="69"/>
        <w:ind w:left="928"/>
        <w:rPr>
          <w:sz w:val="20"/>
        </w:rPr>
      </w:pPr>
      <w:r>
        <w:rPr>
          <w:b/>
          <w:sz w:val="20"/>
        </w:rPr>
        <w:t>Access</w:t>
      </w:r>
      <w:r>
        <w:rPr>
          <w:b/>
          <w:spacing w:val="-4"/>
          <w:sz w:val="20"/>
        </w:rPr>
        <w:t xml:space="preserve"> </w:t>
      </w:r>
      <w:r>
        <w:rPr>
          <w:b/>
          <w:sz w:val="20"/>
        </w:rPr>
        <w:t>to</w:t>
      </w:r>
      <w:r>
        <w:rPr>
          <w:b/>
          <w:spacing w:val="-2"/>
          <w:sz w:val="20"/>
        </w:rPr>
        <w:t xml:space="preserve"> </w:t>
      </w:r>
      <w:r>
        <w:rPr>
          <w:b/>
          <w:sz w:val="20"/>
        </w:rPr>
        <w:t>Justice</w:t>
      </w:r>
      <w:r>
        <w:rPr>
          <w:b/>
          <w:spacing w:val="-1"/>
          <w:sz w:val="20"/>
        </w:rPr>
        <w:t xml:space="preserve"> </w:t>
      </w:r>
      <w:r>
        <w:rPr>
          <w:b/>
          <w:sz w:val="20"/>
        </w:rPr>
        <w:t>/</w:t>
      </w:r>
      <w:r>
        <w:rPr>
          <w:b/>
          <w:spacing w:val="-2"/>
          <w:sz w:val="20"/>
        </w:rPr>
        <w:t xml:space="preserve"> </w:t>
      </w:r>
      <w:r>
        <w:rPr>
          <w:b/>
          <w:sz w:val="20"/>
        </w:rPr>
        <w:t>Pro</w:t>
      </w:r>
      <w:r>
        <w:rPr>
          <w:b/>
          <w:spacing w:val="-1"/>
          <w:sz w:val="20"/>
        </w:rPr>
        <w:t xml:space="preserve"> </w:t>
      </w:r>
      <w:r>
        <w:rPr>
          <w:b/>
          <w:sz w:val="20"/>
        </w:rPr>
        <w:t>bono</w:t>
      </w:r>
      <w:r>
        <w:rPr>
          <w:b/>
          <w:spacing w:val="-2"/>
          <w:sz w:val="20"/>
        </w:rPr>
        <w:t xml:space="preserve"> </w:t>
      </w:r>
      <w:r>
        <w:rPr>
          <w:b/>
          <w:sz w:val="20"/>
        </w:rPr>
        <w:t>Law</w:t>
      </w:r>
      <w:r>
        <w:rPr>
          <w:b/>
          <w:spacing w:val="-1"/>
          <w:sz w:val="20"/>
        </w:rPr>
        <w:t xml:space="preserve"> </w:t>
      </w:r>
      <w:r>
        <w:rPr>
          <w:b/>
          <w:spacing w:val="-2"/>
          <w:sz w:val="20"/>
        </w:rPr>
        <w:t>Committee</w:t>
      </w:r>
      <w:r>
        <w:rPr>
          <w:b/>
          <w:sz w:val="20"/>
        </w:rPr>
        <w:tab/>
      </w:r>
      <w:r>
        <w:rPr>
          <w:sz w:val="20"/>
        </w:rPr>
        <w:t>Chair:</w:t>
      </w:r>
      <w:r>
        <w:rPr>
          <w:spacing w:val="-4"/>
          <w:sz w:val="20"/>
        </w:rPr>
        <w:t xml:space="preserve"> </w:t>
      </w:r>
      <w:r>
        <w:rPr>
          <w:sz w:val="20"/>
        </w:rPr>
        <w:t>Elizabeth</w:t>
      </w:r>
      <w:r>
        <w:rPr>
          <w:spacing w:val="-4"/>
          <w:sz w:val="20"/>
        </w:rPr>
        <w:t xml:space="preserve"> </w:t>
      </w:r>
      <w:r>
        <w:rPr>
          <w:spacing w:val="-2"/>
          <w:sz w:val="20"/>
        </w:rPr>
        <w:t>Shearer</w:t>
      </w:r>
    </w:p>
    <w:p w14:paraId="54C2B2BD" w14:textId="77777777" w:rsidR="00AC6F3C" w:rsidRDefault="00570E88">
      <w:pPr>
        <w:pStyle w:val="BodyText"/>
        <w:spacing w:before="180"/>
        <w:ind w:left="6045"/>
      </w:pPr>
      <w:r>
        <w:t>Deputy</w:t>
      </w:r>
      <w:r>
        <w:rPr>
          <w:spacing w:val="-2"/>
        </w:rPr>
        <w:t xml:space="preserve"> </w:t>
      </w:r>
      <w:r>
        <w:t>Chair:</w:t>
      </w:r>
      <w:r>
        <w:rPr>
          <w:spacing w:val="-2"/>
        </w:rPr>
        <w:t xml:space="preserve"> </w:t>
      </w:r>
      <w:r>
        <w:t>Stephen</w:t>
      </w:r>
      <w:r>
        <w:rPr>
          <w:spacing w:val="-2"/>
        </w:rPr>
        <w:t xml:space="preserve"> </w:t>
      </w:r>
      <w:r>
        <w:rPr>
          <w:spacing w:val="-4"/>
        </w:rPr>
        <w:t>Herd</w:t>
      </w:r>
    </w:p>
    <w:p w14:paraId="4C4FD513" w14:textId="77777777" w:rsidR="00AC6F3C" w:rsidRDefault="00570E88">
      <w:pPr>
        <w:pStyle w:val="BodyText"/>
        <w:spacing w:before="9"/>
        <w:rPr>
          <w:sz w:val="3"/>
        </w:rPr>
      </w:pPr>
      <w:r>
        <w:rPr>
          <w:noProof/>
        </w:rPr>
        <mc:AlternateContent>
          <mc:Choice Requires="wpg">
            <w:drawing>
              <wp:anchor distT="0" distB="0" distL="0" distR="0" simplePos="0" relativeHeight="487645696" behindDoc="1" locked="0" layoutInCell="1" allowOverlap="1" wp14:anchorId="1A4A650A" wp14:editId="3312F27F">
                <wp:simplePos x="0" y="0"/>
                <wp:positionH relativeFrom="page">
                  <wp:posOffset>809999</wp:posOffset>
                </wp:positionH>
                <wp:positionV relativeFrom="paragraph">
                  <wp:posOffset>43494</wp:posOffset>
                </wp:positionV>
                <wp:extent cx="5940425" cy="3175"/>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24" name="Graphic 524"/>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25" name="Graphic 525"/>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C95AC0" id="Group 523" o:spid="_x0000_s1026" style="position:absolute;margin-left:63.8pt;margin-top:3.4pt;width:467.75pt;height:.25pt;z-index:-1567078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va+TzLYCAAB3&#10;CAAADgAAAAAAAAAAAAAAAAAuAgAAZHJzL2Uyb0RvYy54bWxQSwECLQAUAAYACAAAACEA8AX6dt4A&#10;AAAIAQAADwAAAAAAAAAAAAAAAAAQBQAAZHJzL2Rvd25yZXYueG1sUEsFBgAAAAAEAAQA8wAAABsG&#10;AAAAAA==&#10;">
                <v:shape id="Graphic 524"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" path="m,l3249002,e" filled="f" strokeweight=".25pt">
                  <v:path arrowok="t"/>
                </v:shape>
                <v:shape id="Graphic 525"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" path="m,l2691003,e" filled="f" strokeweight=".25pt">
                  <v:path arrowok="t"/>
                </v:shape>
                <w10:wrap type="topAndBottom" anchorx="page"/>
              </v:group>
            </w:pict>
          </mc:Fallback>
        </mc:AlternateContent>
      </w:r>
    </w:p>
    <w:p w14:paraId="2DAE20A1" w14:textId="77777777" w:rsidR="00AC6F3C" w:rsidRDefault="00570E88">
      <w:pPr>
        <w:tabs>
          <w:tab w:val="left" w:pos="6045"/>
        </w:tabs>
        <w:spacing w:before="68"/>
        <w:ind w:left="928"/>
        <w:rPr>
          <w:sz w:val="20"/>
        </w:rPr>
      </w:pPr>
      <w:r>
        <w:rPr>
          <w:b/>
          <w:sz w:val="20"/>
        </w:rPr>
        <w:t>Accident</w:t>
      </w:r>
      <w:r>
        <w:rPr>
          <w:b/>
          <w:spacing w:val="-3"/>
          <w:sz w:val="20"/>
        </w:rPr>
        <w:t xml:space="preserve"> </w:t>
      </w:r>
      <w:r>
        <w:rPr>
          <w:b/>
          <w:sz w:val="20"/>
        </w:rPr>
        <w:t>Compensation</w:t>
      </w:r>
      <w:r>
        <w:rPr>
          <w:b/>
          <w:spacing w:val="-3"/>
          <w:sz w:val="20"/>
        </w:rPr>
        <w:t xml:space="preserve"> </w:t>
      </w:r>
      <w:r>
        <w:rPr>
          <w:b/>
          <w:sz w:val="20"/>
        </w:rPr>
        <w:t>/</w:t>
      </w:r>
      <w:r>
        <w:rPr>
          <w:b/>
          <w:spacing w:val="-3"/>
          <w:sz w:val="20"/>
        </w:rPr>
        <w:t xml:space="preserve"> </w:t>
      </w:r>
      <w:r>
        <w:rPr>
          <w:b/>
          <w:sz w:val="20"/>
        </w:rPr>
        <w:t>Tort</w:t>
      </w:r>
      <w:r>
        <w:rPr>
          <w:b/>
          <w:spacing w:val="-3"/>
          <w:sz w:val="20"/>
        </w:rPr>
        <w:t xml:space="preserve"> </w:t>
      </w:r>
      <w:r>
        <w:rPr>
          <w:b/>
          <w:sz w:val="20"/>
        </w:rPr>
        <w:t>Law</w:t>
      </w:r>
      <w:r>
        <w:rPr>
          <w:b/>
          <w:spacing w:val="-3"/>
          <w:sz w:val="20"/>
        </w:rPr>
        <w:t xml:space="preserve"> </w:t>
      </w:r>
      <w:r>
        <w:rPr>
          <w:b/>
          <w:spacing w:val="-2"/>
          <w:sz w:val="20"/>
        </w:rPr>
        <w:t>Committee</w:t>
      </w:r>
      <w:r>
        <w:rPr>
          <w:b/>
          <w:sz w:val="20"/>
        </w:rPr>
        <w:tab/>
      </w:r>
      <w:r>
        <w:rPr>
          <w:sz w:val="20"/>
        </w:rPr>
        <w:t>Chair:</w:t>
      </w:r>
      <w:r>
        <w:rPr>
          <w:spacing w:val="-3"/>
          <w:sz w:val="20"/>
        </w:rPr>
        <w:t xml:space="preserve"> </w:t>
      </w:r>
      <w:r>
        <w:rPr>
          <w:sz w:val="20"/>
        </w:rPr>
        <w:t>Michael</w:t>
      </w:r>
      <w:r>
        <w:rPr>
          <w:spacing w:val="-3"/>
          <w:sz w:val="20"/>
        </w:rPr>
        <w:t xml:space="preserve"> </w:t>
      </w:r>
      <w:r>
        <w:rPr>
          <w:spacing w:val="-2"/>
          <w:sz w:val="20"/>
        </w:rPr>
        <w:t>Garbett</w:t>
      </w:r>
    </w:p>
    <w:p w14:paraId="0C269B74" w14:textId="77777777" w:rsidR="00AC6F3C" w:rsidRDefault="00570E88">
      <w:pPr>
        <w:pStyle w:val="BodyText"/>
        <w:spacing w:before="180"/>
        <w:ind w:left="6045"/>
      </w:pPr>
      <w:r>
        <w:t>Deputy</w:t>
      </w:r>
      <w:r>
        <w:rPr>
          <w:spacing w:val="-1"/>
        </w:rPr>
        <w:t xml:space="preserve"> </w:t>
      </w:r>
      <w:r>
        <w:t>Chair:</w:t>
      </w:r>
      <w:r>
        <w:rPr>
          <w:spacing w:val="-1"/>
        </w:rPr>
        <w:t xml:space="preserve"> </w:t>
      </w:r>
      <w:r>
        <w:t>Luke</w:t>
      </w:r>
      <w:r>
        <w:rPr>
          <w:spacing w:val="-1"/>
        </w:rPr>
        <w:t xml:space="preserve"> </w:t>
      </w:r>
      <w:r>
        <w:rPr>
          <w:spacing w:val="-2"/>
        </w:rPr>
        <w:t>Murphy</w:t>
      </w:r>
    </w:p>
    <w:p w14:paraId="4026783F" w14:textId="77777777" w:rsidR="00AC6F3C" w:rsidRDefault="00570E88">
      <w:pPr>
        <w:pStyle w:val="BodyText"/>
        <w:spacing w:before="10"/>
        <w:rPr>
          <w:sz w:val="3"/>
        </w:rPr>
      </w:pPr>
      <w:r>
        <w:rPr>
          <w:noProof/>
        </w:rPr>
        <mc:AlternateContent>
          <mc:Choice Requires="wpg">
            <w:drawing>
              <wp:anchor distT="0" distB="0" distL="0" distR="0" simplePos="0" relativeHeight="487646208" behindDoc="1" locked="0" layoutInCell="1" allowOverlap="1" wp14:anchorId="78EDBF03" wp14:editId="53C5BDDD">
                <wp:simplePos x="0" y="0"/>
                <wp:positionH relativeFrom="page">
                  <wp:posOffset>809999</wp:posOffset>
                </wp:positionH>
                <wp:positionV relativeFrom="paragraph">
                  <wp:posOffset>44129</wp:posOffset>
                </wp:positionV>
                <wp:extent cx="5940425" cy="3175"/>
                <wp:effectExtent l="0" t="0" r="0" b="0"/>
                <wp:wrapTopAndBottom/>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27" name="Graphic 527"/>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28" name="Graphic 528"/>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585148" id="Group 526" o:spid="_x0000_s1026" style="position:absolute;margin-left:63.8pt;margin-top:3.45pt;width:467.75pt;height:.25pt;z-index:-1567027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">
                <v:shape id="Graphic 527"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" path="m,l3249002,e" filled="f" strokeweight=".25pt">
                  <v:path arrowok="t"/>
                </v:shape>
                <v:shape id="Graphic 528"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" path="m,l2691003,e" filled="f" strokeweight=".25pt">
                  <v:path arrowok="t"/>
                </v:shape>
                <w10:wrap type="topAndBottom" anchorx="page"/>
              </v:group>
            </w:pict>
          </mc:Fallback>
        </mc:AlternateContent>
      </w:r>
    </w:p>
    <w:p w14:paraId="1EDFF130" w14:textId="77777777" w:rsidR="00AC6F3C" w:rsidRDefault="00570E88">
      <w:pPr>
        <w:tabs>
          <w:tab w:val="left" w:pos="6045"/>
        </w:tabs>
        <w:spacing w:before="68"/>
        <w:ind w:left="928"/>
        <w:rPr>
          <w:sz w:val="20"/>
        </w:rPr>
      </w:pPr>
      <w:r>
        <w:rPr>
          <w:b/>
          <w:sz w:val="20"/>
        </w:rPr>
        <w:t>Banking</w:t>
      </w:r>
      <w:r>
        <w:rPr>
          <w:b/>
          <w:spacing w:val="-2"/>
          <w:sz w:val="20"/>
        </w:rPr>
        <w:t xml:space="preserve"> </w:t>
      </w:r>
      <w:r>
        <w:rPr>
          <w:b/>
          <w:sz w:val="20"/>
        </w:rPr>
        <w:t>and</w:t>
      </w:r>
      <w:r>
        <w:rPr>
          <w:b/>
          <w:spacing w:val="-1"/>
          <w:sz w:val="20"/>
        </w:rPr>
        <w:t xml:space="preserve"> </w:t>
      </w:r>
      <w:r>
        <w:rPr>
          <w:b/>
          <w:sz w:val="20"/>
        </w:rPr>
        <w:t>Financial</w:t>
      </w:r>
      <w:r>
        <w:rPr>
          <w:b/>
          <w:spacing w:val="-2"/>
          <w:sz w:val="20"/>
        </w:rPr>
        <w:t xml:space="preserve"> </w:t>
      </w:r>
      <w:r>
        <w:rPr>
          <w:b/>
          <w:sz w:val="20"/>
        </w:rPr>
        <w:t>Services</w:t>
      </w:r>
      <w:r>
        <w:rPr>
          <w:b/>
          <w:spacing w:val="-1"/>
          <w:sz w:val="20"/>
        </w:rPr>
        <w:t xml:space="preserve"> </w:t>
      </w:r>
      <w:r>
        <w:rPr>
          <w:b/>
          <w:sz w:val="20"/>
        </w:rPr>
        <w:t>Law</w:t>
      </w:r>
      <w:r>
        <w:rPr>
          <w:b/>
          <w:spacing w:val="-1"/>
          <w:sz w:val="20"/>
        </w:rPr>
        <w:t xml:space="preserve"> </w:t>
      </w:r>
      <w:r>
        <w:rPr>
          <w:b/>
          <w:spacing w:val="-2"/>
          <w:sz w:val="20"/>
        </w:rPr>
        <w:t>Committee</w:t>
      </w:r>
      <w:r>
        <w:rPr>
          <w:b/>
          <w:sz w:val="20"/>
        </w:rPr>
        <w:tab/>
      </w:r>
      <w:r>
        <w:rPr>
          <w:sz w:val="20"/>
        </w:rPr>
        <w:t>Chair:</w:t>
      </w:r>
      <w:r>
        <w:rPr>
          <w:spacing w:val="-4"/>
          <w:sz w:val="20"/>
        </w:rPr>
        <w:t xml:space="preserve"> </w:t>
      </w:r>
      <w:r>
        <w:rPr>
          <w:sz w:val="20"/>
        </w:rPr>
        <w:t>Michael</w:t>
      </w:r>
      <w:r>
        <w:rPr>
          <w:spacing w:val="-13"/>
          <w:sz w:val="20"/>
        </w:rPr>
        <w:t xml:space="preserve"> </w:t>
      </w:r>
      <w:r>
        <w:rPr>
          <w:spacing w:val="-2"/>
          <w:sz w:val="20"/>
        </w:rPr>
        <w:t>Anastas</w:t>
      </w:r>
    </w:p>
    <w:p w14:paraId="10349249" w14:textId="77777777" w:rsidR="00AC6F3C" w:rsidRDefault="00570E88">
      <w:pPr>
        <w:pStyle w:val="BodyText"/>
        <w:spacing w:before="180"/>
        <w:ind w:left="6045"/>
      </w:pPr>
      <w:r>
        <w:t>Deputy</w:t>
      </w:r>
      <w:r>
        <w:rPr>
          <w:spacing w:val="-2"/>
        </w:rPr>
        <w:t xml:space="preserve"> </w:t>
      </w:r>
      <w:r>
        <w:t>Chair:</w:t>
      </w:r>
      <w:r>
        <w:rPr>
          <w:spacing w:val="-1"/>
        </w:rPr>
        <w:t xml:space="preserve"> </w:t>
      </w:r>
      <w:r>
        <w:t>Karla</w:t>
      </w:r>
      <w:r>
        <w:rPr>
          <w:spacing w:val="-1"/>
        </w:rPr>
        <w:t xml:space="preserve"> </w:t>
      </w:r>
      <w:r>
        <w:rPr>
          <w:spacing w:val="-2"/>
        </w:rPr>
        <w:t>Fraser</w:t>
      </w:r>
    </w:p>
    <w:p w14:paraId="4BDCB7CF" w14:textId="77777777" w:rsidR="00AC6F3C" w:rsidRDefault="00570E88">
      <w:pPr>
        <w:pStyle w:val="BodyText"/>
        <w:spacing w:before="10"/>
        <w:rPr>
          <w:sz w:val="3"/>
        </w:rPr>
      </w:pPr>
      <w:r>
        <w:rPr>
          <w:noProof/>
        </w:rPr>
        <mc:AlternateContent>
          <mc:Choice Requires="wpg">
            <w:drawing>
              <wp:anchor distT="0" distB="0" distL="0" distR="0" simplePos="0" relativeHeight="487646720" behindDoc="1" locked="0" layoutInCell="1" allowOverlap="1" wp14:anchorId="6411B727" wp14:editId="16AC3447">
                <wp:simplePos x="0" y="0"/>
                <wp:positionH relativeFrom="page">
                  <wp:posOffset>809999</wp:posOffset>
                </wp:positionH>
                <wp:positionV relativeFrom="paragraph">
                  <wp:posOffset>44129</wp:posOffset>
                </wp:positionV>
                <wp:extent cx="5940425" cy="3175"/>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30" name="Graphic 530"/>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31" name="Graphic 531"/>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B12FEC" id="Group 529" o:spid="_x0000_s1026" style="position:absolute;margin-left:63.8pt;margin-top:3.45pt;width:467.75pt;height:.25pt;z-index:-1566976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">
                <v:shape id="Graphic 530"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" path="m,l3249002,e" filled="f" strokeweight=".25pt">
                  <v:path arrowok="t"/>
                </v:shape>
                <v:shape id="Graphic 531"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" path="m,l2691003,e" filled="f" strokeweight=".25pt">
                  <v:path arrowok="t"/>
                </v:shape>
                <w10:wrap type="topAndBottom" anchorx="page"/>
              </v:group>
            </w:pict>
          </mc:Fallback>
        </mc:AlternateContent>
      </w:r>
    </w:p>
    <w:p w14:paraId="6D84705D" w14:textId="77777777" w:rsidR="00AC6F3C" w:rsidRDefault="00570E88">
      <w:pPr>
        <w:tabs>
          <w:tab w:val="left" w:pos="6045"/>
        </w:tabs>
        <w:spacing w:before="68" w:line="427" w:lineRule="auto"/>
        <w:ind w:left="6045" w:right="1737" w:hanging="5117"/>
        <w:rPr>
          <w:sz w:val="20"/>
        </w:rPr>
      </w:pPr>
      <w:r>
        <w:rPr>
          <w:b/>
          <w:sz w:val="20"/>
        </w:rPr>
        <w:t>Children’s Law Committee</w:t>
      </w:r>
      <w:r>
        <w:rPr>
          <w:b/>
          <w:sz w:val="20"/>
        </w:rPr>
        <w:tab/>
      </w:r>
      <w:r>
        <w:rPr>
          <w:sz w:val="20"/>
        </w:rPr>
        <w:t>Chair:</w:t>
      </w:r>
      <w:r>
        <w:rPr>
          <w:spacing w:val="-14"/>
          <w:sz w:val="20"/>
        </w:rPr>
        <w:t xml:space="preserve"> </w:t>
      </w:r>
      <w:r>
        <w:rPr>
          <w:sz w:val="20"/>
        </w:rPr>
        <w:t>Damian</w:t>
      </w:r>
      <w:r>
        <w:rPr>
          <w:spacing w:val="-14"/>
          <w:sz w:val="20"/>
        </w:rPr>
        <w:t xml:space="preserve"> </w:t>
      </w:r>
      <w:r>
        <w:rPr>
          <w:sz w:val="20"/>
        </w:rPr>
        <w:t>Bartholomew Deputy Chair: Danielle Iliffe</w:t>
      </w:r>
    </w:p>
    <w:p w14:paraId="0CD79CC5"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790080" behindDoc="0" locked="0" layoutInCell="1" allowOverlap="1" wp14:anchorId="675E4ADA" wp14:editId="276A7CD7">
                <wp:simplePos x="0" y="0"/>
                <wp:positionH relativeFrom="page">
                  <wp:posOffset>809999</wp:posOffset>
                </wp:positionH>
                <wp:positionV relativeFrom="paragraph">
                  <wp:posOffset>-69801</wp:posOffset>
                </wp:positionV>
                <wp:extent cx="5940425" cy="317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33" name="Graphic 533"/>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34" name="Graphic 534"/>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902E4C" id="Group 532" o:spid="_x0000_s1026" style="position:absolute;margin-left:63.8pt;margin-top:-5.5pt;width:467.75pt;height:.25pt;z-index:1579008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Zntw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">
                <v:shape id="Graphic 533"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" path="m,l3249002,e" filled="f" strokeweight=".25pt">
                  <v:path arrowok="t"/>
                </v:shape>
                <v:shape id="Graphic 534"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" path="m,l2691003,e" filled="f" strokeweight=".25pt">
                  <v:path arrowok="t"/>
                </v:shape>
                <w10:wrap anchorx="page"/>
              </v:group>
            </w:pict>
          </mc:Fallback>
        </mc:AlternateContent>
      </w:r>
      <w:r>
        <w:rPr>
          <w:b/>
          <w:sz w:val="20"/>
        </w:rPr>
        <w:t>Committee</w:t>
      </w:r>
      <w:r>
        <w:rPr>
          <w:b/>
          <w:spacing w:val="-4"/>
          <w:sz w:val="20"/>
        </w:rPr>
        <w:t xml:space="preserve"> </w:t>
      </w:r>
      <w:r>
        <w:rPr>
          <w:b/>
          <w:sz w:val="20"/>
        </w:rPr>
        <w:t>of</w:t>
      </w:r>
      <w:r>
        <w:rPr>
          <w:b/>
          <w:spacing w:val="-4"/>
          <w:sz w:val="20"/>
        </w:rPr>
        <w:t xml:space="preserve"> </w:t>
      </w:r>
      <w:r>
        <w:rPr>
          <w:b/>
          <w:spacing w:val="-2"/>
          <w:sz w:val="20"/>
        </w:rPr>
        <w:t>Management</w:t>
      </w:r>
      <w:r>
        <w:rPr>
          <w:b/>
          <w:sz w:val="20"/>
        </w:rPr>
        <w:tab/>
      </w:r>
      <w:r>
        <w:rPr>
          <w:sz w:val="20"/>
        </w:rPr>
        <w:t>Chair:</w:t>
      </w:r>
      <w:r>
        <w:rPr>
          <w:spacing w:val="-4"/>
          <w:sz w:val="20"/>
        </w:rPr>
        <w:t xml:space="preserve"> </w:t>
      </w:r>
      <w:r>
        <w:rPr>
          <w:sz w:val="20"/>
        </w:rPr>
        <w:t>Genevieve</w:t>
      </w:r>
      <w:r>
        <w:rPr>
          <w:spacing w:val="-4"/>
          <w:sz w:val="20"/>
        </w:rPr>
        <w:t xml:space="preserve"> </w:t>
      </w:r>
      <w:r>
        <w:rPr>
          <w:spacing w:val="-5"/>
          <w:sz w:val="20"/>
        </w:rPr>
        <w:t>Dee</w:t>
      </w:r>
    </w:p>
    <w:p w14:paraId="46A5E425" w14:textId="77777777" w:rsidR="00AC6F3C" w:rsidRDefault="00570E88">
      <w:pPr>
        <w:pStyle w:val="BodyText"/>
        <w:spacing w:before="180"/>
        <w:ind w:left="6045"/>
      </w:pPr>
      <w:r>
        <w:t>Deputy</w:t>
      </w:r>
      <w:r>
        <w:rPr>
          <w:spacing w:val="-4"/>
        </w:rPr>
        <w:t xml:space="preserve"> </w:t>
      </w:r>
      <w:r>
        <w:t>Chair:</w:t>
      </w:r>
      <w:r>
        <w:rPr>
          <w:spacing w:val="-2"/>
        </w:rPr>
        <w:t xml:space="preserve"> </w:t>
      </w:r>
      <w:r>
        <w:t>Michele</w:t>
      </w:r>
      <w:r>
        <w:rPr>
          <w:spacing w:val="-2"/>
        </w:rPr>
        <w:t xml:space="preserve"> Davis</w:t>
      </w:r>
    </w:p>
    <w:p w14:paraId="652E2A38" w14:textId="77777777" w:rsidR="00AC6F3C" w:rsidRDefault="00570E88">
      <w:pPr>
        <w:pStyle w:val="BodyText"/>
        <w:spacing w:before="10"/>
        <w:rPr>
          <w:sz w:val="3"/>
        </w:rPr>
      </w:pPr>
      <w:r>
        <w:rPr>
          <w:noProof/>
        </w:rPr>
        <mc:AlternateContent>
          <mc:Choice Requires="wpg">
            <w:drawing>
              <wp:anchor distT="0" distB="0" distL="0" distR="0" simplePos="0" relativeHeight="487647232" behindDoc="1" locked="0" layoutInCell="1" allowOverlap="1" wp14:anchorId="3B44104F" wp14:editId="3D327620">
                <wp:simplePos x="0" y="0"/>
                <wp:positionH relativeFrom="page">
                  <wp:posOffset>809999</wp:posOffset>
                </wp:positionH>
                <wp:positionV relativeFrom="paragraph">
                  <wp:posOffset>44164</wp:posOffset>
                </wp:positionV>
                <wp:extent cx="5940425" cy="3175"/>
                <wp:effectExtent l="0" t="0" r="0" b="0"/>
                <wp:wrapTopAndBottom/>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36" name="Graphic 53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37" name="Graphic 53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FD91E9" id="Group 535" o:spid="_x0000_s1026" style="position:absolute;margin-left:63.8pt;margin-top:3.5pt;width:467.75pt;height:.25pt;z-index:-156692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">
                <v:shape id="Graphic 53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" path="m,l3249002,e" filled="f" strokeweight=".25pt">
                  <v:path arrowok="t"/>
                </v:shape>
                <v:shape id="Graphic 53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" path="m,l2691003,e" filled="f" strokeweight=".25pt">
                  <v:path arrowok="t"/>
                </v:shape>
                <w10:wrap type="topAndBottom" anchorx="page"/>
              </v:group>
            </w:pict>
          </mc:Fallback>
        </mc:AlternateContent>
      </w:r>
    </w:p>
    <w:p w14:paraId="37168AD3" w14:textId="77777777" w:rsidR="00AC6F3C" w:rsidRDefault="00570E88">
      <w:pPr>
        <w:tabs>
          <w:tab w:val="left" w:pos="6045"/>
        </w:tabs>
        <w:spacing w:before="68"/>
        <w:ind w:left="928"/>
        <w:rPr>
          <w:sz w:val="20"/>
        </w:rPr>
      </w:pPr>
      <w:r>
        <w:rPr>
          <w:b/>
          <w:sz w:val="20"/>
        </w:rPr>
        <w:t>Competition</w:t>
      </w:r>
      <w:r>
        <w:rPr>
          <w:b/>
          <w:spacing w:val="-2"/>
          <w:sz w:val="20"/>
        </w:rPr>
        <w:t xml:space="preserve"> </w:t>
      </w:r>
      <w:r>
        <w:rPr>
          <w:b/>
          <w:sz w:val="20"/>
        </w:rPr>
        <w:t>and</w:t>
      </w:r>
      <w:r>
        <w:rPr>
          <w:b/>
          <w:spacing w:val="-2"/>
          <w:sz w:val="20"/>
        </w:rPr>
        <w:t xml:space="preserve"> </w:t>
      </w:r>
      <w:r>
        <w:rPr>
          <w:b/>
          <w:sz w:val="20"/>
        </w:rPr>
        <w:t>Consumer</w:t>
      </w:r>
      <w:r>
        <w:rPr>
          <w:b/>
          <w:spacing w:val="-2"/>
          <w:sz w:val="20"/>
        </w:rPr>
        <w:t xml:space="preserve"> </w:t>
      </w:r>
      <w:r>
        <w:rPr>
          <w:b/>
          <w:sz w:val="20"/>
        </w:rPr>
        <w:t>Law</w:t>
      </w:r>
      <w:r>
        <w:rPr>
          <w:b/>
          <w:spacing w:val="-1"/>
          <w:sz w:val="20"/>
        </w:rPr>
        <w:t xml:space="preserve"> </w:t>
      </w:r>
      <w:r>
        <w:rPr>
          <w:b/>
          <w:spacing w:val="-2"/>
          <w:sz w:val="20"/>
        </w:rPr>
        <w:t>Committee</w:t>
      </w:r>
      <w:r>
        <w:rPr>
          <w:b/>
          <w:sz w:val="20"/>
        </w:rPr>
        <w:tab/>
      </w:r>
      <w:r>
        <w:rPr>
          <w:sz w:val="20"/>
        </w:rPr>
        <w:t>Chair:</w:t>
      </w:r>
      <w:r>
        <w:rPr>
          <w:spacing w:val="-3"/>
          <w:sz w:val="20"/>
        </w:rPr>
        <w:t xml:space="preserve"> </w:t>
      </w:r>
      <w:r>
        <w:rPr>
          <w:sz w:val="20"/>
        </w:rPr>
        <w:t>Kathryn</w:t>
      </w:r>
      <w:r>
        <w:rPr>
          <w:spacing w:val="-3"/>
          <w:sz w:val="20"/>
        </w:rPr>
        <w:t xml:space="preserve"> </w:t>
      </w:r>
      <w:r>
        <w:rPr>
          <w:spacing w:val="-2"/>
          <w:sz w:val="20"/>
        </w:rPr>
        <w:t>Finlayson</w:t>
      </w:r>
    </w:p>
    <w:p w14:paraId="76D88A61" w14:textId="77777777" w:rsidR="00AC6F3C" w:rsidRDefault="00570E88">
      <w:pPr>
        <w:pStyle w:val="BodyText"/>
        <w:spacing w:before="180"/>
        <w:ind w:left="6045"/>
      </w:pPr>
      <w:r>
        <w:t>Deputy</w:t>
      </w:r>
      <w:r>
        <w:rPr>
          <w:spacing w:val="-9"/>
        </w:rPr>
        <w:t xml:space="preserve"> </w:t>
      </w:r>
      <w:r>
        <w:t>Chair:</w:t>
      </w:r>
      <w:r>
        <w:rPr>
          <w:spacing w:val="-13"/>
        </w:rPr>
        <w:t xml:space="preserve"> </w:t>
      </w:r>
      <w:r>
        <w:t>Tanja</w:t>
      </w:r>
      <w:r>
        <w:rPr>
          <w:spacing w:val="-8"/>
        </w:rPr>
        <w:t xml:space="preserve"> </w:t>
      </w:r>
      <w:r>
        <w:rPr>
          <w:spacing w:val="-2"/>
        </w:rPr>
        <w:t>Mitic</w:t>
      </w:r>
    </w:p>
    <w:p w14:paraId="6C41A13F" w14:textId="77777777" w:rsidR="00AC6F3C" w:rsidRDefault="00570E88">
      <w:pPr>
        <w:pStyle w:val="BodyText"/>
        <w:spacing w:before="10"/>
        <w:rPr>
          <w:sz w:val="3"/>
        </w:rPr>
      </w:pPr>
      <w:r>
        <w:rPr>
          <w:noProof/>
        </w:rPr>
        <mc:AlternateContent>
          <mc:Choice Requires="wpg">
            <w:drawing>
              <wp:anchor distT="0" distB="0" distL="0" distR="0" simplePos="0" relativeHeight="487647744" behindDoc="1" locked="0" layoutInCell="1" allowOverlap="1" wp14:anchorId="53EA71C8" wp14:editId="641BDC6C">
                <wp:simplePos x="0" y="0"/>
                <wp:positionH relativeFrom="page">
                  <wp:posOffset>809999</wp:posOffset>
                </wp:positionH>
                <wp:positionV relativeFrom="paragraph">
                  <wp:posOffset>44129</wp:posOffset>
                </wp:positionV>
                <wp:extent cx="5940425" cy="3175"/>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39" name="Graphic 53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40" name="Graphic 54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ADCDAF" id="Group 538" o:spid="_x0000_s1026" style="position:absolute;margin-left:63.8pt;margin-top:3.45pt;width:467.75pt;height:.25pt;z-index:-1566873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">
                <v:shape id="Graphic 53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" path="m,l3249002,e" filled="f" strokeweight=".25pt">
                  <v:path arrowok="t"/>
                </v:shape>
                <v:shape id="Graphic 54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" path="m,l2691003,e" filled="f" strokeweight=".25pt">
                  <v:path arrowok="t"/>
                </v:shape>
                <w10:wrap type="topAndBottom" anchorx="page"/>
              </v:group>
            </w:pict>
          </mc:Fallback>
        </mc:AlternateContent>
      </w:r>
    </w:p>
    <w:p w14:paraId="2CD3F163" w14:textId="77777777" w:rsidR="00AC6F3C" w:rsidRDefault="00570E88">
      <w:pPr>
        <w:tabs>
          <w:tab w:val="left" w:pos="6045"/>
        </w:tabs>
        <w:spacing w:before="68"/>
        <w:ind w:left="928"/>
        <w:rPr>
          <w:sz w:val="20"/>
        </w:rPr>
      </w:pPr>
      <w:r>
        <w:rPr>
          <w:b/>
          <w:sz w:val="20"/>
        </w:rPr>
        <w:t>Construction</w:t>
      </w:r>
      <w:r>
        <w:rPr>
          <w:b/>
          <w:spacing w:val="-4"/>
          <w:sz w:val="20"/>
        </w:rPr>
        <w:t xml:space="preserve"> </w:t>
      </w:r>
      <w:r>
        <w:rPr>
          <w:b/>
          <w:sz w:val="20"/>
        </w:rPr>
        <w:t>and</w:t>
      </w:r>
      <w:r>
        <w:rPr>
          <w:b/>
          <w:spacing w:val="-3"/>
          <w:sz w:val="20"/>
        </w:rPr>
        <w:t xml:space="preserve"> </w:t>
      </w:r>
      <w:r>
        <w:rPr>
          <w:b/>
          <w:sz w:val="20"/>
        </w:rPr>
        <w:t>Infrastructure</w:t>
      </w:r>
      <w:r>
        <w:rPr>
          <w:b/>
          <w:spacing w:val="-3"/>
          <w:sz w:val="20"/>
        </w:rPr>
        <w:t xml:space="preserve"> </w:t>
      </w:r>
      <w:r>
        <w:rPr>
          <w:b/>
          <w:sz w:val="20"/>
        </w:rPr>
        <w:t>Law</w:t>
      </w:r>
      <w:r>
        <w:rPr>
          <w:b/>
          <w:spacing w:val="-3"/>
          <w:sz w:val="20"/>
        </w:rPr>
        <w:t xml:space="preserve"> </w:t>
      </w:r>
      <w:r>
        <w:rPr>
          <w:b/>
          <w:spacing w:val="-2"/>
          <w:sz w:val="20"/>
        </w:rPr>
        <w:t>Committee</w:t>
      </w:r>
      <w:r>
        <w:rPr>
          <w:b/>
          <w:sz w:val="20"/>
        </w:rPr>
        <w:tab/>
      </w:r>
      <w:r>
        <w:rPr>
          <w:sz w:val="20"/>
        </w:rPr>
        <w:t>Chair:</w:t>
      </w:r>
      <w:r>
        <w:rPr>
          <w:spacing w:val="-4"/>
          <w:sz w:val="20"/>
        </w:rPr>
        <w:t xml:space="preserve"> </w:t>
      </w:r>
      <w:r>
        <w:rPr>
          <w:sz w:val="20"/>
        </w:rPr>
        <w:t>Samantha</w:t>
      </w:r>
      <w:r>
        <w:rPr>
          <w:spacing w:val="-3"/>
          <w:sz w:val="20"/>
        </w:rPr>
        <w:t xml:space="preserve"> </w:t>
      </w:r>
      <w:r>
        <w:rPr>
          <w:spacing w:val="-2"/>
          <w:sz w:val="20"/>
        </w:rPr>
        <w:t>Cohen</w:t>
      </w:r>
    </w:p>
    <w:p w14:paraId="59E03469" w14:textId="77777777" w:rsidR="00AC6F3C" w:rsidRDefault="00570E88">
      <w:pPr>
        <w:pStyle w:val="BodyText"/>
        <w:spacing w:before="180"/>
        <w:ind w:left="6045"/>
      </w:pPr>
      <w:r>
        <w:t>Deputy</w:t>
      </w:r>
      <w:r>
        <w:rPr>
          <w:spacing w:val="-2"/>
        </w:rPr>
        <w:t xml:space="preserve"> </w:t>
      </w:r>
      <w:r>
        <w:t>Chair:</w:t>
      </w:r>
      <w:r>
        <w:rPr>
          <w:spacing w:val="-2"/>
        </w:rPr>
        <w:t xml:space="preserve"> </w:t>
      </w:r>
      <w:r>
        <w:t>Nathan</w:t>
      </w:r>
      <w:r>
        <w:rPr>
          <w:spacing w:val="-1"/>
        </w:rPr>
        <w:t xml:space="preserve"> </w:t>
      </w:r>
      <w:r>
        <w:rPr>
          <w:spacing w:val="-2"/>
        </w:rPr>
        <w:t>Chalmers</w:t>
      </w:r>
    </w:p>
    <w:p w14:paraId="09478AFF" w14:textId="77777777" w:rsidR="00AC6F3C" w:rsidRDefault="00570E88">
      <w:pPr>
        <w:pStyle w:val="BodyText"/>
        <w:spacing w:before="10"/>
        <w:rPr>
          <w:sz w:val="3"/>
        </w:rPr>
      </w:pPr>
      <w:r>
        <w:rPr>
          <w:noProof/>
        </w:rPr>
        <mc:AlternateContent>
          <mc:Choice Requires="wpg">
            <w:drawing>
              <wp:anchor distT="0" distB="0" distL="0" distR="0" simplePos="0" relativeHeight="487648256" behindDoc="1" locked="0" layoutInCell="1" allowOverlap="1" wp14:anchorId="1BE4021D" wp14:editId="1531D513">
                <wp:simplePos x="0" y="0"/>
                <wp:positionH relativeFrom="page">
                  <wp:posOffset>809999</wp:posOffset>
                </wp:positionH>
                <wp:positionV relativeFrom="paragraph">
                  <wp:posOffset>44128</wp:posOffset>
                </wp:positionV>
                <wp:extent cx="5940425" cy="3175"/>
                <wp:effectExtent l="0" t="0" r="0"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42" name="Graphic 54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43" name="Graphic 54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B25C7" id="Group 541" o:spid="_x0000_s1026" style="position:absolute;margin-left:63.8pt;margin-top:3.45pt;width:467.75pt;height:.25pt;z-index:-1566822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Bktg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JgscGS2AgAA&#10;dwgAAA4AAAAAAAAAAAAAAAAALgIAAGRycy9lMm9Eb2MueG1sUEsBAi0AFAAGAAgAAAAhAC5atKnf&#10;AAAACAEAAA8AAAAAAAAAAAAAAAAAEAUAAGRycy9kb3ducmV2LnhtbFBLBQYAAAAABAAEAPMAAAAc&#10;BgAAAAA=&#10;">
                <v:shape id="Graphic 54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" path="m,l3249002,e" filled="f" strokeweight=".25pt">
                  <v:path arrowok="t"/>
                </v:shape>
                <v:shape id="Graphic 54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" path="m,l2691003,e" filled="f" strokeweight=".25pt">
                  <v:path arrowok="t"/>
                </v:shape>
                <w10:wrap type="topAndBottom" anchorx="page"/>
              </v:group>
            </w:pict>
          </mc:Fallback>
        </mc:AlternateContent>
      </w:r>
    </w:p>
    <w:p w14:paraId="18AC0CDD" w14:textId="77777777" w:rsidR="00AC6F3C" w:rsidRDefault="00570E88">
      <w:pPr>
        <w:tabs>
          <w:tab w:val="left" w:pos="6045"/>
        </w:tabs>
        <w:spacing w:before="68"/>
        <w:ind w:left="928"/>
        <w:rPr>
          <w:sz w:val="20"/>
        </w:rPr>
      </w:pPr>
      <w:r>
        <w:rPr>
          <w:b/>
          <w:sz w:val="20"/>
        </w:rPr>
        <w:t>Corporations</w:t>
      </w:r>
      <w:r>
        <w:rPr>
          <w:b/>
          <w:spacing w:val="-6"/>
          <w:sz w:val="20"/>
        </w:rPr>
        <w:t xml:space="preserve"> </w:t>
      </w:r>
      <w:r>
        <w:rPr>
          <w:b/>
          <w:sz w:val="20"/>
        </w:rPr>
        <w:t>Law</w:t>
      </w:r>
      <w:r>
        <w:rPr>
          <w:b/>
          <w:spacing w:val="-5"/>
          <w:sz w:val="20"/>
        </w:rPr>
        <w:t xml:space="preserve"> </w:t>
      </w:r>
      <w:r>
        <w:rPr>
          <w:b/>
          <w:spacing w:val="-2"/>
          <w:sz w:val="20"/>
        </w:rPr>
        <w:t>Committee</w:t>
      </w:r>
      <w:r>
        <w:rPr>
          <w:b/>
          <w:sz w:val="20"/>
        </w:rPr>
        <w:tab/>
      </w:r>
      <w:r>
        <w:rPr>
          <w:sz w:val="20"/>
        </w:rPr>
        <w:t xml:space="preserve">Chair: Derek </w:t>
      </w:r>
      <w:r>
        <w:rPr>
          <w:spacing w:val="-2"/>
          <w:sz w:val="20"/>
        </w:rPr>
        <w:t>Pocock</w:t>
      </w:r>
    </w:p>
    <w:p w14:paraId="1B7644EB" w14:textId="77777777" w:rsidR="00AC6F3C" w:rsidRDefault="00570E88">
      <w:pPr>
        <w:pStyle w:val="BodyText"/>
        <w:spacing w:before="10"/>
        <w:rPr>
          <w:sz w:val="3"/>
        </w:rPr>
      </w:pPr>
      <w:r>
        <w:rPr>
          <w:noProof/>
        </w:rPr>
        <mc:AlternateContent>
          <mc:Choice Requires="wpg">
            <w:drawing>
              <wp:anchor distT="0" distB="0" distL="0" distR="0" simplePos="0" relativeHeight="487648768" behindDoc="1" locked="0" layoutInCell="1" allowOverlap="1" wp14:anchorId="33C7F8C5" wp14:editId="199F6041">
                <wp:simplePos x="0" y="0"/>
                <wp:positionH relativeFrom="page">
                  <wp:posOffset>809999</wp:posOffset>
                </wp:positionH>
                <wp:positionV relativeFrom="paragraph">
                  <wp:posOffset>43813</wp:posOffset>
                </wp:positionV>
                <wp:extent cx="5940425" cy="3175"/>
                <wp:effectExtent l="0" t="0" r="0" b="0"/>
                <wp:wrapTopAndBottom/>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45" name="Graphic 54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46" name="Graphic 54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0C75D6" id="Group 544" o:spid="_x0000_s1026" style="position:absolute;margin-left:63.8pt;margin-top:3.45pt;width:467.75pt;height:.25pt;z-index:-1566771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">
                <v:shape id="Graphic 54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" path="m,l3249002,e" filled="f" strokeweight=".25pt">
                  <v:path arrowok="t"/>
                </v:shape>
                <v:shape id="Graphic 54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" path="m,l2691003,e" filled="f" strokeweight=".25pt">
                  <v:path arrowok="t"/>
                </v:shape>
                <w10:wrap type="topAndBottom" anchorx="page"/>
              </v:group>
            </w:pict>
          </mc:Fallback>
        </mc:AlternateContent>
      </w:r>
    </w:p>
    <w:p w14:paraId="233E9B8D" w14:textId="77777777" w:rsidR="00AC6F3C" w:rsidRDefault="00AC6F3C">
      <w:pPr>
        <w:rPr>
          <w:sz w:val="3"/>
        </w:rPr>
        <w:sectPr w:rsidR="00AC6F3C">
          <w:headerReference w:type="default" r:id="rId192"/>
          <w:footerReference w:type="default" r:id="rId193"/>
          <w:pgSz w:w="11910" w:h="16840"/>
          <w:pgMar w:top="1480" w:right="1160" w:bottom="520" w:left="460" w:header="1237" w:footer="336" w:gutter="0"/>
          <w:cols w:space="720"/>
        </w:sectPr>
      </w:pPr>
    </w:p>
    <w:p w14:paraId="33E24232" w14:textId="77777777" w:rsidR="00AC6F3C" w:rsidRDefault="00570E88">
      <w:pPr>
        <w:tabs>
          <w:tab w:val="left" w:pos="6045"/>
        </w:tabs>
        <w:spacing w:before="69"/>
        <w:ind w:left="928"/>
        <w:rPr>
          <w:sz w:val="20"/>
        </w:rPr>
      </w:pPr>
      <w:r>
        <w:rPr>
          <w:b/>
          <w:sz w:val="20"/>
        </w:rPr>
        <w:lastRenderedPageBreak/>
        <w:t>CPD</w:t>
      </w:r>
      <w:r>
        <w:rPr>
          <w:b/>
          <w:spacing w:val="-2"/>
          <w:sz w:val="20"/>
        </w:rPr>
        <w:t xml:space="preserve"> Committee</w:t>
      </w:r>
      <w:r>
        <w:rPr>
          <w:b/>
          <w:sz w:val="20"/>
        </w:rPr>
        <w:tab/>
      </w:r>
      <w:r>
        <w:rPr>
          <w:sz w:val="20"/>
        </w:rPr>
        <w:t>Chair:</w:t>
      </w:r>
      <w:r>
        <w:rPr>
          <w:spacing w:val="-3"/>
          <w:sz w:val="20"/>
        </w:rPr>
        <w:t xml:space="preserve"> </w:t>
      </w:r>
      <w:r>
        <w:rPr>
          <w:sz w:val="20"/>
        </w:rPr>
        <w:t>Rachael</w:t>
      </w:r>
      <w:r>
        <w:rPr>
          <w:spacing w:val="-3"/>
          <w:sz w:val="20"/>
        </w:rPr>
        <w:t xml:space="preserve"> </w:t>
      </w:r>
      <w:r>
        <w:rPr>
          <w:spacing w:val="-2"/>
          <w:sz w:val="20"/>
        </w:rPr>
        <w:t>Miller</w:t>
      </w:r>
    </w:p>
    <w:p w14:paraId="0A124711" w14:textId="77777777" w:rsidR="00AC6F3C" w:rsidRDefault="00570E88">
      <w:pPr>
        <w:pStyle w:val="BodyText"/>
        <w:spacing w:before="9"/>
        <w:rPr>
          <w:sz w:val="3"/>
        </w:rPr>
      </w:pPr>
      <w:r>
        <w:rPr>
          <w:noProof/>
        </w:rPr>
        <mc:AlternateContent>
          <mc:Choice Requires="wpg">
            <w:drawing>
              <wp:anchor distT="0" distB="0" distL="0" distR="0" simplePos="0" relativeHeight="487649792" behindDoc="1" locked="0" layoutInCell="1" allowOverlap="1" wp14:anchorId="123C6A6B" wp14:editId="32CB4551">
                <wp:simplePos x="0" y="0"/>
                <wp:positionH relativeFrom="page">
                  <wp:posOffset>809999</wp:posOffset>
                </wp:positionH>
                <wp:positionV relativeFrom="paragraph">
                  <wp:posOffset>43432</wp:posOffset>
                </wp:positionV>
                <wp:extent cx="5940425" cy="3175"/>
                <wp:effectExtent l="0" t="0" r="0" b="0"/>
                <wp:wrapTopAndBottom/>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60" name="Graphic 560"/>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61" name="Graphic 561"/>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AAAD8D" id="Group 559" o:spid="_x0000_s1026" style="position:absolute;margin-left:63.8pt;margin-top:3.4pt;width:467.75pt;height:.25pt;z-index:-1566668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EDtQ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">
                <v:shape id="Graphic 560"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" path="m,l3249002,e" filled="f" strokeweight=".25pt">
                  <v:path arrowok="t"/>
                </v:shape>
                <v:shape id="Graphic 561"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" path="m,l2691003,e" filled="f" strokeweight=".25pt">
                  <v:path arrowok="t"/>
                </v:shape>
                <w10:wrap type="topAndBottom" anchorx="page"/>
              </v:group>
            </w:pict>
          </mc:Fallback>
        </mc:AlternateContent>
      </w:r>
    </w:p>
    <w:p w14:paraId="7A3D14EA" w14:textId="77777777" w:rsidR="00AC6F3C" w:rsidRDefault="00570E88">
      <w:pPr>
        <w:tabs>
          <w:tab w:val="left" w:pos="6045"/>
        </w:tabs>
        <w:spacing w:before="69" w:line="427" w:lineRule="auto"/>
        <w:ind w:left="6045" w:right="1758" w:hanging="5117"/>
        <w:rPr>
          <w:sz w:val="20"/>
        </w:rPr>
      </w:pPr>
      <w:r>
        <w:rPr>
          <w:b/>
          <w:sz w:val="20"/>
        </w:rPr>
        <w:t>Criminal Law Committee</w:t>
      </w:r>
      <w:r>
        <w:rPr>
          <w:b/>
          <w:sz w:val="20"/>
        </w:rPr>
        <w:tab/>
      </w:r>
      <w:r>
        <w:rPr>
          <w:sz w:val="20"/>
        </w:rPr>
        <w:t>Chair: Dominic Brunello Deputy</w:t>
      </w:r>
      <w:r>
        <w:rPr>
          <w:spacing w:val="-11"/>
          <w:sz w:val="20"/>
        </w:rPr>
        <w:t xml:space="preserve"> </w:t>
      </w:r>
      <w:r>
        <w:rPr>
          <w:sz w:val="20"/>
        </w:rPr>
        <w:t>Chair:</w:t>
      </w:r>
      <w:r>
        <w:rPr>
          <w:spacing w:val="-11"/>
          <w:sz w:val="20"/>
        </w:rPr>
        <w:t xml:space="preserve"> </w:t>
      </w:r>
      <w:r>
        <w:rPr>
          <w:sz w:val="20"/>
        </w:rPr>
        <w:t>Patrick</w:t>
      </w:r>
      <w:r>
        <w:rPr>
          <w:spacing w:val="-11"/>
          <w:sz w:val="20"/>
        </w:rPr>
        <w:t xml:space="preserve"> </w:t>
      </w:r>
      <w:r>
        <w:rPr>
          <w:sz w:val="20"/>
        </w:rPr>
        <w:t>Quinn</w:t>
      </w:r>
    </w:p>
    <w:p w14:paraId="145848A0"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798784" behindDoc="0" locked="0" layoutInCell="1" allowOverlap="1" wp14:anchorId="3B2F01FA" wp14:editId="156BAD96">
                <wp:simplePos x="0" y="0"/>
                <wp:positionH relativeFrom="page">
                  <wp:posOffset>809999</wp:posOffset>
                </wp:positionH>
                <wp:positionV relativeFrom="paragraph">
                  <wp:posOffset>-69924</wp:posOffset>
                </wp:positionV>
                <wp:extent cx="5940425" cy="317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63" name="Graphic 563"/>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64" name="Graphic 564"/>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1E55F8" id="Group 562" o:spid="_x0000_s1026" style="position:absolute;margin-left:63.8pt;margin-top:-5.5pt;width:467.75pt;height:.25pt;z-index:1579878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K0tw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">
                <v:shape id="Graphic 563"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" path="m,l3249002,e" filled="f" strokeweight=".25pt">
                  <v:path arrowok="t"/>
                </v:shape>
                <v:shape id="Graphic 564"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" path="m,l2691003,e" filled="f" strokeweight=".25pt">
                  <v:path arrowok="t"/>
                </v:shape>
                <w10:wrap anchorx="page"/>
              </v:group>
            </w:pict>
          </mc:Fallback>
        </mc:AlternateContent>
      </w:r>
      <w:r>
        <w:rPr>
          <w:b/>
          <w:sz w:val="20"/>
        </w:rPr>
        <w:t>Dispute</w:t>
      </w:r>
      <w:r>
        <w:rPr>
          <w:b/>
          <w:spacing w:val="-3"/>
          <w:sz w:val="20"/>
        </w:rPr>
        <w:t xml:space="preserve"> </w:t>
      </w:r>
      <w:r>
        <w:rPr>
          <w:b/>
          <w:sz w:val="20"/>
        </w:rPr>
        <w:t>Resolution</w:t>
      </w:r>
      <w:r>
        <w:rPr>
          <w:b/>
          <w:spacing w:val="-3"/>
          <w:sz w:val="20"/>
        </w:rPr>
        <w:t xml:space="preserve"> </w:t>
      </w:r>
      <w:r>
        <w:rPr>
          <w:b/>
          <w:spacing w:val="-2"/>
          <w:sz w:val="20"/>
        </w:rPr>
        <w:t>Committee</w:t>
      </w:r>
      <w:r>
        <w:rPr>
          <w:b/>
          <w:sz w:val="20"/>
        </w:rPr>
        <w:tab/>
      </w:r>
      <w:r>
        <w:rPr>
          <w:sz w:val="20"/>
        </w:rPr>
        <w:t>Chair:</w:t>
      </w:r>
      <w:r>
        <w:rPr>
          <w:spacing w:val="-2"/>
          <w:sz w:val="20"/>
        </w:rPr>
        <w:t xml:space="preserve"> </w:t>
      </w:r>
      <w:r>
        <w:rPr>
          <w:sz w:val="20"/>
        </w:rPr>
        <w:t>Paul</w:t>
      </w:r>
      <w:r>
        <w:rPr>
          <w:spacing w:val="-1"/>
          <w:sz w:val="20"/>
        </w:rPr>
        <w:t xml:space="preserve"> </w:t>
      </w:r>
      <w:r>
        <w:rPr>
          <w:spacing w:val="-2"/>
          <w:sz w:val="20"/>
        </w:rPr>
        <w:t>Coves</w:t>
      </w:r>
    </w:p>
    <w:p w14:paraId="19E6E018" w14:textId="77777777" w:rsidR="00AC6F3C" w:rsidRDefault="00570E88">
      <w:pPr>
        <w:pStyle w:val="BodyText"/>
        <w:spacing w:before="180"/>
        <w:ind w:right="1975"/>
        <w:jc w:val="right"/>
      </w:pPr>
      <w:r>
        <w:t>Deputy</w:t>
      </w:r>
      <w:r>
        <w:rPr>
          <w:spacing w:val="-2"/>
        </w:rPr>
        <w:t xml:space="preserve"> </w:t>
      </w:r>
      <w:r>
        <w:t>Chair:</w:t>
      </w:r>
      <w:r>
        <w:rPr>
          <w:spacing w:val="-1"/>
        </w:rPr>
        <w:t xml:space="preserve"> </w:t>
      </w:r>
      <w:r>
        <w:t>Julie</w:t>
      </w:r>
      <w:r>
        <w:rPr>
          <w:spacing w:val="-1"/>
        </w:rPr>
        <w:t xml:space="preserve"> </w:t>
      </w:r>
      <w:r>
        <w:rPr>
          <w:spacing w:val="-2"/>
        </w:rPr>
        <w:t>Ruffin</w:t>
      </w:r>
    </w:p>
    <w:p w14:paraId="492FB483" w14:textId="77777777" w:rsidR="00AC6F3C" w:rsidRDefault="00570E88">
      <w:pPr>
        <w:pStyle w:val="BodyText"/>
        <w:spacing w:before="9"/>
        <w:rPr>
          <w:sz w:val="3"/>
        </w:rPr>
      </w:pPr>
      <w:r>
        <w:rPr>
          <w:noProof/>
        </w:rPr>
        <mc:AlternateContent>
          <mc:Choice Requires="wpg">
            <w:drawing>
              <wp:anchor distT="0" distB="0" distL="0" distR="0" simplePos="0" relativeHeight="487650304" behindDoc="1" locked="0" layoutInCell="1" allowOverlap="1" wp14:anchorId="5EEF1E32" wp14:editId="166641AD">
                <wp:simplePos x="0" y="0"/>
                <wp:positionH relativeFrom="page">
                  <wp:posOffset>809999</wp:posOffset>
                </wp:positionH>
                <wp:positionV relativeFrom="paragraph">
                  <wp:posOffset>43528</wp:posOffset>
                </wp:positionV>
                <wp:extent cx="5940425" cy="3175"/>
                <wp:effectExtent l="0" t="0" r="0" b="0"/>
                <wp:wrapTopAndBottom/>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66" name="Graphic 56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67" name="Graphic 56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B12ACD" id="Group 565" o:spid="_x0000_s1026" style="position:absolute;margin-left:63.8pt;margin-top:3.45pt;width:467.75pt;height:.25pt;z-index:-1566617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">
                <v:shape id="Graphic 56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" path="m,l3249002,e" filled="f" strokeweight=".25pt">
                  <v:path arrowok="t"/>
                </v:shape>
                <v:shape id="Graphic 56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" path="m,l2691003,e" filled="f" strokeweight=".25pt">
                  <v:path arrowok="t"/>
                </v:shape>
                <w10:wrap type="topAndBottom" anchorx="page"/>
              </v:group>
            </w:pict>
          </mc:Fallback>
        </mc:AlternateContent>
      </w:r>
    </w:p>
    <w:p w14:paraId="462CDD7B" w14:textId="77777777" w:rsidR="00AC6F3C" w:rsidRDefault="00570E88">
      <w:pPr>
        <w:tabs>
          <w:tab w:val="left" w:pos="5116"/>
        </w:tabs>
        <w:spacing w:before="68"/>
        <w:ind w:right="2003"/>
        <w:jc w:val="right"/>
        <w:rPr>
          <w:sz w:val="20"/>
        </w:rPr>
      </w:pPr>
      <w:r>
        <w:rPr>
          <w:b/>
          <w:sz w:val="20"/>
        </w:rPr>
        <w:t>Domestic</w:t>
      </w:r>
      <w:r>
        <w:rPr>
          <w:b/>
          <w:spacing w:val="-6"/>
          <w:sz w:val="20"/>
        </w:rPr>
        <w:t xml:space="preserve"> </w:t>
      </w:r>
      <w:r>
        <w:rPr>
          <w:b/>
          <w:sz w:val="20"/>
        </w:rPr>
        <w:t>and</w:t>
      </w:r>
      <w:r>
        <w:rPr>
          <w:b/>
          <w:spacing w:val="-5"/>
          <w:sz w:val="20"/>
        </w:rPr>
        <w:t xml:space="preserve"> </w:t>
      </w:r>
      <w:r>
        <w:rPr>
          <w:b/>
          <w:sz w:val="20"/>
        </w:rPr>
        <w:t>Family</w:t>
      </w:r>
      <w:r>
        <w:rPr>
          <w:b/>
          <w:spacing w:val="-6"/>
          <w:sz w:val="20"/>
        </w:rPr>
        <w:t xml:space="preserve"> </w:t>
      </w:r>
      <w:r>
        <w:rPr>
          <w:b/>
          <w:sz w:val="20"/>
        </w:rPr>
        <w:t>Violence</w:t>
      </w:r>
      <w:r>
        <w:rPr>
          <w:b/>
          <w:spacing w:val="-5"/>
          <w:sz w:val="20"/>
        </w:rPr>
        <w:t xml:space="preserve"> </w:t>
      </w:r>
      <w:r>
        <w:rPr>
          <w:b/>
          <w:spacing w:val="-2"/>
          <w:sz w:val="20"/>
        </w:rPr>
        <w:t>Committee</w:t>
      </w:r>
      <w:r>
        <w:rPr>
          <w:b/>
          <w:sz w:val="20"/>
        </w:rPr>
        <w:tab/>
      </w:r>
      <w:r>
        <w:rPr>
          <w:sz w:val="20"/>
        </w:rPr>
        <w:t>Chair:</w:t>
      </w:r>
      <w:r>
        <w:rPr>
          <w:spacing w:val="-7"/>
          <w:sz w:val="20"/>
        </w:rPr>
        <w:t xml:space="preserve"> </w:t>
      </w:r>
      <w:r>
        <w:rPr>
          <w:sz w:val="20"/>
        </w:rPr>
        <w:t>Tracey</w:t>
      </w:r>
      <w:r>
        <w:rPr>
          <w:spacing w:val="-3"/>
          <w:sz w:val="20"/>
        </w:rPr>
        <w:t xml:space="preserve"> </w:t>
      </w:r>
      <w:r>
        <w:rPr>
          <w:sz w:val="20"/>
        </w:rPr>
        <w:t>De</w:t>
      </w:r>
      <w:r>
        <w:rPr>
          <w:spacing w:val="-3"/>
          <w:sz w:val="20"/>
        </w:rPr>
        <w:t xml:space="preserve"> </w:t>
      </w:r>
      <w:r>
        <w:rPr>
          <w:spacing w:val="-2"/>
          <w:sz w:val="20"/>
        </w:rPr>
        <w:t>Simone</w:t>
      </w:r>
    </w:p>
    <w:p w14:paraId="423993FF" w14:textId="77777777" w:rsidR="00AC6F3C" w:rsidRDefault="00570E88">
      <w:pPr>
        <w:pStyle w:val="BodyText"/>
        <w:spacing w:before="180"/>
        <w:ind w:left="6045"/>
      </w:pPr>
      <w:r>
        <w:t>Deputy</w:t>
      </w:r>
      <w:r>
        <w:rPr>
          <w:spacing w:val="-2"/>
        </w:rPr>
        <w:t xml:space="preserve"> </w:t>
      </w:r>
      <w:r>
        <w:t>Chair:</w:t>
      </w:r>
      <w:r>
        <w:rPr>
          <w:spacing w:val="-2"/>
        </w:rPr>
        <w:t xml:space="preserve"> </w:t>
      </w:r>
      <w:r>
        <w:t>Rachael</w:t>
      </w:r>
      <w:r>
        <w:rPr>
          <w:spacing w:val="-2"/>
        </w:rPr>
        <w:t xml:space="preserve"> Field</w:t>
      </w:r>
    </w:p>
    <w:p w14:paraId="35EF6F16" w14:textId="77777777" w:rsidR="00AC6F3C" w:rsidRDefault="00570E88">
      <w:pPr>
        <w:pStyle w:val="BodyText"/>
        <w:spacing w:before="10"/>
        <w:rPr>
          <w:sz w:val="3"/>
        </w:rPr>
      </w:pPr>
      <w:r>
        <w:rPr>
          <w:noProof/>
        </w:rPr>
        <mc:AlternateContent>
          <mc:Choice Requires="wpg">
            <w:drawing>
              <wp:anchor distT="0" distB="0" distL="0" distR="0" simplePos="0" relativeHeight="487650816" behindDoc="1" locked="0" layoutInCell="1" allowOverlap="1" wp14:anchorId="6BF257B2" wp14:editId="4B1B3D4D">
                <wp:simplePos x="0" y="0"/>
                <wp:positionH relativeFrom="page">
                  <wp:posOffset>809999</wp:posOffset>
                </wp:positionH>
                <wp:positionV relativeFrom="paragraph">
                  <wp:posOffset>44129</wp:posOffset>
                </wp:positionV>
                <wp:extent cx="5940425" cy="3175"/>
                <wp:effectExtent l="0" t="0" r="0" b="0"/>
                <wp:wrapTopAndBottom/>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69" name="Graphic 56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70" name="Graphic 57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7525B" id="Group 568" o:spid="_x0000_s1026" style="position:absolute;margin-left:63.8pt;margin-top:3.45pt;width:467.75pt;height:.25pt;z-index:-1566566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">
                <v:shape id="Graphic 56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" path="m,l3249002,e" filled="f" strokeweight=".25pt">
                  <v:path arrowok="t"/>
                </v:shape>
                <v:shape id="Graphic 57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" path="m,l2691003,e" filled="f" strokeweight=".25pt">
                  <v:path arrowok="t"/>
                </v:shape>
                <w10:wrap type="topAndBottom" anchorx="page"/>
              </v:group>
            </w:pict>
          </mc:Fallback>
        </mc:AlternateContent>
      </w:r>
    </w:p>
    <w:p w14:paraId="3D85637A" w14:textId="77777777" w:rsidR="00AC6F3C" w:rsidRDefault="00570E88">
      <w:pPr>
        <w:tabs>
          <w:tab w:val="left" w:pos="6045"/>
        </w:tabs>
        <w:spacing w:before="68" w:line="427" w:lineRule="auto"/>
        <w:ind w:left="6045" w:right="1543" w:hanging="5117"/>
        <w:rPr>
          <w:sz w:val="20"/>
        </w:rPr>
      </w:pPr>
      <w:r>
        <w:rPr>
          <w:b/>
          <w:sz w:val="20"/>
        </w:rPr>
        <w:t>Elder Law Committee</w:t>
      </w:r>
      <w:r>
        <w:rPr>
          <w:b/>
          <w:sz w:val="20"/>
        </w:rPr>
        <w:tab/>
      </w:r>
      <w:r>
        <w:rPr>
          <w:sz w:val="20"/>
        </w:rPr>
        <w:t>Chair: Rebecca Anderson Deputy</w:t>
      </w:r>
      <w:r>
        <w:rPr>
          <w:spacing w:val="-14"/>
          <w:sz w:val="20"/>
        </w:rPr>
        <w:t xml:space="preserve"> </w:t>
      </w:r>
      <w:r>
        <w:rPr>
          <w:sz w:val="20"/>
        </w:rPr>
        <w:t>Chair:</w:t>
      </w:r>
      <w:r>
        <w:rPr>
          <w:spacing w:val="-14"/>
          <w:sz w:val="20"/>
        </w:rPr>
        <w:t xml:space="preserve"> </w:t>
      </w:r>
      <w:r>
        <w:rPr>
          <w:sz w:val="20"/>
        </w:rPr>
        <w:t>Madeline</w:t>
      </w:r>
      <w:r>
        <w:rPr>
          <w:spacing w:val="-13"/>
          <w:sz w:val="20"/>
        </w:rPr>
        <w:t xml:space="preserve"> </w:t>
      </w:r>
      <w:r>
        <w:rPr>
          <w:sz w:val="20"/>
        </w:rPr>
        <w:t>Walsh</w:t>
      </w:r>
    </w:p>
    <w:p w14:paraId="414619E9"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799296" behindDoc="0" locked="0" layoutInCell="1" allowOverlap="1" wp14:anchorId="6F0B93B4" wp14:editId="2A2E4D57">
                <wp:simplePos x="0" y="0"/>
                <wp:positionH relativeFrom="page">
                  <wp:posOffset>809999</wp:posOffset>
                </wp:positionH>
                <wp:positionV relativeFrom="paragraph">
                  <wp:posOffset>-69816</wp:posOffset>
                </wp:positionV>
                <wp:extent cx="5940425" cy="317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72" name="Graphic 57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73" name="Graphic 57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6EFB6D" id="Group 571" o:spid="_x0000_s1026" style="position:absolute;margin-left:63.8pt;margin-top:-5.5pt;width:467.75pt;height:.25pt;z-index:1579929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">
                <v:shape id="Graphic 57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" path="m,l3249002,e" filled="f" strokeweight=".25pt">
                  <v:path arrowok="t"/>
                </v:shape>
                <v:shape id="Graphic 57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" path="m,l2691003,e" filled="f" strokeweight=".25pt">
                  <v:path arrowok="t"/>
                </v:shape>
                <w10:wrap anchorx="page"/>
              </v:group>
            </w:pict>
          </mc:Fallback>
        </mc:AlternateContent>
      </w:r>
      <w:r>
        <w:rPr>
          <w:b/>
          <w:sz w:val="20"/>
        </w:rPr>
        <w:t>Energy</w:t>
      </w:r>
      <w:r>
        <w:rPr>
          <w:b/>
          <w:spacing w:val="-4"/>
          <w:sz w:val="20"/>
        </w:rPr>
        <w:t xml:space="preserve"> </w:t>
      </w:r>
      <w:r>
        <w:rPr>
          <w:b/>
          <w:sz w:val="20"/>
        </w:rPr>
        <w:t>and</w:t>
      </w:r>
      <w:r>
        <w:rPr>
          <w:b/>
          <w:spacing w:val="-3"/>
          <w:sz w:val="20"/>
        </w:rPr>
        <w:t xml:space="preserve"> </w:t>
      </w:r>
      <w:r>
        <w:rPr>
          <w:b/>
          <w:sz w:val="20"/>
        </w:rPr>
        <w:t>Resources</w:t>
      </w:r>
      <w:r>
        <w:rPr>
          <w:b/>
          <w:spacing w:val="-3"/>
          <w:sz w:val="20"/>
        </w:rPr>
        <w:t xml:space="preserve"> </w:t>
      </w:r>
      <w:r>
        <w:rPr>
          <w:b/>
          <w:sz w:val="20"/>
        </w:rPr>
        <w:t>Law</w:t>
      </w:r>
      <w:r>
        <w:rPr>
          <w:b/>
          <w:spacing w:val="-3"/>
          <w:sz w:val="20"/>
        </w:rPr>
        <w:t xml:space="preserve"> </w:t>
      </w:r>
      <w:r>
        <w:rPr>
          <w:b/>
          <w:spacing w:val="-2"/>
          <w:sz w:val="20"/>
        </w:rPr>
        <w:t>Committee</w:t>
      </w:r>
      <w:r>
        <w:rPr>
          <w:b/>
          <w:sz w:val="20"/>
        </w:rPr>
        <w:tab/>
      </w:r>
      <w:r>
        <w:rPr>
          <w:sz w:val="20"/>
        </w:rPr>
        <w:t>Chair:</w:t>
      </w:r>
      <w:r>
        <w:rPr>
          <w:spacing w:val="-3"/>
          <w:sz w:val="20"/>
        </w:rPr>
        <w:t xml:space="preserve"> </w:t>
      </w:r>
      <w:r>
        <w:rPr>
          <w:sz w:val="20"/>
        </w:rPr>
        <w:t>Melanie</w:t>
      </w:r>
      <w:r>
        <w:rPr>
          <w:spacing w:val="-3"/>
          <w:sz w:val="20"/>
        </w:rPr>
        <w:t xml:space="preserve"> </w:t>
      </w:r>
      <w:r>
        <w:rPr>
          <w:spacing w:val="-2"/>
          <w:sz w:val="20"/>
        </w:rPr>
        <w:t>Findlay</w:t>
      </w:r>
    </w:p>
    <w:p w14:paraId="395CCA46" w14:textId="77777777" w:rsidR="00AC6F3C" w:rsidRDefault="00570E88">
      <w:pPr>
        <w:pStyle w:val="BodyText"/>
        <w:spacing w:before="10"/>
        <w:rPr>
          <w:sz w:val="3"/>
        </w:rPr>
      </w:pPr>
      <w:r>
        <w:rPr>
          <w:noProof/>
        </w:rPr>
        <mc:AlternateContent>
          <mc:Choice Requires="wpg">
            <w:drawing>
              <wp:anchor distT="0" distB="0" distL="0" distR="0" simplePos="0" relativeHeight="487651328" behindDoc="1" locked="0" layoutInCell="1" allowOverlap="1" wp14:anchorId="4D59BA47" wp14:editId="064C0E10">
                <wp:simplePos x="0" y="0"/>
                <wp:positionH relativeFrom="page">
                  <wp:posOffset>809999</wp:posOffset>
                </wp:positionH>
                <wp:positionV relativeFrom="paragraph">
                  <wp:posOffset>44103</wp:posOffset>
                </wp:positionV>
                <wp:extent cx="5940425" cy="3175"/>
                <wp:effectExtent l="0" t="0" r="0" b="0"/>
                <wp:wrapTopAndBottom/>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75" name="Graphic 57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76" name="Graphic 57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CD8751" id="Group 574" o:spid="_x0000_s1026" style="position:absolute;margin-left:63.8pt;margin-top:3.45pt;width:467.75pt;height:.25pt;z-index:-1566515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ytQ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">
                <v:shape id="Graphic 57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" path="m,l3249002,e" filled="f" strokeweight=".25pt">
                  <v:path arrowok="t"/>
                </v:shape>
                <v:shape id="Graphic 57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" path="m,l2691003,e" filled="f" strokeweight=".25pt">
                  <v:path arrowok="t"/>
                </v:shape>
                <w10:wrap type="topAndBottom" anchorx="page"/>
              </v:group>
            </w:pict>
          </mc:Fallback>
        </mc:AlternateContent>
      </w:r>
    </w:p>
    <w:p w14:paraId="37C8B5F9" w14:textId="77777777" w:rsidR="00AC6F3C" w:rsidRDefault="00570E88">
      <w:pPr>
        <w:tabs>
          <w:tab w:val="left" w:pos="6045"/>
        </w:tabs>
        <w:spacing w:before="68"/>
        <w:ind w:left="928"/>
        <w:rPr>
          <w:sz w:val="20"/>
        </w:rPr>
      </w:pPr>
      <w:r>
        <w:rPr>
          <w:b/>
          <w:sz w:val="20"/>
        </w:rPr>
        <w:t>Equity</w:t>
      </w:r>
      <w:r>
        <w:rPr>
          <w:b/>
          <w:spacing w:val="-5"/>
          <w:sz w:val="20"/>
        </w:rPr>
        <w:t xml:space="preserve"> </w:t>
      </w:r>
      <w:r>
        <w:rPr>
          <w:b/>
          <w:sz w:val="20"/>
        </w:rPr>
        <w:t>and</w:t>
      </w:r>
      <w:r>
        <w:rPr>
          <w:b/>
          <w:spacing w:val="-4"/>
          <w:sz w:val="20"/>
        </w:rPr>
        <w:t xml:space="preserve"> </w:t>
      </w:r>
      <w:r>
        <w:rPr>
          <w:b/>
          <w:sz w:val="20"/>
        </w:rPr>
        <w:t>Diversity</w:t>
      </w:r>
      <w:r>
        <w:rPr>
          <w:b/>
          <w:spacing w:val="-4"/>
          <w:sz w:val="20"/>
        </w:rPr>
        <w:t xml:space="preserve"> </w:t>
      </w:r>
      <w:r>
        <w:rPr>
          <w:b/>
          <w:spacing w:val="-2"/>
          <w:sz w:val="20"/>
        </w:rPr>
        <w:t>Committee</w:t>
      </w:r>
      <w:r>
        <w:rPr>
          <w:b/>
          <w:sz w:val="20"/>
        </w:rPr>
        <w:tab/>
      </w:r>
      <w:r>
        <w:rPr>
          <w:sz w:val="20"/>
        </w:rPr>
        <w:t>Chair:</w:t>
      </w:r>
      <w:r>
        <w:rPr>
          <w:spacing w:val="-14"/>
          <w:sz w:val="20"/>
        </w:rPr>
        <w:t xml:space="preserve"> </w:t>
      </w:r>
      <w:r>
        <w:rPr>
          <w:sz w:val="20"/>
        </w:rPr>
        <w:t>Ann-Maree</w:t>
      </w:r>
      <w:r>
        <w:rPr>
          <w:spacing w:val="-5"/>
          <w:sz w:val="20"/>
        </w:rPr>
        <w:t xml:space="preserve"> </w:t>
      </w:r>
      <w:r>
        <w:rPr>
          <w:spacing w:val="-2"/>
          <w:sz w:val="20"/>
        </w:rPr>
        <w:t>David</w:t>
      </w:r>
    </w:p>
    <w:p w14:paraId="29F9E36E" w14:textId="77777777" w:rsidR="00AC6F3C" w:rsidRDefault="00570E88">
      <w:pPr>
        <w:pStyle w:val="BodyText"/>
        <w:spacing w:before="10"/>
        <w:rPr>
          <w:sz w:val="3"/>
        </w:rPr>
      </w:pPr>
      <w:r>
        <w:rPr>
          <w:noProof/>
        </w:rPr>
        <mc:AlternateContent>
          <mc:Choice Requires="wpg">
            <w:drawing>
              <wp:anchor distT="0" distB="0" distL="0" distR="0" simplePos="0" relativeHeight="487651840" behindDoc="1" locked="0" layoutInCell="1" allowOverlap="1" wp14:anchorId="2EC42E3E" wp14:editId="372EBD5E">
                <wp:simplePos x="0" y="0"/>
                <wp:positionH relativeFrom="page">
                  <wp:posOffset>809999</wp:posOffset>
                </wp:positionH>
                <wp:positionV relativeFrom="paragraph">
                  <wp:posOffset>44067</wp:posOffset>
                </wp:positionV>
                <wp:extent cx="5940425" cy="3175"/>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78" name="Graphic 578"/>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79" name="Graphic 579"/>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6AC088" id="Group 577" o:spid="_x0000_s1026" style="position:absolute;margin-left:63.8pt;margin-top:3.45pt;width:467.75pt;height:.25pt;z-index:-1566464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">
                <v:shape id="Graphic 578"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" path="m,l3249002,e" filled="f" strokeweight=".25pt">
                  <v:path arrowok="t"/>
                </v:shape>
                <v:shape id="Graphic 579"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" path="m,l2691003,e" filled="f" strokeweight=".25pt">
                  <v:path arrowok="t"/>
                </v:shape>
                <w10:wrap type="topAndBottom" anchorx="page"/>
              </v:group>
            </w:pict>
          </mc:Fallback>
        </mc:AlternateContent>
      </w:r>
    </w:p>
    <w:p w14:paraId="7296C1DC" w14:textId="77777777" w:rsidR="00AC6F3C" w:rsidRDefault="00570E88">
      <w:pPr>
        <w:tabs>
          <w:tab w:val="left" w:pos="6045"/>
        </w:tabs>
        <w:spacing w:before="68"/>
        <w:ind w:left="928"/>
        <w:rPr>
          <w:sz w:val="20"/>
        </w:rPr>
      </w:pPr>
      <w:r>
        <w:rPr>
          <w:b/>
          <w:sz w:val="20"/>
        </w:rPr>
        <w:t>Ethics</w:t>
      </w:r>
      <w:r>
        <w:rPr>
          <w:b/>
          <w:spacing w:val="-5"/>
          <w:sz w:val="20"/>
        </w:rPr>
        <w:t xml:space="preserve"> </w:t>
      </w:r>
      <w:r>
        <w:rPr>
          <w:b/>
          <w:spacing w:val="-2"/>
          <w:sz w:val="20"/>
        </w:rPr>
        <w:t>Committee</w:t>
      </w:r>
      <w:r>
        <w:rPr>
          <w:b/>
          <w:sz w:val="20"/>
        </w:rPr>
        <w:tab/>
      </w:r>
      <w:r>
        <w:rPr>
          <w:sz w:val="20"/>
        </w:rPr>
        <w:t>Chair:</w:t>
      </w:r>
      <w:r>
        <w:rPr>
          <w:spacing w:val="-1"/>
          <w:sz w:val="20"/>
        </w:rPr>
        <w:t xml:space="preserve"> </w:t>
      </w:r>
      <w:r>
        <w:rPr>
          <w:sz w:val="20"/>
        </w:rPr>
        <w:t>Joe</w:t>
      </w:r>
      <w:r>
        <w:rPr>
          <w:spacing w:val="-1"/>
          <w:sz w:val="20"/>
        </w:rPr>
        <w:t xml:space="preserve"> </w:t>
      </w:r>
      <w:r>
        <w:rPr>
          <w:spacing w:val="-2"/>
          <w:sz w:val="20"/>
        </w:rPr>
        <w:t>Siracusa</w:t>
      </w:r>
    </w:p>
    <w:p w14:paraId="1C97F907" w14:textId="77777777" w:rsidR="00AC6F3C" w:rsidRDefault="00570E88">
      <w:pPr>
        <w:pStyle w:val="BodyText"/>
        <w:spacing w:before="180"/>
        <w:ind w:left="6045"/>
      </w:pPr>
      <w:r>
        <w:t>Deputy</w:t>
      </w:r>
      <w:r>
        <w:rPr>
          <w:spacing w:val="-2"/>
        </w:rPr>
        <w:t xml:space="preserve"> </w:t>
      </w:r>
      <w:r>
        <w:t>Chair:</w:t>
      </w:r>
      <w:r>
        <w:rPr>
          <w:spacing w:val="-2"/>
        </w:rPr>
        <w:t xml:space="preserve"> </w:t>
      </w:r>
      <w:r>
        <w:t>Petrina</w:t>
      </w:r>
      <w:r>
        <w:rPr>
          <w:spacing w:val="-2"/>
        </w:rPr>
        <w:t xml:space="preserve"> Macpherson</w:t>
      </w:r>
    </w:p>
    <w:p w14:paraId="0D394ECC" w14:textId="77777777" w:rsidR="00AC6F3C" w:rsidRDefault="00570E88">
      <w:pPr>
        <w:pStyle w:val="BodyText"/>
        <w:spacing w:before="10"/>
        <w:rPr>
          <w:sz w:val="3"/>
        </w:rPr>
      </w:pPr>
      <w:r>
        <w:rPr>
          <w:noProof/>
        </w:rPr>
        <mc:AlternateContent>
          <mc:Choice Requires="wpg">
            <w:drawing>
              <wp:anchor distT="0" distB="0" distL="0" distR="0" simplePos="0" relativeHeight="487652352" behindDoc="1" locked="0" layoutInCell="1" allowOverlap="1" wp14:anchorId="17238582" wp14:editId="48C59535">
                <wp:simplePos x="0" y="0"/>
                <wp:positionH relativeFrom="page">
                  <wp:posOffset>809999</wp:posOffset>
                </wp:positionH>
                <wp:positionV relativeFrom="paragraph">
                  <wp:posOffset>44129</wp:posOffset>
                </wp:positionV>
                <wp:extent cx="5940425" cy="3175"/>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81" name="Graphic 581"/>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82" name="Graphic 582"/>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AE3DC2" id="Group 580" o:spid="_x0000_s1026" style="position:absolute;margin-left:63.8pt;margin-top:3.45pt;width:467.75pt;height:.25pt;z-index:-1566412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FFCXZe2AgAA&#10;dwgAAA4AAAAAAAAAAAAAAAAALgIAAGRycy9lMm9Eb2MueG1sUEsBAi0AFAAGAAgAAAAhAC5atKnf&#10;AAAACAEAAA8AAAAAAAAAAAAAAAAAEAUAAGRycy9kb3ducmV2LnhtbFBLBQYAAAAABAAEAPMAAAAc&#10;BgAAAAA=&#10;">
                <v:shape id="Graphic 581"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" path="m,l3249002,e" filled="f" strokeweight=".25pt">
                  <v:path arrowok="t"/>
                </v:shape>
                <v:shape id="Graphic 582"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" path="m,l2691003,e" filled="f" strokeweight=".25pt">
                  <v:path arrowok="t"/>
                </v:shape>
                <w10:wrap type="topAndBottom" anchorx="page"/>
              </v:group>
            </w:pict>
          </mc:Fallback>
        </mc:AlternateContent>
      </w:r>
    </w:p>
    <w:p w14:paraId="6A90A5FF" w14:textId="77777777" w:rsidR="00AC6F3C" w:rsidRDefault="00570E88">
      <w:pPr>
        <w:tabs>
          <w:tab w:val="left" w:pos="6045"/>
        </w:tabs>
        <w:spacing w:before="68"/>
        <w:ind w:left="928"/>
        <w:rPr>
          <w:sz w:val="20"/>
        </w:rPr>
      </w:pPr>
      <w:r>
        <w:rPr>
          <w:b/>
          <w:sz w:val="20"/>
        </w:rPr>
        <w:t>Family</w:t>
      </w:r>
      <w:r>
        <w:rPr>
          <w:b/>
          <w:spacing w:val="-3"/>
          <w:sz w:val="20"/>
        </w:rPr>
        <w:t xml:space="preserve"> </w:t>
      </w:r>
      <w:r>
        <w:rPr>
          <w:b/>
          <w:sz w:val="20"/>
        </w:rPr>
        <w:t>Law</w:t>
      </w:r>
      <w:r>
        <w:rPr>
          <w:b/>
          <w:spacing w:val="-2"/>
          <w:sz w:val="20"/>
        </w:rPr>
        <w:t xml:space="preserve"> Committee</w:t>
      </w:r>
      <w:r>
        <w:rPr>
          <w:b/>
          <w:sz w:val="20"/>
        </w:rPr>
        <w:tab/>
      </w:r>
      <w:r>
        <w:rPr>
          <w:sz w:val="20"/>
        </w:rPr>
        <w:t>Chair: Kathy</w:t>
      </w:r>
      <w:r>
        <w:rPr>
          <w:spacing w:val="-11"/>
          <w:sz w:val="20"/>
        </w:rPr>
        <w:t xml:space="preserve"> </w:t>
      </w:r>
      <w:r>
        <w:rPr>
          <w:spacing w:val="-2"/>
          <w:sz w:val="20"/>
        </w:rPr>
        <w:t>Atkins</w:t>
      </w:r>
    </w:p>
    <w:p w14:paraId="4A3D2930" w14:textId="77777777" w:rsidR="00AC6F3C" w:rsidRDefault="00570E88">
      <w:pPr>
        <w:pStyle w:val="BodyText"/>
        <w:spacing w:before="180"/>
        <w:ind w:left="6045"/>
      </w:pPr>
      <w:r>
        <w:t>Deputy</w:t>
      </w:r>
      <w:r>
        <w:rPr>
          <w:spacing w:val="-2"/>
        </w:rPr>
        <w:t xml:space="preserve"> </w:t>
      </w:r>
      <w:r>
        <w:t>Chair:</w:t>
      </w:r>
      <w:r>
        <w:rPr>
          <w:spacing w:val="-2"/>
        </w:rPr>
        <w:t xml:space="preserve"> </w:t>
      </w:r>
      <w:r>
        <w:t>Margie</w:t>
      </w:r>
      <w:r>
        <w:rPr>
          <w:spacing w:val="-1"/>
        </w:rPr>
        <w:t xml:space="preserve"> </w:t>
      </w:r>
      <w:r>
        <w:rPr>
          <w:spacing w:val="-2"/>
        </w:rPr>
        <w:t>Kruger</w:t>
      </w:r>
    </w:p>
    <w:p w14:paraId="2761F274" w14:textId="77777777" w:rsidR="00AC6F3C" w:rsidRDefault="00570E88">
      <w:pPr>
        <w:pStyle w:val="BodyText"/>
        <w:spacing w:before="10"/>
        <w:rPr>
          <w:sz w:val="3"/>
        </w:rPr>
      </w:pPr>
      <w:r>
        <w:rPr>
          <w:noProof/>
        </w:rPr>
        <mc:AlternateContent>
          <mc:Choice Requires="wpg">
            <w:drawing>
              <wp:anchor distT="0" distB="0" distL="0" distR="0" simplePos="0" relativeHeight="487652864" behindDoc="1" locked="0" layoutInCell="1" allowOverlap="1" wp14:anchorId="5EF9E8F2" wp14:editId="346A6BD3">
                <wp:simplePos x="0" y="0"/>
                <wp:positionH relativeFrom="page">
                  <wp:posOffset>809999</wp:posOffset>
                </wp:positionH>
                <wp:positionV relativeFrom="paragraph">
                  <wp:posOffset>44129</wp:posOffset>
                </wp:positionV>
                <wp:extent cx="5940425" cy="3175"/>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84" name="Graphic 584"/>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85" name="Graphic 585"/>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4C4485" id="Group 583" o:spid="_x0000_s1026" style="position:absolute;margin-left:63.8pt;margin-top:3.45pt;width:467.75pt;height:.25pt;z-index:-1566361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Bw8y7G2AgAA&#10;dwgAAA4AAAAAAAAAAAAAAAAALgIAAGRycy9lMm9Eb2MueG1sUEsBAi0AFAAGAAgAAAAhAC5atKnf&#10;AAAACAEAAA8AAAAAAAAAAAAAAAAAEAUAAGRycy9kb3ducmV2LnhtbFBLBQYAAAAABAAEAPMAAAAc&#10;BgAAAAA=&#10;">
                <v:shape id="Graphic 584"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" path="m,l3249002,e" filled="f" strokeweight=".25pt">
                  <v:path arrowok="t"/>
                </v:shape>
                <v:shape id="Graphic 585"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" path="m,l2691003,e" filled="f" strokeweight=".25pt">
                  <v:path arrowok="t"/>
                </v:shape>
                <w10:wrap type="topAndBottom" anchorx="page"/>
              </v:group>
            </w:pict>
          </mc:Fallback>
        </mc:AlternateContent>
      </w:r>
    </w:p>
    <w:p w14:paraId="739F01B6" w14:textId="77777777" w:rsidR="00AC6F3C" w:rsidRDefault="00570E88">
      <w:pPr>
        <w:tabs>
          <w:tab w:val="left" w:pos="6045"/>
        </w:tabs>
        <w:spacing w:before="68"/>
        <w:ind w:left="928"/>
        <w:rPr>
          <w:sz w:val="20"/>
        </w:rPr>
      </w:pPr>
      <w:r>
        <w:rPr>
          <w:b/>
          <w:sz w:val="20"/>
        </w:rPr>
        <w:t>Executive</w:t>
      </w:r>
      <w:r>
        <w:rPr>
          <w:b/>
          <w:spacing w:val="-8"/>
          <w:sz w:val="20"/>
        </w:rPr>
        <w:t xml:space="preserve"> </w:t>
      </w:r>
      <w:r>
        <w:rPr>
          <w:b/>
          <w:spacing w:val="-2"/>
          <w:sz w:val="20"/>
        </w:rPr>
        <w:t>Committee</w:t>
      </w:r>
      <w:r>
        <w:rPr>
          <w:b/>
          <w:sz w:val="20"/>
        </w:rPr>
        <w:tab/>
      </w:r>
      <w:r>
        <w:rPr>
          <w:sz w:val="20"/>
        </w:rPr>
        <w:t>Chair:</w:t>
      </w:r>
      <w:r>
        <w:rPr>
          <w:spacing w:val="-2"/>
          <w:sz w:val="20"/>
        </w:rPr>
        <w:t xml:space="preserve"> </w:t>
      </w:r>
      <w:r>
        <w:rPr>
          <w:sz w:val="20"/>
        </w:rPr>
        <w:t>President</w:t>
      </w:r>
      <w:r>
        <w:rPr>
          <w:spacing w:val="-1"/>
          <w:sz w:val="20"/>
        </w:rPr>
        <w:t xml:space="preserve"> </w:t>
      </w:r>
      <w:r>
        <w:rPr>
          <w:sz w:val="20"/>
        </w:rPr>
        <w:t>Chloé</w:t>
      </w:r>
      <w:r>
        <w:rPr>
          <w:spacing w:val="-1"/>
          <w:sz w:val="20"/>
        </w:rPr>
        <w:t xml:space="preserve"> </w:t>
      </w:r>
      <w:proofErr w:type="spellStart"/>
      <w:r>
        <w:rPr>
          <w:spacing w:val="-2"/>
          <w:sz w:val="20"/>
        </w:rPr>
        <w:t>Kopilović</w:t>
      </w:r>
      <w:proofErr w:type="spellEnd"/>
    </w:p>
    <w:p w14:paraId="36119E73" w14:textId="77777777" w:rsidR="00AC6F3C" w:rsidRDefault="00570E88">
      <w:pPr>
        <w:pStyle w:val="BodyText"/>
        <w:spacing w:before="10"/>
        <w:rPr>
          <w:sz w:val="3"/>
        </w:rPr>
      </w:pPr>
      <w:r>
        <w:rPr>
          <w:noProof/>
        </w:rPr>
        <mc:AlternateContent>
          <mc:Choice Requires="wpg">
            <w:drawing>
              <wp:anchor distT="0" distB="0" distL="0" distR="0" simplePos="0" relativeHeight="487653376" behindDoc="1" locked="0" layoutInCell="1" allowOverlap="1" wp14:anchorId="71B7444F" wp14:editId="1EC46F8E">
                <wp:simplePos x="0" y="0"/>
                <wp:positionH relativeFrom="page">
                  <wp:posOffset>809999</wp:posOffset>
                </wp:positionH>
                <wp:positionV relativeFrom="paragraph">
                  <wp:posOffset>44066</wp:posOffset>
                </wp:positionV>
                <wp:extent cx="5940425" cy="3175"/>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87" name="Graphic 587"/>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88" name="Graphic 588"/>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14166C" id="Group 586" o:spid="_x0000_s1026" style="position:absolute;margin-left:63.8pt;margin-top:3.45pt;width:467.75pt;height:.25pt;z-index:-1566310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NR76yK2AgAA&#10;dwgAAA4AAAAAAAAAAAAAAAAALgIAAGRycy9lMm9Eb2MueG1sUEsBAi0AFAAGAAgAAAAhAC5atKnf&#10;AAAACAEAAA8AAAAAAAAAAAAAAAAAEAUAAGRycy9kb3ducmV2LnhtbFBLBQYAAAAABAAEAPMAAAAc&#10;BgAAAAA=&#10;">
                <v:shape id="Graphic 587"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" path="m,l3249002,e" filled="f" strokeweight=".25pt">
                  <v:path arrowok="t"/>
                </v:shape>
                <v:shape id="Graphic 588"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" path="m,l2691003,e" filled="f" strokeweight=".25pt">
                  <v:path arrowok="t"/>
                </v:shape>
                <w10:wrap type="topAndBottom" anchorx="page"/>
              </v:group>
            </w:pict>
          </mc:Fallback>
        </mc:AlternateContent>
      </w:r>
    </w:p>
    <w:p w14:paraId="5CF87B04" w14:textId="77777777" w:rsidR="00AC6F3C" w:rsidRDefault="00570E88">
      <w:pPr>
        <w:tabs>
          <w:tab w:val="left" w:pos="6045"/>
        </w:tabs>
        <w:spacing w:before="68"/>
        <w:ind w:left="928"/>
        <w:rPr>
          <w:sz w:val="20"/>
        </w:rPr>
      </w:pPr>
      <w:r>
        <w:rPr>
          <w:b/>
          <w:sz w:val="20"/>
        </w:rPr>
        <w:t>First</w:t>
      </w:r>
      <w:r>
        <w:rPr>
          <w:b/>
          <w:spacing w:val="-2"/>
          <w:sz w:val="20"/>
        </w:rPr>
        <w:t xml:space="preserve"> </w:t>
      </w:r>
      <w:r>
        <w:rPr>
          <w:b/>
          <w:sz w:val="20"/>
        </w:rPr>
        <w:t>Nations</w:t>
      </w:r>
      <w:r>
        <w:rPr>
          <w:b/>
          <w:spacing w:val="-2"/>
          <w:sz w:val="20"/>
        </w:rPr>
        <w:t xml:space="preserve"> </w:t>
      </w:r>
      <w:r>
        <w:rPr>
          <w:b/>
          <w:sz w:val="20"/>
        </w:rPr>
        <w:t>Consulting</w:t>
      </w:r>
      <w:r>
        <w:rPr>
          <w:b/>
          <w:spacing w:val="-2"/>
          <w:sz w:val="20"/>
        </w:rPr>
        <w:t xml:space="preserve"> Committee</w:t>
      </w:r>
      <w:r>
        <w:rPr>
          <w:b/>
          <w:sz w:val="20"/>
        </w:rPr>
        <w:tab/>
      </w:r>
      <w:r>
        <w:rPr>
          <w:sz w:val="20"/>
        </w:rPr>
        <w:t>Chair:</w:t>
      </w:r>
      <w:r>
        <w:rPr>
          <w:spacing w:val="-10"/>
          <w:sz w:val="20"/>
        </w:rPr>
        <w:t xml:space="preserve"> </w:t>
      </w:r>
      <w:r>
        <w:rPr>
          <w:sz w:val="20"/>
        </w:rPr>
        <w:t>Uncle</w:t>
      </w:r>
      <w:r>
        <w:rPr>
          <w:spacing w:val="-12"/>
          <w:sz w:val="20"/>
        </w:rPr>
        <w:t xml:space="preserve"> </w:t>
      </w:r>
      <w:r>
        <w:rPr>
          <w:sz w:val="20"/>
        </w:rPr>
        <w:t>Terry</w:t>
      </w:r>
      <w:r>
        <w:rPr>
          <w:spacing w:val="-9"/>
          <w:sz w:val="20"/>
        </w:rPr>
        <w:t xml:space="preserve"> </w:t>
      </w:r>
      <w:r>
        <w:rPr>
          <w:spacing w:val="-2"/>
          <w:sz w:val="20"/>
        </w:rPr>
        <w:t>Stedman</w:t>
      </w:r>
    </w:p>
    <w:p w14:paraId="43942F1B" w14:textId="77777777" w:rsidR="00AC6F3C" w:rsidRDefault="00570E88">
      <w:pPr>
        <w:pStyle w:val="BodyText"/>
        <w:spacing w:before="180"/>
        <w:ind w:left="6045"/>
      </w:pPr>
      <w:r>
        <w:t>Deputy</w:t>
      </w:r>
      <w:r>
        <w:rPr>
          <w:spacing w:val="-4"/>
        </w:rPr>
        <w:t xml:space="preserve"> </w:t>
      </w:r>
      <w:r>
        <w:t>Chair:</w:t>
      </w:r>
      <w:r>
        <w:rPr>
          <w:spacing w:val="-3"/>
        </w:rPr>
        <w:t xml:space="preserve"> </w:t>
      </w:r>
      <w:r>
        <w:t>Magistrate</w:t>
      </w:r>
      <w:r>
        <w:rPr>
          <w:spacing w:val="-4"/>
        </w:rPr>
        <w:t xml:space="preserve"> </w:t>
      </w:r>
      <w:r>
        <w:t>Jacqui</w:t>
      </w:r>
      <w:r>
        <w:rPr>
          <w:spacing w:val="-3"/>
        </w:rPr>
        <w:t xml:space="preserve"> </w:t>
      </w:r>
      <w:r>
        <w:rPr>
          <w:spacing w:val="-2"/>
        </w:rPr>
        <w:t>Payne</w:t>
      </w:r>
    </w:p>
    <w:p w14:paraId="26DFF2CE" w14:textId="77777777" w:rsidR="00AC6F3C" w:rsidRDefault="00570E88">
      <w:pPr>
        <w:pStyle w:val="BodyText"/>
        <w:spacing w:before="10"/>
        <w:rPr>
          <w:sz w:val="3"/>
        </w:rPr>
      </w:pPr>
      <w:r>
        <w:rPr>
          <w:noProof/>
        </w:rPr>
        <mc:AlternateContent>
          <mc:Choice Requires="wpg">
            <w:drawing>
              <wp:anchor distT="0" distB="0" distL="0" distR="0" simplePos="0" relativeHeight="487653888" behindDoc="1" locked="0" layoutInCell="1" allowOverlap="1" wp14:anchorId="70F860F1" wp14:editId="03ABECE6">
                <wp:simplePos x="0" y="0"/>
                <wp:positionH relativeFrom="page">
                  <wp:posOffset>809999</wp:posOffset>
                </wp:positionH>
                <wp:positionV relativeFrom="paragraph">
                  <wp:posOffset>44129</wp:posOffset>
                </wp:positionV>
                <wp:extent cx="5940425" cy="3175"/>
                <wp:effectExtent l="0" t="0" r="0" b="0"/>
                <wp:wrapTopAndBottom/>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90" name="Graphic 590"/>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91" name="Graphic 591"/>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832CF" id="Group 589" o:spid="_x0000_s1026" style="position:absolute;margin-left:63.8pt;margin-top:3.45pt;width:467.75pt;height:.25pt;z-index:-1566259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2ttA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">
                <v:shape id="Graphic 590"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" path="m,l3249002,e" filled="f" strokeweight=".25pt">
                  <v:path arrowok="t"/>
                </v:shape>
                <v:shape id="Graphic 591"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" path="m,l2691003,e" filled="f" strokeweight=".25pt">
                  <v:path arrowok="t"/>
                </v:shape>
                <w10:wrap type="topAndBottom" anchorx="page"/>
              </v:group>
            </w:pict>
          </mc:Fallback>
        </mc:AlternateContent>
      </w:r>
    </w:p>
    <w:p w14:paraId="78729410" w14:textId="77777777" w:rsidR="00AC6F3C" w:rsidRDefault="00570E88">
      <w:pPr>
        <w:tabs>
          <w:tab w:val="left" w:pos="6045"/>
        </w:tabs>
        <w:spacing w:before="68"/>
        <w:ind w:left="928"/>
        <w:rPr>
          <w:sz w:val="20"/>
        </w:rPr>
      </w:pPr>
      <w:r>
        <w:rPr>
          <w:b/>
          <w:sz w:val="20"/>
        </w:rPr>
        <w:t>First</w:t>
      </w:r>
      <w:r>
        <w:rPr>
          <w:b/>
          <w:spacing w:val="-3"/>
          <w:sz w:val="20"/>
        </w:rPr>
        <w:t xml:space="preserve"> </w:t>
      </w:r>
      <w:r>
        <w:rPr>
          <w:b/>
          <w:sz w:val="20"/>
        </w:rPr>
        <w:t>Nations</w:t>
      </w:r>
      <w:r>
        <w:rPr>
          <w:b/>
          <w:spacing w:val="-3"/>
          <w:sz w:val="20"/>
        </w:rPr>
        <w:t xml:space="preserve"> </w:t>
      </w:r>
      <w:r>
        <w:rPr>
          <w:b/>
          <w:sz w:val="20"/>
        </w:rPr>
        <w:t>Legal</w:t>
      </w:r>
      <w:r>
        <w:rPr>
          <w:b/>
          <w:spacing w:val="-3"/>
          <w:sz w:val="20"/>
        </w:rPr>
        <w:t xml:space="preserve"> </w:t>
      </w:r>
      <w:r>
        <w:rPr>
          <w:b/>
          <w:sz w:val="20"/>
        </w:rPr>
        <w:t>Policy</w:t>
      </w:r>
      <w:r>
        <w:rPr>
          <w:b/>
          <w:spacing w:val="-2"/>
          <w:sz w:val="20"/>
        </w:rPr>
        <w:t xml:space="preserve"> Committee</w:t>
      </w:r>
      <w:r>
        <w:rPr>
          <w:b/>
          <w:sz w:val="20"/>
        </w:rPr>
        <w:tab/>
      </w:r>
      <w:r>
        <w:rPr>
          <w:sz w:val="20"/>
        </w:rPr>
        <w:t>Co-Chairs:</w:t>
      </w:r>
      <w:r>
        <w:rPr>
          <w:spacing w:val="-5"/>
          <w:sz w:val="20"/>
        </w:rPr>
        <w:t xml:space="preserve"> </w:t>
      </w:r>
      <w:r>
        <w:rPr>
          <w:sz w:val="20"/>
        </w:rPr>
        <w:t>Lyndell</w:t>
      </w:r>
      <w:r>
        <w:rPr>
          <w:spacing w:val="-4"/>
          <w:sz w:val="20"/>
        </w:rPr>
        <w:t xml:space="preserve"> </w:t>
      </w:r>
      <w:r>
        <w:rPr>
          <w:sz w:val="20"/>
        </w:rPr>
        <w:t>O’Connor</w:t>
      </w:r>
      <w:r>
        <w:rPr>
          <w:spacing w:val="-4"/>
          <w:sz w:val="20"/>
        </w:rPr>
        <w:t xml:space="preserve"> </w:t>
      </w:r>
      <w:r>
        <w:rPr>
          <w:spacing w:val="-5"/>
          <w:sz w:val="20"/>
        </w:rPr>
        <w:t>and</w:t>
      </w:r>
    </w:p>
    <w:p w14:paraId="5EA711BD" w14:textId="77777777" w:rsidR="00AC6F3C" w:rsidRDefault="00570E88">
      <w:pPr>
        <w:pStyle w:val="BodyText"/>
        <w:spacing w:before="10"/>
        <w:ind w:left="6045"/>
      </w:pPr>
      <w:r>
        <w:t>Kristen</w:t>
      </w:r>
      <w:r>
        <w:rPr>
          <w:spacing w:val="-6"/>
        </w:rPr>
        <w:t xml:space="preserve"> </w:t>
      </w:r>
      <w:r>
        <w:rPr>
          <w:spacing w:val="-2"/>
        </w:rPr>
        <w:t>Hodge</w:t>
      </w:r>
    </w:p>
    <w:p w14:paraId="4A60571A" w14:textId="77777777" w:rsidR="00AC6F3C" w:rsidRDefault="00570E88">
      <w:pPr>
        <w:pStyle w:val="BodyText"/>
        <w:spacing w:before="10"/>
        <w:rPr>
          <w:sz w:val="3"/>
        </w:rPr>
      </w:pPr>
      <w:r>
        <w:rPr>
          <w:noProof/>
        </w:rPr>
        <mc:AlternateContent>
          <mc:Choice Requires="wpg">
            <w:drawing>
              <wp:anchor distT="0" distB="0" distL="0" distR="0" simplePos="0" relativeHeight="487654400" behindDoc="1" locked="0" layoutInCell="1" allowOverlap="1" wp14:anchorId="75ABE408" wp14:editId="5E57F4C0">
                <wp:simplePos x="0" y="0"/>
                <wp:positionH relativeFrom="page">
                  <wp:posOffset>809999</wp:posOffset>
                </wp:positionH>
                <wp:positionV relativeFrom="paragraph">
                  <wp:posOffset>44079</wp:posOffset>
                </wp:positionV>
                <wp:extent cx="5940425" cy="3175"/>
                <wp:effectExtent l="0" t="0" r="0" b="0"/>
                <wp:wrapTopAndBottom/>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93" name="Graphic 593"/>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94" name="Graphic 594"/>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365D51" id="Group 592" o:spid="_x0000_s1026" style="position:absolute;margin-left:63.8pt;margin-top:3.45pt;width:467.75pt;height:.25pt;z-index:-1566208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4atg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MiU/hq2AgAA&#10;dwgAAA4AAAAAAAAAAAAAAAAALgIAAGRycy9lMm9Eb2MueG1sUEsBAi0AFAAGAAgAAAAhAC5atKnf&#10;AAAACAEAAA8AAAAAAAAAAAAAAAAAEAUAAGRycy9kb3ducmV2LnhtbFBLBQYAAAAABAAEAPMAAAAc&#10;BgAAAAA=&#10;">
                <v:shape id="Graphic 593"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" path="m,l3249002,e" filled="f" strokeweight=".25pt">
                  <v:path arrowok="t"/>
                </v:shape>
                <v:shape id="Graphic 594"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" path="m,l2691003,e" filled="f" strokeweight=".25pt">
                  <v:path arrowok="t"/>
                </v:shape>
                <w10:wrap type="topAndBottom" anchorx="page"/>
              </v:group>
            </w:pict>
          </mc:Fallback>
        </mc:AlternateContent>
      </w:r>
    </w:p>
    <w:p w14:paraId="6CFA594F" w14:textId="77777777" w:rsidR="00AC6F3C" w:rsidRDefault="00570E88">
      <w:pPr>
        <w:tabs>
          <w:tab w:val="left" w:pos="6045"/>
        </w:tabs>
        <w:spacing w:before="68" w:line="427" w:lineRule="auto"/>
        <w:ind w:left="6045" w:right="1669" w:hanging="5117"/>
        <w:rPr>
          <w:sz w:val="20"/>
        </w:rPr>
      </w:pPr>
      <w:r>
        <w:rPr>
          <w:b/>
          <w:sz w:val="20"/>
        </w:rPr>
        <w:t>Franchising Law Committee</w:t>
      </w:r>
      <w:r>
        <w:rPr>
          <w:b/>
          <w:sz w:val="20"/>
        </w:rPr>
        <w:tab/>
      </w:r>
      <w:r>
        <w:rPr>
          <w:sz w:val="20"/>
        </w:rPr>
        <w:t>Chair: Derek Sutherland Deputy</w:t>
      </w:r>
      <w:r>
        <w:rPr>
          <w:spacing w:val="-11"/>
          <w:sz w:val="20"/>
        </w:rPr>
        <w:t xml:space="preserve"> </w:t>
      </w:r>
      <w:r>
        <w:rPr>
          <w:sz w:val="20"/>
        </w:rPr>
        <w:t>Chair:</w:t>
      </w:r>
      <w:r>
        <w:rPr>
          <w:spacing w:val="-11"/>
          <w:sz w:val="20"/>
        </w:rPr>
        <w:t xml:space="preserve"> </w:t>
      </w:r>
      <w:r>
        <w:rPr>
          <w:sz w:val="20"/>
        </w:rPr>
        <w:t>Simone</w:t>
      </w:r>
      <w:r>
        <w:rPr>
          <w:spacing w:val="-11"/>
          <w:sz w:val="20"/>
        </w:rPr>
        <w:t xml:space="preserve"> </w:t>
      </w:r>
      <w:proofErr w:type="spellStart"/>
      <w:r>
        <w:rPr>
          <w:sz w:val="20"/>
        </w:rPr>
        <w:t>Pentis</w:t>
      </w:r>
      <w:proofErr w:type="spellEnd"/>
    </w:p>
    <w:p w14:paraId="5B4115DF"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800320" behindDoc="0" locked="0" layoutInCell="1" allowOverlap="1" wp14:anchorId="6F554EAD" wp14:editId="36B83663">
                <wp:simplePos x="0" y="0"/>
                <wp:positionH relativeFrom="page">
                  <wp:posOffset>809999</wp:posOffset>
                </wp:positionH>
                <wp:positionV relativeFrom="paragraph">
                  <wp:posOffset>-69732</wp:posOffset>
                </wp:positionV>
                <wp:extent cx="5940425" cy="317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96" name="Graphic 59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97" name="Graphic 59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E27F81" id="Group 595" o:spid="_x0000_s1026" style="position:absolute;margin-left:63.8pt;margin-top:-5.5pt;width:467.75pt;height:.25pt;z-index:1580032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">
                <v:shape id="Graphic 59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" path="m,l3249002,e" filled="f" strokeweight=".25pt">
                  <v:path arrowok="t"/>
                </v:shape>
                <v:shape id="Graphic 59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" path="m,l2691003,e" filled="f" strokeweight=".25pt">
                  <v:path arrowok="t"/>
                </v:shape>
                <w10:wrap anchorx="page"/>
              </v:group>
            </w:pict>
          </mc:Fallback>
        </mc:AlternateContent>
      </w:r>
      <w:r>
        <w:rPr>
          <w:b/>
          <w:sz w:val="20"/>
        </w:rPr>
        <w:t>Finance</w:t>
      </w:r>
      <w:r>
        <w:rPr>
          <w:b/>
          <w:spacing w:val="-3"/>
          <w:sz w:val="20"/>
        </w:rPr>
        <w:t xml:space="preserve"> </w:t>
      </w:r>
      <w:r>
        <w:rPr>
          <w:b/>
          <w:sz w:val="20"/>
        </w:rPr>
        <w:t>and</w:t>
      </w:r>
      <w:r>
        <w:rPr>
          <w:b/>
          <w:spacing w:val="-3"/>
          <w:sz w:val="20"/>
        </w:rPr>
        <w:t xml:space="preserve"> </w:t>
      </w:r>
      <w:r>
        <w:rPr>
          <w:b/>
          <w:sz w:val="20"/>
        </w:rPr>
        <w:t>Risk</w:t>
      </w:r>
      <w:r>
        <w:rPr>
          <w:b/>
          <w:spacing w:val="-3"/>
          <w:sz w:val="20"/>
        </w:rPr>
        <w:t xml:space="preserve"> </w:t>
      </w:r>
      <w:r>
        <w:rPr>
          <w:b/>
          <w:spacing w:val="-2"/>
          <w:sz w:val="20"/>
        </w:rPr>
        <w:t>Committee</w:t>
      </w:r>
      <w:r>
        <w:rPr>
          <w:b/>
          <w:sz w:val="20"/>
        </w:rPr>
        <w:tab/>
      </w:r>
      <w:r>
        <w:rPr>
          <w:sz w:val="20"/>
        </w:rPr>
        <w:t>Chair:</w:t>
      </w:r>
      <w:r>
        <w:rPr>
          <w:spacing w:val="-8"/>
          <w:sz w:val="20"/>
        </w:rPr>
        <w:t xml:space="preserve"> </w:t>
      </w:r>
      <w:r>
        <w:rPr>
          <w:sz w:val="20"/>
        </w:rPr>
        <w:t>Tim</w:t>
      </w:r>
      <w:r>
        <w:rPr>
          <w:spacing w:val="-4"/>
          <w:sz w:val="20"/>
        </w:rPr>
        <w:t xml:space="preserve"> </w:t>
      </w:r>
      <w:r>
        <w:rPr>
          <w:spacing w:val="-2"/>
          <w:sz w:val="20"/>
        </w:rPr>
        <w:t>Cronin</w:t>
      </w:r>
    </w:p>
    <w:p w14:paraId="6AF0F4AF" w14:textId="77777777" w:rsidR="00AC6F3C" w:rsidRDefault="00570E88">
      <w:pPr>
        <w:pStyle w:val="BodyText"/>
        <w:spacing w:before="10"/>
        <w:rPr>
          <w:sz w:val="3"/>
        </w:rPr>
      </w:pPr>
      <w:r>
        <w:rPr>
          <w:noProof/>
        </w:rPr>
        <mc:AlternateContent>
          <mc:Choice Requires="wpg">
            <w:drawing>
              <wp:anchor distT="0" distB="0" distL="0" distR="0" simplePos="0" relativeHeight="487654912" behindDoc="1" locked="0" layoutInCell="1" allowOverlap="1" wp14:anchorId="540B5166" wp14:editId="513EA34D">
                <wp:simplePos x="0" y="0"/>
                <wp:positionH relativeFrom="page">
                  <wp:posOffset>809999</wp:posOffset>
                </wp:positionH>
                <wp:positionV relativeFrom="paragraph">
                  <wp:posOffset>44101</wp:posOffset>
                </wp:positionV>
                <wp:extent cx="5940425" cy="3175"/>
                <wp:effectExtent l="0" t="0" r="0" b="0"/>
                <wp:wrapTopAndBottom/>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99" name="Graphic 59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00" name="Graphic 60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05D737" id="Group 598" o:spid="_x0000_s1026" style="position:absolute;margin-left:63.8pt;margin-top:3.45pt;width:467.75pt;height:.25pt;z-index:-156615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">
                <v:shape id="Graphic 59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" path="m,l3249002,e" filled="f" strokeweight=".25pt">
                  <v:path arrowok="t"/>
                </v:shape>
                <v:shape id="Graphic 60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" path="m,l2691003,e" filled="f" strokeweight=".25pt">
                  <v:path arrowok="t"/>
                </v:shape>
                <w10:wrap type="topAndBottom" anchorx="page"/>
              </v:group>
            </w:pict>
          </mc:Fallback>
        </mc:AlternateContent>
      </w:r>
    </w:p>
    <w:p w14:paraId="38E7D443" w14:textId="77777777" w:rsidR="00AC6F3C" w:rsidRDefault="00570E88">
      <w:pPr>
        <w:tabs>
          <w:tab w:val="left" w:pos="6045"/>
        </w:tabs>
        <w:spacing w:before="68"/>
        <w:ind w:left="928"/>
        <w:rPr>
          <w:sz w:val="20"/>
        </w:rPr>
      </w:pPr>
      <w:r>
        <w:rPr>
          <w:b/>
          <w:sz w:val="20"/>
        </w:rPr>
        <w:t>Future</w:t>
      </w:r>
      <w:r>
        <w:rPr>
          <w:b/>
          <w:spacing w:val="-6"/>
          <w:sz w:val="20"/>
        </w:rPr>
        <w:t xml:space="preserve"> </w:t>
      </w:r>
      <w:r>
        <w:rPr>
          <w:b/>
          <w:sz w:val="20"/>
        </w:rPr>
        <w:t>Leaders</w:t>
      </w:r>
      <w:r>
        <w:rPr>
          <w:b/>
          <w:spacing w:val="-5"/>
          <w:sz w:val="20"/>
        </w:rPr>
        <w:t xml:space="preserve"> </w:t>
      </w:r>
      <w:r>
        <w:rPr>
          <w:b/>
          <w:spacing w:val="-2"/>
          <w:sz w:val="20"/>
        </w:rPr>
        <w:t>Committee</w:t>
      </w:r>
      <w:r>
        <w:rPr>
          <w:b/>
          <w:sz w:val="20"/>
        </w:rPr>
        <w:tab/>
      </w:r>
      <w:r>
        <w:rPr>
          <w:sz w:val="20"/>
        </w:rPr>
        <w:t>President:</w:t>
      </w:r>
      <w:r>
        <w:rPr>
          <w:spacing w:val="-2"/>
          <w:sz w:val="20"/>
        </w:rPr>
        <w:t xml:space="preserve"> </w:t>
      </w:r>
      <w:r>
        <w:rPr>
          <w:sz w:val="20"/>
        </w:rPr>
        <w:t>Sarah</w:t>
      </w:r>
      <w:r>
        <w:rPr>
          <w:spacing w:val="-2"/>
          <w:sz w:val="20"/>
        </w:rPr>
        <w:t xml:space="preserve"> </w:t>
      </w:r>
      <w:proofErr w:type="spellStart"/>
      <w:r>
        <w:rPr>
          <w:spacing w:val="-2"/>
          <w:sz w:val="20"/>
        </w:rPr>
        <w:t>Plasto</w:t>
      </w:r>
      <w:proofErr w:type="spellEnd"/>
    </w:p>
    <w:p w14:paraId="30C6DD64" w14:textId="77777777" w:rsidR="00AC6F3C" w:rsidRDefault="00570E88">
      <w:pPr>
        <w:pStyle w:val="BodyText"/>
        <w:spacing w:before="180"/>
        <w:ind w:left="6045"/>
      </w:pPr>
      <w:r>
        <w:t>Deputy</w:t>
      </w:r>
      <w:r>
        <w:rPr>
          <w:spacing w:val="-4"/>
        </w:rPr>
        <w:t xml:space="preserve"> </w:t>
      </w:r>
      <w:r>
        <w:t>President:</w:t>
      </w:r>
      <w:r>
        <w:rPr>
          <w:spacing w:val="-2"/>
        </w:rPr>
        <w:t xml:space="preserve"> </w:t>
      </w:r>
      <w:r>
        <w:t>Michael</w:t>
      </w:r>
      <w:r>
        <w:rPr>
          <w:spacing w:val="-2"/>
        </w:rPr>
        <w:t xml:space="preserve"> Murray</w:t>
      </w:r>
    </w:p>
    <w:p w14:paraId="58281101" w14:textId="77777777" w:rsidR="00AC6F3C" w:rsidRDefault="00570E88">
      <w:pPr>
        <w:pStyle w:val="BodyText"/>
        <w:spacing w:before="10"/>
        <w:rPr>
          <w:sz w:val="3"/>
        </w:rPr>
      </w:pPr>
      <w:r>
        <w:rPr>
          <w:noProof/>
        </w:rPr>
        <mc:AlternateContent>
          <mc:Choice Requires="wpg">
            <w:drawing>
              <wp:anchor distT="0" distB="0" distL="0" distR="0" simplePos="0" relativeHeight="487655424" behindDoc="1" locked="0" layoutInCell="1" allowOverlap="1" wp14:anchorId="6B0B945E" wp14:editId="3647BA5B">
                <wp:simplePos x="0" y="0"/>
                <wp:positionH relativeFrom="page">
                  <wp:posOffset>809999</wp:posOffset>
                </wp:positionH>
                <wp:positionV relativeFrom="paragraph">
                  <wp:posOffset>44129</wp:posOffset>
                </wp:positionV>
                <wp:extent cx="5940425" cy="3175"/>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02" name="Graphic 60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03" name="Graphic 60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AEE2FD" id="Group 601" o:spid="_x0000_s1026" style="position:absolute;margin-left:63.8pt;margin-top:3.45pt;width:467.75pt;height:.25pt;z-index:-1566105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A9tg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MCFcD22AgAA&#10;dwgAAA4AAAAAAAAAAAAAAAAALgIAAGRycy9lMm9Eb2MueG1sUEsBAi0AFAAGAAgAAAAhAC5atKnf&#10;AAAACAEAAA8AAAAAAAAAAAAAAAAAEAUAAGRycy9kb3ducmV2LnhtbFBLBQYAAAAABAAEAPMAAAAc&#10;BgAAAAA=&#10;">
                <v:shape id="Graphic 60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" path="m,l3249002,e" filled="f" strokeweight=".25pt">
                  <v:path arrowok="t"/>
                </v:shape>
                <v:shape id="Graphic 60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" path="m,l2691003,e" filled="f" strokeweight=".25pt">
                  <v:path arrowok="t"/>
                </v:shape>
                <w10:wrap type="topAndBottom" anchorx="page"/>
              </v:group>
            </w:pict>
          </mc:Fallback>
        </mc:AlternateContent>
      </w:r>
    </w:p>
    <w:p w14:paraId="14213EBD" w14:textId="77777777" w:rsidR="00AC6F3C" w:rsidRDefault="00570E88">
      <w:pPr>
        <w:tabs>
          <w:tab w:val="left" w:pos="6045"/>
        </w:tabs>
        <w:spacing w:before="68"/>
        <w:ind w:left="928"/>
        <w:rPr>
          <w:sz w:val="20"/>
        </w:rPr>
      </w:pPr>
      <w:r>
        <w:rPr>
          <w:b/>
          <w:sz w:val="20"/>
        </w:rPr>
        <w:t>Governance</w:t>
      </w:r>
      <w:r>
        <w:rPr>
          <w:b/>
          <w:spacing w:val="-9"/>
          <w:sz w:val="20"/>
        </w:rPr>
        <w:t xml:space="preserve"> </w:t>
      </w:r>
      <w:r>
        <w:rPr>
          <w:b/>
          <w:spacing w:val="-2"/>
          <w:sz w:val="20"/>
        </w:rPr>
        <w:t>Committee</w:t>
      </w:r>
      <w:r>
        <w:rPr>
          <w:b/>
          <w:sz w:val="20"/>
        </w:rPr>
        <w:tab/>
      </w:r>
      <w:r>
        <w:rPr>
          <w:sz w:val="20"/>
        </w:rPr>
        <w:t>Chair:</w:t>
      </w:r>
      <w:r>
        <w:rPr>
          <w:spacing w:val="-3"/>
          <w:sz w:val="20"/>
        </w:rPr>
        <w:t xml:space="preserve"> </w:t>
      </w:r>
      <w:r>
        <w:rPr>
          <w:sz w:val="20"/>
        </w:rPr>
        <w:t>Michele</w:t>
      </w:r>
      <w:r>
        <w:rPr>
          <w:spacing w:val="-3"/>
          <w:sz w:val="20"/>
        </w:rPr>
        <w:t xml:space="preserve"> </w:t>
      </w:r>
      <w:r>
        <w:rPr>
          <w:spacing w:val="-2"/>
          <w:sz w:val="20"/>
        </w:rPr>
        <w:t>Davis</w:t>
      </w:r>
    </w:p>
    <w:p w14:paraId="5A70974D" w14:textId="77777777" w:rsidR="00AC6F3C" w:rsidRDefault="00570E88">
      <w:pPr>
        <w:pStyle w:val="BodyText"/>
        <w:spacing w:before="10"/>
        <w:rPr>
          <w:sz w:val="3"/>
        </w:rPr>
      </w:pPr>
      <w:r>
        <w:rPr>
          <w:noProof/>
        </w:rPr>
        <mc:AlternateContent>
          <mc:Choice Requires="wpg">
            <w:drawing>
              <wp:anchor distT="0" distB="0" distL="0" distR="0" simplePos="0" relativeHeight="487655936" behindDoc="1" locked="0" layoutInCell="1" allowOverlap="1" wp14:anchorId="78C51796" wp14:editId="3C26D03A">
                <wp:simplePos x="0" y="0"/>
                <wp:positionH relativeFrom="page">
                  <wp:posOffset>809999</wp:posOffset>
                </wp:positionH>
                <wp:positionV relativeFrom="paragraph">
                  <wp:posOffset>44066</wp:posOffset>
                </wp:positionV>
                <wp:extent cx="5940425" cy="3175"/>
                <wp:effectExtent l="0" t="0" r="0" b="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05" name="Graphic 60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06" name="Graphic 60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AD1DD4" id="Group 604" o:spid="_x0000_s1026" style="position:absolute;margin-left:63.8pt;margin-top:3.45pt;width:467.75pt;height:.25pt;z-index:-1566054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Ttg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CT9hdO2AgAA&#10;dwgAAA4AAAAAAAAAAAAAAAAALgIAAGRycy9lMm9Eb2MueG1sUEsBAi0AFAAGAAgAAAAhAC5atKnf&#10;AAAACAEAAA8AAAAAAAAAAAAAAAAAEAUAAGRycy9kb3ducmV2LnhtbFBLBQYAAAAABAAEAPMAAAAc&#10;BgAAAAA=&#10;">
                <v:shape id="Graphic 60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" path="m,l3249002,e" filled="f" strokeweight=".25pt">
                  <v:path arrowok="t"/>
                </v:shape>
                <v:shape id="Graphic 60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" path="m,l2691003,e" filled="f" strokeweight=".25pt">
                  <v:path arrowok="t"/>
                </v:shape>
                <w10:wrap type="topAndBottom" anchorx="page"/>
              </v:group>
            </w:pict>
          </mc:Fallback>
        </mc:AlternateContent>
      </w:r>
    </w:p>
    <w:p w14:paraId="2C69391E" w14:textId="77777777" w:rsidR="00AC6F3C" w:rsidRDefault="00570E88">
      <w:pPr>
        <w:tabs>
          <w:tab w:val="left" w:pos="6045"/>
        </w:tabs>
        <w:spacing w:before="68"/>
        <w:ind w:left="928"/>
        <w:rPr>
          <w:sz w:val="20"/>
        </w:rPr>
      </w:pPr>
      <w:r>
        <w:rPr>
          <w:b/>
          <w:sz w:val="20"/>
        </w:rPr>
        <w:t>Government</w:t>
      </w:r>
      <w:r>
        <w:rPr>
          <w:b/>
          <w:spacing w:val="-3"/>
          <w:sz w:val="20"/>
        </w:rPr>
        <w:t xml:space="preserve"> </w:t>
      </w:r>
      <w:r>
        <w:rPr>
          <w:b/>
          <w:sz w:val="20"/>
        </w:rPr>
        <w:t>Lawyers</w:t>
      </w:r>
      <w:r>
        <w:rPr>
          <w:b/>
          <w:spacing w:val="-3"/>
          <w:sz w:val="20"/>
        </w:rPr>
        <w:t xml:space="preserve"> </w:t>
      </w:r>
      <w:r>
        <w:rPr>
          <w:b/>
          <w:spacing w:val="-2"/>
          <w:sz w:val="20"/>
        </w:rPr>
        <w:t>Committee</w:t>
      </w:r>
      <w:r>
        <w:rPr>
          <w:b/>
          <w:sz w:val="20"/>
        </w:rPr>
        <w:tab/>
      </w:r>
      <w:r>
        <w:rPr>
          <w:sz w:val="20"/>
        </w:rPr>
        <w:t>Chair:</w:t>
      </w:r>
      <w:r>
        <w:rPr>
          <w:spacing w:val="-2"/>
          <w:sz w:val="20"/>
        </w:rPr>
        <w:t xml:space="preserve"> </w:t>
      </w:r>
      <w:r>
        <w:rPr>
          <w:sz w:val="20"/>
        </w:rPr>
        <w:t>Jill</w:t>
      </w:r>
      <w:r>
        <w:rPr>
          <w:spacing w:val="-1"/>
          <w:sz w:val="20"/>
        </w:rPr>
        <w:t xml:space="preserve"> </w:t>
      </w:r>
      <w:r>
        <w:rPr>
          <w:spacing w:val="-2"/>
          <w:sz w:val="20"/>
        </w:rPr>
        <w:t>Petrie</w:t>
      </w:r>
    </w:p>
    <w:p w14:paraId="5BC10D10" w14:textId="77777777" w:rsidR="00AC6F3C" w:rsidRDefault="00570E88">
      <w:pPr>
        <w:pStyle w:val="BodyText"/>
        <w:spacing w:before="180"/>
        <w:ind w:left="6045"/>
      </w:pPr>
      <w:r>
        <w:t>Deputy</w:t>
      </w:r>
      <w:r>
        <w:rPr>
          <w:spacing w:val="-2"/>
        </w:rPr>
        <w:t xml:space="preserve"> </w:t>
      </w:r>
      <w:r>
        <w:t>Chair:</w:t>
      </w:r>
      <w:r>
        <w:rPr>
          <w:spacing w:val="-2"/>
        </w:rPr>
        <w:t xml:space="preserve"> </w:t>
      </w:r>
      <w:r>
        <w:t>Natasha</w:t>
      </w:r>
      <w:r>
        <w:rPr>
          <w:spacing w:val="-2"/>
        </w:rPr>
        <w:t xml:space="preserve"> </w:t>
      </w:r>
      <w:proofErr w:type="spellStart"/>
      <w:r>
        <w:rPr>
          <w:spacing w:val="-2"/>
        </w:rPr>
        <w:t>Camphorst</w:t>
      </w:r>
      <w:proofErr w:type="spellEnd"/>
    </w:p>
    <w:p w14:paraId="181EFE80" w14:textId="77777777" w:rsidR="00AC6F3C" w:rsidRDefault="00570E88">
      <w:pPr>
        <w:pStyle w:val="BodyText"/>
        <w:spacing w:before="10"/>
        <w:rPr>
          <w:sz w:val="3"/>
        </w:rPr>
      </w:pPr>
      <w:r>
        <w:rPr>
          <w:noProof/>
        </w:rPr>
        <mc:AlternateContent>
          <mc:Choice Requires="wpg">
            <w:drawing>
              <wp:anchor distT="0" distB="0" distL="0" distR="0" simplePos="0" relativeHeight="487656448" behindDoc="1" locked="0" layoutInCell="1" allowOverlap="1" wp14:anchorId="380F08ED" wp14:editId="33D64D5B">
                <wp:simplePos x="0" y="0"/>
                <wp:positionH relativeFrom="page">
                  <wp:posOffset>809999</wp:posOffset>
                </wp:positionH>
                <wp:positionV relativeFrom="paragraph">
                  <wp:posOffset>44129</wp:posOffset>
                </wp:positionV>
                <wp:extent cx="5940425" cy="3175"/>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08" name="Graphic 608"/>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09" name="Graphic 609"/>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DAB2F0" id="Group 607" o:spid="_x0000_s1026" style="position:absolute;margin-left:63.8pt;margin-top:3.45pt;width:467.75pt;height:.25pt;z-index:-1566003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1itg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E+VfWK2AgAA&#10;dwgAAA4AAAAAAAAAAAAAAAAALgIAAGRycy9lMm9Eb2MueG1sUEsBAi0AFAAGAAgAAAAhAC5atKnf&#10;AAAACAEAAA8AAAAAAAAAAAAAAAAAEAUAAGRycy9kb3ducmV2LnhtbFBLBQYAAAAABAAEAPMAAAAc&#10;BgAAAAA=&#10;">
                <v:shape id="Graphic 608"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" path="m,l3249002,e" filled="f" strokeweight=".25pt">
                  <v:path arrowok="t"/>
                </v:shape>
                <v:shape id="Graphic 609"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" path="m,l2691003,e" filled="f" strokeweight=".25pt">
                  <v:path arrowok="t"/>
                </v:shape>
                <w10:wrap type="topAndBottom" anchorx="page"/>
              </v:group>
            </w:pict>
          </mc:Fallback>
        </mc:AlternateContent>
      </w:r>
    </w:p>
    <w:p w14:paraId="78162640" w14:textId="77777777" w:rsidR="00AC6F3C" w:rsidRDefault="00570E88">
      <w:pPr>
        <w:tabs>
          <w:tab w:val="left" w:pos="6045"/>
        </w:tabs>
        <w:spacing w:before="68"/>
        <w:ind w:left="928"/>
        <w:rPr>
          <w:sz w:val="20"/>
        </w:rPr>
      </w:pPr>
      <w:r>
        <w:rPr>
          <w:b/>
          <w:sz w:val="20"/>
        </w:rPr>
        <w:t>Health</w:t>
      </w:r>
      <w:r>
        <w:rPr>
          <w:b/>
          <w:spacing w:val="-3"/>
          <w:sz w:val="20"/>
        </w:rPr>
        <w:t xml:space="preserve"> </w:t>
      </w:r>
      <w:r>
        <w:rPr>
          <w:b/>
          <w:sz w:val="20"/>
        </w:rPr>
        <w:t>and</w:t>
      </w:r>
      <w:r>
        <w:rPr>
          <w:b/>
          <w:spacing w:val="-2"/>
          <w:sz w:val="20"/>
        </w:rPr>
        <w:t xml:space="preserve"> </w:t>
      </w:r>
      <w:r>
        <w:rPr>
          <w:b/>
          <w:sz w:val="20"/>
        </w:rPr>
        <w:t>Disability</w:t>
      </w:r>
      <w:r>
        <w:rPr>
          <w:b/>
          <w:spacing w:val="-2"/>
          <w:sz w:val="20"/>
        </w:rPr>
        <w:t xml:space="preserve"> </w:t>
      </w:r>
      <w:r>
        <w:rPr>
          <w:b/>
          <w:sz w:val="20"/>
        </w:rPr>
        <w:t>Law</w:t>
      </w:r>
      <w:r>
        <w:rPr>
          <w:b/>
          <w:spacing w:val="-2"/>
          <w:sz w:val="20"/>
        </w:rPr>
        <w:t xml:space="preserve"> Committee</w:t>
      </w:r>
      <w:r>
        <w:rPr>
          <w:b/>
          <w:sz w:val="20"/>
        </w:rPr>
        <w:tab/>
      </w:r>
      <w:r>
        <w:rPr>
          <w:sz w:val="20"/>
        </w:rPr>
        <w:t>Chair:</w:t>
      </w:r>
      <w:r>
        <w:rPr>
          <w:spacing w:val="-2"/>
          <w:sz w:val="20"/>
        </w:rPr>
        <w:t xml:space="preserve"> </w:t>
      </w:r>
      <w:r>
        <w:rPr>
          <w:sz w:val="20"/>
        </w:rPr>
        <w:t>Karen</w:t>
      </w:r>
      <w:r>
        <w:rPr>
          <w:spacing w:val="-2"/>
          <w:sz w:val="20"/>
        </w:rPr>
        <w:t xml:space="preserve"> Williams</w:t>
      </w:r>
    </w:p>
    <w:p w14:paraId="04C65678" w14:textId="77777777" w:rsidR="00AC6F3C" w:rsidRDefault="00570E88">
      <w:pPr>
        <w:pStyle w:val="BodyText"/>
        <w:spacing w:before="180"/>
        <w:ind w:left="6045"/>
      </w:pPr>
      <w:r>
        <w:t>Deputy</w:t>
      </w:r>
      <w:r>
        <w:rPr>
          <w:spacing w:val="-2"/>
        </w:rPr>
        <w:t xml:space="preserve"> </w:t>
      </w:r>
      <w:r>
        <w:t>Chair:</w:t>
      </w:r>
      <w:r>
        <w:rPr>
          <w:spacing w:val="-2"/>
        </w:rPr>
        <w:t xml:space="preserve"> </w:t>
      </w:r>
      <w:r>
        <w:t>Claire</w:t>
      </w:r>
      <w:r>
        <w:rPr>
          <w:spacing w:val="-1"/>
        </w:rPr>
        <w:t xml:space="preserve"> </w:t>
      </w:r>
      <w:proofErr w:type="spellStart"/>
      <w:r>
        <w:rPr>
          <w:spacing w:val="-2"/>
        </w:rPr>
        <w:t>Bassingthwaighte</w:t>
      </w:r>
      <w:proofErr w:type="spellEnd"/>
    </w:p>
    <w:p w14:paraId="47EFFEC1" w14:textId="77777777" w:rsidR="00AC6F3C" w:rsidRDefault="00570E88">
      <w:pPr>
        <w:pStyle w:val="BodyText"/>
        <w:spacing w:before="10"/>
        <w:rPr>
          <w:sz w:val="3"/>
        </w:rPr>
      </w:pPr>
      <w:r>
        <w:rPr>
          <w:noProof/>
        </w:rPr>
        <mc:AlternateContent>
          <mc:Choice Requires="wpg">
            <w:drawing>
              <wp:anchor distT="0" distB="0" distL="0" distR="0" simplePos="0" relativeHeight="487656960" behindDoc="1" locked="0" layoutInCell="1" allowOverlap="1" wp14:anchorId="3F626D0E" wp14:editId="3DFE997D">
                <wp:simplePos x="0" y="0"/>
                <wp:positionH relativeFrom="page">
                  <wp:posOffset>809999</wp:posOffset>
                </wp:positionH>
                <wp:positionV relativeFrom="paragraph">
                  <wp:posOffset>44129</wp:posOffset>
                </wp:positionV>
                <wp:extent cx="5940425" cy="3175"/>
                <wp:effectExtent l="0" t="0" r="0" b="0"/>
                <wp:wrapTopAndBottom/>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11" name="Graphic 611"/>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12" name="Graphic 612"/>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8D2CE8" id="Group 610" o:spid="_x0000_s1026" style="position:absolute;margin-left:63.8pt;margin-top:3.45pt;width:467.75pt;height:.25pt;z-index:-1565952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">
                <v:shape id="Graphic 611"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" path="m,l3249002,e" filled="f" strokeweight=".25pt">
                  <v:path arrowok="t"/>
                </v:shape>
                <v:shape id="Graphic 612"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" path="m,l2691003,e" filled="f" strokeweight=".25pt">
                  <v:path arrowok="t"/>
                </v:shape>
                <w10:wrap type="topAndBottom" anchorx="page"/>
              </v:group>
            </w:pict>
          </mc:Fallback>
        </mc:AlternateContent>
      </w:r>
    </w:p>
    <w:p w14:paraId="5D0CFEB0" w14:textId="77777777" w:rsidR="00AC6F3C" w:rsidRDefault="00570E88">
      <w:pPr>
        <w:tabs>
          <w:tab w:val="left" w:pos="6045"/>
        </w:tabs>
        <w:spacing w:before="68"/>
        <w:ind w:left="928"/>
        <w:rPr>
          <w:sz w:val="20"/>
        </w:rPr>
      </w:pPr>
      <w:r>
        <w:rPr>
          <w:b/>
          <w:sz w:val="20"/>
        </w:rPr>
        <w:t>Human</w:t>
      </w:r>
      <w:r>
        <w:rPr>
          <w:b/>
          <w:spacing w:val="-4"/>
          <w:sz w:val="20"/>
        </w:rPr>
        <w:t xml:space="preserve"> </w:t>
      </w:r>
      <w:r>
        <w:rPr>
          <w:b/>
          <w:sz w:val="20"/>
        </w:rPr>
        <w:t>Rights</w:t>
      </w:r>
      <w:r>
        <w:rPr>
          <w:b/>
          <w:spacing w:val="-2"/>
          <w:sz w:val="20"/>
        </w:rPr>
        <w:t xml:space="preserve"> </w:t>
      </w:r>
      <w:r>
        <w:rPr>
          <w:b/>
          <w:sz w:val="20"/>
        </w:rPr>
        <w:t>and</w:t>
      </w:r>
      <w:r>
        <w:rPr>
          <w:b/>
          <w:spacing w:val="-2"/>
          <w:sz w:val="20"/>
        </w:rPr>
        <w:t xml:space="preserve"> </w:t>
      </w:r>
      <w:r>
        <w:rPr>
          <w:b/>
          <w:sz w:val="20"/>
        </w:rPr>
        <w:t>Public</w:t>
      </w:r>
      <w:r>
        <w:rPr>
          <w:b/>
          <w:spacing w:val="-2"/>
          <w:sz w:val="20"/>
        </w:rPr>
        <w:t xml:space="preserve"> </w:t>
      </w:r>
      <w:r>
        <w:rPr>
          <w:b/>
          <w:sz w:val="20"/>
        </w:rPr>
        <w:t>Law</w:t>
      </w:r>
      <w:r>
        <w:rPr>
          <w:b/>
          <w:spacing w:val="-2"/>
          <w:sz w:val="20"/>
        </w:rPr>
        <w:t xml:space="preserve"> Committee</w:t>
      </w:r>
      <w:r>
        <w:rPr>
          <w:b/>
          <w:sz w:val="20"/>
        </w:rPr>
        <w:tab/>
      </w:r>
      <w:r>
        <w:rPr>
          <w:sz w:val="20"/>
        </w:rPr>
        <w:t>Chair:</w:t>
      </w:r>
      <w:r>
        <w:rPr>
          <w:spacing w:val="-2"/>
          <w:sz w:val="20"/>
        </w:rPr>
        <w:t xml:space="preserve"> </w:t>
      </w:r>
      <w:r>
        <w:rPr>
          <w:sz w:val="20"/>
        </w:rPr>
        <w:t>Emma</w:t>
      </w:r>
      <w:r>
        <w:rPr>
          <w:spacing w:val="-1"/>
          <w:sz w:val="20"/>
        </w:rPr>
        <w:t xml:space="preserve"> </w:t>
      </w:r>
      <w:r>
        <w:rPr>
          <w:spacing w:val="-2"/>
          <w:sz w:val="20"/>
        </w:rPr>
        <w:t>Phillips</w:t>
      </w:r>
    </w:p>
    <w:p w14:paraId="56939834" w14:textId="77777777" w:rsidR="00AC6F3C" w:rsidRDefault="00570E88">
      <w:pPr>
        <w:pStyle w:val="BodyText"/>
        <w:spacing w:before="10"/>
        <w:rPr>
          <w:sz w:val="3"/>
        </w:rPr>
      </w:pPr>
      <w:r>
        <w:rPr>
          <w:noProof/>
        </w:rPr>
        <mc:AlternateContent>
          <mc:Choice Requires="wpg">
            <w:drawing>
              <wp:anchor distT="0" distB="0" distL="0" distR="0" simplePos="0" relativeHeight="487657472" behindDoc="1" locked="0" layoutInCell="1" allowOverlap="1" wp14:anchorId="6B531D5C" wp14:editId="6E9A412A">
                <wp:simplePos x="0" y="0"/>
                <wp:positionH relativeFrom="page">
                  <wp:posOffset>809999</wp:posOffset>
                </wp:positionH>
                <wp:positionV relativeFrom="paragraph">
                  <wp:posOffset>44067</wp:posOffset>
                </wp:positionV>
                <wp:extent cx="5940425" cy="3175"/>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14" name="Graphic 614"/>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15" name="Graphic 615"/>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34A3B" id="Group 613" o:spid="_x0000_s1026" style="position:absolute;margin-left:63.8pt;margin-top:3.45pt;width:467.75pt;height:.25pt;z-index:-1565900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">
                <v:shape id="Graphic 614"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" path="m,l3249002,e" filled="f" strokeweight=".25pt">
                  <v:path arrowok="t"/>
                </v:shape>
                <v:shape id="Graphic 615"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" path="m,l2691003,e" filled="f" strokeweight=".25pt">
                  <v:path arrowok="t"/>
                </v:shape>
                <w10:wrap type="topAndBottom" anchorx="page"/>
              </v:group>
            </w:pict>
          </mc:Fallback>
        </mc:AlternateContent>
      </w:r>
    </w:p>
    <w:p w14:paraId="7742DCCD" w14:textId="77777777" w:rsidR="00AC6F3C" w:rsidRDefault="00570E88">
      <w:pPr>
        <w:tabs>
          <w:tab w:val="left" w:pos="6045"/>
        </w:tabs>
        <w:spacing w:before="68"/>
        <w:ind w:left="928"/>
        <w:rPr>
          <w:sz w:val="20"/>
        </w:rPr>
      </w:pPr>
      <w:r>
        <w:rPr>
          <w:b/>
          <w:sz w:val="20"/>
        </w:rPr>
        <w:t xml:space="preserve">Industrial Law </w:t>
      </w:r>
      <w:r>
        <w:rPr>
          <w:b/>
          <w:spacing w:val="-2"/>
          <w:sz w:val="20"/>
        </w:rPr>
        <w:t>Committee</w:t>
      </w:r>
      <w:r>
        <w:rPr>
          <w:b/>
          <w:sz w:val="20"/>
        </w:rPr>
        <w:tab/>
      </w:r>
      <w:r>
        <w:rPr>
          <w:sz w:val="20"/>
        </w:rPr>
        <w:t>Chair:</w:t>
      </w:r>
      <w:r>
        <w:rPr>
          <w:spacing w:val="-2"/>
          <w:sz w:val="20"/>
        </w:rPr>
        <w:t xml:space="preserve"> </w:t>
      </w:r>
      <w:r>
        <w:rPr>
          <w:sz w:val="20"/>
        </w:rPr>
        <w:t>Giri</w:t>
      </w:r>
      <w:r>
        <w:rPr>
          <w:spacing w:val="-1"/>
          <w:sz w:val="20"/>
        </w:rPr>
        <w:t xml:space="preserve"> </w:t>
      </w:r>
      <w:r>
        <w:rPr>
          <w:spacing w:val="-2"/>
          <w:sz w:val="20"/>
        </w:rPr>
        <w:t>Sivaraman</w:t>
      </w:r>
    </w:p>
    <w:p w14:paraId="5B1DA37A" w14:textId="77777777" w:rsidR="00AC6F3C" w:rsidRDefault="00570E88">
      <w:pPr>
        <w:pStyle w:val="BodyText"/>
        <w:spacing w:before="180"/>
        <w:ind w:left="6045"/>
      </w:pPr>
      <w:r>
        <w:t>Deputy</w:t>
      </w:r>
      <w:r>
        <w:rPr>
          <w:spacing w:val="-3"/>
        </w:rPr>
        <w:t xml:space="preserve"> </w:t>
      </w:r>
      <w:r>
        <w:t>Chair:</w:t>
      </w:r>
      <w:r>
        <w:rPr>
          <w:spacing w:val="-2"/>
        </w:rPr>
        <w:t xml:space="preserve"> </w:t>
      </w:r>
      <w:r>
        <w:t>Marcelle</w:t>
      </w:r>
      <w:r>
        <w:rPr>
          <w:spacing w:val="-2"/>
        </w:rPr>
        <w:t xml:space="preserve"> Webster</w:t>
      </w:r>
    </w:p>
    <w:p w14:paraId="1B1554AB" w14:textId="77777777" w:rsidR="00AC6F3C" w:rsidRDefault="00570E88">
      <w:pPr>
        <w:tabs>
          <w:tab w:val="left" w:pos="6045"/>
        </w:tabs>
        <w:spacing w:before="2" w:line="410" w:lineRule="exact"/>
        <w:ind w:left="6045" w:right="1981" w:hanging="5117"/>
        <w:rPr>
          <w:sz w:val="20"/>
        </w:rPr>
      </w:pPr>
      <w:r>
        <w:rPr>
          <w:noProof/>
        </w:rPr>
        <mc:AlternateContent>
          <mc:Choice Requires="wpg">
            <w:drawing>
              <wp:anchor distT="0" distB="0" distL="0" distR="0" simplePos="0" relativeHeight="15799808" behindDoc="0" locked="0" layoutInCell="1" allowOverlap="1" wp14:anchorId="2EC2D415" wp14:editId="034EEBCB">
                <wp:simplePos x="0" y="0"/>
                <wp:positionH relativeFrom="page">
                  <wp:posOffset>809999</wp:posOffset>
                </wp:positionH>
                <wp:positionV relativeFrom="paragraph">
                  <wp:posOffset>43860</wp:posOffset>
                </wp:positionV>
                <wp:extent cx="5940425" cy="317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17" name="Graphic 617"/>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18" name="Graphic 618"/>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8E7AE1" id="Group 616" o:spid="_x0000_s1026" style="position:absolute;margin-left:63.8pt;margin-top:3.45pt;width:467.75pt;height:.25pt;z-index:1579980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">
                <v:shape id="Graphic 617"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" path="m,l3249002,e" filled="f" strokeweight=".25pt">
                  <v:path arrowok="t"/>
                </v:shape>
                <v:shape id="Graphic 618"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" path="m,l2691003,e" filled="f" strokeweight=".25pt">
                  <v:path arrowok="t"/>
                </v:shape>
                <w10:wrap anchorx="page"/>
              </v:group>
            </w:pict>
          </mc:Fallback>
        </mc:AlternateContent>
      </w:r>
      <w:r>
        <w:rPr>
          <w:b/>
          <w:sz w:val="20"/>
        </w:rPr>
        <w:t>In-House Counsel Committee</w:t>
      </w:r>
      <w:r>
        <w:rPr>
          <w:b/>
          <w:sz w:val="20"/>
        </w:rPr>
        <w:tab/>
      </w:r>
      <w:r>
        <w:rPr>
          <w:sz w:val="20"/>
        </w:rPr>
        <w:t>Chair: Philip Ware</w:t>
      </w:r>
      <w:r>
        <w:rPr>
          <w:spacing w:val="40"/>
          <w:sz w:val="20"/>
        </w:rPr>
        <w:t xml:space="preserve"> </w:t>
      </w:r>
      <w:r>
        <w:rPr>
          <w:sz w:val="20"/>
        </w:rPr>
        <w:t>Deputy</w:t>
      </w:r>
      <w:r>
        <w:rPr>
          <w:spacing w:val="-11"/>
          <w:sz w:val="20"/>
        </w:rPr>
        <w:t xml:space="preserve"> </w:t>
      </w:r>
      <w:r>
        <w:rPr>
          <w:sz w:val="20"/>
        </w:rPr>
        <w:t>Chair:</w:t>
      </w:r>
      <w:r>
        <w:rPr>
          <w:spacing w:val="-11"/>
          <w:sz w:val="20"/>
        </w:rPr>
        <w:t xml:space="preserve"> </w:t>
      </w:r>
      <w:r>
        <w:rPr>
          <w:sz w:val="20"/>
        </w:rPr>
        <w:t>Eve</w:t>
      </w:r>
      <w:r>
        <w:rPr>
          <w:spacing w:val="-11"/>
          <w:sz w:val="20"/>
        </w:rPr>
        <w:t xml:space="preserve"> </w:t>
      </w:r>
      <w:r>
        <w:rPr>
          <w:sz w:val="20"/>
        </w:rPr>
        <w:t>Fraser</w:t>
      </w:r>
    </w:p>
    <w:p w14:paraId="1C5DD354" w14:textId="77777777" w:rsidR="00AC6F3C" w:rsidRDefault="00AC6F3C">
      <w:pPr>
        <w:spacing w:line="410" w:lineRule="exact"/>
        <w:rPr>
          <w:sz w:val="20"/>
        </w:rPr>
        <w:sectPr w:rsidR="00AC6F3C">
          <w:headerReference w:type="default" r:id="rId194"/>
          <w:footerReference w:type="default" r:id="rId195"/>
          <w:pgSz w:w="11910" w:h="16840"/>
          <w:pgMar w:top="1660" w:right="1160" w:bottom="1760" w:left="460" w:header="1276" w:footer="1565" w:gutter="0"/>
          <w:cols w:space="720"/>
        </w:sectPr>
      </w:pPr>
    </w:p>
    <w:p w14:paraId="568101A0" w14:textId="77777777" w:rsidR="00AC6F3C" w:rsidRDefault="00570E88">
      <w:pPr>
        <w:tabs>
          <w:tab w:val="left" w:pos="6045"/>
        </w:tabs>
        <w:spacing w:before="69" w:line="427" w:lineRule="auto"/>
        <w:ind w:left="6045" w:right="2047" w:hanging="5117"/>
        <w:rPr>
          <w:sz w:val="20"/>
        </w:rPr>
      </w:pPr>
      <w:r>
        <w:rPr>
          <w:noProof/>
        </w:rPr>
        <w:lastRenderedPageBreak/>
        <mc:AlternateContent>
          <mc:Choice Requires="wpg">
            <w:drawing>
              <wp:anchor distT="0" distB="0" distL="0" distR="0" simplePos="0" relativeHeight="15803904" behindDoc="0" locked="0" layoutInCell="1" allowOverlap="1" wp14:anchorId="05B88D23" wp14:editId="140B28A6">
                <wp:simplePos x="0" y="0"/>
                <wp:positionH relativeFrom="page">
                  <wp:posOffset>809999</wp:posOffset>
                </wp:positionH>
                <wp:positionV relativeFrom="paragraph">
                  <wp:posOffset>493799</wp:posOffset>
                </wp:positionV>
                <wp:extent cx="5940425" cy="317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20" name="Graphic 620"/>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21" name="Graphic 621"/>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1341B5" id="Group 619" o:spid="_x0000_s1026" style="position:absolute;margin-left:63.8pt;margin-top:38.9pt;width:467.75pt;height:.25pt;z-index:1580390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atQ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">
                <v:shape id="Graphic 620"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" path="m,l3249002,e" filled="f" strokeweight=".25pt">
                  <v:path arrowok="t"/>
                </v:shape>
                <v:shape id="Graphic 621"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" path="m,l2691003,e" filled="f" strokeweight=".25pt">
                  <v:path arrowok="t"/>
                </v:shape>
                <w10:wrap anchorx="page"/>
              </v:group>
            </w:pict>
          </mc:Fallback>
        </mc:AlternateContent>
      </w:r>
      <w:r>
        <w:rPr>
          <w:b/>
          <w:sz w:val="20"/>
        </w:rPr>
        <w:t>Innovation Committee</w:t>
      </w:r>
      <w:r>
        <w:rPr>
          <w:b/>
          <w:sz w:val="20"/>
        </w:rPr>
        <w:tab/>
      </w:r>
      <w:r>
        <w:rPr>
          <w:sz w:val="20"/>
        </w:rPr>
        <w:t>Chair:</w:t>
      </w:r>
      <w:r>
        <w:rPr>
          <w:spacing w:val="-7"/>
          <w:sz w:val="20"/>
        </w:rPr>
        <w:t xml:space="preserve"> </w:t>
      </w:r>
      <w:r>
        <w:rPr>
          <w:sz w:val="20"/>
        </w:rPr>
        <w:t>Terri</w:t>
      </w:r>
      <w:r>
        <w:rPr>
          <w:spacing w:val="-3"/>
          <w:sz w:val="20"/>
        </w:rPr>
        <w:t xml:space="preserve"> </w:t>
      </w:r>
      <w:r>
        <w:rPr>
          <w:sz w:val="20"/>
        </w:rPr>
        <w:t>Mottershead Deputy Chair: Kim</w:t>
      </w:r>
      <w:r>
        <w:rPr>
          <w:spacing w:val="-4"/>
          <w:sz w:val="20"/>
        </w:rPr>
        <w:t xml:space="preserve"> </w:t>
      </w:r>
      <w:proofErr w:type="spellStart"/>
      <w:r>
        <w:rPr>
          <w:spacing w:val="-2"/>
          <w:sz w:val="20"/>
        </w:rPr>
        <w:t>Traier</w:t>
      </w:r>
      <w:proofErr w:type="spellEnd"/>
    </w:p>
    <w:p w14:paraId="2E28353D" w14:textId="77777777" w:rsidR="00AC6F3C" w:rsidRDefault="00570E88">
      <w:pPr>
        <w:tabs>
          <w:tab w:val="left" w:pos="6045"/>
        </w:tabs>
        <w:spacing w:line="194" w:lineRule="exact"/>
        <w:ind w:left="928"/>
        <w:rPr>
          <w:sz w:val="20"/>
        </w:rPr>
      </w:pPr>
      <w:r>
        <w:rPr>
          <w:b/>
          <w:sz w:val="20"/>
        </w:rPr>
        <w:t>Insolvency</w:t>
      </w:r>
      <w:r>
        <w:rPr>
          <w:b/>
          <w:spacing w:val="-3"/>
          <w:sz w:val="20"/>
        </w:rPr>
        <w:t xml:space="preserve"> </w:t>
      </w:r>
      <w:r>
        <w:rPr>
          <w:b/>
          <w:sz w:val="20"/>
        </w:rPr>
        <w:t>and</w:t>
      </w:r>
      <w:r>
        <w:rPr>
          <w:b/>
          <w:spacing w:val="-2"/>
          <w:sz w:val="20"/>
        </w:rPr>
        <w:t xml:space="preserve"> </w:t>
      </w:r>
      <w:r>
        <w:rPr>
          <w:b/>
          <w:sz w:val="20"/>
        </w:rPr>
        <w:t>Reconstruction</w:t>
      </w:r>
      <w:r>
        <w:rPr>
          <w:b/>
          <w:spacing w:val="-2"/>
          <w:sz w:val="20"/>
        </w:rPr>
        <w:t xml:space="preserve"> </w:t>
      </w:r>
      <w:r>
        <w:rPr>
          <w:b/>
          <w:sz w:val="20"/>
        </w:rPr>
        <w:t>Law</w:t>
      </w:r>
      <w:r>
        <w:rPr>
          <w:b/>
          <w:spacing w:val="-2"/>
          <w:sz w:val="20"/>
        </w:rPr>
        <w:t xml:space="preserve"> Committee</w:t>
      </w:r>
      <w:r>
        <w:rPr>
          <w:b/>
          <w:sz w:val="20"/>
        </w:rPr>
        <w:tab/>
      </w:r>
      <w:r>
        <w:rPr>
          <w:sz w:val="20"/>
        </w:rPr>
        <w:t xml:space="preserve">Chair: Scott </w:t>
      </w:r>
      <w:r>
        <w:rPr>
          <w:spacing w:val="-2"/>
          <w:sz w:val="20"/>
        </w:rPr>
        <w:t>Butler</w:t>
      </w:r>
    </w:p>
    <w:p w14:paraId="578F1E08" w14:textId="77777777" w:rsidR="00AC6F3C" w:rsidRDefault="00570E88">
      <w:pPr>
        <w:pStyle w:val="BodyText"/>
        <w:spacing w:before="9"/>
        <w:rPr>
          <w:sz w:val="3"/>
        </w:rPr>
      </w:pPr>
      <w:r>
        <w:rPr>
          <w:noProof/>
        </w:rPr>
        <mc:AlternateContent>
          <mc:Choice Requires="wpg">
            <w:drawing>
              <wp:anchor distT="0" distB="0" distL="0" distR="0" simplePos="0" relativeHeight="487660032" behindDoc="1" locked="0" layoutInCell="1" allowOverlap="1" wp14:anchorId="0B2323DE" wp14:editId="5E23AF63">
                <wp:simplePos x="0" y="0"/>
                <wp:positionH relativeFrom="page">
                  <wp:posOffset>809999</wp:posOffset>
                </wp:positionH>
                <wp:positionV relativeFrom="paragraph">
                  <wp:posOffset>43466</wp:posOffset>
                </wp:positionV>
                <wp:extent cx="5940425" cy="3175"/>
                <wp:effectExtent l="0" t="0" r="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23" name="Graphic 623"/>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24" name="Graphic 624"/>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4B78BB" id="Group 622" o:spid="_x0000_s1026" style="position:absolute;margin-left:63.8pt;margin-top:3.4pt;width:467.75pt;height:.25pt;z-index:-156564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LtuA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DBZLLtuAIA&#10;AHcIAAAOAAAAAAAAAAAAAAAAAC4CAABkcnMvZTJvRG9jLnhtbFBLAQItABQABgAIAAAAIQDwBfp2&#10;3gAAAAgBAAAPAAAAAAAAAAAAAAAAABIFAABkcnMvZG93bnJldi54bWxQSwUGAAAAAAQABADzAAAA&#10;HQYAAAAA&#10;">
                <v:shape id="Graphic 623"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" path="m,l3249002,e" filled="f" strokeweight=".25pt">
                  <v:path arrowok="t"/>
                </v:shape>
                <v:shape id="Graphic 624"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" path="m,l2691003,e" filled="f" strokeweight=".25pt">
                  <v:path arrowok="t"/>
                </v:shape>
                <w10:wrap type="topAndBottom" anchorx="page"/>
              </v:group>
            </w:pict>
          </mc:Fallback>
        </mc:AlternateContent>
      </w:r>
    </w:p>
    <w:p w14:paraId="287FED94" w14:textId="77777777" w:rsidR="00AC6F3C" w:rsidRDefault="00570E88">
      <w:pPr>
        <w:tabs>
          <w:tab w:val="left" w:pos="6045"/>
        </w:tabs>
        <w:spacing w:before="68"/>
        <w:ind w:left="928"/>
        <w:rPr>
          <w:sz w:val="20"/>
        </w:rPr>
      </w:pPr>
      <w:r>
        <w:rPr>
          <w:b/>
          <w:sz w:val="20"/>
        </w:rPr>
        <w:t>Litigation</w:t>
      </w:r>
      <w:r>
        <w:rPr>
          <w:b/>
          <w:spacing w:val="-4"/>
          <w:sz w:val="20"/>
        </w:rPr>
        <w:t xml:space="preserve"> </w:t>
      </w:r>
      <w:r>
        <w:rPr>
          <w:b/>
          <w:sz w:val="20"/>
        </w:rPr>
        <w:t>Rules</w:t>
      </w:r>
      <w:r>
        <w:rPr>
          <w:b/>
          <w:spacing w:val="-2"/>
          <w:sz w:val="20"/>
        </w:rPr>
        <w:t xml:space="preserve"> Committee</w:t>
      </w:r>
      <w:r>
        <w:rPr>
          <w:b/>
          <w:sz w:val="20"/>
        </w:rPr>
        <w:tab/>
      </w:r>
      <w:r>
        <w:rPr>
          <w:sz w:val="20"/>
        </w:rPr>
        <w:t>Chair:</w:t>
      </w:r>
      <w:r>
        <w:rPr>
          <w:spacing w:val="-14"/>
          <w:sz w:val="20"/>
        </w:rPr>
        <w:t xml:space="preserve"> </w:t>
      </w:r>
      <w:r>
        <w:rPr>
          <w:sz w:val="20"/>
        </w:rPr>
        <w:t>Andrew</w:t>
      </w:r>
      <w:r>
        <w:rPr>
          <w:spacing w:val="-2"/>
          <w:sz w:val="20"/>
        </w:rPr>
        <w:t xml:space="preserve"> Shute</w:t>
      </w:r>
    </w:p>
    <w:p w14:paraId="4ECA03FB" w14:textId="77777777" w:rsidR="00AC6F3C" w:rsidRDefault="00570E88">
      <w:pPr>
        <w:pStyle w:val="BodyText"/>
        <w:spacing w:before="181"/>
        <w:ind w:left="6045"/>
      </w:pPr>
      <w:r>
        <w:t>Deputy</w:t>
      </w:r>
      <w:r>
        <w:rPr>
          <w:spacing w:val="-3"/>
        </w:rPr>
        <w:t xml:space="preserve"> </w:t>
      </w:r>
      <w:r>
        <w:t>Chair:</w:t>
      </w:r>
      <w:r>
        <w:rPr>
          <w:spacing w:val="-1"/>
        </w:rPr>
        <w:t xml:space="preserve"> </w:t>
      </w:r>
      <w:r>
        <w:t>John</w:t>
      </w:r>
      <w:r>
        <w:rPr>
          <w:spacing w:val="-1"/>
        </w:rPr>
        <w:t xml:space="preserve"> </w:t>
      </w:r>
      <w:r>
        <w:rPr>
          <w:spacing w:val="-2"/>
        </w:rPr>
        <w:t>Hayward</w:t>
      </w:r>
    </w:p>
    <w:p w14:paraId="37079D62" w14:textId="77777777" w:rsidR="00AC6F3C" w:rsidRDefault="00570E88">
      <w:pPr>
        <w:pStyle w:val="BodyText"/>
        <w:spacing w:before="9"/>
        <w:rPr>
          <w:sz w:val="3"/>
        </w:rPr>
      </w:pPr>
      <w:r>
        <w:rPr>
          <w:noProof/>
        </w:rPr>
        <mc:AlternateContent>
          <mc:Choice Requires="wpg">
            <w:drawing>
              <wp:anchor distT="0" distB="0" distL="0" distR="0" simplePos="0" relativeHeight="487660544" behindDoc="1" locked="0" layoutInCell="1" allowOverlap="1" wp14:anchorId="1A0C3FD9" wp14:editId="62FA1F94">
                <wp:simplePos x="0" y="0"/>
                <wp:positionH relativeFrom="page">
                  <wp:posOffset>809999</wp:posOffset>
                </wp:positionH>
                <wp:positionV relativeFrom="paragraph">
                  <wp:posOffset>43494</wp:posOffset>
                </wp:positionV>
                <wp:extent cx="5940425" cy="3175"/>
                <wp:effectExtent l="0" t="0" r="0" b="0"/>
                <wp:wrapTopAndBottom/>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26" name="Graphic 62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27" name="Graphic 62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4A0B01" id="Group 625" o:spid="_x0000_s1026" style="position:absolute;margin-left:63.8pt;margin-top:3.4pt;width:467.75pt;height:.25pt;z-index:-1565593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mfYF2bYCAAB3&#10;CAAADgAAAAAAAAAAAAAAAAAuAgAAZHJzL2Uyb0RvYy54bWxQSwECLQAUAAYACAAAACEA8AX6dt4A&#10;AAAIAQAADwAAAAAAAAAAAAAAAAAQBQAAZHJzL2Rvd25yZXYueG1sUEsFBgAAAAAEAAQA8wAAABsG&#10;AAAAAA==&#10;">
                <v:shape id="Graphic 62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" path="m,l3249002,e" filled="f" strokeweight=".25pt">
                  <v:path arrowok="t"/>
                </v:shape>
                <v:shape id="Graphic 62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" path="m,l2691003,e" filled="f" strokeweight=".25pt">
                  <v:path arrowok="t"/>
                </v:shape>
                <w10:wrap type="topAndBottom" anchorx="page"/>
              </v:group>
            </w:pict>
          </mc:Fallback>
        </mc:AlternateContent>
      </w:r>
    </w:p>
    <w:p w14:paraId="3A2D9357" w14:textId="77777777" w:rsidR="00AC6F3C" w:rsidRDefault="00570E88">
      <w:pPr>
        <w:tabs>
          <w:tab w:val="left" w:pos="6045"/>
        </w:tabs>
        <w:spacing w:before="68"/>
        <w:ind w:left="928"/>
        <w:rPr>
          <w:sz w:val="20"/>
        </w:rPr>
      </w:pPr>
      <w:r>
        <w:rPr>
          <w:b/>
          <w:sz w:val="20"/>
        </w:rPr>
        <w:t xml:space="preserve">Migration Law </w:t>
      </w:r>
      <w:r>
        <w:rPr>
          <w:b/>
          <w:spacing w:val="-2"/>
          <w:sz w:val="20"/>
        </w:rPr>
        <w:t>Committee</w:t>
      </w:r>
      <w:r>
        <w:rPr>
          <w:b/>
          <w:sz w:val="20"/>
        </w:rPr>
        <w:tab/>
      </w:r>
      <w:r>
        <w:rPr>
          <w:spacing w:val="-2"/>
          <w:sz w:val="20"/>
        </w:rPr>
        <w:t>Chair:</w:t>
      </w:r>
      <w:r>
        <w:rPr>
          <w:spacing w:val="-7"/>
          <w:sz w:val="20"/>
        </w:rPr>
        <w:t xml:space="preserve"> </w:t>
      </w:r>
      <w:r>
        <w:rPr>
          <w:spacing w:val="-2"/>
          <w:sz w:val="20"/>
        </w:rPr>
        <w:t xml:space="preserve">Taya </w:t>
      </w:r>
      <w:r>
        <w:rPr>
          <w:spacing w:val="-4"/>
          <w:sz w:val="20"/>
        </w:rPr>
        <w:t>Hunt</w:t>
      </w:r>
    </w:p>
    <w:p w14:paraId="017A492D" w14:textId="77777777" w:rsidR="00AC6F3C" w:rsidRDefault="00570E88">
      <w:pPr>
        <w:pStyle w:val="BodyText"/>
        <w:spacing w:before="180"/>
        <w:ind w:left="6045"/>
      </w:pPr>
      <w:r>
        <w:t>Deputy</w:t>
      </w:r>
      <w:r>
        <w:rPr>
          <w:spacing w:val="-4"/>
        </w:rPr>
        <w:t xml:space="preserve"> </w:t>
      </w:r>
      <w:r>
        <w:t>Chair:</w:t>
      </w:r>
      <w:r>
        <w:rPr>
          <w:spacing w:val="-3"/>
        </w:rPr>
        <w:t xml:space="preserve"> </w:t>
      </w:r>
      <w:r>
        <w:t>Victoria</w:t>
      </w:r>
      <w:r>
        <w:rPr>
          <w:spacing w:val="-3"/>
        </w:rPr>
        <w:t xml:space="preserve"> </w:t>
      </w:r>
      <w:r>
        <w:rPr>
          <w:spacing w:val="-2"/>
        </w:rPr>
        <w:t>Lenton</w:t>
      </w:r>
    </w:p>
    <w:p w14:paraId="4B55EB49" w14:textId="77777777" w:rsidR="00AC6F3C" w:rsidRDefault="00570E88">
      <w:pPr>
        <w:pStyle w:val="BodyText"/>
        <w:spacing w:before="10"/>
        <w:rPr>
          <w:sz w:val="3"/>
        </w:rPr>
      </w:pPr>
      <w:r>
        <w:rPr>
          <w:noProof/>
        </w:rPr>
        <mc:AlternateContent>
          <mc:Choice Requires="wpg">
            <w:drawing>
              <wp:anchor distT="0" distB="0" distL="0" distR="0" simplePos="0" relativeHeight="487661056" behindDoc="1" locked="0" layoutInCell="1" allowOverlap="1" wp14:anchorId="309A5000" wp14:editId="2AFBE4AC">
                <wp:simplePos x="0" y="0"/>
                <wp:positionH relativeFrom="page">
                  <wp:posOffset>809999</wp:posOffset>
                </wp:positionH>
                <wp:positionV relativeFrom="paragraph">
                  <wp:posOffset>44129</wp:posOffset>
                </wp:positionV>
                <wp:extent cx="5940425" cy="3175"/>
                <wp:effectExtent l="0" t="0" r="0" b="0"/>
                <wp:wrapTopAndBottom/>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29" name="Graphic 62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30" name="Graphic 63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2EF45E" id="Group 628" o:spid="_x0000_s1026" style="position:absolute;margin-left:63.8pt;margin-top:3.45pt;width:467.75pt;height:.25pt;z-index:-1565542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">
                <v:shape id="Graphic 62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" path="m,l3249002,e" filled="f" strokeweight=".25pt">
                  <v:path arrowok="t"/>
                </v:shape>
                <v:shape id="Graphic 63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" path="m,l2691003,e" filled="f" strokeweight=".25pt">
                  <v:path arrowok="t"/>
                </v:shape>
                <w10:wrap type="topAndBottom" anchorx="page"/>
              </v:group>
            </w:pict>
          </mc:Fallback>
        </mc:AlternateContent>
      </w:r>
    </w:p>
    <w:p w14:paraId="3A30223E" w14:textId="77777777" w:rsidR="00AC6F3C" w:rsidRDefault="00570E88">
      <w:pPr>
        <w:tabs>
          <w:tab w:val="left" w:pos="6045"/>
        </w:tabs>
        <w:spacing w:before="68" w:line="427" w:lineRule="auto"/>
        <w:ind w:left="6045" w:right="1714" w:hanging="5117"/>
        <w:rPr>
          <w:sz w:val="20"/>
        </w:rPr>
      </w:pPr>
      <w:r>
        <w:rPr>
          <w:b/>
          <w:sz w:val="20"/>
        </w:rPr>
        <w:t>Not-For-Profit Law Committee</w:t>
      </w:r>
      <w:r>
        <w:rPr>
          <w:b/>
          <w:sz w:val="20"/>
        </w:rPr>
        <w:tab/>
      </w:r>
      <w:r>
        <w:rPr>
          <w:sz w:val="20"/>
        </w:rPr>
        <w:t>Chair: Paul Paxton-Hall Deputy</w:t>
      </w:r>
      <w:r>
        <w:rPr>
          <w:spacing w:val="-11"/>
          <w:sz w:val="20"/>
        </w:rPr>
        <w:t xml:space="preserve"> </w:t>
      </w:r>
      <w:r>
        <w:rPr>
          <w:sz w:val="20"/>
        </w:rPr>
        <w:t>Chair:</w:t>
      </w:r>
      <w:r>
        <w:rPr>
          <w:spacing w:val="-11"/>
          <w:sz w:val="20"/>
        </w:rPr>
        <w:t xml:space="preserve"> </w:t>
      </w:r>
      <w:r>
        <w:rPr>
          <w:sz w:val="20"/>
        </w:rPr>
        <w:t>Sonya</w:t>
      </w:r>
      <w:r>
        <w:rPr>
          <w:spacing w:val="-11"/>
          <w:sz w:val="20"/>
        </w:rPr>
        <w:t xml:space="preserve"> </w:t>
      </w:r>
      <w:r>
        <w:rPr>
          <w:sz w:val="20"/>
        </w:rPr>
        <w:t>Beyers</w:t>
      </w:r>
    </w:p>
    <w:p w14:paraId="639E77D8"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804416" behindDoc="0" locked="0" layoutInCell="1" allowOverlap="1" wp14:anchorId="1C8057B4" wp14:editId="02B1573B">
                <wp:simplePos x="0" y="0"/>
                <wp:positionH relativeFrom="page">
                  <wp:posOffset>809999</wp:posOffset>
                </wp:positionH>
                <wp:positionV relativeFrom="paragraph">
                  <wp:posOffset>-69816</wp:posOffset>
                </wp:positionV>
                <wp:extent cx="5940425" cy="317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32" name="Graphic 63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33" name="Graphic 63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7AAE30" id="Group 631" o:spid="_x0000_s1026" style="position:absolute;margin-left:63.8pt;margin-top:-5.5pt;width:467.75pt;height:.25pt;z-index:1580441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PFtw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">
                <v:shape id="Graphic 63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" path="m,l3249002,e" filled="f" strokeweight=".25pt">
                  <v:path arrowok="t"/>
                </v:shape>
                <v:shape id="Graphic 63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" path="m,l2691003,e" filled="f" strokeweight=".25pt">
                  <v:path arrowok="t"/>
                </v:shape>
                <w10:wrap anchorx="page"/>
              </v:group>
            </w:pict>
          </mc:Fallback>
        </mc:AlternateContent>
      </w:r>
      <w:r>
        <w:rPr>
          <w:b/>
          <w:sz w:val="20"/>
        </w:rPr>
        <w:t>Occupational</w:t>
      </w:r>
      <w:r>
        <w:rPr>
          <w:b/>
          <w:spacing w:val="-3"/>
          <w:sz w:val="20"/>
        </w:rPr>
        <w:t xml:space="preserve"> </w:t>
      </w:r>
      <w:r>
        <w:rPr>
          <w:b/>
          <w:sz w:val="20"/>
        </w:rPr>
        <w:t>Discipline</w:t>
      </w:r>
      <w:r>
        <w:rPr>
          <w:b/>
          <w:spacing w:val="-3"/>
          <w:sz w:val="20"/>
        </w:rPr>
        <w:t xml:space="preserve"> </w:t>
      </w:r>
      <w:r>
        <w:rPr>
          <w:b/>
          <w:sz w:val="20"/>
        </w:rPr>
        <w:t>Law</w:t>
      </w:r>
      <w:r>
        <w:rPr>
          <w:b/>
          <w:spacing w:val="-3"/>
          <w:sz w:val="20"/>
        </w:rPr>
        <w:t xml:space="preserve"> </w:t>
      </w:r>
      <w:r>
        <w:rPr>
          <w:b/>
          <w:spacing w:val="-2"/>
          <w:sz w:val="20"/>
        </w:rPr>
        <w:t>Committee</w:t>
      </w:r>
      <w:r>
        <w:rPr>
          <w:b/>
          <w:sz w:val="20"/>
        </w:rPr>
        <w:tab/>
      </w:r>
      <w:r>
        <w:rPr>
          <w:sz w:val="20"/>
        </w:rPr>
        <w:t>Chair:</w:t>
      </w:r>
      <w:r>
        <w:rPr>
          <w:spacing w:val="-3"/>
          <w:sz w:val="20"/>
        </w:rPr>
        <w:t xml:space="preserve"> </w:t>
      </w:r>
      <w:r>
        <w:rPr>
          <w:sz w:val="20"/>
        </w:rPr>
        <w:t>Calvin</w:t>
      </w:r>
      <w:r>
        <w:rPr>
          <w:spacing w:val="-2"/>
          <w:sz w:val="20"/>
        </w:rPr>
        <w:t xml:space="preserve"> Gnech</w:t>
      </w:r>
    </w:p>
    <w:p w14:paraId="516872B5" w14:textId="77777777" w:rsidR="00AC6F3C" w:rsidRDefault="00570E88">
      <w:pPr>
        <w:tabs>
          <w:tab w:val="left" w:pos="6045"/>
        </w:tabs>
        <w:spacing w:before="180" w:line="388" w:lineRule="auto"/>
        <w:ind w:left="928" w:right="1614" w:firstLine="5116"/>
        <w:rPr>
          <w:sz w:val="20"/>
        </w:rPr>
      </w:pPr>
      <w:r>
        <w:rPr>
          <w:noProof/>
        </w:rPr>
        <mc:AlternateContent>
          <mc:Choice Requires="wpg">
            <w:drawing>
              <wp:anchor distT="0" distB="0" distL="0" distR="0" simplePos="0" relativeHeight="472909824" behindDoc="1" locked="0" layoutInCell="1" allowOverlap="1" wp14:anchorId="686C26CE" wp14:editId="1819ABC5">
                <wp:simplePos x="0" y="0"/>
                <wp:positionH relativeFrom="page">
                  <wp:posOffset>809999</wp:posOffset>
                </wp:positionH>
                <wp:positionV relativeFrom="paragraph">
                  <wp:posOffset>304063</wp:posOffset>
                </wp:positionV>
                <wp:extent cx="5940425" cy="317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35" name="Graphic 63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36" name="Graphic 63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4A4039" id="Group 634" o:spid="_x0000_s1026" style="position:absolute;margin-left:63.8pt;margin-top:23.95pt;width:467.75pt;height:.25pt;z-index:-3040665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Yrtg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">
                <v:shape id="Graphic 63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" path="m,l3249002,e" filled="f" strokeweight=".25pt">
                  <v:path arrowok="t"/>
                </v:shape>
                <v:shape id="Graphic 63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" path="m,l2691003,e" filled="f" strokeweight=".25pt">
                  <v:path arrowok="t"/>
                </v:shape>
                <w10:wrap anchorx="page"/>
              </v:group>
            </w:pict>
          </mc:Fallback>
        </mc:AlternateContent>
      </w:r>
      <w:r>
        <w:rPr>
          <w:noProof/>
        </w:rPr>
        <mc:AlternateContent>
          <mc:Choice Requires="wpg">
            <w:drawing>
              <wp:anchor distT="0" distB="0" distL="0" distR="0" simplePos="0" relativeHeight="472910336" behindDoc="1" locked="0" layoutInCell="1" allowOverlap="1" wp14:anchorId="2BDF6382" wp14:editId="33F93BE2">
                <wp:simplePos x="0" y="0"/>
                <wp:positionH relativeFrom="page">
                  <wp:posOffset>809999</wp:posOffset>
                </wp:positionH>
                <wp:positionV relativeFrom="paragraph">
                  <wp:posOffset>540522</wp:posOffset>
                </wp:positionV>
                <wp:extent cx="5940425" cy="317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38" name="Graphic 638"/>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39" name="Graphic 639"/>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961080" id="Group 637" o:spid="_x0000_s1026" style="position:absolute;margin-left:63.8pt;margin-top:42.55pt;width:467.75pt;height:.25pt;z-index:-3040614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6atg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">
                <v:shape id="Graphic 638"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" path="m,l3249002,e" filled="f" strokeweight=".25pt">
                  <v:path arrowok="t"/>
                </v:shape>
                <v:shape id="Graphic 639"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" path="m,l2691003,e" filled="f" strokeweight=".25pt">
                  <v:path arrowok="t"/>
                </v:shape>
                <w10:wrap anchorx="page"/>
              </v:group>
            </w:pict>
          </mc:Fallback>
        </mc:AlternateContent>
      </w:r>
      <w:r>
        <w:rPr>
          <w:sz w:val="20"/>
        </w:rPr>
        <w:t>Deputy</w:t>
      </w:r>
      <w:r>
        <w:rPr>
          <w:spacing w:val="-14"/>
          <w:sz w:val="20"/>
        </w:rPr>
        <w:t xml:space="preserve"> </w:t>
      </w:r>
      <w:r>
        <w:rPr>
          <w:sz w:val="20"/>
        </w:rPr>
        <w:t>Chair:</w:t>
      </w:r>
      <w:r>
        <w:rPr>
          <w:spacing w:val="-14"/>
          <w:sz w:val="20"/>
        </w:rPr>
        <w:t xml:space="preserve"> </w:t>
      </w:r>
      <w:r>
        <w:rPr>
          <w:sz w:val="20"/>
        </w:rPr>
        <w:t>Andrew</w:t>
      </w:r>
      <w:r>
        <w:rPr>
          <w:spacing w:val="-14"/>
          <w:sz w:val="20"/>
        </w:rPr>
        <w:t xml:space="preserve"> </w:t>
      </w:r>
      <w:r>
        <w:rPr>
          <w:sz w:val="20"/>
        </w:rPr>
        <w:t xml:space="preserve">Forbes </w:t>
      </w:r>
      <w:r>
        <w:rPr>
          <w:b/>
          <w:sz w:val="20"/>
        </w:rPr>
        <w:t>Planning and Environment Law Committee</w:t>
      </w:r>
      <w:r>
        <w:rPr>
          <w:b/>
          <w:sz w:val="20"/>
        </w:rPr>
        <w:tab/>
      </w:r>
      <w:r>
        <w:rPr>
          <w:sz w:val="20"/>
        </w:rPr>
        <w:t xml:space="preserve">Chair: Michael Connor </w:t>
      </w:r>
      <w:r>
        <w:rPr>
          <w:b/>
          <w:sz w:val="20"/>
        </w:rPr>
        <w:t>Practice Management Course Committee</w:t>
      </w:r>
      <w:r>
        <w:rPr>
          <w:b/>
          <w:sz w:val="20"/>
        </w:rPr>
        <w:tab/>
      </w:r>
      <w:r>
        <w:rPr>
          <w:sz w:val="20"/>
        </w:rPr>
        <w:t xml:space="preserve">Chair: Greg </w:t>
      </w:r>
      <w:proofErr w:type="spellStart"/>
      <w:r>
        <w:rPr>
          <w:sz w:val="20"/>
        </w:rPr>
        <w:t>Spinda</w:t>
      </w:r>
      <w:proofErr w:type="spellEnd"/>
    </w:p>
    <w:p w14:paraId="2F057068" w14:textId="77777777" w:rsidR="00AC6F3C" w:rsidRDefault="00570E88">
      <w:pPr>
        <w:pStyle w:val="BodyText"/>
        <w:spacing w:before="37"/>
        <w:ind w:left="6045"/>
      </w:pPr>
      <w:r>
        <w:t>Deputy</w:t>
      </w:r>
      <w:r>
        <w:rPr>
          <w:spacing w:val="-2"/>
        </w:rPr>
        <w:t xml:space="preserve"> </w:t>
      </w:r>
      <w:r>
        <w:t>Chair:</w:t>
      </w:r>
      <w:r>
        <w:rPr>
          <w:spacing w:val="-2"/>
        </w:rPr>
        <w:t xml:space="preserve"> </w:t>
      </w:r>
      <w:r>
        <w:t>Natasha</w:t>
      </w:r>
      <w:r>
        <w:rPr>
          <w:spacing w:val="-2"/>
        </w:rPr>
        <w:t xml:space="preserve"> </w:t>
      </w:r>
      <w:r>
        <w:rPr>
          <w:spacing w:val="-4"/>
        </w:rPr>
        <w:t>Hood</w:t>
      </w:r>
    </w:p>
    <w:p w14:paraId="7EB619C6" w14:textId="77777777" w:rsidR="00AC6F3C" w:rsidRDefault="00570E88">
      <w:pPr>
        <w:pStyle w:val="BodyText"/>
        <w:spacing w:before="10"/>
        <w:rPr>
          <w:sz w:val="3"/>
        </w:rPr>
      </w:pPr>
      <w:r>
        <w:rPr>
          <w:noProof/>
        </w:rPr>
        <mc:AlternateContent>
          <mc:Choice Requires="wpg">
            <w:drawing>
              <wp:anchor distT="0" distB="0" distL="0" distR="0" simplePos="0" relativeHeight="487661568" behindDoc="1" locked="0" layoutInCell="1" allowOverlap="1" wp14:anchorId="7B7B15C7" wp14:editId="3BFF7AD7">
                <wp:simplePos x="0" y="0"/>
                <wp:positionH relativeFrom="page">
                  <wp:posOffset>809999</wp:posOffset>
                </wp:positionH>
                <wp:positionV relativeFrom="paragraph">
                  <wp:posOffset>44246</wp:posOffset>
                </wp:positionV>
                <wp:extent cx="5940425" cy="3175"/>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41" name="Graphic 641"/>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42" name="Graphic 642"/>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C69957" id="Group 640" o:spid="_x0000_s1026" style="position:absolute;margin-left:63.8pt;margin-top:3.5pt;width:467.75pt;height:.25pt;z-index:-1565491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">
                <v:shape id="Graphic 641"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" path="m,l3249002,e" filled="f" strokeweight=".25pt">
                  <v:path arrowok="t"/>
                </v:shape>
                <v:shape id="Graphic 642"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" path="m,l2691003,e" filled="f" strokeweight=".25pt">
                  <v:path arrowok="t"/>
                </v:shape>
                <w10:wrap type="topAndBottom" anchorx="page"/>
              </v:group>
            </w:pict>
          </mc:Fallback>
        </mc:AlternateContent>
      </w:r>
    </w:p>
    <w:p w14:paraId="2B07B286" w14:textId="77777777" w:rsidR="00AC6F3C" w:rsidRDefault="00570E88">
      <w:pPr>
        <w:tabs>
          <w:tab w:val="left" w:pos="6045"/>
        </w:tabs>
        <w:spacing w:before="68" w:line="427" w:lineRule="auto"/>
        <w:ind w:left="6045" w:right="2030" w:hanging="5117"/>
        <w:rPr>
          <w:sz w:val="20"/>
        </w:rPr>
      </w:pPr>
      <w:r>
        <w:rPr>
          <w:b/>
          <w:sz w:val="20"/>
        </w:rPr>
        <w:t>Privacy and Data Law Committee</w:t>
      </w:r>
      <w:r>
        <w:rPr>
          <w:b/>
          <w:sz w:val="20"/>
        </w:rPr>
        <w:tab/>
      </w:r>
      <w:r>
        <w:rPr>
          <w:sz w:val="20"/>
        </w:rPr>
        <w:t>Chair: Anna Sharpe Deputy</w:t>
      </w:r>
      <w:r>
        <w:rPr>
          <w:spacing w:val="-12"/>
          <w:sz w:val="20"/>
        </w:rPr>
        <w:t xml:space="preserve"> </w:t>
      </w:r>
      <w:r>
        <w:rPr>
          <w:sz w:val="20"/>
        </w:rPr>
        <w:t>Chair:</w:t>
      </w:r>
      <w:r>
        <w:rPr>
          <w:spacing w:val="-12"/>
          <w:sz w:val="20"/>
        </w:rPr>
        <w:t xml:space="preserve"> </w:t>
      </w:r>
      <w:r>
        <w:rPr>
          <w:sz w:val="20"/>
        </w:rPr>
        <w:t>Ben</w:t>
      </w:r>
      <w:r>
        <w:rPr>
          <w:spacing w:val="-14"/>
          <w:sz w:val="20"/>
        </w:rPr>
        <w:t xml:space="preserve"> </w:t>
      </w:r>
      <w:r>
        <w:rPr>
          <w:sz w:val="20"/>
        </w:rPr>
        <w:t>Thorn</w:t>
      </w:r>
    </w:p>
    <w:p w14:paraId="6158803E" w14:textId="77777777" w:rsidR="00AC6F3C" w:rsidRDefault="00570E88">
      <w:pPr>
        <w:tabs>
          <w:tab w:val="left" w:pos="6045"/>
        </w:tabs>
        <w:spacing w:line="194" w:lineRule="exact"/>
        <w:ind w:left="928"/>
        <w:rPr>
          <w:sz w:val="20"/>
        </w:rPr>
      </w:pPr>
      <w:r>
        <w:rPr>
          <w:noProof/>
        </w:rPr>
        <mc:AlternateContent>
          <mc:Choice Requires="wpg">
            <w:drawing>
              <wp:anchor distT="0" distB="0" distL="0" distR="0" simplePos="0" relativeHeight="15805952" behindDoc="0" locked="0" layoutInCell="1" allowOverlap="1" wp14:anchorId="53185435" wp14:editId="676367BE">
                <wp:simplePos x="0" y="0"/>
                <wp:positionH relativeFrom="page">
                  <wp:posOffset>809999</wp:posOffset>
                </wp:positionH>
                <wp:positionV relativeFrom="paragraph">
                  <wp:posOffset>-69724</wp:posOffset>
                </wp:positionV>
                <wp:extent cx="5940425" cy="3175"/>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44" name="Graphic 644"/>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45" name="Graphic 645"/>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D76B8F" id="Group 643" o:spid="_x0000_s1026" style="position:absolute;margin-left:63.8pt;margin-top:-5.5pt;width:467.75pt;height:.25pt;z-index:1580595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">
                <v:shape id="Graphic 644"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" path="m,l3249002,e" filled="f" strokeweight=".25pt">
                  <v:path arrowok="t"/>
                </v:shape>
                <v:shape id="Graphic 645"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" path="m,l2691003,e" filled="f" strokeweight=".25pt">
                  <v:path arrowok="t"/>
                </v:shape>
                <w10:wrap anchorx="page"/>
              </v:group>
            </w:pict>
          </mc:Fallback>
        </mc:AlternateContent>
      </w:r>
      <w:r>
        <w:rPr>
          <w:b/>
          <w:sz w:val="20"/>
        </w:rPr>
        <w:t xml:space="preserve">Professional Conduct </w:t>
      </w:r>
      <w:r>
        <w:rPr>
          <w:b/>
          <w:spacing w:val="-2"/>
          <w:sz w:val="20"/>
        </w:rPr>
        <w:t>Committee</w:t>
      </w:r>
      <w:r>
        <w:rPr>
          <w:b/>
          <w:sz w:val="20"/>
        </w:rPr>
        <w:tab/>
      </w:r>
      <w:r>
        <w:rPr>
          <w:sz w:val="20"/>
        </w:rPr>
        <w:t>Chair:</w:t>
      </w:r>
      <w:r>
        <w:rPr>
          <w:spacing w:val="-3"/>
          <w:sz w:val="20"/>
        </w:rPr>
        <w:t xml:space="preserve"> </w:t>
      </w:r>
      <w:r>
        <w:rPr>
          <w:sz w:val="20"/>
        </w:rPr>
        <w:t>Michael</w:t>
      </w:r>
      <w:r>
        <w:rPr>
          <w:spacing w:val="-3"/>
          <w:sz w:val="20"/>
        </w:rPr>
        <w:t xml:space="preserve"> </w:t>
      </w:r>
      <w:r>
        <w:rPr>
          <w:spacing w:val="-2"/>
          <w:sz w:val="20"/>
        </w:rPr>
        <w:t>Gapes</w:t>
      </w:r>
    </w:p>
    <w:p w14:paraId="1B3CA1E4" w14:textId="77777777" w:rsidR="00AC6F3C" w:rsidRDefault="00570E88">
      <w:pPr>
        <w:pStyle w:val="BodyText"/>
        <w:spacing w:before="10"/>
        <w:rPr>
          <w:sz w:val="3"/>
        </w:rPr>
      </w:pPr>
      <w:r>
        <w:rPr>
          <w:noProof/>
        </w:rPr>
        <mc:AlternateContent>
          <mc:Choice Requires="wpg">
            <w:drawing>
              <wp:anchor distT="0" distB="0" distL="0" distR="0" simplePos="0" relativeHeight="487662080" behindDoc="1" locked="0" layoutInCell="1" allowOverlap="1" wp14:anchorId="6B8FD2D7" wp14:editId="079874C0">
                <wp:simplePos x="0" y="0"/>
                <wp:positionH relativeFrom="page">
                  <wp:posOffset>809999</wp:posOffset>
                </wp:positionH>
                <wp:positionV relativeFrom="paragraph">
                  <wp:posOffset>44103</wp:posOffset>
                </wp:positionV>
                <wp:extent cx="5940425" cy="3175"/>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47" name="Graphic 647"/>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48" name="Graphic 648"/>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7824B6" id="Group 646" o:spid="_x0000_s1026" style="position:absolute;margin-left:63.8pt;margin-top:3.45pt;width:467.75pt;height:.25pt;z-index:-1565440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">
                <v:shape id="Graphic 647"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" path="m,l3249002,e" filled="f" strokeweight=".25pt">
                  <v:path arrowok="t"/>
                </v:shape>
                <v:shape id="Graphic 648"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" path="m,l2691003,e" filled="f" strokeweight=".25pt">
                  <v:path arrowok="t"/>
                </v:shape>
                <w10:wrap type="topAndBottom" anchorx="page"/>
              </v:group>
            </w:pict>
          </mc:Fallback>
        </mc:AlternateContent>
      </w:r>
    </w:p>
    <w:p w14:paraId="001B79BB" w14:textId="77777777" w:rsidR="00AC6F3C" w:rsidRDefault="00570E88">
      <w:pPr>
        <w:tabs>
          <w:tab w:val="left" w:pos="6045"/>
        </w:tabs>
        <w:spacing w:before="68"/>
        <w:ind w:left="928"/>
        <w:rPr>
          <w:sz w:val="20"/>
        </w:rPr>
      </w:pPr>
      <w:r>
        <w:rPr>
          <w:b/>
          <w:sz w:val="20"/>
        </w:rPr>
        <w:t>Property</w:t>
      </w:r>
      <w:r>
        <w:rPr>
          <w:b/>
          <w:spacing w:val="-2"/>
          <w:sz w:val="20"/>
        </w:rPr>
        <w:t xml:space="preserve"> </w:t>
      </w:r>
      <w:r>
        <w:rPr>
          <w:b/>
          <w:sz w:val="20"/>
        </w:rPr>
        <w:t>and</w:t>
      </w:r>
      <w:r>
        <w:rPr>
          <w:b/>
          <w:spacing w:val="-2"/>
          <w:sz w:val="20"/>
        </w:rPr>
        <w:t xml:space="preserve"> </w:t>
      </w:r>
      <w:r>
        <w:rPr>
          <w:b/>
          <w:sz w:val="20"/>
        </w:rPr>
        <w:t>Development</w:t>
      </w:r>
      <w:r>
        <w:rPr>
          <w:b/>
          <w:spacing w:val="-2"/>
          <w:sz w:val="20"/>
        </w:rPr>
        <w:t xml:space="preserve"> </w:t>
      </w:r>
      <w:r>
        <w:rPr>
          <w:b/>
          <w:sz w:val="20"/>
        </w:rPr>
        <w:t>Law</w:t>
      </w:r>
      <w:r>
        <w:rPr>
          <w:b/>
          <w:spacing w:val="-1"/>
          <w:sz w:val="20"/>
        </w:rPr>
        <w:t xml:space="preserve"> </w:t>
      </w:r>
      <w:r>
        <w:rPr>
          <w:b/>
          <w:spacing w:val="-2"/>
          <w:sz w:val="20"/>
        </w:rPr>
        <w:t>Committee</w:t>
      </w:r>
      <w:r>
        <w:rPr>
          <w:b/>
          <w:sz w:val="20"/>
        </w:rPr>
        <w:tab/>
      </w:r>
      <w:r>
        <w:rPr>
          <w:sz w:val="20"/>
        </w:rPr>
        <w:t>Chair:</w:t>
      </w:r>
      <w:r>
        <w:rPr>
          <w:spacing w:val="-3"/>
          <w:sz w:val="20"/>
        </w:rPr>
        <w:t xml:space="preserve"> </w:t>
      </w:r>
      <w:r>
        <w:rPr>
          <w:sz w:val="20"/>
        </w:rPr>
        <w:t>Matthew</w:t>
      </w:r>
      <w:r>
        <w:rPr>
          <w:spacing w:val="-3"/>
          <w:sz w:val="20"/>
        </w:rPr>
        <w:t xml:space="preserve"> </w:t>
      </w:r>
      <w:r>
        <w:rPr>
          <w:spacing w:val="-2"/>
          <w:sz w:val="20"/>
        </w:rPr>
        <w:t>Raven</w:t>
      </w:r>
    </w:p>
    <w:p w14:paraId="39199C81" w14:textId="77777777" w:rsidR="00AC6F3C" w:rsidRDefault="00570E88">
      <w:pPr>
        <w:pStyle w:val="BodyText"/>
        <w:spacing w:before="180"/>
        <w:ind w:left="6045"/>
      </w:pPr>
      <w:r>
        <w:t>Deputy Chair: Kim</w:t>
      </w:r>
      <w:r>
        <w:rPr>
          <w:spacing w:val="-4"/>
        </w:rPr>
        <w:t xml:space="preserve"> </w:t>
      </w:r>
      <w:r>
        <w:rPr>
          <w:spacing w:val="-2"/>
        </w:rPr>
        <w:t>Teague</w:t>
      </w:r>
    </w:p>
    <w:p w14:paraId="2695C2BB" w14:textId="77777777" w:rsidR="00AC6F3C" w:rsidRDefault="00570E88">
      <w:pPr>
        <w:pStyle w:val="BodyText"/>
        <w:spacing w:before="10"/>
        <w:rPr>
          <w:sz w:val="3"/>
        </w:rPr>
      </w:pPr>
      <w:r>
        <w:rPr>
          <w:noProof/>
        </w:rPr>
        <mc:AlternateContent>
          <mc:Choice Requires="wpg">
            <w:drawing>
              <wp:anchor distT="0" distB="0" distL="0" distR="0" simplePos="0" relativeHeight="487662592" behindDoc="1" locked="0" layoutInCell="1" allowOverlap="1" wp14:anchorId="7EC399ED" wp14:editId="30F5116F">
                <wp:simplePos x="0" y="0"/>
                <wp:positionH relativeFrom="page">
                  <wp:posOffset>809999</wp:posOffset>
                </wp:positionH>
                <wp:positionV relativeFrom="paragraph">
                  <wp:posOffset>44128</wp:posOffset>
                </wp:positionV>
                <wp:extent cx="5940425" cy="3175"/>
                <wp:effectExtent l="0" t="0" r="0" b="0"/>
                <wp:wrapTopAndBottom/>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50" name="Graphic 650"/>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51" name="Graphic 651"/>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2F5451" id="Group 649" o:spid="_x0000_s1026" style="position:absolute;margin-left:63.8pt;margin-top:3.45pt;width:467.75pt;height:.25pt;z-index:-1565388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cmtg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JlJBya2AgAA&#10;dwgAAA4AAAAAAAAAAAAAAAAALgIAAGRycy9lMm9Eb2MueG1sUEsBAi0AFAAGAAgAAAAhAC5atKnf&#10;AAAACAEAAA8AAAAAAAAAAAAAAAAAEAUAAGRycy9kb3ducmV2LnhtbFBLBQYAAAAABAAEAPMAAAAc&#10;BgAAAAA=&#10;">
                <v:shape id="Graphic 650"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" path="m,l3249002,e" filled="f" strokeweight=".25pt">
                  <v:path arrowok="t"/>
                </v:shape>
                <v:shape id="Graphic 651"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" path="m,l2691003,e" filled="f" strokeweight=".25pt">
                  <v:path arrowok="t"/>
                </v:shape>
                <w10:wrap type="topAndBottom" anchorx="page"/>
              </v:group>
            </w:pict>
          </mc:Fallback>
        </mc:AlternateContent>
      </w:r>
    </w:p>
    <w:p w14:paraId="5A5C34D5" w14:textId="77777777" w:rsidR="00AC6F3C" w:rsidRDefault="00570E88">
      <w:pPr>
        <w:tabs>
          <w:tab w:val="left" w:pos="6045"/>
        </w:tabs>
        <w:spacing w:before="61" w:line="427" w:lineRule="auto"/>
        <w:ind w:left="6045" w:right="2047" w:hanging="5117"/>
        <w:rPr>
          <w:sz w:val="20"/>
        </w:rPr>
      </w:pPr>
      <w:r>
        <w:rPr>
          <w:b/>
          <w:sz w:val="20"/>
        </w:rPr>
        <w:t>Revenue Law Committee</w:t>
      </w:r>
      <w:r>
        <w:rPr>
          <w:b/>
          <w:sz w:val="20"/>
        </w:rPr>
        <w:tab/>
      </w:r>
      <w:r>
        <w:rPr>
          <w:sz w:val="20"/>
        </w:rPr>
        <w:t>Chair: Duncan Bedford Deputy</w:t>
      </w:r>
      <w:r>
        <w:rPr>
          <w:spacing w:val="-11"/>
          <w:sz w:val="20"/>
        </w:rPr>
        <w:t xml:space="preserve"> </w:t>
      </w:r>
      <w:r>
        <w:rPr>
          <w:sz w:val="20"/>
        </w:rPr>
        <w:t>Chair:</w:t>
      </w:r>
      <w:r>
        <w:rPr>
          <w:spacing w:val="-11"/>
          <w:sz w:val="20"/>
        </w:rPr>
        <w:t xml:space="preserve"> </w:t>
      </w:r>
      <w:r>
        <w:rPr>
          <w:sz w:val="20"/>
        </w:rPr>
        <w:t>David</w:t>
      </w:r>
      <w:r>
        <w:rPr>
          <w:spacing w:val="-11"/>
          <w:sz w:val="20"/>
        </w:rPr>
        <w:t xml:space="preserve"> </w:t>
      </w:r>
      <w:r>
        <w:rPr>
          <w:sz w:val="20"/>
        </w:rPr>
        <w:t>Stitt</w:t>
      </w:r>
    </w:p>
    <w:p w14:paraId="1E63B25D" w14:textId="77777777" w:rsidR="00AC6F3C" w:rsidRDefault="00AC6F3C">
      <w:pPr>
        <w:spacing w:line="427" w:lineRule="auto"/>
        <w:rPr>
          <w:sz w:val="20"/>
        </w:rPr>
        <w:sectPr w:rsidR="00AC6F3C">
          <w:pgSz w:w="11910" w:h="16840"/>
          <w:pgMar w:top="1660" w:right="1160" w:bottom="1760" w:left="460" w:header="1276" w:footer="1565" w:gutter="0"/>
          <w:cols w:space="720"/>
        </w:sectPr>
      </w:pPr>
    </w:p>
    <w:p w14:paraId="71BE4B3C" w14:textId="77777777" w:rsidR="00AC6F3C" w:rsidRDefault="00570E88">
      <w:pPr>
        <w:spacing w:line="201" w:lineRule="exact"/>
        <w:ind w:left="928"/>
        <w:rPr>
          <w:b/>
          <w:sz w:val="20"/>
        </w:rPr>
      </w:pPr>
      <w:r>
        <w:rPr>
          <w:noProof/>
        </w:rPr>
        <mc:AlternateContent>
          <mc:Choice Requires="wpg">
            <w:drawing>
              <wp:anchor distT="0" distB="0" distL="0" distR="0" simplePos="0" relativeHeight="15806464" behindDoc="0" locked="0" layoutInCell="1" allowOverlap="1" wp14:anchorId="44AA9E60" wp14:editId="608A948D">
                <wp:simplePos x="0" y="0"/>
                <wp:positionH relativeFrom="page">
                  <wp:posOffset>809999</wp:posOffset>
                </wp:positionH>
                <wp:positionV relativeFrom="paragraph">
                  <wp:posOffset>-64944</wp:posOffset>
                </wp:positionV>
                <wp:extent cx="5940425" cy="3175"/>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53" name="Graphic 653"/>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54" name="Graphic 654"/>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D472E4" id="Group 652" o:spid="_x0000_s1026" style="position:absolute;margin-left:63.8pt;margin-top:-5.1pt;width:467.75pt;height:.25pt;z-index:1580646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">
                <v:shape id="Graphic 653"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" path="m,l3249002,e" filled="f" strokeweight=".25pt">
                  <v:path arrowok="t"/>
                </v:shape>
                <v:shape id="Graphic 654"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1"/>
          <w:sz w:val="20"/>
        </w:rPr>
        <w:t xml:space="preserve"> </w:t>
      </w:r>
      <w:r>
        <w:rPr>
          <w:b/>
          <w:sz w:val="20"/>
        </w:rPr>
        <w:t>Accreditation</w:t>
      </w:r>
      <w:r>
        <w:rPr>
          <w:b/>
          <w:spacing w:val="-10"/>
          <w:sz w:val="20"/>
        </w:rPr>
        <w:t xml:space="preserve"> </w:t>
      </w:r>
      <w:r>
        <w:rPr>
          <w:b/>
          <w:sz w:val="20"/>
        </w:rPr>
        <w:t>Advisory</w:t>
      </w:r>
      <w:r>
        <w:rPr>
          <w:b/>
          <w:spacing w:val="-2"/>
          <w:sz w:val="20"/>
        </w:rPr>
        <w:t xml:space="preserve"> Committee:</w:t>
      </w:r>
    </w:p>
    <w:p w14:paraId="2C593881" w14:textId="77777777" w:rsidR="00AC6F3C" w:rsidRDefault="00570E88">
      <w:pPr>
        <w:spacing w:before="10"/>
        <w:ind w:left="928"/>
        <w:rPr>
          <w:b/>
          <w:sz w:val="20"/>
        </w:rPr>
      </w:pPr>
      <w:r>
        <w:rPr>
          <w:noProof/>
        </w:rPr>
        <mc:AlternateContent>
          <mc:Choice Requires="wpg">
            <w:drawing>
              <wp:anchor distT="0" distB="0" distL="0" distR="0" simplePos="0" relativeHeight="15806976" behindDoc="0" locked="0" layoutInCell="1" allowOverlap="1" wp14:anchorId="3F71D098" wp14:editId="0C5C3C3A">
                <wp:simplePos x="0" y="0"/>
                <wp:positionH relativeFrom="page">
                  <wp:posOffset>809999</wp:posOffset>
                </wp:positionH>
                <wp:positionV relativeFrom="paragraph">
                  <wp:posOffset>196210</wp:posOffset>
                </wp:positionV>
                <wp:extent cx="5940425" cy="317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56" name="Graphic 65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57" name="Graphic 65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3EBD3D" id="Group 655" o:spid="_x0000_s1026" style="position:absolute;margin-left:63.8pt;margin-top:15.45pt;width:467.75pt;height:.25pt;z-index:1580697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">
                <v:shape id="Graphic 65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" path="m,l3249002,e" filled="f" strokeweight=".25pt">
                  <v:path arrowok="t"/>
                </v:shape>
                <v:shape id="Graphic 65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" path="m,l2691003,e" filled="f" strokeweight=".25pt">
                  <v:path arrowok="t"/>
                </v:shape>
                <w10:wrap anchorx="page"/>
              </v:group>
            </w:pict>
          </mc:Fallback>
        </mc:AlternateContent>
      </w:r>
      <w:r>
        <w:rPr>
          <w:b/>
          <w:sz w:val="20"/>
        </w:rPr>
        <w:t>Business</w:t>
      </w:r>
      <w:r>
        <w:rPr>
          <w:b/>
          <w:spacing w:val="-7"/>
          <w:sz w:val="20"/>
        </w:rPr>
        <w:t xml:space="preserve"> </w:t>
      </w:r>
      <w:r>
        <w:rPr>
          <w:b/>
          <w:spacing w:val="-5"/>
          <w:sz w:val="20"/>
        </w:rPr>
        <w:t>Law</w:t>
      </w:r>
    </w:p>
    <w:p w14:paraId="75D98281" w14:textId="77777777" w:rsidR="00AC6F3C" w:rsidRDefault="00570E88">
      <w:pPr>
        <w:spacing w:before="142" w:line="249" w:lineRule="auto"/>
        <w:ind w:left="928"/>
        <w:rPr>
          <w:b/>
          <w:sz w:val="20"/>
        </w:rPr>
      </w:pPr>
      <w:r>
        <w:rPr>
          <w:noProof/>
        </w:rPr>
        <mc:AlternateContent>
          <mc:Choice Requires="wpg">
            <w:drawing>
              <wp:anchor distT="0" distB="0" distL="0" distR="0" simplePos="0" relativeHeight="15807488" behindDoc="0" locked="0" layoutInCell="1" allowOverlap="1" wp14:anchorId="497F2ADA" wp14:editId="2E9BC65D">
                <wp:simplePos x="0" y="0"/>
                <wp:positionH relativeFrom="page">
                  <wp:posOffset>809999</wp:posOffset>
                </wp:positionH>
                <wp:positionV relativeFrom="paragraph">
                  <wp:posOffset>432415</wp:posOffset>
                </wp:positionV>
                <wp:extent cx="5940425" cy="3175"/>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59" name="Graphic 65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60" name="Graphic 66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72FB36" id="Group 658" o:spid="_x0000_s1026" style="position:absolute;margin-left:63.8pt;margin-top:34.05pt;width:467.75pt;height:.25pt;z-index:1580748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">
                <v:shape id="Graphic 65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" path="m,l3249002,e" filled="f" strokeweight=".25pt">
                  <v:path arrowok="t"/>
                </v:shape>
                <v:shape id="Graphic 66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Commercial Litigation</w:t>
      </w:r>
    </w:p>
    <w:p w14:paraId="3470804E" w14:textId="77777777" w:rsidR="00AC6F3C" w:rsidRDefault="00570E88">
      <w:pPr>
        <w:spacing w:before="134" w:line="249" w:lineRule="auto"/>
        <w:ind w:left="928"/>
        <w:rPr>
          <w:b/>
          <w:sz w:val="20"/>
        </w:rPr>
      </w:pPr>
      <w:r>
        <w:rPr>
          <w:noProof/>
        </w:rPr>
        <mc:AlternateContent>
          <mc:Choice Requires="wpg">
            <w:drawing>
              <wp:anchor distT="0" distB="0" distL="0" distR="0" simplePos="0" relativeHeight="15808000" behindDoc="0" locked="0" layoutInCell="1" allowOverlap="1" wp14:anchorId="2915971B" wp14:editId="3C52BEED">
                <wp:simplePos x="0" y="0"/>
                <wp:positionH relativeFrom="page">
                  <wp:posOffset>809999</wp:posOffset>
                </wp:positionH>
                <wp:positionV relativeFrom="paragraph">
                  <wp:posOffset>427321</wp:posOffset>
                </wp:positionV>
                <wp:extent cx="5940425" cy="317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62" name="Graphic 66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63" name="Graphic 66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167B2C" id="Group 661" o:spid="_x0000_s1026" style="position:absolute;margin-left:63.8pt;margin-top:33.65pt;width:467.75pt;height:.25pt;z-index:1580800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cWtw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">
                <v:shape id="Graphic 66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" path="m,l3249002,e" filled="f" strokeweight=".25pt">
                  <v:path arrowok="t"/>
                </v:shape>
                <v:shape id="Graphic 66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Criminal Law</w:t>
      </w:r>
    </w:p>
    <w:p w14:paraId="5AF70A79" w14:textId="77777777" w:rsidR="00AC6F3C" w:rsidRDefault="00570E88">
      <w:pPr>
        <w:spacing w:before="134" w:line="249" w:lineRule="auto"/>
        <w:ind w:left="928"/>
        <w:rPr>
          <w:b/>
          <w:sz w:val="20"/>
        </w:rPr>
      </w:pPr>
      <w:r>
        <w:rPr>
          <w:noProof/>
        </w:rPr>
        <mc:AlternateContent>
          <mc:Choice Requires="wpg">
            <w:drawing>
              <wp:anchor distT="0" distB="0" distL="0" distR="0" simplePos="0" relativeHeight="15808512" behindDoc="0" locked="0" layoutInCell="1" allowOverlap="1" wp14:anchorId="4D7354F3" wp14:editId="5C8ED9B9">
                <wp:simplePos x="0" y="0"/>
                <wp:positionH relativeFrom="page">
                  <wp:posOffset>809999</wp:posOffset>
                </wp:positionH>
                <wp:positionV relativeFrom="paragraph">
                  <wp:posOffset>427306</wp:posOffset>
                </wp:positionV>
                <wp:extent cx="5940425" cy="317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65" name="Graphic 66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66" name="Graphic 66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06BC07" id="Group 664" o:spid="_x0000_s1026" style="position:absolute;margin-left:63.8pt;margin-top:33.65pt;width:467.75pt;height:.25pt;z-index:1580851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L4tg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">
                <v:shape id="Graphic 66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" path="m,l3249002,e" filled="f" strokeweight=".25pt">
                  <v:path arrowok="t"/>
                </v:shape>
                <v:shape id="Graphic 66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Family Law</w:t>
      </w:r>
    </w:p>
    <w:p w14:paraId="5259B180" w14:textId="77777777" w:rsidR="00AC6F3C" w:rsidRDefault="00570E88">
      <w:pPr>
        <w:spacing w:before="134" w:line="249" w:lineRule="auto"/>
        <w:ind w:left="928"/>
        <w:rPr>
          <w:b/>
          <w:sz w:val="20"/>
        </w:rPr>
      </w:pPr>
      <w:r>
        <w:rPr>
          <w:noProof/>
        </w:rPr>
        <mc:AlternateContent>
          <mc:Choice Requires="wpg">
            <w:drawing>
              <wp:anchor distT="0" distB="0" distL="0" distR="0" simplePos="0" relativeHeight="15809024" behindDoc="0" locked="0" layoutInCell="1" allowOverlap="1" wp14:anchorId="6F437A2D" wp14:editId="0AB306BD">
                <wp:simplePos x="0" y="0"/>
                <wp:positionH relativeFrom="page">
                  <wp:posOffset>809999</wp:posOffset>
                </wp:positionH>
                <wp:positionV relativeFrom="paragraph">
                  <wp:posOffset>427292</wp:posOffset>
                </wp:positionV>
                <wp:extent cx="5940425" cy="3175"/>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68" name="Graphic 668"/>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69" name="Graphic 669"/>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E7AA9F" id="Group 667" o:spid="_x0000_s1026" style="position:absolute;margin-left:63.8pt;margin-top:33.65pt;width:467.75pt;height:.25pt;z-index:1580902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">
                <v:shape id="Graphic 668"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" path="m,l3249002,e" filled="f" strokeweight=".25pt">
                  <v:path arrowok="t"/>
                </v:shape>
                <v:shape id="Graphic 669"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Immigration Law</w:t>
      </w:r>
    </w:p>
    <w:p w14:paraId="55FB6AC4" w14:textId="77777777" w:rsidR="00AC6F3C" w:rsidRDefault="00570E88">
      <w:pPr>
        <w:spacing w:before="134" w:line="249" w:lineRule="auto"/>
        <w:ind w:left="928"/>
        <w:rPr>
          <w:b/>
          <w:sz w:val="20"/>
        </w:rPr>
      </w:pP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Personal Injuries</w:t>
      </w:r>
    </w:p>
    <w:p w14:paraId="293BD74B" w14:textId="77777777" w:rsidR="00AC6F3C" w:rsidRDefault="00AC6F3C">
      <w:pPr>
        <w:pStyle w:val="BodyText"/>
        <w:spacing w:before="5"/>
        <w:rPr>
          <w:b/>
          <w:sz w:val="26"/>
        </w:rPr>
      </w:pPr>
    </w:p>
    <w:p w14:paraId="77BF15E9" w14:textId="77777777" w:rsidR="00AC6F3C" w:rsidRDefault="00570E88">
      <w:pPr>
        <w:spacing w:line="249" w:lineRule="auto"/>
        <w:ind w:left="928"/>
        <w:rPr>
          <w:b/>
          <w:sz w:val="20"/>
        </w:rPr>
      </w:pPr>
      <w:r>
        <w:rPr>
          <w:noProof/>
        </w:rPr>
        <mc:AlternateContent>
          <mc:Choice Requires="wpg">
            <w:drawing>
              <wp:anchor distT="0" distB="0" distL="0" distR="0" simplePos="0" relativeHeight="472914432" behindDoc="1" locked="0" layoutInCell="1" allowOverlap="1" wp14:anchorId="111633D7" wp14:editId="1BCF74E8">
                <wp:simplePos x="0" y="0"/>
                <wp:positionH relativeFrom="page">
                  <wp:posOffset>809999</wp:posOffset>
                </wp:positionH>
                <wp:positionV relativeFrom="paragraph">
                  <wp:posOffset>-46635</wp:posOffset>
                </wp:positionV>
                <wp:extent cx="5940425" cy="317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71" name="Graphic 671"/>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72" name="Graphic 672"/>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F118B" id="Group 670" o:spid="_x0000_s1026" style="position:absolute;margin-left:63.8pt;margin-top:-3.65pt;width:467.75pt;height:.25pt;z-index:-304020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">
                <v:shape id="Graphic 671"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" path="m,l3249002,e" filled="f" strokeweight=".25pt">
                  <v:path arrowok="t"/>
                </v:shape>
                <v:shape id="Graphic 672"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Property Law</w:t>
      </w:r>
    </w:p>
    <w:p w14:paraId="78B8784A" w14:textId="77777777" w:rsidR="00AC6F3C" w:rsidRDefault="00AC6F3C">
      <w:pPr>
        <w:pStyle w:val="BodyText"/>
        <w:spacing w:before="5"/>
        <w:rPr>
          <w:b/>
          <w:sz w:val="26"/>
        </w:rPr>
      </w:pPr>
    </w:p>
    <w:p w14:paraId="57EB9768" w14:textId="77777777" w:rsidR="00AC6F3C" w:rsidRDefault="00570E88">
      <w:pPr>
        <w:spacing w:line="249" w:lineRule="auto"/>
        <w:ind w:left="928"/>
        <w:rPr>
          <w:b/>
          <w:sz w:val="20"/>
        </w:rPr>
      </w:pPr>
      <w:r>
        <w:rPr>
          <w:noProof/>
        </w:rPr>
        <mc:AlternateContent>
          <mc:Choice Requires="wpg">
            <w:drawing>
              <wp:anchor distT="0" distB="0" distL="0" distR="0" simplePos="0" relativeHeight="15810048" behindDoc="0" locked="0" layoutInCell="1" allowOverlap="1" wp14:anchorId="00C4ABCC" wp14:editId="13FF577A">
                <wp:simplePos x="0" y="0"/>
                <wp:positionH relativeFrom="page">
                  <wp:posOffset>809999</wp:posOffset>
                </wp:positionH>
                <wp:positionV relativeFrom="paragraph">
                  <wp:posOffset>-46600</wp:posOffset>
                </wp:positionV>
                <wp:extent cx="5940425" cy="317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74" name="Graphic 674"/>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75" name="Graphic 675"/>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EB2346" id="Group 673" o:spid="_x0000_s1026" style="position:absolute;margin-left:63.8pt;margin-top:-3.65pt;width:467.75pt;height:.25pt;z-index:158100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">
                <v:shape id="Graphic 674"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" path="m,l3249002,e" filled="f" strokeweight=".25pt">
                  <v:path arrowok="t"/>
                </v:shape>
                <v:shape id="Graphic 675"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" path="m,l2691003,e" filled="f" strokeweight=".25pt">
                  <v:path arrowok="t"/>
                </v:shape>
                <w10:wrap anchorx="page"/>
              </v:group>
            </w:pict>
          </mc:Fallback>
        </mc:AlternateContent>
      </w:r>
      <w:r>
        <w:rPr>
          <w:b/>
          <w:sz w:val="20"/>
        </w:rPr>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Succession Law</w:t>
      </w:r>
    </w:p>
    <w:p w14:paraId="041C599C" w14:textId="77777777" w:rsidR="00AC6F3C" w:rsidRDefault="00570E88">
      <w:pPr>
        <w:pStyle w:val="BodyText"/>
        <w:spacing w:line="201" w:lineRule="exact"/>
        <w:ind w:left="756"/>
      </w:pPr>
      <w:r>
        <w:br w:type="column"/>
      </w:r>
      <w:r>
        <w:t>Chair:</w:t>
      </w:r>
      <w:r>
        <w:rPr>
          <w:spacing w:val="-4"/>
        </w:rPr>
        <w:t xml:space="preserve"> </w:t>
      </w:r>
      <w:r>
        <w:t>Vicki</w:t>
      </w:r>
      <w:r>
        <w:rPr>
          <w:spacing w:val="-3"/>
        </w:rPr>
        <w:t xml:space="preserve"> </w:t>
      </w:r>
      <w:r>
        <w:rPr>
          <w:spacing w:val="-2"/>
        </w:rPr>
        <w:t>Comino</w:t>
      </w:r>
    </w:p>
    <w:p w14:paraId="4EA66D91" w14:textId="77777777" w:rsidR="00AC6F3C" w:rsidRDefault="00570E88">
      <w:pPr>
        <w:pStyle w:val="BodyText"/>
        <w:spacing w:before="2" w:line="610" w:lineRule="atLeast"/>
        <w:ind w:left="756" w:right="2108"/>
      </w:pPr>
      <w:r>
        <w:t>Chair: Paul Betros Chair: Callan Lloyd Chair: James Steel Chair:</w:t>
      </w:r>
      <w:r>
        <w:rPr>
          <w:spacing w:val="-14"/>
        </w:rPr>
        <w:t xml:space="preserve"> </w:t>
      </w:r>
      <w:r>
        <w:t>Glenn</w:t>
      </w:r>
      <w:r>
        <w:rPr>
          <w:spacing w:val="-14"/>
        </w:rPr>
        <w:t xml:space="preserve"> </w:t>
      </w:r>
      <w:r>
        <w:t xml:space="preserve">Ferguson Chair: Brady </w:t>
      </w:r>
      <w:r>
        <w:rPr>
          <w:spacing w:val="-2"/>
        </w:rPr>
        <w:t>Cockburn</w:t>
      </w:r>
    </w:p>
    <w:p w14:paraId="61C640D8" w14:textId="77777777" w:rsidR="00AC6F3C" w:rsidRDefault="00570E88">
      <w:pPr>
        <w:pStyle w:val="BodyText"/>
        <w:spacing w:before="190" w:line="388" w:lineRule="auto"/>
        <w:ind w:left="756" w:right="1516"/>
      </w:pPr>
      <w:r>
        <w:t>Deputy</w:t>
      </w:r>
      <w:r>
        <w:rPr>
          <w:spacing w:val="-14"/>
        </w:rPr>
        <w:t xml:space="preserve"> </w:t>
      </w:r>
      <w:r>
        <w:t>Chair:</w:t>
      </w:r>
      <w:r>
        <w:rPr>
          <w:spacing w:val="-14"/>
        </w:rPr>
        <w:t xml:space="preserve"> </w:t>
      </w:r>
      <w:r>
        <w:t>Kate</w:t>
      </w:r>
      <w:r>
        <w:rPr>
          <w:spacing w:val="-14"/>
        </w:rPr>
        <w:t xml:space="preserve"> </w:t>
      </w:r>
      <w:r>
        <w:t>Avery Chair: Anthony Boge</w:t>
      </w:r>
    </w:p>
    <w:p w14:paraId="0DB29143" w14:textId="77777777" w:rsidR="00AC6F3C" w:rsidRDefault="00570E88">
      <w:pPr>
        <w:pStyle w:val="BodyText"/>
        <w:spacing w:before="37" w:line="388" w:lineRule="auto"/>
        <w:ind w:left="756" w:right="1516"/>
      </w:pPr>
      <w:r>
        <w:t>Deputy</w:t>
      </w:r>
      <w:r>
        <w:rPr>
          <w:spacing w:val="-14"/>
        </w:rPr>
        <w:t xml:space="preserve"> </w:t>
      </w:r>
      <w:r>
        <w:t>Chair:</w:t>
      </w:r>
      <w:r>
        <w:rPr>
          <w:spacing w:val="-14"/>
        </w:rPr>
        <w:t xml:space="preserve"> </w:t>
      </w:r>
      <w:r>
        <w:t>Peter</w:t>
      </w:r>
      <w:r>
        <w:rPr>
          <w:spacing w:val="-14"/>
        </w:rPr>
        <w:t xml:space="preserve"> </w:t>
      </w:r>
      <w:r>
        <w:t>Townley Chair: Renee Bennet</w:t>
      </w:r>
    </w:p>
    <w:p w14:paraId="167B754F" w14:textId="77777777" w:rsidR="00AC6F3C" w:rsidRDefault="00AC6F3C">
      <w:pPr>
        <w:spacing w:line="388" w:lineRule="auto"/>
        <w:sectPr w:rsidR="00AC6F3C">
          <w:type w:val="continuous"/>
          <w:pgSz w:w="11910" w:h="16840"/>
          <w:pgMar w:top="1920" w:right="1160" w:bottom="280" w:left="460" w:header="1276" w:footer="1565" w:gutter="0"/>
          <w:cols w:num="2" w:space="720" w:equalWidth="0">
            <w:col w:w="5249" w:space="40"/>
            <w:col w:w="5001"/>
          </w:cols>
        </w:sectPr>
      </w:pPr>
    </w:p>
    <w:p w14:paraId="1950137F" w14:textId="77777777" w:rsidR="00AC6F3C" w:rsidRDefault="00570E88">
      <w:pPr>
        <w:spacing w:before="69" w:line="249" w:lineRule="auto"/>
        <w:ind w:left="928"/>
        <w:rPr>
          <w:b/>
          <w:sz w:val="20"/>
        </w:rPr>
      </w:pPr>
      <w:r>
        <w:rPr>
          <w:b/>
          <w:sz w:val="20"/>
        </w:rPr>
        <w:lastRenderedPageBreak/>
        <w:t>Specialist</w:t>
      </w:r>
      <w:r>
        <w:rPr>
          <w:b/>
          <w:spacing w:val="-14"/>
          <w:sz w:val="20"/>
        </w:rPr>
        <w:t xml:space="preserve"> </w:t>
      </w:r>
      <w:r>
        <w:rPr>
          <w:b/>
          <w:sz w:val="20"/>
        </w:rPr>
        <w:t>Accreditation</w:t>
      </w:r>
      <w:r>
        <w:rPr>
          <w:b/>
          <w:spacing w:val="-14"/>
          <w:sz w:val="20"/>
        </w:rPr>
        <w:t xml:space="preserve"> </w:t>
      </w:r>
      <w:r>
        <w:rPr>
          <w:b/>
          <w:sz w:val="20"/>
        </w:rPr>
        <w:t>Advisory</w:t>
      </w:r>
      <w:r>
        <w:rPr>
          <w:b/>
          <w:spacing w:val="-14"/>
          <w:sz w:val="20"/>
        </w:rPr>
        <w:t xml:space="preserve"> </w:t>
      </w:r>
      <w:r>
        <w:rPr>
          <w:b/>
          <w:sz w:val="20"/>
        </w:rPr>
        <w:t>Committee: Workplace Relations</w:t>
      </w:r>
    </w:p>
    <w:p w14:paraId="3008A0AA" w14:textId="77777777" w:rsidR="00AC6F3C" w:rsidRDefault="00570E88">
      <w:pPr>
        <w:pStyle w:val="BodyText"/>
        <w:spacing w:before="69"/>
        <w:ind w:left="756"/>
      </w:pPr>
      <w:r>
        <w:br w:type="column"/>
      </w:r>
      <w:r>
        <w:t>Chair:</w:t>
      </w:r>
      <w:r>
        <w:rPr>
          <w:spacing w:val="-1"/>
        </w:rPr>
        <w:t xml:space="preserve"> </w:t>
      </w:r>
      <w:r>
        <w:t>Rob</w:t>
      </w:r>
      <w:r>
        <w:rPr>
          <w:spacing w:val="-1"/>
        </w:rPr>
        <w:t xml:space="preserve"> </w:t>
      </w:r>
      <w:r>
        <w:rPr>
          <w:spacing w:val="-2"/>
        </w:rPr>
        <w:t>Stevenson</w:t>
      </w:r>
    </w:p>
    <w:p w14:paraId="56087612" w14:textId="77777777" w:rsidR="00AC6F3C" w:rsidRDefault="00AC6F3C">
      <w:pPr>
        <w:sectPr w:rsidR="00AC6F3C">
          <w:headerReference w:type="default" r:id="rId196"/>
          <w:footerReference w:type="default" r:id="rId197"/>
          <w:pgSz w:w="11910" w:h="16840"/>
          <w:pgMar w:top="1660" w:right="1160" w:bottom="520" w:left="460" w:header="1276" w:footer="336" w:gutter="0"/>
          <w:cols w:num="2" w:space="720" w:equalWidth="0">
            <w:col w:w="5249" w:space="40"/>
            <w:col w:w="5001"/>
          </w:cols>
        </w:sectPr>
      </w:pPr>
    </w:p>
    <w:p w14:paraId="1DA661FD" w14:textId="77777777" w:rsidR="00AC6F3C" w:rsidRDefault="00AC6F3C">
      <w:pPr>
        <w:pStyle w:val="BodyText"/>
        <w:spacing w:before="2"/>
        <w:rPr>
          <w:sz w:val="5"/>
        </w:rPr>
      </w:pPr>
    </w:p>
    <w:p w14:paraId="1309EB66"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45CB96CC" wp14:editId="2E64ED49">
                <wp:extent cx="5940425" cy="3175"/>
                <wp:effectExtent l="9525" t="0" r="0" b="6350"/>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86" name="Graphic 68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87" name="Graphic 68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65020" id="Group 685"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">
                <v:shape id="Graphic 68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" path="m,l3249002,e" filled="f" strokeweight=".25pt">
                  <v:path arrowok="t"/>
                </v:shape>
                <v:shape id="Graphic 68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" path="m,l2691003,e" filled="f" strokeweight=".25pt">
                  <v:path arrowok="t"/>
                </v:shape>
                <w10:anchorlock/>
              </v:group>
            </w:pict>
          </mc:Fallback>
        </mc:AlternateContent>
      </w:r>
    </w:p>
    <w:p w14:paraId="7E985C47" w14:textId="77777777" w:rsidR="00AC6F3C" w:rsidRDefault="00570E88">
      <w:pPr>
        <w:tabs>
          <w:tab w:val="left" w:pos="6045"/>
        </w:tabs>
        <w:spacing w:before="54"/>
        <w:ind w:left="928"/>
        <w:rPr>
          <w:sz w:val="20"/>
        </w:rPr>
      </w:pPr>
      <w:r>
        <w:rPr>
          <w:b/>
          <w:sz w:val="20"/>
        </w:rPr>
        <w:t>Specialist</w:t>
      </w:r>
      <w:r>
        <w:rPr>
          <w:b/>
          <w:spacing w:val="-8"/>
          <w:sz w:val="20"/>
        </w:rPr>
        <w:t xml:space="preserve"> </w:t>
      </w:r>
      <w:r>
        <w:rPr>
          <w:b/>
          <w:sz w:val="20"/>
        </w:rPr>
        <w:t xml:space="preserve">Accreditation </w:t>
      </w:r>
      <w:r>
        <w:rPr>
          <w:b/>
          <w:spacing w:val="-4"/>
          <w:sz w:val="20"/>
        </w:rPr>
        <w:t>Board</w:t>
      </w:r>
      <w:r>
        <w:rPr>
          <w:b/>
          <w:sz w:val="20"/>
        </w:rPr>
        <w:tab/>
      </w:r>
      <w:r>
        <w:rPr>
          <w:sz w:val="20"/>
        </w:rPr>
        <w:t xml:space="preserve">Chair: Peter </w:t>
      </w:r>
      <w:r>
        <w:rPr>
          <w:spacing w:val="-2"/>
          <w:sz w:val="20"/>
        </w:rPr>
        <w:t>Jolly</w:t>
      </w:r>
    </w:p>
    <w:p w14:paraId="361900C9" w14:textId="77777777" w:rsidR="00AC6F3C" w:rsidRDefault="00570E88">
      <w:pPr>
        <w:pStyle w:val="BodyText"/>
        <w:spacing w:before="180"/>
        <w:ind w:left="6045"/>
      </w:pPr>
      <w:r>
        <w:t>Deputy Chair: Kathy</w:t>
      </w:r>
      <w:r>
        <w:rPr>
          <w:spacing w:val="-11"/>
        </w:rPr>
        <w:t xml:space="preserve"> </w:t>
      </w:r>
      <w:r>
        <w:rPr>
          <w:spacing w:val="-2"/>
        </w:rPr>
        <w:t>Atkins</w:t>
      </w:r>
    </w:p>
    <w:p w14:paraId="783FF58F" w14:textId="77777777" w:rsidR="00AC6F3C" w:rsidRDefault="00570E88">
      <w:pPr>
        <w:pStyle w:val="BodyText"/>
        <w:spacing w:before="10"/>
        <w:rPr>
          <w:sz w:val="3"/>
        </w:rPr>
      </w:pPr>
      <w:r>
        <w:rPr>
          <w:noProof/>
        </w:rPr>
        <mc:AlternateContent>
          <mc:Choice Requires="wpg">
            <w:drawing>
              <wp:anchor distT="0" distB="0" distL="0" distR="0" simplePos="0" relativeHeight="487670272" behindDoc="1" locked="0" layoutInCell="1" allowOverlap="1" wp14:anchorId="70EFCB27" wp14:editId="3A519BDE">
                <wp:simplePos x="0" y="0"/>
                <wp:positionH relativeFrom="page">
                  <wp:posOffset>809999</wp:posOffset>
                </wp:positionH>
                <wp:positionV relativeFrom="paragraph">
                  <wp:posOffset>43825</wp:posOffset>
                </wp:positionV>
                <wp:extent cx="5940425" cy="3175"/>
                <wp:effectExtent l="0" t="0" r="0" b="0"/>
                <wp:wrapTopAndBottom/>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89" name="Graphic 689"/>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90" name="Graphic 690"/>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F18A93" id="Group 688" o:spid="_x0000_s1026" style="position:absolute;margin-left:63.8pt;margin-top:3.45pt;width:467.75pt;height:.25pt;z-index:-1564620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">
                <v:shape id="Graphic 689"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" path="m,l3249002,e" filled="f" strokeweight=".25pt">
                  <v:path arrowok="t"/>
                </v:shape>
                <v:shape id="Graphic 690"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" path="m,l2691003,e" filled="f" strokeweight=".25pt">
                  <v:path arrowok="t"/>
                </v:shape>
                <w10:wrap type="topAndBottom" anchorx="page"/>
              </v:group>
            </w:pict>
          </mc:Fallback>
        </mc:AlternateContent>
      </w:r>
    </w:p>
    <w:p w14:paraId="48BC6749" w14:textId="77777777" w:rsidR="00AC6F3C" w:rsidRDefault="00570E88">
      <w:pPr>
        <w:tabs>
          <w:tab w:val="left" w:pos="6045"/>
        </w:tabs>
        <w:spacing w:before="61" w:line="427" w:lineRule="auto"/>
        <w:ind w:left="6045" w:right="1680" w:hanging="5117"/>
        <w:rPr>
          <w:sz w:val="20"/>
        </w:rPr>
      </w:pPr>
      <w:r>
        <w:rPr>
          <w:b/>
          <w:sz w:val="20"/>
        </w:rPr>
        <w:t>Succession Law Committee</w:t>
      </w:r>
      <w:r>
        <w:rPr>
          <w:b/>
          <w:sz w:val="20"/>
        </w:rPr>
        <w:tab/>
      </w:r>
      <w:r>
        <w:rPr>
          <w:sz w:val="20"/>
        </w:rPr>
        <w:t>Chair:</w:t>
      </w:r>
      <w:r>
        <w:rPr>
          <w:spacing w:val="-14"/>
          <w:sz w:val="20"/>
        </w:rPr>
        <w:t xml:space="preserve"> </w:t>
      </w:r>
      <w:r>
        <w:rPr>
          <w:sz w:val="20"/>
        </w:rPr>
        <w:t>Angela</w:t>
      </w:r>
      <w:r>
        <w:rPr>
          <w:spacing w:val="-14"/>
          <w:sz w:val="20"/>
        </w:rPr>
        <w:t xml:space="preserve"> </w:t>
      </w:r>
      <w:r>
        <w:rPr>
          <w:sz w:val="20"/>
        </w:rPr>
        <w:t>Cornford-Scott Deputy</w:t>
      </w:r>
      <w:r>
        <w:rPr>
          <w:spacing w:val="-2"/>
          <w:sz w:val="20"/>
        </w:rPr>
        <w:t xml:space="preserve"> </w:t>
      </w:r>
      <w:r>
        <w:rPr>
          <w:sz w:val="20"/>
        </w:rPr>
        <w:t>Chair:</w:t>
      </w:r>
      <w:r>
        <w:rPr>
          <w:spacing w:val="-1"/>
          <w:sz w:val="20"/>
        </w:rPr>
        <w:t xml:space="preserve"> </w:t>
      </w:r>
      <w:r>
        <w:rPr>
          <w:sz w:val="20"/>
        </w:rPr>
        <w:t>Bryan</w:t>
      </w:r>
      <w:r>
        <w:rPr>
          <w:spacing w:val="-1"/>
          <w:sz w:val="20"/>
        </w:rPr>
        <w:t xml:space="preserve"> </w:t>
      </w:r>
      <w:r>
        <w:rPr>
          <w:spacing w:val="-2"/>
          <w:sz w:val="20"/>
        </w:rPr>
        <w:t>Mitchell</w:t>
      </w:r>
    </w:p>
    <w:p w14:paraId="7ED32A91" w14:textId="77777777" w:rsidR="00AC6F3C" w:rsidRDefault="00AC6F3C">
      <w:pPr>
        <w:spacing w:line="427" w:lineRule="auto"/>
        <w:rPr>
          <w:sz w:val="20"/>
        </w:rPr>
        <w:sectPr w:rsidR="00AC6F3C">
          <w:type w:val="continuous"/>
          <w:pgSz w:w="11910" w:h="16840"/>
          <w:pgMar w:top="1920" w:right="1160" w:bottom="280" w:left="460" w:header="1276" w:footer="336" w:gutter="0"/>
          <w:cols w:space="720"/>
        </w:sectPr>
      </w:pPr>
    </w:p>
    <w:p w14:paraId="0614EEB8" w14:textId="77777777" w:rsidR="00AC6F3C" w:rsidRDefault="00570E88">
      <w:pPr>
        <w:spacing w:line="201" w:lineRule="exact"/>
        <w:ind w:left="928"/>
        <w:rPr>
          <w:b/>
          <w:sz w:val="20"/>
        </w:rPr>
      </w:pPr>
      <w:r>
        <w:rPr>
          <w:noProof/>
        </w:rPr>
        <mc:AlternateContent>
          <mc:Choice Requires="wpg">
            <w:drawing>
              <wp:anchor distT="0" distB="0" distL="0" distR="0" simplePos="0" relativeHeight="15815168" behindDoc="0" locked="0" layoutInCell="1" allowOverlap="1" wp14:anchorId="67D5617F" wp14:editId="000A3AC7">
                <wp:simplePos x="0" y="0"/>
                <wp:positionH relativeFrom="page">
                  <wp:posOffset>809999</wp:posOffset>
                </wp:positionH>
                <wp:positionV relativeFrom="paragraph">
                  <wp:posOffset>-64944</wp:posOffset>
                </wp:positionV>
                <wp:extent cx="5940425" cy="317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92" name="Graphic 692"/>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93" name="Graphic 693"/>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F04C02" id="Group 691" o:spid="_x0000_s1026" style="position:absolute;margin-left:63.8pt;margin-top:-5.1pt;width:467.75pt;height:.25pt;z-index:158151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u4tw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">
                <v:shape id="Graphic 692"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" path="m,l3249002,e" filled="f" strokeweight=".25pt">
                  <v:path arrowok="t"/>
                </v:shape>
                <v:shape id="Graphic 693"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" path="m,l2691003,e" filled="f" strokeweight=".25pt">
                  <v:path arrowok="t"/>
                </v:shape>
                <w10:wrap anchorx="page"/>
              </v:group>
            </w:pict>
          </mc:Fallback>
        </mc:AlternateContent>
      </w:r>
      <w:r>
        <w:rPr>
          <w:b/>
          <w:sz w:val="20"/>
        </w:rPr>
        <w:t>Technology</w:t>
      </w:r>
      <w:r>
        <w:rPr>
          <w:b/>
          <w:spacing w:val="-8"/>
          <w:sz w:val="20"/>
        </w:rPr>
        <w:t xml:space="preserve"> </w:t>
      </w:r>
      <w:r>
        <w:rPr>
          <w:b/>
          <w:sz w:val="20"/>
        </w:rPr>
        <w:t>and</w:t>
      </w:r>
      <w:r>
        <w:rPr>
          <w:b/>
          <w:spacing w:val="-7"/>
          <w:sz w:val="20"/>
        </w:rPr>
        <w:t xml:space="preserve"> </w:t>
      </w:r>
      <w:r>
        <w:rPr>
          <w:b/>
          <w:sz w:val="20"/>
        </w:rPr>
        <w:t>Intellectual</w:t>
      </w:r>
      <w:r>
        <w:rPr>
          <w:b/>
          <w:spacing w:val="-8"/>
          <w:sz w:val="20"/>
        </w:rPr>
        <w:t xml:space="preserve"> </w:t>
      </w:r>
      <w:r>
        <w:rPr>
          <w:b/>
          <w:sz w:val="20"/>
        </w:rPr>
        <w:t>Property</w:t>
      </w:r>
      <w:r>
        <w:rPr>
          <w:b/>
          <w:spacing w:val="-7"/>
          <w:sz w:val="20"/>
        </w:rPr>
        <w:t xml:space="preserve"> </w:t>
      </w:r>
      <w:r>
        <w:rPr>
          <w:b/>
          <w:spacing w:val="-5"/>
          <w:sz w:val="20"/>
        </w:rPr>
        <w:t>Law</w:t>
      </w:r>
    </w:p>
    <w:p w14:paraId="6C16CE00" w14:textId="77777777" w:rsidR="00AC6F3C" w:rsidRDefault="00570E88">
      <w:pPr>
        <w:spacing w:before="10"/>
        <w:ind w:left="928"/>
        <w:rPr>
          <w:b/>
          <w:sz w:val="20"/>
        </w:rPr>
      </w:pPr>
      <w:r>
        <w:rPr>
          <w:b/>
          <w:spacing w:val="-2"/>
          <w:sz w:val="20"/>
        </w:rPr>
        <w:t>Committee</w:t>
      </w:r>
    </w:p>
    <w:p w14:paraId="41E9C8F1" w14:textId="77777777" w:rsidR="00AC6F3C" w:rsidRDefault="00570E88">
      <w:pPr>
        <w:pStyle w:val="BodyText"/>
        <w:spacing w:line="201" w:lineRule="exact"/>
        <w:ind w:left="928"/>
      </w:pPr>
      <w:r>
        <w:br w:type="column"/>
      </w:r>
      <w:r>
        <w:t>Chair:</w:t>
      </w:r>
      <w:r>
        <w:rPr>
          <w:spacing w:val="-2"/>
        </w:rPr>
        <w:t xml:space="preserve"> </w:t>
      </w:r>
      <w:r>
        <w:t>Ben</w:t>
      </w:r>
      <w:r>
        <w:rPr>
          <w:spacing w:val="-4"/>
        </w:rPr>
        <w:t xml:space="preserve"> </w:t>
      </w:r>
      <w:r>
        <w:rPr>
          <w:spacing w:val="-2"/>
        </w:rPr>
        <w:t>Thorn</w:t>
      </w:r>
    </w:p>
    <w:p w14:paraId="40CE919A" w14:textId="77777777" w:rsidR="00AC6F3C" w:rsidRDefault="00570E88">
      <w:pPr>
        <w:pStyle w:val="BodyText"/>
        <w:spacing w:before="180"/>
        <w:ind w:left="928"/>
      </w:pPr>
      <w:r>
        <w:t>Deputy</w:t>
      </w:r>
      <w:r>
        <w:rPr>
          <w:spacing w:val="-1"/>
        </w:rPr>
        <w:t xml:space="preserve"> </w:t>
      </w:r>
      <w:r>
        <w:t>Chair:</w:t>
      </w:r>
      <w:r>
        <w:rPr>
          <w:spacing w:val="-1"/>
        </w:rPr>
        <w:t xml:space="preserve"> </w:t>
      </w:r>
      <w:r>
        <w:t xml:space="preserve">Ben </w:t>
      </w:r>
      <w:r>
        <w:rPr>
          <w:spacing w:val="-2"/>
        </w:rPr>
        <w:t>Coogan</w:t>
      </w:r>
    </w:p>
    <w:p w14:paraId="4FB4A8CC" w14:textId="77777777" w:rsidR="00AC6F3C" w:rsidRDefault="00AC6F3C">
      <w:pPr>
        <w:sectPr w:rsidR="00AC6F3C">
          <w:type w:val="continuous"/>
          <w:pgSz w:w="11910" w:h="16840"/>
          <w:pgMar w:top="1920" w:right="1160" w:bottom="280" w:left="460" w:header="1276" w:footer="336" w:gutter="0"/>
          <w:cols w:num="2" w:space="720" w:equalWidth="0">
            <w:col w:w="4911" w:space="206"/>
            <w:col w:w="5173"/>
          </w:cols>
        </w:sectPr>
      </w:pPr>
    </w:p>
    <w:p w14:paraId="60BC6A81" w14:textId="77777777" w:rsidR="00AC6F3C" w:rsidRDefault="00AC6F3C">
      <w:pPr>
        <w:pStyle w:val="BodyText"/>
        <w:spacing w:before="10"/>
        <w:rPr>
          <w:sz w:val="5"/>
        </w:rPr>
      </w:pPr>
    </w:p>
    <w:p w14:paraId="374ED33F"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237D9E84" wp14:editId="2536E69A">
                <wp:extent cx="5940425" cy="3175"/>
                <wp:effectExtent l="9525" t="0" r="0" b="6350"/>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95" name="Graphic 695"/>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96" name="Graphic 696"/>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C549EB" id="Group 694"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">
                <v:shape id="Graphic 695"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" path="m,l3249002,e" filled="f" strokeweight=".25pt">
                  <v:path arrowok="t"/>
                </v:shape>
                <v:shape id="Graphic 696"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" path="m,l2691003,e" filled="f" strokeweight=".25pt">
                  <v:path arrowok="t"/>
                </v:shape>
                <w10:anchorlock/>
              </v:group>
            </w:pict>
          </mc:Fallback>
        </mc:AlternateContent>
      </w:r>
    </w:p>
    <w:p w14:paraId="660ADF71" w14:textId="77777777" w:rsidR="00AC6F3C" w:rsidRDefault="00570E88">
      <w:pPr>
        <w:tabs>
          <w:tab w:val="left" w:pos="6045"/>
        </w:tabs>
        <w:spacing w:before="55"/>
        <w:ind w:left="928"/>
        <w:rPr>
          <w:sz w:val="20"/>
        </w:rPr>
      </w:pPr>
      <w:r>
        <w:rPr>
          <w:b/>
          <w:sz w:val="20"/>
        </w:rPr>
        <w:t>Water</w:t>
      </w:r>
      <w:r>
        <w:rPr>
          <w:b/>
          <w:spacing w:val="-6"/>
          <w:sz w:val="20"/>
        </w:rPr>
        <w:t xml:space="preserve"> </w:t>
      </w:r>
      <w:r>
        <w:rPr>
          <w:b/>
          <w:sz w:val="20"/>
        </w:rPr>
        <w:t>and</w:t>
      </w:r>
      <w:r>
        <w:rPr>
          <w:b/>
          <w:spacing w:val="-13"/>
          <w:sz w:val="20"/>
        </w:rPr>
        <w:t xml:space="preserve"> </w:t>
      </w:r>
      <w:r>
        <w:rPr>
          <w:b/>
          <w:sz w:val="20"/>
        </w:rPr>
        <w:t>Agribusiness</w:t>
      </w:r>
      <w:r>
        <w:rPr>
          <w:b/>
          <w:spacing w:val="-6"/>
          <w:sz w:val="20"/>
        </w:rPr>
        <w:t xml:space="preserve"> </w:t>
      </w:r>
      <w:r>
        <w:rPr>
          <w:b/>
          <w:sz w:val="20"/>
        </w:rPr>
        <w:t>Law</w:t>
      </w:r>
      <w:r>
        <w:rPr>
          <w:b/>
          <w:spacing w:val="-5"/>
          <w:sz w:val="20"/>
        </w:rPr>
        <w:t xml:space="preserve"> </w:t>
      </w:r>
      <w:r>
        <w:rPr>
          <w:b/>
          <w:spacing w:val="-2"/>
          <w:sz w:val="20"/>
        </w:rPr>
        <w:t>Committee</w:t>
      </w:r>
      <w:r>
        <w:rPr>
          <w:b/>
          <w:sz w:val="20"/>
        </w:rPr>
        <w:tab/>
      </w:r>
      <w:r>
        <w:rPr>
          <w:sz w:val="20"/>
        </w:rPr>
        <w:t>Chair:</w:t>
      </w:r>
      <w:r>
        <w:rPr>
          <w:spacing w:val="-2"/>
          <w:sz w:val="20"/>
        </w:rPr>
        <w:t xml:space="preserve"> </w:t>
      </w:r>
      <w:r>
        <w:rPr>
          <w:sz w:val="20"/>
        </w:rPr>
        <w:t>Brian</w:t>
      </w:r>
      <w:r>
        <w:rPr>
          <w:spacing w:val="-2"/>
          <w:sz w:val="20"/>
        </w:rPr>
        <w:t xml:space="preserve"> Healy</w:t>
      </w:r>
    </w:p>
    <w:p w14:paraId="4A2ADDCC" w14:textId="77777777" w:rsidR="00AC6F3C" w:rsidRDefault="00570E88">
      <w:pPr>
        <w:pStyle w:val="BodyText"/>
        <w:spacing w:before="180"/>
        <w:ind w:left="6045"/>
      </w:pPr>
      <w:r>
        <w:t>Deputy Chair:</w:t>
      </w:r>
      <w:r>
        <w:rPr>
          <w:spacing w:val="-11"/>
        </w:rPr>
        <w:t xml:space="preserve"> </w:t>
      </w:r>
      <w:r>
        <w:t xml:space="preserve">Alex </w:t>
      </w:r>
      <w:r>
        <w:rPr>
          <w:spacing w:val="-2"/>
        </w:rPr>
        <w:t>Ramsey</w:t>
      </w:r>
    </w:p>
    <w:p w14:paraId="698BBC97" w14:textId="77777777" w:rsidR="00AC6F3C" w:rsidRDefault="00570E88">
      <w:pPr>
        <w:pStyle w:val="BodyText"/>
        <w:spacing w:before="9"/>
        <w:rPr>
          <w:sz w:val="3"/>
        </w:rPr>
      </w:pPr>
      <w:r>
        <w:rPr>
          <w:noProof/>
        </w:rPr>
        <mc:AlternateContent>
          <mc:Choice Requires="wpg">
            <w:drawing>
              <wp:anchor distT="0" distB="0" distL="0" distR="0" simplePos="0" relativeHeight="487671296" behindDoc="1" locked="0" layoutInCell="1" allowOverlap="1" wp14:anchorId="46396F59" wp14:editId="24717529">
                <wp:simplePos x="0" y="0"/>
                <wp:positionH relativeFrom="page">
                  <wp:posOffset>809999</wp:posOffset>
                </wp:positionH>
                <wp:positionV relativeFrom="paragraph">
                  <wp:posOffset>43666</wp:posOffset>
                </wp:positionV>
                <wp:extent cx="5940425" cy="3175"/>
                <wp:effectExtent l="0" t="0" r="0" b="0"/>
                <wp:wrapTopAndBottom/>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698" name="Graphic 698"/>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699" name="Graphic 699"/>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908D01" id="Group 697" o:spid="_x0000_s1026" style="position:absolute;margin-left:63.8pt;margin-top:3.45pt;width:467.75pt;height:.25pt;z-index:-1564518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IFCBue2AgAA&#10;dwgAAA4AAAAAAAAAAAAAAAAALgIAAGRycy9lMm9Eb2MueG1sUEsBAi0AFAAGAAgAAAAhAC5atKnf&#10;AAAACAEAAA8AAAAAAAAAAAAAAAAAEAUAAGRycy9kb3ducmV2LnhtbFBLBQYAAAAABAAEAPMAAAAc&#10;BgAAAAA=&#10;">
                <v:shape id="Graphic 698"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" path="m,l3249002,e" filled="f" strokeweight=".25pt">
                  <v:path arrowok="t"/>
                </v:shape>
                <v:shape id="Graphic 699"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" path="m,l2691003,e" filled="f" strokeweight=".25pt">
                  <v:path arrowok="t"/>
                </v:shape>
                <w10:wrap type="topAndBottom" anchorx="page"/>
              </v:group>
            </w:pict>
          </mc:Fallback>
        </mc:AlternateContent>
      </w:r>
    </w:p>
    <w:p w14:paraId="30CED2C2" w14:textId="77777777" w:rsidR="00AC6F3C" w:rsidRDefault="00AC6F3C">
      <w:pPr>
        <w:pStyle w:val="BodyText"/>
        <w:rPr>
          <w:sz w:val="22"/>
        </w:rPr>
      </w:pPr>
    </w:p>
    <w:p w14:paraId="09783785" w14:textId="77777777" w:rsidR="00AC6F3C" w:rsidRDefault="00570E88">
      <w:pPr>
        <w:pStyle w:val="BodyText"/>
        <w:spacing w:before="139" w:line="249" w:lineRule="auto"/>
        <w:ind w:left="815" w:right="234"/>
      </w:pPr>
      <w:r>
        <w:t>Many</w:t>
      </w:r>
      <w:r>
        <w:rPr>
          <w:spacing w:val="-3"/>
        </w:rPr>
        <w:t xml:space="preserve"> </w:t>
      </w:r>
      <w:r>
        <w:t>QLS</w:t>
      </w:r>
      <w:r>
        <w:rPr>
          <w:spacing w:val="-3"/>
        </w:rPr>
        <w:t xml:space="preserve"> </w:t>
      </w:r>
      <w:r>
        <w:t>members</w:t>
      </w:r>
      <w:r>
        <w:rPr>
          <w:spacing w:val="-3"/>
        </w:rPr>
        <w:t xml:space="preserve"> </w:t>
      </w:r>
      <w:r>
        <w:t>also</w:t>
      </w:r>
      <w:r>
        <w:rPr>
          <w:spacing w:val="-3"/>
        </w:rPr>
        <w:t xml:space="preserve"> </w:t>
      </w:r>
      <w:r>
        <w:t>volunteer</w:t>
      </w:r>
      <w:r>
        <w:rPr>
          <w:spacing w:val="-3"/>
        </w:rPr>
        <w:t xml:space="preserve"> </w:t>
      </w:r>
      <w:r>
        <w:t>their</w:t>
      </w:r>
      <w:r>
        <w:rPr>
          <w:spacing w:val="-3"/>
        </w:rPr>
        <w:t xml:space="preserve"> </w:t>
      </w:r>
      <w:r>
        <w:t>time</w:t>
      </w:r>
      <w:r>
        <w:rPr>
          <w:spacing w:val="-3"/>
        </w:rPr>
        <w:t xml:space="preserve"> </w:t>
      </w:r>
      <w:r>
        <w:t>and</w:t>
      </w:r>
      <w:r>
        <w:rPr>
          <w:spacing w:val="-3"/>
        </w:rPr>
        <w:t xml:space="preserve"> </w:t>
      </w:r>
      <w:r>
        <w:t>expertise</w:t>
      </w:r>
      <w:r>
        <w:rPr>
          <w:spacing w:val="-3"/>
        </w:rPr>
        <w:t xml:space="preserve"> </w:t>
      </w:r>
      <w:r>
        <w:t>to</w:t>
      </w:r>
      <w:r>
        <w:rPr>
          <w:spacing w:val="-3"/>
        </w:rPr>
        <w:t xml:space="preserve"> </w:t>
      </w:r>
      <w:r>
        <w:t>participate</w:t>
      </w:r>
      <w:r>
        <w:rPr>
          <w:spacing w:val="-3"/>
        </w:rPr>
        <w:t xml:space="preserve"> </w:t>
      </w:r>
      <w:r>
        <w:t>in</w:t>
      </w:r>
      <w:r>
        <w:rPr>
          <w:spacing w:val="-3"/>
        </w:rPr>
        <w:t xml:space="preserve"> </w:t>
      </w:r>
      <w:r>
        <w:t>Working</w:t>
      </w:r>
      <w:r>
        <w:rPr>
          <w:spacing w:val="-3"/>
        </w:rPr>
        <w:t xml:space="preserve"> </w:t>
      </w:r>
      <w:r>
        <w:t>Groups</w:t>
      </w:r>
      <w:r>
        <w:rPr>
          <w:spacing w:val="-3"/>
        </w:rPr>
        <w:t xml:space="preserve"> </w:t>
      </w:r>
      <w:r>
        <w:t>convened by QLS to address important topical issues. We thank all those members who do so.</w:t>
      </w:r>
    </w:p>
    <w:p w14:paraId="63F69107" w14:textId="77777777" w:rsidR="00AC6F3C" w:rsidRDefault="00AC6F3C">
      <w:pPr>
        <w:pStyle w:val="BodyText"/>
        <w:spacing w:before="1"/>
        <w:rPr>
          <w:sz w:val="31"/>
        </w:rPr>
      </w:pPr>
    </w:p>
    <w:p w14:paraId="05269DBA" w14:textId="77777777" w:rsidR="00AC6F3C" w:rsidRDefault="00570E88">
      <w:pPr>
        <w:ind w:left="815"/>
        <w:rPr>
          <w:b/>
          <w:sz w:val="26"/>
        </w:rPr>
      </w:pPr>
      <w:r>
        <w:rPr>
          <w:b/>
          <w:sz w:val="26"/>
        </w:rPr>
        <w:t>Working</w:t>
      </w:r>
      <w:r>
        <w:rPr>
          <w:b/>
          <w:spacing w:val="-3"/>
          <w:sz w:val="26"/>
        </w:rPr>
        <w:t xml:space="preserve"> </w:t>
      </w:r>
      <w:r>
        <w:rPr>
          <w:b/>
          <w:sz w:val="26"/>
        </w:rPr>
        <w:t>groups,</w:t>
      </w:r>
      <w:r>
        <w:rPr>
          <w:b/>
          <w:spacing w:val="-3"/>
          <w:sz w:val="26"/>
        </w:rPr>
        <w:t xml:space="preserve"> </w:t>
      </w:r>
      <w:r>
        <w:rPr>
          <w:b/>
          <w:sz w:val="26"/>
        </w:rPr>
        <w:t>chairs</w:t>
      </w:r>
      <w:r>
        <w:rPr>
          <w:b/>
          <w:spacing w:val="-3"/>
          <w:sz w:val="26"/>
        </w:rPr>
        <w:t xml:space="preserve"> </w:t>
      </w:r>
      <w:r>
        <w:rPr>
          <w:b/>
          <w:sz w:val="26"/>
        </w:rPr>
        <w:t>and</w:t>
      </w:r>
      <w:r>
        <w:rPr>
          <w:b/>
          <w:spacing w:val="-3"/>
          <w:sz w:val="26"/>
        </w:rPr>
        <w:t xml:space="preserve"> </w:t>
      </w:r>
      <w:r>
        <w:rPr>
          <w:b/>
          <w:sz w:val="26"/>
        </w:rPr>
        <w:t>deputy</w:t>
      </w:r>
      <w:r>
        <w:rPr>
          <w:b/>
          <w:spacing w:val="-3"/>
          <w:sz w:val="26"/>
        </w:rPr>
        <w:t xml:space="preserve"> </w:t>
      </w:r>
      <w:r>
        <w:rPr>
          <w:b/>
          <w:spacing w:val="-2"/>
          <w:sz w:val="26"/>
        </w:rPr>
        <w:t>chairs</w:t>
      </w:r>
    </w:p>
    <w:p w14:paraId="357D966D" w14:textId="77777777" w:rsidR="00AC6F3C" w:rsidRDefault="00570E88">
      <w:pPr>
        <w:pStyle w:val="BodyText"/>
        <w:spacing w:before="8"/>
        <w:rPr>
          <w:b/>
          <w:sz w:val="22"/>
        </w:rPr>
      </w:pPr>
      <w:r>
        <w:rPr>
          <w:noProof/>
        </w:rPr>
        <mc:AlternateContent>
          <mc:Choice Requires="wpg">
            <w:drawing>
              <wp:anchor distT="0" distB="0" distL="0" distR="0" simplePos="0" relativeHeight="487671808" behindDoc="1" locked="0" layoutInCell="1" allowOverlap="1" wp14:anchorId="2FA878D7" wp14:editId="6D30ACDD">
                <wp:simplePos x="0" y="0"/>
                <wp:positionH relativeFrom="page">
                  <wp:posOffset>809999</wp:posOffset>
                </wp:positionH>
                <wp:positionV relativeFrom="paragraph">
                  <wp:posOffset>181413</wp:posOffset>
                </wp:positionV>
                <wp:extent cx="5940425" cy="12700"/>
                <wp:effectExtent l="0" t="0" r="0" b="0"/>
                <wp:wrapTopAndBottom/>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701" name="Graphic 701"/>
                        <wps:cNvSpPr/>
                        <wps:spPr>
                          <a:xfrm>
                            <a:off x="0" y="6350"/>
                            <a:ext cx="2781300" cy="1270"/>
                          </a:xfrm>
                          <a:custGeom>
                            <a:avLst/>
                            <a:gdLst/>
                            <a:ahLst/>
                            <a:cxnLst/>
                            <a:rect l="l" t="t" r="r" b="b"/>
                            <a:pathLst>
                              <a:path w="2781300">
                                <a:moveTo>
                                  <a:pt x="0" y="0"/>
                                </a:moveTo>
                                <a:lnTo>
                                  <a:pt x="2780995" y="0"/>
                                </a:lnTo>
                              </a:path>
                            </a:pathLst>
                          </a:custGeom>
                          <a:ln w="12700">
                            <a:solidFill>
                              <a:srgbClr val="000000"/>
                            </a:solidFill>
                            <a:prstDash val="solid"/>
                          </a:ln>
                        </wps:spPr>
                        <wps:bodyPr wrap="square" lIns="0" tIns="0" rIns="0" bIns="0" rtlCol="0">
                          <a:prstTxWarp prst="textNoShape">
                            <a:avLst/>
                          </a:prstTxWarp>
                          <a:noAutofit/>
                        </wps:bodyPr>
                      </wps:wsp>
                      <wps:wsp>
                        <wps:cNvPr id="702" name="Graphic 702"/>
                        <wps:cNvSpPr/>
                        <wps:spPr>
                          <a:xfrm>
                            <a:off x="2781000" y="6350"/>
                            <a:ext cx="3159125" cy="1270"/>
                          </a:xfrm>
                          <a:custGeom>
                            <a:avLst/>
                            <a:gdLst/>
                            <a:ahLst/>
                            <a:cxnLst/>
                            <a:rect l="l" t="t" r="r" b="b"/>
                            <a:pathLst>
                              <a:path w="3159125">
                                <a:moveTo>
                                  <a:pt x="0" y="0"/>
                                </a:moveTo>
                                <a:lnTo>
                                  <a:pt x="3158998"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098CA9" id="Group 700" o:spid="_x0000_s1026" style="position:absolute;margin-left:63.8pt;margin-top:14.3pt;width:467.75pt;height:1pt;z-index:-15644672;mso-wrap-distance-left:0;mso-wrap-distance-right:0;mso-position-horizont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">
                <v:shape id="Graphic 701" o:spid="_x0000_s1027" style="position:absolute;top:63;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" path="m,l2780995,e" filled="f" strokeweight="1pt">
                  <v:path arrowok="t"/>
                </v:shape>
                <v:shape id="Graphic 702" o:spid="_x0000_s1028" style="position:absolute;left:27810;top:63;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" path="m,l3158998,e" filled="f" strokeweight="1pt">
                  <v:path arrowok="t"/>
                </v:shape>
                <w10:wrap type="topAndBottom" anchorx="page"/>
              </v:group>
            </w:pict>
          </mc:Fallback>
        </mc:AlternateContent>
      </w:r>
    </w:p>
    <w:p w14:paraId="2E00B3BB" w14:textId="77777777" w:rsidR="00AC6F3C" w:rsidRDefault="00570E88">
      <w:pPr>
        <w:tabs>
          <w:tab w:val="left" w:pos="5308"/>
        </w:tabs>
        <w:spacing w:before="61" w:after="61"/>
        <w:ind w:left="928"/>
        <w:rPr>
          <w:b/>
          <w:sz w:val="20"/>
        </w:rPr>
      </w:pPr>
      <w:r>
        <w:rPr>
          <w:b/>
          <w:sz w:val="20"/>
        </w:rPr>
        <w:t>Working</w:t>
      </w:r>
      <w:r>
        <w:rPr>
          <w:b/>
          <w:spacing w:val="-4"/>
          <w:sz w:val="20"/>
        </w:rPr>
        <w:t xml:space="preserve"> </w:t>
      </w:r>
      <w:r>
        <w:rPr>
          <w:b/>
          <w:spacing w:val="-2"/>
          <w:sz w:val="20"/>
        </w:rPr>
        <w:t>group</w:t>
      </w:r>
      <w:r>
        <w:rPr>
          <w:b/>
          <w:sz w:val="20"/>
        </w:rPr>
        <w:tab/>
        <w:t>Chair</w:t>
      </w:r>
      <w:r>
        <w:rPr>
          <w:b/>
          <w:spacing w:val="-5"/>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p w14:paraId="6BFBE87E" w14:textId="77777777" w:rsidR="00AC6F3C" w:rsidRDefault="00570E88">
      <w:pPr>
        <w:pStyle w:val="BodyText"/>
        <w:spacing w:line="20" w:lineRule="exact"/>
        <w:ind w:left="805"/>
        <w:rPr>
          <w:sz w:val="2"/>
        </w:rPr>
      </w:pPr>
      <w:r>
        <w:rPr>
          <w:noProof/>
          <w:sz w:val="2"/>
        </w:rPr>
        <mc:AlternateContent>
          <mc:Choice Requires="wpg">
            <w:drawing>
              <wp:inline distT="0" distB="0" distL="0" distR="0" wp14:anchorId="7F64958A" wp14:editId="50C9C7B1">
                <wp:extent cx="5940425" cy="12700"/>
                <wp:effectExtent l="9525" t="0" r="3175" b="6350"/>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704" name="Graphic 704"/>
                        <wps:cNvSpPr/>
                        <wps:spPr>
                          <a:xfrm>
                            <a:off x="0" y="6350"/>
                            <a:ext cx="2781300" cy="1270"/>
                          </a:xfrm>
                          <a:custGeom>
                            <a:avLst/>
                            <a:gdLst/>
                            <a:ahLst/>
                            <a:cxnLst/>
                            <a:rect l="l" t="t" r="r" b="b"/>
                            <a:pathLst>
                              <a:path w="2781300">
                                <a:moveTo>
                                  <a:pt x="0" y="0"/>
                                </a:moveTo>
                                <a:lnTo>
                                  <a:pt x="2780995" y="0"/>
                                </a:lnTo>
                              </a:path>
                            </a:pathLst>
                          </a:custGeom>
                          <a:ln w="12700">
                            <a:solidFill>
                              <a:srgbClr val="000000"/>
                            </a:solidFill>
                            <a:prstDash val="solid"/>
                          </a:ln>
                        </wps:spPr>
                        <wps:bodyPr wrap="square" lIns="0" tIns="0" rIns="0" bIns="0" rtlCol="0">
                          <a:prstTxWarp prst="textNoShape">
                            <a:avLst/>
                          </a:prstTxWarp>
                          <a:noAutofit/>
                        </wps:bodyPr>
                      </wps:wsp>
                      <wps:wsp>
                        <wps:cNvPr id="705" name="Graphic 705"/>
                        <wps:cNvSpPr/>
                        <wps:spPr>
                          <a:xfrm>
                            <a:off x="2781000" y="6350"/>
                            <a:ext cx="3159125" cy="1270"/>
                          </a:xfrm>
                          <a:custGeom>
                            <a:avLst/>
                            <a:gdLst/>
                            <a:ahLst/>
                            <a:cxnLst/>
                            <a:rect l="l" t="t" r="r" b="b"/>
                            <a:pathLst>
                              <a:path w="3159125">
                                <a:moveTo>
                                  <a:pt x="0" y="0"/>
                                </a:moveTo>
                                <a:lnTo>
                                  <a:pt x="3158998"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1B541F" id="Group 703"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">
                <v:shape id="Graphic 704" o:spid="_x0000_s1027" style="position:absolute;top:63;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" path="m,l2780995,e" filled="f" strokeweight="1pt">
                  <v:path arrowok="t"/>
                </v:shape>
                <v:shape id="Graphic 705" o:spid="_x0000_s1028" style="position:absolute;left:27810;top:63;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" path="m,l3158998,e" filled="f" strokeweight="1pt">
                  <v:path arrowok="t"/>
                </v:shape>
                <w10:anchorlock/>
              </v:group>
            </w:pict>
          </mc:Fallback>
        </mc:AlternateContent>
      </w:r>
    </w:p>
    <w:p w14:paraId="3A1328A1" w14:textId="77777777" w:rsidR="00AC6F3C" w:rsidRDefault="00570E88">
      <w:pPr>
        <w:pStyle w:val="BodyText"/>
        <w:spacing w:before="69"/>
        <w:ind w:left="928"/>
      </w:pPr>
      <w:r>
        <w:t>Diverse</w:t>
      </w:r>
      <w:r>
        <w:rPr>
          <w:spacing w:val="-14"/>
        </w:rPr>
        <w:t xml:space="preserve"> </w:t>
      </w:r>
      <w:r>
        <w:t>Abilities</w:t>
      </w:r>
      <w:r>
        <w:rPr>
          <w:spacing w:val="-3"/>
        </w:rPr>
        <w:t xml:space="preserve"> </w:t>
      </w:r>
      <w:r>
        <w:rPr>
          <w:spacing w:val="-2"/>
        </w:rPr>
        <w:t>Network</w:t>
      </w:r>
    </w:p>
    <w:p w14:paraId="0C0A6FE6" w14:textId="77777777" w:rsidR="00AC6F3C" w:rsidRDefault="00570E88">
      <w:pPr>
        <w:pStyle w:val="BodyText"/>
        <w:spacing w:before="9"/>
        <w:rPr>
          <w:sz w:val="3"/>
        </w:rPr>
      </w:pPr>
      <w:r>
        <w:rPr>
          <w:noProof/>
        </w:rPr>
        <mc:AlternateContent>
          <mc:Choice Requires="wpg">
            <w:drawing>
              <wp:anchor distT="0" distB="0" distL="0" distR="0" simplePos="0" relativeHeight="487672832" behindDoc="1" locked="0" layoutInCell="1" allowOverlap="1" wp14:anchorId="67FEB52E" wp14:editId="3179846C">
                <wp:simplePos x="0" y="0"/>
                <wp:positionH relativeFrom="page">
                  <wp:posOffset>809999</wp:posOffset>
                </wp:positionH>
                <wp:positionV relativeFrom="paragraph">
                  <wp:posOffset>43432</wp:posOffset>
                </wp:positionV>
                <wp:extent cx="5940425" cy="3175"/>
                <wp:effectExtent l="0" t="0" r="0" b="0"/>
                <wp:wrapTopAndBottom/>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707" name="Graphic 707"/>
                        <wps:cNvSpPr/>
                        <wps:spPr>
                          <a:xfrm>
                            <a:off x="0" y="1587"/>
                            <a:ext cx="2781300" cy="1270"/>
                          </a:xfrm>
                          <a:custGeom>
                            <a:avLst/>
                            <a:gdLst/>
                            <a:ahLst/>
                            <a:cxnLst/>
                            <a:rect l="l" t="t" r="r" b="b"/>
                            <a:pathLst>
                              <a:path w="2781300">
                                <a:moveTo>
                                  <a:pt x="0" y="0"/>
                                </a:moveTo>
                                <a:lnTo>
                                  <a:pt x="2780995" y="0"/>
                                </a:lnTo>
                              </a:path>
                            </a:pathLst>
                          </a:custGeom>
                          <a:ln w="3175">
                            <a:solidFill>
                              <a:srgbClr val="000000"/>
                            </a:solidFill>
                            <a:prstDash val="solid"/>
                          </a:ln>
                        </wps:spPr>
                        <wps:bodyPr wrap="square" lIns="0" tIns="0" rIns="0" bIns="0" rtlCol="0">
                          <a:prstTxWarp prst="textNoShape">
                            <a:avLst/>
                          </a:prstTxWarp>
                          <a:noAutofit/>
                        </wps:bodyPr>
                      </wps:wsp>
                      <wps:wsp>
                        <wps:cNvPr id="708" name="Graphic 708"/>
                        <wps:cNvSpPr/>
                        <wps:spPr>
                          <a:xfrm>
                            <a:off x="2781000" y="1587"/>
                            <a:ext cx="3159125" cy="1270"/>
                          </a:xfrm>
                          <a:custGeom>
                            <a:avLst/>
                            <a:gdLst/>
                            <a:ahLst/>
                            <a:cxnLst/>
                            <a:rect l="l" t="t" r="r" b="b"/>
                            <a:pathLst>
                              <a:path w="3159125">
                                <a:moveTo>
                                  <a:pt x="0" y="0"/>
                                </a:moveTo>
                                <a:lnTo>
                                  <a:pt x="3158998"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EFADF9" id="Group 706" o:spid="_x0000_s1026" style="position:absolute;margin-left:63.8pt;margin-top:3.4pt;width:467.75pt;height:.25pt;z-index:-156436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">
                <v:shape id="Graphic 707" o:spid="_x0000_s1027" style="position:absolute;top:15;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" path="m,l2780995,e" filled="f" strokeweight=".25pt">
                  <v:path arrowok="t"/>
                </v:shape>
                <v:shape id="Graphic 708" o:spid="_x0000_s1028" style="position:absolute;left:27810;top:15;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" path="m,l3158998,e" filled="f" strokeweight=".25pt">
                  <v:path arrowok="t"/>
                </v:shape>
                <w10:wrap type="topAndBottom" anchorx="page"/>
              </v:group>
            </w:pict>
          </mc:Fallback>
        </mc:AlternateContent>
      </w:r>
    </w:p>
    <w:p w14:paraId="07738201" w14:textId="77777777" w:rsidR="00AC6F3C" w:rsidRDefault="00570E88">
      <w:pPr>
        <w:pStyle w:val="BodyText"/>
        <w:tabs>
          <w:tab w:val="left" w:pos="5308"/>
        </w:tabs>
        <w:spacing w:before="69"/>
        <w:ind w:left="928"/>
      </w:pPr>
      <w:r>
        <w:t>Judicial</w:t>
      </w:r>
      <w:r>
        <w:rPr>
          <w:spacing w:val="-9"/>
        </w:rPr>
        <w:t xml:space="preserve"> </w:t>
      </w:r>
      <w:r>
        <w:t>Commission</w:t>
      </w:r>
      <w:r>
        <w:rPr>
          <w:spacing w:val="-8"/>
        </w:rPr>
        <w:t xml:space="preserve"> </w:t>
      </w:r>
      <w:r>
        <w:t>Working</w:t>
      </w:r>
      <w:r>
        <w:rPr>
          <w:spacing w:val="-8"/>
        </w:rPr>
        <w:t xml:space="preserve"> </w:t>
      </w:r>
      <w:r>
        <w:rPr>
          <w:spacing w:val="-2"/>
        </w:rPr>
        <w:t>Group</w:t>
      </w:r>
      <w:r>
        <w:tab/>
        <w:t>Chair:</w:t>
      </w:r>
      <w:r>
        <w:rPr>
          <w:spacing w:val="-3"/>
        </w:rPr>
        <w:t xml:space="preserve"> </w:t>
      </w:r>
      <w:r>
        <w:t>Dan</w:t>
      </w:r>
      <w:r>
        <w:rPr>
          <w:spacing w:val="-1"/>
        </w:rPr>
        <w:t xml:space="preserve"> </w:t>
      </w:r>
      <w:r>
        <w:rPr>
          <w:spacing w:val="-2"/>
        </w:rPr>
        <w:t>Rogers</w:t>
      </w:r>
    </w:p>
    <w:p w14:paraId="754F23B9" w14:textId="77777777" w:rsidR="00AC6F3C" w:rsidRDefault="00570E88">
      <w:pPr>
        <w:pStyle w:val="BodyText"/>
        <w:spacing w:before="9"/>
        <w:rPr>
          <w:sz w:val="3"/>
        </w:rPr>
      </w:pPr>
      <w:r>
        <w:rPr>
          <w:noProof/>
        </w:rPr>
        <mc:AlternateContent>
          <mc:Choice Requires="wpg">
            <w:drawing>
              <wp:anchor distT="0" distB="0" distL="0" distR="0" simplePos="0" relativeHeight="487673344" behindDoc="1" locked="0" layoutInCell="1" allowOverlap="1" wp14:anchorId="1DD9ED7E" wp14:editId="4C78AE79">
                <wp:simplePos x="0" y="0"/>
                <wp:positionH relativeFrom="page">
                  <wp:posOffset>809999</wp:posOffset>
                </wp:positionH>
                <wp:positionV relativeFrom="paragraph">
                  <wp:posOffset>43431</wp:posOffset>
                </wp:positionV>
                <wp:extent cx="5940425" cy="3175"/>
                <wp:effectExtent l="0" t="0" r="0" b="0"/>
                <wp:wrapTopAndBottom/>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710" name="Graphic 710"/>
                        <wps:cNvSpPr/>
                        <wps:spPr>
                          <a:xfrm>
                            <a:off x="0" y="1587"/>
                            <a:ext cx="2781300" cy="1270"/>
                          </a:xfrm>
                          <a:custGeom>
                            <a:avLst/>
                            <a:gdLst/>
                            <a:ahLst/>
                            <a:cxnLst/>
                            <a:rect l="l" t="t" r="r" b="b"/>
                            <a:pathLst>
                              <a:path w="2781300">
                                <a:moveTo>
                                  <a:pt x="0" y="0"/>
                                </a:moveTo>
                                <a:lnTo>
                                  <a:pt x="2780995" y="0"/>
                                </a:lnTo>
                              </a:path>
                            </a:pathLst>
                          </a:custGeom>
                          <a:ln w="3175">
                            <a:solidFill>
                              <a:srgbClr val="000000"/>
                            </a:solidFill>
                            <a:prstDash val="solid"/>
                          </a:ln>
                        </wps:spPr>
                        <wps:bodyPr wrap="square" lIns="0" tIns="0" rIns="0" bIns="0" rtlCol="0">
                          <a:prstTxWarp prst="textNoShape">
                            <a:avLst/>
                          </a:prstTxWarp>
                          <a:noAutofit/>
                        </wps:bodyPr>
                      </wps:wsp>
                      <wps:wsp>
                        <wps:cNvPr id="711" name="Graphic 711"/>
                        <wps:cNvSpPr/>
                        <wps:spPr>
                          <a:xfrm>
                            <a:off x="2781000" y="1587"/>
                            <a:ext cx="3159125" cy="1270"/>
                          </a:xfrm>
                          <a:custGeom>
                            <a:avLst/>
                            <a:gdLst/>
                            <a:ahLst/>
                            <a:cxnLst/>
                            <a:rect l="l" t="t" r="r" b="b"/>
                            <a:pathLst>
                              <a:path w="3159125">
                                <a:moveTo>
                                  <a:pt x="0" y="0"/>
                                </a:moveTo>
                                <a:lnTo>
                                  <a:pt x="3158998"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6C0CDB" id="Group 709" o:spid="_x0000_s1026" style="position:absolute;margin-left:63.8pt;margin-top:3.4pt;width:467.75pt;height:.25pt;z-index:-1564313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ASgzZ0uAIA&#10;AHcIAAAOAAAAAAAAAAAAAAAAAC4CAABkcnMvZTJvRG9jLnhtbFBLAQItABQABgAIAAAAIQDwBfp2&#10;3gAAAAgBAAAPAAAAAAAAAAAAAAAAABIFAABkcnMvZG93bnJldi54bWxQSwUGAAAAAAQABADzAAAA&#10;HQYAAAAA&#10;">
                <v:shape id="Graphic 710" o:spid="_x0000_s1027" style="position:absolute;top:15;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" path="m,l2780995,e" filled="f" strokeweight=".25pt">
                  <v:path arrowok="t"/>
                </v:shape>
                <v:shape id="Graphic 711" o:spid="_x0000_s1028" style="position:absolute;left:27810;top:15;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" path="m,l3158998,e" filled="f" strokeweight=".25pt">
                  <v:path arrowok="t"/>
                </v:shape>
                <w10:wrap type="topAndBottom" anchorx="page"/>
              </v:group>
            </w:pict>
          </mc:Fallback>
        </mc:AlternateContent>
      </w:r>
    </w:p>
    <w:p w14:paraId="781A555B" w14:textId="77777777" w:rsidR="00AC6F3C" w:rsidRDefault="00570E88">
      <w:pPr>
        <w:pStyle w:val="BodyText"/>
        <w:spacing w:before="69" w:line="212" w:lineRule="exact"/>
        <w:ind w:left="5308"/>
      </w:pPr>
      <w:r>
        <w:t>Chair:</w:t>
      </w:r>
      <w:r>
        <w:rPr>
          <w:spacing w:val="-2"/>
        </w:rPr>
        <w:t xml:space="preserve"> </w:t>
      </w:r>
      <w:r>
        <w:t>Noela</w:t>
      </w:r>
      <w:r>
        <w:rPr>
          <w:spacing w:val="-2"/>
        </w:rPr>
        <w:t xml:space="preserve"> </w:t>
      </w:r>
      <w:proofErr w:type="spellStart"/>
      <w:r>
        <w:rPr>
          <w:spacing w:val="-2"/>
        </w:rPr>
        <w:t>L’Estrange</w:t>
      </w:r>
      <w:proofErr w:type="spellEnd"/>
    </w:p>
    <w:p w14:paraId="25498CA8" w14:textId="77777777" w:rsidR="00AC6F3C" w:rsidRDefault="00AC6F3C">
      <w:pPr>
        <w:spacing w:line="212" w:lineRule="exact"/>
        <w:sectPr w:rsidR="00AC6F3C">
          <w:type w:val="continuous"/>
          <w:pgSz w:w="11910" w:h="16840"/>
          <w:pgMar w:top="1920" w:right="1160" w:bottom="280" w:left="460" w:header="1276" w:footer="336" w:gutter="0"/>
          <w:cols w:space="720"/>
        </w:sectPr>
      </w:pPr>
    </w:p>
    <w:p w14:paraId="11A5C19B" w14:textId="77777777" w:rsidR="00AC6F3C" w:rsidRDefault="00570E88">
      <w:pPr>
        <w:pStyle w:val="BodyText"/>
        <w:spacing w:line="223" w:lineRule="exact"/>
        <w:ind w:left="928"/>
      </w:pPr>
      <w:r>
        <w:t>Wellbeing</w:t>
      </w:r>
      <w:r>
        <w:rPr>
          <w:spacing w:val="-10"/>
        </w:rPr>
        <w:t xml:space="preserve"> </w:t>
      </w:r>
      <w:r>
        <w:t>Working</w:t>
      </w:r>
      <w:r>
        <w:rPr>
          <w:spacing w:val="-10"/>
        </w:rPr>
        <w:t xml:space="preserve"> </w:t>
      </w:r>
      <w:r>
        <w:rPr>
          <w:spacing w:val="-2"/>
        </w:rPr>
        <w:t>group</w:t>
      </w:r>
    </w:p>
    <w:p w14:paraId="1F01101B" w14:textId="77777777" w:rsidR="00AC6F3C" w:rsidRDefault="00AC6F3C">
      <w:pPr>
        <w:pStyle w:val="BodyText"/>
        <w:spacing w:before="2"/>
        <w:rPr>
          <w:sz w:val="30"/>
        </w:rPr>
      </w:pPr>
    </w:p>
    <w:p w14:paraId="06D3A983" w14:textId="77777777" w:rsidR="00AC6F3C" w:rsidRDefault="00570E88">
      <w:pPr>
        <w:pStyle w:val="BodyText"/>
        <w:spacing w:line="249" w:lineRule="auto"/>
        <w:ind w:left="928"/>
      </w:pPr>
      <w:r>
        <w:rPr>
          <w:noProof/>
        </w:rPr>
        <mc:AlternateContent>
          <mc:Choice Requires="wpg">
            <w:drawing>
              <wp:anchor distT="0" distB="0" distL="0" distR="0" simplePos="0" relativeHeight="15815680" behindDoc="0" locked="0" layoutInCell="1" allowOverlap="1" wp14:anchorId="4CCA3E89" wp14:editId="05CDDACD">
                <wp:simplePos x="0" y="0"/>
                <wp:positionH relativeFrom="page">
                  <wp:posOffset>809999</wp:posOffset>
                </wp:positionH>
                <wp:positionV relativeFrom="paragraph">
                  <wp:posOffset>-46867</wp:posOffset>
                </wp:positionV>
                <wp:extent cx="5940425" cy="317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713" name="Graphic 713"/>
                        <wps:cNvSpPr/>
                        <wps:spPr>
                          <a:xfrm>
                            <a:off x="0" y="1587"/>
                            <a:ext cx="2781300" cy="1270"/>
                          </a:xfrm>
                          <a:custGeom>
                            <a:avLst/>
                            <a:gdLst/>
                            <a:ahLst/>
                            <a:cxnLst/>
                            <a:rect l="l" t="t" r="r" b="b"/>
                            <a:pathLst>
                              <a:path w="2781300">
                                <a:moveTo>
                                  <a:pt x="0" y="0"/>
                                </a:moveTo>
                                <a:lnTo>
                                  <a:pt x="2780995" y="0"/>
                                </a:lnTo>
                              </a:path>
                            </a:pathLst>
                          </a:custGeom>
                          <a:ln w="3175">
                            <a:solidFill>
                              <a:srgbClr val="000000"/>
                            </a:solidFill>
                            <a:prstDash val="solid"/>
                          </a:ln>
                        </wps:spPr>
                        <wps:bodyPr wrap="square" lIns="0" tIns="0" rIns="0" bIns="0" rtlCol="0">
                          <a:prstTxWarp prst="textNoShape">
                            <a:avLst/>
                          </a:prstTxWarp>
                          <a:noAutofit/>
                        </wps:bodyPr>
                      </wps:wsp>
                      <wps:wsp>
                        <wps:cNvPr id="714" name="Graphic 714"/>
                        <wps:cNvSpPr/>
                        <wps:spPr>
                          <a:xfrm>
                            <a:off x="2781000" y="1587"/>
                            <a:ext cx="3159125" cy="1270"/>
                          </a:xfrm>
                          <a:custGeom>
                            <a:avLst/>
                            <a:gdLst/>
                            <a:ahLst/>
                            <a:cxnLst/>
                            <a:rect l="l" t="t" r="r" b="b"/>
                            <a:pathLst>
                              <a:path w="3159125">
                                <a:moveTo>
                                  <a:pt x="0" y="0"/>
                                </a:moveTo>
                                <a:lnTo>
                                  <a:pt x="3158998"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A04E14" id="Group 712" o:spid="_x0000_s1026" style="position:absolute;margin-left:63.8pt;margin-top:-3.7pt;width:467.75pt;height:.25pt;z-index:1581568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">
                <v:shape id="Graphic 713" o:spid="_x0000_s1027" style="position:absolute;top:15;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" path="m,l2780995,e" filled="f" strokeweight=".25pt">
                  <v:path arrowok="t"/>
                </v:shape>
                <v:shape id="Graphic 714" o:spid="_x0000_s1028" style="position:absolute;left:27810;top:15;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" path="m,l3158998,e" filled="f" strokeweight=".25pt">
                  <v:path arrowok="t"/>
                </v:shape>
                <w10:wrap anchorx="page"/>
              </v:group>
            </w:pict>
          </mc:Fallback>
        </mc:AlternateContent>
      </w:r>
      <w:r>
        <w:t>QLS</w:t>
      </w:r>
      <w:r>
        <w:rPr>
          <w:spacing w:val="-10"/>
        </w:rPr>
        <w:t xml:space="preserve"> </w:t>
      </w:r>
      <w:r>
        <w:t>Cybersecurity</w:t>
      </w:r>
      <w:r>
        <w:rPr>
          <w:spacing w:val="-10"/>
        </w:rPr>
        <w:t xml:space="preserve"> </w:t>
      </w:r>
      <w:r>
        <w:t>and</w:t>
      </w:r>
      <w:r>
        <w:rPr>
          <w:spacing w:val="-10"/>
        </w:rPr>
        <w:t xml:space="preserve"> </w:t>
      </w:r>
      <w:r>
        <w:t>Scam</w:t>
      </w:r>
      <w:r>
        <w:rPr>
          <w:spacing w:val="-10"/>
        </w:rPr>
        <w:t xml:space="preserve"> </w:t>
      </w:r>
      <w:r>
        <w:t>Prevention Working Group</w:t>
      </w:r>
    </w:p>
    <w:p w14:paraId="011AC7EE" w14:textId="77777777" w:rsidR="00AC6F3C" w:rsidRDefault="00570E88">
      <w:pPr>
        <w:spacing w:before="2"/>
        <w:rPr>
          <w:sz w:val="17"/>
        </w:rPr>
      </w:pPr>
      <w:r>
        <w:br w:type="column"/>
      </w:r>
    </w:p>
    <w:p w14:paraId="7B74B7EB" w14:textId="77777777" w:rsidR="00AC6F3C" w:rsidRDefault="00570E88">
      <w:pPr>
        <w:pStyle w:val="BodyText"/>
        <w:spacing w:before="1"/>
        <w:ind w:left="693"/>
      </w:pPr>
      <w:r>
        <w:t>Deputy</w:t>
      </w:r>
      <w:r>
        <w:rPr>
          <w:spacing w:val="-2"/>
        </w:rPr>
        <w:t xml:space="preserve"> </w:t>
      </w:r>
      <w:r>
        <w:t>Chairs:</w:t>
      </w:r>
      <w:r>
        <w:rPr>
          <w:spacing w:val="-2"/>
        </w:rPr>
        <w:t xml:space="preserve"> </w:t>
      </w:r>
      <w:r>
        <w:t>Belinda</w:t>
      </w:r>
      <w:r>
        <w:rPr>
          <w:spacing w:val="-2"/>
        </w:rPr>
        <w:t xml:space="preserve"> </w:t>
      </w:r>
      <w:r>
        <w:t>Winter</w:t>
      </w:r>
      <w:r>
        <w:rPr>
          <w:spacing w:val="-2"/>
        </w:rPr>
        <w:t xml:space="preserve"> </w:t>
      </w:r>
      <w:r>
        <w:t>&amp;</w:t>
      </w:r>
      <w:r>
        <w:rPr>
          <w:spacing w:val="-2"/>
        </w:rPr>
        <w:t xml:space="preserve"> </w:t>
      </w:r>
      <w:r>
        <w:t>Philip</w:t>
      </w:r>
      <w:r>
        <w:rPr>
          <w:spacing w:val="-1"/>
        </w:rPr>
        <w:t xml:space="preserve"> </w:t>
      </w:r>
      <w:r>
        <w:rPr>
          <w:spacing w:val="-4"/>
        </w:rPr>
        <w:t>Ware</w:t>
      </w:r>
    </w:p>
    <w:p w14:paraId="47C0B6FF" w14:textId="77777777" w:rsidR="00AC6F3C" w:rsidRDefault="00AC6F3C">
      <w:pPr>
        <w:sectPr w:rsidR="00AC6F3C">
          <w:type w:val="continuous"/>
          <w:pgSz w:w="11910" w:h="16840"/>
          <w:pgMar w:top="1920" w:right="1160" w:bottom="280" w:left="460" w:header="1276" w:footer="336" w:gutter="0"/>
          <w:cols w:num="2" w:space="720" w:equalWidth="0">
            <w:col w:w="4575" w:space="40"/>
            <w:col w:w="5675"/>
          </w:cols>
        </w:sectPr>
      </w:pPr>
    </w:p>
    <w:p w14:paraId="473926FC" w14:textId="77777777" w:rsidR="00AC6F3C" w:rsidRDefault="00AC6F3C">
      <w:pPr>
        <w:pStyle w:val="BodyText"/>
        <w:spacing w:before="2"/>
        <w:rPr>
          <w:sz w:val="5"/>
        </w:rPr>
      </w:pPr>
    </w:p>
    <w:p w14:paraId="76995CEC"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454F9375" wp14:editId="18D8D70F">
                <wp:extent cx="5940425" cy="3175"/>
                <wp:effectExtent l="9525" t="0" r="0" b="6350"/>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716" name="Graphic 716"/>
                        <wps:cNvSpPr/>
                        <wps:spPr>
                          <a:xfrm>
                            <a:off x="0" y="1587"/>
                            <a:ext cx="2781300" cy="1270"/>
                          </a:xfrm>
                          <a:custGeom>
                            <a:avLst/>
                            <a:gdLst/>
                            <a:ahLst/>
                            <a:cxnLst/>
                            <a:rect l="l" t="t" r="r" b="b"/>
                            <a:pathLst>
                              <a:path w="2781300">
                                <a:moveTo>
                                  <a:pt x="0" y="0"/>
                                </a:moveTo>
                                <a:lnTo>
                                  <a:pt x="2780995" y="0"/>
                                </a:lnTo>
                              </a:path>
                            </a:pathLst>
                          </a:custGeom>
                          <a:ln w="3175">
                            <a:solidFill>
                              <a:srgbClr val="000000"/>
                            </a:solidFill>
                            <a:prstDash val="solid"/>
                          </a:ln>
                        </wps:spPr>
                        <wps:bodyPr wrap="square" lIns="0" tIns="0" rIns="0" bIns="0" rtlCol="0">
                          <a:prstTxWarp prst="textNoShape">
                            <a:avLst/>
                          </a:prstTxWarp>
                          <a:noAutofit/>
                        </wps:bodyPr>
                      </wps:wsp>
                      <wps:wsp>
                        <wps:cNvPr id="717" name="Graphic 717"/>
                        <wps:cNvSpPr/>
                        <wps:spPr>
                          <a:xfrm>
                            <a:off x="2781000" y="1587"/>
                            <a:ext cx="3159125" cy="1270"/>
                          </a:xfrm>
                          <a:custGeom>
                            <a:avLst/>
                            <a:gdLst/>
                            <a:ahLst/>
                            <a:cxnLst/>
                            <a:rect l="l" t="t" r="r" b="b"/>
                            <a:pathLst>
                              <a:path w="3159125">
                                <a:moveTo>
                                  <a:pt x="0" y="0"/>
                                </a:moveTo>
                                <a:lnTo>
                                  <a:pt x="3158998"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B7C253" id="Group 715"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">
                <v:shape id="Graphic 716" o:spid="_x0000_s1027" style="position:absolute;top:15;width:27813;height:13;visibility:visible;mso-wrap-style:square;v-text-anchor:top" coordsize="278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" path="m,l2780995,e" filled="f" strokeweight=".25pt">
                  <v:path arrowok="t"/>
                </v:shape>
                <v:shape id="Graphic 717" o:spid="_x0000_s1028" style="position:absolute;left:27810;top:15;width:31591;height:13;visibility:visible;mso-wrap-style:square;v-text-anchor:top" coordsize="315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" path="m,l3158998,e" filled="f" strokeweight=".25pt">
                  <v:path arrowok="t"/>
                </v:shape>
                <w10:anchorlock/>
              </v:group>
            </w:pict>
          </mc:Fallback>
        </mc:AlternateContent>
      </w:r>
    </w:p>
    <w:p w14:paraId="748EBF98" w14:textId="77777777" w:rsidR="00AC6F3C" w:rsidRDefault="00AC6F3C">
      <w:pPr>
        <w:pStyle w:val="BodyText"/>
      </w:pPr>
    </w:p>
    <w:p w14:paraId="23591FC9" w14:textId="77777777" w:rsidR="00AC6F3C" w:rsidRDefault="00AC6F3C">
      <w:pPr>
        <w:pStyle w:val="BodyText"/>
        <w:spacing w:before="1"/>
        <w:rPr>
          <w:sz w:val="21"/>
        </w:rPr>
      </w:pPr>
    </w:p>
    <w:p w14:paraId="2D251559" w14:textId="77777777" w:rsidR="00AC6F3C" w:rsidRDefault="00570E88">
      <w:pPr>
        <w:spacing w:before="92"/>
        <w:ind w:left="815"/>
        <w:rPr>
          <w:b/>
          <w:sz w:val="26"/>
        </w:rPr>
      </w:pPr>
      <w:r>
        <w:rPr>
          <w:b/>
          <w:sz w:val="26"/>
        </w:rPr>
        <w:t>Outgoing</w:t>
      </w:r>
      <w:r>
        <w:rPr>
          <w:b/>
          <w:spacing w:val="-3"/>
          <w:sz w:val="26"/>
        </w:rPr>
        <w:t xml:space="preserve"> </w:t>
      </w:r>
      <w:r>
        <w:rPr>
          <w:b/>
          <w:sz w:val="26"/>
        </w:rPr>
        <w:t>Chairs</w:t>
      </w:r>
      <w:r>
        <w:rPr>
          <w:b/>
          <w:spacing w:val="-2"/>
          <w:sz w:val="26"/>
        </w:rPr>
        <w:t xml:space="preserve"> </w:t>
      </w:r>
      <w:r>
        <w:rPr>
          <w:b/>
          <w:sz w:val="26"/>
        </w:rPr>
        <w:t>and</w:t>
      </w:r>
      <w:r>
        <w:rPr>
          <w:b/>
          <w:spacing w:val="-3"/>
          <w:sz w:val="26"/>
        </w:rPr>
        <w:t xml:space="preserve"> </w:t>
      </w:r>
      <w:r>
        <w:rPr>
          <w:b/>
          <w:sz w:val="26"/>
        </w:rPr>
        <w:t>Deputy</w:t>
      </w:r>
      <w:r>
        <w:rPr>
          <w:b/>
          <w:spacing w:val="-2"/>
          <w:sz w:val="26"/>
        </w:rPr>
        <w:t xml:space="preserve"> Chairs</w:t>
      </w:r>
    </w:p>
    <w:p w14:paraId="02B0BB12" w14:textId="77777777" w:rsidR="00AC6F3C" w:rsidRDefault="00570E88">
      <w:pPr>
        <w:pStyle w:val="BodyText"/>
        <w:spacing w:before="167" w:line="249" w:lineRule="auto"/>
        <w:ind w:left="815" w:right="1758"/>
      </w:pPr>
      <w:r>
        <w:t>The</w:t>
      </w:r>
      <w:r>
        <w:rPr>
          <w:spacing w:val="-4"/>
        </w:rPr>
        <w:t xml:space="preserve"> </w:t>
      </w:r>
      <w:r>
        <w:t>Society</w:t>
      </w:r>
      <w:r>
        <w:rPr>
          <w:spacing w:val="-4"/>
        </w:rPr>
        <w:t xml:space="preserve"> </w:t>
      </w:r>
      <w:r>
        <w:t>would</w:t>
      </w:r>
      <w:r>
        <w:rPr>
          <w:spacing w:val="-4"/>
        </w:rPr>
        <w:t xml:space="preserve"> </w:t>
      </w:r>
      <w:r>
        <w:t>like</w:t>
      </w:r>
      <w:r>
        <w:rPr>
          <w:spacing w:val="-4"/>
        </w:rPr>
        <w:t xml:space="preserve"> </w:t>
      </w:r>
      <w:r>
        <w:t>to</w:t>
      </w:r>
      <w:r>
        <w:rPr>
          <w:spacing w:val="-4"/>
        </w:rPr>
        <w:t xml:space="preserve"> </w:t>
      </w:r>
      <w:r>
        <w:t>acknowledge</w:t>
      </w:r>
      <w:r>
        <w:rPr>
          <w:spacing w:val="-4"/>
        </w:rPr>
        <w:t xml:space="preserve"> </w:t>
      </w:r>
      <w:r>
        <w:t>the</w:t>
      </w:r>
      <w:r>
        <w:rPr>
          <w:spacing w:val="-4"/>
        </w:rPr>
        <w:t xml:space="preserve"> </w:t>
      </w:r>
      <w:r>
        <w:t>significant</w:t>
      </w:r>
      <w:r>
        <w:rPr>
          <w:spacing w:val="-4"/>
        </w:rPr>
        <w:t xml:space="preserve"> </w:t>
      </w:r>
      <w:r>
        <w:t>contributions</w:t>
      </w:r>
      <w:r>
        <w:rPr>
          <w:spacing w:val="-4"/>
        </w:rPr>
        <w:t xml:space="preserve"> </w:t>
      </w:r>
      <w:r>
        <w:t>of</w:t>
      </w:r>
      <w:r>
        <w:rPr>
          <w:spacing w:val="-4"/>
        </w:rPr>
        <w:t xml:space="preserve"> </w:t>
      </w:r>
      <w:r>
        <w:t>the</w:t>
      </w:r>
      <w:r>
        <w:rPr>
          <w:spacing w:val="-4"/>
        </w:rPr>
        <w:t xml:space="preserve"> </w:t>
      </w:r>
      <w:r>
        <w:t>outgoing Chairs and Deputy Chairs:</w:t>
      </w:r>
    </w:p>
    <w:p w14:paraId="51055CCE" w14:textId="77777777" w:rsidR="00AC6F3C" w:rsidRDefault="00570E88">
      <w:pPr>
        <w:pStyle w:val="ListParagraph"/>
        <w:numPr>
          <w:ilvl w:val="0"/>
          <w:numId w:val="36"/>
        </w:numPr>
        <w:tabs>
          <w:tab w:val="left" w:pos="1155"/>
        </w:tabs>
        <w:spacing w:before="172"/>
        <w:ind w:hanging="340"/>
        <w:rPr>
          <w:sz w:val="20"/>
        </w:rPr>
      </w:pPr>
      <w:r>
        <w:rPr>
          <w:sz w:val="20"/>
        </w:rPr>
        <w:t>Kate</w:t>
      </w:r>
      <w:r>
        <w:rPr>
          <w:spacing w:val="-5"/>
          <w:sz w:val="20"/>
        </w:rPr>
        <w:t xml:space="preserve"> </w:t>
      </w:r>
      <w:r>
        <w:rPr>
          <w:sz w:val="20"/>
        </w:rPr>
        <w:t>Grant</w:t>
      </w:r>
      <w:r>
        <w:rPr>
          <w:spacing w:val="-2"/>
          <w:sz w:val="20"/>
        </w:rPr>
        <w:t xml:space="preserve"> </w:t>
      </w:r>
      <w:r>
        <w:rPr>
          <w:sz w:val="20"/>
        </w:rPr>
        <w:t>–</w:t>
      </w:r>
      <w:r>
        <w:rPr>
          <w:spacing w:val="-2"/>
          <w:sz w:val="20"/>
        </w:rPr>
        <w:t xml:space="preserve"> </w:t>
      </w:r>
      <w:r>
        <w:rPr>
          <w:sz w:val="20"/>
        </w:rPr>
        <w:t>Deputy</w:t>
      </w:r>
      <w:r>
        <w:rPr>
          <w:spacing w:val="-2"/>
          <w:sz w:val="20"/>
        </w:rPr>
        <w:t xml:space="preserve"> </w:t>
      </w:r>
      <w:r>
        <w:rPr>
          <w:sz w:val="20"/>
        </w:rPr>
        <w:t>Chair</w:t>
      </w:r>
      <w:r>
        <w:rPr>
          <w:spacing w:val="-2"/>
          <w:sz w:val="20"/>
        </w:rPr>
        <w:t xml:space="preserve"> </w:t>
      </w:r>
      <w:r>
        <w:rPr>
          <w:sz w:val="20"/>
        </w:rPr>
        <w:t>–</w:t>
      </w:r>
      <w:r>
        <w:rPr>
          <w:spacing w:val="-2"/>
          <w:sz w:val="20"/>
        </w:rPr>
        <w:t xml:space="preserve"> </w:t>
      </w:r>
      <w:r>
        <w:rPr>
          <w:sz w:val="20"/>
        </w:rPr>
        <w:t>Children’s</w:t>
      </w:r>
      <w:r>
        <w:rPr>
          <w:spacing w:val="-2"/>
          <w:sz w:val="20"/>
        </w:rPr>
        <w:t xml:space="preserve"> </w:t>
      </w:r>
      <w:r>
        <w:rPr>
          <w:sz w:val="20"/>
        </w:rPr>
        <w:t>Law</w:t>
      </w:r>
      <w:r>
        <w:rPr>
          <w:spacing w:val="-2"/>
          <w:sz w:val="20"/>
        </w:rPr>
        <w:t xml:space="preserve"> Committee</w:t>
      </w:r>
    </w:p>
    <w:p w14:paraId="55C63EAD" w14:textId="77777777" w:rsidR="00AC6F3C" w:rsidRDefault="00570E88">
      <w:pPr>
        <w:pStyle w:val="ListParagraph"/>
        <w:numPr>
          <w:ilvl w:val="0"/>
          <w:numId w:val="36"/>
        </w:numPr>
        <w:tabs>
          <w:tab w:val="left" w:pos="1155"/>
        </w:tabs>
        <w:ind w:hanging="340"/>
        <w:rPr>
          <w:sz w:val="20"/>
        </w:rPr>
      </w:pPr>
      <w:r>
        <w:rPr>
          <w:sz w:val="20"/>
        </w:rPr>
        <w:t>Toby</w:t>
      </w:r>
      <w:r>
        <w:rPr>
          <w:spacing w:val="-9"/>
          <w:sz w:val="20"/>
        </w:rPr>
        <w:t xml:space="preserve"> </w:t>
      </w:r>
      <w:r>
        <w:rPr>
          <w:sz w:val="20"/>
        </w:rPr>
        <w:t>Boys</w:t>
      </w:r>
      <w:r>
        <w:rPr>
          <w:spacing w:val="-6"/>
          <w:sz w:val="20"/>
        </w:rPr>
        <w:t xml:space="preserve"> </w:t>
      </w:r>
      <w:r>
        <w:rPr>
          <w:sz w:val="20"/>
        </w:rPr>
        <w:t>–</w:t>
      </w:r>
      <w:r>
        <w:rPr>
          <w:spacing w:val="-6"/>
          <w:sz w:val="20"/>
        </w:rPr>
        <w:t xml:space="preserve"> </w:t>
      </w:r>
      <w:r>
        <w:rPr>
          <w:sz w:val="20"/>
        </w:rPr>
        <w:t>Chair</w:t>
      </w:r>
      <w:r>
        <w:rPr>
          <w:spacing w:val="-6"/>
          <w:sz w:val="20"/>
        </w:rPr>
        <w:t xml:space="preserve"> </w:t>
      </w:r>
      <w:r>
        <w:rPr>
          <w:sz w:val="20"/>
        </w:rPr>
        <w:t>–</w:t>
      </w:r>
      <w:r>
        <w:rPr>
          <w:spacing w:val="-14"/>
          <w:sz w:val="20"/>
        </w:rPr>
        <w:t xml:space="preserve"> </w:t>
      </w:r>
      <w:r>
        <w:rPr>
          <w:sz w:val="20"/>
        </w:rPr>
        <w:t>Alternative</w:t>
      </w:r>
      <w:r>
        <w:rPr>
          <w:spacing w:val="-6"/>
          <w:sz w:val="20"/>
        </w:rPr>
        <w:t xml:space="preserve"> </w:t>
      </w:r>
      <w:r>
        <w:rPr>
          <w:sz w:val="20"/>
        </w:rPr>
        <w:t>Dispute</w:t>
      </w:r>
      <w:r>
        <w:rPr>
          <w:spacing w:val="-6"/>
          <w:sz w:val="20"/>
        </w:rPr>
        <w:t xml:space="preserve"> </w:t>
      </w:r>
      <w:r>
        <w:rPr>
          <w:sz w:val="20"/>
        </w:rPr>
        <w:t>Resolution</w:t>
      </w:r>
      <w:r>
        <w:rPr>
          <w:spacing w:val="-6"/>
          <w:sz w:val="20"/>
        </w:rPr>
        <w:t xml:space="preserve"> </w:t>
      </w:r>
      <w:r>
        <w:rPr>
          <w:spacing w:val="-2"/>
          <w:sz w:val="20"/>
        </w:rPr>
        <w:t>Committee</w:t>
      </w:r>
    </w:p>
    <w:p w14:paraId="315F5CA6" w14:textId="77777777" w:rsidR="00AC6F3C" w:rsidRDefault="00570E88">
      <w:pPr>
        <w:pStyle w:val="ListParagraph"/>
        <w:numPr>
          <w:ilvl w:val="0"/>
          <w:numId w:val="36"/>
        </w:numPr>
        <w:tabs>
          <w:tab w:val="left" w:pos="1155"/>
        </w:tabs>
        <w:ind w:hanging="340"/>
        <w:rPr>
          <w:sz w:val="20"/>
        </w:rPr>
      </w:pPr>
      <w:r>
        <w:rPr>
          <w:sz w:val="20"/>
        </w:rPr>
        <w:t>Ben</w:t>
      </w:r>
      <w:r>
        <w:rPr>
          <w:spacing w:val="-4"/>
          <w:sz w:val="20"/>
        </w:rPr>
        <w:t xml:space="preserve"> </w:t>
      </w:r>
      <w:r>
        <w:rPr>
          <w:sz w:val="20"/>
        </w:rPr>
        <w:t>Coogan</w:t>
      </w:r>
      <w:r>
        <w:rPr>
          <w:spacing w:val="-4"/>
          <w:sz w:val="20"/>
        </w:rPr>
        <w:t xml:space="preserve"> </w:t>
      </w:r>
      <w:r>
        <w:rPr>
          <w:sz w:val="20"/>
        </w:rPr>
        <w:t>–</w:t>
      </w:r>
      <w:r>
        <w:rPr>
          <w:spacing w:val="-4"/>
          <w:sz w:val="20"/>
        </w:rPr>
        <w:t xml:space="preserve"> </w:t>
      </w:r>
      <w:r>
        <w:rPr>
          <w:sz w:val="20"/>
        </w:rPr>
        <w:t>Deputy</w:t>
      </w:r>
      <w:r>
        <w:rPr>
          <w:spacing w:val="-4"/>
          <w:sz w:val="20"/>
        </w:rPr>
        <w:t xml:space="preserve"> </w:t>
      </w:r>
      <w:r>
        <w:rPr>
          <w:sz w:val="20"/>
        </w:rPr>
        <w:t>Chair</w:t>
      </w:r>
      <w:r>
        <w:rPr>
          <w:spacing w:val="-4"/>
          <w:sz w:val="20"/>
        </w:rPr>
        <w:t xml:space="preserve"> </w:t>
      </w:r>
      <w:r>
        <w:rPr>
          <w:sz w:val="20"/>
        </w:rPr>
        <w:t>–</w:t>
      </w:r>
      <w:r>
        <w:rPr>
          <w:spacing w:val="-8"/>
          <w:sz w:val="20"/>
        </w:rPr>
        <w:t xml:space="preserve"> </w:t>
      </w:r>
      <w:r>
        <w:rPr>
          <w:sz w:val="20"/>
        </w:rPr>
        <w:t>Technology</w:t>
      </w:r>
      <w:r>
        <w:rPr>
          <w:spacing w:val="-4"/>
          <w:sz w:val="20"/>
        </w:rPr>
        <w:t xml:space="preserve"> </w:t>
      </w:r>
      <w:r>
        <w:rPr>
          <w:sz w:val="20"/>
        </w:rPr>
        <w:t>&amp;</w:t>
      </w:r>
      <w:r>
        <w:rPr>
          <w:spacing w:val="-4"/>
          <w:sz w:val="20"/>
        </w:rPr>
        <w:t xml:space="preserve"> </w:t>
      </w:r>
      <w:r>
        <w:rPr>
          <w:sz w:val="20"/>
        </w:rPr>
        <w:t>Intellectual</w:t>
      </w:r>
      <w:r>
        <w:rPr>
          <w:spacing w:val="-4"/>
          <w:sz w:val="20"/>
        </w:rPr>
        <w:t xml:space="preserve"> </w:t>
      </w:r>
      <w:r>
        <w:rPr>
          <w:sz w:val="20"/>
        </w:rPr>
        <w:t>Property</w:t>
      </w:r>
      <w:r>
        <w:rPr>
          <w:spacing w:val="-4"/>
          <w:sz w:val="20"/>
        </w:rPr>
        <w:t xml:space="preserve"> </w:t>
      </w:r>
      <w:r>
        <w:rPr>
          <w:sz w:val="20"/>
        </w:rPr>
        <w:t>Law</w:t>
      </w:r>
      <w:r>
        <w:rPr>
          <w:spacing w:val="-3"/>
          <w:sz w:val="20"/>
        </w:rPr>
        <w:t xml:space="preserve"> </w:t>
      </w:r>
      <w:r>
        <w:rPr>
          <w:spacing w:val="-2"/>
          <w:sz w:val="20"/>
        </w:rPr>
        <w:t>Committee</w:t>
      </w:r>
    </w:p>
    <w:p w14:paraId="32721210" w14:textId="77777777" w:rsidR="00AC6F3C" w:rsidRDefault="00570E88">
      <w:pPr>
        <w:pStyle w:val="ListParagraph"/>
        <w:numPr>
          <w:ilvl w:val="0"/>
          <w:numId w:val="36"/>
        </w:numPr>
        <w:tabs>
          <w:tab w:val="left" w:pos="1155"/>
        </w:tabs>
        <w:ind w:hanging="340"/>
        <w:rPr>
          <w:sz w:val="20"/>
        </w:rPr>
      </w:pPr>
      <w:r>
        <w:rPr>
          <w:sz w:val="20"/>
        </w:rPr>
        <w:t>Dan</w:t>
      </w:r>
      <w:r>
        <w:rPr>
          <w:spacing w:val="-1"/>
          <w:sz w:val="20"/>
        </w:rPr>
        <w:t xml:space="preserve"> </w:t>
      </w:r>
      <w:r>
        <w:rPr>
          <w:sz w:val="20"/>
        </w:rPr>
        <w:t>Rogers</w:t>
      </w:r>
      <w:r>
        <w:rPr>
          <w:spacing w:val="-1"/>
          <w:sz w:val="20"/>
        </w:rPr>
        <w:t xml:space="preserve"> </w:t>
      </w:r>
      <w:r>
        <w:rPr>
          <w:sz w:val="20"/>
        </w:rPr>
        <w:t>–</w:t>
      </w:r>
      <w:r>
        <w:rPr>
          <w:spacing w:val="-1"/>
          <w:sz w:val="20"/>
        </w:rPr>
        <w:t xml:space="preserve"> </w:t>
      </w:r>
      <w:r>
        <w:rPr>
          <w:sz w:val="20"/>
        </w:rPr>
        <w:t>Chair</w:t>
      </w:r>
      <w:r>
        <w:rPr>
          <w:spacing w:val="-1"/>
          <w:sz w:val="20"/>
        </w:rPr>
        <w:t xml:space="preserve"> </w:t>
      </w:r>
      <w:r>
        <w:rPr>
          <w:sz w:val="20"/>
        </w:rPr>
        <w:t>–</w:t>
      </w:r>
      <w:r>
        <w:rPr>
          <w:spacing w:val="-1"/>
          <w:sz w:val="20"/>
        </w:rPr>
        <w:t xml:space="preserve"> </w:t>
      </w:r>
      <w:r>
        <w:rPr>
          <w:sz w:val="20"/>
        </w:rPr>
        <w:t>Human</w:t>
      </w:r>
      <w:r>
        <w:rPr>
          <w:spacing w:val="-1"/>
          <w:sz w:val="20"/>
        </w:rPr>
        <w:t xml:space="preserve"> </w:t>
      </w:r>
      <w:r>
        <w:rPr>
          <w:sz w:val="20"/>
        </w:rPr>
        <w:t>Rights</w:t>
      </w:r>
      <w:r>
        <w:rPr>
          <w:spacing w:val="-1"/>
          <w:sz w:val="20"/>
        </w:rPr>
        <w:t xml:space="preserve"> </w:t>
      </w:r>
      <w:r>
        <w:rPr>
          <w:sz w:val="20"/>
        </w:rPr>
        <w:t>and</w:t>
      </w:r>
      <w:r>
        <w:rPr>
          <w:spacing w:val="-1"/>
          <w:sz w:val="20"/>
        </w:rPr>
        <w:t xml:space="preserve"> </w:t>
      </w:r>
      <w:r>
        <w:rPr>
          <w:sz w:val="20"/>
        </w:rPr>
        <w:t xml:space="preserve">Public </w:t>
      </w:r>
      <w:r>
        <w:rPr>
          <w:spacing w:val="-5"/>
          <w:sz w:val="20"/>
        </w:rPr>
        <w:t>Law</w:t>
      </w:r>
    </w:p>
    <w:p w14:paraId="5D2BCDC5" w14:textId="77777777" w:rsidR="00AC6F3C" w:rsidRDefault="00570E88">
      <w:pPr>
        <w:pStyle w:val="ListParagraph"/>
        <w:numPr>
          <w:ilvl w:val="0"/>
          <w:numId w:val="36"/>
        </w:numPr>
        <w:tabs>
          <w:tab w:val="left" w:pos="1155"/>
        </w:tabs>
        <w:ind w:hanging="340"/>
        <w:rPr>
          <w:sz w:val="20"/>
        </w:rPr>
      </w:pPr>
      <w:r>
        <w:rPr>
          <w:sz w:val="20"/>
        </w:rPr>
        <w:t>Sean</w:t>
      </w:r>
      <w:r>
        <w:rPr>
          <w:spacing w:val="-2"/>
          <w:sz w:val="20"/>
        </w:rPr>
        <w:t xml:space="preserve"> </w:t>
      </w:r>
      <w:r>
        <w:rPr>
          <w:sz w:val="20"/>
        </w:rPr>
        <w:t>Costello</w:t>
      </w:r>
      <w:r>
        <w:rPr>
          <w:spacing w:val="-2"/>
          <w:sz w:val="20"/>
        </w:rPr>
        <w:t xml:space="preserve"> </w:t>
      </w:r>
      <w:r>
        <w:rPr>
          <w:sz w:val="20"/>
        </w:rPr>
        <w:t>–</w:t>
      </w:r>
      <w:r>
        <w:rPr>
          <w:spacing w:val="-1"/>
          <w:sz w:val="20"/>
        </w:rPr>
        <w:t xml:space="preserve"> </w:t>
      </w:r>
      <w:r>
        <w:rPr>
          <w:sz w:val="20"/>
        </w:rPr>
        <w:t>Deputy</w:t>
      </w:r>
      <w:r>
        <w:rPr>
          <w:spacing w:val="-2"/>
          <w:sz w:val="20"/>
        </w:rPr>
        <w:t xml:space="preserve"> </w:t>
      </w:r>
      <w:r>
        <w:rPr>
          <w:sz w:val="20"/>
        </w:rPr>
        <w:t>Chair</w:t>
      </w:r>
      <w:r>
        <w:rPr>
          <w:spacing w:val="-1"/>
          <w:sz w:val="20"/>
        </w:rPr>
        <w:t xml:space="preserve"> </w:t>
      </w:r>
      <w:r>
        <w:rPr>
          <w:sz w:val="20"/>
        </w:rPr>
        <w:t>–</w:t>
      </w:r>
      <w:r>
        <w:rPr>
          <w:spacing w:val="-2"/>
          <w:sz w:val="20"/>
        </w:rPr>
        <w:t xml:space="preserve"> </w:t>
      </w:r>
      <w:r>
        <w:rPr>
          <w:sz w:val="20"/>
        </w:rPr>
        <w:t>Human</w:t>
      </w:r>
      <w:r>
        <w:rPr>
          <w:spacing w:val="-2"/>
          <w:sz w:val="20"/>
        </w:rPr>
        <w:t xml:space="preserve"> </w:t>
      </w:r>
      <w:r>
        <w:rPr>
          <w:sz w:val="20"/>
        </w:rPr>
        <w:t>Rights</w:t>
      </w:r>
      <w:r>
        <w:rPr>
          <w:spacing w:val="-1"/>
          <w:sz w:val="20"/>
        </w:rPr>
        <w:t xml:space="preserve"> </w:t>
      </w:r>
      <w:r>
        <w:rPr>
          <w:sz w:val="20"/>
        </w:rPr>
        <w:t>and</w:t>
      </w:r>
      <w:r>
        <w:rPr>
          <w:spacing w:val="-2"/>
          <w:sz w:val="20"/>
        </w:rPr>
        <w:t xml:space="preserve"> </w:t>
      </w:r>
      <w:r>
        <w:rPr>
          <w:sz w:val="20"/>
        </w:rPr>
        <w:t>Public</w:t>
      </w:r>
      <w:r>
        <w:rPr>
          <w:spacing w:val="-1"/>
          <w:sz w:val="20"/>
        </w:rPr>
        <w:t xml:space="preserve"> </w:t>
      </w:r>
      <w:r>
        <w:rPr>
          <w:spacing w:val="-5"/>
          <w:sz w:val="20"/>
        </w:rPr>
        <w:t>Law</w:t>
      </w:r>
    </w:p>
    <w:p w14:paraId="7481F639" w14:textId="77777777" w:rsidR="00AC6F3C" w:rsidRDefault="00570E88">
      <w:pPr>
        <w:pStyle w:val="ListParagraph"/>
        <w:numPr>
          <w:ilvl w:val="0"/>
          <w:numId w:val="36"/>
        </w:numPr>
        <w:tabs>
          <w:tab w:val="left" w:pos="1155"/>
        </w:tabs>
        <w:ind w:hanging="340"/>
        <w:rPr>
          <w:sz w:val="20"/>
        </w:rPr>
      </w:pPr>
      <w:r>
        <w:rPr>
          <w:sz w:val="20"/>
        </w:rPr>
        <w:t>Margaret</w:t>
      </w:r>
      <w:r>
        <w:rPr>
          <w:spacing w:val="-12"/>
          <w:sz w:val="20"/>
        </w:rPr>
        <w:t xml:space="preserve"> </w:t>
      </w:r>
      <w:r>
        <w:rPr>
          <w:sz w:val="20"/>
        </w:rPr>
        <w:t>Arthur</w:t>
      </w:r>
      <w:r>
        <w:rPr>
          <w:spacing w:val="-1"/>
          <w:sz w:val="20"/>
        </w:rPr>
        <w:t xml:space="preserve"> </w:t>
      </w:r>
      <w:r>
        <w:rPr>
          <w:sz w:val="20"/>
        </w:rPr>
        <w:t>–</w:t>
      </w:r>
      <w:r>
        <w:rPr>
          <w:spacing w:val="-1"/>
          <w:sz w:val="20"/>
        </w:rPr>
        <w:t xml:space="preserve"> </w:t>
      </w:r>
      <w:r>
        <w:rPr>
          <w:sz w:val="20"/>
        </w:rPr>
        <w:t>Chair</w:t>
      </w:r>
      <w:r>
        <w:rPr>
          <w:spacing w:val="-1"/>
          <w:sz w:val="20"/>
        </w:rPr>
        <w:t xml:space="preserve"> </w:t>
      </w:r>
      <w:r>
        <w:rPr>
          <w:sz w:val="20"/>
        </w:rPr>
        <w:t>–</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Disability</w:t>
      </w:r>
      <w:r>
        <w:rPr>
          <w:spacing w:val="-1"/>
          <w:sz w:val="20"/>
        </w:rPr>
        <w:t xml:space="preserve"> </w:t>
      </w:r>
      <w:r>
        <w:rPr>
          <w:sz w:val="20"/>
        </w:rPr>
        <w:t>Law</w:t>
      </w:r>
      <w:r>
        <w:rPr>
          <w:spacing w:val="-1"/>
          <w:sz w:val="20"/>
        </w:rPr>
        <w:t xml:space="preserve"> </w:t>
      </w:r>
      <w:r>
        <w:rPr>
          <w:spacing w:val="-2"/>
          <w:sz w:val="20"/>
        </w:rPr>
        <w:t>Committee</w:t>
      </w:r>
    </w:p>
    <w:p w14:paraId="38CFEBFB" w14:textId="77777777" w:rsidR="00AC6F3C" w:rsidRDefault="00570E88">
      <w:pPr>
        <w:pStyle w:val="ListParagraph"/>
        <w:numPr>
          <w:ilvl w:val="0"/>
          <w:numId w:val="36"/>
        </w:numPr>
        <w:tabs>
          <w:tab w:val="left" w:pos="1155"/>
        </w:tabs>
        <w:ind w:hanging="340"/>
        <w:rPr>
          <w:sz w:val="20"/>
        </w:rPr>
      </w:pPr>
      <w:r>
        <w:rPr>
          <w:sz w:val="20"/>
        </w:rPr>
        <w:t>Richard</w:t>
      </w:r>
      <w:r>
        <w:rPr>
          <w:spacing w:val="-5"/>
          <w:sz w:val="20"/>
        </w:rPr>
        <w:t xml:space="preserve"> </w:t>
      </w:r>
      <w:r>
        <w:rPr>
          <w:sz w:val="20"/>
        </w:rPr>
        <w:t>Gardiner</w:t>
      </w:r>
      <w:r>
        <w:rPr>
          <w:spacing w:val="-2"/>
          <w:sz w:val="20"/>
        </w:rPr>
        <w:t xml:space="preserve"> </w:t>
      </w:r>
      <w:r>
        <w:rPr>
          <w:sz w:val="20"/>
        </w:rPr>
        <w:t>–</w:t>
      </w:r>
      <w:r>
        <w:rPr>
          <w:spacing w:val="-2"/>
          <w:sz w:val="20"/>
        </w:rPr>
        <w:t xml:space="preserve"> </w:t>
      </w:r>
      <w:r>
        <w:rPr>
          <w:sz w:val="20"/>
        </w:rPr>
        <w:t>Deputy</w:t>
      </w:r>
      <w:r>
        <w:rPr>
          <w:spacing w:val="-2"/>
          <w:sz w:val="20"/>
        </w:rPr>
        <w:t xml:space="preserve"> </w:t>
      </w:r>
      <w:r>
        <w:rPr>
          <w:sz w:val="20"/>
        </w:rPr>
        <w:t>Chair</w:t>
      </w:r>
      <w:r>
        <w:rPr>
          <w:spacing w:val="-2"/>
          <w:sz w:val="20"/>
        </w:rPr>
        <w:t xml:space="preserve"> </w:t>
      </w:r>
      <w:r>
        <w:rPr>
          <w:sz w:val="20"/>
        </w:rPr>
        <w:t>–</w:t>
      </w:r>
      <w:r>
        <w:rPr>
          <w:spacing w:val="-2"/>
          <w:sz w:val="20"/>
        </w:rPr>
        <w:t xml:space="preserve"> </w:t>
      </w:r>
      <w:r>
        <w:rPr>
          <w:sz w:val="20"/>
        </w:rPr>
        <w:t>Innovation</w:t>
      </w:r>
      <w:r>
        <w:rPr>
          <w:spacing w:val="-2"/>
          <w:sz w:val="20"/>
        </w:rPr>
        <w:t xml:space="preserve"> Committee</w:t>
      </w:r>
    </w:p>
    <w:p w14:paraId="1B9CDF04" w14:textId="77777777" w:rsidR="00AC6F3C" w:rsidRDefault="00570E88">
      <w:pPr>
        <w:pStyle w:val="ListParagraph"/>
        <w:numPr>
          <w:ilvl w:val="0"/>
          <w:numId w:val="36"/>
        </w:numPr>
        <w:tabs>
          <w:tab w:val="left" w:pos="1155"/>
        </w:tabs>
        <w:ind w:hanging="340"/>
        <w:rPr>
          <w:sz w:val="20"/>
        </w:rPr>
      </w:pPr>
      <w:r>
        <w:rPr>
          <w:sz w:val="20"/>
        </w:rPr>
        <w:t>Andrew</w:t>
      </w:r>
      <w:r>
        <w:rPr>
          <w:spacing w:val="-3"/>
          <w:sz w:val="20"/>
        </w:rPr>
        <w:t xml:space="preserve"> </w:t>
      </w:r>
      <w:r>
        <w:rPr>
          <w:sz w:val="20"/>
        </w:rPr>
        <w:t>Smyth</w:t>
      </w:r>
      <w:r>
        <w:rPr>
          <w:spacing w:val="-2"/>
          <w:sz w:val="20"/>
        </w:rPr>
        <w:t xml:space="preserve"> </w:t>
      </w:r>
      <w:r>
        <w:rPr>
          <w:sz w:val="20"/>
        </w:rPr>
        <w:t>–</w:t>
      </w:r>
      <w:r>
        <w:rPr>
          <w:spacing w:val="-2"/>
          <w:sz w:val="20"/>
        </w:rPr>
        <w:t xml:space="preserve"> </w:t>
      </w:r>
      <w:r>
        <w:rPr>
          <w:sz w:val="20"/>
        </w:rPr>
        <w:t>Deputy</w:t>
      </w:r>
      <w:r>
        <w:rPr>
          <w:spacing w:val="-2"/>
          <w:sz w:val="20"/>
        </w:rPr>
        <w:t xml:space="preserve"> </w:t>
      </w:r>
      <w:r>
        <w:rPr>
          <w:sz w:val="20"/>
        </w:rPr>
        <w:t>Chair</w:t>
      </w:r>
      <w:r>
        <w:rPr>
          <w:spacing w:val="-3"/>
          <w:sz w:val="20"/>
        </w:rPr>
        <w:t xml:space="preserve"> </w:t>
      </w:r>
      <w:r>
        <w:rPr>
          <w:sz w:val="20"/>
        </w:rPr>
        <w:t>–</w:t>
      </w:r>
      <w:r>
        <w:rPr>
          <w:spacing w:val="-2"/>
          <w:sz w:val="20"/>
        </w:rPr>
        <w:t xml:space="preserve"> </w:t>
      </w:r>
      <w:r>
        <w:rPr>
          <w:sz w:val="20"/>
        </w:rPr>
        <w:t>Litigation</w:t>
      </w:r>
      <w:r>
        <w:rPr>
          <w:spacing w:val="-2"/>
          <w:sz w:val="20"/>
        </w:rPr>
        <w:t xml:space="preserve"> </w:t>
      </w:r>
      <w:r>
        <w:rPr>
          <w:sz w:val="20"/>
        </w:rPr>
        <w:t>Rules</w:t>
      </w:r>
      <w:r>
        <w:rPr>
          <w:spacing w:val="-2"/>
          <w:sz w:val="20"/>
        </w:rPr>
        <w:t xml:space="preserve"> Committee</w:t>
      </w:r>
    </w:p>
    <w:p w14:paraId="6C246654" w14:textId="77777777" w:rsidR="00AC6F3C" w:rsidRDefault="00570E88">
      <w:pPr>
        <w:pStyle w:val="ListParagraph"/>
        <w:numPr>
          <w:ilvl w:val="0"/>
          <w:numId w:val="36"/>
        </w:numPr>
        <w:tabs>
          <w:tab w:val="left" w:pos="1155"/>
        </w:tabs>
        <w:ind w:hanging="340"/>
        <w:rPr>
          <w:sz w:val="20"/>
        </w:rPr>
      </w:pPr>
      <w:r>
        <w:rPr>
          <w:sz w:val="20"/>
        </w:rPr>
        <w:t>Joanne</w:t>
      </w:r>
      <w:r>
        <w:rPr>
          <w:spacing w:val="-2"/>
          <w:sz w:val="20"/>
        </w:rPr>
        <w:t xml:space="preserve"> </w:t>
      </w:r>
      <w:r>
        <w:rPr>
          <w:sz w:val="20"/>
        </w:rPr>
        <w:t>O’Brien</w:t>
      </w:r>
      <w:r>
        <w:rPr>
          <w:spacing w:val="-1"/>
          <w:sz w:val="20"/>
        </w:rPr>
        <w:t xml:space="preserve"> </w:t>
      </w:r>
      <w:r>
        <w:rPr>
          <w:sz w:val="20"/>
        </w:rPr>
        <w:t>–</w:t>
      </w:r>
      <w:r>
        <w:rPr>
          <w:spacing w:val="-1"/>
          <w:sz w:val="20"/>
        </w:rPr>
        <w:t xml:space="preserve"> </w:t>
      </w:r>
      <w:r>
        <w:rPr>
          <w:sz w:val="20"/>
        </w:rPr>
        <w:t>Deputy</w:t>
      </w:r>
      <w:r>
        <w:rPr>
          <w:spacing w:val="-2"/>
          <w:sz w:val="20"/>
        </w:rPr>
        <w:t xml:space="preserve"> </w:t>
      </w:r>
      <w:r>
        <w:rPr>
          <w:sz w:val="20"/>
        </w:rPr>
        <w:t>Chair</w:t>
      </w:r>
      <w:r>
        <w:rPr>
          <w:spacing w:val="-1"/>
          <w:sz w:val="20"/>
        </w:rPr>
        <w:t xml:space="preserve"> </w:t>
      </w:r>
      <w:r>
        <w:rPr>
          <w:sz w:val="20"/>
        </w:rPr>
        <w:t>–</w:t>
      </w:r>
      <w:r>
        <w:rPr>
          <w:spacing w:val="-1"/>
          <w:sz w:val="20"/>
        </w:rPr>
        <w:t xml:space="preserve"> </w:t>
      </w:r>
      <w:r>
        <w:rPr>
          <w:sz w:val="20"/>
        </w:rPr>
        <w:t>Not</w:t>
      </w:r>
      <w:r>
        <w:rPr>
          <w:spacing w:val="-2"/>
          <w:sz w:val="20"/>
        </w:rPr>
        <w:t xml:space="preserve"> </w:t>
      </w:r>
      <w:r>
        <w:rPr>
          <w:sz w:val="20"/>
        </w:rPr>
        <w:t>for</w:t>
      </w:r>
      <w:r>
        <w:rPr>
          <w:spacing w:val="-1"/>
          <w:sz w:val="20"/>
        </w:rPr>
        <w:t xml:space="preserve"> </w:t>
      </w:r>
      <w:r>
        <w:rPr>
          <w:sz w:val="20"/>
        </w:rPr>
        <w:t>Profit</w:t>
      </w:r>
      <w:r>
        <w:rPr>
          <w:spacing w:val="-1"/>
          <w:sz w:val="20"/>
        </w:rPr>
        <w:t xml:space="preserve"> </w:t>
      </w:r>
      <w:r>
        <w:rPr>
          <w:sz w:val="20"/>
        </w:rPr>
        <w:t>Law</w:t>
      </w:r>
      <w:r>
        <w:rPr>
          <w:spacing w:val="-1"/>
          <w:sz w:val="20"/>
        </w:rPr>
        <w:t xml:space="preserve"> </w:t>
      </w:r>
      <w:r>
        <w:rPr>
          <w:spacing w:val="-2"/>
          <w:sz w:val="20"/>
        </w:rPr>
        <w:t>Committee</w:t>
      </w:r>
    </w:p>
    <w:p w14:paraId="4B76A877" w14:textId="77777777" w:rsidR="00AC6F3C" w:rsidRDefault="00570E88">
      <w:pPr>
        <w:pStyle w:val="ListParagraph"/>
        <w:numPr>
          <w:ilvl w:val="0"/>
          <w:numId w:val="36"/>
        </w:numPr>
        <w:tabs>
          <w:tab w:val="left" w:pos="1155"/>
        </w:tabs>
        <w:ind w:hanging="340"/>
        <w:rPr>
          <w:sz w:val="20"/>
        </w:rPr>
      </w:pPr>
      <w:r>
        <w:rPr>
          <w:sz w:val="20"/>
        </w:rPr>
        <w:t>Deborah</w:t>
      </w:r>
      <w:r>
        <w:rPr>
          <w:spacing w:val="-14"/>
          <w:sz w:val="20"/>
        </w:rPr>
        <w:t xml:space="preserve"> </w:t>
      </w:r>
      <w:proofErr w:type="spellStart"/>
      <w:r>
        <w:rPr>
          <w:sz w:val="20"/>
        </w:rPr>
        <w:t>Awyzio</w:t>
      </w:r>
      <w:proofErr w:type="spellEnd"/>
      <w:r>
        <w:rPr>
          <w:spacing w:val="-4"/>
          <w:sz w:val="20"/>
        </w:rPr>
        <w:t xml:space="preserve"> </w:t>
      </w:r>
      <w:r>
        <w:rPr>
          <w:sz w:val="20"/>
        </w:rPr>
        <w:t>–</w:t>
      </w:r>
      <w:r>
        <w:rPr>
          <w:spacing w:val="-4"/>
          <w:sz w:val="20"/>
        </w:rPr>
        <w:t xml:space="preserve"> </w:t>
      </w:r>
      <w:r>
        <w:rPr>
          <w:sz w:val="20"/>
        </w:rPr>
        <w:t>Chair</w:t>
      </w:r>
      <w:r>
        <w:rPr>
          <w:spacing w:val="-3"/>
          <w:sz w:val="20"/>
        </w:rPr>
        <w:t xml:space="preserve"> </w:t>
      </w:r>
      <w:r>
        <w:rPr>
          <w:sz w:val="20"/>
        </w:rPr>
        <w:t>–</w:t>
      </w:r>
      <w:r>
        <w:rPr>
          <w:spacing w:val="-4"/>
          <w:sz w:val="20"/>
        </w:rPr>
        <w:t xml:space="preserve"> </w:t>
      </w:r>
      <w:r>
        <w:rPr>
          <w:sz w:val="20"/>
        </w:rPr>
        <w:t>Professional</w:t>
      </w:r>
      <w:r>
        <w:rPr>
          <w:spacing w:val="-4"/>
          <w:sz w:val="20"/>
        </w:rPr>
        <w:t xml:space="preserve"> </w:t>
      </w:r>
      <w:r>
        <w:rPr>
          <w:sz w:val="20"/>
        </w:rPr>
        <w:t>Conduct</w:t>
      </w:r>
      <w:r>
        <w:rPr>
          <w:spacing w:val="-3"/>
          <w:sz w:val="20"/>
        </w:rPr>
        <w:t xml:space="preserve"> </w:t>
      </w:r>
      <w:r>
        <w:rPr>
          <w:spacing w:val="-2"/>
          <w:sz w:val="20"/>
        </w:rPr>
        <w:t>Committee</w:t>
      </w:r>
    </w:p>
    <w:p w14:paraId="2229B220" w14:textId="77777777" w:rsidR="00AC6F3C" w:rsidRDefault="00AC6F3C">
      <w:pPr>
        <w:rPr>
          <w:sz w:val="20"/>
        </w:rPr>
        <w:sectPr w:rsidR="00AC6F3C">
          <w:type w:val="continuous"/>
          <w:pgSz w:w="11910" w:h="16840"/>
          <w:pgMar w:top="1920" w:right="1160" w:bottom="280" w:left="460" w:header="1276" w:footer="336" w:gutter="0"/>
          <w:cols w:space="720"/>
        </w:sectPr>
      </w:pPr>
    </w:p>
    <w:p w14:paraId="34A347BF" w14:textId="77777777" w:rsidR="00AC6F3C" w:rsidRDefault="00570E88">
      <w:pPr>
        <w:pStyle w:val="Heading3"/>
        <w:spacing w:before="70"/>
      </w:pPr>
      <w:bookmarkStart w:id="85" w:name="Information_Management_strategic_objecti"/>
      <w:bookmarkStart w:id="86" w:name="_bookmark31"/>
      <w:bookmarkEnd w:id="85"/>
      <w:bookmarkEnd w:id="86"/>
      <w:r>
        <w:lastRenderedPageBreak/>
        <w:t>Information</w:t>
      </w:r>
      <w:r>
        <w:rPr>
          <w:spacing w:val="-3"/>
        </w:rPr>
        <w:t xml:space="preserve"> </w:t>
      </w:r>
      <w:r>
        <w:t>Management</w:t>
      </w:r>
      <w:r>
        <w:rPr>
          <w:spacing w:val="-3"/>
        </w:rPr>
        <w:t xml:space="preserve"> </w:t>
      </w:r>
      <w:r>
        <w:t>strategic</w:t>
      </w:r>
      <w:r>
        <w:rPr>
          <w:spacing w:val="-2"/>
        </w:rPr>
        <w:t xml:space="preserve"> objectives</w:t>
      </w:r>
    </w:p>
    <w:p w14:paraId="77044738" w14:textId="77777777" w:rsidR="00AC6F3C" w:rsidRDefault="00570E88">
      <w:pPr>
        <w:pStyle w:val="BodyText"/>
        <w:spacing w:before="155" w:line="249" w:lineRule="auto"/>
        <w:ind w:left="815" w:right="468"/>
      </w:pPr>
      <w:r>
        <w:t>The</w:t>
      </w:r>
      <w:r>
        <w:rPr>
          <w:spacing w:val="-5"/>
        </w:rPr>
        <w:t xml:space="preserve"> </w:t>
      </w:r>
      <w:r>
        <w:t>goals</w:t>
      </w:r>
      <w:r>
        <w:rPr>
          <w:spacing w:val="-5"/>
        </w:rPr>
        <w:t xml:space="preserve"> </w:t>
      </w:r>
      <w:r>
        <w:t>of</w:t>
      </w:r>
      <w:r>
        <w:rPr>
          <w:spacing w:val="-5"/>
        </w:rPr>
        <w:t xml:space="preserve"> </w:t>
      </w:r>
      <w:r>
        <w:t>QLS’s</w:t>
      </w:r>
      <w:r>
        <w:rPr>
          <w:spacing w:val="-5"/>
        </w:rPr>
        <w:t xml:space="preserve"> </w:t>
      </w:r>
      <w:r>
        <w:t>Information</w:t>
      </w:r>
      <w:r>
        <w:rPr>
          <w:spacing w:val="-5"/>
        </w:rPr>
        <w:t xml:space="preserve"> </w:t>
      </w:r>
      <w:r>
        <w:t>Management</w:t>
      </w:r>
      <w:r>
        <w:rPr>
          <w:spacing w:val="-5"/>
        </w:rPr>
        <w:t xml:space="preserve"> </w:t>
      </w:r>
      <w:r>
        <w:t>and</w:t>
      </w:r>
      <w:r>
        <w:rPr>
          <w:spacing w:val="-9"/>
        </w:rPr>
        <w:t xml:space="preserve"> </w:t>
      </w:r>
      <w:r>
        <w:t>Technology</w:t>
      </w:r>
      <w:r>
        <w:rPr>
          <w:spacing w:val="-5"/>
        </w:rPr>
        <w:t xml:space="preserve"> </w:t>
      </w:r>
      <w:r>
        <w:t>program</w:t>
      </w:r>
      <w:r>
        <w:rPr>
          <w:spacing w:val="-5"/>
        </w:rPr>
        <w:t xml:space="preserve"> </w:t>
      </w:r>
      <w:r>
        <w:t>align</w:t>
      </w:r>
      <w:r>
        <w:rPr>
          <w:spacing w:val="-5"/>
        </w:rPr>
        <w:t xml:space="preserve"> </w:t>
      </w:r>
      <w:r>
        <w:t>with</w:t>
      </w:r>
      <w:r>
        <w:rPr>
          <w:spacing w:val="-5"/>
        </w:rPr>
        <w:t xml:space="preserve"> </w:t>
      </w:r>
      <w:r>
        <w:t>the</w:t>
      </w:r>
      <w:r>
        <w:rPr>
          <w:spacing w:val="-5"/>
        </w:rPr>
        <w:t xml:space="preserve"> </w:t>
      </w:r>
      <w:r>
        <w:t>overarching strategic objectives of QLS and encompass the following aims:</w:t>
      </w:r>
    </w:p>
    <w:p w14:paraId="7A2D3191" w14:textId="77777777" w:rsidR="00AC6F3C" w:rsidRDefault="00570E88">
      <w:pPr>
        <w:numPr>
          <w:ilvl w:val="0"/>
          <w:numId w:val="35"/>
        </w:numPr>
        <w:tabs>
          <w:tab w:val="left" w:pos="1154"/>
        </w:tabs>
        <w:spacing w:before="172"/>
        <w:ind w:left="1154" w:hanging="339"/>
        <w:rPr>
          <w:b/>
          <w:sz w:val="20"/>
        </w:rPr>
      </w:pPr>
      <w:r>
        <w:rPr>
          <w:b/>
          <w:sz w:val="20"/>
        </w:rPr>
        <w:t>Enforcing</w:t>
      </w:r>
      <w:r>
        <w:rPr>
          <w:b/>
          <w:spacing w:val="-3"/>
          <w:sz w:val="20"/>
        </w:rPr>
        <w:t xml:space="preserve"> </w:t>
      </w:r>
      <w:r>
        <w:rPr>
          <w:b/>
          <w:sz w:val="20"/>
        </w:rPr>
        <w:t>comprehensive</w:t>
      </w:r>
      <w:r>
        <w:rPr>
          <w:b/>
          <w:spacing w:val="-3"/>
          <w:sz w:val="20"/>
        </w:rPr>
        <w:t xml:space="preserve"> </w:t>
      </w:r>
      <w:r>
        <w:rPr>
          <w:b/>
          <w:sz w:val="20"/>
        </w:rPr>
        <w:t>information</w:t>
      </w:r>
      <w:r>
        <w:rPr>
          <w:b/>
          <w:spacing w:val="-3"/>
          <w:sz w:val="20"/>
        </w:rPr>
        <w:t xml:space="preserve"> </w:t>
      </w:r>
      <w:r>
        <w:rPr>
          <w:b/>
          <w:sz w:val="20"/>
        </w:rPr>
        <w:t>governance</w:t>
      </w:r>
      <w:r>
        <w:rPr>
          <w:b/>
          <w:spacing w:val="-3"/>
          <w:sz w:val="20"/>
        </w:rPr>
        <w:t xml:space="preserve"> </w:t>
      </w:r>
      <w:r>
        <w:rPr>
          <w:b/>
          <w:sz w:val="20"/>
        </w:rPr>
        <w:t>throughout</w:t>
      </w:r>
      <w:r>
        <w:rPr>
          <w:b/>
          <w:spacing w:val="-3"/>
          <w:sz w:val="20"/>
        </w:rPr>
        <w:t xml:space="preserve"> </w:t>
      </w:r>
      <w:r>
        <w:rPr>
          <w:b/>
          <w:sz w:val="20"/>
        </w:rPr>
        <w:t>the</w:t>
      </w:r>
      <w:r>
        <w:rPr>
          <w:b/>
          <w:spacing w:val="-3"/>
          <w:sz w:val="20"/>
        </w:rPr>
        <w:t xml:space="preserve"> </w:t>
      </w:r>
      <w:r>
        <w:rPr>
          <w:b/>
          <w:sz w:val="20"/>
        </w:rPr>
        <w:t>organisation</w:t>
      </w:r>
      <w:r>
        <w:rPr>
          <w:b/>
          <w:spacing w:val="-3"/>
          <w:sz w:val="20"/>
        </w:rPr>
        <w:t xml:space="preserve"> </w:t>
      </w:r>
      <w:r>
        <w:rPr>
          <w:b/>
          <w:sz w:val="20"/>
        </w:rPr>
        <w:t>to</w:t>
      </w:r>
      <w:r>
        <w:rPr>
          <w:b/>
          <w:spacing w:val="-2"/>
          <w:sz w:val="20"/>
        </w:rPr>
        <w:t xml:space="preserve"> ensure</w:t>
      </w:r>
    </w:p>
    <w:p w14:paraId="32D37C31" w14:textId="77777777" w:rsidR="00AC6F3C" w:rsidRDefault="00570E88">
      <w:pPr>
        <w:spacing w:before="10"/>
        <w:ind w:left="1155"/>
        <w:rPr>
          <w:b/>
          <w:sz w:val="20"/>
        </w:rPr>
      </w:pPr>
      <w:r>
        <w:rPr>
          <w:b/>
          <w:sz w:val="20"/>
        </w:rPr>
        <w:t>adherence</w:t>
      </w:r>
      <w:r>
        <w:rPr>
          <w:b/>
          <w:spacing w:val="-3"/>
          <w:sz w:val="20"/>
        </w:rPr>
        <w:t xml:space="preserve"> </w:t>
      </w:r>
      <w:r>
        <w:rPr>
          <w:b/>
          <w:sz w:val="20"/>
        </w:rPr>
        <w:t>to</w:t>
      </w:r>
      <w:r>
        <w:rPr>
          <w:b/>
          <w:spacing w:val="-2"/>
          <w:sz w:val="20"/>
        </w:rPr>
        <w:t xml:space="preserve"> </w:t>
      </w:r>
      <w:r>
        <w:rPr>
          <w:b/>
          <w:sz w:val="20"/>
        </w:rPr>
        <w:t>regulations</w:t>
      </w:r>
      <w:r>
        <w:rPr>
          <w:b/>
          <w:spacing w:val="-3"/>
          <w:sz w:val="20"/>
        </w:rPr>
        <w:t xml:space="preserve"> </w:t>
      </w:r>
      <w:r>
        <w:rPr>
          <w:b/>
          <w:sz w:val="20"/>
        </w:rPr>
        <w:t>and</w:t>
      </w:r>
      <w:r>
        <w:rPr>
          <w:b/>
          <w:spacing w:val="-2"/>
          <w:sz w:val="20"/>
        </w:rPr>
        <w:t xml:space="preserve"> </w:t>
      </w:r>
      <w:r>
        <w:rPr>
          <w:b/>
          <w:sz w:val="20"/>
        </w:rPr>
        <w:t>proficient</w:t>
      </w:r>
      <w:r>
        <w:rPr>
          <w:b/>
          <w:spacing w:val="-3"/>
          <w:sz w:val="20"/>
        </w:rPr>
        <w:t xml:space="preserve"> </w:t>
      </w:r>
      <w:r>
        <w:rPr>
          <w:b/>
          <w:sz w:val="20"/>
        </w:rPr>
        <w:t>management</w:t>
      </w:r>
      <w:r>
        <w:rPr>
          <w:b/>
          <w:spacing w:val="-2"/>
          <w:sz w:val="20"/>
        </w:rPr>
        <w:t xml:space="preserve"> </w:t>
      </w:r>
      <w:r>
        <w:rPr>
          <w:b/>
          <w:sz w:val="20"/>
        </w:rPr>
        <w:t>of</w:t>
      </w:r>
      <w:r>
        <w:rPr>
          <w:b/>
          <w:spacing w:val="-3"/>
          <w:sz w:val="20"/>
        </w:rPr>
        <w:t xml:space="preserve"> </w:t>
      </w:r>
      <w:r>
        <w:rPr>
          <w:b/>
          <w:sz w:val="20"/>
        </w:rPr>
        <w:t>our</w:t>
      </w:r>
      <w:r>
        <w:rPr>
          <w:b/>
          <w:spacing w:val="-2"/>
          <w:sz w:val="20"/>
        </w:rPr>
        <w:t xml:space="preserve"> </w:t>
      </w:r>
      <w:r>
        <w:rPr>
          <w:b/>
          <w:sz w:val="20"/>
        </w:rPr>
        <w:t>information</w:t>
      </w:r>
      <w:r>
        <w:rPr>
          <w:b/>
          <w:spacing w:val="-3"/>
          <w:sz w:val="20"/>
        </w:rPr>
        <w:t xml:space="preserve"> </w:t>
      </w:r>
      <w:r>
        <w:rPr>
          <w:b/>
          <w:sz w:val="20"/>
        </w:rPr>
        <w:t>assets</w:t>
      </w:r>
      <w:r>
        <w:rPr>
          <w:b/>
          <w:spacing w:val="-2"/>
          <w:sz w:val="20"/>
        </w:rPr>
        <w:t xml:space="preserve"> </w:t>
      </w:r>
      <w:r>
        <w:rPr>
          <w:b/>
          <w:sz w:val="20"/>
        </w:rPr>
        <w:t>by</w:t>
      </w:r>
      <w:r>
        <w:rPr>
          <w:b/>
          <w:spacing w:val="-3"/>
          <w:sz w:val="20"/>
        </w:rPr>
        <w:t xml:space="preserve"> </w:t>
      </w:r>
      <w:r>
        <w:rPr>
          <w:b/>
          <w:sz w:val="20"/>
        </w:rPr>
        <w:t>means</w:t>
      </w:r>
      <w:r>
        <w:rPr>
          <w:b/>
          <w:spacing w:val="-2"/>
          <w:sz w:val="20"/>
        </w:rPr>
        <w:t xml:space="preserve"> </w:t>
      </w:r>
      <w:r>
        <w:rPr>
          <w:b/>
          <w:spacing w:val="-5"/>
          <w:sz w:val="20"/>
        </w:rPr>
        <w:t>of:</w:t>
      </w:r>
    </w:p>
    <w:p w14:paraId="765028A8" w14:textId="77777777" w:rsidR="00AC6F3C" w:rsidRDefault="00570E88">
      <w:pPr>
        <w:pStyle w:val="ListParagraph"/>
        <w:numPr>
          <w:ilvl w:val="1"/>
          <w:numId w:val="35"/>
        </w:numPr>
        <w:tabs>
          <w:tab w:val="left" w:pos="1495"/>
        </w:tabs>
        <w:spacing w:line="249" w:lineRule="auto"/>
        <w:ind w:left="1495" w:right="2242"/>
        <w:rPr>
          <w:sz w:val="20"/>
        </w:rPr>
      </w:pPr>
      <w:r>
        <w:rPr>
          <w:sz w:val="20"/>
        </w:rPr>
        <w:t>Oversight</w:t>
      </w:r>
      <w:r>
        <w:rPr>
          <w:spacing w:val="-8"/>
          <w:sz w:val="20"/>
        </w:rPr>
        <w:t xml:space="preserve"> </w:t>
      </w:r>
      <w:r>
        <w:rPr>
          <w:sz w:val="20"/>
        </w:rPr>
        <w:t>administered</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Information</w:t>
      </w:r>
      <w:r>
        <w:rPr>
          <w:spacing w:val="-8"/>
          <w:sz w:val="20"/>
        </w:rPr>
        <w:t xml:space="preserve"> </w:t>
      </w:r>
      <w:r>
        <w:rPr>
          <w:sz w:val="20"/>
        </w:rPr>
        <w:t>Management</w:t>
      </w:r>
      <w:r>
        <w:rPr>
          <w:spacing w:val="-8"/>
          <w:sz w:val="20"/>
        </w:rPr>
        <w:t xml:space="preserve"> </w:t>
      </w:r>
      <w:r>
        <w:rPr>
          <w:sz w:val="20"/>
        </w:rPr>
        <w:t>and</w:t>
      </w:r>
      <w:r>
        <w:rPr>
          <w:spacing w:val="-12"/>
          <w:sz w:val="20"/>
        </w:rPr>
        <w:t xml:space="preserve"> </w:t>
      </w:r>
      <w:r>
        <w:rPr>
          <w:sz w:val="20"/>
        </w:rPr>
        <w:t>Technologies Governance (IMTG) Board.</w:t>
      </w:r>
    </w:p>
    <w:p w14:paraId="7C34B275" w14:textId="77777777" w:rsidR="00AC6F3C" w:rsidRDefault="00570E88">
      <w:pPr>
        <w:pStyle w:val="ListParagraph"/>
        <w:numPr>
          <w:ilvl w:val="1"/>
          <w:numId w:val="35"/>
        </w:numPr>
        <w:tabs>
          <w:tab w:val="left" w:pos="1495"/>
        </w:tabs>
        <w:spacing w:before="171" w:line="249" w:lineRule="auto"/>
        <w:ind w:left="1495" w:right="813"/>
        <w:rPr>
          <w:sz w:val="20"/>
        </w:rPr>
      </w:pPr>
      <w:r>
        <w:rPr>
          <w:sz w:val="20"/>
        </w:rPr>
        <w:t>Establishment</w:t>
      </w:r>
      <w:r>
        <w:rPr>
          <w:spacing w:val="-6"/>
          <w:sz w:val="20"/>
        </w:rPr>
        <w:t xml:space="preserve"> </w:t>
      </w:r>
      <w:r>
        <w:rPr>
          <w:sz w:val="20"/>
        </w:rPr>
        <w:t>of</w:t>
      </w:r>
      <w:r>
        <w:rPr>
          <w:spacing w:val="-6"/>
          <w:sz w:val="20"/>
        </w:rPr>
        <w:t xml:space="preserve"> </w:t>
      </w:r>
      <w:r>
        <w:rPr>
          <w:sz w:val="20"/>
        </w:rPr>
        <w:t>effective</w:t>
      </w:r>
      <w:r>
        <w:rPr>
          <w:spacing w:val="-6"/>
          <w:sz w:val="20"/>
        </w:rPr>
        <w:t xml:space="preserve"> </w:t>
      </w:r>
      <w:r>
        <w:rPr>
          <w:sz w:val="20"/>
        </w:rPr>
        <w:t>project</w:t>
      </w:r>
      <w:r>
        <w:rPr>
          <w:spacing w:val="-6"/>
          <w:sz w:val="20"/>
        </w:rPr>
        <w:t xml:space="preserve"> </w:t>
      </w:r>
      <w:r>
        <w:rPr>
          <w:sz w:val="20"/>
        </w:rPr>
        <w:t>governance</w:t>
      </w:r>
      <w:r>
        <w:rPr>
          <w:spacing w:val="-6"/>
          <w:sz w:val="20"/>
        </w:rPr>
        <w:t xml:space="preserve"> </w:t>
      </w:r>
      <w:r>
        <w:rPr>
          <w:sz w:val="20"/>
        </w:rPr>
        <w:t>and</w:t>
      </w:r>
      <w:r>
        <w:rPr>
          <w:spacing w:val="-6"/>
          <w:sz w:val="20"/>
        </w:rPr>
        <w:t xml:space="preserve"> </w:t>
      </w:r>
      <w:r>
        <w:rPr>
          <w:sz w:val="20"/>
        </w:rPr>
        <w:t>frameworks</w:t>
      </w:r>
      <w:r>
        <w:rPr>
          <w:spacing w:val="-6"/>
          <w:sz w:val="20"/>
        </w:rPr>
        <w:t xml:space="preserve"> </w:t>
      </w:r>
      <w:r>
        <w:rPr>
          <w:sz w:val="20"/>
        </w:rPr>
        <w:t>that</w:t>
      </w:r>
      <w:r>
        <w:rPr>
          <w:spacing w:val="-6"/>
          <w:sz w:val="20"/>
        </w:rPr>
        <w:t xml:space="preserve"> </w:t>
      </w:r>
      <w:r>
        <w:rPr>
          <w:sz w:val="20"/>
        </w:rPr>
        <w:t>ensures</w:t>
      </w:r>
      <w:r>
        <w:rPr>
          <w:spacing w:val="-6"/>
          <w:sz w:val="20"/>
        </w:rPr>
        <w:t xml:space="preserve"> </w:t>
      </w:r>
      <w:r>
        <w:rPr>
          <w:sz w:val="20"/>
        </w:rPr>
        <w:t>accountability, transparency and responsibility of all Stakeholders.</w:t>
      </w:r>
    </w:p>
    <w:p w14:paraId="0CAF3568" w14:textId="77777777" w:rsidR="00AC6F3C" w:rsidRDefault="00570E88">
      <w:pPr>
        <w:pStyle w:val="ListParagraph"/>
        <w:numPr>
          <w:ilvl w:val="1"/>
          <w:numId w:val="35"/>
        </w:numPr>
        <w:tabs>
          <w:tab w:val="left" w:pos="1493"/>
          <w:tab w:val="left" w:pos="1495"/>
        </w:tabs>
        <w:spacing w:before="172" w:line="249" w:lineRule="auto"/>
        <w:ind w:left="1495" w:right="1349"/>
        <w:jc w:val="both"/>
        <w:rPr>
          <w:sz w:val="20"/>
        </w:rPr>
      </w:pPr>
      <w:r>
        <w:rPr>
          <w:sz w:val="20"/>
        </w:rPr>
        <w:t xml:space="preserve">Management and </w:t>
      </w:r>
      <w:proofErr w:type="spellStart"/>
      <w:r>
        <w:rPr>
          <w:sz w:val="20"/>
        </w:rPr>
        <w:t>prioritisation</w:t>
      </w:r>
      <w:proofErr w:type="spellEnd"/>
      <w:r>
        <w:rPr>
          <w:sz w:val="20"/>
        </w:rPr>
        <w:t xml:space="preserve"> of ongoing enhancements through the establishment of</w:t>
      </w:r>
      <w:r>
        <w:rPr>
          <w:spacing w:val="-4"/>
          <w:sz w:val="20"/>
        </w:rPr>
        <w:t xml:space="preserve"> </w:t>
      </w:r>
      <w:r>
        <w:rPr>
          <w:sz w:val="20"/>
        </w:rPr>
        <w:t>an</w:t>
      </w:r>
      <w:r>
        <w:rPr>
          <w:spacing w:val="-4"/>
          <w:sz w:val="20"/>
        </w:rPr>
        <w:t xml:space="preserve"> </w:t>
      </w:r>
      <w:r>
        <w:rPr>
          <w:sz w:val="20"/>
        </w:rPr>
        <w:t>effective</w:t>
      </w:r>
      <w:r>
        <w:rPr>
          <w:spacing w:val="-4"/>
          <w:sz w:val="20"/>
        </w:rPr>
        <w:t xml:space="preserve"> </w:t>
      </w:r>
      <w:r>
        <w:rPr>
          <w:sz w:val="20"/>
        </w:rPr>
        <w:t>change</w:t>
      </w:r>
      <w:r>
        <w:rPr>
          <w:spacing w:val="-4"/>
          <w:sz w:val="20"/>
        </w:rPr>
        <w:t xml:space="preserve"> </w:t>
      </w:r>
      <w:r>
        <w:rPr>
          <w:sz w:val="20"/>
        </w:rPr>
        <w:t>control</w:t>
      </w:r>
      <w:r>
        <w:rPr>
          <w:spacing w:val="-4"/>
          <w:sz w:val="20"/>
        </w:rPr>
        <w:t xml:space="preserve"> </w:t>
      </w:r>
      <w:r>
        <w:rPr>
          <w:sz w:val="20"/>
        </w:rPr>
        <w:t>board</w:t>
      </w:r>
      <w:r>
        <w:rPr>
          <w:spacing w:val="-4"/>
          <w:sz w:val="20"/>
        </w:rPr>
        <w:t xml:space="preserve"> </w:t>
      </w:r>
      <w:r>
        <w:rPr>
          <w:sz w:val="20"/>
        </w:rPr>
        <w:t>and</w:t>
      </w:r>
      <w:r>
        <w:rPr>
          <w:spacing w:val="-4"/>
          <w:sz w:val="20"/>
        </w:rPr>
        <w:t xml:space="preserve"> </w:t>
      </w:r>
      <w:r>
        <w:rPr>
          <w:sz w:val="20"/>
        </w:rPr>
        <w:t>system</w:t>
      </w:r>
      <w:r>
        <w:rPr>
          <w:spacing w:val="-4"/>
          <w:sz w:val="20"/>
        </w:rPr>
        <w:t xml:space="preserve"> </w:t>
      </w:r>
      <w:r>
        <w:rPr>
          <w:sz w:val="20"/>
        </w:rPr>
        <w:t>to</w:t>
      </w:r>
      <w:r>
        <w:rPr>
          <w:spacing w:val="-4"/>
          <w:sz w:val="20"/>
        </w:rPr>
        <w:t xml:space="preserve"> </w:t>
      </w:r>
      <w:r>
        <w:rPr>
          <w:sz w:val="20"/>
        </w:rPr>
        <w:t>drive</w:t>
      </w:r>
      <w:r>
        <w:rPr>
          <w:spacing w:val="-4"/>
          <w:sz w:val="20"/>
        </w:rPr>
        <w:t xml:space="preserve"> </w:t>
      </w:r>
      <w:r>
        <w:rPr>
          <w:sz w:val="20"/>
        </w:rPr>
        <w:t>operational</w:t>
      </w:r>
      <w:r>
        <w:rPr>
          <w:spacing w:val="-4"/>
          <w:sz w:val="20"/>
        </w:rPr>
        <w:t xml:space="preserve"> </w:t>
      </w:r>
      <w:r>
        <w:rPr>
          <w:sz w:val="20"/>
        </w:rPr>
        <w:t>efficiencies</w:t>
      </w:r>
      <w:r>
        <w:rPr>
          <w:spacing w:val="-4"/>
          <w:sz w:val="20"/>
        </w:rPr>
        <w:t xml:space="preserve"> </w:t>
      </w:r>
      <w:r>
        <w:rPr>
          <w:sz w:val="20"/>
        </w:rPr>
        <w:t>and improve the user experience.</w:t>
      </w:r>
    </w:p>
    <w:p w14:paraId="38A096D9" w14:textId="77777777" w:rsidR="00AC6F3C" w:rsidRDefault="00570E88">
      <w:pPr>
        <w:pStyle w:val="ListParagraph"/>
        <w:numPr>
          <w:ilvl w:val="1"/>
          <w:numId w:val="35"/>
        </w:numPr>
        <w:tabs>
          <w:tab w:val="left" w:pos="1495"/>
        </w:tabs>
        <w:spacing w:before="172" w:line="249" w:lineRule="auto"/>
        <w:ind w:left="1495" w:right="216"/>
        <w:rPr>
          <w:sz w:val="20"/>
        </w:rPr>
      </w:pPr>
      <w:r>
        <w:rPr>
          <w:sz w:val="20"/>
        </w:rPr>
        <w:t>Creation</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continuous</w:t>
      </w:r>
      <w:r>
        <w:rPr>
          <w:spacing w:val="-3"/>
          <w:sz w:val="20"/>
        </w:rPr>
        <w:t xml:space="preserve"> </w:t>
      </w:r>
      <w:r>
        <w:rPr>
          <w:sz w:val="20"/>
        </w:rPr>
        <w:t>business</w:t>
      </w:r>
      <w:r>
        <w:rPr>
          <w:spacing w:val="-3"/>
          <w:sz w:val="20"/>
        </w:rPr>
        <w:t xml:space="preserve"> </w:t>
      </w:r>
      <w:r>
        <w:rPr>
          <w:sz w:val="20"/>
        </w:rPr>
        <w:t>systems</w:t>
      </w:r>
      <w:r>
        <w:rPr>
          <w:spacing w:val="-3"/>
          <w:sz w:val="20"/>
        </w:rPr>
        <w:t xml:space="preserve"> </w:t>
      </w:r>
      <w:r>
        <w:rPr>
          <w:sz w:val="20"/>
        </w:rPr>
        <w:t>enhancement</w:t>
      </w:r>
      <w:r>
        <w:rPr>
          <w:spacing w:val="-3"/>
          <w:sz w:val="20"/>
        </w:rPr>
        <w:t xml:space="preserve"> </w:t>
      </w:r>
      <w:r>
        <w:rPr>
          <w:sz w:val="20"/>
        </w:rPr>
        <w:t>strategy</w:t>
      </w:r>
      <w:r>
        <w:rPr>
          <w:spacing w:val="-3"/>
          <w:sz w:val="20"/>
        </w:rPr>
        <w:t xml:space="preserve"> </w:t>
      </w:r>
      <w:r>
        <w:rPr>
          <w:sz w:val="20"/>
        </w:rPr>
        <w:t>which</w:t>
      </w:r>
      <w:r>
        <w:rPr>
          <w:spacing w:val="-3"/>
          <w:sz w:val="20"/>
        </w:rPr>
        <w:t xml:space="preserve"> </w:t>
      </w:r>
      <w:r>
        <w:rPr>
          <w:sz w:val="20"/>
        </w:rPr>
        <w:t>aligns</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 xml:space="preserve">business goals and stakeholder expectations as well as the overarching </w:t>
      </w:r>
      <w:proofErr w:type="spellStart"/>
      <w:r>
        <w:rPr>
          <w:sz w:val="20"/>
        </w:rPr>
        <w:t>organisational</w:t>
      </w:r>
      <w:proofErr w:type="spellEnd"/>
      <w:r>
        <w:rPr>
          <w:sz w:val="20"/>
        </w:rPr>
        <w:t xml:space="preserve"> objectives.</w:t>
      </w:r>
    </w:p>
    <w:p w14:paraId="03C7C1ED" w14:textId="77777777" w:rsidR="00AC6F3C" w:rsidRDefault="00570E88">
      <w:pPr>
        <w:numPr>
          <w:ilvl w:val="0"/>
          <w:numId w:val="35"/>
        </w:numPr>
        <w:tabs>
          <w:tab w:val="left" w:pos="1154"/>
        </w:tabs>
        <w:spacing w:before="172"/>
        <w:ind w:left="1154" w:hanging="339"/>
        <w:rPr>
          <w:b/>
          <w:sz w:val="20"/>
        </w:rPr>
      </w:pPr>
      <w:proofErr w:type="spellStart"/>
      <w:r>
        <w:rPr>
          <w:b/>
          <w:sz w:val="20"/>
        </w:rPr>
        <w:t>Maximising</w:t>
      </w:r>
      <w:proofErr w:type="spellEnd"/>
      <w:r>
        <w:rPr>
          <w:b/>
          <w:spacing w:val="-6"/>
          <w:sz w:val="20"/>
        </w:rPr>
        <w:t xml:space="preserve"> </w:t>
      </w:r>
      <w:r>
        <w:rPr>
          <w:b/>
          <w:sz w:val="20"/>
        </w:rPr>
        <w:t>the</w:t>
      </w:r>
      <w:r>
        <w:rPr>
          <w:b/>
          <w:spacing w:val="-3"/>
          <w:sz w:val="20"/>
        </w:rPr>
        <w:t xml:space="preserve"> </w:t>
      </w:r>
      <w:r>
        <w:rPr>
          <w:b/>
          <w:sz w:val="20"/>
        </w:rPr>
        <w:t>value</w:t>
      </w:r>
      <w:r>
        <w:rPr>
          <w:b/>
          <w:spacing w:val="-4"/>
          <w:sz w:val="20"/>
        </w:rPr>
        <w:t xml:space="preserve"> </w:t>
      </w:r>
      <w:r>
        <w:rPr>
          <w:b/>
          <w:sz w:val="20"/>
        </w:rPr>
        <w:t>derived</w:t>
      </w:r>
      <w:r>
        <w:rPr>
          <w:b/>
          <w:spacing w:val="-3"/>
          <w:sz w:val="20"/>
        </w:rPr>
        <w:t xml:space="preserve"> </w:t>
      </w:r>
      <w:r>
        <w:rPr>
          <w:b/>
          <w:sz w:val="20"/>
        </w:rPr>
        <w:t>from</w:t>
      </w:r>
      <w:r>
        <w:rPr>
          <w:b/>
          <w:spacing w:val="-4"/>
          <w:sz w:val="20"/>
        </w:rPr>
        <w:t xml:space="preserve"> </w:t>
      </w:r>
      <w:r>
        <w:rPr>
          <w:b/>
          <w:sz w:val="20"/>
        </w:rPr>
        <w:t>QLS’s</w:t>
      </w:r>
      <w:r>
        <w:rPr>
          <w:b/>
          <w:spacing w:val="-3"/>
          <w:sz w:val="20"/>
        </w:rPr>
        <w:t xml:space="preserve"> </w:t>
      </w:r>
      <w:r>
        <w:rPr>
          <w:b/>
          <w:sz w:val="20"/>
        </w:rPr>
        <w:t>investments</w:t>
      </w:r>
      <w:r>
        <w:rPr>
          <w:b/>
          <w:spacing w:val="-4"/>
          <w:sz w:val="20"/>
        </w:rPr>
        <w:t xml:space="preserve"> </w:t>
      </w:r>
      <w:r>
        <w:rPr>
          <w:b/>
          <w:sz w:val="20"/>
        </w:rPr>
        <w:t>in</w:t>
      </w:r>
      <w:r>
        <w:rPr>
          <w:b/>
          <w:spacing w:val="-3"/>
          <w:sz w:val="20"/>
        </w:rPr>
        <w:t xml:space="preserve"> </w:t>
      </w:r>
      <w:r>
        <w:rPr>
          <w:b/>
          <w:sz w:val="20"/>
        </w:rPr>
        <w:t>information</w:t>
      </w:r>
      <w:r>
        <w:rPr>
          <w:b/>
          <w:spacing w:val="-4"/>
          <w:sz w:val="20"/>
        </w:rPr>
        <w:t xml:space="preserve"> </w:t>
      </w:r>
      <w:r>
        <w:rPr>
          <w:b/>
          <w:sz w:val="20"/>
        </w:rPr>
        <w:t>management</w:t>
      </w:r>
      <w:r>
        <w:rPr>
          <w:b/>
          <w:spacing w:val="-3"/>
          <w:sz w:val="20"/>
        </w:rPr>
        <w:t xml:space="preserve"> </w:t>
      </w:r>
      <w:r>
        <w:rPr>
          <w:b/>
          <w:sz w:val="20"/>
        </w:rPr>
        <w:t>to</w:t>
      </w:r>
      <w:r>
        <w:rPr>
          <w:b/>
          <w:spacing w:val="-3"/>
          <w:sz w:val="20"/>
        </w:rPr>
        <w:t xml:space="preserve"> </w:t>
      </w:r>
      <w:proofErr w:type="spellStart"/>
      <w:r>
        <w:rPr>
          <w:b/>
          <w:spacing w:val="-2"/>
          <w:sz w:val="20"/>
        </w:rPr>
        <w:t>capitalise</w:t>
      </w:r>
      <w:proofErr w:type="spellEnd"/>
    </w:p>
    <w:p w14:paraId="21675254" w14:textId="77777777" w:rsidR="00AC6F3C" w:rsidRDefault="00570E88">
      <w:pPr>
        <w:spacing w:before="10"/>
        <w:ind w:left="1155"/>
        <w:rPr>
          <w:b/>
          <w:sz w:val="20"/>
        </w:rPr>
      </w:pPr>
      <w:r>
        <w:rPr>
          <w:b/>
          <w:sz w:val="20"/>
        </w:rPr>
        <w:t>on</w:t>
      </w:r>
      <w:r>
        <w:rPr>
          <w:b/>
          <w:spacing w:val="-8"/>
          <w:sz w:val="20"/>
        </w:rPr>
        <w:t xml:space="preserve"> </w:t>
      </w:r>
      <w:r>
        <w:rPr>
          <w:b/>
          <w:sz w:val="20"/>
        </w:rPr>
        <w:t>possibilities</w:t>
      </w:r>
      <w:r>
        <w:rPr>
          <w:b/>
          <w:spacing w:val="-7"/>
          <w:sz w:val="20"/>
        </w:rPr>
        <w:t xml:space="preserve"> </w:t>
      </w:r>
      <w:r>
        <w:rPr>
          <w:b/>
          <w:sz w:val="20"/>
        </w:rPr>
        <w:t>and</w:t>
      </w:r>
      <w:r>
        <w:rPr>
          <w:b/>
          <w:spacing w:val="-7"/>
          <w:sz w:val="20"/>
        </w:rPr>
        <w:t xml:space="preserve"> </w:t>
      </w:r>
      <w:proofErr w:type="spellStart"/>
      <w:r>
        <w:rPr>
          <w:b/>
          <w:sz w:val="20"/>
        </w:rPr>
        <w:t>minimise</w:t>
      </w:r>
      <w:proofErr w:type="spellEnd"/>
      <w:r>
        <w:rPr>
          <w:b/>
          <w:spacing w:val="-7"/>
          <w:sz w:val="20"/>
        </w:rPr>
        <w:t xml:space="preserve"> </w:t>
      </w:r>
      <w:r>
        <w:rPr>
          <w:b/>
          <w:sz w:val="20"/>
        </w:rPr>
        <w:t>inefficiencies</w:t>
      </w:r>
      <w:r>
        <w:rPr>
          <w:b/>
          <w:spacing w:val="-7"/>
          <w:sz w:val="20"/>
        </w:rPr>
        <w:t xml:space="preserve"> </w:t>
      </w:r>
      <w:r>
        <w:rPr>
          <w:b/>
          <w:sz w:val="20"/>
        </w:rPr>
        <w:t>by</w:t>
      </w:r>
      <w:r>
        <w:rPr>
          <w:b/>
          <w:spacing w:val="-7"/>
          <w:sz w:val="20"/>
        </w:rPr>
        <w:t xml:space="preserve"> </w:t>
      </w:r>
      <w:r>
        <w:rPr>
          <w:b/>
          <w:sz w:val="20"/>
        </w:rPr>
        <w:t>means</w:t>
      </w:r>
      <w:r>
        <w:rPr>
          <w:b/>
          <w:spacing w:val="-7"/>
          <w:sz w:val="20"/>
        </w:rPr>
        <w:t xml:space="preserve"> </w:t>
      </w:r>
      <w:r>
        <w:rPr>
          <w:b/>
          <w:spacing w:val="-5"/>
          <w:sz w:val="20"/>
        </w:rPr>
        <w:t>of:</w:t>
      </w:r>
    </w:p>
    <w:p w14:paraId="13CE20F5" w14:textId="77777777" w:rsidR="00AC6F3C" w:rsidRDefault="00570E88">
      <w:pPr>
        <w:pStyle w:val="ListParagraph"/>
        <w:numPr>
          <w:ilvl w:val="1"/>
          <w:numId w:val="35"/>
        </w:numPr>
        <w:tabs>
          <w:tab w:val="left" w:pos="1495"/>
        </w:tabs>
        <w:spacing w:line="249" w:lineRule="auto"/>
        <w:ind w:left="1495" w:right="340"/>
        <w:rPr>
          <w:sz w:val="20"/>
        </w:rPr>
      </w:pPr>
      <w:r>
        <w:rPr>
          <w:sz w:val="20"/>
        </w:rPr>
        <w:t>Accomplishing</w:t>
      </w:r>
      <w:r>
        <w:rPr>
          <w:spacing w:val="-4"/>
          <w:sz w:val="20"/>
        </w:rPr>
        <w:t xml:space="preserve"> </w:t>
      </w:r>
      <w:r>
        <w:rPr>
          <w:sz w:val="20"/>
        </w:rPr>
        <w:t>successful</w:t>
      </w:r>
      <w:r>
        <w:rPr>
          <w:spacing w:val="-4"/>
          <w:sz w:val="20"/>
        </w:rPr>
        <w:t xml:space="preserve"> </w:t>
      </w:r>
      <w:r>
        <w:rPr>
          <w:sz w:val="20"/>
        </w:rPr>
        <w:t>implementation</w:t>
      </w:r>
      <w:r>
        <w:rPr>
          <w:spacing w:val="-4"/>
          <w:sz w:val="20"/>
        </w:rPr>
        <w:t xml:space="preserve"> </w:t>
      </w:r>
      <w:r>
        <w:rPr>
          <w:sz w:val="20"/>
        </w:rPr>
        <w:t>of</w:t>
      </w:r>
      <w:r>
        <w:rPr>
          <w:spacing w:val="-4"/>
          <w:sz w:val="20"/>
        </w:rPr>
        <w:t xml:space="preserve"> </w:t>
      </w:r>
      <w:r>
        <w:rPr>
          <w:sz w:val="20"/>
        </w:rPr>
        <w:t>information</w:t>
      </w:r>
      <w:r>
        <w:rPr>
          <w:spacing w:val="-4"/>
          <w:sz w:val="20"/>
        </w:rPr>
        <w:t xml:space="preserve"> </w:t>
      </w:r>
      <w:r>
        <w:rPr>
          <w:sz w:val="20"/>
        </w:rPr>
        <w:t>capabilities</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backing</w:t>
      </w:r>
      <w:r>
        <w:rPr>
          <w:spacing w:val="-4"/>
          <w:sz w:val="20"/>
        </w:rPr>
        <w:t xml:space="preserve"> </w:t>
      </w:r>
      <w:r>
        <w:rPr>
          <w:sz w:val="20"/>
        </w:rPr>
        <w:t>of</w:t>
      </w:r>
      <w:r>
        <w:rPr>
          <w:spacing w:val="-4"/>
          <w:sz w:val="20"/>
        </w:rPr>
        <w:t xml:space="preserve"> </w:t>
      </w:r>
      <w:r>
        <w:rPr>
          <w:sz w:val="20"/>
        </w:rPr>
        <w:t>modern business systems.</w:t>
      </w:r>
    </w:p>
    <w:p w14:paraId="65D31292" w14:textId="77777777" w:rsidR="00AC6F3C" w:rsidRDefault="00570E88">
      <w:pPr>
        <w:pStyle w:val="ListParagraph"/>
        <w:numPr>
          <w:ilvl w:val="1"/>
          <w:numId w:val="35"/>
        </w:numPr>
        <w:tabs>
          <w:tab w:val="left" w:pos="1495"/>
        </w:tabs>
        <w:spacing w:before="172"/>
        <w:ind w:left="1495" w:hanging="340"/>
        <w:rPr>
          <w:sz w:val="20"/>
        </w:rPr>
      </w:pPr>
      <w:r>
        <w:rPr>
          <w:sz w:val="20"/>
        </w:rPr>
        <w:t>Strategically</w:t>
      </w:r>
      <w:r>
        <w:rPr>
          <w:spacing w:val="-5"/>
          <w:sz w:val="20"/>
        </w:rPr>
        <w:t xml:space="preserve"> </w:t>
      </w:r>
      <w:r>
        <w:rPr>
          <w:sz w:val="20"/>
        </w:rPr>
        <w:t>aligning</w:t>
      </w:r>
      <w:r>
        <w:rPr>
          <w:spacing w:val="-5"/>
          <w:sz w:val="20"/>
        </w:rPr>
        <w:t xml:space="preserve"> </w:t>
      </w:r>
      <w:r>
        <w:rPr>
          <w:sz w:val="20"/>
        </w:rPr>
        <w:t>efforts</w:t>
      </w:r>
      <w:r>
        <w:rPr>
          <w:spacing w:val="-5"/>
          <w:sz w:val="20"/>
        </w:rPr>
        <w:t xml:space="preserve"> </w:t>
      </w:r>
      <w:r>
        <w:rPr>
          <w:sz w:val="20"/>
        </w:rPr>
        <w:t>to</w:t>
      </w:r>
      <w:r>
        <w:rPr>
          <w:spacing w:val="-5"/>
          <w:sz w:val="20"/>
        </w:rPr>
        <w:t xml:space="preserve"> </w:t>
      </w:r>
      <w:r>
        <w:rPr>
          <w:sz w:val="20"/>
        </w:rPr>
        <w:t>facilitate</w:t>
      </w:r>
      <w:r>
        <w:rPr>
          <w:spacing w:val="-4"/>
          <w:sz w:val="20"/>
        </w:rPr>
        <w:t xml:space="preserve"> </w:t>
      </w:r>
      <w:r>
        <w:rPr>
          <w:sz w:val="20"/>
        </w:rPr>
        <w:t>service</w:t>
      </w:r>
      <w:r>
        <w:rPr>
          <w:spacing w:val="-5"/>
          <w:sz w:val="20"/>
        </w:rPr>
        <w:t xml:space="preserve"> </w:t>
      </w:r>
      <w:r>
        <w:rPr>
          <w:spacing w:val="-2"/>
          <w:sz w:val="20"/>
        </w:rPr>
        <w:t>delivery.</w:t>
      </w:r>
    </w:p>
    <w:p w14:paraId="6D7C5463" w14:textId="77777777" w:rsidR="00AC6F3C" w:rsidRDefault="00570E88">
      <w:pPr>
        <w:pStyle w:val="ListParagraph"/>
        <w:numPr>
          <w:ilvl w:val="1"/>
          <w:numId w:val="35"/>
        </w:numPr>
        <w:tabs>
          <w:tab w:val="left" w:pos="1495"/>
        </w:tabs>
        <w:spacing w:line="249" w:lineRule="auto"/>
        <w:ind w:left="1495" w:right="372"/>
        <w:rPr>
          <w:sz w:val="20"/>
        </w:rPr>
      </w:pPr>
      <w:r>
        <w:rPr>
          <w:sz w:val="20"/>
        </w:rPr>
        <w:t>Elevating</w:t>
      </w:r>
      <w:r>
        <w:rPr>
          <w:spacing w:val="-3"/>
          <w:sz w:val="20"/>
        </w:rPr>
        <w:t xml:space="preserve"> </w:t>
      </w:r>
      <w:r>
        <w:rPr>
          <w:sz w:val="20"/>
        </w:rPr>
        <w:t>member</w:t>
      </w:r>
      <w:r>
        <w:rPr>
          <w:spacing w:val="-3"/>
          <w:sz w:val="20"/>
        </w:rPr>
        <w:t xml:space="preserve"> </w:t>
      </w:r>
      <w:r>
        <w:rPr>
          <w:sz w:val="20"/>
        </w:rPr>
        <w:t>and</w:t>
      </w:r>
      <w:r>
        <w:rPr>
          <w:spacing w:val="-3"/>
          <w:sz w:val="20"/>
        </w:rPr>
        <w:t xml:space="preserve"> </w:t>
      </w:r>
      <w:r>
        <w:rPr>
          <w:sz w:val="20"/>
        </w:rPr>
        <w:t>public</w:t>
      </w:r>
      <w:r>
        <w:rPr>
          <w:spacing w:val="-3"/>
          <w:sz w:val="20"/>
        </w:rPr>
        <w:t xml:space="preserve"> </w:t>
      </w:r>
      <w:r>
        <w:rPr>
          <w:sz w:val="20"/>
        </w:rPr>
        <w:t>contentment</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concentrated</w:t>
      </w:r>
      <w:r>
        <w:rPr>
          <w:spacing w:val="-3"/>
          <w:sz w:val="20"/>
        </w:rPr>
        <w:t xml:space="preserve"> </w:t>
      </w:r>
      <w:r>
        <w:rPr>
          <w:sz w:val="20"/>
        </w:rPr>
        <w:t>emphasis</w:t>
      </w:r>
      <w:r>
        <w:rPr>
          <w:spacing w:val="-3"/>
          <w:sz w:val="20"/>
        </w:rPr>
        <w:t xml:space="preserve"> </w:t>
      </w:r>
      <w:r>
        <w:rPr>
          <w:sz w:val="20"/>
        </w:rPr>
        <w:t>on</w:t>
      </w:r>
      <w:r>
        <w:rPr>
          <w:spacing w:val="-3"/>
          <w:sz w:val="20"/>
        </w:rPr>
        <w:t xml:space="preserve"> </w:t>
      </w:r>
      <w:r>
        <w:rPr>
          <w:sz w:val="20"/>
        </w:rPr>
        <w:t>delivering</w:t>
      </w:r>
      <w:r>
        <w:rPr>
          <w:spacing w:val="-3"/>
          <w:sz w:val="20"/>
        </w:rPr>
        <w:t xml:space="preserve"> </w:t>
      </w:r>
      <w:r>
        <w:rPr>
          <w:sz w:val="20"/>
        </w:rPr>
        <w:t>services that are streamlined, proficient, well-informed, and punctual.</w:t>
      </w:r>
    </w:p>
    <w:p w14:paraId="55BE42A4" w14:textId="77777777" w:rsidR="00AC6F3C" w:rsidRDefault="00570E88">
      <w:pPr>
        <w:pStyle w:val="ListParagraph"/>
        <w:numPr>
          <w:ilvl w:val="1"/>
          <w:numId w:val="35"/>
        </w:numPr>
        <w:tabs>
          <w:tab w:val="left" w:pos="1495"/>
        </w:tabs>
        <w:spacing w:before="171" w:line="249" w:lineRule="auto"/>
        <w:ind w:left="1495" w:right="517"/>
        <w:rPr>
          <w:sz w:val="20"/>
        </w:rPr>
      </w:pPr>
      <w:r>
        <w:rPr>
          <w:sz w:val="20"/>
        </w:rPr>
        <w:t>Embed</w:t>
      </w:r>
      <w:r>
        <w:rPr>
          <w:spacing w:val="-7"/>
          <w:sz w:val="20"/>
        </w:rPr>
        <w:t xml:space="preserve"> </w:t>
      </w:r>
      <w:r>
        <w:rPr>
          <w:sz w:val="20"/>
        </w:rPr>
        <w:t>automation</w:t>
      </w:r>
      <w:r>
        <w:rPr>
          <w:spacing w:val="-7"/>
          <w:sz w:val="20"/>
        </w:rPr>
        <w:t xml:space="preserve"> </w:t>
      </w:r>
      <w:r>
        <w:rPr>
          <w:sz w:val="20"/>
        </w:rPr>
        <w:t>and</w:t>
      </w:r>
      <w:r>
        <w:rPr>
          <w:spacing w:val="-7"/>
          <w:sz w:val="20"/>
        </w:rPr>
        <w:t xml:space="preserve"> </w:t>
      </w:r>
      <w:r>
        <w:rPr>
          <w:sz w:val="20"/>
        </w:rPr>
        <w:t>integration</w:t>
      </w:r>
      <w:r>
        <w:rPr>
          <w:spacing w:val="-7"/>
          <w:sz w:val="20"/>
        </w:rPr>
        <w:t xml:space="preserve"> </w:t>
      </w:r>
      <w:r>
        <w:rPr>
          <w:sz w:val="20"/>
        </w:rPr>
        <w:t>within</w:t>
      </w:r>
      <w:r>
        <w:rPr>
          <w:spacing w:val="-7"/>
          <w:sz w:val="20"/>
        </w:rPr>
        <w:t xml:space="preserve"> </w:t>
      </w:r>
      <w:r>
        <w:rPr>
          <w:sz w:val="20"/>
        </w:rPr>
        <w:t>core</w:t>
      </w:r>
      <w:r>
        <w:rPr>
          <w:spacing w:val="-7"/>
          <w:sz w:val="20"/>
        </w:rPr>
        <w:t xml:space="preserve"> </w:t>
      </w:r>
      <w:r>
        <w:rPr>
          <w:sz w:val="20"/>
        </w:rPr>
        <w:t>systems</w:t>
      </w:r>
      <w:r>
        <w:rPr>
          <w:spacing w:val="-7"/>
          <w:sz w:val="20"/>
        </w:rPr>
        <w:t xml:space="preserve"> </w:t>
      </w:r>
      <w:r>
        <w:rPr>
          <w:sz w:val="20"/>
        </w:rPr>
        <w:t>to</w:t>
      </w:r>
      <w:r>
        <w:rPr>
          <w:spacing w:val="-7"/>
          <w:sz w:val="20"/>
        </w:rPr>
        <w:t xml:space="preserve"> </w:t>
      </w:r>
      <w:r>
        <w:rPr>
          <w:sz w:val="20"/>
        </w:rPr>
        <w:t>improve</w:t>
      </w:r>
      <w:r>
        <w:rPr>
          <w:spacing w:val="-7"/>
          <w:sz w:val="20"/>
        </w:rPr>
        <w:t xml:space="preserve"> </w:t>
      </w:r>
      <w:r>
        <w:rPr>
          <w:sz w:val="20"/>
        </w:rPr>
        <w:t>efficiency,</w:t>
      </w:r>
      <w:r>
        <w:rPr>
          <w:spacing w:val="-7"/>
          <w:sz w:val="20"/>
        </w:rPr>
        <w:t xml:space="preserve"> </w:t>
      </w:r>
      <w:r>
        <w:rPr>
          <w:sz w:val="20"/>
        </w:rPr>
        <w:t>productivity,</w:t>
      </w:r>
      <w:r>
        <w:rPr>
          <w:spacing w:val="-7"/>
          <w:sz w:val="20"/>
        </w:rPr>
        <w:t xml:space="preserve"> </w:t>
      </w:r>
      <w:r>
        <w:rPr>
          <w:sz w:val="20"/>
        </w:rPr>
        <w:t>and understand how the tools and platforms work together to deliver operational results.</w:t>
      </w:r>
    </w:p>
    <w:p w14:paraId="7F0F5DF9" w14:textId="77777777" w:rsidR="00AC6F3C" w:rsidRDefault="00570E88">
      <w:pPr>
        <w:pStyle w:val="ListParagraph"/>
        <w:numPr>
          <w:ilvl w:val="1"/>
          <w:numId w:val="35"/>
        </w:numPr>
        <w:tabs>
          <w:tab w:val="left" w:pos="1495"/>
        </w:tabs>
        <w:spacing w:before="172" w:line="249" w:lineRule="auto"/>
        <w:ind w:left="1495" w:right="807"/>
        <w:rPr>
          <w:sz w:val="20"/>
        </w:rPr>
      </w:pPr>
      <w:r>
        <w:rPr>
          <w:sz w:val="20"/>
        </w:rPr>
        <w:t>Simplify</w:t>
      </w:r>
      <w:r>
        <w:rPr>
          <w:spacing w:val="-4"/>
          <w:sz w:val="20"/>
        </w:rPr>
        <w:t xml:space="preserve"> </w:t>
      </w:r>
      <w:r>
        <w:rPr>
          <w:sz w:val="20"/>
        </w:rPr>
        <w:t>and</w:t>
      </w:r>
      <w:r>
        <w:rPr>
          <w:spacing w:val="-4"/>
          <w:sz w:val="20"/>
        </w:rPr>
        <w:t xml:space="preserve"> </w:t>
      </w:r>
      <w:r>
        <w:rPr>
          <w:sz w:val="20"/>
        </w:rPr>
        <w:t>streamline</w:t>
      </w:r>
      <w:r>
        <w:rPr>
          <w:spacing w:val="-4"/>
          <w:sz w:val="20"/>
        </w:rPr>
        <w:t xml:space="preserve"> </w:t>
      </w:r>
      <w:r>
        <w:rPr>
          <w:sz w:val="20"/>
        </w:rPr>
        <w:t>business</w:t>
      </w:r>
      <w:r>
        <w:rPr>
          <w:spacing w:val="-4"/>
          <w:sz w:val="20"/>
        </w:rPr>
        <w:t xml:space="preserve"> </w:t>
      </w:r>
      <w:r>
        <w:rPr>
          <w:sz w:val="20"/>
        </w:rPr>
        <w:t>processes</w:t>
      </w:r>
      <w:r>
        <w:rPr>
          <w:spacing w:val="-4"/>
          <w:sz w:val="20"/>
        </w:rPr>
        <w:t xml:space="preserve"> </w:t>
      </w:r>
      <w:r>
        <w:rPr>
          <w:sz w:val="20"/>
        </w:rPr>
        <w:t>and</w:t>
      </w:r>
      <w:r>
        <w:rPr>
          <w:spacing w:val="-4"/>
          <w:sz w:val="20"/>
        </w:rPr>
        <w:t xml:space="preserve"> </w:t>
      </w:r>
      <w:r>
        <w:rPr>
          <w:sz w:val="20"/>
        </w:rPr>
        <w:t>communication</w:t>
      </w:r>
      <w:r>
        <w:rPr>
          <w:spacing w:val="-4"/>
          <w:sz w:val="20"/>
        </w:rPr>
        <w:t xml:space="preserve"> </w:t>
      </w:r>
      <w:r>
        <w:rPr>
          <w:sz w:val="20"/>
        </w:rPr>
        <w:t>to</w:t>
      </w:r>
      <w:r>
        <w:rPr>
          <w:spacing w:val="-4"/>
          <w:sz w:val="20"/>
        </w:rPr>
        <w:t xml:space="preserve"> </w:t>
      </w:r>
      <w:r>
        <w:rPr>
          <w:sz w:val="20"/>
        </w:rPr>
        <w:t>improve</w:t>
      </w:r>
      <w:r>
        <w:rPr>
          <w:spacing w:val="-4"/>
          <w:sz w:val="20"/>
        </w:rPr>
        <w:t xml:space="preserve"> </w:t>
      </w:r>
      <w:r>
        <w:rPr>
          <w:sz w:val="20"/>
        </w:rPr>
        <w:t>workflows</w:t>
      </w:r>
      <w:r>
        <w:rPr>
          <w:spacing w:val="-4"/>
          <w:sz w:val="20"/>
        </w:rPr>
        <w:t xml:space="preserve"> </w:t>
      </w:r>
      <w:r>
        <w:rPr>
          <w:sz w:val="20"/>
        </w:rPr>
        <w:t>and communication between internal and external cohorts.</w:t>
      </w:r>
    </w:p>
    <w:p w14:paraId="0B9515D7" w14:textId="77777777" w:rsidR="00AC6F3C" w:rsidRDefault="00570E88">
      <w:pPr>
        <w:pStyle w:val="ListParagraph"/>
        <w:numPr>
          <w:ilvl w:val="1"/>
          <w:numId w:val="35"/>
        </w:numPr>
        <w:tabs>
          <w:tab w:val="left" w:pos="1495"/>
        </w:tabs>
        <w:spacing w:before="172"/>
        <w:ind w:left="1495" w:hanging="340"/>
        <w:rPr>
          <w:sz w:val="20"/>
        </w:rPr>
      </w:pPr>
      <w:r>
        <w:rPr>
          <w:sz w:val="20"/>
        </w:rPr>
        <w:t>Implementation</w:t>
      </w:r>
      <w:r>
        <w:rPr>
          <w:spacing w:val="-5"/>
          <w:sz w:val="20"/>
        </w:rPr>
        <w:t xml:space="preserve"> </w:t>
      </w:r>
      <w:r>
        <w:rPr>
          <w:sz w:val="20"/>
        </w:rPr>
        <w:t>of</w:t>
      </w:r>
      <w:r>
        <w:rPr>
          <w:spacing w:val="-2"/>
          <w:sz w:val="20"/>
        </w:rPr>
        <w:t xml:space="preserve"> </w:t>
      </w:r>
      <w:r>
        <w:rPr>
          <w:sz w:val="20"/>
        </w:rPr>
        <w:t>self</w:t>
      </w:r>
      <w:r>
        <w:rPr>
          <w:spacing w:val="-3"/>
          <w:sz w:val="20"/>
        </w:rPr>
        <w:t xml:space="preserve"> </w:t>
      </w:r>
      <w:r>
        <w:rPr>
          <w:sz w:val="20"/>
        </w:rPr>
        <w:t>service</w:t>
      </w:r>
      <w:r>
        <w:rPr>
          <w:spacing w:val="-2"/>
          <w:sz w:val="20"/>
        </w:rPr>
        <w:t xml:space="preserve"> </w:t>
      </w:r>
      <w:r>
        <w:rPr>
          <w:sz w:val="20"/>
        </w:rPr>
        <w:t>to</w:t>
      </w:r>
      <w:r>
        <w:rPr>
          <w:spacing w:val="-3"/>
          <w:sz w:val="20"/>
        </w:rPr>
        <w:t xml:space="preserve"> </w:t>
      </w:r>
      <w:r>
        <w:rPr>
          <w:sz w:val="20"/>
        </w:rPr>
        <w:t>empower</w:t>
      </w:r>
      <w:r>
        <w:rPr>
          <w:spacing w:val="-2"/>
          <w:sz w:val="20"/>
        </w:rPr>
        <w:t xml:space="preserve"> </w:t>
      </w:r>
      <w:r>
        <w:rPr>
          <w:sz w:val="20"/>
        </w:rPr>
        <w:t>teams</w:t>
      </w:r>
      <w:r>
        <w:rPr>
          <w:spacing w:val="-3"/>
          <w:sz w:val="20"/>
        </w:rPr>
        <w:t xml:space="preserve"> </w:t>
      </w:r>
      <w:r>
        <w:rPr>
          <w:sz w:val="20"/>
        </w:rPr>
        <w:t>and</w:t>
      </w:r>
      <w:r>
        <w:rPr>
          <w:spacing w:val="-2"/>
          <w:sz w:val="20"/>
        </w:rPr>
        <w:t xml:space="preserve"> </w:t>
      </w:r>
      <w:r>
        <w:rPr>
          <w:sz w:val="20"/>
        </w:rPr>
        <w:t>individuals</w:t>
      </w:r>
      <w:r>
        <w:rPr>
          <w:spacing w:val="-3"/>
          <w:sz w:val="20"/>
        </w:rPr>
        <w:t xml:space="preserve"> </w:t>
      </w:r>
      <w:r>
        <w:rPr>
          <w:sz w:val="20"/>
        </w:rPr>
        <w:t>to</w:t>
      </w:r>
      <w:r>
        <w:rPr>
          <w:spacing w:val="-2"/>
          <w:sz w:val="20"/>
        </w:rPr>
        <w:t xml:space="preserve"> </w:t>
      </w:r>
      <w:r>
        <w:rPr>
          <w:sz w:val="20"/>
        </w:rPr>
        <w:t>complete</w:t>
      </w:r>
      <w:r>
        <w:rPr>
          <w:spacing w:val="-3"/>
          <w:sz w:val="20"/>
        </w:rPr>
        <w:t xml:space="preserve"> </w:t>
      </w:r>
      <w:r>
        <w:rPr>
          <w:sz w:val="20"/>
        </w:rPr>
        <w:t>tasks</w:t>
      </w:r>
      <w:r>
        <w:rPr>
          <w:spacing w:val="-2"/>
          <w:sz w:val="20"/>
        </w:rPr>
        <w:t xml:space="preserve"> </w:t>
      </w:r>
      <w:r>
        <w:rPr>
          <w:sz w:val="20"/>
        </w:rPr>
        <w:t>and</w:t>
      </w:r>
      <w:r>
        <w:rPr>
          <w:spacing w:val="-2"/>
          <w:sz w:val="20"/>
        </w:rPr>
        <w:t xml:space="preserve"> removing</w:t>
      </w:r>
    </w:p>
    <w:p w14:paraId="7173A0A9" w14:textId="77777777" w:rsidR="00AC6F3C" w:rsidRDefault="00570E88">
      <w:pPr>
        <w:pStyle w:val="BodyText"/>
        <w:spacing w:before="10"/>
        <w:ind w:left="1495"/>
      </w:pPr>
      <w:r>
        <w:t>dependencies</w:t>
      </w:r>
      <w:r>
        <w:rPr>
          <w:spacing w:val="-1"/>
        </w:rPr>
        <w:t xml:space="preserve"> </w:t>
      </w:r>
      <w:r>
        <w:t xml:space="preserve">on </w:t>
      </w:r>
      <w:r>
        <w:rPr>
          <w:spacing w:val="-5"/>
        </w:rPr>
        <w:t>IT.</w:t>
      </w:r>
    </w:p>
    <w:p w14:paraId="7BE75F23" w14:textId="77777777" w:rsidR="00AC6F3C" w:rsidRDefault="00570E88">
      <w:pPr>
        <w:pStyle w:val="ListParagraph"/>
        <w:numPr>
          <w:ilvl w:val="1"/>
          <w:numId w:val="35"/>
        </w:numPr>
        <w:tabs>
          <w:tab w:val="left" w:pos="1495"/>
        </w:tabs>
        <w:spacing w:line="249" w:lineRule="auto"/>
        <w:ind w:left="1495" w:right="250"/>
        <w:rPr>
          <w:sz w:val="20"/>
        </w:rPr>
      </w:pPr>
      <w:r>
        <w:rPr>
          <w:sz w:val="20"/>
        </w:rPr>
        <w:t>Increased</w:t>
      </w:r>
      <w:r>
        <w:rPr>
          <w:spacing w:val="-3"/>
          <w:sz w:val="20"/>
        </w:rPr>
        <w:t xml:space="preserve"> </w:t>
      </w:r>
      <w:proofErr w:type="spellStart"/>
      <w:r>
        <w:rPr>
          <w:sz w:val="20"/>
        </w:rPr>
        <w:t>utilisation</w:t>
      </w:r>
      <w:proofErr w:type="spellEnd"/>
      <w:r>
        <w:rPr>
          <w:spacing w:val="-3"/>
          <w:sz w:val="20"/>
        </w:rPr>
        <w:t xml:space="preserve"> </w:t>
      </w:r>
      <w:r>
        <w:rPr>
          <w:sz w:val="20"/>
        </w:rPr>
        <w:t>of</w:t>
      </w:r>
      <w:r>
        <w:rPr>
          <w:spacing w:val="-3"/>
          <w:sz w:val="20"/>
        </w:rPr>
        <w:t xml:space="preserve"> </w:t>
      </w:r>
      <w:r>
        <w:rPr>
          <w:sz w:val="20"/>
        </w:rPr>
        <w:t>BI</w:t>
      </w:r>
      <w:r>
        <w:rPr>
          <w:spacing w:val="-3"/>
          <w:sz w:val="20"/>
        </w:rPr>
        <w:t xml:space="preserve"> </w:t>
      </w:r>
      <w:r>
        <w:rPr>
          <w:sz w:val="20"/>
        </w:rPr>
        <w:t>reporting</w:t>
      </w:r>
      <w:r>
        <w:rPr>
          <w:spacing w:val="-3"/>
          <w:sz w:val="20"/>
        </w:rPr>
        <w:t xml:space="preserve"> </w:t>
      </w:r>
      <w:r>
        <w:rPr>
          <w:sz w:val="20"/>
        </w:rPr>
        <w:t>and</w:t>
      </w:r>
      <w:r>
        <w:rPr>
          <w:spacing w:val="-3"/>
          <w:sz w:val="20"/>
        </w:rPr>
        <w:t xml:space="preserve"> </w:t>
      </w:r>
      <w:r>
        <w:rPr>
          <w:sz w:val="20"/>
        </w:rPr>
        <w:t>analytics</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data</w:t>
      </w:r>
      <w:r>
        <w:rPr>
          <w:spacing w:val="-3"/>
          <w:sz w:val="20"/>
        </w:rPr>
        <w:t xml:space="preserve"> </w:t>
      </w:r>
      <w:r>
        <w:rPr>
          <w:sz w:val="20"/>
        </w:rPr>
        <w:t>insights</w:t>
      </w:r>
      <w:r>
        <w:rPr>
          <w:spacing w:val="-3"/>
          <w:sz w:val="20"/>
        </w:rPr>
        <w:t xml:space="preserve"> </w:t>
      </w:r>
      <w:r>
        <w:rPr>
          <w:sz w:val="20"/>
        </w:rPr>
        <w:t>to</w:t>
      </w:r>
      <w:r>
        <w:rPr>
          <w:spacing w:val="-3"/>
          <w:sz w:val="20"/>
        </w:rPr>
        <w:t xml:space="preserve"> </w:t>
      </w:r>
      <w:r>
        <w:rPr>
          <w:sz w:val="20"/>
        </w:rPr>
        <w:t>facilitate</w:t>
      </w:r>
      <w:r>
        <w:rPr>
          <w:spacing w:val="-3"/>
          <w:sz w:val="20"/>
        </w:rPr>
        <w:t xml:space="preserve"> </w:t>
      </w:r>
      <w:r>
        <w:rPr>
          <w:sz w:val="20"/>
        </w:rPr>
        <w:t>and</w:t>
      </w:r>
      <w:r>
        <w:rPr>
          <w:spacing w:val="-3"/>
          <w:sz w:val="20"/>
        </w:rPr>
        <w:t xml:space="preserve"> </w:t>
      </w:r>
      <w:r>
        <w:rPr>
          <w:sz w:val="20"/>
        </w:rPr>
        <w:t>support improved business decision-making.</w:t>
      </w:r>
    </w:p>
    <w:p w14:paraId="7639C9B5" w14:textId="77777777" w:rsidR="00AC6F3C" w:rsidRDefault="00570E88">
      <w:pPr>
        <w:numPr>
          <w:ilvl w:val="0"/>
          <w:numId w:val="35"/>
        </w:numPr>
        <w:tabs>
          <w:tab w:val="left" w:pos="1154"/>
        </w:tabs>
        <w:spacing w:before="171"/>
        <w:ind w:left="1154" w:hanging="339"/>
        <w:rPr>
          <w:b/>
          <w:sz w:val="20"/>
        </w:rPr>
      </w:pPr>
      <w:r>
        <w:rPr>
          <w:b/>
          <w:sz w:val="20"/>
        </w:rPr>
        <w:t>Cybersecurity</w:t>
      </w:r>
      <w:r>
        <w:rPr>
          <w:b/>
          <w:spacing w:val="-12"/>
          <w:sz w:val="20"/>
        </w:rPr>
        <w:t xml:space="preserve"> </w:t>
      </w:r>
      <w:r>
        <w:rPr>
          <w:b/>
          <w:spacing w:val="-2"/>
          <w:sz w:val="20"/>
        </w:rPr>
        <w:t>Enhancement</w:t>
      </w:r>
    </w:p>
    <w:p w14:paraId="21FC18AC" w14:textId="77777777" w:rsidR="00AC6F3C" w:rsidRDefault="00570E88">
      <w:pPr>
        <w:pStyle w:val="ListParagraph"/>
        <w:numPr>
          <w:ilvl w:val="1"/>
          <w:numId w:val="35"/>
        </w:numPr>
        <w:tabs>
          <w:tab w:val="left" w:pos="1495"/>
        </w:tabs>
        <w:spacing w:line="249" w:lineRule="auto"/>
        <w:ind w:left="1495" w:right="476"/>
        <w:rPr>
          <w:sz w:val="20"/>
        </w:rPr>
      </w:pPr>
      <w:r>
        <w:rPr>
          <w:sz w:val="20"/>
        </w:rPr>
        <w:t>Elevating</w:t>
      </w:r>
      <w:r>
        <w:rPr>
          <w:spacing w:val="-5"/>
          <w:sz w:val="20"/>
        </w:rPr>
        <w:t xml:space="preserve"> </w:t>
      </w:r>
      <w:r>
        <w:rPr>
          <w:sz w:val="20"/>
        </w:rPr>
        <w:t>our</w:t>
      </w:r>
      <w:r>
        <w:rPr>
          <w:spacing w:val="-5"/>
          <w:sz w:val="20"/>
        </w:rPr>
        <w:t xml:space="preserve"> </w:t>
      </w:r>
      <w:r>
        <w:rPr>
          <w:sz w:val="20"/>
        </w:rPr>
        <w:t>cybersecurity</w:t>
      </w:r>
      <w:r>
        <w:rPr>
          <w:spacing w:val="-5"/>
          <w:sz w:val="20"/>
        </w:rPr>
        <w:t xml:space="preserve"> </w:t>
      </w:r>
      <w:r>
        <w:rPr>
          <w:sz w:val="20"/>
        </w:rPr>
        <w:t>infrastructure</w:t>
      </w:r>
      <w:r>
        <w:rPr>
          <w:spacing w:val="-5"/>
          <w:sz w:val="20"/>
        </w:rPr>
        <w:t xml:space="preserve"> </w:t>
      </w:r>
      <w:r>
        <w:rPr>
          <w:sz w:val="20"/>
        </w:rPr>
        <w:t>to</w:t>
      </w:r>
      <w:r>
        <w:rPr>
          <w:spacing w:val="-5"/>
          <w:sz w:val="20"/>
        </w:rPr>
        <w:t xml:space="preserve"> </w:t>
      </w:r>
      <w:r>
        <w:rPr>
          <w:sz w:val="20"/>
        </w:rPr>
        <w:t>safeguard</w:t>
      </w:r>
      <w:r>
        <w:rPr>
          <w:spacing w:val="-5"/>
          <w:sz w:val="20"/>
        </w:rPr>
        <w:t xml:space="preserve"> </w:t>
      </w:r>
      <w:r>
        <w:rPr>
          <w:sz w:val="20"/>
        </w:rPr>
        <w:t>sensitive</w:t>
      </w:r>
      <w:r>
        <w:rPr>
          <w:spacing w:val="-5"/>
          <w:sz w:val="20"/>
        </w:rPr>
        <w:t xml:space="preserve"> </w:t>
      </w:r>
      <w:r>
        <w:rPr>
          <w:sz w:val="20"/>
        </w:rPr>
        <w:t>data,</w:t>
      </w:r>
      <w:r>
        <w:rPr>
          <w:spacing w:val="-5"/>
          <w:sz w:val="20"/>
        </w:rPr>
        <w:t xml:space="preserve"> </w:t>
      </w:r>
      <w:r>
        <w:rPr>
          <w:sz w:val="20"/>
        </w:rPr>
        <w:t>privacy,</w:t>
      </w:r>
      <w:r>
        <w:rPr>
          <w:spacing w:val="-5"/>
          <w:sz w:val="20"/>
        </w:rPr>
        <w:t xml:space="preserve"> </w:t>
      </w:r>
      <w:r>
        <w:rPr>
          <w:sz w:val="20"/>
        </w:rPr>
        <w:t>and</w:t>
      </w:r>
      <w:r>
        <w:rPr>
          <w:spacing w:val="-5"/>
          <w:sz w:val="20"/>
        </w:rPr>
        <w:t xml:space="preserve"> </w:t>
      </w:r>
      <w:r>
        <w:rPr>
          <w:sz w:val="20"/>
        </w:rPr>
        <w:t>confidential information, thereby fortifying the trust our stakeholders place in QLS.</w:t>
      </w:r>
    </w:p>
    <w:p w14:paraId="5F4B31F5" w14:textId="77777777" w:rsidR="00AC6F3C" w:rsidRDefault="00AC6F3C">
      <w:pPr>
        <w:pStyle w:val="BodyText"/>
        <w:spacing w:before="2"/>
        <w:rPr>
          <w:sz w:val="31"/>
        </w:rPr>
      </w:pPr>
    </w:p>
    <w:p w14:paraId="62C87C0A" w14:textId="77777777" w:rsidR="00AC6F3C" w:rsidRDefault="00570E88">
      <w:pPr>
        <w:spacing w:before="1"/>
        <w:ind w:left="815"/>
        <w:rPr>
          <w:b/>
          <w:sz w:val="26"/>
        </w:rPr>
      </w:pPr>
      <w:r>
        <w:rPr>
          <w:b/>
          <w:spacing w:val="-2"/>
          <w:sz w:val="26"/>
        </w:rPr>
        <w:t>Initiatives</w:t>
      </w:r>
    </w:p>
    <w:p w14:paraId="404B6506" w14:textId="77777777" w:rsidR="00AC6F3C" w:rsidRDefault="00570E88">
      <w:pPr>
        <w:pStyle w:val="BodyText"/>
        <w:spacing w:before="167" w:line="249" w:lineRule="auto"/>
        <w:ind w:left="815"/>
      </w:pPr>
      <w:r>
        <w:t>The</w:t>
      </w:r>
      <w:r>
        <w:rPr>
          <w:spacing w:val="-5"/>
        </w:rPr>
        <w:t xml:space="preserve"> </w:t>
      </w:r>
      <w:r>
        <w:t>following</w:t>
      </w:r>
      <w:r>
        <w:rPr>
          <w:spacing w:val="-3"/>
        </w:rPr>
        <w:t xml:space="preserve"> </w:t>
      </w:r>
      <w:r>
        <w:t>activities</w:t>
      </w:r>
      <w:r>
        <w:rPr>
          <w:spacing w:val="-3"/>
        </w:rPr>
        <w:t xml:space="preserve"> </w:t>
      </w:r>
      <w:r>
        <w:t>under</w:t>
      </w:r>
      <w:r>
        <w:rPr>
          <w:spacing w:val="-3"/>
        </w:rPr>
        <w:t xml:space="preserve"> </w:t>
      </w:r>
      <w:r>
        <w:t>the</w:t>
      </w:r>
      <w:r>
        <w:rPr>
          <w:spacing w:val="-3"/>
        </w:rPr>
        <w:t xml:space="preserve"> </w:t>
      </w:r>
      <w:r>
        <w:t>Information</w:t>
      </w:r>
      <w:r>
        <w:rPr>
          <w:spacing w:val="-3"/>
        </w:rPr>
        <w:t xml:space="preserve"> </w:t>
      </w:r>
      <w:r>
        <w:t>Management</w:t>
      </w:r>
      <w:r>
        <w:rPr>
          <w:spacing w:val="-3"/>
        </w:rPr>
        <w:t xml:space="preserve"> </w:t>
      </w:r>
      <w:r>
        <w:t>Business</w:t>
      </w:r>
      <w:r>
        <w:rPr>
          <w:spacing w:val="-3"/>
        </w:rPr>
        <w:t xml:space="preserve"> </w:t>
      </w:r>
      <w:r>
        <w:t>Initiatives</w:t>
      </w:r>
      <w:r>
        <w:rPr>
          <w:spacing w:val="-3"/>
        </w:rPr>
        <w:t xml:space="preserve"> </w:t>
      </w:r>
      <w:r>
        <w:t>(IMBI)</w:t>
      </w:r>
      <w:r>
        <w:rPr>
          <w:spacing w:val="-3"/>
        </w:rPr>
        <w:t xml:space="preserve"> </w:t>
      </w:r>
      <w:r>
        <w:t>Program</w:t>
      </w:r>
      <w:r>
        <w:rPr>
          <w:spacing w:val="-3"/>
        </w:rPr>
        <w:t xml:space="preserve"> </w:t>
      </w:r>
      <w:r>
        <w:t>of</w:t>
      </w:r>
      <w:r>
        <w:rPr>
          <w:spacing w:val="-3"/>
        </w:rPr>
        <w:t xml:space="preserve"> </w:t>
      </w:r>
      <w:r>
        <w:t>Works were accomplished in the reporting year:</w:t>
      </w:r>
    </w:p>
    <w:p w14:paraId="276F6568" w14:textId="77777777" w:rsidR="00AC6F3C" w:rsidRDefault="00570E88">
      <w:pPr>
        <w:pStyle w:val="ListParagraph"/>
        <w:numPr>
          <w:ilvl w:val="0"/>
          <w:numId w:val="34"/>
        </w:numPr>
        <w:tabs>
          <w:tab w:val="left" w:pos="1155"/>
        </w:tabs>
        <w:spacing w:before="172" w:line="249" w:lineRule="auto"/>
        <w:ind w:right="419"/>
        <w:rPr>
          <w:sz w:val="20"/>
        </w:rPr>
      </w:pPr>
      <w:r>
        <w:rPr>
          <w:sz w:val="20"/>
        </w:rPr>
        <w:t>Maturing</w:t>
      </w:r>
      <w:r>
        <w:rPr>
          <w:spacing w:val="-3"/>
          <w:sz w:val="20"/>
        </w:rPr>
        <w:t xml:space="preserve"> </w:t>
      </w:r>
      <w:r>
        <w:rPr>
          <w:sz w:val="20"/>
        </w:rPr>
        <w:t>QLS’s</w:t>
      </w:r>
      <w:r>
        <w:rPr>
          <w:spacing w:val="-3"/>
          <w:sz w:val="20"/>
        </w:rPr>
        <w:t xml:space="preserve"> </w:t>
      </w:r>
      <w:r>
        <w:rPr>
          <w:sz w:val="20"/>
        </w:rPr>
        <w:t>data</w:t>
      </w:r>
      <w:r>
        <w:rPr>
          <w:spacing w:val="-3"/>
          <w:sz w:val="20"/>
        </w:rPr>
        <w:t xml:space="preserve"> </w:t>
      </w:r>
      <w:r>
        <w:rPr>
          <w:sz w:val="20"/>
        </w:rPr>
        <w:t>and</w:t>
      </w:r>
      <w:r>
        <w:rPr>
          <w:spacing w:val="-3"/>
          <w:sz w:val="20"/>
        </w:rPr>
        <w:t xml:space="preserve"> </w:t>
      </w:r>
      <w:r>
        <w:rPr>
          <w:sz w:val="20"/>
        </w:rPr>
        <w:t>analytics</w:t>
      </w:r>
      <w:r>
        <w:rPr>
          <w:spacing w:val="-3"/>
          <w:sz w:val="20"/>
        </w:rPr>
        <w:t xml:space="preserve"> </w:t>
      </w:r>
      <w:r>
        <w:rPr>
          <w:sz w:val="20"/>
        </w:rPr>
        <w:t>governance.</w:t>
      </w:r>
      <w:r>
        <w:rPr>
          <w:spacing w:val="-7"/>
          <w:sz w:val="20"/>
        </w:rPr>
        <w:t xml:space="preserve"> </w:t>
      </w:r>
      <w:r>
        <w:rPr>
          <w:sz w:val="20"/>
        </w:rPr>
        <w:t>This</w:t>
      </w:r>
      <w:r>
        <w:rPr>
          <w:spacing w:val="-3"/>
          <w:sz w:val="20"/>
        </w:rPr>
        <w:t xml:space="preserve"> </w:t>
      </w:r>
      <w:r>
        <w:rPr>
          <w:sz w:val="20"/>
        </w:rPr>
        <w:t>has</w:t>
      </w:r>
      <w:r>
        <w:rPr>
          <w:spacing w:val="-3"/>
          <w:sz w:val="20"/>
        </w:rPr>
        <w:t xml:space="preserve"> </w:t>
      </w:r>
      <w:r>
        <w:rPr>
          <w:sz w:val="20"/>
        </w:rPr>
        <w:t>included</w:t>
      </w:r>
      <w:r>
        <w:rPr>
          <w:spacing w:val="-3"/>
          <w:sz w:val="20"/>
        </w:rPr>
        <w:t xml:space="preserve"> </w:t>
      </w:r>
      <w:r>
        <w:rPr>
          <w:sz w:val="20"/>
        </w:rPr>
        <w:t>partial</w:t>
      </w:r>
      <w:r>
        <w:rPr>
          <w:spacing w:val="-3"/>
          <w:sz w:val="20"/>
        </w:rPr>
        <w:t xml:space="preserve"> </w:t>
      </w:r>
      <w:r>
        <w:rPr>
          <w:sz w:val="20"/>
        </w:rPr>
        <w:t>data</w:t>
      </w:r>
      <w:r>
        <w:rPr>
          <w:spacing w:val="-3"/>
          <w:sz w:val="20"/>
        </w:rPr>
        <w:t xml:space="preserve"> </w:t>
      </w:r>
      <w:r>
        <w:rPr>
          <w:sz w:val="20"/>
        </w:rPr>
        <w:t>migration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new CRM and development of improved data models to enhance data quality longer-term.</w:t>
      </w:r>
    </w:p>
    <w:p w14:paraId="77921288" w14:textId="77777777" w:rsidR="00AC6F3C" w:rsidRDefault="00570E88">
      <w:pPr>
        <w:pStyle w:val="ListParagraph"/>
        <w:numPr>
          <w:ilvl w:val="0"/>
          <w:numId w:val="34"/>
        </w:numPr>
        <w:tabs>
          <w:tab w:val="left" w:pos="1155"/>
        </w:tabs>
        <w:spacing w:before="171"/>
        <w:ind w:hanging="340"/>
        <w:rPr>
          <w:sz w:val="20"/>
        </w:rPr>
      </w:pPr>
      <w:r>
        <w:rPr>
          <w:sz w:val="20"/>
        </w:rPr>
        <w:t>Update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QLS</w:t>
      </w:r>
      <w:r>
        <w:rPr>
          <w:spacing w:val="-1"/>
          <w:sz w:val="20"/>
        </w:rPr>
        <w:t xml:space="preserve"> </w:t>
      </w:r>
      <w:r>
        <w:rPr>
          <w:spacing w:val="-2"/>
          <w:sz w:val="20"/>
        </w:rPr>
        <w:t>Firewalls.</w:t>
      </w:r>
    </w:p>
    <w:p w14:paraId="39DDDDBF" w14:textId="77777777" w:rsidR="00AC6F3C" w:rsidRDefault="00570E88">
      <w:pPr>
        <w:pStyle w:val="ListParagraph"/>
        <w:numPr>
          <w:ilvl w:val="0"/>
          <w:numId w:val="34"/>
        </w:numPr>
        <w:tabs>
          <w:tab w:val="left" w:pos="1155"/>
        </w:tabs>
        <w:ind w:hanging="340"/>
        <w:rPr>
          <w:sz w:val="20"/>
        </w:rPr>
      </w:pPr>
      <w:r>
        <w:rPr>
          <w:sz w:val="20"/>
        </w:rPr>
        <w:t>Deployment</w:t>
      </w:r>
      <w:r>
        <w:rPr>
          <w:spacing w:val="-3"/>
          <w:sz w:val="20"/>
        </w:rPr>
        <w:t xml:space="preserve"> </w:t>
      </w:r>
      <w:r>
        <w:rPr>
          <w:sz w:val="20"/>
        </w:rPr>
        <w:t>of</w:t>
      </w:r>
      <w:r>
        <w:rPr>
          <w:spacing w:val="-2"/>
          <w:sz w:val="20"/>
        </w:rPr>
        <w:t xml:space="preserve"> </w:t>
      </w:r>
      <w:r>
        <w:rPr>
          <w:sz w:val="20"/>
        </w:rPr>
        <w:t>CrowdStrike</w:t>
      </w:r>
      <w:r>
        <w:rPr>
          <w:spacing w:val="-3"/>
          <w:sz w:val="20"/>
        </w:rPr>
        <w:t xml:space="preserve"> </w:t>
      </w:r>
      <w:r>
        <w:rPr>
          <w:sz w:val="20"/>
        </w:rPr>
        <w:t>antivirus</w:t>
      </w:r>
      <w:r>
        <w:rPr>
          <w:spacing w:val="-2"/>
          <w:sz w:val="20"/>
        </w:rPr>
        <w:t xml:space="preserve"> solution.</w:t>
      </w:r>
    </w:p>
    <w:p w14:paraId="0F90C96C" w14:textId="77777777" w:rsidR="00AC6F3C" w:rsidRDefault="00570E88">
      <w:pPr>
        <w:pStyle w:val="ListParagraph"/>
        <w:numPr>
          <w:ilvl w:val="0"/>
          <w:numId w:val="34"/>
        </w:numPr>
        <w:tabs>
          <w:tab w:val="left" w:pos="1155"/>
        </w:tabs>
        <w:ind w:hanging="340"/>
        <w:rPr>
          <w:sz w:val="20"/>
        </w:rPr>
      </w:pPr>
      <w:r>
        <w:rPr>
          <w:sz w:val="20"/>
        </w:rPr>
        <w:t>Further</w:t>
      </w:r>
      <w:r>
        <w:rPr>
          <w:spacing w:val="-1"/>
          <w:sz w:val="20"/>
        </w:rPr>
        <w:t xml:space="preserve"> </w:t>
      </w:r>
      <w:r>
        <w:rPr>
          <w:sz w:val="20"/>
        </w:rPr>
        <w:t>development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electronic</w:t>
      </w:r>
      <w:r>
        <w:rPr>
          <w:spacing w:val="-1"/>
          <w:sz w:val="20"/>
        </w:rPr>
        <w:t xml:space="preserve"> </w:t>
      </w:r>
      <w:r>
        <w:rPr>
          <w:sz w:val="20"/>
        </w:rPr>
        <w:t>document</w:t>
      </w:r>
      <w:r>
        <w:rPr>
          <w:spacing w:val="-1"/>
          <w:sz w:val="20"/>
        </w:rPr>
        <w:t xml:space="preserve"> </w:t>
      </w:r>
      <w:r>
        <w:rPr>
          <w:sz w:val="20"/>
        </w:rPr>
        <w:t>and</w:t>
      </w:r>
      <w:r>
        <w:rPr>
          <w:spacing w:val="-1"/>
          <w:sz w:val="20"/>
        </w:rPr>
        <w:t xml:space="preserve"> </w:t>
      </w:r>
      <w:r>
        <w:rPr>
          <w:sz w:val="20"/>
        </w:rPr>
        <w:t>record</w:t>
      </w:r>
      <w:r>
        <w:rPr>
          <w:spacing w:val="-1"/>
          <w:sz w:val="20"/>
        </w:rPr>
        <w:t xml:space="preserve"> </w:t>
      </w:r>
      <w:r>
        <w:rPr>
          <w:sz w:val="20"/>
        </w:rPr>
        <w:t>management</w:t>
      </w:r>
      <w:r>
        <w:rPr>
          <w:spacing w:val="-1"/>
          <w:sz w:val="20"/>
        </w:rPr>
        <w:t xml:space="preserve"> </w:t>
      </w:r>
      <w:r>
        <w:rPr>
          <w:sz w:val="20"/>
        </w:rPr>
        <w:t xml:space="preserve">system </w:t>
      </w:r>
      <w:r>
        <w:rPr>
          <w:spacing w:val="-2"/>
          <w:sz w:val="20"/>
        </w:rPr>
        <w:t>(EDRMS).</w:t>
      </w:r>
    </w:p>
    <w:p w14:paraId="408BF054" w14:textId="77777777" w:rsidR="00AC6F3C" w:rsidRDefault="00570E88">
      <w:pPr>
        <w:pStyle w:val="ListParagraph"/>
        <w:numPr>
          <w:ilvl w:val="0"/>
          <w:numId w:val="34"/>
        </w:numPr>
        <w:tabs>
          <w:tab w:val="left" w:pos="1155"/>
        </w:tabs>
        <w:spacing w:line="249" w:lineRule="auto"/>
        <w:ind w:right="1256"/>
        <w:rPr>
          <w:sz w:val="20"/>
        </w:rPr>
      </w:pPr>
      <w:r>
        <w:rPr>
          <w:sz w:val="20"/>
        </w:rPr>
        <w:t>Continued</w:t>
      </w:r>
      <w:r>
        <w:rPr>
          <w:spacing w:val="-4"/>
          <w:sz w:val="20"/>
        </w:rPr>
        <w:t xml:space="preserve"> </w:t>
      </w:r>
      <w:r>
        <w:rPr>
          <w:sz w:val="20"/>
        </w:rPr>
        <w:t>development</w:t>
      </w:r>
      <w:r>
        <w:rPr>
          <w:spacing w:val="-4"/>
          <w:sz w:val="20"/>
        </w:rPr>
        <w:t xml:space="preserve"> </w:t>
      </w:r>
      <w:r>
        <w:rPr>
          <w:sz w:val="20"/>
        </w:rPr>
        <w:t>the</w:t>
      </w:r>
      <w:r>
        <w:rPr>
          <w:spacing w:val="-4"/>
          <w:sz w:val="20"/>
        </w:rPr>
        <w:t xml:space="preserve"> </w:t>
      </w:r>
      <w:r>
        <w:rPr>
          <w:sz w:val="20"/>
        </w:rPr>
        <w:t>web</w:t>
      </w:r>
      <w:r>
        <w:rPr>
          <w:spacing w:val="-4"/>
          <w:sz w:val="20"/>
        </w:rPr>
        <w:t xml:space="preserve"> </w:t>
      </w:r>
      <w:r>
        <w:rPr>
          <w:sz w:val="20"/>
        </w:rPr>
        <w:t>content</w:t>
      </w:r>
      <w:r>
        <w:rPr>
          <w:spacing w:val="-4"/>
          <w:sz w:val="20"/>
        </w:rPr>
        <w:t xml:space="preserve"> </w:t>
      </w:r>
      <w:r>
        <w:rPr>
          <w:sz w:val="20"/>
        </w:rPr>
        <w:t>management</w:t>
      </w:r>
      <w:r>
        <w:rPr>
          <w:spacing w:val="-4"/>
          <w:sz w:val="20"/>
        </w:rPr>
        <w:t xml:space="preserve"> </w:t>
      </w:r>
      <w:r>
        <w:rPr>
          <w:sz w:val="20"/>
        </w:rPr>
        <w:t>platform</w:t>
      </w:r>
      <w:r>
        <w:rPr>
          <w:spacing w:val="-4"/>
          <w:sz w:val="20"/>
        </w:rPr>
        <w:t xml:space="preserve"> </w:t>
      </w:r>
      <w:r>
        <w:rPr>
          <w:sz w:val="20"/>
        </w:rPr>
        <w:t>to</w:t>
      </w:r>
      <w:r>
        <w:rPr>
          <w:spacing w:val="-4"/>
          <w:sz w:val="20"/>
        </w:rPr>
        <w:t xml:space="preserve"> </w:t>
      </w:r>
      <w:r>
        <w:rPr>
          <w:sz w:val="20"/>
        </w:rPr>
        <w:t>include</w:t>
      </w:r>
      <w:r>
        <w:rPr>
          <w:spacing w:val="-4"/>
          <w:sz w:val="20"/>
        </w:rPr>
        <w:t xml:space="preserve"> </w:t>
      </w:r>
      <w:r>
        <w:rPr>
          <w:sz w:val="20"/>
        </w:rPr>
        <w:t>an</w:t>
      </w:r>
      <w:r>
        <w:rPr>
          <w:spacing w:val="-4"/>
          <w:sz w:val="20"/>
        </w:rPr>
        <w:t xml:space="preserve"> </w:t>
      </w:r>
      <w:r>
        <w:rPr>
          <w:sz w:val="20"/>
        </w:rPr>
        <w:t>ecommerce solution – ongoing.</w:t>
      </w:r>
    </w:p>
    <w:p w14:paraId="538F93EA" w14:textId="77777777" w:rsidR="00AC6F3C" w:rsidRDefault="00AC6F3C">
      <w:pPr>
        <w:spacing w:line="249" w:lineRule="auto"/>
        <w:rPr>
          <w:sz w:val="20"/>
        </w:rPr>
        <w:sectPr w:rsidR="00AC6F3C">
          <w:headerReference w:type="default" r:id="rId198"/>
          <w:footerReference w:type="default" r:id="rId199"/>
          <w:pgSz w:w="11910" w:h="16840"/>
          <w:pgMar w:top="1120" w:right="1160" w:bottom="520" w:left="460" w:header="0" w:footer="336" w:gutter="0"/>
          <w:cols w:space="720"/>
        </w:sectPr>
      </w:pPr>
    </w:p>
    <w:p w14:paraId="462A6A33" w14:textId="77777777" w:rsidR="00AC6F3C" w:rsidRDefault="00570E88">
      <w:pPr>
        <w:pStyle w:val="ListParagraph"/>
        <w:numPr>
          <w:ilvl w:val="0"/>
          <w:numId w:val="34"/>
        </w:numPr>
        <w:tabs>
          <w:tab w:val="left" w:pos="1155"/>
        </w:tabs>
        <w:spacing w:before="76"/>
        <w:ind w:hanging="340"/>
        <w:rPr>
          <w:sz w:val="20"/>
        </w:rPr>
      </w:pPr>
      <w:r>
        <w:rPr>
          <w:sz w:val="20"/>
        </w:rPr>
        <w:lastRenderedPageBreak/>
        <w:t>Relocation</w:t>
      </w:r>
      <w:r>
        <w:rPr>
          <w:spacing w:val="-6"/>
          <w:sz w:val="20"/>
        </w:rPr>
        <w:t xml:space="preserve"> </w:t>
      </w:r>
      <w:r>
        <w:rPr>
          <w:sz w:val="20"/>
        </w:rPr>
        <w:t>of</w:t>
      </w:r>
      <w:r>
        <w:rPr>
          <w:spacing w:val="-5"/>
          <w:sz w:val="20"/>
        </w:rPr>
        <w:t xml:space="preserve"> </w:t>
      </w:r>
      <w:r>
        <w:rPr>
          <w:sz w:val="20"/>
        </w:rPr>
        <w:t>QLS</w:t>
      </w:r>
      <w:r>
        <w:rPr>
          <w:spacing w:val="-5"/>
          <w:sz w:val="20"/>
        </w:rPr>
        <w:t xml:space="preserve"> </w:t>
      </w:r>
      <w:r>
        <w:rPr>
          <w:sz w:val="20"/>
        </w:rPr>
        <w:t>Staff</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new</w:t>
      </w:r>
      <w:r>
        <w:rPr>
          <w:spacing w:val="-5"/>
          <w:sz w:val="20"/>
        </w:rPr>
        <w:t xml:space="preserve"> </w:t>
      </w:r>
      <w:r>
        <w:rPr>
          <w:sz w:val="20"/>
        </w:rPr>
        <w:t>office</w:t>
      </w:r>
      <w:r>
        <w:rPr>
          <w:spacing w:val="-5"/>
          <w:sz w:val="20"/>
        </w:rPr>
        <w:t xml:space="preserve"> </w:t>
      </w:r>
      <w:r>
        <w:rPr>
          <w:spacing w:val="-2"/>
          <w:sz w:val="20"/>
        </w:rPr>
        <w:t>levels.</w:t>
      </w:r>
    </w:p>
    <w:p w14:paraId="6438F979" w14:textId="77777777" w:rsidR="00AC6F3C" w:rsidRDefault="00570E88">
      <w:pPr>
        <w:pStyle w:val="ListParagraph"/>
        <w:numPr>
          <w:ilvl w:val="0"/>
          <w:numId w:val="34"/>
        </w:numPr>
        <w:tabs>
          <w:tab w:val="left" w:pos="1155"/>
        </w:tabs>
        <w:spacing w:line="249" w:lineRule="auto"/>
        <w:ind w:right="747"/>
        <w:rPr>
          <w:sz w:val="20"/>
        </w:rPr>
      </w:pPr>
      <w:r>
        <w:rPr>
          <w:sz w:val="20"/>
        </w:rPr>
        <w:t>Migration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Data</w:t>
      </w:r>
      <w:r>
        <w:rPr>
          <w:spacing w:val="-3"/>
          <w:sz w:val="20"/>
        </w:rPr>
        <w:t xml:space="preserve"> </w:t>
      </w:r>
      <w:r>
        <w:rPr>
          <w:sz w:val="20"/>
        </w:rPr>
        <w:t>Centre</w:t>
      </w:r>
      <w:r>
        <w:rPr>
          <w:spacing w:val="-3"/>
          <w:sz w:val="20"/>
        </w:rPr>
        <w:t xml:space="preserve"> </w:t>
      </w:r>
      <w:r>
        <w:rPr>
          <w:sz w:val="20"/>
        </w:rPr>
        <w:t>Improving</w:t>
      </w:r>
      <w:r>
        <w:rPr>
          <w:spacing w:val="-3"/>
          <w:sz w:val="20"/>
        </w:rPr>
        <w:t xml:space="preserve"> </w:t>
      </w:r>
      <w:r>
        <w:rPr>
          <w:sz w:val="20"/>
        </w:rPr>
        <w:t>the</w:t>
      </w:r>
      <w:r>
        <w:rPr>
          <w:spacing w:val="-3"/>
          <w:sz w:val="20"/>
        </w:rPr>
        <w:t xml:space="preserve"> </w:t>
      </w:r>
      <w:r>
        <w:rPr>
          <w:sz w:val="20"/>
        </w:rPr>
        <w:t>membership</w:t>
      </w:r>
      <w:r>
        <w:rPr>
          <w:spacing w:val="-3"/>
          <w:sz w:val="20"/>
        </w:rPr>
        <w:t xml:space="preserve"> </w:t>
      </w:r>
      <w:r>
        <w:rPr>
          <w:sz w:val="20"/>
        </w:rPr>
        <w:t>management</w:t>
      </w:r>
      <w:r>
        <w:rPr>
          <w:spacing w:val="-3"/>
          <w:sz w:val="20"/>
        </w:rPr>
        <w:t xml:space="preserve"> </w:t>
      </w:r>
      <w:r>
        <w:rPr>
          <w:sz w:val="20"/>
        </w:rPr>
        <w:t>system</w:t>
      </w:r>
      <w:r>
        <w:rPr>
          <w:spacing w:val="-3"/>
          <w:sz w:val="20"/>
        </w:rPr>
        <w:t xml:space="preserve"> </w:t>
      </w:r>
      <w:r>
        <w:rPr>
          <w:sz w:val="20"/>
        </w:rPr>
        <w:t>to</w:t>
      </w:r>
      <w:r>
        <w:rPr>
          <w:spacing w:val="-3"/>
          <w:sz w:val="20"/>
        </w:rPr>
        <w:t xml:space="preserve"> </w:t>
      </w:r>
      <w:r>
        <w:rPr>
          <w:sz w:val="20"/>
        </w:rPr>
        <w:t>streamline</w:t>
      </w:r>
      <w:r>
        <w:rPr>
          <w:spacing w:val="-3"/>
          <w:sz w:val="20"/>
        </w:rPr>
        <w:t xml:space="preserve"> </w:t>
      </w:r>
      <w:r>
        <w:rPr>
          <w:sz w:val="20"/>
        </w:rPr>
        <w:t>the renewal process.</w:t>
      </w:r>
    </w:p>
    <w:p w14:paraId="78C773B7" w14:textId="77777777" w:rsidR="00AC6F3C" w:rsidRDefault="00570E88">
      <w:pPr>
        <w:pStyle w:val="ListParagraph"/>
        <w:numPr>
          <w:ilvl w:val="0"/>
          <w:numId w:val="34"/>
        </w:numPr>
        <w:tabs>
          <w:tab w:val="left" w:pos="1155"/>
        </w:tabs>
        <w:spacing w:before="171"/>
        <w:ind w:hanging="340"/>
        <w:rPr>
          <w:sz w:val="20"/>
        </w:rPr>
      </w:pPr>
      <w:r>
        <w:rPr>
          <w:sz w:val="20"/>
        </w:rPr>
        <w:t>Commissioning</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new</w:t>
      </w:r>
      <w:r>
        <w:rPr>
          <w:spacing w:val="-4"/>
          <w:sz w:val="20"/>
        </w:rPr>
        <w:t xml:space="preserve"> </w:t>
      </w:r>
      <w:r>
        <w:rPr>
          <w:sz w:val="20"/>
        </w:rPr>
        <w:t>Lexon</w:t>
      </w:r>
      <w:r>
        <w:rPr>
          <w:spacing w:val="-4"/>
          <w:sz w:val="20"/>
        </w:rPr>
        <w:t xml:space="preserve"> </w:t>
      </w:r>
      <w:r>
        <w:rPr>
          <w:spacing w:val="-2"/>
          <w:sz w:val="20"/>
        </w:rPr>
        <w:t>Website.</w:t>
      </w:r>
    </w:p>
    <w:p w14:paraId="16AF2EBE" w14:textId="77777777" w:rsidR="00AC6F3C" w:rsidRDefault="00570E88">
      <w:pPr>
        <w:pStyle w:val="BodyText"/>
        <w:spacing w:before="180" w:line="249" w:lineRule="auto"/>
        <w:ind w:left="815"/>
      </w:pPr>
      <w:r>
        <w:t>The</w:t>
      </w:r>
      <w:r>
        <w:rPr>
          <w:spacing w:val="-3"/>
        </w:rPr>
        <w:t xml:space="preserve"> </w:t>
      </w:r>
      <w:r>
        <w:t>overarching</w:t>
      </w:r>
      <w:r>
        <w:rPr>
          <w:spacing w:val="-3"/>
        </w:rPr>
        <w:t xml:space="preserve"> </w:t>
      </w:r>
      <w:r>
        <w:t>goal</w:t>
      </w:r>
      <w:r>
        <w:rPr>
          <w:spacing w:val="-3"/>
        </w:rPr>
        <w:t xml:space="preserve"> </w:t>
      </w:r>
      <w:r>
        <w:t>for</w:t>
      </w:r>
      <w:r>
        <w:rPr>
          <w:spacing w:val="-3"/>
        </w:rPr>
        <w:t xml:space="preserve"> </w:t>
      </w:r>
      <w:r>
        <w:t>the</w:t>
      </w:r>
      <w:r>
        <w:rPr>
          <w:spacing w:val="-3"/>
        </w:rPr>
        <w:t xml:space="preserve"> </w:t>
      </w:r>
      <w:r>
        <w:t>program</w:t>
      </w:r>
      <w:r>
        <w:rPr>
          <w:spacing w:val="-3"/>
        </w:rPr>
        <w:t xml:space="preserve"> </w:t>
      </w:r>
      <w:r>
        <w:t>of</w:t>
      </w:r>
      <w:r>
        <w:rPr>
          <w:spacing w:val="-3"/>
        </w:rPr>
        <w:t xml:space="preserve"> </w:t>
      </w:r>
      <w:r>
        <w:t>work</w:t>
      </w:r>
      <w:r>
        <w:rPr>
          <w:spacing w:val="-3"/>
        </w:rPr>
        <w:t xml:space="preserve"> </w:t>
      </w:r>
      <w:r>
        <w:t>is</w:t>
      </w:r>
      <w:r>
        <w:rPr>
          <w:spacing w:val="-3"/>
        </w:rPr>
        <w:t xml:space="preserve"> </w:t>
      </w:r>
      <w:r>
        <w:t>to</w:t>
      </w:r>
      <w:r>
        <w:rPr>
          <w:spacing w:val="-3"/>
        </w:rPr>
        <w:t xml:space="preserve"> </w:t>
      </w:r>
      <w:r>
        <w:t>progress</w:t>
      </w:r>
      <w:r>
        <w:rPr>
          <w:spacing w:val="-3"/>
        </w:rPr>
        <w:t xml:space="preserve"> </w:t>
      </w:r>
      <w:r>
        <w:t>QLS’s</w:t>
      </w:r>
      <w:r>
        <w:rPr>
          <w:spacing w:val="-3"/>
        </w:rPr>
        <w:t xml:space="preserve"> </w:t>
      </w:r>
      <w:r>
        <w:t>information</w:t>
      </w:r>
      <w:r>
        <w:rPr>
          <w:spacing w:val="-3"/>
        </w:rPr>
        <w:t xml:space="preserve"> </w:t>
      </w:r>
      <w:r>
        <w:t>management</w:t>
      </w:r>
      <w:r>
        <w:rPr>
          <w:spacing w:val="-3"/>
        </w:rPr>
        <w:t xml:space="preserve"> </w:t>
      </w:r>
      <w:r>
        <w:t>governance and service delivery.</w:t>
      </w:r>
      <w:r>
        <w:rPr>
          <w:spacing w:val="-3"/>
        </w:rPr>
        <w:t xml:space="preserve"> </w:t>
      </w:r>
      <w:r>
        <w:t>This will allow QLS to continue to grow its level of digital maturity, ensuring we can improve</w:t>
      </w:r>
      <w:r>
        <w:rPr>
          <w:spacing w:val="-4"/>
        </w:rPr>
        <w:t xml:space="preserve"> </w:t>
      </w:r>
      <w:r>
        <w:t>what</w:t>
      </w:r>
      <w:r>
        <w:rPr>
          <w:spacing w:val="-4"/>
        </w:rPr>
        <w:t xml:space="preserve"> </w:t>
      </w:r>
      <w:r>
        <w:t>we</w:t>
      </w:r>
      <w:r>
        <w:rPr>
          <w:spacing w:val="-4"/>
        </w:rPr>
        <w:t xml:space="preserve"> </w:t>
      </w:r>
      <w:r>
        <w:t>do</w:t>
      </w:r>
      <w:r>
        <w:rPr>
          <w:spacing w:val="-4"/>
        </w:rPr>
        <w:t xml:space="preserve"> </w:t>
      </w:r>
      <w:r>
        <w:t>for</w:t>
      </w:r>
      <w:r>
        <w:rPr>
          <w:spacing w:val="-4"/>
        </w:rPr>
        <w:t xml:space="preserve"> </w:t>
      </w:r>
      <w:r>
        <w:t>members,</w:t>
      </w:r>
      <w:r>
        <w:rPr>
          <w:spacing w:val="-4"/>
        </w:rPr>
        <w:t xml:space="preserve"> </w:t>
      </w:r>
      <w:r>
        <w:t>the</w:t>
      </w:r>
      <w:r>
        <w:rPr>
          <w:spacing w:val="-4"/>
        </w:rPr>
        <w:t xml:space="preserve"> </w:t>
      </w:r>
      <w:r>
        <w:t>broader</w:t>
      </w:r>
      <w:r>
        <w:rPr>
          <w:spacing w:val="-4"/>
        </w:rPr>
        <w:t xml:space="preserve"> </w:t>
      </w:r>
      <w:r>
        <w:t>Queensland</w:t>
      </w:r>
      <w:r>
        <w:rPr>
          <w:spacing w:val="-4"/>
        </w:rPr>
        <w:t xml:space="preserve"> </w:t>
      </w:r>
      <w:r>
        <w:t>legal</w:t>
      </w:r>
      <w:r>
        <w:rPr>
          <w:spacing w:val="-4"/>
        </w:rPr>
        <w:t xml:space="preserve"> </w:t>
      </w:r>
      <w:r>
        <w:t>sector</w:t>
      </w:r>
      <w:r>
        <w:rPr>
          <w:spacing w:val="-4"/>
        </w:rPr>
        <w:t xml:space="preserve"> </w:t>
      </w:r>
      <w:r>
        <w:t>and</w:t>
      </w:r>
      <w:r>
        <w:rPr>
          <w:spacing w:val="-4"/>
        </w:rPr>
        <w:t xml:space="preserve"> </w:t>
      </w:r>
      <w:r>
        <w:t>the</w:t>
      </w:r>
      <w:r>
        <w:rPr>
          <w:spacing w:val="-4"/>
        </w:rPr>
        <w:t xml:space="preserve"> </w:t>
      </w:r>
      <w:r>
        <w:t>Queensland</w:t>
      </w:r>
      <w:r>
        <w:rPr>
          <w:spacing w:val="-4"/>
        </w:rPr>
        <w:t xml:space="preserve"> </w:t>
      </w:r>
      <w:r>
        <w:t>community.</w:t>
      </w:r>
    </w:p>
    <w:p w14:paraId="59A0DADB" w14:textId="77777777" w:rsidR="00AC6F3C" w:rsidRDefault="00AC6F3C">
      <w:pPr>
        <w:pStyle w:val="BodyText"/>
        <w:spacing w:before="2"/>
        <w:rPr>
          <w:sz w:val="31"/>
        </w:rPr>
      </w:pPr>
    </w:p>
    <w:p w14:paraId="0AF8E75E" w14:textId="77777777" w:rsidR="00AC6F3C" w:rsidRDefault="00570E88">
      <w:pPr>
        <w:ind w:left="815"/>
        <w:rPr>
          <w:b/>
          <w:sz w:val="26"/>
        </w:rPr>
      </w:pPr>
      <w:r>
        <w:rPr>
          <w:b/>
          <w:sz w:val="26"/>
        </w:rPr>
        <w:t>Information</w:t>
      </w:r>
      <w:r>
        <w:rPr>
          <w:b/>
          <w:spacing w:val="-2"/>
          <w:sz w:val="26"/>
        </w:rPr>
        <w:t xml:space="preserve"> </w:t>
      </w:r>
      <w:r>
        <w:rPr>
          <w:b/>
          <w:sz w:val="26"/>
        </w:rPr>
        <w:t>systems</w:t>
      </w:r>
      <w:r>
        <w:rPr>
          <w:b/>
          <w:spacing w:val="-1"/>
          <w:sz w:val="26"/>
        </w:rPr>
        <w:t xml:space="preserve"> </w:t>
      </w:r>
      <w:r>
        <w:rPr>
          <w:b/>
          <w:sz w:val="26"/>
        </w:rPr>
        <w:t>and</w:t>
      </w:r>
      <w:r>
        <w:rPr>
          <w:b/>
          <w:spacing w:val="-2"/>
          <w:sz w:val="26"/>
        </w:rPr>
        <w:t xml:space="preserve"> </w:t>
      </w:r>
      <w:r>
        <w:rPr>
          <w:b/>
          <w:sz w:val="26"/>
        </w:rPr>
        <w:t>record</w:t>
      </w:r>
      <w:r>
        <w:rPr>
          <w:b/>
          <w:spacing w:val="-1"/>
          <w:sz w:val="26"/>
        </w:rPr>
        <w:t xml:space="preserve"> </w:t>
      </w:r>
      <w:r>
        <w:rPr>
          <w:b/>
          <w:spacing w:val="-2"/>
          <w:sz w:val="26"/>
        </w:rPr>
        <w:t>keeping</w:t>
      </w:r>
    </w:p>
    <w:p w14:paraId="09D0B288" w14:textId="77777777" w:rsidR="00AC6F3C" w:rsidRDefault="00570E88">
      <w:pPr>
        <w:pStyle w:val="BodyText"/>
        <w:spacing w:before="168" w:line="249" w:lineRule="auto"/>
        <w:ind w:left="815" w:right="282"/>
      </w:pPr>
      <w:r>
        <w:t>QLS continues to advance its electronic document and records management system (EDRMS). In March</w:t>
      </w:r>
      <w:r>
        <w:rPr>
          <w:spacing w:val="-7"/>
        </w:rPr>
        <w:t xml:space="preserve"> </w:t>
      </w:r>
      <w:r>
        <w:t>2023,</w:t>
      </w:r>
      <w:r>
        <w:rPr>
          <w:spacing w:val="-5"/>
        </w:rPr>
        <w:t xml:space="preserve"> </w:t>
      </w:r>
      <w:r>
        <w:t>a</w:t>
      </w:r>
      <w:r>
        <w:rPr>
          <w:spacing w:val="-5"/>
        </w:rPr>
        <w:t xml:space="preserve"> </w:t>
      </w:r>
      <w:r>
        <w:t>comprehensive</w:t>
      </w:r>
      <w:r>
        <w:rPr>
          <w:spacing w:val="-5"/>
        </w:rPr>
        <w:t xml:space="preserve"> </w:t>
      </w:r>
      <w:r>
        <w:t>module</w:t>
      </w:r>
      <w:r>
        <w:rPr>
          <w:spacing w:val="-5"/>
        </w:rPr>
        <w:t xml:space="preserve"> </w:t>
      </w:r>
      <w:r>
        <w:t>for</w:t>
      </w:r>
      <w:r>
        <w:rPr>
          <w:spacing w:val="-9"/>
        </w:rPr>
        <w:t xml:space="preserve"> </w:t>
      </w:r>
      <w:r>
        <w:t>Trust</w:t>
      </w:r>
      <w:r>
        <w:rPr>
          <w:spacing w:val="-14"/>
        </w:rPr>
        <w:t xml:space="preserve"> </w:t>
      </w:r>
      <w:r>
        <w:t>Account</w:t>
      </w:r>
      <w:r>
        <w:rPr>
          <w:spacing w:val="-5"/>
        </w:rPr>
        <w:t xml:space="preserve"> </w:t>
      </w:r>
      <w:r>
        <w:t>Investigations</w:t>
      </w:r>
      <w:r>
        <w:rPr>
          <w:spacing w:val="-5"/>
        </w:rPr>
        <w:t xml:space="preserve"> </w:t>
      </w:r>
      <w:r>
        <w:t>(TAI)</w:t>
      </w:r>
      <w:r>
        <w:rPr>
          <w:spacing w:val="-5"/>
        </w:rPr>
        <w:t xml:space="preserve"> </w:t>
      </w:r>
      <w:r>
        <w:t>was</w:t>
      </w:r>
      <w:r>
        <w:rPr>
          <w:spacing w:val="-5"/>
        </w:rPr>
        <w:t xml:space="preserve"> </w:t>
      </w:r>
      <w:r>
        <w:t>successfully</w:t>
      </w:r>
      <w:r>
        <w:rPr>
          <w:spacing w:val="-5"/>
        </w:rPr>
        <w:t xml:space="preserve"> </w:t>
      </w:r>
      <w:r>
        <w:t xml:space="preserve">deployed, incorporating complex workflows to enhance operational efficiency. This initiative has led to a marked enhancement in QLS’s investigative capabilities, streamlining operational procedures, and sustaining the </w:t>
      </w:r>
      <w:proofErr w:type="spellStart"/>
      <w:r>
        <w:t>organisation’s</w:t>
      </w:r>
      <w:proofErr w:type="spellEnd"/>
      <w:r>
        <w:t xml:space="preserve"> capacity for analysis and reporting.</w:t>
      </w:r>
    </w:p>
    <w:p w14:paraId="265DB36B" w14:textId="77777777" w:rsidR="00AC6F3C" w:rsidRDefault="00570E88">
      <w:pPr>
        <w:pStyle w:val="BodyText"/>
        <w:spacing w:before="174" w:line="249" w:lineRule="auto"/>
        <w:ind w:left="815" w:right="632"/>
      </w:pPr>
      <w:r>
        <w:t>Concurrently, a project aimed at consolidating and reducing QLS’s physical records inventory was accomplished</w:t>
      </w:r>
      <w:r>
        <w:rPr>
          <w:spacing w:val="-5"/>
        </w:rPr>
        <w:t xml:space="preserve"> </w:t>
      </w:r>
      <w:r>
        <w:t>during</w:t>
      </w:r>
      <w:r>
        <w:rPr>
          <w:spacing w:val="-5"/>
        </w:rPr>
        <w:t xml:space="preserve"> </w:t>
      </w:r>
      <w:r>
        <w:t>the</w:t>
      </w:r>
      <w:r>
        <w:rPr>
          <w:spacing w:val="-5"/>
        </w:rPr>
        <w:t xml:space="preserve"> </w:t>
      </w:r>
      <w:r>
        <w:t>reporting</w:t>
      </w:r>
      <w:r>
        <w:rPr>
          <w:spacing w:val="-5"/>
        </w:rPr>
        <w:t xml:space="preserve"> </w:t>
      </w:r>
      <w:r>
        <w:t>year.</w:t>
      </w:r>
      <w:r>
        <w:rPr>
          <w:spacing w:val="-8"/>
        </w:rPr>
        <w:t xml:space="preserve"> </w:t>
      </w:r>
      <w:r>
        <w:t>This</w:t>
      </w:r>
      <w:r>
        <w:rPr>
          <w:spacing w:val="-5"/>
        </w:rPr>
        <w:t xml:space="preserve"> </w:t>
      </w:r>
      <w:proofErr w:type="spellStart"/>
      <w:r>
        <w:t>endeavour</w:t>
      </w:r>
      <w:proofErr w:type="spellEnd"/>
      <w:r>
        <w:t>,</w:t>
      </w:r>
      <w:r>
        <w:rPr>
          <w:spacing w:val="-5"/>
        </w:rPr>
        <w:t xml:space="preserve"> </w:t>
      </w:r>
      <w:r>
        <w:t>conducted</w:t>
      </w:r>
      <w:r>
        <w:rPr>
          <w:spacing w:val="-5"/>
        </w:rPr>
        <w:t xml:space="preserve"> </w:t>
      </w:r>
      <w:r>
        <w:t>in</w:t>
      </w:r>
      <w:r>
        <w:rPr>
          <w:spacing w:val="-5"/>
        </w:rPr>
        <w:t xml:space="preserve"> </w:t>
      </w:r>
      <w:r>
        <w:t>parallel</w:t>
      </w:r>
      <w:r>
        <w:rPr>
          <w:spacing w:val="-5"/>
        </w:rPr>
        <w:t xml:space="preserve"> </w:t>
      </w:r>
      <w:r>
        <w:t>with</w:t>
      </w:r>
      <w:r>
        <w:rPr>
          <w:spacing w:val="-5"/>
        </w:rPr>
        <w:t xml:space="preserve"> </w:t>
      </w:r>
      <w:r>
        <w:t>the</w:t>
      </w:r>
      <w:r>
        <w:rPr>
          <w:spacing w:val="-5"/>
        </w:rPr>
        <w:t xml:space="preserve"> </w:t>
      </w:r>
      <w:r>
        <w:t>renovation</w:t>
      </w:r>
      <w:r>
        <w:rPr>
          <w:spacing w:val="-5"/>
        </w:rPr>
        <w:t xml:space="preserve"> </w:t>
      </w:r>
      <w:r>
        <w:t>of Law</w:t>
      </w:r>
      <w:r>
        <w:rPr>
          <w:spacing w:val="-3"/>
        </w:rPr>
        <w:t xml:space="preserve"> </w:t>
      </w:r>
      <w:r>
        <w:t>Society</w:t>
      </w:r>
      <w:r>
        <w:rPr>
          <w:spacing w:val="-3"/>
        </w:rPr>
        <w:t xml:space="preserve"> </w:t>
      </w:r>
      <w:r>
        <w:t>House,</w:t>
      </w:r>
      <w:r>
        <w:rPr>
          <w:spacing w:val="-3"/>
        </w:rPr>
        <w:t xml:space="preserve"> </w:t>
      </w:r>
      <w:r>
        <w:t>has</w:t>
      </w:r>
      <w:r>
        <w:rPr>
          <w:spacing w:val="-3"/>
        </w:rPr>
        <w:t xml:space="preserve"> </w:t>
      </w:r>
      <w:r>
        <w:t>resulted</w:t>
      </w:r>
      <w:r>
        <w:rPr>
          <w:spacing w:val="-3"/>
        </w:rPr>
        <w:t xml:space="preserve"> </w:t>
      </w:r>
      <w:r>
        <w:t>in</w:t>
      </w:r>
      <w:r>
        <w:rPr>
          <w:spacing w:val="-3"/>
        </w:rPr>
        <w:t xml:space="preserve"> </w:t>
      </w:r>
      <w:r>
        <w:t>a</w:t>
      </w:r>
      <w:r>
        <w:rPr>
          <w:spacing w:val="-3"/>
        </w:rPr>
        <w:t xml:space="preserve"> </w:t>
      </w:r>
      <w:r>
        <w:t>substantial</w:t>
      </w:r>
      <w:r>
        <w:rPr>
          <w:spacing w:val="-3"/>
        </w:rPr>
        <w:t xml:space="preserve"> </w:t>
      </w:r>
      <w:r>
        <w:t>reduction</w:t>
      </w:r>
      <w:r>
        <w:rPr>
          <w:spacing w:val="-3"/>
        </w:rPr>
        <w:t xml:space="preserve"> </w:t>
      </w:r>
      <w:r>
        <w:t>in</w:t>
      </w:r>
      <w:r>
        <w:rPr>
          <w:spacing w:val="-3"/>
        </w:rPr>
        <w:t xml:space="preserve"> </w:t>
      </w:r>
      <w:r>
        <w:t>the</w:t>
      </w:r>
      <w:r>
        <w:rPr>
          <w:spacing w:val="-3"/>
        </w:rPr>
        <w:t xml:space="preserve"> </w:t>
      </w:r>
      <w:r>
        <w:t>volume</w:t>
      </w:r>
      <w:r>
        <w:rPr>
          <w:spacing w:val="-3"/>
        </w:rPr>
        <w:t xml:space="preserve"> </w:t>
      </w:r>
      <w:r>
        <w:t>of</w:t>
      </w:r>
      <w:r>
        <w:rPr>
          <w:spacing w:val="-3"/>
        </w:rPr>
        <w:t xml:space="preserve"> </w:t>
      </w:r>
      <w:r>
        <w:t>paper</w:t>
      </w:r>
      <w:r>
        <w:rPr>
          <w:spacing w:val="-3"/>
        </w:rPr>
        <w:t xml:space="preserve"> </w:t>
      </w:r>
      <w:r>
        <w:t>records</w:t>
      </w:r>
      <w:r>
        <w:rPr>
          <w:spacing w:val="-3"/>
        </w:rPr>
        <w:t xml:space="preserve"> </w:t>
      </w:r>
      <w:r>
        <w:t>managed by various departments within the organisation.</w:t>
      </w:r>
    </w:p>
    <w:p w14:paraId="73B8E98F" w14:textId="77777777" w:rsidR="00AC6F3C" w:rsidRDefault="00570E88">
      <w:pPr>
        <w:pStyle w:val="BodyText"/>
        <w:spacing w:before="173" w:line="249" w:lineRule="auto"/>
        <w:ind w:left="815" w:right="583"/>
      </w:pPr>
      <w:r>
        <w:t>It’s noteworthy that education on effective recordkeeping remains an obligatory facet of training for all</w:t>
      </w:r>
      <w:r>
        <w:rPr>
          <w:spacing w:val="-3"/>
        </w:rPr>
        <w:t xml:space="preserve"> </w:t>
      </w:r>
      <w:r>
        <w:t>QLS</w:t>
      </w:r>
      <w:r>
        <w:rPr>
          <w:spacing w:val="-3"/>
        </w:rPr>
        <w:t xml:space="preserve"> </w:t>
      </w:r>
      <w:r>
        <w:t>staff</w:t>
      </w:r>
      <w:r>
        <w:rPr>
          <w:spacing w:val="-3"/>
        </w:rPr>
        <w:t xml:space="preserve"> </w:t>
      </w:r>
      <w:r>
        <w:t>members</w:t>
      </w:r>
      <w:r>
        <w:rPr>
          <w:spacing w:val="-3"/>
        </w:rPr>
        <w:t xml:space="preserve"> </w:t>
      </w:r>
      <w:r>
        <w:t>as</w:t>
      </w:r>
      <w:r>
        <w:rPr>
          <w:spacing w:val="-3"/>
        </w:rPr>
        <w:t xml:space="preserve"> </w:t>
      </w:r>
      <w:r>
        <w:t>part</w:t>
      </w:r>
      <w:r>
        <w:rPr>
          <w:spacing w:val="-3"/>
        </w:rPr>
        <w:t xml:space="preserve"> </w:t>
      </w:r>
      <w:r>
        <w:t>of</w:t>
      </w:r>
      <w:r>
        <w:rPr>
          <w:spacing w:val="-3"/>
        </w:rPr>
        <w:t xml:space="preserve"> </w:t>
      </w:r>
      <w:r>
        <w:t>their</w:t>
      </w:r>
      <w:r>
        <w:rPr>
          <w:spacing w:val="-3"/>
        </w:rPr>
        <w:t xml:space="preserve"> </w:t>
      </w:r>
      <w:r>
        <w:t>onboarding</w:t>
      </w:r>
      <w:r>
        <w:rPr>
          <w:spacing w:val="-3"/>
        </w:rPr>
        <w:t xml:space="preserve"> </w:t>
      </w:r>
      <w:r>
        <w:t>process.</w:t>
      </w:r>
      <w:r>
        <w:rPr>
          <w:spacing w:val="-3"/>
        </w:rPr>
        <w:t xml:space="preserve"> </w:t>
      </w:r>
      <w:r>
        <w:t>Supplementary</w:t>
      </w:r>
      <w:r>
        <w:rPr>
          <w:spacing w:val="-3"/>
        </w:rPr>
        <w:t xml:space="preserve"> </w:t>
      </w:r>
      <w:r>
        <w:t>training</w:t>
      </w:r>
      <w:r>
        <w:rPr>
          <w:spacing w:val="-3"/>
        </w:rPr>
        <w:t xml:space="preserve"> </w:t>
      </w:r>
      <w:r>
        <w:t>sessions</w:t>
      </w:r>
      <w:r>
        <w:rPr>
          <w:spacing w:val="-3"/>
        </w:rPr>
        <w:t xml:space="preserve"> </w:t>
      </w:r>
      <w:r>
        <w:t>are</w:t>
      </w:r>
      <w:r>
        <w:rPr>
          <w:spacing w:val="-3"/>
        </w:rPr>
        <w:t xml:space="preserve"> </w:t>
      </w:r>
      <w:r>
        <w:t>also conducted as needed to ensure sustained compliance and proficiency.</w:t>
      </w:r>
    </w:p>
    <w:p w14:paraId="17E4FD0D" w14:textId="77777777" w:rsidR="00AC6F3C" w:rsidRDefault="00AC6F3C">
      <w:pPr>
        <w:pStyle w:val="BodyText"/>
        <w:spacing w:before="2"/>
        <w:rPr>
          <w:sz w:val="31"/>
        </w:rPr>
      </w:pPr>
    </w:p>
    <w:p w14:paraId="46CC96FE" w14:textId="77777777" w:rsidR="00AC6F3C" w:rsidRDefault="00570E88">
      <w:pPr>
        <w:ind w:left="815"/>
        <w:rPr>
          <w:b/>
          <w:sz w:val="26"/>
        </w:rPr>
      </w:pPr>
      <w:r>
        <w:rPr>
          <w:b/>
          <w:sz w:val="26"/>
        </w:rPr>
        <w:t>Risk</w:t>
      </w:r>
      <w:r>
        <w:rPr>
          <w:b/>
          <w:spacing w:val="-5"/>
          <w:sz w:val="26"/>
        </w:rPr>
        <w:t xml:space="preserve"> </w:t>
      </w:r>
      <w:r>
        <w:rPr>
          <w:b/>
          <w:spacing w:val="-2"/>
          <w:sz w:val="26"/>
        </w:rPr>
        <w:t>management</w:t>
      </w:r>
    </w:p>
    <w:p w14:paraId="31C95BC0" w14:textId="77777777" w:rsidR="00AC6F3C" w:rsidRDefault="00570E88">
      <w:pPr>
        <w:pStyle w:val="BodyText"/>
        <w:spacing w:before="167" w:line="249" w:lineRule="auto"/>
        <w:ind w:left="815" w:right="284"/>
      </w:pPr>
      <w:r>
        <w:t>QLS’s risk is overseen by the FRC and Council, with a risk management and compliance framework</w:t>
      </w:r>
      <w:r>
        <w:rPr>
          <w:spacing w:val="40"/>
        </w:rPr>
        <w:t xml:space="preserve"> </w:t>
      </w:r>
      <w:r>
        <w:t xml:space="preserve">that includes clear accountabilities for managing areas of risk and compliance, quarterly monitoring and updating of a </w:t>
      </w:r>
      <w:proofErr w:type="spellStart"/>
      <w:r>
        <w:t>centralised</w:t>
      </w:r>
      <w:proofErr w:type="spellEnd"/>
      <w:r>
        <w:t xml:space="preserve"> risk register and </w:t>
      </w:r>
      <w:proofErr w:type="spellStart"/>
      <w:r>
        <w:t>centralised</w:t>
      </w:r>
      <w:proofErr w:type="spellEnd"/>
      <w:r>
        <w:t xml:space="preserve"> fraud risk register and oversight of the framework and</w:t>
      </w:r>
      <w:r>
        <w:rPr>
          <w:spacing w:val="-3"/>
        </w:rPr>
        <w:t xml:space="preserve"> </w:t>
      </w:r>
      <w:r>
        <w:t>key</w:t>
      </w:r>
      <w:r>
        <w:rPr>
          <w:spacing w:val="-3"/>
        </w:rPr>
        <w:t xml:space="preserve"> </w:t>
      </w:r>
      <w:r>
        <w:t>risks.</w:t>
      </w:r>
      <w:r>
        <w:rPr>
          <w:spacing w:val="-3"/>
        </w:rPr>
        <w:t xml:space="preserve"> </w:t>
      </w:r>
      <w:r>
        <w:t>We</w:t>
      </w:r>
      <w:r>
        <w:rPr>
          <w:spacing w:val="-3"/>
        </w:rPr>
        <w:t xml:space="preserve"> </w:t>
      </w:r>
      <w:r>
        <w:t>perform</w:t>
      </w:r>
      <w:r>
        <w:rPr>
          <w:spacing w:val="-3"/>
        </w:rPr>
        <w:t xml:space="preserve"> </w:t>
      </w:r>
      <w:r>
        <w:t>risk</w:t>
      </w:r>
      <w:r>
        <w:rPr>
          <w:spacing w:val="-3"/>
        </w:rPr>
        <w:t xml:space="preserve"> </w:t>
      </w:r>
      <w:r>
        <w:t>assessments</w:t>
      </w:r>
      <w:r>
        <w:rPr>
          <w:spacing w:val="-3"/>
        </w:rPr>
        <w:t xml:space="preserve"> </w:t>
      </w:r>
      <w:r>
        <w:t>routinely</w:t>
      </w:r>
      <w:r>
        <w:rPr>
          <w:spacing w:val="-3"/>
        </w:rPr>
        <w:t xml:space="preserve"> </w:t>
      </w:r>
      <w:r>
        <w:t>when</w:t>
      </w:r>
      <w:r>
        <w:rPr>
          <w:spacing w:val="-3"/>
        </w:rPr>
        <w:t xml:space="preserve"> </w:t>
      </w:r>
      <w:r>
        <w:t>developing</w:t>
      </w:r>
      <w:r>
        <w:rPr>
          <w:spacing w:val="-3"/>
        </w:rPr>
        <w:t xml:space="preserve"> </w:t>
      </w:r>
      <w:r>
        <w:t>and</w:t>
      </w:r>
      <w:r>
        <w:rPr>
          <w:spacing w:val="-3"/>
        </w:rPr>
        <w:t xml:space="preserve"> </w:t>
      </w:r>
      <w:r>
        <w:t>reviewing</w:t>
      </w:r>
      <w:r>
        <w:rPr>
          <w:spacing w:val="-3"/>
        </w:rPr>
        <w:t xml:space="preserve"> </w:t>
      </w:r>
      <w:r>
        <w:t>policies,</w:t>
      </w:r>
      <w:r>
        <w:rPr>
          <w:spacing w:val="-3"/>
        </w:rPr>
        <w:t xml:space="preserve"> </w:t>
      </w:r>
      <w:r>
        <w:t>business cases and in the normal course of business. We also supply the FRC and Council with quarterly reports on QLS’s risk register and fraud risk register. QLS’s in-house legal team provides advice on risk and compliance issues and delivers regular compliance training to staff.</w:t>
      </w:r>
    </w:p>
    <w:p w14:paraId="14D1A78C" w14:textId="77777777" w:rsidR="00AC6F3C" w:rsidRDefault="00570E88">
      <w:pPr>
        <w:pStyle w:val="BodyText"/>
        <w:spacing w:before="176" w:line="249" w:lineRule="auto"/>
        <w:ind w:left="815" w:right="374"/>
      </w:pPr>
      <w:r>
        <w:t xml:space="preserve">We have a well-established </w:t>
      </w:r>
      <w:proofErr w:type="spellStart"/>
      <w:r>
        <w:t>centralised</w:t>
      </w:r>
      <w:proofErr w:type="spellEnd"/>
      <w:r>
        <w:t xml:space="preserve"> short- and long-term risk register that assists executive staff to identify,</w:t>
      </w:r>
      <w:r>
        <w:rPr>
          <w:spacing w:val="-3"/>
        </w:rPr>
        <w:t xml:space="preserve"> </w:t>
      </w:r>
      <w:r>
        <w:t>classify,</w:t>
      </w:r>
      <w:r>
        <w:rPr>
          <w:spacing w:val="-3"/>
        </w:rPr>
        <w:t xml:space="preserve"> </w:t>
      </w:r>
      <w:r>
        <w:t>assess</w:t>
      </w:r>
      <w:r>
        <w:rPr>
          <w:spacing w:val="-3"/>
        </w:rPr>
        <w:t xml:space="preserve"> </w:t>
      </w:r>
      <w:r>
        <w:t>and</w:t>
      </w:r>
      <w:r>
        <w:rPr>
          <w:spacing w:val="-3"/>
        </w:rPr>
        <w:t xml:space="preserve"> </w:t>
      </w:r>
      <w:r>
        <w:t>monitor</w:t>
      </w:r>
      <w:r>
        <w:rPr>
          <w:spacing w:val="-3"/>
        </w:rPr>
        <w:t xml:space="preserve"> </w:t>
      </w:r>
      <w:r>
        <w:t>current</w:t>
      </w:r>
      <w:r>
        <w:rPr>
          <w:spacing w:val="-3"/>
        </w:rPr>
        <w:t xml:space="preserve"> </w:t>
      </w:r>
      <w:r>
        <w:t>risk</w:t>
      </w:r>
      <w:r>
        <w:rPr>
          <w:spacing w:val="-3"/>
        </w:rPr>
        <w:t xml:space="preserve"> </w:t>
      </w:r>
      <w:r>
        <w:t>and</w:t>
      </w:r>
      <w:r>
        <w:rPr>
          <w:spacing w:val="-3"/>
        </w:rPr>
        <w:t xml:space="preserve"> </w:t>
      </w:r>
      <w:r>
        <w:t>also</w:t>
      </w:r>
      <w:r>
        <w:rPr>
          <w:spacing w:val="-3"/>
        </w:rPr>
        <w:t xml:space="preserve"> </w:t>
      </w:r>
      <w:r>
        <w:t>seamlessly</w:t>
      </w:r>
      <w:r>
        <w:rPr>
          <w:spacing w:val="-3"/>
        </w:rPr>
        <w:t xml:space="preserve"> </w:t>
      </w:r>
      <w:r>
        <w:t>review</w:t>
      </w:r>
      <w:r>
        <w:rPr>
          <w:spacing w:val="-3"/>
        </w:rPr>
        <w:t xml:space="preserve"> </w:t>
      </w:r>
      <w:r>
        <w:t>archived</w:t>
      </w:r>
      <w:r>
        <w:rPr>
          <w:spacing w:val="-3"/>
        </w:rPr>
        <w:t xml:space="preserve"> </w:t>
      </w:r>
      <w:r>
        <w:t>risks.</w:t>
      </w:r>
      <w:r>
        <w:rPr>
          <w:spacing w:val="-3"/>
        </w:rPr>
        <w:t xml:space="preserve"> </w:t>
      </w:r>
      <w:r>
        <w:t>During</w:t>
      </w:r>
      <w:r>
        <w:rPr>
          <w:spacing w:val="-3"/>
        </w:rPr>
        <w:t xml:space="preserve"> </w:t>
      </w:r>
      <w:r>
        <w:t>the 2022-23</w:t>
      </w:r>
      <w:r>
        <w:rPr>
          <w:spacing w:val="-3"/>
        </w:rPr>
        <w:t xml:space="preserve"> </w:t>
      </w:r>
      <w:r>
        <w:t>financial</w:t>
      </w:r>
      <w:r>
        <w:rPr>
          <w:spacing w:val="-3"/>
        </w:rPr>
        <w:t xml:space="preserve"> </w:t>
      </w:r>
      <w:r>
        <w:t>year,</w:t>
      </w:r>
      <w:r>
        <w:rPr>
          <w:spacing w:val="-3"/>
        </w:rPr>
        <w:t xml:space="preserve"> </w:t>
      </w:r>
      <w:r>
        <w:t>QLS</w:t>
      </w:r>
      <w:r>
        <w:rPr>
          <w:spacing w:val="-3"/>
        </w:rPr>
        <w:t xml:space="preserve"> </w:t>
      </w:r>
      <w:r>
        <w:t>continued</w:t>
      </w:r>
      <w:r>
        <w:rPr>
          <w:spacing w:val="-3"/>
        </w:rPr>
        <w:t xml:space="preserve"> </w:t>
      </w:r>
      <w:r>
        <w:t>to</w:t>
      </w:r>
      <w:r>
        <w:rPr>
          <w:spacing w:val="-3"/>
        </w:rPr>
        <w:t xml:space="preserve"> </w:t>
      </w:r>
      <w:r>
        <w:t>use</w:t>
      </w:r>
      <w:r>
        <w:rPr>
          <w:spacing w:val="-3"/>
        </w:rPr>
        <w:t xml:space="preserve"> </w:t>
      </w:r>
      <w:r>
        <w:t>the</w:t>
      </w:r>
      <w:r>
        <w:rPr>
          <w:spacing w:val="-3"/>
        </w:rPr>
        <w:t xml:space="preserve"> </w:t>
      </w:r>
      <w:r>
        <w:t>risk</w:t>
      </w:r>
      <w:r>
        <w:rPr>
          <w:spacing w:val="-3"/>
        </w:rPr>
        <w:t xml:space="preserve"> </w:t>
      </w:r>
      <w:r>
        <w:t>register</w:t>
      </w:r>
      <w:r>
        <w:rPr>
          <w:spacing w:val="-3"/>
        </w:rPr>
        <w:t xml:space="preserve"> </w:t>
      </w:r>
      <w:r>
        <w:t>to</w:t>
      </w:r>
      <w:r>
        <w:rPr>
          <w:spacing w:val="-3"/>
        </w:rPr>
        <w:t xml:space="preserve"> </w:t>
      </w:r>
      <w:r>
        <w:t>mitigate</w:t>
      </w:r>
      <w:r>
        <w:rPr>
          <w:spacing w:val="-3"/>
        </w:rPr>
        <w:t xml:space="preserve"> </w:t>
      </w:r>
      <w:r>
        <w:t>current</w:t>
      </w:r>
      <w:r>
        <w:rPr>
          <w:spacing w:val="-3"/>
        </w:rPr>
        <w:t xml:space="preserve"> </w:t>
      </w:r>
      <w:r>
        <w:t>risks,</w:t>
      </w:r>
      <w:r>
        <w:rPr>
          <w:spacing w:val="-3"/>
        </w:rPr>
        <w:t xml:space="preserve"> </w:t>
      </w:r>
      <w:proofErr w:type="spellStart"/>
      <w:r>
        <w:t>analyse</w:t>
      </w:r>
      <w:proofErr w:type="spellEnd"/>
      <w:r>
        <w:rPr>
          <w:spacing w:val="-3"/>
        </w:rPr>
        <w:t xml:space="preserve"> </w:t>
      </w:r>
      <w:r>
        <w:t xml:space="preserve">residual risk trends as well as to identify, assess, monitor and report new </w:t>
      </w:r>
      <w:proofErr w:type="spellStart"/>
      <w:r>
        <w:t>organisational</w:t>
      </w:r>
      <w:proofErr w:type="spellEnd"/>
      <w:r>
        <w:t xml:space="preserve"> risks and fraud risks to the FRC and Council, in line with good governance practice. The risk register is flexible to </w:t>
      </w:r>
      <w:proofErr w:type="spellStart"/>
      <w:r>
        <w:t>analysing</w:t>
      </w:r>
      <w:proofErr w:type="spellEnd"/>
      <w:r>
        <w:t xml:space="preserve"> short-term and long-term risk, with long-term latent risks reviewed annually so that there is a dedicated focus on current risks.</w:t>
      </w:r>
    </w:p>
    <w:p w14:paraId="4A1574AF" w14:textId="77777777" w:rsidR="00AC6F3C" w:rsidRDefault="00AC6F3C">
      <w:pPr>
        <w:pStyle w:val="BodyText"/>
        <w:spacing w:before="5"/>
        <w:rPr>
          <w:sz w:val="31"/>
        </w:rPr>
      </w:pPr>
    </w:p>
    <w:p w14:paraId="342A3AB6" w14:textId="77777777" w:rsidR="00AC6F3C" w:rsidRDefault="00570E88">
      <w:pPr>
        <w:ind w:left="815"/>
        <w:rPr>
          <w:b/>
          <w:sz w:val="26"/>
        </w:rPr>
      </w:pPr>
      <w:r>
        <w:rPr>
          <w:b/>
          <w:sz w:val="26"/>
        </w:rPr>
        <w:t>Our</w:t>
      </w:r>
      <w:r>
        <w:rPr>
          <w:b/>
          <w:spacing w:val="-2"/>
          <w:sz w:val="26"/>
        </w:rPr>
        <w:t xml:space="preserve"> Ethics</w:t>
      </w:r>
    </w:p>
    <w:p w14:paraId="531B297D" w14:textId="77777777" w:rsidR="00AC6F3C" w:rsidRDefault="00570E88">
      <w:pPr>
        <w:pStyle w:val="BodyText"/>
        <w:spacing w:before="168" w:line="249" w:lineRule="auto"/>
        <w:ind w:left="815" w:right="730"/>
      </w:pPr>
      <w:r>
        <w:t>QLS</w:t>
      </w:r>
      <w:r>
        <w:rPr>
          <w:spacing w:val="-2"/>
        </w:rPr>
        <w:t xml:space="preserve"> </w:t>
      </w:r>
      <w:r>
        <w:t>is</w:t>
      </w:r>
      <w:r>
        <w:rPr>
          <w:spacing w:val="-2"/>
        </w:rPr>
        <w:t xml:space="preserve"> </w:t>
      </w:r>
      <w:r>
        <w:t>a</w:t>
      </w:r>
      <w:r>
        <w:rPr>
          <w:spacing w:val="-2"/>
        </w:rPr>
        <w:t xml:space="preserve"> </w:t>
      </w:r>
      <w:r>
        <w:t>public</w:t>
      </w:r>
      <w:r>
        <w:rPr>
          <w:spacing w:val="-2"/>
        </w:rPr>
        <w:t xml:space="preserve"> </w:t>
      </w:r>
      <w:r>
        <w:t>sector</w:t>
      </w:r>
      <w:r>
        <w:rPr>
          <w:spacing w:val="-2"/>
        </w:rPr>
        <w:t xml:space="preserve"> </w:t>
      </w:r>
      <w:r>
        <w:t>entity</w:t>
      </w:r>
      <w:r>
        <w:rPr>
          <w:spacing w:val="-2"/>
        </w:rPr>
        <w:t xml:space="preserve"> </w:t>
      </w:r>
      <w:r>
        <w:t>under</w:t>
      </w:r>
      <w:r>
        <w:rPr>
          <w:spacing w:val="-2"/>
        </w:rPr>
        <w:t xml:space="preserve"> </w:t>
      </w:r>
      <w:r>
        <w:t>the</w:t>
      </w:r>
      <w:r>
        <w:rPr>
          <w:spacing w:val="-3"/>
        </w:rPr>
        <w:t xml:space="preserve"> </w:t>
      </w:r>
      <w:r>
        <w:rPr>
          <w:i/>
        </w:rPr>
        <w:t>Public</w:t>
      </w:r>
      <w:r>
        <w:rPr>
          <w:i/>
          <w:spacing w:val="-2"/>
        </w:rPr>
        <w:t xml:space="preserve"> </w:t>
      </w:r>
      <w:r>
        <w:rPr>
          <w:i/>
        </w:rPr>
        <w:t>Sector</w:t>
      </w:r>
      <w:r>
        <w:rPr>
          <w:i/>
          <w:spacing w:val="-2"/>
        </w:rPr>
        <w:t xml:space="preserve"> </w:t>
      </w:r>
      <w:r>
        <w:rPr>
          <w:i/>
        </w:rPr>
        <w:t>Ethics</w:t>
      </w:r>
      <w:r>
        <w:rPr>
          <w:i/>
          <w:spacing w:val="-10"/>
        </w:rPr>
        <w:t xml:space="preserve"> </w:t>
      </w:r>
      <w:r>
        <w:rPr>
          <w:i/>
        </w:rPr>
        <w:t>Act</w:t>
      </w:r>
      <w:r>
        <w:rPr>
          <w:i/>
          <w:spacing w:val="-2"/>
        </w:rPr>
        <w:t xml:space="preserve"> </w:t>
      </w:r>
      <w:r>
        <w:rPr>
          <w:i/>
        </w:rPr>
        <w:t>1994</w:t>
      </w:r>
      <w:r>
        <w:t>,</w:t>
      </w:r>
      <w:r>
        <w:rPr>
          <w:spacing w:val="-2"/>
        </w:rPr>
        <w:t xml:space="preserve"> </w:t>
      </w:r>
      <w:r>
        <w:t>and</w:t>
      </w:r>
      <w:r>
        <w:rPr>
          <w:spacing w:val="-2"/>
        </w:rPr>
        <w:t xml:space="preserve"> </w:t>
      </w:r>
      <w:r>
        <w:t>has</w:t>
      </w:r>
      <w:r>
        <w:rPr>
          <w:spacing w:val="-2"/>
        </w:rPr>
        <w:t xml:space="preserve"> </w:t>
      </w:r>
      <w:r>
        <w:t>an</w:t>
      </w:r>
      <w:r>
        <w:rPr>
          <w:spacing w:val="-2"/>
        </w:rPr>
        <w:t xml:space="preserve"> </w:t>
      </w:r>
      <w:r>
        <w:t>established</w:t>
      </w:r>
      <w:r>
        <w:rPr>
          <w:spacing w:val="-2"/>
        </w:rPr>
        <w:t xml:space="preserve"> </w:t>
      </w:r>
      <w:r>
        <w:t>QLS Code of Conduct, which applies to all staff, Councillors and Society committee members. QLS continues to encourage its Council, committee members, and business colleagues to partner with us</w:t>
      </w:r>
      <w:r>
        <w:rPr>
          <w:spacing w:val="-1"/>
        </w:rPr>
        <w:t xml:space="preserve"> </w:t>
      </w:r>
      <w:r>
        <w:t>in</w:t>
      </w:r>
      <w:r>
        <w:rPr>
          <w:spacing w:val="-1"/>
        </w:rPr>
        <w:t xml:space="preserve"> </w:t>
      </w:r>
      <w:r>
        <w:t>implementing</w:t>
      </w:r>
      <w:r>
        <w:rPr>
          <w:spacing w:val="-1"/>
        </w:rPr>
        <w:t xml:space="preserve"> </w:t>
      </w:r>
      <w:r>
        <w:t>the</w:t>
      </w:r>
      <w:r>
        <w:rPr>
          <w:spacing w:val="-1"/>
        </w:rPr>
        <w:t xml:space="preserve"> </w:t>
      </w:r>
      <w:r>
        <w:t>Code,</w:t>
      </w:r>
      <w:r>
        <w:rPr>
          <w:spacing w:val="-1"/>
        </w:rPr>
        <w:t xml:space="preserve"> </w:t>
      </w:r>
      <w:r>
        <w:t>and</w:t>
      </w:r>
      <w:r>
        <w:rPr>
          <w:spacing w:val="-1"/>
        </w:rPr>
        <w:t xml:space="preserve"> </w:t>
      </w:r>
      <w:r>
        <w:t>a</w:t>
      </w:r>
      <w:r>
        <w:rPr>
          <w:spacing w:val="-1"/>
        </w:rPr>
        <w:t xml:space="preserve"> </w:t>
      </w:r>
      <w:r>
        <w:t>copy</w:t>
      </w:r>
      <w:r>
        <w:rPr>
          <w:spacing w:val="-1"/>
        </w:rPr>
        <w:t xml:space="preserve"> </w:t>
      </w:r>
      <w:r>
        <w:t>of</w:t>
      </w:r>
      <w:r>
        <w:rPr>
          <w:spacing w:val="-1"/>
        </w:rPr>
        <w:t xml:space="preserve"> </w:t>
      </w:r>
      <w:r>
        <w:t>the</w:t>
      </w:r>
      <w:r>
        <w:rPr>
          <w:spacing w:val="-1"/>
        </w:rPr>
        <w:t xml:space="preserve"> </w:t>
      </w:r>
      <w:r>
        <w:t>Code</w:t>
      </w:r>
      <w:r>
        <w:rPr>
          <w:spacing w:val="-1"/>
        </w:rPr>
        <w:t xml:space="preserve"> </w:t>
      </w:r>
      <w:r>
        <w:t>is</w:t>
      </w:r>
      <w:r>
        <w:rPr>
          <w:spacing w:val="-1"/>
        </w:rPr>
        <w:t xml:space="preserve"> </w:t>
      </w:r>
      <w:r>
        <w:t>publicly</w:t>
      </w:r>
      <w:r>
        <w:rPr>
          <w:spacing w:val="-1"/>
        </w:rPr>
        <w:t xml:space="preserve"> </w:t>
      </w:r>
      <w:r>
        <w:t>available</w:t>
      </w:r>
      <w:r>
        <w:rPr>
          <w:spacing w:val="-1"/>
        </w:rPr>
        <w:t xml:space="preserve"> </w:t>
      </w:r>
      <w:r>
        <w:t>on</w:t>
      </w:r>
      <w:r>
        <w:rPr>
          <w:spacing w:val="-1"/>
        </w:rPr>
        <w:t xml:space="preserve"> </w:t>
      </w:r>
      <w:r>
        <w:t>the</w:t>
      </w:r>
      <w:r>
        <w:rPr>
          <w:spacing w:val="-1"/>
        </w:rPr>
        <w:t xml:space="preserve"> </w:t>
      </w:r>
      <w:r>
        <w:t>QLS</w:t>
      </w:r>
      <w:r>
        <w:rPr>
          <w:spacing w:val="-1"/>
        </w:rPr>
        <w:t xml:space="preserve"> </w:t>
      </w:r>
      <w:r>
        <w:t>website.</w:t>
      </w:r>
      <w:r>
        <w:rPr>
          <w:spacing w:val="-1"/>
        </w:rPr>
        <w:t xml:space="preserve"> </w:t>
      </w:r>
      <w:r>
        <w:t>On</w:t>
      </w:r>
    </w:p>
    <w:p w14:paraId="5413844A" w14:textId="77777777" w:rsidR="00AC6F3C" w:rsidRDefault="00570E88">
      <w:pPr>
        <w:pStyle w:val="BodyText"/>
        <w:spacing w:before="3" w:line="249" w:lineRule="auto"/>
        <w:ind w:left="815" w:right="375"/>
      </w:pPr>
      <w:r>
        <w:t>appointment</w:t>
      </w:r>
      <w:r>
        <w:rPr>
          <w:spacing w:val="-2"/>
        </w:rPr>
        <w:t xml:space="preserve"> </w:t>
      </w:r>
      <w:r>
        <w:t>and</w:t>
      </w:r>
      <w:r>
        <w:rPr>
          <w:spacing w:val="-2"/>
        </w:rPr>
        <w:t xml:space="preserve"> </w:t>
      </w:r>
      <w:r>
        <w:t>induction,</w:t>
      </w:r>
      <w:r>
        <w:rPr>
          <w:spacing w:val="-2"/>
        </w:rPr>
        <w:t xml:space="preserve"> </w:t>
      </w:r>
      <w:r>
        <w:t>committee</w:t>
      </w:r>
      <w:r>
        <w:rPr>
          <w:spacing w:val="-2"/>
        </w:rPr>
        <w:t xml:space="preserve"> </w:t>
      </w:r>
      <w:r>
        <w:t>members</w:t>
      </w:r>
      <w:r>
        <w:rPr>
          <w:spacing w:val="-2"/>
        </w:rPr>
        <w:t xml:space="preserve"> </w:t>
      </w:r>
      <w:r>
        <w:t>and</w:t>
      </w:r>
      <w:r>
        <w:rPr>
          <w:spacing w:val="-2"/>
        </w:rPr>
        <w:t xml:space="preserve"> </w:t>
      </w:r>
      <w:r>
        <w:t>Councillors</w:t>
      </w:r>
      <w:r>
        <w:rPr>
          <w:spacing w:val="-2"/>
        </w:rPr>
        <w:t xml:space="preserve"> </w:t>
      </w:r>
      <w:r>
        <w:t>are</w:t>
      </w:r>
      <w:r>
        <w:rPr>
          <w:spacing w:val="-2"/>
        </w:rPr>
        <w:t xml:space="preserve"> </w:t>
      </w:r>
      <w:r>
        <w:t>provided</w:t>
      </w:r>
      <w:r>
        <w:rPr>
          <w:spacing w:val="-2"/>
        </w:rPr>
        <w:t xml:space="preserve"> </w:t>
      </w:r>
      <w:r>
        <w:t>with</w:t>
      </w:r>
      <w:r>
        <w:rPr>
          <w:spacing w:val="-2"/>
        </w:rPr>
        <w:t xml:space="preserve"> </w:t>
      </w:r>
      <w:r>
        <w:t>a</w:t>
      </w:r>
      <w:r>
        <w:rPr>
          <w:spacing w:val="-2"/>
        </w:rPr>
        <w:t xml:space="preserve"> </w:t>
      </w:r>
      <w:r>
        <w:t>copy</w:t>
      </w:r>
      <w:r>
        <w:rPr>
          <w:spacing w:val="-2"/>
        </w:rPr>
        <w:t xml:space="preserve"> </w:t>
      </w:r>
      <w:r>
        <w:t>of</w:t>
      </w:r>
      <w:r>
        <w:rPr>
          <w:spacing w:val="-2"/>
        </w:rPr>
        <w:t xml:space="preserve"> </w:t>
      </w:r>
      <w:r>
        <w:t>the</w:t>
      </w:r>
      <w:r>
        <w:rPr>
          <w:spacing w:val="-2"/>
        </w:rPr>
        <w:t xml:space="preserve"> </w:t>
      </w:r>
      <w:r>
        <w:t>Code. Education and on-board training of all new staff include the Society’s policies, with education and the importance</w:t>
      </w:r>
      <w:r>
        <w:rPr>
          <w:spacing w:val="-3"/>
        </w:rPr>
        <w:t xml:space="preserve"> </w:t>
      </w:r>
      <w:r>
        <w:t>of</w:t>
      </w:r>
      <w:r>
        <w:rPr>
          <w:spacing w:val="-3"/>
        </w:rPr>
        <w:t xml:space="preserve"> </w:t>
      </w:r>
      <w:r>
        <w:t>the</w:t>
      </w:r>
      <w:r>
        <w:rPr>
          <w:spacing w:val="-3"/>
        </w:rPr>
        <w:t xml:space="preserve"> </w:t>
      </w:r>
      <w:r>
        <w:t>Code</w:t>
      </w:r>
      <w:r>
        <w:rPr>
          <w:spacing w:val="-3"/>
        </w:rPr>
        <w:t xml:space="preserve"> </w:t>
      </w:r>
      <w:r>
        <w:t>of</w:t>
      </w:r>
      <w:r>
        <w:rPr>
          <w:spacing w:val="-3"/>
        </w:rPr>
        <w:t xml:space="preserve"> </w:t>
      </w:r>
      <w:r>
        <w:t>Conduct,</w:t>
      </w:r>
      <w:r>
        <w:rPr>
          <w:spacing w:val="-3"/>
        </w:rPr>
        <w:t xml:space="preserve"> </w:t>
      </w:r>
      <w:r>
        <w:t>bullying</w:t>
      </w:r>
      <w:r>
        <w:rPr>
          <w:spacing w:val="-3"/>
        </w:rPr>
        <w:t xml:space="preserve"> </w:t>
      </w:r>
      <w:r>
        <w:t>and</w:t>
      </w:r>
      <w:r>
        <w:rPr>
          <w:spacing w:val="-3"/>
        </w:rPr>
        <w:t xml:space="preserve"> </w:t>
      </w:r>
      <w:r>
        <w:t>sexual</w:t>
      </w:r>
      <w:r>
        <w:rPr>
          <w:spacing w:val="-3"/>
        </w:rPr>
        <w:t xml:space="preserve"> </w:t>
      </w:r>
      <w:r>
        <w:t>harassment</w:t>
      </w:r>
      <w:r>
        <w:rPr>
          <w:spacing w:val="-3"/>
        </w:rPr>
        <w:t xml:space="preserve"> </w:t>
      </w:r>
      <w:r>
        <w:t>awareness</w:t>
      </w:r>
      <w:r>
        <w:rPr>
          <w:spacing w:val="-3"/>
        </w:rPr>
        <w:t xml:space="preserve"> </w:t>
      </w:r>
      <w:r>
        <w:t>training,</w:t>
      </w:r>
      <w:r>
        <w:rPr>
          <w:spacing w:val="-3"/>
        </w:rPr>
        <w:t xml:space="preserve"> </w:t>
      </w:r>
      <w:r>
        <w:t>wellbeing</w:t>
      </w:r>
      <w:r>
        <w:rPr>
          <w:spacing w:val="-3"/>
        </w:rPr>
        <w:t xml:space="preserve"> </w:t>
      </w:r>
      <w:r>
        <w:t>and cultural on-boarding. QLS undertook training of the Code of Conduct of QLS staff and approximately 121 staff completed the training and assessment.</w:t>
      </w:r>
    </w:p>
    <w:p w14:paraId="0BC6E998" w14:textId="77777777" w:rsidR="00AC6F3C" w:rsidRDefault="00AC6F3C">
      <w:pPr>
        <w:spacing w:line="249" w:lineRule="auto"/>
        <w:sectPr w:rsidR="00AC6F3C">
          <w:headerReference w:type="default" r:id="rId200"/>
          <w:footerReference w:type="default" r:id="rId201"/>
          <w:pgSz w:w="11910" w:h="16840"/>
          <w:pgMar w:top="1140" w:right="1160" w:bottom="520" w:left="460" w:header="0" w:footer="336" w:gutter="0"/>
          <w:cols w:space="720"/>
        </w:sectPr>
      </w:pPr>
    </w:p>
    <w:p w14:paraId="68FC3678" w14:textId="77777777" w:rsidR="00AC6F3C" w:rsidRDefault="00570E88">
      <w:pPr>
        <w:pStyle w:val="BodyText"/>
        <w:spacing w:before="76" w:line="249" w:lineRule="auto"/>
        <w:ind w:left="815" w:right="326"/>
        <w:jc w:val="both"/>
      </w:pPr>
      <w:r>
        <w:lastRenderedPageBreak/>
        <w:t>Complementing</w:t>
      </w:r>
      <w:r>
        <w:rPr>
          <w:spacing w:val="-4"/>
        </w:rPr>
        <w:t xml:space="preserve"> </w:t>
      </w:r>
      <w:r>
        <w:t>the</w:t>
      </w:r>
      <w:r>
        <w:rPr>
          <w:spacing w:val="-4"/>
        </w:rPr>
        <w:t xml:space="preserve"> </w:t>
      </w:r>
      <w:r>
        <w:t>Code</w:t>
      </w:r>
      <w:r>
        <w:rPr>
          <w:spacing w:val="-4"/>
        </w:rPr>
        <w:t xml:space="preserve"> </w:t>
      </w:r>
      <w:r>
        <w:t>of</w:t>
      </w:r>
      <w:r>
        <w:rPr>
          <w:spacing w:val="-4"/>
        </w:rPr>
        <w:t xml:space="preserve"> </w:t>
      </w:r>
      <w:r>
        <w:t>Conduct,</w:t>
      </w:r>
      <w:r>
        <w:rPr>
          <w:spacing w:val="-4"/>
        </w:rPr>
        <w:t xml:space="preserve"> </w:t>
      </w:r>
      <w:r>
        <w:t>is</w:t>
      </w:r>
      <w:r>
        <w:rPr>
          <w:spacing w:val="-4"/>
        </w:rPr>
        <w:t xml:space="preserve"> </w:t>
      </w:r>
      <w:r>
        <w:t>QLS’s</w:t>
      </w:r>
      <w:r>
        <w:rPr>
          <w:spacing w:val="-4"/>
        </w:rPr>
        <w:t xml:space="preserve"> </w:t>
      </w:r>
      <w:r>
        <w:t>Gift</w:t>
      </w:r>
      <w:r>
        <w:rPr>
          <w:spacing w:val="-4"/>
        </w:rPr>
        <w:t xml:space="preserve"> </w:t>
      </w:r>
      <w:r>
        <w:t>Policy</w:t>
      </w:r>
      <w:r>
        <w:rPr>
          <w:spacing w:val="-4"/>
        </w:rPr>
        <w:t xml:space="preserve"> </w:t>
      </w:r>
      <w:r>
        <w:t>and</w:t>
      </w:r>
      <w:r>
        <w:rPr>
          <w:spacing w:val="-4"/>
        </w:rPr>
        <w:t xml:space="preserve"> </w:t>
      </w:r>
      <w:r>
        <w:t>Public</w:t>
      </w:r>
      <w:r>
        <w:rPr>
          <w:spacing w:val="-4"/>
        </w:rPr>
        <w:t xml:space="preserve"> </w:t>
      </w:r>
      <w:r>
        <w:t>Interest</w:t>
      </w:r>
      <w:r>
        <w:rPr>
          <w:spacing w:val="-4"/>
        </w:rPr>
        <w:t xml:space="preserve"> </w:t>
      </w:r>
      <w:r>
        <w:t>Disclosure</w:t>
      </w:r>
      <w:r>
        <w:rPr>
          <w:spacing w:val="-4"/>
        </w:rPr>
        <w:t xml:space="preserve"> </w:t>
      </w:r>
      <w:r>
        <w:t>(PID)</w:t>
      </w:r>
      <w:r>
        <w:rPr>
          <w:spacing w:val="-4"/>
        </w:rPr>
        <w:t xml:space="preserve"> </w:t>
      </w:r>
      <w:r>
        <w:t>policy,</w:t>
      </w:r>
      <w:r>
        <w:rPr>
          <w:spacing w:val="-4"/>
        </w:rPr>
        <w:t xml:space="preserve"> </w:t>
      </w:r>
      <w:r>
        <w:t>in which</w:t>
      </w:r>
      <w:r>
        <w:rPr>
          <w:spacing w:val="-3"/>
        </w:rPr>
        <w:t xml:space="preserve"> </w:t>
      </w:r>
      <w:r>
        <w:t>QLS</w:t>
      </w:r>
      <w:r>
        <w:rPr>
          <w:spacing w:val="-3"/>
        </w:rPr>
        <w:t xml:space="preserve"> </w:t>
      </w:r>
      <w:r>
        <w:t>staff,</w:t>
      </w:r>
      <w:r>
        <w:rPr>
          <w:spacing w:val="-3"/>
        </w:rPr>
        <w:t xml:space="preserve"> </w:t>
      </w:r>
      <w:r>
        <w:t>Councillors</w:t>
      </w:r>
      <w:r>
        <w:rPr>
          <w:spacing w:val="-3"/>
        </w:rPr>
        <w:t xml:space="preserve"> </w:t>
      </w:r>
      <w:r>
        <w:t>and</w:t>
      </w:r>
      <w:r>
        <w:rPr>
          <w:spacing w:val="-3"/>
        </w:rPr>
        <w:t xml:space="preserve"> </w:t>
      </w:r>
      <w:r>
        <w:t>stakeholders</w:t>
      </w:r>
      <w:r>
        <w:rPr>
          <w:spacing w:val="-3"/>
        </w:rPr>
        <w:t xml:space="preserve"> </w:t>
      </w:r>
      <w:r>
        <w:t>are</w:t>
      </w:r>
      <w:r>
        <w:rPr>
          <w:spacing w:val="-3"/>
        </w:rPr>
        <w:t xml:space="preserve"> </w:t>
      </w:r>
      <w:r>
        <w:t>asked</w:t>
      </w:r>
      <w:r>
        <w:rPr>
          <w:spacing w:val="-3"/>
        </w:rPr>
        <w:t xml:space="preserve"> </w:t>
      </w:r>
      <w:r>
        <w:t>to</w:t>
      </w:r>
      <w:r>
        <w:rPr>
          <w:spacing w:val="-3"/>
        </w:rPr>
        <w:t xml:space="preserve"> </w:t>
      </w:r>
      <w:r>
        <w:t>report</w:t>
      </w:r>
      <w:r>
        <w:rPr>
          <w:spacing w:val="-3"/>
        </w:rPr>
        <w:t xml:space="preserve"> </w:t>
      </w:r>
      <w:r>
        <w:t>any</w:t>
      </w:r>
      <w:r>
        <w:rPr>
          <w:spacing w:val="-3"/>
        </w:rPr>
        <w:t xml:space="preserve"> </w:t>
      </w:r>
      <w:r>
        <w:t>disclosures</w:t>
      </w:r>
      <w:r>
        <w:rPr>
          <w:spacing w:val="-3"/>
        </w:rPr>
        <w:t xml:space="preserve"> </w:t>
      </w:r>
      <w:r>
        <w:t>and</w:t>
      </w:r>
      <w:r>
        <w:rPr>
          <w:spacing w:val="-3"/>
        </w:rPr>
        <w:t xml:space="preserve"> </w:t>
      </w:r>
      <w:r>
        <w:t>for</w:t>
      </w:r>
      <w:r>
        <w:rPr>
          <w:spacing w:val="-3"/>
        </w:rPr>
        <w:t xml:space="preserve"> </w:t>
      </w:r>
      <w:r>
        <w:t>the</w:t>
      </w:r>
      <w:r>
        <w:rPr>
          <w:spacing w:val="-3"/>
        </w:rPr>
        <w:t xml:space="preserve"> </w:t>
      </w:r>
      <w:r>
        <w:t>latter,</w:t>
      </w:r>
      <w:r>
        <w:rPr>
          <w:spacing w:val="-3"/>
        </w:rPr>
        <w:t xml:space="preserve"> </w:t>
      </w:r>
      <w:r>
        <w:t>the FRC and Council are updated on any reported PIDs.</w:t>
      </w:r>
    </w:p>
    <w:p w14:paraId="2EC29A06" w14:textId="77777777" w:rsidR="00AC6F3C" w:rsidRDefault="00570E88">
      <w:pPr>
        <w:pStyle w:val="BodyText"/>
        <w:spacing w:before="172" w:line="249" w:lineRule="auto"/>
        <w:ind w:left="815"/>
      </w:pPr>
      <w:r>
        <w:t>Our</w:t>
      </w:r>
      <w:r>
        <w:rPr>
          <w:spacing w:val="-3"/>
        </w:rPr>
        <w:t xml:space="preserve"> </w:t>
      </w:r>
      <w:r>
        <w:t>staff</w:t>
      </w:r>
      <w:r>
        <w:rPr>
          <w:spacing w:val="-3"/>
        </w:rPr>
        <w:t xml:space="preserve"> </w:t>
      </w:r>
      <w:r>
        <w:t>values</w:t>
      </w:r>
      <w:r>
        <w:rPr>
          <w:spacing w:val="-3"/>
        </w:rPr>
        <w:t xml:space="preserve"> </w:t>
      </w:r>
      <w:r>
        <w:t>of</w:t>
      </w:r>
      <w:r>
        <w:rPr>
          <w:spacing w:val="-3"/>
        </w:rPr>
        <w:t xml:space="preserve"> </w:t>
      </w:r>
      <w:r>
        <w:t>respect,</w:t>
      </w:r>
      <w:r>
        <w:rPr>
          <w:spacing w:val="-3"/>
        </w:rPr>
        <w:t xml:space="preserve"> </w:t>
      </w:r>
      <w:r>
        <w:t>integrity</w:t>
      </w:r>
      <w:r>
        <w:rPr>
          <w:spacing w:val="-3"/>
        </w:rPr>
        <w:t xml:space="preserve"> </w:t>
      </w:r>
      <w:r>
        <w:t>and</w:t>
      </w:r>
      <w:r>
        <w:rPr>
          <w:spacing w:val="-3"/>
        </w:rPr>
        <w:t xml:space="preserve"> </w:t>
      </w:r>
      <w:r>
        <w:t>service</w:t>
      </w:r>
      <w:r>
        <w:rPr>
          <w:spacing w:val="-3"/>
        </w:rPr>
        <w:t xml:space="preserve"> </w:t>
      </w:r>
      <w:r>
        <w:t>are</w:t>
      </w:r>
      <w:r>
        <w:rPr>
          <w:spacing w:val="-3"/>
        </w:rPr>
        <w:t xml:space="preserve"> </w:t>
      </w:r>
      <w:r>
        <w:t>reinforced</w:t>
      </w:r>
      <w:r>
        <w:rPr>
          <w:spacing w:val="-3"/>
        </w:rPr>
        <w:t xml:space="preserve"> </w:t>
      </w:r>
      <w:r>
        <w:t>in</w:t>
      </w:r>
      <w:r>
        <w:rPr>
          <w:spacing w:val="-3"/>
        </w:rPr>
        <w:t xml:space="preserve"> </w:t>
      </w:r>
      <w:r>
        <w:t>our</w:t>
      </w:r>
      <w:r>
        <w:rPr>
          <w:spacing w:val="-3"/>
        </w:rPr>
        <w:t xml:space="preserve"> </w:t>
      </w:r>
      <w:r>
        <w:t>people</w:t>
      </w:r>
      <w:r>
        <w:rPr>
          <w:spacing w:val="-3"/>
        </w:rPr>
        <w:t xml:space="preserve"> </w:t>
      </w:r>
      <w:r>
        <w:t>and</w:t>
      </w:r>
      <w:r>
        <w:rPr>
          <w:spacing w:val="-3"/>
        </w:rPr>
        <w:t xml:space="preserve"> </w:t>
      </w:r>
      <w:r>
        <w:t>culture</w:t>
      </w:r>
      <w:r>
        <w:rPr>
          <w:spacing w:val="-3"/>
        </w:rPr>
        <w:t xml:space="preserve"> </w:t>
      </w:r>
      <w:r>
        <w:t>policies</w:t>
      </w:r>
      <w:r>
        <w:rPr>
          <w:spacing w:val="-3"/>
        </w:rPr>
        <w:t xml:space="preserve"> </w:t>
      </w:r>
      <w:r>
        <w:t>and procedures and staff awards as well as staff performance agreements.</w:t>
      </w:r>
    </w:p>
    <w:p w14:paraId="7A9B9864" w14:textId="77777777" w:rsidR="00AC6F3C" w:rsidRDefault="00AC6F3C">
      <w:pPr>
        <w:pStyle w:val="BodyText"/>
        <w:spacing w:before="1"/>
        <w:rPr>
          <w:sz w:val="31"/>
        </w:rPr>
      </w:pPr>
    </w:p>
    <w:p w14:paraId="3E3227B8" w14:textId="77777777" w:rsidR="00AC6F3C" w:rsidRDefault="00570E88">
      <w:pPr>
        <w:ind w:left="815"/>
        <w:rPr>
          <w:b/>
          <w:sz w:val="26"/>
        </w:rPr>
      </w:pPr>
      <w:r>
        <w:rPr>
          <w:b/>
          <w:sz w:val="26"/>
        </w:rPr>
        <w:t xml:space="preserve">Right to </w:t>
      </w:r>
      <w:r>
        <w:rPr>
          <w:b/>
          <w:spacing w:val="-2"/>
          <w:sz w:val="26"/>
        </w:rPr>
        <w:t>Information</w:t>
      </w:r>
    </w:p>
    <w:p w14:paraId="252A8D32" w14:textId="77777777" w:rsidR="00AC6F3C" w:rsidRDefault="00570E88">
      <w:pPr>
        <w:pStyle w:val="BodyText"/>
        <w:spacing w:before="167" w:line="249" w:lineRule="auto"/>
        <w:ind w:left="815" w:right="234"/>
      </w:pPr>
      <w:r>
        <w:t>The</w:t>
      </w:r>
      <w:r>
        <w:rPr>
          <w:spacing w:val="-6"/>
        </w:rPr>
        <w:t xml:space="preserve"> </w:t>
      </w:r>
      <w:r>
        <w:rPr>
          <w:i/>
        </w:rPr>
        <w:t>Right</w:t>
      </w:r>
      <w:r>
        <w:rPr>
          <w:i/>
          <w:spacing w:val="-6"/>
        </w:rPr>
        <w:t xml:space="preserve"> </w:t>
      </w:r>
      <w:r>
        <w:rPr>
          <w:i/>
        </w:rPr>
        <w:t>to</w:t>
      </w:r>
      <w:r>
        <w:rPr>
          <w:i/>
          <w:spacing w:val="-6"/>
        </w:rPr>
        <w:t xml:space="preserve"> </w:t>
      </w:r>
      <w:r>
        <w:rPr>
          <w:i/>
        </w:rPr>
        <w:t>Information</w:t>
      </w:r>
      <w:r>
        <w:rPr>
          <w:i/>
          <w:spacing w:val="-13"/>
        </w:rPr>
        <w:t xml:space="preserve"> </w:t>
      </w:r>
      <w:r>
        <w:rPr>
          <w:i/>
        </w:rPr>
        <w:t>Act</w:t>
      </w:r>
      <w:r>
        <w:rPr>
          <w:i/>
          <w:spacing w:val="-6"/>
        </w:rPr>
        <w:t xml:space="preserve"> </w:t>
      </w:r>
      <w:r>
        <w:rPr>
          <w:i/>
        </w:rPr>
        <w:t>2009</w:t>
      </w:r>
      <w:r>
        <w:rPr>
          <w:i/>
          <w:spacing w:val="-6"/>
        </w:rPr>
        <w:t xml:space="preserve"> </w:t>
      </w:r>
      <w:r>
        <w:t>(RTI)</w:t>
      </w:r>
      <w:r>
        <w:rPr>
          <w:spacing w:val="-6"/>
        </w:rPr>
        <w:t xml:space="preserve"> </w:t>
      </w:r>
      <w:r>
        <w:t>allows</w:t>
      </w:r>
      <w:r>
        <w:rPr>
          <w:spacing w:val="-6"/>
        </w:rPr>
        <w:t xml:space="preserve"> </w:t>
      </w:r>
      <w:r>
        <w:t>members</w:t>
      </w:r>
      <w:r>
        <w:rPr>
          <w:spacing w:val="-6"/>
        </w:rPr>
        <w:t xml:space="preserve"> </w:t>
      </w:r>
      <w:r>
        <w:t>of</w:t>
      </w:r>
      <w:r>
        <w:rPr>
          <w:spacing w:val="-6"/>
        </w:rPr>
        <w:t xml:space="preserve"> </w:t>
      </w:r>
      <w:r>
        <w:t>the</w:t>
      </w:r>
      <w:r>
        <w:rPr>
          <w:spacing w:val="-6"/>
        </w:rPr>
        <w:t xml:space="preserve"> </w:t>
      </w:r>
      <w:r>
        <w:t>public</w:t>
      </w:r>
      <w:r>
        <w:rPr>
          <w:spacing w:val="-6"/>
        </w:rPr>
        <w:t xml:space="preserve"> </w:t>
      </w:r>
      <w:r>
        <w:t>access</w:t>
      </w:r>
      <w:r>
        <w:rPr>
          <w:spacing w:val="-6"/>
        </w:rPr>
        <w:t xml:space="preserve"> </w:t>
      </w:r>
      <w:r>
        <w:t>to</w:t>
      </w:r>
      <w:r>
        <w:rPr>
          <w:spacing w:val="-6"/>
        </w:rPr>
        <w:t xml:space="preserve"> </w:t>
      </w:r>
      <w:r>
        <w:t>certain</w:t>
      </w:r>
      <w:r>
        <w:rPr>
          <w:spacing w:val="-6"/>
        </w:rPr>
        <w:t xml:space="preserve"> </w:t>
      </w:r>
      <w:r>
        <w:t xml:space="preserve">information </w:t>
      </w:r>
      <w:r>
        <w:rPr>
          <w:spacing w:val="-2"/>
        </w:rPr>
        <w:t>controlled</w:t>
      </w:r>
      <w:r>
        <w:rPr>
          <w:spacing w:val="-5"/>
        </w:rPr>
        <w:t xml:space="preserve"> </w:t>
      </w:r>
      <w:r>
        <w:rPr>
          <w:spacing w:val="-2"/>
        </w:rPr>
        <w:t>by</w:t>
      </w:r>
      <w:r>
        <w:rPr>
          <w:spacing w:val="-5"/>
        </w:rPr>
        <w:t xml:space="preserve"> </w:t>
      </w:r>
      <w:r>
        <w:rPr>
          <w:spacing w:val="-2"/>
        </w:rPr>
        <w:t>government</w:t>
      </w:r>
      <w:r>
        <w:rPr>
          <w:spacing w:val="-5"/>
        </w:rPr>
        <w:t xml:space="preserve"> </w:t>
      </w:r>
      <w:r>
        <w:rPr>
          <w:spacing w:val="-2"/>
        </w:rPr>
        <w:t>and</w:t>
      </w:r>
      <w:r>
        <w:rPr>
          <w:spacing w:val="-5"/>
        </w:rPr>
        <w:t xml:space="preserve"> </w:t>
      </w:r>
      <w:r>
        <w:rPr>
          <w:spacing w:val="-2"/>
        </w:rPr>
        <w:t>government</w:t>
      </w:r>
      <w:r>
        <w:rPr>
          <w:spacing w:val="-5"/>
        </w:rPr>
        <w:t xml:space="preserve"> </w:t>
      </w:r>
      <w:r>
        <w:rPr>
          <w:spacing w:val="-2"/>
        </w:rPr>
        <w:t>agencies.</w:t>
      </w:r>
      <w:r>
        <w:rPr>
          <w:spacing w:val="-5"/>
        </w:rPr>
        <w:t xml:space="preserve"> </w:t>
      </w:r>
      <w:r>
        <w:rPr>
          <w:spacing w:val="-2"/>
        </w:rPr>
        <w:t>QLS</w:t>
      </w:r>
      <w:r>
        <w:rPr>
          <w:spacing w:val="-5"/>
        </w:rPr>
        <w:t xml:space="preserve"> </w:t>
      </w:r>
      <w:r>
        <w:rPr>
          <w:spacing w:val="-2"/>
        </w:rPr>
        <w:t>supports</w:t>
      </w:r>
      <w:r>
        <w:rPr>
          <w:spacing w:val="-5"/>
        </w:rPr>
        <w:t xml:space="preserve"> </w:t>
      </w:r>
      <w:r>
        <w:rPr>
          <w:spacing w:val="-2"/>
        </w:rPr>
        <w:t>RTI</w:t>
      </w:r>
      <w:r>
        <w:rPr>
          <w:spacing w:val="-5"/>
        </w:rPr>
        <w:t xml:space="preserve"> </w:t>
      </w:r>
      <w:r>
        <w:rPr>
          <w:spacing w:val="-2"/>
        </w:rPr>
        <w:t>principles</w:t>
      </w:r>
      <w:r>
        <w:rPr>
          <w:spacing w:val="-5"/>
        </w:rPr>
        <w:t xml:space="preserve"> </w:t>
      </w:r>
      <w:r>
        <w:rPr>
          <w:spacing w:val="-2"/>
        </w:rPr>
        <w:t>by</w:t>
      </w:r>
      <w:r>
        <w:rPr>
          <w:spacing w:val="-5"/>
        </w:rPr>
        <w:t xml:space="preserve"> </w:t>
      </w:r>
      <w:r>
        <w:rPr>
          <w:spacing w:val="-2"/>
        </w:rPr>
        <w:t>operating</w:t>
      </w:r>
      <w:r>
        <w:rPr>
          <w:spacing w:val="-5"/>
        </w:rPr>
        <w:t xml:space="preserve"> </w:t>
      </w:r>
      <w:r>
        <w:rPr>
          <w:spacing w:val="-2"/>
        </w:rPr>
        <w:t>in</w:t>
      </w:r>
      <w:r>
        <w:rPr>
          <w:spacing w:val="-5"/>
        </w:rPr>
        <w:t xml:space="preserve"> </w:t>
      </w:r>
      <w:r>
        <w:rPr>
          <w:spacing w:val="-2"/>
        </w:rPr>
        <w:t>an</w:t>
      </w:r>
      <w:r>
        <w:rPr>
          <w:spacing w:val="-5"/>
        </w:rPr>
        <w:t xml:space="preserve"> </w:t>
      </w:r>
      <w:r>
        <w:rPr>
          <w:spacing w:val="-2"/>
        </w:rPr>
        <w:t xml:space="preserve">open, </w:t>
      </w:r>
      <w:r>
        <w:t>transparent</w:t>
      </w:r>
      <w:r>
        <w:rPr>
          <w:spacing w:val="-7"/>
        </w:rPr>
        <w:t xml:space="preserve"> </w:t>
      </w:r>
      <w:r>
        <w:t>and</w:t>
      </w:r>
      <w:r>
        <w:rPr>
          <w:spacing w:val="-7"/>
        </w:rPr>
        <w:t xml:space="preserve"> </w:t>
      </w:r>
      <w:r>
        <w:t>accountable</w:t>
      </w:r>
      <w:r>
        <w:rPr>
          <w:spacing w:val="-7"/>
        </w:rPr>
        <w:t xml:space="preserve"> </w:t>
      </w:r>
      <w:r>
        <w:t>manner,</w:t>
      </w:r>
      <w:r>
        <w:rPr>
          <w:spacing w:val="-7"/>
        </w:rPr>
        <w:t xml:space="preserve"> </w:t>
      </w:r>
      <w:r>
        <w:t>while</w:t>
      </w:r>
      <w:r>
        <w:rPr>
          <w:spacing w:val="-7"/>
        </w:rPr>
        <w:t xml:space="preserve"> </w:t>
      </w:r>
      <w:proofErr w:type="spellStart"/>
      <w:r>
        <w:t>endeavouring</w:t>
      </w:r>
      <w:proofErr w:type="spellEnd"/>
      <w:r>
        <w:rPr>
          <w:spacing w:val="-7"/>
        </w:rPr>
        <w:t xml:space="preserve"> </w:t>
      </w:r>
      <w:r>
        <w:t>to</w:t>
      </w:r>
      <w:r>
        <w:rPr>
          <w:spacing w:val="-7"/>
        </w:rPr>
        <w:t xml:space="preserve"> </w:t>
      </w:r>
      <w:r>
        <w:t>protect</w:t>
      </w:r>
      <w:r>
        <w:rPr>
          <w:spacing w:val="-7"/>
        </w:rPr>
        <w:t xml:space="preserve"> </w:t>
      </w:r>
      <w:r>
        <w:t>the</w:t>
      </w:r>
      <w:r>
        <w:rPr>
          <w:spacing w:val="-7"/>
        </w:rPr>
        <w:t xml:space="preserve"> </w:t>
      </w:r>
      <w:r>
        <w:t>privacy</w:t>
      </w:r>
      <w:r>
        <w:rPr>
          <w:spacing w:val="-7"/>
        </w:rPr>
        <w:t xml:space="preserve"> </w:t>
      </w:r>
      <w:r>
        <w:t>of</w:t>
      </w:r>
      <w:r>
        <w:rPr>
          <w:spacing w:val="-7"/>
        </w:rPr>
        <w:t xml:space="preserve"> </w:t>
      </w:r>
      <w:r>
        <w:t>members,</w:t>
      </w:r>
      <w:r>
        <w:rPr>
          <w:spacing w:val="-7"/>
        </w:rPr>
        <w:t xml:space="preserve"> </w:t>
      </w:r>
      <w:r>
        <w:t>the</w:t>
      </w:r>
      <w:r>
        <w:rPr>
          <w:spacing w:val="-7"/>
        </w:rPr>
        <w:t xml:space="preserve"> </w:t>
      </w:r>
      <w:r>
        <w:t>public and</w:t>
      </w:r>
      <w:r>
        <w:rPr>
          <w:spacing w:val="-4"/>
        </w:rPr>
        <w:t xml:space="preserve"> </w:t>
      </w:r>
      <w:r>
        <w:t>staff.</w:t>
      </w:r>
      <w:r>
        <w:rPr>
          <w:spacing w:val="-4"/>
        </w:rPr>
        <w:t xml:space="preserve"> </w:t>
      </w:r>
      <w:r>
        <w:t>QLS</w:t>
      </w:r>
      <w:r>
        <w:rPr>
          <w:spacing w:val="-4"/>
        </w:rPr>
        <w:t xml:space="preserve"> </w:t>
      </w:r>
      <w:r>
        <w:t>is</w:t>
      </w:r>
      <w:r>
        <w:rPr>
          <w:spacing w:val="-4"/>
        </w:rPr>
        <w:t xml:space="preserve"> </w:t>
      </w:r>
      <w:r>
        <w:t>required</w:t>
      </w:r>
      <w:r>
        <w:rPr>
          <w:spacing w:val="-4"/>
        </w:rPr>
        <w:t xml:space="preserve"> </w:t>
      </w:r>
      <w:r>
        <w:t>to</w:t>
      </w:r>
      <w:r>
        <w:rPr>
          <w:spacing w:val="-4"/>
        </w:rPr>
        <w:t xml:space="preserve"> </w:t>
      </w:r>
      <w:r>
        <w:t>report</w:t>
      </w:r>
      <w:r>
        <w:rPr>
          <w:spacing w:val="-4"/>
        </w:rPr>
        <w:t xml:space="preserve"> </w:t>
      </w:r>
      <w:r>
        <w:t>the</w:t>
      </w:r>
      <w:r>
        <w:rPr>
          <w:spacing w:val="-4"/>
        </w:rPr>
        <w:t xml:space="preserve"> </w:t>
      </w:r>
      <w:r>
        <w:t>number</w:t>
      </w:r>
      <w:r>
        <w:rPr>
          <w:spacing w:val="-4"/>
        </w:rPr>
        <w:t xml:space="preserve"> </w:t>
      </w:r>
      <w:r>
        <w:t>of</w:t>
      </w:r>
      <w:r>
        <w:rPr>
          <w:spacing w:val="-4"/>
        </w:rPr>
        <w:t xml:space="preserve"> </w:t>
      </w:r>
      <w:r>
        <w:t>applications</w:t>
      </w:r>
      <w:r>
        <w:rPr>
          <w:spacing w:val="-4"/>
        </w:rPr>
        <w:t xml:space="preserve"> </w:t>
      </w:r>
      <w:r>
        <w:t>made</w:t>
      </w:r>
      <w:r>
        <w:rPr>
          <w:spacing w:val="-4"/>
        </w:rPr>
        <w:t xml:space="preserve"> </w:t>
      </w:r>
      <w:r>
        <w:t>to</w:t>
      </w:r>
      <w:r>
        <w:rPr>
          <w:spacing w:val="-4"/>
        </w:rPr>
        <w:t xml:space="preserve"> </w:t>
      </w:r>
      <w:r>
        <w:t>it</w:t>
      </w:r>
      <w:r>
        <w:rPr>
          <w:spacing w:val="-4"/>
        </w:rPr>
        <w:t xml:space="preserve"> </w:t>
      </w:r>
      <w:r>
        <w:t>for</w:t>
      </w:r>
      <w:r>
        <w:rPr>
          <w:spacing w:val="-4"/>
        </w:rPr>
        <w:t xml:space="preserve"> </w:t>
      </w:r>
      <w:r>
        <w:t>access</w:t>
      </w:r>
      <w:r>
        <w:rPr>
          <w:spacing w:val="-4"/>
        </w:rPr>
        <w:t xml:space="preserve"> </w:t>
      </w:r>
      <w:r>
        <w:t>to</w:t>
      </w:r>
      <w:r>
        <w:rPr>
          <w:spacing w:val="-4"/>
        </w:rPr>
        <w:t xml:space="preserve"> </w:t>
      </w:r>
      <w:r>
        <w:t>documents</w:t>
      </w:r>
      <w:r>
        <w:rPr>
          <w:spacing w:val="-4"/>
        </w:rPr>
        <w:t xml:space="preserve"> </w:t>
      </w:r>
      <w:r>
        <w:t xml:space="preserve">under </w:t>
      </w:r>
      <w:r>
        <w:rPr>
          <w:spacing w:val="-2"/>
        </w:rPr>
        <w:t>the</w:t>
      </w:r>
      <w:r>
        <w:rPr>
          <w:spacing w:val="-4"/>
        </w:rPr>
        <w:t xml:space="preserve"> </w:t>
      </w:r>
      <w:r>
        <w:rPr>
          <w:spacing w:val="-2"/>
        </w:rPr>
        <w:t>RTI</w:t>
      </w:r>
      <w:r>
        <w:rPr>
          <w:spacing w:val="-15"/>
        </w:rPr>
        <w:t xml:space="preserve"> </w:t>
      </w:r>
      <w:r>
        <w:rPr>
          <w:spacing w:val="-2"/>
        </w:rPr>
        <w:t>Act</w:t>
      </w:r>
      <w:r>
        <w:rPr>
          <w:spacing w:val="-4"/>
        </w:rPr>
        <w:t xml:space="preserve"> </w:t>
      </w:r>
      <w:r>
        <w:rPr>
          <w:spacing w:val="-2"/>
        </w:rPr>
        <w:t>and</w:t>
      </w:r>
      <w:r>
        <w:rPr>
          <w:spacing w:val="-4"/>
        </w:rPr>
        <w:t xml:space="preserve"> </w:t>
      </w:r>
      <w:r>
        <w:rPr>
          <w:spacing w:val="-2"/>
        </w:rPr>
        <w:t>submits</w:t>
      </w:r>
      <w:r>
        <w:rPr>
          <w:spacing w:val="-4"/>
        </w:rPr>
        <w:t xml:space="preserve"> </w:t>
      </w:r>
      <w:r>
        <w:rPr>
          <w:spacing w:val="-2"/>
        </w:rPr>
        <w:t>these</w:t>
      </w:r>
      <w:r>
        <w:rPr>
          <w:spacing w:val="-4"/>
        </w:rPr>
        <w:t xml:space="preserve"> </w:t>
      </w:r>
      <w:r>
        <w:rPr>
          <w:spacing w:val="-2"/>
        </w:rPr>
        <w:t>figures</w:t>
      </w:r>
      <w:r>
        <w:rPr>
          <w:spacing w:val="-4"/>
        </w:rPr>
        <w:t xml:space="preserve"> </w:t>
      </w:r>
      <w:r>
        <w:rPr>
          <w:spacing w:val="-2"/>
        </w:rPr>
        <w:t>to</w:t>
      </w:r>
      <w:r>
        <w:rPr>
          <w:spacing w:val="-4"/>
        </w:rPr>
        <w:t xml:space="preserve"> </w:t>
      </w:r>
      <w:r>
        <w:rPr>
          <w:spacing w:val="-2"/>
        </w:rPr>
        <w:t>the</w:t>
      </w:r>
      <w:r>
        <w:rPr>
          <w:spacing w:val="-4"/>
        </w:rPr>
        <w:t xml:space="preserve"> </w:t>
      </w:r>
      <w:r>
        <w:rPr>
          <w:spacing w:val="-2"/>
        </w:rPr>
        <w:t>Department</w:t>
      </w:r>
      <w:r>
        <w:rPr>
          <w:spacing w:val="-4"/>
        </w:rPr>
        <w:t xml:space="preserve"> </w:t>
      </w:r>
      <w:r>
        <w:rPr>
          <w:spacing w:val="-2"/>
        </w:rPr>
        <w:t>of</w:t>
      </w:r>
      <w:r>
        <w:rPr>
          <w:spacing w:val="-4"/>
        </w:rPr>
        <w:t xml:space="preserve"> </w:t>
      </w:r>
      <w:r>
        <w:rPr>
          <w:spacing w:val="-2"/>
        </w:rPr>
        <w:t>Justice</w:t>
      </w:r>
      <w:r>
        <w:rPr>
          <w:spacing w:val="-4"/>
        </w:rPr>
        <w:t xml:space="preserve"> </w:t>
      </w:r>
      <w:r>
        <w:rPr>
          <w:spacing w:val="-2"/>
        </w:rPr>
        <w:t>and</w:t>
      </w:r>
      <w:r>
        <w:rPr>
          <w:spacing w:val="-16"/>
        </w:rPr>
        <w:t xml:space="preserve"> </w:t>
      </w:r>
      <w:r>
        <w:rPr>
          <w:spacing w:val="-2"/>
        </w:rPr>
        <w:t>Attorney-General</w:t>
      </w:r>
      <w:r>
        <w:rPr>
          <w:spacing w:val="-4"/>
        </w:rPr>
        <w:t xml:space="preserve"> </w:t>
      </w:r>
      <w:r>
        <w:rPr>
          <w:spacing w:val="-2"/>
        </w:rPr>
        <w:t>for</w:t>
      </w:r>
      <w:r>
        <w:rPr>
          <w:spacing w:val="-4"/>
        </w:rPr>
        <w:t xml:space="preserve"> </w:t>
      </w:r>
      <w:r>
        <w:rPr>
          <w:spacing w:val="-2"/>
        </w:rPr>
        <w:t>inclusion</w:t>
      </w:r>
      <w:r>
        <w:rPr>
          <w:spacing w:val="-4"/>
        </w:rPr>
        <w:t xml:space="preserve"> </w:t>
      </w:r>
      <w:r>
        <w:rPr>
          <w:spacing w:val="-2"/>
        </w:rPr>
        <w:t>in</w:t>
      </w:r>
      <w:r>
        <w:rPr>
          <w:spacing w:val="-4"/>
        </w:rPr>
        <w:t xml:space="preserve"> </w:t>
      </w:r>
      <w:r>
        <w:rPr>
          <w:spacing w:val="-2"/>
        </w:rPr>
        <w:t xml:space="preserve">its </w:t>
      </w:r>
      <w:r>
        <w:t>Right</w:t>
      </w:r>
      <w:r>
        <w:rPr>
          <w:spacing w:val="-8"/>
        </w:rPr>
        <w:t xml:space="preserve"> </w:t>
      </w:r>
      <w:r>
        <w:t>to</w:t>
      </w:r>
      <w:r>
        <w:rPr>
          <w:spacing w:val="-7"/>
        </w:rPr>
        <w:t xml:space="preserve"> </w:t>
      </w:r>
      <w:r>
        <w:t>Information</w:t>
      </w:r>
      <w:r>
        <w:rPr>
          <w:spacing w:val="-7"/>
        </w:rPr>
        <w:t xml:space="preserve"> </w:t>
      </w:r>
      <w:r>
        <w:t>and</w:t>
      </w:r>
      <w:r>
        <w:rPr>
          <w:spacing w:val="-7"/>
        </w:rPr>
        <w:t xml:space="preserve"> </w:t>
      </w:r>
      <w:r>
        <w:t>Information</w:t>
      </w:r>
      <w:r>
        <w:rPr>
          <w:spacing w:val="-7"/>
        </w:rPr>
        <w:t xml:space="preserve"> </w:t>
      </w:r>
      <w:r>
        <w:t>Privacy</w:t>
      </w:r>
      <w:r>
        <w:rPr>
          <w:spacing w:val="-16"/>
        </w:rPr>
        <w:t xml:space="preserve"> </w:t>
      </w:r>
      <w:r>
        <w:t>Annual</w:t>
      </w:r>
      <w:r>
        <w:rPr>
          <w:spacing w:val="-7"/>
        </w:rPr>
        <w:t xml:space="preserve"> </w:t>
      </w:r>
      <w:r>
        <w:t>Report.</w:t>
      </w:r>
      <w:r>
        <w:rPr>
          <w:spacing w:val="-11"/>
        </w:rPr>
        <w:t xml:space="preserve"> </w:t>
      </w:r>
      <w:r>
        <w:t>This</w:t>
      </w:r>
      <w:r>
        <w:rPr>
          <w:spacing w:val="-7"/>
        </w:rPr>
        <w:t xml:space="preserve"> </w:t>
      </w:r>
      <w:r>
        <w:t>report</w:t>
      </w:r>
      <w:r>
        <w:rPr>
          <w:spacing w:val="-7"/>
        </w:rPr>
        <w:t xml:space="preserve"> </w:t>
      </w:r>
      <w:r>
        <w:t>can</w:t>
      </w:r>
      <w:r>
        <w:rPr>
          <w:spacing w:val="-7"/>
        </w:rPr>
        <w:t xml:space="preserve"> </w:t>
      </w:r>
      <w:r>
        <w:t>be</w:t>
      </w:r>
      <w:r>
        <w:rPr>
          <w:spacing w:val="-7"/>
        </w:rPr>
        <w:t xml:space="preserve"> </w:t>
      </w:r>
      <w:r>
        <w:t>found</w:t>
      </w:r>
      <w:r>
        <w:rPr>
          <w:spacing w:val="-7"/>
        </w:rPr>
        <w:t xml:space="preserve"> </w:t>
      </w:r>
      <w:r>
        <w:t>on</w:t>
      </w:r>
      <w:r>
        <w:rPr>
          <w:spacing w:val="-7"/>
        </w:rPr>
        <w:t xml:space="preserve"> </w:t>
      </w:r>
      <w:r>
        <w:t>the</w:t>
      </w:r>
      <w:r>
        <w:rPr>
          <w:spacing w:val="-7"/>
        </w:rPr>
        <w:t xml:space="preserve"> </w:t>
      </w:r>
      <w:r>
        <w:t>Queensland RTI</w:t>
      </w:r>
      <w:r>
        <w:rPr>
          <w:spacing w:val="-14"/>
        </w:rPr>
        <w:t xml:space="preserve"> </w:t>
      </w:r>
      <w:r>
        <w:t>website.</w:t>
      </w:r>
      <w:r>
        <w:rPr>
          <w:spacing w:val="-14"/>
        </w:rPr>
        <w:t xml:space="preserve"> </w:t>
      </w:r>
      <w:r>
        <w:t>Our</w:t>
      </w:r>
      <w:r>
        <w:rPr>
          <w:spacing w:val="-14"/>
        </w:rPr>
        <w:t xml:space="preserve"> </w:t>
      </w:r>
      <w:r>
        <w:t>publication</w:t>
      </w:r>
      <w:r>
        <w:rPr>
          <w:spacing w:val="-14"/>
        </w:rPr>
        <w:t xml:space="preserve"> </w:t>
      </w:r>
      <w:r>
        <w:t>scheme</w:t>
      </w:r>
      <w:r>
        <w:rPr>
          <w:spacing w:val="-14"/>
        </w:rPr>
        <w:t xml:space="preserve"> </w:t>
      </w:r>
      <w:r>
        <w:t>is</w:t>
      </w:r>
      <w:r>
        <w:rPr>
          <w:spacing w:val="-14"/>
        </w:rPr>
        <w:t xml:space="preserve"> </w:t>
      </w:r>
      <w:r>
        <w:t>designed</w:t>
      </w:r>
      <w:r>
        <w:rPr>
          <w:spacing w:val="-14"/>
        </w:rPr>
        <w:t xml:space="preserve"> </w:t>
      </w:r>
      <w:r>
        <w:t>to</w:t>
      </w:r>
      <w:r>
        <w:rPr>
          <w:spacing w:val="-13"/>
        </w:rPr>
        <w:t xml:space="preserve"> </w:t>
      </w:r>
      <w:r>
        <w:t>release</w:t>
      </w:r>
      <w:r>
        <w:rPr>
          <w:spacing w:val="-14"/>
        </w:rPr>
        <w:t xml:space="preserve"> </w:t>
      </w:r>
      <w:r>
        <w:t>information</w:t>
      </w:r>
      <w:r>
        <w:rPr>
          <w:spacing w:val="-14"/>
        </w:rPr>
        <w:t xml:space="preserve"> </w:t>
      </w:r>
      <w:r>
        <w:t>we</w:t>
      </w:r>
      <w:r>
        <w:rPr>
          <w:spacing w:val="-14"/>
        </w:rPr>
        <w:t xml:space="preserve"> </w:t>
      </w:r>
      <w:r>
        <w:t>routinely</w:t>
      </w:r>
      <w:r>
        <w:rPr>
          <w:spacing w:val="-14"/>
        </w:rPr>
        <w:t xml:space="preserve"> </w:t>
      </w:r>
      <w:r>
        <w:t>make</w:t>
      </w:r>
      <w:r>
        <w:rPr>
          <w:spacing w:val="-14"/>
        </w:rPr>
        <w:t xml:space="preserve"> </w:t>
      </w:r>
      <w:r>
        <w:t>available</w:t>
      </w:r>
      <w:r>
        <w:rPr>
          <w:spacing w:val="-14"/>
        </w:rPr>
        <w:t xml:space="preserve"> </w:t>
      </w:r>
      <w:r>
        <w:t>to</w:t>
      </w:r>
      <w:r>
        <w:rPr>
          <w:spacing w:val="-14"/>
        </w:rPr>
        <w:t xml:space="preserve"> </w:t>
      </w:r>
      <w:r>
        <w:t>the public,</w:t>
      </w:r>
      <w:r>
        <w:rPr>
          <w:spacing w:val="-11"/>
        </w:rPr>
        <w:t xml:space="preserve"> </w:t>
      </w:r>
      <w:r>
        <w:t>without</w:t>
      </w:r>
      <w:r>
        <w:rPr>
          <w:spacing w:val="-7"/>
        </w:rPr>
        <w:t xml:space="preserve"> </w:t>
      </w:r>
      <w:r>
        <w:t>people</w:t>
      </w:r>
      <w:r>
        <w:rPr>
          <w:spacing w:val="-7"/>
        </w:rPr>
        <w:t xml:space="preserve"> </w:t>
      </w:r>
      <w:r>
        <w:t>having</w:t>
      </w:r>
      <w:r>
        <w:rPr>
          <w:spacing w:val="-7"/>
        </w:rPr>
        <w:t xml:space="preserve"> </w:t>
      </w:r>
      <w:r>
        <w:t>to</w:t>
      </w:r>
      <w:r>
        <w:rPr>
          <w:spacing w:val="-7"/>
        </w:rPr>
        <w:t xml:space="preserve"> </w:t>
      </w:r>
      <w:r>
        <w:t>apply</w:t>
      </w:r>
      <w:r>
        <w:rPr>
          <w:spacing w:val="-7"/>
        </w:rPr>
        <w:t xml:space="preserve"> </w:t>
      </w:r>
      <w:r>
        <w:t>through</w:t>
      </w:r>
      <w:r>
        <w:rPr>
          <w:spacing w:val="-7"/>
        </w:rPr>
        <w:t xml:space="preserve"> </w:t>
      </w:r>
      <w:r>
        <w:t>the</w:t>
      </w:r>
      <w:r>
        <w:rPr>
          <w:spacing w:val="-7"/>
        </w:rPr>
        <w:t xml:space="preserve"> </w:t>
      </w:r>
      <w:r>
        <w:t>formal</w:t>
      </w:r>
      <w:r>
        <w:rPr>
          <w:spacing w:val="-7"/>
        </w:rPr>
        <w:t xml:space="preserve"> </w:t>
      </w:r>
      <w:r>
        <w:t>RTI</w:t>
      </w:r>
      <w:r>
        <w:rPr>
          <w:spacing w:val="-16"/>
        </w:rPr>
        <w:t xml:space="preserve"> </w:t>
      </w:r>
      <w:r>
        <w:t>Act</w:t>
      </w:r>
      <w:r>
        <w:rPr>
          <w:spacing w:val="-7"/>
        </w:rPr>
        <w:t xml:space="preserve"> </w:t>
      </w:r>
      <w:r>
        <w:t>or</w:t>
      </w:r>
      <w:r>
        <w:rPr>
          <w:spacing w:val="-7"/>
        </w:rPr>
        <w:t xml:space="preserve"> </w:t>
      </w:r>
      <w:r>
        <w:t>the</w:t>
      </w:r>
      <w:r>
        <w:rPr>
          <w:spacing w:val="-7"/>
        </w:rPr>
        <w:t xml:space="preserve"> </w:t>
      </w:r>
      <w:r>
        <w:t>IP</w:t>
      </w:r>
      <w:r>
        <w:rPr>
          <w:spacing w:val="-19"/>
        </w:rPr>
        <w:t xml:space="preserve"> </w:t>
      </w:r>
      <w:r>
        <w:t>Act</w:t>
      </w:r>
      <w:r>
        <w:rPr>
          <w:spacing w:val="-7"/>
        </w:rPr>
        <w:t xml:space="preserve"> </w:t>
      </w:r>
      <w:r>
        <w:t>application</w:t>
      </w:r>
      <w:r>
        <w:rPr>
          <w:spacing w:val="-7"/>
        </w:rPr>
        <w:t xml:space="preserve"> </w:t>
      </w:r>
      <w:r>
        <w:t>processes.</w:t>
      </w:r>
      <w:r>
        <w:rPr>
          <w:spacing w:val="-11"/>
        </w:rPr>
        <w:t xml:space="preserve"> </w:t>
      </w:r>
      <w:r>
        <w:t>The publication</w:t>
      </w:r>
      <w:r>
        <w:rPr>
          <w:spacing w:val="-5"/>
        </w:rPr>
        <w:t xml:space="preserve"> </w:t>
      </w:r>
      <w:r>
        <w:t>scheme</w:t>
      </w:r>
      <w:r>
        <w:rPr>
          <w:spacing w:val="-5"/>
        </w:rPr>
        <w:t xml:space="preserve"> </w:t>
      </w:r>
      <w:r>
        <w:t>and</w:t>
      </w:r>
      <w:r>
        <w:rPr>
          <w:spacing w:val="-5"/>
        </w:rPr>
        <w:t xml:space="preserve"> </w:t>
      </w:r>
      <w:r>
        <w:t>its</w:t>
      </w:r>
      <w:r>
        <w:rPr>
          <w:spacing w:val="-5"/>
        </w:rPr>
        <w:t xml:space="preserve"> </w:t>
      </w:r>
      <w:r>
        <w:t>information</w:t>
      </w:r>
      <w:r>
        <w:rPr>
          <w:spacing w:val="-5"/>
        </w:rPr>
        <w:t xml:space="preserve"> </w:t>
      </w:r>
      <w:r>
        <w:t>are</w:t>
      </w:r>
      <w:r>
        <w:rPr>
          <w:spacing w:val="-5"/>
        </w:rPr>
        <w:t xml:space="preserve"> </w:t>
      </w:r>
      <w:r>
        <w:t>currently</w:t>
      </w:r>
      <w:r>
        <w:rPr>
          <w:spacing w:val="-5"/>
        </w:rPr>
        <w:t xml:space="preserve"> </w:t>
      </w:r>
      <w:r>
        <w:t>being</w:t>
      </w:r>
      <w:r>
        <w:rPr>
          <w:spacing w:val="-5"/>
        </w:rPr>
        <w:t xml:space="preserve"> </w:t>
      </w:r>
      <w:r>
        <w:t>reviewed</w:t>
      </w:r>
      <w:r>
        <w:rPr>
          <w:spacing w:val="-5"/>
        </w:rPr>
        <w:t xml:space="preserve"> </w:t>
      </w:r>
      <w:r>
        <w:t>and</w:t>
      </w:r>
      <w:r>
        <w:rPr>
          <w:spacing w:val="-5"/>
        </w:rPr>
        <w:t xml:space="preserve"> </w:t>
      </w:r>
      <w:r>
        <w:t>updated.</w:t>
      </w:r>
    </w:p>
    <w:p w14:paraId="6C777859" w14:textId="77777777" w:rsidR="00AC6F3C" w:rsidRDefault="00AC6F3C">
      <w:pPr>
        <w:pStyle w:val="BodyText"/>
        <w:spacing w:before="7"/>
        <w:rPr>
          <w:sz w:val="31"/>
        </w:rPr>
      </w:pPr>
    </w:p>
    <w:p w14:paraId="3E50EF95" w14:textId="77777777" w:rsidR="00AC6F3C" w:rsidRDefault="00570E88">
      <w:pPr>
        <w:ind w:left="815"/>
        <w:rPr>
          <w:b/>
          <w:sz w:val="26"/>
        </w:rPr>
      </w:pPr>
      <w:r>
        <w:rPr>
          <w:b/>
          <w:sz w:val="26"/>
        </w:rPr>
        <w:t xml:space="preserve">Information </w:t>
      </w:r>
      <w:r>
        <w:rPr>
          <w:b/>
          <w:spacing w:val="-2"/>
          <w:sz w:val="26"/>
        </w:rPr>
        <w:t>privacy</w:t>
      </w:r>
    </w:p>
    <w:p w14:paraId="42040DB5" w14:textId="77777777" w:rsidR="00AC6F3C" w:rsidRDefault="00570E88">
      <w:pPr>
        <w:pStyle w:val="BodyText"/>
        <w:spacing w:before="168" w:line="249" w:lineRule="auto"/>
        <w:ind w:left="815" w:right="189"/>
      </w:pPr>
      <w:r>
        <w:t xml:space="preserve">QLS is committed to ensuring that personal information collected is dealt with in accordance with the Information Privacy Principles contained in the </w:t>
      </w:r>
      <w:r>
        <w:rPr>
          <w:i/>
        </w:rPr>
        <w:t>Information Privacy</w:t>
      </w:r>
      <w:r>
        <w:rPr>
          <w:i/>
          <w:spacing w:val="-1"/>
        </w:rPr>
        <w:t xml:space="preserve"> </w:t>
      </w:r>
      <w:r>
        <w:rPr>
          <w:i/>
        </w:rPr>
        <w:t xml:space="preserve">Act 2009 </w:t>
      </w:r>
      <w:r>
        <w:t>(Qld) and the</w:t>
      </w:r>
      <w:r>
        <w:rPr>
          <w:spacing w:val="-4"/>
        </w:rPr>
        <w:t xml:space="preserve"> </w:t>
      </w:r>
      <w:r>
        <w:t>Australian Privacy</w:t>
      </w:r>
      <w:r>
        <w:rPr>
          <w:spacing w:val="-3"/>
        </w:rPr>
        <w:t xml:space="preserve"> </w:t>
      </w:r>
      <w:r>
        <w:t>Principles</w:t>
      </w:r>
      <w:r>
        <w:rPr>
          <w:spacing w:val="-3"/>
        </w:rPr>
        <w:t xml:space="preserve"> </w:t>
      </w:r>
      <w:r>
        <w:t>contained</w:t>
      </w:r>
      <w:r>
        <w:rPr>
          <w:spacing w:val="-3"/>
        </w:rPr>
        <w:t xml:space="preserve"> </w:t>
      </w:r>
      <w:r>
        <w:t>in</w:t>
      </w:r>
      <w:r>
        <w:rPr>
          <w:spacing w:val="-3"/>
        </w:rPr>
        <w:t xml:space="preserve"> </w:t>
      </w:r>
      <w:r>
        <w:t>the</w:t>
      </w:r>
      <w:r>
        <w:rPr>
          <w:spacing w:val="-3"/>
        </w:rPr>
        <w:t xml:space="preserve"> </w:t>
      </w:r>
      <w:r>
        <w:rPr>
          <w:i/>
        </w:rPr>
        <w:t>Privacy</w:t>
      </w:r>
      <w:r>
        <w:rPr>
          <w:i/>
          <w:spacing w:val="-10"/>
        </w:rPr>
        <w:t xml:space="preserve"> </w:t>
      </w:r>
      <w:r>
        <w:rPr>
          <w:i/>
        </w:rPr>
        <w:t>Act</w:t>
      </w:r>
      <w:r>
        <w:rPr>
          <w:i/>
          <w:spacing w:val="-3"/>
        </w:rPr>
        <w:t xml:space="preserve"> </w:t>
      </w:r>
      <w:r>
        <w:rPr>
          <w:i/>
        </w:rPr>
        <w:t>1988</w:t>
      </w:r>
      <w:r>
        <w:rPr>
          <w:i/>
          <w:spacing w:val="-4"/>
        </w:rPr>
        <w:t xml:space="preserve"> </w:t>
      </w:r>
      <w:r>
        <w:t>(</w:t>
      </w:r>
      <w:proofErr w:type="spellStart"/>
      <w:r>
        <w:t>Cth</w:t>
      </w:r>
      <w:proofErr w:type="spellEnd"/>
      <w:r>
        <w:t>).</w:t>
      </w:r>
      <w:r>
        <w:rPr>
          <w:spacing w:val="-3"/>
        </w:rPr>
        <w:t xml:space="preserve"> </w:t>
      </w:r>
      <w:r>
        <w:t>We</w:t>
      </w:r>
      <w:r>
        <w:rPr>
          <w:spacing w:val="-3"/>
        </w:rPr>
        <w:t xml:space="preserve"> </w:t>
      </w:r>
      <w:r>
        <w:t>continually</w:t>
      </w:r>
      <w:r>
        <w:rPr>
          <w:spacing w:val="-3"/>
        </w:rPr>
        <w:t xml:space="preserve"> </w:t>
      </w:r>
      <w:r>
        <w:t>review</w:t>
      </w:r>
      <w:r>
        <w:rPr>
          <w:spacing w:val="-3"/>
        </w:rPr>
        <w:t xml:space="preserve"> </w:t>
      </w:r>
      <w:r>
        <w:t>the</w:t>
      </w:r>
      <w:r>
        <w:rPr>
          <w:spacing w:val="-3"/>
        </w:rPr>
        <w:t xml:space="preserve"> </w:t>
      </w:r>
      <w:r>
        <w:t>procedures</w:t>
      </w:r>
      <w:r>
        <w:rPr>
          <w:spacing w:val="-3"/>
        </w:rPr>
        <w:t xml:space="preserve"> </w:t>
      </w:r>
      <w:r>
        <w:t>in</w:t>
      </w:r>
      <w:r>
        <w:rPr>
          <w:spacing w:val="-3"/>
        </w:rPr>
        <w:t xml:space="preserve"> </w:t>
      </w:r>
      <w:r>
        <w:t xml:space="preserve">place to prevent </w:t>
      </w:r>
      <w:proofErr w:type="spellStart"/>
      <w:r>
        <w:t>unauthorised</w:t>
      </w:r>
      <w:proofErr w:type="spellEnd"/>
      <w:r>
        <w:t xml:space="preserve"> access to, and use of, the personal information we collect. QLS members and the public have the right to request access to any personal information which relates to them, and the right to request that the information be corrected should it be inaccurate.</w:t>
      </w:r>
    </w:p>
    <w:p w14:paraId="308EA5C8" w14:textId="77777777" w:rsidR="00AC6F3C" w:rsidRDefault="00570E88">
      <w:pPr>
        <w:pStyle w:val="BodyText"/>
        <w:spacing w:before="175"/>
        <w:ind w:left="815"/>
      </w:pPr>
      <w:r>
        <w:t>QLS’s</w:t>
      </w:r>
      <w:r>
        <w:rPr>
          <w:spacing w:val="-2"/>
        </w:rPr>
        <w:t xml:space="preserve"> </w:t>
      </w:r>
      <w:r>
        <w:t>Privacy</w:t>
      </w:r>
      <w:r>
        <w:rPr>
          <w:spacing w:val="-2"/>
        </w:rPr>
        <w:t xml:space="preserve"> </w:t>
      </w:r>
      <w:r>
        <w:t>Policy</w:t>
      </w:r>
      <w:r>
        <w:rPr>
          <w:spacing w:val="-2"/>
        </w:rPr>
        <w:t xml:space="preserve"> </w:t>
      </w:r>
      <w:r>
        <w:t>and</w:t>
      </w:r>
      <w:r>
        <w:rPr>
          <w:spacing w:val="-2"/>
        </w:rPr>
        <w:t xml:space="preserve"> </w:t>
      </w:r>
      <w:r>
        <w:t>Privacy</w:t>
      </w:r>
      <w:r>
        <w:rPr>
          <w:spacing w:val="-2"/>
        </w:rPr>
        <w:t xml:space="preserve"> </w:t>
      </w:r>
      <w:r>
        <w:t>Code</w:t>
      </w:r>
      <w:r>
        <w:rPr>
          <w:spacing w:val="-2"/>
        </w:rPr>
        <w:t xml:space="preserve"> </w:t>
      </w:r>
      <w:r>
        <w:t>of</w:t>
      </w:r>
      <w:r>
        <w:rPr>
          <w:spacing w:val="-2"/>
        </w:rPr>
        <w:t xml:space="preserve"> </w:t>
      </w:r>
      <w:r>
        <w:t>Practice</w:t>
      </w:r>
      <w:r>
        <w:rPr>
          <w:spacing w:val="-2"/>
        </w:rPr>
        <w:t xml:space="preserve"> </w:t>
      </w:r>
      <w:r>
        <w:t>can</w:t>
      </w:r>
      <w:r>
        <w:rPr>
          <w:spacing w:val="-2"/>
        </w:rPr>
        <w:t xml:space="preserve"> </w:t>
      </w:r>
      <w:r>
        <w:t>be</w:t>
      </w:r>
      <w:r>
        <w:rPr>
          <w:spacing w:val="-2"/>
        </w:rPr>
        <w:t xml:space="preserve"> </w:t>
      </w:r>
      <w:r>
        <w:t>found</w:t>
      </w:r>
      <w:r>
        <w:rPr>
          <w:spacing w:val="-2"/>
        </w:rPr>
        <w:t xml:space="preserve"> </w:t>
      </w:r>
      <w:r>
        <w:t>on</w:t>
      </w:r>
      <w:r>
        <w:rPr>
          <w:spacing w:val="-2"/>
        </w:rPr>
        <w:t xml:space="preserve"> </w:t>
      </w:r>
      <w:r>
        <w:t>our</w:t>
      </w:r>
      <w:r>
        <w:rPr>
          <w:spacing w:val="-2"/>
        </w:rPr>
        <w:t xml:space="preserve"> </w:t>
      </w:r>
      <w:r>
        <w:t>website:</w:t>
      </w:r>
      <w:r>
        <w:rPr>
          <w:spacing w:val="-1"/>
        </w:rPr>
        <w:t xml:space="preserve"> </w:t>
      </w:r>
      <w:hyperlink r:id="rId202">
        <w:r>
          <w:rPr>
            <w:b/>
            <w:spacing w:val="-2"/>
            <w:u w:val="single"/>
          </w:rPr>
          <w:t>qls.com.au</w:t>
        </w:r>
        <w:r>
          <w:rPr>
            <w:spacing w:val="-2"/>
          </w:rPr>
          <w:t>.</w:t>
        </w:r>
      </w:hyperlink>
    </w:p>
    <w:p w14:paraId="6B7AB901" w14:textId="77777777" w:rsidR="00AC6F3C" w:rsidRDefault="00AC6F3C">
      <w:pPr>
        <w:sectPr w:rsidR="00AC6F3C">
          <w:headerReference w:type="default" r:id="rId203"/>
          <w:footerReference w:type="default" r:id="rId204"/>
          <w:pgSz w:w="11910" w:h="16840"/>
          <w:pgMar w:top="1140" w:right="1160" w:bottom="520" w:left="460" w:header="0" w:footer="336" w:gutter="0"/>
          <w:cols w:space="720"/>
        </w:sectPr>
      </w:pPr>
    </w:p>
    <w:p w14:paraId="5E1842EA"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51BF0EF9" wp14:editId="29AE4CF6">
                <wp:extent cx="5940425" cy="25400"/>
                <wp:effectExtent l="19050" t="0" r="3175" b="3175"/>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723" name="Graphic 723"/>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E55DC9" id="Group 722"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QAOoXWoCAACYBQAADgAAAAAAAAAAAAAAAAAuAgAA&#10;ZHJzL2Uyb0RvYy54bWxQSwECLQAUAAYACAAAACEAzcNg/dwAAAADAQAADwAAAAAAAAAAAAAAAADE&#10;BAAAZHJzL2Rvd25yZXYueG1sUEsFBgAAAAAEAAQA8wAAAM0FAAAAAA==&#10;">
                <v:shape id="Graphic 723"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" path="m,l5940005,e" filled="f" strokeweight="2pt">
                  <v:path arrowok="t"/>
                </v:shape>
                <w10:anchorlock/>
              </v:group>
            </w:pict>
          </mc:Fallback>
        </mc:AlternateContent>
      </w:r>
    </w:p>
    <w:p w14:paraId="63CBE60B" w14:textId="77777777" w:rsidR="00AC6F3C" w:rsidRDefault="00570E88">
      <w:pPr>
        <w:spacing w:before="165"/>
        <w:ind w:left="815"/>
        <w:rPr>
          <w:b/>
          <w:sz w:val="44"/>
        </w:rPr>
      </w:pPr>
      <w:bookmarkStart w:id="87" w:name="FINANCES"/>
      <w:bookmarkStart w:id="88" w:name="Our_financial_performance"/>
      <w:bookmarkStart w:id="89" w:name="_bookmark32"/>
      <w:bookmarkEnd w:id="87"/>
      <w:bookmarkEnd w:id="88"/>
      <w:bookmarkEnd w:id="89"/>
      <w:r>
        <w:rPr>
          <w:b/>
          <w:spacing w:val="-2"/>
          <w:sz w:val="44"/>
        </w:rPr>
        <w:t>FINANCES</w:t>
      </w:r>
    </w:p>
    <w:p w14:paraId="20452870" w14:textId="77777777" w:rsidR="00AC6F3C" w:rsidRDefault="00570E88">
      <w:pPr>
        <w:spacing w:before="320" w:line="249" w:lineRule="auto"/>
        <w:ind w:left="815" w:right="468"/>
        <w:rPr>
          <w:b/>
          <w:sz w:val="28"/>
        </w:rPr>
      </w:pPr>
      <w:r>
        <w:rPr>
          <w:b/>
          <w:sz w:val="28"/>
        </w:rPr>
        <w:t>Comprising the results of Queensland Law Society Incorporated (parent</w:t>
      </w:r>
      <w:r>
        <w:rPr>
          <w:b/>
          <w:spacing w:val="-5"/>
          <w:sz w:val="28"/>
        </w:rPr>
        <w:t xml:space="preserve"> </w:t>
      </w:r>
      <w:r>
        <w:rPr>
          <w:b/>
          <w:sz w:val="28"/>
        </w:rPr>
        <w:t>entity),</w:t>
      </w:r>
      <w:r>
        <w:rPr>
          <w:b/>
          <w:spacing w:val="-5"/>
          <w:sz w:val="28"/>
        </w:rPr>
        <w:t xml:space="preserve"> </w:t>
      </w:r>
      <w:r>
        <w:rPr>
          <w:b/>
          <w:sz w:val="28"/>
        </w:rPr>
        <w:t>the</w:t>
      </w:r>
      <w:r>
        <w:rPr>
          <w:b/>
          <w:spacing w:val="-5"/>
          <w:sz w:val="28"/>
        </w:rPr>
        <w:t xml:space="preserve"> </w:t>
      </w:r>
      <w:r>
        <w:rPr>
          <w:b/>
          <w:sz w:val="28"/>
        </w:rPr>
        <w:t>Law</w:t>
      </w:r>
      <w:r>
        <w:rPr>
          <w:b/>
          <w:spacing w:val="-5"/>
          <w:sz w:val="28"/>
        </w:rPr>
        <w:t xml:space="preserve"> </w:t>
      </w:r>
      <w:r>
        <w:rPr>
          <w:b/>
          <w:sz w:val="28"/>
        </w:rPr>
        <w:t>Claims</w:t>
      </w:r>
      <w:r>
        <w:rPr>
          <w:b/>
          <w:spacing w:val="-5"/>
          <w:sz w:val="28"/>
        </w:rPr>
        <w:t xml:space="preserve"> </w:t>
      </w:r>
      <w:r>
        <w:rPr>
          <w:b/>
          <w:sz w:val="28"/>
        </w:rPr>
        <w:t>Levy</w:t>
      </w:r>
      <w:r>
        <w:rPr>
          <w:b/>
          <w:spacing w:val="-5"/>
          <w:sz w:val="28"/>
        </w:rPr>
        <w:t xml:space="preserve"> </w:t>
      </w:r>
      <w:r>
        <w:rPr>
          <w:b/>
          <w:sz w:val="28"/>
        </w:rPr>
        <w:t>Fund</w:t>
      </w:r>
      <w:r>
        <w:rPr>
          <w:b/>
          <w:spacing w:val="-5"/>
          <w:sz w:val="28"/>
        </w:rPr>
        <w:t xml:space="preserve"> </w:t>
      </w:r>
      <w:r>
        <w:rPr>
          <w:b/>
          <w:sz w:val="28"/>
        </w:rPr>
        <w:t>(LCLF)</w:t>
      </w:r>
      <w:r>
        <w:rPr>
          <w:b/>
          <w:spacing w:val="-5"/>
          <w:sz w:val="28"/>
        </w:rPr>
        <w:t xml:space="preserve"> </w:t>
      </w:r>
      <w:r>
        <w:rPr>
          <w:b/>
          <w:sz w:val="28"/>
        </w:rPr>
        <w:t>and</w:t>
      </w:r>
      <w:r>
        <w:rPr>
          <w:b/>
          <w:spacing w:val="-5"/>
          <w:sz w:val="28"/>
        </w:rPr>
        <w:t xml:space="preserve"> </w:t>
      </w:r>
      <w:r>
        <w:rPr>
          <w:b/>
          <w:sz w:val="28"/>
        </w:rPr>
        <w:t>QLS’s</w:t>
      </w:r>
      <w:r>
        <w:rPr>
          <w:b/>
          <w:spacing w:val="-5"/>
          <w:sz w:val="28"/>
        </w:rPr>
        <w:t xml:space="preserve"> </w:t>
      </w:r>
      <w:r>
        <w:rPr>
          <w:b/>
          <w:sz w:val="28"/>
        </w:rPr>
        <w:t>wholly owned subsidiaries, Lexon Insurance Pte Ltd (Lexon) and QLS Solicitor Support Pty Ltd</w:t>
      </w:r>
    </w:p>
    <w:p w14:paraId="182D0E82" w14:textId="77777777" w:rsidR="00AC6F3C" w:rsidRDefault="00AC6F3C">
      <w:pPr>
        <w:pStyle w:val="BodyText"/>
        <w:spacing w:before="10"/>
        <w:rPr>
          <w:b/>
          <w:sz w:val="30"/>
        </w:rPr>
      </w:pPr>
    </w:p>
    <w:p w14:paraId="13923F16" w14:textId="77777777" w:rsidR="00AC6F3C" w:rsidRDefault="00570E88">
      <w:pPr>
        <w:pStyle w:val="Heading3"/>
        <w:spacing w:before="1"/>
      </w:pPr>
      <w:r>
        <w:t>Our</w:t>
      </w:r>
      <w:r>
        <w:rPr>
          <w:spacing w:val="-1"/>
        </w:rPr>
        <w:t xml:space="preserve"> </w:t>
      </w:r>
      <w:r>
        <w:t>financial</w:t>
      </w:r>
      <w:r>
        <w:rPr>
          <w:spacing w:val="-1"/>
        </w:rPr>
        <w:t xml:space="preserve"> </w:t>
      </w:r>
      <w:r>
        <w:rPr>
          <w:spacing w:val="-2"/>
        </w:rPr>
        <w:t>performance</w:t>
      </w:r>
    </w:p>
    <w:p w14:paraId="6C8AE8C2" w14:textId="77777777" w:rsidR="00AC6F3C" w:rsidRDefault="00AC6F3C">
      <w:pPr>
        <w:pStyle w:val="BodyText"/>
        <w:spacing w:before="6"/>
        <w:rPr>
          <w:b/>
          <w:sz w:val="29"/>
        </w:rPr>
      </w:pPr>
    </w:p>
    <w:p w14:paraId="28105C67" w14:textId="77777777" w:rsidR="00AC6F3C" w:rsidRDefault="00570E88">
      <w:pPr>
        <w:spacing w:before="1"/>
        <w:ind w:left="815"/>
        <w:rPr>
          <w:b/>
          <w:sz w:val="26"/>
        </w:rPr>
      </w:pPr>
      <w:r>
        <w:rPr>
          <w:b/>
          <w:sz w:val="26"/>
        </w:rPr>
        <w:t xml:space="preserve">Group </w:t>
      </w:r>
      <w:r>
        <w:rPr>
          <w:b/>
          <w:spacing w:val="-2"/>
          <w:sz w:val="26"/>
        </w:rPr>
        <w:t>results</w:t>
      </w:r>
    </w:p>
    <w:p w14:paraId="16B5B410" w14:textId="77777777" w:rsidR="00AC6F3C" w:rsidRDefault="00570E88">
      <w:pPr>
        <w:pStyle w:val="BodyText"/>
        <w:spacing w:before="167" w:line="249" w:lineRule="auto"/>
        <w:ind w:left="815"/>
      </w:pPr>
      <w:r>
        <w:t>In</w:t>
      </w:r>
      <w:r>
        <w:rPr>
          <w:spacing w:val="-2"/>
        </w:rPr>
        <w:t xml:space="preserve"> </w:t>
      </w:r>
      <w:r>
        <w:t>2022-23,</w:t>
      </w:r>
      <w:r>
        <w:rPr>
          <w:spacing w:val="-2"/>
        </w:rPr>
        <w:t xml:space="preserve"> </w:t>
      </w:r>
      <w:r>
        <w:t>the</w:t>
      </w:r>
      <w:r>
        <w:rPr>
          <w:spacing w:val="-2"/>
        </w:rPr>
        <w:t xml:space="preserve"> </w:t>
      </w:r>
      <w:r>
        <w:t>Group</w:t>
      </w:r>
      <w:r>
        <w:rPr>
          <w:spacing w:val="-2"/>
        </w:rPr>
        <w:t xml:space="preserve"> </w:t>
      </w:r>
      <w:r>
        <w:t>made</w:t>
      </w:r>
      <w:r>
        <w:rPr>
          <w:spacing w:val="-2"/>
        </w:rPr>
        <w:t xml:space="preserve"> </w:t>
      </w:r>
      <w:r>
        <w:t>an</w:t>
      </w:r>
      <w:r>
        <w:rPr>
          <w:spacing w:val="-2"/>
        </w:rPr>
        <w:t xml:space="preserve"> </w:t>
      </w:r>
      <w:r>
        <w:t>operating</w:t>
      </w:r>
      <w:r>
        <w:rPr>
          <w:spacing w:val="-2"/>
        </w:rPr>
        <w:t xml:space="preserve"> </w:t>
      </w:r>
      <w:r>
        <w:t>surplus</w:t>
      </w:r>
      <w:r>
        <w:rPr>
          <w:spacing w:val="-2"/>
        </w:rPr>
        <w:t xml:space="preserve"> </w:t>
      </w:r>
      <w:r>
        <w:t>of</w:t>
      </w:r>
      <w:r>
        <w:rPr>
          <w:spacing w:val="-2"/>
        </w:rPr>
        <w:t xml:space="preserve"> </w:t>
      </w:r>
      <w:r>
        <w:t>$10.4m</w:t>
      </w:r>
      <w:r>
        <w:rPr>
          <w:spacing w:val="-2"/>
        </w:rPr>
        <w:t xml:space="preserve"> </w:t>
      </w:r>
      <w:r>
        <w:t>after</w:t>
      </w:r>
      <w:r>
        <w:rPr>
          <w:spacing w:val="-2"/>
        </w:rPr>
        <w:t xml:space="preserve"> </w:t>
      </w:r>
      <w:r>
        <w:t>tax</w:t>
      </w:r>
      <w:r>
        <w:rPr>
          <w:spacing w:val="-2"/>
        </w:rPr>
        <w:t xml:space="preserve"> </w:t>
      </w:r>
      <w:r>
        <w:t>and</w:t>
      </w:r>
      <w:r>
        <w:rPr>
          <w:spacing w:val="-2"/>
        </w:rPr>
        <w:t xml:space="preserve"> </w:t>
      </w:r>
      <w:r>
        <w:t>net</w:t>
      </w:r>
      <w:r>
        <w:rPr>
          <w:spacing w:val="-2"/>
        </w:rPr>
        <w:t xml:space="preserve"> </w:t>
      </w:r>
      <w:r>
        <w:t>assets</w:t>
      </w:r>
      <w:r>
        <w:rPr>
          <w:spacing w:val="-2"/>
        </w:rPr>
        <w:t xml:space="preserve"> </w:t>
      </w:r>
      <w:r>
        <w:t>as</w:t>
      </w:r>
      <w:r>
        <w:rPr>
          <w:spacing w:val="-2"/>
        </w:rPr>
        <w:t xml:space="preserve"> </w:t>
      </w:r>
      <w:r>
        <w:t>at</w:t>
      </w:r>
      <w:r>
        <w:rPr>
          <w:spacing w:val="-2"/>
        </w:rPr>
        <w:t xml:space="preserve"> </w:t>
      </w:r>
      <w:r>
        <w:t>30</w:t>
      </w:r>
      <w:r>
        <w:rPr>
          <w:spacing w:val="-2"/>
        </w:rPr>
        <w:t xml:space="preserve"> </w:t>
      </w:r>
      <w:r>
        <w:t>June</w:t>
      </w:r>
      <w:r>
        <w:rPr>
          <w:spacing w:val="-2"/>
        </w:rPr>
        <w:t xml:space="preserve"> </w:t>
      </w:r>
      <w:r>
        <w:t>2023 were $174.7m, an increase of $10.7m from the previous year.</w:t>
      </w:r>
    </w:p>
    <w:p w14:paraId="53C978B7" w14:textId="77777777" w:rsidR="00AC6F3C" w:rsidRDefault="00570E88">
      <w:pPr>
        <w:pStyle w:val="BodyText"/>
        <w:spacing w:before="172" w:line="249" w:lineRule="auto"/>
        <w:ind w:left="815" w:right="256"/>
      </w:pPr>
      <w:r>
        <w:t>Increased retained surpluses over a number of years supported the Group to refurbish Law Society House,</w:t>
      </w:r>
      <w:r>
        <w:rPr>
          <w:spacing w:val="-3"/>
        </w:rPr>
        <w:t xml:space="preserve"> </w:t>
      </w:r>
      <w:r>
        <w:t>a</w:t>
      </w:r>
      <w:r>
        <w:rPr>
          <w:spacing w:val="-3"/>
        </w:rPr>
        <w:t xml:space="preserve"> </w:t>
      </w:r>
      <w:r>
        <w:t>$14.7m</w:t>
      </w:r>
      <w:r>
        <w:rPr>
          <w:spacing w:val="-3"/>
        </w:rPr>
        <w:t xml:space="preserve"> </w:t>
      </w:r>
      <w:r>
        <w:t>project.</w:t>
      </w:r>
      <w:r>
        <w:rPr>
          <w:spacing w:val="-6"/>
        </w:rPr>
        <w:t xml:space="preserve"> </w:t>
      </w:r>
      <w:r>
        <w:t>This</w:t>
      </w:r>
      <w:r>
        <w:rPr>
          <w:spacing w:val="-3"/>
        </w:rPr>
        <w:t xml:space="preserve"> </w:t>
      </w:r>
      <w:r>
        <w:t>project</w:t>
      </w:r>
      <w:r>
        <w:rPr>
          <w:spacing w:val="-3"/>
        </w:rPr>
        <w:t xml:space="preserve"> </w:t>
      </w:r>
      <w:r>
        <w:t>will</w:t>
      </w:r>
      <w:r>
        <w:rPr>
          <w:spacing w:val="-3"/>
        </w:rPr>
        <w:t xml:space="preserve"> </w:t>
      </w:r>
      <w:r>
        <w:t>be</w:t>
      </w:r>
      <w:r>
        <w:rPr>
          <w:spacing w:val="-3"/>
        </w:rPr>
        <w:t xml:space="preserve"> </w:t>
      </w:r>
      <w:r>
        <w:t>completed</w:t>
      </w:r>
      <w:r>
        <w:rPr>
          <w:spacing w:val="-3"/>
        </w:rPr>
        <w:t xml:space="preserve"> </w:t>
      </w:r>
      <w:r>
        <w:t>in</w:t>
      </w:r>
      <w:r>
        <w:rPr>
          <w:spacing w:val="-3"/>
        </w:rPr>
        <w:t xml:space="preserve"> </w:t>
      </w:r>
      <w:r>
        <w:t>October</w:t>
      </w:r>
      <w:r>
        <w:rPr>
          <w:spacing w:val="-3"/>
        </w:rPr>
        <w:t xml:space="preserve"> </w:t>
      </w:r>
      <w:r>
        <w:t>2023</w:t>
      </w:r>
      <w:r>
        <w:rPr>
          <w:spacing w:val="-3"/>
        </w:rPr>
        <w:t xml:space="preserve"> </w:t>
      </w:r>
      <w:r>
        <w:t>and</w:t>
      </w:r>
      <w:r>
        <w:rPr>
          <w:spacing w:val="-3"/>
        </w:rPr>
        <w:t xml:space="preserve"> </w:t>
      </w:r>
      <w:r>
        <w:t>significantly</w:t>
      </w:r>
      <w:r>
        <w:rPr>
          <w:spacing w:val="-3"/>
        </w:rPr>
        <w:t xml:space="preserve"> </w:t>
      </w:r>
      <w:r>
        <w:t>adds</w:t>
      </w:r>
      <w:r>
        <w:rPr>
          <w:spacing w:val="-3"/>
        </w:rPr>
        <w:t xml:space="preserve"> </w:t>
      </w:r>
      <w:r>
        <w:t>to</w:t>
      </w:r>
      <w:r>
        <w:rPr>
          <w:spacing w:val="-3"/>
        </w:rPr>
        <w:t xml:space="preserve"> </w:t>
      </w:r>
      <w:r>
        <w:t>venue hire and mediation space for use by members. By consolidating staff to two floors, an additional whole floor is available for commercial leasing, giving additional income and consequential lift in the valuation of</w:t>
      </w:r>
      <w:r>
        <w:rPr>
          <w:spacing w:val="-2"/>
        </w:rPr>
        <w:t xml:space="preserve"> </w:t>
      </w:r>
      <w:r>
        <w:t>the</w:t>
      </w:r>
      <w:r>
        <w:rPr>
          <w:spacing w:val="-2"/>
        </w:rPr>
        <w:t xml:space="preserve"> </w:t>
      </w:r>
      <w:r>
        <w:t>building</w:t>
      </w:r>
      <w:r>
        <w:rPr>
          <w:spacing w:val="-2"/>
        </w:rPr>
        <w:t xml:space="preserve"> </w:t>
      </w:r>
      <w:r>
        <w:t>in</w:t>
      </w:r>
      <w:r>
        <w:rPr>
          <w:spacing w:val="-2"/>
        </w:rPr>
        <w:t xml:space="preserve"> </w:t>
      </w:r>
      <w:r>
        <w:t>future</w:t>
      </w:r>
      <w:r>
        <w:rPr>
          <w:spacing w:val="-2"/>
        </w:rPr>
        <w:t xml:space="preserve"> </w:t>
      </w:r>
      <w:r>
        <w:t>years.</w:t>
      </w:r>
      <w:r>
        <w:rPr>
          <w:spacing w:val="-6"/>
        </w:rPr>
        <w:t xml:space="preserve"> </w:t>
      </w:r>
      <w:r>
        <w:t>To</w:t>
      </w:r>
      <w:r>
        <w:rPr>
          <w:spacing w:val="-2"/>
        </w:rPr>
        <w:t xml:space="preserve"> </w:t>
      </w:r>
      <w:r>
        <w:t>partly</w:t>
      </w:r>
      <w:r>
        <w:rPr>
          <w:spacing w:val="-2"/>
        </w:rPr>
        <w:t xml:space="preserve"> </w:t>
      </w:r>
      <w:r>
        <w:t>fund</w:t>
      </w:r>
      <w:r>
        <w:rPr>
          <w:spacing w:val="-2"/>
        </w:rPr>
        <w:t xml:space="preserve"> </w:t>
      </w:r>
      <w:r>
        <w:t>the</w:t>
      </w:r>
      <w:r>
        <w:rPr>
          <w:spacing w:val="-2"/>
        </w:rPr>
        <w:t xml:space="preserve"> </w:t>
      </w:r>
      <w:r>
        <w:t>refurbishment</w:t>
      </w:r>
      <w:r>
        <w:rPr>
          <w:spacing w:val="-2"/>
        </w:rPr>
        <w:t xml:space="preserve"> </w:t>
      </w:r>
      <w:r>
        <w:t>project,</w:t>
      </w:r>
      <w:r>
        <w:rPr>
          <w:spacing w:val="-2"/>
        </w:rPr>
        <w:t xml:space="preserve"> </w:t>
      </w:r>
      <w:r>
        <w:t>the</w:t>
      </w:r>
      <w:r>
        <w:rPr>
          <w:spacing w:val="-2"/>
        </w:rPr>
        <w:t xml:space="preserve"> </w:t>
      </w:r>
      <w:r>
        <w:t>Society</w:t>
      </w:r>
      <w:r>
        <w:rPr>
          <w:spacing w:val="-2"/>
        </w:rPr>
        <w:t xml:space="preserve"> </w:t>
      </w:r>
      <w:r>
        <w:t>borrowed</w:t>
      </w:r>
      <w:r>
        <w:rPr>
          <w:spacing w:val="-2"/>
        </w:rPr>
        <w:t xml:space="preserve"> </w:t>
      </w:r>
      <w:r>
        <w:t>$10m</w:t>
      </w:r>
      <w:r>
        <w:rPr>
          <w:spacing w:val="-2"/>
        </w:rPr>
        <w:t xml:space="preserve"> </w:t>
      </w:r>
      <w:r>
        <w:t>from Queensland Treasury Corporation which will be repaid over 10 years.</w:t>
      </w:r>
    </w:p>
    <w:p w14:paraId="7328F971" w14:textId="77777777" w:rsidR="00AC6F3C" w:rsidRDefault="00570E88">
      <w:pPr>
        <w:pStyle w:val="BodyText"/>
        <w:spacing w:before="175" w:line="249" w:lineRule="auto"/>
        <w:ind w:left="815" w:right="307"/>
      </w:pPr>
      <w:r>
        <w:t>Investment</w:t>
      </w:r>
      <w:r>
        <w:rPr>
          <w:spacing w:val="-4"/>
        </w:rPr>
        <w:t xml:space="preserve"> </w:t>
      </w:r>
      <w:r>
        <w:t>returns</w:t>
      </w:r>
      <w:r>
        <w:rPr>
          <w:spacing w:val="-4"/>
        </w:rPr>
        <w:t xml:space="preserve"> </w:t>
      </w:r>
      <w:r>
        <w:t>(investment</w:t>
      </w:r>
      <w:r>
        <w:rPr>
          <w:spacing w:val="-4"/>
        </w:rPr>
        <w:t xml:space="preserve"> </w:t>
      </w:r>
      <w:r>
        <w:t>income,</w:t>
      </w:r>
      <w:r>
        <w:rPr>
          <w:spacing w:val="-4"/>
        </w:rPr>
        <w:t xml:space="preserve"> </w:t>
      </w:r>
      <w:proofErr w:type="spellStart"/>
      <w:r>
        <w:t>realised</w:t>
      </w:r>
      <w:proofErr w:type="spellEnd"/>
      <w:r>
        <w:rPr>
          <w:spacing w:val="-4"/>
        </w:rPr>
        <w:t xml:space="preserve"> </w:t>
      </w:r>
      <w:r>
        <w:t>gains/(losses)</w:t>
      </w:r>
      <w:r>
        <w:rPr>
          <w:spacing w:val="-4"/>
        </w:rPr>
        <w:t xml:space="preserve"> </w:t>
      </w:r>
      <w:r>
        <w:t>on</w:t>
      </w:r>
      <w:r>
        <w:rPr>
          <w:spacing w:val="-4"/>
        </w:rPr>
        <w:t xml:space="preserve"> </w:t>
      </w:r>
      <w:r>
        <w:t>investments,</w:t>
      </w:r>
      <w:r>
        <w:rPr>
          <w:spacing w:val="-4"/>
        </w:rPr>
        <w:t xml:space="preserve"> </w:t>
      </w:r>
      <w:r>
        <w:t>fair</w:t>
      </w:r>
      <w:r>
        <w:rPr>
          <w:spacing w:val="-4"/>
        </w:rPr>
        <w:t xml:space="preserve"> </w:t>
      </w:r>
      <w:r>
        <w:t>value</w:t>
      </w:r>
      <w:r>
        <w:rPr>
          <w:spacing w:val="-4"/>
        </w:rPr>
        <w:t xml:space="preserve"> </w:t>
      </w:r>
      <w:r>
        <w:t>gains/(losses) on investments) for the Group increased from negative $8m in 2021-22 to $14.7m in 2022-23. The unwinding of negative investor sentiment and a resilient economy saw a sharp turnaround in nominal, non-inflation adjusted returns.</w:t>
      </w:r>
    </w:p>
    <w:p w14:paraId="05F652A6" w14:textId="77777777" w:rsidR="00AC6F3C" w:rsidRDefault="00570E88">
      <w:pPr>
        <w:pStyle w:val="BodyText"/>
        <w:spacing w:before="173"/>
        <w:ind w:left="815"/>
      </w:pPr>
      <w:r>
        <w:t>Employee</w:t>
      </w:r>
      <w:r>
        <w:rPr>
          <w:spacing w:val="-6"/>
        </w:rPr>
        <w:t xml:space="preserve"> </w:t>
      </w:r>
      <w:r>
        <w:t>expenses</w:t>
      </w:r>
      <w:r>
        <w:rPr>
          <w:spacing w:val="-3"/>
        </w:rPr>
        <w:t xml:space="preserve"> </w:t>
      </w:r>
      <w:r>
        <w:t>for</w:t>
      </w:r>
      <w:r>
        <w:rPr>
          <w:spacing w:val="-3"/>
        </w:rPr>
        <w:t xml:space="preserve"> </w:t>
      </w:r>
      <w:r>
        <w:t>the</w:t>
      </w:r>
      <w:r>
        <w:rPr>
          <w:spacing w:val="-4"/>
        </w:rPr>
        <w:t xml:space="preserve"> </w:t>
      </w:r>
      <w:r>
        <w:t>Group</w:t>
      </w:r>
      <w:r>
        <w:rPr>
          <w:spacing w:val="-3"/>
        </w:rPr>
        <w:t xml:space="preserve"> </w:t>
      </w:r>
      <w:r>
        <w:t>increased</w:t>
      </w:r>
      <w:r>
        <w:rPr>
          <w:spacing w:val="-3"/>
        </w:rPr>
        <w:t xml:space="preserve"> </w:t>
      </w:r>
      <w:r>
        <w:t>by</w:t>
      </w:r>
      <w:r>
        <w:rPr>
          <w:spacing w:val="-4"/>
        </w:rPr>
        <w:t xml:space="preserve"> </w:t>
      </w:r>
      <w:r>
        <w:t>$1.5m</w:t>
      </w:r>
      <w:r>
        <w:rPr>
          <w:spacing w:val="-3"/>
        </w:rPr>
        <w:t xml:space="preserve"> </w:t>
      </w:r>
      <w:r>
        <w:t>while</w:t>
      </w:r>
      <w:r>
        <w:rPr>
          <w:spacing w:val="-3"/>
        </w:rPr>
        <w:t xml:space="preserve"> </w:t>
      </w:r>
      <w:r>
        <w:t>overall</w:t>
      </w:r>
      <w:r>
        <w:rPr>
          <w:spacing w:val="-4"/>
        </w:rPr>
        <w:t xml:space="preserve"> </w:t>
      </w:r>
      <w:r>
        <w:t>group</w:t>
      </w:r>
      <w:r>
        <w:rPr>
          <w:spacing w:val="-3"/>
        </w:rPr>
        <w:t xml:space="preserve"> </w:t>
      </w:r>
      <w:r>
        <w:t>expenses</w:t>
      </w:r>
      <w:r>
        <w:rPr>
          <w:spacing w:val="-3"/>
        </w:rPr>
        <w:t xml:space="preserve"> </w:t>
      </w:r>
      <w:r>
        <w:t>increased</w:t>
      </w:r>
      <w:r>
        <w:rPr>
          <w:spacing w:val="-3"/>
        </w:rPr>
        <w:t xml:space="preserve"> </w:t>
      </w:r>
      <w:r>
        <w:rPr>
          <w:spacing w:val="-5"/>
        </w:rPr>
        <w:t>by</w:t>
      </w:r>
    </w:p>
    <w:p w14:paraId="55CD61AD" w14:textId="77777777" w:rsidR="00AC6F3C" w:rsidRDefault="00570E88">
      <w:pPr>
        <w:pStyle w:val="BodyText"/>
        <w:spacing w:before="10"/>
        <w:ind w:left="815"/>
      </w:pPr>
      <w:r>
        <w:t>$20.9m,</w:t>
      </w:r>
      <w:r>
        <w:rPr>
          <w:spacing w:val="-5"/>
        </w:rPr>
        <w:t xml:space="preserve"> </w:t>
      </w:r>
      <w:r>
        <w:t>driven</w:t>
      </w:r>
      <w:r>
        <w:rPr>
          <w:spacing w:val="-2"/>
        </w:rPr>
        <w:t xml:space="preserve"> </w:t>
      </w:r>
      <w:r>
        <w:t>mainly</w:t>
      </w:r>
      <w:r>
        <w:rPr>
          <w:spacing w:val="-2"/>
        </w:rPr>
        <w:t xml:space="preserve"> </w:t>
      </w:r>
      <w:r>
        <w:t>by</w:t>
      </w:r>
      <w:r>
        <w:rPr>
          <w:spacing w:val="-2"/>
        </w:rPr>
        <w:t xml:space="preserve"> </w:t>
      </w:r>
      <w:r>
        <w:t>higher</w:t>
      </w:r>
      <w:r>
        <w:rPr>
          <w:spacing w:val="-2"/>
        </w:rPr>
        <w:t xml:space="preserve"> </w:t>
      </w:r>
      <w:r>
        <w:t>insurance</w:t>
      </w:r>
      <w:r>
        <w:rPr>
          <w:spacing w:val="-2"/>
        </w:rPr>
        <w:t xml:space="preserve"> claims.</w:t>
      </w:r>
    </w:p>
    <w:p w14:paraId="43290C9A" w14:textId="77777777" w:rsidR="00AC6F3C" w:rsidRDefault="00AC6F3C">
      <w:pPr>
        <w:pStyle w:val="BodyText"/>
        <w:spacing w:before="9"/>
        <w:rPr>
          <w:sz w:val="31"/>
        </w:rPr>
      </w:pPr>
    </w:p>
    <w:p w14:paraId="18D55939" w14:textId="77777777" w:rsidR="00AC6F3C" w:rsidRDefault="00570E88">
      <w:pPr>
        <w:spacing w:before="1"/>
        <w:ind w:left="815"/>
        <w:rPr>
          <w:b/>
          <w:sz w:val="26"/>
        </w:rPr>
      </w:pPr>
      <w:r>
        <w:rPr>
          <w:b/>
          <w:sz w:val="26"/>
        </w:rPr>
        <w:t>Queensland</w:t>
      </w:r>
      <w:r>
        <w:rPr>
          <w:b/>
          <w:spacing w:val="-4"/>
          <w:sz w:val="26"/>
        </w:rPr>
        <w:t xml:space="preserve"> </w:t>
      </w:r>
      <w:r>
        <w:rPr>
          <w:b/>
          <w:sz w:val="26"/>
        </w:rPr>
        <w:t>Law</w:t>
      </w:r>
      <w:r>
        <w:rPr>
          <w:b/>
          <w:spacing w:val="-1"/>
          <w:sz w:val="26"/>
        </w:rPr>
        <w:t xml:space="preserve"> </w:t>
      </w:r>
      <w:r>
        <w:rPr>
          <w:b/>
          <w:sz w:val="26"/>
        </w:rPr>
        <w:t>Society</w:t>
      </w:r>
      <w:r>
        <w:rPr>
          <w:b/>
          <w:spacing w:val="-2"/>
          <w:sz w:val="26"/>
        </w:rPr>
        <w:t xml:space="preserve"> </w:t>
      </w:r>
      <w:r>
        <w:rPr>
          <w:b/>
          <w:sz w:val="26"/>
        </w:rPr>
        <w:t>Incorporated</w:t>
      </w:r>
      <w:r>
        <w:rPr>
          <w:b/>
          <w:spacing w:val="-1"/>
          <w:sz w:val="26"/>
        </w:rPr>
        <w:t xml:space="preserve"> </w:t>
      </w:r>
      <w:r>
        <w:rPr>
          <w:b/>
          <w:spacing w:val="-2"/>
          <w:sz w:val="26"/>
        </w:rPr>
        <w:t>(parent)</w:t>
      </w:r>
    </w:p>
    <w:p w14:paraId="4BCC9B0D" w14:textId="77777777" w:rsidR="00AC6F3C" w:rsidRDefault="00570E88">
      <w:pPr>
        <w:pStyle w:val="BodyText"/>
        <w:spacing w:before="167" w:line="249" w:lineRule="auto"/>
        <w:ind w:left="815" w:right="290"/>
      </w:pPr>
      <w:r>
        <w:t>Queensland Law Society Incorporated achieved an underlying Operating Surplus for 2022-23 before accounting</w:t>
      </w:r>
      <w:r>
        <w:rPr>
          <w:spacing w:val="-3"/>
        </w:rPr>
        <w:t xml:space="preserve"> </w:t>
      </w:r>
      <w:r>
        <w:t>for</w:t>
      </w:r>
      <w:r>
        <w:rPr>
          <w:spacing w:val="-3"/>
        </w:rPr>
        <w:t xml:space="preserve"> </w:t>
      </w:r>
      <w:r>
        <w:t>the</w:t>
      </w:r>
      <w:r>
        <w:rPr>
          <w:spacing w:val="-3"/>
        </w:rPr>
        <w:t xml:space="preserve"> </w:t>
      </w:r>
      <w:r>
        <w:t>refurbishment</w:t>
      </w:r>
      <w:r>
        <w:rPr>
          <w:spacing w:val="-3"/>
        </w:rPr>
        <w:t xml:space="preserve"> </w:t>
      </w:r>
      <w:r>
        <w:t>project</w:t>
      </w:r>
      <w:r>
        <w:rPr>
          <w:spacing w:val="-3"/>
        </w:rPr>
        <w:t xml:space="preserve"> </w:t>
      </w:r>
      <w:r>
        <w:t>costs</w:t>
      </w:r>
      <w:r>
        <w:rPr>
          <w:spacing w:val="-3"/>
        </w:rPr>
        <w:t xml:space="preserve"> </w:t>
      </w:r>
      <w:r>
        <w:t>which</w:t>
      </w:r>
      <w:r>
        <w:rPr>
          <w:spacing w:val="-3"/>
        </w:rPr>
        <w:t xml:space="preserve"> </w:t>
      </w:r>
      <w:r>
        <w:t>were</w:t>
      </w:r>
      <w:r>
        <w:rPr>
          <w:spacing w:val="-3"/>
        </w:rPr>
        <w:t xml:space="preserve"> </w:t>
      </w:r>
      <w:r>
        <w:t>not</w:t>
      </w:r>
      <w:r>
        <w:rPr>
          <w:spacing w:val="-3"/>
        </w:rPr>
        <w:t xml:space="preserve"> </w:t>
      </w:r>
      <w:r>
        <w:t>able</w:t>
      </w:r>
      <w:r>
        <w:rPr>
          <w:spacing w:val="-3"/>
        </w:rPr>
        <w:t xml:space="preserve"> </w:t>
      </w:r>
      <w:r>
        <w:t>to</w:t>
      </w:r>
      <w:r>
        <w:rPr>
          <w:spacing w:val="-3"/>
        </w:rPr>
        <w:t xml:space="preserve"> </w:t>
      </w:r>
      <w:r>
        <w:t>be</w:t>
      </w:r>
      <w:r>
        <w:rPr>
          <w:spacing w:val="-3"/>
        </w:rPr>
        <w:t xml:space="preserve"> </w:t>
      </w:r>
      <w:proofErr w:type="spellStart"/>
      <w:r>
        <w:t>capitalised</w:t>
      </w:r>
      <w:proofErr w:type="spellEnd"/>
      <w:r>
        <w:rPr>
          <w:spacing w:val="-3"/>
        </w:rPr>
        <w:t xml:space="preserve"> </w:t>
      </w:r>
      <w:r>
        <w:t>of</w:t>
      </w:r>
      <w:r>
        <w:rPr>
          <w:spacing w:val="-3"/>
        </w:rPr>
        <w:t xml:space="preserve"> </w:t>
      </w:r>
      <w:r>
        <w:t>$2.5M.</w:t>
      </w:r>
      <w:r>
        <w:rPr>
          <w:spacing w:val="-6"/>
        </w:rPr>
        <w:t xml:space="preserve"> </w:t>
      </w:r>
      <w:r>
        <w:t>The</w:t>
      </w:r>
      <w:r>
        <w:rPr>
          <w:spacing w:val="-3"/>
        </w:rPr>
        <w:t xml:space="preserve"> </w:t>
      </w:r>
      <w:r>
        <w:t xml:space="preserve">costs not able to be </w:t>
      </w:r>
      <w:proofErr w:type="spellStart"/>
      <w:r>
        <w:t>capitalised</w:t>
      </w:r>
      <w:proofErr w:type="spellEnd"/>
      <w:r>
        <w:t xml:space="preserve"> included demolition costs, depreciation on refurbished costs </w:t>
      </w:r>
      <w:proofErr w:type="spellStart"/>
      <w:r>
        <w:t>capitalised</w:t>
      </w:r>
      <w:proofErr w:type="spellEnd"/>
      <w:r>
        <w:t xml:space="preserve"> and write-off of existing assets demolished which had not been fully depreciated. More members continually have joined the Society, and membership and Practicing Certificate renewals were above 2021-22.</w:t>
      </w:r>
    </w:p>
    <w:p w14:paraId="0365162C" w14:textId="77777777" w:rsidR="00AC6F3C" w:rsidRDefault="00570E88">
      <w:pPr>
        <w:pStyle w:val="BodyText"/>
        <w:spacing w:before="174" w:line="249" w:lineRule="auto"/>
        <w:ind w:left="815"/>
      </w:pPr>
      <w:r>
        <w:t>Parent net assets as of 30 June 2023 were $65.2m, a decrease of $1.7m, due to the year’s operating deficit.</w:t>
      </w:r>
      <w:r>
        <w:rPr>
          <w:spacing w:val="-4"/>
        </w:rPr>
        <w:t xml:space="preserve"> </w:t>
      </w:r>
      <w:r>
        <w:t>Revenue</w:t>
      </w:r>
      <w:r>
        <w:rPr>
          <w:spacing w:val="-4"/>
        </w:rPr>
        <w:t xml:space="preserve"> </w:t>
      </w:r>
      <w:r>
        <w:t>from</w:t>
      </w:r>
      <w:r>
        <w:rPr>
          <w:spacing w:val="-4"/>
        </w:rPr>
        <w:t xml:space="preserve"> </w:t>
      </w:r>
      <w:r>
        <w:t>Membership</w:t>
      </w:r>
      <w:r>
        <w:rPr>
          <w:spacing w:val="-4"/>
        </w:rPr>
        <w:t xml:space="preserve"> </w:t>
      </w:r>
      <w:r>
        <w:t>fees,</w:t>
      </w:r>
      <w:r>
        <w:rPr>
          <w:spacing w:val="-4"/>
        </w:rPr>
        <w:t xml:space="preserve"> </w:t>
      </w:r>
      <w:r>
        <w:t>Practicing</w:t>
      </w:r>
      <w:r>
        <w:rPr>
          <w:spacing w:val="-4"/>
        </w:rPr>
        <w:t xml:space="preserve"> </w:t>
      </w:r>
      <w:r>
        <w:t>Certificates</w:t>
      </w:r>
      <w:r>
        <w:rPr>
          <w:spacing w:val="-4"/>
        </w:rPr>
        <w:t xml:space="preserve"> </w:t>
      </w:r>
      <w:r>
        <w:t>and</w:t>
      </w:r>
      <w:r>
        <w:rPr>
          <w:spacing w:val="-4"/>
        </w:rPr>
        <w:t xml:space="preserve"> </w:t>
      </w:r>
      <w:r>
        <w:t>Education</w:t>
      </w:r>
      <w:r>
        <w:rPr>
          <w:spacing w:val="-4"/>
        </w:rPr>
        <w:t xml:space="preserve"> </w:t>
      </w:r>
      <w:r>
        <w:t>all</w:t>
      </w:r>
      <w:r>
        <w:rPr>
          <w:spacing w:val="-4"/>
        </w:rPr>
        <w:t xml:space="preserve"> </w:t>
      </w:r>
      <w:r>
        <w:t>increased.</w:t>
      </w:r>
      <w:r>
        <w:rPr>
          <w:spacing w:val="-14"/>
        </w:rPr>
        <w:t xml:space="preserve"> </w:t>
      </w:r>
      <w:r>
        <w:t>Additional contractors were engaged to enhance member experience with renewals.</w:t>
      </w:r>
    </w:p>
    <w:p w14:paraId="58103E4B" w14:textId="77777777" w:rsidR="00AC6F3C" w:rsidRDefault="00AC6F3C">
      <w:pPr>
        <w:spacing w:line="249" w:lineRule="auto"/>
        <w:sectPr w:rsidR="00AC6F3C">
          <w:headerReference w:type="default" r:id="rId205"/>
          <w:footerReference w:type="default" r:id="rId206"/>
          <w:pgSz w:w="11910" w:h="16840"/>
          <w:pgMar w:top="980" w:right="1160" w:bottom="520" w:left="460" w:header="0" w:footer="336" w:gutter="0"/>
          <w:cols w:space="720"/>
        </w:sectPr>
      </w:pPr>
    </w:p>
    <w:p w14:paraId="0232B8D0" w14:textId="77777777" w:rsidR="00AC6F3C" w:rsidRDefault="00AC6F3C">
      <w:pPr>
        <w:pStyle w:val="BodyText"/>
      </w:pPr>
    </w:p>
    <w:p w14:paraId="6EE8B6D0" w14:textId="77777777" w:rsidR="00AC6F3C" w:rsidRDefault="00AC6F3C">
      <w:pPr>
        <w:pStyle w:val="BodyText"/>
      </w:pPr>
    </w:p>
    <w:p w14:paraId="70BA2CB1" w14:textId="77777777" w:rsidR="00AC6F3C" w:rsidRDefault="00AC6F3C">
      <w:pPr>
        <w:pStyle w:val="BodyText"/>
      </w:pPr>
    </w:p>
    <w:p w14:paraId="31517F0F" w14:textId="77777777" w:rsidR="00AC6F3C" w:rsidRDefault="00AC6F3C">
      <w:pPr>
        <w:pStyle w:val="BodyText"/>
      </w:pPr>
    </w:p>
    <w:p w14:paraId="1E842690" w14:textId="77777777" w:rsidR="00AC6F3C" w:rsidRDefault="00AC6F3C">
      <w:pPr>
        <w:pStyle w:val="BodyText"/>
      </w:pPr>
    </w:p>
    <w:p w14:paraId="4EC81A0F" w14:textId="77777777" w:rsidR="00AC6F3C" w:rsidRDefault="00AC6F3C">
      <w:pPr>
        <w:pStyle w:val="BodyText"/>
      </w:pPr>
    </w:p>
    <w:p w14:paraId="6D9C90AE" w14:textId="77777777" w:rsidR="00AC6F3C" w:rsidRDefault="00AC6F3C">
      <w:pPr>
        <w:pStyle w:val="BodyText"/>
      </w:pPr>
    </w:p>
    <w:p w14:paraId="2A675E3F" w14:textId="77777777" w:rsidR="00AC6F3C" w:rsidRDefault="00AC6F3C">
      <w:pPr>
        <w:pStyle w:val="BodyText"/>
      </w:pPr>
    </w:p>
    <w:p w14:paraId="5A975440" w14:textId="77777777" w:rsidR="00AC6F3C" w:rsidRDefault="00AC6F3C">
      <w:pPr>
        <w:pStyle w:val="BodyText"/>
      </w:pPr>
    </w:p>
    <w:p w14:paraId="7A881262" w14:textId="77777777" w:rsidR="00AC6F3C" w:rsidRDefault="00AC6F3C">
      <w:pPr>
        <w:pStyle w:val="BodyText"/>
      </w:pPr>
    </w:p>
    <w:p w14:paraId="51363276" w14:textId="77777777" w:rsidR="00AC6F3C" w:rsidRDefault="00AC6F3C">
      <w:pPr>
        <w:pStyle w:val="BodyText"/>
      </w:pPr>
    </w:p>
    <w:p w14:paraId="273AB242" w14:textId="77777777" w:rsidR="00AC6F3C" w:rsidRDefault="00AC6F3C">
      <w:pPr>
        <w:pStyle w:val="BodyText"/>
      </w:pPr>
    </w:p>
    <w:p w14:paraId="11D55C34" w14:textId="77777777" w:rsidR="00AC6F3C" w:rsidRDefault="00AC6F3C">
      <w:pPr>
        <w:pStyle w:val="BodyText"/>
      </w:pPr>
    </w:p>
    <w:p w14:paraId="413F02A5" w14:textId="77777777" w:rsidR="00AC6F3C" w:rsidRDefault="00AC6F3C">
      <w:pPr>
        <w:pStyle w:val="BodyText"/>
      </w:pPr>
    </w:p>
    <w:p w14:paraId="29553FEC" w14:textId="77777777" w:rsidR="00AC6F3C" w:rsidRDefault="00AC6F3C">
      <w:pPr>
        <w:pStyle w:val="BodyText"/>
      </w:pPr>
    </w:p>
    <w:p w14:paraId="4681FB41" w14:textId="77777777" w:rsidR="00AC6F3C" w:rsidRDefault="00AC6F3C">
      <w:pPr>
        <w:pStyle w:val="BodyText"/>
        <w:spacing w:before="3"/>
        <w:rPr>
          <w:sz w:val="28"/>
        </w:rPr>
      </w:pPr>
    </w:p>
    <w:p w14:paraId="0390C123" w14:textId="77777777" w:rsidR="00AC6F3C" w:rsidRDefault="00570E88">
      <w:pPr>
        <w:spacing w:before="81"/>
        <w:ind w:left="958"/>
        <w:rPr>
          <w:b/>
          <w:sz w:val="56"/>
        </w:rPr>
      </w:pPr>
      <w:bookmarkStart w:id="90" w:name="_bookmark33"/>
      <w:bookmarkEnd w:id="90"/>
      <w:r>
        <w:rPr>
          <w:b/>
          <w:sz w:val="56"/>
        </w:rPr>
        <w:t>QUEENSLAND</w:t>
      </w:r>
      <w:r>
        <w:rPr>
          <w:b/>
          <w:spacing w:val="-39"/>
          <w:sz w:val="56"/>
        </w:rPr>
        <w:t xml:space="preserve"> </w:t>
      </w:r>
      <w:r>
        <w:rPr>
          <w:b/>
          <w:sz w:val="56"/>
        </w:rPr>
        <w:t>LAW</w:t>
      </w:r>
      <w:r>
        <w:rPr>
          <w:b/>
          <w:spacing w:val="-39"/>
          <w:sz w:val="56"/>
        </w:rPr>
        <w:t xml:space="preserve"> </w:t>
      </w:r>
      <w:r>
        <w:rPr>
          <w:b/>
          <w:sz w:val="56"/>
        </w:rPr>
        <w:t xml:space="preserve">SOCIETY </w:t>
      </w:r>
      <w:r>
        <w:rPr>
          <w:b/>
          <w:spacing w:val="-2"/>
          <w:sz w:val="56"/>
        </w:rPr>
        <w:t>INCORPORATED</w:t>
      </w:r>
    </w:p>
    <w:p w14:paraId="634E0AFE" w14:textId="77777777" w:rsidR="00AC6F3C" w:rsidRDefault="00570E88">
      <w:pPr>
        <w:spacing w:before="240"/>
        <w:ind w:left="958" w:right="2797"/>
        <w:rPr>
          <w:sz w:val="44"/>
        </w:rPr>
      </w:pPr>
      <w:r>
        <w:rPr>
          <w:sz w:val="44"/>
        </w:rPr>
        <w:t>Consolidated Financial Report For</w:t>
      </w:r>
      <w:r>
        <w:rPr>
          <w:spacing w:val="-20"/>
          <w:sz w:val="44"/>
        </w:rPr>
        <w:t xml:space="preserve"> </w:t>
      </w:r>
      <w:r>
        <w:rPr>
          <w:sz w:val="44"/>
        </w:rPr>
        <w:t>the</w:t>
      </w:r>
      <w:r>
        <w:rPr>
          <w:spacing w:val="-21"/>
          <w:sz w:val="44"/>
        </w:rPr>
        <w:t xml:space="preserve"> </w:t>
      </w:r>
      <w:r>
        <w:rPr>
          <w:sz w:val="44"/>
        </w:rPr>
        <w:t>year</w:t>
      </w:r>
      <w:r>
        <w:rPr>
          <w:spacing w:val="-21"/>
          <w:sz w:val="44"/>
        </w:rPr>
        <w:t xml:space="preserve"> </w:t>
      </w:r>
      <w:r>
        <w:rPr>
          <w:sz w:val="44"/>
        </w:rPr>
        <w:t>ended</w:t>
      </w:r>
      <w:r>
        <w:rPr>
          <w:spacing w:val="-21"/>
          <w:sz w:val="44"/>
        </w:rPr>
        <w:t xml:space="preserve"> </w:t>
      </w:r>
      <w:r>
        <w:rPr>
          <w:sz w:val="44"/>
        </w:rPr>
        <w:t>30</w:t>
      </w:r>
      <w:r>
        <w:rPr>
          <w:spacing w:val="-21"/>
          <w:sz w:val="44"/>
        </w:rPr>
        <w:t xml:space="preserve"> </w:t>
      </w:r>
      <w:r>
        <w:rPr>
          <w:sz w:val="44"/>
        </w:rPr>
        <w:t>June</w:t>
      </w:r>
      <w:r>
        <w:rPr>
          <w:spacing w:val="-20"/>
          <w:sz w:val="44"/>
        </w:rPr>
        <w:t xml:space="preserve"> </w:t>
      </w:r>
      <w:r>
        <w:rPr>
          <w:sz w:val="44"/>
        </w:rPr>
        <w:t>2023</w:t>
      </w:r>
    </w:p>
    <w:p w14:paraId="4408A3B7" w14:textId="77777777" w:rsidR="00AC6F3C" w:rsidRDefault="00AC6F3C">
      <w:pPr>
        <w:rPr>
          <w:sz w:val="44"/>
        </w:rPr>
        <w:sectPr w:rsidR="00AC6F3C">
          <w:headerReference w:type="default" r:id="rId207"/>
          <w:footerReference w:type="default" r:id="rId208"/>
          <w:pgSz w:w="11910" w:h="16840"/>
          <w:pgMar w:top="1920" w:right="1160" w:bottom="520" w:left="460" w:header="0" w:footer="336" w:gutter="0"/>
          <w:cols w:space="720"/>
        </w:sectPr>
      </w:pPr>
    </w:p>
    <w:p w14:paraId="1A7D7D79" w14:textId="77777777" w:rsidR="00AC6F3C" w:rsidRDefault="00AC6F3C">
      <w:pPr>
        <w:pStyle w:val="BodyText"/>
      </w:pPr>
    </w:p>
    <w:p w14:paraId="5B434433" w14:textId="77777777" w:rsidR="00AC6F3C" w:rsidRDefault="00AC6F3C">
      <w:pPr>
        <w:pStyle w:val="BodyText"/>
      </w:pPr>
    </w:p>
    <w:p w14:paraId="3E9C500A" w14:textId="77777777" w:rsidR="00AC6F3C" w:rsidRDefault="00AC6F3C">
      <w:pPr>
        <w:pStyle w:val="BodyText"/>
      </w:pPr>
    </w:p>
    <w:p w14:paraId="0DB75E9C" w14:textId="77777777" w:rsidR="00AC6F3C" w:rsidRDefault="00AC6F3C">
      <w:pPr>
        <w:pStyle w:val="BodyText"/>
        <w:spacing w:before="8"/>
        <w:rPr>
          <w:sz w:val="24"/>
        </w:rPr>
      </w:pPr>
    </w:p>
    <w:p w14:paraId="4EB54B61" w14:textId="77777777" w:rsidR="00AC6F3C" w:rsidRDefault="00570E88">
      <w:pPr>
        <w:pStyle w:val="BodyText"/>
        <w:spacing w:line="20" w:lineRule="exact"/>
        <w:ind w:left="929"/>
        <w:rPr>
          <w:sz w:val="2"/>
        </w:rPr>
      </w:pPr>
      <w:r>
        <w:rPr>
          <w:noProof/>
          <w:sz w:val="2"/>
        </w:rPr>
        <mc:AlternateContent>
          <mc:Choice Requires="wpg">
            <w:drawing>
              <wp:inline distT="0" distB="0" distL="0" distR="0" wp14:anchorId="1ECB3F6D" wp14:editId="764D0C11">
                <wp:extent cx="5796915" cy="12700"/>
                <wp:effectExtent l="0" t="0" r="0" b="0"/>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12700"/>
                          <a:chOff x="0" y="0"/>
                          <a:chExt cx="5796915" cy="12700"/>
                        </a:xfrm>
                      </wpg:grpSpPr>
                      <wps:wsp>
                        <wps:cNvPr id="729" name="Graphic 729"/>
                        <wps:cNvSpPr/>
                        <wps:spPr>
                          <a:xfrm>
                            <a:off x="0" y="0"/>
                            <a:ext cx="5796915" cy="12700"/>
                          </a:xfrm>
                          <a:custGeom>
                            <a:avLst/>
                            <a:gdLst/>
                            <a:ahLst/>
                            <a:cxnLst/>
                            <a:rect l="l" t="t" r="r" b="b"/>
                            <a:pathLst>
                              <a:path w="5796915" h="12700">
                                <a:moveTo>
                                  <a:pt x="5796863" y="12164"/>
                                </a:moveTo>
                                <a:lnTo>
                                  <a:pt x="0" y="12164"/>
                                </a:lnTo>
                                <a:lnTo>
                                  <a:pt x="0" y="0"/>
                                </a:lnTo>
                                <a:lnTo>
                                  <a:pt x="5796863" y="0"/>
                                </a:lnTo>
                                <a:lnTo>
                                  <a:pt x="5796863" y="121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05C18D" id="Group 728" o:spid="_x0000_s1026" style="width:456.45pt;height:1pt;mso-position-horizontal-relative:char;mso-position-vertical-relative:line" coordsize="579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">
                <v:shape id="Graphic 729" o:spid="_x0000_s1027" style="position:absolute;width:57969;height:127;visibility:visible;mso-wrap-style:square;v-text-anchor:top" coordsize="57969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" path="m5796863,12164l,12164,,,5796863,r,12164xe" fillcolor="black" stroked="f">
                  <v:path arrowok="t"/>
                </v:shape>
                <w10:anchorlock/>
              </v:group>
            </w:pict>
          </mc:Fallback>
        </mc:AlternateContent>
      </w:r>
    </w:p>
    <w:p w14:paraId="1C19B7BC" w14:textId="77777777" w:rsidR="00AC6F3C" w:rsidRDefault="00570E88">
      <w:pPr>
        <w:spacing w:before="98"/>
        <w:ind w:left="958"/>
        <w:rPr>
          <w:b/>
          <w:sz w:val="36"/>
        </w:rPr>
      </w:pPr>
      <w:r>
        <w:rPr>
          <w:b/>
          <w:sz w:val="36"/>
        </w:rPr>
        <w:t>Table</w:t>
      </w:r>
      <w:r>
        <w:rPr>
          <w:b/>
          <w:spacing w:val="-4"/>
          <w:sz w:val="36"/>
        </w:rPr>
        <w:t xml:space="preserve"> </w:t>
      </w:r>
      <w:r>
        <w:rPr>
          <w:b/>
          <w:sz w:val="36"/>
        </w:rPr>
        <w:t xml:space="preserve">of </w:t>
      </w:r>
      <w:r>
        <w:rPr>
          <w:b/>
          <w:spacing w:val="-2"/>
          <w:sz w:val="36"/>
        </w:rPr>
        <w:t>contents</w:t>
      </w:r>
    </w:p>
    <w:p w14:paraId="21AA6591" w14:textId="77777777" w:rsidR="00AC6F3C" w:rsidRDefault="00AC6F3C">
      <w:pPr>
        <w:pStyle w:val="BodyText"/>
        <w:rPr>
          <w:b/>
        </w:rPr>
      </w:pPr>
    </w:p>
    <w:p w14:paraId="21071CFB" w14:textId="77777777" w:rsidR="00AC6F3C" w:rsidRDefault="00AC6F3C">
      <w:pPr>
        <w:pStyle w:val="BodyText"/>
        <w:spacing w:before="10"/>
        <w:rPr>
          <w:b/>
          <w:sz w:val="24"/>
        </w:rPr>
      </w:pPr>
    </w:p>
    <w:tbl>
      <w:tblPr>
        <w:tblW w:w="0" w:type="auto"/>
        <w:tblInd w:w="965" w:type="dxa"/>
        <w:tblLayout w:type="fixed"/>
        <w:tblCellMar>
          <w:left w:w="0" w:type="dxa"/>
          <w:right w:w="0" w:type="dxa"/>
        </w:tblCellMar>
        <w:tblLook w:val="01E0" w:firstRow="1" w:lastRow="1" w:firstColumn="1" w:lastColumn="1" w:noHBand="0" w:noVBand="0"/>
      </w:tblPr>
      <w:tblGrid>
        <w:gridCol w:w="1560"/>
        <w:gridCol w:w="921"/>
        <w:gridCol w:w="5164"/>
        <w:gridCol w:w="1006"/>
        <w:gridCol w:w="420"/>
      </w:tblGrid>
      <w:tr w:rsidR="00AC6F3C" w14:paraId="0BC0DBD4" w14:textId="77777777">
        <w:trPr>
          <w:trHeight w:val="297"/>
        </w:trPr>
        <w:tc>
          <w:tcPr>
            <w:tcW w:w="1560" w:type="dxa"/>
            <w:tcBorders>
              <w:top w:val="single" w:sz="4" w:space="0" w:color="000000"/>
            </w:tcBorders>
          </w:tcPr>
          <w:p w14:paraId="28EF9098" w14:textId="77777777" w:rsidR="00AC6F3C" w:rsidRDefault="00570E88">
            <w:pPr>
              <w:pStyle w:val="TableParagraph"/>
              <w:spacing w:before="44"/>
              <w:ind w:left="105"/>
              <w:rPr>
                <w:b/>
                <w:sz w:val="18"/>
              </w:rPr>
            </w:pPr>
            <w:r>
              <w:rPr>
                <w:b/>
                <w:spacing w:val="-2"/>
                <w:sz w:val="18"/>
              </w:rPr>
              <w:t>Financial</w:t>
            </w:r>
          </w:p>
        </w:tc>
        <w:tc>
          <w:tcPr>
            <w:tcW w:w="6085" w:type="dxa"/>
            <w:gridSpan w:val="2"/>
            <w:tcBorders>
              <w:top w:val="single" w:sz="4" w:space="0" w:color="000000"/>
              <w:bottom w:val="single" w:sz="4" w:space="0" w:color="000000"/>
            </w:tcBorders>
          </w:tcPr>
          <w:p w14:paraId="098ACEAB" w14:textId="77777777" w:rsidR="00AC6F3C" w:rsidRDefault="00570E88">
            <w:pPr>
              <w:pStyle w:val="TableParagraph"/>
              <w:spacing w:before="44"/>
              <w:ind w:left="105"/>
              <w:rPr>
                <w:b/>
                <w:sz w:val="18"/>
              </w:rPr>
            </w:pPr>
            <w:r>
              <w:rPr>
                <w:b/>
                <w:spacing w:val="-4"/>
                <w:sz w:val="18"/>
              </w:rPr>
              <w:t>Statement</w:t>
            </w:r>
            <w:r>
              <w:rPr>
                <w:b/>
                <w:spacing w:val="1"/>
                <w:sz w:val="18"/>
              </w:rPr>
              <w:t xml:space="preserve"> </w:t>
            </w:r>
            <w:r>
              <w:rPr>
                <w:b/>
                <w:spacing w:val="-4"/>
                <w:sz w:val="18"/>
              </w:rPr>
              <w:t>of</w:t>
            </w:r>
            <w:r>
              <w:rPr>
                <w:b/>
                <w:spacing w:val="2"/>
                <w:sz w:val="18"/>
              </w:rPr>
              <w:t xml:space="preserve"> </w:t>
            </w:r>
            <w:r>
              <w:rPr>
                <w:b/>
                <w:spacing w:val="-4"/>
                <w:sz w:val="18"/>
              </w:rPr>
              <w:t>Comprehensive</w:t>
            </w:r>
            <w:r>
              <w:rPr>
                <w:b/>
                <w:sz w:val="18"/>
              </w:rPr>
              <w:t xml:space="preserve"> </w:t>
            </w:r>
            <w:r>
              <w:rPr>
                <w:b/>
                <w:spacing w:val="-4"/>
                <w:sz w:val="18"/>
              </w:rPr>
              <w:t>Income</w:t>
            </w:r>
          </w:p>
        </w:tc>
        <w:tc>
          <w:tcPr>
            <w:tcW w:w="1006" w:type="dxa"/>
            <w:tcBorders>
              <w:top w:val="single" w:sz="4" w:space="0" w:color="000000"/>
              <w:bottom w:val="single" w:sz="4" w:space="0" w:color="000000"/>
            </w:tcBorders>
          </w:tcPr>
          <w:p w14:paraId="2D27397C" w14:textId="77777777" w:rsidR="00AC6F3C" w:rsidRDefault="00570E88">
            <w:pPr>
              <w:pStyle w:val="TableParagraph"/>
              <w:spacing w:before="44"/>
              <w:ind w:right="67"/>
              <w:jc w:val="right"/>
              <w:rPr>
                <w:b/>
                <w:sz w:val="18"/>
              </w:rPr>
            </w:pPr>
            <w:r>
              <w:rPr>
                <w:b/>
                <w:spacing w:val="-4"/>
                <w:sz w:val="18"/>
              </w:rPr>
              <w:t>Page</w:t>
            </w:r>
          </w:p>
        </w:tc>
        <w:tc>
          <w:tcPr>
            <w:tcW w:w="420" w:type="dxa"/>
            <w:tcBorders>
              <w:top w:val="single" w:sz="4" w:space="0" w:color="000000"/>
              <w:bottom w:val="single" w:sz="4" w:space="0" w:color="000000"/>
            </w:tcBorders>
          </w:tcPr>
          <w:p w14:paraId="54D508D6" w14:textId="77777777" w:rsidR="00AC6F3C" w:rsidRDefault="00570E88">
            <w:pPr>
              <w:pStyle w:val="TableParagraph"/>
              <w:spacing w:before="44"/>
              <w:ind w:left="21"/>
              <w:rPr>
                <w:b/>
                <w:sz w:val="18"/>
              </w:rPr>
            </w:pPr>
            <w:r>
              <w:rPr>
                <w:b/>
                <w:spacing w:val="-5"/>
                <w:sz w:val="18"/>
              </w:rPr>
              <w:t>101</w:t>
            </w:r>
          </w:p>
        </w:tc>
      </w:tr>
      <w:tr w:rsidR="00AC6F3C" w14:paraId="1C313DCF" w14:textId="77777777">
        <w:trPr>
          <w:trHeight w:val="297"/>
        </w:trPr>
        <w:tc>
          <w:tcPr>
            <w:tcW w:w="1560" w:type="dxa"/>
          </w:tcPr>
          <w:p w14:paraId="00BDFE94" w14:textId="77777777" w:rsidR="00AC6F3C" w:rsidRDefault="00570E88">
            <w:pPr>
              <w:pStyle w:val="TableParagraph"/>
              <w:spacing w:line="151" w:lineRule="exact"/>
              <w:ind w:left="105"/>
              <w:rPr>
                <w:b/>
                <w:sz w:val="18"/>
              </w:rPr>
            </w:pPr>
            <w:r>
              <w:rPr>
                <w:b/>
                <w:spacing w:val="-2"/>
                <w:sz w:val="18"/>
              </w:rPr>
              <w:t>Statements</w:t>
            </w:r>
          </w:p>
        </w:tc>
        <w:tc>
          <w:tcPr>
            <w:tcW w:w="6085" w:type="dxa"/>
            <w:gridSpan w:val="2"/>
            <w:tcBorders>
              <w:top w:val="single" w:sz="4" w:space="0" w:color="000000"/>
              <w:bottom w:val="single" w:sz="4" w:space="0" w:color="000000"/>
            </w:tcBorders>
          </w:tcPr>
          <w:p w14:paraId="13DC2DD7" w14:textId="77777777" w:rsidR="00AC6F3C" w:rsidRDefault="00570E88">
            <w:pPr>
              <w:pStyle w:val="TableParagraph"/>
              <w:spacing w:before="44"/>
              <w:ind w:left="105"/>
              <w:rPr>
                <w:b/>
                <w:sz w:val="18"/>
              </w:rPr>
            </w:pPr>
            <w:r>
              <w:rPr>
                <w:b/>
                <w:spacing w:val="-4"/>
                <w:sz w:val="18"/>
              </w:rPr>
              <w:t>Statement</w:t>
            </w:r>
            <w:r>
              <w:rPr>
                <w:b/>
                <w:spacing w:val="2"/>
                <w:sz w:val="18"/>
              </w:rPr>
              <w:t xml:space="preserve"> </w:t>
            </w:r>
            <w:r>
              <w:rPr>
                <w:b/>
                <w:spacing w:val="-4"/>
                <w:sz w:val="18"/>
              </w:rPr>
              <w:t>of</w:t>
            </w:r>
            <w:r>
              <w:rPr>
                <w:b/>
                <w:spacing w:val="1"/>
                <w:sz w:val="18"/>
              </w:rPr>
              <w:t xml:space="preserve"> </w:t>
            </w:r>
            <w:r>
              <w:rPr>
                <w:b/>
                <w:spacing w:val="-4"/>
                <w:sz w:val="18"/>
              </w:rPr>
              <w:t>Financial</w:t>
            </w:r>
            <w:r>
              <w:rPr>
                <w:b/>
                <w:spacing w:val="1"/>
                <w:sz w:val="18"/>
              </w:rPr>
              <w:t xml:space="preserve"> </w:t>
            </w:r>
            <w:r>
              <w:rPr>
                <w:b/>
                <w:spacing w:val="-4"/>
                <w:sz w:val="18"/>
              </w:rPr>
              <w:t>Position</w:t>
            </w:r>
          </w:p>
        </w:tc>
        <w:tc>
          <w:tcPr>
            <w:tcW w:w="1006" w:type="dxa"/>
            <w:tcBorders>
              <w:top w:val="single" w:sz="4" w:space="0" w:color="000000"/>
              <w:bottom w:val="single" w:sz="4" w:space="0" w:color="000000"/>
            </w:tcBorders>
          </w:tcPr>
          <w:p w14:paraId="00D73BD2" w14:textId="77777777" w:rsidR="00AC6F3C" w:rsidRDefault="00570E88">
            <w:pPr>
              <w:pStyle w:val="TableParagraph"/>
              <w:spacing w:before="44"/>
              <w:ind w:right="67"/>
              <w:jc w:val="right"/>
              <w:rPr>
                <w:b/>
                <w:sz w:val="18"/>
              </w:rPr>
            </w:pPr>
            <w:r>
              <w:rPr>
                <w:b/>
                <w:spacing w:val="-4"/>
                <w:sz w:val="18"/>
              </w:rPr>
              <w:t>Page</w:t>
            </w:r>
          </w:p>
        </w:tc>
        <w:tc>
          <w:tcPr>
            <w:tcW w:w="420" w:type="dxa"/>
            <w:tcBorders>
              <w:top w:val="single" w:sz="4" w:space="0" w:color="000000"/>
              <w:bottom w:val="single" w:sz="4" w:space="0" w:color="000000"/>
            </w:tcBorders>
          </w:tcPr>
          <w:p w14:paraId="5C1E946F" w14:textId="77777777" w:rsidR="00AC6F3C" w:rsidRDefault="00570E88">
            <w:pPr>
              <w:pStyle w:val="TableParagraph"/>
              <w:spacing w:before="44"/>
              <w:ind w:left="21"/>
              <w:rPr>
                <w:b/>
                <w:sz w:val="18"/>
              </w:rPr>
            </w:pPr>
            <w:r>
              <w:rPr>
                <w:b/>
                <w:spacing w:val="-5"/>
                <w:sz w:val="18"/>
              </w:rPr>
              <w:t>102</w:t>
            </w:r>
          </w:p>
        </w:tc>
      </w:tr>
      <w:tr w:rsidR="00AC6F3C" w14:paraId="797B1B79" w14:textId="77777777">
        <w:trPr>
          <w:trHeight w:val="294"/>
        </w:trPr>
        <w:tc>
          <w:tcPr>
            <w:tcW w:w="1560" w:type="dxa"/>
          </w:tcPr>
          <w:p w14:paraId="281CDC82" w14:textId="77777777" w:rsidR="00AC6F3C" w:rsidRDefault="00AC6F3C">
            <w:pPr>
              <w:pStyle w:val="TableParagraph"/>
              <w:rPr>
                <w:rFonts w:ascii="Times New Roman"/>
                <w:sz w:val="18"/>
              </w:rPr>
            </w:pPr>
          </w:p>
        </w:tc>
        <w:tc>
          <w:tcPr>
            <w:tcW w:w="6085" w:type="dxa"/>
            <w:gridSpan w:val="2"/>
            <w:tcBorders>
              <w:top w:val="single" w:sz="4" w:space="0" w:color="000000"/>
              <w:bottom w:val="single" w:sz="4" w:space="0" w:color="000000"/>
            </w:tcBorders>
          </w:tcPr>
          <w:p w14:paraId="76442471" w14:textId="77777777" w:rsidR="00AC6F3C" w:rsidRDefault="00570E88">
            <w:pPr>
              <w:pStyle w:val="TableParagraph"/>
              <w:spacing w:before="44"/>
              <w:ind w:left="105"/>
              <w:rPr>
                <w:b/>
                <w:sz w:val="18"/>
              </w:rPr>
            </w:pPr>
            <w:r>
              <w:rPr>
                <w:b/>
                <w:spacing w:val="-2"/>
                <w:sz w:val="18"/>
              </w:rPr>
              <w:t>Statement</w:t>
            </w:r>
            <w:r>
              <w:rPr>
                <w:b/>
                <w:spacing w:val="-10"/>
                <w:sz w:val="18"/>
              </w:rPr>
              <w:t xml:space="preserve"> </w:t>
            </w:r>
            <w:r>
              <w:rPr>
                <w:b/>
                <w:spacing w:val="-2"/>
                <w:sz w:val="18"/>
              </w:rPr>
              <w:t>of</w:t>
            </w:r>
            <w:r>
              <w:rPr>
                <w:b/>
                <w:spacing w:val="-9"/>
                <w:sz w:val="18"/>
              </w:rPr>
              <w:t xml:space="preserve"> </w:t>
            </w:r>
            <w:r>
              <w:rPr>
                <w:b/>
                <w:spacing w:val="-2"/>
                <w:sz w:val="18"/>
              </w:rPr>
              <w:t>Changes</w:t>
            </w:r>
            <w:r>
              <w:rPr>
                <w:b/>
                <w:spacing w:val="-11"/>
                <w:sz w:val="18"/>
              </w:rPr>
              <w:t xml:space="preserve"> </w:t>
            </w:r>
            <w:r>
              <w:rPr>
                <w:b/>
                <w:spacing w:val="-2"/>
                <w:sz w:val="18"/>
              </w:rPr>
              <w:t>in</w:t>
            </w:r>
            <w:r>
              <w:rPr>
                <w:b/>
                <w:spacing w:val="-10"/>
                <w:sz w:val="18"/>
              </w:rPr>
              <w:t xml:space="preserve"> </w:t>
            </w:r>
            <w:r>
              <w:rPr>
                <w:b/>
                <w:spacing w:val="-2"/>
                <w:sz w:val="18"/>
              </w:rPr>
              <w:t>Equity</w:t>
            </w:r>
          </w:p>
        </w:tc>
        <w:tc>
          <w:tcPr>
            <w:tcW w:w="1006" w:type="dxa"/>
            <w:tcBorders>
              <w:top w:val="single" w:sz="4" w:space="0" w:color="000000"/>
              <w:bottom w:val="single" w:sz="4" w:space="0" w:color="000000"/>
            </w:tcBorders>
          </w:tcPr>
          <w:p w14:paraId="2F36EC40" w14:textId="77777777" w:rsidR="00AC6F3C" w:rsidRDefault="00570E88">
            <w:pPr>
              <w:pStyle w:val="TableParagraph"/>
              <w:spacing w:before="44"/>
              <w:ind w:right="67"/>
              <w:jc w:val="right"/>
              <w:rPr>
                <w:b/>
                <w:sz w:val="18"/>
              </w:rPr>
            </w:pPr>
            <w:r>
              <w:rPr>
                <w:b/>
                <w:spacing w:val="-4"/>
                <w:sz w:val="18"/>
              </w:rPr>
              <w:t>Page</w:t>
            </w:r>
          </w:p>
        </w:tc>
        <w:tc>
          <w:tcPr>
            <w:tcW w:w="420" w:type="dxa"/>
            <w:tcBorders>
              <w:top w:val="single" w:sz="4" w:space="0" w:color="000000"/>
              <w:bottom w:val="single" w:sz="4" w:space="0" w:color="000000"/>
            </w:tcBorders>
          </w:tcPr>
          <w:p w14:paraId="69122DFC" w14:textId="77777777" w:rsidR="00AC6F3C" w:rsidRDefault="00570E88">
            <w:pPr>
              <w:pStyle w:val="TableParagraph"/>
              <w:spacing w:before="44"/>
              <w:ind w:left="21"/>
              <w:rPr>
                <w:b/>
                <w:sz w:val="18"/>
              </w:rPr>
            </w:pPr>
            <w:r>
              <w:rPr>
                <w:b/>
                <w:spacing w:val="-5"/>
                <w:sz w:val="18"/>
              </w:rPr>
              <w:t>103</w:t>
            </w:r>
          </w:p>
        </w:tc>
      </w:tr>
      <w:tr w:rsidR="00AC6F3C" w14:paraId="3FE9C9B7" w14:textId="77777777">
        <w:trPr>
          <w:trHeight w:val="297"/>
        </w:trPr>
        <w:tc>
          <w:tcPr>
            <w:tcW w:w="1560" w:type="dxa"/>
            <w:tcBorders>
              <w:bottom w:val="single" w:sz="4" w:space="0" w:color="000000"/>
            </w:tcBorders>
          </w:tcPr>
          <w:p w14:paraId="02D9E5A0" w14:textId="77777777" w:rsidR="00AC6F3C" w:rsidRDefault="00AC6F3C">
            <w:pPr>
              <w:pStyle w:val="TableParagraph"/>
              <w:rPr>
                <w:rFonts w:ascii="Times New Roman"/>
                <w:sz w:val="18"/>
              </w:rPr>
            </w:pPr>
          </w:p>
        </w:tc>
        <w:tc>
          <w:tcPr>
            <w:tcW w:w="6085" w:type="dxa"/>
            <w:gridSpan w:val="2"/>
            <w:tcBorders>
              <w:top w:val="single" w:sz="4" w:space="0" w:color="000000"/>
              <w:bottom w:val="single" w:sz="4" w:space="0" w:color="000000"/>
            </w:tcBorders>
          </w:tcPr>
          <w:p w14:paraId="7C4AD78E" w14:textId="77777777" w:rsidR="00AC6F3C" w:rsidRDefault="00570E88">
            <w:pPr>
              <w:pStyle w:val="TableParagraph"/>
              <w:spacing w:before="44"/>
              <w:ind w:left="105"/>
              <w:rPr>
                <w:b/>
                <w:sz w:val="18"/>
              </w:rPr>
            </w:pPr>
            <w:r>
              <w:rPr>
                <w:b/>
                <w:spacing w:val="-4"/>
                <w:sz w:val="18"/>
              </w:rPr>
              <w:t>Statement</w:t>
            </w:r>
            <w:r>
              <w:rPr>
                <w:b/>
                <w:spacing w:val="-2"/>
                <w:sz w:val="18"/>
              </w:rPr>
              <w:t xml:space="preserve"> </w:t>
            </w:r>
            <w:r>
              <w:rPr>
                <w:b/>
                <w:spacing w:val="-4"/>
                <w:sz w:val="18"/>
              </w:rPr>
              <w:t>of</w:t>
            </w:r>
            <w:r>
              <w:rPr>
                <w:b/>
                <w:sz w:val="18"/>
              </w:rPr>
              <w:t xml:space="preserve"> </w:t>
            </w:r>
            <w:r>
              <w:rPr>
                <w:b/>
                <w:spacing w:val="-4"/>
                <w:sz w:val="18"/>
              </w:rPr>
              <w:t>Cash</w:t>
            </w:r>
            <w:r>
              <w:rPr>
                <w:b/>
                <w:spacing w:val="-2"/>
                <w:sz w:val="18"/>
              </w:rPr>
              <w:t xml:space="preserve"> </w:t>
            </w:r>
            <w:r>
              <w:rPr>
                <w:b/>
                <w:spacing w:val="-4"/>
                <w:sz w:val="18"/>
              </w:rPr>
              <w:t>Flows</w:t>
            </w:r>
          </w:p>
        </w:tc>
        <w:tc>
          <w:tcPr>
            <w:tcW w:w="1006" w:type="dxa"/>
            <w:tcBorders>
              <w:top w:val="single" w:sz="4" w:space="0" w:color="000000"/>
              <w:bottom w:val="single" w:sz="4" w:space="0" w:color="000000"/>
            </w:tcBorders>
          </w:tcPr>
          <w:p w14:paraId="5E3C57C6" w14:textId="77777777" w:rsidR="00AC6F3C" w:rsidRDefault="00570E88">
            <w:pPr>
              <w:pStyle w:val="TableParagraph"/>
              <w:spacing w:before="44"/>
              <w:ind w:right="67"/>
              <w:jc w:val="right"/>
              <w:rPr>
                <w:b/>
                <w:sz w:val="18"/>
              </w:rPr>
            </w:pPr>
            <w:r>
              <w:rPr>
                <w:b/>
                <w:spacing w:val="-4"/>
                <w:sz w:val="18"/>
              </w:rPr>
              <w:t>Page</w:t>
            </w:r>
          </w:p>
        </w:tc>
        <w:tc>
          <w:tcPr>
            <w:tcW w:w="420" w:type="dxa"/>
            <w:tcBorders>
              <w:top w:val="single" w:sz="4" w:space="0" w:color="000000"/>
              <w:bottom w:val="single" w:sz="4" w:space="0" w:color="000000"/>
            </w:tcBorders>
          </w:tcPr>
          <w:p w14:paraId="4C003B25" w14:textId="77777777" w:rsidR="00AC6F3C" w:rsidRDefault="00570E88">
            <w:pPr>
              <w:pStyle w:val="TableParagraph"/>
              <w:spacing w:before="44"/>
              <w:ind w:left="21"/>
              <w:rPr>
                <w:b/>
                <w:sz w:val="18"/>
              </w:rPr>
            </w:pPr>
            <w:r>
              <w:rPr>
                <w:b/>
                <w:spacing w:val="-5"/>
                <w:sz w:val="18"/>
              </w:rPr>
              <w:t>104</w:t>
            </w:r>
          </w:p>
        </w:tc>
      </w:tr>
      <w:tr w:rsidR="00AC6F3C" w14:paraId="451D6D80" w14:textId="77777777">
        <w:trPr>
          <w:trHeight w:val="297"/>
        </w:trPr>
        <w:tc>
          <w:tcPr>
            <w:tcW w:w="1560" w:type="dxa"/>
          </w:tcPr>
          <w:p w14:paraId="06EC5211" w14:textId="77777777" w:rsidR="00AC6F3C" w:rsidRDefault="00570E88">
            <w:pPr>
              <w:pStyle w:val="TableParagraph"/>
              <w:spacing w:before="39"/>
              <w:ind w:left="105"/>
              <w:rPr>
                <w:b/>
                <w:sz w:val="18"/>
              </w:rPr>
            </w:pPr>
            <w:r>
              <w:rPr>
                <w:b/>
                <w:spacing w:val="-2"/>
                <w:sz w:val="18"/>
              </w:rPr>
              <w:t>Notes</w:t>
            </w:r>
            <w:r>
              <w:rPr>
                <w:b/>
                <w:spacing w:val="-10"/>
                <w:sz w:val="18"/>
              </w:rPr>
              <w:t xml:space="preserve"> </w:t>
            </w:r>
            <w:r>
              <w:rPr>
                <w:b/>
                <w:spacing w:val="-2"/>
                <w:sz w:val="18"/>
              </w:rPr>
              <w:t>to</w:t>
            </w:r>
            <w:r>
              <w:rPr>
                <w:b/>
                <w:spacing w:val="-8"/>
                <w:sz w:val="18"/>
              </w:rPr>
              <w:t xml:space="preserve"> </w:t>
            </w:r>
            <w:r>
              <w:rPr>
                <w:b/>
                <w:spacing w:val="-5"/>
                <w:sz w:val="18"/>
              </w:rPr>
              <w:t>the</w:t>
            </w:r>
          </w:p>
        </w:tc>
        <w:tc>
          <w:tcPr>
            <w:tcW w:w="921" w:type="dxa"/>
            <w:tcBorders>
              <w:bottom w:val="single" w:sz="4" w:space="0" w:color="000000"/>
            </w:tcBorders>
          </w:tcPr>
          <w:p w14:paraId="33150ED3" w14:textId="77777777" w:rsidR="00AC6F3C" w:rsidRDefault="00570E88">
            <w:pPr>
              <w:pStyle w:val="TableParagraph"/>
              <w:spacing w:before="39"/>
              <w:ind w:left="105"/>
              <w:rPr>
                <w:b/>
                <w:sz w:val="18"/>
              </w:rPr>
            </w:pPr>
            <w:r>
              <w:rPr>
                <w:noProof/>
              </w:rPr>
              <mc:AlternateContent>
                <mc:Choice Requires="wpg">
                  <w:drawing>
                    <wp:anchor distT="0" distB="0" distL="0" distR="0" simplePos="0" relativeHeight="472922112" behindDoc="1" locked="0" layoutInCell="1" allowOverlap="1" wp14:anchorId="04D4CF5B" wp14:editId="73238E2D">
                      <wp:simplePos x="0" y="0"/>
                      <wp:positionH relativeFrom="column">
                        <wp:posOffset>0</wp:posOffset>
                      </wp:positionH>
                      <wp:positionV relativeFrom="paragraph">
                        <wp:posOffset>380331</wp:posOffset>
                      </wp:positionV>
                      <wp:extent cx="4770120" cy="6350"/>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31" name="Graphic 731"/>
                              <wps:cNvSpPr/>
                              <wps:spPr>
                                <a:xfrm>
                                  <a:off x="-11" y="11"/>
                                  <a:ext cx="4770120" cy="6350"/>
                                </a:xfrm>
                                <a:custGeom>
                                  <a:avLst/>
                                  <a:gdLst/>
                                  <a:ahLst/>
                                  <a:cxnLst/>
                                  <a:rect l="l" t="t" r="r" b="b"/>
                                  <a:pathLst>
                                    <a:path w="4770120" h="6350">
                                      <a:moveTo>
                                        <a:pt x="899071" y="0"/>
                                      </a:moveTo>
                                      <a:lnTo>
                                        <a:pt x="0" y="0"/>
                                      </a:lnTo>
                                      <a:lnTo>
                                        <a:pt x="0" y="6108"/>
                                      </a:lnTo>
                                      <a:lnTo>
                                        <a:pt x="899071" y="6108"/>
                                      </a:lnTo>
                                      <a:lnTo>
                                        <a:pt x="899071" y="0"/>
                                      </a:lnTo>
                                      <a:close/>
                                    </a:path>
                                    <a:path w="4770120" h="6350">
                                      <a:moveTo>
                                        <a:pt x="4769764" y="0"/>
                                      </a:moveTo>
                                      <a:lnTo>
                                        <a:pt x="4769764" y="0"/>
                                      </a:lnTo>
                                      <a:lnTo>
                                        <a:pt x="899096" y="0"/>
                                      </a:lnTo>
                                      <a:lnTo>
                                        <a:pt x="899096" y="6108"/>
                                      </a:lnTo>
                                      <a:lnTo>
                                        <a:pt x="4769764" y="6108"/>
                                      </a:lnTo>
                                      <a:lnTo>
                                        <a:pt x="4769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F5BB6B" id="Group 730" o:spid="_x0000_s1026" style="position:absolute;margin-left:0;margin-top:29.95pt;width:375.6pt;height:.5pt;z-index:-30394368;mso-wrap-distance-left:0;mso-wrap-distance-right:0"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">
                      <v:shape id="Graphic 731"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" path="m899071,l,,,6108r899071,l899071,xem4769764,r,l899096,r,6108l4769764,6108r,-6108xe" fillcolor="black" stroked="f">
                        <v:path arrowok="t"/>
                      </v:shape>
                    </v:group>
                  </w:pict>
                </mc:Fallback>
              </mc:AlternateContent>
            </w:r>
            <w:r>
              <w:rPr>
                <w:b/>
                <w:spacing w:val="-5"/>
                <w:sz w:val="18"/>
              </w:rPr>
              <w:t>A1</w:t>
            </w:r>
          </w:p>
        </w:tc>
        <w:tc>
          <w:tcPr>
            <w:tcW w:w="5164" w:type="dxa"/>
            <w:tcBorders>
              <w:bottom w:val="single" w:sz="4" w:space="0" w:color="000000"/>
            </w:tcBorders>
          </w:tcPr>
          <w:p w14:paraId="49E6746B" w14:textId="77777777" w:rsidR="00AC6F3C" w:rsidRDefault="00570E88">
            <w:pPr>
              <w:pStyle w:val="TableParagraph"/>
              <w:spacing w:before="39"/>
              <w:ind w:left="585"/>
              <w:rPr>
                <w:b/>
                <w:sz w:val="18"/>
              </w:rPr>
            </w:pPr>
            <w:r>
              <w:rPr>
                <w:b/>
                <w:spacing w:val="-4"/>
                <w:sz w:val="18"/>
              </w:rPr>
              <w:t>Basis</w:t>
            </w:r>
            <w:r>
              <w:rPr>
                <w:b/>
                <w:spacing w:val="-1"/>
                <w:sz w:val="18"/>
              </w:rPr>
              <w:t xml:space="preserve"> </w:t>
            </w:r>
            <w:r>
              <w:rPr>
                <w:b/>
                <w:spacing w:val="-4"/>
                <w:sz w:val="18"/>
              </w:rPr>
              <w:t>of</w:t>
            </w:r>
            <w:r>
              <w:rPr>
                <w:b/>
                <w:spacing w:val="-1"/>
                <w:sz w:val="18"/>
              </w:rPr>
              <w:t xml:space="preserve"> </w:t>
            </w:r>
            <w:r>
              <w:rPr>
                <w:b/>
                <w:spacing w:val="-4"/>
                <w:sz w:val="18"/>
              </w:rPr>
              <w:t>Financial</w:t>
            </w:r>
            <w:r>
              <w:rPr>
                <w:b/>
                <w:spacing w:val="2"/>
                <w:sz w:val="18"/>
              </w:rPr>
              <w:t xml:space="preserve"> </w:t>
            </w:r>
            <w:r>
              <w:rPr>
                <w:b/>
                <w:spacing w:val="-4"/>
                <w:sz w:val="18"/>
              </w:rPr>
              <w:t>Statement</w:t>
            </w:r>
            <w:r>
              <w:rPr>
                <w:b/>
                <w:sz w:val="18"/>
              </w:rPr>
              <w:t xml:space="preserve"> </w:t>
            </w:r>
            <w:r>
              <w:rPr>
                <w:b/>
                <w:spacing w:val="-4"/>
                <w:sz w:val="18"/>
              </w:rPr>
              <w:t>Preparation</w:t>
            </w:r>
          </w:p>
        </w:tc>
        <w:tc>
          <w:tcPr>
            <w:tcW w:w="1006" w:type="dxa"/>
            <w:tcBorders>
              <w:bottom w:val="single" w:sz="4" w:space="0" w:color="000000"/>
            </w:tcBorders>
          </w:tcPr>
          <w:p w14:paraId="290CF674" w14:textId="77777777" w:rsidR="00AC6F3C" w:rsidRDefault="00570E88">
            <w:pPr>
              <w:pStyle w:val="TableParagraph"/>
              <w:spacing w:before="39"/>
              <w:ind w:right="67"/>
              <w:jc w:val="right"/>
              <w:rPr>
                <w:b/>
                <w:sz w:val="18"/>
              </w:rPr>
            </w:pPr>
            <w:r>
              <w:rPr>
                <w:b/>
                <w:spacing w:val="-4"/>
                <w:sz w:val="18"/>
              </w:rPr>
              <w:t>Page</w:t>
            </w:r>
          </w:p>
        </w:tc>
        <w:tc>
          <w:tcPr>
            <w:tcW w:w="420" w:type="dxa"/>
            <w:tcBorders>
              <w:bottom w:val="single" w:sz="4" w:space="0" w:color="000000"/>
            </w:tcBorders>
          </w:tcPr>
          <w:p w14:paraId="715781DA" w14:textId="77777777" w:rsidR="00AC6F3C" w:rsidRDefault="00570E88">
            <w:pPr>
              <w:pStyle w:val="TableParagraph"/>
              <w:spacing w:before="39"/>
              <w:ind w:left="21"/>
              <w:rPr>
                <w:b/>
                <w:sz w:val="18"/>
              </w:rPr>
            </w:pPr>
            <w:r>
              <w:rPr>
                <w:b/>
                <w:spacing w:val="-5"/>
                <w:sz w:val="18"/>
              </w:rPr>
              <w:t>105</w:t>
            </w:r>
          </w:p>
        </w:tc>
      </w:tr>
      <w:tr w:rsidR="00AC6F3C" w14:paraId="0EF4E89F" w14:textId="77777777">
        <w:trPr>
          <w:trHeight w:val="604"/>
        </w:trPr>
        <w:tc>
          <w:tcPr>
            <w:tcW w:w="1560" w:type="dxa"/>
          </w:tcPr>
          <w:p w14:paraId="14FE9128" w14:textId="77777777" w:rsidR="00AC6F3C" w:rsidRDefault="00570E88">
            <w:pPr>
              <w:pStyle w:val="TableParagraph"/>
              <w:spacing w:line="148" w:lineRule="exact"/>
              <w:ind w:left="105"/>
              <w:rPr>
                <w:b/>
                <w:sz w:val="18"/>
              </w:rPr>
            </w:pPr>
            <w:r>
              <w:rPr>
                <w:b/>
                <w:spacing w:val="-2"/>
                <w:sz w:val="18"/>
              </w:rPr>
              <w:t>Financial</w:t>
            </w:r>
          </w:p>
          <w:p w14:paraId="05137437" w14:textId="77777777" w:rsidR="00AC6F3C" w:rsidRDefault="00570E88">
            <w:pPr>
              <w:pStyle w:val="TableParagraph"/>
              <w:spacing w:line="207" w:lineRule="exact"/>
              <w:ind w:left="105"/>
              <w:rPr>
                <w:b/>
                <w:sz w:val="18"/>
              </w:rPr>
            </w:pPr>
            <w:r>
              <w:rPr>
                <w:b/>
                <w:spacing w:val="-2"/>
                <w:sz w:val="18"/>
              </w:rPr>
              <w:t>Statements</w:t>
            </w:r>
          </w:p>
        </w:tc>
        <w:tc>
          <w:tcPr>
            <w:tcW w:w="921" w:type="dxa"/>
            <w:tcBorders>
              <w:bottom w:val="single" w:sz="4" w:space="0" w:color="000000"/>
            </w:tcBorders>
          </w:tcPr>
          <w:p w14:paraId="565E1CCC" w14:textId="77777777" w:rsidR="00AC6F3C" w:rsidRDefault="00AC6F3C">
            <w:pPr>
              <w:pStyle w:val="TableParagraph"/>
              <w:rPr>
                <w:rFonts w:ascii="Times New Roman"/>
                <w:sz w:val="18"/>
              </w:rPr>
            </w:pPr>
          </w:p>
        </w:tc>
        <w:tc>
          <w:tcPr>
            <w:tcW w:w="5164" w:type="dxa"/>
            <w:tcBorders>
              <w:bottom w:val="single" w:sz="4" w:space="0" w:color="000000"/>
            </w:tcBorders>
          </w:tcPr>
          <w:p w14:paraId="7383AE80" w14:textId="77777777" w:rsidR="00AC6F3C" w:rsidRDefault="00570E88">
            <w:pPr>
              <w:pStyle w:val="TableParagraph"/>
              <w:spacing w:before="39"/>
              <w:ind w:left="595"/>
              <w:rPr>
                <w:sz w:val="18"/>
              </w:rPr>
            </w:pPr>
            <w:r>
              <w:rPr>
                <w:sz w:val="18"/>
              </w:rPr>
              <w:t>A1-1</w:t>
            </w:r>
            <w:r>
              <w:rPr>
                <w:spacing w:val="16"/>
                <w:sz w:val="18"/>
              </w:rPr>
              <w:t xml:space="preserve"> </w:t>
            </w:r>
            <w:r>
              <w:rPr>
                <w:sz w:val="18"/>
              </w:rPr>
              <w:t>General</w:t>
            </w:r>
            <w:r>
              <w:rPr>
                <w:spacing w:val="-12"/>
                <w:sz w:val="18"/>
              </w:rPr>
              <w:t xml:space="preserve"> </w:t>
            </w:r>
            <w:r>
              <w:rPr>
                <w:spacing w:val="-2"/>
                <w:sz w:val="18"/>
              </w:rPr>
              <w:t>Information</w:t>
            </w:r>
          </w:p>
          <w:p w14:paraId="1DCA5006" w14:textId="77777777" w:rsidR="00AC6F3C" w:rsidRDefault="00570E88">
            <w:pPr>
              <w:pStyle w:val="TableParagraph"/>
              <w:spacing w:before="101"/>
              <w:ind w:left="602"/>
              <w:rPr>
                <w:sz w:val="18"/>
              </w:rPr>
            </w:pPr>
            <w:r>
              <w:rPr>
                <w:spacing w:val="-2"/>
                <w:sz w:val="18"/>
              </w:rPr>
              <w:t>A1-2</w:t>
            </w:r>
            <w:r>
              <w:rPr>
                <w:spacing w:val="25"/>
                <w:sz w:val="18"/>
              </w:rPr>
              <w:t xml:space="preserve"> </w:t>
            </w:r>
            <w:r>
              <w:rPr>
                <w:spacing w:val="-2"/>
                <w:sz w:val="18"/>
              </w:rPr>
              <w:t>Compliance</w:t>
            </w:r>
            <w:r>
              <w:rPr>
                <w:spacing w:val="-10"/>
                <w:sz w:val="18"/>
              </w:rPr>
              <w:t xml:space="preserve"> </w:t>
            </w:r>
            <w:r>
              <w:rPr>
                <w:spacing w:val="-2"/>
                <w:sz w:val="18"/>
              </w:rPr>
              <w:t>with</w:t>
            </w:r>
            <w:r>
              <w:rPr>
                <w:spacing w:val="-11"/>
                <w:sz w:val="18"/>
              </w:rPr>
              <w:t xml:space="preserve"> </w:t>
            </w:r>
            <w:r>
              <w:rPr>
                <w:spacing w:val="-2"/>
                <w:sz w:val="18"/>
              </w:rPr>
              <w:t>Prescribed</w:t>
            </w:r>
            <w:r>
              <w:rPr>
                <w:spacing w:val="-10"/>
                <w:sz w:val="18"/>
              </w:rPr>
              <w:t xml:space="preserve"> </w:t>
            </w:r>
            <w:r>
              <w:rPr>
                <w:spacing w:val="-2"/>
                <w:sz w:val="18"/>
              </w:rPr>
              <w:t>Requirements</w:t>
            </w:r>
          </w:p>
        </w:tc>
        <w:tc>
          <w:tcPr>
            <w:tcW w:w="1006" w:type="dxa"/>
            <w:tcBorders>
              <w:bottom w:val="single" w:sz="4" w:space="0" w:color="000000"/>
            </w:tcBorders>
          </w:tcPr>
          <w:p w14:paraId="756CC2D4" w14:textId="77777777" w:rsidR="00AC6F3C" w:rsidRDefault="00570E88">
            <w:pPr>
              <w:pStyle w:val="TableParagraph"/>
              <w:spacing w:before="39"/>
              <w:ind w:left="523"/>
              <w:rPr>
                <w:sz w:val="18"/>
              </w:rPr>
            </w:pPr>
            <w:r>
              <w:rPr>
                <w:spacing w:val="-4"/>
                <w:sz w:val="18"/>
              </w:rPr>
              <w:t>Page</w:t>
            </w:r>
          </w:p>
          <w:p w14:paraId="687B383F" w14:textId="77777777" w:rsidR="00AC6F3C" w:rsidRDefault="00570E88">
            <w:pPr>
              <w:pStyle w:val="TableParagraph"/>
              <w:spacing w:before="101"/>
              <w:ind w:left="523"/>
              <w:rPr>
                <w:sz w:val="18"/>
              </w:rPr>
            </w:pPr>
            <w:r>
              <w:rPr>
                <w:spacing w:val="-4"/>
                <w:sz w:val="18"/>
              </w:rPr>
              <w:t>Page</w:t>
            </w:r>
          </w:p>
        </w:tc>
        <w:tc>
          <w:tcPr>
            <w:tcW w:w="420" w:type="dxa"/>
            <w:tcBorders>
              <w:bottom w:val="single" w:sz="4" w:space="0" w:color="000000"/>
            </w:tcBorders>
          </w:tcPr>
          <w:p w14:paraId="5A29C531" w14:textId="77777777" w:rsidR="00AC6F3C" w:rsidRDefault="00570E88">
            <w:pPr>
              <w:pStyle w:val="TableParagraph"/>
              <w:spacing w:before="39"/>
              <w:ind w:left="21"/>
              <w:rPr>
                <w:sz w:val="18"/>
              </w:rPr>
            </w:pPr>
            <w:r>
              <w:rPr>
                <w:spacing w:val="-5"/>
                <w:sz w:val="18"/>
              </w:rPr>
              <w:t>105</w:t>
            </w:r>
          </w:p>
          <w:p w14:paraId="0F7ECFC1" w14:textId="77777777" w:rsidR="00AC6F3C" w:rsidRDefault="00570E88">
            <w:pPr>
              <w:pStyle w:val="TableParagraph"/>
              <w:spacing w:before="101"/>
              <w:ind w:left="21"/>
              <w:rPr>
                <w:sz w:val="18"/>
              </w:rPr>
            </w:pPr>
            <w:r>
              <w:rPr>
                <w:spacing w:val="-5"/>
                <w:sz w:val="18"/>
              </w:rPr>
              <w:t>105</w:t>
            </w:r>
          </w:p>
        </w:tc>
      </w:tr>
      <w:tr w:rsidR="00AC6F3C" w14:paraId="231DF667" w14:textId="77777777">
        <w:trPr>
          <w:trHeight w:val="297"/>
        </w:trPr>
        <w:tc>
          <w:tcPr>
            <w:tcW w:w="1560" w:type="dxa"/>
          </w:tcPr>
          <w:p w14:paraId="648CD681"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0A0DFC4A"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55946C29" w14:textId="77777777" w:rsidR="00AC6F3C" w:rsidRDefault="00570E88">
            <w:pPr>
              <w:pStyle w:val="TableParagraph"/>
              <w:spacing w:before="44"/>
              <w:ind w:left="602"/>
              <w:rPr>
                <w:sz w:val="18"/>
              </w:rPr>
            </w:pPr>
            <w:r>
              <w:rPr>
                <w:sz w:val="18"/>
              </w:rPr>
              <w:t>A1-3</w:t>
            </w:r>
            <w:r>
              <w:rPr>
                <w:spacing w:val="31"/>
                <w:sz w:val="18"/>
              </w:rPr>
              <w:t xml:space="preserve"> </w:t>
            </w:r>
            <w:r>
              <w:rPr>
                <w:spacing w:val="-2"/>
                <w:sz w:val="18"/>
              </w:rPr>
              <w:t>Presentation</w:t>
            </w:r>
          </w:p>
        </w:tc>
        <w:tc>
          <w:tcPr>
            <w:tcW w:w="1006" w:type="dxa"/>
            <w:tcBorders>
              <w:top w:val="single" w:sz="4" w:space="0" w:color="000000"/>
              <w:bottom w:val="single" w:sz="4" w:space="0" w:color="000000"/>
            </w:tcBorders>
          </w:tcPr>
          <w:p w14:paraId="3A065376" w14:textId="77777777" w:rsidR="00AC6F3C" w:rsidRDefault="00570E88">
            <w:pPr>
              <w:pStyle w:val="TableParagraph"/>
              <w:spacing w:before="44"/>
              <w:ind w:right="67"/>
              <w:jc w:val="right"/>
              <w:rPr>
                <w:sz w:val="18"/>
              </w:rPr>
            </w:pPr>
            <w:r>
              <w:rPr>
                <w:spacing w:val="-4"/>
                <w:sz w:val="18"/>
              </w:rPr>
              <w:t>Page</w:t>
            </w:r>
          </w:p>
        </w:tc>
        <w:tc>
          <w:tcPr>
            <w:tcW w:w="420" w:type="dxa"/>
            <w:tcBorders>
              <w:top w:val="single" w:sz="4" w:space="0" w:color="000000"/>
              <w:bottom w:val="single" w:sz="4" w:space="0" w:color="000000"/>
            </w:tcBorders>
          </w:tcPr>
          <w:p w14:paraId="1FBCA54B" w14:textId="77777777" w:rsidR="00AC6F3C" w:rsidRDefault="00570E88">
            <w:pPr>
              <w:pStyle w:val="TableParagraph"/>
              <w:spacing w:before="44"/>
              <w:ind w:left="21"/>
              <w:rPr>
                <w:sz w:val="18"/>
              </w:rPr>
            </w:pPr>
            <w:r>
              <w:rPr>
                <w:spacing w:val="-5"/>
                <w:sz w:val="18"/>
              </w:rPr>
              <w:t>105</w:t>
            </w:r>
          </w:p>
        </w:tc>
      </w:tr>
      <w:tr w:rsidR="00AC6F3C" w14:paraId="44A08DF1" w14:textId="77777777">
        <w:trPr>
          <w:trHeight w:val="297"/>
        </w:trPr>
        <w:tc>
          <w:tcPr>
            <w:tcW w:w="1560" w:type="dxa"/>
          </w:tcPr>
          <w:p w14:paraId="4F82A42F"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61E185F3"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23DCA42E" w14:textId="77777777" w:rsidR="00AC6F3C" w:rsidRDefault="00570E88">
            <w:pPr>
              <w:pStyle w:val="TableParagraph"/>
              <w:spacing w:before="44"/>
              <w:ind w:left="602"/>
              <w:rPr>
                <w:sz w:val="18"/>
              </w:rPr>
            </w:pPr>
            <w:r>
              <w:rPr>
                <w:spacing w:val="-2"/>
                <w:sz w:val="18"/>
              </w:rPr>
              <w:t>A1-4</w:t>
            </w:r>
            <w:r>
              <w:rPr>
                <w:spacing w:val="19"/>
                <w:sz w:val="18"/>
              </w:rPr>
              <w:t xml:space="preserve"> </w:t>
            </w:r>
            <w:proofErr w:type="spellStart"/>
            <w:r>
              <w:rPr>
                <w:spacing w:val="-2"/>
                <w:sz w:val="18"/>
              </w:rPr>
              <w:t>Authorisation</w:t>
            </w:r>
            <w:proofErr w:type="spellEnd"/>
            <w:r>
              <w:rPr>
                <w:spacing w:val="-10"/>
                <w:sz w:val="18"/>
              </w:rPr>
              <w:t xml:space="preserve"> </w:t>
            </w:r>
            <w:r>
              <w:rPr>
                <w:spacing w:val="-2"/>
                <w:sz w:val="18"/>
              </w:rPr>
              <w:t>of</w:t>
            </w:r>
            <w:r>
              <w:rPr>
                <w:spacing w:val="-11"/>
                <w:sz w:val="18"/>
              </w:rPr>
              <w:t xml:space="preserve"> </w:t>
            </w:r>
            <w:r>
              <w:rPr>
                <w:spacing w:val="-2"/>
                <w:sz w:val="18"/>
              </w:rPr>
              <w:t>Financial</w:t>
            </w:r>
            <w:r>
              <w:rPr>
                <w:spacing w:val="-10"/>
                <w:sz w:val="18"/>
              </w:rPr>
              <w:t xml:space="preserve"> </w:t>
            </w:r>
            <w:r>
              <w:rPr>
                <w:spacing w:val="-2"/>
                <w:sz w:val="18"/>
              </w:rPr>
              <w:t>Statements</w:t>
            </w:r>
            <w:r>
              <w:rPr>
                <w:spacing w:val="-11"/>
                <w:sz w:val="18"/>
              </w:rPr>
              <w:t xml:space="preserve"> </w:t>
            </w:r>
            <w:r>
              <w:rPr>
                <w:spacing w:val="-2"/>
                <w:sz w:val="18"/>
              </w:rPr>
              <w:t>for</w:t>
            </w:r>
            <w:r>
              <w:rPr>
                <w:spacing w:val="-10"/>
                <w:sz w:val="18"/>
              </w:rPr>
              <w:t xml:space="preserve"> </w:t>
            </w:r>
            <w:r>
              <w:rPr>
                <w:spacing w:val="-4"/>
                <w:sz w:val="18"/>
              </w:rPr>
              <w:t>Issue</w:t>
            </w:r>
          </w:p>
        </w:tc>
        <w:tc>
          <w:tcPr>
            <w:tcW w:w="1006" w:type="dxa"/>
            <w:tcBorders>
              <w:top w:val="single" w:sz="4" w:space="0" w:color="000000"/>
              <w:bottom w:val="single" w:sz="4" w:space="0" w:color="000000"/>
            </w:tcBorders>
          </w:tcPr>
          <w:p w14:paraId="62933793" w14:textId="77777777" w:rsidR="00AC6F3C" w:rsidRDefault="00570E88">
            <w:pPr>
              <w:pStyle w:val="TableParagraph"/>
              <w:spacing w:before="44"/>
              <w:ind w:right="67"/>
              <w:jc w:val="right"/>
              <w:rPr>
                <w:sz w:val="18"/>
              </w:rPr>
            </w:pPr>
            <w:r>
              <w:rPr>
                <w:spacing w:val="-4"/>
                <w:sz w:val="18"/>
              </w:rPr>
              <w:t>Page</w:t>
            </w:r>
          </w:p>
        </w:tc>
        <w:tc>
          <w:tcPr>
            <w:tcW w:w="420" w:type="dxa"/>
            <w:tcBorders>
              <w:top w:val="single" w:sz="4" w:space="0" w:color="000000"/>
              <w:bottom w:val="single" w:sz="4" w:space="0" w:color="000000"/>
            </w:tcBorders>
          </w:tcPr>
          <w:p w14:paraId="44C7EB74" w14:textId="77777777" w:rsidR="00AC6F3C" w:rsidRDefault="00570E88">
            <w:pPr>
              <w:pStyle w:val="TableParagraph"/>
              <w:spacing w:before="44"/>
              <w:ind w:left="21"/>
              <w:rPr>
                <w:sz w:val="18"/>
              </w:rPr>
            </w:pPr>
            <w:r>
              <w:rPr>
                <w:spacing w:val="-5"/>
                <w:sz w:val="18"/>
              </w:rPr>
              <w:t>106</w:t>
            </w:r>
          </w:p>
        </w:tc>
      </w:tr>
      <w:tr w:rsidR="00AC6F3C" w14:paraId="3DBA7FE2" w14:textId="77777777">
        <w:trPr>
          <w:trHeight w:val="297"/>
        </w:trPr>
        <w:tc>
          <w:tcPr>
            <w:tcW w:w="1560" w:type="dxa"/>
          </w:tcPr>
          <w:p w14:paraId="5E72375B"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5EC291F9"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6966D738" w14:textId="77777777" w:rsidR="00AC6F3C" w:rsidRDefault="00570E88">
            <w:pPr>
              <w:pStyle w:val="TableParagraph"/>
              <w:spacing w:before="44"/>
              <w:ind w:left="602"/>
              <w:rPr>
                <w:sz w:val="18"/>
              </w:rPr>
            </w:pPr>
            <w:r>
              <w:rPr>
                <w:sz w:val="18"/>
              </w:rPr>
              <w:t>A1-5</w:t>
            </w:r>
            <w:r>
              <w:rPr>
                <w:spacing w:val="24"/>
                <w:sz w:val="18"/>
              </w:rPr>
              <w:t xml:space="preserve"> </w:t>
            </w:r>
            <w:r>
              <w:rPr>
                <w:sz w:val="18"/>
              </w:rPr>
              <w:t>Basis</w:t>
            </w:r>
            <w:r>
              <w:rPr>
                <w:spacing w:val="-13"/>
                <w:sz w:val="18"/>
              </w:rPr>
              <w:t xml:space="preserve"> </w:t>
            </w:r>
            <w:r>
              <w:rPr>
                <w:sz w:val="18"/>
              </w:rPr>
              <w:t>of</w:t>
            </w:r>
            <w:r>
              <w:rPr>
                <w:spacing w:val="-12"/>
                <w:sz w:val="18"/>
              </w:rPr>
              <w:t xml:space="preserve"> </w:t>
            </w:r>
            <w:r>
              <w:rPr>
                <w:spacing w:val="-2"/>
                <w:sz w:val="18"/>
              </w:rPr>
              <w:t>Measurement</w:t>
            </w:r>
          </w:p>
        </w:tc>
        <w:tc>
          <w:tcPr>
            <w:tcW w:w="1006" w:type="dxa"/>
            <w:tcBorders>
              <w:top w:val="single" w:sz="4" w:space="0" w:color="000000"/>
              <w:bottom w:val="single" w:sz="4" w:space="0" w:color="000000"/>
            </w:tcBorders>
          </w:tcPr>
          <w:p w14:paraId="295B706A" w14:textId="77777777" w:rsidR="00AC6F3C" w:rsidRDefault="00570E88">
            <w:pPr>
              <w:pStyle w:val="TableParagraph"/>
              <w:spacing w:before="44"/>
              <w:ind w:right="67"/>
              <w:jc w:val="right"/>
              <w:rPr>
                <w:sz w:val="18"/>
              </w:rPr>
            </w:pPr>
            <w:r>
              <w:rPr>
                <w:spacing w:val="-4"/>
                <w:sz w:val="18"/>
              </w:rPr>
              <w:t>Page</w:t>
            </w:r>
          </w:p>
        </w:tc>
        <w:tc>
          <w:tcPr>
            <w:tcW w:w="420" w:type="dxa"/>
            <w:tcBorders>
              <w:top w:val="single" w:sz="4" w:space="0" w:color="000000"/>
              <w:bottom w:val="single" w:sz="4" w:space="0" w:color="000000"/>
            </w:tcBorders>
          </w:tcPr>
          <w:p w14:paraId="33F449A8" w14:textId="77777777" w:rsidR="00AC6F3C" w:rsidRDefault="00570E88">
            <w:pPr>
              <w:pStyle w:val="TableParagraph"/>
              <w:spacing w:before="44"/>
              <w:ind w:left="21"/>
              <w:rPr>
                <w:sz w:val="18"/>
              </w:rPr>
            </w:pPr>
            <w:r>
              <w:rPr>
                <w:spacing w:val="-5"/>
                <w:sz w:val="18"/>
              </w:rPr>
              <w:t>106</w:t>
            </w:r>
          </w:p>
        </w:tc>
      </w:tr>
      <w:tr w:rsidR="00AC6F3C" w14:paraId="3695A82E" w14:textId="77777777">
        <w:trPr>
          <w:trHeight w:val="297"/>
        </w:trPr>
        <w:tc>
          <w:tcPr>
            <w:tcW w:w="1560" w:type="dxa"/>
          </w:tcPr>
          <w:p w14:paraId="36C8D060"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50EED375"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75330E83" w14:textId="77777777" w:rsidR="00AC6F3C" w:rsidRDefault="00570E88">
            <w:pPr>
              <w:pStyle w:val="TableParagraph"/>
              <w:spacing w:before="44"/>
              <w:ind w:left="602"/>
              <w:rPr>
                <w:sz w:val="18"/>
              </w:rPr>
            </w:pPr>
            <w:r>
              <w:rPr>
                <w:sz w:val="18"/>
              </w:rPr>
              <w:t>A1-6</w:t>
            </w:r>
            <w:r>
              <w:rPr>
                <w:spacing w:val="11"/>
                <w:sz w:val="18"/>
              </w:rPr>
              <w:t xml:space="preserve"> </w:t>
            </w:r>
            <w:r>
              <w:rPr>
                <w:sz w:val="18"/>
              </w:rPr>
              <w:t>The</w:t>
            </w:r>
            <w:r>
              <w:rPr>
                <w:spacing w:val="-13"/>
                <w:sz w:val="18"/>
              </w:rPr>
              <w:t xml:space="preserve"> </w:t>
            </w:r>
            <w:r>
              <w:rPr>
                <w:sz w:val="18"/>
              </w:rPr>
              <w:t>Reporting</w:t>
            </w:r>
            <w:r>
              <w:rPr>
                <w:spacing w:val="-12"/>
                <w:sz w:val="18"/>
              </w:rPr>
              <w:t xml:space="preserve"> </w:t>
            </w:r>
            <w:r>
              <w:rPr>
                <w:spacing w:val="-2"/>
                <w:sz w:val="18"/>
              </w:rPr>
              <w:t>Entity</w:t>
            </w:r>
          </w:p>
        </w:tc>
        <w:tc>
          <w:tcPr>
            <w:tcW w:w="1006" w:type="dxa"/>
            <w:tcBorders>
              <w:top w:val="single" w:sz="4" w:space="0" w:color="000000"/>
              <w:bottom w:val="single" w:sz="4" w:space="0" w:color="000000"/>
            </w:tcBorders>
          </w:tcPr>
          <w:p w14:paraId="42C09DB8"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726F657F" w14:textId="77777777" w:rsidR="00AC6F3C" w:rsidRDefault="00570E88">
            <w:pPr>
              <w:pStyle w:val="TableParagraph"/>
              <w:spacing w:before="44"/>
              <w:ind w:left="21"/>
              <w:rPr>
                <w:sz w:val="18"/>
              </w:rPr>
            </w:pPr>
            <w:r>
              <w:rPr>
                <w:spacing w:val="-5"/>
                <w:sz w:val="18"/>
              </w:rPr>
              <w:t>107</w:t>
            </w:r>
          </w:p>
        </w:tc>
      </w:tr>
      <w:tr w:rsidR="00AC6F3C" w14:paraId="3C78742F" w14:textId="77777777">
        <w:trPr>
          <w:trHeight w:val="297"/>
        </w:trPr>
        <w:tc>
          <w:tcPr>
            <w:tcW w:w="1560" w:type="dxa"/>
          </w:tcPr>
          <w:p w14:paraId="2661CE0B"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12A53F7" w14:textId="77777777" w:rsidR="00AC6F3C" w:rsidRDefault="00570E88">
            <w:pPr>
              <w:pStyle w:val="TableParagraph"/>
              <w:spacing w:before="44"/>
              <w:ind w:left="105"/>
              <w:rPr>
                <w:b/>
                <w:sz w:val="18"/>
              </w:rPr>
            </w:pPr>
            <w:r>
              <w:rPr>
                <w:b/>
                <w:spacing w:val="-5"/>
                <w:sz w:val="18"/>
              </w:rPr>
              <w:t>A2</w:t>
            </w:r>
          </w:p>
        </w:tc>
        <w:tc>
          <w:tcPr>
            <w:tcW w:w="5164" w:type="dxa"/>
            <w:tcBorders>
              <w:top w:val="single" w:sz="4" w:space="0" w:color="000000"/>
              <w:bottom w:val="single" w:sz="4" w:space="0" w:color="000000"/>
            </w:tcBorders>
          </w:tcPr>
          <w:p w14:paraId="1FE3E7A6" w14:textId="77777777" w:rsidR="00AC6F3C" w:rsidRDefault="00570E88">
            <w:pPr>
              <w:pStyle w:val="TableParagraph"/>
              <w:spacing w:before="44"/>
              <w:ind w:left="602"/>
              <w:rPr>
                <w:b/>
                <w:sz w:val="18"/>
              </w:rPr>
            </w:pPr>
            <w:r>
              <w:rPr>
                <w:b/>
                <w:spacing w:val="-2"/>
                <w:sz w:val="18"/>
              </w:rPr>
              <w:t>The</w:t>
            </w:r>
            <w:r>
              <w:rPr>
                <w:b/>
                <w:spacing w:val="-11"/>
                <w:sz w:val="18"/>
              </w:rPr>
              <w:t xml:space="preserve"> </w:t>
            </w:r>
            <w:r>
              <w:rPr>
                <w:b/>
                <w:spacing w:val="-2"/>
                <w:sz w:val="18"/>
              </w:rPr>
              <w:t>Society’s</w:t>
            </w:r>
            <w:r>
              <w:rPr>
                <w:b/>
                <w:spacing w:val="-9"/>
                <w:sz w:val="18"/>
              </w:rPr>
              <w:t xml:space="preserve"> </w:t>
            </w:r>
            <w:r>
              <w:rPr>
                <w:b/>
                <w:spacing w:val="-2"/>
                <w:sz w:val="18"/>
              </w:rPr>
              <w:t>Objectives</w:t>
            </w:r>
          </w:p>
        </w:tc>
        <w:tc>
          <w:tcPr>
            <w:tcW w:w="1006" w:type="dxa"/>
            <w:tcBorders>
              <w:top w:val="single" w:sz="4" w:space="0" w:color="000000"/>
              <w:bottom w:val="single" w:sz="4" w:space="0" w:color="000000"/>
            </w:tcBorders>
          </w:tcPr>
          <w:p w14:paraId="053A98A2"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33FE43B6" w14:textId="77777777" w:rsidR="00AC6F3C" w:rsidRDefault="00570E88">
            <w:pPr>
              <w:pStyle w:val="TableParagraph"/>
              <w:spacing w:before="44"/>
              <w:ind w:left="21"/>
              <w:rPr>
                <w:b/>
                <w:sz w:val="18"/>
              </w:rPr>
            </w:pPr>
            <w:r>
              <w:rPr>
                <w:b/>
                <w:spacing w:val="-5"/>
                <w:sz w:val="18"/>
              </w:rPr>
              <w:t>107</w:t>
            </w:r>
          </w:p>
        </w:tc>
      </w:tr>
      <w:tr w:rsidR="00AC6F3C" w14:paraId="3386F075" w14:textId="77777777">
        <w:trPr>
          <w:trHeight w:val="297"/>
        </w:trPr>
        <w:tc>
          <w:tcPr>
            <w:tcW w:w="1560" w:type="dxa"/>
          </w:tcPr>
          <w:p w14:paraId="740E0B75"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59DA8648" w14:textId="77777777" w:rsidR="00AC6F3C" w:rsidRDefault="00570E88">
            <w:pPr>
              <w:pStyle w:val="TableParagraph"/>
              <w:spacing w:before="44"/>
              <w:ind w:left="105"/>
              <w:rPr>
                <w:b/>
                <w:sz w:val="18"/>
              </w:rPr>
            </w:pPr>
            <w:r>
              <w:rPr>
                <w:b/>
                <w:spacing w:val="-5"/>
                <w:sz w:val="18"/>
              </w:rPr>
              <w:t>A3</w:t>
            </w:r>
          </w:p>
        </w:tc>
        <w:tc>
          <w:tcPr>
            <w:tcW w:w="5164" w:type="dxa"/>
            <w:tcBorders>
              <w:top w:val="single" w:sz="4" w:space="0" w:color="000000"/>
              <w:bottom w:val="single" w:sz="4" w:space="0" w:color="000000"/>
            </w:tcBorders>
          </w:tcPr>
          <w:p w14:paraId="2F5E5EE2" w14:textId="77777777" w:rsidR="00AC6F3C" w:rsidRDefault="00570E88">
            <w:pPr>
              <w:pStyle w:val="TableParagraph"/>
              <w:spacing w:before="44"/>
              <w:ind w:left="602"/>
              <w:rPr>
                <w:b/>
                <w:sz w:val="18"/>
              </w:rPr>
            </w:pPr>
            <w:r>
              <w:rPr>
                <w:b/>
                <w:spacing w:val="-4"/>
                <w:sz w:val="18"/>
              </w:rPr>
              <w:t>Controlled</w:t>
            </w:r>
            <w:r>
              <w:rPr>
                <w:b/>
                <w:spacing w:val="6"/>
                <w:sz w:val="18"/>
              </w:rPr>
              <w:t xml:space="preserve"> </w:t>
            </w:r>
            <w:r>
              <w:rPr>
                <w:b/>
                <w:spacing w:val="-2"/>
                <w:sz w:val="18"/>
              </w:rPr>
              <w:t>Entities</w:t>
            </w:r>
          </w:p>
        </w:tc>
        <w:tc>
          <w:tcPr>
            <w:tcW w:w="1006" w:type="dxa"/>
            <w:tcBorders>
              <w:top w:val="single" w:sz="4" w:space="0" w:color="000000"/>
              <w:bottom w:val="single" w:sz="4" w:space="0" w:color="000000"/>
            </w:tcBorders>
          </w:tcPr>
          <w:p w14:paraId="526ADF10"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68FC5648" w14:textId="77777777" w:rsidR="00AC6F3C" w:rsidRDefault="00570E88">
            <w:pPr>
              <w:pStyle w:val="TableParagraph"/>
              <w:spacing w:before="44"/>
              <w:ind w:left="21"/>
              <w:rPr>
                <w:b/>
                <w:sz w:val="18"/>
              </w:rPr>
            </w:pPr>
            <w:r>
              <w:rPr>
                <w:b/>
                <w:spacing w:val="-5"/>
                <w:sz w:val="18"/>
              </w:rPr>
              <w:t>108</w:t>
            </w:r>
          </w:p>
        </w:tc>
      </w:tr>
      <w:tr w:rsidR="00AC6F3C" w14:paraId="33BE27F6" w14:textId="77777777">
        <w:trPr>
          <w:trHeight w:val="294"/>
        </w:trPr>
        <w:tc>
          <w:tcPr>
            <w:tcW w:w="1560" w:type="dxa"/>
          </w:tcPr>
          <w:p w14:paraId="5AC38C5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AEC15FD" w14:textId="77777777" w:rsidR="00AC6F3C" w:rsidRDefault="00570E88">
            <w:pPr>
              <w:pStyle w:val="TableParagraph"/>
              <w:spacing w:before="44"/>
              <w:ind w:left="105"/>
              <w:rPr>
                <w:b/>
                <w:sz w:val="18"/>
              </w:rPr>
            </w:pPr>
            <w:r>
              <w:rPr>
                <w:b/>
                <w:spacing w:val="-5"/>
                <w:sz w:val="18"/>
              </w:rPr>
              <w:t>B1</w:t>
            </w:r>
          </w:p>
        </w:tc>
        <w:tc>
          <w:tcPr>
            <w:tcW w:w="5164" w:type="dxa"/>
            <w:tcBorders>
              <w:top w:val="single" w:sz="4" w:space="0" w:color="000000"/>
              <w:bottom w:val="single" w:sz="4" w:space="0" w:color="000000"/>
            </w:tcBorders>
          </w:tcPr>
          <w:p w14:paraId="6E1454B6" w14:textId="77777777" w:rsidR="00AC6F3C" w:rsidRDefault="00570E88">
            <w:pPr>
              <w:pStyle w:val="TableParagraph"/>
              <w:spacing w:before="44"/>
              <w:ind w:left="602"/>
              <w:rPr>
                <w:b/>
                <w:sz w:val="18"/>
              </w:rPr>
            </w:pPr>
            <w:r>
              <w:rPr>
                <w:b/>
                <w:spacing w:val="-2"/>
                <w:sz w:val="18"/>
              </w:rPr>
              <w:t>Revenue</w:t>
            </w:r>
          </w:p>
        </w:tc>
        <w:tc>
          <w:tcPr>
            <w:tcW w:w="1006" w:type="dxa"/>
            <w:tcBorders>
              <w:top w:val="single" w:sz="4" w:space="0" w:color="000000"/>
              <w:bottom w:val="single" w:sz="4" w:space="0" w:color="000000"/>
            </w:tcBorders>
          </w:tcPr>
          <w:p w14:paraId="1D02C71A"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0E9CE306" w14:textId="77777777" w:rsidR="00AC6F3C" w:rsidRDefault="00570E88">
            <w:pPr>
              <w:pStyle w:val="TableParagraph"/>
              <w:spacing w:before="44"/>
              <w:ind w:left="21"/>
              <w:rPr>
                <w:b/>
                <w:sz w:val="18"/>
              </w:rPr>
            </w:pPr>
            <w:r>
              <w:rPr>
                <w:b/>
                <w:spacing w:val="-5"/>
                <w:sz w:val="18"/>
              </w:rPr>
              <w:t>109</w:t>
            </w:r>
          </w:p>
        </w:tc>
      </w:tr>
      <w:tr w:rsidR="00AC6F3C" w14:paraId="22B1E274" w14:textId="77777777">
        <w:trPr>
          <w:trHeight w:val="297"/>
        </w:trPr>
        <w:tc>
          <w:tcPr>
            <w:tcW w:w="1560" w:type="dxa"/>
          </w:tcPr>
          <w:p w14:paraId="210FC67C"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753E4CC6"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72143DF0" w14:textId="77777777" w:rsidR="00AC6F3C" w:rsidRDefault="00570E88">
            <w:pPr>
              <w:pStyle w:val="TableParagraph"/>
              <w:spacing w:before="44"/>
              <w:ind w:left="602"/>
              <w:rPr>
                <w:sz w:val="18"/>
              </w:rPr>
            </w:pPr>
            <w:r>
              <w:rPr>
                <w:spacing w:val="-2"/>
                <w:sz w:val="18"/>
              </w:rPr>
              <w:t>B1-1</w:t>
            </w:r>
            <w:r>
              <w:rPr>
                <w:spacing w:val="34"/>
                <w:sz w:val="18"/>
              </w:rPr>
              <w:t xml:space="preserve"> </w:t>
            </w:r>
            <w:r>
              <w:rPr>
                <w:spacing w:val="-2"/>
                <w:sz w:val="18"/>
              </w:rPr>
              <w:t>Fees</w:t>
            </w:r>
            <w:r>
              <w:rPr>
                <w:spacing w:val="-10"/>
                <w:sz w:val="18"/>
              </w:rPr>
              <w:t xml:space="preserve"> </w:t>
            </w:r>
            <w:r>
              <w:rPr>
                <w:spacing w:val="-2"/>
                <w:sz w:val="18"/>
              </w:rPr>
              <w:t>and</w:t>
            </w:r>
            <w:r>
              <w:rPr>
                <w:spacing w:val="-10"/>
                <w:sz w:val="18"/>
              </w:rPr>
              <w:t xml:space="preserve"> </w:t>
            </w:r>
            <w:r>
              <w:rPr>
                <w:spacing w:val="-2"/>
                <w:sz w:val="18"/>
              </w:rPr>
              <w:t>Membership</w:t>
            </w:r>
            <w:r>
              <w:rPr>
                <w:spacing w:val="-10"/>
                <w:sz w:val="18"/>
              </w:rPr>
              <w:t xml:space="preserve"> </w:t>
            </w:r>
            <w:r>
              <w:rPr>
                <w:spacing w:val="-2"/>
                <w:sz w:val="18"/>
              </w:rPr>
              <w:t>Services</w:t>
            </w:r>
          </w:p>
        </w:tc>
        <w:tc>
          <w:tcPr>
            <w:tcW w:w="1006" w:type="dxa"/>
            <w:tcBorders>
              <w:top w:val="single" w:sz="4" w:space="0" w:color="000000"/>
              <w:bottom w:val="single" w:sz="4" w:space="0" w:color="000000"/>
            </w:tcBorders>
          </w:tcPr>
          <w:p w14:paraId="0D9923B1"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46FAE862" w14:textId="77777777" w:rsidR="00AC6F3C" w:rsidRDefault="00570E88">
            <w:pPr>
              <w:pStyle w:val="TableParagraph"/>
              <w:spacing w:before="44"/>
              <w:ind w:left="21"/>
              <w:rPr>
                <w:sz w:val="18"/>
              </w:rPr>
            </w:pPr>
            <w:r>
              <w:rPr>
                <w:spacing w:val="-5"/>
                <w:sz w:val="18"/>
              </w:rPr>
              <w:t>109</w:t>
            </w:r>
          </w:p>
        </w:tc>
      </w:tr>
      <w:tr w:rsidR="00AC6F3C" w14:paraId="0877AF59" w14:textId="77777777">
        <w:trPr>
          <w:trHeight w:val="297"/>
        </w:trPr>
        <w:tc>
          <w:tcPr>
            <w:tcW w:w="1560" w:type="dxa"/>
          </w:tcPr>
          <w:p w14:paraId="1D49305E"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BD150C8"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4814B8D6" w14:textId="77777777" w:rsidR="00AC6F3C" w:rsidRDefault="00570E88">
            <w:pPr>
              <w:pStyle w:val="TableParagraph"/>
              <w:spacing w:before="44"/>
              <w:ind w:left="602"/>
              <w:rPr>
                <w:sz w:val="18"/>
              </w:rPr>
            </w:pPr>
            <w:r>
              <w:rPr>
                <w:spacing w:val="-2"/>
                <w:sz w:val="18"/>
              </w:rPr>
              <w:t>B1-2</w:t>
            </w:r>
            <w:r>
              <w:rPr>
                <w:spacing w:val="28"/>
                <w:sz w:val="18"/>
              </w:rPr>
              <w:t xml:space="preserve"> </w:t>
            </w:r>
            <w:r>
              <w:rPr>
                <w:spacing w:val="-2"/>
                <w:sz w:val="18"/>
              </w:rPr>
              <w:t>Rent</w:t>
            </w:r>
            <w:r>
              <w:rPr>
                <w:spacing w:val="-10"/>
                <w:sz w:val="18"/>
              </w:rPr>
              <w:t xml:space="preserve"> </w:t>
            </w:r>
            <w:r>
              <w:rPr>
                <w:spacing w:val="-2"/>
                <w:sz w:val="18"/>
              </w:rPr>
              <w:t>and</w:t>
            </w:r>
            <w:r>
              <w:rPr>
                <w:spacing w:val="-11"/>
                <w:sz w:val="18"/>
              </w:rPr>
              <w:t xml:space="preserve"> </w:t>
            </w:r>
            <w:r>
              <w:rPr>
                <w:spacing w:val="-2"/>
                <w:sz w:val="18"/>
              </w:rPr>
              <w:t>Administration</w:t>
            </w:r>
            <w:r>
              <w:rPr>
                <w:spacing w:val="-10"/>
                <w:sz w:val="18"/>
              </w:rPr>
              <w:t xml:space="preserve"> </w:t>
            </w:r>
            <w:r>
              <w:rPr>
                <w:spacing w:val="-2"/>
                <w:sz w:val="18"/>
              </w:rPr>
              <w:t>Revenue</w:t>
            </w:r>
          </w:p>
        </w:tc>
        <w:tc>
          <w:tcPr>
            <w:tcW w:w="1006" w:type="dxa"/>
            <w:tcBorders>
              <w:top w:val="single" w:sz="4" w:space="0" w:color="000000"/>
              <w:bottom w:val="single" w:sz="4" w:space="0" w:color="000000"/>
            </w:tcBorders>
          </w:tcPr>
          <w:p w14:paraId="5E03BBB6"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50452A61" w14:textId="77777777" w:rsidR="00AC6F3C" w:rsidRDefault="00570E88">
            <w:pPr>
              <w:pStyle w:val="TableParagraph"/>
              <w:spacing w:before="44"/>
              <w:ind w:left="21"/>
              <w:rPr>
                <w:sz w:val="18"/>
              </w:rPr>
            </w:pPr>
            <w:r>
              <w:rPr>
                <w:spacing w:val="-5"/>
                <w:sz w:val="18"/>
              </w:rPr>
              <w:t>111</w:t>
            </w:r>
          </w:p>
        </w:tc>
      </w:tr>
      <w:tr w:rsidR="00AC6F3C" w14:paraId="4DB9DCC4" w14:textId="77777777">
        <w:trPr>
          <w:trHeight w:val="297"/>
        </w:trPr>
        <w:tc>
          <w:tcPr>
            <w:tcW w:w="1560" w:type="dxa"/>
          </w:tcPr>
          <w:p w14:paraId="728E9038"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623F9899"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3CCE00EC" w14:textId="77777777" w:rsidR="00AC6F3C" w:rsidRDefault="00570E88">
            <w:pPr>
              <w:pStyle w:val="TableParagraph"/>
              <w:spacing w:before="44"/>
              <w:ind w:left="602"/>
              <w:rPr>
                <w:sz w:val="18"/>
              </w:rPr>
            </w:pPr>
            <w:r>
              <w:rPr>
                <w:sz w:val="18"/>
              </w:rPr>
              <w:t>B1-3</w:t>
            </w:r>
            <w:r>
              <w:rPr>
                <w:spacing w:val="18"/>
                <w:sz w:val="18"/>
              </w:rPr>
              <w:t xml:space="preserve"> </w:t>
            </w:r>
            <w:r>
              <w:rPr>
                <w:sz w:val="18"/>
              </w:rPr>
              <w:t>Grants</w:t>
            </w:r>
            <w:r>
              <w:rPr>
                <w:spacing w:val="-13"/>
                <w:sz w:val="18"/>
              </w:rPr>
              <w:t xml:space="preserve"> </w:t>
            </w:r>
            <w:r>
              <w:rPr>
                <w:sz w:val="18"/>
              </w:rPr>
              <w:t>and</w:t>
            </w:r>
            <w:r>
              <w:rPr>
                <w:spacing w:val="-12"/>
                <w:sz w:val="18"/>
              </w:rPr>
              <w:t xml:space="preserve"> </w:t>
            </w:r>
            <w:r>
              <w:rPr>
                <w:spacing w:val="-2"/>
                <w:sz w:val="18"/>
              </w:rPr>
              <w:t>Funding</w:t>
            </w:r>
          </w:p>
        </w:tc>
        <w:tc>
          <w:tcPr>
            <w:tcW w:w="1006" w:type="dxa"/>
            <w:tcBorders>
              <w:top w:val="single" w:sz="4" w:space="0" w:color="000000"/>
              <w:bottom w:val="single" w:sz="4" w:space="0" w:color="000000"/>
            </w:tcBorders>
          </w:tcPr>
          <w:p w14:paraId="46062152"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74391A7B" w14:textId="77777777" w:rsidR="00AC6F3C" w:rsidRDefault="00570E88">
            <w:pPr>
              <w:pStyle w:val="TableParagraph"/>
              <w:spacing w:before="44"/>
              <w:ind w:left="21"/>
              <w:rPr>
                <w:sz w:val="18"/>
              </w:rPr>
            </w:pPr>
            <w:r>
              <w:rPr>
                <w:spacing w:val="-5"/>
                <w:sz w:val="18"/>
              </w:rPr>
              <w:t>112</w:t>
            </w:r>
          </w:p>
        </w:tc>
      </w:tr>
      <w:tr w:rsidR="00AC6F3C" w14:paraId="18C4C654" w14:textId="77777777">
        <w:trPr>
          <w:trHeight w:val="297"/>
        </w:trPr>
        <w:tc>
          <w:tcPr>
            <w:tcW w:w="1560" w:type="dxa"/>
          </w:tcPr>
          <w:p w14:paraId="6E571D3F"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F09F61F"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5C33BD08" w14:textId="77777777" w:rsidR="00AC6F3C" w:rsidRDefault="00570E88">
            <w:pPr>
              <w:pStyle w:val="TableParagraph"/>
              <w:spacing w:before="44"/>
              <w:ind w:left="602"/>
              <w:rPr>
                <w:sz w:val="18"/>
              </w:rPr>
            </w:pPr>
            <w:r>
              <w:rPr>
                <w:spacing w:val="-2"/>
                <w:sz w:val="18"/>
              </w:rPr>
              <w:t>B1-4</w:t>
            </w:r>
            <w:r>
              <w:rPr>
                <w:spacing w:val="31"/>
                <w:sz w:val="18"/>
              </w:rPr>
              <w:t xml:space="preserve"> </w:t>
            </w:r>
            <w:r>
              <w:rPr>
                <w:spacing w:val="-2"/>
                <w:sz w:val="18"/>
              </w:rPr>
              <w:t>Insurance</w:t>
            </w:r>
            <w:r>
              <w:rPr>
                <w:spacing w:val="-10"/>
                <w:sz w:val="18"/>
              </w:rPr>
              <w:t xml:space="preserve"> </w:t>
            </w:r>
            <w:r>
              <w:rPr>
                <w:spacing w:val="-2"/>
                <w:sz w:val="18"/>
              </w:rPr>
              <w:t>Levies</w:t>
            </w:r>
          </w:p>
        </w:tc>
        <w:tc>
          <w:tcPr>
            <w:tcW w:w="1006" w:type="dxa"/>
            <w:tcBorders>
              <w:top w:val="single" w:sz="4" w:space="0" w:color="000000"/>
              <w:bottom w:val="single" w:sz="4" w:space="0" w:color="000000"/>
            </w:tcBorders>
          </w:tcPr>
          <w:p w14:paraId="47E7B778"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1F764F16" w14:textId="77777777" w:rsidR="00AC6F3C" w:rsidRDefault="00570E88">
            <w:pPr>
              <w:pStyle w:val="TableParagraph"/>
              <w:spacing w:before="44"/>
              <w:ind w:left="21"/>
              <w:rPr>
                <w:sz w:val="18"/>
              </w:rPr>
            </w:pPr>
            <w:r>
              <w:rPr>
                <w:spacing w:val="-5"/>
                <w:sz w:val="18"/>
              </w:rPr>
              <w:t>113</w:t>
            </w:r>
          </w:p>
        </w:tc>
      </w:tr>
      <w:tr w:rsidR="00AC6F3C" w14:paraId="28DCDEE6" w14:textId="77777777">
        <w:trPr>
          <w:trHeight w:val="297"/>
        </w:trPr>
        <w:tc>
          <w:tcPr>
            <w:tcW w:w="1560" w:type="dxa"/>
          </w:tcPr>
          <w:p w14:paraId="4FF934FE"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2672E21F"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20597DAE" w14:textId="77777777" w:rsidR="00AC6F3C" w:rsidRDefault="00570E88">
            <w:pPr>
              <w:pStyle w:val="TableParagraph"/>
              <w:spacing w:before="44"/>
              <w:ind w:left="602"/>
              <w:rPr>
                <w:sz w:val="18"/>
              </w:rPr>
            </w:pPr>
            <w:r>
              <w:rPr>
                <w:spacing w:val="-2"/>
                <w:sz w:val="18"/>
              </w:rPr>
              <w:t>B1-5</w:t>
            </w:r>
            <w:r>
              <w:rPr>
                <w:spacing w:val="30"/>
                <w:sz w:val="18"/>
              </w:rPr>
              <w:t xml:space="preserve"> </w:t>
            </w:r>
            <w:r>
              <w:rPr>
                <w:spacing w:val="-2"/>
                <w:sz w:val="18"/>
              </w:rPr>
              <w:t>Investment</w:t>
            </w:r>
            <w:r>
              <w:rPr>
                <w:spacing w:val="-10"/>
                <w:sz w:val="18"/>
              </w:rPr>
              <w:t xml:space="preserve"> </w:t>
            </w:r>
            <w:r>
              <w:rPr>
                <w:spacing w:val="-2"/>
                <w:sz w:val="18"/>
              </w:rPr>
              <w:t>Income</w:t>
            </w:r>
          </w:p>
        </w:tc>
        <w:tc>
          <w:tcPr>
            <w:tcW w:w="1006" w:type="dxa"/>
            <w:tcBorders>
              <w:top w:val="single" w:sz="4" w:space="0" w:color="000000"/>
              <w:bottom w:val="single" w:sz="4" w:space="0" w:color="000000"/>
            </w:tcBorders>
          </w:tcPr>
          <w:p w14:paraId="24373B74"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75F0904D" w14:textId="77777777" w:rsidR="00AC6F3C" w:rsidRDefault="00570E88">
            <w:pPr>
              <w:pStyle w:val="TableParagraph"/>
              <w:spacing w:before="44"/>
              <w:ind w:left="21"/>
              <w:rPr>
                <w:sz w:val="18"/>
              </w:rPr>
            </w:pPr>
            <w:r>
              <w:rPr>
                <w:spacing w:val="-5"/>
                <w:sz w:val="18"/>
              </w:rPr>
              <w:t>113</w:t>
            </w:r>
          </w:p>
        </w:tc>
      </w:tr>
      <w:tr w:rsidR="00AC6F3C" w14:paraId="2AF1B62F" w14:textId="77777777">
        <w:trPr>
          <w:trHeight w:val="297"/>
        </w:trPr>
        <w:tc>
          <w:tcPr>
            <w:tcW w:w="1560" w:type="dxa"/>
          </w:tcPr>
          <w:p w14:paraId="3C5FDA06"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443BE20F" w14:textId="77777777" w:rsidR="00AC6F3C" w:rsidRDefault="00570E88">
            <w:pPr>
              <w:pStyle w:val="TableParagraph"/>
              <w:spacing w:before="44"/>
              <w:ind w:left="105"/>
              <w:rPr>
                <w:b/>
                <w:sz w:val="18"/>
              </w:rPr>
            </w:pPr>
            <w:r>
              <w:rPr>
                <w:b/>
                <w:spacing w:val="-5"/>
                <w:sz w:val="18"/>
              </w:rPr>
              <w:t>B2</w:t>
            </w:r>
          </w:p>
        </w:tc>
        <w:tc>
          <w:tcPr>
            <w:tcW w:w="5164" w:type="dxa"/>
            <w:tcBorders>
              <w:top w:val="single" w:sz="4" w:space="0" w:color="000000"/>
              <w:bottom w:val="single" w:sz="4" w:space="0" w:color="000000"/>
            </w:tcBorders>
          </w:tcPr>
          <w:p w14:paraId="485C3709" w14:textId="77777777" w:rsidR="00AC6F3C" w:rsidRDefault="00570E88">
            <w:pPr>
              <w:pStyle w:val="TableParagraph"/>
              <w:spacing w:before="44"/>
              <w:ind w:left="602"/>
              <w:rPr>
                <w:b/>
                <w:sz w:val="18"/>
              </w:rPr>
            </w:pPr>
            <w:r>
              <w:rPr>
                <w:b/>
                <w:spacing w:val="-2"/>
                <w:sz w:val="18"/>
              </w:rPr>
              <w:t>Expenses</w:t>
            </w:r>
          </w:p>
        </w:tc>
        <w:tc>
          <w:tcPr>
            <w:tcW w:w="1006" w:type="dxa"/>
            <w:tcBorders>
              <w:top w:val="single" w:sz="4" w:space="0" w:color="000000"/>
              <w:bottom w:val="single" w:sz="4" w:space="0" w:color="000000"/>
            </w:tcBorders>
          </w:tcPr>
          <w:p w14:paraId="14B82917"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780D2281" w14:textId="77777777" w:rsidR="00AC6F3C" w:rsidRDefault="00570E88">
            <w:pPr>
              <w:pStyle w:val="TableParagraph"/>
              <w:spacing w:before="44"/>
              <w:ind w:left="21"/>
              <w:rPr>
                <w:b/>
                <w:sz w:val="18"/>
              </w:rPr>
            </w:pPr>
            <w:r>
              <w:rPr>
                <w:b/>
                <w:spacing w:val="-5"/>
                <w:sz w:val="18"/>
              </w:rPr>
              <w:t>114</w:t>
            </w:r>
          </w:p>
        </w:tc>
      </w:tr>
      <w:tr w:rsidR="00AC6F3C" w14:paraId="78FFC577" w14:textId="77777777">
        <w:trPr>
          <w:trHeight w:val="297"/>
        </w:trPr>
        <w:tc>
          <w:tcPr>
            <w:tcW w:w="1560" w:type="dxa"/>
          </w:tcPr>
          <w:p w14:paraId="15E704B7"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5AAC9993"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2A8C85FA" w14:textId="77777777" w:rsidR="00AC6F3C" w:rsidRDefault="00570E88">
            <w:pPr>
              <w:pStyle w:val="TableParagraph"/>
              <w:spacing w:before="44"/>
              <w:ind w:left="602"/>
              <w:rPr>
                <w:sz w:val="18"/>
              </w:rPr>
            </w:pPr>
            <w:r>
              <w:rPr>
                <w:spacing w:val="-2"/>
                <w:sz w:val="18"/>
              </w:rPr>
              <w:t>B2-1</w:t>
            </w:r>
            <w:r>
              <w:rPr>
                <w:spacing w:val="73"/>
                <w:sz w:val="18"/>
              </w:rPr>
              <w:t xml:space="preserve"> </w:t>
            </w:r>
            <w:r>
              <w:rPr>
                <w:spacing w:val="-2"/>
                <w:sz w:val="18"/>
              </w:rPr>
              <w:t>Membership</w:t>
            </w:r>
            <w:r>
              <w:rPr>
                <w:spacing w:val="-8"/>
                <w:sz w:val="18"/>
              </w:rPr>
              <w:t xml:space="preserve"> </w:t>
            </w:r>
            <w:r>
              <w:rPr>
                <w:spacing w:val="-2"/>
                <w:sz w:val="18"/>
              </w:rPr>
              <w:t>Services</w:t>
            </w:r>
            <w:r>
              <w:rPr>
                <w:spacing w:val="-10"/>
                <w:sz w:val="18"/>
              </w:rPr>
              <w:t xml:space="preserve"> </w:t>
            </w:r>
            <w:r>
              <w:rPr>
                <w:spacing w:val="-2"/>
                <w:sz w:val="18"/>
              </w:rPr>
              <w:t>and</w:t>
            </w:r>
            <w:r>
              <w:rPr>
                <w:spacing w:val="-8"/>
                <w:sz w:val="18"/>
              </w:rPr>
              <w:t xml:space="preserve"> </w:t>
            </w:r>
            <w:r>
              <w:rPr>
                <w:spacing w:val="-2"/>
                <w:sz w:val="18"/>
              </w:rPr>
              <w:t>Events</w:t>
            </w:r>
          </w:p>
        </w:tc>
        <w:tc>
          <w:tcPr>
            <w:tcW w:w="1006" w:type="dxa"/>
            <w:tcBorders>
              <w:top w:val="single" w:sz="4" w:space="0" w:color="000000"/>
              <w:bottom w:val="single" w:sz="4" w:space="0" w:color="000000"/>
            </w:tcBorders>
          </w:tcPr>
          <w:p w14:paraId="6BFC9F09"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556E0698" w14:textId="77777777" w:rsidR="00AC6F3C" w:rsidRDefault="00570E88">
            <w:pPr>
              <w:pStyle w:val="TableParagraph"/>
              <w:spacing w:before="44"/>
              <w:ind w:left="21"/>
              <w:rPr>
                <w:sz w:val="18"/>
              </w:rPr>
            </w:pPr>
            <w:r>
              <w:rPr>
                <w:spacing w:val="-5"/>
                <w:sz w:val="18"/>
              </w:rPr>
              <w:t>114</w:t>
            </w:r>
          </w:p>
        </w:tc>
      </w:tr>
      <w:tr w:rsidR="00AC6F3C" w14:paraId="5EB70BAD" w14:textId="77777777">
        <w:trPr>
          <w:trHeight w:val="297"/>
        </w:trPr>
        <w:tc>
          <w:tcPr>
            <w:tcW w:w="1560" w:type="dxa"/>
          </w:tcPr>
          <w:p w14:paraId="074754AE"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568840CC"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442AA4AE" w14:textId="77777777" w:rsidR="00AC6F3C" w:rsidRDefault="00570E88">
            <w:pPr>
              <w:pStyle w:val="TableParagraph"/>
              <w:spacing w:before="44"/>
              <w:ind w:left="602"/>
              <w:rPr>
                <w:sz w:val="18"/>
              </w:rPr>
            </w:pPr>
            <w:r>
              <w:rPr>
                <w:spacing w:val="-2"/>
                <w:sz w:val="18"/>
              </w:rPr>
              <w:t>B2-2</w:t>
            </w:r>
            <w:r>
              <w:rPr>
                <w:spacing w:val="73"/>
                <w:sz w:val="18"/>
              </w:rPr>
              <w:t xml:space="preserve"> </w:t>
            </w:r>
            <w:r>
              <w:rPr>
                <w:spacing w:val="-2"/>
                <w:sz w:val="18"/>
              </w:rPr>
              <w:t>Administration</w:t>
            </w:r>
            <w:r>
              <w:rPr>
                <w:spacing w:val="-10"/>
                <w:sz w:val="18"/>
              </w:rPr>
              <w:t xml:space="preserve"> </w:t>
            </w:r>
            <w:r>
              <w:rPr>
                <w:spacing w:val="-2"/>
                <w:sz w:val="18"/>
              </w:rPr>
              <w:t>Expenses</w:t>
            </w:r>
          </w:p>
        </w:tc>
        <w:tc>
          <w:tcPr>
            <w:tcW w:w="1006" w:type="dxa"/>
            <w:tcBorders>
              <w:top w:val="single" w:sz="4" w:space="0" w:color="000000"/>
              <w:bottom w:val="single" w:sz="4" w:space="0" w:color="000000"/>
            </w:tcBorders>
          </w:tcPr>
          <w:p w14:paraId="32FC877F"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1CE6D646" w14:textId="77777777" w:rsidR="00AC6F3C" w:rsidRDefault="00570E88">
            <w:pPr>
              <w:pStyle w:val="TableParagraph"/>
              <w:spacing w:before="44"/>
              <w:ind w:left="21"/>
              <w:rPr>
                <w:sz w:val="18"/>
              </w:rPr>
            </w:pPr>
            <w:r>
              <w:rPr>
                <w:spacing w:val="-5"/>
                <w:sz w:val="18"/>
              </w:rPr>
              <w:t>115</w:t>
            </w:r>
          </w:p>
        </w:tc>
      </w:tr>
      <w:tr w:rsidR="00AC6F3C" w14:paraId="2B751837" w14:textId="77777777">
        <w:trPr>
          <w:trHeight w:val="297"/>
        </w:trPr>
        <w:tc>
          <w:tcPr>
            <w:tcW w:w="1560" w:type="dxa"/>
          </w:tcPr>
          <w:p w14:paraId="2F47DA4B"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728E3F0B"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561573FE" w14:textId="77777777" w:rsidR="00AC6F3C" w:rsidRDefault="00570E88">
            <w:pPr>
              <w:pStyle w:val="TableParagraph"/>
              <w:spacing w:before="44"/>
              <w:ind w:left="602"/>
              <w:rPr>
                <w:sz w:val="18"/>
              </w:rPr>
            </w:pPr>
            <w:r>
              <w:rPr>
                <w:sz w:val="18"/>
              </w:rPr>
              <w:t>B2-3</w:t>
            </w:r>
            <w:r>
              <w:rPr>
                <w:spacing w:val="60"/>
                <w:sz w:val="18"/>
              </w:rPr>
              <w:t xml:space="preserve"> </w:t>
            </w:r>
            <w:r>
              <w:rPr>
                <w:sz w:val="18"/>
              </w:rPr>
              <w:t>Employee</w:t>
            </w:r>
            <w:r>
              <w:rPr>
                <w:spacing w:val="-12"/>
                <w:sz w:val="18"/>
              </w:rPr>
              <w:t xml:space="preserve"> </w:t>
            </w:r>
            <w:r>
              <w:rPr>
                <w:spacing w:val="-2"/>
                <w:sz w:val="18"/>
              </w:rPr>
              <w:t>Expenses</w:t>
            </w:r>
          </w:p>
        </w:tc>
        <w:tc>
          <w:tcPr>
            <w:tcW w:w="1006" w:type="dxa"/>
            <w:tcBorders>
              <w:top w:val="single" w:sz="4" w:space="0" w:color="000000"/>
              <w:bottom w:val="single" w:sz="4" w:space="0" w:color="000000"/>
            </w:tcBorders>
          </w:tcPr>
          <w:p w14:paraId="100FBFCD"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473DDDDC" w14:textId="77777777" w:rsidR="00AC6F3C" w:rsidRDefault="00570E88">
            <w:pPr>
              <w:pStyle w:val="TableParagraph"/>
              <w:spacing w:before="44"/>
              <w:ind w:left="21"/>
              <w:rPr>
                <w:sz w:val="18"/>
              </w:rPr>
            </w:pPr>
            <w:r>
              <w:rPr>
                <w:spacing w:val="-5"/>
                <w:sz w:val="18"/>
              </w:rPr>
              <w:t>116</w:t>
            </w:r>
          </w:p>
        </w:tc>
      </w:tr>
      <w:tr w:rsidR="00AC6F3C" w14:paraId="02916FE9" w14:textId="77777777">
        <w:trPr>
          <w:trHeight w:val="297"/>
        </w:trPr>
        <w:tc>
          <w:tcPr>
            <w:tcW w:w="1560" w:type="dxa"/>
          </w:tcPr>
          <w:p w14:paraId="462EC0E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0AAB76B3"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6EF57283" w14:textId="77777777" w:rsidR="00AC6F3C" w:rsidRDefault="00570E88">
            <w:pPr>
              <w:pStyle w:val="TableParagraph"/>
              <w:spacing w:before="44"/>
              <w:ind w:left="602"/>
              <w:rPr>
                <w:sz w:val="18"/>
              </w:rPr>
            </w:pPr>
            <w:r>
              <w:rPr>
                <w:sz w:val="18"/>
              </w:rPr>
              <w:t>B2-4</w:t>
            </w:r>
            <w:r>
              <w:rPr>
                <w:spacing w:val="58"/>
                <w:sz w:val="18"/>
              </w:rPr>
              <w:t xml:space="preserve"> </w:t>
            </w:r>
            <w:r>
              <w:rPr>
                <w:sz w:val="18"/>
              </w:rPr>
              <w:t>Borrowing</w:t>
            </w:r>
            <w:r>
              <w:rPr>
                <w:spacing w:val="-12"/>
                <w:sz w:val="18"/>
              </w:rPr>
              <w:t xml:space="preserve"> </w:t>
            </w:r>
            <w:r>
              <w:rPr>
                <w:spacing w:val="-2"/>
                <w:sz w:val="18"/>
              </w:rPr>
              <w:t>Expenses</w:t>
            </w:r>
          </w:p>
        </w:tc>
        <w:tc>
          <w:tcPr>
            <w:tcW w:w="1006" w:type="dxa"/>
            <w:tcBorders>
              <w:top w:val="single" w:sz="4" w:space="0" w:color="000000"/>
              <w:bottom w:val="single" w:sz="4" w:space="0" w:color="000000"/>
            </w:tcBorders>
          </w:tcPr>
          <w:p w14:paraId="5937025A"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2E620CCA" w14:textId="77777777" w:rsidR="00AC6F3C" w:rsidRDefault="00570E88">
            <w:pPr>
              <w:pStyle w:val="TableParagraph"/>
              <w:spacing w:before="44"/>
              <w:ind w:left="22"/>
              <w:rPr>
                <w:sz w:val="18"/>
              </w:rPr>
            </w:pPr>
            <w:r>
              <w:rPr>
                <w:spacing w:val="-5"/>
                <w:sz w:val="18"/>
              </w:rPr>
              <w:t>116</w:t>
            </w:r>
          </w:p>
        </w:tc>
      </w:tr>
      <w:tr w:rsidR="00AC6F3C" w14:paraId="6C0A37BC" w14:textId="77777777">
        <w:trPr>
          <w:trHeight w:val="297"/>
        </w:trPr>
        <w:tc>
          <w:tcPr>
            <w:tcW w:w="1560" w:type="dxa"/>
          </w:tcPr>
          <w:p w14:paraId="207EFEE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4305EC24" w14:textId="77777777" w:rsidR="00AC6F3C" w:rsidRDefault="00570E88">
            <w:pPr>
              <w:pStyle w:val="TableParagraph"/>
              <w:spacing w:before="44"/>
              <w:ind w:left="105"/>
              <w:rPr>
                <w:b/>
                <w:sz w:val="18"/>
              </w:rPr>
            </w:pPr>
            <w:r>
              <w:rPr>
                <w:b/>
                <w:spacing w:val="-5"/>
                <w:sz w:val="18"/>
              </w:rPr>
              <w:t>C1</w:t>
            </w:r>
          </w:p>
        </w:tc>
        <w:tc>
          <w:tcPr>
            <w:tcW w:w="5164" w:type="dxa"/>
            <w:tcBorders>
              <w:top w:val="single" w:sz="4" w:space="0" w:color="000000"/>
              <w:bottom w:val="single" w:sz="4" w:space="0" w:color="000000"/>
            </w:tcBorders>
          </w:tcPr>
          <w:p w14:paraId="5540F419" w14:textId="77777777" w:rsidR="00AC6F3C" w:rsidRDefault="00570E88">
            <w:pPr>
              <w:pStyle w:val="TableParagraph"/>
              <w:spacing w:before="44"/>
              <w:ind w:left="602"/>
              <w:rPr>
                <w:b/>
                <w:sz w:val="18"/>
              </w:rPr>
            </w:pPr>
            <w:r>
              <w:rPr>
                <w:b/>
                <w:spacing w:val="-2"/>
                <w:sz w:val="18"/>
              </w:rPr>
              <w:t>Cash</w:t>
            </w:r>
            <w:r>
              <w:rPr>
                <w:b/>
                <w:spacing w:val="-8"/>
                <w:sz w:val="18"/>
              </w:rPr>
              <w:t xml:space="preserve"> </w:t>
            </w:r>
            <w:r>
              <w:rPr>
                <w:b/>
                <w:spacing w:val="-2"/>
                <w:sz w:val="18"/>
              </w:rPr>
              <w:t>and</w:t>
            </w:r>
            <w:r>
              <w:rPr>
                <w:b/>
                <w:spacing w:val="-8"/>
                <w:sz w:val="18"/>
              </w:rPr>
              <w:t xml:space="preserve"> </w:t>
            </w:r>
            <w:r>
              <w:rPr>
                <w:b/>
                <w:spacing w:val="-2"/>
                <w:sz w:val="18"/>
              </w:rPr>
              <w:t>Cash</w:t>
            </w:r>
            <w:r>
              <w:rPr>
                <w:b/>
                <w:spacing w:val="-7"/>
                <w:sz w:val="18"/>
              </w:rPr>
              <w:t xml:space="preserve"> </w:t>
            </w:r>
            <w:r>
              <w:rPr>
                <w:b/>
                <w:spacing w:val="-2"/>
                <w:sz w:val="18"/>
              </w:rPr>
              <w:t>Equivalents</w:t>
            </w:r>
          </w:p>
        </w:tc>
        <w:tc>
          <w:tcPr>
            <w:tcW w:w="1006" w:type="dxa"/>
            <w:tcBorders>
              <w:top w:val="single" w:sz="4" w:space="0" w:color="000000"/>
              <w:bottom w:val="single" w:sz="4" w:space="0" w:color="000000"/>
            </w:tcBorders>
          </w:tcPr>
          <w:p w14:paraId="37E146D0"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58666A56" w14:textId="77777777" w:rsidR="00AC6F3C" w:rsidRDefault="00570E88">
            <w:pPr>
              <w:pStyle w:val="TableParagraph"/>
              <w:spacing w:before="44"/>
              <w:ind w:left="21"/>
              <w:rPr>
                <w:b/>
                <w:sz w:val="18"/>
              </w:rPr>
            </w:pPr>
            <w:r>
              <w:rPr>
                <w:b/>
                <w:spacing w:val="-5"/>
                <w:sz w:val="18"/>
              </w:rPr>
              <w:t>117</w:t>
            </w:r>
          </w:p>
        </w:tc>
      </w:tr>
      <w:tr w:rsidR="00AC6F3C" w14:paraId="4C9885F1" w14:textId="77777777">
        <w:trPr>
          <w:trHeight w:val="294"/>
        </w:trPr>
        <w:tc>
          <w:tcPr>
            <w:tcW w:w="1560" w:type="dxa"/>
          </w:tcPr>
          <w:p w14:paraId="5F0926F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7D290C13" w14:textId="77777777" w:rsidR="00AC6F3C" w:rsidRDefault="00570E88">
            <w:pPr>
              <w:pStyle w:val="TableParagraph"/>
              <w:spacing w:before="42"/>
              <w:ind w:left="105"/>
              <w:rPr>
                <w:b/>
                <w:sz w:val="18"/>
              </w:rPr>
            </w:pPr>
            <w:r>
              <w:rPr>
                <w:b/>
                <w:spacing w:val="-5"/>
                <w:sz w:val="18"/>
              </w:rPr>
              <w:t>C2</w:t>
            </w:r>
          </w:p>
        </w:tc>
        <w:tc>
          <w:tcPr>
            <w:tcW w:w="5164" w:type="dxa"/>
            <w:tcBorders>
              <w:top w:val="single" w:sz="4" w:space="0" w:color="000000"/>
              <w:bottom w:val="single" w:sz="4" w:space="0" w:color="000000"/>
            </w:tcBorders>
          </w:tcPr>
          <w:p w14:paraId="2AC12B24" w14:textId="77777777" w:rsidR="00AC6F3C" w:rsidRDefault="00570E88">
            <w:pPr>
              <w:pStyle w:val="TableParagraph"/>
              <w:spacing w:before="42"/>
              <w:ind w:left="602"/>
              <w:rPr>
                <w:b/>
                <w:sz w:val="18"/>
              </w:rPr>
            </w:pPr>
            <w:r>
              <w:rPr>
                <w:b/>
                <w:spacing w:val="-2"/>
                <w:sz w:val="18"/>
              </w:rPr>
              <w:t>Receivables</w:t>
            </w:r>
          </w:p>
        </w:tc>
        <w:tc>
          <w:tcPr>
            <w:tcW w:w="1006" w:type="dxa"/>
            <w:tcBorders>
              <w:top w:val="single" w:sz="4" w:space="0" w:color="000000"/>
              <w:bottom w:val="single" w:sz="4" w:space="0" w:color="000000"/>
            </w:tcBorders>
          </w:tcPr>
          <w:p w14:paraId="4FA0CFD4" w14:textId="77777777" w:rsidR="00AC6F3C" w:rsidRDefault="00570E88">
            <w:pPr>
              <w:pStyle w:val="TableParagraph"/>
              <w:spacing w:before="42"/>
              <w:ind w:right="19"/>
              <w:jc w:val="right"/>
              <w:rPr>
                <w:b/>
                <w:sz w:val="18"/>
              </w:rPr>
            </w:pPr>
            <w:r>
              <w:rPr>
                <w:b/>
                <w:spacing w:val="-4"/>
                <w:sz w:val="18"/>
              </w:rPr>
              <w:t>Page</w:t>
            </w:r>
          </w:p>
        </w:tc>
        <w:tc>
          <w:tcPr>
            <w:tcW w:w="420" w:type="dxa"/>
            <w:tcBorders>
              <w:top w:val="single" w:sz="4" w:space="0" w:color="000000"/>
              <w:bottom w:val="single" w:sz="4" w:space="0" w:color="000000"/>
            </w:tcBorders>
          </w:tcPr>
          <w:p w14:paraId="6751EA5B" w14:textId="77777777" w:rsidR="00AC6F3C" w:rsidRDefault="00570E88">
            <w:pPr>
              <w:pStyle w:val="TableParagraph"/>
              <w:spacing w:before="42"/>
              <w:ind w:left="21"/>
              <w:rPr>
                <w:b/>
                <w:sz w:val="18"/>
              </w:rPr>
            </w:pPr>
            <w:r>
              <w:rPr>
                <w:b/>
                <w:spacing w:val="-5"/>
                <w:sz w:val="18"/>
              </w:rPr>
              <w:t>118</w:t>
            </w:r>
          </w:p>
        </w:tc>
      </w:tr>
      <w:tr w:rsidR="00AC6F3C" w14:paraId="74EEDB39" w14:textId="77777777">
        <w:trPr>
          <w:trHeight w:val="297"/>
        </w:trPr>
        <w:tc>
          <w:tcPr>
            <w:tcW w:w="1560" w:type="dxa"/>
          </w:tcPr>
          <w:p w14:paraId="12574313"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38B4DF2F" w14:textId="77777777" w:rsidR="00AC6F3C" w:rsidRDefault="00570E88">
            <w:pPr>
              <w:pStyle w:val="TableParagraph"/>
              <w:spacing w:before="44"/>
              <w:ind w:left="105"/>
              <w:rPr>
                <w:b/>
                <w:sz w:val="18"/>
              </w:rPr>
            </w:pPr>
            <w:r>
              <w:rPr>
                <w:b/>
                <w:spacing w:val="-5"/>
                <w:sz w:val="18"/>
              </w:rPr>
              <w:t>C3</w:t>
            </w:r>
          </w:p>
        </w:tc>
        <w:tc>
          <w:tcPr>
            <w:tcW w:w="5164" w:type="dxa"/>
            <w:tcBorders>
              <w:top w:val="single" w:sz="4" w:space="0" w:color="000000"/>
              <w:bottom w:val="single" w:sz="4" w:space="0" w:color="000000"/>
            </w:tcBorders>
          </w:tcPr>
          <w:p w14:paraId="0DE2D928" w14:textId="77777777" w:rsidR="00AC6F3C" w:rsidRDefault="00570E88">
            <w:pPr>
              <w:pStyle w:val="TableParagraph"/>
              <w:spacing w:before="44"/>
              <w:ind w:left="602"/>
              <w:rPr>
                <w:b/>
                <w:sz w:val="18"/>
              </w:rPr>
            </w:pPr>
            <w:r>
              <w:rPr>
                <w:b/>
                <w:spacing w:val="-4"/>
                <w:sz w:val="18"/>
              </w:rPr>
              <w:t>Investment</w:t>
            </w:r>
            <w:r>
              <w:rPr>
                <w:b/>
                <w:spacing w:val="1"/>
                <w:sz w:val="18"/>
              </w:rPr>
              <w:t xml:space="preserve"> </w:t>
            </w:r>
            <w:r>
              <w:rPr>
                <w:b/>
                <w:spacing w:val="-4"/>
                <w:sz w:val="18"/>
              </w:rPr>
              <w:t>in</w:t>
            </w:r>
            <w:r>
              <w:rPr>
                <w:b/>
                <w:spacing w:val="2"/>
                <w:sz w:val="18"/>
              </w:rPr>
              <w:t xml:space="preserve"> </w:t>
            </w:r>
            <w:r>
              <w:rPr>
                <w:b/>
                <w:spacing w:val="-4"/>
                <w:sz w:val="18"/>
              </w:rPr>
              <w:t>Controlled</w:t>
            </w:r>
            <w:r>
              <w:rPr>
                <w:b/>
                <w:spacing w:val="3"/>
                <w:sz w:val="18"/>
              </w:rPr>
              <w:t xml:space="preserve"> </w:t>
            </w:r>
            <w:r>
              <w:rPr>
                <w:b/>
                <w:spacing w:val="-4"/>
                <w:sz w:val="18"/>
              </w:rPr>
              <w:t>Entities</w:t>
            </w:r>
          </w:p>
        </w:tc>
        <w:tc>
          <w:tcPr>
            <w:tcW w:w="1006" w:type="dxa"/>
            <w:tcBorders>
              <w:top w:val="single" w:sz="4" w:space="0" w:color="000000"/>
              <w:bottom w:val="single" w:sz="4" w:space="0" w:color="000000"/>
            </w:tcBorders>
          </w:tcPr>
          <w:p w14:paraId="52B18728"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7F9AE923" w14:textId="77777777" w:rsidR="00AC6F3C" w:rsidRDefault="00570E88">
            <w:pPr>
              <w:pStyle w:val="TableParagraph"/>
              <w:spacing w:before="44"/>
              <w:ind w:left="21"/>
              <w:rPr>
                <w:b/>
                <w:sz w:val="18"/>
              </w:rPr>
            </w:pPr>
            <w:r>
              <w:rPr>
                <w:b/>
                <w:spacing w:val="-5"/>
                <w:sz w:val="18"/>
              </w:rPr>
              <w:t>118</w:t>
            </w:r>
          </w:p>
        </w:tc>
      </w:tr>
      <w:tr w:rsidR="00AC6F3C" w14:paraId="670D428D" w14:textId="77777777">
        <w:trPr>
          <w:trHeight w:val="297"/>
        </w:trPr>
        <w:tc>
          <w:tcPr>
            <w:tcW w:w="1560" w:type="dxa"/>
          </w:tcPr>
          <w:p w14:paraId="0A5D0F20"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2F19E404" w14:textId="77777777" w:rsidR="00AC6F3C" w:rsidRDefault="00570E88">
            <w:pPr>
              <w:pStyle w:val="TableParagraph"/>
              <w:spacing w:before="44"/>
              <w:ind w:left="105"/>
              <w:rPr>
                <w:b/>
                <w:sz w:val="18"/>
              </w:rPr>
            </w:pPr>
            <w:r>
              <w:rPr>
                <w:b/>
                <w:spacing w:val="-5"/>
                <w:sz w:val="18"/>
              </w:rPr>
              <w:t>C4</w:t>
            </w:r>
          </w:p>
        </w:tc>
        <w:tc>
          <w:tcPr>
            <w:tcW w:w="5164" w:type="dxa"/>
            <w:tcBorders>
              <w:top w:val="single" w:sz="4" w:space="0" w:color="000000"/>
              <w:bottom w:val="single" w:sz="4" w:space="0" w:color="000000"/>
            </w:tcBorders>
          </w:tcPr>
          <w:p w14:paraId="0F4D396F" w14:textId="77777777" w:rsidR="00AC6F3C" w:rsidRDefault="00570E88">
            <w:pPr>
              <w:pStyle w:val="TableParagraph"/>
              <w:spacing w:before="44"/>
              <w:ind w:left="602"/>
              <w:rPr>
                <w:b/>
                <w:sz w:val="18"/>
              </w:rPr>
            </w:pPr>
            <w:r>
              <w:rPr>
                <w:b/>
                <w:spacing w:val="-2"/>
                <w:sz w:val="18"/>
              </w:rPr>
              <w:t>Investments</w:t>
            </w:r>
          </w:p>
        </w:tc>
        <w:tc>
          <w:tcPr>
            <w:tcW w:w="1006" w:type="dxa"/>
            <w:tcBorders>
              <w:top w:val="single" w:sz="4" w:space="0" w:color="000000"/>
              <w:bottom w:val="single" w:sz="4" w:space="0" w:color="000000"/>
            </w:tcBorders>
          </w:tcPr>
          <w:p w14:paraId="20A111D8"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5E365FFD" w14:textId="77777777" w:rsidR="00AC6F3C" w:rsidRDefault="00570E88">
            <w:pPr>
              <w:pStyle w:val="TableParagraph"/>
              <w:spacing w:before="44"/>
              <w:ind w:left="21"/>
              <w:rPr>
                <w:b/>
                <w:sz w:val="18"/>
              </w:rPr>
            </w:pPr>
            <w:r>
              <w:rPr>
                <w:b/>
                <w:spacing w:val="-5"/>
                <w:sz w:val="18"/>
              </w:rPr>
              <w:t>119</w:t>
            </w:r>
          </w:p>
        </w:tc>
      </w:tr>
      <w:tr w:rsidR="00AC6F3C" w14:paraId="07884EAD" w14:textId="77777777">
        <w:trPr>
          <w:trHeight w:val="297"/>
        </w:trPr>
        <w:tc>
          <w:tcPr>
            <w:tcW w:w="1560" w:type="dxa"/>
          </w:tcPr>
          <w:p w14:paraId="02BF0CAB"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7655AFBE" w14:textId="77777777" w:rsidR="00AC6F3C" w:rsidRDefault="00570E88">
            <w:pPr>
              <w:pStyle w:val="TableParagraph"/>
              <w:spacing w:before="44"/>
              <w:ind w:left="105"/>
              <w:rPr>
                <w:b/>
                <w:sz w:val="18"/>
              </w:rPr>
            </w:pPr>
            <w:r>
              <w:rPr>
                <w:b/>
                <w:spacing w:val="-5"/>
                <w:sz w:val="18"/>
              </w:rPr>
              <w:t>C5</w:t>
            </w:r>
          </w:p>
        </w:tc>
        <w:tc>
          <w:tcPr>
            <w:tcW w:w="5164" w:type="dxa"/>
            <w:tcBorders>
              <w:top w:val="single" w:sz="4" w:space="0" w:color="000000"/>
              <w:bottom w:val="single" w:sz="4" w:space="0" w:color="000000"/>
            </w:tcBorders>
          </w:tcPr>
          <w:p w14:paraId="504411FF" w14:textId="77777777" w:rsidR="00AC6F3C" w:rsidRDefault="00570E88">
            <w:pPr>
              <w:pStyle w:val="TableParagraph"/>
              <w:spacing w:before="44"/>
              <w:ind w:left="602"/>
              <w:rPr>
                <w:b/>
                <w:sz w:val="18"/>
              </w:rPr>
            </w:pPr>
            <w:r>
              <w:rPr>
                <w:b/>
                <w:spacing w:val="-2"/>
                <w:sz w:val="18"/>
              </w:rPr>
              <w:t>Property,</w:t>
            </w:r>
            <w:r>
              <w:rPr>
                <w:b/>
                <w:spacing w:val="-11"/>
                <w:sz w:val="18"/>
              </w:rPr>
              <w:t xml:space="preserve"> </w:t>
            </w:r>
            <w:r>
              <w:rPr>
                <w:b/>
                <w:spacing w:val="-2"/>
                <w:sz w:val="18"/>
              </w:rPr>
              <w:t>Plant</w:t>
            </w:r>
            <w:r>
              <w:rPr>
                <w:b/>
                <w:spacing w:val="-10"/>
                <w:sz w:val="18"/>
              </w:rPr>
              <w:t xml:space="preserve"> </w:t>
            </w:r>
            <w:r>
              <w:rPr>
                <w:b/>
                <w:spacing w:val="-2"/>
                <w:sz w:val="18"/>
              </w:rPr>
              <w:t>and</w:t>
            </w:r>
            <w:r>
              <w:rPr>
                <w:b/>
                <w:spacing w:val="-10"/>
                <w:sz w:val="18"/>
              </w:rPr>
              <w:t xml:space="preserve"> </w:t>
            </w:r>
            <w:r>
              <w:rPr>
                <w:b/>
                <w:spacing w:val="-2"/>
                <w:sz w:val="18"/>
              </w:rPr>
              <w:t>Equipment</w:t>
            </w:r>
          </w:p>
        </w:tc>
        <w:tc>
          <w:tcPr>
            <w:tcW w:w="1006" w:type="dxa"/>
            <w:tcBorders>
              <w:top w:val="single" w:sz="4" w:space="0" w:color="000000"/>
              <w:bottom w:val="single" w:sz="4" w:space="0" w:color="000000"/>
            </w:tcBorders>
          </w:tcPr>
          <w:p w14:paraId="5E734BDC"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08322A2A" w14:textId="77777777" w:rsidR="00AC6F3C" w:rsidRDefault="00570E88">
            <w:pPr>
              <w:pStyle w:val="TableParagraph"/>
              <w:spacing w:before="44"/>
              <w:ind w:left="21"/>
              <w:rPr>
                <w:b/>
                <w:sz w:val="18"/>
              </w:rPr>
            </w:pPr>
            <w:r>
              <w:rPr>
                <w:b/>
                <w:spacing w:val="-5"/>
                <w:sz w:val="18"/>
              </w:rPr>
              <w:t>120</w:t>
            </w:r>
          </w:p>
        </w:tc>
      </w:tr>
      <w:tr w:rsidR="00AC6F3C" w14:paraId="58096B0F" w14:textId="77777777">
        <w:trPr>
          <w:trHeight w:val="297"/>
        </w:trPr>
        <w:tc>
          <w:tcPr>
            <w:tcW w:w="1560" w:type="dxa"/>
          </w:tcPr>
          <w:p w14:paraId="133EE5EB"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6F071C25"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7ECFA4FC" w14:textId="77777777" w:rsidR="00AC6F3C" w:rsidRDefault="00570E88">
            <w:pPr>
              <w:pStyle w:val="TableParagraph"/>
              <w:spacing w:before="44"/>
              <w:ind w:left="602"/>
              <w:rPr>
                <w:sz w:val="18"/>
              </w:rPr>
            </w:pPr>
            <w:r>
              <w:rPr>
                <w:sz w:val="18"/>
              </w:rPr>
              <w:t>C5-1</w:t>
            </w:r>
            <w:r>
              <w:rPr>
                <w:spacing w:val="33"/>
                <w:sz w:val="18"/>
              </w:rPr>
              <w:t xml:space="preserve"> </w:t>
            </w:r>
            <w:r>
              <w:rPr>
                <w:spacing w:val="-2"/>
                <w:sz w:val="18"/>
              </w:rPr>
              <w:t>Consolidated</w:t>
            </w:r>
          </w:p>
        </w:tc>
        <w:tc>
          <w:tcPr>
            <w:tcW w:w="1006" w:type="dxa"/>
            <w:tcBorders>
              <w:top w:val="single" w:sz="4" w:space="0" w:color="000000"/>
              <w:bottom w:val="single" w:sz="4" w:space="0" w:color="000000"/>
            </w:tcBorders>
          </w:tcPr>
          <w:p w14:paraId="7EF946F6"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3C244F77" w14:textId="77777777" w:rsidR="00AC6F3C" w:rsidRDefault="00570E88">
            <w:pPr>
              <w:pStyle w:val="TableParagraph"/>
              <w:spacing w:before="44"/>
              <w:ind w:left="21"/>
              <w:rPr>
                <w:sz w:val="18"/>
              </w:rPr>
            </w:pPr>
            <w:r>
              <w:rPr>
                <w:spacing w:val="-5"/>
                <w:sz w:val="18"/>
              </w:rPr>
              <w:t>120</w:t>
            </w:r>
          </w:p>
        </w:tc>
      </w:tr>
      <w:tr w:rsidR="00AC6F3C" w14:paraId="64CC9EBD" w14:textId="77777777">
        <w:trPr>
          <w:trHeight w:val="297"/>
        </w:trPr>
        <w:tc>
          <w:tcPr>
            <w:tcW w:w="1560" w:type="dxa"/>
          </w:tcPr>
          <w:p w14:paraId="7C5D0EB0"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90979E4"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1B95CE5C" w14:textId="77777777" w:rsidR="00AC6F3C" w:rsidRDefault="00570E88">
            <w:pPr>
              <w:pStyle w:val="TableParagraph"/>
              <w:spacing w:before="44"/>
              <w:ind w:left="602"/>
              <w:rPr>
                <w:sz w:val="18"/>
              </w:rPr>
            </w:pPr>
            <w:r>
              <w:rPr>
                <w:sz w:val="18"/>
              </w:rPr>
              <w:t>C5-2</w:t>
            </w:r>
            <w:r>
              <w:rPr>
                <w:spacing w:val="22"/>
                <w:sz w:val="18"/>
              </w:rPr>
              <w:t xml:space="preserve"> </w:t>
            </w:r>
            <w:r>
              <w:rPr>
                <w:sz w:val="18"/>
              </w:rPr>
              <w:t>Parent</w:t>
            </w:r>
            <w:r>
              <w:rPr>
                <w:spacing w:val="-12"/>
                <w:sz w:val="18"/>
              </w:rPr>
              <w:t xml:space="preserve"> </w:t>
            </w:r>
            <w:r>
              <w:rPr>
                <w:spacing w:val="-2"/>
                <w:sz w:val="18"/>
              </w:rPr>
              <w:t>Entity</w:t>
            </w:r>
          </w:p>
        </w:tc>
        <w:tc>
          <w:tcPr>
            <w:tcW w:w="1006" w:type="dxa"/>
            <w:tcBorders>
              <w:top w:val="single" w:sz="4" w:space="0" w:color="000000"/>
              <w:bottom w:val="single" w:sz="4" w:space="0" w:color="000000"/>
            </w:tcBorders>
          </w:tcPr>
          <w:p w14:paraId="5D1A718B"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5A82BE55" w14:textId="77777777" w:rsidR="00AC6F3C" w:rsidRDefault="00570E88">
            <w:pPr>
              <w:pStyle w:val="TableParagraph"/>
              <w:spacing w:before="44"/>
              <w:ind w:left="21"/>
              <w:rPr>
                <w:sz w:val="18"/>
              </w:rPr>
            </w:pPr>
            <w:r>
              <w:rPr>
                <w:spacing w:val="-5"/>
                <w:sz w:val="18"/>
              </w:rPr>
              <w:t>121</w:t>
            </w:r>
          </w:p>
        </w:tc>
      </w:tr>
      <w:tr w:rsidR="00AC6F3C" w14:paraId="49EC1A62" w14:textId="77777777">
        <w:trPr>
          <w:trHeight w:val="297"/>
        </w:trPr>
        <w:tc>
          <w:tcPr>
            <w:tcW w:w="1560" w:type="dxa"/>
          </w:tcPr>
          <w:p w14:paraId="18F2AD07"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30E49C64"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4D5080AB" w14:textId="77777777" w:rsidR="00AC6F3C" w:rsidRDefault="00570E88">
            <w:pPr>
              <w:pStyle w:val="TableParagraph"/>
              <w:spacing w:before="44"/>
              <w:ind w:left="602"/>
              <w:rPr>
                <w:sz w:val="18"/>
              </w:rPr>
            </w:pPr>
            <w:r>
              <w:rPr>
                <w:spacing w:val="-2"/>
                <w:sz w:val="18"/>
              </w:rPr>
              <w:t>C5-3</w:t>
            </w:r>
            <w:r>
              <w:rPr>
                <w:spacing w:val="33"/>
                <w:sz w:val="18"/>
              </w:rPr>
              <w:t xml:space="preserve"> </w:t>
            </w:r>
            <w:r>
              <w:rPr>
                <w:spacing w:val="-2"/>
                <w:sz w:val="18"/>
              </w:rPr>
              <w:t>Acquisition</w:t>
            </w:r>
            <w:r>
              <w:rPr>
                <w:spacing w:val="-10"/>
                <w:sz w:val="18"/>
              </w:rPr>
              <w:t xml:space="preserve"> </w:t>
            </w:r>
            <w:r>
              <w:rPr>
                <w:spacing w:val="-2"/>
                <w:sz w:val="18"/>
              </w:rPr>
              <w:t>of</w:t>
            </w:r>
            <w:r>
              <w:rPr>
                <w:spacing w:val="-7"/>
                <w:sz w:val="18"/>
              </w:rPr>
              <w:t xml:space="preserve"> </w:t>
            </w:r>
            <w:r>
              <w:rPr>
                <w:spacing w:val="-2"/>
                <w:sz w:val="18"/>
              </w:rPr>
              <w:t>Assets</w:t>
            </w:r>
          </w:p>
        </w:tc>
        <w:tc>
          <w:tcPr>
            <w:tcW w:w="1006" w:type="dxa"/>
            <w:tcBorders>
              <w:top w:val="single" w:sz="4" w:space="0" w:color="000000"/>
              <w:bottom w:val="single" w:sz="4" w:space="0" w:color="000000"/>
            </w:tcBorders>
          </w:tcPr>
          <w:p w14:paraId="2464FFE2"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51B939D2" w14:textId="77777777" w:rsidR="00AC6F3C" w:rsidRDefault="00570E88">
            <w:pPr>
              <w:pStyle w:val="TableParagraph"/>
              <w:spacing w:before="44"/>
              <w:ind w:left="21"/>
              <w:rPr>
                <w:sz w:val="18"/>
              </w:rPr>
            </w:pPr>
            <w:r>
              <w:rPr>
                <w:spacing w:val="-5"/>
                <w:sz w:val="18"/>
              </w:rPr>
              <w:t>122</w:t>
            </w:r>
          </w:p>
        </w:tc>
      </w:tr>
      <w:tr w:rsidR="00AC6F3C" w14:paraId="78156E98" w14:textId="77777777">
        <w:trPr>
          <w:trHeight w:val="297"/>
        </w:trPr>
        <w:tc>
          <w:tcPr>
            <w:tcW w:w="1560" w:type="dxa"/>
          </w:tcPr>
          <w:p w14:paraId="01BD0D6D"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4CB8D0AF"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692AAB5B" w14:textId="77777777" w:rsidR="00AC6F3C" w:rsidRDefault="00570E88">
            <w:pPr>
              <w:pStyle w:val="TableParagraph"/>
              <w:spacing w:before="44"/>
              <w:ind w:left="602"/>
              <w:rPr>
                <w:sz w:val="18"/>
              </w:rPr>
            </w:pPr>
            <w:r>
              <w:rPr>
                <w:spacing w:val="-2"/>
                <w:sz w:val="18"/>
              </w:rPr>
              <w:t>C5-4</w:t>
            </w:r>
            <w:r>
              <w:rPr>
                <w:spacing w:val="31"/>
                <w:sz w:val="18"/>
              </w:rPr>
              <w:t xml:space="preserve"> </w:t>
            </w:r>
            <w:r>
              <w:rPr>
                <w:spacing w:val="-2"/>
                <w:sz w:val="18"/>
              </w:rPr>
              <w:t>Depreciation</w:t>
            </w:r>
            <w:r>
              <w:rPr>
                <w:spacing w:val="-11"/>
                <w:sz w:val="18"/>
              </w:rPr>
              <w:t xml:space="preserve"> </w:t>
            </w:r>
            <w:r>
              <w:rPr>
                <w:spacing w:val="-2"/>
                <w:sz w:val="18"/>
              </w:rPr>
              <w:t>and</w:t>
            </w:r>
            <w:r>
              <w:rPr>
                <w:spacing w:val="-10"/>
                <w:sz w:val="18"/>
              </w:rPr>
              <w:t xml:space="preserve"> </w:t>
            </w:r>
            <w:proofErr w:type="spellStart"/>
            <w:r>
              <w:rPr>
                <w:spacing w:val="-2"/>
                <w:sz w:val="18"/>
              </w:rPr>
              <w:t>Amortisation</w:t>
            </w:r>
            <w:proofErr w:type="spellEnd"/>
          </w:p>
        </w:tc>
        <w:tc>
          <w:tcPr>
            <w:tcW w:w="1006" w:type="dxa"/>
            <w:tcBorders>
              <w:top w:val="single" w:sz="4" w:space="0" w:color="000000"/>
              <w:bottom w:val="single" w:sz="4" w:space="0" w:color="000000"/>
            </w:tcBorders>
          </w:tcPr>
          <w:p w14:paraId="24FCB47A"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0DA46DD0" w14:textId="77777777" w:rsidR="00AC6F3C" w:rsidRDefault="00570E88">
            <w:pPr>
              <w:pStyle w:val="TableParagraph"/>
              <w:spacing w:before="44"/>
              <w:ind w:left="21"/>
              <w:rPr>
                <w:sz w:val="18"/>
              </w:rPr>
            </w:pPr>
            <w:r>
              <w:rPr>
                <w:spacing w:val="-5"/>
                <w:sz w:val="18"/>
              </w:rPr>
              <w:t>122</w:t>
            </w:r>
          </w:p>
        </w:tc>
      </w:tr>
      <w:tr w:rsidR="00AC6F3C" w14:paraId="74FC218A" w14:textId="77777777">
        <w:trPr>
          <w:trHeight w:val="297"/>
        </w:trPr>
        <w:tc>
          <w:tcPr>
            <w:tcW w:w="1560" w:type="dxa"/>
          </w:tcPr>
          <w:p w14:paraId="6940B99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731D1080"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3D0EEA3F" w14:textId="77777777" w:rsidR="00AC6F3C" w:rsidRDefault="00570E88">
            <w:pPr>
              <w:pStyle w:val="TableParagraph"/>
              <w:spacing w:before="44"/>
              <w:ind w:left="602"/>
              <w:rPr>
                <w:sz w:val="18"/>
              </w:rPr>
            </w:pPr>
            <w:r>
              <w:rPr>
                <w:spacing w:val="-2"/>
                <w:sz w:val="18"/>
              </w:rPr>
              <w:t>C5-5</w:t>
            </w:r>
            <w:r>
              <w:rPr>
                <w:spacing w:val="34"/>
                <w:sz w:val="18"/>
              </w:rPr>
              <w:t xml:space="preserve"> </w:t>
            </w:r>
            <w:r>
              <w:rPr>
                <w:spacing w:val="-2"/>
                <w:sz w:val="18"/>
              </w:rPr>
              <w:t>Impairment</w:t>
            </w:r>
            <w:r>
              <w:rPr>
                <w:spacing w:val="-10"/>
                <w:sz w:val="18"/>
              </w:rPr>
              <w:t xml:space="preserve"> </w:t>
            </w:r>
            <w:r>
              <w:rPr>
                <w:spacing w:val="-2"/>
                <w:sz w:val="18"/>
              </w:rPr>
              <w:t>of</w:t>
            </w:r>
            <w:r>
              <w:rPr>
                <w:spacing w:val="-9"/>
                <w:sz w:val="18"/>
              </w:rPr>
              <w:t xml:space="preserve"> </w:t>
            </w:r>
            <w:r>
              <w:rPr>
                <w:spacing w:val="-2"/>
                <w:sz w:val="18"/>
              </w:rPr>
              <w:t>Plant</w:t>
            </w:r>
            <w:r>
              <w:rPr>
                <w:spacing w:val="-9"/>
                <w:sz w:val="18"/>
              </w:rPr>
              <w:t xml:space="preserve"> </w:t>
            </w:r>
            <w:r>
              <w:rPr>
                <w:spacing w:val="-2"/>
                <w:sz w:val="18"/>
              </w:rPr>
              <w:t>and</w:t>
            </w:r>
            <w:r>
              <w:rPr>
                <w:spacing w:val="-9"/>
                <w:sz w:val="18"/>
              </w:rPr>
              <w:t xml:space="preserve"> </w:t>
            </w:r>
            <w:r>
              <w:rPr>
                <w:spacing w:val="-2"/>
                <w:sz w:val="18"/>
              </w:rPr>
              <w:t>Equipment</w:t>
            </w:r>
          </w:p>
        </w:tc>
        <w:tc>
          <w:tcPr>
            <w:tcW w:w="1006" w:type="dxa"/>
            <w:tcBorders>
              <w:top w:val="single" w:sz="4" w:space="0" w:color="000000"/>
              <w:bottom w:val="single" w:sz="4" w:space="0" w:color="000000"/>
            </w:tcBorders>
          </w:tcPr>
          <w:p w14:paraId="003D5486"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4BE03FCB" w14:textId="77777777" w:rsidR="00AC6F3C" w:rsidRDefault="00570E88">
            <w:pPr>
              <w:pStyle w:val="TableParagraph"/>
              <w:spacing w:before="44"/>
              <w:ind w:left="21"/>
              <w:rPr>
                <w:sz w:val="18"/>
              </w:rPr>
            </w:pPr>
            <w:r>
              <w:rPr>
                <w:spacing w:val="-5"/>
                <w:sz w:val="18"/>
              </w:rPr>
              <w:t>123</w:t>
            </w:r>
          </w:p>
        </w:tc>
      </w:tr>
      <w:tr w:rsidR="00AC6F3C" w14:paraId="326E7E6A" w14:textId="77777777">
        <w:trPr>
          <w:trHeight w:val="297"/>
        </w:trPr>
        <w:tc>
          <w:tcPr>
            <w:tcW w:w="1560" w:type="dxa"/>
          </w:tcPr>
          <w:p w14:paraId="079FAEB6"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13FE2E19" w14:textId="77777777" w:rsidR="00AC6F3C" w:rsidRDefault="00AC6F3C">
            <w:pPr>
              <w:pStyle w:val="TableParagraph"/>
              <w:rPr>
                <w:rFonts w:ascii="Times New Roman"/>
                <w:sz w:val="18"/>
              </w:rPr>
            </w:pPr>
          </w:p>
        </w:tc>
        <w:tc>
          <w:tcPr>
            <w:tcW w:w="5164" w:type="dxa"/>
            <w:tcBorders>
              <w:top w:val="single" w:sz="4" w:space="0" w:color="000000"/>
              <w:bottom w:val="single" w:sz="4" w:space="0" w:color="000000"/>
            </w:tcBorders>
          </w:tcPr>
          <w:p w14:paraId="193B2E7B" w14:textId="77777777" w:rsidR="00AC6F3C" w:rsidRDefault="00570E88">
            <w:pPr>
              <w:pStyle w:val="TableParagraph"/>
              <w:spacing w:before="44"/>
              <w:ind w:left="602"/>
              <w:rPr>
                <w:sz w:val="18"/>
              </w:rPr>
            </w:pPr>
            <w:r>
              <w:rPr>
                <w:spacing w:val="-2"/>
                <w:sz w:val="18"/>
              </w:rPr>
              <w:t>C5-6</w:t>
            </w:r>
            <w:r>
              <w:rPr>
                <w:spacing w:val="29"/>
                <w:sz w:val="18"/>
              </w:rPr>
              <w:t xml:space="preserve"> </w:t>
            </w:r>
            <w:r>
              <w:rPr>
                <w:spacing w:val="-2"/>
                <w:sz w:val="18"/>
              </w:rPr>
              <w:t>Measurement</w:t>
            </w:r>
            <w:r>
              <w:rPr>
                <w:spacing w:val="-10"/>
                <w:sz w:val="18"/>
              </w:rPr>
              <w:t xml:space="preserve"> </w:t>
            </w:r>
            <w:r>
              <w:rPr>
                <w:spacing w:val="-2"/>
                <w:sz w:val="18"/>
              </w:rPr>
              <w:t>Using</w:t>
            </w:r>
            <w:r>
              <w:rPr>
                <w:spacing w:val="-11"/>
                <w:sz w:val="18"/>
              </w:rPr>
              <w:t xml:space="preserve"> </w:t>
            </w:r>
            <w:r>
              <w:rPr>
                <w:spacing w:val="-2"/>
                <w:sz w:val="18"/>
              </w:rPr>
              <w:t>Fair</w:t>
            </w:r>
            <w:r>
              <w:rPr>
                <w:spacing w:val="-10"/>
                <w:sz w:val="18"/>
              </w:rPr>
              <w:t xml:space="preserve"> </w:t>
            </w:r>
            <w:r>
              <w:rPr>
                <w:spacing w:val="-2"/>
                <w:sz w:val="18"/>
              </w:rPr>
              <w:t>Value</w:t>
            </w:r>
          </w:p>
        </w:tc>
        <w:tc>
          <w:tcPr>
            <w:tcW w:w="1006" w:type="dxa"/>
            <w:tcBorders>
              <w:top w:val="single" w:sz="4" w:space="0" w:color="000000"/>
              <w:bottom w:val="single" w:sz="4" w:space="0" w:color="000000"/>
            </w:tcBorders>
          </w:tcPr>
          <w:p w14:paraId="0E72DD68" w14:textId="77777777" w:rsidR="00AC6F3C" w:rsidRDefault="00570E88">
            <w:pPr>
              <w:pStyle w:val="TableParagraph"/>
              <w:spacing w:before="44"/>
              <w:ind w:right="19"/>
              <w:jc w:val="right"/>
              <w:rPr>
                <w:sz w:val="18"/>
              </w:rPr>
            </w:pPr>
            <w:r>
              <w:rPr>
                <w:spacing w:val="-4"/>
                <w:sz w:val="18"/>
              </w:rPr>
              <w:t>Page</w:t>
            </w:r>
          </w:p>
        </w:tc>
        <w:tc>
          <w:tcPr>
            <w:tcW w:w="420" w:type="dxa"/>
            <w:tcBorders>
              <w:top w:val="single" w:sz="4" w:space="0" w:color="000000"/>
              <w:bottom w:val="single" w:sz="4" w:space="0" w:color="000000"/>
            </w:tcBorders>
          </w:tcPr>
          <w:p w14:paraId="67A4A583" w14:textId="77777777" w:rsidR="00AC6F3C" w:rsidRDefault="00570E88">
            <w:pPr>
              <w:pStyle w:val="TableParagraph"/>
              <w:spacing w:before="44"/>
              <w:ind w:left="21"/>
              <w:rPr>
                <w:sz w:val="18"/>
              </w:rPr>
            </w:pPr>
            <w:r>
              <w:rPr>
                <w:spacing w:val="-5"/>
                <w:sz w:val="18"/>
              </w:rPr>
              <w:t>123</w:t>
            </w:r>
          </w:p>
        </w:tc>
      </w:tr>
      <w:tr w:rsidR="00AC6F3C" w14:paraId="314F240F" w14:textId="77777777">
        <w:trPr>
          <w:trHeight w:val="297"/>
        </w:trPr>
        <w:tc>
          <w:tcPr>
            <w:tcW w:w="1560" w:type="dxa"/>
          </w:tcPr>
          <w:p w14:paraId="53F46A98"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62AA2B00" w14:textId="77777777" w:rsidR="00AC6F3C" w:rsidRDefault="00570E88">
            <w:pPr>
              <w:pStyle w:val="TableParagraph"/>
              <w:spacing w:before="44"/>
              <w:ind w:left="105"/>
              <w:rPr>
                <w:b/>
                <w:sz w:val="18"/>
              </w:rPr>
            </w:pPr>
            <w:r>
              <w:rPr>
                <w:b/>
                <w:spacing w:val="-5"/>
                <w:sz w:val="18"/>
              </w:rPr>
              <w:t>C6</w:t>
            </w:r>
          </w:p>
        </w:tc>
        <w:tc>
          <w:tcPr>
            <w:tcW w:w="5164" w:type="dxa"/>
            <w:tcBorders>
              <w:top w:val="single" w:sz="4" w:space="0" w:color="000000"/>
              <w:bottom w:val="single" w:sz="4" w:space="0" w:color="000000"/>
            </w:tcBorders>
          </w:tcPr>
          <w:p w14:paraId="35407A6A" w14:textId="77777777" w:rsidR="00AC6F3C" w:rsidRDefault="00570E88">
            <w:pPr>
              <w:pStyle w:val="TableParagraph"/>
              <w:spacing w:before="44"/>
              <w:ind w:left="602"/>
              <w:rPr>
                <w:b/>
                <w:sz w:val="18"/>
              </w:rPr>
            </w:pPr>
            <w:r>
              <w:rPr>
                <w:b/>
                <w:spacing w:val="-2"/>
                <w:sz w:val="18"/>
              </w:rPr>
              <w:t>Payables</w:t>
            </w:r>
          </w:p>
        </w:tc>
        <w:tc>
          <w:tcPr>
            <w:tcW w:w="1006" w:type="dxa"/>
            <w:tcBorders>
              <w:top w:val="single" w:sz="4" w:space="0" w:color="000000"/>
              <w:bottom w:val="single" w:sz="4" w:space="0" w:color="000000"/>
            </w:tcBorders>
          </w:tcPr>
          <w:p w14:paraId="05A4FF11" w14:textId="77777777" w:rsidR="00AC6F3C" w:rsidRDefault="00570E88">
            <w:pPr>
              <w:pStyle w:val="TableParagraph"/>
              <w:spacing w:before="44"/>
              <w:ind w:right="19"/>
              <w:jc w:val="right"/>
              <w:rPr>
                <w:b/>
                <w:sz w:val="18"/>
              </w:rPr>
            </w:pPr>
            <w:r>
              <w:rPr>
                <w:b/>
                <w:spacing w:val="-4"/>
                <w:sz w:val="18"/>
              </w:rPr>
              <w:t>Page</w:t>
            </w:r>
          </w:p>
        </w:tc>
        <w:tc>
          <w:tcPr>
            <w:tcW w:w="420" w:type="dxa"/>
            <w:tcBorders>
              <w:top w:val="single" w:sz="4" w:space="0" w:color="000000"/>
              <w:bottom w:val="single" w:sz="4" w:space="0" w:color="000000"/>
            </w:tcBorders>
          </w:tcPr>
          <w:p w14:paraId="25D9D863" w14:textId="77777777" w:rsidR="00AC6F3C" w:rsidRDefault="00570E88">
            <w:pPr>
              <w:pStyle w:val="TableParagraph"/>
              <w:spacing w:before="44"/>
              <w:ind w:left="21"/>
              <w:rPr>
                <w:b/>
                <w:sz w:val="18"/>
              </w:rPr>
            </w:pPr>
            <w:r>
              <w:rPr>
                <w:b/>
                <w:spacing w:val="-5"/>
                <w:sz w:val="18"/>
              </w:rPr>
              <w:t>125</w:t>
            </w:r>
          </w:p>
        </w:tc>
      </w:tr>
      <w:tr w:rsidR="00AC6F3C" w14:paraId="18E0A383" w14:textId="77777777">
        <w:trPr>
          <w:trHeight w:val="297"/>
        </w:trPr>
        <w:tc>
          <w:tcPr>
            <w:tcW w:w="1560" w:type="dxa"/>
          </w:tcPr>
          <w:p w14:paraId="442721F9" w14:textId="77777777" w:rsidR="00AC6F3C" w:rsidRDefault="00AC6F3C">
            <w:pPr>
              <w:pStyle w:val="TableParagraph"/>
              <w:rPr>
                <w:rFonts w:ascii="Times New Roman"/>
                <w:sz w:val="18"/>
              </w:rPr>
            </w:pPr>
          </w:p>
        </w:tc>
        <w:tc>
          <w:tcPr>
            <w:tcW w:w="921" w:type="dxa"/>
            <w:tcBorders>
              <w:top w:val="single" w:sz="4" w:space="0" w:color="000000"/>
              <w:bottom w:val="single" w:sz="4" w:space="0" w:color="000000"/>
            </w:tcBorders>
          </w:tcPr>
          <w:p w14:paraId="2C4F3516" w14:textId="77777777" w:rsidR="00AC6F3C" w:rsidRDefault="00570E88">
            <w:pPr>
              <w:pStyle w:val="TableParagraph"/>
              <w:spacing w:before="42"/>
              <w:ind w:left="105"/>
              <w:rPr>
                <w:b/>
                <w:sz w:val="18"/>
              </w:rPr>
            </w:pPr>
            <w:r>
              <w:rPr>
                <w:b/>
                <w:spacing w:val="-5"/>
                <w:sz w:val="18"/>
              </w:rPr>
              <w:t>C7</w:t>
            </w:r>
          </w:p>
        </w:tc>
        <w:tc>
          <w:tcPr>
            <w:tcW w:w="5164" w:type="dxa"/>
            <w:tcBorders>
              <w:top w:val="single" w:sz="4" w:space="0" w:color="000000"/>
              <w:bottom w:val="single" w:sz="4" w:space="0" w:color="000000"/>
            </w:tcBorders>
          </w:tcPr>
          <w:p w14:paraId="75B4487B" w14:textId="77777777" w:rsidR="00AC6F3C" w:rsidRDefault="00570E88">
            <w:pPr>
              <w:pStyle w:val="TableParagraph"/>
              <w:spacing w:before="42"/>
              <w:ind w:left="602"/>
              <w:rPr>
                <w:b/>
                <w:sz w:val="18"/>
              </w:rPr>
            </w:pPr>
            <w:r>
              <w:rPr>
                <w:b/>
                <w:spacing w:val="-4"/>
                <w:sz w:val="18"/>
              </w:rPr>
              <w:t>Accrued</w:t>
            </w:r>
            <w:r>
              <w:rPr>
                <w:b/>
                <w:spacing w:val="1"/>
                <w:sz w:val="18"/>
              </w:rPr>
              <w:t xml:space="preserve"> </w:t>
            </w:r>
            <w:r>
              <w:rPr>
                <w:b/>
                <w:spacing w:val="-4"/>
                <w:sz w:val="18"/>
              </w:rPr>
              <w:t>Employee</w:t>
            </w:r>
            <w:r>
              <w:rPr>
                <w:b/>
                <w:spacing w:val="3"/>
                <w:sz w:val="18"/>
              </w:rPr>
              <w:t xml:space="preserve"> </w:t>
            </w:r>
            <w:r>
              <w:rPr>
                <w:b/>
                <w:spacing w:val="-4"/>
                <w:sz w:val="18"/>
              </w:rPr>
              <w:t>Benefits</w:t>
            </w:r>
          </w:p>
        </w:tc>
        <w:tc>
          <w:tcPr>
            <w:tcW w:w="1006" w:type="dxa"/>
            <w:tcBorders>
              <w:top w:val="single" w:sz="4" w:space="0" w:color="000000"/>
              <w:bottom w:val="single" w:sz="4" w:space="0" w:color="000000"/>
            </w:tcBorders>
          </w:tcPr>
          <w:p w14:paraId="204D9F6E" w14:textId="77777777" w:rsidR="00AC6F3C" w:rsidRDefault="00570E88">
            <w:pPr>
              <w:pStyle w:val="TableParagraph"/>
              <w:spacing w:before="42"/>
              <w:ind w:right="19"/>
              <w:jc w:val="right"/>
              <w:rPr>
                <w:b/>
                <w:sz w:val="18"/>
              </w:rPr>
            </w:pPr>
            <w:r>
              <w:rPr>
                <w:b/>
                <w:spacing w:val="-4"/>
                <w:sz w:val="18"/>
              </w:rPr>
              <w:t>Page</w:t>
            </w:r>
          </w:p>
        </w:tc>
        <w:tc>
          <w:tcPr>
            <w:tcW w:w="420" w:type="dxa"/>
            <w:tcBorders>
              <w:top w:val="single" w:sz="4" w:space="0" w:color="000000"/>
              <w:bottom w:val="single" w:sz="4" w:space="0" w:color="000000"/>
            </w:tcBorders>
          </w:tcPr>
          <w:p w14:paraId="5CEA0578" w14:textId="77777777" w:rsidR="00AC6F3C" w:rsidRDefault="00570E88">
            <w:pPr>
              <w:pStyle w:val="TableParagraph"/>
              <w:spacing w:before="42"/>
              <w:ind w:left="21"/>
              <w:rPr>
                <w:b/>
                <w:sz w:val="18"/>
              </w:rPr>
            </w:pPr>
            <w:r>
              <w:rPr>
                <w:b/>
                <w:spacing w:val="-5"/>
                <w:sz w:val="18"/>
              </w:rPr>
              <w:t>126</w:t>
            </w:r>
          </w:p>
        </w:tc>
      </w:tr>
    </w:tbl>
    <w:p w14:paraId="7CEDA709" w14:textId="77777777" w:rsidR="00AC6F3C" w:rsidRDefault="00AC6F3C">
      <w:pPr>
        <w:rPr>
          <w:sz w:val="18"/>
        </w:rPr>
        <w:sectPr w:rsidR="00AC6F3C">
          <w:headerReference w:type="default" r:id="rId209"/>
          <w:footerReference w:type="default" r:id="rId210"/>
          <w:pgSz w:w="11910" w:h="16840"/>
          <w:pgMar w:top="2080" w:right="1160" w:bottom="520" w:left="460" w:header="1297" w:footer="336" w:gutter="0"/>
          <w:cols w:space="720"/>
        </w:sectPr>
      </w:pPr>
    </w:p>
    <w:p w14:paraId="442E0B4A" w14:textId="77777777" w:rsidR="00AC6F3C" w:rsidRDefault="00AC6F3C">
      <w:pPr>
        <w:pStyle w:val="BodyText"/>
        <w:rPr>
          <w:b/>
        </w:rPr>
      </w:pPr>
    </w:p>
    <w:p w14:paraId="3573FC03" w14:textId="77777777" w:rsidR="00AC6F3C" w:rsidRDefault="00AC6F3C">
      <w:pPr>
        <w:pStyle w:val="BodyText"/>
        <w:rPr>
          <w:b/>
        </w:rPr>
      </w:pPr>
    </w:p>
    <w:p w14:paraId="3D97C8AB" w14:textId="77777777" w:rsidR="00AC6F3C" w:rsidRDefault="00AC6F3C">
      <w:pPr>
        <w:pStyle w:val="BodyText"/>
        <w:rPr>
          <w:b/>
        </w:rPr>
      </w:pPr>
    </w:p>
    <w:p w14:paraId="02FA3033" w14:textId="77777777" w:rsidR="00AC6F3C" w:rsidRDefault="00AC6F3C">
      <w:pPr>
        <w:pStyle w:val="BodyText"/>
        <w:spacing w:before="7"/>
        <w:rPr>
          <w:b/>
          <w:sz w:val="22"/>
        </w:rPr>
      </w:pPr>
    </w:p>
    <w:p w14:paraId="5317D377" w14:textId="77777777" w:rsidR="00AC6F3C" w:rsidRDefault="00570E88">
      <w:pPr>
        <w:pStyle w:val="Heading9"/>
        <w:ind w:left="958"/>
      </w:pPr>
      <w:r>
        <w:rPr>
          <w:spacing w:val="-2"/>
        </w:rPr>
        <w:t>Table</w:t>
      </w:r>
      <w:r>
        <w:rPr>
          <w:spacing w:val="-14"/>
        </w:rPr>
        <w:t xml:space="preserve"> </w:t>
      </w:r>
      <w:r>
        <w:rPr>
          <w:spacing w:val="-2"/>
        </w:rPr>
        <w:t>of</w:t>
      </w:r>
      <w:r>
        <w:rPr>
          <w:spacing w:val="-10"/>
        </w:rPr>
        <w:t xml:space="preserve"> </w:t>
      </w:r>
      <w:r>
        <w:rPr>
          <w:spacing w:val="-2"/>
        </w:rPr>
        <w:t>Contents</w:t>
      </w:r>
      <w:r>
        <w:rPr>
          <w:spacing w:val="-13"/>
        </w:rPr>
        <w:t xml:space="preserve"> </w:t>
      </w:r>
      <w:r>
        <w:rPr>
          <w:spacing w:val="-2"/>
        </w:rPr>
        <w:t>(continued)</w:t>
      </w:r>
    </w:p>
    <w:p w14:paraId="54186C40" w14:textId="77777777" w:rsidR="00AC6F3C" w:rsidRDefault="00570E88">
      <w:pPr>
        <w:pStyle w:val="BodyText"/>
        <w:spacing w:before="10"/>
        <w:rPr>
          <w:b/>
          <w:sz w:val="18"/>
        </w:rPr>
      </w:pPr>
      <w:r>
        <w:rPr>
          <w:noProof/>
        </w:rPr>
        <mc:AlternateContent>
          <mc:Choice Requires="wps">
            <w:drawing>
              <wp:anchor distT="0" distB="0" distL="0" distR="0" simplePos="0" relativeHeight="487676928" behindDoc="1" locked="0" layoutInCell="1" allowOverlap="1" wp14:anchorId="3612566D" wp14:editId="788A53A9">
                <wp:simplePos x="0" y="0"/>
                <wp:positionH relativeFrom="page">
                  <wp:posOffset>900607</wp:posOffset>
                </wp:positionH>
                <wp:positionV relativeFrom="paragraph">
                  <wp:posOffset>153447</wp:posOffset>
                </wp:positionV>
                <wp:extent cx="5760720" cy="6350"/>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350"/>
                        </a:xfrm>
                        <a:custGeom>
                          <a:avLst/>
                          <a:gdLst/>
                          <a:ahLst/>
                          <a:cxnLst/>
                          <a:rect l="l" t="t" r="r" b="b"/>
                          <a:pathLst>
                            <a:path w="5760720" h="6350">
                              <a:moveTo>
                                <a:pt x="5760288" y="0"/>
                              </a:moveTo>
                              <a:lnTo>
                                <a:pt x="5760288" y="0"/>
                              </a:lnTo>
                              <a:lnTo>
                                <a:pt x="0" y="0"/>
                              </a:lnTo>
                              <a:lnTo>
                                <a:pt x="0" y="6096"/>
                              </a:lnTo>
                              <a:lnTo>
                                <a:pt x="5760288" y="6096"/>
                              </a:lnTo>
                              <a:lnTo>
                                <a:pt x="5760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5F820" id="Graphic 732" o:spid="_x0000_s1026" style="position:absolute;margin-left:70.9pt;margin-top:12.1pt;width:453.6pt;height:.5pt;z-index:-15639552;visibility:visible;mso-wrap-style:square;mso-wrap-distance-left:0;mso-wrap-distance-top:0;mso-wrap-distance-right:0;mso-wrap-distance-bottom:0;mso-position-horizontal:absolute;mso-position-horizontal-relative:page;mso-position-vertical:absolute;mso-position-vertical-relative:text;v-text-anchor:top" coordsize="576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" path="m5760288,r,l,,,6096r5760288,l5760288,xe" fillcolor="black" stroked="f">
                <v:path arrowok="t"/>
                <w10:wrap type="topAndBottom" anchorx="page"/>
              </v:shape>
            </w:pict>
          </mc:Fallback>
        </mc:AlternateContent>
      </w:r>
    </w:p>
    <w:p w14:paraId="47FDB2EF" w14:textId="77777777" w:rsidR="00AC6F3C" w:rsidRDefault="00570E88">
      <w:pPr>
        <w:tabs>
          <w:tab w:val="left" w:pos="2623"/>
          <w:tab w:val="left" w:pos="3883"/>
          <w:tab w:val="left" w:pos="9165"/>
        </w:tabs>
        <w:spacing w:before="56"/>
        <w:ind w:left="1063"/>
        <w:rPr>
          <w:b/>
          <w:sz w:val="18"/>
        </w:rPr>
      </w:pPr>
      <w:r>
        <w:rPr>
          <w:b/>
          <w:spacing w:val="-2"/>
          <w:sz w:val="18"/>
        </w:rPr>
        <w:t>Notes</w:t>
      </w:r>
      <w:r>
        <w:rPr>
          <w:b/>
          <w:spacing w:val="-10"/>
          <w:sz w:val="18"/>
        </w:rPr>
        <w:t xml:space="preserve"> </w:t>
      </w:r>
      <w:r>
        <w:rPr>
          <w:b/>
          <w:spacing w:val="-2"/>
          <w:sz w:val="18"/>
        </w:rPr>
        <w:t>to</w:t>
      </w:r>
      <w:r>
        <w:rPr>
          <w:b/>
          <w:spacing w:val="-8"/>
          <w:sz w:val="18"/>
        </w:rPr>
        <w:t xml:space="preserve"> </w:t>
      </w:r>
      <w:r>
        <w:rPr>
          <w:b/>
          <w:spacing w:val="-5"/>
          <w:sz w:val="18"/>
        </w:rPr>
        <w:t>the</w:t>
      </w:r>
      <w:r>
        <w:rPr>
          <w:b/>
          <w:sz w:val="18"/>
        </w:rPr>
        <w:tab/>
      </w:r>
      <w:r>
        <w:rPr>
          <w:b/>
          <w:spacing w:val="-5"/>
          <w:sz w:val="18"/>
        </w:rPr>
        <w:t>C8</w:t>
      </w:r>
      <w:r>
        <w:rPr>
          <w:b/>
          <w:sz w:val="18"/>
        </w:rPr>
        <w:tab/>
      </w:r>
      <w:r>
        <w:rPr>
          <w:b/>
          <w:spacing w:val="-2"/>
          <w:sz w:val="18"/>
        </w:rPr>
        <w:t>Provisions</w:t>
      </w:r>
      <w:r>
        <w:rPr>
          <w:b/>
          <w:sz w:val="18"/>
        </w:rPr>
        <w:tab/>
      </w:r>
      <w:r>
        <w:rPr>
          <w:b/>
          <w:spacing w:val="-2"/>
          <w:sz w:val="18"/>
        </w:rPr>
        <w:t>Page</w:t>
      </w:r>
      <w:r>
        <w:rPr>
          <w:b/>
          <w:spacing w:val="-11"/>
          <w:sz w:val="18"/>
        </w:rPr>
        <w:t xml:space="preserve"> </w:t>
      </w:r>
      <w:r>
        <w:rPr>
          <w:b/>
          <w:spacing w:val="-5"/>
          <w:sz w:val="18"/>
        </w:rPr>
        <w:t>126</w:t>
      </w:r>
    </w:p>
    <w:p w14:paraId="6AC652F0" w14:textId="77777777" w:rsidR="00AC6F3C" w:rsidRDefault="00AC6F3C">
      <w:pPr>
        <w:pStyle w:val="BodyText"/>
        <w:spacing w:before="5"/>
        <w:rPr>
          <w:b/>
          <w:sz w:val="5"/>
        </w:rPr>
      </w:pPr>
    </w:p>
    <w:tbl>
      <w:tblPr>
        <w:tblW w:w="0" w:type="auto"/>
        <w:tblInd w:w="965" w:type="dxa"/>
        <w:tblLayout w:type="fixed"/>
        <w:tblCellMar>
          <w:left w:w="0" w:type="dxa"/>
          <w:right w:w="0" w:type="dxa"/>
        </w:tblCellMar>
        <w:tblLook w:val="01E0" w:firstRow="1" w:lastRow="1" w:firstColumn="1" w:lastColumn="1" w:noHBand="0" w:noVBand="0"/>
      </w:tblPr>
      <w:tblGrid>
        <w:gridCol w:w="1560"/>
        <w:gridCol w:w="859"/>
        <w:gridCol w:w="5507"/>
        <w:gridCol w:w="1147"/>
      </w:tblGrid>
      <w:tr w:rsidR="00AC6F3C" w14:paraId="2A1100AA" w14:textId="77777777">
        <w:trPr>
          <w:trHeight w:val="340"/>
        </w:trPr>
        <w:tc>
          <w:tcPr>
            <w:tcW w:w="1560" w:type="dxa"/>
          </w:tcPr>
          <w:p w14:paraId="5568B267" w14:textId="77777777" w:rsidR="00AC6F3C" w:rsidRDefault="00570E88">
            <w:pPr>
              <w:pStyle w:val="TableParagraph"/>
              <w:spacing w:line="138" w:lineRule="exact"/>
              <w:ind w:left="105"/>
              <w:rPr>
                <w:b/>
                <w:sz w:val="18"/>
              </w:rPr>
            </w:pPr>
            <w:r>
              <w:rPr>
                <w:b/>
                <w:spacing w:val="-2"/>
                <w:sz w:val="18"/>
              </w:rPr>
              <w:t>Financial</w:t>
            </w:r>
          </w:p>
          <w:p w14:paraId="2C9104F1" w14:textId="77777777" w:rsidR="00AC6F3C" w:rsidRDefault="00570E88">
            <w:pPr>
              <w:pStyle w:val="TableParagraph"/>
              <w:spacing w:line="182" w:lineRule="exact"/>
              <w:ind w:left="105"/>
              <w:rPr>
                <w:b/>
                <w:sz w:val="18"/>
              </w:rPr>
            </w:pPr>
            <w:r>
              <w:rPr>
                <w:b/>
                <w:spacing w:val="-2"/>
                <w:sz w:val="18"/>
              </w:rPr>
              <w:t>Statements</w:t>
            </w:r>
          </w:p>
        </w:tc>
        <w:tc>
          <w:tcPr>
            <w:tcW w:w="859" w:type="dxa"/>
            <w:tcBorders>
              <w:top w:val="single" w:sz="4" w:space="0" w:color="000000"/>
              <w:bottom w:val="single" w:sz="4" w:space="0" w:color="000000"/>
            </w:tcBorders>
          </w:tcPr>
          <w:p w14:paraId="52775E20"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4862E3E4" w14:textId="77777777" w:rsidR="00AC6F3C" w:rsidRDefault="00570E88">
            <w:pPr>
              <w:pStyle w:val="TableParagraph"/>
              <w:spacing w:before="56"/>
              <w:ind w:left="518"/>
              <w:rPr>
                <w:sz w:val="18"/>
              </w:rPr>
            </w:pPr>
            <w:r>
              <w:rPr>
                <w:spacing w:val="-2"/>
                <w:sz w:val="18"/>
              </w:rPr>
              <w:t>C8-1</w:t>
            </w:r>
            <w:r>
              <w:rPr>
                <w:spacing w:val="29"/>
                <w:sz w:val="18"/>
              </w:rPr>
              <w:t xml:space="preserve"> </w:t>
            </w:r>
            <w:r>
              <w:rPr>
                <w:spacing w:val="-2"/>
                <w:sz w:val="18"/>
              </w:rPr>
              <w:t>Insurance</w:t>
            </w:r>
            <w:r>
              <w:rPr>
                <w:spacing w:val="-10"/>
                <w:sz w:val="18"/>
              </w:rPr>
              <w:t xml:space="preserve"> </w:t>
            </w:r>
            <w:r>
              <w:rPr>
                <w:spacing w:val="-2"/>
                <w:sz w:val="18"/>
              </w:rPr>
              <w:t>Contracts</w:t>
            </w:r>
          </w:p>
        </w:tc>
        <w:tc>
          <w:tcPr>
            <w:tcW w:w="1147" w:type="dxa"/>
            <w:tcBorders>
              <w:top w:val="single" w:sz="4" w:space="0" w:color="000000"/>
              <w:bottom w:val="single" w:sz="4" w:space="0" w:color="000000"/>
            </w:tcBorders>
          </w:tcPr>
          <w:p w14:paraId="14CD7BBF" w14:textId="77777777" w:rsidR="00AC6F3C" w:rsidRDefault="00570E88">
            <w:pPr>
              <w:pStyle w:val="TableParagraph"/>
              <w:spacing w:before="56"/>
              <w:ind w:right="103"/>
              <w:jc w:val="right"/>
              <w:rPr>
                <w:sz w:val="18"/>
              </w:rPr>
            </w:pPr>
            <w:r>
              <w:rPr>
                <w:spacing w:val="-2"/>
                <w:sz w:val="18"/>
              </w:rPr>
              <w:t>Page</w:t>
            </w:r>
            <w:r>
              <w:rPr>
                <w:spacing w:val="-11"/>
                <w:sz w:val="18"/>
              </w:rPr>
              <w:t xml:space="preserve"> </w:t>
            </w:r>
            <w:r>
              <w:rPr>
                <w:spacing w:val="-5"/>
                <w:sz w:val="18"/>
              </w:rPr>
              <w:t>126</w:t>
            </w:r>
          </w:p>
        </w:tc>
      </w:tr>
      <w:tr w:rsidR="00AC6F3C" w14:paraId="274ACC1A" w14:textId="77777777">
        <w:trPr>
          <w:trHeight w:val="299"/>
        </w:trPr>
        <w:tc>
          <w:tcPr>
            <w:tcW w:w="1560" w:type="dxa"/>
          </w:tcPr>
          <w:p w14:paraId="69534F06"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3C0B8E25"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2258E9AD" w14:textId="77777777" w:rsidR="00AC6F3C" w:rsidRDefault="00570E88">
            <w:pPr>
              <w:pStyle w:val="TableParagraph"/>
              <w:spacing w:before="54"/>
              <w:ind w:left="523"/>
              <w:rPr>
                <w:sz w:val="18"/>
              </w:rPr>
            </w:pPr>
            <w:r>
              <w:rPr>
                <w:spacing w:val="-2"/>
                <w:sz w:val="18"/>
              </w:rPr>
              <w:t>C8-2</w:t>
            </w:r>
            <w:r>
              <w:rPr>
                <w:spacing w:val="31"/>
                <w:sz w:val="18"/>
              </w:rPr>
              <w:t xml:space="preserve"> </w:t>
            </w:r>
            <w:r>
              <w:rPr>
                <w:spacing w:val="-2"/>
                <w:sz w:val="18"/>
              </w:rPr>
              <w:t>Insurance</w:t>
            </w:r>
            <w:r>
              <w:rPr>
                <w:spacing w:val="-10"/>
                <w:sz w:val="18"/>
              </w:rPr>
              <w:t xml:space="preserve"> </w:t>
            </w:r>
            <w:r>
              <w:rPr>
                <w:spacing w:val="-2"/>
                <w:sz w:val="18"/>
              </w:rPr>
              <w:t>Liabilities</w:t>
            </w:r>
          </w:p>
        </w:tc>
        <w:tc>
          <w:tcPr>
            <w:tcW w:w="1147" w:type="dxa"/>
            <w:tcBorders>
              <w:top w:val="single" w:sz="4" w:space="0" w:color="000000"/>
              <w:bottom w:val="single" w:sz="4" w:space="0" w:color="000000"/>
            </w:tcBorders>
          </w:tcPr>
          <w:p w14:paraId="48094938" w14:textId="77777777" w:rsidR="00AC6F3C" w:rsidRDefault="00570E88">
            <w:pPr>
              <w:pStyle w:val="TableParagraph"/>
              <w:spacing w:before="54"/>
              <w:ind w:right="103"/>
              <w:jc w:val="right"/>
              <w:rPr>
                <w:sz w:val="18"/>
              </w:rPr>
            </w:pPr>
            <w:r>
              <w:rPr>
                <w:spacing w:val="-2"/>
                <w:sz w:val="18"/>
              </w:rPr>
              <w:t>Page</w:t>
            </w:r>
            <w:r>
              <w:rPr>
                <w:spacing w:val="-11"/>
                <w:sz w:val="18"/>
              </w:rPr>
              <w:t xml:space="preserve"> </w:t>
            </w:r>
            <w:r>
              <w:rPr>
                <w:spacing w:val="-5"/>
                <w:sz w:val="18"/>
              </w:rPr>
              <w:t>127</w:t>
            </w:r>
          </w:p>
        </w:tc>
      </w:tr>
      <w:tr w:rsidR="00AC6F3C" w14:paraId="65644561" w14:textId="77777777">
        <w:trPr>
          <w:trHeight w:val="321"/>
        </w:trPr>
        <w:tc>
          <w:tcPr>
            <w:tcW w:w="1560" w:type="dxa"/>
          </w:tcPr>
          <w:p w14:paraId="7B84C45A"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2F6DB8C4"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1F560BA6" w14:textId="77777777" w:rsidR="00AC6F3C" w:rsidRDefault="00570E88">
            <w:pPr>
              <w:pStyle w:val="TableParagraph"/>
              <w:spacing w:before="56"/>
              <w:ind w:left="523"/>
              <w:rPr>
                <w:sz w:val="18"/>
              </w:rPr>
            </w:pPr>
            <w:r>
              <w:rPr>
                <w:sz w:val="18"/>
              </w:rPr>
              <w:t>C8-3</w:t>
            </w:r>
            <w:r>
              <w:rPr>
                <w:spacing w:val="31"/>
                <w:sz w:val="18"/>
              </w:rPr>
              <w:t xml:space="preserve"> </w:t>
            </w:r>
            <w:r>
              <w:rPr>
                <w:spacing w:val="-2"/>
                <w:sz w:val="18"/>
              </w:rPr>
              <w:t>Borrowings</w:t>
            </w:r>
          </w:p>
        </w:tc>
        <w:tc>
          <w:tcPr>
            <w:tcW w:w="1147" w:type="dxa"/>
            <w:tcBorders>
              <w:top w:val="single" w:sz="4" w:space="0" w:color="000000"/>
              <w:bottom w:val="single" w:sz="4" w:space="0" w:color="000000"/>
            </w:tcBorders>
          </w:tcPr>
          <w:p w14:paraId="4309ADFB"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134</w:t>
            </w:r>
          </w:p>
        </w:tc>
      </w:tr>
      <w:tr w:rsidR="00AC6F3C" w14:paraId="275955D9" w14:textId="77777777">
        <w:trPr>
          <w:trHeight w:val="321"/>
        </w:trPr>
        <w:tc>
          <w:tcPr>
            <w:tcW w:w="1560" w:type="dxa"/>
          </w:tcPr>
          <w:p w14:paraId="52C69A37"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2817131D" w14:textId="77777777" w:rsidR="00AC6F3C" w:rsidRDefault="00570E88">
            <w:pPr>
              <w:pStyle w:val="TableParagraph"/>
              <w:spacing w:before="56"/>
              <w:ind w:left="105"/>
              <w:rPr>
                <w:b/>
                <w:sz w:val="18"/>
              </w:rPr>
            </w:pPr>
            <w:r>
              <w:rPr>
                <w:b/>
                <w:spacing w:val="-5"/>
                <w:sz w:val="18"/>
              </w:rPr>
              <w:t>C9</w:t>
            </w:r>
          </w:p>
        </w:tc>
        <w:tc>
          <w:tcPr>
            <w:tcW w:w="5507" w:type="dxa"/>
            <w:tcBorders>
              <w:top w:val="single" w:sz="4" w:space="0" w:color="000000"/>
              <w:bottom w:val="single" w:sz="4" w:space="0" w:color="000000"/>
            </w:tcBorders>
          </w:tcPr>
          <w:p w14:paraId="1844FEED" w14:textId="77777777" w:rsidR="00AC6F3C" w:rsidRDefault="00570E88">
            <w:pPr>
              <w:pStyle w:val="TableParagraph"/>
              <w:spacing w:before="56"/>
              <w:ind w:left="523"/>
              <w:rPr>
                <w:b/>
                <w:sz w:val="18"/>
              </w:rPr>
            </w:pPr>
            <w:r>
              <w:rPr>
                <w:b/>
                <w:spacing w:val="-2"/>
                <w:sz w:val="18"/>
              </w:rPr>
              <w:t>Leases</w:t>
            </w:r>
          </w:p>
        </w:tc>
        <w:tc>
          <w:tcPr>
            <w:tcW w:w="1147" w:type="dxa"/>
            <w:tcBorders>
              <w:top w:val="single" w:sz="4" w:space="0" w:color="000000"/>
              <w:bottom w:val="single" w:sz="4" w:space="0" w:color="000000"/>
            </w:tcBorders>
          </w:tcPr>
          <w:p w14:paraId="29F49733"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135</w:t>
            </w:r>
          </w:p>
        </w:tc>
      </w:tr>
      <w:tr w:rsidR="00AC6F3C" w14:paraId="39D5504C" w14:textId="77777777">
        <w:trPr>
          <w:trHeight w:val="321"/>
        </w:trPr>
        <w:tc>
          <w:tcPr>
            <w:tcW w:w="1560" w:type="dxa"/>
          </w:tcPr>
          <w:p w14:paraId="293F22E6"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762AACD0"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5E34B0E8" w14:textId="77777777" w:rsidR="00AC6F3C" w:rsidRDefault="00570E88">
            <w:pPr>
              <w:pStyle w:val="TableParagraph"/>
              <w:spacing w:before="56"/>
              <w:ind w:left="523"/>
              <w:rPr>
                <w:sz w:val="18"/>
              </w:rPr>
            </w:pPr>
            <w:r>
              <w:rPr>
                <w:sz w:val="18"/>
              </w:rPr>
              <w:t>C9-1</w:t>
            </w:r>
            <w:r>
              <w:rPr>
                <w:spacing w:val="20"/>
                <w:sz w:val="18"/>
              </w:rPr>
              <w:t xml:space="preserve"> </w:t>
            </w:r>
            <w:r>
              <w:rPr>
                <w:sz w:val="18"/>
              </w:rPr>
              <w:t>Leases</w:t>
            </w:r>
            <w:r>
              <w:rPr>
                <w:spacing w:val="-13"/>
                <w:sz w:val="18"/>
              </w:rPr>
              <w:t xml:space="preserve"> </w:t>
            </w:r>
            <w:r>
              <w:rPr>
                <w:sz w:val="18"/>
              </w:rPr>
              <w:t>as</w:t>
            </w:r>
            <w:r>
              <w:rPr>
                <w:spacing w:val="-12"/>
                <w:sz w:val="18"/>
              </w:rPr>
              <w:t xml:space="preserve"> </w:t>
            </w:r>
            <w:r>
              <w:rPr>
                <w:spacing w:val="-2"/>
                <w:sz w:val="18"/>
              </w:rPr>
              <w:t>Lessee</w:t>
            </w:r>
          </w:p>
        </w:tc>
        <w:tc>
          <w:tcPr>
            <w:tcW w:w="1147" w:type="dxa"/>
            <w:tcBorders>
              <w:top w:val="single" w:sz="4" w:space="0" w:color="000000"/>
              <w:bottom w:val="single" w:sz="4" w:space="0" w:color="000000"/>
            </w:tcBorders>
          </w:tcPr>
          <w:p w14:paraId="26738C2D"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135</w:t>
            </w:r>
          </w:p>
        </w:tc>
      </w:tr>
      <w:tr w:rsidR="00AC6F3C" w14:paraId="5A949541" w14:textId="77777777">
        <w:trPr>
          <w:trHeight w:val="321"/>
        </w:trPr>
        <w:tc>
          <w:tcPr>
            <w:tcW w:w="1560" w:type="dxa"/>
          </w:tcPr>
          <w:p w14:paraId="4776450E"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1F4414F0"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11E3EF6A" w14:textId="77777777" w:rsidR="00AC6F3C" w:rsidRDefault="00570E88">
            <w:pPr>
              <w:pStyle w:val="TableParagraph"/>
              <w:spacing w:before="56"/>
              <w:ind w:left="523"/>
              <w:rPr>
                <w:sz w:val="18"/>
              </w:rPr>
            </w:pPr>
            <w:r>
              <w:rPr>
                <w:sz w:val="18"/>
              </w:rPr>
              <w:t>C9-2</w:t>
            </w:r>
            <w:r>
              <w:rPr>
                <w:spacing w:val="20"/>
                <w:sz w:val="18"/>
              </w:rPr>
              <w:t xml:space="preserve"> </w:t>
            </w:r>
            <w:r>
              <w:rPr>
                <w:sz w:val="18"/>
              </w:rPr>
              <w:t>Leases</w:t>
            </w:r>
            <w:r>
              <w:rPr>
                <w:spacing w:val="-13"/>
                <w:sz w:val="18"/>
              </w:rPr>
              <w:t xml:space="preserve"> </w:t>
            </w:r>
            <w:r>
              <w:rPr>
                <w:sz w:val="18"/>
              </w:rPr>
              <w:t>as</w:t>
            </w:r>
            <w:r>
              <w:rPr>
                <w:spacing w:val="-12"/>
                <w:sz w:val="18"/>
              </w:rPr>
              <w:t xml:space="preserve"> </w:t>
            </w:r>
            <w:r>
              <w:rPr>
                <w:spacing w:val="-2"/>
                <w:sz w:val="18"/>
              </w:rPr>
              <w:t>Lessor</w:t>
            </w:r>
          </w:p>
        </w:tc>
        <w:tc>
          <w:tcPr>
            <w:tcW w:w="1147" w:type="dxa"/>
            <w:tcBorders>
              <w:top w:val="single" w:sz="4" w:space="0" w:color="000000"/>
              <w:bottom w:val="single" w:sz="4" w:space="0" w:color="000000"/>
            </w:tcBorders>
          </w:tcPr>
          <w:p w14:paraId="70648022"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135</w:t>
            </w:r>
          </w:p>
        </w:tc>
      </w:tr>
      <w:tr w:rsidR="00AC6F3C" w14:paraId="2C86CFF4" w14:textId="77777777">
        <w:trPr>
          <w:trHeight w:val="321"/>
        </w:trPr>
        <w:tc>
          <w:tcPr>
            <w:tcW w:w="1560" w:type="dxa"/>
          </w:tcPr>
          <w:p w14:paraId="112ED707"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4CFBD70C" w14:textId="77777777" w:rsidR="00AC6F3C" w:rsidRDefault="00570E88">
            <w:pPr>
              <w:pStyle w:val="TableParagraph"/>
              <w:spacing w:before="56"/>
              <w:ind w:left="105"/>
              <w:rPr>
                <w:b/>
                <w:sz w:val="18"/>
              </w:rPr>
            </w:pPr>
            <w:r>
              <w:rPr>
                <w:b/>
                <w:spacing w:val="-5"/>
                <w:sz w:val="18"/>
              </w:rPr>
              <w:t>D1</w:t>
            </w:r>
          </w:p>
        </w:tc>
        <w:tc>
          <w:tcPr>
            <w:tcW w:w="5507" w:type="dxa"/>
            <w:tcBorders>
              <w:top w:val="single" w:sz="4" w:space="0" w:color="000000"/>
              <w:bottom w:val="single" w:sz="4" w:space="0" w:color="000000"/>
            </w:tcBorders>
          </w:tcPr>
          <w:p w14:paraId="7475C757" w14:textId="77777777" w:rsidR="00AC6F3C" w:rsidRDefault="00570E88">
            <w:pPr>
              <w:pStyle w:val="TableParagraph"/>
              <w:spacing w:before="56"/>
              <w:ind w:left="523"/>
              <w:rPr>
                <w:b/>
                <w:sz w:val="18"/>
              </w:rPr>
            </w:pPr>
            <w:r>
              <w:rPr>
                <w:b/>
                <w:spacing w:val="-4"/>
                <w:sz w:val="18"/>
              </w:rPr>
              <w:t>Critical</w:t>
            </w:r>
            <w:r>
              <w:rPr>
                <w:b/>
                <w:spacing w:val="3"/>
                <w:sz w:val="18"/>
              </w:rPr>
              <w:t xml:space="preserve"> </w:t>
            </w:r>
            <w:r>
              <w:rPr>
                <w:b/>
                <w:spacing w:val="-4"/>
                <w:sz w:val="18"/>
              </w:rPr>
              <w:t>Accounting</w:t>
            </w:r>
            <w:r>
              <w:rPr>
                <w:b/>
                <w:sz w:val="18"/>
              </w:rPr>
              <w:t xml:space="preserve"> </w:t>
            </w:r>
            <w:r>
              <w:rPr>
                <w:b/>
                <w:spacing w:val="-4"/>
                <w:sz w:val="18"/>
              </w:rPr>
              <w:t>Estimates</w:t>
            </w:r>
            <w:r>
              <w:rPr>
                <w:b/>
                <w:spacing w:val="3"/>
                <w:sz w:val="18"/>
              </w:rPr>
              <w:t xml:space="preserve"> </w:t>
            </w:r>
            <w:r>
              <w:rPr>
                <w:b/>
                <w:spacing w:val="-4"/>
                <w:sz w:val="18"/>
              </w:rPr>
              <w:t>and</w:t>
            </w:r>
            <w:r>
              <w:rPr>
                <w:b/>
                <w:sz w:val="18"/>
              </w:rPr>
              <w:t xml:space="preserve"> </w:t>
            </w:r>
            <w:r>
              <w:rPr>
                <w:b/>
                <w:spacing w:val="-4"/>
                <w:sz w:val="18"/>
              </w:rPr>
              <w:t>Judgements</w:t>
            </w:r>
          </w:p>
        </w:tc>
        <w:tc>
          <w:tcPr>
            <w:tcW w:w="1147" w:type="dxa"/>
            <w:tcBorders>
              <w:top w:val="single" w:sz="4" w:space="0" w:color="000000"/>
              <w:bottom w:val="single" w:sz="4" w:space="0" w:color="000000"/>
            </w:tcBorders>
          </w:tcPr>
          <w:p w14:paraId="656D4898"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137</w:t>
            </w:r>
          </w:p>
        </w:tc>
      </w:tr>
      <w:tr w:rsidR="00AC6F3C" w14:paraId="0DBD274A" w14:textId="77777777">
        <w:trPr>
          <w:trHeight w:val="321"/>
        </w:trPr>
        <w:tc>
          <w:tcPr>
            <w:tcW w:w="1560" w:type="dxa"/>
          </w:tcPr>
          <w:p w14:paraId="4AE48A39"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3C978A98" w14:textId="77777777" w:rsidR="00AC6F3C" w:rsidRDefault="00570E88">
            <w:pPr>
              <w:pStyle w:val="TableParagraph"/>
              <w:spacing w:before="56"/>
              <w:ind w:left="105"/>
              <w:rPr>
                <w:b/>
                <w:sz w:val="18"/>
              </w:rPr>
            </w:pPr>
            <w:r>
              <w:rPr>
                <w:b/>
                <w:spacing w:val="-5"/>
                <w:sz w:val="18"/>
              </w:rPr>
              <w:t>D2</w:t>
            </w:r>
          </w:p>
        </w:tc>
        <w:tc>
          <w:tcPr>
            <w:tcW w:w="5507" w:type="dxa"/>
            <w:tcBorders>
              <w:top w:val="single" w:sz="4" w:space="0" w:color="000000"/>
              <w:bottom w:val="single" w:sz="4" w:space="0" w:color="000000"/>
            </w:tcBorders>
          </w:tcPr>
          <w:p w14:paraId="1CACB38D" w14:textId="77777777" w:rsidR="00AC6F3C" w:rsidRDefault="00570E88">
            <w:pPr>
              <w:pStyle w:val="TableParagraph"/>
              <w:spacing w:before="56"/>
              <w:ind w:left="523"/>
              <w:rPr>
                <w:b/>
                <w:sz w:val="18"/>
              </w:rPr>
            </w:pPr>
            <w:r>
              <w:rPr>
                <w:b/>
                <w:spacing w:val="-4"/>
                <w:sz w:val="18"/>
              </w:rPr>
              <w:t>Management</w:t>
            </w:r>
            <w:r>
              <w:rPr>
                <w:b/>
                <w:sz w:val="18"/>
              </w:rPr>
              <w:t xml:space="preserve"> </w:t>
            </w:r>
            <w:r>
              <w:rPr>
                <w:b/>
                <w:spacing w:val="-4"/>
                <w:sz w:val="18"/>
              </w:rPr>
              <w:t>of</w:t>
            </w:r>
            <w:r>
              <w:rPr>
                <w:b/>
                <w:sz w:val="18"/>
              </w:rPr>
              <w:t xml:space="preserve"> </w:t>
            </w:r>
            <w:r>
              <w:rPr>
                <w:b/>
                <w:spacing w:val="-4"/>
                <w:sz w:val="18"/>
              </w:rPr>
              <w:t>Insurance</w:t>
            </w:r>
            <w:r>
              <w:rPr>
                <w:b/>
                <w:sz w:val="18"/>
              </w:rPr>
              <w:t xml:space="preserve"> </w:t>
            </w:r>
            <w:r>
              <w:rPr>
                <w:b/>
                <w:spacing w:val="-4"/>
                <w:sz w:val="18"/>
              </w:rPr>
              <w:t>and</w:t>
            </w:r>
            <w:r>
              <w:rPr>
                <w:b/>
                <w:spacing w:val="3"/>
                <w:sz w:val="18"/>
              </w:rPr>
              <w:t xml:space="preserve"> </w:t>
            </w:r>
            <w:r>
              <w:rPr>
                <w:b/>
                <w:spacing w:val="-4"/>
                <w:sz w:val="18"/>
              </w:rPr>
              <w:t>Financial</w:t>
            </w:r>
            <w:r>
              <w:rPr>
                <w:b/>
                <w:spacing w:val="4"/>
                <w:sz w:val="18"/>
              </w:rPr>
              <w:t xml:space="preserve"> </w:t>
            </w:r>
            <w:r>
              <w:rPr>
                <w:b/>
                <w:spacing w:val="-4"/>
                <w:sz w:val="18"/>
              </w:rPr>
              <w:t>Risk</w:t>
            </w:r>
          </w:p>
        </w:tc>
        <w:tc>
          <w:tcPr>
            <w:tcW w:w="1147" w:type="dxa"/>
            <w:tcBorders>
              <w:top w:val="single" w:sz="4" w:space="0" w:color="000000"/>
              <w:bottom w:val="single" w:sz="4" w:space="0" w:color="000000"/>
            </w:tcBorders>
          </w:tcPr>
          <w:p w14:paraId="2870E2E5"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139</w:t>
            </w:r>
          </w:p>
        </w:tc>
      </w:tr>
      <w:tr w:rsidR="00AC6F3C" w14:paraId="4121070E" w14:textId="77777777">
        <w:trPr>
          <w:trHeight w:val="321"/>
        </w:trPr>
        <w:tc>
          <w:tcPr>
            <w:tcW w:w="1560" w:type="dxa"/>
          </w:tcPr>
          <w:p w14:paraId="2C98E8EC"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012C7191"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210D7443" w14:textId="77777777" w:rsidR="00AC6F3C" w:rsidRDefault="00570E88">
            <w:pPr>
              <w:pStyle w:val="TableParagraph"/>
              <w:spacing w:before="56"/>
              <w:ind w:left="523"/>
              <w:rPr>
                <w:sz w:val="18"/>
              </w:rPr>
            </w:pPr>
            <w:r>
              <w:rPr>
                <w:spacing w:val="-2"/>
                <w:sz w:val="18"/>
              </w:rPr>
              <w:t>D2-1</w:t>
            </w:r>
            <w:r>
              <w:rPr>
                <w:spacing w:val="29"/>
                <w:sz w:val="18"/>
              </w:rPr>
              <w:t xml:space="preserve"> </w:t>
            </w:r>
            <w:r>
              <w:rPr>
                <w:spacing w:val="-2"/>
                <w:sz w:val="18"/>
              </w:rPr>
              <w:t>Insurance</w:t>
            </w:r>
            <w:r>
              <w:rPr>
                <w:spacing w:val="-10"/>
                <w:sz w:val="18"/>
              </w:rPr>
              <w:t xml:space="preserve"> </w:t>
            </w:r>
            <w:r>
              <w:rPr>
                <w:spacing w:val="-4"/>
                <w:sz w:val="18"/>
              </w:rPr>
              <w:t>Risk</w:t>
            </w:r>
          </w:p>
        </w:tc>
        <w:tc>
          <w:tcPr>
            <w:tcW w:w="1147" w:type="dxa"/>
            <w:tcBorders>
              <w:top w:val="single" w:sz="4" w:space="0" w:color="000000"/>
              <w:bottom w:val="single" w:sz="4" w:space="0" w:color="000000"/>
            </w:tcBorders>
          </w:tcPr>
          <w:p w14:paraId="1C31E4BE"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139</w:t>
            </w:r>
          </w:p>
        </w:tc>
      </w:tr>
      <w:tr w:rsidR="00AC6F3C" w14:paraId="399521B8" w14:textId="77777777">
        <w:trPr>
          <w:trHeight w:val="321"/>
        </w:trPr>
        <w:tc>
          <w:tcPr>
            <w:tcW w:w="1560" w:type="dxa"/>
          </w:tcPr>
          <w:p w14:paraId="2B1884DC"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66ADA2C4"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2E4A37E9" w14:textId="77777777" w:rsidR="00AC6F3C" w:rsidRDefault="00570E88">
            <w:pPr>
              <w:pStyle w:val="TableParagraph"/>
              <w:spacing w:before="56"/>
              <w:ind w:left="523"/>
              <w:rPr>
                <w:sz w:val="18"/>
              </w:rPr>
            </w:pPr>
            <w:r>
              <w:rPr>
                <w:spacing w:val="-2"/>
                <w:sz w:val="18"/>
              </w:rPr>
              <w:t>D2-2</w:t>
            </w:r>
            <w:r>
              <w:rPr>
                <w:spacing w:val="28"/>
                <w:sz w:val="18"/>
              </w:rPr>
              <w:t xml:space="preserve"> </w:t>
            </w:r>
            <w:r>
              <w:rPr>
                <w:spacing w:val="-2"/>
                <w:sz w:val="18"/>
              </w:rPr>
              <w:t>Reinsurance</w:t>
            </w:r>
            <w:r>
              <w:rPr>
                <w:spacing w:val="-9"/>
                <w:sz w:val="18"/>
              </w:rPr>
              <w:t xml:space="preserve"> </w:t>
            </w:r>
            <w:r>
              <w:rPr>
                <w:spacing w:val="-4"/>
                <w:sz w:val="18"/>
              </w:rPr>
              <w:t>Risk</w:t>
            </w:r>
          </w:p>
        </w:tc>
        <w:tc>
          <w:tcPr>
            <w:tcW w:w="1147" w:type="dxa"/>
            <w:tcBorders>
              <w:top w:val="single" w:sz="4" w:space="0" w:color="000000"/>
              <w:bottom w:val="single" w:sz="4" w:space="0" w:color="000000"/>
            </w:tcBorders>
          </w:tcPr>
          <w:p w14:paraId="704F9F09"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143</w:t>
            </w:r>
          </w:p>
        </w:tc>
      </w:tr>
      <w:tr w:rsidR="00AC6F3C" w14:paraId="13254FFF" w14:textId="77777777">
        <w:trPr>
          <w:trHeight w:val="321"/>
        </w:trPr>
        <w:tc>
          <w:tcPr>
            <w:tcW w:w="1560" w:type="dxa"/>
          </w:tcPr>
          <w:p w14:paraId="293B56A7"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64781118"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6D34AA0C" w14:textId="77777777" w:rsidR="00AC6F3C" w:rsidRDefault="00570E88">
            <w:pPr>
              <w:pStyle w:val="TableParagraph"/>
              <w:spacing w:before="56"/>
              <w:ind w:left="523"/>
              <w:rPr>
                <w:sz w:val="18"/>
              </w:rPr>
            </w:pPr>
            <w:r>
              <w:rPr>
                <w:spacing w:val="-2"/>
                <w:sz w:val="18"/>
              </w:rPr>
              <w:t>D2-3</w:t>
            </w:r>
            <w:r>
              <w:rPr>
                <w:spacing w:val="31"/>
                <w:sz w:val="18"/>
              </w:rPr>
              <w:t xml:space="preserve"> </w:t>
            </w:r>
            <w:r>
              <w:rPr>
                <w:spacing w:val="-2"/>
                <w:sz w:val="18"/>
              </w:rPr>
              <w:t>Concentration</w:t>
            </w:r>
            <w:r>
              <w:rPr>
                <w:spacing w:val="-11"/>
                <w:sz w:val="18"/>
              </w:rPr>
              <w:t xml:space="preserve"> </w:t>
            </w:r>
            <w:r>
              <w:rPr>
                <w:spacing w:val="-2"/>
                <w:sz w:val="18"/>
              </w:rPr>
              <w:t>of</w:t>
            </w:r>
            <w:r>
              <w:rPr>
                <w:spacing w:val="-8"/>
                <w:sz w:val="18"/>
              </w:rPr>
              <w:t xml:space="preserve"> </w:t>
            </w:r>
            <w:r>
              <w:rPr>
                <w:spacing w:val="-4"/>
                <w:sz w:val="18"/>
              </w:rPr>
              <w:t>Risk</w:t>
            </w:r>
          </w:p>
        </w:tc>
        <w:tc>
          <w:tcPr>
            <w:tcW w:w="1147" w:type="dxa"/>
            <w:tcBorders>
              <w:top w:val="single" w:sz="4" w:space="0" w:color="000000"/>
              <w:bottom w:val="single" w:sz="4" w:space="0" w:color="000000"/>
            </w:tcBorders>
          </w:tcPr>
          <w:p w14:paraId="186C7085"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143</w:t>
            </w:r>
          </w:p>
        </w:tc>
      </w:tr>
      <w:tr w:rsidR="00AC6F3C" w14:paraId="585D7C42" w14:textId="77777777">
        <w:trPr>
          <w:trHeight w:val="321"/>
        </w:trPr>
        <w:tc>
          <w:tcPr>
            <w:tcW w:w="1560" w:type="dxa"/>
          </w:tcPr>
          <w:p w14:paraId="197AAD86"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125FB6E3"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7CF7E7B2" w14:textId="77777777" w:rsidR="00AC6F3C" w:rsidRDefault="00570E88">
            <w:pPr>
              <w:pStyle w:val="TableParagraph"/>
              <w:spacing w:before="56"/>
              <w:ind w:left="523"/>
              <w:rPr>
                <w:sz w:val="18"/>
              </w:rPr>
            </w:pPr>
            <w:r>
              <w:rPr>
                <w:spacing w:val="-2"/>
                <w:sz w:val="18"/>
              </w:rPr>
              <w:t>D2-4</w:t>
            </w:r>
            <w:r>
              <w:rPr>
                <w:spacing w:val="23"/>
                <w:sz w:val="18"/>
              </w:rPr>
              <w:t xml:space="preserve"> </w:t>
            </w:r>
            <w:r>
              <w:rPr>
                <w:spacing w:val="-2"/>
                <w:sz w:val="18"/>
              </w:rPr>
              <w:t>Financial</w:t>
            </w:r>
            <w:r>
              <w:rPr>
                <w:spacing w:val="-10"/>
                <w:sz w:val="18"/>
              </w:rPr>
              <w:t xml:space="preserve"> </w:t>
            </w:r>
            <w:r>
              <w:rPr>
                <w:spacing w:val="-2"/>
                <w:sz w:val="18"/>
              </w:rPr>
              <w:t>Instruments</w:t>
            </w:r>
            <w:r>
              <w:rPr>
                <w:spacing w:val="-11"/>
                <w:sz w:val="18"/>
              </w:rPr>
              <w:t xml:space="preserve"> </w:t>
            </w:r>
            <w:r>
              <w:rPr>
                <w:spacing w:val="-2"/>
                <w:sz w:val="18"/>
              </w:rPr>
              <w:t>and</w:t>
            </w:r>
            <w:r>
              <w:rPr>
                <w:spacing w:val="-9"/>
                <w:sz w:val="18"/>
              </w:rPr>
              <w:t xml:space="preserve"> </w:t>
            </w:r>
            <w:r>
              <w:rPr>
                <w:spacing w:val="-2"/>
                <w:sz w:val="18"/>
              </w:rPr>
              <w:t>Financial</w:t>
            </w:r>
            <w:r>
              <w:rPr>
                <w:spacing w:val="-11"/>
                <w:sz w:val="18"/>
              </w:rPr>
              <w:t xml:space="preserve"> </w:t>
            </w:r>
            <w:r>
              <w:rPr>
                <w:spacing w:val="-2"/>
                <w:sz w:val="18"/>
              </w:rPr>
              <w:t>Risk</w:t>
            </w:r>
            <w:r>
              <w:rPr>
                <w:spacing w:val="-10"/>
                <w:sz w:val="18"/>
              </w:rPr>
              <w:t xml:space="preserve"> </w:t>
            </w:r>
            <w:r>
              <w:rPr>
                <w:spacing w:val="-2"/>
                <w:sz w:val="18"/>
              </w:rPr>
              <w:t>Management</w:t>
            </w:r>
          </w:p>
        </w:tc>
        <w:tc>
          <w:tcPr>
            <w:tcW w:w="1147" w:type="dxa"/>
            <w:tcBorders>
              <w:top w:val="single" w:sz="4" w:space="0" w:color="000000"/>
              <w:bottom w:val="single" w:sz="4" w:space="0" w:color="000000"/>
            </w:tcBorders>
          </w:tcPr>
          <w:p w14:paraId="4D809192"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143</w:t>
            </w:r>
          </w:p>
        </w:tc>
      </w:tr>
      <w:tr w:rsidR="00AC6F3C" w14:paraId="6CB372DB" w14:textId="77777777">
        <w:trPr>
          <w:trHeight w:val="318"/>
        </w:trPr>
        <w:tc>
          <w:tcPr>
            <w:tcW w:w="1560" w:type="dxa"/>
          </w:tcPr>
          <w:p w14:paraId="1574D13D"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3D8BBBCB" w14:textId="77777777" w:rsidR="00AC6F3C" w:rsidRDefault="00570E88">
            <w:pPr>
              <w:pStyle w:val="TableParagraph"/>
              <w:spacing w:before="54"/>
              <w:ind w:left="105"/>
              <w:rPr>
                <w:b/>
                <w:sz w:val="18"/>
              </w:rPr>
            </w:pPr>
            <w:r>
              <w:rPr>
                <w:b/>
                <w:spacing w:val="-5"/>
                <w:sz w:val="18"/>
              </w:rPr>
              <w:t>D3</w:t>
            </w:r>
          </w:p>
        </w:tc>
        <w:tc>
          <w:tcPr>
            <w:tcW w:w="5507" w:type="dxa"/>
            <w:tcBorders>
              <w:top w:val="single" w:sz="4" w:space="0" w:color="000000"/>
              <w:bottom w:val="single" w:sz="4" w:space="0" w:color="000000"/>
            </w:tcBorders>
          </w:tcPr>
          <w:p w14:paraId="34B04226" w14:textId="77777777" w:rsidR="00AC6F3C" w:rsidRDefault="00570E88">
            <w:pPr>
              <w:pStyle w:val="TableParagraph"/>
              <w:spacing w:before="54"/>
              <w:ind w:left="523"/>
              <w:rPr>
                <w:b/>
                <w:sz w:val="18"/>
              </w:rPr>
            </w:pPr>
            <w:r>
              <w:rPr>
                <w:b/>
                <w:spacing w:val="-2"/>
                <w:sz w:val="18"/>
              </w:rPr>
              <w:t>Commitments</w:t>
            </w:r>
          </w:p>
        </w:tc>
        <w:tc>
          <w:tcPr>
            <w:tcW w:w="1147" w:type="dxa"/>
            <w:tcBorders>
              <w:top w:val="single" w:sz="4" w:space="0" w:color="000000"/>
              <w:bottom w:val="single" w:sz="4" w:space="0" w:color="000000"/>
            </w:tcBorders>
          </w:tcPr>
          <w:p w14:paraId="68E678C1" w14:textId="77777777" w:rsidR="00AC6F3C" w:rsidRDefault="00570E88">
            <w:pPr>
              <w:pStyle w:val="TableParagraph"/>
              <w:spacing w:before="54"/>
              <w:ind w:right="107"/>
              <w:jc w:val="right"/>
              <w:rPr>
                <w:b/>
                <w:sz w:val="18"/>
              </w:rPr>
            </w:pPr>
            <w:r>
              <w:rPr>
                <w:b/>
                <w:spacing w:val="-2"/>
                <w:sz w:val="18"/>
              </w:rPr>
              <w:t>Page</w:t>
            </w:r>
            <w:r>
              <w:rPr>
                <w:b/>
                <w:spacing w:val="-11"/>
                <w:sz w:val="18"/>
              </w:rPr>
              <w:t xml:space="preserve"> </w:t>
            </w:r>
            <w:r>
              <w:rPr>
                <w:b/>
                <w:spacing w:val="-5"/>
                <w:sz w:val="18"/>
              </w:rPr>
              <w:t>148</w:t>
            </w:r>
          </w:p>
        </w:tc>
      </w:tr>
      <w:tr w:rsidR="00AC6F3C" w14:paraId="73005AFE" w14:textId="77777777">
        <w:trPr>
          <w:trHeight w:val="321"/>
        </w:trPr>
        <w:tc>
          <w:tcPr>
            <w:tcW w:w="1560" w:type="dxa"/>
          </w:tcPr>
          <w:p w14:paraId="3B4A273B"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26CFDD06"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0F5EF9D0" w14:textId="77777777" w:rsidR="00AC6F3C" w:rsidRDefault="00570E88">
            <w:pPr>
              <w:pStyle w:val="TableParagraph"/>
              <w:spacing w:before="56"/>
              <w:ind w:left="523"/>
              <w:rPr>
                <w:sz w:val="18"/>
              </w:rPr>
            </w:pPr>
            <w:r>
              <w:rPr>
                <w:sz w:val="18"/>
              </w:rPr>
              <w:t>D3-1</w:t>
            </w:r>
            <w:r>
              <w:rPr>
                <w:spacing w:val="16"/>
                <w:sz w:val="18"/>
              </w:rPr>
              <w:t xml:space="preserve"> </w:t>
            </w:r>
            <w:r>
              <w:rPr>
                <w:sz w:val="18"/>
              </w:rPr>
              <w:t>Capital</w:t>
            </w:r>
            <w:r>
              <w:rPr>
                <w:spacing w:val="-12"/>
                <w:sz w:val="18"/>
              </w:rPr>
              <w:t xml:space="preserve"> </w:t>
            </w:r>
            <w:r>
              <w:rPr>
                <w:spacing w:val="-2"/>
                <w:sz w:val="18"/>
              </w:rPr>
              <w:t>Expenditure</w:t>
            </w:r>
          </w:p>
        </w:tc>
        <w:tc>
          <w:tcPr>
            <w:tcW w:w="1147" w:type="dxa"/>
            <w:tcBorders>
              <w:top w:val="single" w:sz="4" w:space="0" w:color="000000"/>
              <w:bottom w:val="single" w:sz="4" w:space="0" w:color="000000"/>
            </w:tcBorders>
          </w:tcPr>
          <w:p w14:paraId="49A250BE"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148</w:t>
            </w:r>
          </w:p>
        </w:tc>
      </w:tr>
      <w:tr w:rsidR="00AC6F3C" w14:paraId="2C291085" w14:textId="77777777">
        <w:trPr>
          <w:trHeight w:val="321"/>
        </w:trPr>
        <w:tc>
          <w:tcPr>
            <w:tcW w:w="1560" w:type="dxa"/>
          </w:tcPr>
          <w:p w14:paraId="6FAFB789"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4320E6F3" w14:textId="77777777" w:rsidR="00AC6F3C" w:rsidRDefault="00570E88">
            <w:pPr>
              <w:pStyle w:val="TableParagraph"/>
              <w:spacing w:before="56"/>
              <w:ind w:left="105"/>
              <w:rPr>
                <w:b/>
                <w:sz w:val="18"/>
              </w:rPr>
            </w:pPr>
            <w:r>
              <w:rPr>
                <w:b/>
                <w:spacing w:val="-5"/>
                <w:sz w:val="18"/>
              </w:rPr>
              <w:t>D4</w:t>
            </w:r>
          </w:p>
        </w:tc>
        <w:tc>
          <w:tcPr>
            <w:tcW w:w="5507" w:type="dxa"/>
            <w:tcBorders>
              <w:top w:val="single" w:sz="4" w:space="0" w:color="000000"/>
              <w:bottom w:val="single" w:sz="4" w:space="0" w:color="000000"/>
            </w:tcBorders>
          </w:tcPr>
          <w:p w14:paraId="6048CC92" w14:textId="77777777" w:rsidR="00AC6F3C" w:rsidRDefault="00570E88">
            <w:pPr>
              <w:pStyle w:val="TableParagraph"/>
              <w:spacing w:before="56"/>
              <w:ind w:left="523"/>
              <w:rPr>
                <w:b/>
                <w:sz w:val="18"/>
              </w:rPr>
            </w:pPr>
            <w:r>
              <w:rPr>
                <w:b/>
                <w:spacing w:val="-4"/>
                <w:sz w:val="18"/>
              </w:rPr>
              <w:t>Contingent</w:t>
            </w:r>
            <w:r>
              <w:rPr>
                <w:b/>
                <w:sz w:val="18"/>
              </w:rPr>
              <w:t xml:space="preserve"> </w:t>
            </w:r>
            <w:r>
              <w:rPr>
                <w:b/>
                <w:spacing w:val="-4"/>
                <w:sz w:val="18"/>
              </w:rPr>
              <w:t>Liabilities</w:t>
            </w:r>
            <w:r>
              <w:rPr>
                <w:b/>
                <w:spacing w:val="1"/>
                <w:sz w:val="18"/>
              </w:rPr>
              <w:t xml:space="preserve"> </w:t>
            </w:r>
            <w:r>
              <w:rPr>
                <w:b/>
                <w:spacing w:val="-4"/>
                <w:sz w:val="18"/>
              </w:rPr>
              <w:t>and</w:t>
            </w:r>
            <w:r>
              <w:rPr>
                <w:b/>
                <w:spacing w:val="5"/>
                <w:sz w:val="18"/>
              </w:rPr>
              <w:t xml:space="preserve"> </w:t>
            </w:r>
            <w:r>
              <w:rPr>
                <w:b/>
                <w:spacing w:val="-4"/>
                <w:sz w:val="18"/>
              </w:rPr>
              <w:t>Events</w:t>
            </w:r>
            <w:r>
              <w:rPr>
                <w:b/>
                <w:sz w:val="18"/>
              </w:rPr>
              <w:t xml:space="preserve"> </w:t>
            </w:r>
            <w:r>
              <w:rPr>
                <w:b/>
                <w:spacing w:val="-4"/>
                <w:sz w:val="18"/>
              </w:rPr>
              <w:t>after</w:t>
            </w:r>
            <w:r>
              <w:rPr>
                <w:b/>
                <w:spacing w:val="4"/>
                <w:sz w:val="18"/>
              </w:rPr>
              <w:t xml:space="preserve"> </w:t>
            </w:r>
            <w:r>
              <w:rPr>
                <w:b/>
                <w:spacing w:val="-4"/>
                <w:sz w:val="18"/>
              </w:rPr>
              <w:t>Balance</w:t>
            </w:r>
            <w:r>
              <w:rPr>
                <w:b/>
                <w:spacing w:val="1"/>
                <w:sz w:val="18"/>
              </w:rPr>
              <w:t xml:space="preserve"> </w:t>
            </w:r>
            <w:r>
              <w:rPr>
                <w:b/>
                <w:spacing w:val="-4"/>
                <w:sz w:val="18"/>
              </w:rPr>
              <w:t>Date</w:t>
            </w:r>
          </w:p>
        </w:tc>
        <w:tc>
          <w:tcPr>
            <w:tcW w:w="1147" w:type="dxa"/>
            <w:tcBorders>
              <w:top w:val="single" w:sz="4" w:space="0" w:color="000000"/>
              <w:bottom w:val="single" w:sz="4" w:space="0" w:color="000000"/>
            </w:tcBorders>
          </w:tcPr>
          <w:p w14:paraId="63DCE423"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148</w:t>
            </w:r>
          </w:p>
        </w:tc>
      </w:tr>
      <w:tr w:rsidR="00AC6F3C" w14:paraId="6338AFA1" w14:textId="77777777">
        <w:trPr>
          <w:trHeight w:val="321"/>
        </w:trPr>
        <w:tc>
          <w:tcPr>
            <w:tcW w:w="1560" w:type="dxa"/>
          </w:tcPr>
          <w:p w14:paraId="3E6B972F"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4093A9E2" w14:textId="77777777" w:rsidR="00AC6F3C" w:rsidRDefault="00570E88">
            <w:pPr>
              <w:pStyle w:val="TableParagraph"/>
              <w:spacing w:before="56"/>
              <w:ind w:left="105"/>
              <w:rPr>
                <w:b/>
                <w:sz w:val="18"/>
              </w:rPr>
            </w:pPr>
            <w:r>
              <w:rPr>
                <w:b/>
                <w:spacing w:val="-5"/>
                <w:sz w:val="18"/>
              </w:rPr>
              <w:t>D5</w:t>
            </w:r>
          </w:p>
        </w:tc>
        <w:tc>
          <w:tcPr>
            <w:tcW w:w="5507" w:type="dxa"/>
            <w:tcBorders>
              <w:top w:val="single" w:sz="4" w:space="0" w:color="000000"/>
              <w:bottom w:val="single" w:sz="4" w:space="0" w:color="000000"/>
            </w:tcBorders>
          </w:tcPr>
          <w:p w14:paraId="7BE92BB3" w14:textId="77777777" w:rsidR="00AC6F3C" w:rsidRDefault="00570E88">
            <w:pPr>
              <w:pStyle w:val="TableParagraph"/>
              <w:spacing w:before="56"/>
              <w:ind w:left="523"/>
              <w:rPr>
                <w:b/>
                <w:sz w:val="18"/>
              </w:rPr>
            </w:pPr>
            <w:r>
              <w:rPr>
                <w:b/>
                <w:spacing w:val="-2"/>
                <w:sz w:val="18"/>
              </w:rPr>
              <w:t>Future</w:t>
            </w:r>
            <w:r>
              <w:rPr>
                <w:b/>
                <w:spacing w:val="-11"/>
                <w:sz w:val="18"/>
              </w:rPr>
              <w:t xml:space="preserve"> </w:t>
            </w:r>
            <w:r>
              <w:rPr>
                <w:b/>
                <w:spacing w:val="-2"/>
                <w:sz w:val="18"/>
              </w:rPr>
              <w:t>Impact</w:t>
            </w:r>
            <w:r>
              <w:rPr>
                <w:b/>
                <w:spacing w:val="-10"/>
                <w:sz w:val="18"/>
              </w:rPr>
              <w:t xml:space="preserve"> </w:t>
            </w:r>
            <w:r>
              <w:rPr>
                <w:b/>
                <w:spacing w:val="-2"/>
                <w:sz w:val="18"/>
              </w:rPr>
              <w:t>of</w:t>
            </w:r>
            <w:r>
              <w:rPr>
                <w:b/>
                <w:spacing w:val="-11"/>
                <w:sz w:val="18"/>
              </w:rPr>
              <w:t xml:space="preserve"> </w:t>
            </w:r>
            <w:r>
              <w:rPr>
                <w:b/>
                <w:spacing w:val="-2"/>
                <w:sz w:val="18"/>
              </w:rPr>
              <w:t>Accounting</w:t>
            </w:r>
            <w:r>
              <w:rPr>
                <w:b/>
                <w:spacing w:val="-10"/>
                <w:sz w:val="18"/>
              </w:rPr>
              <w:t xml:space="preserve"> </w:t>
            </w:r>
            <w:r>
              <w:rPr>
                <w:b/>
                <w:spacing w:val="-2"/>
                <w:sz w:val="18"/>
              </w:rPr>
              <w:t>Standards</w:t>
            </w:r>
            <w:r>
              <w:rPr>
                <w:b/>
                <w:spacing w:val="-11"/>
                <w:sz w:val="18"/>
              </w:rPr>
              <w:t xml:space="preserve"> </w:t>
            </w:r>
            <w:r>
              <w:rPr>
                <w:b/>
                <w:spacing w:val="-2"/>
                <w:sz w:val="18"/>
              </w:rPr>
              <w:t>Not</w:t>
            </w:r>
            <w:r>
              <w:rPr>
                <w:b/>
                <w:spacing w:val="-10"/>
                <w:sz w:val="18"/>
              </w:rPr>
              <w:t xml:space="preserve"> </w:t>
            </w:r>
            <w:r>
              <w:rPr>
                <w:b/>
                <w:spacing w:val="-2"/>
                <w:sz w:val="18"/>
              </w:rPr>
              <w:t>Yet</w:t>
            </w:r>
            <w:r>
              <w:rPr>
                <w:b/>
                <w:spacing w:val="-10"/>
                <w:sz w:val="18"/>
              </w:rPr>
              <w:t xml:space="preserve"> </w:t>
            </w:r>
            <w:r>
              <w:rPr>
                <w:b/>
                <w:spacing w:val="-2"/>
                <w:sz w:val="18"/>
              </w:rPr>
              <w:t>Effective</w:t>
            </w:r>
          </w:p>
        </w:tc>
        <w:tc>
          <w:tcPr>
            <w:tcW w:w="1147" w:type="dxa"/>
            <w:tcBorders>
              <w:top w:val="single" w:sz="4" w:space="0" w:color="000000"/>
              <w:bottom w:val="single" w:sz="4" w:space="0" w:color="000000"/>
            </w:tcBorders>
          </w:tcPr>
          <w:p w14:paraId="3B3E61BF"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148</w:t>
            </w:r>
          </w:p>
        </w:tc>
      </w:tr>
      <w:tr w:rsidR="00AC6F3C" w14:paraId="10F440F0" w14:textId="77777777">
        <w:trPr>
          <w:trHeight w:val="321"/>
        </w:trPr>
        <w:tc>
          <w:tcPr>
            <w:tcW w:w="1560" w:type="dxa"/>
          </w:tcPr>
          <w:p w14:paraId="10B6AC20"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4AF60C09" w14:textId="77777777" w:rsidR="00AC6F3C" w:rsidRDefault="00570E88">
            <w:pPr>
              <w:pStyle w:val="TableParagraph"/>
              <w:spacing w:before="56"/>
              <w:ind w:left="105"/>
              <w:rPr>
                <w:b/>
                <w:sz w:val="18"/>
              </w:rPr>
            </w:pPr>
            <w:r>
              <w:rPr>
                <w:b/>
                <w:spacing w:val="-5"/>
                <w:sz w:val="18"/>
              </w:rPr>
              <w:t>E1</w:t>
            </w:r>
          </w:p>
        </w:tc>
        <w:tc>
          <w:tcPr>
            <w:tcW w:w="5507" w:type="dxa"/>
            <w:tcBorders>
              <w:top w:val="single" w:sz="4" w:space="0" w:color="000000"/>
              <w:bottom w:val="single" w:sz="4" w:space="0" w:color="000000"/>
            </w:tcBorders>
          </w:tcPr>
          <w:p w14:paraId="5C3888E3" w14:textId="77777777" w:rsidR="00AC6F3C" w:rsidRDefault="00570E88">
            <w:pPr>
              <w:pStyle w:val="TableParagraph"/>
              <w:spacing w:before="56"/>
              <w:ind w:left="523"/>
              <w:rPr>
                <w:b/>
                <w:sz w:val="18"/>
              </w:rPr>
            </w:pPr>
            <w:r>
              <w:rPr>
                <w:b/>
                <w:spacing w:val="-4"/>
                <w:sz w:val="18"/>
              </w:rPr>
              <w:t>Key</w:t>
            </w:r>
            <w:r>
              <w:rPr>
                <w:b/>
                <w:sz w:val="18"/>
              </w:rPr>
              <w:t xml:space="preserve"> </w:t>
            </w:r>
            <w:r>
              <w:rPr>
                <w:b/>
                <w:spacing w:val="-4"/>
                <w:sz w:val="18"/>
              </w:rPr>
              <w:t>Management</w:t>
            </w:r>
            <w:r>
              <w:rPr>
                <w:b/>
                <w:spacing w:val="2"/>
                <w:sz w:val="18"/>
              </w:rPr>
              <w:t xml:space="preserve"> </w:t>
            </w:r>
            <w:r>
              <w:rPr>
                <w:b/>
                <w:spacing w:val="-4"/>
                <w:sz w:val="18"/>
              </w:rPr>
              <w:t>Personnel</w:t>
            </w:r>
            <w:r>
              <w:rPr>
                <w:b/>
                <w:spacing w:val="1"/>
                <w:sz w:val="18"/>
              </w:rPr>
              <w:t xml:space="preserve"> </w:t>
            </w:r>
            <w:r>
              <w:rPr>
                <w:b/>
                <w:spacing w:val="-4"/>
                <w:sz w:val="18"/>
              </w:rPr>
              <w:t>Disclosures</w:t>
            </w:r>
          </w:p>
        </w:tc>
        <w:tc>
          <w:tcPr>
            <w:tcW w:w="1147" w:type="dxa"/>
            <w:tcBorders>
              <w:top w:val="single" w:sz="4" w:space="0" w:color="000000"/>
              <w:bottom w:val="single" w:sz="4" w:space="0" w:color="000000"/>
            </w:tcBorders>
          </w:tcPr>
          <w:p w14:paraId="7FE86193"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149</w:t>
            </w:r>
          </w:p>
        </w:tc>
      </w:tr>
      <w:tr w:rsidR="00AC6F3C" w14:paraId="1FEA2CD3" w14:textId="77777777">
        <w:trPr>
          <w:trHeight w:val="321"/>
        </w:trPr>
        <w:tc>
          <w:tcPr>
            <w:tcW w:w="1560" w:type="dxa"/>
          </w:tcPr>
          <w:p w14:paraId="056BE679"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177554AD" w14:textId="77777777" w:rsidR="00AC6F3C" w:rsidRDefault="00570E88">
            <w:pPr>
              <w:pStyle w:val="TableParagraph"/>
              <w:spacing w:before="56"/>
              <w:ind w:left="105"/>
              <w:rPr>
                <w:b/>
                <w:sz w:val="18"/>
              </w:rPr>
            </w:pPr>
            <w:r>
              <w:rPr>
                <w:b/>
                <w:spacing w:val="-5"/>
                <w:sz w:val="18"/>
              </w:rPr>
              <w:t>E2</w:t>
            </w:r>
          </w:p>
        </w:tc>
        <w:tc>
          <w:tcPr>
            <w:tcW w:w="5507" w:type="dxa"/>
            <w:tcBorders>
              <w:top w:val="single" w:sz="4" w:space="0" w:color="000000"/>
              <w:bottom w:val="single" w:sz="4" w:space="0" w:color="000000"/>
            </w:tcBorders>
          </w:tcPr>
          <w:p w14:paraId="0B3E247A" w14:textId="77777777" w:rsidR="00AC6F3C" w:rsidRDefault="00570E88">
            <w:pPr>
              <w:pStyle w:val="TableParagraph"/>
              <w:spacing w:before="56"/>
              <w:ind w:left="523"/>
              <w:rPr>
                <w:b/>
                <w:sz w:val="18"/>
              </w:rPr>
            </w:pPr>
            <w:r>
              <w:rPr>
                <w:b/>
                <w:spacing w:val="-4"/>
                <w:sz w:val="18"/>
              </w:rPr>
              <w:t>Related</w:t>
            </w:r>
            <w:r>
              <w:rPr>
                <w:b/>
                <w:sz w:val="18"/>
              </w:rPr>
              <w:t xml:space="preserve"> </w:t>
            </w:r>
            <w:r>
              <w:rPr>
                <w:b/>
                <w:spacing w:val="-4"/>
                <w:sz w:val="18"/>
              </w:rPr>
              <w:t>Party</w:t>
            </w:r>
            <w:r>
              <w:rPr>
                <w:b/>
                <w:sz w:val="18"/>
              </w:rPr>
              <w:t xml:space="preserve"> </w:t>
            </w:r>
            <w:r>
              <w:rPr>
                <w:b/>
                <w:spacing w:val="-4"/>
                <w:sz w:val="18"/>
              </w:rPr>
              <w:t>Transactions</w:t>
            </w:r>
          </w:p>
        </w:tc>
        <w:tc>
          <w:tcPr>
            <w:tcW w:w="1147" w:type="dxa"/>
            <w:tcBorders>
              <w:top w:val="single" w:sz="4" w:space="0" w:color="000000"/>
              <w:bottom w:val="single" w:sz="4" w:space="0" w:color="000000"/>
            </w:tcBorders>
          </w:tcPr>
          <w:p w14:paraId="6A0A1590"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153</w:t>
            </w:r>
          </w:p>
        </w:tc>
      </w:tr>
      <w:tr w:rsidR="00AC6F3C" w14:paraId="6C2488F3" w14:textId="77777777">
        <w:trPr>
          <w:trHeight w:val="527"/>
        </w:trPr>
        <w:tc>
          <w:tcPr>
            <w:tcW w:w="1560" w:type="dxa"/>
          </w:tcPr>
          <w:p w14:paraId="75C669A0"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57CF0A32" w14:textId="77777777" w:rsidR="00AC6F3C" w:rsidRDefault="00570E88">
            <w:pPr>
              <w:pStyle w:val="TableParagraph"/>
              <w:spacing w:before="56"/>
              <w:ind w:left="105"/>
              <w:rPr>
                <w:b/>
                <w:sz w:val="18"/>
              </w:rPr>
            </w:pPr>
            <w:r>
              <w:rPr>
                <w:b/>
                <w:spacing w:val="-5"/>
                <w:sz w:val="18"/>
              </w:rPr>
              <w:t>E3</w:t>
            </w:r>
          </w:p>
        </w:tc>
        <w:tc>
          <w:tcPr>
            <w:tcW w:w="5507" w:type="dxa"/>
            <w:tcBorders>
              <w:top w:val="single" w:sz="4" w:space="0" w:color="000000"/>
              <w:bottom w:val="single" w:sz="4" w:space="0" w:color="000000"/>
            </w:tcBorders>
          </w:tcPr>
          <w:p w14:paraId="3CC70FBC" w14:textId="77777777" w:rsidR="00AC6F3C" w:rsidRDefault="00570E88">
            <w:pPr>
              <w:pStyle w:val="TableParagraph"/>
              <w:spacing w:before="56"/>
              <w:ind w:left="523" w:right="429"/>
              <w:rPr>
                <w:b/>
                <w:sz w:val="18"/>
              </w:rPr>
            </w:pPr>
            <w:r>
              <w:rPr>
                <w:b/>
                <w:spacing w:val="-2"/>
                <w:sz w:val="18"/>
              </w:rPr>
              <w:t>First</w:t>
            </w:r>
            <w:r>
              <w:rPr>
                <w:b/>
                <w:spacing w:val="-11"/>
                <w:sz w:val="18"/>
              </w:rPr>
              <w:t xml:space="preserve"> </w:t>
            </w:r>
            <w:r>
              <w:rPr>
                <w:b/>
                <w:spacing w:val="-2"/>
                <w:sz w:val="18"/>
              </w:rPr>
              <w:t>Year</w:t>
            </w:r>
            <w:r>
              <w:rPr>
                <w:b/>
                <w:spacing w:val="-10"/>
                <w:sz w:val="18"/>
              </w:rPr>
              <w:t xml:space="preserve"> </w:t>
            </w:r>
            <w:r>
              <w:rPr>
                <w:b/>
                <w:spacing w:val="-2"/>
                <w:sz w:val="18"/>
              </w:rPr>
              <w:t>Application</w:t>
            </w:r>
            <w:r>
              <w:rPr>
                <w:b/>
                <w:spacing w:val="-11"/>
                <w:sz w:val="18"/>
              </w:rPr>
              <w:t xml:space="preserve"> </w:t>
            </w:r>
            <w:r>
              <w:rPr>
                <w:b/>
                <w:spacing w:val="-2"/>
                <w:sz w:val="18"/>
              </w:rPr>
              <w:t>of</w:t>
            </w:r>
            <w:r>
              <w:rPr>
                <w:b/>
                <w:spacing w:val="-10"/>
                <w:sz w:val="18"/>
              </w:rPr>
              <w:t xml:space="preserve"> </w:t>
            </w:r>
            <w:r>
              <w:rPr>
                <w:b/>
                <w:spacing w:val="-2"/>
                <w:sz w:val="18"/>
              </w:rPr>
              <w:t>New</w:t>
            </w:r>
            <w:r>
              <w:rPr>
                <w:b/>
                <w:spacing w:val="-11"/>
                <w:sz w:val="18"/>
              </w:rPr>
              <w:t xml:space="preserve"> </w:t>
            </w:r>
            <w:r>
              <w:rPr>
                <w:b/>
                <w:spacing w:val="-2"/>
                <w:sz w:val="18"/>
              </w:rPr>
              <w:t>Accounting</w:t>
            </w:r>
            <w:r>
              <w:rPr>
                <w:b/>
                <w:spacing w:val="-11"/>
                <w:sz w:val="18"/>
              </w:rPr>
              <w:t xml:space="preserve"> </w:t>
            </w:r>
            <w:r>
              <w:rPr>
                <w:b/>
                <w:spacing w:val="-2"/>
                <w:sz w:val="18"/>
              </w:rPr>
              <w:t>Standards</w:t>
            </w:r>
            <w:r>
              <w:rPr>
                <w:b/>
                <w:spacing w:val="-10"/>
                <w:sz w:val="18"/>
              </w:rPr>
              <w:t xml:space="preserve"> </w:t>
            </w:r>
            <w:r>
              <w:rPr>
                <w:b/>
                <w:spacing w:val="-2"/>
                <w:sz w:val="18"/>
              </w:rPr>
              <w:t xml:space="preserve">or </w:t>
            </w:r>
            <w:r>
              <w:rPr>
                <w:b/>
                <w:sz w:val="18"/>
              </w:rPr>
              <w:t>Change in Accounting Policy</w:t>
            </w:r>
          </w:p>
        </w:tc>
        <w:tc>
          <w:tcPr>
            <w:tcW w:w="1147" w:type="dxa"/>
            <w:tcBorders>
              <w:top w:val="single" w:sz="4" w:space="0" w:color="000000"/>
              <w:bottom w:val="single" w:sz="4" w:space="0" w:color="000000"/>
            </w:tcBorders>
          </w:tcPr>
          <w:p w14:paraId="3BB36488"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154</w:t>
            </w:r>
          </w:p>
        </w:tc>
      </w:tr>
      <w:tr w:rsidR="00AC6F3C" w14:paraId="754382AA" w14:textId="77777777">
        <w:trPr>
          <w:trHeight w:val="321"/>
        </w:trPr>
        <w:tc>
          <w:tcPr>
            <w:tcW w:w="1560" w:type="dxa"/>
          </w:tcPr>
          <w:p w14:paraId="50A6C06C"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2830C9AD" w14:textId="77777777" w:rsidR="00AC6F3C" w:rsidRDefault="00570E88">
            <w:pPr>
              <w:pStyle w:val="TableParagraph"/>
              <w:spacing w:before="56"/>
              <w:ind w:left="105"/>
              <w:rPr>
                <w:b/>
                <w:sz w:val="18"/>
              </w:rPr>
            </w:pPr>
            <w:r>
              <w:rPr>
                <w:b/>
                <w:spacing w:val="-5"/>
                <w:sz w:val="18"/>
              </w:rPr>
              <w:t>F1</w:t>
            </w:r>
          </w:p>
        </w:tc>
        <w:tc>
          <w:tcPr>
            <w:tcW w:w="5507" w:type="dxa"/>
            <w:tcBorders>
              <w:top w:val="single" w:sz="4" w:space="0" w:color="000000"/>
              <w:bottom w:val="single" w:sz="4" w:space="0" w:color="000000"/>
            </w:tcBorders>
          </w:tcPr>
          <w:p w14:paraId="72B5AE89" w14:textId="77777777" w:rsidR="00AC6F3C" w:rsidRDefault="00570E88">
            <w:pPr>
              <w:pStyle w:val="TableParagraph"/>
              <w:spacing w:before="56"/>
              <w:ind w:left="523"/>
              <w:rPr>
                <w:b/>
                <w:sz w:val="18"/>
              </w:rPr>
            </w:pPr>
            <w:r>
              <w:rPr>
                <w:b/>
                <w:spacing w:val="-2"/>
                <w:sz w:val="18"/>
              </w:rPr>
              <w:t>Taxation</w:t>
            </w:r>
          </w:p>
        </w:tc>
        <w:tc>
          <w:tcPr>
            <w:tcW w:w="1147" w:type="dxa"/>
            <w:tcBorders>
              <w:top w:val="single" w:sz="4" w:space="0" w:color="000000"/>
              <w:bottom w:val="single" w:sz="4" w:space="0" w:color="000000"/>
            </w:tcBorders>
          </w:tcPr>
          <w:p w14:paraId="3EF5C2EB"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155</w:t>
            </w:r>
          </w:p>
        </w:tc>
      </w:tr>
      <w:tr w:rsidR="00AC6F3C" w14:paraId="1E49B2AA" w14:textId="77777777">
        <w:trPr>
          <w:trHeight w:val="321"/>
        </w:trPr>
        <w:tc>
          <w:tcPr>
            <w:tcW w:w="1560" w:type="dxa"/>
          </w:tcPr>
          <w:p w14:paraId="39F8B708"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159290BD"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32C76C8A" w14:textId="77777777" w:rsidR="00AC6F3C" w:rsidRDefault="00570E88">
            <w:pPr>
              <w:pStyle w:val="TableParagraph"/>
              <w:spacing w:before="56"/>
              <w:ind w:left="523"/>
              <w:rPr>
                <w:sz w:val="18"/>
              </w:rPr>
            </w:pPr>
            <w:r>
              <w:rPr>
                <w:sz w:val="18"/>
              </w:rPr>
              <w:t>F1-1</w:t>
            </w:r>
            <w:r>
              <w:rPr>
                <w:spacing w:val="19"/>
                <w:sz w:val="18"/>
              </w:rPr>
              <w:t xml:space="preserve"> </w:t>
            </w:r>
            <w:r>
              <w:rPr>
                <w:sz w:val="18"/>
              </w:rPr>
              <w:t>Income</w:t>
            </w:r>
            <w:r>
              <w:rPr>
                <w:spacing w:val="-13"/>
                <w:sz w:val="18"/>
              </w:rPr>
              <w:t xml:space="preserve"> </w:t>
            </w:r>
            <w:r>
              <w:rPr>
                <w:sz w:val="18"/>
              </w:rPr>
              <w:t>Tax</w:t>
            </w:r>
            <w:r>
              <w:rPr>
                <w:spacing w:val="-12"/>
                <w:sz w:val="18"/>
              </w:rPr>
              <w:t xml:space="preserve"> </w:t>
            </w:r>
            <w:r>
              <w:rPr>
                <w:spacing w:val="-2"/>
                <w:sz w:val="18"/>
              </w:rPr>
              <w:t>Expense</w:t>
            </w:r>
          </w:p>
        </w:tc>
        <w:tc>
          <w:tcPr>
            <w:tcW w:w="1147" w:type="dxa"/>
            <w:tcBorders>
              <w:top w:val="single" w:sz="4" w:space="0" w:color="000000"/>
              <w:bottom w:val="single" w:sz="4" w:space="0" w:color="000000"/>
            </w:tcBorders>
          </w:tcPr>
          <w:p w14:paraId="279BC7B8"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156</w:t>
            </w:r>
          </w:p>
        </w:tc>
      </w:tr>
      <w:tr w:rsidR="00AC6F3C" w14:paraId="5FAE0349" w14:textId="77777777">
        <w:trPr>
          <w:trHeight w:val="321"/>
        </w:trPr>
        <w:tc>
          <w:tcPr>
            <w:tcW w:w="1560" w:type="dxa"/>
          </w:tcPr>
          <w:p w14:paraId="0C57EEEA"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2475419B"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41628C6F" w14:textId="77777777" w:rsidR="00AC6F3C" w:rsidRDefault="00570E88">
            <w:pPr>
              <w:pStyle w:val="TableParagraph"/>
              <w:spacing w:before="56"/>
              <w:ind w:left="523"/>
              <w:rPr>
                <w:sz w:val="18"/>
              </w:rPr>
            </w:pPr>
            <w:r>
              <w:rPr>
                <w:sz w:val="18"/>
              </w:rPr>
              <w:t>F1-2</w:t>
            </w:r>
            <w:r>
              <w:rPr>
                <w:spacing w:val="19"/>
                <w:sz w:val="18"/>
              </w:rPr>
              <w:t xml:space="preserve"> </w:t>
            </w:r>
            <w:r>
              <w:rPr>
                <w:sz w:val="18"/>
              </w:rPr>
              <w:t>Income</w:t>
            </w:r>
            <w:r>
              <w:rPr>
                <w:spacing w:val="-13"/>
                <w:sz w:val="18"/>
              </w:rPr>
              <w:t xml:space="preserve"> </w:t>
            </w:r>
            <w:r>
              <w:rPr>
                <w:sz w:val="18"/>
              </w:rPr>
              <w:t>Tax</w:t>
            </w:r>
            <w:r>
              <w:rPr>
                <w:spacing w:val="-12"/>
                <w:sz w:val="18"/>
              </w:rPr>
              <w:t xml:space="preserve"> </w:t>
            </w:r>
            <w:r>
              <w:rPr>
                <w:spacing w:val="-2"/>
                <w:sz w:val="18"/>
              </w:rPr>
              <w:t>Receivable</w:t>
            </w:r>
          </w:p>
        </w:tc>
        <w:tc>
          <w:tcPr>
            <w:tcW w:w="1147" w:type="dxa"/>
            <w:tcBorders>
              <w:top w:val="single" w:sz="4" w:space="0" w:color="000000"/>
              <w:bottom w:val="single" w:sz="4" w:space="0" w:color="000000"/>
            </w:tcBorders>
          </w:tcPr>
          <w:p w14:paraId="7CB24FD8"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157</w:t>
            </w:r>
          </w:p>
        </w:tc>
      </w:tr>
      <w:tr w:rsidR="00AC6F3C" w14:paraId="2F534A93" w14:textId="77777777">
        <w:trPr>
          <w:trHeight w:val="321"/>
        </w:trPr>
        <w:tc>
          <w:tcPr>
            <w:tcW w:w="1560" w:type="dxa"/>
            <w:tcBorders>
              <w:bottom w:val="single" w:sz="4" w:space="0" w:color="000000"/>
            </w:tcBorders>
          </w:tcPr>
          <w:p w14:paraId="31C0DE10" w14:textId="77777777" w:rsidR="00AC6F3C" w:rsidRDefault="00AC6F3C">
            <w:pPr>
              <w:pStyle w:val="TableParagraph"/>
              <w:rPr>
                <w:rFonts w:ascii="Times New Roman"/>
                <w:sz w:val="18"/>
              </w:rPr>
            </w:pPr>
          </w:p>
        </w:tc>
        <w:tc>
          <w:tcPr>
            <w:tcW w:w="859" w:type="dxa"/>
            <w:tcBorders>
              <w:top w:val="single" w:sz="4" w:space="0" w:color="000000"/>
              <w:bottom w:val="single" w:sz="4" w:space="0" w:color="000000"/>
            </w:tcBorders>
          </w:tcPr>
          <w:p w14:paraId="4F13DDC9" w14:textId="77777777" w:rsidR="00AC6F3C" w:rsidRDefault="00AC6F3C">
            <w:pPr>
              <w:pStyle w:val="TableParagraph"/>
              <w:rPr>
                <w:rFonts w:ascii="Times New Roman"/>
                <w:sz w:val="18"/>
              </w:rPr>
            </w:pPr>
          </w:p>
        </w:tc>
        <w:tc>
          <w:tcPr>
            <w:tcW w:w="5507" w:type="dxa"/>
            <w:tcBorders>
              <w:top w:val="single" w:sz="4" w:space="0" w:color="000000"/>
              <w:bottom w:val="single" w:sz="4" w:space="0" w:color="000000"/>
            </w:tcBorders>
          </w:tcPr>
          <w:p w14:paraId="483036EB" w14:textId="77777777" w:rsidR="00AC6F3C" w:rsidRDefault="00570E88">
            <w:pPr>
              <w:pStyle w:val="TableParagraph"/>
              <w:spacing w:before="56"/>
              <w:ind w:left="523"/>
              <w:rPr>
                <w:sz w:val="18"/>
              </w:rPr>
            </w:pPr>
            <w:r>
              <w:rPr>
                <w:spacing w:val="-2"/>
                <w:sz w:val="18"/>
              </w:rPr>
              <w:t>F1-3</w:t>
            </w:r>
            <w:r>
              <w:rPr>
                <w:spacing w:val="33"/>
                <w:sz w:val="18"/>
              </w:rPr>
              <w:t xml:space="preserve"> </w:t>
            </w:r>
            <w:r>
              <w:rPr>
                <w:spacing w:val="-2"/>
                <w:sz w:val="18"/>
              </w:rPr>
              <w:t>Deferred</w:t>
            </w:r>
            <w:r>
              <w:rPr>
                <w:spacing w:val="-10"/>
                <w:sz w:val="18"/>
              </w:rPr>
              <w:t xml:space="preserve"> </w:t>
            </w:r>
            <w:r>
              <w:rPr>
                <w:spacing w:val="-2"/>
                <w:sz w:val="18"/>
              </w:rPr>
              <w:t>Income</w:t>
            </w:r>
            <w:r>
              <w:rPr>
                <w:spacing w:val="-11"/>
                <w:sz w:val="18"/>
              </w:rPr>
              <w:t xml:space="preserve"> </w:t>
            </w:r>
            <w:r>
              <w:rPr>
                <w:spacing w:val="-2"/>
                <w:sz w:val="18"/>
              </w:rPr>
              <w:t>Tax</w:t>
            </w:r>
            <w:r>
              <w:rPr>
                <w:spacing w:val="-7"/>
                <w:sz w:val="18"/>
              </w:rPr>
              <w:t xml:space="preserve"> </w:t>
            </w:r>
            <w:r>
              <w:rPr>
                <w:spacing w:val="-2"/>
                <w:sz w:val="18"/>
              </w:rPr>
              <w:t>Balances</w:t>
            </w:r>
          </w:p>
        </w:tc>
        <w:tc>
          <w:tcPr>
            <w:tcW w:w="1147" w:type="dxa"/>
            <w:tcBorders>
              <w:top w:val="single" w:sz="4" w:space="0" w:color="000000"/>
              <w:bottom w:val="single" w:sz="4" w:space="0" w:color="000000"/>
            </w:tcBorders>
          </w:tcPr>
          <w:p w14:paraId="7CB7B979" w14:textId="77777777" w:rsidR="00AC6F3C" w:rsidRDefault="00570E88">
            <w:pPr>
              <w:pStyle w:val="TableParagraph"/>
              <w:spacing w:before="56"/>
              <w:ind w:right="107"/>
              <w:jc w:val="right"/>
              <w:rPr>
                <w:sz w:val="18"/>
              </w:rPr>
            </w:pPr>
            <w:r>
              <w:rPr>
                <w:spacing w:val="-2"/>
                <w:sz w:val="18"/>
              </w:rPr>
              <w:t>Page</w:t>
            </w:r>
            <w:r>
              <w:rPr>
                <w:spacing w:val="-11"/>
                <w:sz w:val="18"/>
              </w:rPr>
              <w:t xml:space="preserve"> </w:t>
            </w:r>
            <w:r>
              <w:rPr>
                <w:spacing w:val="-5"/>
                <w:sz w:val="18"/>
              </w:rPr>
              <w:t>157</w:t>
            </w:r>
          </w:p>
        </w:tc>
      </w:tr>
      <w:tr w:rsidR="00AC6F3C" w14:paraId="46CEF075" w14:textId="77777777">
        <w:trPr>
          <w:trHeight w:val="321"/>
        </w:trPr>
        <w:tc>
          <w:tcPr>
            <w:tcW w:w="1560" w:type="dxa"/>
          </w:tcPr>
          <w:p w14:paraId="2960A75F" w14:textId="77777777" w:rsidR="00AC6F3C" w:rsidRDefault="00570E88">
            <w:pPr>
              <w:pStyle w:val="TableParagraph"/>
              <w:spacing w:before="51"/>
              <w:ind w:left="105"/>
              <w:rPr>
                <w:b/>
                <w:sz w:val="18"/>
              </w:rPr>
            </w:pPr>
            <w:r>
              <w:rPr>
                <w:b/>
                <w:spacing w:val="-2"/>
                <w:sz w:val="18"/>
              </w:rPr>
              <w:t>Certification</w:t>
            </w:r>
          </w:p>
        </w:tc>
        <w:tc>
          <w:tcPr>
            <w:tcW w:w="6366" w:type="dxa"/>
            <w:gridSpan w:val="2"/>
            <w:tcBorders>
              <w:bottom w:val="single" w:sz="4" w:space="0" w:color="000000"/>
            </w:tcBorders>
          </w:tcPr>
          <w:p w14:paraId="7C01A34D" w14:textId="77777777" w:rsidR="00AC6F3C" w:rsidRDefault="00570E88">
            <w:pPr>
              <w:pStyle w:val="TableParagraph"/>
              <w:spacing w:before="51"/>
              <w:ind w:left="105"/>
              <w:rPr>
                <w:b/>
                <w:sz w:val="18"/>
              </w:rPr>
            </w:pPr>
            <w:r>
              <w:rPr>
                <w:b/>
                <w:spacing w:val="-4"/>
                <w:sz w:val="18"/>
              </w:rPr>
              <w:t>Management</w:t>
            </w:r>
            <w:r>
              <w:rPr>
                <w:b/>
                <w:spacing w:val="3"/>
                <w:sz w:val="18"/>
              </w:rPr>
              <w:t xml:space="preserve"> </w:t>
            </w:r>
            <w:r>
              <w:rPr>
                <w:b/>
                <w:spacing w:val="-2"/>
                <w:sz w:val="18"/>
              </w:rPr>
              <w:t>Certificate</w:t>
            </w:r>
          </w:p>
        </w:tc>
        <w:tc>
          <w:tcPr>
            <w:tcW w:w="1147" w:type="dxa"/>
            <w:tcBorders>
              <w:bottom w:val="single" w:sz="4" w:space="0" w:color="000000"/>
            </w:tcBorders>
          </w:tcPr>
          <w:p w14:paraId="65E2BF3A" w14:textId="77777777" w:rsidR="00AC6F3C" w:rsidRDefault="00570E88">
            <w:pPr>
              <w:pStyle w:val="TableParagraph"/>
              <w:spacing w:before="51"/>
              <w:ind w:right="103"/>
              <w:jc w:val="right"/>
              <w:rPr>
                <w:b/>
                <w:sz w:val="18"/>
              </w:rPr>
            </w:pPr>
            <w:r>
              <w:rPr>
                <w:b/>
                <w:spacing w:val="-2"/>
                <w:sz w:val="18"/>
              </w:rPr>
              <w:t>Page</w:t>
            </w:r>
            <w:r>
              <w:rPr>
                <w:b/>
                <w:spacing w:val="-11"/>
                <w:sz w:val="18"/>
              </w:rPr>
              <w:t xml:space="preserve"> </w:t>
            </w:r>
            <w:r>
              <w:rPr>
                <w:b/>
                <w:spacing w:val="-5"/>
                <w:sz w:val="18"/>
              </w:rPr>
              <w:t>158</w:t>
            </w:r>
          </w:p>
        </w:tc>
      </w:tr>
      <w:tr w:rsidR="00AC6F3C" w14:paraId="1BF9E378" w14:textId="77777777">
        <w:trPr>
          <w:trHeight w:val="321"/>
        </w:trPr>
        <w:tc>
          <w:tcPr>
            <w:tcW w:w="1560" w:type="dxa"/>
            <w:tcBorders>
              <w:bottom w:val="single" w:sz="4" w:space="0" w:color="000000"/>
            </w:tcBorders>
          </w:tcPr>
          <w:p w14:paraId="0BEB90EC" w14:textId="77777777" w:rsidR="00AC6F3C" w:rsidRDefault="00AC6F3C">
            <w:pPr>
              <w:pStyle w:val="TableParagraph"/>
              <w:rPr>
                <w:rFonts w:ascii="Times New Roman"/>
                <w:sz w:val="18"/>
              </w:rPr>
            </w:pPr>
          </w:p>
        </w:tc>
        <w:tc>
          <w:tcPr>
            <w:tcW w:w="6366" w:type="dxa"/>
            <w:gridSpan w:val="2"/>
            <w:tcBorders>
              <w:top w:val="single" w:sz="4" w:space="0" w:color="000000"/>
              <w:bottom w:val="single" w:sz="4" w:space="0" w:color="000000"/>
            </w:tcBorders>
          </w:tcPr>
          <w:p w14:paraId="67236E19" w14:textId="77777777" w:rsidR="00AC6F3C" w:rsidRDefault="00570E88">
            <w:pPr>
              <w:pStyle w:val="TableParagraph"/>
              <w:spacing w:before="56"/>
              <w:ind w:left="105"/>
              <w:rPr>
                <w:b/>
                <w:sz w:val="18"/>
              </w:rPr>
            </w:pPr>
            <w:r>
              <w:rPr>
                <w:b/>
                <w:spacing w:val="-4"/>
                <w:sz w:val="18"/>
              </w:rPr>
              <w:t>Independent</w:t>
            </w:r>
            <w:r>
              <w:rPr>
                <w:b/>
                <w:spacing w:val="5"/>
                <w:sz w:val="18"/>
              </w:rPr>
              <w:t xml:space="preserve"> </w:t>
            </w:r>
            <w:r>
              <w:rPr>
                <w:b/>
                <w:spacing w:val="-4"/>
                <w:sz w:val="18"/>
              </w:rPr>
              <w:t>Auditor’s</w:t>
            </w:r>
            <w:r>
              <w:rPr>
                <w:b/>
                <w:spacing w:val="3"/>
                <w:sz w:val="18"/>
              </w:rPr>
              <w:t xml:space="preserve"> </w:t>
            </w:r>
            <w:r>
              <w:rPr>
                <w:b/>
                <w:spacing w:val="-4"/>
                <w:sz w:val="18"/>
              </w:rPr>
              <w:t>Report</w:t>
            </w:r>
          </w:p>
        </w:tc>
        <w:tc>
          <w:tcPr>
            <w:tcW w:w="1147" w:type="dxa"/>
            <w:tcBorders>
              <w:top w:val="single" w:sz="4" w:space="0" w:color="000000"/>
              <w:bottom w:val="single" w:sz="4" w:space="0" w:color="000000"/>
            </w:tcBorders>
          </w:tcPr>
          <w:p w14:paraId="5543900B" w14:textId="77777777" w:rsidR="00AC6F3C" w:rsidRDefault="00570E88">
            <w:pPr>
              <w:pStyle w:val="TableParagraph"/>
              <w:spacing w:before="56"/>
              <w:ind w:right="107"/>
              <w:jc w:val="right"/>
              <w:rPr>
                <w:b/>
                <w:sz w:val="18"/>
              </w:rPr>
            </w:pPr>
            <w:r>
              <w:rPr>
                <w:b/>
                <w:spacing w:val="-2"/>
                <w:sz w:val="18"/>
              </w:rPr>
              <w:t>Page</w:t>
            </w:r>
            <w:r>
              <w:rPr>
                <w:b/>
                <w:spacing w:val="-11"/>
                <w:sz w:val="18"/>
              </w:rPr>
              <w:t xml:space="preserve"> </w:t>
            </w:r>
            <w:r>
              <w:rPr>
                <w:b/>
                <w:spacing w:val="-5"/>
                <w:sz w:val="18"/>
              </w:rPr>
              <w:t>159</w:t>
            </w:r>
          </w:p>
        </w:tc>
      </w:tr>
    </w:tbl>
    <w:p w14:paraId="5C983487" w14:textId="77777777" w:rsidR="00AC6F3C" w:rsidRDefault="00AC6F3C">
      <w:pPr>
        <w:jc w:val="right"/>
        <w:rPr>
          <w:sz w:val="18"/>
        </w:rPr>
        <w:sectPr w:rsidR="00AC6F3C">
          <w:pgSz w:w="11910" w:h="16840"/>
          <w:pgMar w:top="2080" w:right="1160" w:bottom="520" w:left="460" w:header="1297" w:footer="336" w:gutter="0"/>
          <w:cols w:space="720"/>
        </w:sectPr>
      </w:pPr>
    </w:p>
    <w:p w14:paraId="56241940" w14:textId="77777777" w:rsidR="00AC6F3C" w:rsidRDefault="00570E88">
      <w:pPr>
        <w:ind w:left="958"/>
      </w:pPr>
      <w:r>
        <w:lastRenderedPageBreak/>
        <w:t>Statement</w:t>
      </w:r>
      <w:r>
        <w:rPr>
          <w:spacing w:val="-6"/>
        </w:rPr>
        <w:t xml:space="preserve"> </w:t>
      </w:r>
      <w:r>
        <w:t>of</w:t>
      </w:r>
      <w:r>
        <w:rPr>
          <w:spacing w:val="-3"/>
        </w:rPr>
        <w:t xml:space="preserve"> </w:t>
      </w:r>
      <w:r>
        <w:t>Comprehensive</w:t>
      </w:r>
      <w:r>
        <w:rPr>
          <w:spacing w:val="-4"/>
        </w:rPr>
        <w:t xml:space="preserve"> </w:t>
      </w:r>
      <w:r>
        <w:t>Income</w:t>
      </w:r>
      <w:r>
        <w:rPr>
          <w:spacing w:val="-5"/>
        </w:rPr>
        <w:t xml:space="preserve"> </w:t>
      </w:r>
      <w:r>
        <w:t>for</w:t>
      </w:r>
      <w:r>
        <w:rPr>
          <w:spacing w:val="-6"/>
        </w:rPr>
        <w:t xml:space="preserve"> </w:t>
      </w:r>
      <w:r>
        <w:t>the</w:t>
      </w:r>
      <w:r>
        <w:rPr>
          <w:spacing w:val="-4"/>
        </w:rPr>
        <w:t xml:space="preserve"> </w:t>
      </w:r>
      <w:r>
        <w:t>year</w:t>
      </w:r>
      <w:r>
        <w:rPr>
          <w:spacing w:val="-1"/>
        </w:rPr>
        <w:t xml:space="preserve"> </w:t>
      </w:r>
      <w:r>
        <w:t>ended</w:t>
      </w:r>
      <w:r>
        <w:rPr>
          <w:spacing w:val="-6"/>
        </w:rPr>
        <w:t xml:space="preserve"> </w:t>
      </w:r>
      <w:r>
        <w:t>30</w:t>
      </w:r>
      <w:r>
        <w:rPr>
          <w:spacing w:val="-3"/>
        </w:rPr>
        <w:t xml:space="preserve"> </w:t>
      </w:r>
      <w:r>
        <w:t>June</w:t>
      </w:r>
      <w:r>
        <w:rPr>
          <w:spacing w:val="-5"/>
        </w:rPr>
        <w:t xml:space="preserve"> </w:t>
      </w:r>
      <w:r>
        <w:rPr>
          <w:spacing w:val="-4"/>
        </w:rPr>
        <w:t>2023</w:t>
      </w:r>
    </w:p>
    <w:p w14:paraId="41E98FE8" w14:textId="77777777" w:rsidR="00AC6F3C" w:rsidRDefault="00570E88">
      <w:pPr>
        <w:pStyle w:val="BodyText"/>
        <w:spacing w:before="8"/>
        <w:rPr>
          <w:sz w:val="18"/>
        </w:rPr>
      </w:pPr>
      <w:r>
        <w:rPr>
          <w:noProof/>
        </w:rPr>
        <mc:AlternateContent>
          <mc:Choice Requires="wps">
            <w:drawing>
              <wp:anchor distT="0" distB="0" distL="0" distR="0" simplePos="0" relativeHeight="487677440" behindDoc="1" locked="0" layoutInCell="1" allowOverlap="1" wp14:anchorId="6DB85FD8" wp14:editId="5541DF92">
                <wp:simplePos x="0" y="0"/>
                <wp:positionH relativeFrom="page">
                  <wp:posOffset>882330</wp:posOffset>
                </wp:positionH>
                <wp:positionV relativeFrom="paragraph">
                  <wp:posOffset>151896</wp:posOffset>
                </wp:positionV>
                <wp:extent cx="5796915" cy="6350"/>
                <wp:effectExtent l="0" t="0" r="0" b="0"/>
                <wp:wrapTopAndBottom/>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863" y="6094"/>
                              </a:moveTo>
                              <a:lnTo>
                                <a:pt x="0" y="6094"/>
                              </a:lnTo>
                              <a:lnTo>
                                <a:pt x="0" y="0"/>
                              </a:lnTo>
                              <a:lnTo>
                                <a:pt x="5796863" y="0"/>
                              </a:lnTo>
                              <a:lnTo>
                                <a:pt x="5796863"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6965BE" id="Graphic 735" o:spid="_x0000_s1026" style="position:absolute;margin-left:69.45pt;margin-top:11.95pt;width:456.45pt;height:.5pt;z-index:-15639040;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" path="m5796863,6094l,6094,,,5796863,r,6094xe" fillcolor="black" stroked="f">
                <v:path arrowok="t"/>
                <w10:wrap type="topAndBottom" anchorx="page"/>
              </v:shape>
            </w:pict>
          </mc:Fallback>
        </mc:AlternateContent>
      </w:r>
    </w:p>
    <w:p w14:paraId="38428116" w14:textId="77777777" w:rsidR="00AC6F3C" w:rsidRDefault="00AC6F3C">
      <w:pPr>
        <w:pStyle w:val="BodyText"/>
      </w:pPr>
    </w:p>
    <w:p w14:paraId="6A5EFF9B" w14:textId="77777777" w:rsidR="00AC6F3C" w:rsidRDefault="00AC6F3C">
      <w:pPr>
        <w:pStyle w:val="BodyText"/>
      </w:pPr>
    </w:p>
    <w:p w14:paraId="5980DC9C" w14:textId="77777777" w:rsidR="00AC6F3C" w:rsidRDefault="00AC6F3C">
      <w:pPr>
        <w:pStyle w:val="BodyText"/>
        <w:spacing w:before="2"/>
        <w:rPr>
          <w:sz w:val="15"/>
        </w:rPr>
      </w:pPr>
    </w:p>
    <w:tbl>
      <w:tblPr>
        <w:tblW w:w="0" w:type="auto"/>
        <w:tblInd w:w="972" w:type="dxa"/>
        <w:tblLayout w:type="fixed"/>
        <w:tblCellMar>
          <w:left w:w="0" w:type="dxa"/>
          <w:right w:w="0" w:type="dxa"/>
        </w:tblCellMar>
        <w:tblLook w:val="01E0" w:firstRow="1" w:lastRow="1" w:firstColumn="1" w:lastColumn="1" w:noHBand="0" w:noVBand="0"/>
      </w:tblPr>
      <w:tblGrid>
        <w:gridCol w:w="3651"/>
        <w:gridCol w:w="900"/>
        <w:gridCol w:w="1136"/>
        <w:gridCol w:w="1106"/>
        <w:gridCol w:w="1136"/>
        <w:gridCol w:w="1114"/>
      </w:tblGrid>
      <w:tr w:rsidR="00AC6F3C" w14:paraId="75FEC337" w14:textId="77777777">
        <w:trPr>
          <w:trHeight w:val="1195"/>
        </w:trPr>
        <w:tc>
          <w:tcPr>
            <w:tcW w:w="9043" w:type="dxa"/>
            <w:gridSpan w:val="6"/>
            <w:tcBorders>
              <w:top w:val="single" w:sz="6" w:space="0" w:color="000000"/>
              <w:left w:val="single" w:sz="6" w:space="0" w:color="000000"/>
              <w:bottom w:val="single" w:sz="6" w:space="0" w:color="000000"/>
              <w:right w:val="single" w:sz="6" w:space="0" w:color="000000"/>
            </w:tcBorders>
            <w:shd w:val="clear" w:color="auto" w:fill="BEBEBE"/>
          </w:tcPr>
          <w:p w14:paraId="3F9C3DD0" w14:textId="77777777" w:rsidR="00AC6F3C" w:rsidRDefault="00570E88">
            <w:pPr>
              <w:pStyle w:val="TableParagraph"/>
              <w:tabs>
                <w:tab w:val="left" w:pos="7375"/>
              </w:tabs>
              <w:spacing w:before="39"/>
              <w:ind w:left="5118"/>
              <w:rPr>
                <w:b/>
                <w:sz w:val="18"/>
              </w:rPr>
            </w:pPr>
            <w:r>
              <w:rPr>
                <w:b/>
                <w:spacing w:val="-2"/>
                <w:sz w:val="18"/>
              </w:rPr>
              <w:t>Consolidated</w:t>
            </w:r>
            <w:r>
              <w:rPr>
                <w:b/>
                <w:sz w:val="18"/>
              </w:rPr>
              <w:tab/>
              <w:t>Parent</w:t>
            </w:r>
            <w:r>
              <w:rPr>
                <w:b/>
                <w:spacing w:val="-6"/>
                <w:sz w:val="18"/>
              </w:rPr>
              <w:t xml:space="preserve"> </w:t>
            </w:r>
            <w:r>
              <w:rPr>
                <w:b/>
                <w:spacing w:val="-2"/>
                <w:sz w:val="18"/>
              </w:rPr>
              <w:t>Entity</w:t>
            </w:r>
          </w:p>
          <w:p w14:paraId="67FC390A" w14:textId="77777777" w:rsidR="00AC6F3C" w:rsidRDefault="00570E88">
            <w:pPr>
              <w:pStyle w:val="TableParagraph"/>
              <w:tabs>
                <w:tab w:val="left" w:pos="1120"/>
                <w:tab w:val="left" w:pos="2241"/>
                <w:tab w:val="left" w:pos="3362"/>
              </w:tabs>
              <w:spacing w:before="107"/>
              <w:ind w:right="21"/>
              <w:jc w:val="right"/>
              <w:rPr>
                <w:b/>
                <w:sz w:val="18"/>
              </w:rPr>
            </w:pPr>
            <w:r>
              <w:rPr>
                <w:b/>
                <w:spacing w:val="-4"/>
                <w:sz w:val="18"/>
              </w:rPr>
              <w:t>2023</w:t>
            </w:r>
            <w:r>
              <w:rPr>
                <w:b/>
                <w:sz w:val="18"/>
              </w:rPr>
              <w:tab/>
            </w:r>
            <w:r>
              <w:rPr>
                <w:b/>
                <w:spacing w:val="-4"/>
                <w:sz w:val="18"/>
              </w:rPr>
              <w:t>2022</w:t>
            </w:r>
            <w:r>
              <w:rPr>
                <w:b/>
                <w:sz w:val="18"/>
              </w:rPr>
              <w:tab/>
            </w:r>
            <w:r>
              <w:rPr>
                <w:b/>
                <w:spacing w:val="-4"/>
                <w:sz w:val="18"/>
              </w:rPr>
              <w:t>2023</w:t>
            </w:r>
            <w:r>
              <w:rPr>
                <w:b/>
                <w:sz w:val="18"/>
              </w:rPr>
              <w:tab/>
            </w:r>
            <w:r>
              <w:rPr>
                <w:b/>
                <w:spacing w:val="-4"/>
                <w:sz w:val="18"/>
              </w:rPr>
              <w:t>2022</w:t>
            </w:r>
          </w:p>
          <w:p w14:paraId="522524BA" w14:textId="77777777" w:rsidR="00AC6F3C" w:rsidRDefault="00570E88">
            <w:pPr>
              <w:pStyle w:val="TableParagraph"/>
              <w:tabs>
                <w:tab w:val="left" w:pos="5178"/>
                <w:tab w:val="left" w:pos="6224"/>
                <w:tab w:val="left" w:pos="6299"/>
                <w:tab w:val="left" w:pos="7345"/>
                <w:tab w:val="left" w:pos="7420"/>
                <w:tab w:val="left" w:pos="8466"/>
                <w:tab w:val="left" w:pos="8541"/>
              </w:tabs>
              <w:spacing w:line="300" w:lineRule="atLeast"/>
              <w:ind w:left="3863" w:right="11" w:firstLine="1240"/>
              <w:jc w:val="right"/>
              <w:rPr>
                <w:b/>
                <w:sz w:val="18"/>
              </w:rPr>
            </w:pPr>
            <w:r>
              <w:rPr>
                <w:b/>
                <w:spacing w:val="-2"/>
                <w:sz w:val="18"/>
              </w:rPr>
              <w:t>Actual</w:t>
            </w:r>
            <w:r>
              <w:rPr>
                <w:b/>
                <w:sz w:val="18"/>
              </w:rPr>
              <w:tab/>
            </w:r>
            <w:proofErr w:type="spellStart"/>
            <w:r>
              <w:rPr>
                <w:b/>
                <w:spacing w:val="-2"/>
                <w:sz w:val="18"/>
              </w:rPr>
              <w:t>Actual</w:t>
            </w:r>
            <w:proofErr w:type="spellEnd"/>
            <w:r>
              <w:rPr>
                <w:b/>
                <w:sz w:val="18"/>
              </w:rPr>
              <w:tab/>
            </w:r>
            <w:proofErr w:type="spellStart"/>
            <w:r>
              <w:rPr>
                <w:b/>
                <w:spacing w:val="-2"/>
                <w:sz w:val="18"/>
              </w:rPr>
              <w:t>Actual</w:t>
            </w:r>
            <w:proofErr w:type="spellEnd"/>
            <w:r>
              <w:rPr>
                <w:b/>
                <w:sz w:val="18"/>
              </w:rPr>
              <w:tab/>
            </w:r>
            <w:proofErr w:type="spellStart"/>
            <w:r>
              <w:rPr>
                <w:b/>
                <w:spacing w:val="-2"/>
                <w:sz w:val="18"/>
              </w:rPr>
              <w:t>Actual</w:t>
            </w:r>
            <w:proofErr w:type="spellEnd"/>
            <w:r>
              <w:rPr>
                <w:b/>
                <w:spacing w:val="-2"/>
                <w:sz w:val="18"/>
              </w:rPr>
              <w:t xml:space="preserve"> </w:t>
            </w:r>
            <w:r>
              <w:rPr>
                <w:b/>
                <w:spacing w:val="-4"/>
                <w:sz w:val="18"/>
              </w:rPr>
              <w:t>NOTE</w:t>
            </w:r>
            <w:r>
              <w:rPr>
                <w:b/>
                <w:sz w:val="18"/>
              </w:rPr>
              <w:tab/>
            </w:r>
            <w:r>
              <w:rPr>
                <w:b/>
                <w:spacing w:val="-4"/>
                <w:sz w:val="18"/>
              </w:rPr>
              <w:t>$’000</w:t>
            </w:r>
            <w:r>
              <w:rPr>
                <w:b/>
                <w:sz w:val="18"/>
              </w:rPr>
              <w:tab/>
            </w:r>
            <w:r>
              <w:rPr>
                <w:b/>
                <w:sz w:val="18"/>
              </w:rPr>
              <w:tab/>
            </w:r>
            <w:r>
              <w:rPr>
                <w:b/>
                <w:spacing w:val="-4"/>
                <w:sz w:val="18"/>
              </w:rPr>
              <w:t>$’000</w:t>
            </w:r>
            <w:r>
              <w:rPr>
                <w:b/>
                <w:sz w:val="18"/>
              </w:rPr>
              <w:tab/>
            </w:r>
            <w:r>
              <w:rPr>
                <w:b/>
                <w:sz w:val="18"/>
              </w:rPr>
              <w:tab/>
            </w:r>
            <w:r>
              <w:rPr>
                <w:b/>
                <w:spacing w:val="-4"/>
                <w:sz w:val="18"/>
              </w:rPr>
              <w:t>$’000</w:t>
            </w:r>
            <w:r>
              <w:rPr>
                <w:b/>
                <w:sz w:val="18"/>
              </w:rPr>
              <w:tab/>
            </w:r>
            <w:r>
              <w:rPr>
                <w:b/>
                <w:sz w:val="18"/>
              </w:rPr>
              <w:tab/>
            </w:r>
            <w:r>
              <w:rPr>
                <w:b/>
                <w:spacing w:val="-4"/>
                <w:sz w:val="18"/>
              </w:rPr>
              <w:t>$’000</w:t>
            </w:r>
          </w:p>
        </w:tc>
      </w:tr>
      <w:tr w:rsidR="00AC6F3C" w14:paraId="5F33164A" w14:textId="77777777">
        <w:trPr>
          <w:trHeight w:val="311"/>
        </w:trPr>
        <w:tc>
          <w:tcPr>
            <w:tcW w:w="3651" w:type="dxa"/>
            <w:tcBorders>
              <w:top w:val="single" w:sz="6" w:space="0" w:color="000000"/>
              <w:left w:val="single" w:sz="6" w:space="0" w:color="000000"/>
            </w:tcBorders>
          </w:tcPr>
          <w:p w14:paraId="49941868" w14:textId="77777777" w:rsidR="00AC6F3C" w:rsidRDefault="00570E88">
            <w:pPr>
              <w:pStyle w:val="TableParagraph"/>
              <w:spacing w:before="70"/>
              <w:ind w:left="37"/>
              <w:rPr>
                <w:b/>
                <w:sz w:val="18"/>
              </w:rPr>
            </w:pPr>
            <w:r>
              <w:rPr>
                <w:b/>
                <w:spacing w:val="-2"/>
                <w:sz w:val="18"/>
              </w:rPr>
              <w:t>Revenue</w:t>
            </w:r>
          </w:p>
        </w:tc>
        <w:tc>
          <w:tcPr>
            <w:tcW w:w="900" w:type="dxa"/>
            <w:tcBorders>
              <w:top w:val="single" w:sz="6" w:space="0" w:color="000000"/>
            </w:tcBorders>
          </w:tcPr>
          <w:p w14:paraId="51791856" w14:textId="77777777" w:rsidR="00AC6F3C" w:rsidRDefault="00AC6F3C">
            <w:pPr>
              <w:pStyle w:val="TableParagraph"/>
              <w:rPr>
                <w:rFonts w:ascii="Times New Roman"/>
                <w:sz w:val="18"/>
              </w:rPr>
            </w:pPr>
          </w:p>
        </w:tc>
        <w:tc>
          <w:tcPr>
            <w:tcW w:w="1136" w:type="dxa"/>
            <w:tcBorders>
              <w:top w:val="single" w:sz="6" w:space="0" w:color="000000"/>
            </w:tcBorders>
            <w:shd w:val="clear" w:color="auto" w:fill="F1F1F1"/>
          </w:tcPr>
          <w:p w14:paraId="2DA76AD1" w14:textId="77777777" w:rsidR="00AC6F3C" w:rsidRDefault="00AC6F3C">
            <w:pPr>
              <w:pStyle w:val="TableParagraph"/>
              <w:rPr>
                <w:rFonts w:ascii="Times New Roman"/>
                <w:sz w:val="18"/>
              </w:rPr>
            </w:pPr>
          </w:p>
        </w:tc>
        <w:tc>
          <w:tcPr>
            <w:tcW w:w="1106" w:type="dxa"/>
            <w:tcBorders>
              <w:top w:val="single" w:sz="6" w:space="0" w:color="000000"/>
            </w:tcBorders>
          </w:tcPr>
          <w:p w14:paraId="0AB9AA06" w14:textId="77777777" w:rsidR="00AC6F3C" w:rsidRDefault="00AC6F3C">
            <w:pPr>
              <w:pStyle w:val="TableParagraph"/>
              <w:rPr>
                <w:rFonts w:ascii="Times New Roman"/>
                <w:sz w:val="18"/>
              </w:rPr>
            </w:pPr>
          </w:p>
        </w:tc>
        <w:tc>
          <w:tcPr>
            <w:tcW w:w="1136" w:type="dxa"/>
            <w:tcBorders>
              <w:top w:val="single" w:sz="6" w:space="0" w:color="000000"/>
            </w:tcBorders>
            <w:shd w:val="clear" w:color="auto" w:fill="F1F1F1"/>
          </w:tcPr>
          <w:p w14:paraId="0FBC5058" w14:textId="77777777" w:rsidR="00AC6F3C" w:rsidRDefault="00AC6F3C">
            <w:pPr>
              <w:pStyle w:val="TableParagraph"/>
              <w:rPr>
                <w:rFonts w:ascii="Times New Roman"/>
                <w:sz w:val="18"/>
              </w:rPr>
            </w:pPr>
          </w:p>
        </w:tc>
        <w:tc>
          <w:tcPr>
            <w:tcW w:w="1114" w:type="dxa"/>
            <w:tcBorders>
              <w:top w:val="single" w:sz="6" w:space="0" w:color="000000"/>
              <w:right w:val="single" w:sz="6" w:space="0" w:color="000000"/>
            </w:tcBorders>
          </w:tcPr>
          <w:p w14:paraId="4663013B" w14:textId="77777777" w:rsidR="00AC6F3C" w:rsidRDefault="00AC6F3C">
            <w:pPr>
              <w:pStyle w:val="TableParagraph"/>
              <w:rPr>
                <w:rFonts w:ascii="Times New Roman"/>
                <w:sz w:val="18"/>
              </w:rPr>
            </w:pPr>
          </w:p>
        </w:tc>
      </w:tr>
      <w:tr w:rsidR="00AC6F3C" w14:paraId="2687B238" w14:textId="77777777">
        <w:trPr>
          <w:trHeight w:val="284"/>
        </w:trPr>
        <w:tc>
          <w:tcPr>
            <w:tcW w:w="3651" w:type="dxa"/>
            <w:tcBorders>
              <w:left w:val="single" w:sz="6" w:space="0" w:color="000000"/>
            </w:tcBorders>
          </w:tcPr>
          <w:p w14:paraId="45EAF743" w14:textId="77777777" w:rsidR="00AC6F3C" w:rsidRDefault="00570E88">
            <w:pPr>
              <w:pStyle w:val="TableParagraph"/>
              <w:spacing w:before="28"/>
              <w:ind w:left="37"/>
              <w:rPr>
                <w:sz w:val="18"/>
              </w:rPr>
            </w:pPr>
            <w:r>
              <w:rPr>
                <w:sz w:val="18"/>
              </w:rPr>
              <w:t>Fees</w:t>
            </w:r>
            <w:r>
              <w:rPr>
                <w:spacing w:val="31"/>
                <w:sz w:val="18"/>
              </w:rPr>
              <w:t xml:space="preserve"> </w:t>
            </w:r>
            <w:r>
              <w:rPr>
                <w:sz w:val="18"/>
              </w:rPr>
              <w:t>and</w:t>
            </w:r>
            <w:r>
              <w:rPr>
                <w:spacing w:val="17"/>
                <w:sz w:val="18"/>
              </w:rPr>
              <w:t xml:space="preserve"> </w:t>
            </w:r>
            <w:r>
              <w:rPr>
                <w:sz w:val="18"/>
              </w:rPr>
              <w:t>membership</w:t>
            </w:r>
            <w:r>
              <w:rPr>
                <w:spacing w:val="18"/>
                <w:sz w:val="18"/>
              </w:rPr>
              <w:t xml:space="preserve"> </w:t>
            </w:r>
            <w:r>
              <w:rPr>
                <w:spacing w:val="-2"/>
                <w:sz w:val="18"/>
              </w:rPr>
              <w:t>services</w:t>
            </w:r>
          </w:p>
        </w:tc>
        <w:tc>
          <w:tcPr>
            <w:tcW w:w="900" w:type="dxa"/>
          </w:tcPr>
          <w:p w14:paraId="621CB222" w14:textId="77777777" w:rsidR="00AC6F3C" w:rsidRDefault="00570E88">
            <w:pPr>
              <w:pStyle w:val="TableParagraph"/>
              <w:spacing w:before="28"/>
              <w:ind w:left="133" w:right="121"/>
              <w:jc w:val="center"/>
              <w:rPr>
                <w:sz w:val="18"/>
              </w:rPr>
            </w:pPr>
            <w:r>
              <w:rPr>
                <w:spacing w:val="-2"/>
                <w:sz w:val="18"/>
              </w:rPr>
              <w:t>B1-</w:t>
            </w:r>
            <w:r>
              <w:rPr>
                <w:spacing w:val="-10"/>
                <w:sz w:val="18"/>
              </w:rPr>
              <w:t>1</w:t>
            </w:r>
          </w:p>
        </w:tc>
        <w:tc>
          <w:tcPr>
            <w:tcW w:w="1136" w:type="dxa"/>
            <w:shd w:val="clear" w:color="auto" w:fill="F1F1F1"/>
          </w:tcPr>
          <w:p w14:paraId="01EAB8AB" w14:textId="77777777" w:rsidR="00AC6F3C" w:rsidRDefault="00570E88">
            <w:pPr>
              <w:pStyle w:val="TableParagraph"/>
              <w:spacing w:before="28"/>
              <w:ind w:right="36"/>
              <w:jc w:val="right"/>
              <w:rPr>
                <w:sz w:val="18"/>
              </w:rPr>
            </w:pPr>
            <w:r>
              <w:rPr>
                <w:spacing w:val="-2"/>
                <w:sz w:val="18"/>
              </w:rPr>
              <w:t>19,544</w:t>
            </w:r>
          </w:p>
        </w:tc>
        <w:tc>
          <w:tcPr>
            <w:tcW w:w="1106" w:type="dxa"/>
          </w:tcPr>
          <w:p w14:paraId="24BB2455" w14:textId="77777777" w:rsidR="00AC6F3C" w:rsidRDefault="00570E88">
            <w:pPr>
              <w:pStyle w:val="TableParagraph"/>
              <w:spacing w:before="28"/>
              <w:ind w:right="21"/>
              <w:jc w:val="right"/>
              <w:rPr>
                <w:sz w:val="18"/>
              </w:rPr>
            </w:pPr>
            <w:r>
              <w:rPr>
                <w:spacing w:val="-2"/>
                <w:sz w:val="18"/>
              </w:rPr>
              <w:t>18,659</w:t>
            </w:r>
          </w:p>
        </w:tc>
        <w:tc>
          <w:tcPr>
            <w:tcW w:w="1136" w:type="dxa"/>
            <w:shd w:val="clear" w:color="auto" w:fill="F1F1F1"/>
          </w:tcPr>
          <w:p w14:paraId="3A6D8ACD" w14:textId="77777777" w:rsidR="00AC6F3C" w:rsidRDefault="00570E88">
            <w:pPr>
              <w:pStyle w:val="TableParagraph"/>
              <w:spacing w:before="28"/>
              <w:ind w:right="36"/>
              <w:jc w:val="right"/>
              <w:rPr>
                <w:sz w:val="18"/>
              </w:rPr>
            </w:pPr>
            <w:r>
              <w:rPr>
                <w:spacing w:val="-2"/>
                <w:sz w:val="18"/>
              </w:rPr>
              <w:t>19,568</w:t>
            </w:r>
          </w:p>
        </w:tc>
        <w:tc>
          <w:tcPr>
            <w:tcW w:w="1114" w:type="dxa"/>
            <w:tcBorders>
              <w:right w:val="single" w:sz="6" w:space="0" w:color="000000"/>
            </w:tcBorders>
          </w:tcPr>
          <w:p w14:paraId="1772B49D" w14:textId="77777777" w:rsidR="00AC6F3C" w:rsidRDefault="00570E88">
            <w:pPr>
              <w:pStyle w:val="TableParagraph"/>
              <w:spacing w:before="28"/>
              <w:ind w:right="21"/>
              <w:jc w:val="right"/>
              <w:rPr>
                <w:sz w:val="18"/>
              </w:rPr>
            </w:pPr>
            <w:r>
              <w:rPr>
                <w:spacing w:val="-2"/>
                <w:sz w:val="18"/>
              </w:rPr>
              <w:t>18,676</w:t>
            </w:r>
          </w:p>
        </w:tc>
      </w:tr>
      <w:tr w:rsidR="00AC6F3C" w14:paraId="369541EE" w14:textId="77777777">
        <w:trPr>
          <w:trHeight w:val="299"/>
        </w:trPr>
        <w:tc>
          <w:tcPr>
            <w:tcW w:w="3651" w:type="dxa"/>
            <w:tcBorders>
              <w:left w:val="single" w:sz="6" w:space="0" w:color="000000"/>
            </w:tcBorders>
          </w:tcPr>
          <w:p w14:paraId="3ECCD740" w14:textId="77777777" w:rsidR="00AC6F3C" w:rsidRDefault="00570E88">
            <w:pPr>
              <w:pStyle w:val="TableParagraph"/>
              <w:spacing w:before="43"/>
              <w:ind w:left="37"/>
              <w:rPr>
                <w:sz w:val="18"/>
              </w:rPr>
            </w:pPr>
            <w:r>
              <w:rPr>
                <w:sz w:val="18"/>
              </w:rPr>
              <w:t>Rent</w:t>
            </w:r>
            <w:r>
              <w:rPr>
                <w:spacing w:val="5"/>
                <w:sz w:val="18"/>
              </w:rPr>
              <w:t xml:space="preserve"> </w:t>
            </w:r>
            <w:r>
              <w:rPr>
                <w:sz w:val="18"/>
              </w:rPr>
              <w:t>and</w:t>
            </w:r>
            <w:r>
              <w:rPr>
                <w:spacing w:val="19"/>
                <w:sz w:val="18"/>
              </w:rPr>
              <w:t xml:space="preserve"> </w:t>
            </w:r>
            <w:r>
              <w:rPr>
                <w:sz w:val="18"/>
              </w:rPr>
              <w:t>administration</w:t>
            </w:r>
            <w:r>
              <w:rPr>
                <w:spacing w:val="19"/>
                <w:sz w:val="18"/>
              </w:rPr>
              <w:t xml:space="preserve"> </w:t>
            </w:r>
            <w:r>
              <w:rPr>
                <w:spacing w:val="-2"/>
                <w:sz w:val="18"/>
              </w:rPr>
              <w:t>revenue</w:t>
            </w:r>
          </w:p>
        </w:tc>
        <w:tc>
          <w:tcPr>
            <w:tcW w:w="900" w:type="dxa"/>
          </w:tcPr>
          <w:p w14:paraId="536A81F9" w14:textId="77777777" w:rsidR="00AC6F3C" w:rsidRDefault="00570E88">
            <w:pPr>
              <w:pStyle w:val="TableParagraph"/>
              <w:spacing w:before="43"/>
              <w:ind w:left="133" w:right="121"/>
              <w:jc w:val="center"/>
              <w:rPr>
                <w:sz w:val="18"/>
              </w:rPr>
            </w:pPr>
            <w:r>
              <w:rPr>
                <w:spacing w:val="-2"/>
                <w:sz w:val="18"/>
              </w:rPr>
              <w:t>B1-</w:t>
            </w:r>
            <w:r>
              <w:rPr>
                <w:spacing w:val="-10"/>
                <w:sz w:val="18"/>
              </w:rPr>
              <w:t>2</w:t>
            </w:r>
          </w:p>
        </w:tc>
        <w:tc>
          <w:tcPr>
            <w:tcW w:w="1136" w:type="dxa"/>
            <w:shd w:val="clear" w:color="auto" w:fill="F1F1F1"/>
          </w:tcPr>
          <w:p w14:paraId="3809117D" w14:textId="77777777" w:rsidR="00AC6F3C" w:rsidRDefault="00570E88">
            <w:pPr>
              <w:pStyle w:val="TableParagraph"/>
              <w:spacing w:before="43"/>
              <w:ind w:right="36"/>
              <w:jc w:val="right"/>
              <w:rPr>
                <w:sz w:val="18"/>
              </w:rPr>
            </w:pPr>
            <w:r>
              <w:rPr>
                <w:spacing w:val="-5"/>
                <w:sz w:val="18"/>
              </w:rPr>
              <w:t>396</w:t>
            </w:r>
          </w:p>
        </w:tc>
        <w:tc>
          <w:tcPr>
            <w:tcW w:w="1106" w:type="dxa"/>
          </w:tcPr>
          <w:p w14:paraId="4EF0AEB1" w14:textId="77777777" w:rsidR="00AC6F3C" w:rsidRDefault="00570E88">
            <w:pPr>
              <w:pStyle w:val="TableParagraph"/>
              <w:spacing w:before="43"/>
              <w:ind w:right="21"/>
              <w:jc w:val="right"/>
              <w:rPr>
                <w:sz w:val="18"/>
              </w:rPr>
            </w:pPr>
            <w:r>
              <w:rPr>
                <w:spacing w:val="-5"/>
                <w:sz w:val="18"/>
              </w:rPr>
              <w:t>462</w:t>
            </w:r>
          </w:p>
        </w:tc>
        <w:tc>
          <w:tcPr>
            <w:tcW w:w="1136" w:type="dxa"/>
            <w:shd w:val="clear" w:color="auto" w:fill="F1F1F1"/>
          </w:tcPr>
          <w:p w14:paraId="026AA4AE" w14:textId="77777777" w:rsidR="00AC6F3C" w:rsidRDefault="00570E88">
            <w:pPr>
              <w:pStyle w:val="TableParagraph"/>
              <w:spacing w:before="43"/>
              <w:ind w:right="36"/>
              <w:jc w:val="right"/>
              <w:rPr>
                <w:sz w:val="18"/>
              </w:rPr>
            </w:pPr>
            <w:r>
              <w:rPr>
                <w:spacing w:val="-5"/>
                <w:sz w:val="18"/>
              </w:rPr>
              <w:t>970</w:t>
            </w:r>
          </w:p>
        </w:tc>
        <w:tc>
          <w:tcPr>
            <w:tcW w:w="1114" w:type="dxa"/>
            <w:tcBorders>
              <w:right w:val="single" w:sz="6" w:space="0" w:color="000000"/>
            </w:tcBorders>
          </w:tcPr>
          <w:p w14:paraId="503C5BA9" w14:textId="77777777" w:rsidR="00AC6F3C" w:rsidRDefault="00570E88">
            <w:pPr>
              <w:pStyle w:val="TableParagraph"/>
              <w:spacing w:before="43"/>
              <w:ind w:right="21"/>
              <w:jc w:val="right"/>
              <w:rPr>
                <w:sz w:val="18"/>
              </w:rPr>
            </w:pPr>
            <w:r>
              <w:rPr>
                <w:spacing w:val="-2"/>
                <w:sz w:val="18"/>
              </w:rPr>
              <w:t>1,020</w:t>
            </w:r>
          </w:p>
        </w:tc>
      </w:tr>
      <w:tr w:rsidR="00AC6F3C" w14:paraId="7E5147C5" w14:textId="77777777">
        <w:trPr>
          <w:trHeight w:val="299"/>
        </w:trPr>
        <w:tc>
          <w:tcPr>
            <w:tcW w:w="3651" w:type="dxa"/>
            <w:tcBorders>
              <w:left w:val="single" w:sz="6" w:space="0" w:color="000000"/>
            </w:tcBorders>
          </w:tcPr>
          <w:p w14:paraId="170F28A5" w14:textId="77777777" w:rsidR="00AC6F3C" w:rsidRDefault="00570E88">
            <w:pPr>
              <w:pStyle w:val="TableParagraph"/>
              <w:spacing w:before="43"/>
              <w:ind w:left="37"/>
              <w:rPr>
                <w:sz w:val="18"/>
              </w:rPr>
            </w:pPr>
            <w:r>
              <w:rPr>
                <w:sz w:val="18"/>
              </w:rPr>
              <w:t>Grants</w:t>
            </w:r>
            <w:r>
              <w:rPr>
                <w:spacing w:val="7"/>
                <w:sz w:val="18"/>
              </w:rPr>
              <w:t xml:space="preserve"> </w:t>
            </w:r>
            <w:r>
              <w:rPr>
                <w:sz w:val="18"/>
              </w:rPr>
              <w:t>and</w:t>
            </w:r>
            <w:r>
              <w:rPr>
                <w:spacing w:val="-2"/>
                <w:sz w:val="18"/>
              </w:rPr>
              <w:t xml:space="preserve"> funding</w:t>
            </w:r>
          </w:p>
        </w:tc>
        <w:tc>
          <w:tcPr>
            <w:tcW w:w="900" w:type="dxa"/>
          </w:tcPr>
          <w:p w14:paraId="3B970BF9" w14:textId="77777777" w:rsidR="00AC6F3C" w:rsidRDefault="00570E88">
            <w:pPr>
              <w:pStyle w:val="TableParagraph"/>
              <w:spacing w:before="43"/>
              <w:ind w:left="133" w:right="121"/>
              <w:jc w:val="center"/>
              <w:rPr>
                <w:sz w:val="18"/>
              </w:rPr>
            </w:pPr>
            <w:r>
              <w:rPr>
                <w:spacing w:val="-2"/>
                <w:sz w:val="18"/>
              </w:rPr>
              <w:t>B1-</w:t>
            </w:r>
            <w:r>
              <w:rPr>
                <w:spacing w:val="-10"/>
                <w:sz w:val="18"/>
              </w:rPr>
              <w:t>3</w:t>
            </w:r>
          </w:p>
        </w:tc>
        <w:tc>
          <w:tcPr>
            <w:tcW w:w="1136" w:type="dxa"/>
            <w:shd w:val="clear" w:color="auto" w:fill="F1F1F1"/>
          </w:tcPr>
          <w:p w14:paraId="2CB3149E" w14:textId="77777777" w:rsidR="00AC6F3C" w:rsidRDefault="00570E88">
            <w:pPr>
              <w:pStyle w:val="TableParagraph"/>
              <w:spacing w:before="43"/>
              <w:ind w:right="36"/>
              <w:jc w:val="right"/>
              <w:rPr>
                <w:sz w:val="18"/>
              </w:rPr>
            </w:pPr>
            <w:r>
              <w:rPr>
                <w:spacing w:val="-5"/>
                <w:sz w:val="18"/>
              </w:rPr>
              <w:t>707</w:t>
            </w:r>
          </w:p>
        </w:tc>
        <w:tc>
          <w:tcPr>
            <w:tcW w:w="1106" w:type="dxa"/>
          </w:tcPr>
          <w:p w14:paraId="6D2ABDF9" w14:textId="77777777" w:rsidR="00AC6F3C" w:rsidRDefault="00570E88">
            <w:pPr>
              <w:pStyle w:val="TableParagraph"/>
              <w:spacing w:before="43"/>
              <w:ind w:right="21"/>
              <w:jc w:val="right"/>
              <w:rPr>
                <w:sz w:val="18"/>
              </w:rPr>
            </w:pPr>
            <w:r>
              <w:rPr>
                <w:spacing w:val="-5"/>
                <w:sz w:val="18"/>
              </w:rPr>
              <w:t>716</w:t>
            </w:r>
          </w:p>
        </w:tc>
        <w:tc>
          <w:tcPr>
            <w:tcW w:w="1136" w:type="dxa"/>
            <w:shd w:val="clear" w:color="auto" w:fill="F1F1F1"/>
          </w:tcPr>
          <w:p w14:paraId="1BC6EBBA" w14:textId="77777777" w:rsidR="00AC6F3C" w:rsidRDefault="00570E88">
            <w:pPr>
              <w:pStyle w:val="TableParagraph"/>
              <w:spacing w:before="43"/>
              <w:ind w:right="36"/>
              <w:jc w:val="right"/>
              <w:rPr>
                <w:sz w:val="18"/>
              </w:rPr>
            </w:pPr>
            <w:r>
              <w:rPr>
                <w:spacing w:val="-2"/>
                <w:sz w:val="18"/>
              </w:rPr>
              <w:t>1,699</w:t>
            </w:r>
          </w:p>
        </w:tc>
        <w:tc>
          <w:tcPr>
            <w:tcW w:w="1114" w:type="dxa"/>
            <w:tcBorders>
              <w:right w:val="single" w:sz="6" w:space="0" w:color="000000"/>
            </w:tcBorders>
          </w:tcPr>
          <w:p w14:paraId="394DF232" w14:textId="77777777" w:rsidR="00AC6F3C" w:rsidRDefault="00570E88">
            <w:pPr>
              <w:pStyle w:val="TableParagraph"/>
              <w:spacing w:before="43"/>
              <w:ind w:right="21"/>
              <w:jc w:val="right"/>
              <w:rPr>
                <w:sz w:val="18"/>
              </w:rPr>
            </w:pPr>
            <w:r>
              <w:rPr>
                <w:spacing w:val="-2"/>
                <w:sz w:val="18"/>
              </w:rPr>
              <w:t>1,708</w:t>
            </w:r>
          </w:p>
        </w:tc>
      </w:tr>
      <w:tr w:rsidR="00AC6F3C" w14:paraId="562ECCE1" w14:textId="77777777">
        <w:trPr>
          <w:trHeight w:val="299"/>
        </w:trPr>
        <w:tc>
          <w:tcPr>
            <w:tcW w:w="3651" w:type="dxa"/>
            <w:tcBorders>
              <w:left w:val="single" w:sz="6" w:space="0" w:color="000000"/>
            </w:tcBorders>
          </w:tcPr>
          <w:p w14:paraId="0F3B4815" w14:textId="77777777" w:rsidR="00AC6F3C" w:rsidRDefault="00570E88">
            <w:pPr>
              <w:pStyle w:val="TableParagraph"/>
              <w:spacing w:before="43"/>
              <w:ind w:left="37"/>
              <w:rPr>
                <w:sz w:val="18"/>
              </w:rPr>
            </w:pPr>
            <w:r>
              <w:rPr>
                <w:sz w:val="18"/>
              </w:rPr>
              <w:t>Insurance</w:t>
            </w:r>
            <w:r>
              <w:rPr>
                <w:spacing w:val="16"/>
                <w:sz w:val="18"/>
              </w:rPr>
              <w:t xml:space="preserve"> </w:t>
            </w:r>
            <w:r>
              <w:rPr>
                <w:spacing w:val="-2"/>
                <w:sz w:val="18"/>
              </w:rPr>
              <w:t>levies</w:t>
            </w:r>
          </w:p>
        </w:tc>
        <w:tc>
          <w:tcPr>
            <w:tcW w:w="900" w:type="dxa"/>
          </w:tcPr>
          <w:p w14:paraId="7048F650" w14:textId="77777777" w:rsidR="00AC6F3C" w:rsidRDefault="00570E88">
            <w:pPr>
              <w:pStyle w:val="TableParagraph"/>
              <w:spacing w:before="43"/>
              <w:ind w:left="133" w:right="121"/>
              <w:jc w:val="center"/>
              <w:rPr>
                <w:sz w:val="18"/>
              </w:rPr>
            </w:pPr>
            <w:r>
              <w:rPr>
                <w:spacing w:val="-2"/>
                <w:sz w:val="18"/>
              </w:rPr>
              <w:t>B1-</w:t>
            </w:r>
            <w:r>
              <w:rPr>
                <w:spacing w:val="-10"/>
                <w:sz w:val="18"/>
              </w:rPr>
              <w:t>4</w:t>
            </w:r>
          </w:p>
        </w:tc>
        <w:tc>
          <w:tcPr>
            <w:tcW w:w="1136" w:type="dxa"/>
            <w:shd w:val="clear" w:color="auto" w:fill="F1F1F1"/>
          </w:tcPr>
          <w:p w14:paraId="3A1E4D1B" w14:textId="77777777" w:rsidR="00AC6F3C" w:rsidRDefault="00570E88">
            <w:pPr>
              <w:pStyle w:val="TableParagraph"/>
              <w:spacing w:before="43"/>
              <w:ind w:right="36"/>
              <w:jc w:val="right"/>
              <w:rPr>
                <w:sz w:val="18"/>
              </w:rPr>
            </w:pPr>
            <w:r>
              <w:rPr>
                <w:spacing w:val="-2"/>
                <w:sz w:val="18"/>
              </w:rPr>
              <w:t>38,478</w:t>
            </w:r>
          </w:p>
        </w:tc>
        <w:tc>
          <w:tcPr>
            <w:tcW w:w="1106" w:type="dxa"/>
          </w:tcPr>
          <w:p w14:paraId="3780C9F8" w14:textId="77777777" w:rsidR="00AC6F3C" w:rsidRDefault="00570E88">
            <w:pPr>
              <w:pStyle w:val="TableParagraph"/>
              <w:spacing w:before="43"/>
              <w:ind w:right="21"/>
              <w:jc w:val="right"/>
              <w:rPr>
                <w:sz w:val="18"/>
              </w:rPr>
            </w:pPr>
            <w:r>
              <w:rPr>
                <w:spacing w:val="-2"/>
                <w:sz w:val="18"/>
              </w:rPr>
              <w:t>26,375</w:t>
            </w:r>
          </w:p>
        </w:tc>
        <w:tc>
          <w:tcPr>
            <w:tcW w:w="1136" w:type="dxa"/>
            <w:shd w:val="clear" w:color="auto" w:fill="F1F1F1"/>
          </w:tcPr>
          <w:p w14:paraId="62D0FBAB"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0653C164" w14:textId="77777777" w:rsidR="00AC6F3C" w:rsidRDefault="00570E88">
            <w:pPr>
              <w:pStyle w:val="TableParagraph"/>
              <w:spacing w:before="43"/>
              <w:ind w:right="21"/>
              <w:jc w:val="right"/>
              <w:rPr>
                <w:sz w:val="18"/>
              </w:rPr>
            </w:pPr>
            <w:r>
              <w:rPr>
                <w:w w:val="99"/>
                <w:sz w:val="18"/>
              </w:rPr>
              <w:t>-</w:t>
            </w:r>
          </w:p>
        </w:tc>
      </w:tr>
      <w:tr w:rsidR="00AC6F3C" w14:paraId="0D0A393B" w14:textId="77777777">
        <w:trPr>
          <w:trHeight w:val="299"/>
        </w:trPr>
        <w:tc>
          <w:tcPr>
            <w:tcW w:w="3651" w:type="dxa"/>
            <w:tcBorders>
              <w:left w:val="single" w:sz="6" w:space="0" w:color="000000"/>
            </w:tcBorders>
          </w:tcPr>
          <w:p w14:paraId="5C76AC61" w14:textId="77777777" w:rsidR="00AC6F3C" w:rsidRDefault="00570E88">
            <w:pPr>
              <w:pStyle w:val="TableParagraph"/>
              <w:spacing w:before="43"/>
              <w:ind w:left="37"/>
              <w:rPr>
                <w:sz w:val="18"/>
              </w:rPr>
            </w:pPr>
            <w:r>
              <w:rPr>
                <w:sz w:val="18"/>
              </w:rPr>
              <w:t xml:space="preserve">Investment </w:t>
            </w:r>
            <w:r>
              <w:rPr>
                <w:spacing w:val="-2"/>
                <w:sz w:val="18"/>
              </w:rPr>
              <w:t>income</w:t>
            </w:r>
          </w:p>
        </w:tc>
        <w:tc>
          <w:tcPr>
            <w:tcW w:w="900" w:type="dxa"/>
          </w:tcPr>
          <w:p w14:paraId="4FBFDA82" w14:textId="77777777" w:rsidR="00AC6F3C" w:rsidRDefault="00570E88">
            <w:pPr>
              <w:pStyle w:val="TableParagraph"/>
              <w:spacing w:before="43"/>
              <w:ind w:left="133" w:right="121"/>
              <w:jc w:val="center"/>
              <w:rPr>
                <w:sz w:val="18"/>
              </w:rPr>
            </w:pPr>
            <w:r>
              <w:rPr>
                <w:spacing w:val="-2"/>
                <w:sz w:val="18"/>
              </w:rPr>
              <w:t>B1-</w:t>
            </w:r>
            <w:r>
              <w:rPr>
                <w:spacing w:val="-10"/>
                <w:sz w:val="18"/>
              </w:rPr>
              <w:t>5</w:t>
            </w:r>
          </w:p>
        </w:tc>
        <w:tc>
          <w:tcPr>
            <w:tcW w:w="1136" w:type="dxa"/>
            <w:shd w:val="clear" w:color="auto" w:fill="F1F1F1"/>
          </w:tcPr>
          <w:p w14:paraId="0E2E7BD4" w14:textId="77777777" w:rsidR="00AC6F3C" w:rsidRDefault="00570E88">
            <w:pPr>
              <w:pStyle w:val="TableParagraph"/>
              <w:spacing w:before="43"/>
              <w:ind w:right="36"/>
              <w:jc w:val="right"/>
              <w:rPr>
                <w:sz w:val="18"/>
              </w:rPr>
            </w:pPr>
            <w:r>
              <w:rPr>
                <w:spacing w:val="-2"/>
                <w:sz w:val="18"/>
              </w:rPr>
              <w:t>5,421</w:t>
            </w:r>
          </w:p>
        </w:tc>
        <w:tc>
          <w:tcPr>
            <w:tcW w:w="1106" w:type="dxa"/>
          </w:tcPr>
          <w:p w14:paraId="28513C40" w14:textId="77777777" w:rsidR="00AC6F3C" w:rsidRDefault="00570E88">
            <w:pPr>
              <w:pStyle w:val="TableParagraph"/>
              <w:spacing w:before="43"/>
              <w:ind w:right="21"/>
              <w:jc w:val="right"/>
              <w:rPr>
                <w:sz w:val="18"/>
              </w:rPr>
            </w:pPr>
            <w:r>
              <w:rPr>
                <w:spacing w:val="-2"/>
                <w:sz w:val="18"/>
              </w:rPr>
              <w:t>8,892</w:t>
            </w:r>
          </w:p>
        </w:tc>
        <w:tc>
          <w:tcPr>
            <w:tcW w:w="1136" w:type="dxa"/>
            <w:shd w:val="clear" w:color="auto" w:fill="F1F1F1"/>
          </w:tcPr>
          <w:p w14:paraId="4F811A9F" w14:textId="77777777" w:rsidR="00AC6F3C" w:rsidRDefault="00570E88">
            <w:pPr>
              <w:pStyle w:val="TableParagraph"/>
              <w:spacing w:before="43"/>
              <w:ind w:right="36"/>
              <w:jc w:val="right"/>
              <w:rPr>
                <w:sz w:val="18"/>
              </w:rPr>
            </w:pPr>
            <w:r>
              <w:rPr>
                <w:spacing w:val="-5"/>
                <w:sz w:val="18"/>
              </w:rPr>
              <w:t>980</w:t>
            </w:r>
          </w:p>
        </w:tc>
        <w:tc>
          <w:tcPr>
            <w:tcW w:w="1114" w:type="dxa"/>
            <w:tcBorders>
              <w:right w:val="single" w:sz="6" w:space="0" w:color="000000"/>
            </w:tcBorders>
          </w:tcPr>
          <w:p w14:paraId="26E72885" w14:textId="77777777" w:rsidR="00AC6F3C" w:rsidRDefault="00570E88">
            <w:pPr>
              <w:pStyle w:val="TableParagraph"/>
              <w:spacing w:before="43"/>
              <w:ind w:right="21"/>
              <w:jc w:val="right"/>
              <w:rPr>
                <w:sz w:val="18"/>
              </w:rPr>
            </w:pPr>
            <w:r>
              <w:rPr>
                <w:spacing w:val="-5"/>
                <w:sz w:val="18"/>
              </w:rPr>
              <w:t>204</w:t>
            </w:r>
          </w:p>
        </w:tc>
      </w:tr>
      <w:tr w:rsidR="00AC6F3C" w14:paraId="6461069F" w14:textId="77777777">
        <w:trPr>
          <w:trHeight w:val="299"/>
        </w:trPr>
        <w:tc>
          <w:tcPr>
            <w:tcW w:w="3651" w:type="dxa"/>
            <w:tcBorders>
              <w:left w:val="single" w:sz="6" w:space="0" w:color="000000"/>
            </w:tcBorders>
          </w:tcPr>
          <w:p w14:paraId="5C4247C7" w14:textId="77777777" w:rsidR="00AC6F3C" w:rsidRDefault="00570E88">
            <w:pPr>
              <w:pStyle w:val="TableParagraph"/>
              <w:spacing w:before="43"/>
              <w:ind w:left="37"/>
              <w:rPr>
                <w:sz w:val="18"/>
              </w:rPr>
            </w:pPr>
            <w:proofErr w:type="spellStart"/>
            <w:r>
              <w:rPr>
                <w:sz w:val="18"/>
              </w:rPr>
              <w:t>Realised</w:t>
            </w:r>
            <w:proofErr w:type="spellEnd"/>
            <w:r>
              <w:rPr>
                <w:spacing w:val="35"/>
                <w:sz w:val="18"/>
              </w:rPr>
              <w:t xml:space="preserve"> </w:t>
            </w:r>
            <w:r>
              <w:rPr>
                <w:sz w:val="18"/>
              </w:rPr>
              <w:t>gains/(losses)</w:t>
            </w:r>
            <w:r>
              <w:rPr>
                <w:spacing w:val="27"/>
                <w:sz w:val="18"/>
              </w:rPr>
              <w:t xml:space="preserve"> </w:t>
            </w:r>
            <w:r>
              <w:rPr>
                <w:sz w:val="18"/>
              </w:rPr>
              <w:t>on</w:t>
            </w:r>
            <w:r>
              <w:rPr>
                <w:spacing w:val="35"/>
                <w:sz w:val="18"/>
              </w:rPr>
              <w:t xml:space="preserve"> </w:t>
            </w:r>
            <w:r>
              <w:rPr>
                <w:spacing w:val="-2"/>
                <w:sz w:val="18"/>
              </w:rPr>
              <w:t>investments</w:t>
            </w:r>
          </w:p>
        </w:tc>
        <w:tc>
          <w:tcPr>
            <w:tcW w:w="900" w:type="dxa"/>
          </w:tcPr>
          <w:p w14:paraId="75C871BC" w14:textId="77777777" w:rsidR="00AC6F3C" w:rsidRDefault="00570E88">
            <w:pPr>
              <w:pStyle w:val="TableParagraph"/>
              <w:spacing w:before="43"/>
              <w:ind w:left="138" w:right="121"/>
              <w:jc w:val="center"/>
              <w:rPr>
                <w:sz w:val="18"/>
              </w:rPr>
            </w:pPr>
            <w:r>
              <w:rPr>
                <w:spacing w:val="-5"/>
                <w:sz w:val="18"/>
              </w:rPr>
              <w:t>C4</w:t>
            </w:r>
          </w:p>
        </w:tc>
        <w:tc>
          <w:tcPr>
            <w:tcW w:w="1136" w:type="dxa"/>
            <w:shd w:val="clear" w:color="auto" w:fill="F1F1F1"/>
          </w:tcPr>
          <w:p w14:paraId="25C02E56" w14:textId="77777777" w:rsidR="00AC6F3C" w:rsidRDefault="00570E88">
            <w:pPr>
              <w:pStyle w:val="TableParagraph"/>
              <w:spacing w:before="43"/>
              <w:ind w:right="36"/>
              <w:jc w:val="right"/>
              <w:rPr>
                <w:sz w:val="18"/>
              </w:rPr>
            </w:pPr>
            <w:r>
              <w:rPr>
                <w:spacing w:val="-5"/>
                <w:sz w:val="18"/>
              </w:rPr>
              <w:t>192</w:t>
            </w:r>
          </w:p>
        </w:tc>
        <w:tc>
          <w:tcPr>
            <w:tcW w:w="1106" w:type="dxa"/>
          </w:tcPr>
          <w:p w14:paraId="58BE6897" w14:textId="77777777" w:rsidR="00AC6F3C" w:rsidRDefault="00570E88">
            <w:pPr>
              <w:pStyle w:val="TableParagraph"/>
              <w:spacing w:before="43"/>
              <w:ind w:right="21"/>
              <w:jc w:val="right"/>
              <w:rPr>
                <w:sz w:val="18"/>
              </w:rPr>
            </w:pPr>
            <w:r>
              <w:rPr>
                <w:spacing w:val="-5"/>
                <w:sz w:val="18"/>
              </w:rPr>
              <w:t>687</w:t>
            </w:r>
          </w:p>
        </w:tc>
        <w:tc>
          <w:tcPr>
            <w:tcW w:w="1136" w:type="dxa"/>
            <w:shd w:val="clear" w:color="auto" w:fill="F1F1F1"/>
          </w:tcPr>
          <w:p w14:paraId="1BBF5069"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157C80AC" w14:textId="77777777" w:rsidR="00AC6F3C" w:rsidRDefault="00570E88">
            <w:pPr>
              <w:pStyle w:val="TableParagraph"/>
              <w:spacing w:before="43"/>
              <w:ind w:right="21"/>
              <w:jc w:val="right"/>
              <w:rPr>
                <w:sz w:val="18"/>
              </w:rPr>
            </w:pPr>
            <w:r>
              <w:rPr>
                <w:w w:val="99"/>
                <w:sz w:val="18"/>
              </w:rPr>
              <w:t>-</w:t>
            </w:r>
          </w:p>
        </w:tc>
      </w:tr>
      <w:tr w:rsidR="00AC6F3C" w14:paraId="7EA26F53" w14:textId="77777777">
        <w:trPr>
          <w:trHeight w:val="299"/>
        </w:trPr>
        <w:tc>
          <w:tcPr>
            <w:tcW w:w="3651" w:type="dxa"/>
            <w:tcBorders>
              <w:left w:val="single" w:sz="6" w:space="0" w:color="000000"/>
            </w:tcBorders>
          </w:tcPr>
          <w:p w14:paraId="7947EE2E" w14:textId="77777777" w:rsidR="00AC6F3C" w:rsidRDefault="00570E88">
            <w:pPr>
              <w:pStyle w:val="TableParagraph"/>
              <w:spacing w:before="43"/>
              <w:ind w:left="37"/>
              <w:rPr>
                <w:sz w:val="18"/>
              </w:rPr>
            </w:pPr>
            <w:r>
              <w:rPr>
                <w:sz w:val="18"/>
              </w:rPr>
              <w:t>Fair</w:t>
            </w:r>
            <w:r>
              <w:rPr>
                <w:spacing w:val="9"/>
                <w:sz w:val="18"/>
              </w:rPr>
              <w:t xml:space="preserve"> </w:t>
            </w:r>
            <w:r>
              <w:rPr>
                <w:sz w:val="18"/>
              </w:rPr>
              <w:t>value</w:t>
            </w:r>
            <w:r>
              <w:rPr>
                <w:spacing w:val="17"/>
                <w:sz w:val="18"/>
              </w:rPr>
              <w:t xml:space="preserve"> </w:t>
            </w:r>
            <w:r>
              <w:rPr>
                <w:sz w:val="18"/>
              </w:rPr>
              <w:t>gains/(losses)</w:t>
            </w:r>
            <w:r>
              <w:rPr>
                <w:spacing w:val="9"/>
                <w:sz w:val="18"/>
              </w:rPr>
              <w:t xml:space="preserve"> </w:t>
            </w:r>
            <w:r>
              <w:rPr>
                <w:sz w:val="18"/>
              </w:rPr>
              <w:t>on</w:t>
            </w:r>
            <w:r>
              <w:rPr>
                <w:spacing w:val="17"/>
                <w:sz w:val="18"/>
              </w:rPr>
              <w:t xml:space="preserve"> </w:t>
            </w:r>
            <w:r>
              <w:rPr>
                <w:spacing w:val="-2"/>
                <w:sz w:val="18"/>
              </w:rPr>
              <w:t>investments</w:t>
            </w:r>
          </w:p>
        </w:tc>
        <w:tc>
          <w:tcPr>
            <w:tcW w:w="900" w:type="dxa"/>
          </w:tcPr>
          <w:p w14:paraId="5789548B" w14:textId="77777777" w:rsidR="00AC6F3C" w:rsidRDefault="00570E88">
            <w:pPr>
              <w:pStyle w:val="TableParagraph"/>
              <w:spacing w:before="43"/>
              <w:ind w:left="138" w:right="121"/>
              <w:jc w:val="center"/>
              <w:rPr>
                <w:sz w:val="18"/>
              </w:rPr>
            </w:pPr>
            <w:r>
              <w:rPr>
                <w:spacing w:val="-5"/>
                <w:sz w:val="18"/>
              </w:rPr>
              <w:t>C4</w:t>
            </w:r>
          </w:p>
        </w:tc>
        <w:tc>
          <w:tcPr>
            <w:tcW w:w="1136" w:type="dxa"/>
            <w:shd w:val="clear" w:color="auto" w:fill="F1F1F1"/>
          </w:tcPr>
          <w:p w14:paraId="4A7D3FD2" w14:textId="77777777" w:rsidR="00AC6F3C" w:rsidRDefault="00570E88">
            <w:pPr>
              <w:pStyle w:val="TableParagraph"/>
              <w:spacing w:before="43"/>
              <w:ind w:right="35"/>
              <w:jc w:val="right"/>
              <w:rPr>
                <w:sz w:val="18"/>
              </w:rPr>
            </w:pPr>
            <w:r>
              <w:rPr>
                <w:spacing w:val="-2"/>
                <w:sz w:val="18"/>
              </w:rPr>
              <w:t>9,089</w:t>
            </w:r>
          </w:p>
        </w:tc>
        <w:tc>
          <w:tcPr>
            <w:tcW w:w="1106" w:type="dxa"/>
          </w:tcPr>
          <w:p w14:paraId="420647A3" w14:textId="77777777" w:rsidR="00AC6F3C" w:rsidRDefault="00570E88">
            <w:pPr>
              <w:pStyle w:val="TableParagraph"/>
              <w:spacing w:before="43"/>
              <w:ind w:right="16"/>
              <w:jc w:val="right"/>
              <w:rPr>
                <w:sz w:val="18"/>
              </w:rPr>
            </w:pPr>
            <w:r>
              <w:rPr>
                <w:spacing w:val="-2"/>
                <w:sz w:val="18"/>
              </w:rPr>
              <w:t>(17,536)</w:t>
            </w:r>
          </w:p>
        </w:tc>
        <w:tc>
          <w:tcPr>
            <w:tcW w:w="1136" w:type="dxa"/>
            <w:shd w:val="clear" w:color="auto" w:fill="F1F1F1"/>
          </w:tcPr>
          <w:p w14:paraId="05F704B8"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707CCBC6" w14:textId="77777777" w:rsidR="00AC6F3C" w:rsidRDefault="00570E88">
            <w:pPr>
              <w:pStyle w:val="TableParagraph"/>
              <w:spacing w:before="43"/>
              <w:ind w:right="21"/>
              <w:jc w:val="right"/>
              <w:rPr>
                <w:sz w:val="18"/>
              </w:rPr>
            </w:pPr>
            <w:r>
              <w:rPr>
                <w:w w:val="99"/>
                <w:sz w:val="18"/>
              </w:rPr>
              <w:t>-</w:t>
            </w:r>
          </w:p>
        </w:tc>
      </w:tr>
      <w:tr w:rsidR="00AC6F3C" w14:paraId="0E3B4BF4" w14:textId="77777777">
        <w:trPr>
          <w:trHeight w:val="286"/>
        </w:trPr>
        <w:tc>
          <w:tcPr>
            <w:tcW w:w="3651" w:type="dxa"/>
            <w:tcBorders>
              <w:left w:val="single" w:sz="6" w:space="0" w:color="000000"/>
              <w:bottom w:val="single" w:sz="6" w:space="0" w:color="000000"/>
            </w:tcBorders>
          </w:tcPr>
          <w:p w14:paraId="3895C1DB" w14:textId="77777777" w:rsidR="00AC6F3C" w:rsidRDefault="00570E88">
            <w:pPr>
              <w:pStyle w:val="TableParagraph"/>
              <w:spacing w:before="43"/>
              <w:ind w:left="37"/>
              <w:rPr>
                <w:sz w:val="18"/>
              </w:rPr>
            </w:pPr>
            <w:r>
              <w:rPr>
                <w:sz w:val="18"/>
              </w:rPr>
              <w:t>Other</w:t>
            </w:r>
            <w:r>
              <w:rPr>
                <w:spacing w:val="-13"/>
                <w:sz w:val="18"/>
              </w:rPr>
              <w:t xml:space="preserve"> </w:t>
            </w:r>
            <w:r>
              <w:rPr>
                <w:spacing w:val="-2"/>
                <w:sz w:val="18"/>
              </w:rPr>
              <w:t>income</w:t>
            </w:r>
          </w:p>
        </w:tc>
        <w:tc>
          <w:tcPr>
            <w:tcW w:w="900" w:type="dxa"/>
            <w:tcBorders>
              <w:bottom w:val="single" w:sz="6" w:space="0" w:color="000000"/>
            </w:tcBorders>
          </w:tcPr>
          <w:p w14:paraId="643ACE64" w14:textId="77777777" w:rsidR="00AC6F3C" w:rsidRDefault="00AC6F3C">
            <w:pPr>
              <w:pStyle w:val="TableParagraph"/>
              <w:rPr>
                <w:rFonts w:ascii="Times New Roman"/>
                <w:sz w:val="18"/>
              </w:rPr>
            </w:pPr>
          </w:p>
        </w:tc>
        <w:tc>
          <w:tcPr>
            <w:tcW w:w="1136" w:type="dxa"/>
            <w:tcBorders>
              <w:bottom w:val="single" w:sz="6" w:space="0" w:color="000000"/>
            </w:tcBorders>
            <w:shd w:val="clear" w:color="auto" w:fill="F1F1F1"/>
          </w:tcPr>
          <w:p w14:paraId="3F0CB861" w14:textId="77777777" w:rsidR="00AC6F3C" w:rsidRDefault="00570E88">
            <w:pPr>
              <w:pStyle w:val="TableParagraph"/>
              <w:spacing w:before="43"/>
              <w:ind w:right="36"/>
              <w:jc w:val="right"/>
              <w:rPr>
                <w:sz w:val="18"/>
              </w:rPr>
            </w:pPr>
            <w:r>
              <w:rPr>
                <w:spacing w:val="-5"/>
                <w:sz w:val="18"/>
              </w:rPr>
              <w:t>374</w:t>
            </w:r>
          </w:p>
        </w:tc>
        <w:tc>
          <w:tcPr>
            <w:tcW w:w="1106" w:type="dxa"/>
            <w:tcBorders>
              <w:bottom w:val="single" w:sz="6" w:space="0" w:color="000000"/>
            </w:tcBorders>
          </w:tcPr>
          <w:p w14:paraId="660A4A36" w14:textId="77777777" w:rsidR="00AC6F3C" w:rsidRDefault="00570E88">
            <w:pPr>
              <w:pStyle w:val="TableParagraph"/>
              <w:spacing w:before="43"/>
              <w:ind w:right="21"/>
              <w:jc w:val="right"/>
              <w:rPr>
                <w:sz w:val="18"/>
              </w:rPr>
            </w:pPr>
            <w:r>
              <w:rPr>
                <w:spacing w:val="-5"/>
                <w:sz w:val="18"/>
              </w:rPr>
              <w:t>285</w:t>
            </w:r>
          </w:p>
        </w:tc>
        <w:tc>
          <w:tcPr>
            <w:tcW w:w="1136" w:type="dxa"/>
            <w:tcBorders>
              <w:bottom w:val="single" w:sz="6" w:space="0" w:color="000000"/>
            </w:tcBorders>
            <w:shd w:val="clear" w:color="auto" w:fill="F1F1F1"/>
          </w:tcPr>
          <w:p w14:paraId="33CDE5D1" w14:textId="77777777" w:rsidR="00AC6F3C" w:rsidRDefault="00570E88">
            <w:pPr>
              <w:pStyle w:val="TableParagraph"/>
              <w:spacing w:before="43"/>
              <w:ind w:right="36"/>
              <w:jc w:val="right"/>
              <w:rPr>
                <w:sz w:val="18"/>
              </w:rPr>
            </w:pPr>
            <w:r>
              <w:rPr>
                <w:spacing w:val="-5"/>
                <w:sz w:val="18"/>
              </w:rPr>
              <w:t>327</w:t>
            </w:r>
          </w:p>
        </w:tc>
        <w:tc>
          <w:tcPr>
            <w:tcW w:w="1114" w:type="dxa"/>
            <w:tcBorders>
              <w:bottom w:val="single" w:sz="6" w:space="0" w:color="000000"/>
              <w:right w:val="single" w:sz="6" w:space="0" w:color="000000"/>
            </w:tcBorders>
          </w:tcPr>
          <w:p w14:paraId="7CF6417D" w14:textId="77777777" w:rsidR="00AC6F3C" w:rsidRDefault="00570E88">
            <w:pPr>
              <w:pStyle w:val="TableParagraph"/>
              <w:spacing w:before="43"/>
              <w:ind w:right="21"/>
              <w:jc w:val="right"/>
              <w:rPr>
                <w:sz w:val="18"/>
              </w:rPr>
            </w:pPr>
            <w:r>
              <w:rPr>
                <w:spacing w:val="-5"/>
                <w:sz w:val="18"/>
              </w:rPr>
              <w:t>273</w:t>
            </w:r>
          </w:p>
        </w:tc>
      </w:tr>
      <w:tr w:rsidR="00AC6F3C" w14:paraId="31773DBE" w14:textId="77777777">
        <w:trPr>
          <w:trHeight w:val="284"/>
        </w:trPr>
        <w:tc>
          <w:tcPr>
            <w:tcW w:w="3651" w:type="dxa"/>
            <w:tcBorders>
              <w:top w:val="single" w:sz="6" w:space="0" w:color="000000"/>
              <w:left w:val="single" w:sz="6" w:space="0" w:color="000000"/>
              <w:bottom w:val="single" w:sz="6" w:space="0" w:color="000000"/>
            </w:tcBorders>
            <w:shd w:val="clear" w:color="auto" w:fill="BEBEBE"/>
          </w:tcPr>
          <w:p w14:paraId="13DD86B7" w14:textId="77777777" w:rsidR="00AC6F3C" w:rsidRDefault="00570E88">
            <w:pPr>
              <w:pStyle w:val="TableParagraph"/>
              <w:spacing w:before="40"/>
              <w:ind w:left="37"/>
              <w:rPr>
                <w:b/>
                <w:sz w:val="18"/>
              </w:rPr>
            </w:pPr>
            <w:r>
              <w:rPr>
                <w:b/>
                <w:spacing w:val="-4"/>
                <w:sz w:val="18"/>
              </w:rPr>
              <w:t xml:space="preserve">Total </w:t>
            </w:r>
            <w:r>
              <w:rPr>
                <w:b/>
                <w:spacing w:val="-2"/>
                <w:sz w:val="18"/>
              </w:rPr>
              <w:t>revenue</w:t>
            </w:r>
          </w:p>
        </w:tc>
        <w:tc>
          <w:tcPr>
            <w:tcW w:w="900" w:type="dxa"/>
            <w:tcBorders>
              <w:top w:val="single" w:sz="6" w:space="0" w:color="000000"/>
              <w:bottom w:val="single" w:sz="6" w:space="0" w:color="000000"/>
            </w:tcBorders>
            <w:shd w:val="clear" w:color="auto" w:fill="BEBEBE"/>
          </w:tcPr>
          <w:p w14:paraId="3485E15D"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BEBEBE"/>
          </w:tcPr>
          <w:p w14:paraId="0F23802F" w14:textId="77777777" w:rsidR="00AC6F3C" w:rsidRDefault="00570E88">
            <w:pPr>
              <w:pStyle w:val="TableParagraph"/>
              <w:spacing w:before="40"/>
              <w:ind w:right="36"/>
              <w:jc w:val="right"/>
              <w:rPr>
                <w:b/>
                <w:sz w:val="18"/>
              </w:rPr>
            </w:pPr>
            <w:r>
              <w:rPr>
                <w:b/>
                <w:spacing w:val="-2"/>
                <w:sz w:val="18"/>
              </w:rPr>
              <w:t>74,201</w:t>
            </w:r>
          </w:p>
        </w:tc>
        <w:tc>
          <w:tcPr>
            <w:tcW w:w="1106" w:type="dxa"/>
            <w:tcBorders>
              <w:top w:val="single" w:sz="6" w:space="0" w:color="000000"/>
              <w:bottom w:val="single" w:sz="6" w:space="0" w:color="000000"/>
            </w:tcBorders>
            <w:shd w:val="clear" w:color="auto" w:fill="BEBEBE"/>
          </w:tcPr>
          <w:p w14:paraId="5FF944EB" w14:textId="77777777" w:rsidR="00AC6F3C" w:rsidRDefault="00570E88">
            <w:pPr>
              <w:pStyle w:val="TableParagraph"/>
              <w:spacing w:before="40"/>
              <w:ind w:right="21"/>
              <w:jc w:val="right"/>
              <w:rPr>
                <w:b/>
                <w:sz w:val="18"/>
              </w:rPr>
            </w:pPr>
            <w:r>
              <w:rPr>
                <w:b/>
                <w:spacing w:val="-2"/>
                <w:sz w:val="18"/>
              </w:rPr>
              <w:t>38,540</w:t>
            </w:r>
          </w:p>
        </w:tc>
        <w:tc>
          <w:tcPr>
            <w:tcW w:w="1136" w:type="dxa"/>
            <w:tcBorders>
              <w:top w:val="single" w:sz="6" w:space="0" w:color="000000"/>
              <w:bottom w:val="single" w:sz="6" w:space="0" w:color="000000"/>
            </w:tcBorders>
            <w:shd w:val="clear" w:color="auto" w:fill="BEBEBE"/>
          </w:tcPr>
          <w:p w14:paraId="78D5CDE6" w14:textId="77777777" w:rsidR="00AC6F3C" w:rsidRDefault="00570E88">
            <w:pPr>
              <w:pStyle w:val="TableParagraph"/>
              <w:spacing w:before="40"/>
              <w:ind w:right="36"/>
              <w:jc w:val="right"/>
              <w:rPr>
                <w:b/>
                <w:sz w:val="18"/>
              </w:rPr>
            </w:pPr>
            <w:r>
              <w:rPr>
                <w:b/>
                <w:spacing w:val="-2"/>
                <w:sz w:val="18"/>
              </w:rPr>
              <w:t>23,544</w:t>
            </w:r>
          </w:p>
        </w:tc>
        <w:tc>
          <w:tcPr>
            <w:tcW w:w="1114" w:type="dxa"/>
            <w:tcBorders>
              <w:top w:val="single" w:sz="6" w:space="0" w:color="000000"/>
              <w:bottom w:val="single" w:sz="6" w:space="0" w:color="000000"/>
              <w:right w:val="single" w:sz="6" w:space="0" w:color="000000"/>
            </w:tcBorders>
            <w:shd w:val="clear" w:color="auto" w:fill="BEBEBE"/>
          </w:tcPr>
          <w:p w14:paraId="3D48EB4A" w14:textId="77777777" w:rsidR="00AC6F3C" w:rsidRDefault="00570E88">
            <w:pPr>
              <w:pStyle w:val="TableParagraph"/>
              <w:spacing w:before="40"/>
              <w:ind w:right="21"/>
              <w:jc w:val="right"/>
              <w:rPr>
                <w:b/>
                <w:sz w:val="18"/>
              </w:rPr>
            </w:pPr>
            <w:r>
              <w:rPr>
                <w:b/>
                <w:spacing w:val="-2"/>
                <w:sz w:val="18"/>
              </w:rPr>
              <w:t>21,881</w:t>
            </w:r>
          </w:p>
        </w:tc>
      </w:tr>
      <w:tr w:rsidR="00AC6F3C" w14:paraId="592770C7" w14:textId="77777777">
        <w:trPr>
          <w:trHeight w:val="296"/>
        </w:trPr>
        <w:tc>
          <w:tcPr>
            <w:tcW w:w="3651" w:type="dxa"/>
            <w:tcBorders>
              <w:top w:val="single" w:sz="6" w:space="0" w:color="000000"/>
              <w:left w:val="single" w:sz="6" w:space="0" w:color="000000"/>
            </w:tcBorders>
          </w:tcPr>
          <w:p w14:paraId="46885CEB" w14:textId="77777777" w:rsidR="00AC6F3C" w:rsidRDefault="00570E88">
            <w:pPr>
              <w:pStyle w:val="TableParagraph"/>
              <w:spacing w:before="40"/>
              <w:ind w:left="37"/>
              <w:rPr>
                <w:b/>
                <w:sz w:val="18"/>
              </w:rPr>
            </w:pPr>
            <w:r>
              <w:rPr>
                <w:b/>
                <w:spacing w:val="-2"/>
                <w:sz w:val="18"/>
              </w:rPr>
              <w:t>Expenses</w:t>
            </w:r>
          </w:p>
        </w:tc>
        <w:tc>
          <w:tcPr>
            <w:tcW w:w="900" w:type="dxa"/>
            <w:tcBorders>
              <w:top w:val="single" w:sz="6" w:space="0" w:color="000000"/>
            </w:tcBorders>
          </w:tcPr>
          <w:p w14:paraId="7861745E" w14:textId="77777777" w:rsidR="00AC6F3C" w:rsidRDefault="00AC6F3C">
            <w:pPr>
              <w:pStyle w:val="TableParagraph"/>
              <w:rPr>
                <w:rFonts w:ascii="Times New Roman"/>
                <w:sz w:val="18"/>
              </w:rPr>
            </w:pPr>
          </w:p>
        </w:tc>
        <w:tc>
          <w:tcPr>
            <w:tcW w:w="1136" w:type="dxa"/>
            <w:tcBorders>
              <w:top w:val="single" w:sz="6" w:space="0" w:color="000000"/>
            </w:tcBorders>
            <w:shd w:val="clear" w:color="auto" w:fill="F1F1F1"/>
          </w:tcPr>
          <w:p w14:paraId="4DBA218D" w14:textId="77777777" w:rsidR="00AC6F3C" w:rsidRDefault="00AC6F3C">
            <w:pPr>
              <w:pStyle w:val="TableParagraph"/>
              <w:rPr>
                <w:rFonts w:ascii="Times New Roman"/>
                <w:sz w:val="18"/>
              </w:rPr>
            </w:pPr>
          </w:p>
        </w:tc>
        <w:tc>
          <w:tcPr>
            <w:tcW w:w="1106" w:type="dxa"/>
            <w:tcBorders>
              <w:top w:val="single" w:sz="6" w:space="0" w:color="000000"/>
            </w:tcBorders>
          </w:tcPr>
          <w:p w14:paraId="78A5EB2C" w14:textId="77777777" w:rsidR="00AC6F3C" w:rsidRDefault="00AC6F3C">
            <w:pPr>
              <w:pStyle w:val="TableParagraph"/>
              <w:rPr>
                <w:rFonts w:ascii="Times New Roman"/>
                <w:sz w:val="18"/>
              </w:rPr>
            </w:pPr>
          </w:p>
        </w:tc>
        <w:tc>
          <w:tcPr>
            <w:tcW w:w="1136" w:type="dxa"/>
            <w:tcBorders>
              <w:top w:val="single" w:sz="6" w:space="0" w:color="000000"/>
            </w:tcBorders>
            <w:shd w:val="clear" w:color="auto" w:fill="F1F1F1"/>
          </w:tcPr>
          <w:p w14:paraId="103BE5BB" w14:textId="77777777" w:rsidR="00AC6F3C" w:rsidRDefault="00AC6F3C">
            <w:pPr>
              <w:pStyle w:val="TableParagraph"/>
              <w:rPr>
                <w:rFonts w:ascii="Times New Roman"/>
                <w:sz w:val="18"/>
              </w:rPr>
            </w:pPr>
          </w:p>
        </w:tc>
        <w:tc>
          <w:tcPr>
            <w:tcW w:w="1114" w:type="dxa"/>
            <w:tcBorders>
              <w:top w:val="single" w:sz="6" w:space="0" w:color="000000"/>
              <w:right w:val="single" w:sz="6" w:space="0" w:color="000000"/>
            </w:tcBorders>
          </w:tcPr>
          <w:p w14:paraId="64E8FC64" w14:textId="77777777" w:rsidR="00AC6F3C" w:rsidRDefault="00AC6F3C">
            <w:pPr>
              <w:pStyle w:val="TableParagraph"/>
              <w:rPr>
                <w:rFonts w:ascii="Times New Roman"/>
                <w:sz w:val="18"/>
              </w:rPr>
            </w:pPr>
          </w:p>
        </w:tc>
      </w:tr>
      <w:tr w:rsidR="00AC6F3C" w14:paraId="7A338823" w14:textId="77777777">
        <w:trPr>
          <w:trHeight w:val="299"/>
        </w:trPr>
        <w:tc>
          <w:tcPr>
            <w:tcW w:w="3651" w:type="dxa"/>
            <w:tcBorders>
              <w:left w:val="single" w:sz="6" w:space="0" w:color="000000"/>
            </w:tcBorders>
          </w:tcPr>
          <w:p w14:paraId="591E6413" w14:textId="77777777" w:rsidR="00AC6F3C" w:rsidRDefault="00570E88">
            <w:pPr>
              <w:pStyle w:val="TableParagraph"/>
              <w:spacing w:before="43"/>
              <w:ind w:left="37"/>
              <w:rPr>
                <w:sz w:val="18"/>
              </w:rPr>
            </w:pPr>
            <w:r>
              <w:rPr>
                <w:sz w:val="18"/>
              </w:rPr>
              <w:t>Membership</w:t>
            </w:r>
            <w:r>
              <w:rPr>
                <w:spacing w:val="10"/>
                <w:sz w:val="18"/>
              </w:rPr>
              <w:t xml:space="preserve"> </w:t>
            </w:r>
            <w:r>
              <w:rPr>
                <w:sz w:val="18"/>
              </w:rPr>
              <w:t>services</w:t>
            </w:r>
            <w:r>
              <w:rPr>
                <w:spacing w:val="22"/>
                <w:sz w:val="18"/>
              </w:rPr>
              <w:t xml:space="preserve"> </w:t>
            </w:r>
            <w:r>
              <w:rPr>
                <w:sz w:val="18"/>
              </w:rPr>
              <w:t>and</w:t>
            </w:r>
            <w:r>
              <w:rPr>
                <w:spacing w:val="10"/>
                <w:sz w:val="18"/>
              </w:rPr>
              <w:t xml:space="preserve"> </w:t>
            </w:r>
            <w:r>
              <w:rPr>
                <w:spacing w:val="-2"/>
                <w:sz w:val="18"/>
              </w:rPr>
              <w:t>events</w:t>
            </w:r>
          </w:p>
        </w:tc>
        <w:tc>
          <w:tcPr>
            <w:tcW w:w="900" w:type="dxa"/>
          </w:tcPr>
          <w:p w14:paraId="7DF20850" w14:textId="77777777" w:rsidR="00AC6F3C" w:rsidRDefault="00570E88">
            <w:pPr>
              <w:pStyle w:val="TableParagraph"/>
              <w:spacing w:before="43"/>
              <w:ind w:left="133" w:right="121"/>
              <w:jc w:val="center"/>
              <w:rPr>
                <w:sz w:val="18"/>
              </w:rPr>
            </w:pPr>
            <w:r>
              <w:rPr>
                <w:spacing w:val="-2"/>
                <w:sz w:val="18"/>
              </w:rPr>
              <w:t>B2-</w:t>
            </w:r>
            <w:r>
              <w:rPr>
                <w:spacing w:val="-10"/>
                <w:sz w:val="18"/>
              </w:rPr>
              <w:t>1</w:t>
            </w:r>
          </w:p>
        </w:tc>
        <w:tc>
          <w:tcPr>
            <w:tcW w:w="1136" w:type="dxa"/>
            <w:shd w:val="clear" w:color="auto" w:fill="F1F1F1"/>
          </w:tcPr>
          <w:p w14:paraId="4935D5FB" w14:textId="77777777" w:rsidR="00AC6F3C" w:rsidRDefault="00570E88">
            <w:pPr>
              <w:pStyle w:val="TableParagraph"/>
              <w:spacing w:before="43"/>
              <w:ind w:right="36"/>
              <w:jc w:val="right"/>
              <w:rPr>
                <w:sz w:val="18"/>
              </w:rPr>
            </w:pPr>
            <w:r>
              <w:rPr>
                <w:spacing w:val="-2"/>
                <w:sz w:val="18"/>
              </w:rPr>
              <w:t>1,813</w:t>
            </w:r>
          </w:p>
        </w:tc>
        <w:tc>
          <w:tcPr>
            <w:tcW w:w="1106" w:type="dxa"/>
          </w:tcPr>
          <w:p w14:paraId="315ECDD5" w14:textId="77777777" w:rsidR="00AC6F3C" w:rsidRDefault="00570E88">
            <w:pPr>
              <w:pStyle w:val="TableParagraph"/>
              <w:spacing w:before="43"/>
              <w:ind w:right="21"/>
              <w:jc w:val="right"/>
              <w:rPr>
                <w:sz w:val="18"/>
              </w:rPr>
            </w:pPr>
            <w:r>
              <w:rPr>
                <w:spacing w:val="-2"/>
                <w:sz w:val="18"/>
              </w:rPr>
              <w:t>1,522</w:t>
            </w:r>
          </w:p>
        </w:tc>
        <w:tc>
          <w:tcPr>
            <w:tcW w:w="1136" w:type="dxa"/>
            <w:shd w:val="clear" w:color="auto" w:fill="F1F1F1"/>
          </w:tcPr>
          <w:p w14:paraId="1D0B4171" w14:textId="77777777" w:rsidR="00AC6F3C" w:rsidRDefault="00570E88">
            <w:pPr>
              <w:pStyle w:val="TableParagraph"/>
              <w:spacing w:before="43"/>
              <w:ind w:right="36"/>
              <w:jc w:val="right"/>
              <w:rPr>
                <w:sz w:val="18"/>
              </w:rPr>
            </w:pPr>
            <w:r>
              <w:rPr>
                <w:spacing w:val="-2"/>
                <w:sz w:val="18"/>
              </w:rPr>
              <w:t>1,813</w:t>
            </w:r>
          </w:p>
        </w:tc>
        <w:tc>
          <w:tcPr>
            <w:tcW w:w="1114" w:type="dxa"/>
            <w:tcBorders>
              <w:right w:val="single" w:sz="6" w:space="0" w:color="000000"/>
            </w:tcBorders>
          </w:tcPr>
          <w:p w14:paraId="53DA5674" w14:textId="77777777" w:rsidR="00AC6F3C" w:rsidRDefault="00570E88">
            <w:pPr>
              <w:pStyle w:val="TableParagraph"/>
              <w:spacing w:before="43"/>
              <w:ind w:right="21"/>
              <w:jc w:val="right"/>
              <w:rPr>
                <w:sz w:val="18"/>
              </w:rPr>
            </w:pPr>
            <w:r>
              <w:rPr>
                <w:spacing w:val="-2"/>
                <w:sz w:val="18"/>
              </w:rPr>
              <w:t>1,522</w:t>
            </w:r>
          </w:p>
        </w:tc>
      </w:tr>
      <w:tr w:rsidR="00AC6F3C" w14:paraId="2646915F" w14:textId="77777777">
        <w:trPr>
          <w:trHeight w:val="299"/>
        </w:trPr>
        <w:tc>
          <w:tcPr>
            <w:tcW w:w="3651" w:type="dxa"/>
            <w:tcBorders>
              <w:left w:val="single" w:sz="6" w:space="0" w:color="000000"/>
            </w:tcBorders>
          </w:tcPr>
          <w:p w14:paraId="25FAAB6A" w14:textId="77777777" w:rsidR="00AC6F3C" w:rsidRDefault="00570E88">
            <w:pPr>
              <w:pStyle w:val="TableParagraph"/>
              <w:spacing w:before="43"/>
              <w:ind w:left="37"/>
              <w:rPr>
                <w:sz w:val="18"/>
              </w:rPr>
            </w:pPr>
            <w:r>
              <w:rPr>
                <w:sz w:val="18"/>
              </w:rPr>
              <w:t>Administration</w:t>
            </w:r>
            <w:r>
              <w:rPr>
                <w:spacing w:val="22"/>
                <w:sz w:val="18"/>
              </w:rPr>
              <w:t xml:space="preserve"> </w:t>
            </w:r>
            <w:r>
              <w:rPr>
                <w:spacing w:val="-2"/>
                <w:sz w:val="18"/>
              </w:rPr>
              <w:t>expenses</w:t>
            </w:r>
          </w:p>
        </w:tc>
        <w:tc>
          <w:tcPr>
            <w:tcW w:w="900" w:type="dxa"/>
          </w:tcPr>
          <w:p w14:paraId="1C8ECF5C" w14:textId="77777777" w:rsidR="00AC6F3C" w:rsidRDefault="00570E88">
            <w:pPr>
              <w:pStyle w:val="TableParagraph"/>
              <w:spacing w:before="43"/>
              <w:ind w:left="133" w:right="121"/>
              <w:jc w:val="center"/>
              <w:rPr>
                <w:sz w:val="18"/>
              </w:rPr>
            </w:pPr>
            <w:r>
              <w:rPr>
                <w:spacing w:val="-2"/>
                <w:sz w:val="18"/>
              </w:rPr>
              <w:t>B2-</w:t>
            </w:r>
            <w:r>
              <w:rPr>
                <w:spacing w:val="-10"/>
                <w:sz w:val="18"/>
              </w:rPr>
              <w:t>2</w:t>
            </w:r>
          </w:p>
        </w:tc>
        <w:tc>
          <w:tcPr>
            <w:tcW w:w="1136" w:type="dxa"/>
            <w:shd w:val="clear" w:color="auto" w:fill="F1F1F1"/>
          </w:tcPr>
          <w:p w14:paraId="2DB5CBB3" w14:textId="77777777" w:rsidR="00AC6F3C" w:rsidRDefault="00570E88">
            <w:pPr>
              <w:pStyle w:val="TableParagraph"/>
              <w:spacing w:before="43"/>
              <w:ind w:right="36"/>
              <w:jc w:val="right"/>
              <w:rPr>
                <w:sz w:val="18"/>
              </w:rPr>
            </w:pPr>
            <w:r>
              <w:rPr>
                <w:spacing w:val="-2"/>
                <w:sz w:val="18"/>
              </w:rPr>
              <w:t>10,961</w:t>
            </w:r>
          </w:p>
        </w:tc>
        <w:tc>
          <w:tcPr>
            <w:tcW w:w="1106" w:type="dxa"/>
          </w:tcPr>
          <w:p w14:paraId="32544C3F" w14:textId="77777777" w:rsidR="00AC6F3C" w:rsidRDefault="00570E88">
            <w:pPr>
              <w:pStyle w:val="TableParagraph"/>
              <w:spacing w:before="43"/>
              <w:ind w:right="21"/>
              <w:jc w:val="right"/>
              <w:rPr>
                <w:sz w:val="18"/>
              </w:rPr>
            </w:pPr>
            <w:r>
              <w:rPr>
                <w:spacing w:val="-2"/>
                <w:sz w:val="18"/>
              </w:rPr>
              <w:t>8,894</w:t>
            </w:r>
          </w:p>
        </w:tc>
        <w:tc>
          <w:tcPr>
            <w:tcW w:w="1136" w:type="dxa"/>
            <w:shd w:val="clear" w:color="auto" w:fill="F1F1F1"/>
          </w:tcPr>
          <w:p w14:paraId="66FDEBE5" w14:textId="77777777" w:rsidR="00AC6F3C" w:rsidRDefault="00570E88">
            <w:pPr>
              <w:pStyle w:val="TableParagraph"/>
              <w:spacing w:before="43"/>
              <w:ind w:right="36"/>
              <w:jc w:val="right"/>
              <w:rPr>
                <w:sz w:val="18"/>
              </w:rPr>
            </w:pPr>
            <w:r>
              <w:rPr>
                <w:spacing w:val="-2"/>
                <w:sz w:val="18"/>
              </w:rPr>
              <w:t>7,932</w:t>
            </w:r>
          </w:p>
        </w:tc>
        <w:tc>
          <w:tcPr>
            <w:tcW w:w="1114" w:type="dxa"/>
            <w:tcBorders>
              <w:right w:val="single" w:sz="6" w:space="0" w:color="000000"/>
            </w:tcBorders>
          </w:tcPr>
          <w:p w14:paraId="364F9652" w14:textId="77777777" w:rsidR="00AC6F3C" w:rsidRDefault="00570E88">
            <w:pPr>
              <w:pStyle w:val="TableParagraph"/>
              <w:spacing w:before="43"/>
              <w:ind w:right="21"/>
              <w:jc w:val="right"/>
              <w:rPr>
                <w:sz w:val="18"/>
              </w:rPr>
            </w:pPr>
            <w:r>
              <w:rPr>
                <w:spacing w:val="-2"/>
                <w:sz w:val="18"/>
              </w:rPr>
              <w:t>6,630</w:t>
            </w:r>
          </w:p>
        </w:tc>
      </w:tr>
      <w:tr w:rsidR="00AC6F3C" w14:paraId="42D28A4D" w14:textId="77777777">
        <w:trPr>
          <w:trHeight w:val="299"/>
        </w:trPr>
        <w:tc>
          <w:tcPr>
            <w:tcW w:w="3651" w:type="dxa"/>
            <w:tcBorders>
              <w:left w:val="single" w:sz="6" w:space="0" w:color="000000"/>
            </w:tcBorders>
          </w:tcPr>
          <w:p w14:paraId="7C43AB38" w14:textId="77777777" w:rsidR="00AC6F3C" w:rsidRDefault="00570E88">
            <w:pPr>
              <w:pStyle w:val="TableParagraph"/>
              <w:spacing w:before="43"/>
              <w:ind w:left="37"/>
              <w:rPr>
                <w:sz w:val="18"/>
              </w:rPr>
            </w:pPr>
            <w:r>
              <w:rPr>
                <w:sz w:val="18"/>
              </w:rPr>
              <w:t>Employee</w:t>
            </w:r>
            <w:r>
              <w:rPr>
                <w:spacing w:val="5"/>
                <w:sz w:val="18"/>
              </w:rPr>
              <w:t xml:space="preserve"> </w:t>
            </w:r>
            <w:r>
              <w:rPr>
                <w:spacing w:val="-2"/>
                <w:sz w:val="18"/>
              </w:rPr>
              <w:t>expenses</w:t>
            </w:r>
          </w:p>
        </w:tc>
        <w:tc>
          <w:tcPr>
            <w:tcW w:w="900" w:type="dxa"/>
          </w:tcPr>
          <w:p w14:paraId="4B0C8F02" w14:textId="77777777" w:rsidR="00AC6F3C" w:rsidRDefault="00570E88">
            <w:pPr>
              <w:pStyle w:val="TableParagraph"/>
              <w:spacing w:before="43"/>
              <w:ind w:left="133" w:right="121"/>
              <w:jc w:val="center"/>
              <w:rPr>
                <w:sz w:val="18"/>
              </w:rPr>
            </w:pPr>
            <w:r>
              <w:rPr>
                <w:spacing w:val="-2"/>
                <w:sz w:val="18"/>
              </w:rPr>
              <w:t>B2-</w:t>
            </w:r>
            <w:r>
              <w:rPr>
                <w:spacing w:val="-10"/>
                <w:sz w:val="18"/>
              </w:rPr>
              <w:t>3</w:t>
            </w:r>
          </w:p>
        </w:tc>
        <w:tc>
          <w:tcPr>
            <w:tcW w:w="1136" w:type="dxa"/>
            <w:shd w:val="clear" w:color="auto" w:fill="F1F1F1"/>
          </w:tcPr>
          <w:p w14:paraId="3BD72FBF" w14:textId="77777777" w:rsidR="00AC6F3C" w:rsidRDefault="00570E88">
            <w:pPr>
              <w:pStyle w:val="TableParagraph"/>
              <w:spacing w:before="43"/>
              <w:ind w:right="36"/>
              <w:jc w:val="right"/>
              <w:rPr>
                <w:sz w:val="18"/>
              </w:rPr>
            </w:pPr>
            <w:r>
              <w:rPr>
                <w:spacing w:val="-2"/>
                <w:sz w:val="18"/>
              </w:rPr>
              <w:t>17,051</w:t>
            </w:r>
          </w:p>
        </w:tc>
        <w:tc>
          <w:tcPr>
            <w:tcW w:w="1106" w:type="dxa"/>
          </w:tcPr>
          <w:p w14:paraId="494F7B11" w14:textId="77777777" w:rsidR="00AC6F3C" w:rsidRDefault="00570E88">
            <w:pPr>
              <w:pStyle w:val="TableParagraph"/>
              <w:spacing w:before="43"/>
              <w:ind w:right="21"/>
              <w:jc w:val="right"/>
              <w:rPr>
                <w:sz w:val="18"/>
              </w:rPr>
            </w:pPr>
            <w:r>
              <w:rPr>
                <w:spacing w:val="-2"/>
                <w:sz w:val="18"/>
              </w:rPr>
              <w:t>15,521</w:t>
            </w:r>
          </w:p>
        </w:tc>
        <w:tc>
          <w:tcPr>
            <w:tcW w:w="1136" w:type="dxa"/>
            <w:shd w:val="clear" w:color="auto" w:fill="F1F1F1"/>
          </w:tcPr>
          <w:p w14:paraId="09311C5D" w14:textId="77777777" w:rsidR="00AC6F3C" w:rsidRDefault="00570E88">
            <w:pPr>
              <w:pStyle w:val="TableParagraph"/>
              <w:spacing w:before="43"/>
              <w:ind w:right="36"/>
              <w:jc w:val="right"/>
              <w:rPr>
                <w:sz w:val="18"/>
              </w:rPr>
            </w:pPr>
            <w:r>
              <w:rPr>
                <w:spacing w:val="-2"/>
                <w:sz w:val="18"/>
              </w:rPr>
              <w:t>12,739</w:t>
            </w:r>
          </w:p>
        </w:tc>
        <w:tc>
          <w:tcPr>
            <w:tcW w:w="1114" w:type="dxa"/>
            <w:tcBorders>
              <w:right w:val="single" w:sz="6" w:space="0" w:color="000000"/>
            </w:tcBorders>
          </w:tcPr>
          <w:p w14:paraId="3C19BF74" w14:textId="77777777" w:rsidR="00AC6F3C" w:rsidRDefault="00570E88">
            <w:pPr>
              <w:pStyle w:val="TableParagraph"/>
              <w:spacing w:before="43"/>
              <w:ind w:right="21"/>
              <w:jc w:val="right"/>
              <w:rPr>
                <w:sz w:val="18"/>
              </w:rPr>
            </w:pPr>
            <w:r>
              <w:rPr>
                <w:spacing w:val="-2"/>
                <w:sz w:val="18"/>
              </w:rPr>
              <w:t>11,267</w:t>
            </w:r>
          </w:p>
        </w:tc>
      </w:tr>
      <w:tr w:rsidR="00AC6F3C" w14:paraId="0626A81D" w14:textId="77777777">
        <w:trPr>
          <w:trHeight w:val="299"/>
        </w:trPr>
        <w:tc>
          <w:tcPr>
            <w:tcW w:w="3651" w:type="dxa"/>
            <w:tcBorders>
              <w:left w:val="single" w:sz="6" w:space="0" w:color="000000"/>
            </w:tcBorders>
          </w:tcPr>
          <w:p w14:paraId="2210788D" w14:textId="77777777" w:rsidR="00AC6F3C" w:rsidRDefault="00570E88">
            <w:pPr>
              <w:pStyle w:val="TableParagraph"/>
              <w:spacing w:before="43"/>
              <w:ind w:left="37"/>
              <w:rPr>
                <w:sz w:val="18"/>
              </w:rPr>
            </w:pPr>
            <w:r>
              <w:rPr>
                <w:sz w:val="18"/>
              </w:rPr>
              <w:t>Borrowing</w:t>
            </w:r>
            <w:r>
              <w:rPr>
                <w:spacing w:val="11"/>
                <w:sz w:val="18"/>
              </w:rPr>
              <w:t xml:space="preserve"> </w:t>
            </w:r>
            <w:r>
              <w:rPr>
                <w:spacing w:val="-2"/>
                <w:sz w:val="18"/>
              </w:rPr>
              <w:t>expenses</w:t>
            </w:r>
          </w:p>
        </w:tc>
        <w:tc>
          <w:tcPr>
            <w:tcW w:w="900" w:type="dxa"/>
          </w:tcPr>
          <w:p w14:paraId="6CED851F" w14:textId="77777777" w:rsidR="00AC6F3C" w:rsidRDefault="00570E88">
            <w:pPr>
              <w:pStyle w:val="TableParagraph"/>
              <w:spacing w:before="43"/>
              <w:ind w:left="133" w:right="121"/>
              <w:jc w:val="center"/>
              <w:rPr>
                <w:sz w:val="18"/>
              </w:rPr>
            </w:pPr>
            <w:r>
              <w:rPr>
                <w:spacing w:val="-2"/>
                <w:sz w:val="18"/>
              </w:rPr>
              <w:t>B2-</w:t>
            </w:r>
            <w:r>
              <w:rPr>
                <w:spacing w:val="-10"/>
                <w:sz w:val="18"/>
              </w:rPr>
              <w:t>4</w:t>
            </w:r>
          </w:p>
        </w:tc>
        <w:tc>
          <w:tcPr>
            <w:tcW w:w="1136" w:type="dxa"/>
            <w:shd w:val="clear" w:color="auto" w:fill="F1F1F1"/>
          </w:tcPr>
          <w:p w14:paraId="6F18F689" w14:textId="77777777" w:rsidR="00AC6F3C" w:rsidRDefault="00570E88">
            <w:pPr>
              <w:pStyle w:val="TableParagraph"/>
              <w:spacing w:before="43"/>
              <w:ind w:right="36"/>
              <w:jc w:val="right"/>
              <w:rPr>
                <w:sz w:val="18"/>
              </w:rPr>
            </w:pPr>
            <w:r>
              <w:rPr>
                <w:spacing w:val="-5"/>
                <w:sz w:val="18"/>
              </w:rPr>
              <w:t>96</w:t>
            </w:r>
          </w:p>
        </w:tc>
        <w:tc>
          <w:tcPr>
            <w:tcW w:w="1106" w:type="dxa"/>
          </w:tcPr>
          <w:p w14:paraId="2BB6E4C6" w14:textId="77777777" w:rsidR="00AC6F3C" w:rsidRDefault="00570E88">
            <w:pPr>
              <w:pStyle w:val="TableParagraph"/>
              <w:spacing w:before="43"/>
              <w:ind w:right="21"/>
              <w:jc w:val="right"/>
              <w:rPr>
                <w:sz w:val="18"/>
              </w:rPr>
            </w:pPr>
            <w:r>
              <w:rPr>
                <w:w w:val="99"/>
                <w:sz w:val="18"/>
              </w:rPr>
              <w:t>-</w:t>
            </w:r>
          </w:p>
        </w:tc>
        <w:tc>
          <w:tcPr>
            <w:tcW w:w="1136" w:type="dxa"/>
            <w:shd w:val="clear" w:color="auto" w:fill="F1F1F1"/>
          </w:tcPr>
          <w:p w14:paraId="22735546" w14:textId="77777777" w:rsidR="00AC6F3C" w:rsidRDefault="00570E88">
            <w:pPr>
              <w:pStyle w:val="TableParagraph"/>
              <w:spacing w:before="43"/>
              <w:ind w:right="36"/>
              <w:jc w:val="right"/>
              <w:rPr>
                <w:sz w:val="18"/>
              </w:rPr>
            </w:pPr>
            <w:r>
              <w:rPr>
                <w:spacing w:val="-5"/>
                <w:sz w:val="18"/>
              </w:rPr>
              <w:t>96</w:t>
            </w:r>
          </w:p>
        </w:tc>
        <w:tc>
          <w:tcPr>
            <w:tcW w:w="1114" w:type="dxa"/>
            <w:tcBorders>
              <w:right w:val="single" w:sz="6" w:space="0" w:color="000000"/>
            </w:tcBorders>
          </w:tcPr>
          <w:p w14:paraId="3D9B3400" w14:textId="77777777" w:rsidR="00AC6F3C" w:rsidRDefault="00570E88">
            <w:pPr>
              <w:pStyle w:val="TableParagraph"/>
              <w:spacing w:before="43"/>
              <w:ind w:right="21"/>
              <w:jc w:val="right"/>
              <w:rPr>
                <w:sz w:val="18"/>
              </w:rPr>
            </w:pPr>
            <w:r>
              <w:rPr>
                <w:w w:val="99"/>
                <w:sz w:val="18"/>
              </w:rPr>
              <w:t>-</w:t>
            </w:r>
          </w:p>
        </w:tc>
      </w:tr>
      <w:tr w:rsidR="00AC6F3C" w14:paraId="22713558" w14:textId="77777777">
        <w:trPr>
          <w:trHeight w:val="299"/>
        </w:trPr>
        <w:tc>
          <w:tcPr>
            <w:tcW w:w="3651" w:type="dxa"/>
            <w:tcBorders>
              <w:left w:val="single" w:sz="6" w:space="0" w:color="000000"/>
            </w:tcBorders>
          </w:tcPr>
          <w:p w14:paraId="140C1849" w14:textId="77777777" w:rsidR="00AC6F3C" w:rsidRDefault="00570E88">
            <w:pPr>
              <w:pStyle w:val="TableParagraph"/>
              <w:spacing w:before="43"/>
              <w:ind w:left="37"/>
              <w:rPr>
                <w:sz w:val="18"/>
              </w:rPr>
            </w:pPr>
            <w:r>
              <w:rPr>
                <w:sz w:val="18"/>
              </w:rPr>
              <w:t>Depreciation</w:t>
            </w:r>
            <w:r>
              <w:rPr>
                <w:spacing w:val="11"/>
                <w:sz w:val="18"/>
              </w:rPr>
              <w:t xml:space="preserve"> </w:t>
            </w:r>
            <w:r>
              <w:rPr>
                <w:sz w:val="18"/>
              </w:rPr>
              <w:t>and</w:t>
            </w:r>
            <w:r>
              <w:rPr>
                <w:spacing w:val="11"/>
                <w:sz w:val="18"/>
              </w:rPr>
              <w:t xml:space="preserve"> </w:t>
            </w:r>
            <w:proofErr w:type="spellStart"/>
            <w:r>
              <w:rPr>
                <w:spacing w:val="-2"/>
                <w:sz w:val="18"/>
              </w:rPr>
              <w:t>amortisation</w:t>
            </w:r>
            <w:proofErr w:type="spellEnd"/>
          </w:p>
        </w:tc>
        <w:tc>
          <w:tcPr>
            <w:tcW w:w="900" w:type="dxa"/>
          </w:tcPr>
          <w:p w14:paraId="2F0C6164" w14:textId="77777777" w:rsidR="00AC6F3C" w:rsidRDefault="00570E88">
            <w:pPr>
              <w:pStyle w:val="TableParagraph"/>
              <w:spacing w:before="43"/>
              <w:ind w:left="138" w:right="121"/>
              <w:jc w:val="center"/>
              <w:rPr>
                <w:sz w:val="18"/>
              </w:rPr>
            </w:pPr>
            <w:r>
              <w:rPr>
                <w:spacing w:val="-5"/>
                <w:sz w:val="18"/>
              </w:rPr>
              <w:t>C5</w:t>
            </w:r>
          </w:p>
        </w:tc>
        <w:tc>
          <w:tcPr>
            <w:tcW w:w="1136" w:type="dxa"/>
            <w:shd w:val="clear" w:color="auto" w:fill="F1F1F1"/>
          </w:tcPr>
          <w:p w14:paraId="09010E00" w14:textId="77777777" w:rsidR="00AC6F3C" w:rsidRDefault="00570E88">
            <w:pPr>
              <w:pStyle w:val="TableParagraph"/>
              <w:spacing w:before="43"/>
              <w:ind w:right="35"/>
              <w:jc w:val="right"/>
              <w:rPr>
                <w:sz w:val="18"/>
              </w:rPr>
            </w:pPr>
            <w:r>
              <w:rPr>
                <w:spacing w:val="-2"/>
                <w:sz w:val="18"/>
              </w:rPr>
              <w:t>1,726</w:t>
            </w:r>
          </w:p>
        </w:tc>
        <w:tc>
          <w:tcPr>
            <w:tcW w:w="1106" w:type="dxa"/>
          </w:tcPr>
          <w:p w14:paraId="0882D338" w14:textId="77777777" w:rsidR="00AC6F3C" w:rsidRDefault="00570E88">
            <w:pPr>
              <w:pStyle w:val="TableParagraph"/>
              <w:spacing w:before="43"/>
              <w:ind w:right="21"/>
              <w:jc w:val="right"/>
              <w:rPr>
                <w:sz w:val="18"/>
              </w:rPr>
            </w:pPr>
            <w:r>
              <w:rPr>
                <w:spacing w:val="-2"/>
                <w:sz w:val="18"/>
              </w:rPr>
              <w:t>1,603</w:t>
            </w:r>
          </w:p>
        </w:tc>
        <w:tc>
          <w:tcPr>
            <w:tcW w:w="1136" w:type="dxa"/>
            <w:shd w:val="clear" w:color="auto" w:fill="F1F1F1"/>
          </w:tcPr>
          <w:p w14:paraId="1DEDCE2F" w14:textId="77777777" w:rsidR="00AC6F3C" w:rsidRDefault="00570E88">
            <w:pPr>
              <w:pStyle w:val="TableParagraph"/>
              <w:spacing w:before="43"/>
              <w:ind w:right="36"/>
              <w:jc w:val="right"/>
              <w:rPr>
                <w:sz w:val="18"/>
              </w:rPr>
            </w:pPr>
            <w:r>
              <w:rPr>
                <w:spacing w:val="-2"/>
                <w:sz w:val="18"/>
              </w:rPr>
              <w:t>1,475</w:t>
            </w:r>
          </w:p>
        </w:tc>
        <w:tc>
          <w:tcPr>
            <w:tcW w:w="1114" w:type="dxa"/>
            <w:tcBorders>
              <w:right w:val="single" w:sz="6" w:space="0" w:color="000000"/>
            </w:tcBorders>
          </w:tcPr>
          <w:p w14:paraId="470B9573" w14:textId="77777777" w:rsidR="00AC6F3C" w:rsidRDefault="00570E88">
            <w:pPr>
              <w:pStyle w:val="TableParagraph"/>
              <w:spacing w:before="43"/>
              <w:ind w:right="21"/>
              <w:jc w:val="right"/>
              <w:rPr>
                <w:sz w:val="18"/>
              </w:rPr>
            </w:pPr>
            <w:r>
              <w:rPr>
                <w:spacing w:val="-2"/>
                <w:sz w:val="18"/>
              </w:rPr>
              <w:t>1,359</w:t>
            </w:r>
          </w:p>
        </w:tc>
      </w:tr>
      <w:tr w:rsidR="00AC6F3C" w14:paraId="41563EE1" w14:textId="77777777">
        <w:trPr>
          <w:trHeight w:val="299"/>
        </w:trPr>
        <w:tc>
          <w:tcPr>
            <w:tcW w:w="3651" w:type="dxa"/>
            <w:tcBorders>
              <w:left w:val="single" w:sz="6" w:space="0" w:color="000000"/>
            </w:tcBorders>
          </w:tcPr>
          <w:p w14:paraId="6C183F44" w14:textId="77777777" w:rsidR="00AC6F3C" w:rsidRDefault="00570E88">
            <w:pPr>
              <w:pStyle w:val="TableParagraph"/>
              <w:spacing w:before="43"/>
              <w:ind w:left="37"/>
              <w:rPr>
                <w:sz w:val="18"/>
              </w:rPr>
            </w:pPr>
            <w:r>
              <w:rPr>
                <w:sz w:val="18"/>
              </w:rPr>
              <w:t>Loss</w:t>
            </w:r>
            <w:r>
              <w:rPr>
                <w:spacing w:val="21"/>
                <w:sz w:val="18"/>
              </w:rPr>
              <w:t xml:space="preserve"> </w:t>
            </w:r>
            <w:r>
              <w:rPr>
                <w:sz w:val="18"/>
              </w:rPr>
              <w:t>on</w:t>
            </w:r>
            <w:r>
              <w:rPr>
                <w:spacing w:val="9"/>
                <w:sz w:val="18"/>
              </w:rPr>
              <w:t xml:space="preserve"> </w:t>
            </w:r>
            <w:r>
              <w:rPr>
                <w:sz w:val="18"/>
              </w:rPr>
              <w:t>disposal</w:t>
            </w:r>
            <w:r>
              <w:rPr>
                <w:spacing w:val="9"/>
                <w:sz w:val="18"/>
              </w:rPr>
              <w:t xml:space="preserve"> </w:t>
            </w:r>
            <w:r>
              <w:rPr>
                <w:sz w:val="18"/>
              </w:rPr>
              <w:t>of</w:t>
            </w:r>
            <w:r>
              <w:rPr>
                <w:spacing w:val="-3"/>
                <w:sz w:val="18"/>
              </w:rPr>
              <w:t xml:space="preserve"> </w:t>
            </w:r>
            <w:r>
              <w:rPr>
                <w:sz w:val="18"/>
              </w:rPr>
              <w:t>fixed</w:t>
            </w:r>
            <w:r>
              <w:rPr>
                <w:spacing w:val="9"/>
                <w:sz w:val="18"/>
              </w:rPr>
              <w:t xml:space="preserve"> </w:t>
            </w:r>
            <w:r>
              <w:rPr>
                <w:spacing w:val="-2"/>
                <w:sz w:val="18"/>
              </w:rPr>
              <w:t>assets</w:t>
            </w:r>
          </w:p>
        </w:tc>
        <w:tc>
          <w:tcPr>
            <w:tcW w:w="900" w:type="dxa"/>
          </w:tcPr>
          <w:p w14:paraId="79400CC9" w14:textId="77777777" w:rsidR="00AC6F3C" w:rsidRDefault="00AC6F3C">
            <w:pPr>
              <w:pStyle w:val="TableParagraph"/>
              <w:rPr>
                <w:rFonts w:ascii="Times New Roman"/>
                <w:sz w:val="18"/>
              </w:rPr>
            </w:pPr>
          </w:p>
        </w:tc>
        <w:tc>
          <w:tcPr>
            <w:tcW w:w="1136" w:type="dxa"/>
            <w:shd w:val="clear" w:color="auto" w:fill="F1F1F1"/>
          </w:tcPr>
          <w:p w14:paraId="2937693E" w14:textId="77777777" w:rsidR="00AC6F3C" w:rsidRDefault="00570E88">
            <w:pPr>
              <w:pStyle w:val="TableParagraph"/>
              <w:spacing w:before="43"/>
              <w:ind w:right="35"/>
              <w:jc w:val="right"/>
              <w:rPr>
                <w:sz w:val="18"/>
              </w:rPr>
            </w:pPr>
            <w:r>
              <w:rPr>
                <w:spacing w:val="-2"/>
                <w:sz w:val="18"/>
              </w:rPr>
              <w:t>1,521</w:t>
            </w:r>
          </w:p>
        </w:tc>
        <w:tc>
          <w:tcPr>
            <w:tcW w:w="1106" w:type="dxa"/>
          </w:tcPr>
          <w:p w14:paraId="4DCD2A7E" w14:textId="77777777" w:rsidR="00AC6F3C" w:rsidRDefault="00570E88">
            <w:pPr>
              <w:pStyle w:val="TableParagraph"/>
              <w:spacing w:before="43"/>
              <w:ind w:right="20"/>
              <w:jc w:val="right"/>
              <w:rPr>
                <w:sz w:val="18"/>
              </w:rPr>
            </w:pPr>
            <w:r>
              <w:rPr>
                <w:w w:val="99"/>
                <w:sz w:val="18"/>
              </w:rPr>
              <w:t>-</w:t>
            </w:r>
          </w:p>
        </w:tc>
        <w:tc>
          <w:tcPr>
            <w:tcW w:w="1136" w:type="dxa"/>
            <w:shd w:val="clear" w:color="auto" w:fill="F1F1F1"/>
          </w:tcPr>
          <w:p w14:paraId="52E3FBBD" w14:textId="77777777" w:rsidR="00AC6F3C" w:rsidRDefault="00570E88">
            <w:pPr>
              <w:pStyle w:val="TableParagraph"/>
              <w:spacing w:before="43"/>
              <w:ind w:right="36"/>
              <w:jc w:val="right"/>
              <w:rPr>
                <w:sz w:val="18"/>
              </w:rPr>
            </w:pPr>
            <w:r>
              <w:rPr>
                <w:spacing w:val="-2"/>
                <w:sz w:val="18"/>
              </w:rPr>
              <w:t>1,521</w:t>
            </w:r>
          </w:p>
        </w:tc>
        <w:tc>
          <w:tcPr>
            <w:tcW w:w="1114" w:type="dxa"/>
            <w:tcBorders>
              <w:right w:val="single" w:sz="6" w:space="0" w:color="000000"/>
            </w:tcBorders>
          </w:tcPr>
          <w:p w14:paraId="0F3D64F2" w14:textId="77777777" w:rsidR="00AC6F3C" w:rsidRDefault="00570E88">
            <w:pPr>
              <w:pStyle w:val="TableParagraph"/>
              <w:spacing w:before="43"/>
              <w:ind w:right="21"/>
              <w:jc w:val="right"/>
              <w:rPr>
                <w:sz w:val="18"/>
              </w:rPr>
            </w:pPr>
            <w:r>
              <w:rPr>
                <w:w w:val="99"/>
                <w:sz w:val="18"/>
              </w:rPr>
              <w:t>-</w:t>
            </w:r>
          </w:p>
        </w:tc>
      </w:tr>
      <w:tr w:rsidR="00AC6F3C" w14:paraId="160E6A74" w14:textId="77777777">
        <w:trPr>
          <w:trHeight w:val="299"/>
        </w:trPr>
        <w:tc>
          <w:tcPr>
            <w:tcW w:w="3651" w:type="dxa"/>
            <w:tcBorders>
              <w:left w:val="single" w:sz="6" w:space="0" w:color="000000"/>
            </w:tcBorders>
          </w:tcPr>
          <w:p w14:paraId="24B70299" w14:textId="77777777" w:rsidR="00AC6F3C" w:rsidRDefault="00570E88">
            <w:pPr>
              <w:pStyle w:val="TableParagraph"/>
              <w:spacing w:before="43"/>
              <w:ind w:left="37"/>
              <w:rPr>
                <w:sz w:val="18"/>
              </w:rPr>
            </w:pPr>
            <w:r>
              <w:rPr>
                <w:sz w:val="18"/>
              </w:rPr>
              <w:t>Insurance</w:t>
            </w:r>
            <w:r>
              <w:rPr>
                <w:spacing w:val="16"/>
                <w:sz w:val="18"/>
              </w:rPr>
              <w:t xml:space="preserve"> </w:t>
            </w:r>
            <w:r>
              <w:rPr>
                <w:spacing w:val="-2"/>
                <w:sz w:val="18"/>
              </w:rPr>
              <w:t>claims</w:t>
            </w:r>
          </w:p>
        </w:tc>
        <w:tc>
          <w:tcPr>
            <w:tcW w:w="900" w:type="dxa"/>
          </w:tcPr>
          <w:p w14:paraId="1BEB7EA7" w14:textId="77777777" w:rsidR="00AC6F3C" w:rsidRDefault="00570E88">
            <w:pPr>
              <w:pStyle w:val="TableParagraph"/>
              <w:spacing w:before="43"/>
              <w:ind w:left="133" w:right="121"/>
              <w:jc w:val="center"/>
              <w:rPr>
                <w:sz w:val="18"/>
              </w:rPr>
            </w:pPr>
            <w:r>
              <w:rPr>
                <w:spacing w:val="-2"/>
                <w:sz w:val="18"/>
              </w:rPr>
              <w:t>B1-</w:t>
            </w:r>
            <w:r>
              <w:rPr>
                <w:spacing w:val="-10"/>
                <w:sz w:val="18"/>
              </w:rPr>
              <w:t>4</w:t>
            </w:r>
          </w:p>
        </w:tc>
        <w:tc>
          <w:tcPr>
            <w:tcW w:w="1136" w:type="dxa"/>
            <w:shd w:val="clear" w:color="auto" w:fill="F1F1F1"/>
          </w:tcPr>
          <w:p w14:paraId="346682B1" w14:textId="77777777" w:rsidR="00AC6F3C" w:rsidRDefault="00570E88">
            <w:pPr>
              <w:pStyle w:val="TableParagraph"/>
              <w:spacing w:before="43"/>
              <w:ind w:right="36"/>
              <w:jc w:val="right"/>
              <w:rPr>
                <w:sz w:val="18"/>
              </w:rPr>
            </w:pPr>
            <w:r>
              <w:rPr>
                <w:spacing w:val="-2"/>
                <w:sz w:val="18"/>
              </w:rPr>
              <w:t>23,061</w:t>
            </w:r>
          </w:p>
        </w:tc>
        <w:tc>
          <w:tcPr>
            <w:tcW w:w="1106" w:type="dxa"/>
          </w:tcPr>
          <w:p w14:paraId="5BB098B7" w14:textId="77777777" w:rsidR="00AC6F3C" w:rsidRDefault="00570E88">
            <w:pPr>
              <w:pStyle w:val="TableParagraph"/>
              <w:spacing w:before="43"/>
              <w:ind w:right="21"/>
              <w:jc w:val="right"/>
              <w:rPr>
                <w:sz w:val="18"/>
              </w:rPr>
            </w:pPr>
            <w:r>
              <w:rPr>
                <w:spacing w:val="-2"/>
                <w:sz w:val="18"/>
              </w:rPr>
              <w:t>8,368</w:t>
            </w:r>
          </w:p>
        </w:tc>
        <w:tc>
          <w:tcPr>
            <w:tcW w:w="1136" w:type="dxa"/>
            <w:shd w:val="clear" w:color="auto" w:fill="F1F1F1"/>
          </w:tcPr>
          <w:p w14:paraId="20DF8B36"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3AEC4B38" w14:textId="77777777" w:rsidR="00AC6F3C" w:rsidRDefault="00570E88">
            <w:pPr>
              <w:pStyle w:val="TableParagraph"/>
              <w:spacing w:before="43"/>
              <w:ind w:right="21"/>
              <w:jc w:val="right"/>
              <w:rPr>
                <w:sz w:val="18"/>
              </w:rPr>
            </w:pPr>
            <w:r>
              <w:rPr>
                <w:w w:val="99"/>
                <w:sz w:val="18"/>
              </w:rPr>
              <w:t>-</w:t>
            </w:r>
          </w:p>
        </w:tc>
      </w:tr>
      <w:tr w:rsidR="00AC6F3C" w14:paraId="798BB4E3" w14:textId="77777777">
        <w:trPr>
          <w:trHeight w:val="299"/>
        </w:trPr>
        <w:tc>
          <w:tcPr>
            <w:tcW w:w="3651" w:type="dxa"/>
            <w:tcBorders>
              <w:left w:val="single" w:sz="6" w:space="0" w:color="000000"/>
            </w:tcBorders>
          </w:tcPr>
          <w:p w14:paraId="4216A614" w14:textId="77777777" w:rsidR="00AC6F3C" w:rsidRDefault="00570E88">
            <w:pPr>
              <w:pStyle w:val="TableParagraph"/>
              <w:spacing w:before="43"/>
              <w:ind w:left="37"/>
              <w:rPr>
                <w:sz w:val="18"/>
              </w:rPr>
            </w:pPr>
            <w:r>
              <w:rPr>
                <w:sz w:val="18"/>
              </w:rPr>
              <w:t>Unearned</w:t>
            </w:r>
            <w:r>
              <w:rPr>
                <w:spacing w:val="18"/>
                <w:sz w:val="18"/>
              </w:rPr>
              <w:t xml:space="preserve"> </w:t>
            </w:r>
            <w:r>
              <w:rPr>
                <w:sz w:val="18"/>
              </w:rPr>
              <w:t>premium</w:t>
            </w:r>
            <w:r>
              <w:rPr>
                <w:spacing w:val="32"/>
                <w:sz w:val="18"/>
              </w:rPr>
              <w:t xml:space="preserve"> </w:t>
            </w:r>
            <w:r>
              <w:rPr>
                <w:spacing w:val="-2"/>
                <w:sz w:val="18"/>
              </w:rPr>
              <w:t>reserves</w:t>
            </w:r>
          </w:p>
        </w:tc>
        <w:tc>
          <w:tcPr>
            <w:tcW w:w="900" w:type="dxa"/>
          </w:tcPr>
          <w:p w14:paraId="79EE211B" w14:textId="77777777" w:rsidR="00AC6F3C" w:rsidRDefault="00570E88">
            <w:pPr>
              <w:pStyle w:val="TableParagraph"/>
              <w:spacing w:before="43"/>
              <w:ind w:left="143" w:right="121"/>
              <w:jc w:val="center"/>
              <w:rPr>
                <w:sz w:val="18"/>
              </w:rPr>
            </w:pPr>
            <w:r>
              <w:rPr>
                <w:sz w:val="18"/>
              </w:rPr>
              <w:t>C8-</w:t>
            </w:r>
            <w:r>
              <w:rPr>
                <w:spacing w:val="-4"/>
                <w:sz w:val="18"/>
              </w:rPr>
              <w:t>2(b)</w:t>
            </w:r>
          </w:p>
        </w:tc>
        <w:tc>
          <w:tcPr>
            <w:tcW w:w="1136" w:type="dxa"/>
            <w:shd w:val="clear" w:color="auto" w:fill="F1F1F1"/>
          </w:tcPr>
          <w:p w14:paraId="3F7912D4" w14:textId="77777777" w:rsidR="00AC6F3C" w:rsidRDefault="00570E88">
            <w:pPr>
              <w:pStyle w:val="TableParagraph"/>
              <w:spacing w:before="43"/>
              <w:ind w:right="30"/>
              <w:jc w:val="right"/>
              <w:rPr>
                <w:sz w:val="18"/>
              </w:rPr>
            </w:pPr>
            <w:r>
              <w:rPr>
                <w:spacing w:val="-2"/>
                <w:sz w:val="18"/>
              </w:rPr>
              <w:t>(996)</w:t>
            </w:r>
          </w:p>
        </w:tc>
        <w:tc>
          <w:tcPr>
            <w:tcW w:w="1106" w:type="dxa"/>
          </w:tcPr>
          <w:p w14:paraId="22D418F9" w14:textId="77777777" w:rsidR="00AC6F3C" w:rsidRDefault="00570E88">
            <w:pPr>
              <w:pStyle w:val="TableParagraph"/>
              <w:spacing w:before="43"/>
              <w:ind w:right="15"/>
              <w:jc w:val="right"/>
              <w:rPr>
                <w:sz w:val="18"/>
              </w:rPr>
            </w:pPr>
            <w:r>
              <w:rPr>
                <w:spacing w:val="-2"/>
                <w:sz w:val="18"/>
              </w:rPr>
              <w:t>(1,233)</w:t>
            </w:r>
          </w:p>
        </w:tc>
        <w:tc>
          <w:tcPr>
            <w:tcW w:w="1136" w:type="dxa"/>
            <w:shd w:val="clear" w:color="auto" w:fill="F1F1F1"/>
          </w:tcPr>
          <w:p w14:paraId="3DCEC6A6" w14:textId="77777777" w:rsidR="00AC6F3C" w:rsidRDefault="00570E88">
            <w:pPr>
              <w:pStyle w:val="TableParagraph"/>
              <w:spacing w:before="43"/>
              <w:ind w:right="35"/>
              <w:jc w:val="right"/>
              <w:rPr>
                <w:sz w:val="18"/>
              </w:rPr>
            </w:pPr>
            <w:r>
              <w:rPr>
                <w:w w:val="99"/>
                <w:sz w:val="18"/>
              </w:rPr>
              <w:t>-</w:t>
            </w:r>
          </w:p>
        </w:tc>
        <w:tc>
          <w:tcPr>
            <w:tcW w:w="1114" w:type="dxa"/>
            <w:tcBorders>
              <w:right w:val="single" w:sz="6" w:space="0" w:color="000000"/>
            </w:tcBorders>
          </w:tcPr>
          <w:p w14:paraId="40A79F01" w14:textId="77777777" w:rsidR="00AC6F3C" w:rsidRDefault="00570E88">
            <w:pPr>
              <w:pStyle w:val="TableParagraph"/>
              <w:spacing w:before="43"/>
              <w:ind w:right="21"/>
              <w:jc w:val="right"/>
              <w:rPr>
                <w:sz w:val="18"/>
              </w:rPr>
            </w:pPr>
            <w:r>
              <w:rPr>
                <w:w w:val="99"/>
                <w:sz w:val="18"/>
              </w:rPr>
              <w:t>-</w:t>
            </w:r>
          </w:p>
        </w:tc>
      </w:tr>
      <w:tr w:rsidR="00AC6F3C" w14:paraId="2FFC3282" w14:textId="77777777">
        <w:trPr>
          <w:trHeight w:val="299"/>
        </w:trPr>
        <w:tc>
          <w:tcPr>
            <w:tcW w:w="3651" w:type="dxa"/>
            <w:tcBorders>
              <w:left w:val="single" w:sz="6" w:space="0" w:color="000000"/>
            </w:tcBorders>
          </w:tcPr>
          <w:p w14:paraId="7FA76C43" w14:textId="77777777" w:rsidR="00AC6F3C" w:rsidRDefault="00570E88">
            <w:pPr>
              <w:pStyle w:val="TableParagraph"/>
              <w:spacing w:before="43"/>
              <w:ind w:left="37"/>
              <w:rPr>
                <w:sz w:val="18"/>
              </w:rPr>
            </w:pPr>
            <w:r>
              <w:rPr>
                <w:sz w:val="18"/>
              </w:rPr>
              <w:t>Reinsurance</w:t>
            </w:r>
            <w:r>
              <w:rPr>
                <w:spacing w:val="32"/>
                <w:sz w:val="18"/>
              </w:rPr>
              <w:t xml:space="preserve"> </w:t>
            </w:r>
            <w:r>
              <w:rPr>
                <w:spacing w:val="-2"/>
                <w:sz w:val="18"/>
              </w:rPr>
              <w:t>costs</w:t>
            </w:r>
          </w:p>
        </w:tc>
        <w:tc>
          <w:tcPr>
            <w:tcW w:w="900" w:type="dxa"/>
          </w:tcPr>
          <w:p w14:paraId="54F133A9" w14:textId="77777777" w:rsidR="00AC6F3C" w:rsidRDefault="00570E88">
            <w:pPr>
              <w:pStyle w:val="TableParagraph"/>
              <w:spacing w:before="43"/>
              <w:ind w:left="133" w:right="121"/>
              <w:jc w:val="center"/>
              <w:rPr>
                <w:sz w:val="18"/>
              </w:rPr>
            </w:pPr>
            <w:r>
              <w:rPr>
                <w:spacing w:val="-2"/>
                <w:sz w:val="18"/>
              </w:rPr>
              <w:t>B1-</w:t>
            </w:r>
            <w:r>
              <w:rPr>
                <w:spacing w:val="-10"/>
                <w:sz w:val="18"/>
              </w:rPr>
              <w:t>4</w:t>
            </w:r>
          </w:p>
        </w:tc>
        <w:tc>
          <w:tcPr>
            <w:tcW w:w="1136" w:type="dxa"/>
            <w:shd w:val="clear" w:color="auto" w:fill="F1F1F1"/>
          </w:tcPr>
          <w:p w14:paraId="4457B4D5" w14:textId="77777777" w:rsidR="00AC6F3C" w:rsidRDefault="00570E88">
            <w:pPr>
              <w:pStyle w:val="TableParagraph"/>
              <w:spacing w:before="43"/>
              <w:ind w:right="36"/>
              <w:jc w:val="right"/>
              <w:rPr>
                <w:sz w:val="18"/>
              </w:rPr>
            </w:pPr>
            <w:r>
              <w:rPr>
                <w:spacing w:val="-2"/>
                <w:sz w:val="18"/>
              </w:rPr>
              <w:t>2,314</w:t>
            </w:r>
          </w:p>
        </w:tc>
        <w:tc>
          <w:tcPr>
            <w:tcW w:w="1106" w:type="dxa"/>
          </w:tcPr>
          <w:p w14:paraId="73C1326E" w14:textId="77777777" w:rsidR="00AC6F3C" w:rsidRDefault="00570E88">
            <w:pPr>
              <w:pStyle w:val="TableParagraph"/>
              <w:spacing w:before="43"/>
              <w:ind w:right="21"/>
              <w:jc w:val="right"/>
              <w:rPr>
                <w:sz w:val="18"/>
              </w:rPr>
            </w:pPr>
            <w:r>
              <w:rPr>
                <w:spacing w:val="-2"/>
                <w:sz w:val="18"/>
              </w:rPr>
              <w:t>2,264</w:t>
            </w:r>
          </w:p>
        </w:tc>
        <w:tc>
          <w:tcPr>
            <w:tcW w:w="1136" w:type="dxa"/>
            <w:shd w:val="clear" w:color="auto" w:fill="F1F1F1"/>
          </w:tcPr>
          <w:p w14:paraId="55B8AB1C"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28892279" w14:textId="77777777" w:rsidR="00AC6F3C" w:rsidRDefault="00570E88">
            <w:pPr>
              <w:pStyle w:val="TableParagraph"/>
              <w:spacing w:before="43"/>
              <w:ind w:right="21"/>
              <w:jc w:val="right"/>
              <w:rPr>
                <w:sz w:val="18"/>
              </w:rPr>
            </w:pPr>
            <w:r>
              <w:rPr>
                <w:w w:val="99"/>
                <w:sz w:val="18"/>
              </w:rPr>
              <w:t>-</w:t>
            </w:r>
          </w:p>
        </w:tc>
      </w:tr>
      <w:tr w:rsidR="00AC6F3C" w14:paraId="2D87B319" w14:textId="77777777">
        <w:trPr>
          <w:trHeight w:val="299"/>
        </w:trPr>
        <w:tc>
          <w:tcPr>
            <w:tcW w:w="3651" w:type="dxa"/>
            <w:tcBorders>
              <w:left w:val="single" w:sz="6" w:space="0" w:color="000000"/>
            </w:tcBorders>
          </w:tcPr>
          <w:p w14:paraId="792A61B1" w14:textId="77777777" w:rsidR="00AC6F3C" w:rsidRDefault="00570E88">
            <w:pPr>
              <w:pStyle w:val="TableParagraph"/>
              <w:spacing w:before="43"/>
              <w:ind w:left="37"/>
              <w:rPr>
                <w:sz w:val="18"/>
              </w:rPr>
            </w:pPr>
            <w:r>
              <w:rPr>
                <w:sz w:val="18"/>
              </w:rPr>
              <w:t>Stamp</w:t>
            </w:r>
            <w:r>
              <w:rPr>
                <w:spacing w:val="6"/>
                <w:sz w:val="18"/>
              </w:rPr>
              <w:t xml:space="preserve"> </w:t>
            </w:r>
            <w:r>
              <w:rPr>
                <w:spacing w:val="-4"/>
                <w:sz w:val="18"/>
              </w:rPr>
              <w:t>duty</w:t>
            </w:r>
          </w:p>
        </w:tc>
        <w:tc>
          <w:tcPr>
            <w:tcW w:w="900" w:type="dxa"/>
          </w:tcPr>
          <w:p w14:paraId="69F2B38B" w14:textId="77777777" w:rsidR="00AC6F3C" w:rsidRDefault="00570E88">
            <w:pPr>
              <w:pStyle w:val="TableParagraph"/>
              <w:spacing w:before="43"/>
              <w:ind w:left="133" w:right="121"/>
              <w:jc w:val="center"/>
              <w:rPr>
                <w:sz w:val="18"/>
              </w:rPr>
            </w:pPr>
            <w:r>
              <w:rPr>
                <w:spacing w:val="-2"/>
                <w:sz w:val="18"/>
              </w:rPr>
              <w:t>B1-</w:t>
            </w:r>
            <w:r>
              <w:rPr>
                <w:spacing w:val="-10"/>
                <w:sz w:val="18"/>
              </w:rPr>
              <w:t>4</w:t>
            </w:r>
          </w:p>
        </w:tc>
        <w:tc>
          <w:tcPr>
            <w:tcW w:w="1136" w:type="dxa"/>
            <w:shd w:val="clear" w:color="auto" w:fill="F1F1F1"/>
          </w:tcPr>
          <w:p w14:paraId="1EDEB93C" w14:textId="77777777" w:rsidR="00AC6F3C" w:rsidRDefault="00570E88">
            <w:pPr>
              <w:pStyle w:val="TableParagraph"/>
              <w:spacing w:before="43"/>
              <w:ind w:right="36"/>
              <w:jc w:val="right"/>
              <w:rPr>
                <w:sz w:val="18"/>
              </w:rPr>
            </w:pPr>
            <w:r>
              <w:rPr>
                <w:spacing w:val="-2"/>
                <w:sz w:val="18"/>
              </w:rPr>
              <w:t>2,420</w:t>
            </w:r>
          </w:p>
        </w:tc>
        <w:tc>
          <w:tcPr>
            <w:tcW w:w="1106" w:type="dxa"/>
          </w:tcPr>
          <w:p w14:paraId="6174EF30" w14:textId="77777777" w:rsidR="00AC6F3C" w:rsidRDefault="00570E88">
            <w:pPr>
              <w:pStyle w:val="TableParagraph"/>
              <w:spacing w:before="43"/>
              <w:ind w:right="21"/>
              <w:jc w:val="right"/>
              <w:rPr>
                <w:sz w:val="18"/>
              </w:rPr>
            </w:pPr>
            <w:r>
              <w:rPr>
                <w:spacing w:val="-2"/>
                <w:sz w:val="18"/>
              </w:rPr>
              <w:t>2,133</w:t>
            </w:r>
          </w:p>
        </w:tc>
        <w:tc>
          <w:tcPr>
            <w:tcW w:w="1136" w:type="dxa"/>
            <w:shd w:val="clear" w:color="auto" w:fill="F1F1F1"/>
          </w:tcPr>
          <w:p w14:paraId="5E08EDB6" w14:textId="77777777" w:rsidR="00AC6F3C" w:rsidRDefault="00570E88">
            <w:pPr>
              <w:pStyle w:val="TableParagraph"/>
              <w:spacing w:before="43"/>
              <w:ind w:right="36"/>
              <w:jc w:val="right"/>
              <w:rPr>
                <w:sz w:val="18"/>
              </w:rPr>
            </w:pPr>
            <w:r>
              <w:rPr>
                <w:w w:val="99"/>
                <w:sz w:val="18"/>
              </w:rPr>
              <w:t>-</w:t>
            </w:r>
          </w:p>
        </w:tc>
        <w:tc>
          <w:tcPr>
            <w:tcW w:w="1114" w:type="dxa"/>
            <w:tcBorders>
              <w:right w:val="single" w:sz="6" w:space="0" w:color="000000"/>
            </w:tcBorders>
          </w:tcPr>
          <w:p w14:paraId="179440D4" w14:textId="77777777" w:rsidR="00AC6F3C" w:rsidRDefault="00570E88">
            <w:pPr>
              <w:pStyle w:val="TableParagraph"/>
              <w:spacing w:before="43"/>
              <w:ind w:right="21"/>
              <w:jc w:val="right"/>
              <w:rPr>
                <w:sz w:val="18"/>
              </w:rPr>
            </w:pPr>
            <w:r>
              <w:rPr>
                <w:w w:val="99"/>
                <w:sz w:val="18"/>
              </w:rPr>
              <w:t>-</w:t>
            </w:r>
          </w:p>
        </w:tc>
      </w:tr>
      <w:tr w:rsidR="00AC6F3C" w14:paraId="48988F47" w14:textId="77777777">
        <w:trPr>
          <w:trHeight w:val="286"/>
        </w:trPr>
        <w:tc>
          <w:tcPr>
            <w:tcW w:w="3651" w:type="dxa"/>
            <w:tcBorders>
              <w:left w:val="single" w:sz="6" w:space="0" w:color="000000"/>
              <w:bottom w:val="single" w:sz="6" w:space="0" w:color="000000"/>
            </w:tcBorders>
          </w:tcPr>
          <w:p w14:paraId="49EE94C2" w14:textId="77777777" w:rsidR="00AC6F3C" w:rsidRDefault="00570E88">
            <w:pPr>
              <w:pStyle w:val="TableParagraph"/>
              <w:spacing w:before="43"/>
              <w:ind w:left="37"/>
              <w:rPr>
                <w:sz w:val="18"/>
              </w:rPr>
            </w:pPr>
            <w:r>
              <w:rPr>
                <w:sz w:val="18"/>
              </w:rPr>
              <w:t>Brokerage</w:t>
            </w:r>
            <w:r>
              <w:rPr>
                <w:spacing w:val="5"/>
                <w:sz w:val="18"/>
              </w:rPr>
              <w:t xml:space="preserve"> </w:t>
            </w:r>
            <w:r>
              <w:rPr>
                <w:spacing w:val="-4"/>
                <w:sz w:val="18"/>
              </w:rPr>
              <w:t>fees</w:t>
            </w:r>
          </w:p>
        </w:tc>
        <w:tc>
          <w:tcPr>
            <w:tcW w:w="900" w:type="dxa"/>
            <w:tcBorders>
              <w:bottom w:val="single" w:sz="6" w:space="0" w:color="000000"/>
            </w:tcBorders>
          </w:tcPr>
          <w:p w14:paraId="60CDA5AD" w14:textId="77777777" w:rsidR="00AC6F3C" w:rsidRDefault="00AC6F3C">
            <w:pPr>
              <w:pStyle w:val="TableParagraph"/>
              <w:rPr>
                <w:rFonts w:ascii="Times New Roman"/>
                <w:sz w:val="18"/>
              </w:rPr>
            </w:pPr>
          </w:p>
        </w:tc>
        <w:tc>
          <w:tcPr>
            <w:tcW w:w="1136" w:type="dxa"/>
            <w:tcBorders>
              <w:bottom w:val="single" w:sz="6" w:space="0" w:color="000000"/>
            </w:tcBorders>
            <w:shd w:val="clear" w:color="auto" w:fill="F1F1F1"/>
          </w:tcPr>
          <w:p w14:paraId="4C59B776" w14:textId="77777777" w:rsidR="00AC6F3C" w:rsidRDefault="00570E88">
            <w:pPr>
              <w:pStyle w:val="TableParagraph"/>
              <w:spacing w:before="43"/>
              <w:ind w:right="36"/>
              <w:jc w:val="right"/>
              <w:rPr>
                <w:sz w:val="18"/>
              </w:rPr>
            </w:pPr>
            <w:r>
              <w:rPr>
                <w:spacing w:val="-5"/>
                <w:sz w:val="18"/>
              </w:rPr>
              <w:t>145</w:t>
            </w:r>
          </w:p>
        </w:tc>
        <w:tc>
          <w:tcPr>
            <w:tcW w:w="1106" w:type="dxa"/>
            <w:tcBorders>
              <w:bottom w:val="single" w:sz="6" w:space="0" w:color="000000"/>
            </w:tcBorders>
          </w:tcPr>
          <w:p w14:paraId="28E00D00" w14:textId="77777777" w:rsidR="00AC6F3C" w:rsidRDefault="00570E88">
            <w:pPr>
              <w:pStyle w:val="TableParagraph"/>
              <w:spacing w:before="43"/>
              <w:ind w:right="21"/>
              <w:jc w:val="right"/>
              <w:rPr>
                <w:sz w:val="18"/>
              </w:rPr>
            </w:pPr>
            <w:r>
              <w:rPr>
                <w:spacing w:val="-5"/>
                <w:sz w:val="18"/>
              </w:rPr>
              <w:t>145</w:t>
            </w:r>
          </w:p>
        </w:tc>
        <w:tc>
          <w:tcPr>
            <w:tcW w:w="1136" w:type="dxa"/>
            <w:tcBorders>
              <w:bottom w:val="single" w:sz="6" w:space="0" w:color="000000"/>
            </w:tcBorders>
            <w:shd w:val="clear" w:color="auto" w:fill="F1F1F1"/>
          </w:tcPr>
          <w:p w14:paraId="365F7864" w14:textId="77777777" w:rsidR="00AC6F3C" w:rsidRDefault="00570E88">
            <w:pPr>
              <w:pStyle w:val="TableParagraph"/>
              <w:spacing w:before="43"/>
              <w:ind w:right="36"/>
              <w:jc w:val="right"/>
              <w:rPr>
                <w:sz w:val="18"/>
              </w:rPr>
            </w:pPr>
            <w:r>
              <w:rPr>
                <w:w w:val="99"/>
                <w:sz w:val="18"/>
              </w:rPr>
              <w:t>-</w:t>
            </w:r>
          </w:p>
        </w:tc>
        <w:tc>
          <w:tcPr>
            <w:tcW w:w="1114" w:type="dxa"/>
            <w:tcBorders>
              <w:bottom w:val="single" w:sz="6" w:space="0" w:color="000000"/>
              <w:right w:val="single" w:sz="6" w:space="0" w:color="000000"/>
            </w:tcBorders>
          </w:tcPr>
          <w:p w14:paraId="079A616F" w14:textId="77777777" w:rsidR="00AC6F3C" w:rsidRDefault="00570E88">
            <w:pPr>
              <w:pStyle w:val="TableParagraph"/>
              <w:spacing w:before="43"/>
              <w:ind w:right="21"/>
              <w:jc w:val="right"/>
              <w:rPr>
                <w:sz w:val="18"/>
              </w:rPr>
            </w:pPr>
            <w:r>
              <w:rPr>
                <w:w w:val="99"/>
                <w:sz w:val="18"/>
              </w:rPr>
              <w:t>-</w:t>
            </w:r>
          </w:p>
        </w:tc>
      </w:tr>
      <w:tr w:rsidR="00AC6F3C" w14:paraId="5760BBD6" w14:textId="77777777">
        <w:trPr>
          <w:trHeight w:val="284"/>
        </w:trPr>
        <w:tc>
          <w:tcPr>
            <w:tcW w:w="3651" w:type="dxa"/>
            <w:tcBorders>
              <w:top w:val="single" w:sz="6" w:space="0" w:color="000000"/>
              <w:left w:val="single" w:sz="6" w:space="0" w:color="000000"/>
              <w:bottom w:val="single" w:sz="6" w:space="0" w:color="000000"/>
            </w:tcBorders>
            <w:shd w:val="clear" w:color="auto" w:fill="BEBEBE"/>
          </w:tcPr>
          <w:p w14:paraId="1FBD7A3A" w14:textId="77777777" w:rsidR="00AC6F3C" w:rsidRDefault="00570E88">
            <w:pPr>
              <w:pStyle w:val="TableParagraph"/>
              <w:spacing w:before="40"/>
              <w:ind w:left="37"/>
              <w:rPr>
                <w:b/>
                <w:sz w:val="18"/>
              </w:rPr>
            </w:pPr>
            <w:r>
              <w:rPr>
                <w:b/>
                <w:spacing w:val="-4"/>
                <w:sz w:val="18"/>
              </w:rPr>
              <w:t>Total</w:t>
            </w:r>
            <w:r>
              <w:rPr>
                <w:b/>
                <w:spacing w:val="-2"/>
                <w:sz w:val="18"/>
              </w:rPr>
              <w:t xml:space="preserve"> expenses</w:t>
            </w:r>
          </w:p>
        </w:tc>
        <w:tc>
          <w:tcPr>
            <w:tcW w:w="900" w:type="dxa"/>
            <w:tcBorders>
              <w:top w:val="single" w:sz="6" w:space="0" w:color="000000"/>
              <w:bottom w:val="single" w:sz="6" w:space="0" w:color="000000"/>
            </w:tcBorders>
            <w:shd w:val="clear" w:color="auto" w:fill="BEBEBE"/>
          </w:tcPr>
          <w:p w14:paraId="4306B7F8"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BEBEBE"/>
          </w:tcPr>
          <w:p w14:paraId="73CC8812" w14:textId="77777777" w:rsidR="00AC6F3C" w:rsidRDefault="00570E88">
            <w:pPr>
              <w:pStyle w:val="TableParagraph"/>
              <w:spacing w:before="40"/>
              <w:ind w:right="36"/>
              <w:jc w:val="right"/>
              <w:rPr>
                <w:b/>
                <w:sz w:val="18"/>
              </w:rPr>
            </w:pPr>
            <w:r>
              <w:rPr>
                <w:b/>
                <w:spacing w:val="-2"/>
                <w:sz w:val="18"/>
              </w:rPr>
              <w:t>60,111</w:t>
            </w:r>
          </w:p>
        </w:tc>
        <w:tc>
          <w:tcPr>
            <w:tcW w:w="1106" w:type="dxa"/>
            <w:tcBorders>
              <w:top w:val="single" w:sz="6" w:space="0" w:color="000000"/>
              <w:bottom w:val="single" w:sz="6" w:space="0" w:color="000000"/>
            </w:tcBorders>
            <w:shd w:val="clear" w:color="auto" w:fill="BEBEBE"/>
          </w:tcPr>
          <w:p w14:paraId="088D18B9" w14:textId="77777777" w:rsidR="00AC6F3C" w:rsidRDefault="00570E88">
            <w:pPr>
              <w:pStyle w:val="TableParagraph"/>
              <w:spacing w:before="40"/>
              <w:ind w:right="21"/>
              <w:jc w:val="right"/>
              <w:rPr>
                <w:b/>
                <w:sz w:val="18"/>
              </w:rPr>
            </w:pPr>
            <w:r>
              <w:rPr>
                <w:b/>
                <w:spacing w:val="-2"/>
                <w:sz w:val="18"/>
              </w:rPr>
              <w:t>39,218</w:t>
            </w:r>
          </w:p>
        </w:tc>
        <w:tc>
          <w:tcPr>
            <w:tcW w:w="1136" w:type="dxa"/>
            <w:tcBorders>
              <w:top w:val="single" w:sz="6" w:space="0" w:color="000000"/>
              <w:bottom w:val="single" w:sz="6" w:space="0" w:color="000000"/>
            </w:tcBorders>
            <w:shd w:val="clear" w:color="auto" w:fill="BEBEBE"/>
          </w:tcPr>
          <w:p w14:paraId="27FA2030" w14:textId="77777777" w:rsidR="00AC6F3C" w:rsidRDefault="00570E88">
            <w:pPr>
              <w:pStyle w:val="TableParagraph"/>
              <w:spacing w:before="40"/>
              <w:ind w:right="36"/>
              <w:jc w:val="right"/>
              <w:rPr>
                <w:b/>
                <w:sz w:val="18"/>
              </w:rPr>
            </w:pPr>
            <w:r>
              <w:rPr>
                <w:b/>
                <w:spacing w:val="-2"/>
                <w:sz w:val="18"/>
              </w:rPr>
              <w:t>25,575</w:t>
            </w:r>
          </w:p>
        </w:tc>
        <w:tc>
          <w:tcPr>
            <w:tcW w:w="1114" w:type="dxa"/>
            <w:tcBorders>
              <w:top w:val="single" w:sz="6" w:space="0" w:color="000000"/>
              <w:bottom w:val="single" w:sz="6" w:space="0" w:color="000000"/>
              <w:right w:val="single" w:sz="6" w:space="0" w:color="000000"/>
            </w:tcBorders>
            <w:shd w:val="clear" w:color="auto" w:fill="BEBEBE"/>
          </w:tcPr>
          <w:p w14:paraId="41B1A701" w14:textId="77777777" w:rsidR="00AC6F3C" w:rsidRDefault="00570E88">
            <w:pPr>
              <w:pStyle w:val="TableParagraph"/>
              <w:spacing w:before="40"/>
              <w:ind w:right="21"/>
              <w:jc w:val="right"/>
              <w:rPr>
                <w:b/>
                <w:sz w:val="18"/>
              </w:rPr>
            </w:pPr>
            <w:r>
              <w:rPr>
                <w:b/>
                <w:spacing w:val="-2"/>
                <w:sz w:val="18"/>
              </w:rPr>
              <w:t>20,778</w:t>
            </w:r>
          </w:p>
        </w:tc>
      </w:tr>
      <w:tr w:rsidR="00AC6F3C" w14:paraId="5D63828F" w14:textId="77777777">
        <w:trPr>
          <w:trHeight w:val="284"/>
        </w:trPr>
        <w:tc>
          <w:tcPr>
            <w:tcW w:w="4551" w:type="dxa"/>
            <w:gridSpan w:val="2"/>
            <w:tcBorders>
              <w:top w:val="single" w:sz="6" w:space="0" w:color="000000"/>
              <w:left w:val="single" w:sz="6" w:space="0" w:color="000000"/>
              <w:bottom w:val="single" w:sz="6" w:space="0" w:color="000000"/>
            </w:tcBorders>
          </w:tcPr>
          <w:p w14:paraId="3512DEDA"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F1F1F1"/>
          </w:tcPr>
          <w:p w14:paraId="2FFC306E" w14:textId="77777777" w:rsidR="00AC6F3C" w:rsidRDefault="00AC6F3C">
            <w:pPr>
              <w:pStyle w:val="TableParagraph"/>
              <w:rPr>
                <w:rFonts w:ascii="Times New Roman"/>
                <w:sz w:val="18"/>
              </w:rPr>
            </w:pPr>
          </w:p>
        </w:tc>
        <w:tc>
          <w:tcPr>
            <w:tcW w:w="1106" w:type="dxa"/>
            <w:tcBorders>
              <w:top w:val="single" w:sz="6" w:space="0" w:color="000000"/>
              <w:bottom w:val="single" w:sz="6" w:space="0" w:color="000000"/>
            </w:tcBorders>
          </w:tcPr>
          <w:p w14:paraId="78DAC0A0"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F1F1F1"/>
          </w:tcPr>
          <w:p w14:paraId="7B1CC411" w14:textId="77777777" w:rsidR="00AC6F3C" w:rsidRDefault="00AC6F3C">
            <w:pPr>
              <w:pStyle w:val="TableParagraph"/>
              <w:rPr>
                <w:rFonts w:ascii="Times New Roman"/>
                <w:sz w:val="18"/>
              </w:rPr>
            </w:pPr>
          </w:p>
        </w:tc>
        <w:tc>
          <w:tcPr>
            <w:tcW w:w="1114" w:type="dxa"/>
            <w:tcBorders>
              <w:top w:val="single" w:sz="6" w:space="0" w:color="000000"/>
              <w:bottom w:val="single" w:sz="6" w:space="0" w:color="000000"/>
              <w:right w:val="single" w:sz="6" w:space="0" w:color="000000"/>
            </w:tcBorders>
          </w:tcPr>
          <w:p w14:paraId="199AA974" w14:textId="77777777" w:rsidR="00AC6F3C" w:rsidRDefault="00AC6F3C">
            <w:pPr>
              <w:pStyle w:val="TableParagraph"/>
              <w:rPr>
                <w:rFonts w:ascii="Times New Roman"/>
                <w:sz w:val="18"/>
              </w:rPr>
            </w:pPr>
          </w:p>
        </w:tc>
      </w:tr>
      <w:tr w:rsidR="00AC6F3C" w14:paraId="7275585C" w14:textId="77777777">
        <w:trPr>
          <w:trHeight w:val="463"/>
        </w:trPr>
        <w:tc>
          <w:tcPr>
            <w:tcW w:w="3651" w:type="dxa"/>
            <w:tcBorders>
              <w:top w:val="single" w:sz="6" w:space="0" w:color="000000"/>
              <w:left w:val="single" w:sz="6" w:space="0" w:color="000000"/>
              <w:bottom w:val="single" w:sz="6" w:space="0" w:color="000000"/>
            </w:tcBorders>
            <w:shd w:val="clear" w:color="auto" w:fill="BEBEBE"/>
          </w:tcPr>
          <w:p w14:paraId="4D94835C" w14:textId="77777777" w:rsidR="00AC6F3C" w:rsidRDefault="00570E88">
            <w:pPr>
              <w:pStyle w:val="TableParagraph"/>
              <w:spacing w:before="10"/>
              <w:ind w:left="37"/>
              <w:rPr>
                <w:b/>
                <w:sz w:val="18"/>
              </w:rPr>
            </w:pPr>
            <w:r>
              <w:rPr>
                <w:b/>
                <w:spacing w:val="-2"/>
                <w:sz w:val="18"/>
              </w:rPr>
              <w:t>Operating</w:t>
            </w:r>
            <w:r>
              <w:rPr>
                <w:b/>
                <w:spacing w:val="-11"/>
                <w:sz w:val="18"/>
              </w:rPr>
              <w:t xml:space="preserve"> </w:t>
            </w:r>
            <w:r>
              <w:rPr>
                <w:b/>
                <w:spacing w:val="-2"/>
                <w:sz w:val="18"/>
              </w:rPr>
              <w:t>(deficit)/surplus</w:t>
            </w:r>
            <w:r>
              <w:rPr>
                <w:b/>
                <w:spacing w:val="-8"/>
                <w:sz w:val="18"/>
              </w:rPr>
              <w:t xml:space="preserve"> </w:t>
            </w:r>
            <w:r>
              <w:rPr>
                <w:b/>
                <w:spacing w:val="-2"/>
                <w:sz w:val="18"/>
              </w:rPr>
              <w:t>before</w:t>
            </w:r>
            <w:r>
              <w:rPr>
                <w:b/>
                <w:spacing w:val="-4"/>
                <w:sz w:val="18"/>
              </w:rPr>
              <w:t xml:space="preserve"> </w:t>
            </w:r>
            <w:r>
              <w:rPr>
                <w:b/>
                <w:spacing w:val="-2"/>
                <w:sz w:val="18"/>
              </w:rPr>
              <w:t>income</w:t>
            </w:r>
          </w:p>
          <w:p w14:paraId="55805156" w14:textId="77777777" w:rsidR="00AC6F3C" w:rsidRDefault="00570E88">
            <w:pPr>
              <w:pStyle w:val="TableParagraph"/>
              <w:spacing w:before="33" w:line="194" w:lineRule="exact"/>
              <w:ind w:left="37"/>
              <w:rPr>
                <w:b/>
                <w:sz w:val="18"/>
              </w:rPr>
            </w:pPr>
            <w:r>
              <w:rPr>
                <w:b/>
                <w:spacing w:val="-5"/>
                <w:sz w:val="18"/>
              </w:rPr>
              <w:t>tax</w:t>
            </w:r>
          </w:p>
        </w:tc>
        <w:tc>
          <w:tcPr>
            <w:tcW w:w="900" w:type="dxa"/>
            <w:tcBorders>
              <w:top w:val="single" w:sz="6" w:space="0" w:color="000000"/>
              <w:bottom w:val="single" w:sz="6" w:space="0" w:color="000000"/>
            </w:tcBorders>
            <w:shd w:val="clear" w:color="auto" w:fill="BEBEBE"/>
          </w:tcPr>
          <w:p w14:paraId="36BD462E"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BEBEBE"/>
          </w:tcPr>
          <w:p w14:paraId="163A28CE" w14:textId="77777777" w:rsidR="00AC6F3C" w:rsidRDefault="00570E88">
            <w:pPr>
              <w:pStyle w:val="TableParagraph"/>
              <w:spacing w:before="130"/>
              <w:ind w:right="37"/>
              <w:jc w:val="right"/>
              <w:rPr>
                <w:b/>
                <w:sz w:val="18"/>
              </w:rPr>
            </w:pPr>
            <w:r>
              <w:rPr>
                <w:b/>
                <w:spacing w:val="-2"/>
                <w:sz w:val="18"/>
              </w:rPr>
              <w:t>14,090</w:t>
            </w:r>
          </w:p>
        </w:tc>
        <w:tc>
          <w:tcPr>
            <w:tcW w:w="1106" w:type="dxa"/>
            <w:tcBorders>
              <w:top w:val="single" w:sz="6" w:space="0" w:color="000000"/>
              <w:bottom w:val="single" w:sz="6" w:space="0" w:color="000000"/>
            </w:tcBorders>
            <w:shd w:val="clear" w:color="auto" w:fill="BEBEBE"/>
          </w:tcPr>
          <w:p w14:paraId="503C355C" w14:textId="77777777" w:rsidR="00AC6F3C" w:rsidRDefault="00570E88">
            <w:pPr>
              <w:pStyle w:val="TableParagraph"/>
              <w:spacing w:before="130"/>
              <w:ind w:right="16"/>
              <w:jc w:val="right"/>
              <w:rPr>
                <w:b/>
                <w:sz w:val="18"/>
              </w:rPr>
            </w:pPr>
            <w:r>
              <w:rPr>
                <w:b/>
                <w:spacing w:val="-2"/>
                <w:sz w:val="18"/>
              </w:rPr>
              <w:t>(678)</w:t>
            </w:r>
          </w:p>
        </w:tc>
        <w:tc>
          <w:tcPr>
            <w:tcW w:w="1136" w:type="dxa"/>
            <w:tcBorders>
              <w:top w:val="single" w:sz="6" w:space="0" w:color="000000"/>
              <w:bottom w:val="single" w:sz="6" w:space="0" w:color="000000"/>
            </w:tcBorders>
            <w:shd w:val="clear" w:color="auto" w:fill="BEBEBE"/>
          </w:tcPr>
          <w:p w14:paraId="30D7F20D" w14:textId="77777777" w:rsidR="00AC6F3C" w:rsidRDefault="00570E88">
            <w:pPr>
              <w:pStyle w:val="TableParagraph"/>
              <w:spacing w:before="130"/>
              <w:ind w:right="31"/>
              <w:jc w:val="right"/>
              <w:rPr>
                <w:b/>
                <w:sz w:val="18"/>
              </w:rPr>
            </w:pPr>
            <w:r>
              <w:rPr>
                <w:b/>
                <w:spacing w:val="-2"/>
                <w:sz w:val="18"/>
              </w:rPr>
              <w:t>(2,031)</w:t>
            </w:r>
          </w:p>
        </w:tc>
        <w:tc>
          <w:tcPr>
            <w:tcW w:w="1114" w:type="dxa"/>
            <w:tcBorders>
              <w:top w:val="single" w:sz="6" w:space="0" w:color="000000"/>
              <w:bottom w:val="single" w:sz="6" w:space="0" w:color="000000"/>
              <w:right w:val="single" w:sz="6" w:space="0" w:color="000000"/>
            </w:tcBorders>
            <w:shd w:val="clear" w:color="auto" w:fill="BEBEBE"/>
          </w:tcPr>
          <w:p w14:paraId="676D9837" w14:textId="77777777" w:rsidR="00AC6F3C" w:rsidRDefault="00570E88">
            <w:pPr>
              <w:pStyle w:val="TableParagraph"/>
              <w:spacing w:before="130"/>
              <w:ind w:right="21"/>
              <w:jc w:val="right"/>
              <w:rPr>
                <w:b/>
                <w:sz w:val="18"/>
              </w:rPr>
            </w:pPr>
            <w:r>
              <w:rPr>
                <w:b/>
                <w:spacing w:val="-2"/>
                <w:sz w:val="18"/>
              </w:rPr>
              <w:t>1,103</w:t>
            </w:r>
          </w:p>
        </w:tc>
      </w:tr>
      <w:tr w:rsidR="00AC6F3C" w14:paraId="497A055C" w14:textId="77777777">
        <w:trPr>
          <w:trHeight w:val="284"/>
        </w:trPr>
        <w:tc>
          <w:tcPr>
            <w:tcW w:w="4551" w:type="dxa"/>
            <w:gridSpan w:val="2"/>
            <w:tcBorders>
              <w:top w:val="single" w:sz="6" w:space="0" w:color="000000"/>
              <w:left w:val="single" w:sz="6" w:space="0" w:color="000000"/>
              <w:bottom w:val="single" w:sz="6" w:space="0" w:color="000000"/>
            </w:tcBorders>
          </w:tcPr>
          <w:p w14:paraId="1ACBAE38" w14:textId="77777777" w:rsidR="00AC6F3C" w:rsidRDefault="00570E88">
            <w:pPr>
              <w:pStyle w:val="TableParagraph"/>
              <w:tabs>
                <w:tab w:val="left" w:pos="3907"/>
              </w:tabs>
              <w:spacing w:before="40"/>
              <w:ind w:left="37"/>
              <w:rPr>
                <w:sz w:val="18"/>
              </w:rPr>
            </w:pPr>
            <w:r>
              <w:rPr>
                <w:sz w:val="18"/>
              </w:rPr>
              <w:t>Income</w:t>
            </w:r>
            <w:r>
              <w:rPr>
                <w:spacing w:val="4"/>
                <w:sz w:val="18"/>
              </w:rPr>
              <w:t xml:space="preserve"> </w:t>
            </w:r>
            <w:r>
              <w:rPr>
                <w:sz w:val="18"/>
              </w:rPr>
              <w:t>tax</w:t>
            </w:r>
            <w:r>
              <w:rPr>
                <w:spacing w:val="-17"/>
                <w:sz w:val="18"/>
              </w:rPr>
              <w:t xml:space="preserve"> </w:t>
            </w:r>
            <w:r>
              <w:rPr>
                <w:sz w:val="18"/>
              </w:rPr>
              <w:t>(expense)</w:t>
            </w:r>
            <w:r>
              <w:rPr>
                <w:spacing w:val="-1"/>
                <w:sz w:val="18"/>
              </w:rPr>
              <w:t xml:space="preserve"> </w:t>
            </w:r>
            <w:r>
              <w:rPr>
                <w:sz w:val="18"/>
              </w:rPr>
              <w:t>/</w:t>
            </w:r>
            <w:r>
              <w:rPr>
                <w:spacing w:val="-6"/>
                <w:sz w:val="18"/>
              </w:rPr>
              <w:t xml:space="preserve"> </w:t>
            </w:r>
            <w:r>
              <w:rPr>
                <w:spacing w:val="-2"/>
                <w:sz w:val="18"/>
              </w:rPr>
              <w:t>credit</w:t>
            </w:r>
            <w:r>
              <w:rPr>
                <w:sz w:val="18"/>
              </w:rPr>
              <w:tab/>
            </w:r>
            <w:r>
              <w:rPr>
                <w:spacing w:val="-2"/>
                <w:sz w:val="18"/>
              </w:rPr>
              <w:t>F1-</w:t>
            </w:r>
            <w:r>
              <w:rPr>
                <w:spacing w:val="-10"/>
                <w:sz w:val="18"/>
              </w:rPr>
              <w:t>1</w:t>
            </w:r>
          </w:p>
        </w:tc>
        <w:tc>
          <w:tcPr>
            <w:tcW w:w="1136" w:type="dxa"/>
            <w:tcBorders>
              <w:top w:val="single" w:sz="6" w:space="0" w:color="000000"/>
              <w:bottom w:val="single" w:sz="6" w:space="0" w:color="000000"/>
            </w:tcBorders>
            <w:shd w:val="clear" w:color="auto" w:fill="F1F1F1"/>
          </w:tcPr>
          <w:p w14:paraId="12E76A4C" w14:textId="77777777" w:rsidR="00AC6F3C" w:rsidRDefault="00570E88">
            <w:pPr>
              <w:pStyle w:val="TableParagraph"/>
              <w:spacing w:before="40"/>
              <w:ind w:right="31"/>
              <w:jc w:val="right"/>
              <w:rPr>
                <w:sz w:val="18"/>
              </w:rPr>
            </w:pPr>
            <w:r>
              <w:rPr>
                <w:spacing w:val="-2"/>
                <w:sz w:val="18"/>
              </w:rPr>
              <w:t>(3,700)</w:t>
            </w:r>
          </w:p>
        </w:tc>
        <w:tc>
          <w:tcPr>
            <w:tcW w:w="1106" w:type="dxa"/>
            <w:tcBorders>
              <w:top w:val="single" w:sz="6" w:space="0" w:color="000000"/>
              <w:bottom w:val="single" w:sz="6" w:space="0" w:color="000000"/>
            </w:tcBorders>
          </w:tcPr>
          <w:p w14:paraId="52E591D1" w14:textId="77777777" w:rsidR="00AC6F3C" w:rsidRDefault="00570E88">
            <w:pPr>
              <w:pStyle w:val="TableParagraph"/>
              <w:spacing w:before="40"/>
              <w:ind w:right="16"/>
              <w:jc w:val="right"/>
              <w:rPr>
                <w:sz w:val="18"/>
              </w:rPr>
            </w:pPr>
            <w:r>
              <w:rPr>
                <w:spacing w:val="-2"/>
                <w:sz w:val="18"/>
              </w:rPr>
              <w:t>(225)</w:t>
            </w:r>
          </w:p>
        </w:tc>
        <w:tc>
          <w:tcPr>
            <w:tcW w:w="1136" w:type="dxa"/>
            <w:tcBorders>
              <w:top w:val="single" w:sz="6" w:space="0" w:color="000000"/>
              <w:bottom w:val="single" w:sz="6" w:space="0" w:color="000000"/>
            </w:tcBorders>
            <w:shd w:val="clear" w:color="auto" w:fill="F1F1F1"/>
          </w:tcPr>
          <w:p w14:paraId="4C17DF35" w14:textId="77777777" w:rsidR="00AC6F3C" w:rsidRDefault="00570E88">
            <w:pPr>
              <w:pStyle w:val="TableParagraph"/>
              <w:spacing w:before="40"/>
              <w:ind w:right="36"/>
              <w:jc w:val="right"/>
              <w:rPr>
                <w:sz w:val="18"/>
              </w:rPr>
            </w:pPr>
            <w:r>
              <w:rPr>
                <w:w w:val="99"/>
                <w:sz w:val="18"/>
              </w:rPr>
              <w:t>-</w:t>
            </w:r>
          </w:p>
        </w:tc>
        <w:tc>
          <w:tcPr>
            <w:tcW w:w="1114" w:type="dxa"/>
            <w:tcBorders>
              <w:top w:val="single" w:sz="6" w:space="0" w:color="000000"/>
              <w:bottom w:val="single" w:sz="6" w:space="0" w:color="000000"/>
              <w:right w:val="single" w:sz="6" w:space="0" w:color="000000"/>
            </w:tcBorders>
          </w:tcPr>
          <w:p w14:paraId="4ADADDC1" w14:textId="77777777" w:rsidR="00AC6F3C" w:rsidRDefault="00570E88">
            <w:pPr>
              <w:pStyle w:val="TableParagraph"/>
              <w:spacing w:before="40"/>
              <w:ind w:right="21"/>
              <w:jc w:val="right"/>
              <w:rPr>
                <w:sz w:val="18"/>
              </w:rPr>
            </w:pPr>
            <w:r>
              <w:rPr>
                <w:w w:val="99"/>
                <w:sz w:val="18"/>
              </w:rPr>
              <w:t>-</w:t>
            </w:r>
          </w:p>
        </w:tc>
      </w:tr>
      <w:tr w:rsidR="00AC6F3C" w14:paraId="30D005A1" w14:textId="77777777">
        <w:trPr>
          <w:trHeight w:val="463"/>
        </w:trPr>
        <w:tc>
          <w:tcPr>
            <w:tcW w:w="3651" w:type="dxa"/>
            <w:tcBorders>
              <w:top w:val="single" w:sz="6" w:space="0" w:color="000000"/>
              <w:left w:val="single" w:sz="6" w:space="0" w:color="000000"/>
              <w:bottom w:val="single" w:sz="6" w:space="0" w:color="000000"/>
            </w:tcBorders>
            <w:shd w:val="clear" w:color="auto" w:fill="BEBEBE"/>
          </w:tcPr>
          <w:p w14:paraId="692C88DD" w14:textId="77777777" w:rsidR="00AC6F3C" w:rsidRDefault="00570E88">
            <w:pPr>
              <w:pStyle w:val="TableParagraph"/>
              <w:spacing w:before="10"/>
              <w:ind w:left="37"/>
              <w:rPr>
                <w:b/>
                <w:sz w:val="18"/>
              </w:rPr>
            </w:pPr>
            <w:r>
              <w:rPr>
                <w:b/>
                <w:spacing w:val="-2"/>
                <w:sz w:val="18"/>
              </w:rPr>
              <w:t>Operating</w:t>
            </w:r>
            <w:r>
              <w:rPr>
                <w:b/>
                <w:spacing w:val="-11"/>
                <w:sz w:val="18"/>
              </w:rPr>
              <w:t xml:space="preserve"> </w:t>
            </w:r>
            <w:r>
              <w:rPr>
                <w:b/>
                <w:spacing w:val="-2"/>
                <w:sz w:val="18"/>
              </w:rPr>
              <w:t>(deficit)/surplus</w:t>
            </w:r>
            <w:r>
              <w:rPr>
                <w:b/>
                <w:sz w:val="18"/>
              </w:rPr>
              <w:t xml:space="preserve"> </w:t>
            </w:r>
            <w:r>
              <w:rPr>
                <w:b/>
                <w:spacing w:val="-2"/>
                <w:sz w:val="18"/>
              </w:rPr>
              <w:t>after</w:t>
            </w:r>
            <w:r>
              <w:rPr>
                <w:b/>
                <w:sz w:val="18"/>
              </w:rPr>
              <w:t xml:space="preserve"> </w:t>
            </w:r>
            <w:r>
              <w:rPr>
                <w:b/>
                <w:spacing w:val="-2"/>
                <w:sz w:val="18"/>
              </w:rPr>
              <w:t>income</w:t>
            </w:r>
          </w:p>
          <w:p w14:paraId="6C8B7C72" w14:textId="77777777" w:rsidR="00AC6F3C" w:rsidRDefault="00570E88">
            <w:pPr>
              <w:pStyle w:val="TableParagraph"/>
              <w:spacing w:before="33" w:line="194" w:lineRule="exact"/>
              <w:ind w:left="37"/>
              <w:rPr>
                <w:b/>
                <w:sz w:val="18"/>
              </w:rPr>
            </w:pPr>
            <w:r>
              <w:rPr>
                <w:b/>
                <w:spacing w:val="-5"/>
                <w:sz w:val="18"/>
              </w:rPr>
              <w:t>tax</w:t>
            </w:r>
          </w:p>
        </w:tc>
        <w:tc>
          <w:tcPr>
            <w:tcW w:w="900" w:type="dxa"/>
            <w:tcBorders>
              <w:top w:val="single" w:sz="6" w:space="0" w:color="000000"/>
              <w:bottom w:val="single" w:sz="6" w:space="0" w:color="000000"/>
            </w:tcBorders>
            <w:shd w:val="clear" w:color="auto" w:fill="BEBEBE"/>
          </w:tcPr>
          <w:p w14:paraId="3E320C69"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BEBEBE"/>
          </w:tcPr>
          <w:p w14:paraId="211300AC" w14:textId="77777777" w:rsidR="00AC6F3C" w:rsidRDefault="00570E88">
            <w:pPr>
              <w:pStyle w:val="TableParagraph"/>
              <w:spacing w:before="130"/>
              <w:ind w:right="36"/>
              <w:jc w:val="right"/>
              <w:rPr>
                <w:b/>
                <w:sz w:val="18"/>
              </w:rPr>
            </w:pPr>
            <w:r>
              <w:rPr>
                <w:b/>
                <w:spacing w:val="-2"/>
                <w:sz w:val="18"/>
              </w:rPr>
              <w:t>10,390</w:t>
            </w:r>
          </w:p>
        </w:tc>
        <w:tc>
          <w:tcPr>
            <w:tcW w:w="1106" w:type="dxa"/>
            <w:tcBorders>
              <w:top w:val="single" w:sz="6" w:space="0" w:color="000000"/>
              <w:bottom w:val="single" w:sz="6" w:space="0" w:color="000000"/>
            </w:tcBorders>
            <w:shd w:val="clear" w:color="auto" w:fill="BEBEBE"/>
          </w:tcPr>
          <w:p w14:paraId="710D88DE" w14:textId="77777777" w:rsidR="00AC6F3C" w:rsidRDefault="00570E88">
            <w:pPr>
              <w:pStyle w:val="TableParagraph"/>
              <w:spacing w:before="130"/>
              <w:ind w:right="16"/>
              <w:jc w:val="right"/>
              <w:rPr>
                <w:b/>
                <w:sz w:val="18"/>
              </w:rPr>
            </w:pPr>
            <w:r>
              <w:rPr>
                <w:b/>
                <w:spacing w:val="-2"/>
                <w:sz w:val="18"/>
              </w:rPr>
              <w:t>(903)</w:t>
            </w:r>
          </w:p>
        </w:tc>
        <w:tc>
          <w:tcPr>
            <w:tcW w:w="1136" w:type="dxa"/>
            <w:tcBorders>
              <w:top w:val="single" w:sz="6" w:space="0" w:color="000000"/>
              <w:bottom w:val="single" w:sz="6" w:space="0" w:color="000000"/>
            </w:tcBorders>
            <w:shd w:val="clear" w:color="auto" w:fill="BEBEBE"/>
          </w:tcPr>
          <w:p w14:paraId="2F48AA4E" w14:textId="77777777" w:rsidR="00AC6F3C" w:rsidRDefault="00570E88">
            <w:pPr>
              <w:pStyle w:val="TableParagraph"/>
              <w:spacing w:before="130"/>
              <w:ind w:right="31"/>
              <w:jc w:val="right"/>
              <w:rPr>
                <w:b/>
                <w:sz w:val="18"/>
              </w:rPr>
            </w:pPr>
            <w:r>
              <w:rPr>
                <w:b/>
                <w:spacing w:val="-2"/>
                <w:sz w:val="18"/>
              </w:rPr>
              <w:t>(2,031)</w:t>
            </w:r>
          </w:p>
        </w:tc>
        <w:tc>
          <w:tcPr>
            <w:tcW w:w="1114" w:type="dxa"/>
            <w:tcBorders>
              <w:top w:val="single" w:sz="6" w:space="0" w:color="000000"/>
              <w:bottom w:val="single" w:sz="6" w:space="0" w:color="000000"/>
              <w:right w:val="single" w:sz="6" w:space="0" w:color="000000"/>
            </w:tcBorders>
            <w:shd w:val="clear" w:color="auto" w:fill="BEBEBE"/>
          </w:tcPr>
          <w:p w14:paraId="11BA3D58" w14:textId="77777777" w:rsidR="00AC6F3C" w:rsidRDefault="00570E88">
            <w:pPr>
              <w:pStyle w:val="TableParagraph"/>
              <w:spacing w:before="130"/>
              <w:ind w:right="21"/>
              <w:jc w:val="right"/>
              <w:rPr>
                <w:b/>
                <w:sz w:val="18"/>
              </w:rPr>
            </w:pPr>
            <w:r>
              <w:rPr>
                <w:b/>
                <w:spacing w:val="-2"/>
                <w:sz w:val="18"/>
              </w:rPr>
              <w:t>1,103</w:t>
            </w:r>
          </w:p>
        </w:tc>
      </w:tr>
      <w:tr w:rsidR="00AC6F3C" w14:paraId="7FDE3586" w14:textId="77777777">
        <w:trPr>
          <w:trHeight w:val="1540"/>
        </w:trPr>
        <w:tc>
          <w:tcPr>
            <w:tcW w:w="3651" w:type="dxa"/>
            <w:tcBorders>
              <w:top w:val="single" w:sz="6" w:space="0" w:color="000000"/>
              <w:left w:val="single" w:sz="6" w:space="0" w:color="000000"/>
              <w:bottom w:val="single" w:sz="6" w:space="0" w:color="000000"/>
            </w:tcBorders>
          </w:tcPr>
          <w:p w14:paraId="3774AEDB" w14:textId="77777777" w:rsidR="00AC6F3C" w:rsidRDefault="00570E88">
            <w:pPr>
              <w:pStyle w:val="TableParagraph"/>
              <w:spacing w:before="40" w:line="288" w:lineRule="auto"/>
              <w:ind w:left="37"/>
              <w:rPr>
                <w:sz w:val="18"/>
              </w:rPr>
            </w:pPr>
            <w:r>
              <w:rPr>
                <w:sz w:val="18"/>
              </w:rPr>
              <w:t xml:space="preserve">Other comprehensive income, net of tax </w:t>
            </w:r>
            <w:r>
              <w:rPr>
                <w:b/>
                <w:sz w:val="18"/>
              </w:rPr>
              <w:t xml:space="preserve">Items that will not be reclassified subsequently to operating result </w:t>
            </w:r>
            <w:r>
              <w:rPr>
                <w:sz w:val="18"/>
              </w:rPr>
              <w:t>Increase/(decrease) in asset revaluation</w:t>
            </w:r>
          </w:p>
          <w:p w14:paraId="1264D856" w14:textId="77777777" w:rsidR="00AC6F3C" w:rsidRDefault="00570E88">
            <w:pPr>
              <w:pStyle w:val="TableParagraph"/>
              <w:spacing w:line="200" w:lineRule="exact"/>
              <w:ind w:left="37"/>
              <w:rPr>
                <w:sz w:val="18"/>
              </w:rPr>
            </w:pPr>
            <w:r>
              <w:rPr>
                <w:spacing w:val="-2"/>
                <w:sz w:val="18"/>
              </w:rPr>
              <w:t>surplus</w:t>
            </w:r>
          </w:p>
        </w:tc>
        <w:tc>
          <w:tcPr>
            <w:tcW w:w="900" w:type="dxa"/>
            <w:tcBorders>
              <w:top w:val="single" w:sz="6" w:space="0" w:color="000000"/>
              <w:bottom w:val="single" w:sz="6" w:space="0" w:color="000000"/>
            </w:tcBorders>
          </w:tcPr>
          <w:p w14:paraId="41CC0760" w14:textId="77777777" w:rsidR="00AC6F3C" w:rsidRDefault="00AC6F3C">
            <w:pPr>
              <w:pStyle w:val="TableParagraph"/>
              <w:rPr>
                <w:sz w:val="20"/>
              </w:rPr>
            </w:pPr>
          </w:p>
          <w:p w14:paraId="4B43C730" w14:textId="77777777" w:rsidR="00AC6F3C" w:rsidRDefault="00AC6F3C">
            <w:pPr>
              <w:pStyle w:val="TableParagraph"/>
              <w:rPr>
                <w:sz w:val="20"/>
              </w:rPr>
            </w:pPr>
          </w:p>
          <w:p w14:paraId="023D6A10" w14:textId="77777777" w:rsidR="00AC6F3C" w:rsidRDefault="00AC6F3C">
            <w:pPr>
              <w:pStyle w:val="TableParagraph"/>
              <w:rPr>
                <w:sz w:val="20"/>
              </w:rPr>
            </w:pPr>
          </w:p>
          <w:p w14:paraId="091A9154" w14:textId="77777777" w:rsidR="00AC6F3C" w:rsidRDefault="00AC6F3C">
            <w:pPr>
              <w:pStyle w:val="TableParagraph"/>
              <w:spacing w:before="11"/>
              <w:rPr>
                <w:sz w:val="18"/>
              </w:rPr>
            </w:pPr>
          </w:p>
          <w:p w14:paraId="5B45E8C2" w14:textId="77777777" w:rsidR="00AC6F3C" w:rsidRDefault="00570E88">
            <w:pPr>
              <w:pStyle w:val="TableParagraph"/>
              <w:ind w:left="138" w:right="121"/>
              <w:jc w:val="center"/>
              <w:rPr>
                <w:sz w:val="18"/>
              </w:rPr>
            </w:pPr>
            <w:r>
              <w:rPr>
                <w:spacing w:val="-5"/>
                <w:sz w:val="18"/>
              </w:rPr>
              <w:t>C5</w:t>
            </w:r>
          </w:p>
        </w:tc>
        <w:tc>
          <w:tcPr>
            <w:tcW w:w="1136" w:type="dxa"/>
            <w:tcBorders>
              <w:top w:val="single" w:sz="6" w:space="0" w:color="000000"/>
              <w:bottom w:val="single" w:sz="6" w:space="0" w:color="000000"/>
            </w:tcBorders>
            <w:shd w:val="clear" w:color="auto" w:fill="F1F1F1"/>
          </w:tcPr>
          <w:p w14:paraId="23FF2F83" w14:textId="77777777" w:rsidR="00AC6F3C" w:rsidRDefault="00AC6F3C">
            <w:pPr>
              <w:pStyle w:val="TableParagraph"/>
              <w:rPr>
                <w:sz w:val="20"/>
              </w:rPr>
            </w:pPr>
          </w:p>
          <w:p w14:paraId="0FCE855E" w14:textId="77777777" w:rsidR="00AC6F3C" w:rsidRDefault="00AC6F3C">
            <w:pPr>
              <w:pStyle w:val="TableParagraph"/>
              <w:rPr>
                <w:sz w:val="20"/>
              </w:rPr>
            </w:pPr>
          </w:p>
          <w:p w14:paraId="00DF1349" w14:textId="77777777" w:rsidR="00AC6F3C" w:rsidRDefault="00AC6F3C">
            <w:pPr>
              <w:pStyle w:val="TableParagraph"/>
              <w:rPr>
                <w:sz w:val="20"/>
              </w:rPr>
            </w:pPr>
          </w:p>
          <w:p w14:paraId="08F38A79" w14:textId="77777777" w:rsidR="00AC6F3C" w:rsidRDefault="00AC6F3C">
            <w:pPr>
              <w:pStyle w:val="TableParagraph"/>
              <w:spacing w:before="11"/>
              <w:rPr>
                <w:sz w:val="18"/>
              </w:rPr>
            </w:pPr>
          </w:p>
          <w:p w14:paraId="02140B38" w14:textId="77777777" w:rsidR="00AC6F3C" w:rsidRDefault="00570E88">
            <w:pPr>
              <w:pStyle w:val="TableParagraph"/>
              <w:ind w:right="31"/>
              <w:jc w:val="right"/>
              <w:rPr>
                <w:sz w:val="18"/>
              </w:rPr>
            </w:pPr>
            <w:r>
              <w:rPr>
                <w:spacing w:val="-2"/>
                <w:sz w:val="18"/>
              </w:rPr>
              <w:t>(416)</w:t>
            </w:r>
          </w:p>
        </w:tc>
        <w:tc>
          <w:tcPr>
            <w:tcW w:w="1106" w:type="dxa"/>
            <w:tcBorders>
              <w:top w:val="single" w:sz="6" w:space="0" w:color="000000"/>
              <w:bottom w:val="single" w:sz="6" w:space="0" w:color="000000"/>
            </w:tcBorders>
          </w:tcPr>
          <w:p w14:paraId="55FF185B"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F1F1F1"/>
          </w:tcPr>
          <w:p w14:paraId="36563550" w14:textId="77777777" w:rsidR="00AC6F3C" w:rsidRDefault="00AC6F3C">
            <w:pPr>
              <w:pStyle w:val="TableParagraph"/>
              <w:rPr>
                <w:sz w:val="20"/>
              </w:rPr>
            </w:pPr>
          </w:p>
          <w:p w14:paraId="2448137C" w14:textId="77777777" w:rsidR="00AC6F3C" w:rsidRDefault="00AC6F3C">
            <w:pPr>
              <w:pStyle w:val="TableParagraph"/>
              <w:rPr>
                <w:sz w:val="20"/>
              </w:rPr>
            </w:pPr>
          </w:p>
          <w:p w14:paraId="7C203237" w14:textId="77777777" w:rsidR="00AC6F3C" w:rsidRDefault="00AC6F3C">
            <w:pPr>
              <w:pStyle w:val="TableParagraph"/>
              <w:rPr>
                <w:sz w:val="20"/>
              </w:rPr>
            </w:pPr>
          </w:p>
          <w:p w14:paraId="7A3374B1" w14:textId="77777777" w:rsidR="00AC6F3C" w:rsidRDefault="00AC6F3C">
            <w:pPr>
              <w:pStyle w:val="TableParagraph"/>
              <w:spacing w:before="11"/>
              <w:rPr>
                <w:sz w:val="18"/>
              </w:rPr>
            </w:pPr>
          </w:p>
          <w:p w14:paraId="2310AF4D" w14:textId="77777777" w:rsidR="00AC6F3C" w:rsidRDefault="00570E88">
            <w:pPr>
              <w:pStyle w:val="TableParagraph"/>
              <w:ind w:right="31"/>
              <w:jc w:val="right"/>
              <w:rPr>
                <w:sz w:val="18"/>
              </w:rPr>
            </w:pPr>
            <w:r>
              <w:rPr>
                <w:spacing w:val="-2"/>
                <w:sz w:val="18"/>
              </w:rPr>
              <w:t>(416)</w:t>
            </w:r>
          </w:p>
        </w:tc>
        <w:tc>
          <w:tcPr>
            <w:tcW w:w="1114" w:type="dxa"/>
            <w:tcBorders>
              <w:top w:val="single" w:sz="6" w:space="0" w:color="000000"/>
              <w:bottom w:val="single" w:sz="6" w:space="0" w:color="000000"/>
              <w:right w:val="single" w:sz="6" w:space="0" w:color="000000"/>
            </w:tcBorders>
          </w:tcPr>
          <w:p w14:paraId="5221E055" w14:textId="77777777" w:rsidR="00AC6F3C" w:rsidRDefault="00AC6F3C">
            <w:pPr>
              <w:pStyle w:val="TableParagraph"/>
              <w:rPr>
                <w:sz w:val="20"/>
              </w:rPr>
            </w:pPr>
          </w:p>
          <w:p w14:paraId="78A80207" w14:textId="77777777" w:rsidR="00AC6F3C" w:rsidRDefault="00AC6F3C">
            <w:pPr>
              <w:pStyle w:val="TableParagraph"/>
              <w:rPr>
                <w:sz w:val="20"/>
              </w:rPr>
            </w:pPr>
          </w:p>
          <w:p w14:paraId="6062CEFC" w14:textId="77777777" w:rsidR="00AC6F3C" w:rsidRDefault="00AC6F3C">
            <w:pPr>
              <w:pStyle w:val="TableParagraph"/>
              <w:rPr>
                <w:sz w:val="20"/>
              </w:rPr>
            </w:pPr>
          </w:p>
          <w:p w14:paraId="49AB90E8" w14:textId="77777777" w:rsidR="00AC6F3C" w:rsidRDefault="00AC6F3C">
            <w:pPr>
              <w:pStyle w:val="TableParagraph"/>
              <w:spacing w:before="11"/>
              <w:rPr>
                <w:sz w:val="18"/>
              </w:rPr>
            </w:pPr>
          </w:p>
          <w:p w14:paraId="55E2FBAE" w14:textId="77777777" w:rsidR="00AC6F3C" w:rsidRDefault="00570E88">
            <w:pPr>
              <w:pStyle w:val="TableParagraph"/>
              <w:ind w:right="21"/>
              <w:jc w:val="right"/>
              <w:rPr>
                <w:sz w:val="18"/>
              </w:rPr>
            </w:pPr>
            <w:r>
              <w:rPr>
                <w:w w:val="99"/>
                <w:sz w:val="18"/>
              </w:rPr>
              <w:t>-</w:t>
            </w:r>
          </w:p>
        </w:tc>
      </w:tr>
      <w:tr w:rsidR="00AC6F3C" w14:paraId="2D351708" w14:textId="77777777">
        <w:trPr>
          <w:trHeight w:val="284"/>
        </w:trPr>
        <w:tc>
          <w:tcPr>
            <w:tcW w:w="3651" w:type="dxa"/>
            <w:tcBorders>
              <w:top w:val="single" w:sz="6" w:space="0" w:color="000000"/>
              <w:left w:val="single" w:sz="6" w:space="0" w:color="000000"/>
              <w:bottom w:val="single" w:sz="6" w:space="0" w:color="000000"/>
            </w:tcBorders>
            <w:shd w:val="clear" w:color="auto" w:fill="BEBEBE"/>
          </w:tcPr>
          <w:p w14:paraId="0AB8446D" w14:textId="77777777" w:rsidR="00AC6F3C" w:rsidRDefault="00570E88">
            <w:pPr>
              <w:pStyle w:val="TableParagraph"/>
              <w:spacing w:before="40"/>
              <w:ind w:left="37"/>
              <w:rPr>
                <w:b/>
                <w:sz w:val="18"/>
              </w:rPr>
            </w:pPr>
            <w:r>
              <w:rPr>
                <w:b/>
                <w:spacing w:val="-2"/>
                <w:sz w:val="18"/>
              </w:rPr>
              <w:t>Total</w:t>
            </w:r>
            <w:r>
              <w:rPr>
                <w:b/>
                <w:spacing w:val="-11"/>
                <w:sz w:val="18"/>
              </w:rPr>
              <w:t xml:space="preserve"> </w:t>
            </w:r>
            <w:r>
              <w:rPr>
                <w:b/>
                <w:spacing w:val="-2"/>
                <w:sz w:val="18"/>
              </w:rPr>
              <w:t>comprehensive</w:t>
            </w:r>
            <w:r>
              <w:rPr>
                <w:b/>
                <w:spacing w:val="-8"/>
                <w:sz w:val="18"/>
              </w:rPr>
              <w:t xml:space="preserve"> </w:t>
            </w:r>
            <w:r>
              <w:rPr>
                <w:b/>
                <w:spacing w:val="-2"/>
                <w:sz w:val="18"/>
              </w:rPr>
              <w:t>income</w:t>
            </w:r>
          </w:p>
        </w:tc>
        <w:tc>
          <w:tcPr>
            <w:tcW w:w="900" w:type="dxa"/>
            <w:tcBorders>
              <w:top w:val="single" w:sz="6" w:space="0" w:color="000000"/>
              <w:bottom w:val="single" w:sz="6" w:space="0" w:color="000000"/>
            </w:tcBorders>
            <w:shd w:val="clear" w:color="auto" w:fill="BEBEBE"/>
          </w:tcPr>
          <w:p w14:paraId="5A25CF0E" w14:textId="77777777" w:rsidR="00AC6F3C" w:rsidRDefault="00AC6F3C">
            <w:pPr>
              <w:pStyle w:val="TableParagraph"/>
              <w:rPr>
                <w:rFonts w:ascii="Times New Roman"/>
                <w:sz w:val="18"/>
              </w:rPr>
            </w:pPr>
          </w:p>
        </w:tc>
        <w:tc>
          <w:tcPr>
            <w:tcW w:w="1136" w:type="dxa"/>
            <w:tcBorders>
              <w:top w:val="single" w:sz="6" w:space="0" w:color="000000"/>
              <w:bottom w:val="single" w:sz="6" w:space="0" w:color="000000"/>
            </w:tcBorders>
            <w:shd w:val="clear" w:color="auto" w:fill="BEBEBE"/>
          </w:tcPr>
          <w:p w14:paraId="77853488" w14:textId="77777777" w:rsidR="00AC6F3C" w:rsidRDefault="00570E88">
            <w:pPr>
              <w:pStyle w:val="TableParagraph"/>
              <w:spacing w:before="40"/>
              <w:ind w:right="35"/>
              <w:jc w:val="right"/>
              <w:rPr>
                <w:b/>
                <w:sz w:val="18"/>
              </w:rPr>
            </w:pPr>
            <w:r>
              <w:rPr>
                <w:b/>
                <w:spacing w:val="-2"/>
                <w:sz w:val="18"/>
              </w:rPr>
              <w:t>9,974</w:t>
            </w:r>
          </w:p>
        </w:tc>
        <w:tc>
          <w:tcPr>
            <w:tcW w:w="1106" w:type="dxa"/>
            <w:tcBorders>
              <w:top w:val="single" w:sz="6" w:space="0" w:color="000000"/>
              <w:bottom w:val="single" w:sz="6" w:space="0" w:color="000000"/>
            </w:tcBorders>
            <w:shd w:val="clear" w:color="auto" w:fill="BEBEBE"/>
          </w:tcPr>
          <w:p w14:paraId="4C3D4D8D" w14:textId="77777777" w:rsidR="00AC6F3C" w:rsidRDefault="00570E88">
            <w:pPr>
              <w:pStyle w:val="TableParagraph"/>
              <w:spacing w:before="40"/>
              <w:ind w:right="16"/>
              <w:jc w:val="right"/>
              <w:rPr>
                <w:b/>
                <w:sz w:val="18"/>
              </w:rPr>
            </w:pPr>
            <w:r>
              <w:rPr>
                <w:b/>
                <w:spacing w:val="-2"/>
                <w:sz w:val="18"/>
              </w:rPr>
              <w:t>(903)</w:t>
            </w:r>
          </w:p>
        </w:tc>
        <w:tc>
          <w:tcPr>
            <w:tcW w:w="1136" w:type="dxa"/>
            <w:tcBorders>
              <w:top w:val="single" w:sz="6" w:space="0" w:color="000000"/>
              <w:bottom w:val="single" w:sz="6" w:space="0" w:color="000000"/>
            </w:tcBorders>
            <w:shd w:val="clear" w:color="auto" w:fill="BEBEBE"/>
          </w:tcPr>
          <w:p w14:paraId="66D4F5B5" w14:textId="77777777" w:rsidR="00AC6F3C" w:rsidRDefault="00570E88">
            <w:pPr>
              <w:pStyle w:val="TableParagraph"/>
              <w:spacing w:before="40"/>
              <w:ind w:right="31"/>
              <w:jc w:val="right"/>
              <w:rPr>
                <w:b/>
                <w:sz w:val="18"/>
              </w:rPr>
            </w:pPr>
            <w:r>
              <w:rPr>
                <w:b/>
                <w:spacing w:val="-2"/>
                <w:sz w:val="18"/>
              </w:rPr>
              <w:t>(2,447)</w:t>
            </w:r>
          </w:p>
        </w:tc>
        <w:tc>
          <w:tcPr>
            <w:tcW w:w="1114" w:type="dxa"/>
            <w:tcBorders>
              <w:top w:val="single" w:sz="6" w:space="0" w:color="000000"/>
              <w:bottom w:val="single" w:sz="6" w:space="0" w:color="000000"/>
              <w:right w:val="single" w:sz="6" w:space="0" w:color="000000"/>
            </w:tcBorders>
            <w:shd w:val="clear" w:color="auto" w:fill="BEBEBE"/>
          </w:tcPr>
          <w:p w14:paraId="12E318A4" w14:textId="77777777" w:rsidR="00AC6F3C" w:rsidRDefault="00570E88">
            <w:pPr>
              <w:pStyle w:val="TableParagraph"/>
              <w:spacing w:before="40"/>
              <w:ind w:right="21"/>
              <w:jc w:val="right"/>
              <w:rPr>
                <w:b/>
                <w:sz w:val="18"/>
              </w:rPr>
            </w:pPr>
            <w:r>
              <w:rPr>
                <w:b/>
                <w:spacing w:val="-2"/>
                <w:sz w:val="18"/>
              </w:rPr>
              <w:t>1,103</w:t>
            </w:r>
          </w:p>
        </w:tc>
      </w:tr>
    </w:tbl>
    <w:p w14:paraId="68C1645F" w14:textId="77777777" w:rsidR="00AC6F3C" w:rsidRDefault="00AC6F3C">
      <w:pPr>
        <w:pStyle w:val="BodyText"/>
      </w:pPr>
    </w:p>
    <w:p w14:paraId="5E3481E0" w14:textId="77777777" w:rsidR="00AC6F3C" w:rsidRDefault="00AC6F3C">
      <w:pPr>
        <w:pStyle w:val="BodyText"/>
      </w:pPr>
    </w:p>
    <w:p w14:paraId="1F6767C3" w14:textId="77777777" w:rsidR="00AC6F3C" w:rsidRDefault="00AC6F3C">
      <w:pPr>
        <w:pStyle w:val="BodyText"/>
      </w:pPr>
    </w:p>
    <w:p w14:paraId="5D046134" w14:textId="77777777" w:rsidR="00AC6F3C" w:rsidRDefault="00AC6F3C">
      <w:pPr>
        <w:pStyle w:val="BodyText"/>
      </w:pPr>
    </w:p>
    <w:p w14:paraId="0C11FF08" w14:textId="77777777" w:rsidR="00AC6F3C" w:rsidRDefault="00AC6F3C">
      <w:pPr>
        <w:pStyle w:val="BodyText"/>
        <w:spacing w:before="2"/>
        <w:rPr>
          <w:sz w:val="18"/>
        </w:rPr>
      </w:pPr>
    </w:p>
    <w:p w14:paraId="2971820A" w14:textId="77777777" w:rsidR="00AC6F3C" w:rsidRDefault="00570E88">
      <w:pPr>
        <w:spacing w:before="95"/>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029692F4" w14:textId="77777777" w:rsidR="00AC6F3C" w:rsidRDefault="00AC6F3C">
      <w:pPr>
        <w:rPr>
          <w:sz w:val="18"/>
        </w:rPr>
        <w:sectPr w:rsidR="00AC6F3C">
          <w:headerReference w:type="default" r:id="rId211"/>
          <w:footerReference w:type="default" r:id="rId212"/>
          <w:pgSz w:w="11910" w:h="16840"/>
          <w:pgMar w:top="1580" w:right="1160" w:bottom="520" w:left="460" w:header="1297" w:footer="336" w:gutter="0"/>
          <w:cols w:space="720"/>
        </w:sectPr>
      </w:pPr>
    </w:p>
    <w:p w14:paraId="65903B88" w14:textId="77777777" w:rsidR="00AC6F3C" w:rsidRDefault="00570E88">
      <w:pPr>
        <w:ind w:left="958"/>
      </w:pPr>
      <w:r>
        <w:lastRenderedPageBreak/>
        <w:t>Statement</w:t>
      </w:r>
      <w:r>
        <w:rPr>
          <w:spacing w:val="-4"/>
        </w:rPr>
        <w:t xml:space="preserve"> </w:t>
      </w:r>
      <w:r>
        <w:t>of</w:t>
      </w:r>
      <w:r>
        <w:rPr>
          <w:spacing w:val="-4"/>
        </w:rPr>
        <w:t xml:space="preserve"> </w:t>
      </w:r>
      <w:r>
        <w:t>Financial</w:t>
      </w:r>
      <w:r>
        <w:rPr>
          <w:spacing w:val="-3"/>
        </w:rPr>
        <w:t xml:space="preserve"> </w:t>
      </w:r>
      <w:r>
        <w:t>Position</w:t>
      </w:r>
      <w:r>
        <w:rPr>
          <w:spacing w:val="-4"/>
        </w:rPr>
        <w:t xml:space="preserve"> </w:t>
      </w:r>
      <w:r>
        <w:t>as</w:t>
      </w:r>
      <w:r>
        <w:rPr>
          <w:spacing w:val="-2"/>
        </w:rPr>
        <w:t xml:space="preserve"> </w:t>
      </w:r>
      <w:r>
        <w:t>at</w:t>
      </w:r>
      <w:r>
        <w:rPr>
          <w:spacing w:val="-2"/>
        </w:rPr>
        <w:t xml:space="preserve"> </w:t>
      </w:r>
      <w:r>
        <w:t>30</w:t>
      </w:r>
      <w:r>
        <w:rPr>
          <w:spacing w:val="-5"/>
        </w:rPr>
        <w:t xml:space="preserve"> </w:t>
      </w:r>
      <w:r>
        <w:t>June</w:t>
      </w:r>
      <w:r>
        <w:rPr>
          <w:spacing w:val="-5"/>
        </w:rPr>
        <w:t xml:space="preserve"> </w:t>
      </w:r>
      <w:r>
        <w:rPr>
          <w:spacing w:val="-4"/>
        </w:rPr>
        <w:t>2023</w:t>
      </w:r>
    </w:p>
    <w:p w14:paraId="6948C6A5" w14:textId="77777777" w:rsidR="00AC6F3C" w:rsidRDefault="00570E88">
      <w:pPr>
        <w:pStyle w:val="BodyText"/>
        <w:spacing w:before="8"/>
        <w:rPr>
          <w:sz w:val="18"/>
        </w:rPr>
      </w:pPr>
      <w:r>
        <w:rPr>
          <w:noProof/>
        </w:rPr>
        <mc:AlternateContent>
          <mc:Choice Requires="wps">
            <w:drawing>
              <wp:anchor distT="0" distB="0" distL="0" distR="0" simplePos="0" relativeHeight="487677952" behindDoc="1" locked="0" layoutInCell="1" allowOverlap="1" wp14:anchorId="5B2AD8DA" wp14:editId="15CE03DB">
                <wp:simplePos x="0" y="0"/>
                <wp:positionH relativeFrom="page">
                  <wp:posOffset>882330</wp:posOffset>
                </wp:positionH>
                <wp:positionV relativeFrom="paragraph">
                  <wp:posOffset>151896</wp:posOffset>
                </wp:positionV>
                <wp:extent cx="5796915" cy="635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863" y="6094"/>
                              </a:moveTo>
                              <a:lnTo>
                                <a:pt x="0" y="6094"/>
                              </a:lnTo>
                              <a:lnTo>
                                <a:pt x="0" y="0"/>
                              </a:lnTo>
                              <a:lnTo>
                                <a:pt x="5796863" y="0"/>
                              </a:lnTo>
                              <a:lnTo>
                                <a:pt x="5796863"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CC321" id="Graphic 736" o:spid="_x0000_s1026" style="position:absolute;margin-left:69.45pt;margin-top:11.95pt;width:456.45pt;height:.5pt;z-index:-15638528;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" path="m5796863,6094l,6094,,,5796863,r,6094xe" fillcolor="black" stroked="f">
                <v:path arrowok="t"/>
                <w10:wrap type="topAndBottom" anchorx="page"/>
              </v:shape>
            </w:pict>
          </mc:Fallback>
        </mc:AlternateContent>
      </w:r>
    </w:p>
    <w:p w14:paraId="27F98A8D" w14:textId="77777777" w:rsidR="00AC6F3C" w:rsidRDefault="00AC6F3C">
      <w:pPr>
        <w:pStyle w:val="BodyText"/>
      </w:pPr>
    </w:p>
    <w:p w14:paraId="2B44F833" w14:textId="77777777" w:rsidR="00AC6F3C" w:rsidRDefault="00AC6F3C">
      <w:pPr>
        <w:pStyle w:val="BodyText"/>
        <w:spacing w:before="2"/>
        <w:rPr>
          <w:sz w:val="23"/>
        </w:rPr>
      </w:pPr>
    </w:p>
    <w:tbl>
      <w:tblPr>
        <w:tblW w:w="0" w:type="auto"/>
        <w:tblInd w:w="972" w:type="dxa"/>
        <w:tblLayout w:type="fixed"/>
        <w:tblCellMar>
          <w:left w:w="0" w:type="dxa"/>
          <w:right w:w="0" w:type="dxa"/>
        </w:tblCellMar>
        <w:tblLook w:val="01E0" w:firstRow="1" w:lastRow="1" w:firstColumn="1" w:lastColumn="1" w:noHBand="0" w:noVBand="0"/>
      </w:tblPr>
      <w:tblGrid>
        <w:gridCol w:w="3393"/>
        <w:gridCol w:w="891"/>
        <w:gridCol w:w="1416"/>
        <w:gridCol w:w="1037"/>
        <w:gridCol w:w="1261"/>
        <w:gridCol w:w="1044"/>
      </w:tblGrid>
      <w:tr w:rsidR="00AC6F3C" w14:paraId="2F548F37" w14:textId="77777777">
        <w:trPr>
          <w:trHeight w:val="841"/>
        </w:trPr>
        <w:tc>
          <w:tcPr>
            <w:tcW w:w="9042" w:type="dxa"/>
            <w:gridSpan w:val="6"/>
            <w:tcBorders>
              <w:top w:val="single" w:sz="6" w:space="0" w:color="000000"/>
              <w:left w:val="single" w:sz="6" w:space="0" w:color="000000"/>
              <w:bottom w:val="single" w:sz="6" w:space="0" w:color="000000"/>
              <w:right w:val="single" w:sz="6" w:space="0" w:color="000000"/>
            </w:tcBorders>
            <w:shd w:val="clear" w:color="auto" w:fill="BEBEBE"/>
          </w:tcPr>
          <w:p w14:paraId="0FF2801E" w14:textId="77777777" w:rsidR="00AC6F3C" w:rsidRDefault="00570E88">
            <w:pPr>
              <w:pStyle w:val="TableParagraph"/>
              <w:tabs>
                <w:tab w:val="left" w:pos="7381"/>
              </w:tabs>
              <w:spacing w:before="37"/>
              <w:ind w:left="4997"/>
              <w:rPr>
                <w:b/>
                <w:sz w:val="17"/>
              </w:rPr>
            </w:pPr>
            <w:r>
              <w:rPr>
                <w:b/>
                <w:spacing w:val="-2"/>
                <w:sz w:val="17"/>
              </w:rPr>
              <w:t>Consolidated</w:t>
            </w:r>
            <w:r>
              <w:rPr>
                <w:b/>
                <w:sz w:val="17"/>
              </w:rPr>
              <w:tab/>
              <w:t>Parent</w:t>
            </w:r>
            <w:r>
              <w:rPr>
                <w:b/>
                <w:spacing w:val="-11"/>
                <w:sz w:val="17"/>
              </w:rPr>
              <w:t xml:space="preserve"> </w:t>
            </w:r>
            <w:r>
              <w:rPr>
                <w:b/>
                <w:spacing w:val="-2"/>
                <w:sz w:val="17"/>
              </w:rPr>
              <w:t>Entity</w:t>
            </w:r>
          </w:p>
          <w:p w14:paraId="6529AC3A" w14:textId="77777777" w:rsidR="00AC6F3C" w:rsidRDefault="00570E88">
            <w:pPr>
              <w:pStyle w:val="TableParagraph"/>
              <w:tabs>
                <w:tab w:val="left" w:pos="1051"/>
                <w:tab w:val="left" w:pos="2299"/>
                <w:tab w:val="left" w:pos="3350"/>
              </w:tabs>
              <w:spacing w:before="99"/>
              <w:ind w:right="17"/>
              <w:jc w:val="right"/>
              <w:rPr>
                <w:b/>
                <w:sz w:val="17"/>
              </w:rPr>
            </w:pPr>
            <w:r>
              <w:rPr>
                <w:b/>
                <w:spacing w:val="-4"/>
                <w:sz w:val="17"/>
              </w:rPr>
              <w:t>2023</w:t>
            </w:r>
            <w:r>
              <w:rPr>
                <w:b/>
                <w:sz w:val="17"/>
              </w:rPr>
              <w:tab/>
            </w:r>
            <w:r>
              <w:rPr>
                <w:b/>
                <w:spacing w:val="-4"/>
                <w:sz w:val="17"/>
              </w:rPr>
              <w:t>2022</w:t>
            </w:r>
            <w:r>
              <w:rPr>
                <w:b/>
                <w:sz w:val="17"/>
              </w:rPr>
              <w:tab/>
            </w:r>
            <w:r>
              <w:rPr>
                <w:b/>
                <w:spacing w:val="-4"/>
                <w:sz w:val="17"/>
              </w:rPr>
              <w:t>2023</w:t>
            </w:r>
            <w:r>
              <w:rPr>
                <w:b/>
                <w:sz w:val="17"/>
              </w:rPr>
              <w:tab/>
            </w:r>
            <w:r>
              <w:rPr>
                <w:b/>
                <w:spacing w:val="-4"/>
                <w:sz w:val="17"/>
              </w:rPr>
              <w:t>2022</w:t>
            </w:r>
          </w:p>
          <w:p w14:paraId="0AC12928" w14:textId="77777777" w:rsidR="00AC6F3C" w:rsidRDefault="00570E88">
            <w:pPr>
              <w:pStyle w:val="TableParagraph"/>
              <w:tabs>
                <w:tab w:val="left" w:pos="1584"/>
                <w:tab w:val="left" w:pos="2635"/>
                <w:tab w:val="left" w:pos="3883"/>
                <w:tab w:val="left" w:pos="4935"/>
              </w:tabs>
              <w:spacing w:before="85"/>
              <w:ind w:right="17"/>
              <w:jc w:val="right"/>
              <w:rPr>
                <w:b/>
                <w:sz w:val="17"/>
              </w:rPr>
            </w:pPr>
            <w:r>
              <w:rPr>
                <w:b/>
                <w:spacing w:val="-4"/>
                <w:sz w:val="17"/>
              </w:rPr>
              <w:t>NOTE</w:t>
            </w:r>
            <w:r>
              <w:rPr>
                <w:b/>
                <w:sz w:val="17"/>
              </w:rPr>
              <w:tab/>
            </w:r>
            <w:r>
              <w:rPr>
                <w:b/>
                <w:spacing w:val="-4"/>
                <w:sz w:val="17"/>
              </w:rPr>
              <w:t>$’000</w:t>
            </w:r>
            <w:r>
              <w:rPr>
                <w:b/>
                <w:sz w:val="17"/>
              </w:rPr>
              <w:tab/>
            </w:r>
            <w:r>
              <w:rPr>
                <w:b/>
                <w:spacing w:val="-4"/>
                <w:sz w:val="17"/>
              </w:rPr>
              <w:t>$’000</w:t>
            </w:r>
            <w:r>
              <w:rPr>
                <w:b/>
                <w:sz w:val="17"/>
              </w:rPr>
              <w:tab/>
            </w:r>
            <w:r>
              <w:rPr>
                <w:b/>
                <w:spacing w:val="-4"/>
                <w:sz w:val="17"/>
              </w:rPr>
              <w:t>$’000</w:t>
            </w:r>
            <w:r>
              <w:rPr>
                <w:b/>
                <w:sz w:val="17"/>
              </w:rPr>
              <w:tab/>
            </w:r>
            <w:r>
              <w:rPr>
                <w:b/>
                <w:spacing w:val="-2"/>
                <w:sz w:val="17"/>
              </w:rPr>
              <w:t>$’000</w:t>
            </w:r>
          </w:p>
        </w:tc>
      </w:tr>
      <w:tr w:rsidR="00AC6F3C" w14:paraId="2B1BEE92" w14:textId="77777777">
        <w:trPr>
          <w:trHeight w:val="278"/>
        </w:trPr>
        <w:tc>
          <w:tcPr>
            <w:tcW w:w="3393" w:type="dxa"/>
            <w:tcBorders>
              <w:top w:val="single" w:sz="6" w:space="0" w:color="000000"/>
              <w:left w:val="single" w:sz="6" w:space="0" w:color="000000"/>
            </w:tcBorders>
          </w:tcPr>
          <w:p w14:paraId="5A0706D9" w14:textId="77777777" w:rsidR="00AC6F3C" w:rsidRDefault="00570E88">
            <w:pPr>
              <w:pStyle w:val="TableParagraph"/>
              <w:spacing w:before="36"/>
              <w:ind w:left="34"/>
              <w:rPr>
                <w:b/>
                <w:sz w:val="17"/>
              </w:rPr>
            </w:pPr>
            <w:r>
              <w:rPr>
                <w:b/>
                <w:spacing w:val="-4"/>
                <w:sz w:val="17"/>
              </w:rPr>
              <w:t>Current</w:t>
            </w:r>
            <w:r>
              <w:rPr>
                <w:b/>
                <w:spacing w:val="1"/>
                <w:sz w:val="17"/>
              </w:rPr>
              <w:t xml:space="preserve"> </w:t>
            </w:r>
            <w:r>
              <w:rPr>
                <w:b/>
                <w:spacing w:val="-2"/>
                <w:sz w:val="17"/>
              </w:rPr>
              <w:t>assets</w:t>
            </w:r>
          </w:p>
        </w:tc>
        <w:tc>
          <w:tcPr>
            <w:tcW w:w="891" w:type="dxa"/>
            <w:tcBorders>
              <w:top w:val="single" w:sz="6" w:space="0" w:color="000000"/>
            </w:tcBorders>
          </w:tcPr>
          <w:p w14:paraId="5A9E92D0" w14:textId="77777777" w:rsidR="00AC6F3C" w:rsidRDefault="00AC6F3C">
            <w:pPr>
              <w:pStyle w:val="TableParagraph"/>
              <w:rPr>
                <w:rFonts w:ascii="Times New Roman"/>
                <w:sz w:val="16"/>
              </w:rPr>
            </w:pPr>
          </w:p>
        </w:tc>
        <w:tc>
          <w:tcPr>
            <w:tcW w:w="1416" w:type="dxa"/>
            <w:tcBorders>
              <w:top w:val="single" w:sz="6" w:space="0" w:color="000000"/>
            </w:tcBorders>
            <w:shd w:val="clear" w:color="auto" w:fill="F1F1F1"/>
          </w:tcPr>
          <w:p w14:paraId="1073298E" w14:textId="77777777" w:rsidR="00AC6F3C" w:rsidRDefault="00AC6F3C">
            <w:pPr>
              <w:pStyle w:val="TableParagraph"/>
              <w:rPr>
                <w:rFonts w:ascii="Times New Roman"/>
                <w:sz w:val="16"/>
              </w:rPr>
            </w:pPr>
          </w:p>
        </w:tc>
        <w:tc>
          <w:tcPr>
            <w:tcW w:w="1037" w:type="dxa"/>
            <w:tcBorders>
              <w:top w:val="single" w:sz="6" w:space="0" w:color="000000"/>
            </w:tcBorders>
          </w:tcPr>
          <w:p w14:paraId="2D0DE6F5" w14:textId="77777777" w:rsidR="00AC6F3C" w:rsidRDefault="00AC6F3C">
            <w:pPr>
              <w:pStyle w:val="TableParagraph"/>
              <w:rPr>
                <w:rFonts w:ascii="Times New Roman"/>
                <w:sz w:val="16"/>
              </w:rPr>
            </w:pPr>
          </w:p>
        </w:tc>
        <w:tc>
          <w:tcPr>
            <w:tcW w:w="1261" w:type="dxa"/>
            <w:tcBorders>
              <w:top w:val="single" w:sz="6" w:space="0" w:color="000000"/>
            </w:tcBorders>
            <w:shd w:val="clear" w:color="auto" w:fill="F1F1F1"/>
          </w:tcPr>
          <w:p w14:paraId="09620B97" w14:textId="77777777" w:rsidR="00AC6F3C" w:rsidRDefault="00AC6F3C">
            <w:pPr>
              <w:pStyle w:val="TableParagraph"/>
              <w:rPr>
                <w:rFonts w:ascii="Times New Roman"/>
                <w:sz w:val="16"/>
              </w:rPr>
            </w:pPr>
          </w:p>
        </w:tc>
        <w:tc>
          <w:tcPr>
            <w:tcW w:w="1044" w:type="dxa"/>
            <w:tcBorders>
              <w:top w:val="single" w:sz="6" w:space="0" w:color="000000"/>
              <w:right w:val="single" w:sz="6" w:space="0" w:color="000000"/>
            </w:tcBorders>
          </w:tcPr>
          <w:p w14:paraId="11635761" w14:textId="77777777" w:rsidR="00AC6F3C" w:rsidRDefault="00AC6F3C">
            <w:pPr>
              <w:pStyle w:val="TableParagraph"/>
              <w:rPr>
                <w:rFonts w:ascii="Times New Roman"/>
                <w:sz w:val="16"/>
              </w:rPr>
            </w:pPr>
          </w:p>
        </w:tc>
      </w:tr>
      <w:tr w:rsidR="00AC6F3C" w14:paraId="12F75DF8" w14:textId="77777777">
        <w:trPr>
          <w:trHeight w:val="280"/>
        </w:trPr>
        <w:tc>
          <w:tcPr>
            <w:tcW w:w="3393" w:type="dxa"/>
            <w:tcBorders>
              <w:left w:val="single" w:sz="6" w:space="0" w:color="000000"/>
            </w:tcBorders>
          </w:tcPr>
          <w:p w14:paraId="699C11B5" w14:textId="77777777" w:rsidR="00AC6F3C" w:rsidRDefault="00570E88">
            <w:pPr>
              <w:pStyle w:val="TableParagraph"/>
              <w:spacing w:before="39"/>
              <w:ind w:left="34"/>
              <w:rPr>
                <w:sz w:val="17"/>
              </w:rPr>
            </w:pPr>
            <w:r>
              <w:rPr>
                <w:sz w:val="17"/>
              </w:rPr>
              <w:t>Cash</w:t>
            </w:r>
            <w:r>
              <w:rPr>
                <w:spacing w:val="8"/>
                <w:sz w:val="17"/>
              </w:rPr>
              <w:t xml:space="preserve"> </w:t>
            </w:r>
            <w:r>
              <w:rPr>
                <w:sz w:val="17"/>
              </w:rPr>
              <w:t>and</w:t>
            </w:r>
            <w:r>
              <w:rPr>
                <w:spacing w:val="8"/>
                <w:sz w:val="17"/>
              </w:rPr>
              <w:t xml:space="preserve"> </w:t>
            </w:r>
            <w:r>
              <w:rPr>
                <w:sz w:val="17"/>
              </w:rPr>
              <w:t>cash</w:t>
            </w:r>
            <w:r>
              <w:rPr>
                <w:spacing w:val="8"/>
                <w:sz w:val="17"/>
              </w:rPr>
              <w:t xml:space="preserve"> </w:t>
            </w:r>
            <w:r>
              <w:rPr>
                <w:spacing w:val="-2"/>
                <w:sz w:val="17"/>
              </w:rPr>
              <w:t>equivalents</w:t>
            </w:r>
          </w:p>
        </w:tc>
        <w:tc>
          <w:tcPr>
            <w:tcW w:w="891" w:type="dxa"/>
          </w:tcPr>
          <w:p w14:paraId="23602F36" w14:textId="77777777" w:rsidR="00AC6F3C" w:rsidRDefault="00570E88">
            <w:pPr>
              <w:pStyle w:val="TableParagraph"/>
              <w:spacing w:before="39"/>
              <w:ind w:left="173" w:right="111"/>
              <w:jc w:val="center"/>
              <w:rPr>
                <w:sz w:val="17"/>
              </w:rPr>
            </w:pPr>
            <w:r>
              <w:rPr>
                <w:spacing w:val="-5"/>
                <w:sz w:val="17"/>
              </w:rPr>
              <w:t>C1</w:t>
            </w:r>
          </w:p>
        </w:tc>
        <w:tc>
          <w:tcPr>
            <w:tcW w:w="1416" w:type="dxa"/>
            <w:shd w:val="clear" w:color="auto" w:fill="F1F1F1"/>
          </w:tcPr>
          <w:p w14:paraId="3BFFF805" w14:textId="77777777" w:rsidR="00AC6F3C" w:rsidRDefault="00570E88">
            <w:pPr>
              <w:pStyle w:val="TableParagraph"/>
              <w:spacing w:before="39"/>
              <w:ind w:right="33"/>
              <w:jc w:val="right"/>
              <w:rPr>
                <w:sz w:val="17"/>
              </w:rPr>
            </w:pPr>
            <w:r>
              <w:rPr>
                <w:spacing w:val="-2"/>
                <w:sz w:val="17"/>
              </w:rPr>
              <w:t>72,532</w:t>
            </w:r>
          </w:p>
        </w:tc>
        <w:tc>
          <w:tcPr>
            <w:tcW w:w="1037" w:type="dxa"/>
          </w:tcPr>
          <w:p w14:paraId="65DAA3A4" w14:textId="77777777" w:rsidR="00AC6F3C" w:rsidRDefault="00570E88">
            <w:pPr>
              <w:pStyle w:val="TableParagraph"/>
              <w:spacing w:before="39"/>
              <w:ind w:right="19"/>
              <w:jc w:val="right"/>
              <w:rPr>
                <w:sz w:val="17"/>
              </w:rPr>
            </w:pPr>
            <w:r>
              <w:rPr>
                <w:spacing w:val="-2"/>
                <w:sz w:val="17"/>
              </w:rPr>
              <w:t>69,350</w:t>
            </w:r>
          </w:p>
        </w:tc>
        <w:tc>
          <w:tcPr>
            <w:tcW w:w="1261" w:type="dxa"/>
            <w:shd w:val="clear" w:color="auto" w:fill="F1F1F1"/>
          </w:tcPr>
          <w:p w14:paraId="0FC4C3E4" w14:textId="77777777" w:rsidR="00AC6F3C" w:rsidRDefault="00570E88">
            <w:pPr>
              <w:pStyle w:val="TableParagraph"/>
              <w:spacing w:before="39"/>
              <w:ind w:right="32"/>
              <w:jc w:val="right"/>
              <w:rPr>
                <w:sz w:val="17"/>
              </w:rPr>
            </w:pPr>
            <w:r>
              <w:rPr>
                <w:spacing w:val="-2"/>
                <w:sz w:val="17"/>
              </w:rPr>
              <w:t>66,457</w:t>
            </w:r>
          </w:p>
        </w:tc>
        <w:tc>
          <w:tcPr>
            <w:tcW w:w="1044" w:type="dxa"/>
            <w:tcBorders>
              <w:right w:val="single" w:sz="6" w:space="0" w:color="000000"/>
            </w:tcBorders>
          </w:tcPr>
          <w:p w14:paraId="0A9BB83B" w14:textId="77777777" w:rsidR="00AC6F3C" w:rsidRDefault="00570E88">
            <w:pPr>
              <w:pStyle w:val="TableParagraph"/>
              <w:spacing w:before="39"/>
              <w:ind w:right="16"/>
              <w:jc w:val="right"/>
              <w:rPr>
                <w:sz w:val="17"/>
              </w:rPr>
            </w:pPr>
            <w:r>
              <w:rPr>
                <w:spacing w:val="-2"/>
                <w:sz w:val="17"/>
              </w:rPr>
              <w:t>64,186</w:t>
            </w:r>
          </w:p>
        </w:tc>
      </w:tr>
      <w:tr w:rsidR="00AC6F3C" w14:paraId="2B369C99" w14:textId="77777777">
        <w:trPr>
          <w:trHeight w:val="280"/>
        </w:trPr>
        <w:tc>
          <w:tcPr>
            <w:tcW w:w="3393" w:type="dxa"/>
            <w:tcBorders>
              <w:left w:val="single" w:sz="6" w:space="0" w:color="000000"/>
            </w:tcBorders>
          </w:tcPr>
          <w:p w14:paraId="36DC9EDA" w14:textId="77777777" w:rsidR="00AC6F3C" w:rsidRDefault="00570E88">
            <w:pPr>
              <w:pStyle w:val="TableParagraph"/>
              <w:spacing w:before="39"/>
              <w:ind w:left="34"/>
              <w:rPr>
                <w:sz w:val="17"/>
              </w:rPr>
            </w:pPr>
            <w:r>
              <w:rPr>
                <w:spacing w:val="-2"/>
                <w:sz w:val="17"/>
              </w:rPr>
              <w:t>Receivables</w:t>
            </w:r>
          </w:p>
        </w:tc>
        <w:tc>
          <w:tcPr>
            <w:tcW w:w="891" w:type="dxa"/>
          </w:tcPr>
          <w:p w14:paraId="48C6EE08" w14:textId="77777777" w:rsidR="00AC6F3C" w:rsidRDefault="00570E88">
            <w:pPr>
              <w:pStyle w:val="TableParagraph"/>
              <w:spacing w:before="39"/>
              <w:ind w:left="173" w:right="111"/>
              <w:jc w:val="center"/>
              <w:rPr>
                <w:sz w:val="17"/>
              </w:rPr>
            </w:pPr>
            <w:r>
              <w:rPr>
                <w:spacing w:val="-5"/>
                <w:sz w:val="17"/>
              </w:rPr>
              <w:t>C2</w:t>
            </w:r>
          </w:p>
        </w:tc>
        <w:tc>
          <w:tcPr>
            <w:tcW w:w="1416" w:type="dxa"/>
            <w:shd w:val="clear" w:color="auto" w:fill="F1F1F1"/>
          </w:tcPr>
          <w:p w14:paraId="12A684C5" w14:textId="77777777" w:rsidR="00AC6F3C" w:rsidRDefault="00570E88">
            <w:pPr>
              <w:pStyle w:val="TableParagraph"/>
              <w:spacing w:before="39"/>
              <w:ind w:right="33"/>
              <w:jc w:val="right"/>
              <w:rPr>
                <w:sz w:val="17"/>
              </w:rPr>
            </w:pPr>
            <w:r>
              <w:rPr>
                <w:spacing w:val="-2"/>
                <w:sz w:val="17"/>
              </w:rPr>
              <w:t>2,598</w:t>
            </w:r>
          </w:p>
        </w:tc>
        <w:tc>
          <w:tcPr>
            <w:tcW w:w="1037" w:type="dxa"/>
          </w:tcPr>
          <w:p w14:paraId="19404792" w14:textId="77777777" w:rsidR="00AC6F3C" w:rsidRDefault="00570E88">
            <w:pPr>
              <w:pStyle w:val="TableParagraph"/>
              <w:spacing w:before="39"/>
              <w:ind w:right="19"/>
              <w:jc w:val="right"/>
              <w:rPr>
                <w:sz w:val="17"/>
              </w:rPr>
            </w:pPr>
            <w:r>
              <w:rPr>
                <w:spacing w:val="-2"/>
                <w:sz w:val="17"/>
              </w:rPr>
              <w:t>1,437</w:t>
            </w:r>
          </w:p>
        </w:tc>
        <w:tc>
          <w:tcPr>
            <w:tcW w:w="1261" w:type="dxa"/>
            <w:shd w:val="clear" w:color="auto" w:fill="F1F1F1"/>
          </w:tcPr>
          <w:p w14:paraId="520662E3" w14:textId="77777777" w:rsidR="00AC6F3C" w:rsidRDefault="00570E88">
            <w:pPr>
              <w:pStyle w:val="TableParagraph"/>
              <w:spacing w:before="39"/>
              <w:ind w:right="32"/>
              <w:jc w:val="right"/>
              <w:rPr>
                <w:sz w:val="17"/>
              </w:rPr>
            </w:pPr>
            <w:r>
              <w:rPr>
                <w:spacing w:val="-2"/>
                <w:sz w:val="17"/>
              </w:rPr>
              <w:t>2,102</w:t>
            </w:r>
          </w:p>
        </w:tc>
        <w:tc>
          <w:tcPr>
            <w:tcW w:w="1044" w:type="dxa"/>
            <w:tcBorders>
              <w:right w:val="single" w:sz="6" w:space="0" w:color="000000"/>
            </w:tcBorders>
          </w:tcPr>
          <w:p w14:paraId="5A0C76CE" w14:textId="77777777" w:rsidR="00AC6F3C" w:rsidRDefault="00570E88">
            <w:pPr>
              <w:pStyle w:val="TableParagraph"/>
              <w:spacing w:before="39"/>
              <w:ind w:right="17"/>
              <w:jc w:val="right"/>
              <w:rPr>
                <w:sz w:val="17"/>
              </w:rPr>
            </w:pPr>
            <w:r>
              <w:rPr>
                <w:spacing w:val="-5"/>
                <w:sz w:val="17"/>
              </w:rPr>
              <w:t>878</w:t>
            </w:r>
          </w:p>
        </w:tc>
      </w:tr>
      <w:tr w:rsidR="00AC6F3C" w14:paraId="73404985" w14:textId="77777777">
        <w:trPr>
          <w:trHeight w:val="280"/>
        </w:trPr>
        <w:tc>
          <w:tcPr>
            <w:tcW w:w="3393" w:type="dxa"/>
            <w:tcBorders>
              <w:left w:val="single" w:sz="6" w:space="0" w:color="000000"/>
            </w:tcBorders>
          </w:tcPr>
          <w:p w14:paraId="6922524D" w14:textId="77777777" w:rsidR="00AC6F3C" w:rsidRDefault="00570E88">
            <w:pPr>
              <w:pStyle w:val="TableParagraph"/>
              <w:spacing w:before="39"/>
              <w:ind w:left="34"/>
              <w:rPr>
                <w:sz w:val="17"/>
              </w:rPr>
            </w:pPr>
            <w:r>
              <w:rPr>
                <w:sz w:val="17"/>
              </w:rPr>
              <w:t>Reinsurers'</w:t>
            </w:r>
            <w:r>
              <w:rPr>
                <w:spacing w:val="3"/>
                <w:sz w:val="17"/>
              </w:rPr>
              <w:t xml:space="preserve"> </w:t>
            </w:r>
            <w:r>
              <w:rPr>
                <w:sz w:val="17"/>
              </w:rPr>
              <w:t>share</w:t>
            </w:r>
            <w:r>
              <w:rPr>
                <w:spacing w:val="15"/>
                <w:sz w:val="17"/>
              </w:rPr>
              <w:t xml:space="preserve"> </w:t>
            </w:r>
            <w:r>
              <w:rPr>
                <w:sz w:val="17"/>
              </w:rPr>
              <w:t>of</w:t>
            </w:r>
            <w:r>
              <w:rPr>
                <w:spacing w:val="3"/>
                <w:sz w:val="17"/>
              </w:rPr>
              <w:t xml:space="preserve"> </w:t>
            </w:r>
            <w:r>
              <w:rPr>
                <w:sz w:val="17"/>
              </w:rPr>
              <w:t>unearned</w:t>
            </w:r>
            <w:r>
              <w:rPr>
                <w:spacing w:val="16"/>
                <w:sz w:val="17"/>
              </w:rPr>
              <w:t xml:space="preserve"> </w:t>
            </w:r>
            <w:r>
              <w:rPr>
                <w:spacing w:val="-2"/>
                <w:sz w:val="17"/>
              </w:rPr>
              <w:t>premiums</w:t>
            </w:r>
          </w:p>
        </w:tc>
        <w:tc>
          <w:tcPr>
            <w:tcW w:w="891" w:type="dxa"/>
          </w:tcPr>
          <w:p w14:paraId="64BC4111" w14:textId="77777777" w:rsidR="00AC6F3C" w:rsidRDefault="00570E88">
            <w:pPr>
              <w:pStyle w:val="TableParagraph"/>
              <w:spacing w:before="39"/>
              <w:ind w:left="178" w:right="111"/>
              <w:jc w:val="center"/>
              <w:rPr>
                <w:sz w:val="17"/>
              </w:rPr>
            </w:pPr>
            <w:r>
              <w:rPr>
                <w:sz w:val="17"/>
              </w:rPr>
              <w:t>C8-</w:t>
            </w:r>
            <w:r>
              <w:rPr>
                <w:spacing w:val="-4"/>
                <w:sz w:val="17"/>
              </w:rPr>
              <w:t>2(b)</w:t>
            </w:r>
          </w:p>
        </w:tc>
        <w:tc>
          <w:tcPr>
            <w:tcW w:w="1416" w:type="dxa"/>
            <w:shd w:val="clear" w:color="auto" w:fill="F1F1F1"/>
          </w:tcPr>
          <w:p w14:paraId="25191500" w14:textId="77777777" w:rsidR="00AC6F3C" w:rsidRDefault="00570E88">
            <w:pPr>
              <w:pStyle w:val="TableParagraph"/>
              <w:spacing w:before="39"/>
              <w:ind w:right="33"/>
              <w:jc w:val="right"/>
              <w:rPr>
                <w:sz w:val="17"/>
              </w:rPr>
            </w:pPr>
            <w:r>
              <w:rPr>
                <w:spacing w:val="-2"/>
                <w:sz w:val="17"/>
              </w:rPr>
              <w:t>2,439</w:t>
            </w:r>
          </w:p>
        </w:tc>
        <w:tc>
          <w:tcPr>
            <w:tcW w:w="1037" w:type="dxa"/>
          </w:tcPr>
          <w:p w14:paraId="4E476316" w14:textId="77777777" w:rsidR="00AC6F3C" w:rsidRDefault="00570E88">
            <w:pPr>
              <w:pStyle w:val="TableParagraph"/>
              <w:spacing w:before="39"/>
              <w:ind w:right="19"/>
              <w:jc w:val="right"/>
              <w:rPr>
                <w:sz w:val="17"/>
              </w:rPr>
            </w:pPr>
            <w:r>
              <w:rPr>
                <w:spacing w:val="-2"/>
                <w:sz w:val="17"/>
              </w:rPr>
              <w:t>2,325</w:t>
            </w:r>
          </w:p>
        </w:tc>
        <w:tc>
          <w:tcPr>
            <w:tcW w:w="1261" w:type="dxa"/>
            <w:shd w:val="clear" w:color="auto" w:fill="F1F1F1"/>
          </w:tcPr>
          <w:p w14:paraId="23B124C7" w14:textId="77777777" w:rsidR="00AC6F3C" w:rsidRDefault="00570E88">
            <w:pPr>
              <w:pStyle w:val="TableParagraph"/>
              <w:spacing w:before="39"/>
              <w:ind w:right="32"/>
              <w:jc w:val="right"/>
              <w:rPr>
                <w:sz w:val="17"/>
              </w:rPr>
            </w:pPr>
            <w:r>
              <w:rPr>
                <w:w w:val="98"/>
                <w:sz w:val="17"/>
              </w:rPr>
              <w:t>-</w:t>
            </w:r>
          </w:p>
        </w:tc>
        <w:tc>
          <w:tcPr>
            <w:tcW w:w="1044" w:type="dxa"/>
            <w:tcBorders>
              <w:right w:val="single" w:sz="6" w:space="0" w:color="000000"/>
            </w:tcBorders>
          </w:tcPr>
          <w:p w14:paraId="5DDC9B57" w14:textId="77777777" w:rsidR="00AC6F3C" w:rsidRDefault="00570E88">
            <w:pPr>
              <w:pStyle w:val="TableParagraph"/>
              <w:spacing w:before="39"/>
              <w:ind w:right="17"/>
              <w:jc w:val="right"/>
              <w:rPr>
                <w:sz w:val="17"/>
              </w:rPr>
            </w:pPr>
            <w:r>
              <w:rPr>
                <w:w w:val="98"/>
                <w:sz w:val="17"/>
              </w:rPr>
              <w:t>-</w:t>
            </w:r>
          </w:p>
        </w:tc>
      </w:tr>
      <w:tr w:rsidR="00AC6F3C" w14:paraId="786E10E2" w14:textId="77777777">
        <w:trPr>
          <w:trHeight w:val="268"/>
        </w:trPr>
        <w:tc>
          <w:tcPr>
            <w:tcW w:w="3393" w:type="dxa"/>
            <w:tcBorders>
              <w:left w:val="single" w:sz="6" w:space="0" w:color="000000"/>
              <w:bottom w:val="single" w:sz="6" w:space="0" w:color="000000"/>
            </w:tcBorders>
          </w:tcPr>
          <w:p w14:paraId="04516942" w14:textId="77777777" w:rsidR="00AC6F3C" w:rsidRDefault="00570E88">
            <w:pPr>
              <w:pStyle w:val="TableParagraph"/>
              <w:spacing w:before="39"/>
              <w:ind w:left="34"/>
              <w:rPr>
                <w:sz w:val="17"/>
              </w:rPr>
            </w:pPr>
            <w:r>
              <w:rPr>
                <w:sz w:val="17"/>
              </w:rPr>
              <w:t>Insurance</w:t>
            </w:r>
            <w:r>
              <w:rPr>
                <w:spacing w:val="6"/>
                <w:sz w:val="17"/>
              </w:rPr>
              <w:t xml:space="preserve"> </w:t>
            </w:r>
            <w:r>
              <w:rPr>
                <w:sz w:val="17"/>
              </w:rPr>
              <w:t>contract</w:t>
            </w:r>
            <w:r>
              <w:rPr>
                <w:spacing w:val="-4"/>
                <w:sz w:val="17"/>
              </w:rPr>
              <w:t xml:space="preserve"> </w:t>
            </w:r>
            <w:r>
              <w:rPr>
                <w:sz w:val="17"/>
              </w:rPr>
              <w:t>liabilities</w:t>
            </w:r>
            <w:r>
              <w:rPr>
                <w:spacing w:val="18"/>
                <w:sz w:val="17"/>
              </w:rPr>
              <w:t xml:space="preserve"> </w:t>
            </w:r>
            <w:r>
              <w:rPr>
                <w:spacing w:val="-2"/>
                <w:sz w:val="17"/>
              </w:rPr>
              <w:t>ceded</w:t>
            </w:r>
          </w:p>
        </w:tc>
        <w:tc>
          <w:tcPr>
            <w:tcW w:w="891" w:type="dxa"/>
            <w:tcBorders>
              <w:bottom w:val="single" w:sz="6" w:space="0" w:color="000000"/>
            </w:tcBorders>
          </w:tcPr>
          <w:p w14:paraId="423FB8DB" w14:textId="77777777" w:rsidR="00AC6F3C" w:rsidRDefault="00570E88">
            <w:pPr>
              <w:pStyle w:val="TableParagraph"/>
              <w:spacing w:before="39"/>
              <w:ind w:left="178" w:right="111"/>
              <w:jc w:val="center"/>
              <w:rPr>
                <w:sz w:val="17"/>
              </w:rPr>
            </w:pPr>
            <w:r>
              <w:rPr>
                <w:sz w:val="17"/>
              </w:rPr>
              <w:t>C8-</w:t>
            </w:r>
            <w:r>
              <w:rPr>
                <w:spacing w:val="-4"/>
                <w:sz w:val="17"/>
              </w:rPr>
              <w:t>2(a)</w:t>
            </w:r>
          </w:p>
        </w:tc>
        <w:tc>
          <w:tcPr>
            <w:tcW w:w="1416" w:type="dxa"/>
            <w:tcBorders>
              <w:bottom w:val="single" w:sz="6" w:space="0" w:color="000000"/>
            </w:tcBorders>
            <w:shd w:val="clear" w:color="auto" w:fill="F1F1F1"/>
          </w:tcPr>
          <w:p w14:paraId="21A38606" w14:textId="77777777" w:rsidR="00AC6F3C" w:rsidRDefault="00570E88">
            <w:pPr>
              <w:pStyle w:val="TableParagraph"/>
              <w:spacing w:before="39"/>
              <w:ind w:right="33"/>
              <w:jc w:val="right"/>
              <w:rPr>
                <w:sz w:val="17"/>
              </w:rPr>
            </w:pPr>
            <w:r>
              <w:rPr>
                <w:spacing w:val="-5"/>
                <w:sz w:val="17"/>
              </w:rPr>
              <w:t>549</w:t>
            </w:r>
          </w:p>
        </w:tc>
        <w:tc>
          <w:tcPr>
            <w:tcW w:w="1037" w:type="dxa"/>
            <w:tcBorders>
              <w:bottom w:val="single" w:sz="6" w:space="0" w:color="000000"/>
            </w:tcBorders>
          </w:tcPr>
          <w:p w14:paraId="19594D34" w14:textId="77777777" w:rsidR="00AC6F3C" w:rsidRDefault="00570E88">
            <w:pPr>
              <w:pStyle w:val="TableParagraph"/>
              <w:spacing w:before="39"/>
              <w:ind w:right="19"/>
              <w:jc w:val="right"/>
              <w:rPr>
                <w:sz w:val="17"/>
              </w:rPr>
            </w:pPr>
            <w:r>
              <w:rPr>
                <w:spacing w:val="-5"/>
                <w:sz w:val="17"/>
              </w:rPr>
              <w:t>214</w:t>
            </w:r>
          </w:p>
        </w:tc>
        <w:tc>
          <w:tcPr>
            <w:tcW w:w="1261" w:type="dxa"/>
            <w:tcBorders>
              <w:bottom w:val="single" w:sz="6" w:space="0" w:color="000000"/>
            </w:tcBorders>
            <w:shd w:val="clear" w:color="auto" w:fill="F1F1F1"/>
          </w:tcPr>
          <w:p w14:paraId="11F38023" w14:textId="77777777" w:rsidR="00AC6F3C" w:rsidRDefault="00570E88">
            <w:pPr>
              <w:pStyle w:val="TableParagraph"/>
              <w:spacing w:before="39"/>
              <w:ind w:right="32"/>
              <w:jc w:val="right"/>
              <w:rPr>
                <w:sz w:val="17"/>
              </w:rPr>
            </w:pPr>
            <w:r>
              <w:rPr>
                <w:w w:val="98"/>
                <w:sz w:val="17"/>
              </w:rPr>
              <w:t>-</w:t>
            </w:r>
          </w:p>
        </w:tc>
        <w:tc>
          <w:tcPr>
            <w:tcW w:w="1044" w:type="dxa"/>
            <w:tcBorders>
              <w:bottom w:val="single" w:sz="6" w:space="0" w:color="000000"/>
              <w:right w:val="single" w:sz="6" w:space="0" w:color="000000"/>
            </w:tcBorders>
          </w:tcPr>
          <w:p w14:paraId="458773B0" w14:textId="77777777" w:rsidR="00AC6F3C" w:rsidRDefault="00570E88">
            <w:pPr>
              <w:pStyle w:val="TableParagraph"/>
              <w:spacing w:before="39"/>
              <w:ind w:right="17"/>
              <w:jc w:val="right"/>
              <w:rPr>
                <w:sz w:val="17"/>
              </w:rPr>
            </w:pPr>
            <w:r>
              <w:rPr>
                <w:w w:val="98"/>
                <w:sz w:val="17"/>
              </w:rPr>
              <w:t>-</w:t>
            </w:r>
          </w:p>
        </w:tc>
      </w:tr>
      <w:tr w:rsidR="00AC6F3C" w14:paraId="4244241B"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318AA829" w14:textId="77777777" w:rsidR="00AC6F3C" w:rsidRDefault="00570E88">
            <w:pPr>
              <w:pStyle w:val="TableParagraph"/>
              <w:spacing w:before="36"/>
              <w:ind w:left="34"/>
              <w:rPr>
                <w:b/>
                <w:sz w:val="17"/>
              </w:rPr>
            </w:pPr>
            <w:r>
              <w:rPr>
                <w:b/>
                <w:spacing w:val="-2"/>
                <w:sz w:val="17"/>
              </w:rPr>
              <w:t>Total</w:t>
            </w:r>
            <w:r>
              <w:rPr>
                <w:b/>
                <w:spacing w:val="-9"/>
                <w:sz w:val="17"/>
              </w:rPr>
              <w:t xml:space="preserve"> </w:t>
            </w:r>
            <w:r>
              <w:rPr>
                <w:b/>
                <w:spacing w:val="-2"/>
                <w:sz w:val="17"/>
              </w:rPr>
              <w:t>current</w:t>
            </w:r>
            <w:r>
              <w:rPr>
                <w:b/>
                <w:spacing w:val="-3"/>
                <w:sz w:val="17"/>
              </w:rPr>
              <w:t xml:space="preserve"> </w:t>
            </w:r>
            <w:r>
              <w:rPr>
                <w:b/>
                <w:spacing w:val="-2"/>
                <w:sz w:val="17"/>
              </w:rPr>
              <w:t>assets</w:t>
            </w:r>
          </w:p>
        </w:tc>
        <w:tc>
          <w:tcPr>
            <w:tcW w:w="891" w:type="dxa"/>
            <w:tcBorders>
              <w:top w:val="single" w:sz="6" w:space="0" w:color="000000"/>
              <w:bottom w:val="single" w:sz="6" w:space="0" w:color="000000"/>
            </w:tcBorders>
            <w:shd w:val="clear" w:color="auto" w:fill="BEBEBE"/>
          </w:tcPr>
          <w:p w14:paraId="2F6202B0"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5E0DF2F3" w14:textId="77777777" w:rsidR="00AC6F3C" w:rsidRDefault="00570E88">
            <w:pPr>
              <w:pStyle w:val="TableParagraph"/>
              <w:spacing w:before="36"/>
              <w:ind w:right="33"/>
              <w:jc w:val="right"/>
              <w:rPr>
                <w:b/>
                <w:sz w:val="17"/>
              </w:rPr>
            </w:pPr>
            <w:r>
              <w:rPr>
                <w:b/>
                <w:spacing w:val="-2"/>
                <w:sz w:val="17"/>
              </w:rPr>
              <w:t>78,118</w:t>
            </w:r>
          </w:p>
        </w:tc>
        <w:tc>
          <w:tcPr>
            <w:tcW w:w="1037" w:type="dxa"/>
            <w:tcBorders>
              <w:top w:val="single" w:sz="6" w:space="0" w:color="000000"/>
              <w:bottom w:val="single" w:sz="6" w:space="0" w:color="000000"/>
            </w:tcBorders>
            <w:shd w:val="clear" w:color="auto" w:fill="BEBEBE"/>
          </w:tcPr>
          <w:p w14:paraId="582E4C63" w14:textId="77777777" w:rsidR="00AC6F3C" w:rsidRDefault="00570E88">
            <w:pPr>
              <w:pStyle w:val="TableParagraph"/>
              <w:spacing w:before="36"/>
              <w:ind w:right="19"/>
              <w:jc w:val="right"/>
              <w:rPr>
                <w:b/>
                <w:sz w:val="17"/>
              </w:rPr>
            </w:pPr>
            <w:r>
              <w:rPr>
                <w:b/>
                <w:spacing w:val="-2"/>
                <w:sz w:val="17"/>
              </w:rPr>
              <w:t>73,326</w:t>
            </w:r>
          </w:p>
        </w:tc>
        <w:tc>
          <w:tcPr>
            <w:tcW w:w="1261" w:type="dxa"/>
            <w:tcBorders>
              <w:top w:val="single" w:sz="6" w:space="0" w:color="000000"/>
              <w:bottom w:val="single" w:sz="6" w:space="0" w:color="000000"/>
            </w:tcBorders>
            <w:shd w:val="clear" w:color="auto" w:fill="BEBEBE"/>
          </w:tcPr>
          <w:p w14:paraId="03355254" w14:textId="77777777" w:rsidR="00AC6F3C" w:rsidRDefault="00570E88">
            <w:pPr>
              <w:pStyle w:val="TableParagraph"/>
              <w:spacing w:before="36"/>
              <w:ind w:right="32"/>
              <w:jc w:val="right"/>
              <w:rPr>
                <w:b/>
                <w:sz w:val="17"/>
              </w:rPr>
            </w:pPr>
            <w:r>
              <w:rPr>
                <w:b/>
                <w:spacing w:val="-2"/>
                <w:sz w:val="17"/>
              </w:rPr>
              <w:t>68,559</w:t>
            </w:r>
          </w:p>
        </w:tc>
        <w:tc>
          <w:tcPr>
            <w:tcW w:w="1044" w:type="dxa"/>
            <w:tcBorders>
              <w:top w:val="single" w:sz="6" w:space="0" w:color="000000"/>
              <w:bottom w:val="single" w:sz="6" w:space="0" w:color="000000"/>
              <w:right w:val="single" w:sz="6" w:space="0" w:color="000000"/>
            </w:tcBorders>
            <w:shd w:val="clear" w:color="auto" w:fill="BEBEBE"/>
          </w:tcPr>
          <w:p w14:paraId="2FA40442" w14:textId="77777777" w:rsidR="00AC6F3C" w:rsidRDefault="00570E88">
            <w:pPr>
              <w:pStyle w:val="TableParagraph"/>
              <w:spacing w:before="36"/>
              <w:ind w:right="16"/>
              <w:jc w:val="right"/>
              <w:rPr>
                <w:b/>
                <w:sz w:val="17"/>
              </w:rPr>
            </w:pPr>
            <w:r>
              <w:rPr>
                <w:b/>
                <w:spacing w:val="-2"/>
                <w:sz w:val="17"/>
              </w:rPr>
              <w:t>65,064</w:t>
            </w:r>
          </w:p>
        </w:tc>
      </w:tr>
      <w:tr w:rsidR="00AC6F3C" w14:paraId="2815950B" w14:textId="77777777">
        <w:trPr>
          <w:trHeight w:val="278"/>
        </w:trPr>
        <w:tc>
          <w:tcPr>
            <w:tcW w:w="3393" w:type="dxa"/>
            <w:tcBorders>
              <w:top w:val="single" w:sz="6" w:space="0" w:color="000000"/>
              <w:left w:val="single" w:sz="6" w:space="0" w:color="000000"/>
            </w:tcBorders>
          </w:tcPr>
          <w:p w14:paraId="4B29FF44" w14:textId="77777777" w:rsidR="00AC6F3C" w:rsidRDefault="00570E88">
            <w:pPr>
              <w:pStyle w:val="TableParagraph"/>
              <w:spacing w:before="36"/>
              <w:ind w:left="34"/>
              <w:rPr>
                <w:b/>
                <w:sz w:val="17"/>
              </w:rPr>
            </w:pPr>
            <w:r>
              <w:rPr>
                <w:b/>
                <w:spacing w:val="-4"/>
                <w:sz w:val="17"/>
              </w:rPr>
              <w:t>Non-current</w:t>
            </w:r>
            <w:r>
              <w:rPr>
                <w:b/>
                <w:spacing w:val="4"/>
                <w:sz w:val="17"/>
              </w:rPr>
              <w:t xml:space="preserve"> </w:t>
            </w:r>
            <w:r>
              <w:rPr>
                <w:b/>
                <w:spacing w:val="-4"/>
                <w:sz w:val="17"/>
              </w:rPr>
              <w:t>assets</w:t>
            </w:r>
          </w:p>
        </w:tc>
        <w:tc>
          <w:tcPr>
            <w:tcW w:w="891" w:type="dxa"/>
            <w:tcBorders>
              <w:top w:val="single" w:sz="6" w:space="0" w:color="000000"/>
            </w:tcBorders>
          </w:tcPr>
          <w:p w14:paraId="2532BD47" w14:textId="77777777" w:rsidR="00AC6F3C" w:rsidRDefault="00AC6F3C">
            <w:pPr>
              <w:pStyle w:val="TableParagraph"/>
              <w:rPr>
                <w:rFonts w:ascii="Times New Roman"/>
                <w:sz w:val="16"/>
              </w:rPr>
            </w:pPr>
          </w:p>
        </w:tc>
        <w:tc>
          <w:tcPr>
            <w:tcW w:w="1416" w:type="dxa"/>
            <w:tcBorders>
              <w:top w:val="single" w:sz="6" w:space="0" w:color="000000"/>
            </w:tcBorders>
            <w:shd w:val="clear" w:color="auto" w:fill="F1F1F1"/>
          </w:tcPr>
          <w:p w14:paraId="26942403" w14:textId="77777777" w:rsidR="00AC6F3C" w:rsidRDefault="00AC6F3C">
            <w:pPr>
              <w:pStyle w:val="TableParagraph"/>
              <w:rPr>
                <w:rFonts w:ascii="Times New Roman"/>
                <w:sz w:val="16"/>
              </w:rPr>
            </w:pPr>
          </w:p>
        </w:tc>
        <w:tc>
          <w:tcPr>
            <w:tcW w:w="1037" w:type="dxa"/>
            <w:tcBorders>
              <w:top w:val="single" w:sz="6" w:space="0" w:color="000000"/>
            </w:tcBorders>
          </w:tcPr>
          <w:p w14:paraId="1C364B0D" w14:textId="77777777" w:rsidR="00AC6F3C" w:rsidRDefault="00AC6F3C">
            <w:pPr>
              <w:pStyle w:val="TableParagraph"/>
              <w:rPr>
                <w:rFonts w:ascii="Times New Roman"/>
                <w:sz w:val="16"/>
              </w:rPr>
            </w:pPr>
          </w:p>
        </w:tc>
        <w:tc>
          <w:tcPr>
            <w:tcW w:w="1261" w:type="dxa"/>
            <w:tcBorders>
              <w:top w:val="single" w:sz="6" w:space="0" w:color="000000"/>
            </w:tcBorders>
            <w:shd w:val="clear" w:color="auto" w:fill="F1F1F1"/>
          </w:tcPr>
          <w:p w14:paraId="69EA01E5" w14:textId="77777777" w:rsidR="00AC6F3C" w:rsidRDefault="00AC6F3C">
            <w:pPr>
              <w:pStyle w:val="TableParagraph"/>
              <w:rPr>
                <w:rFonts w:ascii="Times New Roman"/>
                <w:sz w:val="16"/>
              </w:rPr>
            </w:pPr>
          </w:p>
        </w:tc>
        <w:tc>
          <w:tcPr>
            <w:tcW w:w="1044" w:type="dxa"/>
            <w:tcBorders>
              <w:top w:val="single" w:sz="6" w:space="0" w:color="000000"/>
              <w:right w:val="single" w:sz="6" w:space="0" w:color="000000"/>
            </w:tcBorders>
          </w:tcPr>
          <w:p w14:paraId="515795AB" w14:textId="77777777" w:rsidR="00AC6F3C" w:rsidRDefault="00AC6F3C">
            <w:pPr>
              <w:pStyle w:val="TableParagraph"/>
              <w:rPr>
                <w:rFonts w:ascii="Times New Roman"/>
                <w:sz w:val="16"/>
              </w:rPr>
            </w:pPr>
          </w:p>
        </w:tc>
      </w:tr>
      <w:tr w:rsidR="00AC6F3C" w14:paraId="05B170AA" w14:textId="77777777">
        <w:trPr>
          <w:trHeight w:val="280"/>
        </w:trPr>
        <w:tc>
          <w:tcPr>
            <w:tcW w:w="3393" w:type="dxa"/>
            <w:tcBorders>
              <w:left w:val="single" w:sz="6" w:space="0" w:color="000000"/>
            </w:tcBorders>
          </w:tcPr>
          <w:p w14:paraId="5F038B41" w14:textId="77777777" w:rsidR="00AC6F3C" w:rsidRDefault="00570E88">
            <w:pPr>
              <w:pStyle w:val="TableParagraph"/>
              <w:spacing w:before="39"/>
              <w:ind w:left="34"/>
              <w:rPr>
                <w:sz w:val="17"/>
              </w:rPr>
            </w:pPr>
            <w:r>
              <w:rPr>
                <w:sz w:val="17"/>
              </w:rPr>
              <w:t>Investment</w:t>
            </w:r>
            <w:r>
              <w:rPr>
                <w:spacing w:val="-8"/>
                <w:sz w:val="17"/>
              </w:rPr>
              <w:t xml:space="preserve"> </w:t>
            </w:r>
            <w:r>
              <w:rPr>
                <w:sz w:val="17"/>
              </w:rPr>
              <w:t>in</w:t>
            </w:r>
            <w:r>
              <w:rPr>
                <w:spacing w:val="2"/>
                <w:sz w:val="17"/>
              </w:rPr>
              <w:t xml:space="preserve"> </w:t>
            </w:r>
            <w:r>
              <w:rPr>
                <w:sz w:val="17"/>
              </w:rPr>
              <w:t>controlled</w:t>
            </w:r>
            <w:r>
              <w:rPr>
                <w:spacing w:val="1"/>
                <w:sz w:val="17"/>
              </w:rPr>
              <w:t xml:space="preserve"> </w:t>
            </w:r>
            <w:r>
              <w:rPr>
                <w:spacing w:val="-2"/>
                <w:sz w:val="17"/>
              </w:rPr>
              <w:t>entities</w:t>
            </w:r>
          </w:p>
        </w:tc>
        <w:tc>
          <w:tcPr>
            <w:tcW w:w="891" w:type="dxa"/>
          </w:tcPr>
          <w:p w14:paraId="260228A9" w14:textId="77777777" w:rsidR="00AC6F3C" w:rsidRDefault="00570E88">
            <w:pPr>
              <w:pStyle w:val="TableParagraph"/>
              <w:spacing w:before="39"/>
              <w:ind w:left="173" w:right="111"/>
              <w:jc w:val="center"/>
              <w:rPr>
                <w:sz w:val="17"/>
              </w:rPr>
            </w:pPr>
            <w:r>
              <w:rPr>
                <w:spacing w:val="-5"/>
                <w:sz w:val="17"/>
              </w:rPr>
              <w:t>C3</w:t>
            </w:r>
          </w:p>
        </w:tc>
        <w:tc>
          <w:tcPr>
            <w:tcW w:w="1416" w:type="dxa"/>
            <w:shd w:val="clear" w:color="auto" w:fill="F1F1F1"/>
          </w:tcPr>
          <w:p w14:paraId="3BDEB263" w14:textId="77777777" w:rsidR="00AC6F3C" w:rsidRDefault="00570E88">
            <w:pPr>
              <w:pStyle w:val="TableParagraph"/>
              <w:spacing w:before="39"/>
              <w:ind w:right="33"/>
              <w:jc w:val="right"/>
              <w:rPr>
                <w:sz w:val="17"/>
              </w:rPr>
            </w:pPr>
            <w:r>
              <w:rPr>
                <w:w w:val="98"/>
                <w:sz w:val="17"/>
              </w:rPr>
              <w:t>-</w:t>
            </w:r>
          </w:p>
        </w:tc>
        <w:tc>
          <w:tcPr>
            <w:tcW w:w="1037" w:type="dxa"/>
          </w:tcPr>
          <w:p w14:paraId="696E5562" w14:textId="77777777" w:rsidR="00AC6F3C" w:rsidRDefault="00570E88">
            <w:pPr>
              <w:pStyle w:val="TableParagraph"/>
              <w:spacing w:before="39"/>
              <w:ind w:right="19"/>
              <w:jc w:val="right"/>
              <w:rPr>
                <w:sz w:val="17"/>
              </w:rPr>
            </w:pPr>
            <w:r>
              <w:rPr>
                <w:w w:val="98"/>
                <w:sz w:val="17"/>
              </w:rPr>
              <w:t>-</w:t>
            </w:r>
          </w:p>
        </w:tc>
        <w:tc>
          <w:tcPr>
            <w:tcW w:w="1261" w:type="dxa"/>
            <w:shd w:val="clear" w:color="auto" w:fill="F1F1F1"/>
          </w:tcPr>
          <w:p w14:paraId="48CE6D23" w14:textId="77777777" w:rsidR="00AC6F3C" w:rsidRDefault="00570E88">
            <w:pPr>
              <w:pStyle w:val="TableParagraph"/>
              <w:spacing w:before="39"/>
              <w:ind w:right="32"/>
              <w:jc w:val="right"/>
              <w:rPr>
                <w:sz w:val="17"/>
              </w:rPr>
            </w:pPr>
            <w:r>
              <w:rPr>
                <w:spacing w:val="-2"/>
                <w:sz w:val="17"/>
              </w:rPr>
              <w:t>19,000</w:t>
            </w:r>
          </w:p>
        </w:tc>
        <w:tc>
          <w:tcPr>
            <w:tcW w:w="1044" w:type="dxa"/>
            <w:tcBorders>
              <w:right w:val="single" w:sz="6" w:space="0" w:color="000000"/>
            </w:tcBorders>
          </w:tcPr>
          <w:p w14:paraId="323DBE11" w14:textId="77777777" w:rsidR="00AC6F3C" w:rsidRDefault="00570E88">
            <w:pPr>
              <w:pStyle w:val="TableParagraph"/>
              <w:spacing w:before="39"/>
              <w:ind w:right="17"/>
              <w:jc w:val="right"/>
              <w:rPr>
                <w:sz w:val="17"/>
              </w:rPr>
            </w:pPr>
            <w:r>
              <w:rPr>
                <w:spacing w:val="-2"/>
                <w:sz w:val="17"/>
              </w:rPr>
              <w:t>19,000</w:t>
            </w:r>
          </w:p>
        </w:tc>
      </w:tr>
      <w:tr w:rsidR="00AC6F3C" w14:paraId="5A235537" w14:textId="77777777">
        <w:trPr>
          <w:trHeight w:val="280"/>
        </w:trPr>
        <w:tc>
          <w:tcPr>
            <w:tcW w:w="3393" w:type="dxa"/>
            <w:tcBorders>
              <w:left w:val="single" w:sz="6" w:space="0" w:color="000000"/>
            </w:tcBorders>
          </w:tcPr>
          <w:p w14:paraId="033BDF1C" w14:textId="77777777" w:rsidR="00AC6F3C" w:rsidRDefault="00570E88">
            <w:pPr>
              <w:pStyle w:val="TableParagraph"/>
              <w:spacing w:before="39"/>
              <w:ind w:left="34"/>
              <w:rPr>
                <w:sz w:val="17"/>
              </w:rPr>
            </w:pPr>
            <w:r>
              <w:rPr>
                <w:spacing w:val="-2"/>
                <w:sz w:val="17"/>
              </w:rPr>
              <w:t>Investments</w:t>
            </w:r>
          </w:p>
        </w:tc>
        <w:tc>
          <w:tcPr>
            <w:tcW w:w="891" w:type="dxa"/>
          </w:tcPr>
          <w:p w14:paraId="2AEAF53D" w14:textId="77777777" w:rsidR="00AC6F3C" w:rsidRDefault="00570E88">
            <w:pPr>
              <w:pStyle w:val="TableParagraph"/>
              <w:spacing w:before="39"/>
              <w:ind w:left="173" w:right="111"/>
              <w:jc w:val="center"/>
              <w:rPr>
                <w:sz w:val="17"/>
              </w:rPr>
            </w:pPr>
            <w:r>
              <w:rPr>
                <w:spacing w:val="-5"/>
                <w:sz w:val="17"/>
              </w:rPr>
              <w:t>C4</w:t>
            </w:r>
          </w:p>
        </w:tc>
        <w:tc>
          <w:tcPr>
            <w:tcW w:w="1416" w:type="dxa"/>
            <w:shd w:val="clear" w:color="auto" w:fill="F1F1F1"/>
          </w:tcPr>
          <w:p w14:paraId="12CEE441" w14:textId="77777777" w:rsidR="00AC6F3C" w:rsidRDefault="00570E88">
            <w:pPr>
              <w:pStyle w:val="TableParagraph"/>
              <w:spacing w:before="39"/>
              <w:ind w:right="33"/>
              <w:jc w:val="right"/>
              <w:rPr>
                <w:sz w:val="17"/>
              </w:rPr>
            </w:pPr>
            <w:r>
              <w:rPr>
                <w:spacing w:val="-2"/>
                <w:sz w:val="17"/>
              </w:rPr>
              <w:t>197,465</w:t>
            </w:r>
          </w:p>
        </w:tc>
        <w:tc>
          <w:tcPr>
            <w:tcW w:w="1037" w:type="dxa"/>
          </w:tcPr>
          <w:p w14:paraId="261759D9" w14:textId="77777777" w:rsidR="00AC6F3C" w:rsidRDefault="00570E88">
            <w:pPr>
              <w:pStyle w:val="TableParagraph"/>
              <w:spacing w:before="39"/>
              <w:ind w:right="19"/>
              <w:jc w:val="right"/>
              <w:rPr>
                <w:sz w:val="17"/>
              </w:rPr>
            </w:pPr>
            <w:r>
              <w:rPr>
                <w:spacing w:val="-2"/>
                <w:sz w:val="17"/>
              </w:rPr>
              <w:t>185,460</w:t>
            </w:r>
          </w:p>
        </w:tc>
        <w:tc>
          <w:tcPr>
            <w:tcW w:w="1261" w:type="dxa"/>
            <w:shd w:val="clear" w:color="auto" w:fill="F1F1F1"/>
          </w:tcPr>
          <w:p w14:paraId="68DE9134" w14:textId="77777777" w:rsidR="00AC6F3C" w:rsidRDefault="00570E88">
            <w:pPr>
              <w:pStyle w:val="TableParagraph"/>
              <w:spacing w:before="39"/>
              <w:ind w:right="32"/>
              <w:jc w:val="right"/>
              <w:rPr>
                <w:sz w:val="17"/>
              </w:rPr>
            </w:pPr>
            <w:r>
              <w:rPr>
                <w:w w:val="98"/>
                <w:sz w:val="17"/>
              </w:rPr>
              <w:t>-</w:t>
            </w:r>
          </w:p>
        </w:tc>
        <w:tc>
          <w:tcPr>
            <w:tcW w:w="1044" w:type="dxa"/>
            <w:tcBorders>
              <w:right w:val="single" w:sz="6" w:space="0" w:color="000000"/>
            </w:tcBorders>
          </w:tcPr>
          <w:p w14:paraId="3D755AA6" w14:textId="77777777" w:rsidR="00AC6F3C" w:rsidRDefault="00570E88">
            <w:pPr>
              <w:pStyle w:val="TableParagraph"/>
              <w:spacing w:before="39"/>
              <w:ind w:right="17"/>
              <w:jc w:val="right"/>
              <w:rPr>
                <w:sz w:val="17"/>
              </w:rPr>
            </w:pPr>
            <w:r>
              <w:rPr>
                <w:w w:val="98"/>
                <w:sz w:val="17"/>
              </w:rPr>
              <w:t>-</w:t>
            </w:r>
          </w:p>
        </w:tc>
      </w:tr>
      <w:tr w:rsidR="00AC6F3C" w14:paraId="73FAC4F8" w14:textId="77777777">
        <w:trPr>
          <w:trHeight w:val="280"/>
        </w:trPr>
        <w:tc>
          <w:tcPr>
            <w:tcW w:w="3393" w:type="dxa"/>
            <w:tcBorders>
              <w:left w:val="single" w:sz="6" w:space="0" w:color="000000"/>
            </w:tcBorders>
          </w:tcPr>
          <w:p w14:paraId="188900B1" w14:textId="77777777" w:rsidR="00AC6F3C" w:rsidRDefault="00570E88">
            <w:pPr>
              <w:pStyle w:val="TableParagraph"/>
              <w:spacing w:before="39"/>
              <w:ind w:left="34"/>
              <w:rPr>
                <w:sz w:val="17"/>
              </w:rPr>
            </w:pPr>
            <w:r>
              <w:rPr>
                <w:sz w:val="17"/>
              </w:rPr>
              <w:t>Property,</w:t>
            </w:r>
            <w:r>
              <w:rPr>
                <w:spacing w:val="-12"/>
                <w:sz w:val="17"/>
              </w:rPr>
              <w:t xml:space="preserve"> </w:t>
            </w:r>
            <w:r>
              <w:rPr>
                <w:sz w:val="17"/>
              </w:rPr>
              <w:t>plant</w:t>
            </w:r>
            <w:r>
              <w:rPr>
                <w:spacing w:val="-12"/>
                <w:sz w:val="17"/>
              </w:rPr>
              <w:t xml:space="preserve"> </w:t>
            </w:r>
            <w:r>
              <w:rPr>
                <w:sz w:val="17"/>
              </w:rPr>
              <w:t>and</w:t>
            </w:r>
            <w:r>
              <w:rPr>
                <w:spacing w:val="-9"/>
                <w:sz w:val="17"/>
              </w:rPr>
              <w:t xml:space="preserve"> </w:t>
            </w:r>
            <w:r>
              <w:rPr>
                <w:spacing w:val="-2"/>
                <w:sz w:val="17"/>
              </w:rPr>
              <w:t>equipment</w:t>
            </w:r>
          </w:p>
        </w:tc>
        <w:tc>
          <w:tcPr>
            <w:tcW w:w="891" w:type="dxa"/>
          </w:tcPr>
          <w:p w14:paraId="5AEC3461" w14:textId="77777777" w:rsidR="00AC6F3C" w:rsidRDefault="00570E88">
            <w:pPr>
              <w:pStyle w:val="TableParagraph"/>
              <w:spacing w:before="39"/>
              <w:ind w:left="173" w:right="111"/>
              <w:jc w:val="center"/>
              <w:rPr>
                <w:sz w:val="17"/>
              </w:rPr>
            </w:pPr>
            <w:r>
              <w:rPr>
                <w:spacing w:val="-5"/>
                <w:sz w:val="17"/>
              </w:rPr>
              <w:t>C5</w:t>
            </w:r>
          </w:p>
        </w:tc>
        <w:tc>
          <w:tcPr>
            <w:tcW w:w="1416" w:type="dxa"/>
            <w:shd w:val="clear" w:color="auto" w:fill="F1F1F1"/>
          </w:tcPr>
          <w:p w14:paraId="32A26247" w14:textId="77777777" w:rsidR="00AC6F3C" w:rsidRDefault="00570E88">
            <w:pPr>
              <w:pStyle w:val="TableParagraph"/>
              <w:spacing w:before="39"/>
              <w:ind w:right="33"/>
              <w:jc w:val="right"/>
              <w:rPr>
                <w:sz w:val="17"/>
              </w:rPr>
            </w:pPr>
            <w:r>
              <w:rPr>
                <w:spacing w:val="-2"/>
                <w:sz w:val="17"/>
              </w:rPr>
              <w:t>40,208</w:t>
            </w:r>
          </w:p>
        </w:tc>
        <w:tc>
          <w:tcPr>
            <w:tcW w:w="1037" w:type="dxa"/>
          </w:tcPr>
          <w:p w14:paraId="1AA10CFF" w14:textId="77777777" w:rsidR="00AC6F3C" w:rsidRDefault="00570E88">
            <w:pPr>
              <w:pStyle w:val="TableParagraph"/>
              <w:spacing w:before="39"/>
              <w:ind w:right="19"/>
              <w:jc w:val="right"/>
              <w:rPr>
                <w:sz w:val="17"/>
              </w:rPr>
            </w:pPr>
            <w:r>
              <w:rPr>
                <w:spacing w:val="-2"/>
                <w:sz w:val="17"/>
              </w:rPr>
              <w:t>31,606</w:t>
            </w:r>
          </w:p>
        </w:tc>
        <w:tc>
          <w:tcPr>
            <w:tcW w:w="1261" w:type="dxa"/>
            <w:shd w:val="clear" w:color="auto" w:fill="F1F1F1"/>
          </w:tcPr>
          <w:p w14:paraId="2F7C45E4" w14:textId="77777777" w:rsidR="00AC6F3C" w:rsidRDefault="00570E88">
            <w:pPr>
              <w:pStyle w:val="TableParagraph"/>
              <w:spacing w:before="39"/>
              <w:ind w:right="32"/>
              <w:jc w:val="right"/>
              <w:rPr>
                <w:sz w:val="17"/>
              </w:rPr>
            </w:pPr>
            <w:r>
              <w:rPr>
                <w:spacing w:val="-2"/>
                <w:sz w:val="17"/>
              </w:rPr>
              <w:t>39,485</w:t>
            </w:r>
          </w:p>
        </w:tc>
        <w:tc>
          <w:tcPr>
            <w:tcW w:w="1044" w:type="dxa"/>
            <w:tcBorders>
              <w:right w:val="single" w:sz="6" w:space="0" w:color="000000"/>
            </w:tcBorders>
          </w:tcPr>
          <w:p w14:paraId="4D91F898" w14:textId="77777777" w:rsidR="00AC6F3C" w:rsidRDefault="00570E88">
            <w:pPr>
              <w:pStyle w:val="TableParagraph"/>
              <w:spacing w:before="39"/>
              <w:ind w:right="16"/>
              <w:jc w:val="right"/>
              <w:rPr>
                <w:sz w:val="17"/>
              </w:rPr>
            </w:pPr>
            <w:r>
              <w:rPr>
                <w:spacing w:val="-2"/>
                <w:sz w:val="17"/>
              </w:rPr>
              <w:t>30,815</w:t>
            </w:r>
          </w:p>
        </w:tc>
      </w:tr>
      <w:tr w:rsidR="00AC6F3C" w14:paraId="18E07DB0" w14:textId="77777777">
        <w:trPr>
          <w:trHeight w:val="280"/>
        </w:trPr>
        <w:tc>
          <w:tcPr>
            <w:tcW w:w="3393" w:type="dxa"/>
            <w:tcBorders>
              <w:left w:val="single" w:sz="6" w:space="0" w:color="000000"/>
            </w:tcBorders>
          </w:tcPr>
          <w:p w14:paraId="7663518E" w14:textId="77777777" w:rsidR="00AC6F3C" w:rsidRDefault="00570E88">
            <w:pPr>
              <w:pStyle w:val="TableParagraph"/>
              <w:spacing w:before="39"/>
              <w:ind w:left="34"/>
              <w:rPr>
                <w:sz w:val="17"/>
              </w:rPr>
            </w:pPr>
            <w:r>
              <w:rPr>
                <w:sz w:val="17"/>
              </w:rPr>
              <w:t>Deferred</w:t>
            </w:r>
            <w:r>
              <w:rPr>
                <w:spacing w:val="-9"/>
                <w:sz w:val="17"/>
              </w:rPr>
              <w:t xml:space="preserve"> </w:t>
            </w:r>
            <w:r>
              <w:rPr>
                <w:sz w:val="17"/>
              </w:rPr>
              <w:t>tax</w:t>
            </w:r>
            <w:r>
              <w:rPr>
                <w:spacing w:val="-20"/>
                <w:sz w:val="17"/>
              </w:rPr>
              <w:t xml:space="preserve"> </w:t>
            </w:r>
            <w:r>
              <w:rPr>
                <w:spacing w:val="-2"/>
                <w:sz w:val="17"/>
              </w:rPr>
              <w:t>assets</w:t>
            </w:r>
          </w:p>
        </w:tc>
        <w:tc>
          <w:tcPr>
            <w:tcW w:w="891" w:type="dxa"/>
          </w:tcPr>
          <w:p w14:paraId="5B3CB157" w14:textId="77777777" w:rsidR="00AC6F3C" w:rsidRDefault="00570E88">
            <w:pPr>
              <w:pStyle w:val="TableParagraph"/>
              <w:spacing w:before="39"/>
              <w:ind w:left="155" w:right="111"/>
              <w:jc w:val="center"/>
              <w:rPr>
                <w:sz w:val="17"/>
              </w:rPr>
            </w:pPr>
            <w:r>
              <w:rPr>
                <w:spacing w:val="-4"/>
                <w:sz w:val="17"/>
              </w:rPr>
              <w:t>F1-</w:t>
            </w:r>
            <w:r>
              <w:rPr>
                <w:spacing w:val="-10"/>
                <w:sz w:val="17"/>
              </w:rPr>
              <w:t>3</w:t>
            </w:r>
          </w:p>
        </w:tc>
        <w:tc>
          <w:tcPr>
            <w:tcW w:w="1416" w:type="dxa"/>
            <w:shd w:val="clear" w:color="auto" w:fill="F1F1F1"/>
          </w:tcPr>
          <w:p w14:paraId="426C4114" w14:textId="77777777" w:rsidR="00AC6F3C" w:rsidRDefault="00570E88">
            <w:pPr>
              <w:pStyle w:val="TableParagraph"/>
              <w:spacing w:before="39"/>
              <w:ind w:right="33"/>
              <w:jc w:val="right"/>
              <w:rPr>
                <w:sz w:val="17"/>
              </w:rPr>
            </w:pPr>
            <w:r>
              <w:rPr>
                <w:spacing w:val="-2"/>
                <w:sz w:val="17"/>
              </w:rPr>
              <w:t>1,628</w:t>
            </w:r>
          </w:p>
        </w:tc>
        <w:tc>
          <w:tcPr>
            <w:tcW w:w="1037" w:type="dxa"/>
          </w:tcPr>
          <w:p w14:paraId="4E097A60" w14:textId="77777777" w:rsidR="00AC6F3C" w:rsidRDefault="00570E88">
            <w:pPr>
              <w:pStyle w:val="TableParagraph"/>
              <w:spacing w:before="39"/>
              <w:ind w:right="20"/>
              <w:jc w:val="right"/>
              <w:rPr>
                <w:sz w:val="17"/>
              </w:rPr>
            </w:pPr>
            <w:r>
              <w:rPr>
                <w:spacing w:val="-2"/>
                <w:sz w:val="17"/>
              </w:rPr>
              <w:t>4,129</w:t>
            </w:r>
          </w:p>
        </w:tc>
        <w:tc>
          <w:tcPr>
            <w:tcW w:w="1261" w:type="dxa"/>
            <w:shd w:val="clear" w:color="auto" w:fill="F1F1F1"/>
          </w:tcPr>
          <w:p w14:paraId="5CA8941C" w14:textId="77777777" w:rsidR="00AC6F3C" w:rsidRDefault="00570E88">
            <w:pPr>
              <w:pStyle w:val="TableParagraph"/>
              <w:spacing w:before="39"/>
              <w:ind w:right="31"/>
              <w:jc w:val="right"/>
              <w:rPr>
                <w:sz w:val="17"/>
              </w:rPr>
            </w:pPr>
            <w:r>
              <w:rPr>
                <w:w w:val="98"/>
                <w:sz w:val="17"/>
              </w:rPr>
              <w:t>-</w:t>
            </w:r>
          </w:p>
        </w:tc>
        <w:tc>
          <w:tcPr>
            <w:tcW w:w="1044" w:type="dxa"/>
            <w:tcBorders>
              <w:right w:val="single" w:sz="6" w:space="0" w:color="000000"/>
            </w:tcBorders>
          </w:tcPr>
          <w:p w14:paraId="4A46CAD7" w14:textId="77777777" w:rsidR="00AC6F3C" w:rsidRDefault="00570E88">
            <w:pPr>
              <w:pStyle w:val="TableParagraph"/>
              <w:spacing w:before="39"/>
              <w:ind w:right="16"/>
              <w:jc w:val="right"/>
              <w:rPr>
                <w:sz w:val="17"/>
              </w:rPr>
            </w:pPr>
            <w:r>
              <w:rPr>
                <w:w w:val="98"/>
                <w:sz w:val="17"/>
              </w:rPr>
              <w:t>-</w:t>
            </w:r>
          </w:p>
        </w:tc>
      </w:tr>
      <w:tr w:rsidR="00AC6F3C" w14:paraId="07B805A2" w14:textId="77777777">
        <w:trPr>
          <w:trHeight w:val="268"/>
        </w:trPr>
        <w:tc>
          <w:tcPr>
            <w:tcW w:w="3393" w:type="dxa"/>
            <w:tcBorders>
              <w:left w:val="single" w:sz="6" w:space="0" w:color="000000"/>
              <w:bottom w:val="single" w:sz="6" w:space="0" w:color="000000"/>
            </w:tcBorders>
          </w:tcPr>
          <w:p w14:paraId="77428BC5" w14:textId="77777777" w:rsidR="00AC6F3C" w:rsidRDefault="00570E88">
            <w:pPr>
              <w:pStyle w:val="TableParagraph"/>
              <w:spacing w:before="39"/>
              <w:ind w:left="34"/>
              <w:rPr>
                <w:sz w:val="17"/>
              </w:rPr>
            </w:pPr>
            <w:r>
              <w:rPr>
                <w:sz w:val="17"/>
              </w:rPr>
              <w:t>Insurance</w:t>
            </w:r>
            <w:r>
              <w:rPr>
                <w:spacing w:val="6"/>
                <w:sz w:val="17"/>
              </w:rPr>
              <w:t xml:space="preserve"> </w:t>
            </w:r>
            <w:r>
              <w:rPr>
                <w:sz w:val="17"/>
              </w:rPr>
              <w:t>contract</w:t>
            </w:r>
            <w:r>
              <w:rPr>
                <w:spacing w:val="-4"/>
                <w:sz w:val="17"/>
              </w:rPr>
              <w:t xml:space="preserve"> </w:t>
            </w:r>
            <w:r>
              <w:rPr>
                <w:sz w:val="17"/>
              </w:rPr>
              <w:t>liabilities</w:t>
            </w:r>
            <w:r>
              <w:rPr>
                <w:spacing w:val="18"/>
                <w:sz w:val="17"/>
              </w:rPr>
              <w:t xml:space="preserve"> </w:t>
            </w:r>
            <w:r>
              <w:rPr>
                <w:spacing w:val="-2"/>
                <w:sz w:val="17"/>
              </w:rPr>
              <w:t>ceded</w:t>
            </w:r>
          </w:p>
        </w:tc>
        <w:tc>
          <w:tcPr>
            <w:tcW w:w="891" w:type="dxa"/>
            <w:tcBorders>
              <w:bottom w:val="single" w:sz="6" w:space="0" w:color="000000"/>
            </w:tcBorders>
          </w:tcPr>
          <w:p w14:paraId="4EF905AB" w14:textId="77777777" w:rsidR="00AC6F3C" w:rsidRDefault="00570E88">
            <w:pPr>
              <w:pStyle w:val="TableParagraph"/>
              <w:spacing w:before="39"/>
              <w:ind w:left="178" w:right="111"/>
              <w:jc w:val="center"/>
              <w:rPr>
                <w:sz w:val="17"/>
              </w:rPr>
            </w:pPr>
            <w:r>
              <w:rPr>
                <w:sz w:val="17"/>
              </w:rPr>
              <w:t>C8-</w:t>
            </w:r>
            <w:r>
              <w:rPr>
                <w:spacing w:val="-4"/>
                <w:sz w:val="17"/>
              </w:rPr>
              <w:t>2(a)</w:t>
            </w:r>
          </w:p>
        </w:tc>
        <w:tc>
          <w:tcPr>
            <w:tcW w:w="1416" w:type="dxa"/>
            <w:tcBorders>
              <w:bottom w:val="single" w:sz="6" w:space="0" w:color="000000"/>
            </w:tcBorders>
            <w:shd w:val="clear" w:color="auto" w:fill="F1F1F1"/>
          </w:tcPr>
          <w:p w14:paraId="425B49C3" w14:textId="77777777" w:rsidR="00AC6F3C" w:rsidRDefault="00570E88">
            <w:pPr>
              <w:pStyle w:val="TableParagraph"/>
              <w:spacing w:before="39"/>
              <w:ind w:right="33"/>
              <w:jc w:val="right"/>
              <w:rPr>
                <w:sz w:val="17"/>
              </w:rPr>
            </w:pPr>
            <w:r>
              <w:rPr>
                <w:spacing w:val="-2"/>
                <w:sz w:val="17"/>
              </w:rPr>
              <w:t>9,315</w:t>
            </w:r>
          </w:p>
        </w:tc>
        <w:tc>
          <w:tcPr>
            <w:tcW w:w="1037" w:type="dxa"/>
            <w:tcBorders>
              <w:bottom w:val="single" w:sz="6" w:space="0" w:color="000000"/>
            </w:tcBorders>
          </w:tcPr>
          <w:p w14:paraId="4329931C" w14:textId="77777777" w:rsidR="00AC6F3C" w:rsidRDefault="00570E88">
            <w:pPr>
              <w:pStyle w:val="TableParagraph"/>
              <w:spacing w:before="39"/>
              <w:ind w:right="19"/>
              <w:jc w:val="right"/>
              <w:rPr>
                <w:sz w:val="17"/>
              </w:rPr>
            </w:pPr>
            <w:r>
              <w:rPr>
                <w:spacing w:val="-5"/>
                <w:sz w:val="17"/>
              </w:rPr>
              <w:t>459</w:t>
            </w:r>
          </w:p>
        </w:tc>
        <w:tc>
          <w:tcPr>
            <w:tcW w:w="1261" w:type="dxa"/>
            <w:tcBorders>
              <w:bottom w:val="single" w:sz="6" w:space="0" w:color="000000"/>
            </w:tcBorders>
            <w:shd w:val="clear" w:color="auto" w:fill="F1F1F1"/>
          </w:tcPr>
          <w:p w14:paraId="2CFD67C6" w14:textId="77777777" w:rsidR="00AC6F3C" w:rsidRDefault="00570E88">
            <w:pPr>
              <w:pStyle w:val="TableParagraph"/>
              <w:spacing w:before="39"/>
              <w:ind w:right="32"/>
              <w:jc w:val="right"/>
              <w:rPr>
                <w:sz w:val="17"/>
              </w:rPr>
            </w:pPr>
            <w:r>
              <w:rPr>
                <w:w w:val="98"/>
                <w:sz w:val="17"/>
              </w:rPr>
              <w:t>-</w:t>
            </w:r>
          </w:p>
        </w:tc>
        <w:tc>
          <w:tcPr>
            <w:tcW w:w="1044" w:type="dxa"/>
            <w:tcBorders>
              <w:bottom w:val="single" w:sz="6" w:space="0" w:color="000000"/>
              <w:right w:val="single" w:sz="6" w:space="0" w:color="000000"/>
            </w:tcBorders>
          </w:tcPr>
          <w:p w14:paraId="1082DF2A" w14:textId="77777777" w:rsidR="00AC6F3C" w:rsidRDefault="00570E88">
            <w:pPr>
              <w:pStyle w:val="TableParagraph"/>
              <w:spacing w:before="39"/>
              <w:ind w:right="17"/>
              <w:jc w:val="right"/>
              <w:rPr>
                <w:sz w:val="17"/>
              </w:rPr>
            </w:pPr>
            <w:r>
              <w:rPr>
                <w:w w:val="98"/>
                <w:sz w:val="17"/>
              </w:rPr>
              <w:t>-</w:t>
            </w:r>
          </w:p>
        </w:tc>
      </w:tr>
      <w:tr w:rsidR="00AC6F3C" w14:paraId="7DC075D3"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39BCD43F" w14:textId="77777777" w:rsidR="00AC6F3C" w:rsidRDefault="00570E88">
            <w:pPr>
              <w:pStyle w:val="TableParagraph"/>
              <w:spacing w:before="36"/>
              <w:ind w:left="34"/>
              <w:rPr>
                <w:b/>
                <w:sz w:val="17"/>
              </w:rPr>
            </w:pPr>
            <w:r>
              <w:rPr>
                <w:b/>
                <w:spacing w:val="-4"/>
                <w:sz w:val="17"/>
              </w:rPr>
              <w:t>Total</w:t>
            </w:r>
            <w:r>
              <w:rPr>
                <w:b/>
                <w:sz w:val="17"/>
              </w:rPr>
              <w:t xml:space="preserve"> </w:t>
            </w:r>
            <w:r>
              <w:rPr>
                <w:b/>
                <w:spacing w:val="-4"/>
                <w:sz w:val="17"/>
              </w:rPr>
              <w:t>non-current</w:t>
            </w:r>
            <w:r>
              <w:rPr>
                <w:b/>
                <w:spacing w:val="5"/>
                <w:sz w:val="17"/>
              </w:rPr>
              <w:t xml:space="preserve"> </w:t>
            </w:r>
            <w:r>
              <w:rPr>
                <w:b/>
                <w:spacing w:val="-4"/>
                <w:sz w:val="17"/>
              </w:rPr>
              <w:t>assets</w:t>
            </w:r>
          </w:p>
        </w:tc>
        <w:tc>
          <w:tcPr>
            <w:tcW w:w="891" w:type="dxa"/>
            <w:tcBorders>
              <w:top w:val="single" w:sz="6" w:space="0" w:color="000000"/>
              <w:bottom w:val="single" w:sz="6" w:space="0" w:color="000000"/>
            </w:tcBorders>
            <w:shd w:val="clear" w:color="auto" w:fill="BEBEBE"/>
          </w:tcPr>
          <w:p w14:paraId="1C2737CD"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27946ED1" w14:textId="77777777" w:rsidR="00AC6F3C" w:rsidRDefault="00570E88">
            <w:pPr>
              <w:pStyle w:val="TableParagraph"/>
              <w:spacing w:before="36"/>
              <w:ind w:right="33"/>
              <w:jc w:val="right"/>
              <w:rPr>
                <w:b/>
                <w:sz w:val="17"/>
              </w:rPr>
            </w:pPr>
            <w:r>
              <w:rPr>
                <w:b/>
                <w:spacing w:val="-2"/>
                <w:sz w:val="17"/>
              </w:rPr>
              <w:t>248,617</w:t>
            </w:r>
          </w:p>
        </w:tc>
        <w:tc>
          <w:tcPr>
            <w:tcW w:w="1037" w:type="dxa"/>
            <w:tcBorders>
              <w:top w:val="single" w:sz="6" w:space="0" w:color="000000"/>
              <w:bottom w:val="single" w:sz="6" w:space="0" w:color="000000"/>
            </w:tcBorders>
            <w:shd w:val="clear" w:color="auto" w:fill="BEBEBE"/>
          </w:tcPr>
          <w:p w14:paraId="046C1C60" w14:textId="77777777" w:rsidR="00AC6F3C" w:rsidRDefault="00570E88">
            <w:pPr>
              <w:pStyle w:val="TableParagraph"/>
              <w:spacing w:before="36"/>
              <w:ind w:right="19"/>
              <w:jc w:val="right"/>
              <w:rPr>
                <w:b/>
                <w:sz w:val="17"/>
              </w:rPr>
            </w:pPr>
            <w:r>
              <w:rPr>
                <w:b/>
                <w:spacing w:val="-2"/>
                <w:sz w:val="17"/>
              </w:rPr>
              <w:t>221,654</w:t>
            </w:r>
          </w:p>
        </w:tc>
        <w:tc>
          <w:tcPr>
            <w:tcW w:w="1261" w:type="dxa"/>
            <w:tcBorders>
              <w:top w:val="single" w:sz="6" w:space="0" w:color="000000"/>
              <w:bottom w:val="single" w:sz="6" w:space="0" w:color="000000"/>
            </w:tcBorders>
            <w:shd w:val="clear" w:color="auto" w:fill="BEBEBE"/>
          </w:tcPr>
          <w:p w14:paraId="42893730" w14:textId="77777777" w:rsidR="00AC6F3C" w:rsidRDefault="00570E88">
            <w:pPr>
              <w:pStyle w:val="TableParagraph"/>
              <w:spacing w:before="36"/>
              <w:ind w:right="32"/>
              <w:jc w:val="right"/>
              <w:rPr>
                <w:b/>
                <w:sz w:val="17"/>
              </w:rPr>
            </w:pPr>
            <w:r>
              <w:rPr>
                <w:b/>
                <w:spacing w:val="-2"/>
                <w:sz w:val="17"/>
              </w:rPr>
              <w:t>58,485</w:t>
            </w:r>
          </w:p>
        </w:tc>
        <w:tc>
          <w:tcPr>
            <w:tcW w:w="1044" w:type="dxa"/>
            <w:tcBorders>
              <w:top w:val="single" w:sz="6" w:space="0" w:color="000000"/>
              <w:bottom w:val="single" w:sz="6" w:space="0" w:color="000000"/>
            </w:tcBorders>
            <w:shd w:val="clear" w:color="auto" w:fill="BEBEBE"/>
          </w:tcPr>
          <w:p w14:paraId="2516FBA4" w14:textId="77777777" w:rsidR="00AC6F3C" w:rsidRDefault="00570E88">
            <w:pPr>
              <w:pStyle w:val="TableParagraph"/>
              <w:spacing w:before="36"/>
              <w:ind w:right="24"/>
              <w:jc w:val="right"/>
              <w:rPr>
                <w:b/>
                <w:sz w:val="17"/>
              </w:rPr>
            </w:pPr>
            <w:r>
              <w:rPr>
                <w:b/>
                <w:spacing w:val="-2"/>
                <w:sz w:val="17"/>
              </w:rPr>
              <w:t>49,815</w:t>
            </w:r>
          </w:p>
        </w:tc>
      </w:tr>
      <w:tr w:rsidR="00AC6F3C" w14:paraId="3B5F6AB1"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5B752925" w14:textId="77777777" w:rsidR="00AC6F3C" w:rsidRDefault="00570E88">
            <w:pPr>
              <w:pStyle w:val="TableParagraph"/>
              <w:spacing w:before="36"/>
              <w:ind w:left="34"/>
              <w:rPr>
                <w:b/>
                <w:sz w:val="17"/>
              </w:rPr>
            </w:pPr>
            <w:r>
              <w:rPr>
                <w:b/>
                <w:spacing w:val="-8"/>
                <w:sz w:val="17"/>
              </w:rPr>
              <w:t>TOTAL</w:t>
            </w:r>
            <w:r>
              <w:rPr>
                <w:b/>
                <w:spacing w:val="-7"/>
                <w:sz w:val="17"/>
              </w:rPr>
              <w:t xml:space="preserve"> </w:t>
            </w:r>
            <w:r>
              <w:rPr>
                <w:b/>
                <w:spacing w:val="-2"/>
                <w:sz w:val="17"/>
              </w:rPr>
              <w:t>ASSETS</w:t>
            </w:r>
          </w:p>
        </w:tc>
        <w:tc>
          <w:tcPr>
            <w:tcW w:w="891" w:type="dxa"/>
            <w:tcBorders>
              <w:top w:val="single" w:sz="6" w:space="0" w:color="000000"/>
              <w:bottom w:val="single" w:sz="6" w:space="0" w:color="000000"/>
            </w:tcBorders>
            <w:shd w:val="clear" w:color="auto" w:fill="BEBEBE"/>
          </w:tcPr>
          <w:p w14:paraId="38B85645"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12D26924" w14:textId="77777777" w:rsidR="00AC6F3C" w:rsidRDefault="00570E88">
            <w:pPr>
              <w:pStyle w:val="TableParagraph"/>
              <w:spacing w:before="36"/>
              <w:ind w:right="33"/>
              <w:jc w:val="right"/>
              <w:rPr>
                <w:b/>
                <w:sz w:val="17"/>
              </w:rPr>
            </w:pPr>
            <w:r>
              <w:rPr>
                <w:b/>
                <w:spacing w:val="-2"/>
                <w:sz w:val="17"/>
              </w:rPr>
              <w:t>326,735</w:t>
            </w:r>
          </w:p>
        </w:tc>
        <w:tc>
          <w:tcPr>
            <w:tcW w:w="1037" w:type="dxa"/>
            <w:tcBorders>
              <w:top w:val="single" w:sz="6" w:space="0" w:color="000000"/>
              <w:bottom w:val="single" w:sz="6" w:space="0" w:color="000000"/>
            </w:tcBorders>
            <w:shd w:val="clear" w:color="auto" w:fill="BEBEBE"/>
          </w:tcPr>
          <w:p w14:paraId="2D1835EA" w14:textId="77777777" w:rsidR="00AC6F3C" w:rsidRDefault="00570E88">
            <w:pPr>
              <w:pStyle w:val="TableParagraph"/>
              <w:spacing w:before="36"/>
              <w:ind w:right="19"/>
              <w:jc w:val="right"/>
              <w:rPr>
                <w:b/>
                <w:sz w:val="17"/>
              </w:rPr>
            </w:pPr>
            <w:r>
              <w:rPr>
                <w:b/>
                <w:spacing w:val="-2"/>
                <w:sz w:val="17"/>
              </w:rPr>
              <w:t>294,980</w:t>
            </w:r>
          </w:p>
        </w:tc>
        <w:tc>
          <w:tcPr>
            <w:tcW w:w="1261" w:type="dxa"/>
            <w:tcBorders>
              <w:top w:val="single" w:sz="6" w:space="0" w:color="000000"/>
              <w:bottom w:val="single" w:sz="6" w:space="0" w:color="000000"/>
            </w:tcBorders>
            <w:shd w:val="clear" w:color="auto" w:fill="BEBEBE"/>
          </w:tcPr>
          <w:p w14:paraId="14D90F74" w14:textId="77777777" w:rsidR="00AC6F3C" w:rsidRDefault="00570E88">
            <w:pPr>
              <w:pStyle w:val="TableParagraph"/>
              <w:spacing w:before="36"/>
              <w:ind w:right="32"/>
              <w:jc w:val="right"/>
              <w:rPr>
                <w:b/>
                <w:sz w:val="17"/>
              </w:rPr>
            </w:pPr>
            <w:r>
              <w:rPr>
                <w:b/>
                <w:spacing w:val="-2"/>
                <w:sz w:val="17"/>
              </w:rPr>
              <w:t>127,044</w:t>
            </w:r>
          </w:p>
        </w:tc>
        <w:tc>
          <w:tcPr>
            <w:tcW w:w="1044" w:type="dxa"/>
            <w:tcBorders>
              <w:top w:val="single" w:sz="6" w:space="0" w:color="000000"/>
              <w:bottom w:val="single" w:sz="6" w:space="0" w:color="000000"/>
              <w:right w:val="single" w:sz="6" w:space="0" w:color="000000"/>
            </w:tcBorders>
            <w:shd w:val="clear" w:color="auto" w:fill="BEBEBE"/>
          </w:tcPr>
          <w:p w14:paraId="66328684" w14:textId="77777777" w:rsidR="00AC6F3C" w:rsidRDefault="00570E88">
            <w:pPr>
              <w:pStyle w:val="TableParagraph"/>
              <w:spacing w:before="36"/>
              <w:ind w:right="17"/>
              <w:jc w:val="right"/>
              <w:rPr>
                <w:b/>
                <w:sz w:val="17"/>
              </w:rPr>
            </w:pPr>
            <w:r>
              <w:rPr>
                <w:b/>
                <w:spacing w:val="-2"/>
                <w:sz w:val="17"/>
              </w:rPr>
              <w:t>114,879</w:t>
            </w:r>
          </w:p>
        </w:tc>
      </w:tr>
      <w:tr w:rsidR="00AC6F3C" w14:paraId="51292DA8" w14:textId="77777777">
        <w:trPr>
          <w:trHeight w:val="278"/>
        </w:trPr>
        <w:tc>
          <w:tcPr>
            <w:tcW w:w="3393" w:type="dxa"/>
            <w:tcBorders>
              <w:top w:val="single" w:sz="6" w:space="0" w:color="000000"/>
              <w:left w:val="single" w:sz="6" w:space="0" w:color="000000"/>
            </w:tcBorders>
          </w:tcPr>
          <w:p w14:paraId="568CE1FD" w14:textId="77777777" w:rsidR="00AC6F3C" w:rsidRDefault="00570E88">
            <w:pPr>
              <w:pStyle w:val="TableParagraph"/>
              <w:spacing w:before="36"/>
              <w:ind w:left="34"/>
              <w:rPr>
                <w:b/>
                <w:sz w:val="17"/>
              </w:rPr>
            </w:pPr>
            <w:r>
              <w:rPr>
                <w:b/>
                <w:spacing w:val="-4"/>
                <w:sz w:val="17"/>
              </w:rPr>
              <w:t>Current</w:t>
            </w:r>
            <w:r>
              <w:rPr>
                <w:b/>
                <w:spacing w:val="1"/>
                <w:sz w:val="17"/>
              </w:rPr>
              <w:t xml:space="preserve"> </w:t>
            </w:r>
            <w:r>
              <w:rPr>
                <w:b/>
                <w:spacing w:val="-2"/>
                <w:sz w:val="17"/>
              </w:rPr>
              <w:t>liabilities</w:t>
            </w:r>
          </w:p>
        </w:tc>
        <w:tc>
          <w:tcPr>
            <w:tcW w:w="891" w:type="dxa"/>
            <w:tcBorders>
              <w:top w:val="single" w:sz="6" w:space="0" w:color="000000"/>
            </w:tcBorders>
          </w:tcPr>
          <w:p w14:paraId="75C69101" w14:textId="77777777" w:rsidR="00AC6F3C" w:rsidRDefault="00AC6F3C">
            <w:pPr>
              <w:pStyle w:val="TableParagraph"/>
              <w:rPr>
                <w:rFonts w:ascii="Times New Roman"/>
                <w:sz w:val="16"/>
              </w:rPr>
            </w:pPr>
          </w:p>
        </w:tc>
        <w:tc>
          <w:tcPr>
            <w:tcW w:w="1416" w:type="dxa"/>
            <w:tcBorders>
              <w:top w:val="single" w:sz="6" w:space="0" w:color="000000"/>
            </w:tcBorders>
            <w:shd w:val="clear" w:color="auto" w:fill="F1F1F1"/>
          </w:tcPr>
          <w:p w14:paraId="5DB5DB5B" w14:textId="77777777" w:rsidR="00AC6F3C" w:rsidRDefault="00AC6F3C">
            <w:pPr>
              <w:pStyle w:val="TableParagraph"/>
              <w:rPr>
                <w:rFonts w:ascii="Times New Roman"/>
                <w:sz w:val="16"/>
              </w:rPr>
            </w:pPr>
          </w:p>
        </w:tc>
        <w:tc>
          <w:tcPr>
            <w:tcW w:w="1037" w:type="dxa"/>
            <w:tcBorders>
              <w:top w:val="single" w:sz="6" w:space="0" w:color="000000"/>
            </w:tcBorders>
          </w:tcPr>
          <w:p w14:paraId="24AD25FA" w14:textId="77777777" w:rsidR="00AC6F3C" w:rsidRDefault="00AC6F3C">
            <w:pPr>
              <w:pStyle w:val="TableParagraph"/>
              <w:rPr>
                <w:rFonts w:ascii="Times New Roman"/>
                <w:sz w:val="16"/>
              </w:rPr>
            </w:pPr>
          </w:p>
        </w:tc>
        <w:tc>
          <w:tcPr>
            <w:tcW w:w="1261" w:type="dxa"/>
            <w:tcBorders>
              <w:top w:val="single" w:sz="6" w:space="0" w:color="000000"/>
            </w:tcBorders>
            <w:shd w:val="clear" w:color="auto" w:fill="F1F1F1"/>
          </w:tcPr>
          <w:p w14:paraId="21969B39" w14:textId="77777777" w:rsidR="00AC6F3C" w:rsidRDefault="00AC6F3C">
            <w:pPr>
              <w:pStyle w:val="TableParagraph"/>
              <w:rPr>
                <w:rFonts w:ascii="Times New Roman"/>
                <w:sz w:val="16"/>
              </w:rPr>
            </w:pPr>
          </w:p>
        </w:tc>
        <w:tc>
          <w:tcPr>
            <w:tcW w:w="1044" w:type="dxa"/>
            <w:tcBorders>
              <w:top w:val="single" w:sz="6" w:space="0" w:color="000000"/>
              <w:right w:val="single" w:sz="6" w:space="0" w:color="000000"/>
            </w:tcBorders>
          </w:tcPr>
          <w:p w14:paraId="29CDA46A" w14:textId="77777777" w:rsidR="00AC6F3C" w:rsidRDefault="00AC6F3C">
            <w:pPr>
              <w:pStyle w:val="TableParagraph"/>
              <w:rPr>
                <w:rFonts w:ascii="Times New Roman"/>
                <w:sz w:val="16"/>
              </w:rPr>
            </w:pPr>
          </w:p>
        </w:tc>
      </w:tr>
      <w:tr w:rsidR="00AC6F3C" w14:paraId="6E457C4F" w14:textId="77777777">
        <w:trPr>
          <w:trHeight w:val="280"/>
        </w:trPr>
        <w:tc>
          <w:tcPr>
            <w:tcW w:w="3393" w:type="dxa"/>
            <w:tcBorders>
              <w:left w:val="single" w:sz="6" w:space="0" w:color="000000"/>
            </w:tcBorders>
          </w:tcPr>
          <w:p w14:paraId="33C953E2" w14:textId="77777777" w:rsidR="00AC6F3C" w:rsidRDefault="00570E88">
            <w:pPr>
              <w:pStyle w:val="TableParagraph"/>
              <w:spacing w:before="39"/>
              <w:ind w:left="34"/>
              <w:rPr>
                <w:sz w:val="17"/>
              </w:rPr>
            </w:pPr>
            <w:r>
              <w:rPr>
                <w:spacing w:val="-2"/>
                <w:sz w:val="17"/>
              </w:rPr>
              <w:t>Payables</w:t>
            </w:r>
          </w:p>
        </w:tc>
        <w:tc>
          <w:tcPr>
            <w:tcW w:w="891" w:type="dxa"/>
          </w:tcPr>
          <w:p w14:paraId="4DA3D460" w14:textId="77777777" w:rsidR="00AC6F3C" w:rsidRDefault="00570E88">
            <w:pPr>
              <w:pStyle w:val="TableParagraph"/>
              <w:spacing w:before="39"/>
              <w:ind w:left="173" w:right="111"/>
              <w:jc w:val="center"/>
              <w:rPr>
                <w:sz w:val="17"/>
              </w:rPr>
            </w:pPr>
            <w:r>
              <w:rPr>
                <w:spacing w:val="-5"/>
                <w:sz w:val="17"/>
              </w:rPr>
              <w:t>C6</w:t>
            </w:r>
          </w:p>
        </w:tc>
        <w:tc>
          <w:tcPr>
            <w:tcW w:w="1416" w:type="dxa"/>
            <w:shd w:val="clear" w:color="auto" w:fill="F1F1F1"/>
          </w:tcPr>
          <w:p w14:paraId="21174776" w14:textId="77777777" w:rsidR="00AC6F3C" w:rsidRDefault="00570E88">
            <w:pPr>
              <w:pStyle w:val="TableParagraph"/>
              <w:spacing w:before="39"/>
              <w:ind w:right="33"/>
              <w:jc w:val="right"/>
              <w:rPr>
                <w:sz w:val="17"/>
              </w:rPr>
            </w:pPr>
            <w:r>
              <w:rPr>
                <w:spacing w:val="-2"/>
                <w:sz w:val="17"/>
              </w:rPr>
              <w:t>54,190</w:t>
            </w:r>
          </w:p>
        </w:tc>
        <w:tc>
          <w:tcPr>
            <w:tcW w:w="1037" w:type="dxa"/>
          </w:tcPr>
          <w:p w14:paraId="151D3284" w14:textId="77777777" w:rsidR="00AC6F3C" w:rsidRDefault="00570E88">
            <w:pPr>
              <w:pStyle w:val="TableParagraph"/>
              <w:spacing w:before="39"/>
              <w:ind w:right="19"/>
              <w:jc w:val="right"/>
              <w:rPr>
                <w:sz w:val="17"/>
              </w:rPr>
            </w:pPr>
            <w:r>
              <w:rPr>
                <w:spacing w:val="-2"/>
                <w:sz w:val="17"/>
              </w:rPr>
              <w:t>52,790</w:t>
            </w:r>
          </w:p>
        </w:tc>
        <w:tc>
          <w:tcPr>
            <w:tcW w:w="1261" w:type="dxa"/>
            <w:shd w:val="clear" w:color="auto" w:fill="F1F1F1"/>
          </w:tcPr>
          <w:p w14:paraId="1C27B1B8" w14:textId="77777777" w:rsidR="00AC6F3C" w:rsidRDefault="00570E88">
            <w:pPr>
              <w:pStyle w:val="TableParagraph"/>
              <w:spacing w:before="39"/>
              <w:ind w:right="32"/>
              <w:jc w:val="right"/>
              <w:rPr>
                <w:sz w:val="17"/>
              </w:rPr>
            </w:pPr>
            <w:r>
              <w:rPr>
                <w:spacing w:val="-2"/>
                <w:sz w:val="17"/>
              </w:rPr>
              <w:t>50,630</w:t>
            </w:r>
          </w:p>
        </w:tc>
        <w:tc>
          <w:tcPr>
            <w:tcW w:w="1044" w:type="dxa"/>
            <w:tcBorders>
              <w:right w:val="single" w:sz="6" w:space="0" w:color="000000"/>
            </w:tcBorders>
          </w:tcPr>
          <w:p w14:paraId="39D9A96D" w14:textId="77777777" w:rsidR="00AC6F3C" w:rsidRDefault="00570E88">
            <w:pPr>
              <w:pStyle w:val="TableParagraph"/>
              <w:spacing w:before="39"/>
              <w:ind w:right="16"/>
              <w:jc w:val="right"/>
              <w:rPr>
                <w:sz w:val="17"/>
              </w:rPr>
            </w:pPr>
            <w:r>
              <w:rPr>
                <w:spacing w:val="-2"/>
                <w:sz w:val="17"/>
              </w:rPr>
              <w:t>46,585</w:t>
            </w:r>
          </w:p>
        </w:tc>
      </w:tr>
      <w:tr w:rsidR="00AC6F3C" w14:paraId="235D40BA" w14:textId="77777777">
        <w:trPr>
          <w:trHeight w:val="280"/>
        </w:trPr>
        <w:tc>
          <w:tcPr>
            <w:tcW w:w="3393" w:type="dxa"/>
            <w:tcBorders>
              <w:left w:val="single" w:sz="6" w:space="0" w:color="000000"/>
            </w:tcBorders>
          </w:tcPr>
          <w:p w14:paraId="7ABEC800" w14:textId="77777777" w:rsidR="00AC6F3C" w:rsidRDefault="00570E88">
            <w:pPr>
              <w:pStyle w:val="TableParagraph"/>
              <w:spacing w:before="39"/>
              <w:ind w:left="34"/>
              <w:rPr>
                <w:sz w:val="17"/>
              </w:rPr>
            </w:pPr>
            <w:r>
              <w:rPr>
                <w:sz w:val="17"/>
              </w:rPr>
              <w:t>Accrued</w:t>
            </w:r>
            <w:r>
              <w:rPr>
                <w:spacing w:val="-9"/>
                <w:sz w:val="17"/>
              </w:rPr>
              <w:t xml:space="preserve"> </w:t>
            </w:r>
            <w:r>
              <w:rPr>
                <w:sz w:val="17"/>
              </w:rPr>
              <w:t>employee</w:t>
            </w:r>
            <w:r>
              <w:rPr>
                <w:spacing w:val="-9"/>
                <w:sz w:val="17"/>
              </w:rPr>
              <w:t xml:space="preserve"> </w:t>
            </w:r>
            <w:r>
              <w:rPr>
                <w:spacing w:val="-2"/>
                <w:sz w:val="17"/>
              </w:rPr>
              <w:t>benefits</w:t>
            </w:r>
          </w:p>
        </w:tc>
        <w:tc>
          <w:tcPr>
            <w:tcW w:w="891" w:type="dxa"/>
          </w:tcPr>
          <w:p w14:paraId="040B9806" w14:textId="77777777" w:rsidR="00AC6F3C" w:rsidRDefault="00570E88">
            <w:pPr>
              <w:pStyle w:val="TableParagraph"/>
              <w:spacing w:before="39"/>
              <w:ind w:left="173" w:right="111"/>
              <w:jc w:val="center"/>
              <w:rPr>
                <w:sz w:val="17"/>
              </w:rPr>
            </w:pPr>
            <w:r>
              <w:rPr>
                <w:spacing w:val="-5"/>
                <w:sz w:val="17"/>
              </w:rPr>
              <w:t>C7</w:t>
            </w:r>
          </w:p>
        </w:tc>
        <w:tc>
          <w:tcPr>
            <w:tcW w:w="1416" w:type="dxa"/>
            <w:shd w:val="clear" w:color="auto" w:fill="F1F1F1"/>
          </w:tcPr>
          <w:p w14:paraId="4BD3C092" w14:textId="77777777" w:rsidR="00AC6F3C" w:rsidRDefault="00570E88">
            <w:pPr>
              <w:pStyle w:val="TableParagraph"/>
              <w:spacing w:before="39"/>
              <w:ind w:right="33"/>
              <w:jc w:val="right"/>
              <w:rPr>
                <w:sz w:val="17"/>
              </w:rPr>
            </w:pPr>
            <w:r>
              <w:rPr>
                <w:spacing w:val="-2"/>
                <w:sz w:val="17"/>
              </w:rPr>
              <w:t>1,953</w:t>
            </w:r>
          </w:p>
        </w:tc>
        <w:tc>
          <w:tcPr>
            <w:tcW w:w="1037" w:type="dxa"/>
          </w:tcPr>
          <w:p w14:paraId="158F8931" w14:textId="77777777" w:rsidR="00AC6F3C" w:rsidRDefault="00570E88">
            <w:pPr>
              <w:pStyle w:val="TableParagraph"/>
              <w:spacing w:before="39"/>
              <w:ind w:right="19"/>
              <w:jc w:val="right"/>
              <w:rPr>
                <w:sz w:val="17"/>
              </w:rPr>
            </w:pPr>
            <w:r>
              <w:rPr>
                <w:spacing w:val="-2"/>
                <w:sz w:val="17"/>
              </w:rPr>
              <w:t>1,887</w:t>
            </w:r>
          </w:p>
        </w:tc>
        <w:tc>
          <w:tcPr>
            <w:tcW w:w="1261" w:type="dxa"/>
            <w:shd w:val="clear" w:color="auto" w:fill="F1F1F1"/>
          </w:tcPr>
          <w:p w14:paraId="3E8EE2B6" w14:textId="77777777" w:rsidR="00AC6F3C" w:rsidRDefault="00570E88">
            <w:pPr>
              <w:pStyle w:val="TableParagraph"/>
              <w:spacing w:before="39"/>
              <w:ind w:right="32"/>
              <w:jc w:val="right"/>
              <w:rPr>
                <w:sz w:val="17"/>
              </w:rPr>
            </w:pPr>
            <w:r>
              <w:rPr>
                <w:spacing w:val="-2"/>
                <w:sz w:val="17"/>
              </w:rPr>
              <w:t>1,210</w:t>
            </w:r>
          </w:p>
        </w:tc>
        <w:tc>
          <w:tcPr>
            <w:tcW w:w="1044" w:type="dxa"/>
            <w:tcBorders>
              <w:right w:val="single" w:sz="6" w:space="0" w:color="000000"/>
            </w:tcBorders>
          </w:tcPr>
          <w:p w14:paraId="0A9C25A7" w14:textId="77777777" w:rsidR="00AC6F3C" w:rsidRDefault="00570E88">
            <w:pPr>
              <w:pStyle w:val="TableParagraph"/>
              <w:spacing w:before="39"/>
              <w:ind w:right="17"/>
              <w:jc w:val="right"/>
              <w:rPr>
                <w:sz w:val="17"/>
              </w:rPr>
            </w:pPr>
            <w:r>
              <w:rPr>
                <w:spacing w:val="-2"/>
                <w:sz w:val="17"/>
              </w:rPr>
              <w:t>1,221</w:t>
            </w:r>
          </w:p>
        </w:tc>
      </w:tr>
      <w:tr w:rsidR="00AC6F3C" w14:paraId="7207AC4B" w14:textId="77777777">
        <w:trPr>
          <w:trHeight w:val="280"/>
        </w:trPr>
        <w:tc>
          <w:tcPr>
            <w:tcW w:w="3393" w:type="dxa"/>
            <w:tcBorders>
              <w:left w:val="single" w:sz="6" w:space="0" w:color="000000"/>
            </w:tcBorders>
          </w:tcPr>
          <w:p w14:paraId="4B88D6DE" w14:textId="77777777" w:rsidR="00AC6F3C" w:rsidRDefault="00570E88">
            <w:pPr>
              <w:pStyle w:val="TableParagraph"/>
              <w:spacing w:before="39"/>
              <w:ind w:left="34"/>
              <w:rPr>
                <w:sz w:val="17"/>
              </w:rPr>
            </w:pPr>
            <w:r>
              <w:rPr>
                <w:spacing w:val="-2"/>
                <w:sz w:val="17"/>
              </w:rPr>
              <w:t>Borrowings</w:t>
            </w:r>
          </w:p>
        </w:tc>
        <w:tc>
          <w:tcPr>
            <w:tcW w:w="891" w:type="dxa"/>
          </w:tcPr>
          <w:p w14:paraId="5BA7DE6F" w14:textId="77777777" w:rsidR="00AC6F3C" w:rsidRDefault="00570E88">
            <w:pPr>
              <w:pStyle w:val="TableParagraph"/>
              <w:spacing w:before="39"/>
              <w:ind w:left="154" w:right="111"/>
              <w:jc w:val="center"/>
              <w:rPr>
                <w:sz w:val="17"/>
              </w:rPr>
            </w:pPr>
            <w:r>
              <w:rPr>
                <w:sz w:val="17"/>
              </w:rPr>
              <w:t>C8-</w:t>
            </w:r>
            <w:r>
              <w:rPr>
                <w:spacing w:val="-10"/>
                <w:sz w:val="17"/>
              </w:rPr>
              <w:t>3</w:t>
            </w:r>
          </w:p>
        </w:tc>
        <w:tc>
          <w:tcPr>
            <w:tcW w:w="1416" w:type="dxa"/>
            <w:shd w:val="clear" w:color="auto" w:fill="F1F1F1"/>
          </w:tcPr>
          <w:p w14:paraId="520D35B8" w14:textId="77777777" w:rsidR="00AC6F3C" w:rsidRDefault="00570E88">
            <w:pPr>
              <w:pStyle w:val="TableParagraph"/>
              <w:spacing w:before="39"/>
              <w:ind w:right="33"/>
              <w:jc w:val="right"/>
              <w:rPr>
                <w:sz w:val="17"/>
              </w:rPr>
            </w:pPr>
            <w:r>
              <w:rPr>
                <w:spacing w:val="-5"/>
                <w:sz w:val="17"/>
              </w:rPr>
              <w:t>855</w:t>
            </w:r>
          </w:p>
        </w:tc>
        <w:tc>
          <w:tcPr>
            <w:tcW w:w="1037" w:type="dxa"/>
          </w:tcPr>
          <w:p w14:paraId="5FD2B52D" w14:textId="77777777" w:rsidR="00AC6F3C" w:rsidRDefault="00570E88">
            <w:pPr>
              <w:pStyle w:val="TableParagraph"/>
              <w:spacing w:before="39"/>
              <w:ind w:right="19"/>
              <w:jc w:val="right"/>
              <w:rPr>
                <w:sz w:val="17"/>
              </w:rPr>
            </w:pPr>
            <w:r>
              <w:rPr>
                <w:w w:val="98"/>
                <w:sz w:val="17"/>
              </w:rPr>
              <w:t>-</w:t>
            </w:r>
          </w:p>
        </w:tc>
        <w:tc>
          <w:tcPr>
            <w:tcW w:w="1261" w:type="dxa"/>
            <w:shd w:val="clear" w:color="auto" w:fill="F1F1F1"/>
          </w:tcPr>
          <w:p w14:paraId="317D5751" w14:textId="77777777" w:rsidR="00AC6F3C" w:rsidRDefault="00570E88">
            <w:pPr>
              <w:pStyle w:val="TableParagraph"/>
              <w:spacing w:before="39"/>
              <w:ind w:right="32"/>
              <w:jc w:val="right"/>
              <w:rPr>
                <w:sz w:val="17"/>
              </w:rPr>
            </w:pPr>
            <w:r>
              <w:rPr>
                <w:spacing w:val="-5"/>
                <w:sz w:val="17"/>
              </w:rPr>
              <w:t>855</w:t>
            </w:r>
          </w:p>
        </w:tc>
        <w:tc>
          <w:tcPr>
            <w:tcW w:w="1044" w:type="dxa"/>
            <w:tcBorders>
              <w:right w:val="single" w:sz="6" w:space="0" w:color="000000"/>
            </w:tcBorders>
          </w:tcPr>
          <w:p w14:paraId="308B7B58" w14:textId="77777777" w:rsidR="00AC6F3C" w:rsidRDefault="00570E88">
            <w:pPr>
              <w:pStyle w:val="TableParagraph"/>
              <w:spacing w:before="39"/>
              <w:ind w:right="17"/>
              <w:jc w:val="right"/>
              <w:rPr>
                <w:sz w:val="17"/>
              </w:rPr>
            </w:pPr>
            <w:r>
              <w:rPr>
                <w:w w:val="98"/>
                <w:sz w:val="17"/>
              </w:rPr>
              <w:t>-</w:t>
            </w:r>
          </w:p>
        </w:tc>
      </w:tr>
      <w:tr w:rsidR="00AC6F3C" w14:paraId="648D1606" w14:textId="77777777">
        <w:trPr>
          <w:trHeight w:val="280"/>
        </w:trPr>
        <w:tc>
          <w:tcPr>
            <w:tcW w:w="3393" w:type="dxa"/>
            <w:tcBorders>
              <w:left w:val="single" w:sz="6" w:space="0" w:color="000000"/>
            </w:tcBorders>
          </w:tcPr>
          <w:p w14:paraId="2B69A478" w14:textId="77777777" w:rsidR="00AC6F3C" w:rsidRDefault="00570E88">
            <w:pPr>
              <w:pStyle w:val="TableParagraph"/>
              <w:spacing w:before="39"/>
              <w:ind w:left="34"/>
              <w:rPr>
                <w:sz w:val="17"/>
              </w:rPr>
            </w:pPr>
            <w:r>
              <w:rPr>
                <w:sz w:val="17"/>
              </w:rPr>
              <w:t>Unearned</w:t>
            </w:r>
            <w:r>
              <w:rPr>
                <w:spacing w:val="10"/>
                <w:sz w:val="17"/>
              </w:rPr>
              <w:t xml:space="preserve"> </w:t>
            </w:r>
            <w:r>
              <w:rPr>
                <w:sz w:val="17"/>
              </w:rPr>
              <w:t>premium</w:t>
            </w:r>
            <w:r>
              <w:rPr>
                <w:spacing w:val="22"/>
                <w:sz w:val="17"/>
              </w:rPr>
              <w:t xml:space="preserve"> </w:t>
            </w:r>
            <w:r>
              <w:rPr>
                <w:spacing w:val="-2"/>
                <w:sz w:val="17"/>
              </w:rPr>
              <w:t>reserves</w:t>
            </w:r>
          </w:p>
        </w:tc>
        <w:tc>
          <w:tcPr>
            <w:tcW w:w="891" w:type="dxa"/>
          </w:tcPr>
          <w:p w14:paraId="0ED766BD" w14:textId="77777777" w:rsidR="00AC6F3C" w:rsidRDefault="00570E88">
            <w:pPr>
              <w:pStyle w:val="TableParagraph"/>
              <w:spacing w:before="39"/>
              <w:ind w:left="178" w:right="111"/>
              <w:jc w:val="center"/>
              <w:rPr>
                <w:sz w:val="17"/>
              </w:rPr>
            </w:pPr>
            <w:r>
              <w:rPr>
                <w:sz w:val="17"/>
              </w:rPr>
              <w:t>C8-</w:t>
            </w:r>
            <w:r>
              <w:rPr>
                <w:spacing w:val="-4"/>
                <w:sz w:val="17"/>
              </w:rPr>
              <w:t>2(b)</w:t>
            </w:r>
          </w:p>
        </w:tc>
        <w:tc>
          <w:tcPr>
            <w:tcW w:w="1416" w:type="dxa"/>
            <w:shd w:val="clear" w:color="auto" w:fill="F1F1F1"/>
          </w:tcPr>
          <w:p w14:paraId="788D1DA6" w14:textId="77777777" w:rsidR="00AC6F3C" w:rsidRDefault="00570E88">
            <w:pPr>
              <w:pStyle w:val="TableParagraph"/>
              <w:spacing w:before="39"/>
              <w:ind w:right="33"/>
              <w:jc w:val="right"/>
              <w:rPr>
                <w:sz w:val="17"/>
              </w:rPr>
            </w:pPr>
            <w:r>
              <w:rPr>
                <w:w w:val="98"/>
                <w:sz w:val="17"/>
              </w:rPr>
              <w:t>-</w:t>
            </w:r>
          </w:p>
        </w:tc>
        <w:tc>
          <w:tcPr>
            <w:tcW w:w="1037" w:type="dxa"/>
          </w:tcPr>
          <w:p w14:paraId="58B763F6" w14:textId="77777777" w:rsidR="00AC6F3C" w:rsidRDefault="00570E88">
            <w:pPr>
              <w:pStyle w:val="TableParagraph"/>
              <w:spacing w:before="39"/>
              <w:ind w:right="19"/>
              <w:jc w:val="right"/>
              <w:rPr>
                <w:sz w:val="17"/>
              </w:rPr>
            </w:pPr>
            <w:r>
              <w:rPr>
                <w:spacing w:val="-5"/>
                <w:sz w:val="17"/>
              </w:rPr>
              <w:t>996</w:t>
            </w:r>
          </w:p>
        </w:tc>
        <w:tc>
          <w:tcPr>
            <w:tcW w:w="1261" w:type="dxa"/>
            <w:shd w:val="clear" w:color="auto" w:fill="F1F1F1"/>
          </w:tcPr>
          <w:p w14:paraId="0E82BB8C" w14:textId="77777777" w:rsidR="00AC6F3C" w:rsidRDefault="00570E88">
            <w:pPr>
              <w:pStyle w:val="TableParagraph"/>
              <w:spacing w:before="39"/>
              <w:ind w:right="32"/>
              <w:jc w:val="right"/>
              <w:rPr>
                <w:sz w:val="17"/>
              </w:rPr>
            </w:pPr>
            <w:r>
              <w:rPr>
                <w:w w:val="98"/>
                <w:sz w:val="17"/>
              </w:rPr>
              <w:t>-</w:t>
            </w:r>
          </w:p>
        </w:tc>
        <w:tc>
          <w:tcPr>
            <w:tcW w:w="1044" w:type="dxa"/>
            <w:tcBorders>
              <w:right w:val="single" w:sz="6" w:space="0" w:color="000000"/>
            </w:tcBorders>
          </w:tcPr>
          <w:p w14:paraId="4861A1E8" w14:textId="77777777" w:rsidR="00AC6F3C" w:rsidRDefault="00570E88">
            <w:pPr>
              <w:pStyle w:val="TableParagraph"/>
              <w:spacing w:before="39"/>
              <w:ind w:right="17"/>
              <w:jc w:val="right"/>
              <w:rPr>
                <w:sz w:val="17"/>
              </w:rPr>
            </w:pPr>
            <w:r>
              <w:rPr>
                <w:w w:val="98"/>
                <w:sz w:val="17"/>
              </w:rPr>
              <w:t>-</w:t>
            </w:r>
          </w:p>
        </w:tc>
      </w:tr>
      <w:tr w:rsidR="00AC6F3C" w14:paraId="79A9059C" w14:textId="77777777">
        <w:trPr>
          <w:trHeight w:val="280"/>
        </w:trPr>
        <w:tc>
          <w:tcPr>
            <w:tcW w:w="3393" w:type="dxa"/>
            <w:tcBorders>
              <w:left w:val="single" w:sz="6" w:space="0" w:color="000000"/>
            </w:tcBorders>
          </w:tcPr>
          <w:p w14:paraId="1392CEBB" w14:textId="77777777" w:rsidR="00AC6F3C" w:rsidRDefault="00570E88">
            <w:pPr>
              <w:pStyle w:val="TableParagraph"/>
              <w:spacing w:before="39"/>
              <w:ind w:left="34"/>
              <w:rPr>
                <w:sz w:val="17"/>
              </w:rPr>
            </w:pPr>
            <w:r>
              <w:rPr>
                <w:sz w:val="17"/>
              </w:rPr>
              <w:t>Income</w:t>
            </w:r>
            <w:r>
              <w:rPr>
                <w:spacing w:val="-5"/>
                <w:sz w:val="17"/>
              </w:rPr>
              <w:t xml:space="preserve"> </w:t>
            </w:r>
            <w:r>
              <w:rPr>
                <w:sz w:val="17"/>
              </w:rPr>
              <w:t>tax</w:t>
            </w:r>
            <w:r>
              <w:rPr>
                <w:spacing w:val="-20"/>
                <w:sz w:val="17"/>
              </w:rPr>
              <w:t xml:space="preserve"> </w:t>
            </w:r>
            <w:r>
              <w:rPr>
                <w:sz w:val="17"/>
              </w:rPr>
              <w:t>payable</w:t>
            </w:r>
            <w:r>
              <w:rPr>
                <w:spacing w:val="-3"/>
                <w:sz w:val="17"/>
              </w:rPr>
              <w:t xml:space="preserve"> </w:t>
            </w:r>
            <w:r>
              <w:rPr>
                <w:sz w:val="17"/>
              </w:rPr>
              <w:t>/</w:t>
            </w:r>
            <w:r>
              <w:rPr>
                <w:spacing w:val="-12"/>
                <w:sz w:val="17"/>
              </w:rPr>
              <w:t xml:space="preserve"> </w:t>
            </w:r>
            <w:r>
              <w:rPr>
                <w:spacing w:val="-2"/>
                <w:sz w:val="17"/>
              </w:rPr>
              <w:t>(receivable)</w:t>
            </w:r>
          </w:p>
        </w:tc>
        <w:tc>
          <w:tcPr>
            <w:tcW w:w="891" w:type="dxa"/>
          </w:tcPr>
          <w:p w14:paraId="02119AA7" w14:textId="77777777" w:rsidR="00AC6F3C" w:rsidRDefault="00570E88">
            <w:pPr>
              <w:pStyle w:val="TableParagraph"/>
              <w:spacing w:before="39"/>
              <w:ind w:left="155" w:right="111"/>
              <w:jc w:val="center"/>
              <w:rPr>
                <w:sz w:val="17"/>
              </w:rPr>
            </w:pPr>
            <w:r>
              <w:rPr>
                <w:spacing w:val="-4"/>
                <w:sz w:val="17"/>
              </w:rPr>
              <w:t>F1-</w:t>
            </w:r>
            <w:r>
              <w:rPr>
                <w:spacing w:val="-10"/>
                <w:sz w:val="17"/>
              </w:rPr>
              <w:t>2</w:t>
            </w:r>
          </w:p>
        </w:tc>
        <w:tc>
          <w:tcPr>
            <w:tcW w:w="1416" w:type="dxa"/>
            <w:shd w:val="clear" w:color="auto" w:fill="F1F1F1"/>
          </w:tcPr>
          <w:p w14:paraId="7866AD6A" w14:textId="77777777" w:rsidR="00AC6F3C" w:rsidRDefault="00570E88">
            <w:pPr>
              <w:pStyle w:val="TableParagraph"/>
              <w:spacing w:before="39"/>
              <w:ind w:right="29"/>
              <w:jc w:val="right"/>
              <w:rPr>
                <w:sz w:val="17"/>
              </w:rPr>
            </w:pPr>
            <w:r>
              <w:rPr>
                <w:spacing w:val="-2"/>
                <w:sz w:val="17"/>
              </w:rPr>
              <w:t>(448)</w:t>
            </w:r>
          </w:p>
        </w:tc>
        <w:tc>
          <w:tcPr>
            <w:tcW w:w="1037" w:type="dxa"/>
          </w:tcPr>
          <w:p w14:paraId="1617B6EC" w14:textId="77777777" w:rsidR="00AC6F3C" w:rsidRDefault="00570E88">
            <w:pPr>
              <w:pStyle w:val="TableParagraph"/>
              <w:spacing w:before="39"/>
              <w:ind w:right="19"/>
              <w:jc w:val="right"/>
              <w:rPr>
                <w:sz w:val="17"/>
              </w:rPr>
            </w:pPr>
            <w:r>
              <w:rPr>
                <w:spacing w:val="-2"/>
                <w:sz w:val="17"/>
              </w:rPr>
              <w:t>2,477</w:t>
            </w:r>
          </w:p>
        </w:tc>
        <w:tc>
          <w:tcPr>
            <w:tcW w:w="1261" w:type="dxa"/>
            <w:shd w:val="clear" w:color="auto" w:fill="F1F1F1"/>
          </w:tcPr>
          <w:p w14:paraId="26D12612" w14:textId="77777777" w:rsidR="00AC6F3C" w:rsidRDefault="00570E88">
            <w:pPr>
              <w:pStyle w:val="TableParagraph"/>
              <w:spacing w:before="39"/>
              <w:ind w:right="32"/>
              <w:jc w:val="right"/>
              <w:rPr>
                <w:sz w:val="17"/>
              </w:rPr>
            </w:pPr>
            <w:r>
              <w:rPr>
                <w:w w:val="98"/>
                <w:sz w:val="17"/>
              </w:rPr>
              <w:t>-</w:t>
            </w:r>
          </w:p>
        </w:tc>
        <w:tc>
          <w:tcPr>
            <w:tcW w:w="1044" w:type="dxa"/>
            <w:tcBorders>
              <w:right w:val="single" w:sz="6" w:space="0" w:color="000000"/>
            </w:tcBorders>
          </w:tcPr>
          <w:p w14:paraId="40AE4C11" w14:textId="77777777" w:rsidR="00AC6F3C" w:rsidRDefault="00570E88">
            <w:pPr>
              <w:pStyle w:val="TableParagraph"/>
              <w:spacing w:before="39"/>
              <w:ind w:right="17"/>
              <w:jc w:val="right"/>
              <w:rPr>
                <w:sz w:val="17"/>
              </w:rPr>
            </w:pPr>
            <w:r>
              <w:rPr>
                <w:w w:val="98"/>
                <w:sz w:val="17"/>
              </w:rPr>
              <w:t>-</w:t>
            </w:r>
          </w:p>
        </w:tc>
      </w:tr>
      <w:tr w:rsidR="00AC6F3C" w14:paraId="462985DB" w14:textId="77777777">
        <w:trPr>
          <w:trHeight w:val="268"/>
        </w:trPr>
        <w:tc>
          <w:tcPr>
            <w:tcW w:w="3393" w:type="dxa"/>
            <w:tcBorders>
              <w:left w:val="single" w:sz="6" w:space="0" w:color="000000"/>
              <w:bottom w:val="single" w:sz="6" w:space="0" w:color="000000"/>
            </w:tcBorders>
          </w:tcPr>
          <w:p w14:paraId="64491EEA" w14:textId="77777777" w:rsidR="00AC6F3C" w:rsidRDefault="00570E88">
            <w:pPr>
              <w:pStyle w:val="TableParagraph"/>
              <w:spacing w:before="39"/>
              <w:ind w:left="34"/>
              <w:rPr>
                <w:sz w:val="17"/>
              </w:rPr>
            </w:pPr>
            <w:r>
              <w:rPr>
                <w:sz w:val="17"/>
              </w:rPr>
              <w:t>Provision</w:t>
            </w:r>
            <w:r>
              <w:rPr>
                <w:spacing w:val="2"/>
                <w:sz w:val="17"/>
              </w:rPr>
              <w:t xml:space="preserve"> </w:t>
            </w:r>
            <w:r>
              <w:rPr>
                <w:sz w:val="17"/>
              </w:rPr>
              <w:t>for</w:t>
            </w:r>
            <w:r>
              <w:rPr>
                <w:spacing w:val="-3"/>
                <w:sz w:val="17"/>
              </w:rPr>
              <w:t xml:space="preserve"> </w:t>
            </w:r>
            <w:r>
              <w:rPr>
                <w:sz w:val="17"/>
              </w:rPr>
              <w:t>outstanding</w:t>
            </w:r>
            <w:r>
              <w:rPr>
                <w:spacing w:val="2"/>
                <w:sz w:val="17"/>
              </w:rPr>
              <w:t xml:space="preserve"> </w:t>
            </w:r>
            <w:r>
              <w:rPr>
                <w:spacing w:val="-2"/>
                <w:sz w:val="17"/>
              </w:rPr>
              <w:t>claims</w:t>
            </w:r>
          </w:p>
        </w:tc>
        <w:tc>
          <w:tcPr>
            <w:tcW w:w="891" w:type="dxa"/>
            <w:tcBorders>
              <w:bottom w:val="single" w:sz="6" w:space="0" w:color="000000"/>
            </w:tcBorders>
          </w:tcPr>
          <w:p w14:paraId="6433F0EA" w14:textId="77777777" w:rsidR="00AC6F3C" w:rsidRDefault="00570E88">
            <w:pPr>
              <w:pStyle w:val="TableParagraph"/>
              <w:spacing w:before="39"/>
              <w:ind w:left="178" w:right="111"/>
              <w:jc w:val="center"/>
              <w:rPr>
                <w:sz w:val="17"/>
              </w:rPr>
            </w:pPr>
            <w:r>
              <w:rPr>
                <w:sz w:val="17"/>
              </w:rPr>
              <w:t>C8-</w:t>
            </w:r>
            <w:r>
              <w:rPr>
                <w:spacing w:val="-4"/>
                <w:sz w:val="17"/>
              </w:rPr>
              <w:t>2(a)</w:t>
            </w:r>
          </w:p>
        </w:tc>
        <w:tc>
          <w:tcPr>
            <w:tcW w:w="1416" w:type="dxa"/>
            <w:tcBorders>
              <w:bottom w:val="single" w:sz="6" w:space="0" w:color="000000"/>
            </w:tcBorders>
            <w:shd w:val="clear" w:color="auto" w:fill="F1F1F1"/>
          </w:tcPr>
          <w:p w14:paraId="37AE2F27" w14:textId="77777777" w:rsidR="00AC6F3C" w:rsidRDefault="00570E88">
            <w:pPr>
              <w:pStyle w:val="TableParagraph"/>
              <w:spacing w:before="39"/>
              <w:ind w:right="33"/>
              <w:jc w:val="right"/>
              <w:rPr>
                <w:sz w:val="17"/>
              </w:rPr>
            </w:pPr>
            <w:r>
              <w:rPr>
                <w:spacing w:val="-2"/>
                <w:sz w:val="17"/>
              </w:rPr>
              <w:t>16,745</w:t>
            </w:r>
          </w:p>
        </w:tc>
        <w:tc>
          <w:tcPr>
            <w:tcW w:w="1037" w:type="dxa"/>
            <w:tcBorders>
              <w:bottom w:val="single" w:sz="6" w:space="0" w:color="000000"/>
            </w:tcBorders>
          </w:tcPr>
          <w:p w14:paraId="3053C575" w14:textId="77777777" w:rsidR="00AC6F3C" w:rsidRDefault="00570E88">
            <w:pPr>
              <w:pStyle w:val="TableParagraph"/>
              <w:spacing w:before="39"/>
              <w:ind w:right="19"/>
              <w:jc w:val="right"/>
              <w:rPr>
                <w:sz w:val="17"/>
              </w:rPr>
            </w:pPr>
            <w:r>
              <w:rPr>
                <w:spacing w:val="-2"/>
                <w:sz w:val="17"/>
              </w:rPr>
              <w:t>15,086</w:t>
            </w:r>
          </w:p>
        </w:tc>
        <w:tc>
          <w:tcPr>
            <w:tcW w:w="1261" w:type="dxa"/>
            <w:tcBorders>
              <w:bottom w:val="single" w:sz="6" w:space="0" w:color="000000"/>
            </w:tcBorders>
            <w:shd w:val="clear" w:color="auto" w:fill="F1F1F1"/>
          </w:tcPr>
          <w:p w14:paraId="18CAEEA0" w14:textId="77777777" w:rsidR="00AC6F3C" w:rsidRDefault="00570E88">
            <w:pPr>
              <w:pStyle w:val="TableParagraph"/>
              <w:spacing w:before="39"/>
              <w:ind w:right="32"/>
              <w:jc w:val="right"/>
              <w:rPr>
                <w:sz w:val="17"/>
              </w:rPr>
            </w:pPr>
            <w:r>
              <w:rPr>
                <w:w w:val="98"/>
                <w:sz w:val="17"/>
              </w:rPr>
              <w:t>-</w:t>
            </w:r>
          </w:p>
        </w:tc>
        <w:tc>
          <w:tcPr>
            <w:tcW w:w="1044" w:type="dxa"/>
            <w:tcBorders>
              <w:bottom w:val="single" w:sz="6" w:space="0" w:color="000000"/>
              <w:right w:val="single" w:sz="6" w:space="0" w:color="000000"/>
            </w:tcBorders>
          </w:tcPr>
          <w:p w14:paraId="3C3130CA" w14:textId="77777777" w:rsidR="00AC6F3C" w:rsidRDefault="00570E88">
            <w:pPr>
              <w:pStyle w:val="TableParagraph"/>
              <w:spacing w:before="39"/>
              <w:ind w:right="17"/>
              <w:jc w:val="right"/>
              <w:rPr>
                <w:sz w:val="17"/>
              </w:rPr>
            </w:pPr>
            <w:r>
              <w:rPr>
                <w:w w:val="98"/>
                <w:sz w:val="17"/>
              </w:rPr>
              <w:t>-</w:t>
            </w:r>
          </w:p>
        </w:tc>
      </w:tr>
      <w:tr w:rsidR="00AC6F3C" w14:paraId="056414B3"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4200FF8B" w14:textId="77777777" w:rsidR="00AC6F3C" w:rsidRDefault="00570E88">
            <w:pPr>
              <w:pStyle w:val="TableParagraph"/>
              <w:spacing w:before="36"/>
              <w:ind w:left="34"/>
              <w:rPr>
                <w:b/>
                <w:sz w:val="17"/>
              </w:rPr>
            </w:pPr>
            <w:r>
              <w:rPr>
                <w:b/>
                <w:spacing w:val="-2"/>
                <w:sz w:val="17"/>
              </w:rPr>
              <w:t>Total</w:t>
            </w:r>
            <w:r>
              <w:rPr>
                <w:b/>
                <w:spacing w:val="-9"/>
                <w:sz w:val="17"/>
              </w:rPr>
              <w:t xml:space="preserve"> </w:t>
            </w:r>
            <w:r>
              <w:rPr>
                <w:b/>
                <w:spacing w:val="-2"/>
                <w:sz w:val="17"/>
              </w:rPr>
              <w:t>current</w:t>
            </w:r>
            <w:r>
              <w:rPr>
                <w:b/>
                <w:spacing w:val="-3"/>
                <w:sz w:val="17"/>
              </w:rPr>
              <w:t xml:space="preserve"> </w:t>
            </w:r>
            <w:r>
              <w:rPr>
                <w:b/>
                <w:spacing w:val="-2"/>
                <w:sz w:val="17"/>
              </w:rPr>
              <w:t>liabilities</w:t>
            </w:r>
          </w:p>
        </w:tc>
        <w:tc>
          <w:tcPr>
            <w:tcW w:w="891" w:type="dxa"/>
            <w:tcBorders>
              <w:top w:val="single" w:sz="6" w:space="0" w:color="000000"/>
              <w:bottom w:val="single" w:sz="6" w:space="0" w:color="000000"/>
            </w:tcBorders>
            <w:shd w:val="clear" w:color="auto" w:fill="BEBEBE"/>
          </w:tcPr>
          <w:p w14:paraId="3B58614C"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4899665E" w14:textId="77777777" w:rsidR="00AC6F3C" w:rsidRDefault="00570E88">
            <w:pPr>
              <w:pStyle w:val="TableParagraph"/>
              <w:spacing w:before="36"/>
              <w:ind w:right="33"/>
              <w:jc w:val="right"/>
              <w:rPr>
                <w:b/>
                <w:sz w:val="17"/>
              </w:rPr>
            </w:pPr>
            <w:r>
              <w:rPr>
                <w:b/>
                <w:spacing w:val="-2"/>
                <w:sz w:val="17"/>
              </w:rPr>
              <w:t>73,294</w:t>
            </w:r>
          </w:p>
        </w:tc>
        <w:tc>
          <w:tcPr>
            <w:tcW w:w="1037" w:type="dxa"/>
            <w:tcBorders>
              <w:top w:val="single" w:sz="6" w:space="0" w:color="000000"/>
              <w:bottom w:val="single" w:sz="6" w:space="0" w:color="000000"/>
            </w:tcBorders>
            <w:shd w:val="clear" w:color="auto" w:fill="BEBEBE"/>
          </w:tcPr>
          <w:p w14:paraId="3FF9021C" w14:textId="77777777" w:rsidR="00AC6F3C" w:rsidRDefault="00570E88">
            <w:pPr>
              <w:pStyle w:val="TableParagraph"/>
              <w:spacing w:before="36"/>
              <w:ind w:right="19"/>
              <w:jc w:val="right"/>
              <w:rPr>
                <w:b/>
                <w:sz w:val="17"/>
              </w:rPr>
            </w:pPr>
            <w:r>
              <w:rPr>
                <w:b/>
                <w:spacing w:val="-2"/>
                <w:sz w:val="17"/>
              </w:rPr>
              <w:t>73,236</w:t>
            </w:r>
          </w:p>
        </w:tc>
        <w:tc>
          <w:tcPr>
            <w:tcW w:w="1261" w:type="dxa"/>
            <w:tcBorders>
              <w:top w:val="single" w:sz="6" w:space="0" w:color="000000"/>
              <w:bottom w:val="single" w:sz="6" w:space="0" w:color="000000"/>
            </w:tcBorders>
            <w:shd w:val="clear" w:color="auto" w:fill="BEBEBE"/>
          </w:tcPr>
          <w:p w14:paraId="4ED2BD78" w14:textId="77777777" w:rsidR="00AC6F3C" w:rsidRDefault="00570E88">
            <w:pPr>
              <w:pStyle w:val="TableParagraph"/>
              <w:spacing w:before="36"/>
              <w:ind w:right="32"/>
              <w:jc w:val="right"/>
              <w:rPr>
                <w:b/>
                <w:sz w:val="17"/>
              </w:rPr>
            </w:pPr>
            <w:r>
              <w:rPr>
                <w:b/>
                <w:spacing w:val="-2"/>
                <w:sz w:val="17"/>
              </w:rPr>
              <w:t>52,695</w:t>
            </w:r>
          </w:p>
        </w:tc>
        <w:tc>
          <w:tcPr>
            <w:tcW w:w="1044" w:type="dxa"/>
            <w:tcBorders>
              <w:top w:val="single" w:sz="6" w:space="0" w:color="000000"/>
              <w:bottom w:val="single" w:sz="6" w:space="0" w:color="000000"/>
              <w:right w:val="single" w:sz="6" w:space="0" w:color="000000"/>
            </w:tcBorders>
            <w:shd w:val="clear" w:color="auto" w:fill="BEBEBE"/>
          </w:tcPr>
          <w:p w14:paraId="05BB8182" w14:textId="77777777" w:rsidR="00AC6F3C" w:rsidRDefault="00570E88">
            <w:pPr>
              <w:pStyle w:val="TableParagraph"/>
              <w:spacing w:before="36"/>
              <w:ind w:right="16"/>
              <w:jc w:val="right"/>
              <w:rPr>
                <w:b/>
                <w:sz w:val="17"/>
              </w:rPr>
            </w:pPr>
            <w:r>
              <w:rPr>
                <w:b/>
                <w:spacing w:val="-2"/>
                <w:sz w:val="17"/>
              </w:rPr>
              <w:t>47,806</w:t>
            </w:r>
          </w:p>
        </w:tc>
      </w:tr>
      <w:tr w:rsidR="00AC6F3C" w14:paraId="0EBB9551" w14:textId="77777777">
        <w:trPr>
          <w:trHeight w:val="278"/>
        </w:trPr>
        <w:tc>
          <w:tcPr>
            <w:tcW w:w="3393" w:type="dxa"/>
            <w:tcBorders>
              <w:top w:val="single" w:sz="6" w:space="0" w:color="000000"/>
              <w:left w:val="single" w:sz="6" w:space="0" w:color="000000"/>
            </w:tcBorders>
          </w:tcPr>
          <w:p w14:paraId="6B7ABA8B" w14:textId="77777777" w:rsidR="00AC6F3C" w:rsidRDefault="00570E88">
            <w:pPr>
              <w:pStyle w:val="TableParagraph"/>
              <w:spacing w:before="36"/>
              <w:ind w:left="34"/>
              <w:rPr>
                <w:b/>
                <w:sz w:val="17"/>
              </w:rPr>
            </w:pPr>
            <w:r>
              <w:rPr>
                <w:b/>
                <w:spacing w:val="-4"/>
                <w:sz w:val="17"/>
              </w:rPr>
              <w:t>Non-current</w:t>
            </w:r>
            <w:r>
              <w:rPr>
                <w:b/>
                <w:spacing w:val="4"/>
                <w:sz w:val="17"/>
              </w:rPr>
              <w:t xml:space="preserve"> </w:t>
            </w:r>
            <w:r>
              <w:rPr>
                <w:b/>
                <w:spacing w:val="-4"/>
                <w:sz w:val="17"/>
              </w:rPr>
              <w:t>liabilities</w:t>
            </w:r>
          </w:p>
        </w:tc>
        <w:tc>
          <w:tcPr>
            <w:tcW w:w="891" w:type="dxa"/>
            <w:tcBorders>
              <w:top w:val="single" w:sz="6" w:space="0" w:color="000000"/>
            </w:tcBorders>
          </w:tcPr>
          <w:p w14:paraId="5E534414" w14:textId="77777777" w:rsidR="00AC6F3C" w:rsidRDefault="00AC6F3C">
            <w:pPr>
              <w:pStyle w:val="TableParagraph"/>
              <w:rPr>
                <w:rFonts w:ascii="Times New Roman"/>
                <w:sz w:val="16"/>
              </w:rPr>
            </w:pPr>
          </w:p>
        </w:tc>
        <w:tc>
          <w:tcPr>
            <w:tcW w:w="1416" w:type="dxa"/>
            <w:tcBorders>
              <w:top w:val="single" w:sz="6" w:space="0" w:color="000000"/>
            </w:tcBorders>
            <w:shd w:val="clear" w:color="auto" w:fill="F1F1F1"/>
          </w:tcPr>
          <w:p w14:paraId="3B67AE86" w14:textId="77777777" w:rsidR="00AC6F3C" w:rsidRDefault="00AC6F3C">
            <w:pPr>
              <w:pStyle w:val="TableParagraph"/>
              <w:rPr>
                <w:rFonts w:ascii="Times New Roman"/>
                <w:sz w:val="16"/>
              </w:rPr>
            </w:pPr>
          </w:p>
        </w:tc>
        <w:tc>
          <w:tcPr>
            <w:tcW w:w="1037" w:type="dxa"/>
            <w:tcBorders>
              <w:top w:val="single" w:sz="6" w:space="0" w:color="000000"/>
            </w:tcBorders>
          </w:tcPr>
          <w:p w14:paraId="139F1CCE" w14:textId="77777777" w:rsidR="00AC6F3C" w:rsidRDefault="00AC6F3C">
            <w:pPr>
              <w:pStyle w:val="TableParagraph"/>
              <w:rPr>
                <w:rFonts w:ascii="Times New Roman"/>
                <w:sz w:val="16"/>
              </w:rPr>
            </w:pPr>
          </w:p>
        </w:tc>
        <w:tc>
          <w:tcPr>
            <w:tcW w:w="1261" w:type="dxa"/>
            <w:tcBorders>
              <w:top w:val="single" w:sz="6" w:space="0" w:color="000000"/>
            </w:tcBorders>
            <w:shd w:val="clear" w:color="auto" w:fill="F1F1F1"/>
          </w:tcPr>
          <w:p w14:paraId="5A20C14F" w14:textId="77777777" w:rsidR="00AC6F3C" w:rsidRDefault="00AC6F3C">
            <w:pPr>
              <w:pStyle w:val="TableParagraph"/>
              <w:rPr>
                <w:rFonts w:ascii="Times New Roman"/>
                <w:sz w:val="16"/>
              </w:rPr>
            </w:pPr>
          </w:p>
        </w:tc>
        <w:tc>
          <w:tcPr>
            <w:tcW w:w="1044" w:type="dxa"/>
            <w:tcBorders>
              <w:top w:val="single" w:sz="6" w:space="0" w:color="000000"/>
              <w:right w:val="single" w:sz="6" w:space="0" w:color="000000"/>
            </w:tcBorders>
          </w:tcPr>
          <w:p w14:paraId="35A4CF90" w14:textId="77777777" w:rsidR="00AC6F3C" w:rsidRDefault="00AC6F3C">
            <w:pPr>
              <w:pStyle w:val="TableParagraph"/>
              <w:rPr>
                <w:rFonts w:ascii="Times New Roman"/>
                <w:sz w:val="16"/>
              </w:rPr>
            </w:pPr>
          </w:p>
        </w:tc>
      </w:tr>
      <w:tr w:rsidR="00AC6F3C" w14:paraId="74E2B4C0" w14:textId="77777777">
        <w:trPr>
          <w:trHeight w:val="280"/>
        </w:trPr>
        <w:tc>
          <w:tcPr>
            <w:tcW w:w="3393" w:type="dxa"/>
            <w:tcBorders>
              <w:left w:val="single" w:sz="6" w:space="0" w:color="000000"/>
            </w:tcBorders>
          </w:tcPr>
          <w:p w14:paraId="4D5BFB46" w14:textId="77777777" w:rsidR="00AC6F3C" w:rsidRDefault="00570E88">
            <w:pPr>
              <w:pStyle w:val="TableParagraph"/>
              <w:spacing w:before="39"/>
              <w:ind w:left="34"/>
              <w:rPr>
                <w:sz w:val="17"/>
              </w:rPr>
            </w:pPr>
            <w:r>
              <w:rPr>
                <w:spacing w:val="-2"/>
                <w:sz w:val="17"/>
              </w:rPr>
              <w:t>Borrowings</w:t>
            </w:r>
          </w:p>
        </w:tc>
        <w:tc>
          <w:tcPr>
            <w:tcW w:w="891" w:type="dxa"/>
          </w:tcPr>
          <w:p w14:paraId="5CC384C5" w14:textId="77777777" w:rsidR="00AC6F3C" w:rsidRDefault="00570E88">
            <w:pPr>
              <w:pStyle w:val="TableParagraph"/>
              <w:spacing w:before="39"/>
              <w:ind w:left="154" w:right="111"/>
              <w:jc w:val="center"/>
              <w:rPr>
                <w:sz w:val="17"/>
              </w:rPr>
            </w:pPr>
            <w:r>
              <w:rPr>
                <w:sz w:val="17"/>
              </w:rPr>
              <w:t>C8-</w:t>
            </w:r>
            <w:r>
              <w:rPr>
                <w:spacing w:val="-10"/>
                <w:sz w:val="17"/>
              </w:rPr>
              <w:t>3</w:t>
            </w:r>
          </w:p>
        </w:tc>
        <w:tc>
          <w:tcPr>
            <w:tcW w:w="1416" w:type="dxa"/>
            <w:shd w:val="clear" w:color="auto" w:fill="F1F1F1"/>
          </w:tcPr>
          <w:p w14:paraId="53C95953" w14:textId="77777777" w:rsidR="00AC6F3C" w:rsidRDefault="00570E88">
            <w:pPr>
              <w:pStyle w:val="TableParagraph"/>
              <w:spacing w:before="39"/>
              <w:ind w:right="33"/>
              <w:jc w:val="right"/>
              <w:rPr>
                <w:sz w:val="17"/>
              </w:rPr>
            </w:pPr>
            <w:r>
              <w:rPr>
                <w:spacing w:val="-2"/>
                <w:sz w:val="17"/>
              </w:rPr>
              <w:t>8,956</w:t>
            </w:r>
          </w:p>
        </w:tc>
        <w:tc>
          <w:tcPr>
            <w:tcW w:w="1037" w:type="dxa"/>
          </w:tcPr>
          <w:p w14:paraId="6E74A43C" w14:textId="77777777" w:rsidR="00AC6F3C" w:rsidRDefault="00570E88">
            <w:pPr>
              <w:pStyle w:val="TableParagraph"/>
              <w:spacing w:before="39"/>
              <w:ind w:right="19"/>
              <w:jc w:val="right"/>
              <w:rPr>
                <w:sz w:val="17"/>
              </w:rPr>
            </w:pPr>
            <w:r>
              <w:rPr>
                <w:w w:val="98"/>
                <w:sz w:val="17"/>
              </w:rPr>
              <w:t>-</w:t>
            </w:r>
          </w:p>
        </w:tc>
        <w:tc>
          <w:tcPr>
            <w:tcW w:w="1261" w:type="dxa"/>
            <w:shd w:val="clear" w:color="auto" w:fill="F1F1F1"/>
          </w:tcPr>
          <w:p w14:paraId="0BCD7EE5" w14:textId="77777777" w:rsidR="00AC6F3C" w:rsidRDefault="00570E88">
            <w:pPr>
              <w:pStyle w:val="TableParagraph"/>
              <w:spacing w:before="39"/>
              <w:ind w:right="32"/>
              <w:jc w:val="right"/>
              <w:rPr>
                <w:sz w:val="17"/>
              </w:rPr>
            </w:pPr>
            <w:r>
              <w:rPr>
                <w:spacing w:val="-2"/>
                <w:sz w:val="17"/>
              </w:rPr>
              <w:t>8,956</w:t>
            </w:r>
          </w:p>
        </w:tc>
        <w:tc>
          <w:tcPr>
            <w:tcW w:w="1044" w:type="dxa"/>
            <w:tcBorders>
              <w:right w:val="single" w:sz="6" w:space="0" w:color="000000"/>
            </w:tcBorders>
          </w:tcPr>
          <w:p w14:paraId="6589DCA6" w14:textId="77777777" w:rsidR="00AC6F3C" w:rsidRDefault="00570E88">
            <w:pPr>
              <w:pStyle w:val="TableParagraph"/>
              <w:spacing w:before="39"/>
              <w:ind w:right="17"/>
              <w:jc w:val="right"/>
              <w:rPr>
                <w:sz w:val="17"/>
              </w:rPr>
            </w:pPr>
            <w:r>
              <w:rPr>
                <w:w w:val="98"/>
                <w:sz w:val="17"/>
              </w:rPr>
              <w:t>-</w:t>
            </w:r>
          </w:p>
        </w:tc>
      </w:tr>
      <w:tr w:rsidR="00AC6F3C" w14:paraId="56A4345A" w14:textId="77777777">
        <w:trPr>
          <w:trHeight w:val="280"/>
        </w:trPr>
        <w:tc>
          <w:tcPr>
            <w:tcW w:w="3393" w:type="dxa"/>
            <w:tcBorders>
              <w:left w:val="single" w:sz="6" w:space="0" w:color="000000"/>
            </w:tcBorders>
          </w:tcPr>
          <w:p w14:paraId="383D31E5" w14:textId="77777777" w:rsidR="00AC6F3C" w:rsidRDefault="00570E88">
            <w:pPr>
              <w:pStyle w:val="TableParagraph"/>
              <w:spacing w:before="39"/>
              <w:ind w:left="34"/>
              <w:rPr>
                <w:sz w:val="17"/>
              </w:rPr>
            </w:pPr>
            <w:r>
              <w:rPr>
                <w:sz w:val="17"/>
              </w:rPr>
              <w:t>Accrued</w:t>
            </w:r>
            <w:r>
              <w:rPr>
                <w:spacing w:val="-9"/>
                <w:sz w:val="17"/>
              </w:rPr>
              <w:t xml:space="preserve"> </w:t>
            </w:r>
            <w:r>
              <w:rPr>
                <w:sz w:val="17"/>
              </w:rPr>
              <w:t>employee</w:t>
            </w:r>
            <w:r>
              <w:rPr>
                <w:spacing w:val="-9"/>
                <w:sz w:val="17"/>
              </w:rPr>
              <w:t xml:space="preserve"> </w:t>
            </w:r>
            <w:r>
              <w:rPr>
                <w:spacing w:val="-2"/>
                <w:sz w:val="17"/>
              </w:rPr>
              <w:t>benefits</w:t>
            </w:r>
          </w:p>
        </w:tc>
        <w:tc>
          <w:tcPr>
            <w:tcW w:w="891" w:type="dxa"/>
          </w:tcPr>
          <w:p w14:paraId="1EAFF9AE" w14:textId="77777777" w:rsidR="00AC6F3C" w:rsidRDefault="00570E88">
            <w:pPr>
              <w:pStyle w:val="TableParagraph"/>
              <w:spacing w:before="39"/>
              <w:ind w:left="173" w:right="111"/>
              <w:jc w:val="center"/>
              <w:rPr>
                <w:sz w:val="17"/>
              </w:rPr>
            </w:pPr>
            <w:r>
              <w:rPr>
                <w:spacing w:val="-5"/>
                <w:sz w:val="17"/>
              </w:rPr>
              <w:t>C7</w:t>
            </w:r>
          </w:p>
        </w:tc>
        <w:tc>
          <w:tcPr>
            <w:tcW w:w="1416" w:type="dxa"/>
            <w:shd w:val="clear" w:color="auto" w:fill="F1F1F1"/>
          </w:tcPr>
          <w:p w14:paraId="600A59BB" w14:textId="77777777" w:rsidR="00AC6F3C" w:rsidRDefault="00570E88">
            <w:pPr>
              <w:pStyle w:val="TableParagraph"/>
              <w:spacing w:before="39"/>
              <w:ind w:right="33"/>
              <w:jc w:val="right"/>
              <w:rPr>
                <w:sz w:val="17"/>
              </w:rPr>
            </w:pPr>
            <w:r>
              <w:rPr>
                <w:spacing w:val="-5"/>
                <w:sz w:val="17"/>
              </w:rPr>
              <w:t>315</w:t>
            </w:r>
          </w:p>
        </w:tc>
        <w:tc>
          <w:tcPr>
            <w:tcW w:w="1037" w:type="dxa"/>
          </w:tcPr>
          <w:p w14:paraId="08214CC1" w14:textId="77777777" w:rsidR="00AC6F3C" w:rsidRDefault="00570E88">
            <w:pPr>
              <w:pStyle w:val="TableParagraph"/>
              <w:spacing w:before="39"/>
              <w:ind w:right="19"/>
              <w:jc w:val="right"/>
              <w:rPr>
                <w:sz w:val="17"/>
              </w:rPr>
            </w:pPr>
            <w:r>
              <w:rPr>
                <w:spacing w:val="-5"/>
                <w:sz w:val="17"/>
              </w:rPr>
              <w:t>267</w:t>
            </w:r>
          </w:p>
        </w:tc>
        <w:tc>
          <w:tcPr>
            <w:tcW w:w="1261" w:type="dxa"/>
            <w:shd w:val="clear" w:color="auto" w:fill="F1F1F1"/>
          </w:tcPr>
          <w:p w14:paraId="008A3839" w14:textId="77777777" w:rsidR="00AC6F3C" w:rsidRDefault="00570E88">
            <w:pPr>
              <w:pStyle w:val="TableParagraph"/>
              <w:spacing w:before="39"/>
              <w:ind w:right="32"/>
              <w:jc w:val="right"/>
              <w:rPr>
                <w:sz w:val="17"/>
              </w:rPr>
            </w:pPr>
            <w:r>
              <w:rPr>
                <w:spacing w:val="-5"/>
                <w:sz w:val="17"/>
              </w:rPr>
              <w:t>240</w:t>
            </w:r>
          </w:p>
        </w:tc>
        <w:tc>
          <w:tcPr>
            <w:tcW w:w="1044" w:type="dxa"/>
            <w:tcBorders>
              <w:right w:val="single" w:sz="6" w:space="0" w:color="000000"/>
            </w:tcBorders>
          </w:tcPr>
          <w:p w14:paraId="519B8759" w14:textId="77777777" w:rsidR="00AC6F3C" w:rsidRDefault="00570E88">
            <w:pPr>
              <w:pStyle w:val="TableParagraph"/>
              <w:spacing w:before="39"/>
              <w:ind w:right="17"/>
              <w:jc w:val="right"/>
              <w:rPr>
                <w:sz w:val="17"/>
              </w:rPr>
            </w:pPr>
            <w:r>
              <w:rPr>
                <w:spacing w:val="-5"/>
                <w:sz w:val="17"/>
              </w:rPr>
              <w:t>217</w:t>
            </w:r>
          </w:p>
        </w:tc>
      </w:tr>
      <w:tr w:rsidR="00AC6F3C" w14:paraId="306D2338" w14:textId="77777777">
        <w:trPr>
          <w:trHeight w:val="268"/>
        </w:trPr>
        <w:tc>
          <w:tcPr>
            <w:tcW w:w="3393" w:type="dxa"/>
            <w:tcBorders>
              <w:left w:val="single" w:sz="6" w:space="0" w:color="000000"/>
              <w:bottom w:val="single" w:sz="6" w:space="0" w:color="000000"/>
            </w:tcBorders>
          </w:tcPr>
          <w:p w14:paraId="74794FE3" w14:textId="77777777" w:rsidR="00AC6F3C" w:rsidRDefault="00570E88">
            <w:pPr>
              <w:pStyle w:val="TableParagraph"/>
              <w:spacing w:before="39"/>
              <w:ind w:left="34"/>
              <w:rPr>
                <w:sz w:val="17"/>
              </w:rPr>
            </w:pPr>
            <w:r>
              <w:rPr>
                <w:sz w:val="17"/>
              </w:rPr>
              <w:t>Provision</w:t>
            </w:r>
            <w:r>
              <w:rPr>
                <w:spacing w:val="2"/>
                <w:sz w:val="17"/>
              </w:rPr>
              <w:t xml:space="preserve"> </w:t>
            </w:r>
            <w:r>
              <w:rPr>
                <w:sz w:val="17"/>
              </w:rPr>
              <w:t>for</w:t>
            </w:r>
            <w:r>
              <w:rPr>
                <w:spacing w:val="-3"/>
                <w:sz w:val="17"/>
              </w:rPr>
              <w:t xml:space="preserve"> </w:t>
            </w:r>
            <w:r>
              <w:rPr>
                <w:sz w:val="17"/>
              </w:rPr>
              <w:t>outstanding</w:t>
            </w:r>
            <w:r>
              <w:rPr>
                <w:spacing w:val="2"/>
                <w:sz w:val="17"/>
              </w:rPr>
              <w:t xml:space="preserve"> </w:t>
            </w:r>
            <w:r>
              <w:rPr>
                <w:spacing w:val="-2"/>
                <w:sz w:val="17"/>
              </w:rPr>
              <w:t>claims</w:t>
            </w:r>
          </w:p>
        </w:tc>
        <w:tc>
          <w:tcPr>
            <w:tcW w:w="891" w:type="dxa"/>
            <w:tcBorders>
              <w:bottom w:val="single" w:sz="6" w:space="0" w:color="000000"/>
            </w:tcBorders>
          </w:tcPr>
          <w:p w14:paraId="6CFAA695" w14:textId="77777777" w:rsidR="00AC6F3C" w:rsidRDefault="00570E88">
            <w:pPr>
              <w:pStyle w:val="TableParagraph"/>
              <w:spacing w:before="39"/>
              <w:ind w:left="178" w:right="111"/>
              <w:jc w:val="center"/>
              <w:rPr>
                <w:sz w:val="17"/>
              </w:rPr>
            </w:pPr>
            <w:r>
              <w:rPr>
                <w:sz w:val="17"/>
              </w:rPr>
              <w:t>C8-</w:t>
            </w:r>
            <w:r>
              <w:rPr>
                <w:spacing w:val="-4"/>
                <w:sz w:val="17"/>
              </w:rPr>
              <w:t>2(a)</w:t>
            </w:r>
          </w:p>
        </w:tc>
        <w:tc>
          <w:tcPr>
            <w:tcW w:w="1416" w:type="dxa"/>
            <w:tcBorders>
              <w:bottom w:val="single" w:sz="6" w:space="0" w:color="000000"/>
            </w:tcBorders>
            <w:shd w:val="clear" w:color="auto" w:fill="F1F1F1"/>
          </w:tcPr>
          <w:p w14:paraId="66D58A5A" w14:textId="77777777" w:rsidR="00AC6F3C" w:rsidRDefault="00570E88">
            <w:pPr>
              <w:pStyle w:val="TableParagraph"/>
              <w:spacing w:before="39"/>
              <w:ind w:right="33"/>
              <w:jc w:val="right"/>
              <w:rPr>
                <w:sz w:val="17"/>
              </w:rPr>
            </w:pPr>
            <w:r>
              <w:rPr>
                <w:spacing w:val="-2"/>
                <w:sz w:val="17"/>
              </w:rPr>
              <w:t>69,431</w:t>
            </w:r>
          </w:p>
        </w:tc>
        <w:tc>
          <w:tcPr>
            <w:tcW w:w="1037" w:type="dxa"/>
            <w:tcBorders>
              <w:bottom w:val="single" w:sz="6" w:space="0" w:color="000000"/>
            </w:tcBorders>
          </w:tcPr>
          <w:p w14:paraId="29299203" w14:textId="77777777" w:rsidR="00AC6F3C" w:rsidRDefault="00570E88">
            <w:pPr>
              <w:pStyle w:val="TableParagraph"/>
              <w:spacing w:before="39"/>
              <w:ind w:right="19"/>
              <w:jc w:val="right"/>
              <w:rPr>
                <w:sz w:val="17"/>
              </w:rPr>
            </w:pPr>
            <w:r>
              <w:rPr>
                <w:spacing w:val="-2"/>
                <w:sz w:val="17"/>
              </w:rPr>
              <w:t>57,456</w:t>
            </w:r>
          </w:p>
        </w:tc>
        <w:tc>
          <w:tcPr>
            <w:tcW w:w="1261" w:type="dxa"/>
            <w:tcBorders>
              <w:bottom w:val="single" w:sz="6" w:space="0" w:color="000000"/>
            </w:tcBorders>
            <w:shd w:val="clear" w:color="auto" w:fill="F1F1F1"/>
          </w:tcPr>
          <w:p w14:paraId="3AD34579" w14:textId="77777777" w:rsidR="00AC6F3C" w:rsidRDefault="00570E88">
            <w:pPr>
              <w:pStyle w:val="TableParagraph"/>
              <w:spacing w:before="39"/>
              <w:ind w:right="32"/>
              <w:jc w:val="right"/>
              <w:rPr>
                <w:sz w:val="17"/>
              </w:rPr>
            </w:pPr>
            <w:r>
              <w:rPr>
                <w:w w:val="98"/>
                <w:sz w:val="17"/>
              </w:rPr>
              <w:t>-</w:t>
            </w:r>
          </w:p>
        </w:tc>
        <w:tc>
          <w:tcPr>
            <w:tcW w:w="1044" w:type="dxa"/>
            <w:tcBorders>
              <w:bottom w:val="single" w:sz="6" w:space="0" w:color="000000"/>
              <w:right w:val="single" w:sz="6" w:space="0" w:color="000000"/>
            </w:tcBorders>
          </w:tcPr>
          <w:p w14:paraId="561CF844" w14:textId="77777777" w:rsidR="00AC6F3C" w:rsidRDefault="00570E88">
            <w:pPr>
              <w:pStyle w:val="TableParagraph"/>
              <w:spacing w:before="39"/>
              <w:ind w:right="17"/>
              <w:jc w:val="right"/>
              <w:rPr>
                <w:sz w:val="17"/>
              </w:rPr>
            </w:pPr>
            <w:r>
              <w:rPr>
                <w:w w:val="98"/>
                <w:sz w:val="17"/>
              </w:rPr>
              <w:t>-</w:t>
            </w:r>
          </w:p>
        </w:tc>
      </w:tr>
      <w:tr w:rsidR="00AC6F3C" w14:paraId="2C9CDBFD"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65ECDF01" w14:textId="77777777" w:rsidR="00AC6F3C" w:rsidRDefault="00570E88">
            <w:pPr>
              <w:pStyle w:val="TableParagraph"/>
              <w:spacing w:before="36"/>
              <w:ind w:left="34"/>
              <w:rPr>
                <w:b/>
                <w:sz w:val="17"/>
              </w:rPr>
            </w:pPr>
            <w:r>
              <w:rPr>
                <w:b/>
                <w:spacing w:val="-4"/>
                <w:sz w:val="17"/>
              </w:rPr>
              <w:t>Total</w:t>
            </w:r>
            <w:r>
              <w:rPr>
                <w:b/>
                <w:sz w:val="17"/>
              </w:rPr>
              <w:t xml:space="preserve"> </w:t>
            </w:r>
            <w:r>
              <w:rPr>
                <w:b/>
                <w:spacing w:val="-4"/>
                <w:sz w:val="17"/>
              </w:rPr>
              <w:t>non-current</w:t>
            </w:r>
            <w:r>
              <w:rPr>
                <w:b/>
                <w:spacing w:val="5"/>
                <w:sz w:val="17"/>
              </w:rPr>
              <w:t xml:space="preserve"> </w:t>
            </w:r>
            <w:r>
              <w:rPr>
                <w:b/>
                <w:spacing w:val="-4"/>
                <w:sz w:val="17"/>
              </w:rPr>
              <w:t>liabilities</w:t>
            </w:r>
          </w:p>
        </w:tc>
        <w:tc>
          <w:tcPr>
            <w:tcW w:w="891" w:type="dxa"/>
            <w:tcBorders>
              <w:top w:val="single" w:sz="6" w:space="0" w:color="000000"/>
              <w:bottom w:val="single" w:sz="6" w:space="0" w:color="000000"/>
            </w:tcBorders>
            <w:shd w:val="clear" w:color="auto" w:fill="BEBEBE"/>
          </w:tcPr>
          <w:p w14:paraId="4B340407"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258B5224" w14:textId="77777777" w:rsidR="00AC6F3C" w:rsidRDefault="00570E88">
            <w:pPr>
              <w:pStyle w:val="TableParagraph"/>
              <w:spacing w:before="36"/>
              <w:ind w:right="33"/>
              <w:jc w:val="right"/>
              <w:rPr>
                <w:b/>
                <w:sz w:val="17"/>
              </w:rPr>
            </w:pPr>
            <w:r>
              <w:rPr>
                <w:b/>
                <w:spacing w:val="-2"/>
                <w:sz w:val="17"/>
              </w:rPr>
              <w:t>78,702</w:t>
            </w:r>
          </w:p>
        </w:tc>
        <w:tc>
          <w:tcPr>
            <w:tcW w:w="1037" w:type="dxa"/>
            <w:tcBorders>
              <w:top w:val="single" w:sz="6" w:space="0" w:color="000000"/>
              <w:bottom w:val="single" w:sz="6" w:space="0" w:color="000000"/>
            </w:tcBorders>
            <w:shd w:val="clear" w:color="auto" w:fill="BEBEBE"/>
          </w:tcPr>
          <w:p w14:paraId="6CDB017F" w14:textId="77777777" w:rsidR="00AC6F3C" w:rsidRDefault="00570E88">
            <w:pPr>
              <w:pStyle w:val="TableParagraph"/>
              <w:spacing w:before="36"/>
              <w:ind w:right="19"/>
              <w:jc w:val="right"/>
              <w:rPr>
                <w:b/>
                <w:sz w:val="17"/>
              </w:rPr>
            </w:pPr>
            <w:r>
              <w:rPr>
                <w:b/>
                <w:spacing w:val="-2"/>
                <w:sz w:val="17"/>
              </w:rPr>
              <w:t>57,723</w:t>
            </w:r>
          </w:p>
        </w:tc>
        <w:tc>
          <w:tcPr>
            <w:tcW w:w="1261" w:type="dxa"/>
            <w:tcBorders>
              <w:top w:val="single" w:sz="6" w:space="0" w:color="000000"/>
              <w:bottom w:val="single" w:sz="6" w:space="0" w:color="000000"/>
            </w:tcBorders>
            <w:shd w:val="clear" w:color="auto" w:fill="BEBEBE"/>
          </w:tcPr>
          <w:p w14:paraId="28D55DD9" w14:textId="77777777" w:rsidR="00AC6F3C" w:rsidRDefault="00570E88">
            <w:pPr>
              <w:pStyle w:val="TableParagraph"/>
              <w:spacing w:before="36"/>
              <w:ind w:right="32"/>
              <w:jc w:val="right"/>
              <w:rPr>
                <w:b/>
                <w:sz w:val="17"/>
              </w:rPr>
            </w:pPr>
            <w:r>
              <w:rPr>
                <w:b/>
                <w:spacing w:val="-2"/>
                <w:sz w:val="17"/>
              </w:rPr>
              <w:t>9,196</w:t>
            </w:r>
          </w:p>
        </w:tc>
        <w:tc>
          <w:tcPr>
            <w:tcW w:w="1044" w:type="dxa"/>
            <w:tcBorders>
              <w:top w:val="single" w:sz="6" w:space="0" w:color="000000"/>
              <w:bottom w:val="single" w:sz="6" w:space="0" w:color="000000"/>
            </w:tcBorders>
            <w:shd w:val="clear" w:color="auto" w:fill="BEBEBE"/>
          </w:tcPr>
          <w:p w14:paraId="1C7E194A" w14:textId="77777777" w:rsidR="00AC6F3C" w:rsidRDefault="00570E88">
            <w:pPr>
              <w:pStyle w:val="TableParagraph"/>
              <w:spacing w:before="36"/>
              <w:ind w:right="24"/>
              <w:jc w:val="right"/>
              <w:rPr>
                <w:b/>
                <w:sz w:val="17"/>
              </w:rPr>
            </w:pPr>
            <w:r>
              <w:rPr>
                <w:b/>
                <w:spacing w:val="-5"/>
                <w:sz w:val="17"/>
              </w:rPr>
              <w:t>217</w:t>
            </w:r>
          </w:p>
        </w:tc>
      </w:tr>
      <w:tr w:rsidR="00AC6F3C" w14:paraId="23FA7E6A"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18B043EB" w14:textId="77777777" w:rsidR="00AC6F3C" w:rsidRDefault="00570E88">
            <w:pPr>
              <w:pStyle w:val="TableParagraph"/>
              <w:spacing w:before="36"/>
              <w:ind w:left="34"/>
              <w:rPr>
                <w:b/>
                <w:sz w:val="17"/>
              </w:rPr>
            </w:pPr>
            <w:r>
              <w:rPr>
                <w:b/>
                <w:spacing w:val="-8"/>
                <w:sz w:val="17"/>
              </w:rPr>
              <w:t>TOTAL</w:t>
            </w:r>
            <w:r>
              <w:rPr>
                <w:b/>
                <w:spacing w:val="-7"/>
                <w:sz w:val="17"/>
              </w:rPr>
              <w:t xml:space="preserve"> </w:t>
            </w:r>
            <w:r>
              <w:rPr>
                <w:b/>
                <w:spacing w:val="-2"/>
                <w:sz w:val="17"/>
              </w:rPr>
              <w:t>LIABILITIES</w:t>
            </w:r>
          </w:p>
        </w:tc>
        <w:tc>
          <w:tcPr>
            <w:tcW w:w="891" w:type="dxa"/>
            <w:tcBorders>
              <w:top w:val="single" w:sz="6" w:space="0" w:color="000000"/>
              <w:bottom w:val="single" w:sz="6" w:space="0" w:color="000000"/>
            </w:tcBorders>
            <w:shd w:val="clear" w:color="auto" w:fill="BEBEBE"/>
          </w:tcPr>
          <w:p w14:paraId="3D2A3B07"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18275F46" w14:textId="77777777" w:rsidR="00AC6F3C" w:rsidRDefault="00570E88">
            <w:pPr>
              <w:pStyle w:val="TableParagraph"/>
              <w:spacing w:before="36"/>
              <w:ind w:right="33"/>
              <w:jc w:val="right"/>
              <w:rPr>
                <w:b/>
                <w:sz w:val="17"/>
              </w:rPr>
            </w:pPr>
            <w:r>
              <w:rPr>
                <w:b/>
                <w:spacing w:val="-2"/>
                <w:sz w:val="17"/>
              </w:rPr>
              <w:t>151,996</w:t>
            </w:r>
          </w:p>
        </w:tc>
        <w:tc>
          <w:tcPr>
            <w:tcW w:w="1037" w:type="dxa"/>
            <w:tcBorders>
              <w:top w:val="single" w:sz="6" w:space="0" w:color="000000"/>
              <w:bottom w:val="single" w:sz="6" w:space="0" w:color="000000"/>
            </w:tcBorders>
            <w:shd w:val="clear" w:color="auto" w:fill="BEBEBE"/>
          </w:tcPr>
          <w:p w14:paraId="397ED134" w14:textId="77777777" w:rsidR="00AC6F3C" w:rsidRDefault="00570E88">
            <w:pPr>
              <w:pStyle w:val="TableParagraph"/>
              <w:spacing w:before="36"/>
              <w:ind w:right="19"/>
              <w:jc w:val="right"/>
              <w:rPr>
                <w:b/>
                <w:sz w:val="17"/>
              </w:rPr>
            </w:pPr>
            <w:r>
              <w:rPr>
                <w:b/>
                <w:spacing w:val="-2"/>
                <w:sz w:val="17"/>
              </w:rPr>
              <w:t>130,959</w:t>
            </w:r>
          </w:p>
        </w:tc>
        <w:tc>
          <w:tcPr>
            <w:tcW w:w="1261" w:type="dxa"/>
            <w:tcBorders>
              <w:top w:val="single" w:sz="6" w:space="0" w:color="000000"/>
              <w:bottom w:val="single" w:sz="6" w:space="0" w:color="000000"/>
            </w:tcBorders>
            <w:shd w:val="clear" w:color="auto" w:fill="BEBEBE"/>
          </w:tcPr>
          <w:p w14:paraId="512C8A63" w14:textId="77777777" w:rsidR="00AC6F3C" w:rsidRDefault="00570E88">
            <w:pPr>
              <w:pStyle w:val="TableParagraph"/>
              <w:spacing w:before="36"/>
              <w:ind w:right="32"/>
              <w:jc w:val="right"/>
              <w:rPr>
                <w:b/>
                <w:sz w:val="17"/>
              </w:rPr>
            </w:pPr>
            <w:r>
              <w:rPr>
                <w:b/>
                <w:spacing w:val="-2"/>
                <w:sz w:val="17"/>
              </w:rPr>
              <w:t>61,891</w:t>
            </w:r>
          </w:p>
        </w:tc>
        <w:tc>
          <w:tcPr>
            <w:tcW w:w="1044" w:type="dxa"/>
            <w:tcBorders>
              <w:top w:val="single" w:sz="6" w:space="0" w:color="000000"/>
              <w:bottom w:val="single" w:sz="6" w:space="0" w:color="000000"/>
              <w:right w:val="single" w:sz="6" w:space="0" w:color="000000"/>
            </w:tcBorders>
            <w:shd w:val="clear" w:color="auto" w:fill="BEBEBE"/>
          </w:tcPr>
          <w:p w14:paraId="34C5D148" w14:textId="77777777" w:rsidR="00AC6F3C" w:rsidRDefault="00570E88">
            <w:pPr>
              <w:pStyle w:val="TableParagraph"/>
              <w:spacing w:before="36"/>
              <w:ind w:right="17"/>
              <w:jc w:val="right"/>
              <w:rPr>
                <w:b/>
                <w:sz w:val="17"/>
              </w:rPr>
            </w:pPr>
            <w:r>
              <w:rPr>
                <w:b/>
                <w:spacing w:val="-2"/>
                <w:sz w:val="17"/>
              </w:rPr>
              <w:t>48,023</w:t>
            </w:r>
          </w:p>
        </w:tc>
      </w:tr>
      <w:tr w:rsidR="00AC6F3C" w14:paraId="117B3AFF" w14:textId="77777777">
        <w:trPr>
          <w:trHeight w:val="265"/>
        </w:trPr>
        <w:tc>
          <w:tcPr>
            <w:tcW w:w="4284" w:type="dxa"/>
            <w:gridSpan w:val="2"/>
            <w:tcBorders>
              <w:top w:val="single" w:sz="6" w:space="0" w:color="000000"/>
              <w:left w:val="single" w:sz="6" w:space="0" w:color="000000"/>
              <w:bottom w:val="single" w:sz="6" w:space="0" w:color="000000"/>
            </w:tcBorders>
          </w:tcPr>
          <w:p w14:paraId="5BD07861"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F1F1F1"/>
          </w:tcPr>
          <w:p w14:paraId="67A71334" w14:textId="77777777" w:rsidR="00AC6F3C" w:rsidRDefault="00AC6F3C">
            <w:pPr>
              <w:pStyle w:val="TableParagraph"/>
              <w:rPr>
                <w:rFonts w:ascii="Times New Roman"/>
                <w:sz w:val="16"/>
              </w:rPr>
            </w:pPr>
          </w:p>
        </w:tc>
        <w:tc>
          <w:tcPr>
            <w:tcW w:w="1037" w:type="dxa"/>
            <w:tcBorders>
              <w:top w:val="single" w:sz="6" w:space="0" w:color="000000"/>
              <w:bottom w:val="single" w:sz="6" w:space="0" w:color="000000"/>
            </w:tcBorders>
          </w:tcPr>
          <w:p w14:paraId="0F98964C" w14:textId="77777777" w:rsidR="00AC6F3C" w:rsidRDefault="00AC6F3C">
            <w:pPr>
              <w:pStyle w:val="TableParagraph"/>
              <w:rPr>
                <w:rFonts w:ascii="Times New Roman"/>
                <w:sz w:val="16"/>
              </w:rPr>
            </w:pPr>
          </w:p>
        </w:tc>
        <w:tc>
          <w:tcPr>
            <w:tcW w:w="1261" w:type="dxa"/>
            <w:tcBorders>
              <w:top w:val="single" w:sz="6" w:space="0" w:color="000000"/>
              <w:bottom w:val="single" w:sz="6" w:space="0" w:color="000000"/>
            </w:tcBorders>
            <w:shd w:val="clear" w:color="auto" w:fill="F1F1F1"/>
          </w:tcPr>
          <w:p w14:paraId="6BCAA45E" w14:textId="77777777" w:rsidR="00AC6F3C" w:rsidRDefault="00AC6F3C">
            <w:pPr>
              <w:pStyle w:val="TableParagraph"/>
              <w:rPr>
                <w:rFonts w:ascii="Times New Roman"/>
                <w:sz w:val="16"/>
              </w:rPr>
            </w:pPr>
          </w:p>
        </w:tc>
        <w:tc>
          <w:tcPr>
            <w:tcW w:w="1044" w:type="dxa"/>
            <w:tcBorders>
              <w:top w:val="single" w:sz="6" w:space="0" w:color="000000"/>
              <w:bottom w:val="single" w:sz="6" w:space="0" w:color="000000"/>
              <w:right w:val="single" w:sz="6" w:space="0" w:color="000000"/>
            </w:tcBorders>
          </w:tcPr>
          <w:p w14:paraId="5810A448" w14:textId="77777777" w:rsidR="00AC6F3C" w:rsidRDefault="00AC6F3C">
            <w:pPr>
              <w:pStyle w:val="TableParagraph"/>
              <w:rPr>
                <w:rFonts w:ascii="Times New Roman"/>
                <w:sz w:val="16"/>
              </w:rPr>
            </w:pPr>
          </w:p>
        </w:tc>
      </w:tr>
      <w:tr w:rsidR="00AC6F3C" w14:paraId="60467B3F"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3F92FE23" w14:textId="77777777" w:rsidR="00AC6F3C" w:rsidRDefault="00570E88">
            <w:pPr>
              <w:pStyle w:val="TableParagraph"/>
              <w:spacing w:before="36"/>
              <w:ind w:left="34"/>
              <w:rPr>
                <w:b/>
                <w:sz w:val="17"/>
              </w:rPr>
            </w:pPr>
            <w:r>
              <w:rPr>
                <w:b/>
                <w:spacing w:val="-12"/>
                <w:sz w:val="17"/>
              </w:rPr>
              <w:t>NET</w:t>
            </w:r>
            <w:r>
              <w:rPr>
                <w:b/>
                <w:spacing w:val="-6"/>
                <w:sz w:val="17"/>
              </w:rPr>
              <w:t xml:space="preserve"> </w:t>
            </w:r>
            <w:r>
              <w:rPr>
                <w:b/>
                <w:spacing w:val="-2"/>
                <w:sz w:val="17"/>
              </w:rPr>
              <w:t>ASSETS</w:t>
            </w:r>
          </w:p>
        </w:tc>
        <w:tc>
          <w:tcPr>
            <w:tcW w:w="891" w:type="dxa"/>
            <w:tcBorders>
              <w:top w:val="single" w:sz="6" w:space="0" w:color="000000"/>
              <w:bottom w:val="single" w:sz="6" w:space="0" w:color="000000"/>
            </w:tcBorders>
            <w:shd w:val="clear" w:color="auto" w:fill="BEBEBE"/>
          </w:tcPr>
          <w:p w14:paraId="052C52B8"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106E13B2" w14:textId="77777777" w:rsidR="00AC6F3C" w:rsidRDefault="00570E88">
            <w:pPr>
              <w:pStyle w:val="TableParagraph"/>
              <w:spacing w:before="36"/>
              <w:ind w:right="33"/>
              <w:jc w:val="right"/>
              <w:rPr>
                <w:b/>
                <w:sz w:val="17"/>
              </w:rPr>
            </w:pPr>
            <w:r>
              <w:rPr>
                <w:b/>
                <w:spacing w:val="-2"/>
                <w:sz w:val="17"/>
              </w:rPr>
              <w:t>174,739</w:t>
            </w:r>
          </w:p>
        </w:tc>
        <w:tc>
          <w:tcPr>
            <w:tcW w:w="1037" w:type="dxa"/>
            <w:tcBorders>
              <w:top w:val="single" w:sz="6" w:space="0" w:color="000000"/>
              <w:bottom w:val="single" w:sz="6" w:space="0" w:color="000000"/>
            </w:tcBorders>
            <w:shd w:val="clear" w:color="auto" w:fill="BEBEBE"/>
          </w:tcPr>
          <w:p w14:paraId="69F645A4" w14:textId="77777777" w:rsidR="00AC6F3C" w:rsidRDefault="00570E88">
            <w:pPr>
              <w:pStyle w:val="TableParagraph"/>
              <w:spacing w:before="36"/>
              <w:ind w:right="19"/>
              <w:jc w:val="right"/>
              <w:rPr>
                <w:b/>
                <w:sz w:val="17"/>
              </w:rPr>
            </w:pPr>
            <w:r>
              <w:rPr>
                <w:b/>
                <w:spacing w:val="-2"/>
                <w:sz w:val="17"/>
              </w:rPr>
              <w:t>164,021</w:t>
            </w:r>
          </w:p>
        </w:tc>
        <w:tc>
          <w:tcPr>
            <w:tcW w:w="1261" w:type="dxa"/>
            <w:tcBorders>
              <w:top w:val="single" w:sz="6" w:space="0" w:color="000000"/>
              <w:bottom w:val="single" w:sz="6" w:space="0" w:color="000000"/>
            </w:tcBorders>
            <w:shd w:val="clear" w:color="auto" w:fill="BEBEBE"/>
          </w:tcPr>
          <w:p w14:paraId="27DA8457" w14:textId="77777777" w:rsidR="00AC6F3C" w:rsidRDefault="00570E88">
            <w:pPr>
              <w:pStyle w:val="TableParagraph"/>
              <w:spacing w:before="36"/>
              <w:ind w:right="32"/>
              <w:jc w:val="right"/>
              <w:rPr>
                <w:b/>
                <w:sz w:val="17"/>
              </w:rPr>
            </w:pPr>
            <w:r>
              <w:rPr>
                <w:b/>
                <w:spacing w:val="-2"/>
                <w:sz w:val="17"/>
              </w:rPr>
              <w:t>65,153</w:t>
            </w:r>
          </w:p>
        </w:tc>
        <w:tc>
          <w:tcPr>
            <w:tcW w:w="1044" w:type="dxa"/>
            <w:tcBorders>
              <w:top w:val="single" w:sz="6" w:space="0" w:color="000000"/>
              <w:bottom w:val="single" w:sz="6" w:space="0" w:color="000000"/>
              <w:right w:val="single" w:sz="6" w:space="0" w:color="000000"/>
            </w:tcBorders>
            <w:shd w:val="clear" w:color="auto" w:fill="BEBEBE"/>
          </w:tcPr>
          <w:p w14:paraId="0513B655" w14:textId="77777777" w:rsidR="00AC6F3C" w:rsidRDefault="00570E88">
            <w:pPr>
              <w:pStyle w:val="TableParagraph"/>
              <w:spacing w:before="36"/>
              <w:ind w:right="17"/>
              <w:jc w:val="right"/>
              <w:rPr>
                <w:b/>
                <w:sz w:val="17"/>
              </w:rPr>
            </w:pPr>
            <w:r>
              <w:rPr>
                <w:b/>
                <w:spacing w:val="-2"/>
                <w:sz w:val="17"/>
              </w:rPr>
              <w:t>66,856</w:t>
            </w:r>
          </w:p>
        </w:tc>
      </w:tr>
      <w:tr w:rsidR="00AC6F3C" w14:paraId="45FC77BF" w14:textId="77777777">
        <w:trPr>
          <w:trHeight w:val="278"/>
        </w:trPr>
        <w:tc>
          <w:tcPr>
            <w:tcW w:w="4284" w:type="dxa"/>
            <w:gridSpan w:val="2"/>
            <w:tcBorders>
              <w:top w:val="single" w:sz="6" w:space="0" w:color="000000"/>
              <w:left w:val="single" w:sz="6" w:space="0" w:color="000000"/>
            </w:tcBorders>
          </w:tcPr>
          <w:p w14:paraId="0AF30BB6" w14:textId="77777777" w:rsidR="00AC6F3C" w:rsidRDefault="00570E88">
            <w:pPr>
              <w:pStyle w:val="TableParagraph"/>
              <w:spacing w:before="36"/>
              <w:ind w:left="34"/>
              <w:rPr>
                <w:b/>
                <w:sz w:val="17"/>
              </w:rPr>
            </w:pPr>
            <w:r>
              <w:rPr>
                <w:b/>
                <w:spacing w:val="-2"/>
                <w:sz w:val="17"/>
              </w:rPr>
              <w:t>EQUITY</w:t>
            </w:r>
          </w:p>
        </w:tc>
        <w:tc>
          <w:tcPr>
            <w:tcW w:w="1416" w:type="dxa"/>
            <w:tcBorders>
              <w:top w:val="single" w:sz="6" w:space="0" w:color="000000"/>
            </w:tcBorders>
            <w:shd w:val="clear" w:color="auto" w:fill="F1F1F1"/>
          </w:tcPr>
          <w:p w14:paraId="29150735" w14:textId="77777777" w:rsidR="00AC6F3C" w:rsidRDefault="00AC6F3C">
            <w:pPr>
              <w:pStyle w:val="TableParagraph"/>
              <w:rPr>
                <w:rFonts w:ascii="Times New Roman"/>
                <w:sz w:val="16"/>
              </w:rPr>
            </w:pPr>
          </w:p>
        </w:tc>
        <w:tc>
          <w:tcPr>
            <w:tcW w:w="1037" w:type="dxa"/>
            <w:tcBorders>
              <w:top w:val="single" w:sz="6" w:space="0" w:color="000000"/>
            </w:tcBorders>
          </w:tcPr>
          <w:p w14:paraId="26C237AD" w14:textId="77777777" w:rsidR="00AC6F3C" w:rsidRDefault="00AC6F3C">
            <w:pPr>
              <w:pStyle w:val="TableParagraph"/>
              <w:rPr>
                <w:rFonts w:ascii="Times New Roman"/>
                <w:sz w:val="16"/>
              </w:rPr>
            </w:pPr>
          </w:p>
        </w:tc>
        <w:tc>
          <w:tcPr>
            <w:tcW w:w="1261" w:type="dxa"/>
            <w:tcBorders>
              <w:top w:val="single" w:sz="6" w:space="0" w:color="000000"/>
            </w:tcBorders>
            <w:shd w:val="clear" w:color="auto" w:fill="F1F1F1"/>
          </w:tcPr>
          <w:p w14:paraId="03DE9CE7" w14:textId="77777777" w:rsidR="00AC6F3C" w:rsidRDefault="00AC6F3C">
            <w:pPr>
              <w:pStyle w:val="TableParagraph"/>
              <w:rPr>
                <w:rFonts w:ascii="Times New Roman"/>
                <w:sz w:val="16"/>
              </w:rPr>
            </w:pPr>
          </w:p>
        </w:tc>
        <w:tc>
          <w:tcPr>
            <w:tcW w:w="1044" w:type="dxa"/>
            <w:tcBorders>
              <w:top w:val="single" w:sz="6" w:space="0" w:color="000000"/>
              <w:right w:val="single" w:sz="6" w:space="0" w:color="000000"/>
            </w:tcBorders>
          </w:tcPr>
          <w:p w14:paraId="0E35EE1D" w14:textId="77777777" w:rsidR="00AC6F3C" w:rsidRDefault="00AC6F3C">
            <w:pPr>
              <w:pStyle w:val="TableParagraph"/>
              <w:rPr>
                <w:rFonts w:ascii="Times New Roman"/>
                <w:sz w:val="16"/>
              </w:rPr>
            </w:pPr>
          </w:p>
        </w:tc>
      </w:tr>
      <w:tr w:rsidR="00AC6F3C" w14:paraId="24A7B5A8" w14:textId="77777777">
        <w:trPr>
          <w:trHeight w:val="280"/>
        </w:trPr>
        <w:tc>
          <w:tcPr>
            <w:tcW w:w="4284" w:type="dxa"/>
            <w:gridSpan w:val="2"/>
            <w:tcBorders>
              <w:left w:val="single" w:sz="6" w:space="0" w:color="000000"/>
            </w:tcBorders>
          </w:tcPr>
          <w:p w14:paraId="018AB07C" w14:textId="77777777" w:rsidR="00AC6F3C" w:rsidRDefault="00570E88">
            <w:pPr>
              <w:pStyle w:val="TableParagraph"/>
              <w:spacing w:before="39"/>
              <w:ind w:left="34"/>
              <w:rPr>
                <w:sz w:val="17"/>
              </w:rPr>
            </w:pPr>
            <w:r>
              <w:rPr>
                <w:sz w:val="17"/>
              </w:rPr>
              <w:t>Accumulated</w:t>
            </w:r>
            <w:r>
              <w:rPr>
                <w:spacing w:val="-7"/>
                <w:sz w:val="17"/>
              </w:rPr>
              <w:t xml:space="preserve"> </w:t>
            </w:r>
            <w:r>
              <w:rPr>
                <w:spacing w:val="-2"/>
                <w:sz w:val="17"/>
              </w:rPr>
              <w:t>surplus</w:t>
            </w:r>
          </w:p>
        </w:tc>
        <w:tc>
          <w:tcPr>
            <w:tcW w:w="1416" w:type="dxa"/>
            <w:shd w:val="clear" w:color="auto" w:fill="F1F1F1"/>
          </w:tcPr>
          <w:p w14:paraId="40A12D35" w14:textId="77777777" w:rsidR="00AC6F3C" w:rsidRDefault="00570E88">
            <w:pPr>
              <w:pStyle w:val="TableParagraph"/>
              <w:spacing w:before="39"/>
              <w:ind w:right="33"/>
              <w:jc w:val="right"/>
              <w:rPr>
                <w:sz w:val="17"/>
              </w:rPr>
            </w:pPr>
            <w:r>
              <w:rPr>
                <w:spacing w:val="-2"/>
                <w:sz w:val="17"/>
              </w:rPr>
              <w:t>146,979</w:t>
            </w:r>
          </w:p>
        </w:tc>
        <w:tc>
          <w:tcPr>
            <w:tcW w:w="1037" w:type="dxa"/>
          </w:tcPr>
          <w:p w14:paraId="025031E3" w14:textId="77777777" w:rsidR="00AC6F3C" w:rsidRDefault="00570E88">
            <w:pPr>
              <w:pStyle w:val="TableParagraph"/>
              <w:spacing w:before="39"/>
              <w:ind w:right="19"/>
              <w:jc w:val="right"/>
              <w:rPr>
                <w:sz w:val="17"/>
              </w:rPr>
            </w:pPr>
            <w:r>
              <w:rPr>
                <w:spacing w:val="-2"/>
                <w:sz w:val="17"/>
              </w:rPr>
              <w:t>136,589</w:t>
            </w:r>
          </w:p>
        </w:tc>
        <w:tc>
          <w:tcPr>
            <w:tcW w:w="1261" w:type="dxa"/>
            <w:shd w:val="clear" w:color="auto" w:fill="F1F1F1"/>
          </w:tcPr>
          <w:p w14:paraId="5996720F" w14:textId="77777777" w:rsidR="00AC6F3C" w:rsidRDefault="00570E88">
            <w:pPr>
              <w:pStyle w:val="TableParagraph"/>
              <w:spacing w:before="39"/>
              <w:ind w:right="32"/>
              <w:jc w:val="right"/>
              <w:rPr>
                <w:sz w:val="17"/>
              </w:rPr>
            </w:pPr>
            <w:r>
              <w:rPr>
                <w:spacing w:val="-2"/>
                <w:sz w:val="17"/>
              </w:rPr>
              <w:t>37,392</w:t>
            </w:r>
          </w:p>
        </w:tc>
        <w:tc>
          <w:tcPr>
            <w:tcW w:w="1044" w:type="dxa"/>
            <w:tcBorders>
              <w:right w:val="single" w:sz="6" w:space="0" w:color="000000"/>
            </w:tcBorders>
          </w:tcPr>
          <w:p w14:paraId="7BA283D0" w14:textId="77777777" w:rsidR="00AC6F3C" w:rsidRDefault="00570E88">
            <w:pPr>
              <w:pStyle w:val="TableParagraph"/>
              <w:spacing w:before="39"/>
              <w:ind w:right="18"/>
              <w:jc w:val="right"/>
              <w:rPr>
                <w:sz w:val="17"/>
              </w:rPr>
            </w:pPr>
            <w:r>
              <w:rPr>
                <w:spacing w:val="-2"/>
                <w:sz w:val="17"/>
              </w:rPr>
              <w:t>39,424</w:t>
            </w:r>
          </w:p>
        </w:tc>
      </w:tr>
      <w:tr w:rsidR="00AC6F3C" w14:paraId="4B18F25B" w14:textId="77777777">
        <w:trPr>
          <w:trHeight w:val="268"/>
        </w:trPr>
        <w:tc>
          <w:tcPr>
            <w:tcW w:w="4284" w:type="dxa"/>
            <w:gridSpan w:val="2"/>
            <w:tcBorders>
              <w:left w:val="single" w:sz="6" w:space="0" w:color="000000"/>
              <w:bottom w:val="single" w:sz="6" w:space="0" w:color="000000"/>
            </w:tcBorders>
          </w:tcPr>
          <w:p w14:paraId="50F0A182" w14:textId="77777777" w:rsidR="00AC6F3C" w:rsidRDefault="00570E88">
            <w:pPr>
              <w:pStyle w:val="TableParagraph"/>
              <w:spacing w:before="39"/>
              <w:ind w:left="34"/>
              <w:rPr>
                <w:sz w:val="17"/>
              </w:rPr>
            </w:pPr>
            <w:r>
              <w:rPr>
                <w:sz w:val="17"/>
              </w:rPr>
              <w:t>Asset</w:t>
            </w:r>
            <w:r>
              <w:rPr>
                <w:spacing w:val="-11"/>
                <w:sz w:val="17"/>
              </w:rPr>
              <w:t xml:space="preserve"> </w:t>
            </w:r>
            <w:r>
              <w:rPr>
                <w:sz w:val="17"/>
              </w:rPr>
              <w:t>revaluation</w:t>
            </w:r>
            <w:r>
              <w:rPr>
                <w:spacing w:val="-1"/>
                <w:sz w:val="17"/>
              </w:rPr>
              <w:t xml:space="preserve"> </w:t>
            </w:r>
            <w:r>
              <w:rPr>
                <w:spacing w:val="-2"/>
                <w:sz w:val="17"/>
              </w:rPr>
              <w:t>surplus</w:t>
            </w:r>
          </w:p>
        </w:tc>
        <w:tc>
          <w:tcPr>
            <w:tcW w:w="1416" w:type="dxa"/>
            <w:tcBorders>
              <w:bottom w:val="single" w:sz="6" w:space="0" w:color="000000"/>
            </w:tcBorders>
            <w:shd w:val="clear" w:color="auto" w:fill="F1F1F1"/>
          </w:tcPr>
          <w:p w14:paraId="3A70C9E6" w14:textId="77777777" w:rsidR="00AC6F3C" w:rsidRDefault="00570E88">
            <w:pPr>
              <w:pStyle w:val="TableParagraph"/>
              <w:spacing w:before="39"/>
              <w:ind w:right="33"/>
              <w:jc w:val="right"/>
              <w:rPr>
                <w:sz w:val="17"/>
              </w:rPr>
            </w:pPr>
            <w:r>
              <w:rPr>
                <w:spacing w:val="-2"/>
                <w:sz w:val="17"/>
              </w:rPr>
              <w:t>27,760</w:t>
            </w:r>
          </w:p>
        </w:tc>
        <w:tc>
          <w:tcPr>
            <w:tcW w:w="1037" w:type="dxa"/>
            <w:tcBorders>
              <w:bottom w:val="single" w:sz="6" w:space="0" w:color="000000"/>
            </w:tcBorders>
          </w:tcPr>
          <w:p w14:paraId="13FE55F2" w14:textId="77777777" w:rsidR="00AC6F3C" w:rsidRDefault="00570E88">
            <w:pPr>
              <w:pStyle w:val="TableParagraph"/>
              <w:spacing w:before="39"/>
              <w:ind w:right="19"/>
              <w:jc w:val="right"/>
              <w:rPr>
                <w:sz w:val="17"/>
              </w:rPr>
            </w:pPr>
            <w:r>
              <w:rPr>
                <w:spacing w:val="-2"/>
                <w:sz w:val="17"/>
              </w:rPr>
              <w:t>27,432</w:t>
            </w:r>
          </w:p>
        </w:tc>
        <w:tc>
          <w:tcPr>
            <w:tcW w:w="1261" w:type="dxa"/>
            <w:tcBorders>
              <w:bottom w:val="single" w:sz="6" w:space="0" w:color="000000"/>
            </w:tcBorders>
            <w:shd w:val="clear" w:color="auto" w:fill="F1F1F1"/>
          </w:tcPr>
          <w:p w14:paraId="1F33F324" w14:textId="77777777" w:rsidR="00AC6F3C" w:rsidRDefault="00570E88">
            <w:pPr>
              <w:pStyle w:val="TableParagraph"/>
              <w:spacing w:before="39"/>
              <w:ind w:right="32"/>
              <w:jc w:val="right"/>
              <w:rPr>
                <w:sz w:val="17"/>
              </w:rPr>
            </w:pPr>
            <w:r>
              <w:rPr>
                <w:spacing w:val="-2"/>
                <w:sz w:val="17"/>
              </w:rPr>
              <w:t>27,761</w:t>
            </w:r>
          </w:p>
        </w:tc>
        <w:tc>
          <w:tcPr>
            <w:tcW w:w="1044" w:type="dxa"/>
            <w:tcBorders>
              <w:bottom w:val="single" w:sz="6" w:space="0" w:color="000000"/>
              <w:right w:val="single" w:sz="6" w:space="0" w:color="000000"/>
            </w:tcBorders>
          </w:tcPr>
          <w:p w14:paraId="270377D5" w14:textId="77777777" w:rsidR="00AC6F3C" w:rsidRDefault="00570E88">
            <w:pPr>
              <w:pStyle w:val="TableParagraph"/>
              <w:spacing w:before="39"/>
              <w:ind w:right="16"/>
              <w:jc w:val="right"/>
              <w:rPr>
                <w:sz w:val="17"/>
              </w:rPr>
            </w:pPr>
            <w:r>
              <w:rPr>
                <w:spacing w:val="-2"/>
                <w:sz w:val="17"/>
              </w:rPr>
              <w:t>27,432</w:t>
            </w:r>
          </w:p>
        </w:tc>
      </w:tr>
      <w:tr w:rsidR="00AC6F3C" w14:paraId="0FBA833B" w14:textId="77777777">
        <w:trPr>
          <w:trHeight w:val="265"/>
        </w:trPr>
        <w:tc>
          <w:tcPr>
            <w:tcW w:w="3393" w:type="dxa"/>
            <w:tcBorders>
              <w:top w:val="single" w:sz="6" w:space="0" w:color="000000"/>
              <w:left w:val="single" w:sz="6" w:space="0" w:color="000000"/>
              <w:bottom w:val="single" w:sz="6" w:space="0" w:color="000000"/>
            </w:tcBorders>
            <w:shd w:val="clear" w:color="auto" w:fill="BEBEBE"/>
          </w:tcPr>
          <w:p w14:paraId="17166DF2" w14:textId="77777777" w:rsidR="00AC6F3C" w:rsidRDefault="00570E88">
            <w:pPr>
              <w:pStyle w:val="TableParagraph"/>
              <w:spacing w:before="36"/>
              <w:ind w:left="34"/>
              <w:rPr>
                <w:b/>
                <w:sz w:val="17"/>
              </w:rPr>
            </w:pPr>
            <w:r>
              <w:rPr>
                <w:b/>
                <w:spacing w:val="-8"/>
                <w:sz w:val="17"/>
              </w:rPr>
              <w:t>TOTAL</w:t>
            </w:r>
            <w:r>
              <w:rPr>
                <w:b/>
                <w:spacing w:val="-7"/>
                <w:sz w:val="17"/>
              </w:rPr>
              <w:t xml:space="preserve"> </w:t>
            </w:r>
            <w:r>
              <w:rPr>
                <w:b/>
                <w:spacing w:val="-2"/>
                <w:sz w:val="17"/>
              </w:rPr>
              <w:t>EQUITY</w:t>
            </w:r>
          </w:p>
        </w:tc>
        <w:tc>
          <w:tcPr>
            <w:tcW w:w="891" w:type="dxa"/>
            <w:tcBorders>
              <w:top w:val="single" w:sz="6" w:space="0" w:color="000000"/>
              <w:bottom w:val="single" w:sz="6" w:space="0" w:color="000000"/>
            </w:tcBorders>
            <w:shd w:val="clear" w:color="auto" w:fill="BEBEBE"/>
          </w:tcPr>
          <w:p w14:paraId="52848B12" w14:textId="77777777" w:rsidR="00AC6F3C" w:rsidRDefault="00AC6F3C">
            <w:pPr>
              <w:pStyle w:val="TableParagraph"/>
              <w:rPr>
                <w:rFonts w:ascii="Times New Roman"/>
                <w:sz w:val="16"/>
              </w:rPr>
            </w:pPr>
          </w:p>
        </w:tc>
        <w:tc>
          <w:tcPr>
            <w:tcW w:w="1416" w:type="dxa"/>
            <w:tcBorders>
              <w:top w:val="single" w:sz="6" w:space="0" w:color="000000"/>
              <w:bottom w:val="single" w:sz="6" w:space="0" w:color="000000"/>
            </w:tcBorders>
            <w:shd w:val="clear" w:color="auto" w:fill="BEBEBE"/>
          </w:tcPr>
          <w:p w14:paraId="41D8072F" w14:textId="77777777" w:rsidR="00AC6F3C" w:rsidRDefault="00570E88">
            <w:pPr>
              <w:pStyle w:val="TableParagraph"/>
              <w:spacing w:before="36"/>
              <w:ind w:right="33"/>
              <w:jc w:val="right"/>
              <w:rPr>
                <w:b/>
                <w:sz w:val="17"/>
              </w:rPr>
            </w:pPr>
            <w:r>
              <w:rPr>
                <w:b/>
                <w:spacing w:val="-2"/>
                <w:sz w:val="17"/>
              </w:rPr>
              <w:t>174,739</w:t>
            </w:r>
          </w:p>
        </w:tc>
        <w:tc>
          <w:tcPr>
            <w:tcW w:w="1037" w:type="dxa"/>
            <w:tcBorders>
              <w:top w:val="single" w:sz="6" w:space="0" w:color="000000"/>
              <w:bottom w:val="single" w:sz="6" w:space="0" w:color="000000"/>
            </w:tcBorders>
            <w:shd w:val="clear" w:color="auto" w:fill="BEBEBE"/>
          </w:tcPr>
          <w:p w14:paraId="17986128" w14:textId="77777777" w:rsidR="00AC6F3C" w:rsidRDefault="00570E88">
            <w:pPr>
              <w:pStyle w:val="TableParagraph"/>
              <w:spacing w:before="36"/>
              <w:ind w:right="19"/>
              <w:jc w:val="right"/>
              <w:rPr>
                <w:b/>
                <w:sz w:val="17"/>
              </w:rPr>
            </w:pPr>
            <w:r>
              <w:rPr>
                <w:b/>
                <w:spacing w:val="-2"/>
                <w:sz w:val="17"/>
              </w:rPr>
              <w:t>164,021</w:t>
            </w:r>
          </w:p>
        </w:tc>
        <w:tc>
          <w:tcPr>
            <w:tcW w:w="1261" w:type="dxa"/>
            <w:tcBorders>
              <w:top w:val="single" w:sz="6" w:space="0" w:color="000000"/>
              <w:bottom w:val="single" w:sz="6" w:space="0" w:color="000000"/>
            </w:tcBorders>
            <w:shd w:val="clear" w:color="auto" w:fill="BEBEBE"/>
          </w:tcPr>
          <w:p w14:paraId="4BD3EF28" w14:textId="77777777" w:rsidR="00AC6F3C" w:rsidRDefault="00570E88">
            <w:pPr>
              <w:pStyle w:val="TableParagraph"/>
              <w:spacing w:before="36"/>
              <w:ind w:right="32"/>
              <w:jc w:val="right"/>
              <w:rPr>
                <w:b/>
                <w:sz w:val="17"/>
              </w:rPr>
            </w:pPr>
            <w:r>
              <w:rPr>
                <w:b/>
                <w:spacing w:val="-2"/>
                <w:sz w:val="17"/>
              </w:rPr>
              <w:t>65,153</w:t>
            </w:r>
          </w:p>
        </w:tc>
        <w:tc>
          <w:tcPr>
            <w:tcW w:w="1044" w:type="dxa"/>
            <w:tcBorders>
              <w:top w:val="single" w:sz="6" w:space="0" w:color="000000"/>
              <w:bottom w:val="single" w:sz="6" w:space="0" w:color="000000"/>
              <w:right w:val="single" w:sz="6" w:space="0" w:color="000000"/>
            </w:tcBorders>
            <w:shd w:val="clear" w:color="auto" w:fill="BEBEBE"/>
          </w:tcPr>
          <w:p w14:paraId="1C8AB124" w14:textId="77777777" w:rsidR="00AC6F3C" w:rsidRDefault="00570E88">
            <w:pPr>
              <w:pStyle w:val="TableParagraph"/>
              <w:spacing w:before="36"/>
              <w:ind w:right="17"/>
              <w:jc w:val="right"/>
              <w:rPr>
                <w:b/>
                <w:sz w:val="17"/>
              </w:rPr>
            </w:pPr>
            <w:r>
              <w:rPr>
                <w:b/>
                <w:spacing w:val="-2"/>
                <w:sz w:val="17"/>
              </w:rPr>
              <w:t>66,856</w:t>
            </w:r>
          </w:p>
        </w:tc>
      </w:tr>
    </w:tbl>
    <w:p w14:paraId="0149170D" w14:textId="77777777" w:rsidR="00AC6F3C" w:rsidRDefault="00AC6F3C">
      <w:pPr>
        <w:pStyle w:val="BodyText"/>
      </w:pPr>
    </w:p>
    <w:p w14:paraId="6C05EC11" w14:textId="77777777" w:rsidR="00AC6F3C" w:rsidRDefault="00AC6F3C">
      <w:pPr>
        <w:pStyle w:val="BodyText"/>
      </w:pPr>
    </w:p>
    <w:p w14:paraId="3A3E37AC" w14:textId="77777777" w:rsidR="00AC6F3C" w:rsidRDefault="00AC6F3C">
      <w:pPr>
        <w:pStyle w:val="BodyText"/>
      </w:pPr>
    </w:p>
    <w:p w14:paraId="7FEA8B49" w14:textId="77777777" w:rsidR="00AC6F3C" w:rsidRDefault="00AC6F3C">
      <w:pPr>
        <w:pStyle w:val="BodyText"/>
      </w:pPr>
    </w:p>
    <w:p w14:paraId="63EE6C80" w14:textId="77777777" w:rsidR="00AC6F3C" w:rsidRDefault="00AC6F3C">
      <w:pPr>
        <w:pStyle w:val="BodyText"/>
      </w:pPr>
    </w:p>
    <w:p w14:paraId="4CC54370" w14:textId="77777777" w:rsidR="00AC6F3C" w:rsidRDefault="00AC6F3C">
      <w:pPr>
        <w:pStyle w:val="BodyText"/>
      </w:pPr>
    </w:p>
    <w:p w14:paraId="46B910D4" w14:textId="77777777" w:rsidR="00AC6F3C" w:rsidRDefault="00AC6F3C">
      <w:pPr>
        <w:pStyle w:val="BodyText"/>
      </w:pPr>
    </w:p>
    <w:p w14:paraId="44C7797F" w14:textId="77777777" w:rsidR="00AC6F3C" w:rsidRDefault="00AC6F3C">
      <w:pPr>
        <w:pStyle w:val="BodyText"/>
      </w:pPr>
    </w:p>
    <w:p w14:paraId="338CC6DE" w14:textId="77777777" w:rsidR="00AC6F3C" w:rsidRDefault="00AC6F3C">
      <w:pPr>
        <w:pStyle w:val="BodyText"/>
        <w:spacing w:before="10"/>
        <w:rPr>
          <w:sz w:val="15"/>
        </w:rPr>
      </w:pPr>
    </w:p>
    <w:p w14:paraId="3AB6024C" w14:textId="77777777" w:rsidR="00AC6F3C" w:rsidRDefault="00570E88">
      <w:pPr>
        <w:spacing w:before="94"/>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7382FAAB" w14:textId="77777777" w:rsidR="00AC6F3C" w:rsidRDefault="00AC6F3C">
      <w:pPr>
        <w:rPr>
          <w:sz w:val="18"/>
        </w:rPr>
        <w:sectPr w:rsidR="00AC6F3C">
          <w:pgSz w:w="11910" w:h="16840"/>
          <w:pgMar w:top="1580" w:right="1160" w:bottom="520" w:left="460" w:header="1297" w:footer="336" w:gutter="0"/>
          <w:cols w:space="720"/>
        </w:sectPr>
      </w:pPr>
    </w:p>
    <w:p w14:paraId="02D762E4" w14:textId="77777777" w:rsidR="00AC6F3C" w:rsidRDefault="00570E88">
      <w:pPr>
        <w:ind w:left="958"/>
      </w:pPr>
      <w:r>
        <w:lastRenderedPageBreak/>
        <w:t>Statement</w:t>
      </w:r>
      <w:r>
        <w:rPr>
          <w:spacing w:val="-5"/>
        </w:rPr>
        <w:t xml:space="preserve"> </w:t>
      </w:r>
      <w:r>
        <w:t>of</w:t>
      </w:r>
      <w:r>
        <w:rPr>
          <w:spacing w:val="-3"/>
        </w:rPr>
        <w:t xml:space="preserve"> </w:t>
      </w:r>
      <w:r>
        <w:t>Changes</w:t>
      </w:r>
      <w:r>
        <w:rPr>
          <w:spacing w:val="-2"/>
        </w:rPr>
        <w:t xml:space="preserve"> </w:t>
      </w:r>
      <w:r>
        <w:t>in</w:t>
      </w:r>
      <w:r>
        <w:rPr>
          <w:spacing w:val="-5"/>
        </w:rPr>
        <w:t xml:space="preserve"> </w:t>
      </w:r>
      <w:r>
        <w:t>Equity</w:t>
      </w:r>
      <w:r>
        <w:rPr>
          <w:spacing w:val="-5"/>
        </w:rPr>
        <w:t xml:space="preserve"> </w:t>
      </w:r>
      <w:r>
        <w:t>for</w:t>
      </w:r>
      <w:r>
        <w:rPr>
          <w:spacing w:val="-4"/>
        </w:rPr>
        <w:t xml:space="preserve"> </w:t>
      </w:r>
      <w:r>
        <w:t>the</w:t>
      </w:r>
      <w:r>
        <w:rPr>
          <w:spacing w:val="-5"/>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p w14:paraId="1BF9868B" w14:textId="77777777" w:rsidR="00AC6F3C" w:rsidRDefault="00570E88">
      <w:pPr>
        <w:pStyle w:val="BodyText"/>
        <w:spacing w:before="8"/>
        <w:rPr>
          <w:sz w:val="18"/>
        </w:rPr>
      </w:pPr>
      <w:r>
        <w:rPr>
          <w:noProof/>
        </w:rPr>
        <mc:AlternateContent>
          <mc:Choice Requires="wps">
            <w:drawing>
              <wp:anchor distT="0" distB="0" distL="0" distR="0" simplePos="0" relativeHeight="487678464" behindDoc="1" locked="0" layoutInCell="1" allowOverlap="1" wp14:anchorId="1B76A82D" wp14:editId="321E81FE">
                <wp:simplePos x="0" y="0"/>
                <wp:positionH relativeFrom="page">
                  <wp:posOffset>882330</wp:posOffset>
                </wp:positionH>
                <wp:positionV relativeFrom="paragraph">
                  <wp:posOffset>151896</wp:posOffset>
                </wp:positionV>
                <wp:extent cx="5796915" cy="635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863" y="6094"/>
                              </a:moveTo>
                              <a:lnTo>
                                <a:pt x="0" y="6094"/>
                              </a:lnTo>
                              <a:lnTo>
                                <a:pt x="0" y="0"/>
                              </a:lnTo>
                              <a:lnTo>
                                <a:pt x="5796863" y="0"/>
                              </a:lnTo>
                              <a:lnTo>
                                <a:pt x="5796863"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89999" id="Graphic 737" o:spid="_x0000_s1026" style="position:absolute;margin-left:69.45pt;margin-top:11.95pt;width:456.45pt;height:.5pt;z-index:-15638016;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" path="m5796863,6094l,6094,,,5796863,r,6094xe" fillcolor="black" stroked="f">
                <v:path arrowok="t"/>
                <w10:wrap type="topAndBottom" anchorx="page"/>
              </v:shape>
            </w:pict>
          </mc:Fallback>
        </mc:AlternateContent>
      </w:r>
    </w:p>
    <w:p w14:paraId="4EAB4170" w14:textId="77777777" w:rsidR="00AC6F3C" w:rsidRDefault="00AC6F3C">
      <w:pPr>
        <w:pStyle w:val="BodyText"/>
      </w:pPr>
    </w:p>
    <w:p w14:paraId="1AFA4659" w14:textId="77777777" w:rsidR="00AC6F3C" w:rsidRDefault="00AC6F3C">
      <w:pPr>
        <w:pStyle w:val="BodyText"/>
      </w:pPr>
    </w:p>
    <w:p w14:paraId="0E6983F3" w14:textId="77777777" w:rsidR="00AC6F3C" w:rsidRDefault="00AC6F3C">
      <w:pPr>
        <w:pStyle w:val="BodyText"/>
        <w:spacing w:before="9"/>
        <w:rPr>
          <w:sz w:val="13"/>
        </w:rPr>
      </w:pPr>
    </w:p>
    <w:tbl>
      <w:tblPr>
        <w:tblW w:w="0" w:type="auto"/>
        <w:tblInd w:w="1028" w:type="dxa"/>
        <w:tblLayout w:type="fixed"/>
        <w:tblCellMar>
          <w:left w:w="0" w:type="dxa"/>
          <w:right w:w="0" w:type="dxa"/>
        </w:tblCellMar>
        <w:tblLook w:val="01E0" w:firstRow="1" w:lastRow="1" w:firstColumn="1" w:lastColumn="1" w:noHBand="0" w:noVBand="0"/>
      </w:tblPr>
      <w:tblGrid>
        <w:gridCol w:w="3698"/>
        <w:gridCol w:w="876"/>
        <w:gridCol w:w="1275"/>
        <w:gridCol w:w="1211"/>
        <w:gridCol w:w="1251"/>
      </w:tblGrid>
      <w:tr w:rsidR="00AC6F3C" w14:paraId="33D4F1D1" w14:textId="77777777">
        <w:trPr>
          <w:trHeight w:val="1182"/>
        </w:trPr>
        <w:tc>
          <w:tcPr>
            <w:tcW w:w="3698" w:type="dxa"/>
            <w:tcBorders>
              <w:top w:val="single" w:sz="6" w:space="0" w:color="000000"/>
              <w:left w:val="single" w:sz="6" w:space="0" w:color="000000"/>
              <w:bottom w:val="single" w:sz="6" w:space="0" w:color="000000"/>
            </w:tcBorders>
            <w:shd w:val="clear" w:color="auto" w:fill="BEBEBE"/>
          </w:tcPr>
          <w:p w14:paraId="00F7BCED" w14:textId="77777777" w:rsidR="00AC6F3C" w:rsidRDefault="00570E88">
            <w:pPr>
              <w:pStyle w:val="TableParagraph"/>
              <w:spacing w:before="40"/>
              <w:ind w:left="37"/>
              <w:rPr>
                <w:b/>
                <w:sz w:val="18"/>
              </w:rPr>
            </w:pPr>
            <w:r>
              <w:rPr>
                <w:b/>
                <w:spacing w:val="-2"/>
                <w:sz w:val="18"/>
              </w:rPr>
              <w:t>Consolidated</w:t>
            </w:r>
          </w:p>
        </w:tc>
        <w:tc>
          <w:tcPr>
            <w:tcW w:w="876" w:type="dxa"/>
            <w:tcBorders>
              <w:top w:val="single" w:sz="6" w:space="0" w:color="000000"/>
              <w:bottom w:val="single" w:sz="6" w:space="0" w:color="000000"/>
            </w:tcBorders>
            <w:shd w:val="clear" w:color="auto" w:fill="BEBEBE"/>
          </w:tcPr>
          <w:p w14:paraId="3B1773B0" w14:textId="77777777" w:rsidR="00AC6F3C" w:rsidRDefault="00AC6F3C">
            <w:pPr>
              <w:pStyle w:val="TableParagraph"/>
              <w:rPr>
                <w:sz w:val="20"/>
              </w:rPr>
            </w:pPr>
          </w:p>
          <w:p w14:paraId="0DBE0B7F" w14:textId="77777777" w:rsidR="00AC6F3C" w:rsidRDefault="00AC6F3C">
            <w:pPr>
              <w:pStyle w:val="TableParagraph"/>
              <w:rPr>
                <w:sz w:val="20"/>
              </w:rPr>
            </w:pPr>
          </w:p>
          <w:p w14:paraId="4ECBBCEF" w14:textId="77777777" w:rsidR="00AC6F3C" w:rsidRDefault="00570E88">
            <w:pPr>
              <w:pStyle w:val="TableParagraph"/>
              <w:spacing w:before="179"/>
              <w:ind w:left="194"/>
              <w:rPr>
                <w:b/>
                <w:sz w:val="18"/>
              </w:rPr>
            </w:pPr>
            <w:r>
              <w:rPr>
                <w:b/>
                <w:spacing w:val="-4"/>
                <w:sz w:val="18"/>
              </w:rPr>
              <w:t>NOTE</w:t>
            </w:r>
          </w:p>
        </w:tc>
        <w:tc>
          <w:tcPr>
            <w:tcW w:w="1275" w:type="dxa"/>
            <w:tcBorders>
              <w:top w:val="single" w:sz="6" w:space="0" w:color="000000"/>
              <w:bottom w:val="single" w:sz="6" w:space="0" w:color="000000"/>
            </w:tcBorders>
            <w:shd w:val="clear" w:color="auto" w:fill="BEBEBE"/>
          </w:tcPr>
          <w:p w14:paraId="791C06B2" w14:textId="77777777" w:rsidR="00AC6F3C" w:rsidRDefault="00570E88">
            <w:pPr>
              <w:pStyle w:val="TableParagraph"/>
              <w:spacing w:before="40" w:line="348" w:lineRule="auto"/>
              <w:ind w:left="232" w:right="48" w:firstLine="494"/>
              <w:jc w:val="right"/>
              <w:rPr>
                <w:b/>
                <w:sz w:val="18"/>
              </w:rPr>
            </w:pPr>
            <w:r>
              <w:rPr>
                <w:b/>
                <w:spacing w:val="-2"/>
                <w:sz w:val="18"/>
              </w:rPr>
              <w:t xml:space="preserve">Asset </w:t>
            </w:r>
            <w:r>
              <w:rPr>
                <w:b/>
                <w:spacing w:val="-5"/>
                <w:sz w:val="18"/>
              </w:rPr>
              <w:t>Revaluation</w:t>
            </w:r>
          </w:p>
          <w:p w14:paraId="4339CDC1" w14:textId="77777777" w:rsidR="00AC6F3C" w:rsidRDefault="00570E88">
            <w:pPr>
              <w:pStyle w:val="TableParagraph"/>
              <w:spacing w:line="206" w:lineRule="exact"/>
              <w:ind w:right="63"/>
              <w:jc w:val="right"/>
              <w:rPr>
                <w:b/>
                <w:sz w:val="18"/>
              </w:rPr>
            </w:pPr>
            <w:r>
              <w:rPr>
                <w:b/>
                <w:spacing w:val="-2"/>
                <w:sz w:val="18"/>
              </w:rPr>
              <w:t>Surplus</w:t>
            </w:r>
          </w:p>
          <w:p w14:paraId="1B973EF4" w14:textId="77777777" w:rsidR="00AC6F3C" w:rsidRDefault="00570E88">
            <w:pPr>
              <w:pStyle w:val="TableParagraph"/>
              <w:spacing w:before="93"/>
              <w:ind w:right="53"/>
              <w:jc w:val="right"/>
              <w:rPr>
                <w:b/>
                <w:sz w:val="18"/>
              </w:rPr>
            </w:pPr>
            <w:r>
              <w:rPr>
                <w:b/>
                <w:spacing w:val="-2"/>
                <w:sz w:val="18"/>
              </w:rPr>
              <w:t>$’000</w:t>
            </w:r>
          </w:p>
        </w:tc>
        <w:tc>
          <w:tcPr>
            <w:tcW w:w="1211" w:type="dxa"/>
            <w:tcBorders>
              <w:top w:val="single" w:sz="6" w:space="0" w:color="000000"/>
              <w:bottom w:val="single" w:sz="6" w:space="0" w:color="000000"/>
            </w:tcBorders>
            <w:shd w:val="clear" w:color="auto" w:fill="BEBEBE"/>
          </w:tcPr>
          <w:p w14:paraId="1456E851" w14:textId="77777777" w:rsidR="00AC6F3C" w:rsidRDefault="00AC6F3C">
            <w:pPr>
              <w:pStyle w:val="TableParagraph"/>
              <w:spacing w:before="6"/>
              <w:rPr>
                <w:sz w:val="29"/>
              </w:rPr>
            </w:pPr>
          </w:p>
          <w:p w14:paraId="651B1E73" w14:textId="77777777" w:rsidR="00AC6F3C" w:rsidRDefault="00570E88">
            <w:pPr>
              <w:pStyle w:val="TableParagraph"/>
              <w:ind w:right="16"/>
              <w:jc w:val="right"/>
              <w:rPr>
                <w:b/>
                <w:sz w:val="18"/>
              </w:rPr>
            </w:pPr>
            <w:r>
              <w:rPr>
                <w:b/>
                <w:spacing w:val="-2"/>
                <w:sz w:val="18"/>
              </w:rPr>
              <w:t>Accumulated</w:t>
            </w:r>
          </w:p>
          <w:p w14:paraId="5C6C165D" w14:textId="77777777" w:rsidR="00AC6F3C" w:rsidRDefault="00570E88">
            <w:pPr>
              <w:pStyle w:val="TableParagraph"/>
              <w:spacing w:before="93"/>
              <w:ind w:right="31"/>
              <w:jc w:val="right"/>
              <w:rPr>
                <w:b/>
                <w:sz w:val="18"/>
              </w:rPr>
            </w:pPr>
            <w:r>
              <w:rPr>
                <w:b/>
                <w:spacing w:val="-2"/>
                <w:sz w:val="18"/>
              </w:rPr>
              <w:t>Surplus</w:t>
            </w:r>
          </w:p>
          <w:p w14:paraId="39A2DFE7" w14:textId="77777777" w:rsidR="00AC6F3C" w:rsidRDefault="00570E88">
            <w:pPr>
              <w:pStyle w:val="TableParagraph"/>
              <w:spacing w:before="92"/>
              <w:ind w:right="21"/>
              <w:jc w:val="right"/>
              <w:rPr>
                <w:b/>
                <w:sz w:val="18"/>
              </w:rPr>
            </w:pPr>
            <w:r>
              <w:rPr>
                <w:b/>
                <w:spacing w:val="-2"/>
                <w:sz w:val="18"/>
              </w:rPr>
              <w:t>$’000</w:t>
            </w:r>
          </w:p>
        </w:tc>
        <w:tc>
          <w:tcPr>
            <w:tcW w:w="1251" w:type="dxa"/>
            <w:tcBorders>
              <w:top w:val="single" w:sz="6" w:space="0" w:color="000000"/>
              <w:bottom w:val="single" w:sz="6" w:space="0" w:color="000000"/>
              <w:right w:val="single" w:sz="6" w:space="0" w:color="000000"/>
            </w:tcBorders>
            <w:shd w:val="clear" w:color="auto" w:fill="BEBEBE"/>
          </w:tcPr>
          <w:p w14:paraId="38746CE5" w14:textId="77777777" w:rsidR="00AC6F3C" w:rsidRDefault="00AC6F3C">
            <w:pPr>
              <w:pStyle w:val="TableParagraph"/>
              <w:rPr>
                <w:sz w:val="20"/>
              </w:rPr>
            </w:pPr>
          </w:p>
          <w:p w14:paraId="65826E12" w14:textId="77777777" w:rsidR="00AC6F3C" w:rsidRDefault="00AC6F3C">
            <w:pPr>
              <w:pStyle w:val="TableParagraph"/>
              <w:rPr>
                <w:sz w:val="20"/>
              </w:rPr>
            </w:pPr>
          </w:p>
          <w:p w14:paraId="57C5A36C" w14:textId="77777777" w:rsidR="00AC6F3C" w:rsidRDefault="00570E88">
            <w:pPr>
              <w:pStyle w:val="TableParagraph"/>
              <w:spacing w:before="179"/>
              <w:ind w:left="649"/>
              <w:rPr>
                <w:b/>
                <w:sz w:val="18"/>
              </w:rPr>
            </w:pPr>
            <w:r>
              <w:rPr>
                <w:b/>
                <w:spacing w:val="-5"/>
                <w:sz w:val="18"/>
              </w:rPr>
              <w:t>TOTAL</w:t>
            </w:r>
          </w:p>
          <w:p w14:paraId="541B3BE0" w14:textId="77777777" w:rsidR="00AC6F3C" w:rsidRDefault="00570E88">
            <w:pPr>
              <w:pStyle w:val="TableParagraph"/>
              <w:spacing w:before="93"/>
              <w:ind w:left="755"/>
              <w:rPr>
                <w:b/>
                <w:sz w:val="18"/>
              </w:rPr>
            </w:pPr>
            <w:r>
              <w:rPr>
                <w:b/>
                <w:spacing w:val="-2"/>
                <w:sz w:val="18"/>
              </w:rPr>
              <w:t>$’000</w:t>
            </w:r>
          </w:p>
        </w:tc>
      </w:tr>
      <w:tr w:rsidR="00AC6F3C" w14:paraId="21CF855E" w14:textId="77777777">
        <w:trPr>
          <w:trHeight w:val="284"/>
        </w:trPr>
        <w:tc>
          <w:tcPr>
            <w:tcW w:w="3698" w:type="dxa"/>
            <w:vMerge w:val="restart"/>
            <w:tcBorders>
              <w:top w:val="single" w:sz="6" w:space="0" w:color="000000"/>
              <w:left w:val="single" w:sz="6" w:space="0" w:color="000000"/>
              <w:bottom w:val="single" w:sz="6" w:space="0" w:color="000000"/>
            </w:tcBorders>
          </w:tcPr>
          <w:p w14:paraId="0B4DB8EB" w14:textId="77777777" w:rsidR="00AC6F3C" w:rsidRDefault="00570E88">
            <w:pPr>
              <w:pStyle w:val="TableParagraph"/>
              <w:spacing w:before="40" w:line="348" w:lineRule="auto"/>
              <w:ind w:left="37" w:right="706"/>
              <w:rPr>
                <w:b/>
                <w:sz w:val="18"/>
              </w:rPr>
            </w:pPr>
            <w:r>
              <w:rPr>
                <w:b/>
                <w:sz w:val="18"/>
              </w:rPr>
              <w:t>Balance</w:t>
            </w:r>
            <w:r>
              <w:rPr>
                <w:b/>
                <w:spacing w:val="-8"/>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1</w:t>
            </w:r>
            <w:r>
              <w:rPr>
                <w:b/>
                <w:spacing w:val="-5"/>
                <w:sz w:val="18"/>
              </w:rPr>
              <w:t xml:space="preserve"> </w:t>
            </w:r>
            <w:r>
              <w:rPr>
                <w:b/>
                <w:sz w:val="18"/>
              </w:rPr>
              <w:t>July</w:t>
            </w:r>
            <w:r>
              <w:rPr>
                <w:b/>
                <w:spacing w:val="-16"/>
                <w:sz w:val="18"/>
              </w:rPr>
              <w:t xml:space="preserve"> </w:t>
            </w:r>
            <w:r>
              <w:rPr>
                <w:b/>
                <w:sz w:val="18"/>
              </w:rPr>
              <w:t>2021 Operating</w:t>
            </w:r>
            <w:r>
              <w:rPr>
                <w:b/>
                <w:spacing w:val="-13"/>
                <w:sz w:val="18"/>
              </w:rPr>
              <w:t xml:space="preserve"> </w:t>
            </w:r>
            <w:r>
              <w:rPr>
                <w:b/>
                <w:sz w:val="18"/>
              </w:rPr>
              <w:t>result</w:t>
            </w:r>
          </w:p>
          <w:p w14:paraId="3FBBC89E" w14:textId="77777777" w:rsidR="00AC6F3C" w:rsidRDefault="00570E88">
            <w:pPr>
              <w:pStyle w:val="TableParagraph"/>
              <w:spacing w:line="206" w:lineRule="exact"/>
              <w:ind w:left="37"/>
              <w:rPr>
                <w:sz w:val="18"/>
              </w:rPr>
            </w:pPr>
            <w:r>
              <w:rPr>
                <w:sz w:val="18"/>
              </w:rPr>
              <w:t>Operating</w:t>
            </w:r>
            <w:r>
              <w:rPr>
                <w:spacing w:val="13"/>
                <w:sz w:val="18"/>
              </w:rPr>
              <w:t xml:space="preserve"> </w:t>
            </w:r>
            <w:r>
              <w:rPr>
                <w:sz w:val="18"/>
              </w:rPr>
              <w:t>surplus/(deficit)</w:t>
            </w:r>
            <w:r>
              <w:rPr>
                <w:spacing w:val="7"/>
                <w:sz w:val="18"/>
              </w:rPr>
              <w:t xml:space="preserve"> </w:t>
            </w:r>
            <w:r>
              <w:rPr>
                <w:sz w:val="18"/>
              </w:rPr>
              <w:t>after</w:t>
            </w:r>
            <w:r>
              <w:rPr>
                <w:spacing w:val="7"/>
                <w:sz w:val="18"/>
              </w:rPr>
              <w:t xml:space="preserve"> </w:t>
            </w:r>
            <w:r>
              <w:rPr>
                <w:sz w:val="18"/>
              </w:rPr>
              <w:t>income</w:t>
            </w:r>
            <w:r>
              <w:rPr>
                <w:spacing w:val="14"/>
                <w:sz w:val="18"/>
              </w:rPr>
              <w:t xml:space="preserve"> </w:t>
            </w:r>
            <w:r>
              <w:rPr>
                <w:spacing w:val="-5"/>
                <w:sz w:val="18"/>
              </w:rPr>
              <w:t>tax</w:t>
            </w:r>
          </w:p>
          <w:p w14:paraId="220C268C" w14:textId="77777777" w:rsidR="00AC6F3C" w:rsidRDefault="00570E88">
            <w:pPr>
              <w:pStyle w:val="TableParagraph"/>
              <w:spacing w:before="93"/>
              <w:ind w:left="37"/>
              <w:rPr>
                <w:b/>
                <w:sz w:val="18"/>
              </w:rPr>
            </w:pPr>
            <w:r>
              <w:rPr>
                <w:b/>
                <w:spacing w:val="-2"/>
                <w:sz w:val="18"/>
              </w:rPr>
              <w:t>Other</w:t>
            </w:r>
            <w:r>
              <w:rPr>
                <w:b/>
                <w:spacing w:val="-3"/>
                <w:sz w:val="18"/>
              </w:rPr>
              <w:t xml:space="preserve"> </w:t>
            </w:r>
            <w:r>
              <w:rPr>
                <w:b/>
                <w:spacing w:val="-2"/>
                <w:sz w:val="18"/>
              </w:rPr>
              <w:t>comprehensive</w:t>
            </w:r>
            <w:r>
              <w:rPr>
                <w:b/>
                <w:spacing w:val="-1"/>
                <w:sz w:val="18"/>
              </w:rPr>
              <w:t xml:space="preserve"> </w:t>
            </w:r>
            <w:r>
              <w:rPr>
                <w:b/>
                <w:spacing w:val="-2"/>
                <w:sz w:val="18"/>
              </w:rPr>
              <w:t>income</w:t>
            </w:r>
          </w:p>
          <w:p w14:paraId="472F97D5" w14:textId="77777777" w:rsidR="00AC6F3C" w:rsidRDefault="00570E88">
            <w:pPr>
              <w:pStyle w:val="TableParagraph"/>
              <w:spacing w:before="92"/>
              <w:ind w:left="37"/>
              <w:rPr>
                <w:sz w:val="18"/>
              </w:rPr>
            </w:pPr>
            <w:r>
              <w:rPr>
                <w:sz w:val="18"/>
              </w:rPr>
              <w:t>Increase</w:t>
            </w:r>
            <w:r>
              <w:rPr>
                <w:spacing w:val="12"/>
                <w:sz w:val="18"/>
              </w:rPr>
              <w:t xml:space="preserve"> </w:t>
            </w:r>
            <w:r>
              <w:rPr>
                <w:sz w:val="18"/>
              </w:rPr>
              <w:t>in</w:t>
            </w:r>
            <w:r>
              <w:rPr>
                <w:spacing w:val="12"/>
                <w:sz w:val="18"/>
              </w:rPr>
              <w:t xml:space="preserve"> </w:t>
            </w:r>
            <w:r>
              <w:rPr>
                <w:sz w:val="18"/>
              </w:rPr>
              <w:t>asset revaluation</w:t>
            </w:r>
            <w:r>
              <w:rPr>
                <w:spacing w:val="12"/>
                <w:sz w:val="18"/>
              </w:rPr>
              <w:t xml:space="preserve"> </w:t>
            </w:r>
            <w:r>
              <w:rPr>
                <w:spacing w:val="-2"/>
                <w:sz w:val="18"/>
              </w:rPr>
              <w:t>surplus</w:t>
            </w:r>
          </w:p>
        </w:tc>
        <w:tc>
          <w:tcPr>
            <w:tcW w:w="876" w:type="dxa"/>
            <w:vMerge w:val="restart"/>
            <w:tcBorders>
              <w:top w:val="single" w:sz="6" w:space="0" w:color="000000"/>
              <w:bottom w:val="single" w:sz="6" w:space="0" w:color="000000"/>
            </w:tcBorders>
          </w:tcPr>
          <w:p w14:paraId="07E0B175" w14:textId="77777777" w:rsidR="00AC6F3C" w:rsidRDefault="00AC6F3C">
            <w:pPr>
              <w:pStyle w:val="TableParagraph"/>
              <w:rPr>
                <w:sz w:val="20"/>
              </w:rPr>
            </w:pPr>
          </w:p>
          <w:p w14:paraId="52047845" w14:textId="77777777" w:rsidR="00AC6F3C" w:rsidRDefault="00AC6F3C">
            <w:pPr>
              <w:pStyle w:val="TableParagraph"/>
              <w:rPr>
                <w:sz w:val="20"/>
              </w:rPr>
            </w:pPr>
          </w:p>
          <w:p w14:paraId="1086D3B3" w14:textId="77777777" w:rsidR="00AC6F3C" w:rsidRDefault="00AC6F3C">
            <w:pPr>
              <w:pStyle w:val="TableParagraph"/>
              <w:rPr>
                <w:sz w:val="20"/>
              </w:rPr>
            </w:pPr>
          </w:p>
          <w:p w14:paraId="1F742B55" w14:textId="77777777" w:rsidR="00AC6F3C" w:rsidRDefault="00AC6F3C">
            <w:pPr>
              <w:pStyle w:val="TableParagraph"/>
              <w:rPr>
                <w:sz w:val="20"/>
              </w:rPr>
            </w:pPr>
          </w:p>
          <w:p w14:paraId="46AF2349" w14:textId="77777777" w:rsidR="00AC6F3C" w:rsidRDefault="00AC6F3C">
            <w:pPr>
              <w:pStyle w:val="TableParagraph"/>
              <w:spacing w:before="8"/>
              <w:rPr>
                <w:sz w:val="27"/>
              </w:rPr>
            </w:pPr>
          </w:p>
          <w:p w14:paraId="47E98554" w14:textId="77777777" w:rsidR="00AC6F3C" w:rsidRDefault="00570E88">
            <w:pPr>
              <w:pStyle w:val="TableParagraph"/>
              <w:ind w:left="224"/>
              <w:rPr>
                <w:sz w:val="18"/>
              </w:rPr>
            </w:pPr>
            <w:r>
              <w:rPr>
                <w:sz w:val="18"/>
              </w:rPr>
              <w:t>C5-</w:t>
            </w:r>
            <w:r>
              <w:rPr>
                <w:spacing w:val="-10"/>
                <w:sz w:val="18"/>
              </w:rPr>
              <w:t>1</w:t>
            </w:r>
          </w:p>
        </w:tc>
        <w:tc>
          <w:tcPr>
            <w:tcW w:w="1275" w:type="dxa"/>
            <w:tcBorders>
              <w:top w:val="single" w:sz="6" w:space="0" w:color="000000"/>
              <w:bottom w:val="single" w:sz="6" w:space="0" w:color="000000"/>
            </w:tcBorders>
          </w:tcPr>
          <w:p w14:paraId="64ACD13D" w14:textId="77777777" w:rsidR="00AC6F3C" w:rsidRDefault="00570E88">
            <w:pPr>
              <w:pStyle w:val="TableParagraph"/>
              <w:spacing w:before="40"/>
              <w:ind w:right="53"/>
              <w:jc w:val="right"/>
              <w:rPr>
                <w:b/>
                <w:sz w:val="18"/>
              </w:rPr>
            </w:pPr>
            <w:r>
              <w:rPr>
                <w:b/>
                <w:spacing w:val="-2"/>
                <w:sz w:val="18"/>
              </w:rPr>
              <w:t>27,432</w:t>
            </w:r>
          </w:p>
        </w:tc>
        <w:tc>
          <w:tcPr>
            <w:tcW w:w="1211" w:type="dxa"/>
            <w:tcBorders>
              <w:top w:val="single" w:sz="6" w:space="0" w:color="000000"/>
              <w:bottom w:val="single" w:sz="6" w:space="0" w:color="000000"/>
            </w:tcBorders>
          </w:tcPr>
          <w:p w14:paraId="54E3F650" w14:textId="77777777" w:rsidR="00AC6F3C" w:rsidRDefault="00570E88">
            <w:pPr>
              <w:pStyle w:val="TableParagraph"/>
              <w:spacing w:before="40"/>
              <w:ind w:right="21"/>
              <w:jc w:val="right"/>
              <w:rPr>
                <w:b/>
                <w:sz w:val="18"/>
              </w:rPr>
            </w:pPr>
            <w:r>
              <w:rPr>
                <w:b/>
                <w:spacing w:val="-2"/>
                <w:sz w:val="18"/>
              </w:rPr>
              <w:t>137,492</w:t>
            </w:r>
          </w:p>
        </w:tc>
        <w:tc>
          <w:tcPr>
            <w:tcW w:w="1251" w:type="dxa"/>
            <w:tcBorders>
              <w:top w:val="single" w:sz="6" w:space="0" w:color="000000"/>
              <w:bottom w:val="single" w:sz="6" w:space="0" w:color="000000"/>
              <w:right w:val="single" w:sz="6" w:space="0" w:color="000000"/>
            </w:tcBorders>
            <w:shd w:val="clear" w:color="auto" w:fill="F1F1F1"/>
          </w:tcPr>
          <w:p w14:paraId="486D3D25" w14:textId="77777777" w:rsidR="00AC6F3C" w:rsidRDefault="00570E88">
            <w:pPr>
              <w:pStyle w:val="TableParagraph"/>
              <w:spacing w:before="40"/>
              <w:ind w:right="21"/>
              <w:jc w:val="right"/>
              <w:rPr>
                <w:b/>
                <w:sz w:val="18"/>
              </w:rPr>
            </w:pPr>
            <w:r>
              <w:rPr>
                <w:b/>
                <w:spacing w:val="-2"/>
                <w:sz w:val="18"/>
              </w:rPr>
              <w:t>164,924</w:t>
            </w:r>
          </w:p>
        </w:tc>
      </w:tr>
      <w:tr w:rsidR="00AC6F3C" w14:paraId="72740713" w14:textId="77777777">
        <w:trPr>
          <w:trHeight w:val="1182"/>
        </w:trPr>
        <w:tc>
          <w:tcPr>
            <w:tcW w:w="3698" w:type="dxa"/>
            <w:vMerge/>
            <w:tcBorders>
              <w:top w:val="nil"/>
              <w:left w:val="single" w:sz="6" w:space="0" w:color="000000"/>
              <w:bottom w:val="single" w:sz="6" w:space="0" w:color="000000"/>
            </w:tcBorders>
          </w:tcPr>
          <w:p w14:paraId="313C2138" w14:textId="77777777" w:rsidR="00AC6F3C" w:rsidRDefault="00AC6F3C">
            <w:pPr>
              <w:rPr>
                <w:sz w:val="2"/>
                <w:szCs w:val="2"/>
              </w:rPr>
            </w:pPr>
          </w:p>
        </w:tc>
        <w:tc>
          <w:tcPr>
            <w:tcW w:w="876" w:type="dxa"/>
            <w:vMerge/>
            <w:tcBorders>
              <w:top w:val="nil"/>
              <w:bottom w:val="single" w:sz="6" w:space="0" w:color="000000"/>
            </w:tcBorders>
          </w:tcPr>
          <w:p w14:paraId="6AD3326A" w14:textId="77777777" w:rsidR="00AC6F3C" w:rsidRDefault="00AC6F3C">
            <w:pPr>
              <w:rPr>
                <w:sz w:val="2"/>
                <w:szCs w:val="2"/>
              </w:rPr>
            </w:pPr>
          </w:p>
        </w:tc>
        <w:tc>
          <w:tcPr>
            <w:tcW w:w="1275" w:type="dxa"/>
            <w:tcBorders>
              <w:top w:val="single" w:sz="6" w:space="0" w:color="000000"/>
              <w:bottom w:val="single" w:sz="6" w:space="0" w:color="000000"/>
            </w:tcBorders>
          </w:tcPr>
          <w:p w14:paraId="4341FAE1" w14:textId="77777777" w:rsidR="00AC6F3C" w:rsidRDefault="00AC6F3C">
            <w:pPr>
              <w:pStyle w:val="TableParagraph"/>
              <w:spacing w:before="6"/>
              <w:rPr>
                <w:sz w:val="29"/>
              </w:rPr>
            </w:pPr>
          </w:p>
          <w:p w14:paraId="554252A4" w14:textId="77777777" w:rsidR="00AC6F3C" w:rsidRDefault="00570E88">
            <w:pPr>
              <w:pStyle w:val="TableParagraph"/>
              <w:ind w:right="52"/>
              <w:jc w:val="right"/>
              <w:rPr>
                <w:sz w:val="18"/>
              </w:rPr>
            </w:pPr>
            <w:r>
              <w:rPr>
                <w:w w:val="99"/>
                <w:sz w:val="18"/>
              </w:rPr>
              <w:t>-</w:t>
            </w:r>
          </w:p>
        </w:tc>
        <w:tc>
          <w:tcPr>
            <w:tcW w:w="1211" w:type="dxa"/>
            <w:tcBorders>
              <w:top w:val="single" w:sz="6" w:space="0" w:color="000000"/>
              <w:bottom w:val="single" w:sz="6" w:space="0" w:color="000000"/>
            </w:tcBorders>
          </w:tcPr>
          <w:p w14:paraId="6C6953AA" w14:textId="77777777" w:rsidR="00AC6F3C" w:rsidRDefault="00AC6F3C">
            <w:pPr>
              <w:pStyle w:val="TableParagraph"/>
              <w:spacing w:before="6"/>
              <w:rPr>
                <w:sz w:val="29"/>
              </w:rPr>
            </w:pPr>
          </w:p>
          <w:p w14:paraId="1FBB84CA" w14:textId="77777777" w:rsidR="00AC6F3C" w:rsidRDefault="00570E88">
            <w:pPr>
              <w:pStyle w:val="TableParagraph"/>
              <w:ind w:right="16"/>
              <w:jc w:val="right"/>
              <w:rPr>
                <w:sz w:val="18"/>
              </w:rPr>
            </w:pPr>
            <w:r>
              <w:rPr>
                <w:spacing w:val="-2"/>
                <w:sz w:val="18"/>
              </w:rPr>
              <w:t>(903)</w:t>
            </w:r>
          </w:p>
          <w:p w14:paraId="77E1FFBD" w14:textId="77777777" w:rsidR="00AC6F3C" w:rsidRDefault="00AC6F3C">
            <w:pPr>
              <w:pStyle w:val="TableParagraph"/>
              <w:rPr>
                <w:sz w:val="20"/>
              </w:rPr>
            </w:pPr>
          </w:p>
          <w:p w14:paraId="341CE501" w14:textId="77777777" w:rsidR="00AC6F3C" w:rsidRDefault="00570E88">
            <w:pPr>
              <w:pStyle w:val="TableParagraph"/>
              <w:spacing w:before="162"/>
              <w:ind w:right="21"/>
              <w:jc w:val="right"/>
              <w:rPr>
                <w:sz w:val="18"/>
              </w:rPr>
            </w:pPr>
            <w:r>
              <w:rPr>
                <w:w w:val="99"/>
                <w:sz w:val="18"/>
              </w:rPr>
              <w:t>-</w:t>
            </w:r>
          </w:p>
        </w:tc>
        <w:tc>
          <w:tcPr>
            <w:tcW w:w="1251" w:type="dxa"/>
            <w:tcBorders>
              <w:top w:val="single" w:sz="6" w:space="0" w:color="000000"/>
              <w:bottom w:val="single" w:sz="6" w:space="0" w:color="000000"/>
              <w:right w:val="single" w:sz="6" w:space="0" w:color="000000"/>
            </w:tcBorders>
            <w:shd w:val="clear" w:color="auto" w:fill="F1F1F1"/>
          </w:tcPr>
          <w:p w14:paraId="538A2E34" w14:textId="77777777" w:rsidR="00AC6F3C" w:rsidRDefault="00AC6F3C">
            <w:pPr>
              <w:pStyle w:val="TableParagraph"/>
              <w:spacing w:before="6"/>
              <w:rPr>
                <w:sz w:val="29"/>
              </w:rPr>
            </w:pPr>
          </w:p>
          <w:p w14:paraId="771B6EBC" w14:textId="77777777" w:rsidR="00AC6F3C" w:rsidRDefault="00570E88">
            <w:pPr>
              <w:pStyle w:val="TableParagraph"/>
              <w:ind w:right="17"/>
              <w:jc w:val="right"/>
              <w:rPr>
                <w:sz w:val="18"/>
              </w:rPr>
            </w:pPr>
            <w:r>
              <w:rPr>
                <w:spacing w:val="-2"/>
                <w:sz w:val="18"/>
              </w:rPr>
              <w:t>(903)</w:t>
            </w:r>
          </w:p>
        </w:tc>
      </w:tr>
      <w:tr w:rsidR="00AC6F3C" w14:paraId="7911A85B" w14:textId="77777777">
        <w:trPr>
          <w:trHeight w:val="284"/>
        </w:trPr>
        <w:tc>
          <w:tcPr>
            <w:tcW w:w="3698" w:type="dxa"/>
            <w:tcBorders>
              <w:top w:val="single" w:sz="6" w:space="0" w:color="000000"/>
              <w:left w:val="single" w:sz="6" w:space="0" w:color="000000"/>
              <w:bottom w:val="single" w:sz="6" w:space="0" w:color="000000"/>
            </w:tcBorders>
            <w:shd w:val="clear" w:color="auto" w:fill="BEBEBE"/>
          </w:tcPr>
          <w:p w14:paraId="68404994" w14:textId="77777777" w:rsidR="00AC6F3C" w:rsidRDefault="00570E88">
            <w:pPr>
              <w:pStyle w:val="TableParagraph"/>
              <w:spacing w:before="40"/>
              <w:ind w:left="37"/>
              <w:rPr>
                <w:b/>
                <w:sz w:val="18"/>
              </w:rPr>
            </w:pPr>
            <w:r>
              <w:rPr>
                <w:b/>
                <w:sz w:val="18"/>
              </w:rPr>
              <w:t>Balance</w:t>
            </w:r>
            <w:r>
              <w:rPr>
                <w:b/>
                <w:spacing w:val="-5"/>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30</w:t>
            </w:r>
            <w:r>
              <w:rPr>
                <w:b/>
                <w:spacing w:val="-4"/>
                <w:sz w:val="18"/>
              </w:rPr>
              <w:t xml:space="preserve"> </w:t>
            </w:r>
            <w:r>
              <w:rPr>
                <w:b/>
                <w:sz w:val="18"/>
              </w:rPr>
              <w:t>June</w:t>
            </w:r>
            <w:r>
              <w:rPr>
                <w:b/>
                <w:spacing w:val="-5"/>
                <w:sz w:val="18"/>
              </w:rPr>
              <w:t xml:space="preserve"> </w:t>
            </w:r>
            <w:r>
              <w:rPr>
                <w:b/>
                <w:spacing w:val="-4"/>
                <w:sz w:val="18"/>
              </w:rPr>
              <w:t>2022</w:t>
            </w:r>
          </w:p>
        </w:tc>
        <w:tc>
          <w:tcPr>
            <w:tcW w:w="876" w:type="dxa"/>
            <w:tcBorders>
              <w:top w:val="single" w:sz="6" w:space="0" w:color="000000"/>
              <w:bottom w:val="single" w:sz="6" w:space="0" w:color="000000"/>
            </w:tcBorders>
            <w:shd w:val="clear" w:color="auto" w:fill="BEBEBE"/>
          </w:tcPr>
          <w:p w14:paraId="05539F57" w14:textId="77777777" w:rsidR="00AC6F3C" w:rsidRDefault="00AC6F3C">
            <w:pPr>
              <w:pStyle w:val="TableParagraph"/>
              <w:rPr>
                <w:rFonts w:ascii="Times New Roman"/>
                <w:sz w:val="18"/>
              </w:rPr>
            </w:pPr>
          </w:p>
        </w:tc>
        <w:tc>
          <w:tcPr>
            <w:tcW w:w="1275" w:type="dxa"/>
            <w:tcBorders>
              <w:top w:val="single" w:sz="6" w:space="0" w:color="000000"/>
              <w:bottom w:val="single" w:sz="6" w:space="0" w:color="000000"/>
            </w:tcBorders>
            <w:shd w:val="clear" w:color="auto" w:fill="BEBEBE"/>
          </w:tcPr>
          <w:p w14:paraId="741487A5" w14:textId="77777777" w:rsidR="00AC6F3C" w:rsidRDefault="00570E88">
            <w:pPr>
              <w:pStyle w:val="TableParagraph"/>
              <w:spacing w:before="40"/>
              <w:ind w:right="53"/>
              <w:jc w:val="right"/>
              <w:rPr>
                <w:b/>
                <w:sz w:val="18"/>
              </w:rPr>
            </w:pPr>
            <w:r>
              <w:rPr>
                <w:b/>
                <w:spacing w:val="-2"/>
                <w:sz w:val="18"/>
              </w:rPr>
              <w:t>27,432</w:t>
            </w:r>
          </w:p>
        </w:tc>
        <w:tc>
          <w:tcPr>
            <w:tcW w:w="1211" w:type="dxa"/>
            <w:tcBorders>
              <w:top w:val="single" w:sz="6" w:space="0" w:color="000000"/>
              <w:bottom w:val="single" w:sz="6" w:space="0" w:color="000000"/>
            </w:tcBorders>
            <w:shd w:val="clear" w:color="auto" w:fill="BEBEBE"/>
          </w:tcPr>
          <w:p w14:paraId="52A4CA3D" w14:textId="77777777" w:rsidR="00AC6F3C" w:rsidRDefault="00570E88">
            <w:pPr>
              <w:pStyle w:val="TableParagraph"/>
              <w:spacing w:before="40"/>
              <w:ind w:right="21"/>
              <w:jc w:val="right"/>
              <w:rPr>
                <w:b/>
                <w:sz w:val="18"/>
              </w:rPr>
            </w:pPr>
            <w:r>
              <w:rPr>
                <w:b/>
                <w:spacing w:val="-2"/>
                <w:sz w:val="18"/>
              </w:rPr>
              <w:t>136,589</w:t>
            </w:r>
          </w:p>
        </w:tc>
        <w:tc>
          <w:tcPr>
            <w:tcW w:w="1251" w:type="dxa"/>
            <w:tcBorders>
              <w:top w:val="single" w:sz="6" w:space="0" w:color="000000"/>
              <w:bottom w:val="single" w:sz="6" w:space="0" w:color="000000"/>
              <w:right w:val="single" w:sz="6" w:space="0" w:color="000000"/>
            </w:tcBorders>
            <w:shd w:val="clear" w:color="auto" w:fill="BEBEBE"/>
          </w:tcPr>
          <w:p w14:paraId="16EF6566" w14:textId="77777777" w:rsidR="00AC6F3C" w:rsidRDefault="00570E88">
            <w:pPr>
              <w:pStyle w:val="TableParagraph"/>
              <w:spacing w:before="40"/>
              <w:ind w:right="21"/>
              <w:jc w:val="right"/>
              <w:rPr>
                <w:b/>
                <w:sz w:val="18"/>
              </w:rPr>
            </w:pPr>
            <w:r>
              <w:rPr>
                <w:b/>
                <w:spacing w:val="-2"/>
                <w:sz w:val="18"/>
              </w:rPr>
              <w:t>164,021</w:t>
            </w:r>
          </w:p>
        </w:tc>
      </w:tr>
      <w:tr w:rsidR="00AC6F3C" w14:paraId="3D3C8763" w14:textId="77777777">
        <w:trPr>
          <w:trHeight w:val="297"/>
        </w:trPr>
        <w:tc>
          <w:tcPr>
            <w:tcW w:w="3698" w:type="dxa"/>
            <w:tcBorders>
              <w:top w:val="single" w:sz="6" w:space="0" w:color="000000"/>
              <w:left w:val="single" w:sz="6" w:space="0" w:color="000000"/>
            </w:tcBorders>
          </w:tcPr>
          <w:p w14:paraId="3574B501" w14:textId="77777777" w:rsidR="00AC6F3C" w:rsidRDefault="00570E88">
            <w:pPr>
              <w:pStyle w:val="TableParagraph"/>
              <w:spacing w:before="40"/>
              <w:ind w:left="37"/>
              <w:rPr>
                <w:b/>
                <w:sz w:val="18"/>
              </w:rPr>
            </w:pPr>
            <w:r>
              <w:rPr>
                <w:b/>
                <w:spacing w:val="-4"/>
                <w:sz w:val="18"/>
              </w:rPr>
              <w:t>Operating</w:t>
            </w:r>
            <w:r>
              <w:rPr>
                <w:b/>
                <w:spacing w:val="6"/>
                <w:sz w:val="18"/>
              </w:rPr>
              <w:t xml:space="preserve"> </w:t>
            </w:r>
            <w:r>
              <w:rPr>
                <w:b/>
                <w:spacing w:val="-2"/>
                <w:sz w:val="18"/>
              </w:rPr>
              <w:t>result</w:t>
            </w:r>
          </w:p>
        </w:tc>
        <w:tc>
          <w:tcPr>
            <w:tcW w:w="876" w:type="dxa"/>
            <w:tcBorders>
              <w:top w:val="single" w:sz="6" w:space="0" w:color="000000"/>
            </w:tcBorders>
          </w:tcPr>
          <w:p w14:paraId="5950AA46" w14:textId="77777777" w:rsidR="00AC6F3C" w:rsidRDefault="00AC6F3C">
            <w:pPr>
              <w:pStyle w:val="TableParagraph"/>
              <w:rPr>
                <w:rFonts w:ascii="Times New Roman"/>
                <w:sz w:val="18"/>
              </w:rPr>
            </w:pPr>
          </w:p>
        </w:tc>
        <w:tc>
          <w:tcPr>
            <w:tcW w:w="1275" w:type="dxa"/>
            <w:tcBorders>
              <w:top w:val="single" w:sz="6" w:space="0" w:color="000000"/>
            </w:tcBorders>
          </w:tcPr>
          <w:p w14:paraId="06A12124" w14:textId="77777777" w:rsidR="00AC6F3C" w:rsidRDefault="00AC6F3C">
            <w:pPr>
              <w:pStyle w:val="TableParagraph"/>
              <w:rPr>
                <w:rFonts w:ascii="Times New Roman"/>
                <w:sz w:val="18"/>
              </w:rPr>
            </w:pPr>
          </w:p>
        </w:tc>
        <w:tc>
          <w:tcPr>
            <w:tcW w:w="1211" w:type="dxa"/>
            <w:tcBorders>
              <w:top w:val="single" w:sz="6" w:space="0" w:color="000000"/>
            </w:tcBorders>
          </w:tcPr>
          <w:p w14:paraId="6E811028" w14:textId="77777777" w:rsidR="00AC6F3C" w:rsidRDefault="00AC6F3C">
            <w:pPr>
              <w:pStyle w:val="TableParagraph"/>
              <w:rPr>
                <w:rFonts w:ascii="Times New Roman"/>
                <w:sz w:val="18"/>
              </w:rPr>
            </w:pPr>
          </w:p>
        </w:tc>
        <w:tc>
          <w:tcPr>
            <w:tcW w:w="1251" w:type="dxa"/>
            <w:tcBorders>
              <w:top w:val="single" w:sz="6" w:space="0" w:color="000000"/>
              <w:right w:val="single" w:sz="6" w:space="0" w:color="000000"/>
            </w:tcBorders>
            <w:shd w:val="clear" w:color="auto" w:fill="F1F1F1"/>
          </w:tcPr>
          <w:p w14:paraId="6855C391" w14:textId="77777777" w:rsidR="00AC6F3C" w:rsidRDefault="00AC6F3C">
            <w:pPr>
              <w:pStyle w:val="TableParagraph"/>
              <w:rPr>
                <w:rFonts w:ascii="Times New Roman"/>
                <w:sz w:val="18"/>
              </w:rPr>
            </w:pPr>
          </w:p>
        </w:tc>
      </w:tr>
      <w:tr w:rsidR="00AC6F3C" w14:paraId="23D00199" w14:textId="77777777">
        <w:trPr>
          <w:trHeight w:val="299"/>
        </w:trPr>
        <w:tc>
          <w:tcPr>
            <w:tcW w:w="3698" w:type="dxa"/>
            <w:tcBorders>
              <w:left w:val="single" w:sz="6" w:space="0" w:color="000000"/>
            </w:tcBorders>
          </w:tcPr>
          <w:p w14:paraId="5622C884" w14:textId="77777777" w:rsidR="00AC6F3C" w:rsidRDefault="00570E88">
            <w:pPr>
              <w:pStyle w:val="TableParagraph"/>
              <w:spacing w:before="43"/>
              <w:ind w:left="37"/>
              <w:rPr>
                <w:sz w:val="18"/>
              </w:rPr>
            </w:pPr>
            <w:r>
              <w:rPr>
                <w:sz w:val="18"/>
              </w:rPr>
              <w:t>Operating</w:t>
            </w:r>
            <w:r>
              <w:rPr>
                <w:spacing w:val="13"/>
                <w:sz w:val="18"/>
              </w:rPr>
              <w:t xml:space="preserve"> </w:t>
            </w:r>
            <w:r>
              <w:rPr>
                <w:sz w:val="18"/>
              </w:rPr>
              <w:t>surplus/(deficit)</w:t>
            </w:r>
            <w:r>
              <w:rPr>
                <w:spacing w:val="7"/>
                <w:sz w:val="18"/>
              </w:rPr>
              <w:t xml:space="preserve"> </w:t>
            </w:r>
            <w:r>
              <w:rPr>
                <w:sz w:val="18"/>
              </w:rPr>
              <w:t>after</w:t>
            </w:r>
            <w:r>
              <w:rPr>
                <w:spacing w:val="7"/>
                <w:sz w:val="18"/>
              </w:rPr>
              <w:t xml:space="preserve"> </w:t>
            </w:r>
            <w:r>
              <w:rPr>
                <w:sz w:val="18"/>
              </w:rPr>
              <w:t>income</w:t>
            </w:r>
            <w:r>
              <w:rPr>
                <w:spacing w:val="14"/>
                <w:sz w:val="18"/>
              </w:rPr>
              <w:t xml:space="preserve"> </w:t>
            </w:r>
            <w:r>
              <w:rPr>
                <w:spacing w:val="-5"/>
                <w:sz w:val="18"/>
              </w:rPr>
              <w:t>tax</w:t>
            </w:r>
          </w:p>
        </w:tc>
        <w:tc>
          <w:tcPr>
            <w:tcW w:w="876" w:type="dxa"/>
          </w:tcPr>
          <w:p w14:paraId="0F734AD8" w14:textId="77777777" w:rsidR="00AC6F3C" w:rsidRDefault="00AC6F3C">
            <w:pPr>
              <w:pStyle w:val="TableParagraph"/>
              <w:rPr>
                <w:rFonts w:ascii="Times New Roman"/>
                <w:sz w:val="18"/>
              </w:rPr>
            </w:pPr>
          </w:p>
        </w:tc>
        <w:tc>
          <w:tcPr>
            <w:tcW w:w="1275" w:type="dxa"/>
          </w:tcPr>
          <w:p w14:paraId="550B009B" w14:textId="77777777" w:rsidR="00AC6F3C" w:rsidRDefault="00AC6F3C">
            <w:pPr>
              <w:pStyle w:val="TableParagraph"/>
              <w:rPr>
                <w:rFonts w:ascii="Times New Roman"/>
                <w:sz w:val="18"/>
              </w:rPr>
            </w:pPr>
          </w:p>
        </w:tc>
        <w:tc>
          <w:tcPr>
            <w:tcW w:w="1211" w:type="dxa"/>
          </w:tcPr>
          <w:p w14:paraId="222326BB" w14:textId="77777777" w:rsidR="00AC6F3C" w:rsidRDefault="00570E88">
            <w:pPr>
              <w:pStyle w:val="TableParagraph"/>
              <w:spacing w:before="43"/>
              <w:ind w:right="21"/>
              <w:jc w:val="right"/>
              <w:rPr>
                <w:sz w:val="18"/>
              </w:rPr>
            </w:pPr>
            <w:r>
              <w:rPr>
                <w:spacing w:val="-2"/>
                <w:sz w:val="18"/>
              </w:rPr>
              <w:t>10,390</w:t>
            </w:r>
          </w:p>
        </w:tc>
        <w:tc>
          <w:tcPr>
            <w:tcW w:w="1251" w:type="dxa"/>
            <w:tcBorders>
              <w:right w:val="single" w:sz="6" w:space="0" w:color="000000"/>
            </w:tcBorders>
            <w:shd w:val="clear" w:color="auto" w:fill="F1F1F1"/>
          </w:tcPr>
          <w:p w14:paraId="3991A768" w14:textId="77777777" w:rsidR="00AC6F3C" w:rsidRDefault="00570E88">
            <w:pPr>
              <w:pStyle w:val="TableParagraph"/>
              <w:spacing w:before="43"/>
              <w:ind w:right="21"/>
              <w:jc w:val="right"/>
              <w:rPr>
                <w:sz w:val="18"/>
              </w:rPr>
            </w:pPr>
            <w:r>
              <w:rPr>
                <w:spacing w:val="-2"/>
                <w:sz w:val="18"/>
              </w:rPr>
              <w:t>10,390</w:t>
            </w:r>
          </w:p>
        </w:tc>
      </w:tr>
      <w:tr w:rsidR="00AC6F3C" w14:paraId="379B6E76" w14:textId="77777777">
        <w:trPr>
          <w:trHeight w:val="299"/>
        </w:trPr>
        <w:tc>
          <w:tcPr>
            <w:tcW w:w="3698" w:type="dxa"/>
            <w:tcBorders>
              <w:left w:val="single" w:sz="6" w:space="0" w:color="000000"/>
            </w:tcBorders>
          </w:tcPr>
          <w:p w14:paraId="7DDA02A0" w14:textId="77777777" w:rsidR="00AC6F3C" w:rsidRDefault="00570E88">
            <w:pPr>
              <w:pStyle w:val="TableParagraph"/>
              <w:spacing w:before="43"/>
              <w:ind w:left="37"/>
              <w:rPr>
                <w:b/>
                <w:sz w:val="18"/>
              </w:rPr>
            </w:pPr>
            <w:r>
              <w:rPr>
                <w:b/>
                <w:spacing w:val="-2"/>
                <w:sz w:val="18"/>
              </w:rPr>
              <w:t>Other</w:t>
            </w:r>
            <w:r>
              <w:rPr>
                <w:b/>
                <w:spacing w:val="-3"/>
                <w:sz w:val="18"/>
              </w:rPr>
              <w:t xml:space="preserve"> </w:t>
            </w:r>
            <w:r>
              <w:rPr>
                <w:b/>
                <w:spacing w:val="-2"/>
                <w:sz w:val="18"/>
              </w:rPr>
              <w:t>comprehensive</w:t>
            </w:r>
            <w:r>
              <w:rPr>
                <w:b/>
                <w:spacing w:val="-1"/>
                <w:sz w:val="18"/>
              </w:rPr>
              <w:t xml:space="preserve"> </w:t>
            </w:r>
            <w:r>
              <w:rPr>
                <w:b/>
                <w:spacing w:val="-2"/>
                <w:sz w:val="18"/>
              </w:rPr>
              <w:t>income</w:t>
            </w:r>
          </w:p>
        </w:tc>
        <w:tc>
          <w:tcPr>
            <w:tcW w:w="876" w:type="dxa"/>
          </w:tcPr>
          <w:p w14:paraId="2FA3AF3C" w14:textId="77777777" w:rsidR="00AC6F3C" w:rsidRDefault="00AC6F3C">
            <w:pPr>
              <w:pStyle w:val="TableParagraph"/>
              <w:rPr>
                <w:rFonts w:ascii="Times New Roman"/>
                <w:sz w:val="18"/>
              </w:rPr>
            </w:pPr>
          </w:p>
        </w:tc>
        <w:tc>
          <w:tcPr>
            <w:tcW w:w="1275" w:type="dxa"/>
          </w:tcPr>
          <w:p w14:paraId="3586550F" w14:textId="77777777" w:rsidR="00AC6F3C" w:rsidRDefault="00AC6F3C">
            <w:pPr>
              <w:pStyle w:val="TableParagraph"/>
              <w:rPr>
                <w:rFonts w:ascii="Times New Roman"/>
                <w:sz w:val="18"/>
              </w:rPr>
            </w:pPr>
          </w:p>
        </w:tc>
        <w:tc>
          <w:tcPr>
            <w:tcW w:w="1211" w:type="dxa"/>
          </w:tcPr>
          <w:p w14:paraId="7D79E621" w14:textId="77777777" w:rsidR="00AC6F3C" w:rsidRDefault="00AC6F3C">
            <w:pPr>
              <w:pStyle w:val="TableParagraph"/>
              <w:rPr>
                <w:rFonts w:ascii="Times New Roman"/>
                <w:sz w:val="18"/>
              </w:rPr>
            </w:pPr>
          </w:p>
        </w:tc>
        <w:tc>
          <w:tcPr>
            <w:tcW w:w="1251" w:type="dxa"/>
            <w:tcBorders>
              <w:right w:val="single" w:sz="6" w:space="0" w:color="000000"/>
            </w:tcBorders>
            <w:shd w:val="clear" w:color="auto" w:fill="F1F1F1"/>
          </w:tcPr>
          <w:p w14:paraId="487E7D58" w14:textId="77777777" w:rsidR="00AC6F3C" w:rsidRDefault="00AC6F3C">
            <w:pPr>
              <w:pStyle w:val="TableParagraph"/>
              <w:rPr>
                <w:rFonts w:ascii="Times New Roman"/>
                <w:sz w:val="18"/>
              </w:rPr>
            </w:pPr>
          </w:p>
        </w:tc>
      </w:tr>
      <w:tr w:rsidR="00AC6F3C" w14:paraId="7AB09927" w14:textId="77777777">
        <w:trPr>
          <w:trHeight w:val="286"/>
        </w:trPr>
        <w:tc>
          <w:tcPr>
            <w:tcW w:w="3698" w:type="dxa"/>
            <w:tcBorders>
              <w:left w:val="single" w:sz="6" w:space="0" w:color="000000"/>
              <w:bottom w:val="single" w:sz="6" w:space="0" w:color="000000"/>
            </w:tcBorders>
          </w:tcPr>
          <w:p w14:paraId="60E9885F" w14:textId="77777777" w:rsidR="00AC6F3C" w:rsidRDefault="00570E88">
            <w:pPr>
              <w:pStyle w:val="TableParagraph"/>
              <w:spacing w:before="43"/>
              <w:ind w:left="37"/>
              <w:rPr>
                <w:sz w:val="18"/>
              </w:rPr>
            </w:pPr>
            <w:r>
              <w:rPr>
                <w:sz w:val="18"/>
              </w:rPr>
              <w:t>Increase</w:t>
            </w:r>
            <w:r>
              <w:rPr>
                <w:spacing w:val="12"/>
                <w:sz w:val="18"/>
              </w:rPr>
              <w:t xml:space="preserve"> </w:t>
            </w:r>
            <w:r>
              <w:rPr>
                <w:sz w:val="18"/>
              </w:rPr>
              <w:t>in</w:t>
            </w:r>
            <w:r>
              <w:rPr>
                <w:spacing w:val="12"/>
                <w:sz w:val="18"/>
              </w:rPr>
              <w:t xml:space="preserve"> </w:t>
            </w:r>
            <w:r>
              <w:rPr>
                <w:sz w:val="18"/>
              </w:rPr>
              <w:t>asset revaluation</w:t>
            </w:r>
            <w:r>
              <w:rPr>
                <w:spacing w:val="12"/>
                <w:sz w:val="18"/>
              </w:rPr>
              <w:t xml:space="preserve"> </w:t>
            </w:r>
            <w:r>
              <w:rPr>
                <w:spacing w:val="-2"/>
                <w:sz w:val="18"/>
              </w:rPr>
              <w:t>surplus</w:t>
            </w:r>
          </w:p>
        </w:tc>
        <w:tc>
          <w:tcPr>
            <w:tcW w:w="876" w:type="dxa"/>
            <w:tcBorders>
              <w:bottom w:val="single" w:sz="6" w:space="0" w:color="000000"/>
            </w:tcBorders>
          </w:tcPr>
          <w:p w14:paraId="7A2186BD" w14:textId="77777777" w:rsidR="00AC6F3C" w:rsidRDefault="00570E88">
            <w:pPr>
              <w:pStyle w:val="TableParagraph"/>
              <w:spacing w:before="43"/>
              <w:ind w:left="224"/>
              <w:rPr>
                <w:sz w:val="18"/>
              </w:rPr>
            </w:pPr>
            <w:r>
              <w:rPr>
                <w:sz w:val="18"/>
              </w:rPr>
              <w:t>C5-</w:t>
            </w:r>
            <w:r>
              <w:rPr>
                <w:spacing w:val="-10"/>
                <w:sz w:val="18"/>
              </w:rPr>
              <w:t>1</w:t>
            </w:r>
          </w:p>
        </w:tc>
        <w:tc>
          <w:tcPr>
            <w:tcW w:w="1275" w:type="dxa"/>
            <w:tcBorders>
              <w:bottom w:val="single" w:sz="6" w:space="0" w:color="000000"/>
            </w:tcBorders>
          </w:tcPr>
          <w:p w14:paraId="733B05E1" w14:textId="77777777" w:rsidR="00AC6F3C" w:rsidRDefault="00570E88">
            <w:pPr>
              <w:pStyle w:val="TableParagraph"/>
              <w:spacing w:before="43"/>
              <w:ind w:right="52"/>
              <w:jc w:val="right"/>
              <w:rPr>
                <w:sz w:val="18"/>
              </w:rPr>
            </w:pPr>
            <w:r>
              <w:rPr>
                <w:spacing w:val="-5"/>
                <w:sz w:val="18"/>
              </w:rPr>
              <w:t>328</w:t>
            </w:r>
          </w:p>
        </w:tc>
        <w:tc>
          <w:tcPr>
            <w:tcW w:w="1211" w:type="dxa"/>
            <w:tcBorders>
              <w:bottom w:val="single" w:sz="6" w:space="0" w:color="000000"/>
            </w:tcBorders>
          </w:tcPr>
          <w:p w14:paraId="3A5D8771" w14:textId="77777777" w:rsidR="00AC6F3C" w:rsidRDefault="00570E88">
            <w:pPr>
              <w:pStyle w:val="TableParagraph"/>
              <w:spacing w:before="43"/>
              <w:ind w:right="21"/>
              <w:jc w:val="right"/>
              <w:rPr>
                <w:sz w:val="18"/>
              </w:rPr>
            </w:pPr>
            <w:r>
              <w:rPr>
                <w:w w:val="99"/>
                <w:sz w:val="18"/>
              </w:rPr>
              <w:t>-</w:t>
            </w:r>
          </w:p>
        </w:tc>
        <w:tc>
          <w:tcPr>
            <w:tcW w:w="1251" w:type="dxa"/>
            <w:tcBorders>
              <w:bottom w:val="single" w:sz="6" w:space="0" w:color="000000"/>
              <w:right w:val="single" w:sz="6" w:space="0" w:color="000000"/>
            </w:tcBorders>
            <w:shd w:val="clear" w:color="auto" w:fill="F1F1F1"/>
          </w:tcPr>
          <w:p w14:paraId="3121D9E3" w14:textId="77777777" w:rsidR="00AC6F3C" w:rsidRDefault="00570E88">
            <w:pPr>
              <w:pStyle w:val="TableParagraph"/>
              <w:spacing w:before="43"/>
              <w:ind w:right="22"/>
              <w:jc w:val="right"/>
              <w:rPr>
                <w:sz w:val="18"/>
              </w:rPr>
            </w:pPr>
            <w:r>
              <w:rPr>
                <w:spacing w:val="-5"/>
                <w:sz w:val="18"/>
              </w:rPr>
              <w:t>328</w:t>
            </w:r>
          </w:p>
        </w:tc>
      </w:tr>
      <w:tr w:rsidR="00AC6F3C" w14:paraId="43A0CC54" w14:textId="77777777">
        <w:trPr>
          <w:trHeight w:val="284"/>
        </w:trPr>
        <w:tc>
          <w:tcPr>
            <w:tcW w:w="3698" w:type="dxa"/>
            <w:tcBorders>
              <w:top w:val="single" w:sz="6" w:space="0" w:color="000000"/>
              <w:left w:val="single" w:sz="6" w:space="0" w:color="000000"/>
              <w:bottom w:val="single" w:sz="6" w:space="0" w:color="000000"/>
            </w:tcBorders>
            <w:shd w:val="clear" w:color="auto" w:fill="BEBEBE"/>
          </w:tcPr>
          <w:p w14:paraId="63F05624" w14:textId="77777777" w:rsidR="00AC6F3C" w:rsidRDefault="00570E88">
            <w:pPr>
              <w:pStyle w:val="TableParagraph"/>
              <w:spacing w:before="40"/>
              <w:ind w:left="37"/>
              <w:rPr>
                <w:b/>
                <w:sz w:val="18"/>
              </w:rPr>
            </w:pPr>
            <w:r>
              <w:rPr>
                <w:b/>
                <w:sz w:val="18"/>
              </w:rPr>
              <w:t>Balance</w:t>
            </w:r>
            <w:r>
              <w:rPr>
                <w:b/>
                <w:spacing w:val="-5"/>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30</w:t>
            </w:r>
            <w:r>
              <w:rPr>
                <w:b/>
                <w:spacing w:val="-4"/>
                <w:sz w:val="18"/>
              </w:rPr>
              <w:t xml:space="preserve"> </w:t>
            </w:r>
            <w:r>
              <w:rPr>
                <w:b/>
                <w:sz w:val="18"/>
              </w:rPr>
              <w:t>June</w:t>
            </w:r>
            <w:r>
              <w:rPr>
                <w:b/>
                <w:spacing w:val="-5"/>
                <w:sz w:val="18"/>
              </w:rPr>
              <w:t xml:space="preserve"> </w:t>
            </w:r>
            <w:r>
              <w:rPr>
                <w:b/>
                <w:spacing w:val="-4"/>
                <w:sz w:val="18"/>
              </w:rPr>
              <w:t>2023</w:t>
            </w:r>
          </w:p>
        </w:tc>
        <w:tc>
          <w:tcPr>
            <w:tcW w:w="876" w:type="dxa"/>
            <w:tcBorders>
              <w:top w:val="single" w:sz="6" w:space="0" w:color="000000"/>
              <w:bottom w:val="single" w:sz="6" w:space="0" w:color="000000"/>
            </w:tcBorders>
            <w:shd w:val="clear" w:color="auto" w:fill="BEBEBE"/>
          </w:tcPr>
          <w:p w14:paraId="16258F5A" w14:textId="77777777" w:rsidR="00AC6F3C" w:rsidRDefault="00AC6F3C">
            <w:pPr>
              <w:pStyle w:val="TableParagraph"/>
              <w:rPr>
                <w:rFonts w:ascii="Times New Roman"/>
                <w:sz w:val="18"/>
              </w:rPr>
            </w:pPr>
          </w:p>
        </w:tc>
        <w:tc>
          <w:tcPr>
            <w:tcW w:w="1275" w:type="dxa"/>
            <w:tcBorders>
              <w:top w:val="single" w:sz="6" w:space="0" w:color="000000"/>
              <w:bottom w:val="single" w:sz="6" w:space="0" w:color="000000"/>
            </w:tcBorders>
            <w:shd w:val="clear" w:color="auto" w:fill="BEBEBE"/>
          </w:tcPr>
          <w:p w14:paraId="39F9353B" w14:textId="77777777" w:rsidR="00AC6F3C" w:rsidRDefault="00570E88">
            <w:pPr>
              <w:pStyle w:val="TableParagraph"/>
              <w:spacing w:before="40"/>
              <w:ind w:right="53"/>
              <w:jc w:val="right"/>
              <w:rPr>
                <w:b/>
                <w:sz w:val="18"/>
              </w:rPr>
            </w:pPr>
            <w:r>
              <w:rPr>
                <w:b/>
                <w:spacing w:val="-2"/>
                <w:sz w:val="18"/>
              </w:rPr>
              <w:t>27,760</w:t>
            </w:r>
          </w:p>
        </w:tc>
        <w:tc>
          <w:tcPr>
            <w:tcW w:w="1211" w:type="dxa"/>
            <w:tcBorders>
              <w:top w:val="single" w:sz="6" w:space="0" w:color="000000"/>
              <w:bottom w:val="single" w:sz="6" w:space="0" w:color="000000"/>
            </w:tcBorders>
            <w:shd w:val="clear" w:color="auto" w:fill="BEBEBE"/>
          </w:tcPr>
          <w:p w14:paraId="287BE17E" w14:textId="77777777" w:rsidR="00AC6F3C" w:rsidRDefault="00570E88">
            <w:pPr>
              <w:pStyle w:val="TableParagraph"/>
              <w:spacing w:before="40"/>
              <w:ind w:right="21"/>
              <w:jc w:val="right"/>
              <w:rPr>
                <w:b/>
                <w:sz w:val="18"/>
              </w:rPr>
            </w:pPr>
            <w:r>
              <w:rPr>
                <w:b/>
                <w:spacing w:val="-2"/>
                <w:sz w:val="18"/>
              </w:rPr>
              <w:t>146,979</w:t>
            </w:r>
          </w:p>
        </w:tc>
        <w:tc>
          <w:tcPr>
            <w:tcW w:w="1251" w:type="dxa"/>
            <w:tcBorders>
              <w:top w:val="single" w:sz="6" w:space="0" w:color="000000"/>
              <w:bottom w:val="single" w:sz="6" w:space="0" w:color="000000"/>
              <w:right w:val="single" w:sz="6" w:space="0" w:color="000000"/>
            </w:tcBorders>
            <w:shd w:val="clear" w:color="auto" w:fill="BEBEBE"/>
          </w:tcPr>
          <w:p w14:paraId="33865612" w14:textId="77777777" w:rsidR="00AC6F3C" w:rsidRDefault="00570E88">
            <w:pPr>
              <w:pStyle w:val="TableParagraph"/>
              <w:spacing w:before="40"/>
              <w:ind w:right="21"/>
              <w:jc w:val="right"/>
              <w:rPr>
                <w:b/>
                <w:sz w:val="18"/>
              </w:rPr>
            </w:pPr>
            <w:r>
              <w:rPr>
                <w:b/>
                <w:spacing w:val="-2"/>
                <w:sz w:val="18"/>
              </w:rPr>
              <w:t>174,739</w:t>
            </w:r>
          </w:p>
        </w:tc>
      </w:tr>
    </w:tbl>
    <w:p w14:paraId="0ACB798D" w14:textId="77777777" w:rsidR="00AC6F3C" w:rsidRDefault="00AC6F3C">
      <w:pPr>
        <w:pStyle w:val="BodyText"/>
        <w:spacing w:before="1" w:after="1"/>
        <w:rPr>
          <w:sz w:val="25"/>
        </w:rPr>
      </w:pPr>
    </w:p>
    <w:tbl>
      <w:tblPr>
        <w:tblW w:w="0" w:type="auto"/>
        <w:tblInd w:w="1028" w:type="dxa"/>
        <w:tblLayout w:type="fixed"/>
        <w:tblCellMar>
          <w:left w:w="0" w:type="dxa"/>
          <w:right w:w="0" w:type="dxa"/>
        </w:tblCellMar>
        <w:tblLook w:val="01E0" w:firstRow="1" w:lastRow="1" w:firstColumn="1" w:lastColumn="1" w:noHBand="0" w:noVBand="0"/>
      </w:tblPr>
      <w:tblGrid>
        <w:gridCol w:w="3698"/>
        <w:gridCol w:w="876"/>
        <w:gridCol w:w="1275"/>
        <w:gridCol w:w="1210"/>
        <w:gridCol w:w="1250"/>
      </w:tblGrid>
      <w:tr w:rsidR="00AC6F3C" w14:paraId="64B96D10" w14:textId="77777777">
        <w:trPr>
          <w:trHeight w:val="1182"/>
        </w:trPr>
        <w:tc>
          <w:tcPr>
            <w:tcW w:w="3698" w:type="dxa"/>
            <w:tcBorders>
              <w:top w:val="single" w:sz="6" w:space="0" w:color="000000"/>
              <w:left w:val="single" w:sz="6" w:space="0" w:color="000000"/>
              <w:bottom w:val="single" w:sz="6" w:space="0" w:color="000000"/>
            </w:tcBorders>
            <w:shd w:val="clear" w:color="auto" w:fill="BEBEBE"/>
          </w:tcPr>
          <w:p w14:paraId="3B02D131" w14:textId="77777777" w:rsidR="00AC6F3C" w:rsidRDefault="00570E88">
            <w:pPr>
              <w:pStyle w:val="TableParagraph"/>
              <w:spacing w:before="40"/>
              <w:ind w:left="37"/>
              <w:rPr>
                <w:b/>
                <w:sz w:val="18"/>
              </w:rPr>
            </w:pPr>
            <w:r>
              <w:rPr>
                <w:b/>
                <w:sz w:val="18"/>
              </w:rPr>
              <w:t>Parent</w:t>
            </w:r>
            <w:r>
              <w:rPr>
                <w:b/>
                <w:spacing w:val="-6"/>
                <w:sz w:val="18"/>
              </w:rPr>
              <w:t xml:space="preserve"> </w:t>
            </w:r>
            <w:r>
              <w:rPr>
                <w:b/>
                <w:spacing w:val="-2"/>
                <w:sz w:val="18"/>
              </w:rPr>
              <w:t>Entity</w:t>
            </w:r>
          </w:p>
        </w:tc>
        <w:tc>
          <w:tcPr>
            <w:tcW w:w="876" w:type="dxa"/>
            <w:tcBorders>
              <w:top w:val="single" w:sz="6" w:space="0" w:color="000000"/>
              <w:bottom w:val="single" w:sz="6" w:space="0" w:color="000000"/>
            </w:tcBorders>
            <w:shd w:val="clear" w:color="auto" w:fill="BEBEBE"/>
          </w:tcPr>
          <w:p w14:paraId="76201CC3" w14:textId="77777777" w:rsidR="00AC6F3C" w:rsidRDefault="00AC6F3C">
            <w:pPr>
              <w:pStyle w:val="TableParagraph"/>
              <w:rPr>
                <w:sz w:val="20"/>
              </w:rPr>
            </w:pPr>
          </w:p>
          <w:p w14:paraId="48FC6E7C" w14:textId="77777777" w:rsidR="00AC6F3C" w:rsidRDefault="00AC6F3C">
            <w:pPr>
              <w:pStyle w:val="TableParagraph"/>
              <w:rPr>
                <w:sz w:val="20"/>
              </w:rPr>
            </w:pPr>
          </w:p>
          <w:p w14:paraId="17275873" w14:textId="77777777" w:rsidR="00AC6F3C" w:rsidRDefault="00570E88">
            <w:pPr>
              <w:pStyle w:val="TableParagraph"/>
              <w:spacing w:before="179"/>
              <w:ind w:left="194"/>
              <w:rPr>
                <w:b/>
                <w:sz w:val="18"/>
              </w:rPr>
            </w:pPr>
            <w:r>
              <w:rPr>
                <w:b/>
                <w:spacing w:val="-4"/>
                <w:sz w:val="18"/>
              </w:rPr>
              <w:t>NOTE</w:t>
            </w:r>
          </w:p>
        </w:tc>
        <w:tc>
          <w:tcPr>
            <w:tcW w:w="1275" w:type="dxa"/>
            <w:tcBorders>
              <w:top w:val="single" w:sz="6" w:space="0" w:color="000000"/>
              <w:bottom w:val="single" w:sz="6" w:space="0" w:color="000000"/>
            </w:tcBorders>
            <w:shd w:val="clear" w:color="auto" w:fill="BEBEBE"/>
          </w:tcPr>
          <w:p w14:paraId="5B78FF9A" w14:textId="77777777" w:rsidR="00AC6F3C" w:rsidRDefault="00570E88">
            <w:pPr>
              <w:pStyle w:val="TableParagraph"/>
              <w:spacing w:before="40" w:line="348" w:lineRule="auto"/>
              <w:ind w:left="232" w:right="47" w:firstLine="494"/>
              <w:jc w:val="right"/>
              <w:rPr>
                <w:b/>
                <w:sz w:val="18"/>
              </w:rPr>
            </w:pPr>
            <w:r>
              <w:rPr>
                <w:b/>
                <w:spacing w:val="-2"/>
                <w:sz w:val="18"/>
              </w:rPr>
              <w:t xml:space="preserve">Asset </w:t>
            </w:r>
            <w:r>
              <w:rPr>
                <w:b/>
                <w:spacing w:val="-5"/>
                <w:sz w:val="18"/>
              </w:rPr>
              <w:t>Revaluation</w:t>
            </w:r>
          </w:p>
          <w:p w14:paraId="4BF2B041" w14:textId="77777777" w:rsidR="00AC6F3C" w:rsidRDefault="00570E88">
            <w:pPr>
              <w:pStyle w:val="TableParagraph"/>
              <w:spacing w:line="206" w:lineRule="exact"/>
              <w:ind w:right="63"/>
              <w:jc w:val="right"/>
              <w:rPr>
                <w:b/>
                <w:sz w:val="18"/>
              </w:rPr>
            </w:pPr>
            <w:r>
              <w:rPr>
                <w:b/>
                <w:spacing w:val="-2"/>
                <w:sz w:val="18"/>
              </w:rPr>
              <w:t>Surplus</w:t>
            </w:r>
          </w:p>
          <w:p w14:paraId="38608A60" w14:textId="77777777" w:rsidR="00AC6F3C" w:rsidRDefault="00570E88">
            <w:pPr>
              <w:pStyle w:val="TableParagraph"/>
              <w:spacing w:before="93"/>
              <w:ind w:right="53"/>
              <w:jc w:val="right"/>
              <w:rPr>
                <w:b/>
                <w:sz w:val="18"/>
              </w:rPr>
            </w:pPr>
            <w:r>
              <w:rPr>
                <w:b/>
                <w:spacing w:val="-2"/>
                <w:sz w:val="18"/>
              </w:rPr>
              <w:t>$’000</w:t>
            </w:r>
          </w:p>
        </w:tc>
        <w:tc>
          <w:tcPr>
            <w:tcW w:w="1210" w:type="dxa"/>
            <w:tcBorders>
              <w:top w:val="single" w:sz="6" w:space="0" w:color="000000"/>
              <w:bottom w:val="single" w:sz="6" w:space="0" w:color="000000"/>
            </w:tcBorders>
            <w:shd w:val="clear" w:color="auto" w:fill="BEBEBE"/>
          </w:tcPr>
          <w:p w14:paraId="6AA959C4" w14:textId="77777777" w:rsidR="00AC6F3C" w:rsidRDefault="00AC6F3C">
            <w:pPr>
              <w:pStyle w:val="TableParagraph"/>
              <w:spacing w:before="6"/>
              <w:rPr>
                <w:sz w:val="29"/>
              </w:rPr>
            </w:pPr>
          </w:p>
          <w:p w14:paraId="7DE5ACAF" w14:textId="77777777" w:rsidR="00AC6F3C" w:rsidRDefault="00570E88">
            <w:pPr>
              <w:pStyle w:val="TableParagraph"/>
              <w:ind w:right="10"/>
              <w:jc w:val="right"/>
              <w:rPr>
                <w:b/>
                <w:sz w:val="18"/>
              </w:rPr>
            </w:pPr>
            <w:r>
              <w:rPr>
                <w:b/>
                <w:spacing w:val="-2"/>
                <w:sz w:val="18"/>
              </w:rPr>
              <w:t>Accumulated</w:t>
            </w:r>
          </w:p>
          <w:p w14:paraId="6F1EB8C5" w14:textId="77777777" w:rsidR="00AC6F3C" w:rsidRDefault="00570E88">
            <w:pPr>
              <w:pStyle w:val="TableParagraph"/>
              <w:spacing w:before="93"/>
              <w:ind w:right="30"/>
              <w:jc w:val="right"/>
              <w:rPr>
                <w:b/>
                <w:sz w:val="18"/>
              </w:rPr>
            </w:pPr>
            <w:r>
              <w:rPr>
                <w:b/>
                <w:spacing w:val="-2"/>
                <w:sz w:val="18"/>
              </w:rPr>
              <w:t>Surplus</w:t>
            </w:r>
          </w:p>
          <w:p w14:paraId="08A35FDF" w14:textId="77777777" w:rsidR="00AC6F3C" w:rsidRDefault="00570E88">
            <w:pPr>
              <w:pStyle w:val="TableParagraph"/>
              <w:spacing w:before="92"/>
              <w:ind w:right="20"/>
              <w:jc w:val="right"/>
              <w:rPr>
                <w:b/>
                <w:sz w:val="18"/>
              </w:rPr>
            </w:pPr>
            <w:r>
              <w:rPr>
                <w:b/>
                <w:spacing w:val="-2"/>
                <w:sz w:val="18"/>
              </w:rPr>
              <w:t>$’000</w:t>
            </w:r>
          </w:p>
        </w:tc>
        <w:tc>
          <w:tcPr>
            <w:tcW w:w="1250" w:type="dxa"/>
            <w:tcBorders>
              <w:top w:val="single" w:sz="6" w:space="0" w:color="000000"/>
              <w:bottom w:val="single" w:sz="6" w:space="0" w:color="000000"/>
              <w:right w:val="single" w:sz="6" w:space="0" w:color="000000"/>
            </w:tcBorders>
            <w:shd w:val="clear" w:color="auto" w:fill="BEBEBE"/>
          </w:tcPr>
          <w:p w14:paraId="7EA19CB0" w14:textId="77777777" w:rsidR="00AC6F3C" w:rsidRDefault="00AC6F3C">
            <w:pPr>
              <w:pStyle w:val="TableParagraph"/>
              <w:rPr>
                <w:sz w:val="20"/>
              </w:rPr>
            </w:pPr>
          </w:p>
          <w:p w14:paraId="1905125D" w14:textId="77777777" w:rsidR="00AC6F3C" w:rsidRDefault="00AC6F3C">
            <w:pPr>
              <w:pStyle w:val="TableParagraph"/>
              <w:rPr>
                <w:sz w:val="20"/>
              </w:rPr>
            </w:pPr>
          </w:p>
          <w:p w14:paraId="729E282A" w14:textId="77777777" w:rsidR="00AC6F3C" w:rsidRDefault="00570E88">
            <w:pPr>
              <w:pStyle w:val="TableParagraph"/>
              <w:spacing w:before="179"/>
              <w:ind w:left="650"/>
              <w:rPr>
                <w:b/>
                <w:sz w:val="18"/>
              </w:rPr>
            </w:pPr>
            <w:r>
              <w:rPr>
                <w:b/>
                <w:spacing w:val="-5"/>
                <w:sz w:val="18"/>
              </w:rPr>
              <w:t>TOTAL</w:t>
            </w:r>
          </w:p>
          <w:p w14:paraId="3877BDCF" w14:textId="77777777" w:rsidR="00AC6F3C" w:rsidRDefault="00570E88">
            <w:pPr>
              <w:pStyle w:val="TableParagraph"/>
              <w:spacing w:before="93"/>
              <w:ind w:left="756"/>
              <w:rPr>
                <w:b/>
                <w:sz w:val="18"/>
              </w:rPr>
            </w:pPr>
            <w:r>
              <w:rPr>
                <w:b/>
                <w:spacing w:val="-2"/>
                <w:sz w:val="18"/>
              </w:rPr>
              <w:t>$’000</w:t>
            </w:r>
          </w:p>
        </w:tc>
      </w:tr>
      <w:tr w:rsidR="00AC6F3C" w14:paraId="7B6A4D8C" w14:textId="77777777">
        <w:trPr>
          <w:trHeight w:val="284"/>
        </w:trPr>
        <w:tc>
          <w:tcPr>
            <w:tcW w:w="3698" w:type="dxa"/>
            <w:vMerge w:val="restart"/>
            <w:tcBorders>
              <w:top w:val="single" w:sz="6" w:space="0" w:color="000000"/>
              <w:left w:val="single" w:sz="6" w:space="0" w:color="000000"/>
              <w:bottom w:val="single" w:sz="6" w:space="0" w:color="000000"/>
            </w:tcBorders>
          </w:tcPr>
          <w:p w14:paraId="3899E7DD" w14:textId="77777777" w:rsidR="00AC6F3C" w:rsidRDefault="00570E88">
            <w:pPr>
              <w:pStyle w:val="TableParagraph"/>
              <w:spacing w:before="40" w:line="348" w:lineRule="auto"/>
              <w:ind w:left="37" w:right="706"/>
              <w:rPr>
                <w:b/>
                <w:sz w:val="18"/>
              </w:rPr>
            </w:pPr>
            <w:r>
              <w:rPr>
                <w:b/>
                <w:sz w:val="18"/>
              </w:rPr>
              <w:t>Balance</w:t>
            </w:r>
            <w:r>
              <w:rPr>
                <w:b/>
                <w:spacing w:val="-8"/>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1</w:t>
            </w:r>
            <w:r>
              <w:rPr>
                <w:b/>
                <w:spacing w:val="-5"/>
                <w:sz w:val="18"/>
              </w:rPr>
              <w:t xml:space="preserve"> </w:t>
            </w:r>
            <w:r>
              <w:rPr>
                <w:b/>
                <w:sz w:val="18"/>
              </w:rPr>
              <w:t>July</w:t>
            </w:r>
            <w:r>
              <w:rPr>
                <w:b/>
                <w:spacing w:val="-16"/>
                <w:sz w:val="18"/>
              </w:rPr>
              <w:t xml:space="preserve"> </w:t>
            </w:r>
            <w:r>
              <w:rPr>
                <w:b/>
                <w:sz w:val="18"/>
              </w:rPr>
              <w:t>2021 Operating</w:t>
            </w:r>
            <w:r>
              <w:rPr>
                <w:b/>
                <w:spacing w:val="-13"/>
                <w:sz w:val="18"/>
              </w:rPr>
              <w:t xml:space="preserve"> </w:t>
            </w:r>
            <w:r>
              <w:rPr>
                <w:b/>
                <w:sz w:val="18"/>
              </w:rPr>
              <w:t>result</w:t>
            </w:r>
          </w:p>
          <w:p w14:paraId="0360D617" w14:textId="77777777" w:rsidR="00AC6F3C" w:rsidRDefault="00570E88">
            <w:pPr>
              <w:pStyle w:val="TableParagraph"/>
              <w:spacing w:line="206" w:lineRule="exact"/>
              <w:ind w:left="37"/>
              <w:rPr>
                <w:sz w:val="18"/>
              </w:rPr>
            </w:pPr>
            <w:r>
              <w:rPr>
                <w:sz w:val="18"/>
              </w:rPr>
              <w:t>Operating</w:t>
            </w:r>
            <w:r>
              <w:rPr>
                <w:spacing w:val="13"/>
                <w:sz w:val="18"/>
              </w:rPr>
              <w:t xml:space="preserve"> </w:t>
            </w:r>
            <w:r>
              <w:rPr>
                <w:sz w:val="18"/>
              </w:rPr>
              <w:t>surplus/(deficit)</w:t>
            </w:r>
            <w:r>
              <w:rPr>
                <w:spacing w:val="7"/>
                <w:sz w:val="18"/>
              </w:rPr>
              <w:t xml:space="preserve"> </w:t>
            </w:r>
            <w:r>
              <w:rPr>
                <w:sz w:val="18"/>
              </w:rPr>
              <w:t>after</w:t>
            </w:r>
            <w:r>
              <w:rPr>
                <w:spacing w:val="7"/>
                <w:sz w:val="18"/>
              </w:rPr>
              <w:t xml:space="preserve"> </w:t>
            </w:r>
            <w:r>
              <w:rPr>
                <w:sz w:val="18"/>
              </w:rPr>
              <w:t>income</w:t>
            </w:r>
            <w:r>
              <w:rPr>
                <w:spacing w:val="14"/>
                <w:sz w:val="18"/>
              </w:rPr>
              <w:t xml:space="preserve"> </w:t>
            </w:r>
            <w:r>
              <w:rPr>
                <w:spacing w:val="-5"/>
                <w:sz w:val="18"/>
              </w:rPr>
              <w:t>tax</w:t>
            </w:r>
          </w:p>
          <w:p w14:paraId="3501EACD" w14:textId="77777777" w:rsidR="00AC6F3C" w:rsidRDefault="00570E88">
            <w:pPr>
              <w:pStyle w:val="TableParagraph"/>
              <w:spacing w:before="93"/>
              <w:ind w:left="37"/>
              <w:rPr>
                <w:b/>
                <w:sz w:val="18"/>
              </w:rPr>
            </w:pPr>
            <w:r>
              <w:rPr>
                <w:b/>
                <w:spacing w:val="-2"/>
                <w:sz w:val="18"/>
              </w:rPr>
              <w:t>Other</w:t>
            </w:r>
            <w:r>
              <w:rPr>
                <w:b/>
                <w:spacing w:val="-3"/>
                <w:sz w:val="18"/>
              </w:rPr>
              <w:t xml:space="preserve"> </w:t>
            </w:r>
            <w:r>
              <w:rPr>
                <w:b/>
                <w:spacing w:val="-2"/>
                <w:sz w:val="18"/>
              </w:rPr>
              <w:t>comprehensive</w:t>
            </w:r>
            <w:r>
              <w:rPr>
                <w:b/>
                <w:spacing w:val="-1"/>
                <w:sz w:val="18"/>
              </w:rPr>
              <w:t xml:space="preserve"> </w:t>
            </w:r>
            <w:r>
              <w:rPr>
                <w:b/>
                <w:spacing w:val="-2"/>
                <w:sz w:val="18"/>
              </w:rPr>
              <w:t>income</w:t>
            </w:r>
          </w:p>
          <w:p w14:paraId="25998806" w14:textId="77777777" w:rsidR="00AC6F3C" w:rsidRDefault="00570E88">
            <w:pPr>
              <w:pStyle w:val="TableParagraph"/>
              <w:spacing w:before="92"/>
              <w:ind w:left="37"/>
              <w:rPr>
                <w:sz w:val="18"/>
              </w:rPr>
            </w:pPr>
            <w:r>
              <w:rPr>
                <w:sz w:val="18"/>
              </w:rPr>
              <w:t>Increase</w:t>
            </w:r>
            <w:r>
              <w:rPr>
                <w:spacing w:val="12"/>
                <w:sz w:val="18"/>
              </w:rPr>
              <w:t xml:space="preserve"> </w:t>
            </w:r>
            <w:r>
              <w:rPr>
                <w:sz w:val="18"/>
              </w:rPr>
              <w:t>in</w:t>
            </w:r>
            <w:r>
              <w:rPr>
                <w:spacing w:val="12"/>
                <w:sz w:val="18"/>
              </w:rPr>
              <w:t xml:space="preserve"> </w:t>
            </w:r>
            <w:r>
              <w:rPr>
                <w:sz w:val="18"/>
              </w:rPr>
              <w:t>asset revaluation</w:t>
            </w:r>
            <w:r>
              <w:rPr>
                <w:spacing w:val="12"/>
                <w:sz w:val="18"/>
              </w:rPr>
              <w:t xml:space="preserve"> </w:t>
            </w:r>
            <w:r>
              <w:rPr>
                <w:spacing w:val="-2"/>
                <w:sz w:val="18"/>
              </w:rPr>
              <w:t>surplus</w:t>
            </w:r>
          </w:p>
        </w:tc>
        <w:tc>
          <w:tcPr>
            <w:tcW w:w="876" w:type="dxa"/>
            <w:vMerge w:val="restart"/>
            <w:tcBorders>
              <w:top w:val="single" w:sz="6" w:space="0" w:color="000000"/>
              <w:bottom w:val="single" w:sz="6" w:space="0" w:color="000000"/>
            </w:tcBorders>
          </w:tcPr>
          <w:p w14:paraId="0E0427F2" w14:textId="77777777" w:rsidR="00AC6F3C" w:rsidRDefault="00AC6F3C">
            <w:pPr>
              <w:pStyle w:val="TableParagraph"/>
              <w:rPr>
                <w:sz w:val="20"/>
              </w:rPr>
            </w:pPr>
          </w:p>
          <w:p w14:paraId="507D399E" w14:textId="77777777" w:rsidR="00AC6F3C" w:rsidRDefault="00AC6F3C">
            <w:pPr>
              <w:pStyle w:val="TableParagraph"/>
              <w:rPr>
                <w:sz w:val="20"/>
              </w:rPr>
            </w:pPr>
          </w:p>
          <w:p w14:paraId="6F183FE8" w14:textId="77777777" w:rsidR="00AC6F3C" w:rsidRDefault="00AC6F3C">
            <w:pPr>
              <w:pStyle w:val="TableParagraph"/>
              <w:rPr>
                <w:sz w:val="20"/>
              </w:rPr>
            </w:pPr>
          </w:p>
          <w:p w14:paraId="10589B80" w14:textId="77777777" w:rsidR="00AC6F3C" w:rsidRDefault="00AC6F3C">
            <w:pPr>
              <w:pStyle w:val="TableParagraph"/>
              <w:rPr>
                <w:sz w:val="20"/>
              </w:rPr>
            </w:pPr>
          </w:p>
          <w:p w14:paraId="3252267D" w14:textId="77777777" w:rsidR="00AC6F3C" w:rsidRDefault="00AC6F3C">
            <w:pPr>
              <w:pStyle w:val="TableParagraph"/>
              <w:spacing w:before="8"/>
              <w:rPr>
                <w:sz w:val="27"/>
              </w:rPr>
            </w:pPr>
          </w:p>
          <w:p w14:paraId="149B4A9A" w14:textId="77777777" w:rsidR="00AC6F3C" w:rsidRDefault="00570E88">
            <w:pPr>
              <w:pStyle w:val="TableParagraph"/>
              <w:ind w:left="224"/>
              <w:rPr>
                <w:sz w:val="18"/>
              </w:rPr>
            </w:pPr>
            <w:r>
              <w:rPr>
                <w:sz w:val="18"/>
              </w:rPr>
              <w:t>C5-</w:t>
            </w:r>
            <w:r>
              <w:rPr>
                <w:spacing w:val="-10"/>
                <w:sz w:val="18"/>
              </w:rPr>
              <w:t>2</w:t>
            </w:r>
          </w:p>
        </w:tc>
        <w:tc>
          <w:tcPr>
            <w:tcW w:w="1275" w:type="dxa"/>
            <w:tcBorders>
              <w:top w:val="single" w:sz="6" w:space="0" w:color="000000"/>
              <w:bottom w:val="single" w:sz="6" w:space="0" w:color="000000"/>
            </w:tcBorders>
          </w:tcPr>
          <w:p w14:paraId="2489AA79" w14:textId="77777777" w:rsidR="00AC6F3C" w:rsidRDefault="00570E88">
            <w:pPr>
              <w:pStyle w:val="TableParagraph"/>
              <w:spacing w:before="40"/>
              <w:ind w:right="53"/>
              <w:jc w:val="right"/>
              <w:rPr>
                <w:b/>
                <w:sz w:val="18"/>
              </w:rPr>
            </w:pPr>
            <w:r>
              <w:rPr>
                <w:b/>
                <w:spacing w:val="-2"/>
                <w:sz w:val="18"/>
              </w:rPr>
              <w:t>27,432</w:t>
            </w:r>
          </w:p>
        </w:tc>
        <w:tc>
          <w:tcPr>
            <w:tcW w:w="1210" w:type="dxa"/>
            <w:tcBorders>
              <w:top w:val="single" w:sz="6" w:space="0" w:color="000000"/>
              <w:bottom w:val="single" w:sz="6" w:space="0" w:color="000000"/>
            </w:tcBorders>
          </w:tcPr>
          <w:p w14:paraId="505DA418" w14:textId="77777777" w:rsidR="00AC6F3C" w:rsidRDefault="00570E88">
            <w:pPr>
              <w:pStyle w:val="TableParagraph"/>
              <w:spacing w:before="40"/>
              <w:ind w:right="20"/>
              <w:jc w:val="right"/>
              <w:rPr>
                <w:b/>
                <w:sz w:val="18"/>
              </w:rPr>
            </w:pPr>
            <w:r>
              <w:rPr>
                <w:b/>
                <w:spacing w:val="-2"/>
                <w:sz w:val="18"/>
              </w:rPr>
              <w:t>38,320</w:t>
            </w:r>
          </w:p>
        </w:tc>
        <w:tc>
          <w:tcPr>
            <w:tcW w:w="1250" w:type="dxa"/>
            <w:tcBorders>
              <w:top w:val="single" w:sz="6" w:space="0" w:color="000000"/>
              <w:bottom w:val="single" w:sz="6" w:space="0" w:color="000000"/>
              <w:right w:val="single" w:sz="6" w:space="0" w:color="000000"/>
            </w:tcBorders>
            <w:shd w:val="clear" w:color="auto" w:fill="F1F1F1"/>
          </w:tcPr>
          <w:p w14:paraId="336D1924" w14:textId="77777777" w:rsidR="00AC6F3C" w:rsidRDefault="00570E88">
            <w:pPr>
              <w:pStyle w:val="TableParagraph"/>
              <w:spacing w:before="40"/>
              <w:ind w:right="19"/>
              <w:jc w:val="right"/>
              <w:rPr>
                <w:b/>
                <w:sz w:val="18"/>
              </w:rPr>
            </w:pPr>
            <w:r>
              <w:rPr>
                <w:b/>
                <w:spacing w:val="-2"/>
                <w:sz w:val="18"/>
              </w:rPr>
              <w:t>65,752</w:t>
            </w:r>
          </w:p>
        </w:tc>
      </w:tr>
      <w:tr w:rsidR="00AC6F3C" w14:paraId="5E8541D2" w14:textId="77777777">
        <w:trPr>
          <w:trHeight w:val="1182"/>
        </w:trPr>
        <w:tc>
          <w:tcPr>
            <w:tcW w:w="3698" w:type="dxa"/>
            <w:vMerge/>
            <w:tcBorders>
              <w:top w:val="nil"/>
              <w:left w:val="single" w:sz="6" w:space="0" w:color="000000"/>
              <w:bottom w:val="single" w:sz="6" w:space="0" w:color="000000"/>
            </w:tcBorders>
          </w:tcPr>
          <w:p w14:paraId="382DDB09" w14:textId="77777777" w:rsidR="00AC6F3C" w:rsidRDefault="00AC6F3C">
            <w:pPr>
              <w:rPr>
                <w:sz w:val="2"/>
                <w:szCs w:val="2"/>
              </w:rPr>
            </w:pPr>
          </w:p>
        </w:tc>
        <w:tc>
          <w:tcPr>
            <w:tcW w:w="876" w:type="dxa"/>
            <w:vMerge/>
            <w:tcBorders>
              <w:top w:val="nil"/>
              <w:bottom w:val="single" w:sz="6" w:space="0" w:color="000000"/>
            </w:tcBorders>
          </w:tcPr>
          <w:p w14:paraId="5238C6C1" w14:textId="77777777" w:rsidR="00AC6F3C" w:rsidRDefault="00AC6F3C">
            <w:pPr>
              <w:rPr>
                <w:sz w:val="2"/>
                <w:szCs w:val="2"/>
              </w:rPr>
            </w:pPr>
          </w:p>
        </w:tc>
        <w:tc>
          <w:tcPr>
            <w:tcW w:w="1275" w:type="dxa"/>
            <w:tcBorders>
              <w:top w:val="single" w:sz="6" w:space="0" w:color="000000"/>
              <w:bottom w:val="single" w:sz="6" w:space="0" w:color="000000"/>
            </w:tcBorders>
          </w:tcPr>
          <w:p w14:paraId="672DB5D3" w14:textId="77777777" w:rsidR="00AC6F3C" w:rsidRDefault="00AC6F3C">
            <w:pPr>
              <w:pStyle w:val="TableParagraph"/>
              <w:spacing w:before="6"/>
              <w:rPr>
                <w:sz w:val="29"/>
              </w:rPr>
            </w:pPr>
          </w:p>
          <w:p w14:paraId="5FA54614" w14:textId="77777777" w:rsidR="00AC6F3C" w:rsidRDefault="00570E88">
            <w:pPr>
              <w:pStyle w:val="TableParagraph"/>
              <w:ind w:right="52"/>
              <w:jc w:val="right"/>
              <w:rPr>
                <w:sz w:val="18"/>
              </w:rPr>
            </w:pPr>
            <w:r>
              <w:rPr>
                <w:w w:val="99"/>
                <w:sz w:val="18"/>
              </w:rPr>
              <w:t>-</w:t>
            </w:r>
          </w:p>
        </w:tc>
        <w:tc>
          <w:tcPr>
            <w:tcW w:w="1210" w:type="dxa"/>
            <w:tcBorders>
              <w:top w:val="single" w:sz="6" w:space="0" w:color="000000"/>
              <w:bottom w:val="single" w:sz="6" w:space="0" w:color="000000"/>
            </w:tcBorders>
          </w:tcPr>
          <w:p w14:paraId="627E52B7" w14:textId="77777777" w:rsidR="00AC6F3C" w:rsidRDefault="00AC6F3C">
            <w:pPr>
              <w:pStyle w:val="TableParagraph"/>
              <w:spacing w:before="6"/>
              <w:rPr>
                <w:sz w:val="29"/>
              </w:rPr>
            </w:pPr>
          </w:p>
          <w:p w14:paraId="23383470" w14:textId="77777777" w:rsidR="00AC6F3C" w:rsidRDefault="00570E88">
            <w:pPr>
              <w:pStyle w:val="TableParagraph"/>
              <w:ind w:right="20"/>
              <w:jc w:val="right"/>
              <w:rPr>
                <w:sz w:val="18"/>
              </w:rPr>
            </w:pPr>
            <w:r>
              <w:rPr>
                <w:spacing w:val="-2"/>
                <w:sz w:val="18"/>
              </w:rPr>
              <w:t>1,103</w:t>
            </w:r>
          </w:p>
          <w:p w14:paraId="3E406D20" w14:textId="77777777" w:rsidR="00AC6F3C" w:rsidRDefault="00AC6F3C">
            <w:pPr>
              <w:pStyle w:val="TableParagraph"/>
              <w:rPr>
                <w:sz w:val="20"/>
              </w:rPr>
            </w:pPr>
          </w:p>
          <w:p w14:paraId="48A7468E" w14:textId="77777777" w:rsidR="00AC6F3C" w:rsidRDefault="00570E88">
            <w:pPr>
              <w:pStyle w:val="TableParagraph"/>
              <w:spacing w:before="162"/>
              <w:ind w:right="20"/>
              <w:jc w:val="right"/>
              <w:rPr>
                <w:sz w:val="18"/>
              </w:rPr>
            </w:pPr>
            <w:r>
              <w:rPr>
                <w:w w:val="99"/>
                <w:sz w:val="18"/>
              </w:rPr>
              <w:t>-</w:t>
            </w:r>
          </w:p>
        </w:tc>
        <w:tc>
          <w:tcPr>
            <w:tcW w:w="1250" w:type="dxa"/>
            <w:tcBorders>
              <w:top w:val="single" w:sz="6" w:space="0" w:color="000000"/>
              <w:bottom w:val="single" w:sz="6" w:space="0" w:color="000000"/>
              <w:right w:val="single" w:sz="6" w:space="0" w:color="000000"/>
            </w:tcBorders>
            <w:shd w:val="clear" w:color="auto" w:fill="F1F1F1"/>
          </w:tcPr>
          <w:p w14:paraId="544A9EEF" w14:textId="77777777" w:rsidR="00AC6F3C" w:rsidRDefault="00AC6F3C">
            <w:pPr>
              <w:pStyle w:val="TableParagraph"/>
              <w:spacing w:before="6"/>
              <w:rPr>
                <w:sz w:val="29"/>
              </w:rPr>
            </w:pPr>
          </w:p>
          <w:p w14:paraId="4DC01F80" w14:textId="77777777" w:rsidR="00AC6F3C" w:rsidRDefault="00570E88">
            <w:pPr>
              <w:pStyle w:val="TableParagraph"/>
              <w:ind w:right="19"/>
              <w:jc w:val="right"/>
              <w:rPr>
                <w:sz w:val="18"/>
              </w:rPr>
            </w:pPr>
            <w:r>
              <w:rPr>
                <w:spacing w:val="-2"/>
                <w:sz w:val="18"/>
              </w:rPr>
              <w:t>1,103</w:t>
            </w:r>
          </w:p>
        </w:tc>
      </w:tr>
      <w:tr w:rsidR="00AC6F3C" w14:paraId="1CF5C021" w14:textId="77777777">
        <w:trPr>
          <w:trHeight w:val="284"/>
        </w:trPr>
        <w:tc>
          <w:tcPr>
            <w:tcW w:w="3698" w:type="dxa"/>
            <w:tcBorders>
              <w:top w:val="single" w:sz="6" w:space="0" w:color="000000"/>
              <w:left w:val="single" w:sz="6" w:space="0" w:color="000000"/>
              <w:bottom w:val="single" w:sz="6" w:space="0" w:color="000000"/>
            </w:tcBorders>
            <w:shd w:val="clear" w:color="auto" w:fill="BEBEBE"/>
          </w:tcPr>
          <w:p w14:paraId="393B0AB4" w14:textId="77777777" w:rsidR="00AC6F3C" w:rsidRDefault="00570E88">
            <w:pPr>
              <w:pStyle w:val="TableParagraph"/>
              <w:spacing w:before="41"/>
              <w:ind w:left="37"/>
              <w:rPr>
                <w:b/>
                <w:sz w:val="18"/>
              </w:rPr>
            </w:pPr>
            <w:r>
              <w:rPr>
                <w:b/>
                <w:sz w:val="18"/>
              </w:rPr>
              <w:t>Balance</w:t>
            </w:r>
            <w:r>
              <w:rPr>
                <w:b/>
                <w:spacing w:val="-5"/>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30</w:t>
            </w:r>
            <w:r>
              <w:rPr>
                <w:b/>
                <w:spacing w:val="-4"/>
                <w:sz w:val="18"/>
              </w:rPr>
              <w:t xml:space="preserve"> </w:t>
            </w:r>
            <w:r>
              <w:rPr>
                <w:b/>
                <w:sz w:val="18"/>
              </w:rPr>
              <w:t>June</w:t>
            </w:r>
            <w:r>
              <w:rPr>
                <w:b/>
                <w:spacing w:val="-5"/>
                <w:sz w:val="18"/>
              </w:rPr>
              <w:t xml:space="preserve"> </w:t>
            </w:r>
            <w:r>
              <w:rPr>
                <w:b/>
                <w:spacing w:val="-4"/>
                <w:sz w:val="18"/>
              </w:rPr>
              <w:t>2022</w:t>
            </w:r>
          </w:p>
        </w:tc>
        <w:tc>
          <w:tcPr>
            <w:tcW w:w="876" w:type="dxa"/>
            <w:tcBorders>
              <w:top w:val="single" w:sz="6" w:space="0" w:color="000000"/>
              <w:bottom w:val="single" w:sz="6" w:space="0" w:color="000000"/>
            </w:tcBorders>
            <w:shd w:val="clear" w:color="auto" w:fill="BEBEBE"/>
          </w:tcPr>
          <w:p w14:paraId="29166712" w14:textId="77777777" w:rsidR="00AC6F3C" w:rsidRDefault="00AC6F3C">
            <w:pPr>
              <w:pStyle w:val="TableParagraph"/>
              <w:rPr>
                <w:rFonts w:ascii="Times New Roman"/>
                <w:sz w:val="18"/>
              </w:rPr>
            </w:pPr>
          </w:p>
        </w:tc>
        <w:tc>
          <w:tcPr>
            <w:tcW w:w="1275" w:type="dxa"/>
            <w:tcBorders>
              <w:top w:val="single" w:sz="6" w:space="0" w:color="000000"/>
              <w:bottom w:val="single" w:sz="6" w:space="0" w:color="000000"/>
            </w:tcBorders>
            <w:shd w:val="clear" w:color="auto" w:fill="BEBEBE"/>
          </w:tcPr>
          <w:p w14:paraId="5B7CE28C" w14:textId="77777777" w:rsidR="00AC6F3C" w:rsidRDefault="00570E88">
            <w:pPr>
              <w:pStyle w:val="TableParagraph"/>
              <w:spacing w:before="41"/>
              <w:ind w:right="53"/>
              <w:jc w:val="right"/>
              <w:rPr>
                <w:b/>
                <w:sz w:val="18"/>
              </w:rPr>
            </w:pPr>
            <w:r>
              <w:rPr>
                <w:b/>
                <w:spacing w:val="-2"/>
                <w:sz w:val="18"/>
              </w:rPr>
              <w:t>27,432</w:t>
            </w:r>
          </w:p>
        </w:tc>
        <w:tc>
          <w:tcPr>
            <w:tcW w:w="1210" w:type="dxa"/>
            <w:tcBorders>
              <w:top w:val="single" w:sz="6" w:space="0" w:color="000000"/>
              <w:bottom w:val="single" w:sz="6" w:space="0" w:color="000000"/>
            </w:tcBorders>
            <w:shd w:val="clear" w:color="auto" w:fill="BEBEBE"/>
          </w:tcPr>
          <w:p w14:paraId="610BF9DC" w14:textId="77777777" w:rsidR="00AC6F3C" w:rsidRDefault="00570E88">
            <w:pPr>
              <w:pStyle w:val="TableParagraph"/>
              <w:spacing w:before="41"/>
              <w:ind w:right="20"/>
              <w:jc w:val="right"/>
              <w:rPr>
                <w:b/>
                <w:sz w:val="18"/>
              </w:rPr>
            </w:pPr>
            <w:r>
              <w:rPr>
                <w:b/>
                <w:spacing w:val="-2"/>
                <w:sz w:val="18"/>
              </w:rPr>
              <w:t>39,423</w:t>
            </w:r>
          </w:p>
        </w:tc>
        <w:tc>
          <w:tcPr>
            <w:tcW w:w="1250" w:type="dxa"/>
            <w:tcBorders>
              <w:top w:val="single" w:sz="6" w:space="0" w:color="000000"/>
              <w:bottom w:val="single" w:sz="6" w:space="0" w:color="000000"/>
              <w:right w:val="single" w:sz="6" w:space="0" w:color="000000"/>
            </w:tcBorders>
            <w:shd w:val="clear" w:color="auto" w:fill="BEBEBE"/>
          </w:tcPr>
          <w:p w14:paraId="237D676F" w14:textId="77777777" w:rsidR="00AC6F3C" w:rsidRDefault="00570E88">
            <w:pPr>
              <w:pStyle w:val="TableParagraph"/>
              <w:spacing w:before="41"/>
              <w:ind w:right="19"/>
              <w:jc w:val="right"/>
              <w:rPr>
                <w:b/>
                <w:sz w:val="18"/>
              </w:rPr>
            </w:pPr>
            <w:r>
              <w:rPr>
                <w:b/>
                <w:spacing w:val="-2"/>
                <w:sz w:val="18"/>
              </w:rPr>
              <w:t>66,855</w:t>
            </w:r>
          </w:p>
        </w:tc>
      </w:tr>
      <w:tr w:rsidR="00AC6F3C" w14:paraId="4D8614C4" w14:textId="77777777">
        <w:trPr>
          <w:trHeight w:val="297"/>
        </w:trPr>
        <w:tc>
          <w:tcPr>
            <w:tcW w:w="3698" w:type="dxa"/>
            <w:tcBorders>
              <w:top w:val="single" w:sz="6" w:space="0" w:color="000000"/>
              <w:left w:val="single" w:sz="6" w:space="0" w:color="000000"/>
            </w:tcBorders>
          </w:tcPr>
          <w:p w14:paraId="1AD86B50" w14:textId="77777777" w:rsidR="00AC6F3C" w:rsidRDefault="00570E88">
            <w:pPr>
              <w:pStyle w:val="TableParagraph"/>
              <w:spacing w:before="41"/>
              <w:ind w:left="37"/>
              <w:rPr>
                <w:b/>
                <w:sz w:val="18"/>
              </w:rPr>
            </w:pPr>
            <w:r>
              <w:rPr>
                <w:b/>
                <w:spacing w:val="-4"/>
                <w:sz w:val="18"/>
              </w:rPr>
              <w:t>Operating</w:t>
            </w:r>
            <w:r>
              <w:rPr>
                <w:b/>
                <w:spacing w:val="6"/>
                <w:sz w:val="18"/>
              </w:rPr>
              <w:t xml:space="preserve"> </w:t>
            </w:r>
            <w:r>
              <w:rPr>
                <w:b/>
                <w:spacing w:val="-2"/>
                <w:sz w:val="18"/>
              </w:rPr>
              <w:t>result</w:t>
            </w:r>
          </w:p>
        </w:tc>
        <w:tc>
          <w:tcPr>
            <w:tcW w:w="876" w:type="dxa"/>
            <w:tcBorders>
              <w:top w:val="single" w:sz="6" w:space="0" w:color="000000"/>
            </w:tcBorders>
          </w:tcPr>
          <w:p w14:paraId="7B998DD0" w14:textId="77777777" w:rsidR="00AC6F3C" w:rsidRDefault="00AC6F3C">
            <w:pPr>
              <w:pStyle w:val="TableParagraph"/>
              <w:rPr>
                <w:rFonts w:ascii="Times New Roman"/>
                <w:sz w:val="18"/>
              </w:rPr>
            </w:pPr>
          </w:p>
        </w:tc>
        <w:tc>
          <w:tcPr>
            <w:tcW w:w="1275" w:type="dxa"/>
            <w:tcBorders>
              <w:top w:val="single" w:sz="6" w:space="0" w:color="000000"/>
            </w:tcBorders>
          </w:tcPr>
          <w:p w14:paraId="4CE255C7" w14:textId="77777777" w:rsidR="00AC6F3C" w:rsidRDefault="00AC6F3C">
            <w:pPr>
              <w:pStyle w:val="TableParagraph"/>
              <w:rPr>
                <w:rFonts w:ascii="Times New Roman"/>
                <w:sz w:val="18"/>
              </w:rPr>
            </w:pPr>
          </w:p>
        </w:tc>
        <w:tc>
          <w:tcPr>
            <w:tcW w:w="1210" w:type="dxa"/>
            <w:tcBorders>
              <w:top w:val="single" w:sz="6" w:space="0" w:color="000000"/>
            </w:tcBorders>
          </w:tcPr>
          <w:p w14:paraId="22019ED1" w14:textId="77777777" w:rsidR="00AC6F3C" w:rsidRDefault="00AC6F3C">
            <w:pPr>
              <w:pStyle w:val="TableParagraph"/>
              <w:rPr>
                <w:rFonts w:ascii="Times New Roman"/>
                <w:sz w:val="18"/>
              </w:rPr>
            </w:pPr>
          </w:p>
        </w:tc>
        <w:tc>
          <w:tcPr>
            <w:tcW w:w="1250" w:type="dxa"/>
            <w:tcBorders>
              <w:top w:val="single" w:sz="6" w:space="0" w:color="000000"/>
              <w:right w:val="single" w:sz="6" w:space="0" w:color="000000"/>
            </w:tcBorders>
            <w:shd w:val="clear" w:color="auto" w:fill="F1F1F1"/>
          </w:tcPr>
          <w:p w14:paraId="33368481" w14:textId="77777777" w:rsidR="00AC6F3C" w:rsidRDefault="00AC6F3C">
            <w:pPr>
              <w:pStyle w:val="TableParagraph"/>
              <w:rPr>
                <w:rFonts w:ascii="Times New Roman"/>
                <w:sz w:val="18"/>
              </w:rPr>
            </w:pPr>
          </w:p>
        </w:tc>
      </w:tr>
      <w:tr w:rsidR="00AC6F3C" w14:paraId="448F0F18" w14:textId="77777777">
        <w:trPr>
          <w:trHeight w:val="299"/>
        </w:trPr>
        <w:tc>
          <w:tcPr>
            <w:tcW w:w="3698" w:type="dxa"/>
            <w:tcBorders>
              <w:left w:val="single" w:sz="6" w:space="0" w:color="000000"/>
            </w:tcBorders>
          </w:tcPr>
          <w:p w14:paraId="2BD77D1E" w14:textId="77777777" w:rsidR="00AC6F3C" w:rsidRDefault="00570E88">
            <w:pPr>
              <w:pStyle w:val="TableParagraph"/>
              <w:spacing w:before="43"/>
              <w:ind w:left="37"/>
              <w:rPr>
                <w:sz w:val="18"/>
              </w:rPr>
            </w:pPr>
            <w:r>
              <w:rPr>
                <w:sz w:val="18"/>
              </w:rPr>
              <w:t>Operating</w:t>
            </w:r>
            <w:r>
              <w:rPr>
                <w:spacing w:val="13"/>
                <w:sz w:val="18"/>
              </w:rPr>
              <w:t xml:space="preserve"> </w:t>
            </w:r>
            <w:r>
              <w:rPr>
                <w:sz w:val="18"/>
              </w:rPr>
              <w:t>surplus/(deficit)</w:t>
            </w:r>
            <w:r>
              <w:rPr>
                <w:spacing w:val="7"/>
                <w:sz w:val="18"/>
              </w:rPr>
              <w:t xml:space="preserve"> </w:t>
            </w:r>
            <w:r>
              <w:rPr>
                <w:sz w:val="18"/>
              </w:rPr>
              <w:t>after</w:t>
            </w:r>
            <w:r>
              <w:rPr>
                <w:spacing w:val="7"/>
                <w:sz w:val="18"/>
              </w:rPr>
              <w:t xml:space="preserve"> </w:t>
            </w:r>
            <w:r>
              <w:rPr>
                <w:sz w:val="18"/>
              </w:rPr>
              <w:t>income</w:t>
            </w:r>
            <w:r>
              <w:rPr>
                <w:spacing w:val="14"/>
                <w:sz w:val="18"/>
              </w:rPr>
              <w:t xml:space="preserve"> </w:t>
            </w:r>
            <w:r>
              <w:rPr>
                <w:spacing w:val="-5"/>
                <w:sz w:val="18"/>
              </w:rPr>
              <w:t>tax</w:t>
            </w:r>
          </w:p>
        </w:tc>
        <w:tc>
          <w:tcPr>
            <w:tcW w:w="876" w:type="dxa"/>
          </w:tcPr>
          <w:p w14:paraId="04E7C08B" w14:textId="77777777" w:rsidR="00AC6F3C" w:rsidRDefault="00AC6F3C">
            <w:pPr>
              <w:pStyle w:val="TableParagraph"/>
              <w:rPr>
                <w:rFonts w:ascii="Times New Roman"/>
                <w:sz w:val="18"/>
              </w:rPr>
            </w:pPr>
          </w:p>
        </w:tc>
        <w:tc>
          <w:tcPr>
            <w:tcW w:w="1275" w:type="dxa"/>
          </w:tcPr>
          <w:p w14:paraId="49D24367" w14:textId="77777777" w:rsidR="00AC6F3C" w:rsidRDefault="00570E88">
            <w:pPr>
              <w:pStyle w:val="TableParagraph"/>
              <w:spacing w:before="43"/>
              <w:ind w:right="52"/>
              <w:jc w:val="right"/>
              <w:rPr>
                <w:sz w:val="18"/>
              </w:rPr>
            </w:pPr>
            <w:r>
              <w:rPr>
                <w:w w:val="99"/>
                <w:sz w:val="18"/>
              </w:rPr>
              <w:t>-</w:t>
            </w:r>
          </w:p>
        </w:tc>
        <w:tc>
          <w:tcPr>
            <w:tcW w:w="1210" w:type="dxa"/>
          </w:tcPr>
          <w:p w14:paraId="22709505" w14:textId="77777777" w:rsidR="00AC6F3C" w:rsidRDefault="00570E88">
            <w:pPr>
              <w:pStyle w:val="TableParagraph"/>
              <w:spacing w:before="43"/>
              <w:ind w:right="15"/>
              <w:jc w:val="right"/>
              <w:rPr>
                <w:sz w:val="18"/>
              </w:rPr>
            </w:pPr>
            <w:r>
              <w:rPr>
                <w:spacing w:val="-2"/>
                <w:sz w:val="18"/>
              </w:rPr>
              <w:t>(2,031)</w:t>
            </w:r>
          </w:p>
        </w:tc>
        <w:tc>
          <w:tcPr>
            <w:tcW w:w="1250" w:type="dxa"/>
            <w:tcBorders>
              <w:right w:val="single" w:sz="6" w:space="0" w:color="000000"/>
            </w:tcBorders>
            <w:shd w:val="clear" w:color="auto" w:fill="F1F1F1"/>
          </w:tcPr>
          <w:p w14:paraId="5411A90C" w14:textId="77777777" w:rsidR="00AC6F3C" w:rsidRDefault="00570E88">
            <w:pPr>
              <w:pStyle w:val="TableParagraph"/>
              <w:spacing w:before="43"/>
              <w:ind w:right="15"/>
              <w:jc w:val="right"/>
              <w:rPr>
                <w:sz w:val="18"/>
              </w:rPr>
            </w:pPr>
            <w:r>
              <w:rPr>
                <w:spacing w:val="-2"/>
                <w:sz w:val="18"/>
              </w:rPr>
              <w:t>(2,031)</w:t>
            </w:r>
          </w:p>
        </w:tc>
      </w:tr>
      <w:tr w:rsidR="00AC6F3C" w14:paraId="0C9A9843" w14:textId="77777777">
        <w:trPr>
          <w:trHeight w:val="299"/>
        </w:trPr>
        <w:tc>
          <w:tcPr>
            <w:tcW w:w="3698" w:type="dxa"/>
            <w:tcBorders>
              <w:left w:val="single" w:sz="6" w:space="0" w:color="000000"/>
            </w:tcBorders>
          </w:tcPr>
          <w:p w14:paraId="3F42EE79" w14:textId="77777777" w:rsidR="00AC6F3C" w:rsidRDefault="00570E88">
            <w:pPr>
              <w:pStyle w:val="TableParagraph"/>
              <w:spacing w:before="43"/>
              <w:ind w:left="37"/>
              <w:rPr>
                <w:b/>
                <w:sz w:val="18"/>
              </w:rPr>
            </w:pPr>
            <w:r>
              <w:rPr>
                <w:b/>
                <w:spacing w:val="-2"/>
                <w:sz w:val="18"/>
              </w:rPr>
              <w:t>Other</w:t>
            </w:r>
            <w:r>
              <w:rPr>
                <w:b/>
                <w:spacing w:val="-3"/>
                <w:sz w:val="18"/>
              </w:rPr>
              <w:t xml:space="preserve"> </w:t>
            </w:r>
            <w:r>
              <w:rPr>
                <w:b/>
                <w:spacing w:val="-2"/>
                <w:sz w:val="18"/>
              </w:rPr>
              <w:t>comprehensive</w:t>
            </w:r>
            <w:r>
              <w:rPr>
                <w:b/>
                <w:spacing w:val="-1"/>
                <w:sz w:val="18"/>
              </w:rPr>
              <w:t xml:space="preserve"> </w:t>
            </w:r>
            <w:r>
              <w:rPr>
                <w:b/>
                <w:spacing w:val="-2"/>
                <w:sz w:val="18"/>
              </w:rPr>
              <w:t>income</w:t>
            </w:r>
          </w:p>
        </w:tc>
        <w:tc>
          <w:tcPr>
            <w:tcW w:w="876" w:type="dxa"/>
          </w:tcPr>
          <w:p w14:paraId="05C3813C" w14:textId="77777777" w:rsidR="00AC6F3C" w:rsidRDefault="00AC6F3C">
            <w:pPr>
              <w:pStyle w:val="TableParagraph"/>
              <w:rPr>
                <w:rFonts w:ascii="Times New Roman"/>
                <w:sz w:val="18"/>
              </w:rPr>
            </w:pPr>
          </w:p>
        </w:tc>
        <w:tc>
          <w:tcPr>
            <w:tcW w:w="1275" w:type="dxa"/>
          </w:tcPr>
          <w:p w14:paraId="38419624" w14:textId="77777777" w:rsidR="00AC6F3C" w:rsidRDefault="00AC6F3C">
            <w:pPr>
              <w:pStyle w:val="TableParagraph"/>
              <w:rPr>
                <w:rFonts w:ascii="Times New Roman"/>
                <w:sz w:val="18"/>
              </w:rPr>
            </w:pPr>
          </w:p>
        </w:tc>
        <w:tc>
          <w:tcPr>
            <w:tcW w:w="1210" w:type="dxa"/>
          </w:tcPr>
          <w:p w14:paraId="4729B786" w14:textId="77777777" w:rsidR="00AC6F3C" w:rsidRDefault="00AC6F3C">
            <w:pPr>
              <w:pStyle w:val="TableParagraph"/>
              <w:rPr>
                <w:rFonts w:ascii="Times New Roman"/>
                <w:sz w:val="18"/>
              </w:rPr>
            </w:pPr>
          </w:p>
        </w:tc>
        <w:tc>
          <w:tcPr>
            <w:tcW w:w="1250" w:type="dxa"/>
            <w:tcBorders>
              <w:right w:val="single" w:sz="6" w:space="0" w:color="000000"/>
            </w:tcBorders>
            <w:shd w:val="clear" w:color="auto" w:fill="F1F1F1"/>
          </w:tcPr>
          <w:p w14:paraId="26725E5B" w14:textId="77777777" w:rsidR="00AC6F3C" w:rsidRDefault="00AC6F3C">
            <w:pPr>
              <w:pStyle w:val="TableParagraph"/>
              <w:rPr>
                <w:rFonts w:ascii="Times New Roman"/>
                <w:sz w:val="18"/>
              </w:rPr>
            </w:pPr>
          </w:p>
        </w:tc>
      </w:tr>
      <w:tr w:rsidR="00AC6F3C" w14:paraId="2F433AC6" w14:textId="77777777">
        <w:trPr>
          <w:trHeight w:val="286"/>
        </w:trPr>
        <w:tc>
          <w:tcPr>
            <w:tcW w:w="3698" w:type="dxa"/>
            <w:tcBorders>
              <w:left w:val="single" w:sz="6" w:space="0" w:color="000000"/>
              <w:bottom w:val="single" w:sz="6" w:space="0" w:color="000000"/>
            </w:tcBorders>
          </w:tcPr>
          <w:p w14:paraId="21CFF598" w14:textId="77777777" w:rsidR="00AC6F3C" w:rsidRDefault="00570E88">
            <w:pPr>
              <w:pStyle w:val="TableParagraph"/>
              <w:spacing w:before="43"/>
              <w:ind w:left="37"/>
              <w:rPr>
                <w:sz w:val="18"/>
              </w:rPr>
            </w:pPr>
            <w:r>
              <w:rPr>
                <w:sz w:val="18"/>
              </w:rPr>
              <w:t>Increase</w:t>
            </w:r>
            <w:r>
              <w:rPr>
                <w:spacing w:val="12"/>
                <w:sz w:val="18"/>
              </w:rPr>
              <w:t xml:space="preserve"> </w:t>
            </w:r>
            <w:r>
              <w:rPr>
                <w:sz w:val="18"/>
              </w:rPr>
              <w:t>in</w:t>
            </w:r>
            <w:r>
              <w:rPr>
                <w:spacing w:val="12"/>
                <w:sz w:val="18"/>
              </w:rPr>
              <w:t xml:space="preserve"> </w:t>
            </w:r>
            <w:r>
              <w:rPr>
                <w:sz w:val="18"/>
              </w:rPr>
              <w:t>asset revaluation</w:t>
            </w:r>
            <w:r>
              <w:rPr>
                <w:spacing w:val="12"/>
                <w:sz w:val="18"/>
              </w:rPr>
              <w:t xml:space="preserve"> </w:t>
            </w:r>
            <w:r>
              <w:rPr>
                <w:spacing w:val="-2"/>
                <w:sz w:val="18"/>
              </w:rPr>
              <w:t>surplus</w:t>
            </w:r>
          </w:p>
        </w:tc>
        <w:tc>
          <w:tcPr>
            <w:tcW w:w="876" w:type="dxa"/>
            <w:tcBorders>
              <w:bottom w:val="single" w:sz="6" w:space="0" w:color="000000"/>
            </w:tcBorders>
          </w:tcPr>
          <w:p w14:paraId="420D84FC" w14:textId="77777777" w:rsidR="00AC6F3C" w:rsidRDefault="00570E88">
            <w:pPr>
              <w:pStyle w:val="TableParagraph"/>
              <w:spacing w:before="43"/>
              <w:ind w:left="224"/>
              <w:rPr>
                <w:sz w:val="18"/>
              </w:rPr>
            </w:pPr>
            <w:r>
              <w:rPr>
                <w:sz w:val="18"/>
              </w:rPr>
              <w:t>C5-</w:t>
            </w:r>
            <w:r>
              <w:rPr>
                <w:spacing w:val="-10"/>
                <w:sz w:val="18"/>
              </w:rPr>
              <w:t>2</w:t>
            </w:r>
          </w:p>
        </w:tc>
        <w:tc>
          <w:tcPr>
            <w:tcW w:w="1275" w:type="dxa"/>
            <w:tcBorders>
              <w:bottom w:val="single" w:sz="6" w:space="0" w:color="000000"/>
            </w:tcBorders>
          </w:tcPr>
          <w:p w14:paraId="1BB39D4D" w14:textId="77777777" w:rsidR="00AC6F3C" w:rsidRDefault="00570E88">
            <w:pPr>
              <w:pStyle w:val="TableParagraph"/>
              <w:spacing w:before="43"/>
              <w:ind w:right="52"/>
              <w:jc w:val="right"/>
              <w:rPr>
                <w:sz w:val="18"/>
              </w:rPr>
            </w:pPr>
            <w:r>
              <w:rPr>
                <w:spacing w:val="-5"/>
                <w:sz w:val="18"/>
              </w:rPr>
              <w:t>328</w:t>
            </w:r>
          </w:p>
        </w:tc>
        <w:tc>
          <w:tcPr>
            <w:tcW w:w="1210" w:type="dxa"/>
            <w:tcBorders>
              <w:bottom w:val="single" w:sz="6" w:space="0" w:color="000000"/>
            </w:tcBorders>
          </w:tcPr>
          <w:p w14:paraId="54A66013" w14:textId="77777777" w:rsidR="00AC6F3C" w:rsidRDefault="00570E88">
            <w:pPr>
              <w:pStyle w:val="TableParagraph"/>
              <w:spacing w:before="43"/>
              <w:ind w:right="20"/>
              <w:jc w:val="right"/>
              <w:rPr>
                <w:sz w:val="18"/>
              </w:rPr>
            </w:pPr>
            <w:r>
              <w:rPr>
                <w:w w:val="99"/>
                <w:sz w:val="18"/>
              </w:rPr>
              <w:t>-</w:t>
            </w:r>
          </w:p>
        </w:tc>
        <w:tc>
          <w:tcPr>
            <w:tcW w:w="1250" w:type="dxa"/>
            <w:tcBorders>
              <w:bottom w:val="single" w:sz="6" w:space="0" w:color="000000"/>
              <w:right w:val="single" w:sz="6" w:space="0" w:color="000000"/>
            </w:tcBorders>
            <w:shd w:val="clear" w:color="auto" w:fill="F1F1F1"/>
          </w:tcPr>
          <w:p w14:paraId="0DC08F39" w14:textId="77777777" w:rsidR="00AC6F3C" w:rsidRDefault="00570E88">
            <w:pPr>
              <w:pStyle w:val="TableParagraph"/>
              <w:spacing w:before="43"/>
              <w:ind w:right="20"/>
              <w:jc w:val="right"/>
              <w:rPr>
                <w:sz w:val="18"/>
              </w:rPr>
            </w:pPr>
            <w:r>
              <w:rPr>
                <w:spacing w:val="-5"/>
                <w:sz w:val="18"/>
              </w:rPr>
              <w:t>328</w:t>
            </w:r>
          </w:p>
        </w:tc>
      </w:tr>
      <w:tr w:rsidR="00AC6F3C" w14:paraId="6D24199A" w14:textId="77777777">
        <w:trPr>
          <w:trHeight w:val="284"/>
        </w:trPr>
        <w:tc>
          <w:tcPr>
            <w:tcW w:w="3698" w:type="dxa"/>
            <w:tcBorders>
              <w:top w:val="single" w:sz="6" w:space="0" w:color="000000"/>
              <w:left w:val="single" w:sz="6" w:space="0" w:color="000000"/>
              <w:bottom w:val="single" w:sz="6" w:space="0" w:color="000000"/>
            </w:tcBorders>
            <w:shd w:val="clear" w:color="auto" w:fill="BEBEBE"/>
          </w:tcPr>
          <w:p w14:paraId="41329931" w14:textId="77777777" w:rsidR="00AC6F3C" w:rsidRDefault="00570E88">
            <w:pPr>
              <w:pStyle w:val="TableParagraph"/>
              <w:spacing w:before="41"/>
              <w:ind w:left="37"/>
              <w:rPr>
                <w:b/>
                <w:sz w:val="18"/>
              </w:rPr>
            </w:pPr>
            <w:r>
              <w:rPr>
                <w:b/>
                <w:sz w:val="18"/>
              </w:rPr>
              <w:t>Balance</w:t>
            </w:r>
            <w:r>
              <w:rPr>
                <w:b/>
                <w:spacing w:val="-5"/>
                <w:sz w:val="18"/>
              </w:rPr>
              <w:t xml:space="preserve"> </w:t>
            </w:r>
            <w:r>
              <w:rPr>
                <w:b/>
                <w:sz w:val="18"/>
              </w:rPr>
              <w:t>as</w:t>
            </w:r>
            <w:r>
              <w:rPr>
                <w:b/>
                <w:spacing w:val="-5"/>
                <w:sz w:val="18"/>
              </w:rPr>
              <w:t xml:space="preserve"> </w:t>
            </w:r>
            <w:r>
              <w:rPr>
                <w:b/>
                <w:sz w:val="18"/>
              </w:rPr>
              <w:t>at</w:t>
            </w:r>
            <w:r>
              <w:rPr>
                <w:b/>
                <w:spacing w:val="-10"/>
                <w:sz w:val="18"/>
              </w:rPr>
              <w:t xml:space="preserve"> </w:t>
            </w:r>
            <w:r>
              <w:rPr>
                <w:b/>
                <w:sz w:val="18"/>
              </w:rPr>
              <w:t>30</w:t>
            </w:r>
            <w:r>
              <w:rPr>
                <w:b/>
                <w:spacing w:val="-4"/>
                <w:sz w:val="18"/>
              </w:rPr>
              <w:t xml:space="preserve"> </w:t>
            </w:r>
            <w:r>
              <w:rPr>
                <w:b/>
                <w:sz w:val="18"/>
              </w:rPr>
              <w:t>June</w:t>
            </w:r>
            <w:r>
              <w:rPr>
                <w:b/>
                <w:spacing w:val="-5"/>
                <w:sz w:val="18"/>
              </w:rPr>
              <w:t xml:space="preserve"> </w:t>
            </w:r>
            <w:r>
              <w:rPr>
                <w:b/>
                <w:spacing w:val="-4"/>
                <w:sz w:val="18"/>
              </w:rPr>
              <w:t>2023</w:t>
            </w:r>
          </w:p>
        </w:tc>
        <w:tc>
          <w:tcPr>
            <w:tcW w:w="876" w:type="dxa"/>
            <w:tcBorders>
              <w:top w:val="single" w:sz="6" w:space="0" w:color="000000"/>
              <w:bottom w:val="single" w:sz="6" w:space="0" w:color="000000"/>
            </w:tcBorders>
            <w:shd w:val="clear" w:color="auto" w:fill="BEBEBE"/>
          </w:tcPr>
          <w:p w14:paraId="4D2BCFC8" w14:textId="77777777" w:rsidR="00AC6F3C" w:rsidRDefault="00AC6F3C">
            <w:pPr>
              <w:pStyle w:val="TableParagraph"/>
              <w:rPr>
                <w:rFonts w:ascii="Times New Roman"/>
                <w:sz w:val="18"/>
              </w:rPr>
            </w:pPr>
          </w:p>
        </w:tc>
        <w:tc>
          <w:tcPr>
            <w:tcW w:w="1275" w:type="dxa"/>
            <w:tcBorders>
              <w:top w:val="single" w:sz="6" w:space="0" w:color="000000"/>
              <w:bottom w:val="single" w:sz="6" w:space="0" w:color="000000"/>
            </w:tcBorders>
            <w:shd w:val="clear" w:color="auto" w:fill="BEBEBE"/>
          </w:tcPr>
          <w:p w14:paraId="24CF0379" w14:textId="77777777" w:rsidR="00AC6F3C" w:rsidRDefault="00570E88">
            <w:pPr>
              <w:pStyle w:val="TableParagraph"/>
              <w:spacing w:before="41"/>
              <w:ind w:right="53"/>
              <w:jc w:val="right"/>
              <w:rPr>
                <w:b/>
                <w:sz w:val="18"/>
              </w:rPr>
            </w:pPr>
            <w:r>
              <w:rPr>
                <w:b/>
                <w:spacing w:val="-2"/>
                <w:sz w:val="18"/>
              </w:rPr>
              <w:t>27,761</w:t>
            </w:r>
          </w:p>
        </w:tc>
        <w:tc>
          <w:tcPr>
            <w:tcW w:w="1210" w:type="dxa"/>
            <w:tcBorders>
              <w:top w:val="single" w:sz="6" w:space="0" w:color="000000"/>
              <w:bottom w:val="single" w:sz="6" w:space="0" w:color="000000"/>
            </w:tcBorders>
            <w:shd w:val="clear" w:color="auto" w:fill="BEBEBE"/>
          </w:tcPr>
          <w:p w14:paraId="34C50E4D" w14:textId="77777777" w:rsidR="00AC6F3C" w:rsidRDefault="00570E88">
            <w:pPr>
              <w:pStyle w:val="TableParagraph"/>
              <w:spacing w:before="41"/>
              <w:ind w:right="20"/>
              <w:jc w:val="right"/>
              <w:rPr>
                <w:b/>
                <w:sz w:val="18"/>
              </w:rPr>
            </w:pPr>
            <w:r>
              <w:rPr>
                <w:b/>
                <w:spacing w:val="-2"/>
                <w:sz w:val="18"/>
              </w:rPr>
              <w:t>37,392</w:t>
            </w:r>
          </w:p>
        </w:tc>
        <w:tc>
          <w:tcPr>
            <w:tcW w:w="1250" w:type="dxa"/>
            <w:tcBorders>
              <w:top w:val="single" w:sz="6" w:space="0" w:color="000000"/>
              <w:bottom w:val="single" w:sz="6" w:space="0" w:color="000000"/>
              <w:right w:val="single" w:sz="6" w:space="0" w:color="000000"/>
            </w:tcBorders>
            <w:shd w:val="clear" w:color="auto" w:fill="BEBEBE"/>
          </w:tcPr>
          <w:p w14:paraId="06C2758B" w14:textId="77777777" w:rsidR="00AC6F3C" w:rsidRDefault="00570E88">
            <w:pPr>
              <w:pStyle w:val="TableParagraph"/>
              <w:spacing w:before="41"/>
              <w:ind w:right="19"/>
              <w:jc w:val="right"/>
              <w:rPr>
                <w:b/>
                <w:sz w:val="18"/>
              </w:rPr>
            </w:pPr>
            <w:r>
              <w:rPr>
                <w:b/>
                <w:spacing w:val="-2"/>
                <w:sz w:val="18"/>
              </w:rPr>
              <w:t>65,153</w:t>
            </w:r>
          </w:p>
        </w:tc>
      </w:tr>
    </w:tbl>
    <w:p w14:paraId="1CF72D6C" w14:textId="77777777" w:rsidR="00AC6F3C" w:rsidRDefault="00AC6F3C">
      <w:pPr>
        <w:pStyle w:val="BodyText"/>
      </w:pPr>
    </w:p>
    <w:p w14:paraId="5196411B" w14:textId="77777777" w:rsidR="00AC6F3C" w:rsidRDefault="00AC6F3C">
      <w:pPr>
        <w:pStyle w:val="BodyText"/>
      </w:pPr>
    </w:p>
    <w:p w14:paraId="0C4C7D7B" w14:textId="77777777" w:rsidR="00AC6F3C" w:rsidRDefault="00AC6F3C">
      <w:pPr>
        <w:pStyle w:val="BodyText"/>
      </w:pPr>
    </w:p>
    <w:p w14:paraId="6D7694E6" w14:textId="77777777" w:rsidR="00AC6F3C" w:rsidRDefault="00AC6F3C">
      <w:pPr>
        <w:pStyle w:val="BodyText"/>
      </w:pPr>
    </w:p>
    <w:p w14:paraId="793B24C0" w14:textId="77777777" w:rsidR="00AC6F3C" w:rsidRDefault="00AC6F3C">
      <w:pPr>
        <w:pStyle w:val="BodyText"/>
      </w:pPr>
    </w:p>
    <w:p w14:paraId="6CFDDAD9" w14:textId="77777777" w:rsidR="00AC6F3C" w:rsidRDefault="00AC6F3C">
      <w:pPr>
        <w:pStyle w:val="BodyText"/>
      </w:pPr>
    </w:p>
    <w:p w14:paraId="61C1B5D5" w14:textId="77777777" w:rsidR="00AC6F3C" w:rsidRDefault="00AC6F3C">
      <w:pPr>
        <w:pStyle w:val="BodyText"/>
      </w:pPr>
    </w:p>
    <w:p w14:paraId="5F69A815" w14:textId="77777777" w:rsidR="00AC6F3C" w:rsidRDefault="00AC6F3C">
      <w:pPr>
        <w:pStyle w:val="BodyText"/>
      </w:pPr>
    </w:p>
    <w:p w14:paraId="7362298F" w14:textId="77777777" w:rsidR="00AC6F3C" w:rsidRDefault="00AC6F3C">
      <w:pPr>
        <w:pStyle w:val="BodyText"/>
      </w:pPr>
    </w:p>
    <w:p w14:paraId="17E13D6D" w14:textId="77777777" w:rsidR="00AC6F3C" w:rsidRDefault="00AC6F3C">
      <w:pPr>
        <w:pStyle w:val="BodyText"/>
        <w:spacing w:before="7"/>
        <w:rPr>
          <w:sz w:val="24"/>
        </w:rPr>
      </w:pPr>
    </w:p>
    <w:p w14:paraId="36FE366C" w14:textId="77777777" w:rsidR="00AC6F3C" w:rsidRDefault="00570E88">
      <w:pPr>
        <w:spacing w:before="94"/>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517A8D13" w14:textId="77777777" w:rsidR="00AC6F3C" w:rsidRDefault="00AC6F3C">
      <w:pPr>
        <w:rPr>
          <w:sz w:val="18"/>
        </w:rPr>
        <w:sectPr w:rsidR="00AC6F3C">
          <w:pgSz w:w="11910" w:h="16840"/>
          <w:pgMar w:top="1580" w:right="1160" w:bottom="520" w:left="460" w:header="1297" w:footer="336" w:gutter="0"/>
          <w:cols w:space="720"/>
        </w:sectPr>
      </w:pPr>
    </w:p>
    <w:p w14:paraId="6582E273" w14:textId="77777777" w:rsidR="00AC6F3C" w:rsidRDefault="00570E88">
      <w:pPr>
        <w:ind w:left="958"/>
      </w:pPr>
      <w:r>
        <w:lastRenderedPageBreak/>
        <w:t>Statement</w:t>
      </w:r>
      <w:r>
        <w:rPr>
          <w:spacing w:val="-6"/>
        </w:rPr>
        <w:t xml:space="preserve"> </w:t>
      </w:r>
      <w:r>
        <w:t>of</w:t>
      </w:r>
      <w:r>
        <w:rPr>
          <w:spacing w:val="-3"/>
        </w:rPr>
        <w:t xml:space="preserve"> </w:t>
      </w:r>
      <w:r>
        <w:t>Cash</w:t>
      </w:r>
      <w:r>
        <w:rPr>
          <w:spacing w:val="-4"/>
        </w:rPr>
        <w:t xml:space="preserve"> </w:t>
      </w:r>
      <w:r>
        <w:t>Flows</w:t>
      </w:r>
      <w:r>
        <w:rPr>
          <w:spacing w:val="-2"/>
        </w:rPr>
        <w:t xml:space="preserve"> </w:t>
      </w:r>
      <w:r>
        <w:t>for</w:t>
      </w:r>
      <w:r>
        <w:rPr>
          <w:spacing w:val="-5"/>
        </w:rPr>
        <w:t xml:space="preserve"> </w:t>
      </w:r>
      <w:r>
        <w:t>the</w:t>
      </w:r>
      <w:r>
        <w:rPr>
          <w:spacing w:val="-3"/>
        </w:rPr>
        <w:t xml:space="preserve"> </w:t>
      </w:r>
      <w:r>
        <w:t>year</w:t>
      </w:r>
      <w:r>
        <w:rPr>
          <w:spacing w:val="-4"/>
        </w:rPr>
        <w:t xml:space="preserve"> </w:t>
      </w:r>
      <w:r>
        <w:t>ended</w:t>
      </w:r>
      <w:r>
        <w:rPr>
          <w:spacing w:val="-4"/>
        </w:rPr>
        <w:t xml:space="preserve"> </w:t>
      </w:r>
      <w:r>
        <w:t>30</w:t>
      </w:r>
      <w:r>
        <w:rPr>
          <w:spacing w:val="-5"/>
        </w:rPr>
        <w:t xml:space="preserve"> </w:t>
      </w:r>
      <w:r>
        <w:t>June</w:t>
      </w:r>
      <w:r>
        <w:rPr>
          <w:spacing w:val="-3"/>
        </w:rPr>
        <w:t xml:space="preserve"> </w:t>
      </w:r>
      <w:r>
        <w:rPr>
          <w:spacing w:val="-4"/>
        </w:rPr>
        <w:t>2023</w:t>
      </w:r>
    </w:p>
    <w:p w14:paraId="693639BB" w14:textId="77777777" w:rsidR="00AC6F3C" w:rsidRDefault="00570E88">
      <w:pPr>
        <w:pStyle w:val="BodyText"/>
        <w:spacing w:before="8"/>
        <w:rPr>
          <w:sz w:val="18"/>
        </w:rPr>
      </w:pPr>
      <w:r>
        <w:rPr>
          <w:noProof/>
        </w:rPr>
        <mc:AlternateContent>
          <mc:Choice Requires="wps">
            <w:drawing>
              <wp:anchor distT="0" distB="0" distL="0" distR="0" simplePos="0" relativeHeight="487678976" behindDoc="1" locked="0" layoutInCell="1" allowOverlap="1" wp14:anchorId="576DB73A" wp14:editId="271B10A0">
                <wp:simplePos x="0" y="0"/>
                <wp:positionH relativeFrom="page">
                  <wp:posOffset>882330</wp:posOffset>
                </wp:positionH>
                <wp:positionV relativeFrom="paragraph">
                  <wp:posOffset>151896</wp:posOffset>
                </wp:positionV>
                <wp:extent cx="5796915" cy="635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863" y="6094"/>
                              </a:moveTo>
                              <a:lnTo>
                                <a:pt x="0" y="6094"/>
                              </a:lnTo>
                              <a:lnTo>
                                <a:pt x="0" y="0"/>
                              </a:lnTo>
                              <a:lnTo>
                                <a:pt x="5796863" y="0"/>
                              </a:lnTo>
                              <a:lnTo>
                                <a:pt x="5796863"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EE1A7E" id="Graphic 738" o:spid="_x0000_s1026" style="position:absolute;margin-left:69.45pt;margin-top:11.95pt;width:456.45pt;height:.5pt;z-index:-15637504;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" path="m5796863,6094l,6094,,,5796863,r,6094xe" fillcolor="black" stroked="f">
                <v:path arrowok="t"/>
                <w10:wrap type="topAndBottom" anchorx="page"/>
              </v:shape>
            </w:pict>
          </mc:Fallback>
        </mc:AlternateContent>
      </w:r>
    </w:p>
    <w:p w14:paraId="6051A09C" w14:textId="77777777" w:rsidR="00AC6F3C" w:rsidRDefault="00AC6F3C">
      <w:pPr>
        <w:pStyle w:val="BodyText"/>
      </w:pPr>
    </w:p>
    <w:p w14:paraId="368B6D2B" w14:textId="77777777" w:rsidR="00AC6F3C" w:rsidRDefault="00AC6F3C">
      <w:pPr>
        <w:pStyle w:val="BodyText"/>
      </w:pPr>
    </w:p>
    <w:p w14:paraId="1DE7E510" w14:textId="77777777" w:rsidR="00AC6F3C" w:rsidRDefault="00AC6F3C">
      <w:pPr>
        <w:pStyle w:val="BodyText"/>
        <w:spacing w:before="1"/>
        <w:rPr>
          <w:sz w:val="15"/>
        </w:rPr>
      </w:pPr>
    </w:p>
    <w:tbl>
      <w:tblPr>
        <w:tblW w:w="0" w:type="auto"/>
        <w:tblInd w:w="972" w:type="dxa"/>
        <w:tblLayout w:type="fixed"/>
        <w:tblCellMar>
          <w:left w:w="0" w:type="dxa"/>
          <w:right w:w="0" w:type="dxa"/>
        </w:tblCellMar>
        <w:tblLook w:val="01E0" w:firstRow="1" w:lastRow="1" w:firstColumn="1" w:lastColumn="1" w:noHBand="0" w:noVBand="0"/>
      </w:tblPr>
      <w:tblGrid>
        <w:gridCol w:w="3756"/>
        <w:gridCol w:w="810"/>
        <w:gridCol w:w="1132"/>
        <w:gridCol w:w="1102"/>
        <w:gridCol w:w="1132"/>
        <w:gridCol w:w="1110"/>
      </w:tblGrid>
      <w:tr w:rsidR="00AC6F3C" w14:paraId="665807FC" w14:textId="77777777">
        <w:trPr>
          <w:trHeight w:val="893"/>
        </w:trPr>
        <w:tc>
          <w:tcPr>
            <w:tcW w:w="9042" w:type="dxa"/>
            <w:gridSpan w:val="6"/>
            <w:tcBorders>
              <w:top w:val="single" w:sz="6" w:space="0" w:color="000000"/>
              <w:left w:val="single" w:sz="6" w:space="0" w:color="000000"/>
              <w:bottom w:val="single" w:sz="6" w:space="0" w:color="000000"/>
              <w:right w:val="single" w:sz="6" w:space="0" w:color="000000"/>
            </w:tcBorders>
            <w:shd w:val="clear" w:color="auto" w:fill="BEBEBE"/>
          </w:tcPr>
          <w:p w14:paraId="644B5381" w14:textId="77777777" w:rsidR="00AC6F3C" w:rsidRDefault="00570E88">
            <w:pPr>
              <w:pStyle w:val="TableParagraph"/>
              <w:tabs>
                <w:tab w:val="left" w:pos="7380"/>
              </w:tabs>
              <w:spacing w:before="39"/>
              <w:ind w:left="5131"/>
              <w:rPr>
                <w:b/>
                <w:sz w:val="18"/>
              </w:rPr>
            </w:pPr>
            <w:r>
              <w:rPr>
                <w:b/>
                <w:spacing w:val="-2"/>
                <w:sz w:val="18"/>
              </w:rPr>
              <w:t>Consolidated</w:t>
            </w:r>
            <w:r>
              <w:rPr>
                <w:b/>
                <w:sz w:val="18"/>
              </w:rPr>
              <w:tab/>
              <w:t>Parent</w:t>
            </w:r>
            <w:r>
              <w:rPr>
                <w:b/>
                <w:spacing w:val="-6"/>
                <w:sz w:val="18"/>
              </w:rPr>
              <w:t xml:space="preserve"> </w:t>
            </w:r>
            <w:r>
              <w:rPr>
                <w:b/>
                <w:spacing w:val="-2"/>
                <w:sz w:val="18"/>
              </w:rPr>
              <w:t>Entity</w:t>
            </w:r>
          </w:p>
          <w:p w14:paraId="38CF5AA6" w14:textId="77777777" w:rsidR="00AC6F3C" w:rsidRDefault="00570E88">
            <w:pPr>
              <w:pStyle w:val="TableParagraph"/>
              <w:tabs>
                <w:tab w:val="left" w:pos="5235"/>
                <w:tab w:val="left" w:pos="6352"/>
                <w:tab w:val="left" w:pos="7470"/>
                <w:tab w:val="right" w:pos="9004"/>
              </w:tabs>
              <w:spacing w:before="106"/>
              <w:ind w:left="3880"/>
              <w:rPr>
                <w:b/>
                <w:sz w:val="18"/>
              </w:rPr>
            </w:pPr>
            <w:r>
              <w:rPr>
                <w:b/>
                <w:spacing w:val="-4"/>
                <w:sz w:val="18"/>
              </w:rPr>
              <w:t>NOTE</w:t>
            </w:r>
            <w:r>
              <w:rPr>
                <w:b/>
                <w:sz w:val="18"/>
              </w:rPr>
              <w:tab/>
            </w:r>
            <w:r>
              <w:rPr>
                <w:b/>
                <w:spacing w:val="-4"/>
                <w:sz w:val="18"/>
              </w:rPr>
              <w:t>2023</w:t>
            </w:r>
            <w:r>
              <w:rPr>
                <w:b/>
                <w:sz w:val="18"/>
              </w:rPr>
              <w:tab/>
            </w:r>
            <w:r>
              <w:rPr>
                <w:b/>
                <w:spacing w:val="-4"/>
                <w:sz w:val="18"/>
              </w:rPr>
              <w:t>2022</w:t>
            </w:r>
            <w:r>
              <w:rPr>
                <w:b/>
                <w:sz w:val="18"/>
              </w:rPr>
              <w:tab/>
            </w:r>
            <w:r>
              <w:rPr>
                <w:b/>
                <w:spacing w:val="-4"/>
                <w:sz w:val="18"/>
              </w:rPr>
              <w:t>2023</w:t>
            </w:r>
            <w:r>
              <w:rPr>
                <w:b/>
                <w:sz w:val="18"/>
              </w:rPr>
              <w:tab/>
            </w:r>
            <w:r>
              <w:rPr>
                <w:b/>
                <w:spacing w:val="-4"/>
                <w:sz w:val="18"/>
              </w:rPr>
              <w:t>2022</w:t>
            </w:r>
          </w:p>
          <w:p w14:paraId="05D56388" w14:textId="77777777" w:rsidR="00AC6F3C" w:rsidRDefault="00570E88">
            <w:pPr>
              <w:pStyle w:val="TableParagraph"/>
              <w:tabs>
                <w:tab w:val="left" w:pos="6308"/>
                <w:tab w:val="left" w:pos="7425"/>
                <w:tab w:val="left" w:pos="8542"/>
              </w:tabs>
              <w:spacing w:before="91"/>
              <w:ind w:left="5191"/>
              <w:rPr>
                <w:b/>
                <w:sz w:val="18"/>
              </w:rPr>
            </w:pPr>
            <w:r>
              <w:rPr>
                <w:b/>
                <w:spacing w:val="-2"/>
                <w:sz w:val="18"/>
              </w:rPr>
              <w:t>$’000</w:t>
            </w:r>
            <w:r>
              <w:rPr>
                <w:b/>
                <w:sz w:val="18"/>
              </w:rPr>
              <w:tab/>
            </w:r>
            <w:r>
              <w:rPr>
                <w:b/>
                <w:spacing w:val="-2"/>
                <w:sz w:val="18"/>
              </w:rPr>
              <w:t>$’000</w:t>
            </w:r>
            <w:r>
              <w:rPr>
                <w:b/>
                <w:sz w:val="18"/>
              </w:rPr>
              <w:tab/>
            </w:r>
            <w:r>
              <w:rPr>
                <w:b/>
                <w:spacing w:val="-4"/>
                <w:sz w:val="18"/>
              </w:rPr>
              <w:t>$’000</w:t>
            </w:r>
            <w:r>
              <w:rPr>
                <w:b/>
                <w:sz w:val="18"/>
              </w:rPr>
              <w:tab/>
            </w:r>
            <w:r>
              <w:rPr>
                <w:b/>
                <w:spacing w:val="-2"/>
                <w:sz w:val="18"/>
              </w:rPr>
              <w:t>$’000</w:t>
            </w:r>
          </w:p>
        </w:tc>
      </w:tr>
      <w:tr w:rsidR="00AC6F3C" w14:paraId="4EA4C4F1" w14:textId="77777777">
        <w:trPr>
          <w:trHeight w:val="295"/>
        </w:trPr>
        <w:tc>
          <w:tcPr>
            <w:tcW w:w="3756" w:type="dxa"/>
            <w:tcBorders>
              <w:top w:val="single" w:sz="6" w:space="0" w:color="000000"/>
              <w:left w:val="single" w:sz="6" w:space="0" w:color="000000"/>
            </w:tcBorders>
          </w:tcPr>
          <w:p w14:paraId="5A37357F" w14:textId="77777777" w:rsidR="00AC6F3C" w:rsidRDefault="00570E88">
            <w:pPr>
              <w:pStyle w:val="TableParagraph"/>
              <w:spacing w:before="39"/>
              <w:ind w:left="37"/>
              <w:rPr>
                <w:b/>
                <w:sz w:val="18"/>
              </w:rPr>
            </w:pPr>
            <w:r>
              <w:rPr>
                <w:b/>
                <w:spacing w:val="-2"/>
                <w:sz w:val="18"/>
              </w:rPr>
              <w:t>Cash</w:t>
            </w:r>
            <w:r>
              <w:rPr>
                <w:b/>
                <w:spacing w:val="-10"/>
                <w:sz w:val="18"/>
              </w:rPr>
              <w:t xml:space="preserve"> </w:t>
            </w:r>
            <w:r>
              <w:rPr>
                <w:b/>
                <w:spacing w:val="-2"/>
                <w:sz w:val="18"/>
              </w:rPr>
              <w:t>flows</w:t>
            </w:r>
            <w:r>
              <w:rPr>
                <w:b/>
                <w:spacing w:val="1"/>
                <w:sz w:val="18"/>
              </w:rPr>
              <w:t xml:space="preserve"> </w:t>
            </w:r>
            <w:r>
              <w:rPr>
                <w:b/>
                <w:spacing w:val="-2"/>
                <w:sz w:val="18"/>
              </w:rPr>
              <w:t>from</w:t>
            </w:r>
            <w:r>
              <w:rPr>
                <w:b/>
                <w:spacing w:val="2"/>
                <w:sz w:val="18"/>
              </w:rPr>
              <w:t xml:space="preserve"> </w:t>
            </w:r>
            <w:r>
              <w:rPr>
                <w:b/>
                <w:spacing w:val="-2"/>
                <w:sz w:val="18"/>
              </w:rPr>
              <w:t>operating</w:t>
            </w:r>
            <w:r>
              <w:rPr>
                <w:b/>
                <w:spacing w:val="-10"/>
                <w:sz w:val="18"/>
              </w:rPr>
              <w:t xml:space="preserve"> </w:t>
            </w:r>
            <w:r>
              <w:rPr>
                <w:b/>
                <w:spacing w:val="-2"/>
                <w:sz w:val="18"/>
              </w:rPr>
              <w:t>activities</w:t>
            </w:r>
          </w:p>
        </w:tc>
        <w:tc>
          <w:tcPr>
            <w:tcW w:w="810" w:type="dxa"/>
            <w:tcBorders>
              <w:top w:val="single" w:sz="6" w:space="0" w:color="000000"/>
            </w:tcBorders>
          </w:tcPr>
          <w:p w14:paraId="130C3902" w14:textId="77777777" w:rsidR="00AC6F3C" w:rsidRDefault="00AC6F3C">
            <w:pPr>
              <w:pStyle w:val="TableParagraph"/>
              <w:rPr>
                <w:rFonts w:ascii="Times New Roman"/>
                <w:sz w:val="18"/>
              </w:rPr>
            </w:pPr>
          </w:p>
        </w:tc>
        <w:tc>
          <w:tcPr>
            <w:tcW w:w="1132" w:type="dxa"/>
            <w:tcBorders>
              <w:top w:val="single" w:sz="6" w:space="0" w:color="000000"/>
            </w:tcBorders>
            <w:shd w:val="clear" w:color="auto" w:fill="F1F1F1"/>
          </w:tcPr>
          <w:p w14:paraId="56F3BC78" w14:textId="77777777" w:rsidR="00AC6F3C" w:rsidRDefault="00AC6F3C">
            <w:pPr>
              <w:pStyle w:val="TableParagraph"/>
              <w:rPr>
                <w:rFonts w:ascii="Times New Roman"/>
                <w:sz w:val="18"/>
              </w:rPr>
            </w:pPr>
          </w:p>
        </w:tc>
        <w:tc>
          <w:tcPr>
            <w:tcW w:w="1102" w:type="dxa"/>
            <w:tcBorders>
              <w:top w:val="single" w:sz="6" w:space="0" w:color="000000"/>
            </w:tcBorders>
          </w:tcPr>
          <w:p w14:paraId="5F923104" w14:textId="77777777" w:rsidR="00AC6F3C" w:rsidRDefault="00AC6F3C">
            <w:pPr>
              <w:pStyle w:val="TableParagraph"/>
              <w:rPr>
                <w:rFonts w:ascii="Times New Roman"/>
                <w:sz w:val="18"/>
              </w:rPr>
            </w:pPr>
          </w:p>
        </w:tc>
        <w:tc>
          <w:tcPr>
            <w:tcW w:w="1132" w:type="dxa"/>
            <w:tcBorders>
              <w:top w:val="single" w:sz="6" w:space="0" w:color="000000"/>
            </w:tcBorders>
            <w:shd w:val="clear" w:color="auto" w:fill="F1F1F1"/>
          </w:tcPr>
          <w:p w14:paraId="066F561A" w14:textId="77777777" w:rsidR="00AC6F3C" w:rsidRDefault="00AC6F3C">
            <w:pPr>
              <w:pStyle w:val="TableParagraph"/>
              <w:rPr>
                <w:rFonts w:ascii="Times New Roman"/>
                <w:sz w:val="18"/>
              </w:rPr>
            </w:pPr>
          </w:p>
        </w:tc>
        <w:tc>
          <w:tcPr>
            <w:tcW w:w="1110" w:type="dxa"/>
            <w:tcBorders>
              <w:top w:val="single" w:sz="6" w:space="0" w:color="000000"/>
              <w:right w:val="single" w:sz="6" w:space="0" w:color="000000"/>
            </w:tcBorders>
          </w:tcPr>
          <w:p w14:paraId="7846C948" w14:textId="77777777" w:rsidR="00AC6F3C" w:rsidRDefault="00AC6F3C">
            <w:pPr>
              <w:pStyle w:val="TableParagraph"/>
              <w:rPr>
                <w:rFonts w:ascii="Times New Roman"/>
                <w:sz w:val="18"/>
              </w:rPr>
            </w:pPr>
          </w:p>
        </w:tc>
      </w:tr>
      <w:tr w:rsidR="00AC6F3C" w14:paraId="51EFAFA4" w14:textId="77777777">
        <w:trPr>
          <w:trHeight w:val="297"/>
        </w:trPr>
        <w:tc>
          <w:tcPr>
            <w:tcW w:w="3756" w:type="dxa"/>
            <w:tcBorders>
              <w:left w:val="single" w:sz="6" w:space="0" w:color="000000"/>
            </w:tcBorders>
          </w:tcPr>
          <w:p w14:paraId="22244012" w14:textId="77777777" w:rsidR="00AC6F3C" w:rsidRDefault="00570E88">
            <w:pPr>
              <w:pStyle w:val="TableParagraph"/>
              <w:spacing w:before="42"/>
              <w:ind w:left="37"/>
              <w:rPr>
                <w:sz w:val="18"/>
              </w:rPr>
            </w:pPr>
            <w:r>
              <w:rPr>
                <w:sz w:val="18"/>
              </w:rPr>
              <w:t>Receipts</w:t>
            </w:r>
            <w:r>
              <w:rPr>
                <w:spacing w:val="8"/>
                <w:sz w:val="18"/>
              </w:rPr>
              <w:t xml:space="preserve"> </w:t>
            </w:r>
            <w:r>
              <w:rPr>
                <w:sz w:val="18"/>
              </w:rPr>
              <w:t>from</w:t>
            </w:r>
            <w:r>
              <w:rPr>
                <w:spacing w:val="9"/>
                <w:sz w:val="18"/>
              </w:rPr>
              <w:t xml:space="preserve"> </w:t>
            </w:r>
            <w:r>
              <w:rPr>
                <w:sz w:val="18"/>
              </w:rPr>
              <w:t>the</w:t>
            </w:r>
            <w:r>
              <w:rPr>
                <w:spacing w:val="-1"/>
                <w:sz w:val="18"/>
              </w:rPr>
              <w:t xml:space="preserve"> </w:t>
            </w:r>
            <w:r>
              <w:rPr>
                <w:spacing w:val="-2"/>
                <w:sz w:val="18"/>
              </w:rPr>
              <w:t>profession</w:t>
            </w:r>
          </w:p>
        </w:tc>
        <w:tc>
          <w:tcPr>
            <w:tcW w:w="810" w:type="dxa"/>
          </w:tcPr>
          <w:p w14:paraId="63BAC94E" w14:textId="77777777" w:rsidR="00AC6F3C" w:rsidRDefault="00AC6F3C">
            <w:pPr>
              <w:pStyle w:val="TableParagraph"/>
              <w:rPr>
                <w:rFonts w:ascii="Times New Roman"/>
                <w:sz w:val="18"/>
              </w:rPr>
            </w:pPr>
          </w:p>
        </w:tc>
        <w:tc>
          <w:tcPr>
            <w:tcW w:w="1132" w:type="dxa"/>
            <w:shd w:val="clear" w:color="auto" w:fill="F1F1F1"/>
          </w:tcPr>
          <w:p w14:paraId="0FC99C37" w14:textId="77777777" w:rsidR="00AC6F3C" w:rsidRDefault="00570E88">
            <w:pPr>
              <w:pStyle w:val="TableParagraph"/>
              <w:spacing w:before="42"/>
              <w:ind w:right="35"/>
              <w:jc w:val="right"/>
              <w:rPr>
                <w:sz w:val="18"/>
              </w:rPr>
            </w:pPr>
            <w:r>
              <w:rPr>
                <w:spacing w:val="-2"/>
                <w:sz w:val="18"/>
              </w:rPr>
              <w:t>42,630</w:t>
            </w:r>
          </w:p>
        </w:tc>
        <w:tc>
          <w:tcPr>
            <w:tcW w:w="1102" w:type="dxa"/>
          </w:tcPr>
          <w:p w14:paraId="447AAC84" w14:textId="77777777" w:rsidR="00AC6F3C" w:rsidRDefault="00570E88">
            <w:pPr>
              <w:pStyle w:val="TableParagraph"/>
              <w:spacing w:before="42"/>
              <w:ind w:right="20"/>
              <w:jc w:val="right"/>
              <w:rPr>
                <w:sz w:val="18"/>
              </w:rPr>
            </w:pPr>
            <w:r>
              <w:rPr>
                <w:spacing w:val="-2"/>
                <w:sz w:val="18"/>
              </w:rPr>
              <w:t>48,670</w:t>
            </w:r>
          </w:p>
        </w:tc>
        <w:tc>
          <w:tcPr>
            <w:tcW w:w="1132" w:type="dxa"/>
            <w:shd w:val="clear" w:color="auto" w:fill="F1F1F1"/>
          </w:tcPr>
          <w:p w14:paraId="3139292F" w14:textId="77777777" w:rsidR="00AC6F3C" w:rsidRDefault="00570E88">
            <w:pPr>
              <w:pStyle w:val="TableParagraph"/>
              <w:spacing w:before="42"/>
              <w:ind w:right="35"/>
              <w:jc w:val="right"/>
              <w:rPr>
                <w:sz w:val="18"/>
              </w:rPr>
            </w:pPr>
            <w:r>
              <w:rPr>
                <w:spacing w:val="-2"/>
                <w:sz w:val="18"/>
              </w:rPr>
              <w:t>20,604</w:t>
            </w:r>
          </w:p>
        </w:tc>
        <w:tc>
          <w:tcPr>
            <w:tcW w:w="1110" w:type="dxa"/>
            <w:tcBorders>
              <w:right w:val="single" w:sz="6" w:space="0" w:color="000000"/>
            </w:tcBorders>
          </w:tcPr>
          <w:p w14:paraId="78EDB2C2" w14:textId="77777777" w:rsidR="00AC6F3C" w:rsidRDefault="00570E88">
            <w:pPr>
              <w:pStyle w:val="TableParagraph"/>
              <w:spacing w:before="42"/>
              <w:ind w:right="20"/>
              <w:jc w:val="right"/>
              <w:rPr>
                <w:sz w:val="18"/>
              </w:rPr>
            </w:pPr>
            <w:r>
              <w:rPr>
                <w:spacing w:val="-2"/>
                <w:sz w:val="18"/>
              </w:rPr>
              <w:t>19,926</w:t>
            </w:r>
          </w:p>
        </w:tc>
      </w:tr>
      <w:tr w:rsidR="00AC6F3C" w14:paraId="39419137" w14:textId="77777777">
        <w:trPr>
          <w:trHeight w:val="297"/>
        </w:trPr>
        <w:tc>
          <w:tcPr>
            <w:tcW w:w="3756" w:type="dxa"/>
            <w:tcBorders>
              <w:left w:val="single" w:sz="6" w:space="0" w:color="000000"/>
            </w:tcBorders>
          </w:tcPr>
          <w:p w14:paraId="73320775" w14:textId="77777777" w:rsidR="00AC6F3C" w:rsidRDefault="00570E88">
            <w:pPr>
              <w:pStyle w:val="TableParagraph"/>
              <w:spacing w:before="42"/>
              <w:ind w:left="37"/>
              <w:rPr>
                <w:sz w:val="18"/>
              </w:rPr>
            </w:pPr>
            <w:r>
              <w:rPr>
                <w:sz w:val="18"/>
              </w:rPr>
              <w:t>Receipts</w:t>
            </w:r>
            <w:r>
              <w:rPr>
                <w:spacing w:val="26"/>
                <w:sz w:val="18"/>
              </w:rPr>
              <w:t xml:space="preserve"> </w:t>
            </w:r>
            <w:r>
              <w:rPr>
                <w:sz w:val="18"/>
              </w:rPr>
              <w:t>from</w:t>
            </w:r>
            <w:r>
              <w:rPr>
                <w:spacing w:val="28"/>
                <w:sz w:val="18"/>
              </w:rPr>
              <w:t xml:space="preserve"> </w:t>
            </w:r>
            <w:r>
              <w:rPr>
                <w:sz w:val="18"/>
              </w:rPr>
              <w:t>commissions</w:t>
            </w:r>
            <w:r>
              <w:rPr>
                <w:spacing w:val="28"/>
                <w:sz w:val="18"/>
              </w:rPr>
              <w:t xml:space="preserve"> </w:t>
            </w:r>
            <w:r>
              <w:rPr>
                <w:sz w:val="18"/>
              </w:rPr>
              <w:t>and</w:t>
            </w:r>
            <w:r>
              <w:rPr>
                <w:spacing w:val="16"/>
                <w:sz w:val="18"/>
              </w:rPr>
              <w:t xml:space="preserve"> </w:t>
            </w:r>
            <w:r>
              <w:rPr>
                <w:spacing w:val="-2"/>
                <w:sz w:val="18"/>
              </w:rPr>
              <w:t>funding</w:t>
            </w:r>
          </w:p>
        </w:tc>
        <w:tc>
          <w:tcPr>
            <w:tcW w:w="810" w:type="dxa"/>
          </w:tcPr>
          <w:p w14:paraId="61550E62" w14:textId="77777777" w:rsidR="00AC6F3C" w:rsidRDefault="00AC6F3C">
            <w:pPr>
              <w:pStyle w:val="TableParagraph"/>
              <w:rPr>
                <w:rFonts w:ascii="Times New Roman"/>
                <w:sz w:val="18"/>
              </w:rPr>
            </w:pPr>
          </w:p>
        </w:tc>
        <w:tc>
          <w:tcPr>
            <w:tcW w:w="1132" w:type="dxa"/>
            <w:shd w:val="clear" w:color="auto" w:fill="F1F1F1"/>
          </w:tcPr>
          <w:p w14:paraId="1715C19C" w14:textId="77777777" w:rsidR="00AC6F3C" w:rsidRDefault="00570E88">
            <w:pPr>
              <w:pStyle w:val="TableParagraph"/>
              <w:spacing w:before="42"/>
              <w:ind w:right="35"/>
              <w:jc w:val="right"/>
              <w:rPr>
                <w:sz w:val="18"/>
              </w:rPr>
            </w:pPr>
            <w:r>
              <w:rPr>
                <w:spacing w:val="-2"/>
                <w:sz w:val="18"/>
              </w:rPr>
              <w:t>1,343</w:t>
            </w:r>
          </w:p>
        </w:tc>
        <w:tc>
          <w:tcPr>
            <w:tcW w:w="1102" w:type="dxa"/>
          </w:tcPr>
          <w:p w14:paraId="38B148C0" w14:textId="77777777" w:rsidR="00AC6F3C" w:rsidRDefault="00570E88">
            <w:pPr>
              <w:pStyle w:val="TableParagraph"/>
              <w:spacing w:before="42"/>
              <w:ind w:right="20"/>
              <w:jc w:val="right"/>
              <w:rPr>
                <w:sz w:val="18"/>
              </w:rPr>
            </w:pPr>
            <w:r>
              <w:rPr>
                <w:spacing w:val="-2"/>
                <w:sz w:val="18"/>
              </w:rPr>
              <w:t>1,094</w:t>
            </w:r>
          </w:p>
        </w:tc>
        <w:tc>
          <w:tcPr>
            <w:tcW w:w="1132" w:type="dxa"/>
            <w:shd w:val="clear" w:color="auto" w:fill="F1F1F1"/>
          </w:tcPr>
          <w:p w14:paraId="0440C7BE" w14:textId="77777777" w:rsidR="00AC6F3C" w:rsidRDefault="00570E88">
            <w:pPr>
              <w:pStyle w:val="TableParagraph"/>
              <w:spacing w:before="42"/>
              <w:ind w:right="35"/>
              <w:jc w:val="right"/>
              <w:rPr>
                <w:sz w:val="18"/>
              </w:rPr>
            </w:pPr>
            <w:r>
              <w:rPr>
                <w:spacing w:val="-2"/>
                <w:sz w:val="18"/>
              </w:rPr>
              <w:t>2,335</w:t>
            </w:r>
          </w:p>
        </w:tc>
        <w:tc>
          <w:tcPr>
            <w:tcW w:w="1110" w:type="dxa"/>
            <w:tcBorders>
              <w:right w:val="single" w:sz="6" w:space="0" w:color="000000"/>
            </w:tcBorders>
          </w:tcPr>
          <w:p w14:paraId="443B7D45" w14:textId="77777777" w:rsidR="00AC6F3C" w:rsidRDefault="00570E88">
            <w:pPr>
              <w:pStyle w:val="TableParagraph"/>
              <w:spacing w:before="42"/>
              <w:ind w:right="20"/>
              <w:jc w:val="right"/>
              <w:rPr>
                <w:sz w:val="18"/>
              </w:rPr>
            </w:pPr>
            <w:r>
              <w:rPr>
                <w:spacing w:val="-2"/>
                <w:sz w:val="18"/>
              </w:rPr>
              <w:t>2,085</w:t>
            </w:r>
          </w:p>
        </w:tc>
      </w:tr>
      <w:tr w:rsidR="00AC6F3C" w14:paraId="51FC743F" w14:textId="77777777">
        <w:trPr>
          <w:trHeight w:val="297"/>
        </w:trPr>
        <w:tc>
          <w:tcPr>
            <w:tcW w:w="3756" w:type="dxa"/>
            <w:tcBorders>
              <w:left w:val="single" w:sz="6" w:space="0" w:color="000000"/>
            </w:tcBorders>
          </w:tcPr>
          <w:p w14:paraId="236CB9F5" w14:textId="77777777" w:rsidR="00AC6F3C" w:rsidRDefault="00570E88">
            <w:pPr>
              <w:pStyle w:val="TableParagraph"/>
              <w:spacing w:before="42"/>
              <w:ind w:left="37"/>
              <w:rPr>
                <w:sz w:val="18"/>
              </w:rPr>
            </w:pPr>
            <w:r>
              <w:rPr>
                <w:sz w:val="18"/>
              </w:rPr>
              <w:t>Payments</w:t>
            </w:r>
            <w:r>
              <w:rPr>
                <w:spacing w:val="16"/>
                <w:sz w:val="18"/>
              </w:rPr>
              <w:t xml:space="preserve"> </w:t>
            </w:r>
            <w:r>
              <w:rPr>
                <w:sz w:val="18"/>
              </w:rPr>
              <w:t>to</w:t>
            </w:r>
            <w:r>
              <w:rPr>
                <w:spacing w:val="5"/>
                <w:sz w:val="18"/>
              </w:rPr>
              <w:t xml:space="preserve"> </w:t>
            </w:r>
            <w:r>
              <w:rPr>
                <w:sz w:val="18"/>
              </w:rPr>
              <w:t>suppliers</w:t>
            </w:r>
            <w:r>
              <w:rPr>
                <w:spacing w:val="16"/>
                <w:sz w:val="18"/>
              </w:rPr>
              <w:t xml:space="preserve"> </w:t>
            </w:r>
            <w:r>
              <w:rPr>
                <w:sz w:val="18"/>
              </w:rPr>
              <w:t>and</w:t>
            </w:r>
            <w:r>
              <w:rPr>
                <w:spacing w:val="5"/>
                <w:sz w:val="18"/>
              </w:rPr>
              <w:t xml:space="preserve"> </w:t>
            </w:r>
            <w:r>
              <w:rPr>
                <w:spacing w:val="-2"/>
                <w:sz w:val="18"/>
              </w:rPr>
              <w:t>employees</w:t>
            </w:r>
          </w:p>
        </w:tc>
        <w:tc>
          <w:tcPr>
            <w:tcW w:w="810" w:type="dxa"/>
          </w:tcPr>
          <w:p w14:paraId="1D26B0B7" w14:textId="77777777" w:rsidR="00AC6F3C" w:rsidRDefault="00AC6F3C">
            <w:pPr>
              <w:pStyle w:val="TableParagraph"/>
              <w:rPr>
                <w:rFonts w:ascii="Times New Roman"/>
                <w:sz w:val="18"/>
              </w:rPr>
            </w:pPr>
          </w:p>
        </w:tc>
        <w:tc>
          <w:tcPr>
            <w:tcW w:w="1132" w:type="dxa"/>
            <w:shd w:val="clear" w:color="auto" w:fill="F1F1F1"/>
          </w:tcPr>
          <w:p w14:paraId="7056259C" w14:textId="77777777" w:rsidR="00AC6F3C" w:rsidRDefault="00570E88">
            <w:pPr>
              <w:pStyle w:val="TableParagraph"/>
              <w:spacing w:before="42"/>
              <w:ind w:right="31"/>
              <w:jc w:val="right"/>
              <w:rPr>
                <w:sz w:val="18"/>
              </w:rPr>
            </w:pPr>
            <w:r>
              <w:rPr>
                <w:spacing w:val="-2"/>
                <w:sz w:val="18"/>
              </w:rPr>
              <w:t>(13,326)</w:t>
            </w:r>
          </w:p>
        </w:tc>
        <w:tc>
          <w:tcPr>
            <w:tcW w:w="1102" w:type="dxa"/>
          </w:tcPr>
          <w:p w14:paraId="33EDB64D" w14:textId="77777777" w:rsidR="00AC6F3C" w:rsidRDefault="00570E88">
            <w:pPr>
              <w:pStyle w:val="TableParagraph"/>
              <w:spacing w:before="42"/>
              <w:ind w:right="15"/>
              <w:jc w:val="right"/>
              <w:rPr>
                <w:sz w:val="18"/>
              </w:rPr>
            </w:pPr>
            <w:r>
              <w:rPr>
                <w:spacing w:val="-2"/>
                <w:sz w:val="18"/>
              </w:rPr>
              <w:t>(42,149)</w:t>
            </w:r>
          </w:p>
        </w:tc>
        <w:tc>
          <w:tcPr>
            <w:tcW w:w="1132" w:type="dxa"/>
            <w:shd w:val="clear" w:color="auto" w:fill="F1F1F1"/>
          </w:tcPr>
          <w:p w14:paraId="41777FB7" w14:textId="77777777" w:rsidR="00AC6F3C" w:rsidRDefault="00570E88">
            <w:pPr>
              <w:pStyle w:val="TableParagraph"/>
              <w:spacing w:before="42"/>
              <w:ind w:right="30"/>
              <w:jc w:val="right"/>
              <w:rPr>
                <w:sz w:val="18"/>
              </w:rPr>
            </w:pPr>
            <w:r>
              <w:rPr>
                <w:spacing w:val="-2"/>
                <w:sz w:val="18"/>
              </w:rPr>
              <w:t>(23,082)</w:t>
            </w:r>
          </w:p>
        </w:tc>
        <w:tc>
          <w:tcPr>
            <w:tcW w:w="1110" w:type="dxa"/>
            <w:tcBorders>
              <w:right w:val="single" w:sz="6" w:space="0" w:color="000000"/>
            </w:tcBorders>
          </w:tcPr>
          <w:p w14:paraId="206B5DDC" w14:textId="77777777" w:rsidR="00AC6F3C" w:rsidRDefault="00570E88">
            <w:pPr>
              <w:pStyle w:val="TableParagraph"/>
              <w:spacing w:before="42"/>
              <w:ind w:right="15"/>
              <w:jc w:val="right"/>
              <w:rPr>
                <w:sz w:val="18"/>
              </w:rPr>
            </w:pPr>
            <w:r>
              <w:rPr>
                <w:spacing w:val="-2"/>
                <w:sz w:val="18"/>
              </w:rPr>
              <w:t>(20,293)</w:t>
            </w:r>
          </w:p>
        </w:tc>
      </w:tr>
      <w:tr w:rsidR="00AC6F3C" w14:paraId="6E71D9ED" w14:textId="77777777">
        <w:trPr>
          <w:trHeight w:val="297"/>
        </w:trPr>
        <w:tc>
          <w:tcPr>
            <w:tcW w:w="3756" w:type="dxa"/>
            <w:tcBorders>
              <w:left w:val="single" w:sz="6" w:space="0" w:color="000000"/>
            </w:tcBorders>
          </w:tcPr>
          <w:p w14:paraId="5D047EFC" w14:textId="77777777" w:rsidR="00AC6F3C" w:rsidRDefault="00570E88">
            <w:pPr>
              <w:pStyle w:val="TableParagraph"/>
              <w:spacing w:before="42"/>
              <w:ind w:left="37"/>
              <w:rPr>
                <w:sz w:val="18"/>
              </w:rPr>
            </w:pPr>
            <w:r>
              <w:rPr>
                <w:sz w:val="18"/>
              </w:rPr>
              <w:t>Receipts</w:t>
            </w:r>
            <w:r>
              <w:rPr>
                <w:spacing w:val="13"/>
                <w:sz w:val="18"/>
              </w:rPr>
              <w:t xml:space="preserve"> </w:t>
            </w:r>
            <w:r>
              <w:rPr>
                <w:sz w:val="18"/>
              </w:rPr>
              <w:t>collected</w:t>
            </w:r>
            <w:r>
              <w:rPr>
                <w:spacing w:val="3"/>
                <w:sz w:val="18"/>
              </w:rPr>
              <w:t xml:space="preserve"> </w:t>
            </w:r>
            <w:r>
              <w:rPr>
                <w:sz w:val="18"/>
              </w:rPr>
              <w:t>for</w:t>
            </w:r>
            <w:r>
              <w:rPr>
                <w:spacing w:val="-3"/>
                <w:sz w:val="18"/>
              </w:rPr>
              <w:t xml:space="preserve"> </w:t>
            </w:r>
            <w:r>
              <w:rPr>
                <w:sz w:val="18"/>
              </w:rPr>
              <w:t>Society</w:t>
            </w:r>
            <w:r>
              <w:rPr>
                <w:spacing w:val="-19"/>
                <w:sz w:val="18"/>
              </w:rPr>
              <w:t xml:space="preserve"> </w:t>
            </w:r>
            <w:r>
              <w:rPr>
                <w:spacing w:val="-2"/>
                <w:sz w:val="18"/>
              </w:rPr>
              <w:t>entities</w:t>
            </w:r>
          </w:p>
        </w:tc>
        <w:tc>
          <w:tcPr>
            <w:tcW w:w="810" w:type="dxa"/>
          </w:tcPr>
          <w:p w14:paraId="10886B2F" w14:textId="77777777" w:rsidR="00AC6F3C" w:rsidRDefault="00AC6F3C">
            <w:pPr>
              <w:pStyle w:val="TableParagraph"/>
              <w:rPr>
                <w:rFonts w:ascii="Times New Roman"/>
                <w:sz w:val="18"/>
              </w:rPr>
            </w:pPr>
          </w:p>
        </w:tc>
        <w:tc>
          <w:tcPr>
            <w:tcW w:w="1132" w:type="dxa"/>
            <w:shd w:val="clear" w:color="auto" w:fill="F1F1F1"/>
          </w:tcPr>
          <w:p w14:paraId="5C84912F" w14:textId="77777777" w:rsidR="00AC6F3C" w:rsidRDefault="00570E88">
            <w:pPr>
              <w:pStyle w:val="TableParagraph"/>
              <w:spacing w:before="42"/>
              <w:ind w:right="35"/>
              <w:jc w:val="right"/>
              <w:rPr>
                <w:sz w:val="18"/>
              </w:rPr>
            </w:pPr>
            <w:r>
              <w:rPr>
                <w:w w:val="99"/>
                <w:sz w:val="18"/>
              </w:rPr>
              <w:t>-</w:t>
            </w:r>
          </w:p>
        </w:tc>
        <w:tc>
          <w:tcPr>
            <w:tcW w:w="1102" w:type="dxa"/>
          </w:tcPr>
          <w:p w14:paraId="64C2B13B" w14:textId="77777777" w:rsidR="00AC6F3C" w:rsidRDefault="00570E88">
            <w:pPr>
              <w:pStyle w:val="TableParagraph"/>
              <w:spacing w:before="42"/>
              <w:ind w:right="20"/>
              <w:jc w:val="right"/>
              <w:rPr>
                <w:sz w:val="18"/>
              </w:rPr>
            </w:pPr>
            <w:r>
              <w:rPr>
                <w:w w:val="99"/>
                <w:sz w:val="18"/>
              </w:rPr>
              <w:t>-</w:t>
            </w:r>
          </w:p>
        </w:tc>
        <w:tc>
          <w:tcPr>
            <w:tcW w:w="1132" w:type="dxa"/>
            <w:shd w:val="clear" w:color="auto" w:fill="F1F1F1"/>
          </w:tcPr>
          <w:p w14:paraId="1C1619A0" w14:textId="77777777" w:rsidR="00AC6F3C" w:rsidRDefault="00570E88">
            <w:pPr>
              <w:pStyle w:val="TableParagraph"/>
              <w:spacing w:before="42"/>
              <w:ind w:right="35"/>
              <w:jc w:val="right"/>
              <w:rPr>
                <w:sz w:val="18"/>
              </w:rPr>
            </w:pPr>
            <w:r>
              <w:rPr>
                <w:spacing w:val="-2"/>
                <w:sz w:val="18"/>
              </w:rPr>
              <w:t>30,028</w:t>
            </w:r>
          </w:p>
        </w:tc>
        <w:tc>
          <w:tcPr>
            <w:tcW w:w="1110" w:type="dxa"/>
            <w:tcBorders>
              <w:right w:val="single" w:sz="6" w:space="0" w:color="000000"/>
            </w:tcBorders>
          </w:tcPr>
          <w:p w14:paraId="16E1C5E7" w14:textId="77777777" w:rsidR="00AC6F3C" w:rsidRDefault="00570E88">
            <w:pPr>
              <w:pStyle w:val="TableParagraph"/>
              <w:spacing w:before="42"/>
              <w:ind w:right="20"/>
              <w:jc w:val="right"/>
              <w:rPr>
                <w:sz w:val="18"/>
              </w:rPr>
            </w:pPr>
            <w:r>
              <w:rPr>
                <w:spacing w:val="-2"/>
                <w:sz w:val="18"/>
              </w:rPr>
              <w:t>26,375</w:t>
            </w:r>
          </w:p>
        </w:tc>
      </w:tr>
      <w:tr w:rsidR="00AC6F3C" w14:paraId="141FD94A" w14:textId="77777777">
        <w:trPr>
          <w:trHeight w:val="283"/>
        </w:trPr>
        <w:tc>
          <w:tcPr>
            <w:tcW w:w="3756" w:type="dxa"/>
            <w:tcBorders>
              <w:left w:val="single" w:sz="6" w:space="0" w:color="000000"/>
            </w:tcBorders>
          </w:tcPr>
          <w:p w14:paraId="20C23CFB" w14:textId="77777777" w:rsidR="00AC6F3C" w:rsidRDefault="00570E88">
            <w:pPr>
              <w:pStyle w:val="TableParagraph"/>
              <w:spacing w:before="42"/>
              <w:ind w:left="37"/>
              <w:rPr>
                <w:sz w:val="18"/>
              </w:rPr>
            </w:pPr>
            <w:r>
              <w:rPr>
                <w:sz w:val="18"/>
              </w:rPr>
              <w:t>Payments</w:t>
            </w:r>
            <w:r>
              <w:rPr>
                <w:spacing w:val="2"/>
                <w:sz w:val="18"/>
              </w:rPr>
              <w:t xml:space="preserve"> </w:t>
            </w:r>
            <w:r>
              <w:rPr>
                <w:sz w:val="18"/>
              </w:rPr>
              <w:t>to</w:t>
            </w:r>
            <w:r>
              <w:rPr>
                <w:spacing w:val="-4"/>
                <w:sz w:val="18"/>
              </w:rPr>
              <w:t xml:space="preserve"> </w:t>
            </w:r>
            <w:r>
              <w:rPr>
                <w:sz w:val="18"/>
              </w:rPr>
              <w:t>Society</w:t>
            </w:r>
            <w:r>
              <w:rPr>
                <w:spacing w:val="-21"/>
                <w:sz w:val="18"/>
              </w:rPr>
              <w:t xml:space="preserve"> </w:t>
            </w:r>
            <w:r>
              <w:rPr>
                <w:spacing w:val="-2"/>
                <w:sz w:val="18"/>
              </w:rPr>
              <w:t>entities</w:t>
            </w:r>
          </w:p>
        </w:tc>
        <w:tc>
          <w:tcPr>
            <w:tcW w:w="810" w:type="dxa"/>
          </w:tcPr>
          <w:p w14:paraId="56AA219B" w14:textId="77777777" w:rsidR="00AC6F3C" w:rsidRDefault="00AC6F3C">
            <w:pPr>
              <w:pStyle w:val="TableParagraph"/>
              <w:rPr>
                <w:rFonts w:ascii="Times New Roman"/>
                <w:sz w:val="18"/>
              </w:rPr>
            </w:pPr>
          </w:p>
        </w:tc>
        <w:tc>
          <w:tcPr>
            <w:tcW w:w="1132" w:type="dxa"/>
            <w:shd w:val="clear" w:color="auto" w:fill="F1F1F1"/>
          </w:tcPr>
          <w:p w14:paraId="57D80888" w14:textId="77777777" w:rsidR="00AC6F3C" w:rsidRDefault="00570E88">
            <w:pPr>
              <w:pStyle w:val="TableParagraph"/>
              <w:spacing w:before="42"/>
              <w:ind w:right="35"/>
              <w:jc w:val="right"/>
              <w:rPr>
                <w:sz w:val="18"/>
              </w:rPr>
            </w:pPr>
            <w:r>
              <w:rPr>
                <w:w w:val="99"/>
                <w:sz w:val="18"/>
              </w:rPr>
              <w:t>-</w:t>
            </w:r>
          </w:p>
        </w:tc>
        <w:tc>
          <w:tcPr>
            <w:tcW w:w="1102" w:type="dxa"/>
          </w:tcPr>
          <w:p w14:paraId="15CC1F5A" w14:textId="77777777" w:rsidR="00AC6F3C" w:rsidRDefault="00AC6F3C">
            <w:pPr>
              <w:pStyle w:val="TableParagraph"/>
              <w:rPr>
                <w:rFonts w:ascii="Times New Roman"/>
                <w:sz w:val="18"/>
              </w:rPr>
            </w:pPr>
          </w:p>
        </w:tc>
        <w:tc>
          <w:tcPr>
            <w:tcW w:w="1132" w:type="dxa"/>
            <w:shd w:val="clear" w:color="auto" w:fill="F1F1F1"/>
          </w:tcPr>
          <w:p w14:paraId="52DB8048" w14:textId="77777777" w:rsidR="00AC6F3C" w:rsidRDefault="00570E88">
            <w:pPr>
              <w:pStyle w:val="TableParagraph"/>
              <w:spacing w:before="42"/>
              <w:ind w:right="30"/>
              <w:jc w:val="right"/>
              <w:rPr>
                <w:sz w:val="18"/>
              </w:rPr>
            </w:pPr>
            <w:r>
              <w:rPr>
                <w:spacing w:val="-2"/>
                <w:sz w:val="18"/>
              </w:rPr>
              <w:t>(28,248)</w:t>
            </w:r>
          </w:p>
        </w:tc>
        <w:tc>
          <w:tcPr>
            <w:tcW w:w="1110" w:type="dxa"/>
            <w:tcBorders>
              <w:right w:val="single" w:sz="6" w:space="0" w:color="000000"/>
            </w:tcBorders>
          </w:tcPr>
          <w:p w14:paraId="49D53A06" w14:textId="77777777" w:rsidR="00AC6F3C" w:rsidRDefault="00570E88">
            <w:pPr>
              <w:pStyle w:val="TableParagraph"/>
              <w:spacing w:before="42"/>
              <w:ind w:right="15"/>
              <w:jc w:val="right"/>
              <w:rPr>
                <w:sz w:val="18"/>
              </w:rPr>
            </w:pPr>
            <w:r>
              <w:rPr>
                <w:spacing w:val="-2"/>
                <w:sz w:val="18"/>
              </w:rPr>
              <w:t>(3,691)</w:t>
            </w:r>
          </w:p>
        </w:tc>
      </w:tr>
      <w:tr w:rsidR="00AC6F3C" w14:paraId="12CC785C" w14:textId="77777777">
        <w:trPr>
          <w:trHeight w:val="491"/>
        </w:trPr>
        <w:tc>
          <w:tcPr>
            <w:tcW w:w="3756" w:type="dxa"/>
            <w:tcBorders>
              <w:left w:val="single" w:sz="6" w:space="0" w:color="000000"/>
            </w:tcBorders>
          </w:tcPr>
          <w:p w14:paraId="24DFAEF2" w14:textId="77777777" w:rsidR="00AC6F3C" w:rsidRDefault="00570E88">
            <w:pPr>
              <w:pStyle w:val="TableParagraph"/>
              <w:spacing w:line="238" w:lineRule="exact"/>
              <w:ind w:left="37"/>
              <w:rPr>
                <w:sz w:val="18"/>
              </w:rPr>
            </w:pPr>
            <w:r>
              <w:rPr>
                <w:sz w:val="18"/>
              </w:rPr>
              <w:t>Receipts collected for Legal Practitioners’ Fidelity</w:t>
            </w:r>
            <w:r>
              <w:rPr>
                <w:spacing w:val="-7"/>
                <w:sz w:val="18"/>
              </w:rPr>
              <w:t xml:space="preserve"> </w:t>
            </w:r>
            <w:r>
              <w:rPr>
                <w:sz w:val="18"/>
              </w:rPr>
              <w:t>Guarantee Fund</w:t>
            </w:r>
          </w:p>
        </w:tc>
        <w:tc>
          <w:tcPr>
            <w:tcW w:w="810" w:type="dxa"/>
          </w:tcPr>
          <w:p w14:paraId="34474332" w14:textId="77777777" w:rsidR="00AC6F3C" w:rsidRDefault="00AC6F3C">
            <w:pPr>
              <w:pStyle w:val="TableParagraph"/>
              <w:rPr>
                <w:rFonts w:ascii="Times New Roman"/>
                <w:sz w:val="18"/>
              </w:rPr>
            </w:pPr>
          </w:p>
        </w:tc>
        <w:tc>
          <w:tcPr>
            <w:tcW w:w="1132" w:type="dxa"/>
            <w:shd w:val="clear" w:color="auto" w:fill="F1F1F1"/>
          </w:tcPr>
          <w:p w14:paraId="2CE9A15E" w14:textId="77777777" w:rsidR="00AC6F3C" w:rsidRDefault="00570E88">
            <w:pPr>
              <w:pStyle w:val="TableParagraph"/>
              <w:spacing w:before="146"/>
              <w:ind w:right="35"/>
              <w:jc w:val="right"/>
              <w:rPr>
                <w:sz w:val="18"/>
              </w:rPr>
            </w:pPr>
            <w:r>
              <w:rPr>
                <w:spacing w:val="-5"/>
                <w:sz w:val="18"/>
              </w:rPr>
              <w:t>583</w:t>
            </w:r>
          </w:p>
        </w:tc>
        <w:tc>
          <w:tcPr>
            <w:tcW w:w="1102" w:type="dxa"/>
          </w:tcPr>
          <w:p w14:paraId="19E06293" w14:textId="77777777" w:rsidR="00AC6F3C" w:rsidRDefault="00570E88">
            <w:pPr>
              <w:pStyle w:val="TableParagraph"/>
              <w:spacing w:before="146"/>
              <w:ind w:right="20"/>
              <w:jc w:val="right"/>
              <w:rPr>
                <w:sz w:val="18"/>
              </w:rPr>
            </w:pPr>
            <w:r>
              <w:rPr>
                <w:spacing w:val="-5"/>
                <w:sz w:val="18"/>
              </w:rPr>
              <w:t>151</w:t>
            </w:r>
          </w:p>
        </w:tc>
        <w:tc>
          <w:tcPr>
            <w:tcW w:w="1132" w:type="dxa"/>
            <w:shd w:val="clear" w:color="auto" w:fill="F1F1F1"/>
          </w:tcPr>
          <w:p w14:paraId="5032698F" w14:textId="77777777" w:rsidR="00AC6F3C" w:rsidRDefault="00570E88">
            <w:pPr>
              <w:pStyle w:val="TableParagraph"/>
              <w:spacing w:before="146"/>
              <w:ind w:right="35"/>
              <w:jc w:val="right"/>
              <w:rPr>
                <w:sz w:val="18"/>
              </w:rPr>
            </w:pPr>
            <w:r>
              <w:rPr>
                <w:spacing w:val="-5"/>
                <w:sz w:val="18"/>
              </w:rPr>
              <w:t>583</w:t>
            </w:r>
          </w:p>
        </w:tc>
        <w:tc>
          <w:tcPr>
            <w:tcW w:w="1110" w:type="dxa"/>
            <w:tcBorders>
              <w:right w:val="single" w:sz="6" w:space="0" w:color="000000"/>
            </w:tcBorders>
          </w:tcPr>
          <w:p w14:paraId="390869B8" w14:textId="77777777" w:rsidR="00AC6F3C" w:rsidRDefault="00570E88">
            <w:pPr>
              <w:pStyle w:val="TableParagraph"/>
              <w:spacing w:before="146"/>
              <w:ind w:right="20"/>
              <w:jc w:val="right"/>
              <w:rPr>
                <w:sz w:val="18"/>
              </w:rPr>
            </w:pPr>
            <w:r>
              <w:rPr>
                <w:spacing w:val="-5"/>
                <w:sz w:val="18"/>
              </w:rPr>
              <w:t>151</w:t>
            </w:r>
          </w:p>
        </w:tc>
      </w:tr>
      <w:tr w:rsidR="00AC6F3C" w14:paraId="79605DE8" w14:textId="77777777">
        <w:trPr>
          <w:trHeight w:val="491"/>
        </w:trPr>
        <w:tc>
          <w:tcPr>
            <w:tcW w:w="3756" w:type="dxa"/>
            <w:tcBorders>
              <w:left w:val="single" w:sz="6" w:space="0" w:color="000000"/>
            </w:tcBorders>
          </w:tcPr>
          <w:p w14:paraId="493223F5" w14:textId="77777777" w:rsidR="00AC6F3C" w:rsidRDefault="00570E88">
            <w:pPr>
              <w:pStyle w:val="TableParagraph"/>
              <w:spacing w:before="12"/>
              <w:ind w:left="37"/>
              <w:rPr>
                <w:sz w:val="18"/>
              </w:rPr>
            </w:pPr>
            <w:r>
              <w:rPr>
                <w:sz w:val="18"/>
              </w:rPr>
              <w:t>Payments</w:t>
            </w:r>
            <w:r>
              <w:rPr>
                <w:spacing w:val="14"/>
                <w:sz w:val="18"/>
              </w:rPr>
              <w:t xml:space="preserve"> </w:t>
            </w:r>
            <w:r>
              <w:rPr>
                <w:sz w:val="18"/>
              </w:rPr>
              <w:t>to</w:t>
            </w:r>
            <w:r>
              <w:rPr>
                <w:spacing w:val="4"/>
                <w:sz w:val="18"/>
              </w:rPr>
              <w:t xml:space="preserve"> </w:t>
            </w:r>
            <w:r>
              <w:rPr>
                <w:sz w:val="18"/>
              </w:rPr>
              <w:t>Legal</w:t>
            </w:r>
            <w:r>
              <w:rPr>
                <w:spacing w:val="4"/>
                <w:sz w:val="18"/>
              </w:rPr>
              <w:t xml:space="preserve"> </w:t>
            </w:r>
            <w:r>
              <w:rPr>
                <w:sz w:val="18"/>
              </w:rPr>
              <w:t>Practitioners’</w:t>
            </w:r>
            <w:r>
              <w:rPr>
                <w:spacing w:val="3"/>
                <w:sz w:val="18"/>
              </w:rPr>
              <w:t xml:space="preserve"> </w:t>
            </w:r>
            <w:r>
              <w:rPr>
                <w:spacing w:val="-2"/>
                <w:sz w:val="18"/>
              </w:rPr>
              <w:t>Fidelity</w:t>
            </w:r>
          </w:p>
          <w:p w14:paraId="239A533C" w14:textId="77777777" w:rsidR="00AC6F3C" w:rsidRDefault="00570E88">
            <w:pPr>
              <w:pStyle w:val="TableParagraph"/>
              <w:spacing w:before="31"/>
              <w:ind w:left="37"/>
              <w:rPr>
                <w:sz w:val="18"/>
              </w:rPr>
            </w:pPr>
            <w:r>
              <w:rPr>
                <w:sz w:val="18"/>
              </w:rPr>
              <w:t xml:space="preserve">Guarantee </w:t>
            </w:r>
            <w:r>
              <w:rPr>
                <w:spacing w:val="-4"/>
                <w:sz w:val="18"/>
              </w:rPr>
              <w:t>Fund</w:t>
            </w:r>
          </w:p>
        </w:tc>
        <w:tc>
          <w:tcPr>
            <w:tcW w:w="810" w:type="dxa"/>
          </w:tcPr>
          <w:p w14:paraId="7277E77B" w14:textId="77777777" w:rsidR="00AC6F3C" w:rsidRDefault="00AC6F3C">
            <w:pPr>
              <w:pStyle w:val="TableParagraph"/>
              <w:rPr>
                <w:rFonts w:ascii="Times New Roman"/>
                <w:sz w:val="18"/>
              </w:rPr>
            </w:pPr>
          </w:p>
        </w:tc>
        <w:tc>
          <w:tcPr>
            <w:tcW w:w="1132" w:type="dxa"/>
            <w:shd w:val="clear" w:color="auto" w:fill="F1F1F1"/>
          </w:tcPr>
          <w:p w14:paraId="7CF84CD8" w14:textId="77777777" w:rsidR="00AC6F3C" w:rsidRDefault="00570E88">
            <w:pPr>
              <w:pStyle w:val="TableParagraph"/>
              <w:spacing w:before="131"/>
              <w:ind w:right="30"/>
              <w:jc w:val="right"/>
              <w:rPr>
                <w:sz w:val="18"/>
              </w:rPr>
            </w:pPr>
            <w:r>
              <w:rPr>
                <w:spacing w:val="-2"/>
                <w:sz w:val="18"/>
              </w:rPr>
              <w:t>(583)</w:t>
            </w:r>
          </w:p>
        </w:tc>
        <w:tc>
          <w:tcPr>
            <w:tcW w:w="1102" w:type="dxa"/>
          </w:tcPr>
          <w:p w14:paraId="5CA901B7" w14:textId="77777777" w:rsidR="00AC6F3C" w:rsidRDefault="00570E88">
            <w:pPr>
              <w:pStyle w:val="TableParagraph"/>
              <w:spacing w:before="131"/>
              <w:ind w:right="15"/>
              <w:jc w:val="right"/>
              <w:rPr>
                <w:sz w:val="18"/>
              </w:rPr>
            </w:pPr>
            <w:r>
              <w:rPr>
                <w:spacing w:val="-2"/>
                <w:sz w:val="18"/>
              </w:rPr>
              <w:t>(151)</w:t>
            </w:r>
          </w:p>
        </w:tc>
        <w:tc>
          <w:tcPr>
            <w:tcW w:w="1132" w:type="dxa"/>
            <w:shd w:val="clear" w:color="auto" w:fill="F1F1F1"/>
          </w:tcPr>
          <w:p w14:paraId="5AB39E13" w14:textId="77777777" w:rsidR="00AC6F3C" w:rsidRDefault="00570E88">
            <w:pPr>
              <w:pStyle w:val="TableParagraph"/>
              <w:spacing w:before="131"/>
              <w:ind w:right="30"/>
              <w:jc w:val="right"/>
              <w:rPr>
                <w:sz w:val="18"/>
              </w:rPr>
            </w:pPr>
            <w:r>
              <w:rPr>
                <w:spacing w:val="-2"/>
                <w:sz w:val="18"/>
              </w:rPr>
              <w:t>(583)</w:t>
            </w:r>
          </w:p>
        </w:tc>
        <w:tc>
          <w:tcPr>
            <w:tcW w:w="1110" w:type="dxa"/>
            <w:tcBorders>
              <w:right w:val="single" w:sz="6" w:space="0" w:color="000000"/>
            </w:tcBorders>
          </w:tcPr>
          <w:p w14:paraId="37C41B84" w14:textId="77777777" w:rsidR="00AC6F3C" w:rsidRDefault="00570E88">
            <w:pPr>
              <w:pStyle w:val="TableParagraph"/>
              <w:spacing w:before="131"/>
              <w:ind w:right="15"/>
              <w:jc w:val="right"/>
              <w:rPr>
                <w:sz w:val="18"/>
              </w:rPr>
            </w:pPr>
            <w:r>
              <w:rPr>
                <w:spacing w:val="-2"/>
                <w:sz w:val="18"/>
              </w:rPr>
              <w:t>(151)</w:t>
            </w:r>
          </w:p>
        </w:tc>
      </w:tr>
      <w:tr w:rsidR="00AC6F3C" w14:paraId="20224F46" w14:textId="77777777">
        <w:trPr>
          <w:trHeight w:val="283"/>
        </w:trPr>
        <w:tc>
          <w:tcPr>
            <w:tcW w:w="3756" w:type="dxa"/>
            <w:tcBorders>
              <w:left w:val="single" w:sz="6" w:space="0" w:color="000000"/>
            </w:tcBorders>
          </w:tcPr>
          <w:p w14:paraId="00FF8E03" w14:textId="77777777" w:rsidR="00AC6F3C" w:rsidRDefault="00570E88">
            <w:pPr>
              <w:pStyle w:val="TableParagraph"/>
              <w:spacing w:before="27"/>
              <w:ind w:left="37"/>
              <w:rPr>
                <w:sz w:val="18"/>
              </w:rPr>
            </w:pPr>
            <w:r>
              <w:rPr>
                <w:sz w:val="18"/>
              </w:rPr>
              <w:t>Borrowing</w:t>
            </w:r>
            <w:r>
              <w:rPr>
                <w:spacing w:val="10"/>
                <w:sz w:val="18"/>
              </w:rPr>
              <w:t xml:space="preserve"> </w:t>
            </w:r>
            <w:r>
              <w:rPr>
                <w:spacing w:val="-2"/>
                <w:sz w:val="18"/>
              </w:rPr>
              <w:t>expenses</w:t>
            </w:r>
          </w:p>
        </w:tc>
        <w:tc>
          <w:tcPr>
            <w:tcW w:w="810" w:type="dxa"/>
          </w:tcPr>
          <w:p w14:paraId="66F7BEF6" w14:textId="77777777" w:rsidR="00AC6F3C" w:rsidRDefault="00AC6F3C">
            <w:pPr>
              <w:pStyle w:val="TableParagraph"/>
              <w:rPr>
                <w:rFonts w:ascii="Times New Roman"/>
                <w:sz w:val="18"/>
              </w:rPr>
            </w:pPr>
          </w:p>
        </w:tc>
        <w:tc>
          <w:tcPr>
            <w:tcW w:w="1132" w:type="dxa"/>
            <w:shd w:val="clear" w:color="auto" w:fill="F1F1F1"/>
          </w:tcPr>
          <w:p w14:paraId="4965D436" w14:textId="77777777" w:rsidR="00AC6F3C" w:rsidRDefault="00570E88">
            <w:pPr>
              <w:pStyle w:val="TableParagraph"/>
              <w:spacing w:before="27"/>
              <w:ind w:right="31"/>
              <w:jc w:val="right"/>
              <w:rPr>
                <w:sz w:val="18"/>
              </w:rPr>
            </w:pPr>
            <w:r>
              <w:rPr>
                <w:spacing w:val="-4"/>
                <w:sz w:val="18"/>
              </w:rPr>
              <w:t>(96)</w:t>
            </w:r>
          </w:p>
        </w:tc>
        <w:tc>
          <w:tcPr>
            <w:tcW w:w="1102" w:type="dxa"/>
          </w:tcPr>
          <w:p w14:paraId="628AEFAF" w14:textId="77777777" w:rsidR="00AC6F3C" w:rsidRDefault="00570E88">
            <w:pPr>
              <w:pStyle w:val="TableParagraph"/>
              <w:spacing w:before="27"/>
              <w:ind w:right="20"/>
              <w:jc w:val="right"/>
              <w:rPr>
                <w:sz w:val="18"/>
              </w:rPr>
            </w:pPr>
            <w:r>
              <w:rPr>
                <w:w w:val="99"/>
                <w:sz w:val="18"/>
              </w:rPr>
              <w:t>-</w:t>
            </w:r>
          </w:p>
        </w:tc>
        <w:tc>
          <w:tcPr>
            <w:tcW w:w="1132" w:type="dxa"/>
            <w:shd w:val="clear" w:color="auto" w:fill="F1F1F1"/>
          </w:tcPr>
          <w:p w14:paraId="071A0523" w14:textId="77777777" w:rsidR="00AC6F3C" w:rsidRDefault="00570E88">
            <w:pPr>
              <w:pStyle w:val="TableParagraph"/>
              <w:spacing w:before="27"/>
              <w:ind w:right="30"/>
              <w:jc w:val="right"/>
              <w:rPr>
                <w:sz w:val="18"/>
              </w:rPr>
            </w:pPr>
            <w:r>
              <w:rPr>
                <w:spacing w:val="-4"/>
                <w:sz w:val="18"/>
              </w:rPr>
              <w:t>(96)</w:t>
            </w:r>
          </w:p>
        </w:tc>
        <w:tc>
          <w:tcPr>
            <w:tcW w:w="1110" w:type="dxa"/>
            <w:tcBorders>
              <w:right w:val="single" w:sz="6" w:space="0" w:color="000000"/>
            </w:tcBorders>
          </w:tcPr>
          <w:p w14:paraId="0C43CD29" w14:textId="77777777" w:rsidR="00AC6F3C" w:rsidRDefault="00570E88">
            <w:pPr>
              <w:pStyle w:val="TableParagraph"/>
              <w:spacing w:before="27"/>
              <w:ind w:right="20"/>
              <w:jc w:val="right"/>
              <w:rPr>
                <w:sz w:val="18"/>
              </w:rPr>
            </w:pPr>
            <w:r>
              <w:rPr>
                <w:w w:val="99"/>
                <w:sz w:val="18"/>
              </w:rPr>
              <w:t>-</w:t>
            </w:r>
          </w:p>
        </w:tc>
      </w:tr>
      <w:tr w:rsidR="00AC6F3C" w14:paraId="32ECAB3E" w14:textId="77777777">
        <w:trPr>
          <w:trHeight w:val="297"/>
        </w:trPr>
        <w:tc>
          <w:tcPr>
            <w:tcW w:w="3756" w:type="dxa"/>
            <w:tcBorders>
              <w:left w:val="single" w:sz="6" w:space="0" w:color="000000"/>
            </w:tcBorders>
          </w:tcPr>
          <w:p w14:paraId="5F47FECE" w14:textId="77777777" w:rsidR="00AC6F3C" w:rsidRDefault="00570E88">
            <w:pPr>
              <w:pStyle w:val="TableParagraph"/>
              <w:spacing w:before="42"/>
              <w:ind w:left="37"/>
              <w:rPr>
                <w:sz w:val="18"/>
              </w:rPr>
            </w:pPr>
            <w:r>
              <w:rPr>
                <w:sz w:val="18"/>
              </w:rPr>
              <w:t>Reinsurance</w:t>
            </w:r>
            <w:r>
              <w:rPr>
                <w:spacing w:val="30"/>
                <w:sz w:val="18"/>
              </w:rPr>
              <w:t xml:space="preserve"> </w:t>
            </w:r>
            <w:r>
              <w:rPr>
                <w:spacing w:val="-2"/>
                <w:sz w:val="18"/>
              </w:rPr>
              <w:t>payments</w:t>
            </w:r>
          </w:p>
        </w:tc>
        <w:tc>
          <w:tcPr>
            <w:tcW w:w="810" w:type="dxa"/>
          </w:tcPr>
          <w:p w14:paraId="6806FE86" w14:textId="77777777" w:rsidR="00AC6F3C" w:rsidRDefault="00AC6F3C">
            <w:pPr>
              <w:pStyle w:val="TableParagraph"/>
              <w:rPr>
                <w:rFonts w:ascii="Times New Roman"/>
                <w:sz w:val="18"/>
              </w:rPr>
            </w:pPr>
          </w:p>
        </w:tc>
        <w:tc>
          <w:tcPr>
            <w:tcW w:w="1132" w:type="dxa"/>
            <w:shd w:val="clear" w:color="auto" w:fill="F1F1F1"/>
          </w:tcPr>
          <w:p w14:paraId="6F5F44C7" w14:textId="77777777" w:rsidR="00AC6F3C" w:rsidRDefault="00570E88">
            <w:pPr>
              <w:pStyle w:val="TableParagraph"/>
              <w:spacing w:before="42"/>
              <w:ind w:right="30"/>
              <w:jc w:val="right"/>
              <w:rPr>
                <w:sz w:val="18"/>
              </w:rPr>
            </w:pPr>
            <w:r>
              <w:rPr>
                <w:spacing w:val="-2"/>
                <w:sz w:val="18"/>
              </w:rPr>
              <w:t>(1,840)</w:t>
            </w:r>
          </w:p>
        </w:tc>
        <w:tc>
          <w:tcPr>
            <w:tcW w:w="1102" w:type="dxa"/>
          </w:tcPr>
          <w:p w14:paraId="34DE67ED" w14:textId="77777777" w:rsidR="00AC6F3C" w:rsidRDefault="00570E88">
            <w:pPr>
              <w:pStyle w:val="TableParagraph"/>
              <w:spacing w:before="42"/>
              <w:ind w:right="15"/>
              <w:jc w:val="right"/>
              <w:rPr>
                <w:sz w:val="18"/>
              </w:rPr>
            </w:pPr>
            <w:r>
              <w:rPr>
                <w:spacing w:val="-2"/>
                <w:sz w:val="18"/>
              </w:rPr>
              <w:t>(1,703)</w:t>
            </w:r>
          </w:p>
        </w:tc>
        <w:tc>
          <w:tcPr>
            <w:tcW w:w="1132" w:type="dxa"/>
            <w:shd w:val="clear" w:color="auto" w:fill="F1F1F1"/>
          </w:tcPr>
          <w:p w14:paraId="5345BCA6" w14:textId="77777777" w:rsidR="00AC6F3C" w:rsidRDefault="00570E88">
            <w:pPr>
              <w:pStyle w:val="TableParagraph"/>
              <w:spacing w:before="42"/>
              <w:ind w:right="35"/>
              <w:jc w:val="right"/>
              <w:rPr>
                <w:sz w:val="18"/>
              </w:rPr>
            </w:pPr>
            <w:r>
              <w:rPr>
                <w:w w:val="99"/>
                <w:sz w:val="18"/>
              </w:rPr>
              <w:t>-</w:t>
            </w:r>
          </w:p>
        </w:tc>
        <w:tc>
          <w:tcPr>
            <w:tcW w:w="1110" w:type="dxa"/>
            <w:tcBorders>
              <w:right w:val="single" w:sz="6" w:space="0" w:color="000000"/>
            </w:tcBorders>
          </w:tcPr>
          <w:p w14:paraId="35630612" w14:textId="77777777" w:rsidR="00AC6F3C" w:rsidRDefault="00570E88">
            <w:pPr>
              <w:pStyle w:val="TableParagraph"/>
              <w:spacing w:before="42"/>
              <w:ind w:right="20"/>
              <w:jc w:val="right"/>
              <w:rPr>
                <w:sz w:val="18"/>
              </w:rPr>
            </w:pPr>
            <w:r>
              <w:rPr>
                <w:w w:val="99"/>
                <w:sz w:val="18"/>
              </w:rPr>
              <w:t>-</w:t>
            </w:r>
          </w:p>
        </w:tc>
      </w:tr>
      <w:tr w:rsidR="00AC6F3C" w14:paraId="1400F3E6" w14:textId="77777777">
        <w:trPr>
          <w:trHeight w:val="297"/>
        </w:trPr>
        <w:tc>
          <w:tcPr>
            <w:tcW w:w="3756" w:type="dxa"/>
            <w:tcBorders>
              <w:left w:val="single" w:sz="6" w:space="0" w:color="000000"/>
            </w:tcBorders>
          </w:tcPr>
          <w:p w14:paraId="3C724709" w14:textId="77777777" w:rsidR="00AC6F3C" w:rsidRDefault="00570E88">
            <w:pPr>
              <w:pStyle w:val="TableParagraph"/>
              <w:spacing w:before="42"/>
              <w:ind w:left="37"/>
              <w:rPr>
                <w:sz w:val="18"/>
              </w:rPr>
            </w:pPr>
            <w:r>
              <w:rPr>
                <w:sz w:val="18"/>
              </w:rPr>
              <w:t>Claims</w:t>
            </w:r>
            <w:r>
              <w:rPr>
                <w:spacing w:val="24"/>
                <w:sz w:val="18"/>
              </w:rPr>
              <w:t xml:space="preserve"> </w:t>
            </w:r>
            <w:r>
              <w:rPr>
                <w:sz w:val="18"/>
              </w:rPr>
              <w:t>and</w:t>
            </w:r>
            <w:r>
              <w:rPr>
                <w:spacing w:val="12"/>
                <w:sz w:val="18"/>
              </w:rPr>
              <w:t xml:space="preserve"> </w:t>
            </w:r>
            <w:r>
              <w:rPr>
                <w:sz w:val="18"/>
              </w:rPr>
              <w:t>claims</w:t>
            </w:r>
            <w:r>
              <w:rPr>
                <w:spacing w:val="24"/>
                <w:sz w:val="18"/>
              </w:rPr>
              <w:t xml:space="preserve"> </w:t>
            </w:r>
            <w:r>
              <w:rPr>
                <w:sz w:val="18"/>
              </w:rPr>
              <w:t>related</w:t>
            </w:r>
            <w:r>
              <w:rPr>
                <w:spacing w:val="12"/>
                <w:sz w:val="18"/>
              </w:rPr>
              <w:t xml:space="preserve"> </w:t>
            </w:r>
            <w:r>
              <w:rPr>
                <w:spacing w:val="-2"/>
                <w:sz w:val="18"/>
              </w:rPr>
              <w:t>payments</w:t>
            </w:r>
          </w:p>
        </w:tc>
        <w:tc>
          <w:tcPr>
            <w:tcW w:w="810" w:type="dxa"/>
          </w:tcPr>
          <w:p w14:paraId="071BF220" w14:textId="77777777" w:rsidR="00AC6F3C" w:rsidRDefault="00AC6F3C">
            <w:pPr>
              <w:pStyle w:val="TableParagraph"/>
              <w:rPr>
                <w:rFonts w:ascii="Times New Roman"/>
                <w:sz w:val="18"/>
              </w:rPr>
            </w:pPr>
          </w:p>
        </w:tc>
        <w:tc>
          <w:tcPr>
            <w:tcW w:w="1132" w:type="dxa"/>
            <w:shd w:val="clear" w:color="auto" w:fill="F1F1F1"/>
          </w:tcPr>
          <w:p w14:paraId="56245E89" w14:textId="77777777" w:rsidR="00AC6F3C" w:rsidRDefault="00570E88">
            <w:pPr>
              <w:pStyle w:val="TableParagraph"/>
              <w:spacing w:before="42"/>
              <w:ind w:right="31"/>
              <w:jc w:val="right"/>
              <w:rPr>
                <w:sz w:val="18"/>
              </w:rPr>
            </w:pPr>
            <w:r>
              <w:rPr>
                <w:spacing w:val="-2"/>
                <w:sz w:val="18"/>
              </w:rPr>
              <w:t>(23,508)</w:t>
            </w:r>
          </w:p>
        </w:tc>
        <w:tc>
          <w:tcPr>
            <w:tcW w:w="1102" w:type="dxa"/>
          </w:tcPr>
          <w:p w14:paraId="4C4B8E5A" w14:textId="77777777" w:rsidR="00AC6F3C" w:rsidRDefault="00570E88">
            <w:pPr>
              <w:pStyle w:val="TableParagraph"/>
              <w:spacing w:before="42"/>
              <w:ind w:right="15"/>
              <w:jc w:val="right"/>
              <w:rPr>
                <w:sz w:val="18"/>
              </w:rPr>
            </w:pPr>
            <w:r>
              <w:rPr>
                <w:spacing w:val="-2"/>
                <w:sz w:val="18"/>
              </w:rPr>
              <w:t>(8,322)</w:t>
            </w:r>
          </w:p>
        </w:tc>
        <w:tc>
          <w:tcPr>
            <w:tcW w:w="1132" w:type="dxa"/>
            <w:shd w:val="clear" w:color="auto" w:fill="F1F1F1"/>
          </w:tcPr>
          <w:p w14:paraId="09A0F1B5" w14:textId="77777777" w:rsidR="00AC6F3C" w:rsidRDefault="00570E88">
            <w:pPr>
              <w:pStyle w:val="TableParagraph"/>
              <w:spacing w:before="42"/>
              <w:ind w:right="35"/>
              <w:jc w:val="right"/>
              <w:rPr>
                <w:sz w:val="18"/>
              </w:rPr>
            </w:pPr>
            <w:r>
              <w:rPr>
                <w:w w:val="99"/>
                <w:sz w:val="18"/>
              </w:rPr>
              <w:t>-</w:t>
            </w:r>
          </w:p>
        </w:tc>
        <w:tc>
          <w:tcPr>
            <w:tcW w:w="1110" w:type="dxa"/>
            <w:tcBorders>
              <w:right w:val="single" w:sz="6" w:space="0" w:color="000000"/>
            </w:tcBorders>
          </w:tcPr>
          <w:p w14:paraId="7E656C84" w14:textId="77777777" w:rsidR="00AC6F3C" w:rsidRDefault="00570E88">
            <w:pPr>
              <w:pStyle w:val="TableParagraph"/>
              <w:spacing w:before="42"/>
              <w:ind w:right="20"/>
              <w:jc w:val="right"/>
              <w:rPr>
                <w:sz w:val="18"/>
              </w:rPr>
            </w:pPr>
            <w:r>
              <w:rPr>
                <w:w w:val="99"/>
                <w:sz w:val="18"/>
              </w:rPr>
              <w:t>-</w:t>
            </w:r>
          </w:p>
        </w:tc>
      </w:tr>
      <w:tr w:rsidR="00AC6F3C" w14:paraId="202DC8AF" w14:textId="77777777">
        <w:trPr>
          <w:trHeight w:val="297"/>
        </w:trPr>
        <w:tc>
          <w:tcPr>
            <w:tcW w:w="3756" w:type="dxa"/>
            <w:tcBorders>
              <w:left w:val="single" w:sz="6" w:space="0" w:color="000000"/>
            </w:tcBorders>
          </w:tcPr>
          <w:p w14:paraId="0399806C" w14:textId="77777777" w:rsidR="00AC6F3C" w:rsidRDefault="00570E88">
            <w:pPr>
              <w:pStyle w:val="TableParagraph"/>
              <w:spacing w:before="42"/>
              <w:ind w:left="37"/>
              <w:rPr>
                <w:sz w:val="18"/>
              </w:rPr>
            </w:pPr>
            <w:r>
              <w:rPr>
                <w:sz w:val="18"/>
              </w:rPr>
              <w:t>Interest</w:t>
            </w:r>
            <w:r>
              <w:rPr>
                <w:spacing w:val="-3"/>
                <w:sz w:val="18"/>
              </w:rPr>
              <w:t xml:space="preserve"> </w:t>
            </w:r>
            <w:r>
              <w:rPr>
                <w:spacing w:val="-2"/>
                <w:sz w:val="18"/>
              </w:rPr>
              <w:t>received</w:t>
            </w:r>
          </w:p>
        </w:tc>
        <w:tc>
          <w:tcPr>
            <w:tcW w:w="810" w:type="dxa"/>
          </w:tcPr>
          <w:p w14:paraId="32E055C0" w14:textId="77777777" w:rsidR="00AC6F3C" w:rsidRDefault="00AC6F3C">
            <w:pPr>
              <w:pStyle w:val="TableParagraph"/>
              <w:rPr>
                <w:rFonts w:ascii="Times New Roman"/>
                <w:sz w:val="18"/>
              </w:rPr>
            </w:pPr>
          </w:p>
        </w:tc>
        <w:tc>
          <w:tcPr>
            <w:tcW w:w="1132" w:type="dxa"/>
            <w:shd w:val="clear" w:color="auto" w:fill="F1F1F1"/>
          </w:tcPr>
          <w:p w14:paraId="63466829" w14:textId="77777777" w:rsidR="00AC6F3C" w:rsidRDefault="00570E88">
            <w:pPr>
              <w:pStyle w:val="TableParagraph"/>
              <w:spacing w:before="42"/>
              <w:ind w:right="35"/>
              <w:jc w:val="right"/>
              <w:rPr>
                <w:sz w:val="18"/>
              </w:rPr>
            </w:pPr>
            <w:r>
              <w:rPr>
                <w:spacing w:val="-2"/>
                <w:sz w:val="18"/>
              </w:rPr>
              <w:t>1,196</w:t>
            </w:r>
          </w:p>
        </w:tc>
        <w:tc>
          <w:tcPr>
            <w:tcW w:w="1102" w:type="dxa"/>
          </w:tcPr>
          <w:p w14:paraId="1F16DCB1" w14:textId="77777777" w:rsidR="00AC6F3C" w:rsidRDefault="00570E88">
            <w:pPr>
              <w:pStyle w:val="TableParagraph"/>
              <w:spacing w:before="42"/>
              <w:ind w:right="20"/>
              <w:jc w:val="right"/>
              <w:rPr>
                <w:sz w:val="18"/>
              </w:rPr>
            </w:pPr>
            <w:r>
              <w:rPr>
                <w:spacing w:val="-5"/>
                <w:sz w:val="18"/>
              </w:rPr>
              <w:t>221</w:t>
            </w:r>
          </w:p>
        </w:tc>
        <w:tc>
          <w:tcPr>
            <w:tcW w:w="1132" w:type="dxa"/>
            <w:shd w:val="clear" w:color="auto" w:fill="F1F1F1"/>
          </w:tcPr>
          <w:p w14:paraId="4B1D2613" w14:textId="77777777" w:rsidR="00AC6F3C" w:rsidRDefault="00570E88">
            <w:pPr>
              <w:pStyle w:val="TableParagraph"/>
              <w:spacing w:before="42"/>
              <w:ind w:right="35"/>
              <w:jc w:val="right"/>
              <w:rPr>
                <w:sz w:val="18"/>
              </w:rPr>
            </w:pPr>
            <w:r>
              <w:rPr>
                <w:spacing w:val="-5"/>
                <w:sz w:val="18"/>
              </w:rPr>
              <w:t>980</w:t>
            </w:r>
          </w:p>
        </w:tc>
        <w:tc>
          <w:tcPr>
            <w:tcW w:w="1110" w:type="dxa"/>
            <w:tcBorders>
              <w:right w:val="single" w:sz="6" w:space="0" w:color="000000"/>
            </w:tcBorders>
          </w:tcPr>
          <w:p w14:paraId="384A9473" w14:textId="77777777" w:rsidR="00AC6F3C" w:rsidRDefault="00570E88">
            <w:pPr>
              <w:pStyle w:val="TableParagraph"/>
              <w:spacing w:before="42"/>
              <w:ind w:right="20"/>
              <w:jc w:val="right"/>
              <w:rPr>
                <w:sz w:val="18"/>
              </w:rPr>
            </w:pPr>
            <w:r>
              <w:rPr>
                <w:spacing w:val="-5"/>
                <w:sz w:val="18"/>
              </w:rPr>
              <w:t>204</w:t>
            </w:r>
          </w:p>
        </w:tc>
      </w:tr>
      <w:tr w:rsidR="00AC6F3C" w14:paraId="7D0420D1" w14:textId="77777777">
        <w:trPr>
          <w:trHeight w:val="297"/>
        </w:trPr>
        <w:tc>
          <w:tcPr>
            <w:tcW w:w="3756" w:type="dxa"/>
            <w:tcBorders>
              <w:left w:val="single" w:sz="6" w:space="0" w:color="000000"/>
            </w:tcBorders>
          </w:tcPr>
          <w:p w14:paraId="1778B14D" w14:textId="77777777" w:rsidR="00AC6F3C" w:rsidRDefault="00570E88">
            <w:pPr>
              <w:pStyle w:val="TableParagraph"/>
              <w:spacing w:before="42"/>
              <w:ind w:left="37"/>
              <w:rPr>
                <w:sz w:val="18"/>
              </w:rPr>
            </w:pPr>
            <w:r>
              <w:rPr>
                <w:spacing w:val="-4"/>
                <w:sz w:val="18"/>
              </w:rPr>
              <w:t>GST</w:t>
            </w:r>
            <w:r>
              <w:rPr>
                <w:spacing w:val="-8"/>
                <w:sz w:val="18"/>
              </w:rPr>
              <w:t xml:space="preserve"> </w:t>
            </w:r>
            <w:r>
              <w:rPr>
                <w:spacing w:val="-2"/>
                <w:sz w:val="18"/>
              </w:rPr>
              <w:t>receipts</w:t>
            </w:r>
          </w:p>
        </w:tc>
        <w:tc>
          <w:tcPr>
            <w:tcW w:w="810" w:type="dxa"/>
          </w:tcPr>
          <w:p w14:paraId="0C3694A4" w14:textId="77777777" w:rsidR="00AC6F3C" w:rsidRDefault="00AC6F3C">
            <w:pPr>
              <w:pStyle w:val="TableParagraph"/>
              <w:rPr>
                <w:rFonts w:ascii="Times New Roman"/>
                <w:sz w:val="18"/>
              </w:rPr>
            </w:pPr>
          </w:p>
        </w:tc>
        <w:tc>
          <w:tcPr>
            <w:tcW w:w="1132" w:type="dxa"/>
            <w:shd w:val="clear" w:color="auto" w:fill="F1F1F1"/>
          </w:tcPr>
          <w:p w14:paraId="24F11DDD" w14:textId="77777777" w:rsidR="00AC6F3C" w:rsidRDefault="00570E88">
            <w:pPr>
              <w:pStyle w:val="TableParagraph"/>
              <w:spacing w:before="42"/>
              <w:ind w:right="35"/>
              <w:jc w:val="right"/>
              <w:rPr>
                <w:sz w:val="18"/>
              </w:rPr>
            </w:pPr>
            <w:r>
              <w:rPr>
                <w:spacing w:val="-2"/>
                <w:sz w:val="18"/>
              </w:rPr>
              <w:t>4,252</w:t>
            </w:r>
          </w:p>
        </w:tc>
        <w:tc>
          <w:tcPr>
            <w:tcW w:w="1102" w:type="dxa"/>
          </w:tcPr>
          <w:p w14:paraId="5113694C" w14:textId="77777777" w:rsidR="00AC6F3C" w:rsidRDefault="00570E88">
            <w:pPr>
              <w:pStyle w:val="TableParagraph"/>
              <w:spacing w:before="42"/>
              <w:ind w:right="20"/>
              <w:jc w:val="right"/>
              <w:rPr>
                <w:sz w:val="18"/>
              </w:rPr>
            </w:pPr>
            <w:r>
              <w:rPr>
                <w:spacing w:val="-2"/>
                <w:sz w:val="18"/>
              </w:rPr>
              <w:t>3,749</w:t>
            </w:r>
          </w:p>
        </w:tc>
        <w:tc>
          <w:tcPr>
            <w:tcW w:w="1132" w:type="dxa"/>
            <w:shd w:val="clear" w:color="auto" w:fill="F1F1F1"/>
          </w:tcPr>
          <w:p w14:paraId="70BB636B" w14:textId="77777777" w:rsidR="00AC6F3C" w:rsidRDefault="00570E88">
            <w:pPr>
              <w:pStyle w:val="TableParagraph"/>
              <w:spacing w:before="42"/>
              <w:ind w:right="35"/>
              <w:jc w:val="right"/>
              <w:rPr>
                <w:sz w:val="18"/>
              </w:rPr>
            </w:pPr>
            <w:r>
              <w:rPr>
                <w:spacing w:val="-2"/>
                <w:sz w:val="18"/>
              </w:rPr>
              <w:t>4,247</w:t>
            </w:r>
          </w:p>
        </w:tc>
        <w:tc>
          <w:tcPr>
            <w:tcW w:w="1110" w:type="dxa"/>
            <w:tcBorders>
              <w:right w:val="single" w:sz="6" w:space="0" w:color="000000"/>
            </w:tcBorders>
          </w:tcPr>
          <w:p w14:paraId="5FE205C4" w14:textId="77777777" w:rsidR="00AC6F3C" w:rsidRDefault="00570E88">
            <w:pPr>
              <w:pStyle w:val="TableParagraph"/>
              <w:spacing w:before="42"/>
              <w:ind w:right="20"/>
              <w:jc w:val="right"/>
              <w:rPr>
                <w:sz w:val="18"/>
              </w:rPr>
            </w:pPr>
            <w:r>
              <w:rPr>
                <w:spacing w:val="-2"/>
                <w:sz w:val="18"/>
              </w:rPr>
              <w:t>3,743</w:t>
            </w:r>
          </w:p>
        </w:tc>
      </w:tr>
      <w:tr w:rsidR="00AC6F3C" w14:paraId="564843BE" w14:textId="77777777">
        <w:trPr>
          <w:trHeight w:val="297"/>
        </w:trPr>
        <w:tc>
          <w:tcPr>
            <w:tcW w:w="3756" w:type="dxa"/>
            <w:tcBorders>
              <w:left w:val="single" w:sz="6" w:space="0" w:color="000000"/>
            </w:tcBorders>
          </w:tcPr>
          <w:p w14:paraId="226BF25B" w14:textId="77777777" w:rsidR="00AC6F3C" w:rsidRDefault="00570E88">
            <w:pPr>
              <w:pStyle w:val="TableParagraph"/>
              <w:spacing w:before="42"/>
              <w:ind w:left="37"/>
              <w:rPr>
                <w:sz w:val="18"/>
              </w:rPr>
            </w:pPr>
            <w:r>
              <w:rPr>
                <w:sz w:val="18"/>
              </w:rPr>
              <w:t>GST</w:t>
            </w:r>
            <w:r>
              <w:rPr>
                <w:spacing w:val="-13"/>
                <w:sz w:val="18"/>
              </w:rPr>
              <w:t xml:space="preserve"> </w:t>
            </w:r>
            <w:r>
              <w:rPr>
                <w:sz w:val="18"/>
              </w:rPr>
              <w:t>(paid</w:t>
            </w:r>
            <w:r>
              <w:rPr>
                <w:spacing w:val="-5"/>
                <w:sz w:val="18"/>
              </w:rPr>
              <w:t xml:space="preserve"> </w:t>
            </w:r>
            <w:r>
              <w:rPr>
                <w:sz w:val="18"/>
              </w:rPr>
              <w:t>to)</w:t>
            </w:r>
            <w:r>
              <w:rPr>
                <w:spacing w:val="-8"/>
                <w:sz w:val="18"/>
              </w:rPr>
              <w:t xml:space="preserve"> </w:t>
            </w:r>
            <w:r>
              <w:rPr>
                <w:sz w:val="18"/>
              </w:rPr>
              <w:t>/</w:t>
            </w:r>
            <w:r>
              <w:rPr>
                <w:spacing w:val="-13"/>
                <w:sz w:val="18"/>
              </w:rPr>
              <w:t xml:space="preserve"> </w:t>
            </w:r>
            <w:r>
              <w:rPr>
                <w:sz w:val="18"/>
              </w:rPr>
              <w:t>received</w:t>
            </w:r>
            <w:r>
              <w:rPr>
                <w:spacing w:val="-3"/>
                <w:sz w:val="18"/>
              </w:rPr>
              <w:t xml:space="preserve"> </w:t>
            </w:r>
            <w:r>
              <w:rPr>
                <w:sz w:val="18"/>
              </w:rPr>
              <w:t>from</w:t>
            </w:r>
            <w:r>
              <w:rPr>
                <w:spacing w:val="6"/>
                <w:sz w:val="18"/>
              </w:rPr>
              <w:t xml:space="preserve"> </w:t>
            </w:r>
            <w:r>
              <w:rPr>
                <w:spacing w:val="-5"/>
                <w:sz w:val="18"/>
              </w:rPr>
              <w:t>ATO</w:t>
            </w:r>
          </w:p>
        </w:tc>
        <w:tc>
          <w:tcPr>
            <w:tcW w:w="810" w:type="dxa"/>
          </w:tcPr>
          <w:p w14:paraId="223D4D6D" w14:textId="77777777" w:rsidR="00AC6F3C" w:rsidRDefault="00AC6F3C">
            <w:pPr>
              <w:pStyle w:val="TableParagraph"/>
              <w:rPr>
                <w:rFonts w:ascii="Times New Roman"/>
                <w:sz w:val="18"/>
              </w:rPr>
            </w:pPr>
          </w:p>
        </w:tc>
        <w:tc>
          <w:tcPr>
            <w:tcW w:w="1132" w:type="dxa"/>
            <w:shd w:val="clear" w:color="auto" w:fill="F1F1F1"/>
          </w:tcPr>
          <w:p w14:paraId="24D00333" w14:textId="77777777" w:rsidR="00AC6F3C" w:rsidRDefault="00570E88">
            <w:pPr>
              <w:pStyle w:val="TableParagraph"/>
              <w:spacing w:before="42"/>
              <w:ind w:right="30"/>
              <w:jc w:val="right"/>
              <w:rPr>
                <w:sz w:val="18"/>
              </w:rPr>
            </w:pPr>
            <w:r>
              <w:rPr>
                <w:spacing w:val="-2"/>
                <w:sz w:val="18"/>
              </w:rPr>
              <w:t>(3,137)</w:t>
            </w:r>
          </w:p>
        </w:tc>
        <w:tc>
          <w:tcPr>
            <w:tcW w:w="1102" w:type="dxa"/>
          </w:tcPr>
          <w:p w14:paraId="5B1782A2" w14:textId="77777777" w:rsidR="00AC6F3C" w:rsidRDefault="00570E88">
            <w:pPr>
              <w:pStyle w:val="TableParagraph"/>
              <w:spacing w:before="42"/>
              <w:ind w:right="15"/>
              <w:jc w:val="right"/>
              <w:rPr>
                <w:sz w:val="18"/>
              </w:rPr>
            </w:pPr>
            <w:r>
              <w:rPr>
                <w:spacing w:val="-2"/>
                <w:sz w:val="18"/>
              </w:rPr>
              <w:t>(362)</w:t>
            </w:r>
          </w:p>
        </w:tc>
        <w:tc>
          <w:tcPr>
            <w:tcW w:w="1132" w:type="dxa"/>
            <w:shd w:val="clear" w:color="auto" w:fill="F1F1F1"/>
          </w:tcPr>
          <w:p w14:paraId="2FFB6927" w14:textId="77777777" w:rsidR="00AC6F3C" w:rsidRDefault="00570E88">
            <w:pPr>
              <w:pStyle w:val="TableParagraph"/>
              <w:spacing w:before="42"/>
              <w:ind w:right="30"/>
              <w:jc w:val="right"/>
              <w:rPr>
                <w:sz w:val="18"/>
              </w:rPr>
            </w:pPr>
            <w:r>
              <w:rPr>
                <w:spacing w:val="-2"/>
                <w:sz w:val="18"/>
              </w:rPr>
              <w:t>(2,971)</w:t>
            </w:r>
          </w:p>
        </w:tc>
        <w:tc>
          <w:tcPr>
            <w:tcW w:w="1110" w:type="dxa"/>
            <w:tcBorders>
              <w:right w:val="single" w:sz="6" w:space="0" w:color="000000"/>
            </w:tcBorders>
          </w:tcPr>
          <w:p w14:paraId="5AFDD103" w14:textId="77777777" w:rsidR="00AC6F3C" w:rsidRDefault="00570E88">
            <w:pPr>
              <w:pStyle w:val="TableParagraph"/>
              <w:spacing w:before="42"/>
              <w:ind w:right="20"/>
              <w:jc w:val="right"/>
              <w:rPr>
                <w:sz w:val="18"/>
              </w:rPr>
            </w:pPr>
            <w:r>
              <w:rPr>
                <w:spacing w:val="-5"/>
                <w:sz w:val="18"/>
              </w:rPr>
              <w:t>246</w:t>
            </w:r>
          </w:p>
        </w:tc>
      </w:tr>
      <w:tr w:rsidR="00AC6F3C" w14:paraId="35C2DCDB" w14:textId="77777777">
        <w:trPr>
          <w:trHeight w:val="285"/>
        </w:trPr>
        <w:tc>
          <w:tcPr>
            <w:tcW w:w="3756" w:type="dxa"/>
            <w:tcBorders>
              <w:left w:val="single" w:sz="6" w:space="0" w:color="000000"/>
              <w:bottom w:val="single" w:sz="6" w:space="0" w:color="000000"/>
            </w:tcBorders>
          </w:tcPr>
          <w:p w14:paraId="2D5BC031" w14:textId="77777777" w:rsidR="00AC6F3C" w:rsidRDefault="00570E88">
            <w:pPr>
              <w:pStyle w:val="TableParagraph"/>
              <w:spacing w:before="42"/>
              <w:ind w:left="37"/>
              <w:rPr>
                <w:sz w:val="18"/>
              </w:rPr>
            </w:pPr>
            <w:r>
              <w:rPr>
                <w:sz w:val="18"/>
              </w:rPr>
              <w:t>Income</w:t>
            </w:r>
            <w:r>
              <w:rPr>
                <w:spacing w:val="4"/>
                <w:sz w:val="18"/>
              </w:rPr>
              <w:t xml:space="preserve"> </w:t>
            </w:r>
            <w:r>
              <w:rPr>
                <w:sz w:val="18"/>
              </w:rPr>
              <w:t>tax</w:t>
            </w:r>
            <w:r>
              <w:rPr>
                <w:spacing w:val="-17"/>
                <w:sz w:val="18"/>
              </w:rPr>
              <w:t xml:space="preserve"> </w:t>
            </w:r>
            <w:r>
              <w:rPr>
                <w:sz w:val="18"/>
              </w:rPr>
              <w:t>(paid)</w:t>
            </w:r>
            <w:r>
              <w:rPr>
                <w:spacing w:val="-1"/>
                <w:sz w:val="18"/>
              </w:rPr>
              <w:t xml:space="preserve"> </w:t>
            </w:r>
            <w:r>
              <w:rPr>
                <w:sz w:val="18"/>
              </w:rPr>
              <w:t>/</w:t>
            </w:r>
            <w:r>
              <w:rPr>
                <w:spacing w:val="-7"/>
                <w:sz w:val="18"/>
              </w:rPr>
              <w:t xml:space="preserve"> </w:t>
            </w:r>
            <w:r>
              <w:rPr>
                <w:spacing w:val="-2"/>
                <w:sz w:val="18"/>
              </w:rPr>
              <w:t>received</w:t>
            </w:r>
          </w:p>
        </w:tc>
        <w:tc>
          <w:tcPr>
            <w:tcW w:w="810" w:type="dxa"/>
            <w:tcBorders>
              <w:bottom w:val="single" w:sz="6" w:space="0" w:color="000000"/>
            </w:tcBorders>
          </w:tcPr>
          <w:p w14:paraId="33E8EE6B" w14:textId="77777777" w:rsidR="00AC6F3C" w:rsidRDefault="00570E88">
            <w:pPr>
              <w:pStyle w:val="TableParagraph"/>
              <w:spacing w:before="42"/>
              <w:ind w:left="164" w:right="251"/>
              <w:jc w:val="center"/>
              <w:rPr>
                <w:sz w:val="18"/>
              </w:rPr>
            </w:pPr>
            <w:r>
              <w:rPr>
                <w:spacing w:val="-2"/>
                <w:sz w:val="18"/>
              </w:rPr>
              <w:t>F1-</w:t>
            </w:r>
            <w:r>
              <w:rPr>
                <w:spacing w:val="-10"/>
                <w:sz w:val="18"/>
              </w:rPr>
              <w:t>2</w:t>
            </w:r>
          </w:p>
        </w:tc>
        <w:tc>
          <w:tcPr>
            <w:tcW w:w="1132" w:type="dxa"/>
            <w:tcBorders>
              <w:bottom w:val="single" w:sz="6" w:space="0" w:color="000000"/>
            </w:tcBorders>
            <w:shd w:val="clear" w:color="auto" w:fill="F1F1F1"/>
          </w:tcPr>
          <w:p w14:paraId="0A0F57D1" w14:textId="77777777" w:rsidR="00AC6F3C" w:rsidRDefault="00570E88">
            <w:pPr>
              <w:pStyle w:val="TableParagraph"/>
              <w:spacing w:before="42"/>
              <w:ind w:right="30"/>
              <w:jc w:val="right"/>
              <w:rPr>
                <w:sz w:val="18"/>
              </w:rPr>
            </w:pPr>
            <w:r>
              <w:rPr>
                <w:spacing w:val="-2"/>
                <w:sz w:val="18"/>
              </w:rPr>
              <w:t>(4,124)</w:t>
            </w:r>
          </w:p>
        </w:tc>
        <w:tc>
          <w:tcPr>
            <w:tcW w:w="1102" w:type="dxa"/>
            <w:tcBorders>
              <w:bottom w:val="single" w:sz="6" w:space="0" w:color="000000"/>
            </w:tcBorders>
          </w:tcPr>
          <w:p w14:paraId="09A89158" w14:textId="77777777" w:rsidR="00AC6F3C" w:rsidRDefault="00570E88">
            <w:pPr>
              <w:pStyle w:val="TableParagraph"/>
              <w:spacing w:before="42"/>
              <w:ind w:right="15"/>
              <w:jc w:val="right"/>
              <w:rPr>
                <w:sz w:val="18"/>
              </w:rPr>
            </w:pPr>
            <w:r>
              <w:rPr>
                <w:spacing w:val="-2"/>
                <w:sz w:val="18"/>
              </w:rPr>
              <w:t>(158)</w:t>
            </w:r>
          </w:p>
        </w:tc>
        <w:tc>
          <w:tcPr>
            <w:tcW w:w="1132" w:type="dxa"/>
            <w:tcBorders>
              <w:bottom w:val="single" w:sz="6" w:space="0" w:color="000000"/>
            </w:tcBorders>
            <w:shd w:val="clear" w:color="auto" w:fill="F1F1F1"/>
          </w:tcPr>
          <w:p w14:paraId="22DC9B16" w14:textId="77777777" w:rsidR="00AC6F3C" w:rsidRDefault="00570E88">
            <w:pPr>
              <w:pStyle w:val="TableParagraph"/>
              <w:spacing w:before="42"/>
              <w:ind w:right="35"/>
              <w:jc w:val="right"/>
              <w:rPr>
                <w:sz w:val="18"/>
              </w:rPr>
            </w:pPr>
            <w:r>
              <w:rPr>
                <w:w w:val="99"/>
                <w:sz w:val="18"/>
              </w:rPr>
              <w:t>-</w:t>
            </w:r>
          </w:p>
        </w:tc>
        <w:tc>
          <w:tcPr>
            <w:tcW w:w="1110" w:type="dxa"/>
            <w:tcBorders>
              <w:bottom w:val="single" w:sz="6" w:space="0" w:color="000000"/>
              <w:right w:val="single" w:sz="6" w:space="0" w:color="000000"/>
            </w:tcBorders>
          </w:tcPr>
          <w:p w14:paraId="043664BA" w14:textId="77777777" w:rsidR="00AC6F3C" w:rsidRDefault="00570E88">
            <w:pPr>
              <w:pStyle w:val="TableParagraph"/>
              <w:spacing w:before="42"/>
              <w:ind w:right="20"/>
              <w:jc w:val="right"/>
              <w:rPr>
                <w:sz w:val="18"/>
              </w:rPr>
            </w:pPr>
            <w:r>
              <w:rPr>
                <w:w w:val="99"/>
                <w:sz w:val="18"/>
              </w:rPr>
              <w:t>-</w:t>
            </w:r>
          </w:p>
        </w:tc>
      </w:tr>
      <w:tr w:rsidR="00AC6F3C" w14:paraId="62EEF265" w14:textId="77777777">
        <w:trPr>
          <w:trHeight w:val="461"/>
        </w:trPr>
        <w:tc>
          <w:tcPr>
            <w:tcW w:w="3756" w:type="dxa"/>
            <w:tcBorders>
              <w:top w:val="single" w:sz="6" w:space="0" w:color="000000"/>
              <w:left w:val="single" w:sz="6" w:space="0" w:color="000000"/>
              <w:bottom w:val="single" w:sz="6" w:space="0" w:color="000000"/>
            </w:tcBorders>
            <w:shd w:val="clear" w:color="auto" w:fill="BEBEBE"/>
          </w:tcPr>
          <w:p w14:paraId="0F9F9A9F" w14:textId="77777777" w:rsidR="00AC6F3C" w:rsidRDefault="00570E88">
            <w:pPr>
              <w:pStyle w:val="TableParagraph"/>
              <w:spacing w:before="10"/>
              <w:ind w:left="37"/>
              <w:rPr>
                <w:b/>
                <w:sz w:val="18"/>
              </w:rPr>
            </w:pPr>
            <w:r>
              <w:rPr>
                <w:b/>
                <w:spacing w:val="-2"/>
                <w:sz w:val="18"/>
              </w:rPr>
              <w:t>Net</w:t>
            </w:r>
            <w:r>
              <w:rPr>
                <w:b/>
                <w:spacing w:val="2"/>
                <w:sz w:val="18"/>
              </w:rPr>
              <w:t xml:space="preserve"> </w:t>
            </w:r>
            <w:r>
              <w:rPr>
                <w:b/>
                <w:spacing w:val="-2"/>
                <w:sz w:val="18"/>
              </w:rPr>
              <w:t>cash</w:t>
            </w:r>
            <w:r>
              <w:rPr>
                <w:b/>
                <w:spacing w:val="-4"/>
                <w:sz w:val="18"/>
              </w:rPr>
              <w:t xml:space="preserve"> </w:t>
            </w:r>
            <w:r>
              <w:rPr>
                <w:b/>
                <w:spacing w:val="-2"/>
                <w:sz w:val="18"/>
              </w:rPr>
              <w:t>(used</w:t>
            </w:r>
            <w:r>
              <w:rPr>
                <w:b/>
                <w:spacing w:val="-3"/>
                <w:sz w:val="18"/>
              </w:rPr>
              <w:t xml:space="preserve"> </w:t>
            </w:r>
            <w:r>
              <w:rPr>
                <w:b/>
                <w:spacing w:val="-2"/>
                <w:sz w:val="18"/>
              </w:rPr>
              <w:t>in)/generated</w:t>
            </w:r>
            <w:r>
              <w:rPr>
                <w:b/>
                <w:spacing w:val="-4"/>
                <w:sz w:val="18"/>
              </w:rPr>
              <w:t xml:space="preserve"> from</w:t>
            </w:r>
          </w:p>
          <w:p w14:paraId="78FB902A" w14:textId="77777777" w:rsidR="00AC6F3C" w:rsidRDefault="00570E88">
            <w:pPr>
              <w:pStyle w:val="TableParagraph"/>
              <w:spacing w:before="31" w:line="194" w:lineRule="exact"/>
              <w:ind w:left="37"/>
              <w:rPr>
                <w:b/>
                <w:sz w:val="18"/>
              </w:rPr>
            </w:pPr>
            <w:r>
              <w:rPr>
                <w:b/>
                <w:spacing w:val="-4"/>
                <w:sz w:val="18"/>
              </w:rPr>
              <w:t>operating</w:t>
            </w:r>
            <w:r>
              <w:rPr>
                <w:b/>
                <w:spacing w:val="6"/>
                <w:sz w:val="18"/>
              </w:rPr>
              <w:t xml:space="preserve"> </w:t>
            </w:r>
            <w:r>
              <w:rPr>
                <w:b/>
                <w:spacing w:val="-2"/>
                <w:sz w:val="18"/>
              </w:rPr>
              <w:t>activities</w:t>
            </w:r>
          </w:p>
        </w:tc>
        <w:tc>
          <w:tcPr>
            <w:tcW w:w="810" w:type="dxa"/>
            <w:tcBorders>
              <w:top w:val="single" w:sz="6" w:space="0" w:color="000000"/>
              <w:bottom w:val="single" w:sz="6" w:space="0" w:color="000000"/>
            </w:tcBorders>
            <w:shd w:val="clear" w:color="auto" w:fill="BEBEBE"/>
          </w:tcPr>
          <w:p w14:paraId="65D68342" w14:textId="77777777" w:rsidR="00AC6F3C" w:rsidRDefault="00570E88">
            <w:pPr>
              <w:pStyle w:val="TableParagraph"/>
              <w:spacing w:before="129"/>
              <w:ind w:left="154" w:right="251"/>
              <w:jc w:val="center"/>
              <w:rPr>
                <w:b/>
                <w:sz w:val="18"/>
              </w:rPr>
            </w:pPr>
            <w:r>
              <w:rPr>
                <w:b/>
                <w:spacing w:val="-5"/>
                <w:sz w:val="18"/>
              </w:rPr>
              <w:t>C1</w:t>
            </w:r>
          </w:p>
        </w:tc>
        <w:tc>
          <w:tcPr>
            <w:tcW w:w="1132" w:type="dxa"/>
            <w:tcBorders>
              <w:top w:val="single" w:sz="6" w:space="0" w:color="000000"/>
              <w:bottom w:val="single" w:sz="6" w:space="0" w:color="000000"/>
            </w:tcBorders>
            <w:shd w:val="clear" w:color="auto" w:fill="BEBEBE"/>
          </w:tcPr>
          <w:p w14:paraId="7176594F" w14:textId="77777777" w:rsidR="00AC6F3C" w:rsidRDefault="00570E88">
            <w:pPr>
              <w:pStyle w:val="TableParagraph"/>
              <w:spacing w:before="129"/>
              <w:ind w:right="35"/>
              <w:jc w:val="right"/>
              <w:rPr>
                <w:b/>
                <w:sz w:val="18"/>
              </w:rPr>
            </w:pPr>
            <w:r>
              <w:rPr>
                <w:b/>
                <w:spacing w:val="-2"/>
                <w:sz w:val="18"/>
              </w:rPr>
              <w:t>3,391</w:t>
            </w:r>
          </w:p>
        </w:tc>
        <w:tc>
          <w:tcPr>
            <w:tcW w:w="1102" w:type="dxa"/>
            <w:tcBorders>
              <w:top w:val="single" w:sz="6" w:space="0" w:color="000000"/>
              <w:bottom w:val="single" w:sz="6" w:space="0" w:color="000000"/>
            </w:tcBorders>
            <w:shd w:val="clear" w:color="auto" w:fill="BEBEBE"/>
          </w:tcPr>
          <w:p w14:paraId="644D1FD6" w14:textId="77777777" w:rsidR="00AC6F3C" w:rsidRDefault="00570E88">
            <w:pPr>
              <w:pStyle w:val="TableParagraph"/>
              <w:spacing w:before="129"/>
              <w:ind w:right="20"/>
              <w:jc w:val="right"/>
              <w:rPr>
                <w:b/>
                <w:sz w:val="18"/>
              </w:rPr>
            </w:pPr>
            <w:r>
              <w:rPr>
                <w:b/>
                <w:spacing w:val="-2"/>
                <w:sz w:val="18"/>
              </w:rPr>
              <w:t>1,040</w:t>
            </w:r>
          </w:p>
        </w:tc>
        <w:tc>
          <w:tcPr>
            <w:tcW w:w="1132" w:type="dxa"/>
            <w:tcBorders>
              <w:top w:val="single" w:sz="6" w:space="0" w:color="000000"/>
              <w:bottom w:val="single" w:sz="6" w:space="0" w:color="000000"/>
            </w:tcBorders>
            <w:shd w:val="clear" w:color="auto" w:fill="BEBEBE"/>
          </w:tcPr>
          <w:p w14:paraId="7DCB438F" w14:textId="77777777" w:rsidR="00AC6F3C" w:rsidRDefault="00570E88">
            <w:pPr>
              <w:pStyle w:val="TableParagraph"/>
              <w:spacing w:before="129"/>
              <w:ind w:right="35"/>
              <w:jc w:val="right"/>
              <w:rPr>
                <w:b/>
                <w:sz w:val="18"/>
              </w:rPr>
            </w:pPr>
            <w:r>
              <w:rPr>
                <w:b/>
                <w:spacing w:val="-2"/>
                <w:sz w:val="18"/>
              </w:rPr>
              <w:t>3,798</w:t>
            </w:r>
          </w:p>
        </w:tc>
        <w:tc>
          <w:tcPr>
            <w:tcW w:w="1110" w:type="dxa"/>
            <w:tcBorders>
              <w:top w:val="single" w:sz="6" w:space="0" w:color="000000"/>
              <w:bottom w:val="single" w:sz="6" w:space="0" w:color="000000"/>
              <w:right w:val="single" w:sz="6" w:space="0" w:color="000000"/>
            </w:tcBorders>
            <w:shd w:val="clear" w:color="auto" w:fill="BEBEBE"/>
          </w:tcPr>
          <w:p w14:paraId="79EBB796" w14:textId="77777777" w:rsidR="00AC6F3C" w:rsidRDefault="00570E88">
            <w:pPr>
              <w:pStyle w:val="TableParagraph"/>
              <w:spacing w:before="129"/>
              <w:ind w:right="20"/>
              <w:jc w:val="right"/>
              <w:rPr>
                <w:b/>
                <w:sz w:val="18"/>
              </w:rPr>
            </w:pPr>
            <w:r>
              <w:rPr>
                <w:b/>
                <w:spacing w:val="-2"/>
                <w:sz w:val="18"/>
              </w:rPr>
              <w:t>28,596</w:t>
            </w:r>
          </w:p>
        </w:tc>
      </w:tr>
      <w:tr w:rsidR="00AC6F3C" w14:paraId="24BF4A8C" w14:textId="77777777">
        <w:trPr>
          <w:trHeight w:val="295"/>
        </w:trPr>
        <w:tc>
          <w:tcPr>
            <w:tcW w:w="3756" w:type="dxa"/>
            <w:tcBorders>
              <w:top w:val="single" w:sz="6" w:space="0" w:color="000000"/>
              <w:left w:val="single" w:sz="6" w:space="0" w:color="000000"/>
            </w:tcBorders>
          </w:tcPr>
          <w:p w14:paraId="03D6051B" w14:textId="77777777" w:rsidR="00AC6F3C" w:rsidRDefault="00570E88">
            <w:pPr>
              <w:pStyle w:val="TableParagraph"/>
              <w:spacing w:before="39"/>
              <w:ind w:left="37"/>
              <w:rPr>
                <w:b/>
                <w:sz w:val="18"/>
              </w:rPr>
            </w:pPr>
            <w:r>
              <w:rPr>
                <w:b/>
                <w:spacing w:val="-2"/>
                <w:sz w:val="18"/>
              </w:rPr>
              <w:t>Cash</w:t>
            </w:r>
            <w:r>
              <w:rPr>
                <w:b/>
                <w:spacing w:val="-11"/>
                <w:sz w:val="18"/>
              </w:rPr>
              <w:t xml:space="preserve"> </w:t>
            </w:r>
            <w:r>
              <w:rPr>
                <w:b/>
                <w:spacing w:val="-2"/>
                <w:sz w:val="18"/>
              </w:rPr>
              <w:t>flows</w:t>
            </w:r>
            <w:r>
              <w:rPr>
                <w:b/>
                <w:spacing w:val="-6"/>
                <w:sz w:val="18"/>
              </w:rPr>
              <w:t xml:space="preserve"> </w:t>
            </w:r>
            <w:r>
              <w:rPr>
                <w:b/>
                <w:spacing w:val="-2"/>
                <w:sz w:val="18"/>
              </w:rPr>
              <w:t>from</w:t>
            </w:r>
            <w:r>
              <w:rPr>
                <w:b/>
                <w:spacing w:val="-3"/>
                <w:sz w:val="18"/>
              </w:rPr>
              <w:t xml:space="preserve"> </w:t>
            </w:r>
            <w:r>
              <w:rPr>
                <w:b/>
                <w:spacing w:val="-2"/>
                <w:sz w:val="18"/>
              </w:rPr>
              <w:t>investing</w:t>
            </w:r>
            <w:r>
              <w:rPr>
                <w:b/>
                <w:spacing w:val="-11"/>
                <w:sz w:val="18"/>
              </w:rPr>
              <w:t xml:space="preserve"> </w:t>
            </w:r>
            <w:r>
              <w:rPr>
                <w:b/>
                <w:spacing w:val="-2"/>
                <w:sz w:val="18"/>
              </w:rPr>
              <w:t>activities</w:t>
            </w:r>
          </w:p>
        </w:tc>
        <w:tc>
          <w:tcPr>
            <w:tcW w:w="810" w:type="dxa"/>
            <w:tcBorders>
              <w:top w:val="single" w:sz="6" w:space="0" w:color="000000"/>
            </w:tcBorders>
          </w:tcPr>
          <w:p w14:paraId="448E8C50" w14:textId="77777777" w:rsidR="00AC6F3C" w:rsidRDefault="00AC6F3C">
            <w:pPr>
              <w:pStyle w:val="TableParagraph"/>
              <w:rPr>
                <w:rFonts w:ascii="Times New Roman"/>
                <w:sz w:val="18"/>
              </w:rPr>
            </w:pPr>
          </w:p>
        </w:tc>
        <w:tc>
          <w:tcPr>
            <w:tcW w:w="1132" w:type="dxa"/>
            <w:tcBorders>
              <w:top w:val="single" w:sz="6" w:space="0" w:color="000000"/>
            </w:tcBorders>
            <w:shd w:val="clear" w:color="auto" w:fill="F1F1F1"/>
          </w:tcPr>
          <w:p w14:paraId="2BA9B90C" w14:textId="77777777" w:rsidR="00AC6F3C" w:rsidRDefault="00AC6F3C">
            <w:pPr>
              <w:pStyle w:val="TableParagraph"/>
              <w:rPr>
                <w:rFonts w:ascii="Times New Roman"/>
                <w:sz w:val="18"/>
              </w:rPr>
            </w:pPr>
          </w:p>
        </w:tc>
        <w:tc>
          <w:tcPr>
            <w:tcW w:w="1102" w:type="dxa"/>
            <w:tcBorders>
              <w:top w:val="single" w:sz="6" w:space="0" w:color="000000"/>
            </w:tcBorders>
          </w:tcPr>
          <w:p w14:paraId="292CCEFD" w14:textId="77777777" w:rsidR="00AC6F3C" w:rsidRDefault="00AC6F3C">
            <w:pPr>
              <w:pStyle w:val="TableParagraph"/>
              <w:rPr>
                <w:rFonts w:ascii="Times New Roman"/>
                <w:sz w:val="18"/>
              </w:rPr>
            </w:pPr>
          </w:p>
        </w:tc>
        <w:tc>
          <w:tcPr>
            <w:tcW w:w="1132" w:type="dxa"/>
            <w:tcBorders>
              <w:top w:val="single" w:sz="6" w:space="0" w:color="000000"/>
            </w:tcBorders>
            <w:shd w:val="clear" w:color="auto" w:fill="F1F1F1"/>
          </w:tcPr>
          <w:p w14:paraId="370D7A48" w14:textId="77777777" w:rsidR="00AC6F3C" w:rsidRDefault="00AC6F3C">
            <w:pPr>
              <w:pStyle w:val="TableParagraph"/>
              <w:rPr>
                <w:rFonts w:ascii="Times New Roman"/>
                <w:sz w:val="18"/>
              </w:rPr>
            </w:pPr>
          </w:p>
        </w:tc>
        <w:tc>
          <w:tcPr>
            <w:tcW w:w="1110" w:type="dxa"/>
            <w:tcBorders>
              <w:top w:val="single" w:sz="6" w:space="0" w:color="000000"/>
              <w:right w:val="single" w:sz="6" w:space="0" w:color="000000"/>
            </w:tcBorders>
          </w:tcPr>
          <w:p w14:paraId="1B18E2BE" w14:textId="77777777" w:rsidR="00AC6F3C" w:rsidRDefault="00AC6F3C">
            <w:pPr>
              <w:pStyle w:val="TableParagraph"/>
              <w:rPr>
                <w:rFonts w:ascii="Times New Roman"/>
                <w:sz w:val="18"/>
              </w:rPr>
            </w:pPr>
          </w:p>
        </w:tc>
      </w:tr>
      <w:tr w:rsidR="00AC6F3C" w14:paraId="79B0EFC0" w14:textId="77777777">
        <w:trPr>
          <w:trHeight w:val="297"/>
        </w:trPr>
        <w:tc>
          <w:tcPr>
            <w:tcW w:w="3756" w:type="dxa"/>
            <w:tcBorders>
              <w:left w:val="single" w:sz="6" w:space="0" w:color="000000"/>
            </w:tcBorders>
          </w:tcPr>
          <w:p w14:paraId="599BA730" w14:textId="77777777" w:rsidR="00AC6F3C" w:rsidRDefault="00570E88">
            <w:pPr>
              <w:pStyle w:val="TableParagraph"/>
              <w:spacing w:before="42"/>
              <w:ind w:left="37"/>
              <w:rPr>
                <w:sz w:val="18"/>
              </w:rPr>
            </w:pPr>
            <w:r>
              <w:rPr>
                <w:sz w:val="18"/>
              </w:rPr>
              <w:t>Proceeds</w:t>
            </w:r>
            <w:r>
              <w:rPr>
                <w:spacing w:val="17"/>
                <w:sz w:val="18"/>
              </w:rPr>
              <w:t xml:space="preserve"> </w:t>
            </w:r>
            <w:r>
              <w:rPr>
                <w:sz w:val="18"/>
              </w:rPr>
              <w:t>from</w:t>
            </w:r>
            <w:r>
              <w:rPr>
                <w:spacing w:val="17"/>
                <w:sz w:val="18"/>
              </w:rPr>
              <w:t xml:space="preserve"> </w:t>
            </w:r>
            <w:r>
              <w:rPr>
                <w:sz w:val="18"/>
              </w:rPr>
              <w:t>investment</w:t>
            </w:r>
            <w:r>
              <w:rPr>
                <w:spacing w:val="-5"/>
                <w:sz w:val="18"/>
              </w:rPr>
              <w:t xml:space="preserve"> </w:t>
            </w:r>
            <w:r>
              <w:rPr>
                <w:spacing w:val="-2"/>
                <w:sz w:val="18"/>
              </w:rPr>
              <w:t>redemptions</w:t>
            </w:r>
          </w:p>
        </w:tc>
        <w:tc>
          <w:tcPr>
            <w:tcW w:w="810" w:type="dxa"/>
          </w:tcPr>
          <w:p w14:paraId="4369BD78" w14:textId="77777777" w:rsidR="00AC6F3C" w:rsidRDefault="00570E88">
            <w:pPr>
              <w:pStyle w:val="TableParagraph"/>
              <w:spacing w:before="42"/>
              <w:ind w:left="164" w:right="231"/>
              <w:jc w:val="center"/>
              <w:rPr>
                <w:sz w:val="18"/>
              </w:rPr>
            </w:pPr>
            <w:r>
              <w:rPr>
                <w:spacing w:val="-5"/>
                <w:sz w:val="18"/>
              </w:rPr>
              <w:t>C4</w:t>
            </w:r>
          </w:p>
        </w:tc>
        <w:tc>
          <w:tcPr>
            <w:tcW w:w="1132" w:type="dxa"/>
            <w:shd w:val="clear" w:color="auto" w:fill="F1F1F1"/>
          </w:tcPr>
          <w:p w14:paraId="4A96870D" w14:textId="77777777" w:rsidR="00AC6F3C" w:rsidRDefault="00570E88">
            <w:pPr>
              <w:pStyle w:val="TableParagraph"/>
              <w:spacing w:before="42"/>
              <w:ind w:right="35"/>
              <w:jc w:val="right"/>
              <w:rPr>
                <w:sz w:val="18"/>
              </w:rPr>
            </w:pPr>
            <w:r>
              <w:rPr>
                <w:spacing w:val="-2"/>
                <w:sz w:val="18"/>
              </w:rPr>
              <w:t>1,500</w:t>
            </w:r>
          </w:p>
        </w:tc>
        <w:tc>
          <w:tcPr>
            <w:tcW w:w="1102" w:type="dxa"/>
          </w:tcPr>
          <w:p w14:paraId="0BC7CB21" w14:textId="77777777" w:rsidR="00AC6F3C" w:rsidRDefault="00570E88">
            <w:pPr>
              <w:pStyle w:val="TableParagraph"/>
              <w:spacing w:before="42"/>
              <w:ind w:right="20"/>
              <w:jc w:val="right"/>
              <w:rPr>
                <w:sz w:val="18"/>
              </w:rPr>
            </w:pPr>
            <w:r>
              <w:rPr>
                <w:spacing w:val="-2"/>
                <w:sz w:val="18"/>
              </w:rPr>
              <w:t>2,000</w:t>
            </w:r>
          </w:p>
        </w:tc>
        <w:tc>
          <w:tcPr>
            <w:tcW w:w="1132" w:type="dxa"/>
            <w:shd w:val="clear" w:color="auto" w:fill="F1F1F1"/>
          </w:tcPr>
          <w:p w14:paraId="0AC85675" w14:textId="77777777" w:rsidR="00AC6F3C" w:rsidRDefault="00570E88">
            <w:pPr>
              <w:pStyle w:val="TableParagraph"/>
              <w:spacing w:before="42"/>
              <w:ind w:right="35"/>
              <w:jc w:val="right"/>
              <w:rPr>
                <w:sz w:val="18"/>
              </w:rPr>
            </w:pPr>
            <w:r>
              <w:rPr>
                <w:w w:val="99"/>
                <w:sz w:val="18"/>
              </w:rPr>
              <w:t>-</w:t>
            </w:r>
          </w:p>
        </w:tc>
        <w:tc>
          <w:tcPr>
            <w:tcW w:w="1110" w:type="dxa"/>
            <w:tcBorders>
              <w:right w:val="single" w:sz="6" w:space="0" w:color="000000"/>
            </w:tcBorders>
          </w:tcPr>
          <w:p w14:paraId="42A97316" w14:textId="77777777" w:rsidR="00AC6F3C" w:rsidRDefault="00570E88">
            <w:pPr>
              <w:pStyle w:val="TableParagraph"/>
              <w:spacing w:before="42"/>
              <w:ind w:right="20"/>
              <w:jc w:val="right"/>
              <w:rPr>
                <w:sz w:val="18"/>
              </w:rPr>
            </w:pPr>
            <w:r>
              <w:rPr>
                <w:w w:val="99"/>
                <w:sz w:val="18"/>
              </w:rPr>
              <w:t>-</w:t>
            </w:r>
          </w:p>
        </w:tc>
      </w:tr>
      <w:tr w:rsidR="00AC6F3C" w14:paraId="2DD2F0CA" w14:textId="77777777">
        <w:trPr>
          <w:trHeight w:val="285"/>
        </w:trPr>
        <w:tc>
          <w:tcPr>
            <w:tcW w:w="3756" w:type="dxa"/>
            <w:tcBorders>
              <w:left w:val="single" w:sz="6" w:space="0" w:color="000000"/>
              <w:bottom w:val="single" w:sz="6" w:space="0" w:color="000000"/>
            </w:tcBorders>
          </w:tcPr>
          <w:p w14:paraId="13EA9403" w14:textId="77777777" w:rsidR="00AC6F3C" w:rsidRDefault="00570E88">
            <w:pPr>
              <w:pStyle w:val="TableParagraph"/>
              <w:spacing w:before="42"/>
              <w:ind w:left="37"/>
              <w:rPr>
                <w:sz w:val="18"/>
              </w:rPr>
            </w:pPr>
            <w:r>
              <w:rPr>
                <w:sz w:val="18"/>
              </w:rPr>
              <w:t>Payments</w:t>
            </w:r>
            <w:r>
              <w:rPr>
                <w:spacing w:val="9"/>
                <w:sz w:val="18"/>
              </w:rPr>
              <w:t xml:space="preserve"> </w:t>
            </w:r>
            <w:r>
              <w:rPr>
                <w:sz w:val="18"/>
              </w:rPr>
              <w:t>for</w:t>
            </w:r>
            <w:r>
              <w:rPr>
                <w:spacing w:val="-6"/>
                <w:sz w:val="18"/>
              </w:rPr>
              <w:t xml:space="preserve"> </w:t>
            </w:r>
            <w:r>
              <w:rPr>
                <w:sz w:val="18"/>
              </w:rPr>
              <w:t>property,</w:t>
            </w:r>
            <w:r>
              <w:rPr>
                <w:spacing w:val="-11"/>
                <w:sz w:val="18"/>
              </w:rPr>
              <w:t xml:space="preserve"> </w:t>
            </w:r>
            <w:r>
              <w:rPr>
                <w:sz w:val="18"/>
              </w:rPr>
              <w:t>plant</w:t>
            </w:r>
            <w:r>
              <w:rPr>
                <w:spacing w:val="-11"/>
                <w:sz w:val="18"/>
              </w:rPr>
              <w:t xml:space="preserve"> </w:t>
            </w:r>
            <w:r>
              <w:rPr>
                <w:sz w:val="18"/>
              </w:rPr>
              <w:t>and</w:t>
            </w:r>
            <w:r>
              <w:rPr>
                <w:spacing w:val="-1"/>
                <w:sz w:val="18"/>
              </w:rPr>
              <w:t xml:space="preserve"> </w:t>
            </w:r>
            <w:r>
              <w:rPr>
                <w:spacing w:val="-2"/>
                <w:sz w:val="18"/>
              </w:rPr>
              <w:t>equipment</w:t>
            </w:r>
          </w:p>
        </w:tc>
        <w:tc>
          <w:tcPr>
            <w:tcW w:w="810" w:type="dxa"/>
            <w:tcBorders>
              <w:bottom w:val="single" w:sz="6" w:space="0" w:color="000000"/>
            </w:tcBorders>
          </w:tcPr>
          <w:p w14:paraId="293CE2ED" w14:textId="77777777" w:rsidR="00AC6F3C" w:rsidRDefault="00570E88">
            <w:pPr>
              <w:pStyle w:val="TableParagraph"/>
              <w:spacing w:before="42"/>
              <w:ind w:left="164" w:right="231"/>
              <w:jc w:val="center"/>
              <w:rPr>
                <w:sz w:val="18"/>
              </w:rPr>
            </w:pPr>
            <w:r>
              <w:rPr>
                <w:spacing w:val="-5"/>
                <w:sz w:val="18"/>
              </w:rPr>
              <w:t>C5</w:t>
            </w:r>
          </w:p>
        </w:tc>
        <w:tc>
          <w:tcPr>
            <w:tcW w:w="1132" w:type="dxa"/>
            <w:tcBorders>
              <w:bottom w:val="single" w:sz="6" w:space="0" w:color="000000"/>
            </w:tcBorders>
            <w:shd w:val="clear" w:color="auto" w:fill="F1F1F1"/>
          </w:tcPr>
          <w:p w14:paraId="1FDA5B8B" w14:textId="77777777" w:rsidR="00AC6F3C" w:rsidRDefault="00570E88">
            <w:pPr>
              <w:pStyle w:val="TableParagraph"/>
              <w:spacing w:before="42"/>
              <w:ind w:right="30"/>
              <w:jc w:val="right"/>
              <w:rPr>
                <w:sz w:val="18"/>
              </w:rPr>
            </w:pPr>
            <w:r>
              <w:rPr>
                <w:spacing w:val="-2"/>
                <w:sz w:val="18"/>
              </w:rPr>
              <w:t>(11,520)</w:t>
            </w:r>
          </w:p>
        </w:tc>
        <w:tc>
          <w:tcPr>
            <w:tcW w:w="1102" w:type="dxa"/>
            <w:tcBorders>
              <w:bottom w:val="single" w:sz="6" w:space="0" w:color="000000"/>
            </w:tcBorders>
          </w:tcPr>
          <w:p w14:paraId="16F694E0" w14:textId="77777777" w:rsidR="00AC6F3C" w:rsidRDefault="00570E88">
            <w:pPr>
              <w:pStyle w:val="TableParagraph"/>
              <w:spacing w:before="42"/>
              <w:ind w:right="15"/>
              <w:jc w:val="right"/>
              <w:rPr>
                <w:sz w:val="18"/>
              </w:rPr>
            </w:pPr>
            <w:r>
              <w:rPr>
                <w:spacing w:val="-2"/>
                <w:sz w:val="18"/>
              </w:rPr>
              <w:t>(550)</w:t>
            </w:r>
          </w:p>
        </w:tc>
        <w:tc>
          <w:tcPr>
            <w:tcW w:w="1132" w:type="dxa"/>
            <w:tcBorders>
              <w:bottom w:val="single" w:sz="6" w:space="0" w:color="000000"/>
            </w:tcBorders>
            <w:shd w:val="clear" w:color="auto" w:fill="F1F1F1"/>
          </w:tcPr>
          <w:p w14:paraId="0CBA23C1" w14:textId="77777777" w:rsidR="00AC6F3C" w:rsidRDefault="00570E88">
            <w:pPr>
              <w:pStyle w:val="TableParagraph"/>
              <w:spacing w:before="42"/>
              <w:ind w:right="30"/>
              <w:jc w:val="right"/>
              <w:rPr>
                <w:sz w:val="18"/>
              </w:rPr>
            </w:pPr>
            <w:r>
              <w:rPr>
                <w:spacing w:val="-2"/>
                <w:sz w:val="18"/>
              </w:rPr>
              <w:t>(11,338)</w:t>
            </w:r>
          </w:p>
        </w:tc>
        <w:tc>
          <w:tcPr>
            <w:tcW w:w="1110" w:type="dxa"/>
            <w:tcBorders>
              <w:bottom w:val="single" w:sz="6" w:space="0" w:color="000000"/>
              <w:right w:val="single" w:sz="6" w:space="0" w:color="000000"/>
            </w:tcBorders>
          </w:tcPr>
          <w:p w14:paraId="5BFA5670" w14:textId="77777777" w:rsidR="00AC6F3C" w:rsidRDefault="00570E88">
            <w:pPr>
              <w:pStyle w:val="TableParagraph"/>
              <w:spacing w:before="42"/>
              <w:ind w:right="15"/>
              <w:jc w:val="right"/>
              <w:rPr>
                <w:sz w:val="18"/>
              </w:rPr>
            </w:pPr>
            <w:r>
              <w:rPr>
                <w:spacing w:val="-2"/>
                <w:sz w:val="18"/>
              </w:rPr>
              <w:t>(405)</w:t>
            </w:r>
          </w:p>
        </w:tc>
      </w:tr>
      <w:tr w:rsidR="00AC6F3C" w14:paraId="2A101559" w14:textId="77777777">
        <w:trPr>
          <w:trHeight w:val="461"/>
        </w:trPr>
        <w:tc>
          <w:tcPr>
            <w:tcW w:w="3756" w:type="dxa"/>
            <w:tcBorders>
              <w:top w:val="single" w:sz="6" w:space="0" w:color="000000"/>
              <w:left w:val="single" w:sz="6" w:space="0" w:color="000000"/>
              <w:bottom w:val="single" w:sz="6" w:space="0" w:color="000000"/>
            </w:tcBorders>
            <w:shd w:val="clear" w:color="auto" w:fill="BEBEBE"/>
          </w:tcPr>
          <w:p w14:paraId="106C30A8" w14:textId="77777777" w:rsidR="00AC6F3C" w:rsidRDefault="00570E88">
            <w:pPr>
              <w:pStyle w:val="TableParagraph"/>
              <w:spacing w:before="10"/>
              <w:ind w:left="37"/>
              <w:rPr>
                <w:b/>
                <w:sz w:val="18"/>
              </w:rPr>
            </w:pPr>
            <w:r>
              <w:rPr>
                <w:b/>
                <w:sz w:val="18"/>
              </w:rPr>
              <w:t>Net</w:t>
            </w:r>
            <w:r>
              <w:rPr>
                <w:b/>
                <w:spacing w:val="-10"/>
                <w:sz w:val="18"/>
              </w:rPr>
              <w:t xml:space="preserve"> </w:t>
            </w:r>
            <w:r>
              <w:rPr>
                <w:b/>
                <w:sz w:val="18"/>
              </w:rPr>
              <w:t>cash</w:t>
            </w:r>
            <w:r>
              <w:rPr>
                <w:b/>
                <w:spacing w:val="-12"/>
                <w:sz w:val="18"/>
              </w:rPr>
              <w:t xml:space="preserve"> </w:t>
            </w:r>
            <w:r>
              <w:rPr>
                <w:b/>
                <w:sz w:val="18"/>
              </w:rPr>
              <w:t>generated</w:t>
            </w:r>
            <w:r>
              <w:rPr>
                <w:b/>
                <w:spacing w:val="-13"/>
                <w:sz w:val="18"/>
              </w:rPr>
              <w:t xml:space="preserve"> </w:t>
            </w:r>
            <w:r>
              <w:rPr>
                <w:b/>
                <w:sz w:val="18"/>
              </w:rPr>
              <w:t>from/(used</w:t>
            </w:r>
            <w:r>
              <w:rPr>
                <w:b/>
                <w:spacing w:val="-12"/>
                <w:sz w:val="18"/>
              </w:rPr>
              <w:t xml:space="preserve"> </w:t>
            </w:r>
            <w:r>
              <w:rPr>
                <w:b/>
                <w:spacing w:val="-5"/>
                <w:sz w:val="18"/>
              </w:rPr>
              <w:t>in)</w:t>
            </w:r>
          </w:p>
          <w:p w14:paraId="21934425" w14:textId="77777777" w:rsidR="00AC6F3C" w:rsidRDefault="00570E88">
            <w:pPr>
              <w:pStyle w:val="TableParagraph"/>
              <w:spacing w:before="31" w:line="194" w:lineRule="exact"/>
              <w:ind w:left="37"/>
              <w:rPr>
                <w:b/>
                <w:sz w:val="18"/>
              </w:rPr>
            </w:pPr>
            <w:r>
              <w:rPr>
                <w:b/>
                <w:spacing w:val="-5"/>
                <w:sz w:val="18"/>
              </w:rPr>
              <w:t>investing</w:t>
            </w:r>
            <w:r>
              <w:rPr>
                <w:b/>
                <w:spacing w:val="1"/>
                <w:sz w:val="18"/>
              </w:rPr>
              <w:t xml:space="preserve"> </w:t>
            </w:r>
            <w:r>
              <w:rPr>
                <w:b/>
                <w:spacing w:val="-2"/>
                <w:sz w:val="18"/>
              </w:rPr>
              <w:t>activities</w:t>
            </w:r>
          </w:p>
        </w:tc>
        <w:tc>
          <w:tcPr>
            <w:tcW w:w="810" w:type="dxa"/>
            <w:tcBorders>
              <w:top w:val="single" w:sz="6" w:space="0" w:color="000000"/>
              <w:bottom w:val="single" w:sz="6" w:space="0" w:color="000000"/>
            </w:tcBorders>
            <w:shd w:val="clear" w:color="auto" w:fill="BEBEBE"/>
          </w:tcPr>
          <w:p w14:paraId="29AA123D" w14:textId="77777777" w:rsidR="00AC6F3C" w:rsidRDefault="00AC6F3C">
            <w:pPr>
              <w:pStyle w:val="TableParagraph"/>
              <w:rPr>
                <w:rFonts w:ascii="Times New Roman"/>
                <w:sz w:val="18"/>
              </w:rPr>
            </w:pPr>
          </w:p>
        </w:tc>
        <w:tc>
          <w:tcPr>
            <w:tcW w:w="1132" w:type="dxa"/>
            <w:tcBorders>
              <w:top w:val="single" w:sz="6" w:space="0" w:color="000000"/>
              <w:bottom w:val="single" w:sz="6" w:space="0" w:color="000000"/>
            </w:tcBorders>
            <w:shd w:val="clear" w:color="auto" w:fill="BEBEBE"/>
          </w:tcPr>
          <w:p w14:paraId="7C8A7CFB" w14:textId="77777777" w:rsidR="00AC6F3C" w:rsidRDefault="00570E88">
            <w:pPr>
              <w:pStyle w:val="TableParagraph"/>
              <w:spacing w:before="129"/>
              <w:ind w:right="30"/>
              <w:jc w:val="right"/>
              <w:rPr>
                <w:b/>
                <w:sz w:val="18"/>
              </w:rPr>
            </w:pPr>
            <w:r>
              <w:rPr>
                <w:b/>
                <w:spacing w:val="-2"/>
                <w:sz w:val="18"/>
              </w:rPr>
              <w:t>(10,020)</w:t>
            </w:r>
          </w:p>
        </w:tc>
        <w:tc>
          <w:tcPr>
            <w:tcW w:w="1102" w:type="dxa"/>
            <w:tcBorders>
              <w:top w:val="single" w:sz="6" w:space="0" w:color="000000"/>
              <w:bottom w:val="single" w:sz="6" w:space="0" w:color="000000"/>
            </w:tcBorders>
            <w:shd w:val="clear" w:color="auto" w:fill="BEBEBE"/>
          </w:tcPr>
          <w:p w14:paraId="67E9ACAE" w14:textId="77777777" w:rsidR="00AC6F3C" w:rsidRDefault="00570E88">
            <w:pPr>
              <w:pStyle w:val="TableParagraph"/>
              <w:spacing w:before="129"/>
              <w:ind w:right="20"/>
              <w:jc w:val="right"/>
              <w:rPr>
                <w:b/>
                <w:sz w:val="18"/>
              </w:rPr>
            </w:pPr>
            <w:r>
              <w:rPr>
                <w:b/>
                <w:spacing w:val="-2"/>
                <w:sz w:val="18"/>
              </w:rPr>
              <w:t>1,450</w:t>
            </w:r>
          </w:p>
        </w:tc>
        <w:tc>
          <w:tcPr>
            <w:tcW w:w="1132" w:type="dxa"/>
            <w:tcBorders>
              <w:top w:val="single" w:sz="6" w:space="0" w:color="000000"/>
              <w:bottom w:val="single" w:sz="6" w:space="0" w:color="000000"/>
            </w:tcBorders>
            <w:shd w:val="clear" w:color="auto" w:fill="BEBEBE"/>
          </w:tcPr>
          <w:p w14:paraId="0A928706" w14:textId="77777777" w:rsidR="00AC6F3C" w:rsidRDefault="00570E88">
            <w:pPr>
              <w:pStyle w:val="TableParagraph"/>
              <w:spacing w:before="129"/>
              <w:ind w:right="30"/>
              <w:jc w:val="right"/>
              <w:rPr>
                <w:b/>
                <w:sz w:val="18"/>
              </w:rPr>
            </w:pPr>
            <w:r>
              <w:rPr>
                <w:b/>
                <w:spacing w:val="-2"/>
                <w:sz w:val="18"/>
              </w:rPr>
              <w:t>(11,338)</w:t>
            </w:r>
          </w:p>
        </w:tc>
        <w:tc>
          <w:tcPr>
            <w:tcW w:w="1110" w:type="dxa"/>
            <w:tcBorders>
              <w:top w:val="single" w:sz="6" w:space="0" w:color="000000"/>
              <w:bottom w:val="single" w:sz="6" w:space="0" w:color="000000"/>
              <w:right w:val="single" w:sz="6" w:space="0" w:color="000000"/>
            </w:tcBorders>
            <w:shd w:val="clear" w:color="auto" w:fill="BEBEBE"/>
          </w:tcPr>
          <w:p w14:paraId="3252B5AA" w14:textId="77777777" w:rsidR="00AC6F3C" w:rsidRDefault="00570E88">
            <w:pPr>
              <w:pStyle w:val="TableParagraph"/>
              <w:spacing w:before="129"/>
              <w:ind w:right="15"/>
              <w:jc w:val="right"/>
              <w:rPr>
                <w:b/>
                <w:sz w:val="18"/>
              </w:rPr>
            </w:pPr>
            <w:r>
              <w:rPr>
                <w:b/>
                <w:spacing w:val="-2"/>
                <w:sz w:val="18"/>
              </w:rPr>
              <w:t>(405)</w:t>
            </w:r>
          </w:p>
        </w:tc>
      </w:tr>
      <w:tr w:rsidR="00AC6F3C" w14:paraId="4670BC9A" w14:textId="77777777">
        <w:trPr>
          <w:trHeight w:val="295"/>
        </w:trPr>
        <w:tc>
          <w:tcPr>
            <w:tcW w:w="4566" w:type="dxa"/>
            <w:gridSpan w:val="2"/>
            <w:tcBorders>
              <w:top w:val="single" w:sz="6" w:space="0" w:color="000000"/>
              <w:left w:val="single" w:sz="6" w:space="0" w:color="000000"/>
            </w:tcBorders>
          </w:tcPr>
          <w:p w14:paraId="460FC1F6" w14:textId="77777777" w:rsidR="00AC6F3C" w:rsidRDefault="00570E88">
            <w:pPr>
              <w:pStyle w:val="TableParagraph"/>
              <w:spacing w:before="39"/>
              <w:ind w:left="37"/>
              <w:rPr>
                <w:b/>
                <w:sz w:val="18"/>
              </w:rPr>
            </w:pPr>
            <w:r>
              <w:rPr>
                <w:b/>
                <w:spacing w:val="-2"/>
                <w:sz w:val="18"/>
              </w:rPr>
              <w:t>Cash</w:t>
            </w:r>
            <w:r>
              <w:rPr>
                <w:b/>
                <w:spacing w:val="-13"/>
                <w:sz w:val="18"/>
              </w:rPr>
              <w:t xml:space="preserve"> </w:t>
            </w:r>
            <w:r>
              <w:rPr>
                <w:b/>
                <w:spacing w:val="-2"/>
                <w:sz w:val="18"/>
              </w:rPr>
              <w:t>flows</w:t>
            </w:r>
            <w:r>
              <w:rPr>
                <w:b/>
                <w:spacing w:val="-3"/>
                <w:sz w:val="18"/>
              </w:rPr>
              <w:t xml:space="preserve"> </w:t>
            </w:r>
            <w:r>
              <w:rPr>
                <w:b/>
                <w:spacing w:val="-2"/>
                <w:sz w:val="18"/>
              </w:rPr>
              <w:t>from</w:t>
            </w:r>
            <w:r>
              <w:rPr>
                <w:b/>
                <w:spacing w:val="-1"/>
                <w:sz w:val="18"/>
              </w:rPr>
              <w:t xml:space="preserve"> </w:t>
            </w:r>
            <w:r>
              <w:rPr>
                <w:b/>
                <w:spacing w:val="-2"/>
                <w:sz w:val="18"/>
              </w:rPr>
              <w:t>financing</w:t>
            </w:r>
            <w:r>
              <w:rPr>
                <w:b/>
                <w:spacing w:val="-11"/>
                <w:sz w:val="18"/>
              </w:rPr>
              <w:t xml:space="preserve"> </w:t>
            </w:r>
            <w:r>
              <w:rPr>
                <w:b/>
                <w:spacing w:val="-2"/>
                <w:sz w:val="18"/>
              </w:rPr>
              <w:t>activities</w:t>
            </w:r>
          </w:p>
        </w:tc>
        <w:tc>
          <w:tcPr>
            <w:tcW w:w="1132" w:type="dxa"/>
            <w:tcBorders>
              <w:top w:val="single" w:sz="6" w:space="0" w:color="000000"/>
            </w:tcBorders>
            <w:shd w:val="clear" w:color="auto" w:fill="F1F1F1"/>
          </w:tcPr>
          <w:p w14:paraId="6590D0E8" w14:textId="77777777" w:rsidR="00AC6F3C" w:rsidRDefault="00AC6F3C">
            <w:pPr>
              <w:pStyle w:val="TableParagraph"/>
              <w:rPr>
                <w:rFonts w:ascii="Times New Roman"/>
                <w:sz w:val="18"/>
              </w:rPr>
            </w:pPr>
          </w:p>
        </w:tc>
        <w:tc>
          <w:tcPr>
            <w:tcW w:w="1102" w:type="dxa"/>
            <w:tcBorders>
              <w:top w:val="single" w:sz="6" w:space="0" w:color="000000"/>
            </w:tcBorders>
          </w:tcPr>
          <w:p w14:paraId="7FAB4C9D" w14:textId="77777777" w:rsidR="00AC6F3C" w:rsidRDefault="00AC6F3C">
            <w:pPr>
              <w:pStyle w:val="TableParagraph"/>
              <w:rPr>
                <w:rFonts w:ascii="Times New Roman"/>
                <w:sz w:val="18"/>
              </w:rPr>
            </w:pPr>
          </w:p>
        </w:tc>
        <w:tc>
          <w:tcPr>
            <w:tcW w:w="1132" w:type="dxa"/>
            <w:tcBorders>
              <w:top w:val="single" w:sz="6" w:space="0" w:color="000000"/>
            </w:tcBorders>
            <w:shd w:val="clear" w:color="auto" w:fill="F1F1F1"/>
          </w:tcPr>
          <w:p w14:paraId="69A7184C" w14:textId="77777777" w:rsidR="00AC6F3C" w:rsidRDefault="00AC6F3C">
            <w:pPr>
              <w:pStyle w:val="TableParagraph"/>
              <w:rPr>
                <w:rFonts w:ascii="Times New Roman"/>
                <w:sz w:val="18"/>
              </w:rPr>
            </w:pPr>
          </w:p>
        </w:tc>
        <w:tc>
          <w:tcPr>
            <w:tcW w:w="1110" w:type="dxa"/>
            <w:tcBorders>
              <w:top w:val="single" w:sz="6" w:space="0" w:color="000000"/>
              <w:right w:val="single" w:sz="6" w:space="0" w:color="000000"/>
            </w:tcBorders>
          </w:tcPr>
          <w:p w14:paraId="4A5BFFCA" w14:textId="77777777" w:rsidR="00AC6F3C" w:rsidRDefault="00AC6F3C">
            <w:pPr>
              <w:pStyle w:val="TableParagraph"/>
              <w:rPr>
                <w:rFonts w:ascii="Times New Roman"/>
                <w:sz w:val="18"/>
              </w:rPr>
            </w:pPr>
          </w:p>
        </w:tc>
      </w:tr>
      <w:tr w:rsidR="00AC6F3C" w14:paraId="75C5A4A1" w14:textId="77777777">
        <w:trPr>
          <w:trHeight w:val="297"/>
        </w:trPr>
        <w:tc>
          <w:tcPr>
            <w:tcW w:w="4566" w:type="dxa"/>
            <w:gridSpan w:val="2"/>
            <w:tcBorders>
              <w:left w:val="single" w:sz="6" w:space="0" w:color="000000"/>
            </w:tcBorders>
          </w:tcPr>
          <w:p w14:paraId="6E004013" w14:textId="77777777" w:rsidR="00AC6F3C" w:rsidRDefault="00570E88">
            <w:pPr>
              <w:pStyle w:val="TableParagraph"/>
              <w:spacing w:before="42"/>
              <w:ind w:left="37"/>
              <w:rPr>
                <w:sz w:val="18"/>
              </w:rPr>
            </w:pPr>
            <w:r>
              <w:rPr>
                <w:sz w:val="18"/>
              </w:rPr>
              <w:t>Proceeds</w:t>
            </w:r>
            <w:r>
              <w:rPr>
                <w:spacing w:val="10"/>
                <w:sz w:val="18"/>
              </w:rPr>
              <w:t xml:space="preserve"> </w:t>
            </w:r>
            <w:r>
              <w:rPr>
                <w:sz w:val="18"/>
              </w:rPr>
              <w:t>from</w:t>
            </w:r>
            <w:r>
              <w:rPr>
                <w:spacing w:val="10"/>
                <w:sz w:val="18"/>
              </w:rPr>
              <w:t xml:space="preserve"> </w:t>
            </w:r>
            <w:r>
              <w:rPr>
                <w:spacing w:val="-2"/>
                <w:sz w:val="18"/>
              </w:rPr>
              <w:t>borrowings</w:t>
            </w:r>
          </w:p>
        </w:tc>
        <w:tc>
          <w:tcPr>
            <w:tcW w:w="1132" w:type="dxa"/>
            <w:shd w:val="clear" w:color="auto" w:fill="F1F1F1"/>
          </w:tcPr>
          <w:p w14:paraId="1AA71AD5" w14:textId="77777777" w:rsidR="00AC6F3C" w:rsidRDefault="00570E88">
            <w:pPr>
              <w:pStyle w:val="TableParagraph"/>
              <w:spacing w:before="42"/>
              <w:ind w:right="35"/>
              <w:jc w:val="right"/>
              <w:rPr>
                <w:sz w:val="18"/>
              </w:rPr>
            </w:pPr>
            <w:r>
              <w:rPr>
                <w:spacing w:val="-2"/>
                <w:sz w:val="18"/>
              </w:rPr>
              <w:t>10,000</w:t>
            </w:r>
          </w:p>
        </w:tc>
        <w:tc>
          <w:tcPr>
            <w:tcW w:w="1102" w:type="dxa"/>
          </w:tcPr>
          <w:p w14:paraId="17BD0FA9" w14:textId="77777777" w:rsidR="00AC6F3C" w:rsidRDefault="00570E88">
            <w:pPr>
              <w:pStyle w:val="TableParagraph"/>
              <w:spacing w:before="42"/>
              <w:ind w:right="20"/>
              <w:jc w:val="right"/>
              <w:rPr>
                <w:sz w:val="18"/>
              </w:rPr>
            </w:pPr>
            <w:r>
              <w:rPr>
                <w:w w:val="99"/>
                <w:sz w:val="18"/>
              </w:rPr>
              <w:t>-</w:t>
            </w:r>
          </w:p>
        </w:tc>
        <w:tc>
          <w:tcPr>
            <w:tcW w:w="1132" w:type="dxa"/>
            <w:shd w:val="clear" w:color="auto" w:fill="F1F1F1"/>
          </w:tcPr>
          <w:p w14:paraId="4B0E754D" w14:textId="77777777" w:rsidR="00AC6F3C" w:rsidRDefault="00570E88">
            <w:pPr>
              <w:pStyle w:val="TableParagraph"/>
              <w:spacing w:before="42"/>
              <w:ind w:right="35"/>
              <w:jc w:val="right"/>
              <w:rPr>
                <w:sz w:val="18"/>
              </w:rPr>
            </w:pPr>
            <w:r>
              <w:rPr>
                <w:spacing w:val="-2"/>
                <w:sz w:val="18"/>
              </w:rPr>
              <w:t>10,000</w:t>
            </w:r>
          </w:p>
        </w:tc>
        <w:tc>
          <w:tcPr>
            <w:tcW w:w="1110" w:type="dxa"/>
            <w:tcBorders>
              <w:right w:val="single" w:sz="6" w:space="0" w:color="000000"/>
            </w:tcBorders>
          </w:tcPr>
          <w:p w14:paraId="04B6D994" w14:textId="77777777" w:rsidR="00AC6F3C" w:rsidRDefault="00570E88">
            <w:pPr>
              <w:pStyle w:val="TableParagraph"/>
              <w:spacing w:before="42"/>
              <w:ind w:right="20"/>
              <w:jc w:val="right"/>
              <w:rPr>
                <w:sz w:val="18"/>
              </w:rPr>
            </w:pPr>
            <w:r>
              <w:rPr>
                <w:w w:val="99"/>
                <w:sz w:val="18"/>
              </w:rPr>
              <w:t>-</w:t>
            </w:r>
          </w:p>
        </w:tc>
      </w:tr>
      <w:tr w:rsidR="00AC6F3C" w14:paraId="70FEA75F" w14:textId="77777777">
        <w:trPr>
          <w:trHeight w:val="583"/>
        </w:trPr>
        <w:tc>
          <w:tcPr>
            <w:tcW w:w="4566" w:type="dxa"/>
            <w:gridSpan w:val="2"/>
            <w:tcBorders>
              <w:left w:val="single" w:sz="6" w:space="0" w:color="000000"/>
              <w:bottom w:val="single" w:sz="6" w:space="0" w:color="000000"/>
            </w:tcBorders>
          </w:tcPr>
          <w:p w14:paraId="3A49B896" w14:textId="77777777" w:rsidR="00AC6F3C" w:rsidRDefault="00570E88">
            <w:pPr>
              <w:pStyle w:val="TableParagraph"/>
              <w:spacing w:before="42"/>
              <w:ind w:left="37"/>
              <w:rPr>
                <w:sz w:val="18"/>
              </w:rPr>
            </w:pPr>
            <w:r>
              <w:rPr>
                <w:sz w:val="18"/>
              </w:rPr>
              <w:t>Repayment</w:t>
            </w:r>
            <w:r>
              <w:rPr>
                <w:spacing w:val="-3"/>
                <w:sz w:val="18"/>
              </w:rPr>
              <w:t xml:space="preserve"> </w:t>
            </w:r>
            <w:r>
              <w:rPr>
                <w:sz w:val="18"/>
              </w:rPr>
              <w:t>of</w:t>
            </w:r>
            <w:r>
              <w:rPr>
                <w:spacing w:val="-3"/>
                <w:sz w:val="18"/>
              </w:rPr>
              <w:t xml:space="preserve"> </w:t>
            </w:r>
            <w:r>
              <w:rPr>
                <w:spacing w:val="-2"/>
                <w:sz w:val="18"/>
              </w:rPr>
              <w:t>borrowings</w:t>
            </w:r>
          </w:p>
        </w:tc>
        <w:tc>
          <w:tcPr>
            <w:tcW w:w="1132" w:type="dxa"/>
            <w:tcBorders>
              <w:bottom w:val="single" w:sz="6" w:space="0" w:color="000000"/>
            </w:tcBorders>
            <w:shd w:val="clear" w:color="auto" w:fill="F1F1F1"/>
          </w:tcPr>
          <w:p w14:paraId="393B3553" w14:textId="77777777" w:rsidR="00AC6F3C" w:rsidRDefault="00570E88">
            <w:pPr>
              <w:pStyle w:val="TableParagraph"/>
              <w:spacing w:before="42"/>
              <w:ind w:right="32"/>
              <w:jc w:val="right"/>
              <w:rPr>
                <w:sz w:val="18"/>
              </w:rPr>
            </w:pPr>
            <w:r>
              <w:rPr>
                <w:spacing w:val="-2"/>
                <w:sz w:val="18"/>
              </w:rPr>
              <w:t>(189)</w:t>
            </w:r>
          </w:p>
        </w:tc>
        <w:tc>
          <w:tcPr>
            <w:tcW w:w="1102" w:type="dxa"/>
            <w:tcBorders>
              <w:bottom w:val="single" w:sz="6" w:space="0" w:color="000000"/>
            </w:tcBorders>
          </w:tcPr>
          <w:p w14:paraId="2F797B08" w14:textId="77777777" w:rsidR="00AC6F3C" w:rsidRDefault="00570E88">
            <w:pPr>
              <w:pStyle w:val="TableParagraph"/>
              <w:spacing w:before="42"/>
              <w:ind w:right="20"/>
              <w:jc w:val="right"/>
              <w:rPr>
                <w:sz w:val="18"/>
              </w:rPr>
            </w:pPr>
            <w:r>
              <w:rPr>
                <w:w w:val="99"/>
                <w:sz w:val="18"/>
              </w:rPr>
              <w:t>-</w:t>
            </w:r>
          </w:p>
        </w:tc>
        <w:tc>
          <w:tcPr>
            <w:tcW w:w="1132" w:type="dxa"/>
            <w:tcBorders>
              <w:bottom w:val="single" w:sz="6" w:space="0" w:color="000000"/>
            </w:tcBorders>
            <w:shd w:val="clear" w:color="auto" w:fill="F1F1F1"/>
          </w:tcPr>
          <w:p w14:paraId="6271BF7D" w14:textId="77777777" w:rsidR="00AC6F3C" w:rsidRDefault="00570E88">
            <w:pPr>
              <w:pStyle w:val="TableParagraph"/>
              <w:spacing w:before="42"/>
              <w:ind w:right="30"/>
              <w:jc w:val="right"/>
              <w:rPr>
                <w:sz w:val="18"/>
              </w:rPr>
            </w:pPr>
            <w:r>
              <w:rPr>
                <w:spacing w:val="-2"/>
                <w:sz w:val="18"/>
              </w:rPr>
              <w:t>(189)</w:t>
            </w:r>
          </w:p>
        </w:tc>
        <w:tc>
          <w:tcPr>
            <w:tcW w:w="1110" w:type="dxa"/>
            <w:tcBorders>
              <w:bottom w:val="single" w:sz="6" w:space="0" w:color="000000"/>
              <w:right w:val="single" w:sz="6" w:space="0" w:color="000000"/>
            </w:tcBorders>
          </w:tcPr>
          <w:p w14:paraId="40CC1998" w14:textId="77777777" w:rsidR="00AC6F3C" w:rsidRDefault="00570E88">
            <w:pPr>
              <w:pStyle w:val="TableParagraph"/>
              <w:spacing w:before="42"/>
              <w:ind w:right="20"/>
              <w:jc w:val="right"/>
              <w:rPr>
                <w:sz w:val="18"/>
              </w:rPr>
            </w:pPr>
            <w:r>
              <w:rPr>
                <w:w w:val="99"/>
                <w:sz w:val="18"/>
              </w:rPr>
              <w:t>-</w:t>
            </w:r>
          </w:p>
        </w:tc>
      </w:tr>
      <w:tr w:rsidR="00AC6F3C" w14:paraId="1B7EBEB4" w14:textId="77777777">
        <w:trPr>
          <w:trHeight w:val="461"/>
        </w:trPr>
        <w:tc>
          <w:tcPr>
            <w:tcW w:w="3756" w:type="dxa"/>
            <w:tcBorders>
              <w:top w:val="single" w:sz="6" w:space="0" w:color="000000"/>
              <w:left w:val="single" w:sz="6" w:space="0" w:color="000000"/>
              <w:bottom w:val="single" w:sz="6" w:space="0" w:color="000000"/>
            </w:tcBorders>
            <w:shd w:val="clear" w:color="auto" w:fill="BEBEBE"/>
          </w:tcPr>
          <w:p w14:paraId="7467C877" w14:textId="77777777" w:rsidR="00AC6F3C" w:rsidRDefault="00570E88">
            <w:pPr>
              <w:pStyle w:val="TableParagraph"/>
              <w:spacing w:before="10"/>
              <w:ind w:left="37"/>
              <w:rPr>
                <w:b/>
                <w:sz w:val="18"/>
              </w:rPr>
            </w:pPr>
            <w:r>
              <w:rPr>
                <w:b/>
                <w:sz w:val="18"/>
              </w:rPr>
              <w:t>Net</w:t>
            </w:r>
            <w:r>
              <w:rPr>
                <w:b/>
                <w:spacing w:val="-10"/>
                <w:sz w:val="18"/>
              </w:rPr>
              <w:t xml:space="preserve"> </w:t>
            </w:r>
            <w:r>
              <w:rPr>
                <w:b/>
                <w:sz w:val="18"/>
              </w:rPr>
              <w:t>cash</w:t>
            </w:r>
            <w:r>
              <w:rPr>
                <w:b/>
                <w:spacing w:val="-12"/>
                <w:sz w:val="18"/>
              </w:rPr>
              <w:t xml:space="preserve"> </w:t>
            </w:r>
            <w:r>
              <w:rPr>
                <w:b/>
                <w:sz w:val="18"/>
              </w:rPr>
              <w:t>generated</w:t>
            </w:r>
            <w:r>
              <w:rPr>
                <w:b/>
                <w:spacing w:val="-13"/>
                <w:sz w:val="18"/>
              </w:rPr>
              <w:t xml:space="preserve"> </w:t>
            </w:r>
            <w:r>
              <w:rPr>
                <w:b/>
                <w:sz w:val="18"/>
              </w:rPr>
              <w:t>from/(used</w:t>
            </w:r>
            <w:r>
              <w:rPr>
                <w:b/>
                <w:spacing w:val="-12"/>
                <w:sz w:val="18"/>
              </w:rPr>
              <w:t xml:space="preserve"> </w:t>
            </w:r>
            <w:r>
              <w:rPr>
                <w:b/>
                <w:spacing w:val="-5"/>
                <w:sz w:val="18"/>
              </w:rPr>
              <w:t>in)</w:t>
            </w:r>
          </w:p>
          <w:p w14:paraId="4C827F3B" w14:textId="77777777" w:rsidR="00AC6F3C" w:rsidRDefault="00570E88">
            <w:pPr>
              <w:pStyle w:val="TableParagraph"/>
              <w:spacing w:before="31" w:line="194" w:lineRule="exact"/>
              <w:ind w:left="37"/>
              <w:rPr>
                <w:b/>
                <w:sz w:val="18"/>
              </w:rPr>
            </w:pPr>
            <w:r>
              <w:rPr>
                <w:b/>
                <w:spacing w:val="-4"/>
                <w:sz w:val="18"/>
              </w:rPr>
              <w:t>financing</w:t>
            </w:r>
            <w:r>
              <w:rPr>
                <w:b/>
                <w:spacing w:val="-3"/>
                <w:sz w:val="18"/>
              </w:rPr>
              <w:t xml:space="preserve"> </w:t>
            </w:r>
            <w:r>
              <w:rPr>
                <w:b/>
                <w:spacing w:val="-2"/>
                <w:sz w:val="18"/>
              </w:rPr>
              <w:t>activities</w:t>
            </w:r>
          </w:p>
        </w:tc>
        <w:tc>
          <w:tcPr>
            <w:tcW w:w="810" w:type="dxa"/>
            <w:tcBorders>
              <w:top w:val="single" w:sz="6" w:space="0" w:color="000000"/>
              <w:bottom w:val="single" w:sz="6" w:space="0" w:color="000000"/>
            </w:tcBorders>
            <w:shd w:val="clear" w:color="auto" w:fill="BEBEBE"/>
          </w:tcPr>
          <w:p w14:paraId="4557D9F8" w14:textId="77777777" w:rsidR="00AC6F3C" w:rsidRDefault="00AC6F3C">
            <w:pPr>
              <w:pStyle w:val="TableParagraph"/>
              <w:rPr>
                <w:rFonts w:ascii="Times New Roman"/>
                <w:sz w:val="18"/>
              </w:rPr>
            </w:pPr>
          </w:p>
        </w:tc>
        <w:tc>
          <w:tcPr>
            <w:tcW w:w="1132" w:type="dxa"/>
            <w:tcBorders>
              <w:top w:val="single" w:sz="6" w:space="0" w:color="000000"/>
              <w:bottom w:val="single" w:sz="6" w:space="0" w:color="000000"/>
            </w:tcBorders>
            <w:shd w:val="clear" w:color="auto" w:fill="BEBEBE"/>
          </w:tcPr>
          <w:p w14:paraId="5651C946" w14:textId="77777777" w:rsidR="00AC6F3C" w:rsidRDefault="00570E88">
            <w:pPr>
              <w:pStyle w:val="TableParagraph"/>
              <w:spacing w:before="129"/>
              <w:ind w:right="35"/>
              <w:jc w:val="right"/>
              <w:rPr>
                <w:b/>
                <w:sz w:val="18"/>
              </w:rPr>
            </w:pPr>
            <w:r>
              <w:rPr>
                <w:b/>
                <w:spacing w:val="-2"/>
                <w:sz w:val="18"/>
              </w:rPr>
              <w:t>9,811</w:t>
            </w:r>
          </w:p>
        </w:tc>
        <w:tc>
          <w:tcPr>
            <w:tcW w:w="1102" w:type="dxa"/>
            <w:tcBorders>
              <w:top w:val="single" w:sz="6" w:space="0" w:color="000000"/>
              <w:bottom w:val="single" w:sz="6" w:space="0" w:color="000000"/>
            </w:tcBorders>
            <w:shd w:val="clear" w:color="auto" w:fill="BEBEBE"/>
          </w:tcPr>
          <w:p w14:paraId="1AA35587" w14:textId="77777777" w:rsidR="00AC6F3C" w:rsidRDefault="00570E88">
            <w:pPr>
              <w:pStyle w:val="TableParagraph"/>
              <w:spacing w:before="129"/>
              <w:ind w:right="20"/>
              <w:jc w:val="right"/>
              <w:rPr>
                <w:b/>
                <w:sz w:val="18"/>
              </w:rPr>
            </w:pPr>
            <w:r>
              <w:rPr>
                <w:b/>
                <w:w w:val="99"/>
                <w:sz w:val="18"/>
              </w:rPr>
              <w:t>-</w:t>
            </w:r>
          </w:p>
        </w:tc>
        <w:tc>
          <w:tcPr>
            <w:tcW w:w="1132" w:type="dxa"/>
            <w:tcBorders>
              <w:top w:val="single" w:sz="6" w:space="0" w:color="000000"/>
              <w:bottom w:val="single" w:sz="6" w:space="0" w:color="000000"/>
            </w:tcBorders>
            <w:shd w:val="clear" w:color="auto" w:fill="BEBEBE"/>
          </w:tcPr>
          <w:p w14:paraId="0714E062" w14:textId="77777777" w:rsidR="00AC6F3C" w:rsidRDefault="00570E88">
            <w:pPr>
              <w:pStyle w:val="TableParagraph"/>
              <w:spacing w:before="129"/>
              <w:ind w:right="35"/>
              <w:jc w:val="right"/>
              <w:rPr>
                <w:b/>
                <w:sz w:val="18"/>
              </w:rPr>
            </w:pPr>
            <w:r>
              <w:rPr>
                <w:b/>
                <w:spacing w:val="-2"/>
                <w:sz w:val="18"/>
              </w:rPr>
              <w:t>9,811</w:t>
            </w:r>
          </w:p>
        </w:tc>
        <w:tc>
          <w:tcPr>
            <w:tcW w:w="1110" w:type="dxa"/>
            <w:tcBorders>
              <w:top w:val="single" w:sz="6" w:space="0" w:color="000000"/>
              <w:bottom w:val="single" w:sz="6" w:space="0" w:color="000000"/>
              <w:right w:val="single" w:sz="6" w:space="0" w:color="000000"/>
            </w:tcBorders>
            <w:shd w:val="clear" w:color="auto" w:fill="BEBEBE"/>
          </w:tcPr>
          <w:p w14:paraId="46F0B5E4" w14:textId="77777777" w:rsidR="00AC6F3C" w:rsidRDefault="00570E88">
            <w:pPr>
              <w:pStyle w:val="TableParagraph"/>
              <w:spacing w:before="129"/>
              <w:ind w:right="20"/>
              <w:jc w:val="right"/>
              <w:rPr>
                <w:b/>
                <w:sz w:val="18"/>
              </w:rPr>
            </w:pPr>
            <w:r>
              <w:rPr>
                <w:b/>
                <w:w w:val="99"/>
                <w:sz w:val="18"/>
              </w:rPr>
              <w:t>-</w:t>
            </w:r>
          </w:p>
        </w:tc>
      </w:tr>
      <w:tr w:rsidR="00AC6F3C" w14:paraId="1B1C7795" w14:textId="77777777">
        <w:trPr>
          <w:trHeight w:val="282"/>
        </w:trPr>
        <w:tc>
          <w:tcPr>
            <w:tcW w:w="4566" w:type="dxa"/>
            <w:gridSpan w:val="2"/>
            <w:tcBorders>
              <w:top w:val="single" w:sz="6" w:space="0" w:color="000000"/>
              <w:left w:val="single" w:sz="6" w:space="0" w:color="000000"/>
              <w:bottom w:val="single" w:sz="6" w:space="0" w:color="000000"/>
            </w:tcBorders>
          </w:tcPr>
          <w:p w14:paraId="6866AED1" w14:textId="77777777" w:rsidR="00AC6F3C" w:rsidRDefault="00AC6F3C">
            <w:pPr>
              <w:pStyle w:val="TableParagraph"/>
              <w:rPr>
                <w:rFonts w:ascii="Times New Roman"/>
                <w:sz w:val="18"/>
              </w:rPr>
            </w:pPr>
          </w:p>
        </w:tc>
        <w:tc>
          <w:tcPr>
            <w:tcW w:w="1132" w:type="dxa"/>
            <w:tcBorders>
              <w:top w:val="single" w:sz="6" w:space="0" w:color="000000"/>
              <w:bottom w:val="single" w:sz="6" w:space="0" w:color="000000"/>
            </w:tcBorders>
            <w:shd w:val="clear" w:color="auto" w:fill="F1F1F1"/>
          </w:tcPr>
          <w:p w14:paraId="464D874E" w14:textId="77777777" w:rsidR="00AC6F3C" w:rsidRDefault="00AC6F3C">
            <w:pPr>
              <w:pStyle w:val="TableParagraph"/>
              <w:rPr>
                <w:rFonts w:ascii="Times New Roman"/>
                <w:sz w:val="18"/>
              </w:rPr>
            </w:pPr>
          </w:p>
        </w:tc>
        <w:tc>
          <w:tcPr>
            <w:tcW w:w="1102" w:type="dxa"/>
            <w:tcBorders>
              <w:top w:val="single" w:sz="6" w:space="0" w:color="000000"/>
              <w:bottom w:val="single" w:sz="6" w:space="0" w:color="000000"/>
            </w:tcBorders>
          </w:tcPr>
          <w:p w14:paraId="274C8D16" w14:textId="77777777" w:rsidR="00AC6F3C" w:rsidRDefault="00AC6F3C">
            <w:pPr>
              <w:pStyle w:val="TableParagraph"/>
              <w:rPr>
                <w:rFonts w:ascii="Times New Roman"/>
                <w:sz w:val="18"/>
              </w:rPr>
            </w:pPr>
          </w:p>
        </w:tc>
        <w:tc>
          <w:tcPr>
            <w:tcW w:w="1132" w:type="dxa"/>
            <w:tcBorders>
              <w:top w:val="single" w:sz="6" w:space="0" w:color="000000"/>
              <w:bottom w:val="single" w:sz="6" w:space="0" w:color="000000"/>
            </w:tcBorders>
            <w:shd w:val="clear" w:color="auto" w:fill="F1F1F1"/>
          </w:tcPr>
          <w:p w14:paraId="3ECD3EFD" w14:textId="77777777" w:rsidR="00AC6F3C" w:rsidRDefault="00AC6F3C">
            <w:pPr>
              <w:pStyle w:val="TableParagraph"/>
              <w:rPr>
                <w:rFonts w:ascii="Times New Roman"/>
                <w:sz w:val="18"/>
              </w:rPr>
            </w:pPr>
          </w:p>
        </w:tc>
        <w:tc>
          <w:tcPr>
            <w:tcW w:w="1110" w:type="dxa"/>
            <w:tcBorders>
              <w:top w:val="single" w:sz="6" w:space="0" w:color="000000"/>
              <w:bottom w:val="single" w:sz="6" w:space="0" w:color="000000"/>
              <w:right w:val="single" w:sz="6" w:space="0" w:color="000000"/>
            </w:tcBorders>
          </w:tcPr>
          <w:p w14:paraId="62F63A03" w14:textId="77777777" w:rsidR="00AC6F3C" w:rsidRDefault="00AC6F3C">
            <w:pPr>
              <w:pStyle w:val="TableParagraph"/>
              <w:rPr>
                <w:rFonts w:ascii="Times New Roman"/>
                <w:sz w:val="18"/>
              </w:rPr>
            </w:pPr>
          </w:p>
        </w:tc>
      </w:tr>
      <w:tr w:rsidR="00AC6F3C" w14:paraId="0D1C9B98" w14:textId="77777777">
        <w:trPr>
          <w:trHeight w:val="461"/>
        </w:trPr>
        <w:tc>
          <w:tcPr>
            <w:tcW w:w="3756" w:type="dxa"/>
            <w:tcBorders>
              <w:top w:val="single" w:sz="6" w:space="0" w:color="000000"/>
              <w:left w:val="single" w:sz="6" w:space="0" w:color="000000"/>
              <w:bottom w:val="single" w:sz="6" w:space="0" w:color="000000"/>
            </w:tcBorders>
            <w:shd w:val="clear" w:color="auto" w:fill="BEBEBE"/>
          </w:tcPr>
          <w:p w14:paraId="2E245796" w14:textId="77777777" w:rsidR="00AC6F3C" w:rsidRDefault="00570E88">
            <w:pPr>
              <w:pStyle w:val="TableParagraph"/>
              <w:spacing w:before="10"/>
              <w:ind w:left="37"/>
              <w:rPr>
                <w:b/>
                <w:sz w:val="18"/>
              </w:rPr>
            </w:pPr>
            <w:r>
              <w:rPr>
                <w:b/>
                <w:sz w:val="18"/>
              </w:rPr>
              <w:t>Net</w:t>
            </w:r>
            <w:r>
              <w:rPr>
                <w:b/>
                <w:spacing w:val="-6"/>
                <w:sz w:val="18"/>
              </w:rPr>
              <w:t xml:space="preserve"> </w:t>
            </w:r>
            <w:r>
              <w:rPr>
                <w:b/>
                <w:sz w:val="18"/>
              </w:rPr>
              <w:t>increase/(decrease)</w:t>
            </w:r>
            <w:r>
              <w:rPr>
                <w:b/>
                <w:spacing w:val="-5"/>
                <w:sz w:val="18"/>
              </w:rPr>
              <w:t xml:space="preserve"> </w:t>
            </w:r>
            <w:r>
              <w:rPr>
                <w:b/>
                <w:sz w:val="18"/>
              </w:rPr>
              <w:t>in</w:t>
            </w:r>
            <w:r>
              <w:rPr>
                <w:b/>
                <w:spacing w:val="-10"/>
                <w:sz w:val="18"/>
              </w:rPr>
              <w:t xml:space="preserve"> </w:t>
            </w:r>
            <w:r>
              <w:rPr>
                <w:b/>
                <w:sz w:val="18"/>
              </w:rPr>
              <w:t>cash</w:t>
            </w:r>
            <w:r>
              <w:rPr>
                <w:b/>
                <w:spacing w:val="-11"/>
                <w:sz w:val="18"/>
              </w:rPr>
              <w:t xml:space="preserve"> </w:t>
            </w:r>
            <w:r>
              <w:rPr>
                <w:b/>
                <w:sz w:val="18"/>
              </w:rPr>
              <w:t>and</w:t>
            </w:r>
            <w:r>
              <w:rPr>
                <w:b/>
                <w:spacing w:val="-10"/>
                <w:sz w:val="18"/>
              </w:rPr>
              <w:t xml:space="preserve"> </w:t>
            </w:r>
            <w:r>
              <w:rPr>
                <w:b/>
                <w:spacing w:val="-4"/>
                <w:sz w:val="18"/>
              </w:rPr>
              <w:t>cash</w:t>
            </w:r>
          </w:p>
          <w:p w14:paraId="4340E1C5" w14:textId="77777777" w:rsidR="00AC6F3C" w:rsidRDefault="00570E88">
            <w:pPr>
              <w:pStyle w:val="TableParagraph"/>
              <w:spacing w:before="31" w:line="194" w:lineRule="exact"/>
              <w:ind w:left="37"/>
              <w:rPr>
                <w:b/>
                <w:sz w:val="18"/>
              </w:rPr>
            </w:pPr>
            <w:r>
              <w:rPr>
                <w:b/>
                <w:spacing w:val="-4"/>
                <w:sz w:val="18"/>
              </w:rPr>
              <w:t>equivalents</w:t>
            </w:r>
            <w:r>
              <w:rPr>
                <w:b/>
                <w:spacing w:val="5"/>
                <w:sz w:val="18"/>
              </w:rPr>
              <w:t xml:space="preserve"> </w:t>
            </w:r>
            <w:r>
              <w:rPr>
                <w:b/>
                <w:spacing w:val="-4"/>
                <w:sz w:val="18"/>
              </w:rPr>
              <w:t>held</w:t>
            </w:r>
          </w:p>
        </w:tc>
        <w:tc>
          <w:tcPr>
            <w:tcW w:w="810" w:type="dxa"/>
            <w:tcBorders>
              <w:top w:val="single" w:sz="6" w:space="0" w:color="000000"/>
              <w:bottom w:val="single" w:sz="6" w:space="0" w:color="000000"/>
            </w:tcBorders>
            <w:shd w:val="clear" w:color="auto" w:fill="BEBEBE"/>
          </w:tcPr>
          <w:p w14:paraId="2B2218F6" w14:textId="77777777" w:rsidR="00AC6F3C" w:rsidRDefault="00AC6F3C">
            <w:pPr>
              <w:pStyle w:val="TableParagraph"/>
              <w:rPr>
                <w:rFonts w:ascii="Times New Roman"/>
                <w:sz w:val="18"/>
              </w:rPr>
            </w:pPr>
          </w:p>
        </w:tc>
        <w:tc>
          <w:tcPr>
            <w:tcW w:w="1132" w:type="dxa"/>
            <w:tcBorders>
              <w:top w:val="single" w:sz="6" w:space="0" w:color="000000"/>
              <w:bottom w:val="single" w:sz="6" w:space="0" w:color="000000"/>
            </w:tcBorders>
            <w:shd w:val="clear" w:color="auto" w:fill="BEBEBE"/>
          </w:tcPr>
          <w:p w14:paraId="56245967" w14:textId="77777777" w:rsidR="00AC6F3C" w:rsidRDefault="00570E88">
            <w:pPr>
              <w:pStyle w:val="TableParagraph"/>
              <w:spacing w:before="129"/>
              <w:ind w:right="35"/>
              <w:jc w:val="right"/>
              <w:rPr>
                <w:b/>
                <w:sz w:val="18"/>
              </w:rPr>
            </w:pPr>
            <w:r>
              <w:rPr>
                <w:b/>
                <w:spacing w:val="-2"/>
                <w:sz w:val="18"/>
              </w:rPr>
              <w:t>3,182</w:t>
            </w:r>
          </w:p>
        </w:tc>
        <w:tc>
          <w:tcPr>
            <w:tcW w:w="1102" w:type="dxa"/>
            <w:tcBorders>
              <w:top w:val="single" w:sz="6" w:space="0" w:color="000000"/>
              <w:bottom w:val="single" w:sz="6" w:space="0" w:color="000000"/>
            </w:tcBorders>
            <w:shd w:val="clear" w:color="auto" w:fill="BEBEBE"/>
          </w:tcPr>
          <w:p w14:paraId="4B869B8F" w14:textId="77777777" w:rsidR="00AC6F3C" w:rsidRDefault="00570E88">
            <w:pPr>
              <w:pStyle w:val="TableParagraph"/>
              <w:spacing w:before="129"/>
              <w:ind w:right="20"/>
              <w:jc w:val="right"/>
              <w:rPr>
                <w:b/>
                <w:sz w:val="18"/>
              </w:rPr>
            </w:pPr>
            <w:r>
              <w:rPr>
                <w:b/>
                <w:spacing w:val="-2"/>
                <w:sz w:val="18"/>
              </w:rPr>
              <w:t>2,490</w:t>
            </w:r>
          </w:p>
        </w:tc>
        <w:tc>
          <w:tcPr>
            <w:tcW w:w="1132" w:type="dxa"/>
            <w:tcBorders>
              <w:top w:val="single" w:sz="6" w:space="0" w:color="000000"/>
              <w:bottom w:val="single" w:sz="6" w:space="0" w:color="000000"/>
            </w:tcBorders>
            <w:shd w:val="clear" w:color="auto" w:fill="BEBEBE"/>
          </w:tcPr>
          <w:p w14:paraId="060AA04F" w14:textId="77777777" w:rsidR="00AC6F3C" w:rsidRDefault="00570E88">
            <w:pPr>
              <w:pStyle w:val="TableParagraph"/>
              <w:spacing w:before="129"/>
              <w:ind w:right="35"/>
              <w:jc w:val="right"/>
              <w:rPr>
                <w:b/>
                <w:sz w:val="18"/>
              </w:rPr>
            </w:pPr>
            <w:r>
              <w:rPr>
                <w:b/>
                <w:spacing w:val="-2"/>
                <w:sz w:val="18"/>
              </w:rPr>
              <w:t>2,271</w:t>
            </w:r>
          </w:p>
        </w:tc>
        <w:tc>
          <w:tcPr>
            <w:tcW w:w="1110" w:type="dxa"/>
            <w:tcBorders>
              <w:top w:val="single" w:sz="6" w:space="0" w:color="000000"/>
              <w:bottom w:val="single" w:sz="6" w:space="0" w:color="000000"/>
            </w:tcBorders>
            <w:shd w:val="clear" w:color="auto" w:fill="BEBEBE"/>
          </w:tcPr>
          <w:p w14:paraId="60B4A4A1" w14:textId="77777777" w:rsidR="00AC6F3C" w:rsidRDefault="00570E88">
            <w:pPr>
              <w:pStyle w:val="TableParagraph"/>
              <w:spacing w:before="129"/>
              <w:ind w:right="28"/>
              <w:jc w:val="right"/>
              <w:rPr>
                <w:b/>
                <w:sz w:val="18"/>
              </w:rPr>
            </w:pPr>
            <w:r>
              <w:rPr>
                <w:b/>
                <w:spacing w:val="-2"/>
                <w:sz w:val="18"/>
              </w:rPr>
              <w:t>28,190</w:t>
            </w:r>
          </w:p>
        </w:tc>
      </w:tr>
      <w:tr w:rsidR="00AC6F3C" w14:paraId="410A55B0" w14:textId="77777777">
        <w:trPr>
          <w:trHeight w:val="461"/>
        </w:trPr>
        <w:tc>
          <w:tcPr>
            <w:tcW w:w="4566" w:type="dxa"/>
            <w:gridSpan w:val="2"/>
            <w:tcBorders>
              <w:top w:val="single" w:sz="6" w:space="0" w:color="000000"/>
              <w:left w:val="single" w:sz="6" w:space="0" w:color="000000"/>
              <w:bottom w:val="single" w:sz="6" w:space="0" w:color="000000"/>
            </w:tcBorders>
          </w:tcPr>
          <w:p w14:paraId="1D89C74D" w14:textId="77777777" w:rsidR="00AC6F3C" w:rsidRDefault="00570E88">
            <w:pPr>
              <w:pStyle w:val="TableParagraph"/>
              <w:spacing w:before="10"/>
              <w:ind w:left="37"/>
              <w:rPr>
                <w:b/>
                <w:sz w:val="18"/>
              </w:rPr>
            </w:pPr>
            <w:r>
              <w:rPr>
                <w:b/>
                <w:spacing w:val="-2"/>
                <w:sz w:val="18"/>
              </w:rPr>
              <w:t>Cash</w:t>
            </w:r>
            <w:r>
              <w:rPr>
                <w:b/>
                <w:spacing w:val="-9"/>
                <w:sz w:val="18"/>
              </w:rPr>
              <w:t xml:space="preserve"> </w:t>
            </w:r>
            <w:r>
              <w:rPr>
                <w:b/>
                <w:spacing w:val="-2"/>
                <w:sz w:val="18"/>
              </w:rPr>
              <w:t>and</w:t>
            </w:r>
            <w:r>
              <w:rPr>
                <w:b/>
                <w:spacing w:val="-8"/>
                <w:sz w:val="18"/>
              </w:rPr>
              <w:t xml:space="preserve"> </w:t>
            </w:r>
            <w:r>
              <w:rPr>
                <w:b/>
                <w:spacing w:val="-2"/>
                <w:sz w:val="18"/>
              </w:rPr>
              <w:t>cash</w:t>
            </w:r>
            <w:r>
              <w:rPr>
                <w:b/>
                <w:spacing w:val="-9"/>
                <w:sz w:val="18"/>
              </w:rPr>
              <w:t xml:space="preserve"> </w:t>
            </w:r>
            <w:r>
              <w:rPr>
                <w:b/>
                <w:spacing w:val="-2"/>
                <w:sz w:val="18"/>
              </w:rPr>
              <w:t>equivalents</w:t>
            </w:r>
            <w:r>
              <w:rPr>
                <w:b/>
                <w:spacing w:val="2"/>
                <w:sz w:val="18"/>
              </w:rPr>
              <w:t xml:space="preserve"> </w:t>
            </w:r>
            <w:r>
              <w:rPr>
                <w:b/>
                <w:spacing w:val="-2"/>
                <w:sz w:val="18"/>
              </w:rPr>
              <w:t>at</w:t>
            </w:r>
            <w:r>
              <w:rPr>
                <w:b/>
                <w:spacing w:val="-3"/>
                <w:sz w:val="18"/>
              </w:rPr>
              <w:t xml:space="preserve"> </w:t>
            </w:r>
            <w:r>
              <w:rPr>
                <w:b/>
                <w:spacing w:val="-5"/>
                <w:sz w:val="18"/>
              </w:rPr>
              <w:t>the</w:t>
            </w:r>
          </w:p>
          <w:p w14:paraId="49AF8779" w14:textId="77777777" w:rsidR="00AC6F3C" w:rsidRDefault="00570E88">
            <w:pPr>
              <w:pStyle w:val="TableParagraph"/>
              <w:spacing w:before="31" w:line="194" w:lineRule="exact"/>
              <w:ind w:left="37"/>
              <w:rPr>
                <w:b/>
                <w:sz w:val="18"/>
              </w:rPr>
            </w:pPr>
            <w:r>
              <w:rPr>
                <w:b/>
                <w:spacing w:val="-4"/>
                <w:sz w:val="18"/>
              </w:rPr>
              <w:t>beginning</w:t>
            </w:r>
            <w:r>
              <w:rPr>
                <w:b/>
                <w:spacing w:val="-11"/>
                <w:sz w:val="18"/>
              </w:rPr>
              <w:t xml:space="preserve"> </w:t>
            </w:r>
            <w:r>
              <w:rPr>
                <w:b/>
                <w:spacing w:val="-4"/>
                <w:sz w:val="18"/>
              </w:rPr>
              <w:t>of</w:t>
            </w:r>
            <w:r>
              <w:rPr>
                <w:b/>
                <w:spacing w:val="-6"/>
                <w:sz w:val="18"/>
              </w:rPr>
              <w:t xml:space="preserve"> </w:t>
            </w:r>
            <w:r>
              <w:rPr>
                <w:b/>
                <w:spacing w:val="-4"/>
                <w:sz w:val="18"/>
              </w:rPr>
              <w:t>the</w:t>
            </w:r>
            <w:r>
              <w:rPr>
                <w:b/>
                <w:spacing w:val="-1"/>
                <w:sz w:val="18"/>
              </w:rPr>
              <w:t xml:space="preserve"> </w:t>
            </w:r>
            <w:r>
              <w:rPr>
                <w:b/>
                <w:spacing w:val="-4"/>
                <w:sz w:val="18"/>
              </w:rPr>
              <w:t>year</w:t>
            </w:r>
          </w:p>
        </w:tc>
        <w:tc>
          <w:tcPr>
            <w:tcW w:w="1132" w:type="dxa"/>
            <w:tcBorders>
              <w:top w:val="single" w:sz="6" w:space="0" w:color="000000"/>
              <w:bottom w:val="single" w:sz="6" w:space="0" w:color="000000"/>
            </w:tcBorders>
            <w:shd w:val="clear" w:color="auto" w:fill="F1F1F1"/>
          </w:tcPr>
          <w:p w14:paraId="6DED1721" w14:textId="77777777" w:rsidR="00AC6F3C" w:rsidRDefault="00570E88">
            <w:pPr>
              <w:pStyle w:val="TableParagraph"/>
              <w:spacing w:before="129"/>
              <w:ind w:right="35"/>
              <w:jc w:val="right"/>
              <w:rPr>
                <w:b/>
                <w:sz w:val="18"/>
              </w:rPr>
            </w:pPr>
            <w:r>
              <w:rPr>
                <w:b/>
                <w:spacing w:val="-2"/>
                <w:sz w:val="18"/>
              </w:rPr>
              <w:t>69,350</w:t>
            </w:r>
          </w:p>
        </w:tc>
        <w:tc>
          <w:tcPr>
            <w:tcW w:w="1102" w:type="dxa"/>
            <w:tcBorders>
              <w:top w:val="single" w:sz="6" w:space="0" w:color="000000"/>
              <w:bottom w:val="single" w:sz="6" w:space="0" w:color="000000"/>
            </w:tcBorders>
          </w:tcPr>
          <w:p w14:paraId="3B9D3597" w14:textId="77777777" w:rsidR="00AC6F3C" w:rsidRDefault="00570E88">
            <w:pPr>
              <w:pStyle w:val="TableParagraph"/>
              <w:spacing w:before="129"/>
              <w:ind w:right="20"/>
              <w:jc w:val="right"/>
              <w:rPr>
                <w:b/>
                <w:sz w:val="18"/>
              </w:rPr>
            </w:pPr>
            <w:r>
              <w:rPr>
                <w:b/>
                <w:spacing w:val="-2"/>
                <w:sz w:val="18"/>
              </w:rPr>
              <w:t>66,860</w:t>
            </w:r>
          </w:p>
        </w:tc>
        <w:tc>
          <w:tcPr>
            <w:tcW w:w="1132" w:type="dxa"/>
            <w:tcBorders>
              <w:top w:val="single" w:sz="6" w:space="0" w:color="000000"/>
              <w:bottom w:val="single" w:sz="6" w:space="0" w:color="000000"/>
            </w:tcBorders>
            <w:shd w:val="clear" w:color="auto" w:fill="F1F1F1"/>
          </w:tcPr>
          <w:p w14:paraId="191DAB37" w14:textId="77777777" w:rsidR="00AC6F3C" w:rsidRDefault="00570E88">
            <w:pPr>
              <w:pStyle w:val="TableParagraph"/>
              <w:spacing w:before="129"/>
              <w:ind w:right="35"/>
              <w:jc w:val="right"/>
              <w:rPr>
                <w:b/>
                <w:sz w:val="18"/>
              </w:rPr>
            </w:pPr>
            <w:r>
              <w:rPr>
                <w:b/>
                <w:spacing w:val="-2"/>
                <w:sz w:val="18"/>
              </w:rPr>
              <w:t>64,186</w:t>
            </w:r>
          </w:p>
        </w:tc>
        <w:tc>
          <w:tcPr>
            <w:tcW w:w="1110" w:type="dxa"/>
            <w:tcBorders>
              <w:top w:val="single" w:sz="6" w:space="0" w:color="000000"/>
              <w:bottom w:val="single" w:sz="6" w:space="0" w:color="000000"/>
              <w:right w:val="single" w:sz="6" w:space="0" w:color="000000"/>
            </w:tcBorders>
          </w:tcPr>
          <w:p w14:paraId="223E09CA" w14:textId="77777777" w:rsidR="00AC6F3C" w:rsidRDefault="00570E88">
            <w:pPr>
              <w:pStyle w:val="TableParagraph"/>
              <w:spacing w:before="129"/>
              <w:ind w:right="20"/>
              <w:jc w:val="right"/>
              <w:rPr>
                <w:b/>
                <w:sz w:val="18"/>
              </w:rPr>
            </w:pPr>
            <w:r>
              <w:rPr>
                <w:b/>
                <w:spacing w:val="-2"/>
                <w:sz w:val="18"/>
              </w:rPr>
              <w:t>35,996</w:t>
            </w:r>
          </w:p>
        </w:tc>
      </w:tr>
      <w:tr w:rsidR="00AC6F3C" w14:paraId="4AA408C4" w14:textId="77777777">
        <w:trPr>
          <w:trHeight w:val="461"/>
        </w:trPr>
        <w:tc>
          <w:tcPr>
            <w:tcW w:w="3756" w:type="dxa"/>
            <w:tcBorders>
              <w:top w:val="single" w:sz="6" w:space="0" w:color="000000"/>
              <w:left w:val="single" w:sz="6" w:space="0" w:color="000000"/>
              <w:bottom w:val="single" w:sz="6" w:space="0" w:color="000000"/>
            </w:tcBorders>
            <w:shd w:val="clear" w:color="auto" w:fill="BEBEBE"/>
          </w:tcPr>
          <w:p w14:paraId="44860978" w14:textId="77777777" w:rsidR="00AC6F3C" w:rsidRDefault="00570E88">
            <w:pPr>
              <w:pStyle w:val="TableParagraph"/>
              <w:spacing w:before="10"/>
              <w:ind w:left="37"/>
              <w:rPr>
                <w:b/>
                <w:sz w:val="18"/>
              </w:rPr>
            </w:pPr>
            <w:r>
              <w:rPr>
                <w:b/>
                <w:spacing w:val="-2"/>
                <w:sz w:val="18"/>
              </w:rPr>
              <w:t>Cash</w:t>
            </w:r>
            <w:r>
              <w:rPr>
                <w:b/>
                <w:spacing w:val="-10"/>
                <w:sz w:val="18"/>
              </w:rPr>
              <w:t xml:space="preserve"> </w:t>
            </w:r>
            <w:r>
              <w:rPr>
                <w:b/>
                <w:spacing w:val="-2"/>
                <w:sz w:val="18"/>
              </w:rPr>
              <w:t>and</w:t>
            </w:r>
            <w:r>
              <w:rPr>
                <w:b/>
                <w:spacing w:val="-9"/>
                <w:sz w:val="18"/>
              </w:rPr>
              <w:t xml:space="preserve"> </w:t>
            </w:r>
            <w:r>
              <w:rPr>
                <w:b/>
                <w:spacing w:val="-2"/>
                <w:sz w:val="18"/>
              </w:rPr>
              <w:t>cash</w:t>
            </w:r>
            <w:r>
              <w:rPr>
                <w:b/>
                <w:spacing w:val="-9"/>
                <w:sz w:val="18"/>
              </w:rPr>
              <w:t xml:space="preserve"> </w:t>
            </w:r>
            <w:r>
              <w:rPr>
                <w:b/>
                <w:spacing w:val="-2"/>
                <w:sz w:val="18"/>
              </w:rPr>
              <w:t>equivalents</w:t>
            </w:r>
            <w:r>
              <w:rPr>
                <w:b/>
                <w:spacing w:val="1"/>
                <w:sz w:val="18"/>
              </w:rPr>
              <w:t xml:space="preserve"> </w:t>
            </w:r>
            <w:r>
              <w:rPr>
                <w:b/>
                <w:spacing w:val="-2"/>
                <w:sz w:val="18"/>
              </w:rPr>
              <w:t>at</w:t>
            </w:r>
            <w:r>
              <w:rPr>
                <w:b/>
                <w:spacing w:val="-4"/>
                <w:sz w:val="18"/>
              </w:rPr>
              <w:t xml:space="preserve"> </w:t>
            </w:r>
            <w:r>
              <w:rPr>
                <w:b/>
                <w:spacing w:val="-2"/>
                <w:sz w:val="18"/>
              </w:rPr>
              <w:t>the</w:t>
            </w:r>
            <w:r>
              <w:rPr>
                <w:b/>
                <w:spacing w:val="2"/>
                <w:sz w:val="18"/>
              </w:rPr>
              <w:t xml:space="preserve"> </w:t>
            </w:r>
            <w:r>
              <w:rPr>
                <w:b/>
                <w:spacing w:val="-2"/>
                <w:sz w:val="18"/>
              </w:rPr>
              <w:t>end</w:t>
            </w:r>
            <w:r>
              <w:rPr>
                <w:b/>
                <w:spacing w:val="-10"/>
                <w:sz w:val="18"/>
              </w:rPr>
              <w:t xml:space="preserve"> </w:t>
            </w:r>
            <w:r>
              <w:rPr>
                <w:b/>
                <w:spacing w:val="-5"/>
                <w:sz w:val="18"/>
              </w:rPr>
              <w:t>of</w:t>
            </w:r>
          </w:p>
          <w:p w14:paraId="652613D6" w14:textId="77777777" w:rsidR="00AC6F3C" w:rsidRDefault="00570E88">
            <w:pPr>
              <w:pStyle w:val="TableParagraph"/>
              <w:spacing w:before="31" w:line="194" w:lineRule="exact"/>
              <w:ind w:left="37"/>
              <w:rPr>
                <w:b/>
                <w:sz w:val="18"/>
              </w:rPr>
            </w:pPr>
            <w:r>
              <w:rPr>
                <w:b/>
                <w:sz w:val="18"/>
              </w:rPr>
              <w:t>the</w:t>
            </w:r>
            <w:r>
              <w:rPr>
                <w:b/>
                <w:spacing w:val="-9"/>
                <w:sz w:val="18"/>
              </w:rPr>
              <w:t xml:space="preserve"> </w:t>
            </w:r>
            <w:r>
              <w:rPr>
                <w:b/>
                <w:spacing w:val="-4"/>
                <w:sz w:val="18"/>
              </w:rPr>
              <w:t>year</w:t>
            </w:r>
          </w:p>
        </w:tc>
        <w:tc>
          <w:tcPr>
            <w:tcW w:w="810" w:type="dxa"/>
            <w:tcBorders>
              <w:top w:val="single" w:sz="6" w:space="0" w:color="000000"/>
              <w:bottom w:val="single" w:sz="6" w:space="0" w:color="000000"/>
            </w:tcBorders>
            <w:shd w:val="clear" w:color="auto" w:fill="BEBEBE"/>
          </w:tcPr>
          <w:p w14:paraId="00D3F162" w14:textId="77777777" w:rsidR="00AC6F3C" w:rsidRDefault="00570E88">
            <w:pPr>
              <w:pStyle w:val="TableParagraph"/>
              <w:spacing w:before="129"/>
              <w:ind w:left="154" w:right="251"/>
              <w:jc w:val="center"/>
              <w:rPr>
                <w:b/>
                <w:sz w:val="18"/>
              </w:rPr>
            </w:pPr>
            <w:r>
              <w:rPr>
                <w:b/>
                <w:spacing w:val="-5"/>
                <w:sz w:val="18"/>
              </w:rPr>
              <w:t>C1</w:t>
            </w:r>
          </w:p>
        </w:tc>
        <w:tc>
          <w:tcPr>
            <w:tcW w:w="1132" w:type="dxa"/>
            <w:tcBorders>
              <w:top w:val="single" w:sz="6" w:space="0" w:color="000000"/>
              <w:bottom w:val="single" w:sz="6" w:space="0" w:color="000000"/>
            </w:tcBorders>
            <w:shd w:val="clear" w:color="auto" w:fill="BEBEBE"/>
          </w:tcPr>
          <w:p w14:paraId="5DDFDAA5" w14:textId="77777777" w:rsidR="00AC6F3C" w:rsidRDefault="00570E88">
            <w:pPr>
              <w:pStyle w:val="TableParagraph"/>
              <w:spacing w:before="129"/>
              <w:ind w:right="35"/>
              <w:jc w:val="right"/>
              <w:rPr>
                <w:b/>
                <w:sz w:val="18"/>
              </w:rPr>
            </w:pPr>
            <w:r>
              <w:rPr>
                <w:b/>
                <w:spacing w:val="-2"/>
                <w:sz w:val="18"/>
              </w:rPr>
              <w:t>72,532</w:t>
            </w:r>
          </w:p>
        </w:tc>
        <w:tc>
          <w:tcPr>
            <w:tcW w:w="1102" w:type="dxa"/>
            <w:tcBorders>
              <w:top w:val="single" w:sz="6" w:space="0" w:color="000000"/>
              <w:bottom w:val="single" w:sz="6" w:space="0" w:color="000000"/>
            </w:tcBorders>
            <w:shd w:val="clear" w:color="auto" w:fill="BEBEBE"/>
          </w:tcPr>
          <w:p w14:paraId="6FD3E5EC" w14:textId="77777777" w:rsidR="00AC6F3C" w:rsidRDefault="00570E88">
            <w:pPr>
              <w:pStyle w:val="TableParagraph"/>
              <w:spacing w:before="129"/>
              <w:ind w:right="20"/>
              <w:jc w:val="right"/>
              <w:rPr>
                <w:b/>
                <w:sz w:val="18"/>
              </w:rPr>
            </w:pPr>
            <w:r>
              <w:rPr>
                <w:b/>
                <w:spacing w:val="-2"/>
                <w:sz w:val="18"/>
              </w:rPr>
              <w:t>69,350</w:t>
            </w:r>
          </w:p>
        </w:tc>
        <w:tc>
          <w:tcPr>
            <w:tcW w:w="1132" w:type="dxa"/>
            <w:tcBorders>
              <w:top w:val="single" w:sz="6" w:space="0" w:color="000000"/>
              <w:bottom w:val="single" w:sz="6" w:space="0" w:color="000000"/>
            </w:tcBorders>
            <w:shd w:val="clear" w:color="auto" w:fill="BEBEBE"/>
          </w:tcPr>
          <w:p w14:paraId="2F288F50" w14:textId="77777777" w:rsidR="00AC6F3C" w:rsidRDefault="00570E88">
            <w:pPr>
              <w:pStyle w:val="TableParagraph"/>
              <w:spacing w:before="129"/>
              <w:ind w:right="35"/>
              <w:jc w:val="right"/>
              <w:rPr>
                <w:b/>
                <w:sz w:val="18"/>
              </w:rPr>
            </w:pPr>
            <w:r>
              <w:rPr>
                <w:b/>
                <w:spacing w:val="-2"/>
                <w:sz w:val="18"/>
              </w:rPr>
              <w:t>66,457</w:t>
            </w:r>
          </w:p>
        </w:tc>
        <w:tc>
          <w:tcPr>
            <w:tcW w:w="1110" w:type="dxa"/>
            <w:tcBorders>
              <w:top w:val="single" w:sz="6" w:space="0" w:color="000000"/>
              <w:bottom w:val="single" w:sz="6" w:space="0" w:color="000000"/>
              <w:right w:val="single" w:sz="6" w:space="0" w:color="000000"/>
            </w:tcBorders>
            <w:shd w:val="clear" w:color="auto" w:fill="BEBEBE"/>
          </w:tcPr>
          <w:p w14:paraId="420EBE37" w14:textId="77777777" w:rsidR="00AC6F3C" w:rsidRDefault="00570E88">
            <w:pPr>
              <w:pStyle w:val="TableParagraph"/>
              <w:spacing w:before="129"/>
              <w:ind w:right="20"/>
              <w:jc w:val="right"/>
              <w:rPr>
                <w:b/>
                <w:sz w:val="18"/>
              </w:rPr>
            </w:pPr>
            <w:r>
              <w:rPr>
                <w:b/>
                <w:spacing w:val="-2"/>
                <w:sz w:val="18"/>
              </w:rPr>
              <w:t>64,186</w:t>
            </w:r>
          </w:p>
        </w:tc>
      </w:tr>
    </w:tbl>
    <w:p w14:paraId="11F1174E" w14:textId="77777777" w:rsidR="00AC6F3C" w:rsidRDefault="00AC6F3C">
      <w:pPr>
        <w:pStyle w:val="BodyText"/>
      </w:pPr>
    </w:p>
    <w:p w14:paraId="6917C57A" w14:textId="77777777" w:rsidR="00AC6F3C" w:rsidRDefault="00AC6F3C">
      <w:pPr>
        <w:pStyle w:val="BodyText"/>
      </w:pPr>
    </w:p>
    <w:p w14:paraId="4FFFD7B9" w14:textId="77777777" w:rsidR="00AC6F3C" w:rsidRDefault="00AC6F3C">
      <w:pPr>
        <w:pStyle w:val="BodyText"/>
      </w:pPr>
    </w:p>
    <w:p w14:paraId="2503BE75" w14:textId="77777777" w:rsidR="00AC6F3C" w:rsidRDefault="00AC6F3C">
      <w:pPr>
        <w:pStyle w:val="BodyText"/>
      </w:pPr>
    </w:p>
    <w:p w14:paraId="1BAE57B6" w14:textId="77777777" w:rsidR="00AC6F3C" w:rsidRDefault="00AC6F3C">
      <w:pPr>
        <w:pStyle w:val="BodyText"/>
      </w:pPr>
    </w:p>
    <w:p w14:paraId="0A67A65B" w14:textId="77777777" w:rsidR="00AC6F3C" w:rsidRDefault="00AC6F3C">
      <w:pPr>
        <w:pStyle w:val="BodyText"/>
      </w:pPr>
    </w:p>
    <w:p w14:paraId="45659E3E" w14:textId="77777777" w:rsidR="00AC6F3C" w:rsidRDefault="00AC6F3C">
      <w:pPr>
        <w:pStyle w:val="BodyText"/>
        <w:spacing w:before="2"/>
      </w:pPr>
    </w:p>
    <w:p w14:paraId="6674784D" w14:textId="77777777" w:rsidR="00AC6F3C" w:rsidRDefault="00570E88">
      <w:pPr>
        <w:spacing w:before="1"/>
        <w:ind w:left="1006"/>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1D3822A1" w14:textId="77777777" w:rsidR="00AC6F3C" w:rsidRDefault="00AC6F3C">
      <w:pPr>
        <w:rPr>
          <w:sz w:val="18"/>
        </w:rPr>
        <w:sectPr w:rsidR="00AC6F3C">
          <w:pgSz w:w="11910" w:h="16840"/>
          <w:pgMar w:top="1580" w:right="1160" w:bottom="520" w:left="460" w:header="1297" w:footer="336" w:gutter="0"/>
          <w:cols w:space="720"/>
        </w:sectPr>
      </w:pPr>
    </w:p>
    <w:p w14:paraId="0D95293F" w14:textId="77777777" w:rsidR="00AC6F3C" w:rsidRDefault="00AC6F3C">
      <w:pPr>
        <w:pStyle w:val="BodyText"/>
      </w:pPr>
    </w:p>
    <w:p w14:paraId="2E5C168D" w14:textId="77777777" w:rsidR="00AC6F3C" w:rsidRDefault="00570E88">
      <w:pPr>
        <w:tabs>
          <w:tab w:val="left" w:pos="1666"/>
        </w:tabs>
        <w:spacing w:before="249"/>
        <w:ind w:left="958"/>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1DD9EFB3" w14:textId="77777777" w:rsidR="00AC6F3C" w:rsidRDefault="00570E88">
      <w:pPr>
        <w:pStyle w:val="Heading6"/>
        <w:tabs>
          <w:tab w:val="left" w:pos="1810"/>
        </w:tabs>
      </w:pPr>
      <w:r>
        <w:rPr>
          <w:spacing w:val="-2"/>
        </w:rPr>
        <w:t>A1-</w:t>
      </w:r>
      <w:r>
        <w:rPr>
          <w:spacing w:val="-10"/>
        </w:rPr>
        <w:t>1</w:t>
      </w:r>
      <w:r>
        <w:tab/>
        <w:t>GENERAL</w:t>
      </w:r>
      <w:r>
        <w:rPr>
          <w:spacing w:val="-3"/>
        </w:rPr>
        <w:t xml:space="preserve"> </w:t>
      </w:r>
      <w:r>
        <w:rPr>
          <w:spacing w:val="-2"/>
        </w:rPr>
        <w:t>INFORMATION</w:t>
      </w:r>
    </w:p>
    <w:p w14:paraId="4CCD5CA6" w14:textId="77777777" w:rsidR="00AC6F3C" w:rsidRDefault="00AC6F3C">
      <w:pPr>
        <w:pStyle w:val="BodyText"/>
        <w:spacing w:before="8"/>
        <w:rPr>
          <w:b/>
        </w:rPr>
      </w:pPr>
    </w:p>
    <w:p w14:paraId="7D68361A" w14:textId="77777777" w:rsidR="00AC6F3C" w:rsidRDefault="00570E88">
      <w:pPr>
        <w:ind w:left="958" w:right="857"/>
        <w:rPr>
          <w:sz w:val="18"/>
        </w:rPr>
      </w:pPr>
      <w:r>
        <w:rPr>
          <w:sz w:val="18"/>
        </w:rPr>
        <w:t>Queensland</w:t>
      </w:r>
      <w:r>
        <w:rPr>
          <w:spacing w:val="-5"/>
          <w:sz w:val="18"/>
        </w:rPr>
        <w:t xml:space="preserve"> </w:t>
      </w:r>
      <w:r>
        <w:rPr>
          <w:sz w:val="18"/>
        </w:rPr>
        <w:t>Law</w:t>
      </w:r>
      <w:r>
        <w:rPr>
          <w:spacing w:val="-3"/>
          <w:sz w:val="18"/>
        </w:rPr>
        <w:t xml:space="preserve"> </w:t>
      </w:r>
      <w:r>
        <w:rPr>
          <w:sz w:val="18"/>
        </w:rPr>
        <w:t>Society</w:t>
      </w:r>
      <w:r>
        <w:rPr>
          <w:spacing w:val="-4"/>
          <w:sz w:val="18"/>
        </w:rPr>
        <w:t xml:space="preserve"> </w:t>
      </w:r>
      <w:r>
        <w:rPr>
          <w:sz w:val="18"/>
        </w:rPr>
        <w:t>Incorporated</w:t>
      </w:r>
      <w:r>
        <w:rPr>
          <w:spacing w:val="-2"/>
          <w:sz w:val="18"/>
        </w:rPr>
        <w:t xml:space="preserve"> </w:t>
      </w:r>
      <w:r>
        <w:rPr>
          <w:sz w:val="18"/>
        </w:rPr>
        <w:t>(“QLS”,</w:t>
      </w:r>
      <w:r>
        <w:rPr>
          <w:spacing w:val="-3"/>
          <w:sz w:val="18"/>
        </w:rPr>
        <w:t xml:space="preserve"> </w:t>
      </w:r>
      <w:r>
        <w:rPr>
          <w:sz w:val="18"/>
        </w:rPr>
        <w:t>or</w:t>
      </w:r>
      <w:r>
        <w:rPr>
          <w:spacing w:val="-5"/>
          <w:sz w:val="18"/>
        </w:rPr>
        <w:t xml:space="preserve"> </w:t>
      </w:r>
      <w:r>
        <w:rPr>
          <w:sz w:val="18"/>
        </w:rPr>
        <w:t>‘the</w:t>
      </w:r>
      <w:r>
        <w:rPr>
          <w:spacing w:val="-2"/>
          <w:sz w:val="18"/>
        </w:rPr>
        <w:t xml:space="preserve"> </w:t>
      </w:r>
      <w:r>
        <w:rPr>
          <w:sz w:val="18"/>
        </w:rPr>
        <w:t>Society”)</w:t>
      </w:r>
      <w:r>
        <w:rPr>
          <w:spacing w:val="-3"/>
          <w:sz w:val="18"/>
        </w:rPr>
        <w:t xml:space="preserve"> </w:t>
      </w:r>
      <w:r>
        <w:rPr>
          <w:sz w:val="18"/>
        </w:rPr>
        <w:t>is</w:t>
      </w:r>
      <w:r>
        <w:rPr>
          <w:spacing w:val="-2"/>
          <w:sz w:val="18"/>
        </w:rPr>
        <w:t xml:space="preserve"> </w:t>
      </w:r>
      <w:r>
        <w:rPr>
          <w:sz w:val="18"/>
        </w:rPr>
        <w:t>the</w:t>
      </w:r>
      <w:r>
        <w:rPr>
          <w:spacing w:val="-2"/>
          <w:sz w:val="18"/>
        </w:rPr>
        <w:t xml:space="preserve"> </w:t>
      </w:r>
      <w:r>
        <w:rPr>
          <w:sz w:val="18"/>
        </w:rPr>
        <w:t>professional</w:t>
      </w:r>
      <w:r>
        <w:rPr>
          <w:spacing w:val="-2"/>
          <w:sz w:val="18"/>
        </w:rPr>
        <w:t xml:space="preserve"> </w:t>
      </w:r>
      <w:r>
        <w:rPr>
          <w:sz w:val="18"/>
        </w:rPr>
        <w:t>association</w:t>
      </w:r>
      <w:r>
        <w:rPr>
          <w:spacing w:val="-2"/>
          <w:sz w:val="18"/>
        </w:rPr>
        <w:t xml:space="preserve"> </w:t>
      </w:r>
      <w:r>
        <w:rPr>
          <w:sz w:val="18"/>
        </w:rPr>
        <w:t>for</w:t>
      </w:r>
      <w:r>
        <w:rPr>
          <w:spacing w:val="-5"/>
          <w:sz w:val="18"/>
        </w:rPr>
        <w:t xml:space="preserve"> </w:t>
      </w:r>
      <w:r>
        <w:rPr>
          <w:sz w:val="18"/>
        </w:rPr>
        <w:t xml:space="preserve">solicitors in Queensland constituted under the </w:t>
      </w:r>
      <w:r>
        <w:rPr>
          <w:i/>
          <w:sz w:val="18"/>
        </w:rPr>
        <w:t xml:space="preserve">Legal Profession Act 2007 (Qld) </w:t>
      </w:r>
      <w:r>
        <w:rPr>
          <w:sz w:val="18"/>
        </w:rPr>
        <w:t>(the Act).</w:t>
      </w:r>
      <w:r>
        <w:rPr>
          <w:spacing w:val="40"/>
          <w:sz w:val="18"/>
        </w:rPr>
        <w:t xml:space="preserve"> </w:t>
      </w:r>
      <w:r>
        <w:rPr>
          <w:sz w:val="18"/>
        </w:rPr>
        <w:t xml:space="preserve">While the Society is defined as a statutory body under the </w:t>
      </w:r>
      <w:r>
        <w:rPr>
          <w:i/>
          <w:sz w:val="18"/>
        </w:rPr>
        <w:t>Financial Accountability Act 2009</w:t>
      </w:r>
      <w:r>
        <w:rPr>
          <w:sz w:val="18"/>
        </w:rPr>
        <w:t>, it remains an independent professional body, subject to the governance of its elected Council.</w:t>
      </w:r>
    </w:p>
    <w:p w14:paraId="21F06F92" w14:textId="77777777" w:rsidR="00AC6F3C" w:rsidRDefault="00AC6F3C">
      <w:pPr>
        <w:pStyle w:val="BodyText"/>
        <w:spacing w:before="10"/>
      </w:pPr>
    </w:p>
    <w:p w14:paraId="1FF4EBB7" w14:textId="77777777" w:rsidR="00AC6F3C" w:rsidRDefault="00570E88">
      <w:pPr>
        <w:ind w:left="958"/>
        <w:rPr>
          <w:sz w:val="18"/>
        </w:rPr>
      </w:pPr>
      <w:r>
        <w:rPr>
          <w:sz w:val="18"/>
        </w:rPr>
        <w:t>The</w:t>
      </w:r>
      <w:r>
        <w:rPr>
          <w:spacing w:val="-2"/>
          <w:sz w:val="18"/>
        </w:rPr>
        <w:t xml:space="preserve"> </w:t>
      </w:r>
      <w:r>
        <w:rPr>
          <w:sz w:val="18"/>
        </w:rPr>
        <w:t>principal</w:t>
      </w:r>
      <w:r>
        <w:rPr>
          <w:spacing w:val="-1"/>
          <w:sz w:val="18"/>
        </w:rPr>
        <w:t xml:space="preserve"> </w:t>
      </w:r>
      <w:r>
        <w:rPr>
          <w:sz w:val="18"/>
        </w:rPr>
        <w:t>place</w:t>
      </w:r>
      <w:r>
        <w:rPr>
          <w:spacing w:val="-5"/>
          <w:sz w:val="18"/>
        </w:rPr>
        <w:t xml:space="preserve"> </w:t>
      </w:r>
      <w:r>
        <w:rPr>
          <w:sz w:val="18"/>
        </w:rPr>
        <w:t>of</w:t>
      </w:r>
      <w:r>
        <w:rPr>
          <w:spacing w:val="-2"/>
          <w:sz w:val="18"/>
        </w:rPr>
        <w:t xml:space="preserve"> </w:t>
      </w:r>
      <w:r>
        <w:rPr>
          <w:sz w:val="18"/>
        </w:rPr>
        <w:t>business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Society</w:t>
      </w:r>
      <w:r>
        <w:rPr>
          <w:spacing w:val="-3"/>
          <w:sz w:val="18"/>
        </w:rPr>
        <w:t xml:space="preserve"> </w:t>
      </w:r>
      <w:r>
        <w:rPr>
          <w:sz w:val="18"/>
        </w:rPr>
        <w:t>is</w:t>
      </w:r>
      <w:r>
        <w:rPr>
          <w:spacing w:val="-3"/>
          <w:sz w:val="18"/>
        </w:rPr>
        <w:t xml:space="preserve"> </w:t>
      </w:r>
      <w:r>
        <w:rPr>
          <w:sz w:val="18"/>
        </w:rPr>
        <w:t>179</w:t>
      </w:r>
      <w:r>
        <w:rPr>
          <w:spacing w:val="-2"/>
          <w:sz w:val="18"/>
        </w:rPr>
        <w:t xml:space="preserve"> </w:t>
      </w:r>
      <w:r>
        <w:rPr>
          <w:sz w:val="18"/>
        </w:rPr>
        <w:t>Ann</w:t>
      </w:r>
      <w:r>
        <w:rPr>
          <w:spacing w:val="-1"/>
          <w:sz w:val="18"/>
        </w:rPr>
        <w:t xml:space="preserve"> </w:t>
      </w:r>
      <w:r>
        <w:rPr>
          <w:sz w:val="18"/>
        </w:rPr>
        <w:t>Street,</w:t>
      </w:r>
      <w:r>
        <w:rPr>
          <w:spacing w:val="-3"/>
          <w:sz w:val="18"/>
        </w:rPr>
        <w:t xml:space="preserve"> </w:t>
      </w:r>
      <w:r>
        <w:rPr>
          <w:sz w:val="18"/>
        </w:rPr>
        <w:t>Brisbane</w:t>
      </w:r>
      <w:r>
        <w:rPr>
          <w:spacing w:val="-1"/>
          <w:sz w:val="18"/>
        </w:rPr>
        <w:t xml:space="preserve"> </w:t>
      </w:r>
      <w:r>
        <w:rPr>
          <w:sz w:val="18"/>
        </w:rPr>
        <w:t>QLD</w:t>
      </w:r>
      <w:r>
        <w:rPr>
          <w:spacing w:val="-2"/>
          <w:sz w:val="18"/>
        </w:rPr>
        <w:t xml:space="preserve"> 4000.</w:t>
      </w:r>
    </w:p>
    <w:p w14:paraId="12037D63" w14:textId="77777777" w:rsidR="00AC6F3C" w:rsidRDefault="00AC6F3C">
      <w:pPr>
        <w:pStyle w:val="BodyText"/>
        <w:spacing w:before="11"/>
      </w:pPr>
    </w:p>
    <w:p w14:paraId="2AEDF165" w14:textId="77777777" w:rsidR="00AC6F3C" w:rsidRDefault="00570E88">
      <w:pPr>
        <w:pStyle w:val="Heading6"/>
        <w:tabs>
          <w:tab w:val="left" w:pos="1810"/>
        </w:tabs>
        <w:spacing w:before="0"/>
      </w:pPr>
      <w:r>
        <w:rPr>
          <w:spacing w:val="-2"/>
        </w:rPr>
        <w:t>A1-</w:t>
      </w:r>
      <w:r>
        <w:rPr>
          <w:spacing w:val="-10"/>
        </w:rPr>
        <w:t>2</w:t>
      </w:r>
      <w:r>
        <w:tab/>
        <w:t>COMPLIANCE</w:t>
      </w:r>
      <w:r>
        <w:rPr>
          <w:spacing w:val="-5"/>
        </w:rPr>
        <w:t xml:space="preserve"> </w:t>
      </w:r>
      <w:r>
        <w:t>WITH</w:t>
      </w:r>
      <w:r>
        <w:rPr>
          <w:spacing w:val="-5"/>
        </w:rPr>
        <w:t xml:space="preserve"> </w:t>
      </w:r>
      <w:r>
        <w:t>PRESCRIBED</w:t>
      </w:r>
      <w:r>
        <w:rPr>
          <w:spacing w:val="-3"/>
        </w:rPr>
        <w:t xml:space="preserve"> </w:t>
      </w:r>
      <w:r>
        <w:rPr>
          <w:spacing w:val="-2"/>
        </w:rPr>
        <w:t>REQUIREMENTS</w:t>
      </w:r>
    </w:p>
    <w:p w14:paraId="05526C89" w14:textId="77777777" w:rsidR="00AC6F3C" w:rsidRDefault="00AC6F3C">
      <w:pPr>
        <w:pStyle w:val="BodyText"/>
        <w:spacing w:before="8"/>
        <w:rPr>
          <w:b/>
        </w:rPr>
      </w:pPr>
    </w:p>
    <w:p w14:paraId="461A8A21" w14:textId="77777777" w:rsidR="00AC6F3C" w:rsidRDefault="00570E88">
      <w:pPr>
        <w:ind w:left="958" w:right="730"/>
        <w:rPr>
          <w:sz w:val="18"/>
        </w:rPr>
      </w:pPr>
      <w:r>
        <w:rPr>
          <w:sz w:val="18"/>
        </w:rPr>
        <w:t>The</w:t>
      </w:r>
      <w:r>
        <w:rPr>
          <w:spacing w:val="-2"/>
          <w:sz w:val="18"/>
        </w:rPr>
        <w:t xml:space="preserve"> </w:t>
      </w:r>
      <w:r>
        <w:rPr>
          <w:sz w:val="18"/>
        </w:rPr>
        <w:t>Society</w:t>
      </w:r>
      <w:r>
        <w:rPr>
          <w:spacing w:val="-2"/>
          <w:sz w:val="18"/>
        </w:rPr>
        <w:t xml:space="preserve"> </w:t>
      </w:r>
      <w:r>
        <w:rPr>
          <w:sz w:val="18"/>
        </w:rPr>
        <w:t>and</w:t>
      </w:r>
      <w:r>
        <w:rPr>
          <w:spacing w:val="-2"/>
          <w:sz w:val="18"/>
        </w:rPr>
        <w:t xml:space="preserve"> </w:t>
      </w:r>
      <w:r>
        <w:rPr>
          <w:sz w:val="18"/>
        </w:rPr>
        <w:t>its</w:t>
      </w:r>
      <w:r>
        <w:rPr>
          <w:spacing w:val="-4"/>
          <w:sz w:val="18"/>
        </w:rPr>
        <w:t xml:space="preserve"> </w:t>
      </w:r>
      <w:r>
        <w:rPr>
          <w:sz w:val="18"/>
        </w:rPr>
        <w:t>controlled</w:t>
      </w:r>
      <w:r>
        <w:rPr>
          <w:spacing w:val="-4"/>
          <w:sz w:val="18"/>
        </w:rPr>
        <w:t xml:space="preserve"> </w:t>
      </w:r>
      <w:r>
        <w:rPr>
          <w:sz w:val="18"/>
        </w:rPr>
        <w:t>entities</w:t>
      </w:r>
      <w:r>
        <w:rPr>
          <w:spacing w:val="-4"/>
          <w:sz w:val="18"/>
        </w:rPr>
        <w:t xml:space="preserve"> </w:t>
      </w:r>
      <w:r>
        <w:rPr>
          <w:sz w:val="18"/>
        </w:rPr>
        <w:t>(the</w:t>
      </w:r>
      <w:r>
        <w:rPr>
          <w:spacing w:val="-2"/>
          <w:sz w:val="18"/>
        </w:rPr>
        <w:t xml:space="preserve"> </w:t>
      </w:r>
      <w:r>
        <w:rPr>
          <w:sz w:val="18"/>
        </w:rPr>
        <w:t>Group)</w:t>
      </w:r>
      <w:r>
        <w:rPr>
          <w:spacing w:val="-3"/>
          <w:sz w:val="18"/>
        </w:rPr>
        <w:t xml:space="preserve"> </w:t>
      </w:r>
      <w:r>
        <w:rPr>
          <w:sz w:val="18"/>
        </w:rPr>
        <w:t>has</w:t>
      </w:r>
      <w:r>
        <w:rPr>
          <w:spacing w:val="-4"/>
          <w:sz w:val="18"/>
        </w:rPr>
        <w:t xml:space="preserve"> </w:t>
      </w:r>
      <w:r>
        <w:rPr>
          <w:sz w:val="18"/>
        </w:rPr>
        <w:t>prepared</w:t>
      </w:r>
      <w:r>
        <w:rPr>
          <w:spacing w:val="-2"/>
          <w:sz w:val="18"/>
        </w:rPr>
        <w:t xml:space="preserve"> </w:t>
      </w:r>
      <w:r>
        <w:rPr>
          <w:sz w:val="18"/>
        </w:rPr>
        <w:t>these</w:t>
      </w:r>
      <w:r>
        <w:rPr>
          <w:spacing w:val="-4"/>
          <w:sz w:val="18"/>
        </w:rPr>
        <w:t xml:space="preserve"> </w:t>
      </w:r>
      <w:r>
        <w:rPr>
          <w:sz w:val="18"/>
        </w:rPr>
        <w:t>financial</w:t>
      </w:r>
      <w:r>
        <w:rPr>
          <w:spacing w:val="-4"/>
          <w:sz w:val="18"/>
        </w:rPr>
        <w:t xml:space="preserve"> </w:t>
      </w:r>
      <w:r>
        <w:rPr>
          <w:sz w:val="18"/>
        </w:rPr>
        <w:t>statements</w:t>
      </w:r>
      <w:r>
        <w:rPr>
          <w:spacing w:val="-2"/>
          <w:sz w:val="18"/>
        </w:rPr>
        <w:t xml:space="preserve"> </w:t>
      </w:r>
      <w:r>
        <w:rPr>
          <w:sz w:val="18"/>
        </w:rPr>
        <w:t>in</w:t>
      </w:r>
      <w:r>
        <w:rPr>
          <w:spacing w:val="-2"/>
          <w:sz w:val="18"/>
        </w:rPr>
        <w:t xml:space="preserve"> </w:t>
      </w:r>
      <w:r>
        <w:rPr>
          <w:sz w:val="18"/>
        </w:rPr>
        <w:t xml:space="preserve">compliance with section 39 of the </w:t>
      </w:r>
      <w:r>
        <w:rPr>
          <w:i/>
          <w:sz w:val="18"/>
        </w:rPr>
        <w:t>Financial and Performance Management Standard 2019</w:t>
      </w:r>
      <w:r>
        <w:rPr>
          <w:sz w:val="18"/>
        </w:rPr>
        <w:t>. The financial statements comply with the Queensland Treasury’s Financial Reporting Requirements (FRR) for reporting periods beginning on or after 1 July 2022.</w:t>
      </w:r>
    </w:p>
    <w:p w14:paraId="0331DCF9" w14:textId="77777777" w:rsidR="00AC6F3C" w:rsidRDefault="00AC6F3C">
      <w:pPr>
        <w:pStyle w:val="BodyText"/>
        <w:spacing w:before="10"/>
      </w:pPr>
    </w:p>
    <w:p w14:paraId="2AF6ECCA" w14:textId="77777777" w:rsidR="00AC6F3C" w:rsidRDefault="00570E88">
      <w:pPr>
        <w:ind w:left="958" w:right="990"/>
        <w:rPr>
          <w:sz w:val="18"/>
        </w:rPr>
      </w:pPr>
      <w:r>
        <w:rPr>
          <w:sz w:val="18"/>
        </w:rPr>
        <w:t>The Society is a not-for-profit entity and these general purpose financial statements are prepared on an accrual</w:t>
      </w:r>
      <w:r>
        <w:rPr>
          <w:spacing w:val="-4"/>
          <w:sz w:val="18"/>
        </w:rPr>
        <w:t xml:space="preserve"> </w:t>
      </w:r>
      <w:r>
        <w:rPr>
          <w:sz w:val="18"/>
        </w:rPr>
        <w:t>basis</w:t>
      </w:r>
      <w:r>
        <w:rPr>
          <w:spacing w:val="-1"/>
          <w:sz w:val="18"/>
        </w:rPr>
        <w:t xml:space="preserve"> </w:t>
      </w:r>
      <w:r>
        <w:rPr>
          <w:sz w:val="18"/>
        </w:rPr>
        <w:t>(except</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1"/>
          <w:sz w:val="18"/>
        </w:rPr>
        <w:t xml:space="preserve"> </w:t>
      </w:r>
      <w:r>
        <w:rPr>
          <w:sz w:val="18"/>
        </w:rPr>
        <w:t>which</w:t>
      </w:r>
      <w:r>
        <w:rPr>
          <w:spacing w:val="-4"/>
          <w:sz w:val="18"/>
        </w:rPr>
        <w:t xml:space="preserve"> </w:t>
      </w:r>
      <w:r>
        <w:rPr>
          <w:sz w:val="18"/>
        </w:rPr>
        <w:t>is</w:t>
      </w:r>
      <w:r>
        <w:rPr>
          <w:spacing w:val="-1"/>
          <w:sz w:val="18"/>
        </w:rPr>
        <w:t xml:space="preserve"> </w:t>
      </w:r>
      <w:r>
        <w:rPr>
          <w:sz w:val="18"/>
        </w:rPr>
        <w:t>prepared</w:t>
      </w:r>
      <w:r>
        <w:rPr>
          <w:spacing w:val="-1"/>
          <w:sz w:val="18"/>
        </w:rPr>
        <w:t xml:space="preserve"> </w:t>
      </w:r>
      <w:r>
        <w:rPr>
          <w:sz w:val="18"/>
        </w:rPr>
        <w:t>on</w:t>
      </w:r>
      <w:r>
        <w:rPr>
          <w:spacing w:val="-4"/>
          <w:sz w:val="18"/>
        </w:rPr>
        <w:t xml:space="preserve"> </w:t>
      </w:r>
      <w:r>
        <w:rPr>
          <w:sz w:val="18"/>
        </w:rPr>
        <w:t>a</w:t>
      </w:r>
      <w:r>
        <w:rPr>
          <w:spacing w:val="-4"/>
          <w:sz w:val="18"/>
        </w:rPr>
        <w:t xml:space="preserve"> </w:t>
      </w:r>
      <w:r>
        <w:rPr>
          <w:sz w:val="18"/>
        </w:rPr>
        <w:t>cash</w:t>
      </w:r>
      <w:r>
        <w:rPr>
          <w:spacing w:val="-1"/>
          <w:sz w:val="18"/>
        </w:rPr>
        <w:t xml:space="preserve"> </w:t>
      </w:r>
      <w:r>
        <w:rPr>
          <w:sz w:val="18"/>
        </w:rPr>
        <w:t>basis)</w:t>
      </w:r>
      <w:r>
        <w:rPr>
          <w:spacing w:val="-2"/>
          <w:sz w:val="18"/>
        </w:rPr>
        <w:t xml:space="preserve"> </w:t>
      </w:r>
      <w:r>
        <w:rPr>
          <w:sz w:val="18"/>
        </w:rPr>
        <w:t>in</w:t>
      </w:r>
      <w:r>
        <w:rPr>
          <w:spacing w:val="-4"/>
          <w:sz w:val="18"/>
        </w:rPr>
        <w:t xml:space="preserve"> </w:t>
      </w:r>
      <w:r>
        <w:rPr>
          <w:sz w:val="18"/>
        </w:rPr>
        <w:t>accordance with Australian Accounting Standards and interpretations applicable to not-for-profit entities.</w:t>
      </w:r>
    </w:p>
    <w:p w14:paraId="5DE6BAEE" w14:textId="77777777" w:rsidR="00AC6F3C" w:rsidRDefault="00AC6F3C">
      <w:pPr>
        <w:pStyle w:val="BodyText"/>
        <w:rPr>
          <w:sz w:val="18"/>
        </w:rPr>
      </w:pPr>
    </w:p>
    <w:p w14:paraId="779E1A1E" w14:textId="77777777" w:rsidR="00AC6F3C" w:rsidRDefault="00570E88">
      <w:pPr>
        <w:spacing w:before="1"/>
        <w:ind w:left="958"/>
        <w:rPr>
          <w:sz w:val="18"/>
        </w:rPr>
      </w:pPr>
      <w:r>
        <w:rPr>
          <w:sz w:val="18"/>
        </w:rPr>
        <w:t>New</w:t>
      </w:r>
      <w:r>
        <w:rPr>
          <w:spacing w:val="-3"/>
          <w:sz w:val="18"/>
        </w:rPr>
        <w:t xml:space="preserve"> </w:t>
      </w:r>
      <w:r>
        <w:rPr>
          <w:sz w:val="18"/>
        </w:rPr>
        <w:t>accounting</w:t>
      </w:r>
      <w:r>
        <w:rPr>
          <w:spacing w:val="-4"/>
          <w:sz w:val="18"/>
        </w:rPr>
        <w:t xml:space="preserve"> </w:t>
      </w:r>
      <w:r>
        <w:rPr>
          <w:sz w:val="18"/>
        </w:rPr>
        <w:t>standards</w:t>
      </w:r>
      <w:r>
        <w:rPr>
          <w:spacing w:val="-5"/>
          <w:sz w:val="18"/>
        </w:rPr>
        <w:t xml:space="preserve"> </w:t>
      </w:r>
      <w:r>
        <w:rPr>
          <w:sz w:val="18"/>
        </w:rPr>
        <w:t>applied</w:t>
      </w:r>
      <w:r>
        <w:rPr>
          <w:spacing w:val="-1"/>
          <w:sz w:val="18"/>
        </w:rPr>
        <w:t xml:space="preserve"> </w:t>
      </w:r>
      <w:r>
        <w:rPr>
          <w:sz w:val="18"/>
        </w:rPr>
        <w:t>for</w:t>
      </w:r>
      <w:r>
        <w:rPr>
          <w:spacing w:val="-3"/>
          <w:sz w:val="18"/>
        </w:rPr>
        <w:t xml:space="preserve"> </w:t>
      </w:r>
      <w:r>
        <w:rPr>
          <w:sz w:val="18"/>
        </w:rPr>
        <w:t>the</w:t>
      </w:r>
      <w:r>
        <w:rPr>
          <w:spacing w:val="-1"/>
          <w:sz w:val="18"/>
        </w:rPr>
        <w:t xml:space="preserve"> </w:t>
      </w:r>
      <w:r>
        <w:rPr>
          <w:sz w:val="18"/>
        </w:rPr>
        <w:t>first</w:t>
      </w:r>
      <w:r>
        <w:rPr>
          <w:spacing w:val="-5"/>
          <w:sz w:val="18"/>
        </w:rPr>
        <w:t xml:space="preserve"> </w:t>
      </w:r>
      <w:r>
        <w:rPr>
          <w:sz w:val="18"/>
        </w:rPr>
        <w:t>time</w:t>
      </w:r>
      <w:r>
        <w:rPr>
          <w:spacing w:val="-1"/>
          <w:sz w:val="18"/>
        </w:rPr>
        <w:t xml:space="preserve"> </w:t>
      </w:r>
      <w:r>
        <w:rPr>
          <w:sz w:val="18"/>
        </w:rPr>
        <w:t>in</w:t>
      </w:r>
      <w:r>
        <w:rPr>
          <w:spacing w:val="-2"/>
          <w:sz w:val="18"/>
        </w:rPr>
        <w:t xml:space="preserve"> </w:t>
      </w:r>
      <w:r>
        <w:rPr>
          <w:sz w:val="18"/>
        </w:rPr>
        <w:t>these</w:t>
      </w:r>
      <w:r>
        <w:rPr>
          <w:spacing w:val="-4"/>
          <w:sz w:val="18"/>
        </w:rPr>
        <w:t xml:space="preserve"> </w:t>
      </w:r>
      <w:r>
        <w:rPr>
          <w:sz w:val="18"/>
        </w:rPr>
        <w:t>financial</w:t>
      </w:r>
      <w:r>
        <w:rPr>
          <w:spacing w:val="-2"/>
          <w:sz w:val="18"/>
        </w:rPr>
        <w:t xml:space="preserve"> </w:t>
      </w:r>
      <w:r>
        <w:rPr>
          <w:sz w:val="18"/>
        </w:rPr>
        <w:t>statements</w:t>
      </w:r>
      <w:r>
        <w:rPr>
          <w:spacing w:val="-1"/>
          <w:sz w:val="18"/>
        </w:rPr>
        <w:t xml:space="preserve"> </w:t>
      </w:r>
      <w:r>
        <w:rPr>
          <w:sz w:val="18"/>
        </w:rPr>
        <w:t>are</w:t>
      </w:r>
      <w:r>
        <w:rPr>
          <w:spacing w:val="-2"/>
          <w:sz w:val="18"/>
        </w:rPr>
        <w:t xml:space="preserve"> </w:t>
      </w:r>
      <w:r>
        <w:rPr>
          <w:sz w:val="18"/>
        </w:rPr>
        <w:t>outlined</w:t>
      </w:r>
      <w:r>
        <w:rPr>
          <w:spacing w:val="-1"/>
          <w:sz w:val="18"/>
        </w:rPr>
        <w:t xml:space="preserve"> </w:t>
      </w:r>
      <w:r>
        <w:rPr>
          <w:sz w:val="18"/>
        </w:rPr>
        <w:t>in</w:t>
      </w:r>
      <w:r>
        <w:rPr>
          <w:spacing w:val="-2"/>
          <w:sz w:val="18"/>
        </w:rPr>
        <w:t xml:space="preserve"> </w:t>
      </w:r>
      <w:r>
        <w:rPr>
          <w:sz w:val="18"/>
        </w:rPr>
        <w:t>Note</w:t>
      </w:r>
      <w:r>
        <w:rPr>
          <w:spacing w:val="-1"/>
          <w:sz w:val="18"/>
        </w:rPr>
        <w:t xml:space="preserve"> </w:t>
      </w:r>
      <w:r>
        <w:rPr>
          <w:spacing w:val="-5"/>
          <w:sz w:val="18"/>
        </w:rPr>
        <w:t>E3.</w:t>
      </w:r>
    </w:p>
    <w:p w14:paraId="075CF30D" w14:textId="77777777" w:rsidR="00AC6F3C" w:rsidRDefault="00AC6F3C">
      <w:pPr>
        <w:pStyle w:val="BodyText"/>
        <w:spacing w:before="5"/>
        <w:rPr>
          <w:sz w:val="24"/>
        </w:rPr>
      </w:pPr>
    </w:p>
    <w:p w14:paraId="13E500D5" w14:textId="77777777" w:rsidR="00AC6F3C" w:rsidRDefault="00570E88">
      <w:pPr>
        <w:pStyle w:val="Heading6"/>
        <w:tabs>
          <w:tab w:val="left" w:pos="1810"/>
        </w:tabs>
        <w:spacing w:before="0"/>
      </w:pPr>
      <w:r>
        <w:rPr>
          <w:spacing w:val="-2"/>
        </w:rPr>
        <w:t>A1-</w:t>
      </w:r>
      <w:r>
        <w:rPr>
          <w:spacing w:val="-10"/>
        </w:rPr>
        <w:t>3</w:t>
      </w:r>
      <w:r>
        <w:tab/>
      </w:r>
      <w:r>
        <w:rPr>
          <w:spacing w:val="-2"/>
        </w:rPr>
        <w:t>PRESENTATION</w:t>
      </w:r>
    </w:p>
    <w:p w14:paraId="535DAD51" w14:textId="77777777" w:rsidR="00AC6F3C" w:rsidRDefault="00AC6F3C">
      <w:pPr>
        <w:pStyle w:val="BodyText"/>
        <w:spacing w:before="9"/>
        <w:rPr>
          <w:b/>
        </w:rPr>
      </w:pPr>
    </w:p>
    <w:p w14:paraId="4BCED045" w14:textId="77777777" w:rsidR="00AC6F3C" w:rsidRDefault="00570E88">
      <w:pPr>
        <w:ind w:left="958"/>
        <w:rPr>
          <w:b/>
          <w:sz w:val="20"/>
        </w:rPr>
      </w:pPr>
      <w:r>
        <w:rPr>
          <w:b/>
          <w:sz w:val="20"/>
        </w:rPr>
        <w:t>Currency</w:t>
      </w:r>
      <w:r>
        <w:rPr>
          <w:b/>
          <w:spacing w:val="-8"/>
          <w:sz w:val="20"/>
        </w:rPr>
        <w:t xml:space="preserve"> </w:t>
      </w:r>
      <w:r>
        <w:rPr>
          <w:b/>
          <w:sz w:val="20"/>
        </w:rPr>
        <w:t>and</w:t>
      </w:r>
      <w:r>
        <w:rPr>
          <w:b/>
          <w:spacing w:val="-6"/>
          <w:sz w:val="20"/>
        </w:rPr>
        <w:t xml:space="preserve"> </w:t>
      </w:r>
      <w:r>
        <w:rPr>
          <w:b/>
          <w:spacing w:val="-2"/>
          <w:sz w:val="20"/>
        </w:rPr>
        <w:t>rounding</w:t>
      </w:r>
    </w:p>
    <w:p w14:paraId="5818CAB8" w14:textId="77777777" w:rsidR="00AC6F3C" w:rsidRDefault="00AC6F3C">
      <w:pPr>
        <w:pStyle w:val="BodyText"/>
        <w:spacing w:before="10"/>
        <w:rPr>
          <w:b/>
        </w:rPr>
      </w:pPr>
    </w:p>
    <w:p w14:paraId="4A25E503" w14:textId="77777777" w:rsidR="00AC6F3C" w:rsidRDefault="00570E88">
      <w:pPr>
        <w:ind w:left="958" w:right="857"/>
        <w:rPr>
          <w:sz w:val="18"/>
        </w:rPr>
      </w:pPr>
      <w:r>
        <w:rPr>
          <w:sz w:val="18"/>
        </w:rPr>
        <w:t>Amounts included in the financial statements are in Australian dollars and rounded to the nearest $1,000 or,</w:t>
      </w:r>
      <w:r>
        <w:rPr>
          <w:spacing w:val="-1"/>
          <w:sz w:val="18"/>
        </w:rPr>
        <w:t xml:space="preserve"> </w:t>
      </w:r>
      <w:r>
        <w:rPr>
          <w:sz w:val="18"/>
        </w:rPr>
        <w:t>where</w:t>
      </w:r>
      <w:r>
        <w:rPr>
          <w:spacing w:val="-3"/>
          <w:sz w:val="18"/>
        </w:rPr>
        <w:t xml:space="preserve"> </w:t>
      </w:r>
      <w:r>
        <w:rPr>
          <w:sz w:val="18"/>
        </w:rPr>
        <w:t>that</w:t>
      </w:r>
      <w:r>
        <w:rPr>
          <w:spacing w:val="-3"/>
          <w:sz w:val="18"/>
        </w:rPr>
        <w:t xml:space="preserve"> </w:t>
      </w:r>
      <w:r>
        <w:rPr>
          <w:sz w:val="18"/>
        </w:rPr>
        <w:t>amount</w:t>
      </w:r>
      <w:r>
        <w:rPr>
          <w:spacing w:val="-3"/>
          <w:sz w:val="18"/>
        </w:rPr>
        <w:t xml:space="preserve"> </w:t>
      </w:r>
      <w:r>
        <w:rPr>
          <w:sz w:val="18"/>
        </w:rPr>
        <w:t>is</w:t>
      </w:r>
      <w:r>
        <w:rPr>
          <w:spacing w:val="-2"/>
          <w:sz w:val="18"/>
        </w:rPr>
        <w:t xml:space="preserve"> </w:t>
      </w:r>
      <w:r>
        <w:rPr>
          <w:sz w:val="18"/>
        </w:rPr>
        <w:t>$500</w:t>
      </w:r>
      <w:r>
        <w:rPr>
          <w:spacing w:val="-3"/>
          <w:sz w:val="18"/>
        </w:rPr>
        <w:t xml:space="preserve"> </w:t>
      </w:r>
      <w:r>
        <w:rPr>
          <w:sz w:val="18"/>
        </w:rPr>
        <w:t>or</w:t>
      </w:r>
      <w:r>
        <w:rPr>
          <w:spacing w:val="-1"/>
          <w:sz w:val="18"/>
        </w:rPr>
        <w:t xml:space="preserve"> </w:t>
      </w:r>
      <w:r>
        <w:rPr>
          <w:sz w:val="18"/>
        </w:rPr>
        <w:t>less,</w:t>
      </w:r>
      <w:r>
        <w:rPr>
          <w:spacing w:val="-3"/>
          <w:sz w:val="18"/>
        </w:rPr>
        <w:t xml:space="preserve"> </w:t>
      </w:r>
      <w:r>
        <w:rPr>
          <w:sz w:val="18"/>
        </w:rPr>
        <w:t>to</w:t>
      </w:r>
      <w:r>
        <w:rPr>
          <w:spacing w:val="-3"/>
          <w:sz w:val="18"/>
        </w:rPr>
        <w:t xml:space="preserve"> </w:t>
      </w:r>
      <w:r>
        <w:rPr>
          <w:sz w:val="18"/>
        </w:rPr>
        <w:t>zero,</w:t>
      </w:r>
      <w:r>
        <w:rPr>
          <w:spacing w:val="-3"/>
          <w:sz w:val="18"/>
        </w:rPr>
        <w:t xml:space="preserve"> </w:t>
      </w:r>
      <w:r>
        <w:rPr>
          <w:sz w:val="18"/>
        </w:rPr>
        <w:t>unless disclosure of</w:t>
      </w:r>
      <w:r>
        <w:rPr>
          <w:spacing w:val="-3"/>
          <w:sz w:val="18"/>
        </w:rPr>
        <w:t xml:space="preserve"> </w:t>
      </w:r>
      <w:r>
        <w:rPr>
          <w:sz w:val="18"/>
        </w:rPr>
        <w:t>the full</w:t>
      </w:r>
      <w:r>
        <w:rPr>
          <w:spacing w:val="-3"/>
          <w:sz w:val="18"/>
        </w:rPr>
        <w:t xml:space="preserve"> </w:t>
      </w:r>
      <w:r>
        <w:rPr>
          <w:sz w:val="18"/>
        </w:rPr>
        <w:t>amount</w:t>
      </w:r>
      <w:r>
        <w:rPr>
          <w:spacing w:val="-3"/>
          <w:sz w:val="18"/>
        </w:rPr>
        <w:t xml:space="preserve"> </w:t>
      </w:r>
      <w:r>
        <w:rPr>
          <w:sz w:val="18"/>
        </w:rPr>
        <w:t>is</w:t>
      </w:r>
      <w:r>
        <w:rPr>
          <w:spacing w:val="-2"/>
          <w:sz w:val="18"/>
        </w:rPr>
        <w:t xml:space="preserve"> </w:t>
      </w:r>
      <w:r>
        <w:rPr>
          <w:sz w:val="18"/>
        </w:rPr>
        <w:t>specifically required.</w:t>
      </w:r>
    </w:p>
    <w:p w14:paraId="2ACF7AB5" w14:textId="77777777" w:rsidR="00AC6F3C" w:rsidRDefault="00AC6F3C">
      <w:pPr>
        <w:pStyle w:val="BodyText"/>
        <w:spacing w:before="8"/>
      </w:pPr>
    </w:p>
    <w:p w14:paraId="74A34AB1" w14:textId="77777777" w:rsidR="00AC6F3C" w:rsidRDefault="00570E88">
      <w:pPr>
        <w:spacing w:before="1"/>
        <w:ind w:left="958" w:right="857"/>
        <w:rPr>
          <w:sz w:val="18"/>
        </w:rPr>
      </w:pPr>
      <w:r>
        <w:rPr>
          <w:sz w:val="18"/>
        </w:rPr>
        <w:t>Foreign currency transactions are translated to Australian currency at the rate of exchange ruling at the dates of the transactions.</w:t>
      </w:r>
      <w:r>
        <w:rPr>
          <w:spacing w:val="40"/>
          <w:sz w:val="18"/>
        </w:rPr>
        <w:t xml:space="preserve"> </w:t>
      </w:r>
      <w:r>
        <w:rPr>
          <w:sz w:val="18"/>
        </w:rPr>
        <w:t>Amounts receivable and payable in foreign currencies at reporting date are translated at the rates of exchange ruling on that date.</w:t>
      </w:r>
      <w:r>
        <w:rPr>
          <w:spacing w:val="40"/>
          <w:sz w:val="18"/>
        </w:rPr>
        <w:t xml:space="preserve"> </w:t>
      </w:r>
      <w:r>
        <w:rPr>
          <w:sz w:val="18"/>
        </w:rPr>
        <w:t>Foreign exchange gains and losses resulting from the</w:t>
      </w:r>
      <w:r>
        <w:rPr>
          <w:spacing w:val="-1"/>
          <w:sz w:val="18"/>
        </w:rPr>
        <w:t xml:space="preserve"> </w:t>
      </w:r>
      <w:r>
        <w:rPr>
          <w:sz w:val="18"/>
        </w:rPr>
        <w:t>settlement</w:t>
      </w:r>
      <w:r>
        <w:rPr>
          <w:spacing w:val="-2"/>
          <w:sz w:val="18"/>
        </w:rPr>
        <w:t xml:space="preserve"> </w:t>
      </w:r>
      <w:r>
        <w:rPr>
          <w:sz w:val="18"/>
        </w:rPr>
        <w:t>of</w:t>
      </w:r>
      <w:r>
        <w:rPr>
          <w:spacing w:val="-4"/>
          <w:sz w:val="18"/>
        </w:rPr>
        <w:t xml:space="preserve"> </w:t>
      </w:r>
      <w:r>
        <w:rPr>
          <w:sz w:val="18"/>
        </w:rPr>
        <w:t>such</w:t>
      </w:r>
      <w:r>
        <w:rPr>
          <w:spacing w:val="-4"/>
          <w:sz w:val="18"/>
        </w:rPr>
        <w:t xml:space="preserve"> </w:t>
      </w:r>
      <w:r>
        <w:rPr>
          <w:sz w:val="18"/>
        </w:rPr>
        <w:t>transactions</w:t>
      </w:r>
      <w:r>
        <w:rPr>
          <w:spacing w:val="-3"/>
          <w:sz w:val="18"/>
        </w:rPr>
        <w:t xml:space="preserve"> </w:t>
      </w:r>
      <w:r>
        <w:rPr>
          <w:sz w:val="18"/>
        </w:rPr>
        <w:t>and</w:t>
      </w:r>
      <w:r>
        <w:rPr>
          <w:spacing w:val="-4"/>
          <w:sz w:val="18"/>
        </w:rPr>
        <w:t xml:space="preserve"> </w:t>
      </w:r>
      <w:r>
        <w:rPr>
          <w:sz w:val="18"/>
        </w:rPr>
        <w:t>from</w:t>
      </w:r>
      <w:r>
        <w:rPr>
          <w:spacing w:val="-1"/>
          <w:sz w:val="18"/>
        </w:rPr>
        <w:t xml:space="preserve"> </w:t>
      </w:r>
      <w:r>
        <w:rPr>
          <w:sz w:val="18"/>
        </w:rPr>
        <w:t>the</w:t>
      </w:r>
      <w:r>
        <w:rPr>
          <w:spacing w:val="-4"/>
          <w:sz w:val="18"/>
        </w:rPr>
        <w:t xml:space="preserve"> </w:t>
      </w:r>
      <w:r>
        <w:rPr>
          <w:sz w:val="18"/>
        </w:rPr>
        <w:t>translation</w:t>
      </w:r>
      <w:r>
        <w:rPr>
          <w:spacing w:val="-1"/>
          <w:sz w:val="18"/>
        </w:rPr>
        <w:t xml:space="preserve"> </w:t>
      </w:r>
      <w:r>
        <w:rPr>
          <w:sz w:val="18"/>
        </w:rPr>
        <w:t>of</w:t>
      </w:r>
      <w:r>
        <w:rPr>
          <w:spacing w:val="-2"/>
          <w:sz w:val="18"/>
        </w:rPr>
        <w:t xml:space="preserve"> </w:t>
      </w:r>
      <w:r>
        <w:rPr>
          <w:sz w:val="18"/>
        </w:rPr>
        <w:t>monetary</w:t>
      </w:r>
      <w:r>
        <w:rPr>
          <w:spacing w:val="-1"/>
          <w:sz w:val="18"/>
        </w:rPr>
        <w:t xml:space="preserve"> </w:t>
      </w:r>
      <w:r>
        <w:rPr>
          <w:sz w:val="18"/>
        </w:rPr>
        <w:t>assets</w:t>
      </w:r>
      <w:r>
        <w:rPr>
          <w:spacing w:val="-1"/>
          <w:sz w:val="18"/>
        </w:rPr>
        <w:t xml:space="preserve"> </w:t>
      </w:r>
      <w:r>
        <w:rPr>
          <w:sz w:val="18"/>
        </w:rPr>
        <w:t>and</w:t>
      </w:r>
      <w:r>
        <w:rPr>
          <w:spacing w:val="-4"/>
          <w:sz w:val="18"/>
        </w:rPr>
        <w:t xml:space="preserve"> </w:t>
      </w:r>
      <w:r>
        <w:rPr>
          <w:sz w:val="18"/>
        </w:rPr>
        <w:t>liabilities</w:t>
      </w:r>
      <w:r>
        <w:rPr>
          <w:spacing w:val="-1"/>
          <w:sz w:val="18"/>
        </w:rPr>
        <w:t xml:space="preserve"> </w:t>
      </w:r>
      <w:r>
        <w:rPr>
          <w:sz w:val="18"/>
        </w:rPr>
        <w:t xml:space="preserve">denominated in foreign currencies are </w:t>
      </w:r>
      <w:proofErr w:type="spellStart"/>
      <w:r>
        <w:rPr>
          <w:sz w:val="18"/>
        </w:rPr>
        <w:t>recognised</w:t>
      </w:r>
      <w:proofErr w:type="spellEnd"/>
      <w:r>
        <w:rPr>
          <w:sz w:val="18"/>
        </w:rPr>
        <w:t xml:space="preserve"> in the Statement of Comprehensive Income.</w:t>
      </w:r>
    </w:p>
    <w:p w14:paraId="37755972" w14:textId="77777777" w:rsidR="00AC6F3C" w:rsidRDefault="00AC6F3C">
      <w:pPr>
        <w:pStyle w:val="BodyText"/>
        <w:spacing w:before="9"/>
      </w:pPr>
    </w:p>
    <w:p w14:paraId="2BF528AE" w14:textId="77777777" w:rsidR="00AC6F3C" w:rsidRDefault="00570E88">
      <w:pPr>
        <w:ind w:left="958"/>
        <w:rPr>
          <w:b/>
          <w:sz w:val="20"/>
        </w:rPr>
      </w:pPr>
      <w:r>
        <w:rPr>
          <w:b/>
          <w:spacing w:val="-2"/>
          <w:sz w:val="20"/>
        </w:rPr>
        <w:t>Comparatives</w:t>
      </w:r>
    </w:p>
    <w:p w14:paraId="772672E0" w14:textId="77777777" w:rsidR="00AC6F3C" w:rsidRDefault="00AC6F3C">
      <w:pPr>
        <w:pStyle w:val="BodyText"/>
        <w:spacing w:before="10"/>
        <w:rPr>
          <w:b/>
        </w:rPr>
      </w:pPr>
    </w:p>
    <w:p w14:paraId="1911E926" w14:textId="77777777" w:rsidR="00AC6F3C" w:rsidRDefault="00570E88">
      <w:pPr>
        <w:ind w:left="958"/>
        <w:rPr>
          <w:sz w:val="18"/>
        </w:rPr>
      </w:pPr>
      <w:r>
        <w:rPr>
          <w:sz w:val="18"/>
        </w:rPr>
        <w:t>Comparative</w:t>
      </w:r>
      <w:r>
        <w:rPr>
          <w:spacing w:val="-4"/>
          <w:sz w:val="18"/>
        </w:rPr>
        <w:t xml:space="preserve"> </w:t>
      </w:r>
      <w:r>
        <w:rPr>
          <w:sz w:val="18"/>
        </w:rPr>
        <w:t>information</w:t>
      </w:r>
      <w:r>
        <w:rPr>
          <w:spacing w:val="-3"/>
          <w:sz w:val="18"/>
        </w:rPr>
        <w:t xml:space="preserve"> </w:t>
      </w:r>
      <w:r>
        <w:rPr>
          <w:sz w:val="18"/>
        </w:rPr>
        <w:t>reflects</w:t>
      </w:r>
      <w:r>
        <w:rPr>
          <w:spacing w:val="-4"/>
          <w:sz w:val="18"/>
        </w:rPr>
        <w:t xml:space="preserve"> </w:t>
      </w:r>
      <w:r>
        <w:rPr>
          <w:sz w:val="18"/>
        </w:rPr>
        <w:t>the</w:t>
      </w:r>
      <w:r>
        <w:rPr>
          <w:spacing w:val="-3"/>
          <w:sz w:val="18"/>
        </w:rPr>
        <w:t xml:space="preserve"> </w:t>
      </w:r>
      <w:r>
        <w:rPr>
          <w:sz w:val="18"/>
        </w:rPr>
        <w:t>audited</w:t>
      </w:r>
      <w:r>
        <w:rPr>
          <w:spacing w:val="-4"/>
          <w:sz w:val="18"/>
        </w:rPr>
        <w:t xml:space="preserve"> </w:t>
      </w:r>
      <w:r>
        <w:rPr>
          <w:sz w:val="18"/>
        </w:rPr>
        <w:t>2021-22</w:t>
      </w:r>
      <w:r>
        <w:rPr>
          <w:spacing w:val="-3"/>
          <w:sz w:val="18"/>
        </w:rPr>
        <w:t xml:space="preserve"> </w:t>
      </w:r>
      <w:r>
        <w:rPr>
          <w:sz w:val="18"/>
        </w:rPr>
        <w:t>financial</w:t>
      </w:r>
      <w:r>
        <w:rPr>
          <w:spacing w:val="-3"/>
          <w:sz w:val="18"/>
        </w:rPr>
        <w:t xml:space="preserve"> </w:t>
      </w:r>
      <w:r>
        <w:rPr>
          <w:spacing w:val="-2"/>
          <w:sz w:val="18"/>
        </w:rPr>
        <w:t>statements.</w:t>
      </w:r>
    </w:p>
    <w:p w14:paraId="5F2A0E53" w14:textId="77777777" w:rsidR="00AC6F3C" w:rsidRDefault="00AC6F3C">
      <w:pPr>
        <w:pStyle w:val="BodyText"/>
        <w:spacing w:before="10"/>
      </w:pPr>
    </w:p>
    <w:p w14:paraId="6B7476D8" w14:textId="77777777" w:rsidR="00AC6F3C" w:rsidRDefault="00570E88">
      <w:pPr>
        <w:ind w:left="958"/>
        <w:rPr>
          <w:b/>
          <w:sz w:val="20"/>
        </w:rPr>
      </w:pPr>
      <w:r>
        <w:rPr>
          <w:b/>
          <w:spacing w:val="-2"/>
          <w:sz w:val="20"/>
        </w:rPr>
        <w:t>Current/non-current</w:t>
      </w:r>
      <w:r>
        <w:rPr>
          <w:b/>
          <w:spacing w:val="13"/>
          <w:sz w:val="20"/>
        </w:rPr>
        <w:t xml:space="preserve"> </w:t>
      </w:r>
      <w:r>
        <w:rPr>
          <w:b/>
          <w:spacing w:val="-2"/>
          <w:sz w:val="20"/>
        </w:rPr>
        <w:t>classification</w:t>
      </w:r>
    </w:p>
    <w:p w14:paraId="6E001D80" w14:textId="77777777" w:rsidR="00AC6F3C" w:rsidRDefault="00AC6F3C">
      <w:pPr>
        <w:pStyle w:val="BodyText"/>
        <w:spacing w:before="10"/>
        <w:rPr>
          <w:b/>
        </w:rPr>
      </w:pPr>
    </w:p>
    <w:p w14:paraId="15789A09" w14:textId="77777777" w:rsidR="00AC6F3C" w:rsidRDefault="00570E88">
      <w:pPr>
        <w:ind w:left="958" w:right="730"/>
        <w:rPr>
          <w:sz w:val="18"/>
        </w:rPr>
      </w:pPr>
      <w:r>
        <w:rPr>
          <w:sz w:val="18"/>
        </w:rPr>
        <w:t>Assets</w:t>
      </w:r>
      <w:r>
        <w:rPr>
          <w:spacing w:val="-2"/>
          <w:sz w:val="18"/>
        </w:rPr>
        <w:t xml:space="preserve"> </w:t>
      </w:r>
      <w:r>
        <w:rPr>
          <w:sz w:val="18"/>
        </w:rPr>
        <w:t>and</w:t>
      </w:r>
      <w:r>
        <w:rPr>
          <w:spacing w:val="-2"/>
          <w:sz w:val="18"/>
        </w:rPr>
        <w:t xml:space="preserve"> </w:t>
      </w:r>
      <w:r>
        <w:rPr>
          <w:sz w:val="18"/>
        </w:rPr>
        <w:t>liabilities</w:t>
      </w:r>
      <w:r>
        <w:rPr>
          <w:spacing w:val="-2"/>
          <w:sz w:val="18"/>
        </w:rPr>
        <w:t xml:space="preserve"> </w:t>
      </w:r>
      <w:r>
        <w:rPr>
          <w:sz w:val="18"/>
        </w:rPr>
        <w:t>are</w:t>
      </w:r>
      <w:r>
        <w:rPr>
          <w:spacing w:val="-5"/>
          <w:sz w:val="18"/>
        </w:rPr>
        <w:t xml:space="preserve"> </w:t>
      </w:r>
      <w:r>
        <w:rPr>
          <w:sz w:val="18"/>
        </w:rPr>
        <w:t>classified</w:t>
      </w:r>
      <w:r>
        <w:rPr>
          <w:spacing w:val="-5"/>
          <w:sz w:val="18"/>
        </w:rPr>
        <w:t xml:space="preserve"> </w:t>
      </w:r>
      <w:r>
        <w:rPr>
          <w:sz w:val="18"/>
        </w:rPr>
        <w:t>as</w:t>
      </w:r>
      <w:r>
        <w:rPr>
          <w:spacing w:val="-2"/>
          <w:sz w:val="18"/>
        </w:rPr>
        <w:t xml:space="preserve"> </w:t>
      </w:r>
      <w:r>
        <w:rPr>
          <w:sz w:val="18"/>
        </w:rPr>
        <w:t>either</w:t>
      </w:r>
      <w:r>
        <w:rPr>
          <w:spacing w:val="-3"/>
          <w:sz w:val="18"/>
        </w:rPr>
        <w:t xml:space="preserve"> </w:t>
      </w:r>
      <w:r>
        <w:rPr>
          <w:sz w:val="18"/>
        </w:rPr>
        <w:t>‘current’</w:t>
      </w:r>
      <w:r>
        <w:rPr>
          <w:spacing w:val="-2"/>
          <w:sz w:val="18"/>
        </w:rPr>
        <w:t xml:space="preserve"> </w:t>
      </w:r>
      <w:r>
        <w:rPr>
          <w:sz w:val="18"/>
        </w:rPr>
        <w:t>or</w:t>
      </w:r>
      <w:r>
        <w:rPr>
          <w:spacing w:val="-5"/>
          <w:sz w:val="18"/>
        </w:rPr>
        <w:t xml:space="preserve"> </w:t>
      </w:r>
      <w:r>
        <w:rPr>
          <w:sz w:val="18"/>
        </w:rPr>
        <w:t>‘non-current’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Statement</w:t>
      </w:r>
      <w:r>
        <w:rPr>
          <w:spacing w:val="-3"/>
          <w:sz w:val="18"/>
        </w:rPr>
        <w:t xml:space="preserve"> </w:t>
      </w:r>
      <w:r>
        <w:rPr>
          <w:sz w:val="18"/>
        </w:rPr>
        <w:t>of</w:t>
      </w:r>
      <w:r>
        <w:rPr>
          <w:spacing w:val="-5"/>
          <w:sz w:val="18"/>
        </w:rPr>
        <w:t xml:space="preserve"> </w:t>
      </w:r>
      <w:r>
        <w:rPr>
          <w:sz w:val="18"/>
        </w:rPr>
        <w:t>Financial</w:t>
      </w:r>
      <w:r>
        <w:rPr>
          <w:spacing w:val="-2"/>
          <w:sz w:val="18"/>
        </w:rPr>
        <w:t xml:space="preserve"> </w:t>
      </w:r>
      <w:r>
        <w:rPr>
          <w:sz w:val="18"/>
        </w:rPr>
        <w:t>Position and associated notes.</w:t>
      </w:r>
    </w:p>
    <w:p w14:paraId="4EB9F95A" w14:textId="77777777" w:rsidR="00AC6F3C" w:rsidRDefault="00AC6F3C">
      <w:pPr>
        <w:pStyle w:val="BodyText"/>
        <w:spacing w:before="11"/>
      </w:pPr>
    </w:p>
    <w:p w14:paraId="4F9FC05F" w14:textId="77777777" w:rsidR="00AC6F3C" w:rsidRDefault="00570E88">
      <w:pPr>
        <w:ind w:left="958" w:right="632"/>
        <w:rPr>
          <w:sz w:val="18"/>
        </w:rPr>
      </w:pPr>
      <w:r>
        <w:rPr>
          <w:sz w:val="18"/>
        </w:rPr>
        <w:t>Assets are classified</w:t>
      </w:r>
      <w:r>
        <w:rPr>
          <w:spacing w:val="-3"/>
          <w:sz w:val="18"/>
        </w:rPr>
        <w:t xml:space="preserve"> </w:t>
      </w:r>
      <w:r>
        <w:rPr>
          <w:sz w:val="18"/>
        </w:rPr>
        <w:t>as</w:t>
      </w:r>
      <w:r>
        <w:rPr>
          <w:spacing w:val="-2"/>
          <w:sz w:val="18"/>
        </w:rPr>
        <w:t xml:space="preserve"> </w:t>
      </w:r>
      <w:r>
        <w:rPr>
          <w:sz w:val="18"/>
        </w:rPr>
        <w:t>‘current’ where their</w:t>
      </w:r>
      <w:r>
        <w:rPr>
          <w:spacing w:val="-3"/>
          <w:sz w:val="18"/>
        </w:rPr>
        <w:t xml:space="preserve"> </w:t>
      </w:r>
      <w:r>
        <w:rPr>
          <w:sz w:val="18"/>
        </w:rPr>
        <w:t>carrying</w:t>
      </w:r>
      <w:r>
        <w:rPr>
          <w:spacing w:val="-3"/>
          <w:sz w:val="18"/>
        </w:rPr>
        <w:t xml:space="preserve"> </w:t>
      </w:r>
      <w:r>
        <w:rPr>
          <w:sz w:val="18"/>
        </w:rPr>
        <w:t>amount</w:t>
      </w:r>
      <w:r>
        <w:rPr>
          <w:spacing w:val="-1"/>
          <w:sz w:val="18"/>
        </w:rPr>
        <w:t xml:space="preserve"> </w:t>
      </w:r>
      <w:r>
        <w:rPr>
          <w:sz w:val="18"/>
        </w:rPr>
        <w:t>is</w:t>
      </w:r>
      <w:r>
        <w:rPr>
          <w:spacing w:val="-2"/>
          <w:sz w:val="18"/>
        </w:rPr>
        <w:t xml:space="preserve"> </w:t>
      </w:r>
      <w:r>
        <w:rPr>
          <w:sz w:val="18"/>
        </w:rPr>
        <w:t xml:space="preserve">expected to be </w:t>
      </w:r>
      <w:proofErr w:type="spellStart"/>
      <w:r>
        <w:rPr>
          <w:sz w:val="18"/>
        </w:rPr>
        <w:t>realised</w:t>
      </w:r>
      <w:proofErr w:type="spellEnd"/>
      <w:r>
        <w:rPr>
          <w:sz w:val="18"/>
        </w:rPr>
        <w:t xml:space="preserve"> within twelve</w:t>
      </w:r>
      <w:r>
        <w:rPr>
          <w:spacing w:val="-3"/>
          <w:sz w:val="18"/>
        </w:rPr>
        <w:t xml:space="preserve"> </w:t>
      </w:r>
      <w:r>
        <w:rPr>
          <w:sz w:val="18"/>
        </w:rPr>
        <w:t>(12) months</w:t>
      </w:r>
      <w:r>
        <w:rPr>
          <w:spacing w:val="-2"/>
          <w:sz w:val="18"/>
        </w:rPr>
        <w:t xml:space="preserve"> </w:t>
      </w:r>
      <w:r>
        <w:rPr>
          <w:sz w:val="18"/>
        </w:rPr>
        <w:t>after</w:t>
      </w:r>
      <w:r>
        <w:rPr>
          <w:spacing w:val="-2"/>
          <w:sz w:val="18"/>
        </w:rPr>
        <w:t xml:space="preserve"> </w:t>
      </w:r>
      <w:r>
        <w:rPr>
          <w:sz w:val="18"/>
        </w:rPr>
        <w:t>the</w:t>
      </w:r>
      <w:r>
        <w:rPr>
          <w:spacing w:val="-2"/>
          <w:sz w:val="18"/>
        </w:rPr>
        <w:t xml:space="preserve"> </w:t>
      </w:r>
      <w:r>
        <w:rPr>
          <w:sz w:val="18"/>
        </w:rPr>
        <w:t>reporting</w:t>
      </w:r>
      <w:r>
        <w:rPr>
          <w:spacing w:val="-4"/>
          <w:sz w:val="18"/>
        </w:rPr>
        <w:t xml:space="preserve"> </w:t>
      </w:r>
      <w:r>
        <w:rPr>
          <w:sz w:val="18"/>
        </w:rPr>
        <w:t>date.</w:t>
      </w:r>
      <w:r>
        <w:rPr>
          <w:spacing w:val="-2"/>
          <w:sz w:val="18"/>
        </w:rPr>
        <w:t xml:space="preserve"> </w:t>
      </w:r>
      <w:r>
        <w:rPr>
          <w:sz w:val="18"/>
        </w:rPr>
        <w:t>Liabilities</w:t>
      </w:r>
      <w:r>
        <w:rPr>
          <w:spacing w:val="-3"/>
          <w:sz w:val="18"/>
        </w:rPr>
        <w:t xml:space="preserve"> </w:t>
      </w:r>
      <w:r>
        <w:rPr>
          <w:sz w:val="18"/>
        </w:rPr>
        <w:t>are</w:t>
      </w:r>
      <w:r>
        <w:rPr>
          <w:spacing w:val="-2"/>
          <w:sz w:val="18"/>
        </w:rPr>
        <w:t xml:space="preserve"> </w:t>
      </w:r>
      <w:r>
        <w:rPr>
          <w:sz w:val="18"/>
        </w:rPr>
        <w:t>classified</w:t>
      </w:r>
      <w:r>
        <w:rPr>
          <w:spacing w:val="-2"/>
          <w:sz w:val="18"/>
        </w:rPr>
        <w:t xml:space="preserve"> </w:t>
      </w:r>
      <w:r>
        <w:rPr>
          <w:sz w:val="18"/>
        </w:rPr>
        <w:t>as</w:t>
      </w:r>
      <w:r>
        <w:rPr>
          <w:spacing w:val="-3"/>
          <w:sz w:val="18"/>
        </w:rPr>
        <w:t xml:space="preserve"> </w:t>
      </w:r>
      <w:r>
        <w:rPr>
          <w:sz w:val="18"/>
        </w:rPr>
        <w:t>‘current’</w:t>
      </w:r>
      <w:r>
        <w:rPr>
          <w:spacing w:val="-2"/>
          <w:sz w:val="18"/>
        </w:rPr>
        <w:t xml:space="preserve"> </w:t>
      </w:r>
      <w:r>
        <w:rPr>
          <w:sz w:val="18"/>
        </w:rPr>
        <w:t>when</w:t>
      </w:r>
      <w:r>
        <w:rPr>
          <w:spacing w:val="-2"/>
          <w:sz w:val="18"/>
        </w:rPr>
        <w:t xml:space="preserve"> </w:t>
      </w:r>
      <w:r>
        <w:rPr>
          <w:sz w:val="18"/>
        </w:rPr>
        <w:t>they</w:t>
      </w:r>
      <w:r>
        <w:rPr>
          <w:spacing w:val="-3"/>
          <w:sz w:val="18"/>
        </w:rPr>
        <w:t xml:space="preserve"> </w:t>
      </w:r>
      <w:r>
        <w:rPr>
          <w:sz w:val="18"/>
        </w:rPr>
        <w:t>are</w:t>
      </w:r>
      <w:r>
        <w:rPr>
          <w:spacing w:val="-2"/>
          <w:sz w:val="18"/>
        </w:rPr>
        <w:t xml:space="preserve"> </w:t>
      </w:r>
      <w:r>
        <w:rPr>
          <w:sz w:val="18"/>
        </w:rPr>
        <w:t>due</w:t>
      </w:r>
      <w:r>
        <w:rPr>
          <w:spacing w:val="-2"/>
          <w:sz w:val="18"/>
        </w:rPr>
        <w:t xml:space="preserve"> </w:t>
      </w:r>
      <w:r>
        <w:rPr>
          <w:sz w:val="18"/>
        </w:rPr>
        <w:t>to</w:t>
      </w:r>
      <w:r>
        <w:rPr>
          <w:spacing w:val="-4"/>
          <w:sz w:val="18"/>
        </w:rPr>
        <w:t xml:space="preserve"> </w:t>
      </w:r>
      <w:r>
        <w:rPr>
          <w:sz w:val="18"/>
        </w:rPr>
        <w:t>be</w:t>
      </w:r>
      <w:r>
        <w:rPr>
          <w:spacing w:val="-2"/>
          <w:sz w:val="18"/>
        </w:rPr>
        <w:t xml:space="preserve"> </w:t>
      </w:r>
      <w:r>
        <w:rPr>
          <w:sz w:val="18"/>
        </w:rPr>
        <w:t>settled</w:t>
      </w:r>
      <w:r>
        <w:rPr>
          <w:spacing w:val="-2"/>
          <w:sz w:val="18"/>
        </w:rPr>
        <w:t xml:space="preserve"> </w:t>
      </w:r>
      <w:r>
        <w:rPr>
          <w:sz w:val="18"/>
        </w:rPr>
        <w:t>within twelve (12) months after the reporting date, or the Group does not have an unconditional right to defer settlement to beyond twelve (12) months after the reporting date.</w:t>
      </w:r>
    </w:p>
    <w:p w14:paraId="3EA3CBB6" w14:textId="77777777" w:rsidR="00AC6F3C" w:rsidRDefault="00AC6F3C">
      <w:pPr>
        <w:pStyle w:val="BodyText"/>
        <w:spacing w:before="10"/>
      </w:pPr>
    </w:p>
    <w:p w14:paraId="2CCADEBC" w14:textId="77777777" w:rsidR="00AC6F3C" w:rsidRDefault="00570E88">
      <w:pPr>
        <w:ind w:left="958"/>
        <w:rPr>
          <w:sz w:val="18"/>
        </w:rPr>
      </w:pPr>
      <w:r>
        <w:rPr>
          <w:sz w:val="18"/>
        </w:rPr>
        <w:t>All</w:t>
      </w:r>
      <w:r>
        <w:rPr>
          <w:spacing w:val="-2"/>
          <w:sz w:val="18"/>
        </w:rPr>
        <w:t xml:space="preserve"> </w:t>
      </w:r>
      <w:r>
        <w:rPr>
          <w:sz w:val="18"/>
        </w:rPr>
        <w:t>other</w:t>
      </w:r>
      <w:r>
        <w:rPr>
          <w:spacing w:val="-2"/>
          <w:sz w:val="18"/>
        </w:rPr>
        <w:t xml:space="preserve"> </w:t>
      </w:r>
      <w:r>
        <w:rPr>
          <w:sz w:val="18"/>
        </w:rPr>
        <w:t>assets</w:t>
      </w:r>
      <w:r>
        <w:rPr>
          <w:spacing w:val="-4"/>
          <w:sz w:val="18"/>
        </w:rPr>
        <w:t xml:space="preserve"> </w:t>
      </w:r>
      <w:r>
        <w:rPr>
          <w:sz w:val="18"/>
        </w:rPr>
        <w:t>and</w:t>
      </w:r>
      <w:r>
        <w:rPr>
          <w:spacing w:val="-4"/>
          <w:sz w:val="18"/>
        </w:rPr>
        <w:t xml:space="preserve"> </w:t>
      </w:r>
      <w:r>
        <w:rPr>
          <w:sz w:val="18"/>
        </w:rPr>
        <w:t>liabilities</w:t>
      </w:r>
      <w:r>
        <w:rPr>
          <w:spacing w:val="-3"/>
          <w:sz w:val="18"/>
        </w:rPr>
        <w:t xml:space="preserve"> </w:t>
      </w:r>
      <w:r>
        <w:rPr>
          <w:sz w:val="18"/>
        </w:rPr>
        <w:t>are</w:t>
      </w:r>
      <w:r>
        <w:rPr>
          <w:spacing w:val="-2"/>
          <w:sz w:val="18"/>
        </w:rPr>
        <w:t xml:space="preserve"> </w:t>
      </w:r>
      <w:r>
        <w:rPr>
          <w:sz w:val="18"/>
        </w:rPr>
        <w:t>classified</w:t>
      </w:r>
      <w:r>
        <w:rPr>
          <w:spacing w:val="-4"/>
          <w:sz w:val="18"/>
        </w:rPr>
        <w:t xml:space="preserve"> </w:t>
      </w:r>
      <w:r>
        <w:rPr>
          <w:sz w:val="18"/>
        </w:rPr>
        <w:t>as</w:t>
      </w:r>
      <w:r>
        <w:rPr>
          <w:spacing w:val="-3"/>
          <w:sz w:val="18"/>
        </w:rPr>
        <w:t xml:space="preserve"> </w:t>
      </w:r>
      <w:r>
        <w:rPr>
          <w:sz w:val="18"/>
        </w:rPr>
        <w:t>‘non-</w:t>
      </w:r>
      <w:r>
        <w:rPr>
          <w:spacing w:val="-2"/>
          <w:sz w:val="18"/>
        </w:rPr>
        <w:t>current’.</w:t>
      </w:r>
    </w:p>
    <w:p w14:paraId="7DCF8F0F" w14:textId="77777777" w:rsidR="00AC6F3C" w:rsidRDefault="00AC6F3C">
      <w:pPr>
        <w:rPr>
          <w:sz w:val="18"/>
        </w:rPr>
        <w:sectPr w:rsidR="00AC6F3C">
          <w:headerReference w:type="default" r:id="rId213"/>
          <w:footerReference w:type="default" r:id="rId214"/>
          <w:pgSz w:w="11910" w:h="16840"/>
          <w:pgMar w:top="2020" w:right="1160" w:bottom="520" w:left="460" w:header="1228" w:footer="336" w:gutter="0"/>
          <w:cols w:space="720"/>
        </w:sectPr>
      </w:pPr>
    </w:p>
    <w:p w14:paraId="1EB03E91" w14:textId="77777777" w:rsidR="00AC6F3C" w:rsidRDefault="00AC6F3C">
      <w:pPr>
        <w:pStyle w:val="BodyText"/>
      </w:pPr>
    </w:p>
    <w:p w14:paraId="6A5D0DED" w14:textId="77777777" w:rsidR="00AC6F3C" w:rsidRDefault="00570E88">
      <w:pPr>
        <w:tabs>
          <w:tab w:val="left" w:pos="1666"/>
        </w:tabs>
        <w:spacing w:before="249" w:line="322" w:lineRule="exact"/>
        <w:ind w:left="958"/>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0EEC215B" w14:textId="77777777" w:rsidR="00AC6F3C" w:rsidRDefault="00570E88">
      <w:pPr>
        <w:spacing w:line="322" w:lineRule="exact"/>
        <w:ind w:left="1666"/>
        <w:rPr>
          <w:b/>
          <w:sz w:val="28"/>
        </w:rPr>
      </w:pPr>
      <w:r>
        <w:rPr>
          <w:b/>
          <w:spacing w:val="-2"/>
          <w:sz w:val="28"/>
        </w:rPr>
        <w:t>(continued)</w:t>
      </w:r>
    </w:p>
    <w:p w14:paraId="13C854E3" w14:textId="77777777" w:rsidR="00AC6F3C" w:rsidRDefault="00570E88">
      <w:pPr>
        <w:pStyle w:val="Heading6"/>
        <w:tabs>
          <w:tab w:val="left" w:pos="1810"/>
        </w:tabs>
      </w:pPr>
      <w:r>
        <w:rPr>
          <w:spacing w:val="-2"/>
        </w:rPr>
        <w:t>A1-</w:t>
      </w:r>
      <w:r>
        <w:rPr>
          <w:spacing w:val="-10"/>
        </w:rPr>
        <w:t>4</w:t>
      </w:r>
      <w:r>
        <w:tab/>
        <w:t>AUTHORISATION</w:t>
      </w:r>
      <w:r>
        <w:rPr>
          <w:spacing w:val="-3"/>
        </w:rPr>
        <w:t xml:space="preserve"> </w:t>
      </w:r>
      <w:r>
        <w:t>OF</w:t>
      </w:r>
      <w:r>
        <w:rPr>
          <w:spacing w:val="-6"/>
        </w:rPr>
        <w:t xml:space="preserve"> </w:t>
      </w:r>
      <w:r>
        <w:t>FINANCIAL</w:t>
      </w:r>
      <w:r>
        <w:rPr>
          <w:spacing w:val="-2"/>
        </w:rPr>
        <w:t xml:space="preserve"> </w:t>
      </w:r>
      <w:r>
        <w:t>STATEMENTS</w:t>
      </w:r>
      <w:r>
        <w:rPr>
          <w:spacing w:val="-2"/>
        </w:rPr>
        <w:t xml:space="preserve"> </w:t>
      </w:r>
      <w:r>
        <w:t>FOR</w:t>
      </w:r>
      <w:r>
        <w:rPr>
          <w:spacing w:val="-2"/>
        </w:rPr>
        <w:t xml:space="preserve"> ISSUE</w:t>
      </w:r>
    </w:p>
    <w:p w14:paraId="076D3E1E" w14:textId="77777777" w:rsidR="00AC6F3C" w:rsidRDefault="00AC6F3C">
      <w:pPr>
        <w:pStyle w:val="BodyText"/>
        <w:spacing w:before="8"/>
        <w:rPr>
          <w:b/>
        </w:rPr>
      </w:pPr>
    </w:p>
    <w:p w14:paraId="04F4BA7A" w14:textId="77777777" w:rsidR="00AC6F3C" w:rsidRDefault="00570E88">
      <w:pPr>
        <w:ind w:left="958" w:right="990"/>
        <w:rPr>
          <w:sz w:val="18"/>
        </w:rPr>
      </w:pPr>
      <w:r>
        <w:rPr>
          <w:sz w:val="18"/>
        </w:rPr>
        <w:t>The</w:t>
      </w:r>
      <w:r>
        <w:rPr>
          <w:spacing w:val="-1"/>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are</w:t>
      </w:r>
      <w:r>
        <w:rPr>
          <w:spacing w:val="-1"/>
          <w:sz w:val="18"/>
        </w:rPr>
        <w:t xml:space="preserve"> </w:t>
      </w:r>
      <w:proofErr w:type="spellStart"/>
      <w:r>
        <w:rPr>
          <w:sz w:val="18"/>
        </w:rPr>
        <w:t>authorised</w:t>
      </w:r>
      <w:proofErr w:type="spellEnd"/>
      <w:r>
        <w:rPr>
          <w:spacing w:val="-4"/>
          <w:sz w:val="18"/>
        </w:rPr>
        <w:t xml:space="preserve"> </w:t>
      </w:r>
      <w:r>
        <w:rPr>
          <w:sz w:val="18"/>
        </w:rPr>
        <w:t>for</w:t>
      </w:r>
      <w:r>
        <w:rPr>
          <w:spacing w:val="-4"/>
          <w:sz w:val="18"/>
        </w:rPr>
        <w:t xml:space="preserve"> </w:t>
      </w:r>
      <w:r>
        <w:rPr>
          <w:sz w:val="18"/>
        </w:rPr>
        <w:t>issue</w:t>
      </w:r>
      <w:r>
        <w:rPr>
          <w:spacing w:val="-4"/>
          <w:sz w:val="18"/>
        </w:rPr>
        <w:t xml:space="preserve"> </w:t>
      </w:r>
      <w:r>
        <w:rPr>
          <w:sz w:val="18"/>
        </w:rPr>
        <w:t>by</w:t>
      </w:r>
      <w:r>
        <w:rPr>
          <w:spacing w:val="-1"/>
          <w:sz w:val="18"/>
        </w:rPr>
        <w:t xml:space="preserve"> </w:t>
      </w:r>
      <w:r>
        <w:rPr>
          <w:sz w:val="18"/>
        </w:rPr>
        <w:t>the</w:t>
      </w:r>
      <w:r>
        <w:rPr>
          <w:spacing w:val="-1"/>
          <w:sz w:val="18"/>
        </w:rPr>
        <w:t xml:space="preserve"> </w:t>
      </w:r>
      <w:r>
        <w:rPr>
          <w:sz w:val="18"/>
        </w:rPr>
        <w:t>President</w:t>
      </w:r>
      <w:r>
        <w:rPr>
          <w:spacing w:val="-4"/>
          <w:sz w:val="18"/>
        </w:rPr>
        <w:t xml:space="preserve"> </w:t>
      </w:r>
      <w:r>
        <w:rPr>
          <w:sz w:val="18"/>
        </w:rPr>
        <w:t>and</w:t>
      </w:r>
      <w:r>
        <w:rPr>
          <w:spacing w:val="-4"/>
          <w:sz w:val="18"/>
        </w:rPr>
        <w:t xml:space="preserve"> </w:t>
      </w:r>
      <w:r>
        <w:rPr>
          <w:sz w:val="18"/>
        </w:rPr>
        <w:t>Chief</w:t>
      </w:r>
      <w:r>
        <w:rPr>
          <w:spacing w:val="-4"/>
          <w:sz w:val="18"/>
        </w:rPr>
        <w:t xml:space="preserve"> </w:t>
      </w:r>
      <w:r>
        <w:rPr>
          <w:sz w:val="18"/>
        </w:rPr>
        <w:t>Executive</w:t>
      </w:r>
      <w:r>
        <w:rPr>
          <w:spacing w:val="-4"/>
          <w:sz w:val="18"/>
        </w:rPr>
        <w:t xml:space="preserve"> </w:t>
      </w:r>
      <w:r>
        <w:rPr>
          <w:sz w:val="18"/>
        </w:rPr>
        <w:t>Officer</w:t>
      </w:r>
      <w:r>
        <w:rPr>
          <w:spacing w:val="-2"/>
          <w:sz w:val="18"/>
        </w:rPr>
        <w:t xml:space="preserve"> </w:t>
      </w:r>
      <w:r>
        <w:rPr>
          <w:sz w:val="18"/>
        </w:rPr>
        <w:t>of</w:t>
      </w:r>
      <w:r>
        <w:rPr>
          <w:spacing w:val="-4"/>
          <w:sz w:val="18"/>
        </w:rPr>
        <w:t xml:space="preserve"> </w:t>
      </w:r>
      <w:r>
        <w:rPr>
          <w:sz w:val="18"/>
        </w:rPr>
        <w:t>the Society at the date of signing the management certificate.</w:t>
      </w:r>
    </w:p>
    <w:p w14:paraId="3BA288ED" w14:textId="77777777" w:rsidR="00AC6F3C" w:rsidRDefault="00AC6F3C">
      <w:pPr>
        <w:pStyle w:val="BodyText"/>
        <w:spacing w:before="1"/>
      </w:pPr>
    </w:p>
    <w:p w14:paraId="656BC52F" w14:textId="77777777" w:rsidR="00AC6F3C" w:rsidRDefault="00570E88">
      <w:pPr>
        <w:pStyle w:val="Heading6"/>
        <w:tabs>
          <w:tab w:val="left" w:pos="1810"/>
        </w:tabs>
        <w:spacing w:before="0"/>
      </w:pPr>
      <w:r>
        <w:rPr>
          <w:spacing w:val="-2"/>
        </w:rPr>
        <w:t>A1-</w:t>
      </w:r>
      <w:r>
        <w:rPr>
          <w:spacing w:val="-10"/>
        </w:rPr>
        <w:t>5</w:t>
      </w:r>
      <w:r>
        <w:tab/>
        <w:t>BASIS OF</w:t>
      </w:r>
      <w:r>
        <w:rPr>
          <w:spacing w:val="-1"/>
        </w:rPr>
        <w:t xml:space="preserve"> </w:t>
      </w:r>
      <w:r>
        <w:rPr>
          <w:spacing w:val="-2"/>
        </w:rPr>
        <w:t>MEASUREMENT</w:t>
      </w:r>
    </w:p>
    <w:p w14:paraId="72789B26" w14:textId="77777777" w:rsidR="00AC6F3C" w:rsidRDefault="00AC6F3C">
      <w:pPr>
        <w:pStyle w:val="BodyText"/>
        <w:spacing w:before="8"/>
        <w:rPr>
          <w:b/>
        </w:rPr>
      </w:pPr>
    </w:p>
    <w:p w14:paraId="17E50368" w14:textId="77777777" w:rsidR="00AC6F3C" w:rsidRDefault="00570E88">
      <w:pPr>
        <w:ind w:left="958"/>
        <w:rPr>
          <w:sz w:val="18"/>
        </w:rPr>
      </w:pPr>
      <w:r>
        <w:rPr>
          <w:sz w:val="18"/>
        </w:rPr>
        <w:t>Historical</w:t>
      </w:r>
      <w:r>
        <w:rPr>
          <w:spacing w:val="-1"/>
          <w:sz w:val="18"/>
        </w:rPr>
        <w:t xml:space="preserve"> </w:t>
      </w:r>
      <w:r>
        <w:rPr>
          <w:sz w:val="18"/>
        </w:rPr>
        <w:t>cost</w:t>
      </w:r>
      <w:r>
        <w:rPr>
          <w:spacing w:val="-4"/>
          <w:sz w:val="18"/>
        </w:rPr>
        <w:t xml:space="preserve"> </w:t>
      </w:r>
      <w:r>
        <w:rPr>
          <w:sz w:val="18"/>
        </w:rPr>
        <w:t>is</w:t>
      </w:r>
      <w:r>
        <w:rPr>
          <w:spacing w:val="-3"/>
          <w:sz w:val="18"/>
        </w:rPr>
        <w:t xml:space="preserve"> </w:t>
      </w:r>
      <w:r>
        <w:rPr>
          <w:sz w:val="18"/>
        </w:rPr>
        <w:t>used</w:t>
      </w:r>
      <w:r>
        <w:rPr>
          <w:spacing w:val="-1"/>
          <w:sz w:val="18"/>
        </w:rPr>
        <w:t xml:space="preserve"> </w:t>
      </w:r>
      <w:r>
        <w:rPr>
          <w:sz w:val="18"/>
        </w:rPr>
        <w:t>as</w:t>
      </w:r>
      <w:r>
        <w:rPr>
          <w:spacing w:val="-1"/>
          <w:sz w:val="18"/>
        </w:rPr>
        <w:t xml:space="preserve"> </w:t>
      </w:r>
      <w:r>
        <w:rPr>
          <w:sz w:val="18"/>
        </w:rPr>
        <w:t>the</w:t>
      </w:r>
      <w:r>
        <w:rPr>
          <w:spacing w:val="-4"/>
          <w:sz w:val="18"/>
        </w:rPr>
        <w:t xml:space="preserve"> </w:t>
      </w:r>
      <w:r>
        <w:rPr>
          <w:sz w:val="18"/>
        </w:rPr>
        <w:t>measurement</w:t>
      </w:r>
      <w:r>
        <w:rPr>
          <w:spacing w:val="-3"/>
          <w:sz w:val="18"/>
        </w:rPr>
        <w:t xml:space="preserve"> </w:t>
      </w:r>
      <w:r>
        <w:rPr>
          <w:sz w:val="18"/>
        </w:rPr>
        <w:t>basis</w:t>
      </w:r>
      <w:r>
        <w:rPr>
          <w:spacing w:val="-3"/>
          <w:sz w:val="18"/>
        </w:rPr>
        <w:t xml:space="preserve"> </w:t>
      </w:r>
      <w:r>
        <w:rPr>
          <w:sz w:val="18"/>
        </w:rPr>
        <w:t>in</w:t>
      </w:r>
      <w:r>
        <w:rPr>
          <w:spacing w:val="-4"/>
          <w:sz w:val="18"/>
        </w:rPr>
        <w:t xml:space="preserve"> </w:t>
      </w:r>
      <w:r>
        <w:rPr>
          <w:sz w:val="18"/>
        </w:rPr>
        <w:t>this</w:t>
      </w:r>
      <w:r>
        <w:rPr>
          <w:spacing w:val="-1"/>
          <w:sz w:val="18"/>
        </w:rPr>
        <w:t xml:space="preserve"> </w:t>
      </w:r>
      <w:r>
        <w:rPr>
          <w:sz w:val="18"/>
        </w:rPr>
        <w:t>financial</w:t>
      </w:r>
      <w:r>
        <w:rPr>
          <w:spacing w:val="-1"/>
          <w:sz w:val="18"/>
        </w:rPr>
        <w:t xml:space="preserve"> </w:t>
      </w:r>
      <w:r>
        <w:rPr>
          <w:sz w:val="18"/>
        </w:rPr>
        <w:t>report</w:t>
      </w:r>
      <w:r>
        <w:rPr>
          <w:spacing w:val="-2"/>
          <w:sz w:val="18"/>
        </w:rPr>
        <w:t xml:space="preserve"> </w:t>
      </w:r>
      <w:r>
        <w:rPr>
          <w:sz w:val="18"/>
        </w:rPr>
        <w:t>except</w:t>
      </w:r>
      <w:r>
        <w:rPr>
          <w:spacing w:val="-2"/>
          <w:sz w:val="18"/>
        </w:rPr>
        <w:t xml:space="preserve"> </w:t>
      </w:r>
      <w:r>
        <w:rPr>
          <w:sz w:val="18"/>
        </w:rPr>
        <w:t>for</w:t>
      </w:r>
      <w:r>
        <w:rPr>
          <w:spacing w:val="-2"/>
          <w:sz w:val="18"/>
        </w:rPr>
        <w:t xml:space="preserve"> </w:t>
      </w:r>
      <w:r>
        <w:rPr>
          <w:sz w:val="18"/>
        </w:rPr>
        <w:t xml:space="preserve">the </w:t>
      </w:r>
      <w:r>
        <w:rPr>
          <w:spacing w:val="-2"/>
          <w:sz w:val="18"/>
        </w:rPr>
        <w:t>following:</w:t>
      </w:r>
    </w:p>
    <w:p w14:paraId="47C07756" w14:textId="77777777" w:rsidR="00AC6F3C" w:rsidRDefault="00570E88">
      <w:pPr>
        <w:pStyle w:val="ListParagraph"/>
        <w:numPr>
          <w:ilvl w:val="0"/>
          <w:numId w:val="33"/>
        </w:numPr>
        <w:tabs>
          <w:tab w:val="left" w:pos="1318"/>
        </w:tabs>
        <w:spacing w:before="122"/>
        <w:rPr>
          <w:sz w:val="18"/>
        </w:rPr>
      </w:pPr>
      <w:r>
        <w:rPr>
          <w:sz w:val="18"/>
        </w:rPr>
        <w:t>strata</w:t>
      </w:r>
      <w:r>
        <w:rPr>
          <w:spacing w:val="-4"/>
          <w:sz w:val="18"/>
        </w:rPr>
        <w:t xml:space="preserve"> </w:t>
      </w:r>
      <w:r>
        <w:rPr>
          <w:sz w:val="18"/>
        </w:rPr>
        <w:t>title</w:t>
      </w:r>
      <w:r>
        <w:rPr>
          <w:spacing w:val="-1"/>
          <w:sz w:val="18"/>
        </w:rPr>
        <w:t xml:space="preserve"> </w:t>
      </w:r>
      <w:r>
        <w:rPr>
          <w:sz w:val="18"/>
        </w:rPr>
        <w:t>building</w:t>
      </w:r>
      <w:r>
        <w:rPr>
          <w:spacing w:val="-4"/>
          <w:sz w:val="18"/>
        </w:rPr>
        <w:t xml:space="preserve"> </w:t>
      </w:r>
      <w:r>
        <w:rPr>
          <w:sz w:val="18"/>
        </w:rPr>
        <w:t>which</w:t>
      </w:r>
      <w:r>
        <w:rPr>
          <w:spacing w:val="-1"/>
          <w:sz w:val="18"/>
        </w:rPr>
        <w:t xml:space="preserve"> </w:t>
      </w:r>
      <w:r>
        <w:rPr>
          <w:sz w:val="18"/>
        </w:rPr>
        <w:t>is</w:t>
      </w:r>
      <w:r>
        <w:rPr>
          <w:spacing w:val="-2"/>
          <w:sz w:val="18"/>
        </w:rPr>
        <w:t xml:space="preserve"> </w:t>
      </w:r>
      <w:r>
        <w:rPr>
          <w:sz w:val="18"/>
        </w:rPr>
        <w:t>measured</w:t>
      </w:r>
      <w:r>
        <w:rPr>
          <w:spacing w:val="-1"/>
          <w:sz w:val="18"/>
        </w:rPr>
        <w:t xml:space="preserve"> </w:t>
      </w:r>
      <w:r>
        <w:rPr>
          <w:sz w:val="18"/>
        </w:rPr>
        <w:t>at</w:t>
      </w:r>
      <w:r>
        <w:rPr>
          <w:spacing w:val="-3"/>
          <w:sz w:val="18"/>
        </w:rPr>
        <w:t xml:space="preserve"> </w:t>
      </w:r>
      <w:r>
        <w:rPr>
          <w:sz w:val="18"/>
        </w:rPr>
        <w:t>fair</w:t>
      </w:r>
      <w:r>
        <w:rPr>
          <w:spacing w:val="-3"/>
          <w:sz w:val="18"/>
        </w:rPr>
        <w:t xml:space="preserve"> </w:t>
      </w:r>
      <w:r>
        <w:rPr>
          <w:spacing w:val="-2"/>
          <w:sz w:val="18"/>
        </w:rPr>
        <w:t>value;</w:t>
      </w:r>
    </w:p>
    <w:p w14:paraId="3DAEEDD1" w14:textId="77777777" w:rsidR="00AC6F3C" w:rsidRDefault="00570E88">
      <w:pPr>
        <w:pStyle w:val="ListParagraph"/>
        <w:numPr>
          <w:ilvl w:val="0"/>
          <w:numId w:val="33"/>
        </w:numPr>
        <w:tabs>
          <w:tab w:val="left" w:pos="1318"/>
        </w:tabs>
        <w:spacing w:before="118"/>
        <w:rPr>
          <w:sz w:val="18"/>
        </w:rPr>
      </w:pPr>
      <w:r>
        <w:rPr>
          <w:sz w:val="18"/>
        </w:rPr>
        <w:t>investments</w:t>
      </w:r>
      <w:r>
        <w:rPr>
          <w:spacing w:val="-1"/>
          <w:sz w:val="18"/>
        </w:rPr>
        <w:t xml:space="preserve"> </w:t>
      </w:r>
      <w:r>
        <w:rPr>
          <w:sz w:val="18"/>
        </w:rPr>
        <w:t>which</w:t>
      </w:r>
      <w:r>
        <w:rPr>
          <w:spacing w:val="-4"/>
          <w:sz w:val="18"/>
        </w:rPr>
        <w:t xml:space="preserve"> </w:t>
      </w:r>
      <w:r>
        <w:rPr>
          <w:sz w:val="18"/>
        </w:rPr>
        <w:t>are</w:t>
      </w:r>
      <w:r>
        <w:rPr>
          <w:spacing w:val="-3"/>
          <w:sz w:val="18"/>
        </w:rPr>
        <w:t xml:space="preserve"> </w:t>
      </w:r>
      <w:r>
        <w:rPr>
          <w:sz w:val="18"/>
        </w:rPr>
        <w:t>measured</w:t>
      </w:r>
      <w:r>
        <w:rPr>
          <w:spacing w:val="-1"/>
          <w:sz w:val="18"/>
        </w:rPr>
        <w:t xml:space="preserve"> </w:t>
      </w:r>
      <w:r>
        <w:rPr>
          <w:sz w:val="18"/>
        </w:rPr>
        <w:t>at</w:t>
      </w:r>
      <w:r>
        <w:rPr>
          <w:spacing w:val="-1"/>
          <w:sz w:val="18"/>
        </w:rPr>
        <w:t xml:space="preserve"> </w:t>
      </w:r>
      <w:r>
        <w:rPr>
          <w:sz w:val="18"/>
        </w:rPr>
        <w:t>fair</w:t>
      </w:r>
      <w:r>
        <w:rPr>
          <w:spacing w:val="-4"/>
          <w:sz w:val="18"/>
        </w:rPr>
        <w:t xml:space="preserve"> </w:t>
      </w:r>
      <w:r>
        <w:rPr>
          <w:sz w:val="18"/>
        </w:rPr>
        <w:t>value;</w:t>
      </w:r>
      <w:r>
        <w:rPr>
          <w:spacing w:val="-3"/>
          <w:sz w:val="18"/>
        </w:rPr>
        <w:t xml:space="preserve"> </w:t>
      </w:r>
      <w:r>
        <w:rPr>
          <w:spacing w:val="-5"/>
          <w:sz w:val="18"/>
        </w:rPr>
        <w:t>and</w:t>
      </w:r>
    </w:p>
    <w:p w14:paraId="7AE64104" w14:textId="77777777" w:rsidR="00AC6F3C" w:rsidRDefault="00570E88">
      <w:pPr>
        <w:pStyle w:val="ListParagraph"/>
        <w:numPr>
          <w:ilvl w:val="0"/>
          <w:numId w:val="33"/>
        </w:numPr>
        <w:tabs>
          <w:tab w:val="left" w:pos="1318"/>
        </w:tabs>
        <w:spacing w:before="118"/>
        <w:ind w:right="995"/>
        <w:rPr>
          <w:sz w:val="18"/>
        </w:rPr>
      </w:pPr>
      <w:r>
        <w:rPr>
          <w:sz w:val="18"/>
        </w:rPr>
        <w:t>accrued</w:t>
      </w:r>
      <w:r>
        <w:rPr>
          <w:spacing w:val="-4"/>
          <w:sz w:val="18"/>
        </w:rPr>
        <w:t xml:space="preserve"> </w:t>
      </w:r>
      <w:r>
        <w:rPr>
          <w:sz w:val="18"/>
        </w:rPr>
        <w:t>employee</w:t>
      </w:r>
      <w:r>
        <w:rPr>
          <w:spacing w:val="-4"/>
          <w:sz w:val="18"/>
        </w:rPr>
        <w:t xml:space="preserve"> </w:t>
      </w:r>
      <w:r>
        <w:rPr>
          <w:sz w:val="18"/>
        </w:rPr>
        <w:t>benefits</w:t>
      </w:r>
      <w:r>
        <w:rPr>
          <w:spacing w:val="-1"/>
          <w:sz w:val="18"/>
        </w:rPr>
        <w:t xml:space="preserve"> </w:t>
      </w:r>
      <w:r>
        <w:rPr>
          <w:sz w:val="18"/>
        </w:rPr>
        <w:t>expected</w:t>
      </w:r>
      <w:r>
        <w:rPr>
          <w:spacing w:val="-1"/>
          <w:sz w:val="18"/>
        </w:rPr>
        <w:t xml:space="preserve"> </w:t>
      </w:r>
      <w:r>
        <w:rPr>
          <w:sz w:val="18"/>
        </w:rPr>
        <w:t>to</w:t>
      </w:r>
      <w:r>
        <w:rPr>
          <w:spacing w:val="-4"/>
          <w:sz w:val="18"/>
        </w:rPr>
        <w:t xml:space="preserve"> </w:t>
      </w:r>
      <w:r>
        <w:rPr>
          <w:sz w:val="18"/>
        </w:rPr>
        <w:t>be</w:t>
      </w:r>
      <w:r>
        <w:rPr>
          <w:spacing w:val="-4"/>
          <w:sz w:val="18"/>
        </w:rPr>
        <w:t xml:space="preserve"> </w:t>
      </w:r>
      <w:r>
        <w:rPr>
          <w:sz w:val="18"/>
        </w:rPr>
        <w:t>settled</w:t>
      </w:r>
      <w:r>
        <w:rPr>
          <w:spacing w:val="-4"/>
          <w:sz w:val="18"/>
        </w:rPr>
        <w:t xml:space="preserve"> </w:t>
      </w:r>
      <w:r>
        <w:rPr>
          <w:sz w:val="18"/>
        </w:rPr>
        <w:t>12</w:t>
      </w:r>
      <w:r>
        <w:rPr>
          <w:spacing w:val="-1"/>
          <w:sz w:val="18"/>
        </w:rPr>
        <w:t xml:space="preserve"> </w:t>
      </w:r>
      <w:r>
        <w:rPr>
          <w:sz w:val="18"/>
        </w:rPr>
        <w:t>or</w:t>
      </w:r>
      <w:r>
        <w:rPr>
          <w:spacing w:val="-2"/>
          <w:sz w:val="18"/>
        </w:rPr>
        <w:t xml:space="preserve"> </w:t>
      </w:r>
      <w:r>
        <w:rPr>
          <w:sz w:val="18"/>
        </w:rPr>
        <w:t>more</w:t>
      </w:r>
      <w:r>
        <w:rPr>
          <w:spacing w:val="-1"/>
          <w:sz w:val="18"/>
        </w:rPr>
        <w:t xml:space="preserve"> </w:t>
      </w:r>
      <w:r>
        <w:rPr>
          <w:sz w:val="18"/>
        </w:rPr>
        <w:t>months</w:t>
      </w:r>
      <w:r>
        <w:rPr>
          <w:spacing w:val="-3"/>
          <w:sz w:val="18"/>
        </w:rPr>
        <w:t xml:space="preserve"> </w:t>
      </w:r>
      <w:r>
        <w:rPr>
          <w:sz w:val="18"/>
        </w:rPr>
        <w:t>after</w:t>
      </w:r>
      <w:r>
        <w:rPr>
          <w:spacing w:val="-2"/>
          <w:sz w:val="18"/>
        </w:rPr>
        <w:t xml:space="preserve"> </w:t>
      </w:r>
      <w:r>
        <w:rPr>
          <w:sz w:val="18"/>
        </w:rPr>
        <w:t>reporting</w:t>
      </w:r>
      <w:r>
        <w:rPr>
          <w:spacing w:val="-1"/>
          <w:sz w:val="18"/>
        </w:rPr>
        <w:t xml:space="preserve"> </w:t>
      </w:r>
      <w:r>
        <w:rPr>
          <w:sz w:val="18"/>
        </w:rPr>
        <w:t>date,</w:t>
      </w:r>
      <w:r>
        <w:rPr>
          <w:spacing w:val="-4"/>
          <w:sz w:val="18"/>
        </w:rPr>
        <w:t xml:space="preserve"> </w:t>
      </w:r>
      <w:r>
        <w:rPr>
          <w:sz w:val="18"/>
        </w:rPr>
        <w:t>which</w:t>
      </w:r>
      <w:r>
        <w:rPr>
          <w:spacing w:val="-4"/>
          <w:sz w:val="18"/>
        </w:rPr>
        <w:t xml:space="preserve"> </w:t>
      </w:r>
      <w:r>
        <w:rPr>
          <w:sz w:val="18"/>
        </w:rPr>
        <w:t>are measured at their present value.</w:t>
      </w:r>
    </w:p>
    <w:p w14:paraId="6E592B57" w14:textId="77777777" w:rsidR="00AC6F3C" w:rsidRDefault="00AC6F3C">
      <w:pPr>
        <w:pStyle w:val="BodyText"/>
        <w:spacing w:before="10"/>
      </w:pPr>
    </w:p>
    <w:p w14:paraId="6DE0903B" w14:textId="77777777" w:rsidR="00AC6F3C" w:rsidRDefault="00570E88">
      <w:pPr>
        <w:ind w:left="958"/>
        <w:rPr>
          <w:b/>
          <w:sz w:val="20"/>
        </w:rPr>
      </w:pPr>
      <w:r>
        <w:rPr>
          <w:b/>
          <w:sz w:val="20"/>
        </w:rPr>
        <w:t>Historical</w:t>
      </w:r>
      <w:r>
        <w:rPr>
          <w:b/>
          <w:spacing w:val="-14"/>
          <w:sz w:val="20"/>
        </w:rPr>
        <w:t xml:space="preserve"> </w:t>
      </w:r>
      <w:r>
        <w:rPr>
          <w:b/>
          <w:spacing w:val="-4"/>
          <w:sz w:val="20"/>
        </w:rPr>
        <w:t>cost</w:t>
      </w:r>
    </w:p>
    <w:p w14:paraId="5B0A095D" w14:textId="77777777" w:rsidR="00AC6F3C" w:rsidRDefault="00AC6F3C">
      <w:pPr>
        <w:pStyle w:val="BodyText"/>
        <w:spacing w:before="10"/>
        <w:rPr>
          <w:b/>
        </w:rPr>
      </w:pPr>
    </w:p>
    <w:p w14:paraId="2B161E36" w14:textId="77777777" w:rsidR="00AC6F3C" w:rsidRDefault="00570E88">
      <w:pPr>
        <w:ind w:left="958" w:right="857"/>
        <w:rPr>
          <w:sz w:val="18"/>
        </w:rPr>
      </w:pPr>
      <w:r>
        <w:rPr>
          <w:sz w:val="18"/>
        </w:rPr>
        <w:t>Under</w:t>
      </w:r>
      <w:r>
        <w:rPr>
          <w:spacing w:val="-1"/>
          <w:sz w:val="18"/>
        </w:rPr>
        <w:t xml:space="preserve"> </w:t>
      </w:r>
      <w:r>
        <w:rPr>
          <w:sz w:val="18"/>
        </w:rPr>
        <w:t>historical</w:t>
      </w:r>
      <w:r>
        <w:rPr>
          <w:spacing w:val="-3"/>
          <w:sz w:val="18"/>
        </w:rPr>
        <w:t xml:space="preserve"> </w:t>
      </w:r>
      <w:r>
        <w:rPr>
          <w:sz w:val="18"/>
        </w:rPr>
        <w:t>cost,</w:t>
      </w:r>
      <w:r>
        <w:rPr>
          <w:spacing w:val="-1"/>
          <w:sz w:val="18"/>
        </w:rPr>
        <w:t xml:space="preserve"> </w:t>
      </w:r>
      <w:r>
        <w:rPr>
          <w:sz w:val="18"/>
        </w:rPr>
        <w:t>assets</w:t>
      </w:r>
      <w:r>
        <w:rPr>
          <w:spacing w:val="-2"/>
          <w:sz w:val="18"/>
        </w:rPr>
        <w:t xml:space="preserve"> </w:t>
      </w:r>
      <w:r>
        <w:rPr>
          <w:sz w:val="18"/>
        </w:rPr>
        <w:t>are recorded</w:t>
      </w:r>
      <w:r>
        <w:rPr>
          <w:spacing w:val="-3"/>
          <w:sz w:val="18"/>
        </w:rPr>
        <w:t xml:space="preserve"> </w:t>
      </w:r>
      <w:r>
        <w:rPr>
          <w:sz w:val="18"/>
        </w:rPr>
        <w:t>at</w:t>
      </w:r>
      <w:r>
        <w:rPr>
          <w:spacing w:val="-1"/>
          <w:sz w:val="18"/>
        </w:rPr>
        <w:t xml:space="preserve"> </w:t>
      </w:r>
      <w:r>
        <w:rPr>
          <w:sz w:val="18"/>
        </w:rPr>
        <w:t>the amount</w:t>
      </w:r>
      <w:r>
        <w:rPr>
          <w:spacing w:val="-1"/>
          <w:sz w:val="18"/>
        </w:rPr>
        <w:t xml:space="preserve"> </w:t>
      </w:r>
      <w:r>
        <w:rPr>
          <w:sz w:val="18"/>
        </w:rPr>
        <w:t>of</w:t>
      </w:r>
      <w:r>
        <w:rPr>
          <w:spacing w:val="-1"/>
          <w:sz w:val="18"/>
        </w:rPr>
        <w:t xml:space="preserve"> </w:t>
      </w:r>
      <w:r>
        <w:rPr>
          <w:sz w:val="18"/>
        </w:rPr>
        <w:t>cash</w:t>
      </w:r>
      <w:r>
        <w:rPr>
          <w:spacing w:val="-3"/>
          <w:sz w:val="18"/>
        </w:rPr>
        <w:t xml:space="preserve"> </w:t>
      </w:r>
      <w:r>
        <w:rPr>
          <w:sz w:val="18"/>
        </w:rPr>
        <w:t>or</w:t>
      </w:r>
      <w:r>
        <w:rPr>
          <w:spacing w:val="-1"/>
          <w:sz w:val="18"/>
        </w:rPr>
        <w:t xml:space="preserve"> </w:t>
      </w:r>
      <w:r>
        <w:rPr>
          <w:sz w:val="18"/>
        </w:rPr>
        <w:t>cash</w:t>
      </w:r>
      <w:r>
        <w:rPr>
          <w:spacing w:val="-3"/>
          <w:sz w:val="18"/>
        </w:rPr>
        <w:t xml:space="preserve"> </w:t>
      </w:r>
      <w:r>
        <w:rPr>
          <w:sz w:val="18"/>
        </w:rPr>
        <w:t>equivalents paid</w:t>
      </w:r>
      <w:r>
        <w:rPr>
          <w:spacing w:val="-3"/>
          <w:sz w:val="18"/>
        </w:rPr>
        <w:t xml:space="preserve"> </w:t>
      </w:r>
      <w:r>
        <w:rPr>
          <w:sz w:val="18"/>
        </w:rPr>
        <w:t>or</w:t>
      </w:r>
      <w:r>
        <w:rPr>
          <w:spacing w:val="-1"/>
          <w:sz w:val="18"/>
        </w:rPr>
        <w:t xml:space="preserve"> </w:t>
      </w:r>
      <w:r>
        <w:rPr>
          <w:sz w:val="18"/>
        </w:rPr>
        <w:t>the fair</w:t>
      </w:r>
      <w:r>
        <w:rPr>
          <w:spacing w:val="-3"/>
          <w:sz w:val="18"/>
        </w:rPr>
        <w:t xml:space="preserve"> </w:t>
      </w:r>
      <w:r>
        <w:rPr>
          <w:sz w:val="18"/>
        </w:rPr>
        <w:t>value of the consideration given to acquire assets at the time of their acquisition. Liabilities are recorded at the amount</w:t>
      </w:r>
      <w:r>
        <w:rPr>
          <w:spacing w:val="-2"/>
          <w:sz w:val="18"/>
        </w:rPr>
        <w:t xml:space="preserve"> </w:t>
      </w:r>
      <w:r>
        <w:rPr>
          <w:sz w:val="18"/>
        </w:rPr>
        <w:t>of</w:t>
      </w:r>
      <w:r>
        <w:rPr>
          <w:spacing w:val="-4"/>
          <w:sz w:val="18"/>
        </w:rPr>
        <w:t xml:space="preserve"> </w:t>
      </w:r>
      <w:r>
        <w:rPr>
          <w:sz w:val="18"/>
        </w:rPr>
        <w:t>proceeds</w:t>
      </w:r>
      <w:r>
        <w:rPr>
          <w:spacing w:val="-1"/>
          <w:sz w:val="18"/>
        </w:rPr>
        <w:t xml:space="preserve"> </w:t>
      </w:r>
      <w:r>
        <w:rPr>
          <w:sz w:val="18"/>
        </w:rPr>
        <w:t>received</w:t>
      </w:r>
      <w:r>
        <w:rPr>
          <w:spacing w:val="-1"/>
          <w:sz w:val="18"/>
        </w:rPr>
        <w:t xml:space="preserve"> </w:t>
      </w:r>
      <w:r>
        <w:rPr>
          <w:sz w:val="18"/>
        </w:rPr>
        <w:t>in</w:t>
      </w:r>
      <w:r>
        <w:rPr>
          <w:spacing w:val="-1"/>
          <w:sz w:val="18"/>
        </w:rPr>
        <w:t xml:space="preserve"> </w:t>
      </w:r>
      <w:r>
        <w:rPr>
          <w:sz w:val="18"/>
        </w:rPr>
        <w:t>exchange</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obligation</w:t>
      </w:r>
      <w:r>
        <w:rPr>
          <w:spacing w:val="-4"/>
          <w:sz w:val="18"/>
        </w:rPr>
        <w:t xml:space="preserve"> </w:t>
      </w:r>
      <w:r>
        <w:rPr>
          <w:sz w:val="18"/>
        </w:rPr>
        <w:t>or</w:t>
      </w:r>
      <w:r>
        <w:rPr>
          <w:spacing w:val="-2"/>
          <w:sz w:val="18"/>
        </w:rPr>
        <w:t xml:space="preserve"> </w:t>
      </w:r>
      <w:r>
        <w:rPr>
          <w:sz w:val="18"/>
        </w:rPr>
        <w:t>at</w:t>
      </w:r>
      <w:r>
        <w:rPr>
          <w:spacing w:val="-2"/>
          <w:sz w:val="18"/>
        </w:rPr>
        <w:t xml:space="preserve"> </w:t>
      </w:r>
      <w:r>
        <w:rPr>
          <w:sz w:val="18"/>
        </w:rPr>
        <w:t>the</w:t>
      </w:r>
      <w:r>
        <w:rPr>
          <w:spacing w:val="-1"/>
          <w:sz w:val="18"/>
        </w:rPr>
        <w:t xml:space="preserve"> </w:t>
      </w:r>
      <w:r>
        <w:rPr>
          <w:sz w:val="18"/>
        </w:rPr>
        <w:t>amounts</w:t>
      </w:r>
      <w:r>
        <w:rPr>
          <w:spacing w:val="-3"/>
          <w:sz w:val="18"/>
        </w:rPr>
        <w:t xml:space="preserve"> </w:t>
      </w:r>
      <w:r>
        <w:rPr>
          <w:sz w:val="18"/>
        </w:rPr>
        <w:t>of</w:t>
      </w:r>
      <w:r>
        <w:rPr>
          <w:spacing w:val="-4"/>
          <w:sz w:val="18"/>
        </w:rPr>
        <w:t xml:space="preserve"> </w:t>
      </w:r>
      <w:r>
        <w:rPr>
          <w:sz w:val="18"/>
        </w:rPr>
        <w:t>cash</w:t>
      </w:r>
      <w:r>
        <w:rPr>
          <w:spacing w:val="-1"/>
          <w:sz w:val="18"/>
        </w:rPr>
        <w:t xml:space="preserve"> </w:t>
      </w:r>
      <w:r>
        <w:rPr>
          <w:sz w:val="18"/>
        </w:rPr>
        <w:t>or</w:t>
      </w:r>
      <w:r>
        <w:rPr>
          <w:spacing w:val="-4"/>
          <w:sz w:val="18"/>
        </w:rPr>
        <w:t xml:space="preserve"> </w:t>
      </w:r>
      <w:r>
        <w:rPr>
          <w:sz w:val="18"/>
        </w:rPr>
        <w:t>cash</w:t>
      </w:r>
      <w:r>
        <w:rPr>
          <w:spacing w:val="-4"/>
          <w:sz w:val="18"/>
        </w:rPr>
        <w:t xml:space="preserve"> </w:t>
      </w:r>
      <w:r>
        <w:rPr>
          <w:sz w:val="18"/>
        </w:rPr>
        <w:t>equivalents expected to be paid to satisfy the liability in the normal course of business.</w:t>
      </w:r>
    </w:p>
    <w:p w14:paraId="0A91C6E7" w14:textId="77777777" w:rsidR="00AC6F3C" w:rsidRDefault="00AC6F3C">
      <w:pPr>
        <w:pStyle w:val="BodyText"/>
        <w:spacing w:before="8"/>
      </w:pPr>
    </w:p>
    <w:p w14:paraId="158831C2" w14:textId="77777777" w:rsidR="00AC6F3C" w:rsidRDefault="00570E88">
      <w:pPr>
        <w:ind w:left="958"/>
        <w:rPr>
          <w:b/>
          <w:sz w:val="20"/>
        </w:rPr>
      </w:pPr>
      <w:r>
        <w:rPr>
          <w:b/>
          <w:sz w:val="20"/>
        </w:rPr>
        <w:t>Fair</w:t>
      </w:r>
      <w:r>
        <w:rPr>
          <w:b/>
          <w:spacing w:val="-8"/>
          <w:sz w:val="20"/>
        </w:rPr>
        <w:t xml:space="preserve"> </w:t>
      </w:r>
      <w:r>
        <w:rPr>
          <w:b/>
          <w:spacing w:val="-4"/>
          <w:sz w:val="20"/>
        </w:rPr>
        <w:t>value</w:t>
      </w:r>
    </w:p>
    <w:p w14:paraId="24E9AEE7" w14:textId="77777777" w:rsidR="00AC6F3C" w:rsidRDefault="00AC6F3C">
      <w:pPr>
        <w:pStyle w:val="BodyText"/>
        <w:spacing w:before="10"/>
        <w:rPr>
          <w:b/>
        </w:rPr>
      </w:pPr>
    </w:p>
    <w:p w14:paraId="33E79C13" w14:textId="77777777" w:rsidR="00AC6F3C" w:rsidRDefault="00570E88">
      <w:pPr>
        <w:ind w:left="958" w:right="886"/>
        <w:rPr>
          <w:sz w:val="18"/>
        </w:rPr>
      </w:pPr>
      <w:r>
        <w:rPr>
          <w:sz w:val="18"/>
        </w:rPr>
        <w:t>Fair value is the price that would be received to sell an asset or paid to transfer a liability in an orderly transaction</w:t>
      </w:r>
      <w:r>
        <w:rPr>
          <w:spacing w:val="-4"/>
          <w:sz w:val="18"/>
        </w:rPr>
        <w:t xml:space="preserve"> </w:t>
      </w:r>
      <w:r>
        <w:rPr>
          <w:sz w:val="18"/>
        </w:rPr>
        <w:t>between</w:t>
      </w:r>
      <w:r>
        <w:rPr>
          <w:spacing w:val="-1"/>
          <w:sz w:val="18"/>
        </w:rPr>
        <w:t xml:space="preserve"> </w:t>
      </w:r>
      <w:r>
        <w:rPr>
          <w:sz w:val="18"/>
        </w:rPr>
        <w:t>market</w:t>
      </w:r>
      <w:r>
        <w:rPr>
          <w:spacing w:val="-2"/>
          <w:sz w:val="18"/>
        </w:rPr>
        <w:t xml:space="preserve"> </w:t>
      </w:r>
      <w:r>
        <w:rPr>
          <w:sz w:val="18"/>
        </w:rPr>
        <w:t>participants</w:t>
      </w:r>
      <w:r>
        <w:rPr>
          <w:spacing w:val="-3"/>
          <w:sz w:val="18"/>
        </w:rPr>
        <w:t xml:space="preserve"> </w:t>
      </w:r>
      <w:r>
        <w:rPr>
          <w:sz w:val="18"/>
        </w:rPr>
        <w:t>at</w:t>
      </w:r>
      <w:r>
        <w:rPr>
          <w:spacing w:val="-2"/>
          <w:sz w:val="18"/>
        </w:rPr>
        <w:t xml:space="preserve"> </w:t>
      </w:r>
      <w:r>
        <w:rPr>
          <w:sz w:val="18"/>
        </w:rPr>
        <w:t>the</w:t>
      </w:r>
      <w:r>
        <w:rPr>
          <w:spacing w:val="-1"/>
          <w:sz w:val="18"/>
        </w:rPr>
        <w:t xml:space="preserve"> </w:t>
      </w:r>
      <w:r>
        <w:rPr>
          <w:sz w:val="18"/>
        </w:rPr>
        <w:t>measurement</w:t>
      </w:r>
      <w:r>
        <w:rPr>
          <w:spacing w:val="-2"/>
          <w:sz w:val="18"/>
        </w:rPr>
        <w:t xml:space="preserve"> </w:t>
      </w:r>
      <w:r>
        <w:rPr>
          <w:sz w:val="18"/>
        </w:rPr>
        <w:t>date</w:t>
      </w:r>
      <w:r>
        <w:rPr>
          <w:spacing w:val="-4"/>
          <w:sz w:val="18"/>
        </w:rPr>
        <w:t xml:space="preserve"> </w:t>
      </w:r>
      <w:r>
        <w:rPr>
          <w:sz w:val="18"/>
        </w:rPr>
        <w:t>under</w:t>
      </w:r>
      <w:r>
        <w:rPr>
          <w:spacing w:val="-2"/>
          <w:sz w:val="18"/>
        </w:rPr>
        <w:t xml:space="preserve"> </w:t>
      </w:r>
      <w:r>
        <w:rPr>
          <w:sz w:val="18"/>
        </w:rPr>
        <w:t>current</w:t>
      </w:r>
      <w:r>
        <w:rPr>
          <w:spacing w:val="-4"/>
          <w:sz w:val="18"/>
        </w:rPr>
        <w:t xml:space="preserve"> </w:t>
      </w:r>
      <w:r>
        <w:rPr>
          <w:sz w:val="18"/>
        </w:rPr>
        <w:t>market</w:t>
      </w:r>
      <w:r>
        <w:rPr>
          <w:spacing w:val="-4"/>
          <w:sz w:val="18"/>
        </w:rPr>
        <w:t xml:space="preserve"> </w:t>
      </w:r>
      <w:r>
        <w:rPr>
          <w:sz w:val="18"/>
        </w:rPr>
        <w:t>conditions</w:t>
      </w:r>
      <w:r>
        <w:rPr>
          <w:spacing w:val="-3"/>
          <w:sz w:val="18"/>
        </w:rPr>
        <w:t xml:space="preserve"> </w:t>
      </w:r>
      <w:r>
        <w:rPr>
          <w:sz w:val="18"/>
        </w:rPr>
        <w:t>(i.e.</w:t>
      </w:r>
      <w:r>
        <w:rPr>
          <w:spacing w:val="-2"/>
          <w:sz w:val="18"/>
        </w:rPr>
        <w:t xml:space="preserve"> </w:t>
      </w:r>
      <w:r>
        <w:rPr>
          <w:sz w:val="18"/>
        </w:rPr>
        <w:t>an exit price) regardless of whether that price is directly derived from observable inputs or estimated using another valuation technique.</w:t>
      </w:r>
    </w:p>
    <w:p w14:paraId="575B5BAB" w14:textId="77777777" w:rsidR="00AC6F3C" w:rsidRDefault="00AC6F3C">
      <w:pPr>
        <w:pStyle w:val="BodyText"/>
        <w:spacing w:before="10"/>
      </w:pPr>
    </w:p>
    <w:p w14:paraId="66D895FF" w14:textId="77777777" w:rsidR="00AC6F3C" w:rsidRDefault="00570E88">
      <w:pPr>
        <w:ind w:left="958"/>
        <w:rPr>
          <w:sz w:val="18"/>
        </w:rPr>
      </w:pPr>
      <w:r>
        <w:rPr>
          <w:sz w:val="18"/>
        </w:rPr>
        <w:t>Fair</w:t>
      </w:r>
      <w:r>
        <w:rPr>
          <w:spacing w:val="-3"/>
          <w:sz w:val="18"/>
        </w:rPr>
        <w:t xml:space="preserve"> </w:t>
      </w:r>
      <w:r>
        <w:rPr>
          <w:sz w:val="18"/>
        </w:rPr>
        <w:t>value</w:t>
      </w:r>
      <w:r>
        <w:rPr>
          <w:spacing w:val="-1"/>
          <w:sz w:val="18"/>
        </w:rPr>
        <w:t xml:space="preserve"> </w:t>
      </w:r>
      <w:r>
        <w:rPr>
          <w:sz w:val="18"/>
        </w:rPr>
        <w:t>is</w:t>
      </w:r>
      <w:r>
        <w:rPr>
          <w:spacing w:val="-1"/>
          <w:sz w:val="18"/>
        </w:rPr>
        <w:t xml:space="preserve"> </w:t>
      </w:r>
      <w:r>
        <w:rPr>
          <w:sz w:val="18"/>
        </w:rPr>
        <w:t>determined</w:t>
      </w:r>
      <w:r>
        <w:rPr>
          <w:spacing w:val="-1"/>
          <w:sz w:val="18"/>
        </w:rPr>
        <w:t xml:space="preserve"> </w:t>
      </w:r>
      <w:r>
        <w:rPr>
          <w:sz w:val="18"/>
        </w:rPr>
        <w:t>using</w:t>
      </w:r>
      <w:r>
        <w:rPr>
          <w:spacing w:val="-6"/>
          <w:sz w:val="18"/>
        </w:rPr>
        <w:t xml:space="preserve"> </w:t>
      </w:r>
      <w:r>
        <w:rPr>
          <w:sz w:val="18"/>
        </w:rPr>
        <w:t>one</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following</w:t>
      </w:r>
      <w:r>
        <w:rPr>
          <w:spacing w:val="-1"/>
          <w:sz w:val="18"/>
        </w:rPr>
        <w:t xml:space="preserve"> </w:t>
      </w:r>
      <w:r>
        <w:rPr>
          <w:sz w:val="18"/>
        </w:rPr>
        <w:t>three</w:t>
      </w:r>
      <w:r>
        <w:rPr>
          <w:spacing w:val="-1"/>
          <w:sz w:val="18"/>
        </w:rPr>
        <w:t xml:space="preserve"> </w:t>
      </w:r>
      <w:r>
        <w:rPr>
          <w:spacing w:val="-2"/>
          <w:sz w:val="18"/>
        </w:rPr>
        <w:t>approaches:</w:t>
      </w:r>
    </w:p>
    <w:p w14:paraId="1DFF408A" w14:textId="77777777" w:rsidR="00AC6F3C" w:rsidRDefault="00AC6F3C">
      <w:pPr>
        <w:pStyle w:val="BodyText"/>
        <w:rPr>
          <w:sz w:val="21"/>
        </w:rPr>
      </w:pPr>
    </w:p>
    <w:p w14:paraId="645BACFF" w14:textId="77777777" w:rsidR="00AC6F3C" w:rsidRDefault="00570E88">
      <w:pPr>
        <w:pStyle w:val="ListParagraph"/>
        <w:numPr>
          <w:ilvl w:val="0"/>
          <w:numId w:val="33"/>
        </w:numPr>
        <w:tabs>
          <w:tab w:val="left" w:pos="1318"/>
        </w:tabs>
        <w:spacing w:before="0"/>
        <w:ind w:right="818"/>
        <w:rPr>
          <w:sz w:val="18"/>
        </w:rPr>
      </w:pPr>
      <w:r>
        <w:rPr>
          <w:sz w:val="18"/>
        </w:rPr>
        <w:t xml:space="preserve">The </w:t>
      </w:r>
      <w:r>
        <w:rPr>
          <w:i/>
          <w:sz w:val="18"/>
        </w:rPr>
        <w:t xml:space="preserve">market approach </w:t>
      </w:r>
      <w:r>
        <w:rPr>
          <w:sz w:val="18"/>
        </w:rPr>
        <w:t>uses prices and other relevant information generated by market transactions involving</w:t>
      </w:r>
      <w:r>
        <w:rPr>
          <w:spacing w:val="-4"/>
          <w:sz w:val="18"/>
        </w:rPr>
        <w:t xml:space="preserve"> </w:t>
      </w:r>
      <w:r>
        <w:rPr>
          <w:sz w:val="18"/>
        </w:rPr>
        <w:t>identical</w:t>
      </w:r>
      <w:r>
        <w:rPr>
          <w:spacing w:val="-4"/>
          <w:sz w:val="18"/>
        </w:rPr>
        <w:t xml:space="preserve"> </w:t>
      </w:r>
      <w:r>
        <w:rPr>
          <w:sz w:val="18"/>
        </w:rPr>
        <w:t>or</w:t>
      </w:r>
      <w:r>
        <w:rPr>
          <w:spacing w:val="-2"/>
          <w:sz w:val="18"/>
        </w:rPr>
        <w:t xml:space="preserve"> </w:t>
      </w:r>
      <w:r>
        <w:rPr>
          <w:sz w:val="18"/>
        </w:rPr>
        <w:t>comparable</w:t>
      </w:r>
      <w:r>
        <w:rPr>
          <w:spacing w:val="-1"/>
          <w:sz w:val="18"/>
        </w:rPr>
        <w:t xml:space="preserve"> </w:t>
      </w:r>
      <w:r>
        <w:rPr>
          <w:sz w:val="18"/>
        </w:rPr>
        <w:t>(i.e.</w:t>
      </w:r>
      <w:r>
        <w:rPr>
          <w:spacing w:val="-4"/>
          <w:sz w:val="18"/>
        </w:rPr>
        <w:t xml:space="preserve"> </w:t>
      </w:r>
      <w:r>
        <w:rPr>
          <w:sz w:val="18"/>
        </w:rPr>
        <w:t>similar)</w:t>
      </w:r>
      <w:r>
        <w:rPr>
          <w:spacing w:val="-2"/>
          <w:sz w:val="18"/>
        </w:rPr>
        <w:t xml:space="preserve"> </w:t>
      </w:r>
      <w:r>
        <w:rPr>
          <w:sz w:val="18"/>
        </w:rPr>
        <w:t>assets,</w:t>
      </w:r>
      <w:r>
        <w:rPr>
          <w:spacing w:val="-4"/>
          <w:sz w:val="18"/>
        </w:rPr>
        <w:t xml:space="preserve"> </w:t>
      </w:r>
      <w:r>
        <w:rPr>
          <w:sz w:val="18"/>
        </w:rPr>
        <w:t>liabilities</w:t>
      </w:r>
      <w:r>
        <w:rPr>
          <w:spacing w:val="-1"/>
          <w:sz w:val="18"/>
        </w:rPr>
        <w:t xml:space="preserve"> </w:t>
      </w:r>
      <w:r>
        <w:rPr>
          <w:sz w:val="18"/>
        </w:rPr>
        <w:t>or</w:t>
      </w:r>
      <w:r>
        <w:rPr>
          <w:spacing w:val="-4"/>
          <w:sz w:val="18"/>
        </w:rPr>
        <w:t xml:space="preserve"> </w:t>
      </w:r>
      <w:r>
        <w:rPr>
          <w:sz w:val="18"/>
        </w:rPr>
        <w:t>a</w:t>
      </w:r>
      <w:r>
        <w:rPr>
          <w:spacing w:val="-1"/>
          <w:sz w:val="18"/>
        </w:rPr>
        <w:t xml:space="preserve"> </w:t>
      </w:r>
      <w:r>
        <w:rPr>
          <w:sz w:val="18"/>
        </w:rPr>
        <w:t>group</w:t>
      </w:r>
      <w:r>
        <w:rPr>
          <w:spacing w:val="-1"/>
          <w:sz w:val="18"/>
        </w:rPr>
        <w:t xml:space="preserve"> </w:t>
      </w:r>
      <w:r>
        <w:rPr>
          <w:sz w:val="18"/>
        </w:rPr>
        <w:t>of</w:t>
      </w:r>
      <w:r>
        <w:rPr>
          <w:spacing w:val="-2"/>
          <w:sz w:val="18"/>
        </w:rPr>
        <w:t xml:space="preserve"> </w:t>
      </w:r>
      <w:r>
        <w:rPr>
          <w:sz w:val="18"/>
        </w:rPr>
        <w:t>assets</w:t>
      </w:r>
      <w:r>
        <w:rPr>
          <w:spacing w:val="-1"/>
          <w:sz w:val="18"/>
        </w:rPr>
        <w:t xml:space="preserve"> </w:t>
      </w:r>
      <w:r>
        <w:rPr>
          <w:sz w:val="18"/>
        </w:rPr>
        <w:t>and</w:t>
      </w:r>
      <w:r>
        <w:rPr>
          <w:spacing w:val="-4"/>
          <w:sz w:val="18"/>
        </w:rPr>
        <w:t xml:space="preserve"> </w:t>
      </w:r>
      <w:r>
        <w:rPr>
          <w:sz w:val="18"/>
        </w:rPr>
        <w:t>liabilities,</w:t>
      </w:r>
      <w:r>
        <w:rPr>
          <w:spacing w:val="-2"/>
          <w:sz w:val="18"/>
        </w:rPr>
        <w:t xml:space="preserve"> </w:t>
      </w:r>
      <w:r>
        <w:rPr>
          <w:sz w:val="18"/>
        </w:rPr>
        <w:t>such as a business.</w:t>
      </w:r>
    </w:p>
    <w:p w14:paraId="2C089BB0" w14:textId="77777777" w:rsidR="00AC6F3C" w:rsidRDefault="00AC6F3C">
      <w:pPr>
        <w:pStyle w:val="BodyText"/>
        <w:spacing w:before="6"/>
      </w:pPr>
    </w:p>
    <w:p w14:paraId="61497BBD" w14:textId="77777777" w:rsidR="00AC6F3C" w:rsidRDefault="00570E88">
      <w:pPr>
        <w:pStyle w:val="ListParagraph"/>
        <w:numPr>
          <w:ilvl w:val="0"/>
          <w:numId w:val="33"/>
        </w:numPr>
        <w:tabs>
          <w:tab w:val="left" w:pos="1318"/>
        </w:tabs>
        <w:spacing w:before="1"/>
        <w:ind w:right="849"/>
        <w:rPr>
          <w:sz w:val="18"/>
        </w:rPr>
      </w:pPr>
      <w:r>
        <w:rPr>
          <w:sz w:val="18"/>
        </w:rPr>
        <w:t>The</w:t>
      </w:r>
      <w:r>
        <w:rPr>
          <w:spacing w:val="-2"/>
          <w:sz w:val="18"/>
        </w:rPr>
        <w:t xml:space="preserve"> </w:t>
      </w:r>
      <w:r>
        <w:rPr>
          <w:i/>
          <w:sz w:val="18"/>
        </w:rPr>
        <w:t>cost</w:t>
      </w:r>
      <w:r>
        <w:rPr>
          <w:i/>
          <w:spacing w:val="-4"/>
          <w:sz w:val="18"/>
        </w:rPr>
        <w:t xml:space="preserve"> </w:t>
      </w:r>
      <w:r>
        <w:rPr>
          <w:i/>
          <w:sz w:val="18"/>
        </w:rPr>
        <w:t>approach</w:t>
      </w:r>
      <w:r>
        <w:rPr>
          <w:i/>
          <w:spacing w:val="-2"/>
          <w:sz w:val="18"/>
        </w:rPr>
        <w:t xml:space="preserve"> </w:t>
      </w:r>
      <w:r>
        <w:rPr>
          <w:sz w:val="18"/>
        </w:rPr>
        <w:t>reflects</w:t>
      </w:r>
      <w:r>
        <w:rPr>
          <w:spacing w:val="-2"/>
          <w:sz w:val="18"/>
        </w:rPr>
        <w:t xml:space="preserve"> </w:t>
      </w:r>
      <w:r>
        <w:rPr>
          <w:sz w:val="18"/>
        </w:rPr>
        <w:t>the</w:t>
      </w:r>
      <w:r>
        <w:rPr>
          <w:spacing w:val="-4"/>
          <w:sz w:val="18"/>
        </w:rPr>
        <w:t xml:space="preserve"> </w:t>
      </w:r>
      <w:r>
        <w:rPr>
          <w:sz w:val="18"/>
        </w:rPr>
        <w:t>amount</w:t>
      </w:r>
      <w:r>
        <w:rPr>
          <w:spacing w:val="-2"/>
          <w:sz w:val="18"/>
        </w:rPr>
        <w:t xml:space="preserve"> </w:t>
      </w:r>
      <w:r>
        <w:rPr>
          <w:sz w:val="18"/>
        </w:rPr>
        <w:t>that</w:t>
      </w:r>
      <w:r>
        <w:rPr>
          <w:spacing w:val="-2"/>
          <w:sz w:val="18"/>
        </w:rPr>
        <w:t xml:space="preserve"> </w:t>
      </w:r>
      <w:r>
        <w:rPr>
          <w:sz w:val="18"/>
        </w:rPr>
        <w:t>would</w:t>
      </w:r>
      <w:r>
        <w:rPr>
          <w:spacing w:val="-4"/>
          <w:sz w:val="18"/>
        </w:rPr>
        <w:t xml:space="preserve"> </w:t>
      </w:r>
      <w:r>
        <w:rPr>
          <w:sz w:val="18"/>
        </w:rPr>
        <w:t>be</w:t>
      </w:r>
      <w:r>
        <w:rPr>
          <w:spacing w:val="-2"/>
          <w:sz w:val="18"/>
        </w:rPr>
        <w:t xml:space="preserve"> </w:t>
      </w:r>
      <w:r>
        <w:rPr>
          <w:sz w:val="18"/>
        </w:rPr>
        <w:t>required</w:t>
      </w:r>
      <w:r>
        <w:rPr>
          <w:spacing w:val="-2"/>
          <w:sz w:val="18"/>
        </w:rPr>
        <w:t xml:space="preserve"> </w:t>
      </w:r>
      <w:r>
        <w:rPr>
          <w:sz w:val="18"/>
        </w:rPr>
        <w:t>currently</w:t>
      </w:r>
      <w:r>
        <w:rPr>
          <w:spacing w:val="-2"/>
          <w:sz w:val="18"/>
        </w:rPr>
        <w:t xml:space="preserve"> </w:t>
      </w:r>
      <w:r>
        <w:rPr>
          <w:sz w:val="18"/>
        </w:rPr>
        <w:t>to</w:t>
      </w:r>
      <w:r>
        <w:rPr>
          <w:spacing w:val="-4"/>
          <w:sz w:val="18"/>
        </w:rPr>
        <w:t xml:space="preserve"> </w:t>
      </w:r>
      <w:r>
        <w:rPr>
          <w:sz w:val="18"/>
        </w:rPr>
        <w:t>replace</w:t>
      </w:r>
      <w:r>
        <w:rPr>
          <w:spacing w:val="-2"/>
          <w:sz w:val="18"/>
        </w:rPr>
        <w:t xml:space="preserve"> </w:t>
      </w:r>
      <w:r>
        <w:rPr>
          <w:sz w:val="18"/>
        </w:rPr>
        <w:t>the</w:t>
      </w:r>
      <w:r>
        <w:rPr>
          <w:spacing w:val="-4"/>
          <w:sz w:val="18"/>
        </w:rPr>
        <w:t xml:space="preserve"> </w:t>
      </w:r>
      <w:r>
        <w:rPr>
          <w:sz w:val="18"/>
        </w:rPr>
        <w:t>service</w:t>
      </w:r>
      <w:r>
        <w:rPr>
          <w:spacing w:val="-2"/>
          <w:sz w:val="18"/>
        </w:rPr>
        <w:t xml:space="preserve"> </w:t>
      </w:r>
      <w:r>
        <w:rPr>
          <w:sz w:val="18"/>
        </w:rPr>
        <w:t>capacity of an asset. This method includes the current replacement cost methodology.</w:t>
      </w:r>
    </w:p>
    <w:p w14:paraId="5B1CE277" w14:textId="77777777" w:rsidR="00AC6F3C" w:rsidRDefault="00AC6F3C">
      <w:pPr>
        <w:pStyle w:val="BodyText"/>
        <w:spacing w:before="9"/>
      </w:pPr>
    </w:p>
    <w:p w14:paraId="7E28E324" w14:textId="77777777" w:rsidR="00AC6F3C" w:rsidRDefault="00570E88">
      <w:pPr>
        <w:pStyle w:val="ListParagraph"/>
        <w:numPr>
          <w:ilvl w:val="0"/>
          <w:numId w:val="33"/>
        </w:numPr>
        <w:tabs>
          <w:tab w:val="left" w:pos="1318"/>
        </w:tabs>
        <w:spacing w:before="0"/>
        <w:ind w:right="867"/>
        <w:rPr>
          <w:sz w:val="18"/>
        </w:rPr>
      </w:pPr>
      <w:r>
        <w:rPr>
          <w:sz w:val="18"/>
        </w:rPr>
        <w:t>The</w:t>
      </w:r>
      <w:r>
        <w:rPr>
          <w:spacing w:val="-1"/>
          <w:sz w:val="18"/>
        </w:rPr>
        <w:t xml:space="preserve"> </w:t>
      </w:r>
      <w:r>
        <w:rPr>
          <w:i/>
          <w:sz w:val="18"/>
        </w:rPr>
        <w:t>income</w:t>
      </w:r>
      <w:r>
        <w:rPr>
          <w:i/>
          <w:spacing w:val="-4"/>
          <w:sz w:val="18"/>
        </w:rPr>
        <w:t xml:space="preserve"> </w:t>
      </w:r>
      <w:r>
        <w:rPr>
          <w:i/>
          <w:sz w:val="18"/>
        </w:rPr>
        <w:t>approach</w:t>
      </w:r>
      <w:r>
        <w:rPr>
          <w:i/>
          <w:spacing w:val="-2"/>
          <w:sz w:val="18"/>
        </w:rPr>
        <w:t xml:space="preserve"> </w:t>
      </w:r>
      <w:r>
        <w:rPr>
          <w:sz w:val="18"/>
        </w:rPr>
        <w:t>converts</w:t>
      </w:r>
      <w:r>
        <w:rPr>
          <w:spacing w:val="-1"/>
          <w:sz w:val="18"/>
        </w:rPr>
        <w:t xml:space="preserve"> </w:t>
      </w:r>
      <w:r>
        <w:rPr>
          <w:sz w:val="18"/>
        </w:rPr>
        <w:t>multiple</w:t>
      </w:r>
      <w:r>
        <w:rPr>
          <w:spacing w:val="-4"/>
          <w:sz w:val="18"/>
        </w:rPr>
        <w:t xml:space="preserve"> </w:t>
      </w:r>
      <w:r>
        <w:rPr>
          <w:sz w:val="18"/>
        </w:rPr>
        <w:t>future</w:t>
      </w:r>
      <w:r>
        <w:rPr>
          <w:spacing w:val="-1"/>
          <w:sz w:val="18"/>
        </w:rPr>
        <w:t xml:space="preserve"> </w:t>
      </w:r>
      <w:r>
        <w:rPr>
          <w:sz w:val="18"/>
        </w:rPr>
        <w:t>cash</w:t>
      </w:r>
      <w:r>
        <w:rPr>
          <w:spacing w:val="-4"/>
          <w:sz w:val="18"/>
        </w:rPr>
        <w:t xml:space="preserve"> </w:t>
      </w:r>
      <w:r>
        <w:rPr>
          <w:sz w:val="18"/>
        </w:rPr>
        <w:t>flows</w:t>
      </w:r>
      <w:r>
        <w:rPr>
          <w:spacing w:val="-1"/>
          <w:sz w:val="18"/>
        </w:rPr>
        <w:t xml:space="preserve"> </w:t>
      </w:r>
      <w:r>
        <w:rPr>
          <w:sz w:val="18"/>
        </w:rPr>
        <w:t>amounts</w:t>
      </w:r>
      <w:r>
        <w:rPr>
          <w:spacing w:val="-1"/>
          <w:sz w:val="18"/>
        </w:rPr>
        <w:t xml:space="preserve"> </w:t>
      </w:r>
      <w:r>
        <w:rPr>
          <w:sz w:val="18"/>
        </w:rPr>
        <w:t>to</w:t>
      </w:r>
      <w:r>
        <w:rPr>
          <w:spacing w:val="-1"/>
          <w:sz w:val="18"/>
        </w:rPr>
        <w:t xml:space="preserve"> </w:t>
      </w:r>
      <w:r>
        <w:rPr>
          <w:sz w:val="18"/>
        </w:rPr>
        <w:t>a</w:t>
      </w:r>
      <w:r>
        <w:rPr>
          <w:spacing w:val="-4"/>
          <w:sz w:val="18"/>
        </w:rPr>
        <w:t xml:space="preserve"> </w:t>
      </w:r>
      <w:r>
        <w:rPr>
          <w:sz w:val="18"/>
        </w:rPr>
        <w:t>single</w:t>
      </w:r>
      <w:r>
        <w:rPr>
          <w:spacing w:val="-4"/>
          <w:sz w:val="18"/>
        </w:rPr>
        <w:t xml:space="preserve"> </w:t>
      </w:r>
      <w:r>
        <w:rPr>
          <w:sz w:val="18"/>
        </w:rPr>
        <w:t>current</w:t>
      </w:r>
      <w:r>
        <w:rPr>
          <w:spacing w:val="-2"/>
          <w:sz w:val="18"/>
        </w:rPr>
        <w:t xml:space="preserve"> </w:t>
      </w:r>
      <w:r>
        <w:rPr>
          <w:sz w:val="18"/>
        </w:rPr>
        <w:t>(i.e.</w:t>
      </w:r>
      <w:r>
        <w:rPr>
          <w:spacing w:val="-4"/>
          <w:sz w:val="18"/>
        </w:rPr>
        <w:t xml:space="preserve"> </w:t>
      </w:r>
      <w:r>
        <w:rPr>
          <w:sz w:val="18"/>
        </w:rPr>
        <w:t>discounted) amount. When the income approach is used, the fair value measurement reflects current market expectations about those future amounts.</w:t>
      </w:r>
    </w:p>
    <w:p w14:paraId="019EDC36" w14:textId="77777777" w:rsidR="00AC6F3C" w:rsidRDefault="00AC6F3C">
      <w:pPr>
        <w:pStyle w:val="BodyText"/>
        <w:spacing w:before="9"/>
      </w:pPr>
    </w:p>
    <w:p w14:paraId="4672A81B" w14:textId="77777777" w:rsidR="00AC6F3C" w:rsidRDefault="00570E88">
      <w:pPr>
        <w:ind w:left="958"/>
        <w:rPr>
          <w:sz w:val="18"/>
        </w:rPr>
      </w:pPr>
      <w:r>
        <w:rPr>
          <w:sz w:val="18"/>
        </w:rPr>
        <w:t>Where</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is used,</w:t>
      </w:r>
      <w:r>
        <w:rPr>
          <w:spacing w:val="-2"/>
          <w:sz w:val="18"/>
        </w:rPr>
        <w:t xml:space="preserve"> </w:t>
      </w:r>
      <w:r>
        <w:rPr>
          <w:sz w:val="18"/>
        </w:rPr>
        <w:t>the</w:t>
      </w:r>
      <w:r>
        <w:rPr>
          <w:spacing w:val="-4"/>
          <w:sz w:val="18"/>
        </w:rPr>
        <w:t xml:space="preserve"> </w:t>
      </w:r>
      <w:r>
        <w:rPr>
          <w:sz w:val="18"/>
        </w:rPr>
        <w:t>fair</w:t>
      </w:r>
      <w:r>
        <w:rPr>
          <w:spacing w:val="-1"/>
          <w:sz w:val="18"/>
        </w:rPr>
        <w:t xml:space="preserve"> </w:t>
      </w:r>
      <w:r>
        <w:rPr>
          <w:sz w:val="18"/>
        </w:rPr>
        <w:t>value</w:t>
      </w:r>
      <w:r>
        <w:rPr>
          <w:spacing w:val="-4"/>
          <w:sz w:val="18"/>
        </w:rPr>
        <w:t xml:space="preserve"> </w:t>
      </w:r>
      <w:r>
        <w:rPr>
          <w:sz w:val="18"/>
        </w:rPr>
        <w:t>approach</w:t>
      </w:r>
      <w:r>
        <w:rPr>
          <w:spacing w:val="-1"/>
          <w:sz w:val="18"/>
        </w:rPr>
        <w:t xml:space="preserve"> </w:t>
      </w:r>
      <w:r>
        <w:rPr>
          <w:sz w:val="18"/>
        </w:rPr>
        <w:t xml:space="preserve">is </w:t>
      </w:r>
      <w:r>
        <w:rPr>
          <w:spacing w:val="-2"/>
          <w:sz w:val="18"/>
        </w:rPr>
        <w:t>disclosed.</w:t>
      </w:r>
    </w:p>
    <w:p w14:paraId="37A7FF42" w14:textId="77777777" w:rsidR="00AC6F3C" w:rsidRDefault="00AC6F3C">
      <w:pPr>
        <w:pStyle w:val="BodyText"/>
        <w:spacing w:before="10"/>
      </w:pPr>
    </w:p>
    <w:p w14:paraId="42F8580D" w14:textId="77777777" w:rsidR="00AC6F3C" w:rsidRDefault="00570E88">
      <w:pPr>
        <w:ind w:left="958" w:right="857"/>
        <w:rPr>
          <w:sz w:val="18"/>
        </w:rPr>
      </w:pPr>
      <w:r>
        <w:rPr>
          <w:sz w:val="18"/>
        </w:rPr>
        <w:t>Observable</w:t>
      </w:r>
      <w:r>
        <w:rPr>
          <w:spacing w:val="-4"/>
          <w:sz w:val="18"/>
        </w:rPr>
        <w:t xml:space="preserve"> </w:t>
      </w:r>
      <w:r>
        <w:rPr>
          <w:sz w:val="18"/>
        </w:rPr>
        <w:t>inputs</w:t>
      </w:r>
      <w:r>
        <w:rPr>
          <w:spacing w:val="-3"/>
          <w:sz w:val="18"/>
        </w:rPr>
        <w:t xml:space="preserve"> </w:t>
      </w:r>
      <w:r>
        <w:rPr>
          <w:sz w:val="18"/>
        </w:rPr>
        <w:t>are</w:t>
      </w:r>
      <w:r>
        <w:rPr>
          <w:spacing w:val="-4"/>
          <w:sz w:val="18"/>
        </w:rPr>
        <w:t xml:space="preserve"> </w:t>
      </w:r>
      <w:r>
        <w:rPr>
          <w:sz w:val="18"/>
        </w:rPr>
        <w:t>publicly</w:t>
      </w:r>
      <w:r>
        <w:rPr>
          <w:spacing w:val="-3"/>
          <w:sz w:val="18"/>
        </w:rPr>
        <w:t xml:space="preserve"> </w:t>
      </w:r>
      <w:r>
        <w:rPr>
          <w:sz w:val="18"/>
        </w:rPr>
        <w:t>available</w:t>
      </w:r>
      <w:r>
        <w:rPr>
          <w:spacing w:val="-4"/>
          <w:sz w:val="18"/>
        </w:rPr>
        <w:t xml:space="preserve"> </w:t>
      </w:r>
      <w:r>
        <w:rPr>
          <w:sz w:val="18"/>
        </w:rPr>
        <w:t>data</w:t>
      </w:r>
      <w:r>
        <w:rPr>
          <w:spacing w:val="-4"/>
          <w:sz w:val="18"/>
        </w:rPr>
        <w:t xml:space="preserve"> </w:t>
      </w:r>
      <w:r>
        <w:rPr>
          <w:sz w:val="18"/>
        </w:rPr>
        <w:t>that</w:t>
      </w:r>
      <w:r>
        <w:rPr>
          <w:spacing w:val="-4"/>
          <w:sz w:val="18"/>
        </w:rPr>
        <w:t xml:space="preserve"> </w:t>
      </w:r>
      <w:r>
        <w:rPr>
          <w:sz w:val="18"/>
        </w:rPr>
        <w:t>are</w:t>
      </w:r>
      <w:r>
        <w:rPr>
          <w:spacing w:val="-1"/>
          <w:sz w:val="18"/>
        </w:rPr>
        <w:t xml:space="preserve"> </w:t>
      </w:r>
      <w:r>
        <w:rPr>
          <w:sz w:val="18"/>
        </w:rPr>
        <w:t>relevant</w:t>
      </w:r>
      <w:r>
        <w:rPr>
          <w:spacing w:val="-2"/>
          <w:sz w:val="18"/>
        </w:rPr>
        <w:t xml:space="preserve"> </w:t>
      </w:r>
      <w:r>
        <w:rPr>
          <w:sz w:val="18"/>
        </w:rPr>
        <w:t>to</w:t>
      </w:r>
      <w:r>
        <w:rPr>
          <w:spacing w:val="-1"/>
          <w:sz w:val="18"/>
        </w:rPr>
        <w:t xml:space="preserve"> </w:t>
      </w:r>
      <w:r>
        <w:rPr>
          <w:sz w:val="18"/>
        </w:rPr>
        <w:t>the</w:t>
      </w:r>
      <w:r>
        <w:rPr>
          <w:spacing w:val="-4"/>
          <w:sz w:val="18"/>
        </w:rPr>
        <w:t xml:space="preserve"> </w:t>
      </w:r>
      <w:r>
        <w:rPr>
          <w:sz w:val="18"/>
        </w:rPr>
        <w:t>characteristics</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assets/liabilities being valued. Observable inputs used by the Society include, but are not limited to, published sales data for land and general office buildings.</w:t>
      </w:r>
    </w:p>
    <w:p w14:paraId="4C56B2BA" w14:textId="77777777" w:rsidR="00AC6F3C" w:rsidRDefault="00AC6F3C">
      <w:pPr>
        <w:pStyle w:val="BodyText"/>
        <w:spacing w:before="10"/>
      </w:pPr>
    </w:p>
    <w:p w14:paraId="351378C4" w14:textId="77777777" w:rsidR="00AC6F3C" w:rsidRDefault="00570E88">
      <w:pPr>
        <w:ind w:left="958" w:right="909"/>
        <w:rPr>
          <w:sz w:val="18"/>
        </w:rPr>
      </w:pPr>
      <w:r>
        <w:rPr>
          <w:sz w:val="18"/>
        </w:rPr>
        <w:t>Unobservable inputs are data, assumptions and judgements that are not available publicly, but are relevant to the characteristics</w:t>
      </w:r>
      <w:r>
        <w:rPr>
          <w:spacing w:val="-1"/>
          <w:sz w:val="18"/>
        </w:rPr>
        <w:t xml:space="preserve"> </w:t>
      </w:r>
      <w:r>
        <w:rPr>
          <w:sz w:val="18"/>
        </w:rPr>
        <w:t>of the assets/liabilities being valued.</w:t>
      </w:r>
      <w:r>
        <w:rPr>
          <w:spacing w:val="40"/>
          <w:sz w:val="18"/>
        </w:rPr>
        <w:t xml:space="preserve"> </w:t>
      </w:r>
      <w:r>
        <w:rPr>
          <w:sz w:val="18"/>
        </w:rPr>
        <w:t>Significant unobservable inputs used by the Society include, but are not limited to, subjective adjustments made to observable data to take account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characteristics</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Society’s</w:t>
      </w:r>
      <w:r>
        <w:rPr>
          <w:spacing w:val="-4"/>
          <w:sz w:val="18"/>
        </w:rPr>
        <w:t xml:space="preserve"> </w:t>
      </w:r>
      <w:r>
        <w:rPr>
          <w:sz w:val="18"/>
        </w:rPr>
        <w:t>assets/liabilities</w:t>
      </w:r>
      <w:r>
        <w:rPr>
          <w:spacing w:val="-2"/>
          <w:sz w:val="18"/>
        </w:rPr>
        <w:t xml:space="preserve"> </w:t>
      </w:r>
      <w:r>
        <w:rPr>
          <w:sz w:val="18"/>
        </w:rPr>
        <w:t>and</w:t>
      </w:r>
      <w:r>
        <w:rPr>
          <w:spacing w:val="-2"/>
          <w:sz w:val="18"/>
        </w:rPr>
        <w:t xml:space="preserve"> </w:t>
      </w:r>
      <w:r>
        <w:rPr>
          <w:sz w:val="18"/>
        </w:rPr>
        <w:t>assessments</w:t>
      </w:r>
      <w:r>
        <w:rPr>
          <w:spacing w:val="-2"/>
          <w:sz w:val="18"/>
        </w:rPr>
        <w:t xml:space="preserve"> </w:t>
      </w:r>
      <w:r>
        <w:rPr>
          <w:sz w:val="18"/>
        </w:rPr>
        <w:t>of</w:t>
      </w:r>
      <w:r>
        <w:rPr>
          <w:spacing w:val="-3"/>
          <w:sz w:val="18"/>
        </w:rPr>
        <w:t xml:space="preserve"> </w:t>
      </w:r>
      <w:r>
        <w:rPr>
          <w:sz w:val="18"/>
        </w:rPr>
        <w:t>physical</w:t>
      </w:r>
      <w:r>
        <w:rPr>
          <w:spacing w:val="-5"/>
          <w:sz w:val="18"/>
        </w:rPr>
        <w:t xml:space="preserve"> </w:t>
      </w:r>
      <w:r>
        <w:rPr>
          <w:sz w:val="18"/>
        </w:rPr>
        <w:t>condition</w:t>
      </w:r>
      <w:r>
        <w:rPr>
          <w:spacing w:val="-2"/>
          <w:sz w:val="18"/>
        </w:rPr>
        <w:t xml:space="preserve"> </w:t>
      </w:r>
      <w:r>
        <w:rPr>
          <w:sz w:val="18"/>
        </w:rPr>
        <w:t>and remaining useful life.</w:t>
      </w:r>
      <w:r>
        <w:rPr>
          <w:spacing w:val="40"/>
          <w:sz w:val="18"/>
        </w:rPr>
        <w:t xml:space="preserve"> </w:t>
      </w:r>
      <w:r>
        <w:rPr>
          <w:sz w:val="18"/>
        </w:rPr>
        <w:t>Unobservable inputs are used to the extent that sufficient relevant and reliable observable inputs are not available for similar assets/liabilities.</w:t>
      </w:r>
    </w:p>
    <w:p w14:paraId="470CBFF5" w14:textId="77777777" w:rsidR="00AC6F3C" w:rsidRDefault="00AC6F3C">
      <w:pPr>
        <w:rPr>
          <w:sz w:val="18"/>
        </w:rPr>
        <w:sectPr w:rsidR="00AC6F3C">
          <w:pgSz w:w="11910" w:h="16840"/>
          <w:pgMar w:top="2020" w:right="1160" w:bottom="520" w:left="460" w:header="1228" w:footer="336" w:gutter="0"/>
          <w:cols w:space="720"/>
        </w:sectPr>
      </w:pPr>
    </w:p>
    <w:p w14:paraId="4F2D0227" w14:textId="77777777" w:rsidR="00AC6F3C" w:rsidRDefault="00AC6F3C">
      <w:pPr>
        <w:pStyle w:val="BodyText"/>
      </w:pPr>
    </w:p>
    <w:p w14:paraId="0CB87E71" w14:textId="77777777" w:rsidR="00AC6F3C" w:rsidRDefault="00570E88">
      <w:pPr>
        <w:tabs>
          <w:tab w:val="left" w:pos="1666"/>
        </w:tabs>
        <w:spacing w:before="249" w:line="322" w:lineRule="exact"/>
        <w:ind w:left="958"/>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1CD77A96" w14:textId="77777777" w:rsidR="00AC6F3C" w:rsidRDefault="00570E88">
      <w:pPr>
        <w:spacing w:line="322" w:lineRule="exact"/>
        <w:ind w:left="1666"/>
        <w:rPr>
          <w:b/>
          <w:sz w:val="28"/>
        </w:rPr>
      </w:pPr>
      <w:r>
        <w:rPr>
          <w:b/>
          <w:spacing w:val="-2"/>
          <w:sz w:val="28"/>
        </w:rPr>
        <w:t>(continued)</w:t>
      </w:r>
    </w:p>
    <w:p w14:paraId="1186958D" w14:textId="77777777" w:rsidR="00AC6F3C" w:rsidRDefault="00570E88">
      <w:pPr>
        <w:pStyle w:val="Heading7"/>
        <w:tabs>
          <w:tab w:val="left" w:pos="1810"/>
        </w:tabs>
      </w:pPr>
      <w:r>
        <w:rPr>
          <w:spacing w:val="-2"/>
        </w:rPr>
        <w:t>A1-</w:t>
      </w:r>
      <w:r>
        <w:rPr>
          <w:spacing w:val="-10"/>
        </w:rPr>
        <w:t>5</w:t>
      </w:r>
      <w:r>
        <w:tab/>
        <w:t>BASIS</w:t>
      </w:r>
      <w:r>
        <w:rPr>
          <w:spacing w:val="-3"/>
        </w:rPr>
        <w:t xml:space="preserve"> </w:t>
      </w:r>
      <w:r>
        <w:t>OF</w:t>
      </w:r>
      <w:r>
        <w:rPr>
          <w:spacing w:val="-3"/>
        </w:rPr>
        <w:t xml:space="preserve"> </w:t>
      </w:r>
      <w:r>
        <w:t>MEASUREMENT</w:t>
      </w:r>
      <w:r>
        <w:rPr>
          <w:spacing w:val="-1"/>
        </w:rPr>
        <w:t xml:space="preserve"> </w:t>
      </w:r>
      <w:r>
        <w:rPr>
          <w:spacing w:val="-2"/>
        </w:rPr>
        <w:t>(continued)</w:t>
      </w:r>
    </w:p>
    <w:p w14:paraId="7323F984" w14:textId="77777777" w:rsidR="00AC6F3C" w:rsidRDefault="00AC6F3C">
      <w:pPr>
        <w:pStyle w:val="BodyText"/>
        <w:spacing w:before="8"/>
        <w:rPr>
          <w:b/>
        </w:rPr>
      </w:pPr>
    </w:p>
    <w:p w14:paraId="46283F1B" w14:textId="77777777" w:rsidR="00AC6F3C" w:rsidRDefault="00570E88">
      <w:pPr>
        <w:ind w:left="958" w:right="886"/>
        <w:rPr>
          <w:sz w:val="18"/>
        </w:rPr>
      </w:pPr>
      <w:r>
        <w:rPr>
          <w:sz w:val="18"/>
        </w:rPr>
        <w:t>A</w:t>
      </w:r>
      <w:r>
        <w:rPr>
          <w:spacing w:val="-2"/>
          <w:sz w:val="18"/>
        </w:rPr>
        <w:t xml:space="preserve"> </w:t>
      </w:r>
      <w:r>
        <w:rPr>
          <w:sz w:val="18"/>
        </w:rPr>
        <w:t>fair</w:t>
      </w:r>
      <w:r>
        <w:rPr>
          <w:spacing w:val="-4"/>
          <w:sz w:val="18"/>
        </w:rPr>
        <w:t xml:space="preserve"> </w:t>
      </w:r>
      <w:r>
        <w:rPr>
          <w:sz w:val="18"/>
        </w:rPr>
        <w:t>value</w:t>
      </w:r>
      <w:r>
        <w:rPr>
          <w:spacing w:val="-1"/>
          <w:sz w:val="18"/>
        </w:rPr>
        <w:t xml:space="preserve"> </w:t>
      </w:r>
      <w:r>
        <w:rPr>
          <w:sz w:val="18"/>
        </w:rPr>
        <w:t>measurement</w:t>
      </w:r>
      <w:r>
        <w:rPr>
          <w:spacing w:val="-4"/>
          <w:sz w:val="18"/>
        </w:rPr>
        <w:t xml:space="preserve"> </w:t>
      </w:r>
      <w:r>
        <w:rPr>
          <w:sz w:val="18"/>
        </w:rPr>
        <w:t>of</w:t>
      </w:r>
      <w:r>
        <w:rPr>
          <w:spacing w:val="-2"/>
          <w:sz w:val="18"/>
        </w:rPr>
        <w:t xml:space="preserve"> </w:t>
      </w:r>
      <w:r>
        <w:rPr>
          <w:sz w:val="18"/>
        </w:rPr>
        <w:t>a</w:t>
      </w:r>
      <w:r>
        <w:rPr>
          <w:spacing w:val="-6"/>
          <w:sz w:val="18"/>
        </w:rPr>
        <w:t xml:space="preserve"> </w:t>
      </w:r>
      <w:r>
        <w:rPr>
          <w:sz w:val="18"/>
        </w:rPr>
        <w:t>non-financial</w:t>
      </w:r>
      <w:r>
        <w:rPr>
          <w:spacing w:val="-1"/>
          <w:sz w:val="18"/>
        </w:rPr>
        <w:t xml:space="preserve"> </w:t>
      </w:r>
      <w:r>
        <w:rPr>
          <w:sz w:val="18"/>
        </w:rPr>
        <w:t>asset</w:t>
      </w:r>
      <w:r>
        <w:rPr>
          <w:spacing w:val="-2"/>
          <w:sz w:val="18"/>
        </w:rPr>
        <w:t xml:space="preserve"> </w:t>
      </w:r>
      <w:r>
        <w:rPr>
          <w:sz w:val="18"/>
        </w:rPr>
        <w:t>takes</w:t>
      </w:r>
      <w:r>
        <w:rPr>
          <w:spacing w:val="-3"/>
          <w:sz w:val="18"/>
        </w:rPr>
        <w:t xml:space="preserve"> </w:t>
      </w:r>
      <w:r>
        <w:rPr>
          <w:sz w:val="18"/>
        </w:rPr>
        <w:t>into</w:t>
      </w:r>
      <w:r>
        <w:rPr>
          <w:spacing w:val="-4"/>
          <w:sz w:val="18"/>
        </w:rPr>
        <w:t xml:space="preserve"> </w:t>
      </w:r>
      <w:r>
        <w:rPr>
          <w:sz w:val="18"/>
        </w:rPr>
        <w:t>account</w:t>
      </w:r>
      <w:r>
        <w:rPr>
          <w:spacing w:val="-4"/>
          <w:sz w:val="18"/>
        </w:rPr>
        <w:t xml:space="preserve"> </w:t>
      </w:r>
      <w:r>
        <w:rPr>
          <w:sz w:val="18"/>
        </w:rPr>
        <w:t>a</w:t>
      </w:r>
      <w:r>
        <w:rPr>
          <w:spacing w:val="-1"/>
          <w:sz w:val="18"/>
        </w:rPr>
        <w:t xml:space="preserve"> </w:t>
      </w:r>
      <w:r>
        <w:rPr>
          <w:sz w:val="18"/>
        </w:rPr>
        <w:t>market</w:t>
      </w:r>
      <w:r>
        <w:rPr>
          <w:spacing w:val="-2"/>
          <w:sz w:val="18"/>
        </w:rPr>
        <w:t xml:space="preserve"> </w:t>
      </w:r>
      <w:r>
        <w:rPr>
          <w:sz w:val="18"/>
        </w:rPr>
        <w:t>participant’s</w:t>
      </w:r>
      <w:r>
        <w:rPr>
          <w:spacing w:val="-3"/>
          <w:sz w:val="18"/>
        </w:rPr>
        <w:t xml:space="preserve"> </w:t>
      </w:r>
      <w:r>
        <w:rPr>
          <w:sz w:val="18"/>
        </w:rPr>
        <w:t>ability</w:t>
      </w:r>
      <w:r>
        <w:rPr>
          <w:spacing w:val="-3"/>
          <w:sz w:val="18"/>
        </w:rPr>
        <w:t xml:space="preserve"> </w:t>
      </w:r>
      <w:r>
        <w:rPr>
          <w:sz w:val="18"/>
        </w:rPr>
        <w:t>to generate economic benefits by using the asset in its highest and best use.</w:t>
      </w:r>
    </w:p>
    <w:p w14:paraId="1109B5EB" w14:textId="77777777" w:rsidR="00AC6F3C" w:rsidRDefault="00AC6F3C">
      <w:pPr>
        <w:pStyle w:val="BodyText"/>
        <w:spacing w:before="9"/>
      </w:pPr>
    </w:p>
    <w:p w14:paraId="3C94BA4F" w14:textId="77777777" w:rsidR="00AC6F3C" w:rsidRDefault="00570E88">
      <w:pPr>
        <w:ind w:left="958" w:right="990"/>
        <w:rPr>
          <w:sz w:val="18"/>
        </w:rPr>
      </w:pPr>
      <w:r>
        <w:rPr>
          <w:sz w:val="18"/>
        </w:rPr>
        <w:t>All assets and liabilities of the Society for which fair value is measured or disclosed in the financial statements</w:t>
      </w:r>
      <w:r>
        <w:rPr>
          <w:spacing w:val="-3"/>
          <w:sz w:val="18"/>
        </w:rPr>
        <w:t xml:space="preserve"> </w:t>
      </w:r>
      <w:r>
        <w:rPr>
          <w:sz w:val="18"/>
        </w:rPr>
        <w:t>are</w:t>
      </w:r>
      <w:r>
        <w:rPr>
          <w:spacing w:val="-4"/>
          <w:sz w:val="18"/>
        </w:rPr>
        <w:t xml:space="preserve"> </w:t>
      </w:r>
      <w:proofErr w:type="spellStart"/>
      <w:r>
        <w:rPr>
          <w:sz w:val="18"/>
        </w:rPr>
        <w:t>categorised</w:t>
      </w:r>
      <w:proofErr w:type="spellEnd"/>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hierarchy,</w:t>
      </w:r>
      <w:r>
        <w:rPr>
          <w:spacing w:val="-2"/>
          <w:sz w:val="18"/>
        </w:rPr>
        <w:t xml:space="preserve"> </w:t>
      </w:r>
      <w:r>
        <w:rPr>
          <w:sz w:val="18"/>
        </w:rPr>
        <w:t>based</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data</w:t>
      </w:r>
      <w:r>
        <w:rPr>
          <w:spacing w:val="-4"/>
          <w:sz w:val="18"/>
        </w:rPr>
        <w:t xml:space="preserve"> </w:t>
      </w:r>
      <w:r>
        <w:rPr>
          <w:sz w:val="18"/>
        </w:rPr>
        <w:t>and</w:t>
      </w:r>
      <w:r>
        <w:rPr>
          <w:spacing w:val="-6"/>
          <w:sz w:val="18"/>
        </w:rPr>
        <w:t xml:space="preserve"> </w:t>
      </w:r>
      <w:r>
        <w:rPr>
          <w:sz w:val="18"/>
        </w:rPr>
        <w:t>assumptions used in the most recent specific appraisals:</w:t>
      </w:r>
    </w:p>
    <w:p w14:paraId="30BC3C8C" w14:textId="77777777" w:rsidR="00AC6F3C" w:rsidRDefault="00AC6F3C">
      <w:pPr>
        <w:pStyle w:val="BodyText"/>
        <w:spacing w:before="11"/>
      </w:pPr>
    </w:p>
    <w:p w14:paraId="406B8427" w14:textId="77777777" w:rsidR="00AC6F3C" w:rsidRDefault="00570E88">
      <w:pPr>
        <w:pStyle w:val="ListParagraph"/>
        <w:numPr>
          <w:ilvl w:val="0"/>
          <w:numId w:val="33"/>
        </w:numPr>
        <w:tabs>
          <w:tab w:val="left" w:pos="1318"/>
        </w:tabs>
        <w:spacing w:before="0"/>
        <w:ind w:right="1029"/>
        <w:rPr>
          <w:sz w:val="18"/>
        </w:rPr>
      </w:pPr>
      <w:r>
        <w:rPr>
          <w:sz w:val="18"/>
        </w:rPr>
        <w:t>level</w:t>
      </w:r>
      <w:r>
        <w:rPr>
          <w:spacing w:val="-1"/>
          <w:sz w:val="18"/>
        </w:rPr>
        <w:t xml:space="preserve"> </w:t>
      </w:r>
      <w:r>
        <w:rPr>
          <w:sz w:val="18"/>
        </w:rPr>
        <w:t>1</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market</w:t>
      </w:r>
      <w:r>
        <w:rPr>
          <w:spacing w:val="-2"/>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reflect</w:t>
      </w:r>
      <w:r>
        <w:rPr>
          <w:spacing w:val="-2"/>
          <w:sz w:val="18"/>
        </w:rPr>
        <w:t xml:space="preserve"> </w:t>
      </w:r>
      <w:r>
        <w:rPr>
          <w:sz w:val="18"/>
        </w:rPr>
        <w:t>unadjusted</w:t>
      </w:r>
      <w:r>
        <w:rPr>
          <w:spacing w:val="-4"/>
          <w:sz w:val="18"/>
        </w:rPr>
        <w:t xml:space="preserve"> </w:t>
      </w:r>
      <w:r>
        <w:rPr>
          <w:sz w:val="18"/>
        </w:rPr>
        <w:t>quoted</w:t>
      </w:r>
      <w:r>
        <w:rPr>
          <w:spacing w:val="-4"/>
          <w:sz w:val="18"/>
        </w:rPr>
        <w:t xml:space="preserve"> </w:t>
      </w:r>
      <w:r>
        <w:rPr>
          <w:sz w:val="18"/>
        </w:rPr>
        <w:t>market</w:t>
      </w:r>
      <w:r>
        <w:rPr>
          <w:spacing w:val="-4"/>
          <w:sz w:val="18"/>
        </w:rPr>
        <w:t xml:space="preserve"> </w:t>
      </w:r>
      <w:r>
        <w:rPr>
          <w:sz w:val="18"/>
        </w:rPr>
        <w:t>prices</w:t>
      </w:r>
      <w:r>
        <w:rPr>
          <w:spacing w:val="-1"/>
          <w:sz w:val="18"/>
        </w:rPr>
        <w:t xml:space="preserve"> </w:t>
      </w:r>
      <w:r>
        <w:rPr>
          <w:sz w:val="18"/>
        </w:rPr>
        <w:t>in active markets for identical assets and liabilities;</w:t>
      </w:r>
    </w:p>
    <w:p w14:paraId="77B995F8" w14:textId="77777777" w:rsidR="00AC6F3C" w:rsidRDefault="00AC6F3C">
      <w:pPr>
        <w:pStyle w:val="BodyText"/>
        <w:spacing w:before="9"/>
      </w:pPr>
    </w:p>
    <w:p w14:paraId="25BB4813" w14:textId="77777777" w:rsidR="00AC6F3C" w:rsidRDefault="00570E88">
      <w:pPr>
        <w:pStyle w:val="ListParagraph"/>
        <w:numPr>
          <w:ilvl w:val="0"/>
          <w:numId w:val="33"/>
        </w:numPr>
        <w:tabs>
          <w:tab w:val="left" w:pos="1318"/>
        </w:tabs>
        <w:spacing w:before="0"/>
        <w:ind w:right="1165"/>
        <w:rPr>
          <w:sz w:val="18"/>
        </w:rPr>
      </w:pPr>
      <w:r>
        <w:rPr>
          <w:sz w:val="18"/>
        </w:rPr>
        <w:t>level</w:t>
      </w:r>
      <w:r>
        <w:rPr>
          <w:spacing w:val="-1"/>
          <w:sz w:val="18"/>
        </w:rPr>
        <w:t xml:space="preserve"> </w:t>
      </w:r>
      <w:r>
        <w:rPr>
          <w:sz w:val="18"/>
        </w:rPr>
        <w:t>2</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1"/>
          <w:sz w:val="18"/>
        </w:rPr>
        <w:t xml:space="preserve"> </w:t>
      </w:r>
      <w:r>
        <w:rPr>
          <w:sz w:val="18"/>
        </w:rPr>
        <w:t>substantially</w:t>
      </w:r>
      <w:r>
        <w:rPr>
          <w:spacing w:val="-3"/>
          <w:sz w:val="18"/>
        </w:rPr>
        <w:t xml:space="preserve"> </w:t>
      </w:r>
      <w:r>
        <w:rPr>
          <w:sz w:val="18"/>
        </w:rPr>
        <w:t>derived</w:t>
      </w:r>
      <w:r>
        <w:rPr>
          <w:spacing w:val="-4"/>
          <w:sz w:val="18"/>
        </w:rPr>
        <w:t xml:space="preserve"> </w:t>
      </w:r>
      <w:r>
        <w:rPr>
          <w:sz w:val="18"/>
        </w:rPr>
        <w:t>from</w:t>
      </w:r>
      <w:r>
        <w:rPr>
          <w:spacing w:val="-1"/>
          <w:sz w:val="18"/>
        </w:rPr>
        <w:t xml:space="preserve"> </w:t>
      </w:r>
      <w:r>
        <w:rPr>
          <w:sz w:val="18"/>
        </w:rPr>
        <w:t>inputs</w:t>
      </w:r>
      <w:r>
        <w:rPr>
          <w:spacing w:val="-1"/>
          <w:sz w:val="18"/>
        </w:rPr>
        <w:t xml:space="preserve"> </w:t>
      </w:r>
      <w:r>
        <w:rPr>
          <w:sz w:val="18"/>
        </w:rPr>
        <w:t>(other</w:t>
      </w:r>
      <w:r>
        <w:rPr>
          <w:spacing w:val="-2"/>
          <w:sz w:val="18"/>
        </w:rPr>
        <w:t xml:space="preserve"> </w:t>
      </w:r>
      <w:r>
        <w:rPr>
          <w:sz w:val="18"/>
        </w:rPr>
        <w:t>than quoted prices included within level 1) that are observable, either directly or indirectly; and</w:t>
      </w:r>
    </w:p>
    <w:p w14:paraId="1CC8D9D8" w14:textId="77777777" w:rsidR="00AC6F3C" w:rsidRDefault="00AC6F3C">
      <w:pPr>
        <w:pStyle w:val="BodyText"/>
        <w:spacing w:before="7"/>
      </w:pPr>
    </w:p>
    <w:p w14:paraId="6059FE3F" w14:textId="77777777" w:rsidR="00AC6F3C" w:rsidRDefault="00570E88">
      <w:pPr>
        <w:pStyle w:val="ListParagraph"/>
        <w:numPr>
          <w:ilvl w:val="0"/>
          <w:numId w:val="33"/>
        </w:numPr>
        <w:tabs>
          <w:tab w:val="left" w:pos="1318"/>
        </w:tabs>
        <w:spacing w:before="1"/>
        <w:rPr>
          <w:sz w:val="18"/>
        </w:rPr>
      </w:pPr>
      <w:r>
        <w:rPr>
          <w:sz w:val="18"/>
        </w:rPr>
        <w:t>level</w:t>
      </w:r>
      <w:r>
        <w:rPr>
          <w:spacing w:val="-4"/>
          <w:sz w:val="18"/>
        </w:rPr>
        <w:t xml:space="preserve"> </w:t>
      </w:r>
      <w:r>
        <w:rPr>
          <w:sz w:val="18"/>
        </w:rPr>
        <w:t>3</w:t>
      </w:r>
      <w:r>
        <w:rPr>
          <w:spacing w:val="-4"/>
          <w:sz w:val="18"/>
        </w:rPr>
        <w:t xml:space="preserve"> </w:t>
      </w:r>
      <w:r>
        <w:rPr>
          <w:sz w:val="18"/>
        </w:rPr>
        <w:t>–</w:t>
      </w:r>
      <w:r>
        <w:rPr>
          <w:spacing w:val="-2"/>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5"/>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2"/>
          <w:sz w:val="18"/>
        </w:rPr>
        <w:t xml:space="preserve"> </w:t>
      </w:r>
      <w:r>
        <w:rPr>
          <w:sz w:val="18"/>
        </w:rPr>
        <w:t>substantially</w:t>
      </w:r>
      <w:r>
        <w:rPr>
          <w:spacing w:val="-3"/>
          <w:sz w:val="18"/>
        </w:rPr>
        <w:t xml:space="preserve"> </w:t>
      </w:r>
      <w:r>
        <w:rPr>
          <w:sz w:val="18"/>
        </w:rPr>
        <w:t>derived</w:t>
      </w:r>
      <w:r>
        <w:rPr>
          <w:spacing w:val="-5"/>
          <w:sz w:val="18"/>
        </w:rPr>
        <w:t xml:space="preserve"> </w:t>
      </w:r>
      <w:r>
        <w:rPr>
          <w:sz w:val="18"/>
        </w:rPr>
        <w:t>from</w:t>
      </w:r>
      <w:r>
        <w:rPr>
          <w:spacing w:val="-1"/>
          <w:sz w:val="18"/>
        </w:rPr>
        <w:t xml:space="preserve"> </w:t>
      </w:r>
      <w:r>
        <w:rPr>
          <w:sz w:val="18"/>
        </w:rPr>
        <w:t>unobservable</w:t>
      </w:r>
      <w:r>
        <w:rPr>
          <w:spacing w:val="-1"/>
          <w:sz w:val="18"/>
        </w:rPr>
        <w:t xml:space="preserve"> </w:t>
      </w:r>
      <w:r>
        <w:rPr>
          <w:spacing w:val="-2"/>
          <w:sz w:val="18"/>
        </w:rPr>
        <w:t>inputs.</w:t>
      </w:r>
    </w:p>
    <w:p w14:paraId="777B9B5D" w14:textId="77777777" w:rsidR="00AC6F3C" w:rsidRDefault="00AC6F3C">
      <w:pPr>
        <w:pStyle w:val="BodyText"/>
        <w:spacing w:before="10"/>
      </w:pPr>
    </w:p>
    <w:p w14:paraId="5C042EE0" w14:textId="77777777" w:rsidR="00AC6F3C" w:rsidRDefault="00570E88">
      <w:pPr>
        <w:ind w:left="958" w:right="730"/>
        <w:rPr>
          <w:sz w:val="18"/>
        </w:rPr>
      </w:pPr>
      <w:r>
        <w:rPr>
          <w:sz w:val="18"/>
        </w:rPr>
        <w:t>The portfolio of financial instruments held consists of collective investment schemes.</w:t>
      </w:r>
      <w:r>
        <w:rPr>
          <w:spacing w:val="40"/>
          <w:sz w:val="18"/>
        </w:rPr>
        <w:t xml:space="preserve"> </w:t>
      </w:r>
      <w:r>
        <w:rPr>
          <w:sz w:val="18"/>
        </w:rPr>
        <w:t>The fair value of the financial</w:t>
      </w:r>
      <w:r>
        <w:rPr>
          <w:spacing w:val="-1"/>
          <w:sz w:val="18"/>
        </w:rPr>
        <w:t xml:space="preserve"> </w:t>
      </w:r>
      <w:r>
        <w:rPr>
          <w:sz w:val="18"/>
        </w:rPr>
        <w:t>instruments</w:t>
      </w:r>
      <w:r>
        <w:rPr>
          <w:spacing w:val="-3"/>
          <w:sz w:val="18"/>
        </w:rPr>
        <w:t xml:space="preserve"> </w:t>
      </w:r>
      <w:r>
        <w:rPr>
          <w:sz w:val="18"/>
        </w:rPr>
        <w:t>is</w:t>
      </w:r>
      <w:r>
        <w:rPr>
          <w:spacing w:val="-3"/>
          <w:sz w:val="18"/>
        </w:rPr>
        <w:t xml:space="preserve"> </w:t>
      </w:r>
      <w:r>
        <w:rPr>
          <w:sz w:val="18"/>
        </w:rPr>
        <w:t>determined</w:t>
      </w:r>
      <w:r>
        <w:rPr>
          <w:spacing w:val="-4"/>
          <w:sz w:val="18"/>
        </w:rPr>
        <w:t xml:space="preserve"> </w:t>
      </w:r>
      <w:r>
        <w:rPr>
          <w:sz w:val="18"/>
        </w:rPr>
        <w:t>using</w:t>
      </w:r>
      <w:r>
        <w:rPr>
          <w:spacing w:val="-2"/>
          <w:sz w:val="18"/>
        </w:rPr>
        <w:t xml:space="preserve"> </w:t>
      </w:r>
      <w:r>
        <w:rPr>
          <w:sz w:val="18"/>
        </w:rPr>
        <w:t>the</w:t>
      </w:r>
      <w:r>
        <w:rPr>
          <w:spacing w:val="-4"/>
          <w:sz w:val="18"/>
        </w:rPr>
        <w:t xml:space="preserve"> </w:t>
      </w:r>
      <w:r>
        <w:rPr>
          <w:sz w:val="18"/>
        </w:rPr>
        <w:t>closing</w:t>
      </w:r>
      <w:r>
        <w:rPr>
          <w:spacing w:val="-1"/>
          <w:sz w:val="18"/>
        </w:rPr>
        <w:t xml:space="preserve"> </w:t>
      </w:r>
      <w:r>
        <w:rPr>
          <w:sz w:val="18"/>
        </w:rPr>
        <w:t>unit</w:t>
      </w:r>
      <w:r>
        <w:rPr>
          <w:spacing w:val="-2"/>
          <w:sz w:val="18"/>
        </w:rPr>
        <w:t xml:space="preserve"> </w:t>
      </w:r>
      <w:r>
        <w:rPr>
          <w:sz w:val="18"/>
        </w:rPr>
        <w:t>price</w:t>
      </w:r>
      <w:r>
        <w:rPr>
          <w:spacing w:val="-1"/>
          <w:sz w:val="18"/>
        </w:rPr>
        <w:t xml:space="preserve"> </w:t>
      </w:r>
      <w:r>
        <w:rPr>
          <w:sz w:val="18"/>
        </w:rPr>
        <w:t>quoted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investment</w:t>
      </w:r>
      <w:r>
        <w:rPr>
          <w:spacing w:val="-4"/>
          <w:sz w:val="18"/>
        </w:rPr>
        <w:t xml:space="preserve"> </w:t>
      </w:r>
      <w:r>
        <w:rPr>
          <w:sz w:val="18"/>
        </w:rPr>
        <w:t>manager</w:t>
      </w:r>
      <w:r>
        <w:rPr>
          <w:spacing w:val="-4"/>
          <w:sz w:val="18"/>
        </w:rPr>
        <w:t xml:space="preserve"> </w:t>
      </w:r>
      <w:r>
        <w:rPr>
          <w:sz w:val="18"/>
        </w:rPr>
        <w:t>adjusted for fees.</w:t>
      </w:r>
    </w:p>
    <w:p w14:paraId="27873D64" w14:textId="77777777" w:rsidR="00AC6F3C" w:rsidRDefault="00AC6F3C">
      <w:pPr>
        <w:pStyle w:val="BodyText"/>
        <w:spacing w:before="8"/>
      </w:pPr>
    </w:p>
    <w:p w14:paraId="0A4ADC08" w14:textId="77777777" w:rsidR="00AC6F3C" w:rsidRDefault="00570E88">
      <w:pPr>
        <w:ind w:left="958"/>
        <w:rPr>
          <w:sz w:val="18"/>
        </w:rPr>
      </w:pPr>
      <w:r>
        <w:rPr>
          <w:sz w:val="18"/>
        </w:rPr>
        <w:t>There</w:t>
      </w:r>
      <w:r>
        <w:rPr>
          <w:spacing w:val="-2"/>
          <w:sz w:val="18"/>
        </w:rPr>
        <w:t xml:space="preserve"> </w:t>
      </w:r>
      <w:r>
        <w:rPr>
          <w:sz w:val="18"/>
        </w:rPr>
        <w:t>were</w:t>
      </w:r>
      <w:r>
        <w:rPr>
          <w:spacing w:val="-2"/>
          <w:sz w:val="18"/>
        </w:rPr>
        <w:t xml:space="preserve"> </w:t>
      </w:r>
      <w:r>
        <w:rPr>
          <w:sz w:val="18"/>
        </w:rPr>
        <w:t>no</w:t>
      </w:r>
      <w:r>
        <w:rPr>
          <w:spacing w:val="-4"/>
          <w:sz w:val="18"/>
        </w:rPr>
        <w:t xml:space="preserve"> </w:t>
      </w:r>
      <w:r>
        <w:rPr>
          <w:sz w:val="18"/>
        </w:rPr>
        <w:t>transfers</w:t>
      </w:r>
      <w:r>
        <w:rPr>
          <w:spacing w:val="-1"/>
          <w:sz w:val="18"/>
        </w:rPr>
        <w:t xml:space="preserve"> </w:t>
      </w:r>
      <w:r>
        <w:rPr>
          <w:sz w:val="18"/>
        </w:rPr>
        <w:t>of</w:t>
      </w:r>
      <w:r>
        <w:rPr>
          <w:spacing w:val="-5"/>
          <w:sz w:val="18"/>
        </w:rPr>
        <w:t xml:space="preserve"> </w:t>
      </w:r>
      <w:r>
        <w:rPr>
          <w:sz w:val="18"/>
        </w:rPr>
        <w:t>assets</w:t>
      </w:r>
      <w:r>
        <w:rPr>
          <w:spacing w:val="-1"/>
          <w:sz w:val="18"/>
        </w:rPr>
        <w:t xml:space="preserve"> </w:t>
      </w:r>
      <w:r>
        <w:rPr>
          <w:sz w:val="18"/>
        </w:rPr>
        <w:t>between</w:t>
      </w:r>
      <w:r>
        <w:rPr>
          <w:spacing w:val="-2"/>
          <w:sz w:val="18"/>
        </w:rPr>
        <w:t xml:space="preserve"> </w:t>
      </w:r>
      <w:r>
        <w:rPr>
          <w:sz w:val="18"/>
        </w:rPr>
        <w:t>fair</w:t>
      </w:r>
      <w:r>
        <w:rPr>
          <w:spacing w:val="-4"/>
          <w:sz w:val="18"/>
        </w:rPr>
        <w:t xml:space="preserve"> </w:t>
      </w:r>
      <w:r>
        <w:rPr>
          <w:sz w:val="18"/>
        </w:rPr>
        <w:t>value</w:t>
      </w:r>
      <w:r>
        <w:rPr>
          <w:spacing w:val="-5"/>
          <w:sz w:val="18"/>
        </w:rPr>
        <w:t xml:space="preserve"> </w:t>
      </w:r>
      <w:r>
        <w:rPr>
          <w:sz w:val="18"/>
        </w:rPr>
        <w:t>hierarchy</w:t>
      </w:r>
      <w:r>
        <w:rPr>
          <w:spacing w:val="-1"/>
          <w:sz w:val="18"/>
        </w:rPr>
        <w:t xml:space="preserve"> </w:t>
      </w:r>
      <w:r>
        <w:rPr>
          <w:sz w:val="18"/>
        </w:rPr>
        <w:t>levels</w:t>
      </w:r>
      <w:r>
        <w:rPr>
          <w:spacing w:val="-2"/>
          <w:sz w:val="18"/>
        </w:rPr>
        <w:t xml:space="preserve"> </w:t>
      </w:r>
      <w:r>
        <w:rPr>
          <w:sz w:val="18"/>
        </w:rPr>
        <w:t>during</w:t>
      </w:r>
      <w:r>
        <w:rPr>
          <w:spacing w:val="-1"/>
          <w:sz w:val="18"/>
        </w:rPr>
        <w:t xml:space="preserve"> </w:t>
      </w:r>
      <w:r>
        <w:rPr>
          <w:sz w:val="18"/>
        </w:rPr>
        <w:t>the</w:t>
      </w:r>
      <w:r>
        <w:rPr>
          <w:spacing w:val="-4"/>
          <w:sz w:val="18"/>
        </w:rPr>
        <w:t xml:space="preserve"> </w:t>
      </w:r>
      <w:r>
        <w:rPr>
          <w:spacing w:val="-2"/>
          <w:sz w:val="18"/>
        </w:rPr>
        <w:t>period.</w:t>
      </w:r>
    </w:p>
    <w:p w14:paraId="74E7C2F2" w14:textId="77777777" w:rsidR="00AC6F3C" w:rsidRDefault="00AC6F3C">
      <w:pPr>
        <w:pStyle w:val="BodyText"/>
        <w:rPr>
          <w:sz w:val="21"/>
        </w:rPr>
      </w:pPr>
    </w:p>
    <w:p w14:paraId="7A2EA5E9" w14:textId="77777777" w:rsidR="00AC6F3C" w:rsidRDefault="00570E88">
      <w:pPr>
        <w:ind w:left="958" w:right="990"/>
        <w:rPr>
          <w:sz w:val="18"/>
        </w:rPr>
      </w:pPr>
      <w:r>
        <w:rPr>
          <w:sz w:val="18"/>
        </w:rPr>
        <w:t>More</w:t>
      </w:r>
      <w:r>
        <w:rPr>
          <w:spacing w:val="-4"/>
          <w:sz w:val="18"/>
        </w:rPr>
        <w:t xml:space="preserve"> </w:t>
      </w:r>
      <w:r>
        <w:rPr>
          <w:sz w:val="18"/>
        </w:rPr>
        <w:t>specific</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information</w:t>
      </w:r>
      <w:r>
        <w:rPr>
          <w:spacing w:val="-4"/>
          <w:sz w:val="18"/>
        </w:rPr>
        <w:t xml:space="preserve"> </w:t>
      </w:r>
      <w:r>
        <w:rPr>
          <w:sz w:val="18"/>
        </w:rPr>
        <w:t>about</w:t>
      </w:r>
      <w:r>
        <w:rPr>
          <w:spacing w:val="-2"/>
          <w:sz w:val="18"/>
        </w:rPr>
        <w:t xml:space="preserve"> </w:t>
      </w:r>
      <w:r>
        <w:rPr>
          <w:sz w:val="18"/>
        </w:rPr>
        <w:t>the</w:t>
      </w:r>
      <w:r>
        <w:rPr>
          <w:spacing w:val="-1"/>
          <w:sz w:val="18"/>
        </w:rPr>
        <w:t xml:space="preserve"> </w:t>
      </w:r>
      <w:r>
        <w:rPr>
          <w:sz w:val="18"/>
        </w:rPr>
        <w:t>Society’s</w:t>
      </w:r>
      <w:r>
        <w:rPr>
          <w:spacing w:val="-1"/>
          <w:sz w:val="18"/>
        </w:rPr>
        <w:t xml:space="preserve"> </w:t>
      </w:r>
      <w:r>
        <w:rPr>
          <w:sz w:val="18"/>
        </w:rPr>
        <w:t>investments</w:t>
      </w:r>
      <w:r>
        <w:rPr>
          <w:spacing w:val="-1"/>
          <w:sz w:val="18"/>
        </w:rPr>
        <w:t xml:space="preserve"> </w:t>
      </w:r>
      <w:r>
        <w:rPr>
          <w:sz w:val="18"/>
        </w:rPr>
        <w:t>and</w:t>
      </w:r>
      <w:r>
        <w:rPr>
          <w:spacing w:val="-4"/>
          <w:sz w:val="18"/>
        </w:rPr>
        <w:t xml:space="preserve"> </w:t>
      </w:r>
      <w:r>
        <w:rPr>
          <w:sz w:val="18"/>
        </w:rPr>
        <w:t>strata</w:t>
      </w:r>
      <w:r>
        <w:rPr>
          <w:spacing w:val="-4"/>
          <w:sz w:val="18"/>
        </w:rPr>
        <w:t xml:space="preserve"> </w:t>
      </w:r>
      <w:r>
        <w:rPr>
          <w:sz w:val="18"/>
        </w:rPr>
        <w:t>title</w:t>
      </w:r>
      <w:r>
        <w:rPr>
          <w:spacing w:val="-1"/>
          <w:sz w:val="18"/>
        </w:rPr>
        <w:t xml:space="preserve"> </w:t>
      </w:r>
      <w:r>
        <w:rPr>
          <w:sz w:val="18"/>
        </w:rPr>
        <w:t>building</w:t>
      </w:r>
      <w:r>
        <w:rPr>
          <w:spacing w:val="-4"/>
          <w:sz w:val="18"/>
        </w:rPr>
        <w:t xml:space="preserve"> </w:t>
      </w:r>
      <w:r>
        <w:rPr>
          <w:sz w:val="18"/>
        </w:rPr>
        <w:t>is</w:t>
      </w:r>
      <w:r>
        <w:rPr>
          <w:spacing w:val="-1"/>
          <w:sz w:val="18"/>
        </w:rPr>
        <w:t xml:space="preserve"> </w:t>
      </w:r>
      <w:r>
        <w:rPr>
          <w:sz w:val="18"/>
        </w:rPr>
        <w:t>outlined</w:t>
      </w:r>
      <w:r>
        <w:rPr>
          <w:spacing w:val="-4"/>
          <w:sz w:val="18"/>
        </w:rPr>
        <w:t xml:space="preserve"> </w:t>
      </w:r>
      <w:r>
        <w:rPr>
          <w:sz w:val="18"/>
        </w:rPr>
        <w:t>in Notes C4 and C5, respectively.</w:t>
      </w:r>
    </w:p>
    <w:p w14:paraId="6A9FE057" w14:textId="77777777" w:rsidR="00AC6F3C" w:rsidRDefault="00AC6F3C">
      <w:pPr>
        <w:pStyle w:val="BodyText"/>
        <w:spacing w:before="9"/>
      </w:pPr>
    </w:p>
    <w:p w14:paraId="126E5DD3" w14:textId="77777777" w:rsidR="00AC6F3C" w:rsidRDefault="00570E88">
      <w:pPr>
        <w:ind w:left="958"/>
        <w:rPr>
          <w:b/>
          <w:sz w:val="20"/>
        </w:rPr>
      </w:pPr>
      <w:r>
        <w:rPr>
          <w:b/>
          <w:sz w:val="20"/>
        </w:rPr>
        <w:t>Present</w:t>
      </w:r>
      <w:r>
        <w:rPr>
          <w:b/>
          <w:spacing w:val="-10"/>
          <w:sz w:val="20"/>
        </w:rPr>
        <w:t xml:space="preserve"> </w:t>
      </w:r>
      <w:r>
        <w:rPr>
          <w:b/>
          <w:spacing w:val="-2"/>
          <w:sz w:val="20"/>
        </w:rPr>
        <w:t>value</w:t>
      </w:r>
    </w:p>
    <w:p w14:paraId="2F121091" w14:textId="77777777" w:rsidR="00AC6F3C" w:rsidRDefault="00AC6F3C">
      <w:pPr>
        <w:pStyle w:val="BodyText"/>
        <w:spacing w:before="10"/>
        <w:rPr>
          <w:b/>
        </w:rPr>
      </w:pPr>
    </w:p>
    <w:p w14:paraId="631244E5" w14:textId="77777777" w:rsidR="00AC6F3C" w:rsidRDefault="00570E88">
      <w:pPr>
        <w:ind w:left="958" w:right="990"/>
        <w:rPr>
          <w:sz w:val="18"/>
        </w:rPr>
      </w:pPr>
      <w:r>
        <w:rPr>
          <w:sz w:val="18"/>
        </w:rPr>
        <w:t>Present value represents the present discounted value of the future net cash inflows that the item is expected</w:t>
      </w:r>
      <w:r>
        <w:rPr>
          <w:spacing w:val="-2"/>
          <w:sz w:val="18"/>
        </w:rPr>
        <w:t xml:space="preserve"> </w:t>
      </w:r>
      <w:r>
        <w:rPr>
          <w:sz w:val="18"/>
        </w:rPr>
        <w:t>to</w:t>
      </w:r>
      <w:r>
        <w:rPr>
          <w:spacing w:val="-4"/>
          <w:sz w:val="18"/>
        </w:rPr>
        <w:t xml:space="preserve"> </w:t>
      </w:r>
      <w:r>
        <w:rPr>
          <w:sz w:val="18"/>
        </w:rPr>
        <w:t>generate</w:t>
      </w:r>
      <w:r>
        <w:rPr>
          <w:spacing w:val="-2"/>
          <w:sz w:val="18"/>
        </w:rPr>
        <w:t xml:space="preserve"> </w:t>
      </w:r>
      <w:r>
        <w:rPr>
          <w:sz w:val="18"/>
        </w:rPr>
        <w:t>(in</w:t>
      </w:r>
      <w:r>
        <w:rPr>
          <w:spacing w:val="-2"/>
          <w:sz w:val="18"/>
        </w:rPr>
        <w:t xml:space="preserve"> </w:t>
      </w:r>
      <w:r>
        <w:rPr>
          <w:sz w:val="18"/>
        </w:rPr>
        <w:t>respect</w:t>
      </w:r>
      <w:r>
        <w:rPr>
          <w:spacing w:val="-2"/>
          <w:sz w:val="18"/>
        </w:rPr>
        <w:t xml:space="preserve"> </w:t>
      </w:r>
      <w:r>
        <w:rPr>
          <w:sz w:val="18"/>
        </w:rPr>
        <w:t>of</w:t>
      </w:r>
      <w:r>
        <w:rPr>
          <w:spacing w:val="-4"/>
          <w:sz w:val="18"/>
        </w:rPr>
        <w:t xml:space="preserve"> </w:t>
      </w:r>
      <w:r>
        <w:rPr>
          <w:sz w:val="18"/>
        </w:rPr>
        <w:t>assets)</w:t>
      </w:r>
      <w:r>
        <w:rPr>
          <w:spacing w:val="-2"/>
          <w:sz w:val="18"/>
        </w:rPr>
        <w:t xml:space="preserve"> </w:t>
      </w:r>
      <w:r>
        <w:rPr>
          <w:sz w:val="18"/>
        </w:rPr>
        <w:t>or</w:t>
      </w:r>
      <w:r>
        <w:rPr>
          <w:spacing w:val="-2"/>
          <w:sz w:val="18"/>
        </w:rPr>
        <w:t xml:space="preserve"> </w:t>
      </w:r>
      <w:r>
        <w:rPr>
          <w:sz w:val="18"/>
        </w:rPr>
        <w:t>the</w:t>
      </w:r>
      <w:r>
        <w:rPr>
          <w:spacing w:val="-2"/>
          <w:sz w:val="18"/>
        </w:rPr>
        <w:t xml:space="preserve"> </w:t>
      </w:r>
      <w:r>
        <w:rPr>
          <w:sz w:val="18"/>
        </w:rPr>
        <w:t>present</w:t>
      </w:r>
      <w:r>
        <w:rPr>
          <w:spacing w:val="-2"/>
          <w:sz w:val="18"/>
        </w:rPr>
        <w:t xml:space="preserve"> </w:t>
      </w:r>
      <w:r>
        <w:rPr>
          <w:sz w:val="18"/>
        </w:rPr>
        <w:t>discounted</w:t>
      </w:r>
      <w:r>
        <w:rPr>
          <w:spacing w:val="-4"/>
          <w:sz w:val="18"/>
        </w:rPr>
        <w:t xml:space="preserve"> </w:t>
      </w:r>
      <w:r>
        <w:rPr>
          <w:sz w:val="18"/>
        </w:rPr>
        <w:t>value</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future</w:t>
      </w:r>
      <w:r>
        <w:rPr>
          <w:spacing w:val="-2"/>
          <w:sz w:val="18"/>
        </w:rPr>
        <w:t xml:space="preserve"> </w:t>
      </w:r>
      <w:r>
        <w:rPr>
          <w:sz w:val="18"/>
        </w:rPr>
        <w:t>cash</w:t>
      </w:r>
      <w:r>
        <w:rPr>
          <w:spacing w:val="-2"/>
          <w:sz w:val="18"/>
        </w:rPr>
        <w:t xml:space="preserve"> </w:t>
      </w:r>
      <w:r>
        <w:rPr>
          <w:sz w:val="18"/>
        </w:rPr>
        <w:t>outflows expected to settle (in respect of liabilities) in the normal course of business.</w:t>
      </w:r>
    </w:p>
    <w:p w14:paraId="4EE9E433" w14:textId="77777777" w:rsidR="00AC6F3C" w:rsidRDefault="00AC6F3C">
      <w:pPr>
        <w:pStyle w:val="BodyText"/>
        <w:rPr>
          <w:sz w:val="21"/>
        </w:rPr>
      </w:pPr>
    </w:p>
    <w:p w14:paraId="7DE45EA7" w14:textId="77777777" w:rsidR="00AC6F3C" w:rsidRDefault="00570E88">
      <w:pPr>
        <w:pStyle w:val="Heading6"/>
        <w:tabs>
          <w:tab w:val="left" w:pos="1810"/>
        </w:tabs>
        <w:spacing w:before="0"/>
      </w:pPr>
      <w:r>
        <w:rPr>
          <w:spacing w:val="-2"/>
        </w:rPr>
        <w:t>A1-</w:t>
      </w:r>
      <w:r>
        <w:rPr>
          <w:spacing w:val="-10"/>
        </w:rPr>
        <w:t>6</w:t>
      </w:r>
      <w:r>
        <w:tab/>
        <w:t>THE</w:t>
      </w:r>
      <w:r>
        <w:rPr>
          <w:spacing w:val="-2"/>
        </w:rPr>
        <w:t xml:space="preserve"> </w:t>
      </w:r>
      <w:r>
        <w:t>REPORTING</w:t>
      </w:r>
      <w:r>
        <w:rPr>
          <w:spacing w:val="-1"/>
        </w:rPr>
        <w:t xml:space="preserve"> </w:t>
      </w:r>
      <w:r>
        <w:rPr>
          <w:spacing w:val="-2"/>
        </w:rPr>
        <w:t>ENTITY</w:t>
      </w:r>
    </w:p>
    <w:p w14:paraId="3D101C9D" w14:textId="77777777" w:rsidR="00AC6F3C" w:rsidRDefault="00AC6F3C">
      <w:pPr>
        <w:pStyle w:val="BodyText"/>
        <w:spacing w:before="9"/>
        <w:rPr>
          <w:b/>
        </w:rPr>
      </w:pPr>
    </w:p>
    <w:p w14:paraId="2E2674E6" w14:textId="77777777" w:rsidR="00AC6F3C" w:rsidRDefault="00570E88">
      <w:pPr>
        <w:ind w:left="958" w:right="730"/>
        <w:rPr>
          <w:sz w:val="18"/>
        </w:rPr>
      </w:pPr>
      <w:r>
        <w:rPr>
          <w:sz w:val="18"/>
        </w:rPr>
        <w:t>The consolidated financial statements include all income, expenses, assets, liabilities and equity of the Society (“Parent Entity”) and the entities it controls (refer to Note A3). The controlled entities are QLS Solicitor</w:t>
      </w:r>
      <w:r>
        <w:rPr>
          <w:spacing w:val="-2"/>
          <w:sz w:val="18"/>
        </w:rPr>
        <w:t xml:space="preserve"> </w:t>
      </w:r>
      <w:r>
        <w:rPr>
          <w:sz w:val="18"/>
        </w:rPr>
        <w:t>Support</w:t>
      </w:r>
      <w:r>
        <w:rPr>
          <w:spacing w:val="-2"/>
          <w:sz w:val="18"/>
        </w:rPr>
        <w:t xml:space="preserve"> </w:t>
      </w:r>
      <w:r>
        <w:rPr>
          <w:sz w:val="18"/>
        </w:rPr>
        <w:t>Pty</w:t>
      </w:r>
      <w:r>
        <w:rPr>
          <w:spacing w:val="-3"/>
          <w:sz w:val="18"/>
        </w:rPr>
        <w:t xml:space="preserve"> </w:t>
      </w:r>
      <w:r>
        <w:rPr>
          <w:sz w:val="18"/>
        </w:rPr>
        <w:t>Ltd</w:t>
      </w:r>
      <w:r>
        <w:rPr>
          <w:spacing w:val="-4"/>
          <w:sz w:val="18"/>
        </w:rPr>
        <w:t xml:space="preserve"> </w:t>
      </w:r>
      <w:r>
        <w:rPr>
          <w:sz w:val="18"/>
        </w:rPr>
        <w:t>(QSS),</w:t>
      </w:r>
      <w:r>
        <w:rPr>
          <w:spacing w:val="-2"/>
          <w:sz w:val="18"/>
        </w:rPr>
        <w:t xml:space="preserve"> </w:t>
      </w:r>
      <w:r>
        <w:rPr>
          <w:sz w:val="18"/>
        </w:rPr>
        <w:t>the</w:t>
      </w:r>
      <w:r>
        <w:rPr>
          <w:spacing w:val="-4"/>
          <w:sz w:val="18"/>
        </w:rPr>
        <w:t xml:space="preserve"> </w:t>
      </w:r>
      <w:r>
        <w:rPr>
          <w:sz w:val="18"/>
        </w:rPr>
        <w:t>Law</w:t>
      </w:r>
      <w:r>
        <w:rPr>
          <w:spacing w:val="-2"/>
          <w:sz w:val="18"/>
        </w:rPr>
        <w:t xml:space="preserve"> </w:t>
      </w:r>
      <w:r>
        <w:rPr>
          <w:sz w:val="18"/>
        </w:rPr>
        <w:t>Claims</w:t>
      </w:r>
      <w:r>
        <w:rPr>
          <w:spacing w:val="-1"/>
          <w:sz w:val="18"/>
        </w:rPr>
        <w:t xml:space="preserve"> </w:t>
      </w:r>
      <w:r>
        <w:rPr>
          <w:sz w:val="18"/>
        </w:rPr>
        <w:t>Levy</w:t>
      </w:r>
      <w:r>
        <w:rPr>
          <w:spacing w:val="-3"/>
          <w:sz w:val="18"/>
        </w:rPr>
        <w:t xml:space="preserve"> </w:t>
      </w:r>
      <w:r>
        <w:rPr>
          <w:sz w:val="18"/>
        </w:rPr>
        <w:t>Fund</w:t>
      </w:r>
      <w:r>
        <w:rPr>
          <w:spacing w:val="-1"/>
          <w:sz w:val="18"/>
        </w:rPr>
        <w:t xml:space="preserve"> </w:t>
      </w:r>
      <w:r>
        <w:rPr>
          <w:sz w:val="18"/>
        </w:rPr>
        <w:t>(LCLF)</w:t>
      </w:r>
      <w:r>
        <w:rPr>
          <w:spacing w:val="-2"/>
          <w:sz w:val="18"/>
        </w:rPr>
        <w:t xml:space="preserve"> </w:t>
      </w:r>
      <w:r>
        <w:rPr>
          <w:sz w:val="18"/>
        </w:rPr>
        <w:t>and</w:t>
      </w:r>
      <w:r>
        <w:rPr>
          <w:spacing w:val="-1"/>
          <w:sz w:val="18"/>
        </w:rPr>
        <w:t xml:space="preserve"> </w:t>
      </w:r>
      <w:r>
        <w:rPr>
          <w:sz w:val="18"/>
        </w:rPr>
        <w:t>Lexon</w:t>
      </w:r>
      <w:r>
        <w:rPr>
          <w:spacing w:val="-4"/>
          <w:sz w:val="18"/>
        </w:rPr>
        <w:t xml:space="preserve"> </w:t>
      </w:r>
      <w:r>
        <w:rPr>
          <w:sz w:val="18"/>
        </w:rPr>
        <w:t>Insurance</w:t>
      </w:r>
      <w:r>
        <w:rPr>
          <w:spacing w:val="-1"/>
          <w:sz w:val="18"/>
        </w:rPr>
        <w:t xml:space="preserve"> </w:t>
      </w:r>
      <w:r>
        <w:rPr>
          <w:sz w:val="18"/>
        </w:rPr>
        <w:t>Pte</w:t>
      </w:r>
      <w:r>
        <w:rPr>
          <w:spacing w:val="-1"/>
          <w:sz w:val="18"/>
        </w:rPr>
        <w:t xml:space="preserve"> </w:t>
      </w:r>
      <w:r>
        <w:rPr>
          <w:sz w:val="18"/>
        </w:rPr>
        <w:t>Ltd</w:t>
      </w:r>
      <w:r>
        <w:rPr>
          <w:spacing w:val="-1"/>
          <w:sz w:val="18"/>
        </w:rPr>
        <w:t xml:space="preserve"> </w:t>
      </w:r>
      <w:r>
        <w:rPr>
          <w:sz w:val="18"/>
        </w:rPr>
        <w:t>(Lexon). The Parent Entity</w:t>
      </w:r>
      <w:r>
        <w:rPr>
          <w:spacing w:val="-1"/>
          <w:sz w:val="18"/>
        </w:rPr>
        <w:t xml:space="preserve"> </w:t>
      </w:r>
      <w:r>
        <w:rPr>
          <w:sz w:val="18"/>
        </w:rPr>
        <w:t>and the</w:t>
      </w:r>
      <w:r>
        <w:rPr>
          <w:spacing w:val="-2"/>
          <w:sz w:val="18"/>
        </w:rPr>
        <w:t xml:space="preserve"> </w:t>
      </w:r>
      <w:r>
        <w:rPr>
          <w:sz w:val="18"/>
        </w:rPr>
        <w:t>controlled entities</w:t>
      </w:r>
      <w:r>
        <w:rPr>
          <w:spacing w:val="-2"/>
          <w:sz w:val="18"/>
        </w:rPr>
        <w:t xml:space="preserve"> </w:t>
      </w:r>
      <w:r>
        <w:rPr>
          <w:sz w:val="18"/>
        </w:rPr>
        <w:t>are referred</w:t>
      </w:r>
      <w:r>
        <w:rPr>
          <w:spacing w:val="-2"/>
          <w:sz w:val="18"/>
        </w:rPr>
        <w:t xml:space="preserve"> </w:t>
      </w:r>
      <w:r>
        <w:rPr>
          <w:sz w:val="18"/>
        </w:rPr>
        <w:t>to as “the</w:t>
      </w:r>
      <w:r>
        <w:rPr>
          <w:spacing w:val="-2"/>
          <w:sz w:val="18"/>
        </w:rPr>
        <w:t xml:space="preserve"> </w:t>
      </w:r>
      <w:r>
        <w:rPr>
          <w:sz w:val="18"/>
        </w:rPr>
        <w:t>Group”. All transactions</w:t>
      </w:r>
      <w:r>
        <w:rPr>
          <w:spacing w:val="-1"/>
          <w:sz w:val="18"/>
        </w:rPr>
        <w:t xml:space="preserve"> </w:t>
      </w:r>
      <w:r>
        <w:rPr>
          <w:sz w:val="18"/>
        </w:rPr>
        <w:t>and balances internal to the Group have been eliminated in full.</w:t>
      </w:r>
    </w:p>
    <w:p w14:paraId="145F686F" w14:textId="77777777" w:rsidR="00AC6F3C" w:rsidRDefault="00AC6F3C">
      <w:pPr>
        <w:pStyle w:val="BodyText"/>
        <w:spacing w:before="9"/>
      </w:pPr>
    </w:p>
    <w:p w14:paraId="2B362BBD" w14:textId="77777777" w:rsidR="00AC6F3C" w:rsidRDefault="00570E88">
      <w:pPr>
        <w:spacing w:before="1"/>
        <w:ind w:left="958" w:right="632"/>
        <w:rPr>
          <w:sz w:val="18"/>
        </w:rPr>
      </w:pPr>
      <w:r>
        <w:rPr>
          <w:sz w:val="18"/>
        </w:rPr>
        <w:t>The</w:t>
      </w:r>
      <w:r>
        <w:rPr>
          <w:spacing w:val="-1"/>
          <w:sz w:val="18"/>
        </w:rPr>
        <w:t xml:space="preserve"> </w:t>
      </w:r>
      <w:r>
        <w:rPr>
          <w:sz w:val="18"/>
        </w:rPr>
        <w:t>Parent</w:t>
      </w:r>
      <w:r>
        <w:rPr>
          <w:spacing w:val="-2"/>
          <w:sz w:val="18"/>
        </w:rPr>
        <w:t xml:space="preserve"> </w:t>
      </w:r>
      <w:r>
        <w:rPr>
          <w:sz w:val="18"/>
        </w:rPr>
        <w:t>Entity</w:t>
      </w:r>
      <w:r>
        <w:rPr>
          <w:spacing w:val="-3"/>
          <w:sz w:val="18"/>
        </w:rPr>
        <w:t xml:space="preserve"> </w:t>
      </w:r>
      <w:r>
        <w:rPr>
          <w:sz w:val="18"/>
        </w:rPr>
        <w:t>financial</w:t>
      </w:r>
      <w:r>
        <w:rPr>
          <w:spacing w:val="-4"/>
          <w:sz w:val="18"/>
        </w:rPr>
        <w:t xml:space="preserve"> </w:t>
      </w:r>
      <w:r>
        <w:rPr>
          <w:sz w:val="18"/>
        </w:rPr>
        <w:t>statements</w:t>
      </w:r>
      <w:r>
        <w:rPr>
          <w:spacing w:val="-3"/>
          <w:sz w:val="18"/>
        </w:rPr>
        <w:t xml:space="preserve"> </w:t>
      </w:r>
      <w:r>
        <w:rPr>
          <w:sz w:val="18"/>
        </w:rPr>
        <w:t>include</w:t>
      </w:r>
      <w:r>
        <w:rPr>
          <w:spacing w:val="-1"/>
          <w:sz w:val="18"/>
        </w:rPr>
        <w:t xml:space="preserve"> </w:t>
      </w:r>
      <w:r>
        <w:rPr>
          <w:sz w:val="18"/>
        </w:rPr>
        <w:t>all</w:t>
      </w:r>
      <w:r>
        <w:rPr>
          <w:spacing w:val="-1"/>
          <w:sz w:val="18"/>
        </w:rPr>
        <w:t xml:space="preserve"> </w:t>
      </w:r>
      <w:r>
        <w:rPr>
          <w:sz w:val="18"/>
        </w:rPr>
        <w:t>income,</w:t>
      </w:r>
      <w:r>
        <w:rPr>
          <w:spacing w:val="-4"/>
          <w:sz w:val="18"/>
        </w:rPr>
        <w:t xml:space="preserve"> </w:t>
      </w:r>
      <w:r>
        <w:rPr>
          <w:sz w:val="18"/>
        </w:rPr>
        <w:t>expenses,</w:t>
      </w:r>
      <w:r>
        <w:rPr>
          <w:spacing w:val="-4"/>
          <w:sz w:val="18"/>
        </w:rPr>
        <w:t xml:space="preserve"> </w:t>
      </w:r>
      <w:r>
        <w:rPr>
          <w:sz w:val="18"/>
        </w:rPr>
        <w:t>assets,</w:t>
      </w:r>
      <w:r>
        <w:rPr>
          <w:spacing w:val="-2"/>
          <w:sz w:val="18"/>
        </w:rPr>
        <w:t xml:space="preserve"> </w:t>
      </w:r>
      <w:r>
        <w:rPr>
          <w:sz w:val="18"/>
        </w:rPr>
        <w:t>liabilities</w:t>
      </w:r>
      <w:r>
        <w:rPr>
          <w:spacing w:val="-1"/>
          <w:sz w:val="18"/>
        </w:rPr>
        <w:t xml:space="preserve"> </w:t>
      </w:r>
      <w:r>
        <w:rPr>
          <w:sz w:val="18"/>
        </w:rPr>
        <w:t>and</w:t>
      </w:r>
      <w:r>
        <w:rPr>
          <w:spacing w:val="-4"/>
          <w:sz w:val="18"/>
        </w:rPr>
        <w:t xml:space="preserve"> </w:t>
      </w:r>
      <w:r>
        <w:rPr>
          <w:sz w:val="18"/>
        </w:rPr>
        <w:t>equity</w:t>
      </w:r>
      <w:r>
        <w:rPr>
          <w:spacing w:val="-1"/>
          <w:sz w:val="18"/>
        </w:rPr>
        <w:t xml:space="preserve"> </w:t>
      </w:r>
      <w:r>
        <w:rPr>
          <w:sz w:val="18"/>
        </w:rPr>
        <w:t>of</w:t>
      </w:r>
      <w:r>
        <w:rPr>
          <w:spacing w:val="-4"/>
          <w:sz w:val="18"/>
        </w:rPr>
        <w:t xml:space="preserve"> </w:t>
      </w:r>
      <w:r>
        <w:rPr>
          <w:sz w:val="18"/>
        </w:rPr>
        <w:t>the Society only.</w:t>
      </w:r>
    </w:p>
    <w:p w14:paraId="5838BB17" w14:textId="77777777" w:rsidR="00AC6F3C" w:rsidRDefault="00AC6F3C">
      <w:pPr>
        <w:pStyle w:val="BodyText"/>
        <w:spacing w:before="8"/>
      </w:pPr>
    </w:p>
    <w:p w14:paraId="136E3B7F" w14:textId="77777777" w:rsidR="00AC6F3C" w:rsidRDefault="00570E88">
      <w:pPr>
        <w:tabs>
          <w:tab w:val="left" w:pos="1666"/>
        </w:tabs>
        <w:ind w:left="958"/>
        <w:rPr>
          <w:b/>
          <w:sz w:val="28"/>
        </w:rPr>
      </w:pPr>
      <w:r>
        <w:rPr>
          <w:b/>
          <w:spacing w:val="-5"/>
          <w:sz w:val="28"/>
        </w:rPr>
        <w:t>A2</w:t>
      </w:r>
      <w:r>
        <w:rPr>
          <w:b/>
          <w:sz w:val="28"/>
        </w:rPr>
        <w:tab/>
        <w:t>THE</w:t>
      </w:r>
      <w:r>
        <w:rPr>
          <w:b/>
          <w:spacing w:val="-5"/>
          <w:sz w:val="28"/>
        </w:rPr>
        <w:t xml:space="preserve"> </w:t>
      </w:r>
      <w:r>
        <w:rPr>
          <w:b/>
          <w:sz w:val="28"/>
        </w:rPr>
        <w:t>SOCIETY’S</w:t>
      </w:r>
      <w:r>
        <w:rPr>
          <w:b/>
          <w:spacing w:val="-6"/>
          <w:sz w:val="28"/>
        </w:rPr>
        <w:t xml:space="preserve"> </w:t>
      </w:r>
      <w:r>
        <w:rPr>
          <w:b/>
          <w:spacing w:val="-2"/>
          <w:sz w:val="28"/>
        </w:rPr>
        <w:t>OBJECTIVES</w:t>
      </w:r>
    </w:p>
    <w:p w14:paraId="06ED3E53" w14:textId="77777777" w:rsidR="00AC6F3C" w:rsidRDefault="00570E88">
      <w:pPr>
        <w:spacing w:before="240"/>
        <w:ind w:left="958" w:right="857"/>
        <w:rPr>
          <w:i/>
          <w:sz w:val="18"/>
        </w:rPr>
      </w:pPr>
      <w:r>
        <w:rPr>
          <w:sz w:val="18"/>
        </w:rPr>
        <w:t xml:space="preserve">The Society is responsible for specific statutory obligations under the </w:t>
      </w:r>
      <w:r>
        <w:rPr>
          <w:i/>
          <w:sz w:val="18"/>
        </w:rPr>
        <w:t>Legal Profession Act 2007 (</w:t>
      </w:r>
      <w:r>
        <w:rPr>
          <w:sz w:val="18"/>
        </w:rPr>
        <w:t>Qld</w:t>
      </w:r>
      <w:r>
        <w:rPr>
          <w:i/>
          <w:sz w:val="18"/>
        </w:rPr>
        <w:t xml:space="preserve">) </w:t>
      </w:r>
      <w:r>
        <w:rPr>
          <w:sz w:val="18"/>
        </w:rPr>
        <w:t>which</w:t>
      </w:r>
      <w:r>
        <w:rPr>
          <w:spacing w:val="-4"/>
          <w:sz w:val="18"/>
        </w:rPr>
        <w:t xml:space="preserve"> </w:t>
      </w:r>
      <w:r>
        <w:rPr>
          <w:sz w:val="18"/>
        </w:rPr>
        <w:t>includes</w:t>
      </w:r>
      <w:r>
        <w:rPr>
          <w:spacing w:val="-3"/>
          <w:sz w:val="18"/>
        </w:rPr>
        <w:t xml:space="preserve"> </w:t>
      </w:r>
      <w:r>
        <w:rPr>
          <w:sz w:val="18"/>
        </w:rPr>
        <w:t>the</w:t>
      </w:r>
      <w:r>
        <w:rPr>
          <w:spacing w:val="-4"/>
          <w:sz w:val="18"/>
        </w:rPr>
        <w:t xml:space="preserve"> </w:t>
      </w:r>
      <w:r>
        <w:rPr>
          <w:sz w:val="18"/>
        </w:rPr>
        <w:t>issuance</w:t>
      </w:r>
      <w:r>
        <w:rPr>
          <w:spacing w:val="-4"/>
          <w:sz w:val="18"/>
        </w:rPr>
        <w:t xml:space="preserve"> </w:t>
      </w:r>
      <w:r>
        <w:rPr>
          <w:sz w:val="18"/>
        </w:rPr>
        <w:t>of</w:t>
      </w:r>
      <w:r>
        <w:rPr>
          <w:spacing w:val="-4"/>
          <w:sz w:val="18"/>
        </w:rPr>
        <w:t xml:space="preserve"> </w:t>
      </w:r>
      <w:proofErr w:type="spellStart"/>
      <w:r>
        <w:rPr>
          <w:sz w:val="18"/>
        </w:rPr>
        <w:t>practising</w:t>
      </w:r>
      <w:proofErr w:type="spellEnd"/>
      <w:r>
        <w:rPr>
          <w:spacing w:val="-4"/>
          <w:sz w:val="18"/>
        </w:rPr>
        <w:t xml:space="preserve"> </w:t>
      </w:r>
      <w:r>
        <w:rPr>
          <w:sz w:val="18"/>
        </w:rPr>
        <w:t>certificates,</w:t>
      </w:r>
      <w:r>
        <w:rPr>
          <w:spacing w:val="-4"/>
          <w:sz w:val="18"/>
        </w:rPr>
        <w:t xml:space="preserve"> </w:t>
      </w:r>
      <w:r>
        <w:rPr>
          <w:sz w:val="18"/>
        </w:rPr>
        <w:t>maintenance</w:t>
      </w:r>
      <w:r>
        <w:rPr>
          <w:spacing w:val="-2"/>
          <w:sz w:val="18"/>
        </w:rPr>
        <w:t xml:space="preserve"> </w:t>
      </w:r>
      <w:r>
        <w:rPr>
          <w:sz w:val="18"/>
        </w:rPr>
        <w:t>of</w:t>
      </w:r>
      <w:r>
        <w:rPr>
          <w:spacing w:val="-4"/>
          <w:sz w:val="18"/>
        </w:rPr>
        <w:t xml:space="preserve"> </w:t>
      </w:r>
      <w:r>
        <w:rPr>
          <w:sz w:val="18"/>
        </w:rPr>
        <w:t>solicitors’</w:t>
      </w:r>
      <w:r>
        <w:rPr>
          <w:spacing w:val="-1"/>
          <w:sz w:val="18"/>
        </w:rPr>
        <w:t xml:space="preserve"> </w:t>
      </w:r>
      <w:r>
        <w:rPr>
          <w:sz w:val="18"/>
        </w:rPr>
        <w:t>records,</w:t>
      </w:r>
      <w:r>
        <w:rPr>
          <w:spacing w:val="-4"/>
          <w:sz w:val="18"/>
        </w:rPr>
        <w:t xml:space="preserve"> </w:t>
      </w:r>
      <w:r>
        <w:rPr>
          <w:sz w:val="18"/>
        </w:rPr>
        <w:t>and</w:t>
      </w:r>
      <w:r>
        <w:rPr>
          <w:spacing w:val="-1"/>
          <w:sz w:val="18"/>
        </w:rPr>
        <w:t xml:space="preserve"> </w:t>
      </w:r>
      <w:r>
        <w:rPr>
          <w:sz w:val="18"/>
        </w:rPr>
        <w:t>regulating</w:t>
      </w:r>
      <w:r>
        <w:rPr>
          <w:spacing w:val="-1"/>
          <w:sz w:val="18"/>
        </w:rPr>
        <w:t xml:space="preserve"> </w:t>
      </w:r>
      <w:r>
        <w:rPr>
          <w:sz w:val="18"/>
        </w:rPr>
        <w:t xml:space="preserve">the operation of solicitors’ trust account records. The Society also provides membership services and events, continuing professional education, advisory support to members and the general public, and administers funds under the control of the Group, which extends to providing general insurance and services as licensed under the </w:t>
      </w:r>
      <w:r>
        <w:rPr>
          <w:i/>
          <w:sz w:val="18"/>
        </w:rPr>
        <w:t>Singapore Insurance Act 1966.</w:t>
      </w:r>
    </w:p>
    <w:p w14:paraId="567C98B1" w14:textId="77777777" w:rsidR="00AC6F3C" w:rsidRDefault="00AC6F3C">
      <w:pPr>
        <w:pStyle w:val="BodyText"/>
        <w:spacing w:before="11"/>
        <w:rPr>
          <w:i/>
        </w:rPr>
      </w:pPr>
    </w:p>
    <w:p w14:paraId="04FAB464" w14:textId="77777777" w:rsidR="00AC6F3C" w:rsidRDefault="00570E88">
      <w:pPr>
        <w:ind w:left="958" w:right="730"/>
        <w:rPr>
          <w:sz w:val="18"/>
        </w:rPr>
      </w:pPr>
      <w:r>
        <w:rPr>
          <w:sz w:val="18"/>
        </w:rPr>
        <w:t>Major</w:t>
      </w:r>
      <w:r>
        <w:rPr>
          <w:spacing w:val="-4"/>
          <w:sz w:val="18"/>
        </w:rPr>
        <w:t xml:space="preserve"> </w:t>
      </w:r>
      <w:r>
        <w:rPr>
          <w:sz w:val="18"/>
        </w:rPr>
        <w:t>sources</w:t>
      </w:r>
      <w:r>
        <w:rPr>
          <w:spacing w:val="-1"/>
          <w:sz w:val="18"/>
        </w:rPr>
        <w:t xml:space="preserve"> </w:t>
      </w:r>
      <w:r>
        <w:rPr>
          <w:sz w:val="18"/>
        </w:rPr>
        <w:t>of</w:t>
      </w:r>
      <w:r>
        <w:rPr>
          <w:spacing w:val="-2"/>
          <w:sz w:val="18"/>
        </w:rPr>
        <w:t xml:space="preserve"> </w:t>
      </w:r>
      <w:r>
        <w:rPr>
          <w:sz w:val="18"/>
        </w:rPr>
        <w:t>income</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Group</w:t>
      </w:r>
      <w:r>
        <w:rPr>
          <w:spacing w:val="-1"/>
          <w:sz w:val="18"/>
        </w:rPr>
        <w:t xml:space="preserve"> </w:t>
      </w:r>
      <w:r>
        <w:rPr>
          <w:sz w:val="18"/>
        </w:rPr>
        <w:t>include</w:t>
      </w:r>
      <w:r>
        <w:rPr>
          <w:spacing w:val="-4"/>
          <w:sz w:val="18"/>
        </w:rPr>
        <w:t xml:space="preserve"> </w:t>
      </w:r>
      <w:r>
        <w:rPr>
          <w:sz w:val="18"/>
        </w:rPr>
        <w:t>annual</w:t>
      </w:r>
      <w:r>
        <w:rPr>
          <w:spacing w:val="-4"/>
          <w:sz w:val="18"/>
        </w:rPr>
        <w:t xml:space="preserve"> </w:t>
      </w:r>
      <w:r>
        <w:rPr>
          <w:sz w:val="18"/>
        </w:rPr>
        <w:t>fees</w:t>
      </w:r>
      <w:r>
        <w:rPr>
          <w:spacing w:val="-1"/>
          <w:sz w:val="18"/>
        </w:rPr>
        <w:t xml:space="preserve"> </w:t>
      </w:r>
      <w:r>
        <w:rPr>
          <w:sz w:val="18"/>
        </w:rPr>
        <w:t>for</w:t>
      </w:r>
      <w:r>
        <w:rPr>
          <w:spacing w:val="-2"/>
          <w:sz w:val="18"/>
        </w:rPr>
        <w:t xml:space="preserve"> </w:t>
      </w:r>
      <w:proofErr w:type="spellStart"/>
      <w:r>
        <w:rPr>
          <w:sz w:val="18"/>
        </w:rPr>
        <w:t>practising</w:t>
      </w:r>
      <w:proofErr w:type="spellEnd"/>
      <w:r>
        <w:rPr>
          <w:spacing w:val="-4"/>
          <w:sz w:val="18"/>
        </w:rPr>
        <w:t xml:space="preserve"> </w:t>
      </w:r>
      <w:r>
        <w:rPr>
          <w:sz w:val="18"/>
        </w:rPr>
        <w:t>certificates</w:t>
      </w:r>
      <w:r>
        <w:rPr>
          <w:spacing w:val="-1"/>
          <w:sz w:val="18"/>
        </w:rPr>
        <w:t xml:space="preserve"> </w:t>
      </w:r>
      <w:r>
        <w:rPr>
          <w:sz w:val="18"/>
        </w:rPr>
        <w:t>and</w:t>
      </w:r>
      <w:r>
        <w:rPr>
          <w:spacing w:val="-4"/>
          <w:sz w:val="18"/>
        </w:rPr>
        <w:t xml:space="preserve"> </w:t>
      </w:r>
      <w:r>
        <w:rPr>
          <w:sz w:val="18"/>
        </w:rPr>
        <w:t>membership,</w:t>
      </w:r>
      <w:r>
        <w:rPr>
          <w:spacing w:val="-2"/>
          <w:sz w:val="18"/>
        </w:rPr>
        <w:t xml:space="preserve"> </w:t>
      </w:r>
      <w:r>
        <w:rPr>
          <w:sz w:val="18"/>
        </w:rPr>
        <w:t>fees for continuing professional education to the legal profession, investment income, and insurance levies.</w:t>
      </w:r>
    </w:p>
    <w:p w14:paraId="20E71DFF" w14:textId="77777777" w:rsidR="00AC6F3C" w:rsidRDefault="00AC6F3C">
      <w:pPr>
        <w:rPr>
          <w:sz w:val="18"/>
        </w:rPr>
        <w:sectPr w:rsidR="00AC6F3C">
          <w:pgSz w:w="11910" w:h="16840"/>
          <w:pgMar w:top="2020" w:right="1160" w:bottom="520" w:left="460" w:header="1228" w:footer="336" w:gutter="0"/>
          <w:cols w:space="720"/>
        </w:sectPr>
      </w:pPr>
    </w:p>
    <w:p w14:paraId="5D7685EB" w14:textId="77777777" w:rsidR="00AC6F3C" w:rsidRDefault="00AC6F3C">
      <w:pPr>
        <w:pStyle w:val="BodyText"/>
      </w:pPr>
    </w:p>
    <w:p w14:paraId="26FC70C0" w14:textId="77777777" w:rsidR="00AC6F3C" w:rsidRDefault="00570E88">
      <w:pPr>
        <w:tabs>
          <w:tab w:val="left" w:pos="1666"/>
        </w:tabs>
        <w:spacing w:before="249"/>
        <w:ind w:left="958"/>
        <w:rPr>
          <w:b/>
          <w:sz w:val="28"/>
        </w:rPr>
      </w:pPr>
      <w:r>
        <w:rPr>
          <w:b/>
          <w:spacing w:val="-5"/>
          <w:sz w:val="28"/>
        </w:rPr>
        <w:t>A3</w:t>
      </w:r>
      <w:r>
        <w:rPr>
          <w:b/>
          <w:sz w:val="28"/>
        </w:rPr>
        <w:tab/>
        <w:t>CONTROLLED</w:t>
      </w:r>
      <w:r>
        <w:rPr>
          <w:b/>
          <w:spacing w:val="-15"/>
          <w:sz w:val="28"/>
        </w:rPr>
        <w:t xml:space="preserve"> </w:t>
      </w:r>
      <w:r>
        <w:rPr>
          <w:b/>
          <w:spacing w:val="-2"/>
          <w:sz w:val="28"/>
        </w:rPr>
        <w:t>ENTITIES</w:t>
      </w:r>
    </w:p>
    <w:p w14:paraId="3D7E2A33" w14:textId="77777777" w:rsidR="00AC6F3C" w:rsidRDefault="00570E88">
      <w:pPr>
        <w:spacing w:before="239"/>
        <w:ind w:left="958"/>
        <w:rPr>
          <w:sz w:val="18"/>
        </w:rPr>
      </w:pPr>
      <w:r>
        <w:rPr>
          <w:sz w:val="18"/>
        </w:rPr>
        <w:t>The</w:t>
      </w:r>
      <w:r>
        <w:rPr>
          <w:spacing w:val="-3"/>
          <w:sz w:val="18"/>
        </w:rPr>
        <w:t xml:space="preserve"> </w:t>
      </w:r>
      <w:r>
        <w:rPr>
          <w:sz w:val="18"/>
        </w:rPr>
        <w:t>Society</w:t>
      </w:r>
      <w:r>
        <w:rPr>
          <w:spacing w:val="-2"/>
          <w:sz w:val="18"/>
        </w:rPr>
        <w:t xml:space="preserve"> </w:t>
      </w:r>
      <w:r>
        <w:rPr>
          <w:sz w:val="18"/>
        </w:rPr>
        <w:t>wholly</w:t>
      </w:r>
      <w:r>
        <w:rPr>
          <w:spacing w:val="-3"/>
          <w:sz w:val="18"/>
        </w:rPr>
        <w:t xml:space="preserve"> </w:t>
      </w:r>
      <w:r>
        <w:rPr>
          <w:sz w:val="18"/>
        </w:rPr>
        <w:t>controlled</w:t>
      </w:r>
      <w:r>
        <w:rPr>
          <w:spacing w:val="-2"/>
          <w:sz w:val="18"/>
        </w:rPr>
        <w:t xml:space="preserve"> </w:t>
      </w:r>
      <w:r>
        <w:rPr>
          <w:sz w:val="18"/>
        </w:rPr>
        <w:t>the</w:t>
      </w:r>
      <w:r>
        <w:rPr>
          <w:spacing w:val="-2"/>
          <w:sz w:val="18"/>
        </w:rPr>
        <w:t xml:space="preserve"> </w:t>
      </w:r>
      <w:r>
        <w:rPr>
          <w:sz w:val="18"/>
        </w:rPr>
        <w:t>following</w:t>
      </w:r>
      <w:r>
        <w:rPr>
          <w:spacing w:val="-3"/>
          <w:sz w:val="18"/>
        </w:rPr>
        <w:t xml:space="preserve"> </w:t>
      </w:r>
      <w:r>
        <w:rPr>
          <w:sz w:val="18"/>
        </w:rPr>
        <w:t>entities</w:t>
      </w:r>
      <w:r>
        <w:rPr>
          <w:spacing w:val="-4"/>
          <w:sz w:val="18"/>
        </w:rPr>
        <w:t xml:space="preserve"> </w:t>
      </w:r>
      <w:r>
        <w:rPr>
          <w:sz w:val="18"/>
        </w:rPr>
        <w:t>at</w:t>
      </w:r>
      <w:r>
        <w:rPr>
          <w:spacing w:val="-3"/>
          <w:sz w:val="18"/>
        </w:rPr>
        <w:t xml:space="preserve"> </w:t>
      </w:r>
      <w:r>
        <w:rPr>
          <w:sz w:val="18"/>
        </w:rPr>
        <w:t>the</w:t>
      </w:r>
      <w:r>
        <w:rPr>
          <w:spacing w:val="-3"/>
          <w:sz w:val="18"/>
        </w:rPr>
        <w:t xml:space="preserve"> </w:t>
      </w:r>
      <w:r>
        <w:rPr>
          <w:sz w:val="18"/>
        </w:rPr>
        <w:t>reporting</w:t>
      </w:r>
      <w:r>
        <w:rPr>
          <w:spacing w:val="-5"/>
          <w:sz w:val="18"/>
        </w:rPr>
        <w:t xml:space="preserve"> </w:t>
      </w:r>
      <w:r>
        <w:rPr>
          <w:spacing w:val="-2"/>
          <w:sz w:val="18"/>
        </w:rPr>
        <w:t>date:</w:t>
      </w:r>
    </w:p>
    <w:p w14:paraId="2C25C610" w14:textId="77777777" w:rsidR="00AC6F3C" w:rsidRDefault="00AC6F3C">
      <w:pPr>
        <w:pStyle w:val="BodyText"/>
        <w:spacing w:before="9"/>
      </w:pPr>
    </w:p>
    <w:p w14:paraId="402C1DFE" w14:textId="77777777" w:rsidR="00AC6F3C" w:rsidRDefault="00570E88">
      <w:pPr>
        <w:pStyle w:val="ListParagraph"/>
        <w:numPr>
          <w:ilvl w:val="0"/>
          <w:numId w:val="33"/>
        </w:numPr>
        <w:tabs>
          <w:tab w:val="left" w:pos="1318"/>
        </w:tabs>
        <w:spacing w:before="1"/>
        <w:ind w:right="926"/>
        <w:rPr>
          <w:sz w:val="18"/>
        </w:rPr>
      </w:pPr>
      <w:r>
        <w:rPr>
          <w:sz w:val="18"/>
        </w:rPr>
        <w:t>QLS Solicitor Support Pty Ltd (QSS): QSS commenced in October 2019 and provides legal services for the delivery of guidance, support and counsel to members of the Society and other legal practitioners on ethical and legal practice management issues.</w:t>
      </w:r>
      <w:r>
        <w:rPr>
          <w:spacing w:val="40"/>
          <w:sz w:val="18"/>
        </w:rPr>
        <w:t xml:space="preserve"> </w:t>
      </w:r>
      <w:r>
        <w:rPr>
          <w:sz w:val="18"/>
        </w:rPr>
        <w:t>QSS also provides education and publications</w:t>
      </w:r>
      <w:r>
        <w:rPr>
          <w:spacing w:val="-1"/>
          <w:sz w:val="18"/>
        </w:rPr>
        <w:t xml:space="preserve"> </w:t>
      </w:r>
      <w:r>
        <w:rPr>
          <w:sz w:val="18"/>
        </w:rPr>
        <w:t>on</w:t>
      </w:r>
      <w:r>
        <w:rPr>
          <w:spacing w:val="-1"/>
          <w:sz w:val="18"/>
        </w:rPr>
        <w:t xml:space="preserve"> </w:t>
      </w:r>
      <w:r>
        <w:rPr>
          <w:sz w:val="18"/>
        </w:rPr>
        <w:t>legal</w:t>
      </w:r>
      <w:r>
        <w:rPr>
          <w:spacing w:val="-4"/>
          <w:sz w:val="18"/>
        </w:rPr>
        <w:t xml:space="preserve"> </w:t>
      </w:r>
      <w:r>
        <w:rPr>
          <w:sz w:val="18"/>
        </w:rPr>
        <w:t>ethics</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legal</w:t>
      </w:r>
      <w:r>
        <w:rPr>
          <w:spacing w:val="-4"/>
          <w:sz w:val="18"/>
        </w:rPr>
        <w:t xml:space="preserve"> </w:t>
      </w:r>
      <w:r>
        <w:rPr>
          <w:sz w:val="18"/>
        </w:rPr>
        <w:t>profession</w:t>
      </w:r>
      <w:r>
        <w:rPr>
          <w:spacing w:val="-4"/>
          <w:sz w:val="18"/>
        </w:rPr>
        <w:t xml:space="preserve"> </w:t>
      </w:r>
      <w:r>
        <w:rPr>
          <w:sz w:val="18"/>
        </w:rPr>
        <w:t>and</w:t>
      </w:r>
      <w:r>
        <w:rPr>
          <w:spacing w:val="-4"/>
          <w:sz w:val="18"/>
        </w:rPr>
        <w:t xml:space="preserve"> </w:t>
      </w:r>
      <w:r>
        <w:rPr>
          <w:sz w:val="18"/>
        </w:rPr>
        <w:t>practice</w:t>
      </w:r>
      <w:r>
        <w:rPr>
          <w:spacing w:val="-1"/>
          <w:sz w:val="18"/>
        </w:rPr>
        <w:t xml:space="preserve"> </w:t>
      </w:r>
      <w:r>
        <w:rPr>
          <w:sz w:val="18"/>
        </w:rPr>
        <w:t>management</w:t>
      </w:r>
      <w:r>
        <w:rPr>
          <w:spacing w:val="-2"/>
          <w:sz w:val="18"/>
        </w:rPr>
        <w:t xml:space="preserve"> </w:t>
      </w:r>
      <w:r>
        <w:rPr>
          <w:sz w:val="18"/>
        </w:rPr>
        <w:t>members</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Society and other legal practitioners. QSS was wholly controlled for the whole year.</w:t>
      </w:r>
    </w:p>
    <w:p w14:paraId="77876C5E" w14:textId="77777777" w:rsidR="00AC6F3C" w:rsidRDefault="00AC6F3C">
      <w:pPr>
        <w:pStyle w:val="BodyText"/>
        <w:spacing w:before="7"/>
      </w:pPr>
    </w:p>
    <w:p w14:paraId="21553CD9" w14:textId="77777777" w:rsidR="00AC6F3C" w:rsidRDefault="00570E88">
      <w:pPr>
        <w:pStyle w:val="ListParagraph"/>
        <w:numPr>
          <w:ilvl w:val="0"/>
          <w:numId w:val="33"/>
        </w:numPr>
        <w:tabs>
          <w:tab w:val="left" w:pos="1318"/>
        </w:tabs>
        <w:spacing w:before="1"/>
        <w:ind w:right="948"/>
        <w:rPr>
          <w:sz w:val="18"/>
        </w:rPr>
      </w:pPr>
      <w:r>
        <w:rPr>
          <w:sz w:val="18"/>
        </w:rPr>
        <w:t>Law Claims Levy Fund (LCLF): LCLF is responsible for the management of professional indemnity claims</w:t>
      </w:r>
      <w:r>
        <w:rPr>
          <w:spacing w:val="-2"/>
          <w:sz w:val="18"/>
        </w:rPr>
        <w:t xml:space="preserve"> </w:t>
      </w:r>
      <w:r>
        <w:rPr>
          <w:sz w:val="18"/>
        </w:rPr>
        <w:t>of</w:t>
      </w:r>
      <w:r>
        <w:rPr>
          <w:spacing w:val="-3"/>
          <w:sz w:val="18"/>
        </w:rPr>
        <w:t xml:space="preserve"> </w:t>
      </w:r>
      <w:r>
        <w:rPr>
          <w:sz w:val="18"/>
        </w:rPr>
        <w:t>practitioners for</w:t>
      </w:r>
      <w:r>
        <w:rPr>
          <w:spacing w:val="-3"/>
          <w:sz w:val="18"/>
        </w:rPr>
        <w:t xml:space="preserve"> </w:t>
      </w:r>
      <w:r>
        <w:rPr>
          <w:sz w:val="18"/>
        </w:rPr>
        <w:t>the</w:t>
      </w:r>
      <w:r>
        <w:rPr>
          <w:spacing w:val="-3"/>
          <w:sz w:val="18"/>
        </w:rPr>
        <w:t xml:space="preserve"> </w:t>
      </w:r>
      <w:r>
        <w:rPr>
          <w:sz w:val="18"/>
        </w:rPr>
        <w:t>years</w:t>
      </w:r>
      <w:r>
        <w:rPr>
          <w:spacing w:val="-2"/>
          <w:sz w:val="18"/>
        </w:rPr>
        <w:t xml:space="preserve"> </w:t>
      </w:r>
      <w:r>
        <w:rPr>
          <w:sz w:val="18"/>
        </w:rPr>
        <w:t>1987</w:t>
      </w:r>
      <w:r>
        <w:rPr>
          <w:spacing w:val="-3"/>
          <w:sz w:val="18"/>
        </w:rPr>
        <w:t xml:space="preserve"> </w:t>
      </w:r>
      <w:r>
        <w:rPr>
          <w:sz w:val="18"/>
        </w:rPr>
        <w:t>to 1995,</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administration of</w:t>
      </w:r>
      <w:r>
        <w:rPr>
          <w:spacing w:val="-3"/>
          <w:sz w:val="18"/>
        </w:rPr>
        <w:t xml:space="preserve"> </w:t>
      </w:r>
      <w:r>
        <w:rPr>
          <w:sz w:val="18"/>
        </w:rPr>
        <w:t>insurance</w:t>
      </w:r>
      <w:r>
        <w:rPr>
          <w:spacing w:val="-3"/>
          <w:sz w:val="18"/>
        </w:rPr>
        <w:t xml:space="preserve"> </w:t>
      </w:r>
      <w:r>
        <w:rPr>
          <w:sz w:val="18"/>
        </w:rPr>
        <w:t>matters (jointly with</w:t>
      </w:r>
      <w:r>
        <w:rPr>
          <w:spacing w:val="-2"/>
          <w:sz w:val="18"/>
        </w:rPr>
        <w:t xml:space="preserve"> </w:t>
      </w:r>
      <w:r>
        <w:rPr>
          <w:sz w:val="18"/>
        </w:rPr>
        <w:t>Lexon</w:t>
      </w:r>
      <w:r>
        <w:rPr>
          <w:spacing w:val="-5"/>
          <w:sz w:val="18"/>
        </w:rPr>
        <w:t xml:space="preserve"> </w:t>
      </w:r>
      <w:r>
        <w:rPr>
          <w:sz w:val="18"/>
        </w:rPr>
        <w:t>Insurance</w:t>
      </w:r>
      <w:r>
        <w:rPr>
          <w:spacing w:val="-2"/>
          <w:sz w:val="18"/>
        </w:rPr>
        <w:t xml:space="preserve"> </w:t>
      </w:r>
      <w:r>
        <w:rPr>
          <w:sz w:val="18"/>
        </w:rPr>
        <w:t>Pte</w:t>
      </w:r>
      <w:r>
        <w:rPr>
          <w:spacing w:val="-2"/>
          <w:sz w:val="18"/>
        </w:rPr>
        <w:t xml:space="preserve"> </w:t>
      </w:r>
      <w:r>
        <w:rPr>
          <w:sz w:val="18"/>
        </w:rPr>
        <w:t>Ltd)</w:t>
      </w:r>
      <w:r>
        <w:rPr>
          <w:spacing w:val="-5"/>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Queensland</w:t>
      </w:r>
      <w:r>
        <w:rPr>
          <w:spacing w:val="-2"/>
          <w:sz w:val="18"/>
        </w:rPr>
        <w:t xml:space="preserve"> </w:t>
      </w:r>
      <w:r>
        <w:rPr>
          <w:sz w:val="18"/>
        </w:rPr>
        <w:t>Law</w:t>
      </w:r>
      <w:r>
        <w:rPr>
          <w:spacing w:val="-3"/>
          <w:sz w:val="18"/>
        </w:rPr>
        <w:t xml:space="preserve"> </w:t>
      </w:r>
      <w:r>
        <w:rPr>
          <w:sz w:val="18"/>
        </w:rPr>
        <w:t>Society</w:t>
      </w:r>
      <w:r>
        <w:rPr>
          <w:spacing w:val="-4"/>
          <w:sz w:val="18"/>
        </w:rPr>
        <w:t xml:space="preserve"> </w:t>
      </w:r>
      <w:r>
        <w:rPr>
          <w:sz w:val="18"/>
        </w:rPr>
        <w:t>Indemnity</w:t>
      </w:r>
      <w:r>
        <w:rPr>
          <w:spacing w:val="-7"/>
          <w:sz w:val="18"/>
        </w:rPr>
        <w:t xml:space="preserve"> </w:t>
      </w:r>
      <w:r>
        <w:rPr>
          <w:sz w:val="18"/>
        </w:rPr>
        <w:t>Rule</w:t>
      </w:r>
      <w:r>
        <w:rPr>
          <w:spacing w:val="-2"/>
          <w:sz w:val="18"/>
        </w:rPr>
        <w:t xml:space="preserve"> </w:t>
      </w:r>
      <w:r>
        <w:rPr>
          <w:sz w:val="18"/>
        </w:rPr>
        <w:t>2005. LCLF was wholly controlled for the whole year.</w:t>
      </w:r>
    </w:p>
    <w:p w14:paraId="5E0C1D7B" w14:textId="77777777" w:rsidR="00AC6F3C" w:rsidRDefault="00AC6F3C">
      <w:pPr>
        <w:pStyle w:val="BodyText"/>
        <w:spacing w:before="8"/>
      </w:pPr>
    </w:p>
    <w:p w14:paraId="11D3F0EC" w14:textId="77777777" w:rsidR="00AC6F3C" w:rsidRDefault="00570E88">
      <w:pPr>
        <w:pStyle w:val="ListParagraph"/>
        <w:numPr>
          <w:ilvl w:val="0"/>
          <w:numId w:val="33"/>
        </w:numPr>
        <w:tabs>
          <w:tab w:val="left" w:pos="1318"/>
        </w:tabs>
        <w:spacing w:before="0"/>
        <w:ind w:right="903"/>
        <w:rPr>
          <w:sz w:val="18"/>
        </w:rPr>
      </w:pPr>
      <w:r>
        <w:rPr>
          <w:sz w:val="18"/>
        </w:rPr>
        <w:t>Lexon</w:t>
      </w:r>
      <w:r>
        <w:rPr>
          <w:spacing w:val="-1"/>
          <w:sz w:val="18"/>
        </w:rPr>
        <w:t xml:space="preserve"> </w:t>
      </w:r>
      <w:r>
        <w:rPr>
          <w:sz w:val="18"/>
        </w:rPr>
        <w:t>Insurance</w:t>
      </w:r>
      <w:r>
        <w:rPr>
          <w:spacing w:val="-4"/>
          <w:sz w:val="18"/>
        </w:rPr>
        <w:t xml:space="preserve"> </w:t>
      </w:r>
      <w:r>
        <w:rPr>
          <w:sz w:val="18"/>
        </w:rPr>
        <w:t>Pte</w:t>
      </w:r>
      <w:r>
        <w:rPr>
          <w:spacing w:val="-1"/>
          <w:sz w:val="18"/>
        </w:rPr>
        <w:t xml:space="preserve"> </w:t>
      </w:r>
      <w:r>
        <w:rPr>
          <w:sz w:val="18"/>
        </w:rPr>
        <w:t>Ltd</w:t>
      </w:r>
      <w:r>
        <w:rPr>
          <w:spacing w:val="-2"/>
          <w:sz w:val="18"/>
        </w:rPr>
        <w:t xml:space="preserve"> </w:t>
      </w:r>
      <w:r>
        <w:rPr>
          <w:sz w:val="18"/>
        </w:rPr>
        <w:t>(Lexon):</w:t>
      </w:r>
      <w:r>
        <w:rPr>
          <w:spacing w:val="40"/>
          <w:sz w:val="18"/>
        </w:rPr>
        <w:t xml:space="preserve"> </w:t>
      </w:r>
      <w:r>
        <w:rPr>
          <w:sz w:val="18"/>
        </w:rPr>
        <w:t>This</w:t>
      </w:r>
      <w:r>
        <w:rPr>
          <w:spacing w:val="-1"/>
          <w:sz w:val="18"/>
        </w:rPr>
        <w:t xml:space="preserve"> </w:t>
      </w:r>
      <w:r>
        <w:rPr>
          <w:sz w:val="18"/>
        </w:rPr>
        <w:t>Company</w:t>
      </w:r>
      <w:r>
        <w:rPr>
          <w:spacing w:val="-1"/>
          <w:sz w:val="18"/>
        </w:rPr>
        <w:t xml:space="preserve"> </w:t>
      </w:r>
      <w:r>
        <w:rPr>
          <w:sz w:val="18"/>
        </w:rPr>
        <w:t>was</w:t>
      </w:r>
      <w:r>
        <w:rPr>
          <w:spacing w:val="-1"/>
          <w:sz w:val="18"/>
        </w:rPr>
        <w:t xml:space="preserve"> </w:t>
      </w:r>
      <w:r>
        <w:rPr>
          <w:sz w:val="18"/>
        </w:rPr>
        <w:t>established</w:t>
      </w:r>
      <w:r>
        <w:rPr>
          <w:spacing w:val="-4"/>
          <w:sz w:val="18"/>
        </w:rPr>
        <w:t xml:space="preserve"> </w:t>
      </w:r>
      <w:r>
        <w:rPr>
          <w:sz w:val="18"/>
        </w:rPr>
        <w:t>on</w:t>
      </w:r>
      <w:r>
        <w:rPr>
          <w:spacing w:val="-4"/>
          <w:sz w:val="18"/>
        </w:rPr>
        <w:t xml:space="preserve"> </w:t>
      </w:r>
      <w:r>
        <w:rPr>
          <w:sz w:val="18"/>
        </w:rPr>
        <w:t>23</w:t>
      </w:r>
      <w:r>
        <w:rPr>
          <w:spacing w:val="-1"/>
          <w:sz w:val="18"/>
        </w:rPr>
        <w:t xml:space="preserve"> </w:t>
      </w:r>
      <w:r>
        <w:rPr>
          <w:sz w:val="18"/>
        </w:rPr>
        <w:t>June</w:t>
      </w:r>
      <w:r>
        <w:rPr>
          <w:spacing w:val="-4"/>
          <w:sz w:val="18"/>
        </w:rPr>
        <w:t xml:space="preserve"> </w:t>
      </w:r>
      <w:r>
        <w:rPr>
          <w:sz w:val="18"/>
        </w:rPr>
        <w:t>2001</w:t>
      </w:r>
      <w:r>
        <w:rPr>
          <w:spacing w:val="-1"/>
          <w:sz w:val="18"/>
        </w:rPr>
        <w:t xml:space="preserve"> </w:t>
      </w:r>
      <w:r>
        <w:rPr>
          <w:sz w:val="18"/>
        </w:rPr>
        <w:t>in</w:t>
      </w:r>
      <w:r>
        <w:rPr>
          <w:spacing w:val="-4"/>
          <w:sz w:val="18"/>
        </w:rPr>
        <w:t xml:space="preserve"> </w:t>
      </w:r>
      <w:r>
        <w:rPr>
          <w:sz w:val="18"/>
        </w:rPr>
        <w:t>Singapore</w:t>
      </w:r>
      <w:r>
        <w:rPr>
          <w:spacing w:val="-4"/>
          <w:sz w:val="18"/>
        </w:rPr>
        <w:t xml:space="preserve"> </w:t>
      </w:r>
      <w:r>
        <w:rPr>
          <w:sz w:val="18"/>
        </w:rPr>
        <w:t>and is 100% owned by the Society.</w:t>
      </w:r>
      <w:r>
        <w:rPr>
          <w:spacing w:val="40"/>
          <w:sz w:val="18"/>
        </w:rPr>
        <w:t xml:space="preserve"> </w:t>
      </w:r>
      <w:r>
        <w:rPr>
          <w:sz w:val="18"/>
        </w:rPr>
        <w:t>The principal activity of Lexon is that of a captive insurer providing professional indemnity insurance to</w:t>
      </w:r>
      <w:r>
        <w:rPr>
          <w:spacing w:val="-2"/>
          <w:sz w:val="18"/>
        </w:rPr>
        <w:t xml:space="preserve"> </w:t>
      </w:r>
      <w:r>
        <w:rPr>
          <w:sz w:val="18"/>
        </w:rPr>
        <w:t>members of the</w:t>
      </w:r>
      <w:r>
        <w:rPr>
          <w:spacing w:val="-2"/>
          <w:sz w:val="18"/>
        </w:rPr>
        <w:t xml:space="preserve"> </w:t>
      </w:r>
      <w:r>
        <w:rPr>
          <w:sz w:val="18"/>
        </w:rPr>
        <w:t>Queensland legal profession via a</w:t>
      </w:r>
      <w:r>
        <w:rPr>
          <w:spacing w:val="-2"/>
          <w:sz w:val="18"/>
        </w:rPr>
        <w:t xml:space="preserve"> </w:t>
      </w:r>
      <w:r>
        <w:rPr>
          <w:sz w:val="18"/>
        </w:rPr>
        <w:t>Master Policy with the Society. Lexon was wholly controlled for the whole year.</w:t>
      </w:r>
    </w:p>
    <w:p w14:paraId="0ACE3D2B" w14:textId="77777777" w:rsidR="00AC6F3C" w:rsidRDefault="00AC6F3C">
      <w:pPr>
        <w:pStyle w:val="BodyText"/>
        <w:spacing w:before="9"/>
      </w:pPr>
    </w:p>
    <w:p w14:paraId="250D4D46" w14:textId="77777777" w:rsidR="00AC6F3C" w:rsidRDefault="00570E88">
      <w:pPr>
        <w:ind w:left="958"/>
        <w:rPr>
          <w:sz w:val="18"/>
        </w:rPr>
      </w:pPr>
      <w:r>
        <w:rPr>
          <w:sz w:val="18"/>
        </w:rPr>
        <w:t>Details</w:t>
      </w:r>
      <w:r>
        <w:rPr>
          <w:spacing w:val="-2"/>
          <w:sz w:val="18"/>
        </w:rPr>
        <w:t xml:space="preserve"> </w:t>
      </w:r>
      <w:r>
        <w:rPr>
          <w:sz w:val="18"/>
        </w:rPr>
        <w:t>of</w:t>
      </w:r>
      <w:r>
        <w:rPr>
          <w:spacing w:val="-5"/>
          <w:sz w:val="18"/>
        </w:rPr>
        <w:t xml:space="preserve"> </w:t>
      </w:r>
      <w:r>
        <w:rPr>
          <w:sz w:val="18"/>
        </w:rPr>
        <w:t>controlled</w:t>
      </w:r>
      <w:r>
        <w:rPr>
          <w:spacing w:val="-5"/>
          <w:sz w:val="18"/>
        </w:rPr>
        <w:t xml:space="preserve"> </w:t>
      </w:r>
      <w:r>
        <w:rPr>
          <w:sz w:val="18"/>
        </w:rPr>
        <w:t>entities</w:t>
      </w:r>
      <w:r>
        <w:rPr>
          <w:spacing w:val="-2"/>
          <w:sz w:val="18"/>
        </w:rPr>
        <w:t xml:space="preserve"> </w:t>
      </w:r>
      <w:r>
        <w:rPr>
          <w:sz w:val="18"/>
        </w:rPr>
        <w:t>are</w:t>
      </w:r>
      <w:r>
        <w:rPr>
          <w:spacing w:val="-2"/>
          <w:sz w:val="18"/>
        </w:rPr>
        <w:t xml:space="preserve"> </w:t>
      </w:r>
      <w:r>
        <w:rPr>
          <w:sz w:val="18"/>
        </w:rPr>
        <w:t>outlined</w:t>
      </w:r>
      <w:r>
        <w:rPr>
          <w:spacing w:val="-1"/>
          <w:sz w:val="18"/>
        </w:rPr>
        <w:t xml:space="preserve"> </w:t>
      </w:r>
      <w:r>
        <w:rPr>
          <w:spacing w:val="-2"/>
          <w:sz w:val="18"/>
        </w:rPr>
        <w:t>below:</w:t>
      </w:r>
    </w:p>
    <w:p w14:paraId="0A5A482E" w14:textId="77777777" w:rsidR="00AC6F3C" w:rsidRDefault="00AC6F3C">
      <w:pPr>
        <w:pStyle w:val="BodyText"/>
        <w:spacing w:before="1"/>
        <w:rPr>
          <w:sz w:val="24"/>
        </w:rPr>
      </w:pPr>
    </w:p>
    <w:p w14:paraId="448FC6B5" w14:textId="77777777" w:rsidR="00AC6F3C" w:rsidRDefault="00570E88">
      <w:pPr>
        <w:spacing w:before="94"/>
        <w:ind w:left="1091"/>
        <w:rPr>
          <w:b/>
          <w:sz w:val="18"/>
        </w:rPr>
      </w:pPr>
      <w:r>
        <w:rPr>
          <w:b/>
          <w:sz w:val="18"/>
        </w:rPr>
        <w:t>2022-</w:t>
      </w:r>
      <w:r>
        <w:rPr>
          <w:b/>
          <w:spacing w:val="-5"/>
          <w:sz w:val="18"/>
        </w:rPr>
        <w:t>23</w:t>
      </w:r>
    </w:p>
    <w:p w14:paraId="5AC6D7DB" w14:textId="77777777" w:rsidR="00AC6F3C" w:rsidRDefault="00AC6F3C">
      <w:pPr>
        <w:pStyle w:val="BodyText"/>
        <w:spacing w:before="7"/>
        <w:rPr>
          <w:b/>
          <w:sz w:val="9"/>
        </w:rPr>
      </w:pPr>
    </w:p>
    <w:tbl>
      <w:tblPr>
        <w:tblW w:w="0" w:type="auto"/>
        <w:tblInd w:w="10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1018"/>
        <w:gridCol w:w="1018"/>
        <w:gridCol w:w="1018"/>
        <w:gridCol w:w="1018"/>
        <w:gridCol w:w="1018"/>
      </w:tblGrid>
      <w:tr w:rsidR="00AC6F3C" w14:paraId="5CDFDFB1" w14:textId="77777777">
        <w:trPr>
          <w:trHeight w:val="776"/>
        </w:trPr>
        <w:tc>
          <w:tcPr>
            <w:tcW w:w="2890" w:type="dxa"/>
            <w:shd w:val="clear" w:color="auto" w:fill="BEBEBE"/>
          </w:tcPr>
          <w:p w14:paraId="1953DF0D" w14:textId="77777777" w:rsidR="00AC6F3C" w:rsidRDefault="00570E88">
            <w:pPr>
              <w:pStyle w:val="TableParagraph"/>
              <w:spacing w:before="10"/>
              <w:ind w:left="37"/>
              <w:rPr>
                <w:b/>
                <w:sz w:val="18"/>
              </w:rPr>
            </w:pPr>
            <w:r>
              <w:rPr>
                <w:b/>
                <w:sz w:val="18"/>
              </w:rPr>
              <w:t>Name</w:t>
            </w:r>
            <w:r>
              <w:rPr>
                <w:b/>
                <w:spacing w:val="-10"/>
                <w:sz w:val="18"/>
              </w:rPr>
              <w:t xml:space="preserve"> </w:t>
            </w:r>
            <w:r>
              <w:rPr>
                <w:b/>
                <w:sz w:val="18"/>
              </w:rPr>
              <w:t>of</w:t>
            </w:r>
            <w:r>
              <w:rPr>
                <w:b/>
                <w:spacing w:val="-12"/>
                <w:sz w:val="18"/>
              </w:rPr>
              <w:t xml:space="preserve"> </w:t>
            </w:r>
            <w:r>
              <w:rPr>
                <w:b/>
                <w:spacing w:val="-2"/>
                <w:sz w:val="18"/>
              </w:rPr>
              <w:t>Entity</w:t>
            </w:r>
          </w:p>
        </w:tc>
        <w:tc>
          <w:tcPr>
            <w:tcW w:w="1018" w:type="dxa"/>
            <w:shd w:val="clear" w:color="auto" w:fill="BEBEBE"/>
          </w:tcPr>
          <w:p w14:paraId="41A0BE2E" w14:textId="77777777" w:rsidR="00AC6F3C" w:rsidRDefault="00570E88">
            <w:pPr>
              <w:pStyle w:val="TableParagraph"/>
              <w:spacing w:line="276" w:lineRule="auto"/>
              <w:ind w:left="97" w:hanging="45"/>
              <w:rPr>
                <w:b/>
                <w:sz w:val="18"/>
              </w:rPr>
            </w:pPr>
            <w:r>
              <w:rPr>
                <w:b/>
                <w:spacing w:val="-6"/>
                <w:sz w:val="18"/>
              </w:rPr>
              <w:t xml:space="preserve">Controlling </w:t>
            </w:r>
            <w:r>
              <w:rPr>
                <w:b/>
                <w:sz w:val="18"/>
              </w:rPr>
              <w:t>Interest</w:t>
            </w:r>
            <w:r>
              <w:rPr>
                <w:b/>
                <w:spacing w:val="-7"/>
                <w:sz w:val="18"/>
              </w:rPr>
              <w:t xml:space="preserve"> </w:t>
            </w:r>
            <w:r>
              <w:rPr>
                <w:b/>
                <w:spacing w:val="-10"/>
                <w:sz w:val="18"/>
              </w:rPr>
              <w:t>%</w:t>
            </w:r>
          </w:p>
        </w:tc>
        <w:tc>
          <w:tcPr>
            <w:tcW w:w="1018" w:type="dxa"/>
            <w:shd w:val="clear" w:color="auto" w:fill="BEBEBE"/>
          </w:tcPr>
          <w:p w14:paraId="4EACB6FD" w14:textId="77777777" w:rsidR="00AC6F3C" w:rsidRDefault="00570E88">
            <w:pPr>
              <w:pStyle w:val="TableParagraph"/>
              <w:spacing w:before="10" w:line="276" w:lineRule="auto"/>
              <w:ind w:left="202" w:right="206" w:firstLine="9"/>
              <w:jc w:val="center"/>
              <w:rPr>
                <w:b/>
                <w:sz w:val="18"/>
              </w:rPr>
            </w:pPr>
            <w:r>
              <w:rPr>
                <w:b/>
                <w:spacing w:val="-2"/>
                <w:sz w:val="18"/>
              </w:rPr>
              <w:t>Total Assets</w:t>
            </w:r>
          </w:p>
          <w:p w14:paraId="52F4DE4D"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17011A60" w14:textId="77777777" w:rsidR="00AC6F3C" w:rsidRDefault="00570E88">
            <w:pPr>
              <w:pStyle w:val="TableParagraph"/>
              <w:spacing w:before="10" w:line="276" w:lineRule="auto"/>
              <w:ind w:left="97" w:right="100" w:firstLine="9"/>
              <w:jc w:val="center"/>
              <w:rPr>
                <w:b/>
                <w:sz w:val="18"/>
              </w:rPr>
            </w:pPr>
            <w:r>
              <w:rPr>
                <w:b/>
                <w:spacing w:val="-2"/>
                <w:sz w:val="18"/>
              </w:rPr>
              <w:t xml:space="preserve">Total </w:t>
            </w:r>
            <w:r>
              <w:rPr>
                <w:b/>
                <w:spacing w:val="-4"/>
                <w:sz w:val="18"/>
              </w:rPr>
              <w:t>Liabilities</w:t>
            </w:r>
          </w:p>
          <w:p w14:paraId="205D85A8"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3EDD3B06" w14:textId="77777777" w:rsidR="00AC6F3C" w:rsidRDefault="00570E88">
            <w:pPr>
              <w:pStyle w:val="TableParagraph"/>
              <w:spacing w:before="10" w:line="276" w:lineRule="auto"/>
              <w:ind w:left="142" w:right="129" w:firstLine="24"/>
              <w:jc w:val="center"/>
              <w:rPr>
                <w:b/>
                <w:sz w:val="18"/>
              </w:rPr>
            </w:pPr>
            <w:r>
              <w:rPr>
                <w:b/>
                <w:spacing w:val="-2"/>
                <w:sz w:val="18"/>
              </w:rPr>
              <w:t xml:space="preserve">Total </w:t>
            </w:r>
            <w:r>
              <w:rPr>
                <w:b/>
                <w:spacing w:val="-6"/>
                <w:sz w:val="18"/>
              </w:rPr>
              <w:t>Revenue</w:t>
            </w:r>
          </w:p>
          <w:p w14:paraId="482E2979"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2DF9EE0F" w14:textId="77777777" w:rsidR="00AC6F3C" w:rsidRDefault="00570E88">
            <w:pPr>
              <w:pStyle w:val="TableParagraph"/>
              <w:spacing w:before="10" w:line="276" w:lineRule="auto"/>
              <w:ind w:left="82" w:right="80"/>
              <w:jc w:val="center"/>
              <w:rPr>
                <w:b/>
                <w:sz w:val="18"/>
              </w:rPr>
            </w:pPr>
            <w:r>
              <w:rPr>
                <w:b/>
                <w:spacing w:val="-4"/>
                <w:sz w:val="18"/>
              </w:rPr>
              <w:t xml:space="preserve">Operating </w:t>
            </w:r>
            <w:r>
              <w:rPr>
                <w:b/>
                <w:spacing w:val="-2"/>
                <w:sz w:val="18"/>
              </w:rPr>
              <w:t>Results</w:t>
            </w:r>
          </w:p>
          <w:p w14:paraId="682E8CE3" w14:textId="77777777" w:rsidR="00AC6F3C" w:rsidRDefault="00570E88">
            <w:pPr>
              <w:pStyle w:val="TableParagraph"/>
              <w:spacing w:before="17"/>
              <w:ind w:left="81" w:right="80"/>
              <w:jc w:val="center"/>
              <w:rPr>
                <w:b/>
                <w:sz w:val="18"/>
              </w:rPr>
            </w:pPr>
            <w:r>
              <w:rPr>
                <w:b/>
                <w:spacing w:val="-5"/>
                <w:sz w:val="18"/>
              </w:rPr>
              <w:t>$m</w:t>
            </w:r>
          </w:p>
        </w:tc>
      </w:tr>
      <w:tr w:rsidR="00AC6F3C" w14:paraId="7756986E" w14:textId="77777777">
        <w:trPr>
          <w:trHeight w:val="283"/>
        </w:trPr>
        <w:tc>
          <w:tcPr>
            <w:tcW w:w="2890" w:type="dxa"/>
          </w:tcPr>
          <w:p w14:paraId="1395737A" w14:textId="77777777" w:rsidR="00AC6F3C" w:rsidRDefault="00570E88">
            <w:pPr>
              <w:pStyle w:val="TableParagraph"/>
              <w:spacing w:before="40"/>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018" w:type="dxa"/>
          </w:tcPr>
          <w:p w14:paraId="677BD18E" w14:textId="77777777" w:rsidR="00AC6F3C" w:rsidRDefault="00570E88">
            <w:pPr>
              <w:pStyle w:val="TableParagraph"/>
              <w:spacing w:before="40"/>
              <w:ind w:left="351"/>
              <w:rPr>
                <w:sz w:val="18"/>
              </w:rPr>
            </w:pPr>
            <w:r>
              <w:rPr>
                <w:spacing w:val="-5"/>
                <w:sz w:val="18"/>
              </w:rPr>
              <w:t>100</w:t>
            </w:r>
          </w:p>
        </w:tc>
        <w:tc>
          <w:tcPr>
            <w:tcW w:w="1018" w:type="dxa"/>
          </w:tcPr>
          <w:p w14:paraId="1423244F" w14:textId="77777777" w:rsidR="00AC6F3C" w:rsidRDefault="00570E88">
            <w:pPr>
              <w:pStyle w:val="TableParagraph"/>
              <w:spacing w:before="40"/>
              <w:ind w:right="25"/>
              <w:jc w:val="right"/>
              <w:rPr>
                <w:sz w:val="18"/>
              </w:rPr>
            </w:pPr>
            <w:r>
              <w:rPr>
                <w:color w:val="212121"/>
                <w:spacing w:val="-4"/>
                <w:sz w:val="18"/>
              </w:rPr>
              <w:t>84.9</w:t>
            </w:r>
          </w:p>
        </w:tc>
        <w:tc>
          <w:tcPr>
            <w:tcW w:w="1018" w:type="dxa"/>
          </w:tcPr>
          <w:p w14:paraId="23349782" w14:textId="77777777" w:rsidR="00AC6F3C" w:rsidRDefault="00570E88">
            <w:pPr>
              <w:pStyle w:val="TableParagraph"/>
              <w:spacing w:before="40"/>
              <w:ind w:right="25"/>
              <w:jc w:val="right"/>
              <w:rPr>
                <w:sz w:val="18"/>
              </w:rPr>
            </w:pPr>
            <w:r>
              <w:rPr>
                <w:color w:val="212121"/>
                <w:spacing w:val="-4"/>
                <w:sz w:val="18"/>
              </w:rPr>
              <w:t>28.2</w:t>
            </w:r>
          </w:p>
        </w:tc>
        <w:tc>
          <w:tcPr>
            <w:tcW w:w="1018" w:type="dxa"/>
          </w:tcPr>
          <w:p w14:paraId="33A52188" w14:textId="77777777" w:rsidR="00AC6F3C" w:rsidRDefault="00570E88">
            <w:pPr>
              <w:pStyle w:val="TableParagraph"/>
              <w:spacing w:before="40"/>
              <w:ind w:right="24"/>
              <w:jc w:val="right"/>
              <w:rPr>
                <w:sz w:val="18"/>
              </w:rPr>
            </w:pPr>
            <w:r>
              <w:rPr>
                <w:color w:val="212121"/>
                <w:spacing w:val="-4"/>
                <w:sz w:val="18"/>
              </w:rPr>
              <w:t>30.0</w:t>
            </w:r>
          </w:p>
        </w:tc>
        <w:tc>
          <w:tcPr>
            <w:tcW w:w="1018" w:type="dxa"/>
          </w:tcPr>
          <w:p w14:paraId="610426EF" w14:textId="77777777" w:rsidR="00AC6F3C" w:rsidRDefault="00570E88">
            <w:pPr>
              <w:pStyle w:val="TableParagraph"/>
              <w:spacing w:before="40"/>
              <w:ind w:right="29"/>
              <w:jc w:val="right"/>
              <w:rPr>
                <w:sz w:val="18"/>
              </w:rPr>
            </w:pPr>
            <w:r>
              <w:rPr>
                <w:color w:val="212121"/>
                <w:spacing w:val="-5"/>
                <w:sz w:val="18"/>
              </w:rPr>
              <w:t>2.7</w:t>
            </w:r>
          </w:p>
        </w:tc>
      </w:tr>
      <w:tr w:rsidR="00AC6F3C" w14:paraId="450776A3" w14:textId="77777777">
        <w:trPr>
          <w:trHeight w:val="283"/>
        </w:trPr>
        <w:tc>
          <w:tcPr>
            <w:tcW w:w="2890" w:type="dxa"/>
          </w:tcPr>
          <w:p w14:paraId="5022AC98" w14:textId="77777777" w:rsidR="00AC6F3C" w:rsidRDefault="00570E88">
            <w:pPr>
              <w:pStyle w:val="TableParagraph"/>
              <w:spacing w:before="40"/>
              <w:ind w:left="37"/>
              <w:rPr>
                <w:sz w:val="18"/>
              </w:rPr>
            </w:pPr>
            <w:r>
              <w:rPr>
                <w:sz w:val="18"/>
              </w:rPr>
              <w:t>Lexon</w:t>
            </w:r>
            <w:r>
              <w:rPr>
                <w:spacing w:val="-1"/>
                <w:sz w:val="18"/>
              </w:rPr>
              <w:t xml:space="preserve"> </w:t>
            </w:r>
            <w:r>
              <w:rPr>
                <w:sz w:val="18"/>
              </w:rPr>
              <w:t>Insurance</w:t>
            </w:r>
            <w:r>
              <w:rPr>
                <w:spacing w:val="-1"/>
                <w:sz w:val="18"/>
              </w:rPr>
              <w:t xml:space="preserve"> </w:t>
            </w:r>
            <w:r>
              <w:rPr>
                <w:sz w:val="18"/>
              </w:rPr>
              <w:t>Pte</w:t>
            </w:r>
            <w:r>
              <w:rPr>
                <w:spacing w:val="-1"/>
                <w:sz w:val="18"/>
              </w:rPr>
              <w:t xml:space="preserve"> </w:t>
            </w:r>
            <w:r>
              <w:rPr>
                <w:spacing w:val="-5"/>
                <w:sz w:val="18"/>
              </w:rPr>
              <w:t>Ltd</w:t>
            </w:r>
          </w:p>
        </w:tc>
        <w:tc>
          <w:tcPr>
            <w:tcW w:w="1018" w:type="dxa"/>
          </w:tcPr>
          <w:p w14:paraId="5D442E24" w14:textId="77777777" w:rsidR="00AC6F3C" w:rsidRDefault="00570E88">
            <w:pPr>
              <w:pStyle w:val="TableParagraph"/>
              <w:spacing w:before="40"/>
              <w:ind w:left="351"/>
              <w:rPr>
                <w:sz w:val="18"/>
              </w:rPr>
            </w:pPr>
            <w:r>
              <w:rPr>
                <w:spacing w:val="-5"/>
                <w:sz w:val="18"/>
              </w:rPr>
              <w:t>100</w:t>
            </w:r>
          </w:p>
        </w:tc>
        <w:tc>
          <w:tcPr>
            <w:tcW w:w="1018" w:type="dxa"/>
          </w:tcPr>
          <w:p w14:paraId="1BAAFCA3" w14:textId="77777777" w:rsidR="00AC6F3C" w:rsidRDefault="00570E88">
            <w:pPr>
              <w:pStyle w:val="TableParagraph"/>
              <w:spacing w:before="40"/>
              <w:ind w:right="25"/>
              <w:jc w:val="right"/>
              <w:rPr>
                <w:sz w:val="18"/>
              </w:rPr>
            </w:pPr>
            <w:r>
              <w:rPr>
                <w:color w:val="212121"/>
                <w:spacing w:val="-2"/>
                <w:sz w:val="18"/>
              </w:rPr>
              <w:t>188.9</w:t>
            </w:r>
          </w:p>
        </w:tc>
        <w:tc>
          <w:tcPr>
            <w:tcW w:w="1018" w:type="dxa"/>
          </w:tcPr>
          <w:p w14:paraId="09AABFBA" w14:textId="77777777" w:rsidR="00AC6F3C" w:rsidRDefault="00570E88">
            <w:pPr>
              <w:pStyle w:val="TableParagraph"/>
              <w:spacing w:before="40"/>
              <w:ind w:right="25"/>
              <w:jc w:val="right"/>
              <w:rPr>
                <w:sz w:val="18"/>
              </w:rPr>
            </w:pPr>
            <w:r>
              <w:rPr>
                <w:color w:val="212121"/>
                <w:spacing w:val="-2"/>
                <w:sz w:val="18"/>
              </w:rPr>
              <w:t>117.0</w:t>
            </w:r>
          </w:p>
        </w:tc>
        <w:tc>
          <w:tcPr>
            <w:tcW w:w="1018" w:type="dxa"/>
          </w:tcPr>
          <w:p w14:paraId="7689F31F" w14:textId="77777777" w:rsidR="00AC6F3C" w:rsidRDefault="00570E88">
            <w:pPr>
              <w:pStyle w:val="TableParagraph"/>
              <w:spacing w:before="40"/>
              <w:ind w:right="25"/>
              <w:jc w:val="right"/>
              <w:rPr>
                <w:sz w:val="18"/>
              </w:rPr>
            </w:pPr>
            <w:r>
              <w:rPr>
                <w:color w:val="212121"/>
                <w:spacing w:val="-4"/>
                <w:sz w:val="18"/>
              </w:rPr>
              <w:t>25.9</w:t>
            </w:r>
          </w:p>
        </w:tc>
        <w:tc>
          <w:tcPr>
            <w:tcW w:w="1018" w:type="dxa"/>
          </w:tcPr>
          <w:p w14:paraId="2540E114" w14:textId="77777777" w:rsidR="00AC6F3C" w:rsidRDefault="00570E88">
            <w:pPr>
              <w:pStyle w:val="TableParagraph"/>
              <w:spacing w:before="40"/>
              <w:ind w:right="29"/>
              <w:jc w:val="right"/>
              <w:rPr>
                <w:sz w:val="18"/>
              </w:rPr>
            </w:pPr>
            <w:r>
              <w:rPr>
                <w:color w:val="212121"/>
                <w:spacing w:val="-5"/>
                <w:sz w:val="18"/>
              </w:rPr>
              <w:t>9.8</w:t>
            </w:r>
          </w:p>
        </w:tc>
      </w:tr>
      <w:tr w:rsidR="00AC6F3C" w14:paraId="15AA35EC" w14:textId="77777777">
        <w:trPr>
          <w:trHeight w:val="283"/>
        </w:trPr>
        <w:tc>
          <w:tcPr>
            <w:tcW w:w="2890" w:type="dxa"/>
          </w:tcPr>
          <w:p w14:paraId="4A5F11CC" w14:textId="77777777" w:rsidR="00AC6F3C" w:rsidRDefault="00570E88">
            <w:pPr>
              <w:pStyle w:val="TableParagraph"/>
              <w:spacing w:before="40"/>
              <w:ind w:left="37"/>
              <w:rPr>
                <w:sz w:val="18"/>
              </w:rPr>
            </w:pPr>
            <w:r>
              <w:rPr>
                <w:sz w:val="18"/>
              </w:rPr>
              <w:t>QLS</w:t>
            </w:r>
            <w:r>
              <w:rPr>
                <w:spacing w:val="-5"/>
                <w:sz w:val="18"/>
              </w:rPr>
              <w:t xml:space="preserve"> </w:t>
            </w:r>
            <w:r>
              <w:rPr>
                <w:sz w:val="18"/>
              </w:rPr>
              <w:t>Solicitor</w:t>
            </w:r>
            <w:r>
              <w:rPr>
                <w:spacing w:val="-3"/>
                <w:sz w:val="18"/>
              </w:rPr>
              <w:t xml:space="preserve"> </w:t>
            </w:r>
            <w:r>
              <w:rPr>
                <w:spacing w:val="-2"/>
                <w:sz w:val="18"/>
              </w:rPr>
              <w:t>Support</w:t>
            </w:r>
          </w:p>
        </w:tc>
        <w:tc>
          <w:tcPr>
            <w:tcW w:w="1018" w:type="dxa"/>
          </w:tcPr>
          <w:p w14:paraId="3C3A9CFF" w14:textId="77777777" w:rsidR="00AC6F3C" w:rsidRDefault="00570E88">
            <w:pPr>
              <w:pStyle w:val="TableParagraph"/>
              <w:spacing w:before="40"/>
              <w:ind w:left="351"/>
              <w:rPr>
                <w:sz w:val="18"/>
              </w:rPr>
            </w:pPr>
            <w:r>
              <w:rPr>
                <w:spacing w:val="-5"/>
                <w:sz w:val="18"/>
              </w:rPr>
              <w:t>100</w:t>
            </w:r>
          </w:p>
        </w:tc>
        <w:tc>
          <w:tcPr>
            <w:tcW w:w="1018" w:type="dxa"/>
          </w:tcPr>
          <w:p w14:paraId="2FA5ACF8" w14:textId="77777777" w:rsidR="00AC6F3C" w:rsidRDefault="00570E88">
            <w:pPr>
              <w:pStyle w:val="TableParagraph"/>
              <w:spacing w:before="40"/>
              <w:ind w:right="30"/>
              <w:jc w:val="right"/>
              <w:rPr>
                <w:sz w:val="18"/>
              </w:rPr>
            </w:pPr>
            <w:r>
              <w:rPr>
                <w:color w:val="212121"/>
                <w:spacing w:val="-5"/>
                <w:sz w:val="18"/>
              </w:rPr>
              <w:t>0.0</w:t>
            </w:r>
          </w:p>
        </w:tc>
        <w:tc>
          <w:tcPr>
            <w:tcW w:w="1018" w:type="dxa"/>
          </w:tcPr>
          <w:p w14:paraId="01E960C4" w14:textId="77777777" w:rsidR="00AC6F3C" w:rsidRDefault="00570E88">
            <w:pPr>
              <w:pStyle w:val="TableParagraph"/>
              <w:spacing w:before="40"/>
              <w:ind w:right="30"/>
              <w:jc w:val="right"/>
              <w:rPr>
                <w:sz w:val="18"/>
              </w:rPr>
            </w:pPr>
            <w:r>
              <w:rPr>
                <w:color w:val="212121"/>
                <w:spacing w:val="-5"/>
                <w:sz w:val="18"/>
              </w:rPr>
              <w:t>0.0</w:t>
            </w:r>
          </w:p>
        </w:tc>
        <w:tc>
          <w:tcPr>
            <w:tcW w:w="1018" w:type="dxa"/>
          </w:tcPr>
          <w:p w14:paraId="7131FB4B" w14:textId="77777777" w:rsidR="00AC6F3C" w:rsidRDefault="00570E88">
            <w:pPr>
              <w:pStyle w:val="TableParagraph"/>
              <w:spacing w:before="40"/>
              <w:ind w:right="31"/>
              <w:jc w:val="right"/>
              <w:rPr>
                <w:sz w:val="18"/>
              </w:rPr>
            </w:pPr>
            <w:r>
              <w:rPr>
                <w:color w:val="212121"/>
                <w:spacing w:val="-5"/>
                <w:sz w:val="18"/>
              </w:rPr>
              <w:t>1.4</w:t>
            </w:r>
          </w:p>
        </w:tc>
        <w:tc>
          <w:tcPr>
            <w:tcW w:w="1018" w:type="dxa"/>
          </w:tcPr>
          <w:p w14:paraId="25826004" w14:textId="77777777" w:rsidR="00AC6F3C" w:rsidRDefault="00570E88">
            <w:pPr>
              <w:pStyle w:val="TableParagraph"/>
              <w:spacing w:before="40"/>
              <w:ind w:right="29"/>
              <w:jc w:val="right"/>
              <w:rPr>
                <w:sz w:val="18"/>
              </w:rPr>
            </w:pPr>
            <w:r>
              <w:rPr>
                <w:color w:val="212121"/>
                <w:spacing w:val="-5"/>
                <w:sz w:val="18"/>
              </w:rPr>
              <w:t>0.0</w:t>
            </w:r>
          </w:p>
        </w:tc>
      </w:tr>
    </w:tbl>
    <w:p w14:paraId="3DE3689D" w14:textId="77777777" w:rsidR="00AC6F3C" w:rsidRDefault="00AC6F3C">
      <w:pPr>
        <w:pStyle w:val="BodyText"/>
        <w:rPr>
          <w:b/>
        </w:rPr>
      </w:pPr>
    </w:p>
    <w:p w14:paraId="58312C9F" w14:textId="77777777" w:rsidR="00AC6F3C" w:rsidRDefault="00AC6F3C">
      <w:pPr>
        <w:pStyle w:val="BodyText"/>
        <w:spacing w:before="2"/>
        <w:rPr>
          <w:b/>
          <w:sz w:val="16"/>
        </w:rPr>
      </w:pPr>
    </w:p>
    <w:p w14:paraId="7189A494" w14:textId="77777777" w:rsidR="00AC6F3C" w:rsidRDefault="00570E88">
      <w:pPr>
        <w:ind w:left="1091"/>
        <w:rPr>
          <w:b/>
          <w:sz w:val="18"/>
        </w:rPr>
      </w:pPr>
      <w:r>
        <w:rPr>
          <w:b/>
          <w:sz w:val="18"/>
        </w:rPr>
        <w:t>2021-</w:t>
      </w:r>
      <w:r>
        <w:rPr>
          <w:b/>
          <w:spacing w:val="-5"/>
          <w:sz w:val="18"/>
        </w:rPr>
        <w:t>22</w:t>
      </w:r>
    </w:p>
    <w:p w14:paraId="487BB348" w14:textId="77777777" w:rsidR="00AC6F3C" w:rsidRDefault="00AC6F3C">
      <w:pPr>
        <w:pStyle w:val="BodyText"/>
        <w:spacing w:before="7" w:after="1"/>
        <w:rPr>
          <w:b/>
          <w:sz w:val="9"/>
        </w:rPr>
      </w:pPr>
    </w:p>
    <w:tbl>
      <w:tblPr>
        <w:tblW w:w="0" w:type="auto"/>
        <w:tblInd w:w="10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1018"/>
        <w:gridCol w:w="1018"/>
        <w:gridCol w:w="1018"/>
        <w:gridCol w:w="1018"/>
        <w:gridCol w:w="1018"/>
      </w:tblGrid>
      <w:tr w:rsidR="00AC6F3C" w14:paraId="28A3DB05" w14:textId="77777777">
        <w:trPr>
          <w:trHeight w:val="776"/>
        </w:trPr>
        <w:tc>
          <w:tcPr>
            <w:tcW w:w="2890" w:type="dxa"/>
            <w:shd w:val="clear" w:color="auto" w:fill="BEBEBE"/>
          </w:tcPr>
          <w:p w14:paraId="4C99B230" w14:textId="77777777" w:rsidR="00AC6F3C" w:rsidRDefault="00570E88">
            <w:pPr>
              <w:pStyle w:val="TableParagraph"/>
              <w:spacing w:before="10"/>
              <w:ind w:left="37"/>
              <w:rPr>
                <w:b/>
                <w:sz w:val="18"/>
              </w:rPr>
            </w:pPr>
            <w:r>
              <w:rPr>
                <w:b/>
                <w:sz w:val="18"/>
              </w:rPr>
              <w:t>Name</w:t>
            </w:r>
            <w:r>
              <w:rPr>
                <w:b/>
                <w:spacing w:val="-10"/>
                <w:sz w:val="18"/>
              </w:rPr>
              <w:t xml:space="preserve"> </w:t>
            </w:r>
            <w:r>
              <w:rPr>
                <w:b/>
                <w:sz w:val="18"/>
              </w:rPr>
              <w:t>of</w:t>
            </w:r>
            <w:r>
              <w:rPr>
                <w:b/>
                <w:spacing w:val="-12"/>
                <w:sz w:val="18"/>
              </w:rPr>
              <w:t xml:space="preserve"> </w:t>
            </w:r>
            <w:r>
              <w:rPr>
                <w:b/>
                <w:spacing w:val="-2"/>
                <w:sz w:val="18"/>
              </w:rPr>
              <w:t>Entity</w:t>
            </w:r>
          </w:p>
        </w:tc>
        <w:tc>
          <w:tcPr>
            <w:tcW w:w="1018" w:type="dxa"/>
            <w:shd w:val="clear" w:color="auto" w:fill="BEBEBE"/>
          </w:tcPr>
          <w:p w14:paraId="3F55BDE5" w14:textId="77777777" w:rsidR="00AC6F3C" w:rsidRDefault="00570E88">
            <w:pPr>
              <w:pStyle w:val="TableParagraph"/>
              <w:spacing w:line="276" w:lineRule="auto"/>
              <w:ind w:left="97" w:hanging="45"/>
              <w:rPr>
                <w:b/>
                <w:sz w:val="18"/>
              </w:rPr>
            </w:pPr>
            <w:r>
              <w:rPr>
                <w:b/>
                <w:spacing w:val="-6"/>
                <w:sz w:val="18"/>
              </w:rPr>
              <w:t xml:space="preserve">Controlling </w:t>
            </w:r>
            <w:r>
              <w:rPr>
                <w:b/>
                <w:sz w:val="18"/>
              </w:rPr>
              <w:t>Interest</w:t>
            </w:r>
            <w:r>
              <w:rPr>
                <w:b/>
                <w:spacing w:val="-7"/>
                <w:sz w:val="18"/>
              </w:rPr>
              <w:t xml:space="preserve"> </w:t>
            </w:r>
            <w:r>
              <w:rPr>
                <w:b/>
                <w:spacing w:val="-10"/>
                <w:sz w:val="18"/>
              </w:rPr>
              <w:t>%</w:t>
            </w:r>
          </w:p>
        </w:tc>
        <w:tc>
          <w:tcPr>
            <w:tcW w:w="1018" w:type="dxa"/>
            <w:shd w:val="clear" w:color="auto" w:fill="BEBEBE"/>
          </w:tcPr>
          <w:p w14:paraId="5762C797" w14:textId="77777777" w:rsidR="00AC6F3C" w:rsidRDefault="00570E88">
            <w:pPr>
              <w:pStyle w:val="TableParagraph"/>
              <w:spacing w:before="10" w:line="276" w:lineRule="auto"/>
              <w:ind w:left="202" w:right="206" w:firstLine="9"/>
              <w:jc w:val="center"/>
              <w:rPr>
                <w:b/>
                <w:sz w:val="18"/>
              </w:rPr>
            </w:pPr>
            <w:r>
              <w:rPr>
                <w:b/>
                <w:spacing w:val="-2"/>
                <w:sz w:val="18"/>
              </w:rPr>
              <w:t>Total Assets</w:t>
            </w:r>
          </w:p>
          <w:p w14:paraId="038FDE0D"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4146454E" w14:textId="77777777" w:rsidR="00AC6F3C" w:rsidRDefault="00570E88">
            <w:pPr>
              <w:pStyle w:val="TableParagraph"/>
              <w:spacing w:before="10" w:line="276" w:lineRule="auto"/>
              <w:ind w:left="97" w:right="100" w:firstLine="9"/>
              <w:jc w:val="center"/>
              <w:rPr>
                <w:b/>
                <w:sz w:val="18"/>
              </w:rPr>
            </w:pPr>
            <w:r>
              <w:rPr>
                <w:b/>
                <w:spacing w:val="-2"/>
                <w:sz w:val="18"/>
              </w:rPr>
              <w:t xml:space="preserve">Total </w:t>
            </w:r>
            <w:r>
              <w:rPr>
                <w:b/>
                <w:spacing w:val="-4"/>
                <w:sz w:val="18"/>
              </w:rPr>
              <w:t>Liabilities</w:t>
            </w:r>
          </w:p>
          <w:p w14:paraId="3FDD9E19"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3406F9FA" w14:textId="77777777" w:rsidR="00AC6F3C" w:rsidRDefault="00570E88">
            <w:pPr>
              <w:pStyle w:val="TableParagraph"/>
              <w:spacing w:before="10" w:line="276" w:lineRule="auto"/>
              <w:ind w:left="142" w:right="129" w:firstLine="24"/>
              <w:jc w:val="center"/>
              <w:rPr>
                <w:b/>
                <w:sz w:val="18"/>
              </w:rPr>
            </w:pPr>
            <w:r>
              <w:rPr>
                <w:b/>
                <w:spacing w:val="-2"/>
                <w:sz w:val="18"/>
              </w:rPr>
              <w:t xml:space="preserve">Total </w:t>
            </w:r>
            <w:r>
              <w:rPr>
                <w:b/>
                <w:spacing w:val="-6"/>
                <w:sz w:val="18"/>
              </w:rPr>
              <w:t>Revenue</w:t>
            </w:r>
          </w:p>
          <w:p w14:paraId="0AB0BDF2" w14:textId="77777777" w:rsidR="00AC6F3C" w:rsidRDefault="00570E88">
            <w:pPr>
              <w:pStyle w:val="TableParagraph"/>
              <w:spacing w:before="17"/>
              <w:ind w:left="80" w:right="80"/>
              <w:jc w:val="center"/>
              <w:rPr>
                <w:b/>
                <w:sz w:val="18"/>
              </w:rPr>
            </w:pPr>
            <w:r>
              <w:rPr>
                <w:b/>
                <w:spacing w:val="-5"/>
                <w:sz w:val="18"/>
              </w:rPr>
              <w:t>$m</w:t>
            </w:r>
          </w:p>
        </w:tc>
        <w:tc>
          <w:tcPr>
            <w:tcW w:w="1018" w:type="dxa"/>
            <w:shd w:val="clear" w:color="auto" w:fill="BEBEBE"/>
          </w:tcPr>
          <w:p w14:paraId="3973A363" w14:textId="77777777" w:rsidR="00AC6F3C" w:rsidRDefault="00570E88">
            <w:pPr>
              <w:pStyle w:val="TableParagraph"/>
              <w:spacing w:before="10" w:line="276" w:lineRule="auto"/>
              <w:ind w:left="82" w:right="80"/>
              <w:jc w:val="center"/>
              <w:rPr>
                <w:b/>
                <w:sz w:val="18"/>
              </w:rPr>
            </w:pPr>
            <w:r>
              <w:rPr>
                <w:b/>
                <w:spacing w:val="-4"/>
                <w:sz w:val="18"/>
              </w:rPr>
              <w:t xml:space="preserve">Operating </w:t>
            </w:r>
            <w:r>
              <w:rPr>
                <w:b/>
                <w:spacing w:val="-2"/>
                <w:sz w:val="18"/>
              </w:rPr>
              <w:t>Results</w:t>
            </w:r>
          </w:p>
          <w:p w14:paraId="244FE8D4" w14:textId="77777777" w:rsidR="00AC6F3C" w:rsidRDefault="00570E88">
            <w:pPr>
              <w:pStyle w:val="TableParagraph"/>
              <w:spacing w:before="17"/>
              <w:ind w:left="81" w:right="80"/>
              <w:jc w:val="center"/>
              <w:rPr>
                <w:b/>
                <w:sz w:val="18"/>
              </w:rPr>
            </w:pPr>
            <w:r>
              <w:rPr>
                <w:b/>
                <w:spacing w:val="-5"/>
                <w:sz w:val="18"/>
              </w:rPr>
              <w:t>$m</w:t>
            </w:r>
          </w:p>
        </w:tc>
      </w:tr>
      <w:tr w:rsidR="00AC6F3C" w14:paraId="7072F885" w14:textId="77777777">
        <w:trPr>
          <w:trHeight w:val="283"/>
        </w:trPr>
        <w:tc>
          <w:tcPr>
            <w:tcW w:w="2890" w:type="dxa"/>
          </w:tcPr>
          <w:p w14:paraId="311605AA" w14:textId="77777777" w:rsidR="00AC6F3C" w:rsidRDefault="00570E88">
            <w:pPr>
              <w:pStyle w:val="TableParagraph"/>
              <w:spacing w:before="40"/>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018" w:type="dxa"/>
          </w:tcPr>
          <w:p w14:paraId="34E42319" w14:textId="77777777" w:rsidR="00AC6F3C" w:rsidRDefault="00570E88">
            <w:pPr>
              <w:pStyle w:val="TableParagraph"/>
              <w:spacing w:before="40"/>
              <w:ind w:left="351"/>
              <w:rPr>
                <w:sz w:val="18"/>
              </w:rPr>
            </w:pPr>
            <w:r>
              <w:rPr>
                <w:spacing w:val="-5"/>
                <w:sz w:val="18"/>
              </w:rPr>
              <w:t>100</w:t>
            </w:r>
          </w:p>
        </w:tc>
        <w:tc>
          <w:tcPr>
            <w:tcW w:w="1018" w:type="dxa"/>
          </w:tcPr>
          <w:p w14:paraId="2F2355D7" w14:textId="77777777" w:rsidR="00AC6F3C" w:rsidRDefault="00570E88">
            <w:pPr>
              <w:pStyle w:val="TableParagraph"/>
              <w:spacing w:before="40"/>
              <w:ind w:right="25"/>
              <w:jc w:val="right"/>
              <w:rPr>
                <w:sz w:val="18"/>
              </w:rPr>
            </w:pPr>
            <w:r>
              <w:rPr>
                <w:color w:val="212121"/>
                <w:spacing w:val="-4"/>
                <w:sz w:val="18"/>
              </w:rPr>
              <w:t>81.4</w:t>
            </w:r>
          </w:p>
        </w:tc>
        <w:tc>
          <w:tcPr>
            <w:tcW w:w="1018" w:type="dxa"/>
          </w:tcPr>
          <w:p w14:paraId="79A0F830" w14:textId="77777777" w:rsidR="00AC6F3C" w:rsidRDefault="00570E88">
            <w:pPr>
              <w:pStyle w:val="TableParagraph"/>
              <w:spacing w:before="40"/>
              <w:ind w:right="25"/>
              <w:jc w:val="right"/>
              <w:rPr>
                <w:sz w:val="18"/>
              </w:rPr>
            </w:pPr>
            <w:r>
              <w:rPr>
                <w:color w:val="212121"/>
                <w:spacing w:val="-4"/>
                <w:sz w:val="18"/>
              </w:rPr>
              <w:t>27.4</w:t>
            </w:r>
          </w:p>
        </w:tc>
        <w:tc>
          <w:tcPr>
            <w:tcW w:w="1018" w:type="dxa"/>
          </w:tcPr>
          <w:p w14:paraId="2F5E3689" w14:textId="77777777" w:rsidR="00AC6F3C" w:rsidRDefault="00570E88">
            <w:pPr>
              <w:pStyle w:val="TableParagraph"/>
              <w:spacing w:before="40"/>
              <w:ind w:right="24"/>
              <w:jc w:val="right"/>
              <w:rPr>
                <w:sz w:val="18"/>
              </w:rPr>
            </w:pPr>
            <w:r>
              <w:rPr>
                <w:color w:val="212121"/>
                <w:spacing w:val="-4"/>
                <w:sz w:val="18"/>
              </w:rPr>
              <w:t>26.4</w:t>
            </w:r>
          </w:p>
        </w:tc>
        <w:tc>
          <w:tcPr>
            <w:tcW w:w="1018" w:type="dxa"/>
          </w:tcPr>
          <w:p w14:paraId="4C5EEB3A" w14:textId="77777777" w:rsidR="00AC6F3C" w:rsidRDefault="00570E88">
            <w:pPr>
              <w:pStyle w:val="TableParagraph"/>
              <w:spacing w:before="40"/>
              <w:ind w:right="15"/>
              <w:jc w:val="right"/>
              <w:rPr>
                <w:sz w:val="18"/>
              </w:rPr>
            </w:pPr>
            <w:r>
              <w:rPr>
                <w:color w:val="212121"/>
                <w:spacing w:val="-2"/>
                <w:sz w:val="18"/>
              </w:rPr>
              <w:t>(3.5)</w:t>
            </w:r>
          </w:p>
        </w:tc>
      </w:tr>
      <w:tr w:rsidR="00AC6F3C" w14:paraId="44633F6E" w14:textId="77777777">
        <w:trPr>
          <w:trHeight w:val="283"/>
        </w:trPr>
        <w:tc>
          <w:tcPr>
            <w:tcW w:w="2890" w:type="dxa"/>
          </w:tcPr>
          <w:p w14:paraId="05B4E81A" w14:textId="77777777" w:rsidR="00AC6F3C" w:rsidRDefault="00570E88">
            <w:pPr>
              <w:pStyle w:val="TableParagraph"/>
              <w:spacing w:before="40"/>
              <w:ind w:left="37"/>
              <w:rPr>
                <w:sz w:val="18"/>
              </w:rPr>
            </w:pPr>
            <w:r>
              <w:rPr>
                <w:sz w:val="18"/>
              </w:rPr>
              <w:t>Lexon</w:t>
            </w:r>
            <w:r>
              <w:rPr>
                <w:spacing w:val="-1"/>
                <w:sz w:val="18"/>
              </w:rPr>
              <w:t xml:space="preserve"> </w:t>
            </w:r>
            <w:r>
              <w:rPr>
                <w:sz w:val="18"/>
              </w:rPr>
              <w:t>Insurance</w:t>
            </w:r>
            <w:r>
              <w:rPr>
                <w:spacing w:val="-1"/>
                <w:sz w:val="18"/>
              </w:rPr>
              <w:t xml:space="preserve"> </w:t>
            </w:r>
            <w:r>
              <w:rPr>
                <w:sz w:val="18"/>
              </w:rPr>
              <w:t>Pte</w:t>
            </w:r>
            <w:r>
              <w:rPr>
                <w:spacing w:val="-1"/>
                <w:sz w:val="18"/>
              </w:rPr>
              <w:t xml:space="preserve"> </w:t>
            </w:r>
            <w:r>
              <w:rPr>
                <w:spacing w:val="-5"/>
                <w:sz w:val="18"/>
              </w:rPr>
              <w:t>Ltd</w:t>
            </w:r>
          </w:p>
        </w:tc>
        <w:tc>
          <w:tcPr>
            <w:tcW w:w="1018" w:type="dxa"/>
          </w:tcPr>
          <w:p w14:paraId="0838E293" w14:textId="77777777" w:rsidR="00AC6F3C" w:rsidRDefault="00570E88">
            <w:pPr>
              <w:pStyle w:val="TableParagraph"/>
              <w:spacing w:before="40"/>
              <w:ind w:left="351"/>
              <w:rPr>
                <w:sz w:val="18"/>
              </w:rPr>
            </w:pPr>
            <w:r>
              <w:rPr>
                <w:spacing w:val="-5"/>
                <w:sz w:val="18"/>
              </w:rPr>
              <w:t>100</w:t>
            </w:r>
          </w:p>
        </w:tc>
        <w:tc>
          <w:tcPr>
            <w:tcW w:w="1018" w:type="dxa"/>
          </w:tcPr>
          <w:p w14:paraId="0958CC91" w14:textId="77777777" w:rsidR="00AC6F3C" w:rsidRDefault="00570E88">
            <w:pPr>
              <w:pStyle w:val="TableParagraph"/>
              <w:spacing w:before="40"/>
              <w:ind w:right="25"/>
              <w:jc w:val="right"/>
              <w:rPr>
                <w:sz w:val="18"/>
              </w:rPr>
            </w:pPr>
            <w:r>
              <w:rPr>
                <w:color w:val="212121"/>
                <w:spacing w:val="-2"/>
                <w:sz w:val="18"/>
              </w:rPr>
              <w:t>171.0</w:t>
            </w:r>
          </w:p>
        </w:tc>
        <w:tc>
          <w:tcPr>
            <w:tcW w:w="1018" w:type="dxa"/>
          </w:tcPr>
          <w:p w14:paraId="2EAC7BC4" w14:textId="77777777" w:rsidR="00AC6F3C" w:rsidRDefault="00570E88">
            <w:pPr>
              <w:pStyle w:val="TableParagraph"/>
              <w:spacing w:before="40"/>
              <w:ind w:right="25"/>
              <w:jc w:val="right"/>
              <w:rPr>
                <w:sz w:val="18"/>
              </w:rPr>
            </w:pPr>
            <w:r>
              <w:rPr>
                <w:color w:val="212121"/>
                <w:spacing w:val="-2"/>
                <w:sz w:val="18"/>
              </w:rPr>
              <w:t>108.9</w:t>
            </w:r>
          </w:p>
        </w:tc>
        <w:tc>
          <w:tcPr>
            <w:tcW w:w="1018" w:type="dxa"/>
          </w:tcPr>
          <w:p w14:paraId="2A14E4AC" w14:textId="77777777" w:rsidR="00AC6F3C" w:rsidRDefault="00570E88">
            <w:pPr>
              <w:pStyle w:val="TableParagraph"/>
              <w:spacing w:before="40"/>
              <w:ind w:right="25"/>
              <w:jc w:val="right"/>
              <w:rPr>
                <w:sz w:val="18"/>
              </w:rPr>
            </w:pPr>
            <w:r>
              <w:rPr>
                <w:color w:val="212121"/>
                <w:spacing w:val="-4"/>
                <w:sz w:val="18"/>
              </w:rPr>
              <w:t>23.0</w:t>
            </w:r>
          </w:p>
        </w:tc>
        <w:tc>
          <w:tcPr>
            <w:tcW w:w="1018" w:type="dxa"/>
          </w:tcPr>
          <w:p w14:paraId="7E95657C" w14:textId="77777777" w:rsidR="00AC6F3C" w:rsidRDefault="00570E88">
            <w:pPr>
              <w:pStyle w:val="TableParagraph"/>
              <w:spacing w:before="40"/>
              <w:ind w:right="29"/>
              <w:jc w:val="right"/>
              <w:rPr>
                <w:sz w:val="18"/>
              </w:rPr>
            </w:pPr>
            <w:r>
              <w:rPr>
                <w:color w:val="212121"/>
                <w:spacing w:val="-5"/>
                <w:sz w:val="18"/>
              </w:rPr>
              <w:t>1.4</w:t>
            </w:r>
          </w:p>
        </w:tc>
      </w:tr>
      <w:tr w:rsidR="00AC6F3C" w14:paraId="4A331886" w14:textId="77777777">
        <w:trPr>
          <w:trHeight w:val="283"/>
        </w:trPr>
        <w:tc>
          <w:tcPr>
            <w:tcW w:w="2890" w:type="dxa"/>
          </w:tcPr>
          <w:p w14:paraId="2E8542B1" w14:textId="77777777" w:rsidR="00AC6F3C" w:rsidRDefault="00570E88">
            <w:pPr>
              <w:pStyle w:val="TableParagraph"/>
              <w:spacing w:before="40"/>
              <w:ind w:left="37"/>
              <w:rPr>
                <w:sz w:val="18"/>
              </w:rPr>
            </w:pPr>
            <w:r>
              <w:rPr>
                <w:sz w:val="18"/>
              </w:rPr>
              <w:t>QLS</w:t>
            </w:r>
            <w:r>
              <w:rPr>
                <w:spacing w:val="-5"/>
                <w:sz w:val="18"/>
              </w:rPr>
              <w:t xml:space="preserve"> </w:t>
            </w:r>
            <w:r>
              <w:rPr>
                <w:sz w:val="18"/>
              </w:rPr>
              <w:t>Solicitor</w:t>
            </w:r>
            <w:r>
              <w:rPr>
                <w:spacing w:val="-3"/>
                <w:sz w:val="18"/>
              </w:rPr>
              <w:t xml:space="preserve"> </w:t>
            </w:r>
            <w:r>
              <w:rPr>
                <w:spacing w:val="-2"/>
                <w:sz w:val="18"/>
              </w:rPr>
              <w:t>Support</w:t>
            </w:r>
          </w:p>
        </w:tc>
        <w:tc>
          <w:tcPr>
            <w:tcW w:w="1018" w:type="dxa"/>
          </w:tcPr>
          <w:p w14:paraId="495C5113" w14:textId="77777777" w:rsidR="00AC6F3C" w:rsidRDefault="00570E88">
            <w:pPr>
              <w:pStyle w:val="TableParagraph"/>
              <w:spacing w:before="40"/>
              <w:ind w:left="351"/>
              <w:rPr>
                <w:sz w:val="18"/>
              </w:rPr>
            </w:pPr>
            <w:r>
              <w:rPr>
                <w:spacing w:val="-5"/>
                <w:sz w:val="18"/>
              </w:rPr>
              <w:t>100</w:t>
            </w:r>
          </w:p>
        </w:tc>
        <w:tc>
          <w:tcPr>
            <w:tcW w:w="1018" w:type="dxa"/>
          </w:tcPr>
          <w:p w14:paraId="759F1865" w14:textId="77777777" w:rsidR="00AC6F3C" w:rsidRDefault="00570E88">
            <w:pPr>
              <w:pStyle w:val="TableParagraph"/>
              <w:spacing w:before="40"/>
              <w:ind w:right="30"/>
              <w:jc w:val="right"/>
              <w:rPr>
                <w:sz w:val="18"/>
              </w:rPr>
            </w:pPr>
            <w:r>
              <w:rPr>
                <w:color w:val="212121"/>
                <w:spacing w:val="-5"/>
                <w:sz w:val="18"/>
              </w:rPr>
              <w:t>0.0</w:t>
            </w:r>
          </w:p>
        </w:tc>
        <w:tc>
          <w:tcPr>
            <w:tcW w:w="1018" w:type="dxa"/>
          </w:tcPr>
          <w:p w14:paraId="7377DA5E" w14:textId="77777777" w:rsidR="00AC6F3C" w:rsidRDefault="00570E88">
            <w:pPr>
              <w:pStyle w:val="TableParagraph"/>
              <w:spacing w:before="40"/>
              <w:ind w:right="30"/>
              <w:jc w:val="right"/>
              <w:rPr>
                <w:sz w:val="18"/>
              </w:rPr>
            </w:pPr>
            <w:r>
              <w:rPr>
                <w:color w:val="212121"/>
                <w:spacing w:val="-5"/>
                <w:sz w:val="18"/>
              </w:rPr>
              <w:t>0.0</w:t>
            </w:r>
          </w:p>
        </w:tc>
        <w:tc>
          <w:tcPr>
            <w:tcW w:w="1018" w:type="dxa"/>
          </w:tcPr>
          <w:p w14:paraId="580135C4" w14:textId="77777777" w:rsidR="00AC6F3C" w:rsidRDefault="00570E88">
            <w:pPr>
              <w:pStyle w:val="TableParagraph"/>
              <w:spacing w:before="40"/>
              <w:ind w:right="31"/>
              <w:jc w:val="right"/>
              <w:rPr>
                <w:sz w:val="18"/>
              </w:rPr>
            </w:pPr>
            <w:r>
              <w:rPr>
                <w:color w:val="212121"/>
                <w:spacing w:val="-5"/>
                <w:sz w:val="18"/>
              </w:rPr>
              <w:t>1.4</w:t>
            </w:r>
          </w:p>
        </w:tc>
        <w:tc>
          <w:tcPr>
            <w:tcW w:w="1018" w:type="dxa"/>
          </w:tcPr>
          <w:p w14:paraId="41789684" w14:textId="77777777" w:rsidR="00AC6F3C" w:rsidRDefault="00570E88">
            <w:pPr>
              <w:pStyle w:val="TableParagraph"/>
              <w:spacing w:before="40"/>
              <w:ind w:right="29"/>
              <w:jc w:val="right"/>
              <w:rPr>
                <w:sz w:val="18"/>
              </w:rPr>
            </w:pPr>
            <w:r>
              <w:rPr>
                <w:color w:val="212121"/>
                <w:spacing w:val="-5"/>
                <w:sz w:val="18"/>
              </w:rPr>
              <w:t>0.0</w:t>
            </w:r>
          </w:p>
        </w:tc>
      </w:tr>
    </w:tbl>
    <w:p w14:paraId="2540ACF7" w14:textId="77777777" w:rsidR="00AC6F3C" w:rsidRDefault="00AC6F3C">
      <w:pPr>
        <w:pStyle w:val="BodyText"/>
        <w:spacing w:before="5"/>
        <w:rPr>
          <w:b/>
          <w:sz w:val="22"/>
        </w:rPr>
      </w:pPr>
    </w:p>
    <w:p w14:paraId="3D3842DE" w14:textId="77777777" w:rsidR="00AC6F3C" w:rsidRDefault="00570E88">
      <w:pPr>
        <w:ind w:left="958"/>
        <w:rPr>
          <w:b/>
          <w:sz w:val="20"/>
        </w:rPr>
      </w:pPr>
      <w:r>
        <w:rPr>
          <w:b/>
          <w:sz w:val="20"/>
        </w:rPr>
        <w:t>Principles</w:t>
      </w:r>
      <w:r>
        <w:rPr>
          <w:b/>
          <w:spacing w:val="-7"/>
          <w:sz w:val="20"/>
        </w:rPr>
        <w:t xml:space="preserve"> </w:t>
      </w:r>
      <w:r>
        <w:rPr>
          <w:b/>
          <w:sz w:val="20"/>
        </w:rPr>
        <w:t>of</w:t>
      </w:r>
      <w:r>
        <w:rPr>
          <w:b/>
          <w:spacing w:val="-8"/>
          <w:sz w:val="20"/>
        </w:rPr>
        <w:t xml:space="preserve"> </w:t>
      </w:r>
      <w:r>
        <w:rPr>
          <w:b/>
          <w:spacing w:val="-2"/>
          <w:sz w:val="20"/>
        </w:rPr>
        <w:t>consolidation</w:t>
      </w:r>
    </w:p>
    <w:p w14:paraId="326A0EE6" w14:textId="77777777" w:rsidR="00AC6F3C" w:rsidRDefault="00AC6F3C">
      <w:pPr>
        <w:pStyle w:val="BodyText"/>
        <w:spacing w:before="9"/>
        <w:rPr>
          <w:b/>
        </w:rPr>
      </w:pPr>
    </w:p>
    <w:p w14:paraId="29CA55A3" w14:textId="77777777" w:rsidR="00AC6F3C" w:rsidRDefault="00570E88">
      <w:pPr>
        <w:spacing w:before="1"/>
        <w:ind w:left="958" w:right="909"/>
        <w:rPr>
          <w:sz w:val="18"/>
        </w:rPr>
      </w:pPr>
      <w:r>
        <w:rPr>
          <w:sz w:val="18"/>
        </w:rPr>
        <w:t>The financial statements of controlled entities are included in the consolidated financial statements from the</w:t>
      </w:r>
      <w:r>
        <w:rPr>
          <w:spacing w:val="-1"/>
          <w:sz w:val="18"/>
        </w:rPr>
        <w:t xml:space="preserve"> </w:t>
      </w:r>
      <w:r>
        <w:rPr>
          <w:sz w:val="18"/>
        </w:rPr>
        <w:t>date</w:t>
      </w:r>
      <w:r>
        <w:rPr>
          <w:spacing w:val="-4"/>
          <w:sz w:val="18"/>
        </w:rPr>
        <w:t xml:space="preserve"> </w:t>
      </w:r>
      <w:r>
        <w:rPr>
          <w:sz w:val="18"/>
        </w:rPr>
        <w:t>control</w:t>
      </w:r>
      <w:r>
        <w:rPr>
          <w:spacing w:val="-4"/>
          <w:sz w:val="18"/>
        </w:rPr>
        <w:t xml:space="preserve"> </w:t>
      </w:r>
      <w:r>
        <w:rPr>
          <w:sz w:val="18"/>
        </w:rPr>
        <w:t>commences</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date</w:t>
      </w:r>
      <w:r>
        <w:rPr>
          <w:spacing w:val="-4"/>
          <w:sz w:val="18"/>
        </w:rPr>
        <w:t xml:space="preserve"> </w:t>
      </w:r>
      <w:r>
        <w:rPr>
          <w:sz w:val="18"/>
        </w:rPr>
        <w:t>control</w:t>
      </w:r>
      <w:r>
        <w:rPr>
          <w:spacing w:val="-4"/>
          <w:sz w:val="18"/>
        </w:rPr>
        <w:t xml:space="preserve"> </w:t>
      </w:r>
      <w:r>
        <w:rPr>
          <w:sz w:val="18"/>
        </w:rPr>
        <w:t>ceases.</w:t>
      </w:r>
      <w:r>
        <w:rPr>
          <w:spacing w:val="40"/>
          <w:sz w:val="18"/>
        </w:rPr>
        <w:t xml:space="preserve"> </w:t>
      </w:r>
      <w:r>
        <w:rPr>
          <w:sz w:val="18"/>
        </w:rPr>
        <w:t>In</w:t>
      </w:r>
      <w:r>
        <w:rPr>
          <w:spacing w:val="-1"/>
          <w:sz w:val="18"/>
        </w:rPr>
        <w:t xml:space="preserve"> </w:t>
      </w:r>
      <w:r>
        <w:rPr>
          <w:sz w:val="18"/>
        </w:rPr>
        <w:t>the</w:t>
      </w:r>
      <w:r>
        <w:rPr>
          <w:spacing w:val="-1"/>
          <w:sz w:val="18"/>
        </w:rPr>
        <w:t xml:space="preserve"> </w:t>
      </w:r>
      <w:r>
        <w:rPr>
          <w:sz w:val="18"/>
        </w:rPr>
        <w:t>process</w:t>
      </w:r>
      <w:r>
        <w:rPr>
          <w:spacing w:val="-3"/>
          <w:sz w:val="18"/>
        </w:rPr>
        <w:t xml:space="preserve"> </w:t>
      </w:r>
      <w:r>
        <w:rPr>
          <w:sz w:val="18"/>
        </w:rPr>
        <w:t>of</w:t>
      </w:r>
      <w:r>
        <w:rPr>
          <w:spacing w:val="-2"/>
          <w:sz w:val="18"/>
        </w:rPr>
        <w:t xml:space="preserve"> </w:t>
      </w:r>
      <w:r>
        <w:rPr>
          <w:sz w:val="18"/>
        </w:rPr>
        <w:t>reporting</w:t>
      </w:r>
      <w:r>
        <w:rPr>
          <w:spacing w:val="-1"/>
          <w:sz w:val="18"/>
        </w:rPr>
        <w:t xml:space="preserve"> </w:t>
      </w:r>
      <w:r>
        <w:rPr>
          <w:sz w:val="18"/>
        </w:rPr>
        <w:t>the</w:t>
      </w:r>
      <w:r>
        <w:rPr>
          <w:spacing w:val="-1"/>
          <w:sz w:val="18"/>
        </w:rPr>
        <w:t xml:space="preserve"> </w:t>
      </w:r>
      <w:r>
        <w:rPr>
          <w:sz w:val="18"/>
        </w:rPr>
        <w:t>Group</w:t>
      </w:r>
      <w:r>
        <w:rPr>
          <w:spacing w:val="-2"/>
          <w:sz w:val="18"/>
        </w:rPr>
        <w:t xml:space="preserve"> </w:t>
      </w:r>
      <w:r>
        <w:rPr>
          <w:sz w:val="18"/>
        </w:rPr>
        <w:t>as</w:t>
      </w:r>
      <w:r>
        <w:rPr>
          <w:spacing w:val="-1"/>
          <w:sz w:val="18"/>
        </w:rPr>
        <w:t xml:space="preserve"> </w:t>
      </w:r>
      <w:r>
        <w:rPr>
          <w:sz w:val="18"/>
        </w:rPr>
        <w:t>a</w:t>
      </w:r>
      <w:r>
        <w:rPr>
          <w:spacing w:val="-4"/>
          <w:sz w:val="18"/>
        </w:rPr>
        <w:t xml:space="preserve"> </w:t>
      </w:r>
      <w:r>
        <w:rPr>
          <w:sz w:val="18"/>
        </w:rPr>
        <w:t xml:space="preserve">single economic entity, </w:t>
      </w:r>
      <w:proofErr w:type="spellStart"/>
      <w:r>
        <w:rPr>
          <w:sz w:val="18"/>
        </w:rPr>
        <w:t>unrealised</w:t>
      </w:r>
      <w:proofErr w:type="spellEnd"/>
      <w:r>
        <w:rPr>
          <w:sz w:val="18"/>
        </w:rPr>
        <w:t xml:space="preserve"> gains and losses, inter-entity balances resulting from transactions with or between</w:t>
      </w:r>
      <w:r>
        <w:rPr>
          <w:spacing w:val="-3"/>
          <w:sz w:val="18"/>
        </w:rPr>
        <w:t xml:space="preserve"> </w:t>
      </w:r>
      <w:r>
        <w:rPr>
          <w:sz w:val="18"/>
        </w:rPr>
        <w:t>controlled</w:t>
      </w:r>
      <w:r>
        <w:rPr>
          <w:spacing w:val="-3"/>
          <w:sz w:val="18"/>
        </w:rPr>
        <w:t xml:space="preserve"> </w:t>
      </w:r>
      <w:r>
        <w:rPr>
          <w:sz w:val="18"/>
        </w:rPr>
        <w:t>entities are</w:t>
      </w:r>
      <w:r>
        <w:rPr>
          <w:spacing w:val="-3"/>
          <w:sz w:val="18"/>
        </w:rPr>
        <w:t xml:space="preserve"> </w:t>
      </w:r>
      <w:r>
        <w:rPr>
          <w:sz w:val="18"/>
        </w:rPr>
        <w:t>eliminated</w:t>
      </w:r>
      <w:r>
        <w:rPr>
          <w:spacing w:val="-3"/>
          <w:sz w:val="18"/>
        </w:rPr>
        <w:t xml:space="preserve"> </w:t>
      </w:r>
      <w:r>
        <w:rPr>
          <w:sz w:val="18"/>
        </w:rPr>
        <w:t>on</w:t>
      </w:r>
      <w:r>
        <w:rPr>
          <w:spacing w:val="-3"/>
          <w:sz w:val="18"/>
        </w:rPr>
        <w:t xml:space="preserve"> </w:t>
      </w:r>
      <w:r>
        <w:rPr>
          <w:sz w:val="18"/>
        </w:rPr>
        <w:t>consolidation where</w:t>
      </w:r>
      <w:r>
        <w:rPr>
          <w:spacing w:val="-3"/>
          <w:sz w:val="18"/>
        </w:rPr>
        <w:t xml:space="preserve"> </w:t>
      </w:r>
      <w:r>
        <w:rPr>
          <w:sz w:val="18"/>
        </w:rPr>
        <w:t>material.</w:t>
      </w:r>
      <w:r>
        <w:rPr>
          <w:spacing w:val="40"/>
          <w:sz w:val="18"/>
        </w:rPr>
        <w:t xml:space="preserve"> </w:t>
      </w:r>
      <w:r>
        <w:rPr>
          <w:sz w:val="18"/>
        </w:rPr>
        <w:t>The accounting</w:t>
      </w:r>
      <w:r>
        <w:rPr>
          <w:spacing w:val="-3"/>
          <w:sz w:val="18"/>
        </w:rPr>
        <w:t xml:space="preserve"> </w:t>
      </w:r>
      <w:r>
        <w:rPr>
          <w:sz w:val="18"/>
        </w:rPr>
        <w:t>policies have been consistently applied by each entity in the consolidated group.</w:t>
      </w:r>
    </w:p>
    <w:p w14:paraId="52441E03" w14:textId="77777777" w:rsidR="00AC6F3C" w:rsidRDefault="00AC6F3C">
      <w:pPr>
        <w:rPr>
          <w:sz w:val="18"/>
        </w:rPr>
        <w:sectPr w:rsidR="00AC6F3C">
          <w:pgSz w:w="11910" w:h="16840"/>
          <w:pgMar w:top="2020" w:right="1160" w:bottom="520" w:left="460" w:header="1228" w:footer="336" w:gutter="0"/>
          <w:cols w:space="720"/>
        </w:sectPr>
      </w:pPr>
    </w:p>
    <w:p w14:paraId="1A404417" w14:textId="77777777" w:rsidR="00AC6F3C" w:rsidRDefault="00AC6F3C">
      <w:pPr>
        <w:pStyle w:val="BodyText"/>
      </w:pPr>
    </w:p>
    <w:p w14:paraId="2E80E885" w14:textId="77777777" w:rsidR="00AC6F3C" w:rsidRDefault="00570E88">
      <w:pPr>
        <w:tabs>
          <w:tab w:val="left" w:pos="1666"/>
        </w:tabs>
        <w:spacing w:before="249"/>
        <w:ind w:left="958"/>
        <w:rPr>
          <w:b/>
          <w:sz w:val="28"/>
        </w:rPr>
      </w:pPr>
      <w:r>
        <w:rPr>
          <w:b/>
          <w:spacing w:val="-5"/>
          <w:sz w:val="28"/>
        </w:rPr>
        <w:t>B1</w:t>
      </w:r>
      <w:r>
        <w:rPr>
          <w:b/>
          <w:sz w:val="28"/>
        </w:rPr>
        <w:tab/>
      </w:r>
      <w:r>
        <w:rPr>
          <w:b/>
          <w:spacing w:val="-2"/>
          <w:sz w:val="28"/>
        </w:rPr>
        <w:t>REVENUE</w:t>
      </w:r>
    </w:p>
    <w:p w14:paraId="2264F8B4" w14:textId="77777777" w:rsidR="00AC6F3C" w:rsidRDefault="00570E88">
      <w:pPr>
        <w:pStyle w:val="Heading6"/>
        <w:tabs>
          <w:tab w:val="left" w:pos="1810"/>
        </w:tabs>
      </w:pPr>
      <w:r>
        <w:rPr>
          <w:spacing w:val="-2"/>
        </w:rPr>
        <w:t>B1-</w:t>
      </w:r>
      <w:r>
        <w:rPr>
          <w:spacing w:val="-10"/>
        </w:rPr>
        <w:t>1</w:t>
      </w:r>
      <w:r>
        <w:tab/>
        <w:t>FEES</w:t>
      </w:r>
      <w:r>
        <w:rPr>
          <w:spacing w:val="-2"/>
        </w:rPr>
        <w:t xml:space="preserve"> </w:t>
      </w:r>
      <w:r>
        <w:t>AND</w:t>
      </w:r>
      <w:r>
        <w:rPr>
          <w:spacing w:val="-3"/>
        </w:rPr>
        <w:t xml:space="preserve"> </w:t>
      </w:r>
      <w:r>
        <w:t>MEMBERSHIP</w:t>
      </w:r>
      <w:r>
        <w:rPr>
          <w:spacing w:val="-1"/>
        </w:rPr>
        <w:t xml:space="preserve"> </w:t>
      </w:r>
      <w:r>
        <w:rPr>
          <w:spacing w:val="-2"/>
        </w:rPr>
        <w:t>SERVICES</w:t>
      </w:r>
    </w:p>
    <w:p w14:paraId="16A5E8AF" w14:textId="77777777" w:rsidR="00AC6F3C" w:rsidRDefault="00AC6F3C">
      <w:pPr>
        <w:pStyle w:val="BodyText"/>
        <w:spacing w:before="8"/>
        <w:rPr>
          <w:b/>
        </w:rPr>
      </w:pPr>
    </w:p>
    <w:p w14:paraId="75DC4C80" w14:textId="77777777" w:rsidR="00AC6F3C" w:rsidRDefault="00570E88">
      <w:pPr>
        <w:ind w:left="958" w:right="632"/>
        <w:rPr>
          <w:sz w:val="18"/>
        </w:rPr>
      </w:pPr>
      <w:r>
        <w:rPr>
          <w:sz w:val="18"/>
        </w:rPr>
        <w:t>Memberships</w:t>
      </w:r>
      <w:r>
        <w:rPr>
          <w:spacing w:val="-1"/>
          <w:sz w:val="18"/>
        </w:rPr>
        <w:t xml:space="preserve"> </w:t>
      </w:r>
      <w:r>
        <w:rPr>
          <w:sz w:val="18"/>
        </w:rPr>
        <w:t>and</w:t>
      </w:r>
      <w:r>
        <w:rPr>
          <w:spacing w:val="-1"/>
          <w:sz w:val="18"/>
        </w:rPr>
        <w:t xml:space="preserve"> </w:t>
      </w:r>
      <w:r>
        <w:rPr>
          <w:sz w:val="18"/>
        </w:rPr>
        <w:t>practitioner</w:t>
      </w:r>
      <w:r>
        <w:rPr>
          <w:spacing w:val="-4"/>
          <w:sz w:val="18"/>
        </w:rPr>
        <w:t xml:space="preserve"> </w:t>
      </w:r>
      <w:r>
        <w:rPr>
          <w:sz w:val="18"/>
        </w:rPr>
        <w:t>fees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revenue</w:t>
      </w:r>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period.</w:t>
      </w:r>
      <w:r>
        <w:rPr>
          <w:spacing w:val="40"/>
          <w:sz w:val="18"/>
        </w:rPr>
        <w:t xml:space="preserve"> </w:t>
      </w:r>
      <w:r>
        <w:rPr>
          <w:sz w:val="18"/>
        </w:rPr>
        <w:t>Prepayment</w:t>
      </w:r>
      <w:r>
        <w:rPr>
          <w:spacing w:val="-2"/>
          <w:sz w:val="18"/>
        </w:rPr>
        <w:t xml:space="preserve"> </w:t>
      </w:r>
      <w:r>
        <w:rPr>
          <w:sz w:val="18"/>
        </w:rPr>
        <w:t>of</w:t>
      </w:r>
      <w:r>
        <w:rPr>
          <w:spacing w:val="-2"/>
          <w:sz w:val="18"/>
        </w:rPr>
        <w:t xml:space="preserve"> </w:t>
      </w:r>
      <w:r>
        <w:rPr>
          <w:sz w:val="18"/>
        </w:rPr>
        <w:t>fees</w:t>
      </w:r>
      <w:r>
        <w:rPr>
          <w:spacing w:val="-3"/>
          <w:sz w:val="18"/>
        </w:rPr>
        <w:t xml:space="preserve"> </w:t>
      </w:r>
      <w:r>
        <w:rPr>
          <w:sz w:val="18"/>
        </w:rPr>
        <w:t xml:space="preserve">is </w:t>
      </w:r>
      <w:proofErr w:type="spellStart"/>
      <w:r>
        <w:rPr>
          <w:sz w:val="18"/>
        </w:rPr>
        <w:t>recognised</w:t>
      </w:r>
      <w:proofErr w:type="spellEnd"/>
      <w:r>
        <w:rPr>
          <w:sz w:val="18"/>
        </w:rPr>
        <w:t xml:space="preserve"> as income in advance and </w:t>
      </w:r>
      <w:proofErr w:type="spellStart"/>
      <w:r>
        <w:rPr>
          <w:sz w:val="18"/>
        </w:rPr>
        <w:t>recognised</w:t>
      </w:r>
      <w:proofErr w:type="spellEnd"/>
      <w:r>
        <w:rPr>
          <w:sz w:val="18"/>
        </w:rPr>
        <w:t xml:space="preserve"> as a current liability under AASB 15 Revenue from Contracts with Customers.</w:t>
      </w:r>
    </w:p>
    <w:p w14:paraId="1F6FBCEB" w14:textId="77777777" w:rsidR="00AC6F3C" w:rsidRDefault="00AC6F3C">
      <w:pPr>
        <w:pStyle w:val="BodyText"/>
        <w:spacing w:before="11"/>
      </w:pPr>
    </w:p>
    <w:p w14:paraId="1CAF44F0" w14:textId="77777777" w:rsidR="00AC6F3C" w:rsidRDefault="00570E88">
      <w:pPr>
        <w:ind w:left="958" w:right="886"/>
        <w:rPr>
          <w:sz w:val="18"/>
        </w:rPr>
      </w:pPr>
      <w:r>
        <w:rPr>
          <w:sz w:val="18"/>
        </w:rPr>
        <w:t>Membership</w:t>
      </w:r>
      <w:r>
        <w:rPr>
          <w:spacing w:val="-4"/>
          <w:sz w:val="18"/>
        </w:rPr>
        <w:t xml:space="preserve"> </w:t>
      </w:r>
      <w:r>
        <w:rPr>
          <w:sz w:val="18"/>
        </w:rPr>
        <w:t>services</w:t>
      </w:r>
      <w:r>
        <w:rPr>
          <w:spacing w:val="-3"/>
          <w:sz w:val="18"/>
        </w:rPr>
        <w:t xml:space="preserve"> </w:t>
      </w:r>
      <w:r>
        <w:rPr>
          <w:sz w:val="18"/>
        </w:rPr>
        <w:t>and</w:t>
      </w:r>
      <w:r>
        <w:rPr>
          <w:spacing w:val="-4"/>
          <w:sz w:val="18"/>
        </w:rPr>
        <w:t xml:space="preserve"> </w:t>
      </w:r>
      <w:r>
        <w:rPr>
          <w:sz w:val="18"/>
        </w:rPr>
        <w:t>events</w:t>
      </w:r>
      <w:r>
        <w:rPr>
          <w:spacing w:val="-1"/>
          <w:sz w:val="18"/>
        </w:rPr>
        <w:t xml:space="preserve"> </w:t>
      </w:r>
      <w:r>
        <w:rPr>
          <w:sz w:val="18"/>
        </w:rPr>
        <w:t>income</w:t>
      </w:r>
      <w:r>
        <w:rPr>
          <w:spacing w:val="-4"/>
          <w:sz w:val="18"/>
        </w:rPr>
        <w:t xml:space="preserve"> </w:t>
      </w:r>
      <w:r>
        <w:rPr>
          <w:sz w:val="18"/>
        </w:rPr>
        <w:t>is</w:t>
      </w:r>
      <w:r>
        <w:rPr>
          <w:spacing w:val="-1"/>
          <w:sz w:val="18"/>
        </w:rPr>
        <w:t xml:space="preserve"> </w:t>
      </w:r>
      <w:proofErr w:type="spellStart"/>
      <w:r>
        <w:rPr>
          <w:sz w:val="18"/>
        </w:rPr>
        <w:t>recognised</w:t>
      </w:r>
      <w:proofErr w:type="spellEnd"/>
      <w:r>
        <w:rPr>
          <w:spacing w:val="-1"/>
          <w:sz w:val="18"/>
        </w:rPr>
        <w:t xml:space="preserve"> </w:t>
      </w:r>
      <w:r>
        <w:rPr>
          <w:sz w:val="18"/>
        </w:rPr>
        <w:t>as</w:t>
      </w:r>
      <w:r>
        <w:rPr>
          <w:spacing w:val="-3"/>
          <w:sz w:val="18"/>
        </w:rPr>
        <w:t xml:space="preserve"> </w:t>
      </w:r>
      <w:r>
        <w:rPr>
          <w:sz w:val="18"/>
        </w:rPr>
        <w:t>revenue</w:t>
      </w:r>
      <w:r>
        <w:rPr>
          <w:spacing w:val="-1"/>
          <w:sz w:val="18"/>
        </w:rPr>
        <w:t xml:space="preserve"> </w:t>
      </w:r>
      <w:r>
        <w:rPr>
          <w:sz w:val="18"/>
        </w:rPr>
        <w:t>when</w:t>
      </w:r>
      <w:r>
        <w:rPr>
          <w:spacing w:val="-4"/>
          <w:sz w:val="18"/>
        </w:rPr>
        <w:t xml:space="preserve"> </w:t>
      </w:r>
      <w:r>
        <w:rPr>
          <w:sz w:val="18"/>
        </w:rPr>
        <w:t>the</w:t>
      </w:r>
      <w:r>
        <w:rPr>
          <w:spacing w:val="-4"/>
          <w:sz w:val="18"/>
        </w:rPr>
        <w:t xml:space="preserve"> </w:t>
      </w:r>
      <w:r>
        <w:rPr>
          <w:sz w:val="18"/>
        </w:rPr>
        <w:t>service</w:t>
      </w:r>
      <w:r>
        <w:rPr>
          <w:spacing w:val="-1"/>
          <w:sz w:val="18"/>
        </w:rPr>
        <w:t xml:space="preserve"> </w:t>
      </w:r>
      <w:r>
        <w:rPr>
          <w:sz w:val="18"/>
        </w:rPr>
        <w:t>or</w:t>
      </w:r>
      <w:r>
        <w:rPr>
          <w:spacing w:val="-4"/>
          <w:sz w:val="18"/>
        </w:rPr>
        <w:t xml:space="preserve"> </w:t>
      </w:r>
      <w:r>
        <w:rPr>
          <w:sz w:val="18"/>
        </w:rPr>
        <w:t>event</w:t>
      </w:r>
      <w:r>
        <w:rPr>
          <w:spacing w:val="-2"/>
          <w:sz w:val="18"/>
        </w:rPr>
        <w:t xml:space="preserve"> </w:t>
      </w:r>
      <w:r>
        <w:rPr>
          <w:sz w:val="18"/>
        </w:rPr>
        <w:t xml:space="preserve">occurs. Prepayment of membership services and events is </w:t>
      </w:r>
      <w:proofErr w:type="spellStart"/>
      <w:r>
        <w:rPr>
          <w:sz w:val="18"/>
        </w:rPr>
        <w:t>recognised</w:t>
      </w:r>
      <w:proofErr w:type="spellEnd"/>
      <w:r>
        <w:rPr>
          <w:sz w:val="18"/>
        </w:rPr>
        <w:t xml:space="preserve"> as income in advance.</w:t>
      </w:r>
    </w:p>
    <w:p w14:paraId="0AF45C32" w14:textId="77777777" w:rsidR="00AC6F3C" w:rsidRDefault="00AC6F3C">
      <w:pPr>
        <w:pStyle w:val="BodyText"/>
        <w:spacing w:before="8"/>
      </w:pPr>
    </w:p>
    <w:p w14:paraId="5B8195B2" w14:textId="77777777" w:rsidR="00AC6F3C" w:rsidRDefault="00570E88">
      <w:pPr>
        <w:spacing w:before="1"/>
        <w:ind w:left="958" w:right="468"/>
        <w:rPr>
          <w:sz w:val="18"/>
        </w:rPr>
      </w:pPr>
      <w:r>
        <w:rPr>
          <w:sz w:val="18"/>
        </w:rPr>
        <w:t>The</w:t>
      </w:r>
      <w:r>
        <w:rPr>
          <w:spacing w:val="-2"/>
          <w:sz w:val="18"/>
        </w:rPr>
        <w:t xml:space="preserve"> </w:t>
      </w:r>
      <w:r>
        <w:rPr>
          <w:sz w:val="18"/>
        </w:rPr>
        <w:t>following</w:t>
      </w:r>
      <w:r>
        <w:rPr>
          <w:spacing w:val="-2"/>
          <w:sz w:val="18"/>
        </w:rPr>
        <w:t xml:space="preserve"> </w:t>
      </w:r>
      <w:r>
        <w:rPr>
          <w:sz w:val="18"/>
        </w:rPr>
        <w:t>table</w:t>
      </w:r>
      <w:r>
        <w:rPr>
          <w:spacing w:val="-2"/>
          <w:sz w:val="18"/>
        </w:rPr>
        <w:t xml:space="preserve"> </w:t>
      </w:r>
      <w:r>
        <w:rPr>
          <w:sz w:val="18"/>
        </w:rPr>
        <w:t>provides</w:t>
      </w:r>
      <w:r>
        <w:rPr>
          <w:spacing w:val="-3"/>
          <w:sz w:val="18"/>
        </w:rPr>
        <w:t xml:space="preserve"> </w:t>
      </w:r>
      <w:r>
        <w:rPr>
          <w:sz w:val="18"/>
        </w:rPr>
        <w:t>information</w:t>
      </w:r>
      <w:r>
        <w:rPr>
          <w:spacing w:val="-4"/>
          <w:sz w:val="18"/>
        </w:rPr>
        <w:t xml:space="preserve"> </w:t>
      </w:r>
      <w:r>
        <w:rPr>
          <w:sz w:val="18"/>
        </w:rPr>
        <w:t>about</w:t>
      </w:r>
      <w:r>
        <w:rPr>
          <w:spacing w:val="-2"/>
          <w:sz w:val="18"/>
        </w:rPr>
        <w:t xml:space="preserve"> </w:t>
      </w:r>
      <w:r>
        <w:rPr>
          <w:sz w:val="18"/>
        </w:rPr>
        <w:t>the</w:t>
      </w:r>
      <w:r>
        <w:rPr>
          <w:spacing w:val="-2"/>
          <w:sz w:val="18"/>
        </w:rPr>
        <w:t xml:space="preserve"> </w:t>
      </w:r>
      <w:r>
        <w:rPr>
          <w:sz w:val="18"/>
        </w:rPr>
        <w:t>nature</w:t>
      </w:r>
      <w:r>
        <w:rPr>
          <w:spacing w:val="-4"/>
          <w:sz w:val="18"/>
        </w:rPr>
        <w:t xml:space="preserve"> </w:t>
      </w:r>
      <w:r>
        <w:rPr>
          <w:sz w:val="18"/>
        </w:rPr>
        <w:t>and</w:t>
      </w:r>
      <w:r>
        <w:rPr>
          <w:spacing w:val="-2"/>
          <w:sz w:val="18"/>
        </w:rPr>
        <w:t xml:space="preserve"> </w:t>
      </w:r>
      <w:r>
        <w:rPr>
          <w:sz w:val="18"/>
        </w:rPr>
        <w:t>timing</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satisfaction</w:t>
      </w:r>
      <w:r>
        <w:rPr>
          <w:spacing w:val="-2"/>
          <w:sz w:val="18"/>
        </w:rPr>
        <w:t xml:space="preserve"> </w:t>
      </w:r>
      <w:r>
        <w:rPr>
          <w:sz w:val="18"/>
        </w:rPr>
        <w:t>of</w:t>
      </w:r>
      <w:r>
        <w:rPr>
          <w:spacing w:val="-4"/>
          <w:sz w:val="18"/>
        </w:rPr>
        <w:t xml:space="preserve"> </w:t>
      </w:r>
      <w:r>
        <w:rPr>
          <w:sz w:val="18"/>
        </w:rPr>
        <w:t xml:space="preserve">performance </w:t>
      </w:r>
      <w:r>
        <w:rPr>
          <w:spacing w:val="-2"/>
          <w:sz w:val="18"/>
        </w:rPr>
        <w:t>obligations:</w:t>
      </w:r>
    </w:p>
    <w:p w14:paraId="1558BBF6" w14:textId="77777777" w:rsidR="00AC6F3C" w:rsidRDefault="00AC6F3C">
      <w:pPr>
        <w:pStyle w:val="BodyText"/>
        <w:rPr>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2839"/>
        <w:gridCol w:w="3537"/>
      </w:tblGrid>
      <w:tr w:rsidR="00AC6F3C" w14:paraId="133FA1C1" w14:textId="77777777">
        <w:trPr>
          <w:trHeight w:val="652"/>
        </w:trPr>
        <w:tc>
          <w:tcPr>
            <w:tcW w:w="2119" w:type="dxa"/>
            <w:shd w:val="clear" w:color="auto" w:fill="A6A6A6"/>
          </w:tcPr>
          <w:p w14:paraId="082F8E3C" w14:textId="77777777" w:rsidR="00AC6F3C" w:rsidRDefault="00570E88">
            <w:pPr>
              <w:pStyle w:val="TableParagraph"/>
              <w:ind w:left="107" w:right="154"/>
              <w:rPr>
                <w:b/>
                <w:sz w:val="18"/>
              </w:rPr>
            </w:pPr>
            <w:r>
              <w:rPr>
                <w:b/>
                <w:sz w:val="18"/>
              </w:rPr>
              <w:t>Type</w:t>
            </w:r>
            <w:r>
              <w:rPr>
                <w:b/>
                <w:spacing w:val="-12"/>
                <w:sz w:val="18"/>
              </w:rPr>
              <w:t xml:space="preserve"> </w:t>
            </w:r>
            <w:r>
              <w:rPr>
                <w:b/>
                <w:sz w:val="18"/>
              </w:rPr>
              <w:t>of</w:t>
            </w:r>
            <w:r>
              <w:rPr>
                <w:b/>
                <w:spacing w:val="-12"/>
                <w:sz w:val="18"/>
              </w:rPr>
              <w:t xml:space="preserve"> </w:t>
            </w:r>
            <w:r>
              <w:rPr>
                <w:b/>
                <w:sz w:val="18"/>
              </w:rPr>
              <w:t>good</w:t>
            </w:r>
            <w:r>
              <w:rPr>
                <w:b/>
                <w:spacing w:val="-13"/>
                <w:sz w:val="18"/>
              </w:rPr>
              <w:t xml:space="preserve"> </w:t>
            </w:r>
            <w:r>
              <w:rPr>
                <w:b/>
                <w:sz w:val="18"/>
              </w:rPr>
              <w:t xml:space="preserve">or </w:t>
            </w:r>
            <w:r>
              <w:rPr>
                <w:b/>
                <w:spacing w:val="-2"/>
                <w:sz w:val="18"/>
              </w:rPr>
              <w:t>service</w:t>
            </w:r>
          </w:p>
        </w:tc>
        <w:tc>
          <w:tcPr>
            <w:tcW w:w="2839" w:type="dxa"/>
            <w:shd w:val="clear" w:color="auto" w:fill="A6A6A6"/>
          </w:tcPr>
          <w:p w14:paraId="23703A50" w14:textId="77777777" w:rsidR="00AC6F3C" w:rsidRDefault="00570E88">
            <w:pPr>
              <w:pStyle w:val="TableParagraph"/>
              <w:ind w:left="105" w:right="616"/>
              <w:rPr>
                <w:b/>
                <w:sz w:val="18"/>
              </w:rPr>
            </w:pPr>
            <w:r>
              <w:rPr>
                <w:b/>
                <w:sz w:val="18"/>
              </w:rPr>
              <w:t>Nature and timing of performance</w:t>
            </w:r>
            <w:r>
              <w:rPr>
                <w:b/>
                <w:spacing w:val="-13"/>
                <w:sz w:val="18"/>
              </w:rPr>
              <w:t xml:space="preserve"> </w:t>
            </w:r>
            <w:r>
              <w:rPr>
                <w:b/>
                <w:sz w:val="18"/>
              </w:rPr>
              <w:t>obligations</w:t>
            </w:r>
          </w:p>
        </w:tc>
        <w:tc>
          <w:tcPr>
            <w:tcW w:w="3537" w:type="dxa"/>
            <w:shd w:val="clear" w:color="auto" w:fill="A6A6A6"/>
          </w:tcPr>
          <w:p w14:paraId="2379D07A" w14:textId="77777777" w:rsidR="00AC6F3C" w:rsidRDefault="00570E88">
            <w:pPr>
              <w:pStyle w:val="TableParagraph"/>
              <w:spacing w:line="206" w:lineRule="exact"/>
              <w:ind w:left="105"/>
              <w:rPr>
                <w:b/>
                <w:sz w:val="18"/>
              </w:rPr>
            </w:pPr>
            <w:r>
              <w:rPr>
                <w:b/>
                <w:sz w:val="18"/>
              </w:rPr>
              <w:t>Revenue</w:t>
            </w:r>
            <w:r>
              <w:rPr>
                <w:b/>
                <w:spacing w:val="-3"/>
                <w:sz w:val="18"/>
              </w:rPr>
              <w:t xml:space="preserve"> </w:t>
            </w:r>
            <w:r>
              <w:rPr>
                <w:b/>
                <w:spacing w:val="-2"/>
                <w:sz w:val="18"/>
              </w:rPr>
              <w:t>recognition</w:t>
            </w:r>
          </w:p>
        </w:tc>
      </w:tr>
      <w:tr w:rsidR="00AC6F3C" w14:paraId="078CC474" w14:textId="77777777">
        <w:trPr>
          <w:trHeight w:val="1895"/>
        </w:trPr>
        <w:tc>
          <w:tcPr>
            <w:tcW w:w="2119" w:type="dxa"/>
          </w:tcPr>
          <w:p w14:paraId="0B2D1CE4" w14:textId="77777777" w:rsidR="00AC6F3C" w:rsidRDefault="00570E88">
            <w:pPr>
              <w:pStyle w:val="TableParagraph"/>
              <w:ind w:left="107" w:right="384"/>
              <w:rPr>
                <w:sz w:val="18"/>
              </w:rPr>
            </w:pPr>
            <w:proofErr w:type="spellStart"/>
            <w:r>
              <w:rPr>
                <w:sz w:val="18"/>
              </w:rPr>
              <w:t>Practising</w:t>
            </w:r>
            <w:proofErr w:type="spellEnd"/>
            <w:r>
              <w:rPr>
                <w:spacing w:val="-13"/>
                <w:sz w:val="18"/>
              </w:rPr>
              <w:t xml:space="preserve"> </w:t>
            </w:r>
            <w:r>
              <w:rPr>
                <w:sz w:val="18"/>
              </w:rPr>
              <w:t xml:space="preserve">certificate </w:t>
            </w:r>
            <w:r>
              <w:rPr>
                <w:spacing w:val="-4"/>
                <w:sz w:val="18"/>
              </w:rPr>
              <w:t>fees</w:t>
            </w:r>
          </w:p>
        </w:tc>
        <w:tc>
          <w:tcPr>
            <w:tcW w:w="2839" w:type="dxa"/>
          </w:tcPr>
          <w:p w14:paraId="5CBA1E02" w14:textId="77777777" w:rsidR="00AC6F3C" w:rsidRDefault="00570E88">
            <w:pPr>
              <w:pStyle w:val="TableParagraph"/>
              <w:ind w:left="105" w:right="42"/>
              <w:rPr>
                <w:sz w:val="18"/>
              </w:rPr>
            </w:pPr>
            <w:r>
              <w:rPr>
                <w:sz w:val="18"/>
              </w:rPr>
              <w:t>Certificates are valid for 12 months from 1 July each year. There</w:t>
            </w:r>
            <w:r>
              <w:rPr>
                <w:spacing w:val="-8"/>
                <w:sz w:val="18"/>
              </w:rPr>
              <w:t xml:space="preserve"> </w:t>
            </w:r>
            <w:r>
              <w:rPr>
                <w:sz w:val="18"/>
              </w:rPr>
              <w:t>is</w:t>
            </w:r>
            <w:r>
              <w:rPr>
                <w:spacing w:val="-7"/>
                <w:sz w:val="18"/>
              </w:rPr>
              <w:t xml:space="preserve"> </w:t>
            </w:r>
            <w:r>
              <w:rPr>
                <w:sz w:val="18"/>
              </w:rPr>
              <w:t>no</w:t>
            </w:r>
            <w:r>
              <w:rPr>
                <w:spacing w:val="-6"/>
                <w:sz w:val="18"/>
              </w:rPr>
              <w:t xml:space="preserve"> </w:t>
            </w:r>
            <w:r>
              <w:rPr>
                <w:sz w:val="18"/>
              </w:rPr>
              <w:t>provision</w:t>
            </w:r>
            <w:r>
              <w:rPr>
                <w:spacing w:val="-5"/>
                <w:sz w:val="18"/>
              </w:rPr>
              <w:t xml:space="preserve"> </w:t>
            </w:r>
            <w:r>
              <w:rPr>
                <w:sz w:val="18"/>
              </w:rPr>
              <w:t>for</w:t>
            </w:r>
            <w:r>
              <w:rPr>
                <w:spacing w:val="-8"/>
                <w:sz w:val="18"/>
              </w:rPr>
              <w:t xml:space="preserve"> </w:t>
            </w:r>
            <w:r>
              <w:rPr>
                <w:sz w:val="18"/>
              </w:rPr>
              <w:t>a</w:t>
            </w:r>
            <w:r>
              <w:rPr>
                <w:spacing w:val="-5"/>
                <w:sz w:val="18"/>
              </w:rPr>
              <w:t xml:space="preserve"> </w:t>
            </w:r>
            <w:r>
              <w:rPr>
                <w:sz w:val="18"/>
              </w:rPr>
              <w:t xml:space="preserve">return of funds should members cease to </w:t>
            </w:r>
            <w:proofErr w:type="spellStart"/>
            <w:r>
              <w:rPr>
                <w:sz w:val="18"/>
              </w:rPr>
              <w:t>practise</w:t>
            </w:r>
            <w:proofErr w:type="spellEnd"/>
            <w:r>
              <w:rPr>
                <w:sz w:val="18"/>
              </w:rPr>
              <w:t xml:space="preserve"> during the year.</w:t>
            </w:r>
          </w:p>
          <w:p w14:paraId="6B1E21FE" w14:textId="77777777" w:rsidR="00AC6F3C" w:rsidRDefault="00570E88">
            <w:pPr>
              <w:pStyle w:val="TableParagraph"/>
              <w:spacing w:before="1"/>
              <w:ind w:left="105" w:right="42"/>
              <w:rPr>
                <w:sz w:val="18"/>
              </w:rPr>
            </w:pPr>
            <w:r>
              <w:rPr>
                <w:sz w:val="18"/>
              </w:rPr>
              <w:t>Refunds</w:t>
            </w:r>
            <w:r>
              <w:rPr>
                <w:spacing w:val="-9"/>
                <w:sz w:val="18"/>
              </w:rPr>
              <w:t xml:space="preserve"> </w:t>
            </w:r>
            <w:r>
              <w:rPr>
                <w:sz w:val="18"/>
              </w:rPr>
              <w:t>are</w:t>
            </w:r>
            <w:r>
              <w:rPr>
                <w:spacing w:val="-11"/>
                <w:sz w:val="18"/>
              </w:rPr>
              <w:t xml:space="preserve"> </w:t>
            </w:r>
            <w:r>
              <w:rPr>
                <w:sz w:val="18"/>
              </w:rPr>
              <w:t>uncommon</w:t>
            </w:r>
            <w:r>
              <w:rPr>
                <w:spacing w:val="-9"/>
                <w:sz w:val="18"/>
              </w:rPr>
              <w:t xml:space="preserve"> </w:t>
            </w:r>
            <w:r>
              <w:rPr>
                <w:sz w:val="18"/>
              </w:rPr>
              <w:t>and</w:t>
            </w:r>
            <w:r>
              <w:rPr>
                <w:spacing w:val="-9"/>
                <w:sz w:val="18"/>
              </w:rPr>
              <w:t xml:space="preserve"> </w:t>
            </w:r>
            <w:r>
              <w:rPr>
                <w:sz w:val="18"/>
              </w:rPr>
              <w:t xml:space="preserve">are assessed on a case by case </w:t>
            </w:r>
            <w:r>
              <w:rPr>
                <w:spacing w:val="-2"/>
                <w:sz w:val="18"/>
              </w:rPr>
              <w:t>basis.</w:t>
            </w:r>
          </w:p>
        </w:tc>
        <w:tc>
          <w:tcPr>
            <w:tcW w:w="3537" w:type="dxa"/>
          </w:tcPr>
          <w:p w14:paraId="7E0B035B" w14:textId="77777777" w:rsidR="00AC6F3C" w:rsidRDefault="00570E88">
            <w:pPr>
              <w:pStyle w:val="TableParagraph"/>
              <w:ind w:left="105"/>
              <w:rPr>
                <w:sz w:val="18"/>
              </w:rPr>
            </w:pPr>
            <w:r>
              <w:rPr>
                <w:sz w:val="18"/>
              </w:rPr>
              <w:t>Revenue</w:t>
            </w:r>
            <w:r>
              <w:rPr>
                <w:spacing w:val="-12"/>
                <w:sz w:val="18"/>
              </w:rPr>
              <w:t xml:space="preserve"> </w:t>
            </w:r>
            <w:r>
              <w:rPr>
                <w:sz w:val="18"/>
              </w:rPr>
              <w:t>is</w:t>
            </w:r>
            <w:r>
              <w:rPr>
                <w:spacing w:val="-12"/>
                <w:sz w:val="18"/>
              </w:rPr>
              <w:t xml:space="preserve"> </w:t>
            </w:r>
            <w:proofErr w:type="spellStart"/>
            <w:r>
              <w:rPr>
                <w:sz w:val="18"/>
              </w:rPr>
              <w:t>recognised</w:t>
            </w:r>
            <w:proofErr w:type="spellEnd"/>
            <w:r>
              <w:rPr>
                <w:spacing w:val="-12"/>
                <w:sz w:val="18"/>
              </w:rPr>
              <w:t xml:space="preserve"> </w:t>
            </w:r>
            <w:r>
              <w:rPr>
                <w:sz w:val="18"/>
              </w:rPr>
              <w:t>progressively throughout the period in line with completion of each service.</w:t>
            </w:r>
          </w:p>
        </w:tc>
      </w:tr>
      <w:tr w:rsidR="00AC6F3C" w14:paraId="4CEBFBAD" w14:textId="77777777">
        <w:trPr>
          <w:trHeight w:val="1895"/>
        </w:trPr>
        <w:tc>
          <w:tcPr>
            <w:tcW w:w="2119" w:type="dxa"/>
          </w:tcPr>
          <w:p w14:paraId="3E595C80" w14:textId="77777777" w:rsidR="00AC6F3C" w:rsidRDefault="00570E88">
            <w:pPr>
              <w:pStyle w:val="TableParagraph"/>
              <w:spacing w:line="206" w:lineRule="exact"/>
              <w:ind w:left="107"/>
              <w:rPr>
                <w:sz w:val="18"/>
              </w:rPr>
            </w:pPr>
            <w:r>
              <w:rPr>
                <w:sz w:val="18"/>
              </w:rPr>
              <w:t>Membership</w:t>
            </w:r>
            <w:r>
              <w:rPr>
                <w:spacing w:val="-5"/>
                <w:sz w:val="18"/>
              </w:rPr>
              <w:t xml:space="preserve"> </w:t>
            </w:r>
            <w:r>
              <w:rPr>
                <w:spacing w:val="-4"/>
                <w:sz w:val="18"/>
              </w:rPr>
              <w:t>fees</w:t>
            </w:r>
          </w:p>
        </w:tc>
        <w:tc>
          <w:tcPr>
            <w:tcW w:w="2839" w:type="dxa"/>
          </w:tcPr>
          <w:p w14:paraId="053E637C" w14:textId="77777777" w:rsidR="00AC6F3C" w:rsidRDefault="00570E88">
            <w:pPr>
              <w:pStyle w:val="TableParagraph"/>
              <w:ind w:left="105" w:right="42"/>
              <w:rPr>
                <w:sz w:val="18"/>
              </w:rPr>
            </w:pPr>
            <w:r>
              <w:rPr>
                <w:sz w:val="18"/>
              </w:rPr>
              <w:t>Memberships are valid for 12 months from 1 July each year. There</w:t>
            </w:r>
            <w:r>
              <w:rPr>
                <w:spacing w:val="-8"/>
                <w:sz w:val="18"/>
              </w:rPr>
              <w:t xml:space="preserve"> </w:t>
            </w:r>
            <w:r>
              <w:rPr>
                <w:sz w:val="18"/>
              </w:rPr>
              <w:t>is</w:t>
            </w:r>
            <w:r>
              <w:rPr>
                <w:spacing w:val="-7"/>
                <w:sz w:val="18"/>
              </w:rPr>
              <w:t xml:space="preserve"> </w:t>
            </w:r>
            <w:r>
              <w:rPr>
                <w:sz w:val="18"/>
              </w:rPr>
              <w:t>no</w:t>
            </w:r>
            <w:r>
              <w:rPr>
                <w:spacing w:val="-6"/>
                <w:sz w:val="18"/>
              </w:rPr>
              <w:t xml:space="preserve"> </w:t>
            </w:r>
            <w:r>
              <w:rPr>
                <w:sz w:val="18"/>
              </w:rPr>
              <w:t>provision</w:t>
            </w:r>
            <w:r>
              <w:rPr>
                <w:spacing w:val="-6"/>
                <w:sz w:val="18"/>
              </w:rPr>
              <w:t xml:space="preserve"> </w:t>
            </w:r>
            <w:r>
              <w:rPr>
                <w:sz w:val="18"/>
              </w:rPr>
              <w:t>for</w:t>
            </w:r>
            <w:r>
              <w:rPr>
                <w:spacing w:val="-8"/>
                <w:sz w:val="18"/>
              </w:rPr>
              <w:t xml:space="preserve"> </w:t>
            </w:r>
            <w:r>
              <w:rPr>
                <w:sz w:val="18"/>
              </w:rPr>
              <w:t>a</w:t>
            </w:r>
            <w:r>
              <w:rPr>
                <w:spacing w:val="-6"/>
                <w:sz w:val="18"/>
              </w:rPr>
              <w:t xml:space="preserve"> </w:t>
            </w:r>
            <w:r>
              <w:rPr>
                <w:sz w:val="18"/>
              </w:rPr>
              <w:t xml:space="preserve">return of funds should members cease to </w:t>
            </w:r>
            <w:proofErr w:type="spellStart"/>
            <w:r>
              <w:rPr>
                <w:sz w:val="18"/>
              </w:rPr>
              <w:t>practise</w:t>
            </w:r>
            <w:proofErr w:type="spellEnd"/>
            <w:r>
              <w:rPr>
                <w:sz w:val="18"/>
              </w:rPr>
              <w:t xml:space="preserve"> during the year.</w:t>
            </w:r>
          </w:p>
          <w:p w14:paraId="457B3C60" w14:textId="77777777" w:rsidR="00AC6F3C" w:rsidRDefault="00570E88">
            <w:pPr>
              <w:pStyle w:val="TableParagraph"/>
              <w:spacing w:before="1"/>
              <w:ind w:left="105" w:right="42"/>
              <w:rPr>
                <w:sz w:val="18"/>
              </w:rPr>
            </w:pPr>
            <w:r>
              <w:rPr>
                <w:sz w:val="18"/>
              </w:rPr>
              <w:t>Refunds</w:t>
            </w:r>
            <w:r>
              <w:rPr>
                <w:spacing w:val="-9"/>
                <w:sz w:val="18"/>
              </w:rPr>
              <w:t xml:space="preserve"> </w:t>
            </w:r>
            <w:r>
              <w:rPr>
                <w:sz w:val="18"/>
              </w:rPr>
              <w:t>are</w:t>
            </w:r>
            <w:r>
              <w:rPr>
                <w:spacing w:val="-11"/>
                <w:sz w:val="18"/>
              </w:rPr>
              <w:t xml:space="preserve"> </w:t>
            </w:r>
            <w:r>
              <w:rPr>
                <w:sz w:val="18"/>
              </w:rPr>
              <w:t>uncommon</w:t>
            </w:r>
            <w:r>
              <w:rPr>
                <w:spacing w:val="-9"/>
                <w:sz w:val="18"/>
              </w:rPr>
              <w:t xml:space="preserve"> </w:t>
            </w:r>
            <w:r>
              <w:rPr>
                <w:sz w:val="18"/>
              </w:rPr>
              <w:t>and</w:t>
            </w:r>
            <w:r>
              <w:rPr>
                <w:spacing w:val="-9"/>
                <w:sz w:val="18"/>
              </w:rPr>
              <w:t xml:space="preserve"> </w:t>
            </w:r>
            <w:r>
              <w:rPr>
                <w:sz w:val="18"/>
              </w:rPr>
              <w:t xml:space="preserve">are assessed on a case by case </w:t>
            </w:r>
            <w:r>
              <w:rPr>
                <w:spacing w:val="-2"/>
                <w:sz w:val="18"/>
              </w:rPr>
              <w:t>basis.</w:t>
            </w:r>
          </w:p>
        </w:tc>
        <w:tc>
          <w:tcPr>
            <w:tcW w:w="3537" w:type="dxa"/>
          </w:tcPr>
          <w:p w14:paraId="23C80EC9" w14:textId="77777777" w:rsidR="00AC6F3C" w:rsidRDefault="00570E88">
            <w:pPr>
              <w:pStyle w:val="TableParagraph"/>
              <w:ind w:left="105" w:right="75"/>
              <w:rPr>
                <w:sz w:val="18"/>
              </w:rPr>
            </w:pPr>
            <w:r>
              <w:rPr>
                <w:sz w:val="18"/>
              </w:rPr>
              <w:t>Revenue</w:t>
            </w:r>
            <w:r>
              <w:rPr>
                <w:spacing w:val="-6"/>
                <w:sz w:val="18"/>
              </w:rPr>
              <w:t xml:space="preserve"> </w:t>
            </w:r>
            <w:r>
              <w:rPr>
                <w:sz w:val="18"/>
              </w:rPr>
              <w:t>is</w:t>
            </w:r>
            <w:r>
              <w:rPr>
                <w:spacing w:val="-6"/>
                <w:sz w:val="18"/>
              </w:rPr>
              <w:t xml:space="preserve"> </w:t>
            </w:r>
            <w:proofErr w:type="spellStart"/>
            <w:r>
              <w:rPr>
                <w:sz w:val="18"/>
              </w:rPr>
              <w:t>recognised</w:t>
            </w:r>
            <w:proofErr w:type="spellEnd"/>
            <w:r>
              <w:rPr>
                <w:spacing w:val="-6"/>
                <w:sz w:val="18"/>
              </w:rPr>
              <w:t xml:space="preserve"> </w:t>
            </w:r>
            <w:r>
              <w:rPr>
                <w:sz w:val="18"/>
              </w:rPr>
              <w:t>at</w:t>
            </w:r>
            <w:r>
              <w:rPr>
                <w:spacing w:val="-7"/>
                <w:sz w:val="18"/>
              </w:rPr>
              <w:t xml:space="preserve"> </w:t>
            </w:r>
            <w:r>
              <w:rPr>
                <w:sz w:val="18"/>
              </w:rPr>
              <w:t>the</w:t>
            </w:r>
            <w:r>
              <w:rPr>
                <w:spacing w:val="-11"/>
                <w:sz w:val="18"/>
              </w:rPr>
              <w:t xml:space="preserve"> </w:t>
            </w:r>
            <w:r>
              <w:rPr>
                <w:sz w:val="18"/>
              </w:rPr>
              <w:t>completion of each service.</w:t>
            </w:r>
          </w:p>
        </w:tc>
      </w:tr>
      <w:tr w:rsidR="00AC6F3C" w14:paraId="2FAF95D8" w14:textId="77777777">
        <w:trPr>
          <w:trHeight w:val="1897"/>
        </w:trPr>
        <w:tc>
          <w:tcPr>
            <w:tcW w:w="2119" w:type="dxa"/>
          </w:tcPr>
          <w:p w14:paraId="142300B4" w14:textId="77777777" w:rsidR="00AC6F3C" w:rsidRDefault="00570E88">
            <w:pPr>
              <w:pStyle w:val="TableParagraph"/>
              <w:spacing w:before="1"/>
              <w:ind w:left="107" w:right="154"/>
              <w:rPr>
                <w:sz w:val="18"/>
              </w:rPr>
            </w:pPr>
            <w:r>
              <w:rPr>
                <w:sz w:val="18"/>
              </w:rPr>
              <w:t>Limitation</w:t>
            </w:r>
            <w:r>
              <w:rPr>
                <w:spacing w:val="-15"/>
                <w:sz w:val="18"/>
              </w:rPr>
              <w:t xml:space="preserve"> </w:t>
            </w:r>
            <w:r>
              <w:rPr>
                <w:sz w:val="18"/>
              </w:rPr>
              <w:t>of</w:t>
            </w:r>
            <w:r>
              <w:rPr>
                <w:spacing w:val="-12"/>
                <w:sz w:val="18"/>
              </w:rPr>
              <w:t xml:space="preserve"> </w:t>
            </w:r>
            <w:r>
              <w:rPr>
                <w:sz w:val="18"/>
              </w:rPr>
              <w:t xml:space="preserve">liability </w:t>
            </w:r>
            <w:r>
              <w:rPr>
                <w:spacing w:val="-2"/>
                <w:sz w:val="18"/>
              </w:rPr>
              <w:t>scheme</w:t>
            </w:r>
          </w:p>
        </w:tc>
        <w:tc>
          <w:tcPr>
            <w:tcW w:w="2839" w:type="dxa"/>
          </w:tcPr>
          <w:p w14:paraId="1DDEBF9A" w14:textId="77777777" w:rsidR="00AC6F3C" w:rsidRDefault="00570E88">
            <w:pPr>
              <w:pStyle w:val="TableParagraph"/>
              <w:spacing w:before="1"/>
              <w:ind w:left="105" w:right="132"/>
              <w:rPr>
                <w:sz w:val="18"/>
              </w:rPr>
            </w:pPr>
            <w:r>
              <w:rPr>
                <w:sz w:val="18"/>
              </w:rPr>
              <w:t>Scheme</w:t>
            </w:r>
            <w:r>
              <w:rPr>
                <w:spacing w:val="-9"/>
                <w:sz w:val="18"/>
              </w:rPr>
              <w:t xml:space="preserve"> </w:t>
            </w:r>
            <w:r>
              <w:rPr>
                <w:sz w:val="18"/>
              </w:rPr>
              <w:t>participation</w:t>
            </w:r>
            <w:r>
              <w:rPr>
                <w:spacing w:val="-9"/>
                <w:sz w:val="18"/>
              </w:rPr>
              <w:t xml:space="preserve"> </w:t>
            </w:r>
            <w:r>
              <w:rPr>
                <w:sz w:val="18"/>
              </w:rPr>
              <w:t>is</w:t>
            </w:r>
            <w:r>
              <w:rPr>
                <w:spacing w:val="-9"/>
                <w:sz w:val="18"/>
              </w:rPr>
              <w:t xml:space="preserve"> </w:t>
            </w:r>
            <w:r>
              <w:rPr>
                <w:sz w:val="18"/>
              </w:rPr>
              <w:t>valid</w:t>
            </w:r>
            <w:r>
              <w:rPr>
                <w:spacing w:val="-11"/>
                <w:sz w:val="18"/>
              </w:rPr>
              <w:t xml:space="preserve"> </w:t>
            </w:r>
            <w:r>
              <w:rPr>
                <w:sz w:val="18"/>
              </w:rPr>
              <w:t>for 12 months from 1 July each year.</w:t>
            </w:r>
            <w:r>
              <w:rPr>
                <w:spacing w:val="-5"/>
                <w:sz w:val="18"/>
              </w:rPr>
              <w:t xml:space="preserve"> </w:t>
            </w:r>
            <w:r>
              <w:rPr>
                <w:sz w:val="18"/>
              </w:rPr>
              <w:t>There</w:t>
            </w:r>
            <w:r>
              <w:rPr>
                <w:spacing w:val="-5"/>
                <w:sz w:val="18"/>
              </w:rPr>
              <w:t xml:space="preserve"> </w:t>
            </w:r>
            <w:r>
              <w:rPr>
                <w:sz w:val="18"/>
              </w:rPr>
              <w:t>is</w:t>
            </w:r>
            <w:r>
              <w:rPr>
                <w:spacing w:val="-4"/>
                <w:sz w:val="18"/>
              </w:rPr>
              <w:t xml:space="preserve"> </w:t>
            </w:r>
            <w:r>
              <w:rPr>
                <w:sz w:val="18"/>
              </w:rPr>
              <w:t>no</w:t>
            </w:r>
            <w:r>
              <w:rPr>
                <w:spacing w:val="-5"/>
                <w:sz w:val="18"/>
              </w:rPr>
              <w:t xml:space="preserve"> </w:t>
            </w:r>
            <w:r>
              <w:rPr>
                <w:sz w:val="18"/>
              </w:rPr>
              <w:t>provision</w:t>
            </w:r>
            <w:r>
              <w:rPr>
                <w:spacing w:val="-5"/>
                <w:sz w:val="18"/>
              </w:rPr>
              <w:t xml:space="preserve"> </w:t>
            </w:r>
            <w:r>
              <w:rPr>
                <w:sz w:val="18"/>
              </w:rPr>
              <w:t>for</w:t>
            </w:r>
            <w:r>
              <w:rPr>
                <w:spacing w:val="-5"/>
                <w:sz w:val="18"/>
              </w:rPr>
              <w:t xml:space="preserve"> </w:t>
            </w:r>
            <w:r>
              <w:rPr>
                <w:sz w:val="18"/>
              </w:rPr>
              <w:t>a return</w:t>
            </w:r>
            <w:r>
              <w:rPr>
                <w:spacing w:val="-10"/>
                <w:sz w:val="18"/>
              </w:rPr>
              <w:t xml:space="preserve"> </w:t>
            </w:r>
            <w:r>
              <w:rPr>
                <w:sz w:val="18"/>
              </w:rPr>
              <w:t>of</w:t>
            </w:r>
            <w:r>
              <w:rPr>
                <w:spacing w:val="-9"/>
                <w:sz w:val="18"/>
              </w:rPr>
              <w:t xml:space="preserve"> </w:t>
            </w:r>
            <w:r>
              <w:rPr>
                <w:sz w:val="18"/>
              </w:rPr>
              <w:t>funds</w:t>
            </w:r>
            <w:r>
              <w:rPr>
                <w:spacing w:val="-9"/>
                <w:sz w:val="18"/>
              </w:rPr>
              <w:t xml:space="preserve"> </w:t>
            </w:r>
            <w:r>
              <w:rPr>
                <w:sz w:val="18"/>
              </w:rPr>
              <w:t>should</w:t>
            </w:r>
            <w:r>
              <w:rPr>
                <w:spacing w:val="-10"/>
                <w:sz w:val="18"/>
              </w:rPr>
              <w:t xml:space="preserve"> </w:t>
            </w:r>
            <w:r>
              <w:rPr>
                <w:sz w:val="18"/>
              </w:rPr>
              <w:t xml:space="preserve">members cease to </w:t>
            </w:r>
            <w:proofErr w:type="spellStart"/>
            <w:r>
              <w:rPr>
                <w:sz w:val="18"/>
              </w:rPr>
              <w:t>practise</w:t>
            </w:r>
            <w:proofErr w:type="spellEnd"/>
            <w:r>
              <w:rPr>
                <w:sz w:val="18"/>
              </w:rPr>
              <w:t xml:space="preserve"> during the year. Refunds are uncommon and are assessed on a</w:t>
            </w:r>
            <w:r>
              <w:rPr>
                <w:spacing w:val="-1"/>
                <w:sz w:val="18"/>
              </w:rPr>
              <w:t xml:space="preserve"> </w:t>
            </w:r>
            <w:r>
              <w:rPr>
                <w:sz w:val="18"/>
              </w:rPr>
              <w:t>case by case basis.</w:t>
            </w:r>
          </w:p>
        </w:tc>
        <w:tc>
          <w:tcPr>
            <w:tcW w:w="3537" w:type="dxa"/>
          </w:tcPr>
          <w:p w14:paraId="056931FE" w14:textId="77777777" w:rsidR="00AC6F3C" w:rsidRDefault="00570E88">
            <w:pPr>
              <w:pStyle w:val="TableParagraph"/>
              <w:spacing w:before="1"/>
              <w:ind w:left="105" w:right="75"/>
              <w:rPr>
                <w:sz w:val="18"/>
              </w:rPr>
            </w:pPr>
            <w:r>
              <w:rPr>
                <w:sz w:val="18"/>
              </w:rPr>
              <w:t>Revenue</w:t>
            </w:r>
            <w:r>
              <w:rPr>
                <w:spacing w:val="-6"/>
                <w:sz w:val="18"/>
              </w:rPr>
              <w:t xml:space="preserve"> </w:t>
            </w:r>
            <w:r>
              <w:rPr>
                <w:sz w:val="18"/>
              </w:rPr>
              <w:t>is</w:t>
            </w:r>
            <w:r>
              <w:rPr>
                <w:spacing w:val="-6"/>
                <w:sz w:val="18"/>
              </w:rPr>
              <w:t xml:space="preserve"> </w:t>
            </w:r>
            <w:proofErr w:type="spellStart"/>
            <w:r>
              <w:rPr>
                <w:sz w:val="18"/>
              </w:rPr>
              <w:t>recognised</w:t>
            </w:r>
            <w:proofErr w:type="spellEnd"/>
            <w:r>
              <w:rPr>
                <w:spacing w:val="-6"/>
                <w:sz w:val="18"/>
              </w:rPr>
              <w:t xml:space="preserve"> </w:t>
            </w:r>
            <w:r>
              <w:rPr>
                <w:sz w:val="18"/>
              </w:rPr>
              <w:t>at</w:t>
            </w:r>
            <w:r>
              <w:rPr>
                <w:spacing w:val="-7"/>
                <w:sz w:val="18"/>
              </w:rPr>
              <w:t xml:space="preserve"> </w:t>
            </w:r>
            <w:r>
              <w:rPr>
                <w:sz w:val="18"/>
              </w:rPr>
              <w:t>the</w:t>
            </w:r>
            <w:r>
              <w:rPr>
                <w:spacing w:val="-11"/>
                <w:sz w:val="18"/>
              </w:rPr>
              <w:t xml:space="preserve"> </w:t>
            </w:r>
            <w:r>
              <w:rPr>
                <w:sz w:val="18"/>
              </w:rPr>
              <w:t>completion of each service.</w:t>
            </w:r>
          </w:p>
        </w:tc>
      </w:tr>
      <w:tr w:rsidR="00AC6F3C" w14:paraId="6CA2D07C" w14:textId="77777777">
        <w:trPr>
          <w:trHeight w:val="1895"/>
        </w:trPr>
        <w:tc>
          <w:tcPr>
            <w:tcW w:w="2119" w:type="dxa"/>
          </w:tcPr>
          <w:p w14:paraId="7E145EA0" w14:textId="77777777" w:rsidR="00AC6F3C" w:rsidRDefault="00570E88">
            <w:pPr>
              <w:pStyle w:val="TableParagraph"/>
              <w:ind w:left="107" w:right="154"/>
              <w:rPr>
                <w:sz w:val="18"/>
              </w:rPr>
            </w:pPr>
            <w:r>
              <w:rPr>
                <w:sz w:val="18"/>
              </w:rPr>
              <w:t>Specialist</w:t>
            </w:r>
            <w:r>
              <w:rPr>
                <w:spacing w:val="-13"/>
                <w:sz w:val="18"/>
              </w:rPr>
              <w:t xml:space="preserve"> </w:t>
            </w:r>
            <w:r>
              <w:rPr>
                <w:sz w:val="18"/>
              </w:rPr>
              <w:t xml:space="preserve">accreditation </w:t>
            </w:r>
            <w:r>
              <w:rPr>
                <w:spacing w:val="-4"/>
                <w:sz w:val="18"/>
              </w:rPr>
              <w:t>fee</w:t>
            </w:r>
          </w:p>
        </w:tc>
        <w:tc>
          <w:tcPr>
            <w:tcW w:w="2839" w:type="dxa"/>
          </w:tcPr>
          <w:p w14:paraId="6E7F1430" w14:textId="77777777" w:rsidR="00AC6F3C" w:rsidRDefault="00570E88">
            <w:pPr>
              <w:pStyle w:val="TableParagraph"/>
              <w:ind w:left="105" w:right="132"/>
              <w:rPr>
                <w:sz w:val="18"/>
              </w:rPr>
            </w:pPr>
            <w:r>
              <w:rPr>
                <w:sz w:val="18"/>
              </w:rPr>
              <w:t>Accreditation fees are valid for 12 months from 1 July each year.</w:t>
            </w:r>
            <w:r>
              <w:rPr>
                <w:spacing w:val="-5"/>
                <w:sz w:val="18"/>
              </w:rPr>
              <w:t xml:space="preserve"> </w:t>
            </w:r>
            <w:r>
              <w:rPr>
                <w:sz w:val="18"/>
              </w:rPr>
              <w:t>There</w:t>
            </w:r>
            <w:r>
              <w:rPr>
                <w:spacing w:val="-5"/>
                <w:sz w:val="18"/>
              </w:rPr>
              <w:t xml:space="preserve"> </w:t>
            </w:r>
            <w:r>
              <w:rPr>
                <w:sz w:val="18"/>
              </w:rPr>
              <w:t>is</w:t>
            </w:r>
            <w:r>
              <w:rPr>
                <w:spacing w:val="-4"/>
                <w:sz w:val="18"/>
              </w:rPr>
              <w:t xml:space="preserve"> </w:t>
            </w:r>
            <w:r>
              <w:rPr>
                <w:sz w:val="18"/>
              </w:rPr>
              <w:t>no</w:t>
            </w:r>
            <w:r>
              <w:rPr>
                <w:spacing w:val="-5"/>
                <w:sz w:val="18"/>
              </w:rPr>
              <w:t xml:space="preserve"> </w:t>
            </w:r>
            <w:r>
              <w:rPr>
                <w:sz w:val="18"/>
              </w:rPr>
              <w:t>provision</w:t>
            </w:r>
            <w:r>
              <w:rPr>
                <w:spacing w:val="-5"/>
                <w:sz w:val="18"/>
              </w:rPr>
              <w:t xml:space="preserve"> </w:t>
            </w:r>
            <w:r>
              <w:rPr>
                <w:sz w:val="18"/>
              </w:rPr>
              <w:t>for</w:t>
            </w:r>
            <w:r>
              <w:rPr>
                <w:spacing w:val="-5"/>
                <w:sz w:val="18"/>
              </w:rPr>
              <w:t xml:space="preserve"> </w:t>
            </w:r>
            <w:r>
              <w:rPr>
                <w:sz w:val="18"/>
              </w:rPr>
              <w:t>a return</w:t>
            </w:r>
            <w:r>
              <w:rPr>
                <w:spacing w:val="-11"/>
                <w:sz w:val="18"/>
              </w:rPr>
              <w:t xml:space="preserve"> </w:t>
            </w:r>
            <w:r>
              <w:rPr>
                <w:sz w:val="18"/>
              </w:rPr>
              <w:t>of</w:t>
            </w:r>
            <w:r>
              <w:rPr>
                <w:spacing w:val="-9"/>
                <w:sz w:val="18"/>
              </w:rPr>
              <w:t xml:space="preserve"> </w:t>
            </w:r>
            <w:r>
              <w:rPr>
                <w:sz w:val="18"/>
              </w:rPr>
              <w:t>funds</w:t>
            </w:r>
            <w:r>
              <w:rPr>
                <w:spacing w:val="-10"/>
                <w:sz w:val="18"/>
              </w:rPr>
              <w:t xml:space="preserve"> </w:t>
            </w:r>
            <w:r>
              <w:rPr>
                <w:sz w:val="18"/>
              </w:rPr>
              <w:t>should</w:t>
            </w:r>
            <w:r>
              <w:rPr>
                <w:spacing w:val="-11"/>
                <w:sz w:val="18"/>
              </w:rPr>
              <w:t xml:space="preserve"> </w:t>
            </w:r>
            <w:r>
              <w:rPr>
                <w:sz w:val="18"/>
              </w:rPr>
              <w:t xml:space="preserve">members cease to </w:t>
            </w:r>
            <w:proofErr w:type="spellStart"/>
            <w:r>
              <w:rPr>
                <w:sz w:val="18"/>
              </w:rPr>
              <w:t>practise</w:t>
            </w:r>
            <w:proofErr w:type="spellEnd"/>
            <w:r>
              <w:rPr>
                <w:sz w:val="18"/>
              </w:rPr>
              <w:t xml:space="preserve"> during the year. Refunds are uncommon and are assessed on a</w:t>
            </w:r>
            <w:r>
              <w:rPr>
                <w:spacing w:val="-1"/>
                <w:sz w:val="18"/>
              </w:rPr>
              <w:t xml:space="preserve"> </w:t>
            </w:r>
            <w:r>
              <w:rPr>
                <w:sz w:val="18"/>
              </w:rPr>
              <w:t>case by case basis.</w:t>
            </w:r>
          </w:p>
        </w:tc>
        <w:tc>
          <w:tcPr>
            <w:tcW w:w="3537" w:type="dxa"/>
          </w:tcPr>
          <w:p w14:paraId="1C365D37" w14:textId="77777777" w:rsidR="00AC6F3C" w:rsidRDefault="00570E88">
            <w:pPr>
              <w:pStyle w:val="TableParagraph"/>
              <w:ind w:left="105" w:right="75"/>
              <w:rPr>
                <w:sz w:val="18"/>
              </w:rPr>
            </w:pPr>
            <w:r>
              <w:rPr>
                <w:sz w:val="18"/>
              </w:rPr>
              <w:t>Revenue</w:t>
            </w:r>
            <w:r>
              <w:rPr>
                <w:spacing w:val="-6"/>
                <w:sz w:val="18"/>
              </w:rPr>
              <w:t xml:space="preserve"> </w:t>
            </w:r>
            <w:r>
              <w:rPr>
                <w:sz w:val="18"/>
              </w:rPr>
              <w:t>is</w:t>
            </w:r>
            <w:r>
              <w:rPr>
                <w:spacing w:val="-6"/>
                <w:sz w:val="18"/>
              </w:rPr>
              <w:t xml:space="preserve"> </w:t>
            </w:r>
            <w:proofErr w:type="spellStart"/>
            <w:r>
              <w:rPr>
                <w:sz w:val="18"/>
              </w:rPr>
              <w:t>recognised</w:t>
            </w:r>
            <w:proofErr w:type="spellEnd"/>
            <w:r>
              <w:rPr>
                <w:spacing w:val="-6"/>
                <w:sz w:val="18"/>
              </w:rPr>
              <w:t xml:space="preserve"> </w:t>
            </w:r>
            <w:r>
              <w:rPr>
                <w:sz w:val="18"/>
              </w:rPr>
              <w:t>at</w:t>
            </w:r>
            <w:r>
              <w:rPr>
                <w:spacing w:val="-7"/>
                <w:sz w:val="18"/>
              </w:rPr>
              <w:t xml:space="preserve"> </w:t>
            </w:r>
            <w:r>
              <w:rPr>
                <w:sz w:val="18"/>
              </w:rPr>
              <w:t>the</w:t>
            </w:r>
            <w:r>
              <w:rPr>
                <w:spacing w:val="-11"/>
                <w:sz w:val="18"/>
              </w:rPr>
              <w:t xml:space="preserve"> </w:t>
            </w:r>
            <w:r>
              <w:rPr>
                <w:sz w:val="18"/>
              </w:rPr>
              <w:t>completion of each service.</w:t>
            </w:r>
          </w:p>
        </w:tc>
      </w:tr>
      <w:tr w:rsidR="00AC6F3C" w14:paraId="680AF1B3" w14:textId="77777777">
        <w:trPr>
          <w:trHeight w:val="652"/>
        </w:trPr>
        <w:tc>
          <w:tcPr>
            <w:tcW w:w="2119" w:type="dxa"/>
          </w:tcPr>
          <w:p w14:paraId="3D250628" w14:textId="77777777" w:rsidR="00AC6F3C" w:rsidRDefault="00570E88">
            <w:pPr>
              <w:pStyle w:val="TableParagraph"/>
              <w:spacing w:line="206" w:lineRule="exact"/>
              <w:ind w:left="107"/>
              <w:rPr>
                <w:sz w:val="18"/>
              </w:rPr>
            </w:pPr>
            <w:r>
              <w:rPr>
                <w:sz w:val="18"/>
              </w:rPr>
              <w:t>Certificate</w:t>
            </w:r>
            <w:r>
              <w:rPr>
                <w:spacing w:val="-3"/>
                <w:sz w:val="18"/>
              </w:rPr>
              <w:t xml:space="preserve"> </w:t>
            </w:r>
            <w:r>
              <w:rPr>
                <w:sz w:val="18"/>
              </w:rPr>
              <w:t>of</w:t>
            </w:r>
            <w:r>
              <w:rPr>
                <w:spacing w:val="-1"/>
                <w:sz w:val="18"/>
              </w:rPr>
              <w:t xml:space="preserve"> </w:t>
            </w:r>
            <w:r>
              <w:rPr>
                <w:spacing w:val="-2"/>
                <w:sz w:val="18"/>
              </w:rPr>
              <w:t>fitness</w:t>
            </w:r>
          </w:p>
        </w:tc>
        <w:tc>
          <w:tcPr>
            <w:tcW w:w="2839" w:type="dxa"/>
          </w:tcPr>
          <w:p w14:paraId="5069EF97" w14:textId="77777777" w:rsidR="00AC6F3C" w:rsidRDefault="00570E88">
            <w:pPr>
              <w:pStyle w:val="TableParagraph"/>
              <w:ind w:left="105" w:right="42"/>
              <w:rPr>
                <w:sz w:val="18"/>
              </w:rPr>
            </w:pPr>
            <w:r>
              <w:rPr>
                <w:sz w:val="18"/>
              </w:rPr>
              <w:t>Certificates</w:t>
            </w:r>
            <w:r>
              <w:rPr>
                <w:spacing w:val="-9"/>
                <w:sz w:val="18"/>
              </w:rPr>
              <w:t xml:space="preserve"> </w:t>
            </w:r>
            <w:r>
              <w:rPr>
                <w:sz w:val="18"/>
              </w:rPr>
              <w:t>are</w:t>
            </w:r>
            <w:r>
              <w:rPr>
                <w:spacing w:val="-9"/>
                <w:sz w:val="18"/>
              </w:rPr>
              <w:t xml:space="preserve"> </w:t>
            </w:r>
            <w:r>
              <w:rPr>
                <w:sz w:val="18"/>
              </w:rPr>
              <w:t>issued</w:t>
            </w:r>
            <w:r>
              <w:rPr>
                <w:spacing w:val="-9"/>
                <w:sz w:val="18"/>
              </w:rPr>
              <w:t xml:space="preserve"> </w:t>
            </w:r>
            <w:r>
              <w:rPr>
                <w:sz w:val="18"/>
              </w:rPr>
              <w:t>within</w:t>
            </w:r>
            <w:r>
              <w:rPr>
                <w:spacing w:val="-11"/>
                <w:sz w:val="18"/>
              </w:rPr>
              <w:t xml:space="preserve"> </w:t>
            </w:r>
            <w:r>
              <w:rPr>
                <w:sz w:val="18"/>
              </w:rPr>
              <w:t>5 working</w:t>
            </w:r>
            <w:r>
              <w:rPr>
                <w:spacing w:val="-1"/>
                <w:sz w:val="18"/>
              </w:rPr>
              <w:t xml:space="preserve"> </w:t>
            </w:r>
            <w:r>
              <w:rPr>
                <w:sz w:val="18"/>
              </w:rPr>
              <w:t>days</w:t>
            </w:r>
            <w:r>
              <w:rPr>
                <w:spacing w:val="-2"/>
                <w:sz w:val="18"/>
              </w:rPr>
              <w:t xml:space="preserve"> </w:t>
            </w:r>
            <w:r>
              <w:rPr>
                <w:sz w:val="18"/>
              </w:rPr>
              <w:t>from</w:t>
            </w:r>
            <w:r>
              <w:rPr>
                <w:spacing w:val="-1"/>
                <w:sz w:val="18"/>
              </w:rPr>
              <w:t xml:space="preserve"> </w:t>
            </w:r>
            <w:r>
              <w:rPr>
                <w:spacing w:val="-2"/>
                <w:sz w:val="18"/>
              </w:rPr>
              <w:t>application.</w:t>
            </w:r>
          </w:p>
        </w:tc>
        <w:tc>
          <w:tcPr>
            <w:tcW w:w="3537" w:type="dxa"/>
          </w:tcPr>
          <w:p w14:paraId="0B196381" w14:textId="77777777" w:rsidR="00AC6F3C" w:rsidRDefault="00570E88">
            <w:pPr>
              <w:pStyle w:val="TableParagraph"/>
              <w:ind w:left="105" w:right="75"/>
              <w:rPr>
                <w:sz w:val="18"/>
              </w:rPr>
            </w:pPr>
            <w:r>
              <w:rPr>
                <w:sz w:val="18"/>
              </w:rPr>
              <w:t>Revenue</w:t>
            </w:r>
            <w:r>
              <w:rPr>
                <w:spacing w:val="-6"/>
                <w:sz w:val="18"/>
              </w:rPr>
              <w:t xml:space="preserve"> </w:t>
            </w:r>
            <w:r>
              <w:rPr>
                <w:sz w:val="18"/>
              </w:rPr>
              <w:t>is</w:t>
            </w:r>
            <w:r>
              <w:rPr>
                <w:spacing w:val="-6"/>
                <w:sz w:val="18"/>
              </w:rPr>
              <w:t xml:space="preserve"> </w:t>
            </w:r>
            <w:proofErr w:type="spellStart"/>
            <w:r>
              <w:rPr>
                <w:sz w:val="18"/>
              </w:rPr>
              <w:t>recognised</w:t>
            </w:r>
            <w:proofErr w:type="spellEnd"/>
            <w:r>
              <w:rPr>
                <w:spacing w:val="-6"/>
                <w:sz w:val="18"/>
              </w:rPr>
              <w:t xml:space="preserve"> </w:t>
            </w:r>
            <w:r>
              <w:rPr>
                <w:sz w:val="18"/>
              </w:rPr>
              <w:t>at</w:t>
            </w:r>
            <w:r>
              <w:rPr>
                <w:spacing w:val="-7"/>
                <w:sz w:val="18"/>
              </w:rPr>
              <w:t xml:space="preserve"> </w:t>
            </w:r>
            <w:r>
              <w:rPr>
                <w:sz w:val="18"/>
              </w:rPr>
              <w:t>the</w:t>
            </w:r>
            <w:r>
              <w:rPr>
                <w:spacing w:val="-11"/>
                <w:sz w:val="18"/>
              </w:rPr>
              <w:t xml:space="preserve"> </w:t>
            </w:r>
            <w:r>
              <w:rPr>
                <w:sz w:val="18"/>
              </w:rPr>
              <w:t>completion of each service.</w:t>
            </w:r>
          </w:p>
        </w:tc>
      </w:tr>
    </w:tbl>
    <w:p w14:paraId="06E755D2" w14:textId="77777777" w:rsidR="00AC6F3C" w:rsidRDefault="00AC6F3C">
      <w:pPr>
        <w:rPr>
          <w:sz w:val="18"/>
        </w:rPr>
        <w:sectPr w:rsidR="00AC6F3C">
          <w:pgSz w:w="11910" w:h="16840"/>
          <w:pgMar w:top="2020" w:right="1160" w:bottom="520" w:left="460" w:header="1228" w:footer="336" w:gutter="0"/>
          <w:cols w:space="720"/>
        </w:sectPr>
      </w:pPr>
    </w:p>
    <w:p w14:paraId="73D3FB14" w14:textId="77777777" w:rsidR="00AC6F3C" w:rsidRDefault="00AC6F3C">
      <w:pPr>
        <w:pStyle w:val="BodyText"/>
      </w:pPr>
    </w:p>
    <w:p w14:paraId="26542B66" w14:textId="77777777" w:rsidR="00AC6F3C" w:rsidRDefault="00AC6F3C">
      <w:pPr>
        <w:pStyle w:val="BodyText"/>
        <w:spacing w:before="8"/>
        <w:rPr>
          <w:sz w:val="21"/>
        </w:rPr>
      </w:pPr>
    </w:p>
    <w:p w14:paraId="0611A8B9" w14:textId="77777777" w:rsidR="00AC6F3C" w:rsidRDefault="00570E88">
      <w:pPr>
        <w:pStyle w:val="Heading7"/>
        <w:tabs>
          <w:tab w:val="left" w:pos="1810"/>
        </w:tabs>
        <w:spacing w:before="1"/>
      </w:pPr>
      <w:r>
        <w:rPr>
          <w:spacing w:val="-2"/>
        </w:rPr>
        <w:t>B1-</w:t>
      </w:r>
      <w:r>
        <w:rPr>
          <w:spacing w:val="-10"/>
        </w:rPr>
        <w:t>1</w:t>
      </w:r>
      <w:r>
        <w:tab/>
        <w:t>FEES</w:t>
      </w:r>
      <w:r>
        <w:rPr>
          <w:spacing w:val="-5"/>
        </w:rPr>
        <w:t xml:space="preserve"> </w:t>
      </w:r>
      <w:r>
        <w:t>AND</w:t>
      </w:r>
      <w:r>
        <w:rPr>
          <w:spacing w:val="-2"/>
        </w:rPr>
        <w:t xml:space="preserve"> </w:t>
      </w:r>
      <w:r>
        <w:t>MEMBERSHIP</w:t>
      </w:r>
      <w:r>
        <w:rPr>
          <w:spacing w:val="-2"/>
        </w:rPr>
        <w:t xml:space="preserve"> </w:t>
      </w:r>
      <w:r>
        <w:t>SERVICES</w:t>
      </w:r>
      <w:r>
        <w:rPr>
          <w:spacing w:val="-2"/>
        </w:rPr>
        <w:t xml:space="preserve"> (continued)</w:t>
      </w:r>
    </w:p>
    <w:p w14:paraId="6E826B50" w14:textId="77777777" w:rsidR="00AC6F3C" w:rsidRDefault="00AC6F3C">
      <w:pPr>
        <w:pStyle w:val="BodyText"/>
        <w:spacing w:before="8"/>
        <w:rPr>
          <w:b/>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1109"/>
        <w:gridCol w:w="1139"/>
        <w:gridCol w:w="397"/>
        <w:gridCol w:w="719"/>
      </w:tblGrid>
      <w:tr w:rsidR="00AC6F3C" w14:paraId="5A19B3A5" w14:textId="77777777">
        <w:trPr>
          <w:trHeight w:val="881"/>
        </w:trPr>
        <w:tc>
          <w:tcPr>
            <w:tcW w:w="3843" w:type="dxa"/>
            <w:tcBorders>
              <w:top w:val="single" w:sz="6" w:space="0" w:color="000000"/>
              <w:left w:val="single" w:sz="6" w:space="0" w:color="000000"/>
              <w:bottom w:val="single" w:sz="6" w:space="0" w:color="000000"/>
            </w:tcBorders>
            <w:shd w:val="clear" w:color="auto" w:fill="BEBEBE"/>
          </w:tcPr>
          <w:p w14:paraId="1C5BDF6A" w14:textId="77777777" w:rsidR="00AC6F3C" w:rsidRDefault="00AC6F3C">
            <w:pPr>
              <w:pStyle w:val="TableParagraph"/>
              <w:rPr>
                <w:rFonts w:ascii="Times New Roman"/>
                <w:sz w:val="18"/>
              </w:rPr>
            </w:pPr>
          </w:p>
        </w:tc>
        <w:tc>
          <w:tcPr>
            <w:tcW w:w="2248" w:type="dxa"/>
            <w:gridSpan w:val="2"/>
            <w:tcBorders>
              <w:top w:val="single" w:sz="6" w:space="0" w:color="000000"/>
              <w:bottom w:val="single" w:sz="6" w:space="0" w:color="000000"/>
            </w:tcBorders>
            <w:shd w:val="clear" w:color="auto" w:fill="BEBEBE"/>
          </w:tcPr>
          <w:p w14:paraId="0B96A906" w14:textId="77777777" w:rsidR="00AC6F3C" w:rsidRDefault="00570E88">
            <w:pPr>
              <w:pStyle w:val="TableParagraph"/>
              <w:spacing w:before="55"/>
              <w:ind w:left="591"/>
              <w:rPr>
                <w:b/>
                <w:sz w:val="18"/>
              </w:rPr>
            </w:pPr>
            <w:r>
              <w:rPr>
                <w:b/>
                <w:spacing w:val="-2"/>
                <w:sz w:val="18"/>
              </w:rPr>
              <w:t>Consolidated</w:t>
            </w:r>
          </w:p>
          <w:p w14:paraId="2DDEF18B" w14:textId="77777777" w:rsidR="00AC6F3C" w:rsidRDefault="00570E88">
            <w:pPr>
              <w:pStyle w:val="TableParagraph"/>
              <w:tabs>
                <w:tab w:val="left" w:pos="1804"/>
              </w:tabs>
              <w:spacing w:before="77"/>
              <w:ind w:left="681"/>
              <w:rPr>
                <w:b/>
                <w:sz w:val="18"/>
              </w:rPr>
            </w:pPr>
            <w:r>
              <w:rPr>
                <w:b/>
                <w:spacing w:val="-4"/>
                <w:sz w:val="18"/>
              </w:rPr>
              <w:t>2023</w:t>
            </w:r>
            <w:r>
              <w:rPr>
                <w:b/>
                <w:sz w:val="18"/>
              </w:rPr>
              <w:tab/>
            </w:r>
            <w:r>
              <w:rPr>
                <w:b/>
                <w:spacing w:val="-4"/>
                <w:sz w:val="18"/>
              </w:rPr>
              <w:t>2022</w:t>
            </w:r>
          </w:p>
          <w:p w14:paraId="5CE53B55" w14:textId="77777777" w:rsidR="00AC6F3C" w:rsidRDefault="00570E88">
            <w:pPr>
              <w:pStyle w:val="TableParagraph"/>
              <w:tabs>
                <w:tab w:val="left" w:pos="1759"/>
              </w:tabs>
              <w:spacing w:before="92"/>
              <w:ind w:left="636"/>
              <w:rPr>
                <w:b/>
                <w:sz w:val="18"/>
              </w:rPr>
            </w:pPr>
            <w:r>
              <w:rPr>
                <w:b/>
                <w:spacing w:val="-2"/>
                <w:sz w:val="18"/>
              </w:rPr>
              <w:t>$’000</w:t>
            </w:r>
            <w:r>
              <w:rPr>
                <w:b/>
                <w:sz w:val="18"/>
              </w:rPr>
              <w:tab/>
            </w:r>
            <w:r>
              <w:rPr>
                <w:b/>
                <w:spacing w:val="-2"/>
                <w:sz w:val="18"/>
              </w:rPr>
              <w:t>$’000</w:t>
            </w:r>
          </w:p>
        </w:tc>
        <w:tc>
          <w:tcPr>
            <w:tcW w:w="1536" w:type="dxa"/>
            <w:gridSpan w:val="2"/>
            <w:tcBorders>
              <w:top w:val="single" w:sz="6" w:space="0" w:color="000000"/>
              <w:bottom w:val="single" w:sz="6" w:space="0" w:color="000000"/>
            </w:tcBorders>
            <w:shd w:val="clear" w:color="auto" w:fill="BEBEBE"/>
          </w:tcPr>
          <w:p w14:paraId="612223EA" w14:textId="77777777" w:rsidR="00AC6F3C" w:rsidRDefault="00570E88">
            <w:pPr>
              <w:pStyle w:val="TableParagraph"/>
              <w:spacing w:before="55" w:line="328" w:lineRule="auto"/>
              <w:ind w:left="680" w:firstLine="179"/>
              <w:rPr>
                <w:b/>
                <w:sz w:val="18"/>
              </w:rPr>
            </w:pPr>
            <w:r>
              <w:rPr>
                <w:b/>
                <w:spacing w:val="-2"/>
                <w:sz w:val="18"/>
              </w:rPr>
              <w:t xml:space="preserve">Parent </w:t>
            </w:r>
            <w:r>
              <w:rPr>
                <w:b/>
                <w:spacing w:val="-4"/>
                <w:sz w:val="18"/>
              </w:rPr>
              <w:t>2023</w:t>
            </w:r>
          </w:p>
          <w:p w14:paraId="75C8A165" w14:textId="77777777" w:rsidR="00AC6F3C" w:rsidRDefault="00570E88">
            <w:pPr>
              <w:pStyle w:val="TableParagraph"/>
              <w:spacing w:before="16"/>
              <w:ind w:left="635"/>
              <w:rPr>
                <w:b/>
                <w:sz w:val="18"/>
              </w:rPr>
            </w:pPr>
            <w:r>
              <w:rPr>
                <w:b/>
                <w:spacing w:val="-2"/>
                <w:sz w:val="18"/>
              </w:rPr>
              <w:t>$’000</w:t>
            </w:r>
          </w:p>
        </w:tc>
        <w:tc>
          <w:tcPr>
            <w:tcW w:w="719" w:type="dxa"/>
            <w:tcBorders>
              <w:top w:val="single" w:sz="6" w:space="0" w:color="000000"/>
              <w:bottom w:val="single" w:sz="6" w:space="0" w:color="000000"/>
              <w:right w:val="single" w:sz="6" w:space="0" w:color="000000"/>
            </w:tcBorders>
            <w:shd w:val="clear" w:color="auto" w:fill="BEBEBE"/>
          </w:tcPr>
          <w:p w14:paraId="2CE49448" w14:textId="77777777" w:rsidR="00AC6F3C" w:rsidRDefault="00AC6F3C">
            <w:pPr>
              <w:pStyle w:val="TableParagraph"/>
              <w:spacing w:before="5"/>
              <w:rPr>
                <w:b/>
                <w:sz w:val="29"/>
              </w:rPr>
            </w:pPr>
          </w:p>
          <w:p w14:paraId="581959E8" w14:textId="77777777" w:rsidR="00AC6F3C" w:rsidRDefault="00570E88">
            <w:pPr>
              <w:pStyle w:val="TableParagraph"/>
              <w:spacing w:before="1"/>
              <w:ind w:left="267"/>
              <w:rPr>
                <w:b/>
                <w:sz w:val="18"/>
              </w:rPr>
            </w:pPr>
            <w:r>
              <w:rPr>
                <w:b/>
                <w:spacing w:val="-4"/>
                <w:sz w:val="18"/>
              </w:rPr>
              <w:t>2022</w:t>
            </w:r>
          </w:p>
          <w:p w14:paraId="5F9B0B9F" w14:textId="77777777" w:rsidR="00AC6F3C" w:rsidRDefault="00570E88">
            <w:pPr>
              <w:pStyle w:val="TableParagraph"/>
              <w:spacing w:before="92"/>
              <w:ind w:left="222"/>
              <w:rPr>
                <w:b/>
                <w:sz w:val="18"/>
              </w:rPr>
            </w:pPr>
            <w:r>
              <w:rPr>
                <w:b/>
                <w:spacing w:val="-2"/>
                <w:sz w:val="18"/>
              </w:rPr>
              <w:t>$’000</w:t>
            </w:r>
          </w:p>
        </w:tc>
      </w:tr>
      <w:tr w:rsidR="00AC6F3C" w14:paraId="6A3291CD" w14:textId="77777777">
        <w:trPr>
          <w:trHeight w:val="296"/>
        </w:trPr>
        <w:tc>
          <w:tcPr>
            <w:tcW w:w="3843" w:type="dxa"/>
            <w:tcBorders>
              <w:top w:val="single" w:sz="6" w:space="0" w:color="000000"/>
              <w:left w:val="single" w:sz="6" w:space="0" w:color="000000"/>
            </w:tcBorders>
          </w:tcPr>
          <w:p w14:paraId="270D9576" w14:textId="77777777" w:rsidR="00AC6F3C" w:rsidRDefault="00570E88">
            <w:pPr>
              <w:pStyle w:val="TableParagraph"/>
              <w:spacing w:before="40"/>
              <w:ind w:left="37"/>
              <w:rPr>
                <w:b/>
                <w:sz w:val="18"/>
              </w:rPr>
            </w:pPr>
            <w:r>
              <w:rPr>
                <w:b/>
                <w:spacing w:val="-2"/>
                <w:sz w:val="18"/>
              </w:rPr>
              <w:t>Membership</w:t>
            </w:r>
            <w:r>
              <w:rPr>
                <w:b/>
                <w:spacing w:val="-7"/>
                <w:sz w:val="18"/>
              </w:rPr>
              <w:t xml:space="preserve"> </w:t>
            </w:r>
            <w:r>
              <w:rPr>
                <w:b/>
                <w:spacing w:val="-2"/>
                <w:sz w:val="18"/>
              </w:rPr>
              <w:t>and</w:t>
            </w:r>
            <w:r>
              <w:rPr>
                <w:b/>
                <w:spacing w:val="-6"/>
                <w:sz w:val="18"/>
              </w:rPr>
              <w:t xml:space="preserve"> </w:t>
            </w:r>
            <w:r>
              <w:rPr>
                <w:b/>
                <w:spacing w:val="-2"/>
                <w:sz w:val="18"/>
              </w:rPr>
              <w:t>practitioner</w:t>
            </w:r>
            <w:r>
              <w:rPr>
                <w:b/>
                <w:spacing w:val="5"/>
                <w:sz w:val="18"/>
              </w:rPr>
              <w:t xml:space="preserve"> </w:t>
            </w:r>
            <w:r>
              <w:rPr>
                <w:b/>
                <w:spacing w:val="-4"/>
                <w:sz w:val="18"/>
              </w:rPr>
              <w:t>fees</w:t>
            </w:r>
          </w:p>
        </w:tc>
        <w:tc>
          <w:tcPr>
            <w:tcW w:w="1139" w:type="dxa"/>
            <w:tcBorders>
              <w:top w:val="single" w:sz="6" w:space="0" w:color="000000"/>
            </w:tcBorders>
            <w:shd w:val="clear" w:color="auto" w:fill="F1F1F1"/>
          </w:tcPr>
          <w:p w14:paraId="4F2BA582" w14:textId="77777777" w:rsidR="00AC6F3C" w:rsidRDefault="00AC6F3C">
            <w:pPr>
              <w:pStyle w:val="TableParagraph"/>
              <w:rPr>
                <w:rFonts w:ascii="Times New Roman"/>
                <w:sz w:val="18"/>
              </w:rPr>
            </w:pPr>
          </w:p>
        </w:tc>
        <w:tc>
          <w:tcPr>
            <w:tcW w:w="1109" w:type="dxa"/>
            <w:tcBorders>
              <w:top w:val="single" w:sz="6" w:space="0" w:color="000000"/>
            </w:tcBorders>
          </w:tcPr>
          <w:p w14:paraId="58795DAB"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430B431C" w14:textId="77777777" w:rsidR="00AC6F3C" w:rsidRDefault="00AC6F3C">
            <w:pPr>
              <w:pStyle w:val="TableParagraph"/>
              <w:rPr>
                <w:rFonts w:ascii="Times New Roman"/>
                <w:sz w:val="18"/>
              </w:rPr>
            </w:pPr>
          </w:p>
        </w:tc>
        <w:tc>
          <w:tcPr>
            <w:tcW w:w="1116" w:type="dxa"/>
            <w:gridSpan w:val="2"/>
            <w:tcBorders>
              <w:top w:val="single" w:sz="6" w:space="0" w:color="000000"/>
              <w:right w:val="single" w:sz="6" w:space="0" w:color="000000"/>
            </w:tcBorders>
          </w:tcPr>
          <w:p w14:paraId="221A68C8" w14:textId="77777777" w:rsidR="00AC6F3C" w:rsidRDefault="00AC6F3C">
            <w:pPr>
              <w:pStyle w:val="TableParagraph"/>
              <w:rPr>
                <w:rFonts w:ascii="Times New Roman"/>
                <w:sz w:val="18"/>
              </w:rPr>
            </w:pPr>
          </w:p>
        </w:tc>
      </w:tr>
      <w:tr w:rsidR="00AC6F3C" w14:paraId="5ADF3CBB" w14:textId="77777777">
        <w:trPr>
          <w:trHeight w:val="298"/>
        </w:trPr>
        <w:tc>
          <w:tcPr>
            <w:tcW w:w="3843" w:type="dxa"/>
            <w:tcBorders>
              <w:left w:val="single" w:sz="6" w:space="0" w:color="000000"/>
            </w:tcBorders>
          </w:tcPr>
          <w:p w14:paraId="31105AD0" w14:textId="77777777" w:rsidR="00AC6F3C" w:rsidRDefault="00570E88">
            <w:pPr>
              <w:pStyle w:val="TableParagraph"/>
              <w:spacing w:before="43"/>
              <w:ind w:left="37"/>
              <w:rPr>
                <w:sz w:val="18"/>
              </w:rPr>
            </w:pPr>
            <w:proofErr w:type="spellStart"/>
            <w:r>
              <w:rPr>
                <w:sz w:val="18"/>
              </w:rPr>
              <w:t>Practising</w:t>
            </w:r>
            <w:proofErr w:type="spellEnd"/>
            <w:r>
              <w:rPr>
                <w:spacing w:val="5"/>
                <w:sz w:val="18"/>
              </w:rPr>
              <w:t xml:space="preserve"> </w:t>
            </w:r>
            <w:r>
              <w:rPr>
                <w:sz w:val="18"/>
              </w:rPr>
              <w:t>certificate</w:t>
            </w:r>
            <w:r>
              <w:rPr>
                <w:spacing w:val="6"/>
                <w:sz w:val="18"/>
              </w:rPr>
              <w:t xml:space="preserve"> </w:t>
            </w:r>
            <w:r>
              <w:rPr>
                <w:spacing w:val="-4"/>
                <w:sz w:val="18"/>
              </w:rPr>
              <w:t>fees</w:t>
            </w:r>
          </w:p>
        </w:tc>
        <w:tc>
          <w:tcPr>
            <w:tcW w:w="1139" w:type="dxa"/>
            <w:shd w:val="clear" w:color="auto" w:fill="F1F1F1"/>
          </w:tcPr>
          <w:p w14:paraId="5B78A245" w14:textId="77777777" w:rsidR="00AC6F3C" w:rsidRDefault="00570E88">
            <w:pPr>
              <w:pStyle w:val="TableParagraph"/>
              <w:spacing w:before="43"/>
              <w:ind w:right="36"/>
              <w:jc w:val="right"/>
              <w:rPr>
                <w:sz w:val="18"/>
              </w:rPr>
            </w:pPr>
            <w:r>
              <w:rPr>
                <w:spacing w:val="-2"/>
                <w:sz w:val="18"/>
              </w:rPr>
              <w:t>9,349</w:t>
            </w:r>
          </w:p>
        </w:tc>
        <w:tc>
          <w:tcPr>
            <w:tcW w:w="1109" w:type="dxa"/>
          </w:tcPr>
          <w:p w14:paraId="3DF6208F" w14:textId="77777777" w:rsidR="00AC6F3C" w:rsidRDefault="00570E88">
            <w:pPr>
              <w:pStyle w:val="TableParagraph"/>
              <w:spacing w:before="43"/>
              <w:ind w:right="21"/>
              <w:jc w:val="right"/>
              <w:rPr>
                <w:sz w:val="18"/>
              </w:rPr>
            </w:pPr>
            <w:r>
              <w:rPr>
                <w:spacing w:val="-2"/>
                <w:sz w:val="18"/>
              </w:rPr>
              <w:t>8,865</w:t>
            </w:r>
          </w:p>
        </w:tc>
        <w:tc>
          <w:tcPr>
            <w:tcW w:w="1139" w:type="dxa"/>
            <w:shd w:val="clear" w:color="auto" w:fill="F1F1F1"/>
          </w:tcPr>
          <w:p w14:paraId="264BF294" w14:textId="77777777" w:rsidR="00AC6F3C" w:rsidRDefault="00570E88">
            <w:pPr>
              <w:pStyle w:val="TableParagraph"/>
              <w:spacing w:before="43"/>
              <w:ind w:right="37"/>
              <w:jc w:val="right"/>
              <w:rPr>
                <w:sz w:val="18"/>
              </w:rPr>
            </w:pPr>
            <w:r>
              <w:rPr>
                <w:spacing w:val="-2"/>
                <w:sz w:val="18"/>
              </w:rPr>
              <w:t>9,357</w:t>
            </w:r>
          </w:p>
        </w:tc>
        <w:tc>
          <w:tcPr>
            <w:tcW w:w="1116" w:type="dxa"/>
            <w:gridSpan w:val="2"/>
            <w:tcBorders>
              <w:right w:val="single" w:sz="6" w:space="0" w:color="000000"/>
            </w:tcBorders>
          </w:tcPr>
          <w:p w14:paraId="4AA5EF6E" w14:textId="77777777" w:rsidR="00AC6F3C" w:rsidRDefault="00570E88">
            <w:pPr>
              <w:pStyle w:val="TableParagraph"/>
              <w:spacing w:before="43"/>
              <w:ind w:left="620"/>
              <w:rPr>
                <w:sz w:val="18"/>
              </w:rPr>
            </w:pPr>
            <w:r>
              <w:rPr>
                <w:spacing w:val="-2"/>
                <w:sz w:val="18"/>
              </w:rPr>
              <w:t>8,872</w:t>
            </w:r>
          </w:p>
        </w:tc>
      </w:tr>
      <w:tr w:rsidR="00AC6F3C" w14:paraId="2B621122" w14:textId="77777777">
        <w:trPr>
          <w:trHeight w:val="298"/>
        </w:trPr>
        <w:tc>
          <w:tcPr>
            <w:tcW w:w="3843" w:type="dxa"/>
            <w:tcBorders>
              <w:left w:val="single" w:sz="6" w:space="0" w:color="000000"/>
            </w:tcBorders>
          </w:tcPr>
          <w:p w14:paraId="4129AFBE" w14:textId="77777777" w:rsidR="00AC6F3C" w:rsidRDefault="00570E88">
            <w:pPr>
              <w:pStyle w:val="TableParagraph"/>
              <w:spacing w:before="43"/>
              <w:ind w:left="37"/>
              <w:rPr>
                <w:sz w:val="18"/>
              </w:rPr>
            </w:pPr>
            <w:r>
              <w:rPr>
                <w:sz w:val="18"/>
              </w:rPr>
              <w:t>Member</w:t>
            </w:r>
            <w:r>
              <w:rPr>
                <w:spacing w:val="-1"/>
                <w:sz w:val="18"/>
              </w:rPr>
              <w:t xml:space="preserve"> </w:t>
            </w:r>
            <w:r>
              <w:rPr>
                <w:spacing w:val="-4"/>
                <w:sz w:val="18"/>
              </w:rPr>
              <w:t>fees</w:t>
            </w:r>
          </w:p>
        </w:tc>
        <w:tc>
          <w:tcPr>
            <w:tcW w:w="1139" w:type="dxa"/>
            <w:shd w:val="clear" w:color="auto" w:fill="F1F1F1"/>
          </w:tcPr>
          <w:p w14:paraId="7747F5BF" w14:textId="77777777" w:rsidR="00AC6F3C" w:rsidRDefault="00570E88">
            <w:pPr>
              <w:pStyle w:val="TableParagraph"/>
              <w:spacing w:before="43"/>
              <w:ind w:right="36"/>
              <w:jc w:val="right"/>
              <w:rPr>
                <w:sz w:val="18"/>
              </w:rPr>
            </w:pPr>
            <w:r>
              <w:rPr>
                <w:spacing w:val="-2"/>
                <w:sz w:val="18"/>
              </w:rPr>
              <w:t>5,967</w:t>
            </w:r>
          </w:p>
        </w:tc>
        <w:tc>
          <w:tcPr>
            <w:tcW w:w="1109" w:type="dxa"/>
          </w:tcPr>
          <w:p w14:paraId="1EAB858B" w14:textId="77777777" w:rsidR="00AC6F3C" w:rsidRDefault="00570E88">
            <w:pPr>
              <w:pStyle w:val="TableParagraph"/>
              <w:spacing w:before="43"/>
              <w:ind w:right="21"/>
              <w:jc w:val="right"/>
              <w:rPr>
                <w:sz w:val="18"/>
              </w:rPr>
            </w:pPr>
            <w:r>
              <w:rPr>
                <w:spacing w:val="-2"/>
                <w:sz w:val="18"/>
              </w:rPr>
              <w:t>5,894</w:t>
            </w:r>
          </w:p>
        </w:tc>
        <w:tc>
          <w:tcPr>
            <w:tcW w:w="1139" w:type="dxa"/>
            <w:shd w:val="clear" w:color="auto" w:fill="F1F1F1"/>
          </w:tcPr>
          <w:p w14:paraId="352EE15D" w14:textId="77777777" w:rsidR="00AC6F3C" w:rsidRDefault="00570E88">
            <w:pPr>
              <w:pStyle w:val="TableParagraph"/>
              <w:spacing w:before="43"/>
              <w:ind w:right="37"/>
              <w:jc w:val="right"/>
              <w:rPr>
                <w:sz w:val="18"/>
              </w:rPr>
            </w:pPr>
            <w:r>
              <w:rPr>
                <w:spacing w:val="-2"/>
                <w:sz w:val="18"/>
              </w:rPr>
              <w:t>5,978</w:t>
            </w:r>
          </w:p>
        </w:tc>
        <w:tc>
          <w:tcPr>
            <w:tcW w:w="1116" w:type="dxa"/>
            <w:gridSpan w:val="2"/>
            <w:tcBorders>
              <w:right w:val="single" w:sz="6" w:space="0" w:color="000000"/>
            </w:tcBorders>
          </w:tcPr>
          <w:p w14:paraId="62888BA5" w14:textId="77777777" w:rsidR="00AC6F3C" w:rsidRDefault="00570E88">
            <w:pPr>
              <w:pStyle w:val="TableParagraph"/>
              <w:spacing w:before="43"/>
              <w:ind w:left="620"/>
              <w:rPr>
                <w:sz w:val="18"/>
              </w:rPr>
            </w:pPr>
            <w:r>
              <w:rPr>
                <w:spacing w:val="-2"/>
                <w:sz w:val="18"/>
              </w:rPr>
              <w:t>5,900</w:t>
            </w:r>
          </w:p>
        </w:tc>
      </w:tr>
      <w:tr w:rsidR="00AC6F3C" w14:paraId="29152AA8" w14:textId="77777777">
        <w:trPr>
          <w:trHeight w:val="298"/>
        </w:trPr>
        <w:tc>
          <w:tcPr>
            <w:tcW w:w="3843" w:type="dxa"/>
            <w:tcBorders>
              <w:left w:val="single" w:sz="6" w:space="0" w:color="000000"/>
            </w:tcBorders>
          </w:tcPr>
          <w:p w14:paraId="6C38172C" w14:textId="77777777" w:rsidR="00AC6F3C" w:rsidRDefault="00570E88">
            <w:pPr>
              <w:pStyle w:val="TableParagraph"/>
              <w:spacing w:before="43"/>
              <w:ind w:left="37"/>
              <w:rPr>
                <w:sz w:val="18"/>
              </w:rPr>
            </w:pPr>
            <w:r>
              <w:rPr>
                <w:sz w:val="18"/>
              </w:rPr>
              <w:t>Limitation</w:t>
            </w:r>
            <w:r>
              <w:rPr>
                <w:spacing w:val="19"/>
                <w:sz w:val="18"/>
              </w:rPr>
              <w:t xml:space="preserve"> </w:t>
            </w:r>
            <w:r>
              <w:rPr>
                <w:sz w:val="18"/>
              </w:rPr>
              <w:t>of</w:t>
            </w:r>
            <w:r>
              <w:rPr>
                <w:spacing w:val="6"/>
                <w:sz w:val="18"/>
              </w:rPr>
              <w:t xml:space="preserve"> </w:t>
            </w:r>
            <w:r>
              <w:rPr>
                <w:sz w:val="18"/>
              </w:rPr>
              <w:t>liability</w:t>
            </w:r>
            <w:r>
              <w:rPr>
                <w:spacing w:val="-9"/>
                <w:sz w:val="18"/>
              </w:rPr>
              <w:t xml:space="preserve"> </w:t>
            </w:r>
            <w:r>
              <w:rPr>
                <w:spacing w:val="-2"/>
                <w:sz w:val="18"/>
              </w:rPr>
              <w:t>scheme</w:t>
            </w:r>
          </w:p>
        </w:tc>
        <w:tc>
          <w:tcPr>
            <w:tcW w:w="1139" w:type="dxa"/>
            <w:shd w:val="clear" w:color="auto" w:fill="F1F1F1"/>
          </w:tcPr>
          <w:p w14:paraId="3EDDDA50" w14:textId="77777777" w:rsidR="00AC6F3C" w:rsidRDefault="00570E88">
            <w:pPr>
              <w:pStyle w:val="TableParagraph"/>
              <w:spacing w:before="43"/>
              <w:ind w:right="36"/>
              <w:jc w:val="right"/>
              <w:rPr>
                <w:sz w:val="18"/>
              </w:rPr>
            </w:pPr>
            <w:r>
              <w:rPr>
                <w:spacing w:val="-2"/>
                <w:sz w:val="18"/>
              </w:rPr>
              <w:t>1,092</w:t>
            </w:r>
          </w:p>
        </w:tc>
        <w:tc>
          <w:tcPr>
            <w:tcW w:w="1109" w:type="dxa"/>
          </w:tcPr>
          <w:p w14:paraId="600CF51E" w14:textId="77777777" w:rsidR="00AC6F3C" w:rsidRDefault="00570E88">
            <w:pPr>
              <w:pStyle w:val="TableParagraph"/>
              <w:spacing w:before="43"/>
              <w:ind w:right="21"/>
              <w:jc w:val="right"/>
              <w:rPr>
                <w:sz w:val="18"/>
              </w:rPr>
            </w:pPr>
            <w:r>
              <w:rPr>
                <w:spacing w:val="-2"/>
                <w:sz w:val="18"/>
              </w:rPr>
              <w:t>1,021</w:t>
            </w:r>
          </w:p>
        </w:tc>
        <w:tc>
          <w:tcPr>
            <w:tcW w:w="1139" w:type="dxa"/>
            <w:shd w:val="clear" w:color="auto" w:fill="F1F1F1"/>
          </w:tcPr>
          <w:p w14:paraId="6C2479BB" w14:textId="77777777" w:rsidR="00AC6F3C" w:rsidRDefault="00570E88">
            <w:pPr>
              <w:pStyle w:val="TableParagraph"/>
              <w:spacing w:before="43"/>
              <w:ind w:right="37"/>
              <w:jc w:val="right"/>
              <w:rPr>
                <w:sz w:val="18"/>
              </w:rPr>
            </w:pPr>
            <w:r>
              <w:rPr>
                <w:spacing w:val="-2"/>
                <w:sz w:val="18"/>
              </w:rPr>
              <w:t>1,092</w:t>
            </w:r>
          </w:p>
        </w:tc>
        <w:tc>
          <w:tcPr>
            <w:tcW w:w="1116" w:type="dxa"/>
            <w:gridSpan w:val="2"/>
            <w:tcBorders>
              <w:right w:val="single" w:sz="6" w:space="0" w:color="000000"/>
            </w:tcBorders>
          </w:tcPr>
          <w:p w14:paraId="4E5EE21C" w14:textId="77777777" w:rsidR="00AC6F3C" w:rsidRDefault="00570E88">
            <w:pPr>
              <w:pStyle w:val="TableParagraph"/>
              <w:spacing w:before="43"/>
              <w:ind w:left="620"/>
              <w:rPr>
                <w:sz w:val="18"/>
              </w:rPr>
            </w:pPr>
            <w:r>
              <w:rPr>
                <w:spacing w:val="-2"/>
                <w:sz w:val="18"/>
              </w:rPr>
              <w:t>1,021</w:t>
            </w:r>
          </w:p>
        </w:tc>
      </w:tr>
      <w:tr w:rsidR="00AC6F3C" w14:paraId="505E97FC" w14:textId="77777777">
        <w:trPr>
          <w:trHeight w:val="298"/>
        </w:trPr>
        <w:tc>
          <w:tcPr>
            <w:tcW w:w="3843" w:type="dxa"/>
            <w:tcBorders>
              <w:left w:val="single" w:sz="6" w:space="0" w:color="000000"/>
            </w:tcBorders>
          </w:tcPr>
          <w:p w14:paraId="2C124ABF" w14:textId="77777777" w:rsidR="00AC6F3C" w:rsidRDefault="00570E88">
            <w:pPr>
              <w:pStyle w:val="TableParagraph"/>
              <w:spacing w:before="43"/>
              <w:ind w:left="37"/>
              <w:rPr>
                <w:sz w:val="18"/>
              </w:rPr>
            </w:pPr>
            <w:r>
              <w:rPr>
                <w:sz w:val="18"/>
              </w:rPr>
              <w:t>Specialist</w:t>
            </w:r>
            <w:r>
              <w:rPr>
                <w:spacing w:val="7"/>
                <w:sz w:val="18"/>
              </w:rPr>
              <w:t xml:space="preserve"> </w:t>
            </w:r>
            <w:r>
              <w:rPr>
                <w:sz w:val="18"/>
              </w:rPr>
              <w:t>accreditation</w:t>
            </w:r>
            <w:r>
              <w:rPr>
                <w:spacing w:val="23"/>
                <w:sz w:val="18"/>
              </w:rPr>
              <w:t xml:space="preserve"> </w:t>
            </w:r>
            <w:r>
              <w:rPr>
                <w:spacing w:val="-5"/>
                <w:sz w:val="18"/>
              </w:rPr>
              <w:t>fee</w:t>
            </w:r>
          </w:p>
        </w:tc>
        <w:tc>
          <w:tcPr>
            <w:tcW w:w="1139" w:type="dxa"/>
            <w:shd w:val="clear" w:color="auto" w:fill="F1F1F1"/>
          </w:tcPr>
          <w:p w14:paraId="54CA4173" w14:textId="77777777" w:rsidR="00AC6F3C" w:rsidRDefault="00570E88">
            <w:pPr>
              <w:pStyle w:val="TableParagraph"/>
              <w:spacing w:before="43"/>
              <w:ind w:right="36"/>
              <w:jc w:val="right"/>
              <w:rPr>
                <w:sz w:val="18"/>
              </w:rPr>
            </w:pPr>
            <w:r>
              <w:rPr>
                <w:spacing w:val="-5"/>
                <w:sz w:val="18"/>
              </w:rPr>
              <w:t>247</w:t>
            </w:r>
          </w:p>
        </w:tc>
        <w:tc>
          <w:tcPr>
            <w:tcW w:w="1109" w:type="dxa"/>
          </w:tcPr>
          <w:p w14:paraId="6E3DBE3A" w14:textId="77777777" w:rsidR="00AC6F3C" w:rsidRDefault="00570E88">
            <w:pPr>
              <w:pStyle w:val="TableParagraph"/>
              <w:spacing w:before="43"/>
              <w:ind w:right="21"/>
              <w:jc w:val="right"/>
              <w:rPr>
                <w:sz w:val="18"/>
              </w:rPr>
            </w:pPr>
            <w:r>
              <w:rPr>
                <w:spacing w:val="-5"/>
                <w:sz w:val="18"/>
              </w:rPr>
              <w:t>246</w:t>
            </w:r>
          </w:p>
        </w:tc>
        <w:tc>
          <w:tcPr>
            <w:tcW w:w="1139" w:type="dxa"/>
            <w:shd w:val="clear" w:color="auto" w:fill="F1F1F1"/>
          </w:tcPr>
          <w:p w14:paraId="51B7B506" w14:textId="77777777" w:rsidR="00AC6F3C" w:rsidRDefault="00570E88">
            <w:pPr>
              <w:pStyle w:val="TableParagraph"/>
              <w:spacing w:before="43"/>
              <w:ind w:right="37"/>
              <w:jc w:val="right"/>
              <w:rPr>
                <w:sz w:val="18"/>
              </w:rPr>
            </w:pPr>
            <w:r>
              <w:rPr>
                <w:spacing w:val="-5"/>
                <w:sz w:val="18"/>
              </w:rPr>
              <w:t>247</w:t>
            </w:r>
          </w:p>
        </w:tc>
        <w:tc>
          <w:tcPr>
            <w:tcW w:w="1116" w:type="dxa"/>
            <w:gridSpan w:val="2"/>
            <w:tcBorders>
              <w:right w:val="single" w:sz="6" w:space="0" w:color="000000"/>
            </w:tcBorders>
          </w:tcPr>
          <w:p w14:paraId="0FA88E0F" w14:textId="77777777" w:rsidR="00AC6F3C" w:rsidRDefault="00570E88">
            <w:pPr>
              <w:pStyle w:val="TableParagraph"/>
              <w:spacing w:before="43"/>
              <w:ind w:right="22"/>
              <w:jc w:val="right"/>
              <w:rPr>
                <w:sz w:val="18"/>
              </w:rPr>
            </w:pPr>
            <w:r>
              <w:rPr>
                <w:spacing w:val="-5"/>
                <w:sz w:val="18"/>
              </w:rPr>
              <w:t>246</w:t>
            </w:r>
          </w:p>
        </w:tc>
      </w:tr>
      <w:tr w:rsidR="00AC6F3C" w14:paraId="76BAD66F" w14:textId="77777777">
        <w:trPr>
          <w:trHeight w:val="286"/>
        </w:trPr>
        <w:tc>
          <w:tcPr>
            <w:tcW w:w="3843" w:type="dxa"/>
            <w:tcBorders>
              <w:left w:val="single" w:sz="6" w:space="0" w:color="000000"/>
            </w:tcBorders>
          </w:tcPr>
          <w:p w14:paraId="57F983C6" w14:textId="77777777" w:rsidR="00AC6F3C" w:rsidRDefault="00570E88">
            <w:pPr>
              <w:pStyle w:val="TableParagraph"/>
              <w:spacing w:before="43"/>
              <w:ind w:left="37"/>
              <w:rPr>
                <w:sz w:val="18"/>
              </w:rPr>
            </w:pPr>
            <w:r>
              <w:rPr>
                <w:sz w:val="18"/>
              </w:rPr>
              <w:t>Certificate</w:t>
            </w:r>
            <w:r>
              <w:rPr>
                <w:spacing w:val="-2"/>
                <w:sz w:val="18"/>
              </w:rPr>
              <w:t xml:space="preserve"> </w:t>
            </w:r>
            <w:r>
              <w:rPr>
                <w:sz w:val="18"/>
              </w:rPr>
              <w:t>of</w:t>
            </w:r>
            <w:r>
              <w:rPr>
                <w:spacing w:val="-11"/>
                <w:sz w:val="18"/>
              </w:rPr>
              <w:t xml:space="preserve"> </w:t>
            </w:r>
            <w:r>
              <w:rPr>
                <w:spacing w:val="-2"/>
                <w:sz w:val="18"/>
              </w:rPr>
              <w:t>fitness</w:t>
            </w:r>
          </w:p>
        </w:tc>
        <w:tc>
          <w:tcPr>
            <w:tcW w:w="1139" w:type="dxa"/>
            <w:tcBorders>
              <w:bottom w:val="single" w:sz="6" w:space="0" w:color="000000"/>
            </w:tcBorders>
            <w:shd w:val="clear" w:color="auto" w:fill="F1F1F1"/>
          </w:tcPr>
          <w:p w14:paraId="1A412BFB" w14:textId="77777777" w:rsidR="00AC6F3C" w:rsidRDefault="00570E88">
            <w:pPr>
              <w:pStyle w:val="TableParagraph"/>
              <w:spacing w:before="43"/>
              <w:ind w:right="36"/>
              <w:jc w:val="right"/>
              <w:rPr>
                <w:sz w:val="18"/>
              </w:rPr>
            </w:pPr>
            <w:r>
              <w:rPr>
                <w:spacing w:val="-5"/>
                <w:sz w:val="18"/>
              </w:rPr>
              <w:t>81</w:t>
            </w:r>
          </w:p>
        </w:tc>
        <w:tc>
          <w:tcPr>
            <w:tcW w:w="1109" w:type="dxa"/>
            <w:tcBorders>
              <w:bottom w:val="single" w:sz="6" w:space="0" w:color="000000"/>
            </w:tcBorders>
          </w:tcPr>
          <w:p w14:paraId="514108FC" w14:textId="77777777" w:rsidR="00AC6F3C" w:rsidRDefault="00570E88">
            <w:pPr>
              <w:pStyle w:val="TableParagraph"/>
              <w:spacing w:before="43"/>
              <w:ind w:right="21"/>
              <w:jc w:val="right"/>
              <w:rPr>
                <w:sz w:val="18"/>
              </w:rPr>
            </w:pPr>
            <w:r>
              <w:rPr>
                <w:spacing w:val="-5"/>
                <w:sz w:val="18"/>
              </w:rPr>
              <w:t>76</w:t>
            </w:r>
          </w:p>
        </w:tc>
        <w:tc>
          <w:tcPr>
            <w:tcW w:w="1139" w:type="dxa"/>
            <w:tcBorders>
              <w:bottom w:val="single" w:sz="6" w:space="0" w:color="000000"/>
            </w:tcBorders>
            <w:shd w:val="clear" w:color="auto" w:fill="F1F1F1"/>
          </w:tcPr>
          <w:p w14:paraId="47028C5B" w14:textId="77777777" w:rsidR="00AC6F3C" w:rsidRDefault="00570E88">
            <w:pPr>
              <w:pStyle w:val="TableParagraph"/>
              <w:spacing w:before="43"/>
              <w:ind w:right="37"/>
              <w:jc w:val="right"/>
              <w:rPr>
                <w:sz w:val="18"/>
              </w:rPr>
            </w:pPr>
            <w:r>
              <w:rPr>
                <w:spacing w:val="-5"/>
                <w:sz w:val="18"/>
              </w:rPr>
              <w:t>81</w:t>
            </w:r>
          </w:p>
        </w:tc>
        <w:tc>
          <w:tcPr>
            <w:tcW w:w="1116" w:type="dxa"/>
            <w:gridSpan w:val="2"/>
            <w:tcBorders>
              <w:bottom w:val="single" w:sz="6" w:space="0" w:color="000000"/>
              <w:right w:val="single" w:sz="6" w:space="0" w:color="000000"/>
            </w:tcBorders>
          </w:tcPr>
          <w:p w14:paraId="47CF4C9C" w14:textId="77777777" w:rsidR="00AC6F3C" w:rsidRDefault="00570E88">
            <w:pPr>
              <w:pStyle w:val="TableParagraph"/>
              <w:spacing w:before="43"/>
              <w:ind w:right="22"/>
              <w:jc w:val="right"/>
              <w:rPr>
                <w:sz w:val="18"/>
              </w:rPr>
            </w:pPr>
            <w:r>
              <w:rPr>
                <w:spacing w:val="-5"/>
                <w:sz w:val="18"/>
              </w:rPr>
              <w:t>76</w:t>
            </w:r>
          </w:p>
        </w:tc>
      </w:tr>
      <w:tr w:rsidR="00AC6F3C" w14:paraId="7743D287" w14:textId="77777777">
        <w:trPr>
          <w:trHeight w:val="296"/>
        </w:trPr>
        <w:tc>
          <w:tcPr>
            <w:tcW w:w="3843" w:type="dxa"/>
            <w:tcBorders>
              <w:left w:val="single" w:sz="6" w:space="0" w:color="000000"/>
            </w:tcBorders>
          </w:tcPr>
          <w:p w14:paraId="78C15163"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2B5C46EA" w14:textId="77777777" w:rsidR="00AC6F3C" w:rsidRDefault="00570E88">
            <w:pPr>
              <w:pStyle w:val="TableParagraph"/>
              <w:spacing w:before="40"/>
              <w:ind w:right="36"/>
              <w:jc w:val="right"/>
              <w:rPr>
                <w:sz w:val="18"/>
              </w:rPr>
            </w:pPr>
            <w:r>
              <w:rPr>
                <w:spacing w:val="-2"/>
                <w:sz w:val="18"/>
              </w:rPr>
              <w:t>16,736</w:t>
            </w:r>
          </w:p>
        </w:tc>
        <w:tc>
          <w:tcPr>
            <w:tcW w:w="1109" w:type="dxa"/>
            <w:tcBorders>
              <w:top w:val="single" w:sz="6" w:space="0" w:color="000000"/>
            </w:tcBorders>
          </w:tcPr>
          <w:p w14:paraId="0E1953E8" w14:textId="77777777" w:rsidR="00AC6F3C" w:rsidRDefault="00570E88">
            <w:pPr>
              <w:pStyle w:val="TableParagraph"/>
              <w:spacing w:before="40"/>
              <w:ind w:right="21"/>
              <w:jc w:val="right"/>
              <w:rPr>
                <w:sz w:val="18"/>
              </w:rPr>
            </w:pPr>
            <w:r>
              <w:rPr>
                <w:spacing w:val="-2"/>
                <w:sz w:val="18"/>
              </w:rPr>
              <w:t>16,102</w:t>
            </w:r>
          </w:p>
        </w:tc>
        <w:tc>
          <w:tcPr>
            <w:tcW w:w="1139" w:type="dxa"/>
            <w:tcBorders>
              <w:top w:val="single" w:sz="6" w:space="0" w:color="000000"/>
            </w:tcBorders>
            <w:shd w:val="clear" w:color="auto" w:fill="F1F1F1"/>
          </w:tcPr>
          <w:p w14:paraId="7CB49709" w14:textId="77777777" w:rsidR="00AC6F3C" w:rsidRDefault="00570E88">
            <w:pPr>
              <w:pStyle w:val="TableParagraph"/>
              <w:spacing w:before="40"/>
              <w:ind w:right="37"/>
              <w:jc w:val="right"/>
              <w:rPr>
                <w:sz w:val="18"/>
              </w:rPr>
            </w:pPr>
            <w:r>
              <w:rPr>
                <w:spacing w:val="-2"/>
                <w:sz w:val="18"/>
              </w:rPr>
              <w:t>16,755</w:t>
            </w:r>
          </w:p>
        </w:tc>
        <w:tc>
          <w:tcPr>
            <w:tcW w:w="1116" w:type="dxa"/>
            <w:gridSpan w:val="2"/>
            <w:tcBorders>
              <w:top w:val="single" w:sz="6" w:space="0" w:color="000000"/>
              <w:right w:val="single" w:sz="6" w:space="0" w:color="000000"/>
            </w:tcBorders>
          </w:tcPr>
          <w:p w14:paraId="37133778" w14:textId="77777777" w:rsidR="00AC6F3C" w:rsidRDefault="00570E88">
            <w:pPr>
              <w:pStyle w:val="TableParagraph"/>
              <w:spacing w:before="40"/>
              <w:ind w:left="515"/>
              <w:rPr>
                <w:sz w:val="18"/>
              </w:rPr>
            </w:pPr>
            <w:r>
              <w:rPr>
                <w:spacing w:val="-2"/>
                <w:sz w:val="18"/>
              </w:rPr>
              <w:t>16,115</w:t>
            </w:r>
          </w:p>
        </w:tc>
      </w:tr>
      <w:tr w:rsidR="00AC6F3C" w14:paraId="2F4AA1DB" w14:textId="77777777">
        <w:trPr>
          <w:trHeight w:val="298"/>
        </w:trPr>
        <w:tc>
          <w:tcPr>
            <w:tcW w:w="3843" w:type="dxa"/>
            <w:tcBorders>
              <w:left w:val="single" w:sz="6" w:space="0" w:color="000000"/>
            </w:tcBorders>
          </w:tcPr>
          <w:p w14:paraId="7FF0805F" w14:textId="77777777" w:rsidR="00AC6F3C" w:rsidRDefault="00570E88">
            <w:pPr>
              <w:pStyle w:val="TableParagraph"/>
              <w:spacing w:before="43"/>
              <w:ind w:left="37"/>
              <w:rPr>
                <w:b/>
                <w:sz w:val="18"/>
              </w:rPr>
            </w:pPr>
            <w:r>
              <w:rPr>
                <w:b/>
                <w:sz w:val="18"/>
              </w:rPr>
              <w:t>Membership</w:t>
            </w:r>
            <w:r>
              <w:rPr>
                <w:b/>
                <w:spacing w:val="-15"/>
                <w:sz w:val="18"/>
              </w:rPr>
              <w:t xml:space="preserve"> </w:t>
            </w:r>
            <w:r>
              <w:rPr>
                <w:b/>
                <w:sz w:val="18"/>
              </w:rPr>
              <w:t>services</w:t>
            </w:r>
            <w:r>
              <w:rPr>
                <w:b/>
                <w:spacing w:val="-11"/>
                <w:sz w:val="18"/>
              </w:rPr>
              <w:t xml:space="preserve"> </w:t>
            </w:r>
            <w:r>
              <w:rPr>
                <w:b/>
                <w:sz w:val="18"/>
              </w:rPr>
              <w:t>and</w:t>
            </w:r>
            <w:r>
              <w:rPr>
                <w:b/>
                <w:spacing w:val="-12"/>
                <w:sz w:val="18"/>
              </w:rPr>
              <w:t xml:space="preserve"> </w:t>
            </w:r>
            <w:r>
              <w:rPr>
                <w:b/>
                <w:spacing w:val="-2"/>
                <w:sz w:val="18"/>
              </w:rPr>
              <w:t>events</w:t>
            </w:r>
          </w:p>
        </w:tc>
        <w:tc>
          <w:tcPr>
            <w:tcW w:w="1139" w:type="dxa"/>
            <w:shd w:val="clear" w:color="auto" w:fill="F1F1F1"/>
          </w:tcPr>
          <w:p w14:paraId="4879BC1D" w14:textId="77777777" w:rsidR="00AC6F3C" w:rsidRDefault="00AC6F3C">
            <w:pPr>
              <w:pStyle w:val="TableParagraph"/>
              <w:rPr>
                <w:rFonts w:ascii="Times New Roman"/>
                <w:sz w:val="18"/>
              </w:rPr>
            </w:pPr>
          </w:p>
        </w:tc>
        <w:tc>
          <w:tcPr>
            <w:tcW w:w="1109" w:type="dxa"/>
          </w:tcPr>
          <w:p w14:paraId="01328B44" w14:textId="77777777" w:rsidR="00AC6F3C" w:rsidRDefault="00AC6F3C">
            <w:pPr>
              <w:pStyle w:val="TableParagraph"/>
              <w:rPr>
                <w:rFonts w:ascii="Times New Roman"/>
                <w:sz w:val="18"/>
              </w:rPr>
            </w:pPr>
          </w:p>
        </w:tc>
        <w:tc>
          <w:tcPr>
            <w:tcW w:w="1139" w:type="dxa"/>
            <w:shd w:val="clear" w:color="auto" w:fill="F1F1F1"/>
          </w:tcPr>
          <w:p w14:paraId="0B15644E" w14:textId="77777777" w:rsidR="00AC6F3C" w:rsidRDefault="00AC6F3C">
            <w:pPr>
              <w:pStyle w:val="TableParagraph"/>
              <w:rPr>
                <w:rFonts w:ascii="Times New Roman"/>
                <w:sz w:val="18"/>
              </w:rPr>
            </w:pPr>
          </w:p>
        </w:tc>
        <w:tc>
          <w:tcPr>
            <w:tcW w:w="1116" w:type="dxa"/>
            <w:gridSpan w:val="2"/>
            <w:tcBorders>
              <w:right w:val="single" w:sz="6" w:space="0" w:color="000000"/>
            </w:tcBorders>
          </w:tcPr>
          <w:p w14:paraId="4EB5CB72" w14:textId="77777777" w:rsidR="00AC6F3C" w:rsidRDefault="00AC6F3C">
            <w:pPr>
              <w:pStyle w:val="TableParagraph"/>
              <w:rPr>
                <w:rFonts w:ascii="Times New Roman"/>
                <w:sz w:val="18"/>
              </w:rPr>
            </w:pPr>
          </w:p>
        </w:tc>
      </w:tr>
      <w:tr w:rsidR="00AC6F3C" w14:paraId="155A8195" w14:textId="77777777">
        <w:trPr>
          <w:trHeight w:val="298"/>
        </w:trPr>
        <w:tc>
          <w:tcPr>
            <w:tcW w:w="3843" w:type="dxa"/>
            <w:tcBorders>
              <w:left w:val="single" w:sz="6" w:space="0" w:color="000000"/>
            </w:tcBorders>
          </w:tcPr>
          <w:p w14:paraId="5D300AA6" w14:textId="77777777" w:rsidR="00AC6F3C" w:rsidRDefault="00570E88">
            <w:pPr>
              <w:pStyle w:val="TableParagraph"/>
              <w:spacing w:before="43"/>
              <w:ind w:left="37"/>
              <w:rPr>
                <w:sz w:val="18"/>
              </w:rPr>
            </w:pPr>
            <w:r>
              <w:rPr>
                <w:sz w:val="18"/>
              </w:rPr>
              <w:t>Courses,</w:t>
            </w:r>
            <w:r>
              <w:rPr>
                <w:spacing w:val="3"/>
                <w:sz w:val="18"/>
              </w:rPr>
              <w:t xml:space="preserve"> </w:t>
            </w:r>
            <w:r>
              <w:rPr>
                <w:sz w:val="18"/>
              </w:rPr>
              <w:t>conferences</w:t>
            </w:r>
            <w:r>
              <w:rPr>
                <w:spacing w:val="30"/>
                <w:sz w:val="18"/>
              </w:rPr>
              <w:t xml:space="preserve"> </w:t>
            </w:r>
            <w:r>
              <w:rPr>
                <w:sz w:val="18"/>
              </w:rPr>
              <w:t>and</w:t>
            </w:r>
            <w:r>
              <w:rPr>
                <w:spacing w:val="16"/>
                <w:sz w:val="18"/>
              </w:rPr>
              <w:t xml:space="preserve"> </w:t>
            </w:r>
            <w:r>
              <w:rPr>
                <w:spacing w:val="-2"/>
                <w:sz w:val="18"/>
              </w:rPr>
              <w:t>events</w:t>
            </w:r>
          </w:p>
        </w:tc>
        <w:tc>
          <w:tcPr>
            <w:tcW w:w="1139" w:type="dxa"/>
            <w:shd w:val="clear" w:color="auto" w:fill="F1F1F1"/>
          </w:tcPr>
          <w:p w14:paraId="17157612" w14:textId="77777777" w:rsidR="00AC6F3C" w:rsidRDefault="00570E88">
            <w:pPr>
              <w:pStyle w:val="TableParagraph"/>
              <w:spacing w:before="43"/>
              <w:ind w:right="36"/>
              <w:jc w:val="right"/>
              <w:rPr>
                <w:sz w:val="18"/>
              </w:rPr>
            </w:pPr>
            <w:r>
              <w:rPr>
                <w:spacing w:val="-2"/>
                <w:sz w:val="18"/>
              </w:rPr>
              <w:t>1,500</w:t>
            </w:r>
          </w:p>
        </w:tc>
        <w:tc>
          <w:tcPr>
            <w:tcW w:w="1109" w:type="dxa"/>
          </w:tcPr>
          <w:p w14:paraId="2D5F5C5E" w14:textId="77777777" w:rsidR="00AC6F3C" w:rsidRDefault="00570E88">
            <w:pPr>
              <w:pStyle w:val="TableParagraph"/>
              <w:spacing w:before="43"/>
              <w:ind w:right="21"/>
              <w:jc w:val="right"/>
              <w:rPr>
                <w:sz w:val="18"/>
              </w:rPr>
            </w:pPr>
            <w:r>
              <w:rPr>
                <w:spacing w:val="-2"/>
                <w:sz w:val="18"/>
              </w:rPr>
              <w:t>1,398</w:t>
            </w:r>
          </w:p>
        </w:tc>
        <w:tc>
          <w:tcPr>
            <w:tcW w:w="1139" w:type="dxa"/>
            <w:shd w:val="clear" w:color="auto" w:fill="F1F1F1"/>
          </w:tcPr>
          <w:p w14:paraId="3E675518" w14:textId="77777777" w:rsidR="00AC6F3C" w:rsidRDefault="00570E88">
            <w:pPr>
              <w:pStyle w:val="TableParagraph"/>
              <w:spacing w:before="43"/>
              <w:ind w:right="37"/>
              <w:jc w:val="right"/>
              <w:rPr>
                <w:sz w:val="18"/>
              </w:rPr>
            </w:pPr>
            <w:r>
              <w:rPr>
                <w:spacing w:val="-2"/>
                <w:sz w:val="18"/>
              </w:rPr>
              <w:t>1,505</w:t>
            </w:r>
          </w:p>
        </w:tc>
        <w:tc>
          <w:tcPr>
            <w:tcW w:w="1116" w:type="dxa"/>
            <w:gridSpan w:val="2"/>
            <w:tcBorders>
              <w:right w:val="single" w:sz="6" w:space="0" w:color="000000"/>
            </w:tcBorders>
          </w:tcPr>
          <w:p w14:paraId="1D38567C" w14:textId="77777777" w:rsidR="00AC6F3C" w:rsidRDefault="00570E88">
            <w:pPr>
              <w:pStyle w:val="TableParagraph"/>
              <w:spacing w:before="43"/>
              <w:ind w:left="620"/>
              <w:rPr>
                <w:sz w:val="18"/>
              </w:rPr>
            </w:pPr>
            <w:r>
              <w:rPr>
                <w:spacing w:val="-2"/>
                <w:sz w:val="18"/>
              </w:rPr>
              <w:t>1,402</w:t>
            </w:r>
          </w:p>
        </w:tc>
      </w:tr>
      <w:tr w:rsidR="00AC6F3C" w14:paraId="1BC854EC" w14:textId="77777777">
        <w:trPr>
          <w:trHeight w:val="298"/>
        </w:trPr>
        <w:tc>
          <w:tcPr>
            <w:tcW w:w="3843" w:type="dxa"/>
            <w:tcBorders>
              <w:left w:val="single" w:sz="6" w:space="0" w:color="000000"/>
            </w:tcBorders>
          </w:tcPr>
          <w:p w14:paraId="4C29DCE3" w14:textId="77777777" w:rsidR="00AC6F3C" w:rsidRDefault="00570E88">
            <w:pPr>
              <w:pStyle w:val="TableParagraph"/>
              <w:spacing w:before="43"/>
              <w:ind w:left="37"/>
              <w:rPr>
                <w:sz w:val="18"/>
              </w:rPr>
            </w:pPr>
            <w:r>
              <w:rPr>
                <w:sz w:val="18"/>
              </w:rPr>
              <w:t>Membership</w:t>
            </w:r>
            <w:r>
              <w:rPr>
                <w:spacing w:val="10"/>
                <w:sz w:val="18"/>
              </w:rPr>
              <w:t xml:space="preserve"> </w:t>
            </w:r>
            <w:r>
              <w:rPr>
                <w:sz w:val="18"/>
              </w:rPr>
              <w:t>services</w:t>
            </w:r>
            <w:r>
              <w:rPr>
                <w:spacing w:val="23"/>
                <w:sz w:val="18"/>
              </w:rPr>
              <w:t xml:space="preserve"> </w:t>
            </w:r>
            <w:r>
              <w:rPr>
                <w:sz w:val="18"/>
              </w:rPr>
              <w:t>and</w:t>
            </w:r>
            <w:r>
              <w:rPr>
                <w:spacing w:val="11"/>
                <w:sz w:val="18"/>
              </w:rPr>
              <w:t xml:space="preserve"> </w:t>
            </w:r>
            <w:r>
              <w:rPr>
                <w:spacing w:val="-2"/>
                <w:sz w:val="18"/>
              </w:rPr>
              <w:t>products</w:t>
            </w:r>
          </w:p>
        </w:tc>
        <w:tc>
          <w:tcPr>
            <w:tcW w:w="1139" w:type="dxa"/>
            <w:shd w:val="clear" w:color="auto" w:fill="F1F1F1"/>
          </w:tcPr>
          <w:p w14:paraId="7D0BCD4C" w14:textId="77777777" w:rsidR="00AC6F3C" w:rsidRDefault="00570E88">
            <w:pPr>
              <w:pStyle w:val="TableParagraph"/>
              <w:spacing w:before="43"/>
              <w:ind w:right="36"/>
              <w:jc w:val="right"/>
              <w:rPr>
                <w:sz w:val="18"/>
              </w:rPr>
            </w:pPr>
            <w:r>
              <w:rPr>
                <w:spacing w:val="-5"/>
                <w:sz w:val="18"/>
              </w:rPr>
              <w:t>539</w:t>
            </w:r>
          </w:p>
        </w:tc>
        <w:tc>
          <w:tcPr>
            <w:tcW w:w="1109" w:type="dxa"/>
          </w:tcPr>
          <w:p w14:paraId="48CFDED6" w14:textId="77777777" w:rsidR="00AC6F3C" w:rsidRDefault="00570E88">
            <w:pPr>
              <w:pStyle w:val="TableParagraph"/>
              <w:spacing w:before="43"/>
              <w:ind w:right="21"/>
              <w:jc w:val="right"/>
              <w:rPr>
                <w:sz w:val="18"/>
              </w:rPr>
            </w:pPr>
            <w:r>
              <w:rPr>
                <w:spacing w:val="-5"/>
                <w:sz w:val="18"/>
              </w:rPr>
              <w:t>594</w:t>
            </w:r>
          </w:p>
        </w:tc>
        <w:tc>
          <w:tcPr>
            <w:tcW w:w="1139" w:type="dxa"/>
            <w:shd w:val="clear" w:color="auto" w:fill="F1F1F1"/>
          </w:tcPr>
          <w:p w14:paraId="69A485E4" w14:textId="77777777" w:rsidR="00AC6F3C" w:rsidRDefault="00570E88">
            <w:pPr>
              <w:pStyle w:val="TableParagraph"/>
              <w:spacing w:before="43"/>
              <w:ind w:right="37"/>
              <w:jc w:val="right"/>
              <w:rPr>
                <w:sz w:val="18"/>
              </w:rPr>
            </w:pPr>
            <w:r>
              <w:rPr>
                <w:spacing w:val="-5"/>
                <w:sz w:val="18"/>
              </w:rPr>
              <w:t>539</w:t>
            </w:r>
          </w:p>
        </w:tc>
        <w:tc>
          <w:tcPr>
            <w:tcW w:w="1116" w:type="dxa"/>
            <w:gridSpan w:val="2"/>
            <w:tcBorders>
              <w:right w:val="single" w:sz="6" w:space="0" w:color="000000"/>
            </w:tcBorders>
          </w:tcPr>
          <w:p w14:paraId="67B166F9" w14:textId="77777777" w:rsidR="00AC6F3C" w:rsidRDefault="00570E88">
            <w:pPr>
              <w:pStyle w:val="TableParagraph"/>
              <w:spacing w:before="43"/>
              <w:ind w:right="22"/>
              <w:jc w:val="right"/>
              <w:rPr>
                <w:sz w:val="18"/>
              </w:rPr>
            </w:pPr>
            <w:r>
              <w:rPr>
                <w:spacing w:val="-5"/>
                <w:sz w:val="18"/>
              </w:rPr>
              <w:t>594</w:t>
            </w:r>
          </w:p>
        </w:tc>
      </w:tr>
      <w:tr w:rsidR="00AC6F3C" w14:paraId="0D968F06" w14:textId="77777777">
        <w:trPr>
          <w:trHeight w:val="298"/>
        </w:trPr>
        <w:tc>
          <w:tcPr>
            <w:tcW w:w="3843" w:type="dxa"/>
            <w:tcBorders>
              <w:left w:val="single" w:sz="6" w:space="0" w:color="000000"/>
            </w:tcBorders>
          </w:tcPr>
          <w:p w14:paraId="6F6E9BE0" w14:textId="77777777" w:rsidR="00AC6F3C" w:rsidRDefault="00570E88">
            <w:pPr>
              <w:pStyle w:val="TableParagraph"/>
              <w:spacing w:before="43"/>
              <w:ind w:left="37"/>
              <w:rPr>
                <w:sz w:val="18"/>
              </w:rPr>
            </w:pPr>
            <w:r>
              <w:rPr>
                <w:sz w:val="18"/>
              </w:rPr>
              <w:t>Advertising</w:t>
            </w:r>
            <w:r>
              <w:rPr>
                <w:spacing w:val="-3"/>
                <w:sz w:val="18"/>
              </w:rPr>
              <w:t xml:space="preserve"> </w:t>
            </w:r>
            <w:r>
              <w:rPr>
                <w:sz w:val="18"/>
              </w:rPr>
              <w:t>and</w:t>
            </w:r>
            <w:r>
              <w:rPr>
                <w:spacing w:val="-2"/>
                <w:sz w:val="18"/>
              </w:rPr>
              <w:t xml:space="preserve"> subscriptions</w:t>
            </w:r>
          </w:p>
        </w:tc>
        <w:tc>
          <w:tcPr>
            <w:tcW w:w="1139" w:type="dxa"/>
            <w:shd w:val="clear" w:color="auto" w:fill="F1F1F1"/>
          </w:tcPr>
          <w:p w14:paraId="015EDEC8" w14:textId="77777777" w:rsidR="00AC6F3C" w:rsidRDefault="00570E88">
            <w:pPr>
              <w:pStyle w:val="TableParagraph"/>
              <w:spacing w:before="43"/>
              <w:ind w:right="36"/>
              <w:jc w:val="right"/>
              <w:rPr>
                <w:sz w:val="18"/>
              </w:rPr>
            </w:pPr>
            <w:r>
              <w:rPr>
                <w:spacing w:val="-5"/>
                <w:sz w:val="18"/>
              </w:rPr>
              <w:t>136</w:t>
            </w:r>
          </w:p>
        </w:tc>
        <w:tc>
          <w:tcPr>
            <w:tcW w:w="1109" w:type="dxa"/>
          </w:tcPr>
          <w:p w14:paraId="2F95629E" w14:textId="77777777" w:rsidR="00AC6F3C" w:rsidRDefault="00570E88">
            <w:pPr>
              <w:pStyle w:val="TableParagraph"/>
              <w:spacing w:before="43"/>
              <w:ind w:right="21"/>
              <w:jc w:val="right"/>
              <w:rPr>
                <w:sz w:val="18"/>
              </w:rPr>
            </w:pPr>
            <w:r>
              <w:rPr>
                <w:spacing w:val="-5"/>
                <w:sz w:val="18"/>
              </w:rPr>
              <w:t>159</w:t>
            </w:r>
          </w:p>
        </w:tc>
        <w:tc>
          <w:tcPr>
            <w:tcW w:w="1139" w:type="dxa"/>
            <w:shd w:val="clear" w:color="auto" w:fill="F1F1F1"/>
          </w:tcPr>
          <w:p w14:paraId="10F51793" w14:textId="77777777" w:rsidR="00AC6F3C" w:rsidRDefault="00570E88">
            <w:pPr>
              <w:pStyle w:val="TableParagraph"/>
              <w:spacing w:before="43"/>
              <w:ind w:right="37"/>
              <w:jc w:val="right"/>
              <w:rPr>
                <w:sz w:val="18"/>
              </w:rPr>
            </w:pPr>
            <w:r>
              <w:rPr>
                <w:spacing w:val="-5"/>
                <w:sz w:val="18"/>
              </w:rPr>
              <w:t>136</w:t>
            </w:r>
          </w:p>
        </w:tc>
        <w:tc>
          <w:tcPr>
            <w:tcW w:w="1116" w:type="dxa"/>
            <w:gridSpan w:val="2"/>
            <w:tcBorders>
              <w:right w:val="single" w:sz="6" w:space="0" w:color="000000"/>
            </w:tcBorders>
          </w:tcPr>
          <w:p w14:paraId="25962F05" w14:textId="77777777" w:rsidR="00AC6F3C" w:rsidRDefault="00570E88">
            <w:pPr>
              <w:pStyle w:val="TableParagraph"/>
              <w:spacing w:before="43"/>
              <w:ind w:right="22"/>
              <w:jc w:val="right"/>
              <w:rPr>
                <w:sz w:val="18"/>
              </w:rPr>
            </w:pPr>
            <w:r>
              <w:rPr>
                <w:spacing w:val="-5"/>
                <w:sz w:val="18"/>
              </w:rPr>
              <w:t>159</w:t>
            </w:r>
          </w:p>
        </w:tc>
      </w:tr>
      <w:tr w:rsidR="00AC6F3C" w14:paraId="7372333E" w14:textId="77777777">
        <w:trPr>
          <w:trHeight w:val="286"/>
        </w:trPr>
        <w:tc>
          <w:tcPr>
            <w:tcW w:w="3843" w:type="dxa"/>
            <w:tcBorders>
              <w:left w:val="single" w:sz="6" w:space="0" w:color="000000"/>
            </w:tcBorders>
          </w:tcPr>
          <w:p w14:paraId="63F99DD9" w14:textId="77777777" w:rsidR="00AC6F3C" w:rsidRDefault="00570E88">
            <w:pPr>
              <w:pStyle w:val="TableParagraph"/>
              <w:spacing w:before="43"/>
              <w:ind w:left="37"/>
              <w:rPr>
                <w:sz w:val="18"/>
              </w:rPr>
            </w:pPr>
            <w:r>
              <w:rPr>
                <w:sz w:val="18"/>
              </w:rPr>
              <w:t>Marketing</w:t>
            </w:r>
            <w:r>
              <w:rPr>
                <w:spacing w:val="-4"/>
                <w:sz w:val="18"/>
              </w:rPr>
              <w:t xml:space="preserve"> </w:t>
            </w:r>
            <w:r>
              <w:rPr>
                <w:sz w:val="18"/>
              </w:rPr>
              <w:t>and</w:t>
            </w:r>
            <w:r>
              <w:rPr>
                <w:spacing w:val="-4"/>
                <w:sz w:val="18"/>
              </w:rPr>
              <w:t xml:space="preserve"> </w:t>
            </w:r>
            <w:r>
              <w:rPr>
                <w:spacing w:val="-2"/>
                <w:sz w:val="18"/>
              </w:rPr>
              <w:t>sponsorship</w:t>
            </w:r>
          </w:p>
        </w:tc>
        <w:tc>
          <w:tcPr>
            <w:tcW w:w="1139" w:type="dxa"/>
            <w:tcBorders>
              <w:bottom w:val="single" w:sz="6" w:space="0" w:color="000000"/>
            </w:tcBorders>
            <w:shd w:val="clear" w:color="auto" w:fill="F1F1F1"/>
          </w:tcPr>
          <w:p w14:paraId="7A298D05" w14:textId="77777777" w:rsidR="00AC6F3C" w:rsidRDefault="00570E88">
            <w:pPr>
              <w:pStyle w:val="TableParagraph"/>
              <w:spacing w:before="43"/>
              <w:ind w:right="36"/>
              <w:jc w:val="right"/>
              <w:rPr>
                <w:sz w:val="18"/>
              </w:rPr>
            </w:pPr>
            <w:r>
              <w:rPr>
                <w:spacing w:val="-5"/>
                <w:sz w:val="18"/>
              </w:rPr>
              <w:t>632</w:t>
            </w:r>
          </w:p>
        </w:tc>
        <w:tc>
          <w:tcPr>
            <w:tcW w:w="1109" w:type="dxa"/>
            <w:tcBorders>
              <w:bottom w:val="single" w:sz="6" w:space="0" w:color="000000"/>
            </w:tcBorders>
          </w:tcPr>
          <w:p w14:paraId="2713F2A7" w14:textId="77777777" w:rsidR="00AC6F3C" w:rsidRDefault="00570E88">
            <w:pPr>
              <w:pStyle w:val="TableParagraph"/>
              <w:spacing w:before="43"/>
              <w:ind w:right="21"/>
              <w:jc w:val="right"/>
              <w:rPr>
                <w:sz w:val="18"/>
              </w:rPr>
            </w:pPr>
            <w:r>
              <w:rPr>
                <w:spacing w:val="-5"/>
                <w:sz w:val="18"/>
              </w:rPr>
              <w:t>406</w:t>
            </w:r>
          </w:p>
        </w:tc>
        <w:tc>
          <w:tcPr>
            <w:tcW w:w="1139" w:type="dxa"/>
            <w:tcBorders>
              <w:bottom w:val="single" w:sz="6" w:space="0" w:color="000000"/>
            </w:tcBorders>
            <w:shd w:val="clear" w:color="auto" w:fill="F1F1F1"/>
          </w:tcPr>
          <w:p w14:paraId="4350B1A2" w14:textId="77777777" w:rsidR="00AC6F3C" w:rsidRDefault="00570E88">
            <w:pPr>
              <w:pStyle w:val="TableParagraph"/>
              <w:spacing w:before="43"/>
              <w:ind w:right="37"/>
              <w:jc w:val="right"/>
              <w:rPr>
                <w:sz w:val="18"/>
              </w:rPr>
            </w:pPr>
            <w:r>
              <w:rPr>
                <w:spacing w:val="-5"/>
                <w:sz w:val="18"/>
              </w:rPr>
              <w:t>632</w:t>
            </w:r>
          </w:p>
        </w:tc>
        <w:tc>
          <w:tcPr>
            <w:tcW w:w="1116" w:type="dxa"/>
            <w:gridSpan w:val="2"/>
            <w:tcBorders>
              <w:bottom w:val="single" w:sz="6" w:space="0" w:color="000000"/>
              <w:right w:val="single" w:sz="6" w:space="0" w:color="000000"/>
            </w:tcBorders>
          </w:tcPr>
          <w:p w14:paraId="09BB59D7" w14:textId="77777777" w:rsidR="00AC6F3C" w:rsidRDefault="00570E88">
            <w:pPr>
              <w:pStyle w:val="TableParagraph"/>
              <w:spacing w:before="43"/>
              <w:ind w:right="22"/>
              <w:jc w:val="right"/>
              <w:rPr>
                <w:sz w:val="18"/>
              </w:rPr>
            </w:pPr>
            <w:r>
              <w:rPr>
                <w:spacing w:val="-5"/>
                <w:sz w:val="18"/>
              </w:rPr>
              <w:t>406</w:t>
            </w:r>
          </w:p>
        </w:tc>
      </w:tr>
      <w:tr w:rsidR="00AC6F3C" w14:paraId="7EBC1B81" w14:textId="77777777">
        <w:trPr>
          <w:trHeight w:val="284"/>
        </w:trPr>
        <w:tc>
          <w:tcPr>
            <w:tcW w:w="3843" w:type="dxa"/>
            <w:tcBorders>
              <w:left w:val="single" w:sz="6" w:space="0" w:color="000000"/>
              <w:bottom w:val="single" w:sz="6" w:space="0" w:color="000000"/>
            </w:tcBorders>
          </w:tcPr>
          <w:p w14:paraId="7F24BCD1" w14:textId="77777777" w:rsidR="00AC6F3C" w:rsidRDefault="00AC6F3C">
            <w:pPr>
              <w:pStyle w:val="TableParagraph"/>
              <w:rPr>
                <w:rFonts w:ascii="Times New Roman"/>
                <w:sz w:val="18"/>
              </w:rPr>
            </w:pPr>
          </w:p>
        </w:tc>
        <w:tc>
          <w:tcPr>
            <w:tcW w:w="1139" w:type="dxa"/>
            <w:tcBorders>
              <w:top w:val="single" w:sz="6" w:space="0" w:color="000000"/>
              <w:bottom w:val="single" w:sz="6" w:space="0" w:color="000000"/>
            </w:tcBorders>
            <w:shd w:val="clear" w:color="auto" w:fill="F1F1F1"/>
          </w:tcPr>
          <w:p w14:paraId="3F6CA253" w14:textId="77777777" w:rsidR="00AC6F3C" w:rsidRDefault="00570E88">
            <w:pPr>
              <w:pStyle w:val="TableParagraph"/>
              <w:spacing w:before="40"/>
              <w:ind w:right="36"/>
              <w:jc w:val="right"/>
              <w:rPr>
                <w:sz w:val="18"/>
              </w:rPr>
            </w:pPr>
            <w:r>
              <w:rPr>
                <w:spacing w:val="-2"/>
                <w:sz w:val="18"/>
              </w:rPr>
              <w:t>2,807</w:t>
            </w:r>
          </w:p>
        </w:tc>
        <w:tc>
          <w:tcPr>
            <w:tcW w:w="1109" w:type="dxa"/>
            <w:tcBorders>
              <w:top w:val="single" w:sz="6" w:space="0" w:color="000000"/>
              <w:bottom w:val="single" w:sz="6" w:space="0" w:color="000000"/>
            </w:tcBorders>
          </w:tcPr>
          <w:p w14:paraId="459C227E" w14:textId="77777777" w:rsidR="00AC6F3C" w:rsidRDefault="00570E88">
            <w:pPr>
              <w:pStyle w:val="TableParagraph"/>
              <w:spacing w:before="40"/>
              <w:ind w:right="21"/>
              <w:jc w:val="right"/>
              <w:rPr>
                <w:sz w:val="18"/>
              </w:rPr>
            </w:pPr>
            <w:r>
              <w:rPr>
                <w:spacing w:val="-2"/>
                <w:sz w:val="18"/>
              </w:rPr>
              <w:t>2,557</w:t>
            </w:r>
          </w:p>
        </w:tc>
        <w:tc>
          <w:tcPr>
            <w:tcW w:w="1139" w:type="dxa"/>
            <w:tcBorders>
              <w:top w:val="single" w:sz="6" w:space="0" w:color="000000"/>
              <w:bottom w:val="single" w:sz="6" w:space="0" w:color="000000"/>
            </w:tcBorders>
            <w:shd w:val="clear" w:color="auto" w:fill="F1F1F1"/>
          </w:tcPr>
          <w:p w14:paraId="11E41B89" w14:textId="77777777" w:rsidR="00AC6F3C" w:rsidRDefault="00570E88">
            <w:pPr>
              <w:pStyle w:val="TableParagraph"/>
              <w:spacing w:before="40"/>
              <w:ind w:right="37"/>
              <w:jc w:val="right"/>
              <w:rPr>
                <w:sz w:val="18"/>
              </w:rPr>
            </w:pPr>
            <w:r>
              <w:rPr>
                <w:spacing w:val="-2"/>
                <w:sz w:val="18"/>
              </w:rPr>
              <w:t>2,812</w:t>
            </w:r>
          </w:p>
        </w:tc>
        <w:tc>
          <w:tcPr>
            <w:tcW w:w="1116" w:type="dxa"/>
            <w:gridSpan w:val="2"/>
            <w:tcBorders>
              <w:top w:val="single" w:sz="6" w:space="0" w:color="000000"/>
              <w:bottom w:val="single" w:sz="6" w:space="0" w:color="000000"/>
              <w:right w:val="single" w:sz="6" w:space="0" w:color="000000"/>
            </w:tcBorders>
          </w:tcPr>
          <w:p w14:paraId="77010F7D" w14:textId="77777777" w:rsidR="00AC6F3C" w:rsidRDefault="00570E88">
            <w:pPr>
              <w:pStyle w:val="TableParagraph"/>
              <w:spacing w:before="40"/>
              <w:ind w:left="619"/>
              <w:rPr>
                <w:sz w:val="18"/>
              </w:rPr>
            </w:pPr>
            <w:r>
              <w:rPr>
                <w:spacing w:val="-2"/>
                <w:sz w:val="18"/>
              </w:rPr>
              <w:t>2,561</w:t>
            </w:r>
          </w:p>
        </w:tc>
      </w:tr>
      <w:tr w:rsidR="00AC6F3C" w14:paraId="54F41369"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11780FB0" w14:textId="77777777" w:rsidR="00AC6F3C" w:rsidRDefault="00570E88">
            <w:pPr>
              <w:pStyle w:val="TableParagraph"/>
              <w:spacing w:before="40"/>
              <w:ind w:left="37"/>
              <w:rPr>
                <w:b/>
                <w:sz w:val="18"/>
              </w:rPr>
            </w:pPr>
            <w:r>
              <w:rPr>
                <w:b/>
                <w:sz w:val="18"/>
              </w:rPr>
              <w:t>Total</w:t>
            </w:r>
            <w:r>
              <w:rPr>
                <w:b/>
                <w:spacing w:val="-13"/>
                <w:sz w:val="18"/>
              </w:rPr>
              <w:t xml:space="preserve"> </w:t>
            </w:r>
            <w:r>
              <w:rPr>
                <w:b/>
                <w:sz w:val="18"/>
              </w:rPr>
              <w:t>fees</w:t>
            </w:r>
            <w:r>
              <w:rPr>
                <w:b/>
                <w:spacing w:val="-7"/>
                <w:sz w:val="18"/>
              </w:rPr>
              <w:t xml:space="preserve"> </w:t>
            </w:r>
            <w:r>
              <w:rPr>
                <w:b/>
                <w:sz w:val="18"/>
              </w:rPr>
              <w:t>and</w:t>
            </w:r>
            <w:r>
              <w:rPr>
                <w:b/>
                <w:spacing w:val="-13"/>
                <w:sz w:val="18"/>
              </w:rPr>
              <w:t xml:space="preserve"> </w:t>
            </w:r>
            <w:r>
              <w:rPr>
                <w:b/>
                <w:sz w:val="18"/>
              </w:rPr>
              <w:t>membership</w:t>
            </w:r>
            <w:r>
              <w:rPr>
                <w:b/>
                <w:spacing w:val="-12"/>
                <w:sz w:val="18"/>
              </w:rPr>
              <w:t xml:space="preserve"> </w:t>
            </w:r>
            <w:r>
              <w:rPr>
                <w:b/>
                <w:spacing w:val="-2"/>
                <w:sz w:val="18"/>
              </w:rPr>
              <w:t>services</w:t>
            </w:r>
          </w:p>
        </w:tc>
        <w:tc>
          <w:tcPr>
            <w:tcW w:w="2248" w:type="dxa"/>
            <w:gridSpan w:val="2"/>
            <w:tcBorders>
              <w:top w:val="single" w:sz="6" w:space="0" w:color="000000"/>
              <w:bottom w:val="single" w:sz="6" w:space="0" w:color="000000"/>
            </w:tcBorders>
            <w:shd w:val="clear" w:color="auto" w:fill="BEBEBE"/>
          </w:tcPr>
          <w:p w14:paraId="45FE9519" w14:textId="77777777" w:rsidR="00AC6F3C" w:rsidRDefault="00570E88">
            <w:pPr>
              <w:pStyle w:val="TableParagraph"/>
              <w:tabs>
                <w:tab w:val="left" w:pos="1654"/>
              </w:tabs>
              <w:spacing w:before="40"/>
              <w:ind w:left="531"/>
              <w:rPr>
                <w:b/>
                <w:sz w:val="18"/>
              </w:rPr>
            </w:pPr>
            <w:r>
              <w:rPr>
                <w:b/>
                <w:spacing w:val="-2"/>
                <w:sz w:val="18"/>
              </w:rPr>
              <w:t>19,544</w:t>
            </w:r>
            <w:r>
              <w:rPr>
                <w:b/>
                <w:sz w:val="18"/>
              </w:rPr>
              <w:tab/>
            </w:r>
            <w:r>
              <w:rPr>
                <w:b/>
                <w:spacing w:val="-2"/>
                <w:sz w:val="18"/>
              </w:rPr>
              <w:t>18,659</w:t>
            </w:r>
          </w:p>
        </w:tc>
        <w:tc>
          <w:tcPr>
            <w:tcW w:w="1536" w:type="dxa"/>
            <w:gridSpan w:val="2"/>
            <w:tcBorders>
              <w:top w:val="single" w:sz="6" w:space="0" w:color="000000"/>
              <w:bottom w:val="single" w:sz="6" w:space="0" w:color="000000"/>
            </w:tcBorders>
            <w:shd w:val="clear" w:color="auto" w:fill="BEBEBE"/>
          </w:tcPr>
          <w:p w14:paraId="52AAC8D5" w14:textId="77777777" w:rsidR="00AC6F3C" w:rsidRDefault="00570E88">
            <w:pPr>
              <w:pStyle w:val="TableParagraph"/>
              <w:spacing w:before="40"/>
              <w:ind w:left="530"/>
              <w:rPr>
                <w:b/>
                <w:sz w:val="18"/>
              </w:rPr>
            </w:pPr>
            <w:r>
              <w:rPr>
                <w:b/>
                <w:spacing w:val="-2"/>
                <w:sz w:val="18"/>
              </w:rPr>
              <w:t>19,568</w:t>
            </w:r>
          </w:p>
        </w:tc>
        <w:tc>
          <w:tcPr>
            <w:tcW w:w="719" w:type="dxa"/>
            <w:tcBorders>
              <w:top w:val="single" w:sz="6" w:space="0" w:color="000000"/>
              <w:bottom w:val="single" w:sz="6" w:space="0" w:color="000000"/>
              <w:right w:val="single" w:sz="6" w:space="0" w:color="000000"/>
            </w:tcBorders>
            <w:shd w:val="clear" w:color="auto" w:fill="BEBEBE"/>
          </w:tcPr>
          <w:p w14:paraId="7CE76AAB" w14:textId="77777777" w:rsidR="00AC6F3C" w:rsidRDefault="00570E88">
            <w:pPr>
              <w:pStyle w:val="TableParagraph"/>
              <w:spacing w:before="40"/>
              <w:ind w:left="118"/>
              <w:rPr>
                <w:b/>
                <w:sz w:val="18"/>
              </w:rPr>
            </w:pPr>
            <w:r>
              <w:rPr>
                <w:b/>
                <w:spacing w:val="-2"/>
                <w:sz w:val="18"/>
              </w:rPr>
              <w:t>18,676</w:t>
            </w:r>
          </w:p>
        </w:tc>
      </w:tr>
    </w:tbl>
    <w:p w14:paraId="32999590" w14:textId="77777777" w:rsidR="00AC6F3C" w:rsidRDefault="00AC6F3C">
      <w:pPr>
        <w:rPr>
          <w:sz w:val="18"/>
        </w:rPr>
        <w:sectPr w:rsidR="00AC6F3C">
          <w:pgSz w:w="11910" w:h="16840"/>
          <w:pgMar w:top="2020" w:right="1160" w:bottom="520" w:left="460" w:header="1228" w:footer="336" w:gutter="0"/>
          <w:cols w:space="720"/>
        </w:sectPr>
      </w:pPr>
    </w:p>
    <w:p w14:paraId="490B76CD" w14:textId="77777777" w:rsidR="00AC6F3C" w:rsidRDefault="00AC6F3C">
      <w:pPr>
        <w:pStyle w:val="BodyText"/>
        <w:rPr>
          <w:b/>
        </w:rPr>
      </w:pPr>
    </w:p>
    <w:p w14:paraId="57D966DF" w14:textId="77777777" w:rsidR="00AC6F3C" w:rsidRDefault="00AC6F3C">
      <w:pPr>
        <w:pStyle w:val="BodyText"/>
        <w:spacing w:before="8"/>
        <w:rPr>
          <w:b/>
          <w:sz w:val="21"/>
        </w:rPr>
      </w:pPr>
    </w:p>
    <w:p w14:paraId="4A4C4F07" w14:textId="77777777" w:rsidR="00AC6F3C" w:rsidRDefault="00570E88">
      <w:pPr>
        <w:pStyle w:val="Heading6"/>
        <w:tabs>
          <w:tab w:val="left" w:pos="1810"/>
        </w:tabs>
        <w:spacing w:before="1"/>
      </w:pPr>
      <w:r>
        <w:rPr>
          <w:spacing w:val="-2"/>
        </w:rPr>
        <w:t>B1-</w:t>
      </w:r>
      <w:r>
        <w:rPr>
          <w:spacing w:val="-10"/>
        </w:rPr>
        <w:t>2</w:t>
      </w:r>
      <w:r>
        <w:tab/>
        <w:t>RENT</w:t>
      </w:r>
      <w:r>
        <w:rPr>
          <w:spacing w:val="-4"/>
        </w:rPr>
        <w:t xml:space="preserve"> </w:t>
      </w:r>
      <w:r>
        <w:t>AND</w:t>
      </w:r>
      <w:r>
        <w:rPr>
          <w:spacing w:val="-3"/>
        </w:rPr>
        <w:t xml:space="preserve"> </w:t>
      </w:r>
      <w:r>
        <w:t>ADMINISTRATION</w:t>
      </w:r>
      <w:r>
        <w:rPr>
          <w:spacing w:val="-3"/>
        </w:rPr>
        <w:t xml:space="preserve"> </w:t>
      </w:r>
      <w:r>
        <w:rPr>
          <w:spacing w:val="-2"/>
        </w:rPr>
        <w:t>REVENUE</w:t>
      </w:r>
    </w:p>
    <w:p w14:paraId="6C80AD76" w14:textId="77777777" w:rsidR="00AC6F3C" w:rsidRDefault="00AC6F3C">
      <w:pPr>
        <w:pStyle w:val="BodyText"/>
        <w:spacing w:before="8"/>
        <w:rPr>
          <w:b/>
        </w:rPr>
      </w:pPr>
    </w:p>
    <w:p w14:paraId="1F8B739E" w14:textId="77777777" w:rsidR="00AC6F3C" w:rsidRDefault="00570E88">
      <w:pPr>
        <w:ind w:left="958" w:right="468"/>
        <w:rPr>
          <w:sz w:val="18"/>
        </w:rPr>
      </w:pPr>
      <w:r>
        <w:rPr>
          <w:sz w:val="18"/>
        </w:rPr>
        <w:t>The</w:t>
      </w:r>
      <w:r>
        <w:rPr>
          <w:spacing w:val="-1"/>
          <w:sz w:val="18"/>
        </w:rPr>
        <w:t xml:space="preserve"> </w:t>
      </w:r>
      <w:r>
        <w:rPr>
          <w:sz w:val="18"/>
        </w:rPr>
        <w:t>Group</w:t>
      </w:r>
      <w:r>
        <w:rPr>
          <w:spacing w:val="-4"/>
          <w:sz w:val="18"/>
        </w:rPr>
        <w:t xml:space="preserve"> </w:t>
      </w:r>
      <w:r>
        <w:rPr>
          <w:sz w:val="18"/>
        </w:rPr>
        <w:t>has</w:t>
      </w:r>
      <w:r>
        <w:rPr>
          <w:spacing w:val="-1"/>
          <w:sz w:val="18"/>
        </w:rPr>
        <w:t xml:space="preserve"> </w:t>
      </w:r>
      <w:r>
        <w:rPr>
          <w:sz w:val="18"/>
        </w:rPr>
        <w:t>tenants</w:t>
      </w:r>
      <w:r>
        <w:rPr>
          <w:spacing w:val="-1"/>
          <w:sz w:val="18"/>
        </w:rPr>
        <w:t xml:space="preserve"> </w:t>
      </w:r>
      <w:r>
        <w:rPr>
          <w:sz w:val="18"/>
        </w:rPr>
        <w:t>occupying</w:t>
      </w:r>
      <w:r>
        <w:rPr>
          <w:spacing w:val="-4"/>
          <w:sz w:val="18"/>
        </w:rPr>
        <w:t xml:space="preserve"> </w:t>
      </w:r>
      <w:r>
        <w:rPr>
          <w:sz w:val="18"/>
        </w:rPr>
        <w:t>various</w:t>
      </w:r>
      <w:r>
        <w:rPr>
          <w:spacing w:val="-1"/>
          <w:sz w:val="18"/>
        </w:rPr>
        <w:t xml:space="preserve"> </w:t>
      </w:r>
      <w:r>
        <w:rPr>
          <w:sz w:val="18"/>
        </w:rPr>
        <w:t>space</w:t>
      </w:r>
      <w:r>
        <w:rPr>
          <w:spacing w:val="-1"/>
          <w:sz w:val="18"/>
        </w:rPr>
        <w:t xml:space="preserve"> </w:t>
      </w:r>
      <w:r>
        <w:rPr>
          <w:sz w:val="18"/>
        </w:rPr>
        <w:t>throughout</w:t>
      </w:r>
      <w:r>
        <w:rPr>
          <w:spacing w:val="-4"/>
          <w:sz w:val="18"/>
        </w:rPr>
        <w:t xml:space="preserve"> </w:t>
      </w:r>
      <w:r>
        <w:rPr>
          <w:sz w:val="18"/>
        </w:rPr>
        <w:t>the</w:t>
      </w:r>
      <w:r>
        <w:rPr>
          <w:spacing w:val="-1"/>
          <w:sz w:val="18"/>
        </w:rPr>
        <w:t xml:space="preserve"> </w:t>
      </w:r>
      <w:r>
        <w:rPr>
          <w:sz w:val="18"/>
        </w:rPr>
        <w:t>building.</w:t>
      </w:r>
      <w:r>
        <w:rPr>
          <w:spacing w:val="-5"/>
          <w:sz w:val="18"/>
        </w:rPr>
        <w:t xml:space="preserve"> </w:t>
      </w:r>
      <w:r>
        <w:rPr>
          <w:sz w:val="18"/>
        </w:rPr>
        <w:t>Rental</w:t>
      </w:r>
      <w:r>
        <w:rPr>
          <w:spacing w:val="-1"/>
          <w:sz w:val="18"/>
        </w:rPr>
        <w:t xml:space="preserve"> </w:t>
      </w:r>
      <w:r>
        <w:rPr>
          <w:sz w:val="18"/>
        </w:rPr>
        <w:t>revenue</w:t>
      </w:r>
      <w:r>
        <w:rPr>
          <w:spacing w:val="-1"/>
          <w:sz w:val="18"/>
        </w:rPr>
        <w:t xml:space="preserve"> </w:t>
      </w:r>
      <w:r>
        <w:rPr>
          <w:sz w:val="18"/>
        </w:rPr>
        <w:t>is</w:t>
      </w:r>
      <w:r>
        <w:rPr>
          <w:spacing w:val="-3"/>
          <w:sz w:val="18"/>
        </w:rPr>
        <w:t xml:space="preserve"> </w:t>
      </w:r>
      <w:proofErr w:type="spellStart"/>
      <w:r>
        <w:rPr>
          <w:sz w:val="18"/>
        </w:rPr>
        <w:t>recognised</w:t>
      </w:r>
      <w:proofErr w:type="spellEnd"/>
      <w:r>
        <w:rPr>
          <w:spacing w:val="-4"/>
          <w:sz w:val="18"/>
        </w:rPr>
        <w:t xml:space="preserve"> </w:t>
      </w:r>
      <w:r>
        <w:rPr>
          <w:sz w:val="18"/>
        </w:rPr>
        <w:t>as income as it is earned.</w:t>
      </w:r>
    </w:p>
    <w:p w14:paraId="43DF2FAB" w14:textId="77777777" w:rsidR="00AC6F3C" w:rsidRDefault="00AC6F3C">
      <w:pPr>
        <w:pStyle w:val="BodyText"/>
        <w:spacing w:before="9"/>
      </w:pPr>
    </w:p>
    <w:p w14:paraId="64348098" w14:textId="77777777" w:rsidR="00AC6F3C" w:rsidRDefault="00570E88">
      <w:pPr>
        <w:ind w:left="958" w:right="632" w:hanging="1"/>
        <w:rPr>
          <w:sz w:val="18"/>
        </w:rPr>
      </w:pPr>
      <w:r>
        <w:rPr>
          <w:sz w:val="18"/>
        </w:rPr>
        <w:t>Under the rules of the Act, certain operating expenses of the Society such as management fees are recoverable</w:t>
      </w:r>
      <w:r>
        <w:rPr>
          <w:spacing w:val="-2"/>
          <w:sz w:val="18"/>
        </w:rPr>
        <w:t xml:space="preserve"> </w:t>
      </w:r>
      <w:r>
        <w:rPr>
          <w:sz w:val="18"/>
        </w:rPr>
        <w:t>from</w:t>
      </w:r>
      <w:r>
        <w:rPr>
          <w:spacing w:val="-4"/>
          <w:sz w:val="18"/>
        </w:rPr>
        <w:t xml:space="preserve"> </w:t>
      </w:r>
      <w:r>
        <w:rPr>
          <w:sz w:val="18"/>
        </w:rPr>
        <w:t>the</w:t>
      </w:r>
      <w:r>
        <w:rPr>
          <w:spacing w:val="-5"/>
          <w:sz w:val="18"/>
        </w:rPr>
        <w:t xml:space="preserve"> </w:t>
      </w:r>
      <w:r>
        <w:rPr>
          <w:sz w:val="18"/>
        </w:rPr>
        <w:t>Legal</w:t>
      </w:r>
      <w:r>
        <w:rPr>
          <w:spacing w:val="-2"/>
          <w:sz w:val="18"/>
        </w:rPr>
        <w:t xml:space="preserve"> </w:t>
      </w:r>
      <w:r>
        <w:rPr>
          <w:sz w:val="18"/>
        </w:rPr>
        <w:t>Practitioners’</w:t>
      </w:r>
      <w:r>
        <w:rPr>
          <w:spacing w:val="-5"/>
          <w:sz w:val="18"/>
        </w:rPr>
        <w:t xml:space="preserve"> </w:t>
      </w:r>
      <w:r>
        <w:rPr>
          <w:sz w:val="18"/>
        </w:rPr>
        <w:t>Fidelity</w:t>
      </w:r>
      <w:r>
        <w:rPr>
          <w:spacing w:val="-2"/>
          <w:sz w:val="18"/>
        </w:rPr>
        <w:t xml:space="preserve"> </w:t>
      </w:r>
      <w:r>
        <w:rPr>
          <w:sz w:val="18"/>
        </w:rPr>
        <w:t>Guarantee</w:t>
      </w:r>
      <w:r>
        <w:rPr>
          <w:spacing w:val="-5"/>
          <w:sz w:val="18"/>
        </w:rPr>
        <w:t xml:space="preserve"> </w:t>
      </w:r>
      <w:r>
        <w:rPr>
          <w:sz w:val="18"/>
        </w:rPr>
        <w:t>Fund</w:t>
      </w:r>
      <w:r>
        <w:rPr>
          <w:spacing w:val="-2"/>
          <w:sz w:val="18"/>
        </w:rPr>
        <w:t xml:space="preserve"> </w:t>
      </w:r>
      <w:r>
        <w:rPr>
          <w:sz w:val="18"/>
        </w:rPr>
        <w:t>(LPFGF)</w:t>
      </w:r>
      <w:r>
        <w:rPr>
          <w:spacing w:val="-3"/>
          <w:sz w:val="18"/>
        </w:rPr>
        <w:t xml:space="preserve"> </w:t>
      </w:r>
      <w:r>
        <w:rPr>
          <w:sz w:val="18"/>
        </w:rPr>
        <w:t>and</w:t>
      </w:r>
      <w:r>
        <w:rPr>
          <w:spacing w:val="-2"/>
          <w:sz w:val="18"/>
        </w:rPr>
        <w:t xml:space="preserve"> </w:t>
      </w:r>
      <w:r>
        <w:rPr>
          <w:sz w:val="18"/>
        </w:rPr>
        <w:t>the</w:t>
      </w:r>
      <w:r>
        <w:rPr>
          <w:spacing w:val="-5"/>
          <w:sz w:val="18"/>
        </w:rPr>
        <w:t xml:space="preserve"> </w:t>
      </w:r>
      <w:r>
        <w:rPr>
          <w:sz w:val="18"/>
        </w:rPr>
        <w:t>Legal</w:t>
      </w:r>
      <w:r>
        <w:rPr>
          <w:spacing w:val="-5"/>
          <w:sz w:val="18"/>
        </w:rPr>
        <w:t xml:space="preserve"> </w:t>
      </w:r>
      <w:r>
        <w:rPr>
          <w:sz w:val="18"/>
        </w:rPr>
        <w:t>Practitioners Admissions Board (LPAB).</w:t>
      </w:r>
    </w:p>
    <w:p w14:paraId="4D364061" w14:textId="77777777" w:rsidR="00AC6F3C" w:rsidRDefault="00AC6F3C">
      <w:pPr>
        <w:pStyle w:val="BodyText"/>
        <w:spacing w:before="10"/>
      </w:pPr>
    </w:p>
    <w:p w14:paraId="35509810" w14:textId="77777777" w:rsidR="00AC6F3C" w:rsidRDefault="00570E88">
      <w:pPr>
        <w:spacing w:before="1"/>
        <w:ind w:left="958" w:right="857"/>
        <w:rPr>
          <w:sz w:val="18"/>
        </w:rPr>
      </w:pPr>
      <w:r>
        <w:rPr>
          <w:sz w:val="18"/>
        </w:rPr>
        <w:t>LPFGF</w:t>
      </w:r>
      <w:r>
        <w:rPr>
          <w:spacing w:val="15"/>
          <w:sz w:val="18"/>
        </w:rPr>
        <w:t xml:space="preserve"> </w:t>
      </w:r>
      <w:r>
        <w:rPr>
          <w:sz w:val="18"/>
        </w:rPr>
        <w:t>is</w:t>
      </w:r>
      <w:r>
        <w:rPr>
          <w:spacing w:val="-3"/>
          <w:sz w:val="18"/>
        </w:rPr>
        <w:t xml:space="preserve"> </w:t>
      </w:r>
      <w:r>
        <w:rPr>
          <w:sz w:val="18"/>
        </w:rPr>
        <w:t>a</w:t>
      </w:r>
      <w:r>
        <w:rPr>
          <w:spacing w:val="-1"/>
          <w:sz w:val="18"/>
        </w:rPr>
        <w:t xml:space="preserve"> </w:t>
      </w:r>
      <w:r>
        <w:rPr>
          <w:sz w:val="18"/>
        </w:rPr>
        <w:t>fund</w:t>
      </w:r>
      <w:r>
        <w:rPr>
          <w:spacing w:val="-4"/>
          <w:sz w:val="18"/>
        </w:rPr>
        <w:t xml:space="preserve"> </w:t>
      </w:r>
      <w:r>
        <w:rPr>
          <w:sz w:val="18"/>
        </w:rPr>
        <w:t>managed</w:t>
      </w:r>
      <w:r>
        <w:rPr>
          <w:spacing w:val="-4"/>
          <w:sz w:val="18"/>
        </w:rPr>
        <w:t xml:space="preserve"> </w:t>
      </w:r>
      <w:r>
        <w:rPr>
          <w:sz w:val="18"/>
        </w:rPr>
        <w:t>by</w:t>
      </w:r>
      <w:r>
        <w:rPr>
          <w:spacing w:val="-3"/>
          <w:sz w:val="18"/>
        </w:rPr>
        <w:t xml:space="preserve"> </w:t>
      </w:r>
      <w:r>
        <w:rPr>
          <w:sz w:val="18"/>
        </w:rPr>
        <w:t>the</w:t>
      </w:r>
      <w:r>
        <w:rPr>
          <w:spacing w:val="-1"/>
          <w:sz w:val="18"/>
        </w:rPr>
        <w:t xml:space="preserve"> </w:t>
      </w:r>
      <w:r>
        <w:rPr>
          <w:sz w:val="18"/>
        </w:rPr>
        <w:t>Society</w:t>
      </w:r>
      <w:r>
        <w:rPr>
          <w:spacing w:val="-1"/>
          <w:sz w:val="18"/>
        </w:rPr>
        <w:t xml:space="preserve"> </w:t>
      </w:r>
      <w:r>
        <w:rPr>
          <w:sz w:val="18"/>
        </w:rPr>
        <w:t>that</w:t>
      </w:r>
      <w:r>
        <w:rPr>
          <w:spacing w:val="-2"/>
          <w:sz w:val="18"/>
        </w:rPr>
        <w:t xml:space="preserve"> </w:t>
      </w:r>
      <w:r>
        <w:rPr>
          <w:sz w:val="18"/>
        </w:rPr>
        <w:t>has</w:t>
      </w:r>
      <w:r>
        <w:rPr>
          <w:spacing w:val="-3"/>
          <w:sz w:val="18"/>
        </w:rPr>
        <w:t xml:space="preserve"> </w:t>
      </w:r>
      <w:r>
        <w:rPr>
          <w:sz w:val="18"/>
        </w:rPr>
        <w:t>been</w:t>
      </w:r>
      <w:r>
        <w:rPr>
          <w:spacing w:val="-1"/>
          <w:sz w:val="18"/>
        </w:rPr>
        <w:t xml:space="preserve"> </w:t>
      </w:r>
      <w:r>
        <w:rPr>
          <w:sz w:val="18"/>
        </w:rPr>
        <w:t>established</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purpose</w:t>
      </w:r>
      <w:r>
        <w:rPr>
          <w:spacing w:val="-1"/>
          <w:sz w:val="18"/>
        </w:rPr>
        <w:t xml:space="preserve"> </w:t>
      </w:r>
      <w:r>
        <w:rPr>
          <w:sz w:val="18"/>
        </w:rPr>
        <w:t>of</w:t>
      </w:r>
      <w:r>
        <w:rPr>
          <w:spacing w:val="-2"/>
          <w:sz w:val="18"/>
        </w:rPr>
        <w:t xml:space="preserve"> </w:t>
      </w:r>
      <w:r>
        <w:rPr>
          <w:sz w:val="18"/>
        </w:rPr>
        <w:t>providing</w:t>
      </w:r>
      <w:r>
        <w:rPr>
          <w:spacing w:val="-1"/>
          <w:sz w:val="18"/>
        </w:rPr>
        <w:t xml:space="preserve"> </w:t>
      </w:r>
      <w:r>
        <w:rPr>
          <w:sz w:val="18"/>
        </w:rPr>
        <w:t>a</w:t>
      </w:r>
      <w:r>
        <w:rPr>
          <w:spacing w:val="-4"/>
          <w:sz w:val="18"/>
        </w:rPr>
        <w:t xml:space="preserve"> </w:t>
      </w:r>
      <w:r>
        <w:rPr>
          <w:sz w:val="18"/>
        </w:rPr>
        <w:t xml:space="preserve">source of compensation for defaults by law practices arising from acts or omissions of associates of the law </w:t>
      </w:r>
      <w:r>
        <w:rPr>
          <w:spacing w:val="-2"/>
          <w:sz w:val="18"/>
        </w:rPr>
        <w:t>practices.</w:t>
      </w:r>
    </w:p>
    <w:p w14:paraId="6FE67AF2" w14:textId="77777777" w:rsidR="00AC6F3C" w:rsidRDefault="00AC6F3C">
      <w:pPr>
        <w:pStyle w:val="BodyText"/>
        <w:spacing w:before="10"/>
      </w:pPr>
    </w:p>
    <w:p w14:paraId="78078DA5" w14:textId="77777777" w:rsidR="00AC6F3C" w:rsidRDefault="00570E88">
      <w:pPr>
        <w:ind w:left="958" w:right="990" w:hanging="1"/>
        <w:rPr>
          <w:sz w:val="18"/>
        </w:rPr>
      </w:pPr>
      <w:r>
        <w:rPr>
          <w:sz w:val="18"/>
        </w:rPr>
        <w:t>LPAB</w:t>
      </w:r>
      <w:r>
        <w:rPr>
          <w:spacing w:val="-1"/>
          <w:sz w:val="18"/>
        </w:rPr>
        <w:t xml:space="preserve"> </w:t>
      </w:r>
      <w:r>
        <w:rPr>
          <w:sz w:val="18"/>
        </w:rPr>
        <w:t>is</w:t>
      </w:r>
      <w:r>
        <w:rPr>
          <w:spacing w:val="-2"/>
          <w:sz w:val="18"/>
        </w:rPr>
        <w:t xml:space="preserve"> </w:t>
      </w:r>
      <w:r>
        <w:rPr>
          <w:sz w:val="18"/>
        </w:rPr>
        <w:t>a separate</w:t>
      </w:r>
      <w:r>
        <w:rPr>
          <w:spacing w:val="-3"/>
          <w:sz w:val="18"/>
        </w:rPr>
        <w:t xml:space="preserve"> </w:t>
      </w:r>
      <w:r>
        <w:rPr>
          <w:sz w:val="18"/>
        </w:rPr>
        <w:t>statutory</w:t>
      </w:r>
      <w:r>
        <w:rPr>
          <w:spacing w:val="-2"/>
          <w:sz w:val="18"/>
        </w:rPr>
        <w:t xml:space="preserve"> </w:t>
      </w:r>
      <w:r>
        <w:rPr>
          <w:sz w:val="18"/>
        </w:rPr>
        <w:t>body</w:t>
      </w:r>
      <w:r>
        <w:rPr>
          <w:spacing w:val="-2"/>
          <w:sz w:val="18"/>
        </w:rPr>
        <w:t xml:space="preserve"> </w:t>
      </w:r>
      <w:r>
        <w:rPr>
          <w:sz w:val="18"/>
        </w:rPr>
        <w:t>and</w:t>
      </w:r>
      <w:r>
        <w:rPr>
          <w:spacing w:val="-3"/>
          <w:sz w:val="18"/>
        </w:rPr>
        <w:t xml:space="preserve"> </w:t>
      </w:r>
      <w:r>
        <w:rPr>
          <w:sz w:val="18"/>
        </w:rPr>
        <w:t>its</w:t>
      </w:r>
      <w:r>
        <w:rPr>
          <w:spacing w:val="-2"/>
          <w:sz w:val="18"/>
        </w:rPr>
        <w:t xml:space="preserve"> </w:t>
      </w:r>
      <w:r>
        <w:rPr>
          <w:sz w:val="18"/>
        </w:rPr>
        <w:t>primary</w:t>
      </w:r>
      <w:r>
        <w:rPr>
          <w:spacing w:val="-2"/>
          <w:sz w:val="18"/>
        </w:rPr>
        <w:t xml:space="preserve"> </w:t>
      </w:r>
      <w:r>
        <w:rPr>
          <w:sz w:val="18"/>
        </w:rPr>
        <w:t>role</w:t>
      </w:r>
      <w:r>
        <w:rPr>
          <w:spacing w:val="-3"/>
          <w:sz w:val="18"/>
        </w:rPr>
        <w:t xml:space="preserve"> </w:t>
      </w:r>
      <w:r>
        <w:rPr>
          <w:sz w:val="18"/>
        </w:rPr>
        <w:t>is</w:t>
      </w:r>
      <w:r>
        <w:rPr>
          <w:spacing w:val="-2"/>
          <w:sz w:val="18"/>
        </w:rPr>
        <w:t xml:space="preserve"> </w:t>
      </w:r>
      <w:r>
        <w:rPr>
          <w:sz w:val="18"/>
        </w:rPr>
        <w:t>to</w:t>
      </w:r>
      <w:r>
        <w:rPr>
          <w:spacing w:val="-3"/>
          <w:sz w:val="18"/>
        </w:rPr>
        <w:t xml:space="preserve"> </w:t>
      </w:r>
      <w:r>
        <w:rPr>
          <w:sz w:val="18"/>
        </w:rPr>
        <w:t>assist</w:t>
      </w:r>
      <w:r>
        <w:rPr>
          <w:spacing w:val="-1"/>
          <w:sz w:val="18"/>
        </w:rPr>
        <w:t xml:space="preserve"> </w:t>
      </w:r>
      <w:r>
        <w:rPr>
          <w:sz w:val="18"/>
        </w:rPr>
        <w:t>the Supreme Court</w:t>
      </w:r>
      <w:r>
        <w:rPr>
          <w:spacing w:val="-3"/>
          <w:sz w:val="18"/>
        </w:rPr>
        <w:t xml:space="preserve"> </w:t>
      </w:r>
      <w:r>
        <w:rPr>
          <w:sz w:val="18"/>
        </w:rPr>
        <w:t>of</w:t>
      </w:r>
      <w:r>
        <w:rPr>
          <w:spacing w:val="-1"/>
          <w:sz w:val="18"/>
        </w:rPr>
        <w:t xml:space="preserve"> </w:t>
      </w:r>
      <w:r>
        <w:rPr>
          <w:sz w:val="18"/>
        </w:rPr>
        <w:t>Queensland by making a recommendation about each application for admission. The Society provides administrative support to the Board including secretariat support.</w:t>
      </w:r>
    </w:p>
    <w:p w14:paraId="54D1FD55" w14:textId="77777777" w:rsidR="00AC6F3C" w:rsidRDefault="00AC6F3C">
      <w:pPr>
        <w:pStyle w:val="BodyText"/>
        <w:spacing w:before="10"/>
      </w:pPr>
    </w:p>
    <w:tbl>
      <w:tblPr>
        <w:tblW w:w="0" w:type="auto"/>
        <w:tblInd w:w="1022" w:type="dxa"/>
        <w:tblLayout w:type="fixed"/>
        <w:tblCellMar>
          <w:left w:w="0" w:type="dxa"/>
          <w:right w:w="0" w:type="dxa"/>
        </w:tblCellMar>
        <w:tblLook w:val="01E0" w:firstRow="1" w:lastRow="1" w:firstColumn="1" w:lastColumn="1" w:noHBand="0" w:noVBand="0"/>
      </w:tblPr>
      <w:tblGrid>
        <w:gridCol w:w="3843"/>
        <w:gridCol w:w="1139"/>
        <w:gridCol w:w="587"/>
        <w:gridCol w:w="523"/>
        <w:gridCol w:w="1139"/>
        <w:gridCol w:w="450"/>
        <w:gridCol w:w="667"/>
      </w:tblGrid>
      <w:tr w:rsidR="00AC6F3C" w14:paraId="29CD3CA4" w14:textId="77777777">
        <w:trPr>
          <w:trHeight w:val="879"/>
        </w:trPr>
        <w:tc>
          <w:tcPr>
            <w:tcW w:w="3843" w:type="dxa"/>
            <w:tcBorders>
              <w:top w:val="single" w:sz="6" w:space="0" w:color="000000"/>
              <w:left w:val="single" w:sz="6" w:space="0" w:color="000000"/>
              <w:bottom w:val="single" w:sz="6" w:space="0" w:color="000000"/>
            </w:tcBorders>
            <w:shd w:val="clear" w:color="auto" w:fill="BEBEBE"/>
          </w:tcPr>
          <w:p w14:paraId="16F0929A" w14:textId="77777777" w:rsidR="00AC6F3C" w:rsidRDefault="00AC6F3C">
            <w:pPr>
              <w:pStyle w:val="TableParagraph"/>
              <w:rPr>
                <w:rFonts w:ascii="Times New Roman"/>
                <w:sz w:val="18"/>
              </w:rPr>
            </w:pPr>
          </w:p>
        </w:tc>
        <w:tc>
          <w:tcPr>
            <w:tcW w:w="1726" w:type="dxa"/>
            <w:gridSpan w:val="2"/>
            <w:tcBorders>
              <w:top w:val="single" w:sz="6" w:space="0" w:color="000000"/>
              <w:bottom w:val="single" w:sz="6" w:space="0" w:color="000000"/>
            </w:tcBorders>
            <w:shd w:val="clear" w:color="auto" w:fill="BEBEBE"/>
          </w:tcPr>
          <w:p w14:paraId="2634E6ED" w14:textId="77777777" w:rsidR="00AC6F3C" w:rsidRDefault="00570E88">
            <w:pPr>
              <w:pStyle w:val="TableParagraph"/>
              <w:spacing w:before="54" w:line="328" w:lineRule="auto"/>
              <w:ind w:left="681" w:hanging="90"/>
              <w:rPr>
                <w:b/>
                <w:sz w:val="18"/>
              </w:rPr>
            </w:pPr>
            <w:r>
              <w:rPr>
                <w:b/>
                <w:spacing w:val="-4"/>
                <w:sz w:val="18"/>
              </w:rPr>
              <w:t>Consolidated 2023</w:t>
            </w:r>
          </w:p>
          <w:p w14:paraId="568BE8CA" w14:textId="77777777" w:rsidR="00AC6F3C" w:rsidRDefault="00570E88">
            <w:pPr>
              <w:pStyle w:val="TableParagraph"/>
              <w:spacing w:before="15"/>
              <w:ind w:left="636"/>
              <w:rPr>
                <w:b/>
                <w:sz w:val="18"/>
              </w:rPr>
            </w:pPr>
            <w:r>
              <w:rPr>
                <w:b/>
                <w:spacing w:val="-2"/>
                <w:sz w:val="18"/>
              </w:rPr>
              <w:t>$’000</w:t>
            </w:r>
          </w:p>
        </w:tc>
        <w:tc>
          <w:tcPr>
            <w:tcW w:w="523" w:type="dxa"/>
            <w:tcBorders>
              <w:top w:val="single" w:sz="6" w:space="0" w:color="000000"/>
              <w:bottom w:val="single" w:sz="6" w:space="0" w:color="000000"/>
            </w:tcBorders>
            <w:shd w:val="clear" w:color="auto" w:fill="BEBEBE"/>
          </w:tcPr>
          <w:p w14:paraId="506E6D4A" w14:textId="77777777" w:rsidR="00AC6F3C" w:rsidRDefault="00AC6F3C">
            <w:pPr>
              <w:pStyle w:val="TableParagraph"/>
              <w:spacing w:before="4"/>
              <w:rPr>
                <w:sz w:val="29"/>
              </w:rPr>
            </w:pPr>
          </w:p>
          <w:p w14:paraId="37639CE8" w14:textId="77777777" w:rsidR="00AC6F3C" w:rsidRDefault="00570E88">
            <w:pPr>
              <w:pStyle w:val="TableParagraph"/>
              <w:ind w:left="78"/>
              <w:rPr>
                <w:b/>
                <w:sz w:val="18"/>
              </w:rPr>
            </w:pPr>
            <w:r>
              <w:rPr>
                <w:b/>
                <w:spacing w:val="-4"/>
                <w:sz w:val="18"/>
              </w:rPr>
              <w:t>2022</w:t>
            </w:r>
          </w:p>
          <w:p w14:paraId="03872EC7" w14:textId="77777777" w:rsidR="00AC6F3C" w:rsidRDefault="00570E88">
            <w:pPr>
              <w:pStyle w:val="TableParagraph"/>
              <w:spacing w:before="91"/>
              <w:ind w:left="33"/>
              <w:rPr>
                <w:b/>
                <w:sz w:val="18"/>
              </w:rPr>
            </w:pPr>
            <w:r>
              <w:rPr>
                <w:b/>
                <w:spacing w:val="-2"/>
                <w:sz w:val="18"/>
              </w:rPr>
              <w:t>$’000</w:t>
            </w:r>
          </w:p>
        </w:tc>
        <w:tc>
          <w:tcPr>
            <w:tcW w:w="1589" w:type="dxa"/>
            <w:gridSpan w:val="2"/>
            <w:tcBorders>
              <w:top w:val="single" w:sz="6" w:space="0" w:color="000000"/>
              <w:bottom w:val="single" w:sz="6" w:space="0" w:color="000000"/>
            </w:tcBorders>
            <w:shd w:val="clear" w:color="auto" w:fill="BEBEBE"/>
          </w:tcPr>
          <w:p w14:paraId="741A2822" w14:textId="77777777" w:rsidR="00AC6F3C" w:rsidRDefault="00570E88">
            <w:pPr>
              <w:pStyle w:val="TableParagraph"/>
              <w:spacing w:before="54" w:line="328" w:lineRule="auto"/>
              <w:ind w:left="679" w:firstLine="179"/>
              <w:rPr>
                <w:b/>
                <w:sz w:val="18"/>
              </w:rPr>
            </w:pPr>
            <w:r>
              <w:rPr>
                <w:b/>
                <w:spacing w:val="-2"/>
                <w:sz w:val="18"/>
              </w:rPr>
              <w:t xml:space="preserve">Parent </w:t>
            </w:r>
            <w:r>
              <w:rPr>
                <w:b/>
                <w:spacing w:val="-4"/>
                <w:sz w:val="18"/>
              </w:rPr>
              <w:t>2023</w:t>
            </w:r>
          </w:p>
          <w:p w14:paraId="2A82A820" w14:textId="77777777" w:rsidR="00AC6F3C" w:rsidRDefault="00570E88">
            <w:pPr>
              <w:pStyle w:val="TableParagraph"/>
              <w:spacing w:before="15"/>
              <w:ind w:left="634"/>
              <w:rPr>
                <w:b/>
                <w:sz w:val="18"/>
              </w:rPr>
            </w:pPr>
            <w:r>
              <w:rPr>
                <w:b/>
                <w:spacing w:val="-2"/>
                <w:sz w:val="18"/>
              </w:rPr>
              <w:t>$’000</w:t>
            </w:r>
          </w:p>
        </w:tc>
        <w:tc>
          <w:tcPr>
            <w:tcW w:w="667" w:type="dxa"/>
            <w:tcBorders>
              <w:top w:val="single" w:sz="6" w:space="0" w:color="000000"/>
              <w:bottom w:val="single" w:sz="6" w:space="0" w:color="000000"/>
              <w:right w:val="single" w:sz="6" w:space="0" w:color="000000"/>
            </w:tcBorders>
            <w:shd w:val="clear" w:color="auto" w:fill="BEBEBE"/>
          </w:tcPr>
          <w:p w14:paraId="71788C31" w14:textId="77777777" w:rsidR="00AC6F3C" w:rsidRDefault="00AC6F3C">
            <w:pPr>
              <w:pStyle w:val="TableParagraph"/>
              <w:spacing w:before="4"/>
              <w:rPr>
                <w:sz w:val="29"/>
              </w:rPr>
            </w:pPr>
          </w:p>
          <w:p w14:paraId="38A73953" w14:textId="77777777" w:rsidR="00AC6F3C" w:rsidRDefault="00570E88">
            <w:pPr>
              <w:pStyle w:val="TableParagraph"/>
              <w:ind w:left="213"/>
              <w:rPr>
                <w:b/>
                <w:sz w:val="18"/>
              </w:rPr>
            </w:pPr>
            <w:r>
              <w:rPr>
                <w:b/>
                <w:spacing w:val="-4"/>
                <w:sz w:val="18"/>
              </w:rPr>
              <w:t>2022</w:t>
            </w:r>
          </w:p>
          <w:p w14:paraId="024EF302" w14:textId="77777777" w:rsidR="00AC6F3C" w:rsidRDefault="00570E88">
            <w:pPr>
              <w:pStyle w:val="TableParagraph"/>
              <w:spacing w:before="91"/>
              <w:ind w:left="168"/>
              <w:rPr>
                <w:b/>
                <w:sz w:val="18"/>
              </w:rPr>
            </w:pPr>
            <w:r>
              <w:rPr>
                <w:b/>
                <w:spacing w:val="-2"/>
                <w:sz w:val="18"/>
              </w:rPr>
              <w:t>$’000</w:t>
            </w:r>
          </w:p>
        </w:tc>
      </w:tr>
      <w:tr w:rsidR="00AC6F3C" w14:paraId="2131ACD4" w14:textId="77777777">
        <w:trPr>
          <w:trHeight w:val="295"/>
        </w:trPr>
        <w:tc>
          <w:tcPr>
            <w:tcW w:w="3843" w:type="dxa"/>
            <w:tcBorders>
              <w:top w:val="single" w:sz="6" w:space="0" w:color="000000"/>
              <w:left w:val="single" w:sz="6" w:space="0" w:color="000000"/>
            </w:tcBorders>
          </w:tcPr>
          <w:p w14:paraId="419C19CD" w14:textId="77777777" w:rsidR="00AC6F3C" w:rsidRDefault="00570E88">
            <w:pPr>
              <w:pStyle w:val="TableParagraph"/>
              <w:spacing w:before="40"/>
              <w:ind w:left="37"/>
              <w:rPr>
                <w:sz w:val="18"/>
              </w:rPr>
            </w:pPr>
            <w:r>
              <w:rPr>
                <w:spacing w:val="-4"/>
                <w:sz w:val="18"/>
              </w:rPr>
              <w:t>Rent</w:t>
            </w:r>
          </w:p>
        </w:tc>
        <w:tc>
          <w:tcPr>
            <w:tcW w:w="1139" w:type="dxa"/>
            <w:tcBorders>
              <w:top w:val="single" w:sz="6" w:space="0" w:color="000000"/>
            </w:tcBorders>
            <w:shd w:val="clear" w:color="auto" w:fill="F1F1F1"/>
          </w:tcPr>
          <w:p w14:paraId="1C969D20" w14:textId="77777777" w:rsidR="00AC6F3C" w:rsidRDefault="00570E88">
            <w:pPr>
              <w:pStyle w:val="TableParagraph"/>
              <w:spacing w:before="40"/>
              <w:ind w:right="36"/>
              <w:jc w:val="right"/>
              <w:rPr>
                <w:sz w:val="18"/>
              </w:rPr>
            </w:pPr>
            <w:r>
              <w:rPr>
                <w:spacing w:val="-5"/>
                <w:sz w:val="18"/>
              </w:rPr>
              <w:t>119</w:t>
            </w:r>
          </w:p>
        </w:tc>
        <w:tc>
          <w:tcPr>
            <w:tcW w:w="1110" w:type="dxa"/>
            <w:gridSpan w:val="2"/>
            <w:tcBorders>
              <w:top w:val="single" w:sz="6" w:space="0" w:color="000000"/>
            </w:tcBorders>
          </w:tcPr>
          <w:p w14:paraId="59168B52" w14:textId="77777777" w:rsidR="00AC6F3C" w:rsidRDefault="00570E88">
            <w:pPr>
              <w:pStyle w:val="TableParagraph"/>
              <w:spacing w:before="40"/>
              <w:ind w:right="22"/>
              <w:jc w:val="right"/>
              <w:rPr>
                <w:sz w:val="18"/>
              </w:rPr>
            </w:pPr>
            <w:r>
              <w:rPr>
                <w:spacing w:val="-5"/>
                <w:sz w:val="18"/>
              </w:rPr>
              <w:t>212</w:t>
            </w:r>
          </w:p>
        </w:tc>
        <w:tc>
          <w:tcPr>
            <w:tcW w:w="1139" w:type="dxa"/>
            <w:tcBorders>
              <w:top w:val="single" w:sz="6" w:space="0" w:color="000000"/>
            </w:tcBorders>
            <w:shd w:val="clear" w:color="auto" w:fill="F1F1F1"/>
          </w:tcPr>
          <w:p w14:paraId="50EBB98E" w14:textId="77777777" w:rsidR="00AC6F3C" w:rsidRDefault="00570E88">
            <w:pPr>
              <w:pStyle w:val="TableParagraph"/>
              <w:spacing w:before="40"/>
              <w:ind w:right="38"/>
              <w:jc w:val="right"/>
              <w:rPr>
                <w:sz w:val="18"/>
              </w:rPr>
            </w:pPr>
            <w:r>
              <w:rPr>
                <w:spacing w:val="-5"/>
                <w:sz w:val="18"/>
              </w:rPr>
              <w:t>125</w:t>
            </w:r>
          </w:p>
        </w:tc>
        <w:tc>
          <w:tcPr>
            <w:tcW w:w="1117" w:type="dxa"/>
            <w:gridSpan w:val="2"/>
            <w:tcBorders>
              <w:top w:val="single" w:sz="6" w:space="0" w:color="000000"/>
              <w:right w:val="single" w:sz="6" w:space="0" w:color="000000"/>
            </w:tcBorders>
          </w:tcPr>
          <w:p w14:paraId="7E3A6495" w14:textId="77777777" w:rsidR="00AC6F3C" w:rsidRDefault="00570E88">
            <w:pPr>
              <w:pStyle w:val="TableParagraph"/>
              <w:spacing w:before="40"/>
              <w:ind w:right="24"/>
              <w:jc w:val="right"/>
              <w:rPr>
                <w:sz w:val="18"/>
              </w:rPr>
            </w:pPr>
            <w:r>
              <w:rPr>
                <w:spacing w:val="-5"/>
                <w:sz w:val="18"/>
              </w:rPr>
              <w:t>217</w:t>
            </w:r>
          </w:p>
        </w:tc>
      </w:tr>
      <w:tr w:rsidR="00AC6F3C" w14:paraId="13DDD4CC" w14:textId="77777777">
        <w:trPr>
          <w:trHeight w:val="298"/>
        </w:trPr>
        <w:tc>
          <w:tcPr>
            <w:tcW w:w="3843" w:type="dxa"/>
            <w:tcBorders>
              <w:left w:val="single" w:sz="6" w:space="0" w:color="000000"/>
            </w:tcBorders>
          </w:tcPr>
          <w:p w14:paraId="09C00EDF" w14:textId="77777777" w:rsidR="00AC6F3C" w:rsidRDefault="00570E88">
            <w:pPr>
              <w:pStyle w:val="TableParagraph"/>
              <w:spacing w:before="42"/>
              <w:ind w:left="37"/>
              <w:rPr>
                <w:sz w:val="18"/>
              </w:rPr>
            </w:pPr>
            <w:r>
              <w:rPr>
                <w:sz w:val="18"/>
              </w:rPr>
              <w:t>Body</w:t>
            </w:r>
            <w:r>
              <w:rPr>
                <w:spacing w:val="-10"/>
                <w:sz w:val="18"/>
              </w:rPr>
              <w:t xml:space="preserve"> </w:t>
            </w:r>
            <w:r>
              <w:rPr>
                <w:sz w:val="18"/>
              </w:rPr>
              <w:t>corporate</w:t>
            </w:r>
            <w:r>
              <w:rPr>
                <w:spacing w:val="18"/>
                <w:sz w:val="18"/>
              </w:rPr>
              <w:t xml:space="preserve"> </w:t>
            </w:r>
            <w:r>
              <w:rPr>
                <w:sz w:val="18"/>
              </w:rPr>
              <w:t>administration</w:t>
            </w:r>
            <w:r>
              <w:rPr>
                <w:spacing w:val="19"/>
                <w:sz w:val="18"/>
              </w:rPr>
              <w:t xml:space="preserve"> </w:t>
            </w:r>
            <w:r>
              <w:rPr>
                <w:spacing w:val="-5"/>
                <w:sz w:val="18"/>
              </w:rPr>
              <w:t>fee</w:t>
            </w:r>
          </w:p>
        </w:tc>
        <w:tc>
          <w:tcPr>
            <w:tcW w:w="1139" w:type="dxa"/>
            <w:shd w:val="clear" w:color="auto" w:fill="F1F1F1"/>
          </w:tcPr>
          <w:p w14:paraId="280729ED" w14:textId="77777777" w:rsidR="00AC6F3C" w:rsidRDefault="00570E88">
            <w:pPr>
              <w:pStyle w:val="TableParagraph"/>
              <w:spacing w:before="42"/>
              <w:ind w:right="36"/>
              <w:jc w:val="right"/>
              <w:rPr>
                <w:sz w:val="18"/>
              </w:rPr>
            </w:pPr>
            <w:r>
              <w:rPr>
                <w:spacing w:val="-5"/>
                <w:sz w:val="18"/>
              </w:rPr>
              <w:t>39</w:t>
            </w:r>
          </w:p>
        </w:tc>
        <w:tc>
          <w:tcPr>
            <w:tcW w:w="1110" w:type="dxa"/>
            <w:gridSpan w:val="2"/>
          </w:tcPr>
          <w:p w14:paraId="35E02351" w14:textId="77777777" w:rsidR="00AC6F3C" w:rsidRDefault="00570E88">
            <w:pPr>
              <w:pStyle w:val="TableParagraph"/>
              <w:spacing w:before="42"/>
              <w:ind w:right="22"/>
              <w:jc w:val="right"/>
              <w:rPr>
                <w:sz w:val="18"/>
              </w:rPr>
            </w:pPr>
            <w:r>
              <w:rPr>
                <w:spacing w:val="-5"/>
                <w:sz w:val="18"/>
              </w:rPr>
              <w:t>26</w:t>
            </w:r>
          </w:p>
        </w:tc>
        <w:tc>
          <w:tcPr>
            <w:tcW w:w="1139" w:type="dxa"/>
            <w:shd w:val="clear" w:color="auto" w:fill="F1F1F1"/>
          </w:tcPr>
          <w:p w14:paraId="72B7B96F" w14:textId="77777777" w:rsidR="00AC6F3C" w:rsidRDefault="00570E88">
            <w:pPr>
              <w:pStyle w:val="TableParagraph"/>
              <w:spacing w:before="42"/>
              <w:ind w:right="38"/>
              <w:jc w:val="right"/>
              <w:rPr>
                <w:sz w:val="18"/>
              </w:rPr>
            </w:pPr>
            <w:r>
              <w:rPr>
                <w:spacing w:val="-5"/>
                <w:sz w:val="18"/>
              </w:rPr>
              <w:t>39</w:t>
            </w:r>
          </w:p>
        </w:tc>
        <w:tc>
          <w:tcPr>
            <w:tcW w:w="1117" w:type="dxa"/>
            <w:gridSpan w:val="2"/>
            <w:tcBorders>
              <w:right w:val="single" w:sz="6" w:space="0" w:color="000000"/>
            </w:tcBorders>
          </w:tcPr>
          <w:p w14:paraId="0D51BD74" w14:textId="77777777" w:rsidR="00AC6F3C" w:rsidRDefault="00570E88">
            <w:pPr>
              <w:pStyle w:val="TableParagraph"/>
              <w:spacing w:before="42"/>
              <w:ind w:right="24"/>
              <w:jc w:val="right"/>
              <w:rPr>
                <w:sz w:val="18"/>
              </w:rPr>
            </w:pPr>
            <w:r>
              <w:rPr>
                <w:spacing w:val="-5"/>
                <w:sz w:val="18"/>
              </w:rPr>
              <w:t>26</w:t>
            </w:r>
          </w:p>
        </w:tc>
      </w:tr>
      <w:tr w:rsidR="00AC6F3C" w14:paraId="076F3366" w14:textId="77777777">
        <w:trPr>
          <w:trHeight w:val="298"/>
        </w:trPr>
        <w:tc>
          <w:tcPr>
            <w:tcW w:w="3843" w:type="dxa"/>
            <w:tcBorders>
              <w:left w:val="single" w:sz="6" w:space="0" w:color="000000"/>
            </w:tcBorders>
          </w:tcPr>
          <w:p w14:paraId="40395ECA" w14:textId="77777777" w:rsidR="00AC6F3C" w:rsidRDefault="00570E88">
            <w:pPr>
              <w:pStyle w:val="TableParagraph"/>
              <w:spacing w:before="42"/>
              <w:ind w:left="37"/>
              <w:rPr>
                <w:b/>
                <w:sz w:val="18"/>
              </w:rPr>
            </w:pPr>
            <w:r>
              <w:rPr>
                <w:b/>
                <w:sz w:val="18"/>
              </w:rPr>
              <w:t>Management</w:t>
            </w:r>
            <w:r>
              <w:rPr>
                <w:b/>
                <w:spacing w:val="-14"/>
                <w:sz w:val="18"/>
              </w:rPr>
              <w:t xml:space="preserve"> </w:t>
            </w:r>
            <w:r>
              <w:rPr>
                <w:b/>
                <w:spacing w:val="-4"/>
                <w:sz w:val="18"/>
              </w:rPr>
              <w:t>fees</w:t>
            </w:r>
          </w:p>
        </w:tc>
        <w:tc>
          <w:tcPr>
            <w:tcW w:w="1139" w:type="dxa"/>
            <w:shd w:val="clear" w:color="auto" w:fill="F1F1F1"/>
          </w:tcPr>
          <w:p w14:paraId="73F64C90" w14:textId="77777777" w:rsidR="00AC6F3C" w:rsidRDefault="00AC6F3C">
            <w:pPr>
              <w:pStyle w:val="TableParagraph"/>
              <w:rPr>
                <w:rFonts w:ascii="Times New Roman"/>
                <w:sz w:val="18"/>
              </w:rPr>
            </w:pPr>
          </w:p>
        </w:tc>
        <w:tc>
          <w:tcPr>
            <w:tcW w:w="1110" w:type="dxa"/>
            <w:gridSpan w:val="2"/>
          </w:tcPr>
          <w:p w14:paraId="4AE420B4" w14:textId="77777777" w:rsidR="00AC6F3C" w:rsidRDefault="00AC6F3C">
            <w:pPr>
              <w:pStyle w:val="TableParagraph"/>
              <w:rPr>
                <w:rFonts w:ascii="Times New Roman"/>
                <w:sz w:val="18"/>
              </w:rPr>
            </w:pPr>
          </w:p>
        </w:tc>
        <w:tc>
          <w:tcPr>
            <w:tcW w:w="1139" w:type="dxa"/>
            <w:shd w:val="clear" w:color="auto" w:fill="F1F1F1"/>
          </w:tcPr>
          <w:p w14:paraId="2CC784EA" w14:textId="77777777" w:rsidR="00AC6F3C" w:rsidRDefault="00AC6F3C">
            <w:pPr>
              <w:pStyle w:val="TableParagraph"/>
              <w:rPr>
                <w:rFonts w:ascii="Times New Roman"/>
                <w:sz w:val="18"/>
              </w:rPr>
            </w:pPr>
          </w:p>
        </w:tc>
        <w:tc>
          <w:tcPr>
            <w:tcW w:w="1117" w:type="dxa"/>
            <w:gridSpan w:val="2"/>
            <w:tcBorders>
              <w:right w:val="single" w:sz="6" w:space="0" w:color="000000"/>
            </w:tcBorders>
          </w:tcPr>
          <w:p w14:paraId="7D42D195" w14:textId="77777777" w:rsidR="00AC6F3C" w:rsidRDefault="00AC6F3C">
            <w:pPr>
              <w:pStyle w:val="TableParagraph"/>
              <w:rPr>
                <w:rFonts w:ascii="Times New Roman"/>
                <w:sz w:val="18"/>
              </w:rPr>
            </w:pPr>
          </w:p>
        </w:tc>
      </w:tr>
      <w:tr w:rsidR="00AC6F3C" w14:paraId="53411FCC" w14:textId="77777777">
        <w:trPr>
          <w:trHeight w:val="298"/>
        </w:trPr>
        <w:tc>
          <w:tcPr>
            <w:tcW w:w="3843" w:type="dxa"/>
            <w:tcBorders>
              <w:left w:val="single" w:sz="6" w:space="0" w:color="000000"/>
            </w:tcBorders>
          </w:tcPr>
          <w:p w14:paraId="501383AE" w14:textId="77777777" w:rsidR="00AC6F3C" w:rsidRDefault="00570E88">
            <w:pPr>
              <w:pStyle w:val="TableParagraph"/>
              <w:spacing w:before="42"/>
              <w:ind w:left="37"/>
              <w:rPr>
                <w:sz w:val="18"/>
              </w:rPr>
            </w:pPr>
            <w:r>
              <w:rPr>
                <w:sz w:val="18"/>
              </w:rPr>
              <w:t>Lexon</w:t>
            </w:r>
            <w:r>
              <w:rPr>
                <w:spacing w:val="-1"/>
                <w:sz w:val="18"/>
              </w:rPr>
              <w:t xml:space="preserve"> </w:t>
            </w:r>
            <w:r>
              <w:rPr>
                <w:sz w:val="18"/>
              </w:rPr>
              <w:t>Insurance Pte</w:t>
            </w:r>
            <w:r>
              <w:rPr>
                <w:spacing w:val="-1"/>
                <w:sz w:val="18"/>
              </w:rPr>
              <w:t xml:space="preserve"> </w:t>
            </w:r>
            <w:r>
              <w:rPr>
                <w:spacing w:val="-5"/>
                <w:sz w:val="18"/>
              </w:rPr>
              <w:t>Ltd</w:t>
            </w:r>
          </w:p>
        </w:tc>
        <w:tc>
          <w:tcPr>
            <w:tcW w:w="1139" w:type="dxa"/>
            <w:shd w:val="clear" w:color="auto" w:fill="F1F1F1"/>
          </w:tcPr>
          <w:p w14:paraId="17AF89D2" w14:textId="77777777" w:rsidR="00AC6F3C" w:rsidRDefault="00570E88">
            <w:pPr>
              <w:pStyle w:val="TableParagraph"/>
              <w:spacing w:before="42"/>
              <w:ind w:right="36"/>
              <w:jc w:val="right"/>
              <w:rPr>
                <w:sz w:val="18"/>
              </w:rPr>
            </w:pPr>
            <w:r>
              <w:rPr>
                <w:w w:val="99"/>
                <w:sz w:val="18"/>
              </w:rPr>
              <w:t>-</w:t>
            </w:r>
          </w:p>
        </w:tc>
        <w:tc>
          <w:tcPr>
            <w:tcW w:w="1110" w:type="dxa"/>
            <w:gridSpan w:val="2"/>
          </w:tcPr>
          <w:p w14:paraId="44470E70" w14:textId="77777777" w:rsidR="00AC6F3C" w:rsidRDefault="00570E88">
            <w:pPr>
              <w:pStyle w:val="TableParagraph"/>
              <w:spacing w:before="42"/>
              <w:ind w:right="22"/>
              <w:jc w:val="right"/>
              <w:rPr>
                <w:sz w:val="18"/>
              </w:rPr>
            </w:pPr>
            <w:r>
              <w:rPr>
                <w:w w:val="99"/>
                <w:sz w:val="18"/>
              </w:rPr>
              <w:t>-</w:t>
            </w:r>
          </w:p>
        </w:tc>
        <w:tc>
          <w:tcPr>
            <w:tcW w:w="1139" w:type="dxa"/>
            <w:shd w:val="clear" w:color="auto" w:fill="F1F1F1"/>
          </w:tcPr>
          <w:p w14:paraId="7501ADA9" w14:textId="77777777" w:rsidR="00AC6F3C" w:rsidRDefault="00570E88">
            <w:pPr>
              <w:pStyle w:val="TableParagraph"/>
              <w:spacing w:before="42"/>
              <w:ind w:right="38"/>
              <w:jc w:val="right"/>
              <w:rPr>
                <w:sz w:val="18"/>
              </w:rPr>
            </w:pPr>
            <w:r>
              <w:rPr>
                <w:spacing w:val="-5"/>
                <w:sz w:val="18"/>
              </w:rPr>
              <w:t>523</w:t>
            </w:r>
          </w:p>
        </w:tc>
        <w:tc>
          <w:tcPr>
            <w:tcW w:w="1117" w:type="dxa"/>
            <w:gridSpan w:val="2"/>
            <w:tcBorders>
              <w:right w:val="single" w:sz="6" w:space="0" w:color="000000"/>
            </w:tcBorders>
          </w:tcPr>
          <w:p w14:paraId="5C701777" w14:textId="77777777" w:rsidR="00AC6F3C" w:rsidRDefault="00570E88">
            <w:pPr>
              <w:pStyle w:val="TableParagraph"/>
              <w:spacing w:before="42"/>
              <w:ind w:right="24"/>
              <w:jc w:val="right"/>
              <w:rPr>
                <w:sz w:val="18"/>
              </w:rPr>
            </w:pPr>
            <w:r>
              <w:rPr>
                <w:spacing w:val="-5"/>
                <w:sz w:val="18"/>
              </w:rPr>
              <w:t>508</w:t>
            </w:r>
          </w:p>
        </w:tc>
      </w:tr>
      <w:tr w:rsidR="00AC6F3C" w14:paraId="27F08CE9" w14:textId="77777777">
        <w:trPr>
          <w:trHeight w:val="298"/>
        </w:trPr>
        <w:tc>
          <w:tcPr>
            <w:tcW w:w="3843" w:type="dxa"/>
            <w:tcBorders>
              <w:left w:val="single" w:sz="6" w:space="0" w:color="000000"/>
            </w:tcBorders>
          </w:tcPr>
          <w:p w14:paraId="046DC0B6" w14:textId="77777777" w:rsidR="00AC6F3C" w:rsidRDefault="00570E88">
            <w:pPr>
              <w:pStyle w:val="TableParagraph"/>
              <w:spacing w:before="42"/>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139" w:type="dxa"/>
            <w:shd w:val="clear" w:color="auto" w:fill="F1F1F1"/>
          </w:tcPr>
          <w:p w14:paraId="0186B34E" w14:textId="77777777" w:rsidR="00AC6F3C" w:rsidRDefault="00570E88">
            <w:pPr>
              <w:pStyle w:val="TableParagraph"/>
              <w:spacing w:before="42"/>
              <w:ind w:right="36"/>
              <w:jc w:val="right"/>
              <w:rPr>
                <w:sz w:val="18"/>
              </w:rPr>
            </w:pPr>
            <w:r>
              <w:rPr>
                <w:w w:val="99"/>
                <w:sz w:val="18"/>
              </w:rPr>
              <w:t>-</w:t>
            </w:r>
          </w:p>
        </w:tc>
        <w:tc>
          <w:tcPr>
            <w:tcW w:w="1110" w:type="dxa"/>
            <w:gridSpan w:val="2"/>
          </w:tcPr>
          <w:p w14:paraId="279958C1" w14:textId="77777777" w:rsidR="00AC6F3C" w:rsidRDefault="00570E88">
            <w:pPr>
              <w:pStyle w:val="TableParagraph"/>
              <w:spacing w:before="42"/>
              <w:ind w:right="22"/>
              <w:jc w:val="right"/>
              <w:rPr>
                <w:sz w:val="18"/>
              </w:rPr>
            </w:pPr>
            <w:r>
              <w:rPr>
                <w:w w:val="99"/>
                <w:sz w:val="18"/>
              </w:rPr>
              <w:t>-</w:t>
            </w:r>
          </w:p>
        </w:tc>
        <w:tc>
          <w:tcPr>
            <w:tcW w:w="1139" w:type="dxa"/>
            <w:shd w:val="clear" w:color="auto" w:fill="F1F1F1"/>
          </w:tcPr>
          <w:p w14:paraId="40EEBE67" w14:textId="77777777" w:rsidR="00AC6F3C" w:rsidRDefault="00570E88">
            <w:pPr>
              <w:pStyle w:val="TableParagraph"/>
              <w:spacing w:before="42"/>
              <w:ind w:right="38"/>
              <w:jc w:val="right"/>
              <w:rPr>
                <w:sz w:val="18"/>
              </w:rPr>
            </w:pPr>
            <w:r>
              <w:rPr>
                <w:spacing w:val="-5"/>
                <w:sz w:val="18"/>
              </w:rPr>
              <w:t>44</w:t>
            </w:r>
          </w:p>
        </w:tc>
        <w:tc>
          <w:tcPr>
            <w:tcW w:w="1117" w:type="dxa"/>
            <w:gridSpan w:val="2"/>
            <w:tcBorders>
              <w:right w:val="single" w:sz="6" w:space="0" w:color="000000"/>
            </w:tcBorders>
          </w:tcPr>
          <w:p w14:paraId="220B560A" w14:textId="77777777" w:rsidR="00AC6F3C" w:rsidRDefault="00570E88">
            <w:pPr>
              <w:pStyle w:val="TableParagraph"/>
              <w:spacing w:before="42"/>
              <w:ind w:right="24"/>
              <w:jc w:val="right"/>
              <w:rPr>
                <w:sz w:val="18"/>
              </w:rPr>
            </w:pPr>
            <w:r>
              <w:rPr>
                <w:spacing w:val="-5"/>
                <w:sz w:val="18"/>
              </w:rPr>
              <w:t>45</w:t>
            </w:r>
          </w:p>
        </w:tc>
      </w:tr>
      <w:tr w:rsidR="00AC6F3C" w14:paraId="4F19B72C" w14:textId="77777777">
        <w:trPr>
          <w:trHeight w:val="298"/>
        </w:trPr>
        <w:tc>
          <w:tcPr>
            <w:tcW w:w="3843" w:type="dxa"/>
            <w:tcBorders>
              <w:left w:val="single" w:sz="6" w:space="0" w:color="000000"/>
            </w:tcBorders>
          </w:tcPr>
          <w:p w14:paraId="525A80DD" w14:textId="77777777" w:rsidR="00AC6F3C" w:rsidRDefault="00570E88">
            <w:pPr>
              <w:pStyle w:val="TableParagraph"/>
              <w:spacing w:before="42"/>
              <w:ind w:left="37"/>
              <w:rPr>
                <w:sz w:val="18"/>
              </w:rPr>
            </w:pPr>
            <w:r>
              <w:rPr>
                <w:sz w:val="18"/>
              </w:rPr>
              <w:t>Legal</w:t>
            </w:r>
            <w:r>
              <w:rPr>
                <w:spacing w:val="10"/>
                <w:sz w:val="18"/>
              </w:rPr>
              <w:t xml:space="preserve"> </w:t>
            </w:r>
            <w:r>
              <w:rPr>
                <w:sz w:val="18"/>
              </w:rPr>
              <w:t>Practitioners' Fidelity</w:t>
            </w:r>
            <w:r>
              <w:rPr>
                <w:spacing w:val="-14"/>
                <w:sz w:val="18"/>
              </w:rPr>
              <w:t xml:space="preserve"> </w:t>
            </w:r>
            <w:r>
              <w:rPr>
                <w:sz w:val="18"/>
              </w:rPr>
              <w:t>Guarantee</w:t>
            </w:r>
            <w:r>
              <w:rPr>
                <w:spacing w:val="11"/>
                <w:sz w:val="18"/>
              </w:rPr>
              <w:t xml:space="preserve"> </w:t>
            </w:r>
            <w:r>
              <w:rPr>
                <w:spacing w:val="-4"/>
                <w:sz w:val="18"/>
              </w:rPr>
              <w:t>Fund</w:t>
            </w:r>
          </w:p>
        </w:tc>
        <w:tc>
          <w:tcPr>
            <w:tcW w:w="1139" w:type="dxa"/>
            <w:shd w:val="clear" w:color="auto" w:fill="F1F1F1"/>
          </w:tcPr>
          <w:p w14:paraId="750E7D4B" w14:textId="77777777" w:rsidR="00AC6F3C" w:rsidRDefault="00570E88">
            <w:pPr>
              <w:pStyle w:val="TableParagraph"/>
              <w:spacing w:before="42"/>
              <w:ind w:right="36"/>
              <w:jc w:val="right"/>
              <w:rPr>
                <w:sz w:val="18"/>
              </w:rPr>
            </w:pPr>
            <w:r>
              <w:rPr>
                <w:spacing w:val="-5"/>
                <w:sz w:val="18"/>
              </w:rPr>
              <w:t>172</w:t>
            </w:r>
          </w:p>
        </w:tc>
        <w:tc>
          <w:tcPr>
            <w:tcW w:w="1110" w:type="dxa"/>
            <w:gridSpan w:val="2"/>
          </w:tcPr>
          <w:p w14:paraId="47E98C60" w14:textId="77777777" w:rsidR="00AC6F3C" w:rsidRDefault="00570E88">
            <w:pPr>
              <w:pStyle w:val="TableParagraph"/>
              <w:spacing w:before="42"/>
              <w:ind w:right="22"/>
              <w:jc w:val="right"/>
              <w:rPr>
                <w:sz w:val="18"/>
              </w:rPr>
            </w:pPr>
            <w:r>
              <w:rPr>
                <w:spacing w:val="-5"/>
                <w:sz w:val="18"/>
              </w:rPr>
              <w:t>156</w:t>
            </w:r>
          </w:p>
        </w:tc>
        <w:tc>
          <w:tcPr>
            <w:tcW w:w="1139" w:type="dxa"/>
            <w:shd w:val="clear" w:color="auto" w:fill="F1F1F1"/>
          </w:tcPr>
          <w:p w14:paraId="65BB0887" w14:textId="77777777" w:rsidR="00AC6F3C" w:rsidRDefault="00570E88">
            <w:pPr>
              <w:pStyle w:val="TableParagraph"/>
              <w:spacing w:before="42"/>
              <w:ind w:right="38"/>
              <w:jc w:val="right"/>
              <w:rPr>
                <w:sz w:val="18"/>
              </w:rPr>
            </w:pPr>
            <w:r>
              <w:rPr>
                <w:spacing w:val="-5"/>
                <w:sz w:val="18"/>
              </w:rPr>
              <w:t>172</w:t>
            </w:r>
          </w:p>
        </w:tc>
        <w:tc>
          <w:tcPr>
            <w:tcW w:w="1117" w:type="dxa"/>
            <w:gridSpan w:val="2"/>
            <w:tcBorders>
              <w:right w:val="single" w:sz="6" w:space="0" w:color="000000"/>
            </w:tcBorders>
          </w:tcPr>
          <w:p w14:paraId="53431216" w14:textId="77777777" w:rsidR="00AC6F3C" w:rsidRDefault="00570E88">
            <w:pPr>
              <w:pStyle w:val="TableParagraph"/>
              <w:spacing w:before="42"/>
              <w:ind w:right="24"/>
              <w:jc w:val="right"/>
              <w:rPr>
                <w:sz w:val="18"/>
              </w:rPr>
            </w:pPr>
            <w:r>
              <w:rPr>
                <w:spacing w:val="-5"/>
                <w:sz w:val="18"/>
              </w:rPr>
              <w:t>156</w:t>
            </w:r>
          </w:p>
        </w:tc>
      </w:tr>
      <w:tr w:rsidR="00AC6F3C" w14:paraId="5459A71D" w14:textId="77777777">
        <w:trPr>
          <w:trHeight w:val="285"/>
        </w:trPr>
        <w:tc>
          <w:tcPr>
            <w:tcW w:w="3843" w:type="dxa"/>
            <w:tcBorders>
              <w:left w:val="single" w:sz="6" w:space="0" w:color="000000"/>
              <w:bottom w:val="single" w:sz="6" w:space="0" w:color="000000"/>
            </w:tcBorders>
          </w:tcPr>
          <w:p w14:paraId="28950361" w14:textId="77777777" w:rsidR="00AC6F3C" w:rsidRDefault="00570E88">
            <w:pPr>
              <w:pStyle w:val="TableParagraph"/>
              <w:spacing w:before="42"/>
              <w:ind w:left="37"/>
              <w:rPr>
                <w:sz w:val="18"/>
              </w:rPr>
            </w:pPr>
            <w:r>
              <w:rPr>
                <w:sz w:val="18"/>
              </w:rPr>
              <w:t>Legal</w:t>
            </w:r>
            <w:r>
              <w:rPr>
                <w:spacing w:val="15"/>
                <w:sz w:val="18"/>
              </w:rPr>
              <w:t xml:space="preserve"> </w:t>
            </w:r>
            <w:r>
              <w:rPr>
                <w:sz w:val="18"/>
              </w:rPr>
              <w:t>Practitioners</w:t>
            </w:r>
            <w:r>
              <w:rPr>
                <w:spacing w:val="30"/>
                <w:sz w:val="18"/>
              </w:rPr>
              <w:t xml:space="preserve"> </w:t>
            </w:r>
            <w:r>
              <w:rPr>
                <w:sz w:val="18"/>
              </w:rPr>
              <w:t>Admissions</w:t>
            </w:r>
            <w:r>
              <w:rPr>
                <w:spacing w:val="29"/>
                <w:sz w:val="18"/>
              </w:rPr>
              <w:t xml:space="preserve"> </w:t>
            </w:r>
            <w:r>
              <w:rPr>
                <w:spacing w:val="-4"/>
                <w:sz w:val="18"/>
              </w:rPr>
              <w:t>Board</w:t>
            </w:r>
          </w:p>
        </w:tc>
        <w:tc>
          <w:tcPr>
            <w:tcW w:w="1139" w:type="dxa"/>
            <w:tcBorders>
              <w:bottom w:val="single" w:sz="6" w:space="0" w:color="000000"/>
            </w:tcBorders>
            <w:shd w:val="clear" w:color="auto" w:fill="F1F1F1"/>
          </w:tcPr>
          <w:p w14:paraId="77AF6565" w14:textId="77777777" w:rsidR="00AC6F3C" w:rsidRDefault="00570E88">
            <w:pPr>
              <w:pStyle w:val="TableParagraph"/>
              <w:spacing w:before="42"/>
              <w:ind w:right="36"/>
              <w:jc w:val="right"/>
              <w:rPr>
                <w:sz w:val="18"/>
              </w:rPr>
            </w:pPr>
            <w:r>
              <w:rPr>
                <w:spacing w:val="-5"/>
                <w:sz w:val="18"/>
              </w:rPr>
              <w:t>67</w:t>
            </w:r>
          </w:p>
        </w:tc>
        <w:tc>
          <w:tcPr>
            <w:tcW w:w="1110" w:type="dxa"/>
            <w:gridSpan w:val="2"/>
            <w:tcBorders>
              <w:bottom w:val="single" w:sz="6" w:space="0" w:color="000000"/>
            </w:tcBorders>
          </w:tcPr>
          <w:p w14:paraId="1ED1C6A2" w14:textId="77777777" w:rsidR="00AC6F3C" w:rsidRDefault="00570E88">
            <w:pPr>
              <w:pStyle w:val="TableParagraph"/>
              <w:spacing w:before="42"/>
              <w:ind w:right="22"/>
              <w:jc w:val="right"/>
              <w:rPr>
                <w:sz w:val="18"/>
              </w:rPr>
            </w:pPr>
            <w:r>
              <w:rPr>
                <w:spacing w:val="-5"/>
                <w:sz w:val="18"/>
              </w:rPr>
              <w:t>69</w:t>
            </w:r>
          </w:p>
        </w:tc>
        <w:tc>
          <w:tcPr>
            <w:tcW w:w="1139" w:type="dxa"/>
            <w:tcBorders>
              <w:bottom w:val="single" w:sz="6" w:space="0" w:color="000000"/>
            </w:tcBorders>
            <w:shd w:val="clear" w:color="auto" w:fill="F1F1F1"/>
          </w:tcPr>
          <w:p w14:paraId="70BE00E7" w14:textId="77777777" w:rsidR="00AC6F3C" w:rsidRDefault="00570E88">
            <w:pPr>
              <w:pStyle w:val="TableParagraph"/>
              <w:spacing w:before="42"/>
              <w:ind w:right="38"/>
              <w:jc w:val="right"/>
              <w:rPr>
                <w:sz w:val="18"/>
              </w:rPr>
            </w:pPr>
            <w:r>
              <w:rPr>
                <w:spacing w:val="-5"/>
                <w:sz w:val="18"/>
              </w:rPr>
              <w:t>67</w:t>
            </w:r>
          </w:p>
        </w:tc>
        <w:tc>
          <w:tcPr>
            <w:tcW w:w="1117" w:type="dxa"/>
            <w:gridSpan w:val="2"/>
            <w:tcBorders>
              <w:bottom w:val="single" w:sz="6" w:space="0" w:color="000000"/>
              <w:right w:val="single" w:sz="6" w:space="0" w:color="000000"/>
            </w:tcBorders>
          </w:tcPr>
          <w:p w14:paraId="443585C5" w14:textId="77777777" w:rsidR="00AC6F3C" w:rsidRDefault="00570E88">
            <w:pPr>
              <w:pStyle w:val="TableParagraph"/>
              <w:spacing w:before="42"/>
              <w:ind w:right="24"/>
              <w:jc w:val="right"/>
              <w:rPr>
                <w:sz w:val="18"/>
              </w:rPr>
            </w:pPr>
            <w:r>
              <w:rPr>
                <w:spacing w:val="-5"/>
                <w:sz w:val="18"/>
              </w:rPr>
              <w:t>68</w:t>
            </w:r>
          </w:p>
        </w:tc>
      </w:tr>
      <w:tr w:rsidR="00AC6F3C" w14:paraId="3357278C"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0E6CE77E" w14:textId="77777777" w:rsidR="00AC6F3C" w:rsidRDefault="00570E88">
            <w:pPr>
              <w:pStyle w:val="TableParagraph"/>
              <w:spacing w:before="40"/>
              <w:ind w:left="37"/>
              <w:rPr>
                <w:b/>
                <w:sz w:val="18"/>
              </w:rPr>
            </w:pPr>
            <w:r>
              <w:rPr>
                <w:b/>
                <w:spacing w:val="-2"/>
                <w:sz w:val="18"/>
              </w:rPr>
              <w:t>Total</w:t>
            </w:r>
            <w:r>
              <w:rPr>
                <w:b/>
                <w:spacing w:val="-10"/>
                <w:sz w:val="18"/>
              </w:rPr>
              <w:t xml:space="preserve"> </w:t>
            </w:r>
            <w:r>
              <w:rPr>
                <w:b/>
                <w:spacing w:val="-2"/>
                <w:sz w:val="18"/>
              </w:rPr>
              <w:t>rent</w:t>
            </w:r>
            <w:r>
              <w:rPr>
                <w:b/>
                <w:spacing w:val="-4"/>
                <w:sz w:val="18"/>
              </w:rPr>
              <w:t xml:space="preserve"> </w:t>
            </w:r>
            <w:r>
              <w:rPr>
                <w:b/>
                <w:spacing w:val="-2"/>
                <w:sz w:val="18"/>
              </w:rPr>
              <w:t>and</w:t>
            </w:r>
            <w:r>
              <w:rPr>
                <w:b/>
                <w:spacing w:val="-9"/>
                <w:sz w:val="18"/>
              </w:rPr>
              <w:t xml:space="preserve"> </w:t>
            </w:r>
            <w:r>
              <w:rPr>
                <w:b/>
                <w:spacing w:val="-2"/>
                <w:sz w:val="18"/>
              </w:rPr>
              <w:t>administration</w:t>
            </w:r>
            <w:r>
              <w:rPr>
                <w:b/>
                <w:spacing w:val="-9"/>
                <w:sz w:val="18"/>
              </w:rPr>
              <w:t xml:space="preserve"> </w:t>
            </w:r>
            <w:r>
              <w:rPr>
                <w:b/>
                <w:spacing w:val="-2"/>
                <w:sz w:val="18"/>
              </w:rPr>
              <w:t>revenue</w:t>
            </w:r>
          </w:p>
        </w:tc>
        <w:tc>
          <w:tcPr>
            <w:tcW w:w="1726" w:type="dxa"/>
            <w:gridSpan w:val="2"/>
            <w:tcBorders>
              <w:top w:val="single" w:sz="6" w:space="0" w:color="000000"/>
              <w:bottom w:val="single" w:sz="6" w:space="0" w:color="000000"/>
            </w:tcBorders>
            <w:shd w:val="clear" w:color="auto" w:fill="BEBEBE"/>
          </w:tcPr>
          <w:p w14:paraId="02F98C18" w14:textId="77777777" w:rsidR="00AC6F3C" w:rsidRDefault="00570E88">
            <w:pPr>
              <w:pStyle w:val="TableParagraph"/>
              <w:spacing w:before="40"/>
              <w:ind w:left="780" w:right="620"/>
              <w:jc w:val="center"/>
              <w:rPr>
                <w:b/>
                <w:sz w:val="18"/>
              </w:rPr>
            </w:pPr>
            <w:r>
              <w:rPr>
                <w:b/>
                <w:spacing w:val="-5"/>
                <w:sz w:val="18"/>
              </w:rPr>
              <w:t>396</w:t>
            </w:r>
          </w:p>
        </w:tc>
        <w:tc>
          <w:tcPr>
            <w:tcW w:w="523" w:type="dxa"/>
            <w:tcBorders>
              <w:top w:val="single" w:sz="6" w:space="0" w:color="000000"/>
              <w:bottom w:val="single" w:sz="6" w:space="0" w:color="000000"/>
            </w:tcBorders>
            <w:shd w:val="clear" w:color="auto" w:fill="BEBEBE"/>
          </w:tcPr>
          <w:p w14:paraId="3A80147D" w14:textId="77777777" w:rsidR="00AC6F3C" w:rsidRDefault="00570E88">
            <w:pPr>
              <w:pStyle w:val="TableParagraph"/>
              <w:spacing w:before="40"/>
              <w:ind w:left="183"/>
              <w:rPr>
                <w:b/>
                <w:sz w:val="18"/>
              </w:rPr>
            </w:pPr>
            <w:r>
              <w:rPr>
                <w:b/>
                <w:spacing w:val="-5"/>
                <w:sz w:val="18"/>
              </w:rPr>
              <w:t>462</w:t>
            </w:r>
          </w:p>
        </w:tc>
        <w:tc>
          <w:tcPr>
            <w:tcW w:w="1589" w:type="dxa"/>
            <w:gridSpan w:val="2"/>
            <w:tcBorders>
              <w:top w:val="single" w:sz="6" w:space="0" w:color="000000"/>
              <w:bottom w:val="single" w:sz="6" w:space="0" w:color="000000"/>
            </w:tcBorders>
            <w:shd w:val="clear" w:color="auto" w:fill="BEBEBE"/>
          </w:tcPr>
          <w:p w14:paraId="5E9ED9D9" w14:textId="77777777" w:rsidR="00AC6F3C" w:rsidRDefault="00570E88">
            <w:pPr>
              <w:pStyle w:val="TableParagraph"/>
              <w:spacing w:before="40"/>
              <w:ind w:left="784"/>
              <w:rPr>
                <w:b/>
                <w:sz w:val="18"/>
              </w:rPr>
            </w:pPr>
            <w:r>
              <w:rPr>
                <w:b/>
                <w:spacing w:val="-5"/>
                <w:sz w:val="18"/>
              </w:rPr>
              <w:t>970</w:t>
            </w:r>
          </w:p>
        </w:tc>
        <w:tc>
          <w:tcPr>
            <w:tcW w:w="667" w:type="dxa"/>
            <w:tcBorders>
              <w:top w:val="single" w:sz="6" w:space="0" w:color="000000"/>
              <w:bottom w:val="single" w:sz="6" w:space="0" w:color="000000"/>
              <w:right w:val="single" w:sz="6" w:space="0" w:color="000000"/>
            </w:tcBorders>
            <w:shd w:val="clear" w:color="auto" w:fill="BEBEBE"/>
          </w:tcPr>
          <w:p w14:paraId="0F1853E5" w14:textId="77777777" w:rsidR="00AC6F3C" w:rsidRDefault="00570E88">
            <w:pPr>
              <w:pStyle w:val="TableParagraph"/>
              <w:spacing w:before="40"/>
              <w:ind w:left="169"/>
              <w:rPr>
                <w:b/>
                <w:sz w:val="18"/>
              </w:rPr>
            </w:pPr>
            <w:r>
              <w:rPr>
                <w:b/>
                <w:spacing w:val="-2"/>
                <w:sz w:val="18"/>
              </w:rPr>
              <w:t>1,020</w:t>
            </w:r>
          </w:p>
        </w:tc>
      </w:tr>
    </w:tbl>
    <w:p w14:paraId="3194F7E8" w14:textId="77777777" w:rsidR="00AC6F3C" w:rsidRDefault="00AC6F3C">
      <w:pPr>
        <w:rPr>
          <w:sz w:val="18"/>
        </w:rPr>
        <w:sectPr w:rsidR="00AC6F3C">
          <w:pgSz w:w="11910" w:h="16840"/>
          <w:pgMar w:top="2020" w:right="1160" w:bottom="520" w:left="460" w:header="1228" w:footer="336" w:gutter="0"/>
          <w:cols w:space="720"/>
        </w:sectPr>
      </w:pPr>
    </w:p>
    <w:p w14:paraId="3AF75526" w14:textId="77777777" w:rsidR="00AC6F3C" w:rsidRDefault="00AC6F3C">
      <w:pPr>
        <w:pStyle w:val="BodyText"/>
      </w:pPr>
    </w:p>
    <w:p w14:paraId="3D8A72CA" w14:textId="77777777" w:rsidR="00AC6F3C" w:rsidRDefault="00AC6F3C">
      <w:pPr>
        <w:pStyle w:val="BodyText"/>
        <w:spacing w:before="8"/>
        <w:rPr>
          <w:sz w:val="21"/>
        </w:rPr>
      </w:pPr>
    </w:p>
    <w:p w14:paraId="03627D03" w14:textId="77777777" w:rsidR="00AC6F3C" w:rsidRDefault="00570E88">
      <w:pPr>
        <w:pStyle w:val="Heading6"/>
        <w:tabs>
          <w:tab w:val="left" w:pos="1810"/>
        </w:tabs>
        <w:spacing w:before="1"/>
      </w:pPr>
      <w:r>
        <w:rPr>
          <w:spacing w:val="-2"/>
        </w:rPr>
        <w:t>B1-</w:t>
      </w:r>
      <w:r>
        <w:rPr>
          <w:spacing w:val="-10"/>
        </w:rPr>
        <w:t>3</w:t>
      </w:r>
      <w:r>
        <w:tab/>
        <w:t>GRANTS</w:t>
      </w:r>
      <w:r>
        <w:rPr>
          <w:spacing w:val="-1"/>
        </w:rPr>
        <w:t xml:space="preserve"> </w:t>
      </w:r>
      <w:r>
        <w:t>AND</w:t>
      </w:r>
      <w:r>
        <w:rPr>
          <w:spacing w:val="-1"/>
        </w:rPr>
        <w:t xml:space="preserve"> </w:t>
      </w:r>
      <w:r>
        <w:rPr>
          <w:spacing w:val="-2"/>
        </w:rPr>
        <w:t>FUNDING</w:t>
      </w:r>
    </w:p>
    <w:p w14:paraId="74629675" w14:textId="77777777" w:rsidR="00AC6F3C" w:rsidRDefault="00AC6F3C">
      <w:pPr>
        <w:pStyle w:val="BodyText"/>
        <w:spacing w:before="8"/>
        <w:rPr>
          <w:b/>
        </w:rPr>
      </w:pPr>
    </w:p>
    <w:p w14:paraId="0532F374" w14:textId="77777777" w:rsidR="00AC6F3C" w:rsidRDefault="00570E88">
      <w:pPr>
        <w:ind w:left="958" w:right="990"/>
        <w:rPr>
          <w:sz w:val="18"/>
        </w:rPr>
      </w:pPr>
      <w:r>
        <w:rPr>
          <w:sz w:val="18"/>
        </w:rPr>
        <w:t>Grants,</w:t>
      </w:r>
      <w:r>
        <w:rPr>
          <w:spacing w:val="-5"/>
          <w:sz w:val="18"/>
        </w:rPr>
        <w:t xml:space="preserve"> </w:t>
      </w:r>
      <w:r>
        <w:rPr>
          <w:sz w:val="18"/>
        </w:rPr>
        <w:t>donations</w:t>
      </w:r>
      <w:r>
        <w:rPr>
          <w:spacing w:val="-2"/>
          <w:sz w:val="18"/>
        </w:rPr>
        <w:t xml:space="preserve"> </w:t>
      </w:r>
      <w:r>
        <w:rPr>
          <w:sz w:val="18"/>
        </w:rPr>
        <w:t>and</w:t>
      </w:r>
      <w:r>
        <w:rPr>
          <w:spacing w:val="-2"/>
          <w:sz w:val="18"/>
        </w:rPr>
        <w:t xml:space="preserve"> </w:t>
      </w:r>
      <w:r>
        <w:rPr>
          <w:sz w:val="18"/>
        </w:rPr>
        <w:t>gifts</w:t>
      </w:r>
      <w:r>
        <w:rPr>
          <w:spacing w:val="-2"/>
          <w:sz w:val="18"/>
        </w:rPr>
        <w:t xml:space="preserve"> </w:t>
      </w:r>
      <w:r>
        <w:rPr>
          <w:sz w:val="18"/>
        </w:rPr>
        <w:t>are</w:t>
      </w:r>
      <w:r>
        <w:rPr>
          <w:spacing w:val="-2"/>
          <w:sz w:val="18"/>
        </w:rPr>
        <w:t xml:space="preserve"> </w:t>
      </w:r>
      <w:r>
        <w:rPr>
          <w:sz w:val="18"/>
        </w:rPr>
        <w:t>non-reciprocal</w:t>
      </w:r>
      <w:r>
        <w:rPr>
          <w:spacing w:val="-5"/>
          <w:sz w:val="18"/>
        </w:rPr>
        <w:t xml:space="preserve"> </w:t>
      </w:r>
      <w:r>
        <w:rPr>
          <w:sz w:val="18"/>
        </w:rPr>
        <w:t>in</w:t>
      </w:r>
      <w:r>
        <w:rPr>
          <w:spacing w:val="-2"/>
          <w:sz w:val="18"/>
        </w:rPr>
        <w:t xml:space="preserve"> </w:t>
      </w:r>
      <w:r>
        <w:rPr>
          <w:sz w:val="18"/>
        </w:rPr>
        <w:t>nature</w:t>
      </w:r>
      <w:r>
        <w:rPr>
          <w:spacing w:val="-5"/>
          <w:sz w:val="18"/>
        </w:rPr>
        <w:t xml:space="preserve"> </w:t>
      </w:r>
      <w:r>
        <w:rPr>
          <w:sz w:val="18"/>
        </w:rPr>
        <w:t>and</w:t>
      </w:r>
      <w:r>
        <w:rPr>
          <w:spacing w:val="-6"/>
          <w:sz w:val="18"/>
        </w:rPr>
        <w:t xml:space="preserve"> </w:t>
      </w:r>
      <w:r>
        <w:rPr>
          <w:sz w:val="18"/>
        </w:rPr>
        <w:t>are</w:t>
      </w:r>
      <w:r>
        <w:rPr>
          <w:spacing w:val="-2"/>
          <w:sz w:val="18"/>
        </w:rPr>
        <w:t xml:space="preserve"> </w:t>
      </w:r>
      <w:proofErr w:type="spellStart"/>
      <w:r>
        <w:rPr>
          <w:sz w:val="18"/>
        </w:rPr>
        <w:t>recognised</w:t>
      </w:r>
      <w:proofErr w:type="spellEnd"/>
      <w:r>
        <w:rPr>
          <w:spacing w:val="-2"/>
          <w:sz w:val="18"/>
        </w:rPr>
        <w:t xml:space="preserve"> </w:t>
      </w:r>
      <w:r>
        <w:rPr>
          <w:sz w:val="18"/>
        </w:rPr>
        <w:t>as</w:t>
      </w:r>
      <w:r>
        <w:rPr>
          <w:spacing w:val="-2"/>
          <w:sz w:val="18"/>
        </w:rPr>
        <w:t xml:space="preserve"> </w:t>
      </w:r>
      <w:r>
        <w:rPr>
          <w:sz w:val="18"/>
        </w:rPr>
        <w:t>revenue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year</w:t>
      </w:r>
      <w:r>
        <w:rPr>
          <w:spacing w:val="-3"/>
          <w:sz w:val="18"/>
        </w:rPr>
        <w:t xml:space="preserve"> </w:t>
      </w:r>
      <w:r>
        <w:rPr>
          <w:sz w:val="18"/>
        </w:rPr>
        <w:t>in which the Society obtains control over them.</w:t>
      </w:r>
    </w:p>
    <w:p w14:paraId="0EB260D1" w14:textId="77777777" w:rsidR="00AC6F3C" w:rsidRDefault="00AC6F3C">
      <w:pPr>
        <w:pStyle w:val="BodyText"/>
        <w:spacing w:before="4"/>
        <w:rPr>
          <w:sz w:val="24"/>
        </w:rPr>
      </w:pPr>
    </w:p>
    <w:p w14:paraId="6C38E3D3" w14:textId="77777777" w:rsidR="00AC6F3C" w:rsidRDefault="00570E88">
      <w:pPr>
        <w:ind w:left="958" w:right="909"/>
        <w:rPr>
          <w:sz w:val="18"/>
        </w:rPr>
      </w:pPr>
      <w:r>
        <w:rPr>
          <w:sz w:val="18"/>
        </w:rPr>
        <w:t xml:space="preserve">Where the grant agreement is enforceable and contains sufficiently specific performance obligations for the Society to transfer goods or services to a third-party on the grantor’s behalf, the transaction is accounted for under AASB 15 Revenue from Contracts with Customers. In this case, revenue is initially deferred (as a contract liability) and </w:t>
      </w:r>
      <w:proofErr w:type="spellStart"/>
      <w:r>
        <w:rPr>
          <w:sz w:val="18"/>
        </w:rPr>
        <w:t>recognised</w:t>
      </w:r>
      <w:proofErr w:type="spellEnd"/>
      <w:r>
        <w:rPr>
          <w:sz w:val="18"/>
        </w:rPr>
        <w:t xml:space="preserve"> as or when the performance obligations are satisfied. Otherwise,</w:t>
      </w:r>
      <w:r>
        <w:rPr>
          <w:spacing w:val="-3"/>
          <w:sz w:val="18"/>
        </w:rPr>
        <w:t xml:space="preserve"> </w:t>
      </w:r>
      <w:r>
        <w:rPr>
          <w:sz w:val="18"/>
        </w:rPr>
        <w:t>grants</w:t>
      </w:r>
      <w:r>
        <w:rPr>
          <w:spacing w:val="-4"/>
          <w:sz w:val="18"/>
        </w:rPr>
        <w:t xml:space="preserve"> </w:t>
      </w:r>
      <w:r>
        <w:rPr>
          <w:sz w:val="18"/>
        </w:rPr>
        <w:t>are</w:t>
      </w:r>
      <w:r>
        <w:rPr>
          <w:spacing w:val="-3"/>
          <w:sz w:val="18"/>
        </w:rPr>
        <w:t xml:space="preserve"> </w:t>
      </w:r>
      <w:r>
        <w:rPr>
          <w:sz w:val="18"/>
        </w:rPr>
        <w:t>accounted</w:t>
      </w:r>
      <w:r>
        <w:rPr>
          <w:spacing w:val="-2"/>
          <w:sz w:val="18"/>
        </w:rPr>
        <w:t xml:space="preserve"> </w:t>
      </w:r>
      <w:r>
        <w:rPr>
          <w:sz w:val="18"/>
        </w:rPr>
        <w:t>for</w:t>
      </w:r>
      <w:r>
        <w:rPr>
          <w:spacing w:val="-5"/>
          <w:sz w:val="18"/>
        </w:rPr>
        <w:t xml:space="preserve"> </w:t>
      </w:r>
      <w:r>
        <w:rPr>
          <w:sz w:val="18"/>
        </w:rPr>
        <w:t>under</w:t>
      </w:r>
      <w:r>
        <w:rPr>
          <w:spacing w:val="-3"/>
          <w:sz w:val="18"/>
        </w:rPr>
        <w:t xml:space="preserve"> </w:t>
      </w:r>
      <w:r>
        <w:rPr>
          <w:sz w:val="18"/>
        </w:rPr>
        <w:t>AASB</w:t>
      </w:r>
      <w:r>
        <w:rPr>
          <w:spacing w:val="-3"/>
          <w:sz w:val="18"/>
        </w:rPr>
        <w:t xml:space="preserve"> </w:t>
      </w:r>
      <w:r>
        <w:rPr>
          <w:sz w:val="18"/>
        </w:rPr>
        <w:t>1058</w:t>
      </w:r>
      <w:r>
        <w:rPr>
          <w:spacing w:val="-2"/>
          <w:sz w:val="18"/>
        </w:rPr>
        <w:t xml:space="preserve"> </w:t>
      </w:r>
      <w:r>
        <w:rPr>
          <w:sz w:val="18"/>
        </w:rPr>
        <w:t>Income</w:t>
      </w:r>
      <w:r>
        <w:rPr>
          <w:spacing w:val="-2"/>
          <w:sz w:val="18"/>
        </w:rPr>
        <w:t xml:space="preserve"> </w:t>
      </w:r>
      <w:r>
        <w:rPr>
          <w:sz w:val="18"/>
        </w:rPr>
        <w:t>of</w:t>
      </w:r>
      <w:r>
        <w:rPr>
          <w:spacing w:val="-5"/>
          <w:sz w:val="18"/>
        </w:rPr>
        <w:t xml:space="preserve"> </w:t>
      </w:r>
      <w:r>
        <w:rPr>
          <w:sz w:val="18"/>
        </w:rPr>
        <w:t>Not-for-Profit</w:t>
      </w:r>
      <w:r>
        <w:rPr>
          <w:spacing w:val="-3"/>
          <w:sz w:val="18"/>
        </w:rPr>
        <w:t xml:space="preserve"> </w:t>
      </w:r>
      <w:r>
        <w:rPr>
          <w:sz w:val="18"/>
        </w:rPr>
        <w:t>Entities,</w:t>
      </w:r>
      <w:r>
        <w:rPr>
          <w:spacing w:val="-3"/>
          <w:sz w:val="18"/>
        </w:rPr>
        <w:t xml:space="preserve"> </w:t>
      </w:r>
      <w:r>
        <w:rPr>
          <w:sz w:val="18"/>
        </w:rPr>
        <w:t>whereby</w:t>
      </w:r>
      <w:r>
        <w:rPr>
          <w:spacing w:val="-2"/>
          <w:sz w:val="18"/>
        </w:rPr>
        <w:t xml:space="preserve"> </w:t>
      </w:r>
      <w:r>
        <w:rPr>
          <w:sz w:val="18"/>
        </w:rPr>
        <w:t xml:space="preserve">revenue is </w:t>
      </w:r>
      <w:proofErr w:type="spellStart"/>
      <w:r>
        <w:rPr>
          <w:sz w:val="18"/>
        </w:rPr>
        <w:t>recognised</w:t>
      </w:r>
      <w:proofErr w:type="spellEnd"/>
      <w:r>
        <w:rPr>
          <w:sz w:val="18"/>
        </w:rPr>
        <w:t xml:space="preserve"> upon receipt of the grant funding.</w:t>
      </w:r>
    </w:p>
    <w:p w14:paraId="5D8914CE" w14:textId="77777777" w:rsidR="00AC6F3C" w:rsidRDefault="00AC6F3C">
      <w:pPr>
        <w:pStyle w:val="BodyText"/>
        <w:spacing w:before="4"/>
        <w:rPr>
          <w:sz w:val="24"/>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031C5924" w14:textId="77777777">
        <w:trPr>
          <w:trHeight w:val="880"/>
        </w:trPr>
        <w:tc>
          <w:tcPr>
            <w:tcW w:w="3843" w:type="dxa"/>
            <w:tcBorders>
              <w:top w:val="single" w:sz="6" w:space="0" w:color="000000"/>
              <w:left w:val="single" w:sz="6" w:space="0" w:color="000000"/>
              <w:bottom w:val="single" w:sz="6" w:space="0" w:color="000000"/>
            </w:tcBorders>
            <w:shd w:val="clear" w:color="auto" w:fill="BEBEBE"/>
          </w:tcPr>
          <w:p w14:paraId="6EF0061D"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09277A3A" w14:textId="77777777" w:rsidR="00AC6F3C" w:rsidRDefault="00570E88">
            <w:pPr>
              <w:pStyle w:val="TableParagraph"/>
              <w:spacing w:before="25" w:line="362" w:lineRule="auto"/>
              <w:ind w:left="681" w:hanging="105"/>
              <w:rPr>
                <w:b/>
                <w:sz w:val="18"/>
              </w:rPr>
            </w:pPr>
            <w:r>
              <w:rPr>
                <w:b/>
                <w:spacing w:val="-4"/>
                <w:sz w:val="18"/>
              </w:rPr>
              <w:t>Consolidated 2023</w:t>
            </w:r>
          </w:p>
          <w:p w14:paraId="4A88C7EE" w14:textId="77777777" w:rsidR="00AC6F3C" w:rsidRDefault="00570E88">
            <w:pPr>
              <w:pStyle w:val="TableParagraph"/>
              <w:spacing w:line="194"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7C6ACC86" w14:textId="77777777" w:rsidR="00AC6F3C" w:rsidRDefault="00AC6F3C">
            <w:pPr>
              <w:pStyle w:val="TableParagraph"/>
              <w:spacing w:before="4"/>
              <w:rPr>
                <w:sz w:val="29"/>
              </w:rPr>
            </w:pPr>
          </w:p>
          <w:p w14:paraId="2835336E" w14:textId="77777777" w:rsidR="00AC6F3C" w:rsidRDefault="00570E88">
            <w:pPr>
              <w:pStyle w:val="TableParagraph"/>
              <w:spacing w:before="1"/>
              <w:ind w:left="86"/>
              <w:rPr>
                <w:b/>
                <w:sz w:val="18"/>
              </w:rPr>
            </w:pPr>
            <w:r>
              <w:rPr>
                <w:b/>
                <w:spacing w:val="-4"/>
                <w:sz w:val="18"/>
              </w:rPr>
              <w:t>2022</w:t>
            </w:r>
          </w:p>
          <w:p w14:paraId="1C02DB74" w14:textId="77777777" w:rsidR="00AC6F3C" w:rsidRDefault="00570E88">
            <w:pPr>
              <w:pStyle w:val="TableParagraph"/>
              <w:spacing w:before="91"/>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34A9B879" w14:textId="77777777" w:rsidR="00AC6F3C" w:rsidRDefault="00570E88">
            <w:pPr>
              <w:pStyle w:val="TableParagraph"/>
              <w:spacing w:before="25" w:line="362" w:lineRule="auto"/>
              <w:ind w:left="680" w:firstLine="164"/>
              <w:rPr>
                <w:b/>
                <w:sz w:val="18"/>
              </w:rPr>
            </w:pPr>
            <w:r>
              <w:rPr>
                <w:b/>
                <w:spacing w:val="-2"/>
                <w:sz w:val="18"/>
              </w:rPr>
              <w:t xml:space="preserve">Parent </w:t>
            </w:r>
            <w:r>
              <w:rPr>
                <w:b/>
                <w:spacing w:val="-4"/>
                <w:sz w:val="18"/>
              </w:rPr>
              <w:t>2023</w:t>
            </w:r>
          </w:p>
          <w:p w14:paraId="6E16D0CC" w14:textId="77777777" w:rsidR="00AC6F3C" w:rsidRDefault="00570E88">
            <w:pPr>
              <w:pStyle w:val="TableParagraph"/>
              <w:spacing w:line="194"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7C550FF3" w14:textId="77777777" w:rsidR="00AC6F3C" w:rsidRDefault="00AC6F3C">
            <w:pPr>
              <w:pStyle w:val="TableParagraph"/>
              <w:spacing w:before="4"/>
              <w:rPr>
                <w:sz w:val="29"/>
              </w:rPr>
            </w:pPr>
          </w:p>
          <w:p w14:paraId="6651E891" w14:textId="77777777" w:rsidR="00AC6F3C" w:rsidRDefault="00570E88">
            <w:pPr>
              <w:pStyle w:val="TableParagraph"/>
              <w:spacing w:before="1"/>
              <w:ind w:left="222"/>
              <w:rPr>
                <w:b/>
                <w:sz w:val="18"/>
              </w:rPr>
            </w:pPr>
            <w:r>
              <w:rPr>
                <w:b/>
                <w:spacing w:val="-4"/>
                <w:sz w:val="18"/>
              </w:rPr>
              <w:t>2022</w:t>
            </w:r>
          </w:p>
          <w:p w14:paraId="6F53F64A" w14:textId="77777777" w:rsidR="00AC6F3C" w:rsidRDefault="00570E88">
            <w:pPr>
              <w:pStyle w:val="TableParagraph"/>
              <w:spacing w:before="91"/>
              <w:ind w:left="177"/>
              <w:rPr>
                <w:b/>
                <w:sz w:val="18"/>
              </w:rPr>
            </w:pPr>
            <w:r>
              <w:rPr>
                <w:b/>
                <w:spacing w:val="-2"/>
                <w:sz w:val="18"/>
              </w:rPr>
              <w:t>$’000</w:t>
            </w:r>
          </w:p>
        </w:tc>
      </w:tr>
      <w:tr w:rsidR="00AC6F3C" w14:paraId="288B620C" w14:textId="77777777">
        <w:trPr>
          <w:trHeight w:val="295"/>
        </w:trPr>
        <w:tc>
          <w:tcPr>
            <w:tcW w:w="3843" w:type="dxa"/>
            <w:tcBorders>
              <w:top w:val="single" w:sz="6" w:space="0" w:color="000000"/>
              <w:left w:val="single" w:sz="6" w:space="0" w:color="000000"/>
            </w:tcBorders>
          </w:tcPr>
          <w:p w14:paraId="71946F0D" w14:textId="77777777" w:rsidR="00AC6F3C" w:rsidRDefault="00570E88">
            <w:pPr>
              <w:pStyle w:val="TableParagraph"/>
              <w:spacing w:before="40"/>
              <w:ind w:left="37"/>
              <w:rPr>
                <w:sz w:val="18"/>
              </w:rPr>
            </w:pPr>
            <w:r>
              <w:rPr>
                <w:sz w:val="18"/>
              </w:rPr>
              <w:t>Queensland</w:t>
            </w:r>
            <w:r>
              <w:rPr>
                <w:spacing w:val="13"/>
                <w:sz w:val="18"/>
              </w:rPr>
              <w:t xml:space="preserve"> </w:t>
            </w:r>
            <w:r>
              <w:rPr>
                <w:sz w:val="18"/>
              </w:rPr>
              <w:t>Law</w:t>
            </w:r>
            <w:r>
              <w:rPr>
                <w:spacing w:val="16"/>
                <w:sz w:val="18"/>
              </w:rPr>
              <w:t xml:space="preserve"> </w:t>
            </w:r>
            <w:r>
              <w:rPr>
                <w:spacing w:val="-2"/>
                <w:sz w:val="18"/>
              </w:rPr>
              <w:t>Foundation</w:t>
            </w:r>
          </w:p>
        </w:tc>
        <w:tc>
          <w:tcPr>
            <w:tcW w:w="1139" w:type="dxa"/>
            <w:tcBorders>
              <w:top w:val="single" w:sz="6" w:space="0" w:color="000000"/>
            </w:tcBorders>
            <w:shd w:val="clear" w:color="auto" w:fill="F1F1F1"/>
          </w:tcPr>
          <w:p w14:paraId="66752FAC" w14:textId="77777777" w:rsidR="00AC6F3C" w:rsidRDefault="00570E88">
            <w:pPr>
              <w:pStyle w:val="TableParagraph"/>
              <w:spacing w:before="40"/>
              <w:ind w:right="36"/>
              <w:jc w:val="right"/>
              <w:rPr>
                <w:sz w:val="18"/>
              </w:rPr>
            </w:pPr>
            <w:r>
              <w:rPr>
                <w:w w:val="99"/>
                <w:sz w:val="18"/>
              </w:rPr>
              <w:t>-</w:t>
            </w:r>
          </w:p>
        </w:tc>
        <w:tc>
          <w:tcPr>
            <w:tcW w:w="1109" w:type="dxa"/>
            <w:gridSpan w:val="2"/>
            <w:tcBorders>
              <w:top w:val="single" w:sz="6" w:space="0" w:color="000000"/>
            </w:tcBorders>
          </w:tcPr>
          <w:p w14:paraId="38B2C442" w14:textId="77777777" w:rsidR="00AC6F3C" w:rsidRDefault="00570E88">
            <w:pPr>
              <w:pStyle w:val="TableParagraph"/>
              <w:spacing w:before="40"/>
              <w:ind w:right="21"/>
              <w:jc w:val="right"/>
              <w:rPr>
                <w:sz w:val="18"/>
              </w:rPr>
            </w:pPr>
            <w:r>
              <w:rPr>
                <w:spacing w:val="-5"/>
                <w:sz w:val="18"/>
              </w:rPr>
              <w:t>29</w:t>
            </w:r>
          </w:p>
        </w:tc>
        <w:tc>
          <w:tcPr>
            <w:tcW w:w="1139" w:type="dxa"/>
            <w:tcBorders>
              <w:top w:val="single" w:sz="6" w:space="0" w:color="000000"/>
            </w:tcBorders>
            <w:shd w:val="clear" w:color="auto" w:fill="F1F1F1"/>
          </w:tcPr>
          <w:p w14:paraId="3D1FEB99"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0C9E1B56" w14:textId="77777777" w:rsidR="00AC6F3C" w:rsidRDefault="00570E88">
            <w:pPr>
              <w:pStyle w:val="TableParagraph"/>
              <w:spacing w:before="40"/>
              <w:ind w:right="22"/>
              <w:jc w:val="right"/>
              <w:rPr>
                <w:sz w:val="18"/>
              </w:rPr>
            </w:pPr>
            <w:r>
              <w:rPr>
                <w:spacing w:val="-5"/>
                <w:sz w:val="18"/>
              </w:rPr>
              <w:t>29</w:t>
            </w:r>
          </w:p>
        </w:tc>
      </w:tr>
      <w:tr w:rsidR="00AC6F3C" w14:paraId="3BFB198A" w14:textId="77777777">
        <w:trPr>
          <w:trHeight w:val="298"/>
        </w:trPr>
        <w:tc>
          <w:tcPr>
            <w:tcW w:w="3843" w:type="dxa"/>
            <w:tcBorders>
              <w:left w:val="single" w:sz="6" w:space="0" w:color="000000"/>
            </w:tcBorders>
          </w:tcPr>
          <w:p w14:paraId="063D3BDB" w14:textId="77777777" w:rsidR="00AC6F3C" w:rsidRDefault="00570E88">
            <w:pPr>
              <w:pStyle w:val="TableParagraph"/>
              <w:spacing w:before="42"/>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139" w:type="dxa"/>
            <w:shd w:val="clear" w:color="auto" w:fill="F1F1F1"/>
          </w:tcPr>
          <w:p w14:paraId="762DFDB2" w14:textId="77777777" w:rsidR="00AC6F3C" w:rsidRDefault="00570E88">
            <w:pPr>
              <w:pStyle w:val="TableParagraph"/>
              <w:spacing w:before="42"/>
              <w:ind w:right="36"/>
              <w:jc w:val="right"/>
              <w:rPr>
                <w:sz w:val="18"/>
              </w:rPr>
            </w:pPr>
            <w:r>
              <w:rPr>
                <w:w w:val="99"/>
                <w:sz w:val="18"/>
              </w:rPr>
              <w:t>-</w:t>
            </w:r>
          </w:p>
        </w:tc>
        <w:tc>
          <w:tcPr>
            <w:tcW w:w="1109" w:type="dxa"/>
            <w:gridSpan w:val="2"/>
          </w:tcPr>
          <w:p w14:paraId="5D6A9E42" w14:textId="77777777" w:rsidR="00AC6F3C" w:rsidRDefault="00570E88">
            <w:pPr>
              <w:pStyle w:val="TableParagraph"/>
              <w:spacing w:before="42"/>
              <w:ind w:right="21"/>
              <w:jc w:val="right"/>
              <w:rPr>
                <w:sz w:val="18"/>
              </w:rPr>
            </w:pPr>
            <w:r>
              <w:rPr>
                <w:w w:val="99"/>
                <w:sz w:val="18"/>
              </w:rPr>
              <w:t>-</w:t>
            </w:r>
          </w:p>
        </w:tc>
        <w:tc>
          <w:tcPr>
            <w:tcW w:w="1139" w:type="dxa"/>
            <w:shd w:val="clear" w:color="auto" w:fill="F1F1F1"/>
          </w:tcPr>
          <w:p w14:paraId="5E4628E9" w14:textId="77777777" w:rsidR="00AC6F3C" w:rsidRDefault="00570E88">
            <w:pPr>
              <w:pStyle w:val="TableParagraph"/>
              <w:spacing w:before="42"/>
              <w:ind w:right="37"/>
              <w:jc w:val="right"/>
              <w:rPr>
                <w:sz w:val="18"/>
              </w:rPr>
            </w:pPr>
            <w:r>
              <w:rPr>
                <w:spacing w:val="-5"/>
                <w:sz w:val="18"/>
              </w:rPr>
              <w:t>992</w:t>
            </w:r>
          </w:p>
        </w:tc>
        <w:tc>
          <w:tcPr>
            <w:tcW w:w="1116" w:type="dxa"/>
            <w:gridSpan w:val="2"/>
            <w:tcBorders>
              <w:right w:val="single" w:sz="6" w:space="0" w:color="000000"/>
            </w:tcBorders>
          </w:tcPr>
          <w:p w14:paraId="449C51CE" w14:textId="77777777" w:rsidR="00AC6F3C" w:rsidRDefault="00570E88">
            <w:pPr>
              <w:pStyle w:val="TableParagraph"/>
              <w:spacing w:before="42"/>
              <w:ind w:right="22"/>
              <w:jc w:val="right"/>
              <w:rPr>
                <w:sz w:val="18"/>
              </w:rPr>
            </w:pPr>
            <w:r>
              <w:rPr>
                <w:spacing w:val="-5"/>
                <w:sz w:val="18"/>
              </w:rPr>
              <w:t>992</w:t>
            </w:r>
          </w:p>
        </w:tc>
      </w:tr>
      <w:tr w:rsidR="00AC6F3C" w14:paraId="21B5AD1F" w14:textId="77777777">
        <w:trPr>
          <w:trHeight w:val="285"/>
        </w:trPr>
        <w:tc>
          <w:tcPr>
            <w:tcW w:w="3843" w:type="dxa"/>
            <w:tcBorders>
              <w:left w:val="single" w:sz="6" w:space="0" w:color="000000"/>
              <w:bottom w:val="single" w:sz="6" w:space="0" w:color="000000"/>
            </w:tcBorders>
          </w:tcPr>
          <w:p w14:paraId="2B0F8479" w14:textId="77777777" w:rsidR="00AC6F3C" w:rsidRDefault="00570E88">
            <w:pPr>
              <w:pStyle w:val="TableParagraph"/>
              <w:spacing w:before="42"/>
              <w:ind w:left="37"/>
              <w:rPr>
                <w:sz w:val="18"/>
              </w:rPr>
            </w:pPr>
            <w:r>
              <w:rPr>
                <w:sz w:val="18"/>
              </w:rPr>
              <w:t>Legal</w:t>
            </w:r>
            <w:r>
              <w:rPr>
                <w:spacing w:val="6"/>
                <w:sz w:val="18"/>
              </w:rPr>
              <w:t xml:space="preserve"> </w:t>
            </w:r>
            <w:r>
              <w:rPr>
                <w:sz w:val="18"/>
              </w:rPr>
              <w:t>Practitioner</w:t>
            </w:r>
            <w:r>
              <w:rPr>
                <w:spacing w:val="1"/>
                <w:sz w:val="18"/>
              </w:rPr>
              <w:t xml:space="preserve"> </w:t>
            </w:r>
            <w:r>
              <w:rPr>
                <w:sz w:val="18"/>
              </w:rPr>
              <w:t>Fidelity</w:t>
            </w:r>
            <w:r>
              <w:rPr>
                <w:spacing w:val="-17"/>
                <w:sz w:val="18"/>
              </w:rPr>
              <w:t xml:space="preserve"> </w:t>
            </w:r>
            <w:r>
              <w:rPr>
                <w:sz w:val="18"/>
              </w:rPr>
              <w:t>Guarantee</w:t>
            </w:r>
            <w:r>
              <w:rPr>
                <w:spacing w:val="7"/>
                <w:sz w:val="18"/>
              </w:rPr>
              <w:t xml:space="preserve"> </w:t>
            </w:r>
            <w:r>
              <w:rPr>
                <w:spacing w:val="-4"/>
                <w:sz w:val="18"/>
              </w:rPr>
              <w:t>Fund</w:t>
            </w:r>
          </w:p>
        </w:tc>
        <w:tc>
          <w:tcPr>
            <w:tcW w:w="1139" w:type="dxa"/>
            <w:tcBorders>
              <w:bottom w:val="single" w:sz="6" w:space="0" w:color="000000"/>
            </w:tcBorders>
            <w:shd w:val="clear" w:color="auto" w:fill="F1F1F1"/>
          </w:tcPr>
          <w:p w14:paraId="0D59D86C" w14:textId="77777777" w:rsidR="00AC6F3C" w:rsidRDefault="00570E88">
            <w:pPr>
              <w:pStyle w:val="TableParagraph"/>
              <w:spacing w:before="42"/>
              <w:ind w:right="36"/>
              <w:jc w:val="right"/>
              <w:rPr>
                <w:sz w:val="18"/>
              </w:rPr>
            </w:pPr>
            <w:r>
              <w:rPr>
                <w:spacing w:val="-5"/>
                <w:sz w:val="18"/>
              </w:rPr>
              <w:t>707</w:t>
            </w:r>
          </w:p>
        </w:tc>
        <w:tc>
          <w:tcPr>
            <w:tcW w:w="1109" w:type="dxa"/>
            <w:gridSpan w:val="2"/>
            <w:tcBorders>
              <w:bottom w:val="single" w:sz="6" w:space="0" w:color="000000"/>
            </w:tcBorders>
          </w:tcPr>
          <w:p w14:paraId="4AD05F21" w14:textId="77777777" w:rsidR="00AC6F3C" w:rsidRDefault="00570E88">
            <w:pPr>
              <w:pStyle w:val="TableParagraph"/>
              <w:spacing w:before="42"/>
              <w:ind w:right="21"/>
              <w:jc w:val="right"/>
              <w:rPr>
                <w:sz w:val="18"/>
              </w:rPr>
            </w:pPr>
            <w:r>
              <w:rPr>
                <w:spacing w:val="-5"/>
                <w:sz w:val="18"/>
              </w:rPr>
              <w:t>687</w:t>
            </w:r>
          </w:p>
        </w:tc>
        <w:tc>
          <w:tcPr>
            <w:tcW w:w="1139" w:type="dxa"/>
            <w:tcBorders>
              <w:bottom w:val="single" w:sz="6" w:space="0" w:color="000000"/>
            </w:tcBorders>
            <w:shd w:val="clear" w:color="auto" w:fill="F1F1F1"/>
          </w:tcPr>
          <w:p w14:paraId="36DE6229" w14:textId="77777777" w:rsidR="00AC6F3C" w:rsidRDefault="00570E88">
            <w:pPr>
              <w:pStyle w:val="TableParagraph"/>
              <w:spacing w:before="42"/>
              <w:ind w:right="37"/>
              <w:jc w:val="right"/>
              <w:rPr>
                <w:sz w:val="18"/>
              </w:rPr>
            </w:pPr>
            <w:r>
              <w:rPr>
                <w:spacing w:val="-5"/>
                <w:sz w:val="18"/>
              </w:rPr>
              <w:t>707</w:t>
            </w:r>
          </w:p>
        </w:tc>
        <w:tc>
          <w:tcPr>
            <w:tcW w:w="1116" w:type="dxa"/>
            <w:gridSpan w:val="2"/>
            <w:tcBorders>
              <w:bottom w:val="single" w:sz="6" w:space="0" w:color="000000"/>
              <w:right w:val="single" w:sz="6" w:space="0" w:color="000000"/>
            </w:tcBorders>
          </w:tcPr>
          <w:p w14:paraId="0C688B53" w14:textId="77777777" w:rsidR="00AC6F3C" w:rsidRDefault="00570E88">
            <w:pPr>
              <w:pStyle w:val="TableParagraph"/>
              <w:spacing w:before="42"/>
              <w:ind w:right="22"/>
              <w:jc w:val="right"/>
              <w:rPr>
                <w:sz w:val="18"/>
              </w:rPr>
            </w:pPr>
            <w:r>
              <w:rPr>
                <w:spacing w:val="-5"/>
                <w:sz w:val="18"/>
              </w:rPr>
              <w:t>687</w:t>
            </w:r>
          </w:p>
        </w:tc>
      </w:tr>
      <w:tr w:rsidR="00AC6F3C" w14:paraId="23B0CF98"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51BF3A0E" w14:textId="77777777" w:rsidR="00AC6F3C" w:rsidRDefault="00570E88">
            <w:pPr>
              <w:pStyle w:val="TableParagraph"/>
              <w:spacing w:before="40"/>
              <w:ind w:left="37"/>
              <w:rPr>
                <w:b/>
                <w:sz w:val="18"/>
              </w:rPr>
            </w:pPr>
            <w:r>
              <w:rPr>
                <w:b/>
                <w:spacing w:val="-2"/>
                <w:sz w:val="18"/>
              </w:rPr>
              <w:t>Total</w:t>
            </w:r>
            <w:r>
              <w:rPr>
                <w:b/>
                <w:spacing w:val="-13"/>
                <w:sz w:val="18"/>
              </w:rPr>
              <w:t xml:space="preserve"> </w:t>
            </w:r>
            <w:r>
              <w:rPr>
                <w:b/>
                <w:spacing w:val="-2"/>
                <w:sz w:val="18"/>
              </w:rPr>
              <w:t>grants</w:t>
            </w:r>
            <w:r>
              <w:rPr>
                <w:b/>
                <w:sz w:val="18"/>
              </w:rPr>
              <w:t xml:space="preserve"> </w:t>
            </w:r>
            <w:r>
              <w:rPr>
                <w:b/>
                <w:spacing w:val="-2"/>
                <w:sz w:val="18"/>
              </w:rPr>
              <w:t>and</w:t>
            </w:r>
            <w:r>
              <w:rPr>
                <w:b/>
                <w:spacing w:val="-10"/>
                <w:sz w:val="18"/>
              </w:rPr>
              <w:t xml:space="preserve"> </w:t>
            </w:r>
            <w:r>
              <w:rPr>
                <w:b/>
                <w:spacing w:val="-2"/>
                <w:sz w:val="18"/>
              </w:rPr>
              <w:t>funding</w:t>
            </w:r>
          </w:p>
        </w:tc>
        <w:tc>
          <w:tcPr>
            <w:tcW w:w="1718" w:type="dxa"/>
            <w:gridSpan w:val="2"/>
            <w:tcBorders>
              <w:top w:val="single" w:sz="6" w:space="0" w:color="000000"/>
              <w:bottom w:val="single" w:sz="6" w:space="0" w:color="000000"/>
            </w:tcBorders>
            <w:shd w:val="clear" w:color="auto" w:fill="BEBEBE"/>
          </w:tcPr>
          <w:p w14:paraId="302302FA" w14:textId="77777777" w:rsidR="00AC6F3C" w:rsidRDefault="00570E88">
            <w:pPr>
              <w:pStyle w:val="TableParagraph"/>
              <w:spacing w:before="40"/>
              <w:ind w:left="627" w:right="459"/>
              <w:jc w:val="center"/>
              <w:rPr>
                <w:b/>
                <w:sz w:val="18"/>
              </w:rPr>
            </w:pPr>
            <w:r>
              <w:rPr>
                <w:b/>
                <w:spacing w:val="-5"/>
                <w:sz w:val="18"/>
              </w:rPr>
              <w:t>707</w:t>
            </w:r>
          </w:p>
        </w:tc>
        <w:tc>
          <w:tcPr>
            <w:tcW w:w="530" w:type="dxa"/>
            <w:tcBorders>
              <w:top w:val="single" w:sz="6" w:space="0" w:color="000000"/>
              <w:bottom w:val="single" w:sz="6" w:space="0" w:color="000000"/>
            </w:tcBorders>
            <w:shd w:val="clear" w:color="auto" w:fill="BEBEBE"/>
          </w:tcPr>
          <w:p w14:paraId="4A360D22" w14:textId="77777777" w:rsidR="00AC6F3C" w:rsidRDefault="00570E88">
            <w:pPr>
              <w:pStyle w:val="TableParagraph"/>
              <w:spacing w:before="40"/>
              <w:ind w:left="191"/>
              <w:rPr>
                <w:b/>
                <w:sz w:val="18"/>
              </w:rPr>
            </w:pPr>
            <w:r>
              <w:rPr>
                <w:b/>
                <w:spacing w:val="-5"/>
                <w:sz w:val="18"/>
              </w:rPr>
              <w:t>716</w:t>
            </w:r>
          </w:p>
        </w:tc>
        <w:tc>
          <w:tcPr>
            <w:tcW w:w="1581" w:type="dxa"/>
            <w:gridSpan w:val="2"/>
            <w:tcBorders>
              <w:top w:val="single" w:sz="6" w:space="0" w:color="000000"/>
              <w:bottom w:val="single" w:sz="6" w:space="0" w:color="000000"/>
            </w:tcBorders>
            <w:shd w:val="clear" w:color="auto" w:fill="BEBEBE"/>
          </w:tcPr>
          <w:p w14:paraId="16A2A2CD" w14:textId="77777777" w:rsidR="00AC6F3C" w:rsidRDefault="00570E88">
            <w:pPr>
              <w:pStyle w:val="TableParagraph"/>
              <w:spacing w:before="40"/>
              <w:ind w:left="635"/>
              <w:rPr>
                <w:b/>
                <w:sz w:val="18"/>
              </w:rPr>
            </w:pPr>
            <w:r>
              <w:rPr>
                <w:b/>
                <w:spacing w:val="-2"/>
                <w:sz w:val="18"/>
              </w:rPr>
              <w:t>1,699</w:t>
            </w:r>
          </w:p>
        </w:tc>
        <w:tc>
          <w:tcPr>
            <w:tcW w:w="674" w:type="dxa"/>
            <w:tcBorders>
              <w:top w:val="single" w:sz="6" w:space="0" w:color="000000"/>
              <w:bottom w:val="single" w:sz="6" w:space="0" w:color="000000"/>
              <w:right w:val="single" w:sz="6" w:space="0" w:color="000000"/>
            </w:tcBorders>
            <w:shd w:val="clear" w:color="auto" w:fill="BEBEBE"/>
          </w:tcPr>
          <w:p w14:paraId="784C56F4" w14:textId="77777777" w:rsidR="00AC6F3C" w:rsidRDefault="00570E88">
            <w:pPr>
              <w:pStyle w:val="TableParagraph"/>
              <w:spacing w:before="40"/>
              <w:ind w:left="178"/>
              <w:rPr>
                <w:b/>
                <w:sz w:val="18"/>
              </w:rPr>
            </w:pPr>
            <w:r>
              <w:rPr>
                <w:b/>
                <w:spacing w:val="-2"/>
                <w:sz w:val="18"/>
              </w:rPr>
              <w:t>1,708</w:t>
            </w:r>
          </w:p>
        </w:tc>
      </w:tr>
    </w:tbl>
    <w:p w14:paraId="5118C4EC" w14:textId="77777777" w:rsidR="00AC6F3C" w:rsidRDefault="00AC6F3C">
      <w:pPr>
        <w:pStyle w:val="BodyText"/>
        <w:spacing w:before="2"/>
        <w:rPr>
          <w:sz w:val="23"/>
        </w:rPr>
      </w:pPr>
    </w:p>
    <w:p w14:paraId="3E476F3F" w14:textId="77777777" w:rsidR="00AC6F3C" w:rsidRDefault="00570E88">
      <w:pPr>
        <w:ind w:left="958" w:right="632"/>
        <w:rPr>
          <w:sz w:val="18"/>
        </w:rPr>
      </w:pPr>
      <w:r>
        <w:rPr>
          <w:sz w:val="18"/>
        </w:rPr>
        <w:t>Queensland</w:t>
      </w:r>
      <w:r>
        <w:rPr>
          <w:spacing w:val="-4"/>
          <w:sz w:val="18"/>
        </w:rPr>
        <w:t xml:space="preserve"> </w:t>
      </w:r>
      <w:r>
        <w:rPr>
          <w:sz w:val="18"/>
        </w:rPr>
        <w:t>Law</w:t>
      </w:r>
      <w:r>
        <w:rPr>
          <w:spacing w:val="-2"/>
          <w:sz w:val="18"/>
        </w:rPr>
        <w:t xml:space="preserve"> </w:t>
      </w:r>
      <w:r>
        <w:rPr>
          <w:sz w:val="18"/>
        </w:rPr>
        <w:t>Foundation</w:t>
      </w:r>
      <w:r>
        <w:rPr>
          <w:spacing w:val="-1"/>
          <w:sz w:val="18"/>
        </w:rPr>
        <w:t xml:space="preserve"> </w:t>
      </w:r>
      <w:r>
        <w:rPr>
          <w:sz w:val="18"/>
        </w:rPr>
        <w:t>(QLF)</w:t>
      </w:r>
      <w:r>
        <w:rPr>
          <w:spacing w:val="-2"/>
          <w:sz w:val="18"/>
        </w:rPr>
        <w:t xml:space="preserve"> </w:t>
      </w:r>
      <w:r>
        <w:rPr>
          <w:sz w:val="18"/>
        </w:rPr>
        <w:t>provided</w:t>
      </w:r>
      <w:r>
        <w:rPr>
          <w:spacing w:val="-1"/>
          <w:sz w:val="18"/>
        </w:rPr>
        <w:t xml:space="preserve"> </w:t>
      </w:r>
      <w:r>
        <w:rPr>
          <w:sz w:val="18"/>
        </w:rPr>
        <w:t>grants</w:t>
      </w:r>
      <w:r>
        <w:rPr>
          <w:spacing w:val="-3"/>
          <w:sz w:val="18"/>
        </w:rPr>
        <w:t xml:space="preserve"> </w:t>
      </w:r>
      <w:r>
        <w:rPr>
          <w:sz w:val="18"/>
        </w:rPr>
        <w:t>for</w:t>
      </w:r>
      <w:r>
        <w:rPr>
          <w:spacing w:val="-2"/>
          <w:sz w:val="18"/>
        </w:rPr>
        <w:t xml:space="preserve"> </w:t>
      </w:r>
      <w:r>
        <w:rPr>
          <w:sz w:val="18"/>
        </w:rPr>
        <w:t>a</w:t>
      </w:r>
      <w:r>
        <w:rPr>
          <w:spacing w:val="-4"/>
          <w:sz w:val="18"/>
        </w:rPr>
        <w:t xml:space="preserve"> </w:t>
      </w:r>
      <w:r>
        <w:rPr>
          <w:sz w:val="18"/>
        </w:rPr>
        <w:t>number</w:t>
      </w:r>
      <w:r>
        <w:rPr>
          <w:spacing w:val="-4"/>
          <w:sz w:val="18"/>
        </w:rPr>
        <w:t xml:space="preserve"> </w:t>
      </w:r>
      <w:r>
        <w:rPr>
          <w:sz w:val="18"/>
        </w:rPr>
        <w:t>of</w:t>
      </w:r>
      <w:r>
        <w:rPr>
          <w:spacing w:val="-2"/>
          <w:sz w:val="18"/>
        </w:rPr>
        <w:t xml:space="preserve"> </w:t>
      </w:r>
      <w:r>
        <w:rPr>
          <w:sz w:val="18"/>
        </w:rPr>
        <w:t>projects</w:t>
      </w:r>
      <w:r>
        <w:rPr>
          <w:spacing w:val="-3"/>
          <w:sz w:val="18"/>
        </w:rPr>
        <w:t xml:space="preserve"> </w:t>
      </w:r>
      <w:r>
        <w:rPr>
          <w:sz w:val="18"/>
        </w:rPr>
        <w:t>and</w:t>
      </w:r>
      <w:r>
        <w:rPr>
          <w:spacing w:val="-4"/>
          <w:sz w:val="18"/>
        </w:rPr>
        <w:t xml:space="preserve"> </w:t>
      </w:r>
      <w:r>
        <w:rPr>
          <w:sz w:val="18"/>
        </w:rPr>
        <w:t>initiatives</w:t>
      </w:r>
      <w:r>
        <w:rPr>
          <w:spacing w:val="-3"/>
          <w:sz w:val="18"/>
        </w:rPr>
        <w:t xml:space="preserve"> </w:t>
      </w:r>
      <w:r>
        <w:rPr>
          <w:sz w:val="18"/>
        </w:rPr>
        <w:t>to</w:t>
      </w:r>
      <w:r>
        <w:rPr>
          <w:spacing w:val="-1"/>
          <w:sz w:val="18"/>
        </w:rPr>
        <w:t xml:space="preserve"> </w:t>
      </w:r>
      <w:r>
        <w:rPr>
          <w:sz w:val="18"/>
        </w:rPr>
        <w:t xml:space="preserve">benefit </w:t>
      </w:r>
      <w:r>
        <w:rPr>
          <w:spacing w:val="-2"/>
          <w:sz w:val="18"/>
        </w:rPr>
        <w:t>members.</w:t>
      </w:r>
    </w:p>
    <w:p w14:paraId="558391BC" w14:textId="77777777" w:rsidR="00AC6F3C" w:rsidRDefault="00AC6F3C">
      <w:pPr>
        <w:pStyle w:val="BodyText"/>
        <w:spacing w:before="11"/>
      </w:pPr>
    </w:p>
    <w:p w14:paraId="337ACEEF" w14:textId="77777777" w:rsidR="00AC6F3C" w:rsidRDefault="00570E88">
      <w:pPr>
        <w:ind w:left="958" w:right="858"/>
        <w:rPr>
          <w:sz w:val="18"/>
        </w:rPr>
      </w:pPr>
      <w:r>
        <w:rPr>
          <w:sz w:val="18"/>
        </w:rPr>
        <w:t>The LCLF is reimbursing costs incurred by the Society for execution of discrete projects relating to risk management in the profession. This includes the development of resources and educational units designed</w:t>
      </w:r>
      <w:r>
        <w:rPr>
          <w:spacing w:val="-2"/>
          <w:sz w:val="18"/>
        </w:rPr>
        <w:t xml:space="preserve"> </w:t>
      </w:r>
      <w:r>
        <w:rPr>
          <w:sz w:val="18"/>
        </w:rPr>
        <w:t>to</w:t>
      </w:r>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exposure</w:t>
      </w:r>
      <w:r>
        <w:rPr>
          <w:spacing w:val="-2"/>
          <w:sz w:val="18"/>
        </w:rPr>
        <w:t xml:space="preserve"> </w:t>
      </w:r>
      <w:r>
        <w:rPr>
          <w:sz w:val="18"/>
        </w:rPr>
        <w:t>of</w:t>
      </w:r>
      <w:r>
        <w:rPr>
          <w:spacing w:val="-4"/>
          <w:sz w:val="18"/>
        </w:rPr>
        <w:t xml:space="preserve"> </w:t>
      </w:r>
      <w:r>
        <w:rPr>
          <w:sz w:val="18"/>
        </w:rPr>
        <w:t>solicitors</w:t>
      </w:r>
      <w:r>
        <w:rPr>
          <w:spacing w:val="-2"/>
          <w:sz w:val="18"/>
        </w:rPr>
        <w:t xml:space="preserve"> </w:t>
      </w:r>
      <w:r>
        <w:rPr>
          <w:sz w:val="18"/>
        </w:rPr>
        <w:t>with</w:t>
      </w:r>
      <w:r>
        <w:rPr>
          <w:spacing w:val="-4"/>
          <w:sz w:val="18"/>
        </w:rPr>
        <w:t xml:space="preserve"> </w:t>
      </w:r>
      <w:r>
        <w:rPr>
          <w:sz w:val="18"/>
        </w:rPr>
        <w:t>respect</w:t>
      </w:r>
      <w:r>
        <w:rPr>
          <w:spacing w:val="-2"/>
          <w:sz w:val="18"/>
        </w:rPr>
        <w:t xml:space="preserve"> </w:t>
      </w:r>
      <w:r>
        <w:rPr>
          <w:sz w:val="18"/>
        </w:rPr>
        <w:t>to</w:t>
      </w:r>
      <w:r>
        <w:rPr>
          <w:spacing w:val="-4"/>
          <w:sz w:val="18"/>
        </w:rPr>
        <w:t xml:space="preserve"> </w:t>
      </w:r>
      <w:r>
        <w:rPr>
          <w:sz w:val="18"/>
        </w:rPr>
        <w:t>compensation</w:t>
      </w:r>
      <w:r>
        <w:rPr>
          <w:spacing w:val="-4"/>
          <w:sz w:val="18"/>
        </w:rPr>
        <w:t xml:space="preserve"> </w:t>
      </w:r>
      <w:r>
        <w:rPr>
          <w:sz w:val="18"/>
        </w:rPr>
        <w:t>and/or</w:t>
      </w:r>
      <w:r>
        <w:rPr>
          <w:spacing w:val="-2"/>
          <w:sz w:val="18"/>
        </w:rPr>
        <w:t xml:space="preserve"> </w:t>
      </w:r>
      <w:r>
        <w:rPr>
          <w:sz w:val="18"/>
        </w:rPr>
        <w:t>damages</w:t>
      </w:r>
      <w:r>
        <w:rPr>
          <w:spacing w:val="-2"/>
          <w:sz w:val="18"/>
        </w:rPr>
        <w:t xml:space="preserve"> </w:t>
      </w:r>
      <w:r>
        <w:rPr>
          <w:sz w:val="18"/>
        </w:rPr>
        <w:t>claims.</w:t>
      </w:r>
      <w:r>
        <w:rPr>
          <w:spacing w:val="-4"/>
          <w:sz w:val="18"/>
        </w:rPr>
        <w:t xml:space="preserve"> </w:t>
      </w:r>
      <w:r>
        <w:rPr>
          <w:sz w:val="18"/>
        </w:rPr>
        <w:t xml:space="preserve">These resources include legal project management, the QLS Legal Ethics Course and Solicitor Advocates Course, and publications for practice support and risk management. Refer to C4 for further information on </w:t>
      </w:r>
      <w:r>
        <w:rPr>
          <w:spacing w:val="-2"/>
          <w:sz w:val="18"/>
        </w:rPr>
        <w:t>investments.</w:t>
      </w:r>
    </w:p>
    <w:p w14:paraId="09618769" w14:textId="77777777" w:rsidR="00AC6F3C" w:rsidRDefault="00AC6F3C">
      <w:pPr>
        <w:pStyle w:val="BodyText"/>
        <w:spacing w:before="9"/>
      </w:pPr>
    </w:p>
    <w:p w14:paraId="7D947FC9" w14:textId="77777777" w:rsidR="00AC6F3C" w:rsidRDefault="00570E88">
      <w:pPr>
        <w:ind w:left="958" w:right="468"/>
        <w:rPr>
          <w:sz w:val="18"/>
        </w:rPr>
      </w:pPr>
      <w:r>
        <w:rPr>
          <w:sz w:val="18"/>
        </w:rPr>
        <w:t>The</w:t>
      </w:r>
      <w:r>
        <w:rPr>
          <w:spacing w:val="-2"/>
          <w:sz w:val="18"/>
        </w:rPr>
        <w:t xml:space="preserve"> </w:t>
      </w:r>
      <w:r>
        <w:rPr>
          <w:sz w:val="18"/>
        </w:rPr>
        <w:t>LPFGF</w:t>
      </w:r>
      <w:r>
        <w:rPr>
          <w:spacing w:val="-4"/>
          <w:sz w:val="18"/>
        </w:rPr>
        <w:t xml:space="preserve"> </w:t>
      </w:r>
      <w:r>
        <w:rPr>
          <w:sz w:val="18"/>
        </w:rPr>
        <w:t>is</w:t>
      </w:r>
      <w:r>
        <w:rPr>
          <w:spacing w:val="-2"/>
          <w:sz w:val="18"/>
        </w:rPr>
        <w:t xml:space="preserve"> </w:t>
      </w:r>
      <w:r>
        <w:rPr>
          <w:sz w:val="18"/>
        </w:rPr>
        <w:t>reimbursing</w:t>
      </w:r>
      <w:r>
        <w:rPr>
          <w:spacing w:val="-2"/>
          <w:sz w:val="18"/>
        </w:rPr>
        <w:t xml:space="preserve"> </w:t>
      </w:r>
      <w:r>
        <w:rPr>
          <w:sz w:val="18"/>
        </w:rPr>
        <w:t>costs</w:t>
      </w:r>
      <w:r>
        <w:rPr>
          <w:spacing w:val="-2"/>
          <w:sz w:val="18"/>
        </w:rPr>
        <w:t xml:space="preserve"> </w:t>
      </w:r>
      <w:r>
        <w:rPr>
          <w:sz w:val="18"/>
        </w:rPr>
        <w:t>incurred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Society</w:t>
      </w:r>
      <w:r>
        <w:rPr>
          <w:spacing w:val="-2"/>
          <w:sz w:val="18"/>
        </w:rPr>
        <w:t xml:space="preserve"> </w:t>
      </w:r>
      <w:r>
        <w:rPr>
          <w:sz w:val="18"/>
        </w:rPr>
        <w:t>for</w:t>
      </w:r>
      <w:r>
        <w:rPr>
          <w:spacing w:val="-5"/>
          <w:sz w:val="18"/>
        </w:rPr>
        <w:t xml:space="preserve"> </w:t>
      </w:r>
      <w:r>
        <w:rPr>
          <w:sz w:val="18"/>
        </w:rPr>
        <w:t>execution</w:t>
      </w:r>
      <w:r>
        <w:rPr>
          <w:spacing w:val="-2"/>
          <w:sz w:val="18"/>
        </w:rPr>
        <w:t xml:space="preserve"> </w:t>
      </w:r>
      <w:r>
        <w:rPr>
          <w:sz w:val="18"/>
        </w:rPr>
        <w:t>of</w:t>
      </w:r>
      <w:r>
        <w:rPr>
          <w:spacing w:val="-4"/>
          <w:sz w:val="18"/>
        </w:rPr>
        <w:t xml:space="preserve"> </w:t>
      </w:r>
      <w:r>
        <w:rPr>
          <w:sz w:val="18"/>
        </w:rPr>
        <w:t>programs</w:t>
      </w:r>
      <w:r>
        <w:rPr>
          <w:spacing w:val="-2"/>
          <w:sz w:val="18"/>
        </w:rPr>
        <w:t xml:space="preserve"> </w:t>
      </w:r>
      <w:r>
        <w:rPr>
          <w:sz w:val="18"/>
        </w:rPr>
        <w:t>or</w:t>
      </w:r>
      <w:r>
        <w:rPr>
          <w:spacing w:val="-3"/>
          <w:sz w:val="18"/>
        </w:rPr>
        <w:t xml:space="preserve"> </w:t>
      </w:r>
      <w:r>
        <w:rPr>
          <w:sz w:val="18"/>
        </w:rPr>
        <w:t>tools</w:t>
      </w:r>
      <w:r>
        <w:rPr>
          <w:spacing w:val="-2"/>
          <w:sz w:val="18"/>
        </w:rPr>
        <w:t xml:space="preserve"> </w:t>
      </w:r>
      <w:r>
        <w:rPr>
          <w:sz w:val="18"/>
        </w:rPr>
        <w:t>to</w:t>
      </w:r>
      <w:r>
        <w:rPr>
          <w:spacing w:val="-2"/>
          <w:sz w:val="18"/>
        </w:rPr>
        <w:t xml:space="preserve"> </w:t>
      </w:r>
      <w:r>
        <w:rPr>
          <w:sz w:val="18"/>
        </w:rPr>
        <w:t>assist</w:t>
      </w:r>
      <w:r>
        <w:rPr>
          <w:spacing w:val="-3"/>
          <w:sz w:val="18"/>
        </w:rPr>
        <w:t xml:space="preserve"> </w:t>
      </w:r>
      <w:r>
        <w:rPr>
          <w:sz w:val="18"/>
        </w:rPr>
        <w:t>law practitioners in identifying defaults and educational programs improving compliance.</w:t>
      </w:r>
    </w:p>
    <w:p w14:paraId="44F74E83" w14:textId="77777777" w:rsidR="00AC6F3C" w:rsidRDefault="00AC6F3C">
      <w:pPr>
        <w:rPr>
          <w:sz w:val="18"/>
        </w:rPr>
        <w:sectPr w:rsidR="00AC6F3C">
          <w:pgSz w:w="11910" w:h="16840"/>
          <w:pgMar w:top="2020" w:right="1160" w:bottom="520" w:left="460" w:header="1228" w:footer="336" w:gutter="0"/>
          <w:cols w:space="720"/>
        </w:sectPr>
      </w:pPr>
    </w:p>
    <w:p w14:paraId="5E8BC13E" w14:textId="77777777" w:rsidR="00AC6F3C" w:rsidRDefault="00AC6F3C">
      <w:pPr>
        <w:pStyle w:val="BodyText"/>
      </w:pPr>
    </w:p>
    <w:p w14:paraId="32815691" w14:textId="77777777" w:rsidR="00AC6F3C" w:rsidRDefault="00AC6F3C">
      <w:pPr>
        <w:pStyle w:val="BodyText"/>
        <w:spacing w:before="8"/>
        <w:rPr>
          <w:sz w:val="21"/>
        </w:rPr>
      </w:pPr>
    </w:p>
    <w:p w14:paraId="26E2D9DC" w14:textId="77777777" w:rsidR="00AC6F3C" w:rsidRDefault="00570E88">
      <w:pPr>
        <w:pStyle w:val="Heading6"/>
        <w:tabs>
          <w:tab w:val="left" w:pos="1810"/>
        </w:tabs>
        <w:spacing w:before="1"/>
      </w:pPr>
      <w:r>
        <w:rPr>
          <w:spacing w:val="-2"/>
        </w:rPr>
        <w:t>B1-</w:t>
      </w:r>
      <w:r>
        <w:rPr>
          <w:spacing w:val="-10"/>
        </w:rPr>
        <w:t>4</w:t>
      </w:r>
      <w:r>
        <w:tab/>
        <w:t>INSURANCE</w:t>
      </w:r>
      <w:r>
        <w:rPr>
          <w:spacing w:val="-5"/>
        </w:rPr>
        <w:t xml:space="preserve"> </w:t>
      </w:r>
      <w:r>
        <w:rPr>
          <w:spacing w:val="-2"/>
        </w:rPr>
        <w:t>LEVIES</w:t>
      </w:r>
    </w:p>
    <w:p w14:paraId="67CC96F3" w14:textId="77777777" w:rsidR="00AC6F3C" w:rsidRDefault="00AC6F3C">
      <w:pPr>
        <w:pStyle w:val="BodyText"/>
        <w:spacing w:before="8"/>
        <w:rPr>
          <w:b/>
        </w:rPr>
      </w:pPr>
    </w:p>
    <w:p w14:paraId="2EC7D3CD" w14:textId="77777777" w:rsidR="00AC6F3C" w:rsidRDefault="00570E88">
      <w:pPr>
        <w:ind w:left="958" w:right="632"/>
        <w:rPr>
          <w:sz w:val="18"/>
        </w:rPr>
      </w:pPr>
      <w:r>
        <w:rPr>
          <w:sz w:val="18"/>
        </w:rPr>
        <w:t xml:space="preserve">Insurance levies are </w:t>
      </w:r>
      <w:proofErr w:type="spellStart"/>
      <w:r>
        <w:rPr>
          <w:sz w:val="18"/>
        </w:rPr>
        <w:t>recognised</w:t>
      </w:r>
      <w:proofErr w:type="spellEnd"/>
      <w:r>
        <w:rPr>
          <w:sz w:val="18"/>
        </w:rPr>
        <w:t xml:space="preserve"> as revenue at the commencement of the risk period covered by the policy and accrued proportionally over the period of coverage.</w:t>
      </w:r>
    </w:p>
    <w:p w14:paraId="43152C0D" w14:textId="77777777" w:rsidR="00AC6F3C" w:rsidRDefault="00AC6F3C">
      <w:pPr>
        <w:pStyle w:val="BodyText"/>
        <w:spacing w:before="10"/>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28784500" w14:textId="77777777">
        <w:trPr>
          <w:trHeight w:val="883"/>
        </w:trPr>
        <w:tc>
          <w:tcPr>
            <w:tcW w:w="3843" w:type="dxa"/>
            <w:tcBorders>
              <w:top w:val="single" w:sz="6" w:space="0" w:color="000000"/>
              <w:left w:val="single" w:sz="6" w:space="0" w:color="000000"/>
              <w:bottom w:val="single" w:sz="6" w:space="0" w:color="000000"/>
            </w:tcBorders>
            <w:shd w:val="clear" w:color="auto" w:fill="BEBEBE"/>
          </w:tcPr>
          <w:p w14:paraId="1E47BAA1"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40CF660A" w14:textId="77777777" w:rsidR="00AC6F3C" w:rsidRDefault="00570E88">
            <w:pPr>
              <w:pStyle w:val="TableParagraph"/>
              <w:spacing w:before="25" w:line="364" w:lineRule="auto"/>
              <w:ind w:left="681" w:hanging="105"/>
              <w:rPr>
                <w:b/>
                <w:sz w:val="18"/>
              </w:rPr>
            </w:pPr>
            <w:r>
              <w:rPr>
                <w:b/>
                <w:spacing w:val="-4"/>
                <w:sz w:val="18"/>
              </w:rPr>
              <w:t>Consolidated 2023</w:t>
            </w:r>
          </w:p>
          <w:p w14:paraId="6F8A6645" w14:textId="77777777" w:rsidR="00AC6F3C" w:rsidRDefault="00570E88">
            <w:pPr>
              <w:pStyle w:val="TableParagraph"/>
              <w:spacing w:line="191"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2B8260B3" w14:textId="77777777" w:rsidR="00AC6F3C" w:rsidRDefault="00AC6F3C">
            <w:pPr>
              <w:pStyle w:val="TableParagraph"/>
              <w:spacing w:before="6"/>
              <w:rPr>
                <w:sz w:val="29"/>
              </w:rPr>
            </w:pPr>
          </w:p>
          <w:p w14:paraId="43C481C7" w14:textId="77777777" w:rsidR="00AC6F3C" w:rsidRDefault="00570E88">
            <w:pPr>
              <w:pStyle w:val="TableParagraph"/>
              <w:ind w:left="86"/>
              <w:rPr>
                <w:b/>
                <w:sz w:val="18"/>
              </w:rPr>
            </w:pPr>
            <w:r>
              <w:rPr>
                <w:b/>
                <w:spacing w:val="-4"/>
                <w:sz w:val="18"/>
              </w:rPr>
              <w:t>2022</w:t>
            </w:r>
          </w:p>
          <w:p w14:paraId="64B38575" w14:textId="77777777" w:rsidR="00AC6F3C" w:rsidRDefault="00570E88">
            <w:pPr>
              <w:pStyle w:val="TableParagraph"/>
              <w:spacing w:before="93"/>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5613D55C" w14:textId="77777777" w:rsidR="00AC6F3C" w:rsidRDefault="00570E88">
            <w:pPr>
              <w:pStyle w:val="TableParagraph"/>
              <w:spacing w:before="25" w:line="364" w:lineRule="auto"/>
              <w:ind w:left="680" w:firstLine="164"/>
              <w:rPr>
                <w:b/>
                <w:sz w:val="18"/>
              </w:rPr>
            </w:pPr>
            <w:r>
              <w:rPr>
                <w:b/>
                <w:spacing w:val="-2"/>
                <w:sz w:val="18"/>
              </w:rPr>
              <w:t xml:space="preserve">Parent </w:t>
            </w:r>
            <w:r>
              <w:rPr>
                <w:b/>
                <w:spacing w:val="-4"/>
                <w:sz w:val="18"/>
              </w:rPr>
              <w:t>2023</w:t>
            </w:r>
          </w:p>
          <w:p w14:paraId="51ED0DED" w14:textId="77777777" w:rsidR="00AC6F3C" w:rsidRDefault="00570E88">
            <w:pPr>
              <w:pStyle w:val="TableParagraph"/>
              <w:spacing w:line="191"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0E3C1F55" w14:textId="77777777" w:rsidR="00AC6F3C" w:rsidRDefault="00AC6F3C">
            <w:pPr>
              <w:pStyle w:val="TableParagraph"/>
              <w:spacing w:before="6"/>
              <w:rPr>
                <w:sz w:val="29"/>
              </w:rPr>
            </w:pPr>
          </w:p>
          <w:p w14:paraId="338AB860" w14:textId="77777777" w:rsidR="00AC6F3C" w:rsidRDefault="00570E88">
            <w:pPr>
              <w:pStyle w:val="TableParagraph"/>
              <w:ind w:left="222"/>
              <w:rPr>
                <w:b/>
                <w:sz w:val="18"/>
              </w:rPr>
            </w:pPr>
            <w:r>
              <w:rPr>
                <w:b/>
                <w:spacing w:val="-4"/>
                <w:sz w:val="18"/>
              </w:rPr>
              <w:t>2022</w:t>
            </w:r>
          </w:p>
          <w:p w14:paraId="6BD01310" w14:textId="77777777" w:rsidR="00AC6F3C" w:rsidRDefault="00570E88">
            <w:pPr>
              <w:pStyle w:val="TableParagraph"/>
              <w:spacing w:before="93"/>
              <w:ind w:left="177"/>
              <w:rPr>
                <w:b/>
                <w:sz w:val="18"/>
              </w:rPr>
            </w:pPr>
            <w:r>
              <w:rPr>
                <w:b/>
                <w:spacing w:val="-2"/>
                <w:sz w:val="18"/>
              </w:rPr>
              <w:t>$’000</w:t>
            </w:r>
          </w:p>
        </w:tc>
      </w:tr>
      <w:tr w:rsidR="00AC6F3C" w14:paraId="1F8D7D1D" w14:textId="77777777">
        <w:trPr>
          <w:trHeight w:val="296"/>
        </w:trPr>
        <w:tc>
          <w:tcPr>
            <w:tcW w:w="3843" w:type="dxa"/>
            <w:tcBorders>
              <w:top w:val="single" w:sz="6" w:space="0" w:color="000000"/>
              <w:left w:val="single" w:sz="6" w:space="0" w:color="000000"/>
            </w:tcBorders>
          </w:tcPr>
          <w:p w14:paraId="28FBD1F7" w14:textId="77777777" w:rsidR="00AC6F3C" w:rsidRDefault="00570E88">
            <w:pPr>
              <w:pStyle w:val="TableParagraph"/>
              <w:spacing w:before="40"/>
              <w:ind w:left="37"/>
              <w:rPr>
                <w:sz w:val="18"/>
              </w:rPr>
            </w:pPr>
            <w:r>
              <w:rPr>
                <w:sz w:val="18"/>
              </w:rPr>
              <w:t>Insurance</w:t>
            </w:r>
            <w:r>
              <w:rPr>
                <w:spacing w:val="17"/>
                <w:sz w:val="18"/>
              </w:rPr>
              <w:t xml:space="preserve"> </w:t>
            </w:r>
            <w:r>
              <w:rPr>
                <w:spacing w:val="-2"/>
                <w:sz w:val="18"/>
              </w:rPr>
              <w:t>levies</w:t>
            </w:r>
          </w:p>
        </w:tc>
        <w:tc>
          <w:tcPr>
            <w:tcW w:w="1139" w:type="dxa"/>
            <w:tcBorders>
              <w:top w:val="single" w:sz="6" w:space="0" w:color="000000"/>
            </w:tcBorders>
            <w:shd w:val="clear" w:color="auto" w:fill="F1F1F1"/>
          </w:tcPr>
          <w:p w14:paraId="5FB2B6B6" w14:textId="77777777" w:rsidR="00AC6F3C" w:rsidRDefault="00570E88">
            <w:pPr>
              <w:pStyle w:val="TableParagraph"/>
              <w:spacing w:before="40"/>
              <w:ind w:right="36"/>
              <w:jc w:val="right"/>
              <w:rPr>
                <w:sz w:val="18"/>
              </w:rPr>
            </w:pPr>
            <w:r>
              <w:rPr>
                <w:spacing w:val="-2"/>
                <w:sz w:val="18"/>
              </w:rPr>
              <w:t>38,478</w:t>
            </w:r>
          </w:p>
        </w:tc>
        <w:tc>
          <w:tcPr>
            <w:tcW w:w="1109" w:type="dxa"/>
            <w:gridSpan w:val="2"/>
            <w:tcBorders>
              <w:top w:val="single" w:sz="6" w:space="0" w:color="000000"/>
            </w:tcBorders>
          </w:tcPr>
          <w:p w14:paraId="661856FB" w14:textId="77777777" w:rsidR="00AC6F3C" w:rsidRDefault="00570E88">
            <w:pPr>
              <w:pStyle w:val="TableParagraph"/>
              <w:spacing w:before="40"/>
              <w:ind w:left="515"/>
              <w:rPr>
                <w:sz w:val="18"/>
              </w:rPr>
            </w:pPr>
            <w:r>
              <w:rPr>
                <w:spacing w:val="-2"/>
                <w:sz w:val="18"/>
              </w:rPr>
              <w:t>26,375</w:t>
            </w:r>
          </w:p>
        </w:tc>
        <w:tc>
          <w:tcPr>
            <w:tcW w:w="1139" w:type="dxa"/>
            <w:tcBorders>
              <w:top w:val="single" w:sz="6" w:space="0" w:color="000000"/>
            </w:tcBorders>
            <w:shd w:val="clear" w:color="auto" w:fill="F1F1F1"/>
          </w:tcPr>
          <w:p w14:paraId="4ECDC67B"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47443AB8" w14:textId="77777777" w:rsidR="00AC6F3C" w:rsidRDefault="00570E88">
            <w:pPr>
              <w:pStyle w:val="TableParagraph"/>
              <w:spacing w:before="40"/>
              <w:ind w:right="22"/>
              <w:jc w:val="right"/>
              <w:rPr>
                <w:sz w:val="18"/>
              </w:rPr>
            </w:pPr>
            <w:r>
              <w:rPr>
                <w:w w:val="99"/>
                <w:sz w:val="18"/>
              </w:rPr>
              <w:t>-</w:t>
            </w:r>
          </w:p>
        </w:tc>
      </w:tr>
      <w:tr w:rsidR="00AC6F3C" w14:paraId="52103DFB" w14:textId="77777777">
        <w:trPr>
          <w:trHeight w:val="299"/>
        </w:trPr>
        <w:tc>
          <w:tcPr>
            <w:tcW w:w="3843" w:type="dxa"/>
            <w:tcBorders>
              <w:left w:val="single" w:sz="6" w:space="0" w:color="000000"/>
            </w:tcBorders>
          </w:tcPr>
          <w:p w14:paraId="120573F7" w14:textId="77777777" w:rsidR="00AC6F3C" w:rsidRDefault="00570E88">
            <w:pPr>
              <w:pStyle w:val="TableParagraph"/>
              <w:spacing w:before="43"/>
              <w:ind w:left="37"/>
              <w:rPr>
                <w:sz w:val="18"/>
              </w:rPr>
            </w:pPr>
            <w:r>
              <w:rPr>
                <w:sz w:val="18"/>
              </w:rPr>
              <w:t>Unearned</w:t>
            </w:r>
            <w:r>
              <w:rPr>
                <w:spacing w:val="10"/>
                <w:sz w:val="18"/>
              </w:rPr>
              <w:t xml:space="preserve"> </w:t>
            </w:r>
            <w:r>
              <w:rPr>
                <w:sz w:val="18"/>
              </w:rPr>
              <w:t>premium</w:t>
            </w:r>
            <w:r>
              <w:rPr>
                <w:spacing w:val="23"/>
                <w:sz w:val="18"/>
              </w:rPr>
              <w:t xml:space="preserve"> </w:t>
            </w:r>
            <w:r>
              <w:rPr>
                <w:sz w:val="18"/>
              </w:rPr>
              <w:t>reserve</w:t>
            </w:r>
            <w:r>
              <w:rPr>
                <w:spacing w:val="11"/>
                <w:sz w:val="18"/>
              </w:rPr>
              <w:t xml:space="preserve"> </w:t>
            </w:r>
            <w:r>
              <w:rPr>
                <w:sz w:val="18"/>
              </w:rPr>
              <w:t>(Note</w:t>
            </w:r>
            <w:r>
              <w:rPr>
                <w:spacing w:val="10"/>
                <w:sz w:val="18"/>
              </w:rPr>
              <w:t xml:space="preserve"> </w:t>
            </w:r>
            <w:r>
              <w:rPr>
                <w:sz w:val="18"/>
              </w:rPr>
              <w:t>C8-</w:t>
            </w:r>
            <w:r>
              <w:rPr>
                <w:spacing w:val="-4"/>
                <w:sz w:val="18"/>
              </w:rPr>
              <w:t>2(b))</w:t>
            </w:r>
          </w:p>
        </w:tc>
        <w:tc>
          <w:tcPr>
            <w:tcW w:w="1139" w:type="dxa"/>
            <w:shd w:val="clear" w:color="auto" w:fill="F1F1F1"/>
          </w:tcPr>
          <w:p w14:paraId="763E8792" w14:textId="77777777" w:rsidR="00AC6F3C" w:rsidRDefault="00570E88">
            <w:pPr>
              <w:pStyle w:val="TableParagraph"/>
              <w:spacing w:before="43"/>
              <w:ind w:right="36"/>
              <w:jc w:val="right"/>
              <w:rPr>
                <w:sz w:val="18"/>
              </w:rPr>
            </w:pPr>
            <w:r>
              <w:rPr>
                <w:spacing w:val="-5"/>
                <w:sz w:val="18"/>
              </w:rPr>
              <w:t>996</w:t>
            </w:r>
          </w:p>
        </w:tc>
        <w:tc>
          <w:tcPr>
            <w:tcW w:w="1109" w:type="dxa"/>
            <w:gridSpan w:val="2"/>
          </w:tcPr>
          <w:p w14:paraId="57E3D8C2" w14:textId="77777777" w:rsidR="00AC6F3C" w:rsidRDefault="00570E88">
            <w:pPr>
              <w:pStyle w:val="TableParagraph"/>
              <w:spacing w:before="43"/>
              <w:ind w:left="620"/>
              <w:rPr>
                <w:sz w:val="18"/>
              </w:rPr>
            </w:pPr>
            <w:r>
              <w:rPr>
                <w:spacing w:val="-2"/>
                <w:sz w:val="18"/>
              </w:rPr>
              <w:t>1,233</w:t>
            </w:r>
          </w:p>
        </w:tc>
        <w:tc>
          <w:tcPr>
            <w:tcW w:w="1139" w:type="dxa"/>
            <w:shd w:val="clear" w:color="auto" w:fill="F1F1F1"/>
          </w:tcPr>
          <w:p w14:paraId="5AFF79E5"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15F423DB" w14:textId="77777777" w:rsidR="00AC6F3C" w:rsidRDefault="00570E88">
            <w:pPr>
              <w:pStyle w:val="TableParagraph"/>
              <w:spacing w:before="43"/>
              <w:ind w:right="22"/>
              <w:jc w:val="right"/>
              <w:rPr>
                <w:sz w:val="18"/>
              </w:rPr>
            </w:pPr>
            <w:r>
              <w:rPr>
                <w:w w:val="99"/>
                <w:sz w:val="18"/>
              </w:rPr>
              <w:t>-</w:t>
            </w:r>
          </w:p>
        </w:tc>
      </w:tr>
      <w:tr w:rsidR="00AC6F3C" w14:paraId="19858CED" w14:textId="77777777">
        <w:trPr>
          <w:trHeight w:val="286"/>
        </w:trPr>
        <w:tc>
          <w:tcPr>
            <w:tcW w:w="3843" w:type="dxa"/>
            <w:tcBorders>
              <w:left w:val="single" w:sz="6" w:space="0" w:color="000000"/>
              <w:bottom w:val="single" w:sz="6" w:space="0" w:color="000000"/>
            </w:tcBorders>
          </w:tcPr>
          <w:p w14:paraId="5426B394" w14:textId="77777777" w:rsidR="00AC6F3C" w:rsidRDefault="00570E88">
            <w:pPr>
              <w:pStyle w:val="TableParagraph"/>
              <w:spacing w:before="43"/>
              <w:ind w:left="37"/>
              <w:rPr>
                <w:sz w:val="18"/>
              </w:rPr>
            </w:pPr>
            <w:r>
              <w:rPr>
                <w:sz w:val="18"/>
              </w:rPr>
              <w:t>Reinsurance</w:t>
            </w:r>
            <w:r>
              <w:rPr>
                <w:spacing w:val="32"/>
                <w:sz w:val="18"/>
              </w:rPr>
              <w:t xml:space="preserve"> </w:t>
            </w:r>
            <w:r>
              <w:rPr>
                <w:spacing w:val="-2"/>
                <w:sz w:val="18"/>
              </w:rPr>
              <w:t>costs</w:t>
            </w:r>
          </w:p>
        </w:tc>
        <w:tc>
          <w:tcPr>
            <w:tcW w:w="1139" w:type="dxa"/>
            <w:tcBorders>
              <w:bottom w:val="single" w:sz="6" w:space="0" w:color="000000"/>
            </w:tcBorders>
            <w:shd w:val="clear" w:color="auto" w:fill="F1F1F1"/>
          </w:tcPr>
          <w:p w14:paraId="6BC41618" w14:textId="77777777" w:rsidR="00AC6F3C" w:rsidRDefault="00570E88">
            <w:pPr>
              <w:pStyle w:val="TableParagraph"/>
              <w:spacing w:before="43"/>
              <w:ind w:right="31"/>
              <w:jc w:val="right"/>
              <w:rPr>
                <w:sz w:val="18"/>
              </w:rPr>
            </w:pPr>
            <w:r>
              <w:rPr>
                <w:spacing w:val="-2"/>
                <w:sz w:val="18"/>
              </w:rPr>
              <w:t>(2,314)</w:t>
            </w:r>
          </w:p>
        </w:tc>
        <w:tc>
          <w:tcPr>
            <w:tcW w:w="1109" w:type="dxa"/>
            <w:gridSpan w:val="2"/>
            <w:tcBorders>
              <w:bottom w:val="single" w:sz="6" w:space="0" w:color="000000"/>
            </w:tcBorders>
          </w:tcPr>
          <w:p w14:paraId="5C90950C" w14:textId="77777777" w:rsidR="00AC6F3C" w:rsidRDefault="00570E88">
            <w:pPr>
              <w:pStyle w:val="TableParagraph"/>
              <w:spacing w:before="43"/>
              <w:ind w:left="500"/>
              <w:rPr>
                <w:sz w:val="18"/>
              </w:rPr>
            </w:pPr>
            <w:r>
              <w:rPr>
                <w:spacing w:val="-2"/>
                <w:sz w:val="18"/>
              </w:rPr>
              <w:t>(2,264)</w:t>
            </w:r>
          </w:p>
        </w:tc>
        <w:tc>
          <w:tcPr>
            <w:tcW w:w="1139" w:type="dxa"/>
            <w:tcBorders>
              <w:bottom w:val="single" w:sz="6" w:space="0" w:color="000000"/>
            </w:tcBorders>
            <w:shd w:val="clear" w:color="auto" w:fill="F1F1F1"/>
          </w:tcPr>
          <w:p w14:paraId="31B2D0CA" w14:textId="77777777" w:rsidR="00AC6F3C" w:rsidRDefault="00570E88">
            <w:pPr>
              <w:pStyle w:val="TableParagraph"/>
              <w:spacing w:before="43"/>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3400B0A6" w14:textId="77777777" w:rsidR="00AC6F3C" w:rsidRDefault="00570E88">
            <w:pPr>
              <w:pStyle w:val="TableParagraph"/>
              <w:spacing w:before="43"/>
              <w:ind w:right="22"/>
              <w:jc w:val="right"/>
              <w:rPr>
                <w:sz w:val="18"/>
              </w:rPr>
            </w:pPr>
            <w:r>
              <w:rPr>
                <w:w w:val="99"/>
                <w:sz w:val="18"/>
              </w:rPr>
              <w:t>-</w:t>
            </w:r>
          </w:p>
        </w:tc>
      </w:tr>
      <w:tr w:rsidR="00AC6F3C" w14:paraId="23BAF99F" w14:textId="77777777">
        <w:trPr>
          <w:trHeight w:val="446"/>
        </w:trPr>
        <w:tc>
          <w:tcPr>
            <w:tcW w:w="3843" w:type="dxa"/>
            <w:tcBorders>
              <w:top w:val="single" w:sz="6" w:space="0" w:color="000000"/>
              <w:left w:val="single" w:sz="6" w:space="0" w:color="000000"/>
            </w:tcBorders>
          </w:tcPr>
          <w:p w14:paraId="337C118D" w14:textId="77777777" w:rsidR="00AC6F3C" w:rsidRDefault="00570E88">
            <w:pPr>
              <w:pStyle w:val="TableParagraph"/>
              <w:spacing w:before="40"/>
              <w:ind w:left="37"/>
              <w:rPr>
                <w:sz w:val="18"/>
              </w:rPr>
            </w:pPr>
            <w:r>
              <w:rPr>
                <w:sz w:val="18"/>
              </w:rPr>
              <w:t>Net</w:t>
            </w:r>
            <w:r>
              <w:rPr>
                <w:spacing w:val="1"/>
                <w:sz w:val="18"/>
              </w:rPr>
              <w:t xml:space="preserve"> </w:t>
            </w:r>
            <w:r>
              <w:rPr>
                <w:sz w:val="18"/>
              </w:rPr>
              <w:t>premium</w:t>
            </w:r>
            <w:r>
              <w:rPr>
                <w:spacing w:val="29"/>
                <w:sz w:val="18"/>
              </w:rPr>
              <w:t xml:space="preserve"> </w:t>
            </w:r>
            <w:r>
              <w:rPr>
                <w:spacing w:val="-2"/>
                <w:sz w:val="18"/>
              </w:rPr>
              <w:t>revenue</w:t>
            </w:r>
          </w:p>
        </w:tc>
        <w:tc>
          <w:tcPr>
            <w:tcW w:w="1139" w:type="dxa"/>
            <w:tcBorders>
              <w:top w:val="single" w:sz="6" w:space="0" w:color="000000"/>
            </w:tcBorders>
            <w:shd w:val="clear" w:color="auto" w:fill="F1F1F1"/>
          </w:tcPr>
          <w:p w14:paraId="39BA2391" w14:textId="77777777" w:rsidR="00AC6F3C" w:rsidRDefault="00570E88">
            <w:pPr>
              <w:pStyle w:val="TableParagraph"/>
              <w:spacing w:before="40"/>
              <w:ind w:right="36"/>
              <w:jc w:val="right"/>
              <w:rPr>
                <w:sz w:val="18"/>
              </w:rPr>
            </w:pPr>
            <w:r>
              <w:rPr>
                <w:spacing w:val="-2"/>
                <w:sz w:val="18"/>
              </w:rPr>
              <w:t>37,160</w:t>
            </w:r>
          </w:p>
        </w:tc>
        <w:tc>
          <w:tcPr>
            <w:tcW w:w="1109" w:type="dxa"/>
            <w:gridSpan w:val="2"/>
            <w:tcBorders>
              <w:top w:val="single" w:sz="6" w:space="0" w:color="000000"/>
            </w:tcBorders>
          </w:tcPr>
          <w:p w14:paraId="34F3473F" w14:textId="77777777" w:rsidR="00AC6F3C" w:rsidRDefault="00570E88">
            <w:pPr>
              <w:pStyle w:val="TableParagraph"/>
              <w:spacing w:before="40"/>
              <w:ind w:left="515"/>
              <w:rPr>
                <w:sz w:val="18"/>
              </w:rPr>
            </w:pPr>
            <w:r>
              <w:rPr>
                <w:spacing w:val="-2"/>
                <w:sz w:val="18"/>
              </w:rPr>
              <w:t>25,344</w:t>
            </w:r>
          </w:p>
        </w:tc>
        <w:tc>
          <w:tcPr>
            <w:tcW w:w="1139" w:type="dxa"/>
            <w:tcBorders>
              <w:top w:val="single" w:sz="6" w:space="0" w:color="000000"/>
            </w:tcBorders>
            <w:shd w:val="clear" w:color="auto" w:fill="F1F1F1"/>
          </w:tcPr>
          <w:p w14:paraId="7400FFFE"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6569B7BF" w14:textId="77777777" w:rsidR="00AC6F3C" w:rsidRDefault="00570E88">
            <w:pPr>
              <w:pStyle w:val="TableParagraph"/>
              <w:spacing w:before="40"/>
              <w:ind w:right="22"/>
              <w:jc w:val="right"/>
              <w:rPr>
                <w:sz w:val="18"/>
              </w:rPr>
            </w:pPr>
            <w:r>
              <w:rPr>
                <w:w w:val="99"/>
                <w:sz w:val="18"/>
              </w:rPr>
              <w:t>-</w:t>
            </w:r>
          </w:p>
        </w:tc>
      </w:tr>
      <w:tr w:rsidR="00AC6F3C" w14:paraId="64149C47" w14:textId="77777777">
        <w:trPr>
          <w:trHeight w:val="449"/>
        </w:trPr>
        <w:tc>
          <w:tcPr>
            <w:tcW w:w="3843" w:type="dxa"/>
            <w:tcBorders>
              <w:left w:val="single" w:sz="6" w:space="0" w:color="000000"/>
            </w:tcBorders>
          </w:tcPr>
          <w:p w14:paraId="57071D6E" w14:textId="77777777" w:rsidR="00AC6F3C" w:rsidRDefault="00AC6F3C">
            <w:pPr>
              <w:pStyle w:val="TableParagraph"/>
              <w:spacing w:before="8"/>
              <w:rPr>
                <w:sz w:val="16"/>
              </w:rPr>
            </w:pPr>
          </w:p>
          <w:p w14:paraId="4700E88A" w14:textId="77777777" w:rsidR="00AC6F3C" w:rsidRDefault="00570E88">
            <w:pPr>
              <w:pStyle w:val="TableParagraph"/>
              <w:spacing w:before="1"/>
              <w:ind w:left="37"/>
              <w:rPr>
                <w:sz w:val="18"/>
              </w:rPr>
            </w:pPr>
            <w:r>
              <w:rPr>
                <w:sz w:val="18"/>
              </w:rPr>
              <w:t>Claims</w:t>
            </w:r>
            <w:r>
              <w:rPr>
                <w:spacing w:val="37"/>
                <w:sz w:val="18"/>
              </w:rPr>
              <w:t xml:space="preserve"> </w:t>
            </w:r>
            <w:r>
              <w:rPr>
                <w:spacing w:val="-2"/>
                <w:sz w:val="18"/>
              </w:rPr>
              <w:t>expense</w:t>
            </w:r>
          </w:p>
        </w:tc>
        <w:tc>
          <w:tcPr>
            <w:tcW w:w="1139" w:type="dxa"/>
            <w:shd w:val="clear" w:color="auto" w:fill="F1F1F1"/>
          </w:tcPr>
          <w:p w14:paraId="08E5DF56" w14:textId="77777777" w:rsidR="00AC6F3C" w:rsidRDefault="00AC6F3C">
            <w:pPr>
              <w:pStyle w:val="TableParagraph"/>
              <w:spacing w:before="8"/>
              <w:rPr>
                <w:sz w:val="16"/>
              </w:rPr>
            </w:pPr>
          </w:p>
          <w:p w14:paraId="75B59A9D" w14:textId="77777777" w:rsidR="00AC6F3C" w:rsidRDefault="00570E88">
            <w:pPr>
              <w:pStyle w:val="TableParagraph"/>
              <w:spacing w:before="1"/>
              <w:ind w:right="31"/>
              <w:jc w:val="right"/>
              <w:rPr>
                <w:sz w:val="18"/>
              </w:rPr>
            </w:pPr>
            <w:r>
              <w:rPr>
                <w:spacing w:val="-2"/>
                <w:sz w:val="18"/>
              </w:rPr>
              <w:t>(25,260)</w:t>
            </w:r>
          </w:p>
        </w:tc>
        <w:tc>
          <w:tcPr>
            <w:tcW w:w="1109" w:type="dxa"/>
            <w:gridSpan w:val="2"/>
          </w:tcPr>
          <w:p w14:paraId="52F977F6" w14:textId="77777777" w:rsidR="00AC6F3C" w:rsidRDefault="00AC6F3C">
            <w:pPr>
              <w:pStyle w:val="TableParagraph"/>
              <w:spacing w:before="8"/>
              <w:rPr>
                <w:sz w:val="16"/>
              </w:rPr>
            </w:pPr>
          </w:p>
          <w:p w14:paraId="477C0D2E" w14:textId="77777777" w:rsidR="00AC6F3C" w:rsidRDefault="00570E88">
            <w:pPr>
              <w:pStyle w:val="TableParagraph"/>
              <w:spacing w:before="1"/>
              <w:ind w:left="396"/>
              <w:rPr>
                <w:sz w:val="18"/>
              </w:rPr>
            </w:pPr>
            <w:r>
              <w:rPr>
                <w:spacing w:val="-2"/>
                <w:sz w:val="18"/>
              </w:rPr>
              <w:t>(10,518)</w:t>
            </w:r>
          </w:p>
        </w:tc>
        <w:tc>
          <w:tcPr>
            <w:tcW w:w="1139" w:type="dxa"/>
            <w:shd w:val="clear" w:color="auto" w:fill="F1F1F1"/>
          </w:tcPr>
          <w:p w14:paraId="7D127E5D" w14:textId="77777777" w:rsidR="00AC6F3C" w:rsidRDefault="00AC6F3C">
            <w:pPr>
              <w:pStyle w:val="TableParagraph"/>
              <w:spacing w:before="8"/>
              <w:rPr>
                <w:sz w:val="16"/>
              </w:rPr>
            </w:pPr>
          </w:p>
          <w:p w14:paraId="4986C220" w14:textId="77777777" w:rsidR="00AC6F3C" w:rsidRDefault="00570E88">
            <w:pPr>
              <w:pStyle w:val="TableParagraph"/>
              <w:spacing w:before="1"/>
              <w:ind w:right="37"/>
              <w:jc w:val="right"/>
              <w:rPr>
                <w:sz w:val="18"/>
              </w:rPr>
            </w:pPr>
            <w:r>
              <w:rPr>
                <w:w w:val="99"/>
                <w:sz w:val="18"/>
              </w:rPr>
              <w:t>-</w:t>
            </w:r>
          </w:p>
        </w:tc>
        <w:tc>
          <w:tcPr>
            <w:tcW w:w="1116" w:type="dxa"/>
            <w:gridSpan w:val="2"/>
            <w:tcBorders>
              <w:right w:val="single" w:sz="6" w:space="0" w:color="000000"/>
            </w:tcBorders>
          </w:tcPr>
          <w:p w14:paraId="51D227B5" w14:textId="77777777" w:rsidR="00AC6F3C" w:rsidRDefault="00AC6F3C">
            <w:pPr>
              <w:pStyle w:val="TableParagraph"/>
              <w:spacing w:before="8"/>
              <w:rPr>
                <w:sz w:val="16"/>
              </w:rPr>
            </w:pPr>
          </w:p>
          <w:p w14:paraId="064A1BAE" w14:textId="77777777" w:rsidR="00AC6F3C" w:rsidRDefault="00570E88">
            <w:pPr>
              <w:pStyle w:val="TableParagraph"/>
              <w:spacing w:before="1"/>
              <w:ind w:right="22"/>
              <w:jc w:val="right"/>
              <w:rPr>
                <w:sz w:val="18"/>
              </w:rPr>
            </w:pPr>
            <w:r>
              <w:rPr>
                <w:w w:val="99"/>
                <w:sz w:val="18"/>
              </w:rPr>
              <w:t>-</w:t>
            </w:r>
          </w:p>
        </w:tc>
      </w:tr>
      <w:tr w:rsidR="00AC6F3C" w14:paraId="7F06B42C" w14:textId="77777777">
        <w:trPr>
          <w:trHeight w:val="286"/>
        </w:trPr>
        <w:tc>
          <w:tcPr>
            <w:tcW w:w="3843" w:type="dxa"/>
            <w:tcBorders>
              <w:left w:val="single" w:sz="6" w:space="0" w:color="000000"/>
              <w:bottom w:val="single" w:sz="6" w:space="0" w:color="000000"/>
            </w:tcBorders>
          </w:tcPr>
          <w:p w14:paraId="05BC473C" w14:textId="77777777" w:rsidR="00AC6F3C" w:rsidRDefault="00570E88">
            <w:pPr>
              <w:pStyle w:val="TableParagraph"/>
              <w:spacing w:before="43"/>
              <w:ind w:left="37"/>
              <w:rPr>
                <w:sz w:val="18"/>
              </w:rPr>
            </w:pPr>
            <w:r>
              <w:rPr>
                <w:sz w:val="18"/>
              </w:rPr>
              <w:t>Reinsurance</w:t>
            </w:r>
            <w:r>
              <w:rPr>
                <w:spacing w:val="13"/>
                <w:sz w:val="18"/>
              </w:rPr>
              <w:t xml:space="preserve"> </w:t>
            </w:r>
            <w:r>
              <w:rPr>
                <w:sz w:val="18"/>
              </w:rPr>
              <w:t>and</w:t>
            </w:r>
            <w:r>
              <w:rPr>
                <w:spacing w:val="13"/>
                <w:sz w:val="18"/>
              </w:rPr>
              <w:t xml:space="preserve"> </w:t>
            </w:r>
            <w:r>
              <w:rPr>
                <w:sz w:val="18"/>
              </w:rPr>
              <w:t>other</w:t>
            </w:r>
            <w:r>
              <w:rPr>
                <w:spacing w:val="7"/>
                <w:sz w:val="18"/>
              </w:rPr>
              <w:t xml:space="preserve"> </w:t>
            </w:r>
            <w:r>
              <w:rPr>
                <w:spacing w:val="-2"/>
                <w:sz w:val="18"/>
              </w:rPr>
              <w:t>recoveries</w:t>
            </w:r>
          </w:p>
        </w:tc>
        <w:tc>
          <w:tcPr>
            <w:tcW w:w="1139" w:type="dxa"/>
            <w:tcBorders>
              <w:bottom w:val="single" w:sz="6" w:space="0" w:color="000000"/>
            </w:tcBorders>
            <w:shd w:val="clear" w:color="auto" w:fill="F1F1F1"/>
          </w:tcPr>
          <w:p w14:paraId="23056A71" w14:textId="77777777" w:rsidR="00AC6F3C" w:rsidRDefault="00570E88">
            <w:pPr>
              <w:pStyle w:val="TableParagraph"/>
              <w:spacing w:before="43"/>
              <w:ind w:right="36"/>
              <w:jc w:val="right"/>
              <w:rPr>
                <w:sz w:val="18"/>
              </w:rPr>
            </w:pPr>
            <w:r>
              <w:rPr>
                <w:spacing w:val="-2"/>
                <w:sz w:val="18"/>
              </w:rPr>
              <w:t>2,200</w:t>
            </w:r>
          </w:p>
        </w:tc>
        <w:tc>
          <w:tcPr>
            <w:tcW w:w="1109" w:type="dxa"/>
            <w:gridSpan w:val="2"/>
            <w:tcBorders>
              <w:bottom w:val="single" w:sz="6" w:space="0" w:color="000000"/>
            </w:tcBorders>
          </w:tcPr>
          <w:p w14:paraId="21D139E2" w14:textId="77777777" w:rsidR="00AC6F3C" w:rsidRDefault="00570E88">
            <w:pPr>
              <w:pStyle w:val="TableParagraph"/>
              <w:spacing w:before="43"/>
              <w:ind w:left="620"/>
              <w:rPr>
                <w:sz w:val="18"/>
              </w:rPr>
            </w:pPr>
            <w:r>
              <w:rPr>
                <w:spacing w:val="-2"/>
                <w:sz w:val="18"/>
              </w:rPr>
              <w:t>2,150</w:t>
            </w:r>
          </w:p>
        </w:tc>
        <w:tc>
          <w:tcPr>
            <w:tcW w:w="1139" w:type="dxa"/>
            <w:tcBorders>
              <w:bottom w:val="single" w:sz="6" w:space="0" w:color="000000"/>
            </w:tcBorders>
            <w:shd w:val="clear" w:color="auto" w:fill="F1F1F1"/>
          </w:tcPr>
          <w:p w14:paraId="72A65BDB" w14:textId="77777777" w:rsidR="00AC6F3C" w:rsidRDefault="00570E88">
            <w:pPr>
              <w:pStyle w:val="TableParagraph"/>
              <w:spacing w:before="43"/>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731EC8B5" w14:textId="77777777" w:rsidR="00AC6F3C" w:rsidRDefault="00570E88">
            <w:pPr>
              <w:pStyle w:val="TableParagraph"/>
              <w:spacing w:before="43"/>
              <w:ind w:right="22"/>
              <w:jc w:val="right"/>
              <w:rPr>
                <w:sz w:val="18"/>
              </w:rPr>
            </w:pPr>
            <w:r>
              <w:rPr>
                <w:w w:val="99"/>
                <w:sz w:val="18"/>
              </w:rPr>
              <w:t>-</w:t>
            </w:r>
          </w:p>
        </w:tc>
      </w:tr>
      <w:tr w:rsidR="00AC6F3C" w14:paraId="15E0708B" w14:textId="77777777">
        <w:trPr>
          <w:trHeight w:val="446"/>
        </w:trPr>
        <w:tc>
          <w:tcPr>
            <w:tcW w:w="3843" w:type="dxa"/>
            <w:tcBorders>
              <w:top w:val="single" w:sz="6" w:space="0" w:color="000000"/>
              <w:left w:val="single" w:sz="6" w:space="0" w:color="000000"/>
            </w:tcBorders>
          </w:tcPr>
          <w:p w14:paraId="3F3AF5E5" w14:textId="77777777" w:rsidR="00AC6F3C" w:rsidRDefault="00570E88">
            <w:pPr>
              <w:pStyle w:val="TableParagraph"/>
              <w:spacing w:before="40"/>
              <w:ind w:left="37"/>
              <w:rPr>
                <w:sz w:val="18"/>
              </w:rPr>
            </w:pPr>
            <w:r>
              <w:rPr>
                <w:sz w:val="18"/>
              </w:rPr>
              <w:t>Net</w:t>
            </w:r>
            <w:r>
              <w:rPr>
                <w:spacing w:val="-2"/>
                <w:sz w:val="18"/>
              </w:rPr>
              <w:t xml:space="preserve"> </w:t>
            </w:r>
            <w:r>
              <w:rPr>
                <w:sz w:val="18"/>
              </w:rPr>
              <w:t>claims</w:t>
            </w:r>
            <w:r>
              <w:rPr>
                <w:spacing w:val="23"/>
                <w:sz w:val="18"/>
              </w:rPr>
              <w:t xml:space="preserve"> </w:t>
            </w:r>
            <w:r>
              <w:rPr>
                <w:sz w:val="18"/>
              </w:rPr>
              <w:t>incurred</w:t>
            </w:r>
            <w:r>
              <w:rPr>
                <w:spacing w:val="10"/>
                <w:sz w:val="18"/>
              </w:rPr>
              <w:t xml:space="preserve"> </w:t>
            </w:r>
            <w:r>
              <w:rPr>
                <w:sz w:val="18"/>
              </w:rPr>
              <w:t>(Note</w:t>
            </w:r>
            <w:r>
              <w:rPr>
                <w:spacing w:val="11"/>
                <w:sz w:val="18"/>
              </w:rPr>
              <w:t xml:space="preserve"> </w:t>
            </w:r>
            <w:r>
              <w:rPr>
                <w:sz w:val="18"/>
              </w:rPr>
              <w:t>C8-</w:t>
            </w:r>
            <w:r>
              <w:rPr>
                <w:spacing w:val="-2"/>
                <w:sz w:val="18"/>
              </w:rPr>
              <w:t>2(a))</w:t>
            </w:r>
          </w:p>
        </w:tc>
        <w:tc>
          <w:tcPr>
            <w:tcW w:w="1139" w:type="dxa"/>
            <w:tcBorders>
              <w:top w:val="single" w:sz="6" w:space="0" w:color="000000"/>
            </w:tcBorders>
            <w:shd w:val="clear" w:color="auto" w:fill="F1F1F1"/>
          </w:tcPr>
          <w:p w14:paraId="53F81A0C" w14:textId="77777777" w:rsidR="00AC6F3C" w:rsidRDefault="00570E88">
            <w:pPr>
              <w:pStyle w:val="TableParagraph"/>
              <w:spacing w:before="40"/>
              <w:ind w:right="31"/>
              <w:jc w:val="right"/>
              <w:rPr>
                <w:sz w:val="18"/>
              </w:rPr>
            </w:pPr>
            <w:r>
              <w:rPr>
                <w:spacing w:val="-2"/>
                <w:sz w:val="18"/>
              </w:rPr>
              <w:t>(23,061)</w:t>
            </w:r>
          </w:p>
        </w:tc>
        <w:tc>
          <w:tcPr>
            <w:tcW w:w="1109" w:type="dxa"/>
            <w:gridSpan w:val="2"/>
            <w:tcBorders>
              <w:top w:val="single" w:sz="6" w:space="0" w:color="000000"/>
            </w:tcBorders>
          </w:tcPr>
          <w:p w14:paraId="700C1F9D" w14:textId="77777777" w:rsidR="00AC6F3C" w:rsidRDefault="00570E88">
            <w:pPr>
              <w:pStyle w:val="TableParagraph"/>
              <w:spacing w:before="40"/>
              <w:ind w:left="500"/>
              <w:rPr>
                <w:sz w:val="18"/>
              </w:rPr>
            </w:pPr>
            <w:r>
              <w:rPr>
                <w:spacing w:val="-2"/>
                <w:sz w:val="18"/>
              </w:rPr>
              <w:t>(8,368)</w:t>
            </w:r>
          </w:p>
        </w:tc>
        <w:tc>
          <w:tcPr>
            <w:tcW w:w="1139" w:type="dxa"/>
            <w:tcBorders>
              <w:top w:val="single" w:sz="6" w:space="0" w:color="000000"/>
            </w:tcBorders>
            <w:shd w:val="clear" w:color="auto" w:fill="F1F1F1"/>
          </w:tcPr>
          <w:p w14:paraId="1C25C166"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6F79272A" w14:textId="77777777" w:rsidR="00AC6F3C" w:rsidRDefault="00570E88">
            <w:pPr>
              <w:pStyle w:val="TableParagraph"/>
              <w:spacing w:before="40"/>
              <w:ind w:right="22"/>
              <w:jc w:val="right"/>
              <w:rPr>
                <w:sz w:val="18"/>
              </w:rPr>
            </w:pPr>
            <w:r>
              <w:rPr>
                <w:w w:val="99"/>
                <w:sz w:val="18"/>
              </w:rPr>
              <w:t>-</w:t>
            </w:r>
          </w:p>
        </w:tc>
      </w:tr>
      <w:tr w:rsidR="00AC6F3C" w14:paraId="03FB7C58" w14:textId="77777777">
        <w:trPr>
          <w:trHeight w:val="434"/>
        </w:trPr>
        <w:tc>
          <w:tcPr>
            <w:tcW w:w="3843" w:type="dxa"/>
            <w:tcBorders>
              <w:left w:val="single" w:sz="6" w:space="0" w:color="000000"/>
            </w:tcBorders>
          </w:tcPr>
          <w:p w14:paraId="5E4A48C1" w14:textId="77777777" w:rsidR="00AC6F3C" w:rsidRDefault="00AC6F3C">
            <w:pPr>
              <w:pStyle w:val="TableParagraph"/>
              <w:spacing w:before="8"/>
              <w:rPr>
                <w:sz w:val="16"/>
              </w:rPr>
            </w:pPr>
          </w:p>
          <w:p w14:paraId="62D60028" w14:textId="77777777" w:rsidR="00AC6F3C" w:rsidRDefault="00570E88">
            <w:pPr>
              <w:pStyle w:val="TableParagraph"/>
              <w:spacing w:before="1"/>
              <w:ind w:left="37"/>
              <w:rPr>
                <w:sz w:val="18"/>
              </w:rPr>
            </w:pPr>
            <w:r>
              <w:rPr>
                <w:sz w:val="18"/>
              </w:rPr>
              <w:t>Stamp</w:t>
            </w:r>
            <w:r>
              <w:rPr>
                <w:spacing w:val="6"/>
                <w:sz w:val="18"/>
              </w:rPr>
              <w:t xml:space="preserve"> </w:t>
            </w:r>
            <w:r>
              <w:rPr>
                <w:spacing w:val="-4"/>
                <w:sz w:val="18"/>
              </w:rPr>
              <w:t>duty</w:t>
            </w:r>
          </w:p>
        </w:tc>
        <w:tc>
          <w:tcPr>
            <w:tcW w:w="1139" w:type="dxa"/>
            <w:shd w:val="clear" w:color="auto" w:fill="F1F1F1"/>
          </w:tcPr>
          <w:p w14:paraId="46D0FBE3" w14:textId="77777777" w:rsidR="00AC6F3C" w:rsidRDefault="00AC6F3C">
            <w:pPr>
              <w:pStyle w:val="TableParagraph"/>
              <w:spacing w:before="8"/>
              <w:rPr>
                <w:sz w:val="16"/>
              </w:rPr>
            </w:pPr>
          </w:p>
          <w:p w14:paraId="5A5C08E2" w14:textId="77777777" w:rsidR="00AC6F3C" w:rsidRDefault="00570E88">
            <w:pPr>
              <w:pStyle w:val="TableParagraph"/>
              <w:spacing w:before="1"/>
              <w:ind w:right="31"/>
              <w:jc w:val="right"/>
              <w:rPr>
                <w:sz w:val="18"/>
              </w:rPr>
            </w:pPr>
            <w:r>
              <w:rPr>
                <w:spacing w:val="-2"/>
                <w:sz w:val="18"/>
              </w:rPr>
              <w:t>(2,420)</w:t>
            </w:r>
          </w:p>
        </w:tc>
        <w:tc>
          <w:tcPr>
            <w:tcW w:w="1109" w:type="dxa"/>
            <w:gridSpan w:val="2"/>
          </w:tcPr>
          <w:p w14:paraId="17CDA2A4" w14:textId="77777777" w:rsidR="00AC6F3C" w:rsidRDefault="00AC6F3C">
            <w:pPr>
              <w:pStyle w:val="TableParagraph"/>
              <w:spacing w:before="8"/>
              <w:rPr>
                <w:sz w:val="16"/>
              </w:rPr>
            </w:pPr>
          </w:p>
          <w:p w14:paraId="46E52D91" w14:textId="77777777" w:rsidR="00AC6F3C" w:rsidRDefault="00570E88">
            <w:pPr>
              <w:pStyle w:val="TableParagraph"/>
              <w:spacing w:before="1"/>
              <w:ind w:left="500"/>
              <w:rPr>
                <w:sz w:val="18"/>
              </w:rPr>
            </w:pPr>
            <w:r>
              <w:rPr>
                <w:spacing w:val="-2"/>
                <w:sz w:val="18"/>
              </w:rPr>
              <w:t>(2,133)</w:t>
            </w:r>
          </w:p>
        </w:tc>
        <w:tc>
          <w:tcPr>
            <w:tcW w:w="1139" w:type="dxa"/>
            <w:shd w:val="clear" w:color="auto" w:fill="F1F1F1"/>
          </w:tcPr>
          <w:p w14:paraId="6111F229" w14:textId="77777777" w:rsidR="00AC6F3C" w:rsidRDefault="00AC6F3C">
            <w:pPr>
              <w:pStyle w:val="TableParagraph"/>
              <w:spacing w:before="8"/>
              <w:rPr>
                <w:sz w:val="16"/>
              </w:rPr>
            </w:pPr>
          </w:p>
          <w:p w14:paraId="0883EA9C" w14:textId="77777777" w:rsidR="00AC6F3C" w:rsidRDefault="00570E88">
            <w:pPr>
              <w:pStyle w:val="TableParagraph"/>
              <w:spacing w:before="1"/>
              <w:ind w:right="37"/>
              <w:jc w:val="right"/>
              <w:rPr>
                <w:sz w:val="18"/>
              </w:rPr>
            </w:pPr>
            <w:r>
              <w:rPr>
                <w:w w:val="99"/>
                <w:sz w:val="18"/>
              </w:rPr>
              <w:t>-</w:t>
            </w:r>
          </w:p>
        </w:tc>
        <w:tc>
          <w:tcPr>
            <w:tcW w:w="1116" w:type="dxa"/>
            <w:gridSpan w:val="2"/>
            <w:tcBorders>
              <w:right w:val="single" w:sz="6" w:space="0" w:color="000000"/>
            </w:tcBorders>
          </w:tcPr>
          <w:p w14:paraId="47CC22BC" w14:textId="77777777" w:rsidR="00AC6F3C" w:rsidRDefault="00AC6F3C">
            <w:pPr>
              <w:pStyle w:val="TableParagraph"/>
              <w:spacing w:before="8"/>
              <w:rPr>
                <w:sz w:val="16"/>
              </w:rPr>
            </w:pPr>
          </w:p>
          <w:p w14:paraId="7D5D6BBF" w14:textId="77777777" w:rsidR="00AC6F3C" w:rsidRDefault="00570E88">
            <w:pPr>
              <w:pStyle w:val="TableParagraph"/>
              <w:spacing w:before="1"/>
              <w:ind w:right="22"/>
              <w:jc w:val="right"/>
              <w:rPr>
                <w:sz w:val="18"/>
              </w:rPr>
            </w:pPr>
            <w:r>
              <w:rPr>
                <w:w w:val="99"/>
                <w:sz w:val="18"/>
              </w:rPr>
              <w:t>-</w:t>
            </w:r>
          </w:p>
        </w:tc>
      </w:tr>
      <w:tr w:rsidR="00AC6F3C" w14:paraId="5AA7D343" w14:textId="77777777">
        <w:trPr>
          <w:trHeight w:val="481"/>
        </w:trPr>
        <w:tc>
          <w:tcPr>
            <w:tcW w:w="3843" w:type="dxa"/>
            <w:tcBorders>
              <w:left w:val="single" w:sz="6" w:space="0" w:color="000000"/>
              <w:bottom w:val="single" w:sz="6" w:space="0" w:color="000000"/>
            </w:tcBorders>
          </w:tcPr>
          <w:p w14:paraId="61DDFC7B" w14:textId="77777777" w:rsidR="00AC6F3C" w:rsidRDefault="00570E88">
            <w:pPr>
              <w:pStyle w:val="TableParagraph"/>
              <w:spacing w:line="240" w:lineRule="exact"/>
              <w:ind w:left="37"/>
              <w:rPr>
                <w:sz w:val="18"/>
              </w:rPr>
            </w:pPr>
            <w:r>
              <w:rPr>
                <w:sz w:val="18"/>
              </w:rPr>
              <w:t>Underwriting expenses (Lexon administrative and operating expenses)</w:t>
            </w:r>
          </w:p>
        </w:tc>
        <w:tc>
          <w:tcPr>
            <w:tcW w:w="1139" w:type="dxa"/>
            <w:tcBorders>
              <w:bottom w:val="single" w:sz="6" w:space="0" w:color="000000"/>
            </w:tcBorders>
            <w:shd w:val="clear" w:color="auto" w:fill="F1F1F1"/>
          </w:tcPr>
          <w:p w14:paraId="1C2BE396" w14:textId="77777777" w:rsidR="00AC6F3C" w:rsidRDefault="00570E88">
            <w:pPr>
              <w:pStyle w:val="TableParagraph"/>
              <w:spacing w:before="148"/>
              <w:ind w:right="31"/>
              <w:jc w:val="right"/>
              <w:rPr>
                <w:sz w:val="18"/>
              </w:rPr>
            </w:pPr>
            <w:r>
              <w:rPr>
                <w:spacing w:val="-2"/>
                <w:sz w:val="18"/>
              </w:rPr>
              <w:t>(7,528)</w:t>
            </w:r>
          </w:p>
        </w:tc>
        <w:tc>
          <w:tcPr>
            <w:tcW w:w="1109" w:type="dxa"/>
            <w:gridSpan w:val="2"/>
            <w:tcBorders>
              <w:bottom w:val="single" w:sz="6" w:space="0" w:color="000000"/>
            </w:tcBorders>
          </w:tcPr>
          <w:p w14:paraId="5AC6B05B" w14:textId="77777777" w:rsidR="00AC6F3C" w:rsidRDefault="00570E88">
            <w:pPr>
              <w:pStyle w:val="TableParagraph"/>
              <w:spacing w:before="148"/>
              <w:ind w:left="501"/>
              <w:rPr>
                <w:sz w:val="18"/>
              </w:rPr>
            </w:pPr>
            <w:r>
              <w:rPr>
                <w:spacing w:val="-2"/>
                <w:sz w:val="18"/>
              </w:rPr>
              <w:t>(7,027)</w:t>
            </w:r>
          </w:p>
        </w:tc>
        <w:tc>
          <w:tcPr>
            <w:tcW w:w="1139" w:type="dxa"/>
            <w:tcBorders>
              <w:bottom w:val="single" w:sz="6" w:space="0" w:color="000000"/>
            </w:tcBorders>
            <w:shd w:val="clear" w:color="auto" w:fill="F1F1F1"/>
          </w:tcPr>
          <w:p w14:paraId="13687C1C" w14:textId="77777777" w:rsidR="00AC6F3C" w:rsidRDefault="00570E88">
            <w:pPr>
              <w:pStyle w:val="TableParagraph"/>
              <w:spacing w:before="148"/>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2A6E0AFA" w14:textId="77777777" w:rsidR="00AC6F3C" w:rsidRDefault="00570E88">
            <w:pPr>
              <w:pStyle w:val="TableParagraph"/>
              <w:spacing w:before="148"/>
              <w:ind w:right="22"/>
              <w:jc w:val="right"/>
              <w:rPr>
                <w:sz w:val="18"/>
              </w:rPr>
            </w:pPr>
            <w:r>
              <w:rPr>
                <w:w w:val="99"/>
                <w:sz w:val="18"/>
              </w:rPr>
              <w:t>-</w:t>
            </w:r>
          </w:p>
        </w:tc>
      </w:tr>
      <w:tr w:rsidR="00AC6F3C" w14:paraId="4CD22A70"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7360A540" w14:textId="77777777" w:rsidR="00AC6F3C" w:rsidRDefault="00570E88">
            <w:pPr>
              <w:pStyle w:val="TableParagraph"/>
              <w:spacing w:before="40"/>
              <w:ind w:left="37"/>
              <w:rPr>
                <w:b/>
                <w:sz w:val="18"/>
              </w:rPr>
            </w:pPr>
            <w:r>
              <w:rPr>
                <w:b/>
                <w:spacing w:val="-4"/>
                <w:sz w:val="18"/>
              </w:rPr>
              <w:t>Underwriting</w:t>
            </w:r>
            <w:r>
              <w:rPr>
                <w:b/>
                <w:spacing w:val="8"/>
                <w:sz w:val="18"/>
              </w:rPr>
              <w:t xml:space="preserve"> </w:t>
            </w:r>
            <w:r>
              <w:rPr>
                <w:b/>
                <w:spacing w:val="-2"/>
                <w:sz w:val="18"/>
              </w:rPr>
              <w:t>result</w:t>
            </w:r>
          </w:p>
        </w:tc>
        <w:tc>
          <w:tcPr>
            <w:tcW w:w="1718" w:type="dxa"/>
            <w:gridSpan w:val="2"/>
            <w:tcBorders>
              <w:top w:val="single" w:sz="6" w:space="0" w:color="000000"/>
              <w:bottom w:val="single" w:sz="6" w:space="0" w:color="000000"/>
            </w:tcBorders>
            <w:shd w:val="clear" w:color="auto" w:fill="BEBEBE"/>
          </w:tcPr>
          <w:p w14:paraId="5DB08860" w14:textId="77777777" w:rsidR="00AC6F3C" w:rsidRDefault="00570E88">
            <w:pPr>
              <w:pStyle w:val="TableParagraph"/>
              <w:spacing w:before="40"/>
              <w:ind w:left="627" w:right="609"/>
              <w:jc w:val="center"/>
              <w:rPr>
                <w:b/>
                <w:sz w:val="18"/>
              </w:rPr>
            </w:pPr>
            <w:r>
              <w:rPr>
                <w:b/>
                <w:spacing w:val="-2"/>
                <w:sz w:val="18"/>
              </w:rPr>
              <w:t>4,152</w:t>
            </w:r>
          </w:p>
        </w:tc>
        <w:tc>
          <w:tcPr>
            <w:tcW w:w="530" w:type="dxa"/>
            <w:tcBorders>
              <w:top w:val="single" w:sz="6" w:space="0" w:color="000000"/>
              <w:bottom w:val="single" w:sz="6" w:space="0" w:color="000000"/>
            </w:tcBorders>
            <w:shd w:val="clear" w:color="auto" w:fill="BEBEBE"/>
          </w:tcPr>
          <w:p w14:paraId="586CBC17" w14:textId="77777777" w:rsidR="00AC6F3C" w:rsidRDefault="00570E88">
            <w:pPr>
              <w:pStyle w:val="TableParagraph"/>
              <w:spacing w:before="40"/>
              <w:ind w:left="41"/>
              <w:rPr>
                <w:b/>
                <w:sz w:val="18"/>
              </w:rPr>
            </w:pPr>
            <w:r>
              <w:rPr>
                <w:b/>
                <w:spacing w:val="-2"/>
                <w:sz w:val="18"/>
              </w:rPr>
              <w:t>7,816</w:t>
            </w:r>
          </w:p>
        </w:tc>
        <w:tc>
          <w:tcPr>
            <w:tcW w:w="1581" w:type="dxa"/>
            <w:gridSpan w:val="2"/>
            <w:tcBorders>
              <w:top w:val="single" w:sz="6" w:space="0" w:color="000000"/>
              <w:bottom w:val="single" w:sz="6" w:space="0" w:color="000000"/>
            </w:tcBorders>
            <w:shd w:val="clear" w:color="auto" w:fill="BEBEBE"/>
          </w:tcPr>
          <w:p w14:paraId="5E78A9CD" w14:textId="77777777" w:rsidR="00AC6F3C" w:rsidRDefault="00570E88">
            <w:pPr>
              <w:pStyle w:val="TableParagraph"/>
              <w:spacing w:before="40"/>
              <w:ind w:left="1039"/>
              <w:rPr>
                <w:b/>
                <w:sz w:val="18"/>
              </w:rPr>
            </w:pPr>
            <w:r>
              <w:rPr>
                <w:b/>
                <w:w w:val="99"/>
                <w:sz w:val="18"/>
              </w:rPr>
              <w:t>-</w:t>
            </w:r>
          </w:p>
        </w:tc>
        <w:tc>
          <w:tcPr>
            <w:tcW w:w="674" w:type="dxa"/>
            <w:tcBorders>
              <w:top w:val="single" w:sz="6" w:space="0" w:color="000000"/>
              <w:bottom w:val="single" w:sz="6" w:space="0" w:color="000000"/>
              <w:right w:val="single" w:sz="6" w:space="0" w:color="000000"/>
            </w:tcBorders>
            <w:shd w:val="clear" w:color="auto" w:fill="BEBEBE"/>
          </w:tcPr>
          <w:p w14:paraId="56170971" w14:textId="77777777" w:rsidR="00AC6F3C" w:rsidRDefault="00570E88">
            <w:pPr>
              <w:pStyle w:val="TableParagraph"/>
              <w:spacing w:before="40"/>
              <w:ind w:right="22"/>
              <w:jc w:val="right"/>
              <w:rPr>
                <w:b/>
                <w:sz w:val="18"/>
              </w:rPr>
            </w:pPr>
            <w:r>
              <w:rPr>
                <w:b/>
                <w:w w:val="99"/>
                <w:sz w:val="18"/>
              </w:rPr>
              <w:t>-</w:t>
            </w:r>
          </w:p>
        </w:tc>
      </w:tr>
    </w:tbl>
    <w:p w14:paraId="35B2E43A" w14:textId="77777777" w:rsidR="00AC6F3C" w:rsidRDefault="00AC6F3C">
      <w:pPr>
        <w:pStyle w:val="BodyText"/>
        <w:spacing w:before="5"/>
        <w:rPr>
          <w:sz w:val="23"/>
        </w:rPr>
      </w:pPr>
    </w:p>
    <w:p w14:paraId="2AEA613C" w14:textId="77777777" w:rsidR="00AC6F3C" w:rsidRDefault="00570E88">
      <w:pPr>
        <w:pStyle w:val="Heading6"/>
        <w:tabs>
          <w:tab w:val="left" w:pos="1810"/>
        </w:tabs>
        <w:spacing w:before="1"/>
      </w:pPr>
      <w:r>
        <w:rPr>
          <w:spacing w:val="-2"/>
        </w:rPr>
        <w:t>B1-</w:t>
      </w:r>
      <w:r>
        <w:rPr>
          <w:spacing w:val="-10"/>
        </w:rPr>
        <w:t>5</w:t>
      </w:r>
      <w:r>
        <w:tab/>
        <w:t>INVESTMENT</w:t>
      </w:r>
      <w:r>
        <w:rPr>
          <w:spacing w:val="-3"/>
        </w:rPr>
        <w:t xml:space="preserve"> </w:t>
      </w:r>
      <w:r>
        <w:rPr>
          <w:spacing w:val="-2"/>
        </w:rPr>
        <w:t>INCOME</w:t>
      </w:r>
    </w:p>
    <w:p w14:paraId="7CA0FE4E" w14:textId="77777777" w:rsidR="00AC6F3C" w:rsidRDefault="00AC6F3C">
      <w:pPr>
        <w:pStyle w:val="BodyText"/>
        <w:spacing w:before="8"/>
        <w:rPr>
          <w:b/>
        </w:rPr>
      </w:pPr>
    </w:p>
    <w:p w14:paraId="4748E96D" w14:textId="77777777" w:rsidR="00AC6F3C" w:rsidRDefault="00570E88">
      <w:pPr>
        <w:ind w:left="958"/>
        <w:rPr>
          <w:sz w:val="18"/>
        </w:rPr>
      </w:pPr>
      <w:r>
        <w:rPr>
          <w:sz w:val="18"/>
        </w:rPr>
        <w:t>Distributions</w:t>
      </w:r>
      <w:r>
        <w:rPr>
          <w:spacing w:val="-6"/>
          <w:sz w:val="18"/>
        </w:rPr>
        <w:t xml:space="preserve"> </w:t>
      </w:r>
      <w:r>
        <w:rPr>
          <w:sz w:val="18"/>
        </w:rPr>
        <w:t>from</w:t>
      </w:r>
      <w:r>
        <w:rPr>
          <w:spacing w:val="-4"/>
          <w:sz w:val="18"/>
        </w:rPr>
        <w:t xml:space="preserve"> </w:t>
      </w:r>
      <w:r>
        <w:rPr>
          <w:sz w:val="18"/>
        </w:rPr>
        <w:t>investment</w:t>
      </w:r>
      <w:r>
        <w:rPr>
          <w:spacing w:val="-3"/>
          <w:sz w:val="18"/>
        </w:rPr>
        <w:t xml:space="preserve"> </w:t>
      </w:r>
      <w:r>
        <w:rPr>
          <w:sz w:val="18"/>
        </w:rPr>
        <w:t>income</w:t>
      </w:r>
      <w:r>
        <w:rPr>
          <w:spacing w:val="-2"/>
          <w:sz w:val="18"/>
        </w:rPr>
        <w:t xml:space="preserve"> </w:t>
      </w:r>
      <w:r>
        <w:rPr>
          <w:sz w:val="18"/>
        </w:rPr>
        <w:t>are</w:t>
      </w:r>
      <w:r>
        <w:rPr>
          <w:spacing w:val="-1"/>
          <w:sz w:val="18"/>
        </w:rPr>
        <w:t xml:space="preserve"> </w:t>
      </w:r>
      <w:proofErr w:type="spellStart"/>
      <w:r>
        <w:rPr>
          <w:sz w:val="18"/>
        </w:rPr>
        <w:t>recognised</w:t>
      </w:r>
      <w:proofErr w:type="spellEnd"/>
      <w:r>
        <w:rPr>
          <w:spacing w:val="-2"/>
          <w:sz w:val="18"/>
        </w:rPr>
        <w:t xml:space="preserve"> </w:t>
      </w:r>
      <w:r>
        <w:rPr>
          <w:sz w:val="18"/>
        </w:rPr>
        <w:t>when</w:t>
      </w:r>
      <w:r>
        <w:rPr>
          <w:spacing w:val="-2"/>
          <w:sz w:val="18"/>
        </w:rPr>
        <w:t xml:space="preserve"> </w:t>
      </w:r>
      <w:r>
        <w:rPr>
          <w:sz w:val="18"/>
        </w:rPr>
        <w:t>declared</w:t>
      </w:r>
      <w:r>
        <w:rPr>
          <w:spacing w:val="-2"/>
          <w:sz w:val="18"/>
        </w:rPr>
        <w:t xml:space="preserve"> </w:t>
      </w:r>
      <w:r>
        <w:rPr>
          <w:sz w:val="18"/>
        </w:rPr>
        <w:t>by</w:t>
      </w:r>
      <w:r>
        <w:rPr>
          <w:spacing w:val="-2"/>
          <w:sz w:val="18"/>
        </w:rPr>
        <w:t xml:space="preserve"> </w:t>
      </w:r>
      <w:r>
        <w:rPr>
          <w:sz w:val="18"/>
        </w:rPr>
        <w:t>fund</w:t>
      </w:r>
      <w:r>
        <w:rPr>
          <w:spacing w:val="-4"/>
          <w:sz w:val="18"/>
        </w:rPr>
        <w:t xml:space="preserve"> </w:t>
      </w:r>
      <w:r>
        <w:rPr>
          <w:spacing w:val="-2"/>
          <w:sz w:val="18"/>
        </w:rPr>
        <w:t>managers.</w:t>
      </w:r>
    </w:p>
    <w:p w14:paraId="532FD470" w14:textId="77777777" w:rsidR="00AC6F3C" w:rsidRDefault="00570E88">
      <w:pPr>
        <w:spacing w:before="119"/>
        <w:ind w:left="958" w:right="886"/>
        <w:rPr>
          <w:sz w:val="18"/>
        </w:rPr>
      </w:pPr>
      <w:r>
        <w:rPr>
          <w:sz w:val="18"/>
        </w:rPr>
        <w:t>Interest</w:t>
      </w:r>
      <w:r>
        <w:rPr>
          <w:spacing w:val="-2"/>
          <w:sz w:val="18"/>
        </w:rPr>
        <w:t xml:space="preserve"> </w:t>
      </w:r>
      <w:r>
        <w:rPr>
          <w:sz w:val="18"/>
        </w:rPr>
        <w:t>revenue</w:t>
      </w:r>
      <w:r>
        <w:rPr>
          <w:spacing w:val="-1"/>
          <w:sz w:val="18"/>
        </w:rPr>
        <w:t xml:space="preserve"> </w:t>
      </w:r>
      <w:r>
        <w:rPr>
          <w:sz w:val="18"/>
        </w:rPr>
        <w:t>is</w:t>
      </w:r>
      <w:r>
        <w:rPr>
          <w:spacing w:val="-1"/>
          <w:sz w:val="18"/>
        </w:rPr>
        <w:t xml:space="preserve">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it</w:t>
      </w:r>
      <w:r>
        <w:rPr>
          <w:spacing w:val="-2"/>
          <w:sz w:val="18"/>
        </w:rPr>
        <w:t xml:space="preserve"> </w:t>
      </w:r>
      <w:r>
        <w:rPr>
          <w:sz w:val="18"/>
        </w:rPr>
        <w:t>accrues,</w:t>
      </w:r>
      <w:r>
        <w:rPr>
          <w:spacing w:val="-4"/>
          <w:sz w:val="18"/>
        </w:rPr>
        <w:t xml:space="preserve"> </w:t>
      </w:r>
      <w:r>
        <w:rPr>
          <w:sz w:val="18"/>
        </w:rPr>
        <w:t>taking</w:t>
      </w:r>
      <w:r>
        <w:rPr>
          <w:spacing w:val="-4"/>
          <w:sz w:val="18"/>
        </w:rPr>
        <w:t xml:space="preserve"> </w:t>
      </w:r>
      <w:r>
        <w:rPr>
          <w:sz w:val="18"/>
        </w:rPr>
        <w:t>into</w:t>
      </w:r>
      <w:r>
        <w:rPr>
          <w:spacing w:val="-1"/>
          <w:sz w:val="18"/>
        </w:rPr>
        <w:t xml:space="preserve"> </w:t>
      </w:r>
      <w:r>
        <w:rPr>
          <w:sz w:val="18"/>
        </w:rPr>
        <w:t>account</w:t>
      </w:r>
      <w:r>
        <w:rPr>
          <w:spacing w:val="-2"/>
          <w:sz w:val="18"/>
        </w:rPr>
        <w:t xml:space="preserve"> </w:t>
      </w:r>
      <w:r>
        <w:rPr>
          <w:sz w:val="18"/>
        </w:rPr>
        <w:t>the</w:t>
      </w:r>
      <w:r>
        <w:rPr>
          <w:spacing w:val="-1"/>
          <w:sz w:val="18"/>
        </w:rPr>
        <w:t xml:space="preserve"> </w:t>
      </w:r>
      <w:r>
        <w:rPr>
          <w:sz w:val="18"/>
        </w:rPr>
        <w:t>effective</w:t>
      </w:r>
      <w:r>
        <w:rPr>
          <w:spacing w:val="-4"/>
          <w:sz w:val="18"/>
        </w:rPr>
        <w:t xml:space="preserve"> </w:t>
      </w:r>
      <w:r>
        <w:rPr>
          <w:sz w:val="18"/>
        </w:rPr>
        <w:t>yield</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financial</w:t>
      </w:r>
      <w:r>
        <w:rPr>
          <w:spacing w:val="-4"/>
          <w:sz w:val="18"/>
        </w:rPr>
        <w:t xml:space="preserve"> </w:t>
      </w:r>
      <w:r>
        <w:rPr>
          <w:sz w:val="18"/>
        </w:rPr>
        <w:t xml:space="preserve">asset and is also </w:t>
      </w:r>
      <w:proofErr w:type="spellStart"/>
      <w:r>
        <w:rPr>
          <w:sz w:val="18"/>
        </w:rPr>
        <w:t>recognised</w:t>
      </w:r>
      <w:proofErr w:type="spellEnd"/>
      <w:r>
        <w:rPr>
          <w:sz w:val="18"/>
        </w:rPr>
        <w:t xml:space="preserve"> net of bank charges. Refer to C4 for further information on investments.</w:t>
      </w:r>
    </w:p>
    <w:p w14:paraId="6CF59E5B" w14:textId="77777777" w:rsidR="00AC6F3C" w:rsidRDefault="00AC6F3C">
      <w:pPr>
        <w:pStyle w:val="BodyText"/>
        <w:spacing w:before="11"/>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6D3CE423" w14:textId="77777777">
        <w:trPr>
          <w:trHeight w:val="880"/>
        </w:trPr>
        <w:tc>
          <w:tcPr>
            <w:tcW w:w="3843" w:type="dxa"/>
            <w:tcBorders>
              <w:top w:val="single" w:sz="6" w:space="0" w:color="000000"/>
              <w:left w:val="single" w:sz="6" w:space="0" w:color="000000"/>
              <w:bottom w:val="single" w:sz="6" w:space="0" w:color="000000"/>
            </w:tcBorders>
            <w:shd w:val="clear" w:color="auto" w:fill="BEBEBE"/>
          </w:tcPr>
          <w:p w14:paraId="25C908D0"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2C63E1DD" w14:textId="77777777" w:rsidR="00AC6F3C" w:rsidRDefault="00570E88">
            <w:pPr>
              <w:pStyle w:val="TableParagraph"/>
              <w:spacing w:before="25" w:line="362" w:lineRule="auto"/>
              <w:ind w:left="681" w:hanging="105"/>
              <w:rPr>
                <w:b/>
                <w:sz w:val="18"/>
              </w:rPr>
            </w:pPr>
            <w:r>
              <w:rPr>
                <w:b/>
                <w:spacing w:val="-4"/>
                <w:sz w:val="18"/>
              </w:rPr>
              <w:t>Consolidated 2023</w:t>
            </w:r>
          </w:p>
          <w:p w14:paraId="0EDCAE02" w14:textId="77777777" w:rsidR="00AC6F3C" w:rsidRDefault="00570E88">
            <w:pPr>
              <w:pStyle w:val="TableParagraph"/>
              <w:spacing w:line="194"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430C4A95" w14:textId="77777777" w:rsidR="00AC6F3C" w:rsidRDefault="00AC6F3C">
            <w:pPr>
              <w:pStyle w:val="TableParagraph"/>
              <w:spacing w:before="4"/>
              <w:rPr>
                <w:sz w:val="29"/>
              </w:rPr>
            </w:pPr>
          </w:p>
          <w:p w14:paraId="49961763" w14:textId="77777777" w:rsidR="00AC6F3C" w:rsidRDefault="00570E88">
            <w:pPr>
              <w:pStyle w:val="TableParagraph"/>
              <w:spacing w:before="1"/>
              <w:ind w:left="86"/>
              <w:rPr>
                <w:b/>
                <w:sz w:val="18"/>
              </w:rPr>
            </w:pPr>
            <w:r>
              <w:rPr>
                <w:b/>
                <w:spacing w:val="-4"/>
                <w:sz w:val="18"/>
              </w:rPr>
              <w:t>2022</w:t>
            </w:r>
          </w:p>
          <w:p w14:paraId="1E0C01F7" w14:textId="77777777" w:rsidR="00AC6F3C" w:rsidRDefault="00570E88">
            <w:pPr>
              <w:pStyle w:val="TableParagraph"/>
              <w:spacing w:before="91"/>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4DB421C5" w14:textId="77777777" w:rsidR="00AC6F3C" w:rsidRDefault="00570E88">
            <w:pPr>
              <w:pStyle w:val="TableParagraph"/>
              <w:spacing w:before="25" w:line="362" w:lineRule="auto"/>
              <w:ind w:left="680" w:firstLine="164"/>
              <w:rPr>
                <w:b/>
                <w:sz w:val="18"/>
              </w:rPr>
            </w:pPr>
            <w:r>
              <w:rPr>
                <w:b/>
                <w:spacing w:val="-2"/>
                <w:sz w:val="18"/>
              </w:rPr>
              <w:t xml:space="preserve">Parent </w:t>
            </w:r>
            <w:r>
              <w:rPr>
                <w:b/>
                <w:spacing w:val="-4"/>
                <w:sz w:val="18"/>
              </w:rPr>
              <w:t>2023</w:t>
            </w:r>
          </w:p>
          <w:p w14:paraId="12804F85" w14:textId="77777777" w:rsidR="00AC6F3C" w:rsidRDefault="00570E88">
            <w:pPr>
              <w:pStyle w:val="TableParagraph"/>
              <w:spacing w:line="194"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5F7769B2" w14:textId="77777777" w:rsidR="00AC6F3C" w:rsidRDefault="00AC6F3C">
            <w:pPr>
              <w:pStyle w:val="TableParagraph"/>
              <w:spacing w:before="4"/>
              <w:rPr>
                <w:sz w:val="29"/>
              </w:rPr>
            </w:pPr>
          </w:p>
          <w:p w14:paraId="031EBD57" w14:textId="77777777" w:rsidR="00AC6F3C" w:rsidRDefault="00570E88">
            <w:pPr>
              <w:pStyle w:val="TableParagraph"/>
              <w:spacing w:before="1"/>
              <w:ind w:left="222"/>
              <w:rPr>
                <w:b/>
                <w:sz w:val="18"/>
              </w:rPr>
            </w:pPr>
            <w:r>
              <w:rPr>
                <w:b/>
                <w:spacing w:val="-4"/>
                <w:sz w:val="18"/>
              </w:rPr>
              <w:t>2022</w:t>
            </w:r>
          </w:p>
          <w:p w14:paraId="4D5266C1" w14:textId="77777777" w:rsidR="00AC6F3C" w:rsidRDefault="00570E88">
            <w:pPr>
              <w:pStyle w:val="TableParagraph"/>
              <w:spacing w:before="91"/>
              <w:ind w:left="177"/>
              <w:rPr>
                <w:b/>
                <w:sz w:val="18"/>
              </w:rPr>
            </w:pPr>
            <w:r>
              <w:rPr>
                <w:b/>
                <w:spacing w:val="-2"/>
                <w:sz w:val="18"/>
              </w:rPr>
              <w:t>$’000</w:t>
            </w:r>
          </w:p>
        </w:tc>
      </w:tr>
      <w:tr w:rsidR="00AC6F3C" w14:paraId="03833016" w14:textId="77777777">
        <w:trPr>
          <w:trHeight w:val="295"/>
        </w:trPr>
        <w:tc>
          <w:tcPr>
            <w:tcW w:w="3843" w:type="dxa"/>
            <w:tcBorders>
              <w:top w:val="single" w:sz="6" w:space="0" w:color="000000"/>
              <w:left w:val="single" w:sz="6" w:space="0" w:color="000000"/>
            </w:tcBorders>
          </w:tcPr>
          <w:p w14:paraId="54090461" w14:textId="77777777" w:rsidR="00AC6F3C" w:rsidRDefault="00570E88">
            <w:pPr>
              <w:pStyle w:val="TableParagraph"/>
              <w:spacing w:before="40"/>
              <w:ind w:left="37"/>
              <w:rPr>
                <w:sz w:val="18"/>
              </w:rPr>
            </w:pPr>
            <w:r>
              <w:rPr>
                <w:sz w:val="18"/>
              </w:rPr>
              <w:t>Distributions</w:t>
            </w:r>
            <w:r>
              <w:rPr>
                <w:spacing w:val="21"/>
                <w:sz w:val="18"/>
              </w:rPr>
              <w:t xml:space="preserve"> </w:t>
            </w:r>
            <w:r>
              <w:rPr>
                <w:sz w:val="18"/>
              </w:rPr>
              <w:t>from</w:t>
            </w:r>
            <w:r>
              <w:rPr>
                <w:spacing w:val="22"/>
                <w:sz w:val="18"/>
              </w:rPr>
              <w:t xml:space="preserve"> </w:t>
            </w:r>
            <w:r>
              <w:rPr>
                <w:spacing w:val="-2"/>
                <w:sz w:val="18"/>
              </w:rPr>
              <w:t>investments</w:t>
            </w:r>
          </w:p>
        </w:tc>
        <w:tc>
          <w:tcPr>
            <w:tcW w:w="1139" w:type="dxa"/>
            <w:tcBorders>
              <w:top w:val="single" w:sz="6" w:space="0" w:color="000000"/>
            </w:tcBorders>
            <w:shd w:val="clear" w:color="auto" w:fill="F1F1F1"/>
          </w:tcPr>
          <w:p w14:paraId="78F9EC34" w14:textId="77777777" w:rsidR="00AC6F3C" w:rsidRDefault="00570E88">
            <w:pPr>
              <w:pStyle w:val="TableParagraph"/>
              <w:spacing w:before="40"/>
              <w:ind w:right="36"/>
              <w:jc w:val="right"/>
              <w:rPr>
                <w:sz w:val="18"/>
              </w:rPr>
            </w:pPr>
            <w:r>
              <w:rPr>
                <w:spacing w:val="-2"/>
                <w:sz w:val="18"/>
              </w:rPr>
              <w:t>4,224</w:t>
            </w:r>
          </w:p>
        </w:tc>
        <w:tc>
          <w:tcPr>
            <w:tcW w:w="1109" w:type="dxa"/>
            <w:gridSpan w:val="2"/>
            <w:tcBorders>
              <w:top w:val="single" w:sz="6" w:space="0" w:color="000000"/>
            </w:tcBorders>
          </w:tcPr>
          <w:p w14:paraId="26E78778" w14:textId="77777777" w:rsidR="00AC6F3C" w:rsidRDefault="00570E88">
            <w:pPr>
              <w:pStyle w:val="TableParagraph"/>
              <w:spacing w:before="40"/>
              <w:ind w:left="620"/>
              <w:rPr>
                <w:sz w:val="18"/>
              </w:rPr>
            </w:pPr>
            <w:r>
              <w:rPr>
                <w:spacing w:val="-2"/>
                <w:sz w:val="18"/>
              </w:rPr>
              <w:t>8,671</w:t>
            </w:r>
          </w:p>
        </w:tc>
        <w:tc>
          <w:tcPr>
            <w:tcW w:w="1139" w:type="dxa"/>
            <w:tcBorders>
              <w:top w:val="single" w:sz="6" w:space="0" w:color="000000"/>
            </w:tcBorders>
            <w:shd w:val="clear" w:color="auto" w:fill="F1F1F1"/>
          </w:tcPr>
          <w:p w14:paraId="1B44D4BF"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3AA2682C" w14:textId="77777777" w:rsidR="00AC6F3C" w:rsidRDefault="00570E88">
            <w:pPr>
              <w:pStyle w:val="TableParagraph"/>
              <w:spacing w:before="40"/>
              <w:ind w:right="22"/>
              <w:jc w:val="right"/>
              <w:rPr>
                <w:sz w:val="18"/>
              </w:rPr>
            </w:pPr>
            <w:r>
              <w:rPr>
                <w:w w:val="99"/>
                <w:sz w:val="18"/>
              </w:rPr>
              <w:t>-</w:t>
            </w:r>
          </w:p>
        </w:tc>
      </w:tr>
      <w:tr w:rsidR="00AC6F3C" w14:paraId="50B489C5" w14:textId="77777777">
        <w:trPr>
          <w:trHeight w:val="285"/>
        </w:trPr>
        <w:tc>
          <w:tcPr>
            <w:tcW w:w="3843" w:type="dxa"/>
            <w:tcBorders>
              <w:left w:val="single" w:sz="6" w:space="0" w:color="000000"/>
              <w:bottom w:val="single" w:sz="6" w:space="0" w:color="000000"/>
            </w:tcBorders>
          </w:tcPr>
          <w:p w14:paraId="5AD87623" w14:textId="77777777" w:rsidR="00AC6F3C" w:rsidRDefault="00570E88">
            <w:pPr>
              <w:pStyle w:val="TableParagraph"/>
              <w:spacing w:before="42"/>
              <w:ind w:left="37"/>
              <w:rPr>
                <w:sz w:val="18"/>
              </w:rPr>
            </w:pPr>
            <w:r>
              <w:rPr>
                <w:sz w:val="18"/>
              </w:rPr>
              <w:t>Interest</w:t>
            </w:r>
            <w:r>
              <w:rPr>
                <w:spacing w:val="-3"/>
                <w:sz w:val="18"/>
              </w:rPr>
              <w:t xml:space="preserve"> </w:t>
            </w:r>
            <w:r>
              <w:rPr>
                <w:spacing w:val="-2"/>
                <w:sz w:val="18"/>
              </w:rPr>
              <w:t>income</w:t>
            </w:r>
          </w:p>
        </w:tc>
        <w:tc>
          <w:tcPr>
            <w:tcW w:w="1139" w:type="dxa"/>
            <w:tcBorders>
              <w:bottom w:val="single" w:sz="6" w:space="0" w:color="000000"/>
            </w:tcBorders>
            <w:shd w:val="clear" w:color="auto" w:fill="F1F1F1"/>
          </w:tcPr>
          <w:p w14:paraId="3D38F4C2" w14:textId="77777777" w:rsidR="00AC6F3C" w:rsidRDefault="00570E88">
            <w:pPr>
              <w:pStyle w:val="TableParagraph"/>
              <w:spacing w:before="42"/>
              <w:ind w:right="36"/>
              <w:jc w:val="right"/>
              <w:rPr>
                <w:sz w:val="18"/>
              </w:rPr>
            </w:pPr>
            <w:r>
              <w:rPr>
                <w:spacing w:val="-2"/>
                <w:sz w:val="18"/>
              </w:rPr>
              <w:t>1,196</w:t>
            </w:r>
          </w:p>
        </w:tc>
        <w:tc>
          <w:tcPr>
            <w:tcW w:w="1109" w:type="dxa"/>
            <w:gridSpan w:val="2"/>
            <w:tcBorders>
              <w:bottom w:val="single" w:sz="6" w:space="0" w:color="000000"/>
            </w:tcBorders>
          </w:tcPr>
          <w:p w14:paraId="4D127A5C" w14:textId="77777777" w:rsidR="00AC6F3C" w:rsidRDefault="00570E88">
            <w:pPr>
              <w:pStyle w:val="TableParagraph"/>
              <w:spacing w:before="42"/>
              <w:ind w:right="21"/>
              <w:jc w:val="right"/>
              <w:rPr>
                <w:sz w:val="18"/>
              </w:rPr>
            </w:pPr>
            <w:r>
              <w:rPr>
                <w:spacing w:val="-5"/>
                <w:sz w:val="18"/>
              </w:rPr>
              <w:t>221</w:t>
            </w:r>
          </w:p>
        </w:tc>
        <w:tc>
          <w:tcPr>
            <w:tcW w:w="1139" w:type="dxa"/>
            <w:tcBorders>
              <w:bottom w:val="single" w:sz="6" w:space="0" w:color="000000"/>
            </w:tcBorders>
            <w:shd w:val="clear" w:color="auto" w:fill="F1F1F1"/>
          </w:tcPr>
          <w:p w14:paraId="58ED0AFD" w14:textId="77777777" w:rsidR="00AC6F3C" w:rsidRDefault="00570E88">
            <w:pPr>
              <w:pStyle w:val="TableParagraph"/>
              <w:spacing w:before="42"/>
              <w:ind w:right="37"/>
              <w:jc w:val="right"/>
              <w:rPr>
                <w:sz w:val="18"/>
              </w:rPr>
            </w:pPr>
            <w:r>
              <w:rPr>
                <w:spacing w:val="-5"/>
                <w:sz w:val="18"/>
              </w:rPr>
              <w:t>980</w:t>
            </w:r>
          </w:p>
        </w:tc>
        <w:tc>
          <w:tcPr>
            <w:tcW w:w="1116" w:type="dxa"/>
            <w:gridSpan w:val="2"/>
            <w:tcBorders>
              <w:bottom w:val="single" w:sz="6" w:space="0" w:color="000000"/>
              <w:right w:val="single" w:sz="6" w:space="0" w:color="000000"/>
            </w:tcBorders>
          </w:tcPr>
          <w:p w14:paraId="18CB7783" w14:textId="77777777" w:rsidR="00AC6F3C" w:rsidRDefault="00570E88">
            <w:pPr>
              <w:pStyle w:val="TableParagraph"/>
              <w:spacing w:before="42"/>
              <w:ind w:right="22"/>
              <w:jc w:val="right"/>
              <w:rPr>
                <w:sz w:val="18"/>
              </w:rPr>
            </w:pPr>
            <w:r>
              <w:rPr>
                <w:spacing w:val="-5"/>
                <w:sz w:val="18"/>
              </w:rPr>
              <w:t>204</w:t>
            </w:r>
          </w:p>
        </w:tc>
      </w:tr>
      <w:tr w:rsidR="00AC6F3C" w14:paraId="448BBCCD"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391638B6" w14:textId="77777777" w:rsidR="00AC6F3C" w:rsidRDefault="00570E88">
            <w:pPr>
              <w:pStyle w:val="TableParagraph"/>
              <w:spacing w:before="40"/>
              <w:ind w:left="37"/>
              <w:rPr>
                <w:b/>
                <w:sz w:val="18"/>
              </w:rPr>
            </w:pPr>
            <w:r>
              <w:rPr>
                <w:b/>
                <w:spacing w:val="-4"/>
                <w:sz w:val="18"/>
              </w:rPr>
              <w:t>Total</w:t>
            </w:r>
            <w:r>
              <w:rPr>
                <w:b/>
                <w:sz w:val="18"/>
              </w:rPr>
              <w:t xml:space="preserve"> </w:t>
            </w:r>
            <w:r>
              <w:rPr>
                <w:b/>
                <w:spacing w:val="-4"/>
                <w:sz w:val="18"/>
              </w:rPr>
              <w:t>investment</w:t>
            </w:r>
            <w:r>
              <w:rPr>
                <w:b/>
                <w:spacing w:val="8"/>
                <w:sz w:val="18"/>
              </w:rPr>
              <w:t xml:space="preserve"> </w:t>
            </w:r>
            <w:r>
              <w:rPr>
                <w:b/>
                <w:spacing w:val="-4"/>
                <w:sz w:val="18"/>
              </w:rPr>
              <w:t>income</w:t>
            </w:r>
          </w:p>
        </w:tc>
        <w:tc>
          <w:tcPr>
            <w:tcW w:w="1718" w:type="dxa"/>
            <w:gridSpan w:val="2"/>
            <w:tcBorders>
              <w:top w:val="single" w:sz="6" w:space="0" w:color="000000"/>
              <w:bottom w:val="single" w:sz="6" w:space="0" w:color="000000"/>
            </w:tcBorders>
            <w:shd w:val="clear" w:color="auto" w:fill="BEBEBE"/>
          </w:tcPr>
          <w:p w14:paraId="248A7868" w14:textId="77777777" w:rsidR="00AC6F3C" w:rsidRDefault="00570E88">
            <w:pPr>
              <w:pStyle w:val="TableParagraph"/>
              <w:spacing w:before="40"/>
              <w:ind w:left="627" w:right="609"/>
              <w:jc w:val="center"/>
              <w:rPr>
                <w:b/>
                <w:sz w:val="18"/>
              </w:rPr>
            </w:pPr>
            <w:r>
              <w:rPr>
                <w:b/>
                <w:spacing w:val="-2"/>
                <w:sz w:val="18"/>
              </w:rPr>
              <w:t>5,421</w:t>
            </w:r>
          </w:p>
        </w:tc>
        <w:tc>
          <w:tcPr>
            <w:tcW w:w="530" w:type="dxa"/>
            <w:tcBorders>
              <w:top w:val="single" w:sz="6" w:space="0" w:color="000000"/>
              <w:bottom w:val="single" w:sz="6" w:space="0" w:color="000000"/>
            </w:tcBorders>
            <w:shd w:val="clear" w:color="auto" w:fill="BEBEBE"/>
          </w:tcPr>
          <w:p w14:paraId="6F3A02E6" w14:textId="77777777" w:rsidR="00AC6F3C" w:rsidRDefault="00570E88">
            <w:pPr>
              <w:pStyle w:val="TableParagraph"/>
              <w:spacing w:before="40"/>
              <w:ind w:left="41"/>
              <w:rPr>
                <w:b/>
                <w:sz w:val="18"/>
              </w:rPr>
            </w:pPr>
            <w:r>
              <w:rPr>
                <w:b/>
                <w:spacing w:val="-2"/>
                <w:sz w:val="18"/>
              </w:rPr>
              <w:t>8,892</w:t>
            </w:r>
          </w:p>
        </w:tc>
        <w:tc>
          <w:tcPr>
            <w:tcW w:w="1581" w:type="dxa"/>
            <w:gridSpan w:val="2"/>
            <w:tcBorders>
              <w:top w:val="single" w:sz="6" w:space="0" w:color="000000"/>
              <w:bottom w:val="single" w:sz="6" w:space="0" w:color="000000"/>
            </w:tcBorders>
            <w:shd w:val="clear" w:color="auto" w:fill="BEBEBE"/>
          </w:tcPr>
          <w:p w14:paraId="1F8E1895" w14:textId="77777777" w:rsidR="00AC6F3C" w:rsidRDefault="00570E88">
            <w:pPr>
              <w:pStyle w:val="TableParagraph"/>
              <w:spacing w:before="40"/>
              <w:ind w:left="785"/>
              <w:rPr>
                <w:b/>
                <w:sz w:val="18"/>
              </w:rPr>
            </w:pPr>
            <w:r>
              <w:rPr>
                <w:b/>
                <w:spacing w:val="-5"/>
                <w:sz w:val="18"/>
              </w:rPr>
              <w:t>980</w:t>
            </w:r>
          </w:p>
        </w:tc>
        <w:tc>
          <w:tcPr>
            <w:tcW w:w="674" w:type="dxa"/>
            <w:tcBorders>
              <w:top w:val="single" w:sz="6" w:space="0" w:color="000000"/>
              <w:bottom w:val="single" w:sz="6" w:space="0" w:color="000000"/>
              <w:right w:val="single" w:sz="6" w:space="0" w:color="000000"/>
            </w:tcBorders>
            <w:shd w:val="clear" w:color="auto" w:fill="BEBEBE"/>
          </w:tcPr>
          <w:p w14:paraId="2951DCAE" w14:textId="77777777" w:rsidR="00AC6F3C" w:rsidRDefault="00570E88">
            <w:pPr>
              <w:pStyle w:val="TableParagraph"/>
              <w:spacing w:before="40"/>
              <w:ind w:left="327"/>
              <w:rPr>
                <w:b/>
                <w:sz w:val="18"/>
              </w:rPr>
            </w:pPr>
            <w:r>
              <w:rPr>
                <w:b/>
                <w:spacing w:val="-5"/>
                <w:sz w:val="18"/>
              </w:rPr>
              <w:t>204</w:t>
            </w:r>
          </w:p>
        </w:tc>
      </w:tr>
    </w:tbl>
    <w:p w14:paraId="3FD6EA27" w14:textId="77777777" w:rsidR="00AC6F3C" w:rsidRDefault="00AC6F3C">
      <w:pPr>
        <w:rPr>
          <w:sz w:val="18"/>
        </w:rPr>
        <w:sectPr w:rsidR="00AC6F3C">
          <w:pgSz w:w="11910" w:h="16840"/>
          <w:pgMar w:top="2020" w:right="1160" w:bottom="520" w:left="460" w:header="1228" w:footer="336" w:gutter="0"/>
          <w:cols w:space="720"/>
        </w:sectPr>
      </w:pPr>
    </w:p>
    <w:p w14:paraId="32E1A04D" w14:textId="77777777" w:rsidR="00AC6F3C" w:rsidRDefault="00AC6F3C">
      <w:pPr>
        <w:pStyle w:val="BodyText"/>
      </w:pPr>
    </w:p>
    <w:p w14:paraId="14CF846A" w14:textId="77777777" w:rsidR="00AC6F3C" w:rsidRDefault="00570E88">
      <w:pPr>
        <w:tabs>
          <w:tab w:val="left" w:pos="1666"/>
        </w:tabs>
        <w:spacing w:before="249"/>
        <w:ind w:left="958"/>
        <w:rPr>
          <w:b/>
          <w:sz w:val="28"/>
        </w:rPr>
      </w:pPr>
      <w:r>
        <w:rPr>
          <w:b/>
          <w:spacing w:val="-5"/>
          <w:sz w:val="28"/>
        </w:rPr>
        <w:t>B2</w:t>
      </w:r>
      <w:r>
        <w:rPr>
          <w:b/>
          <w:sz w:val="28"/>
        </w:rPr>
        <w:tab/>
      </w:r>
      <w:r>
        <w:rPr>
          <w:b/>
          <w:spacing w:val="-2"/>
          <w:sz w:val="28"/>
        </w:rPr>
        <w:t>EXPENSES</w:t>
      </w:r>
    </w:p>
    <w:p w14:paraId="78179332" w14:textId="77777777" w:rsidR="00AC6F3C" w:rsidRDefault="00570E88">
      <w:pPr>
        <w:pStyle w:val="Heading6"/>
        <w:tabs>
          <w:tab w:val="left" w:pos="1810"/>
        </w:tabs>
      </w:pPr>
      <w:r>
        <w:rPr>
          <w:spacing w:val="-2"/>
        </w:rPr>
        <w:t>B2-</w:t>
      </w:r>
      <w:r>
        <w:rPr>
          <w:spacing w:val="-10"/>
        </w:rPr>
        <w:t>1</w:t>
      </w:r>
      <w:r>
        <w:tab/>
        <w:t>MEMBERSHIP</w:t>
      </w:r>
      <w:r>
        <w:rPr>
          <w:spacing w:val="-5"/>
        </w:rPr>
        <w:t xml:space="preserve"> </w:t>
      </w:r>
      <w:r>
        <w:t>SERVICES</w:t>
      </w:r>
      <w:r>
        <w:rPr>
          <w:spacing w:val="-2"/>
        </w:rPr>
        <w:t xml:space="preserve"> </w:t>
      </w:r>
      <w:r>
        <w:t>AND</w:t>
      </w:r>
      <w:r>
        <w:rPr>
          <w:spacing w:val="-3"/>
        </w:rPr>
        <w:t xml:space="preserve"> </w:t>
      </w:r>
      <w:r>
        <w:t>EVENTS</w:t>
      </w:r>
      <w:r>
        <w:rPr>
          <w:spacing w:val="-3"/>
        </w:rPr>
        <w:t xml:space="preserve"> </w:t>
      </w:r>
      <w:r>
        <w:rPr>
          <w:spacing w:val="-2"/>
        </w:rPr>
        <w:t>EXPENDITURE</w:t>
      </w:r>
    </w:p>
    <w:p w14:paraId="3B76EA50"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6AB98BB7" w14:textId="77777777">
        <w:trPr>
          <w:trHeight w:val="881"/>
        </w:trPr>
        <w:tc>
          <w:tcPr>
            <w:tcW w:w="3843" w:type="dxa"/>
            <w:tcBorders>
              <w:top w:val="single" w:sz="6" w:space="0" w:color="000000"/>
              <w:left w:val="single" w:sz="6" w:space="0" w:color="000000"/>
              <w:bottom w:val="single" w:sz="6" w:space="0" w:color="000000"/>
            </w:tcBorders>
            <w:shd w:val="clear" w:color="auto" w:fill="BEBEBE"/>
          </w:tcPr>
          <w:p w14:paraId="5C07D05C"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32D13656" w14:textId="77777777" w:rsidR="00AC6F3C" w:rsidRDefault="00570E88">
            <w:pPr>
              <w:pStyle w:val="TableParagraph"/>
              <w:spacing w:before="25" w:line="364" w:lineRule="auto"/>
              <w:ind w:left="681" w:hanging="105"/>
              <w:rPr>
                <w:b/>
                <w:sz w:val="18"/>
              </w:rPr>
            </w:pPr>
            <w:r>
              <w:rPr>
                <w:b/>
                <w:spacing w:val="-4"/>
                <w:sz w:val="18"/>
              </w:rPr>
              <w:t>Consolidated 2023</w:t>
            </w:r>
          </w:p>
          <w:p w14:paraId="1F1E3DB6" w14:textId="77777777" w:rsidR="00AC6F3C" w:rsidRDefault="00570E88">
            <w:pPr>
              <w:pStyle w:val="TableParagraph"/>
              <w:spacing w:line="190"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663238FF" w14:textId="77777777" w:rsidR="00AC6F3C" w:rsidRDefault="00AC6F3C">
            <w:pPr>
              <w:pStyle w:val="TableParagraph"/>
              <w:spacing w:before="5"/>
              <w:rPr>
                <w:b/>
                <w:sz w:val="29"/>
              </w:rPr>
            </w:pPr>
          </w:p>
          <w:p w14:paraId="2FC16C39" w14:textId="77777777" w:rsidR="00AC6F3C" w:rsidRDefault="00570E88">
            <w:pPr>
              <w:pStyle w:val="TableParagraph"/>
              <w:ind w:left="86"/>
              <w:rPr>
                <w:b/>
                <w:sz w:val="18"/>
              </w:rPr>
            </w:pPr>
            <w:r>
              <w:rPr>
                <w:b/>
                <w:spacing w:val="-4"/>
                <w:sz w:val="18"/>
              </w:rPr>
              <w:t>2022</w:t>
            </w:r>
          </w:p>
          <w:p w14:paraId="2A619B87" w14:textId="77777777" w:rsidR="00AC6F3C" w:rsidRDefault="00570E88">
            <w:pPr>
              <w:pStyle w:val="TableParagraph"/>
              <w:spacing w:before="92"/>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7D985531" w14:textId="77777777" w:rsidR="00AC6F3C" w:rsidRDefault="00570E88">
            <w:pPr>
              <w:pStyle w:val="TableParagraph"/>
              <w:spacing w:before="25" w:line="364" w:lineRule="auto"/>
              <w:ind w:left="680" w:firstLine="164"/>
              <w:rPr>
                <w:b/>
                <w:sz w:val="18"/>
              </w:rPr>
            </w:pPr>
            <w:r>
              <w:rPr>
                <w:b/>
                <w:spacing w:val="-2"/>
                <w:sz w:val="18"/>
              </w:rPr>
              <w:t xml:space="preserve">Parent </w:t>
            </w:r>
            <w:r>
              <w:rPr>
                <w:b/>
                <w:spacing w:val="-4"/>
                <w:sz w:val="18"/>
              </w:rPr>
              <w:t>2023</w:t>
            </w:r>
          </w:p>
          <w:p w14:paraId="5809401F" w14:textId="77777777" w:rsidR="00AC6F3C" w:rsidRDefault="00570E88">
            <w:pPr>
              <w:pStyle w:val="TableParagraph"/>
              <w:spacing w:line="190"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75EDC0E5" w14:textId="77777777" w:rsidR="00AC6F3C" w:rsidRDefault="00AC6F3C">
            <w:pPr>
              <w:pStyle w:val="TableParagraph"/>
              <w:spacing w:before="5"/>
              <w:rPr>
                <w:b/>
                <w:sz w:val="29"/>
              </w:rPr>
            </w:pPr>
          </w:p>
          <w:p w14:paraId="3D0E1704" w14:textId="77777777" w:rsidR="00AC6F3C" w:rsidRDefault="00570E88">
            <w:pPr>
              <w:pStyle w:val="TableParagraph"/>
              <w:ind w:left="222"/>
              <w:rPr>
                <w:b/>
                <w:sz w:val="18"/>
              </w:rPr>
            </w:pPr>
            <w:r>
              <w:rPr>
                <w:b/>
                <w:spacing w:val="-4"/>
                <w:sz w:val="18"/>
              </w:rPr>
              <w:t>2022</w:t>
            </w:r>
          </w:p>
          <w:p w14:paraId="6095B7D0" w14:textId="77777777" w:rsidR="00AC6F3C" w:rsidRDefault="00570E88">
            <w:pPr>
              <w:pStyle w:val="TableParagraph"/>
              <w:spacing w:before="92"/>
              <w:ind w:left="177"/>
              <w:rPr>
                <w:b/>
                <w:sz w:val="18"/>
              </w:rPr>
            </w:pPr>
            <w:r>
              <w:rPr>
                <w:b/>
                <w:spacing w:val="-2"/>
                <w:sz w:val="18"/>
              </w:rPr>
              <w:t>$’000</w:t>
            </w:r>
          </w:p>
        </w:tc>
      </w:tr>
      <w:tr w:rsidR="00AC6F3C" w14:paraId="44193856" w14:textId="77777777">
        <w:trPr>
          <w:trHeight w:val="490"/>
        </w:trPr>
        <w:tc>
          <w:tcPr>
            <w:tcW w:w="3843" w:type="dxa"/>
            <w:tcBorders>
              <w:top w:val="single" w:sz="6" w:space="0" w:color="000000"/>
              <w:left w:val="single" w:sz="6" w:space="0" w:color="000000"/>
            </w:tcBorders>
          </w:tcPr>
          <w:p w14:paraId="6B31CD8F" w14:textId="77777777" w:rsidR="00AC6F3C" w:rsidRDefault="00570E88">
            <w:pPr>
              <w:pStyle w:val="TableParagraph"/>
              <w:spacing w:before="10"/>
              <w:ind w:left="37"/>
              <w:rPr>
                <w:b/>
                <w:sz w:val="18"/>
              </w:rPr>
            </w:pPr>
            <w:r>
              <w:rPr>
                <w:b/>
                <w:sz w:val="18"/>
              </w:rPr>
              <w:t>Direct</w:t>
            </w:r>
            <w:r>
              <w:rPr>
                <w:b/>
                <w:spacing w:val="-13"/>
                <w:sz w:val="18"/>
              </w:rPr>
              <w:t xml:space="preserve"> </w:t>
            </w:r>
            <w:r>
              <w:rPr>
                <w:b/>
                <w:sz w:val="18"/>
              </w:rPr>
              <w:t>membership</w:t>
            </w:r>
            <w:r>
              <w:rPr>
                <w:b/>
                <w:spacing w:val="-12"/>
                <w:sz w:val="18"/>
              </w:rPr>
              <w:t xml:space="preserve"> </w:t>
            </w:r>
            <w:r>
              <w:rPr>
                <w:b/>
                <w:sz w:val="18"/>
              </w:rPr>
              <w:t>services</w:t>
            </w:r>
            <w:r>
              <w:rPr>
                <w:b/>
                <w:spacing w:val="-7"/>
                <w:sz w:val="18"/>
              </w:rPr>
              <w:t xml:space="preserve"> </w:t>
            </w:r>
            <w:r>
              <w:rPr>
                <w:b/>
                <w:sz w:val="18"/>
              </w:rPr>
              <w:t>and</w:t>
            </w:r>
            <w:r>
              <w:rPr>
                <w:b/>
                <w:spacing w:val="-13"/>
                <w:sz w:val="18"/>
              </w:rPr>
              <w:t xml:space="preserve"> </w:t>
            </w:r>
            <w:r>
              <w:rPr>
                <w:b/>
                <w:spacing w:val="-2"/>
                <w:sz w:val="18"/>
              </w:rPr>
              <w:t>events</w:t>
            </w:r>
          </w:p>
          <w:p w14:paraId="70A7DE3B" w14:textId="77777777" w:rsidR="00AC6F3C" w:rsidRDefault="00570E88">
            <w:pPr>
              <w:pStyle w:val="TableParagraph"/>
              <w:spacing w:before="32"/>
              <w:ind w:left="37"/>
              <w:rPr>
                <w:b/>
                <w:sz w:val="18"/>
              </w:rPr>
            </w:pPr>
            <w:r>
              <w:rPr>
                <w:b/>
                <w:spacing w:val="-2"/>
                <w:sz w:val="18"/>
              </w:rPr>
              <w:t>expenditure</w:t>
            </w:r>
          </w:p>
        </w:tc>
        <w:tc>
          <w:tcPr>
            <w:tcW w:w="1139" w:type="dxa"/>
            <w:tcBorders>
              <w:top w:val="single" w:sz="6" w:space="0" w:color="000000"/>
            </w:tcBorders>
            <w:shd w:val="clear" w:color="auto" w:fill="F1F1F1"/>
          </w:tcPr>
          <w:p w14:paraId="7305843A" w14:textId="77777777" w:rsidR="00AC6F3C" w:rsidRDefault="00AC6F3C">
            <w:pPr>
              <w:pStyle w:val="TableParagraph"/>
              <w:rPr>
                <w:rFonts w:ascii="Times New Roman"/>
                <w:sz w:val="18"/>
              </w:rPr>
            </w:pPr>
          </w:p>
        </w:tc>
        <w:tc>
          <w:tcPr>
            <w:tcW w:w="1109" w:type="dxa"/>
            <w:gridSpan w:val="2"/>
            <w:tcBorders>
              <w:top w:val="single" w:sz="6" w:space="0" w:color="000000"/>
            </w:tcBorders>
          </w:tcPr>
          <w:p w14:paraId="35AE9C95"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06B9CF2F" w14:textId="77777777" w:rsidR="00AC6F3C" w:rsidRDefault="00AC6F3C">
            <w:pPr>
              <w:pStyle w:val="TableParagraph"/>
              <w:rPr>
                <w:rFonts w:ascii="Times New Roman"/>
                <w:sz w:val="18"/>
              </w:rPr>
            </w:pPr>
          </w:p>
        </w:tc>
        <w:tc>
          <w:tcPr>
            <w:tcW w:w="1116" w:type="dxa"/>
            <w:gridSpan w:val="2"/>
            <w:tcBorders>
              <w:top w:val="single" w:sz="6" w:space="0" w:color="000000"/>
              <w:right w:val="single" w:sz="6" w:space="0" w:color="000000"/>
            </w:tcBorders>
          </w:tcPr>
          <w:p w14:paraId="214DE364" w14:textId="77777777" w:rsidR="00AC6F3C" w:rsidRDefault="00AC6F3C">
            <w:pPr>
              <w:pStyle w:val="TableParagraph"/>
              <w:rPr>
                <w:rFonts w:ascii="Times New Roman"/>
                <w:sz w:val="18"/>
              </w:rPr>
            </w:pPr>
          </w:p>
        </w:tc>
      </w:tr>
      <w:tr w:rsidR="00AC6F3C" w14:paraId="13CFB674" w14:textId="77777777">
        <w:trPr>
          <w:trHeight w:val="283"/>
        </w:trPr>
        <w:tc>
          <w:tcPr>
            <w:tcW w:w="3843" w:type="dxa"/>
            <w:tcBorders>
              <w:left w:val="single" w:sz="6" w:space="0" w:color="000000"/>
            </w:tcBorders>
          </w:tcPr>
          <w:p w14:paraId="16932040" w14:textId="77777777" w:rsidR="00AC6F3C" w:rsidRDefault="00570E88">
            <w:pPr>
              <w:pStyle w:val="TableParagraph"/>
              <w:spacing w:before="28"/>
              <w:ind w:left="37"/>
              <w:rPr>
                <w:sz w:val="18"/>
              </w:rPr>
            </w:pPr>
            <w:r>
              <w:rPr>
                <w:sz w:val="18"/>
              </w:rPr>
              <w:t>Courses,</w:t>
            </w:r>
            <w:r>
              <w:rPr>
                <w:spacing w:val="3"/>
                <w:sz w:val="18"/>
              </w:rPr>
              <w:t xml:space="preserve"> </w:t>
            </w:r>
            <w:r>
              <w:rPr>
                <w:sz w:val="18"/>
              </w:rPr>
              <w:t>conferences</w:t>
            </w:r>
            <w:r>
              <w:rPr>
                <w:spacing w:val="30"/>
                <w:sz w:val="18"/>
              </w:rPr>
              <w:t xml:space="preserve"> </w:t>
            </w:r>
            <w:r>
              <w:rPr>
                <w:sz w:val="18"/>
              </w:rPr>
              <w:t>and</w:t>
            </w:r>
            <w:r>
              <w:rPr>
                <w:spacing w:val="16"/>
                <w:sz w:val="18"/>
              </w:rPr>
              <w:t xml:space="preserve"> </w:t>
            </w:r>
            <w:r>
              <w:rPr>
                <w:spacing w:val="-2"/>
                <w:sz w:val="18"/>
              </w:rPr>
              <w:t>events</w:t>
            </w:r>
          </w:p>
        </w:tc>
        <w:tc>
          <w:tcPr>
            <w:tcW w:w="1139" w:type="dxa"/>
            <w:shd w:val="clear" w:color="auto" w:fill="F1F1F1"/>
          </w:tcPr>
          <w:p w14:paraId="2548E508" w14:textId="77777777" w:rsidR="00AC6F3C" w:rsidRDefault="00570E88">
            <w:pPr>
              <w:pStyle w:val="TableParagraph"/>
              <w:spacing w:before="28"/>
              <w:ind w:right="36"/>
              <w:jc w:val="right"/>
              <w:rPr>
                <w:sz w:val="18"/>
              </w:rPr>
            </w:pPr>
            <w:r>
              <w:rPr>
                <w:spacing w:val="-5"/>
                <w:sz w:val="18"/>
              </w:rPr>
              <w:t>485</w:t>
            </w:r>
          </w:p>
        </w:tc>
        <w:tc>
          <w:tcPr>
            <w:tcW w:w="1109" w:type="dxa"/>
            <w:gridSpan w:val="2"/>
          </w:tcPr>
          <w:p w14:paraId="78873D11" w14:textId="77777777" w:rsidR="00AC6F3C" w:rsidRDefault="00570E88">
            <w:pPr>
              <w:pStyle w:val="TableParagraph"/>
              <w:spacing w:before="28"/>
              <w:ind w:right="21"/>
              <w:jc w:val="right"/>
              <w:rPr>
                <w:sz w:val="18"/>
              </w:rPr>
            </w:pPr>
            <w:r>
              <w:rPr>
                <w:spacing w:val="-5"/>
                <w:sz w:val="18"/>
              </w:rPr>
              <w:t>244</w:t>
            </w:r>
          </w:p>
        </w:tc>
        <w:tc>
          <w:tcPr>
            <w:tcW w:w="1139" w:type="dxa"/>
            <w:shd w:val="clear" w:color="auto" w:fill="F1F1F1"/>
          </w:tcPr>
          <w:p w14:paraId="773EBB38" w14:textId="77777777" w:rsidR="00AC6F3C" w:rsidRDefault="00570E88">
            <w:pPr>
              <w:pStyle w:val="TableParagraph"/>
              <w:spacing w:before="28"/>
              <w:ind w:right="37"/>
              <w:jc w:val="right"/>
              <w:rPr>
                <w:sz w:val="18"/>
              </w:rPr>
            </w:pPr>
            <w:r>
              <w:rPr>
                <w:spacing w:val="-5"/>
                <w:sz w:val="18"/>
              </w:rPr>
              <w:t>485</w:t>
            </w:r>
          </w:p>
        </w:tc>
        <w:tc>
          <w:tcPr>
            <w:tcW w:w="1116" w:type="dxa"/>
            <w:gridSpan w:val="2"/>
            <w:tcBorders>
              <w:right w:val="single" w:sz="6" w:space="0" w:color="000000"/>
            </w:tcBorders>
          </w:tcPr>
          <w:p w14:paraId="3CA151E6" w14:textId="77777777" w:rsidR="00AC6F3C" w:rsidRDefault="00570E88">
            <w:pPr>
              <w:pStyle w:val="TableParagraph"/>
              <w:spacing w:before="28"/>
              <w:ind w:right="22"/>
              <w:jc w:val="right"/>
              <w:rPr>
                <w:sz w:val="18"/>
              </w:rPr>
            </w:pPr>
            <w:r>
              <w:rPr>
                <w:spacing w:val="-5"/>
                <w:sz w:val="18"/>
              </w:rPr>
              <w:t>244</w:t>
            </w:r>
          </w:p>
        </w:tc>
      </w:tr>
      <w:tr w:rsidR="00AC6F3C" w14:paraId="55B01FBC" w14:textId="77777777">
        <w:trPr>
          <w:trHeight w:val="298"/>
        </w:trPr>
        <w:tc>
          <w:tcPr>
            <w:tcW w:w="3843" w:type="dxa"/>
            <w:tcBorders>
              <w:left w:val="single" w:sz="6" w:space="0" w:color="000000"/>
            </w:tcBorders>
          </w:tcPr>
          <w:p w14:paraId="22974813" w14:textId="77777777" w:rsidR="00AC6F3C" w:rsidRDefault="00570E88">
            <w:pPr>
              <w:pStyle w:val="TableParagraph"/>
              <w:spacing w:before="42"/>
              <w:ind w:left="37"/>
              <w:rPr>
                <w:sz w:val="18"/>
              </w:rPr>
            </w:pPr>
            <w:r>
              <w:rPr>
                <w:sz w:val="18"/>
              </w:rPr>
              <w:t>Membership</w:t>
            </w:r>
            <w:r>
              <w:rPr>
                <w:spacing w:val="9"/>
                <w:sz w:val="18"/>
              </w:rPr>
              <w:t xml:space="preserve"> </w:t>
            </w:r>
            <w:r>
              <w:rPr>
                <w:sz w:val="18"/>
              </w:rPr>
              <w:t>products</w:t>
            </w:r>
            <w:r>
              <w:rPr>
                <w:spacing w:val="23"/>
                <w:sz w:val="18"/>
              </w:rPr>
              <w:t xml:space="preserve"> </w:t>
            </w:r>
            <w:r>
              <w:rPr>
                <w:sz w:val="18"/>
              </w:rPr>
              <w:t>and</w:t>
            </w:r>
            <w:r>
              <w:rPr>
                <w:spacing w:val="10"/>
                <w:sz w:val="18"/>
              </w:rPr>
              <w:t xml:space="preserve"> </w:t>
            </w:r>
            <w:r>
              <w:rPr>
                <w:spacing w:val="-2"/>
                <w:sz w:val="18"/>
              </w:rPr>
              <w:t>services</w:t>
            </w:r>
          </w:p>
        </w:tc>
        <w:tc>
          <w:tcPr>
            <w:tcW w:w="1139" w:type="dxa"/>
            <w:shd w:val="clear" w:color="auto" w:fill="F1F1F1"/>
          </w:tcPr>
          <w:p w14:paraId="20B4C2C4" w14:textId="77777777" w:rsidR="00AC6F3C" w:rsidRDefault="00570E88">
            <w:pPr>
              <w:pStyle w:val="TableParagraph"/>
              <w:spacing w:before="42"/>
              <w:ind w:right="36"/>
              <w:jc w:val="right"/>
              <w:rPr>
                <w:sz w:val="18"/>
              </w:rPr>
            </w:pPr>
            <w:r>
              <w:rPr>
                <w:spacing w:val="-5"/>
                <w:sz w:val="18"/>
              </w:rPr>
              <w:t>275</w:t>
            </w:r>
          </w:p>
        </w:tc>
        <w:tc>
          <w:tcPr>
            <w:tcW w:w="1109" w:type="dxa"/>
            <w:gridSpan w:val="2"/>
          </w:tcPr>
          <w:p w14:paraId="51A0A614" w14:textId="77777777" w:rsidR="00AC6F3C" w:rsidRDefault="00570E88">
            <w:pPr>
              <w:pStyle w:val="TableParagraph"/>
              <w:spacing w:before="42"/>
              <w:ind w:right="21"/>
              <w:jc w:val="right"/>
              <w:rPr>
                <w:sz w:val="18"/>
              </w:rPr>
            </w:pPr>
            <w:r>
              <w:rPr>
                <w:spacing w:val="-5"/>
                <w:sz w:val="18"/>
              </w:rPr>
              <w:t>277</w:t>
            </w:r>
          </w:p>
        </w:tc>
        <w:tc>
          <w:tcPr>
            <w:tcW w:w="1139" w:type="dxa"/>
            <w:shd w:val="clear" w:color="auto" w:fill="F1F1F1"/>
          </w:tcPr>
          <w:p w14:paraId="1B10350B" w14:textId="77777777" w:rsidR="00AC6F3C" w:rsidRDefault="00570E88">
            <w:pPr>
              <w:pStyle w:val="TableParagraph"/>
              <w:spacing w:before="42"/>
              <w:ind w:right="37"/>
              <w:jc w:val="right"/>
              <w:rPr>
                <w:sz w:val="18"/>
              </w:rPr>
            </w:pPr>
            <w:r>
              <w:rPr>
                <w:spacing w:val="-5"/>
                <w:sz w:val="18"/>
              </w:rPr>
              <w:t>275</w:t>
            </w:r>
          </w:p>
        </w:tc>
        <w:tc>
          <w:tcPr>
            <w:tcW w:w="1116" w:type="dxa"/>
            <w:gridSpan w:val="2"/>
            <w:tcBorders>
              <w:right w:val="single" w:sz="6" w:space="0" w:color="000000"/>
            </w:tcBorders>
          </w:tcPr>
          <w:p w14:paraId="57CFB06D" w14:textId="77777777" w:rsidR="00AC6F3C" w:rsidRDefault="00570E88">
            <w:pPr>
              <w:pStyle w:val="TableParagraph"/>
              <w:spacing w:before="42"/>
              <w:ind w:right="22"/>
              <w:jc w:val="right"/>
              <w:rPr>
                <w:sz w:val="18"/>
              </w:rPr>
            </w:pPr>
            <w:r>
              <w:rPr>
                <w:spacing w:val="-5"/>
                <w:sz w:val="18"/>
              </w:rPr>
              <w:t>277</w:t>
            </w:r>
          </w:p>
        </w:tc>
      </w:tr>
      <w:tr w:rsidR="00AC6F3C" w14:paraId="28869319" w14:textId="77777777">
        <w:trPr>
          <w:trHeight w:val="298"/>
        </w:trPr>
        <w:tc>
          <w:tcPr>
            <w:tcW w:w="3843" w:type="dxa"/>
            <w:tcBorders>
              <w:left w:val="single" w:sz="6" w:space="0" w:color="000000"/>
            </w:tcBorders>
          </w:tcPr>
          <w:p w14:paraId="60BE5CD7" w14:textId="77777777" w:rsidR="00AC6F3C" w:rsidRDefault="00570E88">
            <w:pPr>
              <w:pStyle w:val="TableParagraph"/>
              <w:spacing w:before="42"/>
              <w:ind w:left="37"/>
              <w:rPr>
                <w:sz w:val="18"/>
              </w:rPr>
            </w:pPr>
            <w:r>
              <w:rPr>
                <w:sz w:val="18"/>
              </w:rPr>
              <w:t>Printing</w:t>
            </w:r>
            <w:r>
              <w:rPr>
                <w:spacing w:val="4"/>
                <w:sz w:val="18"/>
              </w:rPr>
              <w:t xml:space="preserve"> </w:t>
            </w:r>
            <w:r>
              <w:rPr>
                <w:sz w:val="18"/>
              </w:rPr>
              <w:t>and</w:t>
            </w:r>
            <w:r>
              <w:rPr>
                <w:spacing w:val="4"/>
                <w:sz w:val="18"/>
              </w:rPr>
              <w:t xml:space="preserve"> </w:t>
            </w:r>
            <w:r>
              <w:rPr>
                <w:spacing w:val="-2"/>
                <w:sz w:val="18"/>
              </w:rPr>
              <w:t>publications</w:t>
            </w:r>
          </w:p>
        </w:tc>
        <w:tc>
          <w:tcPr>
            <w:tcW w:w="1139" w:type="dxa"/>
            <w:shd w:val="clear" w:color="auto" w:fill="F1F1F1"/>
          </w:tcPr>
          <w:p w14:paraId="01FC9361" w14:textId="77777777" w:rsidR="00AC6F3C" w:rsidRDefault="00570E88">
            <w:pPr>
              <w:pStyle w:val="TableParagraph"/>
              <w:spacing w:before="42"/>
              <w:ind w:right="36"/>
              <w:jc w:val="right"/>
              <w:rPr>
                <w:sz w:val="18"/>
              </w:rPr>
            </w:pPr>
            <w:r>
              <w:rPr>
                <w:spacing w:val="-5"/>
                <w:sz w:val="18"/>
              </w:rPr>
              <w:t>76</w:t>
            </w:r>
          </w:p>
        </w:tc>
        <w:tc>
          <w:tcPr>
            <w:tcW w:w="1109" w:type="dxa"/>
            <w:gridSpan w:val="2"/>
          </w:tcPr>
          <w:p w14:paraId="51AE9999" w14:textId="77777777" w:rsidR="00AC6F3C" w:rsidRDefault="00570E88">
            <w:pPr>
              <w:pStyle w:val="TableParagraph"/>
              <w:spacing w:before="42"/>
              <w:ind w:right="21"/>
              <w:jc w:val="right"/>
              <w:rPr>
                <w:sz w:val="18"/>
              </w:rPr>
            </w:pPr>
            <w:r>
              <w:rPr>
                <w:spacing w:val="-5"/>
                <w:sz w:val="18"/>
              </w:rPr>
              <w:t>102</w:t>
            </w:r>
          </w:p>
        </w:tc>
        <w:tc>
          <w:tcPr>
            <w:tcW w:w="1139" w:type="dxa"/>
            <w:shd w:val="clear" w:color="auto" w:fill="F1F1F1"/>
          </w:tcPr>
          <w:p w14:paraId="3247669D" w14:textId="77777777" w:rsidR="00AC6F3C" w:rsidRDefault="00570E88">
            <w:pPr>
              <w:pStyle w:val="TableParagraph"/>
              <w:spacing w:before="42"/>
              <w:ind w:right="37"/>
              <w:jc w:val="right"/>
              <w:rPr>
                <w:sz w:val="18"/>
              </w:rPr>
            </w:pPr>
            <w:r>
              <w:rPr>
                <w:spacing w:val="-5"/>
                <w:sz w:val="18"/>
              </w:rPr>
              <w:t>76</w:t>
            </w:r>
          </w:p>
        </w:tc>
        <w:tc>
          <w:tcPr>
            <w:tcW w:w="1116" w:type="dxa"/>
            <w:gridSpan w:val="2"/>
            <w:tcBorders>
              <w:right w:val="single" w:sz="6" w:space="0" w:color="000000"/>
            </w:tcBorders>
          </w:tcPr>
          <w:p w14:paraId="78387251" w14:textId="77777777" w:rsidR="00AC6F3C" w:rsidRDefault="00570E88">
            <w:pPr>
              <w:pStyle w:val="TableParagraph"/>
              <w:spacing w:before="42"/>
              <w:ind w:right="22"/>
              <w:jc w:val="right"/>
              <w:rPr>
                <w:sz w:val="18"/>
              </w:rPr>
            </w:pPr>
            <w:r>
              <w:rPr>
                <w:spacing w:val="-5"/>
                <w:sz w:val="18"/>
              </w:rPr>
              <w:t>102</w:t>
            </w:r>
          </w:p>
        </w:tc>
      </w:tr>
      <w:tr w:rsidR="00AC6F3C" w14:paraId="6D99783E" w14:textId="77777777">
        <w:trPr>
          <w:trHeight w:val="286"/>
        </w:trPr>
        <w:tc>
          <w:tcPr>
            <w:tcW w:w="3843" w:type="dxa"/>
            <w:tcBorders>
              <w:left w:val="single" w:sz="6" w:space="0" w:color="000000"/>
              <w:bottom w:val="single" w:sz="6" w:space="0" w:color="000000"/>
            </w:tcBorders>
          </w:tcPr>
          <w:p w14:paraId="4DC601B8" w14:textId="77777777" w:rsidR="00AC6F3C" w:rsidRDefault="00570E88">
            <w:pPr>
              <w:pStyle w:val="TableParagraph"/>
              <w:spacing w:before="42"/>
              <w:ind w:left="37"/>
              <w:rPr>
                <w:sz w:val="18"/>
              </w:rPr>
            </w:pPr>
            <w:r>
              <w:rPr>
                <w:sz w:val="18"/>
              </w:rPr>
              <w:t>Law</w:t>
            </w:r>
            <w:r>
              <w:rPr>
                <w:spacing w:val="8"/>
                <w:sz w:val="18"/>
              </w:rPr>
              <w:t xml:space="preserve"> </w:t>
            </w:r>
            <w:r>
              <w:rPr>
                <w:sz w:val="18"/>
              </w:rPr>
              <w:t>Council</w:t>
            </w:r>
            <w:r>
              <w:rPr>
                <w:spacing w:val="9"/>
                <w:sz w:val="18"/>
              </w:rPr>
              <w:t xml:space="preserve"> </w:t>
            </w:r>
            <w:r>
              <w:rPr>
                <w:sz w:val="18"/>
              </w:rPr>
              <w:t>capitation</w:t>
            </w:r>
            <w:r>
              <w:rPr>
                <w:spacing w:val="8"/>
                <w:sz w:val="18"/>
              </w:rPr>
              <w:t xml:space="preserve"> </w:t>
            </w:r>
            <w:r>
              <w:rPr>
                <w:spacing w:val="-4"/>
                <w:sz w:val="18"/>
              </w:rPr>
              <w:t>fees</w:t>
            </w:r>
          </w:p>
        </w:tc>
        <w:tc>
          <w:tcPr>
            <w:tcW w:w="1139" w:type="dxa"/>
            <w:tcBorders>
              <w:bottom w:val="single" w:sz="6" w:space="0" w:color="000000"/>
            </w:tcBorders>
            <w:shd w:val="clear" w:color="auto" w:fill="F1F1F1"/>
          </w:tcPr>
          <w:p w14:paraId="403CCF4D" w14:textId="77777777" w:rsidR="00AC6F3C" w:rsidRDefault="00570E88">
            <w:pPr>
              <w:pStyle w:val="TableParagraph"/>
              <w:spacing w:before="42"/>
              <w:ind w:right="36"/>
              <w:jc w:val="right"/>
              <w:rPr>
                <w:sz w:val="18"/>
              </w:rPr>
            </w:pPr>
            <w:r>
              <w:rPr>
                <w:spacing w:val="-5"/>
                <w:sz w:val="18"/>
              </w:rPr>
              <w:t>977</w:t>
            </w:r>
          </w:p>
        </w:tc>
        <w:tc>
          <w:tcPr>
            <w:tcW w:w="1109" w:type="dxa"/>
            <w:gridSpan w:val="2"/>
            <w:tcBorders>
              <w:bottom w:val="single" w:sz="6" w:space="0" w:color="000000"/>
            </w:tcBorders>
          </w:tcPr>
          <w:p w14:paraId="77E9A68B" w14:textId="77777777" w:rsidR="00AC6F3C" w:rsidRDefault="00570E88">
            <w:pPr>
              <w:pStyle w:val="TableParagraph"/>
              <w:spacing w:before="42"/>
              <w:ind w:right="21"/>
              <w:jc w:val="right"/>
              <w:rPr>
                <w:sz w:val="18"/>
              </w:rPr>
            </w:pPr>
            <w:r>
              <w:rPr>
                <w:spacing w:val="-5"/>
                <w:sz w:val="18"/>
              </w:rPr>
              <w:t>899</w:t>
            </w:r>
          </w:p>
        </w:tc>
        <w:tc>
          <w:tcPr>
            <w:tcW w:w="1139" w:type="dxa"/>
            <w:tcBorders>
              <w:bottom w:val="single" w:sz="6" w:space="0" w:color="000000"/>
            </w:tcBorders>
            <w:shd w:val="clear" w:color="auto" w:fill="F1F1F1"/>
          </w:tcPr>
          <w:p w14:paraId="59A72013" w14:textId="77777777" w:rsidR="00AC6F3C" w:rsidRDefault="00570E88">
            <w:pPr>
              <w:pStyle w:val="TableParagraph"/>
              <w:spacing w:before="42"/>
              <w:ind w:right="37"/>
              <w:jc w:val="right"/>
              <w:rPr>
                <w:sz w:val="18"/>
              </w:rPr>
            </w:pPr>
            <w:r>
              <w:rPr>
                <w:spacing w:val="-5"/>
                <w:sz w:val="18"/>
              </w:rPr>
              <w:t>977</w:t>
            </w:r>
          </w:p>
        </w:tc>
        <w:tc>
          <w:tcPr>
            <w:tcW w:w="1116" w:type="dxa"/>
            <w:gridSpan w:val="2"/>
            <w:tcBorders>
              <w:bottom w:val="single" w:sz="6" w:space="0" w:color="000000"/>
              <w:right w:val="single" w:sz="6" w:space="0" w:color="000000"/>
            </w:tcBorders>
          </w:tcPr>
          <w:p w14:paraId="7B866339" w14:textId="77777777" w:rsidR="00AC6F3C" w:rsidRDefault="00570E88">
            <w:pPr>
              <w:pStyle w:val="TableParagraph"/>
              <w:spacing w:before="42"/>
              <w:ind w:right="22"/>
              <w:jc w:val="right"/>
              <w:rPr>
                <w:sz w:val="18"/>
              </w:rPr>
            </w:pPr>
            <w:r>
              <w:rPr>
                <w:spacing w:val="-5"/>
                <w:sz w:val="18"/>
              </w:rPr>
              <w:t>899</w:t>
            </w:r>
          </w:p>
        </w:tc>
      </w:tr>
      <w:tr w:rsidR="00AC6F3C" w14:paraId="67C85CA7" w14:textId="77777777">
        <w:trPr>
          <w:trHeight w:val="463"/>
        </w:trPr>
        <w:tc>
          <w:tcPr>
            <w:tcW w:w="3843" w:type="dxa"/>
            <w:tcBorders>
              <w:top w:val="single" w:sz="6" w:space="0" w:color="000000"/>
              <w:left w:val="single" w:sz="6" w:space="0" w:color="000000"/>
              <w:bottom w:val="single" w:sz="6" w:space="0" w:color="000000"/>
            </w:tcBorders>
            <w:shd w:val="clear" w:color="auto" w:fill="BEBEBE"/>
          </w:tcPr>
          <w:p w14:paraId="33A6CA26" w14:textId="77777777" w:rsidR="00AC6F3C" w:rsidRDefault="00570E88">
            <w:pPr>
              <w:pStyle w:val="TableParagraph"/>
              <w:spacing w:before="10"/>
              <w:ind w:left="37"/>
              <w:rPr>
                <w:b/>
                <w:sz w:val="18"/>
              </w:rPr>
            </w:pPr>
            <w:r>
              <w:rPr>
                <w:b/>
                <w:spacing w:val="-2"/>
                <w:sz w:val="18"/>
              </w:rPr>
              <w:t>Total</w:t>
            </w:r>
            <w:r>
              <w:rPr>
                <w:b/>
                <w:spacing w:val="-4"/>
                <w:sz w:val="18"/>
              </w:rPr>
              <w:t xml:space="preserve"> </w:t>
            </w:r>
            <w:r>
              <w:rPr>
                <w:b/>
                <w:spacing w:val="-2"/>
                <w:sz w:val="18"/>
              </w:rPr>
              <w:t>membership</w:t>
            </w:r>
            <w:r>
              <w:rPr>
                <w:b/>
                <w:spacing w:val="-3"/>
                <w:sz w:val="18"/>
              </w:rPr>
              <w:t xml:space="preserve"> </w:t>
            </w:r>
            <w:r>
              <w:rPr>
                <w:b/>
                <w:spacing w:val="-2"/>
                <w:sz w:val="18"/>
              </w:rPr>
              <w:t>services</w:t>
            </w:r>
            <w:r>
              <w:rPr>
                <w:b/>
                <w:spacing w:val="8"/>
                <w:sz w:val="18"/>
              </w:rPr>
              <w:t xml:space="preserve"> </w:t>
            </w:r>
            <w:r>
              <w:rPr>
                <w:b/>
                <w:spacing w:val="-2"/>
                <w:sz w:val="18"/>
              </w:rPr>
              <w:t>and events</w:t>
            </w:r>
          </w:p>
          <w:p w14:paraId="20A5F5BD" w14:textId="77777777" w:rsidR="00AC6F3C" w:rsidRDefault="00570E88">
            <w:pPr>
              <w:pStyle w:val="TableParagraph"/>
              <w:spacing w:before="32" w:line="194" w:lineRule="exact"/>
              <w:ind w:left="37"/>
              <w:rPr>
                <w:b/>
                <w:sz w:val="18"/>
              </w:rPr>
            </w:pPr>
            <w:r>
              <w:rPr>
                <w:b/>
                <w:spacing w:val="-2"/>
                <w:sz w:val="18"/>
              </w:rPr>
              <w:t>expenditure</w:t>
            </w:r>
          </w:p>
        </w:tc>
        <w:tc>
          <w:tcPr>
            <w:tcW w:w="1718" w:type="dxa"/>
            <w:gridSpan w:val="2"/>
            <w:tcBorders>
              <w:top w:val="single" w:sz="6" w:space="0" w:color="000000"/>
              <w:bottom w:val="single" w:sz="6" w:space="0" w:color="000000"/>
            </w:tcBorders>
            <w:shd w:val="clear" w:color="auto" w:fill="BEBEBE"/>
          </w:tcPr>
          <w:p w14:paraId="19D116A6" w14:textId="77777777" w:rsidR="00AC6F3C" w:rsidRDefault="00570E88">
            <w:pPr>
              <w:pStyle w:val="TableParagraph"/>
              <w:spacing w:before="130"/>
              <w:ind w:left="627" w:right="609"/>
              <w:jc w:val="center"/>
              <w:rPr>
                <w:b/>
                <w:sz w:val="18"/>
              </w:rPr>
            </w:pPr>
            <w:r>
              <w:rPr>
                <w:b/>
                <w:spacing w:val="-2"/>
                <w:sz w:val="18"/>
              </w:rPr>
              <w:t>1,813</w:t>
            </w:r>
          </w:p>
        </w:tc>
        <w:tc>
          <w:tcPr>
            <w:tcW w:w="530" w:type="dxa"/>
            <w:tcBorders>
              <w:top w:val="single" w:sz="6" w:space="0" w:color="000000"/>
              <w:bottom w:val="single" w:sz="6" w:space="0" w:color="000000"/>
            </w:tcBorders>
            <w:shd w:val="clear" w:color="auto" w:fill="BEBEBE"/>
          </w:tcPr>
          <w:p w14:paraId="055EA09F" w14:textId="77777777" w:rsidR="00AC6F3C" w:rsidRDefault="00570E88">
            <w:pPr>
              <w:pStyle w:val="TableParagraph"/>
              <w:spacing w:before="130"/>
              <w:ind w:left="41"/>
              <w:rPr>
                <w:b/>
                <w:sz w:val="18"/>
              </w:rPr>
            </w:pPr>
            <w:r>
              <w:rPr>
                <w:b/>
                <w:spacing w:val="-2"/>
                <w:sz w:val="18"/>
              </w:rPr>
              <w:t>1,522</w:t>
            </w:r>
          </w:p>
        </w:tc>
        <w:tc>
          <w:tcPr>
            <w:tcW w:w="1581" w:type="dxa"/>
            <w:gridSpan w:val="2"/>
            <w:tcBorders>
              <w:top w:val="single" w:sz="6" w:space="0" w:color="000000"/>
              <w:bottom w:val="single" w:sz="6" w:space="0" w:color="000000"/>
            </w:tcBorders>
            <w:shd w:val="clear" w:color="auto" w:fill="BEBEBE"/>
          </w:tcPr>
          <w:p w14:paraId="1A449DB9" w14:textId="77777777" w:rsidR="00AC6F3C" w:rsidRDefault="00570E88">
            <w:pPr>
              <w:pStyle w:val="TableParagraph"/>
              <w:spacing w:before="130"/>
              <w:ind w:left="635"/>
              <w:rPr>
                <w:b/>
                <w:sz w:val="18"/>
              </w:rPr>
            </w:pPr>
            <w:r>
              <w:rPr>
                <w:b/>
                <w:spacing w:val="-2"/>
                <w:sz w:val="18"/>
              </w:rPr>
              <w:t>1,813</w:t>
            </w:r>
          </w:p>
        </w:tc>
        <w:tc>
          <w:tcPr>
            <w:tcW w:w="674" w:type="dxa"/>
            <w:tcBorders>
              <w:top w:val="single" w:sz="6" w:space="0" w:color="000000"/>
              <w:bottom w:val="single" w:sz="6" w:space="0" w:color="000000"/>
              <w:right w:val="single" w:sz="6" w:space="0" w:color="000000"/>
            </w:tcBorders>
            <w:shd w:val="clear" w:color="auto" w:fill="BEBEBE"/>
          </w:tcPr>
          <w:p w14:paraId="55639141" w14:textId="77777777" w:rsidR="00AC6F3C" w:rsidRDefault="00570E88">
            <w:pPr>
              <w:pStyle w:val="TableParagraph"/>
              <w:spacing w:before="130"/>
              <w:ind w:left="177"/>
              <w:rPr>
                <w:b/>
                <w:sz w:val="18"/>
              </w:rPr>
            </w:pPr>
            <w:r>
              <w:rPr>
                <w:b/>
                <w:spacing w:val="-2"/>
                <w:sz w:val="18"/>
              </w:rPr>
              <w:t>1,522</w:t>
            </w:r>
          </w:p>
        </w:tc>
      </w:tr>
    </w:tbl>
    <w:p w14:paraId="0C975E0B" w14:textId="77777777" w:rsidR="00AC6F3C" w:rsidRDefault="00AC6F3C">
      <w:pPr>
        <w:rPr>
          <w:sz w:val="18"/>
        </w:rPr>
        <w:sectPr w:rsidR="00AC6F3C">
          <w:pgSz w:w="11910" w:h="16840"/>
          <w:pgMar w:top="2020" w:right="1160" w:bottom="520" w:left="460" w:header="1228" w:footer="336" w:gutter="0"/>
          <w:cols w:space="720"/>
        </w:sectPr>
      </w:pPr>
    </w:p>
    <w:p w14:paraId="25FF8AA3" w14:textId="77777777" w:rsidR="00AC6F3C" w:rsidRDefault="00AC6F3C">
      <w:pPr>
        <w:pStyle w:val="BodyText"/>
        <w:rPr>
          <w:b/>
        </w:rPr>
      </w:pPr>
    </w:p>
    <w:p w14:paraId="5776635C" w14:textId="77777777" w:rsidR="00AC6F3C" w:rsidRDefault="00AC6F3C">
      <w:pPr>
        <w:pStyle w:val="BodyText"/>
        <w:spacing w:before="8"/>
        <w:rPr>
          <w:b/>
          <w:sz w:val="21"/>
        </w:rPr>
      </w:pPr>
    </w:p>
    <w:p w14:paraId="73CE9995" w14:textId="77777777" w:rsidR="00AC6F3C" w:rsidRDefault="00570E88">
      <w:pPr>
        <w:pStyle w:val="Heading6"/>
        <w:tabs>
          <w:tab w:val="left" w:pos="1810"/>
        </w:tabs>
        <w:spacing w:before="1"/>
      </w:pPr>
      <w:r>
        <w:rPr>
          <w:spacing w:val="-2"/>
        </w:rPr>
        <w:t>B2-</w:t>
      </w:r>
      <w:r>
        <w:rPr>
          <w:spacing w:val="-10"/>
        </w:rPr>
        <w:t>2</w:t>
      </w:r>
      <w:r>
        <w:tab/>
        <w:t>ADMINISTRATION</w:t>
      </w:r>
      <w:r>
        <w:rPr>
          <w:spacing w:val="-4"/>
        </w:rPr>
        <w:t xml:space="preserve"> </w:t>
      </w:r>
      <w:r>
        <w:rPr>
          <w:spacing w:val="-2"/>
        </w:rPr>
        <w:t>EXPENSES</w:t>
      </w:r>
    </w:p>
    <w:p w14:paraId="57E6EF2D" w14:textId="77777777" w:rsidR="00AC6F3C" w:rsidRDefault="00AC6F3C">
      <w:pPr>
        <w:pStyle w:val="BodyText"/>
        <w:spacing w:before="8"/>
        <w:rPr>
          <w:b/>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4F3404CA" w14:textId="77777777">
        <w:trPr>
          <w:trHeight w:val="884"/>
        </w:trPr>
        <w:tc>
          <w:tcPr>
            <w:tcW w:w="3843" w:type="dxa"/>
            <w:tcBorders>
              <w:top w:val="single" w:sz="6" w:space="0" w:color="000000"/>
              <w:left w:val="single" w:sz="6" w:space="0" w:color="000000"/>
              <w:bottom w:val="single" w:sz="6" w:space="0" w:color="000000"/>
            </w:tcBorders>
            <w:shd w:val="clear" w:color="auto" w:fill="BEBEBE"/>
          </w:tcPr>
          <w:p w14:paraId="5172698A"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2D47A4F5" w14:textId="77777777" w:rsidR="00AC6F3C" w:rsidRDefault="00570E88">
            <w:pPr>
              <w:pStyle w:val="TableParagraph"/>
              <w:spacing w:before="26" w:line="364" w:lineRule="auto"/>
              <w:ind w:left="681" w:hanging="105"/>
              <w:rPr>
                <w:b/>
                <w:sz w:val="18"/>
              </w:rPr>
            </w:pPr>
            <w:r>
              <w:rPr>
                <w:b/>
                <w:spacing w:val="-4"/>
                <w:sz w:val="18"/>
              </w:rPr>
              <w:t>Consolidated 2023</w:t>
            </w:r>
          </w:p>
          <w:p w14:paraId="30900BF8" w14:textId="77777777" w:rsidR="00AC6F3C" w:rsidRDefault="00570E88">
            <w:pPr>
              <w:pStyle w:val="TableParagraph"/>
              <w:spacing w:line="192"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2127EF14" w14:textId="77777777" w:rsidR="00AC6F3C" w:rsidRDefault="00AC6F3C">
            <w:pPr>
              <w:pStyle w:val="TableParagraph"/>
              <w:spacing w:before="7"/>
              <w:rPr>
                <w:b/>
                <w:sz w:val="29"/>
              </w:rPr>
            </w:pPr>
          </w:p>
          <w:p w14:paraId="140B9EC5" w14:textId="77777777" w:rsidR="00AC6F3C" w:rsidRDefault="00570E88">
            <w:pPr>
              <w:pStyle w:val="TableParagraph"/>
              <w:ind w:left="86"/>
              <w:rPr>
                <w:b/>
                <w:sz w:val="18"/>
              </w:rPr>
            </w:pPr>
            <w:r>
              <w:rPr>
                <w:b/>
                <w:spacing w:val="-4"/>
                <w:sz w:val="18"/>
              </w:rPr>
              <w:t>2022</w:t>
            </w:r>
          </w:p>
          <w:p w14:paraId="1CD6B081" w14:textId="77777777" w:rsidR="00AC6F3C" w:rsidRDefault="00570E88">
            <w:pPr>
              <w:pStyle w:val="TableParagraph"/>
              <w:spacing w:before="93"/>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733DFC88" w14:textId="77777777" w:rsidR="00AC6F3C" w:rsidRDefault="00570E88">
            <w:pPr>
              <w:pStyle w:val="TableParagraph"/>
              <w:spacing w:before="26" w:line="364" w:lineRule="auto"/>
              <w:ind w:left="680" w:firstLine="164"/>
              <w:rPr>
                <w:b/>
                <w:sz w:val="18"/>
              </w:rPr>
            </w:pPr>
            <w:r>
              <w:rPr>
                <w:b/>
                <w:spacing w:val="-2"/>
                <w:sz w:val="18"/>
              </w:rPr>
              <w:t xml:space="preserve">Parent </w:t>
            </w:r>
            <w:r>
              <w:rPr>
                <w:b/>
                <w:spacing w:val="-4"/>
                <w:sz w:val="18"/>
              </w:rPr>
              <w:t>2023</w:t>
            </w:r>
          </w:p>
          <w:p w14:paraId="2C0DEC09" w14:textId="77777777" w:rsidR="00AC6F3C" w:rsidRDefault="00570E88">
            <w:pPr>
              <w:pStyle w:val="TableParagraph"/>
              <w:spacing w:line="192"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2D24EE36" w14:textId="77777777" w:rsidR="00AC6F3C" w:rsidRDefault="00AC6F3C">
            <w:pPr>
              <w:pStyle w:val="TableParagraph"/>
              <w:spacing w:before="7"/>
              <w:rPr>
                <w:b/>
                <w:sz w:val="29"/>
              </w:rPr>
            </w:pPr>
          </w:p>
          <w:p w14:paraId="7CD35864" w14:textId="77777777" w:rsidR="00AC6F3C" w:rsidRDefault="00570E88">
            <w:pPr>
              <w:pStyle w:val="TableParagraph"/>
              <w:ind w:left="222"/>
              <w:rPr>
                <w:b/>
                <w:sz w:val="18"/>
              </w:rPr>
            </w:pPr>
            <w:r>
              <w:rPr>
                <w:b/>
                <w:spacing w:val="-4"/>
                <w:sz w:val="18"/>
              </w:rPr>
              <w:t>2022</w:t>
            </w:r>
          </w:p>
          <w:p w14:paraId="52F2FF2B" w14:textId="77777777" w:rsidR="00AC6F3C" w:rsidRDefault="00570E88">
            <w:pPr>
              <w:pStyle w:val="TableParagraph"/>
              <w:spacing w:before="93"/>
              <w:ind w:left="177"/>
              <w:rPr>
                <w:b/>
                <w:sz w:val="18"/>
              </w:rPr>
            </w:pPr>
            <w:r>
              <w:rPr>
                <w:b/>
                <w:spacing w:val="-2"/>
                <w:sz w:val="18"/>
              </w:rPr>
              <w:t>$’000</w:t>
            </w:r>
          </w:p>
        </w:tc>
      </w:tr>
      <w:tr w:rsidR="00AC6F3C" w14:paraId="20AAB49D" w14:textId="77777777">
        <w:trPr>
          <w:trHeight w:val="596"/>
        </w:trPr>
        <w:tc>
          <w:tcPr>
            <w:tcW w:w="3843" w:type="dxa"/>
            <w:tcBorders>
              <w:top w:val="single" w:sz="6" w:space="0" w:color="000000"/>
              <w:left w:val="single" w:sz="6" w:space="0" w:color="000000"/>
            </w:tcBorders>
          </w:tcPr>
          <w:p w14:paraId="19A89001" w14:textId="77777777" w:rsidR="00AC6F3C" w:rsidRDefault="00AC6F3C">
            <w:pPr>
              <w:pStyle w:val="TableParagraph"/>
              <w:spacing w:before="7"/>
              <w:rPr>
                <w:b/>
                <w:sz w:val="29"/>
              </w:rPr>
            </w:pPr>
          </w:p>
          <w:p w14:paraId="72A928F0" w14:textId="77777777" w:rsidR="00AC6F3C" w:rsidRDefault="00570E88">
            <w:pPr>
              <w:pStyle w:val="TableParagraph"/>
              <w:ind w:left="37"/>
              <w:rPr>
                <w:sz w:val="18"/>
              </w:rPr>
            </w:pPr>
            <w:r>
              <w:rPr>
                <w:sz w:val="18"/>
              </w:rPr>
              <w:t>Office</w:t>
            </w:r>
            <w:r>
              <w:rPr>
                <w:spacing w:val="10"/>
                <w:sz w:val="18"/>
              </w:rPr>
              <w:t xml:space="preserve"> </w:t>
            </w:r>
            <w:r>
              <w:rPr>
                <w:sz w:val="18"/>
              </w:rPr>
              <w:t>administration</w:t>
            </w:r>
            <w:r>
              <w:rPr>
                <w:spacing w:val="10"/>
                <w:sz w:val="18"/>
              </w:rPr>
              <w:t xml:space="preserve"> </w:t>
            </w:r>
            <w:r>
              <w:rPr>
                <w:sz w:val="18"/>
              </w:rPr>
              <w:t>and</w:t>
            </w:r>
            <w:r>
              <w:rPr>
                <w:spacing w:val="10"/>
                <w:sz w:val="18"/>
              </w:rPr>
              <w:t xml:space="preserve"> </w:t>
            </w:r>
            <w:r>
              <w:rPr>
                <w:spacing w:val="-2"/>
                <w:sz w:val="18"/>
              </w:rPr>
              <w:t>insurance</w:t>
            </w:r>
          </w:p>
        </w:tc>
        <w:tc>
          <w:tcPr>
            <w:tcW w:w="1139" w:type="dxa"/>
            <w:tcBorders>
              <w:top w:val="single" w:sz="6" w:space="0" w:color="000000"/>
            </w:tcBorders>
            <w:shd w:val="clear" w:color="auto" w:fill="F1F1F1"/>
          </w:tcPr>
          <w:p w14:paraId="5E947054" w14:textId="77777777" w:rsidR="00AC6F3C" w:rsidRDefault="00AC6F3C">
            <w:pPr>
              <w:pStyle w:val="TableParagraph"/>
              <w:spacing w:before="7"/>
              <w:rPr>
                <w:b/>
                <w:sz w:val="29"/>
              </w:rPr>
            </w:pPr>
          </w:p>
          <w:p w14:paraId="7FA62B24" w14:textId="77777777" w:rsidR="00AC6F3C" w:rsidRDefault="00570E88">
            <w:pPr>
              <w:pStyle w:val="TableParagraph"/>
              <w:ind w:right="36"/>
              <w:jc w:val="right"/>
              <w:rPr>
                <w:sz w:val="18"/>
              </w:rPr>
            </w:pPr>
            <w:r>
              <w:rPr>
                <w:spacing w:val="-2"/>
                <w:sz w:val="18"/>
              </w:rPr>
              <w:t>1,078</w:t>
            </w:r>
          </w:p>
        </w:tc>
        <w:tc>
          <w:tcPr>
            <w:tcW w:w="1109" w:type="dxa"/>
            <w:gridSpan w:val="2"/>
            <w:tcBorders>
              <w:top w:val="single" w:sz="6" w:space="0" w:color="000000"/>
            </w:tcBorders>
          </w:tcPr>
          <w:p w14:paraId="24D2021C" w14:textId="77777777" w:rsidR="00AC6F3C" w:rsidRDefault="00AC6F3C">
            <w:pPr>
              <w:pStyle w:val="TableParagraph"/>
              <w:spacing w:before="7"/>
              <w:rPr>
                <w:b/>
                <w:sz w:val="29"/>
              </w:rPr>
            </w:pPr>
          </w:p>
          <w:p w14:paraId="27A7B3BB" w14:textId="77777777" w:rsidR="00AC6F3C" w:rsidRDefault="00570E88">
            <w:pPr>
              <w:pStyle w:val="TableParagraph"/>
              <w:ind w:right="21"/>
              <w:jc w:val="right"/>
              <w:rPr>
                <w:sz w:val="18"/>
              </w:rPr>
            </w:pPr>
            <w:r>
              <w:rPr>
                <w:spacing w:val="-5"/>
                <w:sz w:val="18"/>
              </w:rPr>
              <w:t>613</w:t>
            </w:r>
          </w:p>
        </w:tc>
        <w:tc>
          <w:tcPr>
            <w:tcW w:w="1139" w:type="dxa"/>
            <w:tcBorders>
              <w:top w:val="single" w:sz="6" w:space="0" w:color="000000"/>
            </w:tcBorders>
            <w:shd w:val="clear" w:color="auto" w:fill="F1F1F1"/>
          </w:tcPr>
          <w:p w14:paraId="67A6D251" w14:textId="77777777" w:rsidR="00AC6F3C" w:rsidRDefault="00AC6F3C">
            <w:pPr>
              <w:pStyle w:val="TableParagraph"/>
              <w:spacing w:before="7"/>
              <w:rPr>
                <w:b/>
                <w:sz w:val="29"/>
              </w:rPr>
            </w:pPr>
          </w:p>
          <w:p w14:paraId="05DF4EE9" w14:textId="77777777" w:rsidR="00AC6F3C" w:rsidRDefault="00570E88">
            <w:pPr>
              <w:pStyle w:val="TableParagraph"/>
              <w:ind w:right="37"/>
              <w:jc w:val="right"/>
              <w:rPr>
                <w:sz w:val="18"/>
              </w:rPr>
            </w:pPr>
            <w:r>
              <w:rPr>
                <w:spacing w:val="-2"/>
                <w:sz w:val="18"/>
              </w:rPr>
              <w:t>1,226</w:t>
            </w:r>
          </w:p>
        </w:tc>
        <w:tc>
          <w:tcPr>
            <w:tcW w:w="1116" w:type="dxa"/>
            <w:gridSpan w:val="2"/>
            <w:tcBorders>
              <w:top w:val="single" w:sz="6" w:space="0" w:color="000000"/>
              <w:right w:val="single" w:sz="6" w:space="0" w:color="000000"/>
            </w:tcBorders>
          </w:tcPr>
          <w:p w14:paraId="62E3002F" w14:textId="77777777" w:rsidR="00AC6F3C" w:rsidRDefault="00AC6F3C">
            <w:pPr>
              <w:pStyle w:val="TableParagraph"/>
              <w:spacing w:before="7"/>
              <w:rPr>
                <w:b/>
                <w:sz w:val="29"/>
              </w:rPr>
            </w:pPr>
          </w:p>
          <w:p w14:paraId="398AE61D" w14:textId="77777777" w:rsidR="00AC6F3C" w:rsidRDefault="00570E88">
            <w:pPr>
              <w:pStyle w:val="TableParagraph"/>
              <w:ind w:left="620"/>
              <w:rPr>
                <w:sz w:val="18"/>
              </w:rPr>
            </w:pPr>
            <w:r>
              <w:rPr>
                <w:spacing w:val="-2"/>
                <w:sz w:val="18"/>
              </w:rPr>
              <w:t>1,225</w:t>
            </w:r>
          </w:p>
        </w:tc>
      </w:tr>
      <w:tr w:rsidR="00AC6F3C" w14:paraId="0EF3F960" w14:textId="77777777">
        <w:trPr>
          <w:trHeight w:val="299"/>
        </w:trPr>
        <w:tc>
          <w:tcPr>
            <w:tcW w:w="3843" w:type="dxa"/>
            <w:tcBorders>
              <w:left w:val="single" w:sz="6" w:space="0" w:color="000000"/>
            </w:tcBorders>
          </w:tcPr>
          <w:p w14:paraId="4FDFA8DA" w14:textId="77777777" w:rsidR="00AC6F3C" w:rsidRDefault="00570E88">
            <w:pPr>
              <w:pStyle w:val="TableParagraph"/>
              <w:spacing w:before="43"/>
              <w:ind w:left="37"/>
              <w:rPr>
                <w:sz w:val="18"/>
              </w:rPr>
            </w:pPr>
            <w:r>
              <w:rPr>
                <w:sz w:val="18"/>
              </w:rPr>
              <w:t>Actuarial</w:t>
            </w:r>
            <w:r>
              <w:rPr>
                <w:spacing w:val="-14"/>
                <w:sz w:val="18"/>
              </w:rPr>
              <w:t xml:space="preserve"> </w:t>
            </w:r>
            <w:r>
              <w:rPr>
                <w:spacing w:val="-4"/>
                <w:sz w:val="18"/>
              </w:rPr>
              <w:t>fees</w:t>
            </w:r>
          </w:p>
        </w:tc>
        <w:tc>
          <w:tcPr>
            <w:tcW w:w="1139" w:type="dxa"/>
            <w:shd w:val="clear" w:color="auto" w:fill="F1F1F1"/>
          </w:tcPr>
          <w:p w14:paraId="525D876A" w14:textId="77777777" w:rsidR="00AC6F3C" w:rsidRDefault="00570E88">
            <w:pPr>
              <w:pStyle w:val="TableParagraph"/>
              <w:spacing w:before="43"/>
              <w:ind w:right="36"/>
              <w:jc w:val="right"/>
              <w:rPr>
                <w:sz w:val="18"/>
              </w:rPr>
            </w:pPr>
            <w:r>
              <w:rPr>
                <w:spacing w:val="-5"/>
                <w:sz w:val="18"/>
              </w:rPr>
              <w:t>227</w:t>
            </w:r>
          </w:p>
        </w:tc>
        <w:tc>
          <w:tcPr>
            <w:tcW w:w="1109" w:type="dxa"/>
            <w:gridSpan w:val="2"/>
          </w:tcPr>
          <w:p w14:paraId="6920CDA3" w14:textId="77777777" w:rsidR="00AC6F3C" w:rsidRDefault="00570E88">
            <w:pPr>
              <w:pStyle w:val="TableParagraph"/>
              <w:spacing w:before="43"/>
              <w:ind w:right="21"/>
              <w:jc w:val="right"/>
              <w:rPr>
                <w:sz w:val="18"/>
              </w:rPr>
            </w:pPr>
            <w:r>
              <w:rPr>
                <w:spacing w:val="-5"/>
                <w:sz w:val="18"/>
              </w:rPr>
              <w:t>133</w:t>
            </w:r>
          </w:p>
        </w:tc>
        <w:tc>
          <w:tcPr>
            <w:tcW w:w="1139" w:type="dxa"/>
            <w:shd w:val="clear" w:color="auto" w:fill="F1F1F1"/>
          </w:tcPr>
          <w:p w14:paraId="2A7DE824"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3B3F8592" w14:textId="77777777" w:rsidR="00AC6F3C" w:rsidRDefault="00570E88">
            <w:pPr>
              <w:pStyle w:val="TableParagraph"/>
              <w:spacing w:before="43"/>
              <w:ind w:right="22"/>
              <w:jc w:val="right"/>
              <w:rPr>
                <w:sz w:val="18"/>
              </w:rPr>
            </w:pPr>
            <w:r>
              <w:rPr>
                <w:w w:val="99"/>
                <w:sz w:val="18"/>
              </w:rPr>
              <w:t>-</w:t>
            </w:r>
          </w:p>
        </w:tc>
      </w:tr>
      <w:tr w:rsidR="00AC6F3C" w14:paraId="222E9B12" w14:textId="77777777">
        <w:trPr>
          <w:trHeight w:val="299"/>
        </w:trPr>
        <w:tc>
          <w:tcPr>
            <w:tcW w:w="3843" w:type="dxa"/>
            <w:tcBorders>
              <w:left w:val="single" w:sz="6" w:space="0" w:color="000000"/>
            </w:tcBorders>
          </w:tcPr>
          <w:p w14:paraId="40B2885B" w14:textId="77777777" w:rsidR="00AC6F3C" w:rsidRDefault="00570E88">
            <w:pPr>
              <w:pStyle w:val="TableParagraph"/>
              <w:spacing w:before="43"/>
              <w:ind w:left="37"/>
              <w:rPr>
                <w:sz w:val="18"/>
              </w:rPr>
            </w:pPr>
            <w:r>
              <w:rPr>
                <w:sz w:val="18"/>
              </w:rPr>
              <w:t>Audit</w:t>
            </w:r>
            <w:r>
              <w:rPr>
                <w:spacing w:val="-13"/>
                <w:sz w:val="18"/>
              </w:rPr>
              <w:t xml:space="preserve"> </w:t>
            </w:r>
            <w:r>
              <w:rPr>
                <w:sz w:val="18"/>
              </w:rPr>
              <w:t>fees</w:t>
            </w:r>
            <w:r>
              <w:rPr>
                <w:spacing w:val="5"/>
                <w:sz w:val="18"/>
              </w:rPr>
              <w:t xml:space="preserve"> </w:t>
            </w:r>
            <w:r>
              <w:rPr>
                <w:sz w:val="18"/>
              </w:rPr>
              <w:t>*</w:t>
            </w:r>
            <w:r>
              <w:rPr>
                <w:spacing w:val="-4"/>
                <w:sz w:val="18"/>
              </w:rPr>
              <w:t xml:space="preserve"> </w:t>
            </w:r>
            <w:r>
              <w:rPr>
                <w:spacing w:val="-10"/>
                <w:sz w:val="18"/>
              </w:rPr>
              <w:t>#</w:t>
            </w:r>
          </w:p>
        </w:tc>
        <w:tc>
          <w:tcPr>
            <w:tcW w:w="1139" w:type="dxa"/>
            <w:shd w:val="clear" w:color="auto" w:fill="F1F1F1"/>
          </w:tcPr>
          <w:p w14:paraId="1C25D28B" w14:textId="77777777" w:rsidR="00AC6F3C" w:rsidRDefault="00570E88">
            <w:pPr>
              <w:pStyle w:val="TableParagraph"/>
              <w:spacing w:before="43"/>
              <w:ind w:right="36"/>
              <w:jc w:val="right"/>
              <w:rPr>
                <w:sz w:val="18"/>
              </w:rPr>
            </w:pPr>
            <w:r>
              <w:rPr>
                <w:spacing w:val="-5"/>
                <w:sz w:val="18"/>
              </w:rPr>
              <w:t>266</w:t>
            </w:r>
          </w:p>
        </w:tc>
        <w:tc>
          <w:tcPr>
            <w:tcW w:w="1109" w:type="dxa"/>
            <w:gridSpan w:val="2"/>
          </w:tcPr>
          <w:p w14:paraId="720ADCE9" w14:textId="77777777" w:rsidR="00AC6F3C" w:rsidRDefault="00570E88">
            <w:pPr>
              <w:pStyle w:val="TableParagraph"/>
              <w:spacing w:before="43"/>
              <w:ind w:right="21"/>
              <w:jc w:val="right"/>
              <w:rPr>
                <w:sz w:val="18"/>
              </w:rPr>
            </w:pPr>
            <w:r>
              <w:rPr>
                <w:spacing w:val="-5"/>
                <w:sz w:val="18"/>
              </w:rPr>
              <w:t>215</w:t>
            </w:r>
          </w:p>
        </w:tc>
        <w:tc>
          <w:tcPr>
            <w:tcW w:w="1139" w:type="dxa"/>
            <w:shd w:val="clear" w:color="auto" w:fill="F1F1F1"/>
          </w:tcPr>
          <w:p w14:paraId="25C9BC40" w14:textId="77777777" w:rsidR="00AC6F3C" w:rsidRDefault="00570E88">
            <w:pPr>
              <w:pStyle w:val="TableParagraph"/>
              <w:spacing w:before="43"/>
              <w:ind w:right="37"/>
              <w:jc w:val="right"/>
              <w:rPr>
                <w:sz w:val="18"/>
              </w:rPr>
            </w:pPr>
            <w:r>
              <w:rPr>
                <w:spacing w:val="-5"/>
                <w:sz w:val="18"/>
              </w:rPr>
              <w:t>117</w:t>
            </w:r>
          </w:p>
        </w:tc>
        <w:tc>
          <w:tcPr>
            <w:tcW w:w="1116" w:type="dxa"/>
            <w:gridSpan w:val="2"/>
            <w:tcBorders>
              <w:right w:val="single" w:sz="6" w:space="0" w:color="000000"/>
            </w:tcBorders>
          </w:tcPr>
          <w:p w14:paraId="4747A26A" w14:textId="77777777" w:rsidR="00AC6F3C" w:rsidRDefault="00570E88">
            <w:pPr>
              <w:pStyle w:val="TableParagraph"/>
              <w:spacing w:before="43"/>
              <w:ind w:right="22"/>
              <w:jc w:val="right"/>
              <w:rPr>
                <w:sz w:val="18"/>
              </w:rPr>
            </w:pPr>
            <w:r>
              <w:rPr>
                <w:spacing w:val="-5"/>
                <w:sz w:val="18"/>
              </w:rPr>
              <w:t>86</w:t>
            </w:r>
          </w:p>
        </w:tc>
      </w:tr>
      <w:tr w:rsidR="00AC6F3C" w14:paraId="2EE050AB" w14:textId="77777777">
        <w:trPr>
          <w:trHeight w:val="299"/>
        </w:trPr>
        <w:tc>
          <w:tcPr>
            <w:tcW w:w="3843" w:type="dxa"/>
            <w:tcBorders>
              <w:left w:val="single" w:sz="6" w:space="0" w:color="000000"/>
            </w:tcBorders>
          </w:tcPr>
          <w:p w14:paraId="70FFBDDB" w14:textId="77777777" w:rsidR="00AC6F3C" w:rsidRDefault="00570E88">
            <w:pPr>
              <w:pStyle w:val="TableParagraph"/>
              <w:spacing w:before="43"/>
              <w:ind w:left="37"/>
              <w:rPr>
                <w:sz w:val="18"/>
              </w:rPr>
            </w:pPr>
            <w:r>
              <w:rPr>
                <w:sz w:val="18"/>
              </w:rPr>
              <w:t>Bad</w:t>
            </w:r>
            <w:r>
              <w:rPr>
                <w:spacing w:val="-2"/>
                <w:sz w:val="18"/>
              </w:rPr>
              <w:t xml:space="preserve"> debts</w:t>
            </w:r>
          </w:p>
        </w:tc>
        <w:tc>
          <w:tcPr>
            <w:tcW w:w="1139" w:type="dxa"/>
            <w:shd w:val="clear" w:color="auto" w:fill="F1F1F1"/>
          </w:tcPr>
          <w:p w14:paraId="1E235CDE" w14:textId="77777777" w:rsidR="00AC6F3C" w:rsidRDefault="00570E88">
            <w:pPr>
              <w:pStyle w:val="TableParagraph"/>
              <w:spacing w:before="43"/>
              <w:ind w:right="36"/>
              <w:jc w:val="right"/>
              <w:rPr>
                <w:sz w:val="18"/>
              </w:rPr>
            </w:pPr>
            <w:r>
              <w:rPr>
                <w:spacing w:val="-5"/>
                <w:sz w:val="18"/>
              </w:rPr>
              <w:t>44</w:t>
            </w:r>
          </w:p>
        </w:tc>
        <w:tc>
          <w:tcPr>
            <w:tcW w:w="1109" w:type="dxa"/>
            <w:gridSpan w:val="2"/>
          </w:tcPr>
          <w:p w14:paraId="4DAE701D" w14:textId="77777777" w:rsidR="00AC6F3C" w:rsidRDefault="00570E88">
            <w:pPr>
              <w:pStyle w:val="TableParagraph"/>
              <w:spacing w:before="43"/>
              <w:ind w:right="21"/>
              <w:jc w:val="right"/>
              <w:rPr>
                <w:sz w:val="18"/>
              </w:rPr>
            </w:pPr>
            <w:r>
              <w:rPr>
                <w:spacing w:val="-5"/>
                <w:sz w:val="18"/>
              </w:rPr>
              <w:t>53</w:t>
            </w:r>
          </w:p>
        </w:tc>
        <w:tc>
          <w:tcPr>
            <w:tcW w:w="1139" w:type="dxa"/>
            <w:shd w:val="clear" w:color="auto" w:fill="F1F1F1"/>
          </w:tcPr>
          <w:p w14:paraId="380FDC9B" w14:textId="77777777" w:rsidR="00AC6F3C" w:rsidRDefault="00570E88">
            <w:pPr>
              <w:pStyle w:val="TableParagraph"/>
              <w:spacing w:before="43"/>
              <w:ind w:right="37"/>
              <w:jc w:val="right"/>
              <w:rPr>
                <w:sz w:val="18"/>
              </w:rPr>
            </w:pPr>
            <w:r>
              <w:rPr>
                <w:spacing w:val="-5"/>
                <w:sz w:val="18"/>
              </w:rPr>
              <w:t>49</w:t>
            </w:r>
          </w:p>
        </w:tc>
        <w:tc>
          <w:tcPr>
            <w:tcW w:w="1116" w:type="dxa"/>
            <w:gridSpan w:val="2"/>
            <w:tcBorders>
              <w:right w:val="single" w:sz="6" w:space="0" w:color="000000"/>
            </w:tcBorders>
          </w:tcPr>
          <w:p w14:paraId="538EF881" w14:textId="77777777" w:rsidR="00AC6F3C" w:rsidRDefault="00570E88">
            <w:pPr>
              <w:pStyle w:val="TableParagraph"/>
              <w:spacing w:before="43"/>
              <w:ind w:right="22"/>
              <w:jc w:val="right"/>
              <w:rPr>
                <w:sz w:val="18"/>
              </w:rPr>
            </w:pPr>
            <w:r>
              <w:rPr>
                <w:spacing w:val="-5"/>
                <w:sz w:val="18"/>
              </w:rPr>
              <w:t>87</w:t>
            </w:r>
          </w:p>
        </w:tc>
      </w:tr>
      <w:tr w:rsidR="00AC6F3C" w14:paraId="1D10A4C6" w14:textId="77777777">
        <w:trPr>
          <w:trHeight w:val="299"/>
        </w:trPr>
        <w:tc>
          <w:tcPr>
            <w:tcW w:w="3843" w:type="dxa"/>
            <w:tcBorders>
              <w:left w:val="single" w:sz="6" w:space="0" w:color="000000"/>
            </w:tcBorders>
          </w:tcPr>
          <w:p w14:paraId="6E8387DC" w14:textId="77777777" w:rsidR="00AC6F3C" w:rsidRDefault="00570E88">
            <w:pPr>
              <w:pStyle w:val="TableParagraph"/>
              <w:spacing w:before="43"/>
              <w:ind w:left="37"/>
              <w:rPr>
                <w:sz w:val="18"/>
              </w:rPr>
            </w:pPr>
            <w:r>
              <w:rPr>
                <w:sz w:val="18"/>
              </w:rPr>
              <w:t>Body</w:t>
            </w:r>
            <w:r>
              <w:rPr>
                <w:spacing w:val="-21"/>
                <w:sz w:val="18"/>
              </w:rPr>
              <w:t xml:space="preserve"> </w:t>
            </w:r>
            <w:r>
              <w:rPr>
                <w:sz w:val="18"/>
              </w:rPr>
              <w:t>corporate,</w:t>
            </w:r>
            <w:r>
              <w:rPr>
                <w:spacing w:val="-10"/>
                <w:sz w:val="18"/>
              </w:rPr>
              <w:t xml:space="preserve"> </w:t>
            </w:r>
            <w:r>
              <w:rPr>
                <w:sz w:val="18"/>
              </w:rPr>
              <w:t>electricity,</w:t>
            </w:r>
            <w:r>
              <w:rPr>
                <w:spacing w:val="-11"/>
                <w:sz w:val="18"/>
              </w:rPr>
              <w:t xml:space="preserve"> </w:t>
            </w:r>
            <w:r>
              <w:rPr>
                <w:sz w:val="18"/>
              </w:rPr>
              <w:t>rates</w:t>
            </w:r>
            <w:r>
              <w:rPr>
                <w:spacing w:val="10"/>
                <w:sz w:val="18"/>
              </w:rPr>
              <w:t xml:space="preserve"> </w:t>
            </w:r>
            <w:r>
              <w:rPr>
                <w:sz w:val="18"/>
              </w:rPr>
              <w:t xml:space="preserve">and </w:t>
            </w:r>
            <w:r>
              <w:rPr>
                <w:spacing w:val="-4"/>
                <w:sz w:val="18"/>
              </w:rPr>
              <w:t>taxes</w:t>
            </w:r>
          </w:p>
        </w:tc>
        <w:tc>
          <w:tcPr>
            <w:tcW w:w="1139" w:type="dxa"/>
            <w:shd w:val="clear" w:color="auto" w:fill="F1F1F1"/>
          </w:tcPr>
          <w:p w14:paraId="46FFF7A9" w14:textId="77777777" w:rsidR="00AC6F3C" w:rsidRDefault="00570E88">
            <w:pPr>
              <w:pStyle w:val="TableParagraph"/>
              <w:spacing w:before="43"/>
              <w:ind w:right="36"/>
              <w:jc w:val="right"/>
              <w:rPr>
                <w:sz w:val="18"/>
              </w:rPr>
            </w:pPr>
            <w:r>
              <w:rPr>
                <w:spacing w:val="-5"/>
                <w:sz w:val="18"/>
              </w:rPr>
              <w:t>509</w:t>
            </w:r>
          </w:p>
        </w:tc>
        <w:tc>
          <w:tcPr>
            <w:tcW w:w="1109" w:type="dxa"/>
            <w:gridSpan w:val="2"/>
          </w:tcPr>
          <w:p w14:paraId="64CCE83B" w14:textId="77777777" w:rsidR="00AC6F3C" w:rsidRDefault="00570E88">
            <w:pPr>
              <w:pStyle w:val="TableParagraph"/>
              <w:spacing w:before="43"/>
              <w:ind w:right="21"/>
              <w:jc w:val="right"/>
              <w:rPr>
                <w:sz w:val="18"/>
              </w:rPr>
            </w:pPr>
            <w:r>
              <w:rPr>
                <w:spacing w:val="-5"/>
                <w:sz w:val="18"/>
              </w:rPr>
              <w:t>507</w:t>
            </w:r>
          </w:p>
        </w:tc>
        <w:tc>
          <w:tcPr>
            <w:tcW w:w="1139" w:type="dxa"/>
            <w:shd w:val="clear" w:color="auto" w:fill="F1F1F1"/>
          </w:tcPr>
          <w:p w14:paraId="23F61779" w14:textId="77777777" w:rsidR="00AC6F3C" w:rsidRDefault="00570E88">
            <w:pPr>
              <w:pStyle w:val="TableParagraph"/>
              <w:spacing w:before="43"/>
              <w:ind w:right="37"/>
              <w:jc w:val="right"/>
              <w:rPr>
                <w:sz w:val="18"/>
              </w:rPr>
            </w:pPr>
            <w:r>
              <w:rPr>
                <w:spacing w:val="-5"/>
                <w:sz w:val="18"/>
              </w:rPr>
              <w:t>506</w:t>
            </w:r>
          </w:p>
        </w:tc>
        <w:tc>
          <w:tcPr>
            <w:tcW w:w="1116" w:type="dxa"/>
            <w:gridSpan w:val="2"/>
            <w:tcBorders>
              <w:right w:val="single" w:sz="6" w:space="0" w:color="000000"/>
            </w:tcBorders>
          </w:tcPr>
          <w:p w14:paraId="32EF2FFC" w14:textId="77777777" w:rsidR="00AC6F3C" w:rsidRDefault="00570E88">
            <w:pPr>
              <w:pStyle w:val="TableParagraph"/>
              <w:spacing w:before="43"/>
              <w:ind w:right="22"/>
              <w:jc w:val="right"/>
              <w:rPr>
                <w:sz w:val="18"/>
              </w:rPr>
            </w:pPr>
            <w:r>
              <w:rPr>
                <w:spacing w:val="-5"/>
                <w:sz w:val="18"/>
              </w:rPr>
              <w:t>503</w:t>
            </w:r>
          </w:p>
        </w:tc>
      </w:tr>
      <w:tr w:rsidR="00AC6F3C" w14:paraId="13A359FA" w14:textId="77777777">
        <w:trPr>
          <w:trHeight w:val="299"/>
        </w:trPr>
        <w:tc>
          <w:tcPr>
            <w:tcW w:w="3843" w:type="dxa"/>
            <w:tcBorders>
              <w:left w:val="single" w:sz="6" w:space="0" w:color="000000"/>
            </w:tcBorders>
          </w:tcPr>
          <w:p w14:paraId="228E0BAF" w14:textId="77777777" w:rsidR="00AC6F3C" w:rsidRDefault="00570E88">
            <w:pPr>
              <w:pStyle w:val="TableParagraph"/>
              <w:spacing w:before="43"/>
              <w:ind w:left="37"/>
              <w:rPr>
                <w:sz w:val="18"/>
              </w:rPr>
            </w:pPr>
            <w:r>
              <w:rPr>
                <w:sz w:val="18"/>
              </w:rPr>
              <w:t>Captive</w:t>
            </w:r>
            <w:r>
              <w:rPr>
                <w:spacing w:val="7"/>
                <w:sz w:val="18"/>
              </w:rPr>
              <w:t xml:space="preserve"> </w:t>
            </w:r>
            <w:r>
              <w:rPr>
                <w:sz w:val="18"/>
              </w:rPr>
              <w:t>managers</w:t>
            </w:r>
            <w:r>
              <w:rPr>
                <w:spacing w:val="19"/>
                <w:sz w:val="18"/>
              </w:rPr>
              <w:t xml:space="preserve"> </w:t>
            </w:r>
            <w:r>
              <w:rPr>
                <w:spacing w:val="-5"/>
                <w:sz w:val="18"/>
              </w:rPr>
              <w:t>fee</w:t>
            </w:r>
          </w:p>
        </w:tc>
        <w:tc>
          <w:tcPr>
            <w:tcW w:w="1139" w:type="dxa"/>
            <w:shd w:val="clear" w:color="auto" w:fill="F1F1F1"/>
          </w:tcPr>
          <w:p w14:paraId="3E63048D" w14:textId="77777777" w:rsidR="00AC6F3C" w:rsidRDefault="00570E88">
            <w:pPr>
              <w:pStyle w:val="TableParagraph"/>
              <w:spacing w:before="43"/>
              <w:ind w:right="36"/>
              <w:jc w:val="right"/>
              <w:rPr>
                <w:sz w:val="18"/>
              </w:rPr>
            </w:pPr>
            <w:r>
              <w:rPr>
                <w:spacing w:val="-5"/>
                <w:sz w:val="18"/>
              </w:rPr>
              <w:t>109</w:t>
            </w:r>
          </w:p>
        </w:tc>
        <w:tc>
          <w:tcPr>
            <w:tcW w:w="1109" w:type="dxa"/>
            <w:gridSpan w:val="2"/>
          </w:tcPr>
          <w:p w14:paraId="77B2761A" w14:textId="77777777" w:rsidR="00AC6F3C" w:rsidRDefault="00570E88">
            <w:pPr>
              <w:pStyle w:val="TableParagraph"/>
              <w:spacing w:before="43"/>
              <w:ind w:right="21"/>
              <w:jc w:val="right"/>
              <w:rPr>
                <w:sz w:val="18"/>
              </w:rPr>
            </w:pPr>
            <w:r>
              <w:rPr>
                <w:spacing w:val="-5"/>
                <w:sz w:val="18"/>
              </w:rPr>
              <w:t>106</w:t>
            </w:r>
          </w:p>
        </w:tc>
        <w:tc>
          <w:tcPr>
            <w:tcW w:w="1139" w:type="dxa"/>
            <w:shd w:val="clear" w:color="auto" w:fill="F1F1F1"/>
          </w:tcPr>
          <w:p w14:paraId="1469BE55"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37B77229" w14:textId="77777777" w:rsidR="00AC6F3C" w:rsidRDefault="00570E88">
            <w:pPr>
              <w:pStyle w:val="TableParagraph"/>
              <w:spacing w:before="43"/>
              <w:ind w:right="22"/>
              <w:jc w:val="right"/>
              <w:rPr>
                <w:sz w:val="18"/>
              </w:rPr>
            </w:pPr>
            <w:r>
              <w:rPr>
                <w:w w:val="99"/>
                <w:sz w:val="18"/>
              </w:rPr>
              <w:t>-</w:t>
            </w:r>
          </w:p>
        </w:tc>
      </w:tr>
      <w:tr w:rsidR="00AC6F3C" w14:paraId="5E9AE3EB" w14:textId="77777777">
        <w:trPr>
          <w:trHeight w:val="299"/>
        </w:trPr>
        <w:tc>
          <w:tcPr>
            <w:tcW w:w="3843" w:type="dxa"/>
            <w:tcBorders>
              <w:left w:val="single" w:sz="6" w:space="0" w:color="000000"/>
            </w:tcBorders>
          </w:tcPr>
          <w:p w14:paraId="7CBF7F71" w14:textId="77777777" w:rsidR="00AC6F3C" w:rsidRDefault="00570E88">
            <w:pPr>
              <w:pStyle w:val="TableParagraph"/>
              <w:spacing w:before="43"/>
              <w:ind w:left="37"/>
              <w:rPr>
                <w:sz w:val="18"/>
              </w:rPr>
            </w:pPr>
            <w:r>
              <w:rPr>
                <w:sz w:val="18"/>
              </w:rPr>
              <w:t>Catering,</w:t>
            </w:r>
            <w:r>
              <w:rPr>
                <w:spacing w:val="-6"/>
                <w:sz w:val="18"/>
              </w:rPr>
              <w:t xml:space="preserve"> </w:t>
            </w:r>
            <w:r>
              <w:rPr>
                <w:sz w:val="18"/>
              </w:rPr>
              <w:t>functions</w:t>
            </w:r>
            <w:r>
              <w:rPr>
                <w:spacing w:val="19"/>
                <w:sz w:val="18"/>
              </w:rPr>
              <w:t xml:space="preserve"> </w:t>
            </w:r>
            <w:r>
              <w:rPr>
                <w:sz w:val="18"/>
              </w:rPr>
              <w:t>and</w:t>
            </w:r>
            <w:r>
              <w:rPr>
                <w:spacing w:val="6"/>
                <w:sz w:val="18"/>
              </w:rPr>
              <w:t xml:space="preserve"> </w:t>
            </w:r>
            <w:r>
              <w:rPr>
                <w:spacing w:val="-2"/>
                <w:sz w:val="18"/>
              </w:rPr>
              <w:t>entertainment</w:t>
            </w:r>
          </w:p>
        </w:tc>
        <w:tc>
          <w:tcPr>
            <w:tcW w:w="1139" w:type="dxa"/>
            <w:shd w:val="clear" w:color="auto" w:fill="F1F1F1"/>
          </w:tcPr>
          <w:p w14:paraId="59891805" w14:textId="77777777" w:rsidR="00AC6F3C" w:rsidRDefault="00570E88">
            <w:pPr>
              <w:pStyle w:val="TableParagraph"/>
              <w:spacing w:before="43"/>
              <w:ind w:right="36"/>
              <w:jc w:val="right"/>
              <w:rPr>
                <w:sz w:val="18"/>
              </w:rPr>
            </w:pPr>
            <w:r>
              <w:rPr>
                <w:spacing w:val="-5"/>
                <w:sz w:val="18"/>
              </w:rPr>
              <w:t>408</w:t>
            </w:r>
          </w:p>
        </w:tc>
        <w:tc>
          <w:tcPr>
            <w:tcW w:w="1109" w:type="dxa"/>
            <w:gridSpan w:val="2"/>
          </w:tcPr>
          <w:p w14:paraId="7B6B6F53" w14:textId="77777777" w:rsidR="00AC6F3C" w:rsidRDefault="00570E88">
            <w:pPr>
              <w:pStyle w:val="TableParagraph"/>
              <w:spacing w:before="43"/>
              <w:ind w:right="21"/>
              <w:jc w:val="right"/>
              <w:rPr>
                <w:sz w:val="18"/>
              </w:rPr>
            </w:pPr>
            <w:r>
              <w:rPr>
                <w:spacing w:val="-5"/>
                <w:sz w:val="18"/>
              </w:rPr>
              <w:t>232</w:t>
            </w:r>
          </w:p>
        </w:tc>
        <w:tc>
          <w:tcPr>
            <w:tcW w:w="1139" w:type="dxa"/>
            <w:shd w:val="clear" w:color="auto" w:fill="F1F1F1"/>
          </w:tcPr>
          <w:p w14:paraId="639AB87D" w14:textId="77777777" w:rsidR="00AC6F3C" w:rsidRDefault="00570E88">
            <w:pPr>
              <w:pStyle w:val="TableParagraph"/>
              <w:spacing w:before="43"/>
              <w:ind w:right="37"/>
              <w:jc w:val="right"/>
              <w:rPr>
                <w:sz w:val="18"/>
              </w:rPr>
            </w:pPr>
            <w:r>
              <w:rPr>
                <w:spacing w:val="-5"/>
                <w:sz w:val="18"/>
              </w:rPr>
              <w:t>382</w:t>
            </w:r>
          </w:p>
        </w:tc>
        <w:tc>
          <w:tcPr>
            <w:tcW w:w="1116" w:type="dxa"/>
            <w:gridSpan w:val="2"/>
            <w:tcBorders>
              <w:right w:val="single" w:sz="6" w:space="0" w:color="000000"/>
            </w:tcBorders>
          </w:tcPr>
          <w:p w14:paraId="41A47EA2" w14:textId="77777777" w:rsidR="00AC6F3C" w:rsidRDefault="00570E88">
            <w:pPr>
              <w:pStyle w:val="TableParagraph"/>
              <w:spacing w:before="43"/>
              <w:ind w:right="22"/>
              <w:jc w:val="right"/>
              <w:rPr>
                <w:sz w:val="18"/>
              </w:rPr>
            </w:pPr>
            <w:r>
              <w:rPr>
                <w:spacing w:val="-5"/>
                <w:sz w:val="18"/>
              </w:rPr>
              <w:t>208</w:t>
            </w:r>
          </w:p>
        </w:tc>
      </w:tr>
      <w:tr w:rsidR="00AC6F3C" w14:paraId="605899D1" w14:textId="77777777">
        <w:trPr>
          <w:trHeight w:val="299"/>
        </w:trPr>
        <w:tc>
          <w:tcPr>
            <w:tcW w:w="3843" w:type="dxa"/>
            <w:tcBorders>
              <w:left w:val="single" w:sz="6" w:space="0" w:color="000000"/>
            </w:tcBorders>
          </w:tcPr>
          <w:p w14:paraId="77268AC1" w14:textId="77777777" w:rsidR="00AC6F3C" w:rsidRDefault="00570E88">
            <w:pPr>
              <w:pStyle w:val="TableParagraph"/>
              <w:spacing w:before="43"/>
              <w:ind w:left="37"/>
              <w:rPr>
                <w:sz w:val="18"/>
              </w:rPr>
            </w:pPr>
            <w:r>
              <w:rPr>
                <w:sz w:val="18"/>
              </w:rPr>
              <w:t>Regulatory</w:t>
            </w:r>
            <w:r>
              <w:rPr>
                <w:spacing w:val="-15"/>
                <w:sz w:val="18"/>
              </w:rPr>
              <w:t xml:space="preserve"> </w:t>
            </w:r>
            <w:r>
              <w:rPr>
                <w:sz w:val="18"/>
              </w:rPr>
              <w:t>audits</w:t>
            </w:r>
            <w:r>
              <w:rPr>
                <w:spacing w:val="21"/>
                <w:sz w:val="18"/>
              </w:rPr>
              <w:t xml:space="preserve"> </w:t>
            </w:r>
            <w:r>
              <w:rPr>
                <w:sz w:val="18"/>
              </w:rPr>
              <w:t>and</w:t>
            </w:r>
            <w:r>
              <w:rPr>
                <w:spacing w:val="9"/>
                <w:sz w:val="18"/>
              </w:rPr>
              <w:t xml:space="preserve"> </w:t>
            </w:r>
            <w:r>
              <w:rPr>
                <w:spacing w:val="-2"/>
                <w:sz w:val="18"/>
              </w:rPr>
              <w:t>investigations</w:t>
            </w:r>
          </w:p>
        </w:tc>
        <w:tc>
          <w:tcPr>
            <w:tcW w:w="1139" w:type="dxa"/>
            <w:shd w:val="clear" w:color="auto" w:fill="F1F1F1"/>
          </w:tcPr>
          <w:p w14:paraId="1CA60CE5" w14:textId="77777777" w:rsidR="00AC6F3C" w:rsidRDefault="00570E88">
            <w:pPr>
              <w:pStyle w:val="TableParagraph"/>
              <w:spacing w:before="43"/>
              <w:ind w:right="36"/>
              <w:jc w:val="right"/>
              <w:rPr>
                <w:sz w:val="18"/>
              </w:rPr>
            </w:pPr>
            <w:r>
              <w:rPr>
                <w:spacing w:val="-5"/>
                <w:sz w:val="18"/>
              </w:rPr>
              <w:t>40</w:t>
            </w:r>
          </w:p>
        </w:tc>
        <w:tc>
          <w:tcPr>
            <w:tcW w:w="1109" w:type="dxa"/>
            <w:gridSpan w:val="2"/>
          </w:tcPr>
          <w:p w14:paraId="29496D8E" w14:textId="77777777" w:rsidR="00AC6F3C" w:rsidRDefault="00570E88">
            <w:pPr>
              <w:pStyle w:val="TableParagraph"/>
              <w:spacing w:before="43"/>
              <w:ind w:right="21"/>
              <w:jc w:val="right"/>
              <w:rPr>
                <w:sz w:val="18"/>
              </w:rPr>
            </w:pPr>
            <w:r>
              <w:rPr>
                <w:spacing w:val="-5"/>
                <w:sz w:val="18"/>
              </w:rPr>
              <w:t>67</w:t>
            </w:r>
          </w:p>
        </w:tc>
        <w:tc>
          <w:tcPr>
            <w:tcW w:w="1139" w:type="dxa"/>
            <w:shd w:val="clear" w:color="auto" w:fill="F1F1F1"/>
          </w:tcPr>
          <w:p w14:paraId="00FCBB8E" w14:textId="77777777" w:rsidR="00AC6F3C" w:rsidRDefault="00570E88">
            <w:pPr>
              <w:pStyle w:val="TableParagraph"/>
              <w:spacing w:before="43"/>
              <w:ind w:right="37"/>
              <w:jc w:val="right"/>
              <w:rPr>
                <w:sz w:val="18"/>
              </w:rPr>
            </w:pPr>
            <w:r>
              <w:rPr>
                <w:spacing w:val="-5"/>
                <w:sz w:val="18"/>
              </w:rPr>
              <w:t>40</w:t>
            </w:r>
          </w:p>
        </w:tc>
        <w:tc>
          <w:tcPr>
            <w:tcW w:w="1116" w:type="dxa"/>
            <w:gridSpan w:val="2"/>
            <w:tcBorders>
              <w:right w:val="single" w:sz="6" w:space="0" w:color="000000"/>
            </w:tcBorders>
          </w:tcPr>
          <w:p w14:paraId="7AB3D754" w14:textId="77777777" w:rsidR="00AC6F3C" w:rsidRDefault="00570E88">
            <w:pPr>
              <w:pStyle w:val="TableParagraph"/>
              <w:spacing w:before="43"/>
              <w:ind w:right="22"/>
              <w:jc w:val="right"/>
              <w:rPr>
                <w:sz w:val="18"/>
              </w:rPr>
            </w:pPr>
            <w:r>
              <w:rPr>
                <w:spacing w:val="-5"/>
                <w:sz w:val="18"/>
              </w:rPr>
              <w:t>67</w:t>
            </w:r>
          </w:p>
        </w:tc>
      </w:tr>
      <w:tr w:rsidR="00AC6F3C" w14:paraId="4822B189" w14:textId="77777777">
        <w:trPr>
          <w:trHeight w:val="299"/>
        </w:trPr>
        <w:tc>
          <w:tcPr>
            <w:tcW w:w="3843" w:type="dxa"/>
            <w:tcBorders>
              <w:left w:val="single" w:sz="6" w:space="0" w:color="000000"/>
            </w:tcBorders>
          </w:tcPr>
          <w:p w14:paraId="4211C64F" w14:textId="77777777" w:rsidR="00AC6F3C" w:rsidRDefault="00570E88">
            <w:pPr>
              <w:pStyle w:val="TableParagraph"/>
              <w:spacing w:before="43"/>
              <w:ind w:left="37"/>
              <w:rPr>
                <w:sz w:val="18"/>
              </w:rPr>
            </w:pPr>
            <w:r>
              <w:rPr>
                <w:sz w:val="18"/>
              </w:rPr>
              <w:t>Directors'</w:t>
            </w:r>
            <w:r>
              <w:rPr>
                <w:spacing w:val="9"/>
                <w:sz w:val="18"/>
              </w:rPr>
              <w:t xml:space="preserve"> </w:t>
            </w:r>
            <w:r>
              <w:rPr>
                <w:spacing w:val="-4"/>
                <w:sz w:val="18"/>
              </w:rPr>
              <w:t>fees</w:t>
            </w:r>
          </w:p>
        </w:tc>
        <w:tc>
          <w:tcPr>
            <w:tcW w:w="1139" w:type="dxa"/>
            <w:shd w:val="clear" w:color="auto" w:fill="F1F1F1"/>
          </w:tcPr>
          <w:p w14:paraId="3EF1A74E" w14:textId="77777777" w:rsidR="00AC6F3C" w:rsidRDefault="00570E88">
            <w:pPr>
              <w:pStyle w:val="TableParagraph"/>
              <w:spacing w:before="43"/>
              <w:ind w:right="36"/>
              <w:jc w:val="right"/>
              <w:rPr>
                <w:sz w:val="18"/>
              </w:rPr>
            </w:pPr>
            <w:r>
              <w:rPr>
                <w:spacing w:val="-5"/>
                <w:sz w:val="18"/>
              </w:rPr>
              <w:t>478</w:t>
            </w:r>
          </w:p>
        </w:tc>
        <w:tc>
          <w:tcPr>
            <w:tcW w:w="1109" w:type="dxa"/>
            <w:gridSpan w:val="2"/>
          </w:tcPr>
          <w:p w14:paraId="57AC36AC" w14:textId="77777777" w:rsidR="00AC6F3C" w:rsidRDefault="00570E88">
            <w:pPr>
              <w:pStyle w:val="TableParagraph"/>
              <w:spacing w:before="43"/>
              <w:ind w:right="21"/>
              <w:jc w:val="right"/>
              <w:rPr>
                <w:sz w:val="18"/>
              </w:rPr>
            </w:pPr>
            <w:r>
              <w:rPr>
                <w:spacing w:val="-5"/>
                <w:sz w:val="18"/>
              </w:rPr>
              <w:t>419</w:t>
            </w:r>
          </w:p>
        </w:tc>
        <w:tc>
          <w:tcPr>
            <w:tcW w:w="1139" w:type="dxa"/>
            <w:shd w:val="clear" w:color="auto" w:fill="F1F1F1"/>
          </w:tcPr>
          <w:p w14:paraId="04BA4E70"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7A5FCC04" w14:textId="77777777" w:rsidR="00AC6F3C" w:rsidRDefault="00570E88">
            <w:pPr>
              <w:pStyle w:val="TableParagraph"/>
              <w:spacing w:before="43"/>
              <w:ind w:right="22"/>
              <w:jc w:val="right"/>
              <w:rPr>
                <w:sz w:val="18"/>
              </w:rPr>
            </w:pPr>
            <w:r>
              <w:rPr>
                <w:w w:val="99"/>
                <w:sz w:val="18"/>
              </w:rPr>
              <w:t>-</w:t>
            </w:r>
          </w:p>
        </w:tc>
      </w:tr>
      <w:tr w:rsidR="00AC6F3C" w14:paraId="403A9D90" w14:textId="77777777">
        <w:trPr>
          <w:trHeight w:val="299"/>
        </w:trPr>
        <w:tc>
          <w:tcPr>
            <w:tcW w:w="3843" w:type="dxa"/>
            <w:tcBorders>
              <w:left w:val="single" w:sz="6" w:space="0" w:color="000000"/>
            </w:tcBorders>
          </w:tcPr>
          <w:p w14:paraId="7601A6D0" w14:textId="77777777" w:rsidR="00AC6F3C" w:rsidRDefault="00570E88">
            <w:pPr>
              <w:pStyle w:val="TableParagraph"/>
              <w:spacing w:before="43"/>
              <w:ind w:left="37"/>
              <w:rPr>
                <w:sz w:val="18"/>
              </w:rPr>
            </w:pPr>
            <w:r>
              <w:rPr>
                <w:sz w:val="18"/>
              </w:rPr>
              <w:t>Bank</w:t>
            </w:r>
            <w:r>
              <w:rPr>
                <w:spacing w:val="-3"/>
                <w:sz w:val="18"/>
              </w:rPr>
              <w:t xml:space="preserve"> </w:t>
            </w:r>
            <w:r>
              <w:rPr>
                <w:sz w:val="18"/>
              </w:rPr>
              <w:t>fees</w:t>
            </w:r>
            <w:r>
              <w:rPr>
                <w:spacing w:val="13"/>
                <w:sz w:val="18"/>
              </w:rPr>
              <w:t xml:space="preserve"> </w:t>
            </w:r>
            <w:r>
              <w:rPr>
                <w:sz w:val="18"/>
              </w:rPr>
              <w:t>and</w:t>
            </w:r>
            <w:r>
              <w:rPr>
                <w:spacing w:val="2"/>
                <w:sz w:val="18"/>
              </w:rPr>
              <w:t xml:space="preserve"> </w:t>
            </w:r>
            <w:r>
              <w:rPr>
                <w:sz w:val="18"/>
              </w:rPr>
              <w:t>finance</w:t>
            </w:r>
            <w:r>
              <w:rPr>
                <w:spacing w:val="2"/>
                <w:sz w:val="18"/>
              </w:rPr>
              <w:t xml:space="preserve"> </w:t>
            </w:r>
            <w:r>
              <w:rPr>
                <w:spacing w:val="-4"/>
                <w:sz w:val="18"/>
              </w:rPr>
              <w:t>costs</w:t>
            </w:r>
          </w:p>
        </w:tc>
        <w:tc>
          <w:tcPr>
            <w:tcW w:w="1139" w:type="dxa"/>
            <w:shd w:val="clear" w:color="auto" w:fill="F1F1F1"/>
          </w:tcPr>
          <w:p w14:paraId="386975CB" w14:textId="77777777" w:rsidR="00AC6F3C" w:rsidRDefault="00570E88">
            <w:pPr>
              <w:pStyle w:val="TableParagraph"/>
              <w:spacing w:before="43"/>
              <w:ind w:right="36"/>
              <w:jc w:val="right"/>
              <w:rPr>
                <w:sz w:val="18"/>
              </w:rPr>
            </w:pPr>
            <w:r>
              <w:rPr>
                <w:spacing w:val="-5"/>
                <w:sz w:val="18"/>
              </w:rPr>
              <w:t>82</w:t>
            </w:r>
          </w:p>
        </w:tc>
        <w:tc>
          <w:tcPr>
            <w:tcW w:w="1109" w:type="dxa"/>
            <w:gridSpan w:val="2"/>
          </w:tcPr>
          <w:p w14:paraId="40D8CCE1" w14:textId="77777777" w:rsidR="00AC6F3C" w:rsidRDefault="00570E88">
            <w:pPr>
              <w:pStyle w:val="TableParagraph"/>
              <w:spacing w:before="43"/>
              <w:ind w:right="21"/>
              <w:jc w:val="right"/>
              <w:rPr>
                <w:sz w:val="18"/>
              </w:rPr>
            </w:pPr>
            <w:r>
              <w:rPr>
                <w:spacing w:val="-5"/>
                <w:sz w:val="18"/>
              </w:rPr>
              <w:t>121</w:t>
            </w:r>
          </w:p>
        </w:tc>
        <w:tc>
          <w:tcPr>
            <w:tcW w:w="1139" w:type="dxa"/>
            <w:shd w:val="clear" w:color="auto" w:fill="F1F1F1"/>
          </w:tcPr>
          <w:p w14:paraId="5838AF4D" w14:textId="77777777" w:rsidR="00AC6F3C" w:rsidRDefault="00570E88">
            <w:pPr>
              <w:pStyle w:val="TableParagraph"/>
              <w:spacing w:before="43"/>
              <w:ind w:right="37"/>
              <w:jc w:val="right"/>
              <w:rPr>
                <w:sz w:val="18"/>
              </w:rPr>
            </w:pPr>
            <w:r>
              <w:rPr>
                <w:spacing w:val="-5"/>
                <w:sz w:val="18"/>
              </w:rPr>
              <w:t>65</w:t>
            </w:r>
          </w:p>
        </w:tc>
        <w:tc>
          <w:tcPr>
            <w:tcW w:w="1116" w:type="dxa"/>
            <w:gridSpan w:val="2"/>
            <w:tcBorders>
              <w:right w:val="single" w:sz="6" w:space="0" w:color="000000"/>
            </w:tcBorders>
          </w:tcPr>
          <w:p w14:paraId="11A9F577" w14:textId="77777777" w:rsidR="00AC6F3C" w:rsidRDefault="00570E88">
            <w:pPr>
              <w:pStyle w:val="TableParagraph"/>
              <w:spacing w:before="43"/>
              <w:ind w:right="22"/>
              <w:jc w:val="right"/>
              <w:rPr>
                <w:sz w:val="18"/>
              </w:rPr>
            </w:pPr>
            <w:r>
              <w:rPr>
                <w:spacing w:val="-5"/>
                <w:sz w:val="18"/>
              </w:rPr>
              <w:t>94</w:t>
            </w:r>
          </w:p>
        </w:tc>
      </w:tr>
      <w:tr w:rsidR="00AC6F3C" w14:paraId="30F173DB" w14:textId="77777777">
        <w:trPr>
          <w:trHeight w:val="299"/>
        </w:trPr>
        <w:tc>
          <w:tcPr>
            <w:tcW w:w="3843" w:type="dxa"/>
            <w:tcBorders>
              <w:left w:val="single" w:sz="6" w:space="0" w:color="000000"/>
            </w:tcBorders>
          </w:tcPr>
          <w:p w14:paraId="23BB7428" w14:textId="77777777" w:rsidR="00AC6F3C" w:rsidRDefault="00570E88">
            <w:pPr>
              <w:pStyle w:val="TableParagraph"/>
              <w:spacing w:before="43"/>
              <w:ind w:left="37"/>
              <w:rPr>
                <w:sz w:val="18"/>
              </w:rPr>
            </w:pPr>
            <w:r>
              <w:rPr>
                <w:sz w:val="18"/>
              </w:rPr>
              <w:t>Information</w:t>
            </w:r>
            <w:r>
              <w:rPr>
                <w:spacing w:val="9"/>
                <w:sz w:val="18"/>
              </w:rPr>
              <w:t xml:space="preserve"> </w:t>
            </w:r>
            <w:r>
              <w:rPr>
                <w:sz w:val="18"/>
              </w:rPr>
              <w:t>technology</w:t>
            </w:r>
            <w:r>
              <w:rPr>
                <w:spacing w:val="-14"/>
                <w:sz w:val="18"/>
              </w:rPr>
              <w:t xml:space="preserve"> </w:t>
            </w:r>
            <w:r>
              <w:rPr>
                <w:sz w:val="18"/>
              </w:rPr>
              <w:t>and</w:t>
            </w:r>
            <w:r>
              <w:rPr>
                <w:spacing w:val="9"/>
                <w:sz w:val="18"/>
              </w:rPr>
              <w:t xml:space="preserve"> </w:t>
            </w:r>
            <w:r>
              <w:rPr>
                <w:sz w:val="18"/>
              </w:rPr>
              <w:t>related</w:t>
            </w:r>
            <w:r>
              <w:rPr>
                <w:spacing w:val="10"/>
                <w:sz w:val="18"/>
              </w:rPr>
              <w:t xml:space="preserve"> </w:t>
            </w:r>
            <w:r>
              <w:rPr>
                <w:spacing w:val="-4"/>
                <w:sz w:val="18"/>
              </w:rPr>
              <w:t>costs</w:t>
            </w:r>
          </w:p>
        </w:tc>
        <w:tc>
          <w:tcPr>
            <w:tcW w:w="1139" w:type="dxa"/>
            <w:shd w:val="clear" w:color="auto" w:fill="F1F1F1"/>
          </w:tcPr>
          <w:p w14:paraId="6963EA03" w14:textId="77777777" w:rsidR="00AC6F3C" w:rsidRDefault="00570E88">
            <w:pPr>
              <w:pStyle w:val="TableParagraph"/>
              <w:spacing w:before="43"/>
              <w:ind w:right="36"/>
              <w:jc w:val="right"/>
              <w:rPr>
                <w:sz w:val="18"/>
              </w:rPr>
            </w:pPr>
            <w:r>
              <w:rPr>
                <w:spacing w:val="-2"/>
                <w:sz w:val="18"/>
              </w:rPr>
              <w:t>2,389</w:t>
            </w:r>
          </w:p>
        </w:tc>
        <w:tc>
          <w:tcPr>
            <w:tcW w:w="1109" w:type="dxa"/>
            <w:gridSpan w:val="2"/>
          </w:tcPr>
          <w:p w14:paraId="391559DF" w14:textId="77777777" w:rsidR="00AC6F3C" w:rsidRDefault="00570E88">
            <w:pPr>
              <w:pStyle w:val="TableParagraph"/>
              <w:spacing w:before="43"/>
              <w:ind w:left="620"/>
              <w:rPr>
                <w:sz w:val="18"/>
              </w:rPr>
            </w:pPr>
            <w:r>
              <w:rPr>
                <w:spacing w:val="-2"/>
                <w:sz w:val="18"/>
              </w:rPr>
              <w:t>1,829</w:t>
            </w:r>
          </w:p>
        </w:tc>
        <w:tc>
          <w:tcPr>
            <w:tcW w:w="1139" w:type="dxa"/>
            <w:shd w:val="clear" w:color="auto" w:fill="F1F1F1"/>
          </w:tcPr>
          <w:p w14:paraId="03257F41" w14:textId="77777777" w:rsidR="00AC6F3C" w:rsidRDefault="00570E88">
            <w:pPr>
              <w:pStyle w:val="TableParagraph"/>
              <w:spacing w:before="43"/>
              <w:ind w:right="37"/>
              <w:jc w:val="right"/>
              <w:rPr>
                <w:sz w:val="18"/>
              </w:rPr>
            </w:pPr>
            <w:r>
              <w:rPr>
                <w:spacing w:val="-2"/>
                <w:sz w:val="18"/>
              </w:rPr>
              <w:t>1,806</w:t>
            </w:r>
          </w:p>
        </w:tc>
        <w:tc>
          <w:tcPr>
            <w:tcW w:w="1116" w:type="dxa"/>
            <w:gridSpan w:val="2"/>
            <w:tcBorders>
              <w:right w:val="single" w:sz="6" w:space="0" w:color="000000"/>
            </w:tcBorders>
          </w:tcPr>
          <w:p w14:paraId="508F9FC7" w14:textId="77777777" w:rsidR="00AC6F3C" w:rsidRDefault="00570E88">
            <w:pPr>
              <w:pStyle w:val="TableParagraph"/>
              <w:spacing w:before="43"/>
              <w:ind w:left="620"/>
              <w:rPr>
                <w:sz w:val="18"/>
              </w:rPr>
            </w:pPr>
            <w:r>
              <w:rPr>
                <w:spacing w:val="-2"/>
                <w:sz w:val="18"/>
              </w:rPr>
              <w:t>1,260</w:t>
            </w:r>
          </w:p>
        </w:tc>
      </w:tr>
      <w:tr w:rsidR="00AC6F3C" w14:paraId="0F1A0894" w14:textId="77777777">
        <w:trPr>
          <w:trHeight w:val="299"/>
        </w:trPr>
        <w:tc>
          <w:tcPr>
            <w:tcW w:w="3843" w:type="dxa"/>
            <w:tcBorders>
              <w:left w:val="single" w:sz="6" w:space="0" w:color="000000"/>
            </w:tcBorders>
          </w:tcPr>
          <w:p w14:paraId="39F66BE1" w14:textId="77777777" w:rsidR="00AC6F3C" w:rsidRDefault="00570E88">
            <w:pPr>
              <w:pStyle w:val="TableParagraph"/>
              <w:spacing w:before="43"/>
              <w:ind w:left="37"/>
              <w:rPr>
                <w:sz w:val="18"/>
              </w:rPr>
            </w:pPr>
            <w:r>
              <w:rPr>
                <w:sz w:val="18"/>
              </w:rPr>
              <w:t>Investment</w:t>
            </w:r>
            <w:r>
              <w:rPr>
                <w:spacing w:val="18"/>
                <w:sz w:val="18"/>
              </w:rPr>
              <w:t xml:space="preserve"> </w:t>
            </w:r>
            <w:r>
              <w:rPr>
                <w:sz w:val="18"/>
              </w:rPr>
              <w:t>management</w:t>
            </w:r>
            <w:r>
              <w:rPr>
                <w:spacing w:val="18"/>
                <w:sz w:val="18"/>
              </w:rPr>
              <w:t xml:space="preserve"> </w:t>
            </w:r>
            <w:r>
              <w:rPr>
                <w:spacing w:val="-4"/>
                <w:sz w:val="18"/>
              </w:rPr>
              <w:t>fees</w:t>
            </w:r>
          </w:p>
        </w:tc>
        <w:tc>
          <w:tcPr>
            <w:tcW w:w="1139" w:type="dxa"/>
            <w:shd w:val="clear" w:color="auto" w:fill="F1F1F1"/>
          </w:tcPr>
          <w:p w14:paraId="3D956FFA" w14:textId="77777777" w:rsidR="00AC6F3C" w:rsidRDefault="00570E88">
            <w:pPr>
              <w:pStyle w:val="TableParagraph"/>
              <w:spacing w:before="43"/>
              <w:ind w:right="36"/>
              <w:jc w:val="right"/>
              <w:rPr>
                <w:sz w:val="18"/>
              </w:rPr>
            </w:pPr>
            <w:r>
              <w:rPr>
                <w:spacing w:val="-5"/>
                <w:sz w:val="18"/>
              </w:rPr>
              <w:t>763</w:t>
            </w:r>
          </w:p>
        </w:tc>
        <w:tc>
          <w:tcPr>
            <w:tcW w:w="1109" w:type="dxa"/>
            <w:gridSpan w:val="2"/>
          </w:tcPr>
          <w:p w14:paraId="28F5B079" w14:textId="77777777" w:rsidR="00AC6F3C" w:rsidRDefault="00570E88">
            <w:pPr>
              <w:pStyle w:val="TableParagraph"/>
              <w:spacing w:before="43"/>
              <w:ind w:right="21"/>
              <w:jc w:val="right"/>
              <w:rPr>
                <w:sz w:val="18"/>
              </w:rPr>
            </w:pPr>
            <w:r>
              <w:rPr>
                <w:spacing w:val="-5"/>
                <w:sz w:val="18"/>
              </w:rPr>
              <w:t>783</w:t>
            </w:r>
          </w:p>
        </w:tc>
        <w:tc>
          <w:tcPr>
            <w:tcW w:w="1139" w:type="dxa"/>
            <w:shd w:val="clear" w:color="auto" w:fill="F1F1F1"/>
          </w:tcPr>
          <w:p w14:paraId="747FE5F3"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69A58CDE" w14:textId="77777777" w:rsidR="00AC6F3C" w:rsidRDefault="00570E88">
            <w:pPr>
              <w:pStyle w:val="TableParagraph"/>
              <w:spacing w:before="43"/>
              <w:ind w:right="22"/>
              <w:jc w:val="right"/>
              <w:rPr>
                <w:sz w:val="18"/>
              </w:rPr>
            </w:pPr>
            <w:r>
              <w:rPr>
                <w:w w:val="99"/>
                <w:sz w:val="18"/>
              </w:rPr>
              <w:t>-</w:t>
            </w:r>
          </w:p>
        </w:tc>
      </w:tr>
      <w:tr w:rsidR="00AC6F3C" w14:paraId="665C7BB1" w14:textId="77777777">
        <w:trPr>
          <w:trHeight w:val="299"/>
        </w:trPr>
        <w:tc>
          <w:tcPr>
            <w:tcW w:w="3843" w:type="dxa"/>
            <w:tcBorders>
              <w:left w:val="single" w:sz="6" w:space="0" w:color="000000"/>
            </w:tcBorders>
          </w:tcPr>
          <w:p w14:paraId="74C7C6C4" w14:textId="77777777" w:rsidR="00AC6F3C" w:rsidRDefault="00570E88">
            <w:pPr>
              <w:pStyle w:val="TableParagraph"/>
              <w:spacing w:before="43"/>
              <w:ind w:left="37"/>
              <w:rPr>
                <w:sz w:val="18"/>
              </w:rPr>
            </w:pPr>
            <w:r>
              <w:rPr>
                <w:spacing w:val="-2"/>
                <w:sz w:val="18"/>
              </w:rPr>
              <w:t>Office</w:t>
            </w:r>
            <w:r>
              <w:rPr>
                <w:spacing w:val="-7"/>
                <w:sz w:val="18"/>
              </w:rPr>
              <w:t xml:space="preserve"> </w:t>
            </w:r>
            <w:r>
              <w:rPr>
                <w:spacing w:val="-4"/>
                <w:sz w:val="18"/>
              </w:rPr>
              <w:t>rent</w:t>
            </w:r>
          </w:p>
        </w:tc>
        <w:tc>
          <w:tcPr>
            <w:tcW w:w="1139" w:type="dxa"/>
            <w:shd w:val="clear" w:color="auto" w:fill="F1F1F1"/>
          </w:tcPr>
          <w:p w14:paraId="2F214577" w14:textId="77777777" w:rsidR="00AC6F3C" w:rsidRDefault="00570E88">
            <w:pPr>
              <w:pStyle w:val="TableParagraph"/>
              <w:spacing w:before="43"/>
              <w:ind w:right="36"/>
              <w:jc w:val="right"/>
              <w:rPr>
                <w:sz w:val="18"/>
              </w:rPr>
            </w:pPr>
            <w:r>
              <w:rPr>
                <w:spacing w:val="-5"/>
                <w:sz w:val="18"/>
              </w:rPr>
              <w:t>10</w:t>
            </w:r>
          </w:p>
        </w:tc>
        <w:tc>
          <w:tcPr>
            <w:tcW w:w="1109" w:type="dxa"/>
            <w:gridSpan w:val="2"/>
          </w:tcPr>
          <w:p w14:paraId="2A72AE3D" w14:textId="77777777" w:rsidR="00AC6F3C" w:rsidRDefault="00570E88">
            <w:pPr>
              <w:pStyle w:val="TableParagraph"/>
              <w:spacing w:before="43"/>
              <w:ind w:right="21"/>
              <w:jc w:val="right"/>
              <w:rPr>
                <w:sz w:val="18"/>
              </w:rPr>
            </w:pPr>
            <w:r>
              <w:rPr>
                <w:spacing w:val="-5"/>
                <w:sz w:val="18"/>
              </w:rPr>
              <w:t>(7)</w:t>
            </w:r>
          </w:p>
        </w:tc>
        <w:tc>
          <w:tcPr>
            <w:tcW w:w="1139" w:type="dxa"/>
            <w:shd w:val="clear" w:color="auto" w:fill="F1F1F1"/>
          </w:tcPr>
          <w:p w14:paraId="0C9322FE"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03B23308" w14:textId="77777777" w:rsidR="00AC6F3C" w:rsidRDefault="00570E88">
            <w:pPr>
              <w:pStyle w:val="TableParagraph"/>
              <w:spacing w:before="43"/>
              <w:ind w:right="22"/>
              <w:jc w:val="right"/>
              <w:rPr>
                <w:sz w:val="18"/>
              </w:rPr>
            </w:pPr>
            <w:r>
              <w:rPr>
                <w:w w:val="99"/>
                <w:sz w:val="18"/>
              </w:rPr>
              <w:t>-</w:t>
            </w:r>
          </w:p>
        </w:tc>
      </w:tr>
      <w:tr w:rsidR="00AC6F3C" w14:paraId="041EB452" w14:textId="77777777">
        <w:trPr>
          <w:trHeight w:val="299"/>
        </w:trPr>
        <w:tc>
          <w:tcPr>
            <w:tcW w:w="3843" w:type="dxa"/>
            <w:tcBorders>
              <w:left w:val="single" w:sz="6" w:space="0" w:color="000000"/>
            </w:tcBorders>
          </w:tcPr>
          <w:p w14:paraId="05022193" w14:textId="77777777" w:rsidR="00AC6F3C" w:rsidRDefault="00570E88">
            <w:pPr>
              <w:pStyle w:val="TableParagraph"/>
              <w:spacing w:before="43"/>
              <w:ind w:left="37"/>
              <w:rPr>
                <w:sz w:val="18"/>
              </w:rPr>
            </w:pPr>
            <w:r>
              <w:rPr>
                <w:sz w:val="18"/>
              </w:rPr>
              <w:t>Presentations,</w:t>
            </w:r>
            <w:r>
              <w:rPr>
                <w:spacing w:val="4"/>
                <w:sz w:val="18"/>
              </w:rPr>
              <w:t xml:space="preserve"> </w:t>
            </w:r>
            <w:r>
              <w:rPr>
                <w:sz w:val="18"/>
              </w:rPr>
              <w:t>donations</w:t>
            </w:r>
            <w:r>
              <w:rPr>
                <w:spacing w:val="32"/>
                <w:sz w:val="18"/>
              </w:rPr>
              <w:t xml:space="preserve"> </w:t>
            </w:r>
            <w:r>
              <w:rPr>
                <w:sz w:val="18"/>
              </w:rPr>
              <w:t>and</w:t>
            </w:r>
            <w:r>
              <w:rPr>
                <w:spacing w:val="18"/>
                <w:sz w:val="18"/>
              </w:rPr>
              <w:t xml:space="preserve"> </w:t>
            </w:r>
            <w:r>
              <w:rPr>
                <w:spacing w:val="-4"/>
                <w:sz w:val="18"/>
              </w:rPr>
              <w:t>gifts</w:t>
            </w:r>
          </w:p>
        </w:tc>
        <w:tc>
          <w:tcPr>
            <w:tcW w:w="1139" w:type="dxa"/>
            <w:shd w:val="clear" w:color="auto" w:fill="F1F1F1"/>
          </w:tcPr>
          <w:p w14:paraId="3DCEC9F0" w14:textId="77777777" w:rsidR="00AC6F3C" w:rsidRDefault="00570E88">
            <w:pPr>
              <w:pStyle w:val="TableParagraph"/>
              <w:spacing w:before="43"/>
              <w:ind w:right="36"/>
              <w:jc w:val="right"/>
              <w:rPr>
                <w:sz w:val="18"/>
              </w:rPr>
            </w:pPr>
            <w:r>
              <w:rPr>
                <w:spacing w:val="-5"/>
                <w:sz w:val="18"/>
              </w:rPr>
              <w:t>79</w:t>
            </w:r>
          </w:p>
        </w:tc>
        <w:tc>
          <w:tcPr>
            <w:tcW w:w="1109" w:type="dxa"/>
            <w:gridSpan w:val="2"/>
          </w:tcPr>
          <w:p w14:paraId="4125C53E" w14:textId="77777777" w:rsidR="00AC6F3C" w:rsidRDefault="00570E88">
            <w:pPr>
              <w:pStyle w:val="TableParagraph"/>
              <w:spacing w:before="43"/>
              <w:ind w:right="21"/>
              <w:jc w:val="right"/>
              <w:rPr>
                <w:sz w:val="18"/>
              </w:rPr>
            </w:pPr>
            <w:r>
              <w:rPr>
                <w:spacing w:val="-5"/>
                <w:sz w:val="18"/>
              </w:rPr>
              <w:t>127</w:t>
            </w:r>
          </w:p>
        </w:tc>
        <w:tc>
          <w:tcPr>
            <w:tcW w:w="1139" w:type="dxa"/>
            <w:shd w:val="clear" w:color="auto" w:fill="F1F1F1"/>
          </w:tcPr>
          <w:p w14:paraId="610CB92F" w14:textId="77777777" w:rsidR="00AC6F3C" w:rsidRDefault="00570E88">
            <w:pPr>
              <w:pStyle w:val="TableParagraph"/>
              <w:spacing w:before="43"/>
              <w:ind w:right="37"/>
              <w:jc w:val="right"/>
              <w:rPr>
                <w:sz w:val="18"/>
              </w:rPr>
            </w:pPr>
            <w:r>
              <w:rPr>
                <w:spacing w:val="-5"/>
                <w:sz w:val="18"/>
              </w:rPr>
              <w:t>79</w:t>
            </w:r>
          </w:p>
        </w:tc>
        <w:tc>
          <w:tcPr>
            <w:tcW w:w="1116" w:type="dxa"/>
            <w:gridSpan w:val="2"/>
            <w:tcBorders>
              <w:right w:val="single" w:sz="6" w:space="0" w:color="000000"/>
            </w:tcBorders>
          </w:tcPr>
          <w:p w14:paraId="40291BDD" w14:textId="77777777" w:rsidR="00AC6F3C" w:rsidRDefault="00570E88">
            <w:pPr>
              <w:pStyle w:val="TableParagraph"/>
              <w:spacing w:before="43"/>
              <w:ind w:right="22"/>
              <w:jc w:val="right"/>
              <w:rPr>
                <w:sz w:val="18"/>
              </w:rPr>
            </w:pPr>
            <w:r>
              <w:rPr>
                <w:spacing w:val="-5"/>
                <w:sz w:val="18"/>
              </w:rPr>
              <w:t>127</w:t>
            </w:r>
          </w:p>
        </w:tc>
      </w:tr>
      <w:tr w:rsidR="00AC6F3C" w14:paraId="5AE6139A" w14:textId="77777777">
        <w:trPr>
          <w:trHeight w:val="299"/>
        </w:trPr>
        <w:tc>
          <w:tcPr>
            <w:tcW w:w="3843" w:type="dxa"/>
            <w:tcBorders>
              <w:left w:val="single" w:sz="6" w:space="0" w:color="000000"/>
            </w:tcBorders>
          </w:tcPr>
          <w:p w14:paraId="28F868C2" w14:textId="77777777" w:rsidR="00AC6F3C" w:rsidRDefault="00570E88">
            <w:pPr>
              <w:pStyle w:val="TableParagraph"/>
              <w:spacing w:before="43"/>
              <w:ind w:left="37"/>
              <w:rPr>
                <w:sz w:val="18"/>
              </w:rPr>
            </w:pPr>
            <w:r>
              <w:rPr>
                <w:sz w:val="18"/>
              </w:rPr>
              <w:t>Professional</w:t>
            </w:r>
            <w:r>
              <w:rPr>
                <w:spacing w:val="22"/>
                <w:sz w:val="18"/>
              </w:rPr>
              <w:t xml:space="preserve"> </w:t>
            </w:r>
            <w:r>
              <w:rPr>
                <w:sz w:val="18"/>
              </w:rPr>
              <w:t>and</w:t>
            </w:r>
            <w:r>
              <w:rPr>
                <w:spacing w:val="23"/>
                <w:sz w:val="18"/>
              </w:rPr>
              <w:t xml:space="preserve"> </w:t>
            </w:r>
            <w:r>
              <w:rPr>
                <w:sz w:val="18"/>
              </w:rPr>
              <w:t>consulting</w:t>
            </w:r>
            <w:r>
              <w:rPr>
                <w:spacing w:val="22"/>
                <w:sz w:val="18"/>
              </w:rPr>
              <w:t xml:space="preserve"> </w:t>
            </w:r>
            <w:r>
              <w:rPr>
                <w:spacing w:val="-4"/>
                <w:sz w:val="18"/>
              </w:rPr>
              <w:t>fees</w:t>
            </w:r>
          </w:p>
        </w:tc>
        <w:tc>
          <w:tcPr>
            <w:tcW w:w="1139" w:type="dxa"/>
            <w:shd w:val="clear" w:color="auto" w:fill="F1F1F1"/>
          </w:tcPr>
          <w:p w14:paraId="5CD7B271" w14:textId="77777777" w:rsidR="00AC6F3C" w:rsidRDefault="00570E88">
            <w:pPr>
              <w:pStyle w:val="TableParagraph"/>
              <w:spacing w:before="43"/>
              <w:ind w:right="36"/>
              <w:jc w:val="right"/>
              <w:rPr>
                <w:sz w:val="18"/>
              </w:rPr>
            </w:pPr>
            <w:r>
              <w:rPr>
                <w:spacing w:val="-2"/>
                <w:sz w:val="18"/>
              </w:rPr>
              <w:t>1,913</w:t>
            </w:r>
          </w:p>
        </w:tc>
        <w:tc>
          <w:tcPr>
            <w:tcW w:w="1109" w:type="dxa"/>
            <w:gridSpan w:val="2"/>
          </w:tcPr>
          <w:p w14:paraId="59E57C54" w14:textId="77777777" w:rsidR="00AC6F3C" w:rsidRDefault="00570E88">
            <w:pPr>
              <w:pStyle w:val="TableParagraph"/>
              <w:spacing w:before="43"/>
              <w:ind w:left="620"/>
              <w:rPr>
                <w:sz w:val="18"/>
              </w:rPr>
            </w:pPr>
            <w:r>
              <w:rPr>
                <w:spacing w:val="-2"/>
                <w:sz w:val="18"/>
              </w:rPr>
              <w:t>2,376</w:t>
            </w:r>
          </w:p>
        </w:tc>
        <w:tc>
          <w:tcPr>
            <w:tcW w:w="1139" w:type="dxa"/>
            <w:shd w:val="clear" w:color="auto" w:fill="F1F1F1"/>
          </w:tcPr>
          <w:p w14:paraId="53DF9634" w14:textId="77777777" w:rsidR="00AC6F3C" w:rsidRDefault="00570E88">
            <w:pPr>
              <w:pStyle w:val="TableParagraph"/>
              <w:spacing w:before="43"/>
              <w:ind w:right="37"/>
              <w:jc w:val="right"/>
              <w:rPr>
                <w:sz w:val="18"/>
              </w:rPr>
            </w:pPr>
            <w:r>
              <w:rPr>
                <w:spacing w:val="-2"/>
                <w:sz w:val="18"/>
              </w:rPr>
              <w:t>1,493</w:t>
            </w:r>
          </w:p>
        </w:tc>
        <w:tc>
          <w:tcPr>
            <w:tcW w:w="1116" w:type="dxa"/>
            <w:gridSpan w:val="2"/>
            <w:tcBorders>
              <w:right w:val="single" w:sz="6" w:space="0" w:color="000000"/>
            </w:tcBorders>
          </w:tcPr>
          <w:p w14:paraId="4392341D" w14:textId="77777777" w:rsidR="00AC6F3C" w:rsidRDefault="00570E88">
            <w:pPr>
              <w:pStyle w:val="TableParagraph"/>
              <w:spacing w:before="43"/>
              <w:ind w:left="620"/>
              <w:rPr>
                <w:sz w:val="18"/>
              </w:rPr>
            </w:pPr>
            <w:r>
              <w:rPr>
                <w:spacing w:val="-2"/>
                <w:sz w:val="18"/>
              </w:rPr>
              <w:t>1,930</w:t>
            </w:r>
          </w:p>
        </w:tc>
      </w:tr>
      <w:tr w:rsidR="00AC6F3C" w14:paraId="545971FB" w14:textId="77777777">
        <w:trPr>
          <w:trHeight w:val="299"/>
        </w:trPr>
        <w:tc>
          <w:tcPr>
            <w:tcW w:w="3843" w:type="dxa"/>
            <w:tcBorders>
              <w:left w:val="single" w:sz="6" w:space="0" w:color="000000"/>
            </w:tcBorders>
          </w:tcPr>
          <w:p w14:paraId="478AD755" w14:textId="77777777" w:rsidR="00AC6F3C" w:rsidRDefault="00570E88">
            <w:pPr>
              <w:pStyle w:val="TableParagraph"/>
              <w:spacing w:before="43"/>
              <w:ind w:left="37"/>
              <w:rPr>
                <w:sz w:val="18"/>
              </w:rPr>
            </w:pPr>
            <w:r>
              <w:rPr>
                <w:sz w:val="18"/>
              </w:rPr>
              <w:t>Repairs</w:t>
            </w:r>
            <w:r>
              <w:rPr>
                <w:spacing w:val="20"/>
                <w:sz w:val="18"/>
              </w:rPr>
              <w:t xml:space="preserve"> </w:t>
            </w:r>
            <w:r>
              <w:rPr>
                <w:sz w:val="18"/>
              </w:rPr>
              <w:t>and</w:t>
            </w:r>
            <w:r>
              <w:rPr>
                <w:spacing w:val="8"/>
                <w:sz w:val="18"/>
              </w:rPr>
              <w:t xml:space="preserve"> </w:t>
            </w:r>
            <w:r>
              <w:rPr>
                <w:spacing w:val="-2"/>
                <w:sz w:val="18"/>
              </w:rPr>
              <w:t>maintenance</w:t>
            </w:r>
          </w:p>
        </w:tc>
        <w:tc>
          <w:tcPr>
            <w:tcW w:w="1139" w:type="dxa"/>
            <w:shd w:val="clear" w:color="auto" w:fill="F1F1F1"/>
          </w:tcPr>
          <w:p w14:paraId="3473B04C" w14:textId="77777777" w:rsidR="00AC6F3C" w:rsidRDefault="00570E88">
            <w:pPr>
              <w:pStyle w:val="TableParagraph"/>
              <w:spacing w:before="43"/>
              <w:ind w:right="36"/>
              <w:jc w:val="right"/>
              <w:rPr>
                <w:sz w:val="18"/>
              </w:rPr>
            </w:pPr>
            <w:r>
              <w:rPr>
                <w:spacing w:val="-2"/>
                <w:sz w:val="18"/>
              </w:rPr>
              <w:t>1,255</w:t>
            </w:r>
          </w:p>
        </w:tc>
        <w:tc>
          <w:tcPr>
            <w:tcW w:w="1109" w:type="dxa"/>
            <w:gridSpan w:val="2"/>
          </w:tcPr>
          <w:p w14:paraId="553F13F9" w14:textId="77777777" w:rsidR="00AC6F3C" w:rsidRDefault="00570E88">
            <w:pPr>
              <w:pStyle w:val="TableParagraph"/>
              <w:spacing w:before="43"/>
              <w:ind w:right="21"/>
              <w:jc w:val="right"/>
              <w:rPr>
                <w:sz w:val="18"/>
              </w:rPr>
            </w:pPr>
            <w:r>
              <w:rPr>
                <w:spacing w:val="-5"/>
                <w:sz w:val="18"/>
              </w:rPr>
              <w:t>205</w:t>
            </w:r>
          </w:p>
        </w:tc>
        <w:tc>
          <w:tcPr>
            <w:tcW w:w="1139" w:type="dxa"/>
            <w:shd w:val="clear" w:color="auto" w:fill="F1F1F1"/>
          </w:tcPr>
          <w:p w14:paraId="6FEE126B" w14:textId="77777777" w:rsidR="00AC6F3C" w:rsidRDefault="00570E88">
            <w:pPr>
              <w:pStyle w:val="TableParagraph"/>
              <w:spacing w:before="43"/>
              <w:ind w:right="37"/>
              <w:jc w:val="right"/>
              <w:rPr>
                <w:sz w:val="18"/>
              </w:rPr>
            </w:pPr>
            <w:r>
              <w:rPr>
                <w:spacing w:val="-2"/>
                <w:sz w:val="18"/>
              </w:rPr>
              <w:t>1,253</w:t>
            </w:r>
          </w:p>
        </w:tc>
        <w:tc>
          <w:tcPr>
            <w:tcW w:w="1116" w:type="dxa"/>
            <w:gridSpan w:val="2"/>
            <w:tcBorders>
              <w:right w:val="single" w:sz="6" w:space="0" w:color="000000"/>
            </w:tcBorders>
          </w:tcPr>
          <w:p w14:paraId="1B458058" w14:textId="77777777" w:rsidR="00AC6F3C" w:rsidRDefault="00570E88">
            <w:pPr>
              <w:pStyle w:val="TableParagraph"/>
              <w:spacing w:before="43"/>
              <w:ind w:right="22"/>
              <w:jc w:val="right"/>
              <w:rPr>
                <w:sz w:val="18"/>
              </w:rPr>
            </w:pPr>
            <w:r>
              <w:rPr>
                <w:spacing w:val="-5"/>
                <w:sz w:val="18"/>
              </w:rPr>
              <w:t>203</w:t>
            </w:r>
          </w:p>
        </w:tc>
      </w:tr>
      <w:tr w:rsidR="00AC6F3C" w14:paraId="514DFC58" w14:textId="77777777">
        <w:trPr>
          <w:trHeight w:val="299"/>
        </w:trPr>
        <w:tc>
          <w:tcPr>
            <w:tcW w:w="3843" w:type="dxa"/>
            <w:tcBorders>
              <w:left w:val="single" w:sz="6" w:space="0" w:color="000000"/>
            </w:tcBorders>
          </w:tcPr>
          <w:p w14:paraId="06768500" w14:textId="77777777" w:rsidR="00AC6F3C" w:rsidRDefault="00570E88">
            <w:pPr>
              <w:pStyle w:val="TableParagraph"/>
              <w:spacing w:before="43"/>
              <w:ind w:left="37"/>
              <w:rPr>
                <w:sz w:val="18"/>
              </w:rPr>
            </w:pPr>
            <w:r>
              <w:rPr>
                <w:sz w:val="18"/>
              </w:rPr>
              <w:t>Travel</w:t>
            </w:r>
            <w:r>
              <w:rPr>
                <w:spacing w:val="-6"/>
                <w:sz w:val="18"/>
              </w:rPr>
              <w:t xml:space="preserve"> </w:t>
            </w:r>
            <w:r>
              <w:rPr>
                <w:sz w:val="18"/>
              </w:rPr>
              <w:t>and</w:t>
            </w:r>
            <w:r>
              <w:rPr>
                <w:spacing w:val="-6"/>
                <w:sz w:val="18"/>
              </w:rPr>
              <w:t xml:space="preserve"> </w:t>
            </w:r>
            <w:r>
              <w:rPr>
                <w:sz w:val="18"/>
              </w:rPr>
              <w:t>vehicle</w:t>
            </w:r>
            <w:r>
              <w:rPr>
                <w:spacing w:val="-6"/>
                <w:sz w:val="18"/>
              </w:rPr>
              <w:t xml:space="preserve"> </w:t>
            </w:r>
            <w:r>
              <w:rPr>
                <w:spacing w:val="-4"/>
                <w:sz w:val="18"/>
              </w:rPr>
              <w:t>costs</w:t>
            </w:r>
          </w:p>
        </w:tc>
        <w:tc>
          <w:tcPr>
            <w:tcW w:w="1139" w:type="dxa"/>
            <w:shd w:val="clear" w:color="auto" w:fill="F1F1F1"/>
          </w:tcPr>
          <w:p w14:paraId="0BD90A2C" w14:textId="77777777" w:rsidR="00AC6F3C" w:rsidRDefault="00570E88">
            <w:pPr>
              <w:pStyle w:val="TableParagraph"/>
              <w:spacing w:before="43"/>
              <w:ind w:right="36"/>
              <w:jc w:val="right"/>
              <w:rPr>
                <w:sz w:val="18"/>
              </w:rPr>
            </w:pPr>
            <w:r>
              <w:rPr>
                <w:spacing w:val="-5"/>
                <w:sz w:val="18"/>
              </w:rPr>
              <w:t>519</w:t>
            </w:r>
          </w:p>
        </w:tc>
        <w:tc>
          <w:tcPr>
            <w:tcW w:w="1109" w:type="dxa"/>
            <w:gridSpan w:val="2"/>
          </w:tcPr>
          <w:p w14:paraId="2068042A" w14:textId="77777777" w:rsidR="00AC6F3C" w:rsidRDefault="00570E88">
            <w:pPr>
              <w:pStyle w:val="TableParagraph"/>
              <w:spacing w:before="43"/>
              <w:ind w:right="21"/>
              <w:jc w:val="right"/>
              <w:rPr>
                <w:sz w:val="18"/>
              </w:rPr>
            </w:pPr>
            <w:r>
              <w:rPr>
                <w:spacing w:val="-5"/>
                <w:sz w:val="18"/>
              </w:rPr>
              <w:t>330</w:t>
            </w:r>
          </w:p>
        </w:tc>
        <w:tc>
          <w:tcPr>
            <w:tcW w:w="1139" w:type="dxa"/>
            <w:shd w:val="clear" w:color="auto" w:fill="F1F1F1"/>
          </w:tcPr>
          <w:p w14:paraId="5174925A" w14:textId="77777777" w:rsidR="00AC6F3C" w:rsidRDefault="00570E88">
            <w:pPr>
              <w:pStyle w:val="TableParagraph"/>
              <w:spacing w:before="43"/>
              <w:ind w:right="37"/>
              <w:jc w:val="right"/>
              <w:rPr>
                <w:sz w:val="18"/>
              </w:rPr>
            </w:pPr>
            <w:r>
              <w:rPr>
                <w:spacing w:val="-5"/>
                <w:sz w:val="18"/>
              </w:rPr>
              <w:t>125</w:t>
            </w:r>
          </w:p>
        </w:tc>
        <w:tc>
          <w:tcPr>
            <w:tcW w:w="1116" w:type="dxa"/>
            <w:gridSpan w:val="2"/>
            <w:tcBorders>
              <w:right w:val="single" w:sz="6" w:space="0" w:color="000000"/>
            </w:tcBorders>
          </w:tcPr>
          <w:p w14:paraId="001F7166" w14:textId="77777777" w:rsidR="00AC6F3C" w:rsidRDefault="00570E88">
            <w:pPr>
              <w:pStyle w:val="TableParagraph"/>
              <w:spacing w:before="43"/>
              <w:ind w:right="22"/>
              <w:jc w:val="right"/>
              <w:rPr>
                <w:sz w:val="18"/>
              </w:rPr>
            </w:pPr>
            <w:r>
              <w:rPr>
                <w:spacing w:val="-5"/>
                <w:sz w:val="18"/>
              </w:rPr>
              <w:t>55</w:t>
            </w:r>
          </w:p>
        </w:tc>
      </w:tr>
      <w:tr w:rsidR="00AC6F3C" w14:paraId="3235E231" w14:textId="77777777">
        <w:trPr>
          <w:trHeight w:val="287"/>
        </w:trPr>
        <w:tc>
          <w:tcPr>
            <w:tcW w:w="3843" w:type="dxa"/>
            <w:tcBorders>
              <w:left w:val="single" w:sz="6" w:space="0" w:color="000000"/>
            </w:tcBorders>
          </w:tcPr>
          <w:p w14:paraId="37D68ED7" w14:textId="77777777" w:rsidR="00AC6F3C" w:rsidRDefault="00570E88">
            <w:pPr>
              <w:pStyle w:val="TableParagraph"/>
              <w:spacing w:before="43"/>
              <w:ind w:left="37"/>
              <w:rPr>
                <w:sz w:val="18"/>
              </w:rPr>
            </w:pPr>
            <w:r>
              <w:rPr>
                <w:sz w:val="18"/>
              </w:rPr>
              <w:t>Liability</w:t>
            </w:r>
            <w:r>
              <w:rPr>
                <w:spacing w:val="-8"/>
                <w:sz w:val="18"/>
              </w:rPr>
              <w:t xml:space="preserve"> </w:t>
            </w:r>
            <w:r>
              <w:rPr>
                <w:sz w:val="18"/>
              </w:rPr>
              <w:t>capping</w:t>
            </w:r>
            <w:r>
              <w:rPr>
                <w:spacing w:val="21"/>
                <w:sz w:val="18"/>
              </w:rPr>
              <w:t xml:space="preserve"> </w:t>
            </w:r>
            <w:r>
              <w:rPr>
                <w:spacing w:val="-2"/>
                <w:sz w:val="18"/>
              </w:rPr>
              <w:t>scheme</w:t>
            </w:r>
          </w:p>
        </w:tc>
        <w:tc>
          <w:tcPr>
            <w:tcW w:w="1139" w:type="dxa"/>
            <w:tcBorders>
              <w:bottom w:val="single" w:sz="6" w:space="0" w:color="000000"/>
            </w:tcBorders>
            <w:shd w:val="clear" w:color="auto" w:fill="F1F1F1"/>
          </w:tcPr>
          <w:p w14:paraId="3D32B249" w14:textId="77777777" w:rsidR="00AC6F3C" w:rsidRDefault="00570E88">
            <w:pPr>
              <w:pStyle w:val="TableParagraph"/>
              <w:spacing w:before="43"/>
              <w:ind w:right="36"/>
              <w:jc w:val="right"/>
              <w:rPr>
                <w:sz w:val="18"/>
              </w:rPr>
            </w:pPr>
            <w:r>
              <w:rPr>
                <w:spacing w:val="-5"/>
                <w:sz w:val="18"/>
              </w:rPr>
              <w:t>365</w:t>
            </w:r>
          </w:p>
        </w:tc>
        <w:tc>
          <w:tcPr>
            <w:tcW w:w="1109" w:type="dxa"/>
            <w:gridSpan w:val="2"/>
            <w:tcBorders>
              <w:bottom w:val="single" w:sz="6" w:space="0" w:color="000000"/>
            </w:tcBorders>
          </w:tcPr>
          <w:p w14:paraId="5CEE6EBD" w14:textId="77777777" w:rsidR="00AC6F3C" w:rsidRDefault="00570E88">
            <w:pPr>
              <w:pStyle w:val="TableParagraph"/>
              <w:spacing w:before="43"/>
              <w:ind w:right="21"/>
              <w:jc w:val="right"/>
              <w:rPr>
                <w:sz w:val="18"/>
              </w:rPr>
            </w:pPr>
            <w:r>
              <w:rPr>
                <w:spacing w:val="-5"/>
                <w:sz w:val="18"/>
              </w:rPr>
              <w:t>341</w:t>
            </w:r>
          </w:p>
        </w:tc>
        <w:tc>
          <w:tcPr>
            <w:tcW w:w="1139" w:type="dxa"/>
            <w:tcBorders>
              <w:bottom w:val="single" w:sz="6" w:space="0" w:color="000000"/>
            </w:tcBorders>
            <w:shd w:val="clear" w:color="auto" w:fill="F1F1F1"/>
          </w:tcPr>
          <w:p w14:paraId="421B28CB" w14:textId="77777777" w:rsidR="00AC6F3C" w:rsidRDefault="00570E88">
            <w:pPr>
              <w:pStyle w:val="TableParagraph"/>
              <w:spacing w:before="43"/>
              <w:ind w:right="37"/>
              <w:jc w:val="right"/>
              <w:rPr>
                <w:sz w:val="18"/>
              </w:rPr>
            </w:pPr>
            <w:r>
              <w:rPr>
                <w:spacing w:val="-5"/>
                <w:sz w:val="18"/>
              </w:rPr>
              <w:t>365</w:t>
            </w:r>
          </w:p>
        </w:tc>
        <w:tc>
          <w:tcPr>
            <w:tcW w:w="1116" w:type="dxa"/>
            <w:gridSpan w:val="2"/>
            <w:tcBorders>
              <w:bottom w:val="single" w:sz="6" w:space="0" w:color="000000"/>
              <w:right w:val="single" w:sz="6" w:space="0" w:color="000000"/>
            </w:tcBorders>
          </w:tcPr>
          <w:p w14:paraId="26F8CF4F" w14:textId="77777777" w:rsidR="00AC6F3C" w:rsidRDefault="00570E88">
            <w:pPr>
              <w:pStyle w:val="TableParagraph"/>
              <w:spacing w:before="43"/>
              <w:ind w:right="22"/>
              <w:jc w:val="right"/>
              <w:rPr>
                <w:sz w:val="18"/>
              </w:rPr>
            </w:pPr>
            <w:r>
              <w:rPr>
                <w:spacing w:val="-5"/>
                <w:sz w:val="18"/>
              </w:rPr>
              <w:t>341</w:t>
            </w:r>
          </w:p>
        </w:tc>
      </w:tr>
      <w:tr w:rsidR="00AC6F3C" w14:paraId="6332DDF1" w14:textId="77777777">
        <w:trPr>
          <w:trHeight w:val="297"/>
        </w:trPr>
        <w:tc>
          <w:tcPr>
            <w:tcW w:w="3843" w:type="dxa"/>
            <w:tcBorders>
              <w:left w:val="single" w:sz="6" w:space="0" w:color="000000"/>
            </w:tcBorders>
          </w:tcPr>
          <w:p w14:paraId="58333922"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4023A432" w14:textId="77777777" w:rsidR="00AC6F3C" w:rsidRDefault="00570E88">
            <w:pPr>
              <w:pStyle w:val="TableParagraph"/>
              <w:spacing w:before="41"/>
              <w:ind w:right="36"/>
              <w:jc w:val="right"/>
              <w:rPr>
                <w:sz w:val="18"/>
              </w:rPr>
            </w:pPr>
            <w:r>
              <w:rPr>
                <w:spacing w:val="-2"/>
                <w:sz w:val="18"/>
              </w:rPr>
              <w:t>10,536</w:t>
            </w:r>
          </w:p>
        </w:tc>
        <w:tc>
          <w:tcPr>
            <w:tcW w:w="1109" w:type="dxa"/>
            <w:gridSpan w:val="2"/>
            <w:tcBorders>
              <w:top w:val="single" w:sz="6" w:space="0" w:color="000000"/>
            </w:tcBorders>
          </w:tcPr>
          <w:p w14:paraId="325ED9A6" w14:textId="77777777" w:rsidR="00AC6F3C" w:rsidRDefault="00570E88">
            <w:pPr>
              <w:pStyle w:val="TableParagraph"/>
              <w:spacing w:before="41"/>
              <w:ind w:left="620"/>
              <w:rPr>
                <w:sz w:val="18"/>
              </w:rPr>
            </w:pPr>
            <w:r>
              <w:rPr>
                <w:spacing w:val="-2"/>
                <w:sz w:val="18"/>
              </w:rPr>
              <w:t>8,450</w:t>
            </w:r>
          </w:p>
        </w:tc>
        <w:tc>
          <w:tcPr>
            <w:tcW w:w="1139" w:type="dxa"/>
            <w:tcBorders>
              <w:top w:val="single" w:sz="6" w:space="0" w:color="000000"/>
            </w:tcBorders>
            <w:shd w:val="clear" w:color="auto" w:fill="F1F1F1"/>
          </w:tcPr>
          <w:p w14:paraId="7BD073B7" w14:textId="77777777" w:rsidR="00AC6F3C" w:rsidRDefault="00570E88">
            <w:pPr>
              <w:pStyle w:val="TableParagraph"/>
              <w:spacing w:before="41"/>
              <w:ind w:right="37"/>
              <w:jc w:val="right"/>
              <w:rPr>
                <w:sz w:val="18"/>
              </w:rPr>
            </w:pPr>
            <w:r>
              <w:rPr>
                <w:spacing w:val="-2"/>
                <w:sz w:val="18"/>
              </w:rPr>
              <w:t>7,508</w:t>
            </w:r>
          </w:p>
        </w:tc>
        <w:tc>
          <w:tcPr>
            <w:tcW w:w="1116" w:type="dxa"/>
            <w:gridSpan w:val="2"/>
            <w:tcBorders>
              <w:top w:val="single" w:sz="6" w:space="0" w:color="000000"/>
              <w:right w:val="single" w:sz="6" w:space="0" w:color="000000"/>
            </w:tcBorders>
          </w:tcPr>
          <w:p w14:paraId="06F43F73" w14:textId="77777777" w:rsidR="00AC6F3C" w:rsidRDefault="00570E88">
            <w:pPr>
              <w:pStyle w:val="TableParagraph"/>
              <w:spacing w:before="41"/>
              <w:ind w:left="619"/>
              <w:rPr>
                <w:sz w:val="18"/>
              </w:rPr>
            </w:pPr>
            <w:r>
              <w:rPr>
                <w:spacing w:val="-2"/>
                <w:sz w:val="18"/>
              </w:rPr>
              <w:t>6,186</w:t>
            </w:r>
          </w:p>
        </w:tc>
      </w:tr>
      <w:tr w:rsidR="00AC6F3C" w14:paraId="2F0878B1" w14:textId="77777777">
        <w:trPr>
          <w:trHeight w:val="299"/>
        </w:trPr>
        <w:tc>
          <w:tcPr>
            <w:tcW w:w="3843" w:type="dxa"/>
            <w:tcBorders>
              <w:left w:val="single" w:sz="6" w:space="0" w:color="000000"/>
            </w:tcBorders>
          </w:tcPr>
          <w:p w14:paraId="3179451D" w14:textId="77777777" w:rsidR="00AC6F3C" w:rsidRDefault="00570E88">
            <w:pPr>
              <w:pStyle w:val="TableParagraph"/>
              <w:spacing w:before="43"/>
              <w:ind w:left="37"/>
              <w:rPr>
                <w:b/>
                <w:sz w:val="18"/>
              </w:rPr>
            </w:pPr>
            <w:r>
              <w:rPr>
                <w:b/>
                <w:spacing w:val="-2"/>
                <w:sz w:val="18"/>
              </w:rPr>
              <w:t>Council</w:t>
            </w:r>
            <w:r>
              <w:rPr>
                <w:b/>
                <w:spacing w:val="-11"/>
                <w:sz w:val="18"/>
              </w:rPr>
              <w:t xml:space="preserve"> </w:t>
            </w:r>
            <w:r>
              <w:rPr>
                <w:b/>
                <w:spacing w:val="-2"/>
                <w:sz w:val="18"/>
              </w:rPr>
              <w:t>and</w:t>
            </w:r>
            <w:r>
              <w:rPr>
                <w:b/>
                <w:spacing w:val="-11"/>
                <w:sz w:val="18"/>
              </w:rPr>
              <w:t xml:space="preserve"> </w:t>
            </w:r>
            <w:r>
              <w:rPr>
                <w:b/>
                <w:spacing w:val="-2"/>
                <w:sz w:val="18"/>
              </w:rPr>
              <w:t>committee</w:t>
            </w:r>
            <w:r>
              <w:rPr>
                <w:b/>
                <w:spacing w:val="-8"/>
                <w:sz w:val="18"/>
              </w:rPr>
              <w:t xml:space="preserve"> </w:t>
            </w:r>
            <w:r>
              <w:rPr>
                <w:b/>
                <w:spacing w:val="-4"/>
                <w:sz w:val="18"/>
              </w:rPr>
              <w:t>costs</w:t>
            </w:r>
          </w:p>
        </w:tc>
        <w:tc>
          <w:tcPr>
            <w:tcW w:w="1139" w:type="dxa"/>
            <w:shd w:val="clear" w:color="auto" w:fill="F1F1F1"/>
          </w:tcPr>
          <w:p w14:paraId="145D25DB" w14:textId="77777777" w:rsidR="00AC6F3C" w:rsidRDefault="00AC6F3C">
            <w:pPr>
              <w:pStyle w:val="TableParagraph"/>
              <w:rPr>
                <w:rFonts w:ascii="Times New Roman"/>
                <w:sz w:val="18"/>
              </w:rPr>
            </w:pPr>
          </w:p>
        </w:tc>
        <w:tc>
          <w:tcPr>
            <w:tcW w:w="1109" w:type="dxa"/>
            <w:gridSpan w:val="2"/>
          </w:tcPr>
          <w:p w14:paraId="5481FE80" w14:textId="77777777" w:rsidR="00AC6F3C" w:rsidRDefault="00AC6F3C">
            <w:pPr>
              <w:pStyle w:val="TableParagraph"/>
              <w:rPr>
                <w:rFonts w:ascii="Times New Roman"/>
                <w:sz w:val="18"/>
              </w:rPr>
            </w:pPr>
          </w:p>
        </w:tc>
        <w:tc>
          <w:tcPr>
            <w:tcW w:w="1139" w:type="dxa"/>
            <w:shd w:val="clear" w:color="auto" w:fill="F1F1F1"/>
          </w:tcPr>
          <w:p w14:paraId="1A0D5A55" w14:textId="77777777" w:rsidR="00AC6F3C" w:rsidRDefault="00AC6F3C">
            <w:pPr>
              <w:pStyle w:val="TableParagraph"/>
              <w:rPr>
                <w:rFonts w:ascii="Times New Roman"/>
                <w:sz w:val="18"/>
              </w:rPr>
            </w:pPr>
          </w:p>
        </w:tc>
        <w:tc>
          <w:tcPr>
            <w:tcW w:w="1116" w:type="dxa"/>
            <w:gridSpan w:val="2"/>
            <w:tcBorders>
              <w:right w:val="single" w:sz="6" w:space="0" w:color="000000"/>
            </w:tcBorders>
          </w:tcPr>
          <w:p w14:paraId="0D4F1C97" w14:textId="77777777" w:rsidR="00AC6F3C" w:rsidRDefault="00AC6F3C">
            <w:pPr>
              <w:pStyle w:val="TableParagraph"/>
              <w:rPr>
                <w:rFonts w:ascii="Times New Roman"/>
                <w:sz w:val="18"/>
              </w:rPr>
            </w:pPr>
          </w:p>
        </w:tc>
      </w:tr>
      <w:tr w:rsidR="00AC6F3C" w14:paraId="108FD94B" w14:textId="77777777">
        <w:trPr>
          <w:trHeight w:val="299"/>
        </w:trPr>
        <w:tc>
          <w:tcPr>
            <w:tcW w:w="3843" w:type="dxa"/>
            <w:tcBorders>
              <w:left w:val="single" w:sz="6" w:space="0" w:color="000000"/>
            </w:tcBorders>
          </w:tcPr>
          <w:p w14:paraId="730ADBBD" w14:textId="77777777" w:rsidR="00AC6F3C" w:rsidRDefault="00570E88">
            <w:pPr>
              <w:pStyle w:val="TableParagraph"/>
              <w:spacing w:before="43"/>
              <w:ind w:left="37"/>
              <w:rPr>
                <w:sz w:val="18"/>
              </w:rPr>
            </w:pPr>
            <w:r>
              <w:rPr>
                <w:spacing w:val="-2"/>
                <w:sz w:val="18"/>
              </w:rPr>
              <w:t>Honorarium</w:t>
            </w:r>
          </w:p>
        </w:tc>
        <w:tc>
          <w:tcPr>
            <w:tcW w:w="1139" w:type="dxa"/>
            <w:shd w:val="clear" w:color="auto" w:fill="F1F1F1"/>
          </w:tcPr>
          <w:p w14:paraId="029CDFC5" w14:textId="77777777" w:rsidR="00AC6F3C" w:rsidRDefault="00570E88">
            <w:pPr>
              <w:pStyle w:val="TableParagraph"/>
              <w:spacing w:before="43"/>
              <w:ind w:right="36"/>
              <w:jc w:val="right"/>
              <w:rPr>
                <w:sz w:val="18"/>
              </w:rPr>
            </w:pPr>
            <w:r>
              <w:rPr>
                <w:spacing w:val="-5"/>
                <w:sz w:val="18"/>
              </w:rPr>
              <w:t>424</w:t>
            </w:r>
          </w:p>
        </w:tc>
        <w:tc>
          <w:tcPr>
            <w:tcW w:w="1109" w:type="dxa"/>
            <w:gridSpan w:val="2"/>
          </w:tcPr>
          <w:p w14:paraId="574130A7" w14:textId="77777777" w:rsidR="00AC6F3C" w:rsidRDefault="00570E88">
            <w:pPr>
              <w:pStyle w:val="TableParagraph"/>
              <w:spacing w:before="43"/>
              <w:ind w:right="21"/>
              <w:jc w:val="right"/>
              <w:rPr>
                <w:sz w:val="18"/>
              </w:rPr>
            </w:pPr>
            <w:r>
              <w:rPr>
                <w:spacing w:val="-5"/>
                <w:sz w:val="18"/>
              </w:rPr>
              <w:t>406</w:t>
            </w:r>
          </w:p>
        </w:tc>
        <w:tc>
          <w:tcPr>
            <w:tcW w:w="1139" w:type="dxa"/>
            <w:shd w:val="clear" w:color="auto" w:fill="F1F1F1"/>
          </w:tcPr>
          <w:p w14:paraId="7AF45753" w14:textId="77777777" w:rsidR="00AC6F3C" w:rsidRDefault="00570E88">
            <w:pPr>
              <w:pStyle w:val="TableParagraph"/>
              <w:spacing w:before="43"/>
              <w:ind w:right="37"/>
              <w:jc w:val="right"/>
              <w:rPr>
                <w:sz w:val="18"/>
              </w:rPr>
            </w:pPr>
            <w:r>
              <w:rPr>
                <w:spacing w:val="-5"/>
                <w:sz w:val="18"/>
              </w:rPr>
              <w:t>424</w:t>
            </w:r>
          </w:p>
        </w:tc>
        <w:tc>
          <w:tcPr>
            <w:tcW w:w="1116" w:type="dxa"/>
            <w:gridSpan w:val="2"/>
            <w:tcBorders>
              <w:right w:val="single" w:sz="6" w:space="0" w:color="000000"/>
            </w:tcBorders>
          </w:tcPr>
          <w:p w14:paraId="0AC70823" w14:textId="77777777" w:rsidR="00AC6F3C" w:rsidRDefault="00570E88">
            <w:pPr>
              <w:pStyle w:val="TableParagraph"/>
              <w:spacing w:before="43"/>
              <w:ind w:right="22"/>
              <w:jc w:val="right"/>
              <w:rPr>
                <w:sz w:val="18"/>
              </w:rPr>
            </w:pPr>
            <w:r>
              <w:rPr>
                <w:spacing w:val="-5"/>
                <w:sz w:val="18"/>
              </w:rPr>
              <w:t>406</w:t>
            </w:r>
          </w:p>
        </w:tc>
      </w:tr>
      <w:tr w:rsidR="00AC6F3C" w14:paraId="50EF7561" w14:textId="77777777">
        <w:trPr>
          <w:trHeight w:val="299"/>
        </w:trPr>
        <w:tc>
          <w:tcPr>
            <w:tcW w:w="3843" w:type="dxa"/>
            <w:tcBorders>
              <w:left w:val="single" w:sz="6" w:space="0" w:color="000000"/>
            </w:tcBorders>
          </w:tcPr>
          <w:p w14:paraId="798FDD05" w14:textId="77777777" w:rsidR="00AC6F3C" w:rsidRDefault="00570E88">
            <w:pPr>
              <w:pStyle w:val="TableParagraph"/>
              <w:spacing w:before="43"/>
              <w:ind w:left="37"/>
              <w:rPr>
                <w:sz w:val="18"/>
              </w:rPr>
            </w:pPr>
            <w:r>
              <w:rPr>
                <w:sz w:val="18"/>
              </w:rPr>
              <w:t>Travel</w:t>
            </w:r>
            <w:r>
              <w:rPr>
                <w:spacing w:val="-9"/>
                <w:sz w:val="18"/>
              </w:rPr>
              <w:t xml:space="preserve"> </w:t>
            </w:r>
            <w:r>
              <w:rPr>
                <w:sz w:val="18"/>
              </w:rPr>
              <w:t>and</w:t>
            </w:r>
            <w:r>
              <w:rPr>
                <w:spacing w:val="-7"/>
                <w:sz w:val="18"/>
              </w:rPr>
              <w:t xml:space="preserve"> </w:t>
            </w:r>
            <w:r>
              <w:rPr>
                <w:spacing w:val="-2"/>
                <w:sz w:val="18"/>
              </w:rPr>
              <w:t>accommodation</w:t>
            </w:r>
          </w:p>
        </w:tc>
        <w:tc>
          <w:tcPr>
            <w:tcW w:w="1139" w:type="dxa"/>
            <w:shd w:val="clear" w:color="auto" w:fill="F1F1F1"/>
          </w:tcPr>
          <w:p w14:paraId="1F1F13A9" w14:textId="77777777" w:rsidR="00AC6F3C" w:rsidRDefault="00570E88">
            <w:pPr>
              <w:pStyle w:val="TableParagraph"/>
              <w:spacing w:before="43"/>
              <w:ind w:right="41"/>
              <w:jc w:val="right"/>
              <w:rPr>
                <w:sz w:val="18"/>
              </w:rPr>
            </w:pPr>
            <w:r>
              <w:rPr>
                <w:w w:val="99"/>
                <w:sz w:val="18"/>
              </w:rPr>
              <w:t>1</w:t>
            </w:r>
          </w:p>
        </w:tc>
        <w:tc>
          <w:tcPr>
            <w:tcW w:w="1109" w:type="dxa"/>
            <w:gridSpan w:val="2"/>
          </w:tcPr>
          <w:p w14:paraId="06420434" w14:textId="77777777" w:rsidR="00AC6F3C" w:rsidRDefault="00570E88">
            <w:pPr>
              <w:pStyle w:val="TableParagraph"/>
              <w:spacing w:before="43"/>
              <w:ind w:right="21"/>
              <w:jc w:val="right"/>
              <w:rPr>
                <w:sz w:val="18"/>
              </w:rPr>
            </w:pPr>
            <w:r>
              <w:rPr>
                <w:spacing w:val="-5"/>
                <w:sz w:val="18"/>
              </w:rPr>
              <w:t>25</w:t>
            </w:r>
          </w:p>
        </w:tc>
        <w:tc>
          <w:tcPr>
            <w:tcW w:w="1139" w:type="dxa"/>
            <w:shd w:val="clear" w:color="auto" w:fill="F1F1F1"/>
          </w:tcPr>
          <w:p w14:paraId="2DA7EF25"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1E8E3762" w14:textId="77777777" w:rsidR="00AC6F3C" w:rsidRDefault="00570E88">
            <w:pPr>
              <w:pStyle w:val="TableParagraph"/>
              <w:spacing w:before="43"/>
              <w:ind w:right="22"/>
              <w:jc w:val="right"/>
              <w:rPr>
                <w:sz w:val="18"/>
              </w:rPr>
            </w:pPr>
            <w:r>
              <w:rPr>
                <w:spacing w:val="-5"/>
                <w:sz w:val="18"/>
              </w:rPr>
              <w:t>25</w:t>
            </w:r>
          </w:p>
        </w:tc>
      </w:tr>
      <w:tr w:rsidR="00AC6F3C" w14:paraId="663CE83C" w14:textId="77777777">
        <w:trPr>
          <w:trHeight w:val="287"/>
        </w:trPr>
        <w:tc>
          <w:tcPr>
            <w:tcW w:w="3843" w:type="dxa"/>
            <w:tcBorders>
              <w:left w:val="single" w:sz="6" w:space="0" w:color="000000"/>
            </w:tcBorders>
          </w:tcPr>
          <w:p w14:paraId="0D76EEB8" w14:textId="77777777" w:rsidR="00AC6F3C" w:rsidRDefault="00570E88">
            <w:pPr>
              <w:pStyle w:val="TableParagraph"/>
              <w:spacing w:before="43"/>
              <w:ind w:left="37"/>
              <w:rPr>
                <w:sz w:val="18"/>
              </w:rPr>
            </w:pPr>
            <w:r>
              <w:rPr>
                <w:sz w:val="18"/>
              </w:rPr>
              <w:t>Catering</w:t>
            </w:r>
            <w:r>
              <w:rPr>
                <w:spacing w:val="6"/>
                <w:sz w:val="18"/>
              </w:rPr>
              <w:t xml:space="preserve"> </w:t>
            </w:r>
            <w:r>
              <w:rPr>
                <w:sz w:val="18"/>
              </w:rPr>
              <w:t>and</w:t>
            </w:r>
            <w:r>
              <w:rPr>
                <w:spacing w:val="7"/>
                <w:sz w:val="18"/>
              </w:rPr>
              <w:t xml:space="preserve"> </w:t>
            </w:r>
            <w:r>
              <w:rPr>
                <w:spacing w:val="-2"/>
                <w:sz w:val="18"/>
              </w:rPr>
              <w:t>functions</w:t>
            </w:r>
          </w:p>
        </w:tc>
        <w:tc>
          <w:tcPr>
            <w:tcW w:w="1139" w:type="dxa"/>
            <w:tcBorders>
              <w:bottom w:val="single" w:sz="6" w:space="0" w:color="000000"/>
            </w:tcBorders>
            <w:shd w:val="clear" w:color="auto" w:fill="F1F1F1"/>
          </w:tcPr>
          <w:p w14:paraId="26B0D293" w14:textId="77777777" w:rsidR="00AC6F3C" w:rsidRDefault="00570E88">
            <w:pPr>
              <w:pStyle w:val="TableParagraph"/>
              <w:spacing w:before="43"/>
              <w:ind w:right="36"/>
              <w:jc w:val="right"/>
              <w:rPr>
                <w:sz w:val="18"/>
              </w:rPr>
            </w:pPr>
            <w:r>
              <w:rPr>
                <w:w w:val="99"/>
                <w:sz w:val="18"/>
              </w:rPr>
              <w:t>-</w:t>
            </w:r>
          </w:p>
        </w:tc>
        <w:tc>
          <w:tcPr>
            <w:tcW w:w="1109" w:type="dxa"/>
            <w:gridSpan w:val="2"/>
            <w:tcBorders>
              <w:bottom w:val="single" w:sz="6" w:space="0" w:color="000000"/>
            </w:tcBorders>
          </w:tcPr>
          <w:p w14:paraId="688B210D" w14:textId="77777777" w:rsidR="00AC6F3C" w:rsidRDefault="00570E88">
            <w:pPr>
              <w:pStyle w:val="TableParagraph"/>
              <w:spacing w:before="43"/>
              <w:ind w:right="21"/>
              <w:jc w:val="right"/>
              <w:rPr>
                <w:sz w:val="18"/>
              </w:rPr>
            </w:pPr>
            <w:r>
              <w:rPr>
                <w:spacing w:val="-5"/>
                <w:sz w:val="18"/>
              </w:rPr>
              <w:t>13</w:t>
            </w:r>
          </w:p>
        </w:tc>
        <w:tc>
          <w:tcPr>
            <w:tcW w:w="1139" w:type="dxa"/>
            <w:tcBorders>
              <w:bottom w:val="single" w:sz="6" w:space="0" w:color="000000"/>
            </w:tcBorders>
            <w:shd w:val="clear" w:color="auto" w:fill="F1F1F1"/>
          </w:tcPr>
          <w:p w14:paraId="3C7FCCC9" w14:textId="77777777" w:rsidR="00AC6F3C" w:rsidRDefault="00570E88">
            <w:pPr>
              <w:pStyle w:val="TableParagraph"/>
              <w:spacing w:before="43"/>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0DE0056D" w14:textId="77777777" w:rsidR="00AC6F3C" w:rsidRDefault="00570E88">
            <w:pPr>
              <w:pStyle w:val="TableParagraph"/>
              <w:spacing w:before="43"/>
              <w:ind w:right="22"/>
              <w:jc w:val="right"/>
              <w:rPr>
                <w:sz w:val="18"/>
              </w:rPr>
            </w:pPr>
            <w:r>
              <w:rPr>
                <w:spacing w:val="-5"/>
                <w:sz w:val="18"/>
              </w:rPr>
              <w:t>13</w:t>
            </w:r>
          </w:p>
        </w:tc>
      </w:tr>
      <w:tr w:rsidR="00AC6F3C" w14:paraId="6724A14B" w14:textId="77777777">
        <w:trPr>
          <w:trHeight w:val="284"/>
        </w:trPr>
        <w:tc>
          <w:tcPr>
            <w:tcW w:w="3843" w:type="dxa"/>
            <w:tcBorders>
              <w:left w:val="single" w:sz="6" w:space="0" w:color="000000"/>
              <w:bottom w:val="single" w:sz="6" w:space="0" w:color="000000"/>
            </w:tcBorders>
          </w:tcPr>
          <w:p w14:paraId="49A62422" w14:textId="77777777" w:rsidR="00AC6F3C" w:rsidRDefault="00AC6F3C">
            <w:pPr>
              <w:pStyle w:val="TableParagraph"/>
              <w:rPr>
                <w:rFonts w:ascii="Times New Roman"/>
                <w:sz w:val="18"/>
              </w:rPr>
            </w:pPr>
          </w:p>
        </w:tc>
        <w:tc>
          <w:tcPr>
            <w:tcW w:w="1139" w:type="dxa"/>
            <w:tcBorders>
              <w:top w:val="single" w:sz="6" w:space="0" w:color="000000"/>
              <w:bottom w:val="single" w:sz="6" w:space="0" w:color="000000"/>
            </w:tcBorders>
            <w:shd w:val="clear" w:color="auto" w:fill="F1F1F1"/>
          </w:tcPr>
          <w:p w14:paraId="05C4FA22" w14:textId="77777777" w:rsidR="00AC6F3C" w:rsidRDefault="00570E88">
            <w:pPr>
              <w:pStyle w:val="TableParagraph"/>
              <w:spacing w:before="41"/>
              <w:ind w:right="36"/>
              <w:jc w:val="right"/>
              <w:rPr>
                <w:sz w:val="18"/>
              </w:rPr>
            </w:pPr>
            <w:r>
              <w:rPr>
                <w:spacing w:val="-5"/>
                <w:sz w:val="18"/>
              </w:rPr>
              <w:t>425</w:t>
            </w:r>
          </w:p>
        </w:tc>
        <w:tc>
          <w:tcPr>
            <w:tcW w:w="1109" w:type="dxa"/>
            <w:gridSpan w:val="2"/>
            <w:tcBorders>
              <w:top w:val="single" w:sz="6" w:space="0" w:color="000000"/>
              <w:bottom w:val="single" w:sz="6" w:space="0" w:color="000000"/>
            </w:tcBorders>
          </w:tcPr>
          <w:p w14:paraId="70BC8C4B" w14:textId="77777777" w:rsidR="00AC6F3C" w:rsidRDefault="00570E88">
            <w:pPr>
              <w:pStyle w:val="TableParagraph"/>
              <w:spacing w:before="41"/>
              <w:ind w:right="21"/>
              <w:jc w:val="right"/>
              <w:rPr>
                <w:sz w:val="18"/>
              </w:rPr>
            </w:pPr>
            <w:r>
              <w:rPr>
                <w:spacing w:val="-5"/>
                <w:sz w:val="18"/>
              </w:rPr>
              <w:t>444</w:t>
            </w:r>
          </w:p>
        </w:tc>
        <w:tc>
          <w:tcPr>
            <w:tcW w:w="1139" w:type="dxa"/>
            <w:tcBorders>
              <w:top w:val="single" w:sz="6" w:space="0" w:color="000000"/>
              <w:bottom w:val="single" w:sz="6" w:space="0" w:color="000000"/>
            </w:tcBorders>
            <w:shd w:val="clear" w:color="auto" w:fill="F1F1F1"/>
          </w:tcPr>
          <w:p w14:paraId="0C5EFDF4" w14:textId="77777777" w:rsidR="00AC6F3C" w:rsidRDefault="00570E88">
            <w:pPr>
              <w:pStyle w:val="TableParagraph"/>
              <w:spacing w:before="41"/>
              <w:ind w:right="37"/>
              <w:jc w:val="right"/>
              <w:rPr>
                <w:sz w:val="18"/>
              </w:rPr>
            </w:pPr>
            <w:r>
              <w:rPr>
                <w:spacing w:val="-5"/>
                <w:sz w:val="18"/>
              </w:rPr>
              <w:t>424</w:t>
            </w:r>
          </w:p>
        </w:tc>
        <w:tc>
          <w:tcPr>
            <w:tcW w:w="1116" w:type="dxa"/>
            <w:gridSpan w:val="2"/>
            <w:tcBorders>
              <w:top w:val="single" w:sz="6" w:space="0" w:color="000000"/>
              <w:bottom w:val="single" w:sz="6" w:space="0" w:color="000000"/>
              <w:right w:val="single" w:sz="6" w:space="0" w:color="000000"/>
            </w:tcBorders>
          </w:tcPr>
          <w:p w14:paraId="334131EA" w14:textId="77777777" w:rsidR="00AC6F3C" w:rsidRDefault="00570E88">
            <w:pPr>
              <w:pStyle w:val="TableParagraph"/>
              <w:spacing w:before="41"/>
              <w:ind w:right="22"/>
              <w:jc w:val="right"/>
              <w:rPr>
                <w:sz w:val="18"/>
              </w:rPr>
            </w:pPr>
            <w:r>
              <w:rPr>
                <w:spacing w:val="-5"/>
                <w:sz w:val="18"/>
              </w:rPr>
              <w:t>444</w:t>
            </w:r>
          </w:p>
        </w:tc>
      </w:tr>
      <w:tr w:rsidR="00AC6F3C" w14:paraId="0A915A62"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034C986F" w14:textId="77777777" w:rsidR="00AC6F3C" w:rsidRDefault="00570E88">
            <w:pPr>
              <w:pStyle w:val="TableParagraph"/>
              <w:spacing w:before="41"/>
              <w:ind w:left="37"/>
              <w:rPr>
                <w:b/>
                <w:sz w:val="18"/>
              </w:rPr>
            </w:pPr>
            <w:r>
              <w:rPr>
                <w:b/>
                <w:spacing w:val="-2"/>
                <w:sz w:val="18"/>
              </w:rPr>
              <w:t>Total</w:t>
            </w:r>
            <w:r>
              <w:rPr>
                <w:b/>
                <w:spacing w:val="-9"/>
                <w:sz w:val="18"/>
              </w:rPr>
              <w:t xml:space="preserve"> </w:t>
            </w:r>
            <w:r>
              <w:rPr>
                <w:b/>
                <w:spacing w:val="-2"/>
                <w:sz w:val="18"/>
              </w:rPr>
              <w:t>administration</w:t>
            </w:r>
            <w:r>
              <w:rPr>
                <w:b/>
                <w:spacing w:val="-8"/>
                <w:sz w:val="18"/>
              </w:rPr>
              <w:t xml:space="preserve"> </w:t>
            </w:r>
            <w:r>
              <w:rPr>
                <w:b/>
                <w:spacing w:val="-2"/>
                <w:sz w:val="18"/>
              </w:rPr>
              <w:t>expenses</w:t>
            </w:r>
          </w:p>
        </w:tc>
        <w:tc>
          <w:tcPr>
            <w:tcW w:w="1718" w:type="dxa"/>
            <w:gridSpan w:val="2"/>
            <w:tcBorders>
              <w:top w:val="single" w:sz="6" w:space="0" w:color="000000"/>
              <w:bottom w:val="single" w:sz="6" w:space="0" w:color="000000"/>
            </w:tcBorders>
            <w:shd w:val="clear" w:color="auto" w:fill="BEBEBE"/>
          </w:tcPr>
          <w:p w14:paraId="2C809A2A" w14:textId="77777777" w:rsidR="00AC6F3C" w:rsidRDefault="00570E88">
            <w:pPr>
              <w:pStyle w:val="TableParagraph"/>
              <w:spacing w:before="41"/>
              <w:ind w:left="531"/>
              <w:rPr>
                <w:b/>
                <w:sz w:val="18"/>
              </w:rPr>
            </w:pPr>
            <w:r>
              <w:rPr>
                <w:b/>
                <w:spacing w:val="-2"/>
                <w:sz w:val="18"/>
              </w:rPr>
              <w:t>10,961</w:t>
            </w:r>
          </w:p>
        </w:tc>
        <w:tc>
          <w:tcPr>
            <w:tcW w:w="530" w:type="dxa"/>
            <w:tcBorders>
              <w:top w:val="single" w:sz="6" w:space="0" w:color="000000"/>
              <w:bottom w:val="single" w:sz="6" w:space="0" w:color="000000"/>
            </w:tcBorders>
            <w:shd w:val="clear" w:color="auto" w:fill="BEBEBE"/>
          </w:tcPr>
          <w:p w14:paraId="5CA70DCF" w14:textId="77777777" w:rsidR="00AC6F3C" w:rsidRDefault="00570E88">
            <w:pPr>
              <w:pStyle w:val="TableParagraph"/>
              <w:spacing w:before="41"/>
              <w:ind w:left="41"/>
              <w:rPr>
                <w:b/>
                <w:sz w:val="18"/>
              </w:rPr>
            </w:pPr>
            <w:r>
              <w:rPr>
                <w:b/>
                <w:spacing w:val="-2"/>
                <w:sz w:val="18"/>
              </w:rPr>
              <w:t>8,894</w:t>
            </w:r>
          </w:p>
        </w:tc>
        <w:tc>
          <w:tcPr>
            <w:tcW w:w="1581" w:type="dxa"/>
            <w:gridSpan w:val="2"/>
            <w:tcBorders>
              <w:top w:val="single" w:sz="6" w:space="0" w:color="000000"/>
              <w:bottom w:val="single" w:sz="6" w:space="0" w:color="000000"/>
            </w:tcBorders>
            <w:shd w:val="clear" w:color="auto" w:fill="BEBEBE"/>
          </w:tcPr>
          <w:p w14:paraId="0FC992CC" w14:textId="77777777" w:rsidR="00AC6F3C" w:rsidRDefault="00570E88">
            <w:pPr>
              <w:pStyle w:val="TableParagraph"/>
              <w:spacing w:before="41"/>
              <w:ind w:left="635"/>
              <w:rPr>
                <w:b/>
                <w:sz w:val="18"/>
              </w:rPr>
            </w:pPr>
            <w:r>
              <w:rPr>
                <w:b/>
                <w:spacing w:val="-2"/>
                <w:sz w:val="18"/>
              </w:rPr>
              <w:t>7,932</w:t>
            </w:r>
          </w:p>
        </w:tc>
        <w:tc>
          <w:tcPr>
            <w:tcW w:w="674" w:type="dxa"/>
            <w:tcBorders>
              <w:top w:val="single" w:sz="6" w:space="0" w:color="000000"/>
              <w:bottom w:val="single" w:sz="6" w:space="0" w:color="000000"/>
              <w:right w:val="single" w:sz="6" w:space="0" w:color="000000"/>
            </w:tcBorders>
            <w:shd w:val="clear" w:color="auto" w:fill="BEBEBE"/>
          </w:tcPr>
          <w:p w14:paraId="4311525C" w14:textId="77777777" w:rsidR="00AC6F3C" w:rsidRDefault="00570E88">
            <w:pPr>
              <w:pStyle w:val="TableParagraph"/>
              <w:spacing w:before="41"/>
              <w:ind w:left="177"/>
              <w:rPr>
                <w:b/>
                <w:sz w:val="18"/>
              </w:rPr>
            </w:pPr>
            <w:r>
              <w:rPr>
                <w:b/>
                <w:spacing w:val="-2"/>
                <w:sz w:val="18"/>
              </w:rPr>
              <w:t>6,630</w:t>
            </w:r>
          </w:p>
        </w:tc>
      </w:tr>
    </w:tbl>
    <w:p w14:paraId="0545159B" w14:textId="77777777" w:rsidR="00AC6F3C" w:rsidRDefault="00AC6F3C">
      <w:pPr>
        <w:pStyle w:val="BodyText"/>
        <w:rPr>
          <w:b/>
          <w:sz w:val="26"/>
        </w:rPr>
      </w:pPr>
    </w:p>
    <w:p w14:paraId="465A9108" w14:textId="77777777" w:rsidR="00AC6F3C" w:rsidRDefault="00570E88">
      <w:pPr>
        <w:spacing w:before="184"/>
        <w:ind w:left="958" w:right="468"/>
        <w:rPr>
          <w:sz w:val="18"/>
        </w:rPr>
      </w:pPr>
      <w:r>
        <w:rPr>
          <w:sz w:val="18"/>
        </w:rPr>
        <w:t>*Total</w:t>
      </w:r>
      <w:r>
        <w:rPr>
          <w:spacing w:val="-4"/>
          <w:sz w:val="18"/>
        </w:rPr>
        <w:t xml:space="preserve"> </w:t>
      </w:r>
      <w:r>
        <w:rPr>
          <w:sz w:val="18"/>
        </w:rPr>
        <w:t>audit</w:t>
      </w:r>
      <w:r>
        <w:rPr>
          <w:spacing w:val="-2"/>
          <w:sz w:val="18"/>
        </w:rPr>
        <w:t xml:space="preserve"> </w:t>
      </w:r>
      <w:r>
        <w:rPr>
          <w:sz w:val="18"/>
        </w:rPr>
        <w:t>fees</w:t>
      </w:r>
      <w:r>
        <w:rPr>
          <w:spacing w:val="-1"/>
          <w:sz w:val="18"/>
        </w:rPr>
        <w:t xml:space="preserve"> </w:t>
      </w:r>
      <w:r>
        <w:rPr>
          <w:sz w:val="18"/>
        </w:rPr>
        <w:t>paid</w:t>
      </w:r>
      <w:r>
        <w:rPr>
          <w:spacing w:val="-4"/>
          <w:sz w:val="18"/>
        </w:rPr>
        <w:t xml:space="preserve"> </w:t>
      </w:r>
      <w:r>
        <w:rPr>
          <w:sz w:val="18"/>
        </w:rPr>
        <w:t>to</w:t>
      </w:r>
      <w:r>
        <w:rPr>
          <w:spacing w:val="-1"/>
          <w:sz w:val="18"/>
        </w:rPr>
        <w:t xml:space="preserve"> </w:t>
      </w:r>
      <w:r>
        <w:rPr>
          <w:sz w:val="18"/>
        </w:rPr>
        <w:t>Queensland</w:t>
      </w:r>
      <w:r>
        <w:rPr>
          <w:spacing w:val="-1"/>
          <w:sz w:val="18"/>
        </w:rPr>
        <w:t xml:space="preserve"> </w:t>
      </w:r>
      <w:r>
        <w:rPr>
          <w:sz w:val="18"/>
        </w:rPr>
        <w:t>Audit</w:t>
      </w:r>
      <w:r>
        <w:rPr>
          <w:spacing w:val="-2"/>
          <w:sz w:val="18"/>
        </w:rPr>
        <w:t xml:space="preserve"> </w:t>
      </w:r>
      <w:r>
        <w:rPr>
          <w:sz w:val="18"/>
        </w:rPr>
        <w:t>Office</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Society</w:t>
      </w:r>
      <w:r>
        <w:rPr>
          <w:spacing w:val="-1"/>
          <w:sz w:val="18"/>
        </w:rPr>
        <w:t xml:space="preserve"> </w:t>
      </w:r>
      <w:r>
        <w:rPr>
          <w:sz w:val="18"/>
        </w:rPr>
        <w:t>relating</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2022-23</w:t>
      </w:r>
      <w:r>
        <w:rPr>
          <w:spacing w:val="-1"/>
          <w:sz w:val="18"/>
        </w:rPr>
        <w:t xml:space="preserve"> </w:t>
      </w:r>
      <w:r>
        <w:rPr>
          <w:sz w:val="18"/>
        </w:rPr>
        <w:t>financial</w:t>
      </w:r>
      <w:r>
        <w:rPr>
          <w:spacing w:val="-4"/>
          <w:sz w:val="18"/>
        </w:rPr>
        <w:t xml:space="preserve"> </w:t>
      </w:r>
      <w:r>
        <w:rPr>
          <w:sz w:val="18"/>
        </w:rPr>
        <w:t>year</w:t>
      </w:r>
      <w:r>
        <w:rPr>
          <w:spacing w:val="-4"/>
          <w:sz w:val="18"/>
        </w:rPr>
        <w:t xml:space="preserve"> </w:t>
      </w:r>
      <w:r>
        <w:rPr>
          <w:sz w:val="18"/>
        </w:rPr>
        <w:t>are estimated</w:t>
      </w:r>
      <w:r>
        <w:rPr>
          <w:spacing w:val="-3"/>
          <w:sz w:val="18"/>
        </w:rPr>
        <w:t xml:space="preserve"> </w:t>
      </w:r>
      <w:r>
        <w:rPr>
          <w:sz w:val="18"/>
        </w:rPr>
        <w:t>to</w:t>
      </w:r>
      <w:r>
        <w:rPr>
          <w:spacing w:val="-4"/>
          <w:sz w:val="18"/>
        </w:rPr>
        <w:t xml:space="preserve"> </w:t>
      </w:r>
      <w:r>
        <w:rPr>
          <w:sz w:val="18"/>
        </w:rPr>
        <w:t>be</w:t>
      </w:r>
      <w:r>
        <w:rPr>
          <w:spacing w:val="-4"/>
          <w:sz w:val="18"/>
        </w:rPr>
        <w:t xml:space="preserve"> </w:t>
      </w:r>
      <w:r>
        <w:rPr>
          <w:sz w:val="18"/>
        </w:rPr>
        <w:t>$117,000</w:t>
      </w:r>
      <w:r>
        <w:rPr>
          <w:spacing w:val="-4"/>
          <w:sz w:val="18"/>
        </w:rPr>
        <w:t xml:space="preserve"> </w:t>
      </w:r>
      <w:r>
        <w:rPr>
          <w:sz w:val="18"/>
        </w:rPr>
        <w:t>(2021-22:</w:t>
      </w:r>
      <w:r>
        <w:rPr>
          <w:spacing w:val="-2"/>
          <w:sz w:val="18"/>
        </w:rPr>
        <w:t xml:space="preserve"> </w:t>
      </w:r>
      <w:r>
        <w:rPr>
          <w:sz w:val="18"/>
        </w:rPr>
        <w:t>$85,500)</w:t>
      </w:r>
      <w:r>
        <w:rPr>
          <w:spacing w:val="-4"/>
          <w:sz w:val="18"/>
        </w:rPr>
        <w:t xml:space="preserve"> </w:t>
      </w:r>
      <w:r>
        <w:rPr>
          <w:sz w:val="18"/>
        </w:rPr>
        <w:t>and</w:t>
      </w:r>
      <w:r>
        <w:rPr>
          <w:spacing w:val="-1"/>
          <w:sz w:val="18"/>
        </w:rPr>
        <w:t xml:space="preserve"> </w:t>
      </w:r>
      <w:r>
        <w:rPr>
          <w:sz w:val="18"/>
        </w:rPr>
        <w:t>for</w:t>
      </w:r>
      <w:r>
        <w:rPr>
          <w:spacing w:val="-1"/>
          <w:sz w:val="18"/>
        </w:rPr>
        <w:t xml:space="preserve"> </w:t>
      </w:r>
      <w:r>
        <w:rPr>
          <w:sz w:val="18"/>
        </w:rPr>
        <w:t>the</w:t>
      </w:r>
      <w:r>
        <w:rPr>
          <w:spacing w:val="-1"/>
          <w:sz w:val="18"/>
        </w:rPr>
        <w:t xml:space="preserve"> </w:t>
      </w:r>
      <w:r>
        <w:rPr>
          <w:sz w:val="18"/>
        </w:rPr>
        <w:t>Group</w:t>
      </w:r>
      <w:r>
        <w:rPr>
          <w:spacing w:val="-1"/>
          <w:sz w:val="18"/>
        </w:rPr>
        <w:t xml:space="preserve"> </w:t>
      </w:r>
      <w:r>
        <w:rPr>
          <w:sz w:val="18"/>
        </w:rPr>
        <w:t>are</w:t>
      </w:r>
      <w:r>
        <w:rPr>
          <w:spacing w:val="-4"/>
          <w:sz w:val="18"/>
        </w:rPr>
        <w:t xml:space="preserve"> </w:t>
      </w:r>
      <w:r>
        <w:rPr>
          <w:sz w:val="18"/>
        </w:rPr>
        <w:t>estimated</w:t>
      </w:r>
      <w:r>
        <w:rPr>
          <w:spacing w:val="-4"/>
          <w:sz w:val="18"/>
        </w:rPr>
        <w:t xml:space="preserve"> </w:t>
      </w:r>
      <w:r>
        <w:rPr>
          <w:sz w:val="18"/>
        </w:rPr>
        <w:t>to</w:t>
      </w:r>
      <w:r>
        <w:rPr>
          <w:spacing w:val="-1"/>
          <w:sz w:val="18"/>
        </w:rPr>
        <w:t xml:space="preserve"> </w:t>
      </w:r>
      <w:r>
        <w:rPr>
          <w:sz w:val="18"/>
        </w:rPr>
        <w:t>be</w:t>
      </w:r>
      <w:r>
        <w:rPr>
          <w:spacing w:val="-1"/>
          <w:sz w:val="18"/>
        </w:rPr>
        <w:t xml:space="preserve"> </w:t>
      </w:r>
      <w:r>
        <w:rPr>
          <w:sz w:val="18"/>
        </w:rPr>
        <w:t>$266,000</w:t>
      </w:r>
      <w:r>
        <w:rPr>
          <w:spacing w:val="-1"/>
          <w:sz w:val="18"/>
        </w:rPr>
        <w:t xml:space="preserve"> </w:t>
      </w:r>
      <w:r>
        <w:rPr>
          <w:sz w:val="18"/>
        </w:rPr>
        <w:t>(2021-22</w:t>
      </w:r>
      <w:r>
        <w:rPr>
          <w:spacing w:val="-3"/>
          <w:sz w:val="18"/>
        </w:rPr>
        <w:t xml:space="preserve"> </w:t>
      </w:r>
      <w:r>
        <w:rPr>
          <w:spacing w:val="-10"/>
          <w:sz w:val="18"/>
        </w:rPr>
        <w:t>:</w:t>
      </w:r>
    </w:p>
    <w:p w14:paraId="1B7AC2D0" w14:textId="77777777" w:rsidR="00AC6F3C" w:rsidRDefault="00570E88">
      <w:pPr>
        <w:spacing w:before="1"/>
        <w:ind w:left="958"/>
        <w:rPr>
          <w:sz w:val="18"/>
        </w:rPr>
      </w:pPr>
      <w:r>
        <w:rPr>
          <w:sz w:val="18"/>
        </w:rPr>
        <w:t>$215,000).</w:t>
      </w:r>
      <w:r>
        <w:rPr>
          <w:spacing w:val="-5"/>
          <w:sz w:val="18"/>
        </w:rPr>
        <w:t xml:space="preserve"> </w:t>
      </w:r>
      <w:r>
        <w:rPr>
          <w:sz w:val="18"/>
        </w:rPr>
        <w:t>There</w:t>
      </w:r>
      <w:r>
        <w:rPr>
          <w:spacing w:val="-1"/>
          <w:sz w:val="18"/>
        </w:rPr>
        <w:t xml:space="preserve"> </w:t>
      </w:r>
      <w:r>
        <w:rPr>
          <w:sz w:val="18"/>
        </w:rPr>
        <w:t>are</w:t>
      </w:r>
      <w:r>
        <w:rPr>
          <w:spacing w:val="-4"/>
          <w:sz w:val="18"/>
        </w:rPr>
        <w:t xml:space="preserve"> </w:t>
      </w:r>
      <w:r>
        <w:rPr>
          <w:sz w:val="18"/>
        </w:rPr>
        <w:t>no</w:t>
      </w:r>
      <w:r>
        <w:rPr>
          <w:spacing w:val="-1"/>
          <w:sz w:val="18"/>
        </w:rPr>
        <w:t xml:space="preserve"> </w:t>
      </w:r>
      <w:r>
        <w:rPr>
          <w:sz w:val="18"/>
        </w:rPr>
        <w:t>non-audit</w:t>
      </w:r>
      <w:r>
        <w:rPr>
          <w:spacing w:val="-5"/>
          <w:sz w:val="18"/>
        </w:rPr>
        <w:t xml:space="preserve"> </w:t>
      </w:r>
      <w:r>
        <w:rPr>
          <w:sz w:val="18"/>
        </w:rPr>
        <w:t>services</w:t>
      </w:r>
      <w:r>
        <w:rPr>
          <w:spacing w:val="-3"/>
          <w:sz w:val="18"/>
        </w:rPr>
        <w:t xml:space="preserve"> </w:t>
      </w:r>
      <w:r>
        <w:rPr>
          <w:sz w:val="18"/>
        </w:rPr>
        <w:t>included</w:t>
      </w:r>
      <w:r>
        <w:rPr>
          <w:spacing w:val="-1"/>
          <w:sz w:val="18"/>
        </w:rPr>
        <w:t xml:space="preserve"> </w:t>
      </w:r>
      <w:r>
        <w:rPr>
          <w:sz w:val="18"/>
        </w:rPr>
        <w:t>in</w:t>
      </w:r>
      <w:r>
        <w:rPr>
          <w:spacing w:val="-1"/>
          <w:sz w:val="18"/>
        </w:rPr>
        <w:t xml:space="preserve"> </w:t>
      </w:r>
      <w:r>
        <w:rPr>
          <w:sz w:val="18"/>
        </w:rPr>
        <w:t>this</w:t>
      </w:r>
      <w:r>
        <w:rPr>
          <w:spacing w:val="-3"/>
          <w:sz w:val="18"/>
        </w:rPr>
        <w:t xml:space="preserve"> </w:t>
      </w:r>
      <w:r>
        <w:rPr>
          <w:spacing w:val="-2"/>
          <w:sz w:val="18"/>
        </w:rPr>
        <w:t>amount.</w:t>
      </w:r>
    </w:p>
    <w:p w14:paraId="4F907669" w14:textId="77777777" w:rsidR="00AC6F3C" w:rsidRDefault="00570E88">
      <w:pPr>
        <w:spacing w:before="120"/>
        <w:ind w:left="958" w:right="468"/>
        <w:rPr>
          <w:sz w:val="18"/>
        </w:rPr>
      </w:pPr>
      <w:r>
        <w:rPr>
          <w:sz w:val="18"/>
        </w:rPr>
        <w:t>#PricewaterhouseCoopers (PwC) Singapore performs audit and taxation services for Lexon while PricewaterhouseCoopers</w:t>
      </w:r>
      <w:r>
        <w:rPr>
          <w:spacing w:val="-2"/>
          <w:sz w:val="18"/>
        </w:rPr>
        <w:t xml:space="preserve"> </w:t>
      </w:r>
      <w:r>
        <w:rPr>
          <w:sz w:val="18"/>
        </w:rPr>
        <w:t>Brisbane</w:t>
      </w:r>
      <w:r>
        <w:rPr>
          <w:spacing w:val="-5"/>
          <w:sz w:val="18"/>
        </w:rPr>
        <w:t xml:space="preserve"> </w:t>
      </w:r>
      <w:r>
        <w:rPr>
          <w:sz w:val="18"/>
        </w:rPr>
        <w:t>provides</w:t>
      </w:r>
      <w:r>
        <w:rPr>
          <w:spacing w:val="-2"/>
          <w:sz w:val="18"/>
        </w:rPr>
        <w:t xml:space="preserve"> </w:t>
      </w:r>
      <w:r>
        <w:rPr>
          <w:sz w:val="18"/>
        </w:rPr>
        <w:t>taxation</w:t>
      </w:r>
      <w:r>
        <w:rPr>
          <w:spacing w:val="-5"/>
          <w:sz w:val="18"/>
        </w:rPr>
        <w:t xml:space="preserve"> </w:t>
      </w:r>
      <w:r>
        <w:rPr>
          <w:sz w:val="18"/>
        </w:rPr>
        <w:t>services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Group.</w:t>
      </w:r>
      <w:r>
        <w:rPr>
          <w:spacing w:val="-3"/>
          <w:sz w:val="18"/>
        </w:rPr>
        <w:t xml:space="preserve"> </w:t>
      </w:r>
      <w:r>
        <w:rPr>
          <w:sz w:val="18"/>
        </w:rPr>
        <w:t>Audit</w:t>
      </w:r>
      <w:r>
        <w:rPr>
          <w:spacing w:val="-3"/>
          <w:sz w:val="18"/>
        </w:rPr>
        <w:t xml:space="preserve"> </w:t>
      </w:r>
      <w:r>
        <w:rPr>
          <w:sz w:val="18"/>
        </w:rPr>
        <w:t>fees</w:t>
      </w:r>
      <w:r>
        <w:rPr>
          <w:spacing w:val="-4"/>
          <w:sz w:val="18"/>
        </w:rPr>
        <w:t xml:space="preserve"> </w:t>
      </w:r>
      <w:r>
        <w:rPr>
          <w:sz w:val="18"/>
        </w:rPr>
        <w:t>payable</w:t>
      </w:r>
      <w:r>
        <w:rPr>
          <w:spacing w:val="-5"/>
          <w:sz w:val="18"/>
        </w:rPr>
        <w:t xml:space="preserve"> </w:t>
      </w:r>
      <w:r>
        <w:rPr>
          <w:sz w:val="18"/>
        </w:rPr>
        <w:t>to</w:t>
      </w:r>
      <w:r>
        <w:rPr>
          <w:spacing w:val="-2"/>
          <w:sz w:val="18"/>
        </w:rPr>
        <w:t xml:space="preserve"> </w:t>
      </w:r>
      <w:r>
        <w:rPr>
          <w:sz w:val="18"/>
        </w:rPr>
        <w:t>PwC Singapore relating to the 2022-23 financial year are estimated to be $110,906 (2021-22: $103,000).</w:t>
      </w:r>
    </w:p>
    <w:p w14:paraId="741B739B" w14:textId="77777777" w:rsidR="00AC6F3C" w:rsidRDefault="00570E88">
      <w:pPr>
        <w:ind w:left="958" w:right="886"/>
        <w:rPr>
          <w:sz w:val="18"/>
        </w:rPr>
      </w:pPr>
      <w:r>
        <w:rPr>
          <w:sz w:val="18"/>
        </w:rPr>
        <w:t>Taxation</w:t>
      </w:r>
      <w:r>
        <w:rPr>
          <w:spacing w:val="-4"/>
          <w:sz w:val="18"/>
        </w:rPr>
        <w:t xml:space="preserve"> </w:t>
      </w:r>
      <w:r>
        <w:rPr>
          <w:sz w:val="18"/>
        </w:rPr>
        <w:t>fees</w:t>
      </w:r>
      <w:r>
        <w:rPr>
          <w:spacing w:val="-1"/>
          <w:sz w:val="18"/>
        </w:rPr>
        <w:t xml:space="preserve"> </w:t>
      </w:r>
      <w:r>
        <w:rPr>
          <w:sz w:val="18"/>
        </w:rPr>
        <w:t>paid</w:t>
      </w:r>
      <w:r>
        <w:rPr>
          <w:spacing w:val="-1"/>
          <w:sz w:val="18"/>
        </w:rPr>
        <w:t xml:space="preserve"> </w:t>
      </w:r>
      <w:r>
        <w:rPr>
          <w:sz w:val="18"/>
        </w:rPr>
        <w:t>to</w:t>
      </w:r>
      <w:r>
        <w:rPr>
          <w:spacing w:val="-1"/>
          <w:sz w:val="18"/>
        </w:rPr>
        <w:t xml:space="preserve"> </w:t>
      </w:r>
      <w:r>
        <w:rPr>
          <w:sz w:val="18"/>
        </w:rPr>
        <w:t>PwC</w:t>
      </w:r>
      <w:r>
        <w:rPr>
          <w:spacing w:val="-2"/>
          <w:sz w:val="18"/>
        </w:rPr>
        <w:t xml:space="preserve"> </w:t>
      </w:r>
      <w:r>
        <w:rPr>
          <w:sz w:val="18"/>
        </w:rPr>
        <w:t>Brisbane</w:t>
      </w:r>
      <w:r>
        <w:rPr>
          <w:spacing w:val="-1"/>
          <w:sz w:val="18"/>
        </w:rPr>
        <w:t xml:space="preserve"> </w:t>
      </w:r>
      <w:r>
        <w:rPr>
          <w:sz w:val="18"/>
        </w:rPr>
        <w:t>are</w:t>
      </w:r>
      <w:r>
        <w:rPr>
          <w:spacing w:val="-4"/>
          <w:sz w:val="18"/>
        </w:rPr>
        <w:t xml:space="preserve"> </w:t>
      </w:r>
      <w:r>
        <w:rPr>
          <w:sz w:val="18"/>
        </w:rPr>
        <w:t>disclosed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professional</w:t>
      </w:r>
      <w:r>
        <w:rPr>
          <w:spacing w:val="-1"/>
          <w:sz w:val="18"/>
        </w:rPr>
        <w:t xml:space="preserve"> </w:t>
      </w:r>
      <w:r>
        <w:rPr>
          <w:sz w:val="18"/>
        </w:rPr>
        <w:t>and</w:t>
      </w:r>
      <w:r>
        <w:rPr>
          <w:spacing w:val="-1"/>
          <w:sz w:val="18"/>
        </w:rPr>
        <w:t xml:space="preserve"> </w:t>
      </w:r>
      <w:r>
        <w:rPr>
          <w:sz w:val="18"/>
        </w:rPr>
        <w:t>consulting</w:t>
      </w:r>
      <w:r>
        <w:rPr>
          <w:spacing w:val="-4"/>
          <w:sz w:val="18"/>
        </w:rPr>
        <w:t xml:space="preserve"> </w:t>
      </w:r>
      <w:r>
        <w:rPr>
          <w:sz w:val="18"/>
        </w:rPr>
        <w:t>fee</w:t>
      </w:r>
      <w:r>
        <w:rPr>
          <w:spacing w:val="-4"/>
          <w:sz w:val="18"/>
        </w:rPr>
        <w:t xml:space="preserve"> </w:t>
      </w:r>
      <w:r>
        <w:rPr>
          <w:sz w:val="18"/>
        </w:rPr>
        <w:t>line</w:t>
      </w:r>
      <w:r>
        <w:rPr>
          <w:spacing w:val="-1"/>
          <w:sz w:val="18"/>
        </w:rPr>
        <w:t xml:space="preserve"> </w:t>
      </w:r>
      <w:r>
        <w:rPr>
          <w:sz w:val="18"/>
        </w:rPr>
        <w:t>above</w:t>
      </w:r>
      <w:r>
        <w:rPr>
          <w:spacing w:val="-4"/>
          <w:sz w:val="18"/>
        </w:rPr>
        <w:t xml:space="preserve"> </w:t>
      </w:r>
      <w:r>
        <w:rPr>
          <w:sz w:val="18"/>
        </w:rPr>
        <w:t>and</w:t>
      </w:r>
      <w:r>
        <w:rPr>
          <w:spacing w:val="-4"/>
          <w:sz w:val="18"/>
        </w:rPr>
        <w:t xml:space="preserve"> </w:t>
      </w:r>
      <w:r>
        <w:rPr>
          <w:sz w:val="18"/>
        </w:rPr>
        <w:t>in the 2022-23 financial year amount to $38,252 (2021-22: $34,457).</w:t>
      </w:r>
      <w:r>
        <w:rPr>
          <w:spacing w:val="40"/>
          <w:sz w:val="18"/>
        </w:rPr>
        <w:t xml:space="preserve"> </w:t>
      </w:r>
      <w:r>
        <w:rPr>
          <w:sz w:val="18"/>
        </w:rPr>
        <w:t>In addition in 2022-23 there was $Nil paid to PwC Legal Brisbane (2021-22 $6,000).</w:t>
      </w:r>
    </w:p>
    <w:p w14:paraId="5C2EFCDD" w14:textId="77777777" w:rsidR="00AC6F3C" w:rsidRDefault="00AC6F3C">
      <w:pPr>
        <w:rPr>
          <w:sz w:val="18"/>
        </w:rPr>
        <w:sectPr w:rsidR="00AC6F3C">
          <w:pgSz w:w="11910" w:h="16840"/>
          <w:pgMar w:top="2020" w:right="1160" w:bottom="520" w:left="460" w:header="1228" w:footer="336" w:gutter="0"/>
          <w:cols w:space="720"/>
        </w:sectPr>
      </w:pPr>
    </w:p>
    <w:p w14:paraId="11A7985C" w14:textId="77777777" w:rsidR="00AC6F3C" w:rsidRDefault="00AC6F3C">
      <w:pPr>
        <w:pStyle w:val="BodyText"/>
      </w:pPr>
    </w:p>
    <w:p w14:paraId="658CAE60" w14:textId="77777777" w:rsidR="00AC6F3C" w:rsidRDefault="00AC6F3C">
      <w:pPr>
        <w:pStyle w:val="BodyText"/>
        <w:spacing w:before="8"/>
        <w:rPr>
          <w:sz w:val="21"/>
        </w:rPr>
      </w:pPr>
    </w:p>
    <w:p w14:paraId="610A987A" w14:textId="77777777" w:rsidR="00AC6F3C" w:rsidRDefault="00570E88">
      <w:pPr>
        <w:pStyle w:val="Heading6"/>
        <w:tabs>
          <w:tab w:val="left" w:pos="1810"/>
        </w:tabs>
        <w:spacing w:before="1"/>
      </w:pPr>
      <w:r>
        <w:rPr>
          <w:spacing w:val="-2"/>
        </w:rPr>
        <w:t>B2-</w:t>
      </w:r>
      <w:r>
        <w:rPr>
          <w:spacing w:val="-10"/>
        </w:rPr>
        <w:t>3</w:t>
      </w:r>
      <w:r>
        <w:tab/>
        <w:t>EMPLOYEE</w:t>
      </w:r>
      <w:r>
        <w:rPr>
          <w:spacing w:val="-4"/>
        </w:rPr>
        <w:t xml:space="preserve"> </w:t>
      </w:r>
      <w:r>
        <w:rPr>
          <w:spacing w:val="-2"/>
        </w:rPr>
        <w:t>EXPENSES</w:t>
      </w:r>
    </w:p>
    <w:p w14:paraId="6E8866F8" w14:textId="77777777" w:rsidR="00AC6F3C" w:rsidRDefault="00AC6F3C">
      <w:pPr>
        <w:pStyle w:val="BodyText"/>
        <w:spacing w:before="3"/>
        <w:rPr>
          <w:b/>
          <w:sz w:val="10"/>
        </w:rPr>
      </w:pPr>
    </w:p>
    <w:tbl>
      <w:tblPr>
        <w:tblW w:w="0" w:type="auto"/>
        <w:tblInd w:w="972" w:type="dxa"/>
        <w:tblLayout w:type="fixed"/>
        <w:tblCellMar>
          <w:left w:w="0" w:type="dxa"/>
          <w:right w:w="0" w:type="dxa"/>
        </w:tblCellMar>
        <w:tblLook w:val="01E0" w:firstRow="1" w:lastRow="1" w:firstColumn="1" w:lastColumn="1" w:noHBand="0" w:noVBand="0"/>
      </w:tblPr>
      <w:tblGrid>
        <w:gridCol w:w="3672"/>
        <w:gridCol w:w="1088"/>
        <w:gridCol w:w="1059"/>
        <w:gridCol w:w="1088"/>
        <w:gridCol w:w="372"/>
        <w:gridCol w:w="694"/>
      </w:tblGrid>
      <w:tr w:rsidR="00AC6F3C" w14:paraId="1F4C8EA0" w14:textId="77777777">
        <w:trPr>
          <w:trHeight w:val="843"/>
        </w:trPr>
        <w:tc>
          <w:tcPr>
            <w:tcW w:w="3672" w:type="dxa"/>
            <w:tcBorders>
              <w:top w:val="single" w:sz="6" w:space="0" w:color="000000"/>
              <w:left w:val="single" w:sz="6" w:space="0" w:color="000000"/>
              <w:bottom w:val="single" w:sz="6" w:space="0" w:color="000000"/>
            </w:tcBorders>
            <w:shd w:val="clear" w:color="auto" w:fill="BEBEBE"/>
          </w:tcPr>
          <w:p w14:paraId="01E33275" w14:textId="77777777" w:rsidR="00AC6F3C" w:rsidRDefault="00AC6F3C">
            <w:pPr>
              <w:pStyle w:val="TableParagraph"/>
              <w:rPr>
                <w:rFonts w:ascii="Times New Roman"/>
                <w:sz w:val="18"/>
              </w:rPr>
            </w:pPr>
          </w:p>
        </w:tc>
        <w:tc>
          <w:tcPr>
            <w:tcW w:w="2147" w:type="dxa"/>
            <w:gridSpan w:val="2"/>
            <w:tcBorders>
              <w:top w:val="single" w:sz="6" w:space="0" w:color="000000"/>
              <w:bottom w:val="single" w:sz="6" w:space="0" w:color="000000"/>
            </w:tcBorders>
            <w:shd w:val="clear" w:color="auto" w:fill="BEBEBE"/>
          </w:tcPr>
          <w:p w14:paraId="04135773" w14:textId="77777777" w:rsidR="00AC6F3C" w:rsidRDefault="00570E88">
            <w:pPr>
              <w:pStyle w:val="TableParagraph"/>
              <w:spacing w:before="26"/>
              <w:ind w:left="551"/>
              <w:rPr>
                <w:b/>
                <w:sz w:val="17"/>
              </w:rPr>
            </w:pPr>
            <w:r>
              <w:rPr>
                <w:b/>
                <w:spacing w:val="-2"/>
                <w:sz w:val="17"/>
              </w:rPr>
              <w:t>Consolidated</w:t>
            </w:r>
          </w:p>
          <w:p w14:paraId="750E78F2" w14:textId="77777777" w:rsidR="00AC6F3C" w:rsidRDefault="00570E88">
            <w:pPr>
              <w:pStyle w:val="TableParagraph"/>
              <w:tabs>
                <w:tab w:val="left" w:pos="1725"/>
              </w:tabs>
              <w:spacing w:before="105"/>
              <w:ind w:left="651"/>
              <w:rPr>
                <w:b/>
                <w:sz w:val="17"/>
              </w:rPr>
            </w:pPr>
            <w:r>
              <w:rPr>
                <w:b/>
                <w:spacing w:val="-4"/>
                <w:sz w:val="17"/>
              </w:rPr>
              <w:t>2023</w:t>
            </w:r>
            <w:r>
              <w:rPr>
                <w:b/>
                <w:sz w:val="17"/>
              </w:rPr>
              <w:tab/>
            </w:r>
            <w:r>
              <w:rPr>
                <w:b/>
                <w:spacing w:val="-4"/>
                <w:sz w:val="17"/>
              </w:rPr>
              <w:t>2022</w:t>
            </w:r>
          </w:p>
          <w:p w14:paraId="4742C627" w14:textId="77777777" w:rsidR="00AC6F3C" w:rsidRDefault="00570E88">
            <w:pPr>
              <w:pStyle w:val="TableParagraph"/>
              <w:tabs>
                <w:tab w:val="left" w:pos="1682"/>
              </w:tabs>
              <w:spacing w:before="90"/>
              <w:ind w:left="608"/>
              <w:rPr>
                <w:b/>
                <w:sz w:val="17"/>
              </w:rPr>
            </w:pPr>
            <w:r>
              <w:rPr>
                <w:b/>
                <w:spacing w:val="-2"/>
                <w:sz w:val="17"/>
              </w:rPr>
              <w:t>$’000</w:t>
            </w:r>
            <w:r>
              <w:rPr>
                <w:b/>
                <w:sz w:val="17"/>
              </w:rPr>
              <w:tab/>
            </w:r>
            <w:r>
              <w:rPr>
                <w:b/>
                <w:spacing w:val="-2"/>
                <w:sz w:val="17"/>
              </w:rPr>
              <w:t>$’000</w:t>
            </w:r>
          </w:p>
        </w:tc>
        <w:tc>
          <w:tcPr>
            <w:tcW w:w="1460" w:type="dxa"/>
            <w:gridSpan w:val="2"/>
            <w:tcBorders>
              <w:top w:val="single" w:sz="6" w:space="0" w:color="000000"/>
              <w:bottom w:val="single" w:sz="6" w:space="0" w:color="000000"/>
            </w:tcBorders>
            <w:shd w:val="clear" w:color="auto" w:fill="BEBEBE"/>
          </w:tcPr>
          <w:p w14:paraId="67B8A699" w14:textId="77777777" w:rsidR="00AC6F3C" w:rsidRDefault="00570E88">
            <w:pPr>
              <w:pStyle w:val="TableParagraph"/>
              <w:spacing w:before="26" w:line="369" w:lineRule="auto"/>
              <w:ind w:left="652" w:firstLine="157"/>
              <w:rPr>
                <w:b/>
                <w:sz w:val="17"/>
              </w:rPr>
            </w:pPr>
            <w:r>
              <w:rPr>
                <w:b/>
                <w:spacing w:val="-2"/>
                <w:sz w:val="17"/>
              </w:rPr>
              <w:t xml:space="preserve">Parent </w:t>
            </w:r>
            <w:r>
              <w:rPr>
                <w:b/>
                <w:spacing w:val="-4"/>
                <w:sz w:val="17"/>
              </w:rPr>
              <w:t>2023</w:t>
            </w:r>
          </w:p>
          <w:p w14:paraId="31DC3305" w14:textId="77777777" w:rsidR="00AC6F3C" w:rsidRDefault="00570E88">
            <w:pPr>
              <w:pStyle w:val="TableParagraph"/>
              <w:spacing w:line="180" w:lineRule="exact"/>
              <w:ind w:left="609"/>
              <w:rPr>
                <w:b/>
                <w:sz w:val="17"/>
              </w:rPr>
            </w:pPr>
            <w:r>
              <w:rPr>
                <w:b/>
                <w:spacing w:val="-2"/>
                <w:sz w:val="17"/>
              </w:rPr>
              <w:t>$’000</w:t>
            </w:r>
          </w:p>
        </w:tc>
        <w:tc>
          <w:tcPr>
            <w:tcW w:w="694" w:type="dxa"/>
            <w:tcBorders>
              <w:top w:val="single" w:sz="6" w:space="0" w:color="000000"/>
              <w:bottom w:val="single" w:sz="6" w:space="0" w:color="000000"/>
              <w:right w:val="single" w:sz="6" w:space="0" w:color="000000"/>
            </w:tcBorders>
            <w:shd w:val="clear" w:color="auto" w:fill="BEBEBE"/>
          </w:tcPr>
          <w:p w14:paraId="679E0ED2" w14:textId="77777777" w:rsidR="00AC6F3C" w:rsidRDefault="00AC6F3C">
            <w:pPr>
              <w:pStyle w:val="TableParagraph"/>
              <w:rPr>
                <w:b/>
                <w:sz w:val="18"/>
              </w:rPr>
            </w:pPr>
          </w:p>
          <w:p w14:paraId="35AB7D7C" w14:textId="77777777" w:rsidR="00AC6F3C" w:rsidRDefault="00570E88">
            <w:pPr>
              <w:pStyle w:val="TableParagraph"/>
              <w:spacing w:before="119"/>
              <w:ind w:left="266"/>
              <w:rPr>
                <w:b/>
                <w:sz w:val="17"/>
              </w:rPr>
            </w:pPr>
            <w:r>
              <w:rPr>
                <w:b/>
                <w:spacing w:val="-4"/>
                <w:sz w:val="17"/>
              </w:rPr>
              <w:t>2022</w:t>
            </w:r>
          </w:p>
          <w:p w14:paraId="0EF9C6CE" w14:textId="77777777" w:rsidR="00AC6F3C" w:rsidRDefault="00570E88">
            <w:pPr>
              <w:pStyle w:val="TableParagraph"/>
              <w:spacing w:before="91"/>
              <w:ind w:left="223"/>
              <w:rPr>
                <w:b/>
                <w:sz w:val="17"/>
              </w:rPr>
            </w:pPr>
            <w:r>
              <w:rPr>
                <w:b/>
                <w:spacing w:val="-2"/>
                <w:sz w:val="17"/>
              </w:rPr>
              <w:t>$’000</w:t>
            </w:r>
          </w:p>
        </w:tc>
      </w:tr>
      <w:tr w:rsidR="00AC6F3C" w14:paraId="0EDE5774" w14:textId="77777777">
        <w:trPr>
          <w:trHeight w:val="283"/>
        </w:trPr>
        <w:tc>
          <w:tcPr>
            <w:tcW w:w="3672" w:type="dxa"/>
            <w:tcBorders>
              <w:top w:val="single" w:sz="6" w:space="0" w:color="000000"/>
              <w:left w:val="single" w:sz="6" w:space="0" w:color="000000"/>
            </w:tcBorders>
          </w:tcPr>
          <w:p w14:paraId="57085608" w14:textId="77777777" w:rsidR="00AC6F3C" w:rsidRDefault="00570E88">
            <w:pPr>
              <w:pStyle w:val="TableParagraph"/>
              <w:spacing w:before="40"/>
              <w:ind w:left="35"/>
              <w:rPr>
                <w:b/>
                <w:sz w:val="17"/>
              </w:rPr>
            </w:pPr>
            <w:r>
              <w:rPr>
                <w:b/>
                <w:spacing w:val="-2"/>
                <w:sz w:val="17"/>
              </w:rPr>
              <w:t>Employee</w:t>
            </w:r>
            <w:r>
              <w:rPr>
                <w:b/>
                <w:spacing w:val="-8"/>
                <w:sz w:val="17"/>
              </w:rPr>
              <w:t xml:space="preserve"> </w:t>
            </w:r>
            <w:r>
              <w:rPr>
                <w:b/>
                <w:spacing w:val="-2"/>
                <w:sz w:val="17"/>
              </w:rPr>
              <w:t>benefits</w:t>
            </w:r>
          </w:p>
        </w:tc>
        <w:tc>
          <w:tcPr>
            <w:tcW w:w="1088" w:type="dxa"/>
            <w:tcBorders>
              <w:top w:val="single" w:sz="6" w:space="0" w:color="000000"/>
            </w:tcBorders>
            <w:shd w:val="clear" w:color="auto" w:fill="F1F1F1"/>
          </w:tcPr>
          <w:p w14:paraId="75D95CCD" w14:textId="77777777" w:rsidR="00AC6F3C" w:rsidRDefault="00AC6F3C">
            <w:pPr>
              <w:pStyle w:val="TableParagraph"/>
              <w:rPr>
                <w:rFonts w:ascii="Times New Roman"/>
                <w:sz w:val="18"/>
              </w:rPr>
            </w:pPr>
          </w:p>
        </w:tc>
        <w:tc>
          <w:tcPr>
            <w:tcW w:w="1059" w:type="dxa"/>
            <w:tcBorders>
              <w:top w:val="single" w:sz="6" w:space="0" w:color="000000"/>
            </w:tcBorders>
          </w:tcPr>
          <w:p w14:paraId="2ECA13E4" w14:textId="77777777" w:rsidR="00AC6F3C" w:rsidRDefault="00AC6F3C">
            <w:pPr>
              <w:pStyle w:val="TableParagraph"/>
              <w:rPr>
                <w:rFonts w:ascii="Times New Roman"/>
                <w:sz w:val="18"/>
              </w:rPr>
            </w:pPr>
          </w:p>
        </w:tc>
        <w:tc>
          <w:tcPr>
            <w:tcW w:w="1088" w:type="dxa"/>
            <w:tcBorders>
              <w:top w:val="single" w:sz="6" w:space="0" w:color="000000"/>
            </w:tcBorders>
            <w:shd w:val="clear" w:color="auto" w:fill="F1F1F1"/>
          </w:tcPr>
          <w:p w14:paraId="1969EF91" w14:textId="77777777" w:rsidR="00AC6F3C" w:rsidRDefault="00AC6F3C">
            <w:pPr>
              <w:pStyle w:val="TableParagraph"/>
              <w:rPr>
                <w:rFonts w:ascii="Times New Roman"/>
                <w:sz w:val="18"/>
              </w:rPr>
            </w:pPr>
          </w:p>
        </w:tc>
        <w:tc>
          <w:tcPr>
            <w:tcW w:w="1066" w:type="dxa"/>
            <w:gridSpan w:val="2"/>
            <w:tcBorders>
              <w:top w:val="single" w:sz="6" w:space="0" w:color="000000"/>
              <w:right w:val="single" w:sz="6" w:space="0" w:color="000000"/>
            </w:tcBorders>
          </w:tcPr>
          <w:p w14:paraId="10184A12" w14:textId="77777777" w:rsidR="00AC6F3C" w:rsidRDefault="00AC6F3C">
            <w:pPr>
              <w:pStyle w:val="TableParagraph"/>
              <w:rPr>
                <w:rFonts w:ascii="Times New Roman"/>
                <w:sz w:val="18"/>
              </w:rPr>
            </w:pPr>
          </w:p>
        </w:tc>
      </w:tr>
      <w:tr w:rsidR="00AC6F3C" w14:paraId="1D42ECE4" w14:textId="77777777">
        <w:trPr>
          <w:trHeight w:val="286"/>
        </w:trPr>
        <w:tc>
          <w:tcPr>
            <w:tcW w:w="3672" w:type="dxa"/>
            <w:tcBorders>
              <w:left w:val="single" w:sz="6" w:space="0" w:color="000000"/>
            </w:tcBorders>
          </w:tcPr>
          <w:p w14:paraId="02CDB87D" w14:textId="77777777" w:rsidR="00AC6F3C" w:rsidRDefault="00570E88">
            <w:pPr>
              <w:pStyle w:val="TableParagraph"/>
              <w:spacing w:before="43"/>
              <w:ind w:left="35"/>
              <w:rPr>
                <w:sz w:val="17"/>
              </w:rPr>
            </w:pPr>
            <w:r>
              <w:rPr>
                <w:sz w:val="17"/>
              </w:rPr>
              <w:t>Wages</w:t>
            </w:r>
            <w:r>
              <w:rPr>
                <w:spacing w:val="22"/>
                <w:sz w:val="17"/>
              </w:rPr>
              <w:t xml:space="preserve"> </w:t>
            </w:r>
            <w:r>
              <w:rPr>
                <w:sz w:val="17"/>
              </w:rPr>
              <w:t>and</w:t>
            </w:r>
            <w:r>
              <w:rPr>
                <w:spacing w:val="11"/>
                <w:sz w:val="17"/>
              </w:rPr>
              <w:t xml:space="preserve"> </w:t>
            </w:r>
            <w:r>
              <w:rPr>
                <w:spacing w:val="-2"/>
                <w:sz w:val="17"/>
              </w:rPr>
              <w:t>salaries</w:t>
            </w:r>
          </w:p>
        </w:tc>
        <w:tc>
          <w:tcPr>
            <w:tcW w:w="1088" w:type="dxa"/>
            <w:shd w:val="clear" w:color="auto" w:fill="F1F1F1"/>
          </w:tcPr>
          <w:p w14:paraId="292B417E" w14:textId="77777777" w:rsidR="00AC6F3C" w:rsidRDefault="00570E88">
            <w:pPr>
              <w:pStyle w:val="TableParagraph"/>
              <w:spacing w:before="43"/>
              <w:ind w:right="33"/>
              <w:jc w:val="right"/>
              <w:rPr>
                <w:sz w:val="17"/>
              </w:rPr>
            </w:pPr>
            <w:r>
              <w:rPr>
                <w:spacing w:val="-2"/>
                <w:sz w:val="17"/>
              </w:rPr>
              <w:t>14,528</w:t>
            </w:r>
          </w:p>
        </w:tc>
        <w:tc>
          <w:tcPr>
            <w:tcW w:w="1059" w:type="dxa"/>
          </w:tcPr>
          <w:p w14:paraId="7B7C4D72" w14:textId="77777777" w:rsidR="00AC6F3C" w:rsidRDefault="00570E88">
            <w:pPr>
              <w:pStyle w:val="TableParagraph"/>
              <w:spacing w:before="43"/>
              <w:ind w:right="18"/>
              <w:jc w:val="right"/>
              <w:rPr>
                <w:sz w:val="17"/>
              </w:rPr>
            </w:pPr>
            <w:r>
              <w:rPr>
                <w:spacing w:val="-2"/>
                <w:sz w:val="17"/>
              </w:rPr>
              <w:t>13,262</w:t>
            </w:r>
          </w:p>
        </w:tc>
        <w:tc>
          <w:tcPr>
            <w:tcW w:w="1088" w:type="dxa"/>
            <w:shd w:val="clear" w:color="auto" w:fill="F1F1F1"/>
          </w:tcPr>
          <w:p w14:paraId="6AB41AFA" w14:textId="77777777" w:rsidR="00AC6F3C" w:rsidRDefault="00570E88">
            <w:pPr>
              <w:pStyle w:val="TableParagraph"/>
              <w:spacing w:before="43"/>
              <w:ind w:right="32"/>
              <w:jc w:val="right"/>
              <w:rPr>
                <w:sz w:val="17"/>
              </w:rPr>
            </w:pPr>
            <w:r>
              <w:rPr>
                <w:spacing w:val="-2"/>
                <w:sz w:val="17"/>
              </w:rPr>
              <w:t>10,856</w:t>
            </w:r>
          </w:p>
        </w:tc>
        <w:tc>
          <w:tcPr>
            <w:tcW w:w="1066" w:type="dxa"/>
            <w:gridSpan w:val="2"/>
            <w:tcBorders>
              <w:right w:val="single" w:sz="6" w:space="0" w:color="000000"/>
            </w:tcBorders>
          </w:tcPr>
          <w:p w14:paraId="1A7BDFBC" w14:textId="77777777" w:rsidR="00AC6F3C" w:rsidRDefault="00570E88">
            <w:pPr>
              <w:pStyle w:val="TableParagraph"/>
              <w:spacing w:before="43"/>
              <w:ind w:left="595"/>
              <w:rPr>
                <w:sz w:val="17"/>
              </w:rPr>
            </w:pPr>
            <w:r>
              <w:rPr>
                <w:spacing w:val="-2"/>
                <w:sz w:val="17"/>
              </w:rPr>
              <w:t>9,646</w:t>
            </w:r>
          </w:p>
        </w:tc>
      </w:tr>
      <w:tr w:rsidR="00AC6F3C" w14:paraId="606B626E" w14:textId="77777777">
        <w:trPr>
          <w:trHeight w:val="286"/>
        </w:trPr>
        <w:tc>
          <w:tcPr>
            <w:tcW w:w="3672" w:type="dxa"/>
            <w:tcBorders>
              <w:left w:val="single" w:sz="6" w:space="0" w:color="000000"/>
            </w:tcBorders>
          </w:tcPr>
          <w:p w14:paraId="2B86A625" w14:textId="77777777" w:rsidR="00AC6F3C" w:rsidRDefault="00570E88">
            <w:pPr>
              <w:pStyle w:val="TableParagraph"/>
              <w:spacing w:before="43"/>
              <w:ind w:left="35"/>
              <w:rPr>
                <w:sz w:val="17"/>
              </w:rPr>
            </w:pPr>
            <w:r>
              <w:rPr>
                <w:sz w:val="17"/>
              </w:rPr>
              <w:t>Employer</w:t>
            </w:r>
            <w:r>
              <w:rPr>
                <w:spacing w:val="33"/>
                <w:sz w:val="17"/>
              </w:rPr>
              <w:t xml:space="preserve"> </w:t>
            </w:r>
            <w:r>
              <w:rPr>
                <w:sz w:val="17"/>
              </w:rPr>
              <w:t>superannuation</w:t>
            </w:r>
            <w:r>
              <w:rPr>
                <w:spacing w:val="43"/>
                <w:sz w:val="17"/>
              </w:rPr>
              <w:t xml:space="preserve"> </w:t>
            </w:r>
            <w:r>
              <w:rPr>
                <w:spacing w:val="-2"/>
                <w:sz w:val="17"/>
              </w:rPr>
              <w:t>contributions</w:t>
            </w:r>
          </w:p>
        </w:tc>
        <w:tc>
          <w:tcPr>
            <w:tcW w:w="1088" w:type="dxa"/>
            <w:shd w:val="clear" w:color="auto" w:fill="F1F1F1"/>
          </w:tcPr>
          <w:p w14:paraId="67A09F92" w14:textId="77777777" w:rsidR="00AC6F3C" w:rsidRDefault="00570E88">
            <w:pPr>
              <w:pStyle w:val="TableParagraph"/>
              <w:spacing w:before="43"/>
              <w:ind w:right="33"/>
              <w:jc w:val="right"/>
              <w:rPr>
                <w:sz w:val="17"/>
              </w:rPr>
            </w:pPr>
            <w:r>
              <w:rPr>
                <w:spacing w:val="-2"/>
                <w:sz w:val="17"/>
              </w:rPr>
              <w:t>1,475</w:t>
            </w:r>
          </w:p>
        </w:tc>
        <w:tc>
          <w:tcPr>
            <w:tcW w:w="1059" w:type="dxa"/>
          </w:tcPr>
          <w:p w14:paraId="1816A4D8" w14:textId="77777777" w:rsidR="00AC6F3C" w:rsidRDefault="00570E88">
            <w:pPr>
              <w:pStyle w:val="TableParagraph"/>
              <w:spacing w:before="43"/>
              <w:ind w:right="18"/>
              <w:jc w:val="right"/>
              <w:rPr>
                <w:sz w:val="17"/>
              </w:rPr>
            </w:pPr>
            <w:r>
              <w:rPr>
                <w:spacing w:val="-2"/>
                <w:sz w:val="17"/>
              </w:rPr>
              <w:t>1,248</w:t>
            </w:r>
          </w:p>
        </w:tc>
        <w:tc>
          <w:tcPr>
            <w:tcW w:w="1088" w:type="dxa"/>
            <w:shd w:val="clear" w:color="auto" w:fill="F1F1F1"/>
          </w:tcPr>
          <w:p w14:paraId="37BEAF29" w14:textId="77777777" w:rsidR="00AC6F3C" w:rsidRDefault="00570E88">
            <w:pPr>
              <w:pStyle w:val="TableParagraph"/>
              <w:spacing w:before="43"/>
              <w:ind w:right="32"/>
              <w:jc w:val="right"/>
              <w:rPr>
                <w:sz w:val="17"/>
              </w:rPr>
            </w:pPr>
            <w:r>
              <w:rPr>
                <w:spacing w:val="-2"/>
                <w:sz w:val="17"/>
              </w:rPr>
              <w:t>1,133</w:t>
            </w:r>
          </w:p>
        </w:tc>
        <w:tc>
          <w:tcPr>
            <w:tcW w:w="1066" w:type="dxa"/>
            <w:gridSpan w:val="2"/>
            <w:tcBorders>
              <w:right w:val="single" w:sz="6" w:space="0" w:color="000000"/>
            </w:tcBorders>
          </w:tcPr>
          <w:p w14:paraId="295296AE" w14:textId="77777777" w:rsidR="00AC6F3C" w:rsidRDefault="00570E88">
            <w:pPr>
              <w:pStyle w:val="TableParagraph"/>
              <w:spacing w:before="43"/>
              <w:ind w:right="17"/>
              <w:jc w:val="right"/>
              <w:rPr>
                <w:sz w:val="17"/>
              </w:rPr>
            </w:pPr>
            <w:r>
              <w:rPr>
                <w:spacing w:val="-5"/>
                <w:sz w:val="17"/>
              </w:rPr>
              <w:t>924</w:t>
            </w:r>
          </w:p>
        </w:tc>
      </w:tr>
      <w:tr w:rsidR="00AC6F3C" w14:paraId="7B003307" w14:textId="77777777">
        <w:trPr>
          <w:trHeight w:val="286"/>
        </w:trPr>
        <w:tc>
          <w:tcPr>
            <w:tcW w:w="3672" w:type="dxa"/>
            <w:tcBorders>
              <w:left w:val="single" w:sz="6" w:space="0" w:color="000000"/>
            </w:tcBorders>
          </w:tcPr>
          <w:p w14:paraId="12AC1245" w14:textId="77777777" w:rsidR="00AC6F3C" w:rsidRDefault="00570E88">
            <w:pPr>
              <w:pStyle w:val="TableParagraph"/>
              <w:spacing w:before="43"/>
              <w:ind w:left="35"/>
              <w:rPr>
                <w:sz w:val="17"/>
              </w:rPr>
            </w:pPr>
            <w:r>
              <w:rPr>
                <w:sz w:val="17"/>
              </w:rPr>
              <w:t>Movement</w:t>
            </w:r>
            <w:r>
              <w:rPr>
                <w:spacing w:val="-2"/>
                <w:sz w:val="17"/>
              </w:rPr>
              <w:t xml:space="preserve"> </w:t>
            </w:r>
            <w:r>
              <w:rPr>
                <w:sz w:val="17"/>
              </w:rPr>
              <w:t>in</w:t>
            </w:r>
            <w:r>
              <w:rPr>
                <w:spacing w:val="10"/>
                <w:sz w:val="17"/>
              </w:rPr>
              <w:t xml:space="preserve"> </w:t>
            </w:r>
            <w:r>
              <w:rPr>
                <w:sz w:val="17"/>
              </w:rPr>
              <w:t>annual</w:t>
            </w:r>
            <w:r>
              <w:rPr>
                <w:spacing w:val="11"/>
                <w:sz w:val="17"/>
              </w:rPr>
              <w:t xml:space="preserve"> </w:t>
            </w:r>
            <w:r>
              <w:rPr>
                <w:sz w:val="17"/>
              </w:rPr>
              <w:t>leave</w:t>
            </w:r>
            <w:r>
              <w:rPr>
                <w:spacing w:val="10"/>
                <w:sz w:val="17"/>
              </w:rPr>
              <w:t xml:space="preserve"> </w:t>
            </w:r>
            <w:r>
              <w:rPr>
                <w:spacing w:val="-2"/>
                <w:sz w:val="17"/>
              </w:rPr>
              <w:t>provision</w:t>
            </w:r>
          </w:p>
        </w:tc>
        <w:tc>
          <w:tcPr>
            <w:tcW w:w="1088" w:type="dxa"/>
            <w:shd w:val="clear" w:color="auto" w:fill="F1F1F1"/>
          </w:tcPr>
          <w:p w14:paraId="6E45A1A7" w14:textId="77777777" w:rsidR="00AC6F3C" w:rsidRDefault="00570E88">
            <w:pPr>
              <w:pStyle w:val="TableParagraph"/>
              <w:spacing w:before="43"/>
              <w:ind w:right="33"/>
              <w:jc w:val="right"/>
              <w:rPr>
                <w:sz w:val="17"/>
              </w:rPr>
            </w:pPr>
            <w:r>
              <w:rPr>
                <w:spacing w:val="-5"/>
                <w:sz w:val="17"/>
              </w:rPr>
              <w:t>38</w:t>
            </w:r>
          </w:p>
        </w:tc>
        <w:tc>
          <w:tcPr>
            <w:tcW w:w="1059" w:type="dxa"/>
          </w:tcPr>
          <w:p w14:paraId="0057738A" w14:textId="77777777" w:rsidR="00AC6F3C" w:rsidRDefault="00570E88">
            <w:pPr>
              <w:pStyle w:val="TableParagraph"/>
              <w:spacing w:before="43"/>
              <w:ind w:right="18"/>
              <w:jc w:val="right"/>
              <w:rPr>
                <w:sz w:val="17"/>
              </w:rPr>
            </w:pPr>
            <w:r>
              <w:rPr>
                <w:spacing w:val="-5"/>
                <w:sz w:val="17"/>
              </w:rPr>
              <w:t>121</w:t>
            </w:r>
          </w:p>
        </w:tc>
        <w:tc>
          <w:tcPr>
            <w:tcW w:w="1088" w:type="dxa"/>
            <w:shd w:val="clear" w:color="auto" w:fill="F1F1F1"/>
          </w:tcPr>
          <w:p w14:paraId="35F82FF4" w14:textId="77777777" w:rsidR="00AC6F3C" w:rsidRDefault="00570E88">
            <w:pPr>
              <w:pStyle w:val="TableParagraph"/>
              <w:spacing w:before="43"/>
              <w:ind w:right="32"/>
              <w:jc w:val="right"/>
              <w:rPr>
                <w:sz w:val="17"/>
              </w:rPr>
            </w:pPr>
            <w:r>
              <w:rPr>
                <w:spacing w:val="-5"/>
                <w:sz w:val="17"/>
              </w:rPr>
              <w:t>40</w:t>
            </w:r>
          </w:p>
        </w:tc>
        <w:tc>
          <w:tcPr>
            <w:tcW w:w="1066" w:type="dxa"/>
            <w:gridSpan w:val="2"/>
            <w:tcBorders>
              <w:right w:val="single" w:sz="6" w:space="0" w:color="000000"/>
            </w:tcBorders>
          </w:tcPr>
          <w:p w14:paraId="0D546DAD" w14:textId="77777777" w:rsidR="00AC6F3C" w:rsidRDefault="00570E88">
            <w:pPr>
              <w:pStyle w:val="TableParagraph"/>
              <w:spacing w:before="43"/>
              <w:ind w:right="17"/>
              <w:jc w:val="right"/>
              <w:rPr>
                <w:sz w:val="17"/>
              </w:rPr>
            </w:pPr>
            <w:r>
              <w:rPr>
                <w:spacing w:val="-5"/>
                <w:sz w:val="17"/>
              </w:rPr>
              <w:t>68</w:t>
            </w:r>
          </w:p>
        </w:tc>
      </w:tr>
      <w:tr w:rsidR="00AC6F3C" w14:paraId="7400930F" w14:textId="77777777">
        <w:trPr>
          <w:trHeight w:val="286"/>
        </w:trPr>
        <w:tc>
          <w:tcPr>
            <w:tcW w:w="3672" w:type="dxa"/>
            <w:tcBorders>
              <w:left w:val="single" w:sz="6" w:space="0" w:color="000000"/>
            </w:tcBorders>
          </w:tcPr>
          <w:p w14:paraId="51B281B0" w14:textId="77777777" w:rsidR="00AC6F3C" w:rsidRDefault="00570E88">
            <w:pPr>
              <w:pStyle w:val="TableParagraph"/>
              <w:spacing w:before="43"/>
              <w:ind w:left="35"/>
              <w:rPr>
                <w:sz w:val="17"/>
              </w:rPr>
            </w:pPr>
            <w:r>
              <w:rPr>
                <w:sz w:val="17"/>
              </w:rPr>
              <w:t>Movement</w:t>
            </w:r>
            <w:r>
              <w:rPr>
                <w:spacing w:val="-4"/>
                <w:sz w:val="17"/>
              </w:rPr>
              <w:t xml:space="preserve"> </w:t>
            </w:r>
            <w:r>
              <w:rPr>
                <w:sz w:val="17"/>
              </w:rPr>
              <w:t>in</w:t>
            </w:r>
            <w:r>
              <w:rPr>
                <w:spacing w:val="9"/>
                <w:sz w:val="17"/>
              </w:rPr>
              <w:t xml:space="preserve"> </w:t>
            </w:r>
            <w:r>
              <w:rPr>
                <w:sz w:val="17"/>
              </w:rPr>
              <w:t>long</w:t>
            </w:r>
            <w:r>
              <w:rPr>
                <w:spacing w:val="9"/>
                <w:sz w:val="17"/>
              </w:rPr>
              <w:t xml:space="preserve"> </w:t>
            </w:r>
            <w:r>
              <w:rPr>
                <w:sz w:val="17"/>
              </w:rPr>
              <w:t>service</w:t>
            </w:r>
            <w:r>
              <w:rPr>
                <w:spacing w:val="9"/>
                <w:sz w:val="17"/>
              </w:rPr>
              <w:t xml:space="preserve"> </w:t>
            </w:r>
            <w:r>
              <w:rPr>
                <w:sz w:val="17"/>
              </w:rPr>
              <w:t>leave</w:t>
            </w:r>
            <w:r>
              <w:rPr>
                <w:spacing w:val="8"/>
                <w:sz w:val="17"/>
              </w:rPr>
              <w:t xml:space="preserve"> </w:t>
            </w:r>
            <w:r>
              <w:rPr>
                <w:spacing w:val="-2"/>
                <w:sz w:val="17"/>
              </w:rPr>
              <w:t>provision</w:t>
            </w:r>
          </w:p>
        </w:tc>
        <w:tc>
          <w:tcPr>
            <w:tcW w:w="1088" w:type="dxa"/>
            <w:shd w:val="clear" w:color="auto" w:fill="F1F1F1"/>
          </w:tcPr>
          <w:p w14:paraId="48261760" w14:textId="77777777" w:rsidR="00AC6F3C" w:rsidRDefault="00570E88">
            <w:pPr>
              <w:pStyle w:val="TableParagraph"/>
              <w:spacing w:before="43"/>
              <w:ind w:right="33"/>
              <w:jc w:val="right"/>
              <w:rPr>
                <w:sz w:val="17"/>
              </w:rPr>
            </w:pPr>
            <w:r>
              <w:rPr>
                <w:spacing w:val="-5"/>
                <w:sz w:val="17"/>
              </w:rPr>
              <w:t>63</w:t>
            </w:r>
          </w:p>
        </w:tc>
        <w:tc>
          <w:tcPr>
            <w:tcW w:w="1059" w:type="dxa"/>
          </w:tcPr>
          <w:p w14:paraId="785BA0ED" w14:textId="77777777" w:rsidR="00AC6F3C" w:rsidRDefault="00570E88">
            <w:pPr>
              <w:pStyle w:val="TableParagraph"/>
              <w:spacing w:before="43"/>
              <w:ind w:right="18"/>
              <w:jc w:val="right"/>
              <w:rPr>
                <w:sz w:val="17"/>
              </w:rPr>
            </w:pPr>
            <w:r>
              <w:rPr>
                <w:spacing w:val="-5"/>
                <w:sz w:val="17"/>
              </w:rPr>
              <w:t>73</w:t>
            </w:r>
          </w:p>
        </w:tc>
        <w:tc>
          <w:tcPr>
            <w:tcW w:w="1088" w:type="dxa"/>
            <w:shd w:val="clear" w:color="auto" w:fill="F1F1F1"/>
          </w:tcPr>
          <w:p w14:paraId="6E39A93E" w14:textId="77777777" w:rsidR="00AC6F3C" w:rsidRDefault="00570E88">
            <w:pPr>
              <w:pStyle w:val="TableParagraph"/>
              <w:spacing w:before="43"/>
              <w:ind w:right="32"/>
              <w:jc w:val="right"/>
              <w:rPr>
                <w:sz w:val="17"/>
              </w:rPr>
            </w:pPr>
            <w:r>
              <w:rPr>
                <w:spacing w:val="-5"/>
                <w:sz w:val="17"/>
              </w:rPr>
              <w:t>(3)</w:t>
            </w:r>
          </w:p>
        </w:tc>
        <w:tc>
          <w:tcPr>
            <w:tcW w:w="1066" w:type="dxa"/>
            <w:gridSpan w:val="2"/>
            <w:tcBorders>
              <w:right w:val="single" w:sz="6" w:space="0" w:color="000000"/>
            </w:tcBorders>
          </w:tcPr>
          <w:p w14:paraId="351EA72F" w14:textId="77777777" w:rsidR="00AC6F3C" w:rsidRDefault="00570E88">
            <w:pPr>
              <w:pStyle w:val="TableParagraph"/>
              <w:spacing w:before="43"/>
              <w:ind w:right="17"/>
              <w:jc w:val="right"/>
              <w:rPr>
                <w:sz w:val="17"/>
              </w:rPr>
            </w:pPr>
            <w:r>
              <w:rPr>
                <w:spacing w:val="-5"/>
                <w:sz w:val="17"/>
              </w:rPr>
              <w:t>44</w:t>
            </w:r>
          </w:p>
        </w:tc>
      </w:tr>
      <w:tr w:rsidR="00AC6F3C" w14:paraId="62C8BC95" w14:textId="77777777">
        <w:trPr>
          <w:trHeight w:val="286"/>
        </w:trPr>
        <w:tc>
          <w:tcPr>
            <w:tcW w:w="3672" w:type="dxa"/>
            <w:tcBorders>
              <w:left w:val="single" w:sz="6" w:space="0" w:color="000000"/>
            </w:tcBorders>
          </w:tcPr>
          <w:p w14:paraId="5516903F" w14:textId="77777777" w:rsidR="00AC6F3C" w:rsidRDefault="00570E88">
            <w:pPr>
              <w:pStyle w:val="TableParagraph"/>
              <w:spacing w:before="43"/>
              <w:ind w:left="35"/>
              <w:rPr>
                <w:sz w:val="17"/>
              </w:rPr>
            </w:pPr>
            <w:r>
              <w:rPr>
                <w:sz w:val="17"/>
              </w:rPr>
              <w:t>Staff</w:t>
            </w:r>
            <w:r>
              <w:rPr>
                <w:spacing w:val="-3"/>
                <w:sz w:val="17"/>
              </w:rPr>
              <w:t xml:space="preserve"> </w:t>
            </w:r>
            <w:r>
              <w:rPr>
                <w:sz w:val="17"/>
              </w:rPr>
              <w:t>training</w:t>
            </w:r>
            <w:r>
              <w:rPr>
                <w:spacing w:val="10"/>
                <w:sz w:val="17"/>
              </w:rPr>
              <w:t xml:space="preserve"> </w:t>
            </w:r>
            <w:r>
              <w:rPr>
                <w:sz w:val="17"/>
              </w:rPr>
              <w:t>and</w:t>
            </w:r>
            <w:r>
              <w:rPr>
                <w:spacing w:val="10"/>
                <w:sz w:val="17"/>
              </w:rPr>
              <w:t xml:space="preserve"> </w:t>
            </w:r>
            <w:r>
              <w:rPr>
                <w:spacing w:val="-2"/>
                <w:sz w:val="17"/>
              </w:rPr>
              <w:t>development</w:t>
            </w:r>
          </w:p>
        </w:tc>
        <w:tc>
          <w:tcPr>
            <w:tcW w:w="1088" w:type="dxa"/>
            <w:shd w:val="clear" w:color="auto" w:fill="F1F1F1"/>
          </w:tcPr>
          <w:p w14:paraId="5DA8AD02" w14:textId="77777777" w:rsidR="00AC6F3C" w:rsidRDefault="00570E88">
            <w:pPr>
              <w:pStyle w:val="TableParagraph"/>
              <w:spacing w:before="43"/>
              <w:ind w:right="33"/>
              <w:jc w:val="right"/>
              <w:rPr>
                <w:sz w:val="17"/>
              </w:rPr>
            </w:pPr>
            <w:r>
              <w:rPr>
                <w:spacing w:val="-5"/>
                <w:sz w:val="17"/>
              </w:rPr>
              <w:t>28</w:t>
            </w:r>
          </w:p>
        </w:tc>
        <w:tc>
          <w:tcPr>
            <w:tcW w:w="1059" w:type="dxa"/>
          </w:tcPr>
          <w:p w14:paraId="2B0203B0" w14:textId="77777777" w:rsidR="00AC6F3C" w:rsidRDefault="00570E88">
            <w:pPr>
              <w:pStyle w:val="TableParagraph"/>
              <w:spacing w:before="43"/>
              <w:ind w:right="18"/>
              <w:jc w:val="right"/>
              <w:rPr>
                <w:sz w:val="17"/>
              </w:rPr>
            </w:pPr>
            <w:r>
              <w:rPr>
                <w:spacing w:val="-5"/>
                <w:sz w:val="17"/>
              </w:rPr>
              <w:t>23</w:t>
            </w:r>
          </w:p>
        </w:tc>
        <w:tc>
          <w:tcPr>
            <w:tcW w:w="1088" w:type="dxa"/>
            <w:shd w:val="clear" w:color="auto" w:fill="F1F1F1"/>
          </w:tcPr>
          <w:p w14:paraId="0754483D" w14:textId="77777777" w:rsidR="00AC6F3C" w:rsidRDefault="00570E88">
            <w:pPr>
              <w:pStyle w:val="TableParagraph"/>
              <w:spacing w:before="43"/>
              <w:ind w:right="32"/>
              <w:jc w:val="right"/>
              <w:rPr>
                <w:sz w:val="17"/>
              </w:rPr>
            </w:pPr>
            <w:r>
              <w:rPr>
                <w:spacing w:val="-5"/>
                <w:sz w:val="17"/>
              </w:rPr>
              <w:t>31</w:t>
            </w:r>
          </w:p>
        </w:tc>
        <w:tc>
          <w:tcPr>
            <w:tcW w:w="1066" w:type="dxa"/>
            <w:gridSpan w:val="2"/>
            <w:tcBorders>
              <w:right w:val="single" w:sz="6" w:space="0" w:color="000000"/>
            </w:tcBorders>
          </w:tcPr>
          <w:p w14:paraId="476402B5" w14:textId="77777777" w:rsidR="00AC6F3C" w:rsidRDefault="00570E88">
            <w:pPr>
              <w:pStyle w:val="TableParagraph"/>
              <w:spacing w:before="43"/>
              <w:ind w:right="17"/>
              <w:jc w:val="right"/>
              <w:rPr>
                <w:sz w:val="17"/>
              </w:rPr>
            </w:pPr>
            <w:r>
              <w:rPr>
                <w:spacing w:val="-5"/>
                <w:sz w:val="17"/>
              </w:rPr>
              <w:t>18</w:t>
            </w:r>
          </w:p>
        </w:tc>
      </w:tr>
      <w:tr w:rsidR="00AC6F3C" w14:paraId="030A24A1" w14:textId="77777777">
        <w:trPr>
          <w:trHeight w:val="286"/>
        </w:trPr>
        <w:tc>
          <w:tcPr>
            <w:tcW w:w="3672" w:type="dxa"/>
            <w:tcBorders>
              <w:left w:val="single" w:sz="6" w:space="0" w:color="000000"/>
            </w:tcBorders>
          </w:tcPr>
          <w:p w14:paraId="49F7905F" w14:textId="77777777" w:rsidR="00AC6F3C" w:rsidRDefault="00570E88">
            <w:pPr>
              <w:pStyle w:val="TableParagraph"/>
              <w:spacing w:before="43"/>
              <w:ind w:left="35"/>
              <w:rPr>
                <w:b/>
                <w:sz w:val="17"/>
              </w:rPr>
            </w:pPr>
            <w:r>
              <w:rPr>
                <w:b/>
                <w:sz w:val="17"/>
              </w:rPr>
              <w:t>Employee</w:t>
            </w:r>
            <w:r>
              <w:rPr>
                <w:b/>
                <w:spacing w:val="-5"/>
                <w:sz w:val="17"/>
              </w:rPr>
              <w:t xml:space="preserve"> </w:t>
            </w:r>
            <w:r>
              <w:rPr>
                <w:b/>
                <w:sz w:val="17"/>
              </w:rPr>
              <w:t>related</w:t>
            </w:r>
            <w:r>
              <w:rPr>
                <w:b/>
                <w:spacing w:val="-12"/>
                <w:sz w:val="17"/>
              </w:rPr>
              <w:t xml:space="preserve"> </w:t>
            </w:r>
            <w:r>
              <w:rPr>
                <w:b/>
                <w:spacing w:val="-2"/>
                <w:sz w:val="17"/>
              </w:rPr>
              <w:t>expenses</w:t>
            </w:r>
          </w:p>
        </w:tc>
        <w:tc>
          <w:tcPr>
            <w:tcW w:w="1088" w:type="dxa"/>
            <w:shd w:val="clear" w:color="auto" w:fill="F1F1F1"/>
          </w:tcPr>
          <w:p w14:paraId="396A6A19" w14:textId="77777777" w:rsidR="00AC6F3C" w:rsidRDefault="00AC6F3C">
            <w:pPr>
              <w:pStyle w:val="TableParagraph"/>
              <w:rPr>
                <w:rFonts w:ascii="Times New Roman"/>
                <w:sz w:val="18"/>
              </w:rPr>
            </w:pPr>
          </w:p>
        </w:tc>
        <w:tc>
          <w:tcPr>
            <w:tcW w:w="1059" w:type="dxa"/>
          </w:tcPr>
          <w:p w14:paraId="427515E7" w14:textId="77777777" w:rsidR="00AC6F3C" w:rsidRDefault="00AC6F3C">
            <w:pPr>
              <w:pStyle w:val="TableParagraph"/>
              <w:rPr>
                <w:rFonts w:ascii="Times New Roman"/>
                <w:sz w:val="18"/>
              </w:rPr>
            </w:pPr>
          </w:p>
        </w:tc>
        <w:tc>
          <w:tcPr>
            <w:tcW w:w="1088" w:type="dxa"/>
            <w:shd w:val="clear" w:color="auto" w:fill="F1F1F1"/>
          </w:tcPr>
          <w:p w14:paraId="20D60A13" w14:textId="77777777" w:rsidR="00AC6F3C" w:rsidRDefault="00AC6F3C">
            <w:pPr>
              <w:pStyle w:val="TableParagraph"/>
              <w:rPr>
                <w:rFonts w:ascii="Times New Roman"/>
                <w:sz w:val="18"/>
              </w:rPr>
            </w:pPr>
          </w:p>
        </w:tc>
        <w:tc>
          <w:tcPr>
            <w:tcW w:w="1066" w:type="dxa"/>
            <w:gridSpan w:val="2"/>
            <w:tcBorders>
              <w:right w:val="single" w:sz="6" w:space="0" w:color="000000"/>
            </w:tcBorders>
          </w:tcPr>
          <w:p w14:paraId="4E4D357F" w14:textId="77777777" w:rsidR="00AC6F3C" w:rsidRDefault="00AC6F3C">
            <w:pPr>
              <w:pStyle w:val="TableParagraph"/>
              <w:rPr>
                <w:rFonts w:ascii="Times New Roman"/>
                <w:sz w:val="18"/>
              </w:rPr>
            </w:pPr>
          </w:p>
        </w:tc>
      </w:tr>
      <w:tr w:rsidR="00AC6F3C" w14:paraId="206A444F" w14:textId="77777777">
        <w:trPr>
          <w:trHeight w:val="286"/>
        </w:trPr>
        <w:tc>
          <w:tcPr>
            <w:tcW w:w="3672" w:type="dxa"/>
            <w:tcBorders>
              <w:left w:val="single" w:sz="6" w:space="0" w:color="000000"/>
            </w:tcBorders>
          </w:tcPr>
          <w:p w14:paraId="372BDFA6" w14:textId="77777777" w:rsidR="00AC6F3C" w:rsidRDefault="00570E88">
            <w:pPr>
              <w:pStyle w:val="TableParagraph"/>
              <w:spacing w:before="43"/>
              <w:ind w:left="35"/>
              <w:rPr>
                <w:sz w:val="17"/>
              </w:rPr>
            </w:pPr>
            <w:r>
              <w:rPr>
                <w:sz w:val="17"/>
              </w:rPr>
              <w:t>Workers'</w:t>
            </w:r>
            <w:r>
              <w:rPr>
                <w:spacing w:val="29"/>
                <w:sz w:val="17"/>
              </w:rPr>
              <w:t xml:space="preserve"> </w:t>
            </w:r>
            <w:r>
              <w:rPr>
                <w:sz w:val="17"/>
              </w:rPr>
              <w:t>compensation</w:t>
            </w:r>
            <w:r>
              <w:rPr>
                <w:spacing w:val="47"/>
                <w:sz w:val="17"/>
              </w:rPr>
              <w:t xml:space="preserve"> </w:t>
            </w:r>
            <w:r>
              <w:rPr>
                <w:spacing w:val="-2"/>
                <w:sz w:val="17"/>
              </w:rPr>
              <w:t>premiums</w:t>
            </w:r>
          </w:p>
        </w:tc>
        <w:tc>
          <w:tcPr>
            <w:tcW w:w="1088" w:type="dxa"/>
            <w:shd w:val="clear" w:color="auto" w:fill="F1F1F1"/>
          </w:tcPr>
          <w:p w14:paraId="292FAEC3" w14:textId="77777777" w:rsidR="00AC6F3C" w:rsidRDefault="00570E88">
            <w:pPr>
              <w:pStyle w:val="TableParagraph"/>
              <w:spacing w:before="43"/>
              <w:ind w:right="33"/>
              <w:jc w:val="right"/>
              <w:rPr>
                <w:sz w:val="17"/>
              </w:rPr>
            </w:pPr>
            <w:r>
              <w:rPr>
                <w:spacing w:val="-5"/>
                <w:sz w:val="17"/>
              </w:rPr>
              <w:t>55</w:t>
            </w:r>
          </w:p>
        </w:tc>
        <w:tc>
          <w:tcPr>
            <w:tcW w:w="1059" w:type="dxa"/>
          </w:tcPr>
          <w:p w14:paraId="255035F3" w14:textId="77777777" w:rsidR="00AC6F3C" w:rsidRDefault="00570E88">
            <w:pPr>
              <w:pStyle w:val="TableParagraph"/>
              <w:spacing w:before="43"/>
              <w:ind w:right="18"/>
              <w:jc w:val="right"/>
              <w:rPr>
                <w:sz w:val="17"/>
              </w:rPr>
            </w:pPr>
            <w:r>
              <w:rPr>
                <w:spacing w:val="-5"/>
                <w:sz w:val="17"/>
              </w:rPr>
              <w:t>44</w:t>
            </w:r>
          </w:p>
        </w:tc>
        <w:tc>
          <w:tcPr>
            <w:tcW w:w="1088" w:type="dxa"/>
            <w:shd w:val="clear" w:color="auto" w:fill="F1F1F1"/>
          </w:tcPr>
          <w:p w14:paraId="11326D38" w14:textId="77777777" w:rsidR="00AC6F3C" w:rsidRDefault="00570E88">
            <w:pPr>
              <w:pStyle w:val="TableParagraph"/>
              <w:spacing w:before="43"/>
              <w:ind w:right="32"/>
              <w:jc w:val="right"/>
              <w:rPr>
                <w:sz w:val="17"/>
              </w:rPr>
            </w:pPr>
            <w:r>
              <w:rPr>
                <w:spacing w:val="-5"/>
                <w:sz w:val="17"/>
              </w:rPr>
              <w:t>47</w:t>
            </w:r>
          </w:p>
        </w:tc>
        <w:tc>
          <w:tcPr>
            <w:tcW w:w="1066" w:type="dxa"/>
            <w:gridSpan w:val="2"/>
            <w:tcBorders>
              <w:right w:val="single" w:sz="6" w:space="0" w:color="000000"/>
            </w:tcBorders>
          </w:tcPr>
          <w:p w14:paraId="5694AAD3" w14:textId="77777777" w:rsidR="00AC6F3C" w:rsidRDefault="00570E88">
            <w:pPr>
              <w:pStyle w:val="TableParagraph"/>
              <w:spacing w:before="43"/>
              <w:ind w:right="17"/>
              <w:jc w:val="right"/>
              <w:rPr>
                <w:sz w:val="17"/>
              </w:rPr>
            </w:pPr>
            <w:r>
              <w:rPr>
                <w:spacing w:val="-5"/>
                <w:sz w:val="17"/>
              </w:rPr>
              <w:t>36</w:t>
            </w:r>
          </w:p>
        </w:tc>
      </w:tr>
      <w:tr w:rsidR="00AC6F3C" w14:paraId="6CCD72C8" w14:textId="77777777">
        <w:trPr>
          <w:trHeight w:val="286"/>
        </w:trPr>
        <w:tc>
          <w:tcPr>
            <w:tcW w:w="3672" w:type="dxa"/>
            <w:tcBorders>
              <w:left w:val="single" w:sz="6" w:space="0" w:color="000000"/>
            </w:tcBorders>
          </w:tcPr>
          <w:p w14:paraId="27CB5481" w14:textId="77777777" w:rsidR="00AC6F3C" w:rsidRDefault="00570E88">
            <w:pPr>
              <w:pStyle w:val="TableParagraph"/>
              <w:spacing w:before="43"/>
              <w:ind w:left="35"/>
              <w:rPr>
                <w:sz w:val="17"/>
              </w:rPr>
            </w:pPr>
            <w:r>
              <w:rPr>
                <w:sz w:val="17"/>
              </w:rPr>
              <w:t>Payroll</w:t>
            </w:r>
            <w:r>
              <w:rPr>
                <w:spacing w:val="1"/>
                <w:sz w:val="17"/>
              </w:rPr>
              <w:t xml:space="preserve"> </w:t>
            </w:r>
            <w:r>
              <w:rPr>
                <w:spacing w:val="-2"/>
                <w:sz w:val="17"/>
              </w:rPr>
              <w:t>taxes</w:t>
            </w:r>
          </w:p>
        </w:tc>
        <w:tc>
          <w:tcPr>
            <w:tcW w:w="1088" w:type="dxa"/>
            <w:shd w:val="clear" w:color="auto" w:fill="F1F1F1"/>
          </w:tcPr>
          <w:p w14:paraId="3E75AF7B" w14:textId="77777777" w:rsidR="00AC6F3C" w:rsidRDefault="00570E88">
            <w:pPr>
              <w:pStyle w:val="TableParagraph"/>
              <w:spacing w:before="43"/>
              <w:ind w:right="33"/>
              <w:jc w:val="right"/>
              <w:rPr>
                <w:sz w:val="17"/>
              </w:rPr>
            </w:pPr>
            <w:r>
              <w:rPr>
                <w:spacing w:val="-5"/>
                <w:sz w:val="17"/>
              </w:rPr>
              <w:t>826</w:t>
            </w:r>
          </w:p>
        </w:tc>
        <w:tc>
          <w:tcPr>
            <w:tcW w:w="1059" w:type="dxa"/>
          </w:tcPr>
          <w:p w14:paraId="43D9DAA0" w14:textId="77777777" w:rsidR="00AC6F3C" w:rsidRDefault="00570E88">
            <w:pPr>
              <w:pStyle w:val="TableParagraph"/>
              <w:spacing w:before="43"/>
              <w:ind w:right="18"/>
              <w:jc w:val="right"/>
              <w:rPr>
                <w:sz w:val="17"/>
              </w:rPr>
            </w:pPr>
            <w:r>
              <w:rPr>
                <w:spacing w:val="-5"/>
                <w:sz w:val="17"/>
              </w:rPr>
              <w:t>721</w:t>
            </w:r>
          </w:p>
        </w:tc>
        <w:tc>
          <w:tcPr>
            <w:tcW w:w="1088" w:type="dxa"/>
            <w:shd w:val="clear" w:color="auto" w:fill="F1F1F1"/>
          </w:tcPr>
          <w:p w14:paraId="17A4F6E8" w14:textId="77777777" w:rsidR="00AC6F3C" w:rsidRDefault="00570E88">
            <w:pPr>
              <w:pStyle w:val="TableParagraph"/>
              <w:spacing w:before="43"/>
              <w:ind w:right="32"/>
              <w:jc w:val="right"/>
              <w:rPr>
                <w:sz w:val="17"/>
              </w:rPr>
            </w:pPr>
            <w:r>
              <w:rPr>
                <w:spacing w:val="-5"/>
                <w:sz w:val="17"/>
              </w:rPr>
              <w:t>602</w:t>
            </w:r>
          </w:p>
        </w:tc>
        <w:tc>
          <w:tcPr>
            <w:tcW w:w="1066" w:type="dxa"/>
            <w:gridSpan w:val="2"/>
            <w:tcBorders>
              <w:right w:val="single" w:sz="6" w:space="0" w:color="000000"/>
            </w:tcBorders>
          </w:tcPr>
          <w:p w14:paraId="2EA0E066" w14:textId="77777777" w:rsidR="00AC6F3C" w:rsidRDefault="00570E88">
            <w:pPr>
              <w:pStyle w:val="TableParagraph"/>
              <w:spacing w:before="43"/>
              <w:ind w:right="17"/>
              <w:jc w:val="right"/>
              <w:rPr>
                <w:sz w:val="17"/>
              </w:rPr>
            </w:pPr>
            <w:r>
              <w:rPr>
                <w:spacing w:val="-5"/>
                <w:sz w:val="17"/>
              </w:rPr>
              <w:t>505</w:t>
            </w:r>
          </w:p>
        </w:tc>
      </w:tr>
      <w:tr w:rsidR="00AC6F3C" w14:paraId="6D2322FB" w14:textId="77777777">
        <w:trPr>
          <w:trHeight w:val="273"/>
        </w:trPr>
        <w:tc>
          <w:tcPr>
            <w:tcW w:w="3672" w:type="dxa"/>
            <w:tcBorders>
              <w:left w:val="single" w:sz="6" w:space="0" w:color="000000"/>
              <w:bottom w:val="single" w:sz="6" w:space="0" w:color="000000"/>
            </w:tcBorders>
          </w:tcPr>
          <w:p w14:paraId="20B958AC" w14:textId="77777777" w:rsidR="00AC6F3C" w:rsidRDefault="00570E88">
            <w:pPr>
              <w:pStyle w:val="TableParagraph"/>
              <w:spacing w:before="43"/>
              <w:ind w:left="35"/>
              <w:rPr>
                <w:sz w:val="17"/>
              </w:rPr>
            </w:pPr>
            <w:r>
              <w:rPr>
                <w:sz w:val="17"/>
              </w:rPr>
              <w:t>Other</w:t>
            </w:r>
            <w:r>
              <w:rPr>
                <w:spacing w:val="8"/>
                <w:sz w:val="17"/>
              </w:rPr>
              <w:t xml:space="preserve"> </w:t>
            </w:r>
            <w:r>
              <w:rPr>
                <w:sz w:val="17"/>
              </w:rPr>
              <w:t>employee</w:t>
            </w:r>
            <w:r>
              <w:rPr>
                <w:spacing w:val="15"/>
                <w:sz w:val="17"/>
              </w:rPr>
              <w:t xml:space="preserve"> </w:t>
            </w:r>
            <w:r>
              <w:rPr>
                <w:spacing w:val="-2"/>
                <w:sz w:val="17"/>
              </w:rPr>
              <w:t>benefits</w:t>
            </w:r>
          </w:p>
        </w:tc>
        <w:tc>
          <w:tcPr>
            <w:tcW w:w="1088" w:type="dxa"/>
            <w:tcBorders>
              <w:bottom w:val="single" w:sz="6" w:space="0" w:color="000000"/>
            </w:tcBorders>
            <w:shd w:val="clear" w:color="auto" w:fill="F1F1F1"/>
          </w:tcPr>
          <w:p w14:paraId="018B7543" w14:textId="77777777" w:rsidR="00AC6F3C" w:rsidRDefault="00570E88">
            <w:pPr>
              <w:pStyle w:val="TableParagraph"/>
              <w:spacing w:before="43"/>
              <w:ind w:right="33"/>
              <w:jc w:val="right"/>
              <w:rPr>
                <w:sz w:val="17"/>
              </w:rPr>
            </w:pPr>
            <w:r>
              <w:rPr>
                <w:spacing w:val="-5"/>
                <w:sz w:val="17"/>
              </w:rPr>
              <w:t>39</w:t>
            </w:r>
          </w:p>
        </w:tc>
        <w:tc>
          <w:tcPr>
            <w:tcW w:w="1059" w:type="dxa"/>
            <w:tcBorders>
              <w:bottom w:val="single" w:sz="6" w:space="0" w:color="000000"/>
            </w:tcBorders>
          </w:tcPr>
          <w:p w14:paraId="5E1E3659" w14:textId="77777777" w:rsidR="00AC6F3C" w:rsidRDefault="00570E88">
            <w:pPr>
              <w:pStyle w:val="TableParagraph"/>
              <w:spacing w:before="43"/>
              <w:ind w:right="18"/>
              <w:jc w:val="right"/>
              <w:rPr>
                <w:sz w:val="17"/>
              </w:rPr>
            </w:pPr>
            <w:r>
              <w:rPr>
                <w:spacing w:val="-5"/>
                <w:sz w:val="17"/>
              </w:rPr>
              <w:t>28</w:t>
            </w:r>
          </w:p>
        </w:tc>
        <w:tc>
          <w:tcPr>
            <w:tcW w:w="1088" w:type="dxa"/>
            <w:tcBorders>
              <w:bottom w:val="single" w:sz="6" w:space="0" w:color="000000"/>
            </w:tcBorders>
            <w:shd w:val="clear" w:color="auto" w:fill="F1F1F1"/>
          </w:tcPr>
          <w:p w14:paraId="4817D836" w14:textId="77777777" w:rsidR="00AC6F3C" w:rsidRDefault="00570E88">
            <w:pPr>
              <w:pStyle w:val="TableParagraph"/>
              <w:spacing w:before="43"/>
              <w:ind w:right="32"/>
              <w:jc w:val="right"/>
              <w:rPr>
                <w:sz w:val="17"/>
              </w:rPr>
            </w:pPr>
            <w:r>
              <w:rPr>
                <w:spacing w:val="-5"/>
                <w:sz w:val="17"/>
              </w:rPr>
              <w:t>33</w:t>
            </w:r>
          </w:p>
        </w:tc>
        <w:tc>
          <w:tcPr>
            <w:tcW w:w="1066" w:type="dxa"/>
            <w:gridSpan w:val="2"/>
            <w:tcBorders>
              <w:bottom w:val="single" w:sz="6" w:space="0" w:color="000000"/>
              <w:right w:val="single" w:sz="6" w:space="0" w:color="000000"/>
            </w:tcBorders>
          </w:tcPr>
          <w:p w14:paraId="55CE79CA" w14:textId="77777777" w:rsidR="00AC6F3C" w:rsidRDefault="00570E88">
            <w:pPr>
              <w:pStyle w:val="TableParagraph"/>
              <w:spacing w:before="43"/>
              <w:ind w:right="17"/>
              <w:jc w:val="right"/>
              <w:rPr>
                <w:sz w:val="17"/>
              </w:rPr>
            </w:pPr>
            <w:r>
              <w:rPr>
                <w:spacing w:val="-5"/>
                <w:sz w:val="17"/>
              </w:rPr>
              <w:t>24</w:t>
            </w:r>
          </w:p>
        </w:tc>
      </w:tr>
      <w:tr w:rsidR="00AC6F3C" w14:paraId="09B4A050" w14:textId="77777777">
        <w:trPr>
          <w:trHeight w:val="271"/>
        </w:trPr>
        <w:tc>
          <w:tcPr>
            <w:tcW w:w="3672" w:type="dxa"/>
            <w:tcBorders>
              <w:top w:val="single" w:sz="6" w:space="0" w:color="000000"/>
              <w:left w:val="single" w:sz="6" w:space="0" w:color="000000"/>
              <w:bottom w:val="single" w:sz="6" w:space="0" w:color="000000"/>
            </w:tcBorders>
            <w:shd w:val="clear" w:color="auto" w:fill="BEBEBE"/>
          </w:tcPr>
          <w:p w14:paraId="7801E6E6" w14:textId="77777777" w:rsidR="00AC6F3C" w:rsidRDefault="00570E88">
            <w:pPr>
              <w:pStyle w:val="TableParagraph"/>
              <w:spacing w:before="40"/>
              <w:ind w:left="35"/>
              <w:rPr>
                <w:b/>
                <w:sz w:val="17"/>
              </w:rPr>
            </w:pPr>
            <w:r>
              <w:rPr>
                <w:b/>
                <w:sz w:val="17"/>
              </w:rPr>
              <w:t>Total</w:t>
            </w:r>
            <w:r>
              <w:rPr>
                <w:b/>
                <w:spacing w:val="-12"/>
                <w:sz w:val="17"/>
              </w:rPr>
              <w:t xml:space="preserve"> </w:t>
            </w:r>
            <w:r>
              <w:rPr>
                <w:b/>
                <w:sz w:val="17"/>
              </w:rPr>
              <w:t>employee</w:t>
            </w:r>
            <w:r>
              <w:rPr>
                <w:b/>
                <w:spacing w:val="-6"/>
                <w:sz w:val="17"/>
              </w:rPr>
              <w:t xml:space="preserve"> </w:t>
            </w:r>
            <w:r>
              <w:rPr>
                <w:b/>
                <w:spacing w:val="-2"/>
                <w:sz w:val="17"/>
              </w:rPr>
              <w:t>expenses</w:t>
            </w:r>
          </w:p>
        </w:tc>
        <w:tc>
          <w:tcPr>
            <w:tcW w:w="2147" w:type="dxa"/>
            <w:gridSpan w:val="2"/>
            <w:tcBorders>
              <w:top w:val="single" w:sz="6" w:space="0" w:color="000000"/>
              <w:bottom w:val="single" w:sz="6" w:space="0" w:color="000000"/>
            </w:tcBorders>
            <w:shd w:val="clear" w:color="auto" w:fill="BEBEBE"/>
          </w:tcPr>
          <w:p w14:paraId="7C03FF29" w14:textId="77777777" w:rsidR="00AC6F3C" w:rsidRDefault="00570E88">
            <w:pPr>
              <w:pStyle w:val="TableParagraph"/>
              <w:tabs>
                <w:tab w:val="left" w:pos="1582"/>
              </w:tabs>
              <w:spacing w:before="40"/>
              <w:ind w:left="508"/>
              <w:rPr>
                <w:b/>
                <w:sz w:val="17"/>
              </w:rPr>
            </w:pPr>
            <w:r>
              <w:rPr>
                <w:b/>
                <w:spacing w:val="-2"/>
                <w:sz w:val="17"/>
              </w:rPr>
              <w:t>17,051</w:t>
            </w:r>
            <w:r>
              <w:rPr>
                <w:b/>
                <w:sz w:val="17"/>
              </w:rPr>
              <w:tab/>
            </w:r>
            <w:r>
              <w:rPr>
                <w:b/>
                <w:spacing w:val="-2"/>
                <w:sz w:val="17"/>
              </w:rPr>
              <w:t>15,521</w:t>
            </w:r>
          </w:p>
        </w:tc>
        <w:tc>
          <w:tcPr>
            <w:tcW w:w="1460" w:type="dxa"/>
            <w:gridSpan w:val="2"/>
            <w:tcBorders>
              <w:top w:val="single" w:sz="6" w:space="0" w:color="000000"/>
              <w:bottom w:val="single" w:sz="6" w:space="0" w:color="000000"/>
            </w:tcBorders>
            <w:shd w:val="clear" w:color="auto" w:fill="BEBEBE"/>
          </w:tcPr>
          <w:p w14:paraId="4060C09B" w14:textId="77777777" w:rsidR="00AC6F3C" w:rsidRDefault="00570E88">
            <w:pPr>
              <w:pStyle w:val="TableParagraph"/>
              <w:spacing w:before="40"/>
              <w:ind w:left="509"/>
              <w:rPr>
                <w:b/>
                <w:sz w:val="17"/>
              </w:rPr>
            </w:pPr>
            <w:r>
              <w:rPr>
                <w:b/>
                <w:spacing w:val="-2"/>
                <w:sz w:val="17"/>
              </w:rPr>
              <w:t>12,739</w:t>
            </w:r>
          </w:p>
        </w:tc>
        <w:tc>
          <w:tcPr>
            <w:tcW w:w="694" w:type="dxa"/>
            <w:tcBorders>
              <w:top w:val="single" w:sz="6" w:space="0" w:color="000000"/>
              <w:bottom w:val="single" w:sz="6" w:space="0" w:color="000000"/>
              <w:right w:val="single" w:sz="6" w:space="0" w:color="000000"/>
            </w:tcBorders>
            <w:shd w:val="clear" w:color="auto" w:fill="BEBEBE"/>
          </w:tcPr>
          <w:p w14:paraId="5AC9C5C3" w14:textId="77777777" w:rsidR="00AC6F3C" w:rsidRDefault="00570E88">
            <w:pPr>
              <w:pStyle w:val="TableParagraph"/>
              <w:spacing w:before="40"/>
              <w:ind w:left="123"/>
              <w:rPr>
                <w:b/>
                <w:sz w:val="17"/>
              </w:rPr>
            </w:pPr>
            <w:r>
              <w:rPr>
                <w:b/>
                <w:spacing w:val="-2"/>
                <w:sz w:val="17"/>
              </w:rPr>
              <w:t>11,267</w:t>
            </w:r>
          </w:p>
        </w:tc>
      </w:tr>
    </w:tbl>
    <w:p w14:paraId="7176C1B3" w14:textId="77777777" w:rsidR="00AC6F3C" w:rsidRDefault="00570E88">
      <w:pPr>
        <w:spacing w:before="135"/>
        <w:ind w:left="958"/>
        <w:rPr>
          <w:b/>
          <w:sz w:val="18"/>
        </w:rPr>
      </w:pPr>
      <w:r>
        <w:rPr>
          <w:b/>
          <w:sz w:val="18"/>
        </w:rPr>
        <w:t>Employee</w:t>
      </w:r>
      <w:r>
        <w:rPr>
          <w:b/>
          <w:spacing w:val="-2"/>
          <w:sz w:val="18"/>
        </w:rPr>
        <w:t xml:space="preserve"> numbers</w:t>
      </w:r>
    </w:p>
    <w:p w14:paraId="73F1E969" w14:textId="77777777" w:rsidR="00AC6F3C" w:rsidRDefault="00AC6F3C">
      <w:pPr>
        <w:pStyle w:val="BodyText"/>
        <w:spacing w:before="5"/>
        <w:rPr>
          <w:b/>
          <w:sz w:val="10"/>
        </w:rPr>
      </w:pPr>
    </w:p>
    <w:tbl>
      <w:tblPr>
        <w:tblW w:w="0" w:type="auto"/>
        <w:tblInd w:w="1022" w:type="dxa"/>
        <w:tblLayout w:type="fixed"/>
        <w:tblCellMar>
          <w:left w:w="0" w:type="dxa"/>
          <w:right w:w="0" w:type="dxa"/>
        </w:tblCellMar>
        <w:tblLook w:val="01E0" w:firstRow="1" w:lastRow="1" w:firstColumn="1" w:lastColumn="1" w:noHBand="0" w:noVBand="0"/>
      </w:tblPr>
      <w:tblGrid>
        <w:gridCol w:w="3652"/>
        <w:gridCol w:w="1082"/>
        <w:gridCol w:w="1054"/>
        <w:gridCol w:w="1082"/>
        <w:gridCol w:w="1061"/>
      </w:tblGrid>
      <w:tr w:rsidR="00AC6F3C" w14:paraId="3618622C" w14:textId="77777777">
        <w:trPr>
          <w:trHeight w:val="546"/>
        </w:trPr>
        <w:tc>
          <w:tcPr>
            <w:tcW w:w="7931" w:type="dxa"/>
            <w:gridSpan w:val="5"/>
            <w:tcBorders>
              <w:top w:val="single" w:sz="6" w:space="0" w:color="000000"/>
              <w:left w:val="single" w:sz="6" w:space="0" w:color="000000"/>
              <w:bottom w:val="single" w:sz="6" w:space="0" w:color="000000"/>
              <w:right w:val="single" w:sz="6" w:space="0" w:color="000000"/>
            </w:tcBorders>
            <w:shd w:val="clear" w:color="auto" w:fill="BEBEBE"/>
          </w:tcPr>
          <w:p w14:paraId="229444E0" w14:textId="77777777" w:rsidR="00AC6F3C" w:rsidRDefault="00570E88">
            <w:pPr>
              <w:pStyle w:val="TableParagraph"/>
              <w:tabs>
                <w:tab w:val="left" w:pos="6584"/>
              </w:tabs>
              <w:spacing w:before="22"/>
              <w:ind w:left="4192"/>
              <w:rPr>
                <w:b/>
                <w:sz w:val="17"/>
              </w:rPr>
            </w:pPr>
            <w:r>
              <w:rPr>
                <w:b/>
                <w:spacing w:val="-2"/>
                <w:sz w:val="17"/>
              </w:rPr>
              <w:t>Consolidated</w:t>
            </w:r>
            <w:r>
              <w:rPr>
                <w:b/>
                <w:sz w:val="17"/>
              </w:rPr>
              <w:tab/>
            </w:r>
            <w:r>
              <w:rPr>
                <w:b/>
                <w:spacing w:val="-2"/>
                <w:sz w:val="17"/>
              </w:rPr>
              <w:t>Parent</w:t>
            </w:r>
          </w:p>
          <w:p w14:paraId="2D231639" w14:textId="77777777" w:rsidR="00AC6F3C" w:rsidRDefault="00570E88">
            <w:pPr>
              <w:pStyle w:val="TableParagraph"/>
              <w:tabs>
                <w:tab w:val="left" w:pos="5359"/>
                <w:tab w:val="left" w:pos="6427"/>
                <w:tab w:val="left" w:pos="7495"/>
              </w:tabs>
              <w:spacing w:before="100"/>
              <w:ind w:left="4292"/>
              <w:rPr>
                <w:b/>
                <w:sz w:val="17"/>
              </w:rPr>
            </w:pPr>
            <w:r>
              <w:rPr>
                <w:b/>
                <w:spacing w:val="-4"/>
                <w:sz w:val="17"/>
              </w:rPr>
              <w:t>2023</w:t>
            </w:r>
            <w:r>
              <w:rPr>
                <w:b/>
                <w:sz w:val="17"/>
              </w:rPr>
              <w:tab/>
            </w:r>
            <w:r>
              <w:rPr>
                <w:b/>
                <w:spacing w:val="-4"/>
                <w:sz w:val="17"/>
              </w:rPr>
              <w:t>2022</w:t>
            </w:r>
            <w:r>
              <w:rPr>
                <w:b/>
                <w:sz w:val="17"/>
              </w:rPr>
              <w:tab/>
            </w:r>
            <w:r>
              <w:rPr>
                <w:b/>
                <w:spacing w:val="-4"/>
                <w:sz w:val="17"/>
              </w:rPr>
              <w:t>2023</w:t>
            </w:r>
            <w:r>
              <w:rPr>
                <w:b/>
                <w:sz w:val="17"/>
              </w:rPr>
              <w:tab/>
            </w:r>
            <w:r>
              <w:rPr>
                <w:b/>
                <w:spacing w:val="-4"/>
                <w:sz w:val="17"/>
              </w:rPr>
              <w:t>2022</w:t>
            </w:r>
          </w:p>
        </w:tc>
      </w:tr>
      <w:tr w:rsidR="00AC6F3C" w14:paraId="0DE1110A" w14:textId="77777777">
        <w:trPr>
          <w:trHeight w:val="264"/>
        </w:trPr>
        <w:tc>
          <w:tcPr>
            <w:tcW w:w="3652" w:type="dxa"/>
            <w:tcBorders>
              <w:top w:val="single" w:sz="6" w:space="0" w:color="000000"/>
              <w:left w:val="single" w:sz="6" w:space="0" w:color="000000"/>
            </w:tcBorders>
          </w:tcPr>
          <w:p w14:paraId="607B072D" w14:textId="77777777" w:rsidR="00AC6F3C" w:rsidRDefault="00570E88">
            <w:pPr>
              <w:pStyle w:val="TableParagraph"/>
              <w:spacing w:before="36"/>
              <w:ind w:left="35"/>
              <w:rPr>
                <w:sz w:val="17"/>
              </w:rPr>
            </w:pPr>
            <w:r>
              <w:rPr>
                <w:sz w:val="17"/>
              </w:rPr>
              <w:t>Number</w:t>
            </w:r>
            <w:r>
              <w:rPr>
                <w:spacing w:val="5"/>
                <w:sz w:val="17"/>
              </w:rPr>
              <w:t xml:space="preserve"> </w:t>
            </w:r>
            <w:r>
              <w:rPr>
                <w:sz w:val="17"/>
              </w:rPr>
              <w:t>of</w:t>
            </w:r>
            <w:r>
              <w:rPr>
                <w:spacing w:val="-1"/>
                <w:sz w:val="17"/>
              </w:rPr>
              <w:t xml:space="preserve"> </w:t>
            </w:r>
            <w:r>
              <w:rPr>
                <w:sz w:val="17"/>
              </w:rPr>
              <w:t>employees</w:t>
            </w:r>
            <w:r>
              <w:rPr>
                <w:spacing w:val="24"/>
                <w:sz w:val="17"/>
              </w:rPr>
              <w:t xml:space="preserve"> </w:t>
            </w:r>
            <w:r>
              <w:rPr>
                <w:sz w:val="17"/>
              </w:rPr>
              <w:t>at</w:t>
            </w:r>
            <w:r>
              <w:rPr>
                <w:spacing w:val="-1"/>
                <w:sz w:val="17"/>
              </w:rPr>
              <w:t xml:space="preserve"> </w:t>
            </w:r>
            <w:r>
              <w:rPr>
                <w:sz w:val="17"/>
              </w:rPr>
              <w:t>year</w:t>
            </w:r>
            <w:r>
              <w:rPr>
                <w:spacing w:val="6"/>
                <w:sz w:val="17"/>
              </w:rPr>
              <w:t xml:space="preserve"> </w:t>
            </w:r>
            <w:r>
              <w:rPr>
                <w:spacing w:val="-5"/>
                <w:sz w:val="17"/>
              </w:rPr>
              <w:t>end</w:t>
            </w:r>
          </w:p>
        </w:tc>
        <w:tc>
          <w:tcPr>
            <w:tcW w:w="1082" w:type="dxa"/>
            <w:tcBorders>
              <w:top w:val="single" w:sz="6" w:space="0" w:color="000000"/>
            </w:tcBorders>
            <w:shd w:val="clear" w:color="auto" w:fill="F1F1F1"/>
          </w:tcPr>
          <w:p w14:paraId="6ACF3757" w14:textId="77777777" w:rsidR="00AC6F3C" w:rsidRDefault="00570E88">
            <w:pPr>
              <w:pStyle w:val="TableParagraph"/>
              <w:spacing w:before="36"/>
              <w:ind w:right="33"/>
              <w:jc w:val="right"/>
              <w:rPr>
                <w:sz w:val="17"/>
              </w:rPr>
            </w:pPr>
            <w:r>
              <w:rPr>
                <w:spacing w:val="-5"/>
                <w:sz w:val="17"/>
              </w:rPr>
              <w:t>143</w:t>
            </w:r>
          </w:p>
        </w:tc>
        <w:tc>
          <w:tcPr>
            <w:tcW w:w="1054" w:type="dxa"/>
            <w:tcBorders>
              <w:top w:val="single" w:sz="6" w:space="0" w:color="000000"/>
            </w:tcBorders>
          </w:tcPr>
          <w:p w14:paraId="2A8AF753" w14:textId="77777777" w:rsidR="00AC6F3C" w:rsidRDefault="00570E88">
            <w:pPr>
              <w:pStyle w:val="TableParagraph"/>
              <w:spacing w:before="36"/>
              <w:ind w:right="20"/>
              <w:jc w:val="right"/>
              <w:rPr>
                <w:sz w:val="17"/>
              </w:rPr>
            </w:pPr>
            <w:r>
              <w:rPr>
                <w:spacing w:val="-5"/>
                <w:sz w:val="17"/>
              </w:rPr>
              <w:t>142</w:t>
            </w:r>
          </w:p>
        </w:tc>
        <w:tc>
          <w:tcPr>
            <w:tcW w:w="1082" w:type="dxa"/>
            <w:tcBorders>
              <w:top w:val="single" w:sz="6" w:space="0" w:color="000000"/>
            </w:tcBorders>
            <w:shd w:val="clear" w:color="auto" w:fill="F1F1F1"/>
          </w:tcPr>
          <w:p w14:paraId="303EE23A" w14:textId="77777777" w:rsidR="00AC6F3C" w:rsidRDefault="00570E88">
            <w:pPr>
              <w:pStyle w:val="TableParagraph"/>
              <w:spacing w:before="36"/>
              <w:ind w:right="34"/>
              <w:jc w:val="right"/>
              <w:rPr>
                <w:sz w:val="17"/>
              </w:rPr>
            </w:pPr>
            <w:r>
              <w:rPr>
                <w:spacing w:val="-5"/>
                <w:sz w:val="17"/>
              </w:rPr>
              <w:t>125</w:t>
            </w:r>
          </w:p>
        </w:tc>
        <w:tc>
          <w:tcPr>
            <w:tcW w:w="1061" w:type="dxa"/>
            <w:tcBorders>
              <w:top w:val="single" w:sz="6" w:space="0" w:color="000000"/>
              <w:right w:val="single" w:sz="6" w:space="0" w:color="000000"/>
            </w:tcBorders>
          </w:tcPr>
          <w:p w14:paraId="777991F3" w14:textId="77777777" w:rsidR="00AC6F3C" w:rsidRDefault="00570E88">
            <w:pPr>
              <w:pStyle w:val="TableParagraph"/>
              <w:spacing w:before="36"/>
              <w:ind w:right="19"/>
              <w:jc w:val="right"/>
              <w:rPr>
                <w:sz w:val="17"/>
              </w:rPr>
            </w:pPr>
            <w:r>
              <w:rPr>
                <w:spacing w:val="-5"/>
                <w:sz w:val="17"/>
              </w:rPr>
              <w:t>125</w:t>
            </w:r>
          </w:p>
        </w:tc>
      </w:tr>
      <w:tr w:rsidR="00AC6F3C" w14:paraId="1036F8E2" w14:textId="77777777">
        <w:trPr>
          <w:trHeight w:val="451"/>
        </w:trPr>
        <w:tc>
          <w:tcPr>
            <w:tcW w:w="3652" w:type="dxa"/>
            <w:tcBorders>
              <w:left w:val="single" w:sz="6" w:space="0" w:color="000000"/>
              <w:bottom w:val="single" w:sz="6" w:space="0" w:color="000000"/>
            </w:tcBorders>
          </w:tcPr>
          <w:p w14:paraId="0E57668E" w14:textId="77777777" w:rsidR="00AC6F3C" w:rsidRDefault="00570E88">
            <w:pPr>
              <w:pStyle w:val="TableParagraph"/>
              <w:spacing w:line="224" w:lineRule="exact"/>
              <w:ind w:left="35"/>
              <w:rPr>
                <w:sz w:val="17"/>
              </w:rPr>
            </w:pPr>
            <w:r>
              <w:rPr>
                <w:sz w:val="17"/>
              </w:rPr>
              <w:t>Number of full time equivalent employees at year</w:t>
            </w:r>
            <w:r>
              <w:rPr>
                <w:spacing w:val="-3"/>
                <w:sz w:val="17"/>
              </w:rPr>
              <w:t xml:space="preserve"> </w:t>
            </w:r>
            <w:r>
              <w:rPr>
                <w:sz w:val="17"/>
              </w:rPr>
              <w:t>end</w:t>
            </w:r>
          </w:p>
        </w:tc>
        <w:tc>
          <w:tcPr>
            <w:tcW w:w="1082" w:type="dxa"/>
            <w:tcBorders>
              <w:bottom w:val="single" w:sz="6" w:space="0" w:color="000000"/>
            </w:tcBorders>
            <w:shd w:val="clear" w:color="auto" w:fill="F1F1F1"/>
          </w:tcPr>
          <w:p w14:paraId="4A0618B9" w14:textId="77777777" w:rsidR="00AC6F3C" w:rsidRDefault="00570E88">
            <w:pPr>
              <w:pStyle w:val="TableParagraph"/>
              <w:spacing w:before="137"/>
              <w:ind w:right="33"/>
              <w:jc w:val="right"/>
              <w:rPr>
                <w:sz w:val="17"/>
              </w:rPr>
            </w:pPr>
            <w:r>
              <w:rPr>
                <w:spacing w:val="-5"/>
                <w:sz w:val="17"/>
              </w:rPr>
              <w:t>134</w:t>
            </w:r>
          </w:p>
        </w:tc>
        <w:tc>
          <w:tcPr>
            <w:tcW w:w="1054" w:type="dxa"/>
            <w:tcBorders>
              <w:bottom w:val="single" w:sz="6" w:space="0" w:color="000000"/>
            </w:tcBorders>
          </w:tcPr>
          <w:p w14:paraId="66EF4174" w14:textId="77777777" w:rsidR="00AC6F3C" w:rsidRDefault="00570E88">
            <w:pPr>
              <w:pStyle w:val="TableParagraph"/>
              <w:spacing w:before="137"/>
              <w:ind w:right="20"/>
              <w:jc w:val="right"/>
              <w:rPr>
                <w:sz w:val="17"/>
              </w:rPr>
            </w:pPr>
            <w:r>
              <w:rPr>
                <w:spacing w:val="-5"/>
                <w:sz w:val="17"/>
              </w:rPr>
              <w:t>132</w:t>
            </w:r>
          </w:p>
        </w:tc>
        <w:tc>
          <w:tcPr>
            <w:tcW w:w="1082" w:type="dxa"/>
            <w:tcBorders>
              <w:bottom w:val="single" w:sz="6" w:space="0" w:color="000000"/>
            </w:tcBorders>
            <w:shd w:val="clear" w:color="auto" w:fill="F1F1F1"/>
          </w:tcPr>
          <w:p w14:paraId="03AEED97" w14:textId="77777777" w:rsidR="00AC6F3C" w:rsidRDefault="00570E88">
            <w:pPr>
              <w:pStyle w:val="TableParagraph"/>
              <w:spacing w:before="137"/>
              <w:ind w:right="34"/>
              <w:jc w:val="right"/>
              <w:rPr>
                <w:sz w:val="17"/>
              </w:rPr>
            </w:pPr>
            <w:r>
              <w:rPr>
                <w:spacing w:val="-5"/>
                <w:sz w:val="17"/>
              </w:rPr>
              <w:t>116</w:t>
            </w:r>
          </w:p>
        </w:tc>
        <w:tc>
          <w:tcPr>
            <w:tcW w:w="1061" w:type="dxa"/>
            <w:tcBorders>
              <w:bottom w:val="single" w:sz="6" w:space="0" w:color="000000"/>
              <w:right w:val="single" w:sz="6" w:space="0" w:color="000000"/>
            </w:tcBorders>
          </w:tcPr>
          <w:p w14:paraId="68DD634A" w14:textId="77777777" w:rsidR="00AC6F3C" w:rsidRDefault="00570E88">
            <w:pPr>
              <w:pStyle w:val="TableParagraph"/>
              <w:spacing w:before="137"/>
              <w:ind w:right="19"/>
              <w:jc w:val="right"/>
              <w:rPr>
                <w:sz w:val="17"/>
              </w:rPr>
            </w:pPr>
            <w:r>
              <w:rPr>
                <w:spacing w:val="-5"/>
                <w:sz w:val="17"/>
              </w:rPr>
              <w:t>115</w:t>
            </w:r>
          </w:p>
        </w:tc>
      </w:tr>
    </w:tbl>
    <w:p w14:paraId="27F6B844" w14:textId="77777777" w:rsidR="00AC6F3C" w:rsidRDefault="00570E88">
      <w:pPr>
        <w:spacing w:before="133"/>
        <w:ind w:left="958"/>
        <w:rPr>
          <w:b/>
          <w:sz w:val="18"/>
        </w:rPr>
      </w:pPr>
      <w:r>
        <w:rPr>
          <w:b/>
          <w:sz w:val="18"/>
        </w:rPr>
        <w:t>Accounting</w:t>
      </w:r>
      <w:r>
        <w:rPr>
          <w:b/>
          <w:spacing w:val="-2"/>
          <w:sz w:val="18"/>
        </w:rPr>
        <w:t xml:space="preserve"> </w:t>
      </w:r>
      <w:r>
        <w:rPr>
          <w:b/>
          <w:sz w:val="18"/>
        </w:rPr>
        <w:t>policy –</w:t>
      </w:r>
      <w:r>
        <w:rPr>
          <w:b/>
          <w:spacing w:val="-2"/>
          <w:sz w:val="18"/>
        </w:rPr>
        <w:t xml:space="preserve"> </w:t>
      </w:r>
      <w:r>
        <w:rPr>
          <w:b/>
          <w:sz w:val="18"/>
        </w:rPr>
        <w:t>wages</w:t>
      </w:r>
      <w:r>
        <w:rPr>
          <w:b/>
          <w:spacing w:val="-3"/>
          <w:sz w:val="18"/>
        </w:rPr>
        <w:t xml:space="preserve"> </w:t>
      </w:r>
      <w:r>
        <w:rPr>
          <w:b/>
          <w:sz w:val="18"/>
        </w:rPr>
        <w:t>and</w:t>
      </w:r>
      <w:r>
        <w:rPr>
          <w:b/>
          <w:spacing w:val="-1"/>
          <w:sz w:val="18"/>
        </w:rPr>
        <w:t xml:space="preserve"> </w:t>
      </w:r>
      <w:r>
        <w:rPr>
          <w:b/>
          <w:spacing w:val="-2"/>
          <w:sz w:val="18"/>
        </w:rPr>
        <w:t>salaries</w:t>
      </w:r>
    </w:p>
    <w:p w14:paraId="3F07CB17" w14:textId="77777777" w:rsidR="00AC6F3C" w:rsidRDefault="00570E88">
      <w:pPr>
        <w:spacing w:before="119"/>
        <w:ind w:left="958" w:right="857"/>
        <w:rPr>
          <w:sz w:val="18"/>
        </w:rPr>
      </w:pPr>
      <w:r>
        <w:rPr>
          <w:sz w:val="18"/>
        </w:rPr>
        <w:t>Wages</w:t>
      </w:r>
      <w:r>
        <w:rPr>
          <w:spacing w:val="-1"/>
          <w:sz w:val="18"/>
        </w:rPr>
        <w:t xml:space="preserve"> </w:t>
      </w:r>
      <w:r>
        <w:rPr>
          <w:sz w:val="18"/>
        </w:rPr>
        <w:t>and</w:t>
      </w:r>
      <w:r>
        <w:rPr>
          <w:spacing w:val="-1"/>
          <w:sz w:val="18"/>
        </w:rPr>
        <w:t xml:space="preserve"> </w:t>
      </w:r>
      <w:r>
        <w:rPr>
          <w:sz w:val="18"/>
        </w:rPr>
        <w:t>salaries</w:t>
      </w:r>
      <w:r>
        <w:rPr>
          <w:spacing w:val="-3"/>
          <w:sz w:val="18"/>
        </w:rPr>
        <w:t xml:space="preserve"> </w:t>
      </w:r>
      <w:r>
        <w:rPr>
          <w:sz w:val="18"/>
        </w:rPr>
        <w:t>due</w:t>
      </w:r>
      <w:r>
        <w:rPr>
          <w:spacing w:val="-4"/>
          <w:sz w:val="18"/>
        </w:rPr>
        <w:t xml:space="preserve"> </w:t>
      </w:r>
      <w:r>
        <w:rPr>
          <w:sz w:val="18"/>
        </w:rPr>
        <w:t>but</w:t>
      </w:r>
      <w:r>
        <w:rPr>
          <w:spacing w:val="-4"/>
          <w:sz w:val="18"/>
        </w:rPr>
        <w:t xml:space="preserve"> </w:t>
      </w:r>
      <w:r>
        <w:rPr>
          <w:sz w:val="18"/>
        </w:rPr>
        <w:t>unpaid</w:t>
      </w:r>
      <w:r>
        <w:rPr>
          <w:spacing w:val="-4"/>
          <w:sz w:val="18"/>
        </w:rPr>
        <w:t xml:space="preserve"> </w:t>
      </w:r>
      <w:r>
        <w:rPr>
          <w:sz w:val="18"/>
        </w:rPr>
        <w:t>at</w:t>
      </w:r>
      <w:r>
        <w:rPr>
          <w:spacing w:val="-2"/>
          <w:sz w:val="18"/>
        </w:rPr>
        <w:t xml:space="preserve"> </w:t>
      </w:r>
      <w:r>
        <w:rPr>
          <w:sz w:val="18"/>
        </w:rPr>
        <w:t>reporting</w:t>
      </w:r>
      <w:r>
        <w:rPr>
          <w:spacing w:val="-4"/>
          <w:sz w:val="18"/>
        </w:rPr>
        <w:t xml:space="preserve"> </w:t>
      </w:r>
      <w:r>
        <w:rPr>
          <w:sz w:val="18"/>
        </w:rPr>
        <w:t>date</w:t>
      </w:r>
      <w:r>
        <w:rPr>
          <w:spacing w:val="-4"/>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 xml:space="preserve">Position at current salary rates. As the Group expects such liabilities to be wholly settled within 12 months of reporting date, the liabilities are </w:t>
      </w:r>
      <w:proofErr w:type="spellStart"/>
      <w:r>
        <w:rPr>
          <w:sz w:val="18"/>
        </w:rPr>
        <w:t>recognised</w:t>
      </w:r>
      <w:proofErr w:type="spellEnd"/>
      <w:r>
        <w:rPr>
          <w:sz w:val="18"/>
        </w:rPr>
        <w:t xml:space="preserve"> at undiscounted amounts.</w:t>
      </w:r>
    </w:p>
    <w:p w14:paraId="290708A6" w14:textId="77777777" w:rsidR="00AC6F3C" w:rsidRDefault="00570E88">
      <w:pPr>
        <w:spacing w:before="121"/>
        <w:ind w:left="958"/>
        <w:rPr>
          <w:b/>
          <w:sz w:val="18"/>
        </w:rPr>
      </w:pPr>
      <w:r>
        <w:rPr>
          <w:b/>
          <w:sz w:val="18"/>
        </w:rPr>
        <w:t>Accounting</w:t>
      </w:r>
      <w:r>
        <w:rPr>
          <w:b/>
          <w:spacing w:val="-4"/>
          <w:sz w:val="18"/>
        </w:rPr>
        <w:t xml:space="preserve"> </w:t>
      </w:r>
      <w:r>
        <w:rPr>
          <w:b/>
          <w:sz w:val="18"/>
        </w:rPr>
        <w:t>policy</w:t>
      </w:r>
      <w:r>
        <w:rPr>
          <w:b/>
          <w:spacing w:val="-1"/>
          <w:sz w:val="18"/>
        </w:rPr>
        <w:t xml:space="preserve"> </w:t>
      </w:r>
      <w:r>
        <w:rPr>
          <w:b/>
          <w:sz w:val="18"/>
        </w:rPr>
        <w:t>–</w:t>
      </w:r>
      <w:r>
        <w:rPr>
          <w:b/>
          <w:spacing w:val="-2"/>
          <w:sz w:val="18"/>
        </w:rPr>
        <w:t xml:space="preserve"> superannuation</w:t>
      </w:r>
    </w:p>
    <w:p w14:paraId="0DE3933D" w14:textId="77777777" w:rsidR="00AC6F3C" w:rsidRDefault="00570E88">
      <w:pPr>
        <w:spacing w:before="119"/>
        <w:ind w:left="958" w:right="990"/>
        <w:rPr>
          <w:sz w:val="18"/>
        </w:rPr>
      </w:pPr>
      <w:r>
        <w:rPr>
          <w:sz w:val="18"/>
        </w:rPr>
        <w:t>Superannuation contributions are made to eligible complying superannuation funds based on the rates specified in the relevant conditions of employment. Contributions are expensed when they are paid or become payable following completion of the employee’s service each pay period. Any contributions due but</w:t>
      </w:r>
      <w:r>
        <w:rPr>
          <w:spacing w:val="-2"/>
          <w:sz w:val="18"/>
        </w:rPr>
        <w:t xml:space="preserve"> </w:t>
      </w:r>
      <w:r>
        <w:rPr>
          <w:sz w:val="18"/>
        </w:rPr>
        <w:t>unpaid</w:t>
      </w:r>
      <w:r>
        <w:rPr>
          <w:spacing w:val="-1"/>
          <w:sz w:val="18"/>
        </w:rPr>
        <w:t xml:space="preserve"> </w:t>
      </w:r>
      <w:r>
        <w:rPr>
          <w:sz w:val="18"/>
        </w:rPr>
        <w:t>at</w:t>
      </w:r>
      <w:r>
        <w:rPr>
          <w:spacing w:val="-2"/>
          <w:sz w:val="18"/>
        </w:rPr>
        <w:t xml:space="preserve"> </w:t>
      </w:r>
      <w:r>
        <w:rPr>
          <w:sz w:val="18"/>
        </w:rPr>
        <w:t>reporting</w:t>
      </w:r>
      <w:r>
        <w:rPr>
          <w:spacing w:val="-4"/>
          <w:sz w:val="18"/>
        </w:rPr>
        <w:t xml:space="preserve"> </w:t>
      </w:r>
      <w:r>
        <w:rPr>
          <w:sz w:val="18"/>
        </w:rPr>
        <w:t>date</w:t>
      </w:r>
      <w:r>
        <w:rPr>
          <w:spacing w:val="-1"/>
          <w:sz w:val="18"/>
        </w:rPr>
        <w:t xml:space="preserve"> </w:t>
      </w:r>
      <w:r>
        <w:rPr>
          <w:sz w:val="18"/>
        </w:rPr>
        <w:t>are</w:t>
      </w:r>
      <w:r>
        <w:rPr>
          <w:spacing w:val="-1"/>
          <w:sz w:val="18"/>
        </w:rPr>
        <w:t xml:space="preserve"> </w:t>
      </w:r>
      <w:proofErr w:type="spellStart"/>
      <w:r>
        <w:rPr>
          <w:sz w:val="18"/>
        </w:rPr>
        <w:t>recognised</w:t>
      </w:r>
      <w:proofErr w:type="spellEnd"/>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Statement</w:t>
      </w:r>
      <w:r>
        <w:rPr>
          <w:spacing w:val="-7"/>
          <w:sz w:val="18"/>
        </w:rPr>
        <w:t xml:space="preserve"> </w:t>
      </w:r>
      <w:r>
        <w:rPr>
          <w:sz w:val="18"/>
        </w:rPr>
        <w:t>of</w:t>
      </w:r>
      <w:r>
        <w:rPr>
          <w:spacing w:val="-2"/>
          <w:sz w:val="18"/>
        </w:rPr>
        <w:t xml:space="preserve"> </w:t>
      </w:r>
      <w:r>
        <w:rPr>
          <w:sz w:val="18"/>
        </w:rPr>
        <w:t>Financial</w:t>
      </w:r>
      <w:r>
        <w:rPr>
          <w:spacing w:val="-4"/>
          <w:sz w:val="18"/>
        </w:rPr>
        <w:t xml:space="preserve"> </w:t>
      </w:r>
      <w:r>
        <w:rPr>
          <w:sz w:val="18"/>
        </w:rPr>
        <w:t>Position</w:t>
      </w:r>
      <w:r>
        <w:rPr>
          <w:spacing w:val="-1"/>
          <w:sz w:val="18"/>
        </w:rPr>
        <w:t xml:space="preserve"> </w:t>
      </w:r>
      <w:r>
        <w:rPr>
          <w:sz w:val="18"/>
        </w:rPr>
        <w:t>at</w:t>
      </w:r>
      <w:r>
        <w:rPr>
          <w:spacing w:val="-4"/>
          <w:sz w:val="18"/>
        </w:rPr>
        <w:t xml:space="preserve"> </w:t>
      </w:r>
      <w:r>
        <w:rPr>
          <w:sz w:val="18"/>
        </w:rPr>
        <w:t>current</w:t>
      </w:r>
      <w:r>
        <w:rPr>
          <w:spacing w:val="-4"/>
          <w:sz w:val="18"/>
        </w:rPr>
        <w:t xml:space="preserve"> </w:t>
      </w:r>
      <w:r>
        <w:rPr>
          <w:sz w:val="18"/>
        </w:rPr>
        <w:t>rates.</w:t>
      </w:r>
      <w:r>
        <w:rPr>
          <w:spacing w:val="-2"/>
          <w:sz w:val="18"/>
        </w:rPr>
        <w:t xml:space="preserve"> </w:t>
      </w:r>
      <w:r>
        <w:rPr>
          <w:sz w:val="18"/>
        </w:rPr>
        <w:t>As</w:t>
      </w:r>
      <w:r>
        <w:rPr>
          <w:spacing w:val="-3"/>
          <w:sz w:val="18"/>
        </w:rPr>
        <w:t xml:space="preserve"> </w:t>
      </w:r>
      <w:r>
        <w:rPr>
          <w:sz w:val="18"/>
        </w:rPr>
        <w:t xml:space="preserve">the Group expects such liabilities to be wholly settled within 12 months of reporting date, the liabilities are </w:t>
      </w:r>
      <w:proofErr w:type="spellStart"/>
      <w:r>
        <w:rPr>
          <w:sz w:val="18"/>
        </w:rPr>
        <w:t>recognised</w:t>
      </w:r>
      <w:proofErr w:type="spellEnd"/>
      <w:r>
        <w:rPr>
          <w:sz w:val="18"/>
        </w:rPr>
        <w:t xml:space="preserve"> at undiscounted amounts.</w:t>
      </w:r>
    </w:p>
    <w:p w14:paraId="6E9430D9" w14:textId="77777777" w:rsidR="00AC6F3C" w:rsidRDefault="00570E88">
      <w:pPr>
        <w:spacing w:before="121"/>
        <w:ind w:left="958"/>
        <w:rPr>
          <w:b/>
          <w:sz w:val="18"/>
        </w:rPr>
      </w:pPr>
      <w:r>
        <w:rPr>
          <w:b/>
          <w:sz w:val="18"/>
        </w:rPr>
        <w:t>Accounting</w:t>
      </w:r>
      <w:r>
        <w:rPr>
          <w:b/>
          <w:spacing w:val="-4"/>
          <w:sz w:val="18"/>
        </w:rPr>
        <w:t xml:space="preserve"> </w:t>
      </w:r>
      <w:r>
        <w:rPr>
          <w:b/>
          <w:sz w:val="18"/>
        </w:rPr>
        <w:t>policy</w:t>
      </w:r>
      <w:r>
        <w:rPr>
          <w:b/>
          <w:spacing w:val="-2"/>
          <w:sz w:val="18"/>
        </w:rPr>
        <w:t xml:space="preserve"> </w:t>
      </w:r>
      <w:r>
        <w:rPr>
          <w:b/>
          <w:sz w:val="18"/>
        </w:rPr>
        <w:t>–</w:t>
      </w:r>
      <w:r>
        <w:rPr>
          <w:b/>
          <w:spacing w:val="-4"/>
          <w:sz w:val="18"/>
        </w:rPr>
        <w:t xml:space="preserve"> </w:t>
      </w:r>
      <w:r>
        <w:rPr>
          <w:b/>
          <w:sz w:val="18"/>
        </w:rPr>
        <w:t>workers’</w:t>
      </w:r>
      <w:r>
        <w:rPr>
          <w:b/>
          <w:spacing w:val="-3"/>
          <w:sz w:val="18"/>
        </w:rPr>
        <w:t xml:space="preserve"> </w:t>
      </w:r>
      <w:r>
        <w:rPr>
          <w:b/>
          <w:sz w:val="18"/>
        </w:rPr>
        <w:t>compensation</w:t>
      </w:r>
      <w:r>
        <w:rPr>
          <w:b/>
          <w:spacing w:val="-3"/>
          <w:sz w:val="18"/>
        </w:rPr>
        <w:t xml:space="preserve"> </w:t>
      </w:r>
      <w:r>
        <w:rPr>
          <w:b/>
          <w:spacing w:val="-2"/>
          <w:sz w:val="18"/>
        </w:rPr>
        <w:t>premiums</w:t>
      </w:r>
    </w:p>
    <w:p w14:paraId="4622DCAF" w14:textId="77777777" w:rsidR="00AC6F3C" w:rsidRDefault="00570E88">
      <w:pPr>
        <w:spacing w:before="120"/>
        <w:ind w:left="958" w:right="886"/>
        <w:rPr>
          <w:sz w:val="18"/>
        </w:rPr>
      </w:pPr>
      <w:r>
        <w:rPr>
          <w:sz w:val="18"/>
        </w:rPr>
        <w:t xml:space="preserve">The Group pays premiums to </w:t>
      </w:r>
      <w:proofErr w:type="spellStart"/>
      <w:r>
        <w:rPr>
          <w:sz w:val="18"/>
        </w:rPr>
        <w:t>WorkCover</w:t>
      </w:r>
      <w:proofErr w:type="spellEnd"/>
      <w:r>
        <w:rPr>
          <w:sz w:val="18"/>
        </w:rPr>
        <w:t xml:space="preserve"> Queensland in respect of its obligations for employee compensation.</w:t>
      </w:r>
      <w:r>
        <w:rPr>
          <w:spacing w:val="-4"/>
          <w:sz w:val="18"/>
        </w:rPr>
        <w:t xml:space="preserve"> </w:t>
      </w:r>
      <w:r>
        <w:rPr>
          <w:sz w:val="18"/>
        </w:rPr>
        <w:t>Workers’</w:t>
      </w:r>
      <w:r>
        <w:rPr>
          <w:spacing w:val="-4"/>
          <w:sz w:val="18"/>
        </w:rPr>
        <w:t xml:space="preserve"> </w:t>
      </w:r>
      <w:r>
        <w:rPr>
          <w:sz w:val="18"/>
        </w:rPr>
        <w:t>compensation</w:t>
      </w:r>
      <w:r>
        <w:rPr>
          <w:spacing w:val="-4"/>
          <w:sz w:val="18"/>
        </w:rPr>
        <w:t xml:space="preserve"> </w:t>
      </w:r>
      <w:r>
        <w:rPr>
          <w:sz w:val="18"/>
        </w:rPr>
        <w:t>insurance</w:t>
      </w:r>
      <w:r>
        <w:rPr>
          <w:spacing w:val="-4"/>
          <w:sz w:val="18"/>
        </w:rPr>
        <w:t xml:space="preserve"> </w:t>
      </w:r>
      <w:r>
        <w:rPr>
          <w:sz w:val="18"/>
        </w:rPr>
        <w:t>is</w:t>
      </w:r>
      <w:r>
        <w:rPr>
          <w:spacing w:val="-3"/>
          <w:sz w:val="18"/>
        </w:rPr>
        <w:t xml:space="preserve"> </w:t>
      </w:r>
      <w:r>
        <w:rPr>
          <w:sz w:val="18"/>
        </w:rPr>
        <w:t>a</w:t>
      </w:r>
      <w:r>
        <w:rPr>
          <w:spacing w:val="-1"/>
          <w:sz w:val="18"/>
        </w:rPr>
        <w:t xml:space="preserve"> </w:t>
      </w:r>
      <w:r>
        <w:rPr>
          <w:sz w:val="18"/>
        </w:rPr>
        <w:t>consequence</w:t>
      </w:r>
      <w:r>
        <w:rPr>
          <w:spacing w:val="-1"/>
          <w:sz w:val="18"/>
        </w:rPr>
        <w:t xml:space="preserve"> </w:t>
      </w:r>
      <w:r>
        <w:rPr>
          <w:sz w:val="18"/>
        </w:rPr>
        <w:t>of</w:t>
      </w:r>
      <w:r>
        <w:rPr>
          <w:spacing w:val="-2"/>
          <w:sz w:val="18"/>
        </w:rPr>
        <w:t xml:space="preserve"> </w:t>
      </w:r>
      <w:r>
        <w:rPr>
          <w:sz w:val="18"/>
        </w:rPr>
        <w:t>employing</w:t>
      </w:r>
      <w:r>
        <w:rPr>
          <w:spacing w:val="-1"/>
          <w:sz w:val="18"/>
        </w:rPr>
        <w:t xml:space="preserve"> </w:t>
      </w:r>
      <w:r>
        <w:rPr>
          <w:sz w:val="18"/>
        </w:rPr>
        <w:t>staff,</w:t>
      </w:r>
      <w:r>
        <w:rPr>
          <w:spacing w:val="-4"/>
          <w:sz w:val="18"/>
        </w:rPr>
        <w:t xml:space="preserve"> </w:t>
      </w:r>
      <w:r>
        <w:rPr>
          <w:sz w:val="18"/>
        </w:rPr>
        <w:t>but</w:t>
      </w:r>
      <w:r>
        <w:rPr>
          <w:spacing w:val="-4"/>
          <w:sz w:val="18"/>
        </w:rPr>
        <w:t xml:space="preserve"> </w:t>
      </w:r>
      <w:r>
        <w:rPr>
          <w:sz w:val="18"/>
        </w:rPr>
        <w:t>is</w:t>
      </w:r>
      <w:r>
        <w:rPr>
          <w:spacing w:val="-1"/>
          <w:sz w:val="18"/>
        </w:rPr>
        <w:t xml:space="preserve"> </w:t>
      </w:r>
      <w:r>
        <w:rPr>
          <w:sz w:val="18"/>
        </w:rPr>
        <w:t>not</w:t>
      </w:r>
      <w:r>
        <w:rPr>
          <w:spacing w:val="-2"/>
          <w:sz w:val="18"/>
        </w:rPr>
        <w:t xml:space="preserve"> </w:t>
      </w:r>
      <w:r>
        <w:rPr>
          <w:sz w:val="18"/>
        </w:rPr>
        <w:t xml:space="preserve">counted in an employee’s total remuneration package. It is not an employee benefit and is </w:t>
      </w:r>
      <w:proofErr w:type="spellStart"/>
      <w:r>
        <w:rPr>
          <w:sz w:val="18"/>
        </w:rPr>
        <w:t>recognised</w:t>
      </w:r>
      <w:proofErr w:type="spellEnd"/>
      <w:r>
        <w:rPr>
          <w:sz w:val="18"/>
        </w:rPr>
        <w:t xml:space="preserve"> separately as employee related expenses.</w:t>
      </w:r>
    </w:p>
    <w:p w14:paraId="4278F61F" w14:textId="77777777" w:rsidR="00AC6F3C" w:rsidRDefault="00570E88">
      <w:pPr>
        <w:spacing w:before="120"/>
        <w:ind w:left="958"/>
        <w:rPr>
          <w:sz w:val="18"/>
        </w:rPr>
      </w:pPr>
      <w:r>
        <w:rPr>
          <w:sz w:val="18"/>
        </w:rPr>
        <w:t>Key</w:t>
      </w:r>
      <w:r>
        <w:rPr>
          <w:spacing w:val="-3"/>
          <w:sz w:val="18"/>
        </w:rPr>
        <w:t xml:space="preserve"> </w:t>
      </w:r>
      <w:r>
        <w:rPr>
          <w:sz w:val="18"/>
        </w:rPr>
        <w:t>management</w:t>
      </w:r>
      <w:r>
        <w:rPr>
          <w:spacing w:val="-5"/>
          <w:sz w:val="18"/>
        </w:rPr>
        <w:t xml:space="preserve"> </w:t>
      </w:r>
      <w:r>
        <w:rPr>
          <w:sz w:val="18"/>
        </w:rPr>
        <w:t>personnel</w:t>
      </w:r>
      <w:r>
        <w:rPr>
          <w:spacing w:val="-3"/>
          <w:sz w:val="18"/>
        </w:rPr>
        <w:t xml:space="preserve"> </w:t>
      </w:r>
      <w:r>
        <w:rPr>
          <w:sz w:val="18"/>
        </w:rPr>
        <w:t>and</w:t>
      </w:r>
      <w:r>
        <w:rPr>
          <w:spacing w:val="-2"/>
          <w:sz w:val="18"/>
        </w:rPr>
        <w:t xml:space="preserve"> </w:t>
      </w:r>
      <w:r>
        <w:rPr>
          <w:sz w:val="18"/>
        </w:rPr>
        <w:t>remuneration</w:t>
      </w:r>
      <w:r>
        <w:rPr>
          <w:spacing w:val="-2"/>
          <w:sz w:val="18"/>
        </w:rPr>
        <w:t xml:space="preserve"> </w:t>
      </w:r>
      <w:r>
        <w:rPr>
          <w:sz w:val="18"/>
        </w:rPr>
        <w:t>disclosures</w:t>
      </w:r>
      <w:r>
        <w:rPr>
          <w:spacing w:val="-3"/>
          <w:sz w:val="18"/>
        </w:rPr>
        <w:t xml:space="preserve"> </w:t>
      </w:r>
      <w:r>
        <w:rPr>
          <w:sz w:val="18"/>
        </w:rPr>
        <w:t>are</w:t>
      </w:r>
      <w:r>
        <w:rPr>
          <w:spacing w:val="-2"/>
          <w:sz w:val="18"/>
        </w:rPr>
        <w:t xml:space="preserve"> </w:t>
      </w:r>
      <w:r>
        <w:rPr>
          <w:sz w:val="18"/>
        </w:rPr>
        <w:t>detailed</w:t>
      </w:r>
      <w:r>
        <w:rPr>
          <w:spacing w:val="-3"/>
          <w:sz w:val="18"/>
        </w:rPr>
        <w:t xml:space="preserve"> </w:t>
      </w:r>
      <w:r>
        <w:rPr>
          <w:sz w:val="18"/>
        </w:rPr>
        <w:t>in</w:t>
      </w:r>
      <w:r>
        <w:rPr>
          <w:spacing w:val="-2"/>
          <w:sz w:val="18"/>
        </w:rPr>
        <w:t xml:space="preserve"> </w:t>
      </w:r>
      <w:r>
        <w:rPr>
          <w:sz w:val="18"/>
        </w:rPr>
        <w:t>Note</w:t>
      </w:r>
      <w:r>
        <w:rPr>
          <w:spacing w:val="-2"/>
          <w:sz w:val="18"/>
        </w:rPr>
        <w:t xml:space="preserve"> </w:t>
      </w:r>
      <w:r>
        <w:rPr>
          <w:spacing w:val="-5"/>
          <w:sz w:val="18"/>
        </w:rPr>
        <w:t>E1.</w:t>
      </w:r>
    </w:p>
    <w:p w14:paraId="3586E738" w14:textId="77777777" w:rsidR="00AC6F3C" w:rsidRDefault="00AC6F3C">
      <w:pPr>
        <w:pStyle w:val="BodyText"/>
      </w:pPr>
    </w:p>
    <w:p w14:paraId="13610EA9" w14:textId="77777777" w:rsidR="00AC6F3C" w:rsidRDefault="00AC6F3C">
      <w:pPr>
        <w:pStyle w:val="BodyText"/>
        <w:rPr>
          <w:sz w:val="19"/>
        </w:rPr>
      </w:pPr>
    </w:p>
    <w:p w14:paraId="0D7C2F88" w14:textId="77777777" w:rsidR="00AC6F3C" w:rsidRDefault="00570E88">
      <w:pPr>
        <w:pStyle w:val="Heading6"/>
        <w:tabs>
          <w:tab w:val="left" w:pos="1810"/>
        </w:tabs>
        <w:spacing w:before="1"/>
      </w:pPr>
      <w:r>
        <w:rPr>
          <w:spacing w:val="-2"/>
        </w:rPr>
        <w:t>B2-</w:t>
      </w:r>
      <w:r>
        <w:rPr>
          <w:spacing w:val="-10"/>
        </w:rPr>
        <w:t>4</w:t>
      </w:r>
      <w:r>
        <w:tab/>
        <w:t>BORROWING</w:t>
      </w:r>
      <w:r>
        <w:rPr>
          <w:spacing w:val="-5"/>
        </w:rPr>
        <w:t xml:space="preserve"> </w:t>
      </w:r>
      <w:r>
        <w:rPr>
          <w:spacing w:val="-2"/>
        </w:rPr>
        <w:t>EXPENSES</w:t>
      </w:r>
    </w:p>
    <w:p w14:paraId="7038287B" w14:textId="77777777" w:rsidR="00AC6F3C" w:rsidRDefault="00AC6F3C">
      <w:pPr>
        <w:pStyle w:val="BodyText"/>
        <w:spacing w:before="3"/>
        <w:rPr>
          <w:b/>
          <w:sz w:val="10"/>
        </w:rPr>
      </w:pPr>
    </w:p>
    <w:tbl>
      <w:tblPr>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8"/>
        <w:gridCol w:w="1069"/>
        <w:gridCol w:w="544"/>
        <w:gridCol w:w="498"/>
        <w:gridCol w:w="1070"/>
        <w:gridCol w:w="416"/>
        <w:gridCol w:w="634"/>
      </w:tblGrid>
      <w:tr w:rsidR="00AC6F3C" w14:paraId="3AAE70EB" w14:textId="77777777">
        <w:trPr>
          <w:trHeight w:val="825"/>
        </w:trPr>
        <w:tc>
          <w:tcPr>
            <w:tcW w:w="3608" w:type="dxa"/>
            <w:tcBorders>
              <w:right w:val="nil"/>
            </w:tcBorders>
            <w:shd w:val="clear" w:color="auto" w:fill="BEBEBE"/>
          </w:tcPr>
          <w:p w14:paraId="3575D9BD" w14:textId="77777777" w:rsidR="00AC6F3C" w:rsidRDefault="00AC6F3C">
            <w:pPr>
              <w:pStyle w:val="TableParagraph"/>
              <w:rPr>
                <w:rFonts w:ascii="Times New Roman"/>
                <w:sz w:val="18"/>
              </w:rPr>
            </w:pPr>
          </w:p>
        </w:tc>
        <w:tc>
          <w:tcPr>
            <w:tcW w:w="1613" w:type="dxa"/>
            <w:gridSpan w:val="2"/>
            <w:tcBorders>
              <w:left w:val="nil"/>
              <w:right w:val="nil"/>
            </w:tcBorders>
            <w:shd w:val="clear" w:color="auto" w:fill="BEBEBE"/>
          </w:tcPr>
          <w:p w14:paraId="052F0699" w14:textId="77777777" w:rsidR="00AC6F3C" w:rsidRDefault="00570E88">
            <w:pPr>
              <w:pStyle w:val="TableParagraph"/>
              <w:spacing w:before="22" w:line="362" w:lineRule="auto"/>
              <w:ind w:left="639" w:hanging="99"/>
              <w:rPr>
                <w:b/>
                <w:sz w:val="17"/>
              </w:rPr>
            </w:pPr>
            <w:r>
              <w:rPr>
                <w:b/>
                <w:spacing w:val="-4"/>
                <w:sz w:val="17"/>
              </w:rPr>
              <w:t>Consolidated 2023</w:t>
            </w:r>
          </w:p>
          <w:p w14:paraId="781CD460" w14:textId="77777777" w:rsidR="00AC6F3C" w:rsidRDefault="00570E88">
            <w:pPr>
              <w:pStyle w:val="TableParagraph"/>
              <w:spacing w:line="180" w:lineRule="exact"/>
              <w:ind w:left="597"/>
              <w:rPr>
                <w:b/>
                <w:sz w:val="17"/>
              </w:rPr>
            </w:pPr>
            <w:r>
              <w:rPr>
                <w:b/>
                <w:spacing w:val="-2"/>
                <w:sz w:val="17"/>
              </w:rPr>
              <w:t>$’000</w:t>
            </w:r>
          </w:p>
        </w:tc>
        <w:tc>
          <w:tcPr>
            <w:tcW w:w="498" w:type="dxa"/>
            <w:tcBorders>
              <w:left w:val="nil"/>
              <w:right w:val="nil"/>
            </w:tcBorders>
            <w:shd w:val="clear" w:color="auto" w:fill="BEBEBE"/>
          </w:tcPr>
          <w:p w14:paraId="050C5AF1" w14:textId="77777777" w:rsidR="00AC6F3C" w:rsidRDefault="00AC6F3C">
            <w:pPr>
              <w:pStyle w:val="TableParagraph"/>
              <w:rPr>
                <w:b/>
                <w:sz w:val="18"/>
              </w:rPr>
            </w:pPr>
          </w:p>
          <w:p w14:paraId="460990F7" w14:textId="77777777" w:rsidR="00AC6F3C" w:rsidRDefault="00570E88">
            <w:pPr>
              <w:pStyle w:val="TableParagraph"/>
              <w:spacing w:before="109"/>
              <w:ind w:left="81"/>
              <w:rPr>
                <w:b/>
                <w:sz w:val="17"/>
              </w:rPr>
            </w:pPr>
            <w:r>
              <w:rPr>
                <w:b/>
                <w:spacing w:val="-4"/>
                <w:sz w:val="17"/>
              </w:rPr>
              <w:t>2022</w:t>
            </w:r>
          </w:p>
          <w:p w14:paraId="780B1D28" w14:textId="77777777" w:rsidR="00AC6F3C" w:rsidRDefault="00570E88">
            <w:pPr>
              <w:pStyle w:val="TableParagraph"/>
              <w:spacing w:before="85"/>
              <w:ind w:left="39"/>
              <w:rPr>
                <w:b/>
                <w:sz w:val="17"/>
              </w:rPr>
            </w:pPr>
            <w:r>
              <w:rPr>
                <w:b/>
                <w:spacing w:val="-2"/>
                <w:sz w:val="17"/>
              </w:rPr>
              <w:t>$’000</w:t>
            </w:r>
          </w:p>
        </w:tc>
        <w:tc>
          <w:tcPr>
            <w:tcW w:w="1486" w:type="dxa"/>
            <w:gridSpan w:val="2"/>
            <w:tcBorders>
              <w:left w:val="nil"/>
              <w:right w:val="nil"/>
            </w:tcBorders>
            <w:shd w:val="clear" w:color="auto" w:fill="BEBEBE"/>
          </w:tcPr>
          <w:p w14:paraId="5D6A8808" w14:textId="77777777" w:rsidR="00AC6F3C" w:rsidRDefault="00570E88">
            <w:pPr>
              <w:pStyle w:val="TableParagraph"/>
              <w:spacing w:before="22" w:line="362" w:lineRule="auto"/>
              <w:ind w:left="638" w:firstLine="154"/>
              <w:rPr>
                <w:b/>
                <w:sz w:val="17"/>
              </w:rPr>
            </w:pPr>
            <w:r>
              <w:rPr>
                <w:b/>
                <w:spacing w:val="-2"/>
                <w:sz w:val="17"/>
              </w:rPr>
              <w:t xml:space="preserve">Parent </w:t>
            </w:r>
            <w:r>
              <w:rPr>
                <w:b/>
                <w:spacing w:val="-4"/>
                <w:sz w:val="17"/>
              </w:rPr>
              <w:t>2023</w:t>
            </w:r>
          </w:p>
          <w:p w14:paraId="5AF18886" w14:textId="77777777" w:rsidR="00AC6F3C" w:rsidRDefault="00570E88">
            <w:pPr>
              <w:pStyle w:val="TableParagraph"/>
              <w:spacing w:line="180" w:lineRule="exact"/>
              <w:ind w:left="596"/>
              <w:rPr>
                <w:b/>
                <w:sz w:val="17"/>
              </w:rPr>
            </w:pPr>
            <w:r>
              <w:rPr>
                <w:b/>
                <w:spacing w:val="-2"/>
                <w:sz w:val="17"/>
              </w:rPr>
              <w:t>$’000</w:t>
            </w:r>
          </w:p>
        </w:tc>
        <w:tc>
          <w:tcPr>
            <w:tcW w:w="634" w:type="dxa"/>
            <w:tcBorders>
              <w:left w:val="nil"/>
            </w:tcBorders>
            <w:shd w:val="clear" w:color="auto" w:fill="BEBEBE"/>
          </w:tcPr>
          <w:p w14:paraId="7F0F72EA" w14:textId="77777777" w:rsidR="00AC6F3C" w:rsidRDefault="00AC6F3C">
            <w:pPr>
              <w:pStyle w:val="TableParagraph"/>
              <w:rPr>
                <w:b/>
                <w:sz w:val="18"/>
              </w:rPr>
            </w:pPr>
          </w:p>
          <w:p w14:paraId="0EB86CFA" w14:textId="77777777" w:rsidR="00AC6F3C" w:rsidRDefault="00570E88">
            <w:pPr>
              <w:pStyle w:val="TableParagraph"/>
              <w:spacing w:before="109"/>
              <w:ind w:left="207"/>
              <w:rPr>
                <w:b/>
                <w:sz w:val="17"/>
              </w:rPr>
            </w:pPr>
            <w:r>
              <w:rPr>
                <w:b/>
                <w:spacing w:val="-4"/>
                <w:sz w:val="17"/>
              </w:rPr>
              <w:t>2022</w:t>
            </w:r>
          </w:p>
          <w:p w14:paraId="543970EF" w14:textId="77777777" w:rsidR="00AC6F3C" w:rsidRDefault="00570E88">
            <w:pPr>
              <w:pStyle w:val="TableParagraph"/>
              <w:spacing w:before="85"/>
              <w:ind w:left="165"/>
              <w:rPr>
                <w:b/>
                <w:sz w:val="17"/>
              </w:rPr>
            </w:pPr>
            <w:r>
              <w:rPr>
                <w:b/>
                <w:spacing w:val="-2"/>
                <w:sz w:val="17"/>
              </w:rPr>
              <w:t>$’000</w:t>
            </w:r>
          </w:p>
        </w:tc>
      </w:tr>
      <w:tr w:rsidR="00AC6F3C" w14:paraId="6DE8F0CB" w14:textId="77777777">
        <w:trPr>
          <w:trHeight w:val="265"/>
        </w:trPr>
        <w:tc>
          <w:tcPr>
            <w:tcW w:w="3608" w:type="dxa"/>
            <w:tcBorders>
              <w:right w:val="nil"/>
            </w:tcBorders>
          </w:tcPr>
          <w:p w14:paraId="512EB705" w14:textId="77777777" w:rsidR="00AC6F3C" w:rsidRDefault="00570E88">
            <w:pPr>
              <w:pStyle w:val="TableParagraph"/>
              <w:spacing w:before="36"/>
              <w:ind w:left="34"/>
              <w:rPr>
                <w:sz w:val="17"/>
              </w:rPr>
            </w:pPr>
            <w:r>
              <w:rPr>
                <w:sz w:val="17"/>
              </w:rPr>
              <w:t>Loan</w:t>
            </w:r>
            <w:r>
              <w:rPr>
                <w:spacing w:val="7"/>
                <w:sz w:val="17"/>
              </w:rPr>
              <w:t xml:space="preserve"> </w:t>
            </w:r>
            <w:r>
              <w:rPr>
                <w:spacing w:val="-2"/>
                <w:sz w:val="17"/>
              </w:rPr>
              <w:t>Interest</w:t>
            </w:r>
          </w:p>
        </w:tc>
        <w:tc>
          <w:tcPr>
            <w:tcW w:w="1069" w:type="dxa"/>
            <w:tcBorders>
              <w:left w:val="nil"/>
              <w:right w:val="nil"/>
            </w:tcBorders>
            <w:shd w:val="clear" w:color="auto" w:fill="F1F1F1"/>
          </w:tcPr>
          <w:p w14:paraId="083017E2" w14:textId="77777777" w:rsidR="00AC6F3C" w:rsidRDefault="00570E88">
            <w:pPr>
              <w:pStyle w:val="TableParagraph"/>
              <w:spacing w:before="36"/>
              <w:ind w:right="33"/>
              <w:jc w:val="right"/>
              <w:rPr>
                <w:sz w:val="17"/>
              </w:rPr>
            </w:pPr>
            <w:r>
              <w:rPr>
                <w:spacing w:val="-5"/>
                <w:sz w:val="17"/>
              </w:rPr>
              <w:t>96</w:t>
            </w:r>
          </w:p>
        </w:tc>
        <w:tc>
          <w:tcPr>
            <w:tcW w:w="1042" w:type="dxa"/>
            <w:gridSpan w:val="2"/>
            <w:tcBorders>
              <w:left w:val="nil"/>
              <w:right w:val="nil"/>
            </w:tcBorders>
          </w:tcPr>
          <w:p w14:paraId="3810DD25" w14:textId="77777777" w:rsidR="00AC6F3C" w:rsidRDefault="00570E88">
            <w:pPr>
              <w:pStyle w:val="TableParagraph"/>
              <w:spacing w:before="36"/>
              <w:ind w:right="20"/>
              <w:jc w:val="right"/>
              <w:rPr>
                <w:sz w:val="17"/>
              </w:rPr>
            </w:pPr>
            <w:r>
              <w:rPr>
                <w:w w:val="99"/>
                <w:sz w:val="17"/>
              </w:rPr>
              <w:t>-</w:t>
            </w:r>
          </w:p>
        </w:tc>
        <w:tc>
          <w:tcPr>
            <w:tcW w:w="1070" w:type="dxa"/>
            <w:tcBorders>
              <w:left w:val="nil"/>
              <w:right w:val="nil"/>
            </w:tcBorders>
            <w:shd w:val="clear" w:color="auto" w:fill="F1F1F1"/>
          </w:tcPr>
          <w:p w14:paraId="7A009613" w14:textId="77777777" w:rsidR="00AC6F3C" w:rsidRDefault="00570E88">
            <w:pPr>
              <w:pStyle w:val="TableParagraph"/>
              <w:spacing w:before="36"/>
              <w:ind w:right="35"/>
              <w:jc w:val="right"/>
              <w:rPr>
                <w:sz w:val="17"/>
              </w:rPr>
            </w:pPr>
            <w:r>
              <w:rPr>
                <w:spacing w:val="-5"/>
                <w:sz w:val="17"/>
              </w:rPr>
              <w:t>96</w:t>
            </w:r>
          </w:p>
        </w:tc>
        <w:tc>
          <w:tcPr>
            <w:tcW w:w="1050" w:type="dxa"/>
            <w:gridSpan w:val="2"/>
            <w:tcBorders>
              <w:left w:val="nil"/>
            </w:tcBorders>
          </w:tcPr>
          <w:p w14:paraId="038A5B9B" w14:textId="77777777" w:rsidR="00AC6F3C" w:rsidRDefault="00570E88">
            <w:pPr>
              <w:pStyle w:val="TableParagraph"/>
              <w:spacing w:before="36"/>
              <w:ind w:right="22"/>
              <w:jc w:val="right"/>
              <w:rPr>
                <w:sz w:val="17"/>
              </w:rPr>
            </w:pPr>
            <w:r>
              <w:rPr>
                <w:w w:val="99"/>
                <w:sz w:val="17"/>
              </w:rPr>
              <w:t>-</w:t>
            </w:r>
          </w:p>
        </w:tc>
      </w:tr>
      <w:tr w:rsidR="00AC6F3C" w14:paraId="55AD9DE6" w14:textId="77777777">
        <w:trPr>
          <w:trHeight w:val="265"/>
        </w:trPr>
        <w:tc>
          <w:tcPr>
            <w:tcW w:w="3608" w:type="dxa"/>
            <w:tcBorders>
              <w:right w:val="nil"/>
            </w:tcBorders>
            <w:shd w:val="clear" w:color="auto" w:fill="BEBEBE"/>
          </w:tcPr>
          <w:p w14:paraId="1C6A9163" w14:textId="77777777" w:rsidR="00AC6F3C" w:rsidRDefault="00570E88">
            <w:pPr>
              <w:pStyle w:val="TableParagraph"/>
              <w:spacing w:before="36"/>
              <w:ind w:left="34"/>
              <w:rPr>
                <w:b/>
                <w:sz w:val="17"/>
              </w:rPr>
            </w:pPr>
            <w:r>
              <w:rPr>
                <w:b/>
                <w:spacing w:val="-2"/>
                <w:sz w:val="17"/>
              </w:rPr>
              <w:t>Total</w:t>
            </w:r>
            <w:r>
              <w:rPr>
                <w:b/>
                <w:spacing w:val="-10"/>
                <w:sz w:val="17"/>
              </w:rPr>
              <w:t xml:space="preserve"> </w:t>
            </w:r>
            <w:r>
              <w:rPr>
                <w:b/>
                <w:spacing w:val="-2"/>
                <w:sz w:val="17"/>
              </w:rPr>
              <w:t>borrowing</w:t>
            </w:r>
            <w:r>
              <w:rPr>
                <w:b/>
                <w:spacing w:val="-9"/>
                <w:sz w:val="17"/>
              </w:rPr>
              <w:t xml:space="preserve"> </w:t>
            </w:r>
            <w:r>
              <w:rPr>
                <w:b/>
                <w:spacing w:val="-2"/>
                <w:sz w:val="17"/>
              </w:rPr>
              <w:t>expenses</w:t>
            </w:r>
          </w:p>
        </w:tc>
        <w:tc>
          <w:tcPr>
            <w:tcW w:w="1613" w:type="dxa"/>
            <w:gridSpan w:val="2"/>
            <w:tcBorders>
              <w:left w:val="nil"/>
              <w:right w:val="nil"/>
            </w:tcBorders>
            <w:shd w:val="clear" w:color="auto" w:fill="BEBEBE"/>
          </w:tcPr>
          <w:p w14:paraId="3F583D56" w14:textId="77777777" w:rsidR="00AC6F3C" w:rsidRDefault="00570E88">
            <w:pPr>
              <w:pStyle w:val="TableParagraph"/>
              <w:spacing w:before="36"/>
              <w:ind w:left="825" w:right="568"/>
              <w:jc w:val="center"/>
              <w:rPr>
                <w:b/>
                <w:sz w:val="17"/>
              </w:rPr>
            </w:pPr>
            <w:r>
              <w:rPr>
                <w:b/>
                <w:spacing w:val="-5"/>
                <w:sz w:val="17"/>
              </w:rPr>
              <w:t>96</w:t>
            </w:r>
          </w:p>
        </w:tc>
        <w:tc>
          <w:tcPr>
            <w:tcW w:w="498" w:type="dxa"/>
            <w:tcBorders>
              <w:left w:val="nil"/>
              <w:right w:val="nil"/>
            </w:tcBorders>
            <w:shd w:val="clear" w:color="auto" w:fill="BEBEBE"/>
          </w:tcPr>
          <w:p w14:paraId="3735D2D3" w14:textId="77777777" w:rsidR="00AC6F3C" w:rsidRDefault="00570E88">
            <w:pPr>
              <w:pStyle w:val="TableParagraph"/>
              <w:spacing w:before="36"/>
              <w:ind w:right="20"/>
              <w:jc w:val="right"/>
              <w:rPr>
                <w:b/>
                <w:sz w:val="17"/>
              </w:rPr>
            </w:pPr>
            <w:r>
              <w:rPr>
                <w:b/>
                <w:w w:val="99"/>
                <w:sz w:val="17"/>
              </w:rPr>
              <w:t>-</w:t>
            </w:r>
          </w:p>
        </w:tc>
        <w:tc>
          <w:tcPr>
            <w:tcW w:w="1486" w:type="dxa"/>
            <w:gridSpan w:val="2"/>
            <w:tcBorders>
              <w:left w:val="nil"/>
              <w:right w:val="nil"/>
            </w:tcBorders>
            <w:shd w:val="clear" w:color="auto" w:fill="BEBEBE"/>
          </w:tcPr>
          <w:p w14:paraId="26E5C68A" w14:textId="77777777" w:rsidR="00AC6F3C" w:rsidRDefault="00570E88">
            <w:pPr>
              <w:pStyle w:val="TableParagraph"/>
              <w:spacing w:before="36"/>
              <w:ind w:left="835"/>
              <w:rPr>
                <w:b/>
                <w:sz w:val="17"/>
              </w:rPr>
            </w:pPr>
            <w:r>
              <w:rPr>
                <w:b/>
                <w:spacing w:val="-5"/>
                <w:sz w:val="17"/>
              </w:rPr>
              <w:t>96</w:t>
            </w:r>
          </w:p>
        </w:tc>
        <w:tc>
          <w:tcPr>
            <w:tcW w:w="634" w:type="dxa"/>
            <w:tcBorders>
              <w:left w:val="nil"/>
            </w:tcBorders>
            <w:shd w:val="clear" w:color="auto" w:fill="BEBEBE"/>
          </w:tcPr>
          <w:p w14:paraId="57FE6676" w14:textId="77777777" w:rsidR="00AC6F3C" w:rsidRDefault="00570E88">
            <w:pPr>
              <w:pStyle w:val="TableParagraph"/>
              <w:spacing w:before="36"/>
              <w:ind w:right="22"/>
              <w:jc w:val="right"/>
              <w:rPr>
                <w:b/>
                <w:sz w:val="17"/>
              </w:rPr>
            </w:pPr>
            <w:r>
              <w:rPr>
                <w:b/>
                <w:w w:val="99"/>
                <w:sz w:val="17"/>
              </w:rPr>
              <w:t>-</w:t>
            </w:r>
          </w:p>
        </w:tc>
      </w:tr>
    </w:tbl>
    <w:p w14:paraId="008F6304" w14:textId="77777777" w:rsidR="00AC6F3C" w:rsidRDefault="00AC6F3C">
      <w:pPr>
        <w:jc w:val="right"/>
        <w:rPr>
          <w:sz w:val="17"/>
        </w:rPr>
        <w:sectPr w:rsidR="00AC6F3C">
          <w:pgSz w:w="11910" w:h="16840"/>
          <w:pgMar w:top="2020" w:right="1160" w:bottom="520" w:left="460" w:header="1228" w:footer="336" w:gutter="0"/>
          <w:cols w:space="720"/>
        </w:sectPr>
      </w:pPr>
    </w:p>
    <w:p w14:paraId="17D6377E" w14:textId="77777777" w:rsidR="00AC6F3C" w:rsidRDefault="00AC6F3C">
      <w:pPr>
        <w:pStyle w:val="BodyText"/>
        <w:rPr>
          <w:b/>
        </w:rPr>
      </w:pPr>
    </w:p>
    <w:p w14:paraId="101BA89B" w14:textId="77777777" w:rsidR="00AC6F3C" w:rsidRDefault="00AC6F3C">
      <w:pPr>
        <w:pStyle w:val="BodyText"/>
        <w:spacing w:before="7"/>
        <w:rPr>
          <w:b/>
          <w:sz w:val="21"/>
        </w:rPr>
      </w:pPr>
    </w:p>
    <w:p w14:paraId="101FFA65" w14:textId="77777777" w:rsidR="00AC6F3C" w:rsidRDefault="00570E88">
      <w:pPr>
        <w:ind w:left="958"/>
        <w:rPr>
          <w:b/>
          <w:sz w:val="18"/>
        </w:rPr>
      </w:pPr>
      <w:r>
        <w:rPr>
          <w:b/>
          <w:sz w:val="18"/>
        </w:rPr>
        <w:t>Accounting</w:t>
      </w:r>
      <w:r>
        <w:rPr>
          <w:b/>
          <w:spacing w:val="-3"/>
          <w:sz w:val="18"/>
        </w:rPr>
        <w:t xml:space="preserve"> </w:t>
      </w:r>
      <w:r>
        <w:rPr>
          <w:b/>
          <w:sz w:val="18"/>
        </w:rPr>
        <w:t>policy</w:t>
      </w:r>
      <w:r>
        <w:rPr>
          <w:b/>
          <w:spacing w:val="-2"/>
          <w:sz w:val="18"/>
        </w:rPr>
        <w:t xml:space="preserve"> </w:t>
      </w:r>
      <w:r>
        <w:rPr>
          <w:b/>
          <w:sz w:val="18"/>
        </w:rPr>
        <w:t>–</w:t>
      </w:r>
      <w:r>
        <w:rPr>
          <w:b/>
          <w:spacing w:val="-3"/>
          <w:sz w:val="18"/>
        </w:rPr>
        <w:t xml:space="preserve"> </w:t>
      </w:r>
      <w:r>
        <w:rPr>
          <w:b/>
          <w:sz w:val="18"/>
        </w:rPr>
        <w:t>borrowing</w:t>
      </w:r>
      <w:r>
        <w:rPr>
          <w:b/>
          <w:spacing w:val="-2"/>
          <w:sz w:val="18"/>
        </w:rPr>
        <w:t xml:space="preserve"> expenses</w:t>
      </w:r>
    </w:p>
    <w:p w14:paraId="35D5B9BD" w14:textId="77777777" w:rsidR="00AC6F3C" w:rsidRDefault="00570E88">
      <w:pPr>
        <w:spacing w:before="120"/>
        <w:ind w:left="958" w:right="824"/>
        <w:rPr>
          <w:sz w:val="18"/>
        </w:rPr>
      </w:pPr>
      <w:r>
        <w:rPr>
          <w:sz w:val="18"/>
        </w:rPr>
        <w:t xml:space="preserve">Finance costs are </w:t>
      </w:r>
      <w:proofErr w:type="spellStart"/>
      <w:r>
        <w:rPr>
          <w:sz w:val="18"/>
        </w:rPr>
        <w:t>recognised</w:t>
      </w:r>
      <w:proofErr w:type="spellEnd"/>
      <w:r>
        <w:rPr>
          <w:sz w:val="18"/>
        </w:rPr>
        <w:t xml:space="preserve"> as an expense in the period in which they are incurred. Finance costs</w:t>
      </w:r>
      <w:r>
        <w:rPr>
          <w:spacing w:val="40"/>
          <w:sz w:val="18"/>
        </w:rPr>
        <w:t xml:space="preserve"> </w:t>
      </w:r>
      <w:r>
        <w:rPr>
          <w:sz w:val="18"/>
        </w:rPr>
        <w:t>include</w:t>
      </w:r>
      <w:r>
        <w:rPr>
          <w:spacing w:val="-4"/>
          <w:sz w:val="18"/>
        </w:rPr>
        <w:t xml:space="preserve"> </w:t>
      </w:r>
      <w:proofErr w:type="spellStart"/>
      <w:r>
        <w:rPr>
          <w:sz w:val="18"/>
        </w:rPr>
        <w:t>amortisation</w:t>
      </w:r>
      <w:proofErr w:type="spellEnd"/>
      <w:r>
        <w:rPr>
          <w:spacing w:val="-1"/>
          <w:sz w:val="18"/>
        </w:rPr>
        <w:t xml:space="preserve"> </w:t>
      </w:r>
      <w:r>
        <w:rPr>
          <w:sz w:val="18"/>
        </w:rPr>
        <w:t>of</w:t>
      </w:r>
      <w:r>
        <w:rPr>
          <w:spacing w:val="-2"/>
          <w:sz w:val="18"/>
        </w:rPr>
        <w:t xml:space="preserve"> </w:t>
      </w:r>
      <w:r>
        <w:rPr>
          <w:sz w:val="18"/>
        </w:rPr>
        <w:t>discounts</w:t>
      </w:r>
      <w:r>
        <w:rPr>
          <w:spacing w:val="-1"/>
          <w:sz w:val="18"/>
        </w:rPr>
        <w:t xml:space="preserve"> </w:t>
      </w:r>
      <w:r>
        <w:rPr>
          <w:sz w:val="18"/>
        </w:rPr>
        <w:t>or</w:t>
      </w:r>
      <w:r>
        <w:rPr>
          <w:spacing w:val="-4"/>
          <w:sz w:val="18"/>
        </w:rPr>
        <w:t xml:space="preserve"> </w:t>
      </w:r>
      <w:r>
        <w:rPr>
          <w:sz w:val="18"/>
        </w:rPr>
        <w:t>premiums</w:t>
      </w:r>
      <w:r>
        <w:rPr>
          <w:spacing w:val="-3"/>
          <w:sz w:val="18"/>
        </w:rPr>
        <w:t xml:space="preserve"> </w:t>
      </w:r>
      <w:r>
        <w:rPr>
          <w:sz w:val="18"/>
        </w:rPr>
        <w:t>relating</w:t>
      </w:r>
      <w:r>
        <w:rPr>
          <w:spacing w:val="-4"/>
          <w:sz w:val="18"/>
        </w:rPr>
        <w:t xml:space="preserve"> </w:t>
      </w:r>
      <w:r>
        <w:rPr>
          <w:sz w:val="18"/>
        </w:rPr>
        <w:t>to</w:t>
      </w:r>
      <w:r>
        <w:rPr>
          <w:spacing w:val="-4"/>
          <w:sz w:val="18"/>
        </w:rPr>
        <w:t xml:space="preserve"> </w:t>
      </w:r>
      <w:r>
        <w:rPr>
          <w:sz w:val="18"/>
        </w:rPr>
        <w:t>borrowings</w:t>
      </w:r>
      <w:r>
        <w:rPr>
          <w:spacing w:val="-1"/>
          <w:sz w:val="18"/>
        </w:rPr>
        <w:t xml:space="preserve"> </w:t>
      </w:r>
      <w:r>
        <w:rPr>
          <w:sz w:val="18"/>
        </w:rPr>
        <w:t>and</w:t>
      </w:r>
      <w:r>
        <w:rPr>
          <w:spacing w:val="-1"/>
          <w:sz w:val="18"/>
        </w:rPr>
        <w:t xml:space="preserve"> </w:t>
      </w:r>
      <w:r>
        <w:rPr>
          <w:sz w:val="18"/>
        </w:rPr>
        <w:t>provisions.</w:t>
      </w:r>
      <w:r>
        <w:rPr>
          <w:spacing w:val="-2"/>
          <w:sz w:val="18"/>
        </w:rPr>
        <w:t xml:space="preserve"> </w:t>
      </w:r>
      <w:r>
        <w:rPr>
          <w:sz w:val="18"/>
        </w:rPr>
        <w:t>No</w:t>
      </w:r>
      <w:r>
        <w:rPr>
          <w:spacing w:val="-4"/>
          <w:sz w:val="18"/>
        </w:rPr>
        <w:t xml:space="preserve"> </w:t>
      </w:r>
      <w:r>
        <w:rPr>
          <w:sz w:val="18"/>
        </w:rPr>
        <w:t>borrowing</w:t>
      </w:r>
      <w:r>
        <w:rPr>
          <w:spacing w:val="-4"/>
          <w:sz w:val="18"/>
        </w:rPr>
        <w:t xml:space="preserve"> </w:t>
      </w:r>
      <w:r>
        <w:rPr>
          <w:sz w:val="18"/>
        </w:rPr>
        <w:t>cost</w:t>
      </w:r>
      <w:r>
        <w:rPr>
          <w:spacing w:val="-2"/>
          <w:sz w:val="18"/>
        </w:rPr>
        <w:t xml:space="preserve"> </w:t>
      </w:r>
      <w:r>
        <w:rPr>
          <w:sz w:val="18"/>
        </w:rPr>
        <w:t xml:space="preserve">are </w:t>
      </w:r>
      <w:proofErr w:type="spellStart"/>
      <w:r>
        <w:rPr>
          <w:sz w:val="18"/>
        </w:rPr>
        <w:t>capitalised</w:t>
      </w:r>
      <w:proofErr w:type="spellEnd"/>
      <w:r>
        <w:rPr>
          <w:sz w:val="18"/>
        </w:rPr>
        <w:t xml:space="preserve"> into qualifying assets.</w:t>
      </w:r>
    </w:p>
    <w:p w14:paraId="63435CF7" w14:textId="77777777" w:rsidR="00AC6F3C" w:rsidRDefault="00AC6F3C">
      <w:pPr>
        <w:pStyle w:val="BodyText"/>
        <w:spacing w:before="4"/>
        <w:rPr>
          <w:sz w:val="28"/>
        </w:rPr>
      </w:pPr>
    </w:p>
    <w:p w14:paraId="2A525509" w14:textId="77777777" w:rsidR="00AC6F3C" w:rsidRDefault="00570E88">
      <w:pPr>
        <w:tabs>
          <w:tab w:val="left" w:pos="1666"/>
        </w:tabs>
        <w:ind w:left="958"/>
        <w:rPr>
          <w:b/>
          <w:sz w:val="28"/>
        </w:rPr>
      </w:pPr>
      <w:r>
        <w:rPr>
          <w:b/>
          <w:spacing w:val="-5"/>
          <w:sz w:val="28"/>
        </w:rPr>
        <w:t>C1</w:t>
      </w:r>
      <w:r>
        <w:rPr>
          <w:b/>
          <w:sz w:val="28"/>
        </w:rPr>
        <w:tab/>
        <w:t>CASH</w:t>
      </w:r>
      <w:r>
        <w:rPr>
          <w:b/>
          <w:spacing w:val="-17"/>
          <w:sz w:val="28"/>
        </w:rPr>
        <w:t xml:space="preserve"> </w:t>
      </w:r>
      <w:r>
        <w:rPr>
          <w:b/>
          <w:sz w:val="28"/>
        </w:rPr>
        <w:t>AND</w:t>
      </w:r>
      <w:r>
        <w:rPr>
          <w:b/>
          <w:spacing w:val="-4"/>
          <w:sz w:val="28"/>
        </w:rPr>
        <w:t xml:space="preserve"> </w:t>
      </w:r>
      <w:r>
        <w:rPr>
          <w:b/>
          <w:sz w:val="28"/>
        </w:rPr>
        <w:t>CASH</w:t>
      </w:r>
      <w:r>
        <w:rPr>
          <w:b/>
          <w:spacing w:val="-3"/>
          <w:sz w:val="28"/>
        </w:rPr>
        <w:t xml:space="preserve"> </w:t>
      </w:r>
      <w:r>
        <w:rPr>
          <w:b/>
          <w:spacing w:val="-2"/>
          <w:sz w:val="28"/>
        </w:rPr>
        <w:t>EQUIVALENTS</w:t>
      </w:r>
    </w:p>
    <w:p w14:paraId="339503ED" w14:textId="77777777" w:rsidR="00AC6F3C" w:rsidRDefault="00570E88">
      <w:pPr>
        <w:spacing w:before="240"/>
        <w:ind w:left="958" w:right="857"/>
        <w:rPr>
          <w:sz w:val="18"/>
        </w:rPr>
      </w:pPr>
      <w:r>
        <w:rPr>
          <w:sz w:val="18"/>
        </w:rPr>
        <w:t>For</w:t>
      </w:r>
      <w:r>
        <w:rPr>
          <w:spacing w:val="-2"/>
          <w:sz w:val="18"/>
        </w:rPr>
        <w:t xml:space="preserve"> </w:t>
      </w:r>
      <w:r>
        <w:rPr>
          <w:sz w:val="18"/>
        </w:rPr>
        <w:t>the</w:t>
      </w:r>
      <w:r>
        <w:rPr>
          <w:spacing w:val="-4"/>
          <w:sz w:val="18"/>
        </w:rPr>
        <w:t xml:space="preserve"> </w:t>
      </w:r>
      <w:r>
        <w:rPr>
          <w:sz w:val="18"/>
        </w:rPr>
        <w:t>purposes</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4"/>
          <w:sz w:val="18"/>
        </w:rPr>
        <w:t xml:space="preserve"> </w:t>
      </w:r>
      <w:r>
        <w:rPr>
          <w:sz w:val="18"/>
        </w:rPr>
        <w:t>and</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4"/>
          <w:sz w:val="18"/>
        </w:rPr>
        <w:t xml:space="preserve"> </w:t>
      </w:r>
      <w:r>
        <w:rPr>
          <w:sz w:val="18"/>
        </w:rPr>
        <w:t>cash</w:t>
      </w:r>
      <w:r>
        <w:rPr>
          <w:spacing w:val="-2"/>
          <w:sz w:val="18"/>
        </w:rPr>
        <w:t xml:space="preserve"> </w:t>
      </w:r>
      <w:r>
        <w:rPr>
          <w:sz w:val="18"/>
        </w:rPr>
        <w:t>assets</w:t>
      </w:r>
      <w:r>
        <w:rPr>
          <w:spacing w:val="-1"/>
          <w:sz w:val="18"/>
        </w:rPr>
        <w:t xml:space="preserve"> </w:t>
      </w:r>
      <w:r>
        <w:rPr>
          <w:sz w:val="18"/>
        </w:rPr>
        <w:t>include all cash and cheques receipted and banked at 30 June as well as deposits on call with financial institutions.</w:t>
      </w:r>
      <w:r>
        <w:rPr>
          <w:spacing w:val="40"/>
          <w:sz w:val="18"/>
        </w:rPr>
        <w:t xml:space="preserve"> </w:t>
      </w:r>
      <w:r>
        <w:rPr>
          <w:sz w:val="18"/>
        </w:rPr>
        <w:t>The</w:t>
      </w:r>
      <w:r>
        <w:rPr>
          <w:spacing w:val="-3"/>
          <w:sz w:val="18"/>
        </w:rPr>
        <w:t xml:space="preserve"> </w:t>
      </w:r>
      <w:r>
        <w:rPr>
          <w:sz w:val="18"/>
        </w:rPr>
        <w:t>cash deposit</w:t>
      </w:r>
      <w:r>
        <w:rPr>
          <w:spacing w:val="-3"/>
          <w:sz w:val="18"/>
        </w:rPr>
        <w:t xml:space="preserve"> </w:t>
      </w:r>
      <w:r>
        <w:rPr>
          <w:sz w:val="18"/>
        </w:rPr>
        <w:t>accounts are interest</w:t>
      </w:r>
      <w:r>
        <w:rPr>
          <w:spacing w:val="-1"/>
          <w:sz w:val="18"/>
        </w:rPr>
        <w:t xml:space="preserve"> </w:t>
      </w:r>
      <w:r>
        <w:rPr>
          <w:sz w:val="18"/>
        </w:rPr>
        <w:t>bearing</w:t>
      </w:r>
      <w:r>
        <w:rPr>
          <w:spacing w:val="-3"/>
          <w:sz w:val="18"/>
        </w:rPr>
        <w:t xml:space="preserve"> </w:t>
      </w:r>
      <w:r>
        <w:rPr>
          <w:sz w:val="18"/>
        </w:rPr>
        <w:t>accounts which</w:t>
      </w:r>
      <w:r>
        <w:rPr>
          <w:spacing w:val="-3"/>
          <w:sz w:val="18"/>
        </w:rPr>
        <w:t xml:space="preserve"> </w:t>
      </w:r>
      <w:r>
        <w:rPr>
          <w:sz w:val="18"/>
        </w:rPr>
        <w:t>are readily</w:t>
      </w:r>
      <w:r>
        <w:rPr>
          <w:spacing w:val="-2"/>
          <w:sz w:val="18"/>
        </w:rPr>
        <w:t xml:space="preserve"> </w:t>
      </w:r>
      <w:r>
        <w:rPr>
          <w:sz w:val="18"/>
        </w:rPr>
        <w:t>convertible</w:t>
      </w:r>
      <w:r>
        <w:rPr>
          <w:spacing w:val="-3"/>
          <w:sz w:val="18"/>
        </w:rPr>
        <w:t xml:space="preserve"> </w:t>
      </w:r>
      <w:r>
        <w:rPr>
          <w:sz w:val="18"/>
        </w:rPr>
        <w:t>to</w:t>
      </w:r>
      <w:r>
        <w:rPr>
          <w:spacing w:val="-3"/>
          <w:sz w:val="18"/>
        </w:rPr>
        <w:t xml:space="preserve"> </w:t>
      </w:r>
      <w:r>
        <w:rPr>
          <w:sz w:val="18"/>
        </w:rPr>
        <w:t>cash at the Group’s option. Cash at the end of the financial year as shown in the Statement of Cash Flows is reconciled to the related items in the Statement of Financial Position as follows:</w:t>
      </w:r>
    </w:p>
    <w:p w14:paraId="76C463C6" w14:textId="77777777" w:rsidR="00AC6F3C" w:rsidRDefault="00AC6F3C">
      <w:pPr>
        <w:pStyle w:val="BodyText"/>
        <w:spacing w:before="11"/>
      </w:pPr>
    </w:p>
    <w:tbl>
      <w:tblPr>
        <w:tblW w:w="0" w:type="auto"/>
        <w:tblInd w:w="972" w:type="dxa"/>
        <w:tblLayout w:type="fixed"/>
        <w:tblCellMar>
          <w:left w:w="0" w:type="dxa"/>
          <w:right w:w="0" w:type="dxa"/>
        </w:tblCellMar>
        <w:tblLook w:val="01E0" w:firstRow="1" w:lastRow="1" w:firstColumn="1" w:lastColumn="1" w:noHBand="0" w:noVBand="0"/>
      </w:tblPr>
      <w:tblGrid>
        <w:gridCol w:w="3641"/>
        <w:gridCol w:w="1079"/>
        <w:gridCol w:w="1051"/>
        <w:gridCol w:w="1079"/>
        <w:gridCol w:w="369"/>
        <w:gridCol w:w="688"/>
      </w:tblGrid>
      <w:tr w:rsidR="00AC6F3C" w14:paraId="142558AB" w14:textId="77777777">
        <w:trPr>
          <w:trHeight w:val="833"/>
        </w:trPr>
        <w:tc>
          <w:tcPr>
            <w:tcW w:w="3641" w:type="dxa"/>
            <w:tcBorders>
              <w:top w:val="single" w:sz="6" w:space="0" w:color="000000"/>
              <w:left w:val="single" w:sz="6" w:space="0" w:color="000000"/>
              <w:bottom w:val="single" w:sz="6" w:space="0" w:color="000000"/>
            </w:tcBorders>
            <w:shd w:val="clear" w:color="auto" w:fill="BEBEBE"/>
          </w:tcPr>
          <w:p w14:paraId="6734AA79" w14:textId="77777777" w:rsidR="00AC6F3C" w:rsidRDefault="00AC6F3C">
            <w:pPr>
              <w:pStyle w:val="TableParagraph"/>
              <w:rPr>
                <w:rFonts w:ascii="Times New Roman"/>
                <w:sz w:val="16"/>
              </w:rPr>
            </w:pPr>
          </w:p>
        </w:tc>
        <w:tc>
          <w:tcPr>
            <w:tcW w:w="2130" w:type="dxa"/>
            <w:gridSpan w:val="2"/>
            <w:tcBorders>
              <w:top w:val="single" w:sz="6" w:space="0" w:color="000000"/>
              <w:bottom w:val="single" w:sz="6" w:space="0" w:color="000000"/>
            </w:tcBorders>
            <w:shd w:val="clear" w:color="auto" w:fill="BEBEBE"/>
          </w:tcPr>
          <w:p w14:paraId="6A7CD46C" w14:textId="77777777" w:rsidR="00AC6F3C" w:rsidRDefault="00570E88">
            <w:pPr>
              <w:pStyle w:val="TableParagraph"/>
              <w:spacing w:before="24"/>
              <w:ind w:left="546"/>
              <w:rPr>
                <w:b/>
                <w:sz w:val="17"/>
              </w:rPr>
            </w:pPr>
            <w:r>
              <w:rPr>
                <w:b/>
                <w:spacing w:val="-2"/>
                <w:sz w:val="17"/>
              </w:rPr>
              <w:t>Consolidated</w:t>
            </w:r>
          </w:p>
          <w:p w14:paraId="51EE25B9" w14:textId="77777777" w:rsidR="00AC6F3C" w:rsidRDefault="00570E88">
            <w:pPr>
              <w:pStyle w:val="TableParagraph"/>
              <w:tabs>
                <w:tab w:val="left" w:pos="1710"/>
              </w:tabs>
              <w:spacing w:before="101"/>
              <w:ind w:left="646"/>
              <w:rPr>
                <w:b/>
                <w:sz w:val="17"/>
              </w:rPr>
            </w:pPr>
            <w:r>
              <w:rPr>
                <w:b/>
                <w:spacing w:val="-4"/>
                <w:sz w:val="17"/>
              </w:rPr>
              <w:t>2023</w:t>
            </w:r>
            <w:r>
              <w:rPr>
                <w:b/>
                <w:sz w:val="17"/>
              </w:rPr>
              <w:tab/>
            </w:r>
            <w:r>
              <w:rPr>
                <w:b/>
                <w:spacing w:val="-4"/>
                <w:sz w:val="17"/>
              </w:rPr>
              <w:t>2022</w:t>
            </w:r>
          </w:p>
          <w:p w14:paraId="382A1907" w14:textId="77777777" w:rsidR="00AC6F3C" w:rsidRDefault="00570E88">
            <w:pPr>
              <w:pStyle w:val="TableParagraph"/>
              <w:tabs>
                <w:tab w:val="left" w:pos="1668"/>
              </w:tabs>
              <w:spacing w:before="87"/>
              <w:ind w:left="603"/>
              <w:rPr>
                <w:b/>
                <w:sz w:val="17"/>
              </w:rPr>
            </w:pPr>
            <w:r>
              <w:rPr>
                <w:b/>
                <w:spacing w:val="-2"/>
                <w:sz w:val="17"/>
              </w:rPr>
              <w:t>$’000</w:t>
            </w:r>
            <w:r>
              <w:rPr>
                <w:b/>
                <w:sz w:val="17"/>
              </w:rPr>
              <w:tab/>
            </w:r>
            <w:r>
              <w:rPr>
                <w:b/>
                <w:spacing w:val="-2"/>
                <w:sz w:val="17"/>
              </w:rPr>
              <w:t>$’000</w:t>
            </w:r>
          </w:p>
        </w:tc>
        <w:tc>
          <w:tcPr>
            <w:tcW w:w="1448" w:type="dxa"/>
            <w:gridSpan w:val="2"/>
            <w:tcBorders>
              <w:top w:val="single" w:sz="6" w:space="0" w:color="000000"/>
              <w:bottom w:val="single" w:sz="6" w:space="0" w:color="000000"/>
            </w:tcBorders>
            <w:shd w:val="clear" w:color="auto" w:fill="BEBEBE"/>
          </w:tcPr>
          <w:p w14:paraId="420EEDD2" w14:textId="77777777" w:rsidR="00AC6F3C" w:rsidRDefault="00570E88">
            <w:pPr>
              <w:pStyle w:val="TableParagraph"/>
              <w:spacing w:before="24" w:line="364" w:lineRule="auto"/>
              <w:ind w:left="645" w:firstLine="156"/>
              <w:rPr>
                <w:b/>
                <w:sz w:val="17"/>
              </w:rPr>
            </w:pPr>
            <w:r>
              <w:rPr>
                <w:b/>
                <w:spacing w:val="-2"/>
                <w:sz w:val="17"/>
              </w:rPr>
              <w:t xml:space="preserve">Parent </w:t>
            </w:r>
            <w:r>
              <w:rPr>
                <w:b/>
                <w:spacing w:val="-4"/>
                <w:sz w:val="17"/>
              </w:rPr>
              <w:t>2023</w:t>
            </w:r>
          </w:p>
          <w:p w14:paraId="51C667AE" w14:textId="77777777" w:rsidR="00AC6F3C" w:rsidRDefault="00570E88">
            <w:pPr>
              <w:pStyle w:val="TableParagraph"/>
              <w:spacing w:line="181" w:lineRule="exact"/>
              <w:ind w:left="603"/>
              <w:rPr>
                <w:b/>
                <w:sz w:val="17"/>
              </w:rPr>
            </w:pPr>
            <w:r>
              <w:rPr>
                <w:b/>
                <w:spacing w:val="-2"/>
                <w:sz w:val="17"/>
              </w:rPr>
              <w:t>$’000</w:t>
            </w:r>
          </w:p>
        </w:tc>
        <w:tc>
          <w:tcPr>
            <w:tcW w:w="688" w:type="dxa"/>
            <w:tcBorders>
              <w:top w:val="single" w:sz="6" w:space="0" w:color="000000"/>
              <w:bottom w:val="single" w:sz="6" w:space="0" w:color="000000"/>
              <w:right w:val="single" w:sz="6" w:space="0" w:color="000000"/>
            </w:tcBorders>
            <w:shd w:val="clear" w:color="auto" w:fill="BEBEBE"/>
          </w:tcPr>
          <w:p w14:paraId="4384689C" w14:textId="77777777" w:rsidR="00AC6F3C" w:rsidRDefault="00AC6F3C">
            <w:pPr>
              <w:pStyle w:val="TableParagraph"/>
              <w:rPr>
                <w:sz w:val="18"/>
              </w:rPr>
            </w:pPr>
          </w:p>
          <w:p w14:paraId="49ADFFD0" w14:textId="77777777" w:rsidR="00AC6F3C" w:rsidRDefault="00570E88">
            <w:pPr>
              <w:pStyle w:val="TableParagraph"/>
              <w:spacing w:before="113"/>
              <w:ind w:left="262"/>
              <w:rPr>
                <w:b/>
                <w:sz w:val="17"/>
              </w:rPr>
            </w:pPr>
            <w:r>
              <w:rPr>
                <w:b/>
                <w:spacing w:val="-4"/>
                <w:sz w:val="17"/>
              </w:rPr>
              <w:t>2022</w:t>
            </w:r>
          </w:p>
          <w:p w14:paraId="333BB1EB" w14:textId="77777777" w:rsidR="00AC6F3C" w:rsidRDefault="00570E88">
            <w:pPr>
              <w:pStyle w:val="TableParagraph"/>
              <w:spacing w:before="88"/>
              <w:ind w:left="219"/>
              <w:rPr>
                <w:b/>
                <w:sz w:val="17"/>
              </w:rPr>
            </w:pPr>
            <w:r>
              <w:rPr>
                <w:b/>
                <w:spacing w:val="-2"/>
                <w:sz w:val="17"/>
              </w:rPr>
              <w:t>$’000</w:t>
            </w:r>
          </w:p>
        </w:tc>
      </w:tr>
      <w:tr w:rsidR="00AC6F3C" w14:paraId="695FE04A" w14:textId="77777777">
        <w:trPr>
          <w:trHeight w:val="280"/>
        </w:trPr>
        <w:tc>
          <w:tcPr>
            <w:tcW w:w="3641" w:type="dxa"/>
            <w:tcBorders>
              <w:top w:val="single" w:sz="6" w:space="0" w:color="000000"/>
              <w:left w:val="single" w:sz="6" w:space="0" w:color="000000"/>
            </w:tcBorders>
          </w:tcPr>
          <w:p w14:paraId="77C758DB" w14:textId="77777777" w:rsidR="00AC6F3C" w:rsidRDefault="00570E88">
            <w:pPr>
              <w:pStyle w:val="TableParagraph"/>
              <w:spacing w:before="38"/>
              <w:ind w:left="35"/>
              <w:rPr>
                <w:sz w:val="17"/>
              </w:rPr>
            </w:pPr>
            <w:r>
              <w:rPr>
                <w:sz w:val="17"/>
              </w:rPr>
              <w:t>Cash</w:t>
            </w:r>
            <w:r>
              <w:rPr>
                <w:spacing w:val="13"/>
                <w:sz w:val="17"/>
              </w:rPr>
              <w:t xml:space="preserve"> </w:t>
            </w:r>
            <w:r>
              <w:rPr>
                <w:sz w:val="17"/>
              </w:rPr>
              <w:t>at</w:t>
            </w:r>
            <w:r>
              <w:rPr>
                <w:spacing w:val="2"/>
                <w:sz w:val="17"/>
              </w:rPr>
              <w:t xml:space="preserve"> </w:t>
            </w:r>
            <w:r>
              <w:rPr>
                <w:spacing w:val="-4"/>
                <w:sz w:val="17"/>
              </w:rPr>
              <w:t>bank</w:t>
            </w:r>
          </w:p>
        </w:tc>
        <w:tc>
          <w:tcPr>
            <w:tcW w:w="1079" w:type="dxa"/>
            <w:tcBorders>
              <w:top w:val="single" w:sz="6" w:space="0" w:color="000000"/>
            </w:tcBorders>
            <w:shd w:val="clear" w:color="auto" w:fill="F1F1F1"/>
          </w:tcPr>
          <w:p w14:paraId="35A8C75D" w14:textId="77777777" w:rsidR="00AC6F3C" w:rsidRDefault="00570E88">
            <w:pPr>
              <w:pStyle w:val="TableParagraph"/>
              <w:spacing w:before="38"/>
              <w:ind w:right="33"/>
              <w:jc w:val="right"/>
              <w:rPr>
                <w:sz w:val="17"/>
              </w:rPr>
            </w:pPr>
            <w:r>
              <w:rPr>
                <w:spacing w:val="-2"/>
                <w:sz w:val="17"/>
              </w:rPr>
              <w:t>7,825</w:t>
            </w:r>
          </w:p>
        </w:tc>
        <w:tc>
          <w:tcPr>
            <w:tcW w:w="1051" w:type="dxa"/>
            <w:tcBorders>
              <w:top w:val="single" w:sz="6" w:space="0" w:color="000000"/>
            </w:tcBorders>
          </w:tcPr>
          <w:p w14:paraId="26F513BA" w14:textId="77777777" w:rsidR="00AC6F3C" w:rsidRDefault="00570E88">
            <w:pPr>
              <w:pStyle w:val="TableParagraph"/>
              <w:spacing w:before="38"/>
              <w:ind w:right="19"/>
              <w:jc w:val="right"/>
              <w:rPr>
                <w:sz w:val="17"/>
              </w:rPr>
            </w:pPr>
            <w:r>
              <w:rPr>
                <w:spacing w:val="-2"/>
                <w:sz w:val="17"/>
              </w:rPr>
              <w:t>22,615</w:t>
            </w:r>
          </w:p>
        </w:tc>
        <w:tc>
          <w:tcPr>
            <w:tcW w:w="1079" w:type="dxa"/>
            <w:tcBorders>
              <w:top w:val="single" w:sz="6" w:space="0" w:color="000000"/>
            </w:tcBorders>
            <w:shd w:val="clear" w:color="auto" w:fill="F1F1F1"/>
          </w:tcPr>
          <w:p w14:paraId="2302915A" w14:textId="77777777" w:rsidR="00AC6F3C" w:rsidRDefault="00570E88">
            <w:pPr>
              <w:pStyle w:val="TableParagraph"/>
              <w:spacing w:before="38"/>
              <w:ind w:right="33"/>
              <w:jc w:val="right"/>
              <w:rPr>
                <w:sz w:val="17"/>
              </w:rPr>
            </w:pPr>
            <w:r>
              <w:rPr>
                <w:spacing w:val="-2"/>
                <w:sz w:val="17"/>
              </w:rPr>
              <w:t>2,870</w:t>
            </w:r>
          </w:p>
        </w:tc>
        <w:tc>
          <w:tcPr>
            <w:tcW w:w="1057" w:type="dxa"/>
            <w:gridSpan w:val="2"/>
            <w:tcBorders>
              <w:top w:val="single" w:sz="6" w:space="0" w:color="000000"/>
              <w:right w:val="single" w:sz="6" w:space="0" w:color="000000"/>
            </w:tcBorders>
          </w:tcPr>
          <w:p w14:paraId="348EE7D0" w14:textId="77777777" w:rsidR="00AC6F3C" w:rsidRDefault="00570E88">
            <w:pPr>
              <w:pStyle w:val="TableParagraph"/>
              <w:spacing w:before="38"/>
              <w:ind w:left="489"/>
              <w:rPr>
                <w:sz w:val="17"/>
              </w:rPr>
            </w:pPr>
            <w:r>
              <w:rPr>
                <w:spacing w:val="-2"/>
                <w:sz w:val="17"/>
              </w:rPr>
              <w:t>21,250</w:t>
            </w:r>
          </w:p>
        </w:tc>
      </w:tr>
      <w:tr w:rsidR="00AC6F3C" w14:paraId="049AD11A" w14:textId="77777777">
        <w:trPr>
          <w:trHeight w:val="282"/>
        </w:trPr>
        <w:tc>
          <w:tcPr>
            <w:tcW w:w="3641" w:type="dxa"/>
            <w:tcBorders>
              <w:left w:val="single" w:sz="6" w:space="0" w:color="000000"/>
            </w:tcBorders>
          </w:tcPr>
          <w:p w14:paraId="1E2C6CE6" w14:textId="77777777" w:rsidR="00AC6F3C" w:rsidRDefault="00570E88">
            <w:pPr>
              <w:pStyle w:val="TableParagraph"/>
              <w:spacing w:before="40"/>
              <w:ind w:left="35"/>
              <w:rPr>
                <w:sz w:val="17"/>
              </w:rPr>
            </w:pPr>
            <w:r>
              <w:rPr>
                <w:sz w:val="17"/>
              </w:rPr>
              <w:t>Cash</w:t>
            </w:r>
            <w:r>
              <w:rPr>
                <w:spacing w:val="30"/>
                <w:sz w:val="17"/>
              </w:rPr>
              <w:t xml:space="preserve"> </w:t>
            </w:r>
            <w:r>
              <w:rPr>
                <w:sz w:val="17"/>
              </w:rPr>
              <w:t>deposit</w:t>
            </w:r>
            <w:r>
              <w:rPr>
                <w:spacing w:val="15"/>
                <w:sz w:val="17"/>
              </w:rPr>
              <w:t xml:space="preserve"> </w:t>
            </w:r>
            <w:r>
              <w:rPr>
                <w:spacing w:val="-2"/>
                <w:sz w:val="17"/>
              </w:rPr>
              <w:t>accounts</w:t>
            </w:r>
          </w:p>
        </w:tc>
        <w:tc>
          <w:tcPr>
            <w:tcW w:w="1079" w:type="dxa"/>
            <w:shd w:val="clear" w:color="auto" w:fill="F1F1F1"/>
          </w:tcPr>
          <w:p w14:paraId="295A6A41" w14:textId="77777777" w:rsidR="00AC6F3C" w:rsidRDefault="00570E88">
            <w:pPr>
              <w:pStyle w:val="TableParagraph"/>
              <w:spacing w:before="40"/>
              <w:ind w:right="33"/>
              <w:jc w:val="right"/>
              <w:rPr>
                <w:sz w:val="17"/>
              </w:rPr>
            </w:pPr>
            <w:r>
              <w:rPr>
                <w:spacing w:val="-2"/>
                <w:sz w:val="17"/>
              </w:rPr>
              <w:t>9,707</w:t>
            </w:r>
          </w:p>
        </w:tc>
        <w:tc>
          <w:tcPr>
            <w:tcW w:w="1051" w:type="dxa"/>
          </w:tcPr>
          <w:p w14:paraId="0CAB0A05" w14:textId="77777777" w:rsidR="00AC6F3C" w:rsidRDefault="00570E88">
            <w:pPr>
              <w:pStyle w:val="TableParagraph"/>
              <w:spacing w:before="40"/>
              <w:ind w:right="19"/>
              <w:jc w:val="right"/>
              <w:rPr>
                <w:sz w:val="17"/>
              </w:rPr>
            </w:pPr>
            <w:r>
              <w:rPr>
                <w:spacing w:val="-2"/>
                <w:sz w:val="17"/>
              </w:rPr>
              <w:t>20,735</w:t>
            </w:r>
          </w:p>
        </w:tc>
        <w:tc>
          <w:tcPr>
            <w:tcW w:w="1079" w:type="dxa"/>
            <w:shd w:val="clear" w:color="auto" w:fill="F1F1F1"/>
          </w:tcPr>
          <w:p w14:paraId="18AC2375" w14:textId="77777777" w:rsidR="00AC6F3C" w:rsidRDefault="00570E88">
            <w:pPr>
              <w:pStyle w:val="TableParagraph"/>
              <w:spacing w:before="40"/>
              <w:ind w:right="33"/>
              <w:jc w:val="right"/>
              <w:rPr>
                <w:sz w:val="17"/>
              </w:rPr>
            </w:pPr>
            <w:r>
              <w:rPr>
                <w:spacing w:val="-2"/>
                <w:sz w:val="17"/>
              </w:rPr>
              <w:t>8,587</w:t>
            </w:r>
          </w:p>
        </w:tc>
        <w:tc>
          <w:tcPr>
            <w:tcW w:w="1057" w:type="dxa"/>
            <w:gridSpan w:val="2"/>
            <w:tcBorders>
              <w:right w:val="single" w:sz="6" w:space="0" w:color="000000"/>
            </w:tcBorders>
          </w:tcPr>
          <w:p w14:paraId="1ED8F77A" w14:textId="77777777" w:rsidR="00AC6F3C" w:rsidRDefault="00570E88">
            <w:pPr>
              <w:pStyle w:val="TableParagraph"/>
              <w:spacing w:before="40"/>
              <w:ind w:left="489"/>
              <w:rPr>
                <w:sz w:val="17"/>
              </w:rPr>
            </w:pPr>
            <w:r>
              <w:rPr>
                <w:spacing w:val="-2"/>
                <w:sz w:val="17"/>
              </w:rPr>
              <w:t>16,936</w:t>
            </w:r>
          </w:p>
        </w:tc>
      </w:tr>
      <w:tr w:rsidR="00AC6F3C" w14:paraId="1CE41862" w14:textId="77777777">
        <w:trPr>
          <w:trHeight w:val="270"/>
        </w:trPr>
        <w:tc>
          <w:tcPr>
            <w:tcW w:w="3641" w:type="dxa"/>
            <w:tcBorders>
              <w:left w:val="single" w:sz="6" w:space="0" w:color="000000"/>
              <w:bottom w:val="single" w:sz="6" w:space="0" w:color="000000"/>
            </w:tcBorders>
          </w:tcPr>
          <w:p w14:paraId="42547463" w14:textId="77777777" w:rsidR="00AC6F3C" w:rsidRDefault="00570E88">
            <w:pPr>
              <w:pStyle w:val="TableParagraph"/>
              <w:spacing w:before="40"/>
              <w:ind w:left="35"/>
              <w:rPr>
                <w:sz w:val="17"/>
              </w:rPr>
            </w:pPr>
            <w:r>
              <w:rPr>
                <w:sz w:val="17"/>
              </w:rPr>
              <w:t>Term</w:t>
            </w:r>
            <w:r>
              <w:rPr>
                <w:spacing w:val="8"/>
                <w:sz w:val="17"/>
              </w:rPr>
              <w:t xml:space="preserve"> </w:t>
            </w:r>
            <w:r>
              <w:rPr>
                <w:spacing w:val="-2"/>
                <w:sz w:val="17"/>
              </w:rPr>
              <w:t>deposits</w:t>
            </w:r>
          </w:p>
        </w:tc>
        <w:tc>
          <w:tcPr>
            <w:tcW w:w="1079" w:type="dxa"/>
            <w:tcBorders>
              <w:bottom w:val="single" w:sz="6" w:space="0" w:color="000000"/>
            </w:tcBorders>
            <w:shd w:val="clear" w:color="auto" w:fill="F1F1F1"/>
          </w:tcPr>
          <w:p w14:paraId="3D01DEAB" w14:textId="77777777" w:rsidR="00AC6F3C" w:rsidRDefault="00570E88">
            <w:pPr>
              <w:pStyle w:val="TableParagraph"/>
              <w:spacing w:before="40"/>
              <w:ind w:right="33"/>
              <w:jc w:val="right"/>
              <w:rPr>
                <w:sz w:val="17"/>
              </w:rPr>
            </w:pPr>
            <w:r>
              <w:rPr>
                <w:spacing w:val="-2"/>
                <w:sz w:val="17"/>
              </w:rPr>
              <w:t>55,000</w:t>
            </w:r>
          </w:p>
        </w:tc>
        <w:tc>
          <w:tcPr>
            <w:tcW w:w="1051" w:type="dxa"/>
            <w:tcBorders>
              <w:bottom w:val="single" w:sz="6" w:space="0" w:color="000000"/>
            </w:tcBorders>
          </w:tcPr>
          <w:p w14:paraId="0BC824C2" w14:textId="77777777" w:rsidR="00AC6F3C" w:rsidRDefault="00570E88">
            <w:pPr>
              <w:pStyle w:val="TableParagraph"/>
              <w:spacing w:before="40"/>
              <w:ind w:right="19"/>
              <w:jc w:val="right"/>
              <w:rPr>
                <w:sz w:val="17"/>
              </w:rPr>
            </w:pPr>
            <w:r>
              <w:rPr>
                <w:spacing w:val="-2"/>
                <w:sz w:val="17"/>
              </w:rPr>
              <w:t>26,000</w:t>
            </w:r>
          </w:p>
        </w:tc>
        <w:tc>
          <w:tcPr>
            <w:tcW w:w="1079" w:type="dxa"/>
            <w:tcBorders>
              <w:bottom w:val="single" w:sz="6" w:space="0" w:color="000000"/>
            </w:tcBorders>
            <w:shd w:val="clear" w:color="auto" w:fill="F1F1F1"/>
          </w:tcPr>
          <w:p w14:paraId="1836E9C4" w14:textId="77777777" w:rsidR="00AC6F3C" w:rsidRDefault="00570E88">
            <w:pPr>
              <w:pStyle w:val="TableParagraph"/>
              <w:spacing w:before="40"/>
              <w:ind w:right="34"/>
              <w:jc w:val="right"/>
              <w:rPr>
                <w:sz w:val="17"/>
              </w:rPr>
            </w:pPr>
            <w:r>
              <w:rPr>
                <w:spacing w:val="-2"/>
                <w:sz w:val="17"/>
              </w:rPr>
              <w:t>55,000</w:t>
            </w:r>
          </w:p>
        </w:tc>
        <w:tc>
          <w:tcPr>
            <w:tcW w:w="1057" w:type="dxa"/>
            <w:gridSpan w:val="2"/>
            <w:tcBorders>
              <w:bottom w:val="single" w:sz="6" w:space="0" w:color="000000"/>
              <w:right w:val="single" w:sz="6" w:space="0" w:color="000000"/>
            </w:tcBorders>
          </w:tcPr>
          <w:p w14:paraId="0DB2BC07" w14:textId="77777777" w:rsidR="00AC6F3C" w:rsidRDefault="00570E88">
            <w:pPr>
              <w:pStyle w:val="TableParagraph"/>
              <w:spacing w:before="40"/>
              <w:ind w:left="489"/>
              <w:rPr>
                <w:sz w:val="17"/>
              </w:rPr>
            </w:pPr>
            <w:r>
              <w:rPr>
                <w:spacing w:val="-2"/>
                <w:sz w:val="17"/>
              </w:rPr>
              <w:t>26,000</w:t>
            </w:r>
          </w:p>
        </w:tc>
      </w:tr>
      <w:tr w:rsidR="00AC6F3C" w14:paraId="0C2AB4FB" w14:textId="77777777">
        <w:trPr>
          <w:trHeight w:val="267"/>
        </w:trPr>
        <w:tc>
          <w:tcPr>
            <w:tcW w:w="3641" w:type="dxa"/>
            <w:tcBorders>
              <w:top w:val="single" w:sz="6" w:space="0" w:color="000000"/>
              <w:left w:val="single" w:sz="6" w:space="0" w:color="000000"/>
              <w:bottom w:val="single" w:sz="6" w:space="0" w:color="000000"/>
            </w:tcBorders>
            <w:shd w:val="clear" w:color="auto" w:fill="BEBEBE"/>
          </w:tcPr>
          <w:p w14:paraId="75883826" w14:textId="77777777" w:rsidR="00AC6F3C" w:rsidRDefault="00570E88">
            <w:pPr>
              <w:pStyle w:val="TableParagraph"/>
              <w:spacing w:before="38"/>
              <w:ind w:left="35"/>
              <w:rPr>
                <w:b/>
                <w:sz w:val="17"/>
              </w:rPr>
            </w:pPr>
            <w:r>
              <w:rPr>
                <w:b/>
                <w:sz w:val="17"/>
              </w:rPr>
              <w:t>Total</w:t>
            </w:r>
            <w:r>
              <w:rPr>
                <w:b/>
                <w:spacing w:val="-6"/>
                <w:sz w:val="17"/>
              </w:rPr>
              <w:t xml:space="preserve"> </w:t>
            </w:r>
            <w:r>
              <w:rPr>
                <w:b/>
                <w:sz w:val="17"/>
              </w:rPr>
              <w:t>cash</w:t>
            </w:r>
            <w:r>
              <w:rPr>
                <w:b/>
                <w:spacing w:val="-6"/>
                <w:sz w:val="17"/>
              </w:rPr>
              <w:t xml:space="preserve"> </w:t>
            </w:r>
            <w:r>
              <w:rPr>
                <w:b/>
                <w:sz w:val="17"/>
              </w:rPr>
              <w:t>and</w:t>
            </w:r>
            <w:r>
              <w:rPr>
                <w:b/>
                <w:spacing w:val="-6"/>
                <w:sz w:val="17"/>
              </w:rPr>
              <w:t xml:space="preserve"> </w:t>
            </w:r>
            <w:r>
              <w:rPr>
                <w:b/>
                <w:sz w:val="17"/>
              </w:rPr>
              <w:t>cash</w:t>
            </w:r>
            <w:r>
              <w:rPr>
                <w:b/>
                <w:spacing w:val="-5"/>
                <w:sz w:val="17"/>
              </w:rPr>
              <w:t xml:space="preserve"> </w:t>
            </w:r>
            <w:r>
              <w:rPr>
                <w:b/>
                <w:spacing w:val="-2"/>
                <w:sz w:val="17"/>
              </w:rPr>
              <w:t>equivalents</w:t>
            </w:r>
          </w:p>
        </w:tc>
        <w:tc>
          <w:tcPr>
            <w:tcW w:w="2130" w:type="dxa"/>
            <w:gridSpan w:val="2"/>
            <w:tcBorders>
              <w:top w:val="single" w:sz="6" w:space="0" w:color="000000"/>
              <w:bottom w:val="single" w:sz="6" w:space="0" w:color="000000"/>
            </w:tcBorders>
            <w:shd w:val="clear" w:color="auto" w:fill="BEBEBE"/>
          </w:tcPr>
          <w:p w14:paraId="05DEEDC3" w14:textId="77777777" w:rsidR="00AC6F3C" w:rsidRDefault="00570E88">
            <w:pPr>
              <w:pStyle w:val="TableParagraph"/>
              <w:tabs>
                <w:tab w:val="left" w:pos="1568"/>
              </w:tabs>
              <w:spacing w:before="38"/>
              <w:ind w:left="504"/>
              <w:rPr>
                <w:b/>
                <w:sz w:val="17"/>
              </w:rPr>
            </w:pPr>
            <w:r>
              <w:rPr>
                <w:b/>
                <w:spacing w:val="-2"/>
                <w:sz w:val="17"/>
              </w:rPr>
              <w:t>72,532</w:t>
            </w:r>
            <w:r>
              <w:rPr>
                <w:b/>
                <w:sz w:val="17"/>
              </w:rPr>
              <w:tab/>
            </w:r>
            <w:r>
              <w:rPr>
                <w:b/>
                <w:spacing w:val="-2"/>
                <w:sz w:val="17"/>
              </w:rPr>
              <w:t>69,350</w:t>
            </w:r>
          </w:p>
        </w:tc>
        <w:tc>
          <w:tcPr>
            <w:tcW w:w="1448" w:type="dxa"/>
            <w:gridSpan w:val="2"/>
            <w:tcBorders>
              <w:top w:val="single" w:sz="6" w:space="0" w:color="000000"/>
              <w:bottom w:val="single" w:sz="6" w:space="0" w:color="000000"/>
            </w:tcBorders>
            <w:shd w:val="clear" w:color="auto" w:fill="BEBEBE"/>
          </w:tcPr>
          <w:p w14:paraId="5454114E" w14:textId="77777777" w:rsidR="00AC6F3C" w:rsidRDefault="00570E88">
            <w:pPr>
              <w:pStyle w:val="TableParagraph"/>
              <w:spacing w:before="38"/>
              <w:ind w:left="503"/>
              <w:rPr>
                <w:b/>
                <w:sz w:val="17"/>
              </w:rPr>
            </w:pPr>
            <w:r>
              <w:rPr>
                <w:b/>
                <w:spacing w:val="-2"/>
                <w:sz w:val="17"/>
              </w:rPr>
              <w:t>66,457</w:t>
            </w:r>
          </w:p>
        </w:tc>
        <w:tc>
          <w:tcPr>
            <w:tcW w:w="688" w:type="dxa"/>
            <w:tcBorders>
              <w:top w:val="single" w:sz="6" w:space="0" w:color="000000"/>
              <w:bottom w:val="single" w:sz="6" w:space="0" w:color="000000"/>
              <w:right w:val="single" w:sz="6" w:space="0" w:color="000000"/>
            </w:tcBorders>
            <w:shd w:val="clear" w:color="auto" w:fill="BEBEBE"/>
          </w:tcPr>
          <w:p w14:paraId="3828B168" w14:textId="77777777" w:rsidR="00AC6F3C" w:rsidRDefault="00570E88">
            <w:pPr>
              <w:pStyle w:val="TableParagraph"/>
              <w:spacing w:before="38"/>
              <w:ind w:left="120"/>
              <w:rPr>
                <w:b/>
                <w:sz w:val="17"/>
              </w:rPr>
            </w:pPr>
            <w:r>
              <w:rPr>
                <w:b/>
                <w:spacing w:val="-2"/>
                <w:sz w:val="17"/>
              </w:rPr>
              <w:t>64,186</w:t>
            </w:r>
          </w:p>
        </w:tc>
      </w:tr>
    </w:tbl>
    <w:p w14:paraId="5D6DBEA0" w14:textId="77777777" w:rsidR="00AC6F3C" w:rsidRDefault="00AC6F3C">
      <w:pPr>
        <w:pStyle w:val="BodyText"/>
        <w:spacing w:before="4"/>
        <w:rPr>
          <w:sz w:val="22"/>
        </w:rPr>
      </w:pPr>
    </w:p>
    <w:p w14:paraId="5636D7DD" w14:textId="77777777" w:rsidR="00AC6F3C" w:rsidRDefault="00570E88">
      <w:pPr>
        <w:ind w:left="958" w:right="990"/>
        <w:rPr>
          <w:b/>
          <w:sz w:val="20"/>
        </w:rPr>
      </w:pPr>
      <w:r>
        <w:rPr>
          <w:b/>
          <w:sz w:val="20"/>
        </w:rPr>
        <w:t>Reconciliation</w:t>
      </w:r>
      <w:r>
        <w:rPr>
          <w:b/>
          <w:spacing w:val="-4"/>
          <w:sz w:val="20"/>
        </w:rPr>
        <w:t xml:space="preserve"> </w:t>
      </w:r>
      <w:r>
        <w:rPr>
          <w:b/>
          <w:sz w:val="20"/>
        </w:rPr>
        <w:t>of</w:t>
      </w:r>
      <w:r>
        <w:rPr>
          <w:b/>
          <w:spacing w:val="-4"/>
          <w:sz w:val="20"/>
        </w:rPr>
        <w:t xml:space="preserve"> </w:t>
      </w:r>
      <w:r>
        <w:rPr>
          <w:b/>
          <w:sz w:val="20"/>
        </w:rPr>
        <w:t>operating</w:t>
      </w:r>
      <w:r>
        <w:rPr>
          <w:b/>
          <w:spacing w:val="-4"/>
          <w:sz w:val="20"/>
        </w:rPr>
        <w:t xml:space="preserve"> </w:t>
      </w:r>
      <w:r>
        <w:rPr>
          <w:b/>
          <w:sz w:val="20"/>
        </w:rPr>
        <w:t>result</w:t>
      </w:r>
      <w:r>
        <w:rPr>
          <w:b/>
          <w:spacing w:val="-4"/>
          <w:sz w:val="20"/>
        </w:rPr>
        <w:t xml:space="preserve"> </w:t>
      </w:r>
      <w:r>
        <w:rPr>
          <w:b/>
          <w:sz w:val="20"/>
        </w:rPr>
        <w:t>to</w:t>
      </w:r>
      <w:r>
        <w:rPr>
          <w:b/>
          <w:spacing w:val="-4"/>
          <w:sz w:val="20"/>
        </w:rPr>
        <w:t xml:space="preserve"> </w:t>
      </w:r>
      <w:r>
        <w:rPr>
          <w:b/>
          <w:sz w:val="20"/>
        </w:rPr>
        <w:t>net</w:t>
      </w:r>
      <w:r>
        <w:rPr>
          <w:b/>
          <w:spacing w:val="-4"/>
          <w:sz w:val="20"/>
        </w:rPr>
        <w:t xml:space="preserve"> </w:t>
      </w:r>
      <w:r>
        <w:rPr>
          <w:b/>
          <w:sz w:val="20"/>
        </w:rPr>
        <w:t>cash</w:t>
      </w:r>
      <w:r>
        <w:rPr>
          <w:b/>
          <w:spacing w:val="-4"/>
          <w:sz w:val="20"/>
        </w:rPr>
        <w:t xml:space="preserve"> </w:t>
      </w:r>
      <w:r>
        <w:rPr>
          <w:b/>
          <w:sz w:val="20"/>
        </w:rPr>
        <w:t>(used</w:t>
      </w:r>
      <w:r>
        <w:rPr>
          <w:b/>
          <w:spacing w:val="-2"/>
          <w:sz w:val="20"/>
        </w:rPr>
        <w:t xml:space="preserve"> </w:t>
      </w:r>
      <w:r>
        <w:rPr>
          <w:b/>
          <w:sz w:val="20"/>
        </w:rPr>
        <w:t>in)/generated</w:t>
      </w:r>
      <w:r>
        <w:rPr>
          <w:b/>
          <w:spacing w:val="-4"/>
          <w:sz w:val="20"/>
        </w:rPr>
        <w:t xml:space="preserve"> </w:t>
      </w:r>
      <w:r>
        <w:rPr>
          <w:b/>
          <w:sz w:val="20"/>
        </w:rPr>
        <w:t>from</w:t>
      </w:r>
      <w:r>
        <w:rPr>
          <w:b/>
          <w:spacing w:val="-4"/>
          <w:sz w:val="20"/>
        </w:rPr>
        <w:t xml:space="preserve"> </w:t>
      </w:r>
      <w:r>
        <w:rPr>
          <w:b/>
          <w:sz w:val="20"/>
        </w:rPr>
        <w:t xml:space="preserve">operating </w:t>
      </w:r>
      <w:r>
        <w:rPr>
          <w:b/>
          <w:spacing w:val="-2"/>
          <w:sz w:val="20"/>
        </w:rPr>
        <w:t>activities</w:t>
      </w:r>
    </w:p>
    <w:p w14:paraId="11042E07" w14:textId="77777777" w:rsidR="00AC6F3C" w:rsidRDefault="00AC6F3C">
      <w:pPr>
        <w:pStyle w:val="BodyText"/>
        <w:spacing w:before="10"/>
        <w:rPr>
          <w:b/>
        </w:rPr>
      </w:pPr>
    </w:p>
    <w:tbl>
      <w:tblPr>
        <w:tblW w:w="0" w:type="auto"/>
        <w:tblInd w:w="972" w:type="dxa"/>
        <w:tblLayout w:type="fixed"/>
        <w:tblCellMar>
          <w:left w:w="0" w:type="dxa"/>
          <w:right w:w="0" w:type="dxa"/>
        </w:tblCellMar>
        <w:tblLook w:val="01E0" w:firstRow="1" w:lastRow="1" w:firstColumn="1" w:lastColumn="1" w:noHBand="0" w:noVBand="0"/>
      </w:tblPr>
      <w:tblGrid>
        <w:gridCol w:w="3643"/>
        <w:gridCol w:w="1079"/>
        <w:gridCol w:w="549"/>
        <w:gridCol w:w="502"/>
        <w:gridCol w:w="1079"/>
        <w:gridCol w:w="369"/>
        <w:gridCol w:w="688"/>
      </w:tblGrid>
      <w:tr w:rsidR="00AC6F3C" w14:paraId="24092E96" w14:textId="77777777">
        <w:trPr>
          <w:trHeight w:val="836"/>
        </w:trPr>
        <w:tc>
          <w:tcPr>
            <w:tcW w:w="3643" w:type="dxa"/>
            <w:tcBorders>
              <w:top w:val="single" w:sz="6" w:space="0" w:color="000000"/>
              <w:left w:val="single" w:sz="6" w:space="0" w:color="000000"/>
              <w:bottom w:val="single" w:sz="6" w:space="0" w:color="000000"/>
            </w:tcBorders>
            <w:shd w:val="clear" w:color="auto" w:fill="BEBEBE"/>
          </w:tcPr>
          <w:p w14:paraId="686675DE" w14:textId="77777777" w:rsidR="00AC6F3C" w:rsidRDefault="00AC6F3C">
            <w:pPr>
              <w:pStyle w:val="TableParagraph"/>
              <w:rPr>
                <w:rFonts w:ascii="Times New Roman"/>
                <w:sz w:val="16"/>
              </w:rPr>
            </w:pPr>
          </w:p>
        </w:tc>
        <w:tc>
          <w:tcPr>
            <w:tcW w:w="1628" w:type="dxa"/>
            <w:gridSpan w:val="2"/>
            <w:tcBorders>
              <w:top w:val="single" w:sz="6" w:space="0" w:color="000000"/>
              <w:bottom w:val="single" w:sz="6" w:space="0" w:color="000000"/>
            </w:tcBorders>
            <w:shd w:val="clear" w:color="auto" w:fill="BEBEBE"/>
          </w:tcPr>
          <w:p w14:paraId="3DC4AFBF" w14:textId="77777777" w:rsidR="00AC6F3C" w:rsidRDefault="00570E88">
            <w:pPr>
              <w:pStyle w:val="TableParagraph"/>
              <w:spacing w:before="24" w:line="367" w:lineRule="auto"/>
              <w:ind w:left="646" w:hanging="100"/>
              <w:rPr>
                <w:b/>
                <w:sz w:val="17"/>
              </w:rPr>
            </w:pPr>
            <w:r>
              <w:rPr>
                <w:b/>
                <w:spacing w:val="-4"/>
                <w:sz w:val="17"/>
              </w:rPr>
              <w:t>Consolidated 2023</w:t>
            </w:r>
          </w:p>
          <w:p w14:paraId="3D971405" w14:textId="77777777" w:rsidR="00AC6F3C" w:rsidRDefault="00570E88">
            <w:pPr>
              <w:pStyle w:val="TableParagraph"/>
              <w:spacing w:line="179" w:lineRule="exact"/>
              <w:ind w:left="603"/>
              <w:rPr>
                <w:b/>
                <w:sz w:val="17"/>
              </w:rPr>
            </w:pPr>
            <w:r>
              <w:rPr>
                <w:b/>
                <w:spacing w:val="-2"/>
                <w:sz w:val="17"/>
              </w:rPr>
              <w:t>$’000</w:t>
            </w:r>
          </w:p>
        </w:tc>
        <w:tc>
          <w:tcPr>
            <w:tcW w:w="502" w:type="dxa"/>
            <w:tcBorders>
              <w:top w:val="single" w:sz="6" w:space="0" w:color="000000"/>
              <w:bottom w:val="single" w:sz="6" w:space="0" w:color="000000"/>
            </w:tcBorders>
            <w:shd w:val="clear" w:color="auto" w:fill="BEBEBE"/>
          </w:tcPr>
          <w:p w14:paraId="67E7D14A" w14:textId="77777777" w:rsidR="00AC6F3C" w:rsidRDefault="00AC6F3C">
            <w:pPr>
              <w:pStyle w:val="TableParagraph"/>
              <w:rPr>
                <w:b/>
                <w:sz w:val="18"/>
              </w:rPr>
            </w:pPr>
          </w:p>
          <w:p w14:paraId="4354FD0B" w14:textId="77777777" w:rsidR="00AC6F3C" w:rsidRDefault="00570E88">
            <w:pPr>
              <w:pStyle w:val="TableParagraph"/>
              <w:spacing w:before="116"/>
              <w:ind w:left="83"/>
              <w:rPr>
                <w:b/>
                <w:sz w:val="17"/>
              </w:rPr>
            </w:pPr>
            <w:r>
              <w:rPr>
                <w:b/>
                <w:spacing w:val="-4"/>
                <w:sz w:val="17"/>
              </w:rPr>
              <w:t>2022</w:t>
            </w:r>
          </w:p>
          <w:p w14:paraId="2E7C5DD2" w14:textId="77777777" w:rsidR="00AC6F3C" w:rsidRDefault="00570E88">
            <w:pPr>
              <w:pStyle w:val="TableParagraph"/>
              <w:spacing w:before="88"/>
              <w:ind w:left="40"/>
              <w:rPr>
                <w:b/>
                <w:sz w:val="17"/>
              </w:rPr>
            </w:pPr>
            <w:r>
              <w:rPr>
                <w:b/>
                <w:spacing w:val="-2"/>
                <w:sz w:val="17"/>
              </w:rPr>
              <w:t>$’000</w:t>
            </w:r>
          </w:p>
        </w:tc>
        <w:tc>
          <w:tcPr>
            <w:tcW w:w="1448" w:type="dxa"/>
            <w:gridSpan w:val="2"/>
            <w:tcBorders>
              <w:top w:val="single" w:sz="6" w:space="0" w:color="000000"/>
              <w:bottom w:val="single" w:sz="6" w:space="0" w:color="000000"/>
            </w:tcBorders>
            <w:shd w:val="clear" w:color="auto" w:fill="BEBEBE"/>
          </w:tcPr>
          <w:p w14:paraId="74281E6C" w14:textId="77777777" w:rsidR="00AC6F3C" w:rsidRDefault="00570E88">
            <w:pPr>
              <w:pStyle w:val="TableParagraph"/>
              <w:spacing w:before="24" w:line="367" w:lineRule="auto"/>
              <w:ind w:left="646" w:firstLine="156"/>
              <w:rPr>
                <w:b/>
                <w:sz w:val="17"/>
              </w:rPr>
            </w:pPr>
            <w:r>
              <w:rPr>
                <w:b/>
                <w:spacing w:val="-2"/>
                <w:sz w:val="17"/>
              </w:rPr>
              <w:t xml:space="preserve">Parent </w:t>
            </w:r>
            <w:r>
              <w:rPr>
                <w:b/>
                <w:spacing w:val="-4"/>
                <w:sz w:val="17"/>
              </w:rPr>
              <w:t>2023</w:t>
            </w:r>
          </w:p>
          <w:p w14:paraId="42240CF8" w14:textId="77777777" w:rsidR="00AC6F3C" w:rsidRDefault="00570E88">
            <w:pPr>
              <w:pStyle w:val="TableParagraph"/>
              <w:spacing w:line="179" w:lineRule="exact"/>
              <w:ind w:left="604"/>
              <w:rPr>
                <w:b/>
                <w:sz w:val="17"/>
              </w:rPr>
            </w:pPr>
            <w:r>
              <w:rPr>
                <w:b/>
                <w:spacing w:val="-2"/>
                <w:sz w:val="17"/>
              </w:rPr>
              <w:t>$’000</w:t>
            </w:r>
          </w:p>
        </w:tc>
        <w:tc>
          <w:tcPr>
            <w:tcW w:w="688" w:type="dxa"/>
            <w:tcBorders>
              <w:top w:val="single" w:sz="6" w:space="0" w:color="000000"/>
              <w:bottom w:val="single" w:sz="6" w:space="0" w:color="000000"/>
              <w:right w:val="single" w:sz="6" w:space="0" w:color="000000"/>
            </w:tcBorders>
            <w:shd w:val="clear" w:color="auto" w:fill="BEBEBE"/>
          </w:tcPr>
          <w:p w14:paraId="7C126A1F" w14:textId="77777777" w:rsidR="00AC6F3C" w:rsidRDefault="00AC6F3C">
            <w:pPr>
              <w:pStyle w:val="TableParagraph"/>
              <w:rPr>
                <w:b/>
                <w:sz w:val="18"/>
              </w:rPr>
            </w:pPr>
          </w:p>
          <w:p w14:paraId="697E13E8" w14:textId="77777777" w:rsidR="00AC6F3C" w:rsidRDefault="00570E88">
            <w:pPr>
              <w:pStyle w:val="TableParagraph"/>
              <w:spacing w:before="116"/>
              <w:ind w:left="263"/>
              <w:rPr>
                <w:b/>
                <w:sz w:val="17"/>
              </w:rPr>
            </w:pPr>
            <w:r>
              <w:rPr>
                <w:b/>
                <w:spacing w:val="-4"/>
                <w:sz w:val="17"/>
              </w:rPr>
              <w:t>2022</w:t>
            </w:r>
          </w:p>
          <w:p w14:paraId="24CE93CF" w14:textId="77777777" w:rsidR="00AC6F3C" w:rsidRDefault="00570E88">
            <w:pPr>
              <w:pStyle w:val="TableParagraph"/>
              <w:spacing w:before="88"/>
              <w:ind w:left="221"/>
              <w:rPr>
                <w:b/>
                <w:sz w:val="17"/>
              </w:rPr>
            </w:pPr>
            <w:r>
              <w:rPr>
                <w:b/>
                <w:spacing w:val="-2"/>
                <w:sz w:val="17"/>
              </w:rPr>
              <w:t>$’000</w:t>
            </w:r>
          </w:p>
        </w:tc>
      </w:tr>
      <w:tr w:rsidR="00AC6F3C" w14:paraId="187BCE9F" w14:textId="77777777">
        <w:trPr>
          <w:trHeight w:val="423"/>
        </w:trPr>
        <w:tc>
          <w:tcPr>
            <w:tcW w:w="3643" w:type="dxa"/>
            <w:tcBorders>
              <w:top w:val="single" w:sz="6" w:space="0" w:color="000000"/>
              <w:left w:val="single" w:sz="6" w:space="0" w:color="000000"/>
            </w:tcBorders>
          </w:tcPr>
          <w:p w14:paraId="0F4D07C9" w14:textId="77777777" w:rsidR="00AC6F3C" w:rsidRDefault="00570E88">
            <w:pPr>
              <w:pStyle w:val="TableParagraph"/>
              <w:spacing w:before="39"/>
              <w:ind w:left="35"/>
              <w:rPr>
                <w:b/>
                <w:sz w:val="17"/>
              </w:rPr>
            </w:pPr>
            <w:r>
              <w:rPr>
                <w:b/>
                <w:sz w:val="17"/>
              </w:rPr>
              <w:t>Operating</w:t>
            </w:r>
            <w:r>
              <w:rPr>
                <w:b/>
                <w:spacing w:val="-14"/>
                <w:sz w:val="17"/>
              </w:rPr>
              <w:t xml:space="preserve"> </w:t>
            </w:r>
            <w:r>
              <w:rPr>
                <w:b/>
                <w:sz w:val="17"/>
              </w:rPr>
              <w:t>(deficit)</w:t>
            </w:r>
            <w:r>
              <w:rPr>
                <w:b/>
                <w:spacing w:val="-12"/>
                <w:sz w:val="17"/>
              </w:rPr>
              <w:t xml:space="preserve"> </w:t>
            </w:r>
            <w:r>
              <w:rPr>
                <w:b/>
                <w:sz w:val="17"/>
              </w:rPr>
              <w:t>surplus</w:t>
            </w:r>
            <w:r>
              <w:rPr>
                <w:b/>
                <w:spacing w:val="-7"/>
                <w:sz w:val="17"/>
              </w:rPr>
              <w:t xml:space="preserve"> </w:t>
            </w:r>
            <w:r>
              <w:rPr>
                <w:b/>
                <w:sz w:val="17"/>
              </w:rPr>
              <w:t>after</w:t>
            </w:r>
            <w:r>
              <w:rPr>
                <w:b/>
                <w:spacing w:val="-6"/>
                <w:sz w:val="17"/>
              </w:rPr>
              <w:t xml:space="preserve"> </w:t>
            </w:r>
            <w:r>
              <w:rPr>
                <w:b/>
                <w:sz w:val="17"/>
              </w:rPr>
              <w:t>income</w:t>
            </w:r>
            <w:r>
              <w:rPr>
                <w:b/>
                <w:spacing w:val="-6"/>
                <w:sz w:val="17"/>
              </w:rPr>
              <w:t xml:space="preserve"> </w:t>
            </w:r>
            <w:r>
              <w:rPr>
                <w:b/>
                <w:spacing w:val="-5"/>
                <w:sz w:val="17"/>
              </w:rPr>
              <w:t>tax</w:t>
            </w:r>
          </w:p>
        </w:tc>
        <w:tc>
          <w:tcPr>
            <w:tcW w:w="1079" w:type="dxa"/>
            <w:tcBorders>
              <w:top w:val="single" w:sz="6" w:space="0" w:color="000000"/>
            </w:tcBorders>
            <w:shd w:val="clear" w:color="auto" w:fill="F1F1F1"/>
          </w:tcPr>
          <w:p w14:paraId="193074F3" w14:textId="77777777" w:rsidR="00AC6F3C" w:rsidRDefault="00570E88">
            <w:pPr>
              <w:pStyle w:val="TableParagraph"/>
              <w:spacing w:before="39"/>
              <w:ind w:right="33"/>
              <w:jc w:val="right"/>
              <w:rPr>
                <w:sz w:val="17"/>
              </w:rPr>
            </w:pPr>
            <w:r>
              <w:rPr>
                <w:spacing w:val="-2"/>
                <w:sz w:val="17"/>
              </w:rPr>
              <w:t>10,390</w:t>
            </w:r>
          </w:p>
        </w:tc>
        <w:tc>
          <w:tcPr>
            <w:tcW w:w="1051" w:type="dxa"/>
            <w:gridSpan w:val="2"/>
            <w:tcBorders>
              <w:top w:val="single" w:sz="6" w:space="0" w:color="000000"/>
            </w:tcBorders>
          </w:tcPr>
          <w:p w14:paraId="73035A54" w14:textId="77777777" w:rsidR="00AC6F3C" w:rsidRDefault="00570E88">
            <w:pPr>
              <w:pStyle w:val="TableParagraph"/>
              <w:spacing w:before="39"/>
              <w:ind w:left="618"/>
              <w:rPr>
                <w:sz w:val="17"/>
              </w:rPr>
            </w:pPr>
            <w:r>
              <w:rPr>
                <w:spacing w:val="-2"/>
                <w:sz w:val="17"/>
              </w:rPr>
              <w:t>(903)</w:t>
            </w:r>
          </w:p>
        </w:tc>
        <w:tc>
          <w:tcPr>
            <w:tcW w:w="1079" w:type="dxa"/>
            <w:tcBorders>
              <w:top w:val="single" w:sz="6" w:space="0" w:color="000000"/>
            </w:tcBorders>
            <w:shd w:val="clear" w:color="auto" w:fill="F1F1F1"/>
          </w:tcPr>
          <w:p w14:paraId="62AD305D" w14:textId="77777777" w:rsidR="00AC6F3C" w:rsidRDefault="00570E88">
            <w:pPr>
              <w:pStyle w:val="TableParagraph"/>
              <w:spacing w:before="39"/>
              <w:ind w:right="28"/>
              <w:jc w:val="right"/>
              <w:rPr>
                <w:sz w:val="17"/>
              </w:rPr>
            </w:pPr>
            <w:r>
              <w:rPr>
                <w:spacing w:val="-2"/>
                <w:sz w:val="17"/>
              </w:rPr>
              <w:t>(2,031)</w:t>
            </w:r>
          </w:p>
        </w:tc>
        <w:tc>
          <w:tcPr>
            <w:tcW w:w="1057" w:type="dxa"/>
            <w:gridSpan w:val="2"/>
            <w:tcBorders>
              <w:top w:val="single" w:sz="6" w:space="0" w:color="000000"/>
              <w:right w:val="single" w:sz="6" w:space="0" w:color="000000"/>
            </w:tcBorders>
          </w:tcPr>
          <w:p w14:paraId="292556B3" w14:textId="77777777" w:rsidR="00AC6F3C" w:rsidRDefault="00570E88">
            <w:pPr>
              <w:pStyle w:val="TableParagraph"/>
              <w:spacing w:before="39"/>
              <w:ind w:left="590"/>
              <w:rPr>
                <w:sz w:val="17"/>
              </w:rPr>
            </w:pPr>
            <w:r>
              <w:rPr>
                <w:spacing w:val="-2"/>
                <w:sz w:val="17"/>
              </w:rPr>
              <w:t>1,103</w:t>
            </w:r>
          </w:p>
        </w:tc>
      </w:tr>
      <w:tr w:rsidR="00AC6F3C" w14:paraId="0C7F4B9C" w14:textId="77777777">
        <w:trPr>
          <w:trHeight w:val="425"/>
        </w:trPr>
        <w:tc>
          <w:tcPr>
            <w:tcW w:w="3643" w:type="dxa"/>
            <w:tcBorders>
              <w:left w:val="single" w:sz="6" w:space="0" w:color="000000"/>
            </w:tcBorders>
          </w:tcPr>
          <w:p w14:paraId="60B26913" w14:textId="77777777" w:rsidR="00AC6F3C" w:rsidRDefault="00AC6F3C">
            <w:pPr>
              <w:pStyle w:val="TableParagraph"/>
              <w:spacing w:before="11"/>
              <w:rPr>
                <w:b/>
                <w:sz w:val="15"/>
              </w:rPr>
            </w:pPr>
          </w:p>
          <w:p w14:paraId="3775EA66" w14:textId="77777777" w:rsidR="00AC6F3C" w:rsidRDefault="00570E88">
            <w:pPr>
              <w:pStyle w:val="TableParagraph"/>
              <w:ind w:left="35"/>
              <w:rPr>
                <w:b/>
                <w:sz w:val="17"/>
              </w:rPr>
            </w:pPr>
            <w:r>
              <w:rPr>
                <w:b/>
                <w:spacing w:val="-2"/>
                <w:sz w:val="17"/>
              </w:rPr>
              <w:t>Adjustments</w:t>
            </w:r>
            <w:r>
              <w:rPr>
                <w:b/>
                <w:spacing w:val="3"/>
                <w:sz w:val="17"/>
              </w:rPr>
              <w:t xml:space="preserve"> </w:t>
            </w:r>
            <w:r>
              <w:rPr>
                <w:b/>
                <w:spacing w:val="-4"/>
                <w:sz w:val="17"/>
              </w:rPr>
              <w:t>for:</w:t>
            </w:r>
          </w:p>
        </w:tc>
        <w:tc>
          <w:tcPr>
            <w:tcW w:w="1079" w:type="dxa"/>
            <w:shd w:val="clear" w:color="auto" w:fill="F1F1F1"/>
          </w:tcPr>
          <w:p w14:paraId="41AE257E" w14:textId="77777777" w:rsidR="00AC6F3C" w:rsidRDefault="00AC6F3C">
            <w:pPr>
              <w:pStyle w:val="TableParagraph"/>
              <w:rPr>
                <w:rFonts w:ascii="Times New Roman"/>
                <w:sz w:val="16"/>
              </w:rPr>
            </w:pPr>
          </w:p>
        </w:tc>
        <w:tc>
          <w:tcPr>
            <w:tcW w:w="1051" w:type="dxa"/>
            <w:gridSpan w:val="2"/>
          </w:tcPr>
          <w:p w14:paraId="50E135D4" w14:textId="77777777" w:rsidR="00AC6F3C" w:rsidRDefault="00AC6F3C">
            <w:pPr>
              <w:pStyle w:val="TableParagraph"/>
              <w:rPr>
                <w:rFonts w:ascii="Times New Roman"/>
                <w:sz w:val="16"/>
              </w:rPr>
            </w:pPr>
          </w:p>
        </w:tc>
        <w:tc>
          <w:tcPr>
            <w:tcW w:w="1079" w:type="dxa"/>
            <w:shd w:val="clear" w:color="auto" w:fill="F1F1F1"/>
          </w:tcPr>
          <w:p w14:paraId="6ADAE4CC" w14:textId="77777777" w:rsidR="00AC6F3C" w:rsidRDefault="00AC6F3C">
            <w:pPr>
              <w:pStyle w:val="TableParagraph"/>
              <w:rPr>
                <w:rFonts w:ascii="Times New Roman"/>
                <w:sz w:val="16"/>
              </w:rPr>
            </w:pPr>
          </w:p>
        </w:tc>
        <w:tc>
          <w:tcPr>
            <w:tcW w:w="1057" w:type="dxa"/>
            <w:gridSpan w:val="2"/>
            <w:tcBorders>
              <w:right w:val="single" w:sz="6" w:space="0" w:color="000000"/>
            </w:tcBorders>
          </w:tcPr>
          <w:p w14:paraId="6A885DB1" w14:textId="77777777" w:rsidR="00AC6F3C" w:rsidRDefault="00AC6F3C">
            <w:pPr>
              <w:pStyle w:val="TableParagraph"/>
              <w:rPr>
                <w:rFonts w:ascii="Times New Roman"/>
                <w:sz w:val="16"/>
              </w:rPr>
            </w:pPr>
          </w:p>
        </w:tc>
      </w:tr>
      <w:tr w:rsidR="00AC6F3C" w14:paraId="6EAB73C1" w14:textId="77777777">
        <w:trPr>
          <w:trHeight w:val="425"/>
        </w:trPr>
        <w:tc>
          <w:tcPr>
            <w:tcW w:w="3643" w:type="dxa"/>
            <w:tcBorders>
              <w:left w:val="single" w:sz="6" w:space="0" w:color="000000"/>
            </w:tcBorders>
          </w:tcPr>
          <w:p w14:paraId="0A846043" w14:textId="77777777" w:rsidR="00AC6F3C" w:rsidRDefault="00570E88">
            <w:pPr>
              <w:pStyle w:val="TableParagraph"/>
              <w:spacing w:before="41"/>
              <w:ind w:left="35"/>
              <w:rPr>
                <w:sz w:val="17"/>
              </w:rPr>
            </w:pPr>
            <w:r>
              <w:rPr>
                <w:sz w:val="17"/>
              </w:rPr>
              <w:t>Investment</w:t>
            </w:r>
            <w:r>
              <w:rPr>
                <w:spacing w:val="9"/>
                <w:sz w:val="17"/>
              </w:rPr>
              <w:t xml:space="preserve"> </w:t>
            </w:r>
            <w:r>
              <w:rPr>
                <w:spacing w:val="-2"/>
                <w:sz w:val="17"/>
              </w:rPr>
              <w:t>income</w:t>
            </w:r>
          </w:p>
        </w:tc>
        <w:tc>
          <w:tcPr>
            <w:tcW w:w="1079" w:type="dxa"/>
            <w:shd w:val="clear" w:color="auto" w:fill="F1F1F1"/>
          </w:tcPr>
          <w:p w14:paraId="136DB3D9" w14:textId="77777777" w:rsidR="00AC6F3C" w:rsidRDefault="00570E88">
            <w:pPr>
              <w:pStyle w:val="TableParagraph"/>
              <w:spacing w:before="41"/>
              <w:ind w:right="28"/>
              <w:jc w:val="right"/>
              <w:rPr>
                <w:sz w:val="17"/>
              </w:rPr>
            </w:pPr>
            <w:r>
              <w:rPr>
                <w:spacing w:val="-2"/>
                <w:sz w:val="17"/>
              </w:rPr>
              <w:t>(13,506)</w:t>
            </w:r>
          </w:p>
        </w:tc>
        <w:tc>
          <w:tcPr>
            <w:tcW w:w="1051" w:type="dxa"/>
            <w:gridSpan w:val="2"/>
          </w:tcPr>
          <w:p w14:paraId="72994693" w14:textId="77777777" w:rsidR="00AC6F3C" w:rsidRDefault="00570E88">
            <w:pPr>
              <w:pStyle w:val="TableParagraph"/>
              <w:spacing w:before="41"/>
              <w:ind w:left="590"/>
              <w:rPr>
                <w:sz w:val="17"/>
              </w:rPr>
            </w:pPr>
            <w:r>
              <w:rPr>
                <w:spacing w:val="-2"/>
                <w:sz w:val="17"/>
              </w:rPr>
              <w:t>8,178</w:t>
            </w:r>
          </w:p>
        </w:tc>
        <w:tc>
          <w:tcPr>
            <w:tcW w:w="1079" w:type="dxa"/>
            <w:shd w:val="clear" w:color="auto" w:fill="F1F1F1"/>
          </w:tcPr>
          <w:p w14:paraId="7D355ED3" w14:textId="77777777" w:rsidR="00AC6F3C" w:rsidRDefault="00570E88">
            <w:pPr>
              <w:pStyle w:val="TableParagraph"/>
              <w:spacing w:before="41"/>
              <w:ind w:right="32"/>
              <w:jc w:val="right"/>
              <w:rPr>
                <w:sz w:val="17"/>
              </w:rPr>
            </w:pPr>
            <w:r>
              <w:rPr>
                <w:sz w:val="17"/>
              </w:rPr>
              <w:t>-</w:t>
            </w:r>
          </w:p>
        </w:tc>
        <w:tc>
          <w:tcPr>
            <w:tcW w:w="1057" w:type="dxa"/>
            <w:gridSpan w:val="2"/>
            <w:tcBorders>
              <w:right w:val="single" w:sz="6" w:space="0" w:color="000000"/>
            </w:tcBorders>
          </w:tcPr>
          <w:p w14:paraId="0383B460" w14:textId="77777777" w:rsidR="00AC6F3C" w:rsidRDefault="00570E88">
            <w:pPr>
              <w:pStyle w:val="TableParagraph"/>
              <w:spacing w:before="41"/>
              <w:ind w:right="17"/>
              <w:jc w:val="right"/>
              <w:rPr>
                <w:sz w:val="17"/>
              </w:rPr>
            </w:pPr>
            <w:r>
              <w:rPr>
                <w:sz w:val="17"/>
              </w:rPr>
              <w:t>-</w:t>
            </w:r>
          </w:p>
        </w:tc>
      </w:tr>
      <w:tr w:rsidR="00AC6F3C" w14:paraId="39CA7184" w14:textId="77777777">
        <w:trPr>
          <w:trHeight w:val="425"/>
        </w:trPr>
        <w:tc>
          <w:tcPr>
            <w:tcW w:w="3643" w:type="dxa"/>
            <w:tcBorders>
              <w:left w:val="single" w:sz="6" w:space="0" w:color="000000"/>
            </w:tcBorders>
          </w:tcPr>
          <w:p w14:paraId="4284ABBF" w14:textId="77777777" w:rsidR="00AC6F3C" w:rsidRDefault="00AC6F3C">
            <w:pPr>
              <w:pStyle w:val="TableParagraph"/>
              <w:spacing w:before="11"/>
              <w:rPr>
                <w:b/>
                <w:sz w:val="15"/>
              </w:rPr>
            </w:pPr>
          </w:p>
          <w:p w14:paraId="76BDA94E" w14:textId="77777777" w:rsidR="00AC6F3C" w:rsidRDefault="00570E88">
            <w:pPr>
              <w:pStyle w:val="TableParagraph"/>
              <w:ind w:left="35"/>
              <w:rPr>
                <w:b/>
                <w:sz w:val="17"/>
              </w:rPr>
            </w:pPr>
            <w:r>
              <w:rPr>
                <w:b/>
                <w:spacing w:val="-2"/>
                <w:sz w:val="17"/>
              </w:rPr>
              <w:t>Add/(less)</w:t>
            </w:r>
            <w:r>
              <w:rPr>
                <w:b/>
                <w:spacing w:val="2"/>
                <w:sz w:val="17"/>
              </w:rPr>
              <w:t xml:space="preserve"> </w:t>
            </w:r>
            <w:r>
              <w:rPr>
                <w:b/>
                <w:spacing w:val="-2"/>
                <w:sz w:val="17"/>
              </w:rPr>
              <w:t>non-cash items:</w:t>
            </w:r>
          </w:p>
        </w:tc>
        <w:tc>
          <w:tcPr>
            <w:tcW w:w="1079" w:type="dxa"/>
            <w:shd w:val="clear" w:color="auto" w:fill="F1F1F1"/>
          </w:tcPr>
          <w:p w14:paraId="65151D41" w14:textId="77777777" w:rsidR="00AC6F3C" w:rsidRDefault="00AC6F3C">
            <w:pPr>
              <w:pStyle w:val="TableParagraph"/>
              <w:rPr>
                <w:rFonts w:ascii="Times New Roman"/>
                <w:sz w:val="16"/>
              </w:rPr>
            </w:pPr>
          </w:p>
        </w:tc>
        <w:tc>
          <w:tcPr>
            <w:tcW w:w="1051" w:type="dxa"/>
            <w:gridSpan w:val="2"/>
          </w:tcPr>
          <w:p w14:paraId="761033A2" w14:textId="77777777" w:rsidR="00AC6F3C" w:rsidRDefault="00AC6F3C">
            <w:pPr>
              <w:pStyle w:val="TableParagraph"/>
              <w:rPr>
                <w:rFonts w:ascii="Times New Roman"/>
                <w:sz w:val="16"/>
              </w:rPr>
            </w:pPr>
          </w:p>
        </w:tc>
        <w:tc>
          <w:tcPr>
            <w:tcW w:w="1079" w:type="dxa"/>
            <w:shd w:val="clear" w:color="auto" w:fill="F1F1F1"/>
          </w:tcPr>
          <w:p w14:paraId="6699B2B4" w14:textId="77777777" w:rsidR="00AC6F3C" w:rsidRDefault="00AC6F3C">
            <w:pPr>
              <w:pStyle w:val="TableParagraph"/>
              <w:rPr>
                <w:rFonts w:ascii="Times New Roman"/>
                <w:sz w:val="16"/>
              </w:rPr>
            </w:pPr>
          </w:p>
        </w:tc>
        <w:tc>
          <w:tcPr>
            <w:tcW w:w="1057" w:type="dxa"/>
            <w:gridSpan w:val="2"/>
            <w:tcBorders>
              <w:right w:val="single" w:sz="6" w:space="0" w:color="000000"/>
            </w:tcBorders>
          </w:tcPr>
          <w:p w14:paraId="3169901D" w14:textId="77777777" w:rsidR="00AC6F3C" w:rsidRDefault="00AC6F3C">
            <w:pPr>
              <w:pStyle w:val="TableParagraph"/>
              <w:rPr>
                <w:rFonts w:ascii="Times New Roman"/>
                <w:sz w:val="16"/>
              </w:rPr>
            </w:pPr>
          </w:p>
        </w:tc>
      </w:tr>
      <w:tr w:rsidR="00AC6F3C" w14:paraId="57714AE8" w14:textId="77777777">
        <w:trPr>
          <w:trHeight w:val="283"/>
        </w:trPr>
        <w:tc>
          <w:tcPr>
            <w:tcW w:w="3643" w:type="dxa"/>
            <w:tcBorders>
              <w:left w:val="single" w:sz="6" w:space="0" w:color="000000"/>
            </w:tcBorders>
          </w:tcPr>
          <w:p w14:paraId="2671ABA6" w14:textId="77777777" w:rsidR="00AC6F3C" w:rsidRDefault="00570E88">
            <w:pPr>
              <w:pStyle w:val="TableParagraph"/>
              <w:spacing w:before="41"/>
              <w:ind w:left="35"/>
              <w:rPr>
                <w:sz w:val="17"/>
              </w:rPr>
            </w:pPr>
            <w:r>
              <w:rPr>
                <w:sz w:val="17"/>
              </w:rPr>
              <w:t>Depreciation</w:t>
            </w:r>
            <w:r>
              <w:rPr>
                <w:spacing w:val="16"/>
                <w:sz w:val="17"/>
              </w:rPr>
              <w:t xml:space="preserve"> </w:t>
            </w:r>
            <w:r>
              <w:rPr>
                <w:sz w:val="17"/>
              </w:rPr>
              <w:t>and</w:t>
            </w:r>
            <w:r>
              <w:rPr>
                <w:spacing w:val="17"/>
                <w:sz w:val="17"/>
              </w:rPr>
              <w:t xml:space="preserve"> </w:t>
            </w:r>
            <w:proofErr w:type="spellStart"/>
            <w:r>
              <w:rPr>
                <w:spacing w:val="-2"/>
                <w:sz w:val="17"/>
              </w:rPr>
              <w:t>amortisation</w:t>
            </w:r>
            <w:proofErr w:type="spellEnd"/>
          </w:p>
        </w:tc>
        <w:tc>
          <w:tcPr>
            <w:tcW w:w="1079" w:type="dxa"/>
            <w:shd w:val="clear" w:color="auto" w:fill="F1F1F1"/>
          </w:tcPr>
          <w:p w14:paraId="71D2B8D9" w14:textId="77777777" w:rsidR="00AC6F3C" w:rsidRDefault="00570E88">
            <w:pPr>
              <w:pStyle w:val="TableParagraph"/>
              <w:spacing w:before="41"/>
              <w:ind w:right="33"/>
              <w:jc w:val="right"/>
              <w:rPr>
                <w:sz w:val="17"/>
              </w:rPr>
            </w:pPr>
            <w:r>
              <w:rPr>
                <w:spacing w:val="-2"/>
                <w:sz w:val="17"/>
              </w:rPr>
              <w:t>1,726</w:t>
            </w:r>
          </w:p>
        </w:tc>
        <w:tc>
          <w:tcPr>
            <w:tcW w:w="1051" w:type="dxa"/>
            <w:gridSpan w:val="2"/>
          </w:tcPr>
          <w:p w14:paraId="3C0A49DA" w14:textId="77777777" w:rsidR="00AC6F3C" w:rsidRDefault="00570E88">
            <w:pPr>
              <w:pStyle w:val="TableParagraph"/>
              <w:spacing w:before="41"/>
              <w:ind w:left="589"/>
              <w:rPr>
                <w:sz w:val="17"/>
              </w:rPr>
            </w:pPr>
            <w:r>
              <w:rPr>
                <w:spacing w:val="-2"/>
                <w:sz w:val="17"/>
              </w:rPr>
              <w:t>1,603</w:t>
            </w:r>
          </w:p>
        </w:tc>
        <w:tc>
          <w:tcPr>
            <w:tcW w:w="1079" w:type="dxa"/>
            <w:shd w:val="clear" w:color="auto" w:fill="F1F1F1"/>
          </w:tcPr>
          <w:p w14:paraId="71C0151F" w14:textId="77777777" w:rsidR="00AC6F3C" w:rsidRDefault="00570E88">
            <w:pPr>
              <w:pStyle w:val="TableParagraph"/>
              <w:spacing w:before="41"/>
              <w:ind w:right="32"/>
              <w:jc w:val="right"/>
              <w:rPr>
                <w:sz w:val="17"/>
              </w:rPr>
            </w:pPr>
            <w:r>
              <w:rPr>
                <w:spacing w:val="-2"/>
                <w:sz w:val="17"/>
              </w:rPr>
              <w:t>1,475</w:t>
            </w:r>
          </w:p>
        </w:tc>
        <w:tc>
          <w:tcPr>
            <w:tcW w:w="1057" w:type="dxa"/>
            <w:gridSpan w:val="2"/>
            <w:tcBorders>
              <w:right w:val="single" w:sz="6" w:space="0" w:color="000000"/>
            </w:tcBorders>
          </w:tcPr>
          <w:p w14:paraId="70F739CC" w14:textId="77777777" w:rsidR="00AC6F3C" w:rsidRDefault="00570E88">
            <w:pPr>
              <w:pStyle w:val="TableParagraph"/>
              <w:spacing w:before="41"/>
              <w:ind w:left="590"/>
              <w:rPr>
                <w:sz w:val="17"/>
              </w:rPr>
            </w:pPr>
            <w:r>
              <w:rPr>
                <w:spacing w:val="-2"/>
                <w:sz w:val="17"/>
              </w:rPr>
              <w:t>1,359</w:t>
            </w:r>
          </w:p>
        </w:tc>
      </w:tr>
      <w:tr w:rsidR="00AC6F3C" w14:paraId="68AE4974" w14:textId="77777777">
        <w:trPr>
          <w:trHeight w:val="425"/>
        </w:trPr>
        <w:tc>
          <w:tcPr>
            <w:tcW w:w="3643" w:type="dxa"/>
            <w:tcBorders>
              <w:left w:val="single" w:sz="6" w:space="0" w:color="000000"/>
            </w:tcBorders>
          </w:tcPr>
          <w:p w14:paraId="3053939A" w14:textId="77777777" w:rsidR="00AC6F3C" w:rsidRDefault="00570E88">
            <w:pPr>
              <w:pStyle w:val="TableParagraph"/>
              <w:spacing w:before="41"/>
              <w:ind w:left="35"/>
              <w:rPr>
                <w:sz w:val="17"/>
              </w:rPr>
            </w:pPr>
            <w:r>
              <w:rPr>
                <w:sz w:val="17"/>
              </w:rPr>
              <w:t>Loss</w:t>
            </w:r>
            <w:r>
              <w:rPr>
                <w:spacing w:val="24"/>
                <w:sz w:val="17"/>
              </w:rPr>
              <w:t xml:space="preserve"> </w:t>
            </w:r>
            <w:r>
              <w:rPr>
                <w:sz w:val="17"/>
              </w:rPr>
              <w:t>on</w:t>
            </w:r>
            <w:r>
              <w:rPr>
                <w:spacing w:val="13"/>
                <w:sz w:val="17"/>
              </w:rPr>
              <w:t xml:space="preserve"> </w:t>
            </w:r>
            <w:r>
              <w:rPr>
                <w:sz w:val="17"/>
              </w:rPr>
              <w:t>disposal</w:t>
            </w:r>
            <w:r>
              <w:rPr>
                <w:spacing w:val="13"/>
                <w:sz w:val="17"/>
              </w:rPr>
              <w:t xml:space="preserve"> </w:t>
            </w:r>
            <w:r>
              <w:rPr>
                <w:sz w:val="17"/>
              </w:rPr>
              <w:t>of fixed</w:t>
            </w:r>
            <w:r>
              <w:rPr>
                <w:spacing w:val="13"/>
                <w:sz w:val="17"/>
              </w:rPr>
              <w:t xml:space="preserve"> </w:t>
            </w:r>
            <w:r>
              <w:rPr>
                <w:spacing w:val="-2"/>
                <w:sz w:val="17"/>
              </w:rPr>
              <w:t>assets</w:t>
            </w:r>
          </w:p>
        </w:tc>
        <w:tc>
          <w:tcPr>
            <w:tcW w:w="1079" w:type="dxa"/>
            <w:shd w:val="clear" w:color="auto" w:fill="F1F1F1"/>
          </w:tcPr>
          <w:p w14:paraId="11525550" w14:textId="77777777" w:rsidR="00AC6F3C" w:rsidRDefault="00570E88">
            <w:pPr>
              <w:pStyle w:val="TableParagraph"/>
              <w:spacing w:before="41"/>
              <w:ind w:right="33"/>
              <w:jc w:val="right"/>
              <w:rPr>
                <w:sz w:val="17"/>
              </w:rPr>
            </w:pPr>
            <w:r>
              <w:rPr>
                <w:spacing w:val="-2"/>
                <w:sz w:val="17"/>
              </w:rPr>
              <w:t>1,521</w:t>
            </w:r>
          </w:p>
        </w:tc>
        <w:tc>
          <w:tcPr>
            <w:tcW w:w="1051" w:type="dxa"/>
            <w:gridSpan w:val="2"/>
          </w:tcPr>
          <w:p w14:paraId="1E9F93CA" w14:textId="77777777" w:rsidR="00AC6F3C" w:rsidRDefault="00570E88">
            <w:pPr>
              <w:pStyle w:val="TableParagraph"/>
              <w:spacing w:before="41"/>
              <w:ind w:right="18"/>
              <w:jc w:val="right"/>
              <w:rPr>
                <w:sz w:val="17"/>
              </w:rPr>
            </w:pPr>
            <w:r>
              <w:rPr>
                <w:sz w:val="17"/>
              </w:rPr>
              <w:t>-</w:t>
            </w:r>
          </w:p>
        </w:tc>
        <w:tc>
          <w:tcPr>
            <w:tcW w:w="1079" w:type="dxa"/>
            <w:shd w:val="clear" w:color="auto" w:fill="F1F1F1"/>
          </w:tcPr>
          <w:p w14:paraId="6AF568EC" w14:textId="77777777" w:rsidR="00AC6F3C" w:rsidRDefault="00570E88">
            <w:pPr>
              <w:pStyle w:val="TableParagraph"/>
              <w:spacing w:before="41"/>
              <w:ind w:right="32"/>
              <w:jc w:val="right"/>
              <w:rPr>
                <w:sz w:val="17"/>
              </w:rPr>
            </w:pPr>
            <w:r>
              <w:rPr>
                <w:spacing w:val="-2"/>
                <w:sz w:val="17"/>
              </w:rPr>
              <w:t>1,521</w:t>
            </w:r>
          </w:p>
        </w:tc>
        <w:tc>
          <w:tcPr>
            <w:tcW w:w="1057" w:type="dxa"/>
            <w:gridSpan w:val="2"/>
            <w:tcBorders>
              <w:right w:val="single" w:sz="6" w:space="0" w:color="000000"/>
            </w:tcBorders>
          </w:tcPr>
          <w:p w14:paraId="63C71CF2" w14:textId="77777777" w:rsidR="00AC6F3C" w:rsidRDefault="00570E88">
            <w:pPr>
              <w:pStyle w:val="TableParagraph"/>
              <w:spacing w:before="41"/>
              <w:ind w:right="17"/>
              <w:jc w:val="right"/>
              <w:rPr>
                <w:sz w:val="17"/>
              </w:rPr>
            </w:pPr>
            <w:r>
              <w:rPr>
                <w:sz w:val="17"/>
              </w:rPr>
              <w:t>-</w:t>
            </w:r>
          </w:p>
        </w:tc>
      </w:tr>
      <w:tr w:rsidR="00AC6F3C" w14:paraId="4EDC0491" w14:textId="77777777">
        <w:trPr>
          <w:trHeight w:val="425"/>
        </w:trPr>
        <w:tc>
          <w:tcPr>
            <w:tcW w:w="3643" w:type="dxa"/>
            <w:tcBorders>
              <w:left w:val="single" w:sz="6" w:space="0" w:color="000000"/>
            </w:tcBorders>
          </w:tcPr>
          <w:p w14:paraId="0144C34E" w14:textId="77777777" w:rsidR="00AC6F3C" w:rsidRDefault="00AC6F3C">
            <w:pPr>
              <w:pStyle w:val="TableParagraph"/>
              <w:spacing w:before="11"/>
              <w:rPr>
                <w:b/>
                <w:sz w:val="15"/>
              </w:rPr>
            </w:pPr>
          </w:p>
          <w:p w14:paraId="46054AD9" w14:textId="77777777" w:rsidR="00AC6F3C" w:rsidRDefault="00570E88">
            <w:pPr>
              <w:pStyle w:val="TableParagraph"/>
              <w:ind w:left="35"/>
              <w:rPr>
                <w:b/>
                <w:sz w:val="17"/>
              </w:rPr>
            </w:pPr>
            <w:r>
              <w:rPr>
                <w:b/>
                <w:sz w:val="17"/>
              </w:rPr>
              <w:t>Change</w:t>
            </w:r>
            <w:r>
              <w:rPr>
                <w:b/>
                <w:spacing w:val="-6"/>
                <w:sz w:val="17"/>
              </w:rPr>
              <w:t xml:space="preserve"> </w:t>
            </w:r>
            <w:r>
              <w:rPr>
                <w:b/>
                <w:sz w:val="17"/>
              </w:rPr>
              <w:t>in</w:t>
            </w:r>
            <w:r>
              <w:rPr>
                <w:b/>
                <w:spacing w:val="-12"/>
                <w:sz w:val="17"/>
              </w:rPr>
              <w:t xml:space="preserve"> </w:t>
            </w:r>
            <w:r>
              <w:rPr>
                <w:b/>
                <w:sz w:val="17"/>
              </w:rPr>
              <w:t>assets</w:t>
            </w:r>
            <w:r>
              <w:rPr>
                <w:b/>
                <w:spacing w:val="-4"/>
                <w:sz w:val="17"/>
              </w:rPr>
              <w:t xml:space="preserve"> </w:t>
            </w:r>
            <w:r>
              <w:rPr>
                <w:b/>
                <w:sz w:val="17"/>
              </w:rPr>
              <w:t>and</w:t>
            </w:r>
            <w:r>
              <w:rPr>
                <w:b/>
                <w:spacing w:val="-11"/>
                <w:sz w:val="17"/>
              </w:rPr>
              <w:t xml:space="preserve"> </w:t>
            </w:r>
            <w:r>
              <w:rPr>
                <w:b/>
                <w:spacing w:val="-2"/>
                <w:sz w:val="17"/>
              </w:rPr>
              <w:t>liabilities:</w:t>
            </w:r>
          </w:p>
        </w:tc>
        <w:tc>
          <w:tcPr>
            <w:tcW w:w="1079" w:type="dxa"/>
            <w:shd w:val="clear" w:color="auto" w:fill="F1F1F1"/>
          </w:tcPr>
          <w:p w14:paraId="5415338F" w14:textId="77777777" w:rsidR="00AC6F3C" w:rsidRDefault="00AC6F3C">
            <w:pPr>
              <w:pStyle w:val="TableParagraph"/>
              <w:rPr>
                <w:rFonts w:ascii="Times New Roman"/>
                <w:sz w:val="16"/>
              </w:rPr>
            </w:pPr>
          </w:p>
        </w:tc>
        <w:tc>
          <w:tcPr>
            <w:tcW w:w="1051" w:type="dxa"/>
            <w:gridSpan w:val="2"/>
          </w:tcPr>
          <w:p w14:paraId="4C67DA40" w14:textId="77777777" w:rsidR="00AC6F3C" w:rsidRDefault="00AC6F3C">
            <w:pPr>
              <w:pStyle w:val="TableParagraph"/>
              <w:rPr>
                <w:rFonts w:ascii="Times New Roman"/>
                <w:sz w:val="16"/>
              </w:rPr>
            </w:pPr>
          </w:p>
        </w:tc>
        <w:tc>
          <w:tcPr>
            <w:tcW w:w="1079" w:type="dxa"/>
            <w:shd w:val="clear" w:color="auto" w:fill="F1F1F1"/>
          </w:tcPr>
          <w:p w14:paraId="472CB945" w14:textId="77777777" w:rsidR="00AC6F3C" w:rsidRDefault="00AC6F3C">
            <w:pPr>
              <w:pStyle w:val="TableParagraph"/>
              <w:rPr>
                <w:rFonts w:ascii="Times New Roman"/>
                <w:sz w:val="16"/>
              </w:rPr>
            </w:pPr>
          </w:p>
        </w:tc>
        <w:tc>
          <w:tcPr>
            <w:tcW w:w="1057" w:type="dxa"/>
            <w:gridSpan w:val="2"/>
            <w:tcBorders>
              <w:right w:val="single" w:sz="6" w:space="0" w:color="000000"/>
            </w:tcBorders>
          </w:tcPr>
          <w:p w14:paraId="19CC54C0" w14:textId="77777777" w:rsidR="00AC6F3C" w:rsidRDefault="00AC6F3C">
            <w:pPr>
              <w:pStyle w:val="TableParagraph"/>
              <w:rPr>
                <w:rFonts w:ascii="Times New Roman"/>
                <w:sz w:val="16"/>
              </w:rPr>
            </w:pPr>
          </w:p>
        </w:tc>
      </w:tr>
      <w:tr w:rsidR="00AC6F3C" w14:paraId="5EB125B2" w14:textId="77777777">
        <w:trPr>
          <w:trHeight w:val="283"/>
        </w:trPr>
        <w:tc>
          <w:tcPr>
            <w:tcW w:w="3643" w:type="dxa"/>
            <w:tcBorders>
              <w:left w:val="single" w:sz="6" w:space="0" w:color="000000"/>
            </w:tcBorders>
          </w:tcPr>
          <w:p w14:paraId="69A81F11" w14:textId="77777777" w:rsidR="00AC6F3C" w:rsidRDefault="00570E88">
            <w:pPr>
              <w:pStyle w:val="TableParagraph"/>
              <w:spacing w:before="41"/>
              <w:ind w:left="35"/>
              <w:rPr>
                <w:sz w:val="17"/>
              </w:rPr>
            </w:pPr>
            <w:r>
              <w:rPr>
                <w:sz w:val="17"/>
              </w:rPr>
              <w:t>(Increase)/decrease</w:t>
            </w:r>
            <w:r>
              <w:rPr>
                <w:spacing w:val="26"/>
                <w:sz w:val="17"/>
              </w:rPr>
              <w:t xml:space="preserve"> </w:t>
            </w:r>
            <w:r>
              <w:rPr>
                <w:sz w:val="17"/>
              </w:rPr>
              <w:t>in</w:t>
            </w:r>
            <w:r>
              <w:rPr>
                <w:spacing w:val="26"/>
                <w:sz w:val="17"/>
              </w:rPr>
              <w:t xml:space="preserve"> </w:t>
            </w:r>
            <w:r>
              <w:rPr>
                <w:spacing w:val="-2"/>
                <w:sz w:val="17"/>
              </w:rPr>
              <w:t>assets:</w:t>
            </w:r>
          </w:p>
        </w:tc>
        <w:tc>
          <w:tcPr>
            <w:tcW w:w="1079" w:type="dxa"/>
            <w:shd w:val="clear" w:color="auto" w:fill="F1F1F1"/>
          </w:tcPr>
          <w:p w14:paraId="71BCBAB2" w14:textId="77777777" w:rsidR="00AC6F3C" w:rsidRDefault="00AC6F3C">
            <w:pPr>
              <w:pStyle w:val="TableParagraph"/>
              <w:rPr>
                <w:rFonts w:ascii="Times New Roman"/>
                <w:sz w:val="16"/>
              </w:rPr>
            </w:pPr>
          </w:p>
        </w:tc>
        <w:tc>
          <w:tcPr>
            <w:tcW w:w="1051" w:type="dxa"/>
            <w:gridSpan w:val="2"/>
          </w:tcPr>
          <w:p w14:paraId="7053319A" w14:textId="77777777" w:rsidR="00AC6F3C" w:rsidRDefault="00AC6F3C">
            <w:pPr>
              <w:pStyle w:val="TableParagraph"/>
              <w:rPr>
                <w:rFonts w:ascii="Times New Roman"/>
                <w:sz w:val="16"/>
              </w:rPr>
            </w:pPr>
          </w:p>
        </w:tc>
        <w:tc>
          <w:tcPr>
            <w:tcW w:w="1079" w:type="dxa"/>
            <w:shd w:val="clear" w:color="auto" w:fill="F1F1F1"/>
          </w:tcPr>
          <w:p w14:paraId="42A2D35C" w14:textId="77777777" w:rsidR="00AC6F3C" w:rsidRDefault="00AC6F3C">
            <w:pPr>
              <w:pStyle w:val="TableParagraph"/>
              <w:rPr>
                <w:rFonts w:ascii="Times New Roman"/>
                <w:sz w:val="16"/>
              </w:rPr>
            </w:pPr>
          </w:p>
        </w:tc>
        <w:tc>
          <w:tcPr>
            <w:tcW w:w="1057" w:type="dxa"/>
            <w:gridSpan w:val="2"/>
            <w:tcBorders>
              <w:right w:val="single" w:sz="6" w:space="0" w:color="000000"/>
            </w:tcBorders>
          </w:tcPr>
          <w:p w14:paraId="7B935858" w14:textId="77777777" w:rsidR="00AC6F3C" w:rsidRDefault="00AC6F3C">
            <w:pPr>
              <w:pStyle w:val="TableParagraph"/>
              <w:rPr>
                <w:rFonts w:ascii="Times New Roman"/>
                <w:sz w:val="16"/>
              </w:rPr>
            </w:pPr>
          </w:p>
        </w:tc>
      </w:tr>
      <w:tr w:rsidR="00AC6F3C" w14:paraId="7DBF7541" w14:textId="77777777">
        <w:trPr>
          <w:trHeight w:val="283"/>
        </w:trPr>
        <w:tc>
          <w:tcPr>
            <w:tcW w:w="3643" w:type="dxa"/>
            <w:tcBorders>
              <w:left w:val="single" w:sz="6" w:space="0" w:color="000000"/>
            </w:tcBorders>
          </w:tcPr>
          <w:p w14:paraId="4D001613" w14:textId="77777777" w:rsidR="00AC6F3C" w:rsidRDefault="00570E88">
            <w:pPr>
              <w:pStyle w:val="TableParagraph"/>
              <w:spacing w:before="41"/>
              <w:ind w:left="35"/>
              <w:rPr>
                <w:sz w:val="17"/>
              </w:rPr>
            </w:pPr>
            <w:r>
              <w:rPr>
                <w:spacing w:val="-2"/>
                <w:sz w:val="17"/>
              </w:rPr>
              <w:t>Receivables</w:t>
            </w:r>
          </w:p>
        </w:tc>
        <w:tc>
          <w:tcPr>
            <w:tcW w:w="1079" w:type="dxa"/>
            <w:shd w:val="clear" w:color="auto" w:fill="F1F1F1"/>
          </w:tcPr>
          <w:p w14:paraId="175BACC6" w14:textId="77777777" w:rsidR="00AC6F3C" w:rsidRDefault="00570E88">
            <w:pPr>
              <w:pStyle w:val="TableParagraph"/>
              <w:spacing w:before="41"/>
              <w:ind w:right="28"/>
              <w:jc w:val="right"/>
              <w:rPr>
                <w:sz w:val="17"/>
              </w:rPr>
            </w:pPr>
            <w:r>
              <w:rPr>
                <w:spacing w:val="-2"/>
                <w:sz w:val="17"/>
              </w:rPr>
              <w:t>(1,203)</w:t>
            </w:r>
          </w:p>
        </w:tc>
        <w:tc>
          <w:tcPr>
            <w:tcW w:w="1051" w:type="dxa"/>
            <w:gridSpan w:val="2"/>
          </w:tcPr>
          <w:p w14:paraId="32FFE18D" w14:textId="77777777" w:rsidR="00AC6F3C" w:rsidRDefault="00570E88">
            <w:pPr>
              <w:pStyle w:val="TableParagraph"/>
              <w:spacing w:before="41"/>
              <w:ind w:left="618"/>
              <w:rPr>
                <w:sz w:val="17"/>
              </w:rPr>
            </w:pPr>
            <w:r>
              <w:rPr>
                <w:spacing w:val="-2"/>
                <w:sz w:val="17"/>
              </w:rPr>
              <w:t>(207)</w:t>
            </w:r>
          </w:p>
        </w:tc>
        <w:tc>
          <w:tcPr>
            <w:tcW w:w="1079" w:type="dxa"/>
            <w:shd w:val="clear" w:color="auto" w:fill="F1F1F1"/>
          </w:tcPr>
          <w:p w14:paraId="1D7CABDA" w14:textId="77777777" w:rsidR="00AC6F3C" w:rsidRDefault="00570E88">
            <w:pPr>
              <w:pStyle w:val="TableParagraph"/>
              <w:spacing w:before="41"/>
              <w:ind w:right="28"/>
              <w:jc w:val="right"/>
              <w:rPr>
                <w:sz w:val="17"/>
              </w:rPr>
            </w:pPr>
            <w:r>
              <w:rPr>
                <w:spacing w:val="-2"/>
                <w:sz w:val="17"/>
              </w:rPr>
              <w:t>(1,271)</w:t>
            </w:r>
          </w:p>
        </w:tc>
        <w:tc>
          <w:tcPr>
            <w:tcW w:w="1057" w:type="dxa"/>
            <w:gridSpan w:val="2"/>
            <w:tcBorders>
              <w:right w:val="single" w:sz="6" w:space="0" w:color="000000"/>
            </w:tcBorders>
          </w:tcPr>
          <w:p w14:paraId="52D98490" w14:textId="77777777" w:rsidR="00AC6F3C" w:rsidRDefault="00570E88">
            <w:pPr>
              <w:pStyle w:val="TableParagraph"/>
              <w:spacing w:before="41"/>
              <w:ind w:right="16"/>
              <w:jc w:val="right"/>
              <w:rPr>
                <w:sz w:val="17"/>
              </w:rPr>
            </w:pPr>
            <w:r>
              <w:rPr>
                <w:spacing w:val="-5"/>
                <w:sz w:val="17"/>
              </w:rPr>
              <w:t>338</w:t>
            </w:r>
          </w:p>
        </w:tc>
      </w:tr>
      <w:tr w:rsidR="00AC6F3C" w14:paraId="25D28CD0" w14:textId="77777777">
        <w:trPr>
          <w:trHeight w:val="425"/>
        </w:trPr>
        <w:tc>
          <w:tcPr>
            <w:tcW w:w="3643" w:type="dxa"/>
            <w:tcBorders>
              <w:left w:val="single" w:sz="6" w:space="0" w:color="000000"/>
            </w:tcBorders>
          </w:tcPr>
          <w:p w14:paraId="350242DD" w14:textId="77777777" w:rsidR="00AC6F3C" w:rsidRDefault="00570E88">
            <w:pPr>
              <w:pStyle w:val="TableParagraph"/>
              <w:spacing w:before="41"/>
              <w:ind w:left="35"/>
              <w:rPr>
                <w:sz w:val="17"/>
              </w:rPr>
            </w:pPr>
            <w:r>
              <w:rPr>
                <w:sz w:val="17"/>
              </w:rPr>
              <w:t>Movement</w:t>
            </w:r>
            <w:r>
              <w:rPr>
                <w:spacing w:val="-5"/>
                <w:sz w:val="17"/>
              </w:rPr>
              <w:t xml:space="preserve"> </w:t>
            </w:r>
            <w:r>
              <w:rPr>
                <w:sz w:val="17"/>
              </w:rPr>
              <w:t>in</w:t>
            </w:r>
            <w:r>
              <w:rPr>
                <w:spacing w:val="5"/>
                <w:sz w:val="17"/>
              </w:rPr>
              <w:t xml:space="preserve"> </w:t>
            </w:r>
            <w:r>
              <w:rPr>
                <w:sz w:val="17"/>
              </w:rPr>
              <w:t>provision</w:t>
            </w:r>
            <w:r>
              <w:rPr>
                <w:spacing w:val="5"/>
                <w:sz w:val="17"/>
              </w:rPr>
              <w:t xml:space="preserve"> </w:t>
            </w:r>
            <w:r>
              <w:rPr>
                <w:sz w:val="17"/>
              </w:rPr>
              <w:t>for</w:t>
            </w:r>
            <w:r>
              <w:rPr>
                <w:spacing w:val="1"/>
                <w:sz w:val="17"/>
              </w:rPr>
              <w:t xml:space="preserve"> </w:t>
            </w:r>
            <w:r>
              <w:rPr>
                <w:sz w:val="17"/>
              </w:rPr>
              <w:t>bad</w:t>
            </w:r>
            <w:r>
              <w:rPr>
                <w:spacing w:val="6"/>
                <w:sz w:val="17"/>
              </w:rPr>
              <w:t xml:space="preserve"> </w:t>
            </w:r>
            <w:r>
              <w:rPr>
                <w:spacing w:val="-2"/>
                <w:sz w:val="17"/>
              </w:rPr>
              <w:t>debts</w:t>
            </w:r>
          </w:p>
        </w:tc>
        <w:tc>
          <w:tcPr>
            <w:tcW w:w="1079" w:type="dxa"/>
            <w:shd w:val="clear" w:color="auto" w:fill="F1F1F1"/>
          </w:tcPr>
          <w:p w14:paraId="32CBE2B1" w14:textId="77777777" w:rsidR="00AC6F3C" w:rsidRDefault="00570E88">
            <w:pPr>
              <w:pStyle w:val="TableParagraph"/>
              <w:spacing w:before="41"/>
              <w:ind w:right="33"/>
              <w:jc w:val="right"/>
              <w:rPr>
                <w:sz w:val="17"/>
              </w:rPr>
            </w:pPr>
            <w:r>
              <w:rPr>
                <w:spacing w:val="-5"/>
                <w:sz w:val="17"/>
              </w:rPr>
              <w:t>42</w:t>
            </w:r>
          </w:p>
        </w:tc>
        <w:tc>
          <w:tcPr>
            <w:tcW w:w="1051" w:type="dxa"/>
            <w:gridSpan w:val="2"/>
          </w:tcPr>
          <w:p w14:paraId="52C461F0" w14:textId="77777777" w:rsidR="00AC6F3C" w:rsidRDefault="00570E88">
            <w:pPr>
              <w:pStyle w:val="TableParagraph"/>
              <w:spacing w:before="41"/>
              <w:ind w:right="14"/>
              <w:jc w:val="right"/>
              <w:rPr>
                <w:sz w:val="17"/>
              </w:rPr>
            </w:pPr>
            <w:r>
              <w:rPr>
                <w:spacing w:val="-4"/>
                <w:sz w:val="17"/>
              </w:rPr>
              <w:t>(34)</w:t>
            </w:r>
          </w:p>
        </w:tc>
        <w:tc>
          <w:tcPr>
            <w:tcW w:w="1079" w:type="dxa"/>
            <w:shd w:val="clear" w:color="auto" w:fill="F1F1F1"/>
          </w:tcPr>
          <w:p w14:paraId="52EE1285" w14:textId="77777777" w:rsidR="00AC6F3C" w:rsidRDefault="00570E88">
            <w:pPr>
              <w:pStyle w:val="TableParagraph"/>
              <w:spacing w:before="41"/>
              <w:ind w:right="32"/>
              <w:jc w:val="right"/>
              <w:rPr>
                <w:sz w:val="17"/>
              </w:rPr>
            </w:pPr>
            <w:r>
              <w:rPr>
                <w:spacing w:val="-5"/>
                <w:sz w:val="17"/>
              </w:rPr>
              <w:t>47</w:t>
            </w:r>
          </w:p>
        </w:tc>
        <w:tc>
          <w:tcPr>
            <w:tcW w:w="1057" w:type="dxa"/>
            <w:gridSpan w:val="2"/>
            <w:tcBorders>
              <w:right w:val="single" w:sz="6" w:space="0" w:color="000000"/>
            </w:tcBorders>
          </w:tcPr>
          <w:p w14:paraId="12496C75" w14:textId="77777777" w:rsidR="00AC6F3C" w:rsidRDefault="00570E88">
            <w:pPr>
              <w:pStyle w:val="TableParagraph"/>
              <w:spacing w:before="41"/>
              <w:ind w:right="17"/>
              <w:jc w:val="right"/>
              <w:rPr>
                <w:sz w:val="17"/>
              </w:rPr>
            </w:pPr>
            <w:r>
              <w:rPr>
                <w:sz w:val="17"/>
              </w:rPr>
              <w:t>-</w:t>
            </w:r>
          </w:p>
        </w:tc>
      </w:tr>
      <w:tr w:rsidR="00AC6F3C" w14:paraId="1AC0429F" w14:textId="77777777">
        <w:trPr>
          <w:trHeight w:val="425"/>
        </w:trPr>
        <w:tc>
          <w:tcPr>
            <w:tcW w:w="3643" w:type="dxa"/>
            <w:tcBorders>
              <w:left w:val="single" w:sz="6" w:space="0" w:color="000000"/>
            </w:tcBorders>
          </w:tcPr>
          <w:p w14:paraId="1970C5E8" w14:textId="77777777" w:rsidR="00AC6F3C" w:rsidRDefault="00AC6F3C">
            <w:pPr>
              <w:pStyle w:val="TableParagraph"/>
              <w:spacing w:before="11"/>
              <w:rPr>
                <w:b/>
                <w:sz w:val="15"/>
              </w:rPr>
            </w:pPr>
          </w:p>
          <w:p w14:paraId="16650D8E" w14:textId="77777777" w:rsidR="00AC6F3C" w:rsidRDefault="00570E88">
            <w:pPr>
              <w:pStyle w:val="TableParagraph"/>
              <w:ind w:left="35"/>
              <w:rPr>
                <w:b/>
                <w:sz w:val="17"/>
              </w:rPr>
            </w:pPr>
            <w:r>
              <w:rPr>
                <w:b/>
                <w:sz w:val="17"/>
              </w:rPr>
              <w:t>Increase/(decrease)</w:t>
            </w:r>
            <w:r>
              <w:rPr>
                <w:b/>
                <w:spacing w:val="9"/>
                <w:sz w:val="17"/>
              </w:rPr>
              <w:t xml:space="preserve"> </w:t>
            </w:r>
            <w:r>
              <w:rPr>
                <w:b/>
                <w:sz w:val="17"/>
              </w:rPr>
              <w:t>in</w:t>
            </w:r>
            <w:r>
              <w:rPr>
                <w:b/>
                <w:spacing w:val="3"/>
                <w:sz w:val="17"/>
              </w:rPr>
              <w:t xml:space="preserve"> </w:t>
            </w:r>
            <w:r>
              <w:rPr>
                <w:b/>
                <w:spacing w:val="-2"/>
                <w:sz w:val="17"/>
              </w:rPr>
              <w:t>liabilities:</w:t>
            </w:r>
          </w:p>
        </w:tc>
        <w:tc>
          <w:tcPr>
            <w:tcW w:w="1079" w:type="dxa"/>
            <w:shd w:val="clear" w:color="auto" w:fill="F1F1F1"/>
          </w:tcPr>
          <w:p w14:paraId="3DC5C3DF" w14:textId="77777777" w:rsidR="00AC6F3C" w:rsidRDefault="00AC6F3C">
            <w:pPr>
              <w:pStyle w:val="TableParagraph"/>
              <w:rPr>
                <w:rFonts w:ascii="Times New Roman"/>
                <w:sz w:val="16"/>
              </w:rPr>
            </w:pPr>
          </w:p>
        </w:tc>
        <w:tc>
          <w:tcPr>
            <w:tcW w:w="1051" w:type="dxa"/>
            <w:gridSpan w:val="2"/>
          </w:tcPr>
          <w:p w14:paraId="66F82032" w14:textId="77777777" w:rsidR="00AC6F3C" w:rsidRDefault="00AC6F3C">
            <w:pPr>
              <w:pStyle w:val="TableParagraph"/>
              <w:rPr>
                <w:rFonts w:ascii="Times New Roman"/>
                <w:sz w:val="16"/>
              </w:rPr>
            </w:pPr>
          </w:p>
        </w:tc>
        <w:tc>
          <w:tcPr>
            <w:tcW w:w="1079" w:type="dxa"/>
            <w:shd w:val="clear" w:color="auto" w:fill="F1F1F1"/>
          </w:tcPr>
          <w:p w14:paraId="57F8045D" w14:textId="77777777" w:rsidR="00AC6F3C" w:rsidRDefault="00AC6F3C">
            <w:pPr>
              <w:pStyle w:val="TableParagraph"/>
              <w:rPr>
                <w:rFonts w:ascii="Times New Roman"/>
                <w:sz w:val="16"/>
              </w:rPr>
            </w:pPr>
          </w:p>
        </w:tc>
        <w:tc>
          <w:tcPr>
            <w:tcW w:w="1057" w:type="dxa"/>
            <w:gridSpan w:val="2"/>
            <w:tcBorders>
              <w:right w:val="single" w:sz="6" w:space="0" w:color="000000"/>
            </w:tcBorders>
          </w:tcPr>
          <w:p w14:paraId="60CC5AB2" w14:textId="77777777" w:rsidR="00AC6F3C" w:rsidRDefault="00AC6F3C">
            <w:pPr>
              <w:pStyle w:val="TableParagraph"/>
              <w:rPr>
                <w:rFonts w:ascii="Times New Roman"/>
                <w:sz w:val="16"/>
              </w:rPr>
            </w:pPr>
          </w:p>
        </w:tc>
      </w:tr>
      <w:tr w:rsidR="00AC6F3C" w14:paraId="0577B1B3" w14:textId="77777777">
        <w:trPr>
          <w:trHeight w:val="283"/>
        </w:trPr>
        <w:tc>
          <w:tcPr>
            <w:tcW w:w="3643" w:type="dxa"/>
            <w:tcBorders>
              <w:left w:val="single" w:sz="6" w:space="0" w:color="000000"/>
            </w:tcBorders>
          </w:tcPr>
          <w:p w14:paraId="5CC88D13" w14:textId="77777777" w:rsidR="00AC6F3C" w:rsidRDefault="00570E88">
            <w:pPr>
              <w:pStyle w:val="TableParagraph"/>
              <w:spacing w:before="41"/>
              <w:ind w:left="35"/>
              <w:rPr>
                <w:sz w:val="17"/>
              </w:rPr>
            </w:pPr>
            <w:r>
              <w:rPr>
                <w:spacing w:val="-2"/>
                <w:sz w:val="17"/>
              </w:rPr>
              <w:t>Payables</w:t>
            </w:r>
          </w:p>
        </w:tc>
        <w:tc>
          <w:tcPr>
            <w:tcW w:w="1079" w:type="dxa"/>
            <w:shd w:val="clear" w:color="auto" w:fill="F1F1F1"/>
          </w:tcPr>
          <w:p w14:paraId="14D8FE67" w14:textId="77777777" w:rsidR="00AC6F3C" w:rsidRDefault="00570E88">
            <w:pPr>
              <w:pStyle w:val="TableParagraph"/>
              <w:spacing w:before="41"/>
              <w:ind w:right="33"/>
              <w:jc w:val="right"/>
              <w:rPr>
                <w:sz w:val="17"/>
              </w:rPr>
            </w:pPr>
            <w:r>
              <w:rPr>
                <w:spacing w:val="-2"/>
                <w:sz w:val="17"/>
              </w:rPr>
              <w:t>1,399</w:t>
            </w:r>
          </w:p>
        </w:tc>
        <w:tc>
          <w:tcPr>
            <w:tcW w:w="1051" w:type="dxa"/>
            <w:gridSpan w:val="2"/>
          </w:tcPr>
          <w:p w14:paraId="63A4697E" w14:textId="77777777" w:rsidR="00AC6F3C" w:rsidRDefault="00570E88">
            <w:pPr>
              <w:pStyle w:val="TableParagraph"/>
              <w:spacing w:before="41"/>
              <w:ind w:left="589"/>
              <w:rPr>
                <w:sz w:val="17"/>
              </w:rPr>
            </w:pPr>
            <w:r>
              <w:rPr>
                <w:spacing w:val="-2"/>
                <w:sz w:val="17"/>
              </w:rPr>
              <w:t>6,109</w:t>
            </w:r>
          </w:p>
        </w:tc>
        <w:tc>
          <w:tcPr>
            <w:tcW w:w="1079" w:type="dxa"/>
            <w:shd w:val="clear" w:color="auto" w:fill="F1F1F1"/>
          </w:tcPr>
          <w:p w14:paraId="356FE9D4" w14:textId="77777777" w:rsidR="00AC6F3C" w:rsidRDefault="00570E88">
            <w:pPr>
              <w:pStyle w:val="TableParagraph"/>
              <w:spacing w:before="41"/>
              <w:ind w:right="32"/>
              <w:jc w:val="right"/>
              <w:rPr>
                <w:sz w:val="17"/>
              </w:rPr>
            </w:pPr>
            <w:r>
              <w:rPr>
                <w:spacing w:val="-2"/>
                <w:sz w:val="17"/>
              </w:rPr>
              <w:t>4,044</w:t>
            </w:r>
          </w:p>
        </w:tc>
        <w:tc>
          <w:tcPr>
            <w:tcW w:w="1057" w:type="dxa"/>
            <w:gridSpan w:val="2"/>
            <w:tcBorders>
              <w:right w:val="single" w:sz="6" w:space="0" w:color="000000"/>
            </w:tcBorders>
          </w:tcPr>
          <w:p w14:paraId="216A48CD" w14:textId="77777777" w:rsidR="00AC6F3C" w:rsidRDefault="00570E88">
            <w:pPr>
              <w:pStyle w:val="TableParagraph"/>
              <w:spacing w:before="41"/>
              <w:ind w:left="491"/>
              <w:rPr>
                <w:sz w:val="17"/>
              </w:rPr>
            </w:pPr>
            <w:r>
              <w:rPr>
                <w:spacing w:val="-2"/>
                <w:sz w:val="17"/>
              </w:rPr>
              <w:t>25,674</w:t>
            </w:r>
          </w:p>
        </w:tc>
      </w:tr>
      <w:tr w:rsidR="00AC6F3C" w14:paraId="3D22E84C" w14:textId="77777777">
        <w:trPr>
          <w:trHeight w:val="283"/>
        </w:trPr>
        <w:tc>
          <w:tcPr>
            <w:tcW w:w="3643" w:type="dxa"/>
            <w:tcBorders>
              <w:left w:val="single" w:sz="6" w:space="0" w:color="000000"/>
            </w:tcBorders>
          </w:tcPr>
          <w:p w14:paraId="5BE8CF9B" w14:textId="77777777" w:rsidR="00AC6F3C" w:rsidRDefault="00570E88">
            <w:pPr>
              <w:pStyle w:val="TableParagraph"/>
              <w:spacing w:before="41"/>
              <w:ind w:left="35"/>
              <w:rPr>
                <w:sz w:val="17"/>
              </w:rPr>
            </w:pPr>
            <w:r>
              <w:rPr>
                <w:sz w:val="17"/>
              </w:rPr>
              <w:t>Accrued</w:t>
            </w:r>
            <w:r>
              <w:rPr>
                <w:spacing w:val="5"/>
                <w:sz w:val="17"/>
              </w:rPr>
              <w:t xml:space="preserve"> </w:t>
            </w:r>
            <w:r>
              <w:rPr>
                <w:sz w:val="17"/>
              </w:rPr>
              <w:t>employee</w:t>
            </w:r>
            <w:r>
              <w:rPr>
                <w:spacing w:val="5"/>
                <w:sz w:val="17"/>
              </w:rPr>
              <w:t xml:space="preserve"> </w:t>
            </w:r>
            <w:r>
              <w:rPr>
                <w:spacing w:val="-2"/>
                <w:sz w:val="17"/>
              </w:rPr>
              <w:t>benefits</w:t>
            </w:r>
          </w:p>
        </w:tc>
        <w:tc>
          <w:tcPr>
            <w:tcW w:w="1079" w:type="dxa"/>
            <w:shd w:val="clear" w:color="auto" w:fill="F1F1F1"/>
          </w:tcPr>
          <w:p w14:paraId="0D715443" w14:textId="77777777" w:rsidR="00AC6F3C" w:rsidRDefault="00570E88">
            <w:pPr>
              <w:pStyle w:val="TableParagraph"/>
              <w:spacing w:before="41"/>
              <w:ind w:right="33"/>
              <w:jc w:val="right"/>
              <w:rPr>
                <w:sz w:val="17"/>
              </w:rPr>
            </w:pPr>
            <w:r>
              <w:rPr>
                <w:spacing w:val="-5"/>
                <w:sz w:val="17"/>
              </w:rPr>
              <w:t>113</w:t>
            </w:r>
          </w:p>
        </w:tc>
        <w:tc>
          <w:tcPr>
            <w:tcW w:w="1051" w:type="dxa"/>
            <w:gridSpan w:val="2"/>
          </w:tcPr>
          <w:p w14:paraId="4FBA57D8" w14:textId="77777777" w:rsidR="00AC6F3C" w:rsidRDefault="00570E88">
            <w:pPr>
              <w:pStyle w:val="TableParagraph"/>
              <w:spacing w:before="41"/>
              <w:ind w:right="19"/>
              <w:jc w:val="right"/>
              <w:rPr>
                <w:sz w:val="17"/>
              </w:rPr>
            </w:pPr>
            <w:r>
              <w:rPr>
                <w:spacing w:val="-5"/>
                <w:sz w:val="17"/>
              </w:rPr>
              <w:t>202</w:t>
            </w:r>
          </w:p>
        </w:tc>
        <w:tc>
          <w:tcPr>
            <w:tcW w:w="1079" w:type="dxa"/>
            <w:shd w:val="clear" w:color="auto" w:fill="F1F1F1"/>
          </w:tcPr>
          <w:p w14:paraId="3AC8DA94" w14:textId="77777777" w:rsidR="00AC6F3C" w:rsidRDefault="00570E88">
            <w:pPr>
              <w:pStyle w:val="TableParagraph"/>
              <w:spacing w:before="41"/>
              <w:ind w:right="32"/>
              <w:jc w:val="right"/>
              <w:rPr>
                <w:sz w:val="17"/>
              </w:rPr>
            </w:pPr>
            <w:r>
              <w:rPr>
                <w:spacing w:val="-5"/>
                <w:sz w:val="17"/>
              </w:rPr>
              <w:t>12</w:t>
            </w:r>
          </w:p>
        </w:tc>
        <w:tc>
          <w:tcPr>
            <w:tcW w:w="1057" w:type="dxa"/>
            <w:gridSpan w:val="2"/>
            <w:tcBorders>
              <w:right w:val="single" w:sz="6" w:space="0" w:color="000000"/>
            </w:tcBorders>
          </w:tcPr>
          <w:p w14:paraId="467622D4" w14:textId="77777777" w:rsidR="00AC6F3C" w:rsidRDefault="00570E88">
            <w:pPr>
              <w:pStyle w:val="TableParagraph"/>
              <w:spacing w:before="41"/>
              <w:ind w:right="17"/>
              <w:jc w:val="right"/>
              <w:rPr>
                <w:sz w:val="17"/>
              </w:rPr>
            </w:pPr>
            <w:r>
              <w:rPr>
                <w:spacing w:val="-5"/>
                <w:sz w:val="17"/>
              </w:rPr>
              <w:t>121</w:t>
            </w:r>
          </w:p>
        </w:tc>
      </w:tr>
      <w:tr w:rsidR="00AC6F3C" w14:paraId="1B4C6393" w14:textId="77777777">
        <w:trPr>
          <w:trHeight w:val="283"/>
        </w:trPr>
        <w:tc>
          <w:tcPr>
            <w:tcW w:w="3643" w:type="dxa"/>
            <w:tcBorders>
              <w:left w:val="single" w:sz="6" w:space="0" w:color="000000"/>
            </w:tcBorders>
          </w:tcPr>
          <w:p w14:paraId="7F3677CF" w14:textId="77777777" w:rsidR="00AC6F3C" w:rsidRDefault="00570E88">
            <w:pPr>
              <w:pStyle w:val="TableParagraph"/>
              <w:spacing w:before="41"/>
              <w:ind w:left="35"/>
              <w:rPr>
                <w:sz w:val="17"/>
              </w:rPr>
            </w:pPr>
            <w:r>
              <w:rPr>
                <w:sz w:val="17"/>
              </w:rPr>
              <w:t>Provision</w:t>
            </w:r>
            <w:r>
              <w:rPr>
                <w:spacing w:val="14"/>
                <w:sz w:val="17"/>
              </w:rPr>
              <w:t xml:space="preserve"> </w:t>
            </w:r>
            <w:r>
              <w:rPr>
                <w:sz w:val="17"/>
              </w:rPr>
              <w:t>for</w:t>
            </w:r>
            <w:r>
              <w:rPr>
                <w:spacing w:val="9"/>
                <w:sz w:val="17"/>
              </w:rPr>
              <w:t xml:space="preserve"> </w:t>
            </w:r>
            <w:r>
              <w:rPr>
                <w:sz w:val="17"/>
              </w:rPr>
              <w:t>outstanding</w:t>
            </w:r>
            <w:r>
              <w:rPr>
                <w:spacing w:val="15"/>
                <w:sz w:val="17"/>
              </w:rPr>
              <w:t xml:space="preserve"> </w:t>
            </w:r>
            <w:r>
              <w:rPr>
                <w:spacing w:val="-2"/>
                <w:sz w:val="17"/>
              </w:rPr>
              <w:t>claims</w:t>
            </w:r>
          </w:p>
        </w:tc>
        <w:tc>
          <w:tcPr>
            <w:tcW w:w="1079" w:type="dxa"/>
            <w:shd w:val="clear" w:color="auto" w:fill="F1F1F1"/>
          </w:tcPr>
          <w:p w14:paraId="679F35FC" w14:textId="77777777" w:rsidR="00AC6F3C" w:rsidRDefault="00570E88">
            <w:pPr>
              <w:pStyle w:val="TableParagraph"/>
              <w:spacing w:before="41"/>
              <w:ind w:right="33"/>
              <w:jc w:val="right"/>
              <w:rPr>
                <w:sz w:val="17"/>
              </w:rPr>
            </w:pPr>
            <w:r>
              <w:rPr>
                <w:spacing w:val="-2"/>
                <w:sz w:val="17"/>
              </w:rPr>
              <w:t>3,332</w:t>
            </w:r>
          </w:p>
        </w:tc>
        <w:tc>
          <w:tcPr>
            <w:tcW w:w="1051" w:type="dxa"/>
            <w:gridSpan w:val="2"/>
          </w:tcPr>
          <w:p w14:paraId="61E6F310" w14:textId="77777777" w:rsidR="00AC6F3C" w:rsidRDefault="00570E88">
            <w:pPr>
              <w:pStyle w:val="TableParagraph"/>
              <w:spacing w:before="41"/>
              <w:ind w:left="376"/>
              <w:rPr>
                <w:sz w:val="17"/>
              </w:rPr>
            </w:pPr>
            <w:r>
              <w:rPr>
                <w:spacing w:val="-2"/>
                <w:sz w:val="17"/>
              </w:rPr>
              <w:t>(13,975)</w:t>
            </w:r>
          </w:p>
        </w:tc>
        <w:tc>
          <w:tcPr>
            <w:tcW w:w="1079" w:type="dxa"/>
            <w:shd w:val="clear" w:color="auto" w:fill="F1F1F1"/>
          </w:tcPr>
          <w:p w14:paraId="7407A9F1" w14:textId="77777777" w:rsidR="00AC6F3C" w:rsidRDefault="00570E88">
            <w:pPr>
              <w:pStyle w:val="TableParagraph"/>
              <w:spacing w:before="41"/>
              <w:ind w:right="32"/>
              <w:jc w:val="right"/>
              <w:rPr>
                <w:sz w:val="17"/>
              </w:rPr>
            </w:pPr>
            <w:r>
              <w:rPr>
                <w:sz w:val="17"/>
              </w:rPr>
              <w:t>-</w:t>
            </w:r>
          </w:p>
        </w:tc>
        <w:tc>
          <w:tcPr>
            <w:tcW w:w="1057" w:type="dxa"/>
            <w:gridSpan w:val="2"/>
            <w:tcBorders>
              <w:right w:val="single" w:sz="6" w:space="0" w:color="000000"/>
            </w:tcBorders>
          </w:tcPr>
          <w:p w14:paraId="650F696D" w14:textId="77777777" w:rsidR="00AC6F3C" w:rsidRDefault="00570E88">
            <w:pPr>
              <w:pStyle w:val="TableParagraph"/>
              <w:spacing w:before="41"/>
              <w:ind w:right="17"/>
              <w:jc w:val="right"/>
              <w:rPr>
                <w:sz w:val="17"/>
              </w:rPr>
            </w:pPr>
            <w:r>
              <w:rPr>
                <w:sz w:val="17"/>
              </w:rPr>
              <w:t>-</w:t>
            </w:r>
          </w:p>
        </w:tc>
      </w:tr>
      <w:tr w:rsidR="00AC6F3C" w14:paraId="1774C642" w14:textId="77777777">
        <w:trPr>
          <w:trHeight w:val="271"/>
        </w:trPr>
        <w:tc>
          <w:tcPr>
            <w:tcW w:w="3643" w:type="dxa"/>
            <w:tcBorders>
              <w:left w:val="single" w:sz="6" w:space="0" w:color="000000"/>
              <w:bottom w:val="single" w:sz="6" w:space="0" w:color="000000"/>
            </w:tcBorders>
          </w:tcPr>
          <w:p w14:paraId="5C94C43C" w14:textId="77777777" w:rsidR="00AC6F3C" w:rsidRDefault="00570E88">
            <w:pPr>
              <w:pStyle w:val="TableParagraph"/>
              <w:spacing w:before="41"/>
              <w:ind w:left="35"/>
              <w:rPr>
                <w:sz w:val="17"/>
              </w:rPr>
            </w:pPr>
            <w:r>
              <w:rPr>
                <w:sz w:val="17"/>
              </w:rPr>
              <w:t>Tax</w:t>
            </w:r>
            <w:r>
              <w:rPr>
                <w:spacing w:val="-16"/>
                <w:sz w:val="17"/>
              </w:rPr>
              <w:t xml:space="preserve"> </w:t>
            </w:r>
            <w:r>
              <w:rPr>
                <w:sz w:val="17"/>
              </w:rPr>
              <w:t>related</w:t>
            </w:r>
            <w:r>
              <w:rPr>
                <w:spacing w:val="6"/>
                <w:sz w:val="17"/>
              </w:rPr>
              <w:t xml:space="preserve"> </w:t>
            </w:r>
            <w:r>
              <w:rPr>
                <w:spacing w:val="-2"/>
                <w:sz w:val="17"/>
              </w:rPr>
              <w:t>balances</w:t>
            </w:r>
          </w:p>
        </w:tc>
        <w:tc>
          <w:tcPr>
            <w:tcW w:w="1079" w:type="dxa"/>
            <w:tcBorders>
              <w:bottom w:val="single" w:sz="6" w:space="0" w:color="000000"/>
            </w:tcBorders>
            <w:shd w:val="clear" w:color="auto" w:fill="F1F1F1"/>
          </w:tcPr>
          <w:p w14:paraId="523916B9" w14:textId="77777777" w:rsidR="00AC6F3C" w:rsidRDefault="00570E88">
            <w:pPr>
              <w:pStyle w:val="TableParagraph"/>
              <w:spacing w:before="41"/>
              <w:ind w:right="28"/>
              <w:jc w:val="right"/>
              <w:rPr>
                <w:sz w:val="17"/>
              </w:rPr>
            </w:pPr>
            <w:r>
              <w:rPr>
                <w:spacing w:val="-2"/>
                <w:sz w:val="17"/>
              </w:rPr>
              <w:t>(424)</w:t>
            </w:r>
          </w:p>
        </w:tc>
        <w:tc>
          <w:tcPr>
            <w:tcW w:w="1051" w:type="dxa"/>
            <w:gridSpan w:val="2"/>
            <w:tcBorders>
              <w:bottom w:val="single" w:sz="6" w:space="0" w:color="000000"/>
            </w:tcBorders>
          </w:tcPr>
          <w:p w14:paraId="7329AABE" w14:textId="77777777" w:rsidR="00AC6F3C" w:rsidRDefault="00570E88">
            <w:pPr>
              <w:pStyle w:val="TableParagraph"/>
              <w:spacing w:before="41"/>
              <w:ind w:right="19"/>
              <w:jc w:val="right"/>
              <w:rPr>
                <w:sz w:val="17"/>
              </w:rPr>
            </w:pPr>
            <w:r>
              <w:rPr>
                <w:spacing w:val="-5"/>
                <w:sz w:val="17"/>
              </w:rPr>
              <w:t>66</w:t>
            </w:r>
          </w:p>
        </w:tc>
        <w:tc>
          <w:tcPr>
            <w:tcW w:w="1079" w:type="dxa"/>
            <w:tcBorders>
              <w:bottom w:val="single" w:sz="6" w:space="0" w:color="000000"/>
            </w:tcBorders>
            <w:shd w:val="clear" w:color="auto" w:fill="F1F1F1"/>
          </w:tcPr>
          <w:p w14:paraId="20883EAD" w14:textId="77777777" w:rsidR="00AC6F3C" w:rsidRDefault="00570E88">
            <w:pPr>
              <w:pStyle w:val="TableParagraph"/>
              <w:spacing w:before="41"/>
              <w:ind w:right="32"/>
              <w:jc w:val="right"/>
              <w:rPr>
                <w:sz w:val="17"/>
              </w:rPr>
            </w:pPr>
            <w:r>
              <w:rPr>
                <w:sz w:val="17"/>
              </w:rPr>
              <w:t>-</w:t>
            </w:r>
          </w:p>
        </w:tc>
        <w:tc>
          <w:tcPr>
            <w:tcW w:w="1057" w:type="dxa"/>
            <w:gridSpan w:val="2"/>
            <w:tcBorders>
              <w:bottom w:val="single" w:sz="6" w:space="0" w:color="000000"/>
              <w:right w:val="single" w:sz="6" w:space="0" w:color="000000"/>
            </w:tcBorders>
          </w:tcPr>
          <w:p w14:paraId="25D92BDF" w14:textId="77777777" w:rsidR="00AC6F3C" w:rsidRDefault="00570E88">
            <w:pPr>
              <w:pStyle w:val="TableParagraph"/>
              <w:spacing w:before="41"/>
              <w:ind w:right="17"/>
              <w:jc w:val="right"/>
              <w:rPr>
                <w:sz w:val="17"/>
              </w:rPr>
            </w:pPr>
            <w:r>
              <w:rPr>
                <w:sz w:val="17"/>
              </w:rPr>
              <w:t>-</w:t>
            </w:r>
          </w:p>
        </w:tc>
      </w:tr>
      <w:tr w:rsidR="00AC6F3C" w14:paraId="6BEBE245" w14:textId="77777777">
        <w:trPr>
          <w:trHeight w:val="439"/>
        </w:trPr>
        <w:tc>
          <w:tcPr>
            <w:tcW w:w="3643" w:type="dxa"/>
            <w:tcBorders>
              <w:top w:val="single" w:sz="6" w:space="0" w:color="000000"/>
              <w:left w:val="single" w:sz="6" w:space="0" w:color="000000"/>
              <w:bottom w:val="single" w:sz="6" w:space="0" w:color="000000"/>
            </w:tcBorders>
            <w:shd w:val="clear" w:color="auto" w:fill="BEBEBE"/>
          </w:tcPr>
          <w:p w14:paraId="75E686F3" w14:textId="77777777" w:rsidR="00AC6F3C" w:rsidRDefault="00570E88">
            <w:pPr>
              <w:pStyle w:val="TableParagraph"/>
              <w:spacing w:before="10"/>
              <w:ind w:left="35"/>
              <w:rPr>
                <w:b/>
                <w:sz w:val="17"/>
              </w:rPr>
            </w:pPr>
            <w:r>
              <w:rPr>
                <w:b/>
                <w:sz w:val="17"/>
              </w:rPr>
              <w:t>Net</w:t>
            </w:r>
            <w:r>
              <w:rPr>
                <w:b/>
                <w:spacing w:val="-5"/>
                <w:sz w:val="17"/>
              </w:rPr>
              <w:t xml:space="preserve"> </w:t>
            </w:r>
            <w:r>
              <w:rPr>
                <w:b/>
                <w:sz w:val="17"/>
              </w:rPr>
              <w:t>cash</w:t>
            </w:r>
            <w:r>
              <w:rPr>
                <w:b/>
                <w:spacing w:val="-9"/>
                <w:sz w:val="17"/>
              </w:rPr>
              <w:t xml:space="preserve"> </w:t>
            </w:r>
            <w:r>
              <w:rPr>
                <w:b/>
                <w:sz w:val="17"/>
              </w:rPr>
              <w:t>(used</w:t>
            </w:r>
            <w:r>
              <w:rPr>
                <w:b/>
                <w:spacing w:val="-10"/>
                <w:sz w:val="17"/>
              </w:rPr>
              <w:t xml:space="preserve"> </w:t>
            </w:r>
            <w:r>
              <w:rPr>
                <w:b/>
                <w:sz w:val="17"/>
              </w:rPr>
              <w:t>in)/generated</w:t>
            </w:r>
            <w:r>
              <w:rPr>
                <w:b/>
                <w:spacing w:val="-9"/>
                <w:sz w:val="17"/>
              </w:rPr>
              <w:t xml:space="preserve"> </w:t>
            </w:r>
            <w:r>
              <w:rPr>
                <w:b/>
                <w:sz w:val="17"/>
              </w:rPr>
              <w:t>from</w:t>
            </w:r>
            <w:r>
              <w:rPr>
                <w:b/>
                <w:spacing w:val="1"/>
                <w:sz w:val="17"/>
              </w:rPr>
              <w:t xml:space="preserve"> </w:t>
            </w:r>
            <w:r>
              <w:rPr>
                <w:b/>
                <w:spacing w:val="-2"/>
                <w:sz w:val="17"/>
              </w:rPr>
              <w:t>operating</w:t>
            </w:r>
          </w:p>
          <w:p w14:paraId="27D4023A" w14:textId="77777777" w:rsidR="00AC6F3C" w:rsidRDefault="00570E88">
            <w:pPr>
              <w:pStyle w:val="TableParagraph"/>
              <w:spacing w:before="32" w:line="182" w:lineRule="exact"/>
              <w:ind w:left="35"/>
              <w:rPr>
                <w:b/>
                <w:sz w:val="17"/>
              </w:rPr>
            </w:pPr>
            <w:r>
              <w:rPr>
                <w:b/>
                <w:spacing w:val="-2"/>
                <w:sz w:val="17"/>
              </w:rPr>
              <w:t>activities</w:t>
            </w:r>
          </w:p>
        </w:tc>
        <w:tc>
          <w:tcPr>
            <w:tcW w:w="1628" w:type="dxa"/>
            <w:gridSpan w:val="2"/>
            <w:tcBorders>
              <w:top w:val="single" w:sz="6" w:space="0" w:color="000000"/>
              <w:bottom w:val="single" w:sz="6" w:space="0" w:color="000000"/>
            </w:tcBorders>
            <w:shd w:val="clear" w:color="auto" w:fill="BEBEBE"/>
          </w:tcPr>
          <w:p w14:paraId="0B663EEB" w14:textId="77777777" w:rsidR="00AC6F3C" w:rsidRDefault="00570E88">
            <w:pPr>
              <w:pStyle w:val="TableParagraph"/>
              <w:spacing w:before="124"/>
              <w:ind w:left="595" w:right="576"/>
              <w:jc w:val="center"/>
              <w:rPr>
                <w:b/>
                <w:sz w:val="17"/>
              </w:rPr>
            </w:pPr>
            <w:r>
              <w:rPr>
                <w:b/>
                <w:spacing w:val="-2"/>
                <w:sz w:val="17"/>
              </w:rPr>
              <w:t>3,391</w:t>
            </w:r>
          </w:p>
        </w:tc>
        <w:tc>
          <w:tcPr>
            <w:tcW w:w="502" w:type="dxa"/>
            <w:tcBorders>
              <w:top w:val="single" w:sz="6" w:space="0" w:color="000000"/>
              <w:bottom w:val="single" w:sz="6" w:space="0" w:color="000000"/>
            </w:tcBorders>
            <w:shd w:val="clear" w:color="auto" w:fill="BEBEBE"/>
          </w:tcPr>
          <w:p w14:paraId="6C887AA9" w14:textId="77777777" w:rsidR="00AC6F3C" w:rsidRDefault="00570E88">
            <w:pPr>
              <w:pStyle w:val="TableParagraph"/>
              <w:spacing w:before="124"/>
              <w:ind w:left="40"/>
              <w:rPr>
                <w:b/>
                <w:sz w:val="17"/>
              </w:rPr>
            </w:pPr>
            <w:r>
              <w:rPr>
                <w:b/>
                <w:spacing w:val="-2"/>
                <w:sz w:val="17"/>
              </w:rPr>
              <w:t>1,040</w:t>
            </w:r>
          </w:p>
        </w:tc>
        <w:tc>
          <w:tcPr>
            <w:tcW w:w="1448" w:type="dxa"/>
            <w:gridSpan w:val="2"/>
            <w:tcBorders>
              <w:top w:val="single" w:sz="6" w:space="0" w:color="000000"/>
              <w:bottom w:val="single" w:sz="6" w:space="0" w:color="000000"/>
            </w:tcBorders>
            <w:shd w:val="clear" w:color="auto" w:fill="BEBEBE"/>
          </w:tcPr>
          <w:p w14:paraId="4AD69590" w14:textId="77777777" w:rsidR="00AC6F3C" w:rsidRDefault="00570E88">
            <w:pPr>
              <w:pStyle w:val="TableParagraph"/>
              <w:spacing w:before="124"/>
              <w:ind w:left="604"/>
              <w:rPr>
                <w:b/>
                <w:sz w:val="17"/>
              </w:rPr>
            </w:pPr>
            <w:r>
              <w:rPr>
                <w:b/>
                <w:spacing w:val="-2"/>
                <w:sz w:val="17"/>
              </w:rPr>
              <w:t>3,797</w:t>
            </w:r>
          </w:p>
        </w:tc>
        <w:tc>
          <w:tcPr>
            <w:tcW w:w="688" w:type="dxa"/>
            <w:tcBorders>
              <w:top w:val="single" w:sz="6" w:space="0" w:color="000000"/>
              <w:bottom w:val="single" w:sz="6" w:space="0" w:color="000000"/>
              <w:right w:val="single" w:sz="6" w:space="0" w:color="000000"/>
            </w:tcBorders>
            <w:shd w:val="clear" w:color="auto" w:fill="BEBEBE"/>
          </w:tcPr>
          <w:p w14:paraId="25348C02" w14:textId="77777777" w:rsidR="00AC6F3C" w:rsidRDefault="00570E88">
            <w:pPr>
              <w:pStyle w:val="TableParagraph"/>
              <w:spacing w:before="124"/>
              <w:ind w:left="121"/>
              <w:rPr>
                <w:b/>
                <w:sz w:val="17"/>
              </w:rPr>
            </w:pPr>
            <w:r>
              <w:rPr>
                <w:b/>
                <w:spacing w:val="-2"/>
                <w:sz w:val="17"/>
              </w:rPr>
              <w:t>28,595</w:t>
            </w:r>
          </w:p>
        </w:tc>
      </w:tr>
    </w:tbl>
    <w:p w14:paraId="53545E16" w14:textId="77777777" w:rsidR="00AC6F3C" w:rsidRDefault="00AC6F3C">
      <w:pPr>
        <w:rPr>
          <w:sz w:val="17"/>
        </w:rPr>
        <w:sectPr w:rsidR="00AC6F3C">
          <w:pgSz w:w="11910" w:h="16840"/>
          <w:pgMar w:top="2020" w:right="1160" w:bottom="520" w:left="460" w:header="1228" w:footer="336" w:gutter="0"/>
          <w:cols w:space="720"/>
        </w:sectPr>
      </w:pPr>
    </w:p>
    <w:p w14:paraId="66AA56EB" w14:textId="77777777" w:rsidR="00AC6F3C" w:rsidRDefault="00AC6F3C">
      <w:pPr>
        <w:pStyle w:val="BodyText"/>
        <w:rPr>
          <w:b/>
        </w:rPr>
      </w:pPr>
    </w:p>
    <w:p w14:paraId="2FD568E9" w14:textId="77777777" w:rsidR="00AC6F3C" w:rsidRDefault="00570E88">
      <w:pPr>
        <w:tabs>
          <w:tab w:val="left" w:pos="1666"/>
        </w:tabs>
        <w:spacing w:before="249"/>
        <w:ind w:left="958"/>
        <w:rPr>
          <w:b/>
          <w:sz w:val="28"/>
        </w:rPr>
      </w:pPr>
      <w:r>
        <w:rPr>
          <w:b/>
          <w:spacing w:val="-5"/>
          <w:sz w:val="28"/>
        </w:rPr>
        <w:t>C2</w:t>
      </w:r>
      <w:r>
        <w:rPr>
          <w:b/>
          <w:sz w:val="28"/>
        </w:rPr>
        <w:tab/>
      </w:r>
      <w:r>
        <w:rPr>
          <w:b/>
          <w:spacing w:val="-2"/>
          <w:sz w:val="28"/>
        </w:rPr>
        <w:t>RECEIVABLES</w:t>
      </w:r>
    </w:p>
    <w:p w14:paraId="29268FEF" w14:textId="77777777" w:rsidR="00AC6F3C" w:rsidRDefault="00570E88">
      <w:pPr>
        <w:spacing w:before="239"/>
        <w:ind w:left="958" w:right="909"/>
        <w:rPr>
          <w:sz w:val="18"/>
        </w:rPr>
      </w:pPr>
      <w:r>
        <w:rPr>
          <w:sz w:val="18"/>
        </w:rPr>
        <w:t xml:space="preserve">Receivables are measured at </w:t>
      </w:r>
      <w:proofErr w:type="spellStart"/>
      <w:r>
        <w:rPr>
          <w:sz w:val="18"/>
        </w:rPr>
        <w:t>amortised</w:t>
      </w:r>
      <w:proofErr w:type="spellEnd"/>
      <w:r>
        <w:rPr>
          <w:sz w:val="18"/>
        </w:rPr>
        <w:t xml:space="preserve"> cost which approximates their fair value at reporting date. Settlement of these amounts is generally required within 30 days from invoice date.</w:t>
      </w:r>
      <w:r>
        <w:rPr>
          <w:spacing w:val="40"/>
          <w:sz w:val="18"/>
        </w:rPr>
        <w:t xml:space="preserve"> </w:t>
      </w:r>
      <w:r>
        <w:rPr>
          <w:sz w:val="18"/>
        </w:rPr>
        <w:t>The collectability of receivables</w:t>
      </w:r>
      <w:r>
        <w:rPr>
          <w:spacing w:val="-2"/>
          <w:sz w:val="18"/>
        </w:rPr>
        <w:t xml:space="preserve"> </w:t>
      </w:r>
      <w:r>
        <w:rPr>
          <w:sz w:val="18"/>
        </w:rPr>
        <w:t>is</w:t>
      </w:r>
      <w:r>
        <w:rPr>
          <w:spacing w:val="-2"/>
          <w:sz w:val="18"/>
        </w:rPr>
        <w:t xml:space="preserve"> </w:t>
      </w:r>
      <w:r>
        <w:rPr>
          <w:sz w:val="18"/>
        </w:rPr>
        <w:t>assessed</w:t>
      </w:r>
      <w:r>
        <w:rPr>
          <w:spacing w:val="-2"/>
          <w:sz w:val="18"/>
        </w:rPr>
        <w:t xml:space="preserve"> </w:t>
      </w:r>
      <w:r>
        <w:rPr>
          <w:sz w:val="18"/>
        </w:rPr>
        <w:t>periodically</w:t>
      </w:r>
      <w:r>
        <w:rPr>
          <w:spacing w:val="-2"/>
          <w:sz w:val="18"/>
        </w:rPr>
        <w:t xml:space="preserve"> </w:t>
      </w:r>
      <w:r>
        <w:rPr>
          <w:sz w:val="18"/>
        </w:rPr>
        <w:t>with</w:t>
      </w:r>
      <w:r>
        <w:rPr>
          <w:spacing w:val="-5"/>
          <w:sz w:val="18"/>
        </w:rPr>
        <w:t xml:space="preserve"> </w:t>
      </w:r>
      <w:r>
        <w:rPr>
          <w:sz w:val="18"/>
        </w:rPr>
        <w:t>allowance</w:t>
      </w:r>
      <w:r>
        <w:rPr>
          <w:spacing w:val="-2"/>
          <w:sz w:val="18"/>
        </w:rPr>
        <w:t xml:space="preserve"> </w:t>
      </w:r>
      <w:r>
        <w:rPr>
          <w:sz w:val="18"/>
        </w:rPr>
        <w:t>being</w:t>
      </w:r>
      <w:r>
        <w:rPr>
          <w:spacing w:val="-5"/>
          <w:sz w:val="18"/>
        </w:rPr>
        <w:t xml:space="preserve"> </w:t>
      </w:r>
      <w:r>
        <w:rPr>
          <w:sz w:val="18"/>
        </w:rPr>
        <w:t>made</w:t>
      </w:r>
      <w:r>
        <w:rPr>
          <w:spacing w:val="-2"/>
          <w:sz w:val="18"/>
        </w:rPr>
        <w:t xml:space="preserve"> </w:t>
      </w:r>
      <w:r>
        <w:rPr>
          <w:sz w:val="18"/>
        </w:rPr>
        <w:t>for</w:t>
      </w:r>
      <w:r>
        <w:rPr>
          <w:spacing w:val="-5"/>
          <w:sz w:val="18"/>
        </w:rPr>
        <w:t xml:space="preserve"> </w:t>
      </w:r>
      <w:r>
        <w:rPr>
          <w:sz w:val="18"/>
        </w:rPr>
        <w:t>impairment.</w:t>
      </w:r>
      <w:r>
        <w:rPr>
          <w:spacing w:val="-3"/>
          <w:sz w:val="18"/>
        </w:rPr>
        <w:t xml:space="preserve"> </w:t>
      </w:r>
      <w:r>
        <w:rPr>
          <w:sz w:val="18"/>
        </w:rPr>
        <w:t>All</w:t>
      </w:r>
      <w:r>
        <w:rPr>
          <w:spacing w:val="-5"/>
          <w:sz w:val="18"/>
        </w:rPr>
        <w:t xml:space="preserve"> </w:t>
      </w:r>
      <w:r>
        <w:rPr>
          <w:sz w:val="18"/>
        </w:rPr>
        <w:t>known</w:t>
      </w:r>
      <w:r>
        <w:rPr>
          <w:spacing w:val="-2"/>
          <w:sz w:val="18"/>
        </w:rPr>
        <w:t xml:space="preserve"> </w:t>
      </w:r>
      <w:r>
        <w:rPr>
          <w:sz w:val="18"/>
        </w:rPr>
        <w:t>bad</w:t>
      </w:r>
      <w:r>
        <w:rPr>
          <w:spacing w:val="-2"/>
          <w:sz w:val="18"/>
        </w:rPr>
        <w:t xml:space="preserve"> </w:t>
      </w:r>
      <w:r>
        <w:rPr>
          <w:sz w:val="18"/>
        </w:rPr>
        <w:t>debts</w:t>
      </w:r>
      <w:r>
        <w:rPr>
          <w:spacing w:val="-2"/>
          <w:sz w:val="18"/>
        </w:rPr>
        <w:t xml:space="preserve"> </w:t>
      </w:r>
      <w:r>
        <w:rPr>
          <w:sz w:val="18"/>
        </w:rPr>
        <w:t>were written-off as at 30 June.</w:t>
      </w:r>
    </w:p>
    <w:p w14:paraId="476C7CC5" w14:textId="77777777" w:rsidR="00AC6F3C" w:rsidRDefault="00AC6F3C">
      <w:pPr>
        <w:pStyle w:val="BodyText"/>
        <w:spacing w:before="10"/>
      </w:pPr>
    </w:p>
    <w:p w14:paraId="27FB6D35" w14:textId="77777777" w:rsidR="00AC6F3C" w:rsidRDefault="00570E88">
      <w:pPr>
        <w:ind w:left="958" w:right="909"/>
        <w:rPr>
          <w:sz w:val="18"/>
        </w:rPr>
      </w:pPr>
      <w:r>
        <w:rPr>
          <w:sz w:val="18"/>
        </w:rPr>
        <w:t>A further allowance for impairment is calculated by applying the simplified approach to the calculation of lifetime</w:t>
      </w:r>
      <w:r>
        <w:rPr>
          <w:spacing w:val="-4"/>
          <w:sz w:val="18"/>
        </w:rPr>
        <w:t xml:space="preserve"> </w:t>
      </w:r>
      <w:r>
        <w:rPr>
          <w:sz w:val="18"/>
        </w:rPr>
        <w:t>expected</w:t>
      </w:r>
      <w:r>
        <w:rPr>
          <w:spacing w:val="-4"/>
          <w:sz w:val="18"/>
        </w:rPr>
        <w:t xml:space="preserve"> </w:t>
      </w:r>
      <w:r>
        <w:rPr>
          <w:sz w:val="18"/>
        </w:rPr>
        <w:t>credit</w:t>
      </w:r>
      <w:r>
        <w:rPr>
          <w:spacing w:val="-2"/>
          <w:sz w:val="18"/>
        </w:rPr>
        <w:t xml:space="preserve"> </w:t>
      </w:r>
      <w:r>
        <w:rPr>
          <w:sz w:val="18"/>
        </w:rPr>
        <w:t>losses.</w:t>
      </w:r>
      <w:r>
        <w:rPr>
          <w:spacing w:val="-4"/>
          <w:sz w:val="18"/>
        </w:rPr>
        <w:t xml:space="preserve"> </w:t>
      </w:r>
      <w:r>
        <w:rPr>
          <w:sz w:val="18"/>
        </w:rPr>
        <w:t>The</w:t>
      </w:r>
      <w:r>
        <w:rPr>
          <w:spacing w:val="-1"/>
          <w:sz w:val="18"/>
        </w:rPr>
        <w:t xml:space="preserve"> </w:t>
      </w:r>
      <w:r>
        <w:rPr>
          <w:sz w:val="18"/>
        </w:rPr>
        <w:t>percentage</w:t>
      </w:r>
      <w:r>
        <w:rPr>
          <w:spacing w:val="-1"/>
          <w:sz w:val="18"/>
        </w:rPr>
        <w:t xml:space="preserve"> </w:t>
      </w:r>
      <w:r>
        <w:rPr>
          <w:sz w:val="18"/>
        </w:rPr>
        <w:t>applied</w:t>
      </w:r>
      <w:r>
        <w:rPr>
          <w:spacing w:val="-4"/>
          <w:sz w:val="18"/>
        </w:rPr>
        <w:t xml:space="preserve"> </w:t>
      </w:r>
      <w:r>
        <w:rPr>
          <w:sz w:val="18"/>
        </w:rPr>
        <w:t>is</w:t>
      </w:r>
      <w:r>
        <w:rPr>
          <w:spacing w:val="-3"/>
          <w:sz w:val="18"/>
        </w:rPr>
        <w:t xml:space="preserve"> </w:t>
      </w:r>
      <w:r>
        <w:rPr>
          <w:sz w:val="18"/>
        </w:rPr>
        <w:t>calculated</w:t>
      </w:r>
      <w:r>
        <w:rPr>
          <w:spacing w:val="-4"/>
          <w:sz w:val="18"/>
        </w:rPr>
        <w:t xml:space="preserve"> </w:t>
      </w:r>
      <w:r>
        <w:rPr>
          <w:sz w:val="18"/>
        </w:rPr>
        <w:t>based</w:t>
      </w:r>
      <w:r>
        <w:rPr>
          <w:spacing w:val="-1"/>
          <w:sz w:val="18"/>
        </w:rPr>
        <w:t xml:space="preserve"> </w:t>
      </w:r>
      <w:r>
        <w:rPr>
          <w:sz w:val="18"/>
        </w:rPr>
        <w:t>on</w:t>
      </w:r>
      <w:r>
        <w:rPr>
          <w:spacing w:val="-1"/>
          <w:sz w:val="18"/>
        </w:rPr>
        <w:t xml:space="preserve"> </w:t>
      </w:r>
      <w:r>
        <w:rPr>
          <w:sz w:val="18"/>
        </w:rPr>
        <w:t>historical</w:t>
      </w:r>
      <w:r>
        <w:rPr>
          <w:spacing w:val="-1"/>
          <w:sz w:val="18"/>
        </w:rPr>
        <w:t xml:space="preserve"> </w:t>
      </w:r>
      <w:r>
        <w:rPr>
          <w:sz w:val="18"/>
        </w:rPr>
        <w:t>default</w:t>
      </w:r>
      <w:r>
        <w:rPr>
          <w:spacing w:val="-2"/>
          <w:sz w:val="18"/>
        </w:rPr>
        <w:t xml:space="preserve"> </w:t>
      </w:r>
      <w:r>
        <w:rPr>
          <w:sz w:val="18"/>
        </w:rPr>
        <w:t>rates</w:t>
      </w:r>
      <w:r>
        <w:rPr>
          <w:spacing w:val="-3"/>
          <w:sz w:val="18"/>
        </w:rPr>
        <w:t xml:space="preserve"> </w:t>
      </w:r>
      <w:r>
        <w:rPr>
          <w:sz w:val="18"/>
        </w:rPr>
        <w:t>with a forward-looking estimate adjustment which incorporates various risk factors appropriate for the class of receivable being assessed.</w:t>
      </w:r>
    </w:p>
    <w:p w14:paraId="73994359" w14:textId="77777777" w:rsidR="00AC6F3C" w:rsidRDefault="00AC6F3C">
      <w:pPr>
        <w:pStyle w:val="BodyText"/>
        <w:spacing w:before="10"/>
      </w:pPr>
    </w:p>
    <w:p w14:paraId="59B996E8" w14:textId="77777777" w:rsidR="00AC6F3C" w:rsidRDefault="00570E88">
      <w:pPr>
        <w:ind w:left="958" w:right="857" w:hanging="1"/>
        <w:rPr>
          <w:sz w:val="18"/>
        </w:rPr>
      </w:pPr>
      <w:r>
        <w:rPr>
          <w:sz w:val="18"/>
        </w:rPr>
        <w:t>Other</w:t>
      </w:r>
      <w:r>
        <w:rPr>
          <w:spacing w:val="-3"/>
          <w:sz w:val="18"/>
        </w:rPr>
        <w:t xml:space="preserve"> </w:t>
      </w:r>
      <w:r>
        <w:rPr>
          <w:sz w:val="18"/>
        </w:rPr>
        <w:t>receivables</w:t>
      </w:r>
      <w:r>
        <w:rPr>
          <w:spacing w:val="-4"/>
          <w:sz w:val="18"/>
        </w:rPr>
        <w:t xml:space="preserve"> </w:t>
      </w:r>
      <w:r>
        <w:rPr>
          <w:sz w:val="18"/>
        </w:rPr>
        <w:t>generally</w:t>
      </w:r>
      <w:r>
        <w:rPr>
          <w:spacing w:val="-2"/>
          <w:sz w:val="18"/>
        </w:rPr>
        <w:t xml:space="preserve"> </w:t>
      </w:r>
      <w:r>
        <w:rPr>
          <w:sz w:val="18"/>
        </w:rPr>
        <w:t>arise</w:t>
      </w:r>
      <w:r>
        <w:rPr>
          <w:spacing w:val="-2"/>
          <w:sz w:val="18"/>
        </w:rPr>
        <w:t xml:space="preserve"> </w:t>
      </w:r>
      <w:r>
        <w:rPr>
          <w:sz w:val="18"/>
        </w:rPr>
        <w:t>from</w:t>
      </w:r>
      <w:r>
        <w:rPr>
          <w:spacing w:val="-2"/>
          <w:sz w:val="18"/>
        </w:rPr>
        <w:t xml:space="preserve"> </w:t>
      </w:r>
      <w:r>
        <w:rPr>
          <w:sz w:val="18"/>
        </w:rPr>
        <w:t>transactions</w:t>
      </w:r>
      <w:r>
        <w:rPr>
          <w:spacing w:val="-2"/>
          <w:sz w:val="18"/>
        </w:rPr>
        <w:t xml:space="preserve"> </w:t>
      </w:r>
      <w:r>
        <w:rPr>
          <w:sz w:val="18"/>
        </w:rPr>
        <w:t>outside</w:t>
      </w:r>
      <w:r>
        <w:rPr>
          <w:spacing w:val="-2"/>
          <w:sz w:val="18"/>
        </w:rPr>
        <w:t xml:space="preserve"> </w:t>
      </w:r>
      <w:r>
        <w:rPr>
          <w:sz w:val="18"/>
        </w:rPr>
        <w:t>the</w:t>
      </w:r>
      <w:r>
        <w:rPr>
          <w:spacing w:val="-2"/>
          <w:sz w:val="18"/>
        </w:rPr>
        <w:t xml:space="preserve"> </w:t>
      </w:r>
      <w:r>
        <w:rPr>
          <w:sz w:val="18"/>
        </w:rPr>
        <w:t>usual</w:t>
      </w:r>
      <w:r>
        <w:rPr>
          <w:spacing w:val="-5"/>
          <w:sz w:val="18"/>
        </w:rPr>
        <w:t xml:space="preserve"> </w:t>
      </w:r>
      <w:r>
        <w:rPr>
          <w:sz w:val="18"/>
        </w:rPr>
        <w:t>operating</w:t>
      </w:r>
      <w:r>
        <w:rPr>
          <w:spacing w:val="-2"/>
          <w:sz w:val="18"/>
        </w:rPr>
        <w:t xml:space="preserve"> </w:t>
      </w:r>
      <w:r>
        <w:rPr>
          <w:sz w:val="18"/>
        </w:rPr>
        <w:t>activities</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Group</w:t>
      </w:r>
      <w:r>
        <w:rPr>
          <w:spacing w:val="-5"/>
          <w:sz w:val="18"/>
        </w:rPr>
        <w:t xml:space="preserve"> </w:t>
      </w:r>
      <w:r>
        <w:rPr>
          <w:sz w:val="18"/>
        </w:rPr>
        <w:t xml:space="preserve">and are </w:t>
      </w:r>
      <w:proofErr w:type="spellStart"/>
      <w:r>
        <w:rPr>
          <w:sz w:val="18"/>
        </w:rPr>
        <w:t>recognised</w:t>
      </w:r>
      <w:proofErr w:type="spellEnd"/>
      <w:r>
        <w:rPr>
          <w:sz w:val="18"/>
        </w:rPr>
        <w:t xml:space="preserve"> at their assessed values.</w:t>
      </w:r>
      <w:r>
        <w:rPr>
          <w:spacing w:val="40"/>
          <w:sz w:val="18"/>
        </w:rPr>
        <w:t xml:space="preserve"> </w:t>
      </w:r>
      <w:r>
        <w:rPr>
          <w:sz w:val="18"/>
        </w:rPr>
        <w:t>Terms are a maximum of three months, no interest is charged and no security is obtained.</w:t>
      </w:r>
    </w:p>
    <w:p w14:paraId="3FDF1993" w14:textId="77777777" w:rsidR="00AC6F3C" w:rsidRDefault="00AC6F3C">
      <w:pPr>
        <w:pStyle w:val="BodyText"/>
        <w:spacing w:before="10"/>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579"/>
        <w:gridCol w:w="530"/>
        <w:gridCol w:w="1139"/>
        <w:gridCol w:w="442"/>
        <w:gridCol w:w="674"/>
      </w:tblGrid>
      <w:tr w:rsidR="00AC6F3C" w14:paraId="3877648B" w14:textId="77777777">
        <w:trPr>
          <w:trHeight w:val="879"/>
        </w:trPr>
        <w:tc>
          <w:tcPr>
            <w:tcW w:w="3843" w:type="dxa"/>
            <w:tcBorders>
              <w:top w:val="single" w:sz="6" w:space="0" w:color="000000"/>
              <w:left w:val="single" w:sz="6" w:space="0" w:color="000000"/>
              <w:bottom w:val="single" w:sz="6" w:space="0" w:color="000000"/>
            </w:tcBorders>
            <w:shd w:val="clear" w:color="auto" w:fill="BEBEBE"/>
          </w:tcPr>
          <w:p w14:paraId="6CE4E754" w14:textId="77777777" w:rsidR="00AC6F3C" w:rsidRDefault="00AC6F3C">
            <w:pPr>
              <w:pStyle w:val="TableParagraph"/>
              <w:rPr>
                <w:rFonts w:ascii="Times New Roman"/>
                <w:sz w:val="18"/>
              </w:rPr>
            </w:pPr>
          </w:p>
        </w:tc>
        <w:tc>
          <w:tcPr>
            <w:tcW w:w="1718" w:type="dxa"/>
            <w:gridSpan w:val="2"/>
            <w:tcBorders>
              <w:top w:val="single" w:sz="6" w:space="0" w:color="000000"/>
              <w:bottom w:val="single" w:sz="6" w:space="0" w:color="000000"/>
            </w:tcBorders>
            <w:shd w:val="clear" w:color="auto" w:fill="BEBEBE"/>
          </w:tcPr>
          <w:p w14:paraId="248B73EF" w14:textId="77777777" w:rsidR="00AC6F3C" w:rsidRDefault="00570E88">
            <w:pPr>
              <w:pStyle w:val="TableParagraph"/>
              <w:spacing w:before="25" w:line="362" w:lineRule="auto"/>
              <w:ind w:left="681" w:hanging="105"/>
              <w:rPr>
                <w:b/>
                <w:sz w:val="18"/>
              </w:rPr>
            </w:pPr>
            <w:r>
              <w:rPr>
                <w:b/>
                <w:spacing w:val="-4"/>
                <w:sz w:val="18"/>
              </w:rPr>
              <w:t>Consolidated 2023</w:t>
            </w:r>
          </w:p>
          <w:p w14:paraId="14EB5964" w14:textId="77777777" w:rsidR="00AC6F3C" w:rsidRDefault="00570E88">
            <w:pPr>
              <w:pStyle w:val="TableParagraph"/>
              <w:spacing w:line="193"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23D10255" w14:textId="77777777" w:rsidR="00AC6F3C" w:rsidRDefault="00AC6F3C">
            <w:pPr>
              <w:pStyle w:val="TableParagraph"/>
              <w:spacing w:before="4"/>
              <w:rPr>
                <w:sz w:val="29"/>
              </w:rPr>
            </w:pPr>
          </w:p>
          <w:p w14:paraId="245348C7" w14:textId="77777777" w:rsidR="00AC6F3C" w:rsidRDefault="00570E88">
            <w:pPr>
              <w:pStyle w:val="TableParagraph"/>
              <w:ind w:left="86"/>
              <w:rPr>
                <w:b/>
                <w:sz w:val="18"/>
              </w:rPr>
            </w:pPr>
            <w:r>
              <w:rPr>
                <w:b/>
                <w:spacing w:val="-4"/>
                <w:sz w:val="18"/>
              </w:rPr>
              <w:t>2022</w:t>
            </w:r>
          </w:p>
          <w:p w14:paraId="2A1BC23A" w14:textId="77777777" w:rsidR="00AC6F3C" w:rsidRDefault="00570E88">
            <w:pPr>
              <w:pStyle w:val="TableParagraph"/>
              <w:spacing w:before="91"/>
              <w:ind w:left="41"/>
              <w:rPr>
                <w:b/>
                <w:sz w:val="18"/>
              </w:rPr>
            </w:pPr>
            <w:r>
              <w:rPr>
                <w:b/>
                <w:spacing w:val="-2"/>
                <w:sz w:val="18"/>
              </w:rPr>
              <w:t>$’000</w:t>
            </w:r>
          </w:p>
        </w:tc>
        <w:tc>
          <w:tcPr>
            <w:tcW w:w="1581" w:type="dxa"/>
            <w:gridSpan w:val="2"/>
            <w:tcBorders>
              <w:top w:val="single" w:sz="6" w:space="0" w:color="000000"/>
              <w:bottom w:val="single" w:sz="6" w:space="0" w:color="000000"/>
            </w:tcBorders>
            <w:shd w:val="clear" w:color="auto" w:fill="BEBEBE"/>
          </w:tcPr>
          <w:p w14:paraId="05F6ECF0" w14:textId="77777777" w:rsidR="00AC6F3C" w:rsidRDefault="00570E88">
            <w:pPr>
              <w:pStyle w:val="TableParagraph"/>
              <w:spacing w:before="25" w:line="362" w:lineRule="auto"/>
              <w:ind w:left="680" w:firstLine="164"/>
              <w:rPr>
                <w:b/>
                <w:sz w:val="18"/>
              </w:rPr>
            </w:pPr>
            <w:r>
              <w:rPr>
                <w:b/>
                <w:spacing w:val="-2"/>
                <w:sz w:val="18"/>
              </w:rPr>
              <w:t xml:space="preserve">Parent </w:t>
            </w:r>
            <w:r>
              <w:rPr>
                <w:b/>
                <w:spacing w:val="-4"/>
                <w:sz w:val="18"/>
              </w:rPr>
              <w:t>2023</w:t>
            </w:r>
          </w:p>
          <w:p w14:paraId="6CEC59B3" w14:textId="77777777" w:rsidR="00AC6F3C" w:rsidRDefault="00570E88">
            <w:pPr>
              <w:pStyle w:val="TableParagraph"/>
              <w:spacing w:line="193"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423A0FCE" w14:textId="77777777" w:rsidR="00AC6F3C" w:rsidRDefault="00AC6F3C">
            <w:pPr>
              <w:pStyle w:val="TableParagraph"/>
              <w:spacing w:before="4"/>
              <w:rPr>
                <w:sz w:val="29"/>
              </w:rPr>
            </w:pPr>
          </w:p>
          <w:p w14:paraId="487D1B57" w14:textId="77777777" w:rsidR="00AC6F3C" w:rsidRDefault="00570E88">
            <w:pPr>
              <w:pStyle w:val="TableParagraph"/>
              <w:ind w:left="222"/>
              <w:rPr>
                <w:b/>
                <w:sz w:val="18"/>
              </w:rPr>
            </w:pPr>
            <w:r>
              <w:rPr>
                <w:b/>
                <w:spacing w:val="-4"/>
                <w:sz w:val="18"/>
              </w:rPr>
              <w:t>2022</w:t>
            </w:r>
          </w:p>
          <w:p w14:paraId="028EB9B7" w14:textId="77777777" w:rsidR="00AC6F3C" w:rsidRDefault="00570E88">
            <w:pPr>
              <w:pStyle w:val="TableParagraph"/>
              <w:spacing w:before="91"/>
              <w:ind w:left="177"/>
              <w:rPr>
                <w:b/>
                <w:sz w:val="18"/>
              </w:rPr>
            </w:pPr>
            <w:r>
              <w:rPr>
                <w:b/>
                <w:spacing w:val="-2"/>
                <w:sz w:val="18"/>
              </w:rPr>
              <w:t>$’000</w:t>
            </w:r>
          </w:p>
        </w:tc>
      </w:tr>
      <w:tr w:rsidR="00AC6F3C" w14:paraId="7788CAA7" w14:textId="77777777">
        <w:trPr>
          <w:trHeight w:val="295"/>
        </w:trPr>
        <w:tc>
          <w:tcPr>
            <w:tcW w:w="3843" w:type="dxa"/>
            <w:tcBorders>
              <w:top w:val="single" w:sz="6" w:space="0" w:color="000000"/>
              <w:left w:val="single" w:sz="6" w:space="0" w:color="000000"/>
            </w:tcBorders>
          </w:tcPr>
          <w:p w14:paraId="5758F1C7" w14:textId="77777777" w:rsidR="00AC6F3C" w:rsidRDefault="00570E88">
            <w:pPr>
              <w:pStyle w:val="TableParagraph"/>
              <w:spacing w:before="40"/>
              <w:ind w:left="37"/>
              <w:rPr>
                <w:sz w:val="18"/>
              </w:rPr>
            </w:pPr>
            <w:r>
              <w:rPr>
                <w:sz w:val="18"/>
              </w:rPr>
              <w:t>Accounts</w:t>
            </w:r>
            <w:r>
              <w:rPr>
                <w:spacing w:val="-8"/>
                <w:sz w:val="18"/>
              </w:rPr>
              <w:t xml:space="preserve"> </w:t>
            </w:r>
            <w:r>
              <w:rPr>
                <w:spacing w:val="-2"/>
                <w:sz w:val="18"/>
              </w:rPr>
              <w:t>receivable</w:t>
            </w:r>
          </w:p>
        </w:tc>
        <w:tc>
          <w:tcPr>
            <w:tcW w:w="1139" w:type="dxa"/>
            <w:tcBorders>
              <w:top w:val="single" w:sz="6" w:space="0" w:color="000000"/>
            </w:tcBorders>
            <w:shd w:val="clear" w:color="auto" w:fill="F1F1F1"/>
          </w:tcPr>
          <w:p w14:paraId="0A404280" w14:textId="77777777" w:rsidR="00AC6F3C" w:rsidRDefault="00570E88">
            <w:pPr>
              <w:pStyle w:val="TableParagraph"/>
              <w:spacing w:before="40"/>
              <w:ind w:right="36"/>
              <w:jc w:val="right"/>
              <w:rPr>
                <w:sz w:val="18"/>
              </w:rPr>
            </w:pPr>
            <w:r>
              <w:rPr>
                <w:spacing w:val="-2"/>
                <w:sz w:val="18"/>
              </w:rPr>
              <w:t>1,462</w:t>
            </w:r>
          </w:p>
        </w:tc>
        <w:tc>
          <w:tcPr>
            <w:tcW w:w="1109" w:type="dxa"/>
            <w:gridSpan w:val="2"/>
            <w:tcBorders>
              <w:top w:val="single" w:sz="6" w:space="0" w:color="000000"/>
            </w:tcBorders>
          </w:tcPr>
          <w:p w14:paraId="5E43EEDB" w14:textId="77777777" w:rsidR="00AC6F3C" w:rsidRDefault="00570E88">
            <w:pPr>
              <w:pStyle w:val="TableParagraph"/>
              <w:spacing w:before="40"/>
              <w:ind w:right="21"/>
              <w:jc w:val="right"/>
              <w:rPr>
                <w:sz w:val="18"/>
              </w:rPr>
            </w:pPr>
            <w:r>
              <w:rPr>
                <w:spacing w:val="-5"/>
                <w:sz w:val="18"/>
              </w:rPr>
              <w:t>644</w:t>
            </w:r>
          </w:p>
        </w:tc>
        <w:tc>
          <w:tcPr>
            <w:tcW w:w="1139" w:type="dxa"/>
            <w:tcBorders>
              <w:top w:val="single" w:sz="6" w:space="0" w:color="000000"/>
            </w:tcBorders>
            <w:shd w:val="clear" w:color="auto" w:fill="F1F1F1"/>
          </w:tcPr>
          <w:p w14:paraId="6F2F36E6" w14:textId="77777777" w:rsidR="00AC6F3C" w:rsidRDefault="00570E88">
            <w:pPr>
              <w:pStyle w:val="TableParagraph"/>
              <w:spacing w:before="40"/>
              <w:ind w:right="37"/>
              <w:jc w:val="right"/>
              <w:rPr>
                <w:sz w:val="18"/>
              </w:rPr>
            </w:pPr>
            <w:r>
              <w:rPr>
                <w:spacing w:val="-2"/>
                <w:sz w:val="18"/>
              </w:rPr>
              <w:t>1,197</w:t>
            </w:r>
          </w:p>
        </w:tc>
        <w:tc>
          <w:tcPr>
            <w:tcW w:w="1116" w:type="dxa"/>
            <w:gridSpan w:val="2"/>
            <w:tcBorders>
              <w:top w:val="single" w:sz="6" w:space="0" w:color="000000"/>
              <w:right w:val="single" w:sz="6" w:space="0" w:color="000000"/>
            </w:tcBorders>
          </w:tcPr>
          <w:p w14:paraId="015A129D" w14:textId="77777777" w:rsidR="00AC6F3C" w:rsidRDefault="00570E88">
            <w:pPr>
              <w:pStyle w:val="TableParagraph"/>
              <w:spacing w:before="40"/>
              <w:ind w:right="22"/>
              <w:jc w:val="right"/>
              <w:rPr>
                <w:sz w:val="18"/>
              </w:rPr>
            </w:pPr>
            <w:r>
              <w:rPr>
                <w:spacing w:val="-5"/>
                <w:sz w:val="18"/>
              </w:rPr>
              <w:t>319</w:t>
            </w:r>
          </w:p>
        </w:tc>
      </w:tr>
      <w:tr w:rsidR="00AC6F3C" w14:paraId="5D4EC487" w14:textId="77777777">
        <w:trPr>
          <w:trHeight w:val="285"/>
        </w:trPr>
        <w:tc>
          <w:tcPr>
            <w:tcW w:w="3843" w:type="dxa"/>
            <w:tcBorders>
              <w:left w:val="single" w:sz="6" w:space="0" w:color="000000"/>
              <w:bottom w:val="single" w:sz="6" w:space="0" w:color="000000"/>
            </w:tcBorders>
          </w:tcPr>
          <w:p w14:paraId="55D35CA8" w14:textId="77777777" w:rsidR="00AC6F3C" w:rsidRDefault="00570E88">
            <w:pPr>
              <w:pStyle w:val="TableParagraph"/>
              <w:spacing w:before="42"/>
              <w:ind w:left="37"/>
              <w:rPr>
                <w:sz w:val="18"/>
              </w:rPr>
            </w:pPr>
            <w:r>
              <w:rPr>
                <w:sz w:val="18"/>
              </w:rPr>
              <w:t>Less:</w:t>
            </w:r>
            <w:r>
              <w:rPr>
                <w:spacing w:val="51"/>
                <w:sz w:val="18"/>
              </w:rPr>
              <w:t xml:space="preserve"> </w:t>
            </w:r>
            <w:r>
              <w:rPr>
                <w:sz w:val="18"/>
              </w:rPr>
              <w:t>provision</w:t>
            </w:r>
            <w:r>
              <w:rPr>
                <w:spacing w:val="9"/>
                <w:sz w:val="18"/>
              </w:rPr>
              <w:t xml:space="preserve"> </w:t>
            </w:r>
            <w:r>
              <w:rPr>
                <w:sz w:val="18"/>
              </w:rPr>
              <w:t>for</w:t>
            </w:r>
            <w:r>
              <w:rPr>
                <w:spacing w:val="4"/>
                <w:sz w:val="18"/>
              </w:rPr>
              <w:t xml:space="preserve"> </w:t>
            </w:r>
            <w:r>
              <w:rPr>
                <w:sz w:val="18"/>
              </w:rPr>
              <w:t>doubtful</w:t>
            </w:r>
            <w:r>
              <w:rPr>
                <w:spacing w:val="9"/>
                <w:sz w:val="18"/>
              </w:rPr>
              <w:t xml:space="preserve"> </w:t>
            </w:r>
            <w:r>
              <w:rPr>
                <w:spacing w:val="-2"/>
                <w:sz w:val="18"/>
              </w:rPr>
              <w:t>debts</w:t>
            </w:r>
          </w:p>
        </w:tc>
        <w:tc>
          <w:tcPr>
            <w:tcW w:w="1139" w:type="dxa"/>
            <w:tcBorders>
              <w:bottom w:val="single" w:sz="6" w:space="0" w:color="000000"/>
            </w:tcBorders>
            <w:shd w:val="clear" w:color="auto" w:fill="F1F1F1"/>
          </w:tcPr>
          <w:p w14:paraId="2896854E" w14:textId="77777777" w:rsidR="00AC6F3C" w:rsidRDefault="00570E88">
            <w:pPr>
              <w:pStyle w:val="TableParagraph"/>
              <w:spacing w:before="42"/>
              <w:ind w:right="31"/>
              <w:jc w:val="right"/>
              <w:rPr>
                <w:sz w:val="18"/>
              </w:rPr>
            </w:pPr>
            <w:r>
              <w:rPr>
                <w:spacing w:val="-2"/>
                <w:sz w:val="18"/>
              </w:rPr>
              <w:t>(107)</w:t>
            </w:r>
          </w:p>
        </w:tc>
        <w:tc>
          <w:tcPr>
            <w:tcW w:w="1109" w:type="dxa"/>
            <w:gridSpan w:val="2"/>
            <w:tcBorders>
              <w:bottom w:val="single" w:sz="6" w:space="0" w:color="000000"/>
            </w:tcBorders>
          </w:tcPr>
          <w:p w14:paraId="3184C6DF" w14:textId="77777777" w:rsidR="00AC6F3C" w:rsidRDefault="00570E88">
            <w:pPr>
              <w:pStyle w:val="TableParagraph"/>
              <w:spacing w:before="42"/>
              <w:ind w:right="17"/>
              <w:jc w:val="right"/>
              <w:rPr>
                <w:sz w:val="18"/>
              </w:rPr>
            </w:pPr>
            <w:r>
              <w:rPr>
                <w:spacing w:val="-4"/>
                <w:sz w:val="18"/>
              </w:rPr>
              <w:t>(65)</w:t>
            </w:r>
          </w:p>
        </w:tc>
        <w:tc>
          <w:tcPr>
            <w:tcW w:w="1139" w:type="dxa"/>
            <w:tcBorders>
              <w:bottom w:val="single" w:sz="6" w:space="0" w:color="000000"/>
            </w:tcBorders>
            <w:shd w:val="clear" w:color="auto" w:fill="F1F1F1"/>
          </w:tcPr>
          <w:p w14:paraId="4DCE2211" w14:textId="77777777" w:rsidR="00AC6F3C" w:rsidRDefault="00570E88">
            <w:pPr>
              <w:pStyle w:val="TableParagraph"/>
              <w:spacing w:before="42"/>
              <w:ind w:right="32"/>
              <w:jc w:val="right"/>
              <w:rPr>
                <w:sz w:val="18"/>
              </w:rPr>
            </w:pPr>
            <w:r>
              <w:rPr>
                <w:spacing w:val="-4"/>
                <w:sz w:val="18"/>
              </w:rPr>
              <w:t>(47)</w:t>
            </w:r>
          </w:p>
        </w:tc>
        <w:tc>
          <w:tcPr>
            <w:tcW w:w="1116" w:type="dxa"/>
            <w:gridSpan w:val="2"/>
            <w:tcBorders>
              <w:bottom w:val="single" w:sz="6" w:space="0" w:color="000000"/>
              <w:right w:val="single" w:sz="6" w:space="0" w:color="000000"/>
            </w:tcBorders>
          </w:tcPr>
          <w:p w14:paraId="77FDC3D5" w14:textId="77777777" w:rsidR="00AC6F3C" w:rsidRDefault="00570E88">
            <w:pPr>
              <w:pStyle w:val="TableParagraph"/>
              <w:spacing w:before="42"/>
              <w:ind w:right="22"/>
              <w:jc w:val="right"/>
              <w:rPr>
                <w:sz w:val="18"/>
              </w:rPr>
            </w:pPr>
            <w:r>
              <w:rPr>
                <w:w w:val="99"/>
                <w:sz w:val="18"/>
              </w:rPr>
              <w:t>-</w:t>
            </w:r>
          </w:p>
        </w:tc>
      </w:tr>
      <w:tr w:rsidR="00AC6F3C" w14:paraId="6287DFB8" w14:textId="77777777">
        <w:trPr>
          <w:trHeight w:val="444"/>
        </w:trPr>
        <w:tc>
          <w:tcPr>
            <w:tcW w:w="3843" w:type="dxa"/>
            <w:tcBorders>
              <w:top w:val="single" w:sz="6" w:space="0" w:color="000000"/>
              <w:left w:val="single" w:sz="6" w:space="0" w:color="000000"/>
            </w:tcBorders>
          </w:tcPr>
          <w:p w14:paraId="31D65C84"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07A7F5E5" w14:textId="77777777" w:rsidR="00AC6F3C" w:rsidRDefault="00570E88">
            <w:pPr>
              <w:pStyle w:val="TableParagraph"/>
              <w:spacing w:before="40"/>
              <w:ind w:right="36"/>
              <w:jc w:val="right"/>
              <w:rPr>
                <w:sz w:val="18"/>
              </w:rPr>
            </w:pPr>
            <w:r>
              <w:rPr>
                <w:spacing w:val="-2"/>
                <w:sz w:val="18"/>
              </w:rPr>
              <w:t>1,354</w:t>
            </w:r>
          </w:p>
        </w:tc>
        <w:tc>
          <w:tcPr>
            <w:tcW w:w="1109" w:type="dxa"/>
            <w:gridSpan w:val="2"/>
            <w:tcBorders>
              <w:top w:val="single" w:sz="6" w:space="0" w:color="000000"/>
            </w:tcBorders>
          </w:tcPr>
          <w:p w14:paraId="5190FFAC" w14:textId="77777777" w:rsidR="00AC6F3C" w:rsidRDefault="00570E88">
            <w:pPr>
              <w:pStyle w:val="TableParagraph"/>
              <w:spacing w:before="40"/>
              <w:ind w:right="21"/>
              <w:jc w:val="right"/>
              <w:rPr>
                <w:sz w:val="18"/>
              </w:rPr>
            </w:pPr>
            <w:r>
              <w:rPr>
                <w:spacing w:val="-5"/>
                <w:sz w:val="18"/>
              </w:rPr>
              <w:t>579</w:t>
            </w:r>
          </w:p>
        </w:tc>
        <w:tc>
          <w:tcPr>
            <w:tcW w:w="1139" w:type="dxa"/>
            <w:tcBorders>
              <w:top w:val="single" w:sz="6" w:space="0" w:color="000000"/>
            </w:tcBorders>
            <w:shd w:val="clear" w:color="auto" w:fill="F1F1F1"/>
          </w:tcPr>
          <w:p w14:paraId="42AD4D24" w14:textId="77777777" w:rsidR="00AC6F3C" w:rsidRDefault="00570E88">
            <w:pPr>
              <w:pStyle w:val="TableParagraph"/>
              <w:spacing w:before="40"/>
              <w:ind w:right="37"/>
              <w:jc w:val="right"/>
              <w:rPr>
                <w:sz w:val="18"/>
              </w:rPr>
            </w:pPr>
            <w:r>
              <w:rPr>
                <w:spacing w:val="-2"/>
                <w:sz w:val="18"/>
              </w:rPr>
              <w:t>1,150</w:t>
            </w:r>
          </w:p>
        </w:tc>
        <w:tc>
          <w:tcPr>
            <w:tcW w:w="1116" w:type="dxa"/>
            <w:gridSpan w:val="2"/>
            <w:tcBorders>
              <w:top w:val="single" w:sz="6" w:space="0" w:color="000000"/>
              <w:right w:val="single" w:sz="6" w:space="0" w:color="000000"/>
            </w:tcBorders>
          </w:tcPr>
          <w:p w14:paraId="0D7527E3" w14:textId="77777777" w:rsidR="00AC6F3C" w:rsidRDefault="00570E88">
            <w:pPr>
              <w:pStyle w:val="TableParagraph"/>
              <w:spacing w:before="40"/>
              <w:ind w:right="22"/>
              <w:jc w:val="right"/>
              <w:rPr>
                <w:sz w:val="18"/>
              </w:rPr>
            </w:pPr>
            <w:r>
              <w:rPr>
                <w:spacing w:val="-5"/>
                <w:sz w:val="18"/>
              </w:rPr>
              <w:t>319</w:t>
            </w:r>
          </w:p>
        </w:tc>
      </w:tr>
      <w:tr w:rsidR="00AC6F3C" w14:paraId="106E5ABF" w14:textId="77777777">
        <w:trPr>
          <w:trHeight w:val="434"/>
        </w:trPr>
        <w:tc>
          <w:tcPr>
            <w:tcW w:w="3843" w:type="dxa"/>
            <w:tcBorders>
              <w:left w:val="single" w:sz="6" w:space="0" w:color="000000"/>
              <w:bottom w:val="single" w:sz="6" w:space="0" w:color="000000"/>
            </w:tcBorders>
          </w:tcPr>
          <w:p w14:paraId="119E6EC9" w14:textId="77777777" w:rsidR="00AC6F3C" w:rsidRDefault="00AC6F3C">
            <w:pPr>
              <w:pStyle w:val="TableParagraph"/>
              <w:spacing w:before="7"/>
              <w:rPr>
                <w:sz w:val="16"/>
              </w:rPr>
            </w:pPr>
          </w:p>
          <w:p w14:paraId="060CDFCD" w14:textId="77777777" w:rsidR="00AC6F3C" w:rsidRDefault="00570E88">
            <w:pPr>
              <w:pStyle w:val="TableParagraph"/>
              <w:ind w:left="37"/>
              <w:rPr>
                <w:sz w:val="18"/>
              </w:rPr>
            </w:pPr>
            <w:r>
              <w:rPr>
                <w:sz w:val="18"/>
              </w:rPr>
              <w:t>Prepaid</w:t>
            </w:r>
            <w:r>
              <w:rPr>
                <w:spacing w:val="6"/>
                <w:sz w:val="18"/>
              </w:rPr>
              <w:t xml:space="preserve"> </w:t>
            </w:r>
            <w:r>
              <w:rPr>
                <w:sz w:val="18"/>
              </w:rPr>
              <w:t>expenses</w:t>
            </w:r>
            <w:r>
              <w:rPr>
                <w:spacing w:val="18"/>
                <w:sz w:val="18"/>
              </w:rPr>
              <w:t xml:space="preserve"> </w:t>
            </w:r>
            <w:r>
              <w:rPr>
                <w:sz w:val="18"/>
              </w:rPr>
              <w:t>and</w:t>
            </w:r>
            <w:r>
              <w:rPr>
                <w:spacing w:val="6"/>
                <w:sz w:val="18"/>
              </w:rPr>
              <w:t xml:space="preserve"> </w:t>
            </w:r>
            <w:r>
              <w:rPr>
                <w:sz w:val="18"/>
              </w:rPr>
              <w:t xml:space="preserve">other </w:t>
            </w:r>
            <w:r>
              <w:rPr>
                <w:spacing w:val="-2"/>
                <w:sz w:val="18"/>
              </w:rPr>
              <w:t>receivables</w:t>
            </w:r>
          </w:p>
        </w:tc>
        <w:tc>
          <w:tcPr>
            <w:tcW w:w="1139" w:type="dxa"/>
            <w:tcBorders>
              <w:bottom w:val="single" w:sz="6" w:space="0" w:color="000000"/>
            </w:tcBorders>
            <w:shd w:val="clear" w:color="auto" w:fill="F1F1F1"/>
          </w:tcPr>
          <w:p w14:paraId="36F27997" w14:textId="77777777" w:rsidR="00AC6F3C" w:rsidRDefault="00AC6F3C">
            <w:pPr>
              <w:pStyle w:val="TableParagraph"/>
              <w:spacing w:before="7"/>
              <w:rPr>
                <w:sz w:val="16"/>
              </w:rPr>
            </w:pPr>
          </w:p>
          <w:p w14:paraId="0F2F5F97" w14:textId="77777777" w:rsidR="00AC6F3C" w:rsidRDefault="00570E88">
            <w:pPr>
              <w:pStyle w:val="TableParagraph"/>
              <w:ind w:right="36"/>
              <w:jc w:val="right"/>
              <w:rPr>
                <w:sz w:val="18"/>
              </w:rPr>
            </w:pPr>
            <w:r>
              <w:rPr>
                <w:spacing w:val="-2"/>
                <w:sz w:val="18"/>
              </w:rPr>
              <w:t>1,243</w:t>
            </w:r>
          </w:p>
        </w:tc>
        <w:tc>
          <w:tcPr>
            <w:tcW w:w="1109" w:type="dxa"/>
            <w:gridSpan w:val="2"/>
            <w:tcBorders>
              <w:bottom w:val="single" w:sz="6" w:space="0" w:color="000000"/>
            </w:tcBorders>
          </w:tcPr>
          <w:p w14:paraId="2772CD25" w14:textId="77777777" w:rsidR="00AC6F3C" w:rsidRDefault="00AC6F3C">
            <w:pPr>
              <w:pStyle w:val="TableParagraph"/>
              <w:spacing w:before="7"/>
              <w:rPr>
                <w:sz w:val="16"/>
              </w:rPr>
            </w:pPr>
          </w:p>
          <w:p w14:paraId="7A34BB23" w14:textId="77777777" w:rsidR="00AC6F3C" w:rsidRDefault="00570E88">
            <w:pPr>
              <w:pStyle w:val="TableParagraph"/>
              <w:ind w:right="21"/>
              <w:jc w:val="right"/>
              <w:rPr>
                <w:sz w:val="18"/>
              </w:rPr>
            </w:pPr>
            <w:r>
              <w:rPr>
                <w:spacing w:val="-5"/>
                <w:sz w:val="18"/>
              </w:rPr>
              <w:t>858</w:t>
            </w:r>
          </w:p>
        </w:tc>
        <w:tc>
          <w:tcPr>
            <w:tcW w:w="1139" w:type="dxa"/>
            <w:tcBorders>
              <w:bottom w:val="single" w:sz="6" w:space="0" w:color="000000"/>
            </w:tcBorders>
            <w:shd w:val="clear" w:color="auto" w:fill="F1F1F1"/>
          </w:tcPr>
          <w:p w14:paraId="53FC1E7B" w14:textId="77777777" w:rsidR="00AC6F3C" w:rsidRDefault="00AC6F3C">
            <w:pPr>
              <w:pStyle w:val="TableParagraph"/>
              <w:spacing w:before="7"/>
              <w:rPr>
                <w:sz w:val="16"/>
              </w:rPr>
            </w:pPr>
          </w:p>
          <w:p w14:paraId="0A2A3CC3" w14:textId="77777777" w:rsidR="00AC6F3C" w:rsidRDefault="00570E88">
            <w:pPr>
              <w:pStyle w:val="TableParagraph"/>
              <w:ind w:right="37"/>
              <w:jc w:val="right"/>
              <w:rPr>
                <w:sz w:val="18"/>
              </w:rPr>
            </w:pPr>
            <w:r>
              <w:rPr>
                <w:spacing w:val="-5"/>
                <w:sz w:val="18"/>
              </w:rPr>
              <w:t>953</w:t>
            </w:r>
          </w:p>
        </w:tc>
        <w:tc>
          <w:tcPr>
            <w:tcW w:w="1116" w:type="dxa"/>
            <w:gridSpan w:val="2"/>
            <w:tcBorders>
              <w:bottom w:val="single" w:sz="6" w:space="0" w:color="000000"/>
              <w:right w:val="single" w:sz="6" w:space="0" w:color="000000"/>
            </w:tcBorders>
          </w:tcPr>
          <w:p w14:paraId="1169C3C8" w14:textId="77777777" w:rsidR="00AC6F3C" w:rsidRDefault="00AC6F3C">
            <w:pPr>
              <w:pStyle w:val="TableParagraph"/>
              <w:spacing w:before="7"/>
              <w:rPr>
                <w:sz w:val="16"/>
              </w:rPr>
            </w:pPr>
          </w:p>
          <w:p w14:paraId="21889950" w14:textId="77777777" w:rsidR="00AC6F3C" w:rsidRDefault="00570E88">
            <w:pPr>
              <w:pStyle w:val="TableParagraph"/>
              <w:ind w:right="22"/>
              <w:jc w:val="right"/>
              <w:rPr>
                <w:sz w:val="18"/>
              </w:rPr>
            </w:pPr>
            <w:r>
              <w:rPr>
                <w:spacing w:val="-5"/>
                <w:sz w:val="18"/>
              </w:rPr>
              <w:t>559</w:t>
            </w:r>
          </w:p>
        </w:tc>
      </w:tr>
      <w:tr w:rsidR="00AC6F3C" w14:paraId="07BA5E70"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749C0C34" w14:textId="77777777" w:rsidR="00AC6F3C" w:rsidRDefault="00570E88">
            <w:pPr>
              <w:pStyle w:val="TableParagraph"/>
              <w:spacing w:before="40"/>
              <w:ind w:left="37"/>
              <w:rPr>
                <w:b/>
                <w:sz w:val="18"/>
              </w:rPr>
            </w:pPr>
            <w:r>
              <w:rPr>
                <w:b/>
                <w:spacing w:val="-4"/>
                <w:sz w:val="18"/>
              </w:rPr>
              <w:t>Total</w:t>
            </w:r>
            <w:r>
              <w:rPr>
                <w:b/>
                <w:spacing w:val="-2"/>
                <w:sz w:val="18"/>
              </w:rPr>
              <w:t xml:space="preserve"> receivables</w:t>
            </w:r>
          </w:p>
        </w:tc>
        <w:tc>
          <w:tcPr>
            <w:tcW w:w="1718" w:type="dxa"/>
            <w:gridSpan w:val="2"/>
            <w:tcBorders>
              <w:top w:val="single" w:sz="6" w:space="0" w:color="000000"/>
              <w:bottom w:val="single" w:sz="6" w:space="0" w:color="000000"/>
            </w:tcBorders>
            <w:shd w:val="clear" w:color="auto" w:fill="BEBEBE"/>
          </w:tcPr>
          <w:p w14:paraId="218D1749" w14:textId="77777777" w:rsidR="00AC6F3C" w:rsidRDefault="00570E88">
            <w:pPr>
              <w:pStyle w:val="TableParagraph"/>
              <w:spacing w:before="40"/>
              <w:ind w:left="627" w:right="609"/>
              <w:jc w:val="center"/>
              <w:rPr>
                <w:b/>
                <w:sz w:val="18"/>
              </w:rPr>
            </w:pPr>
            <w:r>
              <w:rPr>
                <w:b/>
                <w:spacing w:val="-2"/>
                <w:sz w:val="18"/>
              </w:rPr>
              <w:t>2,598</w:t>
            </w:r>
          </w:p>
        </w:tc>
        <w:tc>
          <w:tcPr>
            <w:tcW w:w="530" w:type="dxa"/>
            <w:tcBorders>
              <w:top w:val="single" w:sz="6" w:space="0" w:color="000000"/>
              <w:bottom w:val="single" w:sz="6" w:space="0" w:color="000000"/>
            </w:tcBorders>
            <w:shd w:val="clear" w:color="auto" w:fill="BEBEBE"/>
          </w:tcPr>
          <w:p w14:paraId="3CC310AE" w14:textId="77777777" w:rsidR="00AC6F3C" w:rsidRDefault="00570E88">
            <w:pPr>
              <w:pStyle w:val="TableParagraph"/>
              <w:spacing w:before="40"/>
              <w:ind w:left="41"/>
              <w:rPr>
                <w:b/>
                <w:sz w:val="18"/>
              </w:rPr>
            </w:pPr>
            <w:r>
              <w:rPr>
                <w:b/>
                <w:spacing w:val="-2"/>
                <w:sz w:val="18"/>
              </w:rPr>
              <w:t>1,437</w:t>
            </w:r>
          </w:p>
        </w:tc>
        <w:tc>
          <w:tcPr>
            <w:tcW w:w="1581" w:type="dxa"/>
            <w:gridSpan w:val="2"/>
            <w:tcBorders>
              <w:top w:val="single" w:sz="6" w:space="0" w:color="000000"/>
              <w:bottom w:val="single" w:sz="6" w:space="0" w:color="000000"/>
            </w:tcBorders>
            <w:shd w:val="clear" w:color="auto" w:fill="BEBEBE"/>
          </w:tcPr>
          <w:p w14:paraId="2263AFCA" w14:textId="77777777" w:rsidR="00AC6F3C" w:rsidRDefault="00570E88">
            <w:pPr>
              <w:pStyle w:val="TableParagraph"/>
              <w:spacing w:before="40"/>
              <w:ind w:left="635"/>
              <w:rPr>
                <w:b/>
                <w:sz w:val="18"/>
              </w:rPr>
            </w:pPr>
            <w:r>
              <w:rPr>
                <w:b/>
                <w:spacing w:val="-2"/>
                <w:sz w:val="18"/>
              </w:rPr>
              <w:t>2,102</w:t>
            </w:r>
          </w:p>
        </w:tc>
        <w:tc>
          <w:tcPr>
            <w:tcW w:w="674" w:type="dxa"/>
            <w:tcBorders>
              <w:top w:val="single" w:sz="6" w:space="0" w:color="000000"/>
              <w:bottom w:val="single" w:sz="6" w:space="0" w:color="000000"/>
              <w:right w:val="single" w:sz="6" w:space="0" w:color="000000"/>
            </w:tcBorders>
            <w:shd w:val="clear" w:color="auto" w:fill="BEBEBE"/>
          </w:tcPr>
          <w:p w14:paraId="655BA449" w14:textId="77777777" w:rsidR="00AC6F3C" w:rsidRDefault="00570E88">
            <w:pPr>
              <w:pStyle w:val="TableParagraph"/>
              <w:spacing w:before="40"/>
              <w:ind w:left="327"/>
              <w:rPr>
                <w:b/>
                <w:sz w:val="18"/>
              </w:rPr>
            </w:pPr>
            <w:r>
              <w:rPr>
                <w:b/>
                <w:spacing w:val="-5"/>
                <w:sz w:val="18"/>
              </w:rPr>
              <w:t>878</w:t>
            </w:r>
          </w:p>
        </w:tc>
      </w:tr>
    </w:tbl>
    <w:p w14:paraId="13C5A0F8" w14:textId="77777777" w:rsidR="00AC6F3C" w:rsidRDefault="00AC6F3C">
      <w:pPr>
        <w:pStyle w:val="BodyText"/>
        <w:spacing w:before="3"/>
        <w:rPr>
          <w:sz w:val="22"/>
        </w:rPr>
      </w:pPr>
    </w:p>
    <w:p w14:paraId="1FBCF900" w14:textId="77777777" w:rsidR="00AC6F3C" w:rsidRDefault="00570E88">
      <w:pPr>
        <w:tabs>
          <w:tab w:val="left" w:pos="1666"/>
        </w:tabs>
        <w:ind w:left="958"/>
        <w:rPr>
          <w:b/>
          <w:sz w:val="28"/>
        </w:rPr>
      </w:pPr>
      <w:r>
        <w:rPr>
          <w:b/>
          <w:spacing w:val="-5"/>
          <w:sz w:val="28"/>
        </w:rPr>
        <w:t>C3</w:t>
      </w:r>
      <w:r>
        <w:rPr>
          <w:b/>
          <w:sz w:val="28"/>
        </w:rPr>
        <w:tab/>
        <w:t>INVESTMENT</w:t>
      </w:r>
      <w:r>
        <w:rPr>
          <w:b/>
          <w:spacing w:val="-10"/>
          <w:sz w:val="28"/>
        </w:rPr>
        <w:t xml:space="preserve"> </w:t>
      </w:r>
      <w:r>
        <w:rPr>
          <w:b/>
          <w:sz w:val="28"/>
        </w:rPr>
        <w:t>IN</w:t>
      </w:r>
      <w:r>
        <w:rPr>
          <w:b/>
          <w:spacing w:val="-11"/>
          <w:sz w:val="28"/>
        </w:rPr>
        <w:t xml:space="preserve"> </w:t>
      </w:r>
      <w:r>
        <w:rPr>
          <w:b/>
          <w:sz w:val="28"/>
        </w:rPr>
        <w:t>CONTROLLED</w:t>
      </w:r>
      <w:r>
        <w:rPr>
          <w:b/>
          <w:spacing w:val="-7"/>
          <w:sz w:val="28"/>
        </w:rPr>
        <w:t xml:space="preserve"> </w:t>
      </w:r>
      <w:r>
        <w:rPr>
          <w:b/>
          <w:spacing w:val="-2"/>
          <w:sz w:val="28"/>
        </w:rPr>
        <w:t>ENTITIES</w:t>
      </w:r>
    </w:p>
    <w:p w14:paraId="2FA9439A" w14:textId="77777777" w:rsidR="00AC6F3C" w:rsidRDefault="00570E88">
      <w:pPr>
        <w:spacing w:before="242"/>
        <w:ind w:left="958" w:right="886"/>
        <w:rPr>
          <w:sz w:val="18"/>
        </w:rPr>
      </w:pPr>
      <w:r>
        <w:rPr>
          <w:sz w:val="18"/>
        </w:rPr>
        <w:t>In June 2001, Lexon was incorporated in Singapore as the captive insurer of the Society.</w:t>
      </w:r>
      <w:r>
        <w:rPr>
          <w:spacing w:val="40"/>
          <w:sz w:val="18"/>
        </w:rPr>
        <w:t xml:space="preserve"> </w:t>
      </w:r>
      <w:r>
        <w:rPr>
          <w:sz w:val="18"/>
        </w:rPr>
        <w:t xml:space="preserve">The company was </w:t>
      </w:r>
      <w:proofErr w:type="spellStart"/>
      <w:r>
        <w:rPr>
          <w:sz w:val="18"/>
        </w:rPr>
        <w:t>capitalised</w:t>
      </w:r>
      <w:proofErr w:type="spellEnd"/>
      <w:r>
        <w:rPr>
          <w:sz w:val="18"/>
        </w:rPr>
        <w:t xml:space="preserve"> with $9,000,000 via surplus funds from the Society controlled Law Claims Levy Fund.</w:t>
      </w:r>
      <w:r>
        <w:rPr>
          <w:spacing w:val="40"/>
          <w:sz w:val="18"/>
        </w:rPr>
        <w:t xml:space="preserve"> </w:t>
      </w:r>
      <w:r>
        <w:rPr>
          <w:sz w:val="18"/>
        </w:rPr>
        <w:t>A further $10,000,000 was issued in May 2009.</w:t>
      </w:r>
      <w:r>
        <w:rPr>
          <w:spacing w:val="40"/>
          <w:sz w:val="18"/>
        </w:rPr>
        <w:t xml:space="preserve"> </w:t>
      </w:r>
      <w:r>
        <w:rPr>
          <w:sz w:val="18"/>
        </w:rPr>
        <w:t>The $19,000,000 share capital of the company is fully owned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Society</w:t>
      </w:r>
      <w:r>
        <w:rPr>
          <w:spacing w:val="-1"/>
          <w:sz w:val="18"/>
        </w:rPr>
        <w:t xml:space="preserve"> </w:t>
      </w:r>
      <w:r>
        <w:rPr>
          <w:sz w:val="18"/>
        </w:rPr>
        <w:t>and</w:t>
      </w:r>
      <w:r>
        <w:rPr>
          <w:spacing w:val="-1"/>
          <w:sz w:val="18"/>
        </w:rPr>
        <w:t xml:space="preserve"> </w:t>
      </w:r>
      <w:r>
        <w:rPr>
          <w:sz w:val="18"/>
        </w:rPr>
        <w:t>the</w:t>
      </w:r>
      <w:r>
        <w:rPr>
          <w:spacing w:val="-4"/>
          <w:sz w:val="18"/>
        </w:rPr>
        <w:t xml:space="preserve"> </w:t>
      </w:r>
      <w:r>
        <w:rPr>
          <w:sz w:val="18"/>
        </w:rPr>
        <w:t>company</w:t>
      </w:r>
      <w:r>
        <w:rPr>
          <w:spacing w:val="-1"/>
          <w:sz w:val="18"/>
        </w:rPr>
        <w:t xml:space="preserve"> </w:t>
      </w:r>
      <w:r>
        <w:rPr>
          <w:sz w:val="18"/>
        </w:rPr>
        <w:t>is</w:t>
      </w:r>
      <w:r>
        <w:rPr>
          <w:spacing w:val="-1"/>
          <w:sz w:val="18"/>
        </w:rPr>
        <w:t xml:space="preserve"> </w:t>
      </w:r>
      <w:r>
        <w:rPr>
          <w:sz w:val="18"/>
        </w:rPr>
        <w:t>a</w:t>
      </w:r>
      <w:r>
        <w:rPr>
          <w:spacing w:val="-4"/>
          <w:sz w:val="18"/>
        </w:rPr>
        <w:t xml:space="preserve"> </w:t>
      </w:r>
      <w:r>
        <w:rPr>
          <w:sz w:val="18"/>
        </w:rPr>
        <w:t>controlled</w:t>
      </w:r>
      <w:r>
        <w:rPr>
          <w:spacing w:val="-1"/>
          <w:sz w:val="18"/>
        </w:rPr>
        <w:t xml:space="preserve"> </w:t>
      </w:r>
      <w:r>
        <w:rPr>
          <w:sz w:val="18"/>
        </w:rPr>
        <w:t>entity</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Society.</w:t>
      </w:r>
      <w:r>
        <w:rPr>
          <w:spacing w:val="40"/>
          <w:sz w:val="18"/>
        </w:rPr>
        <w:t xml:space="preserve"> </w:t>
      </w:r>
      <w:r>
        <w:rPr>
          <w:sz w:val="18"/>
        </w:rPr>
        <w:t>Share</w:t>
      </w:r>
      <w:r>
        <w:rPr>
          <w:spacing w:val="-4"/>
          <w:sz w:val="18"/>
        </w:rPr>
        <w:t xml:space="preserve"> </w:t>
      </w:r>
      <w:r>
        <w:rPr>
          <w:sz w:val="18"/>
        </w:rPr>
        <w:t>capital</w:t>
      </w:r>
      <w:r>
        <w:rPr>
          <w:spacing w:val="-4"/>
          <w:sz w:val="18"/>
        </w:rPr>
        <w:t xml:space="preserve"> </w:t>
      </w:r>
      <w:r>
        <w:rPr>
          <w:sz w:val="18"/>
        </w:rPr>
        <w:t>is</w:t>
      </w:r>
      <w:r>
        <w:rPr>
          <w:spacing w:val="-1"/>
          <w:sz w:val="18"/>
        </w:rPr>
        <w:t xml:space="preserve"> </w:t>
      </w:r>
      <w:r>
        <w:rPr>
          <w:sz w:val="18"/>
        </w:rPr>
        <w:t>eliminated</w:t>
      </w:r>
      <w:r>
        <w:rPr>
          <w:spacing w:val="-1"/>
          <w:sz w:val="18"/>
        </w:rPr>
        <w:t xml:space="preserve"> </w:t>
      </w:r>
      <w:r>
        <w:rPr>
          <w:sz w:val="18"/>
        </w:rPr>
        <w:t xml:space="preserve">on </w:t>
      </w:r>
      <w:r>
        <w:rPr>
          <w:spacing w:val="-2"/>
          <w:sz w:val="18"/>
        </w:rPr>
        <w:t>consolidation.</w:t>
      </w:r>
    </w:p>
    <w:p w14:paraId="0B93332E" w14:textId="77777777" w:rsidR="00AC6F3C" w:rsidRDefault="00AC6F3C">
      <w:pPr>
        <w:pStyle w:val="BodyText"/>
        <w:spacing w:before="10"/>
      </w:pPr>
    </w:p>
    <w:tbl>
      <w:tblPr>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41"/>
        <w:gridCol w:w="1138"/>
        <w:gridCol w:w="579"/>
        <w:gridCol w:w="530"/>
        <w:gridCol w:w="1139"/>
        <w:gridCol w:w="443"/>
        <w:gridCol w:w="675"/>
      </w:tblGrid>
      <w:tr w:rsidR="00AC6F3C" w14:paraId="7AB969DC" w14:textId="77777777">
        <w:trPr>
          <w:trHeight w:val="872"/>
        </w:trPr>
        <w:tc>
          <w:tcPr>
            <w:tcW w:w="3841" w:type="dxa"/>
            <w:tcBorders>
              <w:right w:val="nil"/>
            </w:tcBorders>
            <w:shd w:val="clear" w:color="auto" w:fill="BEBEBE"/>
          </w:tcPr>
          <w:p w14:paraId="291F2316" w14:textId="77777777" w:rsidR="00AC6F3C" w:rsidRDefault="00AC6F3C">
            <w:pPr>
              <w:pStyle w:val="TableParagraph"/>
              <w:rPr>
                <w:rFonts w:ascii="Times New Roman"/>
                <w:sz w:val="18"/>
              </w:rPr>
            </w:pPr>
          </w:p>
        </w:tc>
        <w:tc>
          <w:tcPr>
            <w:tcW w:w="1717" w:type="dxa"/>
            <w:gridSpan w:val="2"/>
            <w:tcBorders>
              <w:left w:val="nil"/>
              <w:right w:val="nil"/>
            </w:tcBorders>
            <w:shd w:val="clear" w:color="auto" w:fill="BEBEBE"/>
          </w:tcPr>
          <w:p w14:paraId="2A91BF63" w14:textId="77777777" w:rsidR="00AC6F3C" w:rsidRDefault="00570E88">
            <w:pPr>
              <w:pStyle w:val="TableParagraph"/>
              <w:spacing w:before="33" w:line="381" w:lineRule="auto"/>
              <w:ind w:left="681" w:hanging="105"/>
              <w:rPr>
                <w:b/>
                <w:sz w:val="17"/>
              </w:rPr>
            </w:pPr>
            <w:r>
              <w:rPr>
                <w:b/>
                <w:spacing w:val="-4"/>
                <w:w w:val="105"/>
                <w:sz w:val="17"/>
              </w:rPr>
              <w:t>Consolidated 2023</w:t>
            </w:r>
          </w:p>
          <w:p w14:paraId="3467FBE0" w14:textId="77777777" w:rsidR="00AC6F3C" w:rsidRDefault="00570E88">
            <w:pPr>
              <w:pStyle w:val="TableParagraph"/>
              <w:spacing w:line="181" w:lineRule="exact"/>
              <w:ind w:left="636"/>
              <w:rPr>
                <w:b/>
                <w:sz w:val="17"/>
              </w:rPr>
            </w:pPr>
            <w:r>
              <w:rPr>
                <w:b/>
                <w:spacing w:val="-4"/>
                <w:w w:val="105"/>
                <w:sz w:val="17"/>
              </w:rPr>
              <w:t>$’000</w:t>
            </w:r>
          </w:p>
        </w:tc>
        <w:tc>
          <w:tcPr>
            <w:tcW w:w="530" w:type="dxa"/>
            <w:tcBorders>
              <w:left w:val="nil"/>
              <w:right w:val="nil"/>
            </w:tcBorders>
            <w:shd w:val="clear" w:color="auto" w:fill="BEBEBE"/>
          </w:tcPr>
          <w:p w14:paraId="1436A216" w14:textId="77777777" w:rsidR="00AC6F3C" w:rsidRDefault="00AC6F3C">
            <w:pPr>
              <w:pStyle w:val="TableParagraph"/>
              <w:spacing w:before="10"/>
              <w:rPr>
                <w:sz w:val="29"/>
              </w:rPr>
            </w:pPr>
          </w:p>
          <w:p w14:paraId="0EF4D414" w14:textId="77777777" w:rsidR="00AC6F3C" w:rsidRDefault="00570E88">
            <w:pPr>
              <w:pStyle w:val="TableParagraph"/>
              <w:ind w:left="87"/>
              <w:rPr>
                <w:b/>
                <w:sz w:val="17"/>
              </w:rPr>
            </w:pPr>
            <w:r>
              <w:rPr>
                <w:b/>
                <w:spacing w:val="-4"/>
                <w:w w:val="105"/>
                <w:sz w:val="17"/>
              </w:rPr>
              <w:t>2022</w:t>
            </w:r>
          </w:p>
          <w:p w14:paraId="6178AB93" w14:textId="77777777" w:rsidR="00AC6F3C" w:rsidRDefault="00570E88">
            <w:pPr>
              <w:pStyle w:val="TableParagraph"/>
              <w:spacing w:before="100"/>
              <w:ind w:left="42"/>
              <w:rPr>
                <w:b/>
                <w:sz w:val="17"/>
              </w:rPr>
            </w:pPr>
            <w:r>
              <w:rPr>
                <w:b/>
                <w:spacing w:val="-4"/>
                <w:w w:val="105"/>
                <w:sz w:val="17"/>
              </w:rPr>
              <w:t>$’000</w:t>
            </w:r>
          </w:p>
        </w:tc>
        <w:tc>
          <w:tcPr>
            <w:tcW w:w="1582" w:type="dxa"/>
            <w:gridSpan w:val="2"/>
            <w:tcBorders>
              <w:left w:val="nil"/>
              <w:right w:val="nil"/>
            </w:tcBorders>
            <w:shd w:val="clear" w:color="auto" w:fill="BEBEBE"/>
          </w:tcPr>
          <w:p w14:paraId="6D5B1BF6" w14:textId="77777777" w:rsidR="00AC6F3C" w:rsidRDefault="00570E88">
            <w:pPr>
              <w:pStyle w:val="TableParagraph"/>
              <w:spacing w:before="33" w:line="381" w:lineRule="auto"/>
              <w:ind w:left="680" w:firstLine="164"/>
              <w:rPr>
                <w:b/>
                <w:sz w:val="17"/>
              </w:rPr>
            </w:pPr>
            <w:r>
              <w:rPr>
                <w:b/>
                <w:spacing w:val="-2"/>
                <w:w w:val="105"/>
                <w:sz w:val="17"/>
              </w:rPr>
              <w:t xml:space="preserve">Parent </w:t>
            </w:r>
            <w:r>
              <w:rPr>
                <w:b/>
                <w:spacing w:val="-4"/>
                <w:w w:val="105"/>
                <w:sz w:val="17"/>
              </w:rPr>
              <w:t>2023</w:t>
            </w:r>
          </w:p>
          <w:p w14:paraId="5B4CAC58" w14:textId="77777777" w:rsidR="00AC6F3C" w:rsidRDefault="00570E88">
            <w:pPr>
              <w:pStyle w:val="TableParagraph"/>
              <w:spacing w:line="181" w:lineRule="exact"/>
              <w:ind w:left="635"/>
              <w:rPr>
                <w:b/>
                <w:sz w:val="17"/>
              </w:rPr>
            </w:pPr>
            <w:r>
              <w:rPr>
                <w:b/>
                <w:spacing w:val="-4"/>
                <w:w w:val="105"/>
                <w:sz w:val="17"/>
              </w:rPr>
              <w:t>$’000</w:t>
            </w:r>
          </w:p>
        </w:tc>
        <w:tc>
          <w:tcPr>
            <w:tcW w:w="675" w:type="dxa"/>
            <w:tcBorders>
              <w:left w:val="nil"/>
            </w:tcBorders>
            <w:shd w:val="clear" w:color="auto" w:fill="BEBEBE"/>
          </w:tcPr>
          <w:p w14:paraId="277C8F1A" w14:textId="77777777" w:rsidR="00AC6F3C" w:rsidRDefault="00AC6F3C">
            <w:pPr>
              <w:pStyle w:val="TableParagraph"/>
              <w:spacing w:before="10"/>
              <w:rPr>
                <w:sz w:val="29"/>
              </w:rPr>
            </w:pPr>
          </w:p>
          <w:p w14:paraId="708A97D5" w14:textId="77777777" w:rsidR="00AC6F3C" w:rsidRDefault="00570E88">
            <w:pPr>
              <w:pStyle w:val="TableParagraph"/>
              <w:ind w:left="221"/>
              <w:rPr>
                <w:b/>
                <w:sz w:val="17"/>
              </w:rPr>
            </w:pPr>
            <w:r>
              <w:rPr>
                <w:b/>
                <w:spacing w:val="-4"/>
                <w:w w:val="105"/>
                <w:sz w:val="17"/>
              </w:rPr>
              <w:t>2022</w:t>
            </w:r>
          </w:p>
          <w:p w14:paraId="0FEFB9D9" w14:textId="77777777" w:rsidR="00AC6F3C" w:rsidRDefault="00570E88">
            <w:pPr>
              <w:pStyle w:val="TableParagraph"/>
              <w:spacing w:before="100"/>
              <w:ind w:left="176"/>
              <w:rPr>
                <w:b/>
                <w:sz w:val="17"/>
              </w:rPr>
            </w:pPr>
            <w:r>
              <w:rPr>
                <w:b/>
                <w:spacing w:val="-4"/>
                <w:w w:val="105"/>
                <w:sz w:val="17"/>
              </w:rPr>
              <w:t>$’000</w:t>
            </w:r>
          </w:p>
        </w:tc>
      </w:tr>
      <w:tr w:rsidR="00AC6F3C" w14:paraId="710F5DDA" w14:textId="77777777">
        <w:trPr>
          <w:trHeight w:val="280"/>
        </w:trPr>
        <w:tc>
          <w:tcPr>
            <w:tcW w:w="3841" w:type="dxa"/>
            <w:tcBorders>
              <w:right w:val="nil"/>
            </w:tcBorders>
          </w:tcPr>
          <w:p w14:paraId="361F0752" w14:textId="77777777" w:rsidR="00AC6F3C" w:rsidRDefault="00570E88">
            <w:pPr>
              <w:pStyle w:val="TableParagraph"/>
              <w:spacing w:before="47"/>
              <w:ind w:left="37"/>
              <w:rPr>
                <w:sz w:val="17"/>
              </w:rPr>
            </w:pPr>
            <w:r>
              <w:rPr>
                <w:w w:val="105"/>
                <w:sz w:val="17"/>
              </w:rPr>
              <w:t>Investment</w:t>
            </w:r>
            <w:r>
              <w:rPr>
                <w:spacing w:val="4"/>
                <w:w w:val="105"/>
                <w:sz w:val="17"/>
              </w:rPr>
              <w:t xml:space="preserve"> </w:t>
            </w:r>
            <w:r>
              <w:rPr>
                <w:w w:val="105"/>
                <w:sz w:val="17"/>
              </w:rPr>
              <w:t>in</w:t>
            </w:r>
            <w:r>
              <w:rPr>
                <w:spacing w:val="18"/>
                <w:w w:val="105"/>
                <w:sz w:val="17"/>
              </w:rPr>
              <w:t xml:space="preserve"> </w:t>
            </w:r>
            <w:r>
              <w:rPr>
                <w:w w:val="105"/>
                <w:sz w:val="17"/>
              </w:rPr>
              <w:t>Controlled</w:t>
            </w:r>
            <w:r>
              <w:rPr>
                <w:spacing w:val="17"/>
                <w:w w:val="105"/>
                <w:sz w:val="17"/>
              </w:rPr>
              <w:t xml:space="preserve"> </w:t>
            </w:r>
            <w:r>
              <w:rPr>
                <w:spacing w:val="-2"/>
                <w:w w:val="105"/>
                <w:sz w:val="17"/>
              </w:rPr>
              <w:t>Entities</w:t>
            </w:r>
          </w:p>
        </w:tc>
        <w:tc>
          <w:tcPr>
            <w:tcW w:w="1138" w:type="dxa"/>
            <w:tcBorders>
              <w:left w:val="nil"/>
              <w:right w:val="nil"/>
            </w:tcBorders>
            <w:shd w:val="clear" w:color="auto" w:fill="F1F1F1"/>
          </w:tcPr>
          <w:p w14:paraId="5F68ABEE" w14:textId="77777777" w:rsidR="00AC6F3C" w:rsidRDefault="00570E88">
            <w:pPr>
              <w:pStyle w:val="TableParagraph"/>
              <w:spacing w:before="47"/>
              <w:ind w:right="35"/>
              <w:jc w:val="right"/>
              <w:rPr>
                <w:sz w:val="17"/>
              </w:rPr>
            </w:pPr>
            <w:r>
              <w:rPr>
                <w:w w:val="105"/>
                <w:sz w:val="17"/>
              </w:rPr>
              <w:t>-</w:t>
            </w:r>
          </w:p>
        </w:tc>
        <w:tc>
          <w:tcPr>
            <w:tcW w:w="1109" w:type="dxa"/>
            <w:gridSpan w:val="2"/>
            <w:tcBorders>
              <w:left w:val="nil"/>
              <w:right w:val="nil"/>
            </w:tcBorders>
          </w:tcPr>
          <w:p w14:paraId="4D98ACD1" w14:textId="77777777" w:rsidR="00AC6F3C" w:rsidRDefault="00570E88">
            <w:pPr>
              <w:pStyle w:val="TableParagraph"/>
              <w:spacing w:before="47"/>
              <w:ind w:right="21"/>
              <w:jc w:val="right"/>
              <w:rPr>
                <w:sz w:val="17"/>
              </w:rPr>
            </w:pPr>
            <w:r>
              <w:rPr>
                <w:w w:val="105"/>
                <w:sz w:val="17"/>
              </w:rPr>
              <w:t>-</w:t>
            </w:r>
          </w:p>
        </w:tc>
        <w:tc>
          <w:tcPr>
            <w:tcW w:w="1139" w:type="dxa"/>
            <w:tcBorders>
              <w:left w:val="nil"/>
              <w:right w:val="nil"/>
            </w:tcBorders>
            <w:shd w:val="clear" w:color="auto" w:fill="F1F1F1"/>
          </w:tcPr>
          <w:p w14:paraId="752AA238" w14:textId="77777777" w:rsidR="00AC6F3C" w:rsidRDefault="00570E88">
            <w:pPr>
              <w:pStyle w:val="TableParagraph"/>
              <w:spacing w:before="47"/>
              <w:ind w:left="530"/>
              <w:rPr>
                <w:sz w:val="17"/>
              </w:rPr>
            </w:pPr>
            <w:r>
              <w:rPr>
                <w:spacing w:val="-2"/>
                <w:w w:val="105"/>
                <w:sz w:val="17"/>
              </w:rPr>
              <w:t>19,000</w:t>
            </w:r>
          </w:p>
        </w:tc>
        <w:tc>
          <w:tcPr>
            <w:tcW w:w="1118" w:type="dxa"/>
            <w:gridSpan w:val="2"/>
            <w:tcBorders>
              <w:left w:val="nil"/>
            </w:tcBorders>
          </w:tcPr>
          <w:p w14:paraId="7F9E2571" w14:textId="77777777" w:rsidR="00AC6F3C" w:rsidRDefault="00570E88">
            <w:pPr>
              <w:pStyle w:val="TableParagraph"/>
              <w:spacing w:before="47"/>
              <w:ind w:left="514"/>
              <w:rPr>
                <w:sz w:val="17"/>
              </w:rPr>
            </w:pPr>
            <w:r>
              <w:rPr>
                <w:spacing w:val="-2"/>
                <w:w w:val="105"/>
                <w:sz w:val="17"/>
              </w:rPr>
              <w:t>19,000</w:t>
            </w:r>
          </w:p>
        </w:tc>
      </w:tr>
    </w:tbl>
    <w:p w14:paraId="7590737F" w14:textId="77777777" w:rsidR="00AC6F3C" w:rsidRDefault="00AC6F3C">
      <w:pPr>
        <w:rPr>
          <w:sz w:val="17"/>
        </w:rPr>
        <w:sectPr w:rsidR="00AC6F3C">
          <w:pgSz w:w="11910" w:h="16840"/>
          <w:pgMar w:top="2020" w:right="1160" w:bottom="520" w:left="460" w:header="1228" w:footer="336" w:gutter="0"/>
          <w:cols w:space="720"/>
        </w:sectPr>
      </w:pPr>
    </w:p>
    <w:p w14:paraId="41ABC05B" w14:textId="77777777" w:rsidR="00AC6F3C" w:rsidRDefault="00AC6F3C">
      <w:pPr>
        <w:pStyle w:val="BodyText"/>
      </w:pPr>
    </w:p>
    <w:p w14:paraId="74FF2837" w14:textId="77777777" w:rsidR="00AC6F3C" w:rsidRDefault="00570E88">
      <w:pPr>
        <w:tabs>
          <w:tab w:val="left" w:pos="1666"/>
        </w:tabs>
        <w:spacing w:before="249"/>
        <w:ind w:left="958"/>
        <w:rPr>
          <w:b/>
          <w:sz w:val="28"/>
        </w:rPr>
      </w:pPr>
      <w:r>
        <w:rPr>
          <w:b/>
          <w:spacing w:val="-5"/>
          <w:sz w:val="28"/>
        </w:rPr>
        <w:t>C4</w:t>
      </w:r>
      <w:r>
        <w:rPr>
          <w:b/>
          <w:sz w:val="28"/>
        </w:rPr>
        <w:tab/>
      </w:r>
      <w:r>
        <w:rPr>
          <w:b/>
          <w:spacing w:val="-2"/>
          <w:sz w:val="28"/>
        </w:rPr>
        <w:t>INVESTMENTS</w:t>
      </w:r>
    </w:p>
    <w:p w14:paraId="7BB6B8EB" w14:textId="77777777" w:rsidR="00AC6F3C" w:rsidRDefault="00570E88">
      <w:pPr>
        <w:spacing w:before="239"/>
        <w:ind w:left="958" w:right="730"/>
        <w:rPr>
          <w:sz w:val="18"/>
        </w:rPr>
      </w:pPr>
      <w:r>
        <w:rPr>
          <w:sz w:val="18"/>
        </w:rPr>
        <w:t>Investments held at fair value through profit or loss at inception are those that are managed and their performances are evaluated on a fair value basis, in accordance with documented investment strategies. Assets</w:t>
      </w:r>
      <w:r>
        <w:rPr>
          <w:spacing w:val="-1"/>
          <w:sz w:val="18"/>
        </w:rPr>
        <w:t xml:space="preserve"> </w:t>
      </w:r>
      <w:r>
        <w:rPr>
          <w:sz w:val="18"/>
        </w:rPr>
        <w:t>in</w:t>
      </w:r>
      <w:r>
        <w:rPr>
          <w:spacing w:val="-1"/>
          <w:sz w:val="18"/>
        </w:rPr>
        <w:t xml:space="preserve"> </w:t>
      </w:r>
      <w:r>
        <w:rPr>
          <w:sz w:val="18"/>
        </w:rPr>
        <w:t>this</w:t>
      </w:r>
      <w:r>
        <w:rPr>
          <w:spacing w:val="-3"/>
          <w:sz w:val="18"/>
        </w:rPr>
        <w:t xml:space="preserve"> </w:t>
      </w:r>
      <w:r>
        <w:rPr>
          <w:sz w:val="18"/>
        </w:rPr>
        <w:t>category</w:t>
      </w:r>
      <w:r>
        <w:rPr>
          <w:spacing w:val="-1"/>
          <w:sz w:val="18"/>
        </w:rPr>
        <w:t xml:space="preserve"> </w:t>
      </w:r>
      <w:r>
        <w:rPr>
          <w:sz w:val="18"/>
        </w:rPr>
        <w:t>are</w:t>
      </w:r>
      <w:r>
        <w:rPr>
          <w:spacing w:val="-4"/>
          <w:sz w:val="18"/>
        </w:rPr>
        <w:t xml:space="preserve"> </w:t>
      </w:r>
      <w:r>
        <w:rPr>
          <w:sz w:val="18"/>
        </w:rPr>
        <w:t>presented</w:t>
      </w:r>
      <w:r>
        <w:rPr>
          <w:spacing w:val="-1"/>
          <w:sz w:val="18"/>
        </w:rPr>
        <w:t xml:space="preserve"> </w:t>
      </w:r>
      <w:r>
        <w:rPr>
          <w:sz w:val="18"/>
        </w:rPr>
        <w:t>as</w:t>
      </w:r>
      <w:r>
        <w:rPr>
          <w:spacing w:val="-1"/>
          <w:sz w:val="18"/>
        </w:rPr>
        <w:t xml:space="preserve"> </w:t>
      </w:r>
      <w:r>
        <w:rPr>
          <w:sz w:val="18"/>
        </w:rPr>
        <w:t>current</w:t>
      </w:r>
      <w:r>
        <w:rPr>
          <w:spacing w:val="-4"/>
          <w:sz w:val="18"/>
        </w:rPr>
        <w:t xml:space="preserve"> </w:t>
      </w:r>
      <w:r>
        <w:rPr>
          <w:sz w:val="18"/>
        </w:rPr>
        <w:t>assets</w:t>
      </w:r>
      <w:r>
        <w:rPr>
          <w:spacing w:val="-1"/>
          <w:sz w:val="18"/>
        </w:rPr>
        <w:t xml:space="preserve"> </w:t>
      </w:r>
      <w:r>
        <w:rPr>
          <w:sz w:val="18"/>
        </w:rPr>
        <w:t>if</w:t>
      </w:r>
      <w:r>
        <w:rPr>
          <w:spacing w:val="-2"/>
          <w:sz w:val="18"/>
        </w:rPr>
        <w:t xml:space="preserve"> </w:t>
      </w:r>
      <w:r>
        <w:rPr>
          <w:sz w:val="18"/>
        </w:rPr>
        <w:t>they</w:t>
      </w:r>
      <w:r>
        <w:rPr>
          <w:spacing w:val="-1"/>
          <w:sz w:val="18"/>
        </w:rPr>
        <w:t xml:space="preserve"> </w:t>
      </w:r>
      <w:r>
        <w:rPr>
          <w:sz w:val="18"/>
        </w:rPr>
        <w:t>are</w:t>
      </w:r>
      <w:r>
        <w:rPr>
          <w:spacing w:val="-4"/>
          <w:sz w:val="18"/>
        </w:rPr>
        <w:t xml:space="preserve"> </w:t>
      </w:r>
      <w:r>
        <w:rPr>
          <w:sz w:val="18"/>
        </w:rPr>
        <w:t>either</w:t>
      </w:r>
      <w:r>
        <w:rPr>
          <w:spacing w:val="-2"/>
          <w:sz w:val="18"/>
        </w:rPr>
        <w:t xml:space="preserve"> </w:t>
      </w:r>
      <w:r>
        <w:rPr>
          <w:sz w:val="18"/>
        </w:rPr>
        <w:t>held</w:t>
      </w:r>
      <w:r>
        <w:rPr>
          <w:spacing w:val="-1"/>
          <w:sz w:val="18"/>
        </w:rPr>
        <w:t xml:space="preserve"> </w:t>
      </w:r>
      <w:r>
        <w:rPr>
          <w:sz w:val="18"/>
        </w:rPr>
        <w:t>for</w:t>
      </w:r>
      <w:r>
        <w:rPr>
          <w:spacing w:val="-2"/>
          <w:sz w:val="18"/>
        </w:rPr>
        <w:t xml:space="preserve"> </w:t>
      </w:r>
      <w:r>
        <w:rPr>
          <w:sz w:val="18"/>
        </w:rPr>
        <w:t>trading</w:t>
      </w:r>
      <w:r>
        <w:rPr>
          <w:spacing w:val="-1"/>
          <w:sz w:val="18"/>
        </w:rPr>
        <w:t xml:space="preserve"> </w:t>
      </w:r>
      <w:r>
        <w:rPr>
          <w:sz w:val="18"/>
        </w:rPr>
        <w:t>or</w:t>
      </w:r>
      <w:r>
        <w:rPr>
          <w:spacing w:val="-4"/>
          <w:sz w:val="18"/>
        </w:rPr>
        <w:t xml:space="preserve"> </w:t>
      </w:r>
      <w:r>
        <w:rPr>
          <w:sz w:val="18"/>
        </w:rPr>
        <w:t>are</w:t>
      </w:r>
      <w:r>
        <w:rPr>
          <w:spacing w:val="-1"/>
          <w:sz w:val="18"/>
        </w:rPr>
        <w:t xml:space="preserve"> </w:t>
      </w:r>
      <w:r>
        <w:rPr>
          <w:sz w:val="18"/>
        </w:rPr>
        <w:t>expected</w:t>
      </w:r>
      <w:r>
        <w:rPr>
          <w:spacing w:val="-4"/>
          <w:sz w:val="18"/>
        </w:rPr>
        <w:t xml:space="preserve"> </w:t>
      </w:r>
      <w:r>
        <w:rPr>
          <w:sz w:val="18"/>
        </w:rPr>
        <w:t xml:space="preserve">to be </w:t>
      </w:r>
      <w:proofErr w:type="spellStart"/>
      <w:r>
        <w:rPr>
          <w:sz w:val="18"/>
        </w:rPr>
        <w:t>realised</w:t>
      </w:r>
      <w:proofErr w:type="spellEnd"/>
      <w:r>
        <w:rPr>
          <w:sz w:val="18"/>
        </w:rPr>
        <w:t xml:space="preserve"> within 12 months after the reporting date. At 30 June 2023, investments are classified as non- current assets as they are kept long term and the full value will not be </w:t>
      </w:r>
      <w:proofErr w:type="spellStart"/>
      <w:r>
        <w:rPr>
          <w:sz w:val="18"/>
        </w:rPr>
        <w:t>realised</w:t>
      </w:r>
      <w:proofErr w:type="spellEnd"/>
      <w:r>
        <w:rPr>
          <w:sz w:val="18"/>
        </w:rPr>
        <w:t xml:space="preserve"> within the accounting year.</w:t>
      </w:r>
    </w:p>
    <w:p w14:paraId="2BE101CA" w14:textId="77777777" w:rsidR="00AC6F3C" w:rsidRDefault="00AC6F3C">
      <w:pPr>
        <w:pStyle w:val="BodyText"/>
        <w:spacing w:before="10"/>
      </w:pPr>
    </w:p>
    <w:p w14:paraId="720E63F1" w14:textId="77777777" w:rsidR="00AC6F3C" w:rsidRDefault="00570E88">
      <w:pPr>
        <w:ind w:left="958" w:right="886"/>
        <w:rPr>
          <w:sz w:val="18"/>
        </w:rPr>
      </w:pPr>
      <w:proofErr w:type="spellStart"/>
      <w:r>
        <w:rPr>
          <w:sz w:val="18"/>
        </w:rPr>
        <w:t>Realised</w:t>
      </w:r>
      <w:proofErr w:type="spellEnd"/>
      <w:r>
        <w:rPr>
          <w:sz w:val="18"/>
        </w:rPr>
        <w:t xml:space="preserve"> gains/(losses) represent the net gains/(losses) on the sale of investments and are </w:t>
      </w:r>
      <w:proofErr w:type="spellStart"/>
      <w:r>
        <w:rPr>
          <w:sz w:val="18"/>
        </w:rPr>
        <w:t>recognised</w:t>
      </w:r>
      <w:proofErr w:type="spellEnd"/>
      <w:r>
        <w:rPr>
          <w:sz w:val="18"/>
        </w:rPr>
        <w:t xml:space="preserve"> when</w:t>
      </w:r>
      <w:r>
        <w:rPr>
          <w:spacing w:val="-2"/>
          <w:sz w:val="18"/>
        </w:rPr>
        <w:t xml:space="preserve"> </w:t>
      </w:r>
      <w:r>
        <w:rPr>
          <w:sz w:val="18"/>
        </w:rPr>
        <w:t>investments</w:t>
      </w:r>
      <w:r>
        <w:rPr>
          <w:spacing w:val="-2"/>
          <w:sz w:val="18"/>
        </w:rPr>
        <w:t xml:space="preserve"> </w:t>
      </w:r>
      <w:r>
        <w:rPr>
          <w:sz w:val="18"/>
        </w:rPr>
        <w:t>are</w:t>
      </w:r>
      <w:r>
        <w:rPr>
          <w:spacing w:val="-5"/>
          <w:sz w:val="18"/>
        </w:rPr>
        <w:t xml:space="preserve"> </w:t>
      </w:r>
      <w:r>
        <w:rPr>
          <w:sz w:val="18"/>
        </w:rPr>
        <w:t>sold</w:t>
      </w:r>
      <w:r>
        <w:rPr>
          <w:spacing w:val="-2"/>
          <w:sz w:val="18"/>
        </w:rPr>
        <w:t xml:space="preserve"> </w:t>
      </w:r>
      <w:r>
        <w:rPr>
          <w:sz w:val="18"/>
        </w:rPr>
        <w:t>during</w:t>
      </w:r>
      <w:r>
        <w:rPr>
          <w:spacing w:val="-2"/>
          <w:sz w:val="18"/>
        </w:rPr>
        <w:t xml:space="preserve"> </w:t>
      </w:r>
      <w:r>
        <w:rPr>
          <w:sz w:val="18"/>
        </w:rPr>
        <w:t>the</w:t>
      </w:r>
      <w:r>
        <w:rPr>
          <w:spacing w:val="-2"/>
          <w:sz w:val="18"/>
        </w:rPr>
        <w:t xml:space="preserve"> </w:t>
      </w:r>
      <w:r>
        <w:rPr>
          <w:sz w:val="18"/>
        </w:rPr>
        <w:t>course</w:t>
      </w:r>
      <w:r>
        <w:rPr>
          <w:spacing w:val="-2"/>
          <w:sz w:val="18"/>
        </w:rPr>
        <w:t xml:space="preserve"> </w:t>
      </w:r>
      <w:r>
        <w:rPr>
          <w:sz w:val="18"/>
        </w:rPr>
        <w:t>of</w:t>
      </w:r>
      <w:r>
        <w:rPr>
          <w:spacing w:val="-5"/>
          <w:sz w:val="18"/>
        </w:rPr>
        <w:t xml:space="preserve"> </w:t>
      </w:r>
      <w:r>
        <w:rPr>
          <w:sz w:val="18"/>
        </w:rPr>
        <w:t>the</w:t>
      </w:r>
      <w:r>
        <w:rPr>
          <w:spacing w:val="-5"/>
          <w:sz w:val="18"/>
        </w:rPr>
        <w:t xml:space="preserve"> </w:t>
      </w:r>
      <w:r>
        <w:rPr>
          <w:sz w:val="18"/>
        </w:rPr>
        <w:t>year.</w:t>
      </w:r>
      <w:r>
        <w:rPr>
          <w:spacing w:val="-3"/>
          <w:sz w:val="18"/>
        </w:rPr>
        <w:t xml:space="preserve"> </w:t>
      </w:r>
      <w:r>
        <w:rPr>
          <w:sz w:val="18"/>
        </w:rPr>
        <w:t>Fair</w:t>
      </w:r>
      <w:r>
        <w:rPr>
          <w:spacing w:val="-5"/>
          <w:sz w:val="18"/>
        </w:rPr>
        <w:t xml:space="preserve"> </w:t>
      </w:r>
      <w:r>
        <w:rPr>
          <w:sz w:val="18"/>
        </w:rPr>
        <w:t>value</w:t>
      </w:r>
      <w:r>
        <w:rPr>
          <w:spacing w:val="-2"/>
          <w:sz w:val="18"/>
        </w:rPr>
        <w:t xml:space="preserve"> </w:t>
      </w:r>
      <w:r>
        <w:rPr>
          <w:sz w:val="18"/>
        </w:rPr>
        <w:t>gains/(losses)</w:t>
      </w:r>
      <w:r>
        <w:rPr>
          <w:spacing w:val="-5"/>
          <w:sz w:val="18"/>
        </w:rPr>
        <w:t xml:space="preserve"> </w:t>
      </w:r>
      <w:r>
        <w:rPr>
          <w:sz w:val="18"/>
        </w:rPr>
        <w:t>are</w:t>
      </w:r>
      <w:r>
        <w:rPr>
          <w:spacing w:val="-2"/>
          <w:sz w:val="18"/>
        </w:rPr>
        <w:t xml:space="preserve"> </w:t>
      </w:r>
      <w:proofErr w:type="spellStart"/>
      <w:r>
        <w:rPr>
          <w:sz w:val="18"/>
        </w:rPr>
        <w:t>recognised</w:t>
      </w:r>
      <w:proofErr w:type="spellEnd"/>
      <w:r>
        <w:rPr>
          <w:spacing w:val="-2"/>
          <w:sz w:val="18"/>
        </w:rPr>
        <w:t xml:space="preserve"> </w:t>
      </w:r>
      <w:r>
        <w:rPr>
          <w:sz w:val="18"/>
        </w:rPr>
        <w:t>monthly based on fluctuations in market prices of investments.</w:t>
      </w:r>
    </w:p>
    <w:p w14:paraId="2D1D1248" w14:textId="77777777" w:rsidR="00AC6F3C" w:rsidRDefault="00AC6F3C">
      <w:pPr>
        <w:pStyle w:val="BodyText"/>
        <w:spacing w:before="5" w:after="1"/>
        <w:rPr>
          <w:sz w:val="10"/>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1109"/>
        <w:gridCol w:w="1139"/>
        <w:gridCol w:w="442"/>
        <w:gridCol w:w="674"/>
      </w:tblGrid>
      <w:tr w:rsidR="00AC6F3C" w14:paraId="6A3B8AA2" w14:textId="77777777">
        <w:trPr>
          <w:trHeight w:val="879"/>
        </w:trPr>
        <w:tc>
          <w:tcPr>
            <w:tcW w:w="3843" w:type="dxa"/>
            <w:tcBorders>
              <w:top w:val="single" w:sz="6" w:space="0" w:color="000000"/>
              <w:left w:val="single" w:sz="6" w:space="0" w:color="000000"/>
              <w:bottom w:val="single" w:sz="6" w:space="0" w:color="000000"/>
            </w:tcBorders>
            <w:shd w:val="clear" w:color="auto" w:fill="BEBEBE"/>
          </w:tcPr>
          <w:p w14:paraId="4F532634" w14:textId="77777777" w:rsidR="00AC6F3C" w:rsidRDefault="00AC6F3C">
            <w:pPr>
              <w:pStyle w:val="TableParagraph"/>
              <w:rPr>
                <w:rFonts w:ascii="Times New Roman"/>
                <w:sz w:val="18"/>
              </w:rPr>
            </w:pPr>
          </w:p>
        </w:tc>
        <w:tc>
          <w:tcPr>
            <w:tcW w:w="2248" w:type="dxa"/>
            <w:gridSpan w:val="2"/>
            <w:tcBorders>
              <w:top w:val="single" w:sz="6" w:space="0" w:color="000000"/>
              <w:bottom w:val="single" w:sz="6" w:space="0" w:color="000000"/>
            </w:tcBorders>
            <w:shd w:val="clear" w:color="auto" w:fill="BEBEBE"/>
          </w:tcPr>
          <w:p w14:paraId="43ED6EC2" w14:textId="77777777" w:rsidR="00AC6F3C" w:rsidRDefault="00570E88">
            <w:pPr>
              <w:pStyle w:val="TableParagraph"/>
              <w:spacing w:before="25"/>
              <w:ind w:left="576"/>
              <w:rPr>
                <w:b/>
                <w:sz w:val="18"/>
              </w:rPr>
            </w:pPr>
            <w:r>
              <w:rPr>
                <w:b/>
                <w:spacing w:val="-2"/>
                <w:sz w:val="18"/>
              </w:rPr>
              <w:t>Consolidated</w:t>
            </w:r>
          </w:p>
          <w:p w14:paraId="06BEE877" w14:textId="77777777" w:rsidR="00AC6F3C" w:rsidRDefault="00570E88">
            <w:pPr>
              <w:pStyle w:val="TableParagraph"/>
              <w:tabs>
                <w:tab w:val="left" w:pos="1804"/>
              </w:tabs>
              <w:spacing w:before="106"/>
              <w:ind w:left="681"/>
              <w:rPr>
                <w:b/>
                <w:sz w:val="18"/>
              </w:rPr>
            </w:pPr>
            <w:r>
              <w:rPr>
                <w:b/>
                <w:spacing w:val="-4"/>
                <w:sz w:val="18"/>
              </w:rPr>
              <w:t>2023</w:t>
            </w:r>
            <w:r>
              <w:rPr>
                <w:b/>
                <w:sz w:val="18"/>
              </w:rPr>
              <w:tab/>
            </w:r>
            <w:r>
              <w:rPr>
                <w:b/>
                <w:spacing w:val="-4"/>
                <w:sz w:val="18"/>
              </w:rPr>
              <w:t>2022</w:t>
            </w:r>
          </w:p>
          <w:p w14:paraId="64E8C47E" w14:textId="77777777" w:rsidR="00AC6F3C" w:rsidRDefault="00570E88">
            <w:pPr>
              <w:pStyle w:val="TableParagraph"/>
              <w:tabs>
                <w:tab w:val="left" w:pos="1759"/>
              </w:tabs>
              <w:spacing w:before="91"/>
              <w:ind w:left="636"/>
              <w:rPr>
                <w:b/>
                <w:sz w:val="18"/>
              </w:rPr>
            </w:pPr>
            <w:r>
              <w:rPr>
                <w:b/>
                <w:spacing w:val="-2"/>
                <w:sz w:val="18"/>
              </w:rPr>
              <w:t>$’000</w:t>
            </w:r>
            <w:r>
              <w:rPr>
                <w:b/>
                <w:sz w:val="18"/>
              </w:rPr>
              <w:tab/>
            </w:r>
            <w:r>
              <w:rPr>
                <w:b/>
                <w:spacing w:val="-2"/>
                <w:sz w:val="18"/>
              </w:rPr>
              <w:t>$’000</w:t>
            </w:r>
          </w:p>
        </w:tc>
        <w:tc>
          <w:tcPr>
            <w:tcW w:w="1581" w:type="dxa"/>
            <w:gridSpan w:val="2"/>
            <w:tcBorders>
              <w:top w:val="single" w:sz="6" w:space="0" w:color="000000"/>
              <w:bottom w:val="single" w:sz="6" w:space="0" w:color="000000"/>
            </w:tcBorders>
            <w:shd w:val="clear" w:color="auto" w:fill="BEBEBE"/>
          </w:tcPr>
          <w:p w14:paraId="50C6F681" w14:textId="77777777" w:rsidR="00AC6F3C" w:rsidRDefault="00570E88">
            <w:pPr>
              <w:pStyle w:val="TableParagraph"/>
              <w:spacing w:before="25" w:line="362" w:lineRule="auto"/>
              <w:ind w:left="680" w:firstLine="164"/>
              <w:rPr>
                <w:b/>
                <w:sz w:val="18"/>
              </w:rPr>
            </w:pPr>
            <w:r>
              <w:rPr>
                <w:b/>
                <w:spacing w:val="-2"/>
                <w:sz w:val="18"/>
              </w:rPr>
              <w:t xml:space="preserve">Parent </w:t>
            </w:r>
            <w:r>
              <w:rPr>
                <w:b/>
                <w:spacing w:val="-4"/>
                <w:sz w:val="18"/>
              </w:rPr>
              <w:t>2023</w:t>
            </w:r>
          </w:p>
          <w:p w14:paraId="7BEB9FCE" w14:textId="77777777" w:rsidR="00AC6F3C" w:rsidRDefault="00570E88">
            <w:pPr>
              <w:pStyle w:val="TableParagraph"/>
              <w:spacing w:line="193"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195EA616" w14:textId="77777777" w:rsidR="00AC6F3C" w:rsidRDefault="00AC6F3C">
            <w:pPr>
              <w:pStyle w:val="TableParagraph"/>
              <w:spacing w:before="4"/>
              <w:rPr>
                <w:sz w:val="29"/>
              </w:rPr>
            </w:pPr>
          </w:p>
          <w:p w14:paraId="5F166465" w14:textId="77777777" w:rsidR="00AC6F3C" w:rsidRDefault="00570E88">
            <w:pPr>
              <w:pStyle w:val="TableParagraph"/>
              <w:ind w:left="222"/>
              <w:rPr>
                <w:b/>
                <w:sz w:val="18"/>
              </w:rPr>
            </w:pPr>
            <w:r>
              <w:rPr>
                <w:b/>
                <w:spacing w:val="-4"/>
                <w:sz w:val="18"/>
              </w:rPr>
              <w:t>2022</w:t>
            </w:r>
          </w:p>
          <w:p w14:paraId="79165EB0" w14:textId="77777777" w:rsidR="00AC6F3C" w:rsidRDefault="00570E88">
            <w:pPr>
              <w:pStyle w:val="TableParagraph"/>
              <w:spacing w:before="91"/>
              <w:ind w:left="177"/>
              <w:rPr>
                <w:b/>
                <w:sz w:val="18"/>
              </w:rPr>
            </w:pPr>
            <w:r>
              <w:rPr>
                <w:b/>
                <w:spacing w:val="-2"/>
                <w:sz w:val="18"/>
              </w:rPr>
              <w:t>$’000</w:t>
            </w:r>
          </w:p>
        </w:tc>
      </w:tr>
      <w:tr w:rsidR="00AC6F3C" w14:paraId="6A97ADEF" w14:textId="77777777">
        <w:trPr>
          <w:trHeight w:val="295"/>
        </w:trPr>
        <w:tc>
          <w:tcPr>
            <w:tcW w:w="3843" w:type="dxa"/>
            <w:tcBorders>
              <w:top w:val="single" w:sz="6" w:space="0" w:color="000000"/>
              <w:left w:val="single" w:sz="6" w:space="0" w:color="000000"/>
            </w:tcBorders>
          </w:tcPr>
          <w:p w14:paraId="09425D12" w14:textId="77777777" w:rsidR="00AC6F3C" w:rsidRDefault="00570E88">
            <w:pPr>
              <w:pStyle w:val="TableParagraph"/>
              <w:spacing w:before="40"/>
              <w:ind w:left="37"/>
              <w:rPr>
                <w:b/>
                <w:sz w:val="18"/>
              </w:rPr>
            </w:pPr>
            <w:r>
              <w:rPr>
                <w:b/>
                <w:spacing w:val="-2"/>
                <w:sz w:val="18"/>
              </w:rPr>
              <w:t>Investment</w:t>
            </w:r>
            <w:r>
              <w:rPr>
                <w:b/>
                <w:spacing w:val="-8"/>
                <w:sz w:val="18"/>
              </w:rPr>
              <w:t xml:space="preserve"> </w:t>
            </w:r>
            <w:r>
              <w:rPr>
                <w:b/>
                <w:spacing w:val="-2"/>
                <w:sz w:val="18"/>
              </w:rPr>
              <w:t>in</w:t>
            </w:r>
            <w:r>
              <w:rPr>
                <w:b/>
                <w:spacing w:val="-11"/>
                <w:sz w:val="18"/>
              </w:rPr>
              <w:t xml:space="preserve"> </w:t>
            </w:r>
            <w:r>
              <w:rPr>
                <w:b/>
                <w:spacing w:val="-2"/>
                <w:sz w:val="18"/>
              </w:rPr>
              <w:t>listed</w:t>
            </w:r>
            <w:r>
              <w:rPr>
                <w:b/>
                <w:spacing w:val="-11"/>
                <w:sz w:val="18"/>
              </w:rPr>
              <w:t xml:space="preserve"> </w:t>
            </w:r>
            <w:r>
              <w:rPr>
                <w:b/>
                <w:spacing w:val="-2"/>
                <w:sz w:val="18"/>
              </w:rPr>
              <w:t>funds</w:t>
            </w:r>
          </w:p>
        </w:tc>
        <w:tc>
          <w:tcPr>
            <w:tcW w:w="1139" w:type="dxa"/>
            <w:tcBorders>
              <w:top w:val="single" w:sz="6" w:space="0" w:color="000000"/>
            </w:tcBorders>
            <w:shd w:val="clear" w:color="auto" w:fill="F1F1F1"/>
          </w:tcPr>
          <w:p w14:paraId="51F92473" w14:textId="77777777" w:rsidR="00AC6F3C" w:rsidRDefault="00AC6F3C">
            <w:pPr>
              <w:pStyle w:val="TableParagraph"/>
              <w:rPr>
                <w:rFonts w:ascii="Times New Roman"/>
                <w:sz w:val="18"/>
              </w:rPr>
            </w:pPr>
          </w:p>
        </w:tc>
        <w:tc>
          <w:tcPr>
            <w:tcW w:w="1109" w:type="dxa"/>
            <w:tcBorders>
              <w:top w:val="single" w:sz="6" w:space="0" w:color="000000"/>
            </w:tcBorders>
          </w:tcPr>
          <w:p w14:paraId="5DF8305C"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1564186F" w14:textId="77777777" w:rsidR="00AC6F3C" w:rsidRDefault="00AC6F3C">
            <w:pPr>
              <w:pStyle w:val="TableParagraph"/>
              <w:rPr>
                <w:rFonts w:ascii="Times New Roman"/>
                <w:sz w:val="18"/>
              </w:rPr>
            </w:pPr>
          </w:p>
        </w:tc>
        <w:tc>
          <w:tcPr>
            <w:tcW w:w="1116" w:type="dxa"/>
            <w:gridSpan w:val="2"/>
            <w:tcBorders>
              <w:top w:val="single" w:sz="6" w:space="0" w:color="000000"/>
              <w:right w:val="single" w:sz="6" w:space="0" w:color="000000"/>
            </w:tcBorders>
          </w:tcPr>
          <w:p w14:paraId="3C0A1A17" w14:textId="77777777" w:rsidR="00AC6F3C" w:rsidRDefault="00AC6F3C">
            <w:pPr>
              <w:pStyle w:val="TableParagraph"/>
              <w:rPr>
                <w:rFonts w:ascii="Times New Roman"/>
                <w:sz w:val="18"/>
              </w:rPr>
            </w:pPr>
          </w:p>
        </w:tc>
      </w:tr>
      <w:tr w:rsidR="00AC6F3C" w14:paraId="20D6C381" w14:textId="77777777">
        <w:trPr>
          <w:trHeight w:val="298"/>
        </w:trPr>
        <w:tc>
          <w:tcPr>
            <w:tcW w:w="3843" w:type="dxa"/>
            <w:tcBorders>
              <w:left w:val="single" w:sz="6" w:space="0" w:color="000000"/>
            </w:tcBorders>
          </w:tcPr>
          <w:p w14:paraId="57F891E6" w14:textId="77777777" w:rsidR="00AC6F3C" w:rsidRDefault="00570E88">
            <w:pPr>
              <w:pStyle w:val="TableParagraph"/>
              <w:spacing w:before="42"/>
              <w:ind w:left="37"/>
              <w:rPr>
                <w:sz w:val="18"/>
              </w:rPr>
            </w:pPr>
            <w:r>
              <w:rPr>
                <w:sz w:val="18"/>
              </w:rPr>
              <w:t>Opening</w:t>
            </w:r>
            <w:r>
              <w:rPr>
                <w:spacing w:val="8"/>
                <w:sz w:val="18"/>
              </w:rPr>
              <w:t xml:space="preserve"> </w:t>
            </w:r>
            <w:r>
              <w:rPr>
                <w:spacing w:val="-2"/>
                <w:sz w:val="18"/>
              </w:rPr>
              <w:t>balance</w:t>
            </w:r>
          </w:p>
        </w:tc>
        <w:tc>
          <w:tcPr>
            <w:tcW w:w="1139" w:type="dxa"/>
            <w:shd w:val="clear" w:color="auto" w:fill="F1F1F1"/>
          </w:tcPr>
          <w:p w14:paraId="760209DB" w14:textId="77777777" w:rsidR="00AC6F3C" w:rsidRDefault="00570E88">
            <w:pPr>
              <w:pStyle w:val="TableParagraph"/>
              <w:spacing w:before="42"/>
              <w:ind w:right="36"/>
              <w:jc w:val="right"/>
              <w:rPr>
                <w:sz w:val="18"/>
              </w:rPr>
            </w:pPr>
            <w:r>
              <w:rPr>
                <w:spacing w:val="-2"/>
                <w:sz w:val="18"/>
              </w:rPr>
              <w:t>185,460</w:t>
            </w:r>
          </w:p>
        </w:tc>
        <w:tc>
          <w:tcPr>
            <w:tcW w:w="1109" w:type="dxa"/>
          </w:tcPr>
          <w:p w14:paraId="47410694" w14:textId="77777777" w:rsidR="00AC6F3C" w:rsidRDefault="00570E88">
            <w:pPr>
              <w:pStyle w:val="TableParagraph"/>
              <w:spacing w:before="42"/>
              <w:ind w:right="21"/>
              <w:jc w:val="right"/>
              <w:rPr>
                <w:sz w:val="18"/>
              </w:rPr>
            </w:pPr>
            <w:r>
              <w:rPr>
                <w:spacing w:val="-2"/>
                <w:sz w:val="18"/>
              </w:rPr>
              <w:t>195,638</w:t>
            </w:r>
          </w:p>
        </w:tc>
        <w:tc>
          <w:tcPr>
            <w:tcW w:w="1139" w:type="dxa"/>
            <w:shd w:val="clear" w:color="auto" w:fill="F1F1F1"/>
          </w:tcPr>
          <w:p w14:paraId="24A62486" w14:textId="77777777" w:rsidR="00AC6F3C" w:rsidRDefault="00570E88">
            <w:pPr>
              <w:pStyle w:val="TableParagraph"/>
              <w:spacing w:before="42"/>
              <w:ind w:right="37"/>
              <w:jc w:val="right"/>
              <w:rPr>
                <w:sz w:val="18"/>
              </w:rPr>
            </w:pPr>
            <w:r>
              <w:rPr>
                <w:w w:val="99"/>
                <w:sz w:val="18"/>
              </w:rPr>
              <w:t>-</w:t>
            </w:r>
          </w:p>
        </w:tc>
        <w:tc>
          <w:tcPr>
            <w:tcW w:w="1116" w:type="dxa"/>
            <w:gridSpan w:val="2"/>
            <w:tcBorders>
              <w:right w:val="single" w:sz="6" w:space="0" w:color="000000"/>
            </w:tcBorders>
          </w:tcPr>
          <w:p w14:paraId="14D3EA78" w14:textId="77777777" w:rsidR="00AC6F3C" w:rsidRDefault="00570E88">
            <w:pPr>
              <w:pStyle w:val="TableParagraph"/>
              <w:spacing w:before="42"/>
              <w:ind w:right="22"/>
              <w:jc w:val="right"/>
              <w:rPr>
                <w:sz w:val="18"/>
              </w:rPr>
            </w:pPr>
            <w:r>
              <w:rPr>
                <w:w w:val="99"/>
                <w:sz w:val="18"/>
              </w:rPr>
              <w:t>-</w:t>
            </w:r>
          </w:p>
        </w:tc>
      </w:tr>
      <w:tr w:rsidR="00AC6F3C" w14:paraId="6CF398FF" w14:textId="77777777">
        <w:trPr>
          <w:trHeight w:val="298"/>
        </w:trPr>
        <w:tc>
          <w:tcPr>
            <w:tcW w:w="3843" w:type="dxa"/>
            <w:tcBorders>
              <w:left w:val="single" w:sz="6" w:space="0" w:color="000000"/>
            </w:tcBorders>
          </w:tcPr>
          <w:p w14:paraId="6A16F165" w14:textId="77777777" w:rsidR="00AC6F3C" w:rsidRDefault="00570E88">
            <w:pPr>
              <w:pStyle w:val="TableParagraph"/>
              <w:spacing w:before="42"/>
              <w:ind w:left="37"/>
              <w:rPr>
                <w:sz w:val="18"/>
              </w:rPr>
            </w:pPr>
            <w:r>
              <w:rPr>
                <w:sz w:val="18"/>
              </w:rPr>
              <w:t>Additions via</w:t>
            </w:r>
            <w:r>
              <w:rPr>
                <w:spacing w:val="-7"/>
                <w:sz w:val="18"/>
              </w:rPr>
              <w:t xml:space="preserve"> </w:t>
            </w:r>
            <w:r>
              <w:rPr>
                <w:spacing w:val="-2"/>
                <w:sz w:val="18"/>
              </w:rPr>
              <w:t>reinvestment</w:t>
            </w:r>
          </w:p>
        </w:tc>
        <w:tc>
          <w:tcPr>
            <w:tcW w:w="1139" w:type="dxa"/>
            <w:shd w:val="clear" w:color="auto" w:fill="F1F1F1"/>
          </w:tcPr>
          <w:p w14:paraId="0D379F1D" w14:textId="77777777" w:rsidR="00AC6F3C" w:rsidRDefault="00570E88">
            <w:pPr>
              <w:pStyle w:val="TableParagraph"/>
              <w:spacing w:before="42"/>
              <w:ind w:right="36"/>
              <w:jc w:val="right"/>
              <w:rPr>
                <w:sz w:val="18"/>
              </w:rPr>
            </w:pPr>
            <w:r>
              <w:rPr>
                <w:spacing w:val="-2"/>
                <w:sz w:val="18"/>
              </w:rPr>
              <w:t>4,224</w:t>
            </w:r>
          </w:p>
        </w:tc>
        <w:tc>
          <w:tcPr>
            <w:tcW w:w="1109" w:type="dxa"/>
          </w:tcPr>
          <w:p w14:paraId="29DFD2D5" w14:textId="77777777" w:rsidR="00AC6F3C" w:rsidRDefault="00570E88">
            <w:pPr>
              <w:pStyle w:val="TableParagraph"/>
              <w:spacing w:before="42"/>
              <w:ind w:right="21"/>
              <w:jc w:val="right"/>
              <w:rPr>
                <w:sz w:val="18"/>
              </w:rPr>
            </w:pPr>
            <w:r>
              <w:rPr>
                <w:spacing w:val="-2"/>
                <w:sz w:val="18"/>
              </w:rPr>
              <w:t>8,671</w:t>
            </w:r>
          </w:p>
        </w:tc>
        <w:tc>
          <w:tcPr>
            <w:tcW w:w="1139" w:type="dxa"/>
            <w:shd w:val="clear" w:color="auto" w:fill="F1F1F1"/>
          </w:tcPr>
          <w:p w14:paraId="0AA8112B" w14:textId="77777777" w:rsidR="00AC6F3C" w:rsidRDefault="00570E88">
            <w:pPr>
              <w:pStyle w:val="TableParagraph"/>
              <w:spacing w:before="42"/>
              <w:ind w:right="37"/>
              <w:jc w:val="right"/>
              <w:rPr>
                <w:sz w:val="18"/>
              </w:rPr>
            </w:pPr>
            <w:r>
              <w:rPr>
                <w:w w:val="99"/>
                <w:sz w:val="18"/>
              </w:rPr>
              <w:t>-</w:t>
            </w:r>
          </w:p>
        </w:tc>
        <w:tc>
          <w:tcPr>
            <w:tcW w:w="1116" w:type="dxa"/>
            <w:gridSpan w:val="2"/>
            <w:tcBorders>
              <w:right w:val="single" w:sz="6" w:space="0" w:color="000000"/>
            </w:tcBorders>
          </w:tcPr>
          <w:p w14:paraId="6CA765A7" w14:textId="77777777" w:rsidR="00AC6F3C" w:rsidRDefault="00570E88">
            <w:pPr>
              <w:pStyle w:val="TableParagraph"/>
              <w:spacing w:before="42"/>
              <w:ind w:right="22"/>
              <w:jc w:val="right"/>
              <w:rPr>
                <w:sz w:val="18"/>
              </w:rPr>
            </w:pPr>
            <w:r>
              <w:rPr>
                <w:w w:val="99"/>
                <w:sz w:val="18"/>
              </w:rPr>
              <w:t>-</w:t>
            </w:r>
          </w:p>
        </w:tc>
      </w:tr>
      <w:tr w:rsidR="00AC6F3C" w14:paraId="4984E788" w14:textId="77777777">
        <w:trPr>
          <w:trHeight w:val="298"/>
        </w:trPr>
        <w:tc>
          <w:tcPr>
            <w:tcW w:w="3843" w:type="dxa"/>
            <w:tcBorders>
              <w:left w:val="single" w:sz="6" w:space="0" w:color="000000"/>
            </w:tcBorders>
          </w:tcPr>
          <w:p w14:paraId="58416D0A" w14:textId="77777777" w:rsidR="00AC6F3C" w:rsidRDefault="00570E88">
            <w:pPr>
              <w:pStyle w:val="TableParagraph"/>
              <w:spacing w:before="42"/>
              <w:ind w:left="37"/>
              <w:rPr>
                <w:sz w:val="18"/>
              </w:rPr>
            </w:pPr>
            <w:r>
              <w:rPr>
                <w:sz w:val="18"/>
              </w:rPr>
              <w:t>Disposal</w:t>
            </w:r>
            <w:r>
              <w:rPr>
                <w:spacing w:val="43"/>
                <w:sz w:val="18"/>
              </w:rPr>
              <w:t xml:space="preserve"> </w:t>
            </w:r>
            <w:r>
              <w:rPr>
                <w:spacing w:val="-2"/>
                <w:sz w:val="18"/>
              </w:rPr>
              <w:t>proceeds</w:t>
            </w:r>
          </w:p>
        </w:tc>
        <w:tc>
          <w:tcPr>
            <w:tcW w:w="1139" w:type="dxa"/>
            <w:shd w:val="clear" w:color="auto" w:fill="F1F1F1"/>
          </w:tcPr>
          <w:p w14:paraId="610102F4" w14:textId="77777777" w:rsidR="00AC6F3C" w:rsidRDefault="00570E88">
            <w:pPr>
              <w:pStyle w:val="TableParagraph"/>
              <w:spacing w:before="42"/>
              <w:ind w:right="31"/>
              <w:jc w:val="right"/>
              <w:rPr>
                <w:sz w:val="18"/>
              </w:rPr>
            </w:pPr>
            <w:r>
              <w:rPr>
                <w:spacing w:val="-2"/>
                <w:sz w:val="18"/>
              </w:rPr>
              <w:t>(1,500)</w:t>
            </w:r>
          </w:p>
        </w:tc>
        <w:tc>
          <w:tcPr>
            <w:tcW w:w="1109" w:type="dxa"/>
          </w:tcPr>
          <w:p w14:paraId="7EDB412C" w14:textId="77777777" w:rsidR="00AC6F3C" w:rsidRDefault="00570E88">
            <w:pPr>
              <w:pStyle w:val="TableParagraph"/>
              <w:spacing w:before="42"/>
              <w:ind w:right="17"/>
              <w:jc w:val="right"/>
              <w:rPr>
                <w:sz w:val="18"/>
              </w:rPr>
            </w:pPr>
            <w:r>
              <w:rPr>
                <w:spacing w:val="-2"/>
                <w:sz w:val="18"/>
              </w:rPr>
              <w:t>(2,000)</w:t>
            </w:r>
          </w:p>
        </w:tc>
        <w:tc>
          <w:tcPr>
            <w:tcW w:w="1139" w:type="dxa"/>
            <w:shd w:val="clear" w:color="auto" w:fill="F1F1F1"/>
          </w:tcPr>
          <w:p w14:paraId="3C6042D3" w14:textId="77777777" w:rsidR="00AC6F3C" w:rsidRDefault="00570E88">
            <w:pPr>
              <w:pStyle w:val="TableParagraph"/>
              <w:spacing w:before="42"/>
              <w:ind w:right="37"/>
              <w:jc w:val="right"/>
              <w:rPr>
                <w:sz w:val="18"/>
              </w:rPr>
            </w:pPr>
            <w:r>
              <w:rPr>
                <w:w w:val="99"/>
                <w:sz w:val="18"/>
              </w:rPr>
              <w:t>-</w:t>
            </w:r>
          </w:p>
        </w:tc>
        <w:tc>
          <w:tcPr>
            <w:tcW w:w="1116" w:type="dxa"/>
            <w:gridSpan w:val="2"/>
            <w:tcBorders>
              <w:right w:val="single" w:sz="6" w:space="0" w:color="000000"/>
            </w:tcBorders>
          </w:tcPr>
          <w:p w14:paraId="53F06CA5" w14:textId="77777777" w:rsidR="00AC6F3C" w:rsidRDefault="00570E88">
            <w:pPr>
              <w:pStyle w:val="TableParagraph"/>
              <w:spacing w:before="42"/>
              <w:ind w:right="22"/>
              <w:jc w:val="right"/>
              <w:rPr>
                <w:sz w:val="18"/>
              </w:rPr>
            </w:pPr>
            <w:r>
              <w:rPr>
                <w:w w:val="99"/>
                <w:sz w:val="18"/>
              </w:rPr>
              <w:t>-</w:t>
            </w:r>
          </w:p>
        </w:tc>
      </w:tr>
      <w:tr w:rsidR="00AC6F3C" w14:paraId="7E37C3BC" w14:textId="77777777">
        <w:trPr>
          <w:trHeight w:val="298"/>
        </w:trPr>
        <w:tc>
          <w:tcPr>
            <w:tcW w:w="3843" w:type="dxa"/>
            <w:tcBorders>
              <w:left w:val="single" w:sz="6" w:space="0" w:color="000000"/>
            </w:tcBorders>
          </w:tcPr>
          <w:p w14:paraId="0AB33456" w14:textId="77777777" w:rsidR="00AC6F3C" w:rsidRDefault="00570E88">
            <w:pPr>
              <w:pStyle w:val="TableParagraph"/>
              <w:spacing w:before="42"/>
              <w:ind w:left="37"/>
              <w:rPr>
                <w:sz w:val="18"/>
              </w:rPr>
            </w:pPr>
            <w:r>
              <w:rPr>
                <w:sz w:val="18"/>
              </w:rPr>
              <w:t>Gain</w:t>
            </w:r>
            <w:r>
              <w:rPr>
                <w:spacing w:val="8"/>
                <w:sz w:val="18"/>
              </w:rPr>
              <w:t xml:space="preserve"> </w:t>
            </w:r>
            <w:r>
              <w:rPr>
                <w:sz w:val="18"/>
              </w:rPr>
              <w:t>/</w:t>
            </w:r>
            <w:r>
              <w:rPr>
                <w:spacing w:val="-3"/>
                <w:sz w:val="18"/>
              </w:rPr>
              <w:t xml:space="preserve"> </w:t>
            </w:r>
            <w:r>
              <w:rPr>
                <w:sz w:val="18"/>
              </w:rPr>
              <w:t>(loss)</w:t>
            </w:r>
            <w:r>
              <w:rPr>
                <w:spacing w:val="2"/>
                <w:sz w:val="18"/>
              </w:rPr>
              <w:t xml:space="preserve"> </w:t>
            </w:r>
            <w:r>
              <w:rPr>
                <w:sz w:val="18"/>
              </w:rPr>
              <w:t>on</w:t>
            </w:r>
            <w:r>
              <w:rPr>
                <w:spacing w:val="9"/>
                <w:sz w:val="18"/>
              </w:rPr>
              <w:t xml:space="preserve"> </w:t>
            </w:r>
            <w:r>
              <w:rPr>
                <w:spacing w:val="-2"/>
                <w:sz w:val="18"/>
              </w:rPr>
              <w:t>disposal</w:t>
            </w:r>
          </w:p>
        </w:tc>
        <w:tc>
          <w:tcPr>
            <w:tcW w:w="1139" w:type="dxa"/>
            <w:shd w:val="clear" w:color="auto" w:fill="F1F1F1"/>
          </w:tcPr>
          <w:p w14:paraId="17EB7840" w14:textId="77777777" w:rsidR="00AC6F3C" w:rsidRDefault="00570E88">
            <w:pPr>
              <w:pStyle w:val="TableParagraph"/>
              <w:spacing w:before="42"/>
              <w:ind w:right="36"/>
              <w:jc w:val="right"/>
              <w:rPr>
                <w:sz w:val="18"/>
              </w:rPr>
            </w:pPr>
            <w:r>
              <w:rPr>
                <w:spacing w:val="-5"/>
                <w:sz w:val="18"/>
              </w:rPr>
              <w:t>192</w:t>
            </w:r>
          </w:p>
        </w:tc>
        <w:tc>
          <w:tcPr>
            <w:tcW w:w="1109" w:type="dxa"/>
          </w:tcPr>
          <w:p w14:paraId="3F70DAC9" w14:textId="77777777" w:rsidR="00AC6F3C" w:rsidRDefault="00570E88">
            <w:pPr>
              <w:pStyle w:val="TableParagraph"/>
              <w:spacing w:before="42"/>
              <w:ind w:right="21"/>
              <w:jc w:val="right"/>
              <w:rPr>
                <w:sz w:val="18"/>
              </w:rPr>
            </w:pPr>
            <w:r>
              <w:rPr>
                <w:spacing w:val="-5"/>
                <w:sz w:val="18"/>
              </w:rPr>
              <w:t>687</w:t>
            </w:r>
          </w:p>
        </w:tc>
        <w:tc>
          <w:tcPr>
            <w:tcW w:w="1139" w:type="dxa"/>
            <w:shd w:val="clear" w:color="auto" w:fill="F1F1F1"/>
          </w:tcPr>
          <w:p w14:paraId="678618F3" w14:textId="77777777" w:rsidR="00AC6F3C" w:rsidRDefault="00570E88">
            <w:pPr>
              <w:pStyle w:val="TableParagraph"/>
              <w:spacing w:before="42"/>
              <w:ind w:right="37"/>
              <w:jc w:val="right"/>
              <w:rPr>
                <w:sz w:val="18"/>
              </w:rPr>
            </w:pPr>
            <w:r>
              <w:rPr>
                <w:w w:val="99"/>
                <w:sz w:val="18"/>
              </w:rPr>
              <w:t>-</w:t>
            </w:r>
          </w:p>
        </w:tc>
        <w:tc>
          <w:tcPr>
            <w:tcW w:w="1116" w:type="dxa"/>
            <w:gridSpan w:val="2"/>
            <w:tcBorders>
              <w:right w:val="single" w:sz="6" w:space="0" w:color="000000"/>
            </w:tcBorders>
          </w:tcPr>
          <w:p w14:paraId="1E780A81" w14:textId="77777777" w:rsidR="00AC6F3C" w:rsidRDefault="00570E88">
            <w:pPr>
              <w:pStyle w:val="TableParagraph"/>
              <w:spacing w:before="42"/>
              <w:ind w:right="22"/>
              <w:jc w:val="right"/>
              <w:rPr>
                <w:sz w:val="18"/>
              </w:rPr>
            </w:pPr>
            <w:r>
              <w:rPr>
                <w:w w:val="99"/>
                <w:sz w:val="18"/>
              </w:rPr>
              <w:t>-</w:t>
            </w:r>
          </w:p>
        </w:tc>
      </w:tr>
      <w:tr w:rsidR="00AC6F3C" w14:paraId="0FF7A67A" w14:textId="77777777">
        <w:trPr>
          <w:trHeight w:val="285"/>
        </w:trPr>
        <w:tc>
          <w:tcPr>
            <w:tcW w:w="3843" w:type="dxa"/>
            <w:tcBorders>
              <w:left w:val="single" w:sz="6" w:space="0" w:color="000000"/>
              <w:bottom w:val="single" w:sz="6" w:space="0" w:color="000000"/>
            </w:tcBorders>
          </w:tcPr>
          <w:p w14:paraId="3C5D1170" w14:textId="77777777" w:rsidR="00AC6F3C" w:rsidRDefault="00570E88">
            <w:pPr>
              <w:pStyle w:val="TableParagraph"/>
              <w:spacing w:before="42"/>
              <w:ind w:left="37"/>
              <w:rPr>
                <w:sz w:val="18"/>
              </w:rPr>
            </w:pPr>
            <w:r>
              <w:rPr>
                <w:sz w:val="18"/>
              </w:rPr>
              <w:t>Fair</w:t>
            </w:r>
            <w:r>
              <w:rPr>
                <w:spacing w:val="-9"/>
                <w:sz w:val="18"/>
              </w:rPr>
              <w:t xml:space="preserve"> </w:t>
            </w:r>
            <w:r>
              <w:rPr>
                <w:sz w:val="18"/>
              </w:rPr>
              <w:t>value</w:t>
            </w:r>
            <w:r>
              <w:rPr>
                <w:spacing w:val="-4"/>
                <w:sz w:val="18"/>
              </w:rPr>
              <w:t xml:space="preserve"> </w:t>
            </w:r>
            <w:r>
              <w:rPr>
                <w:spacing w:val="-2"/>
                <w:sz w:val="18"/>
              </w:rPr>
              <w:t>movements</w:t>
            </w:r>
          </w:p>
        </w:tc>
        <w:tc>
          <w:tcPr>
            <w:tcW w:w="1139" w:type="dxa"/>
            <w:tcBorders>
              <w:bottom w:val="single" w:sz="6" w:space="0" w:color="000000"/>
            </w:tcBorders>
            <w:shd w:val="clear" w:color="auto" w:fill="F1F1F1"/>
          </w:tcPr>
          <w:p w14:paraId="5972BF31" w14:textId="77777777" w:rsidR="00AC6F3C" w:rsidRDefault="00570E88">
            <w:pPr>
              <w:pStyle w:val="TableParagraph"/>
              <w:spacing w:before="42"/>
              <w:ind w:right="36"/>
              <w:jc w:val="right"/>
              <w:rPr>
                <w:sz w:val="18"/>
              </w:rPr>
            </w:pPr>
            <w:r>
              <w:rPr>
                <w:spacing w:val="-2"/>
                <w:sz w:val="18"/>
              </w:rPr>
              <w:t>9,089</w:t>
            </w:r>
          </w:p>
        </w:tc>
        <w:tc>
          <w:tcPr>
            <w:tcW w:w="1109" w:type="dxa"/>
            <w:tcBorders>
              <w:bottom w:val="single" w:sz="6" w:space="0" w:color="000000"/>
            </w:tcBorders>
          </w:tcPr>
          <w:p w14:paraId="221D9BE9" w14:textId="77777777" w:rsidR="00AC6F3C" w:rsidRDefault="00570E88">
            <w:pPr>
              <w:pStyle w:val="TableParagraph"/>
              <w:spacing w:before="42"/>
              <w:ind w:right="17"/>
              <w:jc w:val="right"/>
              <w:rPr>
                <w:sz w:val="18"/>
              </w:rPr>
            </w:pPr>
            <w:r>
              <w:rPr>
                <w:spacing w:val="-2"/>
                <w:sz w:val="18"/>
              </w:rPr>
              <w:t>(17,536)</w:t>
            </w:r>
          </w:p>
        </w:tc>
        <w:tc>
          <w:tcPr>
            <w:tcW w:w="1139" w:type="dxa"/>
            <w:tcBorders>
              <w:bottom w:val="single" w:sz="6" w:space="0" w:color="000000"/>
            </w:tcBorders>
            <w:shd w:val="clear" w:color="auto" w:fill="F1F1F1"/>
          </w:tcPr>
          <w:p w14:paraId="64F2FCB4" w14:textId="77777777" w:rsidR="00AC6F3C" w:rsidRDefault="00570E88">
            <w:pPr>
              <w:pStyle w:val="TableParagraph"/>
              <w:spacing w:before="42"/>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58D57508" w14:textId="77777777" w:rsidR="00AC6F3C" w:rsidRDefault="00570E88">
            <w:pPr>
              <w:pStyle w:val="TableParagraph"/>
              <w:spacing w:before="42"/>
              <w:ind w:right="22"/>
              <w:jc w:val="right"/>
              <w:rPr>
                <w:sz w:val="18"/>
              </w:rPr>
            </w:pPr>
            <w:r>
              <w:rPr>
                <w:w w:val="99"/>
                <w:sz w:val="18"/>
              </w:rPr>
              <w:t>-</w:t>
            </w:r>
          </w:p>
        </w:tc>
      </w:tr>
      <w:tr w:rsidR="00AC6F3C" w14:paraId="1C46B1F5" w14:textId="77777777">
        <w:trPr>
          <w:trHeight w:val="283"/>
        </w:trPr>
        <w:tc>
          <w:tcPr>
            <w:tcW w:w="3843" w:type="dxa"/>
            <w:tcBorders>
              <w:top w:val="single" w:sz="6" w:space="0" w:color="000000"/>
              <w:left w:val="single" w:sz="6" w:space="0" w:color="000000"/>
              <w:bottom w:val="single" w:sz="6" w:space="0" w:color="000000"/>
            </w:tcBorders>
            <w:shd w:val="clear" w:color="auto" w:fill="BEBEBE"/>
          </w:tcPr>
          <w:p w14:paraId="2ABA3F62" w14:textId="77777777" w:rsidR="00AC6F3C" w:rsidRDefault="00570E88">
            <w:pPr>
              <w:pStyle w:val="TableParagraph"/>
              <w:spacing w:before="40"/>
              <w:ind w:left="37"/>
              <w:rPr>
                <w:b/>
                <w:sz w:val="18"/>
              </w:rPr>
            </w:pPr>
            <w:r>
              <w:rPr>
                <w:b/>
                <w:spacing w:val="-6"/>
                <w:sz w:val="18"/>
              </w:rPr>
              <w:t>Closing</w:t>
            </w:r>
            <w:r>
              <w:rPr>
                <w:b/>
                <w:spacing w:val="-4"/>
                <w:sz w:val="18"/>
              </w:rPr>
              <w:t xml:space="preserve"> </w:t>
            </w:r>
            <w:r>
              <w:rPr>
                <w:b/>
                <w:spacing w:val="-2"/>
                <w:sz w:val="18"/>
              </w:rPr>
              <w:t>balance</w:t>
            </w:r>
          </w:p>
        </w:tc>
        <w:tc>
          <w:tcPr>
            <w:tcW w:w="2248" w:type="dxa"/>
            <w:gridSpan w:val="2"/>
            <w:tcBorders>
              <w:top w:val="single" w:sz="6" w:space="0" w:color="000000"/>
              <w:bottom w:val="single" w:sz="6" w:space="0" w:color="000000"/>
            </w:tcBorders>
            <w:shd w:val="clear" w:color="auto" w:fill="BEBEBE"/>
          </w:tcPr>
          <w:p w14:paraId="461E5AC2" w14:textId="77777777" w:rsidR="00AC6F3C" w:rsidRDefault="00570E88">
            <w:pPr>
              <w:pStyle w:val="TableParagraph"/>
              <w:tabs>
                <w:tab w:val="left" w:pos="1550"/>
              </w:tabs>
              <w:spacing w:before="40"/>
              <w:ind w:left="426"/>
              <w:rPr>
                <w:b/>
                <w:sz w:val="18"/>
              </w:rPr>
            </w:pPr>
            <w:r>
              <w:rPr>
                <w:b/>
                <w:spacing w:val="-2"/>
                <w:sz w:val="18"/>
              </w:rPr>
              <w:t>197,465</w:t>
            </w:r>
            <w:r>
              <w:rPr>
                <w:b/>
                <w:sz w:val="18"/>
              </w:rPr>
              <w:tab/>
            </w:r>
            <w:r>
              <w:rPr>
                <w:b/>
                <w:spacing w:val="-2"/>
                <w:sz w:val="18"/>
              </w:rPr>
              <w:t>185,460</w:t>
            </w:r>
          </w:p>
        </w:tc>
        <w:tc>
          <w:tcPr>
            <w:tcW w:w="1581" w:type="dxa"/>
            <w:gridSpan w:val="2"/>
            <w:tcBorders>
              <w:top w:val="single" w:sz="6" w:space="0" w:color="000000"/>
              <w:bottom w:val="single" w:sz="6" w:space="0" w:color="000000"/>
            </w:tcBorders>
            <w:shd w:val="clear" w:color="auto" w:fill="BEBEBE"/>
          </w:tcPr>
          <w:p w14:paraId="158C9B3F" w14:textId="77777777" w:rsidR="00AC6F3C" w:rsidRDefault="00570E88">
            <w:pPr>
              <w:pStyle w:val="TableParagraph"/>
              <w:spacing w:before="40"/>
              <w:ind w:left="1039"/>
              <w:rPr>
                <w:b/>
                <w:sz w:val="18"/>
              </w:rPr>
            </w:pPr>
            <w:r>
              <w:rPr>
                <w:b/>
                <w:w w:val="99"/>
                <w:sz w:val="18"/>
              </w:rPr>
              <w:t>-</w:t>
            </w:r>
          </w:p>
        </w:tc>
        <w:tc>
          <w:tcPr>
            <w:tcW w:w="674" w:type="dxa"/>
            <w:tcBorders>
              <w:top w:val="single" w:sz="6" w:space="0" w:color="000000"/>
              <w:bottom w:val="single" w:sz="6" w:space="0" w:color="000000"/>
              <w:right w:val="single" w:sz="6" w:space="0" w:color="000000"/>
            </w:tcBorders>
            <w:shd w:val="clear" w:color="auto" w:fill="BEBEBE"/>
          </w:tcPr>
          <w:p w14:paraId="4E2C8066" w14:textId="77777777" w:rsidR="00AC6F3C" w:rsidRDefault="00570E88">
            <w:pPr>
              <w:pStyle w:val="TableParagraph"/>
              <w:spacing w:before="40"/>
              <w:ind w:right="22"/>
              <w:jc w:val="right"/>
              <w:rPr>
                <w:b/>
                <w:sz w:val="18"/>
              </w:rPr>
            </w:pPr>
            <w:r>
              <w:rPr>
                <w:b/>
                <w:w w:val="99"/>
                <w:sz w:val="18"/>
              </w:rPr>
              <w:t>-</w:t>
            </w:r>
          </w:p>
        </w:tc>
      </w:tr>
    </w:tbl>
    <w:p w14:paraId="5F25C2DE" w14:textId="77777777" w:rsidR="00AC6F3C" w:rsidRDefault="00AC6F3C">
      <w:pPr>
        <w:pStyle w:val="BodyText"/>
        <w:spacing w:before="4"/>
        <w:rPr>
          <w:sz w:val="22"/>
        </w:rPr>
      </w:pPr>
    </w:p>
    <w:p w14:paraId="46B1A7B3" w14:textId="77777777" w:rsidR="00AC6F3C" w:rsidRDefault="00570E88">
      <w:pPr>
        <w:ind w:left="958"/>
        <w:rPr>
          <w:b/>
          <w:sz w:val="20"/>
        </w:rPr>
      </w:pPr>
      <w:r>
        <w:rPr>
          <w:b/>
          <w:sz w:val="20"/>
        </w:rPr>
        <w:t>Fair</w:t>
      </w:r>
      <w:r>
        <w:rPr>
          <w:b/>
          <w:spacing w:val="-8"/>
          <w:sz w:val="20"/>
        </w:rPr>
        <w:t xml:space="preserve"> </w:t>
      </w:r>
      <w:r>
        <w:rPr>
          <w:b/>
          <w:sz w:val="20"/>
        </w:rPr>
        <w:t>value</w:t>
      </w:r>
      <w:r>
        <w:rPr>
          <w:b/>
          <w:spacing w:val="-6"/>
          <w:sz w:val="20"/>
        </w:rPr>
        <w:t xml:space="preserve"> </w:t>
      </w:r>
      <w:r>
        <w:rPr>
          <w:b/>
          <w:spacing w:val="-2"/>
          <w:sz w:val="20"/>
        </w:rPr>
        <w:t>measurements</w:t>
      </w:r>
    </w:p>
    <w:p w14:paraId="287B4AD5" w14:textId="77777777" w:rsidR="00AC6F3C" w:rsidRDefault="00AC6F3C">
      <w:pPr>
        <w:pStyle w:val="BodyText"/>
        <w:spacing w:before="10"/>
        <w:rPr>
          <w:b/>
        </w:rPr>
      </w:pPr>
    </w:p>
    <w:tbl>
      <w:tblPr>
        <w:tblW w:w="0" w:type="auto"/>
        <w:tblInd w:w="972" w:type="dxa"/>
        <w:tblLayout w:type="fixed"/>
        <w:tblCellMar>
          <w:left w:w="0" w:type="dxa"/>
          <w:right w:w="0" w:type="dxa"/>
        </w:tblCellMar>
        <w:tblLook w:val="01E0" w:firstRow="1" w:lastRow="1" w:firstColumn="1" w:lastColumn="1" w:noHBand="0" w:noVBand="0"/>
      </w:tblPr>
      <w:tblGrid>
        <w:gridCol w:w="2382"/>
        <w:gridCol w:w="2144"/>
        <w:gridCol w:w="1038"/>
        <w:gridCol w:w="1011"/>
        <w:gridCol w:w="1038"/>
        <w:gridCol w:w="867"/>
      </w:tblGrid>
      <w:tr w:rsidR="00AC6F3C" w14:paraId="1356DFA8" w14:textId="77777777">
        <w:trPr>
          <w:trHeight w:val="802"/>
        </w:trPr>
        <w:tc>
          <w:tcPr>
            <w:tcW w:w="8480" w:type="dxa"/>
            <w:gridSpan w:val="6"/>
            <w:tcBorders>
              <w:top w:val="single" w:sz="6" w:space="0" w:color="000000"/>
              <w:left w:val="single" w:sz="6" w:space="0" w:color="000000"/>
              <w:bottom w:val="single" w:sz="6" w:space="0" w:color="000000"/>
              <w:right w:val="single" w:sz="6" w:space="0" w:color="000000"/>
            </w:tcBorders>
            <w:shd w:val="clear" w:color="auto" w:fill="BEBEBE"/>
          </w:tcPr>
          <w:p w14:paraId="1CF287D3" w14:textId="77777777" w:rsidR="00AC6F3C" w:rsidRDefault="00570E88">
            <w:pPr>
              <w:pStyle w:val="TableParagraph"/>
              <w:tabs>
                <w:tab w:val="left" w:pos="6162"/>
                <w:tab w:val="left" w:pos="7035"/>
                <w:tab w:val="left" w:pos="7186"/>
                <w:tab w:val="right" w:pos="8441"/>
              </w:tabs>
              <w:spacing w:before="26" w:line="372" w:lineRule="auto"/>
              <w:ind w:left="5138" w:right="21" w:hanging="96"/>
              <w:rPr>
                <w:b/>
                <w:sz w:val="16"/>
              </w:rPr>
            </w:pPr>
            <w:r>
              <w:rPr>
                <w:b/>
                <w:spacing w:val="-2"/>
                <w:sz w:val="16"/>
              </w:rPr>
              <w:t>Consolidated</w:t>
            </w:r>
            <w:r>
              <w:rPr>
                <w:b/>
                <w:sz w:val="16"/>
              </w:rPr>
              <w:tab/>
            </w:r>
            <w:r>
              <w:rPr>
                <w:b/>
                <w:sz w:val="16"/>
              </w:rPr>
              <w:tab/>
              <w:t>Parent</w:t>
            </w:r>
            <w:r>
              <w:rPr>
                <w:b/>
                <w:spacing w:val="2"/>
                <w:sz w:val="16"/>
              </w:rPr>
              <w:t xml:space="preserve"> </w:t>
            </w:r>
            <w:r>
              <w:rPr>
                <w:b/>
                <w:sz w:val="16"/>
              </w:rPr>
              <w:t>Entity</w:t>
            </w:r>
            <w:r>
              <w:rPr>
                <w:b/>
                <w:spacing w:val="80"/>
                <w:sz w:val="16"/>
              </w:rPr>
              <w:t xml:space="preserve"> </w:t>
            </w:r>
            <w:r>
              <w:rPr>
                <w:b/>
                <w:spacing w:val="-4"/>
                <w:sz w:val="16"/>
              </w:rPr>
              <w:t>2023</w:t>
            </w:r>
            <w:r>
              <w:rPr>
                <w:b/>
                <w:sz w:val="16"/>
              </w:rPr>
              <w:tab/>
            </w:r>
            <w:r>
              <w:rPr>
                <w:b/>
                <w:spacing w:val="-4"/>
                <w:sz w:val="16"/>
              </w:rPr>
              <w:t>2022</w:t>
            </w:r>
            <w:r>
              <w:rPr>
                <w:b/>
                <w:sz w:val="16"/>
              </w:rPr>
              <w:tab/>
            </w:r>
            <w:r>
              <w:rPr>
                <w:b/>
                <w:sz w:val="16"/>
              </w:rPr>
              <w:tab/>
            </w:r>
            <w:r>
              <w:rPr>
                <w:b/>
                <w:spacing w:val="-4"/>
                <w:sz w:val="16"/>
              </w:rPr>
              <w:t>2023</w:t>
            </w:r>
            <w:r>
              <w:rPr>
                <w:b/>
                <w:sz w:val="16"/>
              </w:rPr>
              <w:tab/>
            </w:r>
            <w:r>
              <w:rPr>
                <w:b/>
                <w:spacing w:val="-4"/>
                <w:sz w:val="16"/>
              </w:rPr>
              <w:t>2022</w:t>
            </w:r>
          </w:p>
          <w:p w14:paraId="1F517735" w14:textId="77777777" w:rsidR="00AC6F3C" w:rsidRDefault="00570E88">
            <w:pPr>
              <w:pStyle w:val="TableParagraph"/>
              <w:tabs>
                <w:tab w:val="left" w:pos="6121"/>
                <w:tab w:val="left" w:pos="7145"/>
                <w:tab w:val="left" w:pos="8018"/>
              </w:tabs>
              <w:spacing w:line="172" w:lineRule="exact"/>
              <w:ind w:left="5097"/>
              <w:rPr>
                <w:b/>
                <w:sz w:val="16"/>
              </w:rPr>
            </w:pPr>
            <w:r>
              <w:rPr>
                <w:b/>
                <w:spacing w:val="-2"/>
                <w:sz w:val="16"/>
              </w:rPr>
              <w:t>$’000</w:t>
            </w:r>
            <w:r>
              <w:rPr>
                <w:b/>
                <w:sz w:val="16"/>
              </w:rPr>
              <w:tab/>
            </w:r>
            <w:r>
              <w:rPr>
                <w:b/>
                <w:spacing w:val="-2"/>
                <w:sz w:val="16"/>
              </w:rPr>
              <w:t>$’000</w:t>
            </w:r>
            <w:r>
              <w:rPr>
                <w:b/>
                <w:sz w:val="16"/>
              </w:rPr>
              <w:tab/>
            </w:r>
            <w:r>
              <w:rPr>
                <w:b/>
                <w:spacing w:val="-4"/>
                <w:sz w:val="16"/>
              </w:rPr>
              <w:t>$’000</w:t>
            </w:r>
            <w:r>
              <w:rPr>
                <w:b/>
                <w:sz w:val="16"/>
              </w:rPr>
              <w:tab/>
            </w:r>
            <w:r>
              <w:rPr>
                <w:b/>
                <w:spacing w:val="-2"/>
                <w:sz w:val="16"/>
              </w:rPr>
              <w:t>$’000</w:t>
            </w:r>
          </w:p>
        </w:tc>
      </w:tr>
      <w:tr w:rsidR="00AC6F3C" w14:paraId="448B8FD3" w14:textId="77777777">
        <w:trPr>
          <w:trHeight w:val="405"/>
        </w:trPr>
        <w:tc>
          <w:tcPr>
            <w:tcW w:w="2382" w:type="dxa"/>
            <w:tcBorders>
              <w:top w:val="single" w:sz="6" w:space="0" w:color="000000"/>
              <w:left w:val="single" w:sz="6" w:space="0" w:color="000000"/>
            </w:tcBorders>
          </w:tcPr>
          <w:p w14:paraId="06CEFABD" w14:textId="77777777" w:rsidR="00AC6F3C" w:rsidRDefault="00570E88">
            <w:pPr>
              <w:pStyle w:val="TableParagraph"/>
              <w:spacing w:before="40"/>
              <w:ind w:left="33"/>
              <w:rPr>
                <w:b/>
                <w:sz w:val="16"/>
              </w:rPr>
            </w:pPr>
            <w:r>
              <w:rPr>
                <w:b/>
                <w:sz w:val="16"/>
              </w:rPr>
              <w:t>Fair</w:t>
            </w:r>
            <w:r>
              <w:rPr>
                <w:b/>
                <w:spacing w:val="-6"/>
                <w:sz w:val="16"/>
              </w:rPr>
              <w:t xml:space="preserve"> </w:t>
            </w:r>
            <w:r>
              <w:rPr>
                <w:b/>
                <w:sz w:val="16"/>
              </w:rPr>
              <w:t>Value</w:t>
            </w:r>
            <w:r>
              <w:rPr>
                <w:b/>
                <w:spacing w:val="-6"/>
                <w:sz w:val="16"/>
              </w:rPr>
              <w:t xml:space="preserve"> </w:t>
            </w:r>
            <w:r>
              <w:rPr>
                <w:b/>
                <w:spacing w:val="-4"/>
                <w:sz w:val="16"/>
              </w:rPr>
              <w:t>Input</w:t>
            </w:r>
          </w:p>
        </w:tc>
        <w:tc>
          <w:tcPr>
            <w:tcW w:w="2144" w:type="dxa"/>
            <w:tcBorders>
              <w:top w:val="single" w:sz="6" w:space="0" w:color="000000"/>
            </w:tcBorders>
          </w:tcPr>
          <w:p w14:paraId="4D75DBCF" w14:textId="77777777" w:rsidR="00AC6F3C" w:rsidRDefault="00570E88">
            <w:pPr>
              <w:pStyle w:val="TableParagraph"/>
              <w:spacing w:before="40"/>
              <w:ind w:left="1167"/>
              <w:rPr>
                <w:b/>
                <w:sz w:val="16"/>
              </w:rPr>
            </w:pPr>
            <w:r>
              <w:rPr>
                <w:b/>
                <w:spacing w:val="-4"/>
                <w:sz w:val="16"/>
              </w:rPr>
              <w:t>Type</w:t>
            </w:r>
          </w:p>
        </w:tc>
        <w:tc>
          <w:tcPr>
            <w:tcW w:w="1038" w:type="dxa"/>
            <w:tcBorders>
              <w:top w:val="single" w:sz="6" w:space="0" w:color="000000"/>
            </w:tcBorders>
            <w:shd w:val="clear" w:color="auto" w:fill="F1F1F1"/>
          </w:tcPr>
          <w:p w14:paraId="3D7E620D" w14:textId="77777777" w:rsidR="00AC6F3C" w:rsidRDefault="00AC6F3C">
            <w:pPr>
              <w:pStyle w:val="TableParagraph"/>
              <w:rPr>
                <w:rFonts w:ascii="Times New Roman"/>
                <w:sz w:val="18"/>
              </w:rPr>
            </w:pPr>
          </w:p>
        </w:tc>
        <w:tc>
          <w:tcPr>
            <w:tcW w:w="1011" w:type="dxa"/>
            <w:tcBorders>
              <w:top w:val="single" w:sz="6" w:space="0" w:color="000000"/>
            </w:tcBorders>
          </w:tcPr>
          <w:p w14:paraId="34845BFF" w14:textId="77777777" w:rsidR="00AC6F3C" w:rsidRDefault="00AC6F3C">
            <w:pPr>
              <w:pStyle w:val="TableParagraph"/>
              <w:rPr>
                <w:rFonts w:ascii="Times New Roman"/>
                <w:sz w:val="18"/>
              </w:rPr>
            </w:pPr>
          </w:p>
        </w:tc>
        <w:tc>
          <w:tcPr>
            <w:tcW w:w="1038" w:type="dxa"/>
            <w:tcBorders>
              <w:top w:val="single" w:sz="6" w:space="0" w:color="000000"/>
            </w:tcBorders>
            <w:shd w:val="clear" w:color="auto" w:fill="F1F1F1"/>
          </w:tcPr>
          <w:p w14:paraId="54CA2638" w14:textId="77777777" w:rsidR="00AC6F3C" w:rsidRDefault="00AC6F3C">
            <w:pPr>
              <w:pStyle w:val="TableParagraph"/>
              <w:rPr>
                <w:rFonts w:ascii="Times New Roman"/>
                <w:sz w:val="18"/>
              </w:rPr>
            </w:pPr>
          </w:p>
        </w:tc>
        <w:tc>
          <w:tcPr>
            <w:tcW w:w="867" w:type="dxa"/>
            <w:tcBorders>
              <w:top w:val="single" w:sz="6" w:space="0" w:color="000000"/>
              <w:right w:val="single" w:sz="6" w:space="0" w:color="000000"/>
            </w:tcBorders>
          </w:tcPr>
          <w:p w14:paraId="6A29115A" w14:textId="77777777" w:rsidR="00AC6F3C" w:rsidRDefault="00AC6F3C">
            <w:pPr>
              <w:pStyle w:val="TableParagraph"/>
              <w:rPr>
                <w:rFonts w:ascii="Times New Roman"/>
                <w:sz w:val="18"/>
              </w:rPr>
            </w:pPr>
          </w:p>
        </w:tc>
      </w:tr>
      <w:tr w:rsidR="00AC6F3C" w14:paraId="139649C0" w14:textId="77777777">
        <w:trPr>
          <w:trHeight w:val="408"/>
        </w:trPr>
        <w:tc>
          <w:tcPr>
            <w:tcW w:w="2382" w:type="dxa"/>
            <w:tcBorders>
              <w:left w:val="single" w:sz="6" w:space="0" w:color="000000"/>
            </w:tcBorders>
          </w:tcPr>
          <w:p w14:paraId="39195B3C" w14:textId="77777777" w:rsidR="00AC6F3C" w:rsidRDefault="00AC6F3C">
            <w:pPr>
              <w:pStyle w:val="TableParagraph"/>
              <w:spacing w:before="6"/>
              <w:rPr>
                <w:b/>
                <w:sz w:val="15"/>
              </w:rPr>
            </w:pPr>
          </w:p>
          <w:p w14:paraId="1CCDCE83" w14:textId="77777777" w:rsidR="00AC6F3C" w:rsidRDefault="00570E88">
            <w:pPr>
              <w:pStyle w:val="TableParagraph"/>
              <w:ind w:left="33"/>
              <w:rPr>
                <w:sz w:val="16"/>
              </w:rPr>
            </w:pPr>
            <w:r>
              <w:rPr>
                <w:sz w:val="16"/>
              </w:rPr>
              <w:t>Level</w:t>
            </w:r>
            <w:r>
              <w:rPr>
                <w:spacing w:val="6"/>
                <w:sz w:val="16"/>
              </w:rPr>
              <w:t xml:space="preserve"> </w:t>
            </w:r>
            <w:r>
              <w:rPr>
                <w:spacing w:val="-10"/>
                <w:sz w:val="16"/>
              </w:rPr>
              <w:t>1</w:t>
            </w:r>
          </w:p>
        </w:tc>
        <w:tc>
          <w:tcPr>
            <w:tcW w:w="2144" w:type="dxa"/>
          </w:tcPr>
          <w:p w14:paraId="1E783688" w14:textId="77777777" w:rsidR="00AC6F3C" w:rsidRDefault="00AC6F3C">
            <w:pPr>
              <w:pStyle w:val="TableParagraph"/>
              <w:spacing w:before="6"/>
              <w:rPr>
                <w:b/>
                <w:sz w:val="15"/>
              </w:rPr>
            </w:pPr>
          </w:p>
          <w:p w14:paraId="04D0C911" w14:textId="77777777" w:rsidR="00AC6F3C" w:rsidRDefault="00570E88">
            <w:pPr>
              <w:pStyle w:val="TableParagraph"/>
              <w:ind w:left="1167"/>
              <w:rPr>
                <w:sz w:val="16"/>
              </w:rPr>
            </w:pPr>
            <w:r>
              <w:rPr>
                <w:spacing w:val="-4"/>
                <w:sz w:val="16"/>
              </w:rPr>
              <w:t>None</w:t>
            </w:r>
          </w:p>
        </w:tc>
        <w:tc>
          <w:tcPr>
            <w:tcW w:w="1038" w:type="dxa"/>
            <w:shd w:val="clear" w:color="auto" w:fill="F1F1F1"/>
          </w:tcPr>
          <w:p w14:paraId="58BE337E" w14:textId="77777777" w:rsidR="00AC6F3C" w:rsidRDefault="00AC6F3C">
            <w:pPr>
              <w:pStyle w:val="TableParagraph"/>
              <w:spacing w:before="6"/>
              <w:rPr>
                <w:b/>
                <w:sz w:val="15"/>
              </w:rPr>
            </w:pPr>
          </w:p>
          <w:p w14:paraId="13CA49F5" w14:textId="77777777" w:rsidR="00AC6F3C" w:rsidRDefault="00570E88">
            <w:pPr>
              <w:pStyle w:val="TableParagraph"/>
              <w:ind w:right="33"/>
              <w:jc w:val="right"/>
              <w:rPr>
                <w:sz w:val="16"/>
              </w:rPr>
            </w:pPr>
            <w:r>
              <w:rPr>
                <w:w w:val="102"/>
                <w:sz w:val="16"/>
              </w:rPr>
              <w:t>-</w:t>
            </w:r>
          </w:p>
        </w:tc>
        <w:tc>
          <w:tcPr>
            <w:tcW w:w="1011" w:type="dxa"/>
          </w:tcPr>
          <w:p w14:paraId="52840608" w14:textId="77777777" w:rsidR="00AC6F3C" w:rsidRDefault="00AC6F3C">
            <w:pPr>
              <w:pStyle w:val="TableParagraph"/>
              <w:spacing w:before="6"/>
              <w:rPr>
                <w:b/>
                <w:sz w:val="15"/>
              </w:rPr>
            </w:pPr>
          </w:p>
          <w:p w14:paraId="2DE84C6E" w14:textId="77777777" w:rsidR="00AC6F3C" w:rsidRDefault="00570E88">
            <w:pPr>
              <w:pStyle w:val="TableParagraph"/>
              <w:ind w:right="20"/>
              <w:jc w:val="right"/>
              <w:rPr>
                <w:sz w:val="16"/>
              </w:rPr>
            </w:pPr>
            <w:r>
              <w:rPr>
                <w:w w:val="102"/>
                <w:sz w:val="16"/>
              </w:rPr>
              <w:t>-</w:t>
            </w:r>
          </w:p>
        </w:tc>
        <w:tc>
          <w:tcPr>
            <w:tcW w:w="1038" w:type="dxa"/>
            <w:shd w:val="clear" w:color="auto" w:fill="F1F1F1"/>
          </w:tcPr>
          <w:p w14:paraId="43C8E48A" w14:textId="77777777" w:rsidR="00AC6F3C" w:rsidRDefault="00AC6F3C">
            <w:pPr>
              <w:pStyle w:val="TableParagraph"/>
              <w:spacing w:before="6"/>
              <w:rPr>
                <w:b/>
                <w:sz w:val="15"/>
              </w:rPr>
            </w:pPr>
          </w:p>
          <w:p w14:paraId="0CF44E0A" w14:textId="77777777" w:rsidR="00AC6F3C" w:rsidRDefault="00570E88">
            <w:pPr>
              <w:pStyle w:val="TableParagraph"/>
              <w:ind w:right="35"/>
              <w:jc w:val="right"/>
              <w:rPr>
                <w:sz w:val="16"/>
              </w:rPr>
            </w:pPr>
            <w:r>
              <w:rPr>
                <w:w w:val="102"/>
                <w:sz w:val="16"/>
              </w:rPr>
              <w:t>-</w:t>
            </w:r>
          </w:p>
        </w:tc>
        <w:tc>
          <w:tcPr>
            <w:tcW w:w="867" w:type="dxa"/>
            <w:tcBorders>
              <w:right w:val="single" w:sz="6" w:space="0" w:color="000000"/>
            </w:tcBorders>
          </w:tcPr>
          <w:p w14:paraId="13628930" w14:textId="77777777" w:rsidR="00AC6F3C" w:rsidRDefault="00AC6F3C">
            <w:pPr>
              <w:pStyle w:val="TableParagraph"/>
              <w:spacing w:before="6"/>
              <w:rPr>
                <w:b/>
                <w:sz w:val="15"/>
              </w:rPr>
            </w:pPr>
          </w:p>
          <w:p w14:paraId="4635A8B7" w14:textId="77777777" w:rsidR="00AC6F3C" w:rsidRDefault="00570E88">
            <w:pPr>
              <w:pStyle w:val="TableParagraph"/>
              <w:ind w:right="22"/>
              <w:jc w:val="right"/>
              <w:rPr>
                <w:sz w:val="16"/>
              </w:rPr>
            </w:pPr>
            <w:r>
              <w:rPr>
                <w:w w:val="102"/>
                <w:sz w:val="16"/>
              </w:rPr>
              <w:t>-</w:t>
            </w:r>
          </w:p>
        </w:tc>
      </w:tr>
      <w:tr w:rsidR="00AC6F3C" w14:paraId="43000407" w14:textId="77777777">
        <w:trPr>
          <w:trHeight w:val="272"/>
        </w:trPr>
        <w:tc>
          <w:tcPr>
            <w:tcW w:w="2382" w:type="dxa"/>
            <w:tcBorders>
              <w:left w:val="single" w:sz="6" w:space="0" w:color="000000"/>
            </w:tcBorders>
          </w:tcPr>
          <w:p w14:paraId="0798195B" w14:textId="77777777" w:rsidR="00AC6F3C" w:rsidRDefault="00570E88">
            <w:pPr>
              <w:pStyle w:val="TableParagraph"/>
              <w:spacing w:before="43"/>
              <w:ind w:left="33"/>
              <w:rPr>
                <w:sz w:val="16"/>
              </w:rPr>
            </w:pPr>
            <w:r>
              <w:rPr>
                <w:sz w:val="16"/>
              </w:rPr>
              <w:t>Level</w:t>
            </w:r>
            <w:r>
              <w:rPr>
                <w:spacing w:val="6"/>
                <w:sz w:val="16"/>
              </w:rPr>
              <w:t xml:space="preserve"> </w:t>
            </w:r>
            <w:r>
              <w:rPr>
                <w:spacing w:val="-10"/>
                <w:sz w:val="16"/>
              </w:rPr>
              <w:t>2</w:t>
            </w:r>
          </w:p>
        </w:tc>
        <w:tc>
          <w:tcPr>
            <w:tcW w:w="2144" w:type="dxa"/>
          </w:tcPr>
          <w:p w14:paraId="711159EC" w14:textId="77777777" w:rsidR="00AC6F3C" w:rsidRDefault="00570E88">
            <w:pPr>
              <w:pStyle w:val="TableParagraph"/>
              <w:spacing w:before="43"/>
              <w:ind w:left="1167"/>
              <w:rPr>
                <w:sz w:val="16"/>
              </w:rPr>
            </w:pPr>
            <w:r>
              <w:rPr>
                <w:spacing w:val="-2"/>
                <w:sz w:val="16"/>
              </w:rPr>
              <w:t>Investments</w:t>
            </w:r>
          </w:p>
        </w:tc>
        <w:tc>
          <w:tcPr>
            <w:tcW w:w="1038" w:type="dxa"/>
            <w:shd w:val="clear" w:color="auto" w:fill="F1F1F1"/>
          </w:tcPr>
          <w:p w14:paraId="41B3B6D5" w14:textId="77777777" w:rsidR="00AC6F3C" w:rsidRDefault="00570E88">
            <w:pPr>
              <w:pStyle w:val="TableParagraph"/>
              <w:spacing w:before="43"/>
              <w:ind w:right="33"/>
              <w:jc w:val="right"/>
              <w:rPr>
                <w:sz w:val="16"/>
              </w:rPr>
            </w:pPr>
            <w:r>
              <w:rPr>
                <w:spacing w:val="-2"/>
                <w:sz w:val="16"/>
              </w:rPr>
              <w:t>197,465</w:t>
            </w:r>
          </w:p>
        </w:tc>
        <w:tc>
          <w:tcPr>
            <w:tcW w:w="1011" w:type="dxa"/>
          </w:tcPr>
          <w:p w14:paraId="2679EC36" w14:textId="77777777" w:rsidR="00AC6F3C" w:rsidRDefault="00570E88">
            <w:pPr>
              <w:pStyle w:val="TableParagraph"/>
              <w:spacing w:before="43"/>
              <w:ind w:right="21"/>
              <w:jc w:val="right"/>
              <w:rPr>
                <w:sz w:val="16"/>
              </w:rPr>
            </w:pPr>
            <w:r>
              <w:rPr>
                <w:spacing w:val="-2"/>
                <w:sz w:val="16"/>
              </w:rPr>
              <w:t>185,460</w:t>
            </w:r>
          </w:p>
        </w:tc>
        <w:tc>
          <w:tcPr>
            <w:tcW w:w="1038" w:type="dxa"/>
            <w:shd w:val="clear" w:color="auto" w:fill="F1F1F1"/>
          </w:tcPr>
          <w:p w14:paraId="2E679D7F" w14:textId="77777777" w:rsidR="00AC6F3C" w:rsidRDefault="00570E88">
            <w:pPr>
              <w:pStyle w:val="TableParagraph"/>
              <w:spacing w:before="43"/>
              <w:ind w:right="35"/>
              <w:jc w:val="right"/>
              <w:rPr>
                <w:sz w:val="16"/>
              </w:rPr>
            </w:pPr>
            <w:r>
              <w:rPr>
                <w:w w:val="102"/>
                <w:sz w:val="16"/>
              </w:rPr>
              <w:t>-</w:t>
            </w:r>
          </w:p>
        </w:tc>
        <w:tc>
          <w:tcPr>
            <w:tcW w:w="867" w:type="dxa"/>
            <w:tcBorders>
              <w:right w:val="single" w:sz="6" w:space="0" w:color="000000"/>
            </w:tcBorders>
          </w:tcPr>
          <w:p w14:paraId="5811EEB9" w14:textId="77777777" w:rsidR="00AC6F3C" w:rsidRDefault="00570E88">
            <w:pPr>
              <w:pStyle w:val="TableParagraph"/>
              <w:spacing w:before="43"/>
              <w:ind w:right="22"/>
              <w:jc w:val="right"/>
              <w:rPr>
                <w:sz w:val="16"/>
              </w:rPr>
            </w:pPr>
            <w:r>
              <w:rPr>
                <w:w w:val="102"/>
                <w:sz w:val="16"/>
              </w:rPr>
              <w:t>-</w:t>
            </w:r>
          </w:p>
        </w:tc>
      </w:tr>
      <w:tr w:rsidR="00AC6F3C" w14:paraId="35E30C48" w14:textId="77777777">
        <w:trPr>
          <w:trHeight w:val="260"/>
        </w:trPr>
        <w:tc>
          <w:tcPr>
            <w:tcW w:w="2382" w:type="dxa"/>
            <w:tcBorders>
              <w:left w:val="single" w:sz="6" w:space="0" w:color="000000"/>
              <w:bottom w:val="single" w:sz="6" w:space="0" w:color="000000"/>
            </w:tcBorders>
          </w:tcPr>
          <w:p w14:paraId="72A74BB1" w14:textId="77777777" w:rsidR="00AC6F3C" w:rsidRDefault="00570E88">
            <w:pPr>
              <w:pStyle w:val="TableParagraph"/>
              <w:spacing w:before="43"/>
              <w:ind w:left="33"/>
              <w:rPr>
                <w:sz w:val="16"/>
              </w:rPr>
            </w:pPr>
            <w:r>
              <w:rPr>
                <w:sz w:val="16"/>
              </w:rPr>
              <w:t>Level</w:t>
            </w:r>
            <w:r>
              <w:rPr>
                <w:spacing w:val="6"/>
                <w:sz w:val="16"/>
              </w:rPr>
              <w:t xml:space="preserve"> </w:t>
            </w:r>
            <w:r>
              <w:rPr>
                <w:spacing w:val="-10"/>
                <w:sz w:val="16"/>
              </w:rPr>
              <w:t>3</w:t>
            </w:r>
          </w:p>
        </w:tc>
        <w:tc>
          <w:tcPr>
            <w:tcW w:w="2144" w:type="dxa"/>
            <w:tcBorders>
              <w:bottom w:val="single" w:sz="6" w:space="0" w:color="000000"/>
            </w:tcBorders>
          </w:tcPr>
          <w:p w14:paraId="170FCCA0" w14:textId="77777777" w:rsidR="00AC6F3C" w:rsidRDefault="00570E88">
            <w:pPr>
              <w:pStyle w:val="TableParagraph"/>
              <w:spacing w:before="43"/>
              <w:ind w:left="1167"/>
              <w:rPr>
                <w:sz w:val="16"/>
              </w:rPr>
            </w:pPr>
            <w:r>
              <w:rPr>
                <w:spacing w:val="-4"/>
                <w:sz w:val="16"/>
              </w:rPr>
              <w:t>None</w:t>
            </w:r>
          </w:p>
        </w:tc>
        <w:tc>
          <w:tcPr>
            <w:tcW w:w="1038" w:type="dxa"/>
            <w:tcBorders>
              <w:bottom w:val="single" w:sz="6" w:space="0" w:color="000000"/>
            </w:tcBorders>
            <w:shd w:val="clear" w:color="auto" w:fill="F1F1F1"/>
          </w:tcPr>
          <w:p w14:paraId="5429CB66" w14:textId="77777777" w:rsidR="00AC6F3C" w:rsidRDefault="00570E88">
            <w:pPr>
              <w:pStyle w:val="TableParagraph"/>
              <w:spacing w:before="43"/>
              <w:ind w:right="33"/>
              <w:jc w:val="right"/>
              <w:rPr>
                <w:sz w:val="16"/>
              </w:rPr>
            </w:pPr>
            <w:r>
              <w:rPr>
                <w:w w:val="102"/>
                <w:sz w:val="16"/>
              </w:rPr>
              <w:t>-</w:t>
            </w:r>
          </w:p>
        </w:tc>
        <w:tc>
          <w:tcPr>
            <w:tcW w:w="1011" w:type="dxa"/>
            <w:tcBorders>
              <w:bottom w:val="single" w:sz="6" w:space="0" w:color="000000"/>
            </w:tcBorders>
          </w:tcPr>
          <w:p w14:paraId="626CE783" w14:textId="77777777" w:rsidR="00AC6F3C" w:rsidRDefault="00570E88">
            <w:pPr>
              <w:pStyle w:val="TableParagraph"/>
              <w:spacing w:before="43"/>
              <w:ind w:right="20"/>
              <w:jc w:val="right"/>
              <w:rPr>
                <w:sz w:val="16"/>
              </w:rPr>
            </w:pPr>
            <w:r>
              <w:rPr>
                <w:w w:val="102"/>
                <w:sz w:val="16"/>
              </w:rPr>
              <w:t>-</w:t>
            </w:r>
          </w:p>
        </w:tc>
        <w:tc>
          <w:tcPr>
            <w:tcW w:w="1038" w:type="dxa"/>
            <w:tcBorders>
              <w:bottom w:val="single" w:sz="6" w:space="0" w:color="000000"/>
            </w:tcBorders>
            <w:shd w:val="clear" w:color="auto" w:fill="F1F1F1"/>
          </w:tcPr>
          <w:p w14:paraId="06FA762B" w14:textId="77777777" w:rsidR="00AC6F3C" w:rsidRDefault="00570E88">
            <w:pPr>
              <w:pStyle w:val="TableParagraph"/>
              <w:spacing w:before="43"/>
              <w:ind w:right="35"/>
              <w:jc w:val="right"/>
              <w:rPr>
                <w:sz w:val="16"/>
              </w:rPr>
            </w:pPr>
            <w:r>
              <w:rPr>
                <w:w w:val="102"/>
                <w:sz w:val="16"/>
              </w:rPr>
              <w:t>-</w:t>
            </w:r>
          </w:p>
        </w:tc>
        <w:tc>
          <w:tcPr>
            <w:tcW w:w="867" w:type="dxa"/>
            <w:tcBorders>
              <w:bottom w:val="single" w:sz="6" w:space="0" w:color="000000"/>
              <w:right w:val="single" w:sz="6" w:space="0" w:color="000000"/>
            </w:tcBorders>
          </w:tcPr>
          <w:p w14:paraId="51940079" w14:textId="77777777" w:rsidR="00AC6F3C" w:rsidRDefault="00570E88">
            <w:pPr>
              <w:pStyle w:val="TableParagraph"/>
              <w:spacing w:before="43"/>
              <w:ind w:right="22"/>
              <w:jc w:val="right"/>
              <w:rPr>
                <w:sz w:val="16"/>
              </w:rPr>
            </w:pPr>
            <w:r>
              <w:rPr>
                <w:w w:val="102"/>
                <w:sz w:val="16"/>
              </w:rPr>
              <w:t>-</w:t>
            </w:r>
          </w:p>
        </w:tc>
      </w:tr>
      <w:tr w:rsidR="00AC6F3C" w14:paraId="64BB6439" w14:textId="77777777">
        <w:trPr>
          <w:trHeight w:val="257"/>
        </w:trPr>
        <w:tc>
          <w:tcPr>
            <w:tcW w:w="2382" w:type="dxa"/>
            <w:tcBorders>
              <w:top w:val="single" w:sz="6" w:space="0" w:color="000000"/>
              <w:left w:val="single" w:sz="6" w:space="0" w:color="000000"/>
              <w:bottom w:val="single" w:sz="6" w:space="0" w:color="000000"/>
            </w:tcBorders>
            <w:shd w:val="clear" w:color="auto" w:fill="BEBEBE"/>
          </w:tcPr>
          <w:p w14:paraId="625AF654" w14:textId="77777777" w:rsidR="00AC6F3C" w:rsidRDefault="00AC6F3C">
            <w:pPr>
              <w:pStyle w:val="TableParagraph"/>
              <w:rPr>
                <w:rFonts w:ascii="Times New Roman"/>
                <w:sz w:val="18"/>
              </w:rPr>
            </w:pPr>
          </w:p>
        </w:tc>
        <w:tc>
          <w:tcPr>
            <w:tcW w:w="2144" w:type="dxa"/>
            <w:tcBorders>
              <w:top w:val="single" w:sz="6" w:space="0" w:color="000000"/>
              <w:bottom w:val="single" w:sz="6" w:space="0" w:color="000000"/>
            </w:tcBorders>
            <w:shd w:val="clear" w:color="auto" w:fill="BEBEBE"/>
          </w:tcPr>
          <w:p w14:paraId="56A8DBFE" w14:textId="77777777" w:rsidR="00AC6F3C" w:rsidRDefault="00AC6F3C">
            <w:pPr>
              <w:pStyle w:val="TableParagraph"/>
              <w:rPr>
                <w:rFonts w:ascii="Times New Roman"/>
                <w:sz w:val="18"/>
              </w:rPr>
            </w:pPr>
          </w:p>
        </w:tc>
        <w:tc>
          <w:tcPr>
            <w:tcW w:w="1038" w:type="dxa"/>
            <w:tcBorders>
              <w:top w:val="single" w:sz="6" w:space="0" w:color="000000"/>
              <w:bottom w:val="single" w:sz="6" w:space="0" w:color="000000"/>
            </w:tcBorders>
            <w:shd w:val="clear" w:color="auto" w:fill="BEBEBE"/>
          </w:tcPr>
          <w:p w14:paraId="270C7332" w14:textId="77777777" w:rsidR="00AC6F3C" w:rsidRDefault="00570E88">
            <w:pPr>
              <w:pStyle w:val="TableParagraph"/>
              <w:spacing w:before="40"/>
              <w:ind w:right="33"/>
              <w:jc w:val="right"/>
              <w:rPr>
                <w:b/>
                <w:sz w:val="16"/>
              </w:rPr>
            </w:pPr>
            <w:r>
              <w:rPr>
                <w:b/>
                <w:spacing w:val="-2"/>
                <w:sz w:val="16"/>
              </w:rPr>
              <w:t>197,465</w:t>
            </w:r>
          </w:p>
        </w:tc>
        <w:tc>
          <w:tcPr>
            <w:tcW w:w="1011" w:type="dxa"/>
            <w:tcBorders>
              <w:top w:val="single" w:sz="6" w:space="0" w:color="000000"/>
              <w:bottom w:val="single" w:sz="6" w:space="0" w:color="000000"/>
            </w:tcBorders>
            <w:shd w:val="clear" w:color="auto" w:fill="BEBEBE"/>
          </w:tcPr>
          <w:p w14:paraId="23AC096D" w14:textId="77777777" w:rsidR="00AC6F3C" w:rsidRDefault="00570E88">
            <w:pPr>
              <w:pStyle w:val="TableParagraph"/>
              <w:spacing w:before="40"/>
              <w:ind w:right="21"/>
              <w:jc w:val="right"/>
              <w:rPr>
                <w:b/>
                <w:sz w:val="16"/>
              </w:rPr>
            </w:pPr>
            <w:r>
              <w:rPr>
                <w:b/>
                <w:spacing w:val="-2"/>
                <w:sz w:val="16"/>
              </w:rPr>
              <w:t>185,460</w:t>
            </w:r>
          </w:p>
        </w:tc>
        <w:tc>
          <w:tcPr>
            <w:tcW w:w="1038" w:type="dxa"/>
            <w:tcBorders>
              <w:top w:val="single" w:sz="6" w:space="0" w:color="000000"/>
              <w:bottom w:val="single" w:sz="6" w:space="0" w:color="000000"/>
            </w:tcBorders>
            <w:shd w:val="clear" w:color="auto" w:fill="BEBEBE"/>
          </w:tcPr>
          <w:p w14:paraId="19F26049" w14:textId="77777777" w:rsidR="00AC6F3C" w:rsidRDefault="00570E88">
            <w:pPr>
              <w:pStyle w:val="TableParagraph"/>
              <w:spacing w:before="40"/>
              <w:ind w:right="35"/>
              <w:jc w:val="right"/>
              <w:rPr>
                <w:b/>
                <w:sz w:val="16"/>
              </w:rPr>
            </w:pPr>
            <w:r>
              <w:rPr>
                <w:b/>
                <w:w w:val="102"/>
                <w:sz w:val="16"/>
              </w:rPr>
              <w:t>-</w:t>
            </w:r>
          </w:p>
        </w:tc>
        <w:tc>
          <w:tcPr>
            <w:tcW w:w="867" w:type="dxa"/>
            <w:tcBorders>
              <w:top w:val="single" w:sz="6" w:space="0" w:color="000000"/>
              <w:bottom w:val="single" w:sz="6" w:space="0" w:color="000000"/>
              <w:right w:val="single" w:sz="6" w:space="0" w:color="000000"/>
            </w:tcBorders>
            <w:shd w:val="clear" w:color="auto" w:fill="BEBEBE"/>
          </w:tcPr>
          <w:p w14:paraId="02648127" w14:textId="77777777" w:rsidR="00AC6F3C" w:rsidRDefault="00570E88">
            <w:pPr>
              <w:pStyle w:val="TableParagraph"/>
              <w:spacing w:before="40"/>
              <w:ind w:right="22"/>
              <w:jc w:val="right"/>
              <w:rPr>
                <w:b/>
                <w:sz w:val="16"/>
              </w:rPr>
            </w:pPr>
            <w:r>
              <w:rPr>
                <w:b/>
                <w:w w:val="102"/>
                <w:sz w:val="16"/>
              </w:rPr>
              <w:t>-</w:t>
            </w:r>
          </w:p>
        </w:tc>
      </w:tr>
    </w:tbl>
    <w:p w14:paraId="0400BB40" w14:textId="77777777" w:rsidR="00AC6F3C" w:rsidRDefault="00AC6F3C">
      <w:pPr>
        <w:pStyle w:val="BodyText"/>
        <w:spacing w:before="11"/>
        <w:rPr>
          <w:b/>
          <w:sz w:val="22"/>
        </w:rPr>
      </w:pPr>
    </w:p>
    <w:p w14:paraId="2B1C36E1" w14:textId="77777777" w:rsidR="00AC6F3C" w:rsidRDefault="00570E88">
      <w:pPr>
        <w:ind w:left="958" w:right="946"/>
        <w:rPr>
          <w:sz w:val="18"/>
        </w:rPr>
      </w:pPr>
      <w:r>
        <w:rPr>
          <w:sz w:val="18"/>
        </w:rPr>
        <w:t>All</w:t>
      </w:r>
      <w:r>
        <w:rPr>
          <w:spacing w:val="-2"/>
          <w:sz w:val="18"/>
        </w:rPr>
        <w:t xml:space="preserve"> </w:t>
      </w:r>
      <w:r>
        <w:rPr>
          <w:sz w:val="18"/>
        </w:rPr>
        <w:t>investments</w:t>
      </w:r>
      <w:r>
        <w:rPr>
          <w:spacing w:val="-2"/>
          <w:sz w:val="18"/>
        </w:rPr>
        <w:t xml:space="preserve"> </w:t>
      </w:r>
      <w:r>
        <w:rPr>
          <w:sz w:val="18"/>
        </w:rPr>
        <w:t>are</w:t>
      </w:r>
      <w:r>
        <w:rPr>
          <w:spacing w:val="-5"/>
          <w:sz w:val="18"/>
        </w:rPr>
        <w:t xml:space="preserve"> </w:t>
      </w:r>
      <w:r>
        <w:rPr>
          <w:sz w:val="18"/>
        </w:rPr>
        <w:t>classified</w:t>
      </w:r>
      <w:r>
        <w:rPr>
          <w:spacing w:val="-5"/>
          <w:sz w:val="18"/>
        </w:rPr>
        <w:t xml:space="preserve"> </w:t>
      </w:r>
      <w:r>
        <w:rPr>
          <w:sz w:val="18"/>
        </w:rPr>
        <w:t>as</w:t>
      </w:r>
      <w:r>
        <w:rPr>
          <w:spacing w:val="-2"/>
          <w:sz w:val="18"/>
        </w:rPr>
        <w:t xml:space="preserve"> </w:t>
      </w:r>
      <w:r>
        <w:rPr>
          <w:sz w:val="18"/>
        </w:rPr>
        <w:t>Level</w:t>
      </w:r>
      <w:r>
        <w:rPr>
          <w:spacing w:val="-2"/>
          <w:sz w:val="18"/>
        </w:rPr>
        <w:t xml:space="preserve"> </w:t>
      </w:r>
      <w:r>
        <w:rPr>
          <w:sz w:val="18"/>
        </w:rPr>
        <w:t>2</w:t>
      </w:r>
      <w:r>
        <w:rPr>
          <w:spacing w:val="-5"/>
          <w:sz w:val="18"/>
        </w:rPr>
        <w:t xml:space="preserve"> </w:t>
      </w:r>
      <w:r>
        <w:rPr>
          <w:sz w:val="18"/>
        </w:rPr>
        <w:t>and</w:t>
      </w:r>
      <w:r>
        <w:rPr>
          <w:spacing w:val="-5"/>
          <w:sz w:val="18"/>
        </w:rPr>
        <w:t xml:space="preserve"> </w:t>
      </w:r>
      <w:r>
        <w:rPr>
          <w:sz w:val="18"/>
        </w:rPr>
        <w:t>are</w:t>
      </w:r>
      <w:r>
        <w:rPr>
          <w:spacing w:val="-2"/>
          <w:sz w:val="18"/>
        </w:rPr>
        <w:t xml:space="preserve"> </w:t>
      </w:r>
      <w:r>
        <w:rPr>
          <w:sz w:val="18"/>
        </w:rPr>
        <w:t>placed</w:t>
      </w:r>
      <w:r>
        <w:rPr>
          <w:spacing w:val="-2"/>
          <w:sz w:val="18"/>
        </w:rPr>
        <w:t xml:space="preserve"> </w:t>
      </w:r>
      <w:r>
        <w:rPr>
          <w:sz w:val="18"/>
        </w:rPr>
        <w:t>with</w:t>
      </w:r>
      <w:r>
        <w:rPr>
          <w:spacing w:val="-5"/>
          <w:sz w:val="18"/>
        </w:rPr>
        <w:t xml:space="preserve"> </w:t>
      </w:r>
      <w:r>
        <w:rPr>
          <w:sz w:val="18"/>
        </w:rPr>
        <w:t>Queensland</w:t>
      </w:r>
      <w:r>
        <w:rPr>
          <w:spacing w:val="-2"/>
          <w:sz w:val="18"/>
        </w:rPr>
        <w:t xml:space="preserve"> </w:t>
      </w:r>
      <w:r>
        <w:rPr>
          <w:sz w:val="18"/>
        </w:rPr>
        <w:t>Investment</w:t>
      </w:r>
      <w:r>
        <w:rPr>
          <w:spacing w:val="-3"/>
          <w:sz w:val="18"/>
        </w:rPr>
        <w:t xml:space="preserve"> </w:t>
      </w:r>
      <w:r>
        <w:rPr>
          <w:sz w:val="18"/>
        </w:rPr>
        <w:t>Corporation</w:t>
      </w:r>
      <w:r>
        <w:rPr>
          <w:spacing w:val="-3"/>
          <w:sz w:val="18"/>
        </w:rPr>
        <w:t xml:space="preserve"> </w:t>
      </w:r>
      <w:r>
        <w:rPr>
          <w:sz w:val="18"/>
        </w:rPr>
        <w:t>(QIC). All assets and liabilities of the Society for which fair value is measured or disclosed in the financial statements</w:t>
      </w:r>
      <w:r>
        <w:rPr>
          <w:spacing w:val="-2"/>
          <w:sz w:val="18"/>
        </w:rPr>
        <w:t xml:space="preserve"> </w:t>
      </w:r>
      <w:r>
        <w:rPr>
          <w:sz w:val="18"/>
        </w:rPr>
        <w:t>are</w:t>
      </w:r>
      <w:r>
        <w:rPr>
          <w:spacing w:val="-3"/>
          <w:sz w:val="18"/>
        </w:rPr>
        <w:t xml:space="preserve"> </w:t>
      </w:r>
      <w:proofErr w:type="spellStart"/>
      <w:r>
        <w:rPr>
          <w:sz w:val="18"/>
        </w:rPr>
        <w:t>categorised</w:t>
      </w:r>
      <w:proofErr w:type="spellEnd"/>
      <w:r>
        <w:rPr>
          <w:sz w:val="18"/>
        </w:rPr>
        <w:t xml:space="preserve"> within the following fair</w:t>
      </w:r>
      <w:r>
        <w:rPr>
          <w:spacing w:val="-3"/>
          <w:sz w:val="18"/>
        </w:rPr>
        <w:t xml:space="preserve"> </w:t>
      </w:r>
      <w:r>
        <w:rPr>
          <w:sz w:val="18"/>
        </w:rPr>
        <w:t>value hierarchy,</w:t>
      </w:r>
      <w:r>
        <w:rPr>
          <w:spacing w:val="-1"/>
          <w:sz w:val="18"/>
        </w:rPr>
        <w:t xml:space="preserve"> </w:t>
      </w:r>
      <w:r>
        <w:rPr>
          <w:sz w:val="18"/>
        </w:rPr>
        <w:t>based on</w:t>
      </w:r>
      <w:r>
        <w:rPr>
          <w:spacing w:val="-3"/>
          <w:sz w:val="18"/>
        </w:rPr>
        <w:t xml:space="preserve"> </w:t>
      </w:r>
      <w:r>
        <w:rPr>
          <w:sz w:val="18"/>
        </w:rPr>
        <w:t>the</w:t>
      </w:r>
      <w:r>
        <w:rPr>
          <w:spacing w:val="-3"/>
          <w:sz w:val="18"/>
        </w:rPr>
        <w:t xml:space="preserve"> </w:t>
      </w:r>
      <w:r>
        <w:rPr>
          <w:sz w:val="18"/>
        </w:rPr>
        <w:t>data</w:t>
      </w:r>
      <w:r>
        <w:rPr>
          <w:spacing w:val="-3"/>
          <w:sz w:val="18"/>
        </w:rPr>
        <w:t xml:space="preserve"> </w:t>
      </w:r>
      <w:r>
        <w:rPr>
          <w:sz w:val="18"/>
        </w:rPr>
        <w:t>and</w:t>
      </w:r>
      <w:r>
        <w:rPr>
          <w:spacing w:val="-5"/>
          <w:sz w:val="18"/>
        </w:rPr>
        <w:t xml:space="preserve"> </w:t>
      </w:r>
      <w:r>
        <w:rPr>
          <w:sz w:val="18"/>
        </w:rPr>
        <w:t>assumptions used in the most recent specific appraisals as per note A1-5.</w:t>
      </w:r>
    </w:p>
    <w:p w14:paraId="74722B27" w14:textId="77777777" w:rsidR="00AC6F3C" w:rsidRDefault="00AC6F3C">
      <w:pPr>
        <w:pStyle w:val="BodyText"/>
        <w:spacing w:before="10"/>
      </w:pPr>
    </w:p>
    <w:p w14:paraId="5AEE7A11" w14:textId="77777777" w:rsidR="00AC6F3C" w:rsidRDefault="00570E88">
      <w:pPr>
        <w:ind w:left="958" w:right="990"/>
        <w:rPr>
          <w:sz w:val="18"/>
        </w:rPr>
      </w:pPr>
      <w:r>
        <w:rPr>
          <w:sz w:val="18"/>
        </w:rPr>
        <w:t>The portfolio of investments held consists of collective investment schemes. The fair value of the investments</w:t>
      </w:r>
      <w:r>
        <w:rPr>
          <w:spacing w:val="-2"/>
          <w:sz w:val="18"/>
        </w:rPr>
        <w:t xml:space="preserve"> </w:t>
      </w:r>
      <w:r>
        <w:rPr>
          <w:sz w:val="18"/>
        </w:rPr>
        <w:t>is</w:t>
      </w:r>
      <w:r>
        <w:rPr>
          <w:spacing w:val="-2"/>
          <w:sz w:val="18"/>
        </w:rPr>
        <w:t xml:space="preserve"> </w:t>
      </w:r>
      <w:r>
        <w:rPr>
          <w:sz w:val="18"/>
        </w:rPr>
        <w:t>determined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market</w:t>
      </w:r>
      <w:r>
        <w:rPr>
          <w:spacing w:val="-3"/>
          <w:sz w:val="18"/>
        </w:rPr>
        <w:t xml:space="preserve"> </w:t>
      </w:r>
      <w:r>
        <w:rPr>
          <w:sz w:val="18"/>
        </w:rPr>
        <w:t>approach</w:t>
      </w:r>
      <w:r>
        <w:rPr>
          <w:spacing w:val="-2"/>
          <w:sz w:val="18"/>
        </w:rPr>
        <w:t xml:space="preserve"> </w:t>
      </w:r>
      <w:r>
        <w:rPr>
          <w:sz w:val="18"/>
        </w:rPr>
        <w:t>using</w:t>
      </w:r>
      <w:r>
        <w:rPr>
          <w:spacing w:val="-3"/>
          <w:sz w:val="18"/>
        </w:rPr>
        <w:t xml:space="preserve"> </w:t>
      </w:r>
      <w:r>
        <w:rPr>
          <w:sz w:val="18"/>
        </w:rPr>
        <w:t>the</w:t>
      </w:r>
      <w:r>
        <w:rPr>
          <w:spacing w:val="-5"/>
          <w:sz w:val="18"/>
        </w:rPr>
        <w:t xml:space="preserve"> </w:t>
      </w:r>
      <w:r>
        <w:rPr>
          <w:sz w:val="18"/>
        </w:rPr>
        <w:t>closing</w:t>
      </w:r>
      <w:r>
        <w:rPr>
          <w:spacing w:val="-2"/>
          <w:sz w:val="18"/>
        </w:rPr>
        <w:t xml:space="preserve"> </w:t>
      </w:r>
      <w:r>
        <w:rPr>
          <w:sz w:val="18"/>
        </w:rPr>
        <w:t>unit</w:t>
      </w:r>
      <w:r>
        <w:rPr>
          <w:spacing w:val="-3"/>
          <w:sz w:val="18"/>
        </w:rPr>
        <w:t xml:space="preserve"> </w:t>
      </w:r>
      <w:r>
        <w:rPr>
          <w:sz w:val="18"/>
        </w:rPr>
        <w:t>price</w:t>
      </w:r>
      <w:r>
        <w:rPr>
          <w:spacing w:val="-5"/>
          <w:sz w:val="18"/>
        </w:rPr>
        <w:t xml:space="preserve"> </w:t>
      </w:r>
      <w:r>
        <w:rPr>
          <w:sz w:val="18"/>
        </w:rPr>
        <w:t>quoted</w:t>
      </w:r>
      <w:r>
        <w:rPr>
          <w:spacing w:val="-5"/>
          <w:sz w:val="18"/>
        </w:rPr>
        <w:t xml:space="preserve"> </w:t>
      </w:r>
      <w:r>
        <w:rPr>
          <w:sz w:val="18"/>
        </w:rPr>
        <w:t>by</w:t>
      </w:r>
      <w:r>
        <w:rPr>
          <w:spacing w:val="-2"/>
          <w:sz w:val="18"/>
        </w:rPr>
        <w:t xml:space="preserve"> </w:t>
      </w:r>
      <w:r>
        <w:rPr>
          <w:sz w:val="18"/>
        </w:rPr>
        <w:t>the</w:t>
      </w:r>
      <w:r>
        <w:rPr>
          <w:spacing w:val="-2"/>
          <w:sz w:val="18"/>
        </w:rPr>
        <w:t xml:space="preserve"> </w:t>
      </w:r>
      <w:r>
        <w:rPr>
          <w:sz w:val="18"/>
        </w:rPr>
        <w:t>investment manager adjusted for fees.</w:t>
      </w:r>
    </w:p>
    <w:p w14:paraId="09CDC49B" w14:textId="77777777" w:rsidR="00AC6F3C" w:rsidRDefault="00AC6F3C">
      <w:pPr>
        <w:rPr>
          <w:sz w:val="18"/>
        </w:rPr>
        <w:sectPr w:rsidR="00AC6F3C">
          <w:pgSz w:w="11910" w:h="16840"/>
          <w:pgMar w:top="2020" w:right="1160" w:bottom="520" w:left="460" w:header="1228" w:footer="336" w:gutter="0"/>
          <w:cols w:space="720"/>
        </w:sectPr>
      </w:pPr>
    </w:p>
    <w:p w14:paraId="35FC2D66" w14:textId="77777777" w:rsidR="00AC6F3C" w:rsidRDefault="00AC6F3C">
      <w:pPr>
        <w:pStyle w:val="BodyText"/>
      </w:pPr>
    </w:p>
    <w:p w14:paraId="266679A6" w14:textId="77777777" w:rsidR="00AC6F3C" w:rsidRDefault="00570E88">
      <w:pPr>
        <w:tabs>
          <w:tab w:val="left" w:pos="1666"/>
        </w:tabs>
        <w:spacing w:before="249"/>
        <w:ind w:left="958"/>
        <w:rPr>
          <w:b/>
          <w:sz w:val="28"/>
        </w:rPr>
      </w:pPr>
      <w:r>
        <w:rPr>
          <w:b/>
          <w:spacing w:val="-5"/>
          <w:sz w:val="28"/>
        </w:rPr>
        <w:t>C5</w:t>
      </w:r>
      <w:r>
        <w:rPr>
          <w:b/>
          <w:sz w:val="28"/>
        </w:rPr>
        <w:tab/>
      </w:r>
      <w:r>
        <w:rPr>
          <w:b/>
          <w:spacing w:val="-2"/>
          <w:sz w:val="28"/>
        </w:rPr>
        <w:t>PROPERTY,</w:t>
      </w:r>
      <w:r>
        <w:rPr>
          <w:b/>
          <w:spacing w:val="-6"/>
          <w:sz w:val="28"/>
        </w:rPr>
        <w:t xml:space="preserve"> </w:t>
      </w:r>
      <w:r>
        <w:rPr>
          <w:b/>
          <w:spacing w:val="-2"/>
          <w:sz w:val="28"/>
        </w:rPr>
        <w:t>PLANT</w:t>
      </w:r>
      <w:r>
        <w:rPr>
          <w:b/>
          <w:spacing w:val="-18"/>
          <w:sz w:val="28"/>
        </w:rPr>
        <w:t xml:space="preserve"> </w:t>
      </w:r>
      <w:r>
        <w:rPr>
          <w:b/>
          <w:spacing w:val="-2"/>
          <w:sz w:val="28"/>
        </w:rPr>
        <w:t>AND</w:t>
      </w:r>
      <w:r>
        <w:rPr>
          <w:b/>
          <w:spacing w:val="-6"/>
          <w:sz w:val="28"/>
        </w:rPr>
        <w:t xml:space="preserve"> </w:t>
      </w:r>
      <w:r>
        <w:rPr>
          <w:b/>
          <w:spacing w:val="-2"/>
          <w:sz w:val="28"/>
        </w:rPr>
        <w:t>EQUIPMENT</w:t>
      </w:r>
    </w:p>
    <w:p w14:paraId="445595BE" w14:textId="77777777" w:rsidR="00AC6F3C" w:rsidRDefault="00570E88">
      <w:pPr>
        <w:pStyle w:val="Heading6"/>
        <w:tabs>
          <w:tab w:val="left" w:pos="1810"/>
        </w:tabs>
      </w:pPr>
      <w:r>
        <w:rPr>
          <w:spacing w:val="-2"/>
        </w:rPr>
        <w:t>C5-</w:t>
      </w:r>
      <w:r>
        <w:rPr>
          <w:spacing w:val="-10"/>
        </w:rPr>
        <w:t>1</w:t>
      </w:r>
      <w:r>
        <w:tab/>
      </w:r>
      <w:r>
        <w:rPr>
          <w:spacing w:val="-2"/>
        </w:rPr>
        <w:t>CONSOLIDATED</w:t>
      </w:r>
    </w:p>
    <w:p w14:paraId="225E7BF5"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281"/>
        <w:gridCol w:w="1162"/>
        <w:gridCol w:w="1075"/>
        <w:gridCol w:w="936"/>
        <w:gridCol w:w="988"/>
        <w:gridCol w:w="1031"/>
      </w:tblGrid>
      <w:tr w:rsidR="00AC6F3C" w14:paraId="678D9F20" w14:textId="77777777">
        <w:trPr>
          <w:trHeight w:val="641"/>
        </w:trPr>
        <w:tc>
          <w:tcPr>
            <w:tcW w:w="4443" w:type="dxa"/>
            <w:gridSpan w:val="2"/>
            <w:tcBorders>
              <w:top w:val="single" w:sz="6" w:space="0" w:color="000000"/>
              <w:left w:val="single" w:sz="6" w:space="0" w:color="000000"/>
              <w:bottom w:val="single" w:sz="6" w:space="0" w:color="000000"/>
            </w:tcBorders>
            <w:shd w:val="clear" w:color="auto" w:fill="BEBEBE"/>
          </w:tcPr>
          <w:p w14:paraId="1DC628FE" w14:textId="77777777" w:rsidR="00AC6F3C" w:rsidRDefault="00570E88">
            <w:pPr>
              <w:pStyle w:val="TableParagraph"/>
              <w:spacing w:before="122"/>
              <w:ind w:right="102"/>
              <w:jc w:val="right"/>
              <w:rPr>
                <w:b/>
                <w:sz w:val="16"/>
              </w:rPr>
            </w:pPr>
            <w:r>
              <w:rPr>
                <w:b/>
                <w:spacing w:val="-2"/>
                <w:sz w:val="16"/>
              </w:rPr>
              <w:t>Buildings</w:t>
            </w:r>
          </w:p>
          <w:p w14:paraId="561F5A95" w14:textId="77777777" w:rsidR="00AC6F3C" w:rsidRDefault="00570E88">
            <w:pPr>
              <w:pStyle w:val="TableParagraph"/>
              <w:spacing w:before="145" w:line="170" w:lineRule="exact"/>
              <w:ind w:right="93"/>
              <w:jc w:val="right"/>
              <w:rPr>
                <w:b/>
                <w:sz w:val="16"/>
              </w:rPr>
            </w:pPr>
            <w:r>
              <w:rPr>
                <w:b/>
                <w:spacing w:val="-2"/>
                <w:sz w:val="16"/>
              </w:rPr>
              <w:t>$’000</w:t>
            </w:r>
          </w:p>
        </w:tc>
        <w:tc>
          <w:tcPr>
            <w:tcW w:w="1075" w:type="dxa"/>
            <w:tcBorders>
              <w:top w:val="single" w:sz="6" w:space="0" w:color="000000"/>
              <w:bottom w:val="single" w:sz="6" w:space="0" w:color="000000"/>
            </w:tcBorders>
            <w:shd w:val="clear" w:color="auto" w:fill="BEBEBE"/>
          </w:tcPr>
          <w:p w14:paraId="0BE2FCD2" w14:textId="77777777" w:rsidR="00AC6F3C" w:rsidRDefault="00570E88">
            <w:pPr>
              <w:pStyle w:val="TableParagraph"/>
              <w:spacing w:before="13" w:line="285" w:lineRule="auto"/>
              <w:ind w:left="110" w:right="142" w:firstLine="95"/>
              <w:jc w:val="right"/>
              <w:rPr>
                <w:b/>
                <w:sz w:val="16"/>
              </w:rPr>
            </w:pPr>
            <w:r>
              <w:rPr>
                <w:b/>
                <w:sz w:val="16"/>
              </w:rPr>
              <w:t>Plant</w:t>
            </w:r>
            <w:r>
              <w:rPr>
                <w:b/>
                <w:spacing w:val="-12"/>
                <w:sz w:val="16"/>
              </w:rPr>
              <w:t xml:space="preserve"> </w:t>
            </w:r>
            <w:r>
              <w:rPr>
                <w:b/>
                <w:sz w:val="16"/>
              </w:rPr>
              <w:t xml:space="preserve">and </w:t>
            </w:r>
            <w:r>
              <w:rPr>
                <w:b/>
                <w:spacing w:val="-2"/>
                <w:sz w:val="16"/>
              </w:rPr>
              <w:t>Equipment</w:t>
            </w:r>
          </w:p>
          <w:p w14:paraId="1E09ACFA" w14:textId="77777777" w:rsidR="00AC6F3C" w:rsidRDefault="00570E88">
            <w:pPr>
              <w:pStyle w:val="TableParagraph"/>
              <w:spacing w:line="170" w:lineRule="exact"/>
              <w:ind w:right="142"/>
              <w:jc w:val="right"/>
              <w:rPr>
                <w:b/>
                <w:sz w:val="16"/>
              </w:rPr>
            </w:pPr>
            <w:r>
              <w:rPr>
                <w:b/>
                <w:spacing w:val="-2"/>
                <w:sz w:val="16"/>
              </w:rPr>
              <w:t>$’000</w:t>
            </w:r>
          </w:p>
        </w:tc>
        <w:tc>
          <w:tcPr>
            <w:tcW w:w="936" w:type="dxa"/>
            <w:tcBorders>
              <w:top w:val="single" w:sz="6" w:space="0" w:color="000000"/>
              <w:bottom w:val="single" w:sz="6" w:space="0" w:color="000000"/>
            </w:tcBorders>
            <w:shd w:val="clear" w:color="auto" w:fill="BEBEBE"/>
          </w:tcPr>
          <w:p w14:paraId="743DBE7F" w14:textId="77777777" w:rsidR="00AC6F3C" w:rsidRDefault="00570E88">
            <w:pPr>
              <w:pStyle w:val="TableParagraph"/>
              <w:spacing w:before="13" w:line="285" w:lineRule="auto"/>
              <w:ind w:left="156" w:right="53" w:firstLine="123"/>
              <w:jc w:val="right"/>
              <w:rPr>
                <w:b/>
                <w:sz w:val="16"/>
              </w:rPr>
            </w:pPr>
            <w:r>
              <w:rPr>
                <w:b/>
                <w:sz w:val="16"/>
              </w:rPr>
              <w:t>Work</w:t>
            </w:r>
            <w:r>
              <w:rPr>
                <w:b/>
                <w:spacing w:val="-12"/>
                <w:sz w:val="16"/>
              </w:rPr>
              <w:t xml:space="preserve"> </w:t>
            </w:r>
            <w:r>
              <w:rPr>
                <w:b/>
                <w:sz w:val="16"/>
              </w:rPr>
              <w:t xml:space="preserve">In </w:t>
            </w:r>
            <w:r>
              <w:rPr>
                <w:b/>
                <w:spacing w:val="-2"/>
                <w:sz w:val="16"/>
              </w:rPr>
              <w:t>Progress</w:t>
            </w:r>
          </w:p>
          <w:p w14:paraId="7FC1F981" w14:textId="77777777" w:rsidR="00AC6F3C" w:rsidRDefault="00570E88">
            <w:pPr>
              <w:pStyle w:val="TableParagraph"/>
              <w:spacing w:line="170" w:lineRule="exact"/>
              <w:ind w:right="53"/>
              <w:jc w:val="right"/>
              <w:rPr>
                <w:b/>
                <w:sz w:val="16"/>
              </w:rPr>
            </w:pPr>
            <w:r>
              <w:rPr>
                <w:b/>
                <w:spacing w:val="-2"/>
                <w:sz w:val="16"/>
              </w:rPr>
              <w:t>$’000</w:t>
            </w:r>
          </w:p>
        </w:tc>
        <w:tc>
          <w:tcPr>
            <w:tcW w:w="988" w:type="dxa"/>
            <w:tcBorders>
              <w:top w:val="single" w:sz="6" w:space="0" w:color="000000"/>
              <w:bottom w:val="single" w:sz="6" w:space="0" w:color="000000"/>
            </w:tcBorders>
            <w:shd w:val="clear" w:color="auto" w:fill="BEBEBE"/>
          </w:tcPr>
          <w:p w14:paraId="4F8DD54E" w14:textId="77777777" w:rsidR="00AC6F3C" w:rsidRDefault="00570E88">
            <w:pPr>
              <w:pStyle w:val="TableParagraph"/>
              <w:spacing w:before="13" w:line="285" w:lineRule="auto"/>
              <w:ind w:left="259" w:right="16" w:hanging="192"/>
              <w:jc w:val="right"/>
              <w:rPr>
                <w:b/>
                <w:sz w:val="16"/>
              </w:rPr>
            </w:pPr>
            <w:r>
              <w:rPr>
                <w:b/>
                <w:spacing w:val="-2"/>
                <w:sz w:val="16"/>
              </w:rPr>
              <w:t>Intangibles- Software</w:t>
            </w:r>
          </w:p>
          <w:p w14:paraId="0F3CEC87" w14:textId="77777777" w:rsidR="00AC6F3C" w:rsidRDefault="00570E88">
            <w:pPr>
              <w:pStyle w:val="TableParagraph"/>
              <w:spacing w:line="170" w:lineRule="exact"/>
              <w:ind w:right="15"/>
              <w:jc w:val="right"/>
              <w:rPr>
                <w:b/>
                <w:sz w:val="16"/>
              </w:rPr>
            </w:pPr>
            <w:r>
              <w:rPr>
                <w:b/>
                <w:spacing w:val="-2"/>
                <w:sz w:val="16"/>
              </w:rPr>
              <w:t>$’000</w:t>
            </w:r>
          </w:p>
        </w:tc>
        <w:tc>
          <w:tcPr>
            <w:tcW w:w="1031" w:type="dxa"/>
            <w:tcBorders>
              <w:top w:val="single" w:sz="6" w:space="0" w:color="000000"/>
              <w:bottom w:val="single" w:sz="6" w:space="0" w:color="000000"/>
              <w:right w:val="single" w:sz="6" w:space="0" w:color="000000"/>
            </w:tcBorders>
            <w:shd w:val="clear" w:color="auto" w:fill="BEBEBE"/>
          </w:tcPr>
          <w:p w14:paraId="2F4AACB1" w14:textId="77777777" w:rsidR="00AC6F3C" w:rsidRDefault="00570E88">
            <w:pPr>
              <w:pStyle w:val="TableParagraph"/>
              <w:spacing w:before="122"/>
              <w:ind w:left="624"/>
              <w:rPr>
                <w:b/>
                <w:sz w:val="16"/>
              </w:rPr>
            </w:pPr>
            <w:r>
              <w:rPr>
                <w:b/>
                <w:spacing w:val="-2"/>
                <w:sz w:val="16"/>
              </w:rPr>
              <w:t>Total</w:t>
            </w:r>
          </w:p>
          <w:p w14:paraId="5ECFDE3C" w14:textId="77777777" w:rsidR="00AC6F3C" w:rsidRDefault="00570E88">
            <w:pPr>
              <w:pStyle w:val="TableParagraph"/>
              <w:spacing w:before="145" w:line="170" w:lineRule="exact"/>
              <w:ind w:left="583"/>
              <w:rPr>
                <w:b/>
                <w:sz w:val="16"/>
              </w:rPr>
            </w:pPr>
            <w:r>
              <w:rPr>
                <w:b/>
                <w:spacing w:val="-2"/>
                <w:sz w:val="16"/>
              </w:rPr>
              <w:t>$’000</w:t>
            </w:r>
          </w:p>
        </w:tc>
      </w:tr>
      <w:tr w:rsidR="00AC6F3C" w14:paraId="51A34248" w14:textId="77777777">
        <w:trPr>
          <w:trHeight w:val="215"/>
        </w:trPr>
        <w:tc>
          <w:tcPr>
            <w:tcW w:w="4443" w:type="dxa"/>
            <w:gridSpan w:val="2"/>
            <w:tcBorders>
              <w:top w:val="single" w:sz="6" w:space="0" w:color="000000"/>
              <w:left w:val="single" w:sz="6" w:space="0" w:color="000000"/>
            </w:tcBorders>
          </w:tcPr>
          <w:p w14:paraId="3F1E8E14" w14:textId="77777777" w:rsidR="00AC6F3C" w:rsidRDefault="00570E88">
            <w:pPr>
              <w:pStyle w:val="TableParagraph"/>
              <w:spacing w:before="13" w:line="183" w:lineRule="exact"/>
              <w:ind w:left="33"/>
              <w:rPr>
                <w:b/>
                <w:sz w:val="16"/>
              </w:rPr>
            </w:pPr>
            <w:r>
              <w:rPr>
                <w:b/>
                <w:spacing w:val="-4"/>
                <w:sz w:val="16"/>
              </w:rPr>
              <w:t>2023</w:t>
            </w:r>
          </w:p>
        </w:tc>
        <w:tc>
          <w:tcPr>
            <w:tcW w:w="1075" w:type="dxa"/>
            <w:tcBorders>
              <w:top w:val="single" w:sz="6" w:space="0" w:color="000000"/>
            </w:tcBorders>
          </w:tcPr>
          <w:p w14:paraId="123D6DFC" w14:textId="77777777" w:rsidR="00AC6F3C" w:rsidRDefault="00AC6F3C">
            <w:pPr>
              <w:pStyle w:val="TableParagraph"/>
              <w:rPr>
                <w:rFonts w:ascii="Times New Roman"/>
                <w:sz w:val="14"/>
              </w:rPr>
            </w:pPr>
          </w:p>
        </w:tc>
        <w:tc>
          <w:tcPr>
            <w:tcW w:w="936" w:type="dxa"/>
            <w:tcBorders>
              <w:top w:val="single" w:sz="6" w:space="0" w:color="000000"/>
            </w:tcBorders>
          </w:tcPr>
          <w:p w14:paraId="59B1126B" w14:textId="77777777" w:rsidR="00AC6F3C" w:rsidRDefault="00AC6F3C">
            <w:pPr>
              <w:pStyle w:val="TableParagraph"/>
              <w:rPr>
                <w:rFonts w:ascii="Times New Roman"/>
                <w:sz w:val="14"/>
              </w:rPr>
            </w:pPr>
          </w:p>
        </w:tc>
        <w:tc>
          <w:tcPr>
            <w:tcW w:w="988" w:type="dxa"/>
            <w:tcBorders>
              <w:top w:val="single" w:sz="6" w:space="0" w:color="000000"/>
            </w:tcBorders>
          </w:tcPr>
          <w:p w14:paraId="791C83B6" w14:textId="77777777" w:rsidR="00AC6F3C" w:rsidRDefault="00AC6F3C">
            <w:pPr>
              <w:pStyle w:val="TableParagraph"/>
              <w:rPr>
                <w:rFonts w:ascii="Times New Roman"/>
                <w:sz w:val="14"/>
              </w:rPr>
            </w:pPr>
          </w:p>
        </w:tc>
        <w:tc>
          <w:tcPr>
            <w:tcW w:w="1031" w:type="dxa"/>
            <w:tcBorders>
              <w:top w:val="single" w:sz="6" w:space="0" w:color="000000"/>
              <w:right w:val="single" w:sz="6" w:space="0" w:color="000000"/>
            </w:tcBorders>
            <w:shd w:val="clear" w:color="auto" w:fill="F1F1F1"/>
          </w:tcPr>
          <w:p w14:paraId="55F5CC16" w14:textId="77777777" w:rsidR="00AC6F3C" w:rsidRDefault="00AC6F3C">
            <w:pPr>
              <w:pStyle w:val="TableParagraph"/>
              <w:rPr>
                <w:rFonts w:ascii="Times New Roman"/>
                <w:sz w:val="14"/>
              </w:rPr>
            </w:pPr>
          </w:p>
        </w:tc>
      </w:tr>
      <w:tr w:rsidR="00AC6F3C" w14:paraId="1FB3572E" w14:textId="77777777">
        <w:trPr>
          <w:trHeight w:val="218"/>
        </w:trPr>
        <w:tc>
          <w:tcPr>
            <w:tcW w:w="4443" w:type="dxa"/>
            <w:gridSpan w:val="2"/>
            <w:tcBorders>
              <w:left w:val="single" w:sz="6" w:space="0" w:color="000000"/>
            </w:tcBorders>
          </w:tcPr>
          <w:p w14:paraId="7F329945" w14:textId="77777777" w:rsidR="00AC6F3C" w:rsidRDefault="00570E88">
            <w:pPr>
              <w:pStyle w:val="TableParagraph"/>
              <w:spacing w:before="16" w:line="183" w:lineRule="exact"/>
              <w:ind w:left="33"/>
              <w:rPr>
                <w:b/>
                <w:sz w:val="16"/>
              </w:rPr>
            </w:pPr>
            <w:r>
              <w:rPr>
                <w:b/>
                <w:sz w:val="16"/>
              </w:rPr>
              <w:t>Cost</w:t>
            </w:r>
            <w:r>
              <w:rPr>
                <w:b/>
                <w:spacing w:val="-7"/>
                <w:sz w:val="16"/>
              </w:rPr>
              <w:t xml:space="preserve"> </w:t>
            </w:r>
            <w:r>
              <w:rPr>
                <w:b/>
                <w:sz w:val="16"/>
              </w:rPr>
              <w:t>or</w:t>
            </w:r>
            <w:r>
              <w:rPr>
                <w:b/>
                <w:spacing w:val="-2"/>
                <w:sz w:val="16"/>
              </w:rPr>
              <w:t xml:space="preserve"> valuation</w:t>
            </w:r>
          </w:p>
        </w:tc>
        <w:tc>
          <w:tcPr>
            <w:tcW w:w="1075" w:type="dxa"/>
          </w:tcPr>
          <w:p w14:paraId="532EF975" w14:textId="77777777" w:rsidR="00AC6F3C" w:rsidRDefault="00AC6F3C">
            <w:pPr>
              <w:pStyle w:val="TableParagraph"/>
              <w:rPr>
                <w:rFonts w:ascii="Times New Roman"/>
                <w:sz w:val="14"/>
              </w:rPr>
            </w:pPr>
          </w:p>
        </w:tc>
        <w:tc>
          <w:tcPr>
            <w:tcW w:w="936" w:type="dxa"/>
          </w:tcPr>
          <w:p w14:paraId="4C24CE0D" w14:textId="77777777" w:rsidR="00AC6F3C" w:rsidRDefault="00AC6F3C">
            <w:pPr>
              <w:pStyle w:val="TableParagraph"/>
              <w:rPr>
                <w:rFonts w:ascii="Times New Roman"/>
                <w:sz w:val="14"/>
              </w:rPr>
            </w:pPr>
          </w:p>
        </w:tc>
        <w:tc>
          <w:tcPr>
            <w:tcW w:w="988" w:type="dxa"/>
          </w:tcPr>
          <w:p w14:paraId="3B01ACAD" w14:textId="77777777" w:rsidR="00AC6F3C" w:rsidRDefault="00AC6F3C">
            <w:pPr>
              <w:pStyle w:val="TableParagraph"/>
              <w:rPr>
                <w:rFonts w:ascii="Times New Roman"/>
                <w:sz w:val="14"/>
              </w:rPr>
            </w:pPr>
          </w:p>
        </w:tc>
        <w:tc>
          <w:tcPr>
            <w:tcW w:w="1031" w:type="dxa"/>
            <w:tcBorders>
              <w:right w:val="single" w:sz="6" w:space="0" w:color="000000"/>
            </w:tcBorders>
            <w:shd w:val="clear" w:color="auto" w:fill="F1F1F1"/>
          </w:tcPr>
          <w:p w14:paraId="4A4A4E86" w14:textId="77777777" w:rsidR="00AC6F3C" w:rsidRDefault="00AC6F3C">
            <w:pPr>
              <w:pStyle w:val="TableParagraph"/>
              <w:rPr>
                <w:rFonts w:ascii="Times New Roman"/>
                <w:sz w:val="14"/>
              </w:rPr>
            </w:pPr>
          </w:p>
        </w:tc>
      </w:tr>
      <w:tr w:rsidR="00AC6F3C" w14:paraId="5789092B" w14:textId="77777777">
        <w:trPr>
          <w:trHeight w:val="218"/>
        </w:trPr>
        <w:tc>
          <w:tcPr>
            <w:tcW w:w="3281" w:type="dxa"/>
            <w:tcBorders>
              <w:left w:val="single" w:sz="6" w:space="0" w:color="000000"/>
            </w:tcBorders>
          </w:tcPr>
          <w:p w14:paraId="3E2433C9" w14:textId="77777777" w:rsidR="00AC6F3C" w:rsidRDefault="00570E88">
            <w:pPr>
              <w:pStyle w:val="TableParagraph"/>
              <w:spacing w:before="16" w:line="183" w:lineRule="exact"/>
              <w:ind w:left="33"/>
              <w:rPr>
                <w:sz w:val="16"/>
              </w:rPr>
            </w:pPr>
            <w:r>
              <w:rPr>
                <w:sz w:val="16"/>
              </w:rPr>
              <w:t>At the</w:t>
            </w:r>
            <w:r>
              <w:rPr>
                <w:spacing w:val="11"/>
                <w:sz w:val="16"/>
              </w:rPr>
              <w:t xml:space="preserve"> </w:t>
            </w:r>
            <w:r>
              <w:rPr>
                <w:sz w:val="16"/>
              </w:rPr>
              <w:t>beginning</w:t>
            </w:r>
            <w:r>
              <w:rPr>
                <w:spacing w:val="10"/>
                <w:sz w:val="16"/>
              </w:rPr>
              <w:t xml:space="preserve"> </w:t>
            </w:r>
            <w:r>
              <w:rPr>
                <w:sz w:val="16"/>
              </w:rPr>
              <w:t>of</w:t>
            </w:r>
            <w:r>
              <w:rPr>
                <w:spacing w:val="1"/>
                <w:sz w:val="16"/>
              </w:rPr>
              <w:t xml:space="preserve"> </w:t>
            </w:r>
            <w:r>
              <w:rPr>
                <w:sz w:val="16"/>
              </w:rPr>
              <w:t>the</w:t>
            </w:r>
            <w:r>
              <w:rPr>
                <w:spacing w:val="10"/>
                <w:sz w:val="16"/>
              </w:rPr>
              <w:t xml:space="preserve"> </w:t>
            </w:r>
            <w:r>
              <w:rPr>
                <w:spacing w:val="-4"/>
                <w:sz w:val="16"/>
              </w:rPr>
              <w:t>year</w:t>
            </w:r>
          </w:p>
        </w:tc>
        <w:tc>
          <w:tcPr>
            <w:tcW w:w="1162" w:type="dxa"/>
          </w:tcPr>
          <w:p w14:paraId="0DE38914" w14:textId="77777777" w:rsidR="00AC6F3C" w:rsidRDefault="00570E88">
            <w:pPr>
              <w:pStyle w:val="TableParagraph"/>
              <w:spacing w:before="16" w:line="183" w:lineRule="exact"/>
              <w:ind w:right="93"/>
              <w:jc w:val="right"/>
              <w:rPr>
                <w:sz w:val="16"/>
              </w:rPr>
            </w:pPr>
            <w:r>
              <w:rPr>
                <w:spacing w:val="-2"/>
                <w:sz w:val="16"/>
              </w:rPr>
              <w:t>27,740</w:t>
            </w:r>
          </w:p>
        </w:tc>
        <w:tc>
          <w:tcPr>
            <w:tcW w:w="1075" w:type="dxa"/>
          </w:tcPr>
          <w:p w14:paraId="6D0E7CAF" w14:textId="77777777" w:rsidR="00AC6F3C" w:rsidRDefault="00570E88">
            <w:pPr>
              <w:pStyle w:val="TableParagraph"/>
              <w:spacing w:before="16" w:line="183" w:lineRule="exact"/>
              <w:ind w:right="142"/>
              <w:jc w:val="right"/>
              <w:rPr>
                <w:sz w:val="16"/>
              </w:rPr>
            </w:pPr>
            <w:r>
              <w:rPr>
                <w:spacing w:val="-2"/>
                <w:sz w:val="16"/>
              </w:rPr>
              <w:t>8,551</w:t>
            </w:r>
          </w:p>
        </w:tc>
        <w:tc>
          <w:tcPr>
            <w:tcW w:w="936" w:type="dxa"/>
          </w:tcPr>
          <w:p w14:paraId="5FD23D28" w14:textId="77777777" w:rsidR="00AC6F3C" w:rsidRDefault="00570E88">
            <w:pPr>
              <w:pStyle w:val="TableParagraph"/>
              <w:spacing w:before="16" w:line="183" w:lineRule="exact"/>
              <w:ind w:right="53"/>
              <w:jc w:val="right"/>
              <w:rPr>
                <w:sz w:val="16"/>
              </w:rPr>
            </w:pPr>
            <w:r>
              <w:rPr>
                <w:spacing w:val="-5"/>
                <w:sz w:val="16"/>
              </w:rPr>
              <w:t>153</w:t>
            </w:r>
          </w:p>
        </w:tc>
        <w:tc>
          <w:tcPr>
            <w:tcW w:w="988" w:type="dxa"/>
          </w:tcPr>
          <w:p w14:paraId="1F8123D7" w14:textId="77777777" w:rsidR="00AC6F3C" w:rsidRDefault="00570E88">
            <w:pPr>
              <w:pStyle w:val="TableParagraph"/>
              <w:spacing w:before="16" w:line="183" w:lineRule="exact"/>
              <w:ind w:right="15"/>
              <w:jc w:val="right"/>
              <w:rPr>
                <w:sz w:val="16"/>
              </w:rPr>
            </w:pPr>
            <w:r>
              <w:rPr>
                <w:spacing w:val="-2"/>
                <w:sz w:val="16"/>
              </w:rPr>
              <w:t>3,454</w:t>
            </w:r>
          </w:p>
        </w:tc>
        <w:tc>
          <w:tcPr>
            <w:tcW w:w="1031" w:type="dxa"/>
            <w:tcBorders>
              <w:right w:val="single" w:sz="6" w:space="0" w:color="000000"/>
            </w:tcBorders>
            <w:shd w:val="clear" w:color="auto" w:fill="F1F1F1"/>
          </w:tcPr>
          <w:p w14:paraId="3848AFB2" w14:textId="77777777" w:rsidR="00AC6F3C" w:rsidRDefault="00570E88">
            <w:pPr>
              <w:pStyle w:val="TableParagraph"/>
              <w:spacing w:before="16" w:line="183" w:lineRule="exact"/>
              <w:ind w:right="13"/>
              <w:jc w:val="right"/>
              <w:rPr>
                <w:sz w:val="16"/>
              </w:rPr>
            </w:pPr>
            <w:r>
              <w:rPr>
                <w:spacing w:val="-2"/>
                <w:sz w:val="16"/>
              </w:rPr>
              <w:t>39,898</w:t>
            </w:r>
          </w:p>
        </w:tc>
      </w:tr>
      <w:tr w:rsidR="00AC6F3C" w14:paraId="5BCD7328" w14:textId="77777777">
        <w:trPr>
          <w:trHeight w:val="218"/>
        </w:trPr>
        <w:tc>
          <w:tcPr>
            <w:tcW w:w="3281" w:type="dxa"/>
            <w:tcBorders>
              <w:left w:val="single" w:sz="6" w:space="0" w:color="000000"/>
            </w:tcBorders>
          </w:tcPr>
          <w:p w14:paraId="3F3197BB" w14:textId="77777777" w:rsidR="00AC6F3C" w:rsidRDefault="00570E88">
            <w:pPr>
              <w:pStyle w:val="TableParagraph"/>
              <w:spacing w:before="16" w:line="183" w:lineRule="exact"/>
              <w:ind w:left="33"/>
              <w:rPr>
                <w:sz w:val="16"/>
              </w:rPr>
            </w:pPr>
            <w:r>
              <w:rPr>
                <w:sz w:val="16"/>
              </w:rPr>
              <w:t>PY</w:t>
            </w:r>
            <w:r>
              <w:rPr>
                <w:spacing w:val="-8"/>
                <w:sz w:val="16"/>
              </w:rPr>
              <w:t xml:space="preserve"> </w:t>
            </w:r>
            <w:r>
              <w:rPr>
                <w:sz w:val="16"/>
              </w:rPr>
              <w:t>revaluation</w:t>
            </w:r>
            <w:r>
              <w:rPr>
                <w:spacing w:val="17"/>
                <w:sz w:val="16"/>
              </w:rPr>
              <w:t xml:space="preserve"> </w:t>
            </w:r>
            <w:r>
              <w:rPr>
                <w:spacing w:val="-2"/>
                <w:sz w:val="16"/>
              </w:rPr>
              <w:t>adjustment</w:t>
            </w:r>
          </w:p>
        </w:tc>
        <w:tc>
          <w:tcPr>
            <w:tcW w:w="1162" w:type="dxa"/>
          </w:tcPr>
          <w:p w14:paraId="6C96A3FE" w14:textId="77777777" w:rsidR="00AC6F3C" w:rsidRDefault="00570E88">
            <w:pPr>
              <w:pStyle w:val="TableParagraph"/>
              <w:spacing w:before="16" w:line="183" w:lineRule="exact"/>
              <w:ind w:right="93"/>
              <w:jc w:val="right"/>
              <w:rPr>
                <w:sz w:val="16"/>
              </w:rPr>
            </w:pPr>
            <w:r>
              <w:rPr>
                <w:spacing w:val="-5"/>
                <w:sz w:val="16"/>
              </w:rPr>
              <w:t>744</w:t>
            </w:r>
          </w:p>
        </w:tc>
        <w:tc>
          <w:tcPr>
            <w:tcW w:w="1075" w:type="dxa"/>
          </w:tcPr>
          <w:p w14:paraId="6A1E36EA" w14:textId="77777777" w:rsidR="00AC6F3C" w:rsidRDefault="00570E88">
            <w:pPr>
              <w:pStyle w:val="TableParagraph"/>
              <w:spacing w:before="16" w:line="183" w:lineRule="exact"/>
              <w:ind w:right="142"/>
              <w:jc w:val="right"/>
              <w:rPr>
                <w:sz w:val="16"/>
              </w:rPr>
            </w:pPr>
            <w:r>
              <w:rPr>
                <w:w w:val="102"/>
                <w:sz w:val="16"/>
              </w:rPr>
              <w:t>-</w:t>
            </w:r>
          </w:p>
        </w:tc>
        <w:tc>
          <w:tcPr>
            <w:tcW w:w="936" w:type="dxa"/>
          </w:tcPr>
          <w:p w14:paraId="242DA1BA"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05A21392"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35D587F4" w14:textId="77777777" w:rsidR="00AC6F3C" w:rsidRDefault="00570E88">
            <w:pPr>
              <w:pStyle w:val="TableParagraph"/>
              <w:spacing w:before="16" w:line="183" w:lineRule="exact"/>
              <w:ind w:right="13"/>
              <w:jc w:val="right"/>
              <w:rPr>
                <w:sz w:val="16"/>
              </w:rPr>
            </w:pPr>
            <w:r>
              <w:rPr>
                <w:spacing w:val="-5"/>
                <w:sz w:val="16"/>
              </w:rPr>
              <w:t>744</w:t>
            </w:r>
          </w:p>
        </w:tc>
      </w:tr>
      <w:tr w:rsidR="00AC6F3C" w14:paraId="2FE7839E" w14:textId="77777777">
        <w:trPr>
          <w:trHeight w:val="218"/>
        </w:trPr>
        <w:tc>
          <w:tcPr>
            <w:tcW w:w="3281" w:type="dxa"/>
            <w:tcBorders>
              <w:left w:val="single" w:sz="6" w:space="0" w:color="000000"/>
            </w:tcBorders>
          </w:tcPr>
          <w:p w14:paraId="73C7A55D" w14:textId="77777777" w:rsidR="00AC6F3C" w:rsidRDefault="00570E88">
            <w:pPr>
              <w:pStyle w:val="TableParagraph"/>
              <w:spacing w:before="16" w:line="183" w:lineRule="exact"/>
              <w:ind w:left="33"/>
              <w:rPr>
                <w:sz w:val="16"/>
              </w:rPr>
            </w:pPr>
            <w:r>
              <w:rPr>
                <w:spacing w:val="-2"/>
                <w:sz w:val="16"/>
              </w:rPr>
              <w:t>Additions</w:t>
            </w:r>
          </w:p>
        </w:tc>
        <w:tc>
          <w:tcPr>
            <w:tcW w:w="1162" w:type="dxa"/>
          </w:tcPr>
          <w:p w14:paraId="4D1FC6D6"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571BE8DE" w14:textId="77777777" w:rsidR="00AC6F3C" w:rsidRDefault="00570E88">
            <w:pPr>
              <w:pStyle w:val="TableParagraph"/>
              <w:spacing w:before="16" w:line="183" w:lineRule="exact"/>
              <w:ind w:right="142"/>
              <w:jc w:val="right"/>
              <w:rPr>
                <w:sz w:val="16"/>
              </w:rPr>
            </w:pPr>
            <w:r>
              <w:rPr>
                <w:spacing w:val="-5"/>
                <w:sz w:val="16"/>
              </w:rPr>
              <w:t>475</w:t>
            </w:r>
          </w:p>
        </w:tc>
        <w:tc>
          <w:tcPr>
            <w:tcW w:w="936" w:type="dxa"/>
          </w:tcPr>
          <w:p w14:paraId="64C1606B" w14:textId="77777777" w:rsidR="00AC6F3C" w:rsidRDefault="00570E88">
            <w:pPr>
              <w:pStyle w:val="TableParagraph"/>
              <w:spacing w:before="16" w:line="183" w:lineRule="exact"/>
              <w:ind w:right="53"/>
              <w:jc w:val="right"/>
              <w:rPr>
                <w:sz w:val="16"/>
              </w:rPr>
            </w:pPr>
            <w:r>
              <w:rPr>
                <w:spacing w:val="-2"/>
                <w:sz w:val="16"/>
              </w:rPr>
              <w:t>10,927</w:t>
            </w:r>
          </w:p>
        </w:tc>
        <w:tc>
          <w:tcPr>
            <w:tcW w:w="988" w:type="dxa"/>
          </w:tcPr>
          <w:p w14:paraId="699CC58E" w14:textId="77777777" w:rsidR="00AC6F3C" w:rsidRDefault="00570E88">
            <w:pPr>
              <w:pStyle w:val="TableParagraph"/>
              <w:spacing w:before="16" w:line="183" w:lineRule="exact"/>
              <w:ind w:right="15"/>
              <w:jc w:val="right"/>
              <w:rPr>
                <w:sz w:val="16"/>
              </w:rPr>
            </w:pPr>
            <w:r>
              <w:rPr>
                <w:spacing w:val="-5"/>
                <w:sz w:val="16"/>
              </w:rPr>
              <w:t>119</w:t>
            </w:r>
          </w:p>
        </w:tc>
        <w:tc>
          <w:tcPr>
            <w:tcW w:w="1031" w:type="dxa"/>
            <w:tcBorders>
              <w:right w:val="single" w:sz="6" w:space="0" w:color="000000"/>
            </w:tcBorders>
            <w:shd w:val="clear" w:color="auto" w:fill="F1F1F1"/>
          </w:tcPr>
          <w:p w14:paraId="3E53CCE0" w14:textId="77777777" w:rsidR="00AC6F3C" w:rsidRDefault="00570E88">
            <w:pPr>
              <w:pStyle w:val="TableParagraph"/>
              <w:spacing w:before="16" w:line="183" w:lineRule="exact"/>
              <w:ind w:right="13"/>
              <w:jc w:val="right"/>
              <w:rPr>
                <w:sz w:val="16"/>
              </w:rPr>
            </w:pPr>
            <w:r>
              <w:rPr>
                <w:spacing w:val="-2"/>
                <w:sz w:val="16"/>
              </w:rPr>
              <w:t>11,521</w:t>
            </w:r>
          </w:p>
        </w:tc>
      </w:tr>
      <w:tr w:rsidR="00AC6F3C" w14:paraId="1237D19D" w14:textId="77777777">
        <w:trPr>
          <w:trHeight w:val="218"/>
        </w:trPr>
        <w:tc>
          <w:tcPr>
            <w:tcW w:w="3281" w:type="dxa"/>
            <w:tcBorders>
              <w:left w:val="single" w:sz="6" w:space="0" w:color="000000"/>
            </w:tcBorders>
          </w:tcPr>
          <w:p w14:paraId="5FB120DC" w14:textId="77777777" w:rsidR="00AC6F3C" w:rsidRDefault="00570E88">
            <w:pPr>
              <w:pStyle w:val="TableParagraph"/>
              <w:spacing w:before="16" w:line="183" w:lineRule="exact"/>
              <w:ind w:left="33"/>
              <w:rPr>
                <w:sz w:val="16"/>
              </w:rPr>
            </w:pPr>
            <w:r>
              <w:rPr>
                <w:sz w:val="16"/>
              </w:rPr>
              <w:t>Additions</w:t>
            </w:r>
            <w:r>
              <w:rPr>
                <w:spacing w:val="27"/>
                <w:sz w:val="16"/>
              </w:rPr>
              <w:t xml:space="preserve"> </w:t>
            </w:r>
            <w:r>
              <w:rPr>
                <w:sz w:val="16"/>
              </w:rPr>
              <w:t>-</w:t>
            </w:r>
            <w:r>
              <w:rPr>
                <w:spacing w:val="8"/>
                <w:sz w:val="16"/>
              </w:rPr>
              <w:t xml:space="preserve"> </w:t>
            </w:r>
            <w:r>
              <w:rPr>
                <w:sz w:val="16"/>
              </w:rPr>
              <w:t>right</w:t>
            </w:r>
            <w:r>
              <w:rPr>
                <w:spacing w:val="4"/>
                <w:sz w:val="16"/>
              </w:rPr>
              <w:t xml:space="preserve"> </w:t>
            </w:r>
            <w:r>
              <w:rPr>
                <w:sz w:val="16"/>
              </w:rPr>
              <w:t>of</w:t>
            </w:r>
            <w:r>
              <w:rPr>
                <w:spacing w:val="3"/>
                <w:sz w:val="16"/>
              </w:rPr>
              <w:t xml:space="preserve"> </w:t>
            </w:r>
            <w:r>
              <w:rPr>
                <w:sz w:val="16"/>
              </w:rPr>
              <w:t>use</w:t>
            </w:r>
            <w:r>
              <w:rPr>
                <w:spacing w:val="14"/>
                <w:sz w:val="16"/>
              </w:rPr>
              <w:t xml:space="preserve"> </w:t>
            </w:r>
            <w:r>
              <w:rPr>
                <w:spacing w:val="-2"/>
                <w:sz w:val="16"/>
              </w:rPr>
              <w:t>assets</w:t>
            </w:r>
          </w:p>
        </w:tc>
        <w:tc>
          <w:tcPr>
            <w:tcW w:w="1162" w:type="dxa"/>
          </w:tcPr>
          <w:p w14:paraId="2946774F"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0F5BCDF2" w14:textId="77777777" w:rsidR="00AC6F3C" w:rsidRDefault="00570E88">
            <w:pPr>
              <w:pStyle w:val="TableParagraph"/>
              <w:spacing w:before="16" w:line="183" w:lineRule="exact"/>
              <w:ind w:right="142"/>
              <w:jc w:val="right"/>
              <w:rPr>
                <w:sz w:val="16"/>
              </w:rPr>
            </w:pPr>
            <w:r>
              <w:rPr>
                <w:w w:val="102"/>
                <w:sz w:val="16"/>
              </w:rPr>
              <w:t>-</w:t>
            </w:r>
          </w:p>
        </w:tc>
        <w:tc>
          <w:tcPr>
            <w:tcW w:w="936" w:type="dxa"/>
          </w:tcPr>
          <w:p w14:paraId="4FF871E3"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0935FB6B"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76FAE533" w14:textId="77777777" w:rsidR="00AC6F3C" w:rsidRDefault="00570E88">
            <w:pPr>
              <w:pStyle w:val="TableParagraph"/>
              <w:spacing w:before="16" w:line="183" w:lineRule="exact"/>
              <w:ind w:right="13"/>
              <w:jc w:val="right"/>
              <w:rPr>
                <w:sz w:val="16"/>
              </w:rPr>
            </w:pPr>
            <w:r>
              <w:rPr>
                <w:w w:val="102"/>
                <w:sz w:val="16"/>
              </w:rPr>
              <w:t>-</w:t>
            </w:r>
          </w:p>
        </w:tc>
      </w:tr>
      <w:tr w:rsidR="00AC6F3C" w14:paraId="381F724D" w14:textId="77777777">
        <w:trPr>
          <w:trHeight w:val="218"/>
        </w:trPr>
        <w:tc>
          <w:tcPr>
            <w:tcW w:w="3281" w:type="dxa"/>
            <w:tcBorders>
              <w:left w:val="single" w:sz="6" w:space="0" w:color="000000"/>
            </w:tcBorders>
          </w:tcPr>
          <w:p w14:paraId="02711FB9" w14:textId="77777777" w:rsidR="00AC6F3C" w:rsidRDefault="00570E88">
            <w:pPr>
              <w:pStyle w:val="TableParagraph"/>
              <w:spacing w:before="16" w:line="183" w:lineRule="exact"/>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Pr>
          <w:p w14:paraId="48DAABB6" w14:textId="77777777" w:rsidR="00AC6F3C" w:rsidRDefault="00570E88">
            <w:pPr>
              <w:pStyle w:val="TableParagraph"/>
              <w:spacing w:before="16" w:line="183" w:lineRule="exact"/>
              <w:ind w:right="93"/>
              <w:jc w:val="right"/>
              <w:rPr>
                <w:sz w:val="16"/>
              </w:rPr>
            </w:pPr>
            <w:r>
              <w:rPr>
                <w:spacing w:val="-2"/>
                <w:sz w:val="16"/>
              </w:rPr>
              <w:t>10,123</w:t>
            </w:r>
          </w:p>
        </w:tc>
        <w:tc>
          <w:tcPr>
            <w:tcW w:w="1075" w:type="dxa"/>
          </w:tcPr>
          <w:p w14:paraId="07FA451B" w14:textId="77777777" w:rsidR="00AC6F3C" w:rsidRDefault="00570E88">
            <w:pPr>
              <w:pStyle w:val="TableParagraph"/>
              <w:spacing w:before="16" w:line="183" w:lineRule="exact"/>
              <w:ind w:right="138"/>
              <w:jc w:val="right"/>
              <w:rPr>
                <w:sz w:val="16"/>
              </w:rPr>
            </w:pPr>
            <w:r>
              <w:rPr>
                <w:spacing w:val="-2"/>
                <w:sz w:val="16"/>
              </w:rPr>
              <w:t>(1,350)</w:t>
            </w:r>
          </w:p>
        </w:tc>
        <w:tc>
          <w:tcPr>
            <w:tcW w:w="936" w:type="dxa"/>
          </w:tcPr>
          <w:p w14:paraId="2739DB13" w14:textId="77777777" w:rsidR="00AC6F3C" w:rsidRDefault="00570E88">
            <w:pPr>
              <w:pStyle w:val="TableParagraph"/>
              <w:spacing w:before="16" w:line="183" w:lineRule="exact"/>
              <w:ind w:right="48"/>
              <w:jc w:val="right"/>
              <w:rPr>
                <w:sz w:val="16"/>
              </w:rPr>
            </w:pPr>
            <w:r>
              <w:rPr>
                <w:spacing w:val="-2"/>
                <w:sz w:val="16"/>
              </w:rPr>
              <w:t>(9,028)</w:t>
            </w:r>
          </w:p>
        </w:tc>
        <w:tc>
          <w:tcPr>
            <w:tcW w:w="988" w:type="dxa"/>
          </w:tcPr>
          <w:p w14:paraId="71963F91" w14:textId="77777777" w:rsidR="00AC6F3C" w:rsidRDefault="00570E88">
            <w:pPr>
              <w:pStyle w:val="TableParagraph"/>
              <w:spacing w:before="16" w:line="183" w:lineRule="exact"/>
              <w:ind w:right="15"/>
              <w:jc w:val="right"/>
              <w:rPr>
                <w:sz w:val="16"/>
              </w:rPr>
            </w:pPr>
            <w:r>
              <w:rPr>
                <w:spacing w:val="-5"/>
                <w:sz w:val="16"/>
              </w:rPr>
              <w:t>255</w:t>
            </w:r>
          </w:p>
        </w:tc>
        <w:tc>
          <w:tcPr>
            <w:tcW w:w="1031" w:type="dxa"/>
            <w:tcBorders>
              <w:right w:val="single" w:sz="6" w:space="0" w:color="000000"/>
            </w:tcBorders>
            <w:shd w:val="clear" w:color="auto" w:fill="F1F1F1"/>
          </w:tcPr>
          <w:p w14:paraId="2C118B73" w14:textId="77777777" w:rsidR="00AC6F3C" w:rsidRDefault="00570E88">
            <w:pPr>
              <w:pStyle w:val="TableParagraph"/>
              <w:spacing w:before="16" w:line="183" w:lineRule="exact"/>
              <w:ind w:right="13"/>
              <w:jc w:val="right"/>
              <w:rPr>
                <w:sz w:val="16"/>
              </w:rPr>
            </w:pPr>
            <w:r>
              <w:rPr>
                <w:w w:val="102"/>
                <w:sz w:val="16"/>
              </w:rPr>
              <w:t>-</w:t>
            </w:r>
          </w:p>
        </w:tc>
      </w:tr>
      <w:tr w:rsidR="00AC6F3C" w14:paraId="0658C197" w14:textId="77777777">
        <w:trPr>
          <w:trHeight w:val="218"/>
        </w:trPr>
        <w:tc>
          <w:tcPr>
            <w:tcW w:w="3281" w:type="dxa"/>
            <w:tcBorders>
              <w:left w:val="single" w:sz="6" w:space="0" w:color="000000"/>
            </w:tcBorders>
          </w:tcPr>
          <w:p w14:paraId="2970BE4E" w14:textId="77777777" w:rsidR="00AC6F3C" w:rsidRDefault="00570E88">
            <w:pPr>
              <w:pStyle w:val="TableParagraph"/>
              <w:spacing w:before="16" w:line="183" w:lineRule="exact"/>
              <w:ind w:left="33"/>
              <w:rPr>
                <w:sz w:val="16"/>
              </w:rPr>
            </w:pPr>
            <w:r>
              <w:rPr>
                <w:spacing w:val="-2"/>
                <w:sz w:val="16"/>
              </w:rPr>
              <w:t>Disposals</w:t>
            </w:r>
          </w:p>
        </w:tc>
        <w:tc>
          <w:tcPr>
            <w:tcW w:w="1162" w:type="dxa"/>
          </w:tcPr>
          <w:p w14:paraId="65417101"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1A9915D2" w14:textId="77777777" w:rsidR="00AC6F3C" w:rsidRDefault="00570E88">
            <w:pPr>
              <w:pStyle w:val="TableParagraph"/>
              <w:spacing w:before="16" w:line="183" w:lineRule="exact"/>
              <w:ind w:right="138"/>
              <w:jc w:val="right"/>
              <w:rPr>
                <w:sz w:val="16"/>
              </w:rPr>
            </w:pPr>
            <w:r>
              <w:rPr>
                <w:spacing w:val="-2"/>
                <w:sz w:val="16"/>
              </w:rPr>
              <w:t>(1,521)</w:t>
            </w:r>
          </w:p>
        </w:tc>
        <w:tc>
          <w:tcPr>
            <w:tcW w:w="936" w:type="dxa"/>
          </w:tcPr>
          <w:p w14:paraId="7DE6E6B0"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1E2CE021"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3A9F24EF" w14:textId="77777777" w:rsidR="00AC6F3C" w:rsidRDefault="00570E88">
            <w:pPr>
              <w:pStyle w:val="TableParagraph"/>
              <w:spacing w:before="16" w:line="183" w:lineRule="exact"/>
              <w:ind w:right="9"/>
              <w:jc w:val="right"/>
              <w:rPr>
                <w:sz w:val="16"/>
              </w:rPr>
            </w:pPr>
            <w:r>
              <w:rPr>
                <w:spacing w:val="-2"/>
                <w:sz w:val="16"/>
              </w:rPr>
              <w:t>(1,521)</w:t>
            </w:r>
          </w:p>
        </w:tc>
      </w:tr>
      <w:tr w:rsidR="00AC6F3C" w14:paraId="40719F5A" w14:textId="77777777">
        <w:trPr>
          <w:trHeight w:val="207"/>
        </w:trPr>
        <w:tc>
          <w:tcPr>
            <w:tcW w:w="3281" w:type="dxa"/>
            <w:tcBorders>
              <w:left w:val="single" w:sz="6" w:space="0" w:color="000000"/>
              <w:bottom w:val="single" w:sz="6" w:space="0" w:color="000000"/>
            </w:tcBorders>
          </w:tcPr>
          <w:p w14:paraId="16076C64" w14:textId="77777777" w:rsidR="00AC6F3C" w:rsidRDefault="00570E88">
            <w:pPr>
              <w:pStyle w:val="TableParagraph"/>
              <w:spacing w:before="16" w:line="171" w:lineRule="exact"/>
              <w:ind w:left="33"/>
              <w:rPr>
                <w:sz w:val="16"/>
              </w:rPr>
            </w:pPr>
            <w:r>
              <w:rPr>
                <w:sz w:val="16"/>
              </w:rPr>
              <w:t>Revaluation</w:t>
            </w:r>
            <w:r>
              <w:rPr>
                <w:spacing w:val="29"/>
                <w:sz w:val="16"/>
              </w:rPr>
              <w:t xml:space="preserve"> </w:t>
            </w:r>
            <w:r>
              <w:rPr>
                <w:sz w:val="16"/>
              </w:rPr>
              <w:t>increment</w:t>
            </w:r>
            <w:r>
              <w:rPr>
                <w:spacing w:val="16"/>
                <w:sz w:val="16"/>
              </w:rPr>
              <w:t xml:space="preserve"> </w:t>
            </w:r>
            <w:r>
              <w:rPr>
                <w:sz w:val="16"/>
              </w:rPr>
              <w:t>/</w:t>
            </w:r>
            <w:r>
              <w:rPr>
                <w:spacing w:val="16"/>
                <w:sz w:val="16"/>
              </w:rPr>
              <w:t xml:space="preserve"> </w:t>
            </w:r>
            <w:r>
              <w:rPr>
                <w:spacing w:val="-2"/>
                <w:sz w:val="16"/>
              </w:rPr>
              <w:t>(decrement)</w:t>
            </w:r>
          </w:p>
        </w:tc>
        <w:tc>
          <w:tcPr>
            <w:tcW w:w="1162" w:type="dxa"/>
            <w:tcBorders>
              <w:bottom w:val="single" w:sz="6" w:space="0" w:color="000000"/>
            </w:tcBorders>
          </w:tcPr>
          <w:p w14:paraId="35D5E416" w14:textId="77777777" w:rsidR="00AC6F3C" w:rsidRDefault="00570E88">
            <w:pPr>
              <w:pStyle w:val="TableParagraph"/>
              <w:spacing w:before="16" w:line="171" w:lineRule="exact"/>
              <w:ind w:right="88"/>
              <w:jc w:val="right"/>
              <w:rPr>
                <w:sz w:val="16"/>
              </w:rPr>
            </w:pPr>
            <w:r>
              <w:rPr>
                <w:spacing w:val="-2"/>
                <w:sz w:val="16"/>
              </w:rPr>
              <w:t>(416)</w:t>
            </w:r>
          </w:p>
        </w:tc>
        <w:tc>
          <w:tcPr>
            <w:tcW w:w="1075" w:type="dxa"/>
            <w:tcBorders>
              <w:bottom w:val="single" w:sz="6" w:space="0" w:color="000000"/>
            </w:tcBorders>
          </w:tcPr>
          <w:p w14:paraId="699BFCD3" w14:textId="77777777" w:rsidR="00AC6F3C" w:rsidRDefault="00570E88">
            <w:pPr>
              <w:pStyle w:val="TableParagraph"/>
              <w:spacing w:before="16" w:line="171" w:lineRule="exact"/>
              <w:ind w:right="142"/>
              <w:jc w:val="right"/>
              <w:rPr>
                <w:sz w:val="16"/>
              </w:rPr>
            </w:pPr>
            <w:r>
              <w:rPr>
                <w:w w:val="102"/>
                <w:sz w:val="16"/>
              </w:rPr>
              <w:t>-</w:t>
            </w:r>
          </w:p>
        </w:tc>
        <w:tc>
          <w:tcPr>
            <w:tcW w:w="936" w:type="dxa"/>
            <w:tcBorders>
              <w:bottom w:val="single" w:sz="6" w:space="0" w:color="000000"/>
            </w:tcBorders>
          </w:tcPr>
          <w:p w14:paraId="203F2CE1" w14:textId="77777777" w:rsidR="00AC6F3C" w:rsidRDefault="00570E88">
            <w:pPr>
              <w:pStyle w:val="TableParagraph"/>
              <w:spacing w:before="16" w:line="171" w:lineRule="exact"/>
              <w:ind w:right="53"/>
              <w:jc w:val="right"/>
              <w:rPr>
                <w:sz w:val="16"/>
              </w:rPr>
            </w:pPr>
            <w:r>
              <w:rPr>
                <w:w w:val="102"/>
                <w:sz w:val="16"/>
              </w:rPr>
              <w:t>-</w:t>
            </w:r>
          </w:p>
        </w:tc>
        <w:tc>
          <w:tcPr>
            <w:tcW w:w="988" w:type="dxa"/>
            <w:tcBorders>
              <w:bottom w:val="single" w:sz="6" w:space="0" w:color="000000"/>
            </w:tcBorders>
          </w:tcPr>
          <w:p w14:paraId="32A981BD" w14:textId="77777777" w:rsidR="00AC6F3C" w:rsidRDefault="00570E88">
            <w:pPr>
              <w:pStyle w:val="TableParagraph"/>
              <w:spacing w:before="16" w:line="171" w:lineRule="exact"/>
              <w:ind w:right="15"/>
              <w:jc w:val="right"/>
              <w:rPr>
                <w:sz w:val="16"/>
              </w:rPr>
            </w:pPr>
            <w:r>
              <w:rPr>
                <w:w w:val="102"/>
                <w:sz w:val="16"/>
              </w:rPr>
              <w:t>-</w:t>
            </w:r>
          </w:p>
        </w:tc>
        <w:tc>
          <w:tcPr>
            <w:tcW w:w="1031" w:type="dxa"/>
            <w:tcBorders>
              <w:bottom w:val="single" w:sz="6" w:space="0" w:color="000000"/>
              <w:right w:val="single" w:sz="6" w:space="0" w:color="000000"/>
            </w:tcBorders>
            <w:shd w:val="clear" w:color="auto" w:fill="F1F1F1"/>
          </w:tcPr>
          <w:p w14:paraId="2BE30CDF" w14:textId="77777777" w:rsidR="00AC6F3C" w:rsidRDefault="00570E88">
            <w:pPr>
              <w:pStyle w:val="TableParagraph"/>
              <w:spacing w:before="16" w:line="171" w:lineRule="exact"/>
              <w:ind w:right="9"/>
              <w:jc w:val="right"/>
              <w:rPr>
                <w:sz w:val="16"/>
              </w:rPr>
            </w:pPr>
            <w:r>
              <w:rPr>
                <w:spacing w:val="-2"/>
                <w:sz w:val="16"/>
              </w:rPr>
              <w:t>(416)</w:t>
            </w:r>
          </w:p>
        </w:tc>
      </w:tr>
      <w:tr w:rsidR="00AC6F3C" w14:paraId="2DAC22E7" w14:textId="77777777">
        <w:trPr>
          <w:trHeight w:val="203"/>
        </w:trPr>
        <w:tc>
          <w:tcPr>
            <w:tcW w:w="3281" w:type="dxa"/>
            <w:tcBorders>
              <w:top w:val="single" w:sz="6" w:space="0" w:color="000000"/>
              <w:left w:val="single" w:sz="6" w:space="0" w:color="000000"/>
              <w:bottom w:val="single" w:sz="6" w:space="0" w:color="000000"/>
            </w:tcBorders>
          </w:tcPr>
          <w:p w14:paraId="61FB1F74" w14:textId="77777777" w:rsidR="00AC6F3C" w:rsidRDefault="00570E88">
            <w:pPr>
              <w:pStyle w:val="TableParagraph"/>
              <w:spacing w:before="13"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79F28439" w14:textId="77777777" w:rsidR="00AC6F3C" w:rsidRDefault="00570E88">
            <w:pPr>
              <w:pStyle w:val="TableParagraph"/>
              <w:spacing w:before="13" w:line="171" w:lineRule="exact"/>
              <w:ind w:right="93"/>
              <w:jc w:val="right"/>
              <w:rPr>
                <w:b/>
                <w:sz w:val="16"/>
              </w:rPr>
            </w:pPr>
            <w:r>
              <w:rPr>
                <w:b/>
                <w:spacing w:val="-2"/>
                <w:sz w:val="16"/>
              </w:rPr>
              <w:t>38,190</w:t>
            </w:r>
          </w:p>
        </w:tc>
        <w:tc>
          <w:tcPr>
            <w:tcW w:w="1075" w:type="dxa"/>
            <w:tcBorders>
              <w:top w:val="single" w:sz="6" w:space="0" w:color="000000"/>
              <w:bottom w:val="single" w:sz="6" w:space="0" w:color="000000"/>
            </w:tcBorders>
          </w:tcPr>
          <w:p w14:paraId="67C76BCD" w14:textId="77777777" w:rsidR="00AC6F3C" w:rsidRDefault="00570E88">
            <w:pPr>
              <w:pStyle w:val="TableParagraph"/>
              <w:spacing w:before="13" w:line="171" w:lineRule="exact"/>
              <w:ind w:right="142"/>
              <w:jc w:val="right"/>
              <w:rPr>
                <w:b/>
                <w:sz w:val="16"/>
              </w:rPr>
            </w:pPr>
            <w:r>
              <w:rPr>
                <w:b/>
                <w:spacing w:val="-2"/>
                <w:sz w:val="16"/>
              </w:rPr>
              <w:t>6,155</w:t>
            </w:r>
          </w:p>
        </w:tc>
        <w:tc>
          <w:tcPr>
            <w:tcW w:w="936" w:type="dxa"/>
            <w:tcBorders>
              <w:top w:val="single" w:sz="6" w:space="0" w:color="000000"/>
              <w:bottom w:val="single" w:sz="6" w:space="0" w:color="000000"/>
            </w:tcBorders>
          </w:tcPr>
          <w:p w14:paraId="687F834B" w14:textId="77777777" w:rsidR="00AC6F3C" w:rsidRDefault="00570E88">
            <w:pPr>
              <w:pStyle w:val="TableParagraph"/>
              <w:spacing w:before="13" w:line="171" w:lineRule="exact"/>
              <w:ind w:right="53"/>
              <w:jc w:val="right"/>
              <w:rPr>
                <w:b/>
                <w:sz w:val="16"/>
              </w:rPr>
            </w:pPr>
            <w:r>
              <w:rPr>
                <w:b/>
                <w:spacing w:val="-2"/>
                <w:sz w:val="16"/>
              </w:rPr>
              <w:t>2,052</w:t>
            </w:r>
          </w:p>
        </w:tc>
        <w:tc>
          <w:tcPr>
            <w:tcW w:w="988" w:type="dxa"/>
            <w:tcBorders>
              <w:top w:val="single" w:sz="6" w:space="0" w:color="000000"/>
              <w:bottom w:val="single" w:sz="6" w:space="0" w:color="000000"/>
            </w:tcBorders>
          </w:tcPr>
          <w:p w14:paraId="7EDCBCB1" w14:textId="77777777" w:rsidR="00AC6F3C" w:rsidRDefault="00570E88">
            <w:pPr>
              <w:pStyle w:val="TableParagraph"/>
              <w:spacing w:before="13" w:line="171" w:lineRule="exact"/>
              <w:ind w:right="15"/>
              <w:jc w:val="right"/>
              <w:rPr>
                <w:b/>
                <w:sz w:val="16"/>
              </w:rPr>
            </w:pPr>
            <w:r>
              <w:rPr>
                <w:b/>
                <w:spacing w:val="-2"/>
                <w:sz w:val="16"/>
              </w:rPr>
              <w:t>3,828</w:t>
            </w:r>
          </w:p>
        </w:tc>
        <w:tc>
          <w:tcPr>
            <w:tcW w:w="1031" w:type="dxa"/>
            <w:tcBorders>
              <w:top w:val="single" w:sz="6" w:space="0" w:color="000000"/>
              <w:bottom w:val="single" w:sz="6" w:space="0" w:color="000000"/>
              <w:right w:val="single" w:sz="6" w:space="0" w:color="000000"/>
            </w:tcBorders>
            <w:shd w:val="clear" w:color="auto" w:fill="F1F1F1"/>
          </w:tcPr>
          <w:p w14:paraId="753FDA71" w14:textId="77777777" w:rsidR="00AC6F3C" w:rsidRDefault="00570E88">
            <w:pPr>
              <w:pStyle w:val="TableParagraph"/>
              <w:spacing w:before="13" w:line="171" w:lineRule="exact"/>
              <w:ind w:right="13"/>
              <w:jc w:val="right"/>
              <w:rPr>
                <w:b/>
                <w:sz w:val="16"/>
              </w:rPr>
            </w:pPr>
            <w:r>
              <w:rPr>
                <w:b/>
                <w:spacing w:val="-2"/>
                <w:sz w:val="16"/>
              </w:rPr>
              <w:t>50,226</w:t>
            </w:r>
          </w:p>
        </w:tc>
      </w:tr>
      <w:tr w:rsidR="00AC6F3C" w14:paraId="6B9ADDE5" w14:textId="77777777">
        <w:trPr>
          <w:trHeight w:val="215"/>
        </w:trPr>
        <w:tc>
          <w:tcPr>
            <w:tcW w:w="4443" w:type="dxa"/>
            <w:gridSpan w:val="2"/>
            <w:tcBorders>
              <w:top w:val="single" w:sz="6" w:space="0" w:color="000000"/>
              <w:left w:val="single" w:sz="6" w:space="0" w:color="000000"/>
            </w:tcBorders>
          </w:tcPr>
          <w:p w14:paraId="3FC3C984" w14:textId="77777777" w:rsidR="00AC6F3C" w:rsidRDefault="00570E88">
            <w:pPr>
              <w:pStyle w:val="TableParagraph"/>
              <w:spacing w:before="12" w:line="183" w:lineRule="exact"/>
              <w:ind w:left="33"/>
              <w:rPr>
                <w:b/>
                <w:sz w:val="16"/>
              </w:rPr>
            </w:pPr>
            <w:r>
              <w:rPr>
                <w:b/>
                <w:spacing w:val="-2"/>
                <w:sz w:val="16"/>
              </w:rPr>
              <w:t>Depreciation</w:t>
            </w:r>
          </w:p>
        </w:tc>
        <w:tc>
          <w:tcPr>
            <w:tcW w:w="1075" w:type="dxa"/>
            <w:tcBorders>
              <w:top w:val="single" w:sz="6" w:space="0" w:color="000000"/>
            </w:tcBorders>
          </w:tcPr>
          <w:p w14:paraId="55169F60" w14:textId="77777777" w:rsidR="00AC6F3C" w:rsidRDefault="00AC6F3C">
            <w:pPr>
              <w:pStyle w:val="TableParagraph"/>
              <w:rPr>
                <w:rFonts w:ascii="Times New Roman"/>
                <w:sz w:val="14"/>
              </w:rPr>
            </w:pPr>
          </w:p>
        </w:tc>
        <w:tc>
          <w:tcPr>
            <w:tcW w:w="936" w:type="dxa"/>
            <w:tcBorders>
              <w:top w:val="single" w:sz="6" w:space="0" w:color="000000"/>
            </w:tcBorders>
          </w:tcPr>
          <w:p w14:paraId="5FECF838" w14:textId="77777777" w:rsidR="00AC6F3C" w:rsidRDefault="00AC6F3C">
            <w:pPr>
              <w:pStyle w:val="TableParagraph"/>
              <w:rPr>
                <w:rFonts w:ascii="Times New Roman"/>
                <w:sz w:val="14"/>
              </w:rPr>
            </w:pPr>
          </w:p>
        </w:tc>
        <w:tc>
          <w:tcPr>
            <w:tcW w:w="988" w:type="dxa"/>
            <w:tcBorders>
              <w:top w:val="single" w:sz="6" w:space="0" w:color="000000"/>
            </w:tcBorders>
          </w:tcPr>
          <w:p w14:paraId="20FB6E16" w14:textId="77777777" w:rsidR="00AC6F3C" w:rsidRDefault="00AC6F3C">
            <w:pPr>
              <w:pStyle w:val="TableParagraph"/>
              <w:rPr>
                <w:rFonts w:ascii="Times New Roman"/>
                <w:sz w:val="14"/>
              </w:rPr>
            </w:pPr>
          </w:p>
        </w:tc>
        <w:tc>
          <w:tcPr>
            <w:tcW w:w="1031" w:type="dxa"/>
            <w:tcBorders>
              <w:top w:val="single" w:sz="6" w:space="0" w:color="000000"/>
              <w:right w:val="single" w:sz="6" w:space="0" w:color="000000"/>
            </w:tcBorders>
            <w:shd w:val="clear" w:color="auto" w:fill="F1F1F1"/>
          </w:tcPr>
          <w:p w14:paraId="68BB117D" w14:textId="77777777" w:rsidR="00AC6F3C" w:rsidRDefault="00AC6F3C">
            <w:pPr>
              <w:pStyle w:val="TableParagraph"/>
              <w:rPr>
                <w:rFonts w:ascii="Times New Roman"/>
                <w:sz w:val="14"/>
              </w:rPr>
            </w:pPr>
          </w:p>
        </w:tc>
      </w:tr>
      <w:tr w:rsidR="00AC6F3C" w14:paraId="49926030" w14:textId="77777777">
        <w:trPr>
          <w:trHeight w:val="218"/>
        </w:trPr>
        <w:tc>
          <w:tcPr>
            <w:tcW w:w="3281" w:type="dxa"/>
            <w:tcBorders>
              <w:left w:val="single" w:sz="6" w:space="0" w:color="000000"/>
            </w:tcBorders>
          </w:tcPr>
          <w:p w14:paraId="2F3F9334" w14:textId="77777777" w:rsidR="00AC6F3C" w:rsidRDefault="00570E88">
            <w:pPr>
              <w:pStyle w:val="TableParagraph"/>
              <w:spacing w:before="16" w:line="183" w:lineRule="exact"/>
              <w:ind w:left="33"/>
              <w:rPr>
                <w:sz w:val="16"/>
              </w:rPr>
            </w:pPr>
            <w:r>
              <w:rPr>
                <w:sz w:val="16"/>
              </w:rPr>
              <w:t>Accumulated</w:t>
            </w:r>
            <w:r>
              <w:rPr>
                <w:spacing w:val="32"/>
                <w:sz w:val="16"/>
              </w:rPr>
              <w:t xml:space="preserve"> </w:t>
            </w:r>
            <w:r>
              <w:rPr>
                <w:spacing w:val="-2"/>
                <w:sz w:val="16"/>
              </w:rPr>
              <w:t>depreciation</w:t>
            </w:r>
          </w:p>
        </w:tc>
        <w:tc>
          <w:tcPr>
            <w:tcW w:w="1162" w:type="dxa"/>
          </w:tcPr>
          <w:p w14:paraId="34FEF2DB" w14:textId="77777777" w:rsidR="00AC6F3C" w:rsidRDefault="00570E88">
            <w:pPr>
              <w:pStyle w:val="TableParagraph"/>
              <w:spacing w:before="16" w:line="183" w:lineRule="exact"/>
              <w:ind w:right="88"/>
              <w:jc w:val="right"/>
              <w:rPr>
                <w:sz w:val="16"/>
              </w:rPr>
            </w:pPr>
            <w:r>
              <w:rPr>
                <w:spacing w:val="-2"/>
                <w:sz w:val="16"/>
              </w:rPr>
              <w:t>(749)</w:t>
            </w:r>
          </w:p>
        </w:tc>
        <w:tc>
          <w:tcPr>
            <w:tcW w:w="1075" w:type="dxa"/>
          </w:tcPr>
          <w:p w14:paraId="33B7818B" w14:textId="77777777" w:rsidR="00AC6F3C" w:rsidRDefault="00570E88">
            <w:pPr>
              <w:pStyle w:val="TableParagraph"/>
              <w:spacing w:before="16" w:line="183" w:lineRule="exact"/>
              <w:ind w:right="138"/>
              <w:jc w:val="right"/>
              <w:rPr>
                <w:sz w:val="16"/>
              </w:rPr>
            </w:pPr>
            <w:r>
              <w:rPr>
                <w:spacing w:val="-2"/>
                <w:sz w:val="16"/>
              </w:rPr>
              <w:t>(5,599)</w:t>
            </w:r>
          </w:p>
        </w:tc>
        <w:tc>
          <w:tcPr>
            <w:tcW w:w="936" w:type="dxa"/>
          </w:tcPr>
          <w:p w14:paraId="21F17E00"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487B8AEF" w14:textId="77777777" w:rsidR="00AC6F3C" w:rsidRDefault="00570E88">
            <w:pPr>
              <w:pStyle w:val="TableParagraph"/>
              <w:spacing w:before="16" w:line="183" w:lineRule="exact"/>
              <w:ind w:right="11"/>
              <w:jc w:val="right"/>
              <w:rPr>
                <w:sz w:val="16"/>
              </w:rPr>
            </w:pPr>
            <w:r>
              <w:rPr>
                <w:spacing w:val="-2"/>
                <w:sz w:val="16"/>
              </w:rPr>
              <w:t>(1,944)</w:t>
            </w:r>
          </w:p>
        </w:tc>
        <w:tc>
          <w:tcPr>
            <w:tcW w:w="1031" w:type="dxa"/>
            <w:tcBorders>
              <w:right w:val="single" w:sz="6" w:space="0" w:color="000000"/>
            </w:tcBorders>
            <w:shd w:val="clear" w:color="auto" w:fill="F1F1F1"/>
          </w:tcPr>
          <w:p w14:paraId="468DD0DC" w14:textId="77777777" w:rsidR="00AC6F3C" w:rsidRDefault="00570E88">
            <w:pPr>
              <w:pStyle w:val="TableParagraph"/>
              <w:spacing w:before="16" w:line="183" w:lineRule="exact"/>
              <w:ind w:right="9"/>
              <w:jc w:val="right"/>
              <w:rPr>
                <w:sz w:val="16"/>
              </w:rPr>
            </w:pPr>
            <w:r>
              <w:rPr>
                <w:spacing w:val="-2"/>
                <w:sz w:val="16"/>
              </w:rPr>
              <w:t>(8,292)</w:t>
            </w:r>
          </w:p>
        </w:tc>
      </w:tr>
      <w:tr w:rsidR="00AC6F3C" w14:paraId="03570FF7" w14:textId="77777777">
        <w:trPr>
          <w:trHeight w:val="218"/>
        </w:trPr>
        <w:tc>
          <w:tcPr>
            <w:tcW w:w="3281" w:type="dxa"/>
            <w:tcBorders>
              <w:left w:val="single" w:sz="6" w:space="0" w:color="000000"/>
            </w:tcBorders>
          </w:tcPr>
          <w:p w14:paraId="0F80EA3B" w14:textId="77777777" w:rsidR="00AC6F3C" w:rsidRDefault="00570E88">
            <w:pPr>
              <w:pStyle w:val="TableParagraph"/>
              <w:spacing w:before="16" w:line="183" w:lineRule="exact"/>
              <w:ind w:left="33"/>
              <w:rPr>
                <w:sz w:val="16"/>
              </w:rPr>
            </w:pPr>
            <w:r>
              <w:rPr>
                <w:sz w:val="16"/>
              </w:rPr>
              <w:t>Charge</w:t>
            </w:r>
            <w:r>
              <w:rPr>
                <w:spacing w:val="11"/>
                <w:sz w:val="16"/>
              </w:rPr>
              <w:t xml:space="preserve"> </w:t>
            </w:r>
            <w:r>
              <w:rPr>
                <w:sz w:val="16"/>
              </w:rPr>
              <w:t>for</w:t>
            </w:r>
            <w:r>
              <w:rPr>
                <w:spacing w:val="6"/>
                <w:sz w:val="16"/>
              </w:rPr>
              <w:t xml:space="preserve"> </w:t>
            </w:r>
            <w:r>
              <w:rPr>
                <w:sz w:val="16"/>
              </w:rPr>
              <w:t>the</w:t>
            </w:r>
            <w:r>
              <w:rPr>
                <w:spacing w:val="11"/>
                <w:sz w:val="16"/>
              </w:rPr>
              <w:t xml:space="preserve"> </w:t>
            </w:r>
            <w:r>
              <w:rPr>
                <w:spacing w:val="-4"/>
                <w:sz w:val="16"/>
              </w:rPr>
              <w:t>year</w:t>
            </w:r>
          </w:p>
        </w:tc>
        <w:tc>
          <w:tcPr>
            <w:tcW w:w="1162" w:type="dxa"/>
          </w:tcPr>
          <w:p w14:paraId="5FA69646" w14:textId="77777777" w:rsidR="00AC6F3C" w:rsidRDefault="00570E88">
            <w:pPr>
              <w:pStyle w:val="TableParagraph"/>
              <w:spacing w:before="16" w:line="183" w:lineRule="exact"/>
              <w:ind w:right="88"/>
              <w:jc w:val="right"/>
              <w:rPr>
                <w:sz w:val="16"/>
              </w:rPr>
            </w:pPr>
            <w:r>
              <w:rPr>
                <w:spacing w:val="-2"/>
                <w:sz w:val="16"/>
              </w:rPr>
              <w:t>(996)</w:t>
            </w:r>
          </w:p>
        </w:tc>
        <w:tc>
          <w:tcPr>
            <w:tcW w:w="1075" w:type="dxa"/>
          </w:tcPr>
          <w:p w14:paraId="14DFE827" w14:textId="77777777" w:rsidR="00AC6F3C" w:rsidRDefault="00570E88">
            <w:pPr>
              <w:pStyle w:val="TableParagraph"/>
              <w:spacing w:before="16" w:line="183" w:lineRule="exact"/>
              <w:ind w:right="138"/>
              <w:jc w:val="right"/>
              <w:rPr>
                <w:sz w:val="16"/>
              </w:rPr>
            </w:pPr>
            <w:r>
              <w:rPr>
                <w:spacing w:val="-2"/>
                <w:sz w:val="16"/>
              </w:rPr>
              <w:t>(449)</w:t>
            </w:r>
          </w:p>
        </w:tc>
        <w:tc>
          <w:tcPr>
            <w:tcW w:w="936" w:type="dxa"/>
          </w:tcPr>
          <w:p w14:paraId="6CD9E925"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7ED22D7E" w14:textId="77777777" w:rsidR="00AC6F3C" w:rsidRDefault="00570E88">
            <w:pPr>
              <w:pStyle w:val="TableParagraph"/>
              <w:spacing w:before="16" w:line="183" w:lineRule="exact"/>
              <w:ind w:right="11"/>
              <w:jc w:val="right"/>
              <w:rPr>
                <w:sz w:val="16"/>
              </w:rPr>
            </w:pPr>
            <w:r>
              <w:rPr>
                <w:spacing w:val="-2"/>
                <w:sz w:val="16"/>
              </w:rPr>
              <w:t>(281)</w:t>
            </w:r>
          </w:p>
        </w:tc>
        <w:tc>
          <w:tcPr>
            <w:tcW w:w="1031" w:type="dxa"/>
            <w:tcBorders>
              <w:right w:val="single" w:sz="6" w:space="0" w:color="000000"/>
            </w:tcBorders>
            <w:shd w:val="clear" w:color="auto" w:fill="F1F1F1"/>
          </w:tcPr>
          <w:p w14:paraId="6028411E" w14:textId="77777777" w:rsidR="00AC6F3C" w:rsidRDefault="00570E88">
            <w:pPr>
              <w:pStyle w:val="TableParagraph"/>
              <w:spacing w:before="16" w:line="183" w:lineRule="exact"/>
              <w:ind w:right="9"/>
              <w:jc w:val="right"/>
              <w:rPr>
                <w:sz w:val="16"/>
              </w:rPr>
            </w:pPr>
            <w:r>
              <w:rPr>
                <w:spacing w:val="-2"/>
                <w:sz w:val="16"/>
              </w:rPr>
              <w:t>(1,726)</w:t>
            </w:r>
          </w:p>
        </w:tc>
      </w:tr>
      <w:tr w:rsidR="00AC6F3C" w14:paraId="3F6EB467" w14:textId="77777777">
        <w:trPr>
          <w:trHeight w:val="207"/>
        </w:trPr>
        <w:tc>
          <w:tcPr>
            <w:tcW w:w="3281" w:type="dxa"/>
            <w:tcBorders>
              <w:left w:val="single" w:sz="6" w:space="0" w:color="000000"/>
              <w:bottom w:val="single" w:sz="6" w:space="0" w:color="000000"/>
            </w:tcBorders>
          </w:tcPr>
          <w:p w14:paraId="3E0C3812" w14:textId="77777777" w:rsidR="00AC6F3C" w:rsidRDefault="00570E88">
            <w:pPr>
              <w:pStyle w:val="TableParagraph"/>
              <w:spacing w:before="16" w:line="171" w:lineRule="exact"/>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Borders>
              <w:bottom w:val="single" w:sz="6" w:space="0" w:color="000000"/>
            </w:tcBorders>
          </w:tcPr>
          <w:p w14:paraId="75CFCCFF" w14:textId="77777777" w:rsidR="00AC6F3C" w:rsidRDefault="00570E88">
            <w:pPr>
              <w:pStyle w:val="TableParagraph"/>
              <w:spacing w:before="16" w:line="171" w:lineRule="exact"/>
              <w:ind w:right="88"/>
              <w:jc w:val="right"/>
              <w:rPr>
                <w:sz w:val="16"/>
              </w:rPr>
            </w:pPr>
            <w:r>
              <w:rPr>
                <w:spacing w:val="-2"/>
                <w:sz w:val="16"/>
              </w:rPr>
              <w:t>(946)</w:t>
            </w:r>
          </w:p>
        </w:tc>
        <w:tc>
          <w:tcPr>
            <w:tcW w:w="1075" w:type="dxa"/>
            <w:tcBorders>
              <w:bottom w:val="single" w:sz="6" w:space="0" w:color="000000"/>
            </w:tcBorders>
          </w:tcPr>
          <w:p w14:paraId="3FF85743" w14:textId="77777777" w:rsidR="00AC6F3C" w:rsidRDefault="00570E88">
            <w:pPr>
              <w:pStyle w:val="TableParagraph"/>
              <w:spacing w:before="16" w:line="171" w:lineRule="exact"/>
              <w:ind w:right="142"/>
              <w:jc w:val="right"/>
              <w:rPr>
                <w:sz w:val="16"/>
              </w:rPr>
            </w:pPr>
            <w:r>
              <w:rPr>
                <w:spacing w:val="-5"/>
                <w:sz w:val="16"/>
              </w:rPr>
              <w:t>946</w:t>
            </w:r>
          </w:p>
        </w:tc>
        <w:tc>
          <w:tcPr>
            <w:tcW w:w="936" w:type="dxa"/>
            <w:tcBorders>
              <w:bottom w:val="single" w:sz="6" w:space="0" w:color="000000"/>
            </w:tcBorders>
          </w:tcPr>
          <w:p w14:paraId="35386C4C" w14:textId="77777777" w:rsidR="00AC6F3C" w:rsidRDefault="00570E88">
            <w:pPr>
              <w:pStyle w:val="TableParagraph"/>
              <w:spacing w:before="16" w:line="171" w:lineRule="exact"/>
              <w:ind w:right="53"/>
              <w:jc w:val="right"/>
              <w:rPr>
                <w:sz w:val="16"/>
              </w:rPr>
            </w:pPr>
            <w:r>
              <w:rPr>
                <w:w w:val="102"/>
                <w:sz w:val="16"/>
              </w:rPr>
              <w:t>-</w:t>
            </w:r>
          </w:p>
        </w:tc>
        <w:tc>
          <w:tcPr>
            <w:tcW w:w="988" w:type="dxa"/>
            <w:tcBorders>
              <w:bottom w:val="single" w:sz="6" w:space="0" w:color="000000"/>
            </w:tcBorders>
          </w:tcPr>
          <w:p w14:paraId="509F79F9" w14:textId="77777777" w:rsidR="00AC6F3C" w:rsidRDefault="00570E88">
            <w:pPr>
              <w:pStyle w:val="TableParagraph"/>
              <w:spacing w:before="16" w:line="171" w:lineRule="exact"/>
              <w:ind w:right="15"/>
              <w:jc w:val="right"/>
              <w:rPr>
                <w:sz w:val="16"/>
              </w:rPr>
            </w:pPr>
            <w:r>
              <w:rPr>
                <w:w w:val="102"/>
                <w:sz w:val="16"/>
              </w:rPr>
              <w:t>-</w:t>
            </w:r>
          </w:p>
        </w:tc>
        <w:tc>
          <w:tcPr>
            <w:tcW w:w="1031" w:type="dxa"/>
            <w:tcBorders>
              <w:bottom w:val="single" w:sz="6" w:space="0" w:color="000000"/>
              <w:right w:val="single" w:sz="6" w:space="0" w:color="000000"/>
            </w:tcBorders>
            <w:shd w:val="clear" w:color="auto" w:fill="F1F1F1"/>
          </w:tcPr>
          <w:p w14:paraId="1117218C" w14:textId="77777777" w:rsidR="00AC6F3C" w:rsidRDefault="00570E88">
            <w:pPr>
              <w:pStyle w:val="TableParagraph"/>
              <w:spacing w:before="16" w:line="171" w:lineRule="exact"/>
              <w:ind w:right="13"/>
              <w:jc w:val="right"/>
              <w:rPr>
                <w:sz w:val="16"/>
              </w:rPr>
            </w:pPr>
            <w:r>
              <w:rPr>
                <w:w w:val="102"/>
                <w:sz w:val="16"/>
              </w:rPr>
              <w:t>-</w:t>
            </w:r>
          </w:p>
        </w:tc>
      </w:tr>
      <w:tr w:rsidR="00AC6F3C" w14:paraId="2398D15C" w14:textId="77777777">
        <w:trPr>
          <w:trHeight w:val="203"/>
        </w:trPr>
        <w:tc>
          <w:tcPr>
            <w:tcW w:w="3281" w:type="dxa"/>
            <w:tcBorders>
              <w:top w:val="single" w:sz="6" w:space="0" w:color="000000"/>
              <w:left w:val="single" w:sz="6" w:space="0" w:color="000000"/>
              <w:bottom w:val="single" w:sz="6" w:space="0" w:color="000000"/>
            </w:tcBorders>
          </w:tcPr>
          <w:p w14:paraId="150BA445" w14:textId="77777777" w:rsidR="00AC6F3C" w:rsidRDefault="00570E88">
            <w:pPr>
              <w:pStyle w:val="TableParagraph"/>
              <w:spacing w:before="12"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7AA99E2A" w14:textId="77777777" w:rsidR="00AC6F3C" w:rsidRDefault="00570E88">
            <w:pPr>
              <w:pStyle w:val="TableParagraph"/>
              <w:spacing w:before="12" w:line="171" w:lineRule="exact"/>
              <w:ind w:right="88"/>
              <w:jc w:val="right"/>
              <w:rPr>
                <w:b/>
                <w:sz w:val="16"/>
              </w:rPr>
            </w:pPr>
            <w:r>
              <w:rPr>
                <w:b/>
                <w:spacing w:val="-2"/>
                <w:sz w:val="16"/>
              </w:rPr>
              <w:t>(2,690)</w:t>
            </w:r>
          </w:p>
        </w:tc>
        <w:tc>
          <w:tcPr>
            <w:tcW w:w="1075" w:type="dxa"/>
            <w:tcBorders>
              <w:top w:val="single" w:sz="6" w:space="0" w:color="000000"/>
              <w:bottom w:val="single" w:sz="6" w:space="0" w:color="000000"/>
            </w:tcBorders>
          </w:tcPr>
          <w:p w14:paraId="5825ACD0" w14:textId="77777777" w:rsidR="00AC6F3C" w:rsidRDefault="00570E88">
            <w:pPr>
              <w:pStyle w:val="TableParagraph"/>
              <w:spacing w:before="12" w:line="171" w:lineRule="exact"/>
              <w:ind w:right="138"/>
              <w:jc w:val="right"/>
              <w:rPr>
                <w:b/>
                <w:sz w:val="16"/>
              </w:rPr>
            </w:pPr>
            <w:r>
              <w:rPr>
                <w:b/>
                <w:spacing w:val="-2"/>
                <w:sz w:val="16"/>
              </w:rPr>
              <w:t>(5,102)</w:t>
            </w:r>
          </w:p>
        </w:tc>
        <w:tc>
          <w:tcPr>
            <w:tcW w:w="936" w:type="dxa"/>
            <w:tcBorders>
              <w:top w:val="single" w:sz="6" w:space="0" w:color="000000"/>
              <w:bottom w:val="single" w:sz="6" w:space="0" w:color="000000"/>
            </w:tcBorders>
          </w:tcPr>
          <w:p w14:paraId="386395A2" w14:textId="77777777" w:rsidR="00AC6F3C" w:rsidRDefault="00570E88">
            <w:pPr>
              <w:pStyle w:val="TableParagraph"/>
              <w:spacing w:before="12" w:line="171" w:lineRule="exact"/>
              <w:ind w:right="53"/>
              <w:jc w:val="right"/>
              <w:rPr>
                <w:b/>
                <w:sz w:val="16"/>
              </w:rPr>
            </w:pPr>
            <w:r>
              <w:rPr>
                <w:b/>
                <w:w w:val="102"/>
                <w:sz w:val="16"/>
              </w:rPr>
              <w:t>-</w:t>
            </w:r>
          </w:p>
        </w:tc>
        <w:tc>
          <w:tcPr>
            <w:tcW w:w="988" w:type="dxa"/>
            <w:tcBorders>
              <w:top w:val="single" w:sz="6" w:space="0" w:color="000000"/>
              <w:bottom w:val="single" w:sz="6" w:space="0" w:color="000000"/>
            </w:tcBorders>
          </w:tcPr>
          <w:p w14:paraId="5F703B2C" w14:textId="77777777" w:rsidR="00AC6F3C" w:rsidRDefault="00570E88">
            <w:pPr>
              <w:pStyle w:val="TableParagraph"/>
              <w:spacing w:before="12" w:line="171" w:lineRule="exact"/>
              <w:ind w:right="11"/>
              <w:jc w:val="right"/>
              <w:rPr>
                <w:b/>
                <w:sz w:val="16"/>
              </w:rPr>
            </w:pPr>
            <w:r>
              <w:rPr>
                <w:b/>
                <w:spacing w:val="-2"/>
                <w:sz w:val="16"/>
              </w:rPr>
              <w:t>(2,225)</w:t>
            </w:r>
          </w:p>
        </w:tc>
        <w:tc>
          <w:tcPr>
            <w:tcW w:w="1031" w:type="dxa"/>
            <w:tcBorders>
              <w:top w:val="single" w:sz="6" w:space="0" w:color="000000"/>
              <w:bottom w:val="single" w:sz="6" w:space="0" w:color="000000"/>
              <w:right w:val="single" w:sz="6" w:space="0" w:color="000000"/>
            </w:tcBorders>
            <w:shd w:val="clear" w:color="auto" w:fill="F1F1F1"/>
          </w:tcPr>
          <w:p w14:paraId="6F9AE039" w14:textId="77777777" w:rsidR="00AC6F3C" w:rsidRDefault="00570E88">
            <w:pPr>
              <w:pStyle w:val="TableParagraph"/>
              <w:spacing w:before="12" w:line="171" w:lineRule="exact"/>
              <w:ind w:right="9"/>
              <w:jc w:val="right"/>
              <w:rPr>
                <w:b/>
                <w:sz w:val="16"/>
              </w:rPr>
            </w:pPr>
            <w:r>
              <w:rPr>
                <w:b/>
                <w:spacing w:val="-2"/>
                <w:sz w:val="16"/>
              </w:rPr>
              <w:t>(10,018)</w:t>
            </w:r>
          </w:p>
        </w:tc>
      </w:tr>
      <w:tr w:rsidR="00AC6F3C" w14:paraId="377ABF33" w14:textId="77777777">
        <w:trPr>
          <w:trHeight w:val="326"/>
        </w:trPr>
        <w:tc>
          <w:tcPr>
            <w:tcW w:w="3281" w:type="dxa"/>
            <w:tcBorders>
              <w:top w:val="single" w:sz="6" w:space="0" w:color="000000"/>
              <w:left w:val="single" w:sz="6" w:space="0" w:color="000000"/>
              <w:bottom w:val="single" w:sz="6" w:space="0" w:color="000000"/>
            </w:tcBorders>
            <w:shd w:val="clear" w:color="auto" w:fill="BEBEBE"/>
          </w:tcPr>
          <w:p w14:paraId="38A48A91" w14:textId="77777777" w:rsidR="00AC6F3C" w:rsidRDefault="00570E88">
            <w:pPr>
              <w:pStyle w:val="TableParagraph"/>
              <w:spacing w:before="67"/>
              <w:ind w:left="33"/>
              <w:rPr>
                <w:b/>
                <w:sz w:val="16"/>
              </w:rPr>
            </w:pPr>
            <w:r>
              <w:rPr>
                <w:b/>
                <w:sz w:val="16"/>
              </w:rPr>
              <w:t>Net</w:t>
            </w:r>
            <w:r>
              <w:rPr>
                <w:b/>
                <w:spacing w:val="-5"/>
                <w:sz w:val="16"/>
              </w:rPr>
              <w:t xml:space="preserve"> </w:t>
            </w:r>
            <w:r>
              <w:rPr>
                <w:b/>
                <w:sz w:val="16"/>
              </w:rPr>
              <w:t>book value at</w:t>
            </w:r>
            <w:r>
              <w:rPr>
                <w:b/>
                <w:spacing w:val="-4"/>
                <w:sz w:val="16"/>
              </w:rPr>
              <w:t xml:space="preserve"> </w:t>
            </w:r>
            <w:r>
              <w:rPr>
                <w:b/>
                <w:sz w:val="16"/>
              </w:rPr>
              <w:t xml:space="preserve">30 June </w:t>
            </w:r>
            <w:r>
              <w:rPr>
                <w:b/>
                <w:spacing w:val="-4"/>
                <w:sz w:val="16"/>
              </w:rPr>
              <w:t>2023</w:t>
            </w:r>
          </w:p>
        </w:tc>
        <w:tc>
          <w:tcPr>
            <w:tcW w:w="1162" w:type="dxa"/>
            <w:tcBorders>
              <w:top w:val="single" w:sz="6" w:space="0" w:color="000000"/>
              <w:bottom w:val="single" w:sz="6" w:space="0" w:color="000000"/>
            </w:tcBorders>
            <w:shd w:val="clear" w:color="auto" w:fill="BEBEBE"/>
          </w:tcPr>
          <w:p w14:paraId="1B64B5D8" w14:textId="77777777" w:rsidR="00AC6F3C" w:rsidRDefault="00570E88">
            <w:pPr>
              <w:pStyle w:val="TableParagraph"/>
              <w:spacing w:before="67"/>
              <w:ind w:right="93"/>
              <w:jc w:val="right"/>
              <w:rPr>
                <w:b/>
                <w:sz w:val="16"/>
              </w:rPr>
            </w:pPr>
            <w:r>
              <w:rPr>
                <w:b/>
                <w:spacing w:val="-2"/>
                <w:sz w:val="16"/>
              </w:rPr>
              <w:t>35,500</w:t>
            </w:r>
          </w:p>
        </w:tc>
        <w:tc>
          <w:tcPr>
            <w:tcW w:w="1075" w:type="dxa"/>
            <w:tcBorders>
              <w:top w:val="single" w:sz="6" w:space="0" w:color="000000"/>
              <w:bottom w:val="single" w:sz="6" w:space="0" w:color="000000"/>
            </w:tcBorders>
            <w:shd w:val="clear" w:color="auto" w:fill="BEBEBE"/>
          </w:tcPr>
          <w:p w14:paraId="01A0D8CB" w14:textId="77777777" w:rsidR="00AC6F3C" w:rsidRDefault="00570E88">
            <w:pPr>
              <w:pStyle w:val="TableParagraph"/>
              <w:spacing w:before="67"/>
              <w:ind w:right="142"/>
              <w:jc w:val="right"/>
              <w:rPr>
                <w:b/>
                <w:sz w:val="16"/>
              </w:rPr>
            </w:pPr>
            <w:r>
              <w:rPr>
                <w:b/>
                <w:spacing w:val="-2"/>
                <w:sz w:val="16"/>
              </w:rPr>
              <w:t>1,053</w:t>
            </w:r>
          </w:p>
        </w:tc>
        <w:tc>
          <w:tcPr>
            <w:tcW w:w="936" w:type="dxa"/>
            <w:tcBorders>
              <w:top w:val="single" w:sz="6" w:space="0" w:color="000000"/>
              <w:bottom w:val="single" w:sz="6" w:space="0" w:color="000000"/>
            </w:tcBorders>
            <w:shd w:val="clear" w:color="auto" w:fill="BEBEBE"/>
          </w:tcPr>
          <w:p w14:paraId="12A99580" w14:textId="77777777" w:rsidR="00AC6F3C" w:rsidRDefault="00570E88">
            <w:pPr>
              <w:pStyle w:val="TableParagraph"/>
              <w:spacing w:before="67"/>
              <w:ind w:right="53"/>
              <w:jc w:val="right"/>
              <w:rPr>
                <w:b/>
                <w:sz w:val="16"/>
              </w:rPr>
            </w:pPr>
            <w:r>
              <w:rPr>
                <w:b/>
                <w:spacing w:val="-2"/>
                <w:sz w:val="16"/>
              </w:rPr>
              <w:t>2,052</w:t>
            </w:r>
          </w:p>
        </w:tc>
        <w:tc>
          <w:tcPr>
            <w:tcW w:w="988" w:type="dxa"/>
            <w:tcBorders>
              <w:top w:val="single" w:sz="6" w:space="0" w:color="000000"/>
              <w:bottom w:val="single" w:sz="6" w:space="0" w:color="000000"/>
            </w:tcBorders>
            <w:shd w:val="clear" w:color="auto" w:fill="BEBEBE"/>
          </w:tcPr>
          <w:p w14:paraId="0ED91A5C" w14:textId="77777777" w:rsidR="00AC6F3C" w:rsidRDefault="00570E88">
            <w:pPr>
              <w:pStyle w:val="TableParagraph"/>
              <w:spacing w:before="67"/>
              <w:ind w:right="15"/>
              <w:jc w:val="right"/>
              <w:rPr>
                <w:b/>
                <w:sz w:val="16"/>
              </w:rPr>
            </w:pPr>
            <w:r>
              <w:rPr>
                <w:b/>
                <w:spacing w:val="-2"/>
                <w:sz w:val="16"/>
              </w:rPr>
              <w:t>1,603</w:t>
            </w:r>
          </w:p>
        </w:tc>
        <w:tc>
          <w:tcPr>
            <w:tcW w:w="1031" w:type="dxa"/>
            <w:tcBorders>
              <w:top w:val="single" w:sz="6" w:space="0" w:color="000000"/>
              <w:bottom w:val="single" w:sz="6" w:space="0" w:color="000000"/>
              <w:right w:val="single" w:sz="6" w:space="0" w:color="000000"/>
            </w:tcBorders>
            <w:shd w:val="clear" w:color="auto" w:fill="BEBEBE"/>
          </w:tcPr>
          <w:p w14:paraId="39D4E5A5" w14:textId="77777777" w:rsidR="00AC6F3C" w:rsidRDefault="00570E88">
            <w:pPr>
              <w:pStyle w:val="TableParagraph"/>
              <w:spacing w:before="67"/>
              <w:ind w:right="13"/>
              <w:jc w:val="right"/>
              <w:rPr>
                <w:b/>
                <w:sz w:val="16"/>
              </w:rPr>
            </w:pPr>
            <w:r>
              <w:rPr>
                <w:b/>
                <w:spacing w:val="-2"/>
                <w:sz w:val="16"/>
              </w:rPr>
              <w:t>40,208</w:t>
            </w:r>
          </w:p>
        </w:tc>
      </w:tr>
      <w:tr w:rsidR="00AC6F3C" w14:paraId="489045ED" w14:textId="77777777">
        <w:trPr>
          <w:trHeight w:val="215"/>
        </w:trPr>
        <w:tc>
          <w:tcPr>
            <w:tcW w:w="4443" w:type="dxa"/>
            <w:gridSpan w:val="2"/>
            <w:tcBorders>
              <w:top w:val="single" w:sz="6" w:space="0" w:color="000000"/>
              <w:left w:val="single" w:sz="6" w:space="0" w:color="000000"/>
            </w:tcBorders>
          </w:tcPr>
          <w:p w14:paraId="7B05D7FF" w14:textId="77777777" w:rsidR="00AC6F3C" w:rsidRDefault="00570E88">
            <w:pPr>
              <w:pStyle w:val="TableParagraph"/>
              <w:spacing w:before="12" w:line="183" w:lineRule="exact"/>
              <w:ind w:left="33"/>
              <w:rPr>
                <w:b/>
                <w:sz w:val="16"/>
              </w:rPr>
            </w:pPr>
            <w:r>
              <w:rPr>
                <w:b/>
                <w:spacing w:val="-4"/>
                <w:sz w:val="16"/>
              </w:rPr>
              <w:t>2022</w:t>
            </w:r>
          </w:p>
        </w:tc>
        <w:tc>
          <w:tcPr>
            <w:tcW w:w="1075" w:type="dxa"/>
            <w:tcBorders>
              <w:top w:val="single" w:sz="6" w:space="0" w:color="000000"/>
            </w:tcBorders>
          </w:tcPr>
          <w:p w14:paraId="2A3C54FD" w14:textId="77777777" w:rsidR="00AC6F3C" w:rsidRDefault="00AC6F3C">
            <w:pPr>
              <w:pStyle w:val="TableParagraph"/>
              <w:rPr>
                <w:rFonts w:ascii="Times New Roman"/>
                <w:sz w:val="14"/>
              </w:rPr>
            </w:pPr>
          </w:p>
        </w:tc>
        <w:tc>
          <w:tcPr>
            <w:tcW w:w="936" w:type="dxa"/>
            <w:tcBorders>
              <w:top w:val="single" w:sz="6" w:space="0" w:color="000000"/>
            </w:tcBorders>
          </w:tcPr>
          <w:p w14:paraId="6795316B" w14:textId="77777777" w:rsidR="00AC6F3C" w:rsidRDefault="00AC6F3C">
            <w:pPr>
              <w:pStyle w:val="TableParagraph"/>
              <w:rPr>
                <w:rFonts w:ascii="Times New Roman"/>
                <w:sz w:val="14"/>
              </w:rPr>
            </w:pPr>
          </w:p>
        </w:tc>
        <w:tc>
          <w:tcPr>
            <w:tcW w:w="988" w:type="dxa"/>
            <w:tcBorders>
              <w:top w:val="single" w:sz="6" w:space="0" w:color="000000"/>
            </w:tcBorders>
          </w:tcPr>
          <w:p w14:paraId="6195C8F6" w14:textId="77777777" w:rsidR="00AC6F3C" w:rsidRDefault="00AC6F3C">
            <w:pPr>
              <w:pStyle w:val="TableParagraph"/>
              <w:rPr>
                <w:rFonts w:ascii="Times New Roman"/>
                <w:sz w:val="14"/>
              </w:rPr>
            </w:pPr>
          </w:p>
        </w:tc>
        <w:tc>
          <w:tcPr>
            <w:tcW w:w="1031" w:type="dxa"/>
            <w:tcBorders>
              <w:top w:val="single" w:sz="6" w:space="0" w:color="000000"/>
              <w:right w:val="single" w:sz="6" w:space="0" w:color="000000"/>
            </w:tcBorders>
            <w:shd w:val="clear" w:color="auto" w:fill="F1F1F1"/>
          </w:tcPr>
          <w:p w14:paraId="4A4B5F35" w14:textId="77777777" w:rsidR="00AC6F3C" w:rsidRDefault="00AC6F3C">
            <w:pPr>
              <w:pStyle w:val="TableParagraph"/>
              <w:rPr>
                <w:rFonts w:ascii="Times New Roman"/>
                <w:sz w:val="14"/>
              </w:rPr>
            </w:pPr>
          </w:p>
        </w:tc>
      </w:tr>
      <w:tr w:rsidR="00AC6F3C" w14:paraId="4C0057C1" w14:textId="77777777">
        <w:trPr>
          <w:trHeight w:val="218"/>
        </w:trPr>
        <w:tc>
          <w:tcPr>
            <w:tcW w:w="4443" w:type="dxa"/>
            <w:gridSpan w:val="2"/>
            <w:tcBorders>
              <w:left w:val="single" w:sz="6" w:space="0" w:color="000000"/>
            </w:tcBorders>
          </w:tcPr>
          <w:p w14:paraId="61D76E7C" w14:textId="77777777" w:rsidR="00AC6F3C" w:rsidRDefault="00570E88">
            <w:pPr>
              <w:pStyle w:val="TableParagraph"/>
              <w:spacing w:before="16" w:line="183" w:lineRule="exact"/>
              <w:ind w:left="33"/>
              <w:rPr>
                <w:b/>
                <w:sz w:val="16"/>
              </w:rPr>
            </w:pPr>
            <w:r>
              <w:rPr>
                <w:b/>
                <w:sz w:val="16"/>
              </w:rPr>
              <w:t>Cost</w:t>
            </w:r>
            <w:r>
              <w:rPr>
                <w:b/>
                <w:spacing w:val="-7"/>
                <w:sz w:val="16"/>
              </w:rPr>
              <w:t xml:space="preserve"> </w:t>
            </w:r>
            <w:r>
              <w:rPr>
                <w:b/>
                <w:sz w:val="16"/>
              </w:rPr>
              <w:t>or</w:t>
            </w:r>
            <w:r>
              <w:rPr>
                <w:b/>
                <w:spacing w:val="-2"/>
                <w:sz w:val="16"/>
              </w:rPr>
              <w:t xml:space="preserve"> valuation</w:t>
            </w:r>
          </w:p>
        </w:tc>
        <w:tc>
          <w:tcPr>
            <w:tcW w:w="1075" w:type="dxa"/>
          </w:tcPr>
          <w:p w14:paraId="20B67FA3" w14:textId="77777777" w:rsidR="00AC6F3C" w:rsidRDefault="00AC6F3C">
            <w:pPr>
              <w:pStyle w:val="TableParagraph"/>
              <w:rPr>
                <w:rFonts w:ascii="Times New Roman"/>
                <w:sz w:val="14"/>
              </w:rPr>
            </w:pPr>
          </w:p>
        </w:tc>
        <w:tc>
          <w:tcPr>
            <w:tcW w:w="936" w:type="dxa"/>
          </w:tcPr>
          <w:p w14:paraId="144B5BF8" w14:textId="77777777" w:rsidR="00AC6F3C" w:rsidRDefault="00AC6F3C">
            <w:pPr>
              <w:pStyle w:val="TableParagraph"/>
              <w:rPr>
                <w:rFonts w:ascii="Times New Roman"/>
                <w:sz w:val="14"/>
              </w:rPr>
            </w:pPr>
          </w:p>
        </w:tc>
        <w:tc>
          <w:tcPr>
            <w:tcW w:w="988" w:type="dxa"/>
          </w:tcPr>
          <w:p w14:paraId="2A140513" w14:textId="77777777" w:rsidR="00AC6F3C" w:rsidRDefault="00AC6F3C">
            <w:pPr>
              <w:pStyle w:val="TableParagraph"/>
              <w:rPr>
                <w:rFonts w:ascii="Times New Roman"/>
                <w:sz w:val="14"/>
              </w:rPr>
            </w:pPr>
          </w:p>
        </w:tc>
        <w:tc>
          <w:tcPr>
            <w:tcW w:w="1031" w:type="dxa"/>
            <w:tcBorders>
              <w:right w:val="single" w:sz="6" w:space="0" w:color="000000"/>
            </w:tcBorders>
            <w:shd w:val="clear" w:color="auto" w:fill="F1F1F1"/>
          </w:tcPr>
          <w:p w14:paraId="5D13646B" w14:textId="77777777" w:rsidR="00AC6F3C" w:rsidRDefault="00AC6F3C">
            <w:pPr>
              <w:pStyle w:val="TableParagraph"/>
              <w:rPr>
                <w:rFonts w:ascii="Times New Roman"/>
                <w:sz w:val="14"/>
              </w:rPr>
            </w:pPr>
          </w:p>
        </w:tc>
      </w:tr>
      <w:tr w:rsidR="00AC6F3C" w14:paraId="5DED00C5" w14:textId="77777777">
        <w:trPr>
          <w:trHeight w:val="218"/>
        </w:trPr>
        <w:tc>
          <w:tcPr>
            <w:tcW w:w="3281" w:type="dxa"/>
            <w:tcBorders>
              <w:left w:val="single" w:sz="6" w:space="0" w:color="000000"/>
            </w:tcBorders>
          </w:tcPr>
          <w:p w14:paraId="44335CC2" w14:textId="77777777" w:rsidR="00AC6F3C" w:rsidRDefault="00570E88">
            <w:pPr>
              <w:pStyle w:val="TableParagraph"/>
              <w:spacing w:before="16" w:line="183" w:lineRule="exact"/>
              <w:ind w:left="33"/>
              <w:rPr>
                <w:sz w:val="16"/>
              </w:rPr>
            </w:pPr>
            <w:r>
              <w:rPr>
                <w:sz w:val="16"/>
              </w:rPr>
              <w:t>At the</w:t>
            </w:r>
            <w:r>
              <w:rPr>
                <w:spacing w:val="11"/>
                <w:sz w:val="16"/>
              </w:rPr>
              <w:t xml:space="preserve"> </w:t>
            </w:r>
            <w:r>
              <w:rPr>
                <w:sz w:val="16"/>
              </w:rPr>
              <w:t>beginning</w:t>
            </w:r>
            <w:r>
              <w:rPr>
                <w:spacing w:val="10"/>
                <w:sz w:val="16"/>
              </w:rPr>
              <w:t xml:space="preserve"> </w:t>
            </w:r>
            <w:r>
              <w:rPr>
                <w:sz w:val="16"/>
              </w:rPr>
              <w:t>of</w:t>
            </w:r>
            <w:r>
              <w:rPr>
                <w:spacing w:val="1"/>
                <w:sz w:val="16"/>
              </w:rPr>
              <w:t xml:space="preserve"> </w:t>
            </w:r>
            <w:r>
              <w:rPr>
                <w:sz w:val="16"/>
              </w:rPr>
              <w:t>the</w:t>
            </w:r>
            <w:r>
              <w:rPr>
                <w:spacing w:val="10"/>
                <w:sz w:val="16"/>
              </w:rPr>
              <w:t xml:space="preserve"> </w:t>
            </w:r>
            <w:r>
              <w:rPr>
                <w:spacing w:val="-4"/>
                <w:sz w:val="16"/>
              </w:rPr>
              <w:t>year</w:t>
            </w:r>
          </w:p>
        </w:tc>
        <w:tc>
          <w:tcPr>
            <w:tcW w:w="1162" w:type="dxa"/>
          </w:tcPr>
          <w:p w14:paraId="017A498F" w14:textId="77777777" w:rsidR="00AC6F3C" w:rsidRDefault="00570E88">
            <w:pPr>
              <w:pStyle w:val="TableParagraph"/>
              <w:spacing w:before="16" w:line="183" w:lineRule="exact"/>
              <w:ind w:right="93"/>
              <w:jc w:val="right"/>
              <w:rPr>
                <w:sz w:val="16"/>
              </w:rPr>
            </w:pPr>
            <w:r>
              <w:rPr>
                <w:spacing w:val="-2"/>
                <w:sz w:val="16"/>
              </w:rPr>
              <w:t>27,740</w:t>
            </w:r>
          </w:p>
        </w:tc>
        <w:tc>
          <w:tcPr>
            <w:tcW w:w="1075" w:type="dxa"/>
          </w:tcPr>
          <w:p w14:paraId="4B64A693" w14:textId="77777777" w:rsidR="00AC6F3C" w:rsidRDefault="00570E88">
            <w:pPr>
              <w:pStyle w:val="TableParagraph"/>
              <w:spacing w:before="16" w:line="183" w:lineRule="exact"/>
              <w:ind w:right="142"/>
              <w:jc w:val="right"/>
              <w:rPr>
                <w:sz w:val="16"/>
              </w:rPr>
            </w:pPr>
            <w:r>
              <w:rPr>
                <w:spacing w:val="-2"/>
                <w:sz w:val="16"/>
              </w:rPr>
              <w:t>8,645</w:t>
            </w:r>
          </w:p>
        </w:tc>
        <w:tc>
          <w:tcPr>
            <w:tcW w:w="936" w:type="dxa"/>
          </w:tcPr>
          <w:p w14:paraId="6F573502" w14:textId="77777777" w:rsidR="00AC6F3C" w:rsidRDefault="00570E88">
            <w:pPr>
              <w:pStyle w:val="TableParagraph"/>
              <w:spacing w:before="16" w:line="183" w:lineRule="exact"/>
              <w:ind w:right="53"/>
              <w:jc w:val="right"/>
              <w:rPr>
                <w:sz w:val="16"/>
              </w:rPr>
            </w:pPr>
            <w:r>
              <w:rPr>
                <w:spacing w:val="-2"/>
                <w:sz w:val="16"/>
              </w:rPr>
              <w:t>1,011</w:t>
            </w:r>
          </w:p>
        </w:tc>
        <w:tc>
          <w:tcPr>
            <w:tcW w:w="988" w:type="dxa"/>
          </w:tcPr>
          <w:p w14:paraId="7F9990B3" w14:textId="77777777" w:rsidR="00AC6F3C" w:rsidRDefault="00570E88">
            <w:pPr>
              <w:pStyle w:val="TableParagraph"/>
              <w:spacing w:before="16" w:line="183" w:lineRule="exact"/>
              <w:ind w:right="15"/>
              <w:jc w:val="right"/>
              <w:rPr>
                <w:sz w:val="16"/>
              </w:rPr>
            </w:pPr>
            <w:r>
              <w:rPr>
                <w:spacing w:val="-2"/>
                <w:sz w:val="16"/>
              </w:rPr>
              <w:t>2,279</w:t>
            </w:r>
          </w:p>
        </w:tc>
        <w:tc>
          <w:tcPr>
            <w:tcW w:w="1031" w:type="dxa"/>
            <w:tcBorders>
              <w:right w:val="single" w:sz="6" w:space="0" w:color="000000"/>
            </w:tcBorders>
            <w:shd w:val="clear" w:color="auto" w:fill="F1F1F1"/>
          </w:tcPr>
          <w:p w14:paraId="41511059" w14:textId="77777777" w:rsidR="00AC6F3C" w:rsidRDefault="00570E88">
            <w:pPr>
              <w:pStyle w:val="TableParagraph"/>
              <w:spacing w:before="16" w:line="183" w:lineRule="exact"/>
              <w:ind w:right="13"/>
              <w:jc w:val="right"/>
              <w:rPr>
                <w:sz w:val="16"/>
              </w:rPr>
            </w:pPr>
            <w:r>
              <w:rPr>
                <w:spacing w:val="-2"/>
                <w:sz w:val="16"/>
              </w:rPr>
              <w:t>39,675</w:t>
            </w:r>
          </w:p>
        </w:tc>
      </w:tr>
      <w:tr w:rsidR="00AC6F3C" w14:paraId="2BEC2C7A" w14:textId="77777777">
        <w:trPr>
          <w:trHeight w:val="218"/>
        </w:trPr>
        <w:tc>
          <w:tcPr>
            <w:tcW w:w="3281" w:type="dxa"/>
            <w:tcBorders>
              <w:left w:val="single" w:sz="6" w:space="0" w:color="000000"/>
            </w:tcBorders>
          </w:tcPr>
          <w:p w14:paraId="6843689F" w14:textId="77777777" w:rsidR="00AC6F3C" w:rsidRDefault="00570E88">
            <w:pPr>
              <w:pStyle w:val="TableParagraph"/>
              <w:spacing w:before="16" w:line="183" w:lineRule="exact"/>
              <w:ind w:left="33"/>
              <w:rPr>
                <w:sz w:val="16"/>
              </w:rPr>
            </w:pPr>
            <w:r>
              <w:rPr>
                <w:spacing w:val="-2"/>
                <w:sz w:val="16"/>
              </w:rPr>
              <w:t>Additions</w:t>
            </w:r>
          </w:p>
        </w:tc>
        <w:tc>
          <w:tcPr>
            <w:tcW w:w="1162" w:type="dxa"/>
          </w:tcPr>
          <w:p w14:paraId="7D117A8B"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22971E15" w14:textId="77777777" w:rsidR="00AC6F3C" w:rsidRDefault="00570E88">
            <w:pPr>
              <w:pStyle w:val="TableParagraph"/>
              <w:spacing w:before="16" w:line="183" w:lineRule="exact"/>
              <w:ind w:right="142"/>
              <w:jc w:val="right"/>
              <w:rPr>
                <w:sz w:val="16"/>
              </w:rPr>
            </w:pPr>
            <w:r>
              <w:rPr>
                <w:spacing w:val="-5"/>
                <w:sz w:val="16"/>
              </w:rPr>
              <w:t>232</w:t>
            </w:r>
          </w:p>
        </w:tc>
        <w:tc>
          <w:tcPr>
            <w:tcW w:w="936" w:type="dxa"/>
          </w:tcPr>
          <w:p w14:paraId="1A69E193" w14:textId="77777777" w:rsidR="00AC6F3C" w:rsidRDefault="00570E88">
            <w:pPr>
              <w:pStyle w:val="TableParagraph"/>
              <w:spacing w:before="16" w:line="183" w:lineRule="exact"/>
              <w:ind w:right="53"/>
              <w:jc w:val="right"/>
              <w:rPr>
                <w:sz w:val="16"/>
              </w:rPr>
            </w:pPr>
            <w:r>
              <w:rPr>
                <w:spacing w:val="-5"/>
                <w:sz w:val="16"/>
              </w:rPr>
              <w:t>318</w:t>
            </w:r>
          </w:p>
        </w:tc>
        <w:tc>
          <w:tcPr>
            <w:tcW w:w="988" w:type="dxa"/>
          </w:tcPr>
          <w:p w14:paraId="6AFF84FD"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679DCDC7" w14:textId="77777777" w:rsidR="00AC6F3C" w:rsidRDefault="00570E88">
            <w:pPr>
              <w:pStyle w:val="TableParagraph"/>
              <w:spacing w:before="16" w:line="183" w:lineRule="exact"/>
              <w:ind w:right="13"/>
              <w:jc w:val="right"/>
              <w:rPr>
                <w:sz w:val="16"/>
              </w:rPr>
            </w:pPr>
            <w:r>
              <w:rPr>
                <w:spacing w:val="-5"/>
                <w:sz w:val="16"/>
              </w:rPr>
              <w:t>549</w:t>
            </w:r>
          </w:p>
        </w:tc>
      </w:tr>
      <w:tr w:rsidR="00AC6F3C" w14:paraId="12C4E9A9" w14:textId="77777777">
        <w:trPr>
          <w:trHeight w:val="218"/>
        </w:trPr>
        <w:tc>
          <w:tcPr>
            <w:tcW w:w="3281" w:type="dxa"/>
            <w:tcBorders>
              <w:left w:val="single" w:sz="6" w:space="0" w:color="000000"/>
            </w:tcBorders>
          </w:tcPr>
          <w:p w14:paraId="1E730E5A" w14:textId="77777777" w:rsidR="00AC6F3C" w:rsidRDefault="00570E88">
            <w:pPr>
              <w:pStyle w:val="TableParagraph"/>
              <w:spacing w:before="16" w:line="183" w:lineRule="exact"/>
              <w:ind w:left="33"/>
              <w:rPr>
                <w:sz w:val="16"/>
              </w:rPr>
            </w:pPr>
            <w:r>
              <w:rPr>
                <w:sz w:val="16"/>
              </w:rPr>
              <w:t>Additions</w:t>
            </w:r>
            <w:r>
              <w:rPr>
                <w:spacing w:val="27"/>
                <w:sz w:val="16"/>
              </w:rPr>
              <w:t xml:space="preserve"> </w:t>
            </w:r>
            <w:r>
              <w:rPr>
                <w:sz w:val="16"/>
              </w:rPr>
              <w:t>-</w:t>
            </w:r>
            <w:r>
              <w:rPr>
                <w:spacing w:val="8"/>
                <w:sz w:val="16"/>
              </w:rPr>
              <w:t xml:space="preserve"> </w:t>
            </w:r>
            <w:r>
              <w:rPr>
                <w:sz w:val="16"/>
              </w:rPr>
              <w:t>right</w:t>
            </w:r>
            <w:r>
              <w:rPr>
                <w:spacing w:val="4"/>
                <w:sz w:val="16"/>
              </w:rPr>
              <w:t xml:space="preserve"> </w:t>
            </w:r>
            <w:r>
              <w:rPr>
                <w:sz w:val="16"/>
              </w:rPr>
              <w:t>of</w:t>
            </w:r>
            <w:r>
              <w:rPr>
                <w:spacing w:val="3"/>
                <w:sz w:val="16"/>
              </w:rPr>
              <w:t xml:space="preserve"> </w:t>
            </w:r>
            <w:r>
              <w:rPr>
                <w:sz w:val="16"/>
              </w:rPr>
              <w:t>use</w:t>
            </w:r>
            <w:r>
              <w:rPr>
                <w:spacing w:val="14"/>
                <w:sz w:val="16"/>
              </w:rPr>
              <w:t xml:space="preserve"> </w:t>
            </w:r>
            <w:r>
              <w:rPr>
                <w:spacing w:val="-2"/>
                <w:sz w:val="16"/>
              </w:rPr>
              <w:t>assets</w:t>
            </w:r>
          </w:p>
        </w:tc>
        <w:tc>
          <w:tcPr>
            <w:tcW w:w="1162" w:type="dxa"/>
          </w:tcPr>
          <w:p w14:paraId="3EFA57DB"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25093923" w14:textId="77777777" w:rsidR="00AC6F3C" w:rsidRDefault="00570E88">
            <w:pPr>
              <w:pStyle w:val="TableParagraph"/>
              <w:spacing w:before="16" w:line="183" w:lineRule="exact"/>
              <w:ind w:right="142"/>
              <w:jc w:val="right"/>
              <w:rPr>
                <w:sz w:val="16"/>
              </w:rPr>
            </w:pPr>
            <w:r>
              <w:rPr>
                <w:w w:val="102"/>
                <w:sz w:val="16"/>
              </w:rPr>
              <w:t>-</w:t>
            </w:r>
          </w:p>
        </w:tc>
        <w:tc>
          <w:tcPr>
            <w:tcW w:w="936" w:type="dxa"/>
          </w:tcPr>
          <w:p w14:paraId="6DE1BF9D"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0880EA51"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54A9D7B4" w14:textId="77777777" w:rsidR="00AC6F3C" w:rsidRDefault="00570E88">
            <w:pPr>
              <w:pStyle w:val="TableParagraph"/>
              <w:spacing w:before="16" w:line="183" w:lineRule="exact"/>
              <w:ind w:right="13"/>
              <w:jc w:val="right"/>
              <w:rPr>
                <w:sz w:val="16"/>
              </w:rPr>
            </w:pPr>
            <w:r>
              <w:rPr>
                <w:w w:val="102"/>
                <w:sz w:val="16"/>
              </w:rPr>
              <w:t>-</w:t>
            </w:r>
          </w:p>
        </w:tc>
      </w:tr>
      <w:tr w:rsidR="00AC6F3C" w14:paraId="575FB8EF" w14:textId="77777777">
        <w:trPr>
          <w:trHeight w:val="218"/>
        </w:trPr>
        <w:tc>
          <w:tcPr>
            <w:tcW w:w="3281" w:type="dxa"/>
            <w:tcBorders>
              <w:left w:val="single" w:sz="6" w:space="0" w:color="000000"/>
            </w:tcBorders>
          </w:tcPr>
          <w:p w14:paraId="2744C6FF" w14:textId="77777777" w:rsidR="00AC6F3C" w:rsidRDefault="00570E88">
            <w:pPr>
              <w:pStyle w:val="TableParagraph"/>
              <w:spacing w:before="16" w:line="183" w:lineRule="exact"/>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Pr>
          <w:p w14:paraId="1492ECDF" w14:textId="77777777" w:rsidR="00AC6F3C" w:rsidRDefault="00570E88">
            <w:pPr>
              <w:pStyle w:val="TableParagraph"/>
              <w:spacing w:before="16" w:line="183" w:lineRule="exact"/>
              <w:ind w:right="93"/>
              <w:jc w:val="right"/>
              <w:rPr>
                <w:sz w:val="16"/>
              </w:rPr>
            </w:pPr>
            <w:r>
              <w:rPr>
                <w:w w:val="102"/>
                <w:sz w:val="16"/>
              </w:rPr>
              <w:t>-</w:t>
            </w:r>
          </w:p>
        </w:tc>
        <w:tc>
          <w:tcPr>
            <w:tcW w:w="1075" w:type="dxa"/>
          </w:tcPr>
          <w:p w14:paraId="6395DE62" w14:textId="77777777" w:rsidR="00AC6F3C" w:rsidRDefault="00570E88">
            <w:pPr>
              <w:pStyle w:val="TableParagraph"/>
              <w:spacing w:before="16" w:line="183" w:lineRule="exact"/>
              <w:ind w:right="142"/>
              <w:jc w:val="right"/>
              <w:rPr>
                <w:sz w:val="16"/>
              </w:rPr>
            </w:pPr>
            <w:r>
              <w:rPr>
                <w:w w:val="102"/>
                <w:sz w:val="16"/>
              </w:rPr>
              <w:t>-</w:t>
            </w:r>
          </w:p>
        </w:tc>
        <w:tc>
          <w:tcPr>
            <w:tcW w:w="936" w:type="dxa"/>
          </w:tcPr>
          <w:p w14:paraId="0781385C" w14:textId="77777777" w:rsidR="00AC6F3C" w:rsidRDefault="00570E88">
            <w:pPr>
              <w:pStyle w:val="TableParagraph"/>
              <w:spacing w:before="16" w:line="183" w:lineRule="exact"/>
              <w:ind w:right="48"/>
              <w:jc w:val="right"/>
              <w:rPr>
                <w:sz w:val="16"/>
              </w:rPr>
            </w:pPr>
            <w:r>
              <w:rPr>
                <w:spacing w:val="-2"/>
                <w:sz w:val="16"/>
              </w:rPr>
              <w:t>(1,176)</w:t>
            </w:r>
          </w:p>
        </w:tc>
        <w:tc>
          <w:tcPr>
            <w:tcW w:w="988" w:type="dxa"/>
          </w:tcPr>
          <w:p w14:paraId="035BE456" w14:textId="77777777" w:rsidR="00AC6F3C" w:rsidRDefault="00570E88">
            <w:pPr>
              <w:pStyle w:val="TableParagraph"/>
              <w:spacing w:before="16" w:line="183" w:lineRule="exact"/>
              <w:ind w:right="15"/>
              <w:jc w:val="right"/>
              <w:rPr>
                <w:sz w:val="16"/>
              </w:rPr>
            </w:pPr>
            <w:r>
              <w:rPr>
                <w:spacing w:val="-2"/>
                <w:sz w:val="16"/>
              </w:rPr>
              <w:t>1,176</w:t>
            </w:r>
          </w:p>
        </w:tc>
        <w:tc>
          <w:tcPr>
            <w:tcW w:w="1031" w:type="dxa"/>
            <w:tcBorders>
              <w:right w:val="single" w:sz="6" w:space="0" w:color="000000"/>
            </w:tcBorders>
            <w:shd w:val="clear" w:color="auto" w:fill="F1F1F1"/>
          </w:tcPr>
          <w:p w14:paraId="77537295" w14:textId="77777777" w:rsidR="00AC6F3C" w:rsidRDefault="00570E88">
            <w:pPr>
              <w:pStyle w:val="TableParagraph"/>
              <w:spacing w:before="16" w:line="183" w:lineRule="exact"/>
              <w:ind w:right="13"/>
              <w:jc w:val="right"/>
              <w:rPr>
                <w:sz w:val="16"/>
              </w:rPr>
            </w:pPr>
            <w:r>
              <w:rPr>
                <w:w w:val="102"/>
                <w:sz w:val="16"/>
              </w:rPr>
              <w:t>-</w:t>
            </w:r>
          </w:p>
        </w:tc>
      </w:tr>
      <w:tr w:rsidR="00AC6F3C" w14:paraId="36B32312" w14:textId="77777777">
        <w:trPr>
          <w:trHeight w:val="207"/>
        </w:trPr>
        <w:tc>
          <w:tcPr>
            <w:tcW w:w="3281" w:type="dxa"/>
            <w:tcBorders>
              <w:left w:val="single" w:sz="6" w:space="0" w:color="000000"/>
              <w:bottom w:val="single" w:sz="6" w:space="0" w:color="000000"/>
            </w:tcBorders>
          </w:tcPr>
          <w:p w14:paraId="0E469DF1" w14:textId="77777777" w:rsidR="00AC6F3C" w:rsidRDefault="00570E88">
            <w:pPr>
              <w:pStyle w:val="TableParagraph"/>
              <w:spacing w:before="16" w:line="172" w:lineRule="exact"/>
              <w:ind w:left="33"/>
              <w:rPr>
                <w:sz w:val="16"/>
              </w:rPr>
            </w:pPr>
            <w:r>
              <w:rPr>
                <w:sz w:val="16"/>
              </w:rPr>
              <w:t>Revaluation</w:t>
            </w:r>
            <w:r>
              <w:rPr>
                <w:spacing w:val="29"/>
                <w:sz w:val="16"/>
              </w:rPr>
              <w:t xml:space="preserve"> </w:t>
            </w:r>
            <w:r>
              <w:rPr>
                <w:sz w:val="16"/>
              </w:rPr>
              <w:t>increment</w:t>
            </w:r>
            <w:r>
              <w:rPr>
                <w:spacing w:val="16"/>
                <w:sz w:val="16"/>
              </w:rPr>
              <w:t xml:space="preserve"> </w:t>
            </w:r>
            <w:r>
              <w:rPr>
                <w:sz w:val="16"/>
              </w:rPr>
              <w:t>/</w:t>
            </w:r>
            <w:r>
              <w:rPr>
                <w:spacing w:val="16"/>
                <w:sz w:val="16"/>
              </w:rPr>
              <w:t xml:space="preserve"> </w:t>
            </w:r>
            <w:r>
              <w:rPr>
                <w:spacing w:val="-2"/>
                <w:sz w:val="16"/>
              </w:rPr>
              <w:t>(decrement)</w:t>
            </w:r>
          </w:p>
        </w:tc>
        <w:tc>
          <w:tcPr>
            <w:tcW w:w="1162" w:type="dxa"/>
            <w:tcBorders>
              <w:bottom w:val="single" w:sz="6" w:space="0" w:color="000000"/>
            </w:tcBorders>
          </w:tcPr>
          <w:p w14:paraId="4625D65B" w14:textId="77777777" w:rsidR="00AC6F3C" w:rsidRDefault="00570E88">
            <w:pPr>
              <w:pStyle w:val="TableParagraph"/>
              <w:spacing w:before="16" w:line="172" w:lineRule="exact"/>
              <w:ind w:right="93"/>
              <w:jc w:val="right"/>
              <w:rPr>
                <w:sz w:val="16"/>
              </w:rPr>
            </w:pPr>
            <w:r>
              <w:rPr>
                <w:w w:val="102"/>
                <w:sz w:val="16"/>
              </w:rPr>
              <w:t>-</w:t>
            </w:r>
          </w:p>
        </w:tc>
        <w:tc>
          <w:tcPr>
            <w:tcW w:w="1075" w:type="dxa"/>
            <w:tcBorders>
              <w:bottom w:val="single" w:sz="6" w:space="0" w:color="000000"/>
            </w:tcBorders>
          </w:tcPr>
          <w:p w14:paraId="349D368E" w14:textId="77777777" w:rsidR="00AC6F3C" w:rsidRDefault="00570E88">
            <w:pPr>
              <w:pStyle w:val="TableParagraph"/>
              <w:spacing w:before="16" w:line="172" w:lineRule="exact"/>
              <w:ind w:right="138"/>
              <w:jc w:val="right"/>
              <w:rPr>
                <w:sz w:val="16"/>
              </w:rPr>
            </w:pPr>
            <w:r>
              <w:rPr>
                <w:spacing w:val="-2"/>
                <w:sz w:val="16"/>
              </w:rPr>
              <w:t>(326)</w:t>
            </w:r>
          </w:p>
        </w:tc>
        <w:tc>
          <w:tcPr>
            <w:tcW w:w="936" w:type="dxa"/>
            <w:tcBorders>
              <w:bottom w:val="single" w:sz="6" w:space="0" w:color="000000"/>
            </w:tcBorders>
          </w:tcPr>
          <w:p w14:paraId="0E42A2BB" w14:textId="77777777" w:rsidR="00AC6F3C" w:rsidRDefault="00570E88">
            <w:pPr>
              <w:pStyle w:val="TableParagraph"/>
              <w:spacing w:before="16" w:line="172" w:lineRule="exact"/>
              <w:ind w:right="53"/>
              <w:jc w:val="right"/>
              <w:rPr>
                <w:sz w:val="16"/>
              </w:rPr>
            </w:pPr>
            <w:r>
              <w:rPr>
                <w:w w:val="102"/>
                <w:sz w:val="16"/>
              </w:rPr>
              <w:t>-</w:t>
            </w:r>
          </w:p>
        </w:tc>
        <w:tc>
          <w:tcPr>
            <w:tcW w:w="988" w:type="dxa"/>
            <w:tcBorders>
              <w:bottom w:val="single" w:sz="6" w:space="0" w:color="000000"/>
            </w:tcBorders>
          </w:tcPr>
          <w:p w14:paraId="2D699BCE" w14:textId="77777777" w:rsidR="00AC6F3C" w:rsidRDefault="00570E88">
            <w:pPr>
              <w:pStyle w:val="TableParagraph"/>
              <w:spacing w:before="16" w:line="172" w:lineRule="exact"/>
              <w:ind w:right="15"/>
              <w:jc w:val="right"/>
              <w:rPr>
                <w:sz w:val="16"/>
              </w:rPr>
            </w:pPr>
            <w:r>
              <w:rPr>
                <w:w w:val="102"/>
                <w:sz w:val="16"/>
              </w:rPr>
              <w:t>-</w:t>
            </w:r>
          </w:p>
        </w:tc>
        <w:tc>
          <w:tcPr>
            <w:tcW w:w="1031" w:type="dxa"/>
            <w:tcBorders>
              <w:bottom w:val="single" w:sz="6" w:space="0" w:color="000000"/>
              <w:right w:val="single" w:sz="6" w:space="0" w:color="000000"/>
            </w:tcBorders>
            <w:shd w:val="clear" w:color="auto" w:fill="F1F1F1"/>
          </w:tcPr>
          <w:p w14:paraId="478AE655" w14:textId="77777777" w:rsidR="00AC6F3C" w:rsidRDefault="00570E88">
            <w:pPr>
              <w:pStyle w:val="TableParagraph"/>
              <w:spacing w:before="16" w:line="172" w:lineRule="exact"/>
              <w:ind w:right="9"/>
              <w:jc w:val="right"/>
              <w:rPr>
                <w:sz w:val="16"/>
              </w:rPr>
            </w:pPr>
            <w:r>
              <w:rPr>
                <w:spacing w:val="-2"/>
                <w:sz w:val="16"/>
              </w:rPr>
              <w:t>(326)</w:t>
            </w:r>
          </w:p>
        </w:tc>
      </w:tr>
      <w:tr w:rsidR="00AC6F3C" w14:paraId="6DE765F3" w14:textId="77777777">
        <w:trPr>
          <w:trHeight w:val="203"/>
        </w:trPr>
        <w:tc>
          <w:tcPr>
            <w:tcW w:w="3281" w:type="dxa"/>
            <w:tcBorders>
              <w:top w:val="single" w:sz="6" w:space="0" w:color="000000"/>
              <w:left w:val="single" w:sz="6" w:space="0" w:color="000000"/>
              <w:bottom w:val="single" w:sz="6" w:space="0" w:color="000000"/>
            </w:tcBorders>
          </w:tcPr>
          <w:p w14:paraId="11553B5D" w14:textId="77777777" w:rsidR="00AC6F3C" w:rsidRDefault="00570E88">
            <w:pPr>
              <w:pStyle w:val="TableParagraph"/>
              <w:spacing w:before="12" w:line="172"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0DD31FC0" w14:textId="77777777" w:rsidR="00AC6F3C" w:rsidRDefault="00570E88">
            <w:pPr>
              <w:pStyle w:val="TableParagraph"/>
              <w:spacing w:before="12" w:line="172" w:lineRule="exact"/>
              <w:ind w:right="93"/>
              <w:jc w:val="right"/>
              <w:rPr>
                <w:b/>
                <w:sz w:val="16"/>
              </w:rPr>
            </w:pPr>
            <w:r>
              <w:rPr>
                <w:b/>
                <w:spacing w:val="-2"/>
                <w:sz w:val="16"/>
              </w:rPr>
              <w:t>27,740</w:t>
            </w:r>
          </w:p>
        </w:tc>
        <w:tc>
          <w:tcPr>
            <w:tcW w:w="1075" w:type="dxa"/>
            <w:tcBorders>
              <w:top w:val="single" w:sz="6" w:space="0" w:color="000000"/>
              <w:bottom w:val="single" w:sz="6" w:space="0" w:color="000000"/>
            </w:tcBorders>
          </w:tcPr>
          <w:p w14:paraId="7775CEBB" w14:textId="77777777" w:rsidR="00AC6F3C" w:rsidRDefault="00570E88">
            <w:pPr>
              <w:pStyle w:val="TableParagraph"/>
              <w:spacing w:before="12" w:line="172" w:lineRule="exact"/>
              <w:ind w:right="142"/>
              <w:jc w:val="right"/>
              <w:rPr>
                <w:b/>
                <w:sz w:val="16"/>
              </w:rPr>
            </w:pPr>
            <w:r>
              <w:rPr>
                <w:b/>
                <w:spacing w:val="-2"/>
                <w:sz w:val="16"/>
              </w:rPr>
              <w:t>8,551</w:t>
            </w:r>
          </w:p>
        </w:tc>
        <w:tc>
          <w:tcPr>
            <w:tcW w:w="936" w:type="dxa"/>
            <w:tcBorders>
              <w:top w:val="single" w:sz="6" w:space="0" w:color="000000"/>
              <w:bottom w:val="single" w:sz="6" w:space="0" w:color="000000"/>
            </w:tcBorders>
          </w:tcPr>
          <w:p w14:paraId="7D88CECC" w14:textId="77777777" w:rsidR="00AC6F3C" w:rsidRDefault="00570E88">
            <w:pPr>
              <w:pStyle w:val="TableParagraph"/>
              <w:spacing w:before="12" w:line="172" w:lineRule="exact"/>
              <w:ind w:right="53"/>
              <w:jc w:val="right"/>
              <w:rPr>
                <w:b/>
                <w:sz w:val="16"/>
              </w:rPr>
            </w:pPr>
            <w:r>
              <w:rPr>
                <w:b/>
                <w:spacing w:val="-5"/>
                <w:sz w:val="16"/>
              </w:rPr>
              <w:t>153</w:t>
            </w:r>
          </w:p>
        </w:tc>
        <w:tc>
          <w:tcPr>
            <w:tcW w:w="988" w:type="dxa"/>
            <w:tcBorders>
              <w:top w:val="single" w:sz="6" w:space="0" w:color="000000"/>
              <w:bottom w:val="single" w:sz="6" w:space="0" w:color="000000"/>
            </w:tcBorders>
          </w:tcPr>
          <w:p w14:paraId="0472537C" w14:textId="77777777" w:rsidR="00AC6F3C" w:rsidRDefault="00570E88">
            <w:pPr>
              <w:pStyle w:val="TableParagraph"/>
              <w:spacing w:before="12" w:line="172" w:lineRule="exact"/>
              <w:ind w:right="15"/>
              <w:jc w:val="right"/>
              <w:rPr>
                <w:b/>
                <w:sz w:val="16"/>
              </w:rPr>
            </w:pPr>
            <w:r>
              <w:rPr>
                <w:b/>
                <w:spacing w:val="-2"/>
                <w:sz w:val="16"/>
              </w:rPr>
              <w:t>3,454</w:t>
            </w:r>
          </w:p>
        </w:tc>
        <w:tc>
          <w:tcPr>
            <w:tcW w:w="1031" w:type="dxa"/>
            <w:tcBorders>
              <w:top w:val="single" w:sz="6" w:space="0" w:color="000000"/>
              <w:bottom w:val="single" w:sz="6" w:space="0" w:color="000000"/>
              <w:right w:val="single" w:sz="6" w:space="0" w:color="000000"/>
            </w:tcBorders>
          </w:tcPr>
          <w:p w14:paraId="30F97AC3" w14:textId="77777777" w:rsidR="00AC6F3C" w:rsidRDefault="00570E88">
            <w:pPr>
              <w:pStyle w:val="TableParagraph"/>
              <w:spacing w:before="12" w:line="172" w:lineRule="exact"/>
              <w:ind w:right="13"/>
              <w:jc w:val="right"/>
              <w:rPr>
                <w:b/>
                <w:sz w:val="16"/>
              </w:rPr>
            </w:pPr>
            <w:r>
              <w:rPr>
                <w:b/>
                <w:spacing w:val="-2"/>
                <w:sz w:val="16"/>
              </w:rPr>
              <w:t>39,898</w:t>
            </w:r>
          </w:p>
        </w:tc>
      </w:tr>
      <w:tr w:rsidR="00AC6F3C" w14:paraId="12A0D73C" w14:textId="77777777">
        <w:trPr>
          <w:trHeight w:val="214"/>
        </w:trPr>
        <w:tc>
          <w:tcPr>
            <w:tcW w:w="4443" w:type="dxa"/>
            <w:gridSpan w:val="2"/>
            <w:tcBorders>
              <w:top w:val="single" w:sz="6" w:space="0" w:color="000000"/>
              <w:left w:val="single" w:sz="6" w:space="0" w:color="000000"/>
            </w:tcBorders>
          </w:tcPr>
          <w:p w14:paraId="613F16AF" w14:textId="77777777" w:rsidR="00AC6F3C" w:rsidRDefault="00570E88">
            <w:pPr>
              <w:pStyle w:val="TableParagraph"/>
              <w:spacing w:before="12" w:line="183" w:lineRule="exact"/>
              <w:ind w:left="33"/>
              <w:rPr>
                <w:b/>
                <w:sz w:val="16"/>
              </w:rPr>
            </w:pPr>
            <w:r>
              <w:rPr>
                <w:b/>
                <w:spacing w:val="-2"/>
                <w:sz w:val="16"/>
              </w:rPr>
              <w:t>Depreciation</w:t>
            </w:r>
          </w:p>
        </w:tc>
        <w:tc>
          <w:tcPr>
            <w:tcW w:w="1075" w:type="dxa"/>
            <w:tcBorders>
              <w:top w:val="single" w:sz="6" w:space="0" w:color="000000"/>
            </w:tcBorders>
          </w:tcPr>
          <w:p w14:paraId="4C5617B5" w14:textId="77777777" w:rsidR="00AC6F3C" w:rsidRDefault="00AC6F3C">
            <w:pPr>
              <w:pStyle w:val="TableParagraph"/>
              <w:rPr>
                <w:rFonts w:ascii="Times New Roman"/>
                <w:sz w:val="14"/>
              </w:rPr>
            </w:pPr>
          </w:p>
        </w:tc>
        <w:tc>
          <w:tcPr>
            <w:tcW w:w="936" w:type="dxa"/>
            <w:tcBorders>
              <w:top w:val="single" w:sz="6" w:space="0" w:color="000000"/>
            </w:tcBorders>
          </w:tcPr>
          <w:p w14:paraId="1DD85652" w14:textId="77777777" w:rsidR="00AC6F3C" w:rsidRDefault="00AC6F3C">
            <w:pPr>
              <w:pStyle w:val="TableParagraph"/>
              <w:rPr>
                <w:rFonts w:ascii="Times New Roman"/>
                <w:sz w:val="14"/>
              </w:rPr>
            </w:pPr>
          </w:p>
        </w:tc>
        <w:tc>
          <w:tcPr>
            <w:tcW w:w="988" w:type="dxa"/>
            <w:tcBorders>
              <w:top w:val="single" w:sz="6" w:space="0" w:color="000000"/>
            </w:tcBorders>
          </w:tcPr>
          <w:p w14:paraId="0F7439EB" w14:textId="77777777" w:rsidR="00AC6F3C" w:rsidRDefault="00AC6F3C">
            <w:pPr>
              <w:pStyle w:val="TableParagraph"/>
              <w:rPr>
                <w:rFonts w:ascii="Times New Roman"/>
                <w:sz w:val="14"/>
              </w:rPr>
            </w:pPr>
          </w:p>
        </w:tc>
        <w:tc>
          <w:tcPr>
            <w:tcW w:w="1031" w:type="dxa"/>
            <w:tcBorders>
              <w:top w:val="single" w:sz="6" w:space="0" w:color="000000"/>
              <w:right w:val="single" w:sz="6" w:space="0" w:color="000000"/>
            </w:tcBorders>
            <w:shd w:val="clear" w:color="auto" w:fill="F1F1F1"/>
          </w:tcPr>
          <w:p w14:paraId="78DEB3B3" w14:textId="77777777" w:rsidR="00AC6F3C" w:rsidRDefault="00AC6F3C">
            <w:pPr>
              <w:pStyle w:val="TableParagraph"/>
              <w:rPr>
                <w:rFonts w:ascii="Times New Roman"/>
                <w:sz w:val="14"/>
              </w:rPr>
            </w:pPr>
          </w:p>
        </w:tc>
      </w:tr>
      <w:tr w:rsidR="00AC6F3C" w14:paraId="47319E71" w14:textId="77777777">
        <w:trPr>
          <w:trHeight w:val="218"/>
        </w:trPr>
        <w:tc>
          <w:tcPr>
            <w:tcW w:w="3281" w:type="dxa"/>
            <w:tcBorders>
              <w:left w:val="single" w:sz="6" w:space="0" w:color="000000"/>
            </w:tcBorders>
          </w:tcPr>
          <w:p w14:paraId="3F6DE05B" w14:textId="77777777" w:rsidR="00AC6F3C" w:rsidRDefault="00570E88">
            <w:pPr>
              <w:pStyle w:val="TableParagraph"/>
              <w:spacing w:before="16" w:line="183" w:lineRule="exact"/>
              <w:ind w:left="33"/>
              <w:rPr>
                <w:sz w:val="16"/>
              </w:rPr>
            </w:pPr>
            <w:r>
              <w:rPr>
                <w:sz w:val="16"/>
              </w:rPr>
              <w:t>Accumulated</w:t>
            </w:r>
            <w:r>
              <w:rPr>
                <w:spacing w:val="32"/>
                <w:sz w:val="16"/>
              </w:rPr>
              <w:t xml:space="preserve"> </w:t>
            </w:r>
            <w:r>
              <w:rPr>
                <w:spacing w:val="-2"/>
                <w:sz w:val="16"/>
              </w:rPr>
              <w:t>depreciation</w:t>
            </w:r>
          </w:p>
        </w:tc>
        <w:tc>
          <w:tcPr>
            <w:tcW w:w="1162" w:type="dxa"/>
          </w:tcPr>
          <w:p w14:paraId="7544C870" w14:textId="77777777" w:rsidR="00AC6F3C" w:rsidRDefault="00570E88">
            <w:pPr>
              <w:pStyle w:val="TableParagraph"/>
              <w:spacing w:before="16" w:line="183" w:lineRule="exact"/>
              <w:ind w:right="92"/>
              <w:jc w:val="right"/>
              <w:rPr>
                <w:sz w:val="16"/>
              </w:rPr>
            </w:pPr>
            <w:r>
              <w:rPr>
                <w:w w:val="102"/>
                <w:sz w:val="16"/>
              </w:rPr>
              <w:t>-</w:t>
            </w:r>
          </w:p>
        </w:tc>
        <w:tc>
          <w:tcPr>
            <w:tcW w:w="1075" w:type="dxa"/>
          </w:tcPr>
          <w:p w14:paraId="6ACA7888" w14:textId="77777777" w:rsidR="00AC6F3C" w:rsidRDefault="00570E88">
            <w:pPr>
              <w:pStyle w:val="TableParagraph"/>
              <w:spacing w:before="16" w:line="183" w:lineRule="exact"/>
              <w:ind w:right="138"/>
              <w:jc w:val="right"/>
              <w:rPr>
                <w:sz w:val="16"/>
              </w:rPr>
            </w:pPr>
            <w:r>
              <w:rPr>
                <w:spacing w:val="-2"/>
                <w:sz w:val="16"/>
              </w:rPr>
              <w:t>(5,322)</w:t>
            </w:r>
          </w:p>
        </w:tc>
        <w:tc>
          <w:tcPr>
            <w:tcW w:w="936" w:type="dxa"/>
          </w:tcPr>
          <w:p w14:paraId="747EDF61" w14:textId="77777777" w:rsidR="00AC6F3C" w:rsidRDefault="00570E88">
            <w:pPr>
              <w:pStyle w:val="TableParagraph"/>
              <w:spacing w:before="16" w:line="183" w:lineRule="exact"/>
              <w:ind w:right="52"/>
              <w:jc w:val="right"/>
              <w:rPr>
                <w:sz w:val="16"/>
              </w:rPr>
            </w:pPr>
            <w:r>
              <w:rPr>
                <w:w w:val="102"/>
                <w:sz w:val="16"/>
              </w:rPr>
              <w:t>-</w:t>
            </w:r>
          </w:p>
        </w:tc>
        <w:tc>
          <w:tcPr>
            <w:tcW w:w="988" w:type="dxa"/>
          </w:tcPr>
          <w:p w14:paraId="424C94AF" w14:textId="77777777" w:rsidR="00AC6F3C" w:rsidRDefault="00570E88">
            <w:pPr>
              <w:pStyle w:val="TableParagraph"/>
              <w:spacing w:before="16" w:line="183" w:lineRule="exact"/>
              <w:ind w:right="11"/>
              <w:jc w:val="right"/>
              <w:rPr>
                <w:sz w:val="16"/>
              </w:rPr>
            </w:pPr>
            <w:r>
              <w:rPr>
                <w:spacing w:val="-2"/>
                <w:sz w:val="16"/>
              </w:rPr>
              <w:t>(1,693)</w:t>
            </w:r>
          </w:p>
        </w:tc>
        <w:tc>
          <w:tcPr>
            <w:tcW w:w="1031" w:type="dxa"/>
            <w:tcBorders>
              <w:right w:val="single" w:sz="6" w:space="0" w:color="000000"/>
            </w:tcBorders>
            <w:shd w:val="clear" w:color="auto" w:fill="F1F1F1"/>
          </w:tcPr>
          <w:p w14:paraId="0EF0CE93" w14:textId="77777777" w:rsidR="00AC6F3C" w:rsidRDefault="00570E88">
            <w:pPr>
              <w:pStyle w:val="TableParagraph"/>
              <w:spacing w:before="16" w:line="183" w:lineRule="exact"/>
              <w:ind w:right="9"/>
              <w:jc w:val="right"/>
              <w:rPr>
                <w:sz w:val="16"/>
              </w:rPr>
            </w:pPr>
            <w:r>
              <w:rPr>
                <w:spacing w:val="-2"/>
                <w:sz w:val="16"/>
              </w:rPr>
              <w:t>(7,015)</w:t>
            </w:r>
          </w:p>
        </w:tc>
      </w:tr>
      <w:tr w:rsidR="00AC6F3C" w14:paraId="084BC219" w14:textId="77777777">
        <w:trPr>
          <w:trHeight w:val="218"/>
        </w:trPr>
        <w:tc>
          <w:tcPr>
            <w:tcW w:w="3281" w:type="dxa"/>
            <w:tcBorders>
              <w:left w:val="single" w:sz="6" w:space="0" w:color="000000"/>
            </w:tcBorders>
          </w:tcPr>
          <w:p w14:paraId="55982200" w14:textId="77777777" w:rsidR="00AC6F3C" w:rsidRDefault="00570E88">
            <w:pPr>
              <w:pStyle w:val="TableParagraph"/>
              <w:spacing w:before="16" w:line="183" w:lineRule="exact"/>
              <w:ind w:left="33"/>
              <w:rPr>
                <w:sz w:val="16"/>
              </w:rPr>
            </w:pPr>
            <w:r>
              <w:rPr>
                <w:sz w:val="16"/>
              </w:rPr>
              <w:t>Charge</w:t>
            </w:r>
            <w:r>
              <w:rPr>
                <w:spacing w:val="11"/>
                <w:sz w:val="16"/>
              </w:rPr>
              <w:t xml:space="preserve"> </w:t>
            </w:r>
            <w:r>
              <w:rPr>
                <w:sz w:val="16"/>
              </w:rPr>
              <w:t>for</w:t>
            </w:r>
            <w:r>
              <w:rPr>
                <w:spacing w:val="6"/>
                <w:sz w:val="16"/>
              </w:rPr>
              <w:t xml:space="preserve"> </w:t>
            </w:r>
            <w:r>
              <w:rPr>
                <w:sz w:val="16"/>
              </w:rPr>
              <w:t>the</w:t>
            </w:r>
            <w:r>
              <w:rPr>
                <w:spacing w:val="11"/>
                <w:sz w:val="16"/>
              </w:rPr>
              <w:t xml:space="preserve"> </w:t>
            </w:r>
            <w:r>
              <w:rPr>
                <w:spacing w:val="-4"/>
                <w:sz w:val="16"/>
              </w:rPr>
              <w:t>year</w:t>
            </w:r>
          </w:p>
        </w:tc>
        <w:tc>
          <w:tcPr>
            <w:tcW w:w="1162" w:type="dxa"/>
          </w:tcPr>
          <w:p w14:paraId="485D48BE" w14:textId="77777777" w:rsidR="00AC6F3C" w:rsidRDefault="00570E88">
            <w:pPr>
              <w:pStyle w:val="TableParagraph"/>
              <w:spacing w:before="16" w:line="183" w:lineRule="exact"/>
              <w:ind w:right="88"/>
              <w:jc w:val="right"/>
              <w:rPr>
                <w:sz w:val="16"/>
              </w:rPr>
            </w:pPr>
            <w:r>
              <w:rPr>
                <w:spacing w:val="-2"/>
                <w:sz w:val="16"/>
              </w:rPr>
              <w:t>(749)</w:t>
            </w:r>
          </w:p>
        </w:tc>
        <w:tc>
          <w:tcPr>
            <w:tcW w:w="1075" w:type="dxa"/>
          </w:tcPr>
          <w:p w14:paraId="3DBC8CB2" w14:textId="77777777" w:rsidR="00AC6F3C" w:rsidRDefault="00570E88">
            <w:pPr>
              <w:pStyle w:val="TableParagraph"/>
              <w:spacing w:before="16" w:line="183" w:lineRule="exact"/>
              <w:ind w:right="138"/>
              <w:jc w:val="right"/>
              <w:rPr>
                <w:sz w:val="16"/>
              </w:rPr>
            </w:pPr>
            <w:r>
              <w:rPr>
                <w:spacing w:val="-2"/>
                <w:sz w:val="16"/>
              </w:rPr>
              <w:t>(603)</w:t>
            </w:r>
          </w:p>
        </w:tc>
        <w:tc>
          <w:tcPr>
            <w:tcW w:w="936" w:type="dxa"/>
          </w:tcPr>
          <w:p w14:paraId="056E632E"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76DF9F5E" w14:textId="77777777" w:rsidR="00AC6F3C" w:rsidRDefault="00570E88">
            <w:pPr>
              <w:pStyle w:val="TableParagraph"/>
              <w:spacing w:before="16" w:line="183" w:lineRule="exact"/>
              <w:ind w:right="11"/>
              <w:jc w:val="right"/>
              <w:rPr>
                <w:sz w:val="16"/>
              </w:rPr>
            </w:pPr>
            <w:r>
              <w:rPr>
                <w:spacing w:val="-2"/>
                <w:sz w:val="16"/>
              </w:rPr>
              <w:t>(251)</w:t>
            </w:r>
          </w:p>
        </w:tc>
        <w:tc>
          <w:tcPr>
            <w:tcW w:w="1031" w:type="dxa"/>
            <w:tcBorders>
              <w:right w:val="single" w:sz="6" w:space="0" w:color="000000"/>
            </w:tcBorders>
            <w:shd w:val="clear" w:color="auto" w:fill="F1F1F1"/>
          </w:tcPr>
          <w:p w14:paraId="7BF1DA2C" w14:textId="77777777" w:rsidR="00AC6F3C" w:rsidRDefault="00570E88">
            <w:pPr>
              <w:pStyle w:val="TableParagraph"/>
              <w:spacing w:before="16" w:line="183" w:lineRule="exact"/>
              <w:ind w:right="9"/>
              <w:jc w:val="right"/>
              <w:rPr>
                <w:sz w:val="16"/>
              </w:rPr>
            </w:pPr>
            <w:r>
              <w:rPr>
                <w:spacing w:val="-2"/>
                <w:sz w:val="16"/>
              </w:rPr>
              <w:t>(1,603)</w:t>
            </w:r>
          </w:p>
        </w:tc>
      </w:tr>
      <w:tr w:rsidR="00AC6F3C" w14:paraId="04073FAD" w14:textId="77777777">
        <w:trPr>
          <w:trHeight w:val="207"/>
        </w:trPr>
        <w:tc>
          <w:tcPr>
            <w:tcW w:w="3281" w:type="dxa"/>
            <w:tcBorders>
              <w:left w:val="single" w:sz="6" w:space="0" w:color="000000"/>
              <w:bottom w:val="single" w:sz="6" w:space="0" w:color="000000"/>
            </w:tcBorders>
          </w:tcPr>
          <w:p w14:paraId="5D61F326" w14:textId="77777777" w:rsidR="00AC6F3C" w:rsidRDefault="00570E88">
            <w:pPr>
              <w:pStyle w:val="TableParagraph"/>
              <w:spacing w:before="16" w:line="172" w:lineRule="exact"/>
              <w:ind w:left="33"/>
              <w:rPr>
                <w:sz w:val="16"/>
              </w:rPr>
            </w:pPr>
            <w:r>
              <w:rPr>
                <w:sz w:val="16"/>
              </w:rPr>
              <w:t>Revaluation</w:t>
            </w:r>
            <w:r>
              <w:rPr>
                <w:spacing w:val="29"/>
                <w:sz w:val="16"/>
              </w:rPr>
              <w:t xml:space="preserve"> </w:t>
            </w:r>
            <w:r>
              <w:rPr>
                <w:sz w:val="16"/>
              </w:rPr>
              <w:t>increment</w:t>
            </w:r>
            <w:r>
              <w:rPr>
                <w:spacing w:val="16"/>
                <w:sz w:val="16"/>
              </w:rPr>
              <w:t xml:space="preserve"> </w:t>
            </w:r>
            <w:r>
              <w:rPr>
                <w:sz w:val="16"/>
              </w:rPr>
              <w:t>/</w:t>
            </w:r>
            <w:r>
              <w:rPr>
                <w:spacing w:val="16"/>
                <w:sz w:val="16"/>
              </w:rPr>
              <w:t xml:space="preserve"> </w:t>
            </w:r>
            <w:r>
              <w:rPr>
                <w:spacing w:val="-2"/>
                <w:sz w:val="16"/>
              </w:rPr>
              <w:t>(decrement)</w:t>
            </w:r>
          </w:p>
        </w:tc>
        <w:tc>
          <w:tcPr>
            <w:tcW w:w="1162" w:type="dxa"/>
            <w:tcBorders>
              <w:bottom w:val="single" w:sz="6" w:space="0" w:color="000000"/>
            </w:tcBorders>
          </w:tcPr>
          <w:p w14:paraId="11B9F03E" w14:textId="77777777" w:rsidR="00AC6F3C" w:rsidRDefault="00570E88">
            <w:pPr>
              <w:pStyle w:val="TableParagraph"/>
              <w:spacing w:before="16" w:line="172" w:lineRule="exact"/>
              <w:ind w:right="92"/>
              <w:jc w:val="right"/>
              <w:rPr>
                <w:sz w:val="16"/>
              </w:rPr>
            </w:pPr>
            <w:r>
              <w:rPr>
                <w:w w:val="102"/>
                <w:sz w:val="16"/>
              </w:rPr>
              <w:t>-</w:t>
            </w:r>
          </w:p>
        </w:tc>
        <w:tc>
          <w:tcPr>
            <w:tcW w:w="1075" w:type="dxa"/>
            <w:tcBorders>
              <w:bottom w:val="single" w:sz="6" w:space="0" w:color="000000"/>
            </w:tcBorders>
          </w:tcPr>
          <w:p w14:paraId="25424288" w14:textId="77777777" w:rsidR="00AC6F3C" w:rsidRDefault="00570E88">
            <w:pPr>
              <w:pStyle w:val="TableParagraph"/>
              <w:spacing w:before="16" w:line="172" w:lineRule="exact"/>
              <w:ind w:right="142"/>
              <w:jc w:val="right"/>
              <w:rPr>
                <w:sz w:val="16"/>
              </w:rPr>
            </w:pPr>
            <w:r>
              <w:rPr>
                <w:spacing w:val="-5"/>
                <w:sz w:val="16"/>
              </w:rPr>
              <w:t>326</w:t>
            </w:r>
          </w:p>
        </w:tc>
        <w:tc>
          <w:tcPr>
            <w:tcW w:w="936" w:type="dxa"/>
            <w:tcBorders>
              <w:bottom w:val="single" w:sz="6" w:space="0" w:color="000000"/>
            </w:tcBorders>
          </w:tcPr>
          <w:p w14:paraId="79FF243C" w14:textId="77777777" w:rsidR="00AC6F3C" w:rsidRDefault="00570E88">
            <w:pPr>
              <w:pStyle w:val="TableParagraph"/>
              <w:spacing w:before="16" w:line="172" w:lineRule="exact"/>
              <w:ind w:right="52"/>
              <w:jc w:val="right"/>
              <w:rPr>
                <w:sz w:val="16"/>
              </w:rPr>
            </w:pPr>
            <w:r>
              <w:rPr>
                <w:w w:val="102"/>
                <w:sz w:val="16"/>
              </w:rPr>
              <w:t>-</w:t>
            </w:r>
          </w:p>
        </w:tc>
        <w:tc>
          <w:tcPr>
            <w:tcW w:w="988" w:type="dxa"/>
            <w:tcBorders>
              <w:bottom w:val="single" w:sz="6" w:space="0" w:color="000000"/>
            </w:tcBorders>
          </w:tcPr>
          <w:p w14:paraId="4C1E00EA" w14:textId="77777777" w:rsidR="00AC6F3C" w:rsidRDefault="00570E88">
            <w:pPr>
              <w:pStyle w:val="TableParagraph"/>
              <w:spacing w:before="16" w:line="172" w:lineRule="exact"/>
              <w:ind w:right="15"/>
              <w:jc w:val="right"/>
              <w:rPr>
                <w:sz w:val="16"/>
              </w:rPr>
            </w:pPr>
            <w:r>
              <w:rPr>
                <w:w w:val="102"/>
                <w:sz w:val="16"/>
              </w:rPr>
              <w:t>-</w:t>
            </w:r>
          </w:p>
        </w:tc>
        <w:tc>
          <w:tcPr>
            <w:tcW w:w="1031" w:type="dxa"/>
            <w:tcBorders>
              <w:bottom w:val="single" w:sz="6" w:space="0" w:color="000000"/>
              <w:right w:val="single" w:sz="6" w:space="0" w:color="000000"/>
            </w:tcBorders>
            <w:shd w:val="clear" w:color="auto" w:fill="F1F1F1"/>
          </w:tcPr>
          <w:p w14:paraId="3615F93C" w14:textId="77777777" w:rsidR="00AC6F3C" w:rsidRDefault="00570E88">
            <w:pPr>
              <w:pStyle w:val="TableParagraph"/>
              <w:spacing w:before="16" w:line="172" w:lineRule="exact"/>
              <w:ind w:right="13"/>
              <w:jc w:val="right"/>
              <w:rPr>
                <w:sz w:val="16"/>
              </w:rPr>
            </w:pPr>
            <w:r>
              <w:rPr>
                <w:spacing w:val="-5"/>
                <w:sz w:val="16"/>
              </w:rPr>
              <w:t>326</w:t>
            </w:r>
          </w:p>
        </w:tc>
      </w:tr>
      <w:tr w:rsidR="00AC6F3C" w14:paraId="2217E815" w14:textId="77777777">
        <w:trPr>
          <w:trHeight w:val="203"/>
        </w:trPr>
        <w:tc>
          <w:tcPr>
            <w:tcW w:w="3281" w:type="dxa"/>
            <w:tcBorders>
              <w:top w:val="single" w:sz="6" w:space="0" w:color="000000"/>
              <w:left w:val="single" w:sz="6" w:space="0" w:color="000000"/>
              <w:bottom w:val="single" w:sz="6" w:space="0" w:color="000000"/>
            </w:tcBorders>
          </w:tcPr>
          <w:p w14:paraId="25229143" w14:textId="77777777" w:rsidR="00AC6F3C" w:rsidRDefault="00570E88">
            <w:pPr>
              <w:pStyle w:val="TableParagraph"/>
              <w:spacing w:before="12" w:line="172"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3A2B80C5" w14:textId="77777777" w:rsidR="00AC6F3C" w:rsidRDefault="00570E88">
            <w:pPr>
              <w:pStyle w:val="TableParagraph"/>
              <w:spacing w:before="12" w:line="172" w:lineRule="exact"/>
              <w:ind w:right="88"/>
              <w:jc w:val="right"/>
              <w:rPr>
                <w:b/>
                <w:sz w:val="16"/>
              </w:rPr>
            </w:pPr>
            <w:r>
              <w:rPr>
                <w:b/>
                <w:spacing w:val="-2"/>
                <w:sz w:val="16"/>
              </w:rPr>
              <w:t>(749)</w:t>
            </w:r>
          </w:p>
        </w:tc>
        <w:tc>
          <w:tcPr>
            <w:tcW w:w="1075" w:type="dxa"/>
            <w:tcBorders>
              <w:top w:val="single" w:sz="6" w:space="0" w:color="000000"/>
              <w:bottom w:val="single" w:sz="6" w:space="0" w:color="000000"/>
            </w:tcBorders>
          </w:tcPr>
          <w:p w14:paraId="31F7DFB5" w14:textId="77777777" w:rsidR="00AC6F3C" w:rsidRDefault="00570E88">
            <w:pPr>
              <w:pStyle w:val="TableParagraph"/>
              <w:spacing w:before="12" w:line="172" w:lineRule="exact"/>
              <w:ind w:right="138"/>
              <w:jc w:val="right"/>
              <w:rPr>
                <w:b/>
                <w:sz w:val="16"/>
              </w:rPr>
            </w:pPr>
            <w:r>
              <w:rPr>
                <w:b/>
                <w:spacing w:val="-2"/>
                <w:sz w:val="16"/>
              </w:rPr>
              <w:t>(5,599)</w:t>
            </w:r>
          </w:p>
        </w:tc>
        <w:tc>
          <w:tcPr>
            <w:tcW w:w="936" w:type="dxa"/>
            <w:tcBorders>
              <w:top w:val="single" w:sz="6" w:space="0" w:color="000000"/>
              <w:bottom w:val="single" w:sz="6" w:space="0" w:color="000000"/>
            </w:tcBorders>
          </w:tcPr>
          <w:p w14:paraId="0D4DE9F0" w14:textId="77777777" w:rsidR="00AC6F3C" w:rsidRDefault="00570E88">
            <w:pPr>
              <w:pStyle w:val="TableParagraph"/>
              <w:spacing w:before="12" w:line="172" w:lineRule="exact"/>
              <w:ind w:right="52"/>
              <w:jc w:val="right"/>
              <w:rPr>
                <w:b/>
                <w:sz w:val="16"/>
              </w:rPr>
            </w:pPr>
            <w:r>
              <w:rPr>
                <w:b/>
                <w:w w:val="102"/>
                <w:sz w:val="16"/>
              </w:rPr>
              <w:t>-</w:t>
            </w:r>
          </w:p>
        </w:tc>
        <w:tc>
          <w:tcPr>
            <w:tcW w:w="988" w:type="dxa"/>
            <w:tcBorders>
              <w:top w:val="single" w:sz="6" w:space="0" w:color="000000"/>
              <w:bottom w:val="single" w:sz="6" w:space="0" w:color="000000"/>
            </w:tcBorders>
          </w:tcPr>
          <w:p w14:paraId="01146519" w14:textId="77777777" w:rsidR="00AC6F3C" w:rsidRDefault="00570E88">
            <w:pPr>
              <w:pStyle w:val="TableParagraph"/>
              <w:spacing w:before="12" w:line="172" w:lineRule="exact"/>
              <w:ind w:right="11"/>
              <w:jc w:val="right"/>
              <w:rPr>
                <w:b/>
                <w:sz w:val="16"/>
              </w:rPr>
            </w:pPr>
            <w:r>
              <w:rPr>
                <w:b/>
                <w:spacing w:val="-2"/>
                <w:sz w:val="16"/>
              </w:rPr>
              <w:t>(1,944)</w:t>
            </w:r>
          </w:p>
        </w:tc>
        <w:tc>
          <w:tcPr>
            <w:tcW w:w="1031" w:type="dxa"/>
            <w:tcBorders>
              <w:top w:val="single" w:sz="6" w:space="0" w:color="000000"/>
              <w:bottom w:val="single" w:sz="6" w:space="0" w:color="000000"/>
              <w:right w:val="single" w:sz="6" w:space="0" w:color="000000"/>
            </w:tcBorders>
            <w:shd w:val="clear" w:color="auto" w:fill="F1F1F1"/>
          </w:tcPr>
          <w:p w14:paraId="06771972" w14:textId="77777777" w:rsidR="00AC6F3C" w:rsidRDefault="00570E88">
            <w:pPr>
              <w:pStyle w:val="TableParagraph"/>
              <w:spacing w:before="12" w:line="172" w:lineRule="exact"/>
              <w:ind w:right="9"/>
              <w:jc w:val="right"/>
              <w:rPr>
                <w:b/>
                <w:sz w:val="16"/>
              </w:rPr>
            </w:pPr>
            <w:r>
              <w:rPr>
                <w:b/>
                <w:spacing w:val="-2"/>
                <w:sz w:val="16"/>
              </w:rPr>
              <w:t>(8,292)</w:t>
            </w:r>
          </w:p>
        </w:tc>
      </w:tr>
      <w:tr w:rsidR="00AC6F3C" w14:paraId="3FB931B4" w14:textId="77777777">
        <w:trPr>
          <w:trHeight w:val="326"/>
        </w:trPr>
        <w:tc>
          <w:tcPr>
            <w:tcW w:w="3281" w:type="dxa"/>
            <w:tcBorders>
              <w:top w:val="single" w:sz="6" w:space="0" w:color="000000"/>
              <w:left w:val="single" w:sz="6" w:space="0" w:color="000000"/>
              <w:bottom w:val="single" w:sz="6" w:space="0" w:color="000000"/>
            </w:tcBorders>
            <w:shd w:val="clear" w:color="auto" w:fill="BEBEBE"/>
          </w:tcPr>
          <w:p w14:paraId="0A2F3F69" w14:textId="77777777" w:rsidR="00AC6F3C" w:rsidRDefault="00570E88">
            <w:pPr>
              <w:pStyle w:val="TableParagraph"/>
              <w:spacing w:before="66"/>
              <w:ind w:left="33"/>
              <w:rPr>
                <w:b/>
                <w:sz w:val="16"/>
              </w:rPr>
            </w:pPr>
            <w:r>
              <w:rPr>
                <w:b/>
                <w:sz w:val="16"/>
              </w:rPr>
              <w:t>Net</w:t>
            </w:r>
            <w:r>
              <w:rPr>
                <w:b/>
                <w:spacing w:val="-5"/>
                <w:sz w:val="16"/>
              </w:rPr>
              <w:t xml:space="preserve"> </w:t>
            </w:r>
            <w:r>
              <w:rPr>
                <w:b/>
                <w:sz w:val="16"/>
              </w:rPr>
              <w:t>book value at</w:t>
            </w:r>
            <w:r>
              <w:rPr>
                <w:b/>
                <w:spacing w:val="-4"/>
                <w:sz w:val="16"/>
              </w:rPr>
              <w:t xml:space="preserve"> </w:t>
            </w:r>
            <w:r>
              <w:rPr>
                <w:b/>
                <w:sz w:val="16"/>
              </w:rPr>
              <w:t xml:space="preserve">30 June </w:t>
            </w:r>
            <w:r>
              <w:rPr>
                <w:b/>
                <w:spacing w:val="-4"/>
                <w:sz w:val="16"/>
              </w:rPr>
              <w:t>2022</w:t>
            </w:r>
          </w:p>
        </w:tc>
        <w:tc>
          <w:tcPr>
            <w:tcW w:w="1162" w:type="dxa"/>
            <w:tcBorders>
              <w:top w:val="single" w:sz="6" w:space="0" w:color="000000"/>
              <w:bottom w:val="single" w:sz="6" w:space="0" w:color="000000"/>
            </w:tcBorders>
            <w:shd w:val="clear" w:color="auto" w:fill="BEBEBE"/>
          </w:tcPr>
          <w:p w14:paraId="51A06829" w14:textId="77777777" w:rsidR="00AC6F3C" w:rsidRDefault="00570E88">
            <w:pPr>
              <w:pStyle w:val="TableParagraph"/>
              <w:spacing w:before="66"/>
              <w:ind w:right="93"/>
              <w:jc w:val="right"/>
              <w:rPr>
                <w:b/>
                <w:sz w:val="16"/>
              </w:rPr>
            </w:pPr>
            <w:r>
              <w:rPr>
                <w:b/>
                <w:spacing w:val="-2"/>
                <w:sz w:val="16"/>
              </w:rPr>
              <w:t>26,991</w:t>
            </w:r>
          </w:p>
        </w:tc>
        <w:tc>
          <w:tcPr>
            <w:tcW w:w="1075" w:type="dxa"/>
            <w:tcBorders>
              <w:top w:val="single" w:sz="6" w:space="0" w:color="000000"/>
              <w:bottom w:val="single" w:sz="6" w:space="0" w:color="000000"/>
            </w:tcBorders>
            <w:shd w:val="clear" w:color="auto" w:fill="BEBEBE"/>
          </w:tcPr>
          <w:p w14:paraId="11C8DA41" w14:textId="77777777" w:rsidR="00AC6F3C" w:rsidRDefault="00570E88">
            <w:pPr>
              <w:pStyle w:val="TableParagraph"/>
              <w:spacing w:before="66"/>
              <w:ind w:right="142"/>
              <w:jc w:val="right"/>
              <w:rPr>
                <w:b/>
                <w:sz w:val="16"/>
              </w:rPr>
            </w:pPr>
            <w:r>
              <w:rPr>
                <w:b/>
                <w:spacing w:val="-2"/>
                <w:sz w:val="16"/>
              </w:rPr>
              <w:t>2,952</w:t>
            </w:r>
          </w:p>
        </w:tc>
        <w:tc>
          <w:tcPr>
            <w:tcW w:w="936" w:type="dxa"/>
            <w:tcBorders>
              <w:top w:val="single" w:sz="6" w:space="0" w:color="000000"/>
              <w:bottom w:val="single" w:sz="6" w:space="0" w:color="000000"/>
            </w:tcBorders>
            <w:shd w:val="clear" w:color="auto" w:fill="BEBEBE"/>
          </w:tcPr>
          <w:p w14:paraId="6169BA3D" w14:textId="77777777" w:rsidR="00AC6F3C" w:rsidRDefault="00570E88">
            <w:pPr>
              <w:pStyle w:val="TableParagraph"/>
              <w:spacing w:before="66"/>
              <w:ind w:right="53"/>
              <w:jc w:val="right"/>
              <w:rPr>
                <w:b/>
                <w:sz w:val="16"/>
              </w:rPr>
            </w:pPr>
            <w:r>
              <w:rPr>
                <w:b/>
                <w:spacing w:val="-5"/>
                <w:sz w:val="16"/>
              </w:rPr>
              <w:t>153</w:t>
            </w:r>
          </w:p>
        </w:tc>
        <w:tc>
          <w:tcPr>
            <w:tcW w:w="988" w:type="dxa"/>
            <w:tcBorders>
              <w:top w:val="single" w:sz="6" w:space="0" w:color="000000"/>
              <w:bottom w:val="single" w:sz="6" w:space="0" w:color="000000"/>
            </w:tcBorders>
            <w:shd w:val="clear" w:color="auto" w:fill="BEBEBE"/>
          </w:tcPr>
          <w:p w14:paraId="301AB311" w14:textId="77777777" w:rsidR="00AC6F3C" w:rsidRDefault="00570E88">
            <w:pPr>
              <w:pStyle w:val="TableParagraph"/>
              <w:spacing w:before="66"/>
              <w:ind w:right="15"/>
              <w:jc w:val="right"/>
              <w:rPr>
                <w:b/>
                <w:sz w:val="16"/>
              </w:rPr>
            </w:pPr>
            <w:r>
              <w:rPr>
                <w:b/>
                <w:spacing w:val="-2"/>
                <w:sz w:val="16"/>
              </w:rPr>
              <w:t>1,511</w:t>
            </w:r>
          </w:p>
        </w:tc>
        <w:tc>
          <w:tcPr>
            <w:tcW w:w="1031" w:type="dxa"/>
            <w:tcBorders>
              <w:top w:val="single" w:sz="6" w:space="0" w:color="000000"/>
              <w:bottom w:val="single" w:sz="6" w:space="0" w:color="000000"/>
              <w:right w:val="single" w:sz="6" w:space="0" w:color="000000"/>
            </w:tcBorders>
            <w:shd w:val="clear" w:color="auto" w:fill="BEBEBE"/>
          </w:tcPr>
          <w:p w14:paraId="0B546527" w14:textId="77777777" w:rsidR="00AC6F3C" w:rsidRDefault="00570E88">
            <w:pPr>
              <w:pStyle w:val="TableParagraph"/>
              <w:spacing w:before="66"/>
              <w:ind w:right="13"/>
              <w:jc w:val="right"/>
              <w:rPr>
                <w:b/>
                <w:sz w:val="16"/>
              </w:rPr>
            </w:pPr>
            <w:r>
              <w:rPr>
                <w:b/>
                <w:spacing w:val="-2"/>
                <w:sz w:val="16"/>
              </w:rPr>
              <w:t>31,606</w:t>
            </w:r>
          </w:p>
        </w:tc>
      </w:tr>
      <w:tr w:rsidR="00AC6F3C" w14:paraId="32136DCF" w14:textId="77777777">
        <w:trPr>
          <w:trHeight w:val="214"/>
        </w:trPr>
        <w:tc>
          <w:tcPr>
            <w:tcW w:w="4443" w:type="dxa"/>
            <w:gridSpan w:val="2"/>
            <w:tcBorders>
              <w:top w:val="single" w:sz="6" w:space="0" w:color="000000"/>
              <w:left w:val="single" w:sz="6" w:space="0" w:color="000000"/>
            </w:tcBorders>
          </w:tcPr>
          <w:p w14:paraId="3EB4AA7F" w14:textId="77777777" w:rsidR="00AC6F3C" w:rsidRDefault="00570E88">
            <w:pPr>
              <w:pStyle w:val="TableParagraph"/>
              <w:spacing w:before="12" w:line="183" w:lineRule="exact"/>
              <w:ind w:left="33"/>
              <w:rPr>
                <w:sz w:val="16"/>
              </w:rPr>
            </w:pPr>
            <w:r>
              <w:rPr>
                <w:sz w:val="16"/>
              </w:rPr>
              <w:t>Property,</w:t>
            </w:r>
            <w:r>
              <w:rPr>
                <w:spacing w:val="7"/>
                <w:sz w:val="16"/>
              </w:rPr>
              <w:t xml:space="preserve"> </w:t>
            </w:r>
            <w:r>
              <w:rPr>
                <w:sz w:val="16"/>
              </w:rPr>
              <w:t>plant</w:t>
            </w:r>
            <w:r>
              <w:rPr>
                <w:spacing w:val="8"/>
                <w:sz w:val="16"/>
              </w:rPr>
              <w:t xml:space="preserve"> </w:t>
            </w:r>
            <w:r>
              <w:rPr>
                <w:sz w:val="16"/>
              </w:rPr>
              <w:t>and</w:t>
            </w:r>
            <w:r>
              <w:rPr>
                <w:spacing w:val="18"/>
                <w:sz w:val="16"/>
              </w:rPr>
              <w:t xml:space="preserve"> </w:t>
            </w:r>
            <w:r>
              <w:rPr>
                <w:sz w:val="16"/>
              </w:rPr>
              <w:t>equipment</w:t>
            </w:r>
            <w:r>
              <w:rPr>
                <w:spacing w:val="8"/>
                <w:sz w:val="16"/>
              </w:rPr>
              <w:t xml:space="preserve"> </w:t>
            </w:r>
            <w:r>
              <w:rPr>
                <w:sz w:val="16"/>
              </w:rPr>
              <w:t>is</w:t>
            </w:r>
            <w:r>
              <w:rPr>
                <w:spacing w:val="33"/>
                <w:sz w:val="16"/>
              </w:rPr>
              <w:t xml:space="preserve"> </w:t>
            </w:r>
            <w:r>
              <w:rPr>
                <w:sz w:val="16"/>
              </w:rPr>
              <w:t>stated</w:t>
            </w:r>
            <w:r>
              <w:rPr>
                <w:spacing w:val="19"/>
                <w:sz w:val="16"/>
              </w:rPr>
              <w:t xml:space="preserve"> </w:t>
            </w:r>
            <w:r>
              <w:rPr>
                <w:sz w:val="16"/>
              </w:rPr>
              <w:t>as</w:t>
            </w:r>
            <w:r>
              <w:rPr>
                <w:spacing w:val="33"/>
                <w:sz w:val="16"/>
              </w:rPr>
              <w:t xml:space="preserve"> </w:t>
            </w:r>
            <w:r>
              <w:rPr>
                <w:spacing w:val="-2"/>
                <w:sz w:val="16"/>
              </w:rPr>
              <w:t>follows:</w:t>
            </w:r>
          </w:p>
        </w:tc>
        <w:tc>
          <w:tcPr>
            <w:tcW w:w="1075" w:type="dxa"/>
            <w:tcBorders>
              <w:top w:val="single" w:sz="6" w:space="0" w:color="000000"/>
            </w:tcBorders>
          </w:tcPr>
          <w:p w14:paraId="33FD9764" w14:textId="77777777" w:rsidR="00AC6F3C" w:rsidRDefault="00AC6F3C">
            <w:pPr>
              <w:pStyle w:val="TableParagraph"/>
              <w:rPr>
                <w:rFonts w:ascii="Times New Roman"/>
                <w:sz w:val="14"/>
              </w:rPr>
            </w:pPr>
          </w:p>
        </w:tc>
        <w:tc>
          <w:tcPr>
            <w:tcW w:w="936" w:type="dxa"/>
            <w:tcBorders>
              <w:top w:val="single" w:sz="6" w:space="0" w:color="000000"/>
            </w:tcBorders>
          </w:tcPr>
          <w:p w14:paraId="22A59539" w14:textId="77777777" w:rsidR="00AC6F3C" w:rsidRDefault="00AC6F3C">
            <w:pPr>
              <w:pStyle w:val="TableParagraph"/>
              <w:rPr>
                <w:rFonts w:ascii="Times New Roman"/>
                <w:sz w:val="14"/>
              </w:rPr>
            </w:pPr>
          </w:p>
        </w:tc>
        <w:tc>
          <w:tcPr>
            <w:tcW w:w="988" w:type="dxa"/>
            <w:tcBorders>
              <w:top w:val="single" w:sz="6" w:space="0" w:color="000000"/>
            </w:tcBorders>
          </w:tcPr>
          <w:p w14:paraId="455A6088" w14:textId="77777777" w:rsidR="00AC6F3C" w:rsidRDefault="00AC6F3C">
            <w:pPr>
              <w:pStyle w:val="TableParagraph"/>
              <w:rPr>
                <w:rFonts w:ascii="Times New Roman"/>
                <w:sz w:val="14"/>
              </w:rPr>
            </w:pPr>
          </w:p>
        </w:tc>
        <w:tc>
          <w:tcPr>
            <w:tcW w:w="1031" w:type="dxa"/>
            <w:tcBorders>
              <w:top w:val="single" w:sz="6" w:space="0" w:color="000000"/>
              <w:right w:val="single" w:sz="6" w:space="0" w:color="000000"/>
            </w:tcBorders>
            <w:shd w:val="clear" w:color="auto" w:fill="F1F1F1"/>
          </w:tcPr>
          <w:p w14:paraId="37361D6B" w14:textId="77777777" w:rsidR="00AC6F3C" w:rsidRDefault="00AC6F3C">
            <w:pPr>
              <w:pStyle w:val="TableParagraph"/>
              <w:rPr>
                <w:rFonts w:ascii="Times New Roman"/>
                <w:sz w:val="14"/>
              </w:rPr>
            </w:pPr>
          </w:p>
        </w:tc>
      </w:tr>
      <w:tr w:rsidR="00AC6F3C" w14:paraId="4B0F717E" w14:textId="77777777">
        <w:trPr>
          <w:trHeight w:val="218"/>
        </w:trPr>
        <w:tc>
          <w:tcPr>
            <w:tcW w:w="4443" w:type="dxa"/>
            <w:gridSpan w:val="2"/>
            <w:tcBorders>
              <w:left w:val="single" w:sz="6" w:space="0" w:color="000000"/>
            </w:tcBorders>
          </w:tcPr>
          <w:p w14:paraId="2E68732B" w14:textId="77777777" w:rsidR="00AC6F3C" w:rsidRDefault="00570E88">
            <w:pPr>
              <w:pStyle w:val="TableParagraph"/>
              <w:spacing w:before="16" w:line="183" w:lineRule="exact"/>
              <w:ind w:left="33"/>
              <w:rPr>
                <w:b/>
                <w:sz w:val="16"/>
              </w:rPr>
            </w:pPr>
            <w:r>
              <w:rPr>
                <w:b/>
                <w:sz w:val="16"/>
              </w:rPr>
              <w:t>30</w:t>
            </w:r>
            <w:r>
              <w:rPr>
                <w:b/>
                <w:spacing w:val="4"/>
                <w:sz w:val="16"/>
              </w:rPr>
              <w:t xml:space="preserve"> </w:t>
            </w:r>
            <w:r>
              <w:rPr>
                <w:b/>
                <w:sz w:val="16"/>
              </w:rPr>
              <w:t>June</w:t>
            </w:r>
            <w:r>
              <w:rPr>
                <w:b/>
                <w:spacing w:val="5"/>
                <w:sz w:val="16"/>
              </w:rPr>
              <w:t xml:space="preserve"> </w:t>
            </w:r>
            <w:r>
              <w:rPr>
                <w:b/>
                <w:spacing w:val="-4"/>
                <w:sz w:val="16"/>
              </w:rPr>
              <w:t>2023</w:t>
            </w:r>
          </w:p>
        </w:tc>
        <w:tc>
          <w:tcPr>
            <w:tcW w:w="1075" w:type="dxa"/>
          </w:tcPr>
          <w:p w14:paraId="781711B5" w14:textId="77777777" w:rsidR="00AC6F3C" w:rsidRDefault="00AC6F3C">
            <w:pPr>
              <w:pStyle w:val="TableParagraph"/>
              <w:rPr>
                <w:rFonts w:ascii="Times New Roman"/>
                <w:sz w:val="14"/>
              </w:rPr>
            </w:pPr>
          </w:p>
        </w:tc>
        <w:tc>
          <w:tcPr>
            <w:tcW w:w="936" w:type="dxa"/>
          </w:tcPr>
          <w:p w14:paraId="280F4BD6" w14:textId="77777777" w:rsidR="00AC6F3C" w:rsidRDefault="00AC6F3C">
            <w:pPr>
              <w:pStyle w:val="TableParagraph"/>
              <w:rPr>
                <w:rFonts w:ascii="Times New Roman"/>
                <w:sz w:val="14"/>
              </w:rPr>
            </w:pPr>
          </w:p>
        </w:tc>
        <w:tc>
          <w:tcPr>
            <w:tcW w:w="988" w:type="dxa"/>
          </w:tcPr>
          <w:p w14:paraId="6DDD069D" w14:textId="77777777" w:rsidR="00AC6F3C" w:rsidRDefault="00AC6F3C">
            <w:pPr>
              <w:pStyle w:val="TableParagraph"/>
              <w:rPr>
                <w:rFonts w:ascii="Times New Roman"/>
                <w:sz w:val="14"/>
              </w:rPr>
            </w:pPr>
          </w:p>
        </w:tc>
        <w:tc>
          <w:tcPr>
            <w:tcW w:w="1031" w:type="dxa"/>
            <w:tcBorders>
              <w:right w:val="single" w:sz="6" w:space="0" w:color="000000"/>
            </w:tcBorders>
            <w:shd w:val="clear" w:color="auto" w:fill="F1F1F1"/>
          </w:tcPr>
          <w:p w14:paraId="5353A5E0" w14:textId="77777777" w:rsidR="00AC6F3C" w:rsidRDefault="00AC6F3C">
            <w:pPr>
              <w:pStyle w:val="TableParagraph"/>
              <w:rPr>
                <w:rFonts w:ascii="Times New Roman"/>
                <w:sz w:val="14"/>
              </w:rPr>
            </w:pPr>
          </w:p>
        </w:tc>
      </w:tr>
      <w:tr w:rsidR="00AC6F3C" w14:paraId="6F8B8D14" w14:textId="77777777">
        <w:trPr>
          <w:trHeight w:val="218"/>
        </w:trPr>
        <w:tc>
          <w:tcPr>
            <w:tcW w:w="3281" w:type="dxa"/>
            <w:tcBorders>
              <w:left w:val="single" w:sz="6" w:space="0" w:color="000000"/>
            </w:tcBorders>
          </w:tcPr>
          <w:p w14:paraId="2A81D6ED" w14:textId="77777777" w:rsidR="00AC6F3C" w:rsidRDefault="00570E88">
            <w:pPr>
              <w:pStyle w:val="TableParagraph"/>
              <w:spacing w:before="16" w:line="183" w:lineRule="exact"/>
              <w:ind w:left="33"/>
              <w:rPr>
                <w:sz w:val="16"/>
              </w:rPr>
            </w:pPr>
            <w:r>
              <w:rPr>
                <w:spacing w:val="-7"/>
                <w:sz w:val="16"/>
              </w:rPr>
              <w:t>At</w:t>
            </w:r>
            <w:r>
              <w:rPr>
                <w:spacing w:val="-5"/>
                <w:sz w:val="16"/>
              </w:rPr>
              <w:t xml:space="preserve"> </w:t>
            </w:r>
            <w:r>
              <w:rPr>
                <w:spacing w:val="-2"/>
                <w:sz w:val="16"/>
              </w:rPr>
              <w:t>valuation</w:t>
            </w:r>
          </w:p>
        </w:tc>
        <w:tc>
          <w:tcPr>
            <w:tcW w:w="1162" w:type="dxa"/>
          </w:tcPr>
          <w:p w14:paraId="521F0801" w14:textId="77777777" w:rsidR="00AC6F3C" w:rsidRDefault="00570E88">
            <w:pPr>
              <w:pStyle w:val="TableParagraph"/>
              <w:spacing w:before="16" w:line="183" w:lineRule="exact"/>
              <w:ind w:right="93"/>
              <w:jc w:val="right"/>
              <w:rPr>
                <w:sz w:val="16"/>
              </w:rPr>
            </w:pPr>
            <w:r>
              <w:rPr>
                <w:spacing w:val="-2"/>
                <w:sz w:val="16"/>
              </w:rPr>
              <w:t>38,190</w:t>
            </w:r>
          </w:p>
        </w:tc>
        <w:tc>
          <w:tcPr>
            <w:tcW w:w="1075" w:type="dxa"/>
          </w:tcPr>
          <w:p w14:paraId="0B82FA43" w14:textId="77777777" w:rsidR="00AC6F3C" w:rsidRDefault="00570E88">
            <w:pPr>
              <w:pStyle w:val="TableParagraph"/>
              <w:spacing w:before="16" w:line="183" w:lineRule="exact"/>
              <w:ind w:right="142"/>
              <w:jc w:val="right"/>
              <w:rPr>
                <w:sz w:val="16"/>
              </w:rPr>
            </w:pPr>
            <w:r>
              <w:rPr>
                <w:w w:val="102"/>
                <w:sz w:val="16"/>
              </w:rPr>
              <w:t>-</w:t>
            </w:r>
          </w:p>
        </w:tc>
        <w:tc>
          <w:tcPr>
            <w:tcW w:w="936" w:type="dxa"/>
          </w:tcPr>
          <w:p w14:paraId="3AC7A565" w14:textId="77777777" w:rsidR="00AC6F3C" w:rsidRDefault="00570E88">
            <w:pPr>
              <w:pStyle w:val="TableParagraph"/>
              <w:spacing w:before="16" w:line="183" w:lineRule="exact"/>
              <w:ind w:right="53"/>
              <w:jc w:val="right"/>
              <w:rPr>
                <w:sz w:val="16"/>
              </w:rPr>
            </w:pPr>
            <w:r>
              <w:rPr>
                <w:w w:val="102"/>
                <w:sz w:val="16"/>
              </w:rPr>
              <w:t>-</w:t>
            </w:r>
          </w:p>
        </w:tc>
        <w:tc>
          <w:tcPr>
            <w:tcW w:w="988" w:type="dxa"/>
          </w:tcPr>
          <w:p w14:paraId="1820F15B" w14:textId="77777777" w:rsidR="00AC6F3C" w:rsidRDefault="00570E88">
            <w:pPr>
              <w:pStyle w:val="TableParagraph"/>
              <w:spacing w:before="16" w:line="183" w:lineRule="exact"/>
              <w:ind w:right="15"/>
              <w:jc w:val="right"/>
              <w:rPr>
                <w:sz w:val="16"/>
              </w:rPr>
            </w:pPr>
            <w:r>
              <w:rPr>
                <w:w w:val="102"/>
                <w:sz w:val="16"/>
              </w:rPr>
              <w:t>-</w:t>
            </w:r>
          </w:p>
        </w:tc>
        <w:tc>
          <w:tcPr>
            <w:tcW w:w="1031" w:type="dxa"/>
            <w:tcBorders>
              <w:right w:val="single" w:sz="6" w:space="0" w:color="000000"/>
            </w:tcBorders>
            <w:shd w:val="clear" w:color="auto" w:fill="F1F1F1"/>
          </w:tcPr>
          <w:p w14:paraId="42D7E57C" w14:textId="77777777" w:rsidR="00AC6F3C" w:rsidRDefault="00570E88">
            <w:pPr>
              <w:pStyle w:val="TableParagraph"/>
              <w:spacing w:before="16" w:line="183" w:lineRule="exact"/>
              <w:ind w:right="13"/>
              <w:jc w:val="right"/>
              <w:rPr>
                <w:sz w:val="16"/>
              </w:rPr>
            </w:pPr>
            <w:r>
              <w:rPr>
                <w:spacing w:val="-2"/>
                <w:sz w:val="16"/>
              </w:rPr>
              <w:t>38,190</w:t>
            </w:r>
          </w:p>
        </w:tc>
      </w:tr>
      <w:tr w:rsidR="00AC6F3C" w14:paraId="1343263C" w14:textId="77777777">
        <w:trPr>
          <w:trHeight w:val="208"/>
        </w:trPr>
        <w:tc>
          <w:tcPr>
            <w:tcW w:w="3281" w:type="dxa"/>
            <w:tcBorders>
              <w:left w:val="single" w:sz="6" w:space="0" w:color="000000"/>
              <w:bottom w:val="single" w:sz="6" w:space="0" w:color="000000"/>
            </w:tcBorders>
          </w:tcPr>
          <w:p w14:paraId="57B01999" w14:textId="77777777" w:rsidR="00AC6F3C" w:rsidRDefault="00570E88">
            <w:pPr>
              <w:pStyle w:val="TableParagraph"/>
              <w:spacing w:before="16" w:line="172" w:lineRule="exact"/>
              <w:ind w:left="33"/>
              <w:rPr>
                <w:sz w:val="16"/>
              </w:rPr>
            </w:pPr>
            <w:r>
              <w:rPr>
                <w:spacing w:val="-7"/>
                <w:sz w:val="16"/>
              </w:rPr>
              <w:t>At</w:t>
            </w:r>
            <w:r>
              <w:rPr>
                <w:spacing w:val="-5"/>
                <w:sz w:val="16"/>
              </w:rPr>
              <w:t xml:space="preserve"> </w:t>
            </w:r>
            <w:r>
              <w:rPr>
                <w:spacing w:val="-4"/>
                <w:sz w:val="16"/>
              </w:rPr>
              <w:t>cost</w:t>
            </w:r>
          </w:p>
        </w:tc>
        <w:tc>
          <w:tcPr>
            <w:tcW w:w="1162" w:type="dxa"/>
            <w:tcBorders>
              <w:bottom w:val="single" w:sz="6" w:space="0" w:color="000000"/>
            </w:tcBorders>
          </w:tcPr>
          <w:p w14:paraId="19D2DAA0" w14:textId="77777777" w:rsidR="00AC6F3C" w:rsidRDefault="00570E88">
            <w:pPr>
              <w:pStyle w:val="TableParagraph"/>
              <w:spacing w:before="16" w:line="172" w:lineRule="exact"/>
              <w:ind w:right="92"/>
              <w:jc w:val="right"/>
              <w:rPr>
                <w:sz w:val="16"/>
              </w:rPr>
            </w:pPr>
            <w:r>
              <w:rPr>
                <w:w w:val="102"/>
                <w:sz w:val="16"/>
              </w:rPr>
              <w:t>-</w:t>
            </w:r>
          </w:p>
        </w:tc>
        <w:tc>
          <w:tcPr>
            <w:tcW w:w="1075" w:type="dxa"/>
            <w:tcBorders>
              <w:bottom w:val="single" w:sz="6" w:space="0" w:color="000000"/>
            </w:tcBorders>
          </w:tcPr>
          <w:p w14:paraId="4919F003" w14:textId="77777777" w:rsidR="00AC6F3C" w:rsidRDefault="00570E88">
            <w:pPr>
              <w:pStyle w:val="TableParagraph"/>
              <w:spacing w:before="16" w:line="172" w:lineRule="exact"/>
              <w:ind w:right="142"/>
              <w:jc w:val="right"/>
              <w:rPr>
                <w:sz w:val="16"/>
              </w:rPr>
            </w:pPr>
            <w:r>
              <w:rPr>
                <w:spacing w:val="-2"/>
                <w:sz w:val="16"/>
              </w:rPr>
              <w:t>6,155</w:t>
            </w:r>
          </w:p>
        </w:tc>
        <w:tc>
          <w:tcPr>
            <w:tcW w:w="936" w:type="dxa"/>
            <w:tcBorders>
              <w:bottom w:val="single" w:sz="6" w:space="0" w:color="000000"/>
            </w:tcBorders>
          </w:tcPr>
          <w:p w14:paraId="03196C4D" w14:textId="77777777" w:rsidR="00AC6F3C" w:rsidRDefault="00570E88">
            <w:pPr>
              <w:pStyle w:val="TableParagraph"/>
              <w:spacing w:before="16" w:line="172" w:lineRule="exact"/>
              <w:ind w:right="53"/>
              <w:jc w:val="right"/>
              <w:rPr>
                <w:sz w:val="16"/>
              </w:rPr>
            </w:pPr>
            <w:r>
              <w:rPr>
                <w:spacing w:val="-2"/>
                <w:sz w:val="16"/>
              </w:rPr>
              <w:t>2,052</w:t>
            </w:r>
          </w:p>
        </w:tc>
        <w:tc>
          <w:tcPr>
            <w:tcW w:w="988" w:type="dxa"/>
            <w:tcBorders>
              <w:bottom w:val="single" w:sz="6" w:space="0" w:color="000000"/>
            </w:tcBorders>
          </w:tcPr>
          <w:p w14:paraId="015C64D9" w14:textId="77777777" w:rsidR="00AC6F3C" w:rsidRDefault="00570E88">
            <w:pPr>
              <w:pStyle w:val="TableParagraph"/>
              <w:spacing w:before="16" w:line="172" w:lineRule="exact"/>
              <w:ind w:right="15"/>
              <w:jc w:val="right"/>
              <w:rPr>
                <w:sz w:val="16"/>
              </w:rPr>
            </w:pPr>
            <w:r>
              <w:rPr>
                <w:spacing w:val="-2"/>
                <w:sz w:val="16"/>
              </w:rPr>
              <w:t>3,828</w:t>
            </w:r>
          </w:p>
        </w:tc>
        <w:tc>
          <w:tcPr>
            <w:tcW w:w="1031" w:type="dxa"/>
            <w:tcBorders>
              <w:bottom w:val="single" w:sz="6" w:space="0" w:color="000000"/>
              <w:right w:val="single" w:sz="6" w:space="0" w:color="000000"/>
            </w:tcBorders>
            <w:shd w:val="clear" w:color="auto" w:fill="F1F1F1"/>
          </w:tcPr>
          <w:p w14:paraId="50958604" w14:textId="77777777" w:rsidR="00AC6F3C" w:rsidRDefault="00570E88">
            <w:pPr>
              <w:pStyle w:val="TableParagraph"/>
              <w:spacing w:before="16" w:line="172" w:lineRule="exact"/>
              <w:ind w:right="13"/>
              <w:jc w:val="right"/>
              <w:rPr>
                <w:sz w:val="16"/>
              </w:rPr>
            </w:pPr>
            <w:r>
              <w:rPr>
                <w:spacing w:val="-2"/>
                <w:sz w:val="16"/>
              </w:rPr>
              <w:t>12,035</w:t>
            </w:r>
          </w:p>
        </w:tc>
      </w:tr>
      <w:tr w:rsidR="00AC6F3C" w14:paraId="6516EC03" w14:textId="77777777">
        <w:trPr>
          <w:trHeight w:val="203"/>
        </w:trPr>
        <w:tc>
          <w:tcPr>
            <w:tcW w:w="3281" w:type="dxa"/>
            <w:tcBorders>
              <w:top w:val="single" w:sz="6" w:space="0" w:color="000000"/>
              <w:left w:val="single" w:sz="6" w:space="0" w:color="000000"/>
              <w:bottom w:val="single" w:sz="6" w:space="0" w:color="000000"/>
            </w:tcBorders>
          </w:tcPr>
          <w:p w14:paraId="121E89EA" w14:textId="77777777" w:rsidR="00AC6F3C" w:rsidRDefault="00570E88">
            <w:pPr>
              <w:pStyle w:val="TableParagraph"/>
              <w:spacing w:before="11" w:line="172"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389D9FBD" w14:textId="77777777" w:rsidR="00AC6F3C" w:rsidRDefault="00570E88">
            <w:pPr>
              <w:pStyle w:val="TableParagraph"/>
              <w:spacing w:before="11" w:line="172" w:lineRule="exact"/>
              <w:ind w:right="92"/>
              <w:jc w:val="right"/>
              <w:rPr>
                <w:b/>
                <w:sz w:val="16"/>
              </w:rPr>
            </w:pPr>
            <w:r>
              <w:rPr>
                <w:b/>
                <w:spacing w:val="-2"/>
                <w:sz w:val="16"/>
              </w:rPr>
              <w:t>38,190</w:t>
            </w:r>
          </w:p>
        </w:tc>
        <w:tc>
          <w:tcPr>
            <w:tcW w:w="1075" w:type="dxa"/>
            <w:tcBorders>
              <w:top w:val="single" w:sz="6" w:space="0" w:color="000000"/>
              <w:bottom w:val="single" w:sz="6" w:space="0" w:color="000000"/>
            </w:tcBorders>
          </w:tcPr>
          <w:p w14:paraId="1205E550" w14:textId="77777777" w:rsidR="00AC6F3C" w:rsidRDefault="00570E88">
            <w:pPr>
              <w:pStyle w:val="TableParagraph"/>
              <w:spacing w:before="11" w:line="172" w:lineRule="exact"/>
              <w:ind w:right="142"/>
              <w:jc w:val="right"/>
              <w:rPr>
                <w:b/>
                <w:sz w:val="16"/>
              </w:rPr>
            </w:pPr>
            <w:r>
              <w:rPr>
                <w:b/>
                <w:spacing w:val="-2"/>
                <w:sz w:val="16"/>
              </w:rPr>
              <w:t>6,155</w:t>
            </w:r>
          </w:p>
        </w:tc>
        <w:tc>
          <w:tcPr>
            <w:tcW w:w="936" w:type="dxa"/>
            <w:tcBorders>
              <w:top w:val="single" w:sz="6" w:space="0" w:color="000000"/>
              <w:bottom w:val="single" w:sz="6" w:space="0" w:color="000000"/>
            </w:tcBorders>
          </w:tcPr>
          <w:p w14:paraId="073AE4C4" w14:textId="77777777" w:rsidR="00AC6F3C" w:rsidRDefault="00570E88">
            <w:pPr>
              <w:pStyle w:val="TableParagraph"/>
              <w:spacing w:before="11" w:line="172" w:lineRule="exact"/>
              <w:ind w:right="53"/>
              <w:jc w:val="right"/>
              <w:rPr>
                <w:b/>
                <w:sz w:val="16"/>
              </w:rPr>
            </w:pPr>
            <w:r>
              <w:rPr>
                <w:b/>
                <w:spacing w:val="-2"/>
                <w:sz w:val="16"/>
              </w:rPr>
              <w:t>2,052</w:t>
            </w:r>
          </w:p>
        </w:tc>
        <w:tc>
          <w:tcPr>
            <w:tcW w:w="988" w:type="dxa"/>
            <w:tcBorders>
              <w:top w:val="single" w:sz="6" w:space="0" w:color="000000"/>
              <w:bottom w:val="single" w:sz="6" w:space="0" w:color="000000"/>
            </w:tcBorders>
          </w:tcPr>
          <w:p w14:paraId="7966D73E" w14:textId="77777777" w:rsidR="00AC6F3C" w:rsidRDefault="00570E88">
            <w:pPr>
              <w:pStyle w:val="TableParagraph"/>
              <w:spacing w:before="11" w:line="172" w:lineRule="exact"/>
              <w:ind w:right="15"/>
              <w:jc w:val="right"/>
              <w:rPr>
                <w:b/>
                <w:sz w:val="16"/>
              </w:rPr>
            </w:pPr>
            <w:r>
              <w:rPr>
                <w:b/>
                <w:spacing w:val="-2"/>
                <w:sz w:val="16"/>
              </w:rPr>
              <w:t>3,828</w:t>
            </w:r>
          </w:p>
        </w:tc>
        <w:tc>
          <w:tcPr>
            <w:tcW w:w="1031" w:type="dxa"/>
            <w:tcBorders>
              <w:top w:val="single" w:sz="6" w:space="0" w:color="000000"/>
              <w:bottom w:val="single" w:sz="6" w:space="0" w:color="000000"/>
              <w:right w:val="single" w:sz="6" w:space="0" w:color="000000"/>
            </w:tcBorders>
            <w:shd w:val="clear" w:color="auto" w:fill="F1F1F1"/>
          </w:tcPr>
          <w:p w14:paraId="795C4D85" w14:textId="77777777" w:rsidR="00AC6F3C" w:rsidRDefault="00570E88">
            <w:pPr>
              <w:pStyle w:val="TableParagraph"/>
              <w:spacing w:before="11" w:line="172" w:lineRule="exact"/>
              <w:ind w:right="13"/>
              <w:jc w:val="right"/>
              <w:rPr>
                <w:b/>
                <w:sz w:val="16"/>
              </w:rPr>
            </w:pPr>
            <w:r>
              <w:rPr>
                <w:b/>
                <w:spacing w:val="-2"/>
                <w:sz w:val="16"/>
              </w:rPr>
              <w:t>50,226</w:t>
            </w:r>
          </w:p>
        </w:tc>
      </w:tr>
      <w:tr w:rsidR="00AC6F3C" w14:paraId="58847DDB" w14:textId="77777777">
        <w:trPr>
          <w:trHeight w:val="203"/>
        </w:trPr>
        <w:tc>
          <w:tcPr>
            <w:tcW w:w="3281" w:type="dxa"/>
            <w:tcBorders>
              <w:top w:val="single" w:sz="6" w:space="0" w:color="000000"/>
              <w:left w:val="single" w:sz="6" w:space="0" w:color="000000"/>
              <w:bottom w:val="single" w:sz="6" w:space="0" w:color="000000"/>
            </w:tcBorders>
          </w:tcPr>
          <w:p w14:paraId="3B69234E" w14:textId="77777777" w:rsidR="00AC6F3C" w:rsidRDefault="00570E88">
            <w:pPr>
              <w:pStyle w:val="TableParagraph"/>
              <w:spacing w:before="11" w:line="172" w:lineRule="exact"/>
              <w:ind w:left="33"/>
              <w:rPr>
                <w:sz w:val="16"/>
              </w:rPr>
            </w:pPr>
            <w:r>
              <w:rPr>
                <w:spacing w:val="-2"/>
                <w:sz w:val="16"/>
              </w:rPr>
              <w:t>Depreciation</w:t>
            </w:r>
          </w:p>
        </w:tc>
        <w:tc>
          <w:tcPr>
            <w:tcW w:w="1162" w:type="dxa"/>
            <w:tcBorders>
              <w:top w:val="single" w:sz="6" w:space="0" w:color="000000"/>
              <w:bottom w:val="single" w:sz="6" w:space="0" w:color="000000"/>
            </w:tcBorders>
          </w:tcPr>
          <w:p w14:paraId="4B7C369C" w14:textId="77777777" w:rsidR="00AC6F3C" w:rsidRDefault="00570E88">
            <w:pPr>
              <w:pStyle w:val="TableParagraph"/>
              <w:spacing w:before="11" w:line="172" w:lineRule="exact"/>
              <w:ind w:right="88"/>
              <w:jc w:val="right"/>
              <w:rPr>
                <w:sz w:val="16"/>
              </w:rPr>
            </w:pPr>
            <w:r>
              <w:rPr>
                <w:spacing w:val="-2"/>
                <w:sz w:val="16"/>
              </w:rPr>
              <w:t>(2,690)</w:t>
            </w:r>
          </w:p>
        </w:tc>
        <w:tc>
          <w:tcPr>
            <w:tcW w:w="1075" w:type="dxa"/>
            <w:tcBorders>
              <w:top w:val="single" w:sz="6" w:space="0" w:color="000000"/>
              <w:bottom w:val="single" w:sz="6" w:space="0" w:color="000000"/>
            </w:tcBorders>
          </w:tcPr>
          <w:p w14:paraId="7747DF40" w14:textId="77777777" w:rsidR="00AC6F3C" w:rsidRDefault="00570E88">
            <w:pPr>
              <w:pStyle w:val="TableParagraph"/>
              <w:spacing w:before="11" w:line="172" w:lineRule="exact"/>
              <w:ind w:right="137"/>
              <w:jc w:val="right"/>
              <w:rPr>
                <w:sz w:val="16"/>
              </w:rPr>
            </w:pPr>
            <w:r>
              <w:rPr>
                <w:spacing w:val="-2"/>
                <w:sz w:val="16"/>
              </w:rPr>
              <w:t>(5,102)</w:t>
            </w:r>
          </w:p>
        </w:tc>
        <w:tc>
          <w:tcPr>
            <w:tcW w:w="936" w:type="dxa"/>
            <w:tcBorders>
              <w:top w:val="single" w:sz="6" w:space="0" w:color="000000"/>
              <w:bottom w:val="single" w:sz="6" w:space="0" w:color="000000"/>
            </w:tcBorders>
          </w:tcPr>
          <w:p w14:paraId="1B4C9FA0" w14:textId="77777777" w:rsidR="00AC6F3C" w:rsidRDefault="00570E88">
            <w:pPr>
              <w:pStyle w:val="TableParagraph"/>
              <w:spacing w:before="11" w:line="172" w:lineRule="exact"/>
              <w:ind w:right="52"/>
              <w:jc w:val="right"/>
              <w:rPr>
                <w:sz w:val="16"/>
              </w:rPr>
            </w:pPr>
            <w:r>
              <w:rPr>
                <w:w w:val="102"/>
                <w:sz w:val="16"/>
              </w:rPr>
              <w:t>-</w:t>
            </w:r>
          </w:p>
        </w:tc>
        <w:tc>
          <w:tcPr>
            <w:tcW w:w="988" w:type="dxa"/>
            <w:tcBorders>
              <w:top w:val="single" w:sz="6" w:space="0" w:color="000000"/>
              <w:bottom w:val="single" w:sz="6" w:space="0" w:color="000000"/>
            </w:tcBorders>
          </w:tcPr>
          <w:p w14:paraId="65947CE3" w14:textId="77777777" w:rsidR="00AC6F3C" w:rsidRDefault="00570E88">
            <w:pPr>
              <w:pStyle w:val="TableParagraph"/>
              <w:spacing w:before="11" w:line="172" w:lineRule="exact"/>
              <w:ind w:right="11"/>
              <w:jc w:val="right"/>
              <w:rPr>
                <w:sz w:val="16"/>
              </w:rPr>
            </w:pPr>
            <w:r>
              <w:rPr>
                <w:spacing w:val="-2"/>
                <w:sz w:val="16"/>
              </w:rPr>
              <w:t>(2,225)</w:t>
            </w:r>
          </w:p>
        </w:tc>
        <w:tc>
          <w:tcPr>
            <w:tcW w:w="1031" w:type="dxa"/>
            <w:tcBorders>
              <w:top w:val="single" w:sz="6" w:space="0" w:color="000000"/>
              <w:bottom w:val="single" w:sz="6" w:space="0" w:color="000000"/>
              <w:right w:val="single" w:sz="6" w:space="0" w:color="000000"/>
            </w:tcBorders>
            <w:shd w:val="clear" w:color="auto" w:fill="F1F1F1"/>
          </w:tcPr>
          <w:p w14:paraId="0C880069" w14:textId="77777777" w:rsidR="00AC6F3C" w:rsidRDefault="00570E88">
            <w:pPr>
              <w:pStyle w:val="TableParagraph"/>
              <w:spacing w:before="11" w:line="172" w:lineRule="exact"/>
              <w:ind w:right="9"/>
              <w:jc w:val="right"/>
              <w:rPr>
                <w:sz w:val="16"/>
              </w:rPr>
            </w:pPr>
            <w:r>
              <w:rPr>
                <w:spacing w:val="-2"/>
                <w:sz w:val="16"/>
              </w:rPr>
              <w:t>(10,018)</w:t>
            </w:r>
          </w:p>
        </w:tc>
      </w:tr>
      <w:tr w:rsidR="00AC6F3C" w14:paraId="79C6CC10" w14:textId="77777777">
        <w:trPr>
          <w:trHeight w:val="203"/>
        </w:trPr>
        <w:tc>
          <w:tcPr>
            <w:tcW w:w="4443" w:type="dxa"/>
            <w:gridSpan w:val="2"/>
            <w:tcBorders>
              <w:top w:val="single" w:sz="6" w:space="0" w:color="000000"/>
              <w:left w:val="single" w:sz="6" w:space="0" w:color="000000"/>
              <w:bottom w:val="single" w:sz="6" w:space="0" w:color="000000"/>
            </w:tcBorders>
            <w:shd w:val="clear" w:color="auto" w:fill="BEBEBE"/>
          </w:tcPr>
          <w:p w14:paraId="6DDD1FDC" w14:textId="77777777" w:rsidR="00AC6F3C" w:rsidRDefault="00570E88">
            <w:pPr>
              <w:pStyle w:val="TableParagraph"/>
              <w:spacing w:before="11" w:line="172" w:lineRule="exact"/>
              <w:ind w:right="92"/>
              <w:jc w:val="right"/>
              <w:rPr>
                <w:b/>
                <w:sz w:val="16"/>
              </w:rPr>
            </w:pPr>
            <w:r>
              <w:rPr>
                <w:b/>
                <w:spacing w:val="-2"/>
                <w:sz w:val="16"/>
              </w:rPr>
              <w:t>35,500</w:t>
            </w:r>
          </w:p>
        </w:tc>
        <w:tc>
          <w:tcPr>
            <w:tcW w:w="1075" w:type="dxa"/>
            <w:tcBorders>
              <w:top w:val="single" w:sz="6" w:space="0" w:color="000000"/>
              <w:bottom w:val="single" w:sz="6" w:space="0" w:color="000000"/>
            </w:tcBorders>
            <w:shd w:val="clear" w:color="auto" w:fill="BEBEBE"/>
          </w:tcPr>
          <w:p w14:paraId="571C2AF0" w14:textId="77777777" w:rsidR="00AC6F3C" w:rsidRDefault="00570E88">
            <w:pPr>
              <w:pStyle w:val="TableParagraph"/>
              <w:spacing w:before="11" w:line="172" w:lineRule="exact"/>
              <w:ind w:right="142"/>
              <w:jc w:val="right"/>
              <w:rPr>
                <w:b/>
                <w:sz w:val="16"/>
              </w:rPr>
            </w:pPr>
            <w:r>
              <w:rPr>
                <w:b/>
                <w:spacing w:val="-2"/>
                <w:sz w:val="16"/>
              </w:rPr>
              <w:t>1,053</w:t>
            </w:r>
          </w:p>
        </w:tc>
        <w:tc>
          <w:tcPr>
            <w:tcW w:w="936" w:type="dxa"/>
            <w:tcBorders>
              <w:top w:val="single" w:sz="6" w:space="0" w:color="000000"/>
              <w:bottom w:val="single" w:sz="6" w:space="0" w:color="000000"/>
            </w:tcBorders>
            <w:shd w:val="clear" w:color="auto" w:fill="BEBEBE"/>
          </w:tcPr>
          <w:p w14:paraId="6EA8284E" w14:textId="77777777" w:rsidR="00AC6F3C" w:rsidRDefault="00570E88">
            <w:pPr>
              <w:pStyle w:val="TableParagraph"/>
              <w:spacing w:before="11" w:line="172" w:lineRule="exact"/>
              <w:ind w:right="52"/>
              <w:jc w:val="right"/>
              <w:rPr>
                <w:b/>
                <w:sz w:val="16"/>
              </w:rPr>
            </w:pPr>
            <w:r>
              <w:rPr>
                <w:b/>
                <w:spacing w:val="-2"/>
                <w:sz w:val="16"/>
              </w:rPr>
              <w:t>2,052</w:t>
            </w:r>
          </w:p>
        </w:tc>
        <w:tc>
          <w:tcPr>
            <w:tcW w:w="988" w:type="dxa"/>
            <w:tcBorders>
              <w:top w:val="single" w:sz="6" w:space="0" w:color="000000"/>
              <w:bottom w:val="single" w:sz="6" w:space="0" w:color="000000"/>
            </w:tcBorders>
            <w:shd w:val="clear" w:color="auto" w:fill="BEBEBE"/>
          </w:tcPr>
          <w:p w14:paraId="441F207D" w14:textId="77777777" w:rsidR="00AC6F3C" w:rsidRDefault="00570E88">
            <w:pPr>
              <w:pStyle w:val="TableParagraph"/>
              <w:spacing w:before="11" w:line="172" w:lineRule="exact"/>
              <w:ind w:right="15"/>
              <w:jc w:val="right"/>
              <w:rPr>
                <w:b/>
                <w:sz w:val="16"/>
              </w:rPr>
            </w:pPr>
            <w:r>
              <w:rPr>
                <w:b/>
                <w:spacing w:val="-2"/>
                <w:sz w:val="16"/>
              </w:rPr>
              <w:t>1,603</w:t>
            </w:r>
          </w:p>
        </w:tc>
        <w:tc>
          <w:tcPr>
            <w:tcW w:w="1031" w:type="dxa"/>
            <w:tcBorders>
              <w:top w:val="single" w:sz="6" w:space="0" w:color="000000"/>
              <w:bottom w:val="single" w:sz="6" w:space="0" w:color="000000"/>
              <w:right w:val="single" w:sz="6" w:space="0" w:color="000000"/>
            </w:tcBorders>
            <w:shd w:val="clear" w:color="auto" w:fill="BEBEBE"/>
          </w:tcPr>
          <w:p w14:paraId="792E2177" w14:textId="77777777" w:rsidR="00AC6F3C" w:rsidRDefault="00570E88">
            <w:pPr>
              <w:pStyle w:val="TableParagraph"/>
              <w:spacing w:before="11" w:line="172" w:lineRule="exact"/>
              <w:ind w:right="13"/>
              <w:jc w:val="right"/>
              <w:rPr>
                <w:b/>
                <w:sz w:val="16"/>
              </w:rPr>
            </w:pPr>
            <w:r>
              <w:rPr>
                <w:b/>
                <w:spacing w:val="-2"/>
                <w:sz w:val="16"/>
              </w:rPr>
              <w:t>40,208</w:t>
            </w:r>
          </w:p>
        </w:tc>
      </w:tr>
      <w:tr w:rsidR="00AC6F3C" w14:paraId="1C6F3503" w14:textId="77777777">
        <w:trPr>
          <w:trHeight w:val="234"/>
        </w:trPr>
        <w:tc>
          <w:tcPr>
            <w:tcW w:w="4443" w:type="dxa"/>
            <w:gridSpan w:val="2"/>
            <w:tcBorders>
              <w:top w:val="single" w:sz="6" w:space="0" w:color="000000"/>
              <w:left w:val="single" w:sz="6" w:space="0" w:color="000000"/>
            </w:tcBorders>
          </w:tcPr>
          <w:p w14:paraId="5A8F6923" w14:textId="77777777" w:rsidR="00AC6F3C" w:rsidRDefault="00570E88">
            <w:pPr>
              <w:pStyle w:val="TableParagraph"/>
              <w:spacing w:before="11"/>
              <w:ind w:left="34"/>
              <w:rPr>
                <w:b/>
                <w:sz w:val="16"/>
              </w:rPr>
            </w:pPr>
            <w:r>
              <w:rPr>
                <w:b/>
                <w:sz w:val="16"/>
              </w:rPr>
              <w:t>30</w:t>
            </w:r>
            <w:r>
              <w:rPr>
                <w:b/>
                <w:spacing w:val="4"/>
                <w:sz w:val="16"/>
              </w:rPr>
              <w:t xml:space="preserve"> </w:t>
            </w:r>
            <w:r>
              <w:rPr>
                <w:b/>
                <w:sz w:val="16"/>
              </w:rPr>
              <w:t>June</w:t>
            </w:r>
            <w:r>
              <w:rPr>
                <w:b/>
                <w:spacing w:val="5"/>
                <w:sz w:val="16"/>
              </w:rPr>
              <w:t xml:space="preserve"> </w:t>
            </w:r>
            <w:r>
              <w:rPr>
                <w:b/>
                <w:spacing w:val="-4"/>
                <w:sz w:val="16"/>
              </w:rPr>
              <w:t>2022</w:t>
            </w:r>
          </w:p>
        </w:tc>
        <w:tc>
          <w:tcPr>
            <w:tcW w:w="1075" w:type="dxa"/>
            <w:tcBorders>
              <w:top w:val="single" w:sz="6" w:space="0" w:color="000000"/>
            </w:tcBorders>
          </w:tcPr>
          <w:p w14:paraId="4AC15023" w14:textId="77777777" w:rsidR="00AC6F3C" w:rsidRDefault="00AC6F3C">
            <w:pPr>
              <w:pStyle w:val="TableParagraph"/>
              <w:rPr>
                <w:rFonts w:ascii="Times New Roman"/>
                <w:sz w:val="16"/>
              </w:rPr>
            </w:pPr>
          </w:p>
        </w:tc>
        <w:tc>
          <w:tcPr>
            <w:tcW w:w="936" w:type="dxa"/>
            <w:tcBorders>
              <w:top w:val="single" w:sz="6" w:space="0" w:color="000000"/>
            </w:tcBorders>
          </w:tcPr>
          <w:p w14:paraId="752C222F" w14:textId="77777777" w:rsidR="00AC6F3C" w:rsidRDefault="00AC6F3C">
            <w:pPr>
              <w:pStyle w:val="TableParagraph"/>
              <w:rPr>
                <w:rFonts w:ascii="Times New Roman"/>
                <w:sz w:val="16"/>
              </w:rPr>
            </w:pPr>
          </w:p>
        </w:tc>
        <w:tc>
          <w:tcPr>
            <w:tcW w:w="988" w:type="dxa"/>
            <w:tcBorders>
              <w:top w:val="single" w:sz="6" w:space="0" w:color="000000"/>
            </w:tcBorders>
          </w:tcPr>
          <w:p w14:paraId="39284C40" w14:textId="77777777" w:rsidR="00AC6F3C" w:rsidRDefault="00AC6F3C">
            <w:pPr>
              <w:pStyle w:val="TableParagraph"/>
              <w:rPr>
                <w:rFonts w:ascii="Times New Roman"/>
                <w:sz w:val="16"/>
              </w:rPr>
            </w:pPr>
          </w:p>
        </w:tc>
        <w:tc>
          <w:tcPr>
            <w:tcW w:w="1031" w:type="dxa"/>
            <w:tcBorders>
              <w:top w:val="single" w:sz="6" w:space="0" w:color="000000"/>
              <w:right w:val="single" w:sz="6" w:space="0" w:color="000000"/>
            </w:tcBorders>
            <w:shd w:val="clear" w:color="auto" w:fill="F1F1F1"/>
          </w:tcPr>
          <w:p w14:paraId="5A0211BC" w14:textId="77777777" w:rsidR="00AC6F3C" w:rsidRDefault="00AC6F3C">
            <w:pPr>
              <w:pStyle w:val="TableParagraph"/>
              <w:rPr>
                <w:rFonts w:ascii="Times New Roman"/>
                <w:sz w:val="16"/>
              </w:rPr>
            </w:pPr>
          </w:p>
        </w:tc>
      </w:tr>
      <w:tr w:rsidR="00AC6F3C" w14:paraId="0E239E0B" w14:textId="77777777">
        <w:trPr>
          <w:trHeight w:val="246"/>
        </w:trPr>
        <w:tc>
          <w:tcPr>
            <w:tcW w:w="3281" w:type="dxa"/>
            <w:tcBorders>
              <w:left w:val="single" w:sz="6" w:space="0" w:color="000000"/>
            </w:tcBorders>
          </w:tcPr>
          <w:p w14:paraId="71517427" w14:textId="77777777" w:rsidR="00AC6F3C" w:rsidRDefault="00570E88">
            <w:pPr>
              <w:pStyle w:val="TableParagraph"/>
              <w:spacing w:before="36"/>
              <w:ind w:left="34"/>
              <w:rPr>
                <w:sz w:val="16"/>
              </w:rPr>
            </w:pPr>
            <w:r>
              <w:rPr>
                <w:spacing w:val="-7"/>
                <w:sz w:val="16"/>
              </w:rPr>
              <w:t>At</w:t>
            </w:r>
            <w:r>
              <w:rPr>
                <w:spacing w:val="-5"/>
                <w:sz w:val="16"/>
              </w:rPr>
              <w:t xml:space="preserve"> </w:t>
            </w:r>
            <w:r>
              <w:rPr>
                <w:spacing w:val="-2"/>
                <w:sz w:val="16"/>
              </w:rPr>
              <w:t>valuation</w:t>
            </w:r>
          </w:p>
        </w:tc>
        <w:tc>
          <w:tcPr>
            <w:tcW w:w="1162" w:type="dxa"/>
          </w:tcPr>
          <w:p w14:paraId="5CE1E19F" w14:textId="77777777" w:rsidR="00AC6F3C" w:rsidRDefault="00570E88">
            <w:pPr>
              <w:pStyle w:val="TableParagraph"/>
              <w:spacing w:before="36"/>
              <w:ind w:right="92"/>
              <w:jc w:val="right"/>
              <w:rPr>
                <w:sz w:val="16"/>
              </w:rPr>
            </w:pPr>
            <w:r>
              <w:rPr>
                <w:spacing w:val="-2"/>
                <w:sz w:val="16"/>
              </w:rPr>
              <w:t>27,740</w:t>
            </w:r>
          </w:p>
        </w:tc>
        <w:tc>
          <w:tcPr>
            <w:tcW w:w="1075" w:type="dxa"/>
          </w:tcPr>
          <w:p w14:paraId="60996880" w14:textId="77777777" w:rsidR="00AC6F3C" w:rsidRDefault="00570E88">
            <w:pPr>
              <w:pStyle w:val="TableParagraph"/>
              <w:spacing w:before="36"/>
              <w:ind w:right="142"/>
              <w:jc w:val="right"/>
              <w:rPr>
                <w:sz w:val="16"/>
              </w:rPr>
            </w:pPr>
            <w:r>
              <w:rPr>
                <w:w w:val="102"/>
                <w:sz w:val="16"/>
              </w:rPr>
              <w:t>-</w:t>
            </w:r>
          </w:p>
        </w:tc>
        <w:tc>
          <w:tcPr>
            <w:tcW w:w="936" w:type="dxa"/>
          </w:tcPr>
          <w:p w14:paraId="784AEB3C" w14:textId="77777777" w:rsidR="00AC6F3C" w:rsidRDefault="00570E88">
            <w:pPr>
              <w:pStyle w:val="TableParagraph"/>
              <w:spacing w:before="36"/>
              <w:ind w:right="52"/>
              <w:jc w:val="right"/>
              <w:rPr>
                <w:sz w:val="16"/>
              </w:rPr>
            </w:pPr>
            <w:r>
              <w:rPr>
                <w:w w:val="102"/>
                <w:sz w:val="16"/>
              </w:rPr>
              <w:t>-</w:t>
            </w:r>
          </w:p>
        </w:tc>
        <w:tc>
          <w:tcPr>
            <w:tcW w:w="988" w:type="dxa"/>
          </w:tcPr>
          <w:p w14:paraId="6D2F5CD9" w14:textId="77777777" w:rsidR="00AC6F3C" w:rsidRDefault="00570E88">
            <w:pPr>
              <w:pStyle w:val="TableParagraph"/>
              <w:spacing w:before="36"/>
              <w:ind w:right="15"/>
              <w:jc w:val="right"/>
              <w:rPr>
                <w:sz w:val="16"/>
              </w:rPr>
            </w:pPr>
            <w:r>
              <w:rPr>
                <w:w w:val="102"/>
                <w:sz w:val="16"/>
              </w:rPr>
              <w:t>-</w:t>
            </w:r>
          </w:p>
        </w:tc>
        <w:tc>
          <w:tcPr>
            <w:tcW w:w="1031" w:type="dxa"/>
            <w:tcBorders>
              <w:right w:val="single" w:sz="6" w:space="0" w:color="000000"/>
            </w:tcBorders>
            <w:shd w:val="clear" w:color="auto" w:fill="F1F1F1"/>
          </w:tcPr>
          <w:p w14:paraId="4D09DB01" w14:textId="77777777" w:rsidR="00AC6F3C" w:rsidRDefault="00570E88">
            <w:pPr>
              <w:pStyle w:val="TableParagraph"/>
              <w:spacing w:before="36"/>
              <w:ind w:right="13"/>
              <w:jc w:val="right"/>
              <w:rPr>
                <w:sz w:val="16"/>
              </w:rPr>
            </w:pPr>
            <w:r>
              <w:rPr>
                <w:spacing w:val="-2"/>
                <w:sz w:val="16"/>
              </w:rPr>
              <w:t>27,740</w:t>
            </w:r>
          </w:p>
        </w:tc>
      </w:tr>
      <w:tr w:rsidR="00AC6F3C" w14:paraId="782BB771" w14:textId="77777777">
        <w:trPr>
          <w:trHeight w:val="215"/>
        </w:trPr>
        <w:tc>
          <w:tcPr>
            <w:tcW w:w="3281" w:type="dxa"/>
            <w:tcBorders>
              <w:left w:val="single" w:sz="6" w:space="0" w:color="000000"/>
              <w:bottom w:val="single" w:sz="6" w:space="0" w:color="000000"/>
            </w:tcBorders>
          </w:tcPr>
          <w:p w14:paraId="0772B5F6" w14:textId="77777777" w:rsidR="00AC6F3C" w:rsidRDefault="00570E88">
            <w:pPr>
              <w:pStyle w:val="TableParagraph"/>
              <w:spacing w:before="23" w:line="172" w:lineRule="exact"/>
              <w:ind w:left="34"/>
              <w:rPr>
                <w:sz w:val="16"/>
              </w:rPr>
            </w:pPr>
            <w:r>
              <w:rPr>
                <w:spacing w:val="-7"/>
                <w:sz w:val="16"/>
              </w:rPr>
              <w:t>At</w:t>
            </w:r>
            <w:r>
              <w:rPr>
                <w:spacing w:val="-5"/>
                <w:sz w:val="16"/>
              </w:rPr>
              <w:t xml:space="preserve"> </w:t>
            </w:r>
            <w:r>
              <w:rPr>
                <w:spacing w:val="-4"/>
                <w:sz w:val="16"/>
              </w:rPr>
              <w:t>cost</w:t>
            </w:r>
          </w:p>
        </w:tc>
        <w:tc>
          <w:tcPr>
            <w:tcW w:w="1162" w:type="dxa"/>
            <w:tcBorders>
              <w:bottom w:val="single" w:sz="6" w:space="0" w:color="000000"/>
            </w:tcBorders>
          </w:tcPr>
          <w:p w14:paraId="56BB470D" w14:textId="77777777" w:rsidR="00AC6F3C" w:rsidRDefault="00570E88">
            <w:pPr>
              <w:pStyle w:val="TableParagraph"/>
              <w:spacing w:before="23" w:line="172" w:lineRule="exact"/>
              <w:ind w:right="92"/>
              <w:jc w:val="right"/>
              <w:rPr>
                <w:sz w:val="16"/>
              </w:rPr>
            </w:pPr>
            <w:r>
              <w:rPr>
                <w:w w:val="102"/>
                <w:sz w:val="16"/>
              </w:rPr>
              <w:t>-</w:t>
            </w:r>
          </w:p>
        </w:tc>
        <w:tc>
          <w:tcPr>
            <w:tcW w:w="1075" w:type="dxa"/>
            <w:tcBorders>
              <w:bottom w:val="single" w:sz="6" w:space="0" w:color="000000"/>
            </w:tcBorders>
          </w:tcPr>
          <w:p w14:paraId="69A1AFC3" w14:textId="77777777" w:rsidR="00AC6F3C" w:rsidRDefault="00570E88">
            <w:pPr>
              <w:pStyle w:val="TableParagraph"/>
              <w:spacing w:before="23" w:line="172" w:lineRule="exact"/>
              <w:ind w:right="142"/>
              <w:jc w:val="right"/>
              <w:rPr>
                <w:sz w:val="16"/>
              </w:rPr>
            </w:pPr>
            <w:r>
              <w:rPr>
                <w:spacing w:val="-2"/>
                <w:sz w:val="16"/>
              </w:rPr>
              <w:t>8,551</w:t>
            </w:r>
          </w:p>
        </w:tc>
        <w:tc>
          <w:tcPr>
            <w:tcW w:w="936" w:type="dxa"/>
            <w:tcBorders>
              <w:bottom w:val="single" w:sz="6" w:space="0" w:color="000000"/>
            </w:tcBorders>
          </w:tcPr>
          <w:p w14:paraId="7AE0B735" w14:textId="77777777" w:rsidR="00AC6F3C" w:rsidRDefault="00570E88">
            <w:pPr>
              <w:pStyle w:val="TableParagraph"/>
              <w:spacing w:before="23" w:line="172" w:lineRule="exact"/>
              <w:ind w:right="52"/>
              <w:jc w:val="right"/>
              <w:rPr>
                <w:sz w:val="16"/>
              </w:rPr>
            </w:pPr>
            <w:r>
              <w:rPr>
                <w:spacing w:val="-5"/>
                <w:sz w:val="16"/>
              </w:rPr>
              <w:t>153</w:t>
            </w:r>
          </w:p>
        </w:tc>
        <w:tc>
          <w:tcPr>
            <w:tcW w:w="988" w:type="dxa"/>
            <w:tcBorders>
              <w:bottom w:val="single" w:sz="6" w:space="0" w:color="000000"/>
            </w:tcBorders>
          </w:tcPr>
          <w:p w14:paraId="19E177A0" w14:textId="77777777" w:rsidR="00AC6F3C" w:rsidRDefault="00570E88">
            <w:pPr>
              <w:pStyle w:val="TableParagraph"/>
              <w:spacing w:before="23" w:line="172" w:lineRule="exact"/>
              <w:ind w:right="15"/>
              <w:jc w:val="right"/>
              <w:rPr>
                <w:sz w:val="16"/>
              </w:rPr>
            </w:pPr>
            <w:r>
              <w:rPr>
                <w:spacing w:val="-2"/>
                <w:sz w:val="16"/>
              </w:rPr>
              <w:t>3,454</w:t>
            </w:r>
          </w:p>
        </w:tc>
        <w:tc>
          <w:tcPr>
            <w:tcW w:w="1031" w:type="dxa"/>
            <w:tcBorders>
              <w:bottom w:val="single" w:sz="6" w:space="0" w:color="000000"/>
              <w:right w:val="single" w:sz="6" w:space="0" w:color="000000"/>
            </w:tcBorders>
            <w:shd w:val="clear" w:color="auto" w:fill="F1F1F1"/>
          </w:tcPr>
          <w:p w14:paraId="79B6E2E7" w14:textId="77777777" w:rsidR="00AC6F3C" w:rsidRDefault="00570E88">
            <w:pPr>
              <w:pStyle w:val="TableParagraph"/>
              <w:spacing w:before="23" w:line="172" w:lineRule="exact"/>
              <w:ind w:right="13"/>
              <w:jc w:val="right"/>
              <w:rPr>
                <w:sz w:val="16"/>
              </w:rPr>
            </w:pPr>
            <w:r>
              <w:rPr>
                <w:spacing w:val="-2"/>
                <w:sz w:val="16"/>
              </w:rPr>
              <w:t>12,158</w:t>
            </w:r>
          </w:p>
        </w:tc>
      </w:tr>
      <w:tr w:rsidR="00AC6F3C" w14:paraId="54DA87DB" w14:textId="77777777">
        <w:trPr>
          <w:trHeight w:val="203"/>
        </w:trPr>
        <w:tc>
          <w:tcPr>
            <w:tcW w:w="3281" w:type="dxa"/>
            <w:tcBorders>
              <w:top w:val="single" w:sz="6" w:space="0" w:color="000000"/>
              <w:left w:val="single" w:sz="6" w:space="0" w:color="000000"/>
              <w:bottom w:val="single" w:sz="6" w:space="0" w:color="000000"/>
            </w:tcBorders>
          </w:tcPr>
          <w:p w14:paraId="4029703F" w14:textId="77777777" w:rsidR="00AC6F3C" w:rsidRDefault="00570E88">
            <w:pPr>
              <w:pStyle w:val="TableParagraph"/>
              <w:spacing w:before="11" w:line="172" w:lineRule="exact"/>
              <w:ind w:left="34"/>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10C40704" w14:textId="77777777" w:rsidR="00AC6F3C" w:rsidRDefault="00570E88">
            <w:pPr>
              <w:pStyle w:val="TableParagraph"/>
              <w:spacing w:before="11" w:line="172" w:lineRule="exact"/>
              <w:ind w:right="92"/>
              <w:jc w:val="right"/>
              <w:rPr>
                <w:b/>
                <w:sz w:val="16"/>
              </w:rPr>
            </w:pPr>
            <w:r>
              <w:rPr>
                <w:b/>
                <w:spacing w:val="-2"/>
                <w:sz w:val="16"/>
              </w:rPr>
              <w:t>27,740</w:t>
            </w:r>
          </w:p>
        </w:tc>
        <w:tc>
          <w:tcPr>
            <w:tcW w:w="1075" w:type="dxa"/>
            <w:tcBorders>
              <w:top w:val="single" w:sz="6" w:space="0" w:color="000000"/>
              <w:bottom w:val="single" w:sz="6" w:space="0" w:color="000000"/>
            </w:tcBorders>
          </w:tcPr>
          <w:p w14:paraId="4B4DEE08" w14:textId="77777777" w:rsidR="00AC6F3C" w:rsidRDefault="00570E88">
            <w:pPr>
              <w:pStyle w:val="TableParagraph"/>
              <w:spacing w:before="11" w:line="172" w:lineRule="exact"/>
              <w:ind w:right="142"/>
              <w:jc w:val="right"/>
              <w:rPr>
                <w:b/>
                <w:sz w:val="16"/>
              </w:rPr>
            </w:pPr>
            <w:r>
              <w:rPr>
                <w:b/>
                <w:spacing w:val="-2"/>
                <w:sz w:val="16"/>
              </w:rPr>
              <w:t>8,551</w:t>
            </w:r>
          </w:p>
        </w:tc>
        <w:tc>
          <w:tcPr>
            <w:tcW w:w="936" w:type="dxa"/>
            <w:tcBorders>
              <w:top w:val="single" w:sz="6" w:space="0" w:color="000000"/>
              <w:bottom w:val="single" w:sz="6" w:space="0" w:color="000000"/>
            </w:tcBorders>
          </w:tcPr>
          <w:p w14:paraId="07B190FC" w14:textId="77777777" w:rsidR="00AC6F3C" w:rsidRDefault="00570E88">
            <w:pPr>
              <w:pStyle w:val="TableParagraph"/>
              <w:spacing w:before="11" w:line="172" w:lineRule="exact"/>
              <w:ind w:right="52"/>
              <w:jc w:val="right"/>
              <w:rPr>
                <w:b/>
                <w:sz w:val="16"/>
              </w:rPr>
            </w:pPr>
            <w:r>
              <w:rPr>
                <w:b/>
                <w:spacing w:val="-5"/>
                <w:sz w:val="16"/>
              </w:rPr>
              <w:t>153</w:t>
            </w:r>
          </w:p>
        </w:tc>
        <w:tc>
          <w:tcPr>
            <w:tcW w:w="988" w:type="dxa"/>
            <w:tcBorders>
              <w:top w:val="single" w:sz="6" w:space="0" w:color="000000"/>
              <w:bottom w:val="single" w:sz="6" w:space="0" w:color="000000"/>
            </w:tcBorders>
          </w:tcPr>
          <w:p w14:paraId="4213D27D" w14:textId="77777777" w:rsidR="00AC6F3C" w:rsidRDefault="00570E88">
            <w:pPr>
              <w:pStyle w:val="TableParagraph"/>
              <w:spacing w:before="11" w:line="172" w:lineRule="exact"/>
              <w:ind w:right="15"/>
              <w:jc w:val="right"/>
              <w:rPr>
                <w:b/>
                <w:sz w:val="16"/>
              </w:rPr>
            </w:pPr>
            <w:r>
              <w:rPr>
                <w:b/>
                <w:spacing w:val="-2"/>
                <w:sz w:val="16"/>
              </w:rPr>
              <w:t>3,454</w:t>
            </w:r>
          </w:p>
        </w:tc>
        <w:tc>
          <w:tcPr>
            <w:tcW w:w="1031" w:type="dxa"/>
            <w:tcBorders>
              <w:top w:val="single" w:sz="6" w:space="0" w:color="000000"/>
              <w:bottom w:val="single" w:sz="6" w:space="0" w:color="000000"/>
              <w:right w:val="single" w:sz="6" w:space="0" w:color="000000"/>
            </w:tcBorders>
            <w:shd w:val="clear" w:color="auto" w:fill="F1F1F1"/>
          </w:tcPr>
          <w:p w14:paraId="0D7ECF11" w14:textId="77777777" w:rsidR="00AC6F3C" w:rsidRDefault="00570E88">
            <w:pPr>
              <w:pStyle w:val="TableParagraph"/>
              <w:spacing w:before="11" w:line="172" w:lineRule="exact"/>
              <w:ind w:right="13"/>
              <w:jc w:val="right"/>
              <w:rPr>
                <w:b/>
                <w:sz w:val="16"/>
              </w:rPr>
            </w:pPr>
            <w:r>
              <w:rPr>
                <w:b/>
                <w:spacing w:val="-2"/>
                <w:sz w:val="16"/>
              </w:rPr>
              <w:t>39,898</w:t>
            </w:r>
          </w:p>
        </w:tc>
      </w:tr>
      <w:tr w:rsidR="00AC6F3C" w14:paraId="4963574A" w14:textId="77777777">
        <w:trPr>
          <w:trHeight w:val="203"/>
        </w:trPr>
        <w:tc>
          <w:tcPr>
            <w:tcW w:w="3281" w:type="dxa"/>
            <w:tcBorders>
              <w:top w:val="single" w:sz="6" w:space="0" w:color="000000"/>
              <w:left w:val="single" w:sz="6" w:space="0" w:color="000000"/>
              <w:bottom w:val="single" w:sz="6" w:space="0" w:color="000000"/>
            </w:tcBorders>
          </w:tcPr>
          <w:p w14:paraId="5E9ABDBD" w14:textId="77777777" w:rsidR="00AC6F3C" w:rsidRDefault="00570E88">
            <w:pPr>
              <w:pStyle w:val="TableParagraph"/>
              <w:spacing w:before="11" w:line="172" w:lineRule="exact"/>
              <w:ind w:left="34"/>
              <w:rPr>
                <w:sz w:val="16"/>
              </w:rPr>
            </w:pPr>
            <w:r>
              <w:rPr>
                <w:spacing w:val="-2"/>
                <w:sz w:val="16"/>
              </w:rPr>
              <w:t>Depreciation</w:t>
            </w:r>
          </w:p>
        </w:tc>
        <w:tc>
          <w:tcPr>
            <w:tcW w:w="1162" w:type="dxa"/>
            <w:tcBorders>
              <w:top w:val="single" w:sz="6" w:space="0" w:color="000000"/>
              <w:bottom w:val="single" w:sz="6" w:space="0" w:color="000000"/>
            </w:tcBorders>
          </w:tcPr>
          <w:p w14:paraId="716DEC0D" w14:textId="77777777" w:rsidR="00AC6F3C" w:rsidRDefault="00570E88">
            <w:pPr>
              <w:pStyle w:val="TableParagraph"/>
              <w:spacing w:before="11" w:line="172" w:lineRule="exact"/>
              <w:ind w:right="88"/>
              <w:jc w:val="right"/>
              <w:rPr>
                <w:sz w:val="16"/>
              </w:rPr>
            </w:pPr>
            <w:r>
              <w:rPr>
                <w:spacing w:val="-2"/>
                <w:sz w:val="16"/>
              </w:rPr>
              <w:t>(749)</w:t>
            </w:r>
          </w:p>
        </w:tc>
        <w:tc>
          <w:tcPr>
            <w:tcW w:w="1075" w:type="dxa"/>
            <w:tcBorders>
              <w:top w:val="single" w:sz="6" w:space="0" w:color="000000"/>
              <w:bottom w:val="single" w:sz="6" w:space="0" w:color="000000"/>
            </w:tcBorders>
          </w:tcPr>
          <w:p w14:paraId="21059A3F" w14:textId="77777777" w:rsidR="00AC6F3C" w:rsidRDefault="00570E88">
            <w:pPr>
              <w:pStyle w:val="TableParagraph"/>
              <w:spacing w:before="11" w:line="172" w:lineRule="exact"/>
              <w:ind w:right="137"/>
              <w:jc w:val="right"/>
              <w:rPr>
                <w:sz w:val="16"/>
              </w:rPr>
            </w:pPr>
            <w:r>
              <w:rPr>
                <w:spacing w:val="-2"/>
                <w:sz w:val="16"/>
              </w:rPr>
              <w:t>(5,599)</w:t>
            </w:r>
          </w:p>
        </w:tc>
        <w:tc>
          <w:tcPr>
            <w:tcW w:w="936" w:type="dxa"/>
            <w:tcBorders>
              <w:top w:val="single" w:sz="6" w:space="0" w:color="000000"/>
              <w:bottom w:val="single" w:sz="6" w:space="0" w:color="000000"/>
            </w:tcBorders>
          </w:tcPr>
          <w:p w14:paraId="6EFB2F89" w14:textId="77777777" w:rsidR="00AC6F3C" w:rsidRDefault="00570E88">
            <w:pPr>
              <w:pStyle w:val="TableParagraph"/>
              <w:spacing w:before="11" w:line="172" w:lineRule="exact"/>
              <w:ind w:right="52"/>
              <w:jc w:val="right"/>
              <w:rPr>
                <w:sz w:val="16"/>
              </w:rPr>
            </w:pPr>
            <w:r>
              <w:rPr>
                <w:w w:val="102"/>
                <w:sz w:val="16"/>
              </w:rPr>
              <w:t>-</w:t>
            </w:r>
          </w:p>
        </w:tc>
        <w:tc>
          <w:tcPr>
            <w:tcW w:w="988" w:type="dxa"/>
            <w:tcBorders>
              <w:top w:val="single" w:sz="6" w:space="0" w:color="000000"/>
              <w:bottom w:val="single" w:sz="6" w:space="0" w:color="000000"/>
            </w:tcBorders>
          </w:tcPr>
          <w:p w14:paraId="355B9401" w14:textId="77777777" w:rsidR="00AC6F3C" w:rsidRDefault="00570E88">
            <w:pPr>
              <w:pStyle w:val="TableParagraph"/>
              <w:spacing w:before="11" w:line="172" w:lineRule="exact"/>
              <w:ind w:right="10"/>
              <w:jc w:val="right"/>
              <w:rPr>
                <w:sz w:val="16"/>
              </w:rPr>
            </w:pPr>
            <w:r>
              <w:rPr>
                <w:spacing w:val="-2"/>
                <w:sz w:val="16"/>
              </w:rPr>
              <w:t>(1,944)</w:t>
            </w:r>
          </w:p>
        </w:tc>
        <w:tc>
          <w:tcPr>
            <w:tcW w:w="1031" w:type="dxa"/>
            <w:tcBorders>
              <w:top w:val="single" w:sz="6" w:space="0" w:color="000000"/>
              <w:bottom w:val="single" w:sz="6" w:space="0" w:color="000000"/>
              <w:right w:val="single" w:sz="6" w:space="0" w:color="000000"/>
            </w:tcBorders>
            <w:shd w:val="clear" w:color="auto" w:fill="F1F1F1"/>
          </w:tcPr>
          <w:p w14:paraId="1549C04F" w14:textId="77777777" w:rsidR="00AC6F3C" w:rsidRDefault="00570E88">
            <w:pPr>
              <w:pStyle w:val="TableParagraph"/>
              <w:spacing w:before="11" w:line="172" w:lineRule="exact"/>
              <w:ind w:right="8"/>
              <w:jc w:val="right"/>
              <w:rPr>
                <w:sz w:val="16"/>
              </w:rPr>
            </w:pPr>
            <w:r>
              <w:rPr>
                <w:spacing w:val="-2"/>
                <w:sz w:val="16"/>
              </w:rPr>
              <w:t>(8,292)</w:t>
            </w:r>
          </w:p>
        </w:tc>
      </w:tr>
      <w:tr w:rsidR="00AC6F3C" w14:paraId="49CB2E1A" w14:textId="77777777">
        <w:trPr>
          <w:trHeight w:val="203"/>
        </w:trPr>
        <w:tc>
          <w:tcPr>
            <w:tcW w:w="4443" w:type="dxa"/>
            <w:gridSpan w:val="2"/>
            <w:tcBorders>
              <w:top w:val="single" w:sz="6" w:space="0" w:color="000000"/>
              <w:left w:val="single" w:sz="6" w:space="0" w:color="000000"/>
              <w:bottom w:val="single" w:sz="6" w:space="0" w:color="000000"/>
            </w:tcBorders>
            <w:shd w:val="clear" w:color="auto" w:fill="BEBEBE"/>
          </w:tcPr>
          <w:p w14:paraId="03187B64" w14:textId="77777777" w:rsidR="00AC6F3C" w:rsidRDefault="00570E88">
            <w:pPr>
              <w:pStyle w:val="TableParagraph"/>
              <w:spacing w:before="11" w:line="172" w:lineRule="exact"/>
              <w:ind w:right="92"/>
              <w:jc w:val="right"/>
              <w:rPr>
                <w:b/>
                <w:sz w:val="16"/>
              </w:rPr>
            </w:pPr>
            <w:r>
              <w:rPr>
                <w:b/>
                <w:spacing w:val="-2"/>
                <w:sz w:val="16"/>
              </w:rPr>
              <w:t>26,991</w:t>
            </w:r>
          </w:p>
        </w:tc>
        <w:tc>
          <w:tcPr>
            <w:tcW w:w="1075" w:type="dxa"/>
            <w:tcBorders>
              <w:top w:val="single" w:sz="6" w:space="0" w:color="000000"/>
              <w:bottom w:val="single" w:sz="6" w:space="0" w:color="000000"/>
            </w:tcBorders>
            <w:shd w:val="clear" w:color="auto" w:fill="BEBEBE"/>
          </w:tcPr>
          <w:p w14:paraId="5D426612" w14:textId="77777777" w:rsidR="00AC6F3C" w:rsidRDefault="00570E88">
            <w:pPr>
              <w:pStyle w:val="TableParagraph"/>
              <w:spacing w:before="11" w:line="172" w:lineRule="exact"/>
              <w:ind w:right="142"/>
              <w:jc w:val="right"/>
              <w:rPr>
                <w:b/>
                <w:sz w:val="16"/>
              </w:rPr>
            </w:pPr>
            <w:r>
              <w:rPr>
                <w:b/>
                <w:spacing w:val="-2"/>
                <w:sz w:val="16"/>
              </w:rPr>
              <w:t>2,952</w:t>
            </w:r>
          </w:p>
        </w:tc>
        <w:tc>
          <w:tcPr>
            <w:tcW w:w="936" w:type="dxa"/>
            <w:tcBorders>
              <w:top w:val="single" w:sz="6" w:space="0" w:color="000000"/>
              <w:bottom w:val="single" w:sz="6" w:space="0" w:color="000000"/>
            </w:tcBorders>
            <w:shd w:val="clear" w:color="auto" w:fill="BEBEBE"/>
          </w:tcPr>
          <w:p w14:paraId="5752A9F7" w14:textId="77777777" w:rsidR="00AC6F3C" w:rsidRDefault="00570E88">
            <w:pPr>
              <w:pStyle w:val="TableParagraph"/>
              <w:spacing w:before="11" w:line="172" w:lineRule="exact"/>
              <w:ind w:right="52"/>
              <w:jc w:val="right"/>
              <w:rPr>
                <w:b/>
                <w:sz w:val="16"/>
              </w:rPr>
            </w:pPr>
            <w:r>
              <w:rPr>
                <w:b/>
                <w:spacing w:val="-5"/>
                <w:sz w:val="16"/>
              </w:rPr>
              <w:t>153</w:t>
            </w:r>
          </w:p>
        </w:tc>
        <w:tc>
          <w:tcPr>
            <w:tcW w:w="988" w:type="dxa"/>
            <w:tcBorders>
              <w:top w:val="single" w:sz="6" w:space="0" w:color="000000"/>
              <w:bottom w:val="single" w:sz="6" w:space="0" w:color="000000"/>
            </w:tcBorders>
            <w:shd w:val="clear" w:color="auto" w:fill="BEBEBE"/>
          </w:tcPr>
          <w:p w14:paraId="194F4904" w14:textId="77777777" w:rsidR="00AC6F3C" w:rsidRDefault="00570E88">
            <w:pPr>
              <w:pStyle w:val="TableParagraph"/>
              <w:spacing w:before="11" w:line="172" w:lineRule="exact"/>
              <w:ind w:right="15"/>
              <w:jc w:val="right"/>
              <w:rPr>
                <w:b/>
                <w:sz w:val="16"/>
              </w:rPr>
            </w:pPr>
            <w:r>
              <w:rPr>
                <w:b/>
                <w:spacing w:val="-2"/>
                <w:sz w:val="16"/>
              </w:rPr>
              <w:t>1,511</w:t>
            </w:r>
          </w:p>
        </w:tc>
        <w:tc>
          <w:tcPr>
            <w:tcW w:w="1031" w:type="dxa"/>
            <w:tcBorders>
              <w:top w:val="single" w:sz="6" w:space="0" w:color="000000"/>
              <w:bottom w:val="single" w:sz="6" w:space="0" w:color="000000"/>
              <w:right w:val="single" w:sz="6" w:space="0" w:color="000000"/>
            </w:tcBorders>
            <w:shd w:val="clear" w:color="auto" w:fill="BEBEBE"/>
          </w:tcPr>
          <w:p w14:paraId="11B0E198" w14:textId="77777777" w:rsidR="00AC6F3C" w:rsidRDefault="00570E88">
            <w:pPr>
              <w:pStyle w:val="TableParagraph"/>
              <w:spacing w:before="11" w:line="172" w:lineRule="exact"/>
              <w:ind w:right="13"/>
              <w:jc w:val="right"/>
              <w:rPr>
                <w:b/>
                <w:sz w:val="16"/>
              </w:rPr>
            </w:pPr>
            <w:r>
              <w:rPr>
                <w:b/>
                <w:spacing w:val="-2"/>
                <w:sz w:val="16"/>
              </w:rPr>
              <w:t>31,606</w:t>
            </w:r>
          </w:p>
        </w:tc>
      </w:tr>
    </w:tbl>
    <w:p w14:paraId="12B489E5" w14:textId="77777777" w:rsidR="00AC6F3C" w:rsidRDefault="00AC6F3C">
      <w:pPr>
        <w:spacing w:line="172" w:lineRule="exact"/>
        <w:jc w:val="right"/>
        <w:rPr>
          <w:sz w:val="16"/>
        </w:rPr>
        <w:sectPr w:rsidR="00AC6F3C">
          <w:pgSz w:w="11910" w:h="16840"/>
          <w:pgMar w:top="2020" w:right="1160" w:bottom="520" w:left="460" w:header="1228" w:footer="336" w:gutter="0"/>
          <w:cols w:space="720"/>
        </w:sectPr>
      </w:pPr>
    </w:p>
    <w:p w14:paraId="331ABFA1" w14:textId="77777777" w:rsidR="00AC6F3C" w:rsidRDefault="00AC6F3C">
      <w:pPr>
        <w:pStyle w:val="BodyText"/>
        <w:rPr>
          <w:b/>
        </w:rPr>
      </w:pPr>
    </w:p>
    <w:p w14:paraId="24364820" w14:textId="77777777" w:rsidR="00AC6F3C" w:rsidRDefault="00570E88">
      <w:pPr>
        <w:tabs>
          <w:tab w:val="left" w:pos="1666"/>
        </w:tabs>
        <w:spacing w:before="249"/>
        <w:ind w:left="958"/>
        <w:rPr>
          <w:b/>
          <w:sz w:val="28"/>
        </w:rPr>
      </w:pPr>
      <w:r>
        <w:rPr>
          <w:b/>
          <w:spacing w:val="-5"/>
          <w:sz w:val="28"/>
        </w:rPr>
        <w:t>C5</w:t>
      </w:r>
      <w:r>
        <w:rPr>
          <w:b/>
          <w:sz w:val="28"/>
        </w:rPr>
        <w:tab/>
        <w:t>PROPERTY,</w:t>
      </w:r>
      <w:r>
        <w:rPr>
          <w:b/>
          <w:spacing w:val="-22"/>
          <w:sz w:val="28"/>
        </w:rPr>
        <w:t xml:space="preserve"> </w:t>
      </w:r>
      <w:r>
        <w:rPr>
          <w:b/>
          <w:sz w:val="28"/>
        </w:rPr>
        <w:t>PLANT</w:t>
      </w:r>
      <w:r>
        <w:rPr>
          <w:b/>
          <w:spacing w:val="-19"/>
          <w:sz w:val="28"/>
        </w:rPr>
        <w:t xml:space="preserve"> </w:t>
      </w:r>
      <w:r>
        <w:rPr>
          <w:b/>
          <w:sz w:val="28"/>
        </w:rPr>
        <w:t>AND</w:t>
      </w:r>
      <w:r>
        <w:rPr>
          <w:b/>
          <w:spacing w:val="-17"/>
          <w:sz w:val="28"/>
        </w:rPr>
        <w:t xml:space="preserve"> </w:t>
      </w:r>
      <w:r>
        <w:rPr>
          <w:b/>
          <w:sz w:val="28"/>
        </w:rPr>
        <w:t>EQUIPMENT</w:t>
      </w:r>
      <w:r>
        <w:rPr>
          <w:b/>
          <w:spacing w:val="-16"/>
          <w:sz w:val="28"/>
        </w:rPr>
        <w:t xml:space="preserve"> </w:t>
      </w:r>
      <w:r>
        <w:rPr>
          <w:b/>
          <w:spacing w:val="-2"/>
          <w:sz w:val="28"/>
        </w:rPr>
        <w:t>(continued)</w:t>
      </w:r>
    </w:p>
    <w:p w14:paraId="5179B5C9" w14:textId="77777777" w:rsidR="00AC6F3C" w:rsidRDefault="00570E88">
      <w:pPr>
        <w:pStyle w:val="Heading6"/>
        <w:tabs>
          <w:tab w:val="left" w:pos="1810"/>
        </w:tabs>
      </w:pPr>
      <w:r>
        <w:rPr>
          <w:spacing w:val="-2"/>
        </w:rPr>
        <w:t>C5-</w:t>
      </w:r>
      <w:r>
        <w:rPr>
          <w:spacing w:val="-10"/>
        </w:rPr>
        <w:t>2</w:t>
      </w:r>
      <w:r>
        <w:tab/>
        <w:t>PARENT</w:t>
      </w:r>
      <w:r>
        <w:rPr>
          <w:spacing w:val="-1"/>
        </w:rPr>
        <w:t xml:space="preserve"> </w:t>
      </w:r>
      <w:r>
        <w:rPr>
          <w:spacing w:val="-2"/>
        </w:rPr>
        <w:t>ENTITY</w:t>
      </w:r>
    </w:p>
    <w:p w14:paraId="453FC8C5"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281"/>
        <w:gridCol w:w="1162"/>
        <w:gridCol w:w="1075"/>
        <w:gridCol w:w="937"/>
        <w:gridCol w:w="989"/>
        <w:gridCol w:w="1032"/>
      </w:tblGrid>
      <w:tr w:rsidR="00AC6F3C" w14:paraId="1F27A6F3" w14:textId="77777777">
        <w:trPr>
          <w:trHeight w:val="640"/>
        </w:trPr>
        <w:tc>
          <w:tcPr>
            <w:tcW w:w="4443" w:type="dxa"/>
            <w:gridSpan w:val="2"/>
            <w:tcBorders>
              <w:top w:val="single" w:sz="6" w:space="0" w:color="000000"/>
              <w:left w:val="single" w:sz="6" w:space="0" w:color="000000"/>
              <w:bottom w:val="single" w:sz="6" w:space="0" w:color="000000"/>
            </w:tcBorders>
            <w:shd w:val="clear" w:color="auto" w:fill="BEBEBE"/>
          </w:tcPr>
          <w:p w14:paraId="3B0604DC" w14:textId="77777777" w:rsidR="00AC6F3C" w:rsidRDefault="00570E88">
            <w:pPr>
              <w:pStyle w:val="TableParagraph"/>
              <w:spacing w:before="122"/>
              <w:ind w:right="102"/>
              <w:jc w:val="right"/>
              <w:rPr>
                <w:b/>
                <w:sz w:val="16"/>
              </w:rPr>
            </w:pPr>
            <w:r>
              <w:rPr>
                <w:b/>
                <w:spacing w:val="-2"/>
                <w:sz w:val="16"/>
              </w:rPr>
              <w:t>Buildings</w:t>
            </w:r>
          </w:p>
          <w:p w14:paraId="70F536D9" w14:textId="77777777" w:rsidR="00AC6F3C" w:rsidRDefault="00570E88">
            <w:pPr>
              <w:pStyle w:val="TableParagraph"/>
              <w:spacing w:before="144" w:line="170" w:lineRule="exact"/>
              <w:ind w:right="93"/>
              <w:jc w:val="right"/>
              <w:rPr>
                <w:b/>
                <w:sz w:val="16"/>
              </w:rPr>
            </w:pPr>
            <w:r>
              <w:rPr>
                <w:b/>
                <w:spacing w:val="-2"/>
                <w:sz w:val="16"/>
              </w:rPr>
              <w:t>$’000</w:t>
            </w:r>
          </w:p>
        </w:tc>
        <w:tc>
          <w:tcPr>
            <w:tcW w:w="1075" w:type="dxa"/>
            <w:tcBorders>
              <w:top w:val="single" w:sz="6" w:space="0" w:color="000000"/>
              <w:bottom w:val="single" w:sz="6" w:space="0" w:color="000000"/>
            </w:tcBorders>
            <w:shd w:val="clear" w:color="auto" w:fill="BEBEBE"/>
          </w:tcPr>
          <w:p w14:paraId="0A461540" w14:textId="77777777" w:rsidR="00AC6F3C" w:rsidRDefault="00570E88">
            <w:pPr>
              <w:pStyle w:val="TableParagraph"/>
              <w:spacing w:before="13" w:line="285" w:lineRule="auto"/>
              <w:ind w:left="110" w:right="142" w:firstLine="95"/>
              <w:jc w:val="right"/>
              <w:rPr>
                <w:b/>
                <w:sz w:val="16"/>
              </w:rPr>
            </w:pPr>
            <w:r>
              <w:rPr>
                <w:b/>
                <w:sz w:val="16"/>
              </w:rPr>
              <w:t>Plant</w:t>
            </w:r>
            <w:r>
              <w:rPr>
                <w:b/>
                <w:spacing w:val="-12"/>
                <w:sz w:val="16"/>
              </w:rPr>
              <w:t xml:space="preserve"> </w:t>
            </w:r>
            <w:r>
              <w:rPr>
                <w:b/>
                <w:sz w:val="16"/>
              </w:rPr>
              <w:t xml:space="preserve">and </w:t>
            </w:r>
            <w:r>
              <w:rPr>
                <w:b/>
                <w:spacing w:val="-2"/>
                <w:sz w:val="16"/>
              </w:rPr>
              <w:t>Equipment</w:t>
            </w:r>
          </w:p>
          <w:p w14:paraId="3DA9F9D0" w14:textId="77777777" w:rsidR="00AC6F3C" w:rsidRDefault="00570E88">
            <w:pPr>
              <w:pStyle w:val="TableParagraph"/>
              <w:spacing w:line="170" w:lineRule="exact"/>
              <w:ind w:right="142"/>
              <w:jc w:val="right"/>
              <w:rPr>
                <w:b/>
                <w:sz w:val="16"/>
              </w:rPr>
            </w:pPr>
            <w:r>
              <w:rPr>
                <w:b/>
                <w:spacing w:val="-2"/>
                <w:sz w:val="16"/>
              </w:rPr>
              <w:t>$’000</w:t>
            </w:r>
          </w:p>
        </w:tc>
        <w:tc>
          <w:tcPr>
            <w:tcW w:w="937" w:type="dxa"/>
            <w:tcBorders>
              <w:top w:val="single" w:sz="6" w:space="0" w:color="000000"/>
              <w:bottom w:val="single" w:sz="6" w:space="0" w:color="000000"/>
            </w:tcBorders>
            <w:shd w:val="clear" w:color="auto" w:fill="BEBEBE"/>
          </w:tcPr>
          <w:p w14:paraId="3CE177EE" w14:textId="77777777" w:rsidR="00AC6F3C" w:rsidRDefault="00570E88">
            <w:pPr>
              <w:pStyle w:val="TableParagraph"/>
              <w:spacing w:before="13" w:line="285" w:lineRule="auto"/>
              <w:ind w:left="156" w:right="54" w:firstLine="123"/>
              <w:jc w:val="right"/>
              <w:rPr>
                <w:b/>
                <w:sz w:val="16"/>
              </w:rPr>
            </w:pPr>
            <w:r>
              <w:rPr>
                <w:b/>
                <w:sz w:val="16"/>
              </w:rPr>
              <w:t>Work</w:t>
            </w:r>
            <w:r>
              <w:rPr>
                <w:b/>
                <w:spacing w:val="-12"/>
                <w:sz w:val="16"/>
              </w:rPr>
              <w:t xml:space="preserve"> </w:t>
            </w:r>
            <w:r>
              <w:rPr>
                <w:b/>
                <w:sz w:val="16"/>
              </w:rPr>
              <w:t xml:space="preserve">In </w:t>
            </w:r>
            <w:r>
              <w:rPr>
                <w:b/>
                <w:spacing w:val="-2"/>
                <w:sz w:val="16"/>
              </w:rPr>
              <w:t>Progress</w:t>
            </w:r>
          </w:p>
          <w:p w14:paraId="30C2B75C" w14:textId="77777777" w:rsidR="00AC6F3C" w:rsidRDefault="00570E88">
            <w:pPr>
              <w:pStyle w:val="TableParagraph"/>
              <w:spacing w:line="170" w:lineRule="exact"/>
              <w:ind w:right="54"/>
              <w:jc w:val="right"/>
              <w:rPr>
                <w:b/>
                <w:sz w:val="16"/>
              </w:rPr>
            </w:pPr>
            <w:r>
              <w:rPr>
                <w:b/>
                <w:spacing w:val="-2"/>
                <w:sz w:val="16"/>
              </w:rPr>
              <w:t>$’000</w:t>
            </w:r>
          </w:p>
        </w:tc>
        <w:tc>
          <w:tcPr>
            <w:tcW w:w="989" w:type="dxa"/>
            <w:tcBorders>
              <w:top w:val="single" w:sz="6" w:space="0" w:color="000000"/>
              <w:bottom w:val="single" w:sz="6" w:space="0" w:color="000000"/>
            </w:tcBorders>
            <w:shd w:val="clear" w:color="auto" w:fill="BEBEBE"/>
          </w:tcPr>
          <w:p w14:paraId="39010C5B" w14:textId="77777777" w:rsidR="00AC6F3C" w:rsidRDefault="00570E88">
            <w:pPr>
              <w:pStyle w:val="TableParagraph"/>
              <w:spacing w:before="13" w:line="285" w:lineRule="auto"/>
              <w:ind w:left="258" w:right="18" w:hanging="192"/>
              <w:jc w:val="right"/>
              <w:rPr>
                <w:b/>
                <w:sz w:val="16"/>
              </w:rPr>
            </w:pPr>
            <w:r>
              <w:rPr>
                <w:b/>
                <w:spacing w:val="-2"/>
                <w:sz w:val="16"/>
              </w:rPr>
              <w:t>Intangibles- Software</w:t>
            </w:r>
          </w:p>
          <w:p w14:paraId="7843C0EB" w14:textId="77777777" w:rsidR="00AC6F3C" w:rsidRDefault="00570E88">
            <w:pPr>
              <w:pStyle w:val="TableParagraph"/>
              <w:spacing w:line="170" w:lineRule="exact"/>
              <w:ind w:right="17"/>
              <w:jc w:val="right"/>
              <w:rPr>
                <w:b/>
                <w:sz w:val="16"/>
              </w:rPr>
            </w:pPr>
            <w:r>
              <w:rPr>
                <w:b/>
                <w:spacing w:val="-2"/>
                <w:sz w:val="16"/>
              </w:rPr>
              <w:t>$’000</w:t>
            </w:r>
          </w:p>
        </w:tc>
        <w:tc>
          <w:tcPr>
            <w:tcW w:w="1032" w:type="dxa"/>
            <w:tcBorders>
              <w:top w:val="single" w:sz="6" w:space="0" w:color="000000"/>
              <w:bottom w:val="single" w:sz="6" w:space="0" w:color="000000"/>
              <w:right w:val="single" w:sz="6" w:space="0" w:color="000000"/>
            </w:tcBorders>
            <w:shd w:val="clear" w:color="auto" w:fill="BEBEBE"/>
          </w:tcPr>
          <w:p w14:paraId="5A4CEA9C" w14:textId="77777777" w:rsidR="00AC6F3C" w:rsidRDefault="00570E88">
            <w:pPr>
              <w:pStyle w:val="TableParagraph"/>
              <w:spacing w:before="122"/>
              <w:ind w:left="622"/>
              <w:rPr>
                <w:b/>
                <w:sz w:val="16"/>
              </w:rPr>
            </w:pPr>
            <w:r>
              <w:rPr>
                <w:b/>
                <w:spacing w:val="-2"/>
                <w:sz w:val="16"/>
              </w:rPr>
              <w:t>Total</w:t>
            </w:r>
          </w:p>
          <w:p w14:paraId="53D14A99" w14:textId="77777777" w:rsidR="00AC6F3C" w:rsidRDefault="00570E88">
            <w:pPr>
              <w:pStyle w:val="TableParagraph"/>
              <w:spacing w:before="144" w:line="170" w:lineRule="exact"/>
              <w:ind w:left="581"/>
              <w:rPr>
                <w:b/>
                <w:sz w:val="16"/>
              </w:rPr>
            </w:pPr>
            <w:r>
              <w:rPr>
                <w:b/>
                <w:spacing w:val="-2"/>
                <w:sz w:val="16"/>
              </w:rPr>
              <w:t>$’000</w:t>
            </w:r>
          </w:p>
        </w:tc>
      </w:tr>
      <w:tr w:rsidR="00AC6F3C" w14:paraId="27C98EB2" w14:textId="77777777">
        <w:trPr>
          <w:trHeight w:val="215"/>
        </w:trPr>
        <w:tc>
          <w:tcPr>
            <w:tcW w:w="4443" w:type="dxa"/>
            <w:gridSpan w:val="2"/>
            <w:tcBorders>
              <w:top w:val="single" w:sz="6" w:space="0" w:color="000000"/>
              <w:left w:val="single" w:sz="6" w:space="0" w:color="000000"/>
            </w:tcBorders>
          </w:tcPr>
          <w:p w14:paraId="4F3C8A2C" w14:textId="77777777" w:rsidR="00AC6F3C" w:rsidRDefault="00570E88">
            <w:pPr>
              <w:pStyle w:val="TableParagraph"/>
              <w:spacing w:before="13" w:line="182" w:lineRule="exact"/>
              <w:ind w:left="33"/>
              <w:rPr>
                <w:b/>
                <w:sz w:val="16"/>
              </w:rPr>
            </w:pPr>
            <w:r>
              <w:rPr>
                <w:b/>
                <w:spacing w:val="-4"/>
                <w:sz w:val="16"/>
              </w:rPr>
              <w:t>2023</w:t>
            </w:r>
          </w:p>
        </w:tc>
        <w:tc>
          <w:tcPr>
            <w:tcW w:w="1075" w:type="dxa"/>
            <w:tcBorders>
              <w:top w:val="single" w:sz="6" w:space="0" w:color="000000"/>
            </w:tcBorders>
          </w:tcPr>
          <w:p w14:paraId="608DA847" w14:textId="77777777" w:rsidR="00AC6F3C" w:rsidRDefault="00AC6F3C">
            <w:pPr>
              <w:pStyle w:val="TableParagraph"/>
              <w:rPr>
                <w:rFonts w:ascii="Times New Roman"/>
                <w:sz w:val="14"/>
              </w:rPr>
            </w:pPr>
          </w:p>
        </w:tc>
        <w:tc>
          <w:tcPr>
            <w:tcW w:w="937" w:type="dxa"/>
            <w:tcBorders>
              <w:top w:val="single" w:sz="6" w:space="0" w:color="000000"/>
            </w:tcBorders>
          </w:tcPr>
          <w:p w14:paraId="357D9405" w14:textId="77777777" w:rsidR="00AC6F3C" w:rsidRDefault="00AC6F3C">
            <w:pPr>
              <w:pStyle w:val="TableParagraph"/>
              <w:rPr>
                <w:rFonts w:ascii="Times New Roman"/>
                <w:sz w:val="14"/>
              </w:rPr>
            </w:pPr>
          </w:p>
        </w:tc>
        <w:tc>
          <w:tcPr>
            <w:tcW w:w="989" w:type="dxa"/>
            <w:tcBorders>
              <w:top w:val="single" w:sz="6" w:space="0" w:color="000000"/>
            </w:tcBorders>
          </w:tcPr>
          <w:p w14:paraId="2DA450B2"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13B87E14" w14:textId="77777777" w:rsidR="00AC6F3C" w:rsidRDefault="00AC6F3C">
            <w:pPr>
              <w:pStyle w:val="TableParagraph"/>
              <w:rPr>
                <w:rFonts w:ascii="Times New Roman"/>
                <w:sz w:val="14"/>
              </w:rPr>
            </w:pPr>
          </w:p>
        </w:tc>
      </w:tr>
      <w:tr w:rsidR="00AC6F3C" w14:paraId="48A8C076" w14:textId="77777777">
        <w:trPr>
          <w:trHeight w:val="218"/>
        </w:trPr>
        <w:tc>
          <w:tcPr>
            <w:tcW w:w="4443" w:type="dxa"/>
            <w:gridSpan w:val="2"/>
            <w:tcBorders>
              <w:left w:val="single" w:sz="6" w:space="0" w:color="000000"/>
            </w:tcBorders>
          </w:tcPr>
          <w:p w14:paraId="7A741CCD" w14:textId="77777777" w:rsidR="00AC6F3C" w:rsidRDefault="00570E88">
            <w:pPr>
              <w:pStyle w:val="TableParagraph"/>
              <w:spacing w:before="16" w:line="182" w:lineRule="exact"/>
              <w:ind w:left="33"/>
              <w:rPr>
                <w:b/>
                <w:sz w:val="16"/>
              </w:rPr>
            </w:pPr>
            <w:r>
              <w:rPr>
                <w:b/>
                <w:sz w:val="16"/>
              </w:rPr>
              <w:t>Cost</w:t>
            </w:r>
            <w:r>
              <w:rPr>
                <w:b/>
                <w:spacing w:val="-7"/>
                <w:sz w:val="16"/>
              </w:rPr>
              <w:t xml:space="preserve"> </w:t>
            </w:r>
            <w:r>
              <w:rPr>
                <w:b/>
                <w:sz w:val="16"/>
              </w:rPr>
              <w:t>or</w:t>
            </w:r>
            <w:r>
              <w:rPr>
                <w:b/>
                <w:spacing w:val="-2"/>
                <w:sz w:val="16"/>
              </w:rPr>
              <w:t xml:space="preserve"> valuation</w:t>
            </w:r>
          </w:p>
        </w:tc>
        <w:tc>
          <w:tcPr>
            <w:tcW w:w="1075" w:type="dxa"/>
          </w:tcPr>
          <w:p w14:paraId="5381D204" w14:textId="77777777" w:rsidR="00AC6F3C" w:rsidRDefault="00AC6F3C">
            <w:pPr>
              <w:pStyle w:val="TableParagraph"/>
              <w:rPr>
                <w:rFonts w:ascii="Times New Roman"/>
                <w:sz w:val="14"/>
              </w:rPr>
            </w:pPr>
          </w:p>
        </w:tc>
        <w:tc>
          <w:tcPr>
            <w:tcW w:w="937" w:type="dxa"/>
          </w:tcPr>
          <w:p w14:paraId="3662D2DF" w14:textId="77777777" w:rsidR="00AC6F3C" w:rsidRDefault="00AC6F3C">
            <w:pPr>
              <w:pStyle w:val="TableParagraph"/>
              <w:rPr>
                <w:rFonts w:ascii="Times New Roman"/>
                <w:sz w:val="14"/>
              </w:rPr>
            </w:pPr>
          </w:p>
        </w:tc>
        <w:tc>
          <w:tcPr>
            <w:tcW w:w="989" w:type="dxa"/>
          </w:tcPr>
          <w:p w14:paraId="084092AD" w14:textId="77777777" w:rsidR="00AC6F3C" w:rsidRDefault="00AC6F3C">
            <w:pPr>
              <w:pStyle w:val="TableParagraph"/>
              <w:rPr>
                <w:rFonts w:ascii="Times New Roman"/>
                <w:sz w:val="14"/>
              </w:rPr>
            </w:pPr>
          </w:p>
        </w:tc>
        <w:tc>
          <w:tcPr>
            <w:tcW w:w="1032" w:type="dxa"/>
            <w:tcBorders>
              <w:right w:val="single" w:sz="6" w:space="0" w:color="000000"/>
            </w:tcBorders>
            <w:shd w:val="clear" w:color="auto" w:fill="F1F1F1"/>
          </w:tcPr>
          <w:p w14:paraId="3047AC46" w14:textId="77777777" w:rsidR="00AC6F3C" w:rsidRDefault="00AC6F3C">
            <w:pPr>
              <w:pStyle w:val="TableParagraph"/>
              <w:rPr>
                <w:rFonts w:ascii="Times New Roman"/>
                <w:sz w:val="14"/>
              </w:rPr>
            </w:pPr>
          </w:p>
        </w:tc>
      </w:tr>
      <w:tr w:rsidR="00AC6F3C" w14:paraId="001D415F" w14:textId="77777777">
        <w:trPr>
          <w:trHeight w:val="218"/>
        </w:trPr>
        <w:tc>
          <w:tcPr>
            <w:tcW w:w="3281" w:type="dxa"/>
            <w:tcBorders>
              <w:left w:val="single" w:sz="6" w:space="0" w:color="000000"/>
            </w:tcBorders>
          </w:tcPr>
          <w:p w14:paraId="0CEC5034" w14:textId="77777777" w:rsidR="00AC6F3C" w:rsidRDefault="00570E88">
            <w:pPr>
              <w:pStyle w:val="TableParagraph"/>
              <w:spacing w:before="16" w:line="182" w:lineRule="exact"/>
              <w:ind w:left="33"/>
              <w:rPr>
                <w:sz w:val="16"/>
              </w:rPr>
            </w:pPr>
            <w:r>
              <w:rPr>
                <w:sz w:val="16"/>
              </w:rPr>
              <w:t>At the</w:t>
            </w:r>
            <w:r>
              <w:rPr>
                <w:spacing w:val="11"/>
                <w:sz w:val="16"/>
              </w:rPr>
              <w:t xml:space="preserve"> </w:t>
            </w:r>
            <w:r>
              <w:rPr>
                <w:sz w:val="16"/>
              </w:rPr>
              <w:t>beginning</w:t>
            </w:r>
            <w:r>
              <w:rPr>
                <w:spacing w:val="10"/>
                <w:sz w:val="16"/>
              </w:rPr>
              <w:t xml:space="preserve"> </w:t>
            </w:r>
            <w:r>
              <w:rPr>
                <w:sz w:val="16"/>
              </w:rPr>
              <w:t>of</w:t>
            </w:r>
            <w:r>
              <w:rPr>
                <w:spacing w:val="1"/>
                <w:sz w:val="16"/>
              </w:rPr>
              <w:t xml:space="preserve"> </w:t>
            </w:r>
            <w:r>
              <w:rPr>
                <w:sz w:val="16"/>
              </w:rPr>
              <w:t>the</w:t>
            </w:r>
            <w:r>
              <w:rPr>
                <w:spacing w:val="10"/>
                <w:sz w:val="16"/>
              </w:rPr>
              <w:t xml:space="preserve"> </w:t>
            </w:r>
            <w:r>
              <w:rPr>
                <w:spacing w:val="-4"/>
                <w:sz w:val="16"/>
              </w:rPr>
              <w:t>year</w:t>
            </w:r>
          </w:p>
        </w:tc>
        <w:tc>
          <w:tcPr>
            <w:tcW w:w="1162" w:type="dxa"/>
          </w:tcPr>
          <w:p w14:paraId="60CD8C7E" w14:textId="77777777" w:rsidR="00AC6F3C" w:rsidRDefault="00570E88">
            <w:pPr>
              <w:pStyle w:val="TableParagraph"/>
              <w:spacing w:before="16" w:line="182" w:lineRule="exact"/>
              <w:ind w:right="93"/>
              <w:jc w:val="right"/>
              <w:rPr>
                <w:sz w:val="16"/>
              </w:rPr>
            </w:pPr>
            <w:r>
              <w:rPr>
                <w:spacing w:val="-2"/>
                <w:sz w:val="16"/>
              </w:rPr>
              <w:t>27,740</w:t>
            </w:r>
          </w:p>
        </w:tc>
        <w:tc>
          <w:tcPr>
            <w:tcW w:w="1075" w:type="dxa"/>
          </w:tcPr>
          <w:p w14:paraId="4893A10E" w14:textId="77777777" w:rsidR="00AC6F3C" w:rsidRDefault="00570E88">
            <w:pPr>
              <w:pStyle w:val="TableParagraph"/>
              <w:spacing w:before="16" w:line="182" w:lineRule="exact"/>
              <w:ind w:right="142"/>
              <w:jc w:val="right"/>
              <w:rPr>
                <w:sz w:val="16"/>
              </w:rPr>
            </w:pPr>
            <w:r>
              <w:rPr>
                <w:spacing w:val="-2"/>
                <w:sz w:val="16"/>
              </w:rPr>
              <w:t>7,230</w:t>
            </w:r>
          </w:p>
        </w:tc>
        <w:tc>
          <w:tcPr>
            <w:tcW w:w="937" w:type="dxa"/>
          </w:tcPr>
          <w:p w14:paraId="62966369" w14:textId="77777777" w:rsidR="00AC6F3C" w:rsidRDefault="00570E88">
            <w:pPr>
              <w:pStyle w:val="TableParagraph"/>
              <w:spacing w:before="16" w:line="182" w:lineRule="exact"/>
              <w:ind w:right="54"/>
              <w:jc w:val="right"/>
              <w:rPr>
                <w:sz w:val="16"/>
              </w:rPr>
            </w:pPr>
            <w:r>
              <w:rPr>
                <w:spacing w:val="-5"/>
                <w:sz w:val="16"/>
              </w:rPr>
              <w:t>153</w:t>
            </w:r>
          </w:p>
        </w:tc>
        <w:tc>
          <w:tcPr>
            <w:tcW w:w="989" w:type="dxa"/>
          </w:tcPr>
          <w:p w14:paraId="3E709E5E" w14:textId="77777777" w:rsidR="00AC6F3C" w:rsidRDefault="00570E88">
            <w:pPr>
              <w:pStyle w:val="TableParagraph"/>
              <w:spacing w:before="16" w:line="182" w:lineRule="exact"/>
              <w:ind w:right="17"/>
              <w:jc w:val="right"/>
              <w:rPr>
                <w:sz w:val="16"/>
              </w:rPr>
            </w:pPr>
            <w:r>
              <w:rPr>
                <w:spacing w:val="-2"/>
                <w:sz w:val="16"/>
              </w:rPr>
              <w:t>2,934</w:t>
            </w:r>
          </w:p>
        </w:tc>
        <w:tc>
          <w:tcPr>
            <w:tcW w:w="1032" w:type="dxa"/>
            <w:tcBorders>
              <w:right w:val="single" w:sz="6" w:space="0" w:color="000000"/>
            </w:tcBorders>
            <w:shd w:val="clear" w:color="auto" w:fill="F1F1F1"/>
          </w:tcPr>
          <w:p w14:paraId="01785338" w14:textId="77777777" w:rsidR="00AC6F3C" w:rsidRDefault="00570E88">
            <w:pPr>
              <w:pStyle w:val="TableParagraph"/>
              <w:spacing w:before="16" w:line="182" w:lineRule="exact"/>
              <w:ind w:right="16"/>
              <w:jc w:val="right"/>
              <w:rPr>
                <w:sz w:val="16"/>
              </w:rPr>
            </w:pPr>
            <w:r>
              <w:rPr>
                <w:spacing w:val="-2"/>
                <w:sz w:val="16"/>
              </w:rPr>
              <w:t>38,056</w:t>
            </w:r>
          </w:p>
        </w:tc>
      </w:tr>
      <w:tr w:rsidR="00AC6F3C" w14:paraId="5B703573" w14:textId="77777777">
        <w:trPr>
          <w:trHeight w:val="238"/>
        </w:trPr>
        <w:tc>
          <w:tcPr>
            <w:tcW w:w="3281" w:type="dxa"/>
            <w:tcBorders>
              <w:left w:val="single" w:sz="6" w:space="0" w:color="000000"/>
            </w:tcBorders>
          </w:tcPr>
          <w:p w14:paraId="7D618B90" w14:textId="77777777" w:rsidR="00AC6F3C" w:rsidRDefault="00570E88">
            <w:pPr>
              <w:pStyle w:val="TableParagraph"/>
              <w:spacing w:before="16"/>
              <w:ind w:left="33"/>
              <w:rPr>
                <w:sz w:val="16"/>
              </w:rPr>
            </w:pPr>
            <w:r>
              <w:rPr>
                <w:sz w:val="16"/>
              </w:rPr>
              <w:t>PY</w:t>
            </w:r>
            <w:r>
              <w:rPr>
                <w:spacing w:val="-8"/>
                <w:sz w:val="16"/>
              </w:rPr>
              <w:t xml:space="preserve"> </w:t>
            </w:r>
            <w:r>
              <w:rPr>
                <w:sz w:val="16"/>
              </w:rPr>
              <w:t>revaluation</w:t>
            </w:r>
            <w:r>
              <w:rPr>
                <w:spacing w:val="17"/>
                <w:sz w:val="16"/>
              </w:rPr>
              <w:t xml:space="preserve"> </w:t>
            </w:r>
            <w:r>
              <w:rPr>
                <w:spacing w:val="-2"/>
                <w:sz w:val="16"/>
              </w:rPr>
              <w:t>adjustment</w:t>
            </w:r>
          </w:p>
        </w:tc>
        <w:tc>
          <w:tcPr>
            <w:tcW w:w="1162" w:type="dxa"/>
          </w:tcPr>
          <w:p w14:paraId="2234058A" w14:textId="77777777" w:rsidR="00AC6F3C" w:rsidRDefault="00570E88">
            <w:pPr>
              <w:pStyle w:val="TableParagraph"/>
              <w:spacing w:before="16"/>
              <w:ind w:right="93"/>
              <w:jc w:val="right"/>
              <w:rPr>
                <w:sz w:val="16"/>
              </w:rPr>
            </w:pPr>
            <w:r>
              <w:rPr>
                <w:spacing w:val="-5"/>
                <w:sz w:val="16"/>
              </w:rPr>
              <w:t>744</w:t>
            </w:r>
          </w:p>
        </w:tc>
        <w:tc>
          <w:tcPr>
            <w:tcW w:w="1075" w:type="dxa"/>
          </w:tcPr>
          <w:p w14:paraId="40C554A0" w14:textId="77777777" w:rsidR="00AC6F3C" w:rsidRDefault="00570E88">
            <w:pPr>
              <w:pStyle w:val="TableParagraph"/>
              <w:spacing w:before="16"/>
              <w:ind w:right="142"/>
              <w:jc w:val="right"/>
              <w:rPr>
                <w:sz w:val="16"/>
              </w:rPr>
            </w:pPr>
            <w:r>
              <w:rPr>
                <w:w w:val="102"/>
                <w:sz w:val="16"/>
              </w:rPr>
              <w:t>-</w:t>
            </w:r>
          </w:p>
        </w:tc>
        <w:tc>
          <w:tcPr>
            <w:tcW w:w="937" w:type="dxa"/>
          </w:tcPr>
          <w:p w14:paraId="6D4C61A1" w14:textId="77777777" w:rsidR="00AC6F3C" w:rsidRDefault="00570E88">
            <w:pPr>
              <w:pStyle w:val="TableParagraph"/>
              <w:spacing w:before="16"/>
              <w:ind w:right="54"/>
              <w:jc w:val="right"/>
              <w:rPr>
                <w:sz w:val="16"/>
              </w:rPr>
            </w:pPr>
            <w:r>
              <w:rPr>
                <w:w w:val="102"/>
                <w:sz w:val="16"/>
              </w:rPr>
              <w:t>-</w:t>
            </w:r>
          </w:p>
        </w:tc>
        <w:tc>
          <w:tcPr>
            <w:tcW w:w="989" w:type="dxa"/>
          </w:tcPr>
          <w:p w14:paraId="264A3FB9" w14:textId="77777777" w:rsidR="00AC6F3C" w:rsidRDefault="00570E88">
            <w:pPr>
              <w:pStyle w:val="TableParagraph"/>
              <w:spacing w:before="16"/>
              <w:ind w:right="17"/>
              <w:jc w:val="right"/>
              <w:rPr>
                <w:sz w:val="16"/>
              </w:rPr>
            </w:pPr>
            <w:r>
              <w:rPr>
                <w:w w:val="102"/>
                <w:sz w:val="16"/>
              </w:rPr>
              <w:t>-</w:t>
            </w:r>
          </w:p>
        </w:tc>
        <w:tc>
          <w:tcPr>
            <w:tcW w:w="1032" w:type="dxa"/>
            <w:tcBorders>
              <w:right w:val="single" w:sz="6" w:space="0" w:color="000000"/>
            </w:tcBorders>
            <w:shd w:val="clear" w:color="auto" w:fill="F1F1F1"/>
          </w:tcPr>
          <w:p w14:paraId="097B54C8" w14:textId="77777777" w:rsidR="00AC6F3C" w:rsidRDefault="00570E88">
            <w:pPr>
              <w:pStyle w:val="TableParagraph"/>
              <w:spacing w:before="16"/>
              <w:ind w:right="16"/>
              <w:jc w:val="right"/>
              <w:rPr>
                <w:sz w:val="16"/>
              </w:rPr>
            </w:pPr>
            <w:r>
              <w:rPr>
                <w:spacing w:val="-5"/>
                <w:sz w:val="16"/>
              </w:rPr>
              <w:t>744</w:t>
            </w:r>
          </w:p>
        </w:tc>
      </w:tr>
      <w:tr w:rsidR="00AC6F3C" w14:paraId="29E46785" w14:textId="77777777">
        <w:trPr>
          <w:trHeight w:val="266"/>
        </w:trPr>
        <w:tc>
          <w:tcPr>
            <w:tcW w:w="3281" w:type="dxa"/>
            <w:tcBorders>
              <w:left w:val="single" w:sz="6" w:space="0" w:color="000000"/>
            </w:tcBorders>
          </w:tcPr>
          <w:p w14:paraId="7ABF70D7" w14:textId="77777777" w:rsidR="00AC6F3C" w:rsidRDefault="00570E88">
            <w:pPr>
              <w:pStyle w:val="TableParagraph"/>
              <w:spacing w:before="36"/>
              <w:ind w:left="33"/>
              <w:rPr>
                <w:sz w:val="16"/>
              </w:rPr>
            </w:pPr>
            <w:r>
              <w:rPr>
                <w:spacing w:val="-2"/>
                <w:sz w:val="16"/>
              </w:rPr>
              <w:t>Additions</w:t>
            </w:r>
          </w:p>
        </w:tc>
        <w:tc>
          <w:tcPr>
            <w:tcW w:w="1162" w:type="dxa"/>
          </w:tcPr>
          <w:p w14:paraId="1D58CFCF" w14:textId="77777777" w:rsidR="00AC6F3C" w:rsidRDefault="00570E88">
            <w:pPr>
              <w:pStyle w:val="TableParagraph"/>
              <w:spacing w:before="36"/>
              <w:ind w:right="93"/>
              <w:jc w:val="right"/>
              <w:rPr>
                <w:sz w:val="16"/>
              </w:rPr>
            </w:pPr>
            <w:r>
              <w:rPr>
                <w:w w:val="102"/>
                <w:sz w:val="16"/>
              </w:rPr>
              <w:t>-</w:t>
            </w:r>
          </w:p>
        </w:tc>
        <w:tc>
          <w:tcPr>
            <w:tcW w:w="1075" w:type="dxa"/>
          </w:tcPr>
          <w:p w14:paraId="7328FAA8" w14:textId="77777777" w:rsidR="00AC6F3C" w:rsidRDefault="00570E88">
            <w:pPr>
              <w:pStyle w:val="TableParagraph"/>
              <w:spacing w:before="36"/>
              <w:ind w:right="142"/>
              <w:jc w:val="right"/>
              <w:rPr>
                <w:sz w:val="16"/>
              </w:rPr>
            </w:pPr>
            <w:r>
              <w:rPr>
                <w:spacing w:val="-5"/>
                <w:sz w:val="16"/>
              </w:rPr>
              <w:t>410</w:t>
            </w:r>
          </w:p>
        </w:tc>
        <w:tc>
          <w:tcPr>
            <w:tcW w:w="937" w:type="dxa"/>
          </w:tcPr>
          <w:p w14:paraId="062503A8" w14:textId="77777777" w:rsidR="00AC6F3C" w:rsidRDefault="00570E88">
            <w:pPr>
              <w:pStyle w:val="TableParagraph"/>
              <w:spacing w:before="36"/>
              <w:ind w:right="54"/>
              <w:jc w:val="right"/>
              <w:rPr>
                <w:sz w:val="16"/>
              </w:rPr>
            </w:pPr>
            <w:r>
              <w:rPr>
                <w:spacing w:val="-2"/>
                <w:sz w:val="16"/>
              </w:rPr>
              <w:t>10,927</w:t>
            </w:r>
          </w:p>
        </w:tc>
        <w:tc>
          <w:tcPr>
            <w:tcW w:w="989" w:type="dxa"/>
          </w:tcPr>
          <w:p w14:paraId="550A0AFD" w14:textId="77777777" w:rsidR="00AC6F3C" w:rsidRDefault="00570E88">
            <w:pPr>
              <w:pStyle w:val="TableParagraph"/>
              <w:spacing w:before="36"/>
              <w:ind w:right="17"/>
              <w:jc w:val="right"/>
              <w:rPr>
                <w:sz w:val="16"/>
              </w:rPr>
            </w:pPr>
            <w:r>
              <w:rPr>
                <w:w w:val="102"/>
                <w:sz w:val="16"/>
              </w:rPr>
              <w:t>-</w:t>
            </w:r>
          </w:p>
        </w:tc>
        <w:tc>
          <w:tcPr>
            <w:tcW w:w="1032" w:type="dxa"/>
            <w:tcBorders>
              <w:right w:val="single" w:sz="6" w:space="0" w:color="000000"/>
            </w:tcBorders>
            <w:shd w:val="clear" w:color="auto" w:fill="F1F1F1"/>
          </w:tcPr>
          <w:p w14:paraId="7D546645" w14:textId="77777777" w:rsidR="00AC6F3C" w:rsidRDefault="00570E88">
            <w:pPr>
              <w:pStyle w:val="TableParagraph"/>
              <w:spacing w:before="36"/>
              <w:ind w:right="16"/>
              <w:jc w:val="right"/>
              <w:rPr>
                <w:sz w:val="16"/>
              </w:rPr>
            </w:pPr>
            <w:r>
              <w:rPr>
                <w:spacing w:val="-2"/>
                <w:sz w:val="16"/>
              </w:rPr>
              <w:t>11,338</w:t>
            </w:r>
          </w:p>
        </w:tc>
      </w:tr>
      <w:tr w:rsidR="00AC6F3C" w14:paraId="3B57CAEA" w14:textId="77777777">
        <w:trPr>
          <w:trHeight w:val="252"/>
        </w:trPr>
        <w:tc>
          <w:tcPr>
            <w:tcW w:w="3281" w:type="dxa"/>
            <w:tcBorders>
              <w:left w:val="single" w:sz="6" w:space="0" w:color="000000"/>
            </w:tcBorders>
          </w:tcPr>
          <w:p w14:paraId="3A6415EF" w14:textId="77777777" w:rsidR="00AC6F3C" w:rsidRDefault="00570E88">
            <w:pPr>
              <w:pStyle w:val="TableParagraph"/>
              <w:spacing w:before="43"/>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Pr>
          <w:p w14:paraId="2CAA49A4" w14:textId="77777777" w:rsidR="00AC6F3C" w:rsidRDefault="00570E88">
            <w:pPr>
              <w:pStyle w:val="TableParagraph"/>
              <w:spacing w:before="43"/>
              <w:ind w:right="93"/>
              <w:jc w:val="right"/>
              <w:rPr>
                <w:sz w:val="16"/>
              </w:rPr>
            </w:pPr>
            <w:r>
              <w:rPr>
                <w:spacing w:val="-2"/>
                <w:sz w:val="16"/>
              </w:rPr>
              <w:t>10,123</w:t>
            </w:r>
          </w:p>
        </w:tc>
        <w:tc>
          <w:tcPr>
            <w:tcW w:w="1075" w:type="dxa"/>
          </w:tcPr>
          <w:p w14:paraId="1BD7EDED" w14:textId="77777777" w:rsidR="00AC6F3C" w:rsidRDefault="00570E88">
            <w:pPr>
              <w:pStyle w:val="TableParagraph"/>
              <w:spacing w:before="43"/>
              <w:ind w:right="138"/>
              <w:jc w:val="right"/>
              <w:rPr>
                <w:sz w:val="16"/>
              </w:rPr>
            </w:pPr>
            <w:r>
              <w:rPr>
                <w:spacing w:val="-2"/>
                <w:sz w:val="16"/>
              </w:rPr>
              <w:t>(1,350)</w:t>
            </w:r>
          </w:p>
        </w:tc>
        <w:tc>
          <w:tcPr>
            <w:tcW w:w="937" w:type="dxa"/>
          </w:tcPr>
          <w:p w14:paraId="45CF4C4D" w14:textId="77777777" w:rsidR="00AC6F3C" w:rsidRDefault="00570E88">
            <w:pPr>
              <w:pStyle w:val="TableParagraph"/>
              <w:spacing w:before="43"/>
              <w:ind w:right="49"/>
              <w:jc w:val="right"/>
              <w:rPr>
                <w:sz w:val="16"/>
              </w:rPr>
            </w:pPr>
            <w:r>
              <w:rPr>
                <w:spacing w:val="-2"/>
                <w:sz w:val="16"/>
              </w:rPr>
              <w:t>(9,028)</w:t>
            </w:r>
          </w:p>
        </w:tc>
        <w:tc>
          <w:tcPr>
            <w:tcW w:w="989" w:type="dxa"/>
          </w:tcPr>
          <w:p w14:paraId="3CAF1072" w14:textId="77777777" w:rsidR="00AC6F3C" w:rsidRDefault="00570E88">
            <w:pPr>
              <w:pStyle w:val="TableParagraph"/>
              <w:spacing w:before="43"/>
              <w:ind w:right="17"/>
              <w:jc w:val="right"/>
              <w:rPr>
                <w:sz w:val="16"/>
              </w:rPr>
            </w:pPr>
            <w:r>
              <w:rPr>
                <w:spacing w:val="-5"/>
                <w:sz w:val="16"/>
              </w:rPr>
              <w:t>255</w:t>
            </w:r>
          </w:p>
        </w:tc>
        <w:tc>
          <w:tcPr>
            <w:tcW w:w="1032" w:type="dxa"/>
            <w:tcBorders>
              <w:right w:val="single" w:sz="6" w:space="0" w:color="000000"/>
            </w:tcBorders>
            <w:shd w:val="clear" w:color="auto" w:fill="F1F1F1"/>
          </w:tcPr>
          <w:p w14:paraId="2316C387" w14:textId="77777777" w:rsidR="00AC6F3C" w:rsidRDefault="00570E88">
            <w:pPr>
              <w:pStyle w:val="TableParagraph"/>
              <w:spacing w:before="43"/>
              <w:ind w:right="16"/>
              <w:jc w:val="right"/>
              <w:rPr>
                <w:sz w:val="16"/>
              </w:rPr>
            </w:pPr>
            <w:r>
              <w:rPr>
                <w:w w:val="102"/>
                <w:sz w:val="16"/>
              </w:rPr>
              <w:t>-</w:t>
            </w:r>
          </w:p>
        </w:tc>
      </w:tr>
      <w:tr w:rsidR="00AC6F3C" w14:paraId="7A000EC7" w14:textId="77777777">
        <w:trPr>
          <w:trHeight w:val="225"/>
        </w:trPr>
        <w:tc>
          <w:tcPr>
            <w:tcW w:w="3281" w:type="dxa"/>
            <w:tcBorders>
              <w:left w:val="single" w:sz="6" w:space="0" w:color="000000"/>
            </w:tcBorders>
          </w:tcPr>
          <w:p w14:paraId="321047AE" w14:textId="77777777" w:rsidR="00AC6F3C" w:rsidRDefault="00570E88">
            <w:pPr>
              <w:pStyle w:val="TableParagraph"/>
              <w:spacing w:before="23" w:line="182" w:lineRule="exact"/>
              <w:ind w:left="33"/>
              <w:rPr>
                <w:sz w:val="16"/>
              </w:rPr>
            </w:pPr>
            <w:r>
              <w:rPr>
                <w:spacing w:val="-2"/>
                <w:sz w:val="16"/>
              </w:rPr>
              <w:t>Disposals</w:t>
            </w:r>
          </w:p>
        </w:tc>
        <w:tc>
          <w:tcPr>
            <w:tcW w:w="1162" w:type="dxa"/>
          </w:tcPr>
          <w:p w14:paraId="359A9B6E" w14:textId="77777777" w:rsidR="00AC6F3C" w:rsidRDefault="00570E88">
            <w:pPr>
              <w:pStyle w:val="TableParagraph"/>
              <w:spacing w:before="23" w:line="182" w:lineRule="exact"/>
              <w:ind w:right="93"/>
              <w:jc w:val="right"/>
              <w:rPr>
                <w:sz w:val="16"/>
              </w:rPr>
            </w:pPr>
            <w:r>
              <w:rPr>
                <w:w w:val="102"/>
                <w:sz w:val="16"/>
              </w:rPr>
              <w:t>-</w:t>
            </w:r>
          </w:p>
        </w:tc>
        <w:tc>
          <w:tcPr>
            <w:tcW w:w="1075" w:type="dxa"/>
          </w:tcPr>
          <w:p w14:paraId="07498DCD" w14:textId="77777777" w:rsidR="00AC6F3C" w:rsidRDefault="00570E88">
            <w:pPr>
              <w:pStyle w:val="TableParagraph"/>
              <w:spacing w:before="23" w:line="182" w:lineRule="exact"/>
              <w:ind w:right="138"/>
              <w:jc w:val="right"/>
              <w:rPr>
                <w:sz w:val="16"/>
              </w:rPr>
            </w:pPr>
            <w:r>
              <w:rPr>
                <w:spacing w:val="-2"/>
                <w:sz w:val="16"/>
              </w:rPr>
              <w:t>(1,521)</w:t>
            </w:r>
          </w:p>
        </w:tc>
        <w:tc>
          <w:tcPr>
            <w:tcW w:w="937" w:type="dxa"/>
          </w:tcPr>
          <w:p w14:paraId="2BD1A5D9" w14:textId="77777777" w:rsidR="00AC6F3C" w:rsidRDefault="00570E88">
            <w:pPr>
              <w:pStyle w:val="TableParagraph"/>
              <w:spacing w:before="23" w:line="182" w:lineRule="exact"/>
              <w:ind w:right="54"/>
              <w:jc w:val="right"/>
              <w:rPr>
                <w:sz w:val="16"/>
              </w:rPr>
            </w:pPr>
            <w:r>
              <w:rPr>
                <w:w w:val="102"/>
                <w:sz w:val="16"/>
              </w:rPr>
              <w:t>-</w:t>
            </w:r>
          </w:p>
        </w:tc>
        <w:tc>
          <w:tcPr>
            <w:tcW w:w="989" w:type="dxa"/>
          </w:tcPr>
          <w:p w14:paraId="24D44E66" w14:textId="77777777" w:rsidR="00AC6F3C" w:rsidRDefault="00570E88">
            <w:pPr>
              <w:pStyle w:val="TableParagraph"/>
              <w:spacing w:before="23" w:line="182" w:lineRule="exact"/>
              <w:ind w:right="17"/>
              <w:jc w:val="right"/>
              <w:rPr>
                <w:sz w:val="16"/>
              </w:rPr>
            </w:pPr>
            <w:r>
              <w:rPr>
                <w:w w:val="102"/>
                <w:sz w:val="16"/>
              </w:rPr>
              <w:t>-</w:t>
            </w:r>
          </w:p>
        </w:tc>
        <w:tc>
          <w:tcPr>
            <w:tcW w:w="1032" w:type="dxa"/>
            <w:tcBorders>
              <w:right w:val="single" w:sz="6" w:space="0" w:color="000000"/>
            </w:tcBorders>
            <w:shd w:val="clear" w:color="auto" w:fill="F1F1F1"/>
          </w:tcPr>
          <w:p w14:paraId="7FD06D5A" w14:textId="77777777" w:rsidR="00AC6F3C" w:rsidRDefault="00570E88">
            <w:pPr>
              <w:pStyle w:val="TableParagraph"/>
              <w:spacing w:before="23" w:line="182" w:lineRule="exact"/>
              <w:ind w:right="12"/>
              <w:jc w:val="right"/>
              <w:rPr>
                <w:sz w:val="16"/>
              </w:rPr>
            </w:pPr>
            <w:r>
              <w:rPr>
                <w:spacing w:val="-2"/>
                <w:sz w:val="16"/>
              </w:rPr>
              <w:t>(1,521)</w:t>
            </w:r>
          </w:p>
        </w:tc>
      </w:tr>
      <w:tr w:rsidR="00AC6F3C" w14:paraId="1FECC1BA" w14:textId="77777777">
        <w:trPr>
          <w:trHeight w:val="206"/>
        </w:trPr>
        <w:tc>
          <w:tcPr>
            <w:tcW w:w="3281" w:type="dxa"/>
            <w:tcBorders>
              <w:left w:val="single" w:sz="6" w:space="0" w:color="000000"/>
              <w:bottom w:val="single" w:sz="6" w:space="0" w:color="000000"/>
            </w:tcBorders>
          </w:tcPr>
          <w:p w14:paraId="6F43D683" w14:textId="77777777" w:rsidR="00AC6F3C" w:rsidRDefault="00570E88">
            <w:pPr>
              <w:pStyle w:val="TableParagraph"/>
              <w:spacing w:before="16" w:line="171" w:lineRule="exact"/>
              <w:ind w:left="33"/>
              <w:rPr>
                <w:sz w:val="16"/>
              </w:rPr>
            </w:pPr>
            <w:r>
              <w:rPr>
                <w:sz w:val="16"/>
              </w:rPr>
              <w:t>Revaluation</w:t>
            </w:r>
            <w:r>
              <w:rPr>
                <w:spacing w:val="29"/>
                <w:sz w:val="16"/>
              </w:rPr>
              <w:t xml:space="preserve"> </w:t>
            </w:r>
            <w:r>
              <w:rPr>
                <w:sz w:val="16"/>
              </w:rPr>
              <w:t>increment</w:t>
            </w:r>
            <w:r>
              <w:rPr>
                <w:spacing w:val="16"/>
                <w:sz w:val="16"/>
              </w:rPr>
              <w:t xml:space="preserve"> </w:t>
            </w:r>
            <w:r>
              <w:rPr>
                <w:sz w:val="16"/>
              </w:rPr>
              <w:t>/</w:t>
            </w:r>
            <w:r>
              <w:rPr>
                <w:spacing w:val="16"/>
                <w:sz w:val="16"/>
              </w:rPr>
              <w:t xml:space="preserve"> </w:t>
            </w:r>
            <w:r>
              <w:rPr>
                <w:spacing w:val="-2"/>
                <w:sz w:val="16"/>
              </w:rPr>
              <w:t>(decrement)</w:t>
            </w:r>
          </w:p>
        </w:tc>
        <w:tc>
          <w:tcPr>
            <w:tcW w:w="1162" w:type="dxa"/>
            <w:tcBorders>
              <w:bottom w:val="single" w:sz="6" w:space="0" w:color="000000"/>
            </w:tcBorders>
          </w:tcPr>
          <w:p w14:paraId="188940ED" w14:textId="77777777" w:rsidR="00AC6F3C" w:rsidRDefault="00570E88">
            <w:pPr>
              <w:pStyle w:val="TableParagraph"/>
              <w:spacing w:before="16" w:line="171" w:lineRule="exact"/>
              <w:ind w:right="88"/>
              <w:jc w:val="right"/>
              <w:rPr>
                <w:sz w:val="16"/>
              </w:rPr>
            </w:pPr>
            <w:r>
              <w:rPr>
                <w:spacing w:val="-2"/>
                <w:sz w:val="16"/>
              </w:rPr>
              <w:t>(416)</w:t>
            </w:r>
          </w:p>
        </w:tc>
        <w:tc>
          <w:tcPr>
            <w:tcW w:w="1075" w:type="dxa"/>
            <w:tcBorders>
              <w:bottom w:val="single" w:sz="6" w:space="0" w:color="000000"/>
            </w:tcBorders>
          </w:tcPr>
          <w:p w14:paraId="648C75C6" w14:textId="77777777" w:rsidR="00AC6F3C" w:rsidRDefault="00570E88">
            <w:pPr>
              <w:pStyle w:val="TableParagraph"/>
              <w:spacing w:before="16" w:line="171" w:lineRule="exact"/>
              <w:ind w:right="142"/>
              <w:jc w:val="right"/>
              <w:rPr>
                <w:sz w:val="16"/>
              </w:rPr>
            </w:pPr>
            <w:r>
              <w:rPr>
                <w:w w:val="102"/>
                <w:sz w:val="16"/>
              </w:rPr>
              <w:t>-</w:t>
            </w:r>
          </w:p>
        </w:tc>
        <w:tc>
          <w:tcPr>
            <w:tcW w:w="937" w:type="dxa"/>
            <w:tcBorders>
              <w:bottom w:val="single" w:sz="6" w:space="0" w:color="000000"/>
            </w:tcBorders>
          </w:tcPr>
          <w:p w14:paraId="7B8F172D" w14:textId="77777777" w:rsidR="00AC6F3C" w:rsidRDefault="00570E88">
            <w:pPr>
              <w:pStyle w:val="TableParagraph"/>
              <w:spacing w:before="16" w:line="171" w:lineRule="exact"/>
              <w:ind w:right="54"/>
              <w:jc w:val="right"/>
              <w:rPr>
                <w:sz w:val="16"/>
              </w:rPr>
            </w:pPr>
            <w:r>
              <w:rPr>
                <w:w w:val="102"/>
                <w:sz w:val="16"/>
              </w:rPr>
              <w:t>-</w:t>
            </w:r>
          </w:p>
        </w:tc>
        <w:tc>
          <w:tcPr>
            <w:tcW w:w="989" w:type="dxa"/>
            <w:tcBorders>
              <w:bottom w:val="single" w:sz="6" w:space="0" w:color="000000"/>
            </w:tcBorders>
          </w:tcPr>
          <w:p w14:paraId="3B7908EB" w14:textId="77777777" w:rsidR="00AC6F3C" w:rsidRDefault="00570E88">
            <w:pPr>
              <w:pStyle w:val="TableParagraph"/>
              <w:spacing w:before="16" w:line="171" w:lineRule="exact"/>
              <w:ind w:right="17"/>
              <w:jc w:val="right"/>
              <w:rPr>
                <w:sz w:val="16"/>
              </w:rPr>
            </w:pPr>
            <w:r>
              <w:rPr>
                <w:w w:val="102"/>
                <w:sz w:val="16"/>
              </w:rPr>
              <w:t>-</w:t>
            </w:r>
          </w:p>
        </w:tc>
        <w:tc>
          <w:tcPr>
            <w:tcW w:w="1032" w:type="dxa"/>
            <w:tcBorders>
              <w:bottom w:val="single" w:sz="6" w:space="0" w:color="000000"/>
              <w:right w:val="single" w:sz="6" w:space="0" w:color="000000"/>
            </w:tcBorders>
            <w:shd w:val="clear" w:color="auto" w:fill="F1F1F1"/>
          </w:tcPr>
          <w:p w14:paraId="2D57E4AE" w14:textId="77777777" w:rsidR="00AC6F3C" w:rsidRDefault="00570E88">
            <w:pPr>
              <w:pStyle w:val="TableParagraph"/>
              <w:spacing w:before="16" w:line="171" w:lineRule="exact"/>
              <w:ind w:right="12"/>
              <w:jc w:val="right"/>
              <w:rPr>
                <w:sz w:val="16"/>
              </w:rPr>
            </w:pPr>
            <w:r>
              <w:rPr>
                <w:spacing w:val="-2"/>
                <w:sz w:val="16"/>
              </w:rPr>
              <w:t>(416)</w:t>
            </w:r>
          </w:p>
        </w:tc>
      </w:tr>
      <w:tr w:rsidR="00AC6F3C" w14:paraId="46FC1AC8" w14:textId="77777777">
        <w:trPr>
          <w:trHeight w:val="203"/>
        </w:trPr>
        <w:tc>
          <w:tcPr>
            <w:tcW w:w="3281" w:type="dxa"/>
            <w:tcBorders>
              <w:top w:val="single" w:sz="6" w:space="0" w:color="000000"/>
              <w:left w:val="single" w:sz="6" w:space="0" w:color="000000"/>
              <w:bottom w:val="single" w:sz="6" w:space="0" w:color="000000"/>
            </w:tcBorders>
          </w:tcPr>
          <w:p w14:paraId="58D0C03B" w14:textId="77777777" w:rsidR="00AC6F3C" w:rsidRDefault="00570E88">
            <w:pPr>
              <w:pStyle w:val="TableParagraph"/>
              <w:spacing w:before="13"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5B6B7218" w14:textId="77777777" w:rsidR="00AC6F3C" w:rsidRDefault="00570E88">
            <w:pPr>
              <w:pStyle w:val="TableParagraph"/>
              <w:spacing w:before="13" w:line="171" w:lineRule="exact"/>
              <w:ind w:right="93"/>
              <w:jc w:val="right"/>
              <w:rPr>
                <w:b/>
                <w:sz w:val="16"/>
              </w:rPr>
            </w:pPr>
            <w:r>
              <w:rPr>
                <w:b/>
                <w:spacing w:val="-2"/>
                <w:sz w:val="16"/>
              </w:rPr>
              <w:t>38,190</w:t>
            </w:r>
          </w:p>
        </w:tc>
        <w:tc>
          <w:tcPr>
            <w:tcW w:w="1075" w:type="dxa"/>
            <w:tcBorders>
              <w:top w:val="single" w:sz="6" w:space="0" w:color="000000"/>
              <w:bottom w:val="single" w:sz="6" w:space="0" w:color="000000"/>
            </w:tcBorders>
          </w:tcPr>
          <w:p w14:paraId="4404FAAE" w14:textId="77777777" w:rsidR="00AC6F3C" w:rsidRDefault="00570E88">
            <w:pPr>
              <w:pStyle w:val="TableParagraph"/>
              <w:spacing w:before="13" w:line="171" w:lineRule="exact"/>
              <w:ind w:right="142"/>
              <w:jc w:val="right"/>
              <w:rPr>
                <w:b/>
                <w:sz w:val="16"/>
              </w:rPr>
            </w:pPr>
            <w:r>
              <w:rPr>
                <w:b/>
                <w:spacing w:val="-2"/>
                <w:sz w:val="16"/>
              </w:rPr>
              <w:t>4,769</w:t>
            </w:r>
          </w:p>
        </w:tc>
        <w:tc>
          <w:tcPr>
            <w:tcW w:w="937" w:type="dxa"/>
            <w:tcBorders>
              <w:top w:val="single" w:sz="6" w:space="0" w:color="000000"/>
              <w:bottom w:val="single" w:sz="6" w:space="0" w:color="000000"/>
            </w:tcBorders>
          </w:tcPr>
          <w:p w14:paraId="0E11B7A3" w14:textId="77777777" w:rsidR="00AC6F3C" w:rsidRDefault="00570E88">
            <w:pPr>
              <w:pStyle w:val="TableParagraph"/>
              <w:spacing w:before="13" w:line="171" w:lineRule="exact"/>
              <w:ind w:right="54"/>
              <w:jc w:val="right"/>
              <w:rPr>
                <w:b/>
                <w:sz w:val="16"/>
              </w:rPr>
            </w:pPr>
            <w:r>
              <w:rPr>
                <w:b/>
                <w:spacing w:val="-2"/>
                <w:sz w:val="16"/>
              </w:rPr>
              <w:t>2,052</w:t>
            </w:r>
          </w:p>
        </w:tc>
        <w:tc>
          <w:tcPr>
            <w:tcW w:w="989" w:type="dxa"/>
            <w:tcBorders>
              <w:top w:val="single" w:sz="6" w:space="0" w:color="000000"/>
              <w:bottom w:val="single" w:sz="6" w:space="0" w:color="000000"/>
            </w:tcBorders>
          </w:tcPr>
          <w:p w14:paraId="58BE9432" w14:textId="77777777" w:rsidR="00AC6F3C" w:rsidRDefault="00570E88">
            <w:pPr>
              <w:pStyle w:val="TableParagraph"/>
              <w:spacing w:before="13" w:line="171" w:lineRule="exact"/>
              <w:ind w:right="17"/>
              <w:jc w:val="right"/>
              <w:rPr>
                <w:b/>
                <w:sz w:val="16"/>
              </w:rPr>
            </w:pPr>
            <w:r>
              <w:rPr>
                <w:b/>
                <w:spacing w:val="-2"/>
                <w:sz w:val="16"/>
              </w:rPr>
              <w:t>3,188</w:t>
            </w:r>
          </w:p>
        </w:tc>
        <w:tc>
          <w:tcPr>
            <w:tcW w:w="1032" w:type="dxa"/>
            <w:tcBorders>
              <w:top w:val="single" w:sz="6" w:space="0" w:color="000000"/>
              <w:bottom w:val="single" w:sz="6" w:space="0" w:color="000000"/>
              <w:right w:val="single" w:sz="6" w:space="0" w:color="000000"/>
            </w:tcBorders>
            <w:shd w:val="clear" w:color="auto" w:fill="F1F1F1"/>
          </w:tcPr>
          <w:p w14:paraId="224833E8" w14:textId="77777777" w:rsidR="00AC6F3C" w:rsidRDefault="00570E88">
            <w:pPr>
              <w:pStyle w:val="TableParagraph"/>
              <w:spacing w:before="13" w:line="171" w:lineRule="exact"/>
              <w:ind w:right="16"/>
              <w:jc w:val="right"/>
              <w:rPr>
                <w:b/>
                <w:sz w:val="16"/>
              </w:rPr>
            </w:pPr>
            <w:r>
              <w:rPr>
                <w:b/>
                <w:spacing w:val="-2"/>
                <w:sz w:val="16"/>
              </w:rPr>
              <w:t>48,201</w:t>
            </w:r>
          </w:p>
        </w:tc>
      </w:tr>
      <w:tr w:rsidR="00AC6F3C" w14:paraId="1C8A22D5" w14:textId="77777777">
        <w:trPr>
          <w:trHeight w:val="215"/>
        </w:trPr>
        <w:tc>
          <w:tcPr>
            <w:tcW w:w="4443" w:type="dxa"/>
            <w:gridSpan w:val="2"/>
            <w:tcBorders>
              <w:top w:val="single" w:sz="6" w:space="0" w:color="000000"/>
              <w:left w:val="single" w:sz="6" w:space="0" w:color="000000"/>
            </w:tcBorders>
          </w:tcPr>
          <w:p w14:paraId="509C39C8" w14:textId="77777777" w:rsidR="00AC6F3C" w:rsidRDefault="00570E88">
            <w:pPr>
              <w:pStyle w:val="TableParagraph"/>
              <w:spacing w:before="13" w:line="182" w:lineRule="exact"/>
              <w:ind w:left="33"/>
              <w:rPr>
                <w:b/>
                <w:sz w:val="16"/>
              </w:rPr>
            </w:pPr>
            <w:r>
              <w:rPr>
                <w:b/>
                <w:spacing w:val="-2"/>
                <w:sz w:val="16"/>
              </w:rPr>
              <w:t>Depreciation</w:t>
            </w:r>
          </w:p>
        </w:tc>
        <w:tc>
          <w:tcPr>
            <w:tcW w:w="1075" w:type="dxa"/>
            <w:tcBorders>
              <w:top w:val="single" w:sz="6" w:space="0" w:color="000000"/>
            </w:tcBorders>
          </w:tcPr>
          <w:p w14:paraId="1461804E" w14:textId="77777777" w:rsidR="00AC6F3C" w:rsidRDefault="00AC6F3C">
            <w:pPr>
              <w:pStyle w:val="TableParagraph"/>
              <w:rPr>
                <w:rFonts w:ascii="Times New Roman"/>
                <w:sz w:val="14"/>
              </w:rPr>
            </w:pPr>
          </w:p>
        </w:tc>
        <w:tc>
          <w:tcPr>
            <w:tcW w:w="937" w:type="dxa"/>
            <w:tcBorders>
              <w:top w:val="single" w:sz="6" w:space="0" w:color="000000"/>
            </w:tcBorders>
          </w:tcPr>
          <w:p w14:paraId="7B83F138" w14:textId="77777777" w:rsidR="00AC6F3C" w:rsidRDefault="00AC6F3C">
            <w:pPr>
              <w:pStyle w:val="TableParagraph"/>
              <w:rPr>
                <w:rFonts w:ascii="Times New Roman"/>
                <w:sz w:val="14"/>
              </w:rPr>
            </w:pPr>
          </w:p>
        </w:tc>
        <w:tc>
          <w:tcPr>
            <w:tcW w:w="989" w:type="dxa"/>
            <w:tcBorders>
              <w:top w:val="single" w:sz="6" w:space="0" w:color="000000"/>
            </w:tcBorders>
          </w:tcPr>
          <w:p w14:paraId="0FC9FD17"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52FF05B0" w14:textId="77777777" w:rsidR="00AC6F3C" w:rsidRDefault="00AC6F3C">
            <w:pPr>
              <w:pStyle w:val="TableParagraph"/>
              <w:rPr>
                <w:rFonts w:ascii="Times New Roman"/>
                <w:sz w:val="14"/>
              </w:rPr>
            </w:pPr>
          </w:p>
        </w:tc>
      </w:tr>
      <w:tr w:rsidR="00AC6F3C" w14:paraId="38FFFBC9" w14:textId="77777777">
        <w:trPr>
          <w:trHeight w:val="218"/>
        </w:trPr>
        <w:tc>
          <w:tcPr>
            <w:tcW w:w="3281" w:type="dxa"/>
            <w:tcBorders>
              <w:left w:val="single" w:sz="6" w:space="0" w:color="000000"/>
            </w:tcBorders>
          </w:tcPr>
          <w:p w14:paraId="7A66FC73" w14:textId="77777777" w:rsidR="00AC6F3C" w:rsidRDefault="00570E88">
            <w:pPr>
              <w:pStyle w:val="TableParagraph"/>
              <w:spacing w:before="16" w:line="182" w:lineRule="exact"/>
              <w:ind w:left="33"/>
              <w:rPr>
                <w:sz w:val="16"/>
              </w:rPr>
            </w:pPr>
            <w:r>
              <w:rPr>
                <w:sz w:val="16"/>
              </w:rPr>
              <w:t>Accumulated</w:t>
            </w:r>
            <w:r>
              <w:rPr>
                <w:spacing w:val="32"/>
                <w:sz w:val="16"/>
              </w:rPr>
              <w:t xml:space="preserve"> </w:t>
            </w:r>
            <w:r>
              <w:rPr>
                <w:spacing w:val="-2"/>
                <w:sz w:val="16"/>
              </w:rPr>
              <w:t>depreciation</w:t>
            </w:r>
          </w:p>
        </w:tc>
        <w:tc>
          <w:tcPr>
            <w:tcW w:w="1162" w:type="dxa"/>
          </w:tcPr>
          <w:p w14:paraId="5BEFB505" w14:textId="77777777" w:rsidR="00AC6F3C" w:rsidRDefault="00570E88">
            <w:pPr>
              <w:pStyle w:val="TableParagraph"/>
              <w:spacing w:before="16" w:line="182" w:lineRule="exact"/>
              <w:ind w:right="88"/>
              <w:jc w:val="right"/>
              <w:rPr>
                <w:sz w:val="16"/>
              </w:rPr>
            </w:pPr>
            <w:r>
              <w:rPr>
                <w:spacing w:val="-2"/>
                <w:sz w:val="16"/>
              </w:rPr>
              <w:t>(749)</w:t>
            </w:r>
          </w:p>
        </w:tc>
        <w:tc>
          <w:tcPr>
            <w:tcW w:w="1075" w:type="dxa"/>
          </w:tcPr>
          <w:p w14:paraId="16007ABA" w14:textId="77777777" w:rsidR="00AC6F3C" w:rsidRDefault="00570E88">
            <w:pPr>
              <w:pStyle w:val="TableParagraph"/>
              <w:spacing w:before="16" w:line="182" w:lineRule="exact"/>
              <w:ind w:right="138"/>
              <w:jc w:val="right"/>
              <w:rPr>
                <w:sz w:val="16"/>
              </w:rPr>
            </w:pPr>
            <w:r>
              <w:rPr>
                <w:spacing w:val="-2"/>
                <w:sz w:val="16"/>
              </w:rPr>
              <w:t>(5,056)</w:t>
            </w:r>
          </w:p>
        </w:tc>
        <w:tc>
          <w:tcPr>
            <w:tcW w:w="937" w:type="dxa"/>
          </w:tcPr>
          <w:p w14:paraId="2B70F95A" w14:textId="77777777" w:rsidR="00AC6F3C" w:rsidRDefault="00570E88">
            <w:pPr>
              <w:pStyle w:val="TableParagraph"/>
              <w:spacing w:before="16" w:line="182" w:lineRule="exact"/>
              <w:ind w:right="54"/>
              <w:jc w:val="right"/>
              <w:rPr>
                <w:sz w:val="16"/>
              </w:rPr>
            </w:pPr>
            <w:r>
              <w:rPr>
                <w:w w:val="102"/>
                <w:sz w:val="16"/>
              </w:rPr>
              <w:t>-</w:t>
            </w:r>
          </w:p>
        </w:tc>
        <w:tc>
          <w:tcPr>
            <w:tcW w:w="989" w:type="dxa"/>
          </w:tcPr>
          <w:p w14:paraId="281ACBFC" w14:textId="77777777" w:rsidR="00AC6F3C" w:rsidRDefault="00570E88">
            <w:pPr>
              <w:pStyle w:val="TableParagraph"/>
              <w:spacing w:before="16" w:line="182" w:lineRule="exact"/>
              <w:ind w:right="13"/>
              <w:jc w:val="right"/>
              <w:rPr>
                <w:sz w:val="16"/>
              </w:rPr>
            </w:pPr>
            <w:r>
              <w:rPr>
                <w:spacing w:val="-2"/>
                <w:sz w:val="16"/>
              </w:rPr>
              <w:t>(1,437)</w:t>
            </w:r>
          </w:p>
        </w:tc>
        <w:tc>
          <w:tcPr>
            <w:tcW w:w="1032" w:type="dxa"/>
            <w:tcBorders>
              <w:right w:val="single" w:sz="6" w:space="0" w:color="000000"/>
            </w:tcBorders>
            <w:shd w:val="clear" w:color="auto" w:fill="F1F1F1"/>
          </w:tcPr>
          <w:p w14:paraId="271057AB" w14:textId="77777777" w:rsidR="00AC6F3C" w:rsidRDefault="00570E88">
            <w:pPr>
              <w:pStyle w:val="TableParagraph"/>
              <w:spacing w:before="16" w:line="182" w:lineRule="exact"/>
              <w:ind w:right="12"/>
              <w:jc w:val="right"/>
              <w:rPr>
                <w:sz w:val="16"/>
              </w:rPr>
            </w:pPr>
            <w:r>
              <w:rPr>
                <w:spacing w:val="-2"/>
                <w:sz w:val="16"/>
              </w:rPr>
              <w:t>(7,241)</w:t>
            </w:r>
          </w:p>
        </w:tc>
      </w:tr>
      <w:tr w:rsidR="00AC6F3C" w14:paraId="581D4350" w14:textId="77777777">
        <w:trPr>
          <w:trHeight w:val="218"/>
        </w:trPr>
        <w:tc>
          <w:tcPr>
            <w:tcW w:w="3281" w:type="dxa"/>
            <w:tcBorders>
              <w:left w:val="single" w:sz="6" w:space="0" w:color="000000"/>
            </w:tcBorders>
          </w:tcPr>
          <w:p w14:paraId="4F6B1E7E" w14:textId="77777777" w:rsidR="00AC6F3C" w:rsidRDefault="00570E88">
            <w:pPr>
              <w:pStyle w:val="TableParagraph"/>
              <w:spacing w:before="16" w:line="182" w:lineRule="exact"/>
              <w:ind w:left="33"/>
              <w:rPr>
                <w:sz w:val="16"/>
              </w:rPr>
            </w:pPr>
            <w:r>
              <w:rPr>
                <w:sz w:val="16"/>
              </w:rPr>
              <w:t>Charge</w:t>
            </w:r>
            <w:r>
              <w:rPr>
                <w:spacing w:val="11"/>
                <w:sz w:val="16"/>
              </w:rPr>
              <w:t xml:space="preserve"> </w:t>
            </w:r>
            <w:r>
              <w:rPr>
                <w:sz w:val="16"/>
              </w:rPr>
              <w:t>for</w:t>
            </w:r>
            <w:r>
              <w:rPr>
                <w:spacing w:val="6"/>
                <w:sz w:val="16"/>
              </w:rPr>
              <w:t xml:space="preserve"> </w:t>
            </w:r>
            <w:r>
              <w:rPr>
                <w:sz w:val="16"/>
              </w:rPr>
              <w:t>the</w:t>
            </w:r>
            <w:r>
              <w:rPr>
                <w:spacing w:val="11"/>
                <w:sz w:val="16"/>
              </w:rPr>
              <w:t xml:space="preserve"> </w:t>
            </w:r>
            <w:r>
              <w:rPr>
                <w:spacing w:val="-4"/>
                <w:sz w:val="16"/>
              </w:rPr>
              <w:t>year</w:t>
            </w:r>
          </w:p>
        </w:tc>
        <w:tc>
          <w:tcPr>
            <w:tcW w:w="1162" w:type="dxa"/>
          </w:tcPr>
          <w:p w14:paraId="5B7DA4C2" w14:textId="77777777" w:rsidR="00AC6F3C" w:rsidRDefault="00570E88">
            <w:pPr>
              <w:pStyle w:val="TableParagraph"/>
              <w:spacing w:before="16" w:line="182" w:lineRule="exact"/>
              <w:ind w:right="88"/>
              <w:jc w:val="right"/>
              <w:rPr>
                <w:sz w:val="16"/>
              </w:rPr>
            </w:pPr>
            <w:r>
              <w:rPr>
                <w:spacing w:val="-2"/>
                <w:sz w:val="16"/>
              </w:rPr>
              <w:t>(996)</w:t>
            </w:r>
          </w:p>
        </w:tc>
        <w:tc>
          <w:tcPr>
            <w:tcW w:w="1075" w:type="dxa"/>
          </w:tcPr>
          <w:p w14:paraId="7E269046" w14:textId="77777777" w:rsidR="00AC6F3C" w:rsidRDefault="00570E88">
            <w:pPr>
              <w:pStyle w:val="TableParagraph"/>
              <w:spacing w:before="16" w:line="182" w:lineRule="exact"/>
              <w:ind w:right="138"/>
              <w:jc w:val="right"/>
              <w:rPr>
                <w:sz w:val="16"/>
              </w:rPr>
            </w:pPr>
            <w:r>
              <w:rPr>
                <w:spacing w:val="-2"/>
                <w:sz w:val="16"/>
              </w:rPr>
              <w:t>(212)</w:t>
            </w:r>
          </w:p>
        </w:tc>
        <w:tc>
          <w:tcPr>
            <w:tcW w:w="937" w:type="dxa"/>
          </w:tcPr>
          <w:p w14:paraId="2879B98E" w14:textId="77777777" w:rsidR="00AC6F3C" w:rsidRDefault="00570E88">
            <w:pPr>
              <w:pStyle w:val="TableParagraph"/>
              <w:spacing w:before="16" w:line="182" w:lineRule="exact"/>
              <w:ind w:right="54"/>
              <w:jc w:val="right"/>
              <w:rPr>
                <w:sz w:val="16"/>
              </w:rPr>
            </w:pPr>
            <w:r>
              <w:rPr>
                <w:w w:val="102"/>
                <w:sz w:val="16"/>
              </w:rPr>
              <w:t>-</w:t>
            </w:r>
          </w:p>
        </w:tc>
        <w:tc>
          <w:tcPr>
            <w:tcW w:w="989" w:type="dxa"/>
          </w:tcPr>
          <w:p w14:paraId="60D03442" w14:textId="77777777" w:rsidR="00AC6F3C" w:rsidRDefault="00570E88">
            <w:pPr>
              <w:pStyle w:val="TableParagraph"/>
              <w:spacing w:before="16" w:line="182" w:lineRule="exact"/>
              <w:ind w:right="13"/>
              <w:jc w:val="right"/>
              <w:rPr>
                <w:sz w:val="16"/>
              </w:rPr>
            </w:pPr>
            <w:r>
              <w:rPr>
                <w:spacing w:val="-2"/>
                <w:sz w:val="16"/>
              </w:rPr>
              <w:t>(267)</w:t>
            </w:r>
          </w:p>
        </w:tc>
        <w:tc>
          <w:tcPr>
            <w:tcW w:w="1032" w:type="dxa"/>
            <w:tcBorders>
              <w:right w:val="single" w:sz="6" w:space="0" w:color="000000"/>
            </w:tcBorders>
            <w:shd w:val="clear" w:color="auto" w:fill="F1F1F1"/>
          </w:tcPr>
          <w:p w14:paraId="2E71A03E" w14:textId="77777777" w:rsidR="00AC6F3C" w:rsidRDefault="00570E88">
            <w:pPr>
              <w:pStyle w:val="TableParagraph"/>
              <w:spacing w:before="16" w:line="182" w:lineRule="exact"/>
              <w:ind w:right="12"/>
              <w:jc w:val="right"/>
              <w:rPr>
                <w:sz w:val="16"/>
              </w:rPr>
            </w:pPr>
            <w:r>
              <w:rPr>
                <w:spacing w:val="-2"/>
                <w:sz w:val="16"/>
              </w:rPr>
              <w:t>(1,475)</w:t>
            </w:r>
          </w:p>
        </w:tc>
      </w:tr>
      <w:tr w:rsidR="00AC6F3C" w14:paraId="0D4A7886" w14:textId="77777777">
        <w:trPr>
          <w:trHeight w:val="206"/>
        </w:trPr>
        <w:tc>
          <w:tcPr>
            <w:tcW w:w="3281" w:type="dxa"/>
            <w:tcBorders>
              <w:left w:val="single" w:sz="6" w:space="0" w:color="000000"/>
              <w:bottom w:val="single" w:sz="6" w:space="0" w:color="000000"/>
            </w:tcBorders>
          </w:tcPr>
          <w:p w14:paraId="75AC3744" w14:textId="77777777" w:rsidR="00AC6F3C" w:rsidRDefault="00570E88">
            <w:pPr>
              <w:pStyle w:val="TableParagraph"/>
              <w:spacing w:before="16" w:line="171" w:lineRule="exact"/>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Borders>
              <w:bottom w:val="single" w:sz="6" w:space="0" w:color="000000"/>
            </w:tcBorders>
          </w:tcPr>
          <w:p w14:paraId="6AD1186C" w14:textId="77777777" w:rsidR="00AC6F3C" w:rsidRDefault="00570E88">
            <w:pPr>
              <w:pStyle w:val="TableParagraph"/>
              <w:spacing w:before="16" w:line="171" w:lineRule="exact"/>
              <w:ind w:right="88"/>
              <w:jc w:val="right"/>
              <w:rPr>
                <w:sz w:val="16"/>
              </w:rPr>
            </w:pPr>
            <w:r>
              <w:rPr>
                <w:spacing w:val="-2"/>
                <w:sz w:val="16"/>
              </w:rPr>
              <w:t>(946)</w:t>
            </w:r>
          </w:p>
        </w:tc>
        <w:tc>
          <w:tcPr>
            <w:tcW w:w="1075" w:type="dxa"/>
            <w:tcBorders>
              <w:bottom w:val="single" w:sz="6" w:space="0" w:color="000000"/>
            </w:tcBorders>
          </w:tcPr>
          <w:p w14:paraId="72A2D6A6" w14:textId="77777777" w:rsidR="00AC6F3C" w:rsidRDefault="00570E88">
            <w:pPr>
              <w:pStyle w:val="TableParagraph"/>
              <w:spacing w:before="16" w:line="171" w:lineRule="exact"/>
              <w:ind w:right="142"/>
              <w:jc w:val="right"/>
              <w:rPr>
                <w:sz w:val="16"/>
              </w:rPr>
            </w:pPr>
            <w:r>
              <w:rPr>
                <w:spacing w:val="-5"/>
                <w:sz w:val="16"/>
              </w:rPr>
              <w:t>946</w:t>
            </w:r>
          </w:p>
        </w:tc>
        <w:tc>
          <w:tcPr>
            <w:tcW w:w="937" w:type="dxa"/>
            <w:tcBorders>
              <w:bottom w:val="single" w:sz="6" w:space="0" w:color="000000"/>
            </w:tcBorders>
          </w:tcPr>
          <w:p w14:paraId="6C11A267" w14:textId="77777777" w:rsidR="00AC6F3C" w:rsidRDefault="00570E88">
            <w:pPr>
              <w:pStyle w:val="TableParagraph"/>
              <w:spacing w:before="16" w:line="171" w:lineRule="exact"/>
              <w:ind w:right="54"/>
              <w:jc w:val="right"/>
              <w:rPr>
                <w:sz w:val="16"/>
              </w:rPr>
            </w:pPr>
            <w:r>
              <w:rPr>
                <w:w w:val="102"/>
                <w:sz w:val="16"/>
              </w:rPr>
              <w:t>-</w:t>
            </w:r>
          </w:p>
        </w:tc>
        <w:tc>
          <w:tcPr>
            <w:tcW w:w="989" w:type="dxa"/>
            <w:tcBorders>
              <w:bottom w:val="single" w:sz="6" w:space="0" w:color="000000"/>
            </w:tcBorders>
          </w:tcPr>
          <w:p w14:paraId="7B902C3F" w14:textId="77777777" w:rsidR="00AC6F3C" w:rsidRDefault="00570E88">
            <w:pPr>
              <w:pStyle w:val="TableParagraph"/>
              <w:spacing w:before="16" w:line="171" w:lineRule="exact"/>
              <w:ind w:right="17"/>
              <w:jc w:val="right"/>
              <w:rPr>
                <w:sz w:val="16"/>
              </w:rPr>
            </w:pPr>
            <w:r>
              <w:rPr>
                <w:w w:val="102"/>
                <w:sz w:val="16"/>
              </w:rPr>
              <w:t>-</w:t>
            </w:r>
          </w:p>
        </w:tc>
        <w:tc>
          <w:tcPr>
            <w:tcW w:w="1032" w:type="dxa"/>
            <w:tcBorders>
              <w:bottom w:val="single" w:sz="6" w:space="0" w:color="000000"/>
              <w:right w:val="single" w:sz="6" w:space="0" w:color="000000"/>
            </w:tcBorders>
            <w:shd w:val="clear" w:color="auto" w:fill="F1F1F1"/>
          </w:tcPr>
          <w:p w14:paraId="64FE5D34" w14:textId="77777777" w:rsidR="00AC6F3C" w:rsidRDefault="00570E88">
            <w:pPr>
              <w:pStyle w:val="TableParagraph"/>
              <w:spacing w:before="16" w:line="171" w:lineRule="exact"/>
              <w:ind w:right="16"/>
              <w:jc w:val="right"/>
              <w:rPr>
                <w:sz w:val="16"/>
              </w:rPr>
            </w:pPr>
            <w:r>
              <w:rPr>
                <w:w w:val="102"/>
                <w:sz w:val="16"/>
              </w:rPr>
              <w:t>-</w:t>
            </w:r>
          </w:p>
        </w:tc>
      </w:tr>
      <w:tr w:rsidR="00AC6F3C" w14:paraId="78D9FF0A" w14:textId="77777777">
        <w:trPr>
          <w:trHeight w:val="203"/>
        </w:trPr>
        <w:tc>
          <w:tcPr>
            <w:tcW w:w="3281" w:type="dxa"/>
            <w:tcBorders>
              <w:top w:val="single" w:sz="6" w:space="0" w:color="000000"/>
              <w:left w:val="single" w:sz="6" w:space="0" w:color="000000"/>
              <w:bottom w:val="single" w:sz="6" w:space="0" w:color="000000"/>
            </w:tcBorders>
          </w:tcPr>
          <w:p w14:paraId="7CFE5DFB" w14:textId="77777777" w:rsidR="00AC6F3C" w:rsidRDefault="00570E88">
            <w:pPr>
              <w:pStyle w:val="TableParagraph"/>
              <w:spacing w:before="12"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456853F4" w14:textId="77777777" w:rsidR="00AC6F3C" w:rsidRDefault="00570E88">
            <w:pPr>
              <w:pStyle w:val="TableParagraph"/>
              <w:spacing w:before="12" w:line="171" w:lineRule="exact"/>
              <w:ind w:right="88"/>
              <w:jc w:val="right"/>
              <w:rPr>
                <w:b/>
                <w:sz w:val="16"/>
              </w:rPr>
            </w:pPr>
            <w:r>
              <w:rPr>
                <w:b/>
                <w:spacing w:val="-2"/>
                <w:sz w:val="16"/>
              </w:rPr>
              <w:t>(2,690)</w:t>
            </w:r>
          </w:p>
        </w:tc>
        <w:tc>
          <w:tcPr>
            <w:tcW w:w="1075" w:type="dxa"/>
            <w:tcBorders>
              <w:top w:val="single" w:sz="6" w:space="0" w:color="000000"/>
              <w:bottom w:val="single" w:sz="6" w:space="0" w:color="000000"/>
            </w:tcBorders>
          </w:tcPr>
          <w:p w14:paraId="4E699586" w14:textId="77777777" w:rsidR="00AC6F3C" w:rsidRDefault="00570E88">
            <w:pPr>
              <w:pStyle w:val="TableParagraph"/>
              <w:spacing w:before="12" w:line="171" w:lineRule="exact"/>
              <w:ind w:right="138"/>
              <w:jc w:val="right"/>
              <w:rPr>
                <w:b/>
                <w:sz w:val="16"/>
              </w:rPr>
            </w:pPr>
            <w:r>
              <w:rPr>
                <w:b/>
                <w:spacing w:val="-2"/>
                <w:sz w:val="16"/>
              </w:rPr>
              <w:t>(4,322)</w:t>
            </w:r>
          </w:p>
        </w:tc>
        <w:tc>
          <w:tcPr>
            <w:tcW w:w="937" w:type="dxa"/>
            <w:tcBorders>
              <w:top w:val="single" w:sz="6" w:space="0" w:color="000000"/>
              <w:bottom w:val="single" w:sz="6" w:space="0" w:color="000000"/>
            </w:tcBorders>
          </w:tcPr>
          <w:p w14:paraId="439A265F" w14:textId="77777777" w:rsidR="00AC6F3C" w:rsidRDefault="00570E88">
            <w:pPr>
              <w:pStyle w:val="TableParagraph"/>
              <w:spacing w:before="12" w:line="171" w:lineRule="exact"/>
              <w:ind w:right="54"/>
              <w:jc w:val="right"/>
              <w:rPr>
                <w:b/>
                <w:sz w:val="16"/>
              </w:rPr>
            </w:pPr>
            <w:r>
              <w:rPr>
                <w:b/>
                <w:w w:val="102"/>
                <w:sz w:val="16"/>
              </w:rPr>
              <w:t>-</w:t>
            </w:r>
          </w:p>
        </w:tc>
        <w:tc>
          <w:tcPr>
            <w:tcW w:w="989" w:type="dxa"/>
            <w:tcBorders>
              <w:top w:val="single" w:sz="6" w:space="0" w:color="000000"/>
              <w:bottom w:val="single" w:sz="6" w:space="0" w:color="000000"/>
            </w:tcBorders>
          </w:tcPr>
          <w:p w14:paraId="0BBEEB8C" w14:textId="77777777" w:rsidR="00AC6F3C" w:rsidRDefault="00570E88">
            <w:pPr>
              <w:pStyle w:val="TableParagraph"/>
              <w:spacing w:before="12" w:line="171" w:lineRule="exact"/>
              <w:ind w:right="13"/>
              <w:jc w:val="right"/>
              <w:rPr>
                <w:b/>
                <w:sz w:val="16"/>
              </w:rPr>
            </w:pPr>
            <w:r>
              <w:rPr>
                <w:b/>
                <w:spacing w:val="-2"/>
                <w:sz w:val="16"/>
              </w:rPr>
              <w:t>(1,704)</w:t>
            </w:r>
          </w:p>
        </w:tc>
        <w:tc>
          <w:tcPr>
            <w:tcW w:w="1032" w:type="dxa"/>
            <w:tcBorders>
              <w:top w:val="single" w:sz="6" w:space="0" w:color="000000"/>
              <w:bottom w:val="single" w:sz="6" w:space="0" w:color="000000"/>
              <w:right w:val="single" w:sz="6" w:space="0" w:color="000000"/>
            </w:tcBorders>
            <w:shd w:val="clear" w:color="auto" w:fill="F1F1F1"/>
          </w:tcPr>
          <w:p w14:paraId="365F15F4" w14:textId="77777777" w:rsidR="00AC6F3C" w:rsidRDefault="00570E88">
            <w:pPr>
              <w:pStyle w:val="TableParagraph"/>
              <w:spacing w:before="12" w:line="171" w:lineRule="exact"/>
              <w:ind w:right="12"/>
              <w:jc w:val="right"/>
              <w:rPr>
                <w:b/>
                <w:sz w:val="16"/>
              </w:rPr>
            </w:pPr>
            <w:r>
              <w:rPr>
                <w:b/>
                <w:spacing w:val="-2"/>
                <w:sz w:val="16"/>
              </w:rPr>
              <w:t>(8,717)</w:t>
            </w:r>
          </w:p>
        </w:tc>
      </w:tr>
      <w:tr w:rsidR="00AC6F3C" w14:paraId="51B3F256" w14:textId="77777777">
        <w:trPr>
          <w:trHeight w:val="203"/>
        </w:trPr>
        <w:tc>
          <w:tcPr>
            <w:tcW w:w="3281" w:type="dxa"/>
            <w:tcBorders>
              <w:top w:val="single" w:sz="6" w:space="0" w:color="000000"/>
              <w:left w:val="single" w:sz="6" w:space="0" w:color="000000"/>
              <w:bottom w:val="single" w:sz="6" w:space="0" w:color="000000"/>
            </w:tcBorders>
            <w:shd w:val="clear" w:color="auto" w:fill="BEBEBE"/>
          </w:tcPr>
          <w:p w14:paraId="5E1A14D2" w14:textId="77777777" w:rsidR="00AC6F3C" w:rsidRDefault="00570E88">
            <w:pPr>
              <w:pStyle w:val="TableParagraph"/>
              <w:spacing w:before="12" w:line="171" w:lineRule="exact"/>
              <w:ind w:left="33"/>
              <w:rPr>
                <w:b/>
                <w:sz w:val="16"/>
              </w:rPr>
            </w:pPr>
            <w:r>
              <w:rPr>
                <w:b/>
                <w:sz w:val="16"/>
              </w:rPr>
              <w:t>Net</w:t>
            </w:r>
            <w:r>
              <w:rPr>
                <w:b/>
                <w:spacing w:val="-5"/>
                <w:sz w:val="16"/>
              </w:rPr>
              <w:t xml:space="preserve"> </w:t>
            </w:r>
            <w:r>
              <w:rPr>
                <w:b/>
                <w:sz w:val="16"/>
              </w:rPr>
              <w:t>book value at</w:t>
            </w:r>
            <w:r>
              <w:rPr>
                <w:b/>
                <w:spacing w:val="-4"/>
                <w:sz w:val="16"/>
              </w:rPr>
              <w:t xml:space="preserve"> </w:t>
            </w:r>
            <w:r>
              <w:rPr>
                <w:b/>
                <w:sz w:val="16"/>
              </w:rPr>
              <w:t xml:space="preserve">30 June </w:t>
            </w:r>
            <w:r>
              <w:rPr>
                <w:b/>
                <w:spacing w:val="-4"/>
                <w:sz w:val="16"/>
              </w:rPr>
              <w:t>2023</w:t>
            </w:r>
          </w:p>
        </w:tc>
        <w:tc>
          <w:tcPr>
            <w:tcW w:w="1162" w:type="dxa"/>
            <w:tcBorders>
              <w:top w:val="single" w:sz="6" w:space="0" w:color="000000"/>
              <w:bottom w:val="single" w:sz="6" w:space="0" w:color="000000"/>
            </w:tcBorders>
            <w:shd w:val="clear" w:color="auto" w:fill="BEBEBE"/>
          </w:tcPr>
          <w:p w14:paraId="299DB59A" w14:textId="77777777" w:rsidR="00AC6F3C" w:rsidRDefault="00570E88">
            <w:pPr>
              <w:pStyle w:val="TableParagraph"/>
              <w:spacing w:before="12" w:line="171" w:lineRule="exact"/>
              <w:ind w:right="93"/>
              <w:jc w:val="right"/>
              <w:rPr>
                <w:b/>
                <w:sz w:val="16"/>
              </w:rPr>
            </w:pPr>
            <w:r>
              <w:rPr>
                <w:b/>
                <w:spacing w:val="-2"/>
                <w:sz w:val="16"/>
              </w:rPr>
              <w:t>35,500</w:t>
            </w:r>
          </w:p>
        </w:tc>
        <w:tc>
          <w:tcPr>
            <w:tcW w:w="1075" w:type="dxa"/>
            <w:tcBorders>
              <w:top w:val="single" w:sz="6" w:space="0" w:color="000000"/>
              <w:bottom w:val="single" w:sz="6" w:space="0" w:color="000000"/>
            </w:tcBorders>
            <w:shd w:val="clear" w:color="auto" w:fill="BEBEBE"/>
          </w:tcPr>
          <w:p w14:paraId="224C8B58" w14:textId="77777777" w:rsidR="00AC6F3C" w:rsidRDefault="00570E88">
            <w:pPr>
              <w:pStyle w:val="TableParagraph"/>
              <w:spacing w:before="12" w:line="171" w:lineRule="exact"/>
              <w:ind w:right="142"/>
              <w:jc w:val="right"/>
              <w:rPr>
                <w:b/>
                <w:sz w:val="16"/>
              </w:rPr>
            </w:pPr>
            <w:r>
              <w:rPr>
                <w:b/>
                <w:spacing w:val="-5"/>
                <w:sz w:val="16"/>
              </w:rPr>
              <w:t>448</w:t>
            </w:r>
          </w:p>
        </w:tc>
        <w:tc>
          <w:tcPr>
            <w:tcW w:w="937" w:type="dxa"/>
            <w:tcBorders>
              <w:top w:val="single" w:sz="6" w:space="0" w:color="000000"/>
              <w:bottom w:val="single" w:sz="6" w:space="0" w:color="000000"/>
            </w:tcBorders>
            <w:shd w:val="clear" w:color="auto" w:fill="BEBEBE"/>
          </w:tcPr>
          <w:p w14:paraId="6D8A83DC" w14:textId="77777777" w:rsidR="00AC6F3C" w:rsidRDefault="00570E88">
            <w:pPr>
              <w:pStyle w:val="TableParagraph"/>
              <w:spacing w:before="12" w:line="171" w:lineRule="exact"/>
              <w:ind w:right="54"/>
              <w:jc w:val="right"/>
              <w:rPr>
                <w:b/>
                <w:sz w:val="16"/>
              </w:rPr>
            </w:pPr>
            <w:r>
              <w:rPr>
                <w:b/>
                <w:spacing w:val="-2"/>
                <w:sz w:val="16"/>
              </w:rPr>
              <w:t>2,052</w:t>
            </w:r>
          </w:p>
        </w:tc>
        <w:tc>
          <w:tcPr>
            <w:tcW w:w="989" w:type="dxa"/>
            <w:tcBorders>
              <w:top w:val="single" w:sz="6" w:space="0" w:color="000000"/>
              <w:bottom w:val="single" w:sz="6" w:space="0" w:color="000000"/>
            </w:tcBorders>
            <w:shd w:val="clear" w:color="auto" w:fill="BEBEBE"/>
          </w:tcPr>
          <w:p w14:paraId="75F18767" w14:textId="77777777" w:rsidR="00AC6F3C" w:rsidRDefault="00570E88">
            <w:pPr>
              <w:pStyle w:val="TableParagraph"/>
              <w:spacing w:before="12" w:line="171" w:lineRule="exact"/>
              <w:ind w:right="17"/>
              <w:jc w:val="right"/>
              <w:rPr>
                <w:b/>
                <w:sz w:val="16"/>
              </w:rPr>
            </w:pPr>
            <w:r>
              <w:rPr>
                <w:b/>
                <w:spacing w:val="-2"/>
                <w:sz w:val="16"/>
              </w:rPr>
              <w:t>1,485</w:t>
            </w:r>
          </w:p>
        </w:tc>
        <w:tc>
          <w:tcPr>
            <w:tcW w:w="1032" w:type="dxa"/>
            <w:tcBorders>
              <w:top w:val="single" w:sz="6" w:space="0" w:color="000000"/>
              <w:bottom w:val="single" w:sz="6" w:space="0" w:color="000000"/>
              <w:right w:val="single" w:sz="6" w:space="0" w:color="000000"/>
            </w:tcBorders>
            <w:shd w:val="clear" w:color="auto" w:fill="BEBEBE"/>
          </w:tcPr>
          <w:p w14:paraId="4DE47D9E" w14:textId="77777777" w:rsidR="00AC6F3C" w:rsidRDefault="00570E88">
            <w:pPr>
              <w:pStyle w:val="TableParagraph"/>
              <w:spacing w:before="12" w:line="171" w:lineRule="exact"/>
              <w:ind w:right="16"/>
              <w:jc w:val="right"/>
              <w:rPr>
                <w:b/>
                <w:sz w:val="16"/>
              </w:rPr>
            </w:pPr>
            <w:r>
              <w:rPr>
                <w:b/>
                <w:spacing w:val="-2"/>
                <w:sz w:val="16"/>
              </w:rPr>
              <w:t>39,485</w:t>
            </w:r>
          </w:p>
        </w:tc>
      </w:tr>
      <w:tr w:rsidR="00AC6F3C" w14:paraId="3ED962BB" w14:textId="77777777">
        <w:trPr>
          <w:trHeight w:val="214"/>
        </w:trPr>
        <w:tc>
          <w:tcPr>
            <w:tcW w:w="4443" w:type="dxa"/>
            <w:gridSpan w:val="2"/>
            <w:tcBorders>
              <w:top w:val="single" w:sz="6" w:space="0" w:color="000000"/>
              <w:left w:val="single" w:sz="6" w:space="0" w:color="000000"/>
            </w:tcBorders>
          </w:tcPr>
          <w:p w14:paraId="7F64A235" w14:textId="77777777" w:rsidR="00AC6F3C" w:rsidRDefault="00570E88">
            <w:pPr>
              <w:pStyle w:val="TableParagraph"/>
              <w:spacing w:before="12" w:line="182" w:lineRule="exact"/>
              <w:ind w:left="33"/>
              <w:rPr>
                <w:b/>
                <w:sz w:val="16"/>
              </w:rPr>
            </w:pPr>
            <w:r>
              <w:rPr>
                <w:b/>
                <w:spacing w:val="-4"/>
                <w:sz w:val="16"/>
              </w:rPr>
              <w:t>2022</w:t>
            </w:r>
          </w:p>
        </w:tc>
        <w:tc>
          <w:tcPr>
            <w:tcW w:w="1075" w:type="dxa"/>
            <w:tcBorders>
              <w:top w:val="single" w:sz="6" w:space="0" w:color="000000"/>
            </w:tcBorders>
          </w:tcPr>
          <w:p w14:paraId="52AFCAB5" w14:textId="77777777" w:rsidR="00AC6F3C" w:rsidRDefault="00AC6F3C">
            <w:pPr>
              <w:pStyle w:val="TableParagraph"/>
              <w:rPr>
                <w:rFonts w:ascii="Times New Roman"/>
                <w:sz w:val="14"/>
              </w:rPr>
            </w:pPr>
          </w:p>
        </w:tc>
        <w:tc>
          <w:tcPr>
            <w:tcW w:w="937" w:type="dxa"/>
            <w:tcBorders>
              <w:top w:val="single" w:sz="6" w:space="0" w:color="000000"/>
            </w:tcBorders>
          </w:tcPr>
          <w:p w14:paraId="3D005A8B" w14:textId="77777777" w:rsidR="00AC6F3C" w:rsidRDefault="00AC6F3C">
            <w:pPr>
              <w:pStyle w:val="TableParagraph"/>
              <w:rPr>
                <w:rFonts w:ascii="Times New Roman"/>
                <w:sz w:val="14"/>
              </w:rPr>
            </w:pPr>
          </w:p>
        </w:tc>
        <w:tc>
          <w:tcPr>
            <w:tcW w:w="989" w:type="dxa"/>
            <w:tcBorders>
              <w:top w:val="single" w:sz="6" w:space="0" w:color="000000"/>
            </w:tcBorders>
          </w:tcPr>
          <w:p w14:paraId="519E69B3"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4549E4C0" w14:textId="77777777" w:rsidR="00AC6F3C" w:rsidRDefault="00AC6F3C">
            <w:pPr>
              <w:pStyle w:val="TableParagraph"/>
              <w:rPr>
                <w:rFonts w:ascii="Times New Roman"/>
                <w:sz w:val="14"/>
              </w:rPr>
            </w:pPr>
          </w:p>
        </w:tc>
      </w:tr>
      <w:tr w:rsidR="00AC6F3C" w14:paraId="1F768922" w14:textId="77777777">
        <w:trPr>
          <w:trHeight w:val="218"/>
        </w:trPr>
        <w:tc>
          <w:tcPr>
            <w:tcW w:w="4443" w:type="dxa"/>
            <w:gridSpan w:val="2"/>
            <w:tcBorders>
              <w:left w:val="single" w:sz="6" w:space="0" w:color="000000"/>
            </w:tcBorders>
          </w:tcPr>
          <w:p w14:paraId="34AD76A0" w14:textId="77777777" w:rsidR="00AC6F3C" w:rsidRDefault="00570E88">
            <w:pPr>
              <w:pStyle w:val="TableParagraph"/>
              <w:spacing w:before="16" w:line="182" w:lineRule="exact"/>
              <w:ind w:left="33"/>
              <w:rPr>
                <w:b/>
                <w:sz w:val="16"/>
              </w:rPr>
            </w:pPr>
            <w:r>
              <w:rPr>
                <w:b/>
                <w:sz w:val="16"/>
              </w:rPr>
              <w:t>Cost</w:t>
            </w:r>
            <w:r>
              <w:rPr>
                <w:b/>
                <w:spacing w:val="-7"/>
                <w:sz w:val="16"/>
              </w:rPr>
              <w:t xml:space="preserve"> </w:t>
            </w:r>
            <w:r>
              <w:rPr>
                <w:b/>
                <w:sz w:val="16"/>
              </w:rPr>
              <w:t>or</w:t>
            </w:r>
            <w:r>
              <w:rPr>
                <w:b/>
                <w:spacing w:val="-2"/>
                <w:sz w:val="16"/>
              </w:rPr>
              <w:t xml:space="preserve"> valuation</w:t>
            </w:r>
          </w:p>
        </w:tc>
        <w:tc>
          <w:tcPr>
            <w:tcW w:w="1075" w:type="dxa"/>
          </w:tcPr>
          <w:p w14:paraId="7DACB808" w14:textId="77777777" w:rsidR="00AC6F3C" w:rsidRDefault="00AC6F3C">
            <w:pPr>
              <w:pStyle w:val="TableParagraph"/>
              <w:rPr>
                <w:rFonts w:ascii="Times New Roman"/>
                <w:sz w:val="14"/>
              </w:rPr>
            </w:pPr>
          </w:p>
        </w:tc>
        <w:tc>
          <w:tcPr>
            <w:tcW w:w="937" w:type="dxa"/>
          </w:tcPr>
          <w:p w14:paraId="661CF7ED" w14:textId="77777777" w:rsidR="00AC6F3C" w:rsidRDefault="00AC6F3C">
            <w:pPr>
              <w:pStyle w:val="TableParagraph"/>
              <w:rPr>
                <w:rFonts w:ascii="Times New Roman"/>
                <w:sz w:val="14"/>
              </w:rPr>
            </w:pPr>
          </w:p>
        </w:tc>
        <w:tc>
          <w:tcPr>
            <w:tcW w:w="989" w:type="dxa"/>
          </w:tcPr>
          <w:p w14:paraId="00602408" w14:textId="77777777" w:rsidR="00AC6F3C" w:rsidRDefault="00AC6F3C">
            <w:pPr>
              <w:pStyle w:val="TableParagraph"/>
              <w:rPr>
                <w:rFonts w:ascii="Times New Roman"/>
                <w:sz w:val="14"/>
              </w:rPr>
            </w:pPr>
          </w:p>
        </w:tc>
        <w:tc>
          <w:tcPr>
            <w:tcW w:w="1032" w:type="dxa"/>
            <w:tcBorders>
              <w:right w:val="single" w:sz="6" w:space="0" w:color="000000"/>
            </w:tcBorders>
            <w:shd w:val="clear" w:color="auto" w:fill="F1F1F1"/>
          </w:tcPr>
          <w:p w14:paraId="0352EDB9" w14:textId="77777777" w:rsidR="00AC6F3C" w:rsidRDefault="00AC6F3C">
            <w:pPr>
              <w:pStyle w:val="TableParagraph"/>
              <w:rPr>
                <w:rFonts w:ascii="Times New Roman"/>
                <w:sz w:val="14"/>
              </w:rPr>
            </w:pPr>
          </w:p>
        </w:tc>
      </w:tr>
      <w:tr w:rsidR="00AC6F3C" w14:paraId="33D349FC" w14:textId="77777777">
        <w:trPr>
          <w:trHeight w:val="238"/>
        </w:trPr>
        <w:tc>
          <w:tcPr>
            <w:tcW w:w="3281" w:type="dxa"/>
            <w:tcBorders>
              <w:left w:val="single" w:sz="6" w:space="0" w:color="000000"/>
            </w:tcBorders>
          </w:tcPr>
          <w:p w14:paraId="2177A4AC" w14:textId="77777777" w:rsidR="00AC6F3C" w:rsidRDefault="00570E88">
            <w:pPr>
              <w:pStyle w:val="TableParagraph"/>
              <w:spacing w:before="16"/>
              <w:ind w:left="33"/>
              <w:rPr>
                <w:sz w:val="16"/>
              </w:rPr>
            </w:pPr>
            <w:r>
              <w:rPr>
                <w:sz w:val="16"/>
              </w:rPr>
              <w:t>At the</w:t>
            </w:r>
            <w:r>
              <w:rPr>
                <w:spacing w:val="11"/>
                <w:sz w:val="16"/>
              </w:rPr>
              <w:t xml:space="preserve"> </w:t>
            </w:r>
            <w:r>
              <w:rPr>
                <w:sz w:val="16"/>
              </w:rPr>
              <w:t>beginning</w:t>
            </w:r>
            <w:r>
              <w:rPr>
                <w:spacing w:val="10"/>
                <w:sz w:val="16"/>
              </w:rPr>
              <w:t xml:space="preserve"> </w:t>
            </w:r>
            <w:r>
              <w:rPr>
                <w:sz w:val="16"/>
              </w:rPr>
              <w:t>of</w:t>
            </w:r>
            <w:r>
              <w:rPr>
                <w:spacing w:val="1"/>
                <w:sz w:val="16"/>
              </w:rPr>
              <w:t xml:space="preserve"> </w:t>
            </w:r>
            <w:r>
              <w:rPr>
                <w:sz w:val="16"/>
              </w:rPr>
              <w:t>the</w:t>
            </w:r>
            <w:r>
              <w:rPr>
                <w:spacing w:val="10"/>
                <w:sz w:val="16"/>
              </w:rPr>
              <w:t xml:space="preserve"> </w:t>
            </w:r>
            <w:r>
              <w:rPr>
                <w:spacing w:val="-4"/>
                <w:sz w:val="16"/>
              </w:rPr>
              <w:t>year</w:t>
            </w:r>
          </w:p>
        </w:tc>
        <w:tc>
          <w:tcPr>
            <w:tcW w:w="1162" w:type="dxa"/>
          </w:tcPr>
          <w:p w14:paraId="05F53171" w14:textId="77777777" w:rsidR="00AC6F3C" w:rsidRDefault="00570E88">
            <w:pPr>
              <w:pStyle w:val="TableParagraph"/>
              <w:spacing w:before="16"/>
              <w:ind w:right="93"/>
              <w:jc w:val="right"/>
              <w:rPr>
                <w:sz w:val="16"/>
              </w:rPr>
            </w:pPr>
            <w:r>
              <w:rPr>
                <w:spacing w:val="-2"/>
                <w:sz w:val="16"/>
              </w:rPr>
              <w:t>27,740</w:t>
            </w:r>
          </w:p>
        </w:tc>
        <w:tc>
          <w:tcPr>
            <w:tcW w:w="1075" w:type="dxa"/>
          </w:tcPr>
          <w:p w14:paraId="2A767ACE" w14:textId="77777777" w:rsidR="00AC6F3C" w:rsidRDefault="00570E88">
            <w:pPr>
              <w:pStyle w:val="TableParagraph"/>
              <w:spacing w:before="16"/>
              <w:ind w:right="142"/>
              <w:jc w:val="right"/>
              <w:rPr>
                <w:sz w:val="16"/>
              </w:rPr>
            </w:pPr>
            <w:r>
              <w:rPr>
                <w:spacing w:val="-2"/>
                <w:sz w:val="16"/>
              </w:rPr>
              <w:t>7,142</w:t>
            </w:r>
          </w:p>
        </w:tc>
        <w:tc>
          <w:tcPr>
            <w:tcW w:w="937" w:type="dxa"/>
          </w:tcPr>
          <w:p w14:paraId="1E51FC41" w14:textId="77777777" w:rsidR="00AC6F3C" w:rsidRDefault="00570E88">
            <w:pPr>
              <w:pStyle w:val="TableParagraph"/>
              <w:spacing w:before="16"/>
              <w:ind w:right="54"/>
              <w:jc w:val="right"/>
              <w:rPr>
                <w:sz w:val="16"/>
              </w:rPr>
            </w:pPr>
            <w:r>
              <w:rPr>
                <w:spacing w:val="-2"/>
                <w:sz w:val="16"/>
              </w:rPr>
              <w:t>1,011</w:t>
            </w:r>
          </w:p>
        </w:tc>
        <w:tc>
          <w:tcPr>
            <w:tcW w:w="989" w:type="dxa"/>
          </w:tcPr>
          <w:p w14:paraId="4A47096A" w14:textId="77777777" w:rsidR="00AC6F3C" w:rsidRDefault="00570E88">
            <w:pPr>
              <w:pStyle w:val="TableParagraph"/>
              <w:spacing w:before="16"/>
              <w:ind w:right="17"/>
              <w:jc w:val="right"/>
              <w:rPr>
                <w:sz w:val="16"/>
              </w:rPr>
            </w:pPr>
            <w:r>
              <w:rPr>
                <w:spacing w:val="-2"/>
                <w:sz w:val="16"/>
              </w:rPr>
              <w:t>1,758</w:t>
            </w:r>
          </w:p>
        </w:tc>
        <w:tc>
          <w:tcPr>
            <w:tcW w:w="1032" w:type="dxa"/>
            <w:tcBorders>
              <w:right w:val="single" w:sz="6" w:space="0" w:color="000000"/>
            </w:tcBorders>
            <w:shd w:val="clear" w:color="auto" w:fill="F1F1F1"/>
          </w:tcPr>
          <w:p w14:paraId="224107C1" w14:textId="77777777" w:rsidR="00AC6F3C" w:rsidRDefault="00570E88">
            <w:pPr>
              <w:pStyle w:val="TableParagraph"/>
              <w:spacing w:before="16"/>
              <w:ind w:right="16"/>
              <w:jc w:val="right"/>
              <w:rPr>
                <w:sz w:val="16"/>
              </w:rPr>
            </w:pPr>
            <w:r>
              <w:rPr>
                <w:spacing w:val="-2"/>
                <w:sz w:val="16"/>
              </w:rPr>
              <w:t>37,651</w:t>
            </w:r>
          </w:p>
        </w:tc>
      </w:tr>
      <w:tr w:rsidR="00AC6F3C" w14:paraId="198F4B93" w14:textId="77777777">
        <w:trPr>
          <w:trHeight w:val="245"/>
        </w:trPr>
        <w:tc>
          <w:tcPr>
            <w:tcW w:w="3281" w:type="dxa"/>
            <w:tcBorders>
              <w:left w:val="single" w:sz="6" w:space="0" w:color="000000"/>
            </w:tcBorders>
          </w:tcPr>
          <w:p w14:paraId="4BCA1E57" w14:textId="77777777" w:rsidR="00AC6F3C" w:rsidRDefault="00570E88">
            <w:pPr>
              <w:pStyle w:val="TableParagraph"/>
              <w:spacing w:before="36"/>
              <w:ind w:left="33"/>
              <w:rPr>
                <w:sz w:val="16"/>
              </w:rPr>
            </w:pPr>
            <w:r>
              <w:rPr>
                <w:spacing w:val="-2"/>
                <w:sz w:val="16"/>
              </w:rPr>
              <w:t>Additions</w:t>
            </w:r>
          </w:p>
        </w:tc>
        <w:tc>
          <w:tcPr>
            <w:tcW w:w="1162" w:type="dxa"/>
          </w:tcPr>
          <w:p w14:paraId="23FAC89F" w14:textId="77777777" w:rsidR="00AC6F3C" w:rsidRDefault="00570E88">
            <w:pPr>
              <w:pStyle w:val="TableParagraph"/>
              <w:spacing w:before="36"/>
              <w:ind w:right="92"/>
              <w:jc w:val="right"/>
              <w:rPr>
                <w:sz w:val="16"/>
              </w:rPr>
            </w:pPr>
            <w:r>
              <w:rPr>
                <w:w w:val="102"/>
                <w:sz w:val="16"/>
              </w:rPr>
              <w:t>-</w:t>
            </w:r>
          </w:p>
        </w:tc>
        <w:tc>
          <w:tcPr>
            <w:tcW w:w="1075" w:type="dxa"/>
          </w:tcPr>
          <w:p w14:paraId="66EF4D82" w14:textId="77777777" w:rsidR="00AC6F3C" w:rsidRDefault="00570E88">
            <w:pPr>
              <w:pStyle w:val="TableParagraph"/>
              <w:spacing w:before="36"/>
              <w:ind w:right="142"/>
              <w:jc w:val="right"/>
              <w:rPr>
                <w:sz w:val="16"/>
              </w:rPr>
            </w:pPr>
            <w:r>
              <w:rPr>
                <w:spacing w:val="-5"/>
                <w:sz w:val="16"/>
              </w:rPr>
              <w:t>88</w:t>
            </w:r>
          </w:p>
        </w:tc>
        <w:tc>
          <w:tcPr>
            <w:tcW w:w="937" w:type="dxa"/>
          </w:tcPr>
          <w:p w14:paraId="057D5497" w14:textId="77777777" w:rsidR="00AC6F3C" w:rsidRDefault="00570E88">
            <w:pPr>
              <w:pStyle w:val="TableParagraph"/>
              <w:spacing w:before="36"/>
              <w:ind w:right="53"/>
              <w:jc w:val="right"/>
              <w:rPr>
                <w:sz w:val="16"/>
              </w:rPr>
            </w:pPr>
            <w:r>
              <w:rPr>
                <w:spacing w:val="-5"/>
                <w:sz w:val="16"/>
              </w:rPr>
              <w:t>318</w:t>
            </w:r>
          </w:p>
        </w:tc>
        <w:tc>
          <w:tcPr>
            <w:tcW w:w="989" w:type="dxa"/>
          </w:tcPr>
          <w:p w14:paraId="3422C899" w14:textId="77777777" w:rsidR="00AC6F3C" w:rsidRDefault="00570E88">
            <w:pPr>
              <w:pStyle w:val="TableParagraph"/>
              <w:spacing w:before="36"/>
              <w:ind w:right="17"/>
              <w:jc w:val="right"/>
              <w:rPr>
                <w:sz w:val="16"/>
              </w:rPr>
            </w:pPr>
            <w:r>
              <w:rPr>
                <w:w w:val="102"/>
                <w:sz w:val="16"/>
              </w:rPr>
              <w:t>-</w:t>
            </w:r>
          </w:p>
        </w:tc>
        <w:tc>
          <w:tcPr>
            <w:tcW w:w="1032" w:type="dxa"/>
            <w:tcBorders>
              <w:right w:val="single" w:sz="6" w:space="0" w:color="000000"/>
            </w:tcBorders>
            <w:shd w:val="clear" w:color="auto" w:fill="F1F1F1"/>
          </w:tcPr>
          <w:p w14:paraId="357661B6" w14:textId="77777777" w:rsidR="00AC6F3C" w:rsidRDefault="00570E88">
            <w:pPr>
              <w:pStyle w:val="TableParagraph"/>
              <w:spacing w:before="36"/>
              <w:ind w:right="16"/>
              <w:jc w:val="right"/>
              <w:rPr>
                <w:sz w:val="16"/>
              </w:rPr>
            </w:pPr>
            <w:r>
              <w:rPr>
                <w:spacing w:val="-5"/>
                <w:sz w:val="16"/>
              </w:rPr>
              <w:t>406</w:t>
            </w:r>
          </w:p>
        </w:tc>
      </w:tr>
      <w:tr w:rsidR="00AC6F3C" w14:paraId="4FF41C3C" w14:textId="77777777">
        <w:trPr>
          <w:trHeight w:val="225"/>
        </w:trPr>
        <w:tc>
          <w:tcPr>
            <w:tcW w:w="3281" w:type="dxa"/>
            <w:tcBorders>
              <w:left w:val="single" w:sz="6" w:space="0" w:color="000000"/>
            </w:tcBorders>
          </w:tcPr>
          <w:p w14:paraId="295312AE" w14:textId="77777777" w:rsidR="00AC6F3C" w:rsidRDefault="00570E88">
            <w:pPr>
              <w:pStyle w:val="TableParagraph"/>
              <w:spacing w:before="23" w:line="182" w:lineRule="exact"/>
              <w:ind w:left="33"/>
              <w:rPr>
                <w:sz w:val="16"/>
              </w:rPr>
            </w:pPr>
            <w:r>
              <w:rPr>
                <w:sz w:val="16"/>
              </w:rPr>
              <w:t>Transfers</w:t>
            </w:r>
            <w:r>
              <w:rPr>
                <w:spacing w:val="40"/>
                <w:sz w:val="16"/>
              </w:rPr>
              <w:t xml:space="preserve"> </w:t>
            </w:r>
            <w:r>
              <w:rPr>
                <w:sz w:val="16"/>
              </w:rPr>
              <w:t>between</w:t>
            </w:r>
            <w:r>
              <w:rPr>
                <w:spacing w:val="25"/>
                <w:sz w:val="16"/>
              </w:rPr>
              <w:t xml:space="preserve"> </w:t>
            </w:r>
            <w:r>
              <w:rPr>
                <w:spacing w:val="-2"/>
                <w:sz w:val="16"/>
              </w:rPr>
              <w:t>classes</w:t>
            </w:r>
          </w:p>
        </w:tc>
        <w:tc>
          <w:tcPr>
            <w:tcW w:w="1162" w:type="dxa"/>
          </w:tcPr>
          <w:p w14:paraId="7300739A" w14:textId="77777777" w:rsidR="00AC6F3C" w:rsidRDefault="00570E88">
            <w:pPr>
              <w:pStyle w:val="TableParagraph"/>
              <w:spacing w:before="23" w:line="182" w:lineRule="exact"/>
              <w:ind w:right="92"/>
              <w:jc w:val="right"/>
              <w:rPr>
                <w:sz w:val="16"/>
              </w:rPr>
            </w:pPr>
            <w:r>
              <w:rPr>
                <w:w w:val="102"/>
                <w:sz w:val="16"/>
              </w:rPr>
              <w:t>-</w:t>
            </w:r>
          </w:p>
        </w:tc>
        <w:tc>
          <w:tcPr>
            <w:tcW w:w="1075" w:type="dxa"/>
          </w:tcPr>
          <w:p w14:paraId="735FC557" w14:textId="77777777" w:rsidR="00AC6F3C" w:rsidRDefault="00570E88">
            <w:pPr>
              <w:pStyle w:val="TableParagraph"/>
              <w:spacing w:before="23" w:line="182" w:lineRule="exact"/>
              <w:ind w:right="142"/>
              <w:jc w:val="right"/>
              <w:rPr>
                <w:sz w:val="16"/>
              </w:rPr>
            </w:pPr>
            <w:r>
              <w:rPr>
                <w:w w:val="102"/>
                <w:sz w:val="16"/>
              </w:rPr>
              <w:t>-</w:t>
            </w:r>
          </w:p>
        </w:tc>
        <w:tc>
          <w:tcPr>
            <w:tcW w:w="937" w:type="dxa"/>
          </w:tcPr>
          <w:p w14:paraId="3C22981C" w14:textId="77777777" w:rsidR="00AC6F3C" w:rsidRDefault="00570E88">
            <w:pPr>
              <w:pStyle w:val="TableParagraph"/>
              <w:spacing w:before="23" w:line="182" w:lineRule="exact"/>
              <w:ind w:right="49"/>
              <w:jc w:val="right"/>
              <w:rPr>
                <w:sz w:val="16"/>
              </w:rPr>
            </w:pPr>
            <w:r>
              <w:rPr>
                <w:spacing w:val="-2"/>
                <w:sz w:val="16"/>
              </w:rPr>
              <w:t>(1,176)</w:t>
            </w:r>
          </w:p>
        </w:tc>
        <w:tc>
          <w:tcPr>
            <w:tcW w:w="989" w:type="dxa"/>
          </w:tcPr>
          <w:p w14:paraId="16324D9B" w14:textId="77777777" w:rsidR="00AC6F3C" w:rsidRDefault="00570E88">
            <w:pPr>
              <w:pStyle w:val="TableParagraph"/>
              <w:spacing w:before="23" w:line="182" w:lineRule="exact"/>
              <w:ind w:right="17"/>
              <w:jc w:val="right"/>
              <w:rPr>
                <w:sz w:val="16"/>
              </w:rPr>
            </w:pPr>
            <w:r>
              <w:rPr>
                <w:spacing w:val="-2"/>
                <w:sz w:val="16"/>
              </w:rPr>
              <w:t>1,176</w:t>
            </w:r>
          </w:p>
        </w:tc>
        <w:tc>
          <w:tcPr>
            <w:tcW w:w="1032" w:type="dxa"/>
            <w:tcBorders>
              <w:right w:val="single" w:sz="6" w:space="0" w:color="000000"/>
            </w:tcBorders>
            <w:shd w:val="clear" w:color="auto" w:fill="F1F1F1"/>
          </w:tcPr>
          <w:p w14:paraId="22D7E836" w14:textId="77777777" w:rsidR="00AC6F3C" w:rsidRDefault="00570E88">
            <w:pPr>
              <w:pStyle w:val="TableParagraph"/>
              <w:spacing w:before="23" w:line="182" w:lineRule="exact"/>
              <w:ind w:right="16"/>
              <w:jc w:val="right"/>
              <w:rPr>
                <w:sz w:val="16"/>
              </w:rPr>
            </w:pPr>
            <w:r>
              <w:rPr>
                <w:w w:val="102"/>
                <w:sz w:val="16"/>
              </w:rPr>
              <w:t>-</w:t>
            </w:r>
          </w:p>
        </w:tc>
      </w:tr>
      <w:tr w:rsidR="00AC6F3C" w14:paraId="64528EFE" w14:textId="77777777">
        <w:trPr>
          <w:trHeight w:val="207"/>
        </w:trPr>
        <w:tc>
          <w:tcPr>
            <w:tcW w:w="3281" w:type="dxa"/>
            <w:tcBorders>
              <w:left w:val="single" w:sz="6" w:space="0" w:color="000000"/>
              <w:bottom w:val="single" w:sz="6" w:space="0" w:color="000000"/>
            </w:tcBorders>
          </w:tcPr>
          <w:p w14:paraId="62EC019C" w14:textId="77777777" w:rsidR="00AC6F3C" w:rsidRDefault="00570E88">
            <w:pPr>
              <w:pStyle w:val="TableParagraph"/>
              <w:spacing w:before="16" w:line="171" w:lineRule="exact"/>
              <w:ind w:left="33"/>
              <w:rPr>
                <w:sz w:val="16"/>
              </w:rPr>
            </w:pPr>
            <w:r>
              <w:rPr>
                <w:sz w:val="16"/>
              </w:rPr>
              <w:t>Revaluation</w:t>
            </w:r>
            <w:r>
              <w:rPr>
                <w:spacing w:val="29"/>
                <w:sz w:val="16"/>
              </w:rPr>
              <w:t xml:space="preserve"> </w:t>
            </w:r>
            <w:r>
              <w:rPr>
                <w:sz w:val="16"/>
              </w:rPr>
              <w:t>increment</w:t>
            </w:r>
            <w:r>
              <w:rPr>
                <w:spacing w:val="16"/>
                <w:sz w:val="16"/>
              </w:rPr>
              <w:t xml:space="preserve"> </w:t>
            </w:r>
            <w:r>
              <w:rPr>
                <w:sz w:val="16"/>
              </w:rPr>
              <w:t>/</w:t>
            </w:r>
            <w:r>
              <w:rPr>
                <w:spacing w:val="16"/>
                <w:sz w:val="16"/>
              </w:rPr>
              <w:t xml:space="preserve"> </w:t>
            </w:r>
            <w:r>
              <w:rPr>
                <w:spacing w:val="-2"/>
                <w:sz w:val="16"/>
              </w:rPr>
              <w:t>(decrement)</w:t>
            </w:r>
          </w:p>
        </w:tc>
        <w:tc>
          <w:tcPr>
            <w:tcW w:w="1162" w:type="dxa"/>
            <w:tcBorders>
              <w:bottom w:val="single" w:sz="6" w:space="0" w:color="000000"/>
            </w:tcBorders>
          </w:tcPr>
          <w:p w14:paraId="1306B962" w14:textId="77777777" w:rsidR="00AC6F3C" w:rsidRDefault="00570E88">
            <w:pPr>
              <w:pStyle w:val="TableParagraph"/>
              <w:spacing w:before="16" w:line="171" w:lineRule="exact"/>
              <w:ind w:right="92"/>
              <w:jc w:val="right"/>
              <w:rPr>
                <w:sz w:val="16"/>
              </w:rPr>
            </w:pPr>
            <w:r>
              <w:rPr>
                <w:w w:val="102"/>
                <w:sz w:val="16"/>
              </w:rPr>
              <w:t>-</w:t>
            </w:r>
          </w:p>
        </w:tc>
        <w:tc>
          <w:tcPr>
            <w:tcW w:w="1075" w:type="dxa"/>
            <w:tcBorders>
              <w:bottom w:val="single" w:sz="6" w:space="0" w:color="000000"/>
            </w:tcBorders>
          </w:tcPr>
          <w:p w14:paraId="040293CF" w14:textId="77777777" w:rsidR="00AC6F3C" w:rsidRDefault="00570E88">
            <w:pPr>
              <w:pStyle w:val="TableParagraph"/>
              <w:spacing w:before="16" w:line="171" w:lineRule="exact"/>
              <w:ind w:right="142"/>
              <w:jc w:val="right"/>
              <w:rPr>
                <w:sz w:val="16"/>
              </w:rPr>
            </w:pPr>
            <w:r>
              <w:rPr>
                <w:w w:val="102"/>
                <w:sz w:val="16"/>
              </w:rPr>
              <w:t>-</w:t>
            </w:r>
          </w:p>
        </w:tc>
        <w:tc>
          <w:tcPr>
            <w:tcW w:w="937" w:type="dxa"/>
            <w:tcBorders>
              <w:bottom w:val="single" w:sz="6" w:space="0" w:color="000000"/>
            </w:tcBorders>
          </w:tcPr>
          <w:p w14:paraId="71ED304E" w14:textId="77777777" w:rsidR="00AC6F3C" w:rsidRDefault="00570E88">
            <w:pPr>
              <w:pStyle w:val="TableParagraph"/>
              <w:spacing w:before="16" w:line="171" w:lineRule="exact"/>
              <w:ind w:right="53"/>
              <w:jc w:val="right"/>
              <w:rPr>
                <w:sz w:val="16"/>
              </w:rPr>
            </w:pPr>
            <w:r>
              <w:rPr>
                <w:w w:val="102"/>
                <w:sz w:val="16"/>
              </w:rPr>
              <w:t>-</w:t>
            </w:r>
          </w:p>
        </w:tc>
        <w:tc>
          <w:tcPr>
            <w:tcW w:w="989" w:type="dxa"/>
            <w:tcBorders>
              <w:bottom w:val="single" w:sz="6" w:space="0" w:color="000000"/>
            </w:tcBorders>
          </w:tcPr>
          <w:p w14:paraId="336324CF" w14:textId="77777777" w:rsidR="00AC6F3C" w:rsidRDefault="00570E88">
            <w:pPr>
              <w:pStyle w:val="TableParagraph"/>
              <w:spacing w:before="16" w:line="171" w:lineRule="exact"/>
              <w:ind w:right="17"/>
              <w:jc w:val="right"/>
              <w:rPr>
                <w:sz w:val="16"/>
              </w:rPr>
            </w:pPr>
            <w:r>
              <w:rPr>
                <w:w w:val="102"/>
                <w:sz w:val="16"/>
              </w:rPr>
              <w:t>-</w:t>
            </w:r>
          </w:p>
        </w:tc>
        <w:tc>
          <w:tcPr>
            <w:tcW w:w="1032" w:type="dxa"/>
            <w:tcBorders>
              <w:bottom w:val="single" w:sz="6" w:space="0" w:color="000000"/>
              <w:right w:val="single" w:sz="6" w:space="0" w:color="000000"/>
            </w:tcBorders>
            <w:shd w:val="clear" w:color="auto" w:fill="F1F1F1"/>
          </w:tcPr>
          <w:p w14:paraId="7D87F86E" w14:textId="77777777" w:rsidR="00AC6F3C" w:rsidRDefault="00570E88">
            <w:pPr>
              <w:pStyle w:val="TableParagraph"/>
              <w:spacing w:before="16" w:line="171" w:lineRule="exact"/>
              <w:ind w:right="16"/>
              <w:jc w:val="right"/>
              <w:rPr>
                <w:sz w:val="16"/>
              </w:rPr>
            </w:pPr>
            <w:r>
              <w:rPr>
                <w:w w:val="102"/>
                <w:sz w:val="16"/>
              </w:rPr>
              <w:t>-</w:t>
            </w:r>
          </w:p>
        </w:tc>
      </w:tr>
      <w:tr w:rsidR="00AC6F3C" w14:paraId="1A5F2F78" w14:textId="77777777">
        <w:trPr>
          <w:trHeight w:val="203"/>
        </w:trPr>
        <w:tc>
          <w:tcPr>
            <w:tcW w:w="3281" w:type="dxa"/>
            <w:tcBorders>
              <w:top w:val="single" w:sz="6" w:space="0" w:color="000000"/>
              <w:left w:val="single" w:sz="6" w:space="0" w:color="000000"/>
              <w:bottom w:val="single" w:sz="6" w:space="0" w:color="000000"/>
            </w:tcBorders>
          </w:tcPr>
          <w:p w14:paraId="4E448A01" w14:textId="77777777" w:rsidR="00AC6F3C" w:rsidRDefault="00570E88">
            <w:pPr>
              <w:pStyle w:val="TableParagraph"/>
              <w:spacing w:before="12"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366F1923" w14:textId="77777777" w:rsidR="00AC6F3C" w:rsidRDefault="00570E88">
            <w:pPr>
              <w:pStyle w:val="TableParagraph"/>
              <w:spacing w:before="12" w:line="171" w:lineRule="exact"/>
              <w:ind w:right="92"/>
              <w:jc w:val="right"/>
              <w:rPr>
                <w:b/>
                <w:sz w:val="16"/>
              </w:rPr>
            </w:pPr>
            <w:r>
              <w:rPr>
                <w:b/>
                <w:spacing w:val="-2"/>
                <w:sz w:val="16"/>
              </w:rPr>
              <w:t>27,740</w:t>
            </w:r>
          </w:p>
        </w:tc>
        <w:tc>
          <w:tcPr>
            <w:tcW w:w="1075" w:type="dxa"/>
            <w:tcBorders>
              <w:top w:val="single" w:sz="6" w:space="0" w:color="000000"/>
              <w:bottom w:val="single" w:sz="6" w:space="0" w:color="000000"/>
            </w:tcBorders>
          </w:tcPr>
          <w:p w14:paraId="5F242636" w14:textId="77777777" w:rsidR="00AC6F3C" w:rsidRDefault="00570E88">
            <w:pPr>
              <w:pStyle w:val="TableParagraph"/>
              <w:spacing w:before="12" w:line="171" w:lineRule="exact"/>
              <w:ind w:right="142"/>
              <w:jc w:val="right"/>
              <w:rPr>
                <w:b/>
                <w:sz w:val="16"/>
              </w:rPr>
            </w:pPr>
            <w:r>
              <w:rPr>
                <w:b/>
                <w:spacing w:val="-2"/>
                <w:sz w:val="16"/>
              </w:rPr>
              <w:t>7,230</w:t>
            </w:r>
          </w:p>
        </w:tc>
        <w:tc>
          <w:tcPr>
            <w:tcW w:w="937" w:type="dxa"/>
            <w:tcBorders>
              <w:top w:val="single" w:sz="6" w:space="0" w:color="000000"/>
              <w:bottom w:val="single" w:sz="6" w:space="0" w:color="000000"/>
            </w:tcBorders>
          </w:tcPr>
          <w:p w14:paraId="08DABEEF" w14:textId="77777777" w:rsidR="00AC6F3C" w:rsidRDefault="00570E88">
            <w:pPr>
              <w:pStyle w:val="TableParagraph"/>
              <w:spacing w:before="12" w:line="171" w:lineRule="exact"/>
              <w:ind w:right="54"/>
              <w:jc w:val="right"/>
              <w:rPr>
                <w:b/>
                <w:sz w:val="16"/>
              </w:rPr>
            </w:pPr>
            <w:r>
              <w:rPr>
                <w:b/>
                <w:spacing w:val="-5"/>
                <w:sz w:val="16"/>
              </w:rPr>
              <w:t>153</w:t>
            </w:r>
          </w:p>
        </w:tc>
        <w:tc>
          <w:tcPr>
            <w:tcW w:w="989" w:type="dxa"/>
            <w:tcBorders>
              <w:top w:val="single" w:sz="6" w:space="0" w:color="000000"/>
              <w:bottom w:val="single" w:sz="6" w:space="0" w:color="000000"/>
            </w:tcBorders>
          </w:tcPr>
          <w:p w14:paraId="4ADB9E15" w14:textId="77777777" w:rsidR="00AC6F3C" w:rsidRDefault="00570E88">
            <w:pPr>
              <w:pStyle w:val="TableParagraph"/>
              <w:spacing w:before="12" w:line="171" w:lineRule="exact"/>
              <w:ind w:right="17"/>
              <w:jc w:val="right"/>
              <w:rPr>
                <w:b/>
                <w:sz w:val="16"/>
              </w:rPr>
            </w:pPr>
            <w:r>
              <w:rPr>
                <w:b/>
                <w:spacing w:val="-2"/>
                <w:sz w:val="16"/>
              </w:rPr>
              <w:t>2,934</w:t>
            </w:r>
          </w:p>
        </w:tc>
        <w:tc>
          <w:tcPr>
            <w:tcW w:w="1032" w:type="dxa"/>
            <w:tcBorders>
              <w:top w:val="single" w:sz="6" w:space="0" w:color="000000"/>
              <w:bottom w:val="single" w:sz="6" w:space="0" w:color="000000"/>
              <w:right w:val="single" w:sz="6" w:space="0" w:color="000000"/>
            </w:tcBorders>
            <w:shd w:val="clear" w:color="auto" w:fill="F1F1F1"/>
          </w:tcPr>
          <w:p w14:paraId="664C5B80" w14:textId="77777777" w:rsidR="00AC6F3C" w:rsidRDefault="00570E88">
            <w:pPr>
              <w:pStyle w:val="TableParagraph"/>
              <w:spacing w:before="12" w:line="171" w:lineRule="exact"/>
              <w:ind w:right="16"/>
              <w:jc w:val="right"/>
              <w:rPr>
                <w:b/>
                <w:sz w:val="16"/>
              </w:rPr>
            </w:pPr>
            <w:r>
              <w:rPr>
                <w:b/>
                <w:spacing w:val="-2"/>
                <w:sz w:val="16"/>
              </w:rPr>
              <w:t>38,057</w:t>
            </w:r>
          </w:p>
        </w:tc>
      </w:tr>
      <w:tr w:rsidR="00AC6F3C" w14:paraId="465FB17A" w14:textId="77777777">
        <w:trPr>
          <w:trHeight w:val="214"/>
        </w:trPr>
        <w:tc>
          <w:tcPr>
            <w:tcW w:w="4443" w:type="dxa"/>
            <w:gridSpan w:val="2"/>
            <w:tcBorders>
              <w:top w:val="single" w:sz="6" w:space="0" w:color="000000"/>
              <w:left w:val="single" w:sz="6" w:space="0" w:color="000000"/>
            </w:tcBorders>
          </w:tcPr>
          <w:p w14:paraId="50ACCCA2" w14:textId="77777777" w:rsidR="00AC6F3C" w:rsidRDefault="00570E88">
            <w:pPr>
              <w:pStyle w:val="TableParagraph"/>
              <w:spacing w:before="12" w:line="182" w:lineRule="exact"/>
              <w:ind w:left="33"/>
              <w:rPr>
                <w:b/>
                <w:sz w:val="16"/>
              </w:rPr>
            </w:pPr>
            <w:r>
              <w:rPr>
                <w:b/>
                <w:spacing w:val="-2"/>
                <w:sz w:val="16"/>
              </w:rPr>
              <w:t>Depreciation</w:t>
            </w:r>
          </w:p>
        </w:tc>
        <w:tc>
          <w:tcPr>
            <w:tcW w:w="1075" w:type="dxa"/>
            <w:tcBorders>
              <w:top w:val="single" w:sz="6" w:space="0" w:color="000000"/>
            </w:tcBorders>
          </w:tcPr>
          <w:p w14:paraId="10334BFB" w14:textId="77777777" w:rsidR="00AC6F3C" w:rsidRDefault="00AC6F3C">
            <w:pPr>
              <w:pStyle w:val="TableParagraph"/>
              <w:rPr>
                <w:rFonts w:ascii="Times New Roman"/>
                <w:sz w:val="14"/>
              </w:rPr>
            </w:pPr>
          </w:p>
        </w:tc>
        <w:tc>
          <w:tcPr>
            <w:tcW w:w="937" w:type="dxa"/>
            <w:tcBorders>
              <w:top w:val="single" w:sz="6" w:space="0" w:color="000000"/>
            </w:tcBorders>
          </w:tcPr>
          <w:p w14:paraId="1AF68998" w14:textId="77777777" w:rsidR="00AC6F3C" w:rsidRDefault="00AC6F3C">
            <w:pPr>
              <w:pStyle w:val="TableParagraph"/>
              <w:rPr>
                <w:rFonts w:ascii="Times New Roman"/>
                <w:sz w:val="14"/>
              </w:rPr>
            </w:pPr>
          </w:p>
        </w:tc>
        <w:tc>
          <w:tcPr>
            <w:tcW w:w="989" w:type="dxa"/>
            <w:tcBorders>
              <w:top w:val="single" w:sz="6" w:space="0" w:color="000000"/>
            </w:tcBorders>
          </w:tcPr>
          <w:p w14:paraId="7F09428A"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214A9C6C" w14:textId="77777777" w:rsidR="00AC6F3C" w:rsidRDefault="00AC6F3C">
            <w:pPr>
              <w:pStyle w:val="TableParagraph"/>
              <w:rPr>
                <w:rFonts w:ascii="Times New Roman"/>
                <w:sz w:val="14"/>
              </w:rPr>
            </w:pPr>
          </w:p>
        </w:tc>
      </w:tr>
      <w:tr w:rsidR="00AC6F3C" w14:paraId="1880E28D" w14:textId="77777777">
        <w:trPr>
          <w:trHeight w:val="218"/>
        </w:trPr>
        <w:tc>
          <w:tcPr>
            <w:tcW w:w="3281" w:type="dxa"/>
            <w:tcBorders>
              <w:left w:val="single" w:sz="6" w:space="0" w:color="000000"/>
            </w:tcBorders>
          </w:tcPr>
          <w:p w14:paraId="602871C8" w14:textId="77777777" w:rsidR="00AC6F3C" w:rsidRDefault="00570E88">
            <w:pPr>
              <w:pStyle w:val="TableParagraph"/>
              <w:spacing w:before="16" w:line="182" w:lineRule="exact"/>
              <w:ind w:left="33"/>
              <w:rPr>
                <w:sz w:val="16"/>
              </w:rPr>
            </w:pPr>
            <w:r>
              <w:rPr>
                <w:sz w:val="16"/>
              </w:rPr>
              <w:t>Accumulated</w:t>
            </w:r>
            <w:r>
              <w:rPr>
                <w:spacing w:val="32"/>
                <w:sz w:val="16"/>
              </w:rPr>
              <w:t xml:space="preserve"> </w:t>
            </w:r>
            <w:r>
              <w:rPr>
                <w:spacing w:val="-2"/>
                <w:sz w:val="16"/>
              </w:rPr>
              <w:t>depreciation</w:t>
            </w:r>
          </w:p>
        </w:tc>
        <w:tc>
          <w:tcPr>
            <w:tcW w:w="1162" w:type="dxa"/>
          </w:tcPr>
          <w:p w14:paraId="0AA1E50B" w14:textId="77777777" w:rsidR="00AC6F3C" w:rsidRDefault="00570E88">
            <w:pPr>
              <w:pStyle w:val="TableParagraph"/>
              <w:spacing w:before="16" w:line="182" w:lineRule="exact"/>
              <w:ind w:right="92"/>
              <w:jc w:val="right"/>
              <w:rPr>
                <w:sz w:val="16"/>
              </w:rPr>
            </w:pPr>
            <w:r>
              <w:rPr>
                <w:w w:val="102"/>
                <w:sz w:val="16"/>
              </w:rPr>
              <w:t>-</w:t>
            </w:r>
          </w:p>
        </w:tc>
        <w:tc>
          <w:tcPr>
            <w:tcW w:w="1075" w:type="dxa"/>
          </w:tcPr>
          <w:p w14:paraId="7FDC933C" w14:textId="77777777" w:rsidR="00AC6F3C" w:rsidRDefault="00570E88">
            <w:pPr>
              <w:pStyle w:val="TableParagraph"/>
              <w:spacing w:before="16" w:line="182" w:lineRule="exact"/>
              <w:ind w:right="137"/>
              <w:jc w:val="right"/>
              <w:rPr>
                <w:sz w:val="16"/>
              </w:rPr>
            </w:pPr>
            <w:r>
              <w:rPr>
                <w:spacing w:val="-2"/>
                <w:sz w:val="16"/>
              </w:rPr>
              <w:t>(4,680)</w:t>
            </w:r>
          </w:p>
        </w:tc>
        <w:tc>
          <w:tcPr>
            <w:tcW w:w="937" w:type="dxa"/>
          </w:tcPr>
          <w:p w14:paraId="4C09667F" w14:textId="77777777" w:rsidR="00AC6F3C" w:rsidRDefault="00570E88">
            <w:pPr>
              <w:pStyle w:val="TableParagraph"/>
              <w:spacing w:before="16" w:line="182" w:lineRule="exact"/>
              <w:ind w:right="53"/>
              <w:jc w:val="right"/>
              <w:rPr>
                <w:sz w:val="16"/>
              </w:rPr>
            </w:pPr>
            <w:r>
              <w:rPr>
                <w:w w:val="102"/>
                <w:sz w:val="16"/>
              </w:rPr>
              <w:t>-</w:t>
            </w:r>
          </w:p>
        </w:tc>
        <w:tc>
          <w:tcPr>
            <w:tcW w:w="989" w:type="dxa"/>
          </w:tcPr>
          <w:p w14:paraId="1FAE002A" w14:textId="77777777" w:rsidR="00AC6F3C" w:rsidRDefault="00570E88">
            <w:pPr>
              <w:pStyle w:val="TableParagraph"/>
              <w:spacing w:before="16" w:line="182" w:lineRule="exact"/>
              <w:ind w:right="13"/>
              <w:jc w:val="right"/>
              <w:rPr>
                <w:sz w:val="16"/>
              </w:rPr>
            </w:pPr>
            <w:r>
              <w:rPr>
                <w:spacing w:val="-2"/>
                <w:sz w:val="16"/>
              </w:rPr>
              <w:t>(1,203)</w:t>
            </w:r>
          </w:p>
        </w:tc>
        <w:tc>
          <w:tcPr>
            <w:tcW w:w="1032" w:type="dxa"/>
            <w:tcBorders>
              <w:right w:val="single" w:sz="6" w:space="0" w:color="000000"/>
            </w:tcBorders>
            <w:shd w:val="clear" w:color="auto" w:fill="F1F1F1"/>
          </w:tcPr>
          <w:p w14:paraId="7148FF8E" w14:textId="77777777" w:rsidR="00AC6F3C" w:rsidRDefault="00570E88">
            <w:pPr>
              <w:pStyle w:val="TableParagraph"/>
              <w:spacing w:before="16" w:line="182" w:lineRule="exact"/>
              <w:ind w:right="12"/>
              <w:jc w:val="right"/>
              <w:rPr>
                <w:sz w:val="16"/>
              </w:rPr>
            </w:pPr>
            <w:r>
              <w:rPr>
                <w:spacing w:val="-2"/>
                <w:sz w:val="16"/>
              </w:rPr>
              <w:t>(5,883)</w:t>
            </w:r>
          </w:p>
        </w:tc>
      </w:tr>
      <w:tr w:rsidR="00AC6F3C" w14:paraId="219C88CC" w14:textId="77777777">
        <w:trPr>
          <w:trHeight w:val="207"/>
        </w:trPr>
        <w:tc>
          <w:tcPr>
            <w:tcW w:w="3281" w:type="dxa"/>
            <w:tcBorders>
              <w:left w:val="single" w:sz="6" w:space="0" w:color="000000"/>
              <w:bottom w:val="single" w:sz="6" w:space="0" w:color="000000"/>
            </w:tcBorders>
          </w:tcPr>
          <w:p w14:paraId="237FE75C" w14:textId="77777777" w:rsidR="00AC6F3C" w:rsidRDefault="00570E88">
            <w:pPr>
              <w:pStyle w:val="TableParagraph"/>
              <w:spacing w:before="16" w:line="171" w:lineRule="exact"/>
              <w:ind w:left="33"/>
              <w:rPr>
                <w:sz w:val="16"/>
              </w:rPr>
            </w:pPr>
            <w:r>
              <w:rPr>
                <w:sz w:val="16"/>
              </w:rPr>
              <w:t>Charge</w:t>
            </w:r>
            <w:r>
              <w:rPr>
                <w:spacing w:val="11"/>
                <w:sz w:val="16"/>
              </w:rPr>
              <w:t xml:space="preserve"> </w:t>
            </w:r>
            <w:r>
              <w:rPr>
                <w:sz w:val="16"/>
              </w:rPr>
              <w:t>for</w:t>
            </w:r>
            <w:r>
              <w:rPr>
                <w:spacing w:val="6"/>
                <w:sz w:val="16"/>
              </w:rPr>
              <w:t xml:space="preserve"> </w:t>
            </w:r>
            <w:r>
              <w:rPr>
                <w:sz w:val="16"/>
              </w:rPr>
              <w:t>the</w:t>
            </w:r>
            <w:r>
              <w:rPr>
                <w:spacing w:val="11"/>
                <w:sz w:val="16"/>
              </w:rPr>
              <w:t xml:space="preserve"> </w:t>
            </w:r>
            <w:r>
              <w:rPr>
                <w:spacing w:val="-4"/>
                <w:sz w:val="16"/>
              </w:rPr>
              <w:t>year</w:t>
            </w:r>
          </w:p>
        </w:tc>
        <w:tc>
          <w:tcPr>
            <w:tcW w:w="1162" w:type="dxa"/>
            <w:tcBorders>
              <w:bottom w:val="single" w:sz="6" w:space="0" w:color="000000"/>
            </w:tcBorders>
          </w:tcPr>
          <w:p w14:paraId="7CDB675F" w14:textId="77777777" w:rsidR="00AC6F3C" w:rsidRDefault="00570E88">
            <w:pPr>
              <w:pStyle w:val="TableParagraph"/>
              <w:spacing w:before="16" w:line="171" w:lineRule="exact"/>
              <w:ind w:right="88"/>
              <w:jc w:val="right"/>
              <w:rPr>
                <w:sz w:val="16"/>
              </w:rPr>
            </w:pPr>
            <w:r>
              <w:rPr>
                <w:spacing w:val="-2"/>
                <w:sz w:val="16"/>
              </w:rPr>
              <w:t>(749)</w:t>
            </w:r>
          </w:p>
        </w:tc>
        <w:tc>
          <w:tcPr>
            <w:tcW w:w="1075" w:type="dxa"/>
            <w:tcBorders>
              <w:bottom w:val="single" w:sz="6" w:space="0" w:color="000000"/>
            </w:tcBorders>
          </w:tcPr>
          <w:p w14:paraId="08199523" w14:textId="77777777" w:rsidR="00AC6F3C" w:rsidRDefault="00570E88">
            <w:pPr>
              <w:pStyle w:val="TableParagraph"/>
              <w:spacing w:before="16" w:line="171" w:lineRule="exact"/>
              <w:ind w:right="138"/>
              <w:jc w:val="right"/>
              <w:rPr>
                <w:sz w:val="16"/>
              </w:rPr>
            </w:pPr>
            <w:r>
              <w:rPr>
                <w:spacing w:val="-2"/>
                <w:sz w:val="16"/>
              </w:rPr>
              <w:t>(376)</w:t>
            </w:r>
          </w:p>
        </w:tc>
        <w:tc>
          <w:tcPr>
            <w:tcW w:w="937" w:type="dxa"/>
            <w:tcBorders>
              <w:bottom w:val="single" w:sz="6" w:space="0" w:color="000000"/>
            </w:tcBorders>
          </w:tcPr>
          <w:p w14:paraId="587B094D" w14:textId="77777777" w:rsidR="00AC6F3C" w:rsidRDefault="00570E88">
            <w:pPr>
              <w:pStyle w:val="TableParagraph"/>
              <w:spacing w:before="16" w:line="171" w:lineRule="exact"/>
              <w:ind w:right="53"/>
              <w:jc w:val="right"/>
              <w:rPr>
                <w:sz w:val="16"/>
              </w:rPr>
            </w:pPr>
            <w:r>
              <w:rPr>
                <w:w w:val="102"/>
                <w:sz w:val="16"/>
              </w:rPr>
              <w:t>-</w:t>
            </w:r>
          </w:p>
        </w:tc>
        <w:tc>
          <w:tcPr>
            <w:tcW w:w="989" w:type="dxa"/>
            <w:tcBorders>
              <w:bottom w:val="single" w:sz="6" w:space="0" w:color="000000"/>
            </w:tcBorders>
          </w:tcPr>
          <w:p w14:paraId="0320A18C" w14:textId="77777777" w:rsidR="00AC6F3C" w:rsidRDefault="00570E88">
            <w:pPr>
              <w:pStyle w:val="TableParagraph"/>
              <w:spacing w:before="16" w:line="171" w:lineRule="exact"/>
              <w:ind w:right="13"/>
              <w:jc w:val="right"/>
              <w:rPr>
                <w:sz w:val="16"/>
              </w:rPr>
            </w:pPr>
            <w:r>
              <w:rPr>
                <w:spacing w:val="-2"/>
                <w:sz w:val="16"/>
              </w:rPr>
              <w:t>(234)</w:t>
            </w:r>
          </w:p>
        </w:tc>
        <w:tc>
          <w:tcPr>
            <w:tcW w:w="1032" w:type="dxa"/>
            <w:tcBorders>
              <w:bottom w:val="single" w:sz="6" w:space="0" w:color="000000"/>
              <w:right w:val="single" w:sz="6" w:space="0" w:color="000000"/>
            </w:tcBorders>
            <w:shd w:val="clear" w:color="auto" w:fill="F1F1F1"/>
          </w:tcPr>
          <w:p w14:paraId="15E231C8" w14:textId="77777777" w:rsidR="00AC6F3C" w:rsidRDefault="00570E88">
            <w:pPr>
              <w:pStyle w:val="TableParagraph"/>
              <w:spacing w:before="16" w:line="171" w:lineRule="exact"/>
              <w:ind w:right="12"/>
              <w:jc w:val="right"/>
              <w:rPr>
                <w:sz w:val="16"/>
              </w:rPr>
            </w:pPr>
            <w:r>
              <w:rPr>
                <w:spacing w:val="-2"/>
                <w:sz w:val="16"/>
              </w:rPr>
              <w:t>(1,359)</w:t>
            </w:r>
          </w:p>
        </w:tc>
      </w:tr>
      <w:tr w:rsidR="00AC6F3C" w14:paraId="49D6378B" w14:textId="77777777">
        <w:trPr>
          <w:trHeight w:val="203"/>
        </w:trPr>
        <w:tc>
          <w:tcPr>
            <w:tcW w:w="3281" w:type="dxa"/>
            <w:tcBorders>
              <w:top w:val="single" w:sz="6" w:space="0" w:color="000000"/>
              <w:left w:val="single" w:sz="6" w:space="0" w:color="000000"/>
              <w:bottom w:val="single" w:sz="6" w:space="0" w:color="000000"/>
            </w:tcBorders>
          </w:tcPr>
          <w:p w14:paraId="0D38BB00" w14:textId="77777777" w:rsidR="00AC6F3C" w:rsidRDefault="00570E88">
            <w:pPr>
              <w:pStyle w:val="TableParagraph"/>
              <w:spacing w:before="12" w:line="171" w:lineRule="exact"/>
              <w:ind w:left="33"/>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546AAE04" w14:textId="77777777" w:rsidR="00AC6F3C" w:rsidRDefault="00570E88">
            <w:pPr>
              <w:pStyle w:val="TableParagraph"/>
              <w:spacing w:before="12" w:line="171" w:lineRule="exact"/>
              <w:ind w:right="88"/>
              <w:jc w:val="right"/>
              <w:rPr>
                <w:b/>
                <w:sz w:val="16"/>
              </w:rPr>
            </w:pPr>
            <w:r>
              <w:rPr>
                <w:b/>
                <w:spacing w:val="-2"/>
                <w:sz w:val="16"/>
              </w:rPr>
              <w:t>(749)</w:t>
            </w:r>
          </w:p>
        </w:tc>
        <w:tc>
          <w:tcPr>
            <w:tcW w:w="1075" w:type="dxa"/>
            <w:tcBorders>
              <w:top w:val="single" w:sz="6" w:space="0" w:color="000000"/>
              <w:bottom w:val="single" w:sz="6" w:space="0" w:color="000000"/>
            </w:tcBorders>
          </w:tcPr>
          <w:p w14:paraId="1BA2A014" w14:textId="77777777" w:rsidR="00AC6F3C" w:rsidRDefault="00570E88">
            <w:pPr>
              <w:pStyle w:val="TableParagraph"/>
              <w:spacing w:before="12" w:line="171" w:lineRule="exact"/>
              <w:ind w:right="137"/>
              <w:jc w:val="right"/>
              <w:rPr>
                <w:b/>
                <w:sz w:val="16"/>
              </w:rPr>
            </w:pPr>
            <w:r>
              <w:rPr>
                <w:b/>
                <w:spacing w:val="-2"/>
                <w:sz w:val="16"/>
              </w:rPr>
              <w:t>(5,056)</w:t>
            </w:r>
          </w:p>
        </w:tc>
        <w:tc>
          <w:tcPr>
            <w:tcW w:w="937" w:type="dxa"/>
            <w:tcBorders>
              <w:top w:val="single" w:sz="6" w:space="0" w:color="000000"/>
              <w:bottom w:val="single" w:sz="6" w:space="0" w:color="000000"/>
            </w:tcBorders>
          </w:tcPr>
          <w:p w14:paraId="48E3E3D3" w14:textId="77777777" w:rsidR="00AC6F3C" w:rsidRDefault="00570E88">
            <w:pPr>
              <w:pStyle w:val="TableParagraph"/>
              <w:spacing w:before="12" w:line="171" w:lineRule="exact"/>
              <w:ind w:right="53"/>
              <w:jc w:val="right"/>
              <w:rPr>
                <w:b/>
                <w:sz w:val="16"/>
              </w:rPr>
            </w:pPr>
            <w:r>
              <w:rPr>
                <w:b/>
                <w:w w:val="102"/>
                <w:sz w:val="16"/>
              </w:rPr>
              <w:t>-</w:t>
            </w:r>
          </w:p>
        </w:tc>
        <w:tc>
          <w:tcPr>
            <w:tcW w:w="989" w:type="dxa"/>
            <w:tcBorders>
              <w:top w:val="single" w:sz="6" w:space="0" w:color="000000"/>
              <w:bottom w:val="single" w:sz="6" w:space="0" w:color="000000"/>
            </w:tcBorders>
          </w:tcPr>
          <w:p w14:paraId="69A7F735" w14:textId="77777777" w:rsidR="00AC6F3C" w:rsidRDefault="00570E88">
            <w:pPr>
              <w:pStyle w:val="TableParagraph"/>
              <w:spacing w:before="12" w:line="171" w:lineRule="exact"/>
              <w:ind w:right="13"/>
              <w:jc w:val="right"/>
              <w:rPr>
                <w:b/>
                <w:sz w:val="16"/>
              </w:rPr>
            </w:pPr>
            <w:r>
              <w:rPr>
                <w:b/>
                <w:spacing w:val="-2"/>
                <w:sz w:val="16"/>
              </w:rPr>
              <w:t>(1,437)</w:t>
            </w:r>
          </w:p>
        </w:tc>
        <w:tc>
          <w:tcPr>
            <w:tcW w:w="1032" w:type="dxa"/>
            <w:tcBorders>
              <w:top w:val="single" w:sz="6" w:space="0" w:color="000000"/>
              <w:bottom w:val="single" w:sz="6" w:space="0" w:color="000000"/>
              <w:right w:val="single" w:sz="6" w:space="0" w:color="000000"/>
            </w:tcBorders>
            <w:shd w:val="clear" w:color="auto" w:fill="F1F1F1"/>
          </w:tcPr>
          <w:p w14:paraId="6BC3991F" w14:textId="77777777" w:rsidR="00AC6F3C" w:rsidRDefault="00570E88">
            <w:pPr>
              <w:pStyle w:val="TableParagraph"/>
              <w:spacing w:before="12" w:line="171" w:lineRule="exact"/>
              <w:ind w:right="12"/>
              <w:jc w:val="right"/>
              <w:rPr>
                <w:b/>
                <w:sz w:val="16"/>
              </w:rPr>
            </w:pPr>
            <w:r>
              <w:rPr>
                <w:b/>
                <w:spacing w:val="-2"/>
                <w:sz w:val="16"/>
              </w:rPr>
              <w:t>(7,242)</w:t>
            </w:r>
          </w:p>
        </w:tc>
      </w:tr>
      <w:tr w:rsidR="00AC6F3C" w14:paraId="5FAA5A51" w14:textId="77777777">
        <w:trPr>
          <w:trHeight w:val="203"/>
        </w:trPr>
        <w:tc>
          <w:tcPr>
            <w:tcW w:w="3281" w:type="dxa"/>
            <w:tcBorders>
              <w:top w:val="single" w:sz="6" w:space="0" w:color="000000"/>
              <w:left w:val="single" w:sz="6" w:space="0" w:color="000000"/>
              <w:bottom w:val="single" w:sz="6" w:space="0" w:color="000000"/>
            </w:tcBorders>
            <w:shd w:val="clear" w:color="auto" w:fill="BEBEBE"/>
          </w:tcPr>
          <w:p w14:paraId="3A1D9DF2" w14:textId="77777777" w:rsidR="00AC6F3C" w:rsidRDefault="00570E88">
            <w:pPr>
              <w:pStyle w:val="TableParagraph"/>
              <w:spacing w:before="12" w:line="172" w:lineRule="exact"/>
              <w:ind w:left="33"/>
              <w:rPr>
                <w:b/>
                <w:sz w:val="16"/>
              </w:rPr>
            </w:pPr>
            <w:r>
              <w:rPr>
                <w:b/>
                <w:sz w:val="16"/>
              </w:rPr>
              <w:t>Net</w:t>
            </w:r>
            <w:r>
              <w:rPr>
                <w:b/>
                <w:spacing w:val="-5"/>
                <w:sz w:val="16"/>
              </w:rPr>
              <w:t xml:space="preserve"> </w:t>
            </w:r>
            <w:r>
              <w:rPr>
                <w:b/>
                <w:sz w:val="16"/>
              </w:rPr>
              <w:t>book value at</w:t>
            </w:r>
            <w:r>
              <w:rPr>
                <w:b/>
                <w:spacing w:val="-4"/>
                <w:sz w:val="16"/>
              </w:rPr>
              <w:t xml:space="preserve"> </w:t>
            </w:r>
            <w:r>
              <w:rPr>
                <w:b/>
                <w:sz w:val="16"/>
              </w:rPr>
              <w:t xml:space="preserve">30 June </w:t>
            </w:r>
            <w:r>
              <w:rPr>
                <w:b/>
                <w:spacing w:val="-4"/>
                <w:sz w:val="16"/>
              </w:rPr>
              <w:t>2022</w:t>
            </w:r>
          </w:p>
        </w:tc>
        <w:tc>
          <w:tcPr>
            <w:tcW w:w="1162" w:type="dxa"/>
            <w:tcBorders>
              <w:top w:val="single" w:sz="6" w:space="0" w:color="000000"/>
              <w:bottom w:val="single" w:sz="6" w:space="0" w:color="000000"/>
            </w:tcBorders>
            <w:shd w:val="clear" w:color="auto" w:fill="BEBEBE"/>
          </w:tcPr>
          <w:p w14:paraId="1D412D93" w14:textId="77777777" w:rsidR="00AC6F3C" w:rsidRDefault="00570E88">
            <w:pPr>
              <w:pStyle w:val="TableParagraph"/>
              <w:spacing w:before="12" w:line="172" w:lineRule="exact"/>
              <w:ind w:right="92"/>
              <w:jc w:val="right"/>
              <w:rPr>
                <w:b/>
                <w:sz w:val="16"/>
              </w:rPr>
            </w:pPr>
            <w:r>
              <w:rPr>
                <w:b/>
                <w:spacing w:val="-2"/>
                <w:sz w:val="16"/>
              </w:rPr>
              <w:t>26,991</w:t>
            </w:r>
          </w:p>
        </w:tc>
        <w:tc>
          <w:tcPr>
            <w:tcW w:w="1075" w:type="dxa"/>
            <w:tcBorders>
              <w:top w:val="single" w:sz="6" w:space="0" w:color="000000"/>
              <w:bottom w:val="single" w:sz="6" w:space="0" w:color="000000"/>
            </w:tcBorders>
            <w:shd w:val="clear" w:color="auto" w:fill="BEBEBE"/>
          </w:tcPr>
          <w:p w14:paraId="687E2004" w14:textId="77777777" w:rsidR="00AC6F3C" w:rsidRDefault="00570E88">
            <w:pPr>
              <w:pStyle w:val="TableParagraph"/>
              <w:spacing w:before="12" w:line="172" w:lineRule="exact"/>
              <w:ind w:right="142"/>
              <w:jc w:val="right"/>
              <w:rPr>
                <w:b/>
                <w:sz w:val="16"/>
              </w:rPr>
            </w:pPr>
            <w:r>
              <w:rPr>
                <w:b/>
                <w:spacing w:val="-2"/>
                <w:sz w:val="16"/>
              </w:rPr>
              <w:t>2,174</w:t>
            </w:r>
          </w:p>
        </w:tc>
        <w:tc>
          <w:tcPr>
            <w:tcW w:w="937" w:type="dxa"/>
            <w:tcBorders>
              <w:top w:val="single" w:sz="6" w:space="0" w:color="000000"/>
              <w:bottom w:val="single" w:sz="6" w:space="0" w:color="000000"/>
            </w:tcBorders>
            <w:shd w:val="clear" w:color="auto" w:fill="BEBEBE"/>
          </w:tcPr>
          <w:p w14:paraId="499F1B76" w14:textId="77777777" w:rsidR="00AC6F3C" w:rsidRDefault="00570E88">
            <w:pPr>
              <w:pStyle w:val="TableParagraph"/>
              <w:spacing w:before="12" w:line="172" w:lineRule="exact"/>
              <w:ind w:right="54"/>
              <w:jc w:val="right"/>
              <w:rPr>
                <w:b/>
                <w:sz w:val="16"/>
              </w:rPr>
            </w:pPr>
            <w:r>
              <w:rPr>
                <w:b/>
                <w:spacing w:val="-5"/>
                <w:sz w:val="16"/>
              </w:rPr>
              <w:t>153</w:t>
            </w:r>
          </w:p>
        </w:tc>
        <w:tc>
          <w:tcPr>
            <w:tcW w:w="989" w:type="dxa"/>
            <w:tcBorders>
              <w:top w:val="single" w:sz="6" w:space="0" w:color="000000"/>
              <w:bottom w:val="single" w:sz="6" w:space="0" w:color="000000"/>
            </w:tcBorders>
            <w:shd w:val="clear" w:color="auto" w:fill="BEBEBE"/>
          </w:tcPr>
          <w:p w14:paraId="77ED47D1" w14:textId="77777777" w:rsidR="00AC6F3C" w:rsidRDefault="00570E88">
            <w:pPr>
              <w:pStyle w:val="TableParagraph"/>
              <w:spacing w:before="12" w:line="172" w:lineRule="exact"/>
              <w:ind w:right="17"/>
              <w:jc w:val="right"/>
              <w:rPr>
                <w:b/>
                <w:sz w:val="16"/>
              </w:rPr>
            </w:pPr>
            <w:r>
              <w:rPr>
                <w:b/>
                <w:spacing w:val="-2"/>
                <w:sz w:val="16"/>
              </w:rPr>
              <w:t>1,497</w:t>
            </w:r>
          </w:p>
        </w:tc>
        <w:tc>
          <w:tcPr>
            <w:tcW w:w="1032" w:type="dxa"/>
            <w:tcBorders>
              <w:top w:val="single" w:sz="6" w:space="0" w:color="000000"/>
              <w:bottom w:val="single" w:sz="6" w:space="0" w:color="000000"/>
              <w:right w:val="single" w:sz="6" w:space="0" w:color="000000"/>
            </w:tcBorders>
            <w:shd w:val="clear" w:color="auto" w:fill="BEBEBE"/>
          </w:tcPr>
          <w:p w14:paraId="64E927D7" w14:textId="77777777" w:rsidR="00AC6F3C" w:rsidRDefault="00570E88">
            <w:pPr>
              <w:pStyle w:val="TableParagraph"/>
              <w:spacing w:before="12" w:line="172" w:lineRule="exact"/>
              <w:ind w:right="16"/>
              <w:jc w:val="right"/>
              <w:rPr>
                <w:b/>
                <w:sz w:val="16"/>
              </w:rPr>
            </w:pPr>
            <w:r>
              <w:rPr>
                <w:b/>
                <w:spacing w:val="-2"/>
                <w:sz w:val="16"/>
              </w:rPr>
              <w:t>30,815</w:t>
            </w:r>
          </w:p>
        </w:tc>
      </w:tr>
      <w:tr w:rsidR="00AC6F3C" w14:paraId="4E77D86D" w14:textId="77777777">
        <w:trPr>
          <w:trHeight w:val="214"/>
        </w:trPr>
        <w:tc>
          <w:tcPr>
            <w:tcW w:w="4443" w:type="dxa"/>
            <w:gridSpan w:val="2"/>
            <w:tcBorders>
              <w:top w:val="single" w:sz="6" w:space="0" w:color="000000"/>
              <w:left w:val="single" w:sz="6" w:space="0" w:color="000000"/>
            </w:tcBorders>
          </w:tcPr>
          <w:p w14:paraId="2557AEE4" w14:textId="77777777" w:rsidR="00AC6F3C" w:rsidRDefault="00570E88">
            <w:pPr>
              <w:pStyle w:val="TableParagraph"/>
              <w:spacing w:before="12" w:line="182" w:lineRule="exact"/>
              <w:ind w:left="33"/>
              <w:rPr>
                <w:sz w:val="16"/>
              </w:rPr>
            </w:pPr>
            <w:r>
              <w:rPr>
                <w:sz w:val="16"/>
              </w:rPr>
              <w:t>Property,</w:t>
            </w:r>
            <w:r>
              <w:rPr>
                <w:spacing w:val="7"/>
                <w:sz w:val="16"/>
              </w:rPr>
              <w:t xml:space="preserve"> </w:t>
            </w:r>
            <w:r>
              <w:rPr>
                <w:sz w:val="16"/>
              </w:rPr>
              <w:t>plant</w:t>
            </w:r>
            <w:r>
              <w:rPr>
                <w:spacing w:val="8"/>
                <w:sz w:val="16"/>
              </w:rPr>
              <w:t xml:space="preserve"> </w:t>
            </w:r>
            <w:r>
              <w:rPr>
                <w:sz w:val="16"/>
              </w:rPr>
              <w:t>and</w:t>
            </w:r>
            <w:r>
              <w:rPr>
                <w:spacing w:val="18"/>
                <w:sz w:val="16"/>
              </w:rPr>
              <w:t xml:space="preserve"> </w:t>
            </w:r>
            <w:r>
              <w:rPr>
                <w:sz w:val="16"/>
              </w:rPr>
              <w:t>equipment</w:t>
            </w:r>
            <w:r>
              <w:rPr>
                <w:spacing w:val="8"/>
                <w:sz w:val="16"/>
              </w:rPr>
              <w:t xml:space="preserve"> </w:t>
            </w:r>
            <w:r>
              <w:rPr>
                <w:sz w:val="16"/>
              </w:rPr>
              <w:t>is</w:t>
            </w:r>
            <w:r>
              <w:rPr>
                <w:spacing w:val="33"/>
                <w:sz w:val="16"/>
              </w:rPr>
              <w:t xml:space="preserve"> </w:t>
            </w:r>
            <w:r>
              <w:rPr>
                <w:sz w:val="16"/>
              </w:rPr>
              <w:t>stated</w:t>
            </w:r>
            <w:r>
              <w:rPr>
                <w:spacing w:val="19"/>
                <w:sz w:val="16"/>
              </w:rPr>
              <w:t xml:space="preserve"> </w:t>
            </w:r>
            <w:r>
              <w:rPr>
                <w:sz w:val="16"/>
              </w:rPr>
              <w:t>as</w:t>
            </w:r>
            <w:r>
              <w:rPr>
                <w:spacing w:val="33"/>
                <w:sz w:val="16"/>
              </w:rPr>
              <w:t xml:space="preserve"> </w:t>
            </w:r>
            <w:r>
              <w:rPr>
                <w:spacing w:val="-2"/>
                <w:sz w:val="16"/>
              </w:rPr>
              <w:t>follows:</w:t>
            </w:r>
          </w:p>
        </w:tc>
        <w:tc>
          <w:tcPr>
            <w:tcW w:w="1075" w:type="dxa"/>
            <w:tcBorders>
              <w:top w:val="single" w:sz="6" w:space="0" w:color="000000"/>
            </w:tcBorders>
          </w:tcPr>
          <w:p w14:paraId="2FDD3606" w14:textId="77777777" w:rsidR="00AC6F3C" w:rsidRDefault="00AC6F3C">
            <w:pPr>
              <w:pStyle w:val="TableParagraph"/>
              <w:rPr>
                <w:rFonts w:ascii="Times New Roman"/>
                <w:sz w:val="14"/>
              </w:rPr>
            </w:pPr>
          </w:p>
        </w:tc>
        <w:tc>
          <w:tcPr>
            <w:tcW w:w="937" w:type="dxa"/>
            <w:tcBorders>
              <w:top w:val="single" w:sz="6" w:space="0" w:color="000000"/>
            </w:tcBorders>
          </w:tcPr>
          <w:p w14:paraId="546E4BCF" w14:textId="77777777" w:rsidR="00AC6F3C" w:rsidRDefault="00AC6F3C">
            <w:pPr>
              <w:pStyle w:val="TableParagraph"/>
              <w:rPr>
                <w:rFonts w:ascii="Times New Roman"/>
                <w:sz w:val="14"/>
              </w:rPr>
            </w:pPr>
          </w:p>
        </w:tc>
        <w:tc>
          <w:tcPr>
            <w:tcW w:w="989" w:type="dxa"/>
            <w:tcBorders>
              <w:top w:val="single" w:sz="6" w:space="0" w:color="000000"/>
            </w:tcBorders>
          </w:tcPr>
          <w:p w14:paraId="265F36EB"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2DCA8C5F" w14:textId="77777777" w:rsidR="00AC6F3C" w:rsidRDefault="00AC6F3C">
            <w:pPr>
              <w:pStyle w:val="TableParagraph"/>
              <w:rPr>
                <w:rFonts w:ascii="Times New Roman"/>
                <w:sz w:val="14"/>
              </w:rPr>
            </w:pPr>
          </w:p>
        </w:tc>
      </w:tr>
      <w:tr w:rsidR="00AC6F3C" w14:paraId="11291D98" w14:textId="77777777">
        <w:trPr>
          <w:trHeight w:val="218"/>
        </w:trPr>
        <w:tc>
          <w:tcPr>
            <w:tcW w:w="4443" w:type="dxa"/>
            <w:gridSpan w:val="2"/>
            <w:tcBorders>
              <w:left w:val="single" w:sz="6" w:space="0" w:color="000000"/>
            </w:tcBorders>
          </w:tcPr>
          <w:p w14:paraId="66B6A51D" w14:textId="77777777" w:rsidR="00AC6F3C" w:rsidRDefault="00570E88">
            <w:pPr>
              <w:pStyle w:val="TableParagraph"/>
              <w:spacing w:before="16" w:line="182" w:lineRule="exact"/>
              <w:ind w:left="33"/>
              <w:rPr>
                <w:b/>
                <w:sz w:val="16"/>
              </w:rPr>
            </w:pPr>
            <w:r>
              <w:rPr>
                <w:b/>
                <w:sz w:val="16"/>
              </w:rPr>
              <w:t>30</w:t>
            </w:r>
            <w:r>
              <w:rPr>
                <w:b/>
                <w:spacing w:val="4"/>
                <w:sz w:val="16"/>
              </w:rPr>
              <w:t xml:space="preserve"> </w:t>
            </w:r>
            <w:r>
              <w:rPr>
                <w:b/>
                <w:sz w:val="16"/>
              </w:rPr>
              <w:t>June</w:t>
            </w:r>
            <w:r>
              <w:rPr>
                <w:b/>
                <w:spacing w:val="5"/>
                <w:sz w:val="16"/>
              </w:rPr>
              <w:t xml:space="preserve"> </w:t>
            </w:r>
            <w:r>
              <w:rPr>
                <w:b/>
                <w:spacing w:val="-4"/>
                <w:sz w:val="16"/>
              </w:rPr>
              <w:t>2023</w:t>
            </w:r>
          </w:p>
        </w:tc>
        <w:tc>
          <w:tcPr>
            <w:tcW w:w="1075" w:type="dxa"/>
          </w:tcPr>
          <w:p w14:paraId="07E9295F" w14:textId="77777777" w:rsidR="00AC6F3C" w:rsidRDefault="00AC6F3C">
            <w:pPr>
              <w:pStyle w:val="TableParagraph"/>
              <w:rPr>
                <w:rFonts w:ascii="Times New Roman"/>
                <w:sz w:val="14"/>
              </w:rPr>
            </w:pPr>
          </w:p>
        </w:tc>
        <w:tc>
          <w:tcPr>
            <w:tcW w:w="937" w:type="dxa"/>
          </w:tcPr>
          <w:p w14:paraId="16E4E134" w14:textId="77777777" w:rsidR="00AC6F3C" w:rsidRDefault="00AC6F3C">
            <w:pPr>
              <w:pStyle w:val="TableParagraph"/>
              <w:rPr>
                <w:rFonts w:ascii="Times New Roman"/>
                <w:sz w:val="14"/>
              </w:rPr>
            </w:pPr>
          </w:p>
        </w:tc>
        <w:tc>
          <w:tcPr>
            <w:tcW w:w="989" w:type="dxa"/>
          </w:tcPr>
          <w:p w14:paraId="65A04A80" w14:textId="77777777" w:rsidR="00AC6F3C" w:rsidRDefault="00AC6F3C">
            <w:pPr>
              <w:pStyle w:val="TableParagraph"/>
              <w:rPr>
                <w:rFonts w:ascii="Times New Roman"/>
                <w:sz w:val="14"/>
              </w:rPr>
            </w:pPr>
          </w:p>
        </w:tc>
        <w:tc>
          <w:tcPr>
            <w:tcW w:w="1032" w:type="dxa"/>
            <w:tcBorders>
              <w:right w:val="single" w:sz="6" w:space="0" w:color="000000"/>
            </w:tcBorders>
            <w:shd w:val="clear" w:color="auto" w:fill="F1F1F1"/>
          </w:tcPr>
          <w:p w14:paraId="5156FCB2" w14:textId="77777777" w:rsidR="00AC6F3C" w:rsidRDefault="00AC6F3C">
            <w:pPr>
              <w:pStyle w:val="TableParagraph"/>
              <w:rPr>
                <w:rFonts w:ascii="Times New Roman"/>
                <w:sz w:val="14"/>
              </w:rPr>
            </w:pPr>
          </w:p>
        </w:tc>
      </w:tr>
      <w:tr w:rsidR="00AC6F3C" w14:paraId="443550FA" w14:textId="77777777">
        <w:trPr>
          <w:trHeight w:val="218"/>
        </w:trPr>
        <w:tc>
          <w:tcPr>
            <w:tcW w:w="3281" w:type="dxa"/>
            <w:tcBorders>
              <w:left w:val="single" w:sz="6" w:space="0" w:color="000000"/>
            </w:tcBorders>
          </w:tcPr>
          <w:p w14:paraId="71611D64" w14:textId="77777777" w:rsidR="00AC6F3C" w:rsidRDefault="00570E88">
            <w:pPr>
              <w:pStyle w:val="TableParagraph"/>
              <w:spacing w:before="16" w:line="182" w:lineRule="exact"/>
              <w:ind w:left="33"/>
              <w:rPr>
                <w:sz w:val="16"/>
              </w:rPr>
            </w:pPr>
            <w:r>
              <w:rPr>
                <w:spacing w:val="-7"/>
                <w:sz w:val="16"/>
              </w:rPr>
              <w:t>At</w:t>
            </w:r>
            <w:r>
              <w:rPr>
                <w:spacing w:val="-5"/>
                <w:sz w:val="16"/>
              </w:rPr>
              <w:t xml:space="preserve"> </w:t>
            </w:r>
            <w:r>
              <w:rPr>
                <w:spacing w:val="-2"/>
                <w:sz w:val="16"/>
              </w:rPr>
              <w:t>valuation</w:t>
            </w:r>
          </w:p>
        </w:tc>
        <w:tc>
          <w:tcPr>
            <w:tcW w:w="1162" w:type="dxa"/>
          </w:tcPr>
          <w:p w14:paraId="35B188FA" w14:textId="77777777" w:rsidR="00AC6F3C" w:rsidRDefault="00570E88">
            <w:pPr>
              <w:pStyle w:val="TableParagraph"/>
              <w:spacing w:before="16" w:line="182" w:lineRule="exact"/>
              <w:ind w:right="92"/>
              <w:jc w:val="right"/>
              <w:rPr>
                <w:sz w:val="16"/>
              </w:rPr>
            </w:pPr>
            <w:r>
              <w:rPr>
                <w:spacing w:val="-2"/>
                <w:sz w:val="16"/>
              </w:rPr>
              <w:t>38,190</w:t>
            </w:r>
          </w:p>
        </w:tc>
        <w:tc>
          <w:tcPr>
            <w:tcW w:w="1075" w:type="dxa"/>
          </w:tcPr>
          <w:p w14:paraId="76E0BE33" w14:textId="77777777" w:rsidR="00AC6F3C" w:rsidRDefault="00570E88">
            <w:pPr>
              <w:pStyle w:val="TableParagraph"/>
              <w:spacing w:before="16" w:line="182" w:lineRule="exact"/>
              <w:ind w:right="142"/>
              <w:jc w:val="right"/>
              <w:rPr>
                <w:sz w:val="16"/>
              </w:rPr>
            </w:pPr>
            <w:r>
              <w:rPr>
                <w:w w:val="102"/>
                <w:sz w:val="16"/>
              </w:rPr>
              <w:t>-</w:t>
            </w:r>
          </w:p>
        </w:tc>
        <w:tc>
          <w:tcPr>
            <w:tcW w:w="937" w:type="dxa"/>
          </w:tcPr>
          <w:p w14:paraId="26EDB380" w14:textId="77777777" w:rsidR="00AC6F3C" w:rsidRDefault="00570E88">
            <w:pPr>
              <w:pStyle w:val="TableParagraph"/>
              <w:spacing w:before="16" w:line="182" w:lineRule="exact"/>
              <w:ind w:right="53"/>
              <w:jc w:val="right"/>
              <w:rPr>
                <w:sz w:val="16"/>
              </w:rPr>
            </w:pPr>
            <w:r>
              <w:rPr>
                <w:w w:val="102"/>
                <w:sz w:val="16"/>
              </w:rPr>
              <w:t>-</w:t>
            </w:r>
          </w:p>
        </w:tc>
        <w:tc>
          <w:tcPr>
            <w:tcW w:w="989" w:type="dxa"/>
          </w:tcPr>
          <w:p w14:paraId="080BEA7A" w14:textId="77777777" w:rsidR="00AC6F3C" w:rsidRDefault="00570E88">
            <w:pPr>
              <w:pStyle w:val="TableParagraph"/>
              <w:spacing w:before="16" w:line="182" w:lineRule="exact"/>
              <w:ind w:right="17"/>
              <w:jc w:val="right"/>
              <w:rPr>
                <w:sz w:val="16"/>
              </w:rPr>
            </w:pPr>
            <w:r>
              <w:rPr>
                <w:w w:val="102"/>
                <w:sz w:val="16"/>
              </w:rPr>
              <w:t>-</w:t>
            </w:r>
          </w:p>
        </w:tc>
        <w:tc>
          <w:tcPr>
            <w:tcW w:w="1032" w:type="dxa"/>
            <w:tcBorders>
              <w:right w:val="single" w:sz="6" w:space="0" w:color="000000"/>
            </w:tcBorders>
            <w:shd w:val="clear" w:color="auto" w:fill="F1F1F1"/>
          </w:tcPr>
          <w:p w14:paraId="4C2F0DE8" w14:textId="77777777" w:rsidR="00AC6F3C" w:rsidRDefault="00570E88">
            <w:pPr>
              <w:pStyle w:val="TableParagraph"/>
              <w:spacing w:before="16" w:line="182" w:lineRule="exact"/>
              <w:ind w:right="16"/>
              <w:jc w:val="right"/>
              <w:rPr>
                <w:sz w:val="16"/>
              </w:rPr>
            </w:pPr>
            <w:r>
              <w:rPr>
                <w:spacing w:val="-2"/>
                <w:sz w:val="16"/>
              </w:rPr>
              <w:t>38,190</w:t>
            </w:r>
          </w:p>
        </w:tc>
      </w:tr>
      <w:tr w:rsidR="00AC6F3C" w14:paraId="63AD9741" w14:textId="77777777">
        <w:trPr>
          <w:trHeight w:val="207"/>
        </w:trPr>
        <w:tc>
          <w:tcPr>
            <w:tcW w:w="3281" w:type="dxa"/>
            <w:tcBorders>
              <w:left w:val="single" w:sz="6" w:space="0" w:color="000000"/>
              <w:bottom w:val="single" w:sz="6" w:space="0" w:color="000000"/>
            </w:tcBorders>
          </w:tcPr>
          <w:p w14:paraId="4C705C8A" w14:textId="77777777" w:rsidR="00AC6F3C" w:rsidRDefault="00570E88">
            <w:pPr>
              <w:pStyle w:val="TableParagraph"/>
              <w:spacing w:before="16" w:line="172" w:lineRule="exact"/>
              <w:ind w:left="33"/>
              <w:rPr>
                <w:sz w:val="16"/>
              </w:rPr>
            </w:pPr>
            <w:r>
              <w:rPr>
                <w:spacing w:val="-7"/>
                <w:sz w:val="16"/>
              </w:rPr>
              <w:t>At</w:t>
            </w:r>
            <w:r>
              <w:rPr>
                <w:spacing w:val="-5"/>
                <w:sz w:val="16"/>
              </w:rPr>
              <w:t xml:space="preserve"> </w:t>
            </w:r>
            <w:r>
              <w:rPr>
                <w:spacing w:val="-4"/>
                <w:sz w:val="16"/>
              </w:rPr>
              <w:t>cost</w:t>
            </w:r>
          </w:p>
        </w:tc>
        <w:tc>
          <w:tcPr>
            <w:tcW w:w="1162" w:type="dxa"/>
            <w:tcBorders>
              <w:bottom w:val="single" w:sz="6" w:space="0" w:color="000000"/>
            </w:tcBorders>
          </w:tcPr>
          <w:p w14:paraId="0D9AEC2F" w14:textId="77777777" w:rsidR="00AC6F3C" w:rsidRDefault="00570E88">
            <w:pPr>
              <w:pStyle w:val="TableParagraph"/>
              <w:spacing w:before="16" w:line="172" w:lineRule="exact"/>
              <w:ind w:right="92"/>
              <w:jc w:val="right"/>
              <w:rPr>
                <w:sz w:val="16"/>
              </w:rPr>
            </w:pPr>
            <w:r>
              <w:rPr>
                <w:w w:val="102"/>
                <w:sz w:val="16"/>
              </w:rPr>
              <w:t>-</w:t>
            </w:r>
          </w:p>
        </w:tc>
        <w:tc>
          <w:tcPr>
            <w:tcW w:w="1075" w:type="dxa"/>
            <w:tcBorders>
              <w:bottom w:val="single" w:sz="6" w:space="0" w:color="000000"/>
            </w:tcBorders>
          </w:tcPr>
          <w:p w14:paraId="0B637695" w14:textId="77777777" w:rsidR="00AC6F3C" w:rsidRDefault="00570E88">
            <w:pPr>
              <w:pStyle w:val="TableParagraph"/>
              <w:spacing w:before="16" w:line="172" w:lineRule="exact"/>
              <w:ind w:right="142"/>
              <w:jc w:val="right"/>
              <w:rPr>
                <w:sz w:val="16"/>
              </w:rPr>
            </w:pPr>
            <w:r>
              <w:rPr>
                <w:spacing w:val="-2"/>
                <w:sz w:val="16"/>
              </w:rPr>
              <w:t>4,769</w:t>
            </w:r>
          </w:p>
        </w:tc>
        <w:tc>
          <w:tcPr>
            <w:tcW w:w="937" w:type="dxa"/>
            <w:tcBorders>
              <w:bottom w:val="single" w:sz="6" w:space="0" w:color="000000"/>
            </w:tcBorders>
          </w:tcPr>
          <w:p w14:paraId="01C8EBC1" w14:textId="77777777" w:rsidR="00AC6F3C" w:rsidRDefault="00570E88">
            <w:pPr>
              <w:pStyle w:val="TableParagraph"/>
              <w:spacing w:before="16" w:line="172" w:lineRule="exact"/>
              <w:ind w:right="53"/>
              <w:jc w:val="right"/>
              <w:rPr>
                <w:sz w:val="16"/>
              </w:rPr>
            </w:pPr>
            <w:r>
              <w:rPr>
                <w:spacing w:val="-2"/>
                <w:sz w:val="16"/>
              </w:rPr>
              <w:t>2,052</w:t>
            </w:r>
          </w:p>
        </w:tc>
        <w:tc>
          <w:tcPr>
            <w:tcW w:w="989" w:type="dxa"/>
            <w:tcBorders>
              <w:bottom w:val="single" w:sz="6" w:space="0" w:color="000000"/>
            </w:tcBorders>
          </w:tcPr>
          <w:p w14:paraId="1408F261" w14:textId="77777777" w:rsidR="00AC6F3C" w:rsidRDefault="00570E88">
            <w:pPr>
              <w:pStyle w:val="TableParagraph"/>
              <w:spacing w:before="16" w:line="172" w:lineRule="exact"/>
              <w:ind w:right="17"/>
              <w:jc w:val="right"/>
              <w:rPr>
                <w:sz w:val="16"/>
              </w:rPr>
            </w:pPr>
            <w:r>
              <w:rPr>
                <w:spacing w:val="-2"/>
                <w:sz w:val="16"/>
              </w:rPr>
              <w:t>3,188</w:t>
            </w:r>
          </w:p>
        </w:tc>
        <w:tc>
          <w:tcPr>
            <w:tcW w:w="1032" w:type="dxa"/>
            <w:tcBorders>
              <w:bottom w:val="single" w:sz="6" w:space="0" w:color="000000"/>
              <w:right w:val="single" w:sz="6" w:space="0" w:color="000000"/>
            </w:tcBorders>
            <w:shd w:val="clear" w:color="auto" w:fill="F1F1F1"/>
          </w:tcPr>
          <w:p w14:paraId="36472D9C" w14:textId="77777777" w:rsidR="00AC6F3C" w:rsidRDefault="00570E88">
            <w:pPr>
              <w:pStyle w:val="TableParagraph"/>
              <w:spacing w:before="16" w:line="172" w:lineRule="exact"/>
              <w:ind w:right="16"/>
              <w:jc w:val="right"/>
              <w:rPr>
                <w:sz w:val="16"/>
              </w:rPr>
            </w:pPr>
            <w:r>
              <w:rPr>
                <w:spacing w:val="-2"/>
                <w:sz w:val="16"/>
              </w:rPr>
              <w:t>10,011</w:t>
            </w:r>
          </w:p>
        </w:tc>
      </w:tr>
      <w:tr w:rsidR="00AC6F3C" w14:paraId="7D427A4E" w14:textId="77777777">
        <w:trPr>
          <w:trHeight w:val="203"/>
        </w:trPr>
        <w:tc>
          <w:tcPr>
            <w:tcW w:w="3281" w:type="dxa"/>
            <w:tcBorders>
              <w:top w:val="single" w:sz="6" w:space="0" w:color="000000"/>
              <w:left w:val="single" w:sz="6" w:space="0" w:color="000000"/>
              <w:bottom w:val="single" w:sz="6" w:space="0" w:color="000000"/>
            </w:tcBorders>
          </w:tcPr>
          <w:p w14:paraId="159093CC" w14:textId="77777777" w:rsidR="00AC6F3C" w:rsidRDefault="00570E88">
            <w:pPr>
              <w:pStyle w:val="TableParagraph"/>
              <w:spacing w:before="11" w:line="172" w:lineRule="exact"/>
              <w:ind w:left="34"/>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6682C443" w14:textId="77777777" w:rsidR="00AC6F3C" w:rsidRDefault="00570E88">
            <w:pPr>
              <w:pStyle w:val="TableParagraph"/>
              <w:spacing w:before="11" w:line="172" w:lineRule="exact"/>
              <w:ind w:right="92"/>
              <w:jc w:val="right"/>
              <w:rPr>
                <w:b/>
                <w:sz w:val="16"/>
              </w:rPr>
            </w:pPr>
            <w:r>
              <w:rPr>
                <w:b/>
                <w:spacing w:val="-2"/>
                <w:sz w:val="16"/>
              </w:rPr>
              <w:t>38,190</w:t>
            </w:r>
          </w:p>
        </w:tc>
        <w:tc>
          <w:tcPr>
            <w:tcW w:w="1075" w:type="dxa"/>
            <w:tcBorders>
              <w:top w:val="single" w:sz="6" w:space="0" w:color="000000"/>
              <w:bottom w:val="single" w:sz="6" w:space="0" w:color="000000"/>
            </w:tcBorders>
          </w:tcPr>
          <w:p w14:paraId="41B01F4C" w14:textId="77777777" w:rsidR="00AC6F3C" w:rsidRDefault="00570E88">
            <w:pPr>
              <w:pStyle w:val="TableParagraph"/>
              <w:spacing w:before="11" w:line="172" w:lineRule="exact"/>
              <w:ind w:right="142"/>
              <w:jc w:val="right"/>
              <w:rPr>
                <w:b/>
                <w:sz w:val="16"/>
              </w:rPr>
            </w:pPr>
            <w:r>
              <w:rPr>
                <w:b/>
                <w:spacing w:val="-2"/>
                <w:sz w:val="16"/>
              </w:rPr>
              <w:t>4,769</w:t>
            </w:r>
          </w:p>
        </w:tc>
        <w:tc>
          <w:tcPr>
            <w:tcW w:w="937" w:type="dxa"/>
            <w:tcBorders>
              <w:top w:val="single" w:sz="6" w:space="0" w:color="000000"/>
              <w:bottom w:val="single" w:sz="6" w:space="0" w:color="000000"/>
            </w:tcBorders>
          </w:tcPr>
          <w:p w14:paraId="1CAD8219" w14:textId="77777777" w:rsidR="00AC6F3C" w:rsidRDefault="00570E88">
            <w:pPr>
              <w:pStyle w:val="TableParagraph"/>
              <w:spacing w:before="11" w:line="172" w:lineRule="exact"/>
              <w:ind w:right="53"/>
              <w:jc w:val="right"/>
              <w:rPr>
                <w:b/>
                <w:sz w:val="16"/>
              </w:rPr>
            </w:pPr>
            <w:r>
              <w:rPr>
                <w:b/>
                <w:spacing w:val="-2"/>
                <w:sz w:val="16"/>
              </w:rPr>
              <w:t>2,052</w:t>
            </w:r>
          </w:p>
        </w:tc>
        <w:tc>
          <w:tcPr>
            <w:tcW w:w="989" w:type="dxa"/>
            <w:tcBorders>
              <w:top w:val="single" w:sz="6" w:space="0" w:color="000000"/>
              <w:bottom w:val="single" w:sz="6" w:space="0" w:color="000000"/>
            </w:tcBorders>
          </w:tcPr>
          <w:p w14:paraId="4764CA9B" w14:textId="77777777" w:rsidR="00AC6F3C" w:rsidRDefault="00570E88">
            <w:pPr>
              <w:pStyle w:val="TableParagraph"/>
              <w:spacing w:before="11" w:line="172" w:lineRule="exact"/>
              <w:ind w:right="17"/>
              <w:jc w:val="right"/>
              <w:rPr>
                <w:b/>
                <w:sz w:val="16"/>
              </w:rPr>
            </w:pPr>
            <w:r>
              <w:rPr>
                <w:b/>
                <w:spacing w:val="-2"/>
                <w:sz w:val="16"/>
              </w:rPr>
              <w:t>3,188</w:t>
            </w:r>
          </w:p>
        </w:tc>
        <w:tc>
          <w:tcPr>
            <w:tcW w:w="1032" w:type="dxa"/>
            <w:tcBorders>
              <w:top w:val="single" w:sz="6" w:space="0" w:color="000000"/>
              <w:bottom w:val="single" w:sz="6" w:space="0" w:color="000000"/>
              <w:right w:val="single" w:sz="6" w:space="0" w:color="000000"/>
            </w:tcBorders>
            <w:shd w:val="clear" w:color="auto" w:fill="F1F1F1"/>
          </w:tcPr>
          <w:p w14:paraId="00BD67C4" w14:textId="77777777" w:rsidR="00AC6F3C" w:rsidRDefault="00570E88">
            <w:pPr>
              <w:pStyle w:val="TableParagraph"/>
              <w:spacing w:before="11" w:line="172" w:lineRule="exact"/>
              <w:ind w:right="16"/>
              <w:jc w:val="right"/>
              <w:rPr>
                <w:b/>
                <w:sz w:val="16"/>
              </w:rPr>
            </w:pPr>
            <w:r>
              <w:rPr>
                <w:b/>
                <w:spacing w:val="-2"/>
                <w:sz w:val="16"/>
              </w:rPr>
              <w:t>48,201</w:t>
            </w:r>
          </w:p>
        </w:tc>
      </w:tr>
      <w:tr w:rsidR="00AC6F3C" w14:paraId="04F72303" w14:textId="77777777">
        <w:trPr>
          <w:trHeight w:val="203"/>
        </w:trPr>
        <w:tc>
          <w:tcPr>
            <w:tcW w:w="3281" w:type="dxa"/>
            <w:tcBorders>
              <w:top w:val="single" w:sz="6" w:space="0" w:color="000000"/>
              <w:left w:val="single" w:sz="6" w:space="0" w:color="000000"/>
              <w:bottom w:val="single" w:sz="6" w:space="0" w:color="000000"/>
            </w:tcBorders>
          </w:tcPr>
          <w:p w14:paraId="7A5AF3B3" w14:textId="77777777" w:rsidR="00AC6F3C" w:rsidRDefault="00570E88">
            <w:pPr>
              <w:pStyle w:val="TableParagraph"/>
              <w:spacing w:before="11" w:line="172" w:lineRule="exact"/>
              <w:ind w:left="34"/>
              <w:rPr>
                <w:sz w:val="16"/>
              </w:rPr>
            </w:pPr>
            <w:r>
              <w:rPr>
                <w:spacing w:val="-2"/>
                <w:sz w:val="16"/>
              </w:rPr>
              <w:t>Depreciation</w:t>
            </w:r>
          </w:p>
        </w:tc>
        <w:tc>
          <w:tcPr>
            <w:tcW w:w="1162" w:type="dxa"/>
            <w:tcBorders>
              <w:top w:val="single" w:sz="6" w:space="0" w:color="000000"/>
              <w:bottom w:val="single" w:sz="6" w:space="0" w:color="000000"/>
            </w:tcBorders>
          </w:tcPr>
          <w:p w14:paraId="0E441F07" w14:textId="77777777" w:rsidR="00AC6F3C" w:rsidRDefault="00570E88">
            <w:pPr>
              <w:pStyle w:val="TableParagraph"/>
              <w:spacing w:before="11" w:line="172" w:lineRule="exact"/>
              <w:ind w:right="88"/>
              <w:jc w:val="right"/>
              <w:rPr>
                <w:sz w:val="16"/>
              </w:rPr>
            </w:pPr>
            <w:r>
              <w:rPr>
                <w:spacing w:val="-2"/>
                <w:sz w:val="16"/>
              </w:rPr>
              <w:t>(2,690)</w:t>
            </w:r>
          </w:p>
        </w:tc>
        <w:tc>
          <w:tcPr>
            <w:tcW w:w="1075" w:type="dxa"/>
            <w:tcBorders>
              <w:top w:val="single" w:sz="6" w:space="0" w:color="000000"/>
              <w:bottom w:val="single" w:sz="6" w:space="0" w:color="000000"/>
            </w:tcBorders>
          </w:tcPr>
          <w:p w14:paraId="666712E7" w14:textId="77777777" w:rsidR="00AC6F3C" w:rsidRDefault="00570E88">
            <w:pPr>
              <w:pStyle w:val="TableParagraph"/>
              <w:spacing w:before="11" w:line="172" w:lineRule="exact"/>
              <w:ind w:right="137"/>
              <w:jc w:val="right"/>
              <w:rPr>
                <w:sz w:val="16"/>
              </w:rPr>
            </w:pPr>
            <w:r>
              <w:rPr>
                <w:spacing w:val="-2"/>
                <w:sz w:val="16"/>
              </w:rPr>
              <w:t>(4,322)</w:t>
            </w:r>
          </w:p>
        </w:tc>
        <w:tc>
          <w:tcPr>
            <w:tcW w:w="937" w:type="dxa"/>
            <w:tcBorders>
              <w:top w:val="single" w:sz="6" w:space="0" w:color="000000"/>
              <w:bottom w:val="single" w:sz="6" w:space="0" w:color="000000"/>
            </w:tcBorders>
          </w:tcPr>
          <w:p w14:paraId="1B4D0D13" w14:textId="77777777" w:rsidR="00AC6F3C" w:rsidRDefault="00570E88">
            <w:pPr>
              <w:pStyle w:val="TableParagraph"/>
              <w:spacing w:before="11" w:line="172" w:lineRule="exact"/>
              <w:ind w:right="53"/>
              <w:jc w:val="right"/>
              <w:rPr>
                <w:sz w:val="16"/>
              </w:rPr>
            </w:pPr>
            <w:r>
              <w:rPr>
                <w:w w:val="102"/>
                <w:sz w:val="16"/>
              </w:rPr>
              <w:t>-</w:t>
            </w:r>
          </w:p>
        </w:tc>
        <w:tc>
          <w:tcPr>
            <w:tcW w:w="989" w:type="dxa"/>
            <w:tcBorders>
              <w:top w:val="single" w:sz="6" w:space="0" w:color="000000"/>
              <w:bottom w:val="single" w:sz="6" w:space="0" w:color="000000"/>
            </w:tcBorders>
          </w:tcPr>
          <w:p w14:paraId="75FB4D9E" w14:textId="77777777" w:rsidR="00AC6F3C" w:rsidRDefault="00570E88">
            <w:pPr>
              <w:pStyle w:val="TableParagraph"/>
              <w:spacing w:before="11" w:line="172" w:lineRule="exact"/>
              <w:ind w:right="12"/>
              <w:jc w:val="right"/>
              <w:rPr>
                <w:sz w:val="16"/>
              </w:rPr>
            </w:pPr>
            <w:r>
              <w:rPr>
                <w:spacing w:val="-2"/>
                <w:sz w:val="16"/>
              </w:rPr>
              <w:t>(1,704)</w:t>
            </w:r>
          </w:p>
        </w:tc>
        <w:tc>
          <w:tcPr>
            <w:tcW w:w="1032" w:type="dxa"/>
            <w:tcBorders>
              <w:top w:val="single" w:sz="6" w:space="0" w:color="000000"/>
              <w:bottom w:val="single" w:sz="6" w:space="0" w:color="000000"/>
              <w:right w:val="single" w:sz="6" w:space="0" w:color="000000"/>
            </w:tcBorders>
            <w:shd w:val="clear" w:color="auto" w:fill="F1F1F1"/>
          </w:tcPr>
          <w:p w14:paraId="44DD9DAF" w14:textId="77777777" w:rsidR="00AC6F3C" w:rsidRDefault="00570E88">
            <w:pPr>
              <w:pStyle w:val="TableParagraph"/>
              <w:spacing w:before="11" w:line="172" w:lineRule="exact"/>
              <w:ind w:right="11"/>
              <w:jc w:val="right"/>
              <w:rPr>
                <w:sz w:val="16"/>
              </w:rPr>
            </w:pPr>
            <w:r>
              <w:rPr>
                <w:spacing w:val="-2"/>
                <w:sz w:val="16"/>
              </w:rPr>
              <w:t>(8,716)</w:t>
            </w:r>
          </w:p>
        </w:tc>
      </w:tr>
      <w:tr w:rsidR="00AC6F3C" w14:paraId="793F1330" w14:textId="77777777">
        <w:trPr>
          <w:trHeight w:val="203"/>
        </w:trPr>
        <w:tc>
          <w:tcPr>
            <w:tcW w:w="4443" w:type="dxa"/>
            <w:gridSpan w:val="2"/>
            <w:tcBorders>
              <w:top w:val="single" w:sz="6" w:space="0" w:color="000000"/>
              <w:left w:val="single" w:sz="6" w:space="0" w:color="000000"/>
              <w:bottom w:val="single" w:sz="6" w:space="0" w:color="000000"/>
            </w:tcBorders>
            <w:shd w:val="clear" w:color="auto" w:fill="BEBEBE"/>
          </w:tcPr>
          <w:p w14:paraId="1806D4CD" w14:textId="77777777" w:rsidR="00AC6F3C" w:rsidRDefault="00570E88">
            <w:pPr>
              <w:pStyle w:val="TableParagraph"/>
              <w:spacing w:before="11" w:line="172" w:lineRule="exact"/>
              <w:ind w:right="92"/>
              <w:jc w:val="right"/>
              <w:rPr>
                <w:b/>
                <w:sz w:val="16"/>
              </w:rPr>
            </w:pPr>
            <w:r>
              <w:rPr>
                <w:b/>
                <w:spacing w:val="-2"/>
                <w:sz w:val="16"/>
              </w:rPr>
              <w:t>35,500</w:t>
            </w:r>
          </w:p>
        </w:tc>
        <w:tc>
          <w:tcPr>
            <w:tcW w:w="1075" w:type="dxa"/>
            <w:tcBorders>
              <w:top w:val="single" w:sz="6" w:space="0" w:color="000000"/>
              <w:bottom w:val="single" w:sz="6" w:space="0" w:color="000000"/>
            </w:tcBorders>
            <w:shd w:val="clear" w:color="auto" w:fill="BEBEBE"/>
          </w:tcPr>
          <w:p w14:paraId="591E847A" w14:textId="77777777" w:rsidR="00AC6F3C" w:rsidRDefault="00570E88">
            <w:pPr>
              <w:pStyle w:val="TableParagraph"/>
              <w:spacing w:before="11" w:line="172" w:lineRule="exact"/>
              <w:ind w:right="142"/>
              <w:jc w:val="right"/>
              <w:rPr>
                <w:b/>
                <w:sz w:val="16"/>
              </w:rPr>
            </w:pPr>
            <w:r>
              <w:rPr>
                <w:b/>
                <w:spacing w:val="-5"/>
                <w:sz w:val="16"/>
              </w:rPr>
              <w:t>448</w:t>
            </w:r>
          </w:p>
        </w:tc>
        <w:tc>
          <w:tcPr>
            <w:tcW w:w="937" w:type="dxa"/>
            <w:tcBorders>
              <w:top w:val="single" w:sz="6" w:space="0" w:color="000000"/>
              <w:bottom w:val="single" w:sz="6" w:space="0" w:color="000000"/>
            </w:tcBorders>
            <w:shd w:val="clear" w:color="auto" w:fill="BEBEBE"/>
          </w:tcPr>
          <w:p w14:paraId="02CD2B85" w14:textId="77777777" w:rsidR="00AC6F3C" w:rsidRDefault="00570E88">
            <w:pPr>
              <w:pStyle w:val="TableParagraph"/>
              <w:spacing w:before="11" w:line="172" w:lineRule="exact"/>
              <w:ind w:right="53"/>
              <w:jc w:val="right"/>
              <w:rPr>
                <w:b/>
                <w:sz w:val="16"/>
              </w:rPr>
            </w:pPr>
            <w:r>
              <w:rPr>
                <w:b/>
                <w:spacing w:val="-2"/>
                <w:sz w:val="16"/>
              </w:rPr>
              <w:t>2,052</w:t>
            </w:r>
          </w:p>
        </w:tc>
        <w:tc>
          <w:tcPr>
            <w:tcW w:w="989" w:type="dxa"/>
            <w:tcBorders>
              <w:top w:val="single" w:sz="6" w:space="0" w:color="000000"/>
              <w:bottom w:val="single" w:sz="6" w:space="0" w:color="000000"/>
            </w:tcBorders>
            <w:shd w:val="clear" w:color="auto" w:fill="BEBEBE"/>
          </w:tcPr>
          <w:p w14:paraId="140B2FB6" w14:textId="77777777" w:rsidR="00AC6F3C" w:rsidRDefault="00570E88">
            <w:pPr>
              <w:pStyle w:val="TableParagraph"/>
              <w:spacing w:before="11" w:line="172" w:lineRule="exact"/>
              <w:ind w:right="17"/>
              <w:jc w:val="right"/>
              <w:rPr>
                <w:b/>
                <w:sz w:val="16"/>
              </w:rPr>
            </w:pPr>
            <w:r>
              <w:rPr>
                <w:b/>
                <w:spacing w:val="-2"/>
                <w:sz w:val="16"/>
              </w:rPr>
              <w:t>1,485</w:t>
            </w:r>
          </w:p>
        </w:tc>
        <w:tc>
          <w:tcPr>
            <w:tcW w:w="1032" w:type="dxa"/>
            <w:tcBorders>
              <w:top w:val="single" w:sz="6" w:space="0" w:color="000000"/>
              <w:bottom w:val="single" w:sz="6" w:space="0" w:color="000000"/>
              <w:right w:val="single" w:sz="6" w:space="0" w:color="000000"/>
            </w:tcBorders>
            <w:shd w:val="clear" w:color="auto" w:fill="BEBEBE"/>
          </w:tcPr>
          <w:p w14:paraId="0C321AE9" w14:textId="77777777" w:rsidR="00AC6F3C" w:rsidRDefault="00570E88">
            <w:pPr>
              <w:pStyle w:val="TableParagraph"/>
              <w:spacing w:before="11" w:line="172" w:lineRule="exact"/>
              <w:ind w:right="16"/>
              <w:jc w:val="right"/>
              <w:rPr>
                <w:b/>
                <w:sz w:val="16"/>
              </w:rPr>
            </w:pPr>
            <w:r>
              <w:rPr>
                <w:b/>
                <w:spacing w:val="-2"/>
                <w:sz w:val="16"/>
              </w:rPr>
              <w:t>39,485</w:t>
            </w:r>
          </w:p>
        </w:tc>
      </w:tr>
      <w:tr w:rsidR="00AC6F3C" w14:paraId="112368FA" w14:textId="77777777">
        <w:trPr>
          <w:trHeight w:val="214"/>
        </w:trPr>
        <w:tc>
          <w:tcPr>
            <w:tcW w:w="4443" w:type="dxa"/>
            <w:gridSpan w:val="2"/>
            <w:tcBorders>
              <w:top w:val="single" w:sz="6" w:space="0" w:color="000000"/>
              <w:left w:val="single" w:sz="6" w:space="0" w:color="000000"/>
            </w:tcBorders>
          </w:tcPr>
          <w:p w14:paraId="03D021A3" w14:textId="77777777" w:rsidR="00AC6F3C" w:rsidRDefault="00570E88">
            <w:pPr>
              <w:pStyle w:val="TableParagraph"/>
              <w:spacing w:before="11" w:line="182" w:lineRule="exact"/>
              <w:ind w:left="34"/>
              <w:rPr>
                <w:b/>
                <w:sz w:val="16"/>
              </w:rPr>
            </w:pPr>
            <w:r>
              <w:rPr>
                <w:b/>
                <w:sz w:val="16"/>
              </w:rPr>
              <w:t>30</w:t>
            </w:r>
            <w:r>
              <w:rPr>
                <w:b/>
                <w:spacing w:val="4"/>
                <w:sz w:val="16"/>
              </w:rPr>
              <w:t xml:space="preserve"> </w:t>
            </w:r>
            <w:r>
              <w:rPr>
                <w:b/>
                <w:sz w:val="16"/>
              </w:rPr>
              <w:t>June</w:t>
            </w:r>
            <w:r>
              <w:rPr>
                <w:b/>
                <w:spacing w:val="5"/>
                <w:sz w:val="16"/>
              </w:rPr>
              <w:t xml:space="preserve"> </w:t>
            </w:r>
            <w:r>
              <w:rPr>
                <w:b/>
                <w:spacing w:val="-4"/>
                <w:sz w:val="16"/>
              </w:rPr>
              <w:t>2022</w:t>
            </w:r>
          </w:p>
        </w:tc>
        <w:tc>
          <w:tcPr>
            <w:tcW w:w="1075" w:type="dxa"/>
            <w:tcBorders>
              <w:top w:val="single" w:sz="6" w:space="0" w:color="000000"/>
            </w:tcBorders>
          </w:tcPr>
          <w:p w14:paraId="62A70DCE" w14:textId="77777777" w:rsidR="00AC6F3C" w:rsidRDefault="00AC6F3C">
            <w:pPr>
              <w:pStyle w:val="TableParagraph"/>
              <w:rPr>
                <w:rFonts w:ascii="Times New Roman"/>
                <w:sz w:val="14"/>
              </w:rPr>
            </w:pPr>
          </w:p>
        </w:tc>
        <w:tc>
          <w:tcPr>
            <w:tcW w:w="937" w:type="dxa"/>
            <w:tcBorders>
              <w:top w:val="single" w:sz="6" w:space="0" w:color="000000"/>
            </w:tcBorders>
          </w:tcPr>
          <w:p w14:paraId="3DC97C64" w14:textId="77777777" w:rsidR="00AC6F3C" w:rsidRDefault="00AC6F3C">
            <w:pPr>
              <w:pStyle w:val="TableParagraph"/>
              <w:rPr>
                <w:rFonts w:ascii="Times New Roman"/>
                <w:sz w:val="14"/>
              </w:rPr>
            </w:pPr>
          </w:p>
        </w:tc>
        <w:tc>
          <w:tcPr>
            <w:tcW w:w="989" w:type="dxa"/>
            <w:tcBorders>
              <w:top w:val="single" w:sz="6" w:space="0" w:color="000000"/>
            </w:tcBorders>
          </w:tcPr>
          <w:p w14:paraId="75B5D906" w14:textId="77777777" w:rsidR="00AC6F3C" w:rsidRDefault="00AC6F3C">
            <w:pPr>
              <w:pStyle w:val="TableParagraph"/>
              <w:rPr>
                <w:rFonts w:ascii="Times New Roman"/>
                <w:sz w:val="14"/>
              </w:rPr>
            </w:pPr>
          </w:p>
        </w:tc>
        <w:tc>
          <w:tcPr>
            <w:tcW w:w="1032" w:type="dxa"/>
            <w:tcBorders>
              <w:top w:val="single" w:sz="6" w:space="0" w:color="000000"/>
              <w:right w:val="single" w:sz="6" w:space="0" w:color="000000"/>
            </w:tcBorders>
            <w:shd w:val="clear" w:color="auto" w:fill="F1F1F1"/>
          </w:tcPr>
          <w:p w14:paraId="5C53AD12" w14:textId="77777777" w:rsidR="00AC6F3C" w:rsidRDefault="00AC6F3C">
            <w:pPr>
              <w:pStyle w:val="TableParagraph"/>
              <w:rPr>
                <w:rFonts w:ascii="Times New Roman"/>
                <w:sz w:val="14"/>
              </w:rPr>
            </w:pPr>
          </w:p>
        </w:tc>
      </w:tr>
      <w:tr w:rsidR="00AC6F3C" w14:paraId="7A90D9AB" w14:textId="77777777">
        <w:trPr>
          <w:trHeight w:val="218"/>
        </w:trPr>
        <w:tc>
          <w:tcPr>
            <w:tcW w:w="3281" w:type="dxa"/>
            <w:tcBorders>
              <w:left w:val="single" w:sz="6" w:space="0" w:color="000000"/>
            </w:tcBorders>
          </w:tcPr>
          <w:p w14:paraId="167F05B5" w14:textId="77777777" w:rsidR="00AC6F3C" w:rsidRDefault="00570E88">
            <w:pPr>
              <w:pStyle w:val="TableParagraph"/>
              <w:spacing w:before="16" w:line="182" w:lineRule="exact"/>
              <w:ind w:left="34"/>
              <w:rPr>
                <w:sz w:val="16"/>
              </w:rPr>
            </w:pPr>
            <w:r>
              <w:rPr>
                <w:spacing w:val="-7"/>
                <w:sz w:val="16"/>
              </w:rPr>
              <w:t>At</w:t>
            </w:r>
            <w:r>
              <w:rPr>
                <w:spacing w:val="-5"/>
                <w:sz w:val="16"/>
              </w:rPr>
              <w:t xml:space="preserve"> </w:t>
            </w:r>
            <w:r>
              <w:rPr>
                <w:spacing w:val="-2"/>
                <w:sz w:val="16"/>
              </w:rPr>
              <w:t>valuation</w:t>
            </w:r>
          </w:p>
        </w:tc>
        <w:tc>
          <w:tcPr>
            <w:tcW w:w="1162" w:type="dxa"/>
          </w:tcPr>
          <w:p w14:paraId="220A9DCA" w14:textId="77777777" w:rsidR="00AC6F3C" w:rsidRDefault="00570E88">
            <w:pPr>
              <w:pStyle w:val="TableParagraph"/>
              <w:spacing w:before="16" w:line="182" w:lineRule="exact"/>
              <w:ind w:right="92"/>
              <w:jc w:val="right"/>
              <w:rPr>
                <w:sz w:val="16"/>
              </w:rPr>
            </w:pPr>
            <w:r>
              <w:rPr>
                <w:spacing w:val="-2"/>
                <w:sz w:val="16"/>
              </w:rPr>
              <w:t>27,740</w:t>
            </w:r>
          </w:p>
        </w:tc>
        <w:tc>
          <w:tcPr>
            <w:tcW w:w="1075" w:type="dxa"/>
          </w:tcPr>
          <w:p w14:paraId="0C54083B" w14:textId="77777777" w:rsidR="00AC6F3C" w:rsidRDefault="00570E88">
            <w:pPr>
              <w:pStyle w:val="TableParagraph"/>
              <w:spacing w:before="16" w:line="182" w:lineRule="exact"/>
              <w:ind w:right="142"/>
              <w:jc w:val="right"/>
              <w:rPr>
                <w:sz w:val="16"/>
              </w:rPr>
            </w:pPr>
            <w:r>
              <w:rPr>
                <w:w w:val="102"/>
                <w:sz w:val="16"/>
              </w:rPr>
              <w:t>-</w:t>
            </w:r>
          </w:p>
        </w:tc>
        <w:tc>
          <w:tcPr>
            <w:tcW w:w="937" w:type="dxa"/>
          </w:tcPr>
          <w:p w14:paraId="0ECC7B9B" w14:textId="77777777" w:rsidR="00AC6F3C" w:rsidRDefault="00570E88">
            <w:pPr>
              <w:pStyle w:val="TableParagraph"/>
              <w:spacing w:before="16" w:line="182" w:lineRule="exact"/>
              <w:ind w:right="53"/>
              <w:jc w:val="right"/>
              <w:rPr>
                <w:sz w:val="16"/>
              </w:rPr>
            </w:pPr>
            <w:r>
              <w:rPr>
                <w:w w:val="102"/>
                <w:sz w:val="16"/>
              </w:rPr>
              <w:t>-</w:t>
            </w:r>
          </w:p>
        </w:tc>
        <w:tc>
          <w:tcPr>
            <w:tcW w:w="989" w:type="dxa"/>
          </w:tcPr>
          <w:p w14:paraId="55AE9750" w14:textId="77777777" w:rsidR="00AC6F3C" w:rsidRDefault="00570E88">
            <w:pPr>
              <w:pStyle w:val="TableParagraph"/>
              <w:spacing w:before="16" w:line="182" w:lineRule="exact"/>
              <w:ind w:right="17"/>
              <w:jc w:val="right"/>
              <w:rPr>
                <w:sz w:val="16"/>
              </w:rPr>
            </w:pPr>
            <w:r>
              <w:rPr>
                <w:w w:val="102"/>
                <w:sz w:val="16"/>
              </w:rPr>
              <w:t>-</w:t>
            </w:r>
          </w:p>
        </w:tc>
        <w:tc>
          <w:tcPr>
            <w:tcW w:w="1032" w:type="dxa"/>
            <w:tcBorders>
              <w:right w:val="single" w:sz="6" w:space="0" w:color="000000"/>
            </w:tcBorders>
            <w:shd w:val="clear" w:color="auto" w:fill="F1F1F1"/>
          </w:tcPr>
          <w:p w14:paraId="25EFC622" w14:textId="77777777" w:rsidR="00AC6F3C" w:rsidRDefault="00570E88">
            <w:pPr>
              <w:pStyle w:val="TableParagraph"/>
              <w:spacing w:before="16" w:line="182" w:lineRule="exact"/>
              <w:ind w:right="16"/>
              <w:jc w:val="right"/>
              <w:rPr>
                <w:sz w:val="16"/>
              </w:rPr>
            </w:pPr>
            <w:r>
              <w:rPr>
                <w:spacing w:val="-2"/>
                <w:sz w:val="16"/>
              </w:rPr>
              <w:t>27,740</w:t>
            </w:r>
          </w:p>
        </w:tc>
      </w:tr>
      <w:tr w:rsidR="00AC6F3C" w14:paraId="54942F19" w14:textId="77777777">
        <w:trPr>
          <w:trHeight w:val="208"/>
        </w:trPr>
        <w:tc>
          <w:tcPr>
            <w:tcW w:w="3281" w:type="dxa"/>
            <w:tcBorders>
              <w:left w:val="single" w:sz="6" w:space="0" w:color="000000"/>
              <w:bottom w:val="single" w:sz="6" w:space="0" w:color="000000"/>
            </w:tcBorders>
          </w:tcPr>
          <w:p w14:paraId="21FB74BA" w14:textId="77777777" w:rsidR="00AC6F3C" w:rsidRDefault="00570E88">
            <w:pPr>
              <w:pStyle w:val="TableParagraph"/>
              <w:spacing w:before="16" w:line="172" w:lineRule="exact"/>
              <w:ind w:left="34"/>
              <w:rPr>
                <w:sz w:val="16"/>
              </w:rPr>
            </w:pPr>
            <w:r>
              <w:rPr>
                <w:spacing w:val="-7"/>
                <w:sz w:val="16"/>
              </w:rPr>
              <w:t>At</w:t>
            </w:r>
            <w:r>
              <w:rPr>
                <w:spacing w:val="-5"/>
                <w:sz w:val="16"/>
              </w:rPr>
              <w:t xml:space="preserve"> </w:t>
            </w:r>
            <w:r>
              <w:rPr>
                <w:spacing w:val="-4"/>
                <w:sz w:val="16"/>
              </w:rPr>
              <w:t>cost</w:t>
            </w:r>
          </w:p>
        </w:tc>
        <w:tc>
          <w:tcPr>
            <w:tcW w:w="1162" w:type="dxa"/>
            <w:tcBorders>
              <w:bottom w:val="single" w:sz="6" w:space="0" w:color="000000"/>
            </w:tcBorders>
          </w:tcPr>
          <w:p w14:paraId="46B9C3EF" w14:textId="77777777" w:rsidR="00AC6F3C" w:rsidRDefault="00570E88">
            <w:pPr>
              <w:pStyle w:val="TableParagraph"/>
              <w:spacing w:before="16" w:line="172" w:lineRule="exact"/>
              <w:ind w:right="92"/>
              <w:jc w:val="right"/>
              <w:rPr>
                <w:sz w:val="16"/>
              </w:rPr>
            </w:pPr>
            <w:r>
              <w:rPr>
                <w:w w:val="102"/>
                <w:sz w:val="16"/>
              </w:rPr>
              <w:t>-</w:t>
            </w:r>
          </w:p>
        </w:tc>
        <w:tc>
          <w:tcPr>
            <w:tcW w:w="1075" w:type="dxa"/>
            <w:tcBorders>
              <w:bottom w:val="single" w:sz="6" w:space="0" w:color="000000"/>
            </w:tcBorders>
          </w:tcPr>
          <w:p w14:paraId="5F9E82C9" w14:textId="77777777" w:rsidR="00AC6F3C" w:rsidRDefault="00570E88">
            <w:pPr>
              <w:pStyle w:val="TableParagraph"/>
              <w:spacing w:before="16" w:line="172" w:lineRule="exact"/>
              <w:ind w:right="142"/>
              <w:jc w:val="right"/>
              <w:rPr>
                <w:sz w:val="16"/>
              </w:rPr>
            </w:pPr>
            <w:r>
              <w:rPr>
                <w:spacing w:val="-2"/>
                <w:sz w:val="16"/>
              </w:rPr>
              <w:t>7,230</w:t>
            </w:r>
          </w:p>
        </w:tc>
        <w:tc>
          <w:tcPr>
            <w:tcW w:w="937" w:type="dxa"/>
            <w:tcBorders>
              <w:bottom w:val="single" w:sz="6" w:space="0" w:color="000000"/>
            </w:tcBorders>
          </w:tcPr>
          <w:p w14:paraId="5F0C467D" w14:textId="77777777" w:rsidR="00AC6F3C" w:rsidRDefault="00570E88">
            <w:pPr>
              <w:pStyle w:val="TableParagraph"/>
              <w:spacing w:before="16" w:line="172" w:lineRule="exact"/>
              <w:ind w:right="53"/>
              <w:jc w:val="right"/>
              <w:rPr>
                <w:sz w:val="16"/>
              </w:rPr>
            </w:pPr>
            <w:r>
              <w:rPr>
                <w:spacing w:val="-5"/>
                <w:sz w:val="16"/>
              </w:rPr>
              <w:t>153</w:t>
            </w:r>
          </w:p>
        </w:tc>
        <w:tc>
          <w:tcPr>
            <w:tcW w:w="989" w:type="dxa"/>
            <w:tcBorders>
              <w:bottom w:val="single" w:sz="6" w:space="0" w:color="000000"/>
            </w:tcBorders>
          </w:tcPr>
          <w:p w14:paraId="74F911B5" w14:textId="77777777" w:rsidR="00AC6F3C" w:rsidRDefault="00570E88">
            <w:pPr>
              <w:pStyle w:val="TableParagraph"/>
              <w:spacing w:before="16" w:line="172" w:lineRule="exact"/>
              <w:ind w:right="17"/>
              <w:jc w:val="right"/>
              <w:rPr>
                <w:sz w:val="16"/>
              </w:rPr>
            </w:pPr>
            <w:r>
              <w:rPr>
                <w:spacing w:val="-2"/>
                <w:sz w:val="16"/>
              </w:rPr>
              <w:t>2,934</w:t>
            </w:r>
          </w:p>
        </w:tc>
        <w:tc>
          <w:tcPr>
            <w:tcW w:w="1032" w:type="dxa"/>
            <w:tcBorders>
              <w:bottom w:val="single" w:sz="6" w:space="0" w:color="000000"/>
              <w:right w:val="single" w:sz="6" w:space="0" w:color="000000"/>
            </w:tcBorders>
            <w:shd w:val="clear" w:color="auto" w:fill="F1F1F1"/>
          </w:tcPr>
          <w:p w14:paraId="122946F7" w14:textId="77777777" w:rsidR="00AC6F3C" w:rsidRDefault="00570E88">
            <w:pPr>
              <w:pStyle w:val="TableParagraph"/>
              <w:spacing w:before="16" w:line="172" w:lineRule="exact"/>
              <w:ind w:right="16"/>
              <w:jc w:val="right"/>
              <w:rPr>
                <w:sz w:val="16"/>
              </w:rPr>
            </w:pPr>
            <w:r>
              <w:rPr>
                <w:spacing w:val="-2"/>
                <w:sz w:val="16"/>
              </w:rPr>
              <w:t>10,316</w:t>
            </w:r>
          </w:p>
        </w:tc>
      </w:tr>
      <w:tr w:rsidR="00AC6F3C" w14:paraId="4D2D7F58" w14:textId="77777777">
        <w:trPr>
          <w:trHeight w:val="203"/>
        </w:trPr>
        <w:tc>
          <w:tcPr>
            <w:tcW w:w="3281" w:type="dxa"/>
            <w:tcBorders>
              <w:top w:val="single" w:sz="6" w:space="0" w:color="000000"/>
              <w:left w:val="single" w:sz="6" w:space="0" w:color="000000"/>
              <w:bottom w:val="single" w:sz="6" w:space="0" w:color="000000"/>
            </w:tcBorders>
          </w:tcPr>
          <w:p w14:paraId="53DFA2DB" w14:textId="77777777" w:rsidR="00AC6F3C" w:rsidRDefault="00570E88">
            <w:pPr>
              <w:pStyle w:val="TableParagraph"/>
              <w:spacing w:before="11" w:line="172" w:lineRule="exact"/>
              <w:ind w:left="34"/>
              <w:rPr>
                <w:b/>
                <w:sz w:val="16"/>
              </w:rPr>
            </w:pPr>
            <w:r>
              <w:rPr>
                <w:b/>
                <w:sz w:val="16"/>
              </w:rPr>
              <w:t>At</w:t>
            </w:r>
            <w:r>
              <w:rPr>
                <w:b/>
                <w:spacing w:val="-5"/>
                <w:sz w:val="16"/>
              </w:rPr>
              <w:t xml:space="preserve"> </w:t>
            </w:r>
            <w:r>
              <w:rPr>
                <w:b/>
                <w:sz w:val="16"/>
              </w:rPr>
              <w:t>the</w:t>
            </w:r>
            <w:r>
              <w:rPr>
                <w:b/>
                <w:spacing w:val="-1"/>
                <w:sz w:val="16"/>
              </w:rPr>
              <w:t xml:space="preserve"> </w:t>
            </w:r>
            <w:r>
              <w:rPr>
                <w:b/>
                <w:sz w:val="16"/>
              </w:rPr>
              <w:t>end</w:t>
            </w:r>
            <w:r>
              <w:rPr>
                <w:b/>
                <w:spacing w:val="-9"/>
                <w:sz w:val="16"/>
              </w:rPr>
              <w:t xml:space="preserve"> </w:t>
            </w:r>
            <w:r>
              <w:rPr>
                <w:b/>
                <w:sz w:val="16"/>
              </w:rPr>
              <w:t>of</w:t>
            </w:r>
            <w:r>
              <w:rPr>
                <w:b/>
                <w:spacing w:val="-5"/>
                <w:sz w:val="16"/>
              </w:rPr>
              <w:t xml:space="preserve"> </w:t>
            </w:r>
            <w:r>
              <w:rPr>
                <w:b/>
                <w:sz w:val="16"/>
              </w:rPr>
              <w:t>the</w:t>
            </w:r>
            <w:r>
              <w:rPr>
                <w:b/>
                <w:spacing w:val="-1"/>
                <w:sz w:val="16"/>
              </w:rPr>
              <w:t xml:space="preserve"> </w:t>
            </w:r>
            <w:r>
              <w:rPr>
                <w:b/>
                <w:spacing w:val="-4"/>
                <w:sz w:val="16"/>
              </w:rPr>
              <w:t>year</w:t>
            </w:r>
          </w:p>
        </w:tc>
        <w:tc>
          <w:tcPr>
            <w:tcW w:w="1162" w:type="dxa"/>
            <w:tcBorders>
              <w:top w:val="single" w:sz="6" w:space="0" w:color="000000"/>
              <w:bottom w:val="single" w:sz="6" w:space="0" w:color="000000"/>
            </w:tcBorders>
          </w:tcPr>
          <w:p w14:paraId="45777E0E" w14:textId="77777777" w:rsidR="00AC6F3C" w:rsidRDefault="00570E88">
            <w:pPr>
              <w:pStyle w:val="TableParagraph"/>
              <w:spacing w:before="11" w:line="172" w:lineRule="exact"/>
              <w:ind w:right="92"/>
              <w:jc w:val="right"/>
              <w:rPr>
                <w:b/>
                <w:sz w:val="16"/>
              </w:rPr>
            </w:pPr>
            <w:r>
              <w:rPr>
                <w:b/>
                <w:spacing w:val="-2"/>
                <w:sz w:val="16"/>
              </w:rPr>
              <w:t>27,740</w:t>
            </w:r>
          </w:p>
        </w:tc>
        <w:tc>
          <w:tcPr>
            <w:tcW w:w="1075" w:type="dxa"/>
            <w:tcBorders>
              <w:top w:val="single" w:sz="6" w:space="0" w:color="000000"/>
              <w:bottom w:val="single" w:sz="6" w:space="0" w:color="000000"/>
            </w:tcBorders>
          </w:tcPr>
          <w:p w14:paraId="142BB867" w14:textId="77777777" w:rsidR="00AC6F3C" w:rsidRDefault="00570E88">
            <w:pPr>
              <w:pStyle w:val="TableParagraph"/>
              <w:spacing w:before="11" w:line="172" w:lineRule="exact"/>
              <w:ind w:right="142"/>
              <w:jc w:val="right"/>
              <w:rPr>
                <w:b/>
                <w:sz w:val="16"/>
              </w:rPr>
            </w:pPr>
            <w:r>
              <w:rPr>
                <w:b/>
                <w:spacing w:val="-2"/>
                <w:sz w:val="16"/>
              </w:rPr>
              <w:t>7,230</w:t>
            </w:r>
          </w:p>
        </w:tc>
        <w:tc>
          <w:tcPr>
            <w:tcW w:w="937" w:type="dxa"/>
            <w:tcBorders>
              <w:top w:val="single" w:sz="6" w:space="0" w:color="000000"/>
              <w:bottom w:val="single" w:sz="6" w:space="0" w:color="000000"/>
            </w:tcBorders>
          </w:tcPr>
          <w:p w14:paraId="6C4E0EAC" w14:textId="77777777" w:rsidR="00AC6F3C" w:rsidRDefault="00570E88">
            <w:pPr>
              <w:pStyle w:val="TableParagraph"/>
              <w:spacing w:before="11" w:line="172" w:lineRule="exact"/>
              <w:ind w:right="53"/>
              <w:jc w:val="right"/>
              <w:rPr>
                <w:b/>
                <w:sz w:val="16"/>
              </w:rPr>
            </w:pPr>
            <w:r>
              <w:rPr>
                <w:b/>
                <w:spacing w:val="-5"/>
                <w:sz w:val="16"/>
              </w:rPr>
              <w:t>153</w:t>
            </w:r>
          </w:p>
        </w:tc>
        <w:tc>
          <w:tcPr>
            <w:tcW w:w="989" w:type="dxa"/>
            <w:tcBorders>
              <w:top w:val="single" w:sz="6" w:space="0" w:color="000000"/>
              <w:bottom w:val="single" w:sz="6" w:space="0" w:color="000000"/>
            </w:tcBorders>
          </w:tcPr>
          <w:p w14:paraId="0995D2BA" w14:textId="77777777" w:rsidR="00AC6F3C" w:rsidRDefault="00570E88">
            <w:pPr>
              <w:pStyle w:val="TableParagraph"/>
              <w:spacing w:before="11" w:line="172" w:lineRule="exact"/>
              <w:ind w:right="17"/>
              <w:jc w:val="right"/>
              <w:rPr>
                <w:b/>
                <w:sz w:val="16"/>
              </w:rPr>
            </w:pPr>
            <w:r>
              <w:rPr>
                <w:b/>
                <w:spacing w:val="-2"/>
                <w:sz w:val="16"/>
              </w:rPr>
              <w:t>2,934</w:t>
            </w:r>
          </w:p>
        </w:tc>
        <w:tc>
          <w:tcPr>
            <w:tcW w:w="1032" w:type="dxa"/>
            <w:tcBorders>
              <w:top w:val="single" w:sz="6" w:space="0" w:color="000000"/>
              <w:bottom w:val="single" w:sz="6" w:space="0" w:color="000000"/>
              <w:right w:val="single" w:sz="6" w:space="0" w:color="000000"/>
            </w:tcBorders>
            <w:shd w:val="clear" w:color="auto" w:fill="F1F1F1"/>
          </w:tcPr>
          <w:p w14:paraId="53C1CEF5" w14:textId="77777777" w:rsidR="00AC6F3C" w:rsidRDefault="00570E88">
            <w:pPr>
              <w:pStyle w:val="TableParagraph"/>
              <w:spacing w:before="11" w:line="172" w:lineRule="exact"/>
              <w:ind w:right="16"/>
              <w:jc w:val="right"/>
              <w:rPr>
                <w:b/>
                <w:sz w:val="16"/>
              </w:rPr>
            </w:pPr>
            <w:r>
              <w:rPr>
                <w:b/>
                <w:spacing w:val="-2"/>
                <w:sz w:val="16"/>
              </w:rPr>
              <w:t>38,057</w:t>
            </w:r>
          </w:p>
        </w:tc>
      </w:tr>
      <w:tr w:rsidR="00AC6F3C" w14:paraId="72F8FAC2" w14:textId="77777777">
        <w:trPr>
          <w:trHeight w:val="203"/>
        </w:trPr>
        <w:tc>
          <w:tcPr>
            <w:tcW w:w="3281" w:type="dxa"/>
            <w:tcBorders>
              <w:top w:val="single" w:sz="6" w:space="0" w:color="000000"/>
              <w:left w:val="single" w:sz="6" w:space="0" w:color="000000"/>
              <w:bottom w:val="single" w:sz="6" w:space="0" w:color="000000"/>
            </w:tcBorders>
          </w:tcPr>
          <w:p w14:paraId="657B33D9" w14:textId="77777777" w:rsidR="00AC6F3C" w:rsidRDefault="00570E88">
            <w:pPr>
              <w:pStyle w:val="TableParagraph"/>
              <w:spacing w:before="11" w:line="172" w:lineRule="exact"/>
              <w:ind w:left="34"/>
              <w:rPr>
                <w:sz w:val="16"/>
              </w:rPr>
            </w:pPr>
            <w:r>
              <w:rPr>
                <w:spacing w:val="-2"/>
                <w:sz w:val="16"/>
              </w:rPr>
              <w:t>Depreciation</w:t>
            </w:r>
          </w:p>
        </w:tc>
        <w:tc>
          <w:tcPr>
            <w:tcW w:w="1162" w:type="dxa"/>
            <w:tcBorders>
              <w:top w:val="single" w:sz="6" w:space="0" w:color="000000"/>
              <w:bottom w:val="single" w:sz="6" w:space="0" w:color="000000"/>
            </w:tcBorders>
          </w:tcPr>
          <w:p w14:paraId="428106B7" w14:textId="77777777" w:rsidR="00AC6F3C" w:rsidRDefault="00570E88">
            <w:pPr>
              <w:pStyle w:val="TableParagraph"/>
              <w:spacing w:before="11" w:line="172" w:lineRule="exact"/>
              <w:ind w:right="87"/>
              <w:jc w:val="right"/>
              <w:rPr>
                <w:sz w:val="16"/>
              </w:rPr>
            </w:pPr>
            <w:r>
              <w:rPr>
                <w:spacing w:val="-2"/>
                <w:sz w:val="16"/>
              </w:rPr>
              <w:t>(749)</w:t>
            </w:r>
          </w:p>
        </w:tc>
        <w:tc>
          <w:tcPr>
            <w:tcW w:w="1075" w:type="dxa"/>
            <w:tcBorders>
              <w:top w:val="single" w:sz="6" w:space="0" w:color="000000"/>
              <w:bottom w:val="single" w:sz="6" w:space="0" w:color="000000"/>
            </w:tcBorders>
          </w:tcPr>
          <w:p w14:paraId="6AEB701F" w14:textId="77777777" w:rsidR="00AC6F3C" w:rsidRDefault="00570E88">
            <w:pPr>
              <w:pStyle w:val="TableParagraph"/>
              <w:spacing w:before="11" w:line="172" w:lineRule="exact"/>
              <w:ind w:right="137"/>
              <w:jc w:val="right"/>
              <w:rPr>
                <w:sz w:val="16"/>
              </w:rPr>
            </w:pPr>
            <w:r>
              <w:rPr>
                <w:spacing w:val="-2"/>
                <w:sz w:val="16"/>
              </w:rPr>
              <w:t>(5,056)</w:t>
            </w:r>
          </w:p>
        </w:tc>
        <w:tc>
          <w:tcPr>
            <w:tcW w:w="937" w:type="dxa"/>
            <w:tcBorders>
              <w:top w:val="single" w:sz="6" w:space="0" w:color="000000"/>
              <w:bottom w:val="single" w:sz="6" w:space="0" w:color="000000"/>
            </w:tcBorders>
          </w:tcPr>
          <w:p w14:paraId="653946B4" w14:textId="77777777" w:rsidR="00AC6F3C" w:rsidRDefault="00570E88">
            <w:pPr>
              <w:pStyle w:val="TableParagraph"/>
              <w:spacing w:before="11" w:line="172" w:lineRule="exact"/>
              <w:ind w:right="53"/>
              <w:jc w:val="right"/>
              <w:rPr>
                <w:sz w:val="16"/>
              </w:rPr>
            </w:pPr>
            <w:r>
              <w:rPr>
                <w:w w:val="102"/>
                <w:sz w:val="16"/>
              </w:rPr>
              <w:t>-</w:t>
            </w:r>
          </w:p>
        </w:tc>
        <w:tc>
          <w:tcPr>
            <w:tcW w:w="989" w:type="dxa"/>
            <w:tcBorders>
              <w:top w:val="single" w:sz="6" w:space="0" w:color="000000"/>
              <w:bottom w:val="single" w:sz="6" w:space="0" w:color="000000"/>
            </w:tcBorders>
          </w:tcPr>
          <w:p w14:paraId="615A4187" w14:textId="77777777" w:rsidR="00AC6F3C" w:rsidRDefault="00570E88">
            <w:pPr>
              <w:pStyle w:val="TableParagraph"/>
              <w:spacing w:before="11" w:line="172" w:lineRule="exact"/>
              <w:ind w:right="12"/>
              <w:jc w:val="right"/>
              <w:rPr>
                <w:sz w:val="16"/>
              </w:rPr>
            </w:pPr>
            <w:r>
              <w:rPr>
                <w:spacing w:val="-2"/>
                <w:sz w:val="16"/>
              </w:rPr>
              <w:t>(1,437)</w:t>
            </w:r>
          </w:p>
        </w:tc>
        <w:tc>
          <w:tcPr>
            <w:tcW w:w="1032" w:type="dxa"/>
            <w:tcBorders>
              <w:top w:val="single" w:sz="6" w:space="0" w:color="000000"/>
              <w:bottom w:val="single" w:sz="6" w:space="0" w:color="000000"/>
              <w:right w:val="single" w:sz="6" w:space="0" w:color="000000"/>
            </w:tcBorders>
            <w:shd w:val="clear" w:color="auto" w:fill="F1F1F1"/>
          </w:tcPr>
          <w:p w14:paraId="5E90C596" w14:textId="77777777" w:rsidR="00AC6F3C" w:rsidRDefault="00570E88">
            <w:pPr>
              <w:pStyle w:val="TableParagraph"/>
              <w:spacing w:before="11" w:line="172" w:lineRule="exact"/>
              <w:ind w:right="11"/>
              <w:jc w:val="right"/>
              <w:rPr>
                <w:sz w:val="16"/>
              </w:rPr>
            </w:pPr>
            <w:r>
              <w:rPr>
                <w:spacing w:val="-2"/>
                <w:sz w:val="16"/>
              </w:rPr>
              <w:t>(7,242)</w:t>
            </w:r>
          </w:p>
        </w:tc>
      </w:tr>
      <w:tr w:rsidR="00AC6F3C" w14:paraId="02CE29BA" w14:textId="77777777">
        <w:trPr>
          <w:trHeight w:val="203"/>
        </w:trPr>
        <w:tc>
          <w:tcPr>
            <w:tcW w:w="4443" w:type="dxa"/>
            <w:gridSpan w:val="2"/>
            <w:tcBorders>
              <w:top w:val="single" w:sz="6" w:space="0" w:color="000000"/>
              <w:left w:val="single" w:sz="6" w:space="0" w:color="000000"/>
              <w:bottom w:val="single" w:sz="6" w:space="0" w:color="000000"/>
            </w:tcBorders>
            <w:shd w:val="clear" w:color="auto" w:fill="BEBEBE"/>
          </w:tcPr>
          <w:p w14:paraId="54B8DA90" w14:textId="77777777" w:rsidR="00AC6F3C" w:rsidRDefault="00570E88">
            <w:pPr>
              <w:pStyle w:val="TableParagraph"/>
              <w:spacing w:before="11" w:line="172" w:lineRule="exact"/>
              <w:ind w:right="92"/>
              <w:jc w:val="right"/>
              <w:rPr>
                <w:b/>
                <w:sz w:val="16"/>
              </w:rPr>
            </w:pPr>
            <w:r>
              <w:rPr>
                <w:b/>
                <w:spacing w:val="-2"/>
                <w:sz w:val="16"/>
              </w:rPr>
              <w:t>26,991</w:t>
            </w:r>
          </w:p>
        </w:tc>
        <w:tc>
          <w:tcPr>
            <w:tcW w:w="1075" w:type="dxa"/>
            <w:tcBorders>
              <w:top w:val="single" w:sz="6" w:space="0" w:color="000000"/>
              <w:bottom w:val="single" w:sz="6" w:space="0" w:color="000000"/>
            </w:tcBorders>
            <w:shd w:val="clear" w:color="auto" w:fill="BEBEBE"/>
          </w:tcPr>
          <w:p w14:paraId="52A5AA57" w14:textId="77777777" w:rsidR="00AC6F3C" w:rsidRDefault="00570E88">
            <w:pPr>
              <w:pStyle w:val="TableParagraph"/>
              <w:spacing w:before="11" w:line="172" w:lineRule="exact"/>
              <w:ind w:right="142"/>
              <w:jc w:val="right"/>
              <w:rPr>
                <w:b/>
                <w:sz w:val="16"/>
              </w:rPr>
            </w:pPr>
            <w:r>
              <w:rPr>
                <w:b/>
                <w:spacing w:val="-2"/>
                <w:sz w:val="16"/>
              </w:rPr>
              <w:t>2,174</w:t>
            </w:r>
          </w:p>
        </w:tc>
        <w:tc>
          <w:tcPr>
            <w:tcW w:w="937" w:type="dxa"/>
            <w:tcBorders>
              <w:top w:val="single" w:sz="6" w:space="0" w:color="000000"/>
              <w:bottom w:val="single" w:sz="6" w:space="0" w:color="000000"/>
            </w:tcBorders>
            <w:shd w:val="clear" w:color="auto" w:fill="BEBEBE"/>
          </w:tcPr>
          <w:p w14:paraId="3884B841" w14:textId="77777777" w:rsidR="00AC6F3C" w:rsidRDefault="00570E88">
            <w:pPr>
              <w:pStyle w:val="TableParagraph"/>
              <w:spacing w:before="11" w:line="172" w:lineRule="exact"/>
              <w:ind w:right="53"/>
              <w:jc w:val="right"/>
              <w:rPr>
                <w:b/>
                <w:sz w:val="16"/>
              </w:rPr>
            </w:pPr>
            <w:r>
              <w:rPr>
                <w:b/>
                <w:spacing w:val="-5"/>
                <w:sz w:val="16"/>
              </w:rPr>
              <w:t>153</w:t>
            </w:r>
          </w:p>
        </w:tc>
        <w:tc>
          <w:tcPr>
            <w:tcW w:w="989" w:type="dxa"/>
            <w:tcBorders>
              <w:top w:val="single" w:sz="6" w:space="0" w:color="000000"/>
              <w:bottom w:val="single" w:sz="6" w:space="0" w:color="000000"/>
            </w:tcBorders>
            <w:shd w:val="clear" w:color="auto" w:fill="BEBEBE"/>
          </w:tcPr>
          <w:p w14:paraId="569D57A0" w14:textId="77777777" w:rsidR="00AC6F3C" w:rsidRDefault="00570E88">
            <w:pPr>
              <w:pStyle w:val="TableParagraph"/>
              <w:spacing w:before="11" w:line="172" w:lineRule="exact"/>
              <w:ind w:right="17"/>
              <w:jc w:val="right"/>
              <w:rPr>
                <w:b/>
                <w:sz w:val="16"/>
              </w:rPr>
            </w:pPr>
            <w:r>
              <w:rPr>
                <w:b/>
                <w:spacing w:val="-2"/>
                <w:sz w:val="16"/>
              </w:rPr>
              <w:t>1,497</w:t>
            </w:r>
          </w:p>
        </w:tc>
        <w:tc>
          <w:tcPr>
            <w:tcW w:w="1032" w:type="dxa"/>
            <w:tcBorders>
              <w:top w:val="single" w:sz="6" w:space="0" w:color="000000"/>
              <w:bottom w:val="single" w:sz="6" w:space="0" w:color="000000"/>
              <w:right w:val="single" w:sz="6" w:space="0" w:color="000000"/>
            </w:tcBorders>
            <w:shd w:val="clear" w:color="auto" w:fill="BEBEBE"/>
          </w:tcPr>
          <w:p w14:paraId="6D376FF0" w14:textId="77777777" w:rsidR="00AC6F3C" w:rsidRDefault="00570E88">
            <w:pPr>
              <w:pStyle w:val="TableParagraph"/>
              <w:spacing w:before="11" w:line="172" w:lineRule="exact"/>
              <w:ind w:right="16"/>
              <w:jc w:val="right"/>
              <w:rPr>
                <w:b/>
                <w:sz w:val="16"/>
              </w:rPr>
            </w:pPr>
            <w:r>
              <w:rPr>
                <w:b/>
                <w:spacing w:val="-2"/>
                <w:sz w:val="16"/>
              </w:rPr>
              <w:t>30,815</w:t>
            </w:r>
          </w:p>
        </w:tc>
      </w:tr>
    </w:tbl>
    <w:p w14:paraId="3A236876" w14:textId="77777777" w:rsidR="00AC6F3C" w:rsidRDefault="00AC6F3C">
      <w:pPr>
        <w:spacing w:line="172" w:lineRule="exact"/>
        <w:jc w:val="right"/>
        <w:rPr>
          <w:sz w:val="16"/>
        </w:rPr>
        <w:sectPr w:rsidR="00AC6F3C">
          <w:pgSz w:w="11910" w:h="16840"/>
          <w:pgMar w:top="2020" w:right="1160" w:bottom="520" w:left="460" w:header="1228" w:footer="336" w:gutter="0"/>
          <w:cols w:space="720"/>
        </w:sectPr>
      </w:pPr>
    </w:p>
    <w:p w14:paraId="7B6B50EE" w14:textId="77777777" w:rsidR="00AC6F3C" w:rsidRDefault="00AC6F3C">
      <w:pPr>
        <w:pStyle w:val="BodyText"/>
        <w:rPr>
          <w:b/>
        </w:rPr>
      </w:pPr>
    </w:p>
    <w:p w14:paraId="5F0CB80A" w14:textId="77777777" w:rsidR="00AC6F3C" w:rsidRDefault="00570E88">
      <w:pPr>
        <w:tabs>
          <w:tab w:val="left" w:pos="1666"/>
        </w:tabs>
        <w:spacing w:before="249"/>
        <w:ind w:left="958"/>
        <w:rPr>
          <w:b/>
          <w:sz w:val="28"/>
        </w:rPr>
      </w:pPr>
      <w:r>
        <w:rPr>
          <w:b/>
          <w:spacing w:val="-5"/>
          <w:sz w:val="28"/>
        </w:rPr>
        <w:t>C5</w:t>
      </w:r>
      <w:r>
        <w:rPr>
          <w:b/>
          <w:sz w:val="28"/>
        </w:rPr>
        <w:tab/>
        <w:t>PROPERTY,</w:t>
      </w:r>
      <w:r>
        <w:rPr>
          <w:b/>
          <w:spacing w:val="-22"/>
          <w:sz w:val="28"/>
        </w:rPr>
        <w:t xml:space="preserve"> </w:t>
      </w:r>
      <w:r>
        <w:rPr>
          <w:b/>
          <w:sz w:val="28"/>
        </w:rPr>
        <w:t>PLANT</w:t>
      </w:r>
      <w:r>
        <w:rPr>
          <w:b/>
          <w:spacing w:val="-19"/>
          <w:sz w:val="28"/>
        </w:rPr>
        <w:t xml:space="preserve"> </w:t>
      </w:r>
      <w:r>
        <w:rPr>
          <w:b/>
          <w:sz w:val="28"/>
        </w:rPr>
        <w:t>AND</w:t>
      </w:r>
      <w:r>
        <w:rPr>
          <w:b/>
          <w:spacing w:val="-17"/>
          <w:sz w:val="28"/>
        </w:rPr>
        <w:t xml:space="preserve"> </w:t>
      </w:r>
      <w:r>
        <w:rPr>
          <w:b/>
          <w:sz w:val="28"/>
        </w:rPr>
        <w:t>EQUIPMENT</w:t>
      </w:r>
      <w:r>
        <w:rPr>
          <w:b/>
          <w:spacing w:val="-16"/>
          <w:sz w:val="28"/>
        </w:rPr>
        <w:t xml:space="preserve"> </w:t>
      </w:r>
      <w:r>
        <w:rPr>
          <w:b/>
          <w:spacing w:val="-2"/>
          <w:sz w:val="28"/>
        </w:rPr>
        <w:t>(continued)</w:t>
      </w:r>
    </w:p>
    <w:p w14:paraId="05FD41F6" w14:textId="77777777" w:rsidR="00AC6F3C" w:rsidRDefault="00570E88">
      <w:pPr>
        <w:pStyle w:val="Heading6"/>
        <w:tabs>
          <w:tab w:val="left" w:pos="1810"/>
        </w:tabs>
      </w:pPr>
      <w:r>
        <w:rPr>
          <w:spacing w:val="-2"/>
        </w:rPr>
        <w:t>C5-</w:t>
      </w:r>
      <w:r>
        <w:rPr>
          <w:spacing w:val="-10"/>
        </w:rPr>
        <w:t>3</w:t>
      </w:r>
      <w:r>
        <w:tab/>
        <w:t>ACQUISITION</w:t>
      </w:r>
      <w:r>
        <w:rPr>
          <w:spacing w:val="-2"/>
        </w:rPr>
        <w:t xml:space="preserve"> </w:t>
      </w:r>
      <w:r>
        <w:t>OF</w:t>
      </w:r>
      <w:r>
        <w:rPr>
          <w:spacing w:val="-1"/>
        </w:rPr>
        <w:t xml:space="preserve"> </w:t>
      </w:r>
      <w:r>
        <w:rPr>
          <w:spacing w:val="-2"/>
        </w:rPr>
        <w:t>ASSETS</w:t>
      </w:r>
    </w:p>
    <w:p w14:paraId="5FD8242D" w14:textId="77777777" w:rsidR="00AC6F3C" w:rsidRDefault="00AC6F3C">
      <w:pPr>
        <w:pStyle w:val="BodyText"/>
        <w:spacing w:before="8"/>
        <w:rPr>
          <w:b/>
        </w:rPr>
      </w:pPr>
    </w:p>
    <w:p w14:paraId="01F0B9D4" w14:textId="77777777" w:rsidR="00AC6F3C" w:rsidRDefault="00570E88">
      <w:pPr>
        <w:ind w:left="958" w:right="857"/>
        <w:rPr>
          <w:sz w:val="18"/>
        </w:rPr>
      </w:pPr>
      <w:r>
        <w:rPr>
          <w:sz w:val="18"/>
        </w:rPr>
        <w:t>All assets acquired are recorded at their cost of acquisition at the date of acquisition, being</w:t>
      </w:r>
      <w:r>
        <w:rPr>
          <w:spacing w:val="-1"/>
          <w:sz w:val="18"/>
        </w:rPr>
        <w:t xml:space="preserve"> </w:t>
      </w:r>
      <w:r>
        <w:rPr>
          <w:sz w:val="18"/>
        </w:rPr>
        <w:t>the historical cost of the consideration provided plus incidental costs directly attributable to the acquisition. Plant and equipment acquired are expensed unless the initial cost exceeds $2,000 excluding GST.</w:t>
      </w:r>
      <w:r>
        <w:rPr>
          <w:spacing w:val="40"/>
          <w:sz w:val="18"/>
        </w:rPr>
        <w:t xml:space="preserve"> </w:t>
      </w:r>
      <w:r>
        <w:rPr>
          <w:sz w:val="18"/>
        </w:rPr>
        <w:t>Plant and Equipment</w:t>
      </w:r>
      <w:r>
        <w:rPr>
          <w:spacing w:val="-5"/>
          <w:sz w:val="18"/>
        </w:rPr>
        <w:t xml:space="preserve"> </w:t>
      </w:r>
      <w:r>
        <w:rPr>
          <w:sz w:val="18"/>
        </w:rPr>
        <w:t>also</w:t>
      </w:r>
      <w:r>
        <w:rPr>
          <w:spacing w:val="-2"/>
          <w:sz w:val="18"/>
        </w:rPr>
        <w:t xml:space="preserve"> </w:t>
      </w:r>
      <w:r>
        <w:rPr>
          <w:sz w:val="18"/>
        </w:rPr>
        <w:t>includes</w:t>
      </w:r>
      <w:r>
        <w:rPr>
          <w:spacing w:val="-2"/>
          <w:sz w:val="18"/>
        </w:rPr>
        <w:t xml:space="preserve"> </w:t>
      </w:r>
      <w:r>
        <w:rPr>
          <w:sz w:val="18"/>
        </w:rPr>
        <w:t>Right</w:t>
      </w:r>
      <w:r>
        <w:rPr>
          <w:spacing w:val="-5"/>
          <w:sz w:val="18"/>
        </w:rPr>
        <w:t xml:space="preserve"> </w:t>
      </w:r>
      <w:r>
        <w:rPr>
          <w:sz w:val="18"/>
        </w:rPr>
        <w:t>of</w:t>
      </w:r>
      <w:r>
        <w:rPr>
          <w:spacing w:val="-3"/>
          <w:sz w:val="18"/>
        </w:rPr>
        <w:t xml:space="preserve"> </w:t>
      </w:r>
      <w:r>
        <w:rPr>
          <w:sz w:val="18"/>
        </w:rPr>
        <w:t>Use</w:t>
      </w:r>
      <w:r>
        <w:rPr>
          <w:spacing w:val="-5"/>
          <w:sz w:val="18"/>
        </w:rPr>
        <w:t xml:space="preserve"> </w:t>
      </w:r>
      <w:r>
        <w:rPr>
          <w:sz w:val="18"/>
        </w:rPr>
        <w:t>Assets</w:t>
      </w:r>
      <w:r>
        <w:rPr>
          <w:spacing w:val="-4"/>
          <w:sz w:val="18"/>
        </w:rPr>
        <w:t xml:space="preserve"> </w:t>
      </w:r>
      <w:r>
        <w:rPr>
          <w:sz w:val="18"/>
        </w:rPr>
        <w:t>under</w:t>
      </w:r>
      <w:r>
        <w:rPr>
          <w:spacing w:val="-3"/>
          <w:sz w:val="18"/>
        </w:rPr>
        <w:t xml:space="preserve"> </w:t>
      </w:r>
      <w:r>
        <w:rPr>
          <w:sz w:val="18"/>
        </w:rPr>
        <w:t>AASB16.</w:t>
      </w:r>
      <w:r>
        <w:rPr>
          <w:spacing w:val="40"/>
          <w:sz w:val="18"/>
        </w:rPr>
        <w:t xml:space="preserve"> </w:t>
      </w:r>
      <w:r>
        <w:rPr>
          <w:sz w:val="18"/>
        </w:rPr>
        <w:t>Buildings</w:t>
      </w:r>
      <w:r>
        <w:rPr>
          <w:spacing w:val="-2"/>
          <w:sz w:val="18"/>
        </w:rPr>
        <w:t xml:space="preserve"> </w:t>
      </w:r>
      <w:r>
        <w:rPr>
          <w:sz w:val="18"/>
        </w:rPr>
        <w:t>and</w:t>
      </w:r>
      <w:r>
        <w:rPr>
          <w:spacing w:val="-2"/>
          <w:sz w:val="18"/>
        </w:rPr>
        <w:t xml:space="preserve"> </w:t>
      </w:r>
      <w:r>
        <w:rPr>
          <w:sz w:val="18"/>
        </w:rPr>
        <w:t>leasehold</w:t>
      </w:r>
      <w:r>
        <w:rPr>
          <w:spacing w:val="-2"/>
          <w:sz w:val="18"/>
        </w:rPr>
        <w:t xml:space="preserve"> </w:t>
      </w:r>
      <w:r>
        <w:rPr>
          <w:sz w:val="18"/>
        </w:rPr>
        <w:t>improvements</w:t>
      </w:r>
      <w:r>
        <w:rPr>
          <w:spacing w:val="-2"/>
          <w:sz w:val="18"/>
        </w:rPr>
        <w:t xml:space="preserve"> </w:t>
      </w:r>
      <w:r>
        <w:rPr>
          <w:sz w:val="18"/>
        </w:rPr>
        <w:t xml:space="preserve">are </w:t>
      </w:r>
      <w:proofErr w:type="spellStart"/>
      <w:r>
        <w:rPr>
          <w:sz w:val="18"/>
        </w:rPr>
        <w:t>recognised</w:t>
      </w:r>
      <w:proofErr w:type="spellEnd"/>
      <w:r>
        <w:rPr>
          <w:sz w:val="18"/>
        </w:rPr>
        <w:t xml:space="preserve"> at historical cost upon acquisition if the initial cost exceeds $10,000 excluding GST.</w:t>
      </w:r>
    </w:p>
    <w:p w14:paraId="0B15A793" w14:textId="77777777" w:rsidR="00AC6F3C" w:rsidRDefault="00AC6F3C">
      <w:pPr>
        <w:pStyle w:val="BodyText"/>
        <w:spacing w:before="11"/>
      </w:pPr>
    </w:p>
    <w:p w14:paraId="58CA76AA" w14:textId="77777777" w:rsidR="00AC6F3C" w:rsidRDefault="00570E88">
      <w:pPr>
        <w:pStyle w:val="Heading6"/>
        <w:tabs>
          <w:tab w:val="left" w:pos="1810"/>
        </w:tabs>
        <w:spacing w:before="0"/>
      </w:pPr>
      <w:r>
        <w:rPr>
          <w:spacing w:val="-2"/>
        </w:rPr>
        <w:t>C5-</w:t>
      </w:r>
      <w:r>
        <w:rPr>
          <w:spacing w:val="-10"/>
        </w:rPr>
        <w:t>4</w:t>
      </w:r>
      <w:r>
        <w:tab/>
        <w:t>DEPRECIATION</w:t>
      </w:r>
      <w:r>
        <w:rPr>
          <w:spacing w:val="-4"/>
        </w:rPr>
        <w:t xml:space="preserve"> </w:t>
      </w:r>
      <w:r>
        <w:t>AND</w:t>
      </w:r>
      <w:r>
        <w:rPr>
          <w:spacing w:val="-3"/>
        </w:rPr>
        <w:t xml:space="preserve"> </w:t>
      </w:r>
      <w:r>
        <w:rPr>
          <w:spacing w:val="-2"/>
        </w:rPr>
        <w:t>AMORTISATION</w:t>
      </w:r>
    </w:p>
    <w:p w14:paraId="6A37346F" w14:textId="77777777" w:rsidR="00AC6F3C" w:rsidRDefault="00AC6F3C">
      <w:pPr>
        <w:pStyle w:val="BodyText"/>
        <w:spacing w:before="8"/>
        <w:rPr>
          <w:b/>
        </w:rPr>
      </w:pPr>
    </w:p>
    <w:p w14:paraId="62E36B53" w14:textId="77777777" w:rsidR="00AC6F3C" w:rsidRDefault="00570E88">
      <w:pPr>
        <w:ind w:left="958" w:right="858"/>
        <w:rPr>
          <w:sz w:val="18"/>
        </w:rPr>
      </w:pPr>
      <w:r>
        <w:rPr>
          <w:sz w:val="18"/>
        </w:rPr>
        <w:t>All</w:t>
      </w:r>
      <w:r>
        <w:rPr>
          <w:spacing w:val="-1"/>
          <w:sz w:val="18"/>
        </w:rPr>
        <w:t xml:space="preserve"> </w:t>
      </w:r>
      <w:r>
        <w:rPr>
          <w:sz w:val="18"/>
        </w:rPr>
        <w:t>assets</w:t>
      </w:r>
      <w:r>
        <w:rPr>
          <w:spacing w:val="-3"/>
          <w:sz w:val="18"/>
        </w:rPr>
        <w:t xml:space="preserve"> </w:t>
      </w:r>
      <w:r>
        <w:rPr>
          <w:sz w:val="18"/>
        </w:rPr>
        <w:t>including</w:t>
      </w:r>
      <w:r>
        <w:rPr>
          <w:spacing w:val="-4"/>
          <w:sz w:val="18"/>
        </w:rPr>
        <w:t xml:space="preserve"> </w:t>
      </w:r>
      <w:r>
        <w:rPr>
          <w:sz w:val="18"/>
        </w:rPr>
        <w:t>strata</w:t>
      </w:r>
      <w:r>
        <w:rPr>
          <w:spacing w:val="-1"/>
          <w:sz w:val="18"/>
        </w:rPr>
        <w:t xml:space="preserve"> </w:t>
      </w:r>
      <w:r>
        <w:rPr>
          <w:sz w:val="18"/>
        </w:rPr>
        <w:t>title</w:t>
      </w:r>
      <w:r>
        <w:rPr>
          <w:spacing w:val="-4"/>
          <w:sz w:val="18"/>
        </w:rPr>
        <w:t xml:space="preserve"> </w:t>
      </w:r>
      <w:r>
        <w:rPr>
          <w:sz w:val="18"/>
        </w:rPr>
        <w:t>building</w:t>
      </w:r>
      <w:r>
        <w:rPr>
          <w:spacing w:val="-4"/>
          <w:sz w:val="18"/>
        </w:rPr>
        <w:t xml:space="preserve"> </w:t>
      </w:r>
      <w:r>
        <w:rPr>
          <w:sz w:val="18"/>
        </w:rPr>
        <w:t>have</w:t>
      </w:r>
      <w:r>
        <w:rPr>
          <w:spacing w:val="-1"/>
          <w:sz w:val="18"/>
        </w:rPr>
        <w:t xml:space="preserve"> </w:t>
      </w:r>
      <w:r>
        <w:rPr>
          <w:sz w:val="18"/>
        </w:rPr>
        <w:t>limited</w:t>
      </w:r>
      <w:r>
        <w:rPr>
          <w:spacing w:val="-4"/>
          <w:sz w:val="18"/>
        </w:rPr>
        <w:t xml:space="preserve"> </w:t>
      </w:r>
      <w:r>
        <w:rPr>
          <w:sz w:val="18"/>
        </w:rPr>
        <w:t>useful</w:t>
      </w:r>
      <w:r>
        <w:rPr>
          <w:spacing w:val="-4"/>
          <w:sz w:val="18"/>
        </w:rPr>
        <w:t xml:space="preserve"> </w:t>
      </w:r>
      <w:r>
        <w:rPr>
          <w:sz w:val="18"/>
        </w:rPr>
        <w:t>lives</w:t>
      </w:r>
      <w:r>
        <w:rPr>
          <w:spacing w:val="-1"/>
          <w:sz w:val="18"/>
        </w:rPr>
        <w:t xml:space="preserve"> </w:t>
      </w:r>
      <w:r>
        <w:rPr>
          <w:sz w:val="18"/>
        </w:rPr>
        <w:t>and</w:t>
      </w:r>
      <w:r>
        <w:rPr>
          <w:spacing w:val="-1"/>
          <w:sz w:val="18"/>
        </w:rPr>
        <w:t xml:space="preserve"> </w:t>
      </w:r>
      <w:r>
        <w:rPr>
          <w:sz w:val="18"/>
        </w:rPr>
        <w:t>are</w:t>
      </w:r>
      <w:r>
        <w:rPr>
          <w:spacing w:val="-1"/>
          <w:sz w:val="18"/>
        </w:rPr>
        <w:t xml:space="preserve"> </w:t>
      </w:r>
      <w:r>
        <w:rPr>
          <w:sz w:val="18"/>
        </w:rPr>
        <w:t>depreciated</w:t>
      </w:r>
      <w:r>
        <w:rPr>
          <w:spacing w:val="-1"/>
          <w:sz w:val="18"/>
        </w:rPr>
        <w:t xml:space="preserve"> </w:t>
      </w:r>
      <w:r>
        <w:rPr>
          <w:sz w:val="18"/>
        </w:rPr>
        <w:t>or</w:t>
      </w:r>
      <w:r>
        <w:rPr>
          <w:spacing w:val="-4"/>
          <w:sz w:val="18"/>
        </w:rPr>
        <w:t xml:space="preserve"> </w:t>
      </w:r>
      <w:proofErr w:type="spellStart"/>
      <w:r>
        <w:rPr>
          <w:sz w:val="18"/>
        </w:rPr>
        <w:t>amortised</w:t>
      </w:r>
      <w:proofErr w:type="spellEnd"/>
      <w:r>
        <w:rPr>
          <w:spacing w:val="-2"/>
          <w:sz w:val="18"/>
        </w:rPr>
        <w:t xml:space="preserve"> </w:t>
      </w:r>
      <w:r>
        <w:rPr>
          <w:sz w:val="18"/>
        </w:rPr>
        <w:t>using</w:t>
      </w:r>
      <w:r>
        <w:rPr>
          <w:spacing w:val="-4"/>
          <w:sz w:val="18"/>
        </w:rPr>
        <w:t xml:space="preserve"> </w:t>
      </w:r>
      <w:r>
        <w:rPr>
          <w:sz w:val="18"/>
        </w:rPr>
        <w:t>the straight line method over their estimated useful lives.</w:t>
      </w:r>
    </w:p>
    <w:p w14:paraId="499949A9" w14:textId="77777777" w:rsidR="00AC6F3C" w:rsidRDefault="00AC6F3C">
      <w:pPr>
        <w:pStyle w:val="BodyText"/>
        <w:rPr>
          <w:sz w:val="21"/>
        </w:rPr>
      </w:pPr>
    </w:p>
    <w:p w14:paraId="18ABB190" w14:textId="77777777" w:rsidR="00AC6F3C" w:rsidRDefault="00570E88">
      <w:pPr>
        <w:ind w:left="958" w:right="857"/>
        <w:rPr>
          <w:sz w:val="18"/>
        </w:rPr>
      </w:pPr>
      <w:r>
        <w:rPr>
          <w:sz w:val="18"/>
        </w:rPr>
        <w:t xml:space="preserve">Assets are depreciated or </w:t>
      </w:r>
      <w:proofErr w:type="spellStart"/>
      <w:r>
        <w:rPr>
          <w:sz w:val="18"/>
        </w:rPr>
        <w:t>amortised</w:t>
      </w:r>
      <w:proofErr w:type="spellEnd"/>
      <w:r>
        <w:rPr>
          <w:sz w:val="18"/>
        </w:rPr>
        <w:t xml:space="preserve"> from the date of acquisition.</w:t>
      </w:r>
      <w:r>
        <w:rPr>
          <w:spacing w:val="40"/>
          <w:sz w:val="18"/>
        </w:rPr>
        <w:t xml:space="preserve"> </w:t>
      </w:r>
      <w:r>
        <w:rPr>
          <w:sz w:val="18"/>
        </w:rPr>
        <w:t>Any expenditure that increases the originally</w:t>
      </w:r>
      <w:r>
        <w:rPr>
          <w:spacing w:val="-1"/>
          <w:sz w:val="18"/>
        </w:rPr>
        <w:t xml:space="preserve"> </w:t>
      </w:r>
      <w:r>
        <w:rPr>
          <w:sz w:val="18"/>
        </w:rPr>
        <w:t>assessed</w:t>
      </w:r>
      <w:r>
        <w:rPr>
          <w:spacing w:val="-4"/>
          <w:sz w:val="18"/>
        </w:rPr>
        <w:t xml:space="preserve"> </w:t>
      </w:r>
      <w:r>
        <w:rPr>
          <w:sz w:val="18"/>
        </w:rPr>
        <w:t>capacity</w:t>
      </w:r>
      <w:r>
        <w:rPr>
          <w:spacing w:val="-3"/>
          <w:sz w:val="18"/>
        </w:rPr>
        <w:t xml:space="preserve"> </w:t>
      </w:r>
      <w:r>
        <w:rPr>
          <w:sz w:val="18"/>
        </w:rPr>
        <w:t>or</w:t>
      </w:r>
      <w:r>
        <w:rPr>
          <w:spacing w:val="-4"/>
          <w:sz w:val="18"/>
        </w:rPr>
        <w:t xml:space="preserve"> </w:t>
      </w:r>
      <w:r>
        <w:rPr>
          <w:sz w:val="18"/>
        </w:rPr>
        <w:t>service</w:t>
      </w:r>
      <w:r>
        <w:rPr>
          <w:spacing w:val="-1"/>
          <w:sz w:val="18"/>
        </w:rPr>
        <w:t xml:space="preserve"> </w:t>
      </w:r>
      <w:r>
        <w:rPr>
          <w:sz w:val="18"/>
        </w:rPr>
        <w:t>potential</w:t>
      </w:r>
      <w:r>
        <w:rPr>
          <w:spacing w:val="-4"/>
          <w:sz w:val="18"/>
        </w:rPr>
        <w:t xml:space="preserve"> </w:t>
      </w:r>
      <w:r>
        <w:rPr>
          <w:sz w:val="18"/>
        </w:rPr>
        <w:t>of</w:t>
      </w:r>
      <w:r>
        <w:rPr>
          <w:spacing w:val="-2"/>
          <w:sz w:val="18"/>
        </w:rPr>
        <w:t xml:space="preserve"> </w:t>
      </w:r>
      <w:r>
        <w:rPr>
          <w:sz w:val="18"/>
        </w:rPr>
        <w:t>an</w:t>
      </w:r>
      <w:r>
        <w:rPr>
          <w:spacing w:val="-1"/>
          <w:sz w:val="18"/>
        </w:rPr>
        <w:t xml:space="preserve"> </w:t>
      </w:r>
      <w:r>
        <w:rPr>
          <w:sz w:val="18"/>
        </w:rPr>
        <w:t>asset</w:t>
      </w:r>
      <w:r>
        <w:rPr>
          <w:spacing w:val="-4"/>
          <w:sz w:val="18"/>
        </w:rPr>
        <w:t xml:space="preserve"> </w:t>
      </w:r>
      <w:r>
        <w:rPr>
          <w:sz w:val="18"/>
        </w:rPr>
        <w:t>is</w:t>
      </w:r>
      <w:r>
        <w:rPr>
          <w:spacing w:val="-1"/>
          <w:sz w:val="18"/>
        </w:rPr>
        <w:t xml:space="preserve"> </w:t>
      </w:r>
      <w:proofErr w:type="spellStart"/>
      <w:r>
        <w:rPr>
          <w:sz w:val="18"/>
        </w:rPr>
        <w:t>capitalised</w:t>
      </w:r>
      <w:proofErr w:type="spellEnd"/>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new</w:t>
      </w:r>
      <w:r>
        <w:rPr>
          <w:spacing w:val="-2"/>
          <w:sz w:val="18"/>
        </w:rPr>
        <w:t xml:space="preserve"> </w:t>
      </w:r>
      <w:r>
        <w:rPr>
          <w:sz w:val="18"/>
        </w:rPr>
        <w:t>depreciable</w:t>
      </w:r>
      <w:r>
        <w:rPr>
          <w:spacing w:val="-4"/>
          <w:sz w:val="18"/>
        </w:rPr>
        <w:t xml:space="preserve"> </w:t>
      </w:r>
      <w:r>
        <w:rPr>
          <w:sz w:val="18"/>
        </w:rPr>
        <w:t>amount depreciated over the remaining or adjusted useful life of the asset.</w:t>
      </w:r>
      <w:r>
        <w:rPr>
          <w:spacing w:val="40"/>
          <w:sz w:val="18"/>
        </w:rPr>
        <w:t xml:space="preserve"> </w:t>
      </w:r>
      <w:r>
        <w:rPr>
          <w:sz w:val="18"/>
        </w:rPr>
        <w:t xml:space="preserve">Depreciation and </w:t>
      </w:r>
      <w:proofErr w:type="spellStart"/>
      <w:r>
        <w:rPr>
          <w:sz w:val="18"/>
        </w:rPr>
        <w:t>amortisation</w:t>
      </w:r>
      <w:proofErr w:type="spellEnd"/>
      <w:r>
        <w:rPr>
          <w:sz w:val="18"/>
        </w:rPr>
        <w:t xml:space="preserve"> rates and methods are reviewed annually for appropriateness.</w:t>
      </w:r>
      <w:r>
        <w:rPr>
          <w:spacing w:val="40"/>
          <w:sz w:val="18"/>
        </w:rPr>
        <w:t xml:space="preserve"> </w:t>
      </w:r>
      <w:r>
        <w:rPr>
          <w:sz w:val="18"/>
        </w:rPr>
        <w:t>When changes are made, adjustments are reflected prospectively in current and future periods.</w:t>
      </w:r>
    </w:p>
    <w:p w14:paraId="0DC79AA3" w14:textId="77777777" w:rsidR="00AC6F3C" w:rsidRDefault="00AC6F3C">
      <w:pPr>
        <w:pStyle w:val="BodyText"/>
        <w:spacing w:before="9"/>
      </w:pPr>
    </w:p>
    <w:p w14:paraId="3D8410F8" w14:textId="77777777" w:rsidR="00AC6F3C" w:rsidRDefault="00570E88">
      <w:pPr>
        <w:spacing w:before="1"/>
        <w:ind w:left="958" w:right="730"/>
        <w:rPr>
          <w:sz w:val="18"/>
        </w:rPr>
      </w:pPr>
      <w:r>
        <w:rPr>
          <w:sz w:val="18"/>
        </w:rPr>
        <w:t xml:space="preserve">Intangible assets acquired separately are measured on initial recognition at cost. The cost of intangible assets acquired in a business combination is their fair value at the date of acquisition. Following initial recognition, intangible assets are carried at cost less any accumulated </w:t>
      </w:r>
      <w:proofErr w:type="spellStart"/>
      <w:r>
        <w:rPr>
          <w:sz w:val="18"/>
        </w:rPr>
        <w:t>amortisation</w:t>
      </w:r>
      <w:proofErr w:type="spellEnd"/>
      <w:r>
        <w:rPr>
          <w:sz w:val="18"/>
        </w:rPr>
        <w:t xml:space="preserve"> and accumulated impairment losses. Internally generated intangibles, excluding </w:t>
      </w:r>
      <w:proofErr w:type="spellStart"/>
      <w:r>
        <w:rPr>
          <w:sz w:val="18"/>
        </w:rPr>
        <w:t>capitalised</w:t>
      </w:r>
      <w:proofErr w:type="spellEnd"/>
      <w:r>
        <w:rPr>
          <w:sz w:val="18"/>
        </w:rPr>
        <w:t xml:space="preserve"> development costs, are not </w:t>
      </w:r>
      <w:proofErr w:type="spellStart"/>
      <w:r>
        <w:rPr>
          <w:sz w:val="18"/>
        </w:rPr>
        <w:t>capitalised</w:t>
      </w:r>
      <w:proofErr w:type="spellEnd"/>
      <w:r>
        <w:rPr>
          <w:spacing w:val="-1"/>
          <w:sz w:val="18"/>
        </w:rPr>
        <w:t xml:space="preserve"> </w:t>
      </w:r>
      <w:r>
        <w:rPr>
          <w:sz w:val="18"/>
        </w:rPr>
        <w:t>and</w:t>
      </w:r>
      <w:r>
        <w:rPr>
          <w:spacing w:val="-1"/>
          <w:sz w:val="18"/>
        </w:rPr>
        <w:t xml:space="preserve"> </w:t>
      </w:r>
      <w:r>
        <w:rPr>
          <w:sz w:val="18"/>
        </w:rPr>
        <w:t>the</w:t>
      </w:r>
      <w:r>
        <w:rPr>
          <w:spacing w:val="-3"/>
          <w:sz w:val="18"/>
        </w:rPr>
        <w:t xml:space="preserve"> </w:t>
      </w:r>
      <w:r>
        <w:rPr>
          <w:sz w:val="18"/>
        </w:rPr>
        <w:t>related</w:t>
      </w:r>
      <w:r>
        <w:rPr>
          <w:spacing w:val="-3"/>
          <w:sz w:val="18"/>
        </w:rPr>
        <w:t xml:space="preserve"> </w:t>
      </w:r>
      <w:r>
        <w:rPr>
          <w:sz w:val="18"/>
        </w:rPr>
        <w:t>expenditure</w:t>
      </w:r>
      <w:r>
        <w:rPr>
          <w:spacing w:val="-1"/>
          <w:sz w:val="18"/>
        </w:rPr>
        <w:t xml:space="preserve"> </w:t>
      </w:r>
      <w:r>
        <w:rPr>
          <w:sz w:val="18"/>
        </w:rPr>
        <w:t>is</w:t>
      </w:r>
      <w:r>
        <w:rPr>
          <w:spacing w:val="-1"/>
          <w:sz w:val="18"/>
        </w:rPr>
        <w:t xml:space="preserve"> </w:t>
      </w:r>
      <w:r>
        <w:rPr>
          <w:sz w:val="18"/>
        </w:rPr>
        <w:t>reflected</w:t>
      </w:r>
      <w:r>
        <w:rPr>
          <w:spacing w:val="-3"/>
          <w:sz w:val="18"/>
        </w:rPr>
        <w:t xml:space="preserve"> </w:t>
      </w:r>
      <w:r>
        <w:rPr>
          <w:sz w:val="18"/>
        </w:rPr>
        <w:t>in</w:t>
      </w:r>
      <w:r>
        <w:rPr>
          <w:spacing w:val="-3"/>
          <w:sz w:val="18"/>
        </w:rPr>
        <w:t xml:space="preserve"> </w:t>
      </w:r>
      <w:r>
        <w:rPr>
          <w:sz w:val="18"/>
        </w:rPr>
        <w:t>profit</w:t>
      </w:r>
      <w:r>
        <w:rPr>
          <w:spacing w:val="-2"/>
          <w:sz w:val="18"/>
        </w:rPr>
        <w:t xml:space="preserve"> </w:t>
      </w:r>
      <w:r>
        <w:rPr>
          <w:sz w:val="18"/>
        </w:rPr>
        <w:t>or</w:t>
      </w:r>
      <w:r>
        <w:rPr>
          <w:spacing w:val="-3"/>
          <w:sz w:val="18"/>
        </w:rPr>
        <w:t xml:space="preserve"> </w:t>
      </w:r>
      <w:r>
        <w:rPr>
          <w:sz w:val="18"/>
        </w:rPr>
        <w:t>loss</w:t>
      </w:r>
      <w:r>
        <w:rPr>
          <w:spacing w:val="-1"/>
          <w:sz w:val="18"/>
        </w:rPr>
        <w:t xml:space="preserve"> </w:t>
      </w:r>
      <w:r>
        <w:rPr>
          <w:sz w:val="18"/>
        </w:rPr>
        <w:t>in</w:t>
      </w:r>
      <w:r>
        <w:rPr>
          <w:spacing w:val="-1"/>
          <w:sz w:val="18"/>
        </w:rPr>
        <w:t xml:space="preserve"> </w:t>
      </w:r>
      <w:r>
        <w:rPr>
          <w:sz w:val="18"/>
        </w:rPr>
        <w:t>the</w:t>
      </w:r>
      <w:r>
        <w:rPr>
          <w:spacing w:val="-3"/>
          <w:sz w:val="18"/>
        </w:rPr>
        <w:t xml:space="preserve"> </w:t>
      </w:r>
      <w:r>
        <w:rPr>
          <w:sz w:val="18"/>
        </w:rPr>
        <w:t>period</w:t>
      </w:r>
      <w:r>
        <w:rPr>
          <w:spacing w:val="-3"/>
          <w:sz w:val="18"/>
        </w:rPr>
        <w:t xml:space="preserve"> </w:t>
      </w:r>
      <w:r>
        <w:rPr>
          <w:sz w:val="18"/>
        </w:rPr>
        <w:t>in</w:t>
      </w:r>
      <w:r>
        <w:rPr>
          <w:spacing w:val="-1"/>
          <w:sz w:val="18"/>
        </w:rPr>
        <w:t xml:space="preserve"> </w:t>
      </w:r>
      <w:r>
        <w:rPr>
          <w:sz w:val="18"/>
        </w:rPr>
        <w:t>which</w:t>
      </w:r>
      <w:r>
        <w:rPr>
          <w:spacing w:val="-3"/>
          <w:sz w:val="18"/>
        </w:rPr>
        <w:t xml:space="preserve"> </w:t>
      </w:r>
      <w:r>
        <w:rPr>
          <w:sz w:val="18"/>
        </w:rPr>
        <w:t>the</w:t>
      </w:r>
      <w:r>
        <w:rPr>
          <w:spacing w:val="-3"/>
          <w:sz w:val="18"/>
        </w:rPr>
        <w:t xml:space="preserve"> </w:t>
      </w:r>
      <w:r>
        <w:rPr>
          <w:sz w:val="18"/>
        </w:rPr>
        <w:t>expenditure</w:t>
      </w:r>
      <w:r>
        <w:rPr>
          <w:spacing w:val="-3"/>
          <w:sz w:val="18"/>
        </w:rPr>
        <w:t xml:space="preserve"> </w:t>
      </w:r>
      <w:r>
        <w:rPr>
          <w:sz w:val="18"/>
        </w:rPr>
        <w:t xml:space="preserve">is </w:t>
      </w:r>
      <w:r>
        <w:rPr>
          <w:spacing w:val="-2"/>
          <w:sz w:val="18"/>
        </w:rPr>
        <w:t>incurred.</w:t>
      </w:r>
    </w:p>
    <w:p w14:paraId="0E8BC4F3" w14:textId="77777777" w:rsidR="00AC6F3C" w:rsidRDefault="00AC6F3C">
      <w:pPr>
        <w:pStyle w:val="BodyText"/>
        <w:spacing w:before="8"/>
      </w:pPr>
    </w:p>
    <w:p w14:paraId="230F635D" w14:textId="77777777" w:rsidR="00AC6F3C" w:rsidRDefault="00570E88">
      <w:pPr>
        <w:ind w:left="958"/>
        <w:rPr>
          <w:sz w:val="18"/>
        </w:rPr>
      </w:pPr>
      <w:r>
        <w:rPr>
          <w:sz w:val="18"/>
        </w:rPr>
        <w:t>The</w:t>
      </w:r>
      <w:r>
        <w:rPr>
          <w:spacing w:val="-2"/>
          <w:sz w:val="18"/>
        </w:rPr>
        <w:t xml:space="preserve"> </w:t>
      </w:r>
      <w:r>
        <w:rPr>
          <w:sz w:val="18"/>
        </w:rPr>
        <w:t>useful</w:t>
      </w:r>
      <w:r>
        <w:rPr>
          <w:spacing w:val="-1"/>
          <w:sz w:val="18"/>
        </w:rPr>
        <w:t xml:space="preserve"> </w:t>
      </w:r>
      <w:r>
        <w:rPr>
          <w:sz w:val="18"/>
        </w:rPr>
        <w:t>lives</w:t>
      </w:r>
      <w:r>
        <w:rPr>
          <w:spacing w:val="-1"/>
          <w:sz w:val="18"/>
        </w:rPr>
        <w:t xml:space="preserve"> </w:t>
      </w:r>
      <w:r>
        <w:rPr>
          <w:sz w:val="18"/>
        </w:rPr>
        <w:t>of</w:t>
      </w:r>
      <w:r>
        <w:rPr>
          <w:spacing w:val="-4"/>
          <w:sz w:val="18"/>
        </w:rPr>
        <w:t xml:space="preserve"> </w:t>
      </w:r>
      <w:r>
        <w:rPr>
          <w:sz w:val="18"/>
        </w:rPr>
        <w:t>intangible</w:t>
      </w:r>
      <w:r>
        <w:rPr>
          <w:spacing w:val="-1"/>
          <w:sz w:val="18"/>
        </w:rPr>
        <w:t xml:space="preserve"> </w:t>
      </w:r>
      <w:r>
        <w:rPr>
          <w:sz w:val="18"/>
        </w:rPr>
        <w:t>assets</w:t>
      </w:r>
      <w:r>
        <w:rPr>
          <w:spacing w:val="-2"/>
          <w:sz w:val="18"/>
        </w:rPr>
        <w:t xml:space="preserve"> </w:t>
      </w:r>
      <w:r>
        <w:rPr>
          <w:sz w:val="18"/>
        </w:rPr>
        <w:t>are</w:t>
      </w:r>
      <w:r>
        <w:rPr>
          <w:spacing w:val="-1"/>
          <w:sz w:val="18"/>
        </w:rPr>
        <w:t xml:space="preserve"> </w:t>
      </w:r>
      <w:r>
        <w:rPr>
          <w:sz w:val="18"/>
        </w:rPr>
        <w:t>assessed</w:t>
      </w:r>
      <w:r>
        <w:rPr>
          <w:spacing w:val="-1"/>
          <w:sz w:val="18"/>
        </w:rPr>
        <w:t xml:space="preserve"> </w:t>
      </w:r>
      <w:r>
        <w:rPr>
          <w:sz w:val="18"/>
        </w:rPr>
        <w:t>as</w:t>
      </w:r>
      <w:r>
        <w:rPr>
          <w:spacing w:val="-1"/>
          <w:sz w:val="18"/>
        </w:rPr>
        <w:t xml:space="preserve"> </w:t>
      </w:r>
      <w:r>
        <w:rPr>
          <w:sz w:val="18"/>
        </w:rPr>
        <w:t>either</w:t>
      </w:r>
      <w:r>
        <w:rPr>
          <w:spacing w:val="-4"/>
          <w:sz w:val="18"/>
        </w:rPr>
        <w:t xml:space="preserve"> </w:t>
      </w:r>
      <w:r>
        <w:rPr>
          <w:sz w:val="18"/>
        </w:rPr>
        <w:t>finite</w:t>
      </w:r>
      <w:r>
        <w:rPr>
          <w:spacing w:val="-4"/>
          <w:sz w:val="18"/>
        </w:rPr>
        <w:t xml:space="preserve"> </w:t>
      </w:r>
      <w:r>
        <w:rPr>
          <w:sz w:val="18"/>
        </w:rPr>
        <w:t>or</w:t>
      </w:r>
      <w:r>
        <w:rPr>
          <w:spacing w:val="-2"/>
          <w:sz w:val="18"/>
        </w:rPr>
        <w:t xml:space="preserve"> indefinite.</w:t>
      </w:r>
    </w:p>
    <w:p w14:paraId="2063AC65" w14:textId="77777777" w:rsidR="00AC6F3C" w:rsidRDefault="00AC6F3C">
      <w:pPr>
        <w:pStyle w:val="BodyText"/>
        <w:spacing w:before="10"/>
      </w:pPr>
    </w:p>
    <w:p w14:paraId="2AD96EB7" w14:textId="77777777" w:rsidR="00AC6F3C" w:rsidRDefault="00570E88">
      <w:pPr>
        <w:ind w:left="958" w:right="730"/>
        <w:rPr>
          <w:sz w:val="18"/>
        </w:rPr>
      </w:pPr>
      <w:r>
        <w:rPr>
          <w:sz w:val="18"/>
        </w:rPr>
        <w:t xml:space="preserve">Intangible assets with finite lives are </w:t>
      </w:r>
      <w:proofErr w:type="spellStart"/>
      <w:r>
        <w:rPr>
          <w:sz w:val="18"/>
        </w:rPr>
        <w:t>amortised</w:t>
      </w:r>
      <w:proofErr w:type="spellEnd"/>
      <w:r>
        <w:rPr>
          <w:spacing w:val="-1"/>
          <w:sz w:val="18"/>
        </w:rPr>
        <w:t xml:space="preserve"> </w:t>
      </w:r>
      <w:r>
        <w:rPr>
          <w:sz w:val="18"/>
        </w:rPr>
        <w:t>over the useful economic life and</w:t>
      </w:r>
      <w:r>
        <w:rPr>
          <w:spacing w:val="-1"/>
          <w:sz w:val="18"/>
        </w:rPr>
        <w:t xml:space="preserve"> </w:t>
      </w:r>
      <w:r>
        <w:rPr>
          <w:sz w:val="18"/>
        </w:rPr>
        <w:t>assessed</w:t>
      </w:r>
      <w:r>
        <w:rPr>
          <w:spacing w:val="-4"/>
          <w:sz w:val="18"/>
        </w:rPr>
        <w:t xml:space="preserve"> </w:t>
      </w:r>
      <w:r>
        <w:rPr>
          <w:sz w:val="18"/>
        </w:rPr>
        <w:t>for impairment whenever</w:t>
      </w:r>
      <w:r>
        <w:rPr>
          <w:spacing w:val="-2"/>
          <w:sz w:val="18"/>
        </w:rPr>
        <w:t xml:space="preserve"> </w:t>
      </w:r>
      <w:r>
        <w:rPr>
          <w:sz w:val="18"/>
        </w:rPr>
        <w:t>there</w:t>
      </w:r>
      <w:r>
        <w:rPr>
          <w:spacing w:val="-1"/>
          <w:sz w:val="18"/>
        </w:rPr>
        <w:t xml:space="preserve"> </w:t>
      </w:r>
      <w:r>
        <w:rPr>
          <w:sz w:val="18"/>
        </w:rPr>
        <w:t>is</w:t>
      </w:r>
      <w:r>
        <w:rPr>
          <w:spacing w:val="-1"/>
          <w:sz w:val="18"/>
        </w:rPr>
        <w:t xml:space="preserve"> </w:t>
      </w:r>
      <w:r>
        <w:rPr>
          <w:sz w:val="18"/>
        </w:rPr>
        <w:t>an</w:t>
      </w:r>
      <w:r>
        <w:rPr>
          <w:spacing w:val="-1"/>
          <w:sz w:val="18"/>
        </w:rPr>
        <w:t xml:space="preserve"> </w:t>
      </w:r>
      <w:r>
        <w:rPr>
          <w:sz w:val="18"/>
        </w:rPr>
        <w:t>indication</w:t>
      </w:r>
      <w:r>
        <w:rPr>
          <w:spacing w:val="-1"/>
          <w:sz w:val="18"/>
        </w:rPr>
        <w:t xml:space="preserve"> </w:t>
      </w:r>
      <w:r>
        <w:rPr>
          <w:sz w:val="18"/>
        </w:rPr>
        <w:t>that</w:t>
      </w:r>
      <w:r>
        <w:rPr>
          <w:spacing w:val="-4"/>
          <w:sz w:val="18"/>
        </w:rPr>
        <w:t xml:space="preserve"> </w:t>
      </w:r>
      <w:r>
        <w:rPr>
          <w:sz w:val="18"/>
        </w:rPr>
        <w:t>the</w:t>
      </w:r>
      <w:r>
        <w:rPr>
          <w:spacing w:val="-4"/>
          <w:sz w:val="18"/>
        </w:rPr>
        <w:t xml:space="preserve"> </w:t>
      </w:r>
      <w:r>
        <w:rPr>
          <w:sz w:val="18"/>
        </w:rPr>
        <w:t>intangible</w:t>
      </w:r>
      <w:r>
        <w:rPr>
          <w:spacing w:val="-4"/>
          <w:sz w:val="18"/>
        </w:rPr>
        <w:t xml:space="preserve"> </w:t>
      </w:r>
      <w:r>
        <w:rPr>
          <w:sz w:val="18"/>
        </w:rPr>
        <w:t>asset</w:t>
      </w:r>
      <w:r>
        <w:rPr>
          <w:spacing w:val="-4"/>
          <w:sz w:val="18"/>
        </w:rPr>
        <w:t xml:space="preserve"> </w:t>
      </w:r>
      <w:r>
        <w:rPr>
          <w:sz w:val="18"/>
        </w:rPr>
        <w:t>may</w:t>
      </w:r>
      <w:r>
        <w:rPr>
          <w:spacing w:val="-3"/>
          <w:sz w:val="18"/>
        </w:rPr>
        <w:t xml:space="preserve"> </w:t>
      </w:r>
      <w:r>
        <w:rPr>
          <w:sz w:val="18"/>
        </w:rPr>
        <w:t>be</w:t>
      </w:r>
      <w:r>
        <w:rPr>
          <w:spacing w:val="-1"/>
          <w:sz w:val="18"/>
        </w:rPr>
        <w:t xml:space="preserve"> </w:t>
      </w:r>
      <w:r>
        <w:rPr>
          <w:sz w:val="18"/>
        </w:rPr>
        <w:t>impaired.</w:t>
      </w:r>
      <w:r>
        <w:rPr>
          <w:spacing w:val="-4"/>
          <w:sz w:val="18"/>
        </w:rPr>
        <w:t xml:space="preserve"> </w:t>
      </w:r>
      <w:r>
        <w:rPr>
          <w:sz w:val="18"/>
        </w:rPr>
        <w:t>The</w:t>
      </w:r>
      <w:r>
        <w:rPr>
          <w:spacing w:val="-4"/>
          <w:sz w:val="18"/>
        </w:rPr>
        <w:t xml:space="preserve"> </w:t>
      </w:r>
      <w:proofErr w:type="spellStart"/>
      <w:r>
        <w:rPr>
          <w:sz w:val="18"/>
        </w:rPr>
        <w:t>amortisation</w:t>
      </w:r>
      <w:proofErr w:type="spellEnd"/>
      <w:r>
        <w:rPr>
          <w:spacing w:val="-4"/>
          <w:sz w:val="18"/>
        </w:rPr>
        <w:t xml:space="preserve"> </w:t>
      </w:r>
      <w:r>
        <w:rPr>
          <w:sz w:val="18"/>
        </w:rPr>
        <w:t>period</w:t>
      </w:r>
      <w:r>
        <w:rPr>
          <w:spacing w:val="-1"/>
          <w:sz w:val="18"/>
        </w:rPr>
        <w:t xml:space="preserve"> </w:t>
      </w:r>
      <w:r>
        <w:rPr>
          <w:sz w:val="18"/>
        </w:rPr>
        <w:t>and</w:t>
      </w:r>
      <w:r>
        <w:rPr>
          <w:spacing w:val="-1"/>
          <w:sz w:val="18"/>
        </w:rPr>
        <w:t xml:space="preserve"> </w:t>
      </w:r>
      <w:r>
        <w:rPr>
          <w:sz w:val="18"/>
        </w:rPr>
        <w:t xml:space="preserve">the </w:t>
      </w:r>
      <w:proofErr w:type="spellStart"/>
      <w:r>
        <w:rPr>
          <w:sz w:val="18"/>
        </w:rPr>
        <w:t>amortisation</w:t>
      </w:r>
      <w:proofErr w:type="spellEnd"/>
      <w:r>
        <w:rPr>
          <w:spacing w:val="-1"/>
          <w:sz w:val="18"/>
        </w:rPr>
        <w:t xml:space="preserve"> </w:t>
      </w:r>
      <w:r>
        <w:rPr>
          <w:sz w:val="18"/>
        </w:rPr>
        <w:t>method</w:t>
      </w:r>
      <w:r>
        <w:rPr>
          <w:spacing w:val="-1"/>
          <w:sz w:val="18"/>
        </w:rPr>
        <w:t xml:space="preserve"> </w:t>
      </w:r>
      <w:r>
        <w:rPr>
          <w:sz w:val="18"/>
        </w:rPr>
        <w:t>for</w:t>
      </w:r>
      <w:r>
        <w:rPr>
          <w:spacing w:val="-1"/>
          <w:sz w:val="18"/>
        </w:rPr>
        <w:t xml:space="preserve"> </w:t>
      </w:r>
      <w:r>
        <w:rPr>
          <w:sz w:val="18"/>
        </w:rPr>
        <w:t>an intangible</w:t>
      </w:r>
      <w:r>
        <w:rPr>
          <w:spacing w:val="-1"/>
          <w:sz w:val="18"/>
        </w:rPr>
        <w:t xml:space="preserve"> </w:t>
      </w:r>
      <w:r>
        <w:rPr>
          <w:sz w:val="18"/>
        </w:rPr>
        <w:t>asset with a</w:t>
      </w:r>
      <w:r>
        <w:rPr>
          <w:spacing w:val="-1"/>
          <w:sz w:val="18"/>
        </w:rPr>
        <w:t xml:space="preserve"> </w:t>
      </w:r>
      <w:r>
        <w:rPr>
          <w:sz w:val="18"/>
        </w:rPr>
        <w:t>finite useful life are reviewed at</w:t>
      </w:r>
      <w:r>
        <w:rPr>
          <w:spacing w:val="-1"/>
          <w:sz w:val="18"/>
        </w:rPr>
        <w:t xml:space="preserve"> </w:t>
      </w:r>
      <w:r>
        <w:rPr>
          <w:sz w:val="18"/>
        </w:rPr>
        <w:t>least at the end of</w:t>
      </w:r>
      <w:r>
        <w:rPr>
          <w:spacing w:val="-1"/>
          <w:sz w:val="18"/>
        </w:rPr>
        <w:t xml:space="preserve"> </w:t>
      </w:r>
      <w:r>
        <w:rPr>
          <w:sz w:val="18"/>
        </w:rPr>
        <w:t xml:space="preserve">each reporting period. Changes in the expected useful life or the expected pattern of consumption of future economic benefits embodied in the asset are considered to modify the </w:t>
      </w:r>
      <w:proofErr w:type="spellStart"/>
      <w:r>
        <w:rPr>
          <w:sz w:val="18"/>
        </w:rPr>
        <w:t>amortisation</w:t>
      </w:r>
      <w:proofErr w:type="spellEnd"/>
      <w:r>
        <w:rPr>
          <w:sz w:val="18"/>
        </w:rPr>
        <w:t xml:space="preserve"> period or method, as appropriate, and are treated as changes in accounting estimates. The </w:t>
      </w:r>
      <w:proofErr w:type="spellStart"/>
      <w:r>
        <w:rPr>
          <w:sz w:val="18"/>
        </w:rPr>
        <w:t>amortisation</w:t>
      </w:r>
      <w:proofErr w:type="spellEnd"/>
      <w:r>
        <w:rPr>
          <w:sz w:val="18"/>
        </w:rPr>
        <w:t xml:space="preserve"> expense on intangible assets with finite lives is </w:t>
      </w:r>
      <w:proofErr w:type="spellStart"/>
      <w:r>
        <w:rPr>
          <w:sz w:val="18"/>
        </w:rPr>
        <w:t>recognised</w:t>
      </w:r>
      <w:proofErr w:type="spellEnd"/>
      <w:r>
        <w:rPr>
          <w:sz w:val="18"/>
        </w:rPr>
        <w:t xml:space="preserve"> in the statement of profit or loss in the expense category that is consistent with the function of the intangible assets.</w:t>
      </w:r>
    </w:p>
    <w:p w14:paraId="72793C04" w14:textId="77777777" w:rsidR="00AC6F3C" w:rsidRDefault="00AC6F3C">
      <w:pPr>
        <w:pStyle w:val="BodyText"/>
        <w:spacing w:before="10"/>
      </w:pPr>
    </w:p>
    <w:p w14:paraId="300067FB" w14:textId="77777777" w:rsidR="00AC6F3C" w:rsidRDefault="00570E88">
      <w:pPr>
        <w:ind w:left="958" w:right="990"/>
        <w:rPr>
          <w:sz w:val="18"/>
        </w:rPr>
      </w:pPr>
      <w:r>
        <w:rPr>
          <w:sz w:val="18"/>
        </w:rPr>
        <w:t xml:space="preserve">Intangible assets with indefinite useful lives are not </w:t>
      </w:r>
      <w:proofErr w:type="spellStart"/>
      <w:r>
        <w:rPr>
          <w:sz w:val="18"/>
        </w:rPr>
        <w:t>amortised</w:t>
      </w:r>
      <w:proofErr w:type="spellEnd"/>
      <w:r>
        <w:rPr>
          <w:sz w:val="18"/>
        </w:rPr>
        <w:t>, but are tested for impairment annually, either individually or at the cash-generating unit level. The assessment of indefinite life is reviewed annually</w:t>
      </w:r>
      <w:r>
        <w:rPr>
          <w:spacing w:val="-1"/>
          <w:sz w:val="18"/>
        </w:rPr>
        <w:t xml:space="preserve"> </w:t>
      </w:r>
      <w:r>
        <w:rPr>
          <w:sz w:val="18"/>
        </w:rPr>
        <w:t>to</w:t>
      </w:r>
      <w:r>
        <w:rPr>
          <w:spacing w:val="-4"/>
          <w:sz w:val="18"/>
        </w:rPr>
        <w:t xml:space="preserve"> </w:t>
      </w:r>
      <w:r>
        <w:rPr>
          <w:sz w:val="18"/>
        </w:rPr>
        <w:t>determine</w:t>
      </w:r>
      <w:r>
        <w:rPr>
          <w:spacing w:val="-1"/>
          <w:sz w:val="18"/>
        </w:rPr>
        <w:t xml:space="preserve"> </w:t>
      </w:r>
      <w:r>
        <w:rPr>
          <w:sz w:val="18"/>
        </w:rPr>
        <w:t>whether</w:t>
      </w:r>
      <w:r>
        <w:rPr>
          <w:spacing w:val="-4"/>
          <w:sz w:val="18"/>
        </w:rPr>
        <w:t xml:space="preserve"> </w:t>
      </w:r>
      <w:r>
        <w:rPr>
          <w:sz w:val="18"/>
        </w:rPr>
        <w:t>the</w:t>
      </w:r>
      <w:r>
        <w:rPr>
          <w:spacing w:val="-1"/>
          <w:sz w:val="18"/>
        </w:rPr>
        <w:t xml:space="preserve"> </w:t>
      </w:r>
      <w:r>
        <w:rPr>
          <w:sz w:val="18"/>
        </w:rPr>
        <w:t>indefinite</w:t>
      </w:r>
      <w:r>
        <w:rPr>
          <w:spacing w:val="-1"/>
          <w:sz w:val="18"/>
        </w:rPr>
        <w:t xml:space="preserve"> </w:t>
      </w:r>
      <w:r>
        <w:rPr>
          <w:sz w:val="18"/>
        </w:rPr>
        <w:t>life</w:t>
      </w:r>
      <w:r>
        <w:rPr>
          <w:spacing w:val="-4"/>
          <w:sz w:val="18"/>
        </w:rPr>
        <w:t xml:space="preserve"> </w:t>
      </w:r>
      <w:r>
        <w:rPr>
          <w:sz w:val="18"/>
        </w:rPr>
        <w:t>continues</w:t>
      </w:r>
      <w:r>
        <w:rPr>
          <w:spacing w:val="-1"/>
          <w:sz w:val="18"/>
        </w:rPr>
        <w:t xml:space="preserve"> </w:t>
      </w:r>
      <w:r>
        <w:rPr>
          <w:sz w:val="18"/>
        </w:rPr>
        <w:t>to</w:t>
      </w:r>
      <w:r>
        <w:rPr>
          <w:spacing w:val="-4"/>
          <w:sz w:val="18"/>
        </w:rPr>
        <w:t xml:space="preserve"> </w:t>
      </w:r>
      <w:r>
        <w:rPr>
          <w:sz w:val="18"/>
        </w:rPr>
        <w:t>be</w:t>
      </w:r>
      <w:r>
        <w:rPr>
          <w:spacing w:val="-1"/>
          <w:sz w:val="18"/>
        </w:rPr>
        <w:t xml:space="preserve"> </w:t>
      </w:r>
      <w:r>
        <w:rPr>
          <w:sz w:val="18"/>
        </w:rPr>
        <w:t>supportable.</w:t>
      </w:r>
      <w:r>
        <w:rPr>
          <w:spacing w:val="-2"/>
          <w:sz w:val="18"/>
        </w:rPr>
        <w:t xml:space="preserve"> </w:t>
      </w:r>
      <w:r>
        <w:rPr>
          <w:sz w:val="18"/>
        </w:rPr>
        <w:t>If</w:t>
      </w:r>
      <w:r>
        <w:rPr>
          <w:spacing w:val="-4"/>
          <w:sz w:val="18"/>
        </w:rPr>
        <w:t xml:space="preserve"> </w:t>
      </w:r>
      <w:r>
        <w:rPr>
          <w:sz w:val="18"/>
        </w:rPr>
        <w:t>not,</w:t>
      </w:r>
      <w:r>
        <w:rPr>
          <w:spacing w:val="-4"/>
          <w:sz w:val="18"/>
        </w:rPr>
        <w:t xml:space="preserve"> </w:t>
      </w:r>
      <w:r>
        <w:rPr>
          <w:sz w:val="18"/>
        </w:rPr>
        <w:t>the</w:t>
      </w:r>
      <w:r>
        <w:rPr>
          <w:spacing w:val="-4"/>
          <w:sz w:val="18"/>
        </w:rPr>
        <w:t xml:space="preserve"> </w:t>
      </w:r>
      <w:r>
        <w:rPr>
          <w:sz w:val="18"/>
        </w:rPr>
        <w:t>change</w:t>
      </w:r>
      <w:r>
        <w:rPr>
          <w:spacing w:val="-1"/>
          <w:sz w:val="18"/>
        </w:rPr>
        <w:t xml:space="preserve"> </w:t>
      </w:r>
      <w:r>
        <w:rPr>
          <w:sz w:val="18"/>
        </w:rPr>
        <w:t>in</w:t>
      </w:r>
      <w:r>
        <w:rPr>
          <w:spacing w:val="-1"/>
          <w:sz w:val="18"/>
        </w:rPr>
        <w:t xml:space="preserve"> </w:t>
      </w:r>
      <w:r>
        <w:rPr>
          <w:sz w:val="18"/>
        </w:rPr>
        <w:t>useful life from indefinite to finite is made on a prospective basis.</w:t>
      </w:r>
    </w:p>
    <w:p w14:paraId="1AA1CBD9" w14:textId="77777777" w:rsidR="00AC6F3C" w:rsidRDefault="00AC6F3C">
      <w:pPr>
        <w:pStyle w:val="BodyText"/>
        <w:spacing w:before="10"/>
      </w:pPr>
    </w:p>
    <w:p w14:paraId="4C15F822" w14:textId="77777777" w:rsidR="00AC6F3C" w:rsidRDefault="00570E88">
      <w:pPr>
        <w:ind w:left="958" w:right="990"/>
        <w:rPr>
          <w:sz w:val="18"/>
        </w:rPr>
      </w:pPr>
      <w:r>
        <w:rPr>
          <w:sz w:val="18"/>
        </w:rPr>
        <w:t>An</w:t>
      </w:r>
      <w:r>
        <w:rPr>
          <w:spacing w:val="-1"/>
          <w:sz w:val="18"/>
        </w:rPr>
        <w:t xml:space="preserve"> </w:t>
      </w:r>
      <w:r>
        <w:rPr>
          <w:sz w:val="18"/>
        </w:rPr>
        <w:t>intangible</w:t>
      </w:r>
      <w:r>
        <w:rPr>
          <w:spacing w:val="-4"/>
          <w:sz w:val="18"/>
        </w:rPr>
        <w:t xml:space="preserve"> </w:t>
      </w:r>
      <w:r>
        <w:rPr>
          <w:sz w:val="18"/>
        </w:rPr>
        <w:t>asset</w:t>
      </w:r>
      <w:r>
        <w:rPr>
          <w:spacing w:val="-4"/>
          <w:sz w:val="18"/>
        </w:rPr>
        <w:t xml:space="preserve"> </w:t>
      </w:r>
      <w:r>
        <w:rPr>
          <w:sz w:val="18"/>
        </w:rPr>
        <w:t>is</w:t>
      </w:r>
      <w:r>
        <w:rPr>
          <w:spacing w:val="-3"/>
          <w:sz w:val="18"/>
        </w:rPr>
        <w:t xml:space="preserve"> </w:t>
      </w:r>
      <w:proofErr w:type="spellStart"/>
      <w:r>
        <w:rPr>
          <w:sz w:val="18"/>
        </w:rPr>
        <w:t>derecognised</w:t>
      </w:r>
      <w:proofErr w:type="spellEnd"/>
      <w:r>
        <w:rPr>
          <w:spacing w:val="-1"/>
          <w:sz w:val="18"/>
        </w:rPr>
        <w:t xml:space="preserve"> </w:t>
      </w:r>
      <w:r>
        <w:rPr>
          <w:sz w:val="18"/>
        </w:rPr>
        <w:t>upon</w:t>
      </w:r>
      <w:r>
        <w:rPr>
          <w:spacing w:val="-1"/>
          <w:sz w:val="18"/>
        </w:rPr>
        <w:t xml:space="preserve"> </w:t>
      </w:r>
      <w:r>
        <w:rPr>
          <w:sz w:val="18"/>
        </w:rPr>
        <w:t>disposal</w:t>
      </w:r>
      <w:r>
        <w:rPr>
          <w:spacing w:val="-1"/>
          <w:sz w:val="18"/>
        </w:rPr>
        <w:t xml:space="preserve"> </w:t>
      </w:r>
      <w:r>
        <w:rPr>
          <w:sz w:val="18"/>
        </w:rPr>
        <w:t>(i.e.,</w:t>
      </w:r>
      <w:r>
        <w:rPr>
          <w:spacing w:val="-4"/>
          <w:sz w:val="18"/>
        </w:rPr>
        <w:t xml:space="preserve"> </w:t>
      </w:r>
      <w:r>
        <w:rPr>
          <w:sz w:val="18"/>
        </w:rPr>
        <w:t>at</w:t>
      </w:r>
      <w:r>
        <w:rPr>
          <w:spacing w:val="-2"/>
          <w:sz w:val="18"/>
        </w:rPr>
        <w:t xml:space="preserve"> </w:t>
      </w:r>
      <w:r>
        <w:rPr>
          <w:sz w:val="18"/>
        </w:rPr>
        <w:t>the</w:t>
      </w:r>
      <w:r>
        <w:rPr>
          <w:spacing w:val="-1"/>
          <w:sz w:val="18"/>
        </w:rPr>
        <w:t xml:space="preserve"> </w:t>
      </w:r>
      <w:r>
        <w:rPr>
          <w:sz w:val="18"/>
        </w:rPr>
        <w:t>date</w:t>
      </w:r>
      <w:r>
        <w:rPr>
          <w:spacing w:val="-4"/>
          <w:sz w:val="18"/>
        </w:rPr>
        <w:t xml:space="preserve"> </w:t>
      </w:r>
      <w:r>
        <w:rPr>
          <w:sz w:val="18"/>
        </w:rPr>
        <w:t>the</w:t>
      </w:r>
      <w:r>
        <w:rPr>
          <w:spacing w:val="-4"/>
          <w:sz w:val="18"/>
        </w:rPr>
        <w:t xml:space="preserve"> </w:t>
      </w:r>
      <w:r>
        <w:rPr>
          <w:sz w:val="18"/>
        </w:rPr>
        <w:t>recipient</w:t>
      </w:r>
      <w:r>
        <w:rPr>
          <w:spacing w:val="-2"/>
          <w:sz w:val="18"/>
        </w:rPr>
        <w:t xml:space="preserve"> </w:t>
      </w:r>
      <w:r>
        <w:rPr>
          <w:sz w:val="18"/>
        </w:rPr>
        <w:t>obtains</w:t>
      </w:r>
      <w:r>
        <w:rPr>
          <w:spacing w:val="-3"/>
          <w:sz w:val="18"/>
        </w:rPr>
        <w:t xml:space="preserve"> </w:t>
      </w:r>
      <w:r>
        <w:rPr>
          <w:sz w:val="18"/>
        </w:rPr>
        <w:t>control)</w:t>
      </w:r>
      <w:r>
        <w:rPr>
          <w:spacing w:val="-4"/>
          <w:sz w:val="18"/>
        </w:rPr>
        <w:t xml:space="preserve"> </w:t>
      </w:r>
      <w:r>
        <w:rPr>
          <w:sz w:val="18"/>
        </w:rPr>
        <w:t>or</w:t>
      </w:r>
      <w:r>
        <w:rPr>
          <w:spacing w:val="-2"/>
          <w:sz w:val="18"/>
        </w:rPr>
        <w:t xml:space="preserve"> </w:t>
      </w:r>
      <w:r>
        <w:rPr>
          <w:sz w:val="18"/>
        </w:rPr>
        <w:t>when no future economic benefits are expected from its use or disposal. Any gain or loss arising upon derecognition of the asset (calculated as the difference between the net disposal proceeds and the carrying amount of the asset) is included in the statement of profit or loss.</w:t>
      </w:r>
    </w:p>
    <w:p w14:paraId="01DD01F4" w14:textId="77777777" w:rsidR="00AC6F3C" w:rsidRDefault="00AC6F3C">
      <w:pPr>
        <w:pStyle w:val="BodyText"/>
        <w:spacing w:before="10"/>
      </w:pPr>
    </w:p>
    <w:p w14:paraId="16A099B4" w14:textId="77777777" w:rsidR="00AC6F3C" w:rsidRDefault="00570E88">
      <w:pPr>
        <w:ind w:left="958"/>
        <w:rPr>
          <w:sz w:val="18"/>
        </w:rPr>
      </w:pPr>
      <w:r>
        <w:rPr>
          <w:sz w:val="18"/>
        </w:rPr>
        <w:t>The</w:t>
      </w:r>
      <w:r>
        <w:rPr>
          <w:spacing w:val="-3"/>
          <w:sz w:val="18"/>
        </w:rPr>
        <w:t xml:space="preserve"> </w:t>
      </w:r>
      <w:r>
        <w:rPr>
          <w:sz w:val="18"/>
        </w:rPr>
        <w:t>depreciation</w:t>
      </w:r>
      <w:r>
        <w:rPr>
          <w:spacing w:val="-4"/>
          <w:sz w:val="18"/>
        </w:rPr>
        <w:t xml:space="preserve"> </w:t>
      </w:r>
      <w:r>
        <w:rPr>
          <w:sz w:val="18"/>
        </w:rPr>
        <w:t>and</w:t>
      </w:r>
      <w:r>
        <w:rPr>
          <w:spacing w:val="-3"/>
          <w:sz w:val="18"/>
        </w:rPr>
        <w:t xml:space="preserve"> </w:t>
      </w:r>
      <w:proofErr w:type="spellStart"/>
      <w:r>
        <w:rPr>
          <w:sz w:val="18"/>
        </w:rPr>
        <w:t>amortisation</w:t>
      </w:r>
      <w:proofErr w:type="spellEnd"/>
      <w:r>
        <w:rPr>
          <w:spacing w:val="-1"/>
          <w:sz w:val="18"/>
        </w:rPr>
        <w:t xml:space="preserve"> </w:t>
      </w:r>
      <w:r>
        <w:rPr>
          <w:sz w:val="18"/>
        </w:rPr>
        <w:t>rates</w:t>
      </w:r>
      <w:r>
        <w:rPr>
          <w:spacing w:val="-2"/>
          <w:sz w:val="18"/>
        </w:rPr>
        <w:t xml:space="preserve"> </w:t>
      </w:r>
      <w:r>
        <w:rPr>
          <w:sz w:val="18"/>
        </w:rPr>
        <w:t>used</w:t>
      </w:r>
      <w:r>
        <w:rPr>
          <w:spacing w:val="-1"/>
          <w:sz w:val="18"/>
        </w:rPr>
        <w:t xml:space="preserve"> </w:t>
      </w:r>
      <w:r>
        <w:rPr>
          <w:sz w:val="18"/>
        </w:rPr>
        <w:t>for</w:t>
      </w:r>
      <w:r>
        <w:rPr>
          <w:spacing w:val="-1"/>
          <w:sz w:val="18"/>
        </w:rPr>
        <w:t xml:space="preserve"> </w:t>
      </w:r>
      <w:r>
        <w:rPr>
          <w:sz w:val="18"/>
        </w:rPr>
        <w:t>each</w:t>
      </w:r>
      <w:r>
        <w:rPr>
          <w:spacing w:val="-4"/>
          <w:sz w:val="18"/>
        </w:rPr>
        <w:t xml:space="preserve"> </w:t>
      </w:r>
      <w:r>
        <w:rPr>
          <w:sz w:val="18"/>
        </w:rPr>
        <w:t>class</w:t>
      </w:r>
      <w:r>
        <w:rPr>
          <w:spacing w:val="-5"/>
          <w:sz w:val="18"/>
        </w:rPr>
        <w:t xml:space="preserve"> </w:t>
      </w:r>
      <w:r>
        <w:rPr>
          <w:sz w:val="18"/>
        </w:rPr>
        <w:t>of</w:t>
      </w:r>
      <w:r>
        <w:rPr>
          <w:spacing w:val="-2"/>
          <w:sz w:val="18"/>
        </w:rPr>
        <w:t xml:space="preserve"> </w:t>
      </w:r>
      <w:r>
        <w:rPr>
          <w:sz w:val="18"/>
        </w:rPr>
        <w:t>asset</w:t>
      </w:r>
      <w:r>
        <w:rPr>
          <w:spacing w:val="-3"/>
          <w:sz w:val="18"/>
        </w:rPr>
        <w:t xml:space="preserve"> </w:t>
      </w:r>
      <w:r>
        <w:rPr>
          <w:sz w:val="18"/>
        </w:rPr>
        <w:t>are</w:t>
      </w:r>
      <w:r>
        <w:rPr>
          <w:spacing w:val="-4"/>
          <w:sz w:val="18"/>
        </w:rPr>
        <w:t xml:space="preserve"> </w:t>
      </w:r>
      <w:r>
        <w:rPr>
          <w:sz w:val="18"/>
        </w:rPr>
        <w:t xml:space="preserve">as </w:t>
      </w:r>
      <w:r>
        <w:rPr>
          <w:spacing w:val="-2"/>
          <w:sz w:val="18"/>
        </w:rPr>
        <w:t>follows:</w:t>
      </w:r>
    </w:p>
    <w:p w14:paraId="2A353A61" w14:textId="77777777" w:rsidR="00AC6F3C" w:rsidRDefault="00AC6F3C">
      <w:pPr>
        <w:pStyle w:val="BodyText"/>
        <w:spacing w:before="9"/>
      </w:pPr>
    </w:p>
    <w:tbl>
      <w:tblPr>
        <w:tblW w:w="0" w:type="auto"/>
        <w:tblInd w:w="958" w:type="dxa"/>
        <w:tblLayout w:type="fixed"/>
        <w:tblCellMar>
          <w:left w:w="0" w:type="dxa"/>
          <w:right w:w="0" w:type="dxa"/>
        </w:tblCellMar>
        <w:tblLook w:val="01E0" w:firstRow="1" w:lastRow="1" w:firstColumn="1" w:lastColumn="1" w:noHBand="0" w:noVBand="0"/>
      </w:tblPr>
      <w:tblGrid>
        <w:gridCol w:w="2794"/>
        <w:gridCol w:w="2277"/>
        <w:gridCol w:w="1739"/>
      </w:tblGrid>
      <w:tr w:rsidR="00AC6F3C" w14:paraId="5BBF744A" w14:textId="77777777">
        <w:trPr>
          <w:trHeight w:val="379"/>
        </w:trPr>
        <w:tc>
          <w:tcPr>
            <w:tcW w:w="2794" w:type="dxa"/>
            <w:shd w:val="clear" w:color="auto" w:fill="D9D9D9"/>
          </w:tcPr>
          <w:p w14:paraId="570D5741" w14:textId="77777777" w:rsidR="00AC6F3C" w:rsidRDefault="00AC6F3C">
            <w:pPr>
              <w:pStyle w:val="TableParagraph"/>
              <w:rPr>
                <w:rFonts w:ascii="Times New Roman"/>
                <w:sz w:val="18"/>
              </w:rPr>
            </w:pPr>
          </w:p>
        </w:tc>
        <w:tc>
          <w:tcPr>
            <w:tcW w:w="2277" w:type="dxa"/>
            <w:shd w:val="clear" w:color="auto" w:fill="D9D9D9"/>
          </w:tcPr>
          <w:p w14:paraId="35D94569" w14:textId="77777777" w:rsidR="00AC6F3C" w:rsidRDefault="00570E88">
            <w:pPr>
              <w:pStyle w:val="TableParagraph"/>
              <w:spacing w:before="85"/>
              <w:ind w:left="1007"/>
              <w:rPr>
                <w:b/>
                <w:sz w:val="18"/>
              </w:rPr>
            </w:pPr>
            <w:r>
              <w:rPr>
                <w:b/>
                <w:spacing w:val="-4"/>
                <w:sz w:val="18"/>
              </w:rPr>
              <w:t>2023</w:t>
            </w:r>
          </w:p>
        </w:tc>
        <w:tc>
          <w:tcPr>
            <w:tcW w:w="1739" w:type="dxa"/>
            <w:shd w:val="clear" w:color="auto" w:fill="D9D9D9"/>
          </w:tcPr>
          <w:p w14:paraId="6B489D17" w14:textId="77777777" w:rsidR="00AC6F3C" w:rsidRDefault="00570E88">
            <w:pPr>
              <w:pStyle w:val="TableParagraph"/>
              <w:spacing w:before="85"/>
              <w:ind w:left="287"/>
              <w:rPr>
                <w:b/>
                <w:sz w:val="18"/>
              </w:rPr>
            </w:pPr>
            <w:r>
              <w:rPr>
                <w:b/>
                <w:spacing w:val="-4"/>
                <w:sz w:val="18"/>
              </w:rPr>
              <w:t>2022</w:t>
            </w:r>
          </w:p>
        </w:tc>
      </w:tr>
      <w:tr w:rsidR="00AC6F3C" w14:paraId="603725E3" w14:textId="77777777">
        <w:trPr>
          <w:trHeight w:val="689"/>
        </w:trPr>
        <w:tc>
          <w:tcPr>
            <w:tcW w:w="2794" w:type="dxa"/>
          </w:tcPr>
          <w:p w14:paraId="5ADD1B50" w14:textId="77777777" w:rsidR="00AC6F3C" w:rsidRDefault="00570E88">
            <w:pPr>
              <w:pStyle w:val="TableParagraph"/>
              <w:spacing w:before="68"/>
              <w:ind w:left="115"/>
              <w:rPr>
                <w:i/>
                <w:sz w:val="18"/>
              </w:rPr>
            </w:pPr>
            <w:r>
              <w:rPr>
                <w:i/>
                <w:sz w:val="18"/>
              </w:rPr>
              <w:t>Asset</w:t>
            </w:r>
            <w:r>
              <w:rPr>
                <w:i/>
                <w:spacing w:val="-1"/>
                <w:sz w:val="18"/>
              </w:rPr>
              <w:t xml:space="preserve"> </w:t>
            </w:r>
            <w:r>
              <w:rPr>
                <w:i/>
                <w:spacing w:val="-4"/>
                <w:sz w:val="18"/>
              </w:rPr>
              <w:t>Class</w:t>
            </w:r>
          </w:p>
          <w:p w14:paraId="6F6DC37F" w14:textId="77777777" w:rsidR="00AC6F3C" w:rsidRDefault="00570E88">
            <w:pPr>
              <w:pStyle w:val="TableParagraph"/>
              <w:spacing w:before="137"/>
              <w:ind w:left="115"/>
              <w:rPr>
                <w:sz w:val="18"/>
              </w:rPr>
            </w:pPr>
            <w:r>
              <w:rPr>
                <w:spacing w:val="-2"/>
                <w:sz w:val="18"/>
              </w:rPr>
              <w:t>Buildings</w:t>
            </w:r>
          </w:p>
        </w:tc>
        <w:tc>
          <w:tcPr>
            <w:tcW w:w="2277" w:type="dxa"/>
          </w:tcPr>
          <w:p w14:paraId="60F1CD81" w14:textId="77777777" w:rsidR="00AC6F3C" w:rsidRDefault="00AC6F3C">
            <w:pPr>
              <w:pStyle w:val="TableParagraph"/>
              <w:rPr>
                <w:sz w:val="20"/>
              </w:rPr>
            </w:pPr>
          </w:p>
          <w:p w14:paraId="3765BD22" w14:textId="77777777" w:rsidR="00AC6F3C" w:rsidRDefault="00AC6F3C">
            <w:pPr>
              <w:pStyle w:val="TableParagraph"/>
              <w:spacing w:before="9"/>
              <w:rPr>
                <w:sz w:val="15"/>
              </w:rPr>
            </w:pPr>
          </w:p>
          <w:p w14:paraId="55159113" w14:textId="77777777" w:rsidR="00AC6F3C" w:rsidRDefault="00570E88">
            <w:pPr>
              <w:pStyle w:val="TableParagraph"/>
              <w:ind w:left="1007"/>
              <w:rPr>
                <w:sz w:val="18"/>
              </w:rPr>
            </w:pPr>
            <w:r>
              <w:rPr>
                <w:sz w:val="18"/>
              </w:rPr>
              <w:t>2.5%</w:t>
            </w:r>
            <w:r>
              <w:rPr>
                <w:spacing w:val="1"/>
                <w:sz w:val="18"/>
              </w:rPr>
              <w:t xml:space="preserve"> </w:t>
            </w:r>
            <w:r>
              <w:rPr>
                <w:sz w:val="18"/>
              </w:rPr>
              <w:t>-</w:t>
            </w:r>
            <w:r>
              <w:rPr>
                <w:spacing w:val="-2"/>
                <w:sz w:val="18"/>
              </w:rPr>
              <w:t xml:space="preserve"> </w:t>
            </w:r>
            <w:r>
              <w:rPr>
                <w:spacing w:val="-5"/>
                <w:sz w:val="18"/>
              </w:rPr>
              <w:t>20%</w:t>
            </w:r>
          </w:p>
        </w:tc>
        <w:tc>
          <w:tcPr>
            <w:tcW w:w="1739" w:type="dxa"/>
          </w:tcPr>
          <w:p w14:paraId="376B69EF" w14:textId="77777777" w:rsidR="00AC6F3C" w:rsidRDefault="00AC6F3C">
            <w:pPr>
              <w:pStyle w:val="TableParagraph"/>
              <w:rPr>
                <w:sz w:val="20"/>
              </w:rPr>
            </w:pPr>
          </w:p>
          <w:p w14:paraId="2ECBBC1C" w14:textId="77777777" w:rsidR="00AC6F3C" w:rsidRDefault="00AC6F3C">
            <w:pPr>
              <w:pStyle w:val="TableParagraph"/>
              <w:spacing w:before="9"/>
              <w:rPr>
                <w:sz w:val="15"/>
              </w:rPr>
            </w:pPr>
          </w:p>
          <w:p w14:paraId="58FC402F" w14:textId="77777777" w:rsidR="00AC6F3C" w:rsidRDefault="00570E88">
            <w:pPr>
              <w:pStyle w:val="TableParagraph"/>
              <w:ind w:left="287"/>
              <w:rPr>
                <w:sz w:val="18"/>
              </w:rPr>
            </w:pPr>
            <w:r>
              <w:rPr>
                <w:spacing w:val="-4"/>
                <w:sz w:val="18"/>
              </w:rPr>
              <w:t>2.5%</w:t>
            </w:r>
          </w:p>
        </w:tc>
      </w:tr>
      <w:tr w:rsidR="00AC6F3C" w14:paraId="359E8789" w14:textId="77777777">
        <w:trPr>
          <w:trHeight w:val="341"/>
        </w:trPr>
        <w:tc>
          <w:tcPr>
            <w:tcW w:w="2794" w:type="dxa"/>
          </w:tcPr>
          <w:p w14:paraId="3EB55500" w14:textId="77777777" w:rsidR="00AC6F3C" w:rsidRDefault="00570E88">
            <w:pPr>
              <w:pStyle w:val="TableParagraph"/>
              <w:spacing w:before="65"/>
              <w:ind w:left="115"/>
              <w:rPr>
                <w:sz w:val="18"/>
              </w:rPr>
            </w:pPr>
            <w:r>
              <w:rPr>
                <w:sz w:val="18"/>
              </w:rPr>
              <w:t>Plant</w:t>
            </w:r>
            <w:r>
              <w:rPr>
                <w:spacing w:val="-2"/>
                <w:sz w:val="18"/>
              </w:rPr>
              <w:t xml:space="preserve"> </w:t>
            </w:r>
            <w:r>
              <w:rPr>
                <w:sz w:val="18"/>
              </w:rPr>
              <w:t xml:space="preserve">and </w:t>
            </w:r>
            <w:r>
              <w:rPr>
                <w:spacing w:val="-2"/>
                <w:sz w:val="18"/>
              </w:rPr>
              <w:t>Equipment</w:t>
            </w:r>
          </w:p>
        </w:tc>
        <w:tc>
          <w:tcPr>
            <w:tcW w:w="2277" w:type="dxa"/>
          </w:tcPr>
          <w:p w14:paraId="4D8AAB2E" w14:textId="77777777" w:rsidR="00AC6F3C" w:rsidRDefault="00570E88">
            <w:pPr>
              <w:pStyle w:val="TableParagraph"/>
              <w:spacing w:before="65"/>
              <w:ind w:left="1007"/>
              <w:rPr>
                <w:sz w:val="18"/>
              </w:rPr>
            </w:pPr>
            <w:r>
              <w:rPr>
                <w:sz w:val="18"/>
              </w:rPr>
              <w:t>10%</w:t>
            </w:r>
            <w:r>
              <w:rPr>
                <w:spacing w:val="1"/>
                <w:sz w:val="18"/>
              </w:rPr>
              <w:t xml:space="preserve"> </w:t>
            </w:r>
            <w:r>
              <w:rPr>
                <w:sz w:val="18"/>
              </w:rPr>
              <w:t>-</w:t>
            </w:r>
            <w:r>
              <w:rPr>
                <w:spacing w:val="-2"/>
                <w:sz w:val="18"/>
              </w:rPr>
              <w:t xml:space="preserve"> </w:t>
            </w:r>
            <w:r>
              <w:rPr>
                <w:spacing w:val="-5"/>
                <w:sz w:val="18"/>
              </w:rPr>
              <w:t>33%</w:t>
            </w:r>
          </w:p>
        </w:tc>
        <w:tc>
          <w:tcPr>
            <w:tcW w:w="1739" w:type="dxa"/>
          </w:tcPr>
          <w:p w14:paraId="5BD5D6CE" w14:textId="77777777" w:rsidR="00AC6F3C" w:rsidRDefault="00570E88">
            <w:pPr>
              <w:pStyle w:val="TableParagraph"/>
              <w:spacing w:before="65"/>
              <w:ind w:left="287"/>
              <w:rPr>
                <w:sz w:val="18"/>
              </w:rPr>
            </w:pPr>
            <w:r>
              <w:rPr>
                <w:sz w:val="18"/>
              </w:rPr>
              <w:t>10%</w:t>
            </w:r>
            <w:r>
              <w:rPr>
                <w:spacing w:val="1"/>
                <w:sz w:val="18"/>
              </w:rPr>
              <w:t xml:space="preserve"> </w:t>
            </w:r>
            <w:r>
              <w:rPr>
                <w:sz w:val="18"/>
              </w:rPr>
              <w:t>-</w:t>
            </w:r>
            <w:r>
              <w:rPr>
                <w:spacing w:val="-2"/>
                <w:sz w:val="18"/>
              </w:rPr>
              <w:t xml:space="preserve"> </w:t>
            </w:r>
            <w:r>
              <w:rPr>
                <w:spacing w:val="-5"/>
                <w:sz w:val="18"/>
              </w:rPr>
              <w:t>33%</w:t>
            </w:r>
          </w:p>
        </w:tc>
      </w:tr>
      <w:tr w:rsidR="00AC6F3C" w14:paraId="5FF016F5" w14:textId="77777777">
        <w:trPr>
          <w:trHeight w:val="340"/>
        </w:trPr>
        <w:tc>
          <w:tcPr>
            <w:tcW w:w="2794" w:type="dxa"/>
            <w:tcBorders>
              <w:bottom w:val="single" w:sz="4" w:space="0" w:color="000000"/>
            </w:tcBorders>
          </w:tcPr>
          <w:p w14:paraId="1DC25F6C" w14:textId="77777777" w:rsidR="00AC6F3C" w:rsidRDefault="00570E88">
            <w:pPr>
              <w:pStyle w:val="TableParagraph"/>
              <w:spacing w:before="64"/>
              <w:ind w:left="115"/>
              <w:rPr>
                <w:sz w:val="18"/>
              </w:rPr>
            </w:pPr>
            <w:r>
              <w:rPr>
                <w:spacing w:val="-2"/>
                <w:sz w:val="18"/>
              </w:rPr>
              <w:t>Intangibles</w:t>
            </w:r>
          </w:p>
        </w:tc>
        <w:tc>
          <w:tcPr>
            <w:tcW w:w="2277" w:type="dxa"/>
            <w:tcBorders>
              <w:bottom w:val="single" w:sz="4" w:space="0" w:color="000000"/>
            </w:tcBorders>
          </w:tcPr>
          <w:p w14:paraId="44D3851B" w14:textId="77777777" w:rsidR="00AC6F3C" w:rsidRDefault="00570E88">
            <w:pPr>
              <w:pStyle w:val="TableParagraph"/>
              <w:spacing w:before="64"/>
              <w:ind w:left="1007"/>
              <w:rPr>
                <w:sz w:val="18"/>
              </w:rPr>
            </w:pPr>
            <w:r>
              <w:rPr>
                <w:sz w:val="18"/>
              </w:rPr>
              <w:t>12.5%</w:t>
            </w:r>
            <w:r>
              <w:rPr>
                <w:spacing w:val="-2"/>
                <w:sz w:val="18"/>
              </w:rPr>
              <w:t xml:space="preserve"> </w:t>
            </w:r>
            <w:r>
              <w:rPr>
                <w:sz w:val="18"/>
              </w:rPr>
              <w:t>-</w:t>
            </w:r>
            <w:r>
              <w:rPr>
                <w:spacing w:val="-5"/>
                <w:sz w:val="18"/>
              </w:rPr>
              <w:t>20%</w:t>
            </w:r>
          </w:p>
        </w:tc>
        <w:tc>
          <w:tcPr>
            <w:tcW w:w="1739" w:type="dxa"/>
            <w:tcBorders>
              <w:bottom w:val="single" w:sz="4" w:space="0" w:color="000000"/>
            </w:tcBorders>
          </w:tcPr>
          <w:p w14:paraId="01A6329B" w14:textId="77777777" w:rsidR="00AC6F3C" w:rsidRDefault="00570E88">
            <w:pPr>
              <w:pStyle w:val="TableParagraph"/>
              <w:spacing w:before="64"/>
              <w:ind w:left="287"/>
              <w:rPr>
                <w:sz w:val="18"/>
              </w:rPr>
            </w:pPr>
            <w:r>
              <w:rPr>
                <w:sz w:val="18"/>
              </w:rPr>
              <w:t>12.5%</w:t>
            </w:r>
            <w:r>
              <w:rPr>
                <w:spacing w:val="-2"/>
                <w:sz w:val="18"/>
              </w:rPr>
              <w:t xml:space="preserve"> </w:t>
            </w:r>
            <w:r>
              <w:rPr>
                <w:sz w:val="18"/>
              </w:rPr>
              <w:t>-</w:t>
            </w:r>
            <w:r>
              <w:rPr>
                <w:spacing w:val="-5"/>
                <w:sz w:val="18"/>
              </w:rPr>
              <w:t>20%</w:t>
            </w:r>
          </w:p>
        </w:tc>
      </w:tr>
    </w:tbl>
    <w:p w14:paraId="18ADAD1E" w14:textId="77777777" w:rsidR="00AC6F3C" w:rsidRDefault="00AC6F3C">
      <w:pPr>
        <w:rPr>
          <w:sz w:val="18"/>
        </w:rPr>
        <w:sectPr w:rsidR="00AC6F3C">
          <w:pgSz w:w="11910" w:h="16840"/>
          <w:pgMar w:top="2020" w:right="1160" w:bottom="520" w:left="460" w:header="1228" w:footer="336" w:gutter="0"/>
          <w:cols w:space="720"/>
        </w:sectPr>
      </w:pPr>
    </w:p>
    <w:p w14:paraId="59D71D5B" w14:textId="77777777" w:rsidR="00AC6F3C" w:rsidRDefault="00AC6F3C">
      <w:pPr>
        <w:pStyle w:val="BodyText"/>
      </w:pPr>
    </w:p>
    <w:p w14:paraId="2C8E1483" w14:textId="77777777" w:rsidR="00AC6F3C" w:rsidRDefault="00570E88">
      <w:pPr>
        <w:tabs>
          <w:tab w:val="left" w:pos="1666"/>
        </w:tabs>
        <w:spacing w:before="249"/>
        <w:ind w:left="958"/>
        <w:rPr>
          <w:b/>
          <w:sz w:val="28"/>
        </w:rPr>
      </w:pPr>
      <w:r>
        <w:rPr>
          <w:b/>
          <w:spacing w:val="-5"/>
          <w:sz w:val="28"/>
        </w:rPr>
        <w:t>C5</w:t>
      </w:r>
      <w:r>
        <w:rPr>
          <w:b/>
          <w:sz w:val="28"/>
        </w:rPr>
        <w:tab/>
        <w:t>PROPERTY,</w:t>
      </w:r>
      <w:r>
        <w:rPr>
          <w:b/>
          <w:spacing w:val="-22"/>
          <w:sz w:val="28"/>
        </w:rPr>
        <w:t xml:space="preserve"> </w:t>
      </w:r>
      <w:r>
        <w:rPr>
          <w:b/>
          <w:sz w:val="28"/>
        </w:rPr>
        <w:t>PLANT</w:t>
      </w:r>
      <w:r>
        <w:rPr>
          <w:b/>
          <w:spacing w:val="-19"/>
          <w:sz w:val="28"/>
        </w:rPr>
        <w:t xml:space="preserve"> </w:t>
      </w:r>
      <w:r>
        <w:rPr>
          <w:b/>
          <w:sz w:val="28"/>
        </w:rPr>
        <w:t>AND</w:t>
      </w:r>
      <w:r>
        <w:rPr>
          <w:b/>
          <w:spacing w:val="-17"/>
          <w:sz w:val="28"/>
        </w:rPr>
        <w:t xml:space="preserve"> </w:t>
      </w:r>
      <w:r>
        <w:rPr>
          <w:b/>
          <w:sz w:val="28"/>
        </w:rPr>
        <w:t>EQUIPMENT</w:t>
      </w:r>
      <w:r>
        <w:rPr>
          <w:b/>
          <w:spacing w:val="-16"/>
          <w:sz w:val="28"/>
        </w:rPr>
        <w:t xml:space="preserve"> </w:t>
      </w:r>
      <w:r>
        <w:rPr>
          <w:b/>
          <w:spacing w:val="-2"/>
          <w:sz w:val="28"/>
        </w:rPr>
        <w:t>(continued)</w:t>
      </w:r>
    </w:p>
    <w:p w14:paraId="61B5A102" w14:textId="77777777" w:rsidR="00AC6F3C" w:rsidRDefault="00570E88">
      <w:pPr>
        <w:pStyle w:val="Heading6"/>
        <w:tabs>
          <w:tab w:val="left" w:pos="1810"/>
        </w:tabs>
      </w:pPr>
      <w:r>
        <w:rPr>
          <w:spacing w:val="-2"/>
        </w:rPr>
        <w:t>C5-</w:t>
      </w:r>
      <w:r>
        <w:rPr>
          <w:spacing w:val="-10"/>
        </w:rPr>
        <w:t>5</w:t>
      </w:r>
      <w:r>
        <w:tab/>
        <w:t>IMPAIRMENT</w:t>
      </w:r>
      <w:r>
        <w:rPr>
          <w:spacing w:val="-4"/>
        </w:rPr>
        <w:t xml:space="preserve"> </w:t>
      </w:r>
      <w:r>
        <w:t>OF</w:t>
      </w:r>
      <w:r>
        <w:rPr>
          <w:spacing w:val="-2"/>
        </w:rPr>
        <w:t xml:space="preserve"> </w:t>
      </w:r>
      <w:r>
        <w:t>PLANT</w:t>
      </w:r>
      <w:r>
        <w:rPr>
          <w:spacing w:val="-2"/>
        </w:rPr>
        <w:t xml:space="preserve"> </w:t>
      </w:r>
      <w:r>
        <w:t>AND</w:t>
      </w:r>
      <w:r>
        <w:rPr>
          <w:spacing w:val="-2"/>
        </w:rPr>
        <w:t xml:space="preserve"> EQUIPMENT</w:t>
      </w:r>
    </w:p>
    <w:p w14:paraId="0FEEA524" w14:textId="77777777" w:rsidR="00AC6F3C" w:rsidRDefault="00AC6F3C">
      <w:pPr>
        <w:pStyle w:val="BodyText"/>
        <w:spacing w:before="8"/>
        <w:rPr>
          <w:b/>
        </w:rPr>
      </w:pPr>
    </w:p>
    <w:p w14:paraId="514220A2" w14:textId="77777777" w:rsidR="00AC6F3C" w:rsidRDefault="00570E88">
      <w:pPr>
        <w:ind w:left="958" w:right="632"/>
        <w:rPr>
          <w:sz w:val="18"/>
        </w:rPr>
      </w:pPr>
      <w:r>
        <w:rPr>
          <w:sz w:val="18"/>
        </w:rPr>
        <w:t>All plant</w:t>
      </w:r>
      <w:r>
        <w:rPr>
          <w:spacing w:val="-3"/>
          <w:sz w:val="18"/>
        </w:rPr>
        <w:t xml:space="preserve"> </w:t>
      </w:r>
      <w:r>
        <w:rPr>
          <w:sz w:val="18"/>
        </w:rPr>
        <w:t>and</w:t>
      </w:r>
      <w:r>
        <w:rPr>
          <w:spacing w:val="-3"/>
          <w:sz w:val="18"/>
        </w:rPr>
        <w:t xml:space="preserve"> </w:t>
      </w:r>
      <w:r>
        <w:rPr>
          <w:sz w:val="18"/>
        </w:rPr>
        <w:t>equipment</w:t>
      </w:r>
      <w:r>
        <w:rPr>
          <w:spacing w:val="-3"/>
          <w:sz w:val="18"/>
        </w:rPr>
        <w:t xml:space="preserve"> </w:t>
      </w:r>
      <w:r>
        <w:rPr>
          <w:sz w:val="18"/>
        </w:rPr>
        <w:t>assets</w:t>
      </w:r>
      <w:r>
        <w:rPr>
          <w:spacing w:val="-2"/>
          <w:sz w:val="18"/>
        </w:rPr>
        <w:t xml:space="preserve"> </w:t>
      </w:r>
      <w:r>
        <w:rPr>
          <w:sz w:val="18"/>
        </w:rPr>
        <w:t>are assessed for</w:t>
      </w:r>
      <w:r>
        <w:rPr>
          <w:spacing w:val="-1"/>
          <w:sz w:val="18"/>
        </w:rPr>
        <w:t xml:space="preserve"> </w:t>
      </w:r>
      <w:r>
        <w:rPr>
          <w:sz w:val="18"/>
        </w:rPr>
        <w:t>indicators of</w:t>
      </w:r>
      <w:r>
        <w:rPr>
          <w:spacing w:val="-6"/>
          <w:sz w:val="18"/>
        </w:rPr>
        <w:t xml:space="preserve"> </w:t>
      </w:r>
      <w:r>
        <w:rPr>
          <w:sz w:val="18"/>
        </w:rPr>
        <w:t>impairment</w:t>
      </w:r>
      <w:r>
        <w:rPr>
          <w:spacing w:val="-1"/>
          <w:sz w:val="18"/>
        </w:rPr>
        <w:t xml:space="preserve"> </w:t>
      </w:r>
      <w:r>
        <w:rPr>
          <w:sz w:val="18"/>
        </w:rPr>
        <w:t>on an</w:t>
      </w:r>
      <w:r>
        <w:rPr>
          <w:spacing w:val="-3"/>
          <w:sz w:val="18"/>
        </w:rPr>
        <w:t xml:space="preserve"> </w:t>
      </w:r>
      <w:r>
        <w:rPr>
          <w:sz w:val="18"/>
        </w:rPr>
        <w:t>annual</w:t>
      </w:r>
      <w:r>
        <w:rPr>
          <w:spacing w:val="-3"/>
          <w:sz w:val="18"/>
        </w:rPr>
        <w:t xml:space="preserve"> </w:t>
      </w:r>
      <w:r>
        <w:rPr>
          <w:sz w:val="18"/>
        </w:rPr>
        <w:t>basis,</w:t>
      </w:r>
      <w:r>
        <w:rPr>
          <w:spacing w:val="-1"/>
          <w:sz w:val="18"/>
        </w:rPr>
        <w:t xml:space="preserve"> </w:t>
      </w:r>
      <w:r>
        <w:rPr>
          <w:sz w:val="18"/>
        </w:rPr>
        <w:t>or</w:t>
      </w:r>
      <w:r>
        <w:rPr>
          <w:spacing w:val="-1"/>
          <w:sz w:val="18"/>
        </w:rPr>
        <w:t xml:space="preserve"> </w:t>
      </w:r>
      <w:r>
        <w:rPr>
          <w:sz w:val="18"/>
        </w:rPr>
        <w:t>when</w:t>
      </w:r>
      <w:r>
        <w:rPr>
          <w:spacing w:val="-3"/>
          <w:sz w:val="18"/>
        </w:rPr>
        <w:t xml:space="preserve"> </w:t>
      </w:r>
      <w:r>
        <w:rPr>
          <w:sz w:val="18"/>
        </w:rPr>
        <w:t>the asset is measured at fair value, for indicators of a change in fair value or service potential since the last valuation was completed.</w:t>
      </w:r>
    </w:p>
    <w:p w14:paraId="70EAB66C" w14:textId="77777777" w:rsidR="00AC6F3C" w:rsidRDefault="00570E88">
      <w:pPr>
        <w:spacing w:before="121"/>
        <w:ind w:left="958" w:right="909"/>
        <w:rPr>
          <w:sz w:val="18"/>
        </w:rPr>
      </w:pPr>
      <w:r>
        <w:rPr>
          <w:sz w:val="18"/>
        </w:rPr>
        <w:t>If the recoverable amount of the asset is estimated to be less than its carrying amount, the carrying amount of the asset is reduced to its recoverable amount.</w:t>
      </w:r>
      <w:r>
        <w:rPr>
          <w:spacing w:val="40"/>
          <w:sz w:val="18"/>
        </w:rPr>
        <w:t xml:space="preserve"> </w:t>
      </w:r>
      <w:r>
        <w:rPr>
          <w:sz w:val="18"/>
        </w:rPr>
        <w:t>The difference between the carrying amount and</w:t>
      </w:r>
      <w:r>
        <w:rPr>
          <w:spacing w:val="-1"/>
          <w:sz w:val="18"/>
        </w:rPr>
        <w:t xml:space="preserve"> </w:t>
      </w:r>
      <w:r>
        <w:rPr>
          <w:sz w:val="18"/>
        </w:rPr>
        <w:t>recoverable</w:t>
      </w:r>
      <w:r>
        <w:rPr>
          <w:spacing w:val="-4"/>
          <w:sz w:val="18"/>
        </w:rPr>
        <w:t xml:space="preserve"> </w:t>
      </w:r>
      <w:r>
        <w:rPr>
          <w:sz w:val="18"/>
        </w:rPr>
        <w:t>amount</w:t>
      </w:r>
      <w:r>
        <w:rPr>
          <w:spacing w:val="-4"/>
          <w:sz w:val="18"/>
        </w:rPr>
        <w:t xml:space="preserve"> </w:t>
      </w:r>
      <w:r>
        <w:rPr>
          <w:sz w:val="18"/>
        </w:rPr>
        <w:t>is</w:t>
      </w:r>
      <w:r>
        <w:rPr>
          <w:spacing w:val="-1"/>
          <w:sz w:val="18"/>
        </w:rPr>
        <w:t xml:space="preserve"> </w:t>
      </w:r>
      <w:proofErr w:type="spellStart"/>
      <w:r>
        <w:rPr>
          <w:sz w:val="18"/>
        </w:rPr>
        <w:t>recognised</w:t>
      </w:r>
      <w:proofErr w:type="spellEnd"/>
      <w:r>
        <w:rPr>
          <w:spacing w:val="-4"/>
          <w:sz w:val="18"/>
        </w:rPr>
        <w:t xml:space="preserve"> </w:t>
      </w:r>
      <w:r>
        <w:rPr>
          <w:sz w:val="18"/>
        </w:rPr>
        <w:t>as</w:t>
      </w:r>
      <w:r>
        <w:rPr>
          <w:spacing w:val="-3"/>
          <w:sz w:val="18"/>
        </w:rPr>
        <w:t xml:space="preserve"> </w:t>
      </w:r>
      <w:r>
        <w:rPr>
          <w:sz w:val="18"/>
        </w:rPr>
        <w:t>an</w:t>
      </w:r>
      <w:r>
        <w:rPr>
          <w:spacing w:val="-1"/>
          <w:sz w:val="18"/>
        </w:rPr>
        <w:t xml:space="preserve"> </w:t>
      </w:r>
      <w:r>
        <w:rPr>
          <w:sz w:val="18"/>
        </w:rPr>
        <w:t>impairment</w:t>
      </w:r>
      <w:r>
        <w:rPr>
          <w:spacing w:val="-4"/>
          <w:sz w:val="18"/>
        </w:rPr>
        <w:t xml:space="preserve"> </w:t>
      </w:r>
      <w:r>
        <w:rPr>
          <w:sz w:val="18"/>
        </w:rPr>
        <w:t>loss</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2"/>
          <w:sz w:val="18"/>
        </w:rPr>
        <w:t xml:space="preserve"> </w:t>
      </w:r>
      <w:r>
        <w:rPr>
          <w:sz w:val="18"/>
        </w:rPr>
        <w:t>Comprehensive</w:t>
      </w:r>
      <w:r>
        <w:rPr>
          <w:spacing w:val="-1"/>
          <w:sz w:val="18"/>
        </w:rPr>
        <w:t xml:space="preserve"> </w:t>
      </w:r>
      <w:r>
        <w:rPr>
          <w:sz w:val="18"/>
        </w:rPr>
        <w:t>Income.</w:t>
      </w:r>
    </w:p>
    <w:p w14:paraId="776549B0" w14:textId="77777777" w:rsidR="00AC6F3C" w:rsidRDefault="00570E88">
      <w:pPr>
        <w:spacing w:before="118"/>
        <w:ind w:left="958" w:right="833"/>
        <w:rPr>
          <w:sz w:val="18"/>
        </w:rPr>
      </w:pPr>
      <w:r>
        <w:rPr>
          <w:sz w:val="18"/>
        </w:rPr>
        <w:t xml:space="preserve">An impairment loss for an asset is reversed if, and only if, there has been a change in the estimates used to determine the asset’s recoverable amount since the last impairment loss was </w:t>
      </w:r>
      <w:proofErr w:type="spellStart"/>
      <w:r>
        <w:rPr>
          <w:sz w:val="18"/>
        </w:rPr>
        <w:t>recognised</w:t>
      </w:r>
      <w:proofErr w:type="spellEnd"/>
      <w:r>
        <w:rPr>
          <w:sz w:val="18"/>
        </w:rPr>
        <w:t>.</w:t>
      </w:r>
      <w:r>
        <w:rPr>
          <w:spacing w:val="40"/>
          <w:sz w:val="18"/>
        </w:rPr>
        <w:t xml:space="preserve"> </w:t>
      </w:r>
      <w:r>
        <w:rPr>
          <w:sz w:val="18"/>
        </w:rPr>
        <w:t>The carrying amount of the asset is increased to its revised recoverable amount, provided that this amount does not exceed</w:t>
      </w:r>
      <w:r>
        <w:rPr>
          <w:spacing w:val="-1"/>
          <w:sz w:val="18"/>
        </w:rPr>
        <w:t xml:space="preserve"> </w:t>
      </w:r>
      <w:r>
        <w:rPr>
          <w:sz w:val="18"/>
        </w:rPr>
        <w:t>the</w:t>
      </w:r>
      <w:r>
        <w:rPr>
          <w:spacing w:val="-3"/>
          <w:sz w:val="18"/>
        </w:rPr>
        <w:t xml:space="preserve"> </w:t>
      </w:r>
      <w:r>
        <w:rPr>
          <w:sz w:val="18"/>
        </w:rPr>
        <w:t>carrying</w:t>
      </w:r>
      <w:r>
        <w:rPr>
          <w:spacing w:val="-3"/>
          <w:sz w:val="18"/>
        </w:rPr>
        <w:t xml:space="preserve"> </w:t>
      </w:r>
      <w:r>
        <w:rPr>
          <w:sz w:val="18"/>
        </w:rPr>
        <w:t>amount</w:t>
      </w:r>
      <w:r>
        <w:rPr>
          <w:spacing w:val="-3"/>
          <w:sz w:val="18"/>
        </w:rPr>
        <w:t xml:space="preserve"> </w:t>
      </w:r>
      <w:r>
        <w:rPr>
          <w:sz w:val="18"/>
        </w:rPr>
        <w:t>that</w:t>
      </w:r>
      <w:r>
        <w:rPr>
          <w:spacing w:val="-2"/>
          <w:sz w:val="18"/>
        </w:rPr>
        <w:t xml:space="preserve"> </w:t>
      </w:r>
      <w:r>
        <w:rPr>
          <w:sz w:val="18"/>
        </w:rPr>
        <w:t>would</w:t>
      </w:r>
      <w:r>
        <w:rPr>
          <w:spacing w:val="-1"/>
          <w:sz w:val="18"/>
        </w:rPr>
        <w:t xml:space="preserve"> </w:t>
      </w:r>
      <w:r>
        <w:rPr>
          <w:sz w:val="18"/>
        </w:rPr>
        <w:t>have</w:t>
      </w:r>
      <w:r>
        <w:rPr>
          <w:spacing w:val="-3"/>
          <w:sz w:val="18"/>
        </w:rPr>
        <w:t xml:space="preserve"> </w:t>
      </w:r>
      <w:r>
        <w:rPr>
          <w:sz w:val="18"/>
        </w:rPr>
        <w:t>been</w:t>
      </w:r>
      <w:r>
        <w:rPr>
          <w:spacing w:val="-3"/>
          <w:sz w:val="18"/>
        </w:rPr>
        <w:t xml:space="preserve"> </w:t>
      </w:r>
      <w:r>
        <w:rPr>
          <w:sz w:val="18"/>
        </w:rPr>
        <w:t>determined</w:t>
      </w:r>
      <w:r>
        <w:rPr>
          <w:spacing w:val="-1"/>
          <w:sz w:val="18"/>
        </w:rPr>
        <w:t xml:space="preserve"> </w:t>
      </w:r>
      <w:r>
        <w:rPr>
          <w:sz w:val="18"/>
        </w:rPr>
        <w:t>(net</w:t>
      </w:r>
      <w:r>
        <w:rPr>
          <w:spacing w:val="-3"/>
          <w:sz w:val="18"/>
        </w:rPr>
        <w:t xml:space="preserve"> </w:t>
      </w:r>
      <w:r>
        <w:rPr>
          <w:sz w:val="18"/>
        </w:rPr>
        <w:t>of</w:t>
      </w:r>
      <w:r>
        <w:rPr>
          <w:spacing w:val="-2"/>
          <w:sz w:val="18"/>
        </w:rPr>
        <w:t xml:space="preserve"> </w:t>
      </w:r>
      <w:r>
        <w:rPr>
          <w:sz w:val="18"/>
        </w:rPr>
        <w:t>depreciation)</w:t>
      </w:r>
      <w:r>
        <w:rPr>
          <w:spacing w:val="-3"/>
          <w:sz w:val="18"/>
        </w:rPr>
        <w:t xml:space="preserve"> </w:t>
      </w:r>
      <w:r>
        <w:rPr>
          <w:sz w:val="18"/>
        </w:rPr>
        <w:t>had</w:t>
      </w:r>
      <w:r>
        <w:rPr>
          <w:spacing w:val="-3"/>
          <w:sz w:val="18"/>
        </w:rPr>
        <w:t xml:space="preserve"> </w:t>
      </w:r>
      <w:r>
        <w:rPr>
          <w:sz w:val="18"/>
        </w:rPr>
        <w:t>no</w:t>
      </w:r>
      <w:r>
        <w:rPr>
          <w:spacing w:val="-3"/>
          <w:sz w:val="18"/>
        </w:rPr>
        <w:t xml:space="preserve"> </w:t>
      </w:r>
      <w:r>
        <w:rPr>
          <w:sz w:val="18"/>
        </w:rPr>
        <w:t>impairment</w:t>
      </w:r>
      <w:r>
        <w:rPr>
          <w:spacing w:val="-2"/>
          <w:sz w:val="18"/>
        </w:rPr>
        <w:t xml:space="preserve"> </w:t>
      </w:r>
      <w:r>
        <w:rPr>
          <w:sz w:val="18"/>
        </w:rPr>
        <w:t xml:space="preserve">loss been </w:t>
      </w:r>
      <w:proofErr w:type="spellStart"/>
      <w:r>
        <w:rPr>
          <w:sz w:val="18"/>
        </w:rPr>
        <w:t>recognised</w:t>
      </w:r>
      <w:proofErr w:type="spellEnd"/>
      <w:r>
        <w:rPr>
          <w:sz w:val="18"/>
        </w:rPr>
        <w:t xml:space="preserve"> for the asset in prior years.</w:t>
      </w:r>
      <w:r>
        <w:rPr>
          <w:spacing w:val="63"/>
          <w:sz w:val="18"/>
        </w:rPr>
        <w:t xml:space="preserve"> </w:t>
      </w:r>
      <w:r>
        <w:rPr>
          <w:sz w:val="18"/>
        </w:rPr>
        <w:t xml:space="preserve">A reversal of impairment loss for an asset is </w:t>
      </w:r>
      <w:proofErr w:type="spellStart"/>
      <w:r>
        <w:rPr>
          <w:sz w:val="18"/>
        </w:rPr>
        <w:t>recognised</w:t>
      </w:r>
      <w:proofErr w:type="spellEnd"/>
      <w:r>
        <w:rPr>
          <w:sz w:val="18"/>
        </w:rPr>
        <w:t xml:space="preserve"> in</w:t>
      </w:r>
      <w:r>
        <w:rPr>
          <w:spacing w:val="40"/>
          <w:sz w:val="18"/>
        </w:rPr>
        <w:t xml:space="preserve"> </w:t>
      </w:r>
      <w:r>
        <w:rPr>
          <w:sz w:val="18"/>
        </w:rPr>
        <w:t>the Statement of Comprehensive Income.</w:t>
      </w:r>
    </w:p>
    <w:p w14:paraId="03C8D9E8" w14:textId="77777777" w:rsidR="00AC6F3C" w:rsidRDefault="00AC6F3C">
      <w:pPr>
        <w:pStyle w:val="BodyText"/>
        <w:spacing w:before="1"/>
        <w:rPr>
          <w:sz w:val="21"/>
        </w:rPr>
      </w:pPr>
    </w:p>
    <w:p w14:paraId="4B5C3B39" w14:textId="77777777" w:rsidR="00AC6F3C" w:rsidRDefault="00570E88">
      <w:pPr>
        <w:pStyle w:val="Heading6"/>
        <w:tabs>
          <w:tab w:val="left" w:pos="1810"/>
        </w:tabs>
        <w:spacing w:before="0"/>
      </w:pPr>
      <w:r>
        <w:rPr>
          <w:spacing w:val="-2"/>
        </w:rPr>
        <w:t>C5-</w:t>
      </w:r>
      <w:r>
        <w:rPr>
          <w:spacing w:val="-10"/>
        </w:rPr>
        <w:t>6</w:t>
      </w:r>
      <w:r>
        <w:tab/>
        <w:t>MEASUREMENT</w:t>
      </w:r>
      <w:r>
        <w:rPr>
          <w:spacing w:val="-3"/>
        </w:rPr>
        <w:t xml:space="preserve"> </w:t>
      </w:r>
      <w:r>
        <w:t>USING</w:t>
      </w:r>
      <w:r>
        <w:rPr>
          <w:spacing w:val="-3"/>
        </w:rPr>
        <w:t xml:space="preserve"> </w:t>
      </w:r>
      <w:r>
        <w:t>FAIR</w:t>
      </w:r>
      <w:r>
        <w:rPr>
          <w:spacing w:val="-3"/>
        </w:rPr>
        <w:t xml:space="preserve"> </w:t>
      </w:r>
      <w:r>
        <w:rPr>
          <w:spacing w:val="-4"/>
        </w:rPr>
        <w:t>VALUE</w:t>
      </w:r>
    </w:p>
    <w:p w14:paraId="2C58DE6A" w14:textId="77777777" w:rsidR="00AC6F3C" w:rsidRDefault="00AC6F3C">
      <w:pPr>
        <w:pStyle w:val="BodyText"/>
        <w:spacing w:before="8"/>
        <w:rPr>
          <w:b/>
        </w:rPr>
      </w:pPr>
    </w:p>
    <w:p w14:paraId="685940C7" w14:textId="77777777" w:rsidR="00AC6F3C" w:rsidRDefault="00570E88">
      <w:pPr>
        <w:ind w:left="958" w:right="730"/>
        <w:rPr>
          <w:sz w:val="18"/>
        </w:rPr>
      </w:pPr>
      <w:r>
        <w:rPr>
          <w:sz w:val="18"/>
        </w:rPr>
        <w:t>The</w:t>
      </w:r>
      <w:r>
        <w:rPr>
          <w:spacing w:val="-1"/>
          <w:sz w:val="18"/>
        </w:rPr>
        <w:t xml:space="preserve"> </w:t>
      </w:r>
      <w:r>
        <w:rPr>
          <w:sz w:val="18"/>
        </w:rPr>
        <w:t>strata</w:t>
      </w:r>
      <w:r>
        <w:rPr>
          <w:spacing w:val="-4"/>
          <w:sz w:val="18"/>
        </w:rPr>
        <w:t xml:space="preserve"> </w:t>
      </w:r>
      <w:r>
        <w:rPr>
          <w:sz w:val="18"/>
        </w:rPr>
        <w:t>title</w:t>
      </w:r>
      <w:r>
        <w:rPr>
          <w:spacing w:val="-1"/>
          <w:sz w:val="18"/>
        </w:rPr>
        <w:t xml:space="preserve"> </w:t>
      </w:r>
      <w:r>
        <w:rPr>
          <w:sz w:val="18"/>
        </w:rPr>
        <w:t>building</w:t>
      </w:r>
      <w:r>
        <w:rPr>
          <w:spacing w:val="-4"/>
          <w:sz w:val="18"/>
        </w:rPr>
        <w:t xml:space="preserve"> </w:t>
      </w:r>
      <w:r>
        <w:rPr>
          <w:sz w:val="18"/>
        </w:rPr>
        <w:t>is</w:t>
      </w:r>
      <w:r>
        <w:rPr>
          <w:spacing w:val="-3"/>
          <w:sz w:val="18"/>
        </w:rPr>
        <w:t xml:space="preserve"> </w:t>
      </w:r>
      <w:r>
        <w:rPr>
          <w:sz w:val="18"/>
        </w:rPr>
        <w:t>measured</w:t>
      </w:r>
      <w:r>
        <w:rPr>
          <w:spacing w:val="-4"/>
          <w:sz w:val="18"/>
        </w:rPr>
        <w:t xml:space="preserve"> </w:t>
      </w:r>
      <w:r>
        <w:rPr>
          <w:sz w:val="18"/>
        </w:rPr>
        <w:t>at</w:t>
      </w:r>
      <w:r>
        <w:rPr>
          <w:spacing w:val="-2"/>
          <w:sz w:val="18"/>
        </w:rPr>
        <w:t xml:space="preserve"> </w:t>
      </w:r>
      <w:r>
        <w:rPr>
          <w:sz w:val="18"/>
        </w:rPr>
        <w:t>fair</w:t>
      </w:r>
      <w:r>
        <w:rPr>
          <w:spacing w:val="-4"/>
          <w:sz w:val="18"/>
        </w:rPr>
        <w:t xml:space="preserve"> </w:t>
      </w:r>
      <w:r>
        <w:rPr>
          <w:sz w:val="18"/>
        </w:rPr>
        <w:t>value</w:t>
      </w:r>
      <w:r>
        <w:rPr>
          <w:spacing w:val="-1"/>
          <w:sz w:val="18"/>
        </w:rPr>
        <w:t xml:space="preserve"> </w:t>
      </w:r>
      <w:r>
        <w:rPr>
          <w:sz w:val="18"/>
        </w:rPr>
        <w:t>as</w:t>
      </w:r>
      <w:r>
        <w:rPr>
          <w:spacing w:val="-1"/>
          <w:sz w:val="18"/>
        </w:rPr>
        <w:t xml:space="preserve"> </w:t>
      </w:r>
      <w:r>
        <w:rPr>
          <w:sz w:val="18"/>
        </w:rPr>
        <w:t>required</w:t>
      </w:r>
      <w:r>
        <w:rPr>
          <w:spacing w:val="-4"/>
          <w:sz w:val="18"/>
        </w:rPr>
        <w:t xml:space="preserve"> </w:t>
      </w:r>
      <w:r>
        <w:rPr>
          <w:sz w:val="18"/>
        </w:rPr>
        <w:t>by</w:t>
      </w:r>
      <w:r>
        <w:rPr>
          <w:spacing w:val="-1"/>
          <w:sz w:val="18"/>
        </w:rPr>
        <w:t xml:space="preserve"> </w:t>
      </w:r>
      <w:r>
        <w:rPr>
          <w:sz w:val="18"/>
        </w:rPr>
        <w:t>Queensland</w:t>
      </w:r>
      <w:r>
        <w:rPr>
          <w:spacing w:val="-4"/>
          <w:sz w:val="18"/>
        </w:rPr>
        <w:t xml:space="preserve"> </w:t>
      </w:r>
      <w:r>
        <w:rPr>
          <w:sz w:val="18"/>
        </w:rPr>
        <w:t>Treasury’s</w:t>
      </w:r>
      <w:r>
        <w:rPr>
          <w:spacing w:val="-1"/>
          <w:sz w:val="18"/>
        </w:rPr>
        <w:t xml:space="preserve"> </w:t>
      </w:r>
      <w:r>
        <w:rPr>
          <w:sz w:val="18"/>
        </w:rPr>
        <w:t>Non-Current</w:t>
      </w:r>
      <w:r>
        <w:rPr>
          <w:spacing w:val="-2"/>
          <w:sz w:val="18"/>
        </w:rPr>
        <w:t xml:space="preserve"> </w:t>
      </w:r>
      <w:r>
        <w:rPr>
          <w:sz w:val="18"/>
        </w:rPr>
        <w:t>Asset Policies for the Queensland Public Sector. The building is reported at its revalued amount, being the fair value at the date of valuation using the Net Market Income approach and Discounted Cash Flow Analysis approach (2021-22 direct comparison approach), less any subsequent accumulated depreciation.</w:t>
      </w:r>
    </w:p>
    <w:p w14:paraId="4316FBF1" w14:textId="77777777" w:rsidR="00AC6F3C" w:rsidRDefault="00AC6F3C">
      <w:pPr>
        <w:pStyle w:val="BodyText"/>
        <w:spacing w:before="10"/>
      </w:pPr>
    </w:p>
    <w:p w14:paraId="63CC2ABC" w14:textId="77777777" w:rsidR="00AC6F3C" w:rsidRDefault="00570E88">
      <w:pPr>
        <w:ind w:left="958" w:right="990"/>
        <w:rPr>
          <w:sz w:val="18"/>
        </w:rPr>
      </w:pPr>
      <w:r>
        <w:rPr>
          <w:sz w:val="18"/>
        </w:rPr>
        <w:t>The</w:t>
      </w:r>
      <w:r>
        <w:rPr>
          <w:spacing w:val="-2"/>
          <w:sz w:val="18"/>
        </w:rPr>
        <w:t xml:space="preserve"> </w:t>
      </w:r>
      <w:r>
        <w:rPr>
          <w:sz w:val="18"/>
        </w:rPr>
        <w:t>valuation</w:t>
      </w:r>
      <w:r>
        <w:rPr>
          <w:spacing w:val="-2"/>
          <w:sz w:val="18"/>
        </w:rPr>
        <w:t xml:space="preserve"> </w:t>
      </w:r>
      <w:r>
        <w:rPr>
          <w:sz w:val="18"/>
        </w:rPr>
        <w:t>has</w:t>
      </w:r>
      <w:r>
        <w:rPr>
          <w:spacing w:val="-2"/>
          <w:sz w:val="18"/>
        </w:rPr>
        <w:t xml:space="preserve"> </w:t>
      </w:r>
      <w:r>
        <w:rPr>
          <w:sz w:val="18"/>
        </w:rPr>
        <w:t>been</w:t>
      </w:r>
      <w:r>
        <w:rPr>
          <w:spacing w:val="-4"/>
          <w:sz w:val="18"/>
        </w:rPr>
        <w:t xml:space="preserve"> </w:t>
      </w:r>
      <w:r>
        <w:rPr>
          <w:sz w:val="18"/>
        </w:rPr>
        <w:t>performed</w:t>
      </w:r>
      <w:r>
        <w:rPr>
          <w:spacing w:val="-4"/>
          <w:sz w:val="18"/>
        </w:rPr>
        <w:t xml:space="preserve"> </w:t>
      </w:r>
      <w:r>
        <w:rPr>
          <w:sz w:val="18"/>
        </w:rPr>
        <w:t>based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refurbishment</w:t>
      </w:r>
      <w:r>
        <w:rPr>
          <w:spacing w:val="-2"/>
          <w:sz w:val="18"/>
        </w:rPr>
        <w:t xml:space="preserve"> </w:t>
      </w:r>
      <w:r>
        <w:rPr>
          <w:sz w:val="18"/>
        </w:rPr>
        <w:t>project</w:t>
      </w:r>
      <w:r>
        <w:rPr>
          <w:spacing w:val="-4"/>
          <w:sz w:val="18"/>
        </w:rPr>
        <w:t xml:space="preserve"> </w:t>
      </w:r>
      <w:r>
        <w:rPr>
          <w:sz w:val="18"/>
        </w:rPr>
        <w:t>being</w:t>
      </w:r>
      <w:r>
        <w:rPr>
          <w:spacing w:val="-4"/>
          <w:sz w:val="18"/>
        </w:rPr>
        <w:t xml:space="preserve"> </w:t>
      </w:r>
      <w:r>
        <w:rPr>
          <w:sz w:val="18"/>
        </w:rPr>
        <w:t>complete</w:t>
      </w:r>
      <w:r>
        <w:rPr>
          <w:spacing w:val="-2"/>
          <w:sz w:val="18"/>
        </w:rPr>
        <w:t xml:space="preserve"> </w:t>
      </w:r>
      <w:r>
        <w:rPr>
          <w:sz w:val="18"/>
        </w:rPr>
        <w:t>less</w:t>
      </w:r>
      <w:r>
        <w:rPr>
          <w:spacing w:val="-3"/>
          <w:sz w:val="18"/>
        </w:rPr>
        <w:t xml:space="preserve"> </w:t>
      </w:r>
      <w:r>
        <w:rPr>
          <w:sz w:val="18"/>
        </w:rPr>
        <w:t>the</w:t>
      </w:r>
      <w:r>
        <w:rPr>
          <w:spacing w:val="-2"/>
          <w:sz w:val="18"/>
        </w:rPr>
        <w:t xml:space="preserve"> </w:t>
      </w:r>
      <w:r>
        <w:rPr>
          <w:sz w:val="18"/>
        </w:rPr>
        <w:t>costs</w:t>
      </w:r>
      <w:r>
        <w:rPr>
          <w:spacing w:val="-2"/>
          <w:sz w:val="18"/>
        </w:rPr>
        <w:t xml:space="preserve"> </w:t>
      </w:r>
      <w:r>
        <w:rPr>
          <w:sz w:val="18"/>
        </w:rPr>
        <w:t>to complete from the valuation date of 30 June 2023. The building is independently revalued</w:t>
      </w:r>
      <w:r>
        <w:rPr>
          <w:spacing w:val="-1"/>
          <w:sz w:val="18"/>
        </w:rPr>
        <w:t xml:space="preserve"> </w:t>
      </w:r>
      <w:r>
        <w:rPr>
          <w:sz w:val="18"/>
        </w:rPr>
        <w:t>annually</w:t>
      </w:r>
      <w:r>
        <w:rPr>
          <w:spacing w:val="40"/>
          <w:sz w:val="18"/>
        </w:rPr>
        <w:t xml:space="preserve"> </w:t>
      </w:r>
      <w:r>
        <w:rPr>
          <w:sz w:val="18"/>
        </w:rPr>
        <w:t>to ensure the carrying amount does not materially differ from the fair value at reporting date.</w:t>
      </w:r>
    </w:p>
    <w:p w14:paraId="2A905480" w14:textId="77777777" w:rsidR="00AC6F3C" w:rsidRDefault="00AC6F3C">
      <w:pPr>
        <w:pStyle w:val="BodyText"/>
        <w:spacing w:before="8"/>
      </w:pPr>
    </w:p>
    <w:p w14:paraId="7E06830B" w14:textId="77777777" w:rsidR="00AC6F3C" w:rsidRDefault="00570E88">
      <w:pPr>
        <w:ind w:left="958" w:right="857"/>
        <w:rPr>
          <w:sz w:val="18"/>
        </w:rPr>
      </w:pPr>
      <w:r>
        <w:rPr>
          <w:sz w:val="18"/>
        </w:rPr>
        <w:t>An</w:t>
      </w:r>
      <w:r>
        <w:rPr>
          <w:spacing w:val="-1"/>
          <w:sz w:val="18"/>
        </w:rPr>
        <w:t xml:space="preserve"> </w:t>
      </w:r>
      <w:r>
        <w:rPr>
          <w:sz w:val="18"/>
        </w:rPr>
        <w:t>independent</w:t>
      </w:r>
      <w:r>
        <w:rPr>
          <w:spacing w:val="-4"/>
          <w:sz w:val="18"/>
        </w:rPr>
        <w:t xml:space="preserve"> </w:t>
      </w:r>
      <w:r>
        <w:rPr>
          <w:sz w:val="18"/>
        </w:rPr>
        <w:t>valuation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strata</w:t>
      </w:r>
      <w:r>
        <w:rPr>
          <w:spacing w:val="-1"/>
          <w:sz w:val="18"/>
        </w:rPr>
        <w:t xml:space="preserve"> </w:t>
      </w:r>
      <w:r>
        <w:rPr>
          <w:sz w:val="18"/>
        </w:rPr>
        <w:t>title</w:t>
      </w:r>
      <w:r>
        <w:rPr>
          <w:spacing w:val="-4"/>
          <w:sz w:val="18"/>
        </w:rPr>
        <w:t xml:space="preserve"> </w:t>
      </w:r>
      <w:r>
        <w:rPr>
          <w:sz w:val="18"/>
        </w:rPr>
        <w:t>building</w:t>
      </w:r>
      <w:r>
        <w:rPr>
          <w:spacing w:val="-1"/>
          <w:sz w:val="18"/>
        </w:rPr>
        <w:t xml:space="preserve"> </w:t>
      </w:r>
      <w:r>
        <w:rPr>
          <w:sz w:val="18"/>
        </w:rPr>
        <w:t>was</w:t>
      </w:r>
      <w:r>
        <w:rPr>
          <w:spacing w:val="-1"/>
          <w:sz w:val="18"/>
        </w:rPr>
        <w:t xml:space="preserve"> </w:t>
      </w:r>
      <w:r>
        <w:rPr>
          <w:sz w:val="18"/>
        </w:rPr>
        <w:t>carried</w:t>
      </w:r>
      <w:r>
        <w:rPr>
          <w:spacing w:val="-1"/>
          <w:sz w:val="18"/>
        </w:rPr>
        <w:t xml:space="preserve"> </w:t>
      </w:r>
      <w:r>
        <w:rPr>
          <w:sz w:val="18"/>
        </w:rPr>
        <w:t>out</w:t>
      </w:r>
      <w:r>
        <w:rPr>
          <w:spacing w:val="-4"/>
          <w:sz w:val="18"/>
        </w:rPr>
        <w:t xml:space="preserve"> </w:t>
      </w:r>
      <w:r>
        <w:rPr>
          <w:sz w:val="18"/>
        </w:rPr>
        <w:t>as</w:t>
      </w:r>
      <w:r>
        <w:rPr>
          <w:spacing w:val="-3"/>
          <w:sz w:val="18"/>
        </w:rPr>
        <w:t xml:space="preserve"> </w:t>
      </w:r>
      <w:r>
        <w:rPr>
          <w:sz w:val="18"/>
        </w:rPr>
        <w:t>at</w:t>
      </w:r>
      <w:r>
        <w:rPr>
          <w:spacing w:val="-2"/>
          <w:sz w:val="18"/>
        </w:rPr>
        <w:t xml:space="preserve"> </w:t>
      </w:r>
      <w:r>
        <w:rPr>
          <w:sz w:val="18"/>
        </w:rPr>
        <w:t>30</w:t>
      </w:r>
      <w:r>
        <w:rPr>
          <w:spacing w:val="-1"/>
          <w:sz w:val="18"/>
        </w:rPr>
        <w:t xml:space="preserve"> </w:t>
      </w:r>
      <w:r>
        <w:rPr>
          <w:sz w:val="18"/>
        </w:rPr>
        <w:t>June</w:t>
      </w:r>
      <w:r>
        <w:rPr>
          <w:spacing w:val="-4"/>
          <w:sz w:val="18"/>
        </w:rPr>
        <w:t xml:space="preserve"> </w:t>
      </w:r>
      <w:r>
        <w:rPr>
          <w:sz w:val="18"/>
        </w:rPr>
        <w:t>2023</w:t>
      </w:r>
      <w:r>
        <w:rPr>
          <w:spacing w:val="-2"/>
          <w:sz w:val="18"/>
        </w:rPr>
        <w:t xml:space="preserve"> </w:t>
      </w:r>
      <w:r>
        <w:rPr>
          <w:sz w:val="18"/>
        </w:rPr>
        <w:t>by</w:t>
      </w:r>
      <w:r>
        <w:rPr>
          <w:spacing w:val="-3"/>
          <w:sz w:val="18"/>
        </w:rPr>
        <w:t xml:space="preserve"> </w:t>
      </w:r>
      <w:r>
        <w:rPr>
          <w:sz w:val="18"/>
        </w:rPr>
        <w:t>Peter</w:t>
      </w:r>
      <w:r>
        <w:rPr>
          <w:spacing w:val="-2"/>
          <w:sz w:val="18"/>
        </w:rPr>
        <w:t xml:space="preserve"> </w:t>
      </w:r>
      <w:r>
        <w:rPr>
          <w:sz w:val="18"/>
        </w:rPr>
        <w:t>Zischke,</w:t>
      </w:r>
      <w:r>
        <w:rPr>
          <w:spacing w:val="-2"/>
          <w:sz w:val="18"/>
        </w:rPr>
        <w:t xml:space="preserve"> </w:t>
      </w:r>
      <w:r>
        <w:rPr>
          <w:sz w:val="18"/>
        </w:rPr>
        <w:t>a member of the Institute of Valuers of Australia, and was on the basis of the open market value of Law Society House in vacant possession with all units combined.</w:t>
      </w:r>
      <w:r>
        <w:rPr>
          <w:spacing w:val="40"/>
          <w:sz w:val="18"/>
        </w:rPr>
        <w:t xml:space="preserve"> </w:t>
      </w:r>
      <w:r>
        <w:rPr>
          <w:sz w:val="18"/>
        </w:rPr>
        <w:t xml:space="preserve">The resulting change in the open market value has been </w:t>
      </w:r>
      <w:proofErr w:type="spellStart"/>
      <w:r>
        <w:rPr>
          <w:sz w:val="18"/>
        </w:rPr>
        <w:t>recognised</w:t>
      </w:r>
      <w:proofErr w:type="spellEnd"/>
      <w:r>
        <w:rPr>
          <w:sz w:val="18"/>
        </w:rPr>
        <w:t xml:space="preserve"> as</w:t>
      </w:r>
      <w:r>
        <w:rPr>
          <w:spacing w:val="-1"/>
          <w:sz w:val="18"/>
        </w:rPr>
        <w:t xml:space="preserve"> </w:t>
      </w:r>
      <w:r>
        <w:rPr>
          <w:sz w:val="18"/>
        </w:rPr>
        <w:t>Other Comprehensive Income</w:t>
      </w:r>
      <w:r>
        <w:rPr>
          <w:spacing w:val="-1"/>
          <w:sz w:val="18"/>
        </w:rPr>
        <w:t xml:space="preserve"> </w:t>
      </w:r>
      <w:r>
        <w:rPr>
          <w:sz w:val="18"/>
        </w:rPr>
        <w:t>in the Statement of Comprehensive Income. The last independent valuation was performed in 30 June 2022.</w:t>
      </w:r>
    </w:p>
    <w:p w14:paraId="5ADE4750" w14:textId="77777777" w:rsidR="00AC6F3C" w:rsidRDefault="00AC6F3C">
      <w:pPr>
        <w:pStyle w:val="BodyText"/>
        <w:spacing w:before="1"/>
        <w:rPr>
          <w:sz w:val="21"/>
        </w:rPr>
      </w:pPr>
    </w:p>
    <w:p w14:paraId="1C62ADE4" w14:textId="77777777" w:rsidR="00AC6F3C" w:rsidRDefault="00570E88">
      <w:pPr>
        <w:ind w:left="958" w:right="857" w:hanging="1"/>
        <w:rPr>
          <w:sz w:val="18"/>
        </w:rPr>
      </w:pPr>
      <w:r>
        <w:rPr>
          <w:sz w:val="18"/>
        </w:rPr>
        <w:t>The</w:t>
      </w:r>
      <w:r>
        <w:rPr>
          <w:spacing w:val="-1"/>
          <w:sz w:val="18"/>
        </w:rPr>
        <w:t xml:space="preserve"> </w:t>
      </w:r>
      <w:r>
        <w:rPr>
          <w:sz w:val="18"/>
        </w:rPr>
        <w:t>fair</w:t>
      </w:r>
      <w:r>
        <w:rPr>
          <w:spacing w:val="-2"/>
          <w:sz w:val="18"/>
        </w:rPr>
        <w:t xml:space="preserve"> </w:t>
      </w:r>
      <w:r>
        <w:rPr>
          <w:sz w:val="18"/>
        </w:rPr>
        <w:t>values</w:t>
      </w:r>
      <w:r>
        <w:rPr>
          <w:spacing w:val="-3"/>
          <w:sz w:val="18"/>
        </w:rPr>
        <w:t xml:space="preserve"> </w:t>
      </w:r>
      <w:r>
        <w:rPr>
          <w:sz w:val="18"/>
        </w:rPr>
        <w:t>as</w:t>
      </w:r>
      <w:r>
        <w:rPr>
          <w:spacing w:val="-1"/>
          <w:sz w:val="18"/>
        </w:rPr>
        <w:t xml:space="preserve"> </w:t>
      </w:r>
      <w:r>
        <w:rPr>
          <w:sz w:val="18"/>
        </w:rPr>
        <w:t>at</w:t>
      </w:r>
      <w:r>
        <w:rPr>
          <w:spacing w:val="-2"/>
          <w:sz w:val="18"/>
        </w:rPr>
        <w:t xml:space="preserve"> </w:t>
      </w:r>
      <w:r>
        <w:rPr>
          <w:sz w:val="18"/>
        </w:rPr>
        <w:t>30</w:t>
      </w:r>
      <w:r>
        <w:rPr>
          <w:spacing w:val="-4"/>
          <w:sz w:val="18"/>
        </w:rPr>
        <w:t xml:space="preserve"> </w:t>
      </w:r>
      <w:r>
        <w:rPr>
          <w:sz w:val="18"/>
        </w:rPr>
        <w:t>June</w:t>
      </w:r>
      <w:r>
        <w:rPr>
          <w:spacing w:val="-4"/>
          <w:sz w:val="18"/>
        </w:rPr>
        <w:t xml:space="preserve"> </w:t>
      </w:r>
      <w:r>
        <w:rPr>
          <w:sz w:val="18"/>
        </w:rPr>
        <w:t>2023</w:t>
      </w:r>
      <w:r>
        <w:rPr>
          <w:spacing w:val="-4"/>
          <w:sz w:val="18"/>
        </w:rPr>
        <w:t xml:space="preserve"> </w:t>
      </w:r>
      <w:r>
        <w:rPr>
          <w:sz w:val="18"/>
        </w:rPr>
        <w:t>are</w:t>
      </w:r>
      <w:r>
        <w:rPr>
          <w:spacing w:val="-1"/>
          <w:sz w:val="18"/>
        </w:rPr>
        <w:t xml:space="preserve"> </w:t>
      </w:r>
      <w:r>
        <w:rPr>
          <w:sz w:val="18"/>
        </w:rPr>
        <w:t>all</w:t>
      </w:r>
      <w:r>
        <w:rPr>
          <w:spacing w:val="-1"/>
          <w:sz w:val="18"/>
        </w:rPr>
        <w:t xml:space="preserve"> </w:t>
      </w:r>
      <w:r>
        <w:rPr>
          <w:sz w:val="18"/>
        </w:rPr>
        <w:t>Level</w:t>
      </w:r>
      <w:r>
        <w:rPr>
          <w:spacing w:val="-1"/>
          <w:sz w:val="18"/>
        </w:rPr>
        <w:t xml:space="preserve"> </w:t>
      </w:r>
      <w:r>
        <w:rPr>
          <w:sz w:val="18"/>
        </w:rPr>
        <w:t>2</w:t>
      </w:r>
      <w:r>
        <w:rPr>
          <w:spacing w:val="-4"/>
          <w:sz w:val="18"/>
        </w:rPr>
        <w:t xml:space="preserve"> </w:t>
      </w:r>
      <w:r>
        <w:rPr>
          <w:sz w:val="18"/>
        </w:rPr>
        <w:t>–</w:t>
      </w:r>
      <w:r>
        <w:rPr>
          <w:spacing w:val="-1"/>
          <w:sz w:val="18"/>
        </w:rPr>
        <w:t xml:space="preserve"> </w:t>
      </w:r>
      <w:r>
        <w:rPr>
          <w:sz w:val="18"/>
        </w:rPr>
        <w:t>Strata</w:t>
      </w:r>
      <w:r>
        <w:rPr>
          <w:spacing w:val="-1"/>
          <w:sz w:val="18"/>
        </w:rPr>
        <w:t xml:space="preserve"> </w:t>
      </w:r>
      <w:r>
        <w:rPr>
          <w:sz w:val="18"/>
        </w:rPr>
        <w:t>Title</w:t>
      </w:r>
      <w:r>
        <w:rPr>
          <w:spacing w:val="-1"/>
          <w:sz w:val="18"/>
        </w:rPr>
        <w:t xml:space="preserve"> </w:t>
      </w:r>
      <w:r>
        <w:rPr>
          <w:sz w:val="18"/>
        </w:rPr>
        <w:t>Building.</w:t>
      </w:r>
      <w:r>
        <w:rPr>
          <w:spacing w:val="-2"/>
          <w:sz w:val="18"/>
        </w:rPr>
        <w:t xml:space="preserve"> </w:t>
      </w:r>
      <w:r>
        <w:rPr>
          <w:sz w:val="18"/>
        </w:rPr>
        <w:t>Basis</w:t>
      </w:r>
      <w:r>
        <w:rPr>
          <w:spacing w:val="-1"/>
          <w:sz w:val="18"/>
        </w:rPr>
        <w:t xml:space="preserve"> </w:t>
      </w:r>
      <w:r>
        <w:rPr>
          <w:sz w:val="18"/>
        </w:rPr>
        <w:t>of</w:t>
      </w:r>
      <w:r>
        <w:rPr>
          <w:spacing w:val="-2"/>
          <w:sz w:val="18"/>
        </w:rPr>
        <w:t xml:space="preserve"> </w:t>
      </w:r>
      <w:r>
        <w:rPr>
          <w:sz w:val="18"/>
        </w:rPr>
        <w:t>measurement</w:t>
      </w:r>
      <w:r>
        <w:rPr>
          <w:spacing w:val="-4"/>
          <w:sz w:val="18"/>
        </w:rPr>
        <w:t xml:space="preserve"> </w:t>
      </w:r>
      <w:r>
        <w:rPr>
          <w:sz w:val="18"/>
        </w:rPr>
        <w:t>is</w:t>
      </w:r>
      <w:r>
        <w:rPr>
          <w:spacing w:val="-3"/>
          <w:sz w:val="18"/>
        </w:rPr>
        <w:t xml:space="preserve"> </w:t>
      </w:r>
      <w:r>
        <w:rPr>
          <w:sz w:val="18"/>
        </w:rPr>
        <w:t>detailed at Note A1-5.</w:t>
      </w:r>
    </w:p>
    <w:p w14:paraId="10B5D7E7" w14:textId="77777777" w:rsidR="00AC6F3C" w:rsidRDefault="00AC6F3C">
      <w:pPr>
        <w:pStyle w:val="BodyText"/>
        <w:spacing w:before="8"/>
      </w:pPr>
    </w:p>
    <w:p w14:paraId="2B2864C1" w14:textId="77777777" w:rsidR="00AC6F3C" w:rsidRDefault="00570E88">
      <w:pPr>
        <w:ind w:left="958"/>
        <w:rPr>
          <w:b/>
          <w:sz w:val="18"/>
        </w:rPr>
      </w:pPr>
      <w:r>
        <w:rPr>
          <w:b/>
          <w:sz w:val="18"/>
        </w:rPr>
        <w:t>Accounting</w:t>
      </w:r>
      <w:r>
        <w:rPr>
          <w:b/>
          <w:spacing w:val="-4"/>
          <w:sz w:val="18"/>
        </w:rPr>
        <w:t xml:space="preserve"> </w:t>
      </w:r>
      <w:r>
        <w:rPr>
          <w:b/>
          <w:sz w:val="18"/>
        </w:rPr>
        <w:t>for</w:t>
      </w:r>
      <w:r>
        <w:rPr>
          <w:b/>
          <w:spacing w:val="-3"/>
          <w:sz w:val="18"/>
        </w:rPr>
        <w:t xml:space="preserve"> </w:t>
      </w:r>
      <w:r>
        <w:rPr>
          <w:b/>
          <w:sz w:val="18"/>
        </w:rPr>
        <w:t>Changes in</w:t>
      </w:r>
      <w:r>
        <w:rPr>
          <w:b/>
          <w:spacing w:val="-4"/>
          <w:sz w:val="18"/>
        </w:rPr>
        <w:t xml:space="preserve"> </w:t>
      </w:r>
      <w:r>
        <w:rPr>
          <w:b/>
          <w:sz w:val="18"/>
        </w:rPr>
        <w:t>Fair</w:t>
      </w:r>
      <w:r>
        <w:rPr>
          <w:b/>
          <w:spacing w:val="-2"/>
          <w:sz w:val="18"/>
        </w:rPr>
        <w:t xml:space="preserve"> Value</w:t>
      </w:r>
    </w:p>
    <w:p w14:paraId="47ADFD8E" w14:textId="77777777" w:rsidR="00AC6F3C" w:rsidRDefault="00AC6F3C">
      <w:pPr>
        <w:pStyle w:val="BodyText"/>
        <w:spacing w:before="10"/>
        <w:rPr>
          <w:b/>
        </w:rPr>
      </w:pPr>
    </w:p>
    <w:p w14:paraId="78E50853" w14:textId="77777777" w:rsidR="00AC6F3C" w:rsidRDefault="00570E88">
      <w:pPr>
        <w:ind w:left="958" w:right="843"/>
        <w:rPr>
          <w:sz w:val="18"/>
        </w:rPr>
      </w:pPr>
      <w:r>
        <w:rPr>
          <w:sz w:val="18"/>
        </w:rPr>
        <w:t>Any</w:t>
      </w:r>
      <w:r>
        <w:rPr>
          <w:spacing w:val="-2"/>
          <w:sz w:val="18"/>
        </w:rPr>
        <w:t xml:space="preserve"> </w:t>
      </w:r>
      <w:r>
        <w:rPr>
          <w:sz w:val="18"/>
        </w:rPr>
        <w:t>revaluation</w:t>
      </w:r>
      <w:r>
        <w:rPr>
          <w:spacing w:val="-2"/>
          <w:sz w:val="18"/>
        </w:rPr>
        <w:t xml:space="preserve"> </w:t>
      </w:r>
      <w:r>
        <w:rPr>
          <w:sz w:val="18"/>
        </w:rPr>
        <w:t>increment</w:t>
      </w:r>
      <w:r>
        <w:rPr>
          <w:spacing w:val="-2"/>
          <w:sz w:val="18"/>
        </w:rPr>
        <w:t xml:space="preserve"> </w:t>
      </w:r>
      <w:r>
        <w:rPr>
          <w:sz w:val="18"/>
        </w:rPr>
        <w:t>arising</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revaluation</w:t>
      </w:r>
      <w:r>
        <w:rPr>
          <w:spacing w:val="-2"/>
          <w:sz w:val="18"/>
        </w:rPr>
        <w:t xml:space="preserve"> </w:t>
      </w:r>
      <w:r>
        <w:rPr>
          <w:sz w:val="18"/>
        </w:rPr>
        <w:t>of</w:t>
      </w:r>
      <w:r>
        <w:rPr>
          <w:spacing w:val="-4"/>
          <w:sz w:val="18"/>
        </w:rPr>
        <w:t xml:space="preserve"> </w:t>
      </w:r>
      <w:r>
        <w:rPr>
          <w:sz w:val="18"/>
        </w:rPr>
        <w:t>an</w:t>
      </w:r>
      <w:r>
        <w:rPr>
          <w:spacing w:val="-4"/>
          <w:sz w:val="18"/>
        </w:rPr>
        <w:t xml:space="preserve"> </w:t>
      </w:r>
      <w:r>
        <w:rPr>
          <w:sz w:val="18"/>
        </w:rPr>
        <w:t>asset</w:t>
      </w:r>
      <w:r>
        <w:rPr>
          <w:spacing w:val="-2"/>
          <w:sz w:val="18"/>
        </w:rPr>
        <w:t xml:space="preserve"> </w:t>
      </w:r>
      <w:r>
        <w:rPr>
          <w:sz w:val="18"/>
        </w:rPr>
        <w:t>is</w:t>
      </w:r>
      <w:r>
        <w:rPr>
          <w:spacing w:val="-3"/>
          <w:sz w:val="18"/>
        </w:rPr>
        <w:t xml:space="preserve"> </w:t>
      </w:r>
      <w:r>
        <w:rPr>
          <w:sz w:val="18"/>
        </w:rPr>
        <w:t>credited</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asset</w:t>
      </w:r>
      <w:r>
        <w:rPr>
          <w:spacing w:val="-2"/>
          <w:sz w:val="18"/>
        </w:rPr>
        <w:t xml:space="preserve"> </w:t>
      </w:r>
      <w:r>
        <w:rPr>
          <w:sz w:val="18"/>
        </w:rPr>
        <w:t>revaluation</w:t>
      </w:r>
      <w:r>
        <w:rPr>
          <w:spacing w:val="-4"/>
          <w:sz w:val="18"/>
        </w:rPr>
        <w:t xml:space="preserve"> </w:t>
      </w:r>
      <w:r>
        <w:rPr>
          <w:sz w:val="18"/>
        </w:rPr>
        <w:t xml:space="preserve">surplus of the appropriate class, except to the extent it reverses a revaluation decrement for the class previously </w:t>
      </w:r>
      <w:proofErr w:type="spellStart"/>
      <w:r>
        <w:rPr>
          <w:sz w:val="18"/>
        </w:rPr>
        <w:t>recognised</w:t>
      </w:r>
      <w:proofErr w:type="spellEnd"/>
      <w:r>
        <w:rPr>
          <w:sz w:val="18"/>
        </w:rPr>
        <w:t xml:space="preserve"> as an expense.</w:t>
      </w:r>
      <w:r>
        <w:rPr>
          <w:spacing w:val="63"/>
          <w:sz w:val="18"/>
        </w:rPr>
        <w:t xml:space="preserve"> </w:t>
      </w:r>
      <w:r>
        <w:rPr>
          <w:sz w:val="18"/>
        </w:rPr>
        <w:t>A decrease in the carrying amount on revaluation is charged as an expense, to the extent it exceeds the balance, if any, in the revaluation surplus relating to that assets class.</w:t>
      </w:r>
    </w:p>
    <w:p w14:paraId="057D4CE5" w14:textId="77777777" w:rsidR="00AC6F3C" w:rsidRDefault="00AC6F3C">
      <w:pPr>
        <w:pStyle w:val="BodyText"/>
        <w:spacing w:before="10"/>
      </w:pPr>
    </w:p>
    <w:p w14:paraId="32FBA0AB" w14:textId="77777777" w:rsidR="00AC6F3C" w:rsidRDefault="00570E88">
      <w:pPr>
        <w:ind w:left="958" w:right="1029"/>
        <w:jc w:val="both"/>
        <w:rPr>
          <w:sz w:val="18"/>
        </w:rPr>
      </w:pPr>
      <w:r>
        <w:rPr>
          <w:sz w:val="18"/>
        </w:rPr>
        <w:t>For</w:t>
      </w:r>
      <w:r>
        <w:rPr>
          <w:spacing w:val="-2"/>
          <w:sz w:val="18"/>
        </w:rPr>
        <w:t xml:space="preserve"> </w:t>
      </w:r>
      <w:r>
        <w:rPr>
          <w:sz w:val="18"/>
        </w:rPr>
        <w:t>assets</w:t>
      </w:r>
      <w:r>
        <w:rPr>
          <w:spacing w:val="-1"/>
          <w:sz w:val="18"/>
        </w:rPr>
        <w:t xml:space="preserve"> </w:t>
      </w:r>
      <w:r>
        <w:rPr>
          <w:sz w:val="18"/>
        </w:rPr>
        <w:t>revalued</w:t>
      </w:r>
      <w:r>
        <w:rPr>
          <w:spacing w:val="-4"/>
          <w:sz w:val="18"/>
        </w:rPr>
        <w:t xml:space="preserve"> </w:t>
      </w:r>
      <w:r>
        <w:rPr>
          <w:sz w:val="18"/>
        </w:rPr>
        <w:t>using</w:t>
      </w:r>
      <w:r>
        <w:rPr>
          <w:spacing w:val="-4"/>
          <w:sz w:val="18"/>
        </w:rPr>
        <w:t xml:space="preserve"> </w:t>
      </w:r>
      <w:r>
        <w:rPr>
          <w:sz w:val="18"/>
        </w:rPr>
        <w:t>indices,</w:t>
      </w:r>
      <w:r>
        <w:rPr>
          <w:spacing w:val="-4"/>
          <w:sz w:val="18"/>
        </w:rPr>
        <w:t xml:space="preserve"> </w:t>
      </w:r>
      <w:r>
        <w:rPr>
          <w:sz w:val="18"/>
        </w:rPr>
        <w:t>accumulated</w:t>
      </w:r>
      <w:r>
        <w:rPr>
          <w:spacing w:val="-4"/>
          <w:sz w:val="18"/>
        </w:rPr>
        <w:t xml:space="preserve"> </w:t>
      </w:r>
      <w:r>
        <w:rPr>
          <w:sz w:val="18"/>
        </w:rPr>
        <w:t>depreciation</w:t>
      </w:r>
      <w:r>
        <w:rPr>
          <w:spacing w:val="-4"/>
          <w:sz w:val="18"/>
        </w:rPr>
        <w:t xml:space="preserve"> </w:t>
      </w:r>
      <w:r>
        <w:rPr>
          <w:sz w:val="18"/>
        </w:rPr>
        <w:t>is</w:t>
      </w:r>
      <w:r>
        <w:rPr>
          <w:spacing w:val="-1"/>
          <w:sz w:val="18"/>
        </w:rPr>
        <w:t xml:space="preserve"> </w:t>
      </w:r>
      <w:r>
        <w:rPr>
          <w:sz w:val="18"/>
        </w:rPr>
        <w:t>adjusted</w:t>
      </w:r>
      <w:r>
        <w:rPr>
          <w:spacing w:val="-1"/>
          <w:sz w:val="18"/>
        </w:rPr>
        <w:t xml:space="preserve"> </w:t>
      </w:r>
      <w:r>
        <w:rPr>
          <w:sz w:val="18"/>
        </w:rPr>
        <w:t>to</w:t>
      </w:r>
      <w:r>
        <w:rPr>
          <w:spacing w:val="-4"/>
          <w:sz w:val="18"/>
        </w:rPr>
        <w:t xml:space="preserve"> </w:t>
      </w:r>
      <w:r>
        <w:rPr>
          <w:sz w:val="18"/>
        </w:rPr>
        <w:t>equal</w:t>
      </w:r>
      <w:r>
        <w:rPr>
          <w:spacing w:val="-1"/>
          <w:sz w:val="18"/>
        </w:rPr>
        <w:t xml:space="preserve"> </w:t>
      </w:r>
      <w:r>
        <w:rPr>
          <w:sz w:val="18"/>
        </w:rPr>
        <w:t>the</w:t>
      </w:r>
      <w:r>
        <w:rPr>
          <w:spacing w:val="-1"/>
          <w:sz w:val="18"/>
        </w:rPr>
        <w:t xml:space="preserve"> </w:t>
      </w:r>
      <w:r>
        <w:rPr>
          <w:sz w:val="18"/>
        </w:rPr>
        <w:t>difference</w:t>
      </w:r>
      <w:r>
        <w:rPr>
          <w:spacing w:val="-4"/>
          <w:sz w:val="18"/>
        </w:rPr>
        <w:t xml:space="preserve"> </w:t>
      </w:r>
      <w:r>
        <w:rPr>
          <w:sz w:val="18"/>
        </w:rPr>
        <w:t>between the gross</w:t>
      </w:r>
      <w:r>
        <w:rPr>
          <w:spacing w:val="-2"/>
          <w:sz w:val="18"/>
        </w:rPr>
        <w:t xml:space="preserve"> </w:t>
      </w:r>
      <w:r>
        <w:rPr>
          <w:sz w:val="18"/>
        </w:rPr>
        <w:t>amount</w:t>
      </w:r>
      <w:r>
        <w:rPr>
          <w:spacing w:val="-3"/>
          <w:sz w:val="18"/>
        </w:rPr>
        <w:t xml:space="preserve"> </w:t>
      </w:r>
      <w:r>
        <w:rPr>
          <w:sz w:val="18"/>
        </w:rPr>
        <w:t>and</w:t>
      </w:r>
      <w:r>
        <w:rPr>
          <w:spacing w:val="-3"/>
          <w:sz w:val="18"/>
        </w:rPr>
        <w:t xml:space="preserve"> </w:t>
      </w:r>
      <w:r>
        <w:rPr>
          <w:sz w:val="18"/>
        </w:rPr>
        <w:t>carrying</w:t>
      </w:r>
      <w:r>
        <w:rPr>
          <w:spacing w:val="-3"/>
          <w:sz w:val="18"/>
        </w:rPr>
        <w:t xml:space="preserve"> </w:t>
      </w:r>
      <w:r>
        <w:rPr>
          <w:sz w:val="18"/>
        </w:rPr>
        <w:t>amount,</w:t>
      </w:r>
      <w:r>
        <w:rPr>
          <w:spacing w:val="-3"/>
          <w:sz w:val="18"/>
        </w:rPr>
        <w:t xml:space="preserve"> </w:t>
      </w:r>
      <w:r>
        <w:rPr>
          <w:sz w:val="18"/>
        </w:rPr>
        <w:t>after</w:t>
      </w:r>
      <w:r>
        <w:rPr>
          <w:spacing w:val="-3"/>
          <w:sz w:val="18"/>
        </w:rPr>
        <w:t xml:space="preserve"> </w:t>
      </w:r>
      <w:r>
        <w:rPr>
          <w:sz w:val="18"/>
        </w:rPr>
        <w:t>taking</w:t>
      </w:r>
      <w:r>
        <w:rPr>
          <w:spacing w:val="-3"/>
          <w:sz w:val="18"/>
        </w:rPr>
        <w:t xml:space="preserve"> </w:t>
      </w:r>
      <w:r>
        <w:rPr>
          <w:sz w:val="18"/>
        </w:rPr>
        <w:t>into</w:t>
      </w:r>
      <w:r>
        <w:rPr>
          <w:spacing w:val="-3"/>
          <w:sz w:val="18"/>
        </w:rPr>
        <w:t xml:space="preserve"> </w:t>
      </w:r>
      <w:r>
        <w:rPr>
          <w:sz w:val="18"/>
        </w:rPr>
        <w:t>account</w:t>
      </w:r>
      <w:r>
        <w:rPr>
          <w:spacing w:val="-1"/>
          <w:sz w:val="18"/>
        </w:rPr>
        <w:t xml:space="preserve"> </w:t>
      </w:r>
      <w:r>
        <w:rPr>
          <w:sz w:val="18"/>
        </w:rPr>
        <w:t>accumulated impairment</w:t>
      </w:r>
      <w:r>
        <w:rPr>
          <w:spacing w:val="-1"/>
          <w:sz w:val="18"/>
        </w:rPr>
        <w:t xml:space="preserve"> </w:t>
      </w:r>
      <w:r>
        <w:rPr>
          <w:sz w:val="18"/>
        </w:rPr>
        <w:t>losses.</w:t>
      </w:r>
      <w:r>
        <w:rPr>
          <w:spacing w:val="-1"/>
          <w:sz w:val="18"/>
        </w:rPr>
        <w:t xml:space="preserve"> </w:t>
      </w:r>
      <w:r>
        <w:rPr>
          <w:sz w:val="18"/>
        </w:rPr>
        <w:t>This</w:t>
      </w:r>
      <w:r>
        <w:rPr>
          <w:spacing w:val="-2"/>
          <w:sz w:val="18"/>
        </w:rPr>
        <w:t xml:space="preserve"> </w:t>
      </w:r>
      <w:r>
        <w:rPr>
          <w:sz w:val="18"/>
        </w:rPr>
        <w:t>is generally referred to as the “gross method”.</w:t>
      </w:r>
    </w:p>
    <w:p w14:paraId="7A4F91CA" w14:textId="77777777" w:rsidR="00AC6F3C" w:rsidRDefault="00AC6F3C">
      <w:pPr>
        <w:jc w:val="both"/>
        <w:rPr>
          <w:sz w:val="18"/>
        </w:rPr>
        <w:sectPr w:rsidR="00AC6F3C">
          <w:pgSz w:w="11910" w:h="16840"/>
          <w:pgMar w:top="2020" w:right="1160" w:bottom="520" w:left="460" w:header="1228" w:footer="336" w:gutter="0"/>
          <w:cols w:space="720"/>
        </w:sectPr>
      </w:pPr>
    </w:p>
    <w:p w14:paraId="5998F222" w14:textId="77777777" w:rsidR="00AC6F3C" w:rsidRDefault="00AC6F3C">
      <w:pPr>
        <w:pStyle w:val="BodyText"/>
      </w:pPr>
    </w:p>
    <w:p w14:paraId="5B8DF703" w14:textId="77777777" w:rsidR="00AC6F3C" w:rsidRDefault="00AC6F3C">
      <w:pPr>
        <w:pStyle w:val="BodyText"/>
        <w:spacing w:before="7"/>
        <w:rPr>
          <w:sz w:val="21"/>
        </w:rPr>
      </w:pPr>
    </w:p>
    <w:p w14:paraId="704A272C" w14:textId="77777777" w:rsidR="00AC6F3C" w:rsidRDefault="00570E88">
      <w:pPr>
        <w:ind w:left="958"/>
        <w:rPr>
          <w:b/>
          <w:sz w:val="18"/>
        </w:rPr>
      </w:pPr>
      <w:r>
        <w:rPr>
          <w:b/>
          <w:sz w:val="18"/>
        </w:rPr>
        <w:t>Accounting</w:t>
      </w:r>
      <w:r>
        <w:rPr>
          <w:b/>
          <w:spacing w:val="-3"/>
          <w:sz w:val="18"/>
        </w:rPr>
        <w:t xml:space="preserve"> </w:t>
      </w:r>
      <w:r>
        <w:rPr>
          <w:b/>
          <w:sz w:val="18"/>
        </w:rPr>
        <w:t>for</w:t>
      </w:r>
      <w:r>
        <w:rPr>
          <w:b/>
          <w:spacing w:val="-3"/>
          <w:sz w:val="18"/>
        </w:rPr>
        <w:t xml:space="preserve"> </w:t>
      </w:r>
      <w:r>
        <w:rPr>
          <w:b/>
          <w:sz w:val="18"/>
        </w:rPr>
        <w:t>Intangible</w:t>
      </w:r>
      <w:r>
        <w:rPr>
          <w:b/>
          <w:spacing w:val="-1"/>
          <w:sz w:val="18"/>
        </w:rPr>
        <w:t xml:space="preserve"> </w:t>
      </w:r>
      <w:r>
        <w:rPr>
          <w:b/>
          <w:spacing w:val="-2"/>
          <w:sz w:val="18"/>
        </w:rPr>
        <w:t>Assets</w:t>
      </w:r>
    </w:p>
    <w:p w14:paraId="67CDB134" w14:textId="77777777" w:rsidR="00AC6F3C" w:rsidRDefault="00AC6F3C">
      <w:pPr>
        <w:pStyle w:val="BodyText"/>
        <w:spacing w:before="9"/>
        <w:rPr>
          <w:b/>
        </w:rPr>
      </w:pPr>
    </w:p>
    <w:p w14:paraId="5913F939" w14:textId="77777777" w:rsidR="00AC6F3C" w:rsidRDefault="00570E88">
      <w:pPr>
        <w:spacing w:before="1"/>
        <w:ind w:left="958" w:right="632"/>
        <w:rPr>
          <w:sz w:val="18"/>
        </w:rPr>
      </w:pPr>
      <w:r>
        <w:rPr>
          <w:color w:val="231F20"/>
          <w:sz w:val="18"/>
        </w:rPr>
        <w:t>The</w:t>
      </w:r>
      <w:r>
        <w:rPr>
          <w:color w:val="231F20"/>
          <w:spacing w:val="-1"/>
          <w:sz w:val="18"/>
        </w:rPr>
        <w:t xml:space="preserve"> </w:t>
      </w:r>
      <w:r>
        <w:rPr>
          <w:color w:val="231F20"/>
          <w:sz w:val="18"/>
        </w:rPr>
        <w:t>Group</w:t>
      </w:r>
      <w:r>
        <w:rPr>
          <w:color w:val="231F20"/>
          <w:spacing w:val="-4"/>
          <w:sz w:val="18"/>
        </w:rPr>
        <w:t xml:space="preserve"> </w:t>
      </w:r>
      <w:r>
        <w:rPr>
          <w:color w:val="231F20"/>
          <w:sz w:val="18"/>
        </w:rPr>
        <w:t>changed</w:t>
      </w:r>
      <w:r>
        <w:rPr>
          <w:color w:val="231F20"/>
          <w:spacing w:val="-1"/>
          <w:sz w:val="18"/>
        </w:rPr>
        <w:t xml:space="preserve"> </w:t>
      </w:r>
      <w:r>
        <w:rPr>
          <w:color w:val="231F20"/>
          <w:sz w:val="18"/>
        </w:rPr>
        <w:t>its</w:t>
      </w:r>
      <w:r>
        <w:rPr>
          <w:color w:val="231F20"/>
          <w:spacing w:val="-1"/>
          <w:sz w:val="18"/>
        </w:rPr>
        <w:t xml:space="preserve"> </w:t>
      </w:r>
      <w:r>
        <w:rPr>
          <w:color w:val="231F20"/>
          <w:sz w:val="18"/>
        </w:rPr>
        <w:t>accounting</w:t>
      </w:r>
      <w:r>
        <w:rPr>
          <w:color w:val="231F20"/>
          <w:spacing w:val="-4"/>
          <w:sz w:val="18"/>
        </w:rPr>
        <w:t xml:space="preserve"> </w:t>
      </w:r>
      <w:r>
        <w:rPr>
          <w:color w:val="231F20"/>
          <w:sz w:val="18"/>
        </w:rPr>
        <w:t>policies</w:t>
      </w:r>
      <w:r>
        <w:rPr>
          <w:color w:val="231F20"/>
          <w:spacing w:val="-3"/>
          <w:sz w:val="18"/>
        </w:rPr>
        <w:t xml:space="preserve"> </w:t>
      </w:r>
      <w:r>
        <w:rPr>
          <w:color w:val="231F20"/>
          <w:sz w:val="18"/>
        </w:rPr>
        <w:t>in</w:t>
      </w:r>
      <w:r>
        <w:rPr>
          <w:color w:val="231F20"/>
          <w:spacing w:val="-4"/>
          <w:sz w:val="18"/>
        </w:rPr>
        <w:t xml:space="preserve"> </w:t>
      </w:r>
      <w:r>
        <w:rPr>
          <w:color w:val="231F20"/>
          <w:sz w:val="18"/>
        </w:rPr>
        <w:t>2021-22</w:t>
      </w:r>
      <w:r>
        <w:rPr>
          <w:color w:val="231F20"/>
          <w:spacing w:val="-1"/>
          <w:sz w:val="18"/>
        </w:rPr>
        <w:t xml:space="preserve"> </w:t>
      </w:r>
      <w:r>
        <w:rPr>
          <w:color w:val="231F20"/>
          <w:sz w:val="18"/>
        </w:rPr>
        <w:t>after</w:t>
      </w:r>
      <w:r>
        <w:rPr>
          <w:color w:val="231F20"/>
          <w:spacing w:val="-4"/>
          <w:sz w:val="18"/>
        </w:rPr>
        <w:t xml:space="preserve"> </w:t>
      </w:r>
      <w:r>
        <w:rPr>
          <w:color w:val="231F20"/>
          <w:sz w:val="18"/>
        </w:rPr>
        <w:t>completing</w:t>
      </w:r>
      <w:r>
        <w:rPr>
          <w:color w:val="231F20"/>
          <w:spacing w:val="-4"/>
          <w:sz w:val="18"/>
        </w:rPr>
        <w:t xml:space="preserve"> </w:t>
      </w:r>
      <w:r>
        <w:rPr>
          <w:color w:val="231F20"/>
          <w:sz w:val="18"/>
        </w:rPr>
        <w:t>a</w:t>
      </w:r>
      <w:r>
        <w:rPr>
          <w:color w:val="231F20"/>
          <w:spacing w:val="-1"/>
          <w:sz w:val="18"/>
        </w:rPr>
        <w:t xml:space="preserve"> </w:t>
      </w:r>
      <w:r>
        <w:rPr>
          <w:color w:val="231F20"/>
          <w:sz w:val="18"/>
        </w:rPr>
        <w:t>full</w:t>
      </w:r>
      <w:r>
        <w:rPr>
          <w:color w:val="231F20"/>
          <w:spacing w:val="-1"/>
          <w:sz w:val="18"/>
        </w:rPr>
        <w:t xml:space="preserve"> </w:t>
      </w:r>
      <w:r>
        <w:rPr>
          <w:color w:val="231F20"/>
          <w:sz w:val="18"/>
        </w:rPr>
        <w:t>analysis</w:t>
      </w:r>
      <w:r>
        <w:rPr>
          <w:color w:val="231F20"/>
          <w:spacing w:val="-3"/>
          <w:sz w:val="18"/>
        </w:rPr>
        <w:t xml:space="preserve"> </w:t>
      </w:r>
      <w:r>
        <w:rPr>
          <w:color w:val="231F20"/>
          <w:sz w:val="18"/>
        </w:rPr>
        <w:t>of</w:t>
      </w:r>
      <w:r>
        <w:rPr>
          <w:color w:val="231F20"/>
          <w:spacing w:val="-2"/>
          <w:sz w:val="18"/>
        </w:rPr>
        <w:t xml:space="preserve"> </w:t>
      </w:r>
      <w:r>
        <w:rPr>
          <w:color w:val="231F20"/>
          <w:sz w:val="18"/>
        </w:rPr>
        <w:t>the</w:t>
      </w:r>
      <w:r>
        <w:rPr>
          <w:color w:val="231F20"/>
          <w:spacing w:val="-1"/>
          <w:sz w:val="18"/>
        </w:rPr>
        <w:t xml:space="preserve"> </w:t>
      </w:r>
      <w:r>
        <w:rPr>
          <w:color w:val="231F20"/>
          <w:sz w:val="18"/>
        </w:rPr>
        <w:t xml:space="preserve">Group’s previously </w:t>
      </w:r>
      <w:proofErr w:type="spellStart"/>
      <w:r>
        <w:rPr>
          <w:color w:val="231F20"/>
          <w:sz w:val="18"/>
        </w:rPr>
        <w:t>capitalised</w:t>
      </w:r>
      <w:proofErr w:type="spellEnd"/>
      <w:r>
        <w:rPr>
          <w:color w:val="231F20"/>
          <w:sz w:val="18"/>
        </w:rPr>
        <w:t xml:space="preserve"> software in response to the IFRIC agenda decision released in March 2021.</w:t>
      </w:r>
    </w:p>
    <w:p w14:paraId="6E4CD7AC" w14:textId="77777777" w:rsidR="00AC6F3C" w:rsidRDefault="00AC6F3C">
      <w:pPr>
        <w:pStyle w:val="BodyText"/>
        <w:spacing w:before="8"/>
      </w:pPr>
    </w:p>
    <w:p w14:paraId="14FAC4C4" w14:textId="77777777" w:rsidR="00AC6F3C" w:rsidRDefault="00570E88">
      <w:pPr>
        <w:ind w:left="957" w:right="857"/>
        <w:rPr>
          <w:sz w:val="18"/>
        </w:rPr>
      </w:pPr>
      <w:r>
        <w:rPr>
          <w:color w:val="231F20"/>
          <w:sz w:val="18"/>
        </w:rPr>
        <w:t>The Group’s accounting policy now considers where the software code resides, whether it is identifiable and whether the</w:t>
      </w:r>
      <w:r>
        <w:rPr>
          <w:color w:val="231F20"/>
          <w:spacing w:val="-1"/>
          <w:sz w:val="18"/>
        </w:rPr>
        <w:t xml:space="preserve"> </w:t>
      </w:r>
      <w:r>
        <w:rPr>
          <w:color w:val="231F20"/>
          <w:sz w:val="18"/>
        </w:rPr>
        <w:t>group</w:t>
      </w:r>
      <w:r>
        <w:rPr>
          <w:color w:val="231F20"/>
          <w:spacing w:val="-1"/>
          <w:sz w:val="18"/>
        </w:rPr>
        <w:t xml:space="preserve"> </w:t>
      </w:r>
      <w:r>
        <w:rPr>
          <w:color w:val="231F20"/>
          <w:sz w:val="18"/>
        </w:rPr>
        <w:t>has the</w:t>
      </w:r>
      <w:r>
        <w:rPr>
          <w:color w:val="231F20"/>
          <w:spacing w:val="-1"/>
          <w:sz w:val="18"/>
        </w:rPr>
        <w:t xml:space="preserve"> </w:t>
      </w:r>
      <w:r>
        <w:rPr>
          <w:color w:val="231F20"/>
          <w:sz w:val="18"/>
        </w:rPr>
        <w:t>power to</w:t>
      </w:r>
      <w:r>
        <w:rPr>
          <w:color w:val="231F20"/>
          <w:spacing w:val="-1"/>
          <w:sz w:val="18"/>
        </w:rPr>
        <w:t xml:space="preserve"> </w:t>
      </w:r>
      <w:r>
        <w:rPr>
          <w:color w:val="231F20"/>
          <w:sz w:val="18"/>
        </w:rPr>
        <w:t>both obtain</w:t>
      </w:r>
      <w:r>
        <w:rPr>
          <w:color w:val="231F20"/>
          <w:spacing w:val="-1"/>
          <w:sz w:val="18"/>
        </w:rPr>
        <w:t xml:space="preserve"> </w:t>
      </w:r>
      <w:r>
        <w:rPr>
          <w:color w:val="231F20"/>
          <w:sz w:val="18"/>
        </w:rPr>
        <w:t>economic benefits from the</w:t>
      </w:r>
      <w:r>
        <w:rPr>
          <w:color w:val="231F20"/>
          <w:spacing w:val="-1"/>
          <w:sz w:val="18"/>
        </w:rPr>
        <w:t xml:space="preserve"> </w:t>
      </w:r>
      <w:r>
        <w:rPr>
          <w:color w:val="231F20"/>
          <w:sz w:val="18"/>
        </w:rPr>
        <w:t>software and restrict the access of</w:t>
      </w:r>
      <w:r>
        <w:rPr>
          <w:color w:val="231F20"/>
          <w:spacing w:val="-3"/>
          <w:sz w:val="18"/>
        </w:rPr>
        <w:t xml:space="preserve"> </w:t>
      </w:r>
      <w:r>
        <w:rPr>
          <w:color w:val="231F20"/>
          <w:sz w:val="18"/>
        </w:rPr>
        <w:t>others to</w:t>
      </w:r>
      <w:r>
        <w:rPr>
          <w:color w:val="231F20"/>
          <w:spacing w:val="-3"/>
          <w:sz w:val="18"/>
        </w:rPr>
        <w:t xml:space="preserve"> </w:t>
      </w:r>
      <w:r>
        <w:rPr>
          <w:color w:val="231F20"/>
          <w:sz w:val="18"/>
        </w:rPr>
        <w:t>those</w:t>
      </w:r>
      <w:r>
        <w:rPr>
          <w:color w:val="231F20"/>
          <w:spacing w:val="-3"/>
          <w:sz w:val="18"/>
        </w:rPr>
        <w:t xml:space="preserve"> </w:t>
      </w:r>
      <w:r>
        <w:rPr>
          <w:color w:val="231F20"/>
          <w:sz w:val="18"/>
        </w:rPr>
        <w:t>benefits.</w:t>
      </w:r>
      <w:r>
        <w:rPr>
          <w:color w:val="231F20"/>
          <w:spacing w:val="-1"/>
          <w:sz w:val="18"/>
        </w:rPr>
        <w:t xml:space="preserve"> </w:t>
      </w:r>
      <w:r>
        <w:rPr>
          <w:color w:val="231F20"/>
          <w:sz w:val="18"/>
        </w:rPr>
        <w:t>Configuration</w:t>
      </w:r>
      <w:r>
        <w:rPr>
          <w:color w:val="231F20"/>
          <w:spacing w:val="-3"/>
          <w:sz w:val="18"/>
        </w:rPr>
        <w:t xml:space="preserve"> </w:t>
      </w:r>
      <w:r>
        <w:rPr>
          <w:color w:val="231F20"/>
          <w:sz w:val="18"/>
        </w:rPr>
        <w:t>or</w:t>
      </w:r>
      <w:r>
        <w:rPr>
          <w:color w:val="231F20"/>
          <w:spacing w:val="-1"/>
          <w:sz w:val="18"/>
        </w:rPr>
        <w:t xml:space="preserve"> </w:t>
      </w:r>
      <w:proofErr w:type="spellStart"/>
      <w:r>
        <w:rPr>
          <w:color w:val="231F20"/>
          <w:sz w:val="18"/>
        </w:rPr>
        <w:t>customisation</w:t>
      </w:r>
      <w:proofErr w:type="spellEnd"/>
      <w:r>
        <w:rPr>
          <w:color w:val="231F20"/>
          <w:spacing w:val="-3"/>
          <w:sz w:val="18"/>
        </w:rPr>
        <w:t xml:space="preserve"> </w:t>
      </w:r>
      <w:r>
        <w:rPr>
          <w:color w:val="231F20"/>
          <w:sz w:val="18"/>
        </w:rPr>
        <w:t>costs</w:t>
      </w:r>
      <w:r>
        <w:rPr>
          <w:color w:val="231F20"/>
          <w:spacing w:val="-2"/>
          <w:sz w:val="18"/>
        </w:rPr>
        <w:t xml:space="preserve"> </w:t>
      </w:r>
      <w:r>
        <w:rPr>
          <w:color w:val="231F20"/>
          <w:sz w:val="18"/>
        </w:rPr>
        <w:t>that</w:t>
      </w:r>
      <w:r>
        <w:rPr>
          <w:color w:val="231F20"/>
          <w:spacing w:val="-1"/>
          <w:sz w:val="18"/>
        </w:rPr>
        <w:t xml:space="preserve"> </w:t>
      </w:r>
      <w:r>
        <w:rPr>
          <w:color w:val="231F20"/>
          <w:sz w:val="18"/>
        </w:rPr>
        <w:t>do</w:t>
      </w:r>
      <w:r>
        <w:rPr>
          <w:color w:val="231F20"/>
          <w:spacing w:val="-3"/>
          <w:sz w:val="18"/>
        </w:rPr>
        <w:t xml:space="preserve"> </w:t>
      </w:r>
      <w:r>
        <w:rPr>
          <w:color w:val="231F20"/>
          <w:sz w:val="18"/>
        </w:rPr>
        <w:t>not</w:t>
      </w:r>
      <w:r>
        <w:rPr>
          <w:color w:val="231F20"/>
          <w:spacing w:val="-3"/>
          <w:sz w:val="18"/>
        </w:rPr>
        <w:t xml:space="preserve"> </w:t>
      </w:r>
      <w:r>
        <w:rPr>
          <w:color w:val="231F20"/>
          <w:sz w:val="18"/>
        </w:rPr>
        <w:t>qualify</w:t>
      </w:r>
      <w:r>
        <w:rPr>
          <w:color w:val="231F20"/>
          <w:spacing w:val="-2"/>
          <w:sz w:val="18"/>
        </w:rPr>
        <w:t xml:space="preserve"> </w:t>
      </w:r>
      <w:r>
        <w:rPr>
          <w:color w:val="231F20"/>
          <w:sz w:val="18"/>
        </w:rPr>
        <w:t>for</w:t>
      </w:r>
      <w:r>
        <w:rPr>
          <w:color w:val="231F20"/>
          <w:spacing w:val="-1"/>
          <w:sz w:val="18"/>
        </w:rPr>
        <w:t xml:space="preserve"> </w:t>
      </w:r>
      <w:r>
        <w:rPr>
          <w:color w:val="231F20"/>
          <w:sz w:val="18"/>
        </w:rPr>
        <w:t>recognition as</w:t>
      </w:r>
      <w:r>
        <w:rPr>
          <w:color w:val="231F20"/>
          <w:spacing w:val="-1"/>
          <w:sz w:val="18"/>
        </w:rPr>
        <w:t xml:space="preserve"> </w:t>
      </w:r>
      <w:r>
        <w:rPr>
          <w:color w:val="231F20"/>
          <w:sz w:val="18"/>
        </w:rPr>
        <w:t>an</w:t>
      </w:r>
      <w:r>
        <w:rPr>
          <w:color w:val="231F20"/>
          <w:spacing w:val="-1"/>
          <w:sz w:val="18"/>
        </w:rPr>
        <w:t xml:space="preserve"> </w:t>
      </w:r>
      <w:r>
        <w:rPr>
          <w:color w:val="231F20"/>
          <w:sz w:val="18"/>
        </w:rPr>
        <w:t>intangible</w:t>
      </w:r>
      <w:r>
        <w:rPr>
          <w:color w:val="231F20"/>
          <w:spacing w:val="-1"/>
          <w:sz w:val="18"/>
        </w:rPr>
        <w:t xml:space="preserve"> </w:t>
      </w:r>
      <w:r>
        <w:rPr>
          <w:color w:val="231F20"/>
          <w:sz w:val="18"/>
        </w:rPr>
        <w:t>asset</w:t>
      </w:r>
      <w:r>
        <w:rPr>
          <w:color w:val="231F20"/>
          <w:spacing w:val="-4"/>
          <w:sz w:val="18"/>
        </w:rPr>
        <w:t xml:space="preserve"> </w:t>
      </w:r>
      <w:r>
        <w:rPr>
          <w:color w:val="231F20"/>
          <w:sz w:val="18"/>
        </w:rPr>
        <w:t>are</w:t>
      </w:r>
      <w:r>
        <w:rPr>
          <w:color w:val="231F20"/>
          <w:spacing w:val="-4"/>
          <w:sz w:val="18"/>
        </w:rPr>
        <w:t xml:space="preserve"> </w:t>
      </w:r>
      <w:r>
        <w:rPr>
          <w:color w:val="231F20"/>
          <w:sz w:val="18"/>
        </w:rPr>
        <w:t>further</w:t>
      </w:r>
      <w:r>
        <w:rPr>
          <w:color w:val="231F20"/>
          <w:spacing w:val="-2"/>
          <w:sz w:val="18"/>
        </w:rPr>
        <w:t xml:space="preserve"> </w:t>
      </w:r>
      <w:r>
        <w:rPr>
          <w:color w:val="231F20"/>
          <w:sz w:val="18"/>
        </w:rPr>
        <w:t>assessed</w:t>
      </w:r>
      <w:r>
        <w:rPr>
          <w:color w:val="231F20"/>
          <w:spacing w:val="-1"/>
          <w:sz w:val="18"/>
        </w:rPr>
        <w:t xml:space="preserve"> </w:t>
      </w:r>
      <w:r>
        <w:rPr>
          <w:color w:val="231F20"/>
          <w:sz w:val="18"/>
        </w:rPr>
        <w:t>as</w:t>
      </w:r>
      <w:r>
        <w:rPr>
          <w:color w:val="231F20"/>
          <w:spacing w:val="-1"/>
          <w:sz w:val="18"/>
        </w:rPr>
        <w:t xml:space="preserve"> </w:t>
      </w:r>
      <w:r>
        <w:rPr>
          <w:color w:val="231F20"/>
          <w:sz w:val="18"/>
        </w:rPr>
        <w:t>to</w:t>
      </w:r>
      <w:r>
        <w:rPr>
          <w:color w:val="231F20"/>
          <w:spacing w:val="-4"/>
          <w:sz w:val="18"/>
        </w:rPr>
        <w:t xml:space="preserve"> </w:t>
      </w:r>
      <w:r>
        <w:rPr>
          <w:color w:val="231F20"/>
          <w:sz w:val="18"/>
        </w:rPr>
        <w:t>the</w:t>
      </w:r>
      <w:r>
        <w:rPr>
          <w:color w:val="231F20"/>
          <w:spacing w:val="-4"/>
          <w:sz w:val="18"/>
        </w:rPr>
        <w:t xml:space="preserve"> </w:t>
      </w:r>
      <w:r>
        <w:rPr>
          <w:color w:val="231F20"/>
          <w:sz w:val="18"/>
        </w:rPr>
        <w:t>appropriate</w:t>
      </w:r>
      <w:r>
        <w:rPr>
          <w:color w:val="231F20"/>
          <w:spacing w:val="-1"/>
          <w:sz w:val="18"/>
        </w:rPr>
        <w:t xml:space="preserve"> </w:t>
      </w:r>
      <w:r>
        <w:rPr>
          <w:color w:val="231F20"/>
          <w:sz w:val="18"/>
        </w:rPr>
        <w:t>timing</w:t>
      </w:r>
      <w:r>
        <w:rPr>
          <w:color w:val="231F20"/>
          <w:spacing w:val="-4"/>
          <w:sz w:val="18"/>
        </w:rPr>
        <w:t xml:space="preserve"> </w:t>
      </w:r>
      <w:r>
        <w:rPr>
          <w:color w:val="231F20"/>
          <w:sz w:val="18"/>
        </w:rPr>
        <w:t>of</w:t>
      </w:r>
      <w:r>
        <w:rPr>
          <w:color w:val="231F20"/>
          <w:spacing w:val="-2"/>
          <w:sz w:val="18"/>
        </w:rPr>
        <w:t xml:space="preserve"> </w:t>
      </w:r>
      <w:r>
        <w:rPr>
          <w:color w:val="231F20"/>
          <w:sz w:val="18"/>
        </w:rPr>
        <w:t>expense</w:t>
      </w:r>
      <w:r>
        <w:rPr>
          <w:color w:val="231F20"/>
          <w:spacing w:val="-4"/>
          <w:sz w:val="18"/>
        </w:rPr>
        <w:t xml:space="preserve"> </w:t>
      </w:r>
      <w:r>
        <w:rPr>
          <w:color w:val="231F20"/>
          <w:sz w:val="18"/>
        </w:rPr>
        <w:t>recognition,</w:t>
      </w:r>
      <w:r>
        <w:rPr>
          <w:color w:val="231F20"/>
          <w:spacing w:val="-4"/>
          <w:sz w:val="18"/>
        </w:rPr>
        <w:t xml:space="preserve"> </w:t>
      </w:r>
      <w:r>
        <w:rPr>
          <w:color w:val="231F20"/>
          <w:sz w:val="18"/>
        </w:rPr>
        <w:t>using</w:t>
      </w:r>
      <w:r>
        <w:rPr>
          <w:color w:val="231F20"/>
          <w:spacing w:val="-1"/>
          <w:sz w:val="18"/>
        </w:rPr>
        <w:t xml:space="preserve"> </w:t>
      </w:r>
      <w:r>
        <w:rPr>
          <w:color w:val="231F20"/>
          <w:sz w:val="18"/>
        </w:rPr>
        <w:t>the following criteria:</w:t>
      </w:r>
    </w:p>
    <w:p w14:paraId="735B609A" w14:textId="77777777" w:rsidR="00AC6F3C" w:rsidRDefault="00AC6F3C">
      <w:pPr>
        <w:pStyle w:val="BodyText"/>
        <w:spacing w:before="1"/>
        <w:rPr>
          <w:sz w:val="21"/>
        </w:rPr>
      </w:pPr>
    </w:p>
    <w:p w14:paraId="1395E624" w14:textId="77777777" w:rsidR="00AC6F3C" w:rsidRDefault="00570E88">
      <w:pPr>
        <w:pStyle w:val="ListParagraph"/>
        <w:numPr>
          <w:ilvl w:val="0"/>
          <w:numId w:val="32"/>
        </w:numPr>
        <w:tabs>
          <w:tab w:val="left" w:pos="2019"/>
        </w:tabs>
        <w:spacing w:before="0"/>
        <w:ind w:right="908" w:firstLine="0"/>
        <w:rPr>
          <w:sz w:val="18"/>
        </w:rPr>
      </w:pPr>
      <w:r>
        <w:rPr>
          <w:color w:val="231F20"/>
          <w:sz w:val="18"/>
        </w:rPr>
        <w:t>Where</w:t>
      </w:r>
      <w:r>
        <w:rPr>
          <w:color w:val="231F20"/>
          <w:spacing w:val="-1"/>
          <w:sz w:val="18"/>
        </w:rPr>
        <w:t xml:space="preserve"> </w:t>
      </w:r>
      <w:r>
        <w:rPr>
          <w:color w:val="231F20"/>
          <w:sz w:val="18"/>
        </w:rPr>
        <w:t>the</w:t>
      </w:r>
      <w:r>
        <w:rPr>
          <w:color w:val="231F20"/>
          <w:spacing w:val="-4"/>
          <w:sz w:val="18"/>
        </w:rPr>
        <w:t xml:space="preserve"> </w:t>
      </w:r>
      <w:r>
        <w:rPr>
          <w:color w:val="231F20"/>
          <w:sz w:val="18"/>
        </w:rPr>
        <w:t>configuration</w:t>
      </w:r>
      <w:r>
        <w:rPr>
          <w:color w:val="231F20"/>
          <w:spacing w:val="-4"/>
          <w:sz w:val="18"/>
        </w:rPr>
        <w:t xml:space="preserve"> </w:t>
      </w:r>
      <w:r>
        <w:rPr>
          <w:color w:val="231F20"/>
          <w:sz w:val="18"/>
        </w:rPr>
        <w:t>or</w:t>
      </w:r>
      <w:r>
        <w:rPr>
          <w:color w:val="231F20"/>
          <w:spacing w:val="-4"/>
          <w:sz w:val="18"/>
        </w:rPr>
        <w:t xml:space="preserve"> </w:t>
      </w:r>
      <w:proofErr w:type="spellStart"/>
      <w:r>
        <w:rPr>
          <w:color w:val="231F20"/>
          <w:sz w:val="18"/>
        </w:rPr>
        <w:t>customisation</w:t>
      </w:r>
      <w:proofErr w:type="spellEnd"/>
      <w:r>
        <w:rPr>
          <w:color w:val="231F20"/>
          <w:spacing w:val="-4"/>
          <w:sz w:val="18"/>
        </w:rPr>
        <w:t xml:space="preserve"> </w:t>
      </w:r>
      <w:r>
        <w:rPr>
          <w:color w:val="231F20"/>
          <w:sz w:val="18"/>
        </w:rPr>
        <w:t>is</w:t>
      </w:r>
      <w:r>
        <w:rPr>
          <w:color w:val="231F20"/>
          <w:spacing w:val="-3"/>
          <w:sz w:val="18"/>
        </w:rPr>
        <w:t xml:space="preserve"> </w:t>
      </w:r>
      <w:r>
        <w:rPr>
          <w:color w:val="231F20"/>
          <w:sz w:val="18"/>
        </w:rPr>
        <w:t>considered</w:t>
      </w:r>
      <w:r>
        <w:rPr>
          <w:color w:val="231F20"/>
          <w:spacing w:val="-1"/>
          <w:sz w:val="18"/>
        </w:rPr>
        <w:t xml:space="preserve"> </w:t>
      </w:r>
      <w:r>
        <w:rPr>
          <w:color w:val="231F20"/>
          <w:sz w:val="18"/>
        </w:rPr>
        <w:t>a</w:t>
      </w:r>
      <w:r>
        <w:rPr>
          <w:color w:val="231F20"/>
          <w:spacing w:val="-4"/>
          <w:sz w:val="18"/>
        </w:rPr>
        <w:t xml:space="preserve"> </w:t>
      </w:r>
      <w:r>
        <w:rPr>
          <w:color w:val="231F20"/>
          <w:sz w:val="18"/>
        </w:rPr>
        <w:t>distinct</w:t>
      </w:r>
      <w:r>
        <w:rPr>
          <w:color w:val="231F20"/>
          <w:spacing w:val="-2"/>
          <w:sz w:val="18"/>
        </w:rPr>
        <w:t xml:space="preserve"> </w:t>
      </w:r>
      <w:r>
        <w:rPr>
          <w:color w:val="231F20"/>
          <w:sz w:val="18"/>
        </w:rPr>
        <w:t>(i.e.</w:t>
      </w:r>
      <w:r>
        <w:rPr>
          <w:color w:val="231F20"/>
          <w:spacing w:val="-2"/>
          <w:sz w:val="18"/>
        </w:rPr>
        <w:t xml:space="preserve"> </w:t>
      </w:r>
      <w:r>
        <w:rPr>
          <w:color w:val="231F20"/>
          <w:sz w:val="18"/>
        </w:rPr>
        <w:t>separately</w:t>
      </w:r>
      <w:r>
        <w:rPr>
          <w:color w:val="231F20"/>
          <w:spacing w:val="-1"/>
          <w:sz w:val="18"/>
        </w:rPr>
        <w:t xml:space="preserve"> </w:t>
      </w:r>
      <w:r>
        <w:rPr>
          <w:color w:val="231F20"/>
          <w:sz w:val="18"/>
        </w:rPr>
        <w:t>identifiable) service from the subsequent access to the cloud software, the costs are expensed when the configuration</w:t>
      </w:r>
      <w:r>
        <w:rPr>
          <w:color w:val="231F20"/>
          <w:spacing w:val="-2"/>
          <w:sz w:val="18"/>
        </w:rPr>
        <w:t xml:space="preserve"> </w:t>
      </w:r>
      <w:r>
        <w:rPr>
          <w:color w:val="231F20"/>
          <w:sz w:val="18"/>
        </w:rPr>
        <w:t>or</w:t>
      </w:r>
      <w:r>
        <w:rPr>
          <w:color w:val="231F20"/>
          <w:spacing w:val="-5"/>
          <w:sz w:val="18"/>
        </w:rPr>
        <w:t xml:space="preserve"> </w:t>
      </w:r>
      <w:proofErr w:type="spellStart"/>
      <w:r>
        <w:rPr>
          <w:color w:val="231F20"/>
          <w:sz w:val="18"/>
        </w:rPr>
        <w:t>customisation</w:t>
      </w:r>
      <w:proofErr w:type="spellEnd"/>
      <w:r>
        <w:rPr>
          <w:color w:val="231F20"/>
          <w:spacing w:val="-5"/>
          <w:sz w:val="18"/>
        </w:rPr>
        <w:t xml:space="preserve"> </w:t>
      </w:r>
      <w:r>
        <w:rPr>
          <w:color w:val="231F20"/>
          <w:sz w:val="18"/>
        </w:rPr>
        <w:t>services</w:t>
      </w:r>
      <w:r>
        <w:rPr>
          <w:color w:val="231F20"/>
          <w:spacing w:val="-2"/>
          <w:sz w:val="18"/>
        </w:rPr>
        <w:t xml:space="preserve"> </w:t>
      </w:r>
      <w:r>
        <w:rPr>
          <w:color w:val="231F20"/>
          <w:sz w:val="18"/>
        </w:rPr>
        <w:t>are</w:t>
      </w:r>
      <w:r>
        <w:rPr>
          <w:color w:val="231F20"/>
          <w:spacing w:val="-3"/>
          <w:sz w:val="18"/>
        </w:rPr>
        <w:t xml:space="preserve"> </w:t>
      </w:r>
      <w:r>
        <w:rPr>
          <w:color w:val="231F20"/>
          <w:sz w:val="18"/>
        </w:rPr>
        <w:t>received.</w:t>
      </w:r>
      <w:r>
        <w:rPr>
          <w:color w:val="231F20"/>
          <w:spacing w:val="-5"/>
          <w:sz w:val="18"/>
        </w:rPr>
        <w:t xml:space="preserve"> </w:t>
      </w:r>
      <w:r>
        <w:rPr>
          <w:color w:val="231F20"/>
          <w:sz w:val="18"/>
        </w:rPr>
        <w:t>This</w:t>
      </w:r>
      <w:r>
        <w:rPr>
          <w:color w:val="231F20"/>
          <w:spacing w:val="-2"/>
          <w:sz w:val="18"/>
        </w:rPr>
        <w:t xml:space="preserve"> </w:t>
      </w:r>
      <w:r>
        <w:rPr>
          <w:color w:val="231F20"/>
          <w:sz w:val="18"/>
        </w:rPr>
        <w:t>is</w:t>
      </w:r>
      <w:r>
        <w:rPr>
          <w:color w:val="231F20"/>
          <w:spacing w:val="-2"/>
          <w:sz w:val="18"/>
        </w:rPr>
        <w:t xml:space="preserve"> </w:t>
      </w:r>
      <w:r>
        <w:rPr>
          <w:color w:val="231F20"/>
          <w:sz w:val="18"/>
        </w:rPr>
        <w:t>typically</w:t>
      </w:r>
      <w:r>
        <w:rPr>
          <w:color w:val="231F20"/>
          <w:spacing w:val="-2"/>
          <w:sz w:val="18"/>
        </w:rPr>
        <w:t xml:space="preserve"> </w:t>
      </w:r>
      <w:r>
        <w:rPr>
          <w:color w:val="231F20"/>
          <w:sz w:val="18"/>
        </w:rPr>
        <w:t>the</w:t>
      </w:r>
      <w:r>
        <w:rPr>
          <w:color w:val="231F20"/>
          <w:spacing w:val="-5"/>
          <w:sz w:val="18"/>
        </w:rPr>
        <w:t xml:space="preserve"> </w:t>
      </w:r>
      <w:r>
        <w:rPr>
          <w:color w:val="231F20"/>
          <w:sz w:val="18"/>
        </w:rPr>
        <w:t>case</w:t>
      </w:r>
      <w:r>
        <w:rPr>
          <w:color w:val="231F20"/>
          <w:spacing w:val="-2"/>
          <w:sz w:val="18"/>
        </w:rPr>
        <w:t xml:space="preserve"> </w:t>
      </w:r>
      <w:r>
        <w:rPr>
          <w:color w:val="231F20"/>
          <w:sz w:val="18"/>
        </w:rPr>
        <w:t>when</w:t>
      </w:r>
      <w:r>
        <w:rPr>
          <w:color w:val="231F20"/>
          <w:spacing w:val="-2"/>
          <w:sz w:val="18"/>
        </w:rPr>
        <w:t xml:space="preserve"> </w:t>
      </w:r>
      <w:r>
        <w:rPr>
          <w:color w:val="231F20"/>
          <w:sz w:val="18"/>
        </w:rPr>
        <w:t>the</w:t>
      </w:r>
      <w:r>
        <w:rPr>
          <w:color w:val="231F20"/>
          <w:spacing w:val="-5"/>
          <w:sz w:val="18"/>
        </w:rPr>
        <w:t xml:space="preserve"> </w:t>
      </w:r>
      <w:r>
        <w:rPr>
          <w:color w:val="231F20"/>
          <w:sz w:val="18"/>
        </w:rPr>
        <w:t>vendor providing the services is different from the vendor providing access to the software.</w:t>
      </w:r>
    </w:p>
    <w:p w14:paraId="78AA9FA8" w14:textId="77777777" w:rsidR="00AC6F3C" w:rsidRDefault="00AC6F3C">
      <w:pPr>
        <w:pStyle w:val="BodyText"/>
        <w:spacing w:before="10"/>
      </w:pPr>
    </w:p>
    <w:p w14:paraId="44BBF328" w14:textId="77777777" w:rsidR="00AC6F3C" w:rsidRDefault="00570E88">
      <w:pPr>
        <w:pStyle w:val="ListParagraph"/>
        <w:numPr>
          <w:ilvl w:val="0"/>
          <w:numId w:val="32"/>
        </w:numPr>
        <w:tabs>
          <w:tab w:val="left" w:pos="2019"/>
        </w:tabs>
        <w:spacing w:before="0"/>
        <w:ind w:right="938" w:firstLine="0"/>
        <w:rPr>
          <w:sz w:val="18"/>
        </w:rPr>
      </w:pPr>
      <w:r>
        <w:rPr>
          <w:color w:val="231F20"/>
          <w:sz w:val="18"/>
        </w:rPr>
        <w:t xml:space="preserve">Where the configuration or </w:t>
      </w:r>
      <w:proofErr w:type="spellStart"/>
      <w:r>
        <w:rPr>
          <w:color w:val="231F20"/>
          <w:sz w:val="18"/>
        </w:rPr>
        <w:t>customisation</w:t>
      </w:r>
      <w:proofErr w:type="spellEnd"/>
      <w:r>
        <w:rPr>
          <w:color w:val="231F20"/>
          <w:sz w:val="18"/>
        </w:rPr>
        <w:t xml:space="preserve"> is not a distinct service from the group’s right to access the</w:t>
      </w:r>
      <w:r>
        <w:rPr>
          <w:color w:val="231F20"/>
          <w:spacing w:val="-3"/>
          <w:sz w:val="18"/>
        </w:rPr>
        <w:t xml:space="preserve"> </w:t>
      </w:r>
      <w:r>
        <w:rPr>
          <w:color w:val="231F20"/>
          <w:sz w:val="18"/>
        </w:rPr>
        <w:t>software,</w:t>
      </w:r>
      <w:r>
        <w:rPr>
          <w:color w:val="231F20"/>
          <w:spacing w:val="-3"/>
          <w:sz w:val="18"/>
        </w:rPr>
        <w:t xml:space="preserve"> </w:t>
      </w:r>
      <w:r>
        <w:rPr>
          <w:color w:val="231F20"/>
          <w:sz w:val="18"/>
        </w:rPr>
        <w:t>the</w:t>
      </w:r>
      <w:r>
        <w:rPr>
          <w:color w:val="231F20"/>
          <w:spacing w:val="-3"/>
          <w:sz w:val="18"/>
        </w:rPr>
        <w:t xml:space="preserve"> </w:t>
      </w:r>
      <w:r>
        <w:rPr>
          <w:color w:val="231F20"/>
          <w:sz w:val="18"/>
        </w:rPr>
        <w:t>costs</w:t>
      </w:r>
      <w:r>
        <w:rPr>
          <w:color w:val="231F20"/>
          <w:spacing w:val="-2"/>
          <w:sz w:val="18"/>
        </w:rPr>
        <w:t xml:space="preserve"> </w:t>
      </w:r>
      <w:r>
        <w:rPr>
          <w:color w:val="231F20"/>
          <w:sz w:val="18"/>
        </w:rPr>
        <w:t>are expensed over</w:t>
      </w:r>
      <w:r>
        <w:rPr>
          <w:color w:val="231F20"/>
          <w:spacing w:val="-1"/>
          <w:sz w:val="18"/>
        </w:rPr>
        <w:t xml:space="preserve"> </w:t>
      </w:r>
      <w:r>
        <w:rPr>
          <w:color w:val="231F20"/>
          <w:sz w:val="18"/>
        </w:rPr>
        <w:t>the period</w:t>
      </w:r>
      <w:r>
        <w:rPr>
          <w:color w:val="231F20"/>
          <w:spacing w:val="-5"/>
          <w:sz w:val="18"/>
        </w:rPr>
        <w:t xml:space="preserve"> </w:t>
      </w:r>
      <w:r>
        <w:rPr>
          <w:color w:val="231F20"/>
          <w:sz w:val="18"/>
        </w:rPr>
        <w:t>of</w:t>
      </w:r>
      <w:r>
        <w:rPr>
          <w:color w:val="231F20"/>
          <w:spacing w:val="-1"/>
          <w:sz w:val="18"/>
        </w:rPr>
        <w:t xml:space="preserve"> </w:t>
      </w:r>
      <w:r>
        <w:rPr>
          <w:color w:val="231F20"/>
          <w:sz w:val="18"/>
        </w:rPr>
        <w:t>access</w:t>
      </w:r>
      <w:r>
        <w:rPr>
          <w:color w:val="231F20"/>
          <w:spacing w:val="-2"/>
          <w:sz w:val="18"/>
        </w:rPr>
        <w:t xml:space="preserve"> </w:t>
      </w:r>
      <w:r>
        <w:rPr>
          <w:color w:val="231F20"/>
          <w:sz w:val="18"/>
        </w:rPr>
        <w:t>on a</w:t>
      </w:r>
      <w:r>
        <w:rPr>
          <w:color w:val="231F20"/>
          <w:spacing w:val="-3"/>
          <w:sz w:val="18"/>
        </w:rPr>
        <w:t xml:space="preserve"> </w:t>
      </w:r>
      <w:r>
        <w:rPr>
          <w:color w:val="231F20"/>
          <w:sz w:val="18"/>
        </w:rPr>
        <w:t>straight-line basis. A</w:t>
      </w:r>
      <w:r>
        <w:rPr>
          <w:color w:val="231F20"/>
          <w:spacing w:val="-2"/>
          <w:sz w:val="18"/>
        </w:rPr>
        <w:t xml:space="preserve"> </w:t>
      </w:r>
      <w:r>
        <w:rPr>
          <w:color w:val="231F20"/>
          <w:sz w:val="18"/>
        </w:rPr>
        <w:t>prepayment</w:t>
      </w:r>
      <w:r>
        <w:rPr>
          <w:color w:val="231F20"/>
          <w:spacing w:val="-2"/>
          <w:sz w:val="18"/>
        </w:rPr>
        <w:t xml:space="preserve"> </w:t>
      </w:r>
      <w:r>
        <w:rPr>
          <w:color w:val="231F20"/>
          <w:sz w:val="18"/>
        </w:rPr>
        <w:t>asset</w:t>
      </w:r>
      <w:r>
        <w:rPr>
          <w:color w:val="231F20"/>
          <w:spacing w:val="-2"/>
          <w:sz w:val="18"/>
        </w:rPr>
        <w:t xml:space="preserve"> </w:t>
      </w:r>
      <w:r>
        <w:rPr>
          <w:color w:val="231F20"/>
          <w:sz w:val="18"/>
        </w:rPr>
        <w:t>is</w:t>
      </w:r>
      <w:r>
        <w:rPr>
          <w:color w:val="231F20"/>
          <w:spacing w:val="-1"/>
          <w:sz w:val="18"/>
        </w:rPr>
        <w:t xml:space="preserve"> </w:t>
      </w:r>
      <w:proofErr w:type="spellStart"/>
      <w:r>
        <w:rPr>
          <w:color w:val="231F20"/>
          <w:sz w:val="18"/>
        </w:rPr>
        <w:t>recognised</w:t>
      </w:r>
      <w:proofErr w:type="spellEnd"/>
      <w:r>
        <w:rPr>
          <w:color w:val="231F20"/>
          <w:spacing w:val="-1"/>
          <w:sz w:val="18"/>
        </w:rPr>
        <w:t xml:space="preserve"> </w:t>
      </w:r>
      <w:r>
        <w:rPr>
          <w:color w:val="231F20"/>
          <w:sz w:val="18"/>
        </w:rPr>
        <w:t>when</w:t>
      </w:r>
      <w:r>
        <w:rPr>
          <w:color w:val="231F20"/>
          <w:spacing w:val="-1"/>
          <w:sz w:val="18"/>
        </w:rPr>
        <w:t xml:space="preserve"> </w:t>
      </w:r>
      <w:r>
        <w:rPr>
          <w:color w:val="231F20"/>
          <w:sz w:val="18"/>
        </w:rPr>
        <w:t>the</w:t>
      </w:r>
      <w:r>
        <w:rPr>
          <w:color w:val="231F20"/>
          <w:spacing w:val="-2"/>
          <w:sz w:val="18"/>
        </w:rPr>
        <w:t xml:space="preserve"> </w:t>
      </w:r>
      <w:r>
        <w:rPr>
          <w:color w:val="231F20"/>
          <w:sz w:val="18"/>
        </w:rPr>
        <w:t>payment</w:t>
      </w:r>
      <w:r>
        <w:rPr>
          <w:color w:val="231F20"/>
          <w:spacing w:val="-4"/>
          <w:sz w:val="18"/>
        </w:rPr>
        <w:t xml:space="preserve"> </w:t>
      </w:r>
      <w:r>
        <w:rPr>
          <w:color w:val="231F20"/>
          <w:sz w:val="18"/>
        </w:rPr>
        <w:t>is</w:t>
      </w:r>
      <w:r>
        <w:rPr>
          <w:color w:val="231F20"/>
          <w:spacing w:val="-3"/>
          <w:sz w:val="18"/>
        </w:rPr>
        <w:t xml:space="preserve"> </w:t>
      </w:r>
      <w:r>
        <w:rPr>
          <w:color w:val="231F20"/>
          <w:sz w:val="18"/>
        </w:rPr>
        <w:t>made</w:t>
      </w:r>
      <w:r>
        <w:rPr>
          <w:color w:val="231F20"/>
          <w:spacing w:val="-1"/>
          <w:sz w:val="18"/>
        </w:rPr>
        <w:t xml:space="preserve"> </w:t>
      </w:r>
      <w:r>
        <w:rPr>
          <w:color w:val="231F20"/>
          <w:sz w:val="18"/>
        </w:rPr>
        <w:t>up</w:t>
      </w:r>
      <w:r>
        <w:rPr>
          <w:color w:val="231F20"/>
          <w:spacing w:val="-1"/>
          <w:sz w:val="18"/>
        </w:rPr>
        <w:t xml:space="preserve"> </w:t>
      </w:r>
      <w:r>
        <w:rPr>
          <w:color w:val="231F20"/>
          <w:sz w:val="18"/>
        </w:rPr>
        <w:t>front.</w:t>
      </w:r>
      <w:r>
        <w:rPr>
          <w:color w:val="231F20"/>
          <w:spacing w:val="-4"/>
          <w:sz w:val="18"/>
        </w:rPr>
        <w:t xml:space="preserve"> </w:t>
      </w:r>
      <w:r>
        <w:rPr>
          <w:color w:val="231F20"/>
          <w:sz w:val="18"/>
        </w:rPr>
        <w:t>This</w:t>
      </w:r>
      <w:r>
        <w:rPr>
          <w:color w:val="231F20"/>
          <w:spacing w:val="-1"/>
          <w:sz w:val="18"/>
        </w:rPr>
        <w:t xml:space="preserve"> </w:t>
      </w:r>
      <w:r>
        <w:rPr>
          <w:color w:val="231F20"/>
          <w:sz w:val="18"/>
        </w:rPr>
        <w:t>is</w:t>
      </w:r>
      <w:r>
        <w:rPr>
          <w:color w:val="231F20"/>
          <w:spacing w:val="-1"/>
          <w:sz w:val="18"/>
        </w:rPr>
        <w:t xml:space="preserve"> </w:t>
      </w:r>
      <w:r>
        <w:rPr>
          <w:color w:val="231F20"/>
          <w:sz w:val="18"/>
        </w:rPr>
        <w:t>usually</w:t>
      </w:r>
      <w:r>
        <w:rPr>
          <w:color w:val="231F20"/>
          <w:spacing w:val="-3"/>
          <w:sz w:val="18"/>
        </w:rPr>
        <w:t xml:space="preserve"> </w:t>
      </w:r>
      <w:r>
        <w:rPr>
          <w:color w:val="231F20"/>
          <w:sz w:val="18"/>
        </w:rPr>
        <w:t>the</w:t>
      </w:r>
      <w:r>
        <w:rPr>
          <w:color w:val="231F20"/>
          <w:spacing w:val="-4"/>
          <w:sz w:val="18"/>
        </w:rPr>
        <w:t xml:space="preserve"> </w:t>
      </w:r>
      <w:r>
        <w:rPr>
          <w:color w:val="231F20"/>
          <w:sz w:val="18"/>
        </w:rPr>
        <w:t xml:space="preserve">case when the same vendor is providing both the configuration or </w:t>
      </w:r>
      <w:proofErr w:type="spellStart"/>
      <w:r>
        <w:rPr>
          <w:color w:val="231F20"/>
          <w:sz w:val="18"/>
        </w:rPr>
        <w:t>customisation</w:t>
      </w:r>
      <w:proofErr w:type="spellEnd"/>
      <w:r>
        <w:rPr>
          <w:color w:val="231F20"/>
          <w:sz w:val="18"/>
        </w:rPr>
        <w:t xml:space="preserve"> services and the access to the cloud software.</w:t>
      </w:r>
    </w:p>
    <w:p w14:paraId="796C1A92" w14:textId="77777777" w:rsidR="00AC6F3C" w:rsidRDefault="00AC6F3C">
      <w:pPr>
        <w:pStyle w:val="BodyText"/>
        <w:spacing w:before="9"/>
      </w:pPr>
    </w:p>
    <w:p w14:paraId="43445976" w14:textId="77777777" w:rsidR="00AC6F3C" w:rsidRDefault="00570E88">
      <w:pPr>
        <w:ind w:left="957" w:right="990"/>
        <w:rPr>
          <w:sz w:val="18"/>
        </w:rPr>
      </w:pPr>
      <w:r>
        <w:rPr>
          <w:color w:val="231F20"/>
          <w:sz w:val="18"/>
        </w:rPr>
        <w:t>The</w:t>
      </w:r>
      <w:r>
        <w:rPr>
          <w:color w:val="231F20"/>
          <w:spacing w:val="-2"/>
          <w:sz w:val="18"/>
        </w:rPr>
        <w:t xml:space="preserve"> </w:t>
      </w:r>
      <w:r>
        <w:rPr>
          <w:color w:val="231F20"/>
          <w:sz w:val="18"/>
        </w:rPr>
        <w:t>Group’s</w:t>
      </w:r>
      <w:r>
        <w:rPr>
          <w:color w:val="231F20"/>
          <w:spacing w:val="-2"/>
          <w:sz w:val="18"/>
        </w:rPr>
        <w:t xml:space="preserve"> </w:t>
      </w:r>
      <w:r>
        <w:rPr>
          <w:color w:val="231F20"/>
          <w:sz w:val="18"/>
        </w:rPr>
        <w:t>CRM</w:t>
      </w:r>
      <w:r>
        <w:rPr>
          <w:color w:val="231F20"/>
          <w:spacing w:val="-2"/>
          <w:sz w:val="18"/>
        </w:rPr>
        <w:t xml:space="preserve"> </w:t>
      </w:r>
      <w:r>
        <w:rPr>
          <w:color w:val="231F20"/>
          <w:sz w:val="18"/>
        </w:rPr>
        <w:t>system</w:t>
      </w:r>
      <w:r>
        <w:rPr>
          <w:color w:val="231F20"/>
          <w:spacing w:val="-3"/>
          <w:sz w:val="18"/>
        </w:rPr>
        <w:t xml:space="preserve"> </w:t>
      </w:r>
      <w:r>
        <w:rPr>
          <w:color w:val="231F20"/>
          <w:sz w:val="18"/>
        </w:rPr>
        <w:t>Microsoft</w:t>
      </w:r>
      <w:r>
        <w:rPr>
          <w:color w:val="231F20"/>
          <w:spacing w:val="-4"/>
          <w:sz w:val="18"/>
        </w:rPr>
        <w:t xml:space="preserve"> </w:t>
      </w:r>
      <w:r>
        <w:rPr>
          <w:color w:val="231F20"/>
          <w:sz w:val="18"/>
        </w:rPr>
        <w:t>Dynamics</w:t>
      </w:r>
      <w:r>
        <w:rPr>
          <w:color w:val="231F20"/>
          <w:spacing w:val="-3"/>
          <w:sz w:val="18"/>
        </w:rPr>
        <w:t xml:space="preserve"> </w:t>
      </w:r>
      <w:r>
        <w:rPr>
          <w:color w:val="231F20"/>
          <w:sz w:val="18"/>
        </w:rPr>
        <w:t>qualifies</w:t>
      </w:r>
      <w:r>
        <w:rPr>
          <w:color w:val="231F20"/>
          <w:spacing w:val="-3"/>
          <w:sz w:val="18"/>
        </w:rPr>
        <w:t xml:space="preserve"> </w:t>
      </w:r>
      <w:r>
        <w:rPr>
          <w:color w:val="231F20"/>
          <w:sz w:val="18"/>
        </w:rPr>
        <w:t>as</w:t>
      </w:r>
      <w:r>
        <w:rPr>
          <w:color w:val="231F20"/>
          <w:spacing w:val="-3"/>
          <w:sz w:val="18"/>
        </w:rPr>
        <w:t xml:space="preserve"> </w:t>
      </w:r>
      <w:r>
        <w:rPr>
          <w:color w:val="231F20"/>
          <w:sz w:val="18"/>
        </w:rPr>
        <w:t>an</w:t>
      </w:r>
      <w:r>
        <w:rPr>
          <w:color w:val="231F20"/>
          <w:spacing w:val="-2"/>
          <w:sz w:val="18"/>
        </w:rPr>
        <w:t xml:space="preserve"> </w:t>
      </w:r>
      <w:r>
        <w:rPr>
          <w:color w:val="231F20"/>
          <w:sz w:val="18"/>
        </w:rPr>
        <w:t>intangible</w:t>
      </w:r>
      <w:r>
        <w:rPr>
          <w:color w:val="231F20"/>
          <w:spacing w:val="-4"/>
          <w:sz w:val="18"/>
        </w:rPr>
        <w:t xml:space="preserve"> </w:t>
      </w:r>
      <w:r>
        <w:rPr>
          <w:color w:val="231F20"/>
          <w:sz w:val="18"/>
        </w:rPr>
        <w:t>asset</w:t>
      </w:r>
      <w:r>
        <w:rPr>
          <w:color w:val="231F20"/>
          <w:spacing w:val="-4"/>
          <w:sz w:val="18"/>
        </w:rPr>
        <w:t xml:space="preserve"> </w:t>
      </w:r>
      <w:r>
        <w:rPr>
          <w:color w:val="231F20"/>
          <w:sz w:val="18"/>
        </w:rPr>
        <w:t>in</w:t>
      </w:r>
      <w:r>
        <w:rPr>
          <w:color w:val="231F20"/>
          <w:spacing w:val="-2"/>
          <w:sz w:val="18"/>
        </w:rPr>
        <w:t xml:space="preserve"> </w:t>
      </w:r>
      <w:r>
        <w:rPr>
          <w:color w:val="231F20"/>
          <w:sz w:val="18"/>
        </w:rPr>
        <w:t>accordance</w:t>
      </w:r>
      <w:r>
        <w:rPr>
          <w:color w:val="231F20"/>
          <w:spacing w:val="-2"/>
          <w:sz w:val="18"/>
        </w:rPr>
        <w:t xml:space="preserve"> </w:t>
      </w:r>
      <w:r>
        <w:rPr>
          <w:color w:val="231F20"/>
          <w:sz w:val="18"/>
        </w:rPr>
        <w:t>with</w:t>
      </w:r>
      <w:r>
        <w:rPr>
          <w:color w:val="231F20"/>
          <w:spacing w:val="-2"/>
          <w:sz w:val="18"/>
        </w:rPr>
        <w:t xml:space="preserve"> </w:t>
      </w:r>
      <w:r>
        <w:rPr>
          <w:color w:val="231F20"/>
          <w:sz w:val="18"/>
        </w:rPr>
        <w:t xml:space="preserve">the IFRIC agenda decision and accordingly amounts have been </w:t>
      </w:r>
      <w:proofErr w:type="spellStart"/>
      <w:r>
        <w:rPr>
          <w:color w:val="231F20"/>
          <w:sz w:val="18"/>
        </w:rPr>
        <w:t>capitalised</w:t>
      </w:r>
      <w:proofErr w:type="spellEnd"/>
      <w:r>
        <w:rPr>
          <w:color w:val="231F20"/>
          <w:sz w:val="18"/>
        </w:rPr>
        <w:t xml:space="preserve"> since 2021-22.</w:t>
      </w:r>
    </w:p>
    <w:p w14:paraId="3028D89D" w14:textId="77777777" w:rsidR="00AC6F3C" w:rsidRDefault="00AC6F3C">
      <w:pPr>
        <w:rPr>
          <w:sz w:val="18"/>
        </w:rPr>
        <w:sectPr w:rsidR="00AC6F3C">
          <w:pgSz w:w="11910" w:h="16840"/>
          <w:pgMar w:top="2020" w:right="1160" w:bottom="520" w:left="460" w:header="1228" w:footer="336" w:gutter="0"/>
          <w:cols w:space="720"/>
        </w:sectPr>
      </w:pPr>
    </w:p>
    <w:p w14:paraId="2A0AC339" w14:textId="77777777" w:rsidR="00AC6F3C" w:rsidRDefault="00AC6F3C">
      <w:pPr>
        <w:pStyle w:val="BodyText"/>
      </w:pPr>
    </w:p>
    <w:p w14:paraId="79F0206B" w14:textId="77777777" w:rsidR="00AC6F3C" w:rsidRDefault="00570E88">
      <w:pPr>
        <w:tabs>
          <w:tab w:val="left" w:pos="1810"/>
        </w:tabs>
        <w:spacing w:before="249"/>
        <w:ind w:left="958"/>
        <w:rPr>
          <w:b/>
          <w:sz w:val="28"/>
        </w:rPr>
      </w:pPr>
      <w:r>
        <w:rPr>
          <w:b/>
          <w:spacing w:val="-5"/>
          <w:sz w:val="28"/>
        </w:rPr>
        <w:t>C6</w:t>
      </w:r>
      <w:r>
        <w:rPr>
          <w:b/>
          <w:sz w:val="28"/>
        </w:rPr>
        <w:tab/>
      </w:r>
      <w:r>
        <w:rPr>
          <w:b/>
          <w:spacing w:val="-2"/>
          <w:sz w:val="28"/>
        </w:rPr>
        <w:t>PAYABLES</w:t>
      </w:r>
    </w:p>
    <w:p w14:paraId="0C18AA5A" w14:textId="77777777" w:rsidR="00AC6F3C" w:rsidRDefault="00570E88">
      <w:pPr>
        <w:spacing w:before="239"/>
        <w:ind w:left="958" w:right="990"/>
        <w:rPr>
          <w:sz w:val="18"/>
        </w:rPr>
      </w:pPr>
      <w:r>
        <w:rPr>
          <w:sz w:val="18"/>
        </w:rPr>
        <w:t xml:space="preserve">Trade creditors are </w:t>
      </w:r>
      <w:proofErr w:type="spellStart"/>
      <w:r>
        <w:rPr>
          <w:sz w:val="18"/>
        </w:rPr>
        <w:t>recognised</w:t>
      </w:r>
      <w:proofErr w:type="spellEnd"/>
      <w:r>
        <w:rPr>
          <w:sz w:val="18"/>
        </w:rPr>
        <w:t xml:space="preserve"> on receipt of the goods or services and are carried at actual amounts, gross</w:t>
      </w:r>
      <w:r>
        <w:rPr>
          <w:spacing w:val="-1"/>
          <w:sz w:val="18"/>
        </w:rPr>
        <w:t xml:space="preserve"> </w:t>
      </w:r>
      <w:r>
        <w:rPr>
          <w:sz w:val="18"/>
        </w:rPr>
        <w:t>of</w:t>
      </w:r>
      <w:r>
        <w:rPr>
          <w:spacing w:val="-4"/>
          <w:sz w:val="18"/>
        </w:rPr>
        <w:t xml:space="preserve"> </w:t>
      </w:r>
      <w:r>
        <w:rPr>
          <w:sz w:val="18"/>
        </w:rPr>
        <w:t>applicable</w:t>
      </w:r>
      <w:r>
        <w:rPr>
          <w:spacing w:val="-1"/>
          <w:sz w:val="18"/>
        </w:rPr>
        <w:t xml:space="preserve"> </w:t>
      </w:r>
      <w:r>
        <w:rPr>
          <w:sz w:val="18"/>
        </w:rPr>
        <w:t>trade</w:t>
      </w:r>
      <w:r>
        <w:rPr>
          <w:spacing w:val="-1"/>
          <w:sz w:val="18"/>
        </w:rPr>
        <w:t xml:space="preserve"> </w:t>
      </w:r>
      <w:r>
        <w:rPr>
          <w:sz w:val="18"/>
        </w:rPr>
        <w:t>and</w:t>
      </w:r>
      <w:r>
        <w:rPr>
          <w:spacing w:val="-4"/>
          <w:sz w:val="18"/>
        </w:rPr>
        <w:t xml:space="preserve"> </w:t>
      </w:r>
      <w:r>
        <w:rPr>
          <w:sz w:val="18"/>
        </w:rPr>
        <w:t>other</w:t>
      </w:r>
      <w:r>
        <w:rPr>
          <w:spacing w:val="-2"/>
          <w:sz w:val="18"/>
        </w:rPr>
        <w:t xml:space="preserve"> </w:t>
      </w:r>
      <w:r>
        <w:rPr>
          <w:sz w:val="18"/>
        </w:rPr>
        <w:t>discounts.</w:t>
      </w:r>
      <w:r>
        <w:rPr>
          <w:spacing w:val="40"/>
          <w:sz w:val="18"/>
        </w:rPr>
        <w:t xml:space="preserve"> </w:t>
      </w:r>
      <w:r>
        <w:rPr>
          <w:sz w:val="18"/>
        </w:rPr>
        <w:t>Amounts</w:t>
      </w:r>
      <w:r>
        <w:rPr>
          <w:spacing w:val="-1"/>
          <w:sz w:val="18"/>
        </w:rPr>
        <w:t xml:space="preserve"> </w:t>
      </w:r>
      <w:r>
        <w:rPr>
          <w:sz w:val="18"/>
        </w:rPr>
        <w:t>are</w:t>
      </w:r>
      <w:r>
        <w:rPr>
          <w:spacing w:val="-4"/>
          <w:sz w:val="18"/>
        </w:rPr>
        <w:t xml:space="preserve"> </w:t>
      </w:r>
      <w:r>
        <w:rPr>
          <w:sz w:val="18"/>
        </w:rPr>
        <w:t>unsecured</w:t>
      </w:r>
      <w:r>
        <w:rPr>
          <w:spacing w:val="-1"/>
          <w:sz w:val="18"/>
        </w:rPr>
        <w:t xml:space="preserve"> </w:t>
      </w:r>
      <w:r>
        <w:rPr>
          <w:sz w:val="18"/>
        </w:rPr>
        <w:t>and</w:t>
      </w:r>
      <w:r>
        <w:rPr>
          <w:spacing w:val="-1"/>
          <w:sz w:val="18"/>
        </w:rPr>
        <w:t xml:space="preserve"> </w:t>
      </w:r>
      <w:r>
        <w:rPr>
          <w:sz w:val="18"/>
        </w:rPr>
        <w:t>are</w:t>
      </w:r>
      <w:r>
        <w:rPr>
          <w:spacing w:val="-4"/>
          <w:sz w:val="18"/>
        </w:rPr>
        <w:t xml:space="preserve"> </w:t>
      </w:r>
      <w:r>
        <w:rPr>
          <w:sz w:val="18"/>
        </w:rPr>
        <w:t>generally</w:t>
      </w:r>
      <w:r>
        <w:rPr>
          <w:spacing w:val="-3"/>
          <w:sz w:val="18"/>
        </w:rPr>
        <w:t xml:space="preserve"> </w:t>
      </w:r>
      <w:r>
        <w:rPr>
          <w:sz w:val="18"/>
        </w:rPr>
        <w:t>settled</w:t>
      </w:r>
      <w:r>
        <w:rPr>
          <w:spacing w:val="-1"/>
          <w:sz w:val="18"/>
        </w:rPr>
        <w:t xml:space="preserve"> </w:t>
      </w:r>
      <w:r>
        <w:rPr>
          <w:sz w:val="18"/>
        </w:rPr>
        <w:t>on</w:t>
      </w:r>
      <w:r>
        <w:rPr>
          <w:spacing w:val="-4"/>
          <w:sz w:val="18"/>
        </w:rPr>
        <w:t xml:space="preserve"> </w:t>
      </w:r>
      <w:r>
        <w:rPr>
          <w:sz w:val="18"/>
        </w:rPr>
        <w:t>30 day terms.</w:t>
      </w:r>
    </w:p>
    <w:p w14:paraId="294BED61" w14:textId="77777777" w:rsidR="00AC6F3C" w:rsidRDefault="00AC6F3C">
      <w:pPr>
        <w:pStyle w:val="BodyText"/>
        <w:spacing w:before="11"/>
      </w:pPr>
    </w:p>
    <w:p w14:paraId="60DE5BEE" w14:textId="77777777" w:rsidR="00AC6F3C" w:rsidRDefault="00570E88">
      <w:pPr>
        <w:ind w:left="958" w:right="857"/>
        <w:rPr>
          <w:sz w:val="18"/>
        </w:rPr>
      </w:pPr>
      <w:r>
        <w:rPr>
          <w:sz w:val="18"/>
        </w:rPr>
        <w:t>Income</w:t>
      </w:r>
      <w:r>
        <w:rPr>
          <w:spacing w:val="-5"/>
          <w:sz w:val="18"/>
        </w:rPr>
        <w:t xml:space="preserve"> </w:t>
      </w:r>
      <w:r>
        <w:rPr>
          <w:sz w:val="18"/>
        </w:rPr>
        <w:t>in</w:t>
      </w:r>
      <w:r>
        <w:rPr>
          <w:spacing w:val="-2"/>
          <w:sz w:val="18"/>
        </w:rPr>
        <w:t xml:space="preserve"> </w:t>
      </w:r>
      <w:r>
        <w:rPr>
          <w:sz w:val="18"/>
        </w:rPr>
        <w:t>advance</w:t>
      </w:r>
      <w:r>
        <w:rPr>
          <w:spacing w:val="-5"/>
          <w:sz w:val="18"/>
        </w:rPr>
        <w:t xml:space="preserve"> </w:t>
      </w:r>
      <w:r>
        <w:rPr>
          <w:sz w:val="18"/>
        </w:rPr>
        <w:t>relates</w:t>
      </w:r>
      <w:r>
        <w:rPr>
          <w:spacing w:val="-4"/>
          <w:sz w:val="18"/>
        </w:rPr>
        <w:t xml:space="preserve"> </w:t>
      </w:r>
      <w:r>
        <w:rPr>
          <w:sz w:val="18"/>
        </w:rPr>
        <w:t>primarily</w:t>
      </w:r>
      <w:r>
        <w:rPr>
          <w:spacing w:val="-2"/>
          <w:sz w:val="18"/>
        </w:rPr>
        <w:t xml:space="preserve"> </w:t>
      </w:r>
      <w:r>
        <w:rPr>
          <w:sz w:val="18"/>
        </w:rPr>
        <w:t>to</w:t>
      </w:r>
      <w:r>
        <w:rPr>
          <w:spacing w:val="-2"/>
          <w:sz w:val="18"/>
        </w:rPr>
        <w:t xml:space="preserve"> </w:t>
      </w:r>
      <w:r>
        <w:rPr>
          <w:sz w:val="18"/>
        </w:rPr>
        <w:t>receipts</w:t>
      </w:r>
      <w:r>
        <w:rPr>
          <w:spacing w:val="-2"/>
          <w:sz w:val="18"/>
        </w:rPr>
        <w:t xml:space="preserve"> </w:t>
      </w:r>
      <w:r>
        <w:rPr>
          <w:sz w:val="18"/>
        </w:rPr>
        <w:t>for</w:t>
      </w:r>
      <w:r>
        <w:rPr>
          <w:spacing w:val="-3"/>
          <w:sz w:val="18"/>
        </w:rPr>
        <w:t xml:space="preserve"> </w:t>
      </w:r>
      <w:r>
        <w:rPr>
          <w:sz w:val="18"/>
        </w:rPr>
        <w:t>insurance,</w:t>
      </w:r>
      <w:r>
        <w:rPr>
          <w:spacing w:val="-3"/>
          <w:sz w:val="18"/>
        </w:rPr>
        <w:t xml:space="preserve"> </w:t>
      </w:r>
      <w:r>
        <w:rPr>
          <w:sz w:val="18"/>
        </w:rPr>
        <w:t>membership</w:t>
      </w:r>
      <w:r>
        <w:rPr>
          <w:spacing w:val="-2"/>
          <w:sz w:val="18"/>
        </w:rPr>
        <w:t xml:space="preserve"> </w:t>
      </w:r>
      <w:r>
        <w:rPr>
          <w:sz w:val="18"/>
        </w:rPr>
        <w:t>fees</w:t>
      </w:r>
      <w:r>
        <w:rPr>
          <w:spacing w:val="-2"/>
          <w:sz w:val="18"/>
        </w:rPr>
        <w:t xml:space="preserve"> </w:t>
      </w:r>
      <w:r>
        <w:rPr>
          <w:sz w:val="18"/>
        </w:rPr>
        <w:t>and</w:t>
      </w:r>
      <w:r>
        <w:rPr>
          <w:spacing w:val="-2"/>
          <w:sz w:val="18"/>
        </w:rPr>
        <w:t xml:space="preserve"> </w:t>
      </w:r>
      <w:proofErr w:type="spellStart"/>
      <w:r>
        <w:rPr>
          <w:sz w:val="18"/>
        </w:rPr>
        <w:t>practising</w:t>
      </w:r>
      <w:proofErr w:type="spellEnd"/>
      <w:r>
        <w:rPr>
          <w:spacing w:val="-2"/>
          <w:sz w:val="18"/>
        </w:rPr>
        <w:t xml:space="preserve"> </w:t>
      </w:r>
      <w:r>
        <w:rPr>
          <w:sz w:val="18"/>
        </w:rPr>
        <w:t>certificates for the upcoming year received during the renewal period prior to 30 June.</w:t>
      </w:r>
    </w:p>
    <w:p w14:paraId="4D79B46B" w14:textId="77777777" w:rsidR="00AC6F3C" w:rsidRDefault="00AC6F3C">
      <w:pPr>
        <w:pStyle w:val="BodyText"/>
        <w:spacing w:before="9" w:after="1"/>
      </w:pPr>
    </w:p>
    <w:tbl>
      <w:tblPr>
        <w:tblW w:w="0" w:type="auto"/>
        <w:tblInd w:w="972" w:type="dxa"/>
        <w:tblLayout w:type="fixed"/>
        <w:tblCellMar>
          <w:left w:w="0" w:type="dxa"/>
          <w:right w:w="0" w:type="dxa"/>
        </w:tblCellMar>
        <w:tblLook w:val="01E0" w:firstRow="1" w:lastRow="1" w:firstColumn="1" w:lastColumn="1" w:noHBand="0" w:noVBand="0"/>
      </w:tblPr>
      <w:tblGrid>
        <w:gridCol w:w="3874"/>
        <w:gridCol w:w="1139"/>
        <w:gridCol w:w="1109"/>
        <w:gridCol w:w="1139"/>
        <w:gridCol w:w="390"/>
        <w:gridCol w:w="727"/>
      </w:tblGrid>
      <w:tr w:rsidR="00AC6F3C" w14:paraId="39B27922" w14:textId="77777777">
        <w:trPr>
          <w:trHeight w:val="883"/>
        </w:trPr>
        <w:tc>
          <w:tcPr>
            <w:tcW w:w="3874" w:type="dxa"/>
            <w:tcBorders>
              <w:top w:val="single" w:sz="6" w:space="0" w:color="000000"/>
              <w:left w:val="single" w:sz="6" w:space="0" w:color="000000"/>
              <w:bottom w:val="single" w:sz="6" w:space="0" w:color="000000"/>
            </w:tcBorders>
            <w:shd w:val="clear" w:color="auto" w:fill="BEBEBE"/>
          </w:tcPr>
          <w:p w14:paraId="510B497B" w14:textId="77777777" w:rsidR="00AC6F3C" w:rsidRDefault="00AC6F3C">
            <w:pPr>
              <w:pStyle w:val="TableParagraph"/>
              <w:rPr>
                <w:rFonts w:ascii="Times New Roman"/>
                <w:sz w:val="18"/>
              </w:rPr>
            </w:pPr>
          </w:p>
        </w:tc>
        <w:tc>
          <w:tcPr>
            <w:tcW w:w="2248" w:type="dxa"/>
            <w:gridSpan w:val="2"/>
            <w:tcBorders>
              <w:top w:val="single" w:sz="6" w:space="0" w:color="000000"/>
              <w:bottom w:val="single" w:sz="6" w:space="0" w:color="000000"/>
            </w:tcBorders>
            <w:shd w:val="clear" w:color="auto" w:fill="BEBEBE"/>
          </w:tcPr>
          <w:p w14:paraId="390EE101" w14:textId="77777777" w:rsidR="00AC6F3C" w:rsidRDefault="00570E88">
            <w:pPr>
              <w:pStyle w:val="TableParagraph"/>
              <w:spacing w:before="25"/>
              <w:ind w:left="576"/>
              <w:rPr>
                <w:b/>
                <w:sz w:val="18"/>
              </w:rPr>
            </w:pPr>
            <w:r>
              <w:rPr>
                <w:b/>
                <w:spacing w:val="-2"/>
                <w:sz w:val="18"/>
              </w:rPr>
              <w:t>Consolidated</w:t>
            </w:r>
          </w:p>
          <w:p w14:paraId="0ADABDBB" w14:textId="77777777" w:rsidR="00AC6F3C" w:rsidRDefault="00570E88">
            <w:pPr>
              <w:pStyle w:val="TableParagraph"/>
              <w:tabs>
                <w:tab w:val="left" w:pos="1805"/>
              </w:tabs>
              <w:spacing w:before="108"/>
              <w:ind w:left="681"/>
              <w:rPr>
                <w:b/>
                <w:sz w:val="18"/>
              </w:rPr>
            </w:pPr>
            <w:r>
              <w:rPr>
                <w:b/>
                <w:spacing w:val="-4"/>
                <w:sz w:val="18"/>
              </w:rPr>
              <w:t>2023</w:t>
            </w:r>
            <w:r>
              <w:rPr>
                <w:b/>
                <w:sz w:val="18"/>
              </w:rPr>
              <w:tab/>
            </w:r>
            <w:r>
              <w:rPr>
                <w:b/>
                <w:spacing w:val="-4"/>
                <w:sz w:val="18"/>
              </w:rPr>
              <w:t>2022</w:t>
            </w:r>
          </w:p>
          <w:p w14:paraId="04AD64A9" w14:textId="77777777" w:rsidR="00AC6F3C" w:rsidRDefault="00570E88">
            <w:pPr>
              <w:pStyle w:val="TableParagraph"/>
              <w:tabs>
                <w:tab w:val="left" w:pos="1760"/>
              </w:tabs>
              <w:spacing w:before="92"/>
              <w:ind w:left="636"/>
              <w:rPr>
                <w:b/>
                <w:sz w:val="18"/>
              </w:rPr>
            </w:pPr>
            <w:r>
              <w:rPr>
                <w:b/>
                <w:spacing w:val="-2"/>
                <w:sz w:val="18"/>
              </w:rPr>
              <w:t>$’000</w:t>
            </w:r>
            <w:r>
              <w:rPr>
                <w:b/>
                <w:sz w:val="18"/>
              </w:rPr>
              <w:tab/>
            </w:r>
            <w:r>
              <w:rPr>
                <w:b/>
                <w:spacing w:val="-2"/>
                <w:sz w:val="18"/>
              </w:rPr>
              <w:t>$’000</w:t>
            </w:r>
          </w:p>
        </w:tc>
        <w:tc>
          <w:tcPr>
            <w:tcW w:w="1529" w:type="dxa"/>
            <w:gridSpan w:val="2"/>
            <w:tcBorders>
              <w:top w:val="single" w:sz="6" w:space="0" w:color="000000"/>
              <w:bottom w:val="single" w:sz="6" w:space="0" w:color="000000"/>
            </w:tcBorders>
            <w:shd w:val="clear" w:color="auto" w:fill="BEBEBE"/>
          </w:tcPr>
          <w:p w14:paraId="0AFB63F1" w14:textId="77777777" w:rsidR="00AC6F3C" w:rsidRDefault="00570E88">
            <w:pPr>
              <w:pStyle w:val="TableParagraph"/>
              <w:spacing w:before="25" w:line="364" w:lineRule="auto"/>
              <w:ind w:left="681" w:firstLine="164"/>
              <w:rPr>
                <w:b/>
                <w:sz w:val="18"/>
              </w:rPr>
            </w:pPr>
            <w:r>
              <w:rPr>
                <w:b/>
                <w:spacing w:val="-2"/>
                <w:sz w:val="18"/>
              </w:rPr>
              <w:t xml:space="preserve">Parent </w:t>
            </w:r>
            <w:r>
              <w:rPr>
                <w:b/>
                <w:spacing w:val="-4"/>
                <w:sz w:val="18"/>
              </w:rPr>
              <w:t>2023</w:t>
            </w:r>
          </w:p>
          <w:p w14:paraId="6935BF08" w14:textId="77777777" w:rsidR="00AC6F3C" w:rsidRDefault="00570E88">
            <w:pPr>
              <w:pStyle w:val="TableParagraph"/>
              <w:spacing w:line="192" w:lineRule="exact"/>
              <w:ind w:left="636"/>
              <w:rPr>
                <w:b/>
                <w:sz w:val="18"/>
              </w:rPr>
            </w:pPr>
            <w:r>
              <w:rPr>
                <w:b/>
                <w:spacing w:val="-2"/>
                <w:sz w:val="18"/>
              </w:rPr>
              <w:t>$’000</w:t>
            </w:r>
          </w:p>
        </w:tc>
        <w:tc>
          <w:tcPr>
            <w:tcW w:w="727" w:type="dxa"/>
            <w:tcBorders>
              <w:top w:val="single" w:sz="6" w:space="0" w:color="000000"/>
              <w:bottom w:val="single" w:sz="6" w:space="0" w:color="000000"/>
              <w:right w:val="single" w:sz="6" w:space="0" w:color="000000"/>
            </w:tcBorders>
            <w:shd w:val="clear" w:color="auto" w:fill="BEBEBE"/>
          </w:tcPr>
          <w:p w14:paraId="4DEE95BC" w14:textId="77777777" w:rsidR="00AC6F3C" w:rsidRDefault="00AC6F3C">
            <w:pPr>
              <w:pStyle w:val="TableParagraph"/>
              <w:spacing w:before="6"/>
              <w:rPr>
                <w:sz w:val="29"/>
              </w:rPr>
            </w:pPr>
          </w:p>
          <w:p w14:paraId="54F3227D" w14:textId="77777777" w:rsidR="00AC6F3C" w:rsidRDefault="00570E88">
            <w:pPr>
              <w:pStyle w:val="TableParagraph"/>
              <w:ind w:left="276"/>
              <w:rPr>
                <w:b/>
                <w:sz w:val="18"/>
              </w:rPr>
            </w:pPr>
            <w:r>
              <w:rPr>
                <w:b/>
                <w:spacing w:val="-4"/>
                <w:sz w:val="18"/>
              </w:rPr>
              <w:t>2022</w:t>
            </w:r>
          </w:p>
          <w:p w14:paraId="0E7F0369" w14:textId="77777777" w:rsidR="00AC6F3C" w:rsidRDefault="00570E88">
            <w:pPr>
              <w:pStyle w:val="TableParagraph"/>
              <w:spacing w:before="93"/>
              <w:ind w:left="231"/>
              <w:rPr>
                <w:b/>
                <w:sz w:val="18"/>
              </w:rPr>
            </w:pPr>
            <w:r>
              <w:rPr>
                <w:b/>
                <w:spacing w:val="-2"/>
                <w:sz w:val="18"/>
              </w:rPr>
              <w:t>$’000</w:t>
            </w:r>
          </w:p>
        </w:tc>
      </w:tr>
      <w:tr w:rsidR="00AC6F3C" w14:paraId="2CA07308" w14:textId="77777777">
        <w:trPr>
          <w:trHeight w:val="596"/>
        </w:trPr>
        <w:tc>
          <w:tcPr>
            <w:tcW w:w="3874" w:type="dxa"/>
            <w:tcBorders>
              <w:top w:val="single" w:sz="6" w:space="0" w:color="000000"/>
              <w:left w:val="single" w:sz="6" w:space="0" w:color="000000"/>
            </w:tcBorders>
          </w:tcPr>
          <w:p w14:paraId="0EDDEAB7" w14:textId="77777777" w:rsidR="00AC6F3C" w:rsidRDefault="00AC6F3C">
            <w:pPr>
              <w:pStyle w:val="TableParagraph"/>
              <w:spacing w:before="6"/>
              <w:rPr>
                <w:sz w:val="29"/>
              </w:rPr>
            </w:pPr>
          </w:p>
          <w:p w14:paraId="72822E64" w14:textId="77777777" w:rsidR="00AC6F3C" w:rsidRDefault="00570E88">
            <w:pPr>
              <w:pStyle w:val="TableParagraph"/>
              <w:ind w:left="37"/>
              <w:rPr>
                <w:b/>
                <w:sz w:val="18"/>
              </w:rPr>
            </w:pPr>
            <w:r>
              <w:rPr>
                <w:b/>
                <w:spacing w:val="-2"/>
                <w:sz w:val="18"/>
              </w:rPr>
              <w:t>Current</w:t>
            </w:r>
          </w:p>
        </w:tc>
        <w:tc>
          <w:tcPr>
            <w:tcW w:w="1139" w:type="dxa"/>
            <w:tcBorders>
              <w:top w:val="single" w:sz="6" w:space="0" w:color="000000"/>
            </w:tcBorders>
            <w:shd w:val="clear" w:color="auto" w:fill="F1F1F1"/>
          </w:tcPr>
          <w:p w14:paraId="073AB036" w14:textId="77777777" w:rsidR="00AC6F3C" w:rsidRDefault="00AC6F3C">
            <w:pPr>
              <w:pStyle w:val="TableParagraph"/>
              <w:rPr>
                <w:rFonts w:ascii="Times New Roman"/>
                <w:sz w:val="18"/>
              </w:rPr>
            </w:pPr>
          </w:p>
        </w:tc>
        <w:tc>
          <w:tcPr>
            <w:tcW w:w="1109" w:type="dxa"/>
            <w:tcBorders>
              <w:top w:val="single" w:sz="6" w:space="0" w:color="000000"/>
            </w:tcBorders>
          </w:tcPr>
          <w:p w14:paraId="7186C116" w14:textId="77777777" w:rsidR="00AC6F3C" w:rsidRDefault="00AC6F3C">
            <w:pPr>
              <w:pStyle w:val="TableParagraph"/>
              <w:rPr>
                <w:rFonts w:ascii="Times New Roman"/>
                <w:sz w:val="18"/>
              </w:rPr>
            </w:pPr>
          </w:p>
        </w:tc>
        <w:tc>
          <w:tcPr>
            <w:tcW w:w="1139" w:type="dxa"/>
            <w:tcBorders>
              <w:top w:val="single" w:sz="6" w:space="0" w:color="000000"/>
            </w:tcBorders>
            <w:shd w:val="clear" w:color="auto" w:fill="F1F1F1"/>
          </w:tcPr>
          <w:p w14:paraId="59AA4F0B" w14:textId="77777777" w:rsidR="00AC6F3C" w:rsidRDefault="00AC6F3C">
            <w:pPr>
              <w:pStyle w:val="TableParagraph"/>
              <w:rPr>
                <w:rFonts w:ascii="Times New Roman"/>
                <w:sz w:val="18"/>
              </w:rPr>
            </w:pPr>
          </w:p>
        </w:tc>
        <w:tc>
          <w:tcPr>
            <w:tcW w:w="1117" w:type="dxa"/>
            <w:gridSpan w:val="2"/>
            <w:tcBorders>
              <w:top w:val="single" w:sz="6" w:space="0" w:color="000000"/>
              <w:right w:val="single" w:sz="6" w:space="0" w:color="000000"/>
            </w:tcBorders>
          </w:tcPr>
          <w:p w14:paraId="75A7421E" w14:textId="77777777" w:rsidR="00AC6F3C" w:rsidRDefault="00AC6F3C">
            <w:pPr>
              <w:pStyle w:val="TableParagraph"/>
              <w:rPr>
                <w:rFonts w:ascii="Times New Roman"/>
                <w:sz w:val="18"/>
              </w:rPr>
            </w:pPr>
          </w:p>
        </w:tc>
      </w:tr>
      <w:tr w:rsidR="00AC6F3C" w14:paraId="2BA1B517" w14:textId="77777777">
        <w:trPr>
          <w:trHeight w:val="299"/>
        </w:trPr>
        <w:tc>
          <w:tcPr>
            <w:tcW w:w="3874" w:type="dxa"/>
            <w:tcBorders>
              <w:left w:val="single" w:sz="6" w:space="0" w:color="000000"/>
            </w:tcBorders>
          </w:tcPr>
          <w:p w14:paraId="2269D6BF" w14:textId="77777777" w:rsidR="00AC6F3C" w:rsidRDefault="00570E88">
            <w:pPr>
              <w:pStyle w:val="TableParagraph"/>
              <w:spacing w:before="43"/>
              <w:ind w:left="37"/>
              <w:rPr>
                <w:sz w:val="18"/>
              </w:rPr>
            </w:pPr>
            <w:r>
              <w:rPr>
                <w:sz w:val="18"/>
              </w:rPr>
              <w:t>Income</w:t>
            </w:r>
            <w:r>
              <w:rPr>
                <w:spacing w:val="6"/>
                <w:sz w:val="18"/>
              </w:rPr>
              <w:t xml:space="preserve"> </w:t>
            </w:r>
            <w:r>
              <w:rPr>
                <w:sz w:val="18"/>
              </w:rPr>
              <w:t>in</w:t>
            </w:r>
            <w:r>
              <w:rPr>
                <w:spacing w:val="7"/>
                <w:sz w:val="18"/>
              </w:rPr>
              <w:t xml:space="preserve"> </w:t>
            </w:r>
            <w:r>
              <w:rPr>
                <w:spacing w:val="-2"/>
                <w:sz w:val="18"/>
              </w:rPr>
              <w:t>advance</w:t>
            </w:r>
          </w:p>
        </w:tc>
        <w:tc>
          <w:tcPr>
            <w:tcW w:w="1139" w:type="dxa"/>
            <w:shd w:val="clear" w:color="auto" w:fill="F1F1F1"/>
          </w:tcPr>
          <w:p w14:paraId="516012E3" w14:textId="77777777" w:rsidR="00AC6F3C" w:rsidRDefault="00570E88">
            <w:pPr>
              <w:pStyle w:val="TableParagraph"/>
              <w:spacing w:before="43"/>
              <w:ind w:right="35"/>
              <w:jc w:val="right"/>
              <w:rPr>
                <w:sz w:val="18"/>
              </w:rPr>
            </w:pPr>
            <w:r>
              <w:rPr>
                <w:spacing w:val="-2"/>
                <w:sz w:val="18"/>
              </w:rPr>
              <w:t>16,681</w:t>
            </w:r>
          </w:p>
        </w:tc>
        <w:tc>
          <w:tcPr>
            <w:tcW w:w="1109" w:type="dxa"/>
          </w:tcPr>
          <w:p w14:paraId="6DC15C76" w14:textId="77777777" w:rsidR="00AC6F3C" w:rsidRDefault="00570E88">
            <w:pPr>
              <w:pStyle w:val="TableParagraph"/>
              <w:spacing w:before="43"/>
              <w:ind w:right="20"/>
              <w:jc w:val="right"/>
              <w:rPr>
                <w:sz w:val="18"/>
              </w:rPr>
            </w:pPr>
            <w:r>
              <w:rPr>
                <w:spacing w:val="-2"/>
                <w:sz w:val="18"/>
              </w:rPr>
              <w:t>15,060</w:t>
            </w:r>
          </w:p>
        </w:tc>
        <w:tc>
          <w:tcPr>
            <w:tcW w:w="1139" w:type="dxa"/>
            <w:shd w:val="clear" w:color="auto" w:fill="F1F1F1"/>
          </w:tcPr>
          <w:p w14:paraId="2E051E71" w14:textId="77777777" w:rsidR="00AC6F3C" w:rsidRDefault="00570E88">
            <w:pPr>
              <w:pStyle w:val="TableParagraph"/>
              <w:spacing w:before="43"/>
              <w:ind w:right="35"/>
              <w:jc w:val="right"/>
              <w:rPr>
                <w:sz w:val="18"/>
              </w:rPr>
            </w:pPr>
            <w:r>
              <w:rPr>
                <w:spacing w:val="-2"/>
                <w:sz w:val="18"/>
              </w:rPr>
              <w:t>16,681</w:t>
            </w:r>
          </w:p>
        </w:tc>
        <w:tc>
          <w:tcPr>
            <w:tcW w:w="1117" w:type="dxa"/>
            <w:gridSpan w:val="2"/>
            <w:tcBorders>
              <w:right w:val="single" w:sz="6" w:space="0" w:color="000000"/>
            </w:tcBorders>
          </w:tcPr>
          <w:p w14:paraId="156DAD65" w14:textId="77777777" w:rsidR="00AC6F3C" w:rsidRDefault="00570E88">
            <w:pPr>
              <w:pStyle w:val="TableParagraph"/>
              <w:spacing w:before="43"/>
              <w:ind w:left="517"/>
              <w:rPr>
                <w:sz w:val="18"/>
              </w:rPr>
            </w:pPr>
            <w:r>
              <w:rPr>
                <w:spacing w:val="-2"/>
                <w:sz w:val="18"/>
              </w:rPr>
              <w:t>15,060</w:t>
            </w:r>
          </w:p>
        </w:tc>
      </w:tr>
      <w:tr w:rsidR="00AC6F3C" w14:paraId="0DAE5FA6" w14:textId="77777777">
        <w:trPr>
          <w:trHeight w:val="299"/>
        </w:trPr>
        <w:tc>
          <w:tcPr>
            <w:tcW w:w="3874" w:type="dxa"/>
            <w:tcBorders>
              <w:left w:val="single" w:sz="6" w:space="0" w:color="000000"/>
            </w:tcBorders>
          </w:tcPr>
          <w:p w14:paraId="75ACEC13" w14:textId="77777777" w:rsidR="00AC6F3C" w:rsidRDefault="00570E88">
            <w:pPr>
              <w:pStyle w:val="TableParagraph"/>
              <w:spacing w:before="43"/>
              <w:ind w:left="37"/>
              <w:rPr>
                <w:sz w:val="18"/>
              </w:rPr>
            </w:pPr>
            <w:r>
              <w:rPr>
                <w:sz w:val="18"/>
              </w:rPr>
              <w:t>Unearned</w:t>
            </w:r>
            <w:r>
              <w:rPr>
                <w:spacing w:val="21"/>
                <w:sz w:val="18"/>
              </w:rPr>
              <w:t xml:space="preserve"> </w:t>
            </w:r>
            <w:r>
              <w:rPr>
                <w:sz w:val="18"/>
              </w:rPr>
              <w:t>insurance</w:t>
            </w:r>
            <w:r>
              <w:rPr>
                <w:spacing w:val="22"/>
                <w:sz w:val="18"/>
              </w:rPr>
              <w:t xml:space="preserve"> </w:t>
            </w:r>
            <w:r>
              <w:rPr>
                <w:spacing w:val="-2"/>
                <w:sz w:val="18"/>
              </w:rPr>
              <w:t>levies</w:t>
            </w:r>
          </w:p>
        </w:tc>
        <w:tc>
          <w:tcPr>
            <w:tcW w:w="1139" w:type="dxa"/>
            <w:shd w:val="clear" w:color="auto" w:fill="F1F1F1"/>
          </w:tcPr>
          <w:p w14:paraId="05E98200" w14:textId="77777777" w:rsidR="00AC6F3C" w:rsidRDefault="00570E88">
            <w:pPr>
              <w:pStyle w:val="TableParagraph"/>
              <w:spacing w:before="43"/>
              <w:ind w:right="35"/>
              <w:jc w:val="right"/>
              <w:rPr>
                <w:sz w:val="18"/>
              </w:rPr>
            </w:pPr>
            <w:r>
              <w:rPr>
                <w:spacing w:val="-2"/>
                <w:sz w:val="18"/>
              </w:rPr>
              <w:t>28,176</w:t>
            </w:r>
          </w:p>
        </w:tc>
        <w:tc>
          <w:tcPr>
            <w:tcW w:w="1109" w:type="dxa"/>
          </w:tcPr>
          <w:p w14:paraId="6A2CFF75" w14:textId="77777777" w:rsidR="00AC6F3C" w:rsidRDefault="00570E88">
            <w:pPr>
              <w:pStyle w:val="TableParagraph"/>
              <w:spacing w:before="43"/>
              <w:ind w:right="20"/>
              <w:jc w:val="right"/>
              <w:rPr>
                <w:sz w:val="18"/>
              </w:rPr>
            </w:pPr>
            <w:r>
              <w:rPr>
                <w:spacing w:val="-2"/>
                <w:sz w:val="18"/>
              </w:rPr>
              <w:t>27,370</w:t>
            </w:r>
          </w:p>
        </w:tc>
        <w:tc>
          <w:tcPr>
            <w:tcW w:w="1139" w:type="dxa"/>
            <w:shd w:val="clear" w:color="auto" w:fill="F1F1F1"/>
          </w:tcPr>
          <w:p w14:paraId="5B5113F4" w14:textId="77777777" w:rsidR="00AC6F3C" w:rsidRDefault="00570E88">
            <w:pPr>
              <w:pStyle w:val="TableParagraph"/>
              <w:spacing w:before="43"/>
              <w:ind w:right="35"/>
              <w:jc w:val="right"/>
              <w:rPr>
                <w:sz w:val="18"/>
              </w:rPr>
            </w:pPr>
            <w:r>
              <w:rPr>
                <w:w w:val="99"/>
                <w:sz w:val="18"/>
              </w:rPr>
              <w:t>-</w:t>
            </w:r>
          </w:p>
        </w:tc>
        <w:tc>
          <w:tcPr>
            <w:tcW w:w="1117" w:type="dxa"/>
            <w:gridSpan w:val="2"/>
            <w:tcBorders>
              <w:right w:val="single" w:sz="6" w:space="0" w:color="000000"/>
            </w:tcBorders>
          </w:tcPr>
          <w:p w14:paraId="5077596C" w14:textId="77777777" w:rsidR="00AC6F3C" w:rsidRDefault="00570E88">
            <w:pPr>
              <w:pStyle w:val="TableParagraph"/>
              <w:spacing w:before="43"/>
              <w:ind w:right="21"/>
              <w:jc w:val="right"/>
              <w:rPr>
                <w:sz w:val="18"/>
              </w:rPr>
            </w:pPr>
            <w:r>
              <w:rPr>
                <w:w w:val="99"/>
                <w:sz w:val="18"/>
              </w:rPr>
              <w:t>-</w:t>
            </w:r>
          </w:p>
        </w:tc>
      </w:tr>
      <w:tr w:rsidR="00AC6F3C" w14:paraId="51750BC0" w14:textId="77777777">
        <w:trPr>
          <w:trHeight w:val="299"/>
        </w:trPr>
        <w:tc>
          <w:tcPr>
            <w:tcW w:w="3874" w:type="dxa"/>
            <w:tcBorders>
              <w:left w:val="single" w:sz="6" w:space="0" w:color="000000"/>
            </w:tcBorders>
          </w:tcPr>
          <w:p w14:paraId="75982DDB" w14:textId="77777777" w:rsidR="00AC6F3C" w:rsidRDefault="00570E88">
            <w:pPr>
              <w:pStyle w:val="TableParagraph"/>
              <w:spacing w:before="43"/>
              <w:ind w:left="37"/>
              <w:rPr>
                <w:sz w:val="18"/>
              </w:rPr>
            </w:pPr>
            <w:r>
              <w:rPr>
                <w:sz w:val="18"/>
              </w:rPr>
              <w:t>Trade</w:t>
            </w:r>
            <w:r>
              <w:rPr>
                <w:spacing w:val="-3"/>
                <w:sz w:val="18"/>
              </w:rPr>
              <w:t xml:space="preserve"> </w:t>
            </w:r>
            <w:r>
              <w:rPr>
                <w:spacing w:val="-2"/>
                <w:sz w:val="18"/>
              </w:rPr>
              <w:t>creditors</w:t>
            </w:r>
          </w:p>
        </w:tc>
        <w:tc>
          <w:tcPr>
            <w:tcW w:w="1139" w:type="dxa"/>
            <w:shd w:val="clear" w:color="auto" w:fill="F1F1F1"/>
          </w:tcPr>
          <w:p w14:paraId="6A24207E" w14:textId="77777777" w:rsidR="00AC6F3C" w:rsidRDefault="00570E88">
            <w:pPr>
              <w:pStyle w:val="TableParagraph"/>
              <w:spacing w:before="43"/>
              <w:ind w:right="35"/>
              <w:jc w:val="right"/>
              <w:rPr>
                <w:sz w:val="18"/>
              </w:rPr>
            </w:pPr>
            <w:r>
              <w:rPr>
                <w:spacing w:val="-5"/>
                <w:sz w:val="18"/>
              </w:rPr>
              <w:t>127</w:t>
            </w:r>
          </w:p>
        </w:tc>
        <w:tc>
          <w:tcPr>
            <w:tcW w:w="1109" w:type="dxa"/>
          </w:tcPr>
          <w:p w14:paraId="06FF7E62" w14:textId="77777777" w:rsidR="00AC6F3C" w:rsidRDefault="00570E88">
            <w:pPr>
              <w:pStyle w:val="TableParagraph"/>
              <w:spacing w:before="43"/>
              <w:ind w:right="20"/>
              <w:jc w:val="right"/>
              <w:rPr>
                <w:sz w:val="18"/>
              </w:rPr>
            </w:pPr>
            <w:r>
              <w:rPr>
                <w:spacing w:val="-2"/>
                <w:sz w:val="18"/>
              </w:rPr>
              <w:t>1,269</w:t>
            </w:r>
          </w:p>
        </w:tc>
        <w:tc>
          <w:tcPr>
            <w:tcW w:w="1139" w:type="dxa"/>
            <w:shd w:val="clear" w:color="auto" w:fill="F1F1F1"/>
          </w:tcPr>
          <w:p w14:paraId="12A02BB4" w14:textId="77777777" w:rsidR="00AC6F3C" w:rsidRDefault="00570E88">
            <w:pPr>
              <w:pStyle w:val="TableParagraph"/>
              <w:spacing w:before="43"/>
              <w:ind w:right="35"/>
              <w:jc w:val="right"/>
              <w:rPr>
                <w:sz w:val="18"/>
              </w:rPr>
            </w:pPr>
            <w:r>
              <w:rPr>
                <w:spacing w:val="-5"/>
                <w:sz w:val="18"/>
              </w:rPr>
              <w:t>18</w:t>
            </w:r>
          </w:p>
        </w:tc>
        <w:tc>
          <w:tcPr>
            <w:tcW w:w="1117" w:type="dxa"/>
            <w:gridSpan w:val="2"/>
            <w:tcBorders>
              <w:right w:val="single" w:sz="6" w:space="0" w:color="000000"/>
            </w:tcBorders>
          </w:tcPr>
          <w:p w14:paraId="25B9516A" w14:textId="77777777" w:rsidR="00AC6F3C" w:rsidRDefault="00570E88">
            <w:pPr>
              <w:pStyle w:val="TableParagraph"/>
              <w:spacing w:before="43"/>
              <w:ind w:right="21"/>
              <w:jc w:val="right"/>
              <w:rPr>
                <w:sz w:val="18"/>
              </w:rPr>
            </w:pPr>
            <w:r>
              <w:rPr>
                <w:spacing w:val="-5"/>
                <w:sz w:val="18"/>
              </w:rPr>
              <w:t>301</w:t>
            </w:r>
          </w:p>
        </w:tc>
      </w:tr>
      <w:tr w:rsidR="00AC6F3C" w14:paraId="5014E4ED" w14:textId="77777777">
        <w:trPr>
          <w:trHeight w:val="299"/>
        </w:trPr>
        <w:tc>
          <w:tcPr>
            <w:tcW w:w="3874" w:type="dxa"/>
            <w:tcBorders>
              <w:left w:val="single" w:sz="6" w:space="0" w:color="000000"/>
            </w:tcBorders>
          </w:tcPr>
          <w:p w14:paraId="1250A017" w14:textId="77777777" w:rsidR="00AC6F3C" w:rsidRDefault="00570E88">
            <w:pPr>
              <w:pStyle w:val="TableParagraph"/>
              <w:spacing w:before="43"/>
              <w:ind w:left="37"/>
              <w:rPr>
                <w:sz w:val="18"/>
              </w:rPr>
            </w:pPr>
            <w:r>
              <w:rPr>
                <w:sz w:val="18"/>
              </w:rPr>
              <w:t>Legal</w:t>
            </w:r>
            <w:r>
              <w:rPr>
                <w:spacing w:val="10"/>
                <w:sz w:val="18"/>
              </w:rPr>
              <w:t xml:space="preserve"> </w:t>
            </w:r>
            <w:r>
              <w:rPr>
                <w:sz w:val="18"/>
              </w:rPr>
              <w:t>Practitioners' Fidelity</w:t>
            </w:r>
            <w:r>
              <w:rPr>
                <w:spacing w:val="-14"/>
                <w:sz w:val="18"/>
              </w:rPr>
              <w:t xml:space="preserve"> </w:t>
            </w:r>
            <w:r>
              <w:rPr>
                <w:sz w:val="18"/>
              </w:rPr>
              <w:t>Guarantee</w:t>
            </w:r>
            <w:r>
              <w:rPr>
                <w:spacing w:val="11"/>
                <w:sz w:val="18"/>
              </w:rPr>
              <w:t xml:space="preserve"> </w:t>
            </w:r>
            <w:r>
              <w:rPr>
                <w:spacing w:val="-4"/>
                <w:sz w:val="18"/>
              </w:rPr>
              <w:t>Fund</w:t>
            </w:r>
          </w:p>
        </w:tc>
        <w:tc>
          <w:tcPr>
            <w:tcW w:w="1139" w:type="dxa"/>
            <w:shd w:val="clear" w:color="auto" w:fill="F1F1F1"/>
          </w:tcPr>
          <w:p w14:paraId="3A1A55F1" w14:textId="77777777" w:rsidR="00AC6F3C" w:rsidRDefault="00570E88">
            <w:pPr>
              <w:pStyle w:val="TableParagraph"/>
              <w:spacing w:before="43"/>
              <w:ind w:right="35"/>
              <w:jc w:val="right"/>
              <w:rPr>
                <w:sz w:val="18"/>
              </w:rPr>
            </w:pPr>
            <w:r>
              <w:rPr>
                <w:spacing w:val="-2"/>
                <w:sz w:val="18"/>
              </w:rPr>
              <w:t>3,121</w:t>
            </w:r>
          </w:p>
        </w:tc>
        <w:tc>
          <w:tcPr>
            <w:tcW w:w="1109" w:type="dxa"/>
          </w:tcPr>
          <w:p w14:paraId="1F5FD23F" w14:textId="77777777" w:rsidR="00AC6F3C" w:rsidRDefault="00570E88">
            <w:pPr>
              <w:pStyle w:val="TableParagraph"/>
              <w:spacing w:before="43"/>
              <w:ind w:right="20"/>
              <w:jc w:val="right"/>
              <w:rPr>
                <w:sz w:val="18"/>
              </w:rPr>
            </w:pPr>
            <w:r>
              <w:rPr>
                <w:spacing w:val="-5"/>
                <w:sz w:val="18"/>
              </w:rPr>
              <w:t>377</w:t>
            </w:r>
          </w:p>
        </w:tc>
        <w:tc>
          <w:tcPr>
            <w:tcW w:w="1139" w:type="dxa"/>
            <w:shd w:val="clear" w:color="auto" w:fill="F1F1F1"/>
          </w:tcPr>
          <w:p w14:paraId="3A11909B" w14:textId="77777777" w:rsidR="00AC6F3C" w:rsidRDefault="00570E88">
            <w:pPr>
              <w:pStyle w:val="TableParagraph"/>
              <w:spacing w:before="43"/>
              <w:ind w:right="35"/>
              <w:jc w:val="right"/>
              <w:rPr>
                <w:sz w:val="18"/>
              </w:rPr>
            </w:pPr>
            <w:r>
              <w:rPr>
                <w:spacing w:val="-2"/>
                <w:sz w:val="18"/>
              </w:rPr>
              <w:t>3,121</w:t>
            </w:r>
          </w:p>
        </w:tc>
        <w:tc>
          <w:tcPr>
            <w:tcW w:w="1117" w:type="dxa"/>
            <w:gridSpan w:val="2"/>
            <w:tcBorders>
              <w:right w:val="single" w:sz="6" w:space="0" w:color="000000"/>
            </w:tcBorders>
          </w:tcPr>
          <w:p w14:paraId="4EE55C5B" w14:textId="77777777" w:rsidR="00AC6F3C" w:rsidRDefault="00570E88">
            <w:pPr>
              <w:pStyle w:val="TableParagraph"/>
              <w:spacing w:before="43"/>
              <w:ind w:right="21"/>
              <w:jc w:val="right"/>
              <w:rPr>
                <w:sz w:val="18"/>
              </w:rPr>
            </w:pPr>
            <w:r>
              <w:rPr>
                <w:spacing w:val="-5"/>
                <w:sz w:val="18"/>
              </w:rPr>
              <w:t>377</w:t>
            </w:r>
          </w:p>
        </w:tc>
      </w:tr>
      <w:tr w:rsidR="00AC6F3C" w14:paraId="474ADE85" w14:textId="77777777">
        <w:trPr>
          <w:trHeight w:val="299"/>
        </w:trPr>
        <w:tc>
          <w:tcPr>
            <w:tcW w:w="3874" w:type="dxa"/>
            <w:tcBorders>
              <w:left w:val="single" w:sz="6" w:space="0" w:color="000000"/>
            </w:tcBorders>
          </w:tcPr>
          <w:p w14:paraId="4C9F3815" w14:textId="77777777" w:rsidR="00AC6F3C" w:rsidRDefault="00570E88">
            <w:pPr>
              <w:pStyle w:val="TableParagraph"/>
              <w:spacing w:before="43"/>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139" w:type="dxa"/>
            <w:shd w:val="clear" w:color="auto" w:fill="F1F1F1"/>
          </w:tcPr>
          <w:p w14:paraId="13374B42" w14:textId="77777777" w:rsidR="00AC6F3C" w:rsidRDefault="00570E88">
            <w:pPr>
              <w:pStyle w:val="TableParagraph"/>
              <w:spacing w:before="43"/>
              <w:ind w:right="35"/>
              <w:jc w:val="right"/>
              <w:rPr>
                <w:sz w:val="18"/>
              </w:rPr>
            </w:pPr>
            <w:r>
              <w:rPr>
                <w:w w:val="99"/>
                <w:sz w:val="18"/>
              </w:rPr>
              <w:t>-</w:t>
            </w:r>
          </w:p>
        </w:tc>
        <w:tc>
          <w:tcPr>
            <w:tcW w:w="1109" w:type="dxa"/>
          </w:tcPr>
          <w:p w14:paraId="4B4EDD58" w14:textId="77777777" w:rsidR="00AC6F3C" w:rsidRDefault="00570E88">
            <w:pPr>
              <w:pStyle w:val="TableParagraph"/>
              <w:spacing w:before="43"/>
              <w:ind w:right="20"/>
              <w:jc w:val="right"/>
              <w:rPr>
                <w:sz w:val="18"/>
              </w:rPr>
            </w:pPr>
            <w:r>
              <w:rPr>
                <w:w w:val="99"/>
                <w:sz w:val="18"/>
              </w:rPr>
              <w:t>-</w:t>
            </w:r>
          </w:p>
        </w:tc>
        <w:tc>
          <w:tcPr>
            <w:tcW w:w="1139" w:type="dxa"/>
            <w:shd w:val="clear" w:color="auto" w:fill="F1F1F1"/>
          </w:tcPr>
          <w:p w14:paraId="2B8E65EB" w14:textId="77777777" w:rsidR="00AC6F3C" w:rsidRDefault="00570E88">
            <w:pPr>
              <w:pStyle w:val="TableParagraph"/>
              <w:spacing w:before="43"/>
              <w:ind w:right="35"/>
              <w:jc w:val="right"/>
              <w:rPr>
                <w:sz w:val="18"/>
              </w:rPr>
            </w:pPr>
            <w:r>
              <w:rPr>
                <w:spacing w:val="-2"/>
                <w:sz w:val="18"/>
              </w:rPr>
              <w:t>28,194</w:t>
            </w:r>
          </w:p>
        </w:tc>
        <w:tc>
          <w:tcPr>
            <w:tcW w:w="1117" w:type="dxa"/>
            <w:gridSpan w:val="2"/>
            <w:tcBorders>
              <w:right w:val="single" w:sz="6" w:space="0" w:color="000000"/>
            </w:tcBorders>
          </w:tcPr>
          <w:p w14:paraId="10E89FE5" w14:textId="77777777" w:rsidR="00AC6F3C" w:rsidRDefault="00570E88">
            <w:pPr>
              <w:pStyle w:val="TableParagraph"/>
              <w:spacing w:before="43"/>
              <w:ind w:left="516"/>
              <w:rPr>
                <w:sz w:val="18"/>
              </w:rPr>
            </w:pPr>
            <w:r>
              <w:rPr>
                <w:spacing w:val="-2"/>
                <w:sz w:val="18"/>
              </w:rPr>
              <w:t>26,455</w:t>
            </w:r>
          </w:p>
        </w:tc>
      </w:tr>
      <w:tr w:rsidR="00AC6F3C" w14:paraId="07EB670F" w14:textId="77777777">
        <w:trPr>
          <w:trHeight w:val="299"/>
        </w:trPr>
        <w:tc>
          <w:tcPr>
            <w:tcW w:w="3874" w:type="dxa"/>
            <w:tcBorders>
              <w:left w:val="single" w:sz="6" w:space="0" w:color="000000"/>
            </w:tcBorders>
          </w:tcPr>
          <w:p w14:paraId="1E47755A" w14:textId="77777777" w:rsidR="00AC6F3C" w:rsidRDefault="00570E88">
            <w:pPr>
              <w:pStyle w:val="TableParagraph"/>
              <w:spacing w:before="43"/>
              <w:ind w:left="37"/>
              <w:rPr>
                <w:sz w:val="18"/>
              </w:rPr>
            </w:pPr>
            <w:r>
              <w:rPr>
                <w:sz w:val="18"/>
              </w:rPr>
              <w:t>Lease</w:t>
            </w:r>
            <w:r>
              <w:rPr>
                <w:spacing w:val="21"/>
                <w:sz w:val="18"/>
              </w:rPr>
              <w:t xml:space="preserve"> </w:t>
            </w:r>
            <w:r>
              <w:rPr>
                <w:spacing w:val="-2"/>
                <w:sz w:val="18"/>
              </w:rPr>
              <w:t>Liability</w:t>
            </w:r>
          </w:p>
        </w:tc>
        <w:tc>
          <w:tcPr>
            <w:tcW w:w="1139" w:type="dxa"/>
            <w:shd w:val="clear" w:color="auto" w:fill="F1F1F1"/>
          </w:tcPr>
          <w:p w14:paraId="366DB9CA" w14:textId="77777777" w:rsidR="00AC6F3C" w:rsidRDefault="00570E88">
            <w:pPr>
              <w:pStyle w:val="TableParagraph"/>
              <w:spacing w:before="43"/>
              <w:ind w:right="35"/>
              <w:jc w:val="right"/>
              <w:rPr>
                <w:sz w:val="18"/>
              </w:rPr>
            </w:pPr>
            <w:r>
              <w:rPr>
                <w:spacing w:val="-5"/>
                <w:sz w:val="18"/>
              </w:rPr>
              <w:t>602</w:t>
            </w:r>
          </w:p>
        </w:tc>
        <w:tc>
          <w:tcPr>
            <w:tcW w:w="1109" w:type="dxa"/>
          </w:tcPr>
          <w:p w14:paraId="2A7D47C9" w14:textId="77777777" w:rsidR="00AC6F3C" w:rsidRDefault="00570E88">
            <w:pPr>
              <w:pStyle w:val="TableParagraph"/>
              <w:spacing w:before="43"/>
              <w:ind w:right="20"/>
              <w:jc w:val="right"/>
              <w:rPr>
                <w:sz w:val="18"/>
              </w:rPr>
            </w:pPr>
            <w:r>
              <w:rPr>
                <w:spacing w:val="-5"/>
                <w:sz w:val="18"/>
              </w:rPr>
              <w:t>744</w:t>
            </w:r>
          </w:p>
        </w:tc>
        <w:tc>
          <w:tcPr>
            <w:tcW w:w="1139" w:type="dxa"/>
            <w:shd w:val="clear" w:color="auto" w:fill="F1F1F1"/>
          </w:tcPr>
          <w:p w14:paraId="2337B5D9" w14:textId="77777777" w:rsidR="00AC6F3C" w:rsidRDefault="00570E88">
            <w:pPr>
              <w:pStyle w:val="TableParagraph"/>
              <w:spacing w:before="43"/>
              <w:ind w:right="35"/>
              <w:jc w:val="right"/>
              <w:rPr>
                <w:sz w:val="18"/>
              </w:rPr>
            </w:pPr>
            <w:r>
              <w:rPr>
                <w:w w:val="99"/>
                <w:sz w:val="18"/>
              </w:rPr>
              <w:t>-</w:t>
            </w:r>
          </w:p>
        </w:tc>
        <w:tc>
          <w:tcPr>
            <w:tcW w:w="1117" w:type="dxa"/>
            <w:gridSpan w:val="2"/>
            <w:tcBorders>
              <w:right w:val="single" w:sz="6" w:space="0" w:color="000000"/>
            </w:tcBorders>
          </w:tcPr>
          <w:p w14:paraId="2B4818C7" w14:textId="77777777" w:rsidR="00AC6F3C" w:rsidRDefault="00570E88">
            <w:pPr>
              <w:pStyle w:val="TableParagraph"/>
              <w:spacing w:before="43"/>
              <w:ind w:right="21"/>
              <w:jc w:val="right"/>
              <w:rPr>
                <w:sz w:val="18"/>
              </w:rPr>
            </w:pPr>
            <w:r>
              <w:rPr>
                <w:w w:val="99"/>
                <w:sz w:val="18"/>
              </w:rPr>
              <w:t>-</w:t>
            </w:r>
          </w:p>
        </w:tc>
      </w:tr>
      <w:tr w:rsidR="00AC6F3C" w14:paraId="1470D1EA" w14:textId="77777777">
        <w:trPr>
          <w:trHeight w:val="286"/>
        </w:trPr>
        <w:tc>
          <w:tcPr>
            <w:tcW w:w="3874" w:type="dxa"/>
            <w:tcBorders>
              <w:left w:val="single" w:sz="6" w:space="0" w:color="000000"/>
              <w:bottom w:val="single" w:sz="6" w:space="0" w:color="000000"/>
            </w:tcBorders>
          </w:tcPr>
          <w:p w14:paraId="6CDD58FA" w14:textId="77777777" w:rsidR="00AC6F3C" w:rsidRDefault="00570E88">
            <w:pPr>
              <w:pStyle w:val="TableParagraph"/>
              <w:spacing w:before="43"/>
              <w:ind w:left="37"/>
              <w:rPr>
                <w:sz w:val="18"/>
              </w:rPr>
            </w:pPr>
            <w:r>
              <w:rPr>
                <w:sz w:val="18"/>
              </w:rPr>
              <w:t>Other</w:t>
            </w:r>
            <w:r>
              <w:rPr>
                <w:spacing w:val="-5"/>
                <w:sz w:val="18"/>
              </w:rPr>
              <w:t xml:space="preserve"> </w:t>
            </w:r>
            <w:r>
              <w:rPr>
                <w:sz w:val="18"/>
              </w:rPr>
              <w:t>payables</w:t>
            </w:r>
            <w:r>
              <w:rPr>
                <w:spacing w:val="9"/>
                <w:sz w:val="18"/>
              </w:rPr>
              <w:t xml:space="preserve"> </w:t>
            </w:r>
            <w:r>
              <w:rPr>
                <w:sz w:val="18"/>
              </w:rPr>
              <w:t xml:space="preserve">and </w:t>
            </w:r>
            <w:r>
              <w:rPr>
                <w:spacing w:val="-2"/>
                <w:sz w:val="18"/>
              </w:rPr>
              <w:t>accruals</w:t>
            </w:r>
          </w:p>
        </w:tc>
        <w:tc>
          <w:tcPr>
            <w:tcW w:w="1139" w:type="dxa"/>
            <w:tcBorders>
              <w:bottom w:val="single" w:sz="6" w:space="0" w:color="000000"/>
            </w:tcBorders>
            <w:shd w:val="clear" w:color="auto" w:fill="F1F1F1"/>
          </w:tcPr>
          <w:p w14:paraId="02AB674F" w14:textId="77777777" w:rsidR="00AC6F3C" w:rsidRDefault="00570E88">
            <w:pPr>
              <w:pStyle w:val="TableParagraph"/>
              <w:spacing w:before="43"/>
              <w:ind w:right="35"/>
              <w:jc w:val="right"/>
              <w:rPr>
                <w:sz w:val="18"/>
              </w:rPr>
            </w:pPr>
            <w:r>
              <w:rPr>
                <w:spacing w:val="-2"/>
                <w:sz w:val="18"/>
              </w:rPr>
              <w:t>5,484</w:t>
            </w:r>
          </w:p>
        </w:tc>
        <w:tc>
          <w:tcPr>
            <w:tcW w:w="1109" w:type="dxa"/>
            <w:tcBorders>
              <w:bottom w:val="single" w:sz="6" w:space="0" w:color="000000"/>
            </w:tcBorders>
          </w:tcPr>
          <w:p w14:paraId="04A6F82D" w14:textId="77777777" w:rsidR="00AC6F3C" w:rsidRDefault="00570E88">
            <w:pPr>
              <w:pStyle w:val="TableParagraph"/>
              <w:spacing w:before="43"/>
              <w:ind w:right="20"/>
              <w:jc w:val="right"/>
              <w:rPr>
                <w:sz w:val="18"/>
              </w:rPr>
            </w:pPr>
            <w:r>
              <w:rPr>
                <w:spacing w:val="-2"/>
                <w:sz w:val="18"/>
              </w:rPr>
              <w:t>7,970</w:t>
            </w:r>
          </w:p>
        </w:tc>
        <w:tc>
          <w:tcPr>
            <w:tcW w:w="1139" w:type="dxa"/>
            <w:tcBorders>
              <w:bottom w:val="single" w:sz="6" w:space="0" w:color="000000"/>
            </w:tcBorders>
            <w:shd w:val="clear" w:color="auto" w:fill="F1F1F1"/>
          </w:tcPr>
          <w:p w14:paraId="148B8BDA" w14:textId="77777777" w:rsidR="00AC6F3C" w:rsidRDefault="00570E88">
            <w:pPr>
              <w:pStyle w:val="TableParagraph"/>
              <w:spacing w:before="43"/>
              <w:ind w:right="35"/>
              <w:jc w:val="right"/>
              <w:rPr>
                <w:sz w:val="18"/>
              </w:rPr>
            </w:pPr>
            <w:r>
              <w:rPr>
                <w:spacing w:val="-2"/>
                <w:sz w:val="18"/>
              </w:rPr>
              <w:t>2,616</w:t>
            </w:r>
          </w:p>
        </w:tc>
        <w:tc>
          <w:tcPr>
            <w:tcW w:w="1117" w:type="dxa"/>
            <w:gridSpan w:val="2"/>
            <w:tcBorders>
              <w:bottom w:val="single" w:sz="6" w:space="0" w:color="000000"/>
              <w:right w:val="single" w:sz="6" w:space="0" w:color="000000"/>
            </w:tcBorders>
          </w:tcPr>
          <w:p w14:paraId="4880E8D3" w14:textId="77777777" w:rsidR="00AC6F3C" w:rsidRDefault="00570E88">
            <w:pPr>
              <w:pStyle w:val="TableParagraph"/>
              <w:spacing w:before="43"/>
              <w:ind w:left="621"/>
              <w:rPr>
                <w:sz w:val="18"/>
              </w:rPr>
            </w:pPr>
            <w:r>
              <w:rPr>
                <w:spacing w:val="-2"/>
                <w:sz w:val="18"/>
              </w:rPr>
              <w:t>4,392</w:t>
            </w:r>
          </w:p>
        </w:tc>
      </w:tr>
      <w:tr w:rsidR="00AC6F3C" w14:paraId="284E09B8" w14:textId="77777777">
        <w:trPr>
          <w:trHeight w:val="284"/>
        </w:trPr>
        <w:tc>
          <w:tcPr>
            <w:tcW w:w="3874" w:type="dxa"/>
            <w:tcBorders>
              <w:top w:val="single" w:sz="6" w:space="0" w:color="000000"/>
              <w:left w:val="single" w:sz="6" w:space="0" w:color="000000"/>
              <w:bottom w:val="single" w:sz="6" w:space="0" w:color="000000"/>
            </w:tcBorders>
            <w:shd w:val="clear" w:color="auto" w:fill="BEBEBE"/>
          </w:tcPr>
          <w:p w14:paraId="4731C557" w14:textId="77777777" w:rsidR="00AC6F3C" w:rsidRDefault="00570E88">
            <w:pPr>
              <w:pStyle w:val="TableParagraph"/>
              <w:spacing w:before="40"/>
              <w:ind w:left="37"/>
              <w:rPr>
                <w:b/>
                <w:sz w:val="18"/>
              </w:rPr>
            </w:pPr>
            <w:r>
              <w:rPr>
                <w:b/>
                <w:spacing w:val="-2"/>
                <w:sz w:val="18"/>
              </w:rPr>
              <w:t>Total</w:t>
            </w:r>
            <w:r>
              <w:rPr>
                <w:b/>
                <w:spacing w:val="-5"/>
                <w:sz w:val="18"/>
              </w:rPr>
              <w:t xml:space="preserve"> </w:t>
            </w:r>
            <w:r>
              <w:rPr>
                <w:b/>
                <w:spacing w:val="-2"/>
                <w:sz w:val="18"/>
              </w:rPr>
              <w:t>current</w:t>
            </w:r>
            <w:r>
              <w:rPr>
                <w:b/>
                <w:spacing w:val="2"/>
                <w:sz w:val="18"/>
              </w:rPr>
              <w:t xml:space="preserve"> </w:t>
            </w:r>
            <w:r>
              <w:rPr>
                <w:b/>
                <w:spacing w:val="-2"/>
                <w:sz w:val="18"/>
              </w:rPr>
              <w:t>payables</w:t>
            </w:r>
          </w:p>
        </w:tc>
        <w:tc>
          <w:tcPr>
            <w:tcW w:w="2248" w:type="dxa"/>
            <w:gridSpan w:val="2"/>
            <w:tcBorders>
              <w:top w:val="single" w:sz="6" w:space="0" w:color="000000"/>
              <w:bottom w:val="single" w:sz="6" w:space="0" w:color="000000"/>
            </w:tcBorders>
            <w:shd w:val="clear" w:color="auto" w:fill="BEBEBE"/>
          </w:tcPr>
          <w:p w14:paraId="5B6C7172" w14:textId="77777777" w:rsidR="00AC6F3C" w:rsidRDefault="00570E88">
            <w:pPr>
              <w:pStyle w:val="TableParagraph"/>
              <w:tabs>
                <w:tab w:val="left" w:pos="1655"/>
              </w:tabs>
              <w:spacing w:before="40"/>
              <w:ind w:left="531"/>
              <w:rPr>
                <w:b/>
                <w:sz w:val="18"/>
              </w:rPr>
            </w:pPr>
            <w:r>
              <w:rPr>
                <w:b/>
                <w:spacing w:val="-2"/>
                <w:sz w:val="18"/>
              </w:rPr>
              <w:t>54,190</w:t>
            </w:r>
            <w:r>
              <w:rPr>
                <w:b/>
                <w:sz w:val="18"/>
              </w:rPr>
              <w:tab/>
            </w:r>
            <w:r>
              <w:rPr>
                <w:b/>
                <w:spacing w:val="-2"/>
                <w:sz w:val="18"/>
              </w:rPr>
              <w:t>52,790</w:t>
            </w:r>
          </w:p>
        </w:tc>
        <w:tc>
          <w:tcPr>
            <w:tcW w:w="1529" w:type="dxa"/>
            <w:gridSpan w:val="2"/>
            <w:tcBorders>
              <w:top w:val="single" w:sz="6" w:space="0" w:color="000000"/>
              <w:bottom w:val="single" w:sz="6" w:space="0" w:color="000000"/>
            </w:tcBorders>
            <w:shd w:val="clear" w:color="auto" w:fill="BEBEBE"/>
          </w:tcPr>
          <w:p w14:paraId="6A491042" w14:textId="77777777" w:rsidR="00AC6F3C" w:rsidRDefault="00570E88">
            <w:pPr>
              <w:pStyle w:val="TableParagraph"/>
              <w:spacing w:before="40"/>
              <w:ind w:left="532"/>
              <w:rPr>
                <w:b/>
                <w:sz w:val="18"/>
              </w:rPr>
            </w:pPr>
            <w:r>
              <w:rPr>
                <w:b/>
                <w:spacing w:val="-2"/>
                <w:sz w:val="18"/>
              </w:rPr>
              <w:t>50,630</w:t>
            </w:r>
          </w:p>
        </w:tc>
        <w:tc>
          <w:tcPr>
            <w:tcW w:w="727" w:type="dxa"/>
            <w:tcBorders>
              <w:top w:val="single" w:sz="6" w:space="0" w:color="000000"/>
              <w:bottom w:val="single" w:sz="6" w:space="0" w:color="000000"/>
              <w:right w:val="single" w:sz="6" w:space="0" w:color="000000"/>
            </w:tcBorders>
            <w:shd w:val="clear" w:color="auto" w:fill="BEBEBE"/>
          </w:tcPr>
          <w:p w14:paraId="100198C2" w14:textId="77777777" w:rsidR="00AC6F3C" w:rsidRDefault="00570E88">
            <w:pPr>
              <w:pStyle w:val="TableParagraph"/>
              <w:spacing w:before="40"/>
              <w:ind w:left="127"/>
              <w:rPr>
                <w:b/>
                <w:sz w:val="18"/>
              </w:rPr>
            </w:pPr>
            <w:r>
              <w:rPr>
                <w:b/>
                <w:spacing w:val="-2"/>
                <w:sz w:val="18"/>
              </w:rPr>
              <w:t>46,585</w:t>
            </w:r>
          </w:p>
        </w:tc>
      </w:tr>
    </w:tbl>
    <w:p w14:paraId="54D79702" w14:textId="77777777" w:rsidR="00AC6F3C" w:rsidRDefault="00AC6F3C">
      <w:pPr>
        <w:rPr>
          <w:sz w:val="18"/>
        </w:rPr>
        <w:sectPr w:rsidR="00AC6F3C">
          <w:pgSz w:w="11910" w:h="16840"/>
          <w:pgMar w:top="2020" w:right="1160" w:bottom="520" w:left="460" w:header="1228" w:footer="336" w:gutter="0"/>
          <w:cols w:space="720"/>
        </w:sectPr>
      </w:pPr>
    </w:p>
    <w:p w14:paraId="6DC90649" w14:textId="77777777" w:rsidR="00AC6F3C" w:rsidRDefault="00AC6F3C">
      <w:pPr>
        <w:pStyle w:val="BodyText"/>
      </w:pPr>
    </w:p>
    <w:p w14:paraId="54030133" w14:textId="77777777" w:rsidR="00AC6F3C" w:rsidRDefault="00570E88">
      <w:pPr>
        <w:tabs>
          <w:tab w:val="left" w:pos="1666"/>
        </w:tabs>
        <w:spacing w:before="249"/>
        <w:ind w:left="958"/>
        <w:rPr>
          <w:b/>
          <w:sz w:val="28"/>
        </w:rPr>
      </w:pPr>
      <w:r>
        <w:rPr>
          <w:b/>
          <w:spacing w:val="-5"/>
          <w:sz w:val="28"/>
        </w:rPr>
        <w:t>C7</w:t>
      </w:r>
      <w:r>
        <w:rPr>
          <w:b/>
          <w:sz w:val="28"/>
        </w:rPr>
        <w:tab/>
        <w:t>ACCRUED</w:t>
      </w:r>
      <w:r>
        <w:rPr>
          <w:b/>
          <w:spacing w:val="-9"/>
          <w:sz w:val="28"/>
        </w:rPr>
        <w:t xml:space="preserve"> </w:t>
      </w:r>
      <w:r>
        <w:rPr>
          <w:b/>
          <w:sz w:val="28"/>
        </w:rPr>
        <w:t>EMPLOYEE</w:t>
      </w:r>
      <w:r>
        <w:rPr>
          <w:b/>
          <w:spacing w:val="-7"/>
          <w:sz w:val="28"/>
        </w:rPr>
        <w:t xml:space="preserve"> </w:t>
      </w:r>
      <w:r>
        <w:rPr>
          <w:b/>
          <w:spacing w:val="-2"/>
          <w:sz w:val="28"/>
        </w:rPr>
        <w:t>BENEFITS</w:t>
      </w:r>
    </w:p>
    <w:p w14:paraId="1251E3E9" w14:textId="77777777" w:rsidR="00AC6F3C" w:rsidRDefault="00570E88">
      <w:pPr>
        <w:spacing w:before="239"/>
        <w:ind w:left="958"/>
        <w:rPr>
          <w:b/>
          <w:sz w:val="18"/>
        </w:rPr>
      </w:pPr>
      <w:r>
        <w:rPr>
          <w:b/>
          <w:sz w:val="18"/>
        </w:rPr>
        <w:t>Annual</w:t>
      </w:r>
      <w:r>
        <w:rPr>
          <w:b/>
          <w:spacing w:val="-3"/>
          <w:sz w:val="18"/>
        </w:rPr>
        <w:t xml:space="preserve"> </w:t>
      </w:r>
      <w:r>
        <w:rPr>
          <w:b/>
          <w:sz w:val="18"/>
        </w:rPr>
        <w:t>leave</w:t>
      </w:r>
      <w:r>
        <w:rPr>
          <w:b/>
          <w:spacing w:val="-4"/>
          <w:sz w:val="18"/>
        </w:rPr>
        <w:t xml:space="preserve"> </w:t>
      </w:r>
      <w:r>
        <w:rPr>
          <w:b/>
          <w:sz w:val="18"/>
        </w:rPr>
        <w:t>and</w:t>
      </w:r>
      <w:r>
        <w:rPr>
          <w:b/>
          <w:spacing w:val="-2"/>
          <w:sz w:val="18"/>
        </w:rPr>
        <w:t xml:space="preserve"> </w:t>
      </w:r>
      <w:r>
        <w:rPr>
          <w:b/>
          <w:sz w:val="18"/>
        </w:rPr>
        <w:t>long</w:t>
      </w:r>
      <w:r>
        <w:rPr>
          <w:b/>
          <w:spacing w:val="-2"/>
          <w:sz w:val="18"/>
        </w:rPr>
        <w:t xml:space="preserve"> </w:t>
      </w:r>
      <w:r>
        <w:rPr>
          <w:b/>
          <w:sz w:val="18"/>
        </w:rPr>
        <w:t>service</w:t>
      </w:r>
      <w:r>
        <w:rPr>
          <w:b/>
          <w:spacing w:val="-1"/>
          <w:sz w:val="18"/>
        </w:rPr>
        <w:t xml:space="preserve"> </w:t>
      </w:r>
      <w:r>
        <w:rPr>
          <w:b/>
          <w:spacing w:val="-4"/>
          <w:sz w:val="18"/>
        </w:rPr>
        <w:t>leave</w:t>
      </w:r>
    </w:p>
    <w:p w14:paraId="6AA12813" w14:textId="77777777" w:rsidR="00AC6F3C" w:rsidRDefault="00AC6F3C">
      <w:pPr>
        <w:pStyle w:val="BodyText"/>
        <w:spacing w:before="9"/>
        <w:rPr>
          <w:b/>
        </w:rPr>
      </w:pPr>
    </w:p>
    <w:p w14:paraId="438B5737" w14:textId="77777777" w:rsidR="00AC6F3C" w:rsidRDefault="00570E88">
      <w:pPr>
        <w:spacing w:before="1"/>
        <w:ind w:left="958" w:right="632"/>
        <w:rPr>
          <w:sz w:val="18"/>
        </w:rPr>
      </w:pPr>
      <w:r>
        <w:rPr>
          <w:sz w:val="18"/>
        </w:rPr>
        <w:t>The</w:t>
      </w:r>
      <w:r>
        <w:rPr>
          <w:spacing w:val="-1"/>
          <w:sz w:val="18"/>
        </w:rPr>
        <w:t xml:space="preserve"> </w:t>
      </w:r>
      <w:r>
        <w:rPr>
          <w:sz w:val="18"/>
        </w:rPr>
        <w:t>liabilities</w:t>
      </w:r>
      <w:r>
        <w:rPr>
          <w:spacing w:val="-3"/>
          <w:sz w:val="18"/>
        </w:rPr>
        <w:t xml:space="preserve"> </w:t>
      </w:r>
      <w:r>
        <w:rPr>
          <w:sz w:val="18"/>
        </w:rPr>
        <w:t>for</w:t>
      </w:r>
      <w:r>
        <w:rPr>
          <w:spacing w:val="-4"/>
          <w:sz w:val="18"/>
        </w:rPr>
        <w:t xml:space="preserve"> </w:t>
      </w:r>
      <w:r>
        <w:rPr>
          <w:sz w:val="18"/>
        </w:rPr>
        <w:t>annual</w:t>
      </w:r>
      <w:r>
        <w:rPr>
          <w:spacing w:val="-1"/>
          <w:sz w:val="18"/>
        </w:rPr>
        <w:t xml:space="preserve"> </w:t>
      </w:r>
      <w:r>
        <w:rPr>
          <w:sz w:val="18"/>
        </w:rPr>
        <w:t>leave</w:t>
      </w:r>
      <w:r>
        <w:rPr>
          <w:spacing w:val="-4"/>
          <w:sz w:val="18"/>
        </w:rPr>
        <w:t xml:space="preserve"> </w:t>
      </w:r>
      <w:r>
        <w:rPr>
          <w:sz w:val="18"/>
        </w:rPr>
        <w:t>are</w:t>
      </w:r>
      <w:r>
        <w:rPr>
          <w:spacing w:val="-1"/>
          <w:sz w:val="18"/>
        </w:rPr>
        <w:t xml:space="preserve"> </w:t>
      </w:r>
      <w:r>
        <w:rPr>
          <w:sz w:val="18"/>
        </w:rPr>
        <w:t>expected</w:t>
      </w:r>
      <w:r>
        <w:rPr>
          <w:spacing w:val="-4"/>
          <w:sz w:val="18"/>
        </w:rPr>
        <w:t xml:space="preserve"> </w:t>
      </w:r>
      <w:r>
        <w:rPr>
          <w:sz w:val="18"/>
        </w:rPr>
        <w:t>to</w:t>
      </w:r>
      <w:r>
        <w:rPr>
          <w:spacing w:val="-1"/>
          <w:sz w:val="18"/>
        </w:rPr>
        <w:t xml:space="preserve"> </w:t>
      </w:r>
      <w:r>
        <w:rPr>
          <w:sz w:val="18"/>
        </w:rPr>
        <w:t>be</w:t>
      </w:r>
      <w:r>
        <w:rPr>
          <w:spacing w:val="-1"/>
          <w:sz w:val="18"/>
        </w:rPr>
        <w:t xml:space="preserve"> </w:t>
      </w:r>
      <w:r>
        <w:rPr>
          <w:sz w:val="18"/>
        </w:rPr>
        <w:t>settled</w:t>
      </w:r>
      <w:r>
        <w:rPr>
          <w:spacing w:val="-1"/>
          <w:sz w:val="18"/>
        </w:rPr>
        <w:t xml:space="preserve"> </w:t>
      </w:r>
      <w:r>
        <w:rPr>
          <w:sz w:val="18"/>
        </w:rPr>
        <w:t>wholly</w:t>
      </w:r>
      <w:r>
        <w:rPr>
          <w:spacing w:val="-1"/>
          <w:sz w:val="18"/>
        </w:rPr>
        <w:t xml:space="preserve"> </w:t>
      </w:r>
      <w:r>
        <w:rPr>
          <w:sz w:val="18"/>
        </w:rPr>
        <w:t>within</w:t>
      </w:r>
      <w:r>
        <w:rPr>
          <w:spacing w:val="-1"/>
          <w:sz w:val="18"/>
        </w:rPr>
        <w:t xml:space="preserve"> </w:t>
      </w:r>
      <w:r>
        <w:rPr>
          <w:sz w:val="18"/>
        </w:rPr>
        <w:t>12</w:t>
      </w:r>
      <w:r>
        <w:rPr>
          <w:spacing w:val="-4"/>
          <w:sz w:val="18"/>
        </w:rPr>
        <w:t xml:space="preserve"> </w:t>
      </w:r>
      <w:r>
        <w:rPr>
          <w:sz w:val="18"/>
        </w:rPr>
        <w:t>months</w:t>
      </w:r>
      <w:r>
        <w:rPr>
          <w:spacing w:val="-3"/>
          <w:sz w:val="18"/>
        </w:rPr>
        <w:t xml:space="preserve"> </w:t>
      </w:r>
      <w:r>
        <w:rPr>
          <w:sz w:val="18"/>
        </w:rPr>
        <w:t>and</w:t>
      </w:r>
      <w:r>
        <w:rPr>
          <w:spacing w:val="-1"/>
          <w:sz w:val="18"/>
        </w:rPr>
        <w:t xml:space="preserve"> </w:t>
      </w:r>
      <w:r>
        <w:rPr>
          <w:sz w:val="18"/>
        </w:rPr>
        <w:t>are</w:t>
      </w:r>
      <w:r>
        <w:rPr>
          <w:spacing w:val="-1"/>
          <w:sz w:val="18"/>
        </w:rPr>
        <w:t xml:space="preserve"> </w:t>
      </w:r>
      <w:proofErr w:type="spellStart"/>
      <w:r>
        <w:rPr>
          <w:sz w:val="18"/>
        </w:rPr>
        <w:t>recognised</w:t>
      </w:r>
      <w:proofErr w:type="spellEnd"/>
      <w:r>
        <w:rPr>
          <w:spacing w:val="-1"/>
          <w:sz w:val="18"/>
        </w:rPr>
        <w:t xml:space="preserve"> </w:t>
      </w:r>
      <w:r>
        <w:rPr>
          <w:sz w:val="18"/>
        </w:rPr>
        <w:t>as current liabilities.</w:t>
      </w:r>
    </w:p>
    <w:p w14:paraId="539DAB8D" w14:textId="77777777" w:rsidR="00AC6F3C" w:rsidRDefault="00AC6F3C">
      <w:pPr>
        <w:pStyle w:val="BodyText"/>
        <w:spacing w:before="11"/>
      </w:pPr>
    </w:p>
    <w:p w14:paraId="62CB2081" w14:textId="77777777" w:rsidR="00AC6F3C" w:rsidRDefault="00570E88">
      <w:pPr>
        <w:ind w:left="958" w:right="946"/>
        <w:rPr>
          <w:sz w:val="18"/>
        </w:rPr>
      </w:pPr>
      <w:r>
        <w:rPr>
          <w:sz w:val="18"/>
        </w:rPr>
        <w:t xml:space="preserve">The liabilities for long service leave that are not expected to be settled wholly within 12 months after the end of the period in which the employees render the related service are </w:t>
      </w:r>
      <w:proofErr w:type="spellStart"/>
      <w:r>
        <w:rPr>
          <w:sz w:val="18"/>
        </w:rPr>
        <w:t>recognised</w:t>
      </w:r>
      <w:proofErr w:type="spellEnd"/>
      <w:r>
        <w:rPr>
          <w:sz w:val="18"/>
        </w:rPr>
        <w:t xml:space="preserve"> in accrued employee benefits and measured as the present value of expected future cash outflows to be made in respect of services</w:t>
      </w:r>
      <w:r>
        <w:rPr>
          <w:spacing w:val="-2"/>
          <w:sz w:val="18"/>
        </w:rPr>
        <w:t xml:space="preserve"> </w:t>
      </w:r>
      <w:r>
        <w:rPr>
          <w:sz w:val="18"/>
        </w:rPr>
        <w:t>provided</w:t>
      </w:r>
      <w:r>
        <w:rPr>
          <w:spacing w:val="-5"/>
          <w:sz w:val="18"/>
        </w:rPr>
        <w:t xml:space="preserve"> </w:t>
      </w:r>
      <w:r>
        <w:rPr>
          <w:sz w:val="18"/>
        </w:rPr>
        <w:t>by</w:t>
      </w:r>
      <w:r>
        <w:rPr>
          <w:spacing w:val="-4"/>
          <w:sz w:val="18"/>
        </w:rPr>
        <w:t xml:space="preserve"> </w:t>
      </w:r>
      <w:r>
        <w:rPr>
          <w:sz w:val="18"/>
        </w:rPr>
        <w:t>employees</w:t>
      </w:r>
      <w:r>
        <w:rPr>
          <w:spacing w:val="-2"/>
          <w:sz w:val="18"/>
        </w:rPr>
        <w:t xml:space="preserve"> </w:t>
      </w:r>
      <w:r>
        <w:rPr>
          <w:sz w:val="18"/>
        </w:rPr>
        <w:t>up</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end</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reporting</w:t>
      </w:r>
      <w:r>
        <w:rPr>
          <w:spacing w:val="-2"/>
          <w:sz w:val="18"/>
        </w:rPr>
        <w:t xml:space="preserve"> </w:t>
      </w:r>
      <w:r>
        <w:rPr>
          <w:sz w:val="18"/>
        </w:rPr>
        <w:t>period.</w:t>
      </w:r>
      <w:r>
        <w:rPr>
          <w:spacing w:val="40"/>
          <w:sz w:val="18"/>
        </w:rPr>
        <w:t xml:space="preserve"> </w:t>
      </w:r>
      <w:r>
        <w:rPr>
          <w:sz w:val="18"/>
        </w:rPr>
        <w:t>Consideration</w:t>
      </w:r>
      <w:r>
        <w:rPr>
          <w:spacing w:val="-2"/>
          <w:sz w:val="18"/>
        </w:rPr>
        <w:t xml:space="preserve"> </w:t>
      </w:r>
      <w:r>
        <w:rPr>
          <w:sz w:val="18"/>
        </w:rPr>
        <w:t>is</w:t>
      </w:r>
      <w:r>
        <w:rPr>
          <w:spacing w:val="-2"/>
          <w:sz w:val="18"/>
        </w:rPr>
        <w:t xml:space="preserve"> </w:t>
      </w:r>
      <w:r>
        <w:rPr>
          <w:sz w:val="18"/>
        </w:rPr>
        <w:t>given</w:t>
      </w:r>
      <w:r>
        <w:rPr>
          <w:spacing w:val="-2"/>
          <w:sz w:val="18"/>
        </w:rPr>
        <w:t xml:space="preserve"> </w:t>
      </w:r>
      <w:r>
        <w:rPr>
          <w:sz w:val="18"/>
        </w:rPr>
        <w:t>to</w:t>
      </w:r>
      <w:r>
        <w:rPr>
          <w:spacing w:val="-5"/>
          <w:sz w:val="18"/>
        </w:rPr>
        <w:t xml:space="preserve"> </w:t>
      </w:r>
      <w:r>
        <w:rPr>
          <w:sz w:val="18"/>
        </w:rPr>
        <w:t>expected future wage and salary levels and experience of employee departures and periods of service.</w:t>
      </w:r>
      <w:r>
        <w:rPr>
          <w:spacing w:val="40"/>
          <w:sz w:val="18"/>
        </w:rPr>
        <w:t xml:space="preserve"> </w:t>
      </w:r>
      <w:r>
        <w:rPr>
          <w:sz w:val="18"/>
        </w:rPr>
        <w:t xml:space="preserve">Expected future payments are discounted using market yields at the end of the reporting period of government bonds with terms and currencies that match, as closely as possible, the estimated future cash outflows. Re-measurements as a result of experience adjustments are </w:t>
      </w:r>
      <w:proofErr w:type="spellStart"/>
      <w:r>
        <w:rPr>
          <w:sz w:val="18"/>
        </w:rPr>
        <w:t>recognised</w:t>
      </w:r>
      <w:proofErr w:type="spellEnd"/>
      <w:r>
        <w:rPr>
          <w:sz w:val="18"/>
        </w:rPr>
        <w:t xml:space="preserve"> in the Statement of Comprehensive Income.</w:t>
      </w:r>
    </w:p>
    <w:p w14:paraId="25AADE5D" w14:textId="77777777" w:rsidR="00AC6F3C" w:rsidRDefault="00AC6F3C">
      <w:pPr>
        <w:pStyle w:val="BodyText"/>
        <w:spacing w:before="9"/>
      </w:pPr>
    </w:p>
    <w:p w14:paraId="27216609" w14:textId="77777777" w:rsidR="00AC6F3C" w:rsidRDefault="00570E88">
      <w:pPr>
        <w:ind w:left="958" w:right="857"/>
        <w:rPr>
          <w:sz w:val="18"/>
        </w:rPr>
      </w:pPr>
      <w:r>
        <w:rPr>
          <w:sz w:val="18"/>
        </w:rPr>
        <w:t>The</w:t>
      </w:r>
      <w:r>
        <w:rPr>
          <w:spacing w:val="-2"/>
          <w:sz w:val="18"/>
        </w:rPr>
        <w:t xml:space="preserve"> </w:t>
      </w:r>
      <w:r>
        <w:rPr>
          <w:sz w:val="18"/>
        </w:rPr>
        <w:t>obligations</w:t>
      </w:r>
      <w:r>
        <w:rPr>
          <w:spacing w:val="-3"/>
          <w:sz w:val="18"/>
        </w:rPr>
        <w:t xml:space="preserve"> </w:t>
      </w:r>
      <w:r>
        <w:rPr>
          <w:sz w:val="18"/>
        </w:rPr>
        <w:t>are</w:t>
      </w:r>
      <w:r>
        <w:rPr>
          <w:spacing w:val="-2"/>
          <w:sz w:val="18"/>
        </w:rPr>
        <w:t xml:space="preserve"> </w:t>
      </w:r>
      <w:r>
        <w:rPr>
          <w:sz w:val="18"/>
        </w:rPr>
        <w:t>presented</w:t>
      </w:r>
      <w:r>
        <w:rPr>
          <w:spacing w:val="-4"/>
          <w:sz w:val="18"/>
        </w:rPr>
        <w:t xml:space="preserve"> </w:t>
      </w:r>
      <w:r>
        <w:rPr>
          <w:sz w:val="18"/>
        </w:rPr>
        <w:t>as</w:t>
      </w:r>
      <w:r>
        <w:rPr>
          <w:spacing w:val="-2"/>
          <w:sz w:val="18"/>
        </w:rPr>
        <w:t xml:space="preserve"> </w:t>
      </w:r>
      <w:r>
        <w:rPr>
          <w:sz w:val="18"/>
        </w:rPr>
        <w:t>current</w:t>
      </w:r>
      <w:r>
        <w:rPr>
          <w:spacing w:val="-2"/>
          <w:sz w:val="18"/>
        </w:rPr>
        <w:t xml:space="preserve"> </w:t>
      </w:r>
      <w:r>
        <w:rPr>
          <w:sz w:val="18"/>
        </w:rPr>
        <w:t>liabilities</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Statement</w:t>
      </w:r>
      <w:r>
        <w:rPr>
          <w:spacing w:val="-2"/>
          <w:sz w:val="18"/>
        </w:rPr>
        <w:t xml:space="preserve"> </w:t>
      </w:r>
      <w:r>
        <w:rPr>
          <w:sz w:val="18"/>
        </w:rPr>
        <w:t>of</w:t>
      </w:r>
      <w:r>
        <w:rPr>
          <w:spacing w:val="-2"/>
          <w:sz w:val="18"/>
        </w:rPr>
        <w:t xml:space="preserve"> </w:t>
      </w:r>
      <w:r>
        <w:rPr>
          <w:sz w:val="18"/>
        </w:rPr>
        <w:t>Financial</w:t>
      </w:r>
      <w:r>
        <w:rPr>
          <w:spacing w:val="-2"/>
          <w:sz w:val="18"/>
        </w:rPr>
        <w:t xml:space="preserve"> </w:t>
      </w:r>
      <w:r>
        <w:rPr>
          <w:sz w:val="18"/>
        </w:rPr>
        <w:t>Position</w:t>
      </w:r>
      <w:r>
        <w:rPr>
          <w:spacing w:val="-4"/>
          <w:sz w:val="18"/>
        </w:rPr>
        <w:t xml:space="preserve"> </w:t>
      </w:r>
      <w:r>
        <w:rPr>
          <w:sz w:val="18"/>
        </w:rPr>
        <w:t>if</w:t>
      </w:r>
      <w:r>
        <w:rPr>
          <w:spacing w:val="-2"/>
          <w:sz w:val="18"/>
        </w:rPr>
        <w:t xml:space="preserve"> </w:t>
      </w:r>
      <w:r>
        <w:rPr>
          <w:sz w:val="18"/>
        </w:rPr>
        <w:t>the</w:t>
      </w:r>
      <w:r>
        <w:rPr>
          <w:spacing w:val="-2"/>
          <w:sz w:val="18"/>
        </w:rPr>
        <w:t xml:space="preserve"> </w:t>
      </w:r>
      <w:r>
        <w:rPr>
          <w:sz w:val="18"/>
        </w:rPr>
        <w:t>entity</w:t>
      </w:r>
      <w:r>
        <w:rPr>
          <w:spacing w:val="-3"/>
          <w:sz w:val="18"/>
        </w:rPr>
        <w:t xml:space="preserve"> </w:t>
      </w:r>
      <w:r>
        <w:rPr>
          <w:sz w:val="18"/>
        </w:rPr>
        <w:t>does not have an unconditional right to defer settlement for at least 12 months after the reporting period, regardless of when the actual settlement is expected to occur.</w:t>
      </w:r>
    </w:p>
    <w:p w14:paraId="47542F5A" w14:textId="77777777" w:rsidR="00AC6F3C" w:rsidRDefault="00AC6F3C">
      <w:pPr>
        <w:pStyle w:val="BodyText"/>
        <w:spacing w:before="10"/>
      </w:pPr>
    </w:p>
    <w:tbl>
      <w:tblPr>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74"/>
        <w:gridCol w:w="1139"/>
        <w:gridCol w:w="579"/>
        <w:gridCol w:w="530"/>
        <w:gridCol w:w="1139"/>
        <w:gridCol w:w="442"/>
        <w:gridCol w:w="674"/>
      </w:tblGrid>
      <w:tr w:rsidR="00AC6F3C" w14:paraId="6FAFB8A3" w14:textId="77777777">
        <w:trPr>
          <w:trHeight w:val="882"/>
        </w:trPr>
        <w:tc>
          <w:tcPr>
            <w:tcW w:w="3874" w:type="dxa"/>
            <w:tcBorders>
              <w:right w:val="nil"/>
            </w:tcBorders>
            <w:shd w:val="clear" w:color="auto" w:fill="BEBEBE"/>
          </w:tcPr>
          <w:p w14:paraId="03A95F7F" w14:textId="77777777" w:rsidR="00AC6F3C" w:rsidRDefault="00AC6F3C">
            <w:pPr>
              <w:pStyle w:val="TableParagraph"/>
              <w:rPr>
                <w:rFonts w:ascii="Times New Roman"/>
                <w:sz w:val="18"/>
              </w:rPr>
            </w:pPr>
          </w:p>
        </w:tc>
        <w:tc>
          <w:tcPr>
            <w:tcW w:w="1718" w:type="dxa"/>
            <w:gridSpan w:val="2"/>
            <w:tcBorders>
              <w:left w:val="nil"/>
              <w:right w:val="nil"/>
            </w:tcBorders>
            <w:shd w:val="clear" w:color="auto" w:fill="BEBEBE"/>
          </w:tcPr>
          <w:p w14:paraId="13C14FC6" w14:textId="77777777" w:rsidR="00AC6F3C" w:rsidRDefault="00570E88">
            <w:pPr>
              <w:pStyle w:val="TableParagraph"/>
              <w:spacing w:before="25" w:line="364" w:lineRule="auto"/>
              <w:ind w:left="681" w:hanging="105"/>
              <w:rPr>
                <w:b/>
                <w:sz w:val="18"/>
              </w:rPr>
            </w:pPr>
            <w:r>
              <w:rPr>
                <w:b/>
                <w:spacing w:val="-4"/>
                <w:sz w:val="18"/>
              </w:rPr>
              <w:t>Consolidated 2023</w:t>
            </w:r>
          </w:p>
          <w:p w14:paraId="7A1E2117" w14:textId="77777777" w:rsidR="00AC6F3C" w:rsidRDefault="00570E88">
            <w:pPr>
              <w:pStyle w:val="TableParagraph"/>
              <w:spacing w:line="191" w:lineRule="exact"/>
              <w:ind w:left="636"/>
              <w:rPr>
                <w:b/>
                <w:sz w:val="18"/>
              </w:rPr>
            </w:pPr>
            <w:r>
              <w:rPr>
                <w:b/>
                <w:spacing w:val="-2"/>
                <w:sz w:val="18"/>
              </w:rPr>
              <w:t>$’000</w:t>
            </w:r>
          </w:p>
        </w:tc>
        <w:tc>
          <w:tcPr>
            <w:tcW w:w="530" w:type="dxa"/>
            <w:tcBorders>
              <w:left w:val="nil"/>
              <w:right w:val="nil"/>
            </w:tcBorders>
            <w:shd w:val="clear" w:color="auto" w:fill="BEBEBE"/>
          </w:tcPr>
          <w:p w14:paraId="70E8581A" w14:textId="77777777" w:rsidR="00AC6F3C" w:rsidRDefault="00AC6F3C">
            <w:pPr>
              <w:pStyle w:val="TableParagraph"/>
              <w:spacing w:before="6"/>
              <w:rPr>
                <w:sz w:val="29"/>
              </w:rPr>
            </w:pPr>
          </w:p>
          <w:p w14:paraId="1C88DB41" w14:textId="77777777" w:rsidR="00AC6F3C" w:rsidRDefault="00570E88">
            <w:pPr>
              <w:pStyle w:val="TableParagraph"/>
              <w:ind w:left="87"/>
              <w:rPr>
                <w:b/>
                <w:sz w:val="18"/>
              </w:rPr>
            </w:pPr>
            <w:r>
              <w:rPr>
                <w:b/>
                <w:spacing w:val="-4"/>
                <w:sz w:val="18"/>
              </w:rPr>
              <w:t>2022</w:t>
            </w:r>
          </w:p>
          <w:p w14:paraId="494FFF31" w14:textId="77777777" w:rsidR="00AC6F3C" w:rsidRDefault="00570E88">
            <w:pPr>
              <w:pStyle w:val="TableParagraph"/>
              <w:spacing w:before="92"/>
              <w:ind w:left="42"/>
              <w:rPr>
                <w:b/>
                <w:sz w:val="18"/>
              </w:rPr>
            </w:pPr>
            <w:r>
              <w:rPr>
                <w:b/>
                <w:spacing w:val="-2"/>
                <w:sz w:val="18"/>
              </w:rPr>
              <w:t>$’000</w:t>
            </w:r>
          </w:p>
        </w:tc>
        <w:tc>
          <w:tcPr>
            <w:tcW w:w="1581" w:type="dxa"/>
            <w:gridSpan w:val="2"/>
            <w:tcBorders>
              <w:left w:val="nil"/>
              <w:right w:val="nil"/>
            </w:tcBorders>
            <w:shd w:val="clear" w:color="auto" w:fill="BEBEBE"/>
          </w:tcPr>
          <w:p w14:paraId="1CFDC595" w14:textId="77777777" w:rsidR="00AC6F3C" w:rsidRDefault="00570E88">
            <w:pPr>
              <w:pStyle w:val="TableParagraph"/>
              <w:spacing w:before="25" w:line="364" w:lineRule="auto"/>
              <w:ind w:left="681" w:firstLine="164"/>
              <w:rPr>
                <w:b/>
                <w:sz w:val="18"/>
              </w:rPr>
            </w:pPr>
            <w:r>
              <w:rPr>
                <w:b/>
                <w:spacing w:val="-2"/>
                <w:sz w:val="18"/>
              </w:rPr>
              <w:t xml:space="preserve">Parent </w:t>
            </w:r>
            <w:r>
              <w:rPr>
                <w:b/>
                <w:spacing w:val="-4"/>
                <w:sz w:val="18"/>
              </w:rPr>
              <w:t>2023</w:t>
            </w:r>
          </w:p>
          <w:p w14:paraId="4E91A33E" w14:textId="77777777" w:rsidR="00AC6F3C" w:rsidRDefault="00570E88">
            <w:pPr>
              <w:pStyle w:val="TableParagraph"/>
              <w:spacing w:line="191" w:lineRule="exact"/>
              <w:ind w:left="636"/>
              <w:rPr>
                <w:b/>
                <w:sz w:val="18"/>
              </w:rPr>
            </w:pPr>
            <w:r>
              <w:rPr>
                <w:b/>
                <w:spacing w:val="-2"/>
                <w:sz w:val="18"/>
              </w:rPr>
              <w:t>$’000</w:t>
            </w:r>
          </w:p>
        </w:tc>
        <w:tc>
          <w:tcPr>
            <w:tcW w:w="674" w:type="dxa"/>
            <w:tcBorders>
              <w:left w:val="nil"/>
            </w:tcBorders>
            <w:shd w:val="clear" w:color="auto" w:fill="BEBEBE"/>
          </w:tcPr>
          <w:p w14:paraId="4430719E" w14:textId="77777777" w:rsidR="00AC6F3C" w:rsidRDefault="00AC6F3C">
            <w:pPr>
              <w:pStyle w:val="TableParagraph"/>
              <w:spacing w:before="6"/>
              <w:rPr>
                <w:sz w:val="29"/>
              </w:rPr>
            </w:pPr>
          </w:p>
          <w:p w14:paraId="11838A0D" w14:textId="77777777" w:rsidR="00AC6F3C" w:rsidRDefault="00570E88">
            <w:pPr>
              <w:pStyle w:val="TableParagraph"/>
              <w:ind w:left="224"/>
              <w:rPr>
                <w:b/>
                <w:sz w:val="18"/>
              </w:rPr>
            </w:pPr>
            <w:r>
              <w:rPr>
                <w:b/>
                <w:spacing w:val="-4"/>
                <w:sz w:val="18"/>
              </w:rPr>
              <w:t>2022</w:t>
            </w:r>
          </w:p>
          <w:p w14:paraId="7E53CB6B" w14:textId="77777777" w:rsidR="00AC6F3C" w:rsidRDefault="00570E88">
            <w:pPr>
              <w:pStyle w:val="TableParagraph"/>
              <w:spacing w:before="92"/>
              <w:ind w:left="179"/>
              <w:rPr>
                <w:b/>
                <w:sz w:val="18"/>
              </w:rPr>
            </w:pPr>
            <w:r>
              <w:rPr>
                <w:b/>
                <w:spacing w:val="-2"/>
                <w:sz w:val="18"/>
              </w:rPr>
              <w:t>$’000</w:t>
            </w:r>
          </w:p>
        </w:tc>
      </w:tr>
      <w:tr w:rsidR="00AC6F3C" w14:paraId="381B2987" w14:textId="77777777">
        <w:trPr>
          <w:trHeight w:val="1182"/>
        </w:trPr>
        <w:tc>
          <w:tcPr>
            <w:tcW w:w="3874" w:type="dxa"/>
            <w:tcBorders>
              <w:right w:val="nil"/>
            </w:tcBorders>
          </w:tcPr>
          <w:p w14:paraId="434B2D4A" w14:textId="77777777" w:rsidR="00AC6F3C" w:rsidRDefault="00AC6F3C">
            <w:pPr>
              <w:pStyle w:val="TableParagraph"/>
              <w:spacing w:before="6"/>
              <w:rPr>
                <w:sz w:val="29"/>
              </w:rPr>
            </w:pPr>
          </w:p>
          <w:p w14:paraId="36155543" w14:textId="77777777" w:rsidR="00AC6F3C" w:rsidRDefault="00570E88">
            <w:pPr>
              <w:pStyle w:val="TableParagraph"/>
              <w:ind w:left="37"/>
              <w:rPr>
                <w:b/>
                <w:sz w:val="18"/>
              </w:rPr>
            </w:pPr>
            <w:r>
              <w:rPr>
                <w:b/>
                <w:spacing w:val="-2"/>
                <w:sz w:val="18"/>
              </w:rPr>
              <w:t>Current</w:t>
            </w:r>
          </w:p>
          <w:p w14:paraId="6B74BBF6" w14:textId="77777777" w:rsidR="00AC6F3C" w:rsidRDefault="00570E88">
            <w:pPr>
              <w:pStyle w:val="TableParagraph"/>
              <w:spacing w:before="92"/>
              <w:ind w:left="37"/>
              <w:rPr>
                <w:sz w:val="18"/>
              </w:rPr>
            </w:pPr>
            <w:r>
              <w:rPr>
                <w:sz w:val="18"/>
              </w:rPr>
              <w:t>Annual</w:t>
            </w:r>
            <w:r>
              <w:rPr>
                <w:spacing w:val="-7"/>
                <w:sz w:val="18"/>
              </w:rPr>
              <w:t xml:space="preserve"> </w:t>
            </w:r>
            <w:r>
              <w:rPr>
                <w:spacing w:val="-2"/>
                <w:sz w:val="18"/>
              </w:rPr>
              <w:t>leave</w:t>
            </w:r>
          </w:p>
          <w:p w14:paraId="785BB749" w14:textId="77777777" w:rsidR="00AC6F3C" w:rsidRDefault="00570E88">
            <w:pPr>
              <w:pStyle w:val="TableParagraph"/>
              <w:spacing w:before="93"/>
              <w:ind w:left="37"/>
              <w:rPr>
                <w:sz w:val="18"/>
              </w:rPr>
            </w:pPr>
            <w:r>
              <w:rPr>
                <w:sz w:val="18"/>
              </w:rPr>
              <w:t>Long</w:t>
            </w:r>
            <w:r>
              <w:rPr>
                <w:spacing w:val="4"/>
                <w:sz w:val="18"/>
              </w:rPr>
              <w:t xml:space="preserve"> </w:t>
            </w:r>
            <w:r>
              <w:rPr>
                <w:sz w:val="18"/>
              </w:rPr>
              <w:t>service</w:t>
            </w:r>
            <w:r>
              <w:rPr>
                <w:spacing w:val="4"/>
                <w:sz w:val="18"/>
              </w:rPr>
              <w:t xml:space="preserve"> </w:t>
            </w:r>
            <w:r>
              <w:rPr>
                <w:spacing w:val="-2"/>
                <w:sz w:val="18"/>
              </w:rPr>
              <w:t>leave</w:t>
            </w:r>
          </w:p>
        </w:tc>
        <w:tc>
          <w:tcPr>
            <w:tcW w:w="1139" w:type="dxa"/>
            <w:tcBorders>
              <w:left w:val="nil"/>
              <w:right w:val="nil"/>
            </w:tcBorders>
            <w:shd w:val="clear" w:color="auto" w:fill="F1F1F1"/>
          </w:tcPr>
          <w:p w14:paraId="71937383" w14:textId="77777777" w:rsidR="00AC6F3C" w:rsidRDefault="00AC6F3C">
            <w:pPr>
              <w:pStyle w:val="TableParagraph"/>
              <w:rPr>
                <w:sz w:val="20"/>
              </w:rPr>
            </w:pPr>
          </w:p>
          <w:p w14:paraId="40C35C81" w14:textId="77777777" w:rsidR="00AC6F3C" w:rsidRDefault="00AC6F3C">
            <w:pPr>
              <w:pStyle w:val="TableParagraph"/>
              <w:rPr>
                <w:sz w:val="20"/>
              </w:rPr>
            </w:pPr>
          </w:p>
          <w:p w14:paraId="21C09AB4" w14:textId="77777777" w:rsidR="00AC6F3C" w:rsidRDefault="00570E88">
            <w:pPr>
              <w:pStyle w:val="TableParagraph"/>
              <w:spacing w:before="179"/>
              <w:ind w:right="35"/>
              <w:jc w:val="right"/>
              <w:rPr>
                <w:sz w:val="18"/>
              </w:rPr>
            </w:pPr>
            <w:r>
              <w:rPr>
                <w:spacing w:val="-5"/>
                <w:sz w:val="18"/>
              </w:rPr>
              <w:t>916</w:t>
            </w:r>
          </w:p>
          <w:p w14:paraId="74FBBD0F" w14:textId="77777777" w:rsidR="00AC6F3C" w:rsidRDefault="00570E88">
            <w:pPr>
              <w:pStyle w:val="TableParagraph"/>
              <w:spacing w:before="92"/>
              <w:ind w:right="35"/>
              <w:jc w:val="right"/>
              <w:rPr>
                <w:sz w:val="18"/>
              </w:rPr>
            </w:pPr>
            <w:r>
              <w:rPr>
                <w:spacing w:val="-2"/>
                <w:sz w:val="18"/>
              </w:rPr>
              <w:t>1,037</w:t>
            </w:r>
          </w:p>
        </w:tc>
        <w:tc>
          <w:tcPr>
            <w:tcW w:w="1109" w:type="dxa"/>
            <w:gridSpan w:val="2"/>
            <w:tcBorders>
              <w:left w:val="nil"/>
              <w:right w:val="nil"/>
            </w:tcBorders>
          </w:tcPr>
          <w:p w14:paraId="7890E833" w14:textId="77777777" w:rsidR="00AC6F3C" w:rsidRDefault="00AC6F3C">
            <w:pPr>
              <w:pStyle w:val="TableParagraph"/>
              <w:rPr>
                <w:sz w:val="20"/>
              </w:rPr>
            </w:pPr>
          </w:p>
          <w:p w14:paraId="6A28E130" w14:textId="77777777" w:rsidR="00AC6F3C" w:rsidRDefault="00AC6F3C">
            <w:pPr>
              <w:pStyle w:val="TableParagraph"/>
              <w:rPr>
                <w:sz w:val="20"/>
              </w:rPr>
            </w:pPr>
          </w:p>
          <w:p w14:paraId="3D53E799" w14:textId="77777777" w:rsidR="00AC6F3C" w:rsidRDefault="00570E88">
            <w:pPr>
              <w:pStyle w:val="TableParagraph"/>
              <w:spacing w:before="179"/>
              <w:ind w:right="20"/>
              <w:jc w:val="right"/>
              <w:rPr>
                <w:sz w:val="18"/>
              </w:rPr>
            </w:pPr>
            <w:r>
              <w:rPr>
                <w:spacing w:val="-5"/>
                <w:sz w:val="18"/>
              </w:rPr>
              <w:t>871</w:t>
            </w:r>
          </w:p>
          <w:p w14:paraId="56E8A768" w14:textId="77777777" w:rsidR="00AC6F3C" w:rsidRDefault="00570E88">
            <w:pPr>
              <w:pStyle w:val="TableParagraph"/>
              <w:spacing w:before="92"/>
              <w:ind w:right="20"/>
              <w:jc w:val="right"/>
              <w:rPr>
                <w:sz w:val="18"/>
              </w:rPr>
            </w:pPr>
            <w:r>
              <w:rPr>
                <w:spacing w:val="-2"/>
                <w:sz w:val="18"/>
              </w:rPr>
              <w:t>1,016</w:t>
            </w:r>
          </w:p>
        </w:tc>
        <w:tc>
          <w:tcPr>
            <w:tcW w:w="1139" w:type="dxa"/>
            <w:tcBorders>
              <w:left w:val="nil"/>
              <w:right w:val="nil"/>
            </w:tcBorders>
            <w:shd w:val="clear" w:color="auto" w:fill="F1F1F1"/>
          </w:tcPr>
          <w:p w14:paraId="366B1DEB" w14:textId="77777777" w:rsidR="00AC6F3C" w:rsidRDefault="00AC6F3C">
            <w:pPr>
              <w:pStyle w:val="TableParagraph"/>
              <w:rPr>
                <w:sz w:val="20"/>
              </w:rPr>
            </w:pPr>
          </w:p>
          <w:p w14:paraId="466791BE" w14:textId="77777777" w:rsidR="00AC6F3C" w:rsidRDefault="00AC6F3C">
            <w:pPr>
              <w:pStyle w:val="TableParagraph"/>
              <w:rPr>
                <w:sz w:val="20"/>
              </w:rPr>
            </w:pPr>
          </w:p>
          <w:p w14:paraId="0E4F09E8" w14:textId="77777777" w:rsidR="00AC6F3C" w:rsidRDefault="00570E88">
            <w:pPr>
              <w:pStyle w:val="TableParagraph"/>
              <w:spacing w:before="179"/>
              <w:ind w:right="35"/>
              <w:jc w:val="right"/>
              <w:rPr>
                <w:sz w:val="18"/>
              </w:rPr>
            </w:pPr>
            <w:r>
              <w:rPr>
                <w:spacing w:val="-5"/>
                <w:sz w:val="18"/>
              </w:rPr>
              <w:t>649</w:t>
            </w:r>
          </w:p>
          <w:p w14:paraId="093BC1A2" w14:textId="77777777" w:rsidR="00AC6F3C" w:rsidRDefault="00570E88">
            <w:pPr>
              <w:pStyle w:val="TableParagraph"/>
              <w:spacing w:before="92"/>
              <w:ind w:right="35"/>
              <w:jc w:val="right"/>
              <w:rPr>
                <w:sz w:val="18"/>
              </w:rPr>
            </w:pPr>
            <w:r>
              <w:rPr>
                <w:spacing w:val="-5"/>
                <w:sz w:val="18"/>
              </w:rPr>
              <w:t>561</w:t>
            </w:r>
          </w:p>
        </w:tc>
        <w:tc>
          <w:tcPr>
            <w:tcW w:w="1116" w:type="dxa"/>
            <w:gridSpan w:val="2"/>
            <w:tcBorders>
              <w:left w:val="nil"/>
            </w:tcBorders>
          </w:tcPr>
          <w:p w14:paraId="548007BE" w14:textId="77777777" w:rsidR="00AC6F3C" w:rsidRDefault="00AC6F3C">
            <w:pPr>
              <w:pStyle w:val="TableParagraph"/>
              <w:rPr>
                <w:sz w:val="20"/>
              </w:rPr>
            </w:pPr>
          </w:p>
          <w:p w14:paraId="4EB5DE16" w14:textId="77777777" w:rsidR="00AC6F3C" w:rsidRDefault="00AC6F3C">
            <w:pPr>
              <w:pStyle w:val="TableParagraph"/>
              <w:rPr>
                <w:sz w:val="20"/>
              </w:rPr>
            </w:pPr>
          </w:p>
          <w:p w14:paraId="3215D892" w14:textId="77777777" w:rsidR="00AC6F3C" w:rsidRDefault="00570E88">
            <w:pPr>
              <w:pStyle w:val="TableParagraph"/>
              <w:spacing w:before="179"/>
              <w:ind w:right="20"/>
              <w:jc w:val="right"/>
              <w:rPr>
                <w:sz w:val="18"/>
              </w:rPr>
            </w:pPr>
            <w:r>
              <w:rPr>
                <w:spacing w:val="-5"/>
                <w:sz w:val="18"/>
              </w:rPr>
              <w:t>621</w:t>
            </w:r>
          </w:p>
          <w:p w14:paraId="0B222612" w14:textId="77777777" w:rsidR="00AC6F3C" w:rsidRDefault="00570E88">
            <w:pPr>
              <w:pStyle w:val="TableParagraph"/>
              <w:spacing w:before="92"/>
              <w:ind w:right="20"/>
              <w:jc w:val="right"/>
              <w:rPr>
                <w:sz w:val="18"/>
              </w:rPr>
            </w:pPr>
            <w:r>
              <w:rPr>
                <w:spacing w:val="-5"/>
                <w:sz w:val="18"/>
              </w:rPr>
              <w:t>600</w:t>
            </w:r>
          </w:p>
        </w:tc>
      </w:tr>
      <w:tr w:rsidR="00AC6F3C" w14:paraId="277C26E2" w14:textId="77777777">
        <w:trPr>
          <w:trHeight w:val="284"/>
        </w:trPr>
        <w:tc>
          <w:tcPr>
            <w:tcW w:w="3874" w:type="dxa"/>
            <w:tcBorders>
              <w:right w:val="nil"/>
            </w:tcBorders>
            <w:shd w:val="clear" w:color="auto" w:fill="BEBEBE"/>
          </w:tcPr>
          <w:p w14:paraId="0514E13C" w14:textId="77777777" w:rsidR="00AC6F3C" w:rsidRDefault="00570E88">
            <w:pPr>
              <w:pStyle w:val="TableParagraph"/>
              <w:spacing w:before="40"/>
              <w:ind w:left="37"/>
              <w:rPr>
                <w:b/>
                <w:sz w:val="18"/>
              </w:rPr>
            </w:pPr>
            <w:r>
              <w:rPr>
                <w:b/>
                <w:spacing w:val="-2"/>
                <w:sz w:val="18"/>
              </w:rPr>
              <w:t>Total</w:t>
            </w:r>
            <w:r>
              <w:rPr>
                <w:b/>
                <w:spacing w:val="-5"/>
                <w:sz w:val="18"/>
              </w:rPr>
              <w:t xml:space="preserve"> </w:t>
            </w:r>
            <w:r>
              <w:rPr>
                <w:b/>
                <w:spacing w:val="-2"/>
                <w:sz w:val="18"/>
              </w:rPr>
              <w:t>current</w:t>
            </w:r>
            <w:r>
              <w:rPr>
                <w:b/>
                <w:spacing w:val="3"/>
                <w:sz w:val="18"/>
              </w:rPr>
              <w:t xml:space="preserve"> </w:t>
            </w:r>
            <w:r>
              <w:rPr>
                <w:b/>
                <w:spacing w:val="-2"/>
                <w:sz w:val="18"/>
              </w:rPr>
              <w:t>accrued</w:t>
            </w:r>
            <w:r>
              <w:rPr>
                <w:b/>
                <w:spacing w:val="-3"/>
                <w:sz w:val="18"/>
              </w:rPr>
              <w:t xml:space="preserve"> </w:t>
            </w:r>
            <w:r>
              <w:rPr>
                <w:b/>
                <w:spacing w:val="-2"/>
                <w:sz w:val="18"/>
              </w:rPr>
              <w:t>employee</w:t>
            </w:r>
            <w:r>
              <w:rPr>
                <w:b/>
                <w:spacing w:val="7"/>
                <w:sz w:val="18"/>
              </w:rPr>
              <w:t xml:space="preserve"> </w:t>
            </w:r>
            <w:r>
              <w:rPr>
                <w:b/>
                <w:spacing w:val="-2"/>
                <w:sz w:val="18"/>
              </w:rPr>
              <w:t>benefits</w:t>
            </w:r>
          </w:p>
        </w:tc>
        <w:tc>
          <w:tcPr>
            <w:tcW w:w="1718" w:type="dxa"/>
            <w:gridSpan w:val="2"/>
            <w:tcBorders>
              <w:left w:val="nil"/>
              <w:right w:val="nil"/>
            </w:tcBorders>
            <w:shd w:val="clear" w:color="auto" w:fill="BEBEBE"/>
          </w:tcPr>
          <w:p w14:paraId="0D116F53" w14:textId="77777777" w:rsidR="00AC6F3C" w:rsidRDefault="00570E88">
            <w:pPr>
              <w:pStyle w:val="TableParagraph"/>
              <w:spacing w:before="40"/>
              <w:ind w:left="628" w:right="609"/>
              <w:jc w:val="center"/>
              <w:rPr>
                <w:b/>
                <w:sz w:val="18"/>
              </w:rPr>
            </w:pPr>
            <w:r>
              <w:rPr>
                <w:b/>
                <w:spacing w:val="-2"/>
                <w:sz w:val="18"/>
              </w:rPr>
              <w:t>1,953</w:t>
            </w:r>
          </w:p>
        </w:tc>
        <w:tc>
          <w:tcPr>
            <w:tcW w:w="530" w:type="dxa"/>
            <w:tcBorders>
              <w:left w:val="nil"/>
              <w:right w:val="nil"/>
            </w:tcBorders>
            <w:shd w:val="clear" w:color="auto" w:fill="BEBEBE"/>
          </w:tcPr>
          <w:p w14:paraId="70E8834A" w14:textId="77777777" w:rsidR="00AC6F3C" w:rsidRDefault="00570E88">
            <w:pPr>
              <w:pStyle w:val="TableParagraph"/>
              <w:spacing w:before="40"/>
              <w:ind w:left="34" w:right="15"/>
              <w:jc w:val="center"/>
              <w:rPr>
                <w:b/>
                <w:sz w:val="18"/>
              </w:rPr>
            </w:pPr>
            <w:r>
              <w:rPr>
                <w:b/>
                <w:spacing w:val="-2"/>
                <w:sz w:val="18"/>
              </w:rPr>
              <w:t>1,887</w:t>
            </w:r>
          </w:p>
        </w:tc>
        <w:tc>
          <w:tcPr>
            <w:tcW w:w="1581" w:type="dxa"/>
            <w:gridSpan w:val="2"/>
            <w:tcBorders>
              <w:left w:val="nil"/>
              <w:right w:val="nil"/>
            </w:tcBorders>
            <w:shd w:val="clear" w:color="auto" w:fill="BEBEBE"/>
          </w:tcPr>
          <w:p w14:paraId="23019A4E" w14:textId="77777777" w:rsidR="00AC6F3C" w:rsidRDefault="00570E88">
            <w:pPr>
              <w:pStyle w:val="TableParagraph"/>
              <w:spacing w:before="40"/>
              <w:ind w:left="636"/>
              <w:rPr>
                <w:b/>
                <w:sz w:val="18"/>
              </w:rPr>
            </w:pPr>
            <w:r>
              <w:rPr>
                <w:b/>
                <w:spacing w:val="-2"/>
                <w:sz w:val="18"/>
              </w:rPr>
              <w:t>1,210</w:t>
            </w:r>
          </w:p>
        </w:tc>
        <w:tc>
          <w:tcPr>
            <w:tcW w:w="674" w:type="dxa"/>
            <w:tcBorders>
              <w:left w:val="nil"/>
            </w:tcBorders>
            <w:shd w:val="clear" w:color="auto" w:fill="BEBEBE"/>
          </w:tcPr>
          <w:p w14:paraId="0F8975E2" w14:textId="77777777" w:rsidR="00AC6F3C" w:rsidRDefault="00570E88">
            <w:pPr>
              <w:pStyle w:val="TableParagraph"/>
              <w:spacing w:before="40"/>
              <w:ind w:right="20"/>
              <w:jc w:val="right"/>
              <w:rPr>
                <w:b/>
                <w:sz w:val="18"/>
              </w:rPr>
            </w:pPr>
            <w:r>
              <w:rPr>
                <w:b/>
                <w:spacing w:val="-2"/>
                <w:sz w:val="18"/>
              </w:rPr>
              <w:t>1,221</w:t>
            </w:r>
          </w:p>
        </w:tc>
      </w:tr>
      <w:tr w:rsidR="00AC6F3C" w14:paraId="49BE6DCB" w14:textId="77777777">
        <w:trPr>
          <w:trHeight w:val="882"/>
        </w:trPr>
        <w:tc>
          <w:tcPr>
            <w:tcW w:w="3874" w:type="dxa"/>
            <w:tcBorders>
              <w:right w:val="nil"/>
            </w:tcBorders>
          </w:tcPr>
          <w:p w14:paraId="60EC8663" w14:textId="77777777" w:rsidR="00AC6F3C" w:rsidRDefault="00AC6F3C">
            <w:pPr>
              <w:pStyle w:val="TableParagraph"/>
              <w:spacing w:before="6"/>
              <w:rPr>
                <w:sz w:val="29"/>
              </w:rPr>
            </w:pPr>
          </w:p>
          <w:p w14:paraId="6CEC7F72" w14:textId="77777777" w:rsidR="00AC6F3C" w:rsidRDefault="00570E88">
            <w:pPr>
              <w:pStyle w:val="TableParagraph"/>
              <w:ind w:left="37"/>
              <w:rPr>
                <w:b/>
                <w:sz w:val="18"/>
              </w:rPr>
            </w:pPr>
            <w:r>
              <w:rPr>
                <w:b/>
                <w:spacing w:val="-8"/>
                <w:sz w:val="18"/>
              </w:rPr>
              <w:t>Non-</w:t>
            </w:r>
            <w:r>
              <w:rPr>
                <w:b/>
                <w:spacing w:val="-2"/>
                <w:sz w:val="18"/>
              </w:rPr>
              <w:t>current</w:t>
            </w:r>
          </w:p>
          <w:p w14:paraId="47E21F71" w14:textId="77777777" w:rsidR="00AC6F3C" w:rsidRDefault="00570E88">
            <w:pPr>
              <w:pStyle w:val="TableParagraph"/>
              <w:spacing w:before="92"/>
              <w:ind w:left="37"/>
              <w:rPr>
                <w:sz w:val="18"/>
              </w:rPr>
            </w:pPr>
            <w:r>
              <w:rPr>
                <w:sz w:val="18"/>
              </w:rPr>
              <w:t>Long</w:t>
            </w:r>
            <w:r>
              <w:rPr>
                <w:spacing w:val="4"/>
                <w:sz w:val="18"/>
              </w:rPr>
              <w:t xml:space="preserve"> </w:t>
            </w:r>
            <w:r>
              <w:rPr>
                <w:sz w:val="18"/>
              </w:rPr>
              <w:t>service</w:t>
            </w:r>
            <w:r>
              <w:rPr>
                <w:spacing w:val="4"/>
                <w:sz w:val="18"/>
              </w:rPr>
              <w:t xml:space="preserve"> </w:t>
            </w:r>
            <w:r>
              <w:rPr>
                <w:spacing w:val="-2"/>
                <w:sz w:val="18"/>
              </w:rPr>
              <w:t>leave</w:t>
            </w:r>
          </w:p>
        </w:tc>
        <w:tc>
          <w:tcPr>
            <w:tcW w:w="1139" w:type="dxa"/>
            <w:tcBorders>
              <w:left w:val="nil"/>
              <w:right w:val="nil"/>
            </w:tcBorders>
            <w:shd w:val="clear" w:color="auto" w:fill="F1F1F1"/>
          </w:tcPr>
          <w:p w14:paraId="48DD0299" w14:textId="77777777" w:rsidR="00AC6F3C" w:rsidRDefault="00AC6F3C">
            <w:pPr>
              <w:pStyle w:val="TableParagraph"/>
              <w:rPr>
                <w:sz w:val="20"/>
              </w:rPr>
            </w:pPr>
          </w:p>
          <w:p w14:paraId="61B98B89" w14:textId="77777777" w:rsidR="00AC6F3C" w:rsidRDefault="00AC6F3C">
            <w:pPr>
              <w:pStyle w:val="TableParagraph"/>
              <w:rPr>
                <w:sz w:val="20"/>
              </w:rPr>
            </w:pPr>
          </w:p>
          <w:p w14:paraId="262AEC73" w14:textId="77777777" w:rsidR="00AC6F3C" w:rsidRDefault="00570E88">
            <w:pPr>
              <w:pStyle w:val="TableParagraph"/>
              <w:spacing w:before="179"/>
              <w:ind w:right="35"/>
              <w:jc w:val="right"/>
              <w:rPr>
                <w:sz w:val="18"/>
              </w:rPr>
            </w:pPr>
            <w:r>
              <w:rPr>
                <w:spacing w:val="-5"/>
                <w:sz w:val="18"/>
              </w:rPr>
              <w:t>315</w:t>
            </w:r>
          </w:p>
        </w:tc>
        <w:tc>
          <w:tcPr>
            <w:tcW w:w="1109" w:type="dxa"/>
            <w:gridSpan w:val="2"/>
            <w:tcBorders>
              <w:left w:val="nil"/>
              <w:right w:val="nil"/>
            </w:tcBorders>
          </w:tcPr>
          <w:p w14:paraId="57BDBDE9" w14:textId="77777777" w:rsidR="00AC6F3C" w:rsidRDefault="00AC6F3C">
            <w:pPr>
              <w:pStyle w:val="TableParagraph"/>
              <w:rPr>
                <w:sz w:val="20"/>
              </w:rPr>
            </w:pPr>
          </w:p>
          <w:p w14:paraId="252B6E16" w14:textId="77777777" w:rsidR="00AC6F3C" w:rsidRDefault="00AC6F3C">
            <w:pPr>
              <w:pStyle w:val="TableParagraph"/>
              <w:rPr>
                <w:sz w:val="20"/>
              </w:rPr>
            </w:pPr>
          </w:p>
          <w:p w14:paraId="0E2AFEB0" w14:textId="77777777" w:rsidR="00AC6F3C" w:rsidRDefault="00570E88">
            <w:pPr>
              <w:pStyle w:val="TableParagraph"/>
              <w:spacing w:before="179"/>
              <w:ind w:right="20"/>
              <w:jc w:val="right"/>
              <w:rPr>
                <w:sz w:val="18"/>
              </w:rPr>
            </w:pPr>
            <w:r>
              <w:rPr>
                <w:spacing w:val="-5"/>
                <w:sz w:val="18"/>
              </w:rPr>
              <w:t>267</w:t>
            </w:r>
          </w:p>
        </w:tc>
        <w:tc>
          <w:tcPr>
            <w:tcW w:w="1139" w:type="dxa"/>
            <w:tcBorders>
              <w:left w:val="nil"/>
              <w:right w:val="nil"/>
            </w:tcBorders>
            <w:shd w:val="clear" w:color="auto" w:fill="F1F1F1"/>
          </w:tcPr>
          <w:p w14:paraId="22795E5C" w14:textId="77777777" w:rsidR="00AC6F3C" w:rsidRDefault="00AC6F3C">
            <w:pPr>
              <w:pStyle w:val="TableParagraph"/>
              <w:rPr>
                <w:sz w:val="20"/>
              </w:rPr>
            </w:pPr>
          </w:p>
          <w:p w14:paraId="2525C0A5" w14:textId="77777777" w:rsidR="00AC6F3C" w:rsidRDefault="00AC6F3C">
            <w:pPr>
              <w:pStyle w:val="TableParagraph"/>
              <w:rPr>
                <w:sz w:val="20"/>
              </w:rPr>
            </w:pPr>
          </w:p>
          <w:p w14:paraId="345C4FE3" w14:textId="77777777" w:rsidR="00AC6F3C" w:rsidRDefault="00570E88">
            <w:pPr>
              <w:pStyle w:val="TableParagraph"/>
              <w:spacing w:before="179"/>
              <w:ind w:right="35"/>
              <w:jc w:val="right"/>
              <w:rPr>
                <w:sz w:val="18"/>
              </w:rPr>
            </w:pPr>
            <w:r>
              <w:rPr>
                <w:spacing w:val="-5"/>
                <w:sz w:val="18"/>
              </w:rPr>
              <w:t>240</w:t>
            </w:r>
          </w:p>
        </w:tc>
        <w:tc>
          <w:tcPr>
            <w:tcW w:w="1116" w:type="dxa"/>
            <w:gridSpan w:val="2"/>
            <w:tcBorders>
              <w:left w:val="nil"/>
            </w:tcBorders>
          </w:tcPr>
          <w:p w14:paraId="5471780D" w14:textId="77777777" w:rsidR="00AC6F3C" w:rsidRDefault="00AC6F3C">
            <w:pPr>
              <w:pStyle w:val="TableParagraph"/>
              <w:rPr>
                <w:sz w:val="20"/>
              </w:rPr>
            </w:pPr>
          </w:p>
          <w:p w14:paraId="20177A98" w14:textId="77777777" w:rsidR="00AC6F3C" w:rsidRDefault="00AC6F3C">
            <w:pPr>
              <w:pStyle w:val="TableParagraph"/>
              <w:rPr>
                <w:sz w:val="20"/>
              </w:rPr>
            </w:pPr>
          </w:p>
          <w:p w14:paraId="3FC6D3F6" w14:textId="77777777" w:rsidR="00AC6F3C" w:rsidRDefault="00570E88">
            <w:pPr>
              <w:pStyle w:val="TableParagraph"/>
              <w:spacing w:before="179"/>
              <w:ind w:right="20"/>
              <w:jc w:val="right"/>
              <w:rPr>
                <w:sz w:val="18"/>
              </w:rPr>
            </w:pPr>
            <w:r>
              <w:rPr>
                <w:spacing w:val="-5"/>
                <w:sz w:val="18"/>
              </w:rPr>
              <w:t>217</w:t>
            </w:r>
          </w:p>
        </w:tc>
      </w:tr>
      <w:tr w:rsidR="00AC6F3C" w14:paraId="39DCC2C2" w14:textId="77777777">
        <w:trPr>
          <w:trHeight w:val="463"/>
        </w:trPr>
        <w:tc>
          <w:tcPr>
            <w:tcW w:w="3874" w:type="dxa"/>
            <w:tcBorders>
              <w:right w:val="nil"/>
            </w:tcBorders>
            <w:shd w:val="clear" w:color="auto" w:fill="BEBEBE"/>
          </w:tcPr>
          <w:p w14:paraId="2986CE07" w14:textId="77777777" w:rsidR="00AC6F3C" w:rsidRDefault="00570E88">
            <w:pPr>
              <w:pStyle w:val="TableParagraph"/>
              <w:spacing w:before="10"/>
              <w:ind w:left="37"/>
              <w:rPr>
                <w:b/>
                <w:sz w:val="18"/>
              </w:rPr>
            </w:pPr>
            <w:r>
              <w:rPr>
                <w:b/>
                <w:spacing w:val="-2"/>
                <w:sz w:val="18"/>
              </w:rPr>
              <w:t>Total</w:t>
            </w:r>
            <w:r>
              <w:rPr>
                <w:b/>
                <w:spacing w:val="-6"/>
                <w:sz w:val="18"/>
              </w:rPr>
              <w:t xml:space="preserve"> </w:t>
            </w:r>
            <w:r>
              <w:rPr>
                <w:b/>
                <w:spacing w:val="-2"/>
                <w:sz w:val="18"/>
              </w:rPr>
              <w:t>non-current</w:t>
            </w:r>
            <w:r>
              <w:rPr>
                <w:b/>
                <w:spacing w:val="1"/>
                <w:sz w:val="18"/>
              </w:rPr>
              <w:t xml:space="preserve"> </w:t>
            </w:r>
            <w:r>
              <w:rPr>
                <w:b/>
                <w:spacing w:val="-2"/>
                <w:sz w:val="18"/>
              </w:rPr>
              <w:t>accrued</w:t>
            </w:r>
            <w:r>
              <w:rPr>
                <w:b/>
                <w:spacing w:val="-6"/>
                <w:sz w:val="18"/>
              </w:rPr>
              <w:t xml:space="preserve"> </w:t>
            </w:r>
            <w:r>
              <w:rPr>
                <w:b/>
                <w:spacing w:val="-2"/>
                <w:sz w:val="18"/>
              </w:rPr>
              <w:t>employee</w:t>
            </w:r>
          </w:p>
          <w:p w14:paraId="339AAEBF" w14:textId="77777777" w:rsidR="00AC6F3C" w:rsidRDefault="00570E88">
            <w:pPr>
              <w:pStyle w:val="TableParagraph"/>
              <w:spacing w:before="33" w:line="194" w:lineRule="exact"/>
              <w:ind w:left="37"/>
              <w:rPr>
                <w:b/>
                <w:sz w:val="18"/>
              </w:rPr>
            </w:pPr>
            <w:r>
              <w:rPr>
                <w:b/>
                <w:spacing w:val="-2"/>
                <w:sz w:val="18"/>
              </w:rPr>
              <w:t>benefits</w:t>
            </w:r>
          </w:p>
        </w:tc>
        <w:tc>
          <w:tcPr>
            <w:tcW w:w="1718" w:type="dxa"/>
            <w:gridSpan w:val="2"/>
            <w:tcBorders>
              <w:left w:val="nil"/>
              <w:right w:val="nil"/>
            </w:tcBorders>
            <w:shd w:val="clear" w:color="auto" w:fill="BEBEBE"/>
          </w:tcPr>
          <w:p w14:paraId="502EA4CF" w14:textId="77777777" w:rsidR="00AC6F3C" w:rsidRDefault="00570E88">
            <w:pPr>
              <w:pStyle w:val="TableParagraph"/>
              <w:spacing w:before="130"/>
              <w:ind w:left="628" w:right="458"/>
              <w:jc w:val="center"/>
              <w:rPr>
                <w:b/>
                <w:sz w:val="18"/>
              </w:rPr>
            </w:pPr>
            <w:r>
              <w:rPr>
                <w:b/>
                <w:spacing w:val="-5"/>
                <w:sz w:val="18"/>
              </w:rPr>
              <w:t>315</w:t>
            </w:r>
          </w:p>
        </w:tc>
        <w:tc>
          <w:tcPr>
            <w:tcW w:w="530" w:type="dxa"/>
            <w:tcBorders>
              <w:left w:val="nil"/>
              <w:right w:val="nil"/>
            </w:tcBorders>
            <w:shd w:val="clear" w:color="auto" w:fill="BEBEBE"/>
          </w:tcPr>
          <w:p w14:paraId="287587B8" w14:textId="77777777" w:rsidR="00AC6F3C" w:rsidRDefault="00570E88">
            <w:pPr>
              <w:pStyle w:val="TableParagraph"/>
              <w:spacing w:before="130"/>
              <w:ind w:left="184" w:right="15"/>
              <w:jc w:val="center"/>
              <w:rPr>
                <w:b/>
                <w:sz w:val="18"/>
              </w:rPr>
            </w:pPr>
            <w:r>
              <w:rPr>
                <w:b/>
                <w:spacing w:val="-5"/>
                <w:sz w:val="18"/>
              </w:rPr>
              <w:t>267</w:t>
            </w:r>
          </w:p>
        </w:tc>
        <w:tc>
          <w:tcPr>
            <w:tcW w:w="1581" w:type="dxa"/>
            <w:gridSpan w:val="2"/>
            <w:tcBorders>
              <w:left w:val="nil"/>
              <w:right w:val="nil"/>
            </w:tcBorders>
            <w:shd w:val="clear" w:color="auto" w:fill="BEBEBE"/>
          </w:tcPr>
          <w:p w14:paraId="3FE4749C" w14:textId="77777777" w:rsidR="00AC6F3C" w:rsidRDefault="00570E88">
            <w:pPr>
              <w:pStyle w:val="TableParagraph"/>
              <w:spacing w:before="130"/>
              <w:ind w:left="786"/>
              <w:rPr>
                <w:b/>
                <w:sz w:val="18"/>
              </w:rPr>
            </w:pPr>
            <w:r>
              <w:rPr>
                <w:b/>
                <w:spacing w:val="-5"/>
                <w:sz w:val="18"/>
              </w:rPr>
              <w:t>240</w:t>
            </w:r>
          </w:p>
        </w:tc>
        <w:tc>
          <w:tcPr>
            <w:tcW w:w="674" w:type="dxa"/>
            <w:tcBorders>
              <w:left w:val="nil"/>
            </w:tcBorders>
            <w:shd w:val="clear" w:color="auto" w:fill="BEBEBE"/>
          </w:tcPr>
          <w:p w14:paraId="3A5A6B8D" w14:textId="77777777" w:rsidR="00AC6F3C" w:rsidRDefault="00570E88">
            <w:pPr>
              <w:pStyle w:val="TableParagraph"/>
              <w:spacing w:before="130"/>
              <w:ind w:right="20"/>
              <w:jc w:val="right"/>
              <w:rPr>
                <w:b/>
                <w:sz w:val="18"/>
              </w:rPr>
            </w:pPr>
            <w:r>
              <w:rPr>
                <w:b/>
                <w:spacing w:val="-5"/>
                <w:sz w:val="18"/>
              </w:rPr>
              <w:t>217</w:t>
            </w:r>
          </w:p>
        </w:tc>
      </w:tr>
      <w:tr w:rsidR="00AC6F3C" w14:paraId="2F52275D" w14:textId="77777777">
        <w:trPr>
          <w:trHeight w:val="882"/>
        </w:trPr>
        <w:tc>
          <w:tcPr>
            <w:tcW w:w="3874" w:type="dxa"/>
            <w:tcBorders>
              <w:right w:val="nil"/>
            </w:tcBorders>
          </w:tcPr>
          <w:p w14:paraId="652871B4" w14:textId="77777777" w:rsidR="00AC6F3C" w:rsidRDefault="00AC6F3C">
            <w:pPr>
              <w:pStyle w:val="TableParagraph"/>
              <w:spacing w:before="5"/>
              <w:rPr>
                <w:sz w:val="21"/>
              </w:rPr>
            </w:pPr>
          </w:p>
          <w:p w14:paraId="5B9EEF70" w14:textId="77777777" w:rsidR="00AC6F3C" w:rsidRDefault="00570E88">
            <w:pPr>
              <w:pStyle w:val="TableParagraph"/>
              <w:spacing w:line="300" w:lineRule="atLeast"/>
              <w:ind w:left="37" w:right="1344"/>
              <w:rPr>
                <w:sz w:val="18"/>
              </w:rPr>
            </w:pPr>
            <w:r>
              <w:rPr>
                <w:sz w:val="18"/>
              </w:rPr>
              <w:t>Current long service leave Non-current</w:t>
            </w:r>
            <w:r>
              <w:rPr>
                <w:spacing w:val="-7"/>
                <w:sz w:val="18"/>
              </w:rPr>
              <w:t xml:space="preserve"> </w:t>
            </w:r>
            <w:r>
              <w:rPr>
                <w:sz w:val="18"/>
              </w:rPr>
              <w:t>long service leave</w:t>
            </w:r>
          </w:p>
        </w:tc>
        <w:tc>
          <w:tcPr>
            <w:tcW w:w="1139" w:type="dxa"/>
            <w:tcBorders>
              <w:left w:val="nil"/>
              <w:right w:val="nil"/>
            </w:tcBorders>
            <w:shd w:val="clear" w:color="auto" w:fill="F1F1F1"/>
          </w:tcPr>
          <w:p w14:paraId="7B548ED9" w14:textId="77777777" w:rsidR="00AC6F3C" w:rsidRDefault="00AC6F3C">
            <w:pPr>
              <w:pStyle w:val="TableParagraph"/>
              <w:spacing w:before="6"/>
              <w:rPr>
                <w:sz w:val="29"/>
              </w:rPr>
            </w:pPr>
          </w:p>
          <w:p w14:paraId="75F92200" w14:textId="77777777" w:rsidR="00AC6F3C" w:rsidRDefault="00570E88">
            <w:pPr>
              <w:pStyle w:val="TableParagraph"/>
              <w:ind w:right="35"/>
              <w:jc w:val="right"/>
              <w:rPr>
                <w:sz w:val="18"/>
              </w:rPr>
            </w:pPr>
            <w:r>
              <w:rPr>
                <w:spacing w:val="-2"/>
                <w:sz w:val="18"/>
              </w:rPr>
              <w:t>1,037</w:t>
            </w:r>
          </w:p>
          <w:p w14:paraId="719A4DE9" w14:textId="77777777" w:rsidR="00AC6F3C" w:rsidRDefault="00570E88">
            <w:pPr>
              <w:pStyle w:val="TableParagraph"/>
              <w:spacing w:before="92"/>
              <w:ind w:right="35"/>
              <w:jc w:val="right"/>
              <w:rPr>
                <w:sz w:val="18"/>
              </w:rPr>
            </w:pPr>
            <w:r>
              <w:rPr>
                <w:spacing w:val="-5"/>
                <w:sz w:val="18"/>
              </w:rPr>
              <w:t>315</w:t>
            </w:r>
          </w:p>
        </w:tc>
        <w:tc>
          <w:tcPr>
            <w:tcW w:w="1109" w:type="dxa"/>
            <w:gridSpan w:val="2"/>
            <w:tcBorders>
              <w:left w:val="nil"/>
              <w:right w:val="nil"/>
            </w:tcBorders>
          </w:tcPr>
          <w:p w14:paraId="47ABE3D9" w14:textId="77777777" w:rsidR="00AC6F3C" w:rsidRDefault="00AC6F3C">
            <w:pPr>
              <w:pStyle w:val="TableParagraph"/>
              <w:spacing w:before="6"/>
              <w:rPr>
                <w:sz w:val="29"/>
              </w:rPr>
            </w:pPr>
          </w:p>
          <w:p w14:paraId="2850CD95" w14:textId="77777777" w:rsidR="00AC6F3C" w:rsidRDefault="00570E88">
            <w:pPr>
              <w:pStyle w:val="TableParagraph"/>
              <w:ind w:right="20"/>
              <w:jc w:val="right"/>
              <w:rPr>
                <w:sz w:val="18"/>
              </w:rPr>
            </w:pPr>
            <w:r>
              <w:rPr>
                <w:spacing w:val="-2"/>
                <w:sz w:val="18"/>
              </w:rPr>
              <w:t>1,016</w:t>
            </w:r>
          </w:p>
          <w:p w14:paraId="3EEB8720" w14:textId="77777777" w:rsidR="00AC6F3C" w:rsidRDefault="00570E88">
            <w:pPr>
              <w:pStyle w:val="TableParagraph"/>
              <w:spacing w:before="92"/>
              <w:ind w:right="20"/>
              <w:jc w:val="right"/>
              <w:rPr>
                <w:sz w:val="18"/>
              </w:rPr>
            </w:pPr>
            <w:r>
              <w:rPr>
                <w:spacing w:val="-5"/>
                <w:sz w:val="18"/>
              </w:rPr>
              <w:t>267</w:t>
            </w:r>
          </w:p>
        </w:tc>
        <w:tc>
          <w:tcPr>
            <w:tcW w:w="1139" w:type="dxa"/>
            <w:tcBorders>
              <w:left w:val="nil"/>
              <w:right w:val="nil"/>
            </w:tcBorders>
            <w:shd w:val="clear" w:color="auto" w:fill="F1F1F1"/>
          </w:tcPr>
          <w:p w14:paraId="6CABA0BA" w14:textId="77777777" w:rsidR="00AC6F3C" w:rsidRDefault="00AC6F3C">
            <w:pPr>
              <w:pStyle w:val="TableParagraph"/>
              <w:spacing w:before="6"/>
              <w:rPr>
                <w:sz w:val="29"/>
              </w:rPr>
            </w:pPr>
          </w:p>
          <w:p w14:paraId="0F41F210" w14:textId="77777777" w:rsidR="00AC6F3C" w:rsidRDefault="00570E88">
            <w:pPr>
              <w:pStyle w:val="TableParagraph"/>
              <w:ind w:right="35"/>
              <w:jc w:val="right"/>
              <w:rPr>
                <w:sz w:val="18"/>
              </w:rPr>
            </w:pPr>
            <w:r>
              <w:rPr>
                <w:spacing w:val="-5"/>
                <w:sz w:val="18"/>
              </w:rPr>
              <w:t>561</w:t>
            </w:r>
          </w:p>
          <w:p w14:paraId="6FF01844" w14:textId="77777777" w:rsidR="00AC6F3C" w:rsidRDefault="00570E88">
            <w:pPr>
              <w:pStyle w:val="TableParagraph"/>
              <w:spacing w:before="92"/>
              <w:ind w:right="35"/>
              <w:jc w:val="right"/>
              <w:rPr>
                <w:sz w:val="18"/>
              </w:rPr>
            </w:pPr>
            <w:r>
              <w:rPr>
                <w:spacing w:val="-5"/>
                <w:sz w:val="18"/>
              </w:rPr>
              <w:t>240</w:t>
            </w:r>
          </w:p>
        </w:tc>
        <w:tc>
          <w:tcPr>
            <w:tcW w:w="1116" w:type="dxa"/>
            <w:gridSpan w:val="2"/>
            <w:tcBorders>
              <w:left w:val="nil"/>
            </w:tcBorders>
          </w:tcPr>
          <w:p w14:paraId="68DFDB57" w14:textId="77777777" w:rsidR="00AC6F3C" w:rsidRDefault="00AC6F3C">
            <w:pPr>
              <w:pStyle w:val="TableParagraph"/>
              <w:spacing w:before="6"/>
              <w:rPr>
                <w:sz w:val="29"/>
              </w:rPr>
            </w:pPr>
          </w:p>
          <w:p w14:paraId="6EEE9582" w14:textId="77777777" w:rsidR="00AC6F3C" w:rsidRDefault="00570E88">
            <w:pPr>
              <w:pStyle w:val="TableParagraph"/>
              <w:ind w:right="20"/>
              <w:jc w:val="right"/>
              <w:rPr>
                <w:sz w:val="18"/>
              </w:rPr>
            </w:pPr>
            <w:r>
              <w:rPr>
                <w:spacing w:val="-5"/>
                <w:sz w:val="18"/>
              </w:rPr>
              <w:t>600</w:t>
            </w:r>
          </w:p>
          <w:p w14:paraId="51EA9490" w14:textId="77777777" w:rsidR="00AC6F3C" w:rsidRDefault="00570E88">
            <w:pPr>
              <w:pStyle w:val="TableParagraph"/>
              <w:spacing w:before="92"/>
              <w:ind w:right="20"/>
              <w:jc w:val="right"/>
              <w:rPr>
                <w:sz w:val="18"/>
              </w:rPr>
            </w:pPr>
            <w:r>
              <w:rPr>
                <w:spacing w:val="-5"/>
                <w:sz w:val="18"/>
              </w:rPr>
              <w:t>217</w:t>
            </w:r>
          </w:p>
        </w:tc>
      </w:tr>
      <w:tr w:rsidR="00AC6F3C" w14:paraId="7D7CD803" w14:textId="77777777">
        <w:trPr>
          <w:trHeight w:val="284"/>
        </w:trPr>
        <w:tc>
          <w:tcPr>
            <w:tcW w:w="3874" w:type="dxa"/>
            <w:tcBorders>
              <w:right w:val="nil"/>
            </w:tcBorders>
            <w:shd w:val="clear" w:color="auto" w:fill="BEBEBE"/>
          </w:tcPr>
          <w:p w14:paraId="7DBCE676" w14:textId="77777777" w:rsidR="00AC6F3C" w:rsidRDefault="00570E88">
            <w:pPr>
              <w:pStyle w:val="TableParagraph"/>
              <w:spacing w:before="40"/>
              <w:ind w:left="37"/>
              <w:rPr>
                <w:b/>
                <w:sz w:val="18"/>
              </w:rPr>
            </w:pPr>
            <w:r>
              <w:rPr>
                <w:b/>
                <w:spacing w:val="-2"/>
                <w:sz w:val="18"/>
              </w:rPr>
              <w:t>Total</w:t>
            </w:r>
            <w:r>
              <w:rPr>
                <w:b/>
                <w:spacing w:val="-7"/>
                <w:sz w:val="18"/>
              </w:rPr>
              <w:t xml:space="preserve"> </w:t>
            </w:r>
            <w:r>
              <w:rPr>
                <w:b/>
                <w:spacing w:val="-2"/>
                <w:sz w:val="18"/>
              </w:rPr>
              <w:t>accrued</w:t>
            </w:r>
            <w:r>
              <w:rPr>
                <w:b/>
                <w:spacing w:val="-6"/>
                <w:sz w:val="18"/>
              </w:rPr>
              <w:t xml:space="preserve"> </w:t>
            </w:r>
            <w:r>
              <w:rPr>
                <w:b/>
                <w:spacing w:val="-2"/>
                <w:sz w:val="18"/>
              </w:rPr>
              <w:t>long</w:t>
            </w:r>
            <w:r>
              <w:rPr>
                <w:b/>
                <w:spacing w:val="-5"/>
                <w:sz w:val="18"/>
              </w:rPr>
              <w:t xml:space="preserve"> </w:t>
            </w:r>
            <w:r>
              <w:rPr>
                <w:b/>
                <w:spacing w:val="-2"/>
                <w:sz w:val="18"/>
              </w:rPr>
              <w:t>service</w:t>
            </w:r>
            <w:r>
              <w:rPr>
                <w:b/>
                <w:spacing w:val="4"/>
                <w:sz w:val="18"/>
              </w:rPr>
              <w:t xml:space="preserve"> </w:t>
            </w:r>
            <w:r>
              <w:rPr>
                <w:b/>
                <w:spacing w:val="-2"/>
                <w:sz w:val="18"/>
              </w:rPr>
              <w:t>leave</w:t>
            </w:r>
          </w:p>
        </w:tc>
        <w:tc>
          <w:tcPr>
            <w:tcW w:w="1718" w:type="dxa"/>
            <w:gridSpan w:val="2"/>
            <w:tcBorders>
              <w:left w:val="nil"/>
              <w:right w:val="nil"/>
            </w:tcBorders>
            <w:shd w:val="clear" w:color="auto" w:fill="BEBEBE"/>
          </w:tcPr>
          <w:p w14:paraId="52E2283D" w14:textId="77777777" w:rsidR="00AC6F3C" w:rsidRDefault="00570E88">
            <w:pPr>
              <w:pStyle w:val="TableParagraph"/>
              <w:spacing w:before="40"/>
              <w:ind w:left="628" w:right="609"/>
              <w:jc w:val="center"/>
              <w:rPr>
                <w:b/>
                <w:sz w:val="18"/>
              </w:rPr>
            </w:pPr>
            <w:r>
              <w:rPr>
                <w:b/>
                <w:spacing w:val="-2"/>
                <w:sz w:val="18"/>
              </w:rPr>
              <w:t>1,352</w:t>
            </w:r>
          </w:p>
        </w:tc>
        <w:tc>
          <w:tcPr>
            <w:tcW w:w="530" w:type="dxa"/>
            <w:tcBorders>
              <w:left w:val="nil"/>
              <w:right w:val="nil"/>
            </w:tcBorders>
            <w:shd w:val="clear" w:color="auto" w:fill="BEBEBE"/>
          </w:tcPr>
          <w:p w14:paraId="492E913D" w14:textId="77777777" w:rsidR="00AC6F3C" w:rsidRDefault="00570E88">
            <w:pPr>
              <w:pStyle w:val="TableParagraph"/>
              <w:spacing w:before="40"/>
              <w:ind w:left="34" w:right="15"/>
              <w:jc w:val="center"/>
              <w:rPr>
                <w:b/>
                <w:sz w:val="18"/>
              </w:rPr>
            </w:pPr>
            <w:r>
              <w:rPr>
                <w:b/>
                <w:spacing w:val="-2"/>
                <w:sz w:val="18"/>
              </w:rPr>
              <w:t>1,283</w:t>
            </w:r>
          </w:p>
        </w:tc>
        <w:tc>
          <w:tcPr>
            <w:tcW w:w="1581" w:type="dxa"/>
            <w:gridSpan w:val="2"/>
            <w:tcBorders>
              <w:left w:val="nil"/>
              <w:right w:val="nil"/>
            </w:tcBorders>
            <w:shd w:val="clear" w:color="auto" w:fill="BEBEBE"/>
          </w:tcPr>
          <w:p w14:paraId="1A86AC47" w14:textId="77777777" w:rsidR="00AC6F3C" w:rsidRDefault="00570E88">
            <w:pPr>
              <w:pStyle w:val="TableParagraph"/>
              <w:spacing w:before="40"/>
              <w:ind w:left="786"/>
              <w:rPr>
                <w:b/>
                <w:sz w:val="18"/>
              </w:rPr>
            </w:pPr>
            <w:r>
              <w:rPr>
                <w:b/>
                <w:spacing w:val="-5"/>
                <w:sz w:val="18"/>
              </w:rPr>
              <w:t>800</w:t>
            </w:r>
          </w:p>
        </w:tc>
        <w:tc>
          <w:tcPr>
            <w:tcW w:w="674" w:type="dxa"/>
            <w:tcBorders>
              <w:left w:val="nil"/>
            </w:tcBorders>
            <w:shd w:val="clear" w:color="auto" w:fill="BEBEBE"/>
          </w:tcPr>
          <w:p w14:paraId="3B8BCE79" w14:textId="77777777" w:rsidR="00AC6F3C" w:rsidRDefault="00570E88">
            <w:pPr>
              <w:pStyle w:val="TableParagraph"/>
              <w:spacing w:before="40"/>
              <w:ind w:right="20"/>
              <w:jc w:val="right"/>
              <w:rPr>
                <w:b/>
                <w:sz w:val="18"/>
              </w:rPr>
            </w:pPr>
            <w:r>
              <w:rPr>
                <w:b/>
                <w:spacing w:val="-5"/>
                <w:sz w:val="18"/>
              </w:rPr>
              <w:t>817</w:t>
            </w:r>
          </w:p>
        </w:tc>
      </w:tr>
    </w:tbl>
    <w:p w14:paraId="3977E60C" w14:textId="77777777" w:rsidR="00AC6F3C" w:rsidRDefault="00AC6F3C">
      <w:pPr>
        <w:pStyle w:val="BodyText"/>
        <w:spacing w:before="4"/>
        <w:rPr>
          <w:sz w:val="23"/>
        </w:rPr>
      </w:pPr>
    </w:p>
    <w:p w14:paraId="47C1370C" w14:textId="77777777" w:rsidR="00AC6F3C" w:rsidRDefault="00570E88">
      <w:pPr>
        <w:tabs>
          <w:tab w:val="left" w:pos="1810"/>
        </w:tabs>
        <w:ind w:left="958"/>
        <w:rPr>
          <w:b/>
          <w:sz w:val="28"/>
        </w:rPr>
      </w:pPr>
      <w:r>
        <w:rPr>
          <w:b/>
          <w:spacing w:val="-5"/>
          <w:sz w:val="28"/>
        </w:rPr>
        <w:t>C8</w:t>
      </w:r>
      <w:r>
        <w:rPr>
          <w:b/>
          <w:sz w:val="28"/>
        </w:rPr>
        <w:tab/>
      </w:r>
      <w:r>
        <w:rPr>
          <w:b/>
          <w:spacing w:val="-2"/>
          <w:sz w:val="28"/>
        </w:rPr>
        <w:t>PROVISIONS</w:t>
      </w:r>
    </w:p>
    <w:p w14:paraId="5A699549" w14:textId="77777777" w:rsidR="00AC6F3C" w:rsidRDefault="00570E88">
      <w:pPr>
        <w:spacing w:before="240"/>
        <w:ind w:left="958" w:right="857"/>
        <w:rPr>
          <w:sz w:val="18"/>
        </w:rPr>
      </w:pPr>
      <w:r>
        <w:rPr>
          <w:sz w:val="18"/>
        </w:rPr>
        <w:t xml:space="preserve">A provision is </w:t>
      </w:r>
      <w:proofErr w:type="spellStart"/>
      <w:r>
        <w:rPr>
          <w:sz w:val="18"/>
        </w:rPr>
        <w:t>recognised</w:t>
      </w:r>
      <w:proofErr w:type="spellEnd"/>
      <w:r>
        <w:rPr>
          <w:sz w:val="18"/>
        </w:rPr>
        <w:t xml:space="preserve"> when there is a legal, equitable or constructive obligation as a result of a past event</w:t>
      </w:r>
      <w:r>
        <w:rPr>
          <w:spacing w:val="-1"/>
          <w:sz w:val="18"/>
        </w:rPr>
        <w:t xml:space="preserve"> </w:t>
      </w:r>
      <w:r>
        <w:rPr>
          <w:sz w:val="18"/>
        </w:rPr>
        <w:t>and it</w:t>
      </w:r>
      <w:r>
        <w:rPr>
          <w:spacing w:val="-3"/>
          <w:sz w:val="18"/>
        </w:rPr>
        <w:t xml:space="preserve"> </w:t>
      </w:r>
      <w:r>
        <w:rPr>
          <w:sz w:val="18"/>
        </w:rPr>
        <w:t>is</w:t>
      </w:r>
      <w:r>
        <w:rPr>
          <w:spacing w:val="-2"/>
          <w:sz w:val="18"/>
        </w:rPr>
        <w:t xml:space="preserve"> </w:t>
      </w:r>
      <w:r>
        <w:rPr>
          <w:sz w:val="18"/>
        </w:rPr>
        <w:t>probable</w:t>
      </w:r>
      <w:r>
        <w:rPr>
          <w:spacing w:val="-3"/>
          <w:sz w:val="18"/>
        </w:rPr>
        <w:t xml:space="preserve"> </w:t>
      </w:r>
      <w:r>
        <w:rPr>
          <w:sz w:val="18"/>
        </w:rPr>
        <w:t>that</w:t>
      </w:r>
      <w:r>
        <w:rPr>
          <w:spacing w:val="-3"/>
          <w:sz w:val="18"/>
        </w:rPr>
        <w:t xml:space="preserve"> </w:t>
      </w:r>
      <w:r>
        <w:rPr>
          <w:sz w:val="18"/>
        </w:rPr>
        <w:t>a</w:t>
      </w:r>
      <w:r>
        <w:rPr>
          <w:spacing w:val="-3"/>
          <w:sz w:val="18"/>
        </w:rPr>
        <w:t xml:space="preserve"> </w:t>
      </w:r>
      <w:r>
        <w:rPr>
          <w:sz w:val="18"/>
        </w:rPr>
        <w:t>future</w:t>
      </w:r>
      <w:r>
        <w:rPr>
          <w:spacing w:val="-3"/>
          <w:sz w:val="18"/>
        </w:rPr>
        <w:t xml:space="preserve"> </w:t>
      </w:r>
      <w:r>
        <w:rPr>
          <w:sz w:val="18"/>
        </w:rPr>
        <w:t>sacrifice</w:t>
      </w:r>
      <w:r>
        <w:rPr>
          <w:spacing w:val="-3"/>
          <w:sz w:val="18"/>
        </w:rPr>
        <w:t xml:space="preserve"> </w:t>
      </w:r>
      <w:r>
        <w:rPr>
          <w:sz w:val="18"/>
        </w:rPr>
        <w:t>of</w:t>
      </w:r>
      <w:r>
        <w:rPr>
          <w:spacing w:val="-1"/>
          <w:sz w:val="18"/>
        </w:rPr>
        <w:t xml:space="preserve"> </w:t>
      </w:r>
      <w:r>
        <w:rPr>
          <w:sz w:val="18"/>
        </w:rPr>
        <w:t>economic benefits will be</w:t>
      </w:r>
      <w:r>
        <w:rPr>
          <w:spacing w:val="-3"/>
          <w:sz w:val="18"/>
        </w:rPr>
        <w:t xml:space="preserve"> </w:t>
      </w:r>
      <w:r>
        <w:rPr>
          <w:sz w:val="18"/>
        </w:rPr>
        <w:t>required</w:t>
      </w:r>
      <w:r>
        <w:rPr>
          <w:spacing w:val="-3"/>
          <w:sz w:val="18"/>
        </w:rPr>
        <w:t xml:space="preserve"> </w:t>
      </w:r>
      <w:r>
        <w:rPr>
          <w:sz w:val="18"/>
        </w:rPr>
        <w:t>to</w:t>
      </w:r>
      <w:r>
        <w:rPr>
          <w:spacing w:val="-3"/>
          <w:sz w:val="18"/>
        </w:rPr>
        <w:t xml:space="preserve"> </w:t>
      </w:r>
      <w:r>
        <w:rPr>
          <w:sz w:val="18"/>
        </w:rPr>
        <w:t>settle</w:t>
      </w:r>
      <w:r>
        <w:rPr>
          <w:spacing w:val="-3"/>
          <w:sz w:val="18"/>
        </w:rPr>
        <w:t xml:space="preserve"> </w:t>
      </w:r>
      <w:r>
        <w:rPr>
          <w:sz w:val="18"/>
        </w:rPr>
        <w:t>the obligation, the timing or amount of which is uncertain.</w:t>
      </w:r>
    </w:p>
    <w:p w14:paraId="1F90E7C4" w14:textId="77777777" w:rsidR="00AC6F3C" w:rsidRDefault="00AC6F3C">
      <w:pPr>
        <w:pStyle w:val="BodyText"/>
        <w:rPr>
          <w:sz w:val="21"/>
        </w:rPr>
      </w:pPr>
    </w:p>
    <w:p w14:paraId="1518004E" w14:textId="77777777" w:rsidR="00AC6F3C" w:rsidRDefault="00570E88">
      <w:pPr>
        <w:pStyle w:val="Heading6"/>
        <w:tabs>
          <w:tab w:val="left" w:pos="1810"/>
        </w:tabs>
        <w:spacing w:before="0"/>
      </w:pPr>
      <w:r>
        <w:rPr>
          <w:spacing w:val="-2"/>
        </w:rPr>
        <w:t>C8-</w:t>
      </w:r>
      <w:r>
        <w:rPr>
          <w:spacing w:val="-10"/>
        </w:rPr>
        <w:t>1</w:t>
      </w:r>
      <w:r>
        <w:tab/>
        <w:t>INSURANCE</w:t>
      </w:r>
      <w:r>
        <w:rPr>
          <w:spacing w:val="-6"/>
        </w:rPr>
        <w:t xml:space="preserve"> </w:t>
      </w:r>
      <w:r>
        <w:rPr>
          <w:spacing w:val="-2"/>
        </w:rPr>
        <w:t>CONTRACTS</w:t>
      </w:r>
    </w:p>
    <w:p w14:paraId="54D0695B" w14:textId="77777777" w:rsidR="00AC6F3C" w:rsidRDefault="00AC6F3C">
      <w:pPr>
        <w:pStyle w:val="BodyText"/>
        <w:spacing w:before="9"/>
        <w:rPr>
          <w:b/>
        </w:rPr>
      </w:pPr>
    </w:p>
    <w:p w14:paraId="5A66AAAA" w14:textId="77777777" w:rsidR="00AC6F3C" w:rsidRDefault="00570E88">
      <w:pPr>
        <w:ind w:left="958"/>
        <w:rPr>
          <w:b/>
          <w:sz w:val="20"/>
        </w:rPr>
      </w:pPr>
      <w:r>
        <w:rPr>
          <w:b/>
          <w:sz w:val="20"/>
        </w:rPr>
        <w:t>Insurance</w:t>
      </w:r>
      <w:r>
        <w:rPr>
          <w:b/>
          <w:spacing w:val="-13"/>
          <w:sz w:val="20"/>
        </w:rPr>
        <w:t xml:space="preserve"> </w:t>
      </w:r>
      <w:r>
        <w:rPr>
          <w:b/>
          <w:spacing w:val="-2"/>
          <w:sz w:val="20"/>
        </w:rPr>
        <w:t>contracts</w:t>
      </w:r>
    </w:p>
    <w:p w14:paraId="2FAE1719" w14:textId="77777777" w:rsidR="00AC6F3C" w:rsidRDefault="00570E88">
      <w:pPr>
        <w:spacing w:before="120"/>
        <w:ind w:left="958" w:right="829" w:hanging="1"/>
        <w:rPr>
          <w:sz w:val="18"/>
        </w:rPr>
      </w:pPr>
      <w:r>
        <w:rPr>
          <w:sz w:val="18"/>
        </w:rPr>
        <w:t>Contracts under which the Group accepts significant insurance risk from another party (the policy holder) by agreeing to compensate the policy holder or other beneficiary if a specified uncertain future event (the insured</w:t>
      </w:r>
      <w:r>
        <w:rPr>
          <w:spacing w:val="-1"/>
          <w:sz w:val="18"/>
        </w:rPr>
        <w:t xml:space="preserve"> </w:t>
      </w:r>
      <w:r>
        <w:rPr>
          <w:sz w:val="18"/>
        </w:rPr>
        <w:t>event)</w:t>
      </w:r>
      <w:r>
        <w:rPr>
          <w:spacing w:val="-2"/>
          <w:sz w:val="18"/>
        </w:rPr>
        <w:t xml:space="preserve"> </w:t>
      </w:r>
      <w:r>
        <w:rPr>
          <w:sz w:val="18"/>
        </w:rPr>
        <w:t>adversely</w:t>
      </w:r>
      <w:r>
        <w:rPr>
          <w:spacing w:val="-1"/>
          <w:sz w:val="18"/>
        </w:rPr>
        <w:t xml:space="preserve"> </w:t>
      </w:r>
      <w:r>
        <w:rPr>
          <w:sz w:val="18"/>
        </w:rPr>
        <w:t>affects</w:t>
      </w:r>
      <w:r>
        <w:rPr>
          <w:spacing w:val="-1"/>
          <w:sz w:val="18"/>
        </w:rPr>
        <w:t xml:space="preserve"> </w:t>
      </w:r>
      <w:r>
        <w:rPr>
          <w:sz w:val="18"/>
        </w:rPr>
        <w:t>the</w:t>
      </w:r>
      <w:r>
        <w:rPr>
          <w:spacing w:val="-4"/>
          <w:sz w:val="18"/>
        </w:rPr>
        <w:t xml:space="preserve"> </w:t>
      </w:r>
      <w:r>
        <w:rPr>
          <w:sz w:val="18"/>
        </w:rPr>
        <w:t>policy</w:t>
      </w:r>
      <w:r>
        <w:rPr>
          <w:spacing w:val="-1"/>
          <w:sz w:val="18"/>
        </w:rPr>
        <w:t xml:space="preserve"> </w:t>
      </w:r>
      <w:r>
        <w:rPr>
          <w:sz w:val="18"/>
        </w:rPr>
        <w:t>holder</w:t>
      </w:r>
      <w:r>
        <w:rPr>
          <w:spacing w:val="-4"/>
          <w:sz w:val="18"/>
        </w:rPr>
        <w:t xml:space="preserve"> </w:t>
      </w:r>
      <w:r>
        <w:rPr>
          <w:sz w:val="18"/>
        </w:rPr>
        <w:t>or</w:t>
      </w:r>
      <w:r>
        <w:rPr>
          <w:spacing w:val="-2"/>
          <w:sz w:val="18"/>
        </w:rPr>
        <w:t xml:space="preserve"> </w:t>
      </w:r>
      <w:r>
        <w:rPr>
          <w:sz w:val="18"/>
        </w:rPr>
        <w:t>other</w:t>
      </w:r>
      <w:r>
        <w:rPr>
          <w:spacing w:val="-4"/>
          <w:sz w:val="18"/>
        </w:rPr>
        <w:t xml:space="preserve"> </w:t>
      </w:r>
      <w:r>
        <w:rPr>
          <w:sz w:val="18"/>
        </w:rPr>
        <w:t>beneficiary</w:t>
      </w:r>
      <w:r>
        <w:rPr>
          <w:spacing w:val="-1"/>
          <w:sz w:val="18"/>
        </w:rPr>
        <w:t xml:space="preserve"> </w:t>
      </w:r>
      <w:r>
        <w:rPr>
          <w:sz w:val="18"/>
        </w:rPr>
        <w:t>are</w:t>
      </w:r>
      <w:r>
        <w:rPr>
          <w:spacing w:val="-4"/>
          <w:sz w:val="18"/>
        </w:rPr>
        <w:t xml:space="preserve"> </w:t>
      </w:r>
      <w:r>
        <w:rPr>
          <w:sz w:val="18"/>
        </w:rPr>
        <w:t>classified</w:t>
      </w:r>
      <w:r>
        <w:rPr>
          <w:spacing w:val="-4"/>
          <w:sz w:val="18"/>
        </w:rPr>
        <w:t xml:space="preserve"> </w:t>
      </w:r>
      <w:r>
        <w:rPr>
          <w:sz w:val="18"/>
        </w:rPr>
        <w:t>as</w:t>
      </w:r>
      <w:r>
        <w:rPr>
          <w:spacing w:val="-3"/>
          <w:sz w:val="18"/>
        </w:rPr>
        <w:t xml:space="preserve"> </w:t>
      </w:r>
      <w:r>
        <w:rPr>
          <w:sz w:val="18"/>
        </w:rPr>
        <w:t>insurance</w:t>
      </w:r>
      <w:r>
        <w:rPr>
          <w:spacing w:val="-4"/>
          <w:sz w:val="18"/>
        </w:rPr>
        <w:t xml:space="preserve"> </w:t>
      </w:r>
      <w:r>
        <w:rPr>
          <w:sz w:val="18"/>
        </w:rPr>
        <w:t>contracts.</w:t>
      </w:r>
    </w:p>
    <w:p w14:paraId="44B8DDAB" w14:textId="77777777" w:rsidR="00AC6F3C" w:rsidRDefault="00AC6F3C">
      <w:pPr>
        <w:rPr>
          <w:sz w:val="18"/>
        </w:rPr>
        <w:sectPr w:rsidR="00AC6F3C">
          <w:pgSz w:w="11910" w:h="16840"/>
          <w:pgMar w:top="2020" w:right="1160" w:bottom="520" w:left="460" w:header="1228" w:footer="336" w:gutter="0"/>
          <w:cols w:space="720"/>
        </w:sectPr>
      </w:pPr>
    </w:p>
    <w:p w14:paraId="031CBCD2" w14:textId="77777777" w:rsidR="00AC6F3C" w:rsidRDefault="00AC6F3C">
      <w:pPr>
        <w:pStyle w:val="BodyText"/>
      </w:pPr>
    </w:p>
    <w:p w14:paraId="008473A6" w14:textId="77777777" w:rsidR="00AC6F3C" w:rsidRDefault="00570E88">
      <w:pPr>
        <w:tabs>
          <w:tab w:val="left" w:pos="1666"/>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745552FD" w14:textId="77777777" w:rsidR="00AC6F3C" w:rsidRDefault="00570E88">
      <w:pPr>
        <w:pStyle w:val="Heading7"/>
        <w:tabs>
          <w:tab w:val="left" w:pos="1810"/>
        </w:tabs>
      </w:pPr>
      <w:r>
        <w:rPr>
          <w:spacing w:val="-2"/>
        </w:rPr>
        <w:t>C8-</w:t>
      </w:r>
      <w:r>
        <w:rPr>
          <w:spacing w:val="-10"/>
        </w:rPr>
        <w:t>1</w:t>
      </w:r>
      <w:r>
        <w:tab/>
        <w:t>INSURANCE</w:t>
      </w:r>
      <w:r>
        <w:rPr>
          <w:spacing w:val="-3"/>
        </w:rPr>
        <w:t xml:space="preserve"> </w:t>
      </w:r>
      <w:r>
        <w:t>CONTRACTS</w:t>
      </w:r>
      <w:r>
        <w:rPr>
          <w:spacing w:val="-2"/>
        </w:rPr>
        <w:t xml:space="preserve"> (continued)</w:t>
      </w:r>
    </w:p>
    <w:p w14:paraId="085DA0C7" w14:textId="77777777" w:rsidR="00AC6F3C" w:rsidRDefault="00AC6F3C">
      <w:pPr>
        <w:pStyle w:val="BodyText"/>
        <w:spacing w:before="8"/>
        <w:rPr>
          <w:b/>
        </w:rPr>
      </w:pPr>
    </w:p>
    <w:p w14:paraId="0AEDB61B" w14:textId="77777777" w:rsidR="00AC6F3C" w:rsidRDefault="00570E88">
      <w:pPr>
        <w:ind w:left="958"/>
        <w:rPr>
          <w:b/>
          <w:sz w:val="18"/>
        </w:rPr>
      </w:pPr>
      <w:r>
        <w:rPr>
          <w:b/>
          <w:sz w:val="18"/>
        </w:rPr>
        <w:t>Reinsurance</w:t>
      </w:r>
      <w:r>
        <w:rPr>
          <w:b/>
          <w:spacing w:val="-5"/>
          <w:sz w:val="18"/>
        </w:rPr>
        <w:t xml:space="preserve"> </w:t>
      </w:r>
      <w:r>
        <w:rPr>
          <w:b/>
          <w:spacing w:val="-2"/>
          <w:sz w:val="18"/>
        </w:rPr>
        <w:t>contracts</w:t>
      </w:r>
    </w:p>
    <w:p w14:paraId="5C6FEC0B" w14:textId="77777777" w:rsidR="00AC6F3C" w:rsidRDefault="00AC6F3C">
      <w:pPr>
        <w:pStyle w:val="BodyText"/>
        <w:spacing w:before="9"/>
        <w:rPr>
          <w:b/>
        </w:rPr>
      </w:pPr>
    </w:p>
    <w:p w14:paraId="4CBF51B7" w14:textId="77777777" w:rsidR="00AC6F3C" w:rsidRDefault="00570E88">
      <w:pPr>
        <w:spacing w:before="1"/>
        <w:ind w:left="958" w:right="730"/>
        <w:rPr>
          <w:sz w:val="18"/>
        </w:rPr>
      </w:pPr>
      <w:r>
        <w:rPr>
          <w:sz w:val="18"/>
        </w:rPr>
        <w:t>Contracts entered into by the Group with reinsurers under which the Group is compensated for losses on one</w:t>
      </w:r>
      <w:r>
        <w:rPr>
          <w:spacing w:val="-1"/>
          <w:sz w:val="18"/>
        </w:rPr>
        <w:t xml:space="preserve"> </w:t>
      </w:r>
      <w:r>
        <w:rPr>
          <w:sz w:val="18"/>
        </w:rPr>
        <w:t>or</w:t>
      </w:r>
      <w:r>
        <w:rPr>
          <w:spacing w:val="-4"/>
          <w:sz w:val="18"/>
        </w:rPr>
        <w:t xml:space="preserve"> </w:t>
      </w:r>
      <w:r>
        <w:rPr>
          <w:sz w:val="18"/>
        </w:rPr>
        <w:t>more</w:t>
      </w:r>
      <w:r>
        <w:rPr>
          <w:spacing w:val="-1"/>
          <w:sz w:val="18"/>
        </w:rPr>
        <w:t xml:space="preserve"> </w:t>
      </w:r>
      <w:r>
        <w:rPr>
          <w:sz w:val="18"/>
        </w:rPr>
        <w:t>contracts</w:t>
      </w:r>
      <w:r>
        <w:rPr>
          <w:spacing w:val="-3"/>
          <w:sz w:val="18"/>
        </w:rPr>
        <w:t xml:space="preserve"> </w:t>
      </w:r>
      <w:r>
        <w:rPr>
          <w:sz w:val="18"/>
        </w:rPr>
        <w:t>issued</w:t>
      </w:r>
      <w:r>
        <w:rPr>
          <w:spacing w:val="-4"/>
          <w:sz w:val="18"/>
        </w:rPr>
        <w:t xml:space="preserve"> </w:t>
      </w:r>
      <w:r>
        <w:rPr>
          <w:sz w:val="18"/>
        </w:rPr>
        <w:t>by</w:t>
      </w:r>
      <w:r>
        <w:rPr>
          <w:spacing w:val="-1"/>
          <w:sz w:val="18"/>
        </w:rPr>
        <w:t xml:space="preserve"> </w:t>
      </w:r>
      <w:r>
        <w:rPr>
          <w:sz w:val="18"/>
        </w:rPr>
        <w:t>the</w:t>
      </w:r>
      <w:r>
        <w:rPr>
          <w:spacing w:val="-1"/>
          <w:sz w:val="18"/>
        </w:rPr>
        <w:t xml:space="preserve"> </w:t>
      </w:r>
      <w:r>
        <w:rPr>
          <w:sz w:val="18"/>
        </w:rPr>
        <w:t>Group</w:t>
      </w:r>
      <w:r>
        <w:rPr>
          <w:spacing w:val="-4"/>
          <w:sz w:val="18"/>
        </w:rPr>
        <w:t xml:space="preserve"> </w:t>
      </w:r>
      <w:r>
        <w:rPr>
          <w:sz w:val="18"/>
        </w:rPr>
        <w:t>where</w:t>
      </w:r>
      <w:r>
        <w:rPr>
          <w:spacing w:val="-4"/>
          <w:sz w:val="18"/>
        </w:rPr>
        <w:t xml:space="preserve"> </w:t>
      </w:r>
      <w:r>
        <w:rPr>
          <w:sz w:val="18"/>
        </w:rPr>
        <w:t>significant</w:t>
      </w:r>
      <w:r>
        <w:rPr>
          <w:spacing w:val="-4"/>
          <w:sz w:val="18"/>
        </w:rPr>
        <w:t xml:space="preserve"> </w:t>
      </w:r>
      <w:r>
        <w:rPr>
          <w:sz w:val="18"/>
        </w:rPr>
        <w:t>insurance</w:t>
      </w:r>
      <w:r>
        <w:rPr>
          <w:spacing w:val="-1"/>
          <w:sz w:val="18"/>
        </w:rPr>
        <w:t xml:space="preserve"> </w:t>
      </w:r>
      <w:r>
        <w:rPr>
          <w:sz w:val="18"/>
        </w:rPr>
        <w:t>risk</w:t>
      </w:r>
      <w:r>
        <w:rPr>
          <w:spacing w:val="-3"/>
          <w:sz w:val="18"/>
        </w:rPr>
        <w:t xml:space="preserve"> </w:t>
      </w:r>
      <w:r>
        <w:rPr>
          <w:sz w:val="18"/>
        </w:rPr>
        <w:t>is</w:t>
      </w:r>
      <w:r>
        <w:rPr>
          <w:spacing w:val="-3"/>
          <w:sz w:val="18"/>
        </w:rPr>
        <w:t xml:space="preserve"> </w:t>
      </w:r>
      <w:r>
        <w:rPr>
          <w:sz w:val="18"/>
        </w:rPr>
        <w:t>transferred</w:t>
      </w:r>
      <w:r>
        <w:rPr>
          <w:spacing w:val="-1"/>
          <w:sz w:val="18"/>
        </w:rPr>
        <w:t xml:space="preserve"> </w:t>
      </w:r>
      <w:r>
        <w:rPr>
          <w:sz w:val="18"/>
        </w:rPr>
        <w:t>are</w:t>
      </w:r>
      <w:r>
        <w:rPr>
          <w:spacing w:val="-1"/>
          <w:sz w:val="18"/>
        </w:rPr>
        <w:t xml:space="preserve"> </w:t>
      </w:r>
      <w:r>
        <w:rPr>
          <w:sz w:val="18"/>
        </w:rPr>
        <w:t>classified</w:t>
      </w:r>
      <w:r>
        <w:rPr>
          <w:spacing w:val="-1"/>
          <w:sz w:val="18"/>
        </w:rPr>
        <w:t xml:space="preserve"> </w:t>
      </w:r>
      <w:r>
        <w:rPr>
          <w:sz w:val="18"/>
        </w:rPr>
        <w:t>as reinsurance contracts.</w:t>
      </w:r>
    </w:p>
    <w:p w14:paraId="62AEACA6" w14:textId="77777777" w:rsidR="00AC6F3C" w:rsidRDefault="00AC6F3C">
      <w:pPr>
        <w:pStyle w:val="BodyText"/>
        <w:spacing w:before="10"/>
      </w:pPr>
    </w:p>
    <w:p w14:paraId="62224DF8" w14:textId="77777777" w:rsidR="00AC6F3C" w:rsidRDefault="00570E88">
      <w:pPr>
        <w:ind w:left="958" w:right="730"/>
        <w:rPr>
          <w:sz w:val="18"/>
        </w:rPr>
      </w:pPr>
      <w:r>
        <w:rPr>
          <w:sz w:val="18"/>
        </w:rPr>
        <w:t xml:space="preserve">The benefits to which the Group is entitled under its reinsurance contracts are </w:t>
      </w:r>
      <w:proofErr w:type="spellStart"/>
      <w:r>
        <w:rPr>
          <w:sz w:val="18"/>
        </w:rPr>
        <w:t>recognised</w:t>
      </w:r>
      <w:proofErr w:type="spellEnd"/>
      <w:r>
        <w:rPr>
          <w:sz w:val="18"/>
        </w:rPr>
        <w:t xml:space="preserve"> as reinsurer’s share of insurance liabilities. These assets consist of short-term balances due from reinsurers as well as longer</w:t>
      </w:r>
      <w:r>
        <w:rPr>
          <w:spacing w:val="-5"/>
          <w:sz w:val="18"/>
        </w:rPr>
        <w:t xml:space="preserve"> </w:t>
      </w:r>
      <w:r>
        <w:rPr>
          <w:sz w:val="18"/>
        </w:rPr>
        <w:t>term</w:t>
      </w:r>
      <w:r>
        <w:rPr>
          <w:spacing w:val="-2"/>
          <w:sz w:val="18"/>
        </w:rPr>
        <w:t xml:space="preserve"> </w:t>
      </w:r>
      <w:r>
        <w:rPr>
          <w:sz w:val="18"/>
        </w:rPr>
        <w:t>receivables</w:t>
      </w:r>
      <w:r>
        <w:rPr>
          <w:spacing w:val="-4"/>
          <w:sz w:val="18"/>
        </w:rPr>
        <w:t xml:space="preserve"> </w:t>
      </w:r>
      <w:r>
        <w:rPr>
          <w:sz w:val="18"/>
        </w:rPr>
        <w:t>that</w:t>
      </w:r>
      <w:r>
        <w:rPr>
          <w:spacing w:val="-5"/>
          <w:sz w:val="18"/>
        </w:rPr>
        <w:t xml:space="preserve"> </w:t>
      </w:r>
      <w:r>
        <w:rPr>
          <w:sz w:val="18"/>
        </w:rPr>
        <w:t>are</w:t>
      </w:r>
      <w:r>
        <w:rPr>
          <w:spacing w:val="-2"/>
          <w:sz w:val="18"/>
        </w:rPr>
        <w:t xml:space="preserve"> </w:t>
      </w:r>
      <w:r>
        <w:rPr>
          <w:sz w:val="18"/>
        </w:rPr>
        <w:t>dependent</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expected</w:t>
      </w:r>
      <w:r>
        <w:rPr>
          <w:spacing w:val="-2"/>
          <w:sz w:val="18"/>
        </w:rPr>
        <w:t xml:space="preserve"> </w:t>
      </w:r>
      <w:r>
        <w:rPr>
          <w:sz w:val="18"/>
        </w:rPr>
        <w:t>recovery.</w:t>
      </w:r>
      <w:r>
        <w:rPr>
          <w:spacing w:val="40"/>
          <w:sz w:val="18"/>
        </w:rPr>
        <w:t xml:space="preserve"> </w:t>
      </w:r>
      <w:r>
        <w:rPr>
          <w:sz w:val="18"/>
        </w:rPr>
        <w:t>Reinsurance</w:t>
      </w:r>
      <w:r>
        <w:rPr>
          <w:spacing w:val="-2"/>
          <w:sz w:val="18"/>
        </w:rPr>
        <w:t xml:space="preserve"> </w:t>
      </w:r>
      <w:r>
        <w:rPr>
          <w:sz w:val="18"/>
        </w:rPr>
        <w:t>liabilities</w:t>
      </w:r>
      <w:r>
        <w:rPr>
          <w:spacing w:val="-2"/>
          <w:sz w:val="18"/>
        </w:rPr>
        <w:t xml:space="preserve"> </w:t>
      </w:r>
      <w:r>
        <w:rPr>
          <w:sz w:val="18"/>
        </w:rPr>
        <w:t>are</w:t>
      </w:r>
      <w:r>
        <w:rPr>
          <w:spacing w:val="-5"/>
          <w:sz w:val="18"/>
        </w:rPr>
        <w:t xml:space="preserve"> </w:t>
      </w:r>
      <w:r>
        <w:rPr>
          <w:sz w:val="18"/>
        </w:rPr>
        <w:t xml:space="preserve">primarily premiums payable for reinsurance contracts and are </w:t>
      </w:r>
      <w:proofErr w:type="spellStart"/>
      <w:r>
        <w:rPr>
          <w:sz w:val="18"/>
        </w:rPr>
        <w:t>recognised</w:t>
      </w:r>
      <w:proofErr w:type="spellEnd"/>
      <w:r>
        <w:rPr>
          <w:sz w:val="18"/>
        </w:rPr>
        <w:t xml:space="preserve"> as expenses when due.</w:t>
      </w:r>
    </w:p>
    <w:p w14:paraId="591611FD" w14:textId="77777777" w:rsidR="00AC6F3C" w:rsidRDefault="00AC6F3C">
      <w:pPr>
        <w:pStyle w:val="BodyText"/>
        <w:spacing w:before="10"/>
      </w:pPr>
    </w:p>
    <w:p w14:paraId="3EBCEA28" w14:textId="77777777" w:rsidR="00AC6F3C" w:rsidRDefault="00570E88">
      <w:pPr>
        <w:ind w:left="958" w:right="857"/>
        <w:rPr>
          <w:sz w:val="18"/>
        </w:rPr>
      </w:pPr>
      <w:r>
        <w:rPr>
          <w:sz w:val="18"/>
        </w:rPr>
        <w:t>The Group assesses its reinsurance assets for impairment at each reporting date.</w:t>
      </w:r>
      <w:r>
        <w:rPr>
          <w:spacing w:val="40"/>
          <w:sz w:val="18"/>
        </w:rPr>
        <w:t xml:space="preserve"> </w:t>
      </w:r>
      <w:r>
        <w:rPr>
          <w:sz w:val="18"/>
        </w:rPr>
        <w:t>Such assets are deemed impaired if there is objective evidence, as a result of an event that occurred after its initial recognition,</w:t>
      </w:r>
      <w:r>
        <w:rPr>
          <w:spacing w:val="-4"/>
          <w:sz w:val="18"/>
        </w:rPr>
        <w:t xml:space="preserve"> </w:t>
      </w:r>
      <w:r>
        <w:rPr>
          <w:sz w:val="18"/>
        </w:rPr>
        <w:t>that</w:t>
      </w:r>
      <w:r>
        <w:rPr>
          <w:spacing w:val="-4"/>
          <w:sz w:val="18"/>
        </w:rPr>
        <w:t xml:space="preserve"> </w:t>
      </w:r>
      <w:r>
        <w:rPr>
          <w:sz w:val="18"/>
        </w:rPr>
        <w:t>the</w:t>
      </w:r>
      <w:r>
        <w:rPr>
          <w:spacing w:val="-1"/>
          <w:sz w:val="18"/>
        </w:rPr>
        <w:t xml:space="preserve"> </w:t>
      </w:r>
      <w:r>
        <w:rPr>
          <w:sz w:val="18"/>
        </w:rPr>
        <w:t>Group</w:t>
      </w:r>
      <w:r>
        <w:rPr>
          <w:spacing w:val="-4"/>
          <w:sz w:val="18"/>
        </w:rPr>
        <w:t xml:space="preserve"> </w:t>
      </w:r>
      <w:r>
        <w:rPr>
          <w:sz w:val="18"/>
        </w:rPr>
        <w:t>may</w:t>
      </w:r>
      <w:r>
        <w:rPr>
          <w:spacing w:val="-1"/>
          <w:sz w:val="18"/>
        </w:rPr>
        <w:t xml:space="preserve"> </w:t>
      </w:r>
      <w:r>
        <w:rPr>
          <w:sz w:val="18"/>
        </w:rPr>
        <w:t>not</w:t>
      </w:r>
      <w:r>
        <w:rPr>
          <w:spacing w:val="-4"/>
          <w:sz w:val="18"/>
        </w:rPr>
        <w:t xml:space="preserve"> </w:t>
      </w:r>
      <w:r>
        <w:rPr>
          <w:sz w:val="18"/>
        </w:rPr>
        <w:t>recover</w:t>
      </w:r>
      <w:r>
        <w:rPr>
          <w:spacing w:val="-4"/>
          <w:sz w:val="18"/>
        </w:rPr>
        <w:t xml:space="preserve"> </w:t>
      </w:r>
      <w:r>
        <w:rPr>
          <w:sz w:val="18"/>
        </w:rPr>
        <w:t>all</w:t>
      </w:r>
      <w:r>
        <w:rPr>
          <w:spacing w:val="-1"/>
          <w:sz w:val="18"/>
        </w:rPr>
        <w:t xml:space="preserve"> </w:t>
      </w:r>
      <w:r>
        <w:rPr>
          <w:sz w:val="18"/>
        </w:rPr>
        <w:t>amounts</w:t>
      </w:r>
      <w:r>
        <w:rPr>
          <w:spacing w:val="-1"/>
          <w:sz w:val="18"/>
        </w:rPr>
        <w:t xml:space="preserve"> </w:t>
      </w:r>
      <w:r>
        <w:rPr>
          <w:sz w:val="18"/>
        </w:rPr>
        <w:t>due</w:t>
      </w:r>
      <w:r>
        <w:rPr>
          <w:spacing w:val="-4"/>
          <w:sz w:val="18"/>
        </w:rPr>
        <w:t xml:space="preserve"> </w:t>
      </w:r>
      <w:r>
        <w:rPr>
          <w:sz w:val="18"/>
        </w:rPr>
        <w:t>and</w:t>
      </w:r>
      <w:r>
        <w:rPr>
          <w:spacing w:val="-1"/>
          <w:sz w:val="18"/>
        </w:rPr>
        <w:t xml:space="preserve"> </w:t>
      </w:r>
      <w:r>
        <w:rPr>
          <w:sz w:val="18"/>
        </w:rPr>
        <w:t>that</w:t>
      </w:r>
      <w:r>
        <w:rPr>
          <w:spacing w:val="-2"/>
          <w:sz w:val="18"/>
        </w:rPr>
        <w:t xml:space="preserve"> </w:t>
      </w:r>
      <w:r>
        <w:rPr>
          <w:sz w:val="18"/>
        </w:rPr>
        <w:t>the</w:t>
      </w:r>
      <w:r>
        <w:rPr>
          <w:spacing w:val="-1"/>
          <w:sz w:val="18"/>
        </w:rPr>
        <w:t xml:space="preserve"> </w:t>
      </w:r>
      <w:r>
        <w:rPr>
          <w:sz w:val="18"/>
        </w:rPr>
        <w:t>event</w:t>
      </w:r>
      <w:r>
        <w:rPr>
          <w:spacing w:val="-4"/>
          <w:sz w:val="18"/>
        </w:rPr>
        <w:t xml:space="preserve"> </w:t>
      </w:r>
      <w:r>
        <w:rPr>
          <w:sz w:val="18"/>
        </w:rPr>
        <w:t>has</w:t>
      </w:r>
      <w:r>
        <w:rPr>
          <w:spacing w:val="-1"/>
          <w:sz w:val="18"/>
        </w:rPr>
        <w:t xml:space="preserve"> </w:t>
      </w:r>
      <w:r>
        <w:rPr>
          <w:sz w:val="18"/>
        </w:rPr>
        <w:t>a</w:t>
      </w:r>
      <w:r>
        <w:rPr>
          <w:spacing w:val="-1"/>
          <w:sz w:val="18"/>
        </w:rPr>
        <w:t xml:space="preserve"> </w:t>
      </w:r>
      <w:r>
        <w:rPr>
          <w:sz w:val="18"/>
        </w:rPr>
        <w:t>reliably</w:t>
      </w:r>
      <w:r>
        <w:rPr>
          <w:spacing w:val="-4"/>
          <w:sz w:val="18"/>
        </w:rPr>
        <w:t xml:space="preserve"> </w:t>
      </w:r>
      <w:r>
        <w:rPr>
          <w:sz w:val="18"/>
        </w:rPr>
        <w:t>measurable impact on the amount that the Group will receive from the reinsurer.</w:t>
      </w:r>
    </w:p>
    <w:p w14:paraId="706FD2CD" w14:textId="77777777" w:rsidR="00AC6F3C" w:rsidRDefault="00AC6F3C">
      <w:pPr>
        <w:pStyle w:val="BodyText"/>
        <w:spacing w:before="10"/>
      </w:pPr>
    </w:p>
    <w:p w14:paraId="0CF6ED40" w14:textId="77777777" w:rsidR="00AC6F3C" w:rsidRDefault="00570E88">
      <w:pPr>
        <w:ind w:left="958" w:right="909"/>
        <w:rPr>
          <w:sz w:val="18"/>
        </w:rPr>
      </w:pPr>
      <w:r>
        <w:rPr>
          <w:sz w:val="18"/>
        </w:rPr>
        <w:t>The Group ceded reinsurance in the normal course of business for the purpose of limiting its net loss potential</w:t>
      </w:r>
      <w:r>
        <w:rPr>
          <w:spacing w:val="-4"/>
          <w:sz w:val="18"/>
        </w:rPr>
        <w:t xml:space="preserve"> </w:t>
      </w:r>
      <w:r>
        <w:rPr>
          <w:sz w:val="18"/>
        </w:rPr>
        <w:t>through</w:t>
      </w:r>
      <w:r>
        <w:rPr>
          <w:spacing w:val="-4"/>
          <w:sz w:val="18"/>
        </w:rPr>
        <w:t xml:space="preserve"> </w:t>
      </w:r>
      <w:r>
        <w:rPr>
          <w:sz w:val="18"/>
        </w:rPr>
        <w:t>the</w:t>
      </w:r>
      <w:r>
        <w:rPr>
          <w:spacing w:val="-4"/>
          <w:sz w:val="18"/>
        </w:rPr>
        <w:t xml:space="preserve"> </w:t>
      </w:r>
      <w:r>
        <w:rPr>
          <w:sz w:val="18"/>
        </w:rPr>
        <w:t>diversification</w:t>
      </w:r>
      <w:r>
        <w:rPr>
          <w:spacing w:val="-4"/>
          <w:sz w:val="18"/>
        </w:rPr>
        <w:t xml:space="preserve"> </w:t>
      </w:r>
      <w:r>
        <w:rPr>
          <w:sz w:val="18"/>
        </w:rPr>
        <w:t>of</w:t>
      </w:r>
      <w:r>
        <w:rPr>
          <w:spacing w:val="-2"/>
          <w:sz w:val="18"/>
        </w:rPr>
        <w:t xml:space="preserve"> </w:t>
      </w:r>
      <w:r>
        <w:rPr>
          <w:sz w:val="18"/>
        </w:rPr>
        <w:t>its</w:t>
      </w:r>
      <w:r>
        <w:rPr>
          <w:spacing w:val="-1"/>
          <w:sz w:val="18"/>
        </w:rPr>
        <w:t xml:space="preserve"> </w:t>
      </w:r>
      <w:r>
        <w:rPr>
          <w:sz w:val="18"/>
        </w:rPr>
        <w:t>risks.</w:t>
      </w:r>
      <w:r>
        <w:rPr>
          <w:spacing w:val="40"/>
          <w:sz w:val="18"/>
        </w:rPr>
        <w:t xml:space="preserve"> </w:t>
      </w:r>
      <w:r>
        <w:rPr>
          <w:sz w:val="18"/>
        </w:rPr>
        <w:t>Reinsurance</w:t>
      </w:r>
      <w:r>
        <w:rPr>
          <w:spacing w:val="-4"/>
          <w:sz w:val="18"/>
        </w:rPr>
        <w:t xml:space="preserve"> </w:t>
      </w:r>
      <w:r>
        <w:rPr>
          <w:sz w:val="18"/>
        </w:rPr>
        <w:t>arrangements</w:t>
      </w:r>
      <w:r>
        <w:rPr>
          <w:spacing w:val="-3"/>
          <w:sz w:val="18"/>
        </w:rPr>
        <w:t xml:space="preserve"> </w:t>
      </w:r>
      <w:r>
        <w:rPr>
          <w:sz w:val="18"/>
        </w:rPr>
        <w:t>do</w:t>
      </w:r>
      <w:r>
        <w:rPr>
          <w:spacing w:val="-1"/>
          <w:sz w:val="18"/>
        </w:rPr>
        <w:t xml:space="preserve"> </w:t>
      </w:r>
      <w:r>
        <w:rPr>
          <w:sz w:val="18"/>
        </w:rPr>
        <w:t>not</w:t>
      </w:r>
      <w:r>
        <w:rPr>
          <w:spacing w:val="-2"/>
          <w:sz w:val="18"/>
        </w:rPr>
        <w:t xml:space="preserve"> </w:t>
      </w:r>
      <w:r>
        <w:rPr>
          <w:sz w:val="18"/>
        </w:rPr>
        <w:t>relieve</w:t>
      </w:r>
      <w:r>
        <w:rPr>
          <w:spacing w:val="-1"/>
          <w:sz w:val="18"/>
        </w:rPr>
        <w:t xml:space="preserve"> </w:t>
      </w:r>
      <w:r>
        <w:rPr>
          <w:sz w:val="18"/>
        </w:rPr>
        <w:t>the</w:t>
      </w:r>
      <w:r>
        <w:rPr>
          <w:spacing w:val="-1"/>
          <w:sz w:val="18"/>
        </w:rPr>
        <w:t xml:space="preserve"> </w:t>
      </w:r>
      <w:r>
        <w:rPr>
          <w:sz w:val="18"/>
        </w:rPr>
        <w:t>Group</w:t>
      </w:r>
      <w:r>
        <w:rPr>
          <w:spacing w:val="-1"/>
          <w:sz w:val="18"/>
        </w:rPr>
        <w:t xml:space="preserve"> </w:t>
      </w:r>
      <w:r>
        <w:rPr>
          <w:sz w:val="18"/>
        </w:rPr>
        <w:t>from its direct obligations to its policyholders.</w:t>
      </w:r>
    </w:p>
    <w:p w14:paraId="77F85D94" w14:textId="77777777" w:rsidR="00AC6F3C" w:rsidRDefault="00AC6F3C">
      <w:pPr>
        <w:pStyle w:val="BodyText"/>
        <w:spacing w:before="9"/>
      </w:pPr>
    </w:p>
    <w:p w14:paraId="0E2AF2DA" w14:textId="77777777" w:rsidR="00AC6F3C" w:rsidRDefault="00570E88">
      <w:pPr>
        <w:pStyle w:val="Heading6"/>
        <w:tabs>
          <w:tab w:val="left" w:pos="1810"/>
        </w:tabs>
        <w:spacing w:before="0"/>
      </w:pPr>
      <w:r>
        <w:rPr>
          <w:spacing w:val="-2"/>
        </w:rPr>
        <w:t>C8-</w:t>
      </w:r>
      <w:r>
        <w:rPr>
          <w:spacing w:val="-10"/>
        </w:rPr>
        <w:t>2</w:t>
      </w:r>
      <w:r>
        <w:tab/>
        <w:t>INSURANCE</w:t>
      </w:r>
      <w:r>
        <w:rPr>
          <w:spacing w:val="-5"/>
        </w:rPr>
        <w:t xml:space="preserve"> </w:t>
      </w:r>
      <w:r>
        <w:rPr>
          <w:spacing w:val="-2"/>
        </w:rPr>
        <w:t>LIABILITIES</w:t>
      </w:r>
    </w:p>
    <w:p w14:paraId="20B340E1" w14:textId="77777777" w:rsidR="00AC6F3C" w:rsidRDefault="00AC6F3C">
      <w:pPr>
        <w:pStyle w:val="BodyText"/>
        <w:spacing w:before="9"/>
        <w:rPr>
          <w:b/>
        </w:rPr>
      </w:pPr>
    </w:p>
    <w:p w14:paraId="17CCCD9C" w14:textId="77777777" w:rsidR="00AC6F3C" w:rsidRDefault="00570E88">
      <w:pPr>
        <w:ind w:left="958"/>
        <w:rPr>
          <w:sz w:val="18"/>
        </w:rPr>
      </w:pPr>
      <w:r>
        <w:rPr>
          <w:sz w:val="18"/>
        </w:rPr>
        <w:t>Insurance</w:t>
      </w:r>
      <w:r>
        <w:rPr>
          <w:spacing w:val="-4"/>
          <w:sz w:val="18"/>
        </w:rPr>
        <w:t xml:space="preserve"> </w:t>
      </w:r>
      <w:r>
        <w:rPr>
          <w:sz w:val="18"/>
        </w:rPr>
        <w:t>liabilities</w:t>
      </w:r>
      <w:r>
        <w:rPr>
          <w:spacing w:val="-4"/>
          <w:sz w:val="18"/>
        </w:rPr>
        <w:t xml:space="preserve"> </w:t>
      </w:r>
      <w:r>
        <w:rPr>
          <w:sz w:val="18"/>
        </w:rPr>
        <w:t>comprise</w:t>
      </w:r>
      <w:r>
        <w:rPr>
          <w:spacing w:val="-5"/>
          <w:sz w:val="18"/>
        </w:rPr>
        <w:t xml:space="preserve"> </w:t>
      </w:r>
      <w:r>
        <w:rPr>
          <w:sz w:val="18"/>
        </w:rPr>
        <w:t>provision</w:t>
      </w:r>
      <w:r>
        <w:rPr>
          <w:spacing w:val="-2"/>
          <w:sz w:val="18"/>
        </w:rPr>
        <w:t xml:space="preserve"> </w:t>
      </w:r>
      <w:r>
        <w:rPr>
          <w:sz w:val="18"/>
        </w:rPr>
        <w:t>for</w:t>
      </w:r>
      <w:r>
        <w:rPr>
          <w:spacing w:val="-6"/>
          <w:sz w:val="18"/>
        </w:rPr>
        <w:t xml:space="preserve"> </w:t>
      </w:r>
      <w:r>
        <w:rPr>
          <w:sz w:val="18"/>
        </w:rPr>
        <w:t>outstanding</w:t>
      </w:r>
      <w:r>
        <w:rPr>
          <w:spacing w:val="-5"/>
          <w:sz w:val="18"/>
        </w:rPr>
        <w:t xml:space="preserve"> </w:t>
      </w:r>
      <w:r>
        <w:rPr>
          <w:sz w:val="18"/>
        </w:rPr>
        <w:t>claims</w:t>
      </w:r>
      <w:r>
        <w:rPr>
          <w:spacing w:val="-4"/>
          <w:sz w:val="18"/>
        </w:rPr>
        <w:t xml:space="preserve"> </w:t>
      </w:r>
      <w:r>
        <w:rPr>
          <w:sz w:val="18"/>
        </w:rPr>
        <w:t>and</w:t>
      </w:r>
      <w:r>
        <w:rPr>
          <w:spacing w:val="-2"/>
          <w:sz w:val="18"/>
        </w:rPr>
        <w:t xml:space="preserve"> </w:t>
      </w:r>
      <w:r>
        <w:rPr>
          <w:sz w:val="18"/>
        </w:rPr>
        <w:t>unearned</w:t>
      </w:r>
      <w:r>
        <w:rPr>
          <w:spacing w:val="-4"/>
          <w:sz w:val="18"/>
        </w:rPr>
        <w:t xml:space="preserve"> </w:t>
      </w:r>
      <w:r>
        <w:rPr>
          <w:sz w:val="18"/>
        </w:rPr>
        <w:t>premium</w:t>
      </w:r>
      <w:r>
        <w:rPr>
          <w:spacing w:val="-2"/>
          <w:sz w:val="18"/>
        </w:rPr>
        <w:t xml:space="preserve"> reserves.</w:t>
      </w:r>
    </w:p>
    <w:p w14:paraId="26F8934B" w14:textId="77777777" w:rsidR="00AC6F3C" w:rsidRDefault="00570E88">
      <w:pPr>
        <w:spacing w:before="122"/>
        <w:ind w:left="958"/>
        <w:rPr>
          <w:b/>
          <w:sz w:val="20"/>
        </w:rPr>
      </w:pPr>
      <w:r>
        <w:rPr>
          <w:b/>
          <w:sz w:val="20"/>
        </w:rPr>
        <w:t>(a)</w:t>
      </w:r>
      <w:r>
        <w:rPr>
          <w:b/>
          <w:spacing w:val="43"/>
          <w:sz w:val="20"/>
        </w:rPr>
        <w:t xml:space="preserve"> </w:t>
      </w:r>
      <w:r>
        <w:rPr>
          <w:b/>
          <w:sz w:val="20"/>
        </w:rPr>
        <w:t>Provision</w:t>
      </w:r>
      <w:r>
        <w:rPr>
          <w:b/>
          <w:spacing w:val="-6"/>
          <w:sz w:val="20"/>
        </w:rPr>
        <w:t xml:space="preserve"> </w:t>
      </w:r>
      <w:r>
        <w:rPr>
          <w:b/>
          <w:sz w:val="20"/>
        </w:rPr>
        <w:t>for</w:t>
      </w:r>
      <w:r>
        <w:rPr>
          <w:b/>
          <w:spacing w:val="-8"/>
          <w:sz w:val="20"/>
        </w:rPr>
        <w:t xml:space="preserve"> </w:t>
      </w:r>
      <w:r>
        <w:rPr>
          <w:b/>
          <w:sz w:val="20"/>
        </w:rPr>
        <w:t>outstanding</w:t>
      </w:r>
      <w:r>
        <w:rPr>
          <w:b/>
          <w:spacing w:val="-5"/>
          <w:sz w:val="20"/>
        </w:rPr>
        <w:t xml:space="preserve"> </w:t>
      </w:r>
      <w:r>
        <w:rPr>
          <w:b/>
          <w:spacing w:val="-2"/>
          <w:sz w:val="20"/>
        </w:rPr>
        <w:t>claims</w:t>
      </w:r>
    </w:p>
    <w:p w14:paraId="293771E0" w14:textId="77777777" w:rsidR="00AC6F3C" w:rsidRDefault="00570E88">
      <w:pPr>
        <w:spacing w:before="120"/>
        <w:ind w:left="958"/>
        <w:rPr>
          <w:b/>
          <w:sz w:val="18"/>
        </w:rPr>
      </w:pPr>
      <w:r>
        <w:rPr>
          <w:b/>
          <w:sz w:val="18"/>
        </w:rPr>
        <w:t>Central</w:t>
      </w:r>
      <w:r>
        <w:rPr>
          <w:b/>
          <w:spacing w:val="-2"/>
          <w:sz w:val="18"/>
        </w:rPr>
        <w:t xml:space="preserve"> estimate</w:t>
      </w:r>
    </w:p>
    <w:p w14:paraId="4F1858BE" w14:textId="77777777" w:rsidR="00AC6F3C" w:rsidRDefault="00AC6F3C">
      <w:pPr>
        <w:pStyle w:val="BodyText"/>
        <w:spacing w:before="9"/>
        <w:rPr>
          <w:b/>
        </w:rPr>
      </w:pPr>
    </w:p>
    <w:p w14:paraId="74115DF7" w14:textId="77777777" w:rsidR="00AC6F3C" w:rsidRDefault="00570E88">
      <w:pPr>
        <w:ind w:left="958" w:right="990"/>
        <w:rPr>
          <w:sz w:val="18"/>
        </w:rPr>
      </w:pPr>
      <w:r>
        <w:rPr>
          <w:sz w:val="18"/>
        </w:rPr>
        <w:t>Full</w:t>
      </w:r>
      <w:r>
        <w:rPr>
          <w:spacing w:val="-3"/>
          <w:sz w:val="18"/>
        </w:rPr>
        <w:t xml:space="preserve"> </w:t>
      </w:r>
      <w:r>
        <w:rPr>
          <w:sz w:val="18"/>
        </w:rPr>
        <w:t>provision</w:t>
      </w:r>
      <w:r>
        <w:rPr>
          <w:spacing w:val="-3"/>
          <w:sz w:val="18"/>
        </w:rPr>
        <w:t xml:space="preserve"> </w:t>
      </w:r>
      <w:r>
        <w:rPr>
          <w:sz w:val="18"/>
        </w:rPr>
        <w:t>is</w:t>
      </w:r>
      <w:r>
        <w:rPr>
          <w:spacing w:val="-2"/>
          <w:sz w:val="18"/>
        </w:rPr>
        <w:t xml:space="preserve"> </w:t>
      </w:r>
      <w:r>
        <w:rPr>
          <w:sz w:val="18"/>
        </w:rPr>
        <w:t>made for</w:t>
      </w:r>
      <w:r>
        <w:rPr>
          <w:spacing w:val="-3"/>
          <w:sz w:val="18"/>
        </w:rPr>
        <w:t xml:space="preserve"> </w:t>
      </w:r>
      <w:r>
        <w:rPr>
          <w:sz w:val="18"/>
        </w:rPr>
        <w:t>the</w:t>
      </w:r>
      <w:r>
        <w:rPr>
          <w:spacing w:val="-3"/>
          <w:sz w:val="18"/>
        </w:rPr>
        <w:t xml:space="preserve"> </w:t>
      </w:r>
      <w:r>
        <w:rPr>
          <w:sz w:val="18"/>
        </w:rPr>
        <w:t>estimated cost</w:t>
      </w:r>
      <w:r>
        <w:rPr>
          <w:spacing w:val="-3"/>
          <w:sz w:val="18"/>
        </w:rPr>
        <w:t xml:space="preserve"> </w:t>
      </w:r>
      <w:r>
        <w:rPr>
          <w:sz w:val="18"/>
        </w:rPr>
        <w:t>of</w:t>
      </w:r>
      <w:r>
        <w:rPr>
          <w:spacing w:val="-1"/>
          <w:sz w:val="18"/>
        </w:rPr>
        <w:t xml:space="preserve"> </w:t>
      </w:r>
      <w:r>
        <w:rPr>
          <w:sz w:val="18"/>
        </w:rPr>
        <w:t>all</w:t>
      </w:r>
      <w:r>
        <w:rPr>
          <w:spacing w:val="-3"/>
          <w:sz w:val="18"/>
        </w:rPr>
        <w:t xml:space="preserve"> </w:t>
      </w:r>
      <w:r>
        <w:rPr>
          <w:sz w:val="18"/>
        </w:rPr>
        <w:t>claims</w:t>
      </w:r>
      <w:r>
        <w:rPr>
          <w:spacing w:val="-2"/>
          <w:sz w:val="18"/>
        </w:rPr>
        <w:t xml:space="preserve"> </w:t>
      </w:r>
      <w:r>
        <w:rPr>
          <w:sz w:val="18"/>
        </w:rPr>
        <w:t>admitted</w:t>
      </w:r>
      <w:r>
        <w:rPr>
          <w:spacing w:val="-3"/>
          <w:sz w:val="18"/>
        </w:rPr>
        <w:t xml:space="preserve"> </w:t>
      </w:r>
      <w:r>
        <w:rPr>
          <w:sz w:val="18"/>
        </w:rPr>
        <w:t>or</w:t>
      </w:r>
      <w:r>
        <w:rPr>
          <w:spacing w:val="-2"/>
          <w:sz w:val="18"/>
        </w:rPr>
        <w:t xml:space="preserve"> </w:t>
      </w:r>
      <w:r>
        <w:rPr>
          <w:sz w:val="18"/>
        </w:rPr>
        <w:t>intimated but</w:t>
      </w:r>
      <w:r>
        <w:rPr>
          <w:spacing w:val="-3"/>
          <w:sz w:val="18"/>
        </w:rPr>
        <w:t xml:space="preserve"> </w:t>
      </w:r>
      <w:r>
        <w:rPr>
          <w:sz w:val="18"/>
        </w:rPr>
        <w:t>not</w:t>
      </w:r>
      <w:r>
        <w:rPr>
          <w:spacing w:val="-3"/>
          <w:sz w:val="18"/>
        </w:rPr>
        <w:t xml:space="preserve"> </w:t>
      </w:r>
      <w:r>
        <w:rPr>
          <w:sz w:val="18"/>
        </w:rPr>
        <w:t>settled at</w:t>
      </w:r>
      <w:r>
        <w:rPr>
          <w:spacing w:val="-1"/>
          <w:sz w:val="18"/>
        </w:rPr>
        <w:t xml:space="preserve"> </w:t>
      </w:r>
      <w:r>
        <w:rPr>
          <w:sz w:val="18"/>
        </w:rPr>
        <w:t>balance date, less reinsurance recoveries, using the best information available at that time.</w:t>
      </w:r>
    </w:p>
    <w:p w14:paraId="594ED0FA" w14:textId="77777777" w:rsidR="00AC6F3C" w:rsidRDefault="00AC6F3C">
      <w:pPr>
        <w:pStyle w:val="BodyText"/>
        <w:spacing w:before="9"/>
      </w:pPr>
    </w:p>
    <w:p w14:paraId="3FB3F796" w14:textId="77777777" w:rsidR="00AC6F3C" w:rsidRDefault="00570E88">
      <w:pPr>
        <w:ind w:left="958" w:right="857"/>
        <w:rPr>
          <w:sz w:val="18"/>
        </w:rPr>
      </w:pPr>
      <w:r>
        <w:rPr>
          <w:sz w:val="18"/>
        </w:rPr>
        <w:t>In addition, provision is made for claims incurred but not reported (IBNR) at balance date.</w:t>
      </w:r>
      <w:r>
        <w:rPr>
          <w:spacing w:val="40"/>
          <w:sz w:val="18"/>
        </w:rPr>
        <w:t xml:space="preserve"> </w:t>
      </w:r>
      <w:r>
        <w:rPr>
          <w:sz w:val="18"/>
        </w:rPr>
        <w:t>The central estimates</w:t>
      </w:r>
      <w:r>
        <w:rPr>
          <w:spacing w:val="-2"/>
          <w:sz w:val="18"/>
        </w:rPr>
        <w:t xml:space="preserve"> </w:t>
      </w:r>
      <w:r>
        <w:rPr>
          <w:sz w:val="18"/>
        </w:rPr>
        <w:t>are</w:t>
      </w:r>
      <w:r>
        <w:rPr>
          <w:spacing w:val="-2"/>
          <w:sz w:val="18"/>
        </w:rPr>
        <w:t xml:space="preserve"> </w:t>
      </w:r>
      <w:r>
        <w:rPr>
          <w:sz w:val="18"/>
        </w:rPr>
        <w:t>determined</w:t>
      </w:r>
      <w:r>
        <w:rPr>
          <w:spacing w:val="-2"/>
          <w:sz w:val="18"/>
        </w:rPr>
        <w:t xml:space="preserve"> </w:t>
      </w:r>
      <w:r>
        <w:rPr>
          <w:sz w:val="18"/>
        </w:rPr>
        <w:t>by</w:t>
      </w:r>
      <w:r>
        <w:rPr>
          <w:spacing w:val="-2"/>
          <w:sz w:val="18"/>
        </w:rPr>
        <w:t xml:space="preserve"> </w:t>
      </w:r>
      <w:r>
        <w:rPr>
          <w:sz w:val="18"/>
        </w:rPr>
        <w:t>reference</w:t>
      </w:r>
      <w:r>
        <w:rPr>
          <w:spacing w:val="-2"/>
          <w:sz w:val="18"/>
        </w:rPr>
        <w:t xml:space="preserve"> </w:t>
      </w:r>
      <w:r>
        <w:rPr>
          <w:sz w:val="18"/>
        </w:rPr>
        <w:t>to</w:t>
      </w:r>
      <w:r>
        <w:rPr>
          <w:spacing w:val="-2"/>
          <w:sz w:val="18"/>
        </w:rPr>
        <w:t xml:space="preserve"> </w:t>
      </w:r>
      <w:r>
        <w:rPr>
          <w:sz w:val="18"/>
        </w:rPr>
        <w:t>a</w:t>
      </w:r>
      <w:r>
        <w:rPr>
          <w:spacing w:val="-5"/>
          <w:sz w:val="18"/>
        </w:rPr>
        <w:t xml:space="preserve"> </w:t>
      </w:r>
      <w:r>
        <w:rPr>
          <w:sz w:val="18"/>
        </w:rPr>
        <w:t>variety</w:t>
      </w:r>
      <w:r>
        <w:rPr>
          <w:spacing w:val="-4"/>
          <w:sz w:val="18"/>
        </w:rPr>
        <w:t xml:space="preserve"> </w:t>
      </w:r>
      <w:r>
        <w:rPr>
          <w:sz w:val="18"/>
        </w:rPr>
        <w:t>of</w:t>
      </w:r>
      <w:r>
        <w:rPr>
          <w:spacing w:val="-3"/>
          <w:sz w:val="18"/>
        </w:rPr>
        <w:t xml:space="preserve"> </w:t>
      </w:r>
      <w:r>
        <w:rPr>
          <w:sz w:val="18"/>
        </w:rPr>
        <w:t>estimation</w:t>
      </w:r>
      <w:r>
        <w:rPr>
          <w:spacing w:val="-2"/>
          <w:sz w:val="18"/>
        </w:rPr>
        <w:t xml:space="preserve"> </w:t>
      </w:r>
      <w:r>
        <w:rPr>
          <w:sz w:val="18"/>
        </w:rPr>
        <w:t>techniques,</w:t>
      </w:r>
      <w:r>
        <w:rPr>
          <w:spacing w:val="-3"/>
          <w:sz w:val="18"/>
        </w:rPr>
        <w:t xml:space="preserve"> </w:t>
      </w:r>
      <w:r>
        <w:rPr>
          <w:sz w:val="18"/>
        </w:rPr>
        <w:t>generally</w:t>
      </w:r>
      <w:r>
        <w:rPr>
          <w:spacing w:val="-4"/>
          <w:sz w:val="18"/>
        </w:rPr>
        <w:t xml:space="preserve"> </w:t>
      </w:r>
      <w:r>
        <w:rPr>
          <w:sz w:val="18"/>
        </w:rPr>
        <w:t>based</w:t>
      </w:r>
      <w:r>
        <w:rPr>
          <w:spacing w:val="-2"/>
          <w:sz w:val="18"/>
        </w:rPr>
        <w:t xml:space="preserve"> </w:t>
      </w:r>
      <w:r>
        <w:rPr>
          <w:sz w:val="18"/>
        </w:rPr>
        <w:t>on</w:t>
      </w:r>
      <w:r>
        <w:rPr>
          <w:spacing w:val="-5"/>
          <w:sz w:val="18"/>
        </w:rPr>
        <w:t xml:space="preserve"> </w:t>
      </w:r>
      <w:r>
        <w:rPr>
          <w:sz w:val="18"/>
        </w:rPr>
        <w:t xml:space="preserve">statistical analysis of historical experience which assumes an underlying pattern of claims development and </w:t>
      </w:r>
      <w:r>
        <w:rPr>
          <w:spacing w:val="-2"/>
          <w:sz w:val="18"/>
        </w:rPr>
        <w:t>payments.</w:t>
      </w:r>
    </w:p>
    <w:p w14:paraId="762E1D7D" w14:textId="77777777" w:rsidR="00AC6F3C" w:rsidRDefault="00AC6F3C">
      <w:pPr>
        <w:pStyle w:val="BodyText"/>
        <w:spacing w:before="10"/>
      </w:pPr>
    </w:p>
    <w:p w14:paraId="622E491B" w14:textId="77777777" w:rsidR="00AC6F3C" w:rsidRDefault="00570E88">
      <w:pPr>
        <w:ind w:left="958" w:right="990"/>
        <w:rPr>
          <w:sz w:val="18"/>
        </w:rPr>
      </w:pPr>
      <w:r>
        <w:rPr>
          <w:sz w:val="18"/>
        </w:rPr>
        <w:t>Central</w:t>
      </w:r>
      <w:r>
        <w:rPr>
          <w:spacing w:val="-4"/>
          <w:sz w:val="18"/>
        </w:rPr>
        <w:t xml:space="preserve"> </w:t>
      </w:r>
      <w:r>
        <w:rPr>
          <w:sz w:val="18"/>
        </w:rPr>
        <w:t>estimates</w:t>
      </w:r>
      <w:r>
        <w:rPr>
          <w:spacing w:val="-3"/>
          <w:sz w:val="18"/>
        </w:rPr>
        <w:t xml:space="preserve"> </w:t>
      </w:r>
      <w:r>
        <w:rPr>
          <w:sz w:val="18"/>
        </w:rPr>
        <w:t>are</w:t>
      </w:r>
      <w:r>
        <w:rPr>
          <w:spacing w:val="-4"/>
          <w:sz w:val="18"/>
        </w:rPr>
        <w:t xml:space="preserve"> </w:t>
      </w:r>
      <w:r>
        <w:rPr>
          <w:sz w:val="18"/>
        </w:rPr>
        <w:t>calculated</w:t>
      </w:r>
      <w:r>
        <w:rPr>
          <w:spacing w:val="-1"/>
          <w:sz w:val="18"/>
        </w:rPr>
        <w:t xml:space="preserve"> </w:t>
      </w:r>
      <w:r>
        <w:rPr>
          <w:sz w:val="18"/>
        </w:rPr>
        <w:t>gross</w:t>
      </w:r>
      <w:r>
        <w:rPr>
          <w:spacing w:val="-3"/>
          <w:sz w:val="18"/>
        </w:rPr>
        <w:t xml:space="preserve"> </w:t>
      </w:r>
      <w:r>
        <w:rPr>
          <w:sz w:val="18"/>
        </w:rPr>
        <w:t>of</w:t>
      </w:r>
      <w:r>
        <w:rPr>
          <w:spacing w:val="-2"/>
          <w:sz w:val="18"/>
        </w:rPr>
        <w:t xml:space="preserve"> </w:t>
      </w:r>
      <w:r>
        <w:rPr>
          <w:sz w:val="18"/>
        </w:rPr>
        <w:t>reinsurance</w:t>
      </w:r>
      <w:r>
        <w:rPr>
          <w:spacing w:val="-1"/>
          <w:sz w:val="18"/>
        </w:rPr>
        <w:t xml:space="preserve"> </w:t>
      </w:r>
      <w:r>
        <w:rPr>
          <w:sz w:val="18"/>
        </w:rPr>
        <w:t>with</w:t>
      </w:r>
      <w:r>
        <w:rPr>
          <w:spacing w:val="-4"/>
          <w:sz w:val="18"/>
        </w:rPr>
        <w:t xml:space="preserve"> </w:t>
      </w:r>
      <w:r>
        <w:rPr>
          <w:sz w:val="18"/>
        </w:rPr>
        <w:t>separate</w:t>
      </w:r>
      <w:r>
        <w:rPr>
          <w:spacing w:val="-1"/>
          <w:sz w:val="18"/>
        </w:rPr>
        <w:t xml:space="preserve"> </w:t>
      </w:r>
      <w:r>
        <w:rPr>
          <w:sz w:val="18"/>
        </w:rPr>
        <w:t>estimates</w:t>
      </w:r>
      <w:r>
        <w:rPr>
          <w:spacing w:val="-1"/>
          <w:sz w:val="18"/>
        </w:rPr>
        <w:t xml:space="preserve"> </w:t>
      </w:r>
      <w:r>
        <w:rPr>
          <w:sz w:val="18"/>
        </w:rPr>
        <w:t>made</w:t>
      </w:r>
      <w:r>
        <w:rPr>
          <w:spacing w:val="-4"/>
          <w:sz w:val="18"/>
        </w:rPr>
        <w:t xml:space="preserve"> </w:t>
      </w:r>
      <w:r>
        <w:rPr>
          <w:sz w:val="18"/>
        </w:rPr>
        <w:t>in</w:t>
      </w:r>
      <w:r>
        <w:rPr>
          <w:spacing w:val="-1"/>
          <w:sz w:val="18"/>
        </w:rPr>
        <w:t xml:space="preserve"> </w:t>
      </w:r>
      <w:r>
        <w:rPr>
          <w:sz w:val="18"/>
        </w:rPr>
        <w:t>relation</w:t>
      </w:r>
      <w:r>
        <w:rPr>
          <w:spacing w:val="-4"/>
          <w:sz w:val="18"/>
        </w:rPr>
        <w:t xml:space="preserve"> </w:t>
      </w:r>
      <w:r>
        <w:rPr>
          <w:sz w:val="18"/>
        </w:rPr>
        <w:t>to reinsurance recoveries based on the gross central estimate.</w:t>
      </w:r>
    </w:p>
    <w:p w14:paraId="24B78506" w14:textId="77777777" w:rsidR="00AC6F3C" w:rsidRDefault="00AC6F3C">
      <w:pPr>
        <w:pStyle w:val="BodyText"/>
        <w:rPr>
          <w:sz w:val="21"/>
        </w:rPr>
      </w:pPr>
    </w:p>
    <w:p w14:paraId="2F770675" w14:textId="77777777" w:rsidR="00AC6F3C" w:rsidRDefault="00570E88">
      <w:pPr>
        <w:ind w:left="958"/>
        <w:rPr>
          <w:sz w:val="18"/>
        </w:rPr>
      </w:pPr>
      <w:r>
        <w:rPr>
          <w:sz w:val="18"/>
        </w:rPr>
        <w:t>The</w:t>
      </w:r>
      <w:r>
        <w:rPr>
          <w:spacing w:val="-2"/>
          <w:sz w:val="18"/>
        </w:rPr>
        <w:t xml:space="preserve"> </w:t>
      </w:r>
      <w:r>
        <w:rPr>
          <w:sz w:val="18"/>
        </w:rPr>
        <w:t>net</w:t>
      </w:r>
      <w:r>
        <w:rPr>
          <w:spacing w:val="-2"/>
          <w:sz w:val="18"/>
        </w:rPr>
        <w:t xml:space="preserve"> </w:t>
      </w:r>
      <w:r>
        <w:rPr>
          <w:sz w:val="18"/>
        </w:rPr>
        <w:t>central</w:t>
      </w:r>
      <w:r>
        <w:rPr>
          <w:spacing w:val="-1"/>
          <w:sz w:val="18"/>
        </w:rPr>
        <w:t xml:space="preserve"> </w:t>
      </w:r>
      <w:r>
        <w:rPr>
          <w:sz w:val="18"/>
        </w:rPr>
        <w:t>estimate</w:t>
      </w:r>
      <w:r>
        <w:rPr>
          <w:spacing w:val="-3"/>
          <w:sz w:val="18"/>
        </w:rPr>
        <w:t xml:space="preserve"> </w:t>
      </w:r>
      <w:r>
        <w:rPr>
          <w:sz w:val="18"/>
        </w:rPr>
        <w:t>is</w:t>
      </w:r>
      <w:r>
        <w:rPr>
          <w:spacing w:val="-3"/>
          <w:sz w:val="18"/>
        </w:rPr>
        <w:t xml:space="preserve"> </w:t>
      </w:r>
      <w:r>
        <w:rPr>
          <w:sz w:val="18"/>
        </w:rPr>
        <w:t>discounted</w:t>
      </w:r>
      <w:r>
        <w:rPr>
          <w:spacing w:val="-4"/>
          <w:sz w:val="18"/>
        </w:rPr>
        <w:t xml:space="preserve"> </w:t>
      </w:r>
      <w:r>
        <w:rPr>
          <w:sz w:val="18"/>
        </w:rPr>
        <w:t>at</w:t>
      </w:r>
      <w:r>
        <w:rPr>
          <w:spacing w:val="-2"/>
          <w:sz w:val="18"/>
        </w:rPr>
        <w:t xml:space="preserve"> </w:t>
      </w:r>
      <w:r>
        <w:rPr>
          <w:sz w:val="18"/>
        </w:rPr>
        <w:t>the</w:t>
      </w:r>
      <w:r>
        <w:rPr>
          <w:spacing w:val="-1"/>
          <w:sz w:val="18"/>
        </w:rPr>
        <w:t xml:space="preserve"> </w:t>
      </w:r>
      <w:r>
        <w:rPr>
          <w:sz w:val="18"/>
        </w:rPr>
        <w:t>risk</w:t>
      </w:r>
      <w:r>
        <w:rPr>
          <w:spacing w:val="-1"/>
          <w:sz w:val="18"/>
        </w:rPr>
        <w:t xml:space="preserve"> </w:t>
      </w:r>
      <w:r>
        <w:rPr>
          <w:sz w:val="18"/>
        </w:rPr>
        <w:t>free</w:t>
      </w:r>
      <w:r>
        <w:rPr>
          <w:spacing w:val="-1"/>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1"/>
          <w:sz w:val="18"/>
        </w:rPr>
        <w:t xml:space="preserve"> </w:t>
      </w:r>
      <w:r>
        <w:rPr>
          <w:sz w:val="18"/>
        </w:rPr>
        <w:t>to</w:t>
      </w:r>
      <w:r>
        <w:rPr>
          <w:spacing w:val="-1"/>
          <w:sz w:val="18"/>
        </w:rPr>
        <w:t xml:space="preserve"> </w:t>
      </w:r>
      <w:r>
        <w:rPr>
          <w:sz w:val="18"/>
        </w:rPr>
        <w:t>reflect</w:t>
      </w:r>
      <w:r>
        <w:rPr>
          <w:spacing w:val="-2"/>
          <w:sz w:val="18"/>
        </w:rPr>
        <w:t xml:space="preserve"> </w:t>
      </w:r>
      <w:r>
        <w:rPr>
          <w:sz w:val="18"/>
        </w:rPr>
        <w:t>present</w:t>
      </w:r>
      <w:r>
        <w:rPr>
          <w:spacing w:val="-2"/>
          <w:sz w:val="18"/>
        </w:rPr>
        <w:t xml:space="preserve"> value.</w:t>
      </w:r>
    </w:p>
    <w:p w14:paraId="043F70BA" w14:textId="77777777" w:rsidR="00AC6F3C" w:rsidRDefault="00AC6F3C">
      <w:pPr>
        <w:pStyle w:val="BodyText"/>
        <w:spacing w:before="9"/>
      </w:pPr>
    </w:p>
    <w:p w14:paraId="10D44838" w14:textId="77777777" w:rsidR="00AC6F3C" w:rsidRDefault="00570E88">
      <w:pPr>
        <w:ind w:left="958"/>
        <w:rPr>
          <w:b/>
          <w:sz w:val="18"/>
        </w:rPr>
      </w:pPr>
      <w:r>
        <w:rPr>
          <w:b/>
          <w:sz w:val="18"/>
        </w:rPr>
        <w:t>Risk</w:t>
      </w:r>
      <w:r>
        <w:rPr>
          <w:b/>
          <w:spacing w:val="-2"/>
          <w:sz w:val="18"/>
        </w:rPr>
        <w:t xml:space="preserve"> margin</w:t>
      </w:r>
    </w:p>
    <w:p w14:paraId="3AE34C1C" w14:textId="77777777" w:rsidR="00AC6F3C" w:rsidRDefault="00AC6F3C">
      <w:pPr>
        <w:pStyle w:val="BodyText"/>
        <w:spacing w:before="9"/>
        <w:rPr>
          <w:b/>
        </w:rPr>
      </w:pPr>
    </w:p>
    <w:p w14:paraId="3CEB97C1" w14:textId="77777777" w:rsidR="00AC6F3C" w:rsidRDefault="00570E88">
      <w:pPr>
        <w:spacing w:before="1"/>
        <w:ind w:left="958" w:right="857"/>
        <w:rPr>
          <w:sz w:val="18"/>
        </w:rPr>
      </w:pPr>
      <w:r>
        <w:rPr>
          <w:sz w:val="18"/>
        </w:rPr>
        <w:t>Risk margins are determined by the Lexon Board and are held to mitigate the potential for uncertainty in the</w:t>
      </w:r>
      <w:r>
        <w:rPr>
          <w:spacing w:val="-2"/>
          <w:sz w:val="18"/>
        </w:rPr>
        <w:t xml:space="preserve"> </w:t>
      </w:r>
      <w:r>
        <w:rPr>
          <w:sz w:val="18"/>
        </w:rPr>
        <w:t>central</w:t>
      </w:r>
      <w:r>
        <w:rPr>
          <w:spacing w:val="-2"/>
          <w:sz w:val="18"/>
        </w:rPr>
        <w:t xml:space="preserve"> </w:t>
      </w:r>
      <w:r>
        <w:rPr>
          <w:sz w:val="18"/>
        </w:rPr>
        <w:t>estimate.</w:t>
      </w:r>
      <w:r>
        <w:rPr>
          <w:spacing w:val="-3"/>
          <w:sz w:val="18"/>
        </w:rPr>
        <w:t xml:space="preserve"> </w:t>
      </w:r>
      <w:r>
        <w:rPr>
          <w:sz w:val="18"/>
        </w:rPr>
        <w:t>The</w:t>
      </w:r>
      <w:r>
        <w:rPr>
          <w:spacing w:val="-2"/>
          <w:sz w:val="18"/>
        </w:rPr>
        <w:t xml:space="preserve"> </w:t>
      </w:r>
      <w:r>
        <w:rPr>
          <w:sz w:val="18"/>
        </w:rPr>
        <w:t>risk</w:t>
      </w:r>
      <w:r>
        <w:rPr>
          <w:spacing w:val="-4"/>
          <w:sz w:val="18"/>
        </w:rPr>
        <w:t xml:space="preserve"> </w:t>
      </w:r>
      <w:r>
        <w:rPr>
          <w:sz w:val="18"/>
        </w:rPr>
        <w:t>margin</w:t>
      </w:r>
      <w:r>
        <w:rPr>
          <w:spacing w:val="-2"/>
          <w:sz w:val="18"/>
        </w:rPr>
        <w:t xml:space="preserve"> </w:t>
      </w:r>
      <w:r>
        <w:rPr>
          <w:sz w:val="18"/>
        </w:rPr>
        <w:t>is</w:t>
      </w:r>
      <w:r>
        <w:rPr>
          <w:spacing w:val="-2"/>
          <w:sz w:val="18"/>
        </w:rPr>
        <w:t xml:space="preserve"> </w:t>
      </w:r>
      <w:r>
        <w:rPr>
          <w:sz w:val="18"/>
        </w:rPr>
        <w:t>determined</w:t>
      </w:r>
      <w:r>
        <w:rPr>
          <w:spacing w:val="-2"/>
          <w:sz w:val="18"/>
        </w:rPr>
        <w:t xml:space="preserve"> </w:t>
      </w:r>
      <w:r>
        <w:rPr>
          <w:sz w:val="18"/>
        </w:rPr>
        <w:t>by</w:t>
      </w:r>
      <w:r>
        <w:rPr>
          <w:spacing w:val="-2"/>
          <w:sz w:val="18"/>
        </w:rPr>
        <w:t xml:space="preserve"> </w:t>
      </w:r>
      <w:r>
        <w:rPr>
          <w:sz w:val="18"/>
        </w:rPr>
        <w:t>reference</w:t>
      </w:r>
      <w:r>
        <w:rPr>
          <w:spacing w:val="-2"/>
          <w:sz w:val="18"/>
        </w:rPr>
        <w:t xml:space="preserve"> </w:t>
      </w:r>
      <w:r>
        <w:rPr>
          <w:sz w:val="18"/>
        </w:rPr>
        <w:t>to</w:t>
      </w:r>
      <w:r>
        <w:rPr>
          <w:spacing w:val="-2"/>
          <w:sz w:val="18"/>
        </w:rPr>
        <w:t xml:space="preserve"> </w:t>
      </w:r>
      <w:r>
        <w:rPr>
          <w:sz w:val="18"/>
        </w:rPr>
        <w:t>industry</w:t>
      </w:r>
      <w:r>
        <w:rPr>
          <w:spacing w:val="-4"/>
          <w:sz w:val="18"/>
        </w:rPr>
        <w:t xml:space="preserve"> </w:t>
      </w:r>
      <w:r>
        <w:rPr>
          <w:sz w:val="18"/>
        </w:rPr>
        <w:t>analysis,</w:t>
      </w:r>
      <w:r>
        <w:rPr>
          <w:spacing w:val="-3"/>
          <w:sz w:val="18"/>
        </w:rPr>
        <w:t xml:space="preserve"> </w:t>
      </w:r>
      <w:r>
        <w:rPr>
          <w:sz w:val="18"/>
        </w:rPr>
        <w:t>historical</w:t>
      </w:r>
      <w:r>
        <w:rPr>
          <w:spacing w:val="-5"/>
          <w:sz w:val="18"/>
        </w:rPr>
        <w:t xml:space="preserve"> </w:t>
      </w:r>
      <w:r>
        <w:rPr>
          <w:sz w:val="18"/>
        </w:rPr>
        <w:t>experience and the judgement of experienced and qualified actuaries.</w:t>
      </w:r>
    </w:p>
    <w:p w14:paraId="352988D4" w14:textId="77777777" w:rsidR="00AC6F3C" w:rsidRDefault="00AC6F3C">
      <w:pPr>
        <w:pStyle w:val="BodyText"/>
        <w:spacing w:before="10"/>
      </w:pPr>
    </w:p>
    <w:p w14:paraId="1572EBF5" w14:textId="77777777" w:rsidR="00AC6F3C" w:rsidRDefault="00570E88">
      <w:pPr>
        <w:ind w:left="958" w:right="886"/>
        <w:rPr>
          <w:sz w:val="18"/>
        </w:rPr>
      </w:pPr>
      <w:r>
        <w:rPr>
          <w:sz w:val="18"/>
        </w:rPr>
        <w:t>The probability of sufficiency is a statistical measure of the relative adequacy of the outstanding claims provision and is derived from a</w:t>
      </w:r>
      <w:r>
        <w:rPr>
          <w:spacing w:val="-1"/>
          <w:sz w:val="18"/>
        </w:rPr>
        <w:t xml:space="preserve"> </w:t>
      </w:r>
      <w:r>
        <w:rPr>
          <w:sz w:val="18"/>
        </w:rPr>
        <w:t>comparison</w:t>
      </w:r>
      <w:r>
        <w:rPr>
          <w:spacing w:val="-1"/>
          <w:sz w:val="18"/>
        </w:rPr>
        <w:t xml:space="preserve"> </w:t>
      </w:r>
      <w:r>
        <w:rPr>
          <w:sz w:val="18"/>
        </w:rPr>
        <w:t>of the risk margin</w:t>
      </w:r>
      <w:r>
        <w:rPr>
          <w:spacing w:val="-1"/>
          <w:sz w:val="18"/>
        </w:rPr>
        <w:t xml:space="preserve"> </w:t>
      </w:r>
      <w:r>
        <w:rPr>
          <w:sz w:val="18"/>
        </w:rPr>
        <w:t>with the net discounted</w:t>
      </w:r>
      <w:r>
        <w:rPr>
          <w:spacing w:val="-1"/>
          <w:sz w:val="18"/>
        </w:rPr>
        <w:t xml:space="preserve"> </w:t>
      </w:r>
      <w:r>
        <w:rPr>
          <w:sz w:val="18"/>
        </w:rPr>
        <w:t>central estimate.</w:t>
      </w:r>
      <w:r>
        <w:rPr>
          <w:spacing w:val="40"/>
          <w:sz w:val="18"/>
        </w:rPr>
        <w:t xml:space="preserve"> </w:t>
      </w:r>
      <w:r>
        <w:rPr>
          <w:sz w:val="18"/>
        </w:rPr>
        <w:t>A 90%</w:t>
      </w:r>
      <w:r>
        <w:rPr>
          <w:spacing w:val="-2"/>
          <w:sz w:val="18"/>
        </w:rPr>
        <w:t xml:space="preserve"> </w:t>
      </w:r>
      <w:r>
        <w:rPr>
          <w:sz w:val="18"/>
        </w:rPr>
        <w:t>probability</w:t>
      </w:r>
      <w:r>
        <w:rPr>
          <w:spacing w:val="-4"/>
          <w:sz w:val="18"/>
        </w:rPr>
        <w:t xml:space="preserve"> </w:t>
      </w:r>
      <w:r>
        <w:rPr>
          <w:sz w:val="18"/>
        </w:rPr>
        <w:t>of</w:t>
      </w:r>
      <w:r>
        <w:rPr>
          <w:spacing w:val="-3"/>
          <w:sz w:val="18"/>
        </w:rPr>
        <w:t xml:space="preserve"> </w:t>
      </w:r>
      <w:r>
        <w:rPr>
          <w:sz w:val="18"/>
        </w:rPr>
        <w:t>sufficiency</w:t>
      </w:r>
      <w:r>
        <w:rPr>
          <w:spacing w:val="-2"/>
          <w:sz w:val="18"/>
        </w:rPr>
        <w:t xml:space="preserve"> </w:t>
      </w:r>
      <w:r>
        <w:rPr>
          <w:sz w:val="18"/>
        </w:rPr>
        <w:t>indicates</w:t>
      </w:r>
      <w:r>
        <w:rPr>
          <w:spacing w:val="-2"/>
          <w:sz w:val="18"/>
        </w:rPr>
        <w:t xml:space="preserve"> </w:t>
      </w:r>
      <w:r>
        <w:rPr>
          <w:sz w:val="18"/>
        </w:rPr>
        <w:t>that</w:t>
      </w:r>
      <w:r>
        <w:rPr>
          <w:spacing w:val="-3"/>
          <w:sz w:val="18"/>
        </w:rPr>
        <w:t xml:space="preserve"> </w:t>
      </w:r>
      <w:r>
        <w:rPr>
          <w:sz w:val="18"/>
        </w:rPr>
        <w:t>the</w:t>
      </w:r>
      <w:r>
        <w:rPr>
          <w:spacing w:val="-2"/>
          <w:sz w:val="18"/>
        </w:rPr>
        <w:t xml:space="preserve"> </w:t>
      </w:r>
      <w:r>
        <w:rPr>
          <w:sz w:val="18"/>
        </w:rPr>
        <w:t>outstanding</w:t>
      </w:r>
      <w:r>
        <w:rPr>
          <w:spacing w:val="-5"/>
          <w:sz w:val="18"/>
        </w:rPr>
        <w:t xml:space="preserve"> </w:t>
      </w:r>
      <w:r>
        <w:rPr>
          <w:sz w:val="18"/>
        </w:rPr>
        <w:t>claims</w:t>
      </w:r>
      <w:r>
        <w:rPr>
          <w:spacing w:val="-2"/>
          <w:sz w:val="18"/>
        </w:rPr>
        <w:t xml:space="preserve"> </w:t>
      </w:r>
      <w:r>
        <w:rPr>
          <w:sz w:val="18"/>
        </w:rPr>
        <w:t>provision</w:t>
      </w:r>
      <w:r>
        <w:rPr>
          <w:spacing w:val="-2"/>
          <w:sz w:val="18"/>
        </w:rPr>
        <w:t xml:space="preserve"> </w:t>
      </w:r>
      <w:r>
        <w:rPr>
          <w:sz w:val="18"/>
        </w:rPr>
        <w:t>is</w:t>
      </w:r>
      <w:r>
        <w:rPr>
          <w:spacing w:val="-2"/>
          <w:sz w:val="18"/>
        </w:rPr>
        <w:t xml:space="preserve"> </w:t>
      </w:r>
      <w:r>
        <w:rPr>
          <w:sz w:val="18"/>
        </w:rPr>
        <w:t>expected</w:t>
      </w:r>
      <w:r>
        <w:rPr>
          <w:spacing w:val="-2"/>
          <w:sz w:val="18"/>
        </w:rPr>
        <w:t xml:space="preserve"> </w:t>
      </w:r>
      <w:r>
        <w:rPr>
          <w:sz w:val="18"/>
        </w:rPr>
        <w:t>to</w:t>
      </w:r>
      <w:r>
        <w:rPr>
          <w:spacing w:val="-5"/>
          <w:sz w:val="18"/>
        </w:rPr>
        <w:t xml:space="preserve"> </w:t>
      </w:r>
      <w:r>
        <w:rPr>
          <w:sz w:val="18"/>
        </w:rPr>
        <w:t>be</w:t>
      </w:r>
      <w:r>
        <w:rPr>
          <w:spacing w:val="-2"/>
          <w:sz w:val="18"/>
        </w:rPr>
        <w:t xml:space="preserve"> </w:t>
      </w:r>
      <w:r>
        <w:rPr>
          <w:sz w:val="18"/>
        </w:rPr>
        <w:t>adequate</w:t>
      </w:r>
      <w:r>
        <w:rPr>
          <w:spacing w:val="-2"/>
          <w:sz w:val="18"/>
        </w:rPr>
        <w:t xml:space="preserve"> </w:t>
      </w:r>
      <w:r>
        <w:rPr>
          <w:sz w:val="18"/>
        </w:rPr>
        <w:t>9 times out of 10.</w:t>
      </w:r>
      <w:r>
        <w:rPr>
          <w:spacing w:val="40"/>
          <w:sz w:val="18"/>
        </w:rPr>
        <w:t xml:space="preserve"> </w:t>
      </w:r>
      <w:r>
        <w:rPr>
          <w:sz w:val="18"/>
        </w:rPr>
        <w:t>The Board aims to include risk margins such that the probability of sufficiency is in the range of 90%.</w:t>
      </w:r>
    </w:p>
    <w:p w14:paraId="74D2DFA8" w14:textId="77777777" w:rsidR="00AC6F3C" w:rsidRDefault="00AC6F3C">
      <w:pPr>
        <w:rPr>
          <w:sz w:val="18"/>
        </w:rPr>
        <w:sectPr w:rsidR="00AC6F3C">
          <w:pgSz w:w="11910" w:h="16840"/>
          <w:pgMar w:top="2020" w:right="1160" w:bottom="520" w:left="460" w:header="1228" w:footer="336" w:gutter="0"/>
          <w:cols w:space="720"/>
        </w:sectPr>
      </w:pPr>
    </w:p>
    <w:p w14:paraId="58DB1F13" w14:textId="77777777" w:rsidR="00AC6F3C" w:rsidRDefault="00AC6F3C">
      <w:pPr>
        <w:pStyle w:val="BodyText"/>
      </w:pPr>
    </w:p>
    <w:p w14:paraId="6943FD3B" w14:textId="77777777" w:rsidR="00AC6F3C" w:rsidRDefault="00570E88">
      <w:pPr>
        <w:tabs>
          <w:tab w:val="left" w:pos="1666"/>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7056BEC3" w14:textId="77777777" w:rsidR="00AC6F3C" w:rsidRDefault="00570E88">
      <w:pPr>
        <w:pStyle w:val="Heading7"/>
        <w:tabs>
          <w:tab w:val="left" w:pos="1726"/>
        </w:tabs>
      </w:pPr>
      <w:r>
        <w:rPr>
          <w:spacing w:val="-2"/>
        </w:rPr>
        <w:t>C8-</w:t>
      </w:r>
      <w:r>
        <w:rPr>
          <w:spacing w:val="-10"/>
        </w:rPr>
        <w:t>2</w:t>
      </w:r>
      <w:r>
        <w:tab/>
        <w:t>INSURANCE</w:t>
      </w:r>
      <w:r>
        <w:rPr>
          <w:spacing w:val="-4"/>
        </w:rPr>
        <w:t xml:space="preserve"> </w:t>
      </w:r>
      <w:r>
        <w:t>LIABILITIES</w:t>
      </w:r>
      <w:r>
        <w:rPr>
          <w:spacing w:val="-4"/>
        </w:rPr>
        <w:t xml:space="preserve"> </w:t>
      </w:r>
      <w:r>
        <w:rPr>
          <w:spacing w:val="-2"/>
        </w:rPr>
        <w:t>(continued)</w:t>
      </w:r>
    </w:p>
    <w:p w14:paraId="4AE1221F" w14:textId="77777777" w:rsidR="00AC6F3C" w:rsidRDefault="00AC6F3C">
      <w:pPr>
        <w:pStyle w:val="BodyText"/>
        <w:spacing w:before="8"/>
        <w:rPr>
          <w:b/>
        </w:rPr>
      </w:pPr>
    </w:p>
    <w:p w14:paraId="39E6CCAA" w14:textId="77777777" w:rsidR="00AC6F3C" w:rsidRDefault="00570E88">
      <w:pPr>
        <w:spacing w:before="1"/>
        <w:ind w:left="1018"/>
        <w:rPr>
          <w:b/>
          <w:sz w:val="20"/>
        </w:rPr>
      </w:pPr>
      <w:r>
        <w:rPr>
          <w:b/>
          <w:sz w:val="20"/>
        </w:rPr>
        <w:t>(a)</w:t>
      </w:r>
      <w:r>
        <w:rPr>
          <w:b/>
          <w:spacing w:val="45"/>
          <w:sz w:val="20"/>
        </w:rPr>
        <w:t xml:space="preserve"> </w:t>
      </w:r>
      <w:r>
        <w:rPr>
          <w:b/>
          <w:sz w:val="20"/>
        </w:rPr>
        <w:t>Provision</w:t>
      </w:r>
      <w:r>
        <w:rPr>
          <w:b/>
          <w:spacing w:val="-7"/>
          <w:sz w:val="20"/>
        </w:rPr>
        <w:t xml:space="preserve"> </w:t>
      </w:r>
      <w:r>
        <w:rPr>
          <w:b/>
          <w:sz w:val="20"/>
        </w:rPr>
        <w:t>for</w:t>
      </w:r>
      <w:r>
        <w:rPr>
          <w:b/>
          <w:spacing w:val="-9"/>
          <w:sz w:val="20"/>
        </w:rPr>
        <w:t xml:space="preserve"> </w:t>
      </w:r>
      <w:r>
        <w:rPr>
          <w:b/>
          <w:sz w:val="20"/>
        </w:rPr>
        <w:t>outstanding</w:t>
      </w:r>
      <w:r>
        <w:rPr>
          <w:b/>
          <w:spacing w:val="-5"/>
          <w:sz w:val="20"/>
        </w:rPr>
        <w:t xml:space="preserve"> </w:t>
      </w:r>
      <w:r>
        <w:rPr>
          <w:b/>
          <w:sz w:val="20"/>
        </w:rPr>
        <w:t>claims</w:t>
      </w:r>
      <w:r>
        <w:rPr>
          <w:b/>
          <w:spacing w:val="-7"/>
          <w:sz w:val="20"/>
        </w:rPr>
        <w:t xml:space="preserve"> </w:t>
      </w:r>
      <w:r>
        <w:rPr>
          <w:b/>
          <w:spacing w:val="-2"/>
          <w:sz w:val="20"/>
        </w:rPr>
        <w:t>(continued)</w:t>
      </w:r>
    </w:p>
    <w:p w14:paraId="66466195" w14:textId="77777777" w:rsidR="00AC6F3C" w:rsidRDefault="00AC6F3C">
      <w:pPr>
        <w:pStyle w:val="BodyText"/>
        <w:spacing w:before="9"/>
        <w:rPr>
          <w:b/>
        </w:rPr>
      </w:pPr>
    </w:p>
    <w:p w14:paraId="351A8A70" w14:textId="77777777" w:rsidR="00AC6F3C" w:rsidRDefault="00570E88">
      <w:pPr>
        <w:spacing w:before="1"/>
        <w:ind w:left="958"/>
        <w:rPr>
          <w:b/>
          <w:sz w:val="18"/>
        </w:rPr>
      </w:pPr>
      <w:r>
        <w:rPr>
          <w:b/>
          <w:sz w:val="18"/>
        </w:rPr>
        <w:t>Discount</w:t>
      </w:r>
      <w:r>
        <w:rPr>
          <w:b/>
          <w:spacing w:val="-1"/>
          <w:sz w:val="18"/>
        </w:rPr>
        <w:t xml:space="preserve"> </w:t>
      </w:r>
      <w:r>
        <w:rPr>
          <w:b/>
          <w:spacing w:val="-2"/>
          <w:sz w:val="18"/>
        </w:rPr>
        <w:t>rates</w:t>
      </w:r>
    </w:p>
    <w:p w14:paraId="563DC773" w14:textId="77777777" w:rsidR="00AC6F3C" w:rsidRDefault="00AC6F3C">
      <w:pPr>
        <w:pStyle w:val="BodyText"/>
        <w:spacing w:before="9"/>
        <w:rPr>
          <w:b/>
        </w:rPr>
      </w:pPr>
    </w:p>
    <w:p w14:paraId="1B195BAC" w14:textId="77777777" w:rsidR="00AC6F3C" w:rsidRDefault="00570E88">
      <w:pPr>
        <w:ind w:left="958" w:right="990"/>
        <w:rPr>
          <w:sz w:val="18"/>
        </w:rPr>
      </w:pPr>
      <w:r>
        <w:rPr>
          <w:sz w:val="18"/>
        </w:rPr>
        <w:t>The</w:t>
      </w:r>
      <w:r>
        <w:rPr>
          <w:spacing w:val="-1"/>
          <w:sz w:val="18"/>
        </w:rPr>
        <w:t xml:space="preserve"> </w:t>
      </w:r>
      <w:r>
        <w:rPr>
          <w:sz w:val="18"/>
        </w:rPr>
        <w:t>outstanding</w:t>
      </w:r>
      <w:r>
        <w:rPr>
          <w:spacing w:val="-4"/>
          <w:sz w:val="18"/>
        </w:rPr>
        <w:t xml:space="preserve"> </w:t>
      </w:r>
      <w:r>
        <w:rPr>
          <w:sz w:val="18"/>
        </w:rPr>
        <w:t>claims</w:t>
      </w:r>
      <w:r>
        <w:rPr>
          <w:spacing w:val="-1"/>
          <w:sz w:val="18"/>
        </w:rPr>
        <w:t xml:space="preserve"> </w:t>
      </w:r>
      <w:r>
        <w:rPr>
          <w:sz w:val="18"/>
        </w:rPr>
        <w:t>provision</w:t>
      </w:r>
      <w:r>
        <w:rPr>
          <w:spacing w:val="-1"/>
          <w:sz w:val="18"/>
        </w:rPr>
        <w:t xml:space="preserve"> </w:t>
      </w:r>
      <w:r>
        <w:rPr>
          <w:sz w:val="18"/>
        </w:rPr>
        <w:t>is</w:t>
      </w:r>
      <w:r>
        <w:rPr>
          <w:spacing w:val="-1"/>
          <w:sz w:val="18"/>
        </w:rPr>
        <w:t xml:space="preserve"> </w:t>
      </w:r>
      <w:r>
        <w:rPr>
          <w:sz w:val="18"/>
        </w:rPr>
        <w:t>discounted</w:t>
      </w:r>
      <w:r>
        <w:rPr>
          <w:spacing w:val="-1"/>
          <w:sz w:val="18"/>
        </w:rPr>
        <w:t xml:space="preserve"> </w:t>
      </w:r>
      <w:r>
        <w:rPr>
          <w:sz w:val="18"/>
        </w:rPr>
        <w:t>for</w:t>
      </w:r>
      <w:r>
        <w:rPr>
          <w:spacing w:val="-2"/>
          <w:sz w:val="18"/>
        </w:rPr>
        <w:t xml:space="preserve"> </w:t>
      </w:r>
      <w:r>
        <w:rPr>
          <w:sz w:val="18"/>
        </w:rPr>
        <w:t>the</w:t>
      </w:r>
      <w:r>
        <w:rPr>
          <w:spacing w:val="-4"/>
          <w:sz w:val="18"/>
        </w:rPr>
        <w:t xml:space="preserve"> </w:t>
      </w:r>
      <w:r>
        <w:rPr>
          <w:sz w:val="18"/>
        </w:rPr>
        <w:t>time</w:t>
      </w:r>
      <w:r>
        <w:rPr>
          <w:spacing w:val="-4"/>
          <w:sz w:val="18"/>
        </w:rPr>
        <w:t xml:space="preserve"> </w:t>
      </w:r>
      <w:r>
        <w:rPr>
          <w:sz w:val="18"/>
        </w:rPr>
        <w:t>value</w:t>
      </w:r>
      <w:r>
        <w:rPr>
          <w:spacing w:val="-4"/>
          <w:sz w:val="18"/>
        </w:rPr>
        <w:t xml:space="preserve"> </w:t>
      </w:r>
      <w:r>
        <w:rPr>
          <w:sz w:val="18"/>
        </w:rPr>
        <w:t>of</w:t>
      </w:r>
      <w:r>
        <w:rPr>
          <w:spacing w:val="-2"/>
          <w:sz w:val="18"/>
        </w:rPr>
        <w:t xml:space="preserve"> </w:t>
      </w:r>
      <w:r>
        <w:rPr>
          <w:sz w:val="18"/>
        </w:rPr>
        <w:t>money</w:t>
      </w:r>
      <w:r>
        <w:rPr>
          <w:spacing w:val="-1"/>
          <w:sz w:val="18"/>
        </w:rPr>
        <w:t xml:space="preserve"> </w:t>
      </w:r>
      <w:r>
        <w:rPr>
          <w:sz w:val="18"/>
        </w:rPr>
        <w:t>using</w:t>
      </w:r>
      <w:r>
        <w:rPr>
          <w:spacing w:val="-1"/>
          <w:sz w:val="18"/>
        </w:rPr>
        <w:t xml:space="preserve"> </w:t>
      </w:r>
      <w:r>
        <w:rPr>
          <w:sz w:val="18"/>
        </w:rPr>
        <w:t>risk</w:t>
      </w:r>
      <w:r>
        <w:rPr>
          <w:spacing w:val="-3"/>
          <w:sz w:val="18"/>
        </w:rPr>
        <w:t xml:space="preserve"> </w:t>
      </w:r>
      <w:r>
        <w:rPr>
          <w:sz w:val="18"/>
        </w:rPr>
        <w:t>free</w:t>
      </w:r>
      <w:r>
        <w:rPr>
          <w:spacing w:val="-1"/>
          <w:sz w:val="18"/>
        </w:rPr>
        <w:t xml:space="preserve"> </w:t>
      </w:r>
      <w:r>
        <w:rPr>
          <w:sz w:val="18"/>
        </w:rPr>
        <w:t>rates</w:t>
      </w:r>
      <w:r>
        <w:rPr>
          <w:spacing w:val="-3"/>
          <w:sz w:val="18"/>
        </w:rPr>
        <w:t xml:space="preserve"> </w:t>
      </w:r>
      <w:r>
        <w:rPr>
          <w:sz w:val="18"/>
        </w:rPr>
        <w:t>that</w:t>
      </w:r>
      <w:r>
        <w:rPr>
          <w:spacing w:val="-4"/>
          <w:sz w:val="18"/>
        </w:rPr>
        <w:t xml:space="preserve"> </w:t>
      </w:r>
      <w:r>
        <w:rPr>
          <w:sz w:val="18"/>
        </w:rPr>
        <w:t xml:space="preserve">are based on current observable, objective rates that relate to the nature, structure and terms of the future </w:t>
      </w:r>
      <w:r>
        <w:rPr>
          <w:spacing w:val="-2"/>
          <w:sz w:val="18"/>
        </w:rPr>
        <w:t>obligations.</w:t>
      </w:r>
    </w:p>
    <w:p w14:paraId="36DEA79B" w14:textId="77777777" w:rsidR="00AC6F3C" w:rsidRDefault="00AC6F3C">
      <w:pPr>
        <w:pStyle w:val="BodyText"/>
        <w:spacing w:before="10"/>
      </w:pPr>
    </w:p>
    <w:p w14:paraId="16D0C226" w14:textId="77777777" w:rsidR="00AC6F3C" w:rsidRDefault="00570E88">
      <w:pPr>
        <w:spacing w:before="1"/>
        <w:ind w:left="958" w:right="632"/>
        <w:rPr>
          <w:sz w:val="18"/>
        </w:rPr>
      </w:pPr>
      <w:r>
        <w:rPr>
          <w:sz w:val="18"/>
        </w:rPr>
        <w:t>The relevant discount rate is applied to the anticipated cash flow profile of the central estimate, including related</w:t>
      </w:r>
      <w:r>
        <w:rPr>
          <w:spacing w:val="-1"/>
          <w:sz w:val="18"/>
        </w:rPr>
        <w:t xml:space="preserve"> </w:t>
      </w:r>
      <w:r>
        <w:rPr>
          <w:sz w:val="18"/>
        </w:rPr>
        <w:t>reinsurance</w:t>
      </w:r>
      <w:r>
        <w:rPr>
          <w:spacing w:val="-1"/>
          <w:sz w:val="18"/>
        </w:rPr>
        <w:t xml:space="preserve"> </w:t>
      </w:r>
      <w:r>
        <w:rPr>
          <w:sz w:val="18"/>
        </w:rPr>
        <w:t>recoveries,</w:t>
      </w:r>
      <w:r>
        <w:rPr>
          <w:spacing w:val="-2"/>
          <w:sz w:val="18"/>
        </w:rPr>
        <w:t xml:space="preserve"> </w:t>
      </w:r>
      <w:r>
        <w:rPr>
          <w:sz w:val="18"/>
        </w:rPr>
        <w:t>determined</w:t>
      </w:r>
      <w:r>
        <w:rPr>
          <w:spacing w:val="-4"/>
          <w:sz w:val="18"/>
        </w:rPr>
        <w:t xml:space="preserve"> </w:t>
      </w:r>
      <w:r>
        <w:rPr>
          <w:sz w:val="18"/>
        </w:rPr>
        <w:t>by</w:t>
      </w:r>
      <w:r>
        <w:rPr>
          <w:spacing w:val="-1"/>
          <w:sz w:val="18"/>
        </w:rPr>
        <w:t xml:space="preserve"> </w:t>
      </w:r>
      <w:r>
        <w:rPr>
          <w:sz w:val="18"/>
        </w:rPr>
        <w:t>reference</w:t>
      </w:r>
      <w:r>
        <w:rPr>
          <w:spacing w:val="-4"/>
          <w:sz w:val="18"/>
        </w:rPr>
        <w:t xml:space="preserve"> </w:t>
      </w:r>
      <w:r>
        <w:rPr>
          <w:sz w:val="18"/>
        </w:rPr>
        <w:t>to</w:t>
      </w:r>
      <w:r>
        <w:rPr>
          <w:spacing w:val="-1"/>
          <w:sz w:val="18"/>
        </w:rPr>
        <w:t xml:space="preserve"> </w:t>
      </w:r>
      <w:r>
        <w:rPr>
          <w:sz w:val="18"/>
        </w:rPr>
        <w:t>a</w:t>
      </w:r>
      <w:r>
        <w:rPr>
          <w:spacing w:val="-6"/>
          <w:sz w:val="18"/>
        </w:rPr>
        <w:t xml:space="preserve"> </w:t>
      </w:r>
      <w:r>
        <w:rPr>
          <w:sz w:val="18"/>
        </w:rPr>
        <w:t>combination</w:t>
      </w:r>
      <w:r>
        <w:rPr>
          <w:spacing w:val="-1"/>
          <w:sz w:val="18"/>
        </w:rPr>
        <w:t xml:space="preserve"> </w:t>
      </w:r>
      <w:r>
        <w:rPr>
          <w:sz w:val="18"/>
        </w:rPr>
        <w:t>of</w:t>
      </w:r>
      <w:r>
        <w:rPr>
          <w:spacing w:val="-4"/>
          <w:sz w:val="18"/>
        </w:rPr>
        <w:t xml:space="preserve"> </w:t>
      </w:r>
      <w:r>
        <w:rPr>
          <w:sz w:val="18"/>
        </w:rPr>
        <w:t>historical</w:t>
      </w:r>
      <w:r>
        <w:rPr>
          <w:spacing w:val="-4"/>
          <w:sz w:val="18"/>
        </w:rPr>
        <w:t xml:space="preserve"> </w:t>
      </w:r>
      <w:r>
        <w:rPr>
          <w:sz w:val="18"/>
        </w:rPr>
        <w:t>analysis</w:t>
      </w:r>
      <w:r>
        <w:rPr>
          <w:spacing w:val="-3"/>
          <w:sz w:val="18"/>
        </w:rPr>
        <w:t xml:space="preserve"> </w:t>
      </w:r>
      <w:r>
        <w:rPr>
          <w:sz w:val="18"/>
        </w:rPr>
        <w:t>and</w:t>
      </w:r>
      <w:r>
        <w:rPr>
          <w:spacing w:val="-4"/>
          <w:sz w:val="18"/>
        </w:rPr>
        <w:t xml:space="preserve"> </w:t>
      </w:r>
      <w:r>
        <w:rPr>
          <w:sz w:val="18"/>
        </w:rPr>
        <w:t>current expectations of when claims and recoveries will be settled.</w:t>
      </w:r>
    </w:p>
    <w:p w14:paraId="61B4E14D" w14:textId="77777777" w:rsidR="00AC6F3C" w:rsidRDefault="00AC6F3C">
      <w:pPr>
        <w:pStyle w:val="BodyText"/>
        <w:spacing w:before="8"/>
      </w:pPr>
    </w:p>
    <w:p w14:paraId="73343B55" w14:textId="77777777" w:rsidR="00AC6F3C" w:rsidRDefault="00570E88">
      <w:pPr>
        <w:ind w:left="958"/>
        <w:rPr>
          <w:b/>
          <w:sz w:val="18"/>
        </w:rPr>
      </w:pPr>
      <w:r>
        <w:rPr>
          <w:b/>
          <w:sz w:val="18"/>
        </w:rPr>
        <w:t>Outstanding</w:t>
      </w:r>
      <w:r>
        <w:rPr>
          <w:b/>
          <w:spacing w:val="-3"/>
          <w:sz w:val="18"/>
        </w:rPr>
        <w:t xml:space="preserve"> </w:t>
      </w:r>
      <w:r>
        <w:rPr>
          <w:b/>
          <w:spacing w:val="-2"/>
          <w:sz w:val="18"/>
        </w:rPr>
        <w:t>claims</w:t>
      </w:r>
    </w:p>
    <w:p w14:paraId="35D52F74" w14:textId="77777777" w:rsidR="00AC6F3C" w:rsidRDefault="00AC6F3C">
      <w:pPr>
        <w:pStyle w:val="BodyText"/>
        <w:rPr>
          <w:b/>
          <w:sz w:val="21"/>
        </w:rPr>
      </w:pPr>
    </w:p>
    <w:p w14:paraId="4E8A4D7B" w14:textId="77777777" w:rsidR="00AC6F3C" w:rsidRDefault="00570E88">
      <w:pPr>
        <w:ind w:left="958" w:right="468"/>
        <w:rPr>
          <w:sz w:val="18"/>
        </w:rPr>
      </w:pPr>
      <w:r>
        <w:rPr>
          <w:sz w:val="18"/>
        </w:rPr>
        <w:t>Outstanding</w:t>
      </w:r>
      <w:r>
        <w:rPr>
          <w:spacing w:val="-1"/>
          <w:sz w:val="18"/>
        </w:rPr>
        <w:t xml:space="preserve"> </w:t>
      </w:r>
      <w:r>
        <w:rPr>
          <w:sz w:val="18"/>
        </w:rPr>
        <w:t>claims</w:t>
      </w:r>
      <w:r>
        <w:rPr>
          <w:spacing w:val="-1"/>
          <w:sz w:val="18"/>
        </w:rPr>
        <w:t xml:space="preserve"> </w:t>
      </w:r>
      <w:r>
        <w:rPr>
          <w:sz w:val="18"/>
        </w:rPr>
        <w:t>reserves</w:t>
      </w:r>
      <w:r>
        <w:rPr>
          <w:spacing w:val="-1"/>
          <w:sz w:val="18"/>
        </w:rPr>
        <w:t xml:space="preserve"> </w:t>
      </w:r>
      <w:r>
        <w:rPr>
          <w:sz w:val="18"/>
        </w:rPr>
        <w:t>comprise</w:t>
      </w:r>
      <w:r>
        <w:rPr>
          <w:spacing w:val="-4"/>
          <w:sz w:val="18"/>
        </w:rPr>
        <w:t xml:space="preserve"> </w:t>
      </w:r>
      <w:r>
        <w:rPr>
          <w:sz w:val="18"/>
        </w:rPr>
        <w:t>outstanding</w:t>
      </w:r>
      <w:r>
        <w:rPr>
          <w:spacing w:val="-1"/>
          <w:sz w:val="18"/>
        </w:rPr>
        <w:t xml:space="preserve"> </w:t>
      </w:r>
      <w:r>
        <w:rPr>
          <w:sz w:val="18"/>
        </w:rPr>
        <w:t>claims,</w:t>
      </w:r>
      <w:r>
        <w:rPr>
          <w:spacing w:val="-4"/>
          <w:sz w:val="18"/>
        </w:rPr>
        <w:t xml:space="preserve"> </w:t>
      </w:r>
      <w:r>
        <w:rPr>
          <w:sz w:val="18"/>
        </w:rPr>
        <w:t>including</w:t>
      </w:r>
      <w:r>
        <w:rPr>
          <w:spacing w:val="-4"/>
          <w:sz w:val="18"/>
        </w:rPr>
        <w:t xml:space="preserve"> </w:t>
      </w:r>
      <w:r>
        <w:rPr>
          <w:sz w:val="18"/>
        </w:rPr>
        <w:t>provisions</w:t>
      </w:r>
      <w:r>
        <w:rPr>
          <w:spacing w:val="-1"/>
          <w:sz w:val="18"/>
        </w:rPr>
        <w:t xml:space="preserve"> </w:t>
      </w:r>
      <w:r>
        <w:rPr>
          <w:sz w:val="18"/>
        </w:rPr>
        <w:t>for</w:t>
      </w:r>
      <w:r>
        <w:rPr>
          <w:spacing w:val="-4"/>
          <w:sz w:val="18"/>
        </w:rPr>
        <w:t xml:space="preserve"> </w:t>
      </w:r>
      <w:r>
        <w:rPr>
          <w:sz w:val="18"/>
        </w:rPr>
        <w:t>claims</w:t>
      </w:r>
      <w:r>
        <w:rPr>
          <w:spacing w:val="-3"/>
          <w:sz w:val="18"/>
        </w:rPr>
        <w:t xml:space="preserve"> </w:t>
      </w:r>
      <w:r>
        <w:rPr>
          <w:sz w:val="18"/>
        </w:rPr>
        <w:t>incurred</w:t>
      </w:r>
      <w:r>
        <w:rPr>
          <w:spacing w:val="-4"/>
          <w:sz w:val="18"/>
        </w:rPr>
        <w:t xml:space="preserve"> </w:t>
      </w:r>
      <w:r>
        <w:rPr>
          <w:sz w:val="18"/>
        </w:rPr>
        <w:t>but</w:t>
      </w:r>
      <w:r>
        <w:rPr>
          <w:spacing w:val="-4"/>
          <w:sz w:val="18"/>
        </w:rPr>
        <w:t xml:space="preserve"> </w:t>
      </w:r>
      <w:r>
        <w:rPr>
          <w:sz w:val="18"/>
        </w:rPr>
        <w:t>not reported</w:t>
      </w:r>
      <w:r>
        <w:rPr>
          <w:spacing w:val="40"/>
          <w:sz w:val="18"/>
        </w:rPr>
        <w:t xml:space="preserve"> </w:t>
      </w:r>
      <w:r>
        <w:rPr>
          <w:sz w:val="18"/>
        </w:rPr>
        <w:t>and reserves for case claims.</w:t>
      </w:r>
    </w:p>
    <w:p w14:paraId="2ACB4772" w14:textId="77777777" w:rsidR="00AC6F3C" w:rsidRDefault="00AC6F3C">
      <w:pPr>
        <w:pStyle w:val="BodyText"/>
        <w:spacing w:before="10"/>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1109"/>
        <w:gridCol w:w="1139"/>
        <w:gridCol w:w="442"/>
        <w:gridCol w:w="674"/>
      </w:tblGrid>
      <w:tr w:rsidR="00AC6F3C" w14:paraId="23A19407" w14:textId="77777777">
        <w:trPr>
          <w:trHeight w:val="882"/>
        </w:trPr>
        <w:tc>
          <w:tcPr>
            <w:tcW w:w="3843" w:type="dxa"/>
            <w:tcBorders>
              <w:top w:val="single" w:sz="6" w:space="0" w:color="000000"/>
              <w:left w:val="single" w:sz="6" w:space="0" w:color="000000"/>
              <w:bottom w:val="single" w:sz="6" w:space="0" w:color="000000"/>
            </w:tcBorders>
            <w:shd w:val="clear" w:color="auto" w:fill="BEBEBE"/>
          </w:tcPr>
          <w:p w14:paraId="53809922" w14:textId="77777777" w:rsidR="00AC6F3C" w:rsidRDefault="00AC6F3C">
            <w:pPr>
              <w:pStyle w:val="TableParagraph"/>
              <w:rPr>
                <w:rFonts w:ascii="Times New Roman"/>
                <w:sz w:val="18"/>
              </w:rPr>
            </w:pPr>
          </w:p>
        </w:tc>
        <w:tc>
          <w:tcPr>
            <w:tcW w:w="2248" w:type="dxa"/>
            <w:gridSpan w:val="2"/>
            <w:tcBorders>
              <w:top w:val="single" w:sz="6" w:space="0" w:color="000000"/>
              <w:bottom w:val="single" w:sz="6" w:space="0" w:color="000000"/>
            </w:tcBorders>
            <w:shd w:val="clear" w:color="auto" w:fill="BEBEBE"/>
          </w:tcPr>
          <w:p w14:paraId="077F9A73" w14:textId="77777777" w:rsidR="00AC6F3C" w:rsidRDefault="00570E88">
            <w:pPr>
              <w:pStyle w:val="TableParagraph"/>
              <w:spacing w:before="25"/>
              <w:ind w:left="576"/>
              <w:rPr>
                <w:b/>
                <w:sz w:val="18"/>
              </w:rPr>
            </w:pPr>
            <w:r>
              <w:rPr>
                <w:b/>
                <w:spacing w:val="-2"/>
                <w:sz w:val="18"/>
              </w:rPr>
              <w:t>Consolidated</w:t>
            </w:r>
          </w:p>
          <w:p w14:paraId="4554F33C" w14:textId="77777777" w:rsidR="00AC6F3C" w:rsidRDefault="00570E88">
            <w:pPr>
              <w:pStyle w:val="TableParagraph"/>
              <w:tabs>
                <w:tab w:val="left" w:pos="1804"/>
              </w:tabs>
              <w:spacing w:before="108"/>
              <w:ind w:left="681"/>
              <w:rPr>
                <w:b/>
                <w:sz w:val="18"/>
              </w:rPr>
            </w:pPr>
            <w:r>
              <w:rPr>
                <w:b/>
                <w:spacing w:val="-4"/>
                <w:sz w:val="18"/>
              </w:rPr>
              <w:t>2023</w:t>
            </w:r>
            <w:r>
              <w:rPr>
                <w:b/>
                <w:sz w:val="18"/>
              </w:rPr>
              <w:tab/>
            </w:r>
            <w:r>
              <w:rPr>
                <w:b/>
                <w:spacing w:val="-4"/>
                <w:sz w:val="18"/>
              </w:rPr>
              <w:t>2022</w:t>
            </w:r>
          </w:p>
          <w:p w14:paraId="67042D3F" w14:textId="77777777" w:rsidR="00AC6F3C" w:rsidRDefault="00570E88">
            <w:pPr>
              <w:pStyle w:val="TableParagraph"/>
              <w:tabs>
                <w:tab w:val="left" w:pos="1759"/>
              </w:tabs>
              <w:spacing w:before="92"/>
              <w:ind w:left="636"/>
              <w:rPr>
                <w:b/>
                <w:sz w:val="18"/>
              </w:rPr>
            </w:pPr>
            <w:r>
              <w:rPr>
                <w:b/>
                <w:spacing w:val="-2"/>
                <w:sz w:val="18"/>
              </w:rPr>
              <w:t>$’000</w:t>
            </w:r>
            <w:r>
              <w:rPr>
                <w:b/>
                <w:sz w:val="18"/>
              </w:rPr>
              <w:tab/>
            </w:r>
            <w:r>
              <w:rPr>
                <w:b/>
                <w:spacing w:val="-2"/>
                <w:sz w:val="18"/>
              </w:rPr>
              <w:t>$’000</w:t>
            </w:r>
          </w:p>
        </w:tc>
        <w:tc>
          <w:tcPr>
            <w:tcW w:w="1581" w:type="dxa"/>
            <w:gridSpan w:val="2"/>
            <w:tcBorders>
              <w:top w:val="single" w:sz="6" w:space="0" w:color="000000"/>
              <w:bottom w:val="single" w:sz="6" w:space="0" w:color="000000"/>
            </w:tcBorders>
            <w:shd w:val="clear" w:color="auto" w:fill="BEBEBE"/>
          </w:tcPr>
          <w:p w14:paraId="2648ABAC" w14:textId="77777777" w:rsidR="00AC6F3C" w:rsidRDefault="00570E88">
            <w:pPr>
              <w:pStyle w:val="TableParagraph"/>
              <w:spacing w:before="25" w:line="364" w:lineRule="auto"/>
              <w:ind w:left="680" w:firstLine="164"/>
              <w:rPr>
                <w:b/>
                <w:sz w:val="18"/>
              </w:rPr>
            </w:pPr>
            <w:r>
              <w:rPr>
                <w:b/>
                <w:spacing w:val="-2"/>
                <w:sz w:val="18"/>
              </w:rPr>
              <w:t xml:space="preserve">Parent </w:t>
            </w:r>
            <w:r>
              <w:rPr>
                <w:b/>
                <w:spacing w:val="-4"/>
                <w:sz w:val="18"/>
              </w:rPr>
              <w:t>2023</w:t>
            </w:r>
          </w:p>
          <w:p w14:paraId="4CEE9A88" w14:textId="77777777" w:rsidR="00AC6F3C" w:rsidRDefault="00570E88">
            <w:pPr>
              <w:pStyle w:val="TableParagraph"/>
              <w:spacing w:line="191" w:lineRule="exact"/>
              <w:ind w:left="635"/>
              <w:rPr>
                <w:b/>
                <w:sz w:val="18"/>
              </w:rPr>
            </w:pPr>
            <w:r>
              <w:rPr>
                <w:b/>
                <w:spacing w:val="-2"/>
                <w:sz w:val="18"/>
              </w:rPr>
              <w:t>$’000</w:t>
            </w:r>
          </w:p>
        </w:tc>
        <w:tc>
          <w:tcPr>
            <w:tcW w:w="674" w:type="dxa"/>
            <w:tcBorders>
              <w:top w:val="single" w:sz="6" w:space="0" w:color="000000"/>
              <w:bottom w:val="single" w:sz="6" w:space="0" w:color="000000"/>
              <w:right w:val="single" w:sz="6" w:space="0" w:color="000000"/>
            </w:tcBorders>
            <w:shd w:val="clear" w:color="auto" w:fill="BEBEBE"/>
          </w:tcPr>
          <w:p w14:paraId="78AB4452" w14:textId="77777777" w:rsidR="00AC6F3C" w:rsidRDefault="00AC6F3C">
            <w:pPr>
              <w:pStyle w:val="TableParagraph"/>
              <w:spacing w:before="6"/>
              <w:rPr>
                <w:sz w:val="29"/>
              </w:rPr>
            </w:pPr>
          </w:p>
          <w:p w14:paraId="5D68F3BA" w14:textId="77777777" w:rsidR="00AC6F3C" w:rsidRDefault="00570E88">
            <w:pPr>
              <w:pStyle w:val="TableParagraph"/>
              <w:ind w:left="222"/>
              <w:rPr>
                <w:b/>
                <w:sz w:val="18"/>
              </w:rPr>
            </w:pPr>
            <w:r>
              <w:rPr>
                <w:b/>
                <w:spacing w:val="-4"/>
                <w:sz w:val="18"/>
              </w:rPr>
              <w:t>2022</w:t>
            </w:r>
          </w:p>
          <w:p w14:paraId="1E5AFCD1" w14:textId="77777777" w:rsidR="00AC6F3C" w:rsidRDefault="00570E88">
            <w:pPr>
              <w:pStyle w:val="TableParagraph"/>
              <w:spacing w:before="92"/>
              <w:ind w:left="177"/>
              <w:rPr>
                <w:b/>
                <w:sz w:val="18"/>
              </w:rPr>
            </w:pPr>
            <w:r>
              <w:rPr>
                <w:b/>
                <w:spacing w:val="-2"/>
                <w:sz w:val="18"/>
              </w:rPr>
              <w:t>$’000</w:t>
            </w:r>
          </w:p>
        </w:tc>
      </w:tr>
      <w:tr w:rsidR="00AC6F3C" w14:paraId="5F1730B5" w14:textId="77777777">
        <w:trPr>
          <w:trHeight w:val="296"/>
        </w:trPr>
        <w:tc>
          <w:tcPr>
            <w:tcW w:w="3843" w:type="dxa"/>
            <w:tcBorders>
              <w:top w:val="single" w:sz="6" w:space="0" w:color="000000"/>
              <w:left w:val="single" w:sz="6" w:space="0" w:color="000000"/>
            </w:tcBorders>
          </w:tcPr>
          <w:p w14:paraId="08B88991" w14:textId="77777777" w:rsidR="00AC6F3C" w:rsidRDefault="00570E88">
            <w:pPr>
              <w:pStyle w:val="TableParagraph"/>
              <w:spacing w:before="40"/>
              <w:ind w:left="37"/>
              <w:rPr>
                <w:sz w:val="18"/>
              </w:rPr>
            </w:pPr>
            <w:r>
              <w:rPr>
                <w:sz w:val="18"/>
              </w:rPr>
              <w:t>Opening</w:t>
            </w:r>
            <w:r>
              <w:rPr>
                <w:spacing w:val="10"/>
                <w:sz w:val="18"/>
              </w:rPr>
              <w:t xml:space="preserve"> </w:t>
            </w:r>
            <w:r>
              <w:rPr>
                <w:sz w:val="18"/>
              </w:rPr>
              <w:t>provision</w:t>
            </w:r>
            <w:r>
              <w:rPr>
                <w:spacing w:val="11"/>
                <w:sz w:val="18"/>
              </w:rPr>
              <w:t xml:space="preserve"> </w:t>
            </w:r>
            <w:r>
              <w:rPr>
                <w:sz w:val="18"/>
              </w:rPr>
              <w:t>for</w:t>
            </w:r>
            <w:r>
              <w:rPr>
                <w:spacing w:val="4"/>
                <w:sz w:val="18"/>
              </w:rPr>
              <w:t xml:space="preserve"> </w:t>
            </w:r>
            <w:r>
              <w:rPr>
                <w:sz w:val="18"/>
              </w:rPr>
              <w:t>outstanding</w:t>
            </w:r>
            <w:r>
              <w:rPr>
                <w:spacing w:val="11"/>
                <w:sz w:val="18"/>
              </w:rPr>
              <w:t xml:space="preserve"> </w:t>
            </w:r>
            <w:r>
              <w:rPr>
                <w:spacing w:val="-2"/>
                <w:sz w:val="18"/>
              </w:rPr>
              <w:t>claims</w:t>
            </w:r>
          </w:p>
        </w:tc>
        <w:tc>
          <w:tcPr>
            <w:tcW w:w="1139" w:type="dxa"/>
            <w:tcBorders>
              <w:top w:val="single" w:sz="6" w:space="0" w:color="000000"/>
            </w:tcBorders>
            <w:shd w:val="clear" w:color="auto" w:fill="F1F1F1"/>
          </w:tcPr>
          <w:p w14:paraId="2A823BEB" w14:textId="77777777" w:rsidR="00AC6F3C" w:rsidRDefault="00570E88">
            <w:pPr>
              <w:pStyle w:val="TableParagraph"/>
              <w:spacing w:before="40"/>
              <w:ind w:right="36"/>
              <w:jc w:val="right"/>
              <w:rPr>
                <w:sz w:val="18"/>
              </w:rPr>
            </w:pPr>
            <w:r>
              <w:rPr>
                <w:spacing w:val="-2"/>
                <w:sz w:val="18"/>
              </w:rPr>
              <w:t>72,542</w:t>
            </w:r>
          </w:p>
        </w:tc>
        <w:tc>
          <w:tcPr>
            <w:tcW w:w="1109" w:type="dxa"/>
            <w:tcBorders>
              <w:top w:val="single" w:sz="6" w:space="0" w:color="000000"/>
            </w:tcBorders>
          </w:tcPr>
          <w:p w14:paraId="614181B5" w14:textId="77777777" w:rsidR="00AC6F3C" w:rsidRDefault="00570E88">
            <w:pPr>
              <w:pStyle w:val="TableParagraph"/>
              <w:spacing w:before="40"/>
              <w:ind w:right="22"/>
              <w:jc w:val="right"/>
              <w:rPr>
                <w:sz w:val="18"/>
              </w:rPr>
            </w:pPr>
            <w:r>
              <w:rPr>
                <w:spacing w:val="-2"/>
                <w:sz w:val="18"/>
              </w:rPr>
              <w:t>84,494</w:t>
            </w:r>
          </w:p>
        </w:tc>
        <w:tc>
          <w:tcPr>
            <w:tcW w:w="1139" w:type="dxa"/>
            <w:tcBorders>
              <w:top w:val="single" w:sz="6" w:space="0" w:color="000000"/>
            </w:tcBorders>
            <w:shd w:val="clear" w:color="auto" w:fill="F1F1F1"/>
          </w:tcPr>
          <w:p w14:paraId="2919E6B4"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right w:val="single" w:sz="6" w:space="0" w:color="000000"/>
            </w:tcBorders>
          </w:tcPr>
          <w:p w14:paraId="61B45B15" w14:textId="77777777" w:rsidR="00AC6F3C" w:rsidRDefault="00570E88">
            <w:pPr>
              <w:pStyle w:val="TableParagraph"/>
              <w:spacing w:before="40"/>
              <w:ind w:right="22"/>
              <w:jc w:val="right"/>
              <w:rPr>
                <w:sz w:val="18"/>
              </w:rPr>
            </w:pPr>
            <w:r>
              <w:rPr>
                <w:w w:val="99"/>
                <w:sz w:val="18"/>
              </w:rPr>
              <w:t>-</w:t>
            </w:r>
          </w:p>
        </w:tc>
      </w:tr>
      <w:tr w:rsidR="00AC6F3C" w14:paraId="0D37F88E" w14:textId="77777777">
        <w:trPr>
          <w:trHeight w:val="299"/>
        </w:trPr>
        <w:tc>
          <w:tcPr>
            <w:tcW w:w="3843" w:type="dxa"/>
            <w:tcBorders>
              <w:left w:val="single" w:sz="6" w:space="0" w:color="000000"/>
            </w:tcBorders>
          </w:tcPr>
          <w:p w14:paraId="17B4882B" w14:textId="77777777" w:rsidR="00AC6F3C" w:rsidRDefault="00570E88">
            <w:pPr>
              <w:pStyle w:val="TableParagraph"/>
              <w:spacing w:before="43"/>
              <w:ind w:left="37"/>
              <w:rPr>
                <w:sz w:val="18"/>
              </w:rPr>
            </w:pPr>
            <w:r>
              <w:rPr>
                <w:sz w:val="18"/>
              </w:rPr>
              <w:t>Claims</w:t>
            </w:r>
            <w:r>
              <w:rPr>
                <w:spacing w:val="37"/>
                <w:sz w:val="18"/>
              </w:rPr>
              <w:t xml:space="preserve"> </w:t>
            </w:r>
            <w:r>
              <w:rPr>
                <w:spacing w:val="-2"/>
                <w:sz w:val="18"/>
              </w:rPr>
              <w:t>incurred</w:t>
            </w:r>
          </w:p>
        </w:tc>
        <w:tc>
          <w:tcPr>
            <w:tcW w:w="1139" w:type="dxa"/>
            <w:shd w:val="clear" w:color="auto" w:fill="F1F1F1"/>
          </w:tcPr>
          <w:p w14:paraId="03D88921" w14:textId="77777777" w:rsidR="00AC6F3C" w:rsidRDefault="00570E88">
            <w:pPr>
              <w:pStyle w:val="TableParagraph"/>
              <w:spacing w:before="43"/>
              <w:ind w:right="36"/>
              <w:jc w:val="right"/>
              <w:rPr>
                <w:sz w:val="18"/>
              </w:rPr>
            </w:pPr>
            <w:r>
              <w:rPr>
                <w:spacing w:val="-2"/>
                <w:sz w:val="18"/>
              </w:rPr>
              <w:t>23,546</w:t>
            </w:r>
          </w:p>
        </w:tc>
        <w:tc>
          <w:tcPr>
            <w:tcW w:w="1109" w:type="dxa"/>
          </w:tcPr>
          <w:p w14:paraId="2511709C" w14:textId="77777777" w:rsidR="00AC6F3C" w:rsidRDefault="00570E88">
            <w:pPr>
              <w:pStyle w:val="TableParagraph"/>
              <w:spacing w:before="43"/>
              <w:ind w:right="22"/>
              <w:jc w:val="right"/>
              <w:rPr>
                <w:sz w:val="18"/>
              </w:rPr>
            </w:pPr>
            <w:r>
              <w:rPr>
                <w:spacing w:val="-2"/>
                <w:sz w:val="18"/>
              </w:rPr>
              <w:t>11,162</w:t>
            </w:r>
          </w:p>
        </w:tc>
        <w:tc>
          <w:tcPr>
            <w:tcW w:w="1139" w:type="dxa"/>
            <w:shd w:val="clear" w:color="auto" w:fill="F1F1F1"/>
          </w:tcPr>
          <w:p w14:paraId="2919DE4D"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6071EA57" w14:textId="77777777" w:rsidR="00AC6F3C" w:rsidRDefault="00570E88">
            <w:pPr>
              <w:pStyle w:val="TableParagraph"/>
              <w:spacing w:before="43"/>
              <w:ind w:right="22"/>
              <w:jc w:val="right"/>
              <w:rPr>
                <w:sz w:val="18"/>
              </w:rPr>
            </w:pPr>
            <w:r>
              <w:rPr>
                <w:w w:val="99"/>
                <w:sz w:val="18"/>
              </w:rPr>
              <w:t>-</w:t>
            </w:r>
          </w:p>
        </w:tc>
      </w:tr>
      <w:tr w:rsidR="00AC6F3C" w14:paraId="069A8345" w14:textId="77777777">
        <w:trPr>
          <w:trHeight w:val="299"/>
        </w:trPr>
        <w:tc>
          <w:tcPr>
            <w:tcW w:w="3843" w:type="dxa"/>
            <w:tcBorders>
              <w:left w:val="single" w:sz="6" w:space="0" w:color="000000"/>
            </w:tcBorders>
          </w:tcPr>
          <w:p w14:paraId="3747171C" w14:textId="77777777" w:rsidR="00AC6F3C" w:rsidRDefault="00570E88">
            <w:pPr>
              <w:pStyle w:val="TableParagraph"/>
              <w:spacing w:before="43"/>
              <w:ind w:left="37"/>
              <w:rPr>
                <w:sz w:val="18"/>
              </w:rPr>
            </w:pPr>
            <w:r>
              <w:rPr>
                <w:sz w:val="18"/>
              </w:rPr>
              <w:t>Claims</w:t>
            </w:r>
            <w:r>
              <w:rPr>
                <w:spacing w:val="22"/>
                <w:sz w:val="18"/>
              </w:rPr>
              <w:t xml:space="preserve"> </w:t>
            </w:r>
            <w:r>
              <w:rPr>
                <w:sz w:val="18"/>
              </w:rPr>
              <w:t>paid</w:t>
            </w:r>
            <w:r>
              <w:rPr>
                <w:spacing w:val="10"/>
                <w:sz w:val="18"/>
              </w:rPr>
              <w:t xml:space="preserve"> </w:t>
            </w:r>
            <w:r>
              <w:rPr>
                <w:sz w:val="18"/>
              </w:rPr>
              <w:t>during</w:t>
            </w:r>
            <w:r>
              <w:rPr>
                <w:spacing w:val="10"/>
                <w:sz w:val="18"/>
              </w:rPr>
              <w:t xml:space="preserve"> </w:t>
            </w:r>
            <w:r>
              <w:rPr>
                <w:sz w:val="18"/>
              </w:rPr>
              <w:t>the</w:t>
            </w:r>
            <w:r>
              <w:rPr>
                <w:spacing w:val="10"/>
                <w:sz w:val="18"/>
              </w:rPr>
              <w:t xml:space="preserve"> </w:t>
            </w:r>
            <w:r>
              <w:rPr>
                <w:spacing w:val="-4"/>
                <w:sz w:val="18"/>
              </w:rPr>
              <w:t>year</w:t>
            </w:r>
          </w:p>
        </w:tc>
        <w:tc>
          <w:tcPr>
            <w:tcW w:w="1139" w:type="dxa"/>
            <w:shd w:val="clear" w:color="auto" w:fill="F1F1F1"/>
          </w:tcPr>
          <w:p w14:paraId="3D4E5780" w14:textId="77777777" w:rsidR="00AC6F3C" w:rsidRDefault="00570E88">
            <w:pPr>
              <w:pStyle w:val="TableParagraph"/>
              <w:spacing w:before="43"/>
              <w:ind w:right="31"/>
              <w:jc w:val="right"/>
              <w:rPr>
                <w:sz w:val="18"/>
              </w:rPr>
            </w:pPr>
            <w:r>
              <w:rPr>
                <w:spacing w:val="-2"/>
                <w:sz w:val="18"/>
              </w:rPr>
              <w:t>(11,155)</w:t>
            </w:r>
          </w:p>
        </w:tc>
        <w:tc>
          <w:tcPr>
            <w:tcW w:w="1109" w:type="dxa"/>
          </w:tcPr>
          <w:p w14:paraId="017FAA89" w14:textId="77777777" w:rsidR="00AC6F3C" w:rsidRDefault="00570E88">
            <w:pPr>
              <w:pStyle w:val="TableParagraph"/>
              <w:spacing w:before="43"/>
              <w:ind w:right="17"/>
              <w:jc w:val="right"/>
              <w:rPr>
                <w:sz w:val="18"/>
              </w:rPr>
            </w:pPr>
            <w:r>
              <w:rPr>
                <w:spacing w:val="-2"/>
                <w:sz w:val="18"/>
              </w:rPr>
              <w:t>(22,027)</w:t>
            </w:r>
          </w:p>
        </w:tc>
        <w:tc>
          <w:tcPr>
            <w:tcW w:w="1139" w:type="dxa"/>
            <w:shd w:val="clear" w:color="auto" w:fill="F1F1F1"/>
          </w:tcPr>
          <w:p w14:paraId="19BE05DD" w14:textId="77777777" w:rsidR="00AC6F3C" w:rsidRDefault="00570E88">
            <w:pPr>
              <w:pStyle w:val="TableParagraph"/>
              <w:spacing w:before="43"/>
              <w:ind w:right="37"/>
              <w:jc w:val="right"/>
              <w:rPr>
                <w:sz w:val="18"/>
              </w:rPr>
            </w:pPr>
            <w:r>
              <w:rPr>
                <w:w w:val="99"/>
                <w:sz w:val="18"/>
              </w:rPr>
              <w:t>-</w:t>
            </w:r>
          </w:p>
        </w:tc>
        <w:tc>
          <w:tcPr>
            <w:tcW w:w="1116" w:type="dxa"/>
            <w:gridSpan w:val="2"/>
            <w:tcBorders>
              <w:right w:val="single" w:sz="6" w:space="0" w:color="000000"/>
            </w:tcBorders>
          </w:tcPr>
          <w:p w14:paraId="29F3BCB0" w14:textId="77777777" w:rsidR="00AC6F3C" w:rsidRDefault="00570E88">
            <w:pPr>
              <w:pStyle w:val="TableParagraph"/>
              <w:spacing w:before="43"/>
              <w:ind w:right="22"/>
              <w:jc w:val="right"/>
              <w:rPr>
                <w:sz w:val="18"/>
              </w:rPr>
            </w:pPr>
            <w:r>
              <w:rPr>
                <w:w w:val="99"/>
                <w:sz w:val="18"/>
              </w:rPr>
              <w:t>-</w:t>
            </w:r>
          </w:p>
        </w:tc>
      </w:tr>
      <w:tr w:rsidR="00AC6F3C" w14:paraId="186DCB9C" w14:textId="77777777">
        <w:trPr>
          <w:trHeight w:val="286"/>
        </w:trPr>
        <w:tc>
          <w:tcPr>
            <w:tcW w:w="3843" w:type="dxa"/>
            <w:tcBorders>
              <w:left w:val="single" w:sz="6" w:space="0" w:color="000000"/>
              <w:bottom w:val="single" w:sz="6" w:space="0" w:color="000000"/>
            </w:tcBorders>
          </w:tcPr>
          <w:p w14:paraId="70AAA94B" w14:textId="77777777" w:rsidR="00AC6F3C" w:rsidRDefault="00570E88">
            <w:pPr>
              <w:pStyle w:val="TableParagraph"/>
              <w:spacing w:before="43"/>
              <w:ind w:left="37"/>
              <w:rPr>
                <w:sz w:val="18"/>
              </w:rPr>
            </w:pPr>
            <w:r>
              <w:rPr>
                <w:sz w:val="18"/>
              </w:rPr>
              <w:t>Movement</w:t>
            </w:r>
            <w:r>
              <w:rPr>
                <w:spacing w:val="-3"/>
                <w:sz w:val="18"/>
              </w:rPr>
              <w:t xml:space="preserve"> </w:t>
            </w:r>
            <w:r>
              <w:rPr>
                <w:sz w:val="18"/>
              </w:rPr>
              <w:t>in</w:t>
            </w:r>
            <w:r>
              <w:rPr>
                <w:spacing w:val="10"/>
                <w:sz w:val="18"/>
              </w:rPr>
              <w:t xml:space="preserve"> </w:t>
            </w:r>
            <w:r>
              <w:rPr>
                <w:sz w:val="18"/>
              </w:rPr>
              <w:t>claims</w:t>
            </w:r>
            <w:r>
              <w:rPr>
                <w:spacing w:val="22"/>
                <w:sz w:val="18"/>
              </w:rPr>
              <w:t xml:space="preserve"> </w:t>
            </w:r>
            <w:r>
              <w:rPr>
                <w:sz w:val="18"/>
              </w:rPr>
              <w:t>handling</w:t>
            </w:r>
            <w:r>
              <w:rPr>
                <w:spacing w:val="10"/>
                <w:sz w:val="18"/>
              </w:rPr>
              <w:t xml:space="preserve"> </w:t>
            </w:r>
            <w:r>
              <w:rPr>
                <w:spacing w:val="-2"/>
                <w:sz w:val="18"/>
              </w:rPr>
              <w:t>provision</w:t>
            </w:r>
          </w:p>
        </w:tc>
        <w:tc>
          <w:tcPr>
            <w:tcW w:w="1139" w:type="dxa"/>
            <w:tcBorders>
              <w:bottom w:val="single" w:sz="6" w:space="0" w:color="000000"/>
            </w:tcBorders>
            <w:shd w:val="clear" w:color="auto" w:fill="F1F1F1"/>
          </w:tcPr>
          <w:p w14:paraId="5E2DA5C8" w14:textId="77777777" w:rsidR="00AC6F3C" w:rsidRDefault="00570E88">
            <w:pPr>
              <w:pStyle w:val="TableParagraph"/>
              <w:spacing w:before="43"/>
              <w:ind w:right="36"/>
              <w:jc w:val="right"/>
              <w:rPr>
                <w:sz w:val="18"/>
              </w:rPr>
            </w:pPr>
            <w:r>
              <w:rPr>
                <w:spacing w:val="-2"/>
                <w:sz w:val="18"/>
              </w:rPr>
              <w:t>1,243</w:t>
            </w:r>
          </w:p>
        </w:tc>
        <w:tc>
          <w:tcPr>
            <w:tcW w:w="1109" w:type="dxa"/>
            <w:tcBorders>
              <w:bottom w:val="single" w:sz="6" w:space="0" w:color="000000"/>
            </w:tcBorders>
          </w:tcPr>
          <w:p w14:paraId="183DD1BC" w14:textId="77777777" w:rsidR="00AC6F3C" w:rsidRDefault="00570E88">
            <w:pPr>
              <w:pStyle w:val="TableParagraph"/>
              <w:spacing w:before="43"/>
              <w:ind w:right="17"/>
              <w:jc w:val="right"/>
              <w:rPr>
                <w:sz w:val="18"/>
              </w:rPr>
            </w:pPr>
            <w:r>
              <w:rPr>
                <w:spacing w:val="-2"/>
                <w:sz w:val="18"/>
              </w:rPr>
              <w:t>(1,088)</w:t>
            </w:r>
          </w:p>
        </w:tc>
        <w:tc>
          <w:tcPr>
            <w:tcW w:w="1139" w:type="dxa"/>
            <w:tcBorders>
              <w:bottom w:val="single" w:sz="6" w:space="0" w:color="000000"/>
            </w:tcBorders>
            <w:shd w:val="clear" w:color="auto" w:fill="F1F1F1"/>
          </w:tcPr>
          <w:p w14:paraId="16A3D83D" w14:textId="77777777" w:rsidR="00AC6F3C" w:rsidRDefault="00570E88">
            <w:pPr>
              <w:pStyle w:val="TableParagraph"/>
              <w:spacing w:before="43"/>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26AB65D1" w14:textId="77777777" w:rsidR="00AC6F3C" w:rsidRDefault="00570E88">
            <w:pPr>
              <w:pStyle w:val="TableParagraph"/>
              <w:spacing w:before="43"/>
              <w:ind w:right="22"/>
              <w:jc w:val="right"/>
              <w:rPr>
                <w:sz w:val="18"/>
              </w:rPr>
            </w:pPr>
            <w:r>
              <w:rPr>
                <w:w w:val="99"/>
                <w:sz w:val="18"/>
              </w:rPr>
              <w:t>-</w:t>
            </w:r>
          </w:p>
        </w:tc>
      </w:tr>
      <w:tr w:rsidR="00AC6F3C" w14:paraId="1A30F405" w14:textId="77777777">
        <w:trPr>
          <w:trHeight w:val="284"/>
        </w:trPr>
        <w:tc>
          <w:tcPr>
            <w:tcW w:w="3843" w:type="dxa"/>
            <w:tcBorders>
              <w:top w:val="single" w:sz="6" w:space="0" w:color="000000"/>
              <w:left w:val="single" w:sz="6" w:space="0" w:color="000000"/>
              <w:bottom w:val="single" w:sz="6" w:space="0" w:color="000000"/>
            </w:tcBorders>
          </w:tcPr>
          <w:p w14:paraId="4728DA7E" w14:textId="77777777" w:rsidR="00AC6F3C" w:rsidRDefault="00570E88">
            <w:pPr>
              <w:pStyle w:val="TableParagraph"/>
              <w:spacing w:before="40"/>
              <w:ind w:left="37"/>
              <w:rPr>
                <w:sz w:val="18"/>
              </w:rPr>
            </w:pPr>
            <w:r>
              <w:rPr>
                <w:sz w:val="18"/>
              </w:rPr>
              <w:t>Closing</w:t>
            </w:r>
            <w:r>
              <w:rPr>
                <w:spacing w:val="16"/>
                <w:sz w:val="18"/>
              </w:rPr>
              <w:t xml:space="preserve"> </w:t>
            </w:r>
            <w:r>
              <w:rPr>
                <w:sz w:val="18"/>
              </w:rPr>
              <w:t>provision</w:t>
            </w:r>
            <w:r>
              <w:rPr>
                <w:spacing w:val="16"/>
                <w:sz w:val="18"/>
              </w:rPr>
              <w:t xml:space="preserve"> </w:t>
            </w:r>
            <w:r>
              <w:rPr>
                <w:sz w:val="18"/>
              </w:rPr>
              <w:t>for</w:t>
            </w:r>
            <w:r>
              <w:rPr>
                <w:spacing w:val="10"/>
                <w:sz w:val="18"/>
              </w:rPr>
              <w:t xml:space="preserve"> </w:t>
            </w:r>
            <w:r>
              <w:rPr>
                <w:sz w:val="18"/>
              </w:rPr>
              <w:t>outstanding</w:t>
            </w:r>
            <w:r>
              <w:rPr>
                <w:spacing w:val="16"/>
                <w:sz w:val="18"/>
              </w:rPr>
              <w:t xml:space="preserve"> </w:t>
            </w:r>
            <w:r>
              <w:rPr>
                <w:spacing w:val="-2"/>
                <w:sz w:val="18"/>
              </w:rPr>
              <w:t>claims</w:t>
            </w:r>
          </w:p>
        </w:tc>
        <w:tc>
          <w:tcPr>
            <w:tcW w:w="1139" w:type="dxa"/>
            <w:tcBorders>
              <w:top w:val="single" w:sz="6" w:space="0" w:color="000000"/>
              <w:bottom w:val="single" w:sz="6" w:space="0" w:color="000000"/>
            </w:tcBorders>
            <w:shd w:val="clear" w:color="auto" w:fill="F1F1F1"/>
          </w:tcPr>
          <w:p w14:paraId="0552DDCE" w14:textId="77777777" w:rsidR="00AC6F3C" w:rsidRDefault="00570E88">
            <w:pPr>
              <w:pStyle w:val="TableParagraph"/>
              <w:spacing w:before="40"/>
              <w:ind w:right="36"/>
              <w:jc w:val="right"/>
              <w:rPr>
                <w:sz w:val="18"/>
              </w:rPr>
            </w:pPr>
            <w:r>
              <w:rPr>
                <w:spacing w:val="-2"/>
                <w:sz w:val="18"/>
              </w:rPr>
              <w:t>86,176</w:t>
            </w:r>
          </w:p>
        </w:tc>
        <w:tc>
          <w:tcPr>
            <w:tcW w:w="1109" w:type="dxa"/>
            <w:tcBorders>
              <w:top w:val="single" w:sz="6" w:space="0" w:color="000000"/>
              <w:bottom w:val="single" w:sz="6" w:space="0" w:color="000000"/>
            </w:tcBorders>
          </w:tcPr>
          <w:p w14:paraId="5713ECFE" w14:textId="77777777" w:rsidR="00AC6F3C" w:rsidRDefault="00570E88">
            <w:pPr>
              <w:pStyle w:val="TableParagraph"/>
              <w:spacing w:before="40"/>
              <w:ind w:right="22"/>
              <w:jc w:val="right"/>
              <w:rPr>
                <w:sz w:val="18"/>
              </w:rPr>
            </w:pPr>
            <w:r>
              <w:rPr>
                <w:spacing w:val="-2"/>
                <w:sz w:val="18"/>
              </w:rPr>
              <w:t>72,542</w:t>
            </w:r>
          </w:p>
        </w:tc>
        <w:tc>
          <w:tcPr>
            <w:tcW w:w="1139" w:type="dxa"/>
            <w:tcBorders>
              <w:top w:val="single" w:sz="6" w:space="0" w:color="000000"/>
              <w:bottom w:val="single" w:sz="6" w:space="0" w:color="000000"/>
            </w:tcBorders>
            <w:shd w:val="clear" w:color="auto" w:fill="F1F1F1"/>
          </w:tcPr>
          <w:p w14:paraId="3277BF37"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bottom w:val="single" w:sz="6" w:space="0" w:color="000000"/>
              <w:right w:val="single" w:sz="6" w:space="0" w:color="000000"/>
            </w:tcBorders>
          </w:tcPr>
          <w:p w14:paraId="36EF6CE2" w14:textId="77777777" w:rsidR="00AC6F3C" w:rsidRDefault="00570E88">
            <w:pPr>
              <w:pStyle w:val="TableParagraph"/>
              <w:spacing w:before="40"/>
              <w:ind w:right="22"/>
              <w:jc w:val="right"/>
              <w:rPr>
                <w:sz w:val="18"/>
              </w:rPr>
            </w:pPr>
            <w:r>
              <w:rPr>
                <w:w w:val="99"/>
                <w:sz w:val="18"/>
              </w:rPr>
              <w:t>-</w:t>
            </w:r>
          </w:p>
        </w:tc>
      </w:tr>
      <w:tr w:rsidR="00AC6F3C" w14:paraId="44186AEF" w14:textId="77777777">
        <w:trPr>
          <w:trHeight w:val="311"/>
        </w:trPr>
        <w:tc>
          <w:tcPr>
            <w:tcW w:w="3843" w:type="dxa"/>
            <w:tcBorders>
              <w:top w:val="single" w:sz="6" w:space="0" w:color="000000"/>
              <w:left w:val="single" w:sz="6" w:space="0" w:color="000000"/>
            </w:tcBorders>
          </w:tcPr>
          <w:p w14:paraId="630E1617" w14:textId="77777777" w:rsidR="00AC6F3C" w:rsidRDefault="00570E88">
            <w:pPr>
              <w:pStyle w:val="TableParagraph"/>
              <w:spacing w:before="70"/>
              <w:ind w:left="37"/>
              <w:rPr>
                <w:sz w:val="18"/>
              </w:rPr>
            </w:pPr>
            <w:r>
              <w:rPr>
                <w:sz w:val="18"/>
              </w:rPr>
              <w:t>Opening</w:t>
            </w:r>
            <w:r>
              <w:rPr>
                <w:spacing w:val="15"/>
                <w:sz w:val="18"/>
              </w:rPr>
              <w:t xml:space="preserve"> </w:t>
            </w:r>
            <w:r>
              <w:rPr>
                <w:sz w:val="18"/>
              </w:rPr>
              <w:t>insurance</w:t>
            </w:r>
            <w:r>
              <w:rPr>
                <w:spacing w:val="16"/>
                <w:sz w:val="18"/>
              </w:rPr>
              <w:t xml:space="preserve"> </w:t>
            </w:r>
            <w:r>
              <w:rPr>
                <w:sz w:val="18"/>
              </w:rPr>
              <w:t>contract</w:t>
            </w:r>
            <w:r>
              <w:rPr>
                <w:spacing w:val="2"/>
                <w:sz w:val="18"/>
              </w:rPr>
              <w:t xml:space="preserve"> </w:t>
            </w:r>
            <w:r>
              <w:rPr>
                <w:sz w:val="18"/>
              </w:rPr>
              <w:t>liabilities</w:t>
            </w:r>
            <w:r>
              <w:rPr>
                <w:spacing w:val="30"/>
                <w:sz w:val="18"/>
              </w:rPr>
              <w:t xml:space="preserve"> </w:t>
            </w:r>
            <w:r>
              <w:rPr>
                <w:spacing w:val="-2"/>
                <w:sz w:val="18"/>
              </w:rPr>
              <w:t>ceded</w:t>
            </w:r>
          </w:p>
        </w:tc>
        <w:tc>
          <w:tcPr>
            <w:tcW w:w="1139" w:type="dxa"/>
            <w:tcBorders>
              <w:top w:val="single" w:sz="6" w:space="0" w:color="000000"/>
            </w:tcBorders>
            <w:shd w:val="clear" w:color="auto" w:fill="F1F1F1"/>
          </w:tcPr>
          <w:p w14:paraId="2E726BFD" w14:textId="77777777" w:rsidR="00AC6F3C" w:rsidRDefault="00570E88">
            <w:pPr>
              <w:pStyle w:val="TableParagraph"/>
              <w:spacing w:before="70"/>
              <w:ind w:right="31"/>
              <w:jc w:val="right"/>
              <w:rPr>
                <w:sz w:val="18"/>
              </w:rPr>
            </w:pPr>
            <w:r>
              <w:rPr>
                <w:spacing w:val="-2"/>
                <w:sz w:val="18"/>
              </w:rPr>
              <w:t>(673)</w:t>
            </w:r>
          </w:p>
        </w:tc>
        <w:tc>
          <w:tcPr>
            <w:tcW w:w="1109" w:type="dxa"/>
            <w:tcBorders>
              <w:top w:val="single" w:sz="6" w:space="0" w:color="000000"/>
            </w:tcBorders>
          </w:tcPr>
          <w:p w14:paraId="76A59782" w14:textId="77777777" w:rsidR="00AC6F3C" w:rsidRDefault="00570E88">
            <w:pPr>
              <w:pStyle w:val="TableParagraph"/>
              <w:spacing w:before="70"/>
              <w:ind w:right="17"/>
              <w:jc w:val="right"/>
              <w:rPr>
                <w:sz w:val="18"/>
              </w:rPr>
            </w:pPr>
            <w:r>
              <w:rPr>
                <w:spacing w:val="-2"/>
                <w:sz w:val="18"/>
              </w:rPr>
              <w:t>(274)</w:t>
            </w:r>
          </w:p>
        </w:tc>
        <w:tc>
          <w:tcPr>
            <w:tcW w:w="1139" w:type="dxa"/>
            <w:tcBorders>
              <w:top w:val="single" w:sz="6" w:space="0" w:color="000000"/>
            </w:tcBorders>
            <w:shd w:val="clear" w:color="auto" w:fill="F1F1F1"/>
          </w:tcPr>
          <w:p w14:paraId="49B244D2" w14:textId="77777777" w:rsidR="00AC6F3C" w:rsidRDefault="00570E88">
            <w:pPr>
              <w:pStyle w:val="TableParagraph"/>
              <w:spacing w:before="70"/>
              <w:ind w:right="37"/>
              <w:jc w:val="right"/>
              <w:rPr>
                <w:sz w:val="18"/>
              </w:rPr>
            </w:pPr>
            <w:r>
              <w:rPr>
                <w:w w:val="99"/>
                <w:sz w:val="18"/>
              </w:rPr>
              <w:t>-</w:t>
            </w:r>
          </w:p>
        </w:tc>
        <w:tc>
          <w:tcPr>
            <w:tcW w:w="1116" w:type="dxa"/>
            <w:gridSpan w:val="2"/>
            <w:tcBorders>
              <w:top w:val="single" w:sz="6" w:space="0" w:color="000000"/>
              <w:right w:val="single" w:sz="6" w:space="0" w:color="000000"/>
            </w:tcBorders>
          </w:tcPr>
          <w:p w14:paraId="57070A06" w14:textId="77777777" w:rsidR="00AC6F3C" w:rsidRDefault="00570E88">
            <w:pPr>
              <w:pStyle w:val="TableParagraph"/>
              <w:spacing w:before="70"/>
              <w:ind w:right="22"/>
              <w:jc w:val="right"/>
              <w:rPr>
                <w:sz w:val="18"/>
              </w:rPr>
            </w:pPr>
            <w:r>
              <w:rPr>
                <w:w w:val="99"/>
                <w:sz w:val="18"/>
              </w:rPr>
              <w:t>-</w:t>
            </w:r>
          </w:p>
        </w:tc>
      </w:tr>
      <w:tr w:rsidR="00AC6F3C" w14:paraId="4116FD1D" w14:textId="77777777">
        <w:trPr>
          <w:trHeight w:val="271"/>
        </w:trPr>
        <w:tc>
          <w:tcPr>
            <w:tcW w:w="3843" w:type="dxa"/>
            <w:tcBorders>
              <w:left w:val="single" w:sz="6" w:space="0" w:color="000000"/>
              <w:bottom w:val="single" w:sz="6" w:space="0" w:color="000000"/>
            </w:tcBorders>
          </w:tcPr>
          <w:p w14:paraId="77CB3C18" w14:textId="77777777" w:rsidR="00AC6F3C" w:rsidRDefault="00570E88">
            <w:pPr>
              <w:pStyle w:val="TableParagraph"/>
              <w:spacing w:before="28"/>
              <w:ind w:left="37"/>
              <w:rPr>
                <w:sz w:val="18"/>
              </w:rPr>
            </w:pPr>
            <w:r>
              <w:rPr>
                <w:sz w:val="18"/>
              </w:rPr>
              <w:t>Movement</w:t>
            </w:r>
            <w:r>
              <w:rPr>
                <w:spacing w:val="-4"/>
                <w:sz w:val="18"/>
              </w:rPr>
              <w:t xml:space="preserve"> </w:t>
            </w:r>
            <w:r>
              <w:rPr>
                <w:sz w:val="18"/>
              </w:rPr>
              <w:t>in</w:t>
            </w:r>
            <w:r>
              <w:rPr>
                <w:spacing w:val="8"/>
                <w:sz w:val="18"/>
              </w:rPr>
              <w:t xml:space="preserve"> </w:t>
            </w:r>
            <w:r>
              <w:rPr>
                <w:sz w:val="18"/>
              </w:rPr>
              <w:t>reinsurance</w:t>
            </w:r>
            <w:r>
              <w:rPr>
                <w:spacing w:val="8"/>
                <w:sz w:val="18"/>
              </w:rPr>
              <w:t xml:space="preserve"> </w:t>
            </w:r>
            <w:r>
              <w:rPr>
                <w:spacing w:val="-2"/>
                <w:sz w:val="18"/>
              </w:rPr>
              <w:t>recoveries</w:t>
            </w:r>
          </w:p>
        </w:tc>
        <w:tc>
          <w:tcPr>
            <w:tcW w:w="1139" w:type="dxa"/>
            <w:tcBorders>
              <w:bottom w:val="single" w:sz="6" w:space="0" w:color="000000"/>
            </w:tcBorders>
            <w:shd w:val="clear" w:color="auto" w:fill="F1F1F1"/>
          </w:tcPr>
          <w:p w14:paraId="4ACD6CCA" w14:textId="77777777" w:rsidR="00AC6F3C" w:rsidRDefault="00570E88">
            <w:pPr>
              <w:pStyle w:val="TableParagraph"/>
              <w:spacing w:before="28"/>
              <w:ind w:right="31"/>
              <w:jc w:val="right"/>
              <w:rPr>
                <w:sz w:val="18"/>
              </w:rPr>
            </w:pPr>
            <w:r>
              <w:rPr>
                <w:spacing w:val="-2"/>
                <w:sz w:val="18"/>
              </w:rPr>
              <w:t>(9,192)</w:t>
            </w:r>
          </w:p>
        </w:tc>
        <w:tc>
          <w:tcPr>
            <w:tcW w:w="1109" w:type="dxa"/>
            <w:tcBorders>
              <w:bottom w:val="single" w:sz="6" w:space="0" w:color="000000"/>
            </w:tcBorders>
          </w:tcPr>
          <w:p w14:paraId="45D355D4" w14:textId="77777777" w:rsidR="00AC6F3C" w:rsidRDefault="00570E88">
            <w:pPr>
              <w:pStyle w:val="TableParagraph"/>
              <w:spacing w:before="28"/>
              <w:ind w:right="17"/>
              <w:jc w:val="right"/>
              <w:rPr>
                <w:sz w:val="18"/>
              </w:rPr>
            </w:pPr>
            <w:r>
              <w:rPr>
                <w:spacing w:val="-2"/>
                <w:sz w:val="18"/>
              </w:rPr>
              <w:t>(399)</w:t>
            </w:r>
          </w:p>
        </w:tc>
        <w:tc>
          <w:tcPr>
            <w:tcW w:w="1139" w:type="dxa"/>
            <w:tcBorders>
              <w:bottom w:val="single" w:sz="6" w:space="0" w:color="000000"/>
            </w:tcBorders>
            <w:shd w:val="clear" w:color="auto" w:fill="F1F1F1"/>
          </w:tcPr>
          <w:p w14:paraId="579074B0" w14:textId="77777777" w:rsidR="00AC6F3C" w:rsidRDefault="00570E88">
            <w:pPr>
              <w:pStyle w:val="TableParagraph"/>
              <w:spacing w:before="28"/>
              <w:ind w:right="37"/>
              <w:jc w:val="right"/>
              <w:rPr>
                <w:sz w:val="18"/>
              </w:rPr>
            </w:pPr>
            <w:r>
              <w:rPr>
                <w:w w:val="99"/>
                <w:sz w:val="18"/>
              </w:rPr>
              <w:t>-</w:t>
            </w:r>
          </w:p>
        </w:tc>
        <w:tc>
          <w:tcPr>
            <w:tcW w:w="1116" w:type="dxa"/>
            <w:gridSpan w:val="2"/>
            <w:tcBorders>
              <w:bottom w:val="single" w:sz="6" w:space="0" w:color="000000"/>
              <w:right w:val="single" w:sz="6" w:space="0" w:color="000000"/>
            </w:tcBorders>
          </w:tcPr>
          <w:p w14:paraId="5BD97980" w14:textId="77777777" w:rsidR="00AC6F3C" w:rsidRDefault="00570E88">
            <w:pPr>
              <w:pStyle w:val="TableParagraph"/>
              <w:spacing w:before="28"/>
              <w:ind w:right="22"/>
              <w:jc w:val="right"/>
              <w:rPr>
                <w:sz w:val="18"/>
              </w:rPr>
            </w:pPr>
            <w:r>
              <w:rPr>
                <w:w w:val="99"/>
                <w:sz w:val="18"/>
              </w:rPr>
              <w:t>-</w:t>
            </w:r>
          </w:p>
        </w:tc>
      </w:tr>
      <w:tr w:rsidR="00AC6F3C" w14:paraId="35DD355B" w14:textId="77777777">
        <w:trPr>
          <w:trHeight w:val="284"/>
        </w:trPr>
        <w:tc>
          <w:tcPr>
            <w:tcW w:w="3843" w:type="dxa"/>
            <w:tcBorders>
              <w:top w:val="single" w:sz="6" w:space="0" w:color="000000"/>
              <w:left w:val="single" w:sz="6" w:space="0" w:color="000000"/>
              <w:bottom w:val="single" w:sz="6" w:space="0" w:color="000000"/>
            </w:tcBorders>
          </w:tcPr>
          <w:p w14:paraId="29F924AB" w14:textId="77777777" w:rsidR="00AC6F3C" w:rsidRDefault="00570E88">
            <w:pPr>
              <w:pStyle w:val="TableParagraph"/>
              <w:spacing w:before="40"/>
              <w:ind w:left="37"/>
              <w:rPr>
                <w:sz w:val="18"/>
              </w:rPr>
            </w:pPr>
            <w:r>
              <w:rPr>
                <w:sz w:val="18"/>
              </w:rPr>
              <w:t>Closing</w:t>
            </w:r>
            <w:r>
              <w:rPr>
                <w:spacing w:val="21"/>
                <w:sz w:val="18"/>
              </w:rPr>
              <w:t xml:space="preserve"> </w:t>
            </w:r>
            <w:r>
              <w:rPr>
                <w:sz w:val="18"/>
              </w:rPr>
              <w:t>insurance</w:t>
            </w:r>
            <w:r>
              <w:rPr>
                <w:spacing w:val="22"/>
                <w:sz w:val="18"/>
              </w:rPr>
              <w:t xml:space="preserve"> </w:t>
            </w:r>
            <w:r>
              <w:rPr>
                <w:sz w:val="18"/>
              </w:rPr>
              <w:t>contract</w:t>
            </w:r>
            <w:r>
              <w:rPr>
                <w:spacing w:val="7"/>
                <w:sz w:val="18"/>
              </w:rPr>
              <w:t xml:space="preserve"> </w:t>
            </w:r>
            <w:r>
              <w:rPr>
                <w:sz w:val="18"/>
              </w:rPr>
              <w:t>liabilities</w:t>
            </w:r>
            <w:r>
              <w:rPr>
                <w:spacing w:val="36"/>
                <w:sz w:val="18"/>
              </w:rPr>
              <w:t xml:space="preserve"> </w:t>
            </w:r>
            <w:r>
              <w:rPr>
                <w:spacing w:val="-2"/>
                <w:sz w:val="18"/>
              </w:rPr>
              <w:t>ceded</w:t>
            </w:r>
          </w:p>
        </w:tc>
        <w:tc>
          <w:tcPr>
            <w:tcW w:w="1139" w:type="dxa"/>
            <w:tcBorders>
              <w:top w:val="single" w:sz="6" w:space="0" w:color="000000"/>
              <w:bottom w:val="single" w:sz="6" w:space="0" w:color="000000"/>
            </w:tcBorders>
            <w:shd w:val="clear" w:color="auto" w:fill="F1F1F1"/>
          </w:tcPr>
          <w:p w14:paraId="56007382" w14:textId="77777777" w:rsidR="00AC6F3C" w:rsidRDefault="00570E88">
            <w:pPr>
              <w:pStyle w:val="TableParagraph"/>
              <w:spacing w:before="40"/>
              <w:ind w:right="31"/>
              <w:jc w:val="right"/>
              <w:rPr>
                <w:sz w:val="18"/>
              </w:rPr>
            </w:pPr>
            <w:r>
              <w:rPr>
                <w:spacing w:val="-2"/>
                <w:sz w:val="18"/>
              </w:rPr>
              <w:t>(9,865)</w:t>
            </w:r>
          </w:p>
        </w:tc>
        <w:tc>
          <w:tcPr>
            <w:tcW w:w="1109" w:type="dxa"/>
            <w:tcBorders>
              <w:top w:val="single" w:sz="6" w:space="0" w:color="000000"/>
              <w:bottom w:val="single" w:sz="6" w:space="0" w:color="000000"/>
            </w:tcBorders>
          </w:tcPr>
          <w:p w14:paraId="6A5C35B0" w14:textId="77777777" w:rsidR="00AC6F3C" w:rsidRDefault="00570E88">
            <w:pPr>
              <w:pStyle w:val="TableParagraph"/>
              <w:spacing w:before="40"/>
              <w:ind w:right="17"/>
              <w:jc w:val="right"/>
              <w:rPr>
                <w:sz w:val="18"/>
              </w:rPr>
            </w:pPr>
            <w:r>
              <w:rPr>
                <w:spacing w:val="-2"/>
                <w:sz w:val="18"/>
              </w:rPr>
              <w:t>(673)</w:t>
            </w:r>
          </w:p>
        </w:tc>
        <w:tc>
          <w:tcPr>
            <w:tcW w:w="1139" w:type="dxa"/>
            <w:tcBorders>
              <w:top w:val="single" w:sz="6" w:space="0" w:color="000000"/>
              <w:bottom w:val="single" w:sz="6" w:space="0" w:color="000000"/>
            </w:tcBorders>
            <w:shd w:val="clear" w:color="auto" w:fill="F1F1F1"/>
          </w:tcPr>
          <w:p w14:paraId="6E849D9E"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bottom w:val="single" w:sz="6" w:space="0" w:color="000000"/>
              <w:right w:val="single" w:sz="6" w:space="0" w:color="000000"/>
            </w:tcBorders>
          </w:tcPr>
          <w:p w14:paraId="709F99D3" w14:textId="77777777" w:rsidR="00AC6F3C" w:rsidRDefault="00570E88">
            <w:pPr>
              <w:pStyle w:val="TableParagraph"/>
              <w:spacing w:before="40"/>
              <w:ind w:right="22"/>
              <w:jc w:val="right"/>
              <w:rPr>
                <w:sz w:val="18"/>
              </w:rPr>
            </w:pPr>
            <w:r>
              <w:rPr>
                <w:w w:val="99"/>
                <w:sz w:val="18"/>
              </w:rPr>
              <w:t>-</w:t>
            </w:r>
          </w:p>
        </w:tc>
      </w:tr>
      <w:tr w:rsidR="00AC6F3C" w14:paraId="3923F889"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0254A7B9" w14:textId="77777777" w:rsidR="00AC6F3C" w:rsidRDefault="00570E88">
            <w:pPr>
              <w:pStyle w:val="TableParagraph"/>
              <w:spacing w:before="40"/>
              <w:ind w:left="37"/>
              <w:rPr>
                <w:b/>
                <w:sz w:val="18"/>
              </w:rPr>
            </w:pPr>
            <w:r>
              <w:rPr>
                <w:b/>
                <w:spacing w:val="-4"/>
                <w:sz w:val="18"/>
              </w:rPr>
              <w:t>Net</w:t>
            </w:r>
            <w:r>
              <w:rPr>
                <w:b/>
                <w:sz w:val="18"/>
              </w:rPr>
              <w:t xml:space="preserve"> </w:t>
            </w:r>
            <w:r>
              <w:rPr>
                <w:b/>
                <w:spacing w:val="-4"/>
                <w:sz w:val="18"/>
              </w:rPr>
              <w:t>outstanding</w:t>
            </w:r>
            <w:r>
              <w:rPr>
                <w:b/>
                <w:spacing w:val="-5"/>
                <w:sz w:val="18"/>
              </w:rPr>
              <w:t xml:space="preserve"> </w:t>
            </w:r>
            <w:r>
              <w:rPr>
                <w:b/>
                <w:spacing w:val="-4"/>
                <w:sz w:val="18"/>
              </w:rPr>
              <w:t>claims</w:t>
            </w:r>
          </w:p>
        </w:tc>
        <w:tc>
          <w:tcPr>
            <w:tcW w:w="2248" w:type="dxa"/>
            <w:gridSpan w:val="2"/>
            <w:tcBorders>
              <w:top w:val="single" w:sz="6" w:space="0" w:color="000000"/>
              <w:bottom w:val="single" w:sz="6" w:space="0" w:color="000000"/>
            </w:tcBorders>
            <w:shd w:val="clear" w:color="auto" w:fill="BEBEBE"/>
          </w:tcPr>
          <w:p w14:paraId="04B31883" w14:textId="77777777" w:rsidR="00AC6F3C" w:rsidRDefault="00570E88">
            <w:pPr>
              <w:pStyle w:val="TableParagraph"/>
              <w:tabs>
                <w:tab w:val="left" w:pos="1654"/>
              </w:tabs>
              <w:spacing w:before="40"/>
              <w:ind w:left="531"/>
              <w:rPr>
                <w:b/>
                <w:sz w:val="18"/>
              </w:rPr>
            </w:pPr>
            <w:r>
              <w:rPr>
                <w:b/>
                <w:spacing w:val="-2"/>
                <w:sz w:val="18"/>
              </w:rPr>
              <w:t>76,311</w:t>
            </w:r>
            <w:r>
              <w:rPr>
                <w:b/>
                <w:sz w:val="18"/>
              </w:rPr>
              <w:tab/>
            </w:r>
            <w:r>
              <w:rPr>
                <w:b/>
                <w:spacing w:val="-2"/>
                <w:sz w:val="18"/>
              </w:rPr>
              <w:t>71,869</w:t>
            </w:r>
          </w:p>
        </w:tc>
        <w:tc>
          <w:tcPr>
            <w:tcW w:w="1581" w:type="dxa"/>
            <w:gridSpan w:val="2"/>
            <w:tcBorders>
              <w:top w:val="single" w:sz="6" w:space="0" w:color="000000"/>
              <w:bottom w:val="single" w:sz="6" w:space="0" w:color="000000"/>
            </w:tcBorders>
            <w:shd w:val="clear" w:color="auto" w:fill="BEBEBE"/>
          </w:tcPr>
          <w:p w14:paraId="65C004D3" w14:textId="77777777" w:rsidR="00AC6F3C" w:rsidRDefault="00570E88">
            <w:pPr>
              <w:pStyle w:val="TableParagraph"/>
              <w:spacing w:before="40"/>
              <w:ind w:left="1039"/>
              <w:rPr>
                <w:b/>
                <w:sz w:val="18"/>
              </w:rPr>
            </w:pPr>
            <w:r>
              <w:rPr>
                <w:b/>
                <w:w w:val="99"/>
                <w:sz w:val="18"/>
              </w:rPr>
              <w:t>-</w:t>
            </w:r>
          </w:p>
        </w:tc>
        <w:tc>
          <w:tcPr>
            <w:tcW w:w="674" w:type="dxa"/>
            <w:tcBorders>
              <w:top w:val="single" w:sz="6" w:space="0" w:color="000000"/>
              <w:bottom w:val="single" w:sz="6" w:space="0" w:color="000000"/>
              <w:right w:val="single" w:sz="6" w:space="0" w:color="000000"/>
            </w:tcBorders>
            <w:shd w:val="clear" w:color="auto" w:fill="BEBEBE"/>
          </w:tcPr>
          <w:p w14:paraId="1285FC12" w14:textId="77777777" w:rsidR="00AC6F3C" w:rsidRDefault="00570E88">
            <w:pPr>
              <w:pStyle w:val="TableParagraph"/>
              <w:spacing w:before="40"/>
              <w:ind w:right="22"/>
              <w:jc w:val="right"/>
              <w:rPr>
                <w:b/>
                <w:sz w:val="18"/>
              </w:rPr>
            </w:pPr>
            <w:r>
              <w:rPr>
                <w:b/>
                <w:w w:val="99"/>
                <w:sz w:val="18"/>
              </w:rPr>
              <w:t>-</w:t>
            </w:r>
          </w:p>
        </w:tc>
      </w:tr>
      <w:tr w:rsidR="00AC6F3C" w14:paraId="351A3813" w14:textId="77777777">
        <w:trPr>
          <w:trHeight w:val="284"/>
        </w:trPr>
        <w:tc>
          <w:tcPr>
            <w:tcW w:w="3843" w:type="dxa"/>
            <w:tcBorders>
              <w:top w:val="single" w:sz="6" w:space="0" w:color="000000"/>
              <w:left w:val="single" w:sz="6" w:space="0" w:color="000000"/>
              <w:bottom w:val="single" w:sz="6" w:space="0" w:color="000000"/>
            </w:tcBorders>
          </w:tcPr>
          <w:p w14:paraId="340269E0" w14:textId="77777777" w:rsidR="00AC6F3C" w:rsidRDefault="00570E88">
            <w:pPr>
              <w:pStyle w:val="TableParagraph"/>
              <w:spacing w:before="40"/>
              <w:ind w:left="37"/>
              <w:rPr>
                <w:sz w:val="18"/>
              </w:rPr>
            </w:pPr>
            <w:r>
              <w:rPr>
                <w:sz w:val="18"/>
              </w:rPr>
              <w:t>Lexon</w:t>
            </w:r>
            <w:r>
              <w:rPr>
                <w:spacing w:val="-1"/>
                <w:sz w:val="18"/>
              </w:rPr>
              <w:t xml:space="preserve"> </w:t>
            </w:r>
            <w:r>
              <w:rPr>
                <w:sz w:val="18"/>
              </w:rPr>
              <w:t>Insurance Pte</w:t>
            </w:r>
            <w:r>
              <w:rPr>
                <w:spacing w:val="-1"/>
                <w:sz w:val="18"/>
              </w:rPr>
              <w:t xml:space="preserve"> </w:t>
            </w:r>
            <w:r>
              <w:rPr>
                <w:spacing w:val="-5"/>
                <w:sz w:val="18"/>
              </w:rPr>
              <w:t>Ltd</w:t>
            </w:r>
          </w:p>
        </w:tc>
        <w:tc>
          <w:tcPr>
            <w:tcW w:w="1139" w:type="dxa"/>
            <w:tcBorders>
              <w:top w:val="single" w:sz="6" w:space="0" w:color="000000"/>
              <w:bottom w:val="single" w:sz="6" w:space="0" w:color="000000"/>
            </w:tcBorders>
            <w:shd w:val="clear" w:color="auto" w:fill="F1F1F1"/>
          </w:tcPr>
          <w:p w14:paraId="5BA48280" w14:textId="77777777" w:rsidR="00AC6F3C" w:rsidRDefault="00570E88">
            <w:pPr>
              <w:pStyle w:val="TableParagraph"/>
              <w:spacing w:before="40"/>
              <w:ind w:right="36"/>
              <w:jc w:val="right"/>
              <w:rPr>
                <w:sz w:val="18"/>
              </w:rPr>
            </w:pPr>
            <w:r>
              <w:rPr>
                <w:spacing w:val="-2"/>
                <w:sz w:val="18"/>
              </w:rPr>
              <w:t>76,311</w:t>
            </w:r>
          </w:p>
        </w:tc>
        <w:tc>
          <w:tcPr>
            <w:tcW w:w="1109" w:type="dxa"/>
            <w:tcBorders>
              <w:top w:val="single" w:sz="6" w:space="0" w:color="000000"/>
              <w:bottom w:val="single" w:sz="6" w:space="0" w:color="000000"/>
            </w:tcBorders>
          </w:tcPr>
          <w:p w14:paraId="512F5751" w14:textId="77777777" w:rsidR="00AC6F3C" w:rsidRDefault="00570E88">
            <w:pPr>
              <w:pStyle w:val="TableParagraph"/>
              <w:spacing w:before="40"/>
              <w:ind w:right="22"/>
              <w:jc w:val="right"/>
              <w:rPr>
                <w:sz w:val="18"/>
              </w:rPr>
            </w:pPr>
            <w:r>
              <w:rPr>
                <w:spacing w:val="-2"/>
                <w:sz w:val="18"/>
              </w:rPr>
              <w:t>71,869</w:t>
            </w:r>
          </w:p>
        </w:tc>
        <w:tc>
          <w:tcPr>
            <w:tcW w:w="1139" w:type="dxa"/>
            <w:tcBorders>
              <w:top w:val="single" w:sz="6" w:space="0" w:color="000000"/>
              <w:bottom w:val="single" w:sz="6" w:space="0" w:color="000000"/>
            </w:tcBorders>
            <w:shd w:val="clear" w:color="auto" w:fill="F1F1F1"/>
          </w:tcPr>
          <w:p w14:paraId="2035B111" w14:textId="77777777" w:rsidR="00AC6F3C" w:rsidRDefault="00570E88">
            <w:pPr>
              <w:pStyle w:val="TableParagraph"/>
              <w:spacing w:before="40"/>
              <w:ind w:right="37"/>
              <w:jc w:val="right"/>
              <w:rPr>
                <w:sz w:val="18"/>
              </w:rPr>
            </w:pPr>
            <w:r>
              <w:rPr>
                <w:w w:val="99"/>
                <w:sz w:val="18"/>
              </w:rPr>
              <w:t>-</w:t>
            </w:r>
          </w:p>
        </w:tc>
        <w:tc>
          <w:tcPr>
            <w:tcW w:w="1116" w:type="dxa"/>
            <w:gridSpan w:val="2"/>
            <w:tcBorders>
              <w:top w:val="single" w:sz="6" w:space="0" w:color="000000"/>
              <w:bottom w:val="single" w:sz="6" w:space="0" w:color="000000"/>
              <w:right w:val="single" w:sz="6" w:space="0" w:color="000000"/>
            </w:tcBorders>
          </w:tcPr>
          <w:p w14:paraId="46D6AF91" w14:textId="77777777" w:rsidR="00AC6F3C" w:rsidRDefault="00570E88">
            <w:pPr>
              <w:pStyle w:val="TableParagraph"/>
              <w:spacing w:before="40"/>
              <w:ind w:right="22"/>
              <w:jc w:val="right"/>
              <w:rPr>
                <w:sz w:val="18"/>
              </w:rPr>
            </w:pPr>
            <w:r>
              <w:rPr>
                <w:w w:val="99"/>
                <w:sz w:val="18"/>
              </w:rPr>
              <w:t>-</w:t>
            </w:r>
          </w:p>
        </w:tc>
      </w:tr>
      <w:tr w:rsidR="00AC6F3C" w14:paraId="1B973C89"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49E6080B" w14:textId="77777777" w:rsidR="00AC6F3C" w:rsidRDefault="00570E88">
            <w:pPr>
              <w:pStyle w:val="TableParagraph"/>
              <w:spacing w:before="40"/>
              <w:ind w:left="37"/>
              <w:rPr>
                <w:b/>
                <w:sz w:val="18"/>
              </w:rPr>
            </w:pPr>
            <w:r>
              <w:rPr>
                <w:b/>
                <w:spacing w:val="-4"/>
                <w:sz w:val="18"/>
              </w:rPr>
              <w:t>Net</w:t>
            </w:r>
            <w:r>
              <w:rPr>
                <w:b/>
                <w:sz w:val="18"/>
              </w:rPr>
              <w:t xml:space="preserve"> </w:t>
            </w:r>
            <w:r>
              <w:rPr>
                <w:b/>
                <w:spacing w:val="-4"/>
                <w:sz w:val="18"/>
              </w:rPr>
              <w:t>outstanding</w:t>
            </w:r>
            <w:r>
              <w:rPr>
                <w:b/>
                <w:spacing w:val="-5"/>
                <w:sz w:val="18"/>
              </w:rPr>
              <w:t xml:space="preserve"> </w:t>
            </w:r>
            <w:r>
              <w:rPr>
                <w:b/>
                <w:spacing w:val="-4"/>
                <w:sz w:val="18"/>
              </w:rPr>
              <w:t>claims</w:t>
            </w:r>
          </w:p>
        </w:tc>
        <w:tc>
          <w:tcPr>
            <w:tcW w:w="2248" w:type="dxa"/>
            <w:gridSpan w:val="2"/>
            <w:tcBorders>
              <w:top w:val="single" w:sz="6" w:space="0" w:color="000000"/>
              <w:bottom w:val="single" w:sz="6" w:space="0" w:color="000000"/>
            </w:tcBorders>
            <w:shd w:val="clear" w:color="auto" w:fill="BEBEBE"/>
          </w:tcPr>
          <w:p w14:paraId="18CF715B" w14:textId="77777777" w:rsidR="00AC6F3C" w:rsidRDefault="00570E88">
            <w:pPr>
              <w:pStyle w:val="TableParagraph"/>
              <w:tabs>
                <w:tab w:val="left" w:pos="1654"/>
              </w:tabs>
              <w:spacing w:before="40"/>
              <w:ind w:left="531"/>
              <w:rPr>
                <w:b/>
                <w:sz w:val="18"/>
              </w:rPr>
            </w:pPr>
            <w:r>
              <w:rPr>
                <w:b/>
                <w:spacing w:val="-2"/>
                <w:sz w:val="18"/>
              </w:rPr>
              <w:t>76,311</w:t>
            </w:r>
            <w:r>
              <w:rPr>
                <w:b/>
                <w:sz w:val="18"/>
              </w:rPr>
              <w:tab/>
            </w:r>
            <w:r>
              <w:rPr>
                <w:b/>
                <w:spacing w:val="-2"/>
                <w:sz w:val="18"/>
              </w:rPr>
              <w:t>71,869</w:t>
            </w:r>
          </w:p>
        </w:tc>
        <w:tc>
          <w:tcPr>
            <w:tcW w:w="1581" w:type="dxa"/>
            <w:gridSpan w:val="2"/>
            <w:tcBorders>
              <w:top w:val="single" w:sz="6" w:space="0" w:color="000000"/>
              <w:bottom w:val="single" w:sz="6" w:space="0" w:color="000000"/>
            </w:tcBorders>
            <w:shd w:val="clear" w:color="auto" w:fill="BEBEBE"/>
          </w:tcPr>
          <w:p w14:paraId="693C5DFD" w14:textId="77777777" w:rsidR="00AC6F3C" w:rsidRDefault="00570E88">
            <w:pPr>
              <w:pStyle w:val="TableParagraph"/>
              <w:spacing w:before="40"/>
              <w:ind w:left="1039"/>
              <w:rPr>
                <w:b/>
                <w:sz w:val="18"/>
              </w:rPr>
            </w:pPr>
            <w:r>
              <w:rPr>
                <w:b/>
                <w:w w:val="99"/>
                <w:sz w:val="18"/>
              </w:rPr>
              <w:t>-</w:t>
            </w:r>
          </w:p>
        </w:tc>
        <w:tc>
          <w:tcPr>
            <w:tcW w:w="674" w:type="dxa"/>
            <w:tcBorders>
              <w:top w:val="single" w:sz="6" w:space="0" w:color="000000"/>
              <w:bottom w:val="single" w:sz="6" w:space="0" w:color="000000"/>
              <w:right w:val="single" w:sz="6" w:space="0" w:color="000000"/>
            </w:tcBorders>
            <w:shd w:val="clear" w:color="auto" w:fill="BEBEBE"/>
          </w:tcPr>
          <w:p w14:paraId="4BEE9A03" w14:textId="77777777" w:rsidR="00AC6F3C" w:rsidRDefault="00570E88">
            <w:pPr>
              <w:pStyle w:val="TableParagraph"/>
              <w:spacing w:before="40"/>
              <w:ind w:right="22"/>
              <w:jc w:val="right"/>
              <w:rPr>
                <w:b/>
                <w:sz w:val="18"/>
              </w:rPr>
            </w:pPr>
            <w:r>
              <w:rPr>
                <w:b/>
                <w:w w:val="99"/>
                <w:sz w:val="18"/>
              </w:rPr>
              <w:t>-</w:t>
            </w:r>
          </w:p>
        </w:tc>
      </w:tr>
    </w:tbl>
    <w:p w14:paraId="13FA0646" w14:textId="77777777" w:rsidR="00AC6F3C" w:rsidRDefault="00AC6F3C">
      <w:pPr>
        <w:pStyle w:val="BodyText"/>
        <w:spacing w:before="3"/>
        <w:rPr>
          <w:sz w:val="25"/>
        </w:rPr>
      </w:pPr>
    </w:p>
    <w:tbl>
      <w:tblPr>
        <w:tblW w:w="0" w:type="auto"/>
        <w:tblInd w:w="972" w:type="dxa"/>
        <w:tblLayout w:type="fixed"/>
        <w:tblCellMar>
          <w:left w:w="0" w:type="dxa"/>
          <w:right w:w="0" w:type="dxa"/>
        </w:tblCellMar>
        <w:tblLook w:val="01E0" w:firstRow="1" w:lastRow="1" w:firstColumn="1" w:lastColumn="1" w:noHBand="0" w:noVBand="0"/>
      </w:tblPr>
      <w:tblGrid>
        <w:gridCol w:w="3843"/>
        <w:gridCol w:w="1139"/>
        <w:gridCol w:w="1109"/>
        <w:gridCol w:w="1139"/>
        <w:gridCol w:w="1117"/>
      </w:tblGrid>
      <w:tr w:rsidR="00AC6F3C" w14:paraId="2193A256" w14:textId="77777777">
        <w:trPr>
          <w:trHeight w:val="882"/>
        </w:trPr>
        <w:tc>
          <w:tcPr>
            <w:tcW w:w="8347" w:type="dxa"/>
            <w:gridSpan w:val="5"/>
            <w:tcBorders>
              <w:top w:val="single" w:sz="6" w:space="0" w:color="000000"/>
              <w:left w:val="single" w:sz="6" w:space="0" w:color="000000"/>
              <w:bottom w:val="single" w:sz="6" w:space="0" w:color="000000"/>
              <w:right w:val="single" w:sz="6" w:space="0" w:color="000000"/>
            </w:tcBorders>
            <w:shd w:val="clear" w:color="auto" w:fill="BEBEBE"/>
          </w:tcPr>
          <w:p w14:paraId="79CF6F3D" w14:textId="77777777" w:rsidR="00AC6F3C" w:rsidRDefault="00570E88">
            <w:pPr>
              <w:pStyle w:val="TableParagraph"/>
              <w:tabs>
                <w:tab w:val="left" w:pos="4411"/>
                <w:tab w:val="left" w:pos="6928"/>
              </w:tabs>
              <w:spacing w:before="15"/>
              <w:ind w:left="37"/>
              <w:rPr>
                <w:b/>
                <w:sz w:val="18"/>
              </w:rPr>
            </w:pPr>
            <w:r>
              <w:rPr>
                <w:position w:val="1"/>
                <w:sz w:val="18"/>
              </w:rPr>
              <w:t>Disclosed</w:t>
            </w:r>
            <w:r>
              <w:rPr>
                <w:spacing w:val="11"/>
                <w:position w:val="1"/>
                <w:sz w:val="18"/>
              </w:rPr>
              <w:t xml:space="preserve"> </w:t>
            </w:r>
            <w:r>
              <w:rPr>
                <w:position w:val="1"/>
                <w:sz w:val="18"/>
              </w:rPr>
              <w:t>in</w:t>
            </w:r>
            <w:r>
              <w:rPr>
                <w:spacing w:val="12"/>
                <w:position w:val="1"/>
                <w:sz w:val="18"/>
              </w:rPr>
              <w:t xml:space="preserve"> </w:t>
            </w:r>
            <w:r>
              <w:rPr>
                <w:position w:val="1"/>
                <w:sz w:val="18"/>
              </w:rPr>
              <w:t>the</w:t>
            </w:r>
            <w:r>
              <w:rPr>
                <w:spacing w:val="12"/>
                <w:position w:val="1"/>
                <w:sz w:val="18"/>
              </w:rPr>
              <w:t xml:space="preserve"> </w:t>
            </w:r>
            <w:r>
              <w:rPr>
                <w:position w:val="1"/>
                <w:sz w:val="18"/>
              </w:rPr>
              <w:t>Statement</w:t>
            </w:r>
            <w:r>
              <w:rPr>
                <w:spacing w:val="-1"/>
                <w:position w:val="1"/>
                <w:sz w:val="18"/>
              </w:rPr>
              <w:t xml:space="preserve"> </w:t>
            </w:r>
            <w:r>
              <w:rPr>
                <w:position w:val="1"/>
                <w:sz w:val="18"/>
              </w:rPr>
              <w:t>of</w:t>
            </w:r>
            <w:r>
              <w:rPr>
                <w:spacing w:val="-1"/>
                <w:position w:val="1"/>
                <w:sz w:val="18"/>
              </w:rPr>
              <w:t xml:space="preserve"> </w:t>
            </w:r>
            <w:r>
              <w:rPr>
                <w:spacing w:val="-2"/>
                <w:position w:val="1"/>
                <w:sz w:val="18"/>
              </w:rPr>
              <w:t>Financial</w:t>
            </w:r>
            <w:r>
              <w:rPr>
                <w:position w:val="1"/>
                <w:sz w:val="18"/>
              </w:rPr>
              <w:tab/>
            </w:r>
            <w:r>
              <w:rPr>
                <w:b/>
                <w:spacing w:val="-2"/>
                <w:sz w:val="18"/>
              </w:rPr>
              <w:t>Consolidated</w:t>
            </w:r>
            <w:r>
              <w:rPr>
                <w:b/>
                <w:sz w:val="18"/>
              </w:rPr>
              <w:tab/>
            </w:r>
            <w:r>
              <w:rPr>
                <w:b/>
                <w:spacing w:val="-2"/>
                <w:sz w:val="18"/>
              </w:rPr>
              <w:t>Parent</w:t>
            </w:r>
          </w:p>
          <w:p w14:paraId="25EB5FC3" w14:textId="77777777" w:rsidR="00AC6F3C" w:rsidRDefault="00570E88">
            <w:pPr>
              <w:pStyle w:val="TableParagraph"/>
              <w:tabs>
                <w:tab w:val="left" w:pos="4516"/>
                <w:tab w:val="left" w:pos="5640"/>
                <w:tab w:val="left" w:pos="6763"/>
                <w:tab w:val="right" w:pos="8306"/>
              </w:tabs>
              <w:spacing w:before="18"/>
              <w:ind w:left="37"/>
              <w:rPr>
                <w:b/>
                <w:sz w:val="18"/>
              </w:rPr>
            </w:pPr>
            <w:r>
              <w:rPr>
                <w:position w:val="9"/>
                <w:sz w:val="18"/>
              </w:rPr>
              <w:t>Position</w:t>
            </w:r>
            <w:r>
              <w:rPr>
                <w:spacing w:val="18"/>
                <w:position w:val="9"/>
                <w:sz w:val="18"/>
              </w:rPr>
              <w:t xml:space="preserve"> </w:t>
            </w:r>
            <w:r>
              <w:rPr>
                <w:spacing w:val="-5"/>
                <w:position w:val="9"/>
                <w:sz w:val="18"/>
              </w:rPr>
              <w:t>as:</w:t>
            </w:r>
            <w:r>
              <w:rPr>
                <w:position w:val="9"/>
                <w:sz w:val="18"/>
              </w:rPr>
              <w:tab/>
            </w:r>
            <w:r>
              <w:rPr>
                <w:b/>
                <w:spacing w:val="-4"/>
                <w:sz w:val="18"/>
              </w:rPr>
              <w:t>2023</w:t>
            </w:r>
            <w:r>
              <w:rPr>
                <w:b/>
                <w:sz w:val="18"/>
              </w:rPr>
              <w:tab/>
            </w:r>
            <w:r>
              <w:rPr>
                <w:b/>
                <w:spacing w:val="-4"/>
                <w:sz w:val="18"/>
              </w:rPr>
              <w:t>2022</w:t>
            </w:r>
            <w:r>
              <w:rPr>
                <w:b/>
                <w:sz w:val="18"/>
              </w:rPr>
              <w:tab/>
            </w:r>
            <w:r>
              <w:rPr>
                <w:b/>
                <w:spacing w:val="-4"/>
                <w:sz w:val="18"/>
              </w:rPr>
              <w:t>2023</w:t>
            </w:r>
            <w:r>
              <w:rPr>
                <w:b/>
                <w:sz w:val="18"/>
              </w:rPr>
              <w:tab/>
            </w:r>
            <w:r>
              <w:rPr>
                <w:b/>
                <w:spacing w:val="-4"/>
                <w:sz w:val="18"/>
              </w:rPr>
              <w:t>2022</w:t>
            </w:r>
          </w:p>
          <w:p w14:paraId="51C58532" w14:textId="77777777" w:rsidR="00AC6F3C" w:rsidRDefault="00570E88">
            <w:pPr>
              <w:pStyle w:val="TableParagraph"/>
              <w:tabs>
                <w:tab w:val="left" w:pos="5595"/>
                <w:tab w:val="left" w:pos="6718"/>
                <w:tab w:val="left" w:pos="7842"/>
              </w:tabs>
              <w:spacing w:before="92"/>
              <w:ind w:left="4471"/>
              <w:rPr>
                <w:b/>
                <w:sz w:val="18"/>
              </w:rPr>
            </w:pPr>
            <w:r>
              <w:rPr>
                <w:b/>
                <w:spacing w:val="-2"/>
                <w:sz w:val="18"/>
              </w:rPr>
              <w:t>$’000</w:t>
            </w:r>
            <w:r>
              <w:rPr>
                <w:b/>
                <w:sz w:val="18"/>
              </w:rPr>
              <w:tab/>
            </w:r>
            <w:r>
              <w:rPr>
                <w:b/>
                <w:spacing w:val="-2"/>
                <w:sz w:val="18"/>
              </w:rPr>
              <w:t>$’000</w:t>
            </w:r>
            <w:r>
              <w:rPr>
                <w:b/>
                <w:sz w:val="18"/>
              </w:rPr>
              <w:tab/>
            </w:r>
            <w:r>
              <w:rPr>
                <w:b/>
                <w:spacing w:val="-4"/>
                <w:sz w:val="18"/>
              </w:rPr>
              <w:t>$’000</w:t>
            </w:r>
            <w:r>
              <w:rPr>
                <w:b/>
                <w:sz w:val="18"/>
              </w:rPr>
              <w:tab/>
            </w:r>
            <w:r>
              <w:rPr>
                <w:b/>
                <w:spacing w:val="-2"/>
                <w:sz w:val="18"/>
              </w:rPr>
              <w:t>$’000</w:t>
            </w:r>
          </w:p>
        </w:tc>
      </w:tr>
      <w:tr w:rsidR="00AC6F3C" w14:paraId="2A23F57D" w14:textId="77777777">
        <w:trPr>
          <w:trHeight w:val="296"/>
        </w:trPr>
        <w:tc>
          <w:tcPr>
            <w:tcW w:w="3843" w:type="dxa"/>
            <w:tcBorders>
              <w:top w:val="single" w:sz="6" w:space="0" w:color="000000"/>
              <w:left w:val="single" w:sz="6" w:space="0" w:color="000000"/>
            </w:tcBorders>
          </w:tcPr>
          <w:p w14:paraId="37C7888C" w14:textId="77777777" w:rsidR="00AC6F3C" w:rsidRDefault="00570E88">
            <w:pPr>
              <w:pStyle w:val="TableParagraph"/>
              <w:spacing w:before="40"/>
              <w:ind w:left="37"/>
              <w:rPr>
                <w:sz w:val="18"/>
              </w:rPr>
            </w:pPr>
            <w:r>
              <w:rPr>
                <w:sz w:val="18"/>
              </w:rPr>
              <w:t>Current</w:t>
            </w:r>
            <w:r>
              <w:rPr>
                <w:spacing w:val="3"/>
                <w:sz w:val="18"/>
              </w:rPr>
              <w:t xml:space="preserve"> </w:t>
            </w:r>
            <w:r>
              <w:rPr>
                <w:sz w:val="18"/>
              </w:rPr>
              <w:t>insurance</w:t>
            </w:r>
            <w:r>
              <w:rPr>
                <w:spacing w:val="18"/>
                <w:sz w:val="18"/>
              </w:rPr>
              <w:t xml:space="preserve"> </w:t>
            </w:r>
            <w:r>
              <w:rPr>
                <w:sz w:val="18"/>
              </w:rPr>
              <w:t>contract</w:t>
            </w:r>
            <w:r>
              <w:rPr>
                <w:spacing w:val="3"/>
                <w:sz w:val="18"/>
              </w:rPr>
              <w:t xml:space="preserve"> </w:t>
            </w:r>
            <w:r>
              <w:rPr>
                <w:sz w:val="18"/>
              </w:rPr>
              <w:t>liabilities</w:t>
            </w:r>
            <w:r>
              <w:rPr>
                <w:spacing w:val="31"/>
                <w:sz w:val="18"/>
              </w:rPr>
              <w:t xml:space="preserve"> </w:t>
            </w:r>
            <w:r>
              <w:rPr>
                <w:spacing w:val="-2"/>
                <w:sz w:val="18"/>
              </w:rPr>
              <w:t>ceded</w:t>
            </w:r>
          </w:p>
        </w:tc>
        <w:tc>
          <w:tcPr>
            <w:tcW w:w="1139" w:type="dxa"/>
            <w:tcBorders>
              <w:top w:val="single" w:sz="6" w:space="0" w:color="000000"/>
            </w:tcBorders>
            <w:shd w:val="clear" w:color="auto" w:fill="F1F1F1"/>
          </w:tcPr>
          <w:p w14:paraId="7CCE2B63" w14:textId="77777777" w:rsidR="00AC6F3C" w:rsidRDefault="00570E88">
            <w:pPr>
              <w:pStyle w:val="TableParagraph"/>
              <w:spacing w:before="40"/>
              <w:ind w:right="31"/>
              <w:jc w:val="right"/>
              <w:rPr>
                <w:sz w:val="18"/>
              </w:rPr>
            </w:pPr>
            <w:r>
              <w:rPr>
                <w:spacing w:val="-2"/>
                <w:sz w:val="18"/>
              </w:rPr>
              <w:t>(549)</w:t>
            </w:r>
          </w:p>
        </w:tc>
        <w:tc>
          <w:tcPr>
            <w:tcW w:w="1109" w:type="dxa"/>
            <w:tcBorders>
              <w:top w:val="single" w:sz="6" w:space="0" w:color="000000"/>
            </w:tcBorders>
          </w:tcPr>
          <w:p w14:paraId="0C636E94" w14:textId="77777777" w:rsidR="00AC6F3C" w:rsidRDefault="00570E88">
            <w:pPr>
              <w:pStyle w:val="TableParagraph"/>
              <w:spacing w:before="40"/>
              <w:ind w:right="17"/>
              <w:jc w:val="right"/>
              <w:rPr>
                <w:sz w:val="18"/>
              </w:rPr>
            </w:pPr>
            <w:r>
              <w:rPr>
                <w:spacing w:val="-2"/>
                <w:sz w:val="18"/>
              </w:rPr>
              <w:t>(214)</w:t>
            </w:r>
          </w:p>
        </w:tc>
        <w:tc>
          <w:tcPr>
            <w:tcW w:w="1139" w:type="dxa"/>
            <w:tcBorders>
              <w:top w:val="single" w:sz="6" w:space="0" w:color="000000"/>
            </w:tcBorders>
            <w:shd w:val="clear" w:color="auto" w:fill="F1F1F1"/>
          </w:tcPr>
          <w:p w14:paraId="5D95CFBF" w14:textId="77777777" w:rsidR="00AC6F3C" w:rsidRDefault="00570E88">
            <w:pPr>
              <w:pStyle w:val="TableParagraph"/>
              <w:spacing w:before="40"/>
              <w:ind w:right="37"/>
              <w:jc w:val="right"/>
              <w:rPr>
                <w:b/>
                <w:sz w:val="18"/>
              </w:rPr>
            </w:pPr>
            <w:r>
              <w:rPr>
                <w:b/>
                <w:w w:val="99"/>
                <w:sz w:val="18"/>
              </w:rPr>
              <w:t>-</w:t>
            </w:r>
          </w:p>
        </w:tc>
        <w:tc>
          <w:tcPr>
            <w:tcW w:w="1117" w:type="dxa"/>
            <w:tcBorders>
              <w:top w:val="single" w:sz="6" w:space="0" w:color="000000"/>
              <w:right w:val="single" w:sz="6" w:space="0" w:color="000000"/>
            </w:tcBorders>
          </w:tcPr>
          <w:p w14:paraId="574FC420" w14:textId="77777777" w:rsidR="00AC6F3C" w:rsidRDefault="00570E88">
            <w:pPr>
              <w:pStyle w:val="TableParagraph"/>
              <w:spacing w:before="40"/>
              <w:ind w:right="23"/>
              <w:jc w:val="right"/>
              <w:rPr>
                <w:sz w:val="18"/>
              </w:rPr>
            </w:pPr>
            <w:r>
              <w:rPr>
                <w:w w:val="99"/>
                <w:sz w:val="18"/>
              </w:rPr>
              <w:t>-</w:t>
            </w:r>
          </w:p>
        </w:tc>
      </w:tr>
      <w:tr w:rsidR="00AC6F3C" w14:paraId="0927AEA3" w14:textId="77777777">
        <w:trPr>
          <w:trHeight w:val="286"/>
        </w:trPr>
        <w:tc>
          <w:tcPr>
            <w:tcW w:w="3843" w:type="dxa"/>
            <w:tcBorders>
              <w:left w:val="single" w:sz="6" w:space="0" w:color="000000"/>
              <w:bottom w:val="single" w:sz="6" w:space="0" w:color="000000"/>
            </w:tcBorders>
          </w:tcPr>
          <w:p w14:paraId="408D8B89" w14:textId="77777777" w:rsidR="00AC6F3C" w:rsidRDefault="00570E88">
            <w:pPr>
              <w:pStyle w:val="TableParagraph"/>
              <w:spacing w:before="43"/>
              <w:ind w:left="37"/>
              <w:rPr>
                <w:sz w:val="18"/>
              </w:rPr>
            </w:pPr>
            <w:r>
              <w:rPr>
                <w:sz w:val="18"/>
              </w:rPr>
              <w:t>Non-current</w:t>
            </w:r>
            <w:r>
              <w:rPr>
                <w:spacing w:val="2"/>
                <w:sz w:val="18"/>
              </w:rPr>
              <w:t xml:space="preserve"> </w:t>
            </w:r>
            <w:r>
              <w:rPr>
                <w:sz w:val="18"/>
              </w:rPr>
              <w:t>contract</w:t>
            </w:r>
            <w:r>
              <w:rPr>
                <w:spacing w:val="2"/>
                <w:sz w:val="18"/>
              </w:rPr>
              <w:t xml:space="preserve"> </w:t>
            </w:r>
            <w:r>
              <w:rPr>
                <w:sz w:val="18"/>
              </w:rPr>
              <w:t>liabilities</w:t>
            </w:r>
            <w:r>
              <w:rPr>
                <w:spacing w:val="29"/>
                <w:sz w:val="18"/>
              </w:rPr>
              <w:t xml:space="preserve"> </w:t>
            </w:r>
            <w:r>
              <w:rPr>
                <w:spacing w:val="-2"/>
                <w:sz w:val="18"/>
              </w:rPr>
              <w:t>ceded</w:t>
            </w:r>
          </w:p>
        </w:tc>
        <w:tc>
          <w:tcPr>
            <w:tcW w:w="1139" w:type="dxa"/>
            <w:tcBorders>
              <w:bottom w:val="single" w:sz="6" w:space="0" w:color="000000"/>
            </w:tcBorders>
            <w:shd w:val="clear" w:color="auto" w:fill="F1F1F1"/>
          </w:tcPr>
          <w:p w14:paraId="112ED96B" w14:textId="77777777" w:rsidR="00AC6F3C" w:rsidRDefault="00570E88">
            <w:pPr>
              <w:pStyle w:val="TableParagraph"/>
              <w:spacing w:before="43"/>
              <w:ind w:right="31"/>
              <w:jc w:val="right"/>
              <w:rPr>
                <w:sz w:val="18"/>
              </w:rPr>
            </w:pPr>
            <w:r>
              <w:rPr>
                <w:spacing w:val="-2"/>
                <w:sz w:val="18"/>
              </w:rPr>
              <w:t>(9,315)</w:t>
            </w:r>
          </w:p>
        </w:tc>
        <w:tc>
          <w:tcPr>
            <w:tcW w:w="1109" w:type="dxa"/>
            <w:tcBorders>
              <w:bottom w:val="single" w:sz="6" w:space="0" w:color="000000"/>
            </w:tcBorders>
          </w:tcPr>
          <w:p w14:paraId="4D579EC2" w14:textId="77777777" w:rsidR="00AC6F3C" w:rsidRDefault="00570E88">
            <w:pPr>
              <w:pStyle w:val="TableParagraph"/>
              <w:spacing w:before="43"/>
              <w:ind w:right="17"/>
              <w:jc w:val="right"/>
              <w:rPr>
                <w:sz w:val="18"/>
              </w:rPr>
            </w:pPr>
            <w:r>
              <w:rPr>
                <w:spacing w:val="-2"/>
                <w:sz w:val="18"/>
              </w:rPr>
              <w:t>(459)</w:t>
            </w:r>
          </w:p>
        </w:tc>
        <w:tc>
          <w:tcPr>
            <w:tcW w:w="1139" w:type="dxa"/>
            <w:tcBorders>
              <w:bottom w:val="single" w:sz="6" w:space="0" w:color="000000"/>
            </w:tcBorders>
            <w:shd w:val="clear" w:color="auto" w:fill="F1F1F1"/>
          </w:tcPr>
          <w:p w14:paraId="35725DDB" w14:textId="77777777" w:rsidR="00AC6F3C" w:rsidRDefault="00570E88">
            <w:pPr>
              <w:pStyle w:val="TableParagraph"/>
              <w:spacing w:before="43"/>
              <w:ind w:right="37"/>
              <w:jc w:val="right"/>
              <w:rPr>
                <w:b/>
                <w:sz w:val="18"/>
              </w:rPr>
            </w:pPr>
            <w:r>
              <w:rPr>
                <w:b/>
                <w:w w:val="99"/>
                <w:sz w:val="18"/>
              </w:rPr>
              <w:t>-</w:t>
            </w:r>
          </w:p>
        </w:tc>
        <w:tc>
          <w:tcPr>
            <w:tcW w:w="1117" w:type="dxa"/>
            <w:tcBorders>
              <w:bottom w:val="single" w:sz="6" w:space="0" w:color="000000"/>
              <w:right w:val="single" w:sz="6" w:space="0" w:color="000000"/>
            </w:tcBorders>
          </w:tcPr>
          <w:p w14:paraId="7F876B2E" w14:textId="77777777" w:rsidR="00AC6F3C" w:rsidRDefault="00570E88">
            <w:pPr>
              <w:pStyle w:val="TableParagraph"/>
              <w:spacing w:before="43"/>
              <w:ind w:right="23"/>
              <w:jc w:val="right"/>
              <w:rPr>
                <w:b/>
                <w:sz w:val="18"/>
              </w:rPr>
            </w:pPr>
            <w:r>
              <w:rPr>
                <w:b/>
                <w:w w:val="99"/>
                <w:sz w:val="18"/>
              </w:rPr>
              <w:t>-</w:t>
            </w:r>
          </w:p>
        </w:tc>
      </w:tr>
      <w:tr w:rsidR="00AC6F3C" w14:paraId="5DD66123" w14:textId="77777777">
        <w:trPr>
          <w:trHeight w:val="284"/>
        </w:trPr>
        <w:tc>
          <w:tcPr>
            <w:tcW w:w="3843" w:type="dxa"/>
            <w:tcBorders>
              <w:top w:val="single" w:sz="6" w:space="0" w:color="000000"/>
              <w:left w:val="single" w:sz="6" w:space="0" w:color="000000"/>
              <w:bottom w:val="single" w:sz="6" w:space="0" w:color="000000"/>
            </w:tcBorders>
          </w:tcPr>
          <w:p w14:paraId="52635E7B" w14:textId="77777777" w:rsidR="00AC6F3C" w:rsidRDefault="00570E88">
            <w:pPr>
              <w:pStyle w:val="TableParagraph"/>
              <w:spacing w:before="40"/>
              <w:ind w:left="37"/>
              <w:rPr>
                <w:sz w:val="18"/>
              </w:rPr>
            </w:pPr>
            <w:r>
              <w:rPr>
                <w:sz w:val="18"/>
              </w:rPr>
              <w:t>Insurance</w:t>
            </w:r>
            <w:r>
              <w:rPr>
                <w:spacing w:val="15"/>
                <w:sz w:val="18"/>
              </w:rPr>
              <w:t xml:space="preserve"> </w:t>
            </w:r>
            <w:r>
              <w:rPr>
                <w:sz w:val="18"/>
              </w:rPr>
              <w:t>contract</w:t>
            </w:r>
            <w:r>
              <w:rPr>
                <w:spacing w:val="2"/>
                <w:sz w:val="18"/>
              </w:rPr>
              <w:t xml:space="preserve"> </w:t>
            </w:r>
            <w:r>
              <w:rPr>
                <w:sz w:val="18"/>
              </w:rPr>
              <w:t>liabilities</w:t>
            </w:r>
            <w:r>
              <w:rPr>
                <w:spacing w:val="28"/>
                <w:sz w:val="18"/>
              </w:rPr>
              <w:t xml:space="preserve"> </w:t>
            </w:r>
            <w:r>
              <w:rPr>
                <w:spacing w:val="-2"/>
                <w:sz w:val="18"/>
              </w:rPr>
              <w:t>ceded</w:t>
            </w:r>
          </w:p>
        </w:tc>
        <w:tc>
          <w:tcPr>
            <w:tcW w:w="1139" w:type="dxa"/>
            <w:tcBorders>
              <w:top w:val="single" w:sz="6" w:space="0" w:color="000000"/>
              <w:bottom w:val="single" w:sz="6" w:space="0" w:color="000000"/>
            </w:tcBorders>
            <w:shd w:val="clear" w:color="auto" w:fill="F1F1F1"/>
          </w:tcPr>
          <w:p w14:paraId="492C8886" w14:textId="77777777" w:rsidR="00AC6F3C" w:rsidRDefault="00570E88">
            <w:pPr>
              <w:pStyle w:val="TableParagraph"/>
              <w:spacing w:before="40"/>
              <w:ind w:right="31"/>
              <w:jc w:val="right"/>
              <w:rPr>
                <w:sz w:val="18"/>
              </w:rPr>
            </w:pPr>
            <w:r>
              <w:rPr>
                <w:spacing w:val="-2"/>
                <w:sz w:val="18"/>
              </w:rPr>
              <w:t>(9,865)</w:t>
            </w:r>
          </w:p>
        </w:tc>
        <w:tc>
          <w:tcPr>
            <w:tcW w:w="1109" w:type="dxa"/>
            <w:tcBorders>
              <w:top w:val="single" w:sz="6" w:space="0" w:color="000000"/>
              <w:bottom w:val="single" w:sz="6" w:space="0" w:color="000000"/>
            </w:tcBorders>
          </w:tcPr>
          <w:p w14:paraId="4C7E4F7A" w14:textId="77777777" w:rsidR="00AC6F3C" w:rsidRDefault="00570E88">
            <w:pPr>
              <w:pStyle w:val="TableParagraph"/>
              <w:spacing w:before="40"/>
              <w:ind w:right="17"/>
              <w:jc w:val="right"/>
              <w:rPr>
                <w:sz w:val="18"/>
              </w:rPr>
            </w:pPr>
            <w:r>
              <w:rPr>
                <w:spacing w:val="-2"/>
                <w:sz w:val="18"/>
              </w:rPr>
              <w:t>(673)</w:t>
            </w:r>
          </w:p>
        </w:tc>
        <w:tc>
          <w:tcPr>
            <w:tcW w:w="1139" w:type="dxa"/>
            <w:tcBorders>
              <w:top w:val="single" w:sz="6" w:space="0" w:color="000000"/>
              <w:bottom w:val="single" w:sz="6" w:space="0" w:color="000000"/>
            </w:tcBorders>
            <w:shd w:val="clear" w:color="auto" w:fill="F1F1F1"/>
          </w:tcPr>
          <w:p w14:paraId="24BBCA26" w14:textId="77777777" w:rsidR="00AC6F3C" w:rsidRDefault="00570E88">
            <w:pPr>
              <w:pStyle w:val="TableParagraph"/>
              <w:spacing w:before="40"/>
              <w:ind w:right="37"/>
              <w:jc w:val="right"/>
              <w:rPr>
                <w:b/>
                <w:sz w:val="18"/>
              </w:rPr>
            </w:pPr>
            <w:r>
              <w:rPr>
                <w:b/>
                <w:w w:val="99"/>
                <w:sz w:val="18"/>
              </w:rPr>
              <w:t>-</w:t>
            </w:r>
          </w:p>
        </w:tc>
        <w:tc>
          <w:tcPr>
            <w:tcW w:w="1117" w:type="dxa"/>
            <w:tcBorders>
              <w:top w:val="single" w:sz="6" w:space="0" w:color="000000"/>
              <w:bottom w:val="single" w:sz="6" w:space="0" w:color="000000"/>
              <w:right w:val="single" w:sz="6" w:space="0" w:color="000000"/>
            </w:tcBorders>
          </w:tcPr>
          <w:p w14:paraId="5346CA94" w14:textId="77777777" w:rsidR="00AC6F3C" w:rsidRDefault="00570E88">
            <w:pPr>
              <w:pStyle w:val="TableParagraph"/>
              <w:spacing w:before="40"/>
              <w:ind w:right="23"/>
              <w:jc w:val="right"/>
              <w:rPr>
                <w:b/>
                <w:sz w:val="18"/>
              </w:rPr>
            </w:pPr>
            <w:r>
              <w:rPr>
                <w:b/>
                <w:w w:val="99"/>
                <w:sz w:val="18"/>
              </w:rPr>
              <w:t>-</w:t>
            </w:r>
          </w:p>
        </w:tc>
      </w:tr>
      <w:tr w:rsidR="00AC6F3C" w14:paraId="0735E0D3" w14:textId="77777777">
        <w:trPr>
          <w:trHeight w:val="311"/>
        </w:trPr>
        <w:tc>
          <w:tcPr>
            <w:tcW w:w="3843" w:type="dxa"/>
            <w:tcBorders>
              <w:top w:val="single" w:sz="6" w:space="0" w:color="000000"/>
              <w:left w:val="single" w:sz="6" w:space="0" w:color="000000"/>
            </w:tcBorders>
          </w:tcPr>
          <w:p w14:paraId="04595F99" w14:textId="77777777" w:rsidR="00AC6F3C" w:rsidRDefault="00570E88">
            <w:pPr>
              <w:pStyle w:val="TableParagraph"/>
              <w:spacing w:before="70"/>
              <w:ind w:left="37"/>
              <w:rPr>
                <w:sz w:val="18"/>
              </w:rPr>
            </w:pPr>
            <w:r>
              <w:rPr>
                <w:sz w:val="18"/>
              </w:rPr>
              <w:t>Current</w:t>
            </w:r>
            <w:r>
              <w:rPr>
                <w:spacing w:val="-1"/>
                <w:sz w:val="18"/>
              </w:rPr>
              <w:t xml:space="preserve"> </w:t>
            </w:r>
            <w:r>
              <w:rPr>
                <w:sz w:val="18"/>
              </w:rPr>
              <w:t>provision</w:t>
            </w:r>
            <w:r>
              <w:rPr>
                <w:spacing w:val="12"/>
                <w:sz w:val="18"/>
              </w:rPr>
              <w:t xml:space="preserve"> </w:t>
            </w:r>
            <w:r>
              <w:rPr>
                <w:sz w:val="18"/>
              </w:rPr>
              <w:t>for</w:t>
            </w:r>
            <w:r>
              <w:rPr>
                <w:spacing w:val="5"/>
                <w:sz w:val="18"/>
              </w:rPr>
              <w:t xml:space="preserve"> </w:t>
            </w:r>
            <w:r>
              <w:rPr>
                <w:sz w:val="18"/>
              </w:rPr>
              <w:t>outstanding</w:t>
            </w:r>
            <w:r>
              <w:rPr>
                <w:spacing w:val="12"/>
                <w:sz w:val="18"/>
              </w:rPr>
              <w:t xml:space="preserve"> </w:t>
            </w:r>
            <w:r>
              <w:rPr>
                <w:spacing w:val="-2"/>
                <w:sz w:val="18"/>
              </w:rPr>
              <w:t>claims</w:t>
            </w:r>
          </w:p>
        </w:tc>
        <w:tc>
          <w:tcPr>
            <w:tcW w:w="1139" w:type="dxa"/>
            <w:tcBorders>
              <w:top w:val="single" w:sz="6" w:space="0" w:color="000000"/>
            </w:tcBorders>
            <w:shd w:val="clear" w:color="auto" w:fill="F1F1F1"/>
          </w:tcPr>
          <w:p w14:paraId="73B528ED" w14:textId="77777777" w:rsidR="00AC6F3C" w:rsidRDefault="00570E88">
            <w:pPr>
              <w:pStyle w:val="TableParagraph"/>
              <w:spacing w:before="70"/>
              <w:ind w:right="36"/>
              <w:jc w:val="right"/>
              <w:rPr>
                <w:sz w:val="18"/>
              </w:rPr>
            </w:pPr>
            <w:r>
              <w:rPr>
                <w:spacing w:val="-2"/>
                <w:sz w:val="18"/>
              </w:rPr>
              <w:t>16,745</w:t>
            </w:r>
          </w:p>
        </w:tc>
        <w:tc>
          <w:tcPr>
            <w:tcW w:w="1109" w:type="dxa"/>
            <w:tcBorders>
              <w:top w:val="single" w:sz="6" w:space="0" w:color="000000"/>
            </w:tcBorders>
          </w:tcPr>
          <w:p w14:paraId="07EFFCB8" w14:textId="77777777" w:rsidR="00AC6F3C" w:rsidRDefault="00570E88">
            <w:pPr>
              <w:pStyle w:val="TableParagraph"/>
              <w:spacing w:before="70"/>
              <w:ind w:right="22"/>
              <w:jc w:val="right"/>
              <w:rPr>
                <w:sz w:val="18"/>
              </w:rPr>
            </w:pPr>
            <w:r>
              <w:rPr>
                <w:spacing w:val="-2"/>
                <w:sz w:val="18"/>
              </w:rPr>
              <w:t>15,086</w:t>
            </w:r>
          </w:p>
        </w:tc>
        <w:tc>
          <w:tcPr>
            <w:tcW w:w="1139" w:type="dxa"/>
            <w:tcBorders>
              <w:top w:val="single" w:sz="6" w:space="0" w:color="000000"/>
            </w:tcBorders>
            <w:shd w:val="clear" w:color="auto" w:fill="F1F1F1"/>
          </w:tcPr>
          <w:p w14:paraId="1CBED29F" w14:textId="77777777" w:rsidR="00AC6F3C" w:rsidRDefault="00570E88">
            <w:pPr>
              <w:pStyle w:val="TableParagraph"/>
              <w:spacing w:before="70"/>
              <w:ind w:right="37"/>
              <w:jc w:val="right"/>
              <w:rPr>
                <w:b/>
                <w:sz w:val="18"/>
              </w:rPr>
            </w:pPr>
            <w:r>
              <w:rPr>
                <w:b/>
                <w:w w:val="99"/>
                <w:sz w:val="18"/>
              </w:rPr>
              <w:t>-</w:t>
            </w:r>
          </w:p>
        </w:tc>
        <w:tc>
          <w:tcPr>
            <w:tcW w:w="1117" w:type="dxa"/>
            <w:tcBorders>
              <w:top w:val="single" w:sz="6" w:space="0" w:color="000000"/>
              <w:right w:val="single" w:sz="6" w:space="0" w:color="000000"/>
            </w:tcBorders>
          </w:tcPr>
          <w:p w14:paraId="5FA2E4F1" w14:textId="77777777" w:rsidR="00AC6F3C" w:rsidRDefault="00570E88">
            <w:pPr>
              <w:pStyle w:val="TableParagraph"/>
              <w:spacing w:before="70"/>
              <w:ind w:right="23"/>
              <w:jc w:val="right"/>
              <w:rPr>
                <w:b/>
                <w:sz w:val="18"/>
              </w:rPr>
            </w:pPr>
            <w:r>
              <w:rPr>
                <w:b/>
                <w:w w:val="99"/>
                <w:sz w:val="18"/>
              </w:rPr>
              <w:t>-</w:t>
            </w:r>
          </w:p>
        </w:tc>
      </w:tr>
      <w:tr w:rsidR="00AC6F3C" w14:paraId="7177D12F" w14:textId="77777777">
        <w:trPr>
          <w:trHeight w:val="271"/>
        </w:trPr>
        <w:tc>
          <w:tcPr>
            <w:tcW w:w="3843" w:type="dxa"/>
            <w:tcBorders>
              <w:left w:val="single" w:sz="6" w:space="0" w:color="000000"/>
              <w:bottom w:val="single" w:sz="6" w:space="0" w:color="000000"/>
            </w:tcBorders>
          </w:tcPr>
          <w:p w14:paraId="38FEA803" w14:textId="77777777" w:rsidR="00AC6F3C" w:rsidRDefault="00570E88">
            <w:pPr>
              <w:pStyle w:val="TableParagraph"/>
              <w:spacing w:before="28"/>
              <w:ind w:left="37"/>
              <w:rPr>
                <w:sz w:val="18"/>
              </w:rPr>
            </w:pPr>
            <w:r>
              <w:rPr>
                <w:sz w:val="18"/>
              </w:rPr>
              <w:t>Non-current</w:t>
            </w:r>
            <w:r>
              <w:rPr>
                <w:spacing w:val="-1"/>
                <w:sz w:val="18"/>
              </w:rPr>
              <w:t xml:space="preserve"> </w:t>
            </w:r>
            <w:r>
              <w:rPr>
                <w:sz w:val="18"/>
              </w:rPr>
              <w:t>provision</w:t>
            </w:r>
            <w:r>
              <w:rPr>
                <w:spacing w:val="13"/>
                <w:sz w:val="18"/>
              </w:rPr>
              <w:t xml:space="preserve"> </w:t>
            </w:r>
            <w:r>
              <w:rPr>
                <w:sz w:val="18"/>
              </w:rPr>
              <w:t>for</w:t>
            </w:r>
            <w:r>
              <w:rPr>
                <w:spacing w:val="8"/>
                <w:sz w:val="18"/>
              </w:rPr>
              <w:t xml:space="preserve"> </w:t>
            </w:r>
            <w:r>
              <w:rPr>
                <w:sz w:val="18"/>
              </w:rPr>
              <w:t>outstanding</w:t>
            </w:r>
            <w:r>
              <w:rPr>
                <w:spacing w:val="12"/>
                <w:sz w:val="18"/>
              </w:rPr>
              <w:t xml:space="preserve"> </w:t>
            </w:r>
            <w:r>
              <w:rPr>
                <w:spacing w:val="-2"/>
                <w:sz w:val="18"/>
              </w:rPr>
              <w:t>claims</w:t>
            </w:r>
          </w:p>
        </w:tc>
        <w:tc>
          <w:tcPr>
            <w:tcW w:w="1139" w:type="dxa"/>
            <w:tcBorders>
              <w:bottom w:val="single" w:sz="6" w:space="0" w:color="000000"/>
            </w:tcBorders>
            <w:shd w:val="clear" w:color="auto" w:fill="F1F1F1"/>
          </w:tcPr>
          <w:p w14:paraId="1C805F1F" w14:textId="77777777" w:rsidR="00AC6F3C" w:rsidRDefault="00570E88">
            <w:pPr>
              <w:pStyle w:val="TableParagraph"/>
              <w:spacing w:before="28"/>
              <w:ind w:right="36"/>
              <w:jc w:val="right"/>
              <w:rPr>
                <w:sz w:val="18"/>
              </w:rPr>
            </w:pPr>
            <w:r>
              <w:rPr>
                <w:spacing w:val="-2"/>
                <w:sz w:val="18"/>
              </w:rPr>
              <w:t>69,431</w:t>
            </w:r>
          </w:p>
        </w:tc>
        <w:tc>
          <w:tcPr>
            <w:tcW w:w="1109" w:type="dxa"/>
            <w:tcBorders>
              <w:bottom w:val="single" w:sz="6" w:space="0" w:color="000000"/>
            </w:tcBorders>
          </w:tcPr>
          <w:p w14:paraId="03CDEE8C" w14:textId="77777777" w:rsidR="00AC6F3C" w:rsidRDefault="00570E88">
            <w:pPr>
              <w:pStyle w:val="TableParagraph"/>
              <w:spacing w:before="28"/>
              <w:ind w:right="22"/>
              <w:jc w:val="right"/>
              <w:rPr>
                <w:sz w:val="18"/>
              </w:rPr>
            </w:pPr>
            <w:r>
              <w:rPr>
                <w:spacing w:val="-2"/>
                <w:sz w:val="18"/>
              </w:rPr>
              <w:t>57,456</w:t>
            </w:r>
          </w:p>
        </w:tc>
        <w:tc>
          <w:tcPr>
            <w:tcW w:w="1139" w:type="dxa"/>
            <w:tcBorders>
              <w:bottom w:val="single" w:sz="6" w:space="0" w:color="000000"/>
            </w:tcBorders>
            <w:shd w:val="clear" w:color="auto" w:fill="F1F1F1"/>
          </w:tcPr>
          <w:p w14:paraId="0E4532E0" w14:textId="77777777" w:rsidR="00AC6F3C" w:rsidRDefault="00570E88">
            <w:pPr>
              <w:pStyle w:val="TableParagraph"/>
              <w:spacing w:before="28"/>
              <w:ind w:right="37"/>
              <w:jc w:val="right"/>
              <w:rPr>
                <w:b/>
                <w:sz w:val="18"/>
              </w:rPr>
            </w:pPr>
            <w:r>
              <w:rPr>
                <w:b/>
                <w:w w:val="99"/>
                <w:sz w:val="18"/>
              </w:rPr>
              <w:t>-</w:t>
            </w:r>
          </w:p>
        </w:tc>
        <w:tc>
          <w:tcPr>
            <w:tcW w:w="1117" w:type="dxa"/>
            <w:tcBorders>
              <w:bottom w:val="single" w:sz="6" w:space="0" w:color="000000"/>
              <w:right w:val="single" w:sz="6" w:space="0" w:color="000000"/>
            </w:tcBorders>
          </w:tcPr>
          <w:p w14:paraId="0FBD6FD4" w14:textId="77777777" w:rsidR="00AC6F3C" w:rsidRDefault="00570E88">
            <w:pPr>
              <w:pStyle w:val="TableParagraph"/>
              <w:spacing w:before="28"/>
              <w:ind w:right="23"/>
              <w:jc w:val="right"/>
              <w:rPr>
                <w:b/>
                <w:sz w:val="18"/>
              </w:rPr>
            </w:pPr>
            <w:r>
              <w:rPr>
                <w:b/>
                <w:w w:val="99"/>
                <w:sz w:val="18"/>
              </w:rPr>
              <w:t>-</w:t>
            </w:r>
          </w:p>
        </w:tc>
      </w:tr>
      <w:tr w:rsidR="00AC6F3C" w14:paraId="4DBD0207" w14:textId="77777777">
        <w:trPr>
          <w:trHeight w:val="284"/>
        </w:trPr>
        <w:tc>
          <w:tcPr>
            <w:tcW w:w="3843" w:type="dxa"/>
            <w:tcBorders>
              <w:top w:val="single" w:sz="6" w:space="0" w:color="000000"/>
              <w:left w:val="single" w:sz="6" w:space="0" w:color="000000"/>
              <w:bottom w:val="single" w:sz="6" w:space="0" w:color="000000"/>
            </w:tcBorders>
          </w:tcPr>
          <w:p w14:paraId="1CA0E89E" w14:textId="77777777" w:rsidR="00AC6F3C" w:rsidRDefault="00570E88">
            <w:pPr>
              <w:pStyle w:val="TableParagraph"/>
              <w:spacing w:before="40"/>
              <w:ind w:left="37"/>
              <w:rPr>
                <w:sz w:val="18"/>
              </w:rPr>
            </w:pPr>
            <w:r>
              <w:rPr>
                <w:sz w:val="18"/>
              </w:rPr>
              <w:t>Provision</w:t>
            </w:r>
            <w:r>
              <w:rPr>
                <w:spacing w:val="9"/>
                <w:sz w:val="18"/>
              </w:rPr>
              <w:t xml:space="preserve"> </w:t>
            </w:r>
            <w:r>
              <w:rPr>
                <w:sz w:val="18"/>
              </w:rPr>
              <w:t>for</w:t>
            </w:r>
            <w:r>
              <w:rPr>
                <w:spacing w:val="5"/>
                <w:sz w:val="18"/>
              </w:rPr>
              <w:t xml:space="preserve"> </w:t>
            </w:r>
            <w:r>
              <w:rPr>
                <w:sz w:val="18"/>
              </w:rPr>
              <w:t>outstanding</w:t>
            </w:r>
            <w:r>
              <w:rPr>
                <w:spacing w:val="10"/>
                <w:sz w:val="18"/>
              </w:rPr>
              <w:t xml:space="preserve"> </w:t>
            </w:r>
            <w:r>
              <w:rPr>
                <w:spacing w:val="-2"/>
                <w:sz w:val="18"/>
              </w:rPr>
              <w:t>claims</w:t>
            </w:r>
          </w:p>
        </w:tc>
        <w:tc>
          <w:tcPr>
            <w:tcW w:w="1139" w:type="dxa"/>
            <w:tcBorders>
              <w:top w:val="single" w:sz="6" w:space="0" w:color="000000"/>
              <w:bottom w:val="single" w:sz="6" w:space="0" w:color="000000"/>
            </w:tcBorders>
            <w:shd w:val="clear" w:color="auto" w:fill="F1F1F1"/>
          </w:tcPr>
          <w:p w14:paraId="6408C8A4" w14:textId="77777777" w:rsidR="00AC6F3C" w:rsidRDefault="00570E88">
            <w:pPr>
              <w:pStyle w:val="TableParagraph"/>
              <w:spacing w:before="40"/>
              <w:ind w:right="36"/>
              <w:jc w:val="right"/>
              <w:rPr>
                <w:sz w:val="18"/>
              </w:rPr>
            </w:pPr>
            <w:r>
              <w:rPr>
                <w:spacing w:val="-2"/>
                <w:sz w:val="18"/>
              </w:rPr>
              <w:t>86,176</w:t>
            </w:r>
          </w:p>
        </w:tc>
        <w:tc>
          <w:tcPr>
            <w:tcW w:w="1109" w:type="dxa"/>
            <w:tcBorders>
              <w:top w:val="single" w:sz="6" w:space="0" w:color="000000"/>
              <w:bottom w:val="single" w:sz="6" w:space="0" w:color="000000"/>
            </w:tcBorders>
          </w:tcPr>
          <w:p w14:paraId="40063437" w14:textId="77777777" w:rsidR="00AC6F3C" w:rsidRDefault="00570E88">
            <w:pPr>
              <w:pStyle w:val="TableParagraph"/>
              <w:spacing w:before="40"/>
              <w:ind w:right="22"/>
              <w:jc w:val="right"/>
              <w:rPr>
                <w:sz w:val="18"/>
              </w:rPr>
            </w:pPr>
            <w:r>
              <w:rPr>
                <w:spacing w:val="-2"/>
                <w:sz w:val="18"/>
              </w:rPr>
              <w:t>72,542</w:t>
            </w:r>
          </w:p>
        </w:tc>
        <w:tc>
          <w:tcPr>
            <w:tcW w:w="1139" w:type="dxa"/>
            <w:tcBorders>
              <w:top w:val="single" w:sz="6" w:space="0" w:color="000000"/>
              <w:bottom w:val="single" w:sz="6" w:space="0" w:color="000000"/>
            </w:tcBorders>
            <w:shd w:val="clear" w:color="auto" w:fill="F1F1F1"/>
          </w:tcPr>
          <w:p w14:paraId="490DE664" w14:textId="77777777" w:rsidR="00AC6F3C" w:rsidRDefault="00570E88">
            <w:pPr>
              <w:pStyle w:val="TableParagraph"/>
              <w:spacing w:before="40"/>
              <w:ind w:right="37"/>
              <w:jc w:val="right"/>
              <w:rPr>
                <w:b/>
                <w:sz w:val="18"/>
              </w:rPr>
            </w:pPr>
            <w:r>
              <w:rPr>
                <w:b/>
                <w:w w:val="99"/>
                <w:sz w:val="18"/>
              </w:rPr>
              <w:t>-</w:t>
            </w:r>
          </w:p>
        </w:tc>
        <w:tc>
          <w:tcPr>
            <w:tcW w:w="1117" w:type="dxa"/>
            <w:tcBorders>
              <w:top w:val="single" w:sz="6" w:space="0" w:color="000000"/>
              <w:bottom w:val="single" w:sz="6" w:space="0" w:color="000000"/>
              <w:right w:val="single" w:sz="6" w:space="0" w:color="000000"/>
            </w:tcBorders>
          </w:tcPr>
          <w:p w14:paraId="354C5DF3" w14:textId="77777777" w:rsidR="00AC6F3C" w:rsidRDefault="00570E88">
            <w:pPr>
              <w:pStyle w:val="TableParagraph"/>
              <w:spacing w:before="40"/>
              <w:ind w:right="23"/>
              <w:jc w:val="right"/>
              <w:rPr>
                <w:sz w:val="18"/>
              </w:rPr>
            </w:pPr>
            <w:r>
              <w:rPr>
                <w:w w:val="99"/>
                <w:sz w:val="18"/>
              </w:rPr>
              <w:t>-</w:t>
            </w:r>
          </w:p>
        </w:tc>
      </w:tr>
      <w:tr w:rsidR="00AC6F3C" w14:paraId="6E889950"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67039CB5" w14:textId="77777777" w:rsidR="00AC6F3C" w:rsidRDefault="00570E88">
            <w:pPr>
              <w:pStyle w:val="TableParagraph"/>
              <w:spacing w:before="40"/>
              <w:ind w:left="37"/>
              <w:rPr>
                <w:b/>
                <w:sz w:val="18"/>
              </w:rPr>
            </w:pPr>
            <w:r>
              <w:rPr>
                <w:b/>
                <w:sz w:val="18"/>
              </w:rPr>
              <w:t>Net</w:t>
            </w:r>
            <w:r>
              <w:rPr>
                <w:b/>
                <w:spacing w:val="-13"/>
                <w:sz w:val="18"/>
              </w:rPr>
              <w:t xml:space="preserve"> </w:t>
            </w:r>
            <w:r>
              <w:rPr>
                <w:b/>
                <w:sz w:val="18"/>
              </w:rPr>
              <w:t>claims</w:t>
            </w:r>
            <w:r>
              <w:rPr>
                <w:b/>
                <w:spacing w:val="-9"/>
                <w:sz w:val="18"/>
              </w:rPr>
              <w:t xml:space="preserve"> </w:t>
            </w:r>
            <w:r>
              <w:rPr>
                <w:b/>
                <w:spacing w:val="-2"/>
                <w:sz w:val="18"/>
              </w:rPr>
              <w:t>outstanding</w:t>
            </w:r>
          </w:p>
        </w:tc>
        <w:tc>
          <w:tcPr>
            <w:tcW w:w="1139" w:type="dxa"/>
            <w:tcBorders>
              <w:top w:val="single" w:sz="6" w:space="0" w:color="000000"/>
              <w:bottom w:val="single" w:sz="6" w:space="0" w:color="000000"/>
            </w:tcBorders>
            <w:shd w:val="clear" w:color="auto" w:fill="BEBEBE"/>
          </w:tcPr>
          <w:p w14:paraId="109FC79D" w14:textId="77777777" w:rsidR="00AC6F3C" w:rsidRDefault="00570E88">
            <w:pPr>
              <w:pStyle w:val="TableParagraph"/>
              <w:spacing w:before="40"/>
              <w:ind w:right="36"/>
              <w:jc w:val="right"/>
              <w:rPr>
                <w:b/>
                <w:sz w:val="18"/>
              </w:rPr>
            </w:pPr>
            <w:r>
              <w:rPr>
                <w:b/>
                <w:spacing w:val="-2"/>
                <w:sz w:val="18"/>
              </w:rPr>
              <w:t>76,311</w:t>
            </w:r>
          </w:p>
        </w:tc>
        <w:tc>
          <w:tcPr>
            <w:tcW w:w="1109" w:type="dxa"/>
            <w:tcBorders>
              <w:top w:val="single" w:sz="6" w:space="0" w:color="000000"/>
              <w:bottom w:val="single" w:sz="6" w:space="0" w:color="000000"/>
            </w:tcBorders>
            <w:shd w:val="clear" w:color="auto" w:fill="BEBEBE"/>
          </w:tcPr>
          <w:p w14:paraId="5CB98F2D" w14:textId="77777777" w:rsidR="00AC6F3C" w:rsidRDefault="00570E88">
            <w:pPr>
              <w:pStyle w:val="TableParagraph"/>
              <w:spacing w:before="40"/>
              <w:ind w:right="22"/>
              <w:jc w:val="right"/>
              <w:rPr>
                <w:b/>
                <w:sz w:val="18"/>
              </w:rPr>
            </w:pPr>
            <w:r>
              <w:rPr>
                <w:b/>
                <w:spacing w:val="-2"/>
                <w:sz w:val="18"/>
              </w:rPr>
              <w:t>71,869</w:t>
            </w:r>
          </w:p>
        </w:tc>
        <w:tc>
          <w:tcPr>
            <w:tcW w:w="1139" w:type="dxa"/>
            <w:tcBorders>
              <w:top w:val="single" w:sz="6" w:space="0" w:color="000000"/>
              <w:bottom w:val="single" w:sz="6" w:space="0" w:color="000000"/>
            </w:tcBorders>
            <w:shd w:val="clear" w:color="auto" w:fill="BEBEBE"/>
          </w:tcPr>
          <w:p w14:paraId="55B69394" w14:textId="77777777" w:rsidR="00AC6F3C" w:rsidRDefault="00570E88">
            <w:pPr>
              <w:pStyle w:val="TableParagraph"/>
              <w:spacing w:before="40"/>
              <w:ind w:right="37"/>
              <w:jc w:val="right"/>
              <w:rPr>
                <w:b/>
                <w:sz w:val="18"/>
              </w:rPr>
            </w:pPr>
            <w:r>
              <w:rPr>
                <w:b/>
                <w:w w:val="99"/>
                <w:sz w:val="18"/>
              </w:rPr>
              <w:t>-</w:t>
            </w:r>
          </w:p>
        </w:tc>
        <w:tc>
          <w:tcPr>
            <w:tcW w:w="1117" w:type="dxa"/>
            <w:tcBorders>
              <w:top w:val="single" w:sz="6" w:space="0" w:color="000000"/>
              <w:bottom w:val="single" w:sz="6" w:space="0" w:color="000000"/>
              <w:right w:val="single" w:sz="6" w:space="0" w:color="000000"/>
            </w:tcBorders>
            <w:shd w:val="clear" w:color="auto" w:fill="BEBEBE"/>
          </w:tcPr>
          <w:p w14:paraId="584873A0" w14:textId="77777777" w:rsidR="00AC6F3C" w:rsidRDefault="00570E88">
            <w:pPr>
              <w:pStyle w:val="TableParagraph"/>
              <w:spacing w:before="40"/>
              <w:ind w:right="23"/>
              <w:jc w:val="right"/>
              <w:rPr>
                <w:b/>
                <w:sz w:val="18"/>
              </w:rPr>
            </w:pPr>
            <w:r>
              <w:rPr>
                <w:b/>
                <w:w w:val="99"/>
                <w:sz w:val="18"/>
              </w:rPr>
              <w:t>-</w:t>
            </w:r>
          </w:p>
        </w:tc>
      </w:tr>
    </w:tbl>
    <w:p w14:paraId="096E8A40" w14:textId="77777777" w:rsidR="00AC6F3C" w:rsidRDefault="00AC6F3C">
      <w:pPr>
        <w:jc w:val="right"/>
        <w:rPr>
          <w:sz w:val="18"/>
        </w:rPr>
        <w:sectPr w:rsidR="00AC6F3C">
          <w:pgSz w:w="11910" w:h="16840"/>
          <w:pgMar w:top="2020" w:right="1160" w:bottom="520" w:left="460" w:header="1228" w:footer="336" w:gutter="0"/>
          <w:cols w:space="720"/>
        </w:sectPr>
      </w:pPr>
    </w:p>
    <w:p w14:paraId="70BA7A36" w14:textId="77777777" w:rsidR="00AC6F3C" w:rsidRDefault="00AC6F3C">
      <w:pPr>
        <w:pStyle w:val="BodyText"/>
      </w:pPr>
    </w:p>
    <w:p w14:paraId="3CEF55F7" w14:textId="77777777" w:rsidR="00AC6F3C" w:rsidRDefault="00570E88">
      <w:pPr>
        <w:tabs>
          <w:tab w:val="left" w:pos="1666"/>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44C1B162" w14:textId="77777777" w:rsidR="00AC6F3C" w:rsidRDefault="00570E88">
      <w:pPr>
        <w:pStyle w:val="Heading7"/>
        <w:tabs>
          <w:tab w:val="left" w:pos="1680"/>
        </w:tabs>
      </w:pPr>
      <w:r>
        <w:rPr>
          <w:spacing w:val="-2"/>
        </w:rPr>
        <w:t>C8-</w:t>
      </w:r>
      <w:r>
        <w:rPr>
          <w:spacing w:val="-10"/>
        </w:rPr>
        <w:t>2</w:t>
      </w:r>
      <w:r>
        <w:tab/>
        <w:t>INSURANCE</w:t>
      </w:r>
      <w:r>
        <w:rPr>
          <w:spacing w:val="-5"/>
        </w:rPr>
        <w:t xml:space="preserve"> </w:t>
      </w:r>
      <w:r>
        <w:t>LIABILITIES</w:t>
      </w:r>
      <w:r>
        <w:rPr>
          <w:spacing w:val="-5"/>
        </w:rPr>
        <w:t xml:space="preserve"> </w:t>
      </w:r>
      <w:r>
        <w:rPr>
          <w:spacing w:val="-2"/>
        </w:rPr>
        <w:t>(continued)</w:t>
      </w:r>
    </w:p>
    <w:p w14:paraId="55BECF79" w14:textId="77777777" w:rsidR="00AC6F3C" w:rsidRDefault="00AC6F3C">
      <w:pPr>
        <w:pStyle w:val="BodyText"/>
        <w:spacing w:before="8"/>
        <w:rPr>
          <w:b/>
        </w:rPr>
      </w:pPr>
    </w:p>
    <w:p w14:paraId="142A2AC1" w14:textId="77777777" w:rsidR="00AC6F3C" w:rsidRDefault="00570E88">
      <w:pPr>
        <w:tabs>
          <w:tab w:val="left" w:pos="1423"/>
        </w:tabs>
        <w:spacing w:before="1"/>
        <w:ind w:left="958"/>
        <w:rPr>
          <w:b/>
          <w:sz w:val="20"/>
        </w:rPr>
      </w:pPr>
      <w:r>
        <w:rPr>
          <w:b/>
          <w:spacing w:val="-5"/>
          <w:sz w:val="20"/>
        </w:rPr>
        <w:t>(a)</w:t>
      </w:r>
      <w:r>
        <w:rPr>
          <w:b/>
          <w:sz w:val="20"/>
        </w:rPr>
        <w:tab/>
        <w:t>Provision</w:t>
      </w:r>
      <w:r>
        <w:rPr>
          <w:b/>
          <w:spacing w:val="-10"/>
          <w:sz w:val="20"/>
        </w:rPr>
        <w:t xml:space="preserve"> </w:t>
      </w:r>
      <w:r>
        <w:rPr>
          <w:b/>
          <w:sz w:val="20"/>
        </w:rPr>
        <w:t>for</w:t>
      </w:r>
      <w:r>
        <w:rPr>
          <w:b/>
          <w:spacing w:val="-8"/>
          <w:sz w:val="20"/>
        </w:rPr>
        <w:t xml:space="preserve"> </w:t>
      </w:r>
      <w:r>
        <w:rPr>
          <w:b/>
          <w:sz w:val="20"/>
        </w:rPr>
        <w:t>outstanding</w:t>
      </w:r>
      <w:r>
        <w:rPr>
          <w:b/>
          <w:spacing w:val="-9"/>
          <w:sz w:val="20"/>
        </w:rPr>
        <w:t xml:space="preserve"> </w:t>
      </w:r>
      <w:r>
        <w:rPr>
          <w:b/>
          <w:sz w:val="20"/>
        </w:rPr>
        <w:t>claims</w:t>
      </w:r>
      <w:r>
        <w:rPr>
          <w:b/>
          <w:spacing w:val="-8"/>
          <w:sz w:val="20"/>
        </w:rPr>
        <w:t xml:space="preserve"> </w:t>
      </w:r>
      <w:r>
        <w:rPr>
          <w:b/>
          <w:spacing w:val="-2"/>
          <w:sz w:val="20"/>
        </w:rPr>
        <w:t>(continued)</w:t>
      </w:r>
    </w:p>
    <w:p w14:paraId="30B6E0C4" w14:textId="77777777" w:rsidR="00AC6F3C" w:rsidRDefault="00AC6F3C">
      <w:pPr>
        <w:pStyle w:val="BodyText"/>
        <w:spacing w:before="9"/>
        <w:rPr>
          <w:b/>
        </w:rPr>
      </w:pPr>
    </w:p>
    <w:p w14:paraId="72D990F2" w14:textId="77777777" w:rsidR="00AC6F3C" w:rsidRDefault="00570E88">
      <w:pPr>
        <w:spacing w:before="1" w:line="518" w:lineRule="auto"/>
        <w:ind w:left="958" w:right="5978"/>
        <w:rPr>
          <w:b/>
          <w:sz w:val="18"/>
        </w:rPr>
      </w:pPr>
      <w:r>
        <w:rPr>
          <w:b/>
          <w:sz w:val="18"/>
        </w:rPr>
        <w:t>Outstanding</w:t>
      </w:r>
      <w:r>
        <w:rPr>
          <w:b/>
          <w:spacing w:val="-15"/>
          <w:sz w:val="18"/>
        </w:rPr>
        <w:t xml:space="preserve"> </w:t>
      </w:r>
      <w:r>
        <w:rPr>
          <w:b/>
          <w:sz w:val="18"/>
        </w:rPr>
        <w:t>claims</w:t>
      </w:r>
      <w:r>
        <w:rPr>
          <w:b/>
          <w:spacing w:val="-12"/>
          <w:sz w:val="18"/>
        </w:rPr>
        <w:t xml:space="preserve"> </w:t>
      </w:r>
      <w:r>
        <w:rPr>
          <w:b/>
          <w:sz w:val="18"/>
        </w:rPr>
        <w:t>(continued) Maturity analysis</w:t>
      </w:r>
    </w:p>
    <w:tbl>
      <w:tblPr>
        <w:tblW w:w="0" w:type="auto"/>
        <w:tblInd w:w="972" w:type="dxa"/>
        <w:tblLayout w:type="fixed"/>
        <w:tblCellMar>
          <w:left w:w="0" w:type="dxa"/>
          <w:right w:w="0" w:type="dxa"/>
        </w:tblCellMar>
        <w:tblLook w:val="01E0" w:firstRow="1" w:lastRow="1" w:firstColumn="1" w:lastColumn="1" w:noHBand="0" w:noVBand="0"/>
      </w:tblPr>
      <w:tblGrid>
        <w:gridCol w:w="3843"/>
        <w:gridCol w:w="1364"/>
        <w:gridCol w:w="1050"/>
        <w:gridCol w:w="1147"/>
        <w:gridCol w:w="945"/>
      </w:tblGrid>
      <w:tr w:rsidR="00AC6F3C" w14:paraId="5FDE9508" w14:textId="77777777">
        <w:trPr>
          <w:trHeight w:val="883"/>
        </w:trPr>
        <w:tc>
          <w:tcPr>
            <w:tcW w:w="3843" w:type="dxa"/>
            <w:tcBorders>
              <w:top w:val="single" w:sz="6" w:space="0" w:color="000000"/>
              <w:left w:val="single" w:sz="6" w:space="0" w:color="000000"/>
              <w:bottom w:val="single" w:sz="6" w:space="0" w:color="000000"/>
            </w:tcBorders>
            <w:shd w:val="clear" w:color="auto" w:fill="BEBEBE"/>
          </w:tcPr>
          <w:p w14:paraId="1F9A9AA3" w14:textId="77777777" w:rsidR="00AC6F3C" w:rsidRDefault="00AC6F3C">
            <w:pPr>
              <w:pStyle w:val="TableParagraph"/>
              <w:rPr>
                <w:b/>
                <w:sz w:val="20"/>
              </w:rPr>
            </w:pPr>
          </w:p>
          <w:p w14:paraId="092B2979" w14:textId="77777777" w:rsidR="00AC6F3C" w:rsidRDefault="00AC6F3C">
            <w:pPr>
              <w:pStyle w:val="TableParagraph"/>
              <w:rPr>
                <w:b/>
                <w:sz w:val="20"/>
              </w:rPr>
            </w:pPr>
          </w:p>
          <w:p w14:paraId="57E2BAA8" w14:textId="77777777" w:rsidR="00AC6F3C" w:rsidRDefault="00AC6F3C">
            <w:pPr>
              <w:pStyle w:val="TableParagraph"/>
              <w:spacing w:before="2"/>
              <w:rPr>
                <w:b/>
                <w:sz w:val="18"/>
              </w:rPr>
            </w:pPr>
          </w:p>
          <w:p w14:paraId="301FA59C" w14:textId="77777777" w:rsidR="00AC6F3C" w:rsidRDefault="00570E88">
            <w:pPr>
              <w:pStyle w:val="TableParagraph"/>
              <w:spacing w:before="1" w:line="194" w:lineRule="exact"/>
              <w:ind w:left="37"/>
              <w:rPr>
                <w:b/>
                <w:sz w:val="18"/>
              </w:rPr>
            </w:pPr>
            <w:r>
              <w:rPr>
                <w:b/>
                <w:spacing w:val="-4"/>
                <w:sz w:val="18"/>
              </w:rPr>
              <w:t>2023</w:t>
            </w:r>
          </w:p>
        </w:tc>
        <w:tc>
          <w:tcPr>
            <w:tcW w:w="1364" w:type="dxa"/>
            <w:tcBorders>
              <w:top w:val="single" w:sz="6" w:space="0" w:color="000000"/>
              <w:bottom w:val="single" w:sz="6" w:space="0" w:color="000000"/>
            </w:tcBorders>
            <w:shd w:val="clear" w:color="auto" w:fill="BEBEBE"/>
          </w:tcPr>
          <w:p w14:paraId="49211EB3" w14:textId="77777777" w:rsidR="00AC6F3C" w:rsidRDefault="00570E88">
            <w:pPr>
              <w:pStyle w:val="TableParagraph"/>
              <w:spacing w:before="41"/>
              <w:ind w:right="261"/>
              <w:jc w:val="right"/>
              <w:rPr>
                <w:b/>
                <w:sz w:val="18"/>
              </w:rPr>
            </w:pPr>
            <w:r>
              <w:rPr>
                <w:b/>
                <w:sz w:val="18"/>
              </w:rPr>
              <w:t>&lt;1</w:t>
            </w:r>
            <w:r>
              <w:rPr>
                <w:b/>
                <w:spacing w:val="-5"/>
                <w:sz w:val="18"/>
              </w:rPr>
              <w:t xml:space="preserve"> </w:t>
            </w:r>
            <w:r>
              <w:rPr>
                <w:b/>
                <w:spacing w:val="-4"/>
                <w:sz w:val="18"/>
              </w:rPr>
              <w:t>year</w:t>
            </w:r>
          </w:p>
          <w:p w14:paraId="16A38861" w14:textId="77777777" w:rsidR="00AC6F3C" w:rsidRDefault="00AC6F3C">
            <w:pPr>
              <w:pStyle w:val="TableParagraph"/>
              <w:rPr>
                <w:b/>
                <w:sz w:val="20"/>
              </w:rPr>
            </w:pPr>
          </w:p>
          <w:p w14:paraId="1AB3B26E" w14:textId="77777777" w:rsidR="00AC6F3C" w:rsidRDefault="00570E88">
            <w:pPr>
              <w:pStyle w:val="TableParagraph"/>
              <w:spacing w:before="162"/>
              <w:ind w:right="261"/>
              <w:jc w:val="right"/>
              <w:rPr>
                <w:b/>
                <w:sz w:val="18"/>
              </w:rPr>
            </w:pPr>
            <w:r>
              <w:rPr>
                <w:b/>
                <w:spacing w:val="-2"/>
                <w:sz w:val="18"/>
              </w:rPr>
              <w:t>$’000</w:t>
            </w:r>
          </w:p>
        </w:tc>
        <w:tc>
          <w:tcPr>
            <w:tcW w:w="1050" w:type="dxa"/>
            <w:tcBorders>
              <w:top w:val="single" w:sz="6" w:space="0" w:color="000000"/>
              <w:bottom w:val="single" w:sz="6" w:space="0" w:color="000000"/>
            </w:tcBorders>
            <w:shd w:val="clear" w:color="auto" w:fill="BEBEBE"/>
          </w:tcPr>
          <w:p w14:paraId="7AD0DA7B" w14:textId="77777777" w:rsidR="00AC6F3C" w:rsidRDefault="00570E88">
            <w:pPr>
              <w:pStyle w:val="TableParagraph"/>
              <w:spacing w:before="41" w:line="348" w:lineRule="auto"/>
              <w:ind w:left="380" w:right="189" w:firstLine="15"/>
              <w:rPr>
                <w:b/>
                <w:sz w:val="18"/>
              </w:rPr>
            </w:pPr>
            <w:r>
              <w:rPr>
                <w:b/>
                <w:sz w:val="18"/>
              </w:rPr>
              <w:t>1</w:t>
            </w:r>
            <w:r>
              <w:rPr>
                <w:b/>
                <w:spacing w:val="-15"/>
                <w:sz w:val="18"/>
              </w:rPr>
              <w:t xml:space="preserve"> </w:t>
            </w:r>
            <w:r>
              <w:rPr>
                <w:b/>
                <w:sz w:val="18"/>
              </w:rPr>
              <w:t>to</w:t>
            </w:r>
            <w:r>
              <w:rPr>
                <w:b/>
                <w:spacing w:val="-12"/>
                <w:sz w:val="18"/>
              </w:rPr>
              <w:t xml:space="preserve"> </w:t>
            </w:r>
            <w:r>
              <w:rPr>
                <w:b/>
                <w:sz w:val="18"/>
              </w:rPr>
              <w:t xml:space="preserve">5 </w:t>
            </w:r>
            <w:r>
              <w:rPr>
                <w:b/>
                <w:spacing w:val="-2"/>
                <w:sz w:val="18"/>
              </w:rPr>
              <w:t>years</w:t>
            </w:r>
          </w:p>
          <w:p w14:paraId="395AAD8D" w14:textId="77777777" w:rsidR="00AC6F3C" w:rsidRDefault="00570E88">
            <w:pPr>
              <w:pStyle w:val="TableParagraph"/>
              <w:spacing w:line="206" w:lineRule="exact"/>
              <w:ind w:left="395"/>
              <w:rPr>
                <w:b/>
                <w:sz w:val="18"/>
              </w:rPr>
            </w:pPr>
            <w:r>
              <w:rPr>
                <w:b/>
                <w:spacing w:val="-2"/>
                <w:sz w:val="18"/>
              </w:rPr>
              <w:t>$’000</w:t>
            </w:r>
          </w:p>
        </w:tc>
        <w:tc>
          <w:tcPr>
            <w:tcW w:w="1147" w:type="dxa"/>
            <w:tcBorders>
              <w:top w:val="single" w:sz="6" w:space="0" w:color="000000"/>
              <w:bottom w:val="single" w:sz="6" w:space="0" w:color="000000"/>
            </w:tcBorders>
            <w:shd w:val="clear" w:color="auto" w:fill="BEBEBE"/>
          </w:tcPr>
          <w:p w14:paraId="66C0C047" w14:textId="77777777" w:rsidR="00AC6F3C" w:rsidRDefault="00570E88">
            <w:pPr>
              <w:pStyle w:val="TableParagraph"/>
              <w:spacing w:before="71"/>
              <w:ind w:left="199"/>
              <w:rPr>
                <w:b/>
                <w:sz w:val="18"/>
              </w:rPr>
            </w:pPr>
            <w:r>
              <w:rPr>
                <w:b/>
                <w:sz w:val="18"/>
              </w:rPr>
              <w:t>&gt;5</w:t>
            </w:r>
            <w:r>
              <w:rPr>
                <w:b/>
                <w:spacing w:val="-5"/>
                <w:sz w:val="18"/>
              </w:rPr>
              <w:t xml:space="preserve"> </w:t>
            </w:r>
            <w:r>
              <w:rPr>
                <w:b/>
                <w:spacing w:val="-2"/>
                <w:sz w:val="18"/>
              </w:rPr>
              <w:t>years</w:t>
            </w:r>
          </w:p>
          <w:p w14:paraId="0B9D5DA1" w14:textId="77777777" w:rsidR="00AC6F3C" w:rsidRDefault="00AC6F3C">
            <w:pPr>
              <w:pStyle w:val="TableParagraph"/>
              <w:rPr>
                <w:b/>
                <w:sz w:val="20"/>
              </w:rPr>
            </w:pPr>
          </w:p>
          <w:p w14:paraId="2F1DAA4D" w14:textId="77777777" w:rsidR="00AC6F3C" w:rsidRDefault="00570E88">
            <w:pPr>
              <w:pStyle w:val="TableParagraph"/>
              <w:spacing w:before="162" w:line="194" w:lineRule="exact"/>
              <w:ind w:left="469"/>
              <w:rPr>
                <w:b/>
                <w:sz w:val="18"/>
              </w:rPr>
            </w:pPr>
            <w:r>
              <w:rPr>
                <w:b/>
                <w:spacing w:val="-2"/>
                <w:sz w:val="18"/>
              </w:rPr>
              <w:t>$’000</w:t>
            </w:r>
          </w:p>
        </w:tc>
        <w:tc>
          <w:tcPr>
            <w:tcW w:w="945" w:type="dxa"/>
            <w:tcBorders>
              <w:top w:val="single" w:sz="6" w:space="0" w:color="000000"/>
              <w:bottom w:val="single" w:sz="6" w:space="0" w:color="000000"/>
              <w:right w:val="single" w:sz="6" w:space="0" w:color="000000"/>
            </w:tcBorders>
            <w:shd w:val="clear" w:color="auto" w:fill="BEBEBE"/>
          </w:tcPr>
          <w:p w14:paraId="201B2A62" w14:textId="77777777" w:rsidR="00AC6F3C" w:rsidRDefault="00570E88">
            <w:pPr>
              <w:pStyle w:val="TableParagraph"/>
              <w:spacing w:before="41"/>
              <w:ind w:left="490"/>
              <w:rPr>
                <w:b/>
                <w:sz w:val="18"/>
              </w:rPr>
            </w:pPr>
            <w:r>
              <w:rPr>
                <w:b/>
                <w:spacing w:val="-2"/>
                <w:sz w:val="18"/>
              </w:rPr>
              <w:t>Total</w:t>
            </w:r>
          </w:p>
          <w:p w14:paraId="4D35C658" w14:textId="77777777" w:rsidR="00AC6F3C" w:rsidRDefault="00AC6F3C">
            <w:pPr>
              <w:pStyle w:val="TableParagraph"/>
              <w:rPr>
                <w:b/>
                <w:sz w:val="20"/>
              </w:rPr>
            </w:pPr>
          </w:p>
          <w:p w14:paraId="23070885" w14:textId="77777777" w:rsidR="00AC6F3C" w:rsidRDefault="00570E88">
            <w:pPr>
              <w:pStyle w:val="TableParagraph"/>
              <w:spacing w:before="162"/>
              <w:ind w:left="445"/>
              <w:rPr>
                <w:b/>
                <w:sz w:val="18"/>
              </w:rPr>
            </w:pPr>
            <w:r>
              <w:rPr>
                <w:b/>
                <w:spacing w:val="-2"/>
                <w:sz w:val="18"/>
              </w:rPr>
              <w:t>$’000</w:t>
            </w:r>
          </w:p>
        </w:tc>
      </w:tr>
      <w:tr w:rsidR="00AC6F3C" w14:paraId="546F5484" w14:textId="77777777">
        <w:trPr>
          <w:trHeight w:val="297"/>
        </w:trPr>
        <w:tc>
          <w:tcPr>
            <w:tcW w:w="3843" w:type="dxa"/>
            <w:tcBorders>
              <w:top w:val="single" w:sz="6" w:space="0" w:color="000000"/>
              <w:left w:val="single" w:sz="6" w:space="0" w:color="000000"/>
            </w:tcBorders>
          </w:tcPr>
          <w:p w14:paraId="79082F04" w14:textId="77777777" w:rsidR="00AC6F3C" w:rsidRDefault="00570E88">
            <w:pPr>
              <w:pStyle w:val="TableParagraph"/>
              <w:spacing w:before="41"/>
              <w:ind w:left="37"/>
              <w:rPr>
                <w:sz w:val="18"/>
              </w:rPr>
            </w:pPr>
            <w:r>
              <w:rPr>
                <w:sz w:val="18"/>
              </w:rPr>
              <w:t>Gross</w:t>
            </w:r>
            <w:r>
              <w:rPr>
                <w:spacing w:val="14"/>
                <w:sz w:val="18"/>
              </w:rPr>
              <w:t xml:space="preserve"> </w:t>
            </w:r>
            <w:r>
              <w:rPr>
                <w:sz w:val="18"/>
              </w:rPr>
              <w:t>central</w:t>
            </w:r>
            <w:r>
              <w:rPr>
                <w:spacing w:val="3"/>
                <w:sz w:val="18"/>
              </w:rPr>
              <w:t xml:space="preserve"> </w:t>
            </w:r>
            <w:r>
              <w:rPr>
                <w:spacing w:val="-2"/>
                <w:sz w:val="18"/>
              </w:rPr>
              <w:t>estimate</w:t>
            </w:r>
          </w:p>
        </w:tc>
        <w:tc>
          <w:tcPr>
            <w:tcW w:w="1364" w:type="dxa"/>
            <w:tcBorders>
              <w:top w:val="single" w:sz="6" w:space="0" w:color="000000"/>
            </w:tcBorders>
            <w:shd w:val="clear" w:color="auto" w:fill="F1F1F1"/>
          </w:tcPr>
          <w:p w14:paraId="4A00A7DC" w14:textId="77777777" w:rsidR="00AC6F3C" w:rsidRDefault="00570E88">
            <w:pPr>
              <w:pStyle w:val="TableParagraph"/>
              <w:spacing w:before="41"/>
              <w:ind w:right="261"/>
              <w:jc w:val="right"/>
              <w:rPr>
                <w:sz w:val="18"/>
              </w:rPr>
            </w:pPr>
            <w:r>
              <w:rPr>
                <w:spacing w:val="-2"/>
                <w:sz w:val="18"/>
              </w:rPr>
              <w:t>16,745</w:t>
            </w:r>
          </w:p>
        </w:tc>
        <w:tc>
          <w:tcPr>
            <w:tcW w:w="1050" w:type="dxa"/>
            <w:tcBorders>
              <w:top w:val="single" w:sz="6" w:space="0" w:color="000000"/>
            </w:tcBorders>
            <w:shd w:val="clear" w:color="auto" w:fill="F1F1F1"/>
          </w:tcPr>
          <w:p w14:paraId="1634830F" w14:textId="77777777" w:rsidR="00AC6F3C" w:rsidRDefault="00570E88">
            <w:pPr>
              <w:pStyle w:val="TableParagraph"/>
              <w:spacing w:before="41"/>
              <w:ind w:right="188"/>
              <w:jc w:val="right"/>
              <w:rPr>
                <w:sz w:val="18"/>
              </w:rPr>
            </w:pPr>
            <w:r>
              <w:rPr>
                <w:spacing w:val="-2"/>
                <w:sz w:val="18"/>
              </w:rPr>
              <w:t>39,820</w:t>
            </w:r>
          </w:p>
        </w:tc>
        <w:tc>
          <w:tcPr>
            <w:tcW w:w="1147" w:type="dxa"/>
            <w:tcBorders>
              <w:top w:val="single" w:sz="6" w:space="0" w:color="000000"/>
            </w:tcBorders>
            <w:shd w:val="clear" w:color="auto" w:fill="F1F1F1"/>
          </w:tcPr>
          <w:p w14:paraId="77948BA5" w14:textId="77777777" w:rsidR="00AC6F3C" w:rsidRDefault="00570E88">
            <w:pPr>
              <w:pStyle w:val="TableParagraph"/>
              <w:spacing w:before="41"/>
              <w:ind w:right="211"/>
              <w:jc w:val="right"/>
              <w:rPr>
                <w:sz w:val="18"/>
              </w:rPr>
            </w:pPr>
            <w:r>
              <w:rPr>
                <w:spacing w:val="-2"/>
                <w:sz w:val="18"/>
              </w:rPr>
              <w:t>8,903</w:t>
            </w:r>
          </w:p>
        </w:tc>
        <w:tc>
          <w:tcPr>
            <w:tcW w:w="945" w:type="dxa"/>
            <w:tcBorders>
              <w:top w:val="single" w:sz="6" w:space="0" w:color="000000"/>
              <w:right w:val="single" w:sz="6" w:space="0" w:color="000000"/>
            </w:tcBorders>
            <w:shd w:val="clear" w:color="auto" w:fill="F1F1F1"/>
          </w:tcPr>
          <w:p w14:paraId="18BE37CC" w14:textId="77777777" w:rsidR="00AC6F3C" w:rsidRDefault="00570E88">
            <w:pPr>
              <w:pStyle w:val="TableParagraph"/>
              <w:spacing w:before="41"/>
              <w:ind w:right="25"/>
              <w:jc w:val="right"/>
              <w:rPr>
                <w:sz w:val="18"/>
              </w:rPr>
            </w:pPr>
            <w:r>
              <w:rPr>
                <w:spacing w:val="-2"/>
                <w:sz w:val="18"/>
              </w:rPr>
              <w:t>65,468</w:t>
            </w:r>
          </w:p>
        </w:tc>
      </w:tr>
      <w:tr w:rsidR="00AC6F3C" w14:paraId="2534B3C3" w14:textId="77777777">
        <w:trPr>
          <w:trHeight w:val="286"/>
        </w:trPr>
        <w:tc>
          <w:tcPr>
            <w:tcW w:w="3843" w:type="dxa"/>
            <w:tcBorders>
              <w:left w:val="single" w:sz="6" w:space="0" w:color="000000"/>
              <w:bottom w:val="single" w:sz="6" w:space="0" w:color="000000"/>
            </w:tcBorders>
          </w:tcPr>
          <w:p w14:paraId="4E0A29C3" w14:textId="77777777" w:rsidR="00AC6F3C" w:rsidRDefault="00570E88">
            <w:pPr>
              <w:pStyle w:val="TableParagraph"/>
              <w:spacing w:before="43"/>
              <w:ind w:left="37"/>
              <w:rPr>
                <w:sz w:val="18"/>
              </w:rPr>
            </w:pPr>
            <w:r>
              <w:rPr>
                <w:sz w:val="18"/>
              </w:rPr>
              <w:t>Reinsurance</w:t>
            </w:r>
            <w:r>
              <w:rPr>
                <w:spacing w:val="32"/>
                <w:sz w:val="18"/>
              </w:rPr>
              <w:t xml:space="preserve"> </w:t>
            </w:r>
            <w:r>
              <w:rPr>
                <w:spacing w:val="-2"/>
                <w:sz w:val="18"/>
              </w:rPr>
              <w:t>recoveries</w:t>
            </w:r>
          </w:p>
        </w:tc>
        <w:tc>
          <w:tcPr>
            <w:tcW w:w="1364" w:type="dxa"/>
            <w:tcBorders>
              <w:bottom w:val="single" w:sz="6" w:space="0" w:color="000000"/>
            </w:tcBorders>
            <w:shd w:val="clear" w:color="auto" w:fill="F1F1F1"/>
          </w:tcPr>
          <w:p w14:paraId="76F10790" w14:textId="77777777" w:rsidR="00AC6F3C" w:rsidRDefault="00570E88">
            <w:pPr>
              <w:pStyle w:val="TableParagraph"/>
              <w:spacing w:before="43"/>
              <w:ind w:right="256"/>
              <w:jc w:val="right"/>
              <w:rPr>
                <w:sz w:val="18"/>
              </w:rPr>
            </w:pPr>
            <w:r>
              <w:rPr>
                <w:spacing w:val="-2"/>
                <w:sz w:val="18"/>
              </w:rPr>
              <w:t>(549)</w:t>
            </w:r>
          </w:p>
        </w:tc>
        <w:tc>
          <w:tcPr>
            <w:tcW w:w="1050" w:type="dxa"/>
            <w:tcBorders>
              <w:bottom w:val="single" w:sz="6" w:space="0" w:color="000000"/>
            </w:tcBorders>
            <w:shd w:val="clear" w:color="auto" w:fill="F1F1F1"/>
          </w:tcPr>
          <w:p w14:paraId="17BC0478" w14:textId="77777777" w:rsidR="00AC6F3C" w:rsidRDefault="00570E88">
            <w:pPr>
              <w:pStyle w:val="TableParagraph"/>
              <w:spacing w:before="43"/>
              <w:ind w:right="183"/>
              <w:jc w:val="right"/>
              <w:rPr>
                <w:sz w:val="18"/>
              </w:rPr>
            </w:pPr>
            <w:r>
              <w:rPr>
                <w:spacing w:val="-2"/>
                <w:sz w:val="18"/>
              </w:rPr>
              <w:t>(8,147)</w:t>
            </w:r>
          </w:p>
        </w:tc>
        <w:tc>
          <w:tcPr>
            <w:tcW w:w="1147" w:type="dxa"/>
            <w:tcBorders>
              <w:bottom w:val="single" w:sz="6" w:space="0" w:color="000000"/>
            </w:tcBorders>
            <w:shd w:val="clear" w:color="auto" w:fill="F1F1F1"/>
          </w:tcPr>
          <w:p w14:paraId="23042B77" w14:textId="77777777" w:rsidR="00AC6F3C" w:rsidRDefault="00570E88">
            <w:pPr>
              <w:pStyle w:val="TableParagraph"/>
              <w:spacing w:before="43"/>
              <w:ind w:right="206"/>
              <w:jc w:val="right"/>
              <w:rPr>
                <w:sz w:val="18"/>
              </w:rPr>
            </w:pPr>
            <w:r>
              <w:rPr>
                <w:spacing w:val="-2"/>
                <w:sz w:val="18"/>
              </w:rPr>
              <w:t>(2,661)</w:t>
            </w:r>
          </w:p>
        </w:tc>
        <w:tc>
          <w:tcPr>
            <w:tcW w:w="945" w:type="dxa"/>
            <w:tcBorders>
              <w:bottom w:val="single" w:sz="6" w:space="0" w:color="000000"/>
              <w:right w:val="single" w:sz="6" w:space="0" w:color="000000"/>
            </w:tcBorders>
            <w:shd w:val="clear" w:color="auto" w:fill="F1F1F1"/>
          </w:tcPr>
          <w:p w14:paraId="72042CB9" w14:textId="77777777" w:rsidR="00AC6F3C" w:rsidRDefault="00570E88">
            <w:pPr>
              <w:pStyle w:val="TableParagraph"/>
              <w:spacing w:before="43"/>
              <w:ind w:right="20"/>
              <w:jc w:val="right"/>
              <w:rPr>
                <w:sz w:val="18"/>
              </w:rPr>
            </w:pPr>
            <w:r>
              <w:rPr>
                <w:spacing w:val="-2"/>
                <w:sz w:val="18"/>
              </w:rPr>
              <w:t>(11,357)</w:t>
            </w:r>
          </w:p>
        </w:tc>
      </w:tr>
      <w:tr w:rsidR="00AC6F3C" w14:paraId="4188CF02"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71E111BC" w14:textId="77777777" w:rsidR="00AC6F3C" w:rsidRDefault="00570E88">
            <w:pPr>
              <w:pStyle w:val="TableParagraph"/>
              <w:spacing w:before="41"/>
              <w:ind w:left="37"/>
              <w:rPr>
                <w:b/>
                <w:sz w:val="18"/>
              </w:rPr>
            </w:pPr>
            <w:r>
              <w:rPr>
                <w:b/>
                <w:sz w:val="18"/>
              </w:rPr>
              <w:t>Net</w:t>
            </w:r>
            <w:r>
              <w:rPr>
                <w:b/>
                <w:spacing w:val="-9"/>
                <w:sz w:val="18"/>
              </w:rPr>
              <w:t xml:space="preserve"> </w:t>
            </w:r>
            <w:r>
              <w:rPr>
                <w:b/>
                <w:sz w:val="18"/>
              </w:rPr>
              <w:t>central</w:t>
            </w:r>
            <w:r>
              <w:rPr>
                <w:b/>
                <w:spacing w:val="-12"/>
                <w:sz w:val="18"/>
              </w:rPr>
              <w:t xml:space="preserve"> </w:t>
            </w:r>
            <w:r>
              <w:rPr>
                <w:b/>
                <w:spacing w:val="-2"/>
                <w:sz w:val="18"/>
              </w:rPr>
              <w:t>estimate</w:t>
            </w:r>
          </w:p>
        </w:tc>
        <w:tc>
          <w:tcPr>
            <w:tcW w:w="1364" w:type="dxa"/>
            <w:tcBorders>
              <w:top w:val="single" w:sz="6" w:space="0" w:color="000000"/>
              <w:bottom w:val="single" w:sz="6" w:space="0" w:color="000000"/>
            </w:tcBorders>
            <w:shd w:val="clear" w:color="auto" w:fill="BEBEBE"/>
          </w:tcPr>
          <w:p w14:paraId="62724797" w14:textId="77777777" w:rsidR="00AC6F3C" w:rsidRDefault="00570E88">
            <w:pPr>
              <w:pStyle w:val="TableParagraph"/>
              <w:spacing w:before="41"/>
              <w:ind w:right="261"/>
              <w:jc w:val="right"/>
              <w:rPr>
                <w:b/>
                <w:sz w:val="18"/>
              </w:rPr>
            </w:pPr>
            <w:r>
              <w:rPr>
                <w:b/>
                <w:spacing w:val="-2"/>
                <w:sz w:val="18"/>
              </w:rPr>
              <w:t>16,195</w:t>
            </w:r>
          </w:p>
        </w:tc>
        <w:tc>
          <w:tcPr>
            <w:tcW w:w="1050" w:type="dxa"/>
            <w:tcBorders>
              <w:top w:val="single" w:sz="6" w:space="0" w:color="000000"/>
              <w:bottom w:val="single" w:sz="6" w:space="0" w:color="000000"/>
            </w:tcBorders>
            <w:shd w:val="clear" w:color="auto" w:fill="BEBEBE"/>
          </w:tcPr>
          <w:p w14:paraId="55315414" w14:textId="77777777" w:rsidR="00AC6F3C" w:rsidRDefault="00570E88">
            <w:pPr>
              <w:pStyle w:val="TableParagraph"/>
              <w:spacing w:before="41"/>
              <w:ind w:right="188"/>
              <w:jc w:val="right"/>
              <w:rPr>
                <w:b/>
                <w:sz w:val="18"/>
              </w:rPr>
            </w:pPr>
            <w:r>
              <w:rPr>
                <w:b/>
                <w:spacing w:val="-2"/>
                <w:sz w:val="18"/>
              </w:rPr>
              <w:t>31,673</w:t>
            </w:r>
          </w:p>
        </w:tc>
        <w:tc>
          <w:tcPr>
            <w:tcW w:w="1147" w:type="dxa"/>
            <w:tcBorders>
              <w:top w:val="single" w:sz="6" w:space="0" w:color="000000"/>
              <w:bottom w:val="single" w:sz="6" w:space="0" w:color="000000"/>
            </w:tcBorders>
            <w:shd w:val="clear" w:color="auto" w:fill="BEBEBE"/>
          </w:tcPr>
          <w:p w14:paraId="60737681" w14:textId="77777777" w:rsidR="00AC6F3C" w:rsidRDefault="00570E88">
            <w:pPr>
              <w:pStyle w:val="TableParagraph"/>
              <w:spacing w:before="41"/>
              <w:ind w:right="211"/>
              <w:jc w:val="right"/>
              <w:rPr>
                <w:b/>
                <w:sz w:val="18"/>
              </w:rPr>
            </w:pPr>
            <w:r>
              <w:rPr>
                <w:b/>
                <w:spacing w:val="-2"/>
                <w:sz w:val="18"/>
              </w:rPr>
              <w:t>6,243</w:t>
            </w:r>
          </w:p>
        </w:tc>
        <w:tc>
          <w:tcPr>
            <w:tcW w:w="945" w:type="dxa"/>
            <w:tcBorders>
              <w:top w:val="single" w:sz="6" w:space="0" w:color="000000"/>
              <w:bottom w:val="single" w:sz="6" w:space="0" w:color="000000"/>
              <w:right w:val="single" w:sz="6" w:space="0" w:color="000000"/>
            </w:tcBorders>
            <w:shd w:val="clear" w:color="auto" w:fill="BEBEBE"/>
          </w:tcPr>
          <w:p w14:paraId="48961AA4" w14:textId="77777777" w:rsidR="00AC6F3C" w:rsidRDefault="00570E88">
            <w:pPr>
              <w:pStyle w:val="TableParagraph"/>
              <w:spacing w:before="41"/>
              <w:ind w:right="25"/>
              <w:jc w:val="right"/>
              <w:rPr>
                <w:b/>
                <w:sz w:val="18"/>
              </w:rPr>
            </w:pPr>
            <w:r>
              <w:rPr>
                <w:b/>
                <w:spacing w:val="-2"/>
                <w:sz w:val="18"/>
              </w:rPr>
              <w:t>54,111</w:t>
            </w:r>
          </w:p>
        </w:tc>
      </w:tr>
      <w:tr w:rsidR="00AC6F3C" w14:paraId="538E67DE" w14:textId="77777777">
        <w:trPr>
          <w:trHeight w:val="304"/>
        </w:trPr>
        <w:tc>
          <w:tcPr>
            <w:tcW w:w="3843" w:type="dxa"/>
            <w:tcBorders>
              <w:top w:val="single" w:sz="6" w:space="0" w:color="000000"/>
              <w:left w:val="single" w:sz="6" w:space="0" w:color="000000"/>
            </w:tcBorders>
          </w:tcPr>
          <w:p w14:paraId="387A59DE" w14:textId="77777777" w:rsidR="00AC6F3C" w:rsidRDefault="00570E88">
            <w:pPr>
              <w:pStyle w:val="TableParagraph"/>
              <w:spacing w:before="70"/>
              <w:ind w:left="37"/>
              <w:rPr>
                <w:sz w:val="18"/>
              </w:rPr>
            </w:pPr>
            <w:r>
              <w:rPr>
                <w:spacing w:val="-2"/>
                <w:sz w:val="18"/>
              </w:rPr>
              <w:t>Discount</w:t>
            </w:r>
          </w:p>
        </w:tc>
        <w:tc>
          <w:tcPr>
            <w:tcW w:w="1364" w:type="dxa"/>
            <w:vMerge w:val="restart"/>
            <w:tcBorders>
              <w:top w:val="single" w:sz="6" w:space="0" w:color="000000"/>
              <w:bottom w:val="single" w:sz="6" w:space="0" w:color="000000"/>
            </w:tcBorders>
          </w:tcPr>
          <w:p w14:paraId="48D660D5" w14:textId="77777777" w:rsidR="00AC6F3C" w:rsidRDefault="00AC6F3C">
            <w:pPr>
              <w:pStyle w:val="TableParagraph"/>
              <w:rPr>
                <w:rFonts w:ascii="Times New Roman"/>
                <w:sz w:val="18"/>
              </w:rPr>
            </w:pPr>
          </w:p>
        </w:tc>
        <w:tc>
          <w:tcPr>
            <w:tcW w:w="1050" w:type="dxa"/>
            <w:vMerge w:val="restart"/>
            <w:tcBorders>
              <w:top w:val="single" w:sz="6" w:space="0" w:color="000000"/>
              <w:bottom w:val="single" w:sz="6" w:space="0" w:color="000000"/>
            </w:tcBorders>
          </w:tcPr>
          <w:p w14:paraId="634D9448" w14:textId="77777777" w:rsidR="00AC6F3C" w:rsidRDefault="00AC6F3C">
            <w:pPr>
              <w:pStyle w:val="TableParagraph"/>
              <w:rPr>
                <w:rFonts w:ascii="Times New Roman"/>
                <w:sz w:val="18"/>
              </w:rPr>
            </w:pPr>
          </w:p>
        </w:tc>
        <w:tc>
          <w:tcPr>
            <w:tcW w:w="1147" w:type="dxa"/>
            <w:vMerge w:val="restart"/>
            <w:tcBorders>
              <w:top w:val="single" w:sz="6" w:space="0" w:color="000000"/>
              <w:bottom w:val="single" w:sz="6" w:space="0" w:color="000000"/>
            </w:tcBorders>
          </w:tcPr>
          <w:p w14:paraId="323E843F" w14:textId="77777777" w:rsidR="00AC6F3C" w:rsidRDefault="00AC6F3C">
            <w:pPr>
              <w:pStyle w:val="TableParagraph"/>
              <w:rPr>
                <w:rFonts w:ascii="Times New Roman"/>
                <w:sz w:val="18"/>
              </w:rPr>
            </w:pPr>
          </w:p>
        </w:tc>
        <w:tc>
          <w:tcPr>
            <w:tcW w:w="945" w:type="dxa"/>
            <w:tcBorders>
              <w:top w:val="single" w:sz="6" w:space="0" w:color="000000"/>
              <w:right w:val="single" w:sz="6" w:space="0" w:color="000000"/>
            </w:tcBorders>
          </w:tcPr>
          <w:p w14:paraId="2364228E" w14:textId="77777777" w:rsidR="00AC6F3C" w:rsidRDefault="00570E88">
            <w:pPr>
              <w:pStyle w:val="TableParagraph"/>
              <w:spacing w:before="70"/>
              <w:ind w:right="20"/>
              <w:jc w:val="right"/>
              <w:rPr>
                <w:sz w:val="18"/>
              </w:rPr>
            </w:pPr>
            <w:r>
              <w:rPr>
                <w:spacing w:val="-2"/>
                <w:sz w:val="18"/>
              </w:rPr>
              <w:t>(4,902)</w:t>
            </w:r>
          </w:p>
        </w:tc>
      </w:tr>
      <w:tr w:rsidR="00AC6F3C" w14:paraId="06C52779" w14:textId="77777777">
        <w:trPr>
          <w:trHeight w:val="284"/>
        </w:trPr>
        <w:tc>
          <w:tcPr>
            <w:tcW w:w="3843" w:type="dxa"/>
            <w:tcBorders>
              <w:left w:val="single" w:sz="6" w:space="0" w:color="000000"/>
            </w:tcBorders>
          </w:tcPr>
          <w:p w14:paraId="19339807" w14:textId="77777777" w:rsidR="00AC6F3C" w:rsidRDefault="00570E88">
            <w:pPr>
              <w:pStyle w:val="TableParagraph"/>
              <w:spacing w:before="20"/>
              <w:ind w:left="37"/>
              <w:rPr>
                <w:sz w:val="18"/>
              </w:rPr>
            </w:pPr>
            <w:r>
              <w:rPr>
                <w:sz w:val="18"/>
              </w:rPr>
              <w:t>Risk</w:t>
            </w:r>
            <w:r>
              <w:rPr>
                <w:spacing w:val="14"/>
                <w:sz w:val="18"/>
              </w:rPr>
              <w:t xml:space="preserve"> </w:t>
            </w:r>
            <w:r>
              <w:rPr>
                <w:spacing w:val="-2"/>
                <w:sz w:val="18"/>
              </w:rPr>
              <w:t>margins</w:t>
            </w:r>
          </w:p>
        </w:tc>
        <w:tc>
          <w:tcPr>
            <w:tcW w:w="1364" w:type="dxa"/>
            <w:vMerge/>
            <w:tcBorders>
              <w:top w:val="nil"/>
              <w:bottom w:val="single" w:sz="6" w:space="0" w:color="000000"/>
            </w:tcBorders>
          </w:tcPr>
          <w:p w14:paraId="6B5BF8FE" w14:textId="77777777" w:rsidR="00AC6F3C" w:rsidRDefault="00AC6F3C">
            <w:pPr>
              <w:rPr>
                <w:sz w:val="2"/>
                <w:szCs w:val="2"/>
              </w:rPr>
            </w:pPr>
          </w:p>
        </w:tc>
        <w:tc>
          <w:tcPr>
            <w:tcW w:w="1050" w:type="dxa"/>
            <w:vMerge/>
            <w:tcBorders>
              <w:top w:val="nil"/>
              <w:bottom w:val="single" w:sz="6" w:space="0" w:color="000000"/>
            </w:tcBorders>
          </w:tcPr>
          <w:p w14:paraId="426C07CF" w14:textId="77777777" w:rsidR="00AC6F3C" w:rsidRDefault="00AC6F3C">
            <w:pPr>
              <w:rPr>
                <w:sz w:val="2"/>
                <w:szCs w:val="2"/>
              </w:rPr>
            </w:pPr>
          </w:p>
        </w:tc>
        <w:tc>
          <w:tcPr>
            <w:tcW w:w="1147" w:type="dxa"/>
            <w:vMerge/>
            <w:tcBorders>
              <w:top w:val="nil"/>
              <w:bottom w:val="single" w:sz="6" w:space="0" w:color="000000"/>
            </w:tcBorders>
          </w:tcPr>
          <w:p w14:paraId="45745A74" w14:textId="77777777" w:rsidR="00AC6F3C" w:rsidRDefault="00AC6F3C">
            <w:pPr>
              <w:rPr>
                <w:sz w:val="2"/>
                <w:szCs w:val="2"/>
              </w:rPr>
            </w:pPr>
          </w:p>
        </w:tc>
        <w:tc>
          <w:tcPr>
            <w:tcW w:w="945" w:type="dxa"/>
            <w:tcBorders>
              <w:right w:val="single" w:sz="6" w:space="0" w:color="000000"/>
            </w:tcBorders>
          </w:tcPr>
          <w:p w14:paraId="1BBEEE35" w14:textId="77777777" w:rsidR="00AC6F3C" w:rsidRDefault="00570E88">
            <w:pPr>
              <w:pStyle w:val="TableParagraph"/>
              <w:spacing w:before="50"/>
              <w:ind w:right="25"/>
              <w:jc w:val="right"/>
              <w:rPr>
                <w:sz w:val="18"/>
              </w:rPr>
            </w:pPr>
            <w:r>
              <w:rPr>
                <w:spacing w:val="-2"/>
                <w:sz w:val="18"/>
              </w:rPr>
              <w:t>20,236</w:t>
            </w:r>
          </w:p>
        </w:tc>
      </w:tr>
      <w:tr w:rsidR="00AC6F3C" w14:paraId="7A48E26A" w14:textId="77777777">
        <w:trPr>
          <w:trHeight w:val="264"/>
        </w:trPr>
        <w:tc>
          <w:tcPr>
            <w:tcW w:w="3843" w:type="dxa"/>
            <w:tcBorders>
              <w:left w:val="single" w:sz="6" w:space="0" w:color="000000"/>
              <w:bottom w:val="single" w:sz="6" w:space="0" w:color="000000"/>
            </w:tcBorders>
          </w:tcPr>
          <w:p w14:paraId="5487F39E" w14:textId="77777777" w:rsidR="00AC6F3C" w:rsidRDefault="00570E88">
            <w:pPr>
              <w:pStyle w:val="TableParagraph"/>
              <w:spacing w:before="20"/>
              <w:ind w:left="37"/>
              <w:rPr>
                <w:sz w:val="18"/>
              </w:rPr>
            </w:pPr>
            <w:r>
              <w:rPr>
                <w:sz w:val="18"/>
              </w:rPr>
              <w:t>Claims</w:t>
            </w:r>
            <w:r>
              <w:rPr>
                <w:spacing w:val="37"/>
                <w:sz w:val="18"/>
              </w:rPr>
              <w:t xml:space="preserve"> </w:t>
            </w:r>
            <w:r>
              <w:rPr>
                <w:spacing w:val="-2"/>
                <w:sz w:val="18"/>
              </w:rPr>
              <w:t>handling</w:t>
            </w:r>
          </w:p>
        </w:tc>
        <w:tc>
          <w:tcPr>
            <w:tcW w:w="1364" w:type="dxa"/>
            <w:vMerge/>
            <w:tcBorders>
              <w:top w:val="nil"/>
              <w:bottom w:val="single" w:sz="6" w:space="0" w:color="000000"/>
            </w:tcBorders>
          </w:tcPr>
          <w:p w14:paraId="7E99EA1B" w14:textId="77777777" w:rsidR="00AC6F3C" w:rsidRDefault="00AC6F3C">
            <w:pPr>
              <w:rPr>
                <w:sz w:val="2"/>
                <w:szCs w:val="2"/>
              </w:rPr>
            </w:pPr>
          </w:p>
        </w:tc>
        <w:tc>
          <w:tcPr>
            <w:tcW w:w="1050" w:type="dxa"/>
            <w:vMerge/>
            <w:tcBorders>
              <w:top w:val="nil"/>
              <w:bottom w:val="single" w:sz="6" w:space="0" w:color="000000"/>
            </w:tcBorders>
          </w:tcPr>
          <w:p w14:paraId="71B71BB8" w14:textId="77777777" w:rsidR="00AC6F3C" w:rsidRDefault="00AC6F3C">
            <w:pPr>
              <w:rPr>
                <w:sz w:val="2"/>
                <w:szCs w:val="2"/>
              </w:rPr>
            </w:pPr>
          </w:p>
        </w:tc>
        <w:tc>
          <w:tcPr>
            <w:tcW w:w="1147" w:type="dxa"/>
            <w:vMerge/>
            <w:tcBorders>
              <w:top w:val="nil"/>
              <w:bottom w:val="single" w:sz="6" w:space="0" w:color="000000"/>
            </w:tcBorders>
          </w:tcPr>
          <w:p w14:paraId="18AF633F" w14:textId="77777777" w:rsidR="00AC6F3C" w:rsidRDefault="00AC6F3C">
            <w:pPr>
              <w:rPr>
                <w:sz w:val="2"/>
                <w:szCs w:val="2"/>
              </w:rPr>
            </w:pPr>
          </w:p>
        </w:tc>
        <w:tc>
          <w:tcPr>
            <w:tcW w:w="945" w:type="dxa"/>
            <w:tcBorders>
              <w:bottom w:val="single" w:sz="6" w:space="0" w:color="000000"/>
              <w:right w:val="single" w:sz="6" w:space="0" w:color="000000"/>
            </w:tcBorders>
          </w:tcPr>
          <w:p w14:paraId="1B7F360A" w14:textId="77777777" w:rsidR="00AC6F3C" w:rsidRDefault="00570E88">
            <w:pPr>
              <w:pStyle w:val="TableParagraph"/>
              <w:spacing w:before="50" w:line="194" w:lineRule="exact"/>
              <w:ind w:right="25"/>
              <w:jc w:val="right"/>
              <w:rPr>
                <w:sz w:val="18"/>
              </w:rPr>
            </w:pPr>
            <w:r>
              <w:rPr>
                <w:spacing w:val="-2"/>
                <w:sz w:val="18"/>
              </w:rPr>
              <w:t>6,865</w:t>
            </w:r>
          </w:p>
        </w:tc>
      </w:tr>
      <w:tr w:rsidR="00AC6F3C" w14:paraId="50BC6F2D" w14:textId="77777777">
        <w:trPr>
          <w:trHeight w:val="284"/>
        </w:trPr>
        <w:tc>
          <w:tcPr>
            <w:tcW w:w="3843" w:type="dxa"/>
            <w:tcBorders>
              <w:top w:val="single" w:sz="6" w:space="0" w:color="000000"/>
              <w:left w:val="single" w:sz="6" w:space="0" w:color="000000"/>
              <w:bottom w:val="single" w:sz="6" w:space="0" w:color="000000"/>
            </w:tcBorders>
            <w:shd w:val="clear" w:color="auto" w:fill="BEBEBE"/>
          </w:tcPr>
          <w:p w14:paraId="5922F2F8" w14:textId="77777777" w:rsidR="00AC6F3C" w:rsidRDefault="00570E88">
            <w:pPr>
              <w:pStyle w:val="TableParagraph"/>
              <w:spacing w:before="41"/>
              <w:ind w:left="37"/>
              <w:rPr>
                <w:b/>
                <w:sz w:val="18"/>
              </w:rPr>
            </w:pPr>
            <w:r>
              <w:rPr>
                <w:b/>
                <w:sz w:val="18"/>
              </w:rPr>
              <w:t>Net</w:t>
            </w:r>
            <w:r>
              <w:rPr>
                <w:b/>
                <w:spacing w:val="-13"/>
                <w:sz w:val="18"/>
              </w:rPr>
              <w:t xml:space="preserve"> </w:t>
            </w:r>
            <w:r>
              <w:rPr>
                <w:b/>
                <w:sz w:val="18"/>
              </w:rPr>
              <w:t>claims</w:t>
            </w:r>
            <w:r>
              <w:rPr>
                <w:b/>
                <w:spacing w:val="-9"/>
                <w:sz w:val="18"/>
              </w:rPr>
              <w:t xml:space="preserve"> </w:t>
            </w:r>
            <w:r>
              <w:rPr>
                <w:b/>
                <w:spacing w:val="-2"/>
                <w:sz w:val="18"/>
              </w:rPr>
              <w:t>outstanding</w:t>
            </w:r>
          </w:p>
        </w:tc>
        <w:tc>
          <w:tcPr>
            <w:tcW w:w="1364" w:type="dxa"/>
            <w:tcBorders>
              <w:top w:val="single" w:sz="6" w:space="0" w:color="000000"/>
              <w:bottom w:val="single" w:sz="6" w:space="0" w:color="000000"/>
            </w:tcBorders>
            <w:shd w:val="clear" w:color="auto" w:fill="BEBEBE"/>
          </w:tcPr>
          <w:p w14:paraId="2CCFF4AE" w14:textId="77777777" w:rsidR="00AC6F3C" w:rsidRDefault="00AC6F3C">
            <w:pPr>
              <w:pStyle w:val="TableParagraph"/>
              <w:rPr>
                <w:rFonts w:ascii="Times New Roman"/>
                <w:sz w:val="18"/>
              </w:rPr>
            </w:pPr>
          </w:p>
        </w:tc>
        <w:tc>
          <w:tcPr>
            <w:tcW w:w="1050" w:type="dxa"/>
            <w:tcBorders>
              <w:top w:val="single" w:sz="6" w:space="0" w:color="000000"/>
              <w:bottom w:val="single" w:sz="6" w:space="0" w:color="000000"/>
            </w:tcBorders>
            <w:shd w:val="clear" w:color="auto" w:fill="BEBEBE"/>
          </w:tcPr>
          <w:p w14:paraId="40EA6FDB" w14:textId="77777777" w:rsidR="00AC6F3C" w:rsidRDefault="00AC6F3C">
            <w:pPr>
              <w:pStyle w:val="TableParagraph"/>
              <w:rPr>
                <w:rFonts w:ascii="Times New Roman"/>
                <w:sz w:val="18"/>
              </w:rPr>
            </w:pPr>
          </w:p>
        </w:tc>
        <w:tc>
          <w:tcPr>
            <w:tcW w:w="1147" w:type="dxa"/>
            <w:tcBorders>
              <w:top w:val="single" w:sz="6" w:space="0" w:color="000000"/>
              <w:bottom w:val="single" w:sz="6" w:space="0" w:color="000000"/>
            </w:tcBorders>
            <w:shd w:val="clear" w:color="auto" w:fill="BEBEBE"/>
          </w:tcPr>
          <w:p w14:paraId="7CD20AAF" w14:textId="77777777" w:rsidR="00AC6F3C" w:rsidRDefault="00AC6F3C">
            <w:pPr>
              <w:pStyle w:val="TableParagraph"/>
              <w:rPr>
                <w:rFonts w:ascii="Times New Roman"/>
                <w:sz w:val="18"/>
              </w:rPr>
            </w:pPr>
          </w:p>
        </w:tc>
        <w:tc>
          <w:tcPr>
            <w:tcW w:w="945" w:type="dxa"/>
            <w:tcBorders>
              <w:top w:val="single" w:sz="6" w:space="0" w:color="000000"/>
              <w:bottom w:val="single" w:sz="6" w:space="0" w:color="000000"/>
              <w:right w:val="single" w:sz="6" w:space="0" w:color="000000"/>
            </w:tcBorders>
            <w:shd w:val="clear" w:color="auto" w:fill="BEBEBE"/>
          </w:tcPr>
          <w:p w14:paraId="20F0CB85" w14:textId="77777777" w:rsidR="00AC6F3C" w:rsidRDefault="00570E88">
            <w:pPr>
              <w:pStyle w:val="TableParagraph"/>
              <w:spacing w:before="41"/>
              <w:ind w:right="25"/>
              <w:jc w:val="right"/>
              <w:rPr>
                <w:b/>
                <w:sz w:val="18"/>
              </w:rPr>
            </w:pPr>
            <w:r>
              <w:rPr>
                <w:b/>
                <w:spacing w:val="-2"/>
                <w:sz w:val="18"/>
              </w:rPr>
              <w:t>76,310</w:t>
            </w:r>
          </w:p>
        </w:tc>
      </w:tr>
    </w:tbl>
    <w:p w14:paraId="68020496" w14:textId="77777777" w:rsidR="00AC6F3C" w:rsidRDefault="00AC6F3C">
      <w:pPr>
        <w:pStyle w:val="BodyText"/>
        <w:rPr>
          <w:b/>
        </w:rPr>
      </w:pPr>
    </w:p>
    <w:p w14:paraId="3076D645" w14:textId="77777777" w:rsidR="00AC6F3C" w:rsidRDefault="00AC6F3C">
      <w:pPr>
        <w:pStyle w:val="BodyText"/>
        <w:rPr>
          <w:b/>
        </w:rPr>
      </w:pPr>
    </w:p>
    <w:p w14:paraId="5A06DE7F" w14:textId="77777777" w:rsidR="00AC6F3C" w:rsidRDefault="00AC6F3C">
      <w:pPr>
        <w:pStyle w:val="BodyText"/>
        <w:spacing w:before="1"/>
        <w:rPr>
          <w:b/>
          <w:sz w:val="11"/>
        </w:rPr>
      </w:pPr>
    </w:p>
    <w:tbl>
      <w:tblPr>
        <w:tblW w:w="0" w:type="auto"/>
        <w:tblInd w:w="972" w:type="dxa"/>
        <w:tblLayout w:type="fixed"/>
        <w:tblCellMar>
          <w:left w:w="0" w:type="dxa"/>
          <w:right w:w="0" w:type="dxa"/>
        </w:tblCellMar>
        <w:tblLook w:val="01E0" w:firstRow="1" w:lastRow="1" w:firstColumn="1" w:lastColumn="1" w:noHBand="0" w:noVBand="0"/>
      </w:tblPr>
      <w:tblGrid>
        <w:gridCol w:w="3148"/>
        <w:gridCol w:w="2065"/>
        <w:gridCol w:w="1041"/>
        <w:gridCol w:w="1198"/>
        <w:gridCol w:w="891"/>
      </w:tblGrid>
      <w:tr w:rsidR="00AC6F3C" w14:paraId="2C1BD2AE" w14:textId="77777777">
        <w:trPr>
          <w:trHeight w:val="883"/>
        </w:trPr>
        <w:tc>
          <w:tcPr>
            <w:tcW w:w="3148" w:type="dxa"/>
            <w:tcBorders>
              <w:top w:val="single" w:sz="6" w:space="0" w:color="000000"/>
              <w:left w:val="single" w:sz="6" w:space="0" w:color="000000"/>
              <w:bottom w:val="single" w:sz="6" w:space="0" w:color="000000"/>
            </w:tcBorders>
            <w:shd w:val="clear" w:color="auto" w:fill="BEBEBE"/>
          </w:tcPr>
          <w:p w14:paraId="54928846" w14:textId="77777777" w:rsidR="00AC6F3C" w:rsidRDefault="00AC6F3C">
            <w:pPr>
              <w:pStyle w:val="TableParagraph"/>
              <w:rPr>
                <w:b/>
                <w:sz w:val="20"/>
              </w:rPr>
            </w:pPr>
          </w:p>
          <w:p w14:paraId="1482D2FA" w14:textId="77777777" w:rsidR="00AC6F3C" w:rsidRDefault="00AC6F3C">
            <w:pPr>
              <w:pStyle w:val="TableParagraph"/>
              <w:rPr>
                <w:b/>
                <w:sz w:val="20"/>
              </w:rPr>
            </w:pPr>
          </w:p>
          <w:p w14:paraId="79E489B9" w14:textId="77777777" w:rsidR="00AC6F3C" w:rsidRDefault="00AC6F3C">
            <w:pPr>
              <w:pStyle w:val="TableParagraph"/>
              <w:spacing w:before="2"/>
              <w:rPr>
                <w:b/>
                <w:sz w:val="18"/>
              </w:rPr>
            </w:pPr>
          </w:p>
          <w:p w14:paraId="4F84744B" w14:textId="77777777" w:rsidR="00AC6F3C" w:rsidRDefault="00570E88">
            <w:pPr>
              <w:pStyle w:val="TableParagraph"/>
              <w:spacing w:before="1" w:line="194" w:lineRule="exact"/>
              <w:ind w:left="37"/>
              <w:rPr>
                <w:b/>
                <w:sz w:val="18"/>
              </w:rPr>
            </w:pPr>
            <w:r>
              <w:rPr>
                <w:b/>
                <w:spacing w:val="-4"/>
                <w:sz w:val="18"/>
              </w:rPr>
              <w:t>2022</w:t>
            </w:r>
          </w:p>
        </w:tc>
        <w:tc>
          <w:tcPr>
            <w:tcW w:w="2065" w:type="dxa"/>
            <w:tcBorders>
              <w:top w:val="single" w:sz="6" w:space="0" w:color="000000"/>
              <w:bottom w:val="single" w:sz="6" w:space="0" w:color="000000"/>
            </w:tcBorders>
            <w:shd w:val="clear" w:color="auto" w:fill="BEBEBE"/>
          </w:tcPr>
          <w:p w14:paraId="276E4547" w14:textId="77777777" w:rsidR="00AC6F3C" w:rsidRDefault="00570E88">
            <w:pPr>
              <w:pStyle w:val="TableParagraph"/>
              <w:spacing w:before="41"/>
              <w:ind w:right="267"/>
              <w:jc w:val="right"/>
              <w:rPr>
                <w:b/>
                <w:sz w:val="18"/>
              </w:rPr>
            </w:pPr>
            <w:r>
              <w:rPr>
                <w:b/>
                <w:sz w:val="18"/>
              </w:rPr>
              <w:t>&lt;1</w:t>
            </w:r>
            <w:r>
              <w:rPr>
                <w:b/>
                <w:spacing w:val="-5"/>
                <w:sz w:val="18"/>
              </w:rPr>
              <w:t xml:space="preserve"> </w:t>
            </w:r>
            <w:r>
              <w:rPr>
                <w:b/>
                <w:spacing w:val="-4"/>
                <w:sz w:val="18"/>
              </w:rPr>
              <w:t>year</w:t>
            </w:r>
          </w:p>
          <w:p w14:paraId="4C647B13" w14:textId="77777777" w:rsidR="00AC6F3C" w:rsidRDefault="00AC6F3C">
            <w:pPr>
              <w:pStyle w:val="TableParagraph"/>
              <w:rPr>
                <w:b/>
                <w:sz w:val="20"/>
              </w:rPr>
            </w:pPr>
          </w:p>
          <w:p w14:paraId="45D27047" w14:textId="77777777" w:rsidR="00AC6F3C" w:rsidRDefault="00570E88">
            <w:pPr>
              <w:pStyle w:val="TableParagraph"/>
              <w:spacing w:before="162"/>
              <w:ind w:right="267"/>
              <w:jc w:val="right"/>
              <w:rPr>
                <w:b/>
                <w:sz w:val="18"/>
              </w:rPr>
            </w:pPr>
            <w:r>
              <w:rPr>
                <w:b/>
                <w:spacing w:val="-2"/>
                <w:sz w:val="18"/>
              </w:rPr>
              <w:t>$’000</w:t>
            </w:r>
          </w:p>
        </w:tc>
        <w:tc>
          <w:tcPr>
            <w:tcW w:w="1041" w:type="dxa"/>
            <w:tcBorders>
              <w:top w:val="single" w:sz="6" w:space="0" w:color="000000"/>
              <w:bottom w:val="single" w:sz="6" w:space="0" w:color="000000"/>
            </w:tcBorders>
            <w:shd w:val="clear" w:color="auto" w:fill="BEBEBE"/>
          </w:tcPr>
          <w:p w14:paraId="352A2E9B" w14:textId="77777777" w:rsidR="00AC6F3C" w:rsidRDefault="00570E88">
            <w:pPr>
              <w:pStyle w:val="TableParagraph"/>
              <w:spacing w:before="41" w:line="348" w:lineRule="auto"/>
              <w:ind w:left="374" w:right="186" w:firstLine="15"/>
              <w:rPr>
                <w:b/>
                <w:sz w:val="18"/>
              </w:rPr>
            </w:pPr>
            <w:r>
              <w:rPr>
                <w:b/>
                <w:sz w:val="18"/>
              </w:rPr>
              <w:t>1</w:t>
            </w:r>
            <w:r>
              <w:rPr>
                <w:b/>
                <w:spacing w:val="-15"/>
                <w:sz w:val="18"/>
              </w:rPr>
              <w:t xml:space="preserve"> </w:t>
            </w:r>
            <w:r>
              <w:rPr>
                <w:b/>
                <w:sz w:val="18"/>
              </w:rPr>
              <w:t>to</w:t>
            </w:r>
            <w:r>
              <w:rPr>
                <w:b/>
                <w:spacing w:val="-12"/>
                <w:sz w:val="18"/>
              </w:rPr>
              <w:t xml:space="preserve"> </w:t>
            </w:r>
            <w:r>
              <w:rPr>
                <w:b/>
                <w:sz w:val="18"/>
              </w:rPr>
              <w:t xml:space="preserve">5 </w:t>
            </w:r>
            <w:r>
              <w:rPr>
                <w:b/>
                <w:spacing w:val="-2"/>
                <w:sz w:val="18"/>
              </w:rPr>
              <w:t>years</w:t>
            </w:r>
          </w:p>
          <w:p w14:paraId="2E4ACFD8" w14:textId="77777777" w:rsidR="00AC6F3C" w:rsidRDefault="00570E88">
            <w:pPr>
              <w:pStyle w:val="TableParagraph"/>
              <w:spacing w:line="206" w:lineRule="exact"/>
              <w:ind w:left="389"/>
              <w:rPr>
                <w:b/>
                <w:sz w:val="18"/>
              </w:rPr>
            </w:pPr>
            <w:r>
              <w:rPr>
                <w:b/>
                <w:spacing w:val="-2"/>
                <w:sz w:val="18"/>
              </w:rPr>
              <w:t>$’000</w:t>
            </w:r>
          </w:p>
        </w:tc>
        <w:tc>
          <w:tcPr>
            <w:tcW w:w="1198" w:type="dxa"/>
            <w:tcBorders>
              <w:top w:val="single" w:sz="6" w:space="0" w:color="000000"/>
              <w:bottom w:val="single" w:sz="6" w:space="0" w:color="000000"/>
            </w:tcBorders>
            <w:shd w:val="clear" w:color="auto" w:fill="BEBEBE"/>
          </w:tcPr>
          <w:p w14:paraId="07145BA7" w14:textId="77777777" w:rsidR="00AC6F3C" w:rsidRDefault="00570E88">
            <w:pPr>
              <w:pStyle w:val="TableParagraph"/>
              <w:spacing w:before="71"/>
              <w:ind w:left="202"/>
              <w:rPr>
                <w:b/>
                <w:sz w:val="18"/>
              </w:rPr>
            </w:pPr>
            <w:r>
              <w:rPr>
                <w:b/>
                <w:sz w:val="18"/>
              </w:rPr>
              <w:t>&gt;5</w:t>
            </w:r>
            <w:r>
              <w:rPr>
                <w:b/>
                <w:spacing w:val="-5"/>
                <w:sz w:val="18"/>
              </w:rPr>
              <w:t xml:space="preserve"> </w:t>
            </w:r>
            <w:r>
              <w:rPr>
                <w:b/>
                <w:spacing w:val="-2"/>
                <w:sz w:val="18"/>
              </w:rPr>
              <w:t>years</w:t>
            </w:r>
          </w:p>
          <w:p w14:paraId="330CC267" w14:textId="77777777" w:rsidR="00AC6F3C" w:rsidRDefault="00AC6F3C">
            <w:pPr>
              <w:pStyle w:val="TableParagraph"/>
              <w:rPr>
                <w:b/>
                <w:sz w:val="20"/>
              </w:rPr>
            </w:pPr>
          </w:p>
          <w:p w14:paraId="0B8AADC2" w14:textId="77777777" w:rsidR="00AC6F3C" w:rsidRDefault="00570E88">
            <w:pPr>
              <w:pStyle w:val="TableParagraph"/>
              <w:spacing w:before="162" w:line="194" w:lineRule="exact"/>
              <w:ind w:left="472"/>
              <w:rPr>
                <w:b/>
                <w:sz w:val="18"/>
              </w:rPr>
            </w:pPr>
            <w:r>
              <w:rPr>
                <w:b/>
                <w:spacing w:val="-2"/>
                <w:sz w:val="18"/>
              </w:rPr>
              <w:t>$’000</w:t>
            </w:r>
          </w:p>
        </w:tc>
        <w:tc>
          <w:tcPr>
            <w:tcW w:w="891" w:type="dxa"/>
            <w:tcBorders>
              <w:top w:val="single" w:sz="6" w:space="0" w:color="000000"/>
              <w:bottom w:val="single" w:sz="6" w:space="0" w:color="000000"/>
              <w:right w:val="single" w:sz="6" w:space="0" w:color="000000"/>
            </w:tcBorders>
            <w:shd w:val="clear" w:color="auto" w:fill="BEBEBE"/>
          </w:tcPr>
          <w:p w14:paraId="623891C3" w14:textId="77777777" w:rsidR="00AC6F3C" w:rsidRDefault="00570E88">
            <w:pPr>
              <w:pStyle w:val="TableParagraph"/>
              <w:spacing w:before="41"/>
              <w:ind w:left="442"/>
              <w:rPr>
                <w:b/>
                <w:sz w:val="18"/>
              </w:rPr>
            </w:pPr>
            <w:r>
              <w:rPr>
                <w:b/>
                <w:spacing w:val="-2"/>
                <w:sz w:val="18"/>
              </w:rPr>
              <w:t>Total</w:t>
            </w:r>
          </w:p>
          <w:p w14:paraId="2F3CDF13" w14:textId="77777777" w:rsidR="00AC6F3C" w:rsidRDefault="00AC6F3C">
            <w:pPr>
              <w:pStyle w:val="TableParagraph"/>
              <w:rPr>
                <w:b/>
                <w:sz w:val="20"/>
              </w:rPr>
            </w:pPr>
          </w:p>
          <w:p w14:paraId="4D46B1B2" w14:textId="77777777" w:rsidR="00AC6F3C" w:rsidRDefault="00570E88">
            <w:pPr>
              <w:pStyle w:val="TableParagraph"/>
              <w:spacing w:before="162"/>
              <w:ind w:left="397"/>
              <w:rPr>
                <w:b/>
                <w:sz w:val="18"/>
              </w:rPr>
            </w:pPr>
            <w:r>
              <w:rPr>
                <w:b/>
                <w:spacing w:val="-2"/>
                <w:sz w:val="18"/>
              </w:rPr>
              <w:t>$’000</w:t>
            </w:r>
          </w:p>
        </w:tc>
      </w:tr>
      <w:tr w:rsidR="00AC6F3C" w14:paraId="7A843E24" w14:textId="77777777">
        <w:trPr>
          <w:trHeight w:val="297"/>
        </w:trPr>
        <w:tc>
          <w:tcPr>
            <w:tcW w:w="3148" w:type="dxa"/>
            <w:tcBorders>
              <w:top w:val="single" w:sz="6" w:space="0" w:color="000000"/>
              <w:left w:val="single" w:sz="6" w:space="0" w:color="000000"/>
            </w:tcBorders>
          </w:tcPr>
          <w:p w14:paraId="426E2EF5" w14:textId="77777777" w:rsidR="00AC6F3C" w:rsidRDefault="00570E88">
            <w:pPr>
              <w:pStyle w:val="TableParagraph"/>
              <w:spacing w:before="41"/>
              <w:ind w:left="37"/>
              <w:rPr>
                <w:sz w:val="18"/>
              </w:rPr>
            </w:pPr>
            <w:r>
              <w:rPr>
                <w:sz w:val="18"/>
              </w:rPr>
              <w:t>Gross</w:t>
            </w:r>
            <w:r>
              <w:rPr>
                <w:spacing w:val="14"/>
                <w:sz w:val="18"/>
              </w:rPr>
              <w:t xml:space="preserve"> </w:t>
            </w:r>
            <w:r>
              <w:rPr>
                <w:sz w:val="18"/>
              </w:rPr>
              <w:t>central</w:t>
            </w:r>
            <w:r>
              <w:rPr>
                <w:spacing w:val="3"/>
                <w:sz w:val="18"/>
              </w:rPr>
              <w:t xml:space="preserve"> </w:t>
            </w:r>
            <w:r>
              <w:rPr>
                <w:spacing w:val="-2"/>
                <w:sz w:val="18"/>
              </w:rPr>
              <w:t>estimate</w:t>
            </w:r>
          </w:p>
        </w:tc>
        <w:tc>
          <w:tcPr>
            <w:tcW w:w="2065" w:type="dxa"/>
            <w:tcBorders>
              <w:top w:val="single" w:sz="6" w:space="0" w:color="000000"/>
            </w:tcBorders>
          </w:tcPr>
          <w:p w14:paraId="180C4D5D" w14:textId="77777777" w:rsidR="00AC6F3C" w:rsidRDefault="00570E88">
            <w:pPr>
              <w:pStyle w:val="TableParagraph"/>
              <w:spacing w:before="41"/>
              <w:ind w:right="267"/>
              <w:jc w:val="right"/>
              <w:rPr>
                <w:sz w:val="18"/>
              </w:rPr>
            </w:pPr>
            <w:r>
              <w:rPr>
                <w:spacing w:val="-2"/>
                <w:sz w:val="18"/>
              </w:rPr>
              <w:t>15,086</w:t>
            </w:r>
          </w:p>
        </w:tc>
        <w:tc>
          <w:tcPr>
            <w:tcW w:w="1041" w:type="dxa"/>
            <w:tcBorders>
              <w:top w:val="single" w:sz="6" w:space="0" w:color="000000"/>
            </w:tcBorders>
          </w:tcPr>
          <w:p w14:paraId="2B00B2E4" w14:textId="77777777" w:rsidR="00AC6F3C" w:rsidRDefault="00570E88">
            <w:pPr>
              <w:pStyle w:val="TableParagraph"/>
              <w:spacing w:before="41"/>
              <w:ind w:right="185"/>
              <w:jc w:val="right"/>
              <w:rPr>
                <w:sz w:val="18"/>
              </w:rPr>
            </w:pPr>
            <w:r>
              <w:rPr>
                <w:spacing w:val="-2"/>
                <w:sz w:val="18"/>
              </w:rPr>
              <w:t>29,454</w:t>
            </w:r>
          </w:p>
        </w:tc>
        <w:tc>
          <w:tcPr>
            <w:tcW w:w="1198" w:type="dxa"/>
            <w:tcBorders>
              <w:top w:val="single" w:sz="6" w:space="0" w:color="000000"/>
            </w:tcBorders>
          </w:tcPr>
          <w:p w14:paraId="54DBA0F4" w14:textId="77777777" w:rsidR="00AC6F3C" w:rsidRDefault="00570E88">
            <w:pPr>
              <w:pStyle w:val="TableParagraph"/>
              <w:spacing w:before="41"/>
              <w:ind w:right="259"/>
              <w:jc w:val="right"/>
              <w:rPr>
                <w:sz w:val="18"/>
              </w:rPr>
            </w:pPr>
            <w:r>
              <w:rPr>
                <w:spacing w:val="-2"/>
                <w:sz w:val="18"/>
              </w:rPr>
              <w:t>7,868</w:t>
            </w:r>
          </w:p>
        </w:tc>
        <w:tc>
          <w:tcPr>
            <w:tcW w:w="891" w:type="dxa"/>
            <w:tcBorders>
              <w:top w:val="single" w:sz="6" w:space="0" w:color="000000"/>
              <w:right w:val="single" w:sz="6" w:space="0" w:color="000000"/>
            </w:tcBorders>
          </w:tcPr>
          <w:p w14:paraId="08BA9F77" w14:textId="77777777" w:rsidR="00AC6F3C" w:rsidRDefault="00570E88">
            <w:pPr>
              <w:pStyle w:val="TableParagraph"/>
              <w:spacing w:before="41"/>
              <w:ind w:right="19"/>
              <w:jc w:val="right"/>
              <w:rPr>
                <w:sz w:val="18"/>
              </w:rPr>
            </w:pPr>
            <w:r>
              <w:rPr>
                <w:spacing w:val="-2"/>
                <w:sz w:val="18"/>
              </w:rPr>
              <w:t>52,408</w:t>
            </w:r>
          </w:p>
        </w:tc>
      </w:tr>
      <w:tr w:rsidR="00AC6F3C" w14:paraId="323F7856" w14:textId="77777777">
        <w:trPr>
          <w:trHeight w:val="286"/>
        </w:trPr>
        <w:tc>
          <w:tcPr>
            <w:tcW w:w="3148" w:type="dxa"/>
            <w:tcBorders>
              <w:left w:val="single" w:sz="6" w:space="0" w:color="000000"/>
              <w:bottom w:val="single" w:sz="6" w:space="0" w:color="000000"/>
            </w:tcBorders>
          </w:tcPr>
          <w:p w14:paraId="3E50E7D6" w14:textId="77777777" w:rsidR="00AC6F3C" w:rsidRDefault="00570E88">
            <w:pPr>
              <w:pStyle w:val="TableParagraph"/>
              <w:spacing w:before="43"/>
              <w:ind w:left="37"/>
              <w:rPr>
                <w:sz w:val="18"/>
              </w:rPr>
            </w:pPr>
            <w:r>
              <w:rPr>
                <w:sz w:val="18"/>
              </w:rPr>
              <w:t>Reinsurance</w:t>
            </w:r>
            <w:r>
              <w:rPr>
                <w:spacing w:val="32"/>
                <w:sz w:val="18"/>
              </w:rPr>
              <w:t xml:space="preserve"> </w:t>
            </w:r>
            <w:r>
              <w:rPr>
                <w:spacing w:val="-2"/>
                <w:sz w:val="18"/>
              </w:rPr>
              <w:t>recoveries</w:t>
            </w:r>
          </w:p>
        </w:tc>
        <w:tc>
          <w:tcPr>
            <w:tcW w:w="2065" w:type="dxa"/>
            <w:tcBorders>
              <w:bottom w:val="single" w:sz="6" w:space="0" w:color="000000"/>
            </w:tcBorders>
          </w:tcPr>
          <w:p w14:paraId="40DAC0DA" w14:textId="77777777" w:rsidR="00AC6F3C" w:rsidRDefault="00570E88">
            <w:pPr>
              <w:pStyle w:val="TableParagraph"/>
              <w:spacing w:before="43"/>
              <w:ind w:right="262"/>
              <w:jc w:val="right"/>
              <w:rPr>
                <w:sz w:val="18"/>
              </w:rPr>
            </w:pPr>
            <w:r>
              <w:rPr>
                <w:spacing w:val="-2"/>
                <w:sz w:val="18"/>
              </w:rPr>
              <w:t>(214)</w:t>
            </w:r>
          </w:p>
        </w:tc>
        <w:tc>
          <w:tcPr>
            <w:tcW w:w="1041" w:type="dxa"/>
            <w:tcBorders>
              <w:bottom w:val="single" w:sz="6" w:space="0" w:color="000000"/>
            </w:tcBorders>
          </w:tcPr>
          <w:p w14:paraId="2325494F" w14:textId="77777777" w:rsidR="00AC6F3C" w:rsidRDefault="00570E88">
            <w:pPr>
              <w:pStyle w:val="TableParagraph"/>
              <w:spacing w:before="43"/>
              <w:ind w:right="180"/>
              <w:jc w:val="right"/>
              <w:rPr>
                <w:sz w:val="18"/>
              </w:rPr>
            </w:pPr>
            <w:r>
              <w:rPr>
                <w:spacing w:val="-2"/>
                <w:sz w:val="18"/>
              </w:rPr>
              <w:t>(390)</w:t>
            </w:r>
          </w:p>
        </w:tc>
        <w:tc>
          <w:tcPr>
            <w:tcW w:w="1198" w:type="dxa"/>
            <w:tcBorders>
              <w:bottom w:val="single" w:sz="6" w:space="0" w:color="000000"/>
            </w:tcBorders>
          </w:tcPr>
          <w:p w14:paraId="687A1491" w14:textId="77777777" w:rsidR="00AC6F3C" w:rsidRDefault="00570E88">
            <w:pPr>
              <w:pStyle w:val="TableParagraph"/>
              <w:spacing w:before="43"/>
              <w:ind w:right="254"/>
              <w:jc w:val="right"/>
              <w:rPr>
                <w:sz w:val="18"/>
              </w:rPr>
            </w:pPr>
            <w:r>
              <w:rPr>
                <w:spacing w:val="-2"/>
                <w:sz w:val="18"/>
              </w:rPr>
              <w:t>(127)</w:t>
            </w:r>
          </w:p>
        </w:tc>
        <w:tc>
          <w:tcPr>
            <w:tcW w:w="891" w:type="dxa"/>
            <w:tcBorders>
              <w:bottom w:val="single" w:sz="6" w:space="0" w:color="000000"/>
              <w:right w:val="single" w:sz="6" w:space="0" w:color="000000"/>
            </w:tcBorders>
          </w:tcPr>
          <w:p w14:paraId="2E73F9B6" w14:textId="77777777" w:rsidR="00AC6F3C" w:rsidRDefault="00570E88">
            <w:pPr>
              <w:pStyle w:val="TableParagraph"/>
              <w:spacing w:before="43"/>
              <w:ind w:right="14"/>
              <w:jc w:val="right"/>
              <w:rPr>
                <w:sz w:val="18"/>
              </w:rPr>
            </w:pPr>
            <w:r>
              <w:rPr>
                <w:spacing w:val="-2"/>
                <w:sz w:val="18"/>
              </w:rPr>
              <w:t>(731)</w:t>
            </w:r>
          </w:p>
        </w:tc>
      </w:tr>
      <w:tr w:rsidR="00AC6F3C" w14:paraId="3361E92B" w14:textId="77777777">
        <w:trPr>
          <w:trHeight w:val="284"/>
        </w:trPr>
        <w:tc>
          <w:tcPr>
            <w:tcW w:w="3148" w:type="dxa"/>
            <w:tcBorders>
              <w:top w:val="single" w:sz="6" w:space="0" w:color="000000"/>
              <w:left w:val="single" w:sz="6" w:space="0" w:color="000000"/>
              <w:bottom w:val="single" w:sz="6" w:space="0" w:color="000000"/>
            </w:tcBorders>
            <w:shd w:val="clear" w:color="auto" w:fill="BEBEBE"/>
          </w:tcPr>
          <w:p w14:paraId="47F83E14" w14:textId="77777777" w:rsidR="00AC6F3C" w:rsidRDefault="00570E88">
            <w:pPr>
              <w:pStyle w:val="TableParagraph"/>
              <w:spacing w:before="41"/>
              <w:ind w:left="37"/>
              <w:rPr>
                <w:b/>
                <w:sz w:val="18"/>
              </w:rPr>
            </w:pPr>
            <w:r>
              <w:rPr>
                <w:b/>
                <w:sz w:val="18"/>
              </w:rPr>
              <w:t>Net</w:t>
            </w:r>
            <w:r>
              <w:rPr>
                <w:b/>
                <w:spacing w:val="-9"/>
                <w:sz w:val="18"/>
              </w:rPr>
              <w:t xml:space="preserve"> </w:t>
            </w:r>
            <w:r>
              <w:rPr>
                <w:b/>
                <w:sz w:val="18"/>
              </w:rPr>
              <w:t>central</w:t>
            </w:r>
            <w:r>
              <w:rPr>
                <w:b/>
                <w:spacing w:val="-12"/>
                <w:sz w:val="18"/>
              </w:rPr>
              <w:t xml:space="preserve"> </w:t>
            </w:r>
            <w:r>
              <w:rPr>
                <w:b/>
                <w:spacing w:val="-2"/>
                <w:sz w:val="18"/>
              </w:rPr>
              <w:t>estimate</w:t>
            </w:r>
          </w:p>
        </w:tc>
        <w:tc>
          <w:tcPr>
            <w:tcW w:w="2065" w:type="dxa"/>
            <w:tcBorders>
              <w:top w:val="single" w:sz="6" w:space="0" w:color="000000"/>
              <w:bottom w:val="single" w:sz="6" w:space="0" w:color="000000"/>
            </w:tcBorders>
            <w:shd w:val="clear" w:color="auto" w:fill="BEBEBE"/>
          </w:tcPr>
          <w:p w14:paraId="19726002" w14:textId="77777777" w:rsidR="00AC6F3C" w:rsidRDefault="00570E88">
            <w:pPr>
              <w:pStyle w:val="TableParagraph"/>
              <w:spacing w:before="41"/>
              <w:ind w:right="267"/>
              <w:jc w:val="right"/>
              <w:rPr>
                <w:b/>
                <w:sz w:val="18"/>
              </w:rPr>
            </w:pPr>
            <w:r>
              <w:rPr>
                <w:b/>
                <w:spacing w:val="-2"/>
                <w:sz w:val="18"/>
              </w:rPr>
              <w:t>14,872</w:t>
            </w:r>
          </w:p>
        </w:tc>
        <w:tc>
          <w:tcPr>
            <w:tcW w:w="1041" w:type="dxa"/>
            <w:tcBorders>
              <w:top w:val="single" w:sz="6" w:space="0" w:color="000000"/>
              <w:bottom w:val="single" w:sz="6" w:space="0" w:color="000000"/>
            </w:tcBorders>
            <w:shd w:val="clear" w:color="auto" w:fill="BEBEBE"/>
          </w:tcPr>
          <w:p w14:paraId="53D9DEED" w14:textId="77777777" w:rsidR="00AC6F3C" w:rsidRDefault="00570E88">
            <w:pPr>
              <w:pStyle w:val="TableParagraph"/>
              <w:spacing w:before="41"/>
              <w:ind w:right="185"/>
              <w:jc w:val="right"/>
              <w:rPr>
                <w:b/>
                <w:sz w:val="18"/>
              </w:rPr>
            </w:pPr>
            <w:r>
              <w:rPr>
                <w:b/>
                <w:spacing w:val="-2"/>
                <w:sz w:val="18"/>
              </w:rPr>
              <w:t>29,064</w:t>
            </w:r>
          </w:p>
        </w:tc>
        <w:tc>
          <w:tcPr>
            <w:tcW w:w="1198" w:type="dxa"/>
            <w:tcBorders>
              <w:top w:val="single" w:sz="6" w:space="0" w:color="000000"/>
              <w:bottom w:val="single" w:sz="6" w:space="0" w:color="000000"/>
            </w:tcBorders>
            <w:shd w:val="clear" w:color="auto" w:fill="BEBEBE"/>
          </w:tcPr>
          <w:p w14:paraId="684A1EC2" w14:textId="77777777" w:rsidR="00AC6F3C" w:rsidRDefault="00570E88">
            <w:pPr>
              <w:pStyle w:val="TableParagraph"/>
              <w:spacing w:before="41"/>
              <w:ind w:right="259"/>
              <w:jc w:val="right"/>
              <w:rPr>
                <w:b/>
                <w:sz w:val="18"/>
              </w:rPr>
            </w:pPr>
            <w:r>
              <w:rPr>
                <w:b/>
                <w:spacing w:val="-2"/>
                <w:sz w:val="18"/>
              </w:rPr>
              <w:t>7,741</w:t>
            </w:r>
          </w:p>
        </w:tc>
        <w:tc>
          <w:tcPr>
            <w:tcW w:w="891" w:type="dxa"/>
            <w:tcBorders>
              <w:top w:val="single" w:sz="6" w:space="0" w:color="000000"/>
              <w:bottom w:val="single" w:sz="6" w:space="0" w:color="000000"/>
              <w:right w:val="single" w:sz="6" w:space="0" w:color="000000"/>
            </w:tcBorders>
            <w:shd w:val="clear" w:color="auto" w:fill="BEBEBE"/>
          </w:tcPr>
          <w:p w14:paraId="7E8AF18F" w14:textId="77777777" w:rsidR="00AC6F3C" w:rsidRDefault="00570E88">
            <w:pPr>
              <w:pStyle w:val="TableParagraph"/>
              <w:spacing w:before="41"/>
              <w:ind w:right="19"/>
              <w:jc w:val="right"/>
              <w:rPr>
                <w:b/>
                <w:sz w:val="18"/>
              </w:rPr>
            </w:pPr>
            <w:r>
              <w:rPr>
                <w:b/>
                <w:spacing w:val="-2"/>
                <w:sz w:val="18"/>
              </w:rPr>
              <w:t>51,677</w:t>
            </w:r>
          </w:p>
        </w:tc>
      </w:tr>
      <w:tr w:rsidR="00AC6F3C" w14:paraId="40A95CF7" w14:textId="77777777">
        <w:trPr>
          <w:trHeight w:val="304"/>
        </w:trPr>
        <w:tc>
          <w:tcPr>
            <w:tcW w:w="3148" w:type="dxa"/>
            <w:tcBorders>
              <w:top w:val="single" w:sz="6" w:space="0" w:color="000000"/>
              <w:left w:val="single" w:sz="6" w:space="0" w:color="000000"/>
            </w:tcBorders>
          </w:tcPr>
          <w:p w14:paraId="4E3AF7F4" w14:textId="77777777" w:rsidR="00AC6F3C" w:rsidRDefault="00570E88">
            <w:pPr>
              <w:pStyle w:val="TableParagraph"/>
              <w:spacing w:before="70"/>
              <w:ind w:left="37"/>
              <w:rPr>
                <w:sz w:val="18"/>
              </w:rPr>
            </w:pPr>
            <w:r>
              <w:rPr>
                <w:spacing w:val="-2"/>
                <w:sz w:val="18"/>
              </w:rPr>
              <w:t>Discount</w:t>
            </w:r>
          </w:p>
        </w:tc>
        <w:tc>
          <w:tcPr>
            <w:tcW w:w="2065" w:type="dxa"/>
            <w:vMerge w:val="restart"/>
            <w:tcBorders>
              <w:top w:val="single" w:sz="6" w:space="0" w:color="000000"/>
              <w:bottom w:val="single" w:sz="6" w:space="0" w:color="000000"/>
            </w:tcBorders>
          </w:tcPr>
          <w:p w14:paraId="4747239B" w14:textId="77777777" w:rsidR="00AC6F3C" w:rsidRDefault="00AC6F3C">
            <w:pPr>
              <w:pStyle w:val="TableParagraph"/>
              <w:rPr>
                <w:rFonts w:ascii="Times New Roman"/>
                <w:sz w:val="18"/>
              </w:rPr>
            </w:pPr>
          </w:p>
        </w:tc>
        <w:tc>
          <w:tcPr>
            <w:tcW w:w="1041" w:type="dxa"/>
            <w:vMerge w:val="restart"/>
            <w:tcBorders>
              <w:top w:val="single" w:sz="6" w:space="0" w:color="000000"/>
              <w:bottom w:val="single" w:sz="6" w:space="0" w:color="000000"/>
            </w:tcBorders>
          </w:tcPr>
          <w:p w14:paraId="0F2DD498" w14:textId="77777777" w:rsidR="00AC6F3C" w:rsidRDefault="00AC6F3C">
            <w:pPr>
              <w:pStyle w:val="TableParagraph"/>
              <w:rPr>
                <w:rFonts w:ascii="Times New Roman"/>
                <w:sz w:val="18"/>
              </w:rPr>
            </w:pPr>
          </w:p>
        </w:tc>
        <w:tc>
          <w:tcPr>
            <w:tcW w:w="1198" w:type="dxa"/>
            <w:vMerge w:val="restart"/>
            <w:tcBorders>
              <w:top w:val="single" w:sz="6" w:space="0" w:color="000000"/>
              <w:bottom w:val="single" w:sz="6" w:space="0" w:color="000000"/>
            </w:tcBorders>
          </w:tcPr>
          <w:p w14:paraId="6C41722E" w14:textId="77777777" w:rsidR="00AC6F3C" w:rsidRDefault="00AC6F3C">
            <w:pPr>
              <w:pStyle w:val="TableParagraph"/>
              <w:rPr>
                <w:rFonts w:ascii="Times New Roman"/>
                <w:sz w:val="18"/>
              </w:rPr>
            </w:pPr>
          </w:p>
        </w:tc>
        <w:tc>
          <w:tcPr>
            <w:tcW w:w="891" w:type="dxa"/>
            <w:tcBorders>
              <w:top w:val="single" w:sz="6" w:space="0" w:color="000000"/>
              <w:right w:val="single" w:sz="6" w:space="0" w:color="000000"/>
            </w:tcBorders>
          </w:tcPr>
          <w:p w14:paraId="25C639EF" w14:textId="77777777" w:rsidR="00AC6F3C" w:rsidRDefault="00570E88">
            <w:pPr>
              <w:pStyle w:val="TableParagraph"/>
              <w:spacing w:before="70"/>
              <w:ind w:right="14"/>
              <w:jc w:val="right"/>
              <w:rPr>
                <w:sz w:val="18"/>
              </w:rPr>
            </w:pPr>
            <w:r>
              <w:rPr>
                <w:spacing w:val="-2"/>
                <w:sz w:val="18"/>
              </w:rPr>
              <w:t>(3,969)</w:t>
            </w:r>
          </w:p>
        </w:tc>
      </w:tr>
      <w:tr w:rsidR="00AC6F3C" w14:paraId="767E7A49" w14:textId="77777777">
        <w:trPr>
          <w:trHeight w:val="284"/>
        </w:trPr>
        <w:tc>
          <w:tcPr>
            <w:tcW w:w="3148" w:type="dxa"/>
            <w:tcBorders>
              <w:left w:val="single" w:sz="6" w:space="0" w:color="000000"/>
            </w:tcBorders>
          </w:tcPr>
          <w:p w14:paraId="3C605316" w14:textId="77777777" w:rsidR="00AC6F3C" w:rsidRDefault="00570E88">
            <w:pPr>
              <w:pStyle w:val="TableParagraph"/>
              <w:spacing w:before="20"/>
              <w:ind w:left="37"/>
              <w:rPr>
                <w:sz w:val="18"/>
              </w:rPr>
            </w:pPr>
            <w:r>
              <w:rPr>
                <w:sz w:val="18"/>
              </w:rPr>
              <w:t>Risk</w:t>
            </w:r>
            <w:r>
              <w:rPr>
                <w:spacing w:val="14"/>
                <w:sz w:val="18"/>
              </w:rPr>
              <w:t xml:space="preserve"> </w:t>
            </w:r>
            <w:r>
              <w:rPr>
                <w:spacing w:val="-2"/>
                <w:sz w:val="18"/>
              </w:rPr>
              <w:t>margins</w:t>
            </w:r>
          </w:p>
        </w:tc>
        <w:tc>
          <w:tcPr>
            <w:tcW w:w="2065" w:type="dxa"/>
            <w:vMerge/>
            <w:tcBorders>
              <w:top w:val="nil"/>
              <w:bottom w:val="single" w:sz="6" w:space="0" w:color="000000"/>
            </w:tcBorders>
          </w:tcPr>
          <w:p w14:paraId="56604749" w14:textId="77777777" w:rsidR="00AC6F3C" w:rsidRDefault="00AC6F3C">
            <w:pPr>
              <w:rPr>
                <w:sz w:val="2"/>
                <w:szCs w:val="2"/>
              </w:rPr>
            </w:pPr>
          </w:p>
        </w:tc>
        <w:tc>
          <w:tcPr>
            <w:tcW w:w="1041" w:type="dxa"/>
            <w:vMerge/>
            <w:tcBorders>
              <w:top w:val="nil"/>
              <w:bottom w:val="single" w:sz="6" w:space="0" w:color="000000"/>
            </w:tcBorders>
          </w:tcPr>
          <w:p w14:paraId="469BA29F" w14:textId="77777777" w:rsidR="00AC6F3C" w:rsidRDefault="00AC6F3C">
            <w:pPr>
              <w:rPr>
                <w:sz w:val="2"/>
                <w:szCs w:val="2"/>
              </w:rPr>
            </w:pPr>
          </w:p>
        </w:tc>
        <w:tc>
          <w:tcPr>
            <w:tcW w:w="1198" w:type="dxa"/>
            <w:vMerge/>
            <w:tcBorders>
              <w:top w:val="nil"/>
              <w:bottom w:val="single" w:sz="6" w:space="0" w:color="000000"/>
            </w:tcBorders>
          </w:tcPr>
          <w:p w14:paraId="5BBA8534" w14:textId="77777777" w:rsidR="00AC6F3C" w:rsidRDefault="00AC6F3C">
            <w:pPr>
              <w:rPr>
                <w:sz w:val="2"/>
                <w:szCs w:val="2"/>
              </w:rPr>
            </w:pPr>
          </w:p>
        </w:tc>
        <w:tc>
          <w:tcPr>
            <w:tcW w:w="891" w:type="dxa"/>
            <w:tcBorders>
              <w:right w:val="single" w:sz="6" w:space="0" w:color="000000"/>
            </w:tcBorders>
          </w:tcPr>
          <w:p w14:paraId="1D94F4C2" w14:textId="77777777" w:rsidR="00AC6F3C" w:rsidRDefault="00570E88">
            <w:pPr>
              <w:pStyle w:val="TableParagraph"/>
              <w:spacing w:before="50"/>
              <w:ind w:right="19"/>
              <w:jc w:val="right"/>
              <w:rPr>
                <w:sz w:val="18"/>
              </w:rPr>
            </w:pPr>
            <w:r>
              <w:rPr>
                <w:spacing w:val="-2"/>
                <w:sz w:val="18"/>
              </w:rPr>
              <w:t>18,538</w:t>
            </w:r>
          </w:p>
        </w:tc>
      </w:tr>
      <w:tr w:rsidR="00AC6F3C" w14:paraId="3146DCC9" w14:textId="77777777">
        <w:trPr>
          <w:trHeight w:val="264"/>
        </w:trPr>
        <w:tc>
          <w:tcPr>
            <w:tcW w:w="3148" w:type="dxa"/>
            <w:tcBorders>
              <w:left w:val="single" w:sz="6" w:space="0" w:color="000000"/>
              <w:bottom w:val="single" w:sz="6" w:space="0" w:color="000000"/>
            </w:tcBorders>
          </w:tcPr>
          <w:p w14:paraId="6D262B1E" w14:textId="77777777" w:rsidR="00AC6F3C" w:rsidRDefault="00570E88">
            <w:pPr>
              <w:pStyle w:val="TableParagraph"/>
              <w:spacing w:before="20"/>
              <w:ind w:left="37"/>
              <w:rPr>
                <w:sz w:val="18"/>
              </w:rPr>
            </w:pPr>
            <w:r>
              <w:rPr>
                <w:sz w:val="18"/>
              </w:rPr>
              <w:t>Claims</w:t>
            </w:r>
            <w:r>
              <w:rPr>
                <w:spacing w:val="37"/>
                <w:sz w:val="18"/>
              </w:rPr>
              <w:t xml:space="preserve"> </w:t>
            </w:r>
            <w:r>
              <w:rPr>
                <w:spacing w:val="-2"/>
                <w:sz w:val="18"/>
              </w:rPr>
              <w:t>handling</w:t>
            </w:r>
          </w:p>
        </w:tc>
        <w:tc>
          <w:tcPr>
            <w:tcW w:w="2065" w:type="dxa"/>
            <w:vMerge/>
            <w:tcBorders>
              <w:top w:val="nil"/>
              <w:bottom w:val="single" w:sz="6" w:space="0" w:color="000000"/>
            </w:tcBorders>
          </w:tcPr>
          <w:p w14:paraId="6C510D9D" w14:textId="77777777" w:rsidR="00AC6F3C" w:rsidRDefault="00AC6F3C">
            <w:pPr>
              <w:rPr>
                <w:sz w:val="2"/>
                <w:szCs w:val="2"/>
              </w:rPr>
            </w:pPr>
          </w:p>
        </w:tc>
        <w:tc>
          <w:tcPr>
            <w:tcW w:w="1041" w:type="dxa"/>
            <w:vMerge/>
            <w:tcBorders>
              <w:top w:val="nil"/>
              <w:bottom w:val="single" w:sz="6" w:space="0" w:color="000000"/>
            </w:tcBorders>
          </w:tcPr>
          <w:p w14:paraId="7C8439A4" w14:textId="77777777" w:rsidR="00AC6F3C" w:rsidRDefault="00AC6F3C">
            <w:pPr>
              <w:rPr>
                <w:sz w:val="2"/>
                <w:szCs w:val="2"/>
              </w:rPr>
            </w:pPr>
          </w:p>
        </w:tc>
        <w:tc>
          <w:tcPr>
            <w:tcW w:w="1198" w:type="dxa"/>
            <w:vMerge/>
            <w:tcBorders>
              <w:top w:val="nil"/>
              <w:bottom w:val="single" w:sz="6" w:space="0" w:color="000000"/>
            </w:tcBorders>
          </w:tcPr>
          <w:p w14:paraId="77A44149" w14:textId="77777777" w:rsidR="00AC6F3C" w:rsidRDefault="00AC6F3C">
            <w:pPr>
              <w:rPr>
                <w:sz w:val="2"/>
                <w:szCs w:val="2"/>
              </w:rPr>
            </w:pPr>
          </w:p>
        </w:tc>
        <w:tc>
          <w:tcPr>
            <w:tcW w:w="891" w:type="dxa"/>
            <w:tcBorders>
              <w:bottom w:val="single" w:sz="6" w:space="0" w:color="000000"/>
              <w:right w:val="single" w:sz="6" w:space="0" w:color="000000"/>
            </w:tcBorders>
          </w:tcPr>
          <w:p w14:paraId="73697F55" w14:textId="77777777" w:rsidR="00AC6F3C" w:rsidRDefault="00570E88">
            <w:pPr>
              <w:pStyle w:val="TableParagraph"/>
              <w:spacing w:before="50" w:line="194" w:lineRule="exact"/>
              <w:ind w:right="19"/>
              <w:jc w:val="right"/>
              <w:rPr>
                <w:sz w:val="18"/>
              </w:rPr>
            </w:pPr>
            <w:r>
              <w:rPr>
                <w:spacing w:val="-2"/>
                <w:sz w:val="18"/>
              </w:rPr>
              <w:t>5,622</w:t>
            </w:r>
          </w:p>
        </w:tc>
      </w:tr>
      <w:tr w:rsidR="00AC6F3C" w14:paraId="47D4A04C" w14:textId="77777777">
        <w:trPr>
          <w:trHeight w:val="284"/>
        </w:trPr>
        <w:tc>
          <w:tcPr>
            <w:tcW w:w="3148" w:type="dxa"/>
            <w:tcBorders>
              <w:top w:val="single" w:sz="6" w:space="0" w:color="000000"/>
              <w:left w:val="single" w:sz="6" w:space="0" w:color="000000"/>
              <w:bottom w:val="single" w:sz="6" w:space="0" w:color="000000"/>
            </w:tcBorders>
            <w:shd w:val="clear" w:color="auto" w:fill="BEBEBE"/>
          </w:tcPr>
          <w:p w14:paraId="0690DD12" w14:textId="77777777" w:rsidR="00AC6F3C" w:rsidRDefault="00570E88">
            <w:pPr>
              <w:pStyle w:val="TableParagraph"/>
              <w:spacing w:before="41"/>
              <w:ind w:left="37"/>
              <w:rPr>
                <w:b/>
                <w:sz w:val="18"/>
              </w:rPr>
            </w:pPr>
            <w:r>
              <w:rPr>
                <w:b/>
                <w:sz w:val="18"/>
              </w:rPr>
              <w:t>Net</w:t>
            </w:r>
            <w:r>
              <w:rPr>
                <w:b/>
                <w:spacing w:val="-13"/>
                <w:sz w:val="18"/>
              </w:rPr>
              <w:t xml:space="preserve"> </w:t>
            </w:r>
            <w:r>
              <w:rPr>
                <w:b/>
                <w:sz w:val="18"/>
              </w:rPr>
              <w:t>claims</w:t>
            </w:r>
            <w:r>
              <w:rPr>
                <w:b/>
                <w:spacing w:val="-9"/>
                <w:sz w:val="18"/>
              </w:rPr>
              <w:t xml:space="preserve"> </w:t>
            </w:r>
            <w:r>
              <w:rPr>
                <w:b/>
                <w:spacing w:val="-2"/>
                <w:sz w:val="18"/>
              </w:rPr>
              <w:t>outstanding</w:t>
            </w:r>
          </w:p>
        </w:tc>
        <w:tc>
          <w:tcPr>
            <w:tcW w:w="2065" w:type="dxa"/>
            <w:tcBorders>
              <w:top w:val="single" w:sz="6" w:space="0" w:color="000000"/>
              <w:bottom w:val="single" w:sz="6" w:space="0" w:color="000000"/>
            </w:tcBorders>
            <w:shd w:val="clear" w:color="auto" w:fill="BEBEBE"/>
          </w:tcPr>
          <w:p w14:paraId="7E7DAB0A" w14:textId="77777777" w:rsidR="00AC6F3C" w:rsidRDefault="00AC6F3C">
            <w:pPr>
              <w:pStyle w:val="TableParagraph"/>
              <w:rPr>
                <w:rFonts w:ascii="Times New Roman"/>
                <w:sz w:val="18"/>
              </w:rPr>
            </w:pPr>
          </w:p>
        </w:tc>
        <w:tc>
          <w:tcPr>
            <w:tcW w:w="1041" w:type="dxa"/>
            <w:tcBorders>
              <w:top w:val="single" w:sz="6" w:space="0" w:color="000000"/>
              <w:bottom w:val="single" w:sz="6" w:space="0" w:color="000000"/>
            </w:tcBorders>
            <w:shd w:val="clear" w:color="auto" w:fill="BEBEBE"/>
          </w:tcPr>
          <w:p w14:paraId="3617A4FB" w14:textId="77777777" w:rsidR="00AC6F3C" w:rsidRDefault="00AC6F3C">
            <w:pPr>
              <w:pStyle w:val="TableParagraph"/>
              <w:rPr>
                <w:rFonts w:ascii="Times New Roman"/>
                <w:sz w:val="18"/>
              </w:rPr>
            </w:pPr>
          </w:p>
        </w:tc>
        <w:tc>
          <w:tcPr>
            <w:tcW w:w="1198" w:type="dxa"/>
            <w:tcBorders>
              <w:top w:val="single" w:sz="6" w:space="0" w:color="000000"/>
              <w:bottom w:val="single" w:sz="6" w:space="0" w:color="000000"/>
            </w:tcBorders>
            <w:shd w:val="clear" w:color="auto" w:fill="BEBEBE"/>
          </w:tcPr>
          <w:p w14:paraId="4420FEE2" w14:textId="77777777" w:rsidR="00AC6F3C" w:rsidRDefault="00AC6F3C">
            <w:pPr>
              <w:pStyle w:val="TableParagraph"/>
              <w:rPr>
                <w:rFonts w:ascii="Times New Roman"/>
                <w:sz w:val="18"/>
              </w:rPr>
            </w:pPr>
          </w:p>
        </w:tc>
        <w:tc>
          <w:tcPr>
            <w:tcW w:w="891" w:type="dxa"/>
            <w:tcBorders>
              <w:top w:val="single" w:sz="6" w:space="0" w:color="000000"/>
              <w:bottom w:val="single" w:sz="6" w:space="0" w:color="000000"/>
              <w:right w:val="single" w:sz="6" w:space="0" w:color="000000"/>
            </w:tcBorders>
            <w:shd w:val="clear" w:color="auto" w:fill="BEBEBE"/>
          </w:tcPr>
          <w:p w14:paraId="40DF0BCD" w14:textId="77777777" w:rsidR="00AC6F3C" w:rsidRDefault="00570E88">
            <w:pPr>
              <w:pStyle w:val="TableParagraph"/>
              <w:spacing w:before="41"/>
              <w:ind w:right="19"/>
              <w:jc w:val="right"/>
              <w:rPr>
                <w:b/>
                <w:sz w:val="18"/>
              </w:rPr>
            </w:pPr>
            <w:r>
              <w:rPr>
                <w:b/>
                <w:spacing w:val="-2"/>
                <w:sz w:val="18"/>
              </w:rPr>
              <w:t>71,869</w:t>
            </w:r>
          </w:p>
        </w:tc>
      </w:tr>
    </w:tbl>
    <w:p w14:paraId="431661DF" w14:textId="77777777" w:rsidR="00AC6F3C" w:rsidRDefault="00AC6F3C">
      <w:pPr>
        <w:pStyle w:val="BodyText"/>
        <w:rPr>
          <w:b/>
        </w:rPr>
      </w:pPr>
    </w:p>
    <w:p w14:paraId="4CB56ED2" w14:textId="77777777" w:rsidR="00AC6F3C" w:rsidRDefault="00AC6F3C">
      <w:pPr>
        <w:pStyle w:val="BodyText"/>
        <w:rPr>
          <w:b/>
        </w:rPr>
      </w:pPr>
    </w:p>
    <w:p w14:paraId="67693AB7" w14:textId="77777777" w:rsidR="00AC6F3C" w:rsidRDefault="00AC6F3C">
      <w:pPr>
        <w:pStyle w:val="BodyText"/>
        <w:rPr>
          <w:b/>
          <w:sz w:val="24"/>
        </w:rPr>
      </w:pPr>
    </w:p>
    <w:p w14:paraId="4AFE62CF" w14:textId="77777777" w:rsidR="00AC6F3C" w:rsidRDefault="00570E88">
      <w:pPr>
        <w:ind w:left="958"/>
        <w:rPr>
          <w:b/>
          <w:sz w:val="18"/>
        </w:rPr>
      </w:pPr>
      <w:r>
        <w:rPr>
          <w:b/>
          <w:sz w:val="18"/>
        </w:rPr>
        <w:t>Risk</w:t>
      </w:r>
      <w:r>
        <w:rPr>
          <w:b/>
          <w:spacing w:val="-2"/>
          <w:sz w:val="18"/>
        </w:rPr>
        <w:t xml:space="preserve"> margin</w:t>
      </w:r>
    </w:p>
    <w:p w14:paraId="1C21815C" w14:textId="77777777" w:rsidR="00AC6F3C" w:rsidRDefault="00AC6F3C">
      <w:pPr>
        <w:pStyle w:val="BodyText"/>
        <w:rPr>
          <w:b/>
          <w:sz w:val="21"/>
        </w:rPr>
      </w:pPr>
    </w:p>
    <w:p w14:paraId="4C6C57F3" w14:textId="77777777" w:rsidR="00AC6F3C" w:rsidRDefault="00570E88">
      <w:pPr>
        <w:ind w:left="958" w:right="1099"/>
        <w:rPr>
          <w:sz w:val="18"/>
        </w:rPr>
      </w:pPr>
      <w:r>
        <w:rPr>
          <w:sz w:val="18"/>
        </w:rPr>
        <w:t>The</w:t>
      </w:r>
      <w:r>
        <w:rPr>
          <w:spacing w:val="-1"/>
          <w:sz w:val="18"/>
        </w:rPr>
        <w:t xml:space="preserve"> </w:t>
      </w:r>
      <w:r>
        <w:rPr>
          <w:sz w:val="18"/>
        </w:rPr>
        <w:t>risk</w:t>
      </w:r>
      <w:r>
        <w:rPr>
          <w:spacing w:val="-3"/>
          <w:sz w:val="18"/>
        </w:rPr>
        <w:t xml:space="preserve"> </w:t>
      </w:r>
      <w:r>
        <w:rPr>
          <w:sz w:val="18"/>
        </w:rPr>
        <w:t>margin</w:t>
      </w:r>
      <w:r>
        <w:rPr>
          <w:spacing w:val="-1"/>
          <w:sz w:val="18"/>
        </w:rPr>
        <w:t xml:space="preserve"> </w:t>
      </w:r>
      <w:r>
        <w:rPr>
          <w:sz w:val="18"/>
        </w:rPr>
        <w:t>(after</w:t>
      </w:r>
      <w:r>
        <w:rPr>
          <w:spacing w:val="-4"/>
          <w:sz w:val="18"/>
        </w:rPr>
        <w:t xml:space="preserve"> </w:t>
      </w:r>
      <w:r>
        <w:rPr>
          <w:sz w:val="18"/>
        </w:rPr>
        <w:t>allowance</w:t>
      </w:r>
      <w:r>
        <w:rPr>
          <w:spacing w:val="-1"/>
          <w:sz w:val="18"/>
        </w:rPr>
        <w:t xml:space="preserve"> </w:t>
      </w:r>
      <w:r>
        <w:rPr>
          <w:sz w:val="18"/>
        </w:rPr>
        <w:t>for</w:t>
      </w:r>
      <w:r>
        <w:rPr>
          <w:spacing w:val="-4"/>
          <w:sz w:val="18"/>
        </w:rPr>
        <w:t xml:space="preserve"> </w:t>
      </w:r>
      <w:r>
        <w:rPr>
          <w:sz w:val="18"/>
        </w:rPr>
        <w:t>claims</w:t>
      </w:r>
      <w:r>
        <w:rPr>
          <w:spacing w:val="-1"/>
          <w:sz w:val="18"/>
        </w:rPr>
        <w:t xml:space="preserve"> </w:t>
      </w:r>
      <w:r>
        <w:rPr>
          <w:sz w:val="18"/>
        </w:rPr>
        <w:t>handling</w:t>
      </w:r>
      <w:r>
        <w:rPr>
          <w:spacing w:val="-1"/>
          <w:sz w:val="18"/>
        </w:rPr>
        <w:t xml:space="preserve"> </w:t>
      </w:r>
      <w:r>
        <w:rPr>
          <w:sz w:val="18"/>
        </w:rPr>
        <w:t>expenses)</w:t>
      </w:r>
      <w:r>
        <w:rPr>
          <w:spacing w:val="-2"/>
          <w:sz w:val="18"/>
        </w:rPr>
        <w:t xml:space="preserve"> </w:t>
      </w:r>
      <w:r>
        <w:rPr>
          <w:sz w:val="18"/>
        </w:rPr>
        <w:t>included</w:t>
      </w:r>
      <w:r>
        <w:rPr>
          <w:spacing w:val="-1"/>
          <w:sz w:val="18"/>
        </w:rPr>
        <w:t xml:space="preserve"> </w:t>
      </w:r>
      <w:r>
        <w:rPr>
          <w:sz w:val="18"/>
        </w:rPr>
        <w:t>in</w:t>
      </w:r>
      <w:r>
        <w:rPr>
          <w:spacing w:val="-4"/>
          <w:sz w:val="18"/>
        </w:rPr>
        <w:t xml:space="preserve"> </w:t>
      </w:r>
      <w:r>
        <w:rPr>
          <w:sz w:val="18"/>
        </w:rPr>
        <w:t>the</w:t>
      </w:r>
      <w:r>
        <w:rPr>
          <w:spacing w:val="-4"/>
          <w:sz w:val="18"/>
        </w:rPr>
        <w:t xml:space="preserve"> </w:t>
      </w:r>
      <w:r>
        <w:rPr>
          <w:sz w:val="18"/>
        </w:rPr>
        <w:t>net</w:t>
      </w:r>
      <w:r>
        <w:rPr>
          <w:spacing w:val="-4"/>
          <w:sz w:val="18"/>
        </w:rPr>
        <w:t xml:space="preserve"> </w:t>
      </w:r>
      <w:r>
        <w:rPr>
          <w:sz w:val="18"/>
        </w:rPr>
        <w:t>outstanding</w:t>
      </w:r>
      <w:r>
        <w:rPr>
          <w:spacing w:val="-4"/>
          <w:sz w:val="18"/>
        </w:rPr>
        <w:t xml:space="preserve"> </w:t>
      </w:r>
      <w:r>
        <w:rPr>
          <w:sz w:val="18"/>
        </w:rPr>
        <w:t>claims</w:t>
      </w:r>
      <w:r>
        <w:rPr>
          <w:spacing w:val="-1"/>
          <w:sz w:val="18"/>
        </w:rPr>
        <w:t xml:space="preserve"> </w:t>
      </w:r>
      <w:r>
        <w:rPr>
          <w:sz w:val="18"/>
        </w:rPr>
        <w:t>is 38.5% (2021-22: 36.8% of the central estimate, with a probability of sufficiency of approximately 90% (2021-22: 90%).</w:t>
      </w:r>
    </w:p>
    <w:p w14:paraId="7376E196" w14:textId="77777777" w:rsidR="00AC6F3C" w:rsidRDefault="00AC6F3C">
      <w:pPr>
        <w:rPr>
          <w:sz w:val="18"/>
        </w:rPr>
        <w:sectPr w:rsidR="00AC6F3C">
          <w:pgSz w:w="11910" w:h="16840"/>
          <w:pgMar w:top="2020" w:right="1160" w:bottom="520" w:left="460" w:header="1228" w:footer="336" w:gutter="0"/>
          <w:cols w:space="720"/>
        </w:sectPr>
      </w:pPr>
    </w:p>
    <w:p w14:paraId="32B92F4E" w14:textId="77777777" w:rsidR="00AC6F3C" w:rsidRDefault="00AC6F3C">
      <w:pPr>
        <w:pStyle w:val="BodyText"/>
      </w:pPr>
    </w:p>
    <w:p w14:paraId="055887E6" w14:textId="77777777" w:rsidR="00AC6F3C" w:rsidRDefault="00570E88">
      <w:pPr>
        <w:tabs>
          <w:tab w:val="left" w:pos="1666"/>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30623DC0" w14:textId="77777777" w:rsidR="00AC6F3C" w:rsidRDefault="00AC6F3C">
      <w:pPr>
        <w:pStyle w:val="BodyText"/>
        <w:rPr>
          <w:b/>
          <w:sz w:val="24"/>
        </w:rPr>
      </w:pPr>
    </w:p>
    <w:p w14:paraId="43E7B542" w14:textId="77777777" w:rsidR="00AC6F3C" w:rsidRDefault="00570E88">
      <w:pPr>
        <w:pStyle w:val="Heading7"/>
        <w:tabs>
          <w:tab w:val="left" w:pos="1680"/>
        </w:tabs>
        <w:spacing w:before="1"/>
      </w:pPr>
      <w:r>
        <w:rPr>
          <w:spacing w:val="-2"/>
        </w:rPr>
        <w:t>C8-</w:t>
      </w:r>
      <w:r>
        <w:rPr>
          <w:spacing w:val="-10"/>
        </w:rPr>
        <w:t>2</w:t>
      </w:r>
      <w:r>
        <w:tab/>
        <w:t>INSURANCE</w:t>
      </w:r>
      <w:r>
        <w:rPr>
          <w:spacing w:val="-5"/>
        </w:rPr>
        <w:t xml:space="preserve"> </w:t>
      </w:r>
      <w:r>
        <w:t>LIABILITIES</w:t>
      </w:r>
      <w:r>
        <w:rPr>
          <w:spacing w:val="-5"/>
        </w:rPr>
        <w:t xml:space="preserve"> </w:t>
      </w:r>
      <w:r>
        <w:rPr>
          <w:spacing w:val="-2"/>
        </w:rPr>
        <w:t>(continued)</w:t>
      </w:r>
    </w:p>
    <w:p w14:paraId="2B217BE5" w14:textId="77777777" w:rsidR="00AC6F3C" w:rsidRDefault="00AC6F3C">
      <w:pPr>
        <w:pStyle w:val="BodyText"/>
        <w:spacing w:before="9"/>
        <w:rPr>
          <w:b/>
        </w:rPr>
      </w:pPr>
    </w:p>
    <w:p w14:paraId="3E9ACEA4" w14:textId="77777777" w:rsidR="00AC6F3C" w:rsidRDefault="00570E88">
      <w:pPr>
        <w:numPr>
          <w:ilvl w:val="0"/>
          <w:numId w:val="31"/>
        </w:numPr>
        <w:tabs>
          <w:tab w:val="left" w:pos="1423"/>
        </w:tabs>
        <w:ind w:hanging="465"/>
        <w:rPr>
          <w:b/>
          <w:sz w:val="20"/>
        </w:rPr>
      </w:pPr>
      <w:r>
        <w:rPr>
          <w:b/>
          <w:sz w:val="20"/>
        </w:rPr>
        <w:t>Provision</w:t>
      </w:r>
      <w:r>
        <w:rPr>
          <w:b/>
          <w:spacing w:val="-10"/>
          <w:sz w:val="20"/>
        </w:rPr>
        <w:t xml:space="preserve"> </w:t>
      </w:r>
      <w:r>
        <w:rPr>
          <w:b/>
          <w:sz w:val="20"/>
        </w:rPr>
        <w:t>for</w:t>
      </w:r>
      <w:r>
        <w:rPr>
          <w:b/>
          <w:spacing w:val="-8"/>
          <w:sz w:val="20"/>
        </w:rPr>
        <w:t xml:space="preserve"> </w:t>
      </w:r>
      <w:r>
        <w:rPr>
          <w:b/>
          <w:sz w:val="20"/>
        </w:rPr>
        <w:t>outstanding</w:t>
      </w:r>
      <w:r>
        <w:rPr>
          <w:b/>
          <w:spacing w:val="-9"/>
          <w:sz w:val="20"/>
        </w:rPr>
        <w:t xml:space="preserve"> </w:t>
      </w:r>
      <w:r>
        <w:rPr>
          <w:b/>
          <w:sz w:val="20"/>
        </w:rPr>
        <w:t>claims</w:t>
      </w:r>
      <w:r>
        <w:rPr>
          <w:b/>
          <w:spacing w:val="-8"/>
          <w:sz w:val="20"/>
        </w:rPr>
        <w:t xml:space="preserve"> </w:t>
      </w:r>
      <w:r>
        <w:rPr>
          <w:b/>
          <w:spacing w:val="-2"/>
          <w:sz w:val="20"/>
        </w:rPr>
        <w:t>(continued)</w:t>
      </w:r>
    </w:p>
    <w:p w14:paraId="53F64A3C" w14:textId="77777777" w:rsidR="00AC6F3C" w:rsidRDefault="00AC6F3C">
      <w:pPr>
        <w:pStyle w:val="BodyText"/>
        <w:spacing w:before="9"/>
        <w:rPr>
          <w:b/>
        </w:rPr>
      </w:pPr>
    </w:p>
    <w:p w14:paraId="2A8AC5C7" w14:textId="77777777" w:rsidR="00AC6F3C" w:rsidRDefault="00570E88">
      <w:pPr>
        <w:spacing w:before="1"/>
        <w:ind w:left="958"/>
        <w:rPr>
          <w:b/>
          <w:sz w:val="18"/>
        </w:rPr>
      </w:pPr>
      <w:r>
        <w:rPr>
          <w:b/>
          <w:sz w:val="18"/>
        </w:rPr>
        <w:t>Claims</w:t>
      </w:r>
      <w:r>
        <w:rPr>
          <w:b/>
          <w:spacing w:val="-2"/>
          <w:sz w:val="18"/>
        </w:rPr>
        <w:t xml:space="preserve"> </w:t>
      </w:r>
      <w:r>
        <w:rPr>
          <w:b/>
          <w:sz w:val="18"/>
        </w:rPr>
        <w:t>incurred</w:t>
      </w:r>
      <w:r>
        <w:rPr>
          <w:b/>
          <w:spacing w:val="-2"/>
          <w:sz w:val="18"/>
        </w:rPr>
        <w:t xml:space="preserve"> development</w:t>
      </w:r>
    </w:p>
    <w:p w14:paraId="28D21EF0" w14:textId="77777777" w:rsidR="00AC6F3C" w:rsidRDefault="00AC6F3C">
      <w:pPr>
        <w:pStyle w:val="BodyText"/>
        <w:spacing w:before="9"/>
        <w:rPr>
          <w:b/>
        </w:rPr>
      </w:pPr>
    </w:p>
    <w:p w14:paraId="1FF9A725" w14:textId="77777777" w:rsidR="00AC6F3C" w:rsidRDefault="00570E88">
      <w:pPr>
        <w:ind w:left="958" w:right="990"/>
        <w:rPr>
          <w:sz w:val="18"/>
        </w:rPr>
      </w:pPr>
      <w:r>
        <w:rPr>
          <w:sz w:val="18"/>
        </w:rPr>
        <w:t>Current year claims relate to risks borne in the current reporting year.</w:t>
      </w:r>
      <w:r>
        <w:rPr>
          <w:spacing w:val="40"/>
          <w:sz w:val="18"/>
        </w:rPr>
        <w:t xml:space="preserve"> </w:t>
      </w:r>
      <w:r>
        <w:rPr>
          <w:sz w:val="18"/>
        </w:rPr>
        <w:t>Prior year claims relate to a reassessment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risks</w:t>
      </w:r>
      <w:r>
        <w:rPr>
          <w:spacing w:val="-1"/>
          <w:sz w:val="18"/>
        </w:rPr>
        <w:t xml:space="preserve"> </w:t>
      </w:r>
      <w:r>
        <w:rPr>
          <w:sz w:val="18"/>
        </w:rPr>
        <w:t>borne</w:t>
      </w:r>
      <w:r>
        <w:rPr>
          <w:spacing w:val="-1"/>
          <w:sz w:val="18"/>
        </w:rPr>
        <w:t xml:space="preserve"> </w:t>
      </w:r>
      <w:r>
        <w:rPr>
          <w:sz w:val="18"/>
        </w:rPr>
        <w:t>in</w:t>
      </w:r>
      <w:r>
        <w:rPr>
          <w:spacing w:val="-4"/>
          <w:sz w:val="18"/>
        </w:rPr>
        <w:t xml:space="preserve"> </w:t>
      </w:r>
      <w:r>
        <w:rPr>
          <w:sz w:val="18"/>
        </w:rPr>
        <w:t>all</w:t>
      </w:r>
      <w:r>
        <w:rPr>
          <w:spacing w:val="-4"/>
          <w:sz w:val="18"/>
        </w:rPr>
        <w:t xml:space="preserve"> </w:t>
      </w:r>
      <w:r>
        <w:rPr>
          <w:sz w:val="18"/>
        </w:rPr>
        <w:t>previous</w:t>
      </w:r>
      <w:r>
        <w:rPr>
          <w:spacing w:val="-1"/>
          <w:sz w:val="18"/>
        </w:rPr>
        <w:t xml:space="preserve"> </w:t>
      </w:r>
      <w:r>
        <w:rPr>
          <w:sz w:val="18"/>
        </w:rPr>
        <w:t>reporting</w:t>
      </w:r>
      <w:r>
        <w:rPr>
          <w:spacing w:val="-4"/>
          <w:sz w:val="18"/>
        </w:rPr>
        <w:t xml:space="preserve"> </w:t>
      </w:r>
      <w:r>
        <w:rPr>
          <w:sz w:val="18"/>
        </w:rPr>
        <w:t>years</w:t>
      </w:r>
      <w:r>
        <w:rPr>
          <w:spacing w:val="-1"/>
          <w:sz w:val="18"/>
        </w:rPr>
        <w:t xml:space="preserve"> </w:t>
      </w:r>
      <w:r>
        <w:rPr>
          <w:sz w:val="18"/>
        </w:rPr>
        <w:t>and</w:t>
      </w:r>
      <w:r>
        <w:rPr>
          <w:spacing w:val="-1"/>
          <w:sz w:val="18"/>
        </w:rPr>
        <w:t xml:space="preserve"> </w:t>
      </w:r>
      <w:r>
        <w:rPr>
          <w:sz w:val="18"/>
        </w:rPr>
        <w:t>include</w:t>
      </w:r>
      <w:r>
        <w:rPr>
          <w:spacing w:val="-1"/>
          <w:sz w:val="18"/>
        </w:rPr>
        <w:t xml:space="preserve"> </w:t>
      </w:r>
      <w:r>
        <w:rPr>
          <w:sz w:val="18"/>
        </w:rPr>
        <w:t>releases</w:t>
      </w:r>
      <w:r>
        <w:rPr>
          <w:spacing w:val="-1"/>
          <w:sz w:val="18"/>
        </w:rPr>
        <w:t xml:space="preserve"> </w:t>
      </w:r>
      <w:r>
        <w:rPr>
          <w:sz w:val="18"/>
        </w:rPr>
        <w:t>of</w:t>
      </w:r>
      <w:r>
        <w:rPr>
          <w:spacing w:val="-2"/>
          <w:sz w:val="18"/>
        </w:rPr>
        <w:t xml:space="preserve"> </w:t>
      </w:r>
      <w:r>
        <w:rPr>
          <w:sz w:val="18"/>
        </w:rPr>
        <w:t>risk</w:t>
      </w:r>
      <w:r>
        <w:rPr>
          <w:spacing w:val="-3"/>
          <w:sz w:val="18"/>
        </w:rPr>
        <w:t xml:space="preserve"> </w:t>
      </w:r>
      <w:r>
        <w:rPr>
          <w:sz w:val="18"/>
        </w:rPr>
        <w:t>margins</w:t>
      </w:r>
      <w:r>
        <w:rPr>
          <w:spacing w:val="-3"/>
          <w:sz w:val="18"/>
        </w:rPr>
        <w:t xml:space="preserve"> </w:t>
      </w:r>
      <w:r>
        <w:rPr>
          <w:sz w:val="18"/>
        </w:rPr>
        <w:t>as claims are paid.</w:t>
      </w:r>
    </w:p>
    <w:p w14:paraId="478DF4A2" w14:textId="77777777" w:rsidR="00AC6F3C" w:rsidRDefault="00AC6F3C">
      <w:pPr>
        <w:pStyle w:val="BodyText"/>
        <w:spacing w:before="10"/>
      </w:pPr>
    </w:p>
    <w:tbl>
      <w:tblPr>
        <w:tblW w:w="0" w:type="auto"/>
        <w:tblInd w:w="972" w:type="dxa"/>
        <w:tblLayout w:type="fixed"/>
        <w:tblCellMar>
          <w:left w:w="0" w:type="dxa"/>
          <w:right w:w="0" w:type="dxa"/>
        </w:tblCellMar>
        <w:tblLook w:val="01E0" w:firstRow="1" w:lastRow="1" w:firstColumn="1" w:lastColumn="1" w:noHBand="0" w:noVBand="0"/>
      </w:tblPr>
      <w:tblGrid>
        <w:gridCol w:w="2259"/>
        <w:gridCol w:w="1055"/>
        <w:gridCol w:w="889"/>
        <w:gridCol w:w="1074"/>
        <w:gridCol w:w="1238"/>
        <w:gridCol w:w="890"/>
        <w:gridCol w:w="1075"/>
      </w:tblGrid>
      <w:tr w:rsidR="00AC6F3C" w14:paraId="13062253" w14:textId="77777777">
        <w:trPr>
          <w:trHeight w:val="1007"/>
        </w:trPr>
        <w:tc>
          <w:tcPr>
            <w:tcW w:w="8480" w:type="dxa"/>
            <w:gridSpan w:val="7"/>
            <w:tcBorders>
              <w:top w:val="single" w:sz="6" w:space="0" w:color="000000"/>
              <w:left w:val="single" w:sz="6" w:space="0" w:color="000000"/>
              <w:bottom w:val="single" w:sz="6" w:space="0" w:color="000000"/>
              <w:right w:val="single" w:sz="6" w:space="0" w:color="000000"/>
            </w:tcBorders>
            <w:shd w:val="clear" w:color="auto" w:fill="BEBEBE"/>
          </w:tcPr>
          <w:p w14:paraId="2BEEBB8D" w14:textId="77777777" w:rsidR="00AC6F3C" w:rsidRDefault="00570E88">
            <w:pPr>
              <w:pStyle w:val="TableParagraph"/>
              <w:tabs>
                <w:tab w:val="left" w:pos="5567"/>
              </w:tabs>
              <w:spacing w:before="25"/>
              <w:ind w:left="2367"/>
              <w:rPr>
                <w:b/>
                <w:sz w:val="17"/>
              </w:rPr>
            </w:pPr>
            <w:r>
              <w:rPr>
                <w:b/>
                <w:sz w:val="17"/>
              </w:rPr>
              <w:t>For</w:t>
            </w:r>
            <w:r>
              <w:rPr>
                <w:b/>
                <w:spacing w:val="-9"/>
                <w:sz w:val="17"/>
              </w:rPr>
              <w:t xml:space="preserve"> </w:t>
            </w:r>
            <w:r>
              <w:rPr>
                <w:b/>
                <w:sz w:val="17"/>
              </w:rPr>
              <w:t>the</w:t>
            </w:r>
            <w:r>
              <w:rPr>
                <w:b/>
                <w:spacing w:val="-7"/>
                <w:sz w:val="17"/>
              </w:rPr>
              <w:t xml:space="preserve"> </w:t>
            </w:r>
            <w:r>
              <w:rPr>
                <w:b/>
                <w:sz w:val="17"/>
              </w:rPr>
              <w:t>year</w:t>
            </w:r>
            <w:r>
              <w:rPr>
                <w:b/>
                <w:spacing w:val="-6"/>
                <w:sz w:val="17"/>
              </w:rPr>
              <w:t xml:space="preserve"> </w:t>
            </w:r>
            <w:r>
              <w:rPr>
                <w:b/>
                <w:sz w:val="17"/>
              </w:rPr>
              <w:t>ended</w:t>
            </w:r>
            <w:r>
              <w:rPr>
                <w:b/>
                <w:spacing w:val="-11"/>
                <w:sz w:val="17"/>
              </w:rPr>
              <w:t xml:space="preserve"> </w:t>
            </w:r>
            <w:r>
              <w:rPr>
                <w:b/>
                <w:sz w:val="17"/>
              </w:rPr>
              <w:t>30</w:t>
            </w:r>
            <w:r>
              <w:rPr>
                <w:b/>
                <w:spacing w:val="-6"/>
                <w:sz w:val="17"/>
              </w:rPr>
              <w:t xml:space="preserve"> </w:t>
            </w:r>
            <w:r>
              <w:rPr>
                <w:b/>
                <w:sz w:val="17"/>
              </w:rPr>
              <w:t>June</w:t>
            </w:r>
            <w:r>
              <w:rPr>
                <w:b/>
                <w:spacing w:val="-6"/>
                <w:sz w:val="17"/>
              </w:rPr>
              <w:t xml:space="preserve"> </w:t>
            </w:r>
            <w:r>
              <w:rPr>
                <w:b/>
                <w:spacing w:val="-4"/>
                <w:sz w:val="17"/>
              </w:rPr>
              <w:t>2023</w:t>
            </w:r>
            <w:r>
              <w:rPr>
                <w:b/>
                <w:sz w:val="17"/>
              </w:rPr>
              <w:tab/>
              <w:t>For</w:t>
            </w:r>
            <w:r>
              <w:rPr>
                <w:b/>
                <w:spacing w:val="-11"/>
                <w:sz w:val="17"/>
              </w:rPr>
              <w:t xml:space="preserve"> </w:t>
            </w:r>
            <w:r>
              <w:rPr>
                <w:b/>
                <w:sz w:val="17"/>
              </w:rPr>
              <w:t>the</w:t>
            </w:r>
            <w:r>
              <w:rPr>
                <w:b/>
                <w:spacing w:val="-7"/>
                <w:sz w:val="17"/>
              </w:rPr>
              <w:t xml:space="preserve"> </w:t>
            </w:r>
            <w:r>
              <w:rPr>
                <w:b/>
                <w:sz w:val="17"/>
              </w:rPr>
              <w:t>year</w:t>
            </w:r>
            <w:r>
              <w:rPr>
                <w:b/>
                <w:spacing w:val="-6"/>
                <w:sz w:val="17"/>
              </w:rPr>
              <w:t xml:space="preserve"> </w:t>
            </w:r>
            <w:r>
              <w:rPr>
                <w:b/>
                <w:sz w:val="17"/>
              </w:rPr>
              <w:t>ended</w:t>
            </w:r>
            <w:r>
              <w:rPr>
                <w:b/>
                <w:spacing w:val="-11"/>
                <w:sz w:val="17"/>
              </w:rPr>
              <w:t xml:space="preserve"> </w:t>
            </w:r>
            <w:r>
              <w:rPr>
                <w:b/>
                <w:sz w:val="17"/>
              </w:rPr>
              <w:t>30</w:t>
            </w:r>
            <w:r>
              <w:rPr>
                <w:b/>
                <w:spacing w:val="-6"/>
                <w:sz w:val="17"/>
              </w:rPr>
              <w:t xml:space="preserve"> </w:t>
            </w:r>
            <w:r>
              <w:rPr>
                <w:b/>
                <w:sz w:val="17"/>
              </w:rPr>
              <w:t>June</w:t>
            </w:r>
            <w:r>
              <w:rPr>
                <w:b/>
                <w:spacing w:val="-6"/>
                <w:sz w:val="17"/>
              </w:rPr>
              <w:t xml:space="preserve"> </w:t>
            </w:r>
            <w:r>
              <w:rPr>
                <w:b/>
                <w:spacing w:val="-4"/>
                <w:sz w:val="17"/>
              </w:rPr>
              <w:t>2022</w:t>
            </w:r>
          </w:p>
          <w:p w14:paraId="009DDBC1" w14:textId="77777777" w:rsidR="00AC6F3C" w:rsidRDefault="00570E88">
            <w:pPr>
              <w:pStyle w:val="TableParagraph"/>
              <w:tabs>
                <w:tab w:val="left" w:pos="3704"/>
                <w:tab w:val="left" w:pos="3775"/>
                <w:tab w:val="left" w:pos="4842"/>
                <w:tab w:val="left" w:pos="5695"/>
                <w:tab w:val="left" w:pos="5937"/>
                <w:tab w:val="left" w:pos="6904"/>
                <w:tab w:val="left" w:pos="6975"/>
                <w:tab w:val="left" w:pos="8041"/>
              </w:tabs>
              <w:spacing w:before="87" w:line="177" w:lineRule="auto"/>
              <w:ind w:left="2737" w:right="18" w:hanging="242"/>
              <w:rPr>
                <w:b/>
                <w:sz w:val="17"/>
              </w:rPr>
            </w:pPr>
            <w:r>
              <w:rPr>
                <w:b/>
                <w:spacing w:val="-2"/>
                <w:sz w:val="17"/>
              </w:rPr>
              <w:t>Current</w:t>
            </w:r>
            <w:r>
              <w:rPr>
                <w:b/>
                <w:sz w:val="17"/>
              </w:rPr>
              <w:tab/>
            </w:r>
            <w:r>
              <w:rPr>
                <w:b/>
                <w:sz w:val="17"/>
              </w:rPr>
              <w:tab/>
            </w:r>
            <w:r>
              <w:rPr>
                <w:b/>
                <w:spacing w:val="-4"/>
                <w:sz w:val="17"/>
              </w:rPr>
              <w:t>Prior</w:t>
            </w:r>
            <w:r>
              <w:rPr>
                <w:b/>
                <w:sz w:val="17"/>
              </w:rPr>
              <w:tab/>
            </w:r>
            <w:r>
              <w:rPr>
                <w:b/>
                <w:sz w:val="17"/>
              </w:rPr>
              <w:tab/>
            </w:r>
            <w:r>
              <w:rPr>
                <w:b/>
                <w:spacing w:val="-2"/>
                <w:sz w:val="17"/>
              </w:rPr>
              <w:t>Current</w:t>
            </w:r>
            <w:r>
              <w:rPr>
                <w:b/>
                <w:sz w:val="17"/>
              </w:rPr>
              <w:tab/>
            </w:r>
            <w:r>
              <w:rPr>
                <w:b/>
                <w:sz w:val="17"/>
              </w:rPr>
              <w:tab/>
            </w:r>
            <w:r>
              <w:rPr>
                <w:b/>
                <w:spacing w:val="-4"/>
                <w:sz w:val="17"/>
              </w:rPr>
              <w:t>Prior</w:t>
            </w:r>
            <w:r>
              <w:rPr>
                <w:b/>
                <w:sz w:val="17"/>
              </w:rPr>
              <w:tab/>
            </w:r>
            <w:r>
              <w:rPr>
                <w:b/>
                <w:spacing w:val="-4"/>
                <w:position w:val="-10"/>
                <w:sz w:val="17"/>
              </w:rPr>
              <w:t xml:space="preserve">Total </w:t>
            </w:r>
            <w:r>
              <w:rPr>
                <w:b/>
                <w:spacing w:val="-4"/>
                <w:sz w:val="17"/>
              </w:rPr>
              <w:t>Year</w:t>
            </w:r>
            <w:r>
              <w:rPr>
                <w:b/>
                <w:sz w:val="17"/>
              </w:rPr>
              <w:tab/>
            </w:r>
            <w:r>
              <w:rPr>
                <w:b/>
                <w:spacing w:val="-4"/>
                <w:sz w:val="17"/>
              </w:rPr>
              <w:t>Years</w:t>
            </w:r>
            <w:r>
              <w:rPr>
                <w:b/>
                <w:sz w:val="17"/>
              </w:rPr>
              <w:tab/>
            </w:r>
            <w:r>
              <w:rPr>
                <w:b/>
                <w:spacing w:val="-2"/>
                <w:sz w:val="17"/>
              </w:rPr>
              <w:t>Total</w:t>
            </w:r>
            <w:r>
              <w:rPr>
                <w:b/>
                <w:sz w:val="17"/>
              </w:rPr>
              <w:tab/>
            </w:r>
            <w:r>
              <w:rPr>
                <w:b/>
                <w:sz w:val="17"/>
              </w:rPr>
              <w:tab/>
            </w:r>
            <w:r>
              <w:rPr>
                <w:b/>
                <w:spacing w:val="-4"/>
                <w:sz w:val="17"/>
              </w:rPr>
              <w:t>Year</w:t>
            </w:r>
            <w:r>
              <w:rPr>
                <w:b/>
                <w:sz w:val="17"/>
              </w:rPr>
              <w:tab/>
            </w:r>
            <w:r>
              <w:rPr>
                <w:b/>
                <w:spacing w:val="-2"/>
                <w:sz w:val="17"/>
              </w:rPr>
              <w:t>Years</w:t>
            </w:r>
          </w:p>
          <w:p w14:paraId="43043230" w14:textId="77777777" w:rsidR="00AC6F3C" w:rsidRDefault="00570E88">
            <w:pPr>
              <w:pStyle w:val="TableParagraph"/>
              <w:tabs>
                <w:tab w:val="left" w:pos="3732"/>
                <w:tab w:val="left" w:pos="4799"/>
                <w:tab w:val="left" w:pos="5866"/>
                <w:tab w:val="left" w:pos="6932"/>
                <w:tab w:val="left" w:pos="7999"/>
              </w:tabs>
              <w:spacing w:before="71" w:line="210" w:lineRule="exact"/>
              <w:ind w:left="2666"/>
              <w:rPr>
                <w:b/>
                <w:sz w:val="17"/>
              </w:rPr>
            </w:pPr>
            <w:r>
              <w:rPr>
                <w:b/>
                <w:spacing w:val="-2"/>
                <w:sz w:val="17"/>
              </w:rPr>
              <w:t>$’000</w:t>
            </w:r>
            <w:r>
              <w:rPr>
                <w:b/>
                <w:sz w:val="17"/>
              </w:rPr>
              <w:tab/>
            </w:r>
            <w:r>
              <w:rPr>
                <w:b/>
                <w:spacing w:val="-2"/>
                <w:sz w:val="17"/>
              </w:rPr>
              <w:t>$’000</w:t>
            </w:r>
            <w:r>
              <w:rPr>
                <w:b/>
                <w:sz w:val="17"/>
              </w:rPr>
              <w:tab/>
            </w:r>
            <w:r>
              <w:rPr>
                <w:b/>
                <w:spacing w:val="-4"/>
                <w:position w:val="-2"/>
                <w:sz w:val="17"/>
              </w:rPr>
              <w:t>$’000</w:t>
            </w:r>
            <w:r>
              <w:rPr>
                <w:b/>
                <w:position w:val="-2"/>
                <w:sz w:val="17"/>
              </w:rPr>
              <w:tab/>
            </w:r>
            <w:r>
              <w:rPr>
                <w:b/>
                <w:spacing w:val="-4"/>
                <w:sz w:val="17"/>
              </w:rPr>
              <w:t>$’000</w:t>
            </w:r>
            <w:r>
              <w:rPr>
                <w:b/>
                <w:sz w:val="17"/>
              </w:rPr>
              <w:tab/>
            </w:r>
            <w:r>
              <w:rPr>
                <w:b/>
                <w:spacing w:val="-4"/>
                <w:sz w:val="17"/>
              </w:rPr>
              <w:t>$’000</w:t>
            </w:r>
            <w:r>
              <w:rPr>
                <w:b/>
                <w:sz w:val="17"/>
              </w:rPr>
              <w:tab/>
            </w:r>
            <w:r>
              <w:rPr>
                <w:b/>
                <w:spacing w:val="-2"/>
                <w:sz w:val="17"/>
              </w:rPr>
              <w:t>$’000</w:t>
            </w:r>
          </w:p>
        </w:tc>
      </w:tr>
      <w:tr w:rsidR="00AC6F3C" w14:paraId="518AAF71" w14:textId="77777777">
        <w:trPr>
          <w:trHeight w:val="281"/>
        </w:trPr>
        <w:tc>
          <w:tcPr>
            <w:tcW w:w="2259" w:type="dxa"/>
            <w:tcBorders>
              <w:top w:val="single" w:sz="6" w:space="0" w:color="000000"/>
              <w:left w:val="single" w:sz="6" w:space="0" w:color="000000"/>
            </w:tcBorders>
          </w:tcPr>
          <w:p w14:paraId="6D5F82A5" w14:textId="77777777" w:rsidR="00AC6F3C" w:rsidRDefault="00570E88">
            <w:pPr>
              <w:pStyle w:val="TableParagraph"/>
              <w:spacing w:before="39"/>
              <w:ind w:left="35"/>
              <w:rPr>
                <w:b/>
                <w:sz w:val="17"/>
              </w:rPr>
            </w:pPr>
            <w:r>
              <w:rPr>
                <w:b/>
                <w:sz w:val="17"/>
              </w:rPr>
              <w:t>Gross</w:t>
            </w:r>
            <w:r>
              <w:rPr>
                <w:b/>
                <w:spacing w:val="-7"/>
                <w:sz w:val="17"/>
              </w:rPr>
              <w:t xml:space="preserve"> </w:t>
            </w:r>
            <w:r>
              <w:rPr>
                <w:b/>
                <w:sz w:val="17"/>
              </w:rPr>
              <w:t>claims</w:t>
            </w:r>
            <w:r>
              <w:rPr>
                <w:b/>
                <w:spacing w:val="-7"/>
                <w:sz w:val="17"/>
              </w:rPr>
              <w:t xml:space="preserve"> </w:t>
            </w:r>
            <w:r>
              <w:rPr>
                <w:b/>
                <w:spacing w:val="-2"/>
                <w:sz w:val="17"/>
              </w:rPr>
              <w:t>incurred</w:t>
            </w:r>
          </w:p>
        </w:tc>
        <w:tc>
          <w:tcPr>
            <w:tcW w:w="1055" w:type="dxa"/>
            <w:tcBorders>
              <w:top w:val="single" w:sz="6" w:space="0" w:color="000000"/>
            </w:tcBorders>
          </w:tcPr>
          <w:p w14:paraId="0423F280" w14:textId="77777777" w:rsidR="00AC6F3C" w:rsidRDefault="00AC6F3C">
            <w:pPr>
              <w:pStyle w:val="TableParagraph"/>
              <w:rPr>
                <w:rFonts w:ascii="Times New Roman"/>
                <w:sz w:val="18"/>
              </w:rPr>
            </w:pPr>
          </w:p>
        </w:tc>
        <w:tc>
          <w:tcPr>
            <w:tcW w:w="889" w:type="dxa"/>
            <w:tcBorders>
              <w:top w:val="single" w:sz="6" w:space="0" w:color="000000"/>
            </w:tcBorders>
          </w:tcPr>
          <w:p w14:paraId="721AC408" w14:textId="77777777" w:rsidR="00AC6F3C" w:rsidRDefault="00AC6F3C">
            <w:pPr>
              <w:pStyle w:val="TableParagraph"/>
              <w:rPr>
                <w:rFonts w:ascii="Times New Roman"/>
                <w:sz w:val="18"/>
              </w:rPr>
            </w:pPr>
          </w:p>
        </w:tc>
        <w:tc>
          <w:tcPr>
            <w:tcW w:w="1074" w:type="dxa"/>
            <w:tcBorders>
              <w:top w:val="single" w:sz="6" w:space="0" w:color="000000"/>
              <w:right w:val="single" w:sz="6" w:space="0" w:color="000000"/>
            </w:tcBorders>
            <w:shd w:val="clear" w:color="auto" w:fill="F1F1F1"/>
          </w:tcPr>
          <w:p w14:paraId="07DF5534" w14:textId="77777777" w:rsidR="00AC6F3C" w:rsidRDefault="00AC6F3C">
            <w:pPr>
              <w:pStyle w:val="TableParagraph"/>
              <w:rPr>
                <w:rFonts w:ascii="Times New Roman"/>
                <w:sz w:val="18"/>
              </w:rPr>
            </w:pPr>
          </w:p>
        </w:tc>
        <w:tc>
          <w:tcPr>
            <w:tcW w:w="1238" w:type="dxa"/>
            <w:tcBorders>
              <w:top w:val="single" w:sz="6" w:space="0" w:color="000000"/>
              <w:left w:val="single" w:sz="6" w:space="0" w:color="000000"/>
            </w:tcBorders>
          </w:tcPr>
          <w:p w14:paraId="1DD46DC1" w14:textId="77777777" w:rsidR="00AC6F3C" w:rsidRDefault="00AC6F3C">
            <w:pPr>
              <w:pStyle w:val="TableParagraph"/>
              <w:rPr>
                <w:rFonts w:ascii="Times New Roman"/>
                <w:sz w:val="18"/>
              </w:rPr>
            </w:pPr>
          </w:p>
        </w:tc>
        <w:tc>
          <w:tcPr>
            <w:tcW w:w="890" w:type="dxa"/>
            <w:tcBorders>
              <w:top w:val="single" w:sz="6" w:space="0" w:color="000000"/>
            </w:tcBorders>
          </w:tcPr>
          <w:p w14:paraId="798351FD" w14:textId="77777777" w:rsidR="00AC6F3C" w:rsidRDefault="00AC6F3C">
            <w:pPr>
              <w:pStyle w:val="TableParagraph"/>
              <w:rPr>
                <w:rFonts w:ascii="Times New Roman"/>
                <w:sz w:val="18"/>
              </w:rPr>
            </w:pPr>
          </w:p>
        </w:tc>
        <w:tc>
          <w:tcPr>
            <w:tcW w:w="1075" w:type="dxa"/>
            <w:tcBorders>
              <w:top w:val="single" w:sz="6" w:space="0" w:color="000000"/>
              <w:right w:val="single" w:sz="6" w:space="0" w:color="000000"/>
            </w:tcBorders>
            <w:shd w:val="clear" w:color="auto" w:fill="F1F1F1"/>
          </w:tcPr>
          <w:p w14:paraId="3DED3EB0" w14:textId="77777777" w:rsidR="00AC6F3C" w:rsidRDefault="00AC6F3C">
            <w:pPr>
              <w:pStyle w:val="TableParagraph"/>
              <w:rPr>
                <w:rFonts w:ascii="Times New Roman"/>
                <w:sz w:val="18"/>
              </w:rPr>
            </w:pPr>
          </w:p>
        </w:tc>
      </w:tr>
      <w:tr w:rsidR="00AC6F3C" w14:paraId="4E337885" w14:textId="77777777">
        <w:trPr>
          <w:trHeight w:val="298"/>
        </w:trPr>
        <w:tc>
          <w:tcPr>
            <w:tcW w:w="2259" w:type="dxa"/>
            <w:tcBorders>
              <w:left w:val="single" w:sz="6" w:space="0" w:color="000000"/>
            </w:tcBorders>
          </w:tcPr>
          <w:p w14:paraId="50796328" w14:textId="77777777" w:rsidR="00AC6F3C" w:rsidRDefault="00570E88">
            <w:pPr>
              <w:pStyle w:val="TableParagraph"/>
              <w:spacing w:before="41"/>
              <w:ind w:left="35"/>
              <w:rPr>
                <w:sz w:val="17"/>
              </w:rPr>
            </w:pPr>
            <w:r>
              <w:rPr>
                <w:spacing w:val="-2"/>
                <w:sz w:val="17"/>
              </w:rPr>
              <w:t>Undiscounted</w:t>
            </w:r>
          </w:p>
        </w:tc>
        <w:tc>
          <w:tcPr>
            <w:tcW w:w="1055" w:type="dxa"/>
          </w:tcPr>
          <w:p w14:paraId="5BDDDEF4" w14:textId="77777777" w:rsidR="00AC6F3C" w:rsidRDefault="00570E88">
            <w:pPr>
              <w:pStyle w:val="TableParagraph"/>
              <w:spacing w:before="70"/>
              <w:ind w:right="197"/>
              <w:jc w:val="right"/>
              <w:rPr>
                <w:sz w:val="17"/>
              </w:rPr>
            </w:pPr>
            <w:r>
              <w:rPr>
                <w:spacing w:val="-2"/>
                <w:sz w:val="17"/>
              </w:rPr>
              <w:t>18,327</w:t>
            </w:r>
          </w:p>
        </w:tc>
        <w:tc>
          <w:tcPr>
            <w:tcW w:w="889" w:type="dxa"/>
          </w:tcPr>
          <w:p w14:paraId="69BF2648" w14:textId="77777777" w:rsidR="00AC6F3C" w:rsidRDefault="00570E88">
            <w:pPr>
              <w:pStyle w:val="TableParagraph"/>
              <w:spacing w:before="70"/>
              <w:ind w:right="20"/>
              <w:jc w:val="right"/>
              <w:rPr>
                <w:sz w:val="17"/>
              </w:rPr>
            </w:pPr>
            <w:r>
              <w:rPr>
                <w:spacing w:val="-2"/>
                <w:sz w:val="17"/>
              </w:rPr>
              <w:t>4,608</w:t>
            </w:r>
          </w:p>
        </w:tc>
        <w:tc>
          <w:tcPr>
            <w:tcW w:w="1074" w:type="dxa"/>
            <w:tcBorders>
              <w:right w:val="single" w:sz="6" w:space="0" w:color="000000"/>
            </w:tcBorders>
            <w:shd w:val="clear" w:color="auto" w:fill="F1F1F1"/>
          </w:tcPr>
          <w:p w14:paraId="652C8AB8" w14:textId="77777777" w:rsidR="00AC6F3C" w:rsidRDefault="00570E88">
            <w:pPr>
              <w:pStyle w:val="TableParagraph"/>
              <w:spacing w:before="70"/>
              <w:ind w:right="19"/>
              <w:jc w:val="right"/>
              <w:rPr>
                <w:sz w:val="17"/>
              </w:rPr>
            </w:pPr>
            <w:r>
              <w:rPr>
                <w:spacing w:val="-2"/>
                <w:sz w:val="17"/>
              </w:rPr>
              <w:t>22,935</w:t>
            </w:r>
          </w:p>
        </w:tc>
        <w:tc>
          <w:tcPr>
            <w:tcW w:w="1238" w:type="dxa"/>
            <w:tcBorders>
              <w:left w:val="single" w:sz="6" w:space="0" w:color="000000"/>
            </w:tcBorders>
          </w:tcPr>
          <w:p w14:paraId="78D2AAA1" w14:textId="77777777" w:rsidR="00AC6F3C" w:rsidRDefault="00570E88">
            <w:pPr>
              <w:pStyle w:val="TableParagraph"/>
              <w:spacing w:before="70"/>
              <w:ind w:right="198"/>
              <w:jc w:val="right"/>
              <w:rPr>
                <w:sz w:val="17"/>
              </w:rPr>
            </w:pPr>
            <w:r>
              <w:rPr>
                <w:spacing w:val="-2"/>
                <w:sz w:val="17"/>
              </w:rPr>
              <w:t>16,984</w:t>
            </w:r>
          </w:p>
        </w:tc>
        <w:tc>
          <w:tcPr>
            <w:tcW w:w="890" w:type="dxa"/>
          </w:tcPr>
          <w:p w14:paraId="44E8D102" w14:textId="77777777" w:rsidR="00AC6F3C" w:rsidRDefault="00570E88">
            <w:pPr>
              <w:pStyle w:val="TableParagraph"/>
              <w:spacing w:before="70"/>
              <w:ind w:right="17"/>
              <w:jc w:val="right"/>
              <w:rPr>
                <w:sz w:val="17"/>
              </w:rPr>
            </w:pPr>
            <w:r>
              <w:rPr>
                <w:spacing w:val="-2"/>
                <w:sz w:val="17"/>
              </w:rPr>
              <w:t>(2,966)</w:t>
            </w:r>
          </w:p>
        </w:tc>
        <w:tc>
          <w:tcPr>
            <w:tcW w:w="1075" w:type="dxa"/>
            <w:tcBorders>
              <w:right w:val="single" w:sz="6" w:space="0" w:color="000000"/>
            </w:tcBorders>
            <w:shd w:val="clear" w:color="auto" w:fill="F1F1F1"/>
          </w:tcPr>
          <w:p w14:paraId="32A71092" w14:textId="77777777" w:rsidR="00AC6F3C" w:rsidRDefault="00570E88">
            <w:pPr>
              <w:pStyle w:val="TableParagraph"/>
              <w:spacing w:before="70"/>
              <w:ind w:right="22"/>
              <w:jc w:val="right"/>
              <w:rPr>
                <w:sz w:val="17"/>
              </w:rPr>
            </w:pPr>
            <w:r>
              <w:rPr>
                <w:spacing w:val="-2"/>
                <w:sz w:val="17"/>
              </w:rPr>
              <w:t>14,018</w:t>
            </w:r>
          </w:p>
        </w:tc>
      </w:tr>
      <w:tr w:rsidR="00AC6F3C" w14:paraId="568CA7DD" w14:textId="77777777">
        <w:trPr>
          <w:trHeight w:val="257"/>
        </w:trPr>
        <w:tc>
          <w:tcPr>
            <w:tcW w:w="2259" w:type="dxa"/>
            <w:tcBorders>
              <w:left w:val="single" w:sz="6" w:space="0" w:color="000000"/>
              <w:bottom w:val="single" w:sz="6" w:space="0" w:color="000000"/>
            </w:tcBorders>
          </w:tcPr>
          <w:p w14:paraId="27A36B19" w14:textId="77777777" w:rsidR="00AC6F3C" w:rsidRDefault="00570E88">
            <w:pPr>
              <w:pStyle w:val="TableParagraph"/>
              <w:spacing w:before="27"/>
              <w:ind w:left="35"/>
              <w:rPr>
                <w:sz w:val="17"/>
              </w:rPr>
            </w:pPr>
            <w:r>
              <w:rPr>
                <w:spacing w:val="-2"/>
                <w:sz w:val="17"/>
              </w:rPr>
              <w:t>Discount</w:t>
            </w:r>
          </w:p>
        </w:tc>
        <w:tc>
          <w:tcPr>
            <w:tcW w:w="1055" w:type="dxa"/>
            <w:tcBorders>
              <w:bottom w:val="single" w:sz="6" w:space="0" w:color="000000"/>
            </w:tcBorders>
          </w:tcPr>
          <w:p w14:paraId="43505D52" w14:textId="77777777" w:rsidR="00AC6F3C" w:rsidRDefault="00570E88">
            <w:pPr>
              <w:pStyle w:val="TableParagraph"/>
              <w:spacing w:before="56" w:line="182" w:lineRule="exact"/>
              <w:ind w:right="192"/>
              <w:jc w:val="right"/>
              <w:rPr>
                <w:sz w:val="17"/>
              </w:rPr>
            </w:pPr>
            <w:r>
              <w:rPr>
                <w:spacing w:val="-2"/>
                <w:sz w:val="17"/>
              </w:rPr>
              <w:t>(1,967)</w:t>
            </w:r>
          </w:p>
        </w:tc>
        <w:tc>
          <w:tcPr>
            <w:tcW w:w="889" w:type="dxa"/>
            <w:tcBorders>
              <w:bottom w:val="single" w:sz="6" w:space="0" w:color="000000"/>
            </w:tcBorders>
          </w:tcPr>
          <w:p w14:paraId="7D18F850" w14:textId="77777777" w:rsidR="00AC6F3C" w:rsidRDefault="00570E88">
            <w:pPr>
              <w:pStyle w:val="TableParagraph"/>
              <w:spacing w:before="56" w:line="182" w:lineRule="exact"/>
              <w:ind w:right="15"/>
              <w:jc w:val="right"/>
              <w:rPr>
                <w:sz w:val="17"/>
              </w:rPr>
            </w:pPr>
            <w:r>
              <w:rPr>
                <w:spacing w:val="-2"/>
                <w:sz w:val="17"/>
              </w:rPr>
              <w:t>(401)</w:t>
            </w:r>
          </w:p>
        </w:tc>
        <w:tc>
          <w:tcPr>
            <w:tcW w:w="1074" w:type="dxa"/>
            <w:tcBorders>
              <w:bottom w:val="single" w:sz="6" w:space="0" w:color="000000"/>
              <w:right w:val="single" w:sz="6" w:space="0" w:color="000000"/>
            </w:tcBorders>
            <w:shd w:val="clear" w:color="auto" w:fill="F1F1F1"/>
          </w:tcPr>
          <w:p w14:paraId="41FB19FC" w14:textId="77777777" w:rsidR="00AC6F3C" w:rsidRDefault="00570E88">
            <w:pPr>
              <w:pStyle w:val="TableParagraph"/>
              <w:spacing w:before="56" w:line="182" w:lineRule="exact"/>
              <w:ind w:right="15"/>
              <w:jc w:val="right"/>
              <w:rPr>
                <w:sz w:val="17"/>
              </w:rPr>
            </w:pPr>
            <w:r>
              <w:rPr>
                <w:spacing w:val="-2"/>
                <w:sz w:val="17"/>
              </w:rPr>
              <w:t>(2,368)</w:t>
            </w:r>
          </w:p>
        </w:tc>
        <w:tc>
          <w:tcPr>
            <w:tcW w:w="1238" w:type="dxa"/>
            <w:tcBorders>
              <w:left w:val="single" w:sz="6" w:space="0" w:color="000000"/>
              <w:bottom w:val="single" w:sz="6" w:space="0" w:color="000000"/>
            </w:tcBorders>
          </w:tcPr>
          <w:p w14:paraId="5920BB60" w14:textId="77777777" w:rsidR="00AC6F3C" w:rsidRDefault="00570E88">
            <w:pPr>
              <w:pStyle w:val="TableParagraph"/>
              <w:spacing w:before="56" w:line="182" w:lineRule="exact"/>
              <w:ind w:right="194"/>
              <w:jc w:val="right"/>
              <w:rPr>
                <w:sz w:val="17"/>
              </w:rPr>
            </w:pPr>
            <w:r>
              <w:rPr>
                <w:spacing w:val="-2"/>
                <w:sz w:val="17"/>
              </w:rPr>
              <w:t>(1,408)</w:t>
            </w:r>
          </w:p>
        </w:tc>
        <w:tc>
          <w:tcPr>
            <w:tcW w:w="890" w:type="dxa"/>
            <w:tcBorders>
              <w:bottom w:val="single" w:sz="6" w:space="0" w:color="000000"/>
            </w:tcBorders>
          </w:tcPr>
          <w:p w14:paraId="57C1421E" w14:textId="77777777" w:rsidR="00AC6F3C" w:rsidRDefault="00570E88">
            <w:pPr>
              <w:pStyle w:val="TableParagraph"/>
              <w:spacing w:before="56" w:line="182" w:lineRule="exact"/>
              <w:ind w:right="17"/>
              <w:jc w:val="right"/>
              <w:rPr>
                <w:sz w:val="17"/>
              </w:rPr>
            </w:pPr>
            <w:r>
              <w:rPr>
                <w:spacing w:val="-2"/>
                <w:sz w:val="17"/>
              </w:rPr>
              <w:t>(1,695)</w:t>
            </w:r>
          </w:p>
        </w:tc>
        <w:tc>
          <w:tcPr>
            <w:tcW w:w="1075" w:type="dxa"/>
            <w:tcBorders>
              <w:bottom w:val="single" w:sz="6" w:space="0" w:color="000000"/>
              <w:right w:val="single" w:sz="6" w:space="0" w:color="000000"/>
            </w:tcBorders>
            <w:shd w:val="clear" w:color="auto" w:fill="F1F1F1"/>
          </w:tcPr>
          <w:p w14:paraId="2C12567C" w14:textId="77777777" w:rsidR="00AC6F3C" w:rsidRDefault="00570E88">
            <w:pPr>
              <w:pStyle w:val="TableParagraph"/>
              <w:spacing w:before="56" w:line="182" w:lineRule="exact"/>
              <w:ind w:right="18"/>
              <w:jc w:val="right"/>
              <w:rPr>
                <w:sz w:val="17"/>
              </w:rPr>
            </w:pPr>
            <w:r>
              <w:rPr>
                <w:spacing w:val="-2"/>
                <w:sz w:val="17"/>
              </w:rPr>
              <w:t>(3,103)</w:t>
            </w:r>
          </w:p>
        </w:tc>
      </w:tr>
      <w:tr w:rsidR="00AC6F3C" w14:paraId="4510D26F" w14:textId="77777777">
        <w:trPr>
          <w:trHeight w:val="269"/>
        </w:trPr>
        <w:tc>
          <w:tcPr>
            <w:tcW w:w="2259" w:type="dxa"/>
            <w:tcBorders>
              <w:top w:val="single" w:sz="6" w:space="0" w:color="000000"/>
              <w:left w:val="single" w:sz="6" w:space="0" w:color="000000"/>
              <w:bottom w:val="single" w:sz="6" w:space="0" w:color="000000"/>
            </w:tcBorders>
          </w:tcPr>
          <w:p w14:paraId="6D10BACD" w14:textId="77777777" w:rsidR="00AC6F3C" w:rsidRDefault="00AC6F3C">
            <w:pPr>
              <w:pStyle w:val="TableParagraph"/>
              <w:rPr>
                <w:rFonts w:ascii="Times New Roman"/>
                <w:sz w:val="18"/>
              </w:rPr>
            </w:pPr>
          </w:p>
        </w:tc>
        <w:tc>
          <w:tcPr>
            <w:tcW w:w="1055" w:type="dxa"/>
            <w:tcBorders>
              <w:top w:val="single" w:sz="6" w:space="0" w:color="000000"/>
              <w:bottom w:val="single" w:sz="6" w:space="0" w:color="000000"/>
            </w:tcBorders>
          </w:tcPr>
          <w:p w14:paraId="35DB2B6E" w14:textId="77777777" w:rsidR="00AC6F3C" w:rsidRDefault="00570E88">
            <w:pPr>
              <w:pStyle w:val="TableParagraph"/>
              <w:spacing w:before="67" w:line="182" w:lineRule="exact"/>
              <w:ind w:right="197"/>
              <w:jc w:val="right"/>
              <w:rPr>
                <w:sz w:val="17"/>
              </w:rPr>
            </w:pPr>
            <w:r>
              <w:rPr>
                <w:spacing w:val="-2"/>
                <w:sz w:val="17"/>
              </w:rPr>
              <w:t>16,360</w:t>
            </w:r>
          </w:p>
        </w:tc>
        <w:tc>
          <w:tcPr>
            <w:tcW w:w="889" w:type="dxa"/>
            <w:tcBorders>
              <w:top w:val="single" w:sz="6" w:space="0" w:color="000000"/>
              <w:bottom w:val="single" w:sz="6" w:space="0" w:color="000000"/>
            </w:tcBorders>
          </w:tcPr>
          <w:p w14:paraId="341DF699" w14:textId="77777777" w:rsidR="00AC6F3C" w:rsidRDefault="00570E88">
            <w:pPr>
              <w:pStyle w:val="TableParagraph"/>
              <w:spacing w:before="67" w:line="182" w:lineRule="exact"/>
              <w:ind w:right="20"/>
              <w:jc w:val="right"/>
              <w:rPr>
                <w:sz w:val="17"/>
              </w:rPr>
            </w:pPr>
            <w:r>
              <w:rPr>
                <w:spacing w:val="-2"/>
                <w:sz w:val="17"/>
              </w:rPr>
              <w:t>4,208</w:t>
            </w:r>
          </w:p>
        </w:tc>
        <w:tc>
          <w:tcPr>
            <w:tcW w:w="1074" w:type="dxa"/>
            <w:tcBorders>
              <w:top w:val="single" w:sz="6" w:space="0" w:color="000000"/>
              <w:bottom w:val="single" w:sz="6" w:space="0" w:color="000000"/>
              <w:right w:val="single" w:sz="6" w:space="0" w:color="000000"/>
            </w:tcBorders>
            <w:shd w:val="clear" w:color="auto" w:fill="F1F1F1"/>
          </w:tcPr>
          <w:p w14:paraId="7C8A2B0A" w14:textId="77777777" w:rsidR="00AC6F3C" w:rsidRDefault="00570E88">
            <w:pPr>
              <w:pStyle w:val="TableParagraph"/>
              <w:spacing w:before="67" w:line="182" w:lineRule="exact"/>
              <w:ind w:right="19"/>
              <w:jc w:val="right"/>
              <w:rPr>
                <w:sz w:val="17"/>
              </w:rPr>
            </w:pPr>
            <w:r>
              <w:rPr>
                <w:spacing w:val="-2"/>
                <w:sz w:val="17"/>
              </w:rPr>
              <w:t>20,568</w:t>
            </w:r>
          </w:p>
        </w:tc>
        <w:tc>
          <w:tcPr>
            <w:tcW w:w="1238" w:type="dxa"/>
            <w:tcBorders>
              <w:top w:val="single" w:sz="6" w:space="0" w:color="000000"/>
              <w:left w:val="single" w:sz="6" w:space="0" w:color="000000"/>
              <w:bottom w:val="single" w:sz="6" w:space="0" w:color="000000"/>
            </w:tcBorders>
          </w:tcPr>
          <w:p w14:paraId="5BA20835" w14:textId="77777777" w:rsidR="00AC6F3C" w:rsidRDefault="00570E88">
            <w:pPr>
              <w:pStyle w:val="TableParagraph"/>
              <w:spacing w:before="67" w:line="182" w:lineRule="exact"/>
              <w:ind w:right="198"/>
              <w:jc w:val="right"/>
              <w:rPr>
                <w:sz w:val="17"/>
              </w:rPr>
            </w:pPr>
            <w:r>
              <w:rPr>
                <w:spacing w:val="-2"/>
                <w:sz w:val="17"/>
              </w:rPr>
              <w:t>15,577</w:t>
            </w:r>
          </w:p>
        </w:tc>
        <w:tc>
          <w:tcPr>
            <w:tcW w:w="890" w:type="dxa"/>
            <w:tcBorders>
              <w:top w:val="single" w:sz="6" w:space="0" w:color="000000"/>
              <w:bottom w:val="single" w:sz="6" w:space="0" w:color="000000"/>
            </w:tcBorders>
          </w:tcPr>
          <w:p w14:paraId="7221B08B" w14:textId="77777777" w:rsidR="00AC6F3C" w:rsidRDefault="00570E88">
            <w:pPr>
              <w:pStyle w:val="TableParagraph"/>
              <w:spacing w:before="67" w:line="182" w:lineRule="exact"/>
              <w:ind w:right="17"/>
              <w:jc w:val="right"/>
              <w:rPr>
                <w:sz w:val="17"/>
              </w:rPr>
            </w:pPr>
            <w:r>
              <w:rPr>
                <w:spacing w:val="-2"/>
                <w:sz w:val="17"/>
              </w:rPr>
              <w:t>(4,661)</w:t>
            </w:r>
          </w:p>
        </w:tc>
        <w:tc>
          <w:tcPr>
            <w:tcW w:w="1075" w:type="dxa"/>
            <w:tcBorders>
              <w:top w:val="single" w:sz="6" w:space="0" w:color="000000"/>
              <w:bottom w:val="single" w:sz="6" w:space="0" w:color="000000"/>
              <w:right w:val="single" w:sz="6" w:space="0" w:color="000000"/>
            </w:tcBorders>
            <w:shd w:val="clear" w:color="auto" w:fill="F1F1F1"/>
          </w:tcPr>
          <w:p w14:paraId="117EB5CA" w14:textId="77777777" w:rsidR="00AC6F3C" w:rsidRDefault="00570E88">
            <w:pPr>
              <w:pStyle w:val="TableParagraph"/>
              <w:spacing w:before="67" w:line="182" w:lineRule="exact"/>
              <w:ind w:right="22"/>
              <w:jc w:val="right"/>
              <w:rPr>
                <w:sz w:val="17"/>
              </w:rPr>
            </w:pPr>
            <w:r>
              <w:rPr>
                <w:spacing w:val="-2"/>
                <w:sz w:val="17"/>
              </w:rPr>
              <w:t>10,915</w:t>
            </w:r>
          </w:p>
        </w:tc>
      </w:tr>
      <w:tr w:rsidR="00AC6F3C" w14:paraId="763005AC" w14:textId="77777777">
        <w:trPr>
          <w:trHeight w:val="281"/>
        </w:trPr>
        <w:tc>
          <w:tcPr>
            <w:tcW w:w="2259" w:type="dxa"/>
            <w:tcBorders>
              <w:top w:val="single" w:sz="6" w:space="0" w:color="000000"/>
              <w:left w:val="single" w:sz="6" w:space="0" w:color="000000"/>
            </w:tcBorders>
          </w:tcPr>
          <w:p w14:paraId="3165D42D" w14:textId="77777777" w:rsidR="00AC6F3C" w:rsidRDefault="00570E88">
            <w:pPr>
              <w:pStyle w:val="TableParagraph"/>
              <w:spacing w:before="39"/>
              <w:ind w:left="35"/>
              <w:rPr>
                <w:b/>
                <w:sz w:val="17"/>
              </w:rPr>
            </w:pPr>
            <w:r>
              <w:rPr>
                <w:b/>
                <w:sz w:val="17"/>
              </w:rPr>
              <w:t>Reinsurance</w:t>
            </w:r>
            <w:r>
              <w:rPr>
                <w:b/>
                <w:spacing w:val="-10"/>
                <w:sz w:val="17"/>
              </w:rPr>
              <w:t xml:space="preserve"> </w:t>
            </w:r>
            <w:r>
              <w:rPr>
                <w:b/>
                <w:spacing w:val="-2"/>
                <w:sz w:val="17"/>
              </w:rPr>
              <w:t>recoveries</w:t>
            </w:r>
          </w:p>
        </w:tc>
        <w:tc>
          <w:tcPr>
            <w:tcW w:w="1055" w:type="dxa"/>
            <w:tcBorders>
              <w:top w:val="single" w:sz="6" w:space="0" w:color="000000"/>
            </w:tcBorders>
          </w:tcPr>
          <w:p w14:paraId="2A8992BF" w14:textId="77777777" w:rsidR="00AC6F3C" w:rsidRDefault="00AC6F3C">
            <w:pPr>
              <w:pStyle w:val="TableParagraph"/>
              <w:rPr>
                <w:rFonts w:ascii="Times New Roman"/>
                <w:sz w:val="18"/>
              </w:rPr>
            </w:pPr>
          </w:p>
        </w:tc>
        <w:tc>
          <w:tcPr>
            <w:tcW w:w="889" w:type="dxa"/>
            <w:tcBorders>
              <w:top w:val="single" w:sz="6" w:space="0" w:color="000000"/>
            </w:tcBorders>
          </w:tcPr>
          <w:p w14:paraId="7ACF7F67" w14:textId="77777777" w:rsidR="00AC6F3C" w:rsidRDefault="00AC6F3C">
            <w:pPr>
              <w:pStyle w:val="TableParagraph"/>
              <w:rPr>
                <w:rFonts w:ascii="Times New Roman"/>
                <w:sz w:val="18"/>
              </w:rPr>
            </w:pPr>
          </w:p>
        </w:tc>
        <w:tc>
          <w:tcPr>
            <w:tcW w:w="1074" w:type="dxa"/>
            <w:tcBorders>
              <w:top w:val="single" w:sz="6" w:space="0" w:color="000000"/>
              <w:right w:val="single" w:sz="6" w:space="0" w:color="000000"/>
            </w:tcBorders>
            <w:shd w:val="clear" w:color="auto" w:fill="F1F1F1"/>
          </w:tcPr>
          <w:p w14:paraId="05578057" w14:textId="77777777" w:rsidR="00AC6F3C" w:rsidRDefault="00AC6F3C">
            <w:pPr>
              <w:pStyle w:val="TableParagraph"/>
              <w:rPr>
                <w:rFonts w:ascii="Times New Roman"/>
                <w:sz w:val="18"/>
              </w:rPr>
            </w:pPr>
          </w:p>
        </w:tc>
        <w:tc>
          <w:tcPr>
            <w:tcW w:w="1238" w:type="dxa"/>
            <w:tcBorders>
              <w:top w:val="single" w:sz="6" w:space="0" w:color="000000"/>
              <w:left w:val="single" w:sz="6" w:space="0" w:color="000000"/>
            </w:tcBorders>
          </w:tcPr>
          <w:p w14:paraId="08E34F11" w14:textId="77777777" w:rsidR="00AC6F3C" w:rsidRDefault="00AC6F3C">
            <w:pPr>
              <w:pStyle w:val="TableParagraph"/>
              <w:rPr>
                <w:rFonts w:ascii="Times New Roman"/>
                <w:sz w:val="18"/>
              </w:rPr>
            </w:pPr>
          </w:p>
        </w:tc>
        <w:tc>
          <w:tcPr>
            <w:tcW w:w="890" w:type="dxa"/>
            <w:tcBorders>
              <w:top w:val="single" w:sz="6" w:space="0" w:color="000000"/>
            </w:tcBorders>
          </w:tcPr>
          <w:p w14:paraId="135D0144" w14:textId="77777777" w:rsidR="00AC6F3C" w:rsidRDefault="00AC6F3C">
            <w:pPr>
              <w:pStyle w:val="TableParagraph"/>
              <w:rPr>
                <w:rFonts w:ascii="Times New Roman"/>
                <w:sz w:val="18"/>
              </w:rPr>
            </w:pPr>
          </w:p>
        </w:tc>
        <w:tc>
          <w:tcPr>
            <w:tcW w:w="1075" w:type="dxa"/>
            <w:tcBorders>
              <w:top w:val="single" w:sz="6" w:space="0" w:color="000000"/>
              <w:right w:val="single" w:sz="6" w:space="0" w:color="000000"/>
            </w:tcBorders>
            <w:shd w:val="clear" w:color="auto" w:fill="F1F1F1"/>
          </w:tcPr>
          <w:p w14:paraId="7206491E" w14:textId="77777777" w:rsidR="00AC6F3C" w:rsidRDefault="00AC6F3C">
            <w:pPr>
              <w:pStyle w:val="TableParagraph"/>
              <w:rPr>
                <w:rFonts w:ascii="Times New Roman"/>
                <w:sz w:val="18"/>
              </w:rPr>
            </w:pPr>
          </w:p>
        </w:tc>
      </w:tr>
      <w:tr w:rsidR="00AC6F3C" w14:paraId="5370E2AF" w14:textId="77777777">
        <w:trPr>
          <w:trHeight w:val="298"/>
        </w:trPr>
        <w:tc>
          <w:tcPr>
            <w:tcW w:w="2259" w:type="dxa"/>
            <w:tcBorders>
              <w:left w:val="single" w:sz="6" w:space="0" w:color="000000"/>
            </w:tcBorders>
          </w:tcPr>
          <w:p w14:paraId="2B568867" w14:textId="77777777" w:rsidR="00AC6F3C" w:rsidRDefault="00570E88">
            <w:pPr>
              <w:pStyle w:val="TableParagraph"/>
              <w:spacing w:before="41"/>
              <w:ind w:left="35"/>
              <w:rPr>
                <w:sz w:val="17"/>
              </w:rPr>
            </w:pPr>
            <w:r>
              <w:rPr>
                <w:spacing w:val="-2"/>
                <w:sz w:val="17"/>
              </w:rPr>
              <w:t>Undiscounted</w:t>
            </w:r>
          </w:p>
        </w:tc>
        <w:tc>
          <w:tcPr>
            <w:tcW w:w="1055" w:type="dxa"/>
          </w:tcPr>
          <w:p w14:paraId="31BBA711" w14:textId="77777777" w:rsidR="00AC6F3C" w:rsidRDefault="00570E88">
            <w:pPr>
              <w:pStyle w:val="TableParagraph"/>
              <w:spacing w:before="70"/>
              <w:ind w:right="192"/>
              <w:jc w:val="right"/>
              <w:rPr>
                <w:sz w:val="17"/>
              </w:rPr>
            </w:pPr>
            <w:r>
              <w:rPr>
                <w:spacing w:val="-2"/>
                <w:sz w:val="17"/>
              </w:rPr>
              <w:t>(1,323)</w:t>
            </w:r>
          </w:p>
        </w:tc>
        <w:tc>
          <w:tcPr>
            <w:tcW w:w="889" w:type="dxa"/>
          </w:tcPr>
          <w:p w14:paraId="0705143E" w14:textId="77777777" w:rsidR="00AC6F3C" w:rsidRDefault="00570E88">
            <w:pPr>
              <w:pStyle w:val="TableParagraph"/>
              <w:spacing w:before="70"/>
              <w:ind w:right="15"/>
              <w:jc w:val="right"/>
              <w:rPr>
                <w:sz w:val="17"/>
              </w:rPr>
            </w:pPr>
            <w:r>
              <w:rPr>
                <w:spacing w:val="-2"/>
                <w:sz w:val="17"/>
              </w:rPr>
              <w:t>(9,303)</w:t>
            </w:r>
          </w:p>
        </w:tc>
        <w:tc>
          <w:tcPr>
            <w:tcW w:w="1074" w:type="dxa"/>
            <w:tcBorders>
              <w:right w:val="single" w:sz="6" w:space="0" w:color="000000"/>
            </w:tcBorders>
            <w:shd w:val="clear" w:color="auto" w:fill="F1F1F1"/>
          </w:tcPr>
          <w:p w14:paraId="68E63290" w14:textId="77777777" w:rsidR="00AC6F3C" w:rsidRDefault="00570E88">
            <w:pPr>
              <w:pStyle w:val="TableParagraph"/>
              <w:spacing w:before="70"/>
              <w:ind w:right="15"/>
              <w:jc w:val="right"/>
              <w:rPr>
                <w:sz w:val="17"/>
              </w:rPr>
            </w:pPr>
            <w:r>
              <w:rPr>
                <w:spacing w:val="-2"/>
                <w:sz w:val="17"/>
              </w:rPr>
              <w:t>(10,626)</w:t>
            </w:r>
          </w:p>
        </w:tc>
        <w:tc>
          <w:tcPr>
            <w:tcW w:w="1238" w:type="dxa"/>
            <w:tcBorders>
              <w:left w:val="single" w:sz="6" w:space="0" w:color="000000"/>
            </w:tcBorders>
          </w:tcPr>
          <w:p w14:paraId="622EA650" w14:textId="77777777" w:rsidR="00AC6F3C" w:rsidRDefault="00570E88">
            <w:pPr>
              <w:pStyle w:val="TableParagraph"/>
              <w:spacing w:before="70"/>
              <w:ind w:right="193"/>
              <w:jc w:val="right"/>
              <w:rPr>
                <w:sz w:val="17"/>
              </w:rPr>
            </w:pPr>
            <w:r>
              <w:rPr>
                <w:spacing w:val="-2"/>
                <w:sz w:val="17"/>
              </w:rPr>
              <w:t>(134)</w:t>
            </w:r>
          </w:p>
        </w:tc>
        <w:tc>
          <w:tcPr>
            <w:tcW w:w="890" w:type="dxa"/>
          </w:tcPr>
          <w:p w14:paraId="32AF2966" w14:textId="77777777" w:rsidR="00AC6F3C" w:rsidRDefault="00570E88">
            <w:pPr>
              <w:pStyle w:val="TableParagraph"/>
              <w:spacing w:before="70"/>
              <w:ind w:right="17"/>
              <w:jc w:val="right"/>
              <w:rPr>
                <w:sz w:val="17"/>
              </w:rPr>
            </w:pPr>
            <w:r>
              <w:rPr>
                <w:spacing w:val="-2"/>
                <w:sz w:val="17"/>
              </w:rPr>
              <w:t>(318)</w:t>
            </w:r>
          </w:p>
        </w:tc>
        <w:tc>
          <w:tcPr>
            <w:tcW w:w="1075" w:type="dxa"/>
            <w:tcBorders>
              <w:right w:val="single" w:sz="6" w:space="0" w:color="000000"/>
            </w:tcBorders>
            <w:shd w:val="clear" w:color="auto" w:fill="F1F1F1"/>
          </w:tcPr>
          <w:p w14:paraId="04D3FBD6" w14:textId="77777777" w:rsidR="00AC6F3C" w:rsidRDefault="00570E88">
            <w:pPr>
              <w:pStyle w:val="TableParagraph"/>
              <w:spacing w:before="70"/>
              <w:ind w:right="18"/>
              <w:jc w:val="right"/>
              <w:rPr>
                <w:sz w:val="17"/>
              </w:rPr>
            </w:pPr>
            <w:r>
              <w:rPr>
                <w:spacing w:val="-2"/>
                <w:sz w:val="17"/>
              </w:rPr>
              <w:t>(452)</w:t>
            </w:r>
          </w:p>
        </w:tc>
      </w:tr>
      <w:tr w:rsidR="00AC6F3C" w14:paraId="20B18EF4" w14:textId="77777777">
        <w:trPr>
          <w:trHeight w:val="257"/>
        </w:trPr>
        <w:tc>
          <w:tcPr>
            <w:tcW w:w="2259" w:type="dxa"/>
            <w:tcBorders>
              <w:left w:val="single" w:sz="6" w:space="0" w:color="000000"/>
              <w:bottom w:val="single" w:sz="6" w:space="0" w:color="000000"/>
            </w:tcBorders>
          </w:tcPr>
          <w:p w14:paraId="2CB53848" w14:textId="77777777" w:rsidR="00AC6F3C" w:rsidRDefault="00570E88">
            <w:pPr>
              <w:pStyle w:val="TableParagraph"/>
              <w:spacing w:before="27"/>
              <w:ind w:left="35"/>
              <w:rPr>
                <w:sz w:val="17"/>
              </w:rPr>
            </w:pPr>
            <w:r>
              <w:rPr>
                <w:spacing w:val="-2"/>
                <w:sz w:val="17"/>
              </w:rPr>
              <w:t>Discount</w:t>
            </w:r>
          </w:p>
        </w:tc>
        <w:tc>
          <w:tcPr>
            <w:tcW w:w="1055" w:type="dxa"/>
            <w:tcBorders>
              <w:bottom w:val="single" w:sz="6" w:space="0" w:color="000000"/>
            </w:tcBorders>
          </w:tcPr>
          <w:p w14:paraId="3F3CDA6E" w14:textId="77777777" w:rsidR="00AC6F3C" w:rsidRDefault="00570E88">
            <w:pPr>
              <w:pStyle w:val="TableParagraph"/>
              <w:spacing w:before="56" w:line="182" w:lineRule="exact"/>
              <w:ind w:right="197"/>
              <w:jc w:val="right"/>
              <w:rPr>
                <w:sz w:val="17"/>
              </w:rPr>
            </w:pPr>
            <w:r>
              <w:rPr>
                <w:spacing w:val="-5"/>
                <w:sz w:val="17"/>
              </w:rPr>
              <w:t>200</w:t>
            </w:r>
          </w:p>
        </w:tc>
        <w:tc>
          <w:tcPr>
            <w:tcW w:w="889" w:type="dxa"/>
            <w:tcBorders>
              <w:bottom w:val="single" w:sz="6" w:space="0" w:color="000000"/>
            </w:tcBorders>
          </w:tcPr>
          <w:p w14:paraId="1C947140" w14:textId="77777777" w:rsidR="00AC6F3C" w:rsidRDefault="00570E88">
            <w:pPr>
              <w:pStyle w:val="TableParagraph"/>
              <w:spacing w:before="56" w:line="182" w:lineRule="exact"/>
              <w:ind w:right="19"/>
              <w:jc w:val="right"/>
              <w:rPr>
                <w:sz w:val="17"/>
              </w:rPr>
            </w:pPr>
            <w:r>
              <w:rPr>
                <w:spacing w:val="-2"/>
                <w:sz w:val="17"/>
              </w:rPr>
              <w:t>1,235</w:t>
            </w:r>
          </w:p>
        </w:tc>
        <w:tc>
          <w:tcPr>
            <w:tcW w:w="1074" w:type="dxa"/>
            <w:tcBorders>
              <w:bottom w:val="single" w:sz="6" w:space="0" w:color="000000"/>
              <w:right w:val="single" w:sz="6" w:space="0" w:color="000000"/>
            </w:tcBorders>
            <w:shd w:val="clear" w:color="auto" w:fill="F1F1F1"/>
          </w:tcPr>
          <w:p w14:paraId="05C95C13" w14:textId="77777777" w:rsidR="00AC6F3C" w:rsidRDefault="00570E88">
            <w:pPr>
              <w:pStyle w:val="TableParagraph"/>
              <w:spacing w:before="56" w:line="182" w:lineRule="exact"/>
              <w:ind w:right="19"/>
              <w:jc w:val="right"/>
              <w:rPr>
                <w:sz w:val="17"/>
              </w:rPr>
            </w:pPr>
            <w:r>
              <w:rPr>
                <w:spacing w:val="-2"/>
                <w:sz w:val="17"/>
              </w:rPr>
              <w:t>1,434</w:t>
            </w:r>
          </w:p>
        </w:tc>
        <w:tc>
          <w:tcPr>
            <w:tcW w:w="1238" w:type="dxa"/>
            <w:tcBorders>
              <w:left w:val="single" w:sz="6" w:space="0" w:color="000000"/>
              <w:bottom w:val="single" w:sz="6" w:space="0" w:color="000000"/>
            </w:tcBorders>
          </w:tcPr>
          <w:p w14:paraId="18DE04BE" w14:textId="77777777" w:rsidR="00AC6F3C" w:rsidRDefault="00570E88">
            <w:pPr>
              <w:pStyle w:val="TableParagraph"/>
              <w:spacing w:before="56" w:line="182" w:lineRule="exact"/>
              <w:ind w:right="198"/>
              <w:jc w:val="right"/>
              <w:rPr>
                <w:sz w:val="17"/>
              </w:rPr>
            </w:pPr>
            <w:r>
              <w:rPr>
                <w:spacing w:val="-5"/>
                <w:sz w:val="17"/>
              </w:rPr>
              <w:t>12</w:t>
            </w:r>
          </w:p>
        </w:tc>
        <w:tc>
          <w:tcPr>
            <w:tcW w:w="890" w:type="dxa"/>
            <w:tcBorders>
              <w:bottom w:val="single" w:sz="6" w:space="0" w:color="000000"/>
            </w:tcBorders>
          </w:tcPr>
          <w:p w14:paraId="1868BD93" w14:textId="77777777" w:rsidR="00AC6F3C" w:rsidRDefault="00570E88">
            <w:pPr>
              <w:pStyle w:val="TableParagraph"/>
              <w:spacing w:before="56" w:line="182" w:lineRule="exact"/>
              <w:ind w:right="21"/>
              <w:jc w:val="right"/>
              <w:rPr>
                <w:sz w:val="17"/>
              </w:rPr>
            </w:pPr>
            <w:r>
              <w:rPr>
                <w:spacing w:val="-5"/>
                <w:sz w:val="17"/>
              </w:rPr>
              <w:t>42</w:t>
            </w:r>
          </w:p>
        </w:tc>
        <w:tc>
          <w:tcPr>
            <w:tcW w:w="1075" w:type="dxa"/>
            <w:tcBorders>
              <w:bottom w:val="single" w:sz="6" w:space="0" w:color="000000"/>
              <w:right w:val="single" w:sz="6" w:space="0" w:color="000000"/>
            </w:tcBorders>
            <w:shd w:val="clear" w:color="auto" w:fill="F1F1F1"/>
          </w:tcPr>
          <w:p w14:paraId="053D6DFF" w14:textId="77777777" w:rsidR="00AC6F3C" w:rsidRDefault="00570E88">
            <w:pPr>
              <w:pStyle w:val="TableParagraph"/>
              <w:spacing w:before="56" w:line="182" w:lineRule="exact"/>
              <w:ind w:right="22"/>
              <w:jc w:val="right"/>
              <w:rPr>
                <w:sz w:val="17"/>
              </w:rPr>
            </w:pPr>
            <w:r>
              <w:rPr>
                <w:spacing w:val="-5"/>
                <w:sz w:val="17"/>
              </w:rPr>
              <w:t>54</w:t>
            </w:r>
          </w:p>
        </w:tc>
      </w:tr>
      <w:tr w:rsidR="00AC6F3C" w14:paraId="48841DDC" w14:textId="77777777">
        <w:trPr>
          <w:trHeight w:val="269"/>
        </w:trPr>
        <w:tc>
          <w:tcPr>
            <w:tcW w:w="2259" w:type="dxa"/>
            <w:tcBorders>
              <w:top w:val="single" w:sz="6" w:space="0" w:color="000000"/>
              <w:left w:val="single" w:sz="6" w:space="0" w:color="000000"/>
              <w:bottom w:val="single" w:sz="6" w:space="0" w:color="000000"/>
            </w:tcBorders>
          </w:tcPr>
          <w:p w14:paraId="56C5ECC6" w14:textId="77777777" w:rsidR="00AC6F3C" w:rsidRDefault="00AC6F3C">
            <w:pPr>
              <w:pStyle w:val="TableParagraph"/>
              <w:rPr>
                <w:rFonts w:ascii="Times New Roman"/>
                <w:sz w:val="18"/>
              </w:rPr>
            </w:pPr>
          </w:p>
        </w:tc>
        <w:tc>
          <w:tcPr>
            <w:tcW w:w="1055" w:type="dxa"/>
            <w:tcBorders>
              <w:top w:val="single" w:sz="6" w:space="0" w:color="000000"/>
              <w:bottom w:val="single" w:sz="6" w:space="0" w:color="000000"/>
            </w:tcBorders>
          </w:tcPr>
          <w:p w14:paraId="0219425F" w14:textId="77777777" w:rsidR="00AC6F3C" w:rsidRDefault="00570E88">
            <w:pPr>
              <w:pStyle w:val="TableParagraph"/>
              <w:spacing w:before="67" w:line="182" w:lineRule="exact"/>
              <w:ind w:right="194"/>
              <w:jc w:val="right"/>
              <w:rPr>
                <w:sz w:val="17"/>
              </w:rPr>
            </w:pPr>
            <w:r>
              <w:rPr>
                <w:spacing w:val="-2"/>
                <w:sz w:val="17"/>
              </w:rPr>
              <w:t>(1,123)</w:t>
            </w:r>
          </w:p>
        </w:tc>
        <w:tc>
          <w:tcPr>
            <w:tcW w:w="889" w:type="dxa"/>
            <w:tcBorders>
              <w:top w:val="single" w:sz="6" w:space="0" w:color="000000"/>
              <w:bottom w:val="single" w:sz="6" w:space="0" w:color="000000"/>
            </w:tcBorders>
          </w:tcPr>
          <w:p w14:paraId="1E13F335" w14:textId="77777777" w:rsidR="00AC6F3C" w:rsidRDefault="00570E88">
            <w:pPr>
              <w:pStyle w:val="TableParagraph"/>
              <w:spacing w:before="67" w:line="182" w:lineRule="exact"/>
              <w:ind w:right="15"/>
              <w:jc w:val="right"/>
              <w:rPr>
                <w:sz w:val="17"/>
              </w:rPr>
            </w:pPr>
            <w:r>
              <w:rPr>
                <w:spacing w:val="-2"/>
                <w:sz w:val="17"/>
              </w:rPr>
              <w:t>(8,068)</w:t>
            </w:r>
          </w:p>
        </w:tc>
        <w:tc>
          <w:tcPr>
            <w:tcW w:w="1074" w:type="dxa"/>
            <w:tcBorders>
              <w:top w:val="single" w:sz="6" w:space="0" w:color="000000"/>
              <w:bottom w:val="single" w:sz="6" w:space="0" w:color="000000"/>
              <w:right w:val="single" w:sz="6" w:space="0" w:color="000000"/>
            </w:tcBorders>
            <w:shd w:val="clear" w:color="auto" w:fill="F1F1F1"/>
          </w:tcPr>
          <w:p w14:paraId="7E65F0AC" w14:textId="77777777" w:rsidR="00AC6F3C" w:rsidRDefault="00570E88">
            <w:pPr>
              <w:pStyle w:val="TableParagraph"/>
              <w:spacing w:before="67" w:line="182" w:lineRule="exact"/>
              <w:ind w:right="15"/>
              <w:jc w:val="right"/>
              <w:rPr>
                <w:sz w:val="17"/>
              </w:rPr>
            </w:pPr>
            <w:r>
              <w:rPr>
                <w:spacing w:val="-2"/>
                <w:sz w:val="17"/>
              </w:rPr>
              <w:t>(9,192)</w:t>
            </w:r>
          </w:p>
        </w:tc>
        <w:tc>
          <w:tcPr>
            <w:tcW w:w="1238" w:type="dxa"/>
            <w:tcBorders>
              <w:top w:val="single" w:sz="6" w:space="0" w:color="000000"/>
              <w:left w:val="single" w:sz="6" w:space="0" w:color="000000"/>
              <w:bottom w:val="single" w:sz="6" w:space="0" w:color="000000"/>
            </w:tcBorders>
          </w:tcPr>
          <w:p w14:paraId="27CF0513" w14:textId="77777777" w:rsidR="00AC6F3C" w:rsidRDefault="00570E88">
            <w:pPr>
              <w:pStyle w:val="TableParagraph"/>
              <w:spacing w:before="67" w:line="182" w:lineRule="exact"/>
              <w:ind w:right="194"/>
              <w:jc w:val="right"/>
              <w:rPr>
                <w:sz w:val="17"/>
              </w:rPr>
            </w:pPr>
            <w:r>
              <w:rPr>
                <w:spacing w:val="-2"/>
                <w:sz w:val="17"/>
              </w:rPr>
              <w:t>(122)</w:t>
            </w:r>
          </w:p>
        </w:tc>
        <w:tc>
          <w:tcPr>
            <w:tcW w:w="890" w:type="dxa"/>
            <w:tcBorders>
              <w:top w:val="single" w:sz="6" w:space="0" w:color="000000"/>
              <w:bottom w:val="single" w:sz="6" w:space="0" w:color="000000"/>
            </w:tcBorders>
          </w:tcPr>
          <w:p w14:paraId="4C0276DA" w14:textId="77777777" w:rsidR="00AC6F3C" w:rsidRDefault="00570E88">
            <w:pPr>
              <w:pStyle w:val="TableParagraph"/>
              <w:spacing w:before="67" w:line="182" w:lineRule="exact"/>
              <w:ind w:right="17"/>
              <w:jc w:val="right"/>
              <w:rPr>
                <w:sz w:val="17"/>
              </w:rPr>
            </w:pPr>
            <w:r>
              <w:rPr>
                <w:spacing w:val="-2"/>
                <w:sz w:val="17"/>
              </w:rPr>
              <w:t>(276)</w:t>
            </w:r>
          </w:p>
        </w:tc>
        <w:tc>
          <w:tcPr>
            <w:tcW w:w="1075" w:type="dxa"/>
            <w:tcBorders>
              <w:top w:val="single" w:sz="6" w:space="0" w:color="000000"/>
              <w:bottom w:val="single" w:sz="6" w:space="0" w:color="000000"/>
              <w:right w:val="single" w:sz="6" w:space="0" w:color="000000"/>
            </w:tcBorders>
            <w:shd w:val="clear" w:color="auto" w:fill="F1F1F1"/>
          </w:tcPr>
          <w:p w14:paraId="159677F1" w14:textId="77777777" w:rsidR="00AC6F3C" w:rsidRDefault="00570E88">
            <w:pPr>
              <w:pStyle w:val="TableParagraph"/>
              <w:spacing w:before="67" w:line="182" w:lineRule="exact"/>
              <w:ind w:right="18"/>
              <w:jc w:val="right"/>
              <w:rPr>
                <w:sz w:val="17"/>
              </w:rPr>
            </w:pPr>
            <w:r>
              <w:rPr>
                <w:spacing w:val="-2"/>
                <w:sz w:val="17"/>
              </w:rPr>
              <w:t>(398)</w:t>
            </w:r>
          </w:p>
        </w:tc>
      </w:tr>
      <w:tr w:rsidR="00AC6F3C" w14:paraId="2108E0B6" w14:textId="77777777">
        <w:trPr>
          <w:trHeight w:val="281"/>
        </w:trPr>
        <w:tc>
          <w:tcPr>
            <w:tcW w:w="2259" w:type="dxa"/>
            <w:tcBorders>
              <w:top w:val="single" w:sz="6" w:space="0" w:color="000000"/>
              <w:left w:val="single" w:sz="6" w:space="0" w:color="000000"/>
            </w:tcBorders>
          </w:tcPr>
          <w:p w14:paraId="0F7A5B70" w14:textId="77777777" w:rsidR="00AC6F3C" w:rsidRDefault="00570E88">
            <w:pPr>
              <w:pStyle w:val="TableParagraph"/>
              <w:spacing w:before="39"/>
              <w:ind w:left="35"/>
              <w:rPr>
                <w:b/>
                <w:sz w:val="17"/>
              </w:rPr>
            </w:pPr>
            <w:r>
              <w:rPr>
                <w:b/>
                <w:sz w:val="17"/>
              </w:rPr>
              <w:t>Net</w:t>
            </w:r>
            <w:r>
              <w:rPr>
                <w:b/>
                <w:spacing w:val="-11"/>
                <w:sz w:val="17"/>
              </w:rPr>
              <w:t xml:space="preserve"> </w:t>
            </w:r>
            <w:r>
              <w:rPr>
                <w:b/>
                <w:spacing w:val="-2"/>
                <w:sz w:val="17"/>
              </w:rPr>
              <w:t>claims</w:t>
            </w:r>
          </w:p>
        </w:tc>
        <w:tc>
          <w:tcPr>
            <w:tcW w:w="1055" w:type="dxa"/>
            <w:tcBorders>
              <w:top w:val="single" w:sz="6" w:space="0" w:color="000000"/>
            </w:tcBorders>
          </w:tcPr>
          <w:p w14:paraId="64129B59" w14:textId="77777777" w:rsidR="00AC6F3C" w:rsidRDefault="00AC6F3C">
            <w:pPr>
              <w:pStyle w:val="TableParagraph"/>
              <w:rPr>
                <w:rFonts w:ascii="Times New Roman"/>
                <w:sz w:val="18"/>
              </w:rPr>
            </w:pPr>
          </w:p>
        </w:tc>
        <w:tc>
          <w:tcPr>
            <w:tcW w:w="889" w:type="dxa"/>
            <w:tcBorders>
              <w:top w:val="single" w:sz="6" w:space="0" w:color="000000"/>
            </w:tcBorders>
          </w:tcPr>
          <w:p w14:paraId="38DE7FFF" w14:textId="77777777" w:rsidR="00AC6F3C" w:rsidRDefault="00AC6F3C">
            <w:pPr>
              <w:pStyle w:val="TableParagraph"/>
              <w:rPr>
                <w:rFonts w:ascii="Times New Roman"/>
                <w:sz w:val="18"/>
              </w:rPr>
            </w:pPr>
          </w:p>
        </w:tc>
        <w:tc>
          <w:tcPr>
            <w:tcW w:w="1074" w:type="dxa"/>
            <w:tcBorders>
              <w:top w:val="single" w:sz="6" w:space="0" w:color="000000"/>
              <w:right w:val="single" w:sz="6" w:space="0" w:color="000000"/>
            </w:tcBorders>
            <w:shd w:val="clear" w:color="auto" w:fill="F1F1F1"/>
          </w:tcPr>
          <w:p w14:paraId="4AE12B3C" w14:textId="77777777" w:rsidR="00AC6F3C" w:rsidRDefault="00AC6F3C">
            <w:pPr>
              <w:pStyle w:val="TableParagraph"/>
              <w:rPr>
                <w:rFonts w:ascii="Times New Roman"/>
                <w:sz w:val="18"/>
              </w:rPr>
            </w:pPr>
          </w:p>
        </w:tc>
        <w:tc>
          <w:tcPr>
            <w:tcW w:w="1238" w:type="dxa"/>
            <w:tcBorders>
              <w:top w:val="single" w:sz="6" w:space="0" w:color="000000"/>
              <w:left w:val="single" w:sz="6" w:space="0" w:color="000000"/>
            </w:tcBorders>
          </w:tcPr>
          <w:p w14:paraId="3B446F38" w14:textId="77777777" w:rsidR="00AC6F3C" w:rsidRDefault="00AC6F3C">
            <w:pPr>
              <w:pStyle w:val="TableParagraph"/>
              <w:rPr>
                <w:rFonts w:ascii="Times New Roman"/>
                <w:sz w:val="18"/>
              </w:rPr>
            </w:pPr>
          </w:p>
        </w:tc>
        <w:tc>
          <w:tcPr>
            <w:tcW w:w="890" w:type="dxa"/>
            <w:tcBorders>
              <w:top w:val="single" w:sz="6" w:space="0" w:color="000000"/>
            </w:tcBorders>
          </w:tcPr>
          <w:p w14:paraId="4B6B89B1" w14:textId="77777777" w:rsidR="00AC6F3C" w:rsidRDefault="00AC6F3C">
            <w:pPr>
              <w:pStyle w:val="TableParagraph"/>
              <w:rPr>
                <w:rFonts w:ascii="Times New Roman"/>
                <w:sz w:val="18"/>
              </w:rPr>
            </w:pPr>
          </w:p>
        </w:tc>
        <w:tc>
          <w:tcPr>
            <w:tcW w:w="1075" w:type="dxa"/>
            <w:tcBorders>
              <w:top w:val="single" w:sz="6" w:space="0" w:color="000000"/>
              <w:right w:val="single" w:sz="6" w:space="0" w:color="000000"/>
            </w:tcBorders>
            <w:shd w:val="clear" w:color="auto" w:fill="F1F1F1"/>
          </w:tcPr>
          <w:p w14:paraId="778E16AD" w14:textId="77777777" w:rsidR="00AC6F3C" w:rsidRDefault="00AC6F3C">
            <w:pPr>
              <w:pStyle w:val="TableParagraph"/>
              <w:rPr>
                <w:rFonts w:ascii="Times New Roman"/>
                <w:sz w:val="18"/>
              </w:rPr>
            </w:pPr>
          </w:p>
        </w:tc>
      </w:tr>
      <w:tr w:rsidR="00AC6F3C" w14:paraId="3512FCD4" w14:textId="77777777">
        <w:trPr>
          <w:trHeight w:val="298"/>
        </w:trPr>
        <w:tc>
          <w:tcPr>
            <w:tcW w:w="2259" w:type="dxa"/>
            <w:tcBorders>
              <w:left w:val="single" w:sz="6" w:space="0" w:color="000000"/>
            </w:tcBorders>
          </w:tcPr>
          <w:p w14:paraId="6CA17550" w14:textId="77777777" w:rsidR="00AC6F3C" w:rsidRDefault="00570E88">
            <w:pPr>
              <w:pStyle w:val="TableParagraph"/>
              <w:spacing w:before="41"/>
              <w:ind w:left="35"/>
              <w:rPr>
                <w:sz w:val="17"/>
              </w:rPr>
            </w:pPr>
            <w:r>
              <w:rPr>
                <w:spacing w:val="-2"/>
                <w:sz w:val="17"/>
              </w:rPr>
              <w:t>Undiscounted</w:t>
            </w:r>
          </w:p>
        </w:tc>
        <w:tc>
          <w:tcPr>
            <w:tcW w:w="1055" w:type="dxa"/>
          </w:tcPr>
          <w:p w14:paraId="091E7E0B" w14:textId="77777777" w:rsidR="00AC6F3C" w:rsidRDefault="00570E88">
            <w:pPr>
              <w:pStyle w:val="TableParagraph"/>
              <w:spacing w:before="70"/>
              <w:ind w:right="197"/>
              <w:jc w:val="right"/>
              <w:rPr>
                <w:sz w:val="17"/>
              </w:rPr>
            </w:pPr>
            <w:r>
              <w:rPr>
                <w:spacing w:val="-2"/>
                <w:sz w:val="17"/>
              </w:rPr>
              <w:t>17,004</w:t>
            </w:r>
          </w:p>
        </w:tc>
        <w:tc>
          <w:tcPr>
            <w:tcW w:w="889" w:type="dxa"/>
          </w:tcPr>
          <w:p w14:paraId="71D628C3" w14:textId="77777777" w:rsidR="00AC6F3C" w:rsidRDefault="00570E88">
            <w:pPr>
              <w:pStyle w:val="TableParagraph"/>
              <w:spacing w:before="70"/>
              <w:ind w:right="15"/>
              <w:jc w:val="right"/>
              <w:rPr>
                <w:sz w:val="17"/>
              </w:rPr>
            </w:pPr>
            <w:r>
              <w:rPr>
                <w:spacing w:val="-2"/>
                <w:sz w:val="17"/>
              </w:rPr>
              <w:t>(4,694)</w:t>
            </w:r>
          </w:p>
        </w:tc>
        <w:tc>
          <w:tcPr>
            <w:tcW w:w="1074" w:type="dxa"/>
            <w:tcBorders>
              <w:right w:val="single" w:sz="6" w:space="0" w:color="000000"/>
            </w:tcBorders>
            <w:shd w:val="clear" w:color="auto" w:fill="F1F1F1"/>
          </w:tcPr>
          <w:p w14:paraId="3FE6A698" w14:textId="77777777" w:rsidR="00AC6F3C" w:rsidRDefault="00570E88">
            <w:pPr>
              <w:pStyle w:val="TableParagraph"/>
              <w:spacing w:before="70"/>
              <w:ind w:right="19"/>
              <w:jc w:val="right"/>
              <w:rPr>
                <w:sz w:val="17"/>
              </w:rPr>
            </w:pPr>
            <w:r>
              <w:rPr>
                <w:spacing w:val="-2"/>
                <w:sz w:val="17"/>
              </w:rPr>
              <w:t>12,310</w:t>
            </w:r>
          </w:p>
        </w:tc>
        <w:tc>
          <w:tcPr>
            <w:tcW w:w="1238" w:type="dxa"/>
            <w:tcBorders>
              <w:left w:val="single" w:sz="6" w:space="0" w:color="000000"/>
            </w:tcBorders>
          </w:tcPr>
          <w:p w14:paraId="0E91E279" w14:textId="77777777" w:rsidR="00AC6F3C" w:rsidRDefault="00570E88">
            <w:pPr>
              <w:pStyle w:val="TableParagraph"/>
              <w:spacing w:before="70"/>
              <w:ind w:right="198"/>
              <w:jc w:val="right"/>
              <w:rPr>
                <w:sz w:val="17"/>
              </w:rPr>
            </w:pPr>
            <w:r>
              <w:rPr>
                <w:spacing w:val="-2"/>
                <w:sz w:val="17"/>
              </w:rPr>
              <w:t>16,851</w:t>
            </w:r>
          </w:p>
        </w:tc>
        <w:tc>
          <w:tcPr>
            <w:tcW w:w="890" w:type="dxa"/>
          </w:tcPr>
          <w:p w14:paraId="0DA9F9DA" w14:textId="77777777" w:rsidR="00AC6F3C" w:rsidRDefault="00570E88">
            <w:pPr>
              <w:pStyle w:val="TableParagraph"/>
              <w:spacing w:before="70"/>
              <w:ind w:right="17"/>
              <w:jc w:val="right"/>
              <w:rPr>
                <w:sz w:val="17"/>
              </w:rPr>
            </w:pPr>
            <w:r>
              <w:rPr>
                <w:spacing w:val="-2"/>
                <w:sz w:val="17"/>
              </w:rPr>
              <w:t>(3,284)</w:t>
            </w:r>
          </w:p>
        </w:tc>
        <w:tc>
          <w:tcPr>
            <w:tcW w:w="1075" w:type="dxa"/>
            <w:tcBorders>
              <w:right w:val="single" w:sz="6" w:space="0" w:color="000000"/>
            </w:tcBorders>
            <w:shd w:val="clear" w:color="auto" w:fill="F1F1F1"/>
          </w:tcPr>
          <w:p w14:paraId="4CE2D505" w14:textId="77777777" w:rsidR="00AC6F3C" w:rsidRDefault="00570E88">
            <w:pPr>
              <w:pStyle w:val="TableParagraph"/>
              <w:spacing w:before="70"/>
              <w:ind w:right="22"/>
              <w:jc w:val="right"/>
              <w:rPr>
                <w:sz w:val="17"/>
              </w:rPr>
            </w:pPr>
            <w:r>
              <w:rPr>
                <w:spacing w:val="-2"/>
                <w:sz w:val="17"/>
              </w:rPr>
              <w:t>13,567</w:t>
            </w:r>
          </w:p>
        </w:tc>
      </w:tr>
      <w:tr w:rsidR="00AC6F3C" w14:paraId="11663039" w14:textId="77777777">
        <w:trPr>
          <w:trHeight w:val="257"/>
        </w:trPr>
        <w:tc>
          <w:tcPr>
            <w:tcW w:w="2259" w:type="dxa"/>
            <w:tcBorders>
              <w:left w:val="single" w:sz="6" w:space="0" w:color="000000"/>
              <w:bottom w:val="single" w:sz="6" w:space="0" w:color="000000"/>
            </w:tcBorders>
          </w:tcPr>
          <w:p w14:paraId="347A2CF4" w14:textId="77777777" w:rsidR="00AC6F3C" w:rsidRDefault="00570E88">
            <w:pPr>
              <w:pStyle w:val="TableParagraph"/>
              <w:spacing w:before="27"/>
              <w:ind w:left="35"/>
              <w:rPr>
                <w:sz w:val="17"/>
              </w:rPr>
            </w:pPr>
            <w:r>
              <w:rPr>
                <w:spacing w:val="-2"/>
                <w:sz w:val="17"/>
              </w:rPr>
              <w:t>Discount</w:t>
            </w:r>
          </w:p>
        </w:tc>
        <w:tc>
          <w:tcPr>
            <w:tcW w:w="1055" w:type="dxa"/>
            <w:tcBorders>
              <w:bottom w:val="single" w:sz="6" w:space="0" w:color="000000"/>
            </w:tcBorders>
          </w:tcPr>
          <w:p w14:paraId="4E1B619C" w14:textId="77777777" w:rsidR="00AC6F3C" w:rsidRDefault="00570E88">
            <w:pPr>
              <w:pStyle w:val="TableParagraph"/>
              <w:spacing w:before="56" w:line="182" w:lineRule="exact"/>
              <w:ind w:right="192"/>
              <w:jc w:val="right"/>
              <w:rPr>
                <w:sz w:val="17"/>
              </w:rPr>
            </w:pPr>
            <w:r>
              <w:rPr>
                <w:spacing w:val="-2"/>
                <w:sz w:val="17"/>
              </w:rPr>
              <w:t>(1,767)</w:t>
            </w:r>
          </w:p>
        </w:tc>
        <w:tc>
          <w:tcPr>
            <w:tcW w:w="889" w:type="dxa"/>
            <w:tcBorders>
              <w:bottom w:val="single" w:sz="6" w:space="0" w:color="000000"/>
            </w:tcBorders>
          </w:tcPr>
          <w:p w14:paraId="0B7C76C4" w14:textId="77777777" w:rsidR="00AC6F3C" w:rsidRDefault="00570E88">
            <w:pPr>
              <w:pStyle w:val="TableParagraph"/>
              <w:spacing w:before="56" w:line="182" w:lineRule="exact"/>
              <w:ind w:right="19"/>
              <w:jc w:val="right"/>
              <w:rPr>
                <w:sz w:val="17"/>
              </w:rPr>
            </w:pPr>
            <w:r>
              <w:rPr>
                <w:spacing w:val="-5"/>
                <w:sz w:val="17"/>
              </w:rPr>
              <w:t>834</w:t>
            </w:r>
          </w:p>
        </w:tc>
        <w:tc>
          <w:tcPr>
            <w:tcW w:w="1074" w:type="dxa"/>
            <w:tcBorders>
              <w:bottom w:val="single" w:sz="6" w:space="0" w:color="000000"/>
              <w:right w:val="single" w:sz="6" w:space="0" w:color="000000"/>
            </w:tcBorders>
            <w:shd w:val="clear" w:color="auto" w:fill="F1F1F1"/>
          </w:tcPr>
          <w:p w14:paraId="40E4EF8E" w14:textId="77777777" w:rsidR="00AC6F3C" w:rsidRDefault="00570E88">
            <w:pPr>
              <w:pStyle w:val="TableParagraph"/>
              <w:spacing w:before="56" w:line="182" w:lineRule="exact"/>
              <w:ind w:right="15"/>
              <w:jc w:val="right"/>
              <w:rPr>
                <w:sz w:val="17"/>
              </w:rPr>
            </w:pPr>
            <w:r>
              <w:rPr>
                <w:spacing w:val="-2"/>
                <w:sz w:val="17"/>
              </w:rPr>
              <w:t>(933)</w:t>
            </w:r>
          </w:p>
        </w:tc>
        <w:tc>
          <w:tcPr>
            <w:tcW w:w="1238" w:type="dxa"/>
            <w:tcBorders>
              <w:left w:val="single" w:sz="6" w:space="0" w:color="000000"/>
              <w:bottom w:val="single" w:sz="6" w:space="0" w:color="000000"/>
            </w:tcBorders>
          </w:tcPr>
          <w:p w14:paraId="29C6F6D3" w14:textId="77777777" w:rsidR="00AC6F3C" w:rsidRDefault="00570E88">
            <w:pPr>
              <w:pStyle w:val="TableParagraph"/>
              <w:spacing w:before="56" w:line="182" w:lineRule="exact"/>
              <w:ind w:right="194"/>
              <w:jc w:val="right"/>
              <w:rPr>
                <w:sz w:val="17"/>
              </w:rPr>
            </w:pPr>
            <w:r>
              <w:rPr>
                <w:spacing w:val="-2"/>
                <w:sz w:val="17"/>
              </w:rPr>
              <w:t>(1,396)</w:t>
            </w:r>
          </w:p>
        </w:tc>
        <w:tc>
          <w:tcPr>
            <w:tcW w:w="890" w:type="dxa"/>
            <w:tcBorders>
              <w:bottom w:val="single" w:sz="6" w:space="0" w:color="000000"/>
            </w:tcBorders>
          </w:tcPr>
          <w:p w14:paraId="50F7C721" w14:textId="77777777" w:rsidR="00AC6F3C" w:rsidRDefault="00570E88">
            <w:pPr>
              <w:pStyle w:val="TableParagraph"/>
              <w:spacing w:before="56" w:line="182" w:lineRule="exact"/>
              <w:ind w:right="17"/>
              <w:jc w:val="right"/>
              <w:rPr>
                <w:sz w:val="17"/>
              </w:rPr>
            </w:pPr>
            <w:r>
              <w:rPr>
                <w:spacing w:val="-2"/>
                <w:sz w:val="17"/>
              </w:rPr>
              <w:t>(1,653)</w:t>
            </w:r>
          </w:p>
        </w:tc>
        <w:tc>
          <w:tcPr>
            <w:tcW w:w="1075" w:type="dxa"/>
            <w:tcBorders>
              <w:bottom w:val="single" w:sz="6" w:space="0" w:color="000000"/>
              <w:right w:val="single" w:sz="6" w:space="0" w:color="000000"/>
            </w:tcBorders>
            <w:shd w:val="clear" w:color="auto" w:fill="F1F1F1"/>
          </w:tcPr>
          <w:p w14:paraId="4C9F2BF5" w14:textId="77777777" w:rsidR="00AC6F3C" w:rsidRDefault="00570E88">
            <w:pPr>
              <w:pStyle w:val="TableParagraph"/>
              <w:spacing w:before="56" w:line="182" w:lineRule="exact"/>
              <w:ind w:right="18"/>
              <w:jc w:val="right"/>
              <w:rPr>
                <w:sz w:val="17"/>
              </w:rPr>
            </w:pPr>
            <w:r>
              <w:rPr>
                <w:spacing w:val="-2"/>
                <w:sz w:val="17"/>
              </w:rPr>
              <w:t>(3,049)</w:t>
            </w:r>
          </w:p>
        </w:tc>
      </w:tr>
      <w:tr w:rsidR="00AC6F3C" w14:paraId="5019C681" w14:textId="77777777">
        <w:trPr>
          <w:trHeight w:val="269"/>
        </w:trPr>
        <w:tc>
          <w:tcPr>
            <w:tcW w:w="2259" w:type="dxa"/>
            <w:tcBorders>
              <w:top w:val="single" w:sz="6" w:space="0" w:color="000000"/>
              <w:left w:val="single" w:sz="6" w:space="0" w:color="000000"/>
              <w:bottom w:val="single" w:sz="6" w:space="0" w:color="000000"/>
            </w:tcBorders>
          </w:tcPr>
          <w:p w14:paraId="1854A27F" w14:textId="77777777" w:rsidR="00AC6F3C" w:rsidRDefault="00AC6F3C">
            <w:pPr>
              <w:pStyle w:val="TableParagraph"/>
              <w:rPr>
                <w:rFonts w:ascii="Times New Roman"/>
                <w:sz w:val="18"/>
              </w:rPr>
            </w:pPr>
          </w:p>
        </w:tc>
        <w:tc>
          <w:tcPr>
            <w:tcW w:w="1055" w:type="dxa"/>
            <w:tcBorders>
              <w:top w:val="single" w:sz="6" w:space="0" w:color="000000"/>
              <w:bottom w:val="single" w:sz="6" w:space="0" w:color="000000"/>
            </w:tcBorders>
          </w:tcPr>
          <w:p w14:paraId="01EAA6ED" w14:textId="77777777" w:rsidR="00AC6F3C" w:rsidRDefault="00570E88">
            <w:pPr>
              <w:pStyle w:val="TableParagraph"/>
              <w:spacing w:before="67" w:line="182" w:lineRule="exact"/>
              <w:ind w:right="197"/>
              <w:jc w:val="right"/>
              <w:rPr>
                <w:sz w:val="17"/>
              </w:rPr>
            </w:pPr>
            <w:r>
              <w:rPr>
                <w:spacing w:val="-2"/>
                <w:sz w:val="17"/>
              </w:rPr>
              <w:t>15,237</w:t>
            </w:r>
          </w:p>
        </w:tc>
        <w:tc>
          <w:tcPr>
            <w:tcW w:w="889" w:type="dxa"/>
            <w:tcBorders>
              <w:top w:val="single" w:sz="6" w:space="0" w:color="000000"/>
              <w:bottom w:val="single" w:sz="6" w:space="0" w:color="000000"/>
            </w:tcBorders>
          </w:tcPr>
          <w:p w14:paraId="22127BD6" w14:textId="77777777" w:rsidR="00AC6F3C" w:rsidRDefault="00570E88">
            <w:pPr>
              <w:pStyle w:val="TableParagraph"/>
              <w:spacing w:before="67" w:line="182" w:lineRule="exact"/>
              <w:ind w:right="15"/>
              <w:jc w:val="right"/>
              <w:rPr>
                <w:sz w:val="17"/>
              </w:rPr>
            </w:pPr>
            <w:r>
              <w:rPr>
                <w:spacing w:val="-2"/>
                <w:sz w:val="17"/>
              </w:rPr>
              <w:t>(3,860)</w:t>
            </w:r>
          </w:p>
        </w:tc>
        <w:tc>
          <w:tcPr>
            <w:tcW w:w="1074" w:type="dxa"/>
            <w:tcBorders>
              <w:top w:val="single" w:sz="6" w:space="0" w:color="000000"/>
              <w:bottom w:val="single" w:sz="6" w:space="0" w:color="000000"/>
              <w:right w:val="single" w:sz="6" w:space="0" w:color="000000"/>
            </w:tcBorders>
            <w:shd w:val="clear" w:color="auto" w:fill="F1F1F1"/>
          </w:tcPr>
          <w:p w14:paraId="3A257AE4" w14:textId="77777777" w:rsidR="00AC6F3C" w:rsidRDefault="00570E88">
            <w:pPr>
              <w:pStyle w:val="TableParagraph"/>
              <w:spacing w:before="67" w:line="182" w:lineRule="exact"/>
              <w:ind w:right="19"/>
              <w:jc w:val="right"/>
              <w:rPr>
                <w:sz w:val="17"/>
              </w:rPr>
            </w:pPr>
            <w:r>
              <w:rPr>
                <w:spacing w:val="-2"/>
                <w:sz w:val="17"/>
              </w:rPr>
              <w:t>11,376</w:t>
            </w:r>
          </w:p>
        </w:tc>
        <w:tc>
          <w:tcPr>
            <w:tcW w:w="1238" w:type="dxa"/>
            <w:tcBorders>
              <w:top w:val="single" w:sz="6" w:space="0" w:color="000000"/>
              <w:left w:val="single" w:sz="6" w:space="0" w:color="000000"/>
              <w:bottom w:val="single" w:sz="6" w:space="0" w:color="000000"/>
            </w:tcBorders>
          </w:tcPr>
          <w:p w14:paraId="4AE84582" w14:textId="77777777" w:rsidR="00AC6F3C" w:rsidRDefault="00570E88">
            <w:pPr>
              <w:pStyle w:val="TableParagraph"/>
              <w:spacing w:before="67" w:line="182" w:lineRule="exact"/>
              <w:ind w:right="198"/>
              <w:jc w:val="right"/>
              <w:rPr>
                <w:sz w:val="17"/>
              </w:rPr>
            </w:pPr>
            <w:r>
              <w:rPr>
                <w:spacing w:val="-2"/>
                <w:sz w:val="17"/>
              </w:rPr>
              <w:t>15,454</w:t>
            </w:r>
          </w:p>
        </w:tc>
        <w:tc>
          <w:tcPr>
            <w:tcW w:w="890" w:type="dxa"/>
            <w:tcBorders>
              <w:top w:val="single" w:sz="6" w:space="0" w:color="000000"/>
              <w:bottom w:val="single" w:sz="6" w:space="0" w:color="000000"/>
            </w:tcBorders>
          </w:tcPr>
          <w:p w14:paraId="4BBF6D68" w14:textId="77777777" w:rsidR="00AC6F3C" w:rsidRDefault="00570E88">
            <w:pPr>
              <w:pStyle w:val="TableParagraph"/>
              <w:spacing w:before="67" w:line="182" w:lineRule="exact"/>
              <w:ind w:right="17"/>
              <w:jc w:val="right"/>
              <w:rPr>
                <w:sz w:val="17"/>
              </w:rPr>
            </w:pPr>
            <w:r>
              <w:rPr>
                <w:spacing w:val="-2"/>
                <w:sz w:val="17"/>
              </w:rPr>
              <w:t>(4,937)</w:t>
            </w:r>
          </w:p>
        </w:tc>
        <w:tc>
          <w:tcPr>
            <w:tcW w:w="1075" w:type="dxa"/>
            <w:tcBorders>
              <w:top w:val="single" w:sz="6" w:space="0" w:color="000000"/>
              <w:bottom w:val="single" w:sz="6" w:space="0" w:color="000000"/>
              <w:right w:val="single" w:sz="6" w:space="0" w:color="000000"/>
            </w:tcBorders>
            <w:shd w:val="clear" w:color="auto" w:fill="F1F1F1"/>
          </w:tcPr>
          <w:p w14:paraId="09D51F2D" w14:textId="77777777" w:rsidR="00AC6F3C" w:rsidRDefault="00570E88">
            <w:pPr>
              <w:pStyle w:val="TableParagraph"/>
              <w:spacing w:before="67" w:line="182" w:lineRule="exact"/>
              <w:ind w:right="22"/>
              <w:jc w:val="right"/>
              <w:rPr>
                <w:sz w:val="17"/>
              </w:rPr>
            </w:pPr>
            <w:r>
              <w:rPr>
                <w:spacing w:val="-2"/>
                <w:sz w:val="17"/>
              </w:rPr>
              <w:t>10,517</w:t>
            </w:r>
          </w:p>
        </w:tc>
      </w:tr>
      <w:tr w:rsidR="00AC6F3C" w14:paraId="36D185D9" w14:textId="77777777">
        <w:trPr>
          <w:trHeight w:val="780"/>
        </w:trPr>
        <w:tc>
          <w:tcPr>
            <w:tcW w:w="2259" w:type="dxa"/>
            <w:tcBorders>
              <w:top w:val="single" w:sz="6" w:space="0" w:color="000000"/>
              <w:left w:val="single" w:sz="6" w:space="0" w:color="000000"/>
              <w:bottom w:val="single" w:sz="6" w:space="0" w:color="000000"/>
            </w:tcBorders>
          </w:tcPr>
          <w:p w14:paraId="07E135CF" w14:textId="77777777" w:rsidR="00AC6F3C" w:rsidRDefault="00AC6F3C">
            <w:pPr>
              <w:pStyle w:val="TableParagraph"/>
              <w:spacing w:before="7"/>
            </w:pPr>
          </w:p>
          <w:p w14:paraId="65D9EBBC" w14:textId="77777777" w:rsidR="00AC6F3C" w:rsidRDefault="00570E88">
            <w:pPr>
              <w:pStyle w:val="TableParagraph"/>
              <w:spacing w:line="250" w:lineRule="atLeast"/>
              <w:ind w:left="35" w:right="737"/>
              <w:rPr>
                <w:sz w:val="17"/>
              </w:rPr>
            </w:pPr>
            <w:r>
              <w:rPr>
                <w:sz w:val="17"/>
              </w:rPr>
              <w:t>Risk</w:t>
            </w:r>
            <w:r>
              <w:rPr>
                <w:spacing w:val="-3"/>
                <w:sz w:val="17"/>
              </w:rPr>
              <w:t xml:space="preserve"> </w:t>
            </w:r>
            <w:r>
              <w:rPr>
                <w:sz w:val="17"/>
              </w:rPr>
              <w:t>margins Claims handling</w:t>
            </w:r>
          </w:p>
        </w:tc>
        <w:tc>
          <w:tcPr>
            <w:tcW w:w="1055" w:type="dxa"/>
            <w:tcBorders>
              <w:top w:val="single" w:sz="6" w:space="0" w:color="000000"/>
              <w:bottom w:val="single" w:sz="6" w:space="0" w:color="000000"/>
            </w:tcBorders>
          </w:tcPr>
          <w:p w14:paraId="74358B92" w14:textId="77777777" w:rsidR="00AC6F3C" w:rsidRDefault="00AC6F3C">
            <w:pPr>
              <w:pStyle w:val="TableParagraph"/>
              <w:rPr>
                <w:sz w:val="18"/>
              </w:rPr>
            </w:pPr>
          </w:p>
          <w:p w14:paraId="45385F0B" w14:textId="77777777" w:rsidR="00AC6F3C" w:rsidRDefault="00570E88">
            <w:pPr>
              <w:pStyle w:val="TableParagraph"/>
              <w:spacing w:before="144"/>
              <w:ind w:left="414"/>
              <w:rPr>
                <w:sz w:val="17"/>
              </w:rPr>
            </w:pPr>
            <w:r>
              <w:rPr>
                <w:spacing w:val="-2"/>
                <w:sz w:val="17"/>
              </w:rPr>
              <w:t>7,205</w:t>
            </w:r>
          </w:p>
          <w:p w14:paraId="1EA2FE57" w14:textId="77777777" w:rsidR="00AC6F3C" w:rsidRDefault="00570E88">
            <w:pPr>
              <w:pStyle w:val="TableParagraph"/>
              <w:spacing w:before="32" w:line="182" w:lineRule="exact"/>
              <w:ind w:left="414"/>
              <w:rPr>
                <w:sz w:val="17"/>
              </w:rPr>
            </w:pPr>
            <w:r>
              <w:rPr>
                <w:spacing w:val="-2"/>
                <w:sz w:val="17"/>
              </w:rPr>
              <w:t>2,038</w:t>
            </w:r>
          </w:p>
        </w:tc>
        <w:tc>
          <w:tcPr>
            <w:tcW w:w="889" w:type="dxa"/>
            <w:tcBorders>
              <w:top w:val="single" w:sz="6" w:space="0" w:color="000000"/>
              <w:bottom w:val="single" w:sz="6" w:space="0" w:color="000000"/>
            </w:tcBorders>
          </w:tcPr>
          <w:p w14:paraId="6E04252C" w14:textId="77777777" w:rsidR="00AC6F3C" w:rsidRDefault="00AC6F3C">
            <w:pPr>
              <w:pStyle w:val="TableParagraph"/>
              <w:rPr>
                <w:sz w:val="18"/>
              </w:rPr>
            </w:pPr>
          </w:p>
          <w:p w14:paraId="3012F375" w14:textId="77777777" w:rsidR="00AC6F3C" w:rsidRDefault="00570E88">
            <w:pPr>
              <w:pStyle w:val="TableParagraph"/>
              <w:spacing w:before="144"/>
              <w:ind w:right="15"/>
              <w:jc w:val="right"/>
              <w:rPr>
                <w:sz w:val="17"/>
              </w:rPr>
            </w:pPr>
            <w:r>
              <w:rPr>
                <w:spacing w:val="-2"/>
                <w:sz w:val="17"/>
              </w:rPr>
              <w:t>(5,507)</w:t>
            </w:r>
          </w:p>
          <w:p w14:paraId="6212ADB0" w14:textId="77777777" w:rsidR="00AC6F3C" w:rsidRDefault="00570E88">
            <w:pPr>
              <w:pStyle w:val="TableParagraph"/>
              <w:spacing w:before="32" w:line="182" w:lineRule="exact"/>
              <w:ind w:right="15"/>
              <w:jc w:val="right"/>
              <w:rPr>
                <w:sz w:val="17"/>
              </w:rPr>
            </w:pPr>
            <w:r>
              <w:rPr>
                <w:spacing w:val="-2"/>
                <w:sz w:val="17"/>
              </w:rPr>
              <w:t>(796)</w:t>
            </w:r>
          </w:p>
        </w:tc>
        <w:tc>
          <w:tcPr>
            <w:tcW w:w="1074" w:type="dxa"/>
            <w:tcBorders>
              <w:top w:val="single" w:sz="6" w:space="0" w:color="000000"/>
              <w:bottom w:val="single" w:sz="6" w:space="0" w:color="000000"/>
              <w:right w:val="single" w:sz="6" w:space="0" w:color="000000"/>
            </w:tcBorders>
            <w:shd w:val="clear" w:color="auto" w:fill="F1F1F1"/>
          </w:tcPr>
          <w:p w14:paraId="019E1F25" w14:textId="77777777" w:rsidR="00AC6F3C" w:rsidRDefault="00AC6F3C">
            <w:pPr>
              <w:pStyle w:val="TableParagraph"/>
              <w:rPr>
                <w:sz w:val="18"/>
              </w:rPr>
            </w:pPr>
          </w:p>
          <w:p w14:paraId="2A1D78A1" w14:textId="77777777" w:rsidR="00AC6F3C" w:rsidRDefault="00570E88">
            <w:pPr>
              <w:pStyle w:val="TableParagraph"/>
              <w:spacing w:before="144"/>
              <w:ind w:left="604"/>
              <w:rPr>
                <w:sz w:val="17"/>
              </w:rPr>
            </w:pPr>
            <w:r>
              <w:rPr>
                <w:spacing w:val="-2"/>
                <w:sz w:val="17"/>
              </w:rPr>
              <w:t>1,698</w:t>
            </w:r>
          </w:p>
          <w:p w14:paraId="47A97615" w14:textId="77777777" w:rsidR="00AC6F3C" w:rsidRDefault="00570E88">
            <w:pPr>
              <w:pStyle w:val="TableParagraph"/>
              <w:spacing w:before="32" w:line="182" w:lineRule="exact"/>
              <w:ind w:left="603"/>
              <w:rPr>
                <w:sz w:val="17"/>
              </w:rPr>
            </w:pPr>
            <w:r>
              <w:rPr>
                <w:spacing w:val="-2"/>
                <w:sz w:val="17"/>
              </w:rPr>
              <w:t>1,243</w:t>
            </w:r>
          </w:p>
        </w:tc>
        <w:tc>
          <w:tcPr>
            <w:tcW w:w="1238" w:type="dxa"/>
            <w:tcBorders>
              <w:top w:val="single" w:sz="6" w:space="0" w:color="000000"/>
              <w:left w:val="single" w:sz="6" w:space="0" w:color="000000"/>
              <w:bottom w:val="single" w:sz="6" w:space="0" w:color="000000"/>
            </w:tcBorders>
          </w:tcPr>
          <w:p w14:paraId="4B23CE72" w14:textId="77777777" w:rsidR="00AC6F3C" w:rsidRDefault="00AC6F3C">
            <w:pPr>
              <w:pStyle w:val="TableParagraph"/>
              <w:rPr>
                <w:sz w:val="18"/>
              </w:rPr>
            </w:pPr>
          </w:p>
          <w:p w14:paraId="37B3C03C" w14:textId="77777777" w:rsidR="00AC6F3C" w:rsidRDefault="00570E88">
            <w:pPr>
              <w:pStyle w:val="TableParagraph"/>
              <w:spacing w:before="144"/>
              <w:ind w:left="589"/>
              <w:rPr>
                <w:sz w:val="17"/>
              </w:rPr>
            </w:pPr>
            <w:r>
              <w:rPr>
                <w:spacing w:val="-2"/>
                <w:sz w:val="17"/>
              </w:rPr>
              <w:t>6,664</w:t>
            </w:r>
          </w:p>
          <w:p w14:paraId="05E288F4" w14:textId="77777777" w:rsidR="00AC6F3C" w:rsidRDefault="00570E88">
            <w:pPr>
              <w:pStyle w:val="TableParagraph"/>
              <w:spacing w:before="32" w:line="182" w:lineRule="exact"/>
              <w:ind w:left="589"/>
              <w:rPr>
                <w:sz w:val="17"/>
              </w:rPr>
            </w:pPr>
            <w:r>
              <w:rPr>
                <w:spacing w:val="-2"/>
                <w:sz w:val="17"/>
              </w:rPr>
              <w:t>1,696</w:t>
            </w:r>
          </w:p>
        </w:tc>
        <w:tc>
          <w:tcPr>
            <w:tcW w:w="890" w:type="dxa"/>
            <w:tcBorders>
              <w:top w:val="single" w:sz="6" w:space="0" w:color="000000"/>
              <w:bottom w:val="single" w:sz="6" w:space="0" w:color="000000"/>
            </w:tcBorders>
          </w:tcPr>
          <w:p w14:paraId="5EACB33C" w14:textId="77777777" w:rsidR="00AC6F3C" w:rsidRDefault="00AC6F3C">
            <w:pPr>
              <w:pStyle w:val="TableParagraph"/>
              <w:rPr>
                <w:sz w:val="18"/>
              </w:rPr>
            </w:pPr>
          </w:p>
          <w:p w14:paraId="2264E049" w14:textId="77777777" w:rsidR="00AC6F3C" w:rsidRDefault="00570E88">
            <w:pPr>
              <w:pStyle w:val="TableParagraph"/>
              <w:spacing w:before="144"/>
              <w:ind w:left="311"/>
              <w:rPr>
                <w:sz w:val="17"/>
              </w:rPr>
            </w:pPr>
            <w:r>
              <w:rPr>
                <w:spacing w:val="-2"/>
                <w:sz w:val="17"/>
              </w:rPr>
              <w:t>(8,170)</w:t>
            </w:r>
          </w:p>
          <w:p w14:paraId="12FD220B" w14:textId="77777777" w:rsidR="00AC6F3C" w:rsidRDefault="00570E88">
            <w:pPr>
              <w:pStyle w:val="TableParagraph"/>
              <w:spacing w:before="32" w:line="182" w:lineRule="exact"/>
              <w:ind w:left="311"/>
              <w:rPr>
                <w:sz w:val="17"/>
              </w:rPr>
            </w:pPr>
            <w:r>
              <w:rPr>
                <w:spacing w:val="-2"/>
                <w:sz w:val="17"/>
              </w:rPr>
              <w:t>(2,783)</w:t>
            </w:r>
          </w:p>
        </w:tc>
        <w:tc>
          <w:tcPr>
            <w:tcW w:w="1075" w:type="dxa"/>
            <w:tcBorders>
              <w:top w:val="single" w:sz="6" w:space="0" w:color="000000"/>
              <w:bottom w:val="single" w:sz="6" w:space="0" w:color="000000"/>
              <w:right w:val="single" w:sz="6" w:space="0" w:color="000000"/>
            </w:tcBorders>
            <w:shd w:val="clear" w:color="auto" w:fill="F1F1F1"/>
          </w:tcPr>
          <w:p w14:paraId="140FCB74" w14:textId="77777777" w:rsidR="00AC6F3C" w:rsidRDefault="00AC6F3C">
            <w:pPr>
              <w:pStyle w:val="TableParagraph"/>
              <w:rPr>
                <w:sz w:val="18"/>
              </w:rPr>
            </w:pPr>
          </w:p>
          <w:p w14:paraId="3CFCD13F" w14:textId="77777777" w:rsidR="00AC6F3C" w:rsidRDefault="00570E88">
            <w:pPr>
              <w:pStyle w:val="TableParagraph"/>
              <w:spacing w:before="144"/>
              <w:ind w:left="488"/>
              <w:rPr>
                <w:sz w:val="17"/>
              </w:rPr>
            </w:pPr>
            <w:r>
              <w:rPr>
                <w:spacing w:val="-2"/>
                <w:sz w:val="17"/>
              </w:rPr>
              <w:t>(1,506)</w:t>
            </w:r>
          </w:p>
          <w:p w14:paraId="49F428E4" w14:textId="77777777" w:rsidR="00AC6F3C" w:rsidRDefault="00570E88">
            <w:pPr>
              <w:pStyle w:val="TableParagraph"/>
              <w:spacing w:before="32" w:line="182" w:lineRule="exact"/>
              <w:ind w:left="488"/>
              <w:rPr>
                <w:sz w:val="17"/>
              </w:rPr>
            </w:pPr>
            <w:r>
              <w:rPr>
                <w:spacing w:val="-2"/>
                <w:sz w:val="17"/>
              </w:rPr>
              <w:t>(1,087)</w:t>
            </w:r>
          </w:p>
        </w:tc>
      </w:tr>
      <w:tr w:rsidR="00AC6F3C" w14:paraId="29F1D45E" w14:textId="77777777">
        <w:trPr>
          <w:trHeight w:val="269"/>
        </w:trPr>
        <w:tc>
          <w:tcPr>
            <w:tcW w:w="2259" w:type="dxa"/>
            <w:tcBorders>
              <w:top w:val="single" w:sz="6" w:space="0" w:color="000000"/>
              <w:left w:val="single" w:sz="6" w:space="0" w:color="000000"/>
              <w:bottom w:val="single" w:sz="6" w:space="0" w:color="000000"/>
            </w:tcBorders>
            <w:shd w:val="clear" w:color="auto" w:fill="BEBEBE"/>
          </w:tcPr>
          <w:p w14:paraId="1F08B990" w14:textId="77777777" w:rsidR="00AC6F3C" w:rsidRDefault="00570E88">
            <w:pPr>
              <w:pStyle w:val="TableParagraph"/>
              <w:spacing w:before="39"/>
              <w:ind w:left="35"/>
              <w:rPr>
                <w:b/>
                <w:sz w:val="17"/>
              </w:rPr>
            </w:pPr>
            <w:r>
              <w:rPr>
                <w:b/>
                <w:sz w:val="17"/>
              </w:rPr>
              <w:t>Net</w:t>
            </w:r>
            <w:r>
              <w:rPr>
                <w:b/>
                <w:spacing w:val="-9"/>
                <w:sz w:val="17"/>
              </w:rPr>
              <w:t xml:space="preserve"> </w:t>
            </w:r>
            <w:r>
              <w:rPr>
                <w:b/>
                <w:sz w:val="17"/>
              </w:rPr>
              <w:t>claims</w:t>
            </w:r>
            <w:r>
              <w:rPr>
                <w:b/>
                <w:spacing w:val="-2"/>
                <w:sz w:val="17"/>
              </w:rPr>
              <w:t xml:space="preserve"> incurred</w:t>
            </w:r>
          </w:p>
        </w:tc>
        <w:tc>
          <w:tcPr>
            <w:tcW w:w="1055" w:type="dxa"/>
            <w:tcBorders>
              <w:top w:val="single" w:sz="6" w:space="0" w:color="000000"/>
              <w:bottom w:val="single" w:sz="6" w:space="0" w:color="000000"/>
            </w:tcBorders>
            <w:shd w:val="clear" w:color="auto" w:fill="BEBEBE"/>
          </w:tcPr>
          <w:p w14:paraId="2CC39A16" w14:textId="77777777" w:rsidR="00AC6F3C" w:rsidRDefault="00570E88">
            <w:pPr>
              <w:pStyle w:val="TableParagraph"/>
              <w:spacing w:before="39"/>
              <w:ind w:right="197"/>
              <w:jc w:val="right"/>
              <w:rPr>
                <w:b/>
                <w:sz w:val="17"/>
              </w:rPr>
            </w:pPr>
            <w:r>
              <w:rPr>
                <w:b/>
                <w:spacing w:val="-2"/>
                <w:sz w:val="17"/>
              </w:rPr>
              <w:t>24,480</w:t>
            </w:r>
          </w:p>
        </w:tc>
        <w:tc>
          <w:tcPr>
            <w:tcW w:w="889" w:type="dxa"/>
            <w:tcBorders>
              <w:top w:val="single" w:sz="6" w:space="0" w:color="000000"/>
              <w:bottom w:val="single" w:sz="6" w:space="0" w:color="000000"/>
            </w:tcBorders>
            <w:shd w:val="clear" w:color="auto" w:fill="BEBEBE"/>
          </w:tcPr>
          <w:p w14:paraId="66FB107C" w14:textId="77777777" w:rsidR="00AC6F3C" w:rsidRDefault="00570E88">
            <w:pPr>
              <w:pStyle w:val="TableParagraph"/>
              <w:spacing w:before="39"/>
              <w:ind w:right="15"/>
              <w:jc w:val="right"/>
              <w:rPr>
                <w:b/>
                <w:sz w:val="17"/>
              </w:rPr>
            </w:pPr>
            <w:r>
              <w:rPr>
                <w:b/>
                <w:spacing w:val="-2"/>
                <w:sz w:val="17"/>
              </w:rPr>
              <w:t>(10,163)</w:t>
            </w:r>
          </w:p>
        </w:tc>
        <w:tc>
          <w:tcPr>
            <w:tcW w:w="1074" w:type="dxa"/>
            <w:tcBorders>
              <w:top w:val="single" w:sz="6" w:space="0" w:color="000000"/>
              <w:bottom w:val="single" w:sz="6" w:space="0" w:color="000000"/>
              <w:right w:val="single" w:sz="6" w:space="0" w:color="000000"/>
            </w:tcBorders>
            <w:shd w:val="clear" w:color="auto" w:fill="BEBEBE"/>
          </w:tcPr>
          <w:p w14:paraId="48B464B9" w14:textId="77777777" w:rsidR="00AC6F3C" w:rsidRDefault="00570E88">
            <w:pPr>
              <w:pStyle w:val="TableParagraph"/>
              <w:spacing w:before="39"/>
              <w:ind w:right="19"/>
              <w:jc w:val="right"/>
              <w:rPr>
                <w:b/>
                <w:sz w:val="17"/>
              </w:rPr>
            </w:pPr>
            <w:r>
              <w:rPr>
                <w:b/>
                <w:spacing w:val="-2"/>
                <w:sz w:val="17"/>
              </w:rPr>
              <w:t>14,317</w:t>
            </w:r>
          </w:p>
        </w:tc>
        <w:tc>
          <w:tcPr>
            <w:tcW w:w="1238" w:type="dxa"/>
            <w:tcBorders>
              <w:top w:val="single" w:sz="6" w:space="0" w:color="000000"/>
              <w:left w:val="single" w:sz="6" w:space="0" w:color="000000"/>
              <w:bottom w:val="single" w:sz="6" w:space="0" w:color="000000"/>
            </w:tcBorders>
            <w:shd w:val="clear" w:color="auto" w:fill="BEBEBE"/>
          </w:tcPr>
          <w:p w14:paraId="4B88FAD4" w14:textId="77777777" w:rsidR="00AC6F3C" w:rsidRDefault="00570E88">
            <w:pPr>
              <w:pStyle w:val="TableParagraph"/>
              <w:spacing w:before="39"/>
              <w:ind w:right="198"/>
              <w:jc w:val="right"/>
              <w:rPr>
                <w:b/>
                <w:sz w:val="17"/>
              </w:rPr>
            </w:pPr>
            <w:r>
              <w:rPr>
                <w:b/>
                <w:spacing w:val="-2"/>
                <w:sz w:val="17"/>
              </w:rPr>
              <w:t>23,814</w:t>
            </w:r>
          </w:p>
        </w:tc>
        <w:tc>
          <w:tcPr>
            <w:tcW w:w="890" w:type="dxa"/>
            <w:tcBorders>
              <w:top w:val="single" w:sz="6" w:space="0" w:color="000000"/>
              <w:bottom w:val="single" w:sz="6" w:space="0" w:color="000000"/>
            </w:tcBorders>
            <w:shd w:val="clear" w:color="auto" w:fill="BEBEBE"/>
          </w:tcPr>
          <w:p w14:paraId="610B66E3" w14:textId="77777777" w:rsidR="00AC6F3C" w:rsidRDefault="00570E88">
            <w:pPr>
              <w:pStyle w:val="TableParagraph"/>
              <w:spacing w:before="39"/>
              <w:ind w:right="17"/>
              <w:jc w:val="right"/>
              <w:rPr>
                <w:b/>
                <w:sz w:val="17"/>
              </w:rPr>
            </w:pPr>
            <w:r>
              <w:rPr>
                <w:b/>
                <w:spacing w:val="-2"/>
                <w:sz w:val="17"/>
              </w:rPr>
              <w:t>(15,890)</w:t>
            </w:r>
          </w:p>
        </w:tc>
        <w:tc>
          <w:tcPr>
            <w:tcW w:w="1075" w:type="dxa"/>
            <w:tcBorders>
              <w:top w:val="single" w:sz="6" w:space="0" w:color="000000"/>
              <w:bottom w:val="single" w:sz="6" w:space="0" w:color="000000"/>
              <w:right w:val="single" w:sz="6" w:space="0" w:color="000000"/>
            </w:tcBorders>
            <w:shd w:val="clear" w:color="auto" w:fill="BEBEBE"/>
          </w:tcPr>
          <w:p w14:paraId="0D77046F" w14:textId="77777777" w:rsidR="00AC6F3C" w:rsidRDefault="00570E88">
            <w:pPr>
              <w:pStyle w:val="TableParagraph"/>
              <w:spacing w:before="39"/>
              <w:ind w:right="23"/>
              <w:jc w:val="right"/>
              <w:rPr>
                <w:b/>
                <w:sz w:val="17"/>
              </w:rPr>
            </w:pPr>
            <w:r>
              <w:rPr>
                <w:b/>
                <w:spacing w:val="-2"/>
                <w:sz w:val="17"/>
              </w:rPr>
              <w:t>7,924</w:t>
            </w:r>
          </w:p>
        </w:tc>
      </w:tr>
    </w:tbl>
    <w:p w14:paraId="3D6CDCE9" w14:textId="77777777" w:rsidR="00AC6F3C" w:rsidRDefault="00AC6F3C">
      <w:pPr>
        <w:pStyle w:val="BodyText"/>
        <w:spacing w:before="2"/>
        <w:rPr>
          <w:sz w:val="23"/>
        </w:rPr>
      </w:pPr>
    </w:p>
    <w:p w14:paraId="1463AA6B" w14:textId="77777777" w:rsidR="00AC6F3C" w:rsidRDefault="00570E88">
      <w:pPr>
        <w:ind w:left="958" w:right="886"/>
        <w:rPr>
          <w:sz w:val="18"/>
        </w:rPr>
      </w:pPr>
      <w:r>
        <w:rPr>
          <w:sz w:val="18"/>
        </w:rPr>
        <w:t>The</w:t>
      </w:r>
      <w:r>
        <w:rPr>
          <w:spacing w:val="-1"/>
          <w:sz w:val="18"/>
        </w:rPr>
        <w:t xml:space="preserve"> </w:t>
      </w:r>
      <w:r>
        <w:rPr>
          <w:sz w:val="18"/>
        </w:rPr>
        <w:t>Law</w:t>
      </w:r>
      <w:r>
        <w:rPr>
          <w:spacing w:val="-2"/>
          <w:sz w:val="18"/>
        </w:rPr>
        <w:t xml:space="preserve"> </w:t>
      </w:r>
      <w:r>
        <w:rPr>
          <w:sz w:val="18"/>
        </w:rPr>
        <w:t>Claims</w:t>
      </w:r>
      <w:r>
        <w:rPr>
          <w:spacing w:val="-3"/>
          <w:sz w:val="18"/>
        </w:rPr>
        <w:t xml:space="preserve"> </w:t>
      </w:r>
      <w:r>
        <w:rPr>
          <w:sz w:val="18"/>
        </w:rPr>
        <w:t>Levy</w:t>
      </w:r>
      <w:r>
        <w:rPr>
          <w:spacing w:val="-1"/>
          <w:sz w:val="18"/>
        </w:rPr>
        <w:t xml:space="preserve"> </w:t>
      </w:r>
      <w:r>
        <w:rPr>
          <w:sz w:val="18"/>
        </w:rPr>
        <w:t>Fund</w:t>
      </w:r>
      <w:r>
        <w:rPr>
          <w:spacing w:val="-4"/>
          <w:sz w:val="18"/>
        </w:rPr>
        <w:t xml:space="preserve"> </w:t>
      </w:r>
      <w:r>
        <w:rPr>
          <w:sz w:val="18"/>
        </w:rPr>
        <w:t>has</w:t>
      </w:r>
      <w:r>
        <w:rPr>
          <w:spacing w:val="-1"/>
          <w:sz w:val="18"/>
        </w:rPr>
        <w:t xml:space="preserve"> </w:t>
      </w:r>
      <w:r>
        <w:rPr>
          <w:sz w:val="18"/>
        </w:rPr>
        <w:t>stop</w:t>
      </w:r>
      <w:r>
        <w:rPr>
          <w:spacing w:val="-1"/>
          <w:sz w:val="18"/>
        </w:rPr>
        <w:t xml:space="preserve"> </w:t>
      </w:r>
      <w:r>
        <w:rPr>
          <w:sz w:val="18"/>
        </w:rPr>
        <w:t>loss</w:t>
      </w:r>
      <w:r>
        <w:rPr>
          <w:spacing w:val="-1"/>
          <w:sz w:val="18"/>
        </w:rPr>
        <w:t xml:space="preserve"> </w:t>
      </w:r>
      <w:r>
        <w:rPr>
          <w:sz w:val="18"/>
        </w:rPr>
        <w:t>insurance</w:t>
      </w:r>
      <w:r>
        <w:rPr>
          <w:spacing w:val="-1"/>
          <w:sz w:val="18"/>
        </w:rPr>
        <w:t xml:space="preserve"> </w:t>
      </w:r>
      <w:r>
        <w:rPr>
          <w:sz w:val="18"/>
        </w:rPr>
        <w:t>that</w:t>
      </w:r>
      <w:r>
        <w:rPr>
          <w:spacing w:val="-2"/>
          <w:sz w:val="18"/>
        </w:rPr>
        <w:t xml:space="preserve"> </w:t>
      </w:r>
      <w:r>
        <w:rPr>
          <w:sz w:val="18"/>
        </w:rPr>
        <w:t>caps</w:t>
      </w:r>
      <w:r>
        <w:rPr>
          <w:spacing w:val="-1"/>
          <w:sz w:val="18"/>
        </w:rPr>
        <w:t xml:space="preserve"> </w:t>
      </w:r>
      <w:r>
        <w:rPr>
          <w:sz w:val="18"/>
        </w:rPr>
        <w:t>the</w:t>
      </w:r>
      <w:r>
        <w:rPr>
          <w:spacing w:val="-4"/>
          <w:sz w:val="18"/>
        </w:rPr>
        <w:t xml:space="preserve"> </w:t>
      </w:r>
      <w:r>
        <w:rPr>
          <w:sz w:val="18"/>
        </w:rPr>
        <w:t>fund’s</w:t>
      </w:r>
      <w:r>
        <w:rPr>
          <w:spacing w:val="-3"/>
          <w:sz w:val="18"/>
        </w:rPr>
        <w:t xml:space="preserve"> </w:t>
      </w:r>
      <w:r>
        <w:rPr>
          <w:sz w:val="18"/>
        </w:rPr>
        <w:t>liability</w:t>
      </w:r>
      <w:r>
        <w:rPr>
          <w:spacing w:val="-3"/>
          <w:sz w:val="18"/>
        </w:rPr>
        <w:t xml:space="preserve"> </w:t>
      </w:r>
      <w:r>
        <w:rPr>
          <w:sz w:val="18"/>
        </w:rPr>
        <w:t>at</w:t>
      </w:r>
      <w:r>
        <w:rPr>
          <w:spacing w:val="-4"/>
          <w:sz w:val="18"/>
        </w:rPr>
        <w:t xml:space="preserve"> </w:t>
      </w:r>
      <w:r>
        <w:rPr>
          <w:sz w:val="18"/>
        </w:rPr>
        <w:t>$5,000,000</w:t>
      </w:r>
      <w:r>
        <w:rPr>
          <w:spacing w:val="-1"/>
          <w:sz w:val="18"/>
        </w:rPr>
        <w:t xml:space="preserve"> </w:t>
      </w:r>
      <w:r>
        <w:rPr>
          <w:sz w:val="18"/>
        </w:rPr>
        <w:t>for payments made after 1 July 2001.</w:t>
      </w:r>
    </w:p>
    <w:p w14:paraId="4E8D8132" w14:textId="77777777" w:rsidR="00AC6F3C" w:rsidRDefault="00AC6F3C">
      <w:pPr>
        <w:pStyle w:val="BodyText"/>
        <w:spacing w:before="11"/>
      </w:pPr>
    </w:p>
    <w:p w14:paraId="25A22917" w14:textId="77777777" w:rsidR="00AC6F3C" w:rsidRDefault="00570E88">
      <w:pPr>
        <w:ind w:left="958" w:right="632" w:hanging="1"/>
        <w:rPr>
          <w:sz w:val="18"/>
        </w:rPr>
      </w:pPr>
      <w:r>
        <w:rPr>
          <w:sz w:val="18"/>
        </w:rPr>
        <w:t>Lexon</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Law</w:t>
      </w:r>
      <w:r>
        <w:rPr>
          <w:spacing w:val="-2"/>
          <w:sz w:val="18"/>
        </w:rPr>
        <w:t xml:space="preserve"> </w:t>
      </w:r>
      <w:r>
        <w:rPr>
          <w:sz w:val="18"/>
        </w:rPr>
        <w:t>Claims</w:t>
      </w:r>
      <w:r>
        <w:rPr>
          <w:spacing w:val="-3"/>
          <w:sz w:val="18"/>
        </w:rPr>
        <w:t xml:space="preserve"> </w:t>
      </w:r>
      <w:r>
        <w:rPr>
          <w:sz w:val="18"/>
        </w:rPr>
        <w:t>Levy</w:t>
      </w:r>
      <w:r>
        <w:rPr>
          <w:spacing w:val="-1"/>
          <w:sz w:val="18"/>
        </w:rPr>
        <w:t xml:space="preserve"> </w:t>
      </w:r>
      <w:r>
        <w:rPr>
          <w:sz w:val="18"/>
        </w:rPr>
        <w:t>Fund</w:t>
      </w:r>
      <w:r>
        <w:rPr>
          <w:spacing w:val="-4"/>
          <w:sz w:val="18"/>
        </w:rPr>
        <w:t xml:space="preserve"> </w:t>
      </w:r>
      <w:r>
        <w:rPr>
          <w:sz w:val="18"/>
        </w:rPr>
        <w:t>have</w:t>
      </w:r>
      <w:r>
        <w:rPr>
          <w:spacing w:val="-1"/>
          <w:sz w:val="18"/>
        </w:rPr>
        <w:t xml:space="preserve"> </w:t>
      </w:r>
      <w:r>
        <w:rPr>
          <w:sz w:val="18"/>
        </w:rPr>
        <w:t>assessed</w:t>
      </w:r>
      <w:r>
        <w:rPr>
          <w:spacing w:val="-1"/>
          <w:sz w:val="18"/>
        </w:rPr>
        <w:t xml:space="preserve"> </w:t>
      </w:r>
      <w:r>
        <w:rPr>
          <w:sz w:val="18"/>
        </w:rPr>
        <w:t>the</w:t>
      </w:r>
      <w:r>
        <w:rPr>
          <w:spacing w:val="-1"/>
          <w:sz w:val="18"/>
        </w:rPr>
        <w:t xml:space="preserve"> </w:t>
      </w:r>
      <w:r>
        <w:rPr>
          <w:sz w:val="18"/>
        </w:rPr>
        <w:t>provisions</w:t>
      </w:r>
      <w:r>
        <w:rPr>
          <w:spacing w:val="-1"/>
          <w:sz w:val="18"/>
        </w:rPr>
        <w:t xml:space="preserve"> </w:t>
      </w:r>
      <w:r>
        <w:rPr>
          <w:sz w:val="18"/>
        </w:rPr>
        <w:t>for</w:t>
      </w:r>
      <w:r>
        <w:rPr>
          <w:spacing w:val="-2"/>
          <w:sz w:val="18"/>
        </w:rPr>
        <w:t xml:space="preserve"> </w:t>
      </w:r>
      <w:r>
        <w:rPr>
          <w:sz w:val="18"/>
        </w:rPr>
        <w:t>outstanding</w:t>
      </w:r>
      <w:r>
        <w:rPr>
          <w:spacing w:val="-4"/>
          <w:sz w:val="18"/>
        </w:rPr>
        <w:t xml:space="preserve"> </w:t>
      </w:r>
      <w:r>
        <w:rPr>
          <w:sz w:val="18"/>
        </w:rPr>
        <w:t>claims</w:t>
      </w:r>
      <w:r>
        <w:rPr>
          <w:spacing w:val="-3"/>
          <w:sz w:val="18"/>
        </w:rPr>
        <w:t xml:space="preserve"> </w:t>
      </w:r>
      <w:r>
        <w:rPr>
          <w:sz w:val="18"/>
        </w:rPr>
        <w:t>based</w:t>
      </w:r>
      <w:r>
        <w:rPr>
          <w:spacing w:val="-1"/>
          <w:sz w:val="18"/>
        </w:rPr>
        <w:t xml:space="preserve"> </w:t>
      </w:r>
      <w:r>
        <w:rPr>
          <w:sz w:val="18"/>
        </w:rPr>
        <w:t>upon</w:t>
      </w:r>
      <w:r>
        <w:rPr>
          <w:spacing w:val="-4"/>
          <w:sz w:val="18"/>
        </w:rPr>
        <w:t xml:space="preserve"> </w:t>
      </w:r>
      <w:r>
        <w:rPr>
          <w:sz w:val="18"/>
        </w:rPr>
        <w:t xml:space="preserve">an independent actuarial assessment as at 30 June 2022 by </w:t>
      </w:r>
      <w:proofErr w:type="spellStart"/>
      <w:r>
        <w:rPr>
          <w:sz w:val="18"/>
        </w:rPr>
        <w:t>Mr</w:t>
      </w:r>
      <w:proofErr w:type="spellEnd"/>
      <w:r>
        <w:rPr>
          <w:sz w:val="18"/>
        </w:rPr>
        <w:t xml:space="preserve"> Andrew Cohen (FIAA) and </w:t>
      </w:r>
      <w:proofErr w:type="spellStart"/>
      <w:r>
        <w:rPr>
          <w:sz w:val="18"/>
        </w:rPr>
        <w:t>Mr</w:t>
      </w:r>
      <w:proofErr w:type="spellEnd"/>
      <w:r>
        <w:rPr>
          <w:sz w:val="18"/>
        </w:rPr>
        <w:t xml:space="preserve"> Collin Wang (FIAA) of </w:t>
      </w:r>
      <w:proofErr w:type="spellStart"/>
      <w:r>
        <w:rPr>
          <w:sz w:val="18"/>
        </w:rPr>
        <w:t>Finity</w:t>
      </w:r>
      <w:proofErr w:type="spellEnd"/>
      <w:r>
        <w:rPr>
          <w:sz w:val="18"/>
        </w:rPr>
        <w:t xml:space="preserve"> Consulting Pty Ltd.</w:t>
      </w:r>
      <w:r>
        <w:rPr>
          <w:spacing w:val="40"/>
          <w:sz w:val="18"/>
        </w:rPr>
        <w:t xml:space="preserve"> </w:t>
      </w:r>
      <w:r>
        <w:rPr>
          <w:sz w:val="18"/>
        </w:rPr>
        <w:t>The key assumptions are detailed in Note D1.</w:t>
      </w:r>
    </w:p>
    <w:p w14:paraId="590F2D99" w14:textId="77777777" w:rsidR="00AC6F3C" w:rsidRDefault="00AC6F3C">
      <w:pPr>
        <w:rPr>
          <w:sz w:val="18"/>
        </w:rPr>
        <w:sectPr w:rsidR="00AC6F3C">
          <w:pgSz w:w="11910" w:h="16840"/>
          <w:pgMar w:top="2020" w:right="1160" w:bottom="520" w:left="460" w:header="1228" w:footer="336" w:gutter="0"/>
          <w:cols w:space="720"/>
        </w:sectPr>
      </w:pPr>
    </w:p>
    <w:p w14:paraId="3655230B" w14:textId="77777777" w:rsidR="00AC6F3C" w:rsidRDefault="00AC6F3C">
      <w:pPr>
        <w:pStyle w:val="BodyText"/>
      </w:pPr>
    </w:p>
    <w:p w14:paraId="7B2E3C60" w14:textId="77777777" w:rsidR="00AC6F3C" w:rsidRDefault="00570E88">
      <w:pPr>
        <w:tabs>
          <w:tab w:val="left" w:pos="1666"/>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37CF37D8" w14:textId="77777777" w:rsidR="00AC6F3C" w:rsidRDefault="00570E88">
      <w:pPr>
        <w:pStyle w:val="Heading7"/>
        <w:tabs>
          <w:tab w:val="left" w:pos="1810"/>
        </w:tabs>
      </w:pPr>
      <w:r>
        <w:rPr>
          <w:spacing w:val="-2"/>
        </w:rPr>
        <w:t>C8-</w:t>
      </w:r>
      <w:r>
        <w:rPr>
          <w:spacing w:val="-10"/>
        </w:rPr>
        <w:t>2</w:t>
      </w:r>
      <w:r>
        <w:tab/>
        <w:t>INSURANCE</w:t>
      </w:r>
      <w:r>
        <w:rPr>
          <w:spacing w:val="-4"/>
        </w:rPr>
        <w:t xml:space="preserve"> </w:t>
      </w:r>
      <w:r>
        <w:t>LIABILITIES</w:t>
      </w:r>
      <w:r>
        <w:rPr>
          <w:spacing w:val="-4"/>
        </w:rPr>
        <w:t xml:space="preserve"> </w:t>
      </w:r>
      <w:r>
        <w:rPr>
          <w:spacing w:val="-2"/>
        </w:rPr>
        <w:t>(continued)</w:t>
      </w:r>
    </w:p>
    <w:p w14:paraId="239E34CF" w14:textId="77777777" w:rsidR="00AC6F3C" w:rsidRDefault="00AC6F3C">
      <w:pPr>
        <w:pStyle w:val="BodyText"/>
        <w:spacing w:before="8"/>
        <w:rPr>
          <w:b/>
        </w:rPr>
      </w:pPr>
    </w:p>
    <w:p w14:paraId="075CACCA" w14:textId="77777777" w:rsidR="00AC6F3C" w:rsidRDefault="00570E88">
      <w:pPr>
        <w:numPr>
          <w:ilvl w:val="0"/>
          <w:numId w:val="31"/>
        </w:numPr>
        <w:tabs>
          <w:tab w:val="left" w:pos="1313"/>
        </w:tabs>
        <w:spacing w:before="1"/>
        <w:ind w:left="1313" w:hanging="355"/>
        <w:rPr>
          <w:b/>
          <w:sz w:val="20"/>
        </w:rPr>
      </w:pPr>
      <w:r>
        <w:rPr>
          <w:b/>
          <w:sz w:val="20"/>
        </w:rPr>
        <w:t>Unearned</w:t>
      </w:r>
      <w:r>
        <w:rPr>
          <w:b/>
          <w:spacing w:val="-8"/>
          <w:sz w:val="20"/>
        </w:rPr>
        <w:t xml:space="preserve"> </w:t>
      </w:r>
      <w:r>
        <w:rPr>
          <w:b/>
          <w:sz w:val="20"/>
        </w:rPr>
        <w:t>Premium</w:t>
      </w:r>
      <w:r>
        <w:rPr>
          <w:b/>
          <w:spacing w:val="-8"/>
          <w:sz w:val="20"/>
        </w:rPr>
        <w:t xml:space="preserve"> </w:t>
      </w:r>
      <w:r>
        <w:rPr>
          <w:b/>
          <w:sz w:val="20"/>
        </w:rPr>
        <w:t>and</w:t>
      </w:r>
      <w:r>
        <w:rPr>
          <w:b/>
          <w:spacing w:val="-9"/>
          <w:sz w:val="20"/>
        </w:rPr>
        <w:t xml:space="preserve"> </w:t>
      </w:r>
      <w:r>
        <w:rPr>
          <w:b/>
          <w:spacing w:val="-2"/>
          <w:sz w:val="20"/>
        </w:rPr>
        <w:t>Reserves</w:t>
      </w:r>
    </w:p>
    <w:p w14:paraId="095D6EB8" w14:textId="77777777" w:rsidR="00AC6F3C" w:rsidRDefault="00AC6F3C">
      <w:pPr>
        <w:pStyle w:val="BodyText"/>
        <w:spacing w:before="9"/>
        <w:rPr>
          <w:b/>
        </w:rPr>
      </w:pPr>
    </w:p>
    <w:p w14:paraId="606D3832" w14:textId="77777777" w:rsidR="00AC6F3C" w:rsidRDefault="00570E88">
      <w:pPr>
        <w:spacing w:before="1"/>
        <w:ind w:left="958" w:right="990"/>
        <w:rPr>
          <w:sz w:val="18"/>
        </w:rPr>
      </w:pPr>
      <w:r>
        <w:rPr>
          <w:sz w:val="18"/>
        </w:rPr>
        <w:t>The</w:t>
      </w:r>
      <w:r>
        <w:rPr>
          <w:spacing w:val="-1"/>
          <w:sz w:val="18"/>
        </w:rPr>
        <w:t xml:space="preserve"> </w:t>
      </w:r>
      <w:r>
        <w:rPr>
          <w:sz w:val="18"/>
        </w:rPr>
        <w:t>portion</w:t>
      </w:r>
      <w:r>
        <w:rPr>
          <w:spacing w:val="-1"/>
          <w:sz w:val="18"/>
        </w:rPr>
        <w:t xml:space="preserve"> </w:t>
      </w:r>
      <w:r>
        <w:rPr>
          <w:sz w:val="18"/>
        </w:rPr>
        <w:t>of</w:t>
      </w:r>
      <w:r>
        <w:rPr>
          <w:spacing w:val="-4"/>
          <w:sz w:val="18"/>
        </w:rPr>
        <w:t xml:space="preserve"> </w:t>
      </w:r>
      <w:r>
        <w:rPr>
          <w:sz w:val="18"/>
        </w:rPr>
        <w:t>premiums</w:t>
      </w:r>
      <w:r>
        <w:rPr>
          <w:spacing w:val="-1"/>
          <w:sz w:val="18"/>
        </w:rPr>
        <w:t xml:space="preserve"> </w:t>
      </w:r>
      <w:r>
        <w:rPr>
          <w:sz w:val="18"/>
        </w:rPr>
        <w:t>that</w:t>
      </w:r>
      <w:r>
        <w:rPr>
          <w:spacing w:val="-2"/>
          <w:sz w:val="18"/>
        </w:rPr>
        <w:t xml:space="preserve"> </w:t>
      </w:r>
      <w:r>
        <w:rPr>
          <w:sz w:val="18"/>
        </w:rPr>
        <w:t>relates</w:t>
      </w:r>
      <w:r>
        <w:rPr>
          <w:spacing w:val="-1"/>
          <w:sz w:val="18"/>
        </w:rPr>
        <w:t xml:space="preserve"> </w:t>
      </w:r>
      <w:r>
        <w:rPr>
          <w:sz w:val="18"/>
        </w:rPr>
        <w:t>to</w:t>
      </w:r>
      <w:r>
        <w:rPr>
          <w:spacing w:val="-4"/>
          <w:sz w:val="18"/>
        </w:rPr>
        <w:t xml:space="preserve"> </w:t>
      </w:r>
      <w:r>
        <w:rPr>
          <w:sz w:val="18"/>
        </w:rPr>
        <w:t>unexpired</w:t>
      </w:r>
      <w:r>
        <w:rPr>
          <w:spacing w:val="-1"/>
          <w:sz w:val="18"/>
        </w:rPr>
        <w:t xml:space="preserve"> </w:t>
      </w:r>
      <w:r>
        <w:rPr>
          <w:sz w:val="18"/>
        </w:rPr>
        <w:t>risk</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reporting</w:t>
      </w:r>
      <w:r>
        <w:rPr>
          <w:spacing w:val="-1"/>
          <w:sz w:val="18"/>
        </w:rPr>
        <w:t xml:space="preserve"> </w:t>
      </w:r>
      <w:r>
        <w:rPr>
          <w:sz w:val="18"/>
        </w:rPr>
        <w:t>date</w:t>
      </w:r>
      <w:r>
        <w:rPr>
          <w:spacing w:val="-4"/>
          <w:sz w:val="18"/>
        </w:rPr>
        <w:t xml:space="preserve"> </w:t>
      </w:r>
      <w:r>
        <w:rPr>
          <w:sz w:val="18"/>
        </w:rPr>
        <w:t>is</w:t>
      </w:r>
      <w:r>
        <w:rPr>
          <w:spacing w:val="-1"/>
          <w:sz w:val="18"/>
        </w:rPr>
        <w:t xml:space="preserve"> </w:t>
      </w:r>
      <w:r>
        <w:rPr>
          <w:sz w:val="18"/>
        </w:rPr>
        <w:t>reported</w:t>
      </w:r>
      <w:r>
        <w:rPr>
          <w:spacing w:val="-1"/>
          <w:sz w:val="18"/>
        </w:rPr>
        <w:t xml:space="preserve"> </w:t>
      </w:r>
      <w:r>
        <w:rPr>
          <w:sz w:val="18"/>
        </w:rPr>
        <w:t>as</w:t>
      </w:r>
      <w:r>
        <w:rPr>
          <w:spacing w:val="-1"/>
          <w:sz w:val="18"/>
        </w:rPr>
        <w:t xml:space="preserve"> </w:t>
      </w:r>
      <w:r>
        <w:rPr>
          <w:sz w:val="18"/>
        </w:rPr>
        <w:t>the</w:t>
      </w:r>
      <w:r>
        <w:rPr>
          <w:spacing w:val="-1"/>
          <w:sz w:val="18"/>
        </w:rPr>
        <w:t xml:space="preserve"> </w:t>
      </w:r>
      <w:r>
        <w:rPr>
          <w:sz w:val="18"/>
        </w:rPr>
        <w:t>unearned premium liability.</w:t>
      </w:r>
      <w:r>
        <w:rPr>
          <w:spacing w:val="40"/>
          <w:sz w:val="18"/>
        </w:rPr>
        <w:t xml:space="preserve"> </w:t>
      </w:r>
      <w:r>
        <w:rPr>
          <w:sz w:val="18"/>
        </w:rPr>
        <w:t>Unearned premiums are calculated based on the 1/365 method applied to the net premiums written for the financial year.</w:t>
      </w:r>
    </w:p>
    <w:p w14:paraId="5911CE93" w14:textId="77777777" w:rsidR="00AC6F3C" w:rsidRDefault="00AC6F3C">
      <w:pPr>
        <w:pStyle w:val="BodyText"/>
        <w:spacing w:before="8"/>
      </w:pPr>
    </w:p>
    <w:p w14:paraId="1B2EB346" w14:textId="77777777" w:rsidR="00AC6F3C" w:rsidRDefault="00570E88">
      <w:pPr>
        <w:ind w:left="958" w:right="468"/>
        <w:rPr>
          <w:sz w:val="18"/>
        </w:rPr>
      </w:pPr>
      <w:r>
        <w:rPr>
          <w:sz w:val="18"/>
        </w:rPr>
        <w:t>Where</w:t>
      </w:r>
      <w:r>
        <w:rPr>
          <w:spacing w:val="-5"/>
          <w:sz w:val="18"/>
        </w:rPr>
        <w:t xml:space="preserve"> </w:t>
      </w:r>
      <w:r>
        <w:rPr>
          <w:sz w:val="18"/>
        </w:rPr>
        <w:t>necessary,</w:t>
      </w:r>
      <w:r>
        <w:rPr>
          <w:spacing w:val="-3"/>
          <w:sz w:val="18"/>
        </w:rPr>
        <w:t xml:space="preserve"> </w:t>
      </w:r>
      <w:r>
        <w:rPr>
          <w:sz w:val="18"/>
        </w:rPr>
        <w:t>premium</w:t>
      </w:r>
      <w:r>
        <w:rPr>
          <w:spacing w:val="-2"/>
          <w:sz w:val="18"/>
        </w:rPr>
        <w:t xml:space="preserve"> </w:t>
      </w:r>
      <w:r>
        <w:rPr>
          <w:sz w:val="18"/>
        </w:rPr>
        <w:t>deficiency</w:t>
      </w:r>
      <w:r>
        <w:rPr>
          <w:spacing w:val="-2"/>
          <w:sz w:val="18"/>
        </w:rPr>
        <w:t xml:space="preserve"> </w:t>
      </w:r>
      <w:r>
        <w:rPr>
          <w:sz w:val="18"/>
        </w:rPr>
        <w:t>reserves</w:t>
      </w:r>
      <w:r>
        <w:rPr>
          <w:spacing w:val="-4"/>
          <w:sz w:val="18"/>
        </w:rPr>
        <w:t xml:space="preserve"> </w:t>
      </w:r>
      <w:r>
        <w:rPr>
          <w:sz w:val="18"/>
        </w:rPr>
        <w:t>calculated</w:t>
      </w:r>
      <w:r>
        <w:rPr>
          <w:spacing w:val="-2"/>
          <w:sz w:val="18"/>
        </w:rPr>
        <w:t xml:space="preserve"> </w:t>
      </w:r>
      <w:r>
        <w:rPr>
          <w:sz w:val="18"/>
        </w:rPr>
        <w:t>using</w:t>
      </w:r>
      <w:r>
        <w:rPr>
          <w:spacing w:val="-2"/>
          <w:sz w:val="18"/>
        </w:rPr>
        <w:t xml:space="preserve"> </w:t>
      </w:r>
      <w:r>
        <w:rPr>
          <w:sz w:val="18"/>
        </w:rPr>
        <w:t>actuarial</w:t>
      </w:r>
      <w:r>
        <w:rPr>
          <w:spacing w:val="-2"/>
          <w:sz w:val="18"/>
        </w:rPr>
        <w:t xml:space="preserve"> </w:t>
      </w:r>
      <w:r>
        <w:rPr>
          <w:sz w:val="18"/>
        </w:rPr>
        <w:t>methods</w:t>
      </w:r>
      <w:r>
        <w:rPr>
          <w:spacing w:val="-2"/>
          <w:sz w:val="18"/>
        </w:rPr>
        <w:t xml:space="preserve"> </w:t>
      </w:r>
      <w:r>
        <w:rPr>
          <w:sz w:val="18"/>
        </w:rPr>
        <w:t>on</w:t>
      </w:r>
      <w:r>
        <w:rPr>
          <w:spacing w:val="-2"/>
          <w:sz w:val="18"/>
        </w:rPr>
        <w:t xml:space="preserve"> </w:t>
      </w:r>
      <w:r>
        <w:rPr>
          <w:sz w:val="18"/>
        </w:rPr>
        <w:t>loss</w:t>
      </w:r>
      <w:r>
        <w:rPr>
          <w:spacing w:val="-4"/>
          <w:sz w:val="18"/>
        </w:rPr>
        <w:t xml:space="preserve"> </w:t>
      </w:r>
      <w:r>
        <w:rPr>
          <w:sz w:val="18"/>
        </w:rPr>
        <w:t>statistics</w:t>
      </w:r>
      <w:r>
        <w:rPr>
          <w:spacing w:val="-4"/>
          <w:sz w:val="18"/>
        </w:rPr>
        <w:t xml:space="preserve"> </w:t>
      </w:r>
      <w:r>
        <w:rPr>
          <w:sz w:val="18"/>
        </w:rPr>
        <w:t>are included in unearned premium reserves.</w:t>
      </w:r>
    </w:p>
    <w:p w14:paraId="69A03E0C" w14:textId="77777777" w:rsidR="00AC6F3C" w:rsidRDefault="00AC6F3C">
      <w:pPr>
        <w:pStyle w:val="BodyText"/>
        <w:spacing w:before="11"/>
      </w:pPr>
    </w:p>
    <w:p w14:paraId="43794659" w14:textId="77777777" w:rsidR="00AC6F3C" w:rsidRDefault="00570E88">
      <w:pPr>
        <w:ind w:left="958"/>
        <w:rPr>
          <w:b/>
          <w:sz w:val="18"/>
        </w:rPr>
      </w:pPr>
      <w:r>
        <w:rPr>
          <w:b/>
          <w:sz w:val="18"/>
        </w:rPr>
        <w:t>Unearned</w:t>
      </w:r>
      <w:r>
        <w:rPr>
          <w:b/>
          <w:spacing w:val="-2"/>
          <w:sz w:val="18"/>
        </w:rPr>
        <w:t xml:space="preserve"> </w:t>
      </w:r>
      <w:r>
        <w:rPr>
          <w:b/>
          <w:sz w:val="18"/>
        </w:rPr>
        <w:t>premium</w:t>
      </w:r>
      <w:r>
        <w:rPr>
          <w:b/>
          <w:spacing w:val="-3"/>
          <w:sz w:val="18"/>
        </w:rPr>
        <w:t xml:space="preserve"> </w:t>
      </w:r>
      <w:r>
        <w:rPr>
          <w:b/>
          <w:sz w:val="18"/>
        </w:rPr>
        <w:t>and</w:t>
      </w:r>
      <w:r>
        <w:rPr>
          <w:b/>
          <w:spacing w:val="-4"/>
          <w:sz w:val="18"/>
        </w:rPr>
        <w:t xml:space="preserve"> </w:t>
      </w:r>
      <w:r>
        <w:rPr>
          <w:b/>
          <w:sz w:val="18"/>
        </w:rPr>
        <w:t>premium</w:t>
      </w:r>
      <w:r>
        <w:rPr>
          <w:b/>
          <w:spacing w:val="-1"/>
          <w:sz w:val="18"/>
        </w:rPr>
        <w:t xml:space="preserve"> </w:t>
      </w:r>
      <w:r>
        <w:rPr>
          <w:b/>
          <w:spacing w:val="-2"/>
          <w:sz w:val="18"/>
        </w:rPr>
        <w:t>reserves</w:t>
      </w:r>
    </w:p>
    <w:p w14:paraId="1E8CA511" w14:textId="77777777" w:rsidR="00AC6F3C" w:rsidRDefault="00AC6F3C">
      <w:pPr>
        <w:pStyle w:val="BodyText"/>
        <w:spacing w:before="10"/>
        <w:rPr>
          <w:b/>
        </w:rPr>
      </w:pPr>
    </w:p>
    <w:tbl>
      <w:tblPr>
        <w:tblW w:w="0" w:type="auto"/>
        <w:tblInd w:w="972" w:type="dxa"/>
        <w:tblLayout w:type="fixed"/>
        <w:tblCellMar>
          <w:left w:w="0" w:type="dxa"/>
          <w:right w:w="0" w:type="dxa"/>
        </w:tblCellMar>
        <w:tblLook w:val="01E0" w:firstRow="1" w:lastRow="1" w:firstColumn="1" w:lastColumn="1" w:noHBand="0" w:noVBand="0"/>
      </w:tblPr>
      <w:tblGrid>
        <w:gridCol w:w="6086"/>
        <w:gridCol w:w="1138"/>
        <w:gridCol w:w="1116"/>
      </w:tblGrid>
      <w:tr w:rsidR="00AC6F3C" w14:paraId="682F851D" w14:textId="77777777">
        <w:trPr>
          <w:trHeight w:val="582"/>
        </w:trPr>
        <w:tc>
          <w:tcPr>
            <w:tcW w:w="8340" w:type="dxa"/>
            <w:gridSpan w:val="3"/>
            <w:tcBorders>
              <w:top w:val="single" w:sz="6" w:space="0" w:color="000000"/>
              <w:left w:val="single" w:sz="6" w:space="0" w:color="000000"/>
              <w:bottom w:val="single" w:sz="6" w:space="0" w:color="000000"/>
              <w:right w:val="single" w:sz="6" w:space="0" w:color="000000"/>
            </w:tcBorders>
            <w:shd w:val="clear" w:color="auto" w:fill="BEBEBE"/>
          </w:tcPr>
          <w:p w14:paraId="14A543C3" w14:textId="77777777" w:rsidR="00AC6F3C" w:rsidRDefault="00570E88">
            <w:pPr>
              <w:pStyle w:val="TableParagraph"/>
              <w:tabs>
                <w:tab w:val="left" w:pos="1122"/>
              </w:tabs>
              <w:spacing w:before="40"/>
              <w:ind w:right="21"/>
              <w:jc w:val="right"/>
              <w:rPr>
                <w:b/>
                <w:sz w:val="18"/>
              </w:rPr>
            </w:pPr>
            <w:r>
              <w:rPr>
                <w:b/>
                <w:spacing w:val="-4"/>
                <w:sz w:val="18"/>
              </w:rPr>
              <w:t>2023</w:t>
            </w:r>
            <w:r>
              <w:rPr>
                <w:b/>
                <w:sz w:val="18"/>
              </w:rPr>
              <w:tab/>
            </w:r>
            <w:r>
              <w:rPr>
                <w:b/>
                <w:spacing w:val="-4"/>
                <w:sz w:val="18"/>
              </w:rPr>
              <w:t>2022</w:t>
            </w:r>
          </w:p>
          <w:p w14:paraId="2325475D" w14:textId="77777777" w:rsidR="00AC6F3C" w:rsidRDefault="00570E88">
            <w:pPr>
              <w:pStyle w:val="TableParagraph"/>
              <w:tabs>
                <w:tab w:val="left" w:pos="1122"/>
              </w:tabs>
              <w:spacing w:before="92"/>
              <w:ind w:right="21"/>
              <w:jc w:val="right"/>
              <w:rPr>
                <w:b/>
                <w:sz w:val="18"/>
              </w:rPr>
            </w:pPr>
            <w:r>
              <w:rPr>
                <w:b/>
                <w:spacing w:val="-2"/>
                <w:sz w:val="18"/>
              </w:rPr>
              <w:t>$’000</w:t>
            </w:r>
            <w:r>
              <w:rPr>
                <w:b/>
                <w:sz w:val="18"/>
              </w:rPr>
              <w:tab/>
            </w:r>
            <w:r>
              <w:rPr>
                <w:b/>
                <w:spacing w:val="-2"/>
                <w:sz w:val="18"/>
              </w:rPr>
              <w:t>$’000</w:t>
            </w:r>
          </w:p>
        </w:tc>
      </w:tr>
      <w:tr w:rsidR="00AC6F3C" w14:paraId="5BEAF6F1" w14:textId="77777777">
        <w:trPr>
          <w:trHeight w:val="326"/>
        </w:trPr>
        <w:tc>
          <w:tcPr>
            <w:tcW w:w="6086" w:type="dxa"/>
            <w:tcBorders>
              <w:top w:val="single" w:sz="6" w:space="0" w:color="000000"/>
              <w:left w:val="single" w:sz="6" w:space="0" w:color="000000"/>
            </w:tcBorders>
          </w:tcPr>
          <w:p w14:paraId="02128A92" w14:textId="77777777" w:rsidR="00AC6F3C" w:rsidRDefault="00570E88">
            <w:pPr>
              <w:pStyle w:val="TableParagraph"/>
              <w:spacing w:before="70"/>
              <w:ind w:left="37"/>
              <w:rPr>
                <w:sz w:val="18"/>
              </w:rPr>
            </w:pPr>
            <w:r>
              <w:rPr>
                <w:sz w:val="18"/>
              </w:rPr>
              <w:t>Opening</w:t>
            </w:r>
            <w:r>
              <w:rPr>
                <w:spacing w:val="11"/>
                <w:sz w:val="18"/>
              </w:rPr>
              <w:t xml:space="preserve"> </w:t>
            </w:r>
            <w:r>
              <w:rPr>
                <w:sz w:val="18"/>
              </w:rPr>
              <w:t>unearned</w:t>
            </w:r>
            <w:r>
              <w:rPr>
                <w:spacing w:val="12"/>
                <w:sz w:val="18"/>
              </w:rPr>
              <w:t xml:space="preserve"> </w:t>
            </w:r>
            <w:r>
              <w:rPr>
                <w:spacing w:val="-2"/>
                <w:sz w:val="18"/>
              </w:rPr>
              <w:t>premiums</w:t>
            </w:r>
          </w:p>
        </w:tc>
        <w:tc>
          <w:tcPr>
            <w:tcW w:w="1138" w:type="dxa"/>
            <w:tcBorders>
              <w:top w:val="single" w:sz="6" w:space="0" w:color="000000"/>
            </w:tcBorders>
            <w:shd w:val="clear" w:color="auto" w:fill="F1F1F1"/>
          </w:tcPr>
          <w:p w14:paraId="1C5ABF22" w14:textId="77777777" w:rsidR="00AC6F3C" w:rsidRDefault="00570E88">
            <w:pPr>
              <w:pStyle w:val="TableParagraph"/>
              <w:spacing w:before="70"/>
              <w:ind w:right="35"/>
              <w:jc w:val="right"/>
              <w:rPr>
                <w:sz w:val="18"/>
              </w:rPr>
            </w:pPr>
            <w:r>
              <w:rPr>
                <w:spacing w:val="-2"/>
                <w:sz w:val="18"/>
              </w:rPr>
              <w:t>27,370</w:t>
            </w:r>
          </w:p>
        </w:tc>
        <w:tc>
          <w:tcPr>
            <w:tcW w:w="1116" w:type="dxa"/>
            <w:tcBorders>
              <w:top w:val="single" w:sz="6" w:space="0" w:color="000000"/>
              <w:right w:val="single" w:sz="6" w:space="0" w:color="000000"/>
            </w:tcBorders>
          </w:tcPr>
          <w:p w14:paraId="606348C1" w14:textId="77777777" w:rsidR="00AC6F3C" w:rsidRDefault="00570E88">
            <w:pPr>
              <w:pStyle w:val="TableParagraph"/>
              <w:spacing w:before="70"/>
              <w:ind w:right="21"/>
              <w:jc w:val="right"/>
              <w:rPr>
                <w:sz w:val="18"/>
              </w:rPr>
            </w:pPr>
            <w:r>
              <w:rPr>
                <w:spacing w:val="-2"/>
                <w:sz w:val="18"/>
              </w:rPr>
              <w:t>25,139</w:t>
            </w:r>
          </w:p>
        </w:tc>
      </w:tr>
      <w:tr w:rsidR="00AC6F3C" w14:paraId="64C2B32E" w14:textId="77777777">
        <w:trPr>
          <w:trHeight w:val="256"/>
        </w:trPr>
        <w:tc>
          <w:tcPr>
            <w:tcW w:w="6086" w:type="dxa"/>
            <w:tcBorders>
              <w:left w:val="single" w:sz="6" w:space="0" w:color="000000"/>
            </w:tcBorders>
          </w:tcPr>
          <w:p w14:paraId="60106BCB" w14:textId="77777777" w:rsidR="00AC6F3C" w:rsidRDefault="00570E88">
            <w:pPr>
              <w:pStyle w:val="TableParagraph"/>
              <w:spacing w:before="42" w:line="194" w:lineRule="exact"/>
              <w:ind w:left="37"/>
              <w:rPr>
                <w:sz w:val="18"/>
              </w:rPr>
            </w:pPr>
            <w:r>
              <w:rPr>
                <w:sz w:val="18"/>
              </w:rPr>
              <w:t>Movement</w:t>
            </w:r>
            <w:r>
              <w:rPr>
                <w:spacing w:val="-4"/>
                <w:sz w:val="18"/>
              </w:rPr>
              <w:t xml:space="preserve"> </w:t>
            </w:r>
            <w:r>
              <w:rPr>
                <w:sz w:val="18"/>
              </w:rPr>
              <w:t>in</w:t>
            </w:r>
            <w:r>
              <w:rPr>
                <w:spacing w:val="10"/>
                <w:sz w:val="18"/>
              </w:rPr>
              <w:t xml:space="preserve"> </w:t>
            </w:r>
            <w:r>
              <w:rPr>
                <w:sz w:val="18"/>
              </w:rPr>
              <w:t>unearned</w:t>
            </w:r>
            <w:r>
              <w:rPr>
                <w:spacing w:val="9"/>
                <w:sz w:val="18"/>
              </w:rPr>
              <w:t xml:space="preserve"> </w:t>
            </w:r>
            <w:r>
              <w:rPr>
                <w:sz w:val="18"/>
              </w:rPr>
              <w:t>premiums</w:t>
            </w:r>
            <w:r>
              <w:rPr>
                <w:spacing w:val="21"/>
                <w:sz w:val="18"/>
              </w:rPr>
              <w:t xml:space="preserve"> </w:t>
            </w:r>
            <w:r>
              <w:rPr>
                <w:sz w:val="18"/>
              </w:rPr>
              <w:t>during</w:t>
            </w:r>
            <w:r>
              <w:rPr>
                <w:spacing w:val="9"/>
                <w:sz w:val="18"/>
              </w:rPr>
              <w:t xml:space="preserve"> </w:t>
            </w:r>
            <w:r>
              <w:rPr>
                <w:sz w:val="18"/>
              </w:rPr>
              <w:t>the</w:t>
            </w:r>
            <w:r>
              <w:rPr>
                <w:spacing w:val="9"/>
                <w:sz w:val="18"/>
              </w:rPr>
              <w:t xml:space="preserve"> </w:t>
            </w:r>
            <w:r>
              <w:rPr>
                <w:spacing w:val="-4"/>
                <w:sz w:val="18"/>
              </w:rPr>
              <w:t>year</w:t>
            </w:r>
          </w:p>
        </w:tc>
        <w:tc>
          <w:tcPr>
            <w:tcW w:w="1138" w:type="dxa"/>
            <w:tcBorders>
              <w:bottom w:val="single" w:sz="6" w:space="0" w:color="000000"/>
            </w:tcBorders>
            <w:shd w:val="clear" w:color="auto" w:fill="F1F1F1"/>
          </w:tcPr>
          <w:p w14:paraId="71042854" w14:textId="77777777" w:rsidR="00AC6F3C" w:rsidRDefault="00570E88">
            <w:pPr>
              <w:pStyle w:val="TableParagraph"/>
              <w:spacing w:before="42" w:line="194" w:lineRule="exact"/>
              <w:ind w:right="35"/>
              <w:jc w:val="right"/>
              <w:rPr>
                <w:sz w:val="18"/>
              </w:rPr>
            </w:pPr>
            <w:r>
              <w:rPr>
                <w:spacing w:val="-5"/>
                <w:sz w:val="18"/>
              </w:rPr>
              <w:t>806</w:t>
            </w:r>
          </w:p>
        </w:tc>
        <w:tc>
          <w:tcPr>
            <w:tcW w:w="1116" w:type="dxa"/>
            <w:tcBorders>
              <w:bottom w:val="single" w:sz="6" w:space="0" w:color="000000"/>
              <w:right w:val="single" w:sz="6" w:space="0" w:color="000000"/>
            </w:tcBorders>
          </w:tcPr>
          <w:p w14:paraId="478C19B3" w14:textId="77777777" w:rsidR="00AC6F3C" w:rsidRDefault="00570E88">
            <w:pPr>
              <w:pStyle w:val="TableParagraph"/>
              <w:spacing w:before="42" w:line="194" w:lineRule="exact"/>
              <w:ind w:right="21"/>
              <w:jc w:val="right"/>
              <w:rPr>
                <w:sz w:val="18"/>
              </w:rPr>
            </w:pPr>
            <w:r>
              <w:rPr>
                <w:spacing w:val="-2"/>
                <w:sz w:val="18"/>
              </w:rPr>
              <w:t>2,231</w:t>
            </w:r>
          </w:p>
        </w:tc>
      </w:tr>
      <w:tr w:rsidR="00AC6F3C" w14:paraId="26F0029E" w14:textId="77777777">
        <w:trPr>
          <w:trHeight w:val="283"/>
        </w:trPr>
        <w:tc>
          <w:tcPr>
            <w:tcW w:w="6086" w:type="dxa"/>
            <w:tcBorders>
              <w:left w:val="single" w:sz="6" w:space="0" w:color="000000"/>
            </w:tcBorders>
          </w:tcPr>
          <w:p w14:paraId="1C60CCAC" w14:textId="77777777" w:rsidR="00AC6F3C" w:rsidRDefault="00570E88">
            <w:pPr>
              <w:pStyle w:val="TableParagraph"/>
              <w:spacing w:before="40"/>
              <w:ind w:left="37"/>
              <w:rPr>
                <w:b/>
                <w:sz w:val="18"/>
              </w:rPr>
            </w:pPr>
            <w:r>
              <w:rPr>
                <w:b/>
                <w:spacing w:val="-4"/>
                <w:sz w:val="18"/>
              </w:rPr>
              <w:t>Closing unearned</w:t>
            </w:r>
            <w:r>
              <w:rPr>
                <w:b/>
                <w:spacing w:val="-3"/>
                <w:sz w:val="18"/>
              </w:rPr>
              <w:t xml:space="preserve"> </w:t>
            </w:r>
            <w:r>
              <w:rPr>
                <w:b/>
                <w:spacing w:val="-4"/>
                <w:sz w:val="18"/>
              </w:rPr>
              <w:t>premiums</w:t>
            </w:r>
          </w:p>
        </w:tc>
        <w:tc>
          <w:tcPr>
            <w:tcW w:w="1138" w:type="dxa"/>
            <w:tcBorders>
              <w:top w:val="single" w:sz="6" w:space="0" w:color="000000"/>
              <w:bottom w:val="single" w:sz="6" w:space="0" w:color="000000"/>
            </w:tcBorders>
            <w:shd w:val="clear" w:color="auto" w:fill="F1F1F1"/>
          </w:tcPr>
          <w:p w14:paraId="4898979C" w14:textId="77777777" w:rsidR="00AC6F3C" w:rsidRDefault="00570E88">
            <w:pPr>
              <w:pStyle w:val="TableParagraph"/>
              <w:spacing w:before="55"/>
              <w:ind w:right="35"/>
              <w:jc w:val="right"/>
              <w:rPr>
                <w:sz w:val="18"/>
              </w:rPr>
            </w:pPr>
            <w:r>
              <w:rPr>
                <w:spacing w:val="-2"/>
                <w:sz w:val="18"/>
              </w:rPr>
              <w:t>28,176</w:t>
            </w:r>
          </w:p>
        </w:tc>
        <w:tc>
          <w:tcPr>
            <w:tcW w:w="1116" w:type="dxa"/>
            <w:tcBorders>
              <w:top w:val="single" w:sz="6" w:space="0" w:color="000000"/>
              <w:bottom w:val="single" w:sz="6" w:space="0" w:color="000000"/>
              <w:right w:val="single" w:sz="6" w:space="0" w:color="000000"/>
            </w:tcBorders>
          </w:tcPr>
          <w:p w14:paraId="20FD0D32" w14:textId="77777777" w:rsidR="00AC6F3C" w:rsidRDefault="00570E88">
            <w:pPr>
              <w:pStyle w:val="TableParagraph"/>
              <w:spacing w:before="55"/>
              <w:ind w:right="21"/>
              <w:jc w:val="right"/>
              <w:rPr>
                <w:sz w:val="18"/>
              </w:rPr>
            </w:pPr>
            <w:r>
              <w:rPr>
                <w:spacing w:val="-2"/>
                <w:sz w:val="18"/>
              </w:rPr>
              <w:t>27,370</w:t>
            </w:r>
          </w:p>
        </w:tc>
      </w:tr>
      <w:tr w:rsidR="00AC6F3C" w14:paraId="7E9F3040" w14:textId="77777777">
        <w:trPr>
          <w:trHeight w:val="624"/>
        </w:trPr>
        <w:tc>
          <w:tcPr>
            <w:tcW w:w="6086" w:type="dxa"/>
            <w:tcBorders>
              <w:left w:val="single" w:sz="6" w:space="0" w:color="000000"/>
            </w:tcBorders>
          </w:tcPr>
          <w:p w14:paraId="60A13DDD" w14:textId="77777777" w:rsidR="00AC6F3C" w:rsidRDefault="00AC6F3C">
            <w:pPr>
              <w:pStyle w:val="TableParagraph"/>
              <w:rPr>
                <w:b/>
                <w:sz w:val="20"/>
              </w:rPr>
            </w:pPr>
          </w:p>
          <w:p w14:paraId="24CF38A7" w14:textId="77777777" w:rsidR="00AC6F3C" w:rsidRDefault="00570E88">
            <w:pPr>
              <w:pStyle w:val="TableParagraph"/>
              <w:spacing w:before="139"/>
              <w:ind w:left="37"/>
              <w:rPr>
                <w:sz w:val="18"/>
              </w:rPr>
            </w:pPr>
            <w:r>
              <w:rPr>
                <w:sz w:val="18"/>
              </w:rPr>
              <w:t>Opening</w:t>
            </w:r>
            <w:r>
              <w:rPr>
                <w:spacing w:val="14"/>
                <w:sz w:val="18"/>
              </w:rPr>
              <w:t xml:space="preserve"> </w:t>
            </w:r>
            <w:r>
              <w:rPr>
                <w:sz w:val="18"/>
              </w:rPr>
              <w:t>unearned</w:t>
            </w:r>
            <w:r>
              <w:rPr>
                <w:spacing w:val="15"/>
                <w:sz w:val="18"/>
              </w:rPr>
              <w:t xml:space="preserve"> </w:t>
            </w:r>
            <w:r>
              <w:rPr>
                <w:sz w:val="18"/>
              </w:rPr>
              <w:t>premium</w:t>
            </w:r>
            <w:r>
              <w:rPr>
                <w:spacing w:val="28"/>
                <w:sz w:val="18"/>
              </w:rPr>
              <w:t xml:space="preserve"> </w:t>
            </w:r>
            <w:r>
              <w:rPr>
                <w:spacing w:val="-2"/>
                <w:sz w:val="18"/>
              </w:rPr>
              <w:t>reserves</w:t>
            </w:r>
          </w:p>
        </w:tc>
        <w:tc>
          <w:tcPr>
            <w:tcW w:w="1138" w:type="dxa"/>
            <w:tcBorders>
              <w:top w:val="single" w:sz="6" w:space="0" w:color="000000"/>
            </w:tcBorders>
            <w:shd w:val="clear" w:color="auto" w:fill="F1F1F1"/>
          </w:tcPr>
          <w:p w14:paraId="3CBD31B0" w14:textId="77777777" w:rsidR="00AC6F3C" w:rsidRDefault="00AC6F3C">
            <w:pPr>
              <w:pStyle w:val="TableParagraph"/>
              <w:rPr>
                <w:b/>
                <w:sz w:val="20"/>
              </w:rPr>
            </w:pPr>
          </w:p>
          <w:p w14:paraId="412810AB" w14:textId="77777777" w:rsidR="00AC6F3C" w:rsidRDefault="00570E88">
            <w:pPr>
              <w:pStyle w:val="TableParagraph"/>
              <w:spacing w:before="139"/>
              <w:ind w:right="35"/>
              <w:jc w:val="right"/>
              <w:rPr>
                <w:sz w:val="18"/>
              </w:rPr>
            </w:pPr>
            <w:r>
              <w:rPr>
                <w:spacing w:val="-5"/>
                <w:sz w:val="18"/>
              </w:rPr>
              <w:t>996</w:t>
            </w:r>
          </w:p>
        </w:tc>
        <w:tc>
          <w:tcPr>
            <w:tcW w:w="1116" w:type="dxa"/>
            <w:tcBorders>
              <w:top w:val="single" w:sz="6" w:space="0" w:color="000000"/>
              <w:right w:val="single" w:sz="6" w:space="0" w:color="000000"/>
            </w:tcBorders>
          </w:tcPr>
          <w:p w14:paraId="391440E5" w14:textId="77777777" w:rsidR="00AC6F3C" w:rsidRDefault="00AC6F3C">
            <w:pPr>
              <w:pStyle w:val="TableParagraph"/>
              <w:rPr>
                <w:b/>
                <w:sz w:val="20"/>
              </w:rPr>
            </w:pPr>
          </w:p>
          <w:p w14:paraId="590A63B0" w14:textId="77777777" w:rsidR="00AC6F3C" w:rsidRDefault="00570E88">
            <w:pPr>
              <w:pStyle w:val="TableParagraph"/>
              <w:spacing w:before="139"/>
              <w:ind w:right="21"/>
              <w:jc w:val="right"/>
              <w:rPr>
                <w:sz w:val="18"/>
              </w:rPr>
            </w:pPr>
            <w:r>
              <w:rPr>
                <w:spacing w:val="-2"/>
                <w:sz w:val="18"/>
              </w:rPr>
              <w:t>2,229</w:t>
            </w:r>
          </w:p>
        </w:tc>
      </w:tr>
      <w:tr w:rsidR="00AC6F3C" w14:paraId="712BB878" w14:textId="77777777">
        <w:trPr>
          <w:trHeight w:val="256"/>
        </w:trPr>
        <w:tc>
          <w:tcPr>
            <w:tcW w:w="6086" w:type="dxa"/>
            <w:tcBorders>
              <w:left w:val="single" w:sz="6" w:space="0" w:color="000000"/>
            </w:tcBorders>
          </w:tcPr>
          <w:p w14:paraId="3C0AF4DF" w14:textId="77777777" w:rsidR="00AC6F3C" w:rsidRDefault="00570E88">
            <w:pPr>
              <w:pStyle w:val="TableParagraph"/>
              <w:spacing w:before="42" w:line="194" w:lineRule="exact"/>
              <w:ind w:left="37"/>
              <w:rPr>
                <w:sz w:val="18"/>
              </w:rPr>
            </w:pPr>
            <w:r>
              <w:rPr>
                <w:sz w:val="18"/>
              </w:rPr>
              <w:t>Movement</w:t>
            </w:r>
            <w:r>
              <w:rPr>
                <w:spacing w:val="-4"/>
                <w:sz w:val="18"/>
              </w:rPr>
              <w:t xml:space="preserve"> </w:t>
            </w:r>
            <w:r>
              <w:rPr>
                <w:sz w:val="18"/>
              </w:rPr>
              <w:t>in</w:t>
            </w:r>
            <w:r>
              <w:rPr>
                <w:spacing w:val="8"/>
                <w:sz w:val="18"/>
              </w:rPr>
              <w:t xml:space="preserve"> </w:t>
            </w:r>
            <w:r>
              <w:rPr>
                <w:sz w:val="18"/>
              </w:rPr>
              <w:t>unearned</w:t>
            </w:r>
            <w:r>
              <w:rPr>
                <w:spacing w:val="9"/>
                <w:sz w:val="18"/>
              </w:rPr>
              <w:t xml:space="preserve"> </w:t>
            </w:r>
            <w:r>
              <w:rPr>
                <w:sz w:val="18"/>
              </w:rPr>
              <w:t>premium</w:t>
            </w:r>
            <w:r>
              <w:rPr>
                <w:spacing w:val="20"/>
                <w:sz w:val="18"/>
              </w:rPr>
              <w:t xml:space="preserve"> </w:t>
            </w:r>
            <w:r>
              <w:rPr>
                <w:spacing w:val="-2"/>
                <w:sz w:val="18"/>
              </w:rPr>
              <w:t>reserves</w:t>
            </w:r>
          </w:p>
        </w:tc>
        <w:tc>
          <w:tcPr>
            <w:tcW w:w="1138" w:type="dxa"/>
            <w:tcBorders>
              <w:bottom w:val="single" w:sz="6" w:space="0" w:color="000000"/>
            </w:tcBorders>
            <w:shd w:val="clear" w:color="auto" w:fill="F1F1F1"/>
          </w:tcPr>
          <w:p w14:paraId="0B60DEF7" w14:textId="77777777" w:rsidR="00AC6F3C" w:rsidRDefault="00570E88">
            <w:pPr>
              <w:pStyle w:val="TableParagraph"/>
              <w:spacing w:before="42" w:line="194" w:lineRule="exact"/>
              <w:ind w:right="30"/>
              <w:jc w:val="right"/>
              <w:rPr>
                <w:sz w:val="18"/>
              </w:rPr>
            </w:pPr>
            <w:r>
              <w:rPr>
                <w:spacing w:val="-2"/>
                <w:sz w:val="18"/>
              </w:rPr>
              <w:t>(996)</w:t>
            </w:r>
          </w:p>
        </w:tc>
        <w:tc>
          <w:tcPr>
            <w:tcW w:w="1116" w:type="dxa"/>
            <w:tcBorders>
              <w:bottom w:val="single" w:sz="6" w:space="0" w:color="000000"/>
              <w:right w:val="single" w:sz="6" w:space="0" w:color="000000"/>
            </w:tcBorders>
          </w:tcPr>
          <w:p w14:paraId="1E5655F1" w14:textId="77777777" w:rsidR="00AC6F3C" w:rsidRDefault="00570E88">
            <w:pPr>
              <w:pStyle w:val="TableParagraph"/>
              <w:spacing w:before="42" w:line="194" w:lineRule="exact"/>
              <w:ind w:right="16"/>
              <w:jc w:val="right"/>
              <w:rPr>
                <w:sz w:val="18"/>
              </w:rPr>
            </w:pPr>
            <w:r>
              <w:rPr>
                <w:spacing w:val="-2"/>
                <w:sz w:val="18"/>
              </w:rPr>
              <w:t>(1,233)</w:t>
            </w:r>
          </w:p>
        </w:tc>
      </w:tr>
      <w:tr w:rsidR="00AC6F3C" w14:paraId="4009D14C" w14:textId="77777777">
        <w:trPr>
          <w:trHeight w:val="283"/>
        </w:trPr>
        <w:tc>
          <w:tcPr>
            <w:tcW w:w="6086" w:type="dxa"/>
            <w:tcBorders>
              <w:left w:val="single" w:sz="6" w:space="0" w:color="000000"/>
            </w:tcBorders>
          </w:tcPr>
          <w:p w14:paraId="3550BD18" w14:textId="77777777" w:rsidR="00AC6F3C" w:rsidRDefault="00570E88">
            <w:pPr>
              <w:pStyle w:val="TableParagraph"/>
              <w:spacing w:before="40"/>
              <w:ind w:left="37"/>
              <w:rPr>
                <w:b/>
                <w:sz w:val="18"/>
              </w:rPr>
            </w:pPr>
            <w:r>
              <w:rPr>
                <w:b/>
                <w:spacing w:val="-4"/>
                <w:sz w:val="18"/>
              </w:rPr>
              <w:t>Closing</w:t>
            </w:r>
            <w:r>
              <w:rPr>
                <w:b/>
                <w:spacing w:val="-2"/>
                <w:sz w:val="18"/>
              </w:rPr>
              <w:t xml:space="preserve"> </w:t>
            </w:r>
            <w:r>
              <w:rPr>
                <w:b/>
                <w:spacing w:val="-4"/>
                <w:sz w:val="18"/>
              </w:rPr>
              <w:t>unearned</w:t>
            </w:r>
            <w:r>
              <w:rPr>
                <w:b/>
                <w:spacing w:val="-2"/>
                <w:sz w:val="18"/>
              </w:rPr>
              <w:t xml:space="preserve"> </w:t>
            </w:r>
            <w:r>
              <w:rPr>
                <w:b/>
                <w:spacing w:val="-4"/>
                <w:sz w:val="18"/>
              </w:rPr>
              <w:t>premium</w:t>
            </w:r>
            <w:r>
              <w:rPr>
                <w:b/>
                <w:spacing w:val="10"/>
                <w:sz w:val="18"/>
              </w:rPr>
              <w:t xml:space="preserve"> </w:t>
            </w:r>
            <w:r>
              <w:rPr>
                <w:b/>
                <w:spacing w:val="-4"/>
                <w:sz w:val="18"/>
              </w:rPr>
              <w:t>reserves</w:t>
            </w:r>
          </w:p>
        </w:tc>
        <w:tc>
          <w:tcPr>
            <w:tcW w:w="1138" w:type="dxa"/>
            <w:tcBorders>
              <w:top w:val="single" w:sz="6" w:space="0" w:color="000000"/>
              <w:bottom w:val="single" w:sz="6" w:space="0" w:color="000000"/>
            </w:tcBorders>
            <w:shd w:val="clear" w:color="auto" w:fill="F1F1F1"/>
          </w:tcPr>
          <w:p w14:paraId="757311F7" w14:textId="77777777" w:rsidR="00AC6F3C" w:rsidRDefault="00570E88">
            <w:pPr>
              <w:pStyle w:val="TableParagraph"/>
              <w:spacing w:before="55"/>
              <w:ind w:right="35"/>
              <w:jc w:val="right"/>
              <w:rPr>
                <w:sz w:val="18"/>
              </w:rPr>
            </w:pPr>
            <w:r>
              <w:rPr>
                <w:w w:val="99"/>
                <w:sz w:val="18"/>
              </w:rPr>
              <w:t>-</w:t>
            </w:r>
          </w:p>
        </w:tc>
        <w:tc>
          <w:tcPr>
            <w:tcW w:w="1116" w:type="dxa"/>
            <w:tcBorders>
              <w:top w:val="single" w:sz="6" w:space="0" w:color="000000"/>
              <w:bottom w:val="single" w:sz="6" w:space="0" w:color="000000"/>
              <w:right w:val="single" w:sz="6" w:space="0" w:color="000000"/>
            </w:tcBorders>
          </w:tcPr>
          <w:p w14:paraId="5A851F2C" w14:textId="77777777" w:rsidR="00AC6F3C" w:rsidRDefault="00570E88">
            <w:pPr>
              <w:pStyle w:val="TableParagraph"/>
              <w:spacing w:before="55"/>
              <w:ind w:right="21"/>
              <w:jc w:val="right"/>
              <w:rPr>
                <w:sz w:val="18"/>
              </w:rPr>
            </w:pPr>
            <w:r>
              <w:rPr>
                <w:spacing w:val="-5"/>
                <w:sz w:val="18"/>
              </w:rPr>
              <w:t>996</w:t>
            </w:r>
          </w:p>
        </w:tc>
      </w:tr>
      <w:tr w:rsidR="00AC6F3C" w14:paraId="7DF2CB6A" w14:textId="77777777">
        <w:trPr>
          <w:trHeight w:val="582"/>
        </w:trPr>
        <w:tc>
          <w:tcPr>
            <w:tcW w:w="6086" w:type="dxa"/>
            <w:tcBorders>
              <w:left w:val="single" w:sz="6" w:space="0" w:color="000000"/>
              <w:bottom w:val="single" w:sz="6" w:space="0" w:color="000000"/>
            </w:tcBorders>
          </w:tcPr>
          <w:p w14:paraId="53AF232E" w14:textId="77777777" w:rsidR="00AC6F3C" w:rsidRDefault="00AC6F3C">
            <w:pPr>
              <w:pStyle w:val="TableParagraph"/>
              <w:rPr>
                <w:b/>
                <w:sz w:val="20"/>
              </w:rPr>
            </w:pPr>
          </w:p>
          <w:p w14:paraId="00E57BFF" w14:textId="77777777" w:rsidR="00AC6F3C" w:rsidRDefault="00570E88">
            <w:pPr>
              <w:pStyle w:val="TableParagraph"/>
              <w:spacing w:before="139" w:line="194" w:lineRule="exact"/>
              <w:ind w:left="37"/>
              <w:rPr>
                <w:sz w:val="18"/>
              </w:rPr>
            </w:pPr>
            <w:r>
              <w:rPr>
                <w:sz w:val="18"/>
              </w:rPr>
              <w:t>To</w:t>
            </w:r>
            <w:r>
              <w:rPr>
                <w:spacing w:val="2"/>
                <w:sz w:val="18"/>
              </w:rPr>
              <w:t xml:space="preserve"> </w:t>
            </w:r>
            <w:r>
              <w:rPr>
                <w:sz w:val="18"/>
              </w:rPr>
              <w:t>be</w:t>
            </w:r>
            <w:r>
              <w:rPr>
                <w:spacing w:val="2"/>
                <w:sz w:val="18"/>
              </w:rPr>
              <w:t xml:space="preserve"> </w:t>
            </w:r>
            <w:r>
              <w:rPr>
                <w:sz w:val="18"/>
              </w:rPr>
              <w:t>earned</w:t>
            </w:r>
            <w:r>
              <w:rPr>
                <w:spacing w:val="3"/>
                <w:sz w:val="18"/>
              </w:rPr>
              <w:t xml:space="preserve"> </w:t>
            </w:r>
            <w:r>
              <w:rPr>
                <w:sz w:val="18"/>
              </w:rPr>
              <w:t>within</w:t>
            </w:r>
            <w:r>
              <w:rPr>
                <w:spacing w:val="2"/>
                <w:sz w:val="18"/>
              </w:rPr>
              <w:t xml:space="preserve"> </w:t>
            </w:r>
            <w:r>
              <w:rPr>
                <w:sz w:val="18"/>
              </w:rPr>
              <w:t>12</w:t>
            </w:r>
            <w:r>
              <w:rPr>
                <w:spacing w:val="2"/>
                <w:sz w:val="18"/>
              </w:rPr>
              <w:t xml:space="preserve"> </w:t>
            </w:r>
            <w:r>
              <w:rPr>
                <w:spacing w:val="-2"/>
                <w:sz w:val="18"/>
              </w:rPr>
              <w:t>months</w:t>
            </w:r>
          </w:p>
        </w:tc>
        <w:tc>
          <w:tcPr>
            <w:tcW w:w="1138" w:type="dxa"/>
            <w:tcBorders>
              <w:top w:val="single" w:sz="6" w:space="0" w:color="000000"/>
              <w:bottom w:val="single" w:sz="6" w:space="0" w:color="000000"/>
            </w:tcBorders>
            <w:shd w:val="clear" w:color="auto" w:fill="F1F1F1"/>
          </w:tcPr>
          <w:p w14:paraId="7ED2A8C5" w14:textId="77777777" w:rsidR="00AC6F3C" w:rsidRDefault="00AC6F3C">
            <w:pPr>
              <w:pStyle w:val="TableParagraph"/>
              <w:rPr>
                <w:b/>
                <w:sz w:val="20"/>
              </w:rPr>
            </w:pPr>
          </w:p>
          <w:p w14:paraId="72A1842D" w14:textId="77777777" w:rsidR="00AC6F3C" w:rsidRDefault="00570E88">
            <w:pPr>
              <w:pStyle w:val="TableParagraph"/>
              <w:spacing w:before="139" w:line="194" w:lineRule="exact"/>
              <w:ind w:right="35"/>
              <w:jc w:val="right"/>
              <w:rPr>
                <w:sz w:val="18"/>
              </w:rPr>
            </w:pPr>
            <w:r>
              <w:rPr>
                <w:spacing w:val="-2"/>
                <w:sz w:val="18"/>
              </w:rPr>
              <w:t>28,176</w:t>
            </w:r>
          </w:p>
        </w:tc>
        <w:tc>
          <w:tcPr>
            <w:tcW w:w="1116" w:type="dxa"/>
            <w:tcBorders>
              <w:top w:val="single" w:sz="6" w:space="0" w:color="000000"/>
              <w:bottom w:val="single" w:sz="6" w:space="0" w:color="000000"/>
              <w:right w:val="single" w:sz="6" w:space="0" w:color="000000"/>
            </w:tcBorders>
          </w:tcPr>
          <w:p w14:paraId="3958AC68" w14:textId="77777777" w:rsidR="00AC6F3C" w:rsidRDefault="00AC6F3C">
            <w:pPr>
              <w:pStyle w:val="TableParagraph"/>
              <w:rPr>
                <w:b/>
                <w:sz w:val="20"/>
              </w:rPr>
            </w:pPr>
          </w:p>
          <w:p w14:paraId="19DAE794" w14:textId="77777777" w:rsidR="00AC6F3C" w:rsidRDefault="00570E88">
            <w:pPr>
              <w:pStyle w:val="TableParagraph"/>
              <w:spacing w:before="139" w:line="194" w:lineRule="exact"/>
              <w:ind w:right="21"/>
              <w:jc w:val="right"/>
              <w:rPr>
                <w:sz w:val="18"/>
              </w:rPr>
            </w:pPr>
            <w:r>
              <w:rPr>
                <w:spacing w:val="-2"/>
                <w:sz w:val="18"/>
              </w:rPr>
              <w:t>28,366</w:t>
            </w:r>
          </w:p>
        </w:tc>
      </w:tr>
      <w:tr w:rsidR="00AC6F3C" w14:paraId="3FD72826" w14:textId="77777777">
        <w:trPr>
          <w:trHeight w:val="283"/>
        </w:trPr>
        <w:tc>
          <w:tcPr>
            <w:tcW w:w="6086" w:type="dxa"/>
            <w:tcBorders>
              <w:top w:val="single" w:sz="6" w:space="0" w:color="000000"/>
              <w:left w:val="single" w:sz="6" w:space="0" w:color="000000"/>
              <w:bottom w:val="single" w:sz="6" w:space="0" w:color="000000"/>
            </w:tcBorders>
            <w:shd w:val="clear" w:color="auto" w:fill="BEBEBE"/>
          </w:tcPr>
          <w:p w14:paraId="6672999E" w14:textId="77777777" w:rsidR="00AC6F3C" w:rsidRDefault="00570E88">
            <w:pPr>
              <w:pStyle w:val="TableParagraph"/>
              <w:spacing w:before="70" w:line="194" w:lineRule="exact"/>
              <w:ind w:left="37"/>
              <w:rPr>
                <w:b/>
                <w:sz w:val="18"/>
              </w:rPr>
            </w:pPr>
            <w:r>
              <w:rPr>
                <w:b/>
                <w:spacing w:val="-2"/>
                <w:sz w:val="18"/>
              </w:rPr>
              <w:t>Total</w:t>
            </w:r>
            <w:r>
              <w:rPr>
                <w:b/>
                <w:spacing w:val="-7"/>
                <w:sz w:val="18"/>
              </w:rPr>
              <w:t xml:space="preserve"> </w:t>
            </w:r>
            <w:r>
              <w:rPr>
                <w:b/>
                <w:spacing w:val="-2"/>
                <w:sz w:val="18"/>
              </w:rPr>
              <w:t>unearned</w:t>
            </w:r>
            <w:r>
              <w:rPr>
                <w:b/>
                <w:spacing w:val="-7"/>
                <w:sz w:val="18"/>
              </w:rPr>
              <w:t xml:space="preserve"> </w:t>
            </w:r>
            <w:r>
              <w:rPr>
                <w:b/>
                <w:spacing w:val="-2"/>
                <w:sz w:val="18"/>
              </w:rPr>
              <w:t>premiums</w:t>
            </w:r>
            <w:r>
              <w:rPr>
                <w:b/>
                <w:spacing w:val="5"/>
                <w:sz w:val="18"/>
              </w:rPr>
              <w:t xml:space="preserve"> </w:t>
            </w:r>
            <w:r>
              <w:rPr>
                <w:b/>
                <w:spacing w:val="-2"/>
                <w:sz w:val="18"/>
              </w:rPr>
              <w:t>and</w:t>
            </w:r>
            <w:r>
              <w:rPr>
                <w:b/>
                <w:spacing w:val="-7"/>
                <w:sz w:val="18"/>
              </w:rPr>
              <w:t xml:space="preserve"> </w:t>
            </w:r>
            <w:r>
              <w:rPr>
                <w:b/>
                <w:spacing w:val="-2"/>
                <w:sz w:val="18"/>
              </w:rPr>
              <w:t>reserves</w:t>
            </w:r>
          </w:p>
        </w:tc>
        <w:tc>
          <w:tcPr>
            <w:tcW w:w="1138" w:type="dxa"/>
            <w:tcBorders>
              <w:top w:val="single" w:sz="6" w:space="0" w:color="000000"/>
              <w:bottom w:val="single" w:sz="6" w:space="0" w:color="000000"/>
            </w:tcBorders>
            <w:shd w:val="clear" w:color="auto" w:fill="BEBEBE"/>
          </w:tcPr>
          <w:p w14:paraId="557C22D5" w14:textId="77777777" w:rsidR="00AC6F3C" w:rsidRDefault="00570E88">
            <w:pPr>
              <w:pStyle w:val="TableParagraph"/>
              <w:spacing w:before="70" w:line="194" w:lineRule="exact"/>
              <w:ind w:right="35"/>
              <w:jc w:val="right"/>
              <w:rPr>
                <w:b/>
                <w:sz w:val="18"/>
              </w:rPr>
            </w:pPr>
            <w:r>
              <w:rPr>
                <w:b/>
                <w:spacing w:val="-2"/>
                <w:sz w:val="18"/>
              </w:rPr>
              <w:t>28,176</w:t>
            </w:r>
          </w:p>
        </w:tc>
        <w:tc>
          <w:tcPr>
            <w:tcW w:w="1116" w:type="dxa"/>
            <w:tcBorders>
              <w:top w:val="single" w:sz="6" w:space="0" w:color="000000"/>
              <w:bottom w:val="single" w:sz="6" w:space="0" w:color="000000"/>
              <w:right w:val="single" w:sz="6" w:space="0" w:color="000000"/>
            </w:tcBorders>
            <w:shd w:val="clear" w:color="auto" w:fill="BEBEBE"/>
          </w:tcPr>
          <w:p w14:paraId="16511674" w14:textId="77777777" w:rsidR="00AC6F3C" w:rsidRDefault="00570E88">
            <w:pPr>
              <w:pStyle w:val="TableParagraph"/>
              <w:spacing w:before="70" w:line="194" w:lineRule="exact"/>
              <w:ind w:right="21"/>
              <w:jc w:val="right"/>
              <w:rPr>
                <w:b/>
                <w:sz w:val="18"/>
              </w:rPr>
            </w:pPr>
            <w:r>
              <w:rPr>
                <w:b/>
                <w:spacing w:val="-2"/>
                <w:sz w:val="18"/>
              </w:rPr>
              <w:t>28,366</w:t>
            </w:r>
          </w:p>
        </w:tc>
      </w:tr>
    </w:tbl>
    <w:p w14:paraId="3C2C02A3" w14:textId="77777777" w:rsidR="00AC6F3C" w:rsidRDefault="00AC6F3C">
      <w:pPr>
        <w:pStyle w:val="BodyText"/>
        <w:rPr>
          <w:b/>
        </w:rPr>
      </w:pPr>
    </w:p>
    <w:p w14:paraId="7F6DEFF7" w14:textId="77777777" w:rsidR="00AC6F3C" w:rsidRDefault="00AC6F3C">
      <w:pPr>
        <w:pStyle w:val="BodyText"/>
        <w:spacing w:before="10"/>
        <w:rPr>
          <w:b/>
          <w:sz w:val="18"/>
        </w:rPr>
      </w:pPr>
    </w:p>
    <w:p w14:paraId="379BE53F" w14:textId="77777777" w:rsidR="00AC6F3C" w:rsidRDefault="00570E88">
      <w:pPr>
        <w:ind w:left="958" w:right="886"/>
        <w:rPr>
          <w:sz w:val="18"/>
        </w:rPr>
      </w:pPr>
      <w:r>
        <w:rPr>
          <w:sz w:val="18"/>
        </w:rPr>
        <w:t>Premiums</w:t>
      </w:r>
      <w:r>
        <w:rPr>
          <w:spacing w:val="-3"/>
          <w:sz w:val="18"/>
        </w:rPr>
        <w:t xml:space="preserve"> </w:t>
      </w:r>
      <w:r>
        <w:rPr>
          <w:sz w:val="18"/>
        </w:rPr>
        <w:t>have</w:t>
      </w:r>
      <w:r>
        <w:rPr>
          <w:spacing w:val="-1"/>
          <w:sz w:val="18"/>
        </w:rPr>
        <w:t xml:space="preserve"> </w:t>
      </w:r>
      <w:r>
        <w:rPr>
          <w:sz w:val="18"/>
        </w:rPr>
        <w:t>been</w:t>
      </w:r>
      <w:r>
        <w:rPr>
          <w:spacing w:val="-1"/>
          <w:sz w:val="18"/>
        </w:rPr>
        <w:t xml:space="preserve"> </w:t>
      </w:r>
      <w:proofErr w:type="spellStart"/>
      <w:r>
        <w:rPr>
          <w:sz w:val="18"/>
        </w:rPr>
        <w:t>recognised</w:t>
      </w:r>
      <w:proofErr w:type="spellEnd"/>
      <w:r>
        <w:rPr>
          <w:spacing w:val="-1"/>
          <w:sz w:val="18"/>
        </w:rPr>
        <w:t xml:space="preserve"> </w:t>
      </w:r>
      <w:r>
        <w:rPr>
          <w:sz w:val="18"/>
        </w:rPr>
        <w:t>in</w:t>
      </w:r>
      <w:r>
        <w:rPr>
          <w:spacing w:val="-4"/>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attachment</w:t>
      </w:r>
      <w:r>
        <w:rPr>
          <w:spacing w:val="-2"/>
          <w:sz w:val="18"/>
        </w:rPr>
        <w:t xml:space="preserve"> </w:t>
      </w:r>
      <w:r>
        <w:rPr>
          <w:sz w:val="18"/>
        </w:rPr>
        <w:t>of</w:t>
      </w:r>
      <w:r>
        <w:rPr>
          <w:spacing w:val="-2"/>
          <w:sz w:val="18"/>
        </w:rPr>
        <w:t xml:space="preserve"> </w:t>
      </w:r>
      <w:r>
        <w:rPr>
          <w:sz w:val="18"/>
        </w:rPr>
        <w:t>risk.</w:t>
      </w:r>
      <w:r>
        <w:rPr>
          <w:spacing w:val="40"/>
          <w:sz w:val="18"/>
        </w:rPr>
        <w:t xml:space="preserve"> </w:t>
      </w:r>
      <w:r>
        <w:rPr>
          <w:sz w:val="18"/>
        </w:rPr>
        <w:t>As</w:t>
      </w:r>
      <w:r>
        <w:rPr>
          <w:spacing w:val="-3"/>
          <w:sz w:val="18"/>
        </w:rPr>
        <w:t xml:space="preserve"> </w:t>
      </w:r>
      <w:r>
        <w:rPr>
          <w:sz w:val="18"/>
        </w:rPr>
        <w:t>such,</w:t>
      </w:r>
      <w:r>
        <w:rPr>
          <w:spacing w:val="-2"/>
          <w:sz w:val="18"/>
        </w:rPr>
        <w:t xml:space="preserve"> </w:t>
      </w:r>
      <w:r>
        <w:rPr>
          <w:sz w:val="18"/>
        </w:rPr>
        <w:t>the</w:t>
      </w:r>
      <w:r>
        <w:rPr>
          <w:spacing w:val="-1"/>
          <w:sz w:val="18"/>
        </w:rPr>
        <w:t xml:space="preserve"> </w:t>
      </w:r>
      <w:r>
        <w:rPr>
          <w:sz w:val="18"/>
        </w:rPr>
        <w:t>premiums relating to the next financial year are recorded as unearned.</w:t>
      </w:r>
    </w:p>
    <w:p w14:paraId="72B667F1" w14:textId="77777777" w:rsidR="00AC6F3C" w:rsidRDefault="00AC6F3C">
      <w:pPr>
        <w:pStyle w:val="BodyText"/>
        <w:rPr>
          <w:sz w:val="18"/>
        </w:rPr>
      </w:pPr>
    </w:p>
    <w:p w14:paraId="5ABE8262" w14:textId="77777777" w:rsidR="00AC6F3C" w:rsidRDefault="00570E88">
      <w:pPr>
        <w:spacing w:before="1"/>
        <w:ind w:left="958"/>
        <w:rPr>
          <w:b/>
          <w:sz w:val="18"/>
        </w:rPr>
      </w:pPr>
      <w:r>
        <w:rPr>
          <w:b/>
          <w:sz w:val="18"/>
        </w:rPr>
        <w:t>Net</w:t>
      </w:r>
      <w:r>
        <w:rPr>
          <w:b/>
          <w:spacing w:val="-2"/>
          <w:sz w:val="18"/>
        </w:rPr>
        <w:t xml:space="preserve"> </w:t>
      </w:r>
      <w:r>
        <w:rPr>
          <w:b/>
          <w:sz w:val="18"/>
        </w:rPr>
        <w:t>premium</w:t>
      </w:r>
      <w:r>
        <w:rPr>
          <w:b/>
          <w:spacing w:val="-1"/>
          <w:sz w:val="18"/>
        </w:rPr>
        <w:t xml:space="preserve"> </w:t>
      </w:r>
      <w:r>
        <w:rPr>
          <w:b/>
          <w:spacing w:val="-2"/>
          <w:sz w:val="18"/>
        </w:rPr>
        <w:t>liabilities</w:t>
      </w:r>
    </w:p>
    <w:p w14:paraId="599CD0ED" w14:textId="77777777" w:rsidR="00AC6F3C" w:rsidRDefault="00AC6F3C">
      <w:pPr>
        <w:pStyle w:val="BodyText"/>
        <w:rPr>
          <w:b/>
          <w:sz w:val="18"/>
        </w:rPr>
      </w:pPr>
    </w:p>
    <w:tbl>
      <w:tblPr>
        <w:tblW w:w="0" w:type="auto"/>
        <w:tblInd w:w="972" w:type="dxa"/>
        <w:tblLayout w:type="fixed"/>
        <w:tblCellMar>
          <w:left w:w="0" w:type="dxa"/>
          <w:right w:w="0" w:type="dxa"/>
        </w:tblCellMar>
        <w:tblLook w:val="01E0" w:firstRow="1" w:lastRow="1" w:firstColumn="1" w:lastColumn="1" w:noHBand="0" w:noVBand="0"/>
      </w:tblPr>
      <w:tblGrid>
        <w:gridCol w:w="6085"/>
        <w:gridCol w:w="1138"/>
        <w:gridCol w:w="1116"/>
      </w:tblGrid>
      <w:tr w:rsidR="00AC6F3C" w14:paraId="42B8B961" w14:textId="77777777">
        <w:trPr>
          <w:trHeight w:val="579"/>
        </w:trPr>
        <w:tc>
          <w:tcPr>
            <w:tcW w:w="8339" w:type="dxa"/>
            <w:gridSpan w:val="3"/>
            <w:tcBorders>
              <w:top w:val="single" w:sz="6" w:space="0" w:color="000000"/>
              <w:left w:val="single" w:sz="6" w:space="0" w:color="000000"/>
              <w:bottom w:val="single" w:sz="6" w:space="0" w:color="000000"/>
              <w:right w:val="single" w:sz="6" w:space="0" w:color="000000"/>
            </w:tcBorders>
            <w:shd w:val="clear" w:color="auto" w:fill="BEBEBE"/>
          </w:tcPr>
          <w:p w14:paraId="70080071" w14:textId="77777777" w:rsidR="00AC6F3C" w:rsidRDefault="00570E88">
            <w:pPr>
              <w:pStyle w:val="TableParagraph"/>
              <w:tabs>
                <w:tab w:val="left" w:pos="1122"/>
              </w:tabs>
              <w:spacing w:before="39"/>
              <w:ind w:right="22"/>
              <w:jc w:val="right"/>
              <w:rPr>
                <w:b/>
                <w:sz w:val="18"/>
              </w:rPr>
            </w:pPr>
            <w:r>
              <w:rPr>
                <w:b/>
                <w:spacing w:val="-4"/>
                <w:sz w:val="18"/>
              </w:rPr>
              <w:t>2023</w:t>
            </w:r>
            <w:r>
              <w:rPr>
                <w:b/>
                <w:sz w:val="18"/>
              </w:rPr>
              <w:tab/>
            </w:r>
            <w:r>
              <w:rPr>
                <w:b/>
                <w:spacing w:val="-4"/>
                <w:sz w:val="18"/>
              </w:rPr>
              <w:t>2022</w:t>
            </w:r>
          </w:p>
          <w:p w14:paraId="7E05E1EA" w14:textId="77777777" w:rsidR="00AC6F3C" w:rsidRDefault="00570E88">
            <w:pPr>
              <w:pStyle w:val="TableParagraph"/>
              <w:tabs>
                <w:tab w:val="left" w:pos="1122"/>
              </w:tabs>
              <w:spacing w:before="90"/>
              <w:ind w:right="22"/>
              <w:jc w:val="right"/>
              <w:rPr>
                <w:b/>
                <w:sz w:val="18"/>
              </w:rPr>
            </w:pPr>
            <w:r>
              <w:rPr>
                <w:b/>
                <w:spacing w:val="-2"/>
                <w:sz w:val="18"/>
              </w:rPr>
              <w:t>$’000</w:t>
            </w:r>
            <w:r>
              <w:rPr>
                <w:b/>
                <w:sz w:val="18"/>
              </w:rPr>
              <w:tab/>
            </w:r>
            <w:r>
              <w:rPr>
                <w:b/>
                <w:spacing w:val="-2"/>
                <w:sz w:val="18"/>
              </w:rPr>
              <w:t>$’000</w:t>
            </w:r>
          </w:p>
        </w:tc>
      </w:tr>
      <w:tr w:rsidR="00AC6F3C" w14:paraId="368ED268" w14:textId="77777777">
        <w:trPr>
          <w:trHeight w:val="324"/>
        </w:trPr>
        <w:tc>
          <w:tcPr>
            <w:tcW w:w="6085" w:type="dxa"/>
            <w:tcBorders>
              <w:top w:val="single" w:sz="6" w:space="0" w:color="000000"/>
              <w:left w:val="single" w:sz="6" w:space="0" w:color="000000"/>
            </w:tcBorders>
          </w:tcPr>
          <w:p w14:paraId="43ACA351" w14:textId="77777777" w:rsidR="00AC6F3C" w:rsidRDefault="00570E88">
            <w:pPr>
              <w:pStyle w:val="TableParagraph"/>
              <w:spacing w:before="68"/>
              <w:ind w:left="37"/>
              <w:rPr>
                <w:sz w:val="18"/>
              </w:rPr>
            </w:pPr>
            <w:r>
              <w:rPr>
                <w:sz w:val="18"/>
              </w:rPr>
              <w:t>Unearned</w:t>
            </w:r>
            <w:r>
              <w:rPr>
                <w:spacing w:val="16"/>
                <w:sz w:val="18"/>
              </w:rPr>
              <w:t xml:space="preserve"> </w:t>
            </w:r>
            <w:r>
              <w:rPr>
                <w:spacing w:val="-2"/>
                <w:sz w:val="18"/>
              </w:rPr>
              <w:t>premium</w:t>
            </w:r>
          </w:p>
        </w:tc>
        <w:tc>
          <w:tcPr>
            <w:tcW w:w="1138" w:type="dxa"/>
            <w:tcBorders>
              <w:top w:val="single" w:sz="6" w:space="0" w:color="000000"/>
            </w:tcBorders>
            <w:shd w:val="clear" w:color="auto" w:fill="F1F1F1"/>
          </w:tcPr>
          <w:p w14:paraId="5102358A" w14:textId="77777777" w:rsidR="00AC6F3C" w:rsidRDefault="00570E88">
            <w:pPr>
              <w:pStyle w:val="TableParagraph"/>
              <w:spacing w:before="68"/>
              <w:ind w:right="36"/>
              <w:jc w:val="right"/>
              <w:rPr>
                <w:sz w:val="18"/>
              </w:rPr>
            </w:pPr>
            <w:r>
              <w:rPr>
                <w:spacing w:val="-2"/>
                <w:sz w:val="18"/>
              </w:rPr>
              <w:t>28,176</w:t>
            </w:r>
          </w:p>
        </w:tc>
        <w:tc>
          <w:tcPr>
            <w:tcW w:w="1116" w:type="dxa"/>
            <w:tcBorders>
              <w:top w:val="single" w:sz="6" w:space="0" w:color="000000"/>
              <w:right w:val="single" w:sz="6" w:space="0" w:color="000000"/>
            </w:tcBorders>
          </w:tcPr>
          <w:p w14:paraId="5CCCC42D" w14:textId="77777777" w:rsidR="00AC6F3C" w:rsidRDefault="00570E88">
            <w:pPr>
              <w:pStyle w:val="TableParagraph"/>
              <w:spacing w:before="68"/>
              <w:ind w:right="22"/>
              <w:jc w:val="right"/>
              <w:rPr>
                <w:sz w:val="18"/>
              </w:rPr>
            </w:pPr>
            <w:r>
              <w:rPr>
                <w:spacing w:val="-2"/>
                <w:sz w:val="18"/>
              </w:rPr>
              <w:t>27,370</w:t>
            </w:r>
          </w:p>
        </w:tc>
      </w:tr>
      <w:tr w:rsidR="00AC6F3C" w14:paraId="63362583" w14:textId="77777777">
        <w:trPr>
          <w:trHeight w:val="254"/>
        </w:trPr>
        <w:tc>
          <w:tcPr>
            <w:tcW w:w="6085" w:type="dxa"/>
            <w:tcBorders>
              <w:left w:val="single" w:sz="6" w:space="0" w:color="000000"/>
            </w:tcBorders>
          </w:tcPr>
          <w:p w14:paraId="202AB461" w14:textId="77777777" w:rsidR="00AC6F3C" w:rsidRDefault="00570E88">
            <w:pPr>
              <w:pStyle w:val="TableParagraph"/>
              <w:spacing w:before="41" w:line="193" w:lineRule="exact"/>
              <w:ind w:left="37"/>
              <w:rPr>
                <w:sz w:val="18"/>
              </w:rPr>
            </w:pPr>
            <w:r>
              <w:rPr>
                <w:sz w:val="18"/>
              </w:rPr>
              <w:t>Unearned</w:t>
            </w:r>
            <w:r>
              <w:rPr>
                <w:spacing w:val="18"/>
                <w:sz w:val="18"/>
              </w:rPr>
              <w:t xml:space="preserve"> </w:t>
            </w:r>
            <w:r>
              <w:rPr>
                <w:sz w:val="18"/>
              </w:rPr>
              <w:t>premium</w:t>
            </w:r>
            <w:r>
              <w:rPr>
                <w:spacing w:val="32"/>
                <w:sz w:val="18"/>
              </w:rPr>
              <w:t xml:space="preserve"> </w:t>
            </w:r>
            <w:r>
              <w:rPr>
                <w:spacing w:val="-2"/>
                <w:sz w:val="18"/>
              </w:rPr>
              <w:t>reserves</w:t>
            </w:r>
          </w:p>
        </w:tc>
        <w:tc>
          <w:tcPr>
            <w:tcW w:w="1138" w:type="dxa"/>
            <w:tcBorders>
              <w:bottom w:val="single" w:sz="6" w:space="0" w:color="000000"/>
            </w:tcBorders>
            <w:shd w:val="clear" w:color="auto" w:fill="F1F1F1"/>
          </w:tcPr>
          <w:p w14:paraId="2156A37D" w14:textId="77777777" w:rsidR="00AC6F3C" w:rsidRDefault="00570E88">
            <w:pPr>
              <w:pStyle w:val="TableParagraph"/>
              <w:spacing w:before="41" w:line="193" w:lineRule="exact"/>
              <w:ind w:right="36"/>
              <w:jc w:val="right"/>
              <w:rPr>
                <w:sz w:val="18"/>
              </w:rPr>
            </w:pPr>
            <w:r>
              <w:rPr>
                <w:w w:val="99"/>
                <w:sz w:val="18"/>
              </w:rPr>
              <w:t>-</w:t>
            </w:r>
          </w:p>
        </w:tc>
        <w:tc>
          <w:tcPr>
            <w:tcW w:w="1116" w:type="dxa"/>
            <w:tcBorders>
              <w:bottom w:val="single" w:sz="6" w:space="0" w:color="000000"/>
              <w:right w:val="single" w:sz="6" w:space="0" w:color="000000"/>
            </w:tcBorders>
          </w:tcPr>
          <w:p w14:paraId="13CAB95F" w14:textId="77777777" w:rsidR="00AC6F3C" w:rsidRDefault="00570E88">
            <w:pPr>
              <w:pStyle w:val="TableParagraph"/>
              <w:spacing w:before="41" w:line="193" w:lineRule="exact"/>
              <w:ind w:right="22"/>
              <w:jc w:val="right"/>
              <w:rPr>
                <w:sz w:val="18"/>
              </w:rPr>
            </w:pPr>
            <w:r>
              <w:rPr>
                <w:spacing w:val="-5"/>
                <w:sz w:val="18"/>
              </w:rPr>
              <w:t>996</w:t>
            </w:r>
          </w:p>
        </w:tc>
      </w:tr>
      <w:tr w:rsidR="00AC6F3C" w14:paraId="6CF02FD4" w14:textId="77777777">
        <w:trPr>
          <w:trHeight w:val="294"/>
        </w:trPr>
        <w:tc>
          <w:tcPr>
            <w:tcW w:w="6085" w:type="dxa"/>
            <w:tcBorders>
              <w:left w:val="single" w:sz="6" w:space="0" w:color="000000"/>
            </w:tcBorders>
          </w:tcPr>
          <w:p w14:paraId="2F49EEAE" w14:textId="77777777" w:rsidR="00AC6F3C" w:rsidRDefault="00570E88">
            <w:pPr>
              <w:pStyle w:val="TableParagraph"/>
              <w:spacing w:before="68" w:line="206" w:lineRule="exact"/>
              <w:ind w:left="37"/>
              <w:rPr>
                <w:sz w:val="18"/>
              </w:rPr>
            </w:pPr>
            <w:r>
              <w:rPr>
                <w:sz w:val="18"/>
              </w:rPr>
              <w:t>Total</w:t>
            </w:r>
            <w:r>
              <w:rPr>
                <w:spacing w:val="8"/>
                <w:sz w:val="18"/>
              </w:rPr>
              <w:t xml:space="preserve"> </w:t>
            </w:r>
            <w:r>
              <w:rPr>
                <w:sz w:val="18"/>
              </w:rPr>
              <w:t>unearned</w:t>
            </w:r>
            <w:r>
              <w:rPr>
                <w:spacing w:val="9"/>
                <w:sz w:val="18"/>
              </w:rPr>
              <w:t xml:space="preserve"> </w:t>
            </w:r>
            <w:r>
              <w:rPr>
                <w:sz w:val="18"/>
              </w:rPr>
              <w:t>premium</w:t>
            </w:r>
            <w:r>
              <w:rPr>
                <w:spacing w:val="20"/>
                <w:sz w:val="18"/>
              </w:rPr>
              <w:t xml:space="preserve"> </w:t>
            </w:r>
            <w:r>
              <w:rPr>
                <w:sz w:val="18"/>
              </w:rPr>
              <w:t>and</w:t>
            </w:r>
            <w:r>
              <w:rPr>
                <w:spacing w:val="9"/>
                <w:sz w:val="18"/>
              </w:rPr>
              <w:t xml:space="preserve"> </w:t>
            </w:r>
            <w:r>
              <w:rPr>
                <w:spacing w:val="-2"/>
                <w:sz w:val="18"/>
              </w:rPr>
              <w:t>reserves</w:t>
            </w:r>
          </w:p>
        </w:tc>
        <w:tc>
          <w:tcPr>
            <w:tcW w:w="1138" w:type="dxa"/>
            <w:tcBorders>
              <w:top w:val="single" w:sz="6" w:space="0" w:color="000000"/>
            </w:tcBorders>
            <w:shd w:val="clear" w:color="auto" w:fill="F1F1F1"/>
          </w:tcPr>
          <w:p w14:paraId="425645C1" w14:textId="77777777" w:rsidR="00AC6F3C" w:rsidRDefault="00570E88">
            <w:pPr>
              <w:pStyle w:val="TableParagraph"/>
              <w:spacing w:before="68" w:line="206" w:lineRule="exact"/>
              <w:ind w:right="36"/>
              <w:jc w:val="right"/>
              <w:rPr>
                <w:sz w:val="18"/>
              </w:rPr>
            </w:pPr>
            <w:r>
              <w:rPr>
                <w:spacing w:val="-2"/>
                <w:sz w:val="18"/>
              </w:rPr>
              <w:t>28,176</w:t>
            </w:r>
          </w:p>
        </w:tc>
        <w:tc>
          <w:tcPr>
            <w:tcW w:w="1116" w:type="dxa"/>
            <w:tcBorders>
              <w:top w:val="single" w:sz="6" w:space="0" w:color="000000"/>
              <w:right w:val="single" w:sz="6" w:space="0" w:color="000000"/>
            </w:tcBorders>
          </w:tcPr>
          <w:p w14:paraId="02BECDF7" w14:textId="77777777" w:rsidR="00AC6F3C" w:rsidRDefault="00570E88">
            <w:pPr>
              <w:pStyle w:val="TableParagraph"/>
              <w:spacing w:before="68" w:line="206" w:lineRule="exact"/>
              <w:ind w:right="22"/>
              <w:jc w:val="right"/>
              <w:rPr>
                <w:sz w:val="18"/>
              </w:rPr>
            </w:pPr>
            <w:r>
              <w:rPr>
                <w:spacing w:val="-2"/>
                <w:sz w:val="18"/>
              </w:rPr>
              <w:t>28,366</w:t>
            </w:r>
          </w:p>
        </w:tc>
      </w:tr>
      <w:tr w:rsidR="00AC6F3C" w14:paraId="6A3DC48E" w14:textId="77777777">
        <w:trPr>
          <w:trHeight w:val="237"/>
        </w:trPr>
        <w:tc>
          <w:tcPr>
            <w:tcW w:w="6085" w:type="dxa"/>
            <w:tcBorders>
              <w:left w:val="single" w:sz="6" w:space="0" w:color="000000"/>
            </w:tcBorders>
          </w:tcPr>
          <w:p w14:paraId="5567D393" w14:textId="77777777" w:rsidR="00AC6F3C" w:rsidRDefault="00570E88">
            <w:pPr>
              <w:pStyle w:val="TableParagraph"/>
              <w:spacing w:before="11" w:line="206" w:lineRule="exact"/>
              <w:ind w:left="37"/>
              <w:rPr>
                <w:sz w:val="18"/>
              </w:rPr>
            </w:pPr>
            <w:r>
              <w:rPr>
                <w:sz w:val="18"/>
              </w:rPr>
              <w:t>Reinsurers’</w:t>
            </w:r>
            <w:r>
              <w:rPr>
                <w:spacing w:val="20"/>
                <w:sz w:val="18"/>
              </w:rPr>
              <w:t xml:space="preserve"> </w:t>
            </w:r>
            <w:r>
              <w:rPr>
                <w:sz w:val="18"/>
              </w:rPr>
              <w:t>share</w:t>
            </w:r>
            <w:r>
              <w:rPr>
                <w:spacing w:val="20"/>
                <w:sz w:val="18"/>
              </w:rPr>
              <w:t xml:space="preserve"> </w:t>
            </w:r>
            <w:r>
              <w:rPr>
                <w:sz w:val="18"/>
              </w:rPr>
              <w:t>of</w:t>
            </w:r>
            <w:r>
              <w:rPr>
                <w:spacing w:val="6"/>
                <w:sz w:val="18"/>
              </w:rPr>
              <w:t xml:space="preserve"> </w:t>
            </w:r>
            <w:r>
              <w:rPr>
                <w:sz w:val="18"/>
              </w:rPr>
              <w:t>unearned</w:t>
            </w:r>
            <w:r>
              <w:rPr>
                <w:spacing w:val="21"/>
                <w:sz w:val="18"/>
              </w:rPr>
              <w:t xml:space="preserve"> </w:t>
            </w:r>
            <w:r>
              <w:rPr>
                <w:spacing w:val="-2"/>
                <w:sz w:val="18"/>
              </w:rPr>
              <w:t>premium</w:t>
            </w:r>
          </w:p>
        </w:tc>
        <w:tc>
          <w:tcPr>
            <w:tcW w:w="1138" w:type="dxa"/>
            <w:shd w:val="clear" w:color="auto" w:fill="F1F1F1"/>
          </w:tcPr>
          <w:p w14:paraId="0B2C8D0A" w14:textId="77777777" w:rsidR="00AC6F3C" w:rsidRDefault="00AC6F3C">
            <w:pPr>
              <w:pStyle w:val="TableParagraph"/>
              <w:rPr>
                <w:rFonts w:ascii="Times New Roman"/>
                <w:sz w:val="16"/>
              </w:rPr>
            </w:pPr>
          </w:p>
        </w:tc>
        <w:tc>
          <w:tcPr>
            <w:tcW w:w="1116" w:type="dxa"/>
            <w:tcBorders>
              <w:right w:val="single" w:sz="6" w:space="0" w:color="000000"/>
            </w:tcBorders>
          </w:tcPr>
          <w:p w14:paraId="472B7BEB" w14:textId="77777777" w:rsidR="00AC6F3C" w:rsidRDefault="00AC6F3C">
            <w:pPr>
              <w:pStyle w:val="TableParagraph"/>
              <w:rPr>
                <w:rFonts w:ascii="Times New Roman"/>
                <w:sz w:val="16"/>
              </w:rPr>
            </w:pPr>
          </w:p>
        </w:tc>
      </w:tr>
      <w:tr w:rsidR="00AC6F3C" w14:paraId="6744C02F" w14:textId="77777777">
        <w:trPr>
          <w:trHeight w:val="225"/>
        </w:trPr>
        <w:tc>
          <w:tcPr>
            <w:tcW w:w="6085" w:type="dxa"/>
            <w:tcBorders>
              <w:left w:val="single" w:sz="6" w:space="0" w:color="000000"/>
              <w:bottom w:val="single" w:sz="6" w:space="0" w:color="000000"/>
            </w:tcBorders>
          </w:tcPr>
          <w:p w14:paraId="5EAA61C9" w14:textId="77777777" w:rsidR="00AC6F3C" w:rsidRDefault="00570E88">
            <w:pPr>
              <w:pStyle w:val="TableParagraph"/>
              <w:spacing w:before="11" w:line="193" w:lineRule="exact"/>
              <w:ind w:left="37"/>
              <w:rPr>
                <w:sz w:val="18"/>
              </w:rPr>
            </w:pPr>
            <w:r>
              <w:rPr>
                <w:spacing w:val="-2"/>
                <w:sz w:val="18"/>
              </w:rPr>
              <w:t>reserves</w:t>
            </w:r>
          </w:p>
        </w:tc>
        <w:tc>
          <w:tcPr>
            <w:tcW w:w="1138" w:type="dxa"/>
            <w:tcBorders>
              <w:bottom w:val="single" w:sz="6" w:space="0" w:color="000000"/>
            </w:tcBorders>
            <w:shd w:val="clear" w:color="auto" w:fill="F1F1F1"/>
          </w:tcPr>
          <w:p w14:paraId="497652EE" w14:textId="77777777" w:rsidR="00AC6F3C" w:rsidRDefault="00570E88">
            <w:pPr>
              <w:pStyle w:val="TableParagraph"/>
              <w:spacing w:before="12" w:line="193" w:lineRule="exact"/>
              <w:ind w:right="31"/>
              <w:jc w:val="right"/>
              <w:rPr>
                <w:sz w:val="18"/>
              </w:rPr>
            </w:pPr>
            <w:r>
              <w:rPr>
                <w:spacing w:val="-2"/>
                <w:sz w:val="18"/>
              </w:rPr>
              <w:t>(2,439)</w:t>
            </w:r>
          </w:p>
        </w:tc>
        <w:tc>
          <w:tcPr>
            <w:tcW w:w="1116" w:type="dxa"/>
            <w:tcBorders>
              <w:bottom w:val="single" w:sz="6" w:space="0" w:color="000000"/>
              <w:right w:val="single" w:sz="6" w:space="0" w:color="000000"/>
            </w:tcBorders>
          </w:tcPr>
          <w:p w14:paraId="5B58586A" w14:textId="77777777" w:rsidR="00AC6F3C" w:rsidRDefault="00570E88">
            <w:pPr>
              <w:pStyle w:val="TableParagraph"/>
              <w:spacing w:before="12" w:line="193" w:lineRule="exact"/>
              <w:ind w:right="17"/>
              <w:jc w:val="right"/>
              <w:rPr>
                <w:sz w:val="18"/>
              </w:rPr>
            </w:pPr>
            <w:r>
              <w:rPr>
                <w:spacing w:val="-2"/>
                <w:sz w:val="18"/>
              </w:rPr>
              <w:t>(2,325)</w:t>
            </w:r>
          </w:p>
        </w:tc>
      </w:tr>
      <w:tr w:rsidR="00AC6F3C" w14:paraId="3AE046CF" w14:textId="77777777">
        <w:trPr>
          <w:trHeight w:val="282"/>
        </w:trPr>
        <w:tc>
          <w:tcPr>
            <w:tcW w:w="6085" w:type="dxa"/>
            <w:tcBorders>
              <w:top w:val="single" w:sz="6" w:space="0" w:color="000000"/>
              <w:left w:val="single" w:sz="6" w:space="0" w:color="000000"/>
              <w:bottom w:val="single" w:sz="6" w:space="0" w:color="000000"/>
            </w:tcBorders>
            <w:shd w:val="clear" w:color="auto" w:fill="BEBEBE"/>
          </w:tcPr>
          <w:p w14:paraId="538DB792" w14:textId="77777777" w:rsidR="00AC6F3C" w:rsidRDefault="00570E88">
            <w:pPr>
              <w:pStyle w:val="TableParagraph"/>
              <w:spacing w:before="68" w:line="193" w:lineRule="exact"/>
              <w:ind w:left="37"/>
              <w:rPr>
                <w:b/>
                <w:sz w:val="18"/>
              </w:rPr>
            </w:pPr>
            <w:r>
              <w:rPr>
                <w:b/>
                <w:spacing w:val="-2"/>
                <w:sz w:val="18"/>
              </w:rPr>
              <w:t>Net unearned</w:t>
            </w:r>
            <w:r>
              <w:rPr>
                <w:b/>
                <w:spacing w:val="-8"/>
                <w:sz w:val="18"/>
              </w:rPr>
              <w:t xml:space="preserve"> </w:t>
            </w:r>
            <w:r>
              <w:rPr>
                <w:b/>
                <w:spacing w:val="-2"/>
                <w:sz w:val="18"/>
              </w:rPr>
              <w:t>premiums</w:t>
            </w:r>
            <w:r>
              <w:rPr>
                <w:b/>
                <w:spacing w:val="4"/>
                <w:sz w:val="18"/>
              </w:rPr>
              <w:t xml:space="preserve"> </w:t>
            </w:r>
            <w:r>
              <w:rPr>
                <w:b/>
                <w:spacing w:val="-2"/>
                <w:sz w:val="18"/>
              </w:rPr>
              <w:t>and</w:t>
            </w:r>
            <w:r>
              <w:rPr>
                <w:b/>
                <w:spacing w:val="-7"/>
                <w:sz w:val="18"/>
              </w:rPr>
              <w:t xml:space="preserve"> </w:t>
            </w:r>
            <w:r>
              <w:rPr>
                <w:b/>
                <w:spacing w:val="-2"/>
                <w:sz w:val="18"/>
              </w:rPr>
              <w:t>reserves</w:t>
            </w:r>
          </w:p>
        </w:tc>
        <w:tc>
          <w:tcPr>
            <w:tcW w:w="1138" w:type="dxa"/>
            <w:tcBorders>
              <w:top w:val="single" w:sz="6" w:space="0" w:color="000000"/>
              <w:bottom w:val="single" w:sz="6" w:space="0" w:color="000000"/>
            </w:tcBorders>
            <w:shd w:val="clear" w:color="auto" w:fill="BEBEBE"/>
          </w:tcPr>
          <w:p w14:paraId="7EC83679" w14:textId="77777777" w:rsidR="00AC6F3C" w:rsidRDefault="00570E88">
            <w:pPr>
              <w:pStyle w:val="TableParagraph"/>
              <w:spacing w:before="68" w:line="193" w:lineRule="exact"/>
              <w:ind w:right="36"/>
              <w:jc w:val="right"/>
              <w:rPr>
                <w:b/>
                <w:sz w:val="18"/>
              </w:rPr>
            </w:pPr>
            <w:r>
              <w:rPr>
                <w:b/>
                <w:spacing w:val="-2"/>
                <w:sz w:val="18"/>
              </w:rPr>
              <w:t>25,737</w:t>
            </w:r>
          </w:p>
        </w:tc>
        <w:tc>
          <w:tcPr>
            <w:tcW w:w="1116" w:type="dxa"/>
            <w:tcBorders>
              <w:top w:val="single" w:sz="6" w:space="0" w:color="000000"/>
              <w:bottom w:val="single" w:sz="6" w:space="0" w:color="000000"/>
              <w:right w:val="single" w:sz="6" w:space="0" w:color="000000"/>
            </w:tcBorders>
            <w:shd w:val="clear" w:color="auto" w:fill="BEBEBE"/>
          </w:tcPr>
          <w:p w14:paraId="61DEC960" w14:textId="77777777" w:rsidR="00AC6F3C" w:rsidRDefault="00570E88">
            <w:pPr>
              <w:pStyle w:val="TableParagraph"/>
              <w:spacing w:before="68" w:line="193" w:lineRule="exact"/>
              <w:ind w:right="22"/>
              <w:jc w:val="right"/>
              <w:rPr>
                <w:b/>
                <w:sz w:val="18"/>
              </w:rPr>
            </w:pPr>
            <w:r>
              <w:rPr>
                <w:b/>
                <w:spacing w:val="-2"/>
                <w:sz w:val="18"/>
              </w:rPr>
              <w:t>26,041</w:t>
            </w:r>
          </w:p>
        </w:tc>
      </w:tr>
    </w:tbl>
    <w:p w14:paraId="4909525C" w14:textId="77777777" w:rsidR="00AC6F3C" w:rsidRDefault="00AC6F3C">
      <w:pPr>
        <w:spacing w:line="193" w:lineRule="exact"/>
        <w:jc w:val="right"/>
        <w:rPr>
          <w:sz w:val="18"/>
        </w:rPr>
        <w:sectPr w:rsidR="00AC6F3C">
          <w:pgSz w:w="11910" w:h="16840"/>
          <w:pgMar w:top="2020" w:right="1160" w:bottom="520" w:left="460" w:header="1228" w:footer="336" w:gutter="0"/>
          <w:cols w:space="720"/>
        </w:sectPr>
      </w:pPr>
    </w:p>
    <w:p w14:paraId="05A96120" w14:textId="77777777" w:rsidR="00AC6F3C" w:rsidRDefault="00AC6F3C">
      <w:pPr>
        <w:pStyle w:val="BodyText"/>
        <w:rPr>
          <w:b/>
        </w:rPr>
      </w:pPr>
    </w:p>
    <w:p w14:paraId="4DFFC9F6" w14:textId="77777777" w:rsidR="00AC6F3C" w:rsidRDefault="00570E88">
      <w:pPr>
        <w:tabs>
          <w:tab w:val="left" w:pos="1810"/>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68F3CB31" w14:textId="77777777" w:rsidR="00AC6F3C" w:rsidRDefault="00570E88">
      <w:pPr>
        <w:pStyle w:val="Heading7"/>
        <w:tabs>
          <w:tab w:val="left" w:pos="1810"/>
        </w:tabs>
      </w:pPr>
      <w:r>
        <w:rPr>
          <w:spacing w:val="-2"/>
        </w:rPr>
        <w:t>C8-</w:t>
      </w:r>
      <w:r>
        <w:rPr>
          <w:spacing w:val="-10"/>
        </w:rPr>
        <w:t>2</w:t>
      </w:r>
      <w:r>
        <w:tab/>
        <w:t>INSURANCE</w:t>
      </w:r>
      <w:r>
        <w:rPr>
          <w:spacing w:val="-4"/>
        </w:rPr>
        <w:t xml:space="preserve"> </w:t>
      </w:r>
      <w:r>
        <w:t>LIABILITIES</w:t>
      </w:r>
      <w:r>
        <w:rPr>
          <w:spacing w:val="-4"/>
        </w:rPr>
        <w:t xml:space="preserve"> </w:t>
      </w:r>
      <w:r>
        <w:rPr>
          <w:spacing w:val="-2"/>
        </w:rPr>
        <w:t>(continued)</w:t>
      </w:r>
    </w:p>
    <w:p w14:paraId="6BC6F50F" w14:textId="77777777" w:rsidR="00AC6F3C" w:rsidRDefault="00AC6F3C">
      <w:pPr>
        <w:pStyle w:val="BodyText"/>
        <w:spacing w:before="8"/>
        <w:rPr>
          <w:b/>
        </w:rPr>
      </w:pPr>
    </w:p>
    <w:p w14:paraId="4AB42D9F" w14:textId="77777777" w:rsidR="00AC6F3C" w:rsidRDefault="00570E88">
      <w:pPr>
        <w:spacing w:before="1"/>
        <w:ind w:left="958"/>
        <w:rPr>
          <w:b/>
          <w:sz w:val="20"/>
        </w:rPr>
      </w:pPr>
      <w:r>
        <w:rPr>
          <w:b/>
          <w:sz w:val="18"/>
        </w:rPr>
        <w:t>(b)</w:t>
      </w:r>
      <w:r>
        <w:rPr>
          <w:b/>
          <w:spacing w:val="63"/>
          <w:sz w:val="18"/>
        </w:rPr>
        <w:t xml:space="preserve"> </w:t>
      </w:r>
      <w:r>
        <w:rPr>
          <w:b/>
          <w:sz w:val="20"/>
        </w:rPr>
        <w:t>Unearned</w:t>
      </w:r>
      <w:r>
        <w:rPr>
          <w:b/>
          <w:spacing w:val="-3"/>
          <w:sz w:val="20"/>
        </w:rPr>
        <w:t xml:space="preserve"> </w:t>
      </w:r>
      <w:r>
        <w:rPr>
          <w:b/>
          <w:sz w:val="20"/>
        </w:rPr>
        <w:t>Premium</w:t>
      </w:r>
      <w:r>
        <w:rPr>
          <w:b/>
          <w:spacing w:val="-4"/>
          <w:sz w:val="20"/>
        </w:rPr>
        <w:t xml:space="preserve"> </w:t>
      </w:r>
      <w:r>
        <w:rPr>
          <w:b/>
          <w:sz w:val="20"/>
        </w:rPr>
        <w:t>and</w:t>
      </w:r>
      <w:r>
        <w:rPr>
          <w:b/>
          <w:spacing w:val="-6"/>
          <w:sz w:val="20"/>
        </w:rPr>
        <w:t xml:space="preserve"> </w:t>
      </w:r>
      <w:r>
        <w:rPr>
          <w:b/>
          <w:sz w:val="20"/>
        </w:rPr>
        <w:t>Reserves</w:t>
      </w:r>
      <w:r>
        <w:rPr>
          <w:b/>
          <w:spacing w:val="-7"/>
          <w:sz w:val="20"/>
        </w:rPr>
        <w:t xml:space="preserve"> </w:t>
      </w:r>
      <w:r>
        <w:rPr>
          <w:b/>
          <w:spacing w:val="-2"/>
          <w:sz w:val="20"/>
        </w:rPr>
        <w:t>(continued)</w:t>
      </w:r>
    </w:p>
    <w:p w14:paraId="7D46F943" w14:textId="77777777" w:rsidR="00AC6F3C" w:rsidRDefault="00AC6F3C">
      <w:pPr>
        <w:pStyle w:val="BodyText"/>
        <w:spacing w:before="9"/>
        <w:rPr>
          <w:b/>
        </w:rPr>
      </w:pPr>
    </w:p>
    <w:p w14:paraId="26D56AA4" w14:textId="77777777" w:rsidR="00AC6F3C" w:rsidRDefault="00570E88">
      <w:pPr>
        <w:spacing w:before="1"/>
        <w:ind w:left="958"/>
        <w:rPr>
          <w:b/>
          <w:sz w:val="18"/>
        </w:rPr>
      </w:pPr>
      <w:r>
        <w:rPr>
          <w:b/>
          <w:sz w:val="18"/>
        </w:rPr>
        <w:t>Expected</w:t>
      </w:r>
      <w:r>
        <w:rPr>
          <w:b/>
          <w:spacing w:val="-3"/>
          <w:sz w:val="18"/>
        </w:rPr>
        <w:t xml:space="preserve"> </w:t>
      </w:r>
      <w:r>
        <w:rPr>
          <w:b/>
          <w:sz w:val="18"/>
        </w:rPr>
        <w:t>present</w:t>
      </w:r>
      <w:r>
        <w:rPr>
          <w:b/>
          <w:spacing w:val="-2"/>
          <w:sz w:val="18"/>
        </w:rPr>
        <w:t xml:space="preserve"> </w:t>
      </w:r>
      <w:r>
        <w:rPr>
          <w:b/>
          <w:sz w:val="18"/>
        </w:rPr>
        <w:t>value</w:t>
      </w:r>
      <w:r>
        <w:rPr>
          <w:b/>
          <w:spacing w:val="-1"/>
          <w:sz w:val="18"/>
        </w:rPr>
        <w:t xml:space="preserve"> </w:t>
      </w:r>
      <w:r>
        <w:rPr>
          <w:b/>
          <w:sz w:val="18"/>
        </w:rPr>
        <w:t>of</w:t>
      </w:r>
      <w:r>
        <w:rPr>
          <w:b/>
          <w:spacing w:val="-4"/>
          <w:sz w:val="18"/>
        </w:rPr>
        <w:t xml:space="preserve"> </w:t>
      </w:r>
      <w:r>
        <w:rPr>
          <w:b/>
          <w:sz w:val="18"/>
        </w:rPr>
        <w:t>future</w:t>
      </w:r>
      <w:r>
        <w:rPr>
          <w:b/>
          <w:spacing w:val="-2"/>
          <w:sz w:val="18"/>
        </w:rPr>
        <w:t xml:space="preserve"> </w:t>
      </w:r>
      <w:r>
        <w:rPr>
          <w:b/>
          <w:sz w:val="18"/>
        </w:rPr>
        <w:t>cash</w:t>
      </w:r>
      <w:r>
        <w:rPr>
          <w:b/>
          <w:spacing w:val="-2"/>
          <w:sz w:val="18"/>
        </w:rPr>
        <w:t xml:space="preserve"> </w:t>
      </w:r>
      <w:r>
        <w:rPr>
          <w:b/>
          <w:sz w:val="18"/>
        </w:rPr>
        <w:t>flows</w:t>
      </w:r>
      <w:r>
        <w:rPr>
          <w:b/>
          <w:spacing w:val="-1"/>
          <w:sz w:val="18"/>
        </w:rPr>
        <w:t xml:space="preserve"> </w:t>
      </w:r>
      <w:r>
        <w:rPr>
          <w:b/>
          <w:sz w:val="18"/>
        </w:rPr>
        <w:t>for</w:t>
      </w:r>
      <w:r>
        <w:rPr>
          <w:b/>
          <w:spacing w:val="-3"/>
          <w:sz w:val="18"/>
        </w:rPr>
        <w:t xml:space="preserve"> </w:t>
      </w:r>
      <w:r>
        <w:rPr>
          <w:b/>
          <w:sz w:val="18"/>
        </w:rPr>
        <w:t>future</w:t>
      </w:r>
      <w:r>
        <w:rPr>
          <w:b/>
          <w:spacing w:val="-2"/>
          <w:sz w:val="18"/>
        </w:rPr>
        <w:t xml:space="preserve"> </w:t>
      </w:r>
      <w:r>
        <w:rPr>
          <w:b/>
          <w:sz w:val="18"/>
        </w:rPr>
        <w:t>claims</w:t>
      </w:r>
      <w:r>
        <w:rPr>
          <w:b/>
          <w:spacing w:val="-1"/>
          <w:sz w:val="18"/>
        </w:rPr>
        <w:t xml:space="preserve"> </w:t>
      </w:r>
      <w:r>
        <w:rPr>
          <w:b/>
          <w:sz w:val="18"/>
        </w:rPr>
        <w:t>including</w:t>
      </w:r>
      <w:r>
        <w:rPr>
          <w:b/>
          <w:spacing w:val="-2"/>
          <w:sz w:val="18"/>
        </w:rPr>
        <w:t xml:space="preserve"> </w:t>
      </w:r>
      <w:r>
        <w:rPr>
          <w:b/>
          <w:sz w:val="18"/>
        </w:rPr>
        <w:t>risk</w:t>
      </w:r>
      <w:r>
        <w:rPr>
          <w:b/>
          <w:spacing w:val="-1"/>
          <w:sz w:val="18"/>
        </w:rPr>
        <w:t xml:space="preserve"> </w:t>
      </w:r>
      <w:r>
        <w:rPr>
          <w:b/>
          <w:spacing w:val="-2"/>
          <w:sz w:val="18"/>
        </w:rPr>
        <w:t>margin</w:t>
      </w:r>
    </w:p>
    <w:p w14:paraId="6468CD3F" w14:textId="77777777" w:rsidR="00AC6F3C" w:rsidRDefault="00AC6F3C">
      <w:pPr>
        <w:pStyle w:val="BodyText"/>
        <w:spacing w:before="9" w:after="1"/>
        <w:rPr>
          <w:b/>
        </w:rPr>
      </w:pPr>
    </w:p>
    <w:tbl>
      <w:tblPr>
        <w:tblW w:w="0" w:type="auto"/>
        <w:tblInd w:w="972" w:type="dxa"/>
        <w:tblLayout w:type="fixed"/>
        <w:tblCellMar>
          <w:left w:w="0" w:type="dxa"/>
          <w:right w:w="0" w:type="dxa"/>
        </w:tblCellMar>
        <w:tblLook w:val="01E0" w:firstRow="1" w:lastRow="1" w:firstColumn="1" w:lastColumn="1" w:noHBand="0" w:noVBand="0"/>
      </w:tblPr>
      <w:tblGrid>
        <w:gridCol w:w="6090"/>
        <w:gridCol w:w="1139"/>
        <w:gridCol w:w="1117"/>
      </w:tblGrid>
      <w:tr w:rsidR="00AC6F3C" w14:paraId="4087A43B" w14:textId="77777777">
        <w:trPr>
          <w:trHeight w:val="582"/>
        </w:trPr>
        <w:tc>
          <w:tcPr>
            <w:tcW w:w="8346" w:type="dxa"/>
            <w:gridSpan w:val="3"/>
            <w:tcBorders>
              <w:top w:val="single" w:sz="6" w:space="0" w:color="000000"/>
              <w:left w:val="single" w:sz="6" w:space="0" w:color="000000"/>
              <w:bottom w:val="single" w:sz="6" w:space="0" w:color="000000"/>
              <w:right w:val="single" w:sz="6" w:space="0" w:color="000000"/>
            </w:tcBorders>
            <w:shd w:val="clear" w:color="auto" w:fill="BEBEBE"/>
          </w:tcPr>
          <w:p w14:paraId="2396E885" w14:textId="77777777" w:rsidR="00AC6F3C" w:rsidRDefault="00570E88">
            <w:pPr>
              <w:pStyle w:val="TableParagraph"/>
              <w:tabs>
                <w:tab w:val="left" w:pos="1123"/>
              </w:tabs>
              <w:spacing w:before="40"/>
              <w:ind w:right="22"/>
              <w:jc w:val="right"/>
              <w:rPr>
                <w:b/>
                <w:sz w:val="18"/>
              </w:rPr>
            </w:pPr>
            <w:r>
              <w:rPr>
                <w:b/>
                <w:spacing w:val="-4"/>
                <w:sz w:val="18"/>
              </w:rPr>
              <w:t>2023</w:t>
            </w:r>
            <w:r>
              <w:rPr>
                <w:b/>
                <w:sz w:val="18"/>
              </w:rPr>
              <w:tab/>
            </w:r>
            <w:r>
              <w:rPr>
                <w:b/>
                <w:spacing w:val="-4"/>
                <w:sz w:val="18"/>
              </w:rPr>
              <w:t>2022</w:t>
            </w:r>
          </w:p>
          <w:p w14:paraId="6F62E8BE" w14:textId="77777777" w:rsidR="00AC6F3C" w:rsidRDefault="00570E88">
            <w:pPr>
              <w:pStyle w:val="TableParagraph"/>
              <w:tabs>
                <w:tab w:val="left" w:pos="1123"/>
              </w:tabs>
              <w:spacing w:before="92"/>
              <w:ind w:right="22"/>
              <w:jc w:val="right"/>
              <w:rPr>
                <w:b/>
                <w:sz w:val="18"/>
              </w:rPr>
            </w:pPr>
            <w:r>
              <w:rPr>
                <w:b/>
                <w:spacing w:val="-2"/>
                <w:sz w:val="18"/>
              </w:rPr>
              <w:t>$’000</w:t>
            </w:r>
            <w:r>
              <w:rPr>
                <w:b/>
                <w:sz w:val="18"/>
              </w:rPr>
              <w:tab/>
            </w:r>
            <w:r>
              <w:rPr>
                <w:b/>
                <w:spacing w:val="-2"/>
                <w:sz w:val="18"/>
              </w:rPr>
              <w:t>$’000</w:t>
            </w:r>
          </w:p>
        </w:tc>
      </w:tr>
      <w:tr w:rsidR="00AC6F3C" w14:paraId="1D01D140" w14:textId="77777777">
        <w:trPr>
          <w:trHeight w:val="326"/>
        </w:trPr>
        <w:tc>
          <w:tcPr>
            <w:tcW w:w="6090" w:type="dxa"/>
            <w:tcBorders>
              <w:top w:val="single" w:sz="6" w:space="0" w:color="000000"/>
              <w:left w:val="single" w:sz="6" w:space="0" w:color="000000"/>
            </w:tcBorders>
          </w:tcPr>
          <w:p w14:paraId="2EB431CB" w14:textId="77777777" w:rsidR="00AC6F3C" w:rsidRDefault="00570E88">
            <w:pPr>
              <w:pStyle w:val="TableParagraph"/>
              <w:spacing w:before="70"/>
              <w:ind w:left="37"/>
              <w:rPr>
                <w:sz w:val="18"/>
              </w:rPr>
            </w:pPr>
            <w:r>
              <w:rPr>
                <w:sz w:val="18"/>
              </w:rPr>
              <w:t>Undiscounted</w:t>
            </w:r>
            <w:r>
              <w:rPr>
                <w:spacing w:val="15"/>
                <w:sz w:val="18"/>
              </w:rPr>
              <w:t xml:space="preserve"> </w:t>
            </w:r>
            <w:r>
              <w:rPr>
                <w:sz w:val="18"/>
              </w:rPr>
              <w:t>central</w:t>
            </w:r>
            <w:r>
              <w:rPr>
                <w:spacing w:val="16"/>
                <w:sz w:val="18"/>
              </w:rPr>
              <w:t xml:space="preserve"> </w:t>
            </w:r>
            <w:r>
              <w:rPr>
                <w:spacing w:val="-2"/>
                <w:sz w:val="18"/>
              </w:rPr>
              <w:t>estimate</w:t>
            </w:r>
          </w:p>
        </w:tc>
        <w:tc>
          <w:tcPr>
            <w:tcW w:w="1139" w:type="dxa"/>
            <w:tcBorders>
              <w:top w:val="single" w:sz="6" w:space="0" w:color="000000"/>
            </w:tcBorders>
            <w:shd w:val="clear" w:color="auto" w:fill="F1F1F1"/>
          </w:tcPr>
          <w:p w14:paraId="51E701BA" w14:textId="77777777" w:rsidR="00AC6F3C" w:rsidRDefault="00570E88">
            <w:pPr>
              <w:pStyle w:val="TableParagraph"/>
              <w:spacing w:before="70"/>
              <w:ind w:right="36"/>
              <w:jc w:val="right"/>
              <w:rPr>
                <w:sz w:val="18"/>
              </w:rPr>
            </w:pPr>
            <w:r>
              <w:rPr>
                <w:spacing w:val="-2"/>
                <w:sz w:val="18"/>
              </w:rPr>
              <w:t>17,091</w:t>
            </w:r>
          </w:p>
        </w:tc>
        <w:tc>
          <w:tcPr>
            <w:tcW w:w="1117" w:type="dxa"/>
            <w:tcBorders>
              <w:top w:val="single" w:sz="6" w:space="0" w:color="000000"/>
              <w:right w:val="single" w:sz="6" w:space="0" w:color="000000"/>
            </w:tcBorders>
          </w:tcPr>
          <w:p w14:paraId="263A1344" w14:textId="77777777" w:rsidR="00AC6F3C" w:rsidRDefault="00570E88">
            <w:pPr>
              <w:pStyle w:val="TableParagraph"/>
              <w:spacing w:before="70"/>
              <w:ind w:right="22"/>
              <w:jc w:val="right"/>
              <w:rPr>
                <w:sz w:val="18"/>
              </w:rPr>
            </w:pPr>
            <w:r>
              <w:rPr>
                <w:spacing w:val="-2"/>
                <w:sz w:val="18"/>
              </w:rPr>
              <w:t>21,305</w:t>
            </w:r>
          </w:p>
        </w:tc>
      </w:tr>
      <w:tr w:rsidR="00AC6F3C" w14:paraId="6D2ED624" w14:textId="77777777">
        <w:trPr>
          <w:trHeight w:val="256"/>
        </w:trPr>
        <w:tc>
          <w:tcPr>
            <w:tcW w:w="6090" w:type="dxa"/>
            <w:tcBorders>
              <w:left w:val="single" w:sz="6" w:space="0" w:color="000000"/>
            </w:tcBorders>
          </w:tcPr>
          <w:p w14:paraId="69C54AE8" w14:textId="77777777" w:rsidR="00AC6F3C" w:rsidRDefault="00570E88">
            <w:pPr>
              <w:pStyle w:val="TableParagraph"/>
              <w:spacing w:before="42" w:line="194" w:lineRule="exact"/>
              <w:ind w:left="37"/>
              <w:rPr>
                <w:sz w:val="18"/>
              </w:rPr>
            </w:pPr>
            <w:r>
              <w:rPr>
                <w:sz w:val="18"/>
              </w:rPr>
              <w:t>Discount</w:t>
            </w:r>
            <w:r>
              <w:rPr>
                <w:spacing w:val="3"/>
                <w:sz w:val="18"/>
              </w:rPr>
              <w:t xml:space="preserve"> </w:t>
            </w:r>
            <w:r>
              <w:rPr>
                <w:sz w:val="18"/>
              </w:rPr>
              <w:t>to</w:t>
            </w:r>
            <w:r>
              <w:rPr>
                <w:spacing w:val="17"/>
                <w:sz w:val="18"/>
              </w:rPr>
              <w:t xml:space="preserve"> </w:t>
            </w:r>
            <w:r>
              <w:rPr>
                <w:sz w:val="18"/>
              </w:rPr>
              <w:t>present</w:t>
            </w:r>
            <w:r>
              <w:rPr>
                <w:spacing w:val="3"/>
                <w:sz w:val="18"/>
              </w:rPr>
              <w:t xml:space="preserve"> </w:t>
            </w:r>
            <w:r>
              <w:rPr>
                <w:spacing w:val="-4"/>
                <w:sz w:val="18"/>
              </w:rPr>
              <w:t>value</w:t>
            </w:r>
          </w:p>
        </w:tc>
        <w:tc>
          <w:tcPr>
            <w:tcW w:w="1139" w:type="dxa"/>
            <w:tcBorders>
              <w:bottom w:val="single" w:sz="6" w:space="0" w:color="000000"/>
            </w:tcBorders>
            <w:shd w:val="clear" w:color="auto" w:fill="F1F1F1"/>
          </w:tcPr>
          <w:p w14:paraId="50D78B22" w14:textId="77777777" w:rsidR="00AC6F3C" w:rsidRDefault="00570E88">
            <w:pPr>
              <w:pStyle w:val="TableParagraph"/>
              <w:spacing w:before="42" w:line="194" w:lineRule="exact"/>
              <w:ind w:right="31"/>
              <w:jc w:val="right"/>
              <w:rPr>
                <w:sz w:val="18"/>
              </w:rPr>
            </w:pPr>
            <w:r>
              <w:rPr>
                <w:spacing w:val="-2"/>
                <w:sz w:val="18"/>
              </w:rPr>
              <w:t>(2,348)</w:t>
            </w:r>
          </w:p>
        </w:tc>
        <w:tc>
          <w:tcPr>
            <w:tcW w:w="1117" w:type="dxa"/>
            <w:tcBorders>
              <w:bottom w:val="single" w:sz="6" w:space="0" w:color="000000"/>
              <w:right w:val="single" w:sz="6" w:space="0" w:color="000000"/>
            </w:tcBorders>
          </w:tcPr>
          <w:p w14:paraId="780183EB" w14:textId="77777777" w:rsidR="00AC6F3C" w:rsidRDefault="00570E88">
            <w:pPr>
              <w:pStyle w:val="TableParagraph"/>
              <w:spacing w:before="42" w:line="194" w:lineRule="exact"/>
              <w:ind w:right="17"/>
              <w:jc w:val="right"/>
              <w:rPr>
                <w:sz w:val="18"/>
              </w:rPr>
            </w:pPr>
            <w:r>
              <w:rPr>
                <w:spacing w:val="-2"/>
                <w:sz w:val="18"/>
              </w:rPr>
              <w:t>(2,443)</w:t>
            </w:r>
          </w:p>
        </w:tc>
      </w:tr>
      <w:tr w:rsidR="00AC6F3C" w14:paraId="08437BDF" w14:textId="77777777">
        <w:trPr>
          <w:trHeight w:val="475"/>
        </w:trPr>
        <w:tc>
          <w:tcPr>
            <w:tcW w:w="6090" w:type="dxa"/>
            <w:tcBorders>
              <w:left w:val="single" w:sz="6" w:space="0" w:color="000000"/>
            </w:tcBorders>
          </w:tcPr>
          <w:p w14:paraId="38DA0203" w14:textId="77777777" w:rsidR="00AC6F3C" w:rsidRDefault="00570E88">
            <w:pPr>
              <w:pStyle w:val="TableParagraph"/>
              <w:spacing w:before="70"/>
              <w:ind w:left="37"/>
              <w:rPr>
                <w:b/>
                <w:sz w:val="18"/>
              </w:rPr>
            </w:pPr>
            <w:r>
              <w:rPr>
                <w:b/>
                <w:spacing w:val="-2"/>
                <w:sz w:val="18"/>
              </w:rPr>
              <w:t>Discounted</w:t>
            </w:r>
            <w:r>
              <w:rPr>
                <w:b/>
                <w:spacing w:val="-6"/>
                <w:sz w:val="18"/>
              </w:rPr>
              <w:t xml:space="preserve"> </w:t>
            </w:r>
            <w:r>
              <w:rPr>
                <w:b/>
                <w:spacing w:val="-2"/>
                <w:sz w:val="18"/>
              </w:rPr>
              <w:t>central</w:t>
            </w:r>
            <w:r>
              <w:rPr>
                <w:b/>
                <w:spacing w:val="-5"/>
                <w:sz w:val="18"/>
              </w:rPr>
              <w:t xml:space="preserve"> </w:t>
            </w:r>
            <w:r>
              <w:rPr>
                <w:b/>
                <w:spacing w:val="-2"/>
                <w:sz w:val="18"/>
              </w:rPr>
              <w:t>estimate</w:t>
            </w:r>
          </w:p>
        </w:tc>
        <w:tc>
          <w:tcPr>
            <w:tcW w:w="1139" w:type="dxa"/>
            <w:tcBorders>
              <w:top w:val="single" w:sz="6" w:space="0" w:color="000000"/>
            </w:tcBorders>
            <w:shd w:val="clear" w:color="auto" w:fill="F1F1F1"/>
          </w:tcPr>
          <w:p w14:paraId="1E8C0C53" w14:textId="77777777" w:rsidR="00AC6F3C" w:rsidRDefault="00570E88">
            <w:pPr>
              <w:pStyle w:val="TableParagraph"/>
              <w:spacing w:before="70"/>
              <w:ind w:right="36"/>
              <w:jc w:val="right"/>
              <w:rPr>
                <w:sz w:val="18"/>
              </w:rPr>
            </w:pPr>
            <w:r>
              <w:rPr>
                <w:spacing w:val="-2"/>
                <w:sz w:val="18"/>
              </w:rPr>
              <w:t>14,743</w:t>
            </w:r>
          </w:p>
        </w:tc>
        <w:tc>
          <w:tcPr>
            <w:tcW w:w="1117" w:type="dxa"/>
            <w:tcBorders>
              <w:top w:val="single" w:sz="6" w:space="0" w:color="000000"/>
              <w:right w:val="single" w:sz="6" w:space="0" w:color="000000"/>
            </w:tcBorders>
          </w:tcPr>
          <w:p w14:paraId="7DC1A0D1" w14:textId="77777777" w:rsidR="00AC6F3C" w:rsidRDefault="00570E88">
            <w:pPr>
              <w:pStyle w:val="TableParagraph"/>
              <w:spacing w:before="70"/>
              <w:ind w:right="22"/>
              <w:jc w:val="right"/>
              <w:rPr>
                <w:sz w:val="18"/>
              </w:rPr>
            </w:pPr>
            <w:r>
              <w:rPr>
                <w:spacing w:val="-2"/>
                <w:sz w:val="18"/>
              </w:rPr>
              <w:t>18,862</w:t>
            </w:r>
          </w:p>
        </w:tc>
      </w:tr>
      <w:tr w:rsidR="00AC6F3C" w14:paraId="4A3B4945" w14:textId="77777777">
        <w:trPr>
          <w:trHeight w:val="448"/>
        </w:trPr>
        <w:tc>
          <w:tcPr>
            <w:tcW w:w="6090" w:type="dxa"/>
            <w:tcBorders>
              <w:left w:val="single" w:sz="6" w:space="0" w:color="000000"/>
            </w:tcBorders>
          </w:tcPr>
          <w:p w14:paraId="1FF3DCED" w14:textId="77777777" w:rsidR="00AC6F3C" w:rsidRDefault="00AC6F3C">
            <w:pPr>
              <w:pStyle w:val="TableParagraph"/>
              <w:spacing w:before="8"/>
              <w:rPr>
                <w:b/>
                <w:sz w:val="16"/>
              </w:rPr>
            </w:pPr>
          </w:p>
          <w:p w14:paraId="696F2B70" w14:textId="77777777" w:rsidR="00AC6F3C" w:rsidRDefault="00570E88">
            <w:pPr>
              <w:pStyle w:val="TableParagraph"/>
              <w:ind w:left="37"/>
              <w:rPr>
                <w:sz w:val="18"/>
              </w:rPr>
            </w:pPr>
            <w:r>
              <w:rPr>
                <w:sz w:val="18"/>
              </w:rPr>
              <w:t>Reinsurance</w:t>
            </w:r>
            <w:r>
              <w:rPr>
                <w:spacing w:val="13"/>
                <w:sz w:val="18"/>
              </w:rPr>
              <w:t xml:space="preserve"> </w:t>
            </w:r>
            <w:r>
              <w:rPr>
                <w:sz w:val="18"/>
              </w:rPr>
              <w:t>and</w:t>
            </w:r>
            <w:r>
              <w:rPr>
                <w:spacing w:val="13"/>
                <w:sz w:val="18"/>
              </w:rPr>
              <w:t xml:space="preserve"> </w:t>
            </w:r>
            <w:r>
              <w:rPr>
                <w:sz w:val="18"/>
              </w:rPr>
              <w:t>other</w:t>
            </w:r>
            <w:r>
              <w:rPr>
                <w:spacing w:val="7"/>
                <w:sz w:val="18"/>
              </w:rPr>
              <w:t xml:space="preserve"> </w:t>
            </w:r>
            <w:r>
              <w:rPr>
                <w:spacing w:val="-4"/>
                <w:sz w:val="18"/>
              </w:rPr>
              <w:t>costs</w:t>
            </w:r>
          </w:p>
        </w:tc>
        <w:tc>
          <w:tcPr>
            <w:tcW w:w="1139" w:type="dxa"/>
            <w:shd w:val="clear" w:color="auto" w:fill="F1F1F1"/>
          </w:tcPr>
          <w:p w14:paraId="68E2627E" w14:textId="77777777" w:rsidR="00AC6F3C" w:rsidRDefault="00AC6F3C">
            <w:pPr>
              <w:pStyle w:val="TableParagraph"/>
              <w:spacing w:before="8"/>
              <w:rPr>
                <w:b/>
                <w:sz w:val="16"/>
              </w:rPr>
            </w:pPr>
          </w:p>
          <w:p w14:paraId="4FE970D0" w14:textId="77777777" w:rsidR="00AC6F3C" w:rsidRDefault="00570E88">
            <w:pPr>
              <w:pStyle w:val="TableParagraph"/>
              <w:ind w:right="36"/>
              <w:jc w:val="right"/>
              <w:rPr>
                <w:sz w:val="18"/>
              </w:rPr>
            </w:pPr>
            <w:r>
              <w:rPr>
                <w:spacing w:val="-2"/>
                <w:sz w:val="18"/>
              </w:rPr>
              <w:t>7,518</w:t>
            </w:r>
          </w:p>
        </w:tc>
        <w:tc>
          <w:tcPr>
            <w:tcW w:w="1117" w:type="dxa"/>
            <w:tcBorders>
              <w:right w:val="single" w:sz="6" w:space="0" w:color="000000"/>
            </w:tcBorders>
          </w:tcPr>
          <w:p w14:paraId="4999AAC3" w14:textId="77777777" w:rsidR="00AC6F3C" w:rsidRDefault="00AC6F3C">
            <w:pPr>
              <w:pStyle w:val="TableParagraph"/>
              <w:spacing w:before="8"/>
              <w:rPr>
                <w:b/>
                <w:sz w:val="16"/>
              </w:rPr>
            </w:pPr>
          </w:p>
          <w:p w14:paraId="2738D475" w14:textId="77777777" w:rsidR="00AC6F3C" w:rsidRDefault="00570E88">
            <w:pPr>
              <w:pStyle w:val="TableParagraph"/>
              <w:ind w:right="22"/>
              <w:jc w:val="right"/>
              <w:rPr>
                <w:sz w:val="18"/>
              </w:rPr>
            </w:pPr>
            <w:r>
              <w:rPr>
                <w:spacing w:val="-2"/>
                <w:sz w:val="18"/>
              </w:rPr>
              <w:t>2,434</w:t>
            </w:r>
          </w:p>
        </w:tc>
      </w:tr>
      <w:tr w:rsidR="00AC6F3C" w14:paraId="4C39D95F" w14:textId="77777777">
        <w:trPr>
          <w:trHeight w:val="298"/>
        </w:trPr>
        <w:tc>
          <w:tcPr>
            <w:tcW w:w="6090" w:type="dxa"/>
            <w:tcBorders>
              <w:left w:val="single" w:sz="6" w:space="0" w:color="000000"/>
            </w:tcBorders>
          </w:tcPr>
          <w:p w14:paraId="5F76C1D1" w14:textId="77777777" w:rsidR="00AC6F3C" w:rsidRDefault="00570E88">
            <w:pPr>
              <w:pStyle w:val="TableParagraph"/>
              <w:spacing w:before="42"/>
              <w:ind w:left="37"/>
              <w:rPr>
                <w:sz w:val="18"/>
              </w:rPr>
            </w:pPr>
            <w:r>
              <w:rPr>
                <w:sz w:val="18"/>
              </w:rPr>
              <w:t>Claims</w:t>
            </w:r>
            <w:r>
              <w:rPr>
                <w:spacing w:val="37"/>
                <w:sz w:val="18"/>
              </w:rPr>
              <w:t xml:space="preserve"> </w:t>
            </w:r>
            <w:r>
              <w:rPr>
                <w:sz w:val="18"/>
              </w:rPr>
              <w:t>handling</w:t>
            </w:r>
            <w:r>
              <w:rPr>
                <w:spacing w:val="22"/>
                <w:sz w:val="18"/>
              </w:rPr>
              <w:t xml:space="preserve"> </w:t>
            </w:r>
            <w:r>
              <w:rPr>
                <w:spacing w:val="-4"/>
                <w:sz w:val="18"/>
              </w:rPr>
              <w:t>costs</w:t>
            </w:r>
          </w:p>
        </w:tc>
        <w:tc>
          <w:tcPr>
            <w:tcW w:w="1139" w:type="dxa"/>
            <w:shd w:val="clear" w:color="auto" w:fill="F1F1F1"/>
          </w:tcPr>
          <w:p w14:paraId="69F66263" w14:textId="77777777" w:rsidR="00AC6F3C" w:rsidRDefault="00570E88">
            <w:pPr>
              <w:pStyle w:val="TableParagraph"/>
              <w:spacing w:before="42"/>
              <w:ind w:right="36"/>
              <w:jc w:val="right"/>
              <w:rPr>
                <w:sz w:val="18"/>
              </w:rPr>
            </w:pPr>
            <w:r>
              <w:rPr>
                <w:spacing w:val="-2"/>
                <w:sz w:val="18"/>
              </w:rPr>
              <w:t>1,584</w:t>
            </w:r>
          </w:p>
        </w:tc>
        <w:tc>
          <w:tcPr>
            <w:tcW w:w="1117" w:type="dxa"/>
            <w:tcBorders>
              <w:right w:val="single" w:sz="6" w:space="0" w:color="000000"/>
            </w:tcBorders>
          </w:tcPr>
          <w:p w14:paraId="2C296CA6" w14:textId="77777777" w:rsidR="00AC6F3C" w:rsidRDefault="00570E88">
            <w:pPr>
              <w:pStyle w:val="TableParagraph"/>
              <w:spacing w:before="42"/>
              <w:ind w:right="22"/>
              <w:jc w:val="right"/>
              <w:rPr>
                <w:sz w:val="18"/>
              </w:rPr>
            </w:pPr>
            <w:r>
              <w:rPr>
                <w:spacing w:val="-2"/>
                <w:sz w:val="18"/>
              </w:rPr>
              <w:t>1,931</w:t>
            </w:r>
          </w:p>
        </w:tc>
      </w:tr>
      <w:tr w:rsidR="00AC6F3C" w14:paraId="0B8C1837" w14:textId="77777777">
        <w:trPr>
          <w:trHeight w:val="256"/>
        </w:trPr>
        <w:tc>
          <w:tcPr>
            <w:tcW w:w="6090" w:type="dxa"/>
            <w:tcBorders>
              <w:left w:val="single" w:sz="6" w:space="0" w:color="000000"/>
            </w:tcBorders>
          </w:tcPr>
          <w:p w14:paraId="6254ECC6" w14:textId="77777777" w:rsidR="00AC6F3C" w:rsidRDefault="00570E88">
            <w:pPr>
              <w:pStyle w:val="TableParagraph"/>
              <w:spacing w:before="42" w:line="194" w:lineRule="exact"/>
              <w:ind w:left="37"/>
              <w:rPr>
                <w:sz w:val="18"/>
              </w:rPr>
            </w:pPr>
            <w:r>
              <w:rPr>
                <w:sz w:val="18"/>
              </w:rPr>
              <w:t>Risk</w:t>
            </w:r>
            <w:r>
              <w:rPr>
                <w:spacing w:val="14"/>
                <w:sz w:val="18"/>
              </w:rPr>
              <w:t xml:space="preserve"> </w:t>
            </w:r>
            <w:r>
              <w:rPr>
                <w:spacing w:val="-2"/>
                <w:sz w:val="18"/>
              </w:rPr>
              <w:t>margin</w:t>
            </w:r>
          </w:p>
        </w:tc>
        <w:tc>
          <w:tcPr>
            <w:tcW w:w="1139" w:type="dxa"/>
            <w:tcBorders>
              <w:bottom w:val="single" w:sz="6" w:space="0" w:color="000000"/>
            </w:tcBorders>
            <w:shd w:val="clear" w:color="auto" w:fill="F1F1F1"/>
          </w:tcPr>
          <w:p w14:paraId="6F0C4AE8" w14:textId="77777777" w:rsidR="00AC6F3C" w:rsidRDefault="00570E88">
            <w:pPr>
              <w:pStyle w:val="TableParagraph"/>
              <w:spacing w:before="42" w:line="194" w:lineRule="exact"/>
              <w:ind w:right="36"/>
              <w:jc w:val="right"/>
              <w:rPr>
                <w:sz w:val="18"/>
              </w:rPr>
            </w:pPr>
            <w:r>
              <w:rPr>
                <w:spacing w:val="-2"/>
                <w:sz w:val="18"/>
              </w:rPr>
              <w:t>4,330</w:t>
            </w:r>
          </w:p>
        </w:tc>
        <w:tc>
          <w:tcPr>
            <w:tcW w:w="1117" w:type="dxa"/>
            <w:tcBorders>
              <w:bottom w:val="single" w:sz="6" w:space="0" w:color="000000"/>
              <w:right w:val="single" w:sz="6" w:space="0" w:color="000000"/>
            </w:tcBorders>
          </w:tcPr>
          <w:p w14:paraId="45A2A476" w14:textId="77777777" w:rsidR="00AC6F3C" w:rsidRDefault="00570E88">
            <w:pPr>
              <w:pStyle w:val="TableParagraph"/>
              <w:spacing w:before="42" w:line="194" w:lineRule="exact"/>
              <w:ind w:right="22"/>
              <w:jc w:val="right"/>
              <w:rPr>
                <w:sz w:val="18"/>
              </w:rPr>
            </w:pPr>
            <w:r>
              <w:rPr>
                <w:spacing w:val="-2"/>
                <w:sz w:val="18"/>
              </w:rPr>
              <w:t>5,139</w:t>
            </w:r>
          </w:p>
        </w:tc>
      </w:tr>
      <w:tr w:rsidR="00AC6F3C" w14:paraId="7335C62F" w14:textId="77777777">
        <w:trPr>
          <w:trHeight w:val="475"/>
        </w:trPr>
        <w:tc>
          <w:tcPr>
            <w:tcW w:w="6090" w:type="dxa"/>
            <w:tcBorders>
              <w:left w:val="single" w:sz="6" w:space="0" w:color="000000"/>
            </w:tcBorders>
          </w:tcPr>
          <w:p w14:paraId="1889A530" w14:textId="77777777" w:rsidR="00AC6F3C" w:rsidRDefault="00AC6F3C">
            <w:pPr>
              <w:pStyle w:val="TableParagraph"/>
              <w:spacing w:before="8"/>
              <w:rPr>
                <w:b/>
                <w:sz w:val="21"/>
              </w:rPr>
            </w:pPr>
          </w:p>
          <w:p w14:paraId="7392E68B" w14:textId="77777777" w:rsidR="00AC6F3C" w:rsidRDefault="00570E88">
            <w:pPr>
              <w:pStyle w:val="TableParagraph"/>
              <w:spacing w:line="206" w:lineRule="exact"/>
              <w:ind w:left="37"/>
              <w:rPr>
                <w:b/>
                <w:sz w:val="18"/>
              </w:rPr>
            </w:pPr>
            <w:r>
              <w:rPr>
                <w:b/>
                <w:spacing w:val="-2"/>
                <w:sz w:val="18"/>
              </w:rPr>
              <w:t>Expected</w:t>
            </w:r>
            <w:r>
              <w:rPr>
                <w:b/>
                <w:spacing w:val="-11"/>
                <w:sz w:val="18"/>
              </w:rPr>
              <w:t xml:space="preserve"> </w:t>
            </w:r>
            <w:r>
              <w:rPr>
                <w:b/>
                <w:spacing w:val="-2"/>
                <w:sz w:val="18"/>
              </w:rPr>
              <w:t>present</w:t>
            </w:r>
            <w:r>
              <w:rPr>
                <w:b/>
                <w:spacing w:val="-3"/>
                <w:sz w:val="18"/>
              </w:rPr>
              <w:t xml:space="preserve"> </w:t>
            </w:r>
            <w:r>
              <w:rPr>
                <w:b/>
                <w:spacing w:val="-2"/>
                <w:sz w:val="18"/>
              </w:rPr>
              <w:t>value</w:t>
            </w:r>
            <w:r>
              <w:rPr>
                <w:b/>
                <w:spacing w:val="3"/>
                <w:sz w:val="18"/>
              </w:rPr>
              <w:t xml:space="preserve"> </w:t>
            </w:r>
            <w:r>
              <w:rPr>
                <w:b/>
                <w:spacing w:val="-2"/>
                <w:sz w:val="18"/>
              </w:rPr>
              <w:t>of future</w:t>
            </w:r>
            <w:r>
              <w:rPr>
                <w:b/>
                <w:spacing w:val="3"/>
                <w:sz w:val="18"/>
              </w:rPr>
              <w:t xml:space="preserve"> </w:t>
            </w:r>
            <w:r>
              <w:rPr>
                <w:b/>
                <w:spacing w:val="-2"/>
                <w:sz w:val="18"/>
              </w:rPr>
              <w:t>cash</w:t>
            </w:r>
            <w:r>
              <w:rPr>
                <w:b/>
                <w:spacing w:val="-8"/>
                <w:sz w:val="18"/>
              </w:rPr>
              <w:t xml:space="preserve"> </w:t>
            </w:r>
            <w:r>
              <w:rPr>
                <w:b/>
                <w:spacing w:val="-4"/>
                <w:sz w:val="18"/>
              </w:rPr>
              <w:t>flows</w:t>
            </w:r>
          </w:p>
        </w:tc>
        <w:tc>
          <w:tcPr>
            <w:tcW w:w="1139" w:type="dxa"/>
            <w:tcBorders>
              <w:top w:val="single" w:sz="6" w:space="0" w:color="000000"/>
            </w:tcBorders>
            <w:shd w:val="clear" w:color="auto" w:fill="F1F1F1"/>
          </w:tcPr>
          <w:p w14:paraId="65A366F8" w14:textId="77777777" w:rsidR="00AC6F3C" w:rsidRDefault="00AC6F3C">
            <w:pPr>
              <w:pStyle w:val="TableParagraph"/>
              <w:rPr>
                <w:rFonts w:ascii="Times New Roman"/>
                <w:sz w:val="18"/>
              </w:rPr>
            </w:pPr>
          </w:p>
        </w:tc>
        <w:tc>
          <w:tcPr>
            <w:tcW w:w="1117" w:type="dxa"/>
            <w:tcBorders>
              <w:top w:val="single" w:sz="6" w:space="0" w:color="000000"/>
              <w:right w:val="single" w:sz="6" w:space="0" w:color="000000"/>
            </w:tcBorders>
          </w:tcPr>
          <w:p w14:paraId="48B21754" w14:textId="77777777" w:rsidR="00AC6F3C" w:rsidRDefault="00AC6F3C">
            <w:pPr>
              <w:pStyle w:val="TableParagraph"/>
              <w:rPr>
                <w:rFonts w:ascii="Times New Roman"/>
                <w:sz w:val="18"/>
              </w:rPr>
            </w:pPr>
          </w:p>
        </w:tc>
      </w:tr>
      <w:tr w:rsidR="00AC6F3C" w14:paraId="19E02E4B" w14:textId="77777777">
        <w:trPr>
          <w:trHeight w:val="226"/>
        </w:trPr>
        <w:tc>
          <w:tcPr>
            <w:tcW w:w="6090" w:type="dxa"/>
            <w:tcBorders>
              <w:left w:val="single" w:sz="6" w:space="0" w:color="000000"/>
            </w:tcBorders>
          </w:tcPr>
          <w:p w14:paraId="7100DCA7" w14:textId="77777777" w:rsidR="00AC6F3C" w:rsidRDefault="00570E88">
            <w:pPr>
              <w:pStyle w:val="TableParagraph"/>
              <w:spacing w:before="13" w:line="194" w:lineRule="exact"/>
              <w:ind w:left="37"/>
              <w:rPr>
                <w:b/>
                <w:sz w:val="18"/>
              </w:rPr>
            </w:pPr>
            <w:r>
              <w:rPr>
                <w:b/>
                <w:spacing w:val="-2"/>
                <w:sz w:val="18"/>
              </w:rPr>
              <w:t>for</w:t>
            </w:r>
            <w:r>
              <w:rPr>
                <w:b/>
                <w:spacing w:val="-6"/>
                <w:sz w:val="18"/>
              </w:rPr>
              <w:t xml:space="preserve"> </w:t>
            </w:r>
            <w:r>
              <w:rPr>
                <w:b/>
                <w:spacing w:val="-2"/>
                <w:sz w:val="18"/>
              </w:rPr>
              <w:t>future</w:t>
            </w:r>
            <w:r>
              <w:rPr>
                <w:b/>
                <w:spacing w:val="-4"/>
                <w:sz w:val="18"/>
              </w:rPr>
              <w:t xml:space="preserve"> </w:t>
            </w:r>
            <w:r>
              <w:rPr>
                <w:b/>
                <w:spacing w:val="-2"/>
                <w:sz w:val="18"/>
              </w:rPr>
              <w:t>claims</w:t>
            </w:r>
            <w:r>
              <w:rPr>
                <w:b/>
                <w:spacing w:val="-4"/>
                <w:sz w:val="18"/>
              </w:rPr>
              <w:t xml:space="preserve"> </w:t>
            </w:r>
            <w:r>
              <w:rPr>
                <w:b/>
                <w:spacing w:val="-2"/>
                <w:sz w:val="18"/>
              </w:rPr>
              <w:t>including</w:t>
            </w:r>
            <w:r>
              <w:rPr>
                <w:b/>
                <w:spacing w:val="-11"/>
                <w:sz w:val="18"/>
              </w:rPr>
              <w:t xml:space="preserve"> </w:t>
            </w:r>
            <w:r>
              <w:rPr>
                <w:b/>
                <w:spacing w:val="-2"/>
                <w:sz w:val="18"/>
              </w:rPr>
              <w:t>risk</w:t>
            </w:r>
            <w:r>
              <w:rPr>
                <w:b/>
                <w:spacing w:val="-4"/>
                <w:sz w:val="18"/>
              </w:rPr>
              <w:t xml:space="preserve"> </w:t>
            </w:r>
            <w:r>
              <w:rPr>
                <w:b/>
                <w:spacing w:val="-2"/>
                <w:sz w:val="18"/>
              </w:rPr>
              <w:t>margin</w:t>
            </w:r>
          </w:p>
        </w:tc>
        <w:tc>
          <w:tcPr>
            <w:tcW w:w="1139" w:type="dxa"/>
            <w:tcBorders>
              <w:bottom w:val="single" w:sz="6" w:space="0" w:color="000000"/>
            </w:tcBorders>
            <w:shd w:val="clear" w:color="auto" w:fill="F1F1F1"/>
          </w:tcPr>
          <w:p w14:paraId="491DDBF1" w14:textId="77777777" w:rsidR="00AC6F3C" w:rsidRDefault="00570E88">
            <w:pPr>
              <w:pStyle w:val="TableParagraph"/>
              <w:spacing w:before="13" w:line="194" w:lineRule="exact"/>
              <w:ind w:right="36"/>
              <w:jc w:val="right"/>
              <w:rPr>
                <w:sz w:val="18"/>
              </w:rPr>
            </w:pPr>
            <w:r>
              <w:rPr>
                <w:spacing w:val="-2"/>
                <w:sz w:val="18"/>
              </w:rPr>
              <w:t>28,176</w:t>
            </w:r>
          </w:p>
        </w:tc>
        <w:tc>
          <w:tcPr>
            <w:tcW w:w="1117" w:type="dxa"/>
            <w:tcBorders>
              <w:bottom w:val="single" w:sz="6" w:space="0" w:color="000000"/>
              <w:right w:val="single" w:sz="6" w:space="0" w:color="000000"/>
            </w:tcBorders>
          </w:tcPr>
          <w:p w14:paraId="198B8E56" w14:textId="77777777" w:rsidR="00AC6F3C" w:rsidRDefault="00570E88">
            <w:pPr>
              <w:pStyle w:val="TableParagraph"/>
              <w:spacing w:before="13" w:line="194" w:lineRule="exact"/>
              <w:ind w:right="22"/>
              <w:jc w:val="right"/>
              <w:rPr>
                <w:sz w:val="18"/>
              </w:rPr>
            </w:pPr>
            <w:r>
              <w:rPr>
                <w:spacing w:val="-2"/>
                <w:sz w:val="18"/>
              </w:rPr>
              <w:t>28,366</w:t>
            </w:r>
          </w:p>
        </w:tc>
      </w:tr>
      <w:tr w:rsidR="00AC6F3C" w14:paraId="2369CFE3" w14:textId="77777777">
        <w:trPr>
          <w:trHeight w:val="881"/>
        </w:trPr>
        <w:tc>
          <w:tcPr>
            <w:tcW w:w="6090" w:type="dxa"/>
            <w:tcBorders>
              <w:left w:val="single" w:sz="6" w:space="0" w:color="000000"/>
              <w:bottom w:val="single" w:sz="6" w:space="0" w:color="000000"/>
            </w:tcBorders>
          </w:tcPr>
          <w:p w14:paraId="485CBDCD" w14:textId="77777777" w:rsidR="00AC6F3C" w:rsidRDefault="00AC6F3C">
            <w:pPr>
              <w:pStyle w:val="TableParagraph"/>
              <w:rPr>
                <w:b/>
                <w:sz w:val="20"/>
              </w:rPr>
            </w:pPr>
          </w:p>
          <w:p w14:paraId="28EA310C" w14:textId="77777777" w:rsidR="00AC6F3C" w:rsidRDefault="00570E88">
            <w:pPr>
              <w:pStyle w:val="TableParagraph"/>
              <w:spacing w:before="139"/>
              <w:ind w:left="37"/>
              <w:rPr>
                <w:b/>
                <w:sz w:val="18"/>
              </w:rPr>
            </w:pPr>
            <w:r>
              <w:rPr>
                <w:b/>
                <w:spacing w:val="-2"/>
                <w:sz w:val="18"/>
              </w:rPr>
              <w:t>Unearned</w:t>
            </w:r>
            <w:r>
              <w:rPr>
                <w:b/>
                <w:spacing w:val="-10"/>
                <w:sz w:val="18"/>
              </w:rPr>
              <w:t xml:space="preserve"> </w:t>
            </w:r>
            <w:r>
              <w:rPr>
                <w:b/>
                <w:spacing w:val="-2"/>
                <w:sz w:val="18"/>
              </w:rPr>
              <w:t>premiums</w:t>
            </w:r>
          </w:p>
        </w:tc>
        <w:tc>
          <w:tcPr>
            <w:tcW w:w="1139" w:type="dxa"/>
            <w:tcBorders>
              <w:top w:val="single" w:sz="6" w:space="0" w:color="000000"/>
              <w:bottom w:val="single" w:sz="6" w:space="0" w:color="000000"/>
            </w:tcBorders>
            <w:shd w:val="clear" w:color="auto" w:fill="F1F1F1"/>
          </w:tcPr>
          <w:p w14:paraId="3B686F74" w14:textId="77777777" w:rsidR="00AC6F3C" w:rsidRDefault="00AC6F3C">
            <w:pPr>
              <w:pStyle w:val="TableParagraph"/>
              <w:rPr>
                <w:b/>
                <w:sz w:val="20"/>
              </w:rPr>
            </w:pPr>
          </w:p>
          <w:p w14:paraId="308883AB" w14:textId="77777777" w:rsidR="00AC6F3C" w:rsidRDefault="00570E88">
            <w:pPr>
              <w:pStyle w:val="TableParagraph"/>
              <w:spacing w:before="139"/>
              <w:ind w:right="36"/>
              <w:jc w:val="right"/>
              <w:rPr>
                <w:sz w:val="18"/>
              </w:rPr>
            </w:pPr>
            <w:r>
              <w:rPr>
                <w:spacing w:val="-2"/>
                <w:sz w:val="18"/>
              </w:rPr>
              <w:t>28,176</w:t>
            </w:r>
          </w:p>
        </w:tc>
        <w:tc>
          <w:tcPr>
            <w:tcW w:w="1117" w:type="dxa"/>
            <w:tcBorders>
              <w:top w:val="single" w:sz="6" w:space="0" w:color="000000"/>
              <w:bottom w:val="single" w:sz="6" w:space="0" w:color="000000"/>
              <w:right w:val="single" w:sz="6" w:space="0" w:color="000000"/>
            </w:tcBorders>
          </w:tcPr>
          <w:p w14:paraId="002FF863" w14:textId="77777777" w:rsidR="00AC6F3C" w:rsidRDefault="00AC6F3C">
            <w:pPr>
              <w:pStyle w:val="TableParagraph"/>
              <w:rPr>
                <w:b/>
                <w:sz w:val="20"/>
              </w:rPr>
            </w:pPr>
          </w:p>
          <w:p w14:paraId="4B58A975" w14:textId="77777777" w:rsidR="00AC6F3C" w:rsidRDefault="00570E88">
            <w:pPr>
              <w:pStyle w:val="TableParagraph"/>
              <w:spacing w:before="139"/>
              <w:ind w:right="22"/>
              <w:jc w:val="right"/>
              <w:rPr>
                <w:sz w:val="18"/>
              </w:rPr>
            </w:pPr>
            <w:r>
              <w:rPr>
                <w:spacing w:val="-2"/>
                <w:sz w:val="18"/>
              </w:rPr>
              <w:t>27,370</w:t>
            </w:r>
          </w:p>
        </w:tc>
      </w:tr>
      <w:tr w:rsidR="00AC6F3C" w14:paraId="5CC08489" w14:textId="77777777">
        <w:trPr>
          <w:trHeight w:val="283"/>
        </w:trPr>
        <w:tc>
          <w:tcPr>
            <w:tcW w:w="6090" w:type="dxa"/>
            <w:tcBorders>
              <w:top w:val="single" w:sz="6" w:space="0" w:color="000000"/>
              <w:left w:val="single" w:sz="6" w:space="0" w:color="000000"/>
              <w:bottom w:val="single" w:sz="6" w:space="0" w:color="000000"/>
            </w:tcBorders>
            <w:shd w:val="clear" w:color="auto" w:fill="BEBEBE"/>
          </w:tcPr>
          <w:p w14:paraId="2D590C49" w14:textId="77777777" w:rsidR="00AC6F3C" w:rsidRDefault="00570E88">
            <w:pPr>
              <w:pStyle w:val="TableParagraph"/>
              <w:spacing w:before="70" w:line="194" w:lineRule="exact"/>
              <w:ind w:left="37"/>
              <w:rPr>
                <w:b/>
                <w:sz w:val="18"/>
              </w:rPr>
            </w:pPr>
            <w:r>
              <w:rPr>
                <w:b/>
                <w:spacing w:val="-2"/>
                <w:sz w:val="18"/>
              </w:rPr>
              <w:t>Deficiency</w:t>
            </w:r>
          </w:p>
        </w:tc>
        <w:tc>
          <w:tcPr>
            <w:tcW w:w="1139" w:type="dxa"/>
            <w:tcBorders>
              <w:top w:val="single" w:sz="6" w:space="0" w:color="000000"/>
              <w:bottom w:val="single" w:sz="6" w:space="0" w:color="000000"/>
            </w:tcBorders>
            <w:shd w:val="clear" w:color="auto" w:fill="BEBEBE"/>
          </w:tcPr>
          <w:p w14:paraId="4C3917AC" w14:textId="77777777" w:rsidR="00AC6F3C" w:rsidRDefault="00570E88">
            <w:pPr>
              <w:pStyle w:val="TableParagraph"/>
              <w:spacing w:before="70" w:line="194" w:lineRule="exact"/>
              <w:ind w:right="36"/>
              <w:jc w:val="right"/>
              <w:rPr>
                <w:b/>
                <w:sz w:val="18"/>
              </w:rPr>
            </w:pPr>
            <w:r>
              <w:rPr>
                <w:b/>
                <w:w w:val="99"/>
                <w:sz w:val="18"/>
              </w:rPr>
              <w:t>-</w:t>
            </w:r>
          </w:p>
        </w:tc>
        <w:tc>
          <w:tcPr>
            <w:tcW w:w="1117" w:type="dxa"/>
            <w:tcBorders>
              <w:top w:val="single" w:sz="6" w:space="0" w:color="000000"/>
              <w:bottom w:val="single" w:sz="6" w:space="0" w:color="000000"/>
              <w:right w:val="single" w:sz="6" w:space="0" w:color="000000"/>
            </w:tcBorders>
            <w:shd w:val="clear" w:color="auto" w:fill="BEBEBE"/>
          </w:tcPr>
          <w:p w14:paraId="454E0271" w14:textId="77777777" w:rsidR="00AC6F3C" w:rsidRDefault="00570E88">
            <w:pPr>
              <w:pStyle w:val="TableParagraph"/>
              <w:spacing w:before="70" w:line="194" w:lineRule="exact"/>
              <w:ind w:right="22"/>
              <w:jc w:val="right"/>
              <w:rPr>
                <w:b/>
                <w:sz w:val="18"/>
              </w:rPr>
            </w:pPr>
            <w:r>
              <w:rPr>
                <w:b/>
                <w:spacing w:val="-5"/>
                <w:sz w:val="18"/>
              </w:rPr>
              <w:t>996</w:t>
            </w:r>
          </w:p>
        </w:tc>
      </w:tr>
    </w:tbl>
    <w:p w14:paraId="60A973A7" w14:textId="77777777" w:rsidR="00AC6F3C" w:rsidRDefault="00AC6F3C">
      <w:pPr>
        <w:pStyle w:val="BodyText"/>
        <w:spacing w:before="8"/>
        <w:rPr>
          <w:b/>
          <w:sz w:val="22"/>
        </w:rPr>
      </w:pPr>
    </w:p>
    <w:p w14:paraId="5FC6BF7C" w14:textId="77777777" w:rsidR="00AC6F3C" w:rsidRDefault="00570E88">
      <w:pPr>
        <w:spacing w:before="1"/>
        <w:ind w:left="958"/>
        <w:rPr>
          <w:b/>
          <w:sz w:val="18"/>
        </w:rPr>
      </w:pPr>
      <w:r>
        <w:rPr>
          <w:b/>
          <w:sz w:val="18"/>
        </w:rPr>
        <w:t>Liability</w:t>
      </w:r>
      <w:r>
        <w:rPr>
          <w:b/>
          <w:spacing w:val="-5"/>
          <w:sz w:val="18"/>
        </w:rPr>
        <w:t xml:space="preserve"> </w:t>
      </w:r>
      <w:r>
        <w:rPr>
          <w:b/>
          <w:sz w:val="18"/>
        </w:rPr>
        <w:t>adequacy</w:t>
      </w:r>
      <w:r>
        <w:rPr>
          <w:b/>
          <w:spacing w:val="-2"/>
          <w:sz w:val="18"/>
        </w:rPr>
        <w:t xml:space="preserve"> </w:t>
      </w:r>
      <w:r>
        <w:rPr>
          <w:b/>
          <w:spacing w:val="-4"/>
          <w:sz w:val="18"/>
        </w:rPr>
        <w:t>test</w:t>
      </w:r>
    </w:p>
    <w:p w14:paraId="66ACCE83" w14:textId="77777777" w:rsidR="00AC6F3C" w:rsidRDefault="00AC6F3C">
      <w:pPr>
        <w:pStyle w:val="BodyText"/>
        <w:spacing w:before="9"/>
        <w:rPr>
          <w:b/>
        </w:rPr>
      </w:pPr>
    </w:p>
    <w:p w14:paraId="0E7B68F6" w14:textId="77777777" w:rsidR="00AC6F3C" w:rsidRDefault="00570E88">
      <w:pPr>
        <w:ind w:left="958" w:right="883"/>
        <w:rPr>
          <w:sz w:val="18"/>
        </w:rPr>
      </w:pPr>
      <w:r>
        <w:rPr>
          <w:sz w:val="18"/>
        </w:rPr>
        <w:t>At reporting date, a liability adequacy test was performed to ensure the adequacy of the contract liability.</w:t>
      </w:r>
      <w:r>
        <w:rPr>
          <w:spacing w:val="40"/>
          <w:sz w:val="18"/>
        </w:rPr>
        <w:t xml:space="preserve"> </w:t>
      </w:r>
      <w:r>
        <w:rPr>
          <w:sz w:val="18"/>
        </w:rPr>
        <w:t>In performing this test, current estimates of future contractual cash flows and claims handling and administration</w:t>
      </w:r>
      <w:r>
        <w:rPr>
          <w:spacing w:val="-4"/>
          <w:sz w:val="18"/>
        </w:rPr>
        <w:t xml:space="preserve"> </w:t>
      </w:r>
      <w:r>
        <w:rPr>
          <w:sz w:val="18"/>
        </w:rPr>
        <w:t>expenses,</w:t>
      </w:r>
      <w:r>
        <w:rPr>
          <w:spacing w:val="-4"/>
          <w:sz w:val="18"/>
        </w:rPr>
        <w:t xml:space="preserve"> </w:t>
      </w:r>
      <w:r>
        <w:rPr>
          <w:sz w:val="18"/>
        </w:rPr>
        <w:t>as</w:t>
      </w:r>
      <w:r>
        <w:rPr>
          <w:spacing w:val="-1"/>
          <w:sz w:val="18"/>
        </w:rPr>
        <w:t xml:space="preserve"> </w:t>
      </w:r>
      <w:r>
        <w:rPr>
          <w:sz w:val="18"/>
        </w:rPr>
        <w:t>well</w:t>
      </w:r>
      <w:r>
        <w:rPr>
          <w:spacing w:val="-1"/>
          <w:sz w:val="18"/>
        </w:rPr>
        <w:t xml:space="preserve"> </w:t>
      </w:r>
      <w:r>
        <w:rPr>
          <w:sz w:val="18"/>
        </w:rPr>
        <w:t>as</w:t>
      </w:r>
      <w:r>
        <w:rPr>
          <w:spacing w:val="-1"/>
          <w:sz w:val="18"/>
        </w:rPr>
        <w:t xml:space="preserve"> </w:t>
      </w:r>
      <w:r>
        <w:rPr>
          <w:sz w:val="18"/>
        </w:rPr>
        <w:t>investment</w:t>
      </w:r>
      <w:r>
        <w:rPr>
          <w:spacing w:val="-4"/>
          <w:sz w:val="18"/>
        </w:rPr>
        <w:t xml:space="preserve"> </w:t>
      </w:r>
      <w:r>
        <w:rPr>
          <w:sz w:val="18"/>
        </w:rPr>
        <w:t>income</w:t>
      </w:r>
      <w:r>
        <w:rPr>
          <w:spacing w:val="-1"/>
          <w:sz w:val="18"/>
        </w:rPr>
        <w:t xml:space="preserve"> </w:t>
      </w:r>
      <w:r>
        <w:rPr>
          <w:sz w:val="18"/>
        </w:rPr>
        <w:t>from</w:t>
      </w:r>
      <w:r>
        <w:rPr>
          <w:spacing w:val="-3"/>
          <w:sz w:val="18"/>
        </w:rPr>
        <w:t xml:space="preserve"> </w:t>
      </w:r>
      <w:r>
        <w:rPr>
          <w:sz w:val="18"/>
        </w:rPr>
        <w:t>assets</w:t>
      </w:r>
      <w:r>
        <w:rPr>
          <w:spacing w:val="-3"/>
          <w:sz w:val="18"/>
        </w:rPr>
        <w:t xml:space="preserve"> </w:t>
      </w:r>
      <w:r>
        <w:rPr>
          <w:sz w:val="18"/>
        </w:rPr>
        <w:t>backing</w:t>
      </w:r>
      <w:r>
        <w:rPr>
          <w:spacing w:val="-4"/>
          <w:sz w:val="18"/>
        </w:rPr>
        <w:t xml:space="preserve"> </w:t>
      </w:r>
      <w:r>
        <w:rPr>
          <w:sz w:val="18"/>
        </w:rPr>
        <w:t>such</w:t>
      </w:r>
      <w:r>
        <w:rPr>
          <w:spacing w:val="-1"/>
          <w:sz w:val="18"/>
        </w:rPr>
        <w:t xml:space="preserve"> </w:t>
      </w:r>
      <w:r>
        <w:rPr>
          <w:sz w:val="18"/>
        </w:rPr>
        <w:t>liabilities,</w:t>
      </w:r>
      <w:r>
        <w:rPr>
          <w:spacing w:val="-7"/>
          <w:sz w:val="18"/>
        </w:rPr>
        <w:t xml:space="preserve"> </w:t>
      </w:r>
      <w:r>
        <w:rPr>
          <w:sz w:val="18"/>
        </w:rPr>
        <w:t>are</w:t>
      </w:r>
      <w:r>
        <w:rPr>
          <w:spacing w:val="-1"/>
          <w:sz w:val="18"/>
        </w:rPr>
        <w:t xml:space="preserve"> </w:t>
      </w:r>
      <w:r>
        <w:rPr>
          <w:sz w:val="18"/>
        </w:rPr>
        <w:t>used.</w:t>
      </w:r>
      <w:r>
        <w:rPr>
          <w:spacing w:val="40"/>
          <w:sz w:val="18"/>
        </w:rPr>
        <w:t xml:space="preserve"> </w:t>
      </w:r>
      <w:r>
        <w:rPr>
          <w:sz w:val="18"/>
        </w:rPr>
        <w:t>Any deficiency is immediately charged to the Statement of Comprehensive Income by establishing a provision for losses arising from the liability adequacy test.</w:t>
      </w:r>
    </w:p>
    <w:p w14:paraId="2F765207" w14:textId="77777777" w:rsidR="00AC6F3C" w:rsidRDefault="00AC6F3C">
      <w:pPr>
        <w:pStyle w:val="BodyText"/>
        <w:spacing w:before="9"/>
      </w:pPr>
    </w:p>
    <w:p w14:paraId="693593E8" w14:textId="77777777" w:rsidR="00AC6F3C" w:rsidRDefault="00570E88">
      <w:pPr>
        <w:ind w:left="958" w:right="886"/>
        <w:rPr>
          <w:sz w:val="18"/>
        </w:rPr>
      </w:pPr>
      <w:r>
        <w:rPr>
          <w:sz w:val="18"/>
        </w:rPr>
        <w:t>The probability of adequacy of the unearned premium reserves differs from the probability on the outstanding</w:t>
      </w:r>
      <w:r>
        <w:rPr>
          <w:spacing w:val="-4"/>
          <w:sz w:val="18"/>
        </w:rPr>
        <w:t xml:space="preserve"> </w:t>
      </w:r>
      <w:r>
        <w:rPr>
          <w:sz w:val="18"/>
        </w:rPr>
        <w:t>claims</w:t>
      </w:r>
      <w:r>
        <w:rPr>
          <w:spacing w:val="-1"/>
          <w:sz w:val="18"/>
        </w:rPr>
        <w:t xml:space="preserve"> </w:t>
      </w:r>
      <w:r>
        <w:rPr>
          <w:sz w:val="18"/>
        </w:rPr>
        <w:t>provision.</w:t>
      </w:r>
      <w:r>
        <w:rPr>
          <w:spacing w:val="40"/>
          <w:sz w:val="18"/>
        </w:rPr>
        <w:t xml:space="preserve"> </w:t>
      </w:r>
      <w:r>
        <w:rPr>
          <w:sz w:val="18"/>
        </w:rPr>
        <w:t>The</w:t>
      </w:r>
      <w:r>
        <w:rPr>
          <w:spacing w:val="-1"/>
          <w:sz w:val="18"/>
        </w:rPr>
        <w:t xml:space="preserve"> </w:t>
      </w:r>
      <w:r>
        <w:rPr>
          <w:sz w:val="18"/>
        </w:rPr>
        <w:t>reason</w:t>
      </w:r>
      <w:r>
        <w:rPr>
          <w:spacing w:val="-1"/>
          <w:sz w:val="18"/>
        </w:rPr>
        <w:t xml:space="preserve"> </w:t>
      </w:r>
      <w:r>
        <w:rPr>
          <w:sz w:val="18"/>
        </w:rPr>
        <w:t>for</w:t>
      </w:r>
      <w:r>
        <w:rPr>
          <w:spacing w:val="-4"/>
          <w:sz w:val="18"/>
        </w:rPr>
        <w:t xml:space="preserve"> </w:t>
      </w:r>
      <w:r>
        <w:rPr>
          <w:sz w:val="18"/>
        </w:rPr>
        <w:t>the</w:t>
      </w:r>
      <w:r>
        <w:rPr>
          <w:spacing w:val="-4"/>
          <w:sz w:val="18"/>
        </w:rPr>
        <w:t xml:space="preserve"> </w:t>
      </w:r>
      <w:r>
        <w:rPr>
          <w:sz w:val="18"/>
        </w:rPr>
        <w:t>difference</w:t>
      </w:r>
      <w:r>
        <w:rPr>
          <w:spacing w:val="-1"/>
          <w:sz w:val="18"/>
        </w:rPr>
        <w:t xml:space="preserve"> </w:t>
      </w:r>
      <w:r>
        <w:rPr>
          <w:sz w:val="18"/>
        </w:rPr>
        <w:t>is</w:t>
      </w:r>
      <w:r>
        <w:rPr>
          <w:spacing w:val="-1"/>
          <w:sz w:val="18"/>
        </w:rPr>
        <w:t xml:space="preserve"> </w:t>
      </w:r>
      <w:r>
        <w:rPr>
          <w:sz w:val="18"/>
        </w:rPr>
        <w:t>that</w:t>
      </w:r>
      <w:r>
        <w:rPr>
          <w:spacing w:val="-2"/>
          <w:sz w:val="18"/>
        </w:rPr>
        <w:t xml:space="preserve"> </w:t>
      </w:r>
      <w:r>
        <w:rPr>
          <w:sz w:val="18"/>
        </w:rPr>
        <w:t>the</w:t>
      </w:r>
      <w:r>
        <w:rPr>
          <w:spacing w:val="-4"/>
          <w:sz w:val="18"/>
        </w:rPr>
        <w:t xml:space="preserve"> </w:t>
      </w:r>
      <w:r>
        <w:rPr>
          <w:sz w:val="18"/>
        </w:rPr>
        <w:t>former</w:t>
      </w:r>
      <w:r>
        <w:rPr>
          <w:spacing w:val="-2"/>
          <w:sz w:val="18"/>
        </w:rPr>
        <w:t xml:space="preserve"> </w:t>
      </w:r>
      <w:r>
        <w:rPr>
          <w:sz w:val="18"/>
        </w:rPr>
        <w:t>is</w:t>
      </w:r>
      <w:r>
        <w:rPr>
          <w:spacing w:val="-1"/>
          <w:sz w:val="18"/>
        </w:rPr>
        <w:t xml:space="preserve"> </w:t>
      </w:r>
      <w:r>
        <w:rPr>
          <w:sz w:val="18"/>
        </w:rPr>
        <w:t>a</w:t>
      </w:r>
      <w:r>
        <w:rPr>
          <w:spacing w:val="-4"/>
          <w:sz w:val="18"/>
        </w:rPr>
        <w:t xml:space="preserve"> </w:t>
      </w:r>
      <w:r>
        <w:rPr>
          <w:sz w:val="18"/>
        </w:rPr>
        <w:t>benchmark</w:t>
      </w:r>
      <w:r>
        <w:rPr>
          <w:spacing w:val="-1"/>
          <w:sz w:val="18"/>
        </w:rPr>
        <w:t xml:space="preserve"> </w:t>
      </w:r>
      <w:r>
        <w:rPr>
          <w:sz w:val="18"/>
        </w:rPr>
        <w:t>used</w:t>
      </w:r>
      <w:r>
        <w:rPr>
          <w:spacing w:val="-1"/>
          <w:sz w:val="18"/>
        </w:rPr>
        <w:t xml:space="preserve"> </w:t>
      </w:r>
      <w:r>
        <w:rPr>
          <w:sz w:val="18"/>
        </w:rPr>
        <w:t>only</w:t>
      </w:r>
      <w:r>
        <w:rPr>
          <w:spacing w:val="-1"/>
          <w:sz w:val="18"/>
        </w:rPr>
        <w:t xml:space="preserve"> </w:t>
      </w:r>
      <w:r>
        <w:rPr>
          <w:sz w:val="18"/>
        </w:rPr>
        <w:t>to test the sufficiency of the net unearned premium liability whereas the latter is a measure of the adequacy of the outstanding claims provision actually carried.</w:t>
      </w:r>
    </w:p>
    <w:p w14:paraId="4778226B" w14:textId="77777777" w:rsidR="00AC6F3C" w:rsidRDefault="00AC6F3C">
      <w:pPr>
        <w:pStyle w:val="BodyText"/>
        <w:spacing w:before="10"/>
      </w:pPr>
    </w:p>
    <w:p w14:paraId="66CD355D" w14:textId="77777777" w:rsidR="00AC6F3C" w:rsidRDefault="00570E88">
      <w:pPr>
        <w:ind w:left="958" w:right="829"/>
        <w:rPr>
          <w:sz w:val="18"/>
        </w:rPr>
      </w:pPr>
      <w:r>
        <w:rPr>
          <w:sz w:val="18"/>
        </w:rPr>
        <w:t>Accounting standards require the inclusion of a risk margin in insurance liabilities, but do not prescribe a minimum level of margin.</w:t>
      </w:r>
      <w:r>
        <w:rPr>
          <w:spacing w:val="40"/>
          <w:sz w:val="18"/>
        </w:rPr>
        <w:t xml:space="preserve"> </w:t>
      </w:r>
      <w:r>
        <w:rPr>
          <w:sz w:val="18"/>
        </w:rPr>
        <w:t>Whilst there are established practices in the calculation of the probability of adequacy</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outstanding</w:t>
      </w:r>
      <w:r>
        <w:rPr>
          <w:spacing w:val="-1"/>
          <w:sz w:val="18"/>
        </w:rPr>
        <w:t xml:space="preserve"> </w:t>
      </w:r>
      <w:r>
        <w:rPr>
          <w:sz w:val="18"/>
        </w:rPr>
        <w:t>claims</w:t>
      </w:r>
      <w:r>
        <w:rPr>
          <w:spacing w:val="-1"/>
          <w:sz w:val="18"/>
        </w:rPr>
        <w:t xml:space="preserve"> </w:t>
      </w:r>
      <w:r>
        <w:rPr>
          <w:sz w:val="18"/>
        </w:rPr>
        <w:t>provision,</w:t>
      </w:r>
      <w:r>
        <w:rPr>
          <w:spacing w:val="-2"/>
          <w:sz w:val="18"/>
        </w:rPr>
        <w:t xml:space="preserve"> </w:t>
      </w:r>
      <w:r>
        <w:rPr>
          <w:sz w:val="18"/>
        </w:rPr>
        <w:t>no</w:t>
      </w:r>
      <w:r>
        <w:rPr>
          <w:spacing w:val="-1"/>
          <w:sz w:val="18"/>
        </w:rPr>
        <w:t xml:space="preserve"> </w:t>
      </w:r>
      <w:r>
        <w:rPr>
          <w:sz w:val="18"/>
        </w:rPr>
        <w:t>such</w:t>
      </w:r>
      <w:r>
        <w:rPr>
          <w:spacing w:val="-4"/>
          <w:sz w:val="18"/>
        </w:rPr>
        <w:t xml:space="preserve"> </w:t>
      </w:r>
      <w:r>
        <w:rPr>
          <w:sz w:val="18"/>
        </w:rPr>
        <w:t>guidance</w:t>
      </w:r>
      <w:r>
        <w:rPr>
          <w:spacing w:val="-4"/>
          <w:sz w:val="18"/>
        </w:rPr>
        <w:t xml:space="preserve"> </w:t>
      </w:r>
      <w:r>
        <w:rPr>
          <w:sz w:val="18"/>
        </w:rPr>
        <w:t>exists</w:t>
      </w:r>
      <w:r>
        <w:rPr>
          <w:spacing w:val="-1"/>
          <w:sz w:val="18"/>
        </w:rPr>
        <w:t xml:space="preserve"> </w:t>
      </w:r>
      <w:r>
        <w:rPr>
          <w:sz w:val="18"/>
        </w:rPr>
        <w:t>in</w:t>
      </w:r>
      <w:r>
        <w:rPr>
          <w:spacing w:val="-1"/>
          <w:sz w:val="18"/>
        </w:rPr>
        <w:t xml:space="preserve"> </w:t>
      </w:r>
      <w:r>
        <w:rPr>
          <w:sz w:val="18"/>
        </w:rPr>
        <w:t>relation</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level</w:t>
      </w:r>
      <w:r>
        <w:rPr>
          <w:spacing w:val="-1"/>
          <w:sz w:val="18"/>
        </w:rPr>
        <w:t xml:space="preserve"> </w:t>
      </w:r>
      <w:r>
        <w:rPr>
          <w:sz w:val="18"/>
        </w:rPr>
        <w:t>of</w:t>
      </w:r>
      <w:r>
        <w:rPr>
          <w:spacing w:val="-2"/>
          <w:sz w:val="18"/>
        </w:rPr>
        <w:t xml:space="preserve"> </w:t>
      </w:r>
      <w:r>
        <w:rPr>
          <w:sz w:val="18"/>
        </w:rPr>
        <w:t>risk</w:t>
      </w:r>
      <w:r>
        <w:rPr>
          <w:spacing w:val="-1"/>
          <w:sz w:val="18"/>
        </w:rPr>
        <w:t xml:space="preserve"> </w:t>
      </w:r>
      <w:r>
        <w:rPr>
          <w:sz w:val="18"/>
        </w:rPr>
        <w:t>margin to be</w:t>
      </w:r>
      <w:r>
        <w:rPr>
          <w:spacing w:val="-3"/>
          <w:sz w:val="18"/>
        </w:rPr>
        <w:t xml:space="preserve"> </w:t>
      </w:r>
      <w:r>
        <w:rPr>
          <w:sz w:val="18"/>
        </w:rPr>
        <w:t>used in</w:t>
      </w:r>
      <w:r>
        <w:rPr>
          <w:spacing w:val="-3"/>
          <w:sz w:val="18"/>
        </w:rPr>
        <w:t xml:space="preserve"> </w:t>
      </w:r>
      <w:r>
        <w:rPr>
          <w:sz w:val="18"/>
        </w:rPr>
        <w:t>determining the</w:t>
      </w:r>
      <w:r>
        <w:rPr>
          <w:spacing w:val="-3"/>
          <w:sz w:val="18"/>
        </w:rPr>
        <w:t xml:space="preserve"> </w:t>
      </w:r>
      <w:r>
        <w:rPr>
          <w:sz w:val="18"/>
        </w:rPr>
        <w:t>adequacy of</w:t>
      </w:r>
      <w:r>
        <w:rPr>
          <w:spacing w:val="-3"/>
          <w:sz w:val="18"/>
        </w:rPr>
        <w:t xml:space="preserve"> </w:t>
      </w:r>
      <w:r>
        <w:rPr>
          <w:sz w:val="18"/>
        </w:rPr>
        <w:t>net</w:t>
      </w:r>
      <w:r>
        <w:rPr>
          <w:spacing w:val="-3"/>
          <w:sz w:val="18"/>
        </w:rPr>
        <w:t xml:space="preserve"> </w:t>
      </w:r>
      <w:r>
        <w:rPr>
          <w:sz w:val="18"/>
        </w:rPr>
        <w:t>premium liabilities.</w:t>
      </w:r>
      <w:r>
        <w:rPr>
          <w:spacing w:val="40"/>
          <w:sz w:val="18"/>
        </w:rPr>
        <w:t xml:space="preserve"> </w:t>
      </w:r>
      <w:r>
        <w:rPr>
          <w:sz w:val="18"/>
        </w:rPr>
        <w:t>The Group has adopted</w:t>
      </w:r>
      <w:r>
        <w:rPr>
          <w:spacing w:val="-3"/>
          <w:sz w:val="18"/>
        </w:rPr>
        <w:t xml:space="preserve"> </w:t>
      </w:r>
      <w:r>
        <w:rPr>
          <w:sz w:val="18"/>
        </w:rPr>
        <w:t>a risk margin of 23.4% (2021-22: 22.4%) to produce a 75% level of sufficiency on a net basis.</w:t>
      </w:r>
      <w:r>
        <w:rPr>
          <w:spacing w:val="40"/>
          <w:sz w:val="18"/>
        </w:rPr>
        <w:t xml:space="preserve"> </w:t>
      </w:r>
      <w:r>
        <w:rPr>
          <w:sz w:val="18"/>
        </w:rPr>
        <w:t xml:space="preserve">This is the minimum level </w:t>
      </w:r>
      <w:proofErr w:type="spellStart"/>
      <w:r>
        <w:rPr>
          <w:sz w:val="18"/>
        </w:rPr>
        <w:t>recognised</w:t>
      </w:r>
      <w:proofErr w:type="spellEnd"/>
      <w:r>
        <w:rPr>
          <w:sz w:val="18"/>
        </w:rPr>
        <w:t xml:space="preserve"> in Australia as an industry benchmark for liability adequacy tests, in accordance with the Australian Prudential Regulatory Authority (APRA).</w:t>
      </w:r>
    </w:p>
    <w:p w14:paraId="69853076" w14:textId="77777777" w:rsidR="00AC6F3C" w:rsidRDefault="00AC6F3C">
      <w:pPr>
        <w:pStyle w:val="BodyText"/>
        <w:spacing w:before="11"/>
      </w:pPr>
    </w:p>
    <w:p w14:paraId="35A10C7D" w14:textId="77777777" w:rsidR="00AC6F3C" w:rsidRDefault="00570E88">
      <w:pPr>
        <w:ind w:left="958" w:right="468"/>
        <w:rPr>
          <w:sz w:val="18"/>
        </w:rPr>
      </w:pPr>
      <w:r>
        <w:rPr>
          <w:sz w:val="18"/>
        </w:rPr>
        <w:t>The</w:t>
      </w:r>
      <w:r>
        <w:rPr>
          <w:spacing w:val="-1"/>
          <w:sz w:val="18"/>
        </w:rPr>
        <w:t xml:space="preserve"> </w:t>
      </w:r>
      <w:r>
        <w:rPr>
          <w:sz w:val="18"/>
        </w:rPr>
        <w:t>application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liability</w:t>
      </w:r>
      <w:r>
        <w:rPr>
          <w:spacing w:val="-3"/>
          <w:sz w:val="18"/>
        </w:rPr>
        <w:t xml:space="preserve"> </w:t>
      </w:r>
      <w:r>
        <w:rPr>
          <w:sz w:val="18"/>
        </w:rPr>
        <w:t>adequacy</w:t>
      </w:r>
      <w:r>
        <w:rPr>
          <w:spacing w:val="-1"/>
          <w:sz w:val="18"/>
        </w:rPr>
        <w:t xml:space="preserve"> </w:t>
      </w:r>
      <w:r>
        <w:rPr>
          <w:sz w:val="18"/>
        </w:rPr>
        <w:t>test</w:t>
      </w:r>
      <w:r>
        <w:rPr>
          <w:spacing w:val="-2"/>
          <w:sz w:val="18"/>
        </w:rPr>
        <w:t xml:space="preserve"> </w:t>
      </w:r>
      <w:r>
        <w:rPr>
          <w:sz w:val="18"/>
        </w:rPr>
        <w:t>in</w:t>
      </w:r>
      <w:r>
        <w:rPr>
          <w:spacing w:val="-1"/>
          <w:sz w:val="18"/>
        </w:rPr>
        <w:t xml:space="preserve"> </w:t>
      </w:r>
      <w:r>
        <w:rPr>
          <w:sz w:val="18"/>
        </w:rPr>
        <w:t>respect</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net</w:t>
      </w:r>
      <w:r>
        <w:rPr>
          <w:spacing w:val="-2"/>
          <w:sz w:val="18"/>
        </w:rPr>
        <w:t xml:space="preserve"> </w:t>
      </w:r>
      <w:r>
        <w:rPr>
          <w:sz w:val="18"/>
        </w:rPr>
        <w:t>unearned</w:t>
      </w:r>
      <w:r>
        <w:rPr>
          <w:spacing w:val="-4"/>
          <w:sz w:val="18"/>
        </w:rPr>
        <w:t xml:space="preserve"> </w:t>
      </w:r>
      <w:r>
        <w:rPr>
          <w:sz w:val="18"/>
        </w:rPr>
        <w:t>premium</w:t>
      </w:r>
      <w:r>
        <w:rPr>
          <w:spacing w:val="-3"/>
          <w:sz w:val="18"/>
        </w:rPr>
        <w:t xml:space="preserve"> </w:t>
      </w:r>
      <w:r>
        <w:rPr>
          <w:sz w:val="18"/>
        </w:rPr>
        <w:t>liabilities</w:t>
      </w:r>
      <w:r>
        <w:rPr>
          <w:spacing w:val="-1"/>
          <w:sz w:val="18"/>
        </w:rPr>
        <w:t xml:space="preserve"> </w:t>
      </w:r>
      <w:r>
        <w:rPr>
          <w:sz w:val="18"/>
        </w:rPr>
        <w:t>identified</w:t>
      </w:r>
      <w:r>
        <w:rPr>
          <w:spacing w:val="-1"/>
          <w:sz w:val="18"/>
        </w:rPr>
        <w:t xml:space="preserve"> </w:t>
      </w:r>
      <w:r>
        <w:rPr>
          <w:sz w:val="18"/>
        </w:rPr>
        <w:t>a deficiency in both years.</w:t>
      </w:r>
    </w:p>
    <w:p w14:paraId="7E68E748" w14:textId="77777777" w:rsidR="00AC6F3C" w:rsidRDefault="00AC6F3C">
      <w:pPr>
        <w:rPr>
          <w:sz w:val="18"/>
        </w:rPr>
        <w:sectPr w:rsidR="00AC6F3C">
          <w:pgSz w:w="11910" w:h="16840"/>
          <w:pgMar w:top="2020" w:right="1160" w:bottom="520" w:left="460" w:header="1228" w:footer="336" w:gutter="0"/>
          <w:cols w:space="720"/>
        </w:sectPr>
      </w:pPr>
    </w:p>
    <w:p w14:paraId="197DA720" w14:textId="77777777" w:rsidR="00AC6F3C" w:rsidRDefault="00AC6F3C">
      <w:pPr>
        <w:pStyle w:val="BodyText"/>
      </w:pPr>
    </w:p>
    <w:p w14:paraId="048134BF" w14:textId="77777777" w:rsidR="00AC6F3C" w:rsidRDefault="00570E88">
      <w:pPr>
        <w:tabs>
          <w:tab w:val="left" w:pos="1810"/>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6BD126C0" w14:textId="77777777" w:rsidR="00AC6F3C" w:rsidRDefault="00570E88">
      <w:pPr>
        <w:pStyle w:val="Heading7"/>
        <w:tabs>
          <w:tab w:val="left" w:pos="1810"/>
        </w:tabs>
      </w:pPr>
      <w:r>
        <w:rPr>
          <w:spacing w:val="-2"/>
        </w:rPr>
        <w:t>C8-</w:t>
      </w:r>
      <w:r>
        <w:rPr>
          <w:spacing w:val="-10"/>
        </w:rPr>
        <w:t>2</w:t>
      </w:r>
      <w:r>
        <w:tab/>
        <w:t>INSURANCE</w:t>
      </w:r>
      <w:r>
        <w:rPr>
          <w:spacing w:val="-4"/>
        </w:rPr>
        <w:t xml:space="preserve"> </w:t>
      </w:r>
      <w:r>
        <w:t>LIABILITIES</w:t>
      </w:r>
      <w:r>
        <w:rPr>
          <w:spacing w:val="-4"/>
        </w:rPr>
        <w:t xml:space="preserve"> </w:t>
      </w:r>
      <w:r>
        <w:rPr>
          <w:spacing w:val="-2"/>
        </w:rPr>
        <w:t>(continued)</w:t>
      </w:r>
    </w:p>
    <w:p w14:paraId="51C889C3" w14:textId="77777777" w:rsidR="00AC6F3C" w:rsidRDefault="00AC6F3C">
      <w:pPr>
        <w:pStyle w:val="BodyText"/>
        <w:spacing w:before="8"/>
        <w:rPr>
          <w:b/>
        </w:rPr>
      </w:pPr>
    </w:p>
    <w:p w14:paraId="1559DAFB" w14:textId="77777777" w:rsidR="00AC6F3C" w:rsidRDefault="00570E88">
      <w:pPr>
        <w:spacing w:before="1"/>
        <w:ind w:left="958"/>
        <w:rPr>
          <w:b/>
          <w:sz w:val="20"/>
        </w:rPr>
      </w:pPr>
      <w:r>
        <w:rPr>
          <w:b/>
          <w:sz w:val="18"/>
        </w:rPr>
        <w:t>(b)</w:t>
      </w:r>
      <w:r>
        <w:rPr>
          <w:b/>
          <w:spacing w:val="65"/>
          <w:sz w:val="18"/>
        </w:rPr>
        <w:t xml:space="preserve"> </w:t>
      </w:r>
      <w:r>
        <w:rPr>
          <w:b/>
          <w:sz w:val="20"/>
        </w:rPr>
        <w:t>Unearned</w:t>
      </w:r>
      <w:r>
        <w:rPr>
          <w:b/>
          <w:spacing w:val="-4"/>
          <w:sz w:val="20"/>
        </w:rPr>
        <w:t xml:space="preserve"> </w:t>
      </w:r>
      <w:r>
        <w:rPr>
          <w:b/>
          <w:sz w:val="20"/>
        </w:rPr>
        <w:t>Premium</w:t>
      </w:r>
      <w:r>
        <w:rPr>
          <w:b/>
          <w:spacing w:val="-3"/>
          <w:sz w:val="20"/>
        </w:rPr>
        <w:t xml:space="preserve"> </w:t>
      </w:r>
      <w:r>
        <w:rPr>
          <w:b/>
          <w:sz w:val="20"/>
        </w:rPr>
        <w:t>and</w:t>
      </w:r>
      <w:r>
        <w:rPr>
          <w:b/>
          <w:spacing w:val="-6"/>
          <w:sz w:val="20"/>
        </w:rPr>
        <w:t xml:space="preserve"> </w:t>
      </w:r>
      <w:r>
        <w:rPr>
          <w:b/>
          <w:sz w:val="20"/>
        </w:rPr>
        <w:t>Reserves</w:t>
      </w:r>
      <w:r>
        <w:rPr>
          <w:b/>
          <w:spacing w:val="-7"/>
          <w:sz w:val="20"/>
        </w:rPr>
        <w:t xml:space="preserve"> </w:t>
      </w:r>
      <w:r>
        <w:rPr>
          <w:b/>
          <w:spacing w:val="-2"/>
          <w:sz w:val="20"/>
        </w:rPr>
        <w:t>(continued)</w:t>
      </w:r>
    </w:p>
    <w:p w14:paraId="33327A32" w14:textId="77777777" w:rsidR="00AC6F3C" w:rsidRDefault="00AC6F3C">
      <w:pPr>
        <w:pStyle w:val="BodyText"/>
        <w:spacing w:before="9"/>
        <w:rPr>
          <w:b/>
        </w:rPr>
      </w:pPr>
    </w:p>
    <w:p w14:paraId="32868DAE" w14:textId="77777777" w:rsidR="00AC6F3C" w:rsidRDefault="00570E88">
      <w:pPr>
        <w:spacing w:before="1"/>
        <w:ind w:left="958"/>
        <w:rPr>
          <w:b/>
          <w:sz w:val="18"/>
        </w:rPr>
      </w:pPr>
      <w:r>
        <w:rPr>
          <w:b/>
          <w:sz w:val="18"/>
        </w:rPr>
        <w:t>Maturity</w:t>
      </w:r>
      <w:r>
        <w:rPr>
          <w:b/>
          <w:spacing w:val="-2"/>
          <w:sz w:val="18"/>
        </w:rPr>
        <w:t xml:space="preserve"> analysis</w:t>
      </w:r>
    </w:p>
    <w:p w14:paraId="6EF62AEB" w14:textId="77777777" w:rsidR="00AC6F3C" w:rsidRDefault="00AC6F3C">
      <w:pPr>
        <w:pStyle w:val="BodyText"/>
        <w:spacing w:before="9" w:after="1"/>
        <w:rPr>
          <w:b/>
        </w:rPr>
      </w:pPr>
    </w:p>
    <w:tbl>
      <w:tblPr>
        <w:tblW w:w="0" w:type="auto"/>
        <w:tblInd w:w="972" w:type="dxa"/>
        <w:tblLayout w:type="fixed"/>
        <w:tblCellMar>
          <w:left w:w="0" w:type="dxa"/>
          <w:right w:w="0" w:type="dxa"/>
        </w:tblCellMar>
        <w:tblLook w:val="01E0" w:firstRow="1" w:lastRow="1" w:firstColumn="1" w:lastColumn="1" w:noHBand="0" w:noVBand="0"/>
      </w:tblPr>
      <w:tblGrid>
        <w:gridCol w:w="3877"/>
        <w:gridCol w:w="1336"/>
        <w:gridCol w:w="1041"/>
        <w:gridCol w:w="959"/>
        <w:gridCol w:w="1131"/>
      </w:tblGrid>
      <w:tr w:rsidR="00AC6F3C" w14:paraId="752BD8DF" w14:textId="77777777">
        <w:trPr>
          <w:trHeight w:val="882"/>
        </w:trPr>
        <w:tc>
          <w:tcPr>
            <w:tcW w:w="5213" w:type="dxa"/>
            <w:gridSpan w:val="2"/>
            <w:tcBorders>
              <w:top w:val="single" w:sz="6" w:space="0" w:color="000000"/>
              <w:left w:val="single" w:sz="6" w:space="0" w:color="000000"/>
              <w:bottom w:val="single" w:sz="6" w:space="0" w:color="000000"/>
            </w:tcBorders>
            <w:shd w:val="clear" w:color="auto" w:fill="BEBEBE"/>
          </w:tcPr>
          <w:p w14:paraId="74D969FC" w14:textId="77777777" w:rsidR="00AC6F3C" w:rsidRDefault="00570E88">
            <w:pPr>
              <w:pStyle w:val="TableParagraph"/>
              <w:spacing w:before="40"/>
              <w:ind w:right="267"/>
              <w:jc w:val="right"/>
              <w:rPr>
                <w:b/>
                <w:sz w:val="18"/>
              </w:rPr>
            </w:pPr>
            <w:r>
              <w:rPr>
                <w:b/>
                <w:sz w:val="18"/>
              </w:rPr>
              <w:t>&lt;1</w:t>
            </w:r>
            <w:r>
              <w:rPr>
                <w:b/>
                <w:spacing w:val="-5"/>
                <w:sz w:val="18"/>
              </w:rPr>
              <w:t xml:space="preserve"> </w:t>
            </w:r>
            <w:r>
              <w:rPr>
                <w:b/>
                <w:spacing w:val="-4"/>
                <w:sz w:val="18"/>
              </w:rPr>
              <w:t>year</w:t>
            </w:r>
          </w:p>
          <w:p w14:paraId="53C3E90C" w14:textId="77777777" w:rsidR="00AC6F3C" w:rsidRDefault="00AC6F3C">
            <w:pPr>
              <w:pStyle w:val="TableParagraph"/>
              <w:rPr>
                <w:b/>
                <w:sz w:val="20"/>
              </w:rPr>
            </w:pPr>
          </w:p>
          <w:p w14:paraId="1DD05EFB" w14:textId="77777777" w:rsidR="00AC6F3C" w:rsidRDefault="00570E88">
            <w:pPr>
              <w:pStyle w:val="TableParagraph"/>
              <w:spacing w:before="162"/>
              <w:ind w:right="267"/>
              <w:jc w:val="right"/>
              <w:rPr>
                <w:b/>
                <w:sz w:val="18"/>
              </w:rPr>
            </w:pPr>
            <w:r>
              <w:rPr>
                <w:b/>
                <w:spacing w:val="-2"/>
                <w:sz w:val="18"/>
              </w:rPr>
              <w:t>$’000</w:t>
            </w:r>
          </w:p>
        </w:tc>
        <w:tc>
          <w:tcPr>
            <w:tcW w:w="1041" w:type="dxa"/>
            <w:tcBorders>
              <w:top w:val="single" w:sz="6" w:space="0" w:color="000000"/>
              <w:bottom w:val="single" w:sz="6" w:space="0" w:color="000000"/>
            </w:tcBorders>
            <w:shd w:val="clear" w:color="auto" w:fill="BEBEBE"/>
          </w:tcPr>
          <w:p w14:paraId="5DD8930E" w14:textId="77777777" w:rsidR="00AC6F3C" w:rsidRDefault="00570E88">
            <w:pPr>
              <w:pStyle w:val="TableParagraph"/>
              <w:spacing w:before="40" w:line="348" w:lineRule="auto"/>
              <w:ind w:left="374" w:right="186" w:firstLine="15"/>
              <w:rPr>
                <w:b/>
                <w:sz w:val="18"/>
              </w:rPr>
            </w:pPr>
            <w:r>
              <w:rPr>
                <w:b/>
                <w:sz w:val="18"/>
              </w:rPr>
              <w:t>1</w:t>
            </w:r>
            <w:r>
              <w:rPr>
                <w:b/>
                <w:spacing w:val="-15"/>
                <w:sz w:val="18"/>
              </w:rPr>
              <w:t xml:space="preserve"> </w:t>
            </w:r>
            <w:r>
              <w:rPr>
                <w:b/>
                <w:sz w:val="18"/>
              </w:rPr>
              <w:t>to</w:t>
            </w:r>
            <w:r>
              <w:rPr>
                <w:b/>
                <w:spacing w:val="-12"/>
                <w:sz w:val="18"/>
              </w:rPr>
              <w:t xml:space="preserve"> </w:t>
            </w:r>
            <w:r>
              <w:rPr>
                <w:b/>
                <w:sz w:val="18"/>
              </w:rPr>
              <w:t xml:space="preserve">5 </w:t>
            </w:r>
            <w:r>
              <w:rPr>
                <w:b/>
                <w:spacing w:val="-2"/>
                <w:sz w:val="18"/>
              </w:rPr>
              <w:t>years</w:t>
            </w:r>
          </w:p>
          <w:p w14:paraId="588E720D" w14:textId="77777777" w:rsidR="00AC6F3C" w:rsidRDefault="00570E88">
            <w:pPr>
              <w:pStyle w:val="TableParagraph"/>
              <w:spacing w:line="205" w:lineRule="exact"/>
              <w:ind w:left="389"/>
              <w:rPr>
                <w:b/>
                <w:sz w:val="18"/>
              </w:rPr>
            </w:pPr>
            <w:r>
              <w:rPr>
                <w:b/>
                <w:spacing w:val="-2"/>
                <w:sz w:val="18"/>
              </w:rPr>
              <w:t>$’000</w:t>
            </w:r>
          </w:p>
        </w:tc>
        <w:tc>
          <w:tcPr>
            <w:tcW w:w="2090" w:type="dxa"/>
            <w:gridSpan w:val="2"/>
            <w:tcBorders>
              <w:top w:val="single" w:sz="6" w:space="0" w:color="000000"/>
              <w:bottom w:val="single" w:sz="6" w:space="0" w:color="000000"/>
              <w:right w:val="single" w:sz="6" w:space="0" w:color="000000"/>
            </w:tcBorders>
            <w:shd w:val="clear" w:color="auto" w:fill="BEBEBE"/>
          </w:tcPr>
          <w:p w14:paraId="6BBA4120" w14:textId="77777777" w:rsidR="00AC6F3C" w:rsidRDefault="00570E88">
            <w:pPr>
              <w:pStyle w:val="TableParagraph"/>
              <w:tabs>
                <w:tab w:val="left" w:pos="1640"/>
              </w:tabs>
              <w:spacing w:before="40"/>
              <w:ind w:left="202"/>
              <w:rPr>
                <w:b/>
                <w:sz w:val="18"/>
              </w:rPr>
            </w:pPr>
            <w:r>
              <w:rPr>
                <w:b/>
                <w:sz w:val="18"/>
              </w:rPr>
              <w:t>&gt;5</w:t>
            </w:r>
            <w:r>
              <w:rPr>
                <w:b/>
                <w:spacing w:val="-5"/>
                <w:sz w:val="18"/>
              </w:rPr>
              <w:t xml:space="preserve"> </w:t>
            </w:r>
            <w:r>
              <w:rPr>
                <w:b/>
                <w:spacing w:val="-2"/>
                <w:sz w:val="18"/>
              </w:rPr>
              <w:t>years</w:t>
            </w:r>
            <w:r>
              <w:rPr>
                <w:b/>
                <w:sz w:val="18"/>
              </w:rPr>
              <w:tab/>
            </w:r>
            <w:r>
              <w:rPr>
                <w:b/>
                <w:spacing w:val="-4"/>
                <w:position w:val="3"/>
                <w:sz w:val="18"/>
              </w:rPr>
              <w:t>Total</w:t>
            </w:r>
          </w:p>
          <w:p w14:paraId="636151BF" w14:textId="77777777" w:rsidR="00AC6F3C" w:rsidRDefault="00AC6F3C">
            <w:pPr>
              <w:pStyle w:val="TableParagraph"/>
              <w:spacing w:before="5"/>
              <w:rPr>
                <w:b/>
                <w:sz w:val="31"/>
              </w:rPr>
            </w:pPr>
          </w:p>
          <w:p w14:paraId="278A0699" w14:textId="77777777" w:rsidR="00AC6F3C" w:rsidRDefault="00570E88">
            <w:pPr>
              <w:pStyle w:val="TableParagraph"/>
              <w:tabs>
                <w:tab w:val="left" w:pos="1595"/>
              </w:tabs>
              <w:spacing w:line="224" w:lineRule="exact"/>
              <w:ind w:left="472"/>
              <w:rPr>
                <w:b/>
                <w:sz w:val="18"/>
              </w:rPr>
            </w:pPr>
            <w:r>
              <w:rPr>
                <w:b/>
                <w:spacing w:val="-2"/>
                <w:position w:val="-2"/>
                <w:sz w:val="18"/>
              </w:rPr>
              <w:t>$’000</w:t>
            </w:r>
            <w:r>
              <w:rPr>
                <w:b/>
                <w:position w:val="-2"/>
                <w:sz w:val="18"/>
              </w:rPr>
              <w:tab/>
            </w:r>
            <w:r>
              <w:rPr>
                <w:b/>
                <w:spacing w:val="-2"/>
                <w:sz w:val="18"/>
              </w:rPr>
              <w:t>$’000</w:t>
            </w:r>
          </w:p>
        </w:tc>
      </w:tr>
      <w:tr w:rsidR="00AC6F3C" w14:paraId="62516267" w14:textId="77777777">
        <w:trPr>
          <w:trHeight w:val="284"/>
        </w:trPr>
        <w:tc>
          <w:tcPr>
            <w:tcW w:w="8344" w:type="dxa"/>
            <w:gridSpan w:val="5"/>
            <w:tcBorders>
              <w:top w:val="single" w:sz="6" w:space="0" w:color="000000"/>
              <w:left w:val="single" w:sz="6" w:space="0" w:color="000000"/>
              <w:bottom w:val="single" w:sz="6" w:space="0" w:color="000000"/>
              <w:right w:val="single" w:sz="6" w:space="0" w:color="000000"/>
            </w:tcBorders>
          </w:tcPr>
          <w:p w14:paraId="2E2BD32E" w14:textId="77777777" w:rsidR="00AC6F3C" w:rsidRDefault="00AC6F3C">
            <w:pPr>
              <w:pStyle w:val="TableParagraph"/>
              <w:rPr>
                <w:rFonts w:ascii="Times New Roman"/>
                <w:sz w:val="18"/>
              </w:rPr>
            </w:pPr>
          </w:p>
        </w:tc>
      </w:tr>
      <w:tr w:rsidR="00AC6F3C" w14:paraId="0D5C022D" w14:textId="77777777">
        <w:trPr>
          <w:trHeight w:val="284"/>
        </w:trPr>
        <w:tc>
          <w:tcPr>
            <w:tcW w:w="8344" w:type="dxa"/>
            <w:gridSpan w:val="5"/>
            <w:tcBorders>
              <w:top w:val="single" w:sz="6" w:space="0" w:color="000000"/>
              <w:left w:val="single" w:sz="6" w:space="0" w:color="000000"/>
              <w:bottom w:val="single" w:sz="6" w:space="0" w:color="000000"/>
              <w:right w:val="single" w:sz="6" w:space="0" w:color="000000"/>
            </w:tcBorders>
            <w:shd w:val="clear" w:color="auto" w:fill="BEBEBE"/>
          </w:tcPr>
          <w:p w14:paraId="6738E953" w14:textId="77777777" w:rsidR="00AC6F3C" w:rsidRDefault="00570E88">
            <w:pPr>
              <w:pStyle w:val="TableParagraph"/>
              <w:spacing w:before="70" w:line="194" w:lineRule="exact"/>
              <w:ind w:left="37"/>
              <w:rPr>
                <w:b/>
                <w:sz w:val="18"/>
              </w:rPr>
            </w:pPr>
            <w:r>
              <w:rPr>
                <w:b/>
                <w:spacing w:val="-4"/>
                <w:sz w:val="18"/>
              </w:rPr>
              <w:t>2023</w:t>
            </w:r>
          </w:p>
        </w:tc>
      </w:tr>
      <w:tr w:rsidR="00AC6F3C" w14:paraId="2E91078B" w14:textId="77777777">
        <w:trPr>
          <w:trHeight w:val="1181"/>
        </w:trPr>
        <w:tc>
          <w:tcPr>
            <w:tcW w:w="3877" w:type="dxa"/>
            <w:tcBorders>
              <w:top w:val="single" w:sz="6" w:space="0" w:color="000000"/>
              <w:left w:val="single" w:sz="6" w:space="0" w:color="000000"/>
              <w:bottom w:val="single" w:sz="6" w:space="0" w:color="000000"/>
            </w:tcBorders>
          </w:tcPr>
          <w:p w14:paraId="1DCC36D7" w14:textId="77777777" w:rsidR="00AC6F3C" w:rsidRDefault="00570E88">
            <w:pPr>
              <w:pStyle w:val="TableParagraph"/>
              <w:spacing w:before="70"/>
              <w:ind w:left="37"/>
              <w:rPr>
                <w:b/>
                <w:sz w:val="18"/>
              </w:rPr>
            </w:pPr>
            <w:r>
              <w:rPr>
                <w:b/>
                <w:spacing w:val="-2"/>
                <w:sz w:val="18"/>
              </w:rPr>
              <w:t>Unearned</w:t>
            </w:r>
            <w:r>
              <w:rPr>
                <w:b/>
                <w:spacing w:val="-8"/>
                <w:sz w:val="18"/>
              </w:rPr>
              <w:t xml:space="preserve"> </w:t>
            </w:r>
            <w:r>
              <w:rPr>
                <w:b/>
                <w:spacing w:val="-2"/>
                <w:sz w:val="18"/>
              </w:rPr>
              <w:t>premium</w:t>
            </w:r>
            <w:r>
              <w:rPr>
                <w:b/>
                <w:spacing w:val="3"/>
                <w:sz w:val="18"/>
              </w:rPr>
              <w:t xml:space="preserve"> </w:t>
            </w:r>
            <w:r>
              <w:rPr>
                <w:b/>
                <w:spacing w:val="-2"/>
                <w:sz w:val="18"/>
              </w:rPr>
              <w:t>reserves</w:t>
            </w:r>
          </w:p>
          <w:p w14:paraId="3E609C50" w14:textId="77777777" w:rsidR="00AC6F3C" w:rsidRDefault="00570E88">
            <w:pPr>
              <w:pStyle w:val="TableParagraph"/>
              <w:spacing w:before="92" w:line="348" w:lineRule="auto"/>
              <w:ind w:left="37" w:right="1571"/>
              <w:rPr>
                <w:sz w:val="18"/>
              </w:rPr>
            </w:pPr>
            <w:r>
              <w:rPr>
                <w:sz w:val="18"/>
              </w:rPr>
              <w:t>Unexpired risk reserve Gross</w:t>
            </w:r>
            <w:r>
              <w:rPr>
                <w:spacing w:val="14"/>
                <w:sz w:val="18"/>
              </w:rPr>
              <w:t xml:space="preserve"> </w:t>
            </w:r>
            <w:r>
              <w:rPr>
                <w:sz w:val="18"/>
              </w:rPr>
              <w:t>central</w:t>
            </w:r>
            <w:r>
              <w:rPr>
                <w:spacing w:val="3"/>
                <w:sz w:val="18"/>
              </w:rPr>
              <w:t xml:space="preserve"> </w:t>
            </w:r>
            <w:r>
              <w:rPr>
                <w:spacing w:val="-2"/>
                <w:sz w:val="18"/>
              </w:rPr>
              <w:t>estimate</w:t>
            </w:r>
          </w:p>
          <w:p w14:paraId="1B598A79" w14:textId="77777777" w:rsidR="00AC6F3C" w:rsidRDefault="00570E88">
            <w:pPr>
              <w:pStyle w:val="TableParagraph"/>
              <w:spacing w:line="192" w:lineRule="exact"/>
              <w:ind w:left="37"/>
              <w:rPr>
                <w:sz w:val="18"/>
              </w:rPr>
            </w:pPr>
            <w:r>
              <w:rPr>
                <w:sz w:val="18"/>
              </w:rPr>
              <w:t>Unexpired</w:t>
            </w:r>
            <w:r>
              <w:rPr>
                <w:spacing w:val="4"/>
                <w:sz w:val="18"/>
              </w:rPr>
              <w:t xml:space="preserve"> </w:t>
            </w:r>
            <w:r>
              <w:rPr>
                <w:sz w:val="18"/>
              </w:rPr>
              <w:t>risk</w:t>
            </w:r>
            <w:r>
              <w:rPr>
                <w:spacing w:val="-1"/>
                <w:sz w:val="18"/>
              </w:rPr>
              <w:t xml:space="preserve"> </w:t>
            </w:r>
            <w:r>
              <w:rPr>
                <w:sz w:val="18"/>
              </w:rPr>
              <w:t>reserves</w:t>
            </w:r>
            <w:r>
              <w:rPr>
                <w:spacing w:val="16"/>
                <w:sz w:val="18"/>
              </w:rPr>
              <w:t xml:space="preserve"> </w:t>
            </w:r>
            <w:r>
              <w:rPr>
                <w:sz w:val="18"/>
              </w:rPr>
              <w:t>-</w:t>
            </w:r>
            <w:r>
              <w:rPr>
                <w:spacing w:val="-1"/>
                <w:sz w:val="18"/>
              </w:rPr>
              <w:t xml:space="preserve"> </w:t>
            </w:r>
            <w:r>
              <w:rPr>
                <w:spacing w:val="-2"/>
                <w:sz w:val="18"/>
              </w:rPr>
              <w:t>reinsurance</w:t>
            </w:r>
          </w:p>
        </w:tc>
        <w:tc>
          <w:tcPr>
            <w:tcW w:w="1336" w:type="dxa"/>
            <w:tcBorders>
              <w:top w:val="single" w:sz="6" w:space="0" w:color="000000"/>
              <w:bottom w:val="single" w:sz="6" w:space="0" w:color="000000"/>
            </w:tcBorders>
          </w:tcPr>
          <w:p w14:paraId="5521FC87" w14:textId="77777777" w:rsidR="00AC6F3C" w:rsidRDefault="00AC6F3C">
            <w:pPr>
              <w:pStyle w:val="TableParagraph"/>
              <w:rPr>
                <w:b/>
                <w:sz w:val="20"/>
              </w:rPr>
            </w:pPr>
          </w:p>
          <w:p w14:paraId="13E1A634" w14:textId="77777777" w:rsidR="00AC6F3C" w:rsidRDefault="00570E88">
            <w:pPr>
              <w:pStyle w:val="TableParagraph"/>
              <w:spacing w:before="139" w:line="348" w:lineRule="auto"/>
              <w:ind w:left="602" w:right="267" w:firstLine="404"/>
              <w:jc w:val="right"/>
              <w:rPr>
                <w:sz w:val="18"/>
              </w:rPr>
            </w:pPr>
            <w:r>
              <w:rPr>
                <w:spacing w:val="-10"/>
                <w:sz w:val="18"/>
              </w:rPr>
              <w:t>-</w:t>
            </w:r>
            <w:r>
              <w:rPr>
                <w:spacing w:val="-2"/>
                <w:sz w:val="18"/>
              </w:rPr>
              <w:t xml:space="preserve"> 3,179</w:t>
            </w:r>
          </w:p>
          <w:p w14:paraId="52B1E697" w14:textId="77777777" w:rsidR="00AC6F3C" w:rsidRDefault="00570E88">
            <w:pPr>
              <w:pStyle w:val="TableParagraph"/>
              <w:spacing w:line="192" w:lineRule="exact"/>
              <w:ind w:right="267"/>
              <w:jc w:val="right"/>
              <w:rPr>
                <w:sz w:val="18"/>
              </w:rPr>
            </w:pPr>
            <w:r>
              <w:rPr>
                <w:w w:val="99"/>
                <w:sz w:val="18"/>
              </w:rPr>
              <w:t>-</w:t>
            </w:r>
          </w:p>
        </w:tc>
        <w:tc>
          <w:tcPr>
            <w:tcW w:w="1041" w:type="dxa"/>
            <w:tcBorders>
              <w:top w:val="single" w:sz="6" w:space="0" w:color="000000"/>
              <w:bottom w:val="single" w:sz="6" w:space="0" w:color="000000"/>
            </w:tcBorders>
          </w:tcPr>
          <w:p w14:paraId="0DE8168F" w14:textId="77777777" w:rsidR="00AC6F3C" w:rsidRDefault="00AC6F3C">
            <w:pPr>
              <w:pStyle w:val="TableParagraph"/>
              <w:rPr>
                <w:b/>
                <w:sz w:val="20"/>
              </w:rPr>
            </w:pPr>
          </w:p>
          <w:p w14:paraId="1BB62E6A" w14:textId="77777777" w:rsidR="00AC6F3C" w:rsidRDefault="00570E88">
            <w:pPr>
              <w:pStyle w:val="TableParagraph"/>
              <w:spacing w:before="139" w:line="348" w:lineRule="auto"/>
              <w:ind w:left="285" w:right="184" w:firstLine="509"/>
              <w:jc w:val="right"/>
              <w:rPr>
                <w:sz w:val="18"/>
              </w:rPr>
            </w:pPr>
            <w:r>
              <w:rPr>
                <w:spacing w:val="-10"/>
                <w:sz w:val="18"/>
              </w:rPr>
              <w:t>-</w:t>
            </w:r>
            <w:r>
              <w:rPr>
                <w:spacing w:val="-2"/>
                <w:sz w:val="18"/>
              </w:rPr>
              <w:t xml:space="preserve"> 12,487</w:t>
            </w:r>
          </w:p>
          <w:p w14:paraId="371F5068" w14:textId="77777777" w:rsidR="00AC6F3C" w:rsidRDefault="00570E88">
            <w:pPr>
              <w:pStyle w:val="TableParagraph"/>
              <w:spacing w:line="192" w:lineRule="exact"/>
              <w:ind w:right="179"/>
              <w:jc w:val="right"/>
              <w:rPr>
                <w:sz w:val="18"/>
              </w:rPr>
            </w:pPr>
            <w:r>
              <w:rPr>
                <w:spacing w:val="-2"/>
                <w:sz w:val="18"/>
              </w:rPr>
              <w:t>(590)</w:t>
            </w:r>
          </w:p>
        </w:tc>
        <w:tc>
          <w:tcPr>
            <w:tcW w:w="959" w:type="dxa"/>
            <w:tcBorders>
              <w:top w:val="single" w:sz="6" w:space="0" w:color="000000"/>
              <w:bottom w:val="single" w:sz="6" w:space="0" w:color="000000"/>
            </w:tcBorders>
          </w:tcPr>
          <w:p w14:paraId="475C6C97" w14:textId="77777777" w:rsidR="00AC6F3C" w:rsidRDefault="00AC6F3C">
            <w:pPr>
              <w:pStyle w:val="TableParagraph"/>
              <w:rPr>
                <w:b/>
                <w:sz w:val="20"/>
              </w:rPr>
            </w:pPr>
          </w:p>
          <w:p w14:paraId="3FBEA948" w14:textId="77777777" w:rsidR="00AC6F3C" w:rsidRDefault="00570E88">
            <w:pPr>
              <w:pStyle w:val="TableParagraph"/>
              <w:spacing w:before="139" w:line="348" w:lineRule="auto"/>
              <w:ind w:left="472" w:right="20" w:firstLine="404"/>
              <w:jc w:val="right"/>
              <w:rPr>
                <w:sz w:val="18"/>
              </w:rPr>
            </w:pPr>
            <w:r>
              <w:rPr>
                <w:spacing w:val="-10"/>
                <w:sz w:val="18"/>
              </w:rPr>
              <w:t>-</w:t>
            </w:r>
            <w:r>
              <w:rPr>
                <w:spacing w:val="-2"/>
                <w:sz w:val="18"/>
              </w:rPr>
              <w:t xml:space="preserve"> 5,022</w:t>
            </w:r>
          </w:p>
          <w:p w14:paraId="1071137D" w14:textId="77777777" w:rsidR="00AC6F3C" w:rsidRDefault="00570E88">
            <w:pPr>
              <w:pStyle w:val="TableParagraph"/>
              <w:spacing w:line="192" w:lineRule="exact"/>
              <w:ind w:right="15"/>
              <w:jc w:val="right"/>
              <w:rPr>
                <w:sz w:val="18"/>
              </w:rPr>
            </w:pPr>
            <w:r>
              <w:rPr>
                <w:spacing w:val="-2"/>
                <w:sz w:val="18"/>
              </w:rPr>
              <w:t>(790)</w:t>
            </w:r>
          </w:p>
        </w:tc>
        <w:tc>
          <w:tcPr>
            <w:tcW w:w="1131" w:type="dxa"/>
            <w:tcBorders>
              <w:top w:val="single" w:sz="6" w:space="0" w:color="000000"/>
              <w:bottom w:val="single" w:sz="6" w:space="0" w:color="000000"/>
              <w:right w:val="single" w:sz="6" w:space="0" w:color="000000"/>
            </w:tcBorders>
            <w:shd w:val="clear" w:color="auto" w:fill="F1F1F1"/>
          </w:tcPr>
          <w:p w14:paraId="5D055E34" w14:textId="77777777" w:rsidR="00AC6F3C" w:rsidRDefault="00AC6F3C">
            <w:pPr>
              <w:pStyle w:val="TableParagraph"/>
              <w:rPr>
                <w:b/>
                <w:sz w:val="20"/>
              </w:rPr>
            </w:pPr>
          </w:p>
          <w:p w14:paraId="31FBC8C8" w14:textId="77777777" w:rsidR="00AC6F3C" w:rsidRDefault="00570E88">
            <w:pPr>
              <w:pStyle w:val="TableParagraph"/>
              <w:spacing w:before="139" w:line="348" w:lineRule="auto"/>
              <w:ind w:left="532" w:right="20" w:firstLine="509"/>
              <w:jc w:val="right"/>
              <w:rPr>
                <w:sz w:val="18"/>
              </w:rPr>
            </w:pPr>
            <w:r>
              <w:rPr>
                <w:spacing w:val="-10"/>
                <w:sz w:val="18"/>
              </w:rPr>
              <w:t>-</w:t>
            </w:r>
            <w:r>
              <w:rPr>
                <w:spacing w:val="-2"/>
                <w:sz w:val="18"/>
              </w:rPr>
              <w:t xml:space="preserve"> 20,689</w:t>
            </w:r>
          </w:p>
          <w:p w14:paraId="23527CF8" w14:textId="77777777" w:rsidR="00AC6F3C" w:rsidRDefault="00570E88">
            <w:pPr>
              <w:pStyle w:val="TableParagraph"/>
              <w:spacing w:line="192" w:lineRule="exact"/>
              <w:ind w:right="15"/>
              <w:jc w:val="right"/>
              <w:rPr>
                <w:sz w:val="18"/>
              </w:rPr>
            </w:pPr>
            <w:r>
              <w:rPr>
                <w:spacing w:val="-2"/>
                <w:sz w:val="18"/>
              </w:rPr>
              <w:t>(1,380)</w:t>
            </w:r>
          </w:p>
        </w:tc>
      </w:tr>
      <w:tr w:rsidR="00AC6F3C" w14:paraId="7709953B" w14:textId="77777777">
        <w:trPr>
          <w:trHeight w:val="284"/>
        </w:trPr>
        <w:tc>
          <w:tcPr>
            <w:tcW w:w="3877" w:type="dxa"/>
            <w:tcBorders>
              <w:top w:val="single" w:sz="6" w:space="0" w:color="000000"/>
              <w:left w:val="single" w:sz="6" w:space="0" w:color="000000"/>
              <w:bottom w:val="single" w:sz="6" w:space="0" w:color="000000"/>
            </w:tcBorders>
            <w:shd w:val="clear" w:color="auto" w:fill="BEBEBE"/>
          </w:tcPr>
          <w:p w14:paraId="0CDB23FC" w14:textId="77777777" w:rsidR="00AC6F3C" w:rsidRDefault="00570E88">
            <w:pPr>
              <w:pStyle w:val="TableParagraph"/>
              <w:spacing w:before="70" w:line="194" w:lineRule="exact"/>
              <w:ind w:left="37"/>
              <w:rPr>
                <w:b/>
                <w:sz w:val="18"/>
              </w:rPr>
            </w:pPr>
            <w:r>
              <w:rPr>
                <w:b/>
                <w:sz w:val="18"/>
              </w:rPr>
              <w:t>Net</w:t>
            </w:r>
            <w:r>
              <w:rPr>
                <w:b/>
                <w:spacing w:val="-9"/>
                <w:sz w:val="18"/>
              </w:rPr>
              <w:t xml:space="preserve"> </w:t>
            </w:r>
            <w:r>
              <w:rPr>
                <w:b/>
                <w:sz w:val="18"/>
              </w:rPr>
              <w:t>central</w:t>
            </w:r>
            <w:r>
              <w:rPr>
                <w:b/>
                <w:spacing w:val="-12"/>
                <w:sz w:val="18"/>
              </w:rPr>
              <w:t xml:space="preserve"> </w:t>
            </w:r>
            <w:r>
              <w:rPr>
                <w:b/>
                <w:spacing w:val="-2"/>
                <w:sz w:val="18"/>
              </w:rPr>
              <w:t>estimate</w:t>
            </w:r>
          </w:p>
        </w:tc>
        <w:tc>
          <w:tcPr>
            <w:tcW w:w="1336" w:type="dxa"/>
            <w:tcBorders>
              <w:top w:val="single" w:sz="6" w:space="0" w:color="000000"/>
              <w:bottom w:val="single" w:sz="6" w:space="0" w:color="000000"/>
            </w:tcBorders>
            <w:shd w:val="clear" w:color="auto" w:fill="BEBEBE"/>
          </w:tcPr>
          <w:p w14:paraId="4E002EC5" w14:textId="77777777" w:rsidR="00AC6F3C" w:rsidRDefault="00570E88">
            <w:pPr>
              <w:pStyle w:val="TableParagraph"/>
              <w:spacing w:before="70" w:line="194" w:lineRule="exact"/>
              <w:ind w:right="267"/>
              <w:jc w:val="right"/>
              <w:rPr>
                <w:b/>
                <w:sz w:val="18"/>
              </w:rPr>
            </w:pPr>
            <w:r>
              <w:rPr>
                <w:b/>
                <w:spacing w:val="-2"/>
                <w:sz w:val="18"/>
              </w:rPr>
              <w:t>3,179</w:t>
            </w:r>
          </w:p>
        </w:tc>
        <w:tc>
          <w:tcPr>
            <w:tcW w:w="1041" w:type="dxa"/>
            <w:tcBorders>
              <w:top w:val="single" w:sz="6" w:space="0" w:color="000000"/>
              <w:bottom w:val="single" w:sz="6" w:space="0" w:color="000000"/>
            </w:tcBorders>
            <w:shd w:val="clear" w:color="auto" w:fill="BEBEBE"/>
          </w:tcPr>
          <w:p w14:paraId="780F2C8E" w14:textId="77777777" w:rsidR="00AC6F3C" w:rsidRDefault="00570E88">
            <w:pPr>
              <w:pStyle w:val="TableParagraph"/>
              <w:spacing w:before="70" w:line="194" w:lineRule="exact"/>
              <w:ind w:right="184"/>
              <w:jc w:val="right"/>
              <w:rPr>
                <w:b/>
                <w:sz w:val="18"/>
              </w:rPr>
            </w:pPr>
            <w:r>
              <w:rPr>
                <w:b/>
                <w:spacing w:val="-2"/>
                <w:sz w:val="18"/>
              </w:rPr>
              <w:t>11,897</w:t>
            </w:r>
          </w:p>
        </w:tc>
        <w:tc>
          <w:tcPr>
            <w:tcW w:w="959" w:type="dxa"/>
            <w:tcBorders>
              <w:top w:val="single" w:sz="6" w:space="0" w:color="000000"/>
              <w:bottom w:val="single" w:sz="6" w:space="0" w:color="000000"/>
            </w:tcBorders>
            <w:shd w:val="clear" w:color="auto" w:fill="BEBEBE"/>
          </w:tcPr>
          <w:p w14:paraId="792D407D" w14:textId="77777777" w:rsidR="00AC6F3C" w:rsidRDefault="00570E88">
            <w:pPr>
              <w:pStyle w:val="TableParagraph"/>
              <w:spacing w:before="70" w:line="194" w:lineRule="exact"/>
              <w:ind w:right="20"/>
              <w:jc w:val="right"/>
              <w:rPr>
                <w:b/>
                <w:sz w:val="18"/>
              </w:rPr>
            </w:pPr>
            <w:r>
              <w:rPr>
                <w:b/>
                <w:spacing w:val="-2"/>
                <w:sz w:val="18"/>
              </w:rPr>
              <w:t>4,233</w:t>
            </w:r>
          </w:p>
        </w:tc>
        <w:tc>
          <w:tcPr>
            <w:tcW w:w="1131" w:type="dxa"/>
            <w:tcBorders>
              <w:top w:val="single" w:sz="6" w:space="0" w:color="000000"/>
              <w:bottom w:val="single" w:sz="6" w:space="0" w:color="000000"/>
              <w:right w:val="single" w:sz="6" w:space="0" w:color="000000"/>
            </w:tcBorders>
            <w:shd w:val="clear" w:color="auto" w:fill="BEBEBE"/>
          </w:tcPr>
          <w:p w14:paraId="580FF3D2" w14:textId="77777777" w:rsidR="00AC6F3C" w:rsidRDefault="00570E88">
            <w:pPr>
              <w:pStyle w:val="TableParagraph"/>
              <w:spacing w:before="70" w:line="194" w:lineRule="exact"/>
              <w:ind w:right="20"/>
              <w:jc w:val="right"/>
              <w:rPr>
                <w:b/>
                <w:sz w:val="18"/>
              </w:rPr>
            </w:pPr>
            <w:r>
              <w:rPr>
                <w:b/>
                <w:spacing w:val="-2"/>
                <w:sz w:val="18"/>
              </w:rPr>
              <w:t>19,309</w:t>
            </w:r>
          </w:p>
        </w:tc>
      </w:tr>
      <w:tr w:rsidR="00AC6F3C" w14:paraId="3FB77671" w14:textId="77777777">
        <w:trPr>
          <w:trHeight w:val="326"/>
        </w:trPr>
        <w:tc>
          <w:tcPr>
            <w:tcW w:w="7213" w:type="dxa"/>
            <w:gridSpan w:val="4"/>
            <w:tcBorders>
              <w:top w:val="single" w:sz="6" w:space="0" w:color="000000"/>
              <w:left w:val="single" w:sz="6" w:space="0" w:color="000000"/>
            </w:tcBorders>
          </w:tcPr>
          <w:p w14:paraId="45AEDF63" w14:textId="77777777" w:rsidR="00AC6F3C" w:rsidRDefault="00570E88">
            <w:pPr>
              <w:pStyle w:val="TableParagraph"/>
              <w:spacing w:before="70"/>
              <w:ind w:left="37"/>
              <w:rPr>
                <w:sz w:val="18"/>
              </w:rPr>
            </w:pPr>
            <w:r>
              <w:rPr>
                <w:spacing w:val="-2"/>
                <w:sz w:val="18"/>
              </w:rPr>
              <w:t>Discount</w:t>
            </w:r>
          </w:p>
        </w:tc>
        <w:tc>
          <w:tcPr>
            <w:tcW w:w="1131" w:type="dxa"/>
            <w:tcBorders>
              <w:top w:val="single" w:sz="6" w:space="0" w:color="000000"/>
              <w:right w:val="single" w:sz="6" w:space="0" w:color="000000"/>
            </w:tcBorders>
            <w:shd w:val="clear" w:color="auto" w:fill="F1F1F1"/>
          </w:tcPr>
          <w:p w14:paraId="60BCA29E" w14:textId="77777777" w:rsidR="00AC6F3C" w:rsidRDefault="00570E88">
            <w:pPr>
              <w:pStyle w:val="TableParagraph"/>
              <w:spacing w:before="70"/>
              <w:ind w:right="15"/>
              <w:jc w:val="right"/>
              <w:rPr>
                <w:sz w:val="18"/>
              </w:rPr>
            </w:pPr>
            <w:r>
              <w:rPr>
                <w:spacing w:val="-2"/>
                <w:sz w:val="18"/>
              </w:rPr>
              <w:t>(2,371)</w:t>
            </w:r>
          </w:p>
        </w:tc>
      </w:tr>
      <w:tr w:rsidR="00AC6F3C" w14:paraId="7F5D732C" w14:textId="77777777">
        <w:trPr>
          <w:trHeight w:val="299"/>
        </w:trPr>
        <w:tc>
          <w:tcPr>
            <w:tcW w:w="7213" w:type="dxa"/>
            <w:gridSpan w:val="4"/>
            <w:tcBorders>
              <w:left w:val="single" w:sz="6" w:space="0" w:color="000000"/>
            </w:tcBorders>
          </w:tcPr>
          <w:p w14:paraId="7C47AE3B" w14:textId="77777777" w:rsidR="00AC6F3C" w:rsidRDefault="00570E88">
            <w:pPr>
              <w:pStyle w:val="TableParagraph"/>
              <w:spacing w:before="43"/>
              <w:ind w:left="37"/>
              <w:rPr>
                <w:sz w:val="18"/>
              </w:rPr>
            </w:pPr>
            <w:r>
              <w:rPr>
                <w:sz w:val="18"/>
              </w:rPr>
              <w:t>Risk</w:t>
            </w:r>
            <w:r>
              <w:rPr>
                <w:spacing w:val="14"/>
                <w:sz w:val="18"/>
              </w:rPr>
              <w:t xml:space="preserve"> </w:t>
            </w:r>
            <w:r>
              <w:rPr>
                <w:spacing w:val="-2"/>
                <w:sz w:val="18"/>
              </w:rPr>
              <w:t>margins</w:t>
            </w:r>
          </w:p>
        </w:tc>
        <w:tc>
          <w:tcPr>
            <w:tcW w:w="1131" w:type="dxa"/>
            <w:tcBorders>
              <w:right w:val="single" w:sz="6" w:space="0" w:color="000000"/>
            </w:tcBorders>
            <w:shd w:val="clear" w:color="auto" w:fill="F1F1F1"/>
          </w:tcPr>
          <w:p w14:paraId="64F3FDD3" w14:textId="77777777" w:rsidR="00AC6F3C" w:rsidRDefault="00570E88">
            <w:pPr>
              <w:pStyle w:val="TableParagraph"/>
              <w:spacing w:before="43"/>
              <w:ind w:right="20"/>
              <w:jc w:val="right"/>
              <w:rPr>
                <w:sz w:val="18"/>
              </w:rPr>
            </w:pPr>
            <w:r>
              <w:rPr>
                <w:spacing w:val="-2"/>
                <w:sz w:val="18"/>
              </w:rPr>
              <w:t>4,330</w:t>
            </w:r>
          </w:p>
        </w:tc>
      </w:tr>
      <w:tr w:rsidR="00AC6F3C" w14:paraId="146442A9" w14:textId="77777777">
        <w:trPr>
          <w:trHeight w:val="299"/>
        </w:trPr>
        <w:tc>
          <w:tcPr>
            <w:tcW w:w="7213" w:type="dxa"/>
            <w:gridSpan w:val="4"/>
            <w:tcBorders>
              <w:left w:val="single" w:sz="6" w:space="0" w:color="000000"/>
            </w:tcBorders>
          </w:tcPr>
          <w:p w14:paraId="3F1851ED" w14:textId="77777777" w:rsidR="00AC6F3C" w:rsidRDefault="00570E88">
            <w:pPr>
              <w:pStyle w:val="TableParagraph"/>
              <w:spacing w:before="43"/>
              <w:ind w:left="37"/>
              <w:rPr>
                <w:sz w:val="18"/>
              </w:rPr>
            </w:pPr>
            <w:r>
              <w:rPr>
                <w:sz w:val="18"/>
              </w:rPr>
              <w:t>Duty</w:t>
            </w:r>
            <w:r>
              <w:rPr>
                <w:spacing w:val="-20"/>
                <w:sz w:val="18"/>
              </w:rPr>
              <w:t xml:space="preserve"> </w:t>
            </w:r>
            <w:r>
              <w:rPr>
                <w:sz w:val="18"/>
              </w:rPr>
              <w:t>and</w:t>
            </w:r>
            <w:r>
              <w:rPr>
                <w:spacing w:val="3"/>
                <w:sz w:val="18"/>
              </w:rPr>
              <w:t xml:space="preserve"> </w:t>
            </w:r>
            <w:r>
              <w:rPr>
                <w:sz w:val="18"/>
              </w:rPr>
              <w:t>other</w:t>
            </w:r>
            <w:r>
              <w:rPr>
                <w:spacing w:val="-3"/>
                <w:sz w:val="18"/>
              </w:rPr>
              <w:t xml:space="preserve"> </w:t>
            </w:r>
            <w:r>
              <w:rPr>
                <w:spacing w:val="-4"/>
                <w:sz w:val="18"/>
              </w:rPr>
              <w:t>costs</w:t>
            </w:r>
          </w:p>
        </w:tc>
        <w:tc>
          <w:tcPr>
            <w:tcW w:w="1131" w:type="dxa"/>
            <w:tcBorders>
              <w:right w:val="single" w:sz="6" w:space="0" w:color="000000"/>
            </w:tcBorders>
            <w:shd w:val="clear" w:color="auto" w:fill="F1F1F1"/>
          </w:tcPr>
          <w:p w14:paraId="230BBD27" w14:textId="77777777" w:rsidR="00AC6F3C" w:rsidRDefault="00570E88">
            <w:pPr>
              <w:pStyle w:val="TableParagraph"/>
              <w:spacing w:before="43"/>
              <w:ind w:right="20"/>
              <w:jc w:val="right"/>
              <w:rPr>
                <w:sz w:val="18"/>
              </w:rPr>
            </w:pPr>
            <w:r>
              <w:rPr>
                <w:spacing w:val="-2"/>
                <w:sz w:val="18"/>
              </w:rPr>
              <w:t>5,322</w:t>
            </w:r>
          </w:p>
        </w:tc>
      </w:tr>
      <w:tr w:rsidR="00AC6F3C" w14:paraId="0E00C0BE" w14:textId="77777777">
        <w:trPr>
          <w:trHeight w:val="256"/>
        </w:trPr>
        <w:tc>
          <w:tcPr>
            <w:tcW w:w="7213" w:type="dxa"/>
            <w:gridSpan w:val="4"/>
            <w:tcBorders>
              <w:left w:val="single" w:sz="6" w:space="0" w:color="000000"/>
              <w:bottom w:val="single" w:sz="6" w:space="0" w:color="000000"/>
            </w:tcBorders>
          </w:tcPr>
          <w:p w14:paraId="655DF76D" w14:textId="77777777" w:rsidR="00AC6F3C" w:rsidRDefault="00570E88">
            <w:pPr>
              <w:pStyle w:val="TableParagraph"/>
              <w:spacing w:before="43" w:line="194" w:lineRule="exact"/>
              <w:ind w:left="37"/>
              <w:rPr>
                <w:sz w:val="18"/>
              </w:rPr>
            </w:pPr>
            <w:r>
              <w:rPr>
                <w:sz w:val="18"/>
              </w:rPr>
              <w:t>Claims</w:t>
            </w:r>
            <w:r>
              <w:rPr>
                <w:spacing w:val="37"/>
                <w:sz w:val="18"/>
              </w:rPr>
              <w:t xml:space="preserve"> </w:t>
            </w:r>
            <w:r>
              <w:rPr>
                <w:spacing w:val="-2"/>
                <w:sz w:val="18"/>
              </w:rPr>
              <w:t>handling</w:t>
            </w:r>
          </w:p>
        </w:tc>
        <w:tc>
          <w:tcPr>
            <w:tcW w:w="1131" w:type="dxa"/>
            <w:tcBorders>
              <w:bottom w:val="single" w:sz="6" w:space="0" w:color="000000"/>
              <w:right w:val="single" w:sz="6" w:space="0" w:color="000000"/>
            </w:tcBorders>
            <w:shd w:val="clear" w:color="auto" w:fill="F1F1F1"/>
          </w:tcPr>
          <w:p w14:paraId="60EA0CFA" w14:textId="77777777" w:rsidR="00AC6F3C" w:rsidRDefault="00570E88">
            <w:pPr>
              <w:pStyle w:val="TableParagraph"/>
              <w:spacing w:before="43" w:line="194" w:lineRule="exact"/>
              <w:ind w:right="20"/>
              <w:jc w:val="right"/>
              <w:rPr>
                <w:sz w:val="18"/>
              </w:rPr>
            </w:pPr>
            <w:r>
              <w:rPr>
                <w:spacing w:val="-2"/>
                <w:sz w:val="18"/>
              </w:rPr>
              <w:t>1,584</w:t>
            </w:r>
          </w:p>
        </w:tc>
      </w:tr>
      <w:tr w:rsidR="00AC6F3C" w14:paraId="4FB35E25" w14:textId="77777777">
        <w:trPr>
          <w:trHeight w:val="284"/>
        </w:trPr>
        <w:tc>
          <w:tcPr>
            <w:tcW w:w="3877" w:type="dxa"/>
            <w:tcBorders>
              <w:top w:val="single" w:sz="6" w:space="0" w:color="000000"/>
              <w:left w:val="single" w:sz="6" w:space="0" w:color="000000"/>
              <w:bottom w:val="single" w:sz="6" w:space="0" w:color="000000"/>
            </w:tcBorders>
            <w:shd w:val="clear" w:color="auto" w:fill="BEBEBE"/>
          </w:tcPr>
          <w:p w14:paraId="4DEEFE68" w14:textId="77777777" w:rsidR="00AC6F3C" w:rsidRDefault="00570E88">
            <w:pPr>
              <w:pStyle w:val="TableParagraph"/>
              <w:spacing w:before="70" w:line="194" w:lineRule="exact"/>
              <w:ind w:left="37"/>
              <w:rPr>
                <w:b/>
                <w:sz w:val="18"/>
              </w:rPr>
            </w:pPr>
            <w:r>
              <w:rPr>
                <w:b/>
                <w:spacing w:val="-2"/>
                <w:sz w:val="18"/>
              </w:rPr>
              <w:t>Total</w:t>
            </w:r>
            <w:r>
              <w:rPr>
                <w:b/>
                <w:spacing w:val="-8"/>
                <w:sz w:val="18"/>
              </w:rPr>
              <w:t xml:space="preserve"> </w:t>
            </w:r>
            <w:r>
              <w:rPr>
                <w:b/>
                <w:spacing w:val="-2"/>
                <w:sz w:val="18"/>
              </w:rPr>
              <w:t>unearned</w:t>
            </w:r>
            <w:r>
              <w:rPr>
                <w:b/>
                <w:spacing w:val="-8"/>
                <w:sz w:val="18"/>
              </w:rPr>
              <w:t xml:space="preserve"> </w:t>
            </w:r>
            <w:r>
              <w:rPr>
                <w:b/>
                <w:spacing w:val="-2"/>
                <w:sz w:val="18"/>
              </w:rPr>
              <w:t>premium</w:t>
            </w:r>
            <w:r>
              <w:rPr>
                <w:b/>
                <w:spacing w:val="3"/>
                <w:sz w:val="18"/>
              </w:rPr>
              <w:t xml:space="preserve"> </w:t>
            </w:r>
            <w:r>
              <w:rPr>
                <w:b/>
                <w:spacing w:val="-2"/>
                <w:sz w:val="18"/>
              </w:rPr>
              <w:t>and</w:t>
            </w:r>
            <w:r>
              <w:rPr>
                <w:b/>
                <w:spacing w:val="-7"/>
                <w:sz w:val="18"/>
              </w:rPr>
              <w:t xml:space="preserve"> </w:t>
            </w:r>
            <w:r>
              <w:rPr>
                <w:b/>
                <w:spacing w:val="-2"/>
                <w:sz w:val="18"/>
              </w:rPr>
              <w:t>reserves</w:t>
            </w:r>
          </w:p>
        </w:tc>
        <w:tc>
          <w:tcPr>
            <w:tcW w:w="1336" w:type="dxa"/>
            <w:tcBorders>
              <w:top w:val="single" w:sz="6" w:space="0" w:color="000000"/>
              <w:bottom w:val="single" w:sz="6" w:space="0" w:color="000000"/>
            </w:tcBorders>
            <w:shd w:val="clear" w:color="auto" w:fill="BEBEBE"/>
          </w:tcPr>
          <w:p w14:paraId="64A2BD43" w14:textId="77777777" w:rsidR="00AC6F3C" w:rsidRDefault="00AC6F3C">
            <w:pPr>
              <w:pStyle w:val="TableParagraph"/>
              <w:rPr>
                <w:rFonts w:ascii="Times New Roman"/>
                <w:sz w:val="18"/>
              </w:rPr>
            </w:pPr>
          </w:p>
        </w:tc>
        <w:tc>
          <w:tcPr>
            <w:tcW w:w="1041" w:type="dxa"/>
            <w:tcBorders>
              <w:top w:val="single" w:sz="6" w:space="0" w:color="000000"/>
              <w:bottom w:val="single" w:sz="6" w:space="0" w:color="000000"/>
            </w:tcBorders>
            <w:shd w:val="clear" w:color="auto" w:fill="BEBEBE"/>
          </w:tcPr>
          <w:p w14:paraId="5243993E" w14:textId="77777777" w:rsidR="00AC6F3C" w:rsidRDefault="00AC6F3C">
            <w:pPr>
              <w:pStyle w:val="TableParagraph"/>
              <w:rPr>
                <w:rFonts w:ascii="Times New Roman"/>
                <w:sz w:val="18"/>
              </w:rPr>
            </w:pPr>
          </w:p>
        </w:tc>
        <w:tc>
          <w:tcPr>
            <w:tcW w:w="959" w:type="dxa"/>
            <w:tcBorders>
              <w:top w:val="single" w:sz="6" w:space="0" w:color="000000"/>
              <w:bottom w:val="single" w:sz="6" w:space="0" w:color="000000"/>
            </w:tcBorders>
            <w:shd w:val="clear" w:color="auto" w:fill="BEBEBE"/>
          </w:tcPr>
          <w:p w14:paraId="065ABA91" w14:textId="77777777" w:rsidR="00AC6F3C" w:rsidRDefault="00AC6F3C">
            <w:pPr>
              <w:pStyle w:val="TableParagraph"/>
              <w:rPr>
                <w:rFonts w:ascii="Times New Roman"/>
                <w:sz w:val="18"/>
              </w:rPr>
            </w:pPr>
          </w:p>
        </w:tc>
        <w:tc>
          <w:tcPr>
            <w:tcW w:w="1131" w:type="dxa"/>
            <w:tcBorders>
              <w:top w:val="single" w:sz="6" w:space="0" w:color="000000"/>
              <w:bottom w:val="single" w:sz="6" w:space="0" w:color="000000"/>
              <w:right w:val="single" w:sz="6" w:space="0" w:color="000000"/>
            </w:tcBorders>
            <w:shd w:val="clear" w:color="auto" w:fill="BEBEBE"/>
          </w:tcPr>
          <w:p w14:paraId="61B3F463" w14:textId="77777777" w:rsidR="00AC6F3C" w:rsidRDefault="00570E88">
            <w:pPr>
              <w:pStyle w:val="TableParagraph"/>
              <w:spacing w:before="70" w:line="194" w:lineRule="exact"/>
              <w:ind w:right="20"/>
              <w:jc w:val="right"/>
              <w:rPr>
                <w:b/>
                <w:sz w:val="18"/>
              </w:rPr>
            </w:pPr>
            <w:r>
              <w:rPr>
                <w:b/>
                <w:spacing w:val="-2"/>
                <w:sz w:val="18"/>
              </w:rPr>
              <w:t>28,176</w:t>
            </w:r>
          </w:p>
        </w:tc>
      </w:tr>
      <w:tr w:rsidR="00AC6F3C" w14:paraId="4D278487" w14:textId="77777777">
        <w:trPr>
          <w:trHeight w:val="284"/>
        </w:trPr>
        <w:tc>
          <w:tcPr>
            <w:tcW w:w="8344" w:type="dxa"/>
            <w:gridSpan w:val="5"/>
            <w:tcBorders>
              <w:top w:val="single" w:sz="6" w:space="0" w:color="000000"/>
              <w:left w:val="single" w:sz="6" w:space="0" w:color="000000"/>
              <w:bottom w:val="single" w:sz="6" w:space="0" w:color="000000"/>
              <w:right w:val="single" w:sz="6" w:space="0" w:color="000000"/>
            </w:tcBorders>
          </w:tcPr>
          <w:p w14:paraId="2F2F85AA" w14:textId="77777777" w:rsidR="00AC6F3C" w:rsidRDefault="00AC6F3C">
            <w:pPr>
              <w:pStyle w:val="TableParagraph"/>
              <w:rPr>
                <w:rFonts w:ascii="Times New Roman"/>
                <w:sz w:val="18"/>
              </w:rPr>
            </w:pPr>
          </w:p>
        </w:tc>
      </w:tr>
      <w:tr w:rsidR="00AC6F3C" w14:paraId="1BE7B4CD" w14:textId="77777777">
        <w:trPr>
          <w:trHeight w:val="284"/>
        </w:trPr>
        <w:tc>
          <w:tcPr>
            <w:tcW w:w="8344" w:type="dxa"/>
            <w:gridSpan w:val="5"/>
            <w:tcBorders>
              <w:top w:val="single" w:sz="6" w:space="0" w:color="000000"/>
              <w:left w:val="single" w:sz="6" w:space="0" w:color="000000"/>
              <w:bottom w:val="single" w:sz="6" w:space="0" w:color="000000"/>
              <w:right w:val="single" w:sz="6" w:space="0" w:color="000000"/>
            </w:tcBorders>
            <w:shd w:val="clear" w:color="auto" w:fill="BEBEBE"/>
          </w:tcPr>
          <w:p w14:paraId="00140A9C" w14:textId="77777777" w:rsidR="00AC6F3C" w:rsidRDefault="00570E88">
            <w:pPr>
              <w:pStyle w:val="TableParagraph"/>
              <w:spacing w:before="70" w:line="194" w:lineRule="exact"/>
              <w:ind w:left="37"/>
              <w:rPr>
                <w:b/>
                <w:sz w:val="18"/>
              </w:rPr>
            </w:pPr>
            <w:r>
              <w:rPr>
                <w:b/>
                <w:spacing w:val="-4"/>
                <w:sz w:val="18"/>
              </w:rPr>
              <w:t>2022</w:t>
            </w:r>
          </w:p>
        </w:tc>
      </w:tr>
      <w:tr w:rsidR="00AC6F3C" w14:paraId="22144C7C" w14:textId="77777777">
        <w:trPr>
          <w:trHeight w:val="326"/>
        </w:trPr>
        <w:tc>
          <w:tcPr>
            <w:tcW w:w="3877" w:type="dxa"/>
            <w:tcBorders>
              <w:top w:val="single" w:sz="6" w:space="0" w:color="000000"/>
              <w:left w:val="single" w:sz="6" w:space="0" w:color="000000"/>
            </w:tcBorders>
          </w:tcPr>
          <w:p w14:paraId="230FE3CF" w14:textId="77777777" w:rsidR="00AC6F3C" w:rsidRDefault="00570E88">
            <w:pPr>
              <w:pStyle w:val="TableParagraph"/>
              <w:spacing w:before="70"/>
              <w:ind w:left="37"/>
              <w:rPr>
                <w:b/>
                <w:sz w:val="18"/>
              </w:rPr>
            </w:pPr>
            <w:r>
              <w:rPr>
                <w:b/>
                <w:spacing w:val="-2"/>
                <w:sz w:val="18"/>
              </w:rPr>
              <w:t>Unearned</w:t>
            </w:r>
            <w:r>
              <w:rPr>
                <w:b/>
                <w:spacing w:val="-8"/>
                <w:sz w:val="18"/>
              </w:rPr>
              <w:t xml:space="preserve"> </w:t>
            </w:r>
            <w:r>
              <w:rPr>
                <w:b/>
                <w:spacing w:val="-2"/>
                <w:sz w:val="18"/>
              </w:rPr>
              <w:t>premium</w:t>
            </w:r>
            <w:r>
              <w:rPr>
                <w:b/>
                <w:spacing w:val="3"/>
                <w:sz w:val="18"/>
              </w:rPr>
              <w:t xml:space="preserve"> </w:t>
            </w:r>
            <w:r>
              <w:rPr>
                <w:b/>
                <w:spacing w:val="-2"/>
                <w:sz w:val="18"/>
              </w:rPr>
              <w:t>reserves</w:t>
            </w:r>
          </w:p>
        </w:tc>
        <w:tc>
          <w:tcPr>
            <w:tcW w:w="1336" w:type="dxa"/>
            <w:tcBorders>
              <w:top w:val="single" w:sz="6" w:space="0" w:color="000000"/>
            </w:tcBorders>
          </w:tcPr>
          <w:p w14:paraId="33A33A51" w14:textId="77777777" w:rsidR="00AC6F3C" w:rsidRDefault="00AC6F3C">
            <w:pPr>
              <w:pStyle w:val="TableParagraph"/>
              <w:rPr>
                <w:rFonts w:ascii="Times New Roman"/>
                <w:sz w:val="18"/>
              </w:rPr>
            </w:pPr>
          </w:p>
        </w:tc>
        <w:tc>
          <w:tcPr>
            <w:tcW w:w="1041" w:type="dxa"/>
            <w:tcBorders>
              <w:top w:val="single" w:sz="6" w:space="0" w:color="000000"/>
            </w:tcBorders>
          </w:tcPr>
          <w:p w14:paraId="1800FF28" w14:textId="77777777" w:rsidR="00AC6F3C" w:rsidRDefault="00AC6F3C">
            <w:pPr>
              <w:pStyle w:val="TableParagraph"/>
              <w:rPr>
                <w:rFonts w:ascii="Times New Roman"/>
                <w:sz w:val="18"/>
              </w:rPr>
            </w:pPr>
          </w:p>
        </w:tc>
        <w:tc>
          <w:tcPr>
            <w:tcW w:w="959" w:type="dxa"/>
            <w:tcBorders>
              <w:top w:val="single" w:sz="6" w:space="0" w:color="000000"/>
            </w:tcBorders>
          </w:tcPr>
          <w:p w14:paraId="7949712D" w14:textId="77777777" w:rsidR="00AC6F3C" w:rsidRDefault="00AC6F3C">
            <w:pPr>
              <w:pStyle w:val="TableParagraph"/>
              <w:rPr>
                <w:rFonts w:ascii="Times New Roman"/>
                <w:sz w:val="18"/>
              </w:rPr>
            </w:pPr>
          </w:p>
        </w:tc>
        <w:tc>
          <w:tcPr>
            <w:tcW w:w="1131" w:type="dxa"/>
            <w:tcBorders>
              <w:top w:val="single" w:sz="6" w:space="0" w:color="000000"/>
              <w:right w:val="single" w:sz="6" w:space="0" w:color="000000"/>
            </w:tcBorders>
            <w:shd w:val="clear" w:color="auto" w:fill="F1F1F1"/>
          </w:tcPr>
          <w:p w14:paraId="1187CEC6" w14:textId="77777777" w:rsidR="00AC6F3C" w:rsidRDefault="00AC6F3C">
            <w:pPr>
              <w:pStyle w:val="TableParagraph"/>
              <w:rPr>
                <w:rFonts w:ascii="Times New Roman"/>
                <w:sz w:val="18"/>
              </w:rPr>
            </w:pPr>
          </w:p>
        </w:tc>
      </w:tr>
      <w:tr w:rsidR="00AC6F3C" w14:paraId="227C3F2E" w14:textId="77777777">
        <w:trPr>
          <w:trHeight w:val="299"/>
        </w:trPr>
        <w:tc>
          <w:tcPr>
            <w:tcW w:w="3877" w:type="dxa"/>
            <w:tcBorders>
              <w:left w:val="single" w:sz="6" w:space="0" w:color="000000"/>
            </w:tcBorders>
          </w:tcPr>
          <w:p w14:paraId="7FC7009E" w14:textId="77777777" w:rsidR="00AC6F3C" w:rsidRDefault="00570E88">
            <w:pPr>
              <w:pStyle w:val="TableParagraph"/>
              <w:spacing w:before="43"/>
              <w:ind w:left="37"/>
              <w:rPr>
                <w:sz w:val="18"/>
              </w:rPr>
            </w:pPr>
            <w:r>
              <w:rPr>
                <w:sz w:val="18"/>
              </w:rPr>
              <w:t>Unexpired</w:t>
            </w:r>
            <w:r>
              <w:rPr>
                <w:spacing w:val="7"/>
                <w:sz w:val="18"/>
              </w:rPr>
              <w:t xml:space="preserve"> </w:t>
            </w:r>
            <w:r>
              <w:rPr>
                <w:sz w:val="18"/>
              </w:rPr>
              <w:t>risk</w:t>
            </w:r>
            <w:r>
              <w:rPr>
                <w:spacing w:val="3"/>
                <w:sz w:val="18"/>
              </w:rPr>
              <w:t xml:space="preserve"> </w:t>
            </w:r>
            <w:r>
              <w:rPr>
                <w:spacing w:val="-2"/>
                <w:sz w:val="18"/>
              </w:rPr>
              <w:t>reserve</w:t>
            </w:r>
          </w:p>
        </w:tc>
        <w:tc>
          <w:tcPr>
            <w:tcW w:w="1336" w:type="dxa"/>
          </w:tcPr>
          <w:p w14:paraId="106FA9DC" w14:textId="77777777" w:rsidR="00AC6F3C" w:rsidRDefault="00570E88">
            <w:pPr>
              <w:pStyle w:val="TableParagraph"/>
              <w:spacing w:before="43"/>
              <w:ind w:right="267"/>
              <w:jc w:val="right"/>
              <w:rPr>
                <w:sz w:val="18"/>
              </w:rPr>
            </w:pPr>
            <w:r>
              <w:rPr>
                <w:w w:val="99"/>
                <w:sz w:val="18"/>
              </w:rPr>
              <w:t>-</w:t>
            </w:r>
          </w:p>
        </w:tc>
        <w:tc>
          <w:tcPr>
            <w:tcW w:w="1041" w:type="dxa"/>
          </w:tcPr>
          <w:p w14:paraId="26D40529" w14:textId="77777777" w:rsidR="00AC6F3C" w:rsidRDefault="00570E88">
            <w:pPr>
              <w:pStyle w:val="TableParagraph"/>
              <w:spacing w:before="43"/>
              <w:ind w:right="184"/>
              <w:jc w:val="right"/>
              <w:rPr>
                <w:sz w:val="18"/>
              </w:rPr>
            </w:pPr>
            <w:r>
              <w:rPr>
                <w:w w:val="99"/>
                <w:sz w:val="18"/>
              </w:rPr>
              <w:t>-</w:t>
            </w:r>
          </w:p>
        </w:tc>
        <w:tc>
          <w:tcPr>
            <w:tcW w:w="959" w:type="dxa"/>
          </w:tcPr>
          <w:p w14:paraId="2ED6BE20" w14:textId="77777777" w:rsidR="00AC6F3C" w:rsidRDefault="00570E88">
            <w:pPr>
              <w:pStyle w:val="TableParagraph"/>
              <w:spacing w:before="43"/>
              <w:ind w:right="20"/>
              <w:jc w:val="right"/>
              <w:rPr>
                <w:sz w:val="18"/>
              </w:rPr>
            </w:pPr>
            <w:r>
              <w:rPr>
                <w:w w:val="99"/>
                <w:sz w:val="18"/>
              </w:rPr>
              <w:t>-</w:t>
            </w:r>
          </w:p>
        </w:tc>
        <w:tc>
          <w:tcPr>
            <w:tcW w:w="1131" w:type="dxa"/>
            <w:tcBorders>
              <w:right w:val="single" w:sz="6" w:space="0" w:color="000000"/>
            </w:tcBorders>
            <w:shd w:val="clear" w:color="auto" w:fill="F1F1F1"/>
          </w:tcPr>
          <w:p w14:paraId="7F48AF5B" w14:textId="77777777" w:rsidR="00AC6F3C" w:rsidRDefault="00570E88">
            <w:pPr>
              <w:pStyle w:val="TableParagraph"/>
              <w:spacing w:before="43"/>
              <w:ind w:right="20"/>
              <w:jc w:val="right"/>
              <w:rPr>
                <w:sz w:val="18"/>
              </w:rPr>
            </w:pPr>
            <w:r>
              <w:rPr>
                <w:w w:val="99"/>
                <w:sz w:val="18"/>
              </w:rPr>
              <w:t>-</w:t>
            </w:r>
          </w:p>
        </w:tc>
      </w:tr>
      <w:tr w:rsidR="00AC6F3C" w14:paraId="524B9CFB" w14:textId="77777777">
        <w:trPr>
          <w:trHeight w:val="299"/>
        </w:trPr>
        <w:tc>
          <w:tcPr>
            <w:tcW w:w="3877" w:type="dxa"/>
            <w:tcBorders>
              <w:left w:val="single" w:sz="6" w:space="0" w:color="000000"/>
            </w:tcBorders>
          </w:tcPr>
          <w:p w14:paraId="13908AC6" w14:textId="77777777" w:rsidR="00AC6F3C" w:rsidRDefault="00570E88">
            <w:pPr>
              <w:pStyle w:val="TableParagraph"/>
              <w:spacing w:before="43"/>
              <w:ind w:left="37"/>
              <w:rPr>
                <w:sz w:val="18"/>
              </w:rPr>
            </w:pPr>
            <w:r>
              <w:rPr>
                <w:sz w:val="18"/>
              </w:rPr>
              <w:t>Gross</w:t>
            </w:r>
            <w:r>
              <w:rPr>
                <w:spacing w:val="14"/>
                <w:sz w:val="18"/>
              </w:rPr>
              <w:t xml:space="preserve"> </w:t>
            </w:r>
            <w:r>
              <w:rPr>
                <w:sz w:val="18"/>
              </w:rPr>
              <w:t>central</w:t>
            </w:r>
            <w:r>
              <w:rPr>
                <w:spacing w:val="3"/>
                <w:sz w:val="18"/>
              </w:rPr>
              <w:t xml:space="preserve"> </w:t>
            </w:r>
            <w:r>
              <w:rPr>
                <w:spacing w:val="-2"/>
                <w:sz w:val="18"/>
              </w:rPr>
              <w:t>estimate</w:t>
            </w:r>
          </w:p>
        </w:tc>
        <w:tc>
          <w:tcPr>
            <w:tcW w:w="1336" w:type="dxa"/>
          </w:tcPr>
          <w:p w14:paraId="2B289736" w14:textId="77777777" w:rsidR="00AC6F3C" w:rsidRDefault="00570E88">
            <w:pPr>
              <w:pStyle w:val="TableParagraph"/>
              <w:spacing w:before="43"/>
              <w:ind w:right="267"/>
              <w:jc w:val="right"/>
              <w:rPr>
                <w:sz w:val="18"/>
              </w:rPr>
            </w:pPr>
            <w:r>
              <w:rPr>
                <w:spacing w:val="-2"/>
                <w:sz w:val="18"/>
              </w:rPr>
              <w:t>3,490</w:t>
            </w:r>
          </w:p>
        </w:tc>
        <w:tc>
          <w:tcPr>
            <w:tcW w:w="1041" w:type="dxa"/>
          </w:tcPr>
          <w:p w14:paraId="4F3DBED2" w14:textId="77777777" w:rsidR="00AC6F3C" w:rsidRDefault="00570E88">
            <w:pPr>
              <w:pStyle w:val="TableParagraph"/>
              <w:spacing w:before="43"/>
              <w:ind w:right="184"/>
              <w:jc w:val="right"/>
              <w:rPr>
                <w:sz w:val="18"/>
              </w:rPr>
            </w:pPr>
            <w:r>
              <w:rPr>
                <w:spacing w:val="-2"/>
                <w:sz w:val="18"/>
              </w:rPr>
              <w:t>14,831</w:t>
            </w:r>
          </w:p>
        </w:tc>
        <w:tc>
          <w:tcPr>
            <w:tcW w:w="959" w:type="dxa"/>
          </w:tcPr>
          <w:p w14:paraId="0ECE4DB7" w14:textId="77777777" w:rsidR="00AC6F3C" w:rsidRDefault="00570E88">
            <w:pPr>
              <w:pStyle w:val="TableParagraph"/>
              <w:spacing w:before="43"/>
              <w:ind w:right="20"/>
              <w:jc w:val="right"/>
              <w:rPr>
                <w:sz w:val="18"/>
              </w:rPr>
            </w:pPr>
            <w:r>
              <w:rPr>
                <w:spacing w:val="-2"/>
                <w:sz w:val="18"/>
              </w:rPr>
              <w:t>5,620</w:t>
            </w:r>
          </w:p>
        </w:tc>
        <w:tc>
          <w:tcPr>
            <w:tcW w:w="1131" w:type="dxa"/>
            <w:tcBorders>
              <w:right w:val="single" w:sz="6" w:space="0" w:color="000000"/>
            </w:tcBorders>
            <w:shd w:val="clear" w:color="auto" w:fill="F1F1F1"/>
          </w:tcPr>
          <w:p w14:paraId="1B882DA4" w14:textId="77777777" w:rsidR="00AC6F3C" w:rsidRDefault="00570E88">
            <w:pPr>
              <w:pStyle w:val="TableParagraph"/>
              <w:spacing w:before="43"/>
              <w:ind w:right="20"/>
              <w:jc w:val="right"/>
              <w:rPr>
                <w:sz w:val="18"/>
              </w:rPr>
            </w:pPr>
            <w:r>
              <w:rPr>
                <w:spacing w:val="-2"/>
                <w:sz w:val="18"/>
              </w:rPr>
              <w:t>23,941</w:t>
            </w:r>
          </w:p>
        </w:tc>
      </w:tr>
      <w:tr w:rsidR="00AC6F3C" w14:paraId="40344348" w14:textId="77777777">
        <w:trPr>
          <w:trHeight w:val="256"/>
        </w:trPr>
        <w:tc>
          <w:tcPr>
            <w:tcW w:w="3877" w:type="dxa"/>
            <w:tcBorders>
              <w:left w:val="single" w:sz="6" w:space="0" w:color="000000"/>
              <w:bottom w:val="single" w:sz="6" w:space="0" w:color="000000"/>
            </w:tcBorders>
          </w:tcPr>
          <w:p w14:paraId="39D23010" w14:textId="77777777" w:rsidR="00AC6F3C" w:rsidRDefault="00570E88">
            <w:pPr>
              <w:pStyle w:val="TableParagraph"/>
              <w:spacing w:before="43" w:line="194" w:lineRule="exact"/>
              <w:ind w:left="37"/>
              <w:rPr>
                <w:sz w:val="18"/>
              </w:rPr>
            </w:pPr>
            <w:r>
              <w:rPr>
                <w:sz w:val="18"/>
              </w:rPr>
              <w:t>Unexpired</w:t>
            </w:r>
            <w:r>
              <w:rPr>
                <w:spacing w:val="4"/>
                <w:sz w:val="18"/>
              </w:rPr>
              <w:t xml:space="preserve"> </w:t>
            </w:r>
            <w:r>
              <w:rPr>
                <w:sz w:val="18"/>
              </w:rPr>
              <w:t>risk</w:t>
            </w:r>
            <w:r>
              <w:rPr>
                <w:spacing w:val="-1"/>
                <w:sz w:val="18"/>
              </w:rPr>
              <w:t xml:space="preserve"> </w:t>
            </w:r>
            <w:r>
              <w:rPr>
                <w:sz w:val="18"/>
              </w:rPr>
              <w:t>reserves</w:t>
            </w:r>
            <w:r>
              <w:rPr>
                <w:spacing w:val="16"/>
                <w:sz w:val="18"/>
              </w:rPr>
              <w:t xml:space="preserve"> </w:t>
            </w:r>
            <w:r>
              <w:rPr>
                <w:sz w:val="18"/>
              </w:rPr>
              <w:t>-</w:t>
            </w:r>
            <w:r>
              <w:rPr>
                <w:spacing w:val="-1"/>
                <w:sz w:val="18"/>
              </w:rPr>
              <w:t xml:space="preserve"> </w:t>
            </w:r>
            <w:r>
              <w:rPr>
                <w:spacing w:val="-2"/>
                <w:sz w:val="18"/>
              </w:rPr>
              <w:t>reinsurance</w:t>
            </w:r>
          </w:p>
        </w:tc>
        <w:tc>
          <w:tcPr>
            <w:tcW w:w="1336" w:type="dxa"/>
            <w:tcBorders>
              <w:bottom w:val="single" w:sz="6" w:space="0" w:color="000000"/>
            </w:tcBorders>
          </w:tcPr>
          <w:p w14:paraId="4F8A9859" w14:textId="77777777" w:rsidR="00AC6F3C" w:rsidRDefault="00570E88">
            <w:pPr>
              <w:pStyle w:val="TableParagraph"/>
              <w:spacing w:before="43" w:line="194" w:lineRule="exact"/>
              <w:ind w:right="262"/>
              <w:jc w:val="right"/>
              <w:rPr>
                <w:sz w:val="18"/>
              </w:rPr>
            </w:pPr>
            <w:r>
              <w:rPr>
                <w:spacing w:val="-4"/>
                <w:sz w:val="18"/>
              </w:rPr>
              <w:t>(32)</w:t>
            </w:r>
          </w:p>
        </w:tc>
        <w:tc>
          <w:tcPr>
            <w:tcW w:w="1041" w:type="dxa"/>
            <w:tcBorders>
              <w:bottom w:val="single" w:sz="6" w:space="0" w:color="000000"/>
            </w:tcBorders>
          </w:tcPr>
          <w:p w14:paraId="13037390" w14:textId="77777777" w:rsidR="00AC6F3C" w:rsidRDefault="00570E88">
            <w:pPr>
              <w:pStyle w:val="TableParagraph"/>
              <w:spacing w:before="43" w:line="194" w:lineRule="exact"/>
              <w:ind w:right="179"/>
              <w:jc w:val="right"/>
              <w:rPr>
                <w:sz w:val="18"/>
              </w:rPr>
            </w:pPr>
            <w:r>
              <w:rPr>
                <w:spacing w:val="-2"/>
                <w:sz w:val="18"/>
              </w:rPr>
              <w:t>(347)</w:t>
            </w:r>
          </w:p>
        </w:tc>
        <w:tc>
          <w:tcPr>
            <w:tcW w:w="959" w:type="dxa"/>
            <w:tcBorders>
              <w:bottom w:val="single" w:sz="6" w:space="0" w:color="000000"/>
            </w:tcBorders>
          </w:tcPr>
          <w:p w14:paraId="06751E01" w14:textId="77777777" w:rsidR="00AC6F3C" w:rsidRDefault="00570E88">
            <w:pPr>
              <w:pStyle w:val="TableParagraph"/>
              <w:spacing w:before="43" w:line="194" w:lineRule="exact"/>
              <w:ind w:right="15"/>
              <w:jc w:val="right"/>
              <w:rPr>
                <w:sz w:val="18"/>
              </w:rPr>
            </w:pPr>
            <w:r>
              <w:rPr>
                <w:spacing w:val="-2"/>
                <w:sz w:val="18"/>
              </w:rPr>
              <w:t>(132)</w:t>
            </w:r>
          </w:p>
        </w:tc>
        <w:tc>
          <w:tcPr>
            <w:tcW w:w="1131" w:type="dxa"/>
            <w:tcBorders>
              <w:bottom w:val="single" w:sz="6" w:space="0" w:color="000000"/>
              <w:right w:val="single" w:sz="6" w:space="0" w:color="000000"/>
            </w:tcBorders>
            <w:shd w:val="clear" w:color="auto" w:fill="F1F1F1"/>
          </w:tcPr>
          <w:p w14:paraId="560CB2CD" w14:textId="77777777" w:rsidR="00AC6F3C" w:rsidRDefault="00570E88">
            <w:pPr>
              <w:pStyle w:val="TableParagraph"/>
              <w:spacing w:before="43" w:line="194" w:lineRule="exact"/>
              <w:ind w:right="15"/>
              <w:jc w:val="right"/>
              <w:rPr>
                <w:sz w:val="18"/>
              </w:rPr>
            </w:pPr>
            <w:r>
              <w:rPr>
                <w:spacing w:val="-2"/>
                <w:sz w:val="18"/>
              </w:rPr>
              <w:t>(511)</w:t>
            </w:r>
          </w:p>
        </w:tc>
      </w:tr>
      <w:tr w:rsidR="00AC6F3C" w14:paraId="1C4E2451" w14:textId="77777777">
        <w:trPr>
          <w:trHeight w:val="284"/>
        </w:trPr>
        <w:tc>
          <w:tcPr>
            <w:tcW w:w="3877" w:type="dxa"/>
            <w:tcBorders>
              <w:top w:val="single" w:sz="6" w:space="0" w:color="000000"/>
              <w:left w:val="single" w:sz="6" w:space="0" w:color="000000"/>
              <w:bottom w:val="single" w:sz="6" w:space="0" w:color="000000"/>
            </w:tcBorders>
            <w:shd w:val="clear" w:color="auto" w:fill="BEBEBE"/>
          </w:tcPr>
          <w:p w14:paraId="3005EEB5" w14:textId="77777777" w:rsidR="00AC6F3C" w:rsidRDefault="00570E88">
            <w:pPr>
              <w:pStyle w:val="TableParagraph"/>
              <w:spacing w:before="70" w:line="194" w:lineRule="exact"/>
              <w:ind w:left="37"/>
              <w:rPr>
                <w:b/>
                <w:sz w:val="18"/>
              </w:rPr>
            </w:pPr>
            <w:r>
              <w:rPr>
                <w:b/>
                <w:sz w:val="18"/>
              </w:rPr>
              <w:t>Net</w:t>
            </w:r>
            <w:r>
              <w:rPr>
                <w:b/>
                <w:spacing w:val="-9"/>
                <w:sz w:val="18"/>
              </w:rPr>
              <w:t xml:space="preserve"> </w:t>
            </w:r>
            <w:r>
              <w:rPr>
                <w:b/>
                <w:sz w:val="18"/>
              </w:rPr>
              <w:t>central</w:t>
            </w:r>
            <w:r>
              <w:rPr>
                <w:b/>
                <w:spacing w:val="-12"/>
                <w:sz w:val="18"/>
              </w:rPr>
              <w:t xml:space="preserve"> </w:t>
            </w:r>
            <w:r>
              <w:rPr>
                <w:b/>
                <w:spacing w:val="-2"/>
                <w:sz w:val="18"/>
              </w:rPr>
              <w:t>estimate</w:t>
            </w:r>
          </w:p>
        </w:tc>
        <w:tc>
          <w:tcPr>
            <w:tcW w:w="1336" w:type="dxa"/>
            <w:tcBorders>
              <w:top w:val="single" w:sz="6" w:space="0" w:color="000000"/>
              <w:bottom w:val="single" w:sz="6" w:space="0" w:color="000000"/>
            </w:tcBorders>
            <w:shd w:val="clear" w:color="auto" w:fill="BEBEBE"/>
          </w:tcPr>
          <w:p w14:paraId="6EA36F84" w14:textId="77777777" w:rsidR="00AC6F3C" w:rsidRDefault="00570E88">
            <w:pPr>
              <w:pStyle w:val="TableParagraph"/>
              <w:spacing w:before="70" w:line="194" w:lineRule="exact"/>
              <w:ind w:right="267"/>
              <w:jc w:val="right"/>
              <w:rPr>
                <w:b/>
                <w:sz w:val="18"/>
              </w:rPr>
            </w:pPr>
            <w:r>
              <w:rPr>
                <w:b/>
                <w:spacing w:val="-2"/>
                <w:sz w:val="18"/>
              </w:rPr>
              <w:t>3,458</w:t>
            </w:r>
          </w:p>
        </w:tc>
        <w:tc>
          <w:tcPr>
            <w:tcW w:w="1041" w:type="dxa"/>
            <w:tcBorders>
              <w:top w:val="single" w:sz="6" w:space="0" w:color="000000"/>
              <w:bottom w:val="single" w:sz="6" w:space="0" w:color="000000"/>
            </w:tcBorders>
            <w:shd w:val="clear" w:color="auto" w:fill="BEBEBE"/>
          </w:tcPr>
          <w:p w14:paraId="0EFA0C06" w14:textId="77777777" w:rsidR="00AC6F3C" w:rsidRDefault="00570E88">
            <w:pPr>
              <w:pStyle w:val="TableParagraph"/>
              <w:spacing w:before="70" w:line="194" w:lineRule="exact"/>
              <w:ind w:right="184"/>
              <w:jc w:val="right"/>
              <w:rPr>
                <w:b/>
                <w:sz w:val="18"/>
              </w:rPr>
            </w:pPr>
            <w:r>
              <w:rPr>
                <w:b/>
                <w:spacing w:val="-2"/>
                <w:sz w:val="18"/>
              </w:rPr>
              <w:t>14,483</w:t>
            </w:r>
          </w:p>
        </w:tc>
        <w:tc>
          <w:tcPr>
            <w:tcW w:w="959" w:type="dxa"/>
            <w:tcBorders>
              <w:top w:val="single" w:sz="6" w:space="0" w:color="000000"/>
              <w:bottom w:val="single" w:sz="6" w:space="0" w:color="000000"/>
            </w:tcBorders>
            <w:shd w:val="clear" w:color="auto" w:fill="BEBEBE"/>
          </w:tcPr>
          <w:p w14:paraId="29ABF967" w14:textId="77777777" w:rsidR="00AC6F3C" w:rsidRDefault="00570E88">
            <w:pPr>
              <w:pStyle w:val="TableParagraph"/>
              <w:spacing w:before="70" w:line="194" w:lineRule="exact"/>
              <w:ind w:right="20"/>
              <w:jc w:val="right"/>
              <w:rPr>
                <w:b/>
                <w:sz w:val="18"/>
              </w:rPr>
            </w:pPr>
            <w:r>
              <w:rPr>
                <w:b/>
                <w:spacing w:val="-2"/>
                <w:sz w:val="18"/>
              </w:rPr>
              <w:t>5,488</w:t>
            </w:r>
          </w:p>
        </w:tc>
        <w:tc>
          <w:tcPr>
            <w:tcW w:w="1131" w:type="dxa"/>
            <w:tcBorders>
              <w:top w:val="single" w:sz="6" w:space="0" w:color="000000"/>
              <w:bottom w:val="single" w:sz="6" w:space="0" w:color="000000"/>
              <w:right w:val="single" w:sz="6" w:space="0" w:color="000000"/>
            </w:tcBorders>
            <w:shd w:val="clear" w:color="auto" w:fill="BEBEBE"/>
          </w:tcPr>
          <w:p w14:paraId="458BB93D" w14:textId="77777777" w:rsidR="00AC6F3C" w:rsidRDefault="00570E88">
            <w:pPr>
              <w:pStyle w:val="TableParagraph"/>
              <w:spacing w:before="70" w:line="194" w:lineRule="exact"/>
              <w:ind w:right="20"/>
              <w:jc w:val="right"/>
              <w:rPr>
                <w:b/>
                <w:sz w:val="18"/>
              </w:rPr>
            </w:pPr>
            <w:r>
              <w:rPr>
                <w:b/>
                <w:spacing w:val="-2"/>
                <w:sz w:val="18"/>
              </w:rPr>
              <w:t>23,430</w:t>
            </w:r>
          </w:p>
        </w:tc>
      </w:tr>
      <w:tr w:rsidR="00AC6F3C" w14:paraId="7E1ED2EE" w14:textId="77777777">
        <w:trPr>
          <w:trHeight w:val="326"/>
        </w:trPr>
        <w:tc>
          <w:tcPr>
            <w:tcW w:w="7213" w:type="dxa"/>
            <w:gridSpan w:val="4"/>
            <w:tcBorders>
              <w:top w:val="single" w:sz="6" w:space="0" w:color="000000"/>
              <w:left w:val="single" w:sz="6" w:space="0" w:color="000000"/>
            </w:tcBorders>
          </w:tcPr>
          <w:p w14:paraId="7CD3F204" w14:textId="77777777" w:rsidR="00AC6F3C" w:rsidRDefault="00570E88">
            <w:pPr>
              <w:pStyle w:val="TableParagraph"/>
              <w:spacing w:before="70"/>
              <w:ind w:left="37"/>
              <w:rPr>
                <w:sz w:val="18"/>
              </w:rPr>
            </w:pPr>
            <w:r>
              <w:rPr>
                <w:spacing w:val="-2"/>
                <w:sz w:val="18"/>
              </w:rPr>
              <w:t>Discount</w:t>
            </w:r>
          </w:p>
        </w:tc>
        <w:tc>
          <w:tcPr>
            <w:tcW w:w="1131" w:type="dxa"/>
            <w:tcBorders>
              <w:top w:val="single" w:sz="6" w:space="0" w:color="000000"/>
              <w:right w:val="single" w:sz="6" w:space="0" w:color="000000"/>
            </w:tcBorders>
            <w:shd w:val="clear" w:color="auto" w:fill="F1F1F1"/>
          </w:tcPr>
          <w:p w14:paraId="69F8854D" w14:textId="77777777" w:rsidR="00AC6F3C" w:rsidRDefault="00570E88">
            <w:pPr>
              <w:pStyle w:val="TableParagraph"/>
              <w:spacing w:before="70"/>
              <w:ind w:right="15"/>
              <w:jc w:val="right"/>
              <w:rPr>
                <w:sz w:val="18"/>
              </w:rPr>
            </w:pPr>
            <w:r>
              <w:rPr>
                <w:spacing w:val="-2"/>
                <w:sz w:val="18"/>
              </w:rPr>
              <w:t>(2,451)</w:t>
            </w:r>
          </w:p>
        </w:tc>
      </w:tr>
      <w:tr w:rsidR="00AC6F3C" w14:paraId="3F4F3540" w14:textId="77777777">
        <w:trPr>
          <w:trHeight w:val="299"/>
        </w:trPr>
        <w:tc>
          <w:tcPr>
            <w:tcW w:w="7213" w:type="dxa"/>
            <w:gridSpan w:val="4"/>
            <w:tcBorders>
              <w:left w:val="single" w:sz="6" w:space="0" w:color="000000"/>
            </w:tcBorders>
          </w:tcPr>
          <w:p w14:paraId="7F8EED3E" w14:textId="77777777" w:rsidR="00AC6F3C" w:rsidRDefault="00570E88">
            <w:pPr>
              <w:pStyle w:val="TableParagraph"/>
              <w:spacing w:before="43"/>
              <w:ind w:left="37"/>
              <w:rPr>
                <w:sz w:val="18"/>
              </w:rPr>
            </w:pPr>
            <w:r>
              <w:rPr>
                <w:sz w:val="18"/>
              </w:rPr>
              <w:t>Risk</w:t>
            </w:r>
            <w:r>
              <w:rPr>
                <w:spacing w:val="14"/>
                <w:sz w:val="18"/>
              </w:rPr>
              <w:t xml:space="preserve"> </w:t>
            </w:r>
            <w:r>
              <w:rPr>
                <w:spacing w:val="-2"/>
                <w:sz w:val="18"/>
              </w:rPr>
              <w:t>margins</w:t>
            </w:r>
          </w:p>
        </w:tc>
        <w:tc>
          <w:tcPr>
            <w:tcW w:w="1131" w:type="dxa"/>
            <w:tcBorders>
              <w:right w:val="single" w:sz="6" w:space="0" w:color="000000"/>
            </w:tcBorders>
            <w:shd w:val="clear" w:color="auto" w:fill="F1F1F1"/>
          </w:tcPr>
          <w:p w14:paraId="29305C3C" w14:textId="77777777" w:rsidR="00AC6F3C" w:rsidRDefault="00570E88">
            <w:pPr>
              <w:pStyle w:val="TableParagraph"/>
              <w:spacing w:before="43"/>
              <w:ind w:right="20"/>
              <w:jc w:val="right"/>
              <w:rPr>
                <w:sz w:val="18"/>
              </w:rPr>
            </w:pPr>
            <w:r>
              <w:rPr>
                <w:spacing w:val="-2"/>
                <w:sz w:val="18"/>
              </w:rPr>
              <w:t>5,139</w:t>
            </w:r>
          </w:p>
        </w:tc>
      </w:tr>
      <w:tr w:rsidR="00AC6F3C" w14:paraId="69ADBEDA" w14:textId="77777777">
        <w:trPr>
          <w:trHeight w:val="299"/>
        </w:trPr>
        <w:tc>
          <w:tcPr>
            <w:tcW w:w="7213" w:type="dxa"/>
            <w:gridSpan w:val="4"/>
            <w:tcBorders>
              <w:left w:val="single" w:sz="6" w:space="0" w:color="000000"/>
            </w:tcBorders>
          </w:tcPr>
          <w:p w14:paraId="5CBAAEB7" w14:textId="77777777" w:rsidR="00AC6F3C" w:rsidRDefault="00570E88">
            <w:pPr>
              <w:pStyle w:val="TableParagraph"/>
              <w:spacing w:before="43"/>
              <w:ind w:left="37"/>
              <w:rPr>
                <w:sz w:val="18"/>
              </w:rPr>
            </w:pPr>
            <w:r>
              <w:rPr>
                <w:sz w:val="18"/>
              </w:rPr>
              <w:t>Duty</w:t>
            </w:r>
            <w:r>
              <w:rPr>
                <w:spacing w:val="-20"/>
                <w:sz w:val="18"/>
              </w:rPr>
              <w:t xml:space="preserve"> </w:t>
            </w:r>
            <w:r>
              <w:rPr>
                <w:sz w:val="18"/>
              </w:rPr>
              <w:t>and</w:t>
            </w:r>
            <w:r>
              <w:rPr>
                <w:spacing w:val="3"/>
                <w:sz w:val="18"/>
              </w:rPr>
              <w:t xml:space="preserve"> </w:t>
            </w:r>
            <w:r>
              <w:rPr>
                <w:sz w:val="18"/>
              </w:rPr>
              <w:t>other</w:t>
            </w:r>
            <w:r>
              <w:rPr>
                <w:spacing w:val="-3"/>
                <w:sz w:val="18"/>
              </w:rPr>
              <w:t xml:space="preserve"> </w:t>
            </w:r>
            <w:r>
              <w:rPr>
                <w:spacing w:val="-4"/>
                <w:sz w:val="18"/>
              </w:rPr>
              <w:t>costs</w:t>
            </w:r>
          </w:p>
        </w:tc>
        <w:tc>
          <w:tcPr>
            <w:tcW w:w="1131" w:type="dxa"/>
            <w:tcBorders>
              <w:right w:val="single" w:sz="6" w:space="0" w:color="000000"/>
            </w:tcBorders>
            <w:shd w:val="clear" w:color="auto" w:fill="F1F1F1"/>
          </w:tcPr>
          <w:p w14:paraId="00CD93DA" w14:textId="77777777" w:rsidR="00AC6F3C" w:rsidRDefault="00570E88">
            <w:pPr>
              <w:pStyle w:val="TableParagraph"/>
              <w:spacing w:before="43"/>
              <w:ind w:right="20"/>
              <w:jc w:val="right"/>
              <w:rPr>
                <w:sz w:val="18"/>
              </w:rPr>
            </w:pPr>
            <w:r>
              <w:rPr>
                <w:spacing w:val="-5"/>
                <w:sz w:val="18"/>
              </w:rPr>
              <w:t>317</w:t>
            </w:r>
          </w:p>
        </w:tc>
      </w:tr>
      <w:tr w:rsidR="00AC6F3C" w14:paraId="7B5BC1B8" w14:textId="77777777">
        <w:trPr>
          <w:trHeight w:val="256"/>
        </w:trPr>
        <w:tc>
          <w:tcPr>
            <w:tcW w:w="7213" w:type="dxa"/>
            <w:gridSpan w:val="4"/>
            <w:tcBorders>
              <w:left w:val="single" w:sz="6" w:space="0" w:color="000000"/>
              <w:bottom w:val="single" w:sz="6" w:space="0" w:color="000000"/>
            </w:tcBorders>
          </w:tcPr>
          <w:p w14:paraId="497F94ED" w14:textId="77777777" w:rsidR="00AC6F3C" w:rsidRDefault="00570E88">
            <w:pPr>
              <w:pStyle w:val="TableParagraph"/>
              <w:spacing w:before="43" w:line="194" w:lineRule="exact"/>
              <w:ind w:left="37"/>
              <w:rPr>
                <w:sz w:val="18"/>
              </w:rPr>
            </w:pPr>
            <w:r>
              <w:rPr>
                <w:sz w:val="18"/>
              </w:rPr>
              <w:t>Claims</w:t>
            </w:r>
            <w:r>
              <w:rPr>
                <w:spacing w:val="37"/>
                <w:sz w:val="18"/>
              </w:rPr>
              <w:t xml:space="preserve"> </w:t>
            </w:r>
            <w:r>
              <w:rPr>
                <w:spacing w:val="-2"/>
                <w:sz w:val="18"/>
              </w:rPr>
              <w:t>handling</w:t>
            </w:r>
          </w:p>
        </w:tc>
        <w:tc>
          <w:tcPr>
            <w:tcW w:w="1131" w:type="dxa"/>
            <w:tcBorders>
              <w:bottom w:val="single" w:sz="6" w:space="0" w:color="000000"/>
              <w:right w:val="single" w:sz="6" w:space="0" w:color="000000"/>
            </w:tcBorders>
            <w:shd w:val="clear" w:color="auto" w:fill="F1F1F1"/>
          </w:tcPr>
          <w:p w14:paraId="3E812456" w14:textId="77777777" w:rsidR="00AC6F3C" w:rsidRDefault="00570E88">
            <w:pPr>
              <w:pStyle w:val="TableParagraph"/>
              <w:spacing w:before="43" w:line="194" w:lineRule="exact"/>
              <w:ind w:right="20"/>
              <w:jc w:val="right"/>
              <w:rPr>
                <w:sz w:val="18"/>
              </w:rPr>
            </w:pPr>
            <w:r>
              <w:rPr>
                <w:spacing w:val="-2"/>
                <w:sz w:val="18"/>
              </w:rPr>
              <w:t>1,931</w:t>
            </w:r>
          </w:p>
        </w:tc>
      </w:tr>
      <w:tr w:rsidR="00AC6F3C" w14:paraId="24977B01" w14:textId="77777777">
        <w:trPr>
          <w:trHeight w:val="284"/>
        </w:trPr>
        <w:tc>
          <w:tcPr>
            <w:tcW w:w="3877" w:type="dxa"/>
            <w:tcBorders>
              <w:top w:val="single" w:sz="6" w:space="0" w:color="000000"/>
              <w:left w:val="single" w:sz="6" w:space="0" w:color="000000"/>
              <w:bottom w:val="single" w:sz="6" w:space="0" w:color="000000"/>
            </w:tcBorders>
            <w:shd w:val="clear" w:color="auto" w:fill="BEBEBE"/>
          </w:tcPr>
          <w:p w14:paraId="0A239ED1" w14:textId="77777777" w:rsidR="00AC6F3C" w:rsidRDefault="00570E88">
            <w:pPr>
              <w:pStyle w:val="TableParagraph"/>
              <w:spacing w:before="70" w:line="194" w:lineRule="exact"/>
              <w:ind w:left="37"/>
              <w:rPr>
                <w:b/>
                <w:sz w:val="18"/>
              </w:rPr>
            </w:pPr>
            <w:r>
              <w:rPr>
                <w:b/>
                <w:spacing w:val="-2"/>
                <w:sz w:val="18"/>
              </w:rPr>
              <w:t>Total</w:t>
            </w:r>
            <w:r>
              <w:rPr>
                <w:b/>
                <w:spacing w:val="-8"/>
                <w:sz w:val="18"/>
              </w:rPr>
              <w:t xml:space="preserve"> </w:t>
            </w:r>
            <w:r>
              <w:rPr>
                <w:b/>
                <w:spacing w:val="-2"/>
                <w:sz w:val="18"/>
              </w:rPr>
              <w:t>unearned</w:t>
            </w:r>
            <w:r>
              <w:rPr>
                <w:b/>
                <w:spacing w:val="-8"/>
                <w:sz w:val="18"/>
              </w:rPr>
              <w:t xml:space="preserve"> </w:t>
            </w:r>
            <w:r>
              <w:rPr>
                <w:b/>
                <w:spacing w:val="-2"/>
                <w:sz w:val="18"/>
              </w:rPr>
              <w:t>premium</w:t>
            </w:r>
            <w:r>
              <w:rPr>
                <w:b/>
                <w:spacing w:val="3"/>
                <w:sz w:val="18"/>
              </w:rPr>
              <w:t xml:space="preserve"> </w:t>
            </w:r>
            <w:r>
              <w:rPr>
                <w:b/>
                <w:spacing w:val="-2"/>
                <w:sz w:val="18"/>
              </w:rPr>
              <w:t>and</w:t>
            </w:r>
            <w:r>
              <w:rPr>
                <w:b/>
                <w:spacing w:val="-7"/>
                <w:sz w:val="18"/>
              </w:rPr>
              <w:t xml:space="preserve"> </w:t>
            </w:r>
            <w:r>
              <w:rPr>
                <w:b/>
                <w:spacing w:val="-2"/>
                <w:sz w:val="18"/>
              </w:rPr>
              <w:t>reserves</w:t>
            </w:r>
          </w:p>
        </w:tc>
        <w:tc>
          <w:tcPr>
            <w:tcW w:w="1336" w:type="dxa"/>
            <w:tcBorders>
              <w:top w:val="single" w:sz="6" w:space="0" w:color="000000"/>
              <w:bottom w:val="single" w:sz="6" w:space="0" w:color="000000"/>
            </w:tcBorders>
            <w:shd w:val="clear" w:color="auto" w:fill="BEBEBE"/>
          </w:tcPr>
          <w:p w14:paraId="13906BDB" w14:textId="77777777" w:rsidR="00AC6F3C" w:rsidRDefault="00AC6F3C">
            <w:pPr>
              <w:pStyle w:val="TableParagraph"/>
              <w:rPr>
                <w:rFonts w:ascii="Times New Roman"/>
                <w:sz w:val="18"/>
              </w:rPr>
            </w:pPr>
          </w:p>
        </w:tc>
        <w:tc>
          <w:tcPr>
            <w:tcW w:w="1041" w:type="dxa"/>
            <w:tcBorders>
              <w:top w:val="single" w:sz="6" w:space="0" w:color="000000"/>
              <w:bottom w:val="single" w:sz="6" w:space="0" w:color="000000"/>
            </w:tcBorders>
            <w:shd w:val="clear" w:color="auto" w:fill="BEBEBE"/>
          </w:tcPr>
          <w:p w14:paraId="26865F51" w14:textId="77777777" w:rsidR="00AC6F3C" w:rsidRDefault="00AC6F3C">
            <w:pPr>
              <w:pStyle w:val="TableParagraph"/>
              <w:rPr>
                <w:rFonts w:ascii="Times New Roman"/>
                <w:sz w:val="18"/>
              </w:rPr>
            </w:pPr>
          </w:p>
        </w:tc>
        <w:tc>
          <w:tcPr>
            <w:tcW w:w="959" w:type="dxa"/>
            <w:tcBorders>
              <w:top w:val="single" w:sz="6" w:space="0" w:color="000000"/>
              <w:bottom w:val="single" w:sz="6" w:space="0" w:color="000000"/>
            </w:tcBorders>
            <w:shd w:val="clear" w:color="auto" w:fill="BEBEBE"/>
          </w:tcPr>
          <w:p w14:paraId="0C036718" w14:textId="77777777" w:rsidR="00AC6F3C" w:rsidRDefault="00AC6F3C">
            <w:pPr>
              <w:pStyle w:val="TableParagraph"/>
              <w:rPr>
                <w:rFonts w:ascii="Times New Roman"/>
                <w:sz w:val="18"/>
              </w:rPr>
            </w:pPr>
          </w:p>
        </w:tc>
        <w:tc>
          <w:tcPr>
            <w:tcW w:w="1131" w:type="dxa"/>
            <w:tcBorders>
              <w:top w:val="single" w:sz="6" w:space="0" w:color="000000"/>
              <w:bottom w:val="single" w:sz="6" w:space="0" w:color="000000"/>
              <w:right w:val="single" w:sz="6" w:space="0" w:color="000000"/>
            </w:tcBorders>
            <w:shd w:val="clear" w:color="auto" w:fill="BEBEBE"/>
          </w:tcPr>
          <w:p w14:paraId="7996ADD3" w14:textId="77777777" w:rsidR="00AC6F3C" w:rsidRDefault="00570E88">
            <w:pPr>
              <w:pStyle w:val="TableParagraph"/>
              <w:spacing w:before="70" w:line="194" w:lineRule="exact"/>
              <w:ind w:right="20"/>
              <w:jc w:val="right"/>
              <w:rPr>
                <w:b/>
                <w:sz w:val="18"/>
              </w:rPr>
            </w:pPr>
            <w:r>
              <w:rPr>
                <w:b/>
                <w:spacing w:val="-2"/>
                <w:sz w:val="18"/>
              </w:rPr>
              <w:t>28,366</w:t>
            </w:r>
          </w:p>
        </w:tc>
      </w:tr>
    </w:tbl>
    <w:p w14:paraId="625698DF" w14:textId="77777777" w:rsidR="00AC6F3C" w:rsidRDefault="00AC6F3C">
      <w:pPr>
        <w:spacing w:line="194" w:lineRule="exact"/>
        <w:jc w:val="right"/>
        <w:rPr>
          <w:sz w:val="18"/>
        </w:rPr>
        <w:sectPr w:rsidR="00AC6F3C">
          <w:pgSz w:w="11910" w:h="16840"/>
          <w:pgMar w:top="2020" w:right="1160" w:bottom="520" w:left="460" w:header="1228" w:footer="336" w:gutter="0"/>
          <w:cols w:space="720"/>
        </w:sectPr>
      </w:pPr>
    </w:p>
    <w:p w14:paraId="2F33961A" w14:textId="77777777" w:rsidR="00AC6F3C" w:rsidRDefault="00AC6F3C">
      <w:pPr>
        <w:pStyle w:val="BodyText"/>
        <w:rPr>
          <w:b/>
        </w:rPr>
      </w:pPr>
    </w:p>
    <w:p w14:paraId="69123D48" w14:textId="77777777" w:rsidR="00AC6F3C" w:rsidRDefault="00570E88">
      <w:pPr>
        <w:tabs>
          <w:tab w:val="left" w:pos="1810"/>
        </w:tabs>
        <w:spacing w:before="249"/>
        <w:ind w:left="958"/>
        <w:rPr>
          <w:b/>
          <w:sz w:val="28"/>
        </w:rPr>
      </w:pPr>
      <w:r>
        <w:rPr>
          <w:b/>
          <w:spacing w:val="-5"/>
          <w:sz w:val="28"/>
        </w:rPr>
        <w:t>C8</w:t>
      </w:r>
      <w:r>
        <w:rPr>
          <w:b/>
          <w:sz w:val="28"/>
        </w:rPr>
        <w:tab/>
        <w:t>PROVISIONS</w:t>
      </w:r>
      <w:r>
        <w:rPr>
          <w:b/>
          <w:spacing w:val="-7"/>
          <w:sz w:val="28"/>
        </w:rPr>
        <w:t xml:space="preserve"> </w:t>
      </w:r>
      <w:r>
        <w:rPr>
          <w:b/>
          <w:spacing w:val="-2"/>
          <w:sz w:val="28"/>
        </w:rPr>
        <w:t>(continued)</w:t>
      </w:r>
    </w:p>
    <w:p w14:paraId="7BC5EB30" w14:textId="77777777" w:rsidR="00AC6F3C" w:rsidRDefault="00570E88">
      <w:pPr>
        <w:pStyle w:val="Heading6"/>
        <w:tabs>
          <w:tab w:val="left" w:pos="1810"/>
        </w:tabs>
      </w:pPr>
      <w:r>
        <w:rPr>
          <w:spacing w:val="-2"/>
        </w:rPr>
        <w:t>C8-</w:t>
      </w:r>
      <w:r>
        <w:rPr>
          <w:spacing w:val="-10"/>
        </w:rPr>
        <w:t>3</w:t>
      </w:r>
      <w:r>
        <w:tab/>
      </w:r>
      <w:r>
        <w:rPr>
          <w:spacing w:val="-2"/>
        </w:rPr>
        <w:t>BORROWINGS</w:t>
      </w:r>
    </w:p>
    <w:p w14:paraId="72DC9030"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840"/>
        <w:gridCol w:w="1138"/>
        <w:gridCol w:w="579"/>
        <w:gridCol w:w="530"/>
        <w:gridCol w:w="1139"/>
        <w:gridCol w:w="443"/>
        <w:gridCol w:w="675"/>
      </w:tblGrid>
      <w:tr w:rsidR="00AC6F3C" w14:paraId="7ACEAD1B" w14:textId="77777777">
        <w:trPr>
          <w:trHeight w:val="877"/>
        </w:trPr>
        <w:tc>
          <w:tcPr>
            <w:tcW w:w="3840" w:type="dxa"/>
            <w:tcBorders>
              <w:top w:val="single" w:sz="6" w:space="0" w:color="000000"/>
              <w:left w:val="single" w:sz="6" w:space="0" w:color="000000"/>
              <w:bottom w:val="single" w:sz="6" w:space="0" w:color="000000"/>
            </w:tcBorders>
            <w:shd w:val="clear" w:color="auto" w:fill="BEBEBE"/>
          </w:tcPr>
          <w:p w14:paraId="1294761B" w14:textId="77777777" w:rsidR="00AC6F3C" w:rsidRDefault="00AC6F3C">
            <w:pPr>
              <w:pStyle w:val="TableParagraph"/>
              <w:rPr>
                <w:rFonts w:ascii="Times New Roman"/>
                <w:sz w:val="18"/>
              </w:rPr>
            </w:pPr>
          </w:p>
        </w:tc>
        <w:tc>
          <w:tcPr>
            <w:tcW w:w="1717" w:type="dxa"/>
            <w:gridSpan w:val="2"/>
            <w:tcBorders>
              <w:top w:val="single" w:sz="6" w:space="0" w:color="000000"/>
              <w:bottom w:val="single" w:sz="6" w:space="0" w:color="000000"/>
            </w:tcBorders>
            <w:shd w:val="clear" w:color="auto" w:fill="BEBEBE"/>
          </w:tcPr>
          <w:p w14:paraId="6483963D" w14:textId="77777777" w:rsidR="00AC6F3C" w:rsidRDefault="00570E88">
            <w:pPr>
              <w:pStyle w:val="TableParagraph"/>
              <w:spacing w:before="24" w:line="362" w:lineRule="auto"/>
              <w:ind w:left="681" w:hanging="105"/>
              <w:rPr>
                <w:b/>
                <w:sz w:val="18"/>
              </w:rPr>
            </w:pPr>
            <w:r>
              <w:rPr>
                <w:b/>
                <w:spacing w:val="-4"/>
                <w:sz w:val="18"/>
              </w:rPr>
              <w:t>Consolidated 2023</w:t>
            </w:r>
          </w:p>
          <w:p w14:paraId="2727975A" w14:textId="77777777" w:rsidR="00AC6F3C" w:rsidRDefault="00570E88">
            <w:pPr>
              <w:pStyle w:val="TableParagraph"/>
              <w:spacing w:line="192" w:lineRule="exact"/>
              <w:ind w:left="636"/>
              <w:rPr>
                <w:b/>
                <w:sz w:val="18"/>
              </w:rPr>
            </w:pPr>
            <w:r>
              <w:rPr>
                <w:b/>
                <w:spacing w:val="-2"/>
                <w:sz w:val="18"/>
              </w:rPr>
              <w:t>$’000</w:t>
            </w:r>
          </w:p>
        </w:tc>
        <w:tc>
          <w:tcPr>
            <w:tcW w:w="530" w:type="dxa"/>
            <w:tcBorders>
              <w:top w:val="single" w:sz="6" w:space="0" w:color="000000"/>
              <w:bottom w:val="single" w:sz="6" w:space="0" w:color="000000"/>
            </w:tcBorders>
            <w:shd w:val="clear" w:color="auto" w:fill="BEBEBE"/>
          </w:tcPr>
          <w:p w14:paraId="34E60E78" w14:textId="77777777" w:rsidR="00AC6F3C" w:rsidRDefault="00AC6F3C">
            <w:pPr>
              <w:pStyle w:val="TableParagraph"/>
              <w:spacing w:before="3"/>
              <w:rPr>
                <w:b/>
                <w:sz w:val="29"/>
              </w:rPr>
            </w:pPr>
          </w:p>
          <w:p w14:paraId="78C5E2F6" w14:textId="77777777" w:rsidR="00AC6F3C" w:rsidRDefault="00570E88">
            <w:pPr>
              <w:pStyle w:val="TableParagraph"/>
              <w:ind w:left="87"/>
              <w:rPr>
                <w:b/>
                <w:sz w:val="18"/>
              </w:rPr>
            </w:pPr>
            <w:r>
              <w:rPr>
                <w:b/>
                <w:spacing w:val="-4"/>
                <w:sz w:val="18"/>
              </w:rPr>
              <w:t>2022</w:t>
            </w:r>
          </w:p>
          <w:p w14:paraId="5AA1019C" w14:textId="77777777" w:rsidR="00AC6F3C" w:rsidRDefault="00570E88">
            <w:pPr>
              <w:pStyle w:val="TableParagraph"/>
              <w:spacing w:before="91"/>
              <w:ind w:left="42"/>
              <w:rPr>
                <w:b/>
                <w:sz w:val="18"/>
              </w:rPr>
            </w:pPr>
            <w:r>
              <w:rPr>
                <w:b/>
                <w:spacing w:val="-2"/>
                <w:sz w:val="18"/>
              </w:rPr>
              <w:t>$’000</w:t>
            </w:r>
          </w:p>
        </w:tc>
        <w:tc>
          <w:tcPr>
            <w:tcW w:w="1582" w:type="dxa"/>
            <w:gridSpan w:val="2"/>
            <w:tcBorders>
              <w:top w:val="single" w:sz="6" w:space="0" w:color="000000"/>
              <w:bottom w:val="single" w:sz="6" w:space="0" w:color="000000"/>
            </w:tcBorders>
            <w:shd w:val="clear" w:color="auto" w:fill="BEBEBE"/>
          </w:tcPr>
          <w:p w14:paraId="6DC79C74" w14:textId="77777777" w:rsidR="00AC6F3C" w:rsidRDefault="00570E88">
            <w:pPr>
              <w:pStyle w:val="TableParagraph"/>
              <w:spacing w:before="24" w:line="362" w:lineRule="auto"/>
              <w:ind w:left="680" w:firstLine="164"/>
              <w:rPr>
                <w:b/>
                <w:sz w:val="18"/>
              </w:rPr>
            </w:pPr>
            <w:r>
              <w:rPr>
                <w:b/>
                <w:spacing w:val="-2"/>
                <w:sz w:val="18"/>
              </w:rPr>
              <w:t xml:space="preserve">Parent </w:t>
            </w:r>
            <w:r>
              <w:rPr>
                <w:b/>
                <w:spacing w:val="-4"/>
                <w:sz w:val="18"/>
              </w:rPr>
              <w:t>2023</w:t>
            </w:r>
          </w:p>
          <w:p w14:paraId="1DCA05BB" w14:textId="77777777" w:rsidR="00AC6F3C" w:rsidRDefault="00570E88">
            <w:pPr>
              <w:pStyle w:val="TableParagraph"/>
              <w:spacing w:line="192" w:lineRule="exact"/>
              <w:ind w:left="635"/>
              <w:rPr>
                <w:b/>
                <w:sz w:val="18"/>
              </w:rPr>
            </w:pPr>
            <w:r>
              <w:rPr>
                <w:b/>
                <w:spacing w:val="-2"/>
                <w:sz w:val="18"/>
              </w:rPr>
              <w:t>$’000</w:t>
            </w:r>
          </w:p>
        </w:tc>
        <w:tc>
          <w:tcPr>
            <w:tcW w:w="675" w:type="dxa"/>
            <w:tcBorders>
              <w:top w:val="single" w:sz="6" w:space="0" w:color="000000"/>
              <w:bottom w:val="single" w:sz="6" w:space="0" w:color="000000"/>
              <w:right w:val="single" w:sz="6" w:space="0" w:color="000000"/>
            </w:tcBorders>
            <w:shd w:val="clear" w:color="auto" w:fill="BEBEBE"/>
          </w:tcPr>
          <w:p w14:paraId="6A4A8683" w14:textId="77777777" w:rsidR="00AC6F3C" w:rsidRDefault="00AC6F3C">
            <w:pPr>
              <w:pStyle w:val="TableParagraph"/>
              <w:spacing w:before="3"/>
              <w:rPr>
                <w:b/>
                <w:sz w:val="29"/>
              </w:rPr>
            </w:pPr>
          </w:p>
          <w:p w14:paraId="4817368B" w14:textId="77777777" w:rsidR="00AC6F3C" w:rsidRDefault="00570E88">
            <w:pPr>
              <w:pStyle w:val="TableParagraph"/>
              <w:ind w:left="221"/>
              <w:rPr>
                <w:b/>
                <w:sz w:val="18"/>
              </w:rPr>
            </w:pPr>
            <w:r>
              <w:rPr>
                <w:b/>
                <w:spacing w:val="-4"/>
                <w:sz w:val="18"/>
              </w:rPr>
              <w:t>2022</w:t>
            </w:r>
          </w:p>
          <w:p w14:paraId="3D943C00" w14:textId="77777777" w:rsidR="00AC6F3C" w:rsidRDefault="00570E88">
            <w:pPr>
              <w:pStyle w:val="TableParagraph"/>
              <w:spacing w:before="91"/>
              <w:ind w:left="176"/>
              <w:rPr>
                <w:b/>
                <w:sz w:val="18"/>
              </w:rPr>
            </w:pPr>
            <w:r>
              <w:rPr>
                <w:b/>
                <w:spacing w:val="-2"/>
                <w:sz w:val="18"/>
              </w:rPr>
              <w:t>$’000</w:t>
            </w:r>
          </w:p>
        </w:tc>
      </w:tr>
      <w:tr w:rsidR="00AC6F3C" w14:paraId="36F09098" w14:textId="77777777">
        <w:trPr>
          <w:trHeight w:val="295"/>
        </w:trPr>
        <w:tc>
          <w:tcPr>
            <w:tcW w:w="3840" w:type="dxa"/>
            <w:tcBorders>
              <w:top w:val="single" w:sz="6" w:space="0" w:color="000000"/>
              <w:left w:val="single" w:sz="6" w:space="0" w:color="000000"/>
            </w:tcBorders>
          </w:tcPr>
          <w:p w14:paraId="65D3CE3B" w14:textId="77777777" w:rsidR="00AC6F3C" w:rsidRDefault="00570E88">
            <w:pPr>
              <w:pStyle w:val="TableParagraph"/>
              <w:spacing w:before="39"/>
              <w:ind w:left="37"/>
              <w:rPr>
                <w:sz w:val="18"/>
              </w:rPr>
            </w:pPr>
            <w:r>
              <w:rPr>
                <w:sz w:val="18"/>
              </w:rPr>
              <w:t>Loans</w:t>
            </w:r>
            <w:r>
              <w:rPr>
                <w:spacing w:val="8"/>
                <w:sz w:val="18"/>
              </w:rPr>
              <w:t xml:space="preserve"> </w:t>
            </w:r>
            <w:r>
              <w:rPr>
                <w:sz w:val="18"/>
              </w:rPr>
              <w:t>Payable</w:t>
            </w:r>
            <w:r>
              <w:rPr>
                <w:spacing w:val="1"/>
                <w:sz w:val="18"/>
              </w:rPr>
              <w:t xml:space="preserve"> </w:t>
            </w:r>
            <w:r>
              <w:rPr>
                <w:sz w:val="18"/>
              </w:rPr>
              <w:t>-</w:t>
            </w:r>
            <w:r>
              <w:rPr>
                <w:spacing w:val="-4"/>
                <w:sz w:val="18"/>
              </w:rPr>
              <w:t xml:space="preserve"> </w:t>
            </w:r>
            <w:r>
              <w:rPr>
                <w:spacing w:val="-2"/>
                <w:sz w:val="18"/>
              </w:rPr>
              <w:t>Current</w:t>
            </w:r>
          </w:p>
        </w:tc>
        <w:tc>
          <w:tcPr>
            <w:tcW w:w="1138" w:type="dxa"/>
            <w:tcBorders>
              <w:top w:val="single" w:sz="6" w:space="0" w:color="000000"/>
            </w:tcBorders>
            <w:shd w:val="clear" w:color="auto" w:fill="F1F1F1"/>
          </w:tcPr>
          <w:p w14:paraId="099B9D28" w14:textId="77777777" w:rsidR="00AC6F3C" w:rsidRDefault="00570E88">
            <w:pPr>
              <w:pStyle w:val="TableParagraph"/>
              <w:spacing w:before="39"/>
              <w:ind w:right="35"/>
              <w:jc w:val="right"/>
              <w:rPr>
                <w:sz w:val="18"/>
              </w:rPr>
            </w:pPr>
            <w:r>
              <w:rPr>
                <w:spacing w:val="-5"/>
                <w:sz w:val="18"/>
              </w:rPr>
              <w:t>855</w:t>
            </w:r>
          </w:p>
        </w:tc>
        <w:tc>
          <w:tcPr>
            <w:tcW w:w="1109" w:type="dxa"/>
            <w:gridSpan w:val="2"/>
            <w:tcBorders>
              <w:top w:val="single" w:sz="6" w:space="0" w:color="000000"/>
            </w:tcBorders>
          </w:tcPr>
          <w:p w14:paraId="31E8B457" w14:textId="77777777" w:rsidR="00AC6F3C" w:rsidRDefault="00570E88">
            <w:pPr>
              <w:pStyle w:val="TableParagraph"/>
              <w:spacing w:before="39"/>
              <w:ind w:right="21"/>
              <w:jc w:val="right"/>
              <w:rPr>
                <w:sz w:val="18"/>
              </w:rPr>
            </w:pPr>
            <w:r>
              <w:rPr>
                <w:w w:val="99"/>
                <w:sz w:val="18"/>
              </w:rPr>
              <w:t>-</w:t>
            </w:r>
          </w:p>
        </w:tc>
        <w:tc>
          <w:tcPr>
            <w:tcW w:w="1139" w:type="dxa"/>
            <w:tcBorders>
              <w:top w:val="single" w:sz="6" w:space="0" w:color="000000"/>
            </w:tcBorders>
            <w:shd w:val="clear" w:color="auto" w:fill="F1F1F1"/>
          </w:tcPr>
          <w:p w14:paraId="475B38E9" w14:textId="77777777" w:rsidR="00AC6F3C" w:rsidRDefault="00570E88">
            <w:pPr>
              <w:pStyle w:val="TableParagraph"/>
              <w:spacing w:before="39"/>
              <w:ind w:right="37"/>
              <w:jc w:val="right"/>
              <w:rPr>
                <w:sz w:val="18"/>
              </w:rPr>
            </w:pPr>
            <w:r>
              <w:rPr>
                <w:spacing w:val="-5"/>
                <w:sz w:val="18"/>
              </w:rPr>
              <w:t>855</w:t>
            </w:r>
          </w:p>
        </w:tc>
        <w:tc>
          <w:tcPr>
            <w:tcW w:w="1118" w:type="dxa"/>
            <w:gridSpan w:val="2"/>
            <w:tcBorders>
              <w:top w:val="single" w:sz="6" w:space="0" w:color="000000"/>
              <w:right w:val="single" w:sz="6" w:space="0" w:color="000000"/>
            </w:tcBorders>
          </w:tcPr>
          <w:p w14:paraId="11A30B2E" w14:textId="77777777" w:rsidR="00AC6F3C" w:rsidRDefault="00570E88">
            <w:pPr>
              <w:pStyle w:val="TableParagraph"/>
              <w:spacing w:before="39"/>
              <w:ind w:right="25"/>
              <w:jc w:val="right"/>
              <w:rPr>
                <w:sz w:val="18"/>
              </w:rPr>
            </w:pPr>
            <w:r>
              <w:rPr>
                <w:w w:val="99"/>
                <w:sz w:val="18"/>
              </w:rPr>
              <w:t>-</w:t>
            </w:r>
          </w:p>
        </w:tc>
      </w:tr>
      <w:tr w:rsidR="00AC6F3C" w14:paraId="00F6BE7F" w14:textId="77777777">
        <w:trPr>
          <w:trHeight w:val="284"/>
        </w:trPr>
        <w:tc>
          <w:tcPr>
            <w:tcW w:w="3840" w:type="dxa"/>
            <w:tcBorders>
              <w:left w:val="single" w:sz="6" w:space="0" w:color="000000"/>
              <w:bottom w:val="single" w:sz="6" w:space="0" w:color="000000"/>
            </w:tcBorders>
          </w:tcPr>
          <w:p w14:paraId="45E7E97D" w14:textId="77777777" w:rsidR="00AC6F3C" w:rsidRDefault="00570E88">
            <w:pPr>
              <w:pStyle w:val="TableParagraph"/>
              <w:spacing w:before="42"/>
              <w:ind w:left="37"/>
              <w:rPr>
                <w:sz w:val="18"/>
              </w:rPr>
            </w:pPr>
            <w:r>
              <w:rPr>
                <w:sz w:val="18"/>
              </w:rPr>
              <w:t>Loans</w:t>
            </w:r>
            <w:r>
              <w:rPr>
                <w:spacing w:val="14"/>
                <w:sz w:val="18"/>
              </w:rPr>
              <w:t xml:space="preserve"> </w:t>
            </w:r>
            <w:r>
              <w:rPr>
                <w:sz w:val="18"/>
              </w:rPr>
              <w:t>Payable</w:t>
            </w:r>
            <w:r>
              <w:rPr>
                <w:spacing w:val="4"/>
                <w:sz w:val="18"/>
              </w:rPr>
              <w:t xml:space="preserve"> </w:t>
            </w:r>
            <w:r>
              <w:rPr>
                <w:sz w:val="18"/>
              </w:rPr>
              <w:t>-</w:t>
            </w:r>
            <w:r>
              <w:rPr>
                <w:spacing w:val="-2"/>
                <w:sz w:val="18"/>
              </w:rPr>
              <w:t xml:space="preserve"> </w:t>
            </w:r>
            <w:r>
              <w:rPr>
                <w:sz w:val="18"/>
              </w:rPr>
              <w:t>Non-</w:t>
            </w:r>
            <w:r>
              <w:rPr>
                <w:spacing w:val="-2"/>
                <w:sz w:val="18"/>
              </w:rPr>
              <w:t>current</w:t>
            </w:r>
          </w:p>
        </w:tc>
        <w:tc>
          <w:tcPr>
            <w:tcW w:w="1138" w:type="dxa"/>
            <w:tcBorders>
              <w:bottom w:val="single" w:sz="6" w:space="0" w:color="000000"/>
            </w:tcBorders>
            <w:shd w:val="clear" w:color="auto" w:fill="F1F1F1"/>
          </w:tcPr>
          <w:p w14:paraId="6CF54B2E" w14:textId="77777777" w:rsidR="00AC6F3C" w:rsidRDefault="00570E88">
            <w:pPr>
              <w:pStyle w:val="TableParagraph"/>
              <w:spacing w:before="42"/>
              <w:ind w:right="35"/>
              <w:jc w:val="right"/>
              <w:rPr>
                <w:sz w:val="18"/>
              </w:rPr>
            </w:pPr>
            <w:r>
              <w:rPr>
                <w:spacing w:val="-2"/>
                <w:sz w:val="18"/>
              </w:rPr>
              <w:t>8,956</w:t>
            </w:r>
          </w:p>
        </w:tc>
        <w:tc>
          <w:tcPr>
            <w:tcW w:w="1109" w:type="dxa"/>
            <w:gridSpan w:val="2"/>
            <w:tcBorders>
              <w:bottom w:val="single" w:sz="6" w:space="0" w:color="000000"/>
            </w:tcBorders>
          </w:tcPr>
          <w:p w14:paraId="19521DB2" w14:textId="77777777" w:rsidR="00AC6F3C" w:rsidRDefault="00570E88">
            <w:pPr>
              <w:pStyle w:val="TableParagraph"/>
              <w:spacing w:before="42"/>
              <w:ind w:right="21"/>
              <w:jc w:val="right"/>
              <w:rPr>
                <w:sz w:val="18"/>
              </w:rPr>
            </w:pPr>
            <w:r>
              <w:rPr>
                <w:w w:val="99"/>
                <w:sz w:val="18"/>
              </w:rPr>
              <w:t>-</w:t>
            </w:r>
          </w:p>
        </w:tc>
        <w:tc>
          <w:tcPr>
            <w:tcW w:w="1139" w:type="dxa"/>
            <w:tcBorders>
              <w:bottom w:val="single" w:sz="6" w:space="0" w:color="000000"/>
            </w:tcBorders>
            <w:shd w:val="clear" w:color="auto" w:fill="F1F1F1"/>
          </w:tcPr>
          <w:p w14:paraId="7E4A0469" w14:textId="77777777" w:rsidR="00AC6F3C" w:rsidRDefault="00570E88">
            <w:pPr>
              <w:pStyle w:val="TableParagraph"/>
              <w:spacing w:before="42"/>
              <w:ind w:right="37"/>
              <w:jc w:val="right"/>
              <w:rPr>
                <w:sz w:val="18"/>
              </w:rPr>
            </w:pPr>
            <w:r>
              <w:rPr>
                <w:spacing w:val="-2"/>
                <w:sz w:val="18"/>
              </w:rPr>
              <w:t>8,956</w:t>
            </w:r>
          </w:p>
        </w:tc>
        <w:tc>
          <w:tcPr>
            <w:tcW w:w="1118" w:type="dxa"/>
            <w:gridSpan w:val="2"/>
            <w:tcBorders>
              <w:bottom w:val="single" w:sz="6" w:space="0" w:color="000000"/>
              <w:right w:val="single" w:sz="6" w:space="0" w:color="000000"/>
            </w:tcBorders>
          </w:tcPr>
          <w:p w14:paraId="78982CAC" w14:textId="77777777" w:rsidR="00AC6F3C" w:rsidRDefault="00570E88">
            <w:pPr>
              <w:pStyle w:val="TableParagraph"/>
              <w:spacing w:before="42"/>
              <w:ind w:right="25"/>
              <w:jc w:val="right"/>
              <w:rPr>
                <w:sz w:val="18"/>
              </w:rPr>
            </w:pPr>
            <w:r>
              <w:rPr>
                <w:w w:val="99"/>
                <w:sz w:val="18"/>
              </w:rPr>
              <w:t>-</w:t>
            </w:r>
          </w:p>
        </w:tc>
      </w:tr>
      <w:tr w:rsidR="00AC6F3C" w14:paraId="74CC91D5" w14:textId="77777777">
        <w:trPr>
          <w:trHeight w:val="282"/>
        </w:trPr>
        <w:tc>
          <w:tcPr>
            <w:tcW w:w="3840" w:type="dxa"/>
            <w:tcBorders>
              <w:top w:val="single" w:sz="6" w:space="0" w:color="000000"/>
              <w:left w:val="single" w:sz="6" w:space="0" w:color="000000"/>
              <w:bottom w:val="single" w:sz="6" w:space="0" w:color="000000"/>
            </w:tcBorders>
            <w:shd w:val="clear" w:color="auto" w:fill="BEBEBE"/>
          </w:tcPr>
          <w:p w14:paraId="14F6B2EE" w14:textId="77777777" w:rsidR="00AC6F3C" w:rsidRDefault="00570E88">
            <w:pPr>
              <w:pStyle w:val="TableParagraph"/>
              <w:spacing w:before="39"/>
              <w:ind w:left="37"/>
              <w:rPr>
                <w:b/>
                <w:sz w:val="18"/>
              </w:rPr>
            </w:pPr>
            <w:r>
              <w:rPr>
                <w:b/>
                <w:spacing w:val="-2"/>
                <w:sz w:val="18"/>
              </w:rPr>
              <w:t>Total</w:t>
            </w:r>
            <w:r>
              <w:rPr>
                <w:b/>
                <w:spacing w:val="-11"/>
                <w:sz w:val="18"/>
              </w:rPr>
              <w:t xml:space="preserve"> </w:t>
            </w:r>
            <w:r>
              <w:rPr>
                <w:b/>
                <w:spacing w:val="-2"/>
                <w:sz w:val="18"/>
              </w:rPr>
              <w:t>non-current</w:t>
            </w:r>
            <w:r>
              <w:rPr>
                <w:b/>
                <w:spacing w:val="-11"/>
                <w:sz w:val="18"/>
              </w:rPr>
              <w:t xml:space="preserve"> </w:t>
            </w:r>
            <w:r>
              <w:rPr>
                <w:b/>
                <w:spacing w:val="-2"/>
                <w:sz w:val="18"/>
              </w:rPr>
              <w:t>payables</w:t>
            </w:r>
          </w:p>
        </w:tc>
        <w:tc>
          <w:tcPr>
            <w:tcW w:w="1717" w:type="dxa"/>
            <w:gridSpan w:val="2"/>
            <w:tcBorders>
              <w:top w:val="single" w:sz="6" w:space="0" w:color="000000"/>
              <w:bottom w:val="single" w:sz="6" w:space="0" w:color="000000"/>
            </w:tcBorders>
            <w:shd w:val="clear" w:color="auto" w:fill="BEBEBE"/>
          </w:tcPr>
          <w:p w14:paraId="573B0F0E" w14:textId="77777777" w:rsidR="00AC6F3C" w:rsidRDefault="00570E88">
            <w:pPr>
              <w:pStyle w:val="TableParagraph"/>
              <w:spacing w:before="39"/>
              <w:ind w:left="628" w:right="608"/>
              <w:jc w:val="center"/>
              <w:rPr>
                <w:b/>
                <w:sz w:val="18"/>
              </w:rPr>
            </w:pPr>
            <w:r>
              <w:rPr>
                <w:b/>
                <w:spacing w:val="-2"/>
                <w:sz w:val="18"/>
              </w:rPr>
              <w:t>9,811</w:t>
            </w:r>
          </w:p>
        </w:tc>
        <w:tc>
          <w:tcPr>
            <w:tcW w:w="530" w:type="dxa"/>
            <w:tcBorders>
              <w:top w:val="single" w:sz="6" w:space="0" w:color="000000"/>
              <w:bottom w:val="single" w:sz="6" w:space="0" w:color="000000"/>
            </w:tcBorders>
            <w:shd w:val="clear" w:color="auto" w:fill="BEBEBE"/>
          </w:tcPr>
          <w:p w14:paraId="0FBD7314" w14:textId="77777777" w:rsidR="00AC6F3C" w:rsidRDefault="00570E88">
            <w:pPr>
              <w:pStyle w:val="TableParagraph"/>
              <w:spacing w:before="39"/>
              <w:ind w:right="21"/>
              <w:jc w:val="right"/>
              <w:rPr>
                <w:b/>
                <w:sz w:val="18"/>
              </w:rPr>
            </w:pPr>
            <w:r>
              <w:rPr>
                <w:b/>
                <w:w w:val="99"/>
                <w:sz w:val="18"/>
              </w:rPr>
              <w:t>-</w:t>
            </w:r>
          </w:p>
        </w:tc>
        <w:tc>
          <w:tcPr>
            <w:tcW w:w="1582" w:type="dxa"/>
            <w:gridSpan w:val="2"/>
            <w:tcBorders>
              <w:top w:val="single" w:sz="6" w:space="0" w:color="000000"/>
              <w:bottom w:val="single" w:sz="6" w:space="0" w:color="000000"/>
            </w:tcBorders>
            <w:shd w:val="clear" w:color="auto" w:fill="BEBEBE"/>
          </w:tcPr>
          <w:p w14:paraId="71F4801C" w14:textId="77777777" w:rsidR="00AC6F3C" w:rsidRDefault="00570E88">
            <w:pPr>
              <w:pStyle w:val="TableParagraph"/>
              <w:spacing w:before="39"/>
              <w:ind w:left="635"/>
              <w:rPr>
                <w:b/>
                <w:sz w:val="18"/>
              </w:rPr>
            </w:pPr>
            <w:r>
              <w:rPr>
                <w:b/>
                <w:spacing w:val="-2"/>
                <w:sz w:val="18"/>
              </w:rPr>
              <w:t>9,811</w:t>
            </w:r>
          </w:p>
        </w:tc>
        <w:tc>
          <w:tcPr>
            <w:tcW w:w="675" w:type="dxa"/>
            <w:tcBorders>
              <w:top w:val="single" w:sz="6" w:space="0" w:color="000000"/>
              <w:bottom w:val="single" w:sz="6" w:space="0" w:color="000000"/>
              <w:right w:val="single" w:sz="6" w:space="0" w:color="000000"/>
            </w:tcBorders>
            <w:shd w:val="clear" w:color="auto" w:fill="BEBEBE"/>
          </w:tcPr>
          <w:p w14:paraId="4BE394B4" w14:textId="77777777" w:rsidR="00AC6F3C" w:rsidRDefault="00570E88">
            <w:pPr>
              <w:pStyle w:val="TableParagraph"/>
              <w:spacing w:before="39"/>
              <w:ind w:right="25"/>
              <w:jc w:val="right"/>
              <w:rPr>
                <w:b/>
                <w:sz w:val="18"/>
              </w:rPr>
            </w:pPr>
            <w:r>
              <w:rPr>
                <w:b/>
                <w:w w:val="99"/>
                <w:sz w:val="18"/>
              </w:rPr>
              <w:t>-</w:t>
            </w:r>
          </w:p>
        </w:tc>
      </w:tr>
    </w:tbl>
    <w:p w14:paraId="67038D6A" w14:textId="77777777" w:rsidR="00AC6F3C" w:rsidRDefault="00AC6F3C">
      <w:pPr>
        <w:pStyle w:val="BodyText"/>
        <w:spacing w:before="5"/>
        <w:rPr>
          <w:b/>
          <w:sz w:val="23"/>
        </w:rPr>
      </w:pPr>
    </w:p>
    <w:p w14:paraId="0E551139" w14:textId="77777777" w:rsidR="00AC6F3C" w:rsidRDefault="00570E88">
      <w:pPr>
        <w:ind w:left="958"/>
        <w:rPr>
          <w:b/>
          <w:sz w:val="18"/>
        </w:rPr>
      </w:pPr>
      <w:r>
        <w:rPr>
          <w:b/>
          <w:sz w:val="18"/>
        </w:rPr>
        <w:t>Accounting</w:t>
      </w:r>
      <w:r>
        <w:rPr>
          <w:b/>
          <w:spacing w:val="-2"/>
          <w:sz w:val="18"/>
        </w:rPr>
        <w:t xml:space="preserve"> </w:t>
      </w:r>
      <w:r>
        <w:rPr>
          <w:b/>
          <w:sz w:val="18"/>
        </w:rPr>
        <w:t>policy</w:t>
      </w:r>
      <w:r>
        <w:rPr>
          <w:b/>
          <w:spacing w:val="-1"/>
          <w:sz w:val="18"/>
        </w:rPr>
        <w:t xml:space="preserve"> </w:t>
      </w:r>
      <w:r>
        <w:rPr>
          <w:b/>
          <w:sz w:val="18"/>
        </w:rPr>
        <w:t>–</w:t>
      </w:r>
      <w:r>
        <w:rPr>
          <w:b/>
          <w:spacing w:val="-3"/>
          <w:sz w:val="18"/>
        </w:rPr>
        <w:t xml:space="preserve"> </w:t>
      </w:r>
      <w:r>
        <w:rPr>
          <w:b/>
          <w:spacing w:val="-2"/>
          <w:sz w:val="18"/>
        </w:rPr>
        <w:t>Borrowings</w:t>
      </w:r>
    </w:p>
    <w:p w14:paraId="708278E4" w14:textId="77777777" w:rsidR="00AC6F3C" w:rsidRDefault="00AC6F3C">
      <w:pPr>
        <w:pStyle w:val="BodyText"/>
        <w:rPr>
          <w:b/>
          <w:sz w:val="21"/>
        </w:rPr>
      </w:pPr>
    </w:p>
    <w:p w14:paraId="5864C414" w14:textId="77777777" w:rsidR="00AC6F3C" w:rsidRDefault="00570E88">
      <w:pPr>
        <w:ind w:left="958" w:right="946"/>
        <w:rPr>
          <w:sz w:val="18"/>
        </w:rPr>
      </w:pPr>
      <w:r>
        <w:rPr>
          <w:sz w:val="18"/>
        </w:rPr>
        <w:t xml:space="preserve">Borrowings are initially </w:t>
      </w:r>
      <w:proofErr w:type="spellStart"/>
      <w:r>
        <w:rPr>
          <w:sz w:val="18"/>
        </w:rPr>
        <w:t>recognised</w:t>
      </w:r>
      <w:proofErr w:type="spellEnd"/>
      <w:r>
        <w:rPr>
          <w:sz w:val="18"/>
        </w:rPr>
        <w:t xml:space="preserve"> at fair value, plus any transaction costs directly attributable to the borrowings, then subsequently held at </w:t>
      </w:r>
      <w:proofErr w:type="spellStart"/>
      <w:r>
        <w:rPr>
          <w:sz w:val="18"/>
        </w:rPr>
        <w:t>amortised</w:t>
      </w:r>
      <w:proofErr w:type="spellEnd"/>
      <w:r>
        <w:rPr>
          <w:sz w:val="18"/>
        </w:rPr>
        <w:t xml:space="preserve"> cost using the effective interest method. The effective interest</w:t>
      </w:r>
      <w:r>
        <w:rPr>
          <w:spacing w:val="-3"/>
          <w:sz w:val="18"/>
        </w:rPr>
        <w:t xml:space="preserve"> </w:t>
      </w:r>
      <w:r>
        <w:rPr>
          <w:sz w:val="18"/>
        </w:rPr>
        <w:t>rate</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rate</w:t>
      </w:r>
      <w:r>
        <w:rPr>
          <w:spacing w:val="-2"/>
          <w:sz w:val="18"/>
        </w:rPr>
        <w:t xml:space="preserve"> </w:t>
      </w:r>
      <w:r>
        <w:rPr>
          <w:sz w:val="18"/>
        </w:rPr>
        <w:t>that</w:t>
      </w:r>
      <w:r>
        <w:rPr>
          <w:spacing w:val="-3"/>
          <w:sz w:val="18"/>
        </w:rPr>
        <w:t xml:space="preserve"> </w:t>
      </w:r>
      <w:r>
        <w:rPr>
          <w:sz w:val="18"/>
        </w:rPr>
        <w:t>exactly</w:t>
      </w:r>
      <w:r>
        <w:rPr>
          <w:spacing w:val="-2"/>
          <w:sz w:val="18"/>
        </w:rPr>
        <w:t xml:space="preserve"> </w:t>
      </w:r>
      <w:r>
        <w:rPr>
          <w:sz w:val="18"/>
        </w:rPr>
        <w:t>discounts</w:t>
      </w:r>
      <w:r>
        <w:rPr>
          <w:spacing w:val="-4"/>
          <w:sz w:val="18"/>
        </w:rPr>
        <w:t xml:space="preserve"> </w:t>
      </w:r>
      <w:r>
        <w:rPr>
          <w:sz w:val="18"/>
        </w:rPr>
        <w:t>estimated</w:t>
      </w:r>
      <w:r>
        <w:rPr>
          <w:spacing w:val="-2"/>
          <w:sz w:val="18"/>
        </w:rPr>
        <w:t xml:space="preserve"> </w:t>
      </w:r>
      <w:r>
        <w:rPr>
          <w:sz w:val="18"/>
        </w:rPr>
        <w:t>future</w:t>
      </w:r>
      <w:r>
        <w:rPr>
          <w:spacing w:val="-2"/>
          <w:sz w:val="18"/>
        </w:rPr>
        <w:t xml:space="preserve"> </w:t>
      </w:r>
      <w:r>
        <w:rPr>
          <w:sz w:val="18"/>
        </w:rPr>
        <w:t>cash</w:t>
      </w:r>
      <w:r>
        <w:rPr>
          <w:spacing w:val="-2"/>
          <w:sz w:val="18"/>
        </w:rPr>
        <w:t xml:space="preserve"> </w:t>
      </w:r>
      <w:r>
        <w:rPr>
          <w:sz w:val="18"/>
        </w:rPr>
        <w:t>payments</w:t>
      </w:r>
      <w:r>
        <w:rPr>
          <w:spacing w:val="-2"/>
          <w:sz w:val="18"/>
        </w:rPr>
        <w:t xml:space="preserve"> </w:t>
      </w:r>
      <w:r>
        <w:rPr>
          <w:sz w:val="18"/>
        </w:rPr>
        <w:t>through</w:t>
      </w:r>
      <w:r>
        <w:rPr>
          <w:spacing w:val="-2"/>
          <w:sz w:val="18"/>
        </w:rPr>
        <w:t xml:space="preserve"> </w:t>
      </w:r>
      <w:r>
        <w:rPr>
          <w:sz w:val="18"/>
        </w:rPr>
        <w:t>the</w:t>
      </w:r>
      <w:r>
        <w:rPr>
          <w:spacing w:val="-5"/>
          <w:sz w:val="18"/>
        </w:rPr>
        <w:t xml:space="preserve"> </w:t>
      </w:r>
      <w:r>
        <w:rPr>
          <w:sz w:val="18"/>
        </w:rPr>
        <w:t>expected</w:t>
      </w:r>
      <w:r>
        <w:rPr>
          <w:spacing w:val="-2"/>
          <w:sz w:val="18"/>
        </w:rPr>
        <w:t xml:space="preserve"> </w:t>
      </w:r>
      <w:r>
        <w:rPr>
          <w:sz w:val="18"/>
        </w:rPr>
        <w:t>life</w:t>
      </w:r>
      <w:r>
        <w:rPr>
          <w:spacing w:val="-2"/>
          <w:sz w:val="18"/>
        </w:rPr>
        <w:t xml:space="preserve"> </w:t>
      </w:r>
      <w:r>
        <w:rPr>
          <w:sz w:val="18"/>
        </w:rPr>
        <w:t xml:space="preserve">of a financial liability to the </w:t>
      </w:r>
      <w:proofErr w:type="spellStart"/>
      <w:r>
        <w:rPr>
          <w:sz w:val="18"/>
        </w:rPr>
        <w:t>amortised</w:t>
      </w:r>
      <w:proofErr w:type="spellEnd"/>
      <w:r>
        <w:rPr>
          <w:sz w:val="18"/>
        </w:rPr>
        <w:t xml:space="preserve"> cost of the liability.</w:t>
      </w:r>
    </w:p>
    <w:p w14:paraId="2CC319D8" w14:textId="77777777" w:rsidR="00AC6F3C" w:rsidRDefault="00AC6F3C">
      <w:pPr>
        <w:pStyle w:val="BodyText"/>
        <w:spacing w:before="10"/>
      </w:pPr>
    </w:p>
    <w:p w14:paraId="53C3407F" w14:textId="77777777" w:rsidR="00AC6F3C" w:rsidRDefault="00570E88">
      <w:pPr>
        <w:ind w:left="958"/>
        <w:rPr>
          <w:sz w:val="18"/>
        </w:rPr>
      </w:pPr>
      <w:r>
        <w:rPr>
          <w:sz w:val="18"/>
        </w:rPr>
        <w:t>The</w:t>
      </w:r>
      <w:r>
        <w:rPr>
          <w:spacing w:val="-1"/>
          <w:sz w:val="18"/>
        </w:rPr>
        <w:t xml:space="preserve"> </w:t>
      </w:r>
      <w:r>
        <w:rPr>
          <w:sz w:val="18"/>
        </w:rPr>
        <w:t>fair</w:t>
      </w:r>
      <w:r>
        <w:rPr>
          <w:spacing w:val="-1"/>
          <w:sz w:val="18"/>
        </w:rPr>
        <w:t xml:space="preserve"> </w:t>
      </w:r>
      <w:r>
        <w:rPr>
          <w:sz w:val="18"/>
        </w:rPr>
        <w:t>value of</w:t>
      </w:r>
      <w:r>
        <w:rPr>
          <w:spacing w:val="-4"/>
          <w:sz w:val="18"/>
        </w:rPr>
        <w:t xml:space="preserve"> </w:t>
      </w:r>
      <w:r>
        <w:rPr>
          <w:sz w:val="18"/>
        </w:rPr>
        <w:t>borrowings</w:t>
      </w:r>
      <w:r>
        <w:rPr>
          <w:spacing w:val="-2"/>
          <w:sz w:val="18"/>
        </w:rPr>
        <w:t xml:space="preserve"> </w:t>
      </w:r>
      <w:r>
        <w:rPr>
          <w:sz w:val="18"/>
        </w:rPr>
        <w:t>is</w:t>
      </w:r>
      <w:r>
        <w:rPr>
          <w:spacing w:val="-5"/>
          <w:sz w:val="18"/>
        </w:rPr>
        <w:t xml:space="preserve"> </w:t>
      </w:r>
      <w:r>
        <w:rPr>
          <w:sz w:val="18"/>
        </w:rPr>
        <w:t>subsequently</w:t>
      </w:r>
      <w:r>
        <w:rPr>
          <w:spacing w:val="-3"/>
          <w:sz w:val="18"/>
        </w:rPr>
        <w:t xml:space="preserve"> </w:t>
      </w:r>
      <w:r>
        <w:rPr>
          <w:sz w:val="18"/>
        </w:rPr>
        <w:t>measured at</w:t>
      </w:r>
      <w:r>
        <w:rPr>
          <w:spacing w:val="-3"/>
          <w:sz w:val="18"/>
        </w:rPr>
        <w:t xml:space="preserve"> </w:t>
      </w:r>
      <w:proofErr w:type="spellStart"/>
      <w:r>
        <w:rPr>
          <w:sz w:val="18"/>
        </w:rPr>
        <w:t>amortised</w:t>
      </w:r>
      <w:proofErr w:type="spellEnd"/>
      <w:r>
        <w:rPr>
          <w:spacing w:val="-3"/>
          <w:sz w:val="18"/>
        </w:rPr>
        <w:t xml:space="preserve"> </w:t>
      </w:r>
      <w:r>
        <w:rPr>
          <w:sz w:val="18"/>
        </w:rPr>
        <w:t>cost</w:t>
      </w:r>
      <w:r>
        <w:rPr>
          <w:spacing w:val="-4"/>
          <w:sz w:val="18"/>
        </w:rPr>
        <w:t xml:space="preserve"> </w:t>
      </w:r>
      <w:r>
        <w:rPr>
          <w:sz w:val="18"/>
        </w:rPr>
        <w:t>is</w:t>
      </w:r>
      <w:r>
        <w:rPr>
          <w:spacing w:val="-2"/>
          <w:sz w:val="18"/>
        </w:rPr>
        <w:t xml:space="preserve"> </w:t>
      </w:r>
      <w:r>
        <w:rPr>
          <w:sz w:val="18"/>
        </w:rPr>
        <w:t>set</w:t>
      </w:r>
      <w:r>
        <w:rPr>
          <w:spacing w:val="-1"/>
          <w:sz w:val="18"/>
        </w:rPr>
        <w:t xml:space="preserve"> </w:t>
      </w:r>
      <w:r>
        <w:rPr>
          <w:sz w:val="18"/>
        </w:rPr>
        <w:t>out</w:t>
      </w:r>
      <w:r>
        <w:rPr>
          <w:spacing w:val="-3"/>
          <w:sz w:val="18"/>
        </w:rPr>
        <w:t xml:space="preserve"> </w:t>
      </w:r>
      <w:r>
        <w:rPr>
          <w:spacing w:val="-2"/>
          <w:sz w:val="18"/>
        </w:rPr>
        <w:t>above.</w:t>
      </w:r>
    </w:p>
    <w:p w14:paraId="048E177D" w14:textId="77777777" w:rsidR="00AC6F3C" w:rsidRDefault="00AC6F3C">
      <w:pPr>
        <w:pStyle w:val="BodyText"/>
        <w:spacing w:before="9"/>
      </w:pPr>
    </w:p>
    <w:p w14:paraId="5A27D799" w14:textId="77777777" w:rsidR="00AC6F3C" w:rsidRDefault="00570E88">
      <w:pPr>
        <w:spacing w:before="1"/>
        <w:ind w:left="958" w:right="730"/>
        <w:rPr>
          <w:sz w:val="18"/>
        </w:rPr>
      </w:pPr>
      <w:r>
        <w:rPr>
          <w:sz w:val="18"/>
        </w:rPr>
        <w:t>Any</w:t>
      </w:r>
      <w:r>
        <w:rPr>
          <w:spacing w:val="-1"/>
          <w:sz w:val="18"/>
        </w:rPr>
        <w:t xml:space="preserve"> </w:t>
      </w:r>
      <w:r>
        <w:rPr>
          <w:sz w:val="18"/>
        </w:rPr>
        <w:t>borrowing</w:t>
      </w:r>
      <w:r>
        <w:rPr>
          <w:spacing w:val="-1"/>
          <w:sz w:val="18"/>
        </w:rPr>
        <w:t xml:space="preserve"> </w:t>
      </w:r>
      <w:r>
        <w:rPr>
          <w:sz w:val="18"/>
        </w:rPr>
        <w:t>costs</w:t>
      </w:r>
      <w:r>
        <w:rPr>
          <w:spacing w:val="-1"/>
          <w:sz w:val="18"/>
        </w:rPr>
        <w:t xml:space="preserve"> </w:t>
      </w:r>
      <w:r>
        <w:rPr>
          <w:sz w:val="18"/>
        </w:rPr>
        <w:t>are</w:t>
      </w:r>
      <w:r>
        <w:rPr>
          <w:spacing w:val="-4"/>
          <w:sz w:val="18"/>
        </w:rPr>
        <w:t xml:space="preserve"> </w:t>
      </w:r>
      <w:r>
        <w:rPr>
          <w:sz w:val="18"/>
        </w:rPr>
        <w:t>added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carrying</w:t>
      </w:r>
      <w:r>
        <w:rPr>
          <w:spacing w:val="-4"/>
          <w:sz w:val="18"/>
        </w:rPr>
        <w:t xml:space="preserve"> </w:t>
      </w:r>
      <w:r>
        <w:rPr>
          <w:sz w:val="18"/>
        </w:rPr>
        <w:t>amount</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borrowing</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extent</w:t>
      </w:r>
      <w:r>
        <w:rPr>
          <w:spacing w:val="-2"/>
          <w:sz w:val="18"/>
        </w:rPr>
        <w:t xml:space="preserve"> </w:t>
      </w:r>
      <w:r>
        <w:rPr>
          <w:sz w:val="18"/>
        </w:rPr>
        <w:t>they</w:t>
      </w:r>
      <w:r>
        <w:rPr>
          <w:spacing w:val="-1"/>
          <w:sz w:val="18"/>
        </w:rPr>
        <w:t xml:space="preserve"> </w:t>
      </w:r>
      <w:r>
        <w:rPr>
          <w:sz w:val="18"/>
        </w:rPr>
        <w:t>are</w:t>
      </w:r>
      <w:r>
        <w:rPr>
          <w:spacing w:val="-1"/>
          <w:sz w:val="18"/>
        </w:rPr>
        <w:t xml:space="preserve"> </w:t>
      </w:r>
      <w:r>
        <w:rPr>
          <w:sz w:val="18"/>
        </w:rPr>
        <w:t>not</w:t>
      </w:r>
      <w:r>
        <w:rPr>
          <w:spacing w:val="-4"/>
          <w:sz w:val="18"/>
        </w:rPr>
        <w:t xml:space="preserve"> </w:t>
      </w:r>
      <w:r>
        <w:rPr>
          <w:sz w:val="18"/>
        </w:rPr>
        <w:t>settled</w:t>
      </w:r>
      <w:r>
        <w:rPr>
          <w:spacing w:val="-4"/>
          <w:sz w:val="18"/>
        </w:rPr>
        <w:t xml:space="preserve"> </w:t>
      </w:r>
      <w:r>
        <w:rPr>
          <w:sz w:val="18"/>
        </w:rPr>
        <w:t>in the period in which they arise. Borrowings are split between current and non-current liabilities using the principles set out in note 1A.</w:t>
      </w:r>
    </w:p>
    <w:p w14:paraId="4586E378" w14:textId="77777777" w:rsidR="00AC6F3C" w:rsidRDefault="00AC6F3C">
      <w:pPr>
        <w:pStyle w:val="BodyText"/>
        <w:spacing w:before="10"/>
      </w:pPr>
    </w:p>
    <w:p w14:paraId="62D15918" w14:textId="77777777" w:rsidR="00AC6F3C" w:rsidRDefault="00570E88">
      <w:pPr>
        <w:ind w:left="958" w:right="990"/>
        <w:rPr>
          <w:sz w:val="18"/>
        </w:rPr>
      </w:pPr>
      <w:r>
        <w:rPr>
          <w:sz w:val="18"/>
        </w:rPr>
        <w:t>The</w:t>
      </w:r>
      <w:r>
        <w:rPr>
          <w:spacing w:val="-1"/>
          <w:sz w:val="18"/>
        </w:rPr>
        <w:t xml:space="preserve"> </w:t>
      </w:r>
      <w:r>
        <w:rPr>
          <w:sz w:val="18"/>
        </w:rPr>
        <w:t>Society</w:t>
      </w:r>
      <w:r>
        <w:rPr>
          <w:spacing w:val="-1"/>
          <w:sz w:val="18"/>
        </w:rPr>
        <w:t xml:space="preserve"> </w:t>
      </w:r>
      <w:r>
        <w:rPr>
          <w:sz w:val="18"/>
        </w:rPr>
        <w:t>does</w:t>
      </w:r>
      <w:r>
        <w:rPr>
          <w:spacing w:val="-3"/>
          <w:sz w:val="18"/>
        </w:rPr>
        <w:t xml:space="preserve"> </w:t>
      </w:r>
      <w:r>
        <w:rPr>
          <w:sz w:val="18"/>
        </w:rPr>
        <w:t>not</w:t>
      </w:r>
      <w:r>
        <w:rPr>
          <w:spacing w:val="-4"/>
          <w:sz w:val="18"/>
        </w:rPr>
        <w:t xml:space="preserve"> </w:t>
      </w:r>
      <w:r>
        <w:rPr>
          <w:sz w:val="18"/>
        </w:rPr>
        <w:t>enter</w:t>
      </w:r>
      <w:r>
        <w:rPr>
          <w:spacing w:val="-2"/>
          <w:sz w:val="18"/>
        </w:rPr>
        <w:t xml:space="preserve"> </w:t>
      </w:r>
      <w:r>
        <w:rPr>
          <w:sz w:val="18"/>
        </w:rPr>
        <w:t>into</w:t>
      </w:r>
      <w:r>
        <w:rPr>
          <w:spacing w:val="-1"/>
          <w:sz w:val="18"/>
        </w:rPr>
        <w:t xml:space="preserve"> </w:t>
      </w:r>
      <w:r>
        <w:rPr>
          <w:sz w:val="18"/>
        </w:rPr>
        <w:t>transactions</w:t>
      </w:r>
      <w:r>
        <w:rPr>
          <w:spacing w:val="-1"/>
          <w:sz w:val="18"/>
        </w:rPr>
        <w:t xml:space="preserve"> </w:t>
      </w:r>
      <w:r>
        <w:rPr>
          <w:sz w:val="18"/>
        </w:rPr>
        <w:t>for</w:t>
      </w:r>
      <w:r>
        <w:rPr>
          <w:spacing w:val="-2"/>
          <w:sz w:val="18"/>
        </w:rPr>
        <w:t xml:space="preserve"> </w:t>
      </w:r>
      <w:r>
        <w:rPr>
          <w:sz w:val="18"/>
        </w:rPr>
        <w:t>speculative</w:t>
      </w:r>
      <w:r>
        <w:rPr>
          <w:spacing w:val="-4"/>
          <w:sz w:val="18"/>
        </w:rPr>
        <w:t xml:space="preserve"> </w:t>
      </w:r>
      <w:r>
        <w:rPr>
          <w:sz w:val="18"/>
        </w:rPr>
        <w:t>purposes,</w:t>
      </w:r>
      <w:r>
        <w:rPr>
          <w:spacing w:val="-2"/>
          <w:sz w:val="18"/>
        </w:rPr>
        <w:t xml:space="preserve"> </w:t>
      </w:r>
      <w:r>
        <w:rPr>
          <w:sz w:val="18"/>
        </w:rPr>
        <w:t>nor</w:t>
      </w:r>
      <w:r>
        <w:rPr>
          <w:spacing w:val="-4"/>
          <w:sz w:val="18"/>
        </w:rPr>
        <w:t xml:space="preserve"> </w:t>
      </w:r>
      <w:r>
        <w:rPr>
          <w:sz w:val="18"/>
        </w:rPr>
        <w:t>for</w:t>
      </w:r>
      <w:r>
        <w:rPr>
          <w:spacing w:val="-2"/>
          <w:sz w:val="18"/>
        </w:rPr>
        <w:t xml:space="preserve"> </w:t>
      </w:r>
      <w:r>
        <w:rPr>
          <w:sz w:val="18"/>
        </w:rPr>
        <w:t>hedging.</w:t>
      </w:r>
      <w:r>
        <w:rPr>
          <w:spacing w:val="-4"/>
          <w:sz w:val="18"/>
        </w:rPr>
        <w:t xml:space="preserve"> </w:t>
      </w:r>
      <w:r>
        <w:rPr>
          <w:sz w:val="18"/>
        </w:rPr>
        <w:t>No</w:t>
      </w:r>
      <w:r>
        <w:rPr>
          <w:spacing w:val="-4"/>
          <w:sz w:val="18"/>
        </w:rPr>
        <w:t xml:space="preserve"> </w:t>
      </w:r>
      <w:r>
        <w:rPr>
          <w:sz w:val="18"/>
        </w:rPr>
        <w:t>financial liabilities are measured at fair value through profit or loss.</w:t>
      </w:r>
    </w:p>
    <w:p w14:paraId="1453DA25" w14:textId="77777777" w:rsidR="00AC6F3C" w:rsidRDefault="00AC6F3C">
      <w:pPr>
        <w:pStyle w:val="BodyText"/>
        <w:spacing w:before="9"/>
      </w:pPr>
    </w:p>
    <w:p w14:paraId="6FE46A8C" w14:textId="77777777" w:rsidR="00AC6F3C" w:rsidRDefault="00570E88">
      <w:pPr>
        <w:ind w:left="958"/>
        <w:rPr>
          <w:b/>
          <w:sz w:val="18"/>
        </w:rPr>
      </w:pPr>
      <w:r>
        <w:rPr>
          <w:b/>
          <w:sz w:val="18"/>
        </w:rPr>
        <w:t>Terms</w:t>
      </w:r>
      <w:r>
        <w:rPr>
          <w:b/>
          <w:spacing w:val="-1"/>
          <w:sz w:val="18"/>
        </w:rPr>
        <w:t xml:space="preserve"> </w:t>
      </w:r>
      <w:r>
        <w:rPr>
          <w:b/>
          <w:sz w:val="18"/>
        </w:rPr>
        <w:t>and</w:t>
      </w:r>
      <w:r>
        <w:rPr>
          <w:b/>
          <w:spacing w:val="-1"/>
          <w:sz w:val="18"/>
        </w:rPr>
        <w:t xml:space="preserve"> </w:t>
      </w:r>
      <w:r>
        <w:rPr>
          <w:b/>
          <w:spacing w:val="-2"/>
          <w:sz w:val="18"/>
        </w:rPr>
        <w:t>conditions</w:t>
      </w:r>
    </w:p>
    <w:p w14:paraId="28D8640A" w14:textId="77777777" w:rsidR="00AC6F3C" w:rsidRDefault="00AC6F3C">
      <w:pPr>
        <w:pStyle w:val="BodyText"/>
        <w:spacing w:before="9"/>
        <w:rPr>
          <w:b/>
        </w:rPr>
      </w:pPr>
    </w:p>
    <w:p w14:paraId="10828BC2" w14:textId="77777777" w:rsidR="00AC6F3C" w:rsidRDefault="00570E88">
      <w:pPr>
        <w:ind w:left="958" w:right="836"/>
        <w:jc w:val="both"/>
        <w:rPr>
          <w:sz w:val="18"/>
        </w:rPr>
      </w:pPr>
      <w:r>
        <w:rPr>
          <w:sz w:val="18"/>
        </w:rPr>
        <w:t>The</w:t>
      </w:r>
      <w:r>
        <w:rPr>
          <w:spacing w:val="-1"/>
          <w:sz w:val="18"/>
        </w:rPr>
        <w:t xml:space="preserve"> </w:t>
      </w:r>
      <w:r>
        <w:rPr>
          <w:sz w:val="18"/>
        </w:rPr>
        <w:t>Society</w:t>
      </w:r>
      <w:r>
        <w:rPr>
          <w:spacing w:val="-1"/>
          <w:sz w:val="18"/>
        </w:rPr>
        <w:t xml:space="preserve"> </w:t>
      </w:r>
      <w:r>
        <w:rPr>
          <w:sz w:val="18"/>
        </w:rPr>
        <w:t>has</w:t>
      </w:r>
      <w:r>
        <w:rPr>
          <w:spacing w:val="-3"/>
          <w:sz w:val="18"/>
        </w:rPr>
        <w:t xml:space="preserve"> </w:t>
      </w:r>
      <w:r>
        <w:rPr>
          <w:sz w:val="18"/>
        </w:rPr>
        <w:t>a</w:t>
      </w:r>
      <w:r>
        <w:rPr>
          <w:spacing w:val="-1"/>
          <w:sz w:val="18"/>
        </w:rPr>
        <w:t xml:space="preserve"> </w:t>
      </w:r>
      <w:r>
        <w:rPr>
          <w:sz w:val="18"/>
        </w:rPr>
        <w:t>$10m</w:t>
      </w:r>
      <w:r>
        <w:rPr>
          <w:spacing w:val="-1"/>
          <w:sz w:val="18"/>
        </w:rPr>
        <w:t xml:space="preserve"> </w:t>
      </w:r>
      <w:r>
        <w:rPr>
          <w:sz w:val="18"/>
        </w:rPr>
        <w:t>fully</w:t>
      </w:r>
      <w:r>
        <w:rPr>
          <w:spacing w:val="-3"/>
          <w:sz w:val="18"/>
        </w:rPr>
        <w:t xml:space="preserve"> </w:t>
      </w:r>
      <w:r>
        <w:rPr>
          <w:sz w:val="18"/>
        </w:rPr>
        <w:t>drawn</w:t>
      </w:r>
      <w:r>
        <w:rPr>
          <w:spacing w:val="-2"/>
          <w:sz w:val="18"/>
        </w:rPr>
        <w:t xml:space="preserve"> </w:t>
      </w:r>
      <w:r>
        <w:rPr>
          <w:sz w:val="18"/>
        </w:rPr>
        <w:t>loan</w:t>
      </w:r>
      <w:r>
        <w:rPr>
          <w:spacing w:val="-1"/>
          <w:sz w:val="18"/>
        </w:rPr>
        <w:t xml:space="preserve"> </w:t>
      </w:r>
      <w:r>
        <w:rPr>
          <w:sz w:val="18"/>
        </w:rPr>
        <w:t>with</w:t>
      </w:r>
      <w:r>
        <w:rPr>
          <w:spacing w:val="-1"/>
          <w:sz w:val="18"/>
        </w:rPr>
        <w:t xml:space="preserve"> </w:t>
      </w:r>
      <w:r>
        <w:rPr>
          <w:sz w:val="18"/>
        </w:rPr>
        <w:t>QTC.</w:t>
      </w:r>
      <w:r>
        <w:rPr>
          <w:spacing w:val="-2"/>
          <w:sz w:val="18"/>
        </w:rPr>
        <w:t xml:space="preserve"> </w:t>
      </w:r>
      <w:r>
        <w:rPr>
          <w:sz w:val="18"/>
        </w:rPr>
        <w:t>The</w:t>
      </w:r>
      <w:r>
        <w:rPr>
          <w:spacing w:val="-1"/>
          <w:sz w:val="18"/>
        </w:rPr>
        <w:t xml:space="preserve"> </w:t>
      </w:r>
      <w:r>
        <w:rPr>
          <w:sz w:val="18"/>
        </w:rPr>
        <w:t>loan</w:t>
      </w:r>
      <w:r>
        <w:rPr>
          <w:spacing w:val="-1"/>
          <w:sz w:val="18"/>
        </w:rPr>
        <w:t xml:space="preserve"> </w:t>
      </w:r>
      <w:r>
        <w:rPr>
          <w:sz w:val="18"/>
        </w:rPr>
        <w:t>is</w:t>
      </w:r>
      <w:r>
        <w:rPr>
          <w:spacing w:val="-3"/>
          <w:sz w:val="18"/>
        </w:rPr>
        <w:t xml:space="preserve"> </w:t>
      </w:r>
      <w:r>
        <w:rPr>
          <w:sz w:val="18"/>
        </w:rPr>
        <w:t>measured</w:t>
      </w:r>
      <w:r>
        <w:rPr>
          <w:spacing w:val="-2"/>
          <w:sz w:val="18"/>
        </w:rPr>
        <w:t xml:space="preserve"> </w:t>
      </w:r>
      <w:r>
        <w:rPr>
          <w:sz w:val="18"/>
        </w:rPr>
        <w:t>at</w:t>
      </w:r>
      <w:r>
        <w:rPr>
          <w:spacing w:val="-2"/>
          <w:sz w:val="18"/>
        </w:rPr>
        <w:t xml:space="preserve"> </w:t>
      </w:r>
      <w:proofErr w:type="spellStart"/>
      <w:r>
        <w:rPr>
          <w:sz w:val="18"/>
        </w:rPr>
        <w:t>amortised</w:t>
      </w:r>
      <w:proofErr w:type="spellEnd"/>
      <w:r>
        <w:rPr>
          <w:spacing w:val="-4"/>
          <w:sz w:val="18"/>
        </w:rPr>
        <w:t xml:space="preserve"> </w:t>
      </w:r>
      <w:r>
        <w:rPr>
          <w:sz w:val="18"/>
        </w:rPr>
        <w:t>cost</w:t>
      </w:r>
      <w:r>
        <w:rPr>
          <w:spacing w:val="-2"/>
          <w:sz w:val="18"/>
        </w:rPr>
        <w:t xml:space="preserve"> </w:t>
      </w:r>
      <w:r>
        <w:rPr>
          <w:sz w:val="18"/>
        </w:rPr>
        <w:t>and</w:t>
      </w:r>
      <w:r>
        <w:rPr>
          <w:spacing w:val="-1"/>
          <w:sz w:val="18"/>
        </w:rPr>
        <w:t xml:space="preserve"> </w:t>
      </w:r>
      <w:r>
        <w:rPr>
          <w:sz w:val="18"/>
        </w:rPr>
        <w:t>is</w:t>
      </w:r>
      <w:r>
        <w:rPr>
          <w:spacing w:val="-1"/>
          <w:sz w:val="18"/>
        </w:rPr>
        <w:t xml:space="preserve"> </w:t>
      </w:r>
      <w:r>
        <w:rPr>
          <w:sz w:val="18"/>
        </w:rPr>
        <w:t>for</w:t>
      </w:r>
      <w:r>
        <w:rPr>
          <w:spacing w:val="-4"/>
          <w:sz w:val="18"/>
        </w:rPr>
        <w:t xml:space="preserve"> </w:t>
      </w:r>
      <w:r>
        <w:rPr>
          <w:sz w:val="18"/>
        </w:rPr>
        <w:t>a</w:t>
      </w:r>
      <w:r>
        <w:rPr>
          <w:spacing w:val="-1"/>
          <w:sz w:val="18"/>
        </w:rPr>
        <w:t xml:space="preserve"> </w:t>
      </w:r>
      <w:r>
        <w:rPr>
          <w:sz w:val="18"/>
        </w:rPr>
        <w:t>10 year</w:t>
      </w:r>
      <w:r>
        <w:rPr>
          <w:spacing w:val="-4"/>
          <w:sz w:val="18"/>
        </w:rPr>
        <w:t xml:space="preserve"> </w:t>
      </w:r>
      <w:r>
        <w:rPr>
          <w:sz w:val="18"/>
        </w:rPr>
        <w:t>loan</w:t>
      </w:r>
      <w:r>
        <w:rPr>
          <w:spacing w:val="-4"/>
          <w:sz w:val="18"/>
        </w:rPr>
        <w:t xml:space="preserve"> </w:t>
      </w:r>
      <w:r>
        <w:rPr>
          <w:sz w:val="18"/>
        </w:rPr>
        <w:t>term.</w:t>
      </w:r>
      <w:r>
        <w:rPr>
          <w:spacing w:val="-2"/>
          <w:sz w:val="18"/>
        </w:rPr>
        <w:t xml:space="preserve"> </w:t>
      </w:r>
      <w:r>
        <w:rPr>
          <w:sz w:val="18"/>
        </w:rPr>
        <w:t>The</w:t>
      </w:r>
      <w:r>
        <w:rPr>
          <w:spacing w:val="-1"/>
          <w:sz w:val="18"/>
        </w:rPr>
        <w:t xml:space="preserve"> </w:t>
      </w:r>
      <w:r>
        <w:rPr>
          <w:sz w:val="18"/>
        </w:rPr>
        <w:t>loan</w:t>
      </w:r>
      <w:r>
        <w:rPr>
          <w:spacing w:val="-4"/>
          <w:sz w:val="18"/>
        </w:rPr>
        <w:t xml:space="preserve"> </w:t>
      </w:r>
      <w:r>
        <w:rPr>
          <w:sz w:val="18"/>
        </w:rPr>
        <w:t>is</w:t>
      </w:r>
      <w:r>
        <w:rPr>
          <w:spacing w:val="-1"/>
          <w:sz w:val="18"/>
        </w:rPr>
        <w:t xml:space="preserve"> </w:t>
      </w:r>
      <w:r>
        <w:rPr>
          <w:sz w:val="18"/>
        </w:rPr>
        <w:t>to</w:t>
      </w:r>
      <w:r>
        <w:rPr>
          <w:spacing w:val="-4"/>
          <w:sz w:val="18"/>
        </w:rPr>
        <w:t xml:space="preserve"> </w:t>
      </w:r>
      <w:r>
        <w:rPr>
          <w:sz w:val="18"/>
        </w:rPr>
        <w:t>partly</w:t>
      </w:r>
      <w:r>
        <w:rPr>
          <w:spacing w:val="-1"/>
          <w:sz w:val="18"/>
        </w:rPr>
        <w:t xml:space="preserve"> </w:t>
      </w:r>
      <w:r>
        <w:rPr>
          <w:sz w:val="18"/>
        </w:rPr>
        <w:t>fund</w:t>
      </w:r>
      <w:r>
        <w:rPr>
          <w:spacing w:val="-1"/>
          <w:sz w:val="18"/>
        </w:rPr>
        <w:t xml:space="preserve"> </w:t>
      </w:r>
      <w:r>
        <w:rPr>
          <w:sz w:val="18"/>
        </w:rPr>
        <w:t>the</w:t>
      </w:r>
      <w:r>
        <w:rPr>
          <w:spacing w:val="-1"/>
          <w:sz w:val="18"/>
        </w:rPr>
        <w:t xml:space="preserve"> </w:t>
      </w:r>
      <w:r>
        <w:rPr>
          <w:sz w:val="18"/>
        </w:rPr>
        <w:t>refurbishment</w:t>
      </w:r>
      <w:r>
        <w:rPr>
          <w:spacing w:val="-4"/>
          <w:sz w:val="18"/>
        </w:rPr>
        <w:t xml:space="preserve"> </w:t>
      </w:r>
      <w:r>
        <w:rPr>
          <w:sz w:val="18"/>
        </w:rPr>
        <w:t>of</w:t>
      </w:r>
      <w:r>
        <w:rPr>
          <w:spacing w:val="-2"/>
          <w:sz w:val="18"/>
        </w:rPr>
        <w:t xml:space="preserve"> </w:t>
      </w:r>
      <w:r>
        <w:rPr>
          <w:sz w:val="18"/>
        </w:rPr>
        <w:t>Law</w:t>
      </w:r>
      <w:r>
        <w:rPr>
          <w:spacing w:val="-2"/>
          <w:sz w:val="18"/>
        </w:rPr>
        <w:t xml:space="preserve"> </w:t>
      </w:r>
      <w:r>
        <w:rPr>
          <w:sz w:val="18"/>
        </w:rPr>
        <w:t>Society</w:t>
      </w:r>
      <w:r>
        <w:rPr>
          <w:spacing w:val="-1"/>
          <w:sz w:val="18"/>
        </w:rPr>
        <w:t xml:space="preserve"> </w:t>
      </w:r>
      <w:r>
        <w:rPr>
          <w:sz w:val="18"/>
        </w:rPr>
        <w:t>House.</w:t>
      </w:r>
      <w:r>
        <w:rPr>
          <w:spacing w:val="-4"/>
          <w:sz w:val="18"/>
        </w:rPr>
        <w:t xml:space="preserve"> </w:t>
      </w:r>
      <w:r>
        <w:rPr>
          <w:sz w:val="18"/>
        </w:rPr>
        <w:t>The</w:t>
      </w:r>
      <w:r>
        <w:rPr>
          <w:spacing w:val="-4"/>
          <w:sz w:val="18"/>
        </w:rPr>
        <w:t xml:space="preserve"> </w:t>
      </w:r>
      <w:r>
        <w:rPr>
          <w:sz w:val="18"/>
        </w:rPr>
        <w:t>interest</w:t>
      </w:r>
      <w:r>
        <w:rPr>
          <w:spacing w:val="-2"/>
          <w:sz w:val="18"/>
        </w:rPr>
        <w:t xml:space="preserve"> </w:t>
      </w:r>
      <w:r>
        <w:rPr>
          <w:sz w:val="18"/>
        </w:rPr>
        <w:t>rate</w:t>
      </w:r>
      <w:r>
        <w:rPr>
          <w:spacing w:val="-1"/>
          <w:sz w:val="18"/>
        </w:rPr>
        <w:t xml:space="preserve"> </w:t>
      </w:r>
      <w:r>
        <w:rPr>
          <w:sz w:val="18"/>
        </w:rPr>
        <w:t>is</w:t>
      </w:r>
      <w:r>
        <w:rPr>
          <w:spacing w:val="-1"/>
          <w:sz w:val="18"/>
        </w:rPr>
        <w:t xml:space="preserve"> </w:t>
      </w:r>
      <w:r>
        <w:rPr>
          <w:sz w:val="18"/>
        </w:rPr>
        <w:t>fixed at 3.993% including an administration charge. The loan is secured by a state guarantee.</w:t>
      </w:r>
    </w:p>
    <w:p w14:paraId="7B3846D2" w14:textId="77777777" w:rsidR="00AC6F3C" w:rsidRDefault="00AC6F3C">
      <w:pPr>
        <w:pStyle w:val="BodyText"/>
        <w:spacing w:before="11"/>
      </w:pPr>
    </w:p>
    <w:p w14:paraId="3901F314" w14:textId="77777777" w:rsidR="00AC6F3C" w:rsidRDefault="00570E88">
      <w:pPr>
        <w:ind w:left="958" w:right="990"/>
        <w:rPr>
          <w:sz w:val="18"/>
        </w:rPr>
      </w:pPr>
      <w:r>
        <w:rPr>
          <w:sz w:val="18"/>
        </w:rPr>
        <w:t>Whilst the Society had sufficient funds to complete the refurbishment project without borrowing, Council took</w:t>
      </w:r>
      <w:r>
        <w:rPr>
          <w:spacing w:val="-3"/>
          <w:sz w:val="18"/>
        </w:rPr>
        <w:t xml:space="preserve"> </w:t>
      </w:r>
      <w:r>
        <w:rPr>
          <w:sz w:val="18"/>
        </w:rPr>
        <w:t>the</w:t>
      </w:r>
      <w:r>
        <w:rPr>
          <w:spacing w:val="-4"/>
          <w:sz w:val="18"/>
        </w:rPr>
        <w:t xml:space="preserve"> </w:t>
      </w:r>
      <w:r>
        <w:rPr>
          <w:sz w:val="18"/>
        </w:rPr>
        <w:t>view</w:t>
      </w:r>
      <w:r>
        <w:rPr>
          <w:spacing w:val="-5"/>
          <w:sz w:val="18"/>
        </w:rPr>
        <w:t xml:space="preserve"> </w:t>
      </w:r>
      <w:r>
        <w:rPr>
          <w:sz w:val="18"/>
        </w:rPr>
        <w:t>it</w:t>
      </w:r>
      <w:r>
        <w:rPr>
          <w:spacing w:val="-2"/>
          <w:sz w:val="18"/>
        </w:rPr>
        <w:t xml:space="preserve"> </w:t>
      </w:r>
      <w:r>
        <w:rPr>
          <w:sz w:val="18"/>
        </w:rPr>
        <w:t>did</w:t>
      </w:r>
      <w:r>
        <w:rPr>
          <w:spacing w:val="-1"/>
          <w:sz w:val="18"/>
        </w:rPr>
        <w:t xml:space="preserve"> </w:t>
      </w:r>
      <w:r>
        <w:rPr>
          <w:sz w:val="18"/>
        </w:rPr>
        <w:t>not</w:t>
      </w:r>
      <w:r>
        <w:rPr>
          <w:spacing w:val="-2"/>
          <w:sz w:val="18"/>
        </w:rPr>
        <w:t xml:space="preserve"> </w:t>
      </w:r>
      <w:r>
        <w:rPr>
          <w:sz w:val="18"/>
        </w:rPr>
        <w:t>want</w:t>
      </w:r>
      <w:r>
        <w:rPr>
          <w:spacing w:val="-2"/>
          <w:sz w:val="18"/>
        </w:rPr>
        <w:t xml:space="preserve"> </w:t>
      </w:r>
      <w:r>
        <w:rPr>
          <w:sz w:val="18"/>
        </w:rPr>
        <w:t>to</w:t>
      </w:r>
      <w:r>
        <w:rPr>
          <w:spacing w:val="-4"/>
          <w:sz w:val="18"/>
        </w:rPr>
        <w:t xml:space="preserve"> </w:t>
      </w:r>
      <w:r>
        <w:rPr>
          <w:sz w:val="18"/>
        </w:rPr>
        <w:t>deplete</w:t>
      </w:r>
      <w:r>
        <w:rPr>
          <w:spacing w:val="-4"/>
          <w:sz w:val="18"/>
        </w:rPr>
        <w:t xml:space="preserve"> </w:t>
      </w:r>
      <w:r>
        <w:rPr>
          <w:sz w:val="18"/>
        </w:rPr>
        <w:t>cash</w:t>
      </w:r>
      <w:r>
        <w:rPr>
          <w:spacing w:val="-1"/>
          <w:sz w:val="18"/>
        </w:rPr>
        <w:t xml:space="preserve"> </w:t>
      </w:r>
      <w:r>
        <w:rPr>
          <w:sz w:val="18"/>
        </w:rPr>
        <w:t>reserves</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full</w:t>
      </w:r>
      <w:r>
        <w:rPr>
          <w:spacing w:val="-1"/>
          <w:sz w:val="18"/>
        </w:rPr>
        <w:t xml:space="preserve"> </w:t>
      </w:r>
      <w:r>
        <w:rPr>
          <w:sz w:val="18"/>
        </w:rPr>
        <w:t>amount</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refurbishment</w:t>
      </w:r>
      <w:r>
        <w:rPr>
          <w:spacing w:val="-2"/>
          <w:sz w:val="18"/>
        </w:rPr>
        <w:t xml:space="preserve"> </w:t>
      </w:r>
      <w:r>
        <w:rPr>
          <w:sz w:val="18"/>
        </w:rPr>
        <w:t>upfront.</w:t>
      </w:r>
      <w:r>
        <w:rPr>
          <w:spacing w:val="-2"/>
          <w:sz w:val="18"/>
        </w:rPr>
        <w:t xml:space="preserve"> </w:t>
      </w:r>
      <w:r>
        <w:rPr>
          <w:sz w:val="18"/>
        </w:rPr>
        <w:t>The loan repayments will be partly funded by revenue generated from leasing surplus space achieved by combining staff to two floors and additional room and venue hire fees.</w:t>
      </w:r>
    </w:p>
    <w:p w14:paraId="1AD72BCC" w14:textId="77777777" w:rsidR="00AC6F3C" w:rsidRDefault="00AC6F3C">
      <w:pPr>
        <w:rPr>
          <w:sz w:val="18"/>
        </w:rPr>
        <w:sectPr w:rsidR="00AC6F3C">
          <w:pgSz w:w="11910" w:h="16840"/>
          <w:pgMar w:top="2020" w:right="1160" w:bottom="520" w:left="460" w:header="1228" w:footer="336" w:gutter="0"/>
          <w:cols w:space="720"/>
        </w:sectPr>
      </w:pPr>
    </w:p>
    <w:p w14:paraId="4BB7E94E" w14:textId="77777777" w:rsidR="00AC6F3C" w:rsidRDefault="00AC6F3C">
      <w:pPr>
        <w:pStyle w:val="BodyText"/>
      </w:pPr>
    </w:p>
    <w:p w14:paraId="697E3804" w14:textId="77777777" w:rsidR="00AC6F3C" w:rsidRDefault="00570E88">
      <w:pPr>
        <w:tabs>
          <w:tab w:val="left" w:pos="1666"/>
        </w:tabs>
        <w:spacing w:before="249"/>
        <w:ind w:left="958"/>
        <w:rPr>
          <w:b/>
          <w:sz w:val="28"/>
        </w:rPr>
      </w:pPr>
      <w:r>
        <w:rPr>
          <w:b/>
          <w:spacing w:val="-5"/>
          <w:sz w:val="28"/>
        </w:rPr>
        <w:t>C9</w:t>
      </w:r>
      <w:r>
        <w:rPr>
          <w:b/>
          <w:sz w:val="28"/>
        </w:rPr>
        <w:tab/>
      </w:r>
      <w:r>
        <w:rPr>
          <w:b/>
          <w:spacing w:val="-2"/>
          <w:sz w:val="28"/>
        </w:rPr>
        <w:t>LEASES</w:t>
      </w:r>
    </w:p>
    <w:p w14:paraId="2A37D3C3" w14:textId="77777777" w:rsidR="00AC6F3C" w:rsidRDefault="00570E88">
      <w:pPr>
        <w:pStyle w:val="Heading6"/>
        <w:tabs>
          <w:tab w:val="left" w:pos="1810"/>
        </w:tabs>
      </w:pPr>
      <w:r>
        <w:rPr>
          <w:spacing w:val="-2"/>
        </w:rPr>
        <w:t>C9-</w:t>
      </w:r>
      <w:r>
        <w:rPr>
          <w:spacing w:val="-10"/>
        </w:rPr>
        <w:t>1</w:t>
      </w:r>
      <w:r>
        <w:tab/>
        <w:t>LEASES</w:t>
      </w:r>
      <w:r>
        <w:rPr>
          <w:spacing w:val="-1"/>
        </w:rPr>
        <w:t xml:space="preserve"> </w:t>
      </w:r>
      <w:r>
        <w:t xml:space="preserve">AS </w:t>
      </w:r>
      <w:r>
        <w:rPr>
          <w:spacing w:val="-2"/>
        </w:rPr>
        <w:t>LESSEE</w:t>
      </w:r>
    </w:p>
    <w:p w14:paraId="3AC39F4E" w14:textId="77777777" w:rsidR="00AC6F3C" w:rsidRDefault="00AC6F3C">
      <w:pPr>
        <w:pStyle w:val="BodyText"/>
        <w:spacing w:before="8"/>
        <w:rPr>
          <w:b/>
        </w:rPr>
      </w:pPr>
    </w:p>
    <w:p w14:paraId="7DC34767" w14:textId="77777777" w:rsidR="00AC6F3C" w:rsidRDefault="00570E88">
      <w:pPr>
        <w:ind w:left="958" w:right="468"/>
        <w:rPr>
          <w:sz w:val="18"/>
        </w:rPr>
      </w:pPr>
      <w:r>
        <w:rPr>
          <w:sz w:val="18"/>
        </w:rPr>
        <w:t>Lexon</w:t>
      </w:r>
      <w:r>
        <w:rPr>
          <w:spacing w:val="-2"/>
          <w:sz w:val="18"/>
        </w:rPr>
        <w:t xml:space="preserve"> </w:t>
      </w:r>
      <w:r>
        <w:rPr>
          <w:sz w:val="18"/>
        </w:rPr>
        <w:t>leases</w:t>
      </w:r>
      <w:r>
        <w:rPr>
          <w:spacing w:val="-2"/>
          <w:sz w:val="18"/>
        </w:rPr>
        <w:t xml:space="preserve"> </w:t>
      </w:r>
      <w:r>
        <w:rPr>
          <w:sz w:val="18"/>
        </w:rPr>
        <w:t>office</w:t>
      </w:r>
      <w:r>
        <w:rPr>
          <w:spacing w:val="-2"/>
          <w:sz w:val="18"/>
        </w:rPr>
        <w:t xml:space="preserve"> </w:t>
      </w:r>
      <w:r>
        <w:rPr>
          <w:sz w:val="18"/>
        </w:rPr>
        <w:t>premises</w:t>
      </w:r>
      <w:r>
        <w:rPr>
          <w:spacing w:val="-4"/>
          <w:sz w:val="18"/>
        </w:rPr>
        <w:t xml:space="preserve"> </w:t>
      </w:r>
      <w:r>
        <w:rPr>
          <w:sz w:val="18"/>
        </w:rPr>
        <w:t>and</w:t>
      </w:r>
      <w:r>
        <w:rPr>
          <w:spacing w:val="-5"/>
          <w:sz w:val="18"/>
        </w:rPr>
        <w:t xml:space="preserve"> </w:t>
      </w:r>
      <w:r>
        <w:rPr>
          <w:sz w:val="18"/>
        </w:rPr>
        <w:t>motor</w:t>
      </w:r>
      <w:r>
        <w:rPr>
          <w:spacing w:val="-5"/>
          <w:sz w:val="18"/>
        </w:rPr>
        <w:t xml:space="preserve"> </w:t>
      </w:r>
      <w:r>
        <w:rPr>
          <w:sz w:val="18"/>
        </w:rPr>
        <w:t>vehicles</w:t>
      </w:r>
      <w:r>
        <w:rPr>
          <w:spacing w:val="-4"/>
          <w:sz w:val="18"/>
        </w:rPr>
        <w:t xml:space="preserve"> </w:t>
      </w:r>
      <w:r>
        <w:rPr>
          <w:sz w:val="18"/>
        </w:rPr>
        <w:t>under</w:t>
      </w:r>
      <w:r>
        <w:rPr>
          <w:spacing w:val="-3"/>
          <w:sz w:val="18"/>
        </w:rPr>
        <w:t xml:space="preserve"> </w:t>
      </w:r>
      <w:r>
        <w:rPr>
          <w:sz w:val="18"/>
        </w:rPr>
        <w:t>non-cancellable</w:t>
      </w:r>
      <w:r>
        <w:rPr>
          <w:spacing w:val="-2"/>
          <w:sz w:val="18"/>
        </w:rPr>
        <w:t xml:space="preserve"> </w:t>
      </w:r>
      <w:r>
        <w:rPr>
          <w:sz w:val="18"/>
        </w:rPr>
        <w:t>operating</w:t>
      </w:r>
      <w:r>
        <w:rPr>
          <w:spacing w:val="-5"/>
          <w:sz w:val="18"/>
        </w:rPr>
        <w:t xml:space="preserve"> </w:t>
      </w:r>
      <w:r>
        <w:rPr>
          <w:sz w:val="18"/>
        </w:rPr>
        <w:t>lease</w:t>
      </w:r>
      <w:r>
        <w:rPr>
          <w:spacing w:val="-2"/>
          <w:sz w:val="18"/>
        </w:rPr>
        <w:t xml:space="preserve"> </w:t>
      </w:r>
      <w:r>
        <w:rPr>
          <w:sz w:val="18"/>
        </w:rPr>
        <w:t>agreements.</w:t>
      </w:r>
      <w:r>
        <w:rPr>
          <w:spacing w:val="40"/>
          <w:sz w:val="18"/>
        </w:rPr>
        <w:t xml:space="preserve"> </w:t>
      </w:r>
      <w:r>
        <w:rPr>
          <w:sz w:val="18"/>
        </w:rPr>
        <w:t>The leases have varying terms, escalation clauses and renewal rights.</w:t>
      </w:r>
    </w:p>
    <w:p w14:paraId="479732FA" w14:textId="77777777" w:rsidR="00AC6F3C" w:rsidRDefault="00AC6F3C">
      <w:pPr>
        <w:pStyle w:val="BodyText"/>
        <w:spacing w:before="9"/>
      </w:pPr>
    </w:p>
    <w:p w14:paraId="0E8B84B4" w14:textId="77777777" w:rsidR="00AC6F3C" w:rsidRDefault="00570E88">
      <w:pPr>
        <w:pStyle w:val="ListParagraph"/>
        <w:numPr>
          <w:ilvl w:val="0"/>
          <w:numId w:val="30"/>
        </w:numPr>
        <w:tabs>
          <w:tab w:val="left" w:pos="1678"/>
        </w:tabs>
        <w:spacing w:before="0"/>
        <w:rPr>
          <w:sz w:val="18"/>
        </w:rPr>
      </w:pPr>
      <w:r>
        <w:rPr>
          <w:sz w:val="18"/>
        </w:rPr>
        <w:t>Carrying</w:t>
      </w:r>
      <w:r>
        <w:rPr>
          <w:spacing w:val="-7"/>
          <w:sz w:val="18"/>
        </w:rPr>
        <w:t xml:space="preserve"> </w:t>
      </w:r>
      <w:r>
        <w:rPr>
          <w:sz w:val="18"/>
        </w:rPr>
        <w:t>amounts</w:t>
      </w:r>
      <w:r>
        <w:rPr>
          <w:spacing w:val="-2"/>
          <w:sz w:val="18"/>
        </w:rPr>
        <w:t xml:space="preserve"> </w:t>
      </w:r>
      <w:r>
        <w:rPr>
          <w:sz w:val="18"/>
        </w:rPr>
        <w:t>-</w:t>
      </w:r>
      <w:r>
        <w:rPr>
          <w:spacing w:val="-5"/>
          <w:sz w:val="18"/>
        </w:rPr>
        <w:t xml:space="preserve"> </w:t>
      </w:r>
      <w:r>
        <w:rPr>
          <w:sz w:val="18"/>
        </w:rPr>
        <w:t>Right-of-use</w:t>
      </w:r>
      <w:r>
        <w:rPr>
          <w:spacing w:val="-6"/>
          <w:sz w:val="18"/>
        </w:rPr>
        <w:t xml:space="preserve"> </w:t>
      </w:r>
      <w:r>
        <w:rPr>
          <w:sz w:val="18"/>
        </w:rPr>
        <w:t>assets</w:t>
      </w:r>
      <w:r>
        <w:rPr>
          <w:spacing w:val="-4"/>
          <w:sz w:val="18"/>
        </w:rPr>
        <w:t xml:space="preserve"> </w:t>
      </w:r>
      <w:r>
        <w:rPr>
          <w:sz w:val="18"/>
        </w:rPr>
        <w:t>classified</w:t>
      </w:r>
      <w:r>
        <w:rPr>
          <w:spacing w:val="-7"/>
          <w:sz w:val="18"/>
        </w:rPr>
        <w:t xml:space="preserve"> </w:t>
      </w:r>
      <w:r>
        <w:rPr>
          <w:sz w:val="18"/>
        </w:rPr>
        <w:t>within</w:t>
      </w:r>
      <w:r>
        <w:rPr>
          <w:spacing w:val="-4"/>
          <w:sz w:val="18"/>
        </w:rPr>
        <w:t xml:space="preserve"> </w:t>
      </w:r>
      <w:r>
        <w:rPr>
          <w:sz w:val="18"/>
        </w:rPr>
        <w:t>Property,</w:t>
      </w:r>
      <w:r>
        <w:rPr>
          <w:spacing w:val="-5"/>
          <w:sz w:val="18"/>
        </w:rPr>
        <w:t xml:space="preserve"> </w:t>
      </w:r>
      <w:r>
        <w:rPr>
          <w:sz w:val="18"/>
        </w:rPr>
        <w:t>plant</w:t>
      </w:r>
      <w:r>
        <w:rPr>
          <w:spacing w:val="-5"/>
          <w:sz w:val="18"/>
        </w:rPr>
        <w:t xml:space="preserve"> </w:t>
      </w:r>
      <w:r>
        <w:rPr>
          <w:sz w:val="18"/>
        </w:rPr>
        <w:t>and</w:t>
      </w:r>
      <w:r>
        <w:rPr>
          <w:spacing w:val="-4"/>
          <w:sz w:val="18"/>
        </w:rPr>
        <w:t xml:space="preserve"> </w:t>
      </w:r>
      <w:r>
        <w:rPr>
          <w:spacing w:val="-2"/>
          <w:sz w:val="18"/>
        </w:rPr>
        <w:t>equipment</w:t>
      </w:r>
    </w:p>
    <w:p w14:paraId="196EA5BD" w14:textId="77777777" w:rsidR="00AC6F3C" w:rsidRDefault="00AC6F3C">
      <w:pPr>
        <w:pStyle w:val="BodyText"/>
        <w:spacing w:before="7"/>
      </w:pPr>
    </w:p>
    <w:tbl>
      <w:tblPr>
        <w:tblW w:w="0" w:type="auto"/>
        <w:tblInd w:w="972" w:type="dxa"/>
        <w:tblLayout w:type="fixed"/>
        <w:tblCellMar>
          <w:left w:w="0" w:type="dxa"/>
          <w:right w:w="0" w:type="dxa"/>
        </w:tblCellMar>
        <w:tblLook w:val="01E0" w:firstRow="1" w:lastRow="1" w:firstColumn="1" w:lastColumn="1" w:noHBand="0" w:noVBand="0"/>
      </w:tblPr>
      <w:tblGrid>
        <w:gridCol w:w="3839"/>
        <w:gridCol w:w="1137"/>
        <w:gridCol w:w="578"/>
        <w:gridCol w:w="529"/>
        <w:gridCol w:w="1137"/>
        <w:gridCol w:w="441"/>
        <w:gridCol w:w="673"/>
      </w:tblGrid>
      <w:tr w:rsidR="00AC6F3C" w14:paraId="0843452B" w14:textId="77777777">
        <w:trPr>
          <w:trHeight w:val="873"/>
        </w:trPr>
        <w:tc>
          <w:tcPr>
            <w:tcW w:w="3839" w:type="dxa"/>
            <w:tcBorders>
              <w:top w:val="single" w:sz="6" w:space="0" w:color="000000"/>
              <w:left w:val="single" w:sz="6" w:space="0" w:color="000000"/>
              <w:bottom w:val="single" w:sz="6" w:space="0" w:color="000000"/>
            </w:tcBorders>
            <w:shd w:val="clear" w:color="auto" w:fill="BEBEBE"/>
          </w:tcPr>
          <w:p w14:paraId="44D90DEA" w14:textId="77777777" w:rsidR="00AC6F3C" w:rsidRDefault="00AC6F3C">
            <w:pPr>
              <w:pStyle w:val="TableParagraph"/>
              <w:rPr>
                <w:rFonts w:ascii="Times New Roman"/>
                <w:sz w:val="18"/>
              </w:rPr>
            </w:pPr>
          </w:p>
        </w:tc>
        <w:tc>
          <w:tcPr>
            <w:tcW w:w="1715" w:type="dxa"/>
            <w:gridSpan w:val="2"/>
            <w:tcBorders>
              <w:top w:val="single" w:sz="6" w:space="0" w:color="000000"/>
              <w:bottom w:val="single" w:sz="6" w:space="0" w:color="000000"/>
            </w:tcBorders>
            <w:shd w:val="clear" w:color="auto" w:fill="BEBEBE"/>
          </w:tcPr>
          <w:p w14:paraId="55F7A412" w14:textId="77777777" w:rsidR="00AC6F3C" w:rsidRDefault="00570E88">
            <w:pPr>
              <w:pStyle w:val="TableParagraph"/>
              <w:spacing w:before="33" w:line="381" w:lineRule="auto"/>
              <w:ind w:left="681" w:hanging="105"/>
              <w:rPr>
                <w:b/>
                <w:sz w:val="17"/>
              </w:rPr>
            </w:pPr>
            <w:r>
              <w:rPr>
                <w:b/>
                <w:spacing w:val="-4"/>
                <w:w w:val="105"/>
                <w:sz w:val="17"/>
              </w:rPr>
              <w:t>Consolidated 2023</w:t>
            </w:r>
          </w:p>
          <w:p w14:paraId="185E2D1E" w14:textId="77777777" w:rsidR="00AC6F3C" w:rsidRDefault="00570E88">
            <w:pPr>
              <w:pStyle w:val="TableParagraph"/>
              <w:spacing w:line="181" w:lineRule="exact"/>
              <w:ind w:left="636"/>
              <w:rPr>
                <w:b/>
                <w:sz w:val="17"/>
              </w:rPr>
            </w:pPr>
            <w:r>
              <w:rPr>
                <w:b/>
                <w:spacing w:val="-4"/>
                <w:w w:val="105"/>
                <w:sz w:val="17"/>
              </w:rPr>
              <w:t>$’000</w:t>
            </w:r>
          </w:p>
        </w:tc>
        <w:tc>
          <w:tcPr>
            <w:tcW w:w="529" w:type="dxa"/>
            <w:tcBorders>
              <w:top w:val="single" w:sz="6" w:space="0" w:color="000000"/>
              <w:bottom w:val="single" w:sz="6" w:space="0" w:color="000000"/>
            </w:tcBorders>
            <w:shd w:val="clear" w:color="auto" w:fill="BEBEBE"/>
          </w:tcPr>
          <w:p w14:paraId="6FF5A4EC" w14:textId="77777777" w:rsidR="00AC6F3C" w:rsidRDefault="00AC6F3C">
            <w:pPr>
              <w:pStyle w:val="TableParagraph"/>
              <w:spacing w:before="10"/>
              <w:rPr>
                <w:sz w:val="29"/>
              </w:rPr>
            </w:pPr>
          </w:p>
          <w:p w14:paraId="3DC4E772" w14:textId="77777777" w:rsidR="00AC6F3C" w:rsidRDefault="00570E88">
            <w:pPr>
              <w:pStyle w:val="TableParagraph"/>
              <w:ind w:left="89"/>
              <w:rPr>
                <w:b/>
                <w:sz w:val="17"/>
              </w:rPr>
            </w:pPr>
            <w:r>
              <w:rPr>
                <w:b/>
                <w:spacing w:val="-4"/>
                <w:w w:val="105"/>
                <w:sz w:val="17"/>
              </w:rPr>
              <w:t>2022</w:t>
            </w:r>
          </w:p>
          <w:p w14:paraId="45EFE80A" w14:textId="77777777" w:rsidR="00AC6F3C" w:rsidRDefault="00570E88">
            <w:pPr>
              <w:pStyle w:val="TableParagraph"/>
              <w:spacing w:before="101"/>
              <w:ind w:left="44"/>
              <w:rPr>
                <w:b/>
                <w:sz w:val="17"/>
              </w:rPr>
            </w:pPr>
            <w:r>
              <w:rPr>
                <w:b/>
                <w:spacing w:val="-4"/>
                <w:w w:val="105"/>
                <w:sz w:val="17"/>
              </w:rPr>
              <w:t>$’000</w:t>
            </w:r>
          </w:p>
        </w:tc>
        <w:tc>
          <w:tcPr>
            <w:tcW w:w="1578" w:type="dxa"/>
            <w:gridSpan w:val="2"/>
            <w:tcBorders>
              <w:top w:val="single" w:sz="6" w:space="0" w:color="000000"/>
              <w:bottom w:val="single" w:sz="6" w:space="0" w:color="000000"/>
            </w:tcBorders>
            <w:shd w:val="clear" w:color="auto" w:fill="BEBEBE"/>
          </w:tcPr>
          <w:p w14:paraId="1FA5A97E" w14:textId="77777777" w:rsidR="00AC6F3C" w:rsidRDefault="00570E88">
            <w:pPr>
              <w:pStyle w:val="TableParagraph"/>
              <w:spacing w:before="33" w:line="381" w:lineRule="auto"/>
              <w:ind w:left="682" w:firstLine="164"/>
              <w:rPr>
                <w:b/>
                <w:sz w:val="17"/>
              </w:rPr>
            </w:pPr>
            <w:r>
              <w:rPr>
                <w:b/>
                <w:spacing w:val="-2"/>
                <w:w w:val="105"/>
                <w:sz w:val="17"/>
              </w:rPr>
              <w:t xml:space="preserve">Parent </w:t>
            </w:r>
            <w:r>
              <w:rPr>
                <w:b/>
                <w:spacing w:val="-4"/>
                <w:w w:val="105"/>
                <w:sz w:val="17"/>
              </w:rPr>
              <w:t>2023</w:t>
            </w:r>
          </w:p>
          <w:p w14:paraId="316402CB" w14:textId="77777777" w:rsidR="00AC6F3C" w:rsidRDefault="00570E88">
            <w:pPr>
              <w:pStyle w:val="TableParagraph"/>
              <w:spacing w:line="181" w:lineRule="exact"/>
              <w:ind w:left="637"/>
              <w:rPr>
                <w:b/>
                <w:sz w:val="17"/>
              </w:rPr>
            </w:pPr>
            <w:r>
              <w:rPr>
                <w:b/>
                <w:spacing w:val="-4"/>
                <w:w w:val="105"/>
                <w:sz w:val="17"/>
              </w:rPr>
              <w:t>$’000</w:t>
            </w:r>
          </w:p>
        </w:tc>
        <w:tc>
          <w:tcPr>
            <w:tcW w:w="673" w:type="dxa"/>
            <w:tcBorders>
              <w:top w:val="single" w:sz="6" w:space="0" w:color="000000"/>
              <w:bottom w:val="single" w:sz="6" w:space="0" w:color="000000"/>
              <w:right w:val="single" w:sz="6" w:space="0" w:color="000000"/>
            </w:tcBorders>
            <w:shd w:val="clear" w:color="auto" w:fill="BEBEBE"/>
          </w:tcPr>
          <w:p w14:paraId="64CBEC2D" w14:textId="77777777" w:rsidR="00AC6F3C" w:rsidRDefault="00AC6F3C">
            <w:pPr>
              <w:pStyle w:val="TableParagraph"/>
              <w:spacing w:before="10"/>
              <w:rPr>
                <w:sz w:val="29"/>
              </w:rPr>
            </w:pPr>
          </w:p>
          <w:p w14:paraId="7E3070A8" w14:textId="77777777" w:rsidR="00AC6F3C" w:rsidRDefault="00570E88">
            <w:pPr>
              <w:pStyle w:val="TableParagraph"/>
              <w:ind w:left="227"/>
              <w:rPr>
                <w:b/>
                <w:sz w:val="17"/>
              </w:rPr>
            </w:pPr>
            <w:r>
              <w:rPr>
                <w:b/>
                <w:spacing w:val="-4"/>
                <w:w w:val="105"/>
                <w:sz w:val="17"/>
              </w:rPr>
              <w:t>2022</w:t>
            </w:r>
          </w:p>
          <w:p w14:paraId="235ED5F8" w14:textId="77777777" w:rsidR="00AC6F3C" w:rsidRDefault="00570E88">
            <w:pPr>
              <w:pStyle w:val="TableParagraph"/>
              <w:spacing w:before="101"/>
              <w:ind w:left="182"/>
              <w:rPr>
                <w:b/>
                <w:sz w:val="17"/>
              </w:rPr>
            </w:pPr>
            <w:r>
              <w:rPr>
                <w:b/>
                <w:spacing w:val="-4"/>
                <w:w w:val="105"/>
                <w:sz w:val="17"/>
              </w:rPr>
              <w:t>$’000</w:t>
            </w:r>
          </w:p>
        </w:tc>
      </w:tr>
      <w:tr w:rsidR="00AC6F3C" w14:paraId="4636D23F" w14:textId="77777777">
        <w:trPr>
          <w:trHeight w:val="308"/>
        </w:trPr>
        <w:tc>
          <w:tcPr>
            <w:tcW w:w="3839" w:type="dxa"/>
            <w:tcBorders>
              <w:top w:val="single" w:sz="6" w:space="0" w:color="000000"/>
              <w:left w:val="single" w:sz="6" w:space="0" w:color="000000"/>
            </w:tcBorders>
          </w:tcPr>
          <w:p w14:paraId="17C12D55" w14:textId="77777777" w:rsidR="00AC6F3C" w:rsidRDefault="00570E88">
            <w:pPr>
              <w:pStyle w:val="TableParagraph"/>
              <w:spacing w:before="62"/>
              <w:ind w:left="37"/>
              <w:rPr>
                <w:sz w:val="17"/>
              </w:rPr>
            </w:pPr>
            <w:r>
              <w:rPr>
                <w:w w:val="105"/>
                <w:sz w:val="17"/>
              </w:rPr>
              <w:t>Leasehold</w:t>
            </w:r>
            <w:r>
              <w:rPr>
                <w:spacing w:val="42"/>
                <w:w w:val="105"/>
                <w:sz w:val="17"/>
              </w:rPr>
              <w:t xml:space="preserve"> </w:t>
            </w:r>
            <w:r>
              <w:rPr>
                <w:spacing w:val="-2"/>
                <w:w w:val="105"/>
                <w:sz w:val="17"/>
              </w:rPr>
              <w:t>premises</w:t>
            </w:r>
          </w:p>
        </w:tc>
        <w:tc>
          <w:tcPr>
            <w:tcW w:w="1137" w:type="dxa"/>
            <w:tcBorders>
              <w:top w:val="single" w:sz="6" w:space="0" w:color="000000"/>
            </w:tcBorders>
            <w:shd w:val="clear" w:color="auto" w:fill="F1F1F1"/>
          </w:tcPr>
          <w:p w14:paraId="68F4DDE2" w14:textId="77777777" w:rsidR="00AC6F3C" w:rsidRDefault="00570E88">
            <w:pPr>
              <w:pStyle w:val="TableParagraph"/>
              <w:spacing w:before="62"/>
              <w:ind w:right="34"/>
              <w:jc w:val="right"/>
              <w:rPr>
                <w:sz w:val="17"/>
              </w:rPr>
            </w:pPr>
            <w:r>
              <w:rPr>
                <w:spacing w:val="-5"/>
                <w:w w:val="105"/>
                <w:sz w:val="17"/>
              </w:rPr>
              <w:t>487</w:t>
            </w:r>
          </w:p>
        </w:tc>
        <w:tc>
          <w:tcPr>
            <w:tcW w:w="1107" w:type="dxa"/>
            <w:gridSpan w:val="2"/>
            <w:tcBorders>
              <w:top w:val="single" w:sz="6" w:space="0" w:color="000000"/>
            </w:tcBorders>
          </w:tcPr>
          <w:p w14:paraId="14F1164C" w14:textId="77777777" w:rsidR="00AC6F3C" w:rsidRDefault="00570E88">
            <w:pPr>
              <w:pStyle w:val="TableParagraph"/>
              <w:spacing w:before="62"/>
              <w:ind w:right="19"/>
              <w:jc w:val="right"/>
              <w:rPr>
                <w:sz w:val="17"/>
              </w:rPr>
            </w:pPr>
            <w:r>
              <w:rPr>
                <w:spacing w:val="-5"/>
                <w:w w:val="105"/>
                <w:sz w:val="17"/>
              </w:rPr>
              <w:t>649</w:t>
            </w:r>
          </w:p>
        </w:tc>
        <w:tc>
          <w:tcPr>
            <w:tcW w:w="1137" w:type="dxa"/>
            <w:tcBorders>
              <w:top w:val="single" w:sz="6" w:space="0" w:color="000000"/>
            </w:tcBorders>
            <w:shd w:val="clear" w:color="auto" w:fill="F1F1F1"/>
          </w:tcPr>
          <w:p w14:paraId="7FF12A5C" w14:textId="77777777" w:rsidR="00AC6F3C" w:rsidRDefault="00570E88">
            <w:pPr>
              <w:pStyle w:val="TableParagraph"/>
              <w:spacing w:before="62"/>
              <w:ind w:right="33"/>
              <w:jc w:val="right"/>
              <w:rPr>
                <w:sz w:val="17"/>
              </w:rPr>
            </w:pPr>
            <w:r>
              <w:rPr>
                <w:w w:val="105"/>
                <w:sz w:val="17"/>
              </w:rPr>
              <w:t>-</w:t>
            </w:r>
          </w:p>
        </w:tc>
        <w:tc>
          <w:tcPr>
            <w:tcW w:w="1114" w:type="dxa"/>
            <w:gridSpan w:val="2"/>
            <w:tcBorders>
              <w:top w:val="single" w:sz="6" w:space="0" w:color="000000"/>
              <w:right w:val="single" w:sz="6" w:space="0" w:color="000000"/>
            </w:tcBorders>
          </w:tcPr>
          <w:p w14:paraId="61F319EF" w14:textId="77777777" w:rsidR="00AC6F3C" w:rsidRDefault="00570E88">
            <w:pPr>
              <w:pStyle w:val="TableParagraph"/>
              <w:spacing w:before="62"/>
              <w:ind w:right="17"/>
              <w:jc w:val="right"/>
              <w:rPr>
                <w:sz w:val="17"/>
              </w:rPr>
            </w:pPr>
            <w:r>
              <w:rPr>
                <w:w w:val="105"/>
                <w:sz w:val="17"/>
              </w:rPr>
              <w:t>-</w:t>
            </w:r>
          </w:p>
        </w:tc>
      </w:tr>
      <w:tr w:rsidR="00AC6F3C" w14:paraId="4A520627" w14:textId="77777777">
        <w:trPr>
          <w:trHeight w:val="268"/>
        </w:trPr>
        <w:tc>
          <w:tcPr>
            <w:tcW w:w="3839" w:type="dxa"/>
            <w:tcBorders>
              <w:left w:val="single" w:sz="6" w:space="0" w:color="000000"/>
              <w:bottom w:val="single" w:sz="6" w:space="0" w:color="000000"/>
            </w:tcBorders>
          </w:tcPr>
          <w:p w14:paraId="402C8E5B" w14:textId="77777777" w:rsidR="00AC6F3C" w:rsidRDefault="00570E88">
            <w:pPr>
              <w:pStyle w:val="TableParagraph"/>
              <w:spacing w:before="50"/>
              <w:ind w:left="37"/>
              <w:rPr>
                <w:sz w:val="17"/>
              </w:rPr>
            </w:pPr>
            <w:r>
              <w:rPr>
                <w:w w:val="105"/>
                <w:sz w:val="17"/>
              </w:rPr>
              <w:t>Leasehold</w:t>
            </w:r>
            <w:r>
              <w:rPr>
                <w:spacing w:val="31"/>
                <w:w w:val="105"/>
                <w:sz w:val="17"/>
              </w:rPr>
              <w:t xml:space="preserve"> </w:t>
            </w:r>
            <w:r>
              <w:rPr>
                <w:w w:val="105"/>
                <w:sz w:val="17"/>
              </w:rPr>
              <w:t>motor</w:t>
            </w:r>
            <w:r>
              <w:rPr>
                <w:spacing w:val="24"/>
                <w:w w:val="105"/>
                <w:sz w:val="17"/>
              </w:rPr>
              <w:t xml:space="preserve"> </w:t>
            </w:r>
            <w:r>
              <w:rPr>
                <w:spacing w:val="-2"/>
                <w:w w:val="105"/>
                <w:sz w:val="17"/>
              </w:rPr>
              <w:t>vehicles</w:t>
            </w:r>
          </w:p>
        </w:tc>
        <w:tc>
          <w:tcPr>
            <w:tcW w:w="1137" w:type="dxa"/>
            <w:tcBorders>
              <w:bottom w:val="single" w:sz="6" w:space="0" w:color="000000"/>
            </w:tcBorders>
            <w:shd w:val="clear" w:color="auto" w:fill="F1F1F1"/>
          </w:tcPr>
          <w:p w14:paraId="085E203D" w14:textId="77777777" w:rsidR="00AC6F3C" w:rsidRDefault="00570E88">
            <w:pPr>
              <w:pStyle w:val="TableParagraph"/>
              <w:spacing w:before="50"/>
              <w:ind w:right="34"/>
              <w:jc w:val="right"/>
              <w:rPr>
                <w:sz w:val="17"/>
              </w:rPr>
            </w:pPr>
            <w:r>
              <w:rPr>
                <w:spacing w:val="-5"/>
                <w:w w:val="105"/>
                <w:sz w:val="17"/>
              </w:rPr>
              <w:t>64</w:t>
            </w:r>
          </w:p>
        </w:tc>
        <w:tc>
          <w:tcPr>
            <w:tcW w:w="1107" w:type="dxa"/>
            <w:gridSpan w:val="2"/>
            <w:tcBorders>
              <w:bottom w:val="single" w:sz="6" w:space="0" w:color="000000"/>
            </w:tcBorders>
          </w:tcPr>
          <w:p w14:paraId="1E077C35" w14:textId="77777777" w:rsidR="00AC6F3C" w:rsidRDefault="00570E88">
            <w:pPr>
              <w:pStyle w:val="TableParagraph"/>
              <w:spacing w:before="50"/>
              <w:ind w:right="19"/>
              <w:jc w:val="right"/>
              <w:rPr>
                <w:sz w:val="17"/>
              </w:rPr>
            </w:pPr>
            <w:r>
              <w:rPr>
                <w:spacing w:val="-5"/>
                <w:w w:val="105"/>
                <w:sz w:val="17"/>
              </w:rPr>
              <w:t>62</w:t>
            </w:r>
          </w:p>
        </w:tc>
        <w:tc>
          <w:tcPr>
            <w:tcW w:w="1137" w:type="dxa"/>
            <w:tcBorders>
              <w:bottom w:val="single" w:sz="6" w:space="0" w:color="000000"/>
            </w:tcBorders>
            <w:shd w:val="clear" w:color="auto" w:fill="F1F1F1"/>
          </w:tcPr>
          <w:p w14:paraId="2034D200" w14:textId="77777777" w:rsidR="00AC6F3C" w:rsidRDefault="00570E88">
            <w:pPr>
              <w:pStyle w:val="TableParagraph"/>
              <w:spacing w:before="50"/>
              <w:ind w:right="33"/>
              <w:jc w:val="right"/>
              <w:rPr>
                <w:sz w:val="17"/>
              </w:rPr>
            </w:pPr>
            <w:r>
              <w:rPr>
                <w:w w:val="105"/>
                <w:sz w:val="17"/>
              </w:rPr>
              <w:t>-</w:t>
            </w:r>
          </w:p>
        </w:tc>
        <w:tc>
          <w:tcPr>
            <w:tcW w:w="1114" w:type="dxa"/>
            <w:gridSpan w:val="2"/>
            <w:tcBorders>
              <w:bottom w:val="single" w:sz="6" w:space="0" w:color="000000"/>
              <w:right w:val="single" w:sz="6" w:space="0" w:color="000000"/>
            </w:tcBorders>
          </w:tcPr>
          <w:p w14:paraId="25690E30" w14:textId="77777777" w:rsidR="00AC6F3C" w:rsidRDefault="00570E88">
            <w:pPr>
              <w:pStyle w:val="TableParagraph"/>
              <w:spacing w:before="50"/>
              <w:ind w:right="17"/>
              <w:jc w:val="right"/>
              <w:rPr>
                <w:sz w:val="17"/>
              </w:rPr>
            </w:pPr>
            <w:r>
              <w:rPr>
                <w:w w:val="105"/>
                <w:sz w:val="17"/>
              </w:rPr>
              <w:t>-</w:t>
            </w:r>
          </w:p>
        </w:tc>
      </w:tr>
      <w:tr w:rsidR="00AC6F3C" w14:paraId="7B6D4043" w14:textId="77777777">
        <w:trPr>
          <w:trHeight w:val="281"/>
        </w:trPr>
        <w:tc>
          <w:tcPr>
            <w:tcW w:w="3839" w:type="dxa"/>
            <w:tcBorders>
              <w:top w:val="single" w:sz="6" w:space="0" w:color="000000"/>
              <w:left w:val="single" w:sz="6" w:space="0" w:color="000000"/>
              <w:bottom w:val="single" w:sz="6" w:space="0" w:color="000000"/>
            </w:tcBorders>
            <w:shd w:val="clear" w:color="auto" w:fill="BEBEBE"/>
          </w:tcPr>
          <w:p w14:paraId="47C2E148" w14:textId="77777777" w:rsidR="00AC6F3C" w:rsidRDefault="00570E88">
            <w:pPr>
              <w:pStyle w:val="TableParagraph"/>
              <w:spacing w:before="62"/>
              <w:ind w:left="37"/>
              <w:rPr>
                <w:b/>
                <w:sz w:val="17"/>
              </w:rPr>
            </w:pPr>
            <w:r>
              <w:rPr>
                <w:b/>
                <w:spacing w:val="-2"/>
                <w:w w:val="105"/>
                <w:sz w:val="17"/>
              </w:rPr>
              <w:t>Total</w:t>
            </w:r>
          </w:p>
        </w:tc>
        <w:tc>
          <w:tcPr>
            <w:tcW w:w="1715" w:type="dxa"/>
            <w:gridSpan w:val="2"/>
            <w:tcBorders>
              <w:top w:val="single" w:sz="6" w:space="0" w:color="000000"/>
              <w:bottom w:val="single" w:sz="6" w:space="0" w:color="000000"/>
            </w:tcBorders>
            <w:shd w:val="clear" w:color="auto" w:fill="BEBEBE"/>
          </w:tcPr>
          <w:p w14:paraId="1A495C34" w14:textId="77777777" w:rsidR="00AC6F3C" w:rsidRDefault="00570E88">
            <w:pPr>
              <w:pStyle w:val="TableParagraph"/>
              <w:spacing w:before="62"/>
              <w:ind w:left="776" w:right="605"/>
              <w:jc w:val="center"/>
              <w:rPr>
                <w:b/>
                <w:sz w:val="17"/>
              </w:rPr>
            </w:pPr>
            <w:r>
              <w:rPr>
                <w:b/>
                <w:spacing w:val="-5"/>
                <w:w w:val="105"/>
                <w:sz w:val="17"/>
              </w:rPr>
              <w:t>551</w:t>
            </w:r>
          </w:p>
        </w:tc>
        <w:tc>
          <w:tcPr>
            <w:tcW w:w="529" w:type="dxa"/>
            <w:tcBorders>
              <w:top w:val="single" w:sz="6" w:space="0" w:color="000000"/>
              <w:bottom w:val="single" w:sz="6" w:space="0" w:color="000000"/>
            </w:tcBorders>
            <w:shd w:val="clear" w:color="auto" w:fill="BEBEBE"/>
          </w:tcPr>
          <w:p w14:paraId="0B62F097" w14:textId="77777777" w:rsidR="00AC6F3C" w:rsidRDefault="00570E88">
            <w:pPr>
              <w:pStyle w:val="TableParagraph"/>
              <w:spacing w:before="62"/>
              <w:ind w:left="193"/>
              <w:rPr>
                <w:b/>
                <w:sz w:val="17"/>
              </w:rPr>
            </w:pPr>
            <w:r>
              <w:rPr>
                <w:b/>
                <w:spacing w:val="-5"/>
                <w:w w:val="105"/>
                <w:sz w:val="17"/>
              </w:rPr>
              <w:t>711</w:t>
            </w:r>
          </w:p>
        </w:tc>
        <w:tc>
          <w:tcPr>
            <w:tcW w:w="1578" w:type="dxa"/>
            <w:gridSpan w:val="2"/>
            <w:tcBorders>
              <w:top w:val="single" w:sz="6" w:space="0" w:color="000000"/>
              <w:bottom w:val="single" w:sz="6" w:space="0" w:color="000000"/>
            </w:tcBorders>
            <w:shd w:val="clear" w:color="auto" w:fill="BEBEBE"/>
          </w:tcPr>
          <w:p w14:paraId="6DB47F15" w14:textId="77777777" w:rsidR="00AC6F3C" w:rsidRDefault="00570E88">
            <w:pPr>
              <w:pStyle w:val="TableParagraph"/>
              <w:spacing w:before="62"/>
              <w:ind w:left="1041"/>
              <w:rPr>
                <w:b/>
                <w:sz w:val="17"/>
              </w:rPr>
            </w:pPr>
            <w:r>
              <w:rPr>
                <w:b/>
                <w:w w:val="105"/>
                <w:sz w:val="17"/>
              </w:rPr>
              <w:t>-</w:t>
            </w:r>
          </w:p>
        </w:tc>
        <w:tc>
          <w:tcPr>
            <w:tcW w:w="673" w:type="dxa"/>
            <w:tcBorders>
              <w:top w:val="single" w:sz="6" w:space="0" w:color="000000"/>
              <w:bottom w:val="single" w:sz="6" w:space="0" w:color="000000"/>
              <w:right w:val="single" w:sz="6" w:space="0" w:color="000000"/>
            </w:tcBorders>
            <w:shd w:val="clear" w:color="auto" w:fill="BEBEBE"/>
          </w:tcPr>
          <w:p w14:paraId="407C4B9B" w14:textId="77777777" w:rsidR="00AC6F3C" w:rsidRDefault="00570E88">
            <w:pPr>
              <w:pStyle w:val="TableParagraph"/>
              <w:spacing w:before="62"/>
              <w:ind w:right="17"/>
              <w:jc w:val="right"/>
              <w:rPr>
                <w:b/>
                <w:sz w:val="17"/>
              </w:rPr>
            </w:pPr>
            <w:r>
              <w:rPr>
                <w:b/>
                <w:w w:val="105"/>
                <w:sz w:val="17"/>
              </w:rPr>
              <w:t>-</w:t>
            </w:r>
          </w:p>
        </w:tc>
      </w:tr>
    </w:tbl>
    <w:p w14:paraId="29474B12" w14:textId="77777777" w:rsidR="00AC6F3C" w:rsidRDefault="00AC6F3C">
      <w:pPr>
        <w:pStyle w:val="BodyText"/>
        <w:spacing w:before="4"/>
        <w:rPr>
          <w:sz w:val="22"/>
        </w:rPr>
      </w:pPr>
    </w:p>
    <w:p w14:paraId="2F17A76A" w14:textId="77777777" w:rsidR="00AC6F3C" w:rsidRDefault="00570E88">
      <w:pPr>
        <w:pStyle w:val="ListParagraph"/>
        <w:numPr>
          <w:ilvl w:val="0"/>
          <w:numId w:val="30"/>
        </w:numPr>
        <w:tabs>
          <w:tab w:val="left" w:pos="1678"/>
        </w:tabs>
        <w:spacing w:before="1"/>
        <w:rPr>
          <w:sz w:val="18"/>
        </w:rPr>
      </w:pPr>
      <w:r>
        <w:rPr>
          <w:sz w:val="18"/>
        </w:rPr>
        <w:t>Depreciation</w:t>
      </w:r>
      <w:r>
        <w:rPr>
          <w:spacing w:val="-6"/>
          <w:sz w:val="18"/>
        </w:rPr>
        <w:t xml:space="preserve"> </w:t>
      </w:r>
      <w:r>
        <w:rPr>
          <w:sz w:val="18"/>
        </w:rPr>
        <w:t>charge</w:t>
      </w:r>
      <w:r>
        <w:rPr>
          <w:spacing w:val="-6"/>
          <w:sz w:val="18"/>
        </w:rPr>
        <w:t xml:space="preserve"> </w:t>
      </w:r>
      <w:r>
        <w:rPr>
          <w:sz w:val="18"/>
        </w:rPr>
        <w:t>during</w:t>
      </w:r>
      <w:r>
        <w:rPr>
          <w:spacing w:val="-3"/>
          <w:sz w:val="18"/>
        </w:rPr>
        <w:t xml:space="preserve"> </w:t>
      </w:r>
      <w:r>
        <w:rPr>
          <w:sz w:val="18"/>
        </w:rPr>
        <w:t>the</w:t>
      </w:r>
      <w:r>
        <w:rPr>
          <w:spacing w:val="-5"/>
          <w:sz w:val="18"/>
        </w:rPr>
        <w:t xml:space="preserve"> </w:t>
      </w:r>
      <w:r>
        <w:rPr>
          <w:spacing w:val="-4"/>
          <w:sz w:val="18"/>
        </w:rPr>
        <w:t>year</w:t>
      </w:r>
    </w:p>
    <w:p w14:paraId="397E57FD" w14:textId="77777777" w:rsidR="00AC6F3C" w:rsidRDefault="00AC6F3C">
      <w:pPr>
        <w:pStyle w:val="BodyText"/>
        <w:spacing w:before="5"/>
      </w:pPr>
    </w:p>
    <w:tbl>
      <w:tblPr>
        <w:tblW w:w="0" w:type="auto"/>
        <w:tblInd w:w="972" w:type="dxa"/>
        <w:tblLayout w:type="fixed"/>
        <w:tblCellMar>
          <w:left w:w="0" w:type="dxa"/>
          <w:right w:w="0" w:type="dxa"/>
        </w:tblCellMar>
        <w:tblLook w:val="01E0" w:firstRow="1" w:lastRow="1" w:firstColumn="1" w:lastColumn="1" w:noHBand="0" w:noVBand="0"/>
      </w:tblPr>
      <w:tblGrid>
        <w:gridCol w:w="3839"/>
        <w:gridCol w:w="1137"/>
        <w:gridCol w:w="578"/>
        <w:gridCol w:w="529"/>
        <w:gridCol w:w="1137"/>
        <w:gridCol w:w="441"/>
        <w:gridCol w:w="673"/>
      </w:tblGrid>
      <w:tr w:rsidR="00AC6F3C" w14:paraId="18C3F9DE" w14:textId="77777777">
        <w:trPr>
          <w:trHeight w:val="873"/>
        </w:trPr>
        <w:tc>
          <w:tcPr>
            <w:tcW w:w="3839" w:type="dxa"/>
            <w:tcBorders>
              <w:top w:val="single" w:sz="6" w:space="0" w:color="000000"/>
              <w:left w:val="single" w:sz="6" w:space="0" w:color="000000"/>
              <w:bottom w:val="single" w:sz="6" w:space="0" w:color="000000"/>
            </w:tcBorders>
            <w:shd w:val="clear" w:color="auto" w:fill="BEBEBE"/>
          </w:tcPr>
          <w:p w14:paraId="3F024D84" w14:textId="77777777" w:rsidR="00AC6F3C" w:rsidRDefault="00AC6F3C">
            <w:pPr>
              <w:pStyle w:val="TableParagraph"/>
              <w:rPr>
                <w:rFonts w:ascii="Times New Roman"/>
                <w:sz w:val="18"/>
              </w:rPr>
            </w:pPr>
          </w:p>
        </w:tc>
        <w:tc>
          <w:tcPr>
            <w:tcW w:w="1715" w:type="dxa"/>
            <w:gridSpan w:val="2"/>
            <w:tcBorders>
              <w:top w:val="single" w:sz="6" w:space="0" w:color="000000"/>
              <w:bottom w:val="single" w:sz="6" w:space="0" w:color="000000"/>
            </w:tcBorders>
            <w:shd w:val="clear" w:color="auto" w:fill="BEBEBE"/>
          </w:tcPr>
          <w:p w14:paraId="56649B2A" w14:textId="77777777" w:rsidR="00AC6F3C" w:rsidRDefault="00570E88">
            <w:pPr>
              <w:pStyle w:val="TableParagraph"/>
              <w:spacing w:before="33" w:line="381" w:lineRule="auto"/>
              <w:ind w:left="681" w:hanging="105"/>
              <w:rPr>
                <w:b/>
                <w:sz w:val="17"/>
              </w:rPr>
            </w:pPr>
            <w:r>
              <w:rPr>
                <w:b/>
                <w:spacing w:val="-4"/>
                <w:w w:val="105"/>
                <w:sz w:val="17"/>
              </w:rPr>
              <w:t>Consolidated 2023</w:t>
            </w:r>
          </w:p>
          <w:p w14:paraId="6CA18EC5" w14:textId="77777777" w:rsidR="00AC6F3C" w:rsidRDefault="00570E88">
            <w:pPr>
              <w:pStyle w:val="TableParagraph"/>
              <w:spacing w:line="181" w:lineRule="exact"/>
              <w:ind w:left="636"/>
              <w:rPr>
                <w:b/>
                <w:sz w:val="17"/>
              </w:rPr>
            </w:pPr>
            <w:r>
              <w:rPr>
                <w:b/>
                <w:spacing w:val="-4"/>
                <w:w w:val="105"/>
                <w:sz w:val="17"/>
              </w:rPr>
              <w:t>$’000</w:t>
            </w:r>
          </w:p>
        </w:tc>
        <w:tc>
          <w:tcPr>
            <w:tcW w:w="529" w:type="dxa"/>
            <w:tcBorders>
              <w:top w:val="single" w:sz="6" w:space="0" w:color="000000"/>
              <w:bottom w:val="single" w:sz="6" w:space="0" w:color="000000"/>
            </w:tcBorders>
            <w:shd w:val="clear" w:color="auto" w:fill="BEBEBE"/>
          </w:tcPr>
          <w:p w14:paraId="0CEF06B8" w14:textId="77777777" w:rsidR="00AC6F3C" w:rsidRDefault="00AC6F3C">
            <w:pPr>
              <w:pStyle w:val="TableParagraph"/>
              <w:spacing w:before="10"/>
              <w:rPr>
                <w:sz w:val="29"/>
              </w:rPr>
            </w:pPr>
          </w:p>
          <w:p w14:paraId="48E16ABA" w14:textId="77777777" w:rsidR="00AC6F3C" w:rsidRDefault="00570E88">
            <w:pPr>
              <w:pStyle w:val="TableParagraph"/>
              <w:ind w:left="89"/>
              <w:rPr>
                <w:b/>
                <w:sz w:val="17"/>
              </w:rPr>
            </w:pPr>
            <w:r>
              <w:rPr>
                <w:b/>
                <w:spacing w:val="-4"/>
                <w:w w:val="105"/>
                <w:sz w:val="17"/>
              </w:rPr>
              <w:t>2022</w:t>
            </w:r>
          </w:p>
          <w:p w14:paraId="0AC85005" w14:textId="77777777" w:rsidR="00AC6F3C" w:rsidRDefault="00570E88">
            <w:pPr>
              <w:pStyle w:val="TableParagraph"/>
              <w:spacing w:before="101"/>
              <w:ind w:left="44"/>
              <w:rPr>
                <w:b/>
                <w:sz w:val="17"/>
              </w:rPr>
            </w:pPr>
            <w:r>
              <w:rPr>
                <w:b/>
                <w:spacing w:val="-4"/>
                <w:w w:val="105"/>
                <w:sz w:val="17"/>
              </w:rPr>
              <w:t>$’000</w:t>
            </w:r>
          </w:p>
        </w:tc>
        <w:tc>
          <w:tcPr>
            <w:tcW w:w="1578" w:type="dxa"/>
            <w:gridSpan w:val="2"/>
            <w:tcBorders>
              <w:top w:val="single" w:sz="6" w:space="0" w:color="000000"/>
              <w:bottom w:val="single" w:sz="6" w:space="0" w:color="000000"/>
            </w:tcBorders>
            <w:shd w:val="clear" w:color="auto" w:fill="BEBEBE"/>
          </w:tcPr>
          <w:p w14:paraId="41B27941" w14:textId="77777777" w:rsidR="00AC6F3C" w:rsidRDefault="00570E88">
            <w:pPr>
              <w:pStyle w:val="TableParagraph"/>
              <w:spacing w:before="33" w:line="381" w:lineRule="auto"/>
              <w:ind w:left="682" w:firstLine="164"/>
              <w:rPr>
                <w:b/>
                <w:sz w:val="17"/>
              </w:rPr>
            </w:pPr>
            <w:r>
              <w:rPr>
                <w:b/>
                <w:spacing w:val="-2"/>
                <w:w w:val="105"/>
                <w:sz w:val="17"/>
              </w:rPr>
              <w:t xml:space="preserve">Parent </w:t>
            </w:r>
            <w:r>
              <w:rPr>
                <w:b/>
                <w:spacing w:val="-4"/>
                <w:w w:val="105"/>
                <w:sz w:val="17"/>
              </w:rPr>
              <w:t>2023</w:t>
            </w:r>
          </w:p>
          <w:p w14:paraId="76E2773F" w14:textId="77777777" w:rsidR="00AC6F3C" w:rsidRDefault="00570E88">
            <w:pPr>
              <w:pStyle w:val="TableParagraph"/>
              <w:spacing w:line="181" w:lineRule="exact"/>
              <w:ind w:left="637"/>
              <w:rPr>
                <w:b/>
                <w:sz w:val="17"/>
              </w:rPr>
            </w:pPr>
            <w:r>
              <w:rPr>
                <w:b/>
                <w:spacing w:val="-4"/>
                <w:w w:val="105"/>
                <w:sz w:val="17"/>
              </w:rPr>
              <w:t>$’000</w:t>
            </w:r>
          </w:p>
        </w:tc>
        <w:tc>
          <w:tcPr>
            <w:tcW w:w="673" w:type="dxa"/>
            <w:tcBorders>
              <w:top w:val="single" w:sz="6" w:space="0" w:color="000000"/>
              <w:bottom w:val="single" w:sz="6" w:space="0" w:color="000000"/>
              <w:right w:val="single" w:sz="6" w:space="0" w:color="000000"/>
            </w:tcBorders>
            <w:shd w:val="clear" w:color="auto" w:fill="BEBEBE"/>
          </w:tcPr>
          <w:p w14:paraId="69059469" w14:textId="77777777" w:rsidR="00AC6F3C" w:rsidRDefault="00AC6F3C">
            <w:pPr>
              <w:pStyle w:val="TableParagraph"/>
              <w:spacing w:before="10"/>
              <w:rPr>
                <w:sz w:val="29"/>
              </w:rPr>
            </w:pPr>
          </w:p>
          <w:p w14:paraId="161B68F9" w14:textId="77777777" w:rsidR="00AC6F3C" w:rsidRDefault="00570E88">
            <w:pPr>
              <w:pStyle w:val="TableParagraph"/>
              <w:ind w:left="227"/>
              <w:rPr>
                <w:b/>
                <w:sz w:val="17"/>
              </w:rPr>
            </w:pPr>
            <w:r>
              <w:rPr>
                <w:b/>
                <w:spacing w:val="-4"/>
                <w:w w:val="105"/>
                <w:sz w:val="17"/>
              </w:rPr>
              <w:t>2022</w:t>
            </w:r>
          </w:p>
          <w:p w14:paraId="3496D05B" w14:textId="77777777" w:rsidR="00AC6F3C" w:rsidRDefault="00570E88">
            <w:pPr>
              <w:pStyle w:val="TableParagraph"/>
              <w:spacing w:before="101"/>
              <w:ind w:left="182"/>
              <w:rPr>
                <w:b/>
                <w:sz w:val="17"/>
              </w:rPr>
            </w:pPr>
            <w:r>
              <w:rPr>
                <w:b/>
                <w:spacing w:val="-4"/>
                <w:w w:val="105"/>
                <w:sz w:val="17"/>
              </w:rPr>
              <w:t>$’000</w:t>
            </w:r>
          </w:p>
        </w:tc>
      </w:tr>
      <w:tr w:rsidR="00AC6F3C" w14:paraId="3E5A837A" w14:textId="77777777">
        <w:trPr>
          <w:trHeight w:val="308"/>
        </w:trPr>
        <w:tc>
          <w:tcPr>
            <w:tcW w:w="3839" w:type="dxa"/>
            <w:tcBorders>
              <w:top w:val="single" w:sz="6" w:space="0" w:color="000000"/>
              <w:left w:val="single" w:sz="6" w:space="0" w:color="000000"/>
            </w:tcBorders>
          </w:tcPr>
          <w:p w14:paraId="31558614" w14:textId="77777777" w:rsidR="00AC6F3C" w:rsidRDefault="00570E88">
            <w:pPr>
              <w:pStyle w:val="TableParagraph"/>
              <w:spacing w:before="62"/>
              <w:ind w:left="37"/>
              <w:rPr>
                <w:sz w:val="17"/>
              </w:rPr>
            </w:pPr>
            <w:r>
              <w:rPr>
                <w:w w:val="105"/>
                <w:sz w:val="17"/>
              </w:rPr>
              <w:t>Leasehold</w:t>
            </w:r>
            <w:r>
              <w:rPr>
                <w:spacing w:val="42"/>
                <w:w w:val="105"/>
                <w:sz w:val="17"/>
              </w:rPr>
              <w:t xml:space="preserve"> </w:t>
            </w:r>
            <w:r>
              <w:rPr>
                <w:spacing w:val="-2"/>
                <w:w w:val="105"/>
                <w:sz w:val="17"/>
              </w:rPr>
              <w:t>premises</w:t>
            </w:r>
          </w:p>
        </w:tc>
        <w:tc>
          <w:tcPr>
            <w:tcW w:w="1137" w:type="dxa"/>
            <w:tcBorders>
              <w:top w:val="single" w:sz="6" w:space="0" w:color="000000"/>
            </w:tcBorders>
            <w:shd w:val="clear" w:color="auto" w:fill="F1F1F1"/>
          </w:tcPr>
          <w:p w14:paraId="39056B3B" w14:textId="77777777" w:rsidR="00AC6F3C" w:rsidRDefault="00570E88">
            <w:pPr>
              <w:pStyle w:val="TableParagraph"/>
              <w:spacing w:before="62"/>
              <w:ind w:right="34"/>
              <w:jc w:val="right"/>
              <w:rPr>
                <w:sz w:val="17"/>
              </w:rPr>
            </w:pPr>
            <w:r>
              <w:rPr>
                <w:spacing w:val="-5"/>
                <w:w w:val="105"/>
                <w:sz w:val="17"/>
              </w:rPr>
              <w:t>162</w:t>
            </w:r>
          </w:p>
        </w:tc>
        <w:tc>
          <w:tcPr>
            <w:tcW w:w="1107" w:type="dxa"/>
            <w:gridSpan w:val="2"/>
            <w:tcBorders>
              <w:top w:val="single" w:sz="6" w:space="0" w:color="000000"/>
            </w:tcBorders>
          </w:tcPr>
          <w:p w14:paraId="1FEF9898" w14:textId="77777777" w:rsidR="00AC6F3C" w:rsidRDefault="00570E88">
            <w:pPr>
              <w:pStyle w:val="TableParagraph"/>
              <w:spacing w:before="62"/>
              <w:ind w:right="19"/>
              <w:jc w:val="right"/>
              <w:rPr>
                <w:sz w:val="17"/>
              </w:rPr>
            </w:pPr>
            <w:r>
              <w:rPr>
                <w:spacing w:val="-5"/>
                <w:w w:val="105"/>
                <w:sz w:val="17"/>
              </w:rPr>
              <w:t>162</w:t>
            </w:r>
          </w:p>
        </w:tc>
        <w:tc>
          <w:tcPr>
            <w:tcW w:w="1137" w:type="dxa"/>
            <w:tcBorders>
              <w:top w:val="single" w:sz="6" w:space="0" w:color="000000"/>
            </w:tcBorders>
            <w:shd w:val="clear" w:color="auto" w:fill="F1F1F1"/>
          </w:tcPr>
          <w:p w14:paraId="45BDB0BF" w14:textId="77777777" w:rsidR="00AC6F3C" w:rsidRDefault="00570E88">
            <w:pPr>
              <w:pStyle w:val="TableParagraph"/>
              <w:spacing w:before="62"/>
              <w:ind w:right="33"/>
              <w:jc w:val="right"/>
              <w:rPr>
                <w:sz w:val="17"/>
              </w:rPr>
            </w:pPr>
            <w:r>
              <w:rPr>
                <w:w w:val="105"/>
                <w:sz w:val="17"/>
              </w:rPr>
              <w:t>-</w:t>
            </w:r>
          </w:p>
        </w:tc>
        <w:tc>
          <w:tcPr>
            <w:tcW w:w="1114" w:type="dxa"/>
            <w:gridSpan w:val="2"/>
            <w:tcBorders>
              <w:top w:val="single" w:sz="6" w:space="0" w:color="000000"/>
              <w:right w:val="single" w:sz="6" w:space="0" w:color="000000"/>
            </w:tcBorders>
          </w:tcPr>
          <w:p w14:paraId="19326BB3" w14:textId="77777777" w:rsidR="00AC6F3C" w:rsidRDefault="00570E88">
            <w:pPr>
              <w:pStyle w:val="TableParagraph"/>
              <w:spacing w:before="62"/>
              <w:ind w:right="17"/>
              <w:jc w:val="right"/>
              <w:rPr>
                <w:sz w:val="17"/>
              </w:rPr>
            </w:pPr>
            <w:r>
              <w:rPr>
                <w:w w:val="105"/>
                <w:sz w:val="17"/>
              </w:rPr>
              <w:t>-</w:t>
            </w:r>
          </w:p>
        </w:tc>
      </w:tr>
      <w:tr w:rsidR="00AC6F3C" w14:paraId="0D90FFA1" w14:textId="77777777">
        <w:trPr>
          <w:trHeight w:val="268"/>
        </w:trPr>
        <w:tc>
          <w:tcPr>
            <w:tcW w:w="3839" w:type="dxa"/>
            <w:tcBorders>
              <w:left w:val="single" w:sz="6" w:space="0" w:color="000000"/>
              <w:bottom w:val="single" w:sz="6" w:space="0" w:color="000000"/>
            </w:tcBorders>
          </w:tcPr>
          <w:p w14:paraId="3172A3CE" w14:textId="77777777" w:rsidR="00AC6F3C" w:rsidRDefault="00570E88">
            <w:pPr>
              <w:pStyle w:val="TableParagraph"/>
              <w:spacing w:before="50"/>
              <w:ind w:left="37"/>
              <w:rPr>
                <w:sz w:val="17"/>
              </w:rPr>
            </w:pPr>
            <w:r>
              <w:rPr>
                <w:w w:val="105"/>
                <w:sz w:val="17"/>
              </w:rPr>
              <w:t>Leasehold</w:t>
            </w:r>
            <w:r>
              <w:rPr>
                <w:spacing w:val="31"/>
                <w:w w:val="105"/>
                <w:sz w:val="17"/>
              </w:rPr>
              <w:t xml:space="preserve"> </w:t>
            </w:r>
            <w:r>
              <w:rPr>
                <w:w w:val="105"/>
                <w:sz w:val="17"/>
              </w:rPr>
              <w:t>motor</w:t>
            </w:r>
            <w:r>
              <w:rPr>
                <w:spacing w:val="24"/>
                <w:w w:val="105"/>
                <w:sz w:val="17"/>
              </w:rPr>
              <w:t xml:space="preserve"> </w:t>
            </w:r>
            <w:r>
              <w:rPr>
                <w:spacing w:val="-2"/>
                <w:w w:val="105"/>
                <w:sz w:val="17"/>
              </w:rPr>
              <w:t>vehicles</w:t>
            </w:r>
          </w:p>
        </w:tc>
        <w:tc>
          <w:tcPr>
            <w:tcW w:w="1137" w:type="dxa"/>
            <w:tcBorders>
              <w:bottom w:val="single" w:sz="6" w:space="0" w:color="000000"/>
            </w:tcBorders>
            <w:shd w:val="clear" w:color="auto" w:fill="F1F1F1"/>
          </w:tcPr>
          <w:p w14:paraId="1602F06D" w14:textId="77777777" w:rsidR="00AC6F3C" w:rsidRDefault="00570E88">
            <w:pPr>
              <w:pStyle w:val="TableParagraph"/>
              <w:spacing w:before="50"/>
              <w:ind w:right="34"/>
              <w:jc w:val="right"/>
              <w:rPr>
                <w:sz w:val="17"/>
              </w:rPr>
            </w:pPr>
            <w:r>
              <w:rPr>
                <w:spacing w:val="-5"/>
                <w:w w:val="105"/>
                <w:sz w:val="17"/>
              </w:rPr>
              <w:t>46</w:t>
            </w:r>
          </w:p>
        </w:tc>
        <w:tc>
          <w:tcPr>
            <w:tcW w:w="1107" w:type="dxa"/>
            <w:gridSpan w:val="2"/>
            <w:tcBorders>
              <w:bottom w:val="single" w:sz="6" w:space="0" w:color="000000"/>
            </w:tcBorders>
          </w:tcPr>
          <w:p w14:paraId="09CE503B" w14:textId="77777777" w:rsidR="00AC6F3C" w:rsidRDefault="00570E88">
            <w:pPr>
              <w:pStyle w:val="TableParagraph"/>
              <w:spacing w:before="50"/>
              <w:ind w:right="19"/>
              <w:jc w:val="right"/>
              <w:rPr>
                <w:sz w:val="17"/>
              </w:rPr>
            </w:pPr>
            <w:r>
              <w:rPr>
                <w:spacing w:val="-5"/>
                <w:w w:val="105"/>
                <w:sz w:val="17"/>
              </w:rPr>
              <w:t>44</w:t>
            </w:r>
          </w:p>
        </w:tc>
        <w:tc>
          <w:tcPr>
            <w:tcW w:w="1137" w:type="dxa"/>
            <w:tcBorders>
              <w:bottom w:val="single" w:sz="6" w:space="0" w:color="000000"/>
            </w:tcBorders>
            <w:shd w:val="clear" w:color="auto" w:fill="F1F1F1"/>
          </w:tcPr>
          <w:p w14:paraId="4AE8979D" w14:textId="77777777" w:rsidR="00AC6F3C" w:rsidRDefault="00570E88">
            <w:pPr>
              <w:pStyle w:val="TableParagraph"/>
              <w:spacing w:before="50"/>
              <w:ind w:right="33"/>
              <w:jc w:val="right"/>
              <w:rPr>
                <w:sz w:val="17"/>
              </w:rPr>
            </w:pPr>
            <w:r>
              <w:rPr>
                <w:w w:val="105"/>
                <w:sz w:val="17"/>
              </w:rPr>
              <w:t>-</w:t>
            </w:r>
          </w:p>
        </w:tc>
        <w:tc>
          <w:tcPr>
            <w:tcW w:w="1114" w:type="dxa"/>
            <w:gridSpan w:val="2"/>
            <w:tcBorders>
              <w:bottom w:val="single" w:sz="6" w:space="0" w:color="000000"/>
              <w:right w:val="single" w:sz="6" w:space="0" w:color="000000"/>
            </w:tcBorders>
          </w:tcPr>
          <w:p w14:paraId="580D3401" w14:textId="77777777" w:rsidR="00AC6F3C" w:rsidRDefault="00570E88">
            <w:pPr>
              <w:pStyle w:val="TableParagraph"/>
              <w:spacing w:before="50"/>
              <w:ind w:right="17"/>
              <w:jc w:val="right"/>
              <w:rPr>
                <w:sz w:val="17"/>
              </w:rPr>
            </w:pPr>
            <w:r>
              <w:rPr>
                <w:w w:val="105"/>
                <w:sz w:val="17"/>
              </w:rPr>
              <w:t>-</w:t>
            </w:r>
          </w:p>
        </w:tc>
      </w:tr>
      <w:tr w:rsidR="00AC6F3C" w14:paraId="2F1249DB" w14:textId="77777777">
        <w:trPr>
          <w:trHeight w:val="281"/>
        </w:trPr>
        <w:tc>
          <w:tcPr>
            <w:tcW w:w="3839" w:type="dxa"/>
            <w:tcBorders>
              <w:top w:val="single" w:sz="6" w:space="0" w:color="000000"/>
              <w:left w:val="single" w:sz="6" w:space="0" w:color="000000"/>
              <w:bottom w:val="single" w:sz="6" w:space="0" w:color="000000"/>
            </w:tcBorders>
            <w:shd w:val="clear" w:color="auto" w:fill="BEBEBE"/>
          </w:tcPr>
          <w:p w14:paraId="0EAB813C" w14:textId="77777777" w:rsidR="00AC6F3C" w:rsidRDefault="00570E88">
            <w:pPr>
              <w:pStyle w:val="TableParagraph"/>
              <w:spacing w:before="62"/>
              <w:ind w:left="37"/>
              <w:rPr>
                <w:b/>
                <w:sz w:val="17"/>
              </w:rPr>
            </w:pPr>
            <w:r>
              <w:rPr>
                <w:b/>
                <w:spacing w:val="-2"/>
                <w:w w:val="105"/>
                <w:sz w:val="17"/>
              </w:rPr>
              <w:t>Total</w:t>
            </w:r>
          </w:p>
        </w:tc>
        <w:tc>
          <w:tcPr>
            <w:tcW w:w="1715" w:type="dxa"/>
            <w:gridSpan w:val="2"/>
            <w:tcBorders>
              <w:top w:val="single" w:sz="6" w:space="0" w:color="000000"/>
              <w:bottom w:val="single" w:sz="6" w:space="0" w:color="000000"/>
            </w:tcBorders>
            <w:shd w:val="clear" w:color="auto" w:fill="BEBEBE"/>
          </w:tcPr>
          <w:p w14:paraId="648981AF" w14:textId="77777777" w:rsidR="00AC6F3C" w:rsidRDefault="00570E88">
            <w:pPr>
              <w:pStyle w:val="TableParagraph"/>
              <w:spacing w:before="62"/>
              <w:ind w:left="776" w:right="605"/>
              <w:jc w:val="center"/>
              <w:rPr>
                <w:b/>
                <w:sz w:val="17"/>
              </w:rPr>
            </w:pPr>
            <w:r>
              <w:rPr>
                <w:b/>
                <w:spacing w:val="-5"/>
                <w:w w:val="105"/>
                <w:sz w:val="17"/>
              </w:rPr>
              <w:t>208</w:t>
            </w:r>
          </w:p>
        </w:tc>
        <w:tc>
          <w:tcPr>
            <w:tcW w:w="529" w:type="dxa"/>
            <w:tcBorders>
              <w:top w:val="single" w:sz="6" w:space="0" w:color="000000"/>
              <w:bottom w:val="single" w:sz="6" w:space="0" w:color="000000"/>
            </w:tcBorders>
            <w:shd w:val="clear" w:color="auto" w:fill="BEBEBE"/>
          </w:tcPr>
          <w:p w14:paraId="0A40FAD5" w14:textId="77777777" w:rsidR="00AC6F3C" w:rsidRDefault="00570E88">
            <w:pPr>
              <w:pStyle w:val="TableParagraph"/>
              <w:spacing w:before="62"/>
              <w:ind w:left="193"/>
              <w:rPr>
                <w:b/>
                <w:sz w:val="17"/>
              </w:rPr>
            </w:pPr>
            <w:r>
              <w:rPr>
                <w:b/>
                <w:spacing w:val="-5"/>
                <w:w w:val="105"/>
                <w:sz w:val="17"/>
              </w:rPr>
              <w:t>206</w:t>
            </w:r>
          </w:p>
        </w:tc>
        <w:tc>
          <w:tcPr>
            <w:tcW w:w="1578" w:type="dxa"/>
            <w:gridSpan w:val="2"/>
            <w:tcBorders>
              <w:top w:val="single" w:sz="6" w:space="0" w:color="000000"/>
              <w:bottom w:val="single" w:sz="6" w:space="0" w:color="000000"/>
            </w:tcBorders>
            <w:shd w:val="clear" w:color="auto" w:fill="BEBEBE"/>
          </w:tcPr>
          <w:p w14:paraId="79E37233" w14:textId="77777777" w:rsidR="00AC6F3C" w:rsidRDefault="00570E88">
            <w:pPr>
              <w:pStyle w:val="TableParagraph"/>
              <w:spacing w:before="62"/>
              <w:ind w:left="1041"/>
              <w:rPr>
                <w:b/>
                <w:sz w:val="17"/>
              </w:rPr>
            </w:pPr>
            <w:r>
              <w:rPr>
                <w:b/>
                <w:w w:val="105"/>
                <w:sz w:val="17"/>
              </w:rPr>
              <w:t>-</w:t>
            </w:r>
          </w:p>
        </w:tc>
        <w:tc>
          <w:tcPr>
            <w:tcW w:w="673" w:type="dxa"/>
            <w:tcBorders>
              <w:top w:val="single" w:sz="6" w:space="0" w:color="000000"/>
              <w:bottom w:val="single" w:sz="6" w:space="0" w:color="000000"/>
              <w:right w:val="single" w:sz="6" w:space="0" w:color="000000"/>
            </w:tcBorders>
            <w:shd w:val="clear" w:color="auto" w:fill="BEBEBE"/>
          </w:tcPr>
          <w:p w14:paraId="25A110E8" w14:textId="77777777" w:rsidR="00AC6F3C" w:rsidRDefault="00570E88">
            <w:pPr>
              <w:pStyle w:val="TableParagraph"/>
              <w:spacing w:before="62"/>
              <w:ind w:right="17"/>
              <w:jc w:val="right"/>
              <w:rPr>
                <w:b/>
                <w:sz w:val="17"/>
              </w:rPr>
            </w:pPr>
            <w:r>
              <w:rPr>
                <w:b/>
                <w:w w:val="105"/>
                <w:sz w:val="17"/>
              </w:rPr>
              <w:t>-</w:t>
            </w:r>
          </w:p>
        </w:tc>
      </w:tr>
    </w:tbl>
    <w:p w14:paraId="6BA82B86" w14:textId="77777777" w:rsidR="00AC6F3C" w:rsidRDefault="00AC6F3C">
      <w:pPr>
        <w:pStyle w:val="BodyText"/>
        <w:spacing w:before="3"/>
        <w:rPr>
          <w:sz w:val="22"/>
        </w:rPr>
      </w:pPr>
    </w:p>
    <w:p w14:paraId="2D9AB322" w14:textId="77777777" w:rsidR="00AC6F3C" w:rsidRDefault="00570E88">
      <w:pPr>
        <w:pStyle w:val="ListParagraph"/>
        <w:numPr>
          <w:ilvl w:val="0"/>
          <w:numId w:val="30"/>
        </w:numPr>
        <w:tabs>
          <w:tab w:val="left" w:pos="1678"/>
        </w:tabs>
        <w:spacing w:before="1"/>
        <w:rPr>
          <w:sz w:val="18"/>
        </w:rPr>
      </w:pPr>
      <w:r>
        <w:rPr>
          <w:sz w:val="18"/>
        </w:rPr>
        <w:t>Interest</w:t>
      </w:r>
      <w:r>
        <w:rPr>
          <w:spacing w:val="-5"/>
          <w:sz w:val="18"/>
        </w:rPr>
        <w:t xml:space="preserve"> </w:t>
      </w:r>
      <w:r>
        <w:rPr>
          <w:spacing w:val="-2"/>
          <w:sz w:val="18"/>
        </w:rPr>
        <w:t>expense</w:t>
      </w:r>
    </w:p>
    <w:p w14:paraId="22D6F825" w14:textId="77777777" w:rsidR="00AC6F3C" w:rsidRDefault="00AC6F3C">
      <w:pPr>
        <w:pStyle w:val="BodyText"/>
        <w:spacing w:before="6"/>
      </w:pPr>
    </w:p>
    <w:tbl>
      <w:tblPr>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39"/>
        <w:gridCol w:w="1137"/>
        <w:gridCol w:w="578"/>
        <w:gridCol w:w="529"/>
        <w:gridCol w:w="1137"/>
        <w:gridCol w:w="441"/>
        <w:gridCol w:w="673"/>
      </w:tblGrid>
      <w:tr w:rsidR="00AC6F3C" w14:paraId="6C9A2FC9" w14:textId="77777777">
        <w:trPr>
          <w:trHeight w:val="874"/>
        </w:trPr>
        <w:tc>
          <w:tcPr>
            <w:tcW w:w="3839" w:type="dxa"/>
            <w:tcBorders>
              <w:right w:val="nil"/>
            </w:tcBorders>
            <w:shd w:val="clear" w:color="auto" w:fill="BEBEBE"/>
          </w:tcPr>
          <w:p w14:paraId="2BFA6049" w14:textId="77777777" w:rsidR="00AC6F3C" w:rsidRDefault="00AC6F3C">
            <w:pPr>
              <w:pStyle w:val="TableParagraph"/>
              <w:rPr>
                <w:rFonts w:ascii="Times New Roman"/>
                <w:sz w:val="18"/>
              </w:rPr>
            </w:pPr>
          </w:p>
        </w:tc>
        <w:tc>
          <w:tcPr>
            <w:tcW w:w="1715" w:type="dxa"/>
            <w:gridSpan w:val="2"/>
            <w:tcBorders>
              <w:left w:val="nil"/>
              <w:right w:val="nil"/>
            </w:tcBorders>
            <w:shd w:val="clear" w:color="auto" w:fill="BEBEBE"/>
          </w:tcPr>
          <w:p w14:paraId="3F4C96E1" w14:textId="77777777" w:rsidR="00AC6F3C" w:rsidRDefault="00570E88">
            <w:pPr>
              <w:pStyle w:val="TableParagraph"/>
              <w:spacing w:before="33" w:line="381" w:lineRule="auto"/>
              <w:ind w:left="681" w:hanging="105"/>
              <w:rPr>
                <w:b/>
                <w:sz w:val="17"/>
              </w:rPr>
            </w:pPr>
            <w:r>
              <w:rPr>
                <w:b/>
                <w:spacing w:val="-4"/>
                <w:w w:val="105"/>
                <w:sz w:val="17"/>
              </w:rPr>
              <w:t>Consolidated 2023</w:t>
            </w:r>
          </w:p>
          <w:p w14:paraId="7844FEB7" w14:textId="77777777" w:rsidR="00AC6F3C" w:rsidRDefault="00570E88">
            <w:pPr>
              <w:pStyle w:val="TableParagraph"/>
              <w:spacing w:line="182" w:lineRule="exact"/>
              <w:ind w:left="636"/>
              <w:rPr>
                <w:b/>
                <w:sz w:val="17"/>
              </w:rPr>
            </w:pPr>
            <w:r>
              <w:rPr>
                <w:b/>
                <w:spacing w:val="-4"/>
                <w:w w:val="105"/>
                <w:sz w:val="17"/>
              </w:rPr>
              <w:t>$’000</w:t>
            </w:r>
          </w:p>
        </w:tc>
        <w:tc>
          <w:tcPr>
            <w:tcW w:w="529" w:type="dxa"/>
            <w:tcBorders>
              <w:left w:val="nil"/>
              <w:right w:val="nil"/>
            </w:tcBorders>
            <w:shd w:val="clear" w:color="auto" w:fill="BEBEBE"/>
          </w:tcPr>
          <w:p w14:paraId="09ECAF8A" w14:textId="77777777" w:rsidR="00AC6F3C" w:rsidRDefault="00AC6F3C">
            <w:pPr>
              <w:pStyle w:val="TableParagraph"/>
              <w:spacing w:before="10"/>
              <w:rPr>
                <w:sz w:val="29"/>
              </w:rPr>
            </w:pPr>
          </w:p>
          <w:p w14:paraId="5816FAC0" w14:textId="77777777" w:rsidR="00AC6F3C" w:rsidRDefault="00570E88">
            <w:pPr>
              <w:pStyle w:val="TableParagraph"/>
              <w:spacing w:before="1"/>
              <w:ind w:left="89"/>
              <w:rPr>
                <w:b/>
                <w:sz w:val="17"/>
              </w:rPr>
            </w:pPr>
            <w:r>
              <w:rPr>
                <w:b/>
                <w:spacing w:val="-4"/>
                <w:w w:val="105"/>
                <w:sz w:val="17"/>
              </w:rPr>
              <w:t>2022</w:t>
            </w:r>
          </w:p>
          <w:p w14:paraId="049E8BBE" w14:textId="77777777" w:rsidR="00AC6F3C" w:rsidRDefault="00570E88">
            <w:pPr>
              <w:pStyle w:val="TableParagraph"/>
              <w:spacing w:before="101"/>
              <w:ind w:left="44"/>
              <w:rPr>
                <w:b/>
                <w:sz w:val="17"/>
              </w:rPr>
            </w:pPr>
            <w:r>
              <w:rPr>
                <w:b/>
                <w:spacing w:val="-4"/>
                <w:w w:val="105"/>
                <w:sz w:val="17"/>
              </w:rPr>
              <w:t>$’000</w:t>
            </w:r>
          </w:p>
        </w:tc>
        <w:tc>
          <w:tcPr>
            <w:tcW w:w="1578" w:type="dxa"/>
            <w:gridSpan w:val="2"/>
            <w:tcBorders>
              <w:left w:val="nil"/>
              <w:right w:val="nil"/>
            </w:tcBorders>
            <w:shd w:val="clear" w:color="auto" w:fill="BEBEBE"/>
          </w:tcPr>
          <w:p w14:paraId="5163B264" w14:textId="77777777" w:rsidR="00AC6F3C" w:rsidRDefault="00570E88">
            <w:pPr>
              <w:pStyle w:val="TableParagraph"/>
              <w:spacing w:before="33" w:line="381" w:lineRule="auto"/>
              <w:ind w:left="682" w:firstLine="164"/>
              <w:rPr>
                <w:b/>
                <w:sz w:val="17"/>
              </w:rPr>
            </w:pPr>
            <w:r>
              <w:rPr>
                <w:b/>
                <w:spacing w:val="-2"/>
                <w:w w:val="105"/>
                <w:sz w:val="17"/>
              </w:rPr>
              <w:t xml:space="preserve">Parent </w:t>
            </w:r>
            <w:r>
              <w:rPr>
                <w:b/>
                <w:spacing w:val="-4"/>
                <w:w w:val="105"/>
                <w:sz w:val="17"/>
              </w:rPr>
              <w:t>2023</w:t>
            </w:r>
          </w:p>
          <w:p w14:paraId="78BF9345" w14:textId="77777777" w:rsidR="00AC6F3C" w:rsidRDefault="00570E88">
            <w:pPr>
              <w:pStyle w:val="TableParagraph"/>
              <w:spacing w:line="182" w:lineRule="exact"/>
              <w:ind w:left="637"/>
              <w:rPr>
                <w:b/>
                <w:sz w:val="17"/>
              </w:rPr>
            </w:pPr>
            <w:r>
              <w:rPr>
                <w:b/>
                <w:spacing w:val="-4"/>
                <w:w w:val="105"/>
                <w:sz w:val="17"/>
              </w:rPr>
              <w:t>$’000</w:t>
            </w:r>
          </w:p>
        </w:tc>
        <w:tc>
          <w:tcPr>
            <w:tcW w:w="673" w:type="dxa"/>
            <w:tcBorders>
              <w:left w:val="nil"/>
            </w:tcBorders>
            <w:shd w:val="clear" w:color="auto" w:fill="BEBEBE"/>
          </w:tcPr>
          <w:p w14:paraId="6881C250" w14:textId="77777777" w:rsidR="00AC6F3C" w:rsidRDefault="00AC6F3C">
            <w:pPr>
              <w:pStyle w:val="TableParagraph"/>
              <w:spacing w:before="10"/>
              <w:rPr>
                <w:sz w:val="29"/>
              </w:rPr>
            </w:pPr>
          </w:p>
          <w:p w14:paraId="550867D4" w14:textId="77777777" w:rsidR="00AC6F3C" w:rsidRDefault="00570E88">
            <w:pPr>
              <w:pStyle w:val="TableParagraph"/>
              <w:spacing w:before="1"/>
              <w:ind w:left="227"/>
              <w:rPr>
                <w:b/>
                <w:sz w:val="17"/>
              </w:rPr>
            </w:pPr>
            <w:r>
              <w:rPr>
                <w:b/>
                <w:spacing w:val="-4"/>
                <w:w w:val="105"/>
                <w:sz w:val="17"/>
              </w:rPr>
              <w:t>2022</w:t>
            </w:r>
          </w:p>
          <w:p w14:paraId="3E841804" w14:textId="77777777" w:rsidR="00AC6F3C" w:rsidRDefault="00570E88">
            <w:pPr>
              <w:pStyle w:val="TableParagraph"/>
              <w:spacing w:before="101"/>
              <w:ind w:left="182"/>
              <w:rPr>
                <w:b/>
                <w:sz w:val="17"/>
              </w:rPr>
            </w:pPr>
            <w:r>
              <w:rPr>
                <w:b/>
                <w:spacing w:val="-4"/>
                <w:w w:val="105"/>
                <w:sz w:val="17"/>
              </w:rPr>
              <w:t>$’000</w:t>
            </w:r>
          </w:p>
        </w:tc>
      </w:tr>
      <w:tr w:rsidR="00AC6F3C" w14:paraId="35703AC7" w14:textId="77777777">
        <w:trPr>
          <w:trHeight w:val="281"/>
        </w:trPr>
        <w:tc>
          <w:tcPr>
            <w:tcW w:w="3839" w:type="dxa"/>
            <w:tcBorders>
              <w:right w:val="nil"/>
            </w:tcBorders>
          </w:tcPr>
          <w:p w14:paraId="72282628" w14:textId="77777777" w:rsidR="00AC6F3C" w:rsidRDefault="00570E88">
            <w:pPr>
              <w:pStyle w:val="TableParagraph"/>
              <w:spacing w:before="62"/>
              <w:ind w:left="37"/>
              <w:rPr>
                <w:sz w:val="17"/>
              </w:rPr>
            </w:pPr>
            <w:r>
              <w:rPr>
                <w:w w:val="105"/>
                <w:sz w:val="17"/>
              </w:rPr>
              <w:t>Interest</w:t>
            </w:r>
            <w:r>
              <w:rPr>
                <w:spacing w:val="2"/>
                <w:w w:val="105"/>
                <w:sz w:val="17"/>
              </w:rPr>
              <w:t xml:space="preserve"> </w:t>
            </w:r>
            <w:r>
              <w:rPr>
                <w:w w:val="105"/>
                <w:sz w:val="17"/>
              </w:rPr>
              <w:t>expense</w:t>
            </w:r>
            <w:r>
              <w:rPr>
                <w:spacing w:val="16"/>
                <w:w w:val="105"/>
                <w:sz w:val="17"/>
              </w:rPr>
              <w:t xml:space="preserve"> </w:t>
            </w:r>
            <w:r>
              <w:rPr>
                <w:w w:val="105"/>
                <w:sz w:val="17"/>
              </w:rPr>
              <w:t>on</w:t>
            </w:r>
            <w:r>
              <w:rPr>
                <w:spacing w:val="16"/>
                <w:w w:val="105"/>
                <w:sz w:val="17"/>
              </w:rPr>
              <w:t xml:space="preserve"> </w:t>
            </w:r>
            <w:r>
              <w:rPr>
                <w:w w:val="105"/>
                <w:sz w:val="17"/>
              </w:rPr>
              <w:t>lease</w:t>
            </w:r>
            <w:r>
              <w:rPr>
                <w:spacing w:val="16"/>
                <w:w w:val="105"/>
                <w:sz w:val="17"/>
              </w:rPr>
              <w:t xml:space="preserve"> </w:t>
            </w:r>
            <w:r>
              <w:rPr>
                <w:spacing w:val="-2"/>
                <w:w w:val="105"/>
                <w:sz w:val="17"/>
              </w:rPr>
              <w:t>liabilities</w:t>
            </w:r>
          </w:p>
        </w:tc>
        <w:tc>
          <w:tcPr>
            <w:tcW w:w="1137" w:type="dxa"/>
            <w:tcBorders>
              <w:left w:val="nil"/>
              <w:right w:val="nil"/>
            </w:tcBorders>
            <w:shd w:val="clear" w:color="auto" w:fill="F1F1F1"/>
          </w:tcPr>
          <w:p w14:paraId="094CBB5B" w14:textId="77777777" w:rsidR="00AC6F3C" w:rsidRDefault="00570E88">
            <w:pPr>
              <w:pStyle w:val="TableParagraph"/>
              <w:spacing w:before="62"/>
              <w:ind w:right="34"/>
              <w:jc w:val="right"/>
              <w:rPr>
                <w:sz w:val="17"/>
              </w:rPr>
            </w:pPr>
            <w:r>
              <w:rPr>
                <w:spacing w:val="-5"/>
                <w:w w:val="105"/>
                <w:sz w:val="17"/>
              </w:rPr>
              <w:t>34</w:t>
            </w:r>
          </w:p>
        </w:tc>
        <w:tc>
          <w:tcPr>
            <w:tcW w:w="1107" w:type="dxa"/>
            <w:gridSpan w:val="2"/>
            <w:tcBorders>
              <w:left w:val="nil"/>
              <w:right w:val="nil"/>
            </w:tcBorders>
          </w:tcPr>
          <w:p w14:paraId="5FBC380C" w14:textId="77777777" w:rsidR="00AC6F3C" w:rsidRDefault="00570E88">
            <w:pPr>
              <w:pStyle w:val="TableParagraph"/>
              <w:spacing w:before="62"/>
              <w:ind w:right="19"/>
              <w:jc w:val="right"/>
              <w:rPr>
                <w:sz w:val="17"/>
              </w:rPr>
            </w:pPr>
            <w:r>
              <w:rPr>
                <w:spacing w:val="-5"/>
                <w:w w:val="105"/>
                <w:sz w:val="17"/>
              </w:rPr>
              <w:t>40</w:t>
            </w:r>
          </w:p>
        </w:tc>
        <w:tc>
          <w:tcPr>
            <w:tcW w:w="1137" w:type="dxa"/>
            <w:tcBorders>
              <w:left w:val="nil"/>
              <w:right w:val="nil"/>
            </w:tcBorders>
            <w:shd w:val="clear" w:color="auto" w:fill="F1F1F1"/>
          </w:tcPr>
          <w:p w14:paraId="52BF01B8" w14:textId="77777777" w:rsidR="00AC6F3C" w:rsidRDefault="00570E88">
            <w:pPr>
              <w:pStyle w:val="TableParagraph"/>
              <w:spacing w:before="62"/>
              <w:ind w:right="33"/>
              <w:jc w:val="right"/>
              <w:rPr>
                <w:sz w:val="17"/>
              </w:rPr>
            </w:pPr>
            <w:r>
              <w:rPr>
                <w:w w:val="105"/>
                <w:sz w:val="17"/>
              </w:rPr>
              <w:t>-</w:t>
            </w:r>
          </w:p>
        </w:tc>
        <w:tc>
          <w:tcPr>
            <w:tcW w:w="1114" w:type="dxa"/>
            <w:gridSpan w:val="2"/>
            <w:tcBorders>
              <w:left w:val="nil"/>
            </w:tcBorders>
          </w:tcPr>
          <w:p w14:paraId="04B1D620" w14:textId="77777777" w:rsidR="00AC6F3C" w:rsidRDefault="00570E88">
            <w:pPr>
              <w:pStyle w:val="TableParagraph"/>
              <w:spacing w:before="62"/>
              <w:ind w:right="17"/>
              <w:jc w:val="right"/>
              <w:rPr>
                <w:sz w:val="17"/>
              </w:rPr>
            </w:pPr>
            <w:r>
              <w:rPr>
                <w:w w:val="105"/>
                <w:sz w:val="17"/>
              </w:rPr>
              <w:t>-</w:t>
            </w:r>
          </w:p>
        </w:tc>
      </w:tr>
    </w:tbl>
    <w:p w14:paraId="2D8BC421" w14:textId="77777777" w:rsidR="00AC6F3C" w:rsidRDefault="00AC6F3C">
      <w:pPr>
        <w:pStyle w:val="BodyText"/>
        <w:spacing w:before="6"/>
        <w:rPr>
          <w:sz w:val="23"/>
        </w:rPr>
      </w:pPr>
    </w:p>
    <w:p w14:paraId="65EFE5AD" w14:textId="77777777" w:rsidR="00AC6F3C" w:rsidRDefault="00570E88">
      <w:pPr>
        <w:pStyle w:val="Heading6"/>
        <w:tabs>
          <w:tab w:val="left" w:pos="1810"/>
        </w:tabs>
        <w:spacing w:before="0"/>
      </w:pPr>
      <w:r>
        <w:rPr>
          <w:spacing w:val="-2"/>
        </w:rPr>
        <w:t>C9-</w:t>
      </w:r>
      <w:r>
        <w:rPr>
          <w:spacing w:val="-10"/>
        </w:rPr>
        <w:t>2</w:t>
      </w:r>
      <w:r>
        <w:tab/>
        <w:t>LEASES</w:t>
      </w:r>
      <w:r>
        <w:rPr>
          <w:spacing w:val="-1"/>
        </w:rPr>
        <w:t xml:space="preserve"> </w:t>
      </w:r>
      <w:r>
        <w:t xml:space="preserve">AS </w:t>
      </w:r>
      <w:r>
        <w:rPr>
          <w:spacing w:val="-2"/>
        </w:rPr>
        <w:t>LESSOR</w:t>
      </w:r>
    </w:p>
    <w:p w14:paraId="3F4B06D3" w14:textId="77777777" w:rsidR="00AC6F3C" w:rsidRDefault="00AC6F3C">
      <w:pPr>
        <w:pStyle w:val="BodyText"/>
        <w:spacing w:before="9"/>
        <w:rPr>
          <w:b/>
        </w:rPr>
      </w:pPr>
    </w:p>
    <w:p w14:paraId="3C51927C" w14:textId="77777777" w:rsidR="00AC6F3C" w:rsidRDefault="00570E88">
      <w:pPr>
        <w:ind w:left="958"/>
        <w:rPr>
          <w:b/>
          <w:sz w:val="18"/>
        </w:rPr>
      </w:pPr>
      <w:r>
        <w:rPr>
          <w:b/>
          <w:sz w:val="18"/>
        </w:rPr>
        <w:t>Accounting</w:t>
      </w:r>
      <w:r>
        <w:rPr>
          <w:b/>
          <w:spacing w:val="-2"/>
          <w:sz w:val="18"/>
        </w:rPr>
        <w:t xml:space="preserve"> </w:t>
      </w:r>
      <w:r>
        <w:rPr>
          <w:b/>
          <w:sz w:val="18"/>
        </w:rPr>
        <w:t>policies</w:t>
      </w:r>
      <w:r>
        <w:rPr>
          <w:b/>
          <w:spacing w:val="-4"/>
          <w:sz w:val="18"/>
        </w:rPr>
        <w:t xml:space="preserve"> </w:t>
      </w:r>
      <w:r>
        <w:rPr>
          <w:b/>
          <w:sz w:val="18"/>
        </w:rPr>
        <w:t>–</w:t>
      </w:r>
      <w:r>
        <w:rPr>
          <w:b/>
          <w:spacing w:val="-1"/>
          <w:sz w:val="18"/>
        </w:rPr>
        <w:t xml:space="preserve"> </w:t>
      </w:r>
      <w:r>
        <w:rPr>
          <w:b/>
          <w:sz w:val="18"/>
        </w:rPr>
        <w:t>Leases</w:t>
      </w:r>
      <w:r>
        <w:rPr>
          <w:b/>
          <w:spacing w:val="-1"/>
          <w:sz w:val="18"/>
        </w:rPr>
        <w:t xml:space="preserve"> </w:t>
      </w:r>
      <w:r>
        <w:rPr>
          <w:b/>
          <w:sz w:val="18"/>
        </w:rPr>
        <w:t xml:space="preserve">as </w:t>
      </w:r>
      <w:r>
        <w:rPr>
          <w:b/>
          <w:spacing w:val="-2"/>
          <w:sz w:val="18"/>
        </w:rPr>
        <w:t>lessor</w:t>
      </w:r>
    </w:p>
    <w:p w14:paraId="206D83FA" w14:textId="77777777" w:rsidR="00AC6F3C" w:rsidRDefault="00AC6F3C">
      <w:pPr>
        <w:pStyle w:val="BodyText"/>
        <w:spacing w:before="9"/>
        <w:rPr>
          <w:b/>
        </w:rPr>
      </w:pPr>
    </w:p>
    <w:p w14:paraId="246CDB00" w14:textId="77777777" w:rsidR="00AC6F3C" w:rsidRDefault="00570E88">
      <w:pPr>
        <w:ind w:left="958" w:right="632"/>
        <w:rPr>
          <w:sz w:val="18"/>
        </w:rPr>
      </w:pPr>
      <w:r>
        <w:rPr>
          <w:sz w:val="18"/>
        </w:rPr>
        <w:t>The</w:t>
      </w:r>
      <w:r>
        <w:rPr>
          <w:spacing w:val="-1"/>
          <w:sz w:val="18"/>
        </w:rPr>
        <w:t xml:space="preserve"> </w:t>
      </w:r>
      <w:r>
        <w:rPr>
          <w:sz w:val="18"/>
        </w:rPr>
        <w:t>Society</w:t>
      </w:r>
      <w:r>
        <w:rPr>
          <w:spacing w:val="-1"/>
          <w:sz w:val="18"/>
        </w:rPr>
        <w:t xml:space="preserve"> </w:t>
      </w:r>
      <w:proofErr w:type="spellStart"/>
      <w:r>
        <w:rPr>
          <w:sz w:val="18"/>
        </w:rPr>
        <w:t>recognises</w:t>
      </w:r>
      <w:proofErr w:type="spellEnd"/>
      <w:r>
        <w:rPr>
          <w:spacing w:val="-3"/>
          <w:sz w:val="18"/>
        </w:rPr>
        <w:t xml:space="preserve"> </w:t>
      </w:r>
      <w:r>
        <w:rPr>
          <w:sz w:val="18"/>
        </w:rPr>
        <w:t>lease</w:t>
      </w:r>
      <w:r>
        <w:rPr>
          <w:spacing w:val="-4"/>
          <w:sz w:val="18"/>
        </w:rPr>
        <w:t xml:space="preserve"> </w:t>
      </w:r>
      <w:r>
        <w:rPr>
          <w:sz w:val="18"/>
        </w:rPr>
        <w:t>payments</w:t>
      </w:r>
      <w:r>
        <w:rPr>
          <w:spacing w:val="-1"/>
          <w:sz w:val="18"/>
        </w:rPr>
        <w:t xml:space="preserve"> </w:t>
      </w:r>
      <w:r>
        <w:rPr>
          <w:sz w:val="18"/>
        </w:rPr>
        <w:t>from</w:t>
      </w:r>
      <w:r>
        <w:rPr>
          <w:spacing w:val="-1"/>
          <w:sz w:val="18"/>
        </w:rPr>
        <w:t xml:space="preserve"> </w:t>
      </w:r>
      <w:r>
        <w:rPr>
          <w:sz w:val="18"/>
        </w:rPr>
        <w:t>operating</w:t>
      </w:r>
      <w:r>
        <w:rPr>
          <w:spacing w:val="-4"/>
          <w:sz w:val="18"/>
        </w:rPr>
        <w:t xml:space="preserve"> </w:t>
      </w:r>
      <w:r>
        <w:rPr>
          <w:sz w:val="18"/>
        </w:rPr>
        <w:t>leases</w:t>
      </w:r>
      <w:r>
        <w:rPr>
          <w:spacing w:val="-1"/>
          <w:sz w:val="18"/>
        </w:rPr>
        <w:t xml:space="preserve"> </w:t>
      </w:r>
      <w:r>
        <w:rPr>
          <w:sz w:val="18"/>
        </w:rPr>
        <w:t>as</w:t>
      </w:r>
      <w:r>
        <w:rPr>
          <w:spacing w:val="-1"/>
          <w:sz w:val="18"/>
        </w:rPr>
        <w:t xml:space="preserve"> </w:t>
      </w:r>
      <w:r>
        <w:rPr>
          <w:sz w:val="18"/>
        </w:rPr>
        <w:t>income</w:t>
      </w:r>
      <w:r>
        <w:rPr>
          <w:spacing w:val="-4"/>
          <w:sz w:val="18"/>
        </w:rPr>
        <w:t xml:space="preserve"> </w:t>
      </w:r>
      <w:r>
        <w:rPr>
          <w:sz w:val="18"/>
        </w:rPr>
        <w:t>on</w:t>
      </w:r>
      <w:r>
        <w:rPr>
          <w:spacing w:val="-1"/>
          <w:sz w:val="18"/>
        </w:rPr>
        <w:t xml:space="preserve"> </w:t>
      </w:r>
      <w:r>
        <w:rPr>
          <w:sz w:val="18"/>
        </w:rPr>
        <w:t>a</w:t>
      </w:r>
      <w:r>
        <w:rPr>
          <w:spacing w:val="-4"/>
          <w:sz w:val="18"/>
        </w:rPr>
        <w:t xml:space="preserve"> </w:t>
      </w:r>
      <w:r>
        <w:rPr>
          <w:sz w:val="18"/>
        </w:rPr>
        <w:t>straight-line</w:t>
      </w:r>
      <w:r>
        <w:rPr>
          <w:spacing w:val="-4"/>
          <w:sz w:val="18"/>
        </w:rPr>
        <w:t xml:space="preserve"> </w:t>
      </w:r>
      <w:r>
        <w:rPr>
          <w:sz w:val="18"/>
        </w:rPr>
        <w:t>basis</w:t>
      </w:r>
      <w:r>
        <w:rPr>
          <w:spacing w:val="-3"/>
          <w:sz w:val="18"/>
        </w:rPr>
        <w:t xml:space="preserve"> </w:t>
      </w:r>
      <w:r>
        <w:rPr>
          <w:sz w:val="18"/>
        </w:rPr>
        <w:t>over</w:t>
      </w:r>
      <w:r>
        <w:rPr>
          <w:spacing w:val="-4"/>
          <w:sz w:val="18"/>
        </w:rPr>
        <w:t xml:space="preserve"> </w:t>
      </w:r>
      <w:r>
        <w:rPr>
          <w:sz w:val="18"/>
        </w:rPr>
        <w:t>the lease term.</w:t>
      </w:r>
    </w:p>
    <w:p w14:paraId="7F1A45EB" w14:textId="77777777" w:rsidR="00AC6F3C" w:rsidRDefault="00AC6F3C">
      <w:pPr>
        <w:pStyle w:val="BodyText"/>
        <w:spacing w:before="9"/>
      </w:pPr>
    </w:p>
    <w:p w14:paraId="2DF94E0B" w14:textId="77777777" w:rsidR="00AC6F3C" w:rsidRDefault="00570E88">
      <w:pPr>
        <w:ind w:left="958"/>
        <w:rPr>
          <w:b/>
          <w:sz w:val="18"/>
        </w:rPr>
      </w:pPr>
      <w:r>
        <w:rPr>
          <w:b/>
          <w:sz w:val="18"/>
        </w:rPr>
        <w:t>Disclosures</w:t>
      </w:r>
      <w:r>
        <w:rPr>
          <w:b/>
          <w:spacing w:val="-2"/>
          <w:sz w:val="18"/>
        </w:rPr>
        <w:t xml:space="preserve"> </w:t>
      </w:r>
      <w:r>
        <w:rPr>
          <w:b/>
          <w:sz w:val="18"/>
        </w:rPr>
        <w:t>–</w:t>
      </w:r>
      <w:r>
        <w:rPr>
          <w:b/>
          <w:spacing w:val="-4"/>
          <w:sz w:val="18"/>
        </w:rPr>
        <w:t xml:space="preserve"> </w:t>
      </w:r>
      <w:r>
        <w:rPr>
          <w:b/>
          <w:sz w:val="18"/>
        </w:rPr>
        <w:t>Leases</w:t>
      </w:r>
      <w:r>
        <w:rPr>
          <w:b/>
          <w:spacing w:val="-1"/>
          <w:sz w:val="18"/>
        </w:rPr>
        <w:t xml:space="preserve"> </w:t>
      </w:r>
      <w:r>
        <w:rPr>
          <w:b/>
          <w:sz w:val="18"/>
        </w:rPr>
        <w:t>as</w:t>
      </w:r>
      <w:r>
        <w:rPr>
          <w:b/>
          <w:spacing w:val="-1"/>
          <w:sz w:val="18"/>
        </w:rPr>
        <w:t xml:space="preserve"> </w:t>
      </w:r>
      <w:r>
        <w:rPr>
          <w:b/>
          <w:spacing w:val="-2"/>
          <w:sz w:val="18"/>
        </w:rPr>
        <w:t>lessor</w:t>
      </w:r>
    </w:p>
    <w:p w14:paraId="5033D7A2" w14:textId="77777777" w:rsidR="00AC6F3C" w:rsidRDefault="00AC6F3C">
      <w:pPr>
        <w:pStyle w:val="BodyText"/>
        <w:rPr>
          <w:b/>
          <w:sz w:val="21"/>
        </w:rPr>
      </w:pPr>
    </w:p>
    <w:p w14:paraId="6FE4414F" w14:textId="77777777" w:rsidR="00AC6F3C" w:rsidRDefault="00570E88">
      <w:pPr>
        <w:pStyle w:val="ListParagraph"/>
        <w:numPr>
          <w:ilvl w:val="1"/>
          <w:numId w:val="30"/>
        </w:numPr>
        <w:tabs>
          <w:tab w:val="left" w:pos="1166"/>
        </w:tabs>
        <w:spacing w:before="0"/>
        <w:ind w:left="1166" w:hanging="208"/>
        <w:rPr>
          <w:i/>
          <w:sz w:val="18"/>
        </w:rPr>
      </w:pPr>
      <w:r>
        <w:rPr>
          <w:i/>
          <w:sz w:val="18"/>
        </w:rPr>
        <w:t>Details</w:t>
      </w:r>
      <w:r>
        <w:rPr>
          <w:i/>
          <w:spacing w:val="-4"/>
          <w:sz w:val="18"/>
        </w:rPr>
        <w:t xml:space="preserve"> </w:t>
      </w:r>
      <w:r>
        <w:rPr>
          <w:i/>
          <w:sz w:val="18"/>
        </w:rPr>
        <w:t>of</w:t>
      </w:r>
      <w:r>
        <w:rPr>
          <w:i/>
          <w:spacing w:val="-3"/>
          <w:sz w:val="18"/>
        </w:rPr>
        <w:t xml:space="preserve"> </w:t>
      </w:r>
      <w:r>
        <w:rPr>
          <w:i/>
          <w:sz w:val="18"/>
        </w:rPr>
        <w:t>leasing</w:t>
      </w:r>
      <w:r>
        <w:rPr>
          <w:i/>
          <w:spacing w:val="-4"/>
          <w:sz w:val="18"/>
        </w:rPr>
        <w:t xml:space="preserve"> </w:t>
      </w:r>
      <w:r>
        <w:rPr>
          <w:i/>
          <w:sz w:val="18"/>
        </w:rPr>
        <w:t>arrangements</w:t>
      </w:r>
      <w:r>
        <w:rPr>
          <w:i/>
          <w:spacing w:val="-4"/>
          <w:sz w:val="18"/>
        </w:rPr>
        <w:t xml:space="preserve"> </w:t>
      </w:r>
      <w:r>
        <w:rPr>
          <w:i/>
          <w:sz w:val="18"/>
        </w:rPr>
        <w:t>as</w:t>
      </w:r>
      <w:r>
        <w:rPr>
          <w:i/>
          <w:spacing w:val="-3"/>
          <w:sz w:val="18"/>
        </w:rPr>
        <w:t xml:space="preserve"> </w:t>
      </w:r>
      <w:r>
        <w:rPr>
          <w:i/>
          <w:spacing w:val="-2"/>
          <w:sz w:val="18"/>
        </w:rPr>
        <w:t>lessor</w:t>
      </w:r>
    </w:p>
    <w:p w14:paraId="22AA5D46" w14:textId="77777777" w:rsidR="00AC6F3C" w:rsidRDefault="00AC6F3C">
      <w:pPr>
        <w:pStyle w:val="BodyText"/>
        <w:spacing w:before="9"/>
        <w:rPr>
          <w:i/>
        </w:rPr>
      </w:pPr>
    </w:p>
    <w:p w14:paraId="7CC91DB8" w14:textId="77777777" w:rsidR="00AC6F3C" w:rsidRDefault="00570E88">
      <w:pPr>
        <w:spacing w:before="1"/>
        <w:ind w:left="958"/>
        <w:rPr>
          <w:sz w:val="18"/>
        </w:rPr>
      </w:pPr>
      <w:r>
        <w:rPr>
          <w:sz w:val="18"/>
        </w:rPr>
        <w:t>The</w:t>
      </w:r>
      <w:r>
        <w:rPr>
          <w:spacing w:val="-3"/>
          <w:sz w:val="18"/>
        </w:rPr>
        <w:t xml:space="preserve"> </w:t>
      </w:r>
      <w:r>
        <w:rPr>
          <w:sz w:val="18"/>
        </w:rPr>
        <w:t>Society</w:t>
      </w:r>
      <w:r>
        <w:rPr>
          <w:spacing w:val="-1"/>
          <w:sz w:val="18"/>
        </w:rPr>
        <w:t xml:space="preserve"> </w:t>
      </w:r>
      <w:r>
        <w:rPr>
          <w:sz w:val="18"/>
        </w:rPr>
        <w:t>leases</w:t>
      </w:r>
      <w:r>
        <w:rPr>
          <w:spacing w:val="-3"/>
          <w:sz w:val="18"/>
        </w:rPr>
        <w:t xml:space="preserve"> </w:t>
      </w:r>
      <w:r>
        <w:rPr>
          <w:sz w:val="18"/>
        </w:rPr>
        <w:t>office</w:t>
      </w:r>
      <w:r>
        <w:rPr>
          <w:spacing w:val="-3"/>
          <w:sz w:val="18"/>
        </w:rPr>
        <w:t xml:space="preserve"> </w:t>
      </w:r>
      <w:r>
        <w:rPr>
          <w:sz w:val="18"/>
        </w:rPr>
        <w:t>space</w:t>
      </w:r>
      <w:r>
        <w:rPr>
          <w:spacing w:val="-1"/>
          <w:sz w:val="18"/>
        </w:rPr>
        <w:t xml:space="preserve"> </w:t>
      </w:r>
      <w:r>
        <w:rPr>
          <w:sz w:val="18"/>
        </w:rPr>
        <w:t>under</w:t>
      </w:r>
      <w:r>
        <w:rPr>
          <w:spacing w:val="-2"/>
          <w:sz w:val="18"/>
        </w:rPr>
        <w:t xml:space="preserve"> </w:t>
      </w:r>
      <w:r>
        <w:rPr>
          <w:sz w:val="18"/>
        </w:rPr>
        <w:t>1 to</w:t>
      </w:r>
      <w:r>
        <w:rPr>
          <w:spacing w:val="-1"/>
          <w:sz w:val="18"/>
        </w:rPr>
        <w:t xml:space="preserve"> </w:t>
      </w:r>
      <w:r>
        <w:rPr>
          <w:sz w:val="18"/>
        </w:rPr>
        <w:t>5</w:t>
      </w:r>
      <w:r>
        <w:rPr>
          <w:spacing w:val="-4"/>
          <w:sz w:val="18"/>
        </w:rPr>
        <w:t xml:space="preserve"> </w:t>
      </w:r>
      <w:r>
        <w:rPr>
          <w:sz w:val="18"/>
        </w:rPr>
        <w:t>year</w:t>
      </w:r>
      <w:r>
        <w:rPr>
          <w:spacing w:val="-3"/>
          <w:sz w:val="18"/>
        </w:rPr>
        <w:t xml:space="preserve"> </w:t>
      </w:r>
      <w:r>
        <w:rPr>
          <w:sz w:val="18"/>
        </w:rPr>
        <w:t>operating</w:t>
      </w:r>
      <w:r>
        <w:rPr>
          <w:spacing w:val="-1"/>
          <w:sz w:val="18"/>
        </w:rPr>
        <w:t xml:space="preserve"> </w:t>
      </w:r>
      <w:r>
        <w:rPr>
          <w:sz w:val="18"/>
        </w:rPr>
        <w:t>lease</w:t>
      </w:r>
      <w:r>
        <w:rPr>
          <w:spacing w:val="-3"/>
          <w:sz w:val="18"/>
        </w:rPr>
        <w:t xml:space="preserve"> </w:t>
      </w:r>
      <w:r>
        <w:rPr>
          <w:spacing w:val="-2"/>
          <w:sz w:val="18"/>
        </w:rPr>
        <w:t>arrangements.</w:t>
      </w:r>
    </w:p>
    <w:p w14:paraId="4A860D23" w14:textId="77777777" w:rsidR="00AC6F3C" w:rsidRDefault="00AC6F3C">
      <w:pPr>
        <w:pStyle w:val="BodyText"/>
        <w:spacing w:before="9"/>
      </w:pPr>
    </w:p>
    <w:p w14:paraId="13B2C3C5" w14:textId="77777777" w:rsidR="00AC6F3C" w:rsidRDefault="00570E88">
      <w:pPr>
        <w:ind w:left="958" w:right="632"/>
        <w:rPr>
          <w:sz w:val="18"/>
        </w:rPr>
      </w:pPr>
      <w:r>
        <w:rPr>
          <w:sz w:val="18"/>
        </w:rPr>
        <w:t>Lease</w:t>
      </w:r>
      <w:r>
        <w:rPr>
          <w:spacing w:val="-1"/>
          <w:sz w:val="18"/>
        </w:rPr>
        <w:t xml:space="preserve"> </w:t>
      </w:r>
      <w:r>
        <w:rPr>
          <w:sz w:val="18"/>
        </w:rPr>
        <w:t>income</w:t>
      </w:r>
      <w:r>
        <w:rPr>
          <w:spacing w:val="-1"/>
          <w:sz w:val="18"/>
        </w:rPr>
        <w:t xml:space="preserve"> </w:t>
      </w:r>
      <w:r>
        <w:rPr>
          <w:sz w:val="18"/>
        </w:rPr>
        <w:t>from</w:t>
      </w:r>
      <w:r>
        <w:rPr>
          <w:spacing w:val="-3"/>
          <w:sz w:val="18"/>
        </w:rPr>
        <w:t xml:space="preserve"> </w:t>
      </w:r>
      <w:r>
        <w:rPr>
          <w:sz w:val="18"/>
        </w:rPr>
        <w:t>operating</w:t>
      </w:r>
      <w:r>
        <w:rPr>
          <w:spacing w:val="-1"/>
          <w:sz w:val="18"/>
        </w:rPr>
        <w:t xml:space="preserve"> </w:t>
      </w:r>
      <w:r>
        <w:rPr>
          <w:sz w:val="18"/>
        </w:rPr>
        <w:t>leases</w:t>
      </w:r>
      <w:r>
        <w:rPr>
          <w:spacing w:val="-1"/>
          <w:sz w:val="18"/>
        </w:rPr>
        <w:t xml:space="preserve"> </w:t>
      </w:r>
      <w:r>
        <w:rPr>
          <w:sz w:val="18"/>
        </w:rPr>
        <w:t>is</w:t>
      </w:r>
      <w:r>
        <w:rPr>
          <w:spacing w:val="-1"/>
          <w:sz w:val="18"/>
        </w:rPr>
        <w:t xml:space="preserve"> </w:t>
      </w:r>
      <w:r>
        <w:rPr>
          <w:sz w:val="18"/>
        </w:rPr>
        <w:t>reported</w:t>
      </w:r>
      <w:r>
        <w:rPr>
          <w:spacing w:val="-1"/>
          <w:sz w:val="18"/>
        </w:rPr>
        <w:t xml:space="preserve"> </w:t>
      </w:r>
      <w:r>
        <w:rPr>
          <w:sz w:val="18"/>
        </w:rPr>
        <w:t>as</w:t>
      </w:r>
      <w:r>
        <w:rPr>
          <w:spacing w:val="-1"/>
          <w:sz w:val="18"/>
        </w:rPr>
        <w:t xml:space="preserve"> </w:t>
      </w:r>
      <w:r>
        <w:rPr>
          <w:sz w:val="18"/>
        </w:rPr>
        <w:t>‘Rent’</w:t>
      </w:r>
      <w:r>
        <w:rPr>
          <w:spacing w:val="-1"/>
          <w:sz w:val="18"/>
        </w:rPr>
        <w:t xml:space="preserve"> </w:t>
      </w:r>
      <w:r>
        <w:rPr>
          <w:sz w:val="18"/>
        </w:rPr>
        <w:t>in</w:t>
      </w:r>
      <w:r>
        <w:rPr>
          <w:spacing w:val="-4"/>
          <w:sz w:val="18"/>
        </w:rPr>
        <w:t xml:space="preserve"> </w:t>
      </w:r>
      <w:r>
        <w:rPr>
          <w:sz w:val="18"/>
        </w:rPr>
        <w:t>Note</w:t>
      </w:r>
      <w:r>
        <w:rPr>
          <w:spacing w:val="-1"/>
          <w:sz w:val="18"/>
        </w:rPr>
        <w:t xml:space="preserve"> </w:t>
      </w:r>
      <w:r>
        <w:rPr>
          <w:sz w:val="18"/>
        </w:rPr>
        <w:t>B1-2.</w:t>
      </w:r>
      <w:r>
        <w:rPr>
          <w:spacing w:val="40"/>
          <w:sz w:val="18"/>
        </w:rPr>
        <w:t xml:space="preserve"> </w:t>
      </w:r>
      <w:r>
        <w:rPr>
          <w:sz w:val="18"/>
        </w:rPr>
        <w:t>No</w:t>
      </w:r>
      <w:r>
        <w:rPr>
          <w:spacing w:val="-1"/>
          <w:sz w:val="18"/>
        </w:rPr>
        <w:t xml:space="preserve"> </w:t>
      </w:r>
      <w:r>
        <w:rPr>
          <w:sz w:val="18"/>
        </w:rPr>
        <w:t>amounts</w:t>
      </w:r>
      <w:r>
        <w:rPr>
          <w:spacing w:val="-3"/>
          <w:sz w:val="18"/>
        </w:rPr>
        <w:t xml:space="preserve"> </w:t>
      </w:r>
      <w:r>
        <w:rPr>
          <w:sz w:val="18"/>
        </w:rPr>
        <w:t>were</w:t>
      </w:r>
      <w:r>
        <w:rPr>
          <w:spacing w:val="-4"/>
          <w:sz w:val="18"/>
        </w:rPr>
        <w:t xml:space="preserve"> </w:t>
      </w:r>
      <w:proofErr w:type="spellStart"/>
      <w:r>
        <w:rPr>
          <w:sz w:val="18"/>
        </w:rPr>
        <w:t>recognised</w:t>
      </w:r>
      <w:proofErr w:type="spellEnd"/>
      <w:r>
        <w:rPr>
          <w:spacing w:val="-4"/>
          <w:sz w:val="18"/>
        </w:rPr>
        <w:t xml:space="preserve"> </w:t>
      </w:r>
      <w:r>
        <w:rPr>
          <w:sz w:val="18"/>
        </w:rPr>
        <w:t>in respect of variable lease payments other than CPI-based or market rent reviews.</w:t>
      </w:r>
    </w:p>
    <w:p w14:paraId="4C0D1E0E" w14:textId="77777777" w:rsidR="00AC6F3C" w:rsidRDefault="00AC6F3C">
      <w:pPr>
        <w:pStyle w:val="BodyText"/>
        <w:spacing w:before="11"/>
      </w:pPr>
    </w:p>
    <w:p w14:paraId="2E46CF7C" w14:textId="77777777" w:rsidR="00AC6F3C" w:rsidRDefault="00570E88">
      <w:pPr>
        <w:ind w:left="958"/>
        <w:rPr>
          <w:sz w:val="18"/>
        </w:rPr>
      </w:pPr>
      <w:r>
        <w:rPr>
          <w:sz w:val="18"/>
        </w:rPr>
        <w:t>The</w:t>
      </w:r>
      <w:r>
        <w:rPr>
          <w:spacing w:val="-2"/>
          <w:sz w:val="18"/>
        </w:rPr>
        <w:t xml:space="preserve"> </w:t>
      </w:r>
      <w:r>
        <w:rPr>
          <w:sz w:val="18"/>
        </w:rPr>
        <w:t>Society</w:t>
      </w:r>
      <w:r>
        <w:rPr>
          <w:spacing w:val="-1"/>
          <w:sz w:val="18"/>
        </w:rPr>
        <w:t xml:space="preserve"> </w:t>
      </w:r>
      <w:r>
        <w:rPr>
          <w:sz w:val="18"/>
        </w:rPr>
        <w:t>does</w:t>
      </w:r>
      <w:r>
        <w:rPr>
          <w:spacing w:val="-2"/>
          <w:sz w:val="18"/>
        </w:rPr>
        <w:t xml:space="preserve"> </w:t>
      </w:r>
      <w:r>
        <w:rPr>
          <w:sz w:val="18"/>
        </w:rPr>
        <w:t>not</w:t>
      </w:r>
      <w:r>
        <w:rPr>
          <w:spacing w:val="-4"/>
          <w:sz w:val="18"/>
        </w:rPr>
        <w:t xml:space="preserve"> </w:t>
      </w:r>
      <w:r>
        <w:rPr>
          <w:sz w:val="18"/>
        </w:rPr>
        <w:t>have</w:t>
      </w:r>
      <w:r>
        <w:rPr>
          <w:spacing w:val="-1"/>
          <w:sz w:val="18"/>
        </w:rPr>
        <w:t xml:space="preserve"> </w:t>
      </w:r>
      <w:r>
        <w:rPr>
          <w:sz w:val="18"/>
        </w:rPr>
        <w:t>any</w:t>
      </w:r>
      <w:r>
        <w:rPr>
          <w:spacing w:val="-1"/>
          <w:sz w:val="18"/>
        </w:rPr>
        <w:t xml:space="preserve"> </w:t>
      </w:r>
      <w:r>
        <w:rPr>
          <w:sz w:val="18"/>
        </w:rPr>
        <w:t>finance</w:t>
      </w:r>
      <w:r>
        <w:rPr>
          <w:spacing w:val="-1"/>
          <w:sz w:val="18"/>
        </w:rPr>
        <w:t xml:space="preserve"> </w:t>
      </w:r>
      <w:r>
        <w:rPr>
          <w:spacing w:val="-2"/>
          <w:sz w:val="18"/>
        </w:rPr>
        <w:t>leases.</w:t>
      </w:r>
    </w:p>
    <w:p w14:paraId="6D929E10" w14:textId="77777777" w:rsidR="00AC6F3C" w:rsidRDefault="00AC6F3C">
      <w:pPr>
        <w:rPr>
          <w:sz w:val="18"/>
        </w:rPr>
        <w:sectPr w:rsidR="00AC6F3C">
          <w:pgSz w:w="11910" w:h="16840"/>
          <w:pgMar w:top="2020" w:right="1160" w:bottom="520" w:left="460" w:header="1228" w:footer="336" w:gutter="0"/>
          <w:cols w:space="720"/>
        </w:sectPr>
      </w:pPr>
    </w:p>
    <w:p w14:paraId="2CC6B9BC" w14:textId="77777777" w:rsidR="00AC6F3C" w:rsidRDefault="00AC6F3C">
      <w:pPr>
        <w:pStyle w:val="BodyText"/>
      </w:pPr>
    </w:p>
    <w:p w14:paraId="5ED026C1" w14:textId="77777777" w:rsidR="00AC6F3C" w:rsidRDefault="00570E88">
      <w:pPr>
        <w:tabs>
          <w:tab w:val="left" w:pos="1666"/>
        </w:tabs>
        <w:spacing w:before="249"/>
        <w:ind w:left="958"/>
        <w:rPr>
          <w:b/>
          <w:sz w:val="28"/>
        </w:rPr>
      </w:pPr>
      <w:r>
        <w:rPr>
          <w:b/>
          <w:spacing w:val="-5"/>
          <w:sz w:val="28"/>
        </w:rPr>
        <w:t>C9</w:t>
      </w:r>
      <w:r>
        <w:rPr>
          <w:b/>
          <w:sz w:val="28"/>
        </w:rPr>
        <w:tab/>
        <w:t>LEASES</w:t>
      </w:r>
      <w:r>
        <w:rPr>
          <w:b/>
          <w:spacing w:val="-4"/>
          <w:sz w:val="28"/>
        </w:rPr>
        <w:t xml:space="preserve"> </w:t>
      </w:r>
      <w:r>
        <w:rPr>
          <w:b/>
          <w:spacing w:val="-2"/>
          <w:sz w:val="28"/>
        </w:rPr>
        <w:t>(continued)</w:t>
      </w:r>
    </w:p>
    <w:p w14:paraId="726BA290" w14:textId="77777777" w:rsidR="00AC6F3C" w:rsidRDefault="00570E88">
      <w:pPr>
        <w:pStyle w:val="Heading7"/>
        <w:tabs>
          <w:tab w:val="left" w:pos="1810"/>
        </w:tabs>
      </w:pPr>
      <w:r>
        <w:rPr>
          <w:spacing w:val="-2"/>
        </w:rPr>
        <w:t>C9-</w:t>
      </w:r>
      <w:r>
        <w:rPr>
          <w:spacing w:val="-10"/>
        </w:rPr>
        <w:t>2</w:t>
      </w:r>
      <w:r>
        <w:tab/>
        <w:t>LEASES</w:t>
      </w:r>
      <w:r>
        <w:rPr>
          <w:spacing w:val="-2"/>
        </w:rPr>
        <w:t xml:space="preserve"> </w:t>
      </w:r>
      <w:r>
        <w:t>AS</w:t>
      </w:r>
      <w:r>
        <w:rPr>
          <w:spacing w:val="-1"/>
        </w:rPr>
        <w:t xml:space="preserve"> </w:t>
      </w:r>
      <w:r>
        <w:t>LESSOR</w:t>
      </w:r>
      <w:r>
        <w:rPr>
          <w:spacing w:val="-4"/>
        </w:rPr>
        <w:t xml:space="preserve"> </w:t>
      </w:r>
      <w:r>
        <w:rPr>
          <w:spacing w:val="-2"/>
        </w:rPr>
        <w:t>(continued)</w:t>
      </w:r>
    </w:p>
    <w:p w14:paraId="26485019" w14:textId="77777777" w:rsidR="00AC6F3C" w:rsidRDefault="00AC6F3C">
      <w:pPr>
        <w:pStyle w:val="BodyText"/>
        <w:spacing w:before="8"/>
        <w:rPr>
          <w:b/>
        </w:rPr>
      </w:pPr>
    </w:p>
    <w:p w14:paraId="3F358435" w14:textId="77777777" w:rsidR="00AC6F3C" w:rsidRDefault="00570E88">
      <w:pPr>
        <w:pStyle w:val="ListParagraph"/>
        <w:numPr>
          <w:ilvl w:val="1"/>
          <w:numId w:val="30"/>
        </w:numPr>
        <w:tabs>
          <w:tab w:val="left" w:pos="1207"/>
        </w:tabs>
        <w:spacing w:before="0"/>
        <w:ind w:left="1207" w:hanging="249"/>
        <w:rPr>
          <w:i/>
          <w:sz w:val="18"/>
        </w:rPr>
      </w:pPr>
      <w:r>
        <w:rPr>
          <w:i/>
          <w:sz w:val="18"/>
        </w:rPr>
        <w:t>Maturity</w:t>
      </w:r>
      <w:r>
        <w:rPr>
          <w:i/>
          <w:spacing w:val="-5"/>
          <w:sz w:val="18"/>
        </w:rPr>
        <w:t xml:space="preserve"> </w:t>
      </w:r>
      <w:r>
        <w:rPr>
          <w:i/>
          <w:spacing w:val="-2"/>
          <w:sz w:val="18"/>
        </w:rPr>
        <w:t>analysis</w:t>
      </w:r>
    </w:p>
    <w:p w14:paraId="031DB6C8" w14:textId="77777777" w:rsidR="00AC6F3C" w:rsidRDefault="00AC6F3C">
      <w:pPr>
        <w:pStyle w:val="BodyText"/>
        <w:spacing w:before="9"/>
        <w:rPr>
          <w:i/>
        </w:rPr>
      </w:pPr>
    </w:p>
    <w:p w14:paraId="25F9BBBF" w14:textId="77777777" w:rsidR="00AC6F3C" w:rsidRDefault="00570E88">
      <w:pPr>
        <w:spacing w:before="1"/>
        <w:ind w:left="958" w:right="990"/>
        <w:rPr>
          <w:sz w:val="18"/>
        </w:rPr>
      </w:pPr>
      <w:r>
        <w:rPr>
          <w:sz w:val="18"/>
        </w:rPr>
        <w:t>The</w:t>
      </w:r>
      <w:r>
        <w:rPr>
          <w:spacing w:val="-1"/>
          <w:sz w:val="18"/>
        </w:rPr>
        <w:t xml:space="preserve"> </w:t>
      </w:r>
      <w:r>
        <w:rPr>
          <w:sz w:val="18"/>
        </w:rPr>
        <w:t>following</w:t>
      </w:r>
      <w:r>
        <w:rPr>
          <w:spacing w:val="-1"/>
          <w:sz w:val="18"/>
        </w:rPr>
        <w:t xml:space="preserve"> </w:t>
      </w:r>
      <w:r>
        <w:rPr>
          <w:sz w:val="18"/>
        </w:rPr>
        <w:t>table</w:t>
      </w:r>
      <w:r>
        <w:rPr>
          <w:spacing w:val="-1"/>
          <w:sz w:val="18"/>
        </w:rPr>
        <w:t xml:space="preserve"> </w:t>
      </w:r>
      <w:r>
        <w:rPr>
          <w:sz w:val="18"/>
        </w:rPr>
        <w:t>sets</w:t>
      </w:r>
      <w:r>
        <w:rPr>
          <w:spacing w:val="-3"/>
          <w:sz w:val="18"/>
        </w:rPr>
        <w:t xml:space="preserve"> </w:t>
      </w:r>
      <w:r>
        <w:rPr>
          <w:sz w:val="18"/>
        </w:rPr>
        <w:t>out</w:t>
      </w:r>
      <w:r>
        <w:rPr>
          <w:spacing w:val="-4"/>
          <w:sz w:val="18"/>
        </w:rPr>
        <w:t xml:space="preserve"> </w:t>
      </w:r>
      <w:r>
        <w:rPr>
          <w:sz w:val="18"/>
        </w:rPr>
        <w:t>a</w:t>
      </w:r>
      <w:r>
        <w:rPr>
          <w:spacing w:val="-4"/>
          <w:sz w:val="18"/>
        </w:rPr>
        <w:t xml:space="preserve"> </w:t>
      </w:r>
      <w:r>
        <w:rPr>
          <w:sz w:val="18"/>
        </w:rPr>
        <w:t>maturity</w:t>
      </w:r>
      <w:r>
        <w:rPr>
          <w:spacing w:val="-3"/>
          <w:sz w:val="18"/>
        </w:rPr>
        <w:t xml:space="preserve"> </w:t>
      </w:r>
      <w:r>
        <w:rPr>
          <w:sz w:val="18"/>
        </w:rPr>
        <w:t>analysis</w:t>
      </w:r>
      <w:r>
        <w:rPr>
          <w:spacing w:val="-3"/>
          <w:sz w:val="18"/>
        </w:rPr>
        <w:t xml:space="preserve"> </w:t>
      </w:r>
      <w:r>
        <w:rPr>
          <w:sz w:val="18"/>
        </w:rPr>
        <w:t>of</w:t>
      </w:r>
      <w:r>
        <w:rPr>
          <w:spacing w:val="-2"/>
          <w:sz w:val="18"/>
        </w:rPr>
        <w:t xml:space="preserve"> </w:t>
      </w:r>
      <w:r>
        <w:rPr>
          <w:sz w:val="18"/>
        </w:rPr>
        <w:t>future</w:t>
      </w:r>
      <w:r>
        <w:rPr>
          <w:spacing w:val="-4"/>
          <w:sz w:val="18"/>
        </w:rPr>
        <w:t xml:space="preserve"> </w:t>
      </w:r>
      <w:r>
        <w:rPr>
          <w:sz w:val="18"/>
        </w:rPr>
        <w:t>undiscounted</w:t>
      </w:r>
      <w:r>
        <w:rPr>
          <w:spacing w:val="-1"/>
          <w:sz w:val="18"/>
        </w:rPr>
        <w:t xml:space="preserve"> </w:t>
      </w:r>
      <w:r>
        <w:rPr>
          <w:sz w:val="18"/>
        </w:rPr>
        <w:t>lease</w:t>
      </w:r>
      <w:r>
        <w:rPr>
          <w:spacing w:val="-4"/>
          <w:sz w:val="18"/>
        </w:rPr>
        <w:t xml:space="preserve"> </w:t>
      </w:r>
      <w:r>
        <w:rPr>
          <w:sz w:val="18"/>
        </w:rPr>
        <w:t>payments</w:t>
      </w:r>
      <w:r>
        <w:rPr>
          <w:spacing w:val="-3"/>
          <w:sz w:val="18"/>
        </w:rPr>
        <w:t xml:space="preserve"> </w:t>
      </w:r>
      <w:r>
        <w:rPr>
          <w:sz w:val="18"/>
        </w:rPr>
        <w:t>receivable</w:t>
      </w:r>
      <w:r>
        <w:rPr>
          <w:spacing w:val="-1"/>
          <w:sz w:val="18"/>
        </w:rPr>
        <w:t xml:space="preserve"> </w:t>
      </w:r>
      <w:r>
        <w:rPr>
          <w:sz w:val="18"/>
        </w:rPr>
        <w:t>under the Society’s operating leases.</w:t>
      </w:r>
    </w:p>
    <w:p w14:paraId="78A464DA" w14:textId="77777777" w:rsidR="00AC6F3C" w:rsidRDefault="00AC6F3C">
      <w:pPr>
        <w:pStyle w:val="BodyText"/>
        <w:spacing w:before="10" w:after="1"/>
      </w:pPr>
    </w:p>
    <w:tbl>
      <w:tblPr>
        <w:tblW w:w="0" w:type="auto"/>
        <w:tblInd w:w="972" w:type="dxa"/>
        <w:tblLayout w:type="fixed"/>
        <w:tblCellMar>
          <w:left w:w="0" w:type="dxa"/>
          <w:right w:w="0" w:type="dxa"/>
        </w:tblCellMar>
        <w:tblLook w:val="01E0" w:firstRow="1" w:lastRow="1" w:firstColumn="1" w:lastColumn="1" w:noHBand="0" w:noVBand="0"/>
      </w:tblPr>
      <w:tblGrid>
        <w:gridCol w:w="3839"/>
        <w:gridCol w:w="1137"/>
        <w:gridCol w:w="578"/>
        <w:gridCol w:w="529"/>
        <w:gridCol w:w="1137"/>
        <w:gridCol w:w="441"/>
        <w:gridCol w:w="673"/>
      </w:tblGrid>
      <w:tr w:rsidR="00AC6F3C" w14:paraId="639C1E90" w14:textId="77777777">
        <w:trPr>
          <w:trHeight w:val="873"/>
        </w:trPr>
        <w:tc>
          <w:tcPr>
            <w:tcW w:w="3839" w:type="dxa"/>
            <w:tcBorders>
              <w:top w:val="single" w:sz="6" w:space="0" w:color="000000"/>
              <w:left w:val="single" w:sz="6" w:space="0" w:color="000000"/>
              <w:bottom w:val="single" w:sz="6" w:space="0" w:color="000000"/>
            </w:tcBorders>
            <w:shd w:val="clear" w:color="auto" w:fill="BEBEBE"/>
          </w:tcPr>
          <w:p w14:paraId="55BE0790" w14:textId="77777777" w:rsidR="00AC6F3C" w:rsidRDefault="00AC6F3C">
            <w:pPr>
              <w:pStyle w:val="TableParagraph"/>
              <w:rPr>
                <w:rFonts w:ascii="Times New Roman"/>
                <w:sz w:val="18"/>
              </w:rPr>
            </w:pPr>
          </w:p>
        </w:tc>
        <w:tc>
          <w:tcPr>
            <w:tcW w:w="1715" w:type="dxa"/>
            <w:gridSpan w:val="2"/>
            <w:tcBorders>
              <w:top w:val="single" w:sz="6" w:space="0" w:color="000000"/>
              <w:bottom w:val="single" w:sz="6" w:space="0" w:color="000000"/>
            </w:tcBorders>
            <w:shd w:val="clear" w:color="auto" w:fill="BEBEBE"/>
          </w:tcPr>
          <w:p w14:paraId="76350FA1" w14:textId="77777777" w:rsidR="00AC6F3C" w:rsidRDefault="00570E88">
            <w:pPr>
              <w:pStyle w:val="TableParagraph"/>
              <w:spacing w:before="33" w:line="381" w:lineRule="auto"/>
              <w:ind w:left="681" w:hanging="105"/>
              <w:rPr>
                <w:b/>
                <w:sz w:val="17"/>
              </w:rPr>
            </w:pPr>
            <w:r>
              <w:rPr>
                <w:b/>
                <w:spacing w:val="-4"/>
                <w:w w:val="105"/>
                <w:sz w:val="17"/>
              </w:rPr>
              <w:t>Consolidated 2023</w:t>
            </w:r>
          </w:p>
          <w:p w14:paraId="6CA5780A" w14:textId="77777777" w:rsidR="00AC6F3C" w:rsidRDefault="00570E88">
            <w:pPr>
              <w:pStyle w:val="TableParagraph"/>
              <w:spacing w:line="181" w:lineRule="exact"/>
              <w:ind w:left="636"/>
              <w:rPr>
                <w:b/>
                <w:sz w:val="17"/>
              </w:rPr>
            </w:pPr>
            <w:r>
              <w:rPr>
                <w:b/>
                <w:spacing w:val="-4"/>
                <w:w w:val="105"/>
                <w:sz w:val="17"/>
              </w:rPr>
              <w:t>$’000</w:t>
            </w:r>
          </w:p>
        </w:tc>
        <w:tc>
          <w:tcPr>
            <w:tcW w:w="529" w:type="dxa"/>
            <w:tcBorders>
              <w:top w:val="single" w:sz="6" w:space="0" w:color="000000"/>
              <w:bottom w:val="single" w:sz="6" w:space="0" w:color="000000"/>
            </w:tcBorders>
            <w:shd w:val="clear" w:color="auto" w:fill="BEBEBE"/>
          </w:tcPr>
          <w:p w14:paraId="22FB0ED9" w14:textId="77777777" w:rsidR="00AC6F3C" w:rsidRDefault="00AC6F3C">
            <w:pPr>
              <w:pStyle w:val="TableParagraph"/>
              <w:spacing w:before="10"/>
              <w:rPr>
                <w:sz w:val="29"/>
              </w:rPr>
            </w:pPr>
          </w:p>
          <w:p w14:paraId="14754E03" w14:textId="77777777" w:rsidR="00AC6F3C" w:rsidRDefault="00570E88">
            <w:pPr>
              <w:pStyle w:val="TableParagraph"/>
              <w:ind w:left="89"/>
              <w:rPr>
                <w:b/>
                <w:sz w:val="17"/>
              </w:rPr>
            </w:pPr>
            <w:r>
              <w:rPr>
                <w:b/>
                <w:spacing w:val="-4"/>
                <w:w w:val="105"/>
                <w:sz w:val="17"/>
              </w:rPr>
              <w:t>2022</w:t>
            </w:r>
          </w:p>
          <w:p w14:paraId="733E7EE3" w14:textId="77777777" w:rsidR="00AC6F3C" w:rsidRDefault="00570E88">
            <w:pPr>
              <w:pStyle w:val="TableParagraph"/>
              <w:spacing w:before="101"/>
              <w:ind w:left="44"/>
              <w:rPr>
                <w:b/>
                <w:sz w:val="17"/>
              </w:rPr>
            </w:pPr>
            <w:r>
              <w:rPr>
                <w:b/>
                <w:spacing w:val="-4"/>
                <w:w w:val="105"/>
                <w:sz w:val="17"/>
              </w:rPr>
              <w:t>$’000</w:t>
            </w:r>
          </w:p>
        </w:tc>
        <w:tc>
          <w:tcPr>
            <w:tcW w:w="1578" w:type="dxa"/>
            <w:gridSpan w:val="2"/>
            <w:tcBorders>
              <w:top w:val="single" w:sz="6" w:space="0" w:color="000000"/>
              <w:bottom w:val="single" w:sz="6" w:space="0" w:color="000000"/>
            </w:tcBorders>
            <w:shd w:val="clear" w:color="auto" w:fill="BEBEBE"/>
          </w:tcPr>
          <w:p w14:paraId="3F96B457" w14:textId="77777777" w:rsidR="00AC6F3C" w:rsidRDefault="00570E88">
            <w:pPr>
              <w:pStyle w:val="TableParagraph"/>
              <w:spacing w:before="33" w:line="381" w:lineRule="auto"/>
              <w:ind w:left="682" w:firstLine="164"/>
              <w:rPr>
                <w:b/>
                <w:sz w:val="17"/>
              </w:rPr>
            </w:pPr>
            <w:r>
              <w:rPr>
                <w:b/>
                <w:spacing w:val="-2"/>
                <w:w w:val="105"/>
                <w:sz w:val="17"/>
              </w:rPr>
              <w:t xml:space="preserve">Parent </w:t>
            </w:r>
            <w:r>
              <w:rPr>
                <w:b/>
                <w:spacing w:val="-4"/>
                <w:w w:val="105"/>
                <w:sz w:val="17"/>
              </w:rPr>
              <w:t>2023</w:t>
            </w:r>
          </w:p>
          <w:p w14:paraId="13913A69" w14:textId="77777777" w:rsidR="00AC6F3C" w:rsidRDefault="00570E88">
            <w:pPr>
              <w:pStyle w:val="TableParagraph"/>
              <w:spacing w:line="181" w:lineRule="exact"/>
              <w:ind w:left="637"/>
              <w:rPr>
                <w:b/>
                <w:sz w:val="17"/>
              </w:rPr>
            </w:pPr>
            <w:r>
              <w:rPr>
                <w:b/>
                <w:spacing w:val="-4"/>
                <w:w w:val="105"/>
                <w:sz w:val="17"/>
              </w:rPr>
              <w:t>$’000</w:t>
            </w:r>
          </w:p>
        </w:tc>
        <w:tc>
          <w:tcPr>
            <w:tcW w:w="673" w:type="dxa"/>
            <w:tcBorders>
              <w:top w:val="single" w:sz="6" w:space="0" w:color="000000"/>
              <w:bottom w:val="single" w:sz="6" w:space="0" w:color="000000"/>
              <w:right w:val="single" w:sz="6" w:space="0" w:color="000000"/>
            </w:tcBorders>
            <w:shd w:val="clear" w:color="auto" w:fill="BEBEBE"/>
          </w:tcPr>
          <w:p w14:paraId="457A8897" w14:textId="77777777" w:rsidR="00AC6F3C" w:rsidRDefault="00AC6F3C">
            <w:pPr>
              <w:pStyle w:val="TableParagraph"/>
              <w:spacing w:before="10"/>
              <w:rPr>
                <w:sz w:val="29"/>
              </w:rPr>
            </w:pPr>
          </w:p>
          <w:p w14:paraId="08D6D669" w14:textId="77777777" w:rsidR="00AC6F3C" w:rsidRDefault="00570E88">
            <w:pPr>
              <w:pStyle w:val="TableParagraph"/>
              <w:ind w:left="227"/>
              <w:rPr>
                <w:b/>
                <w:sz w:val="17"/>
              </w:rPr>
            </w:pPr>
            <w:r>
              <w:rPr>
                <w:b/>
                <w:spacing w:val="-4"/>
                <w:w w:val="105"/>
                <w:sz w:val="17"/>
              </w:rPr>
              <w:t>2022</w:t>
            </w:r>
          </w:p>
          <w:p w14:paraId="34EC2D8C" w14:textId="77777777" w:rsidR="00AC6F3C" w:rsidRDefault="00570E88">
            <w:pPr>
              <w:pStyle w:val="TableParagraph"/>
              <w:spacing w:before="101"/>
              <w:ind w:left="182"/>
              <w:rPr>
                <w:b/>
                <w:sz w:val="17"/>
              </w:rPr>
            </w:pPr>
            <w:r>
              <w:rPr>
                <w:b/>
                <w:spacing w:val="-4"/>
                <w:w w:val="105"/>
                <w:sz w:val="17"/>
              </w:rPr>
              <w:t>$’000</w:t>
            </w:r>
          </w:p>
        </w:tc>
      </w:tr>
      <w:tr w:rsidR="00AC6F3C" w14:paraId="006709A0" w14:textId="77777777">
        <w:trPr>
          <w:trHeight w:val="323"/>
        </w:trPr>
        <w:tc>
          <w:tcPr>
            <w:tcW w:w="3839" w:type="dxa"/>
            <w:tcBorders>
              <w:top w:val="single" w:sz="6" w:space="0" w:color="000000"/>
              <w:left w:val="single" w:sz="6" w:space="0" w:color="000000"/>
            </w:tcBorders>
          </w:tcPr>
          <w:p w14:paraId="774D57D2" w14:textId="77777777" w:rsidR="00AC6F3C" w:rsidRDefault="00570E88">
            <w:pPr>
              <w:pStyle w:val="TableParagraph"/>
              <w:spacing w:before="77"/>
              <w:ind w:left="37"/>
              <w:rPr>
                <w:sz w:val="17"/>
              </w:rPr>
            </w:pPr>
            <w:r>
              <w:rPr>
                <w:w w:val="105"/>
                <w:sz w:val="17"/>
              </w:rPr>
              <w:t>Less</w:t>
            </w:r>
            <w:r>
              <w:rPr>
                <w:spacing w:val="19"/>
                <w:w w:val="105"/>
                <w:sz w:val="17"/>
              </w:rPr>
              <w:t xml:space="preserve"> </w:t>
            </w:r>
            <w:r>
              <w:rPr>
                <w:w w:val="105"/>
                <w:sz w:val="17"/>
              </w:rPr>
              <w:t>than</w:t>
            </w:r>
            <w:r>
              <w:rPr>
                <w:spacing w:val="7"/>
                <w:w w:val="105"/>
                <w:sz w:val="17"/>
              </w:rPr>
              <w:t xml:space="preserve"> </w:t>
            </w:r>
            <w:r>
              <w:rPr>
                <w:w w:val="105"/>
                <w:sz w:val="17"/>
              </w:rPr>
              <w:t>1</w:t>
            </w:r>
            <w:r>
              <w:rPr>
                <w:spacing w:val="7"/>
                <w:w w:val="105"/>
                <w:sz w:val="17"/>
              </w:rPr>
              <w:t xml:space="preserve"> </w:t>
            </w:r>
            <w:r>
              <w:rPr>
                <w:spacing w:val="-4"/>
                <w:w w:val="105"/>
                <w:sz w:val="17"/>
              </w:rPr>
              <w:t>year</w:t>
            </w:r>
          </w:p>
        </w:tc>
        <w:tc>
          <w:tcPr>
            <w:tcW w:w="1137" w:type="dxa"/>
            <w:tcBorders>
              <w:top w:val="single" w:sz="6" w:space="0" w:color="000000"/>
            </w:tcBorders>
            <w:shd w:val="clear" w:color="auto" w:fill="F1F1F1"/>
          </w:tcPr>
          <w:p w14:paraId="6D2F0780" w14:textId="77777777" w:rsidR="00AC6F3C" w:rsidRDefault="00570E88">
            <w:pPr>
              <w:pStyle w:val="TableParagraph"/>
              <w:spacing w:before="77"/>
              <w:ind w:right="34"/>
              <w:jc w:val="right"/>
              <w:rPr>
                <w:sz w:val="17"/>
              </w:rPr>
            </w:pPr>
            <w:r>
              <w:rPr>
                <w:spacing w:val="-5"/>
                <w:w w:val="105"/>
                <w:sz w:val="17"/>
              </w:rPr>
              <w:t>25</w:t>
            </w:r>
          </w:p>
        </w:tc>
        <w:tc>
          <w:tcPr>
            <w:tcW w:w="1107" w:type="dxa"/>
            <w:gridSpan w:val="2"/>
            <w:tcBorders>
              <w:top w:val="single" w:sz="6" w:space="0" w:color="000000"/>
            </w:tcBorders>
          </w:tcPr>
          <w:p w14:paraId="403FAF36" w14:textId="77777777" w:rsidR="00AC6F3C" w:rsidRDefault="00570E88">
            <w:pPr>
              <w:pStyle w:val="TableParagraph"/>
              <w:spacing w:before="77"/>
              <w:ind w:right="19"/>
              <w:jc w:val="right"/>
              <w:rPr>
                <w:sz w:val="17"/>
              </w:rPr>
            </w:pPr>
            <w:r>
              <w:rPr>
                <w:spacing w:val="-5"/>
                <w:w w:val="105"/>
                <w:sz w:val="17"/>
              </w:rPr>
              <w:t>40</w:t>
            </w:r>
          </w:p>
        </w:tc>
        <w:tc>
          <w:tcPr>
            <w:tcW w:w="1137" w:type="dxa"/>
            <w:tcBorders>
              <w:top w:val="single" w:sz="6" w:space="0" w:color="000000"/>
            </w:tcBorders>
            <w:shd w:val="clear" w:color="auto" w:fill="F1F1F1"/>
          </w:tcPr>
          <w:p w14:paraId="6631923E" w14:textId="77777777" w:rsidR="00AC6F3C" w:rsidRDefault="00570E88">
            <w:pPr>
              <w:pStyle w:val="TableParagraph"/>
              <w:spacing w:before="77"/>
              <w:ind w:right="33"/>
              <w:jc w:val="right"/>
              <w:rPr>
                <w:sz w:val="17"/>
              </w:rPr>
            </w:pPr>
            <w:r>
              <w:rPr>
                <w:spacing w:val="-5"/>
                <w:w w:val="105"/>
                <w:sz w:val="17"/>
              </w:rPr>
              <w:t>25</w:t>
            </w:r>
          </w:p>
        </w:tc>
        <w:tc>
          <w:tcPr>
            <w:tcW w:w="1114" w:type="dxa"/>
            <w:gridSpan w:val="2"/>
            <w:tcBorders>
              <w:top w:val="single" w:sz="6" w:space="0" w:color="000000"/>
              <w:right w:val="single" w:sz="6" w:space="0" w:color="000000"/>
            </w:tcBorders>
          </w:tcPr>
          <w:p w14:paraId="16C43662" w14:textId="77777777" w:rsidR="00AC6F3C" w:rsidRDefault="00570E88">
            <w:pPr>
              <w:pStyle w:val="TableParagraph"/>
              <w:spacing w:before="77"/>
              <w:ind w:right="17"/>
              <w:jc w:val="right"/>
              <w:rPr>
                <w:sz w:val="17"/>
              </w:rPr>
            </w:pPr>
            <w:r>
              <w:rPr>
                <w:spacing w:val="-5"/>
                <w:w w:val="105"/>
                <w:sz w:val="17"/>
              </w:rPr>
              <w:t>40</w:t>
            </w:r>
          </w:p>
        </w:tc>
      </w:tr>
      <w:tr w:rsidR="00AC6F3C" w14:paraId="1168FDCA" w14:textId="77777777">
        <w:trPr>
          <w:trHeight w:val="254"/>
        </w:trPr>
        <w:tc>
          <w:tcPr>
            <w:tcW w:w="3839" w:type="dxa"/>
            <w:tcBorders>
              <w:left w:val="single" w:sz="6" w:space="0" w:color="000000"/>
              <w:bottom w:val="single" w:sz="6" w:space="0" w:color="000000"/>
            </w:tcBorders>
          </w:tcPr>
          <w:p w14:paraId="0BE8DF33" w14:textId="77777777" w:rsidR="00AC6F3C" w:rsidRDefault="00570E88">
            <w:pPr>
              <w:pStyle w:val="TableParagraph"/>
              <w:spacing w:before="50" w:line="184" w:lineRule="exact"/>
              <w:ind w:left="37"/>
              <w:rPr>
                <w:sz w:val="17"/>
              </w:rPr>
            </w:pPr>
            <w:r>
              <w:rPr>
                <w:w w:val="105"/>
                <w:sz w:val="17"/>
              </w:rPr>
              <w:t>1</w:t>
            </w:r>
            <w:r>
              <w:rPr>
                <w:spacing w:val="-3"/>
                <w:w w:val="105"/>
                <w:sz w:val="17"/>
              </w:rPr>
              <w:t xml:space="preserve"> </w:t>
            </w:r>
            <w:r>
              <w:rPr>
                <w:w w:val="105"/>
                <w:sz w:val="17"/>
              </w:rPr>
              <w:t>to</w:t>
            </w:r>
            <w:r>
              <w:rPr>
                <w:spacing w:val="-2"/>
                <w:w w:val="105"/>
                <w:sz w:val="17"/>
              </w:rPr>
              <w:t xml:space="preserve"> </w:t>
            </w:r>
            <w:r>
              <w:rPr>
                <w:w w:val="105"/>
                <w:sz w:val="17"/>
              </w:rPr>
              <w:t>5</w:t>
            </w:r>
            <w:r>
              <w:rPr>
                <w:spacing w:val="-2"/>
                <w:w w:val="105"/>
                <w:sz w:val="17"/>
              </w:rPr>
              <w:t xml:space="preserve"> years</w:t>
            </w:r>
          </w:p>
        </w:tc>
        <w:tc>
          <w:tcPr>
            <w:tcW w:w="1137" w:type="dxa"/>
            <w:tcBorders>
              <w:bottom w:val="single" w:sz="6" w:space="0" w:color="000000"/>
            </w:tcBorders>
            <w:shd w:val="clear" w:color="auto" w:fill="F1F1F1"/>
          </w:tcPr>
          <w:p w14:paraId="7FC7511C" w14:textId="77777777" w:rsidR="00AC6F3C" w:rsidRDefault="00570E88">
            <w:pPr>
              <w:pStyle w:val="TableParagraph"/>
              <w:spacing w:before="50" w:line="184" w:lineRule="exact"/>
              <w:ind w:right="34"/>
              <w:jc w:val="right"/>
              <w:rPr>
                <w:sz w:val="17"/>
              </w:rPr>
            </w:pPr>
            <w:r>
              <w:rPr>
                <w:w w:val="105"/>
                <w:sz w:val="17"/>
              </w:rPr>
              <w:t>-</w:t>
            </w:r>
          </w:p>
        </w:tc>
        <w:tc>
          <w:tcPr>
            <w:tcW w:w="1107" w:type="dxa"/>
            <w:gridSpan w:val="2"/>
            <w:tcBorders>
              <w:bottom w:val="single" w:sz="6" w:space="0" w:color="000000"/>
            </w:tcBorders>
          </w:tcPr>
          <w:p w14:paraId="1C7FA67C" w14:textId="77777777" w:rsidR="00AC6F3C" w:rsidRDefault="00570E88">
            <w:pPr>
              <w:pStyle w:val="TableParagraph"/>
              <w:spacing w:before="50" w:line="184" w:lineRule="exact"/>
              <w:ind w:right="18"/>
              <w:jc w:val="right"/>
              <w:rPr>
                <w:sz w:val="17"/>
              </w:rPr>
            </w:pPr>
            <w:r>
              <w:rPr>
                <w:w w:val="105"/>
                <w:sz w:val="17"/>
              </w:rPr>
              <w:t>-</w:t>
            </w:r>
          </w:p>
        </w:tc>
        <w:tc>
          <w:tcPr>
            <w:tcW w:w="1137" w:type="dxa"/>
            <w:tcBorders>
              <w:bottom w:val="single" w:sz="6" w:space="0" w:color="000000"/>
            </w:tcBorders>
            <w:shd w:val="clear" w:color="auto" w:fill="F1F1F1"/>
          </w:tcPr>
          <w:p w14:paraId="6822AF66" w14:textId="77777777" w:rsidR="00AC6F3C" w:rsidRDefault="00570E88">
            <w:pPr>
              <w:pStyle w:val="TableParagraph"/>
              <w:spacing w:before="50" w:line="184" w:lineRule="exact"/>
              <w:ind w:right="33"/>
              <w:jc w:val="right"/>
              <w:rPr>
                <w:sz w:val="17"/>
              </w:rPr>
            </w:pPr>
            <w:r>
              <w:rPr>
                <w:w w:val="105"/>
                <w:sz w:val="17"/>
              </w:rPr>
              <w:t>-</w:t>
            </w:r>
          </w:p>
        </w:tc>
        <w:tc>
          <w:tcPr>
            <w:tcW w:w="1114" w:type="dxa"/>
            <w:gridSpan w:val="2"/>
            <w:tcBorders>
              <w:bottom w:val="single" w:sz="6" w:space="0" w:color="000000"/>
              <w:right w:val="single" w:sz="6" w:space="0" w:color="000000"/>
            </w:tcBorders>
          </w:tcPr>
          <w:p w14:paraId="15AFB96B" w14:textId="77777777" w:rsidR="00AC6F3C" w:rsidRDefault="00570E88">
            <w:pPr>
              <w:pStyle w:val="TableParagraph"/>
              <w:spacing w:before="50" w:line="184" w:lineRule="exact"/>
              <w:ind w:right="17"/>
              <w:jc w:val="right"/>
              <w:rPr>
                <w:sz w:val="17"/>
              </w:rPr>
            </w:pPr>
            <w:r>
              <w:rPr>
                <w:w w:val="105"/>
                <w:sz w:val="17"/>
              </w:rPr>
              <w:t>-</w:t>
            </w:r>
          </w:p>
        </w:tc>
      </w:tr>
      <w:tr w:rsidR="00AC6F3C" w14:paraId="41DC8394" w14:textId="77777777">
        <w:trPr>
          <w:trHeight w:val="281"/>
        </w:trPr>
        <w:tc>
          <w:tcPr>
            <w:tcW w:w="3839" w:type="dxa"/>
            <w:tcBorders>
              <w:top w:val="single" w:sz="6" w:space="0" w:color="000000"/>
              <w:left w:val="single" w:sz="6" w:space="0" w:color="000000"/>
              <w:bottom w:val="single" w:sz="6" w:space="0" w:color="000000"/>
            </w:tcBorders>
            <w:shd w:val="clear" w:color="auto" w:fill="BEBEBE"/>
          </w:tcPr>
          <w:p w14:paraId="03DCDF8A" w14:textId="77777777" w:rsidR="00AC6F3C" w:rsidRDefault="00570E88">
            <w:pPr>
              <w:pStyle w:val="TableParagraph"/>
              <w:spacing w:before="77" w:line="184" w:lineRule="exact"/>
              <w:ind w:left="37"/>
              <w:rPr>
                <w:b/>
                <w:sz w:val="17"/>
              </w:rPr>
            </w:pPr>
            <w:r>
              <w:rPr>
                <w:b/>
                <w:spacing w:val="-2"/>
                <w:w w:val="105"/>
                <w:sz w:val="17"/>
              </w:rPr>
              <w:t>Total</w:t>
            </w:r>
          </w:p>
        </w:tc>
        <w:tc>
          <w:tcPr>
            <w:tcW w:w="1715" w:type="dxa"/>
            <w:gridSpan w:val="2"/>
            <w:tcBorders>
              <w:top w:val="single" w:sz="6" w:space="0" w:color="000000"/>
              <w:bottom w:val="single" w:sz="6" w:space="0" w:color="000000"/>
            </w:tcBorders>
            <w:shd w:val="clear" w:color="auto" w:fill="BEBEBE"/>
          </w:tcPr>
          <w:p w14:paraId="4B786A9A" w14:textId="77777777" w:rsidR="00AC6F3C" w:rsidRDefault="00570E88">
            <w:pPr>
              <w:pStyle w:val="TableParagraph"/>
              <w:spacing w:before="77" w:line="184" w:lineRule="exact"/>
              <w:ind w:left="781" w:right="505"/>
              <w:jc w:val="center"/>
              <w:rPr>
                <w:b/>
                <w:sz w:val="17"/>
              </w:rPr>
            </w:pPr>
            <w:r>
              <w:rPr>
                <w:b/>
                <w:spacing w:val="-5"/>
                <w:w w:val="105"/>
                <w:sz w:val="17"/>
              </w:rPr>
              <w:t>25</w:t>
            </w:r>
          </w:p>
        </w:tc>
        <w:tc>
          <w:tcPr>
            <w:tcW w:w="529" w:type="dxa"/>
            <w:tcBorders>
              <w:top w:val="single" w:sz="6" w:space="0" w:color="000000"/>
              <w:bottom w:val="single" w:sz="6" w:space="0" w:color="000000"/>
            </w:tcBorders>
            <w:shd w:val="clear" w:color="auto" w:fill="BEBEBE"/>
          </w:tcPr>
          <w:p w14:paraId="659E7BFF" w14:textId="77777777" w:rsidR="00AC6F3C" w:rsidRDefault="00570E88">
            <w:pPr>
              <w:pStyle w:val="TableParagraph"/>
              <w:spacing w:before="77" w:line="184" w:lineRule="exact"/>
              <w:ind w:left="298"/>
              <w:rPr>
                <w:b/>
                <w:sz w:val="17"/>
              </w:rPr>
            </w:pPr>
            <w:r>
              <w:rPr>
                <w:b/>
                <w:spacing w:val="-5"/>
                <w:w w:val="105"/>
                <w:sz w:val="17"/>
              </w:rPr>
              <w:t>40</w:t>
            </w:r>
          </w:p>
        </w:tc>
        <w:tc>
          <w:tcPr>
            <w:tcW w:w="1578" w:type="dxa"/>
            <w:gridSpan w:val="2"/>
            <w:tcBorders>
              <w:top w:val="single" w:sz="6" w:space="0" w:color="000000"/>
              <w:bottom w:val="single" w:sz="6" w:space="0" w:color="000000"/>
            </w:tcBorders>
            <w:shd w:val="clear" w:color="auto" w:fill="BEBEBE"/>
          </w:tcPr>
          <w:p w14:paraId="0C07CE9D" w14:textId="77777777" w:rsidR="00AC6F3C" w:rsidRDefault="00570E88">
            <w:pPr>
              <w:pStyle w:val="TableParagraph"/>
              <w:spacing w:before="77" w:line="184" w:lineRule="exact"/>
              <w:ind w:left="892"/>
              <w:rPr>
                <w:b/>
                <w:sz w:val="17"/>
              </w:rPr>
            </w:pPr>
            <w:r>
              <w:rPr>
                <w:b/>
                <w:spacing w:val="-5"/>
                <w:w w:val="105"/>
                <w:sz w:val="17"/>
              </w:rPr>
              <w:t>25</w:t>
            </w:r>
          </w:p>
        </w:tc>
        <w:tc>
          <w:tcPr>
            <w:tcW w:w="673" w:type="dxa"/>
            <w:tcBorders>
              <w:top w:val="single" w:sz="6" w:space="0" w:color="000000"/>
              <w:bottom w:val="single" w:sz="6" w:space="0" w:color="000000"/>
              <w:right w:val="single" w:sz="6" w:space="0" w:color="000000"/>
            </w:tcBorders>
            <w:shd w:val="clear" w:color="auto" w:fill="BEBEBE"/>
          </w:tcPr>
          <w:p w14:paraId="228E22DF" w14:textId="77777777" w:rsidR="00AC6F3C" w:rsidRDefault="00570E88">
            <w:pPr>
              <w:pStyle w:val="TableParagraph"/>
              <w:spacing w:before="77" w:line="184" w:lineRule="exact"/>
              <w:ind w:left="436"/>
              <w:rPr>
                <w:b/>
                <w:sz w:val="17"/>
              </w:rPr>
            </w:pPr>
            <w:r>
              <w:rPr>
                <w:b/>
                <w:spacing w:val="-5"/>
                <w:w w:val="105"/>
                <w:sz w:val="17"/>
              </w:rPr>
              <w:t>40</w:t>
            </w:r>
          </w:p>
        </w:tc>
      </w:tr>
    </w:tbl>
    <w:p w14:paraId="43B091F1" w14:textId="77777777" w:rsidR="00AC6F3C" w:rsidRDefault="00AC6F3C">
      <w:pPr>
        <w:spacing w:line="184" w:lineRule="exact"/>
        <w:rPr>
          <w:sz w:val="17"/>
        </w:rPr>
        <w:sectPr w:rsidR="00AC6F3C">
          <w:pgSz w:w="11910" w:h="16840"/>
          <w:pgMar w:top="2020" w:right="1160" w:bottom="520" w:left="460" w:header="1228" w:footer="336" w:gutter="0"/>
          <w:cols w:space="720"/>
        </w:sectPr>
      </w:pPr>
    </w:p>
    <w:p w14:paraId="67DBA7D6" w14:textId="77777777" w:rsidR="00AC6F3C" w:rsidRDefault="00AC6F3C">
      <w:pPr>
        <w:pStyle w:val="BodyText"/>
      </w:pPr>
    </w:p>
    <w:p w14:paraId="70C29C0C" w14:textId="77777777" w:rsidR="00AC6F3C" w:rsidRDefault="00570E88">
      <w:pPr>
        <w:tabs>
          <w:tab w:val="left" w:pos="1666"/>
        </w:tabs>
        <w:spacing w:before="249"/>
        <w:ind w:left="958"/>
        <w:rPr>
          <w:b/>
          <w:sz w:val="28"/>
        </w:rPr>
      </w:pPr>
      <w:r>
        <w:rPr>
          <w:b/>
          <w:spacing w:val="-5"/>
          <w:sz w:val="28"/>
        </w:rPr>
        <w:t>D1</w:t>
      </w:r>
      <w:r>
        <w:rPr>
          <w:b/>
          <w:sz w:val="28"/>
        </w:rPr>
        <w:tab/>
        <w:t>CRITICAL</w:t>
      </w:r>
      <w:r>
        <w:rPr>
          <w:b/>
          <w:spacing w:val="-8"/>
          <w:sz w:val="28"/>
        </w:rPr>
        <w:t xml:space="preserve"> </w:t>
      </w:r>
      <w:r>
        <w:rPr>
          <w:b/>
          <w:sz w:val="28"/>
        </w:rPr>
        <w:t>ACCOUNTING</w:t>
      </w:r>
      <w:r>
        <w:rPr>
          <w:b/>
          <w:spacing w:val="-8"/>
          <w:sz w:val="28"/>
        </w:rPr>
        <w:t xml:space="preserve"> </w:t>
      </w:r>
      <w:r>
        <w:rPr>
          <w:b/>
          <w:sz w:val="28"/>
        </w:rPr>
        <w:t>ESTIMATES</w:t>
      </w:r>
      <w:r>
        <w:rPr>
          <w:b/>
          <w:spacing w:val="-7"/>
          <w:sz w:val="28"/>
        </w:rPr>
        <w:t xml:space="preserve"> </w:t>
      </w:r>
      <w:r>
        <w:rPr>
          <w:b/>
          <w:sz w:val="28"/>
        </w:rPr>
        <w:t>AND</w:t>
      </w:r>
      <w:r>
        <w:rPr>
          <w:b/>
          <w:spacing w:val="-7"/>
          <w:sz w:val="28"/>
        </w:rPr>
        <w:t xml:space="preserve"> </w:t>
      </w:r>
      <w:r>
        <w:rPr>
          <w:b/>
          <w:spacing w:val="-2"/>
          <w:sz w:val="28"/>
        </w:rPr>
        <w:t>JUDGEMENTS</w:t>
      </w:r>
    </w:p>
    <w:p w14:paraId="74E97A5B" w14:textId="77777777" w:rsidR="00AC6F3C" w:rsidRDefault="00570E88">
      <w:pPr>
        <w:spacing w:before="239"/>
        <w:ind w:left="958" w:right="468"/>
        <w:rPr>
          <w:sz w:val="18"/>
        </w:rPr>
      </w:pPr>
      <w:r>
        <w:rPr>
          <w:sz w:val="18"/>
        </w:rPr>
        <w:t>Estimates</w:t>
      </w:r>
      <w:r>
        <w:rPr>
          <w:spacing w:val="-2"/>
          <w:sz w:val="18"/>
        </w:rPr>
        <w:t xml:space="preserve"> </w:t>
      </w:r>
      <w:r>
        <w:rPr>
          <w:sz w:val="18"/>
        </w:rPr>
        <w:t>and</w:t>
      </w:r>
      <w:r>
        <w:rPr>
          <w:spacing w:val="-2"/>
          <w:sz w:val="18"/>
        </w:rPr>
        <w:t xml:space="preserve"> </w:t>
      </w:r>
      <w:r>
        <w:rPr>
          <w:sz w:val="18"/>
        </w:rPr>
        <w:t>judgements</w:t>
      </w:r>
      <w:r>
        <w:rPr>
          <w:spacing w:val="-4"/>
          <w:sz w:val="18"/>
        </w:rPr>
        <w:t xml:space="preserve"> </w:t>
      </w:r>
      <w:r>
        <w:rPr>
          <w:sz w:val="18"/>
        </w:rPr>
        <w:t>are</w:t>
      </w:r>
      <w:r>
        <w:rPr>
          <w:spacing w:val="-5"/>
          <w:sz w:val="18"/>
        </w:rPr>
        <w:t xml:space="preserve"> </w:t>
      </w:r>
      <w:r>
        <w:rPr>
          <w:sz w:val="18"/>
        </w:rPr>
        <w:t>continually</w:t>
      </w:r>
      <w:r>
        <w:rPr>
          <w:spacing w:val="-2"/>
          <w:sz w:val="18"/>
        </w:rPr>
        <w:t xml:space="preserve"> </w:t>
      </w:r>
      <w:r>
        <w:rPr>
          <w:sz w:val="18"/>
        </w:rPr>
        <w:t>evaluated</w:t>
      </w:r>
      <w:r>
        <w:rPr>
          <w:spacing w:val="-2"/>
          <w:sz w:val="18"/>
        </w:rPr>
        <w:t xml:space="preserve"> </w:t>
      </w:r>
      <w:r>
        <w:rPr>
          <w:sz w:val="18"/>
        </w:rPr>
        <w:t>and</w:t>
      </w:r>
      <w:r>
        <w:rPr>
          <w:spacing w:val="-2"/>
          <w:sz w:val="18"/>
        </w:rPr>
        <w:t xml:space="preserve"> </w:t>
      </w:r>
      <w:r>
        <w:rPr>
          <w:sz w:val="18"/>
        </w:rPr>
        <w:t>based</w:t>
      </w:r>
      <w:r>
        <w:rPr>
          <w:spacing w:val="-2"/>
          <w:sz w:val="18"/>
        </w:rPr>
        <w:t xml:space="preserve"> </w:t>
      </w:r>
      <w:r>
        <w:rPr>
          <w:sz w:val="18"/>
        </w:rPr>
        <w:t>on</w:t>
      </w:r>
      <w:r>
        <w:rPr>
          <w:spacing w:val="-5"/>
          <w:sz w:val="18"/>
        </w:rPr>
        <w:t xml:space="preserve"> </w:t>
      </w:r>
      <w:r>
        <w:rPr>
          <w:sz w:val="18"/>
        </w:rPr>
        <w:t>historical</w:t>
      </w:r>
      <w:r>
        <w:rPr>
          <w:spacing w:val="-2"/>
          <w:sz w:val="18"/>
        </w:rPr>
        <w:t xml:space="preserve"> </w:t>
      </w:r>
      <w:r>
        <w:rPr>
          <w:sz w:val="18"/>
        </w:rPr>
        <w:t>experience</w:t>
      </w:r>
      <w:r>
        <w:rPr>
          <w:spacing w:val="-2"/>
          <w:sz w:val="18"/>
        </w:rPr>
        <w:t xml:space="preserve"> </w:t>
      </w:r>
      <w:r>
        <w:rPr>
          <w:sz w:val="18"/>
        </w:rPr>
        <w:t>and</w:t>
      </w:r>
      <w:r>
        <w:rPr>
          <w:spacing w:val="-2"/>
          <w:sz w:val="18"/>
        </w:rPr>
        <w:t xml:space="preserve"> </w:t>
      </w:r>
      <w:r>
        <w:rPr>
          <w:sz w:val="18"/>
        </w:rPr>
        <w:t>other</w:t>
      </w:r>
      <w:r>
        <w:rPr>
          <w:spacing w:val="-5"/>
          <w:sz w:val="18"/>
        </w:rPr>
        <w:t xml:space="preserve"> </w:t>
      </w:r>
      <w:r>
        <w:rPr>
          <w:sz w:val="18"/>
        </w:rPr>
        <w:t>factors, including expectations of future events that are believed to be reasonable under the circumstances.</w:t>
      </w:r>
    </w:p>
    <w:p w14:paraId="3C07FAF5" w14:textId="77777777" w:rsidR="00AC6F3C" w:rsidRDefault="00AC6F3C">
      <w:pPr>
        <w:pStyle w:val="BodyText"/>
        <w:spacing w:before="9"/>
      </w:pPr>
    </w:p>
    <w:p w14:paraId="19335343" w14:textId="77777777" w:rsidR="00AC6F3C" w:rsidRDefault="00570E88">
      <w:pPr>
        <w:ind w:left="958" w:right="857"/>
        <w:rPr>
          <w:sz w:val="18"/>
        </w:rPr>
      </w:pPr>
      <w:r>
        <w:rPr>
          <w:sz w:val="18"/>
        </w:rPr>
        <w:t>The</w:t>
      </w:r>
      <w:r>
        <w:rPr>
          <w:spacing w:val="-1"/>
          <w:sz w:val="18"/>
        </w:rPr>
        <w:t xml:space="preserve"> </w:t>
      </w:r>
      <w:r>
        <w:rPr>
          <w:sz w:val="18"/>
        </w:rPr>
        <w:t>Group</w:t>
      </w:r>
      <w:r>
        <w:rPr>
          <w:spacing w:val="-4"/>
          <w:sz w:val="18"/>
        </w:rPr>
        <w:t xml:space="preserve"> </w:t>
      </w:r>
      <w:r>
        <w:rPr>
          <w:sz w:val="18"/>
        </w:rPr>
        <w:t>makes</w:t>
      </w:r>
      <w:r>
        <w:rPr>
          <w:spacing w:val="-1"/>
          <w:sz w:val="18"/>
        </w:rPr>
        <w:t xml:space="preserve"> </w:t>
      </w:r>
      <w:r>
        <w:rPr>
          <w:sz w:val="18"/>
        </w:rPr>
        <w:t>estimates</w:t>
      </w:r>
      <w:r>
        <w:rPr>
          <w:spacing w:val="-1"/>
          <w:sz w:val="18"/>
        </w:rPr>
        <w:t xml:space="preserve"> </w:t>
      </w:r>
      <w:r>
        <w:rPr>
          <w:sz w:val="18"/>
        </w:rPr>
        <w:t>and</w:t>
      </w:r>
      <w:r>
        <w:rPr>
          <w:spacing w:val="-1"/>
          <w:sz w:val="18"/>
        </w:rPr>
        <w:t xml:space="preserve"> </w:t>
      </w:r>
      <w:r>
        <w:rPr>
          <w:sz w:val="18"/>
        </w:rPr>
        <w:t>assumptions</w:t>
      </w:r>
      <w:r>
        <w:rPr>
          <w:spacing w:val="-1"/>
          <w:sz w:val="18"/>
        </w:rPr>
        <w:t xml:space="preserve"> </w:t>
      </w:r>
      <w:r>
        <w:rPr>
          <w:sz w:val="18"/>
        </w:rPr>
        <w:t>concerning</w:t>
      </w:r>
      <w:r>
        <w:rPr>
          <w:spacing w:val="-1"/>
          <w:sz w:val="18"/>
        </w:rPr>
        <w:t xml:space="preserve"> </w:t>
      </w:r>
      <w:r>
        <w:rPr>
          <w:sz w:val="18"/>
        </w:rPr>
        <w:t>the</w:t>
      </w:r>
      <w:r>
        <w:rPr>
          <w:spacing w:val="-1"/>
          <w:sz w:val="18"/>
        </w:rPr>
        <w:t xml:space="preserve"> </w:t>
      </w:r>
      <w:r>
        <w:rPr>
          <w:sz w:val="18"/>
        </w:rPr>
        <w:t>future.</w:t>
      </w:r>
      <w:r>
        <w:rPr>
          <w:spacing w:val="40"/>
          <w:sz w:val="18"/>
        </w:rPr>
        <w:t xml:space="preserve"> </w:t>
      </w:r>
      <w:r>
        <w:rPr>
          <w:sz w:val="18"/>
        </w:rPr>
        <w:t>The</w:t>
      </w:r>
      <w:r>
        <w:rPr>
          <w:spacing w:val="-1"/>
          <w:sz w:val="18"/>
        </w:rPr>
        <w:t xml:space="preserve"> </w:t>
      </w:r>
      <w:r>
        <w:rPr>
          <w:sz w:val="18"/>
        </w:rPr>
        <w:t>resulting</w:t>
      </w:r>
      <w:r>
        <w:rPr>
          <w:spacing w:val="-1"/>
          <w:sz w:val="18"/>
        </w:rPr>
        <w:t xml:space="preserve"> </w:t>
      </w:r>
      <w:r>
        <w:rPr>
          <w:sz w:val="18"/>
        </w:rPr>
        <w:t>accounting</w:t>
      </w:r>
      <w:r>
        <w:rPr>
          <w:spacing w:val="-4"/>
          <w:sz w:val="18"/>
        </w:rPr>
        <w:t xml:space="preserve"> </w:t>
      </w:r>
      <w:r>
        <w:rPr>
          <w:sz w:val="18"/>
        </w:rPr>
        <w:t>estimates will, by definition, seldom equal the related actual results.</w:t>
      </w:r>
      <w:r>
        <w:rPr>
          <w:spacing w:val="40"/>
          <w:sz w:val="18"/>
        </w:rPr>
        <w:t xml:space="preserve"> </w:t>
      </w:r>
      <w:r>
        <w:rPr>
          <w:sz w:val="18"/>
        </w:rPr>
        <w:t>The estimates and assumptions that have a significant</w:t>
      </w:r>
      <w:r>
        <w:rPr>
          <w:spacing w:val="-4"/>
          <w:sz w:val="18"/>
        </w:rPr>
        <w:t xml:space="preserve"> </w:t>
      </w:r>
      <w:r>
        <w:rPr>
          <w:sz w:val="18"/>
        </w:rPr>
        <w:t>risk</w:t>
      </w:r>
      <w:r>
        <w:rPr>
          <w:spacing w:val="-1"/>
          <w:sz w:val="18"/>
        </w:rPr>
        <w:t xml:space="preserve"> </w:t>
      </w:r>
      <w:r>
        <w:rPr>
          <w:sz w:val="18"/>
        </w:rPr>
        <w:t>of</w:t>
      </w:r>
      <w:r>
        <w:rPr>
          <w:spacing w:val="-2"/>
          <w:sz w:val="18"/>
        </w:rPr>
        <w:t xml:space="preserve"> </w:t>
      </w:r>
      <w:r>
        <w:rPr>
          <w:sz w:val="18"/>
        </w:rPr>
        <w:t>causing</w:t>
      </w:r>
      <w:r>
        <w:rPr>
          <w:spacing w:val="-4"/>
          <w:sz w:val="18"/>
        </w:rPr>
        <w:t xml:space="preserve"> </w:t>
      </w:r>
      <w:r>
        <w:rPr>
          <w:sz w:val="18"/>
        </w:rPr>
        <w:t>a</w:t>
      </w:r>
      <w:r>
        <w:rPr>
          <w:spacing w:val="-1"/>
          <w:sz w:val="18"/>
        </w:rPr>
        <w:t xml:space="preserve"> </w:t>
      </w:r>
      <w:r>
        <w:rPr>
          <w:sz w:val="18"/>
        </w:rPr>
        <w:t>material</w:t>
      </w:r>
      <w:r>
        <w:rPr>
          <w:spacing w:val="-4"/>
          <w:sz w:val="18"/>
        </w:rPr>
        <w:t xml:space="preserve"> </w:t>
      </w:r>
      <w:r>
        <w:rPr>
          <w:sz w:val="18"/>
        </w:rPr>
        <w:t>adjustment</w:t>
      </w:r>
      <w:r>
        <w:rPr>
          <w:spacing w:val="-2"/>
          <w:sz w:val="18"/>
        </w:rPr>
        <w:t xml:space="preserve"> </w:t>
      </w:r>
      <w:r>
        <w:rPr>
          <w:sz w:val="18"/>
        </w:rPr>
        <w:t>to</w:t>
      </w:r>
      <w:r>
        <w:rPr>
          <w:spacing w:val="-4"/>
          <w:sz w:val="18"/>
        </w:rPr>
        <w:t xml:space="preserve"> </w:t>
      </w:r>
      <w:r>
        <w:rPr>
          <w:sz w:val="18"/>
        </w:rPr>
        <w:t>the</w:t>
      </w:r>
      <w:r>
        <w:rPr>
          <w:spacing w:val="-4"/>
          <w:sz w:val="18"/>
        </w:rPr>
        <w:t xml:space="preserve"> </w:t>
      </w:r>
      <w:r>
        <w:rPr>
          <w:sz w:val="18"/>
        </w:rPr>
        <w:t>carrying</w:t>
      </w:r>
      <w:r>
        <w:rPr>
          <w:spacing w:val="-1"/>
          <w:sz w:val="18"/>
        </w:rPr>
        <w:t xml:space="preserve"> </w:t>
      </w:r>
      <w:r>
        <w:rPr>
          <w:sz w:val="18"/>
        </w:rPr>
        <w:t>amounts</w:t>
      </w:r>
      <w:r>
        <w:rPr>
          <w:spacing w:val="-1"/>
          <w:sz w:val="18"/>
        </w:rPr>
        <w:t xml:space="preserve"> </w:t>
      </w:r>
      <w:r>
        <w:rPr>
          <w:sz w:val="18"/>
        </w:rPr>
        <w:t>of</w:t>
      </w:r>
      <w:r>
        <w:rPr>
          <w:spacing w:val="-4"/>
          <w:sz w:val="18"/>
        </w:rPr>
        <w:t xml:space="preserve"> </w:t>
      </w:r>
      <w:r>
        <w:rPr>
          <w:sz w:val="18"/>
        </w:rPr>
        <w:t>assets</w:t>
      </w:r>
      <w:r>
        <w:rPr>
          <w:spacing w:val="-1"/>
          <w:sz w:val="18"/>
        </w:rPr>
        <w:t xml:space="preserve"> </w:t>
      </w:r>
      <w:r>
        <w:rPr>
          <w:sz w:val="18"/>
        </w:rPr>
        <w:t>and</w:t>
      </w:r>
      <w:r>
        <w:rPr>
          <w:spacing w:val="-1"/>
          <w:sz w:val="18"/>
        </w:rPr>
        <w:t xml:space="preserve"> </w:t>
      </w:r>
      <w:r>
        <w:rPr>
          <w:sz w:val="18"/>
        </w:rPr>
        <w:t>liabilities</w:t>
      </w:r>
      <w:r>
        <w:rPr>
          <w:spacing w:val="-1"/>
          <w:sz w:val="18"/>
        </w:rPr>
        <w:t xml:space="preserve"> </w:t>
      </w:r>
      <w:r>
        <w:rPr>
          <w:sz w:val="18"/>
        </w:rPr>
        <w:t>within</w:t>
      </w:r>
      <w:r>
        <w:rPr>
          <w:spacing w:val="-1"/>
          <w:sz w:val="18"/>
        </w:rPr>
        <w:t xml:space="preserve"> </w:t>
      </w:r>
      <w:r>
        <w:rPr>
          <w:sz w:val="18"/>
        </w:rPr>
        <w:t>the next financial year are discussed below.</w:t>
      </w:r>
    </w:p>
    <w:p w14:paraId="610DE50A" w14:textId="77777777" w:rsidR="00AC6F3C" w:rsidRDefault="00AC6F3C">
      <w:pPr>
        <w:pStyle w:val="BodyText"/>
        <w:spacing w:before="10"/>
      </w:pPr>
    </w:p>
    <w:p w14:paraId="6D189735" w14:textId="77777777" w:rsidR="00AC6F3C" w:rsidRDefault="00570E88">
      <w:pPr>
        <w:ind w:left="958" w:right="990"/>
        <w:rPr>
          <w:sz w:val="18"/>
        </w:rPr>
      </w:pPr>
      <w:r>
        <w:rPr>
          <w:sz w:val="18"/>
        </w:rPr>
        <w:t>Certain</w:t>
      </w:r>
      <w:r>
        <w:rPr>
          <w:spacing w:val="-5"/>
          <w:sz w:val="18"/>
        </w:rPr>
        <w:t xml:space="preserve"> </w:t>
      </w:r>
      <w:r>
        <w:rPr>
          <w:sz w:val="18"/>
        </w:rPr>
        <w:t>critical</w:t>
      </w:r>
      <w:r>
        <w:rPr>
          <w:spacing w:val="-2"/>
          <w:sz w:val="18"/>
        </w:rPr>
        <w:t xml:space="preserve"> </w:t>
      </w:r>
      <w:r>
        <w:rPr>
          <w:sz w:val="18"/>
        </w:rPr>
        <w:t>accounting</w:t>
      </w:r>
      <w:r>
        <w:rPr>
          <w:spacing w:val="-5"/>
          <w:sz w:val="18"/>
        </w:rPr>
        <w:t xml:space="preserve"> </w:t>
      </w:r>
      <w:r>
        <w:rPr>
          <w:sz w:val="18"/>
        </w:rPr>
        <w:t>judgements</w:t>
      </w:r>
      <w:r>
        <w:rPr>
          <w:spacing w:val="-4"/>
          <w:sz w:val="18"/>
        </w:rPr>
        <w:t xml:space="preserve"> </w:t>
      </w:r>
      <w:r>
        <w:rPr>
          <w:sz w:val="18"/>
        </w:rPr>
        <w:t>in</w:t>
      </w:r>
      <w:r>
        <w:rPr>
          <w:spacing w:val="-2"/>
          <w:sz w:val="18"/>
        </w:rPr>
        <w:t xml:space="preserve"> </w:t>
      </w:r>
      <w:r>
        <w:rPr>
          <w:sz w:val="18"/>
        </w:rPr>
        <w:t>applying</w:t>
      </w:r>
      <w:r>
        <w:rPr>
          <w:spacing w:val="-2"/>
          <w:sz w:val="18"/>
        </w:rPr>
        <w:t xml:space="preserve"> </w:t>
      </w:r>
      <w:r>
        <w:rPr>
          <w:sz w:val="18"/>
        </w:rPr>
        <w:t>the</w:t>
      </w:r>
      <w:r>
        <w:rPr>
          <w:spacing w:val="-5"/>
          <w:sz w:val="18"/>
        </w:rPr>
        <w:t xml:space="preserve"> </w:t>
      </w:r>
      <w:r>
        <w:rPr>
          <w:sz w:val="18"/>
        </w:rPr>
        <w:t>Group’s</w:t>
      </w:r>
      <w:r>
        <w:rPr>
          <w:spacing w:val="-2"/>
          <w:sz w:val="18"/>
        </w:rPr>
        <w:t xml:space="preserve"> </w:t>
      </w:r>
      <w:r>
        <w:rPr>
          <w:sz w:val="18"/>
        </w:rPr>
        <w:t>accounting</w:t>
      </w:r>
      <w:r>
        <w:rPr>
          <w:spacing w:val="-2"/>
          <w:sz w:val="18"/>
        </w:rPr>
        <w:t xml:space="preserve"> </w:t>
      </w:r>
      <w:r>
        <w:rPr>
          <w:sz w:val="18"/>
        </w:rPr>
        <w:t>policies</w:t>
      </w:r>
      <w:r>
        <w:rPr>
          <w:spacing w:val="-2"/>
          <w:sz w:val="18"/>
        </w:rPr>
        <w:t xml:space="preserve"> </w:t>
      </w:r>
      <w:r>
        <w:rPr>
          <w:sz w:val="18"/>
        </w:rPr>
        <w:t>are</w:t>
      </w:r>
      <w:r>
        <w:rPr>
          <w:spacing w:val="-2"/>
          <w:sz w:val="18"/>
        </w:rPr>
        <w:t xml:space="preserve"> </w:t>
      </w:r>
      <w:r>
        <w:rPr>
          <w:sz w:val="18"/>
        </w:rPr>
        <w:t>related</w:t>
      </w:r>
      <w:r>
        <w:rPr>
          <w:spacing w:val="-2"/>
          <w:sz w:val="18"/>
        </w:rPr>
        <w:t xml:space="preserve"> </w:t>
      </w:r>
      <w:r>
        <w:rPr>
          <w:sz w:val="18"/>
        </w:rPr>
        <w:t>to policyholder claims.</w:t>
      </w:r>
    </w:p>
    <w:p w14:paraId="636DBFA4" w14:textId="77777777" w:rsidR="00AC6F3C" w:rsidRDefault="00AC6F3C">
      <w:pPr>
        <w:pStyle w:val="BodyText"/>
        <w:rPr>
          <w:sz w:val="21"/>
        </w:rPr>
      </w:pPr>
    </w:p>
    <w:p w14:paraId="045DEC4B" w14:textId="77777777" w:rsidR="00AC6F3C" w:rsidRDefault="00570E88">
      <w:pPr>
        <w:ind w:left="958"/>
        <w:rPr>
          <w:b/>
          <w:sz w:val="18"/>
        </w:rPr>
      </w:pPr>
      <w:r>
        <w:rPr>
          <w:b/>
          <w:sz w:val="18"/>
        </w:rPr>
        <w:t>Actuarial</w:t>
      </w:r>
      <w:r>
        <w:rPr>
          <w:b/>
          <w:spacing w:val="-3"/>
          <w:sz w:val="18"/>
        </w:rPr>
        <w:t xml:space="preserve"> </w:t>
      </w:r>
      <w:r>
        <w:rPr>
          <w:b/>
          <w:sz w:val="18"/>
        </w:rPr>
        <w:t>methodology</w:t>
      </w:r>
      <w:r>
        <w:rPr>
          <w:b/>
          <w:spacing w:val="-4"/>
          <w:sz w:val="18"/>
        </w:rPr>
        <w:t xml:space="preserve"> </w:t>
      </w:r>
      <w:r>
        <w:rPr>
          <w:b/>
          <w:sz w:val="18"/>
        </w:rPr>
        <w:t>for</w:t>
      </w:r>
      <w:r>
        <w:rPr>
          <w:b/>
          <w:spacing w:val="-3"/>
          <w:sz w:val="18"/>
        </w:rPr>
        <w:t xml:space="preserve"> </w:t>
      </w:r>
      <w:r>
        <w:rPr>
          <w:b/>
          <w:sz w:val="18"/>
        </w:rPr>
        <w:t>estimate</w:t>
      </w:r>
      <w:r>
        <w:rPr>
          <w:b/>
          <w:spacing w:val="-4"/>
          <w:sz w:val="18"/>
        </w:rPr>
        <w:t xml:space="preserve"> </w:t>
      </w:r>
      <w:r>
        <w:rPr>
          <w:b/>
          <w:sz w:val="18"/>
        </w:rPr>
        <w:t>for</w:t>
      </w:r>
      <w:r>
        <w:rPr>
          <w:b/>
          <w:spacing w:val="-3"/>
          <w:sz w:val="18"/>
        </w:rPr>
        <w:t xml:space="preserve"> </w:t>
      </w:r>
      <w:r>
        <w:rPr>
          <w:b/>
          <w:sz w:val="18"/>
        </w:rPr>
        <w:t>policyholder</w:t>
      </w:r>
      <w:r>
        <w:rPr>
          <w:b/>
          <w:spacing w:val="-3"/>
          <w:sz w:val="18"/>
        </w:rPr>
        <w:t xml:space="preserve"> </w:t>
      </w:r>
      <w:r>
        <w:rPr>
          <w:b/>
          <w:spacing w:val="-2"/>
          <w:sz w:val="18"/>
        </w:rPr>
        <w:t>claims</w:t>
      </w:r>
    </w:p>
    <w:p w14:paraId="223EBA70" w14:textId="77777777" w:rsidR="00AC6F3C" w:rsidRDefault="00AC6F3C">
      <w:pPr>
        <w:pStyle w:val="BodyText"/>
        <w:spacing w:before="9"/>
        <w:rPr>
          <w:b/>
        </w:rPr>
      </w:pPr>
    </w:p>
    <w:p w14:paraId="5B830F36" w14:textId="77777777" w:rsidR="00AC6F3C" w:rsidRDefault="00570E88">
      <w:pPr>
        <w:ind w:left="958" w:right="730"/>
        <w:rPr>
          <w:sz w:val="18"/>
        </w:rPr>
      </w:pPr>
      <w:r>
        <w:rPr>
          <w:sz w:val="18"/>
        </w:rPr>
        <w:t>The Group’s estimates for reported and unreported losses, establishing resulting provisions and related reinsurance recoverable</w:t>
      </w:r>
      <w:r>
        <w:rPr>
          <w:spacing w:val="-2"/>
          <w:sz w:val="18"/>
        </w:rPr>
        <w:t xml:space="preserve"> </w:t>
      </w:r>
      <w:r>
        <w:rPr>
          <w:sz w:val="18"/>
        </w:rPr>
        <w:t>are</w:t>
      </w:r>
      <w:r>
        <w:rPr>
          <w:spacing w:val="-2"/>
          <w:sz w:val="18"/>
        </w:rPr>
        <w:t xml:space="preserve"> </w:t>
      </w:r>
      <w:r>
        <w:rPr>
          <w:sz w:val="18"/>
        </w:rPr>
        <w:t>continually reviewed</w:t>
      </w:r>
      <w:r>
        <w:rPr>
          <w:spacing w:val="-2"/>
          <w:sz w:val="18"/>
        </w:rPr>
        <w:t xml:space="preserve"> </w:t>
      </w:r>
      <w:r>
        <w:rPr>
          <w:sz w:val="18"/>
        </w:rPr>
        <w:t>and</w:t>
      </w:r>
      <w:r>
        <w:rPr>
          <w:spacing w:val="-2"/>
          <w:sz w:val="18"/>
        </w:rPr>
        <w:t xml:space="preserve"> </w:t>
      </w:r>
      <w:r>
        <w:rPr>
          <w:sz w:val="18"/>
        </w:rPr>
        <w:t>updated, and adjustments resulting from this review are reflected in the Statement of Comprehensive Income. The process relies upon the use of external advisors</w:t>
      </w:r>
      <w:r>
        <w:rPr>
          <w:spacing w:val="-1"/>
          <w:sz w:val="18"/>
        </w:rPr>
        <w:t xml:space="preserve"> </w:t>
      </w:r>
      <w:r>
        <w:rPr>
          <w:sz w:val="18"/>
        </w:rPr>
        <w:t>(lawyers,</w:t>
      </w:r>
      <w:r>
        <w:rPr>
          <w:spacing w:val="-2"/>
          <w:sz w:val="18"/>
        </w:rPr>
        <w:t xml:space="preserve"> </w:t>
      </w:r>
      <w:r>
        <w:rPr>
          <w:sz w:val="18"/>
        </w:rPr>
        <w:t>actuaries</w:t>
      </w:r>
      <w:r>
        <w:rPr>
          <w:spacing w:val="-1"/>
          <w:sz w:val="18"/>
        </w:rPr>
        <w:t xml:space="preserve"> </w:t>
      </w:r>
      <w:r>
        <w:rPr>
          <w:sz w:val="18"/>
        </w:rPr>
        <w:t>and</w:t>
      </w:r>
      <w:r>
        <w:rPr>
          <w:spacing w:val="-1"/>
          <w:sz w:val="18"/>
        </w:rPr>
        <w:t xml:space="preserve"> </w:t>
      </w:r>
      <w:r>
        <w:rPr>
          <w:sz w:val="18"/>
        </w:rPr>
        <w:t>loss</w:t>
      </w:r>
      <w:r>
        <w:rPr>
          <w:spacing w:val="-3"/>
          <w:sz w:val="18"/>
        </w:rPr>
        <w:t xml:space="preserve"> </w:t>
      </w:r>
      <w:r>
        <w:rPr>
          <w:sz w:val="18"/>
        </w:rPr>
        <w:t>adjustors)</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assumption</w:t>
      </w:r>
      <w:r>
        <w:rPr>
          <w:spacing w:val="-1"/>
          <w:sz w:val="18"/>
        </w:rPr>
        <w:t xml:space="preserve"> </w:t>
      </w:r>
      <w:r>
        <w:rPr>
          <w:sz w:val="18"/>
        </w:rPr>
        <w:t>that</w:t>
      </w:r>
      <w:r>
        <w:rPr>
          <w:spacing w:val="-4"/>
          <w:sz w:val="18"/>
        </w:rPr>
        <w:t xml:space="preserve"> </w:t>
      </w:r>
      <w:r>
        <w:rPr>
          <w:sz w:val="18"/>
        </w:rPr>
        <w:t>past</w:t>
      </w:r>
      <w:r>
        <w:rPr>
          <w:spacing w:val="-2"/>
          <w:sz w:val="18"/>
        </w:rPr>
        <w:t xml:space="preserve"> </w:t>
      </w:r>
      <w:r>
        <w:rPr>
          <w:sz w:val="18"/>
        </w:rPr>
        <w:t>experience</w:t>
      </w:r>
      <w:r>
        <w:rPr>
          <w:spacing w:val="-1"/>
          <w:sz w:val="18"/>
        </w:rPr>
        <w:t xml:space="preserve"> </w:t>
      </w:r>
      <w:r>
        <w:rPr>
          <w:sz w:val="18"/>
        </w:rPr>
        <w:t>is</w:t>
      </w:r>
      <w:r>
        <w:rPr>
          <w:spacing w:val="-1"/>
          <w:sz w:val="18"/>
        </w:rPr>
        <w:t xml:space="preserve"> </w:t>
      </w:r>
      <w:r>
        <w:rPr>
          <w:sz w:val="18"/>
        </w:rPr>
        <w:t>an</w:t>
      </w:r>
      <w:r>
        <w:rPr>
          <w:spacing w:val="-4"/>
          <w:sz w:val="18"/>
        </w:rPr>
        <w:t xml:space="preserve"> </w:t>
      </w:r>
      <w:r>
        <w:rPr>
          <w:sz w:val="18"/>
        </w:rPr>
        <w:t>appropriate basis for predicting future events.</w:t>
      </w:r>
    </w:p>
    <w:p w14:paraId="4DEB711E" w14:textId="77777777" w:rsidR="00AC6F3C" w:rsidRDefault="00AC6F3C">
      <w:pPr>
        <w:pStyle w:val="BodyText"/>
        <w:spacing w:before="9"/>
      </w:pPr>
    </w:p>
    <w:p w14:paraId="5C5F7851" w14:textId="77777777" w:rsidR="00AC6F3C" w:rsidRDefault="00570E88">
      <w:pPr>
        <w:ind w:left="958" w:right="990"/>
        <w:rPr>
          <w:sz w:val="18"/>
        </w:rPr>
      </w:pPr>
      <w:r>
        <w:rPr>
          <w:sz w:val="18"/>
        </w:rPr>
        <w:t>In</w:t>
      </w:r>
      <w:r>
        <w:rPr>
          <w:spacing w:val="-2"/>
          <w:sz w:val="18"/>
        </w:rPr>
        <w:t xml:space="preserve"> </w:t>
      </w:r>
      <w:r>
        <w:rPr>
          <w:sz w:val="18"/>
        </w:rPr>
        <w:t>estimating</w:t>
      </w:r>
      <w:r>
        <w:rPr>
          <w:spacing w:val="-2"/>
          <w:sz w:val="18"/>
        </w:rPr>
        <w:t xml:space="preserve"> </w:t>
      </w:r>
      <w:r>
        <w:rPr>
          <w:sz w:val="18"/>
        </w:rPr>
        <w:t>the</w:t>
      </w:r>
      <w:r>
        <w:rPr>
          <w:spacing w:val="-2"/>
          <w:sz w:val="18"/>
        </w:rPr>
        <w:t xml:space="preserve"> </w:t>
      </w:r>
      <w:r>
        <w:rPr>
          <w:sz w:val="18"/>
        </w:rPr>
        <w:t>outstanding</w:t>
      </w:r>
      <w:r>
        <w:rPr>
          <w:spacing w:val="-5"/>
          <w:sz w:val="18"/>
        </w:rPr>
        <w:t xml:space="preserve"> </w:t>
      </w:r>
      <w:r>
        <w:rPr>
          <w:sz w:val="18"/>
        </w:rPr>
        <w:t>claims</w:t>
      </w:r>
      <w:r>
        <w:rPr>
          <w:spacing w:val="-2"/>
          <w:sz w:val="18"/>
        </w:rPr>
        <w:t xml:space="preserve"> </w:t>
      </w:r>
      <w:r>
        <w:rPr>
          <w:sz w:val="18"/>
        </w:rPr>
        <w:t>liability,</w:t>
      </w:r>
      <w:r>
        <w:rPr>
          <w:spacing w:val="-5"/>
          <w:sz w:val="18"/>
        </w:rPr>
        <w:t xml:space="preserve"> </w:t>
      </w:r>
      <w:r>
        <w:rPr>
          <w:sz w:val="18"/>
        </w:rPr>
        <w:t>projected</w:t>
      </w:r>
      <w:r>
        <w:rPr>
          <w:spacing w:val="-2"/>
          <w:sz w:val="18"/>
        </w:rPr>
        <w:t xml:space="preserve"> </w:t>
      </w:r>
      <w:r>
        <w:rPr>
          <w:sz w:val="18"/>
        </w:rPr>
        <w:t>future</w:t>
      </w:r>
      <w:r>
        <w:rPr>
          <w:spacing w:val="-5"/>
          <w:sz w:val="18"/>
        </w:rPr>
        <w:t xml:space="preserve"> </w:t>
      </w:r>
      <w:r>
        <w:rPr>
          <w:sz w:val="18"/>
        </w:rPr>
        <w:t>claim</w:t>
      </w:r>
      <w:r>
        <w:rPr>
          <w:spacing w:val="-2"/>
          <w:sz w:val="18"/>
        </w:rPr>
        <w:t xml:space="preserve"> </w:t>
      </w:r>
      <w:r>
        <w:rPr>
          <w:sz w:val="18"/>
        </w:rPr>
        <w:t>payments</w:t>
      </w:r>
      <w:r>
        <w:rPr>
          <w:spacing w:val="-2"/>
          <w:sz w:val="18"/>
        </w:rPr>
        <w:t xml:space="preserve"> </w:t>
      </w:r>
      <w:r>
        <w:rPr>
          <w:sz w:val="18"/>
        </w:rPr>
        <w:t>are</w:t>
      </w:r>
      <w:r>
        <w:rPr>
          <w:spacing w:val="-2"/>
          <w:sz w:val="18"/>
        </w:rPr>
        <w:t xml:space="preserve"> </w:t>
      </w:r>
      <w:r>
        <w:rPr>
          <w:sz w:val="18"/>
        </w:rPr>
        <w:t>discounted</w:t>
      </w:r>
      <w:r>
        <w:rPr>
          <w:spacing w:val="-2"/>
          <w:sz w:val="18"/>
        </w:rPr>
        <w:t xml:space="preserve"> </w:t>
      </w:r>
      <w:r>
        <w:rPr>
          <w:sz w:val="18"/>
        </w:rPr>
        <w:t>to</w:t>
      </w:r>
      <w:r>
        <w:rPr>
          <w:spacing w:val="-2"/>
          <w:sz w:val="18"/>
        </w:rPr>
        <w:t xml:space="preserve"> </w:t>
      </w:r>
      <w:r>
        <w:rPr>
          <w:sz w:val="18"/>
        </w:rPr>
        <w:t>the calculation date for each claim year.</w:t>
      </w:r>
    </w:p>
    <w:p w14:paraId="5597B542" w14:textId="77777777" w:rsidR="00AC6F3C" w:rsidRDefault="00AC6F3C">
      <w:pPr>
        <w:pStyle w:val="BodyText"/>
        <w:rPr>
          <w:sz w:val="21"/>
        </w:rPr>
      </w:pPr>
    </w:p>
    <w:p w14:paraId="38118C27" w14:textId="77777777" w:rsidR="00AC6F3C" w:rsidRDefault="00570E88">
      <w:pPr>
        <w:ind w:left="958" w:right="730" w:hanging="1"/>
        <w:rPr>
          <w:sz w:val="18"/>
        </w:rPr>
      </w:pPr>
      <w:r>
        <w:rPr>
          <w:sz w:val="18"/>
        </w:rPr>
        <w:t>The</w:t>
      </w:r>
      <w:r>
        <w:rPr>
          <w:spacing w:val="-1"/>
          <w:sz w:val="18"/>
        </w:rPr>
        <w:t xml:space="preserve"> </w:t>
      </w:r>
      <w:r>
        <w:rPr>
          <w:sz w:val="18"/>
        </w:rPr>
        <w:t>projected</w:t>
      </w:r>
      <w:r>
        <w:rPr>
          <w:spacing w:val="-4"/>
          <w:sz w:val="18"/>
        </w:rPr>
        <w:t xml:space="preserve"> </w:t>
      </w:r>
      <w:r>
        <w:rPr>
          <w:sz w:val="18"/>
        </w:rPr>
        <w:t>future</w:t>
      </w:r>
      <w:r>
        <w:rPr>
          <w:spacing w:val="-1"/>
          <w:sz w:val="18"/>
        </w:rPr>
        <w:t xml:space="preserve"> </w:t>
      </w:r>
      <w:r>
        <w:rPr>
          <w:sz w:val="18"/>
        </w:rPr>
        <w:t>claims</w:t>
      </w:r>
      <w:r>
        <w:rPr>
          <w:spacing w:val="-3"/>
          <w:sz w:val="18"/>
        </w:rPr>
        <w:t xml:space="preserve"> </w:t>
      </w:r>
      <w:r>
        <w:rPr>
          <w:sz w:val="18"/>
        </w:rPr>
        <w:t>payments</w:t>
      </w:r>
      <w:r>
        <w:rPr>
          <w:spacing w:val="-3"/>
          <w:sz w:val="18"/>
        </w:rPr>
        <w:t xml:space="preserve"> </w:t>
      </w:r>
      <w:r>
        <w:rPr>
          <w:sz w:val="18"/>
        </w:rPr>
        <w:t>for</w:t>
      </w:r>
      <w:r>
        <w:rPr>
          <w:spacing w:val="-2"/>
          <w:sz w:val="18"/>
        </w:rPr>
        <w:t xml:space="preserve"> </w:t>
      </w:r>
      <w:r>
        <w:rPr>
          <w:sz w:val="18"/>
        </w:rPr>
        <w:t>each</w:t>
      </w:r>
      <w:r>
        <w:rPr>
          <w:spacing w:val="-4"/>
          <w:sz w:val="18"/>
        </w:rPr>
        <w:t xml:space="preserve"> </w:t>
      </w:r>
      <w:r>
        <w:rPr>
          <w:sz w:val="18"/>
        </w:rPr>
        <w:t>year</w:t>
      </w:r>
      <w:r>
        <w:rPr>
          <w:spacing w:val="-2"/>
          <w:sz w:val="18"/>
        </w:rPr>
        <w:t xml:space="preserve"> </w:t>
      </w:r>
      <w:r>
        <w:rPr>
          <w:sz w:val="18"/>
        </w:rPr>
        <w:t>are</w:t>
      </w:r>
      <w:r>
        <w:rPr>
          <w:spacing w:val="-4"/>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4"/>
          <w:sz w:val="18"/>
        </w:rPr>
        <w:t xml:space="preserve"> </w:t>
      </w:r>
      <w:r>
        <w:rPr>
          <w:sz w:val="18"/>
        </w:rPr>
        <w:t>claim</w:t>
      </w:r>
      <w:r>
        <w:rPr>
          <w:spacing w:val="-1"/>
          <w:sz w:val="18"/>
        </w:rPr>
        <w:t xml:space="preserve"> </w:t>
      </w:r>
      <w:r>
        <w:rPr>
          <w:sz w:val="18"/>
        </w:rPr>
        <w:t>estimates</w:t>
      </w:r>
      <w:r>
        <w:rPr>
          <w:spacing w:val="-3"/>
          <w:sz w:val="18"/>
        </w:rPr>
        <w:t xml:space="preserve"> </w:t>
      </w:r>
      <w:r>
        <w:rPr>
          <w:sz w:val="18"/>
        </w:rPr>
        <w:t>and</w:t>
      </w:r>
      <w:r>
        <w:rPr>
          <w:spacing w:val="-4"/>
          <w:sz w:val="18"/>
        </w:rPr>
        <w:t xml:space="preserve"> </w:t>
      </w:r>
      <w:r>
        <w:rPr>
          <w:sz w:val="18"/>
        </w:rPr>
        <w:t>an</w:t>
      </w:r>
      <w:r>
        <w:rPr>
          <w:spacing w:val="-1"/>
          <w:sz w:val="18"/>
        </w:rPr>
        <w:t xml:space="preserve"> </w:t>
      </w:r>
      <w:r>
        <w:rPr>
          <w:sz w:val="18"/>
        </w:rPr>
        <w:t>allowance</w:t>
      </w:r>
      <w:r>
        <w:rPr>
          <w:spacing w:val="-1"/>
          <w:sz w:val="18"/>
        </w:rPr>
        <w:t xml:space="preserve"> </w:t>
      </w:r>
      <w:r>
        <w:rPr>
          <w:sz w:val="18"/>
        </w:rPr>
        <w:t>for the development of claims (Incurred But Not Enough Reported – IBNER) especially for the recent claim years in respect of which limited claims information is available and estimates are therefore the most subjective; and an allowance for losses, which were incurred but have not yet been reported (Incurred But Not Reported – IBNR).</w:t>
      </w:r>
    </w:p>
    <w:p w14:paraId="143A9295" w14:textId="77777777" w:rsidR="00AC6F3C" w:rsidRDefault="00AC6F3C">
      <w:pPr>
        <w:pStyle w:val="BodyText"/>
        <w:spacing w:before="9"/>
      </w:pPr>
    </w:p>
    <w:p w14:paraId="26160C83" w14:textId="77777777" w:rsidR="00AC6F3C" w:rsidRDefault="00570E88">
      <w:pPr>
        <w:ind w:left="958" w:right="990"/>
        <w:rPr>
          <w:sz w:val="18"/>
        </w:rPr>
      </w:pPr>
      <w:r>
        <w:rPr>
          <w:sz w:val="18"/>
        </w:rPr>
        <w:t>The</w:t>
      </w:r>
      <w:r>
        <w:rPr>
          <w:spacing w:val="-2"/>
          <w:sz w:val="18"/>
        </w:rPr>
        <w:t xml:space="preserve"> </w:t>
      </w:r>
      <w:r>
        <w:rPr>
          <w:sz w:val="18"/>
        </w:rPr>
        <w:t>IBNER</w:t>
      </w:r>
      <w:r>
        <w:rPr>
          <w:spacing w:val="-3"/>
          <w:sz w:val="18"/>
        </w:rPr>
        <w:t xml:space="preserve"> </w:t>
      </w:r>
      <w:r>
        <w:rPr>
          <w:sz w:val="18"/>
        </w:rPr>
        <w:t>and</w:t>
      </w:r>
      <w:r>
        <w:rPr>
          <w:spacing w:val="-2"/>
          <w:sz w:val="18"/>
        </w:rPr>
        <w:t xml:space="preserve"> </w:t>
      </w:r>
      <w:r>
        <w:rPr>
          <w:sz w:val="18"/>
        </w:rPr>
        <w:t>IBNR</w:t>
      </w:r>
      <w:r>
        <w:rPr>
          <w:spacing w:val="-3"/>
          <w:sz w:val="18"/>
        </w:rPr>
        <w:t xml:space="preserve"> </w:t>
      </w:r>
      <w:r>
        <w:rPr>
          <w:sz w:val="18"/>
        </w:rPr>
        <w:t>estimate</w:t>
      </w:r>
      <w:r>
        <w:rPr>
          <w:spacing w:val="-2"/>
          <w:sz w:val="18"/>
        </w:rPr>
        <w:t xml:space="preserve"> </w:t>
      </w:r>
      <w:r>
        <w:rPr>
          <w:sz w:val="18"/>
        </w:rPr>
        <w:t>has</w:t>
      </w:r>
      <w:r>
        <w:rPr>
          <w:spacing w:val="-2"/>
          <w:sz w:val="18"/>
        </w:rPr>
        <w:t xml:space="preserve"> </w:t>
      </w:r>
      <w:r>
        <w:rPr>
          <w:sz w:val="18"/>
        </w:rPr>
        <w:t>been</w:t>
      </w:r>
      <w:r>
        <w:rPr>
          <w:spacing w:val="-2"/>
          <w:sz w:val="18"/>
        </w:rPr>
        <w:t xml:space="preserve"> </w:t>
      </w:r>
      <w:r>
        <w:rPr>
          <w:sz w:val="18"/>
        </w:rPr>
        <w:t>calculated</w:t>
      </w:r>
      <w:r>
        <w:rPr>
          <w:spacing w:val="-5"/>
          <w:sz w:val="18"/>
        </w:rPr>
        <w:t xml:space="preserve"> </w:t>
      </w:r>
      <w:r>
        <w:rPr>
          <w:sz w:val="18"/>
        </w:rPr>
        <w:t>using</w:t>
      </w:r>
      <w:r>
        <w:rPr>
          <w:spacing w:val="-5"/>
          <w:sz w:val="18"/>
        </w:rPr>
        <w:t xml:space="preserve"> </w:t>
      </w:r>
      <w:r>
        <w:rPr>
          <w:sz w:val="18"/>
        </w:rPr>
        <w:t>a</w:t>
      </w:r>
      <w:r>
        <w:rPr>
          <w:spacing w:val="-5"/>
          <w:sz w:val="18"/>
        </w:rPr>
        <w:t xml:space="preserve"> </w:t>
      </w:r>
      <w:r>
        <w:rPr>
          <w:sz w:val="18"/>
        </w:rPr>
        <w:t>combination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Incurred</w:t>
      </w:r>
      <w:r>
        <w:rPr>
          <w:spacing w:val="-2"/>
          <w:sz w:val="18"/>
        </w:rPr>
        <w:t xml:space="preserve"> </w:t>
      </w:r>
      <w:r>
        <w:rPr>
          <w:sz w:val="18"/>
        </w:rPr>
        <w:t xml:space="preserve">Claims Development (“ICD”) and </w:t>
      </w:r>
      <w:proofErr w:type="spellStart"/>
      <w:r>
        <w:rPr>
          <w:sz w:val="18"/>
        </w:rPr>
        <w:t>Bornhuetter</w:t>
      </w:r>
      <w:proofErr w:type="spellEnd"/>
      <w:r>
        <w:rPr>
          <w:sz w:val="18"/>
        </w:rPr>
        <w:t>-Ferguson (“BF”) methods.</w:t>
      </w:r>
    </w:p>
    <w:p w14:paraId="36EAC1C7" w14:textId="77777777" w:rsidR="00AC6F3C" w:rsidRDefault="00AC6F3C">
      <w:pPr>
        <w:pStyle w:val="BodyText"/>
        <w:spacing w:before="9"/>
      </w:pPr>
    </w:p>
    <w:p w14:paraId="6718AE02" w14:textId="77777777" w:rsidR="00AC6F3C" w:rsidRDefault="00570E88">
      <w:pPr>
        <w:ind w:left="958"/>
        <w:rPr>
          <w:b/>
          <w:sz w:val="20"/>
        </w:rPr>
      </w:pPr>
      <w:r>
        <w:rPr>
          <w:b/>
          <w:sz w:val="20"/>
        </w:rPr>
        <w:t>Key</w:t>
      </w:r>
      <w:r>
        <w:rPr>
          <w:b/>
          <w:spacing w:val="-6"/>
          <w:sz w:val="20"/>
        </w:rPr>
        <w:t xml:space="preserve"> </w:t>
      </w:r>
      <w:r>
        <w:rPr>
          <w:b/>
          <w:spacing w:val="-2"/>
          <w:sz w:val="20"/>
        </w:rPr>
        <w:t>assumptions</w:t>
      </w:r>
    </w:p>
    <w:p w14:paraId="38D85DD7" w14:textId="77777777" w:rsidR="00AC6F3C" w:rsidRDefault="00AC6F3C">
      <w:pPr>
        <w:pStyle w:val="BodyText"/>
        <w:spacing w:before="10"/>
        <w:rPr>
          <w:b/>
        </w:rPr>
      </w:pPr>
    </w:p>
    <w:p w14:paraId="5F94D626" w14:textId="77777777" w:rsidR="00AC6F3C" w:rsidRDefault="00570E88">
      <w:pPr>
        <w:ind w:left="958" w:right="632"/>
        <w:rPr>
          <w:sz w:val="18"/>
        </w:rPr>
      </w:pPr>
      <w:r>
        <w:rPr>
          <w:sz w:val="18"/>
        </w:rPr>
        <w:t>The</w:t>
      </w:r>
      <w:r>
        <w:rPr>
          <w:spacing w:val="-1"/>
          <w:sz w:val="18"/>
        </w:rPr>
        <w:t xml:space="preserve"> </w:t>
      </w:r>
      <w:r>
        <w:rPr>
          <w:sz w:val="18"/>
        </w:rPr>
        <w:t>following</w:t>
      </w:r>
      <w:r>
        <w:rPr>
          <w:spacing w:val="-4"/>
          <w:sz w:val="18"/>
        </w:rPr>
        <w:t xml:space="preserve"> </w:t>
      </w:r>
      <w:r>
        <w:rPr>
          <w:sz w:val="18"/>
        </w:rPr>
        <w:t>key</w:t>
      </w:r>
      <w:r>
        <w:rPr>
          <w:spacing w:val="-3"/>
          <w:sz w:val="18"/>
        </w:rPr>
        <w:t xml:space="preserve"> </w:t>
      </w:r>
      <w:r>
        <w:rPr>
          <w:sz w:val="18"/>
        </w:rPr>
        <w:t>valuation</w:t>
      </w:r>
      <w:r>
        <w:rPr>
          <w:spacing w:val="-4"/>
          <w:sz w:val="18"/>
        </w:rPr>
        <w:t xml:space="preserve"> </w:t>
      </w:r>
      <w:r>
        <w:rPr>
          <w:sz w:val="18"/>
        </w:rPr>
        <w:t>assumptions</w:t>
      </w:r>
      <w:r>
        <w:rPr>
          <w:spacing w:val="-3"/>
          <w:sz w:val="18"/>
        </w:rPr>
        <w:t xml:space="preserve"> </w:t>
      </w:r>
      <w:r>
        <w:rPr>
          <w:sz w:val="18"/>
        </w:rPr>
        <w:t>have</w:t>
      </w:r>
      <w:r>
        <w:rPr>
          <w:spacing w:val="-1"/>
          <w:sz w:val="18"/>
        </w:rPr>
        <w:t xml:space="preserve"> </w:t>
      </w:r>
      <w:r>
        <w:rPr>
          <w:sz w:val="18"/>
        </w:rPr>
        <w:t>been</w:t>
      </w:r>
      <w:r>
        <w:rPr>
          <w:spacing w:val="-1"/>
          <w:sz w:val="18"/>
        </w:rPr>
        <w:t xml:space="preserve"> </w:t>
      </w:r>
      <w:r>
        <w:rPr>
          <w:sz w:val="18"/>
        </w:rPr>
        <w:t>used</w:t>
      </w:r>
      <w:r>
        <w:rPr>
          <w:spacing w:val="-4"/>
          <w:sz w:val="18"/>
        </w:rPr>
        <w:t xml:space="preserve"> </w:t>
      </w:r>
      <w:r>
        <w:rPr>
          <w:sz w:val="18"/>
        </w:rPr>
        <w:t>to</w:t>
      </w:r>
      <w:r>
        <w:rPr>
          <w:spacing w:val="-4"/>
          <w:sz w:val="18"/>
        </w:rPr>
        <w:t xml:space="preserve"> </w:t>
      </w:r>
      <w:r>
        <w:rPr>
          <w:sz w:val="18"/>
        </w:rPr>
        <w:t>estimate</w:t>
      </w:r>
      <w:r>
        <w:rPr>
          <w:spacing w:val="-1"/>
          <w:sz w:val="18"/>
        </w:rPr>
        <w:t xml:space="preserve"> </w:t>
      </w:r>
      <w:r>
        <w:rPr>
          <w:sz w:val="18"/>
        </w:rPr>
        <w:t>future</w:t>
      </w:r>
      <w:r>
        <w:rPr>
          <w:spacing w:val="-1"/>
          <w:sz w:val="18"/>
        </w:rPr>
        <w:t xml:space="preserve"> </w:t>
      </w:r>
      <w:r>
        <w:rPr>
          <w:sz w:val="18"/>
        </w:rPr>
        <w:t>projected</w:t>
      </w:r>
      <w:r>
        <w:rPr>
          <w:spacing w:val="-4"/>
          <w:sz w:val="18"/>
        </w:rPr>
        <w:t xml:space="preserve"> </w:t>
      </w:r>
      <w:r>
        <w:rPr>
          <w:sz w:val="18"/>
        </w:rPr>
        <w:t>payments</w:t>
      </w:r>
      <w:r>
        <w:rPr>
          <w:spacing w:val="-1"/>
          <w:sz w:val="18"/>
        </w:rPr>
        <w:t xml:space="preserve"> </w:t>
      </w:r>
      <w:r>
        <w:rPr>
          <w:sz w:val="18"/>
        </w:rPr>
        <w:t>and outstanding claims liabilities:</w:t>
      </w:r>
    </w:p>
    <w:p w14:paraId="6BE84FDC" w14:textId="77777777" w:rsidR="00AC6F3C" w:rsidRDefault="00AC6F3C">
      <w:pPr>
        <w:pStyle w:val="BodyText"/>
        <w:rPr>
          <w:sz w:val="21"/>
        </w:rPr>
      </w:pPr>
    </w:p>
    <w:p w14:paraId="4A4CA5E1" w14:textId="77777777" w:rsidR="00AC6F3C" w:rsidRDefault="00570E88">
      <w:pPr>
        <w:pStyle w:val="ListParagraph"/>
        <w:numPr>
          <w:ilvl w:val="0"/>
          <w:numId w:val="29"/>
        </w:numPr>
        <w:tabs>
          <w:tab w:val="left" w:pos="1318"/>
        </w:tabs>
        <w:spacing w:before="0"/>
        <w:ind w:left="1318"/>
        <w:rPr>
          <w:sz w:val="18"/>
        </w:rPr>
      </w:pPr>
      <w:r>
        <w:rPr>
          <w:sz w:val="18"/>
        </w:rPr>
        <w:t>The</w:t>
      </w:r>
      <w:r>
        <w:rPr>
          <w:spacing w:val="-2"/>
          <w:sz w:val="18"/>
        </w:rPr>
        <w:t xml:space="preserve"> </w:t>
      </w:r>
      <w:r>
        <w:rPr>
          <w:sz w:val="18"/>
        </w:rPr>
        <w:t>ICD</w:t>
      </w:r>
      <w:r>
        <w:rPr>
          <w:spacing w:val="-3"/>
          <w:sz w:val="18"/>
        </w:rPr>
        <w:t xml:space="preserve"> </w:t>
      </w:r>
      <w:r>
        <w:rPr>
          <w:sz w:val="18"/>
        </w:rPr>
        <w:t>basis</w:t>
      </w:r>
      <w:r>
        <w:rPr>
          <w:spacing w:val="-2"/>
          <w:sz w:val="18"/>
        </w:rPr>
        <w:t xml:space="preserve"> </w:t>
      </w:r>
      <w:r>
        <w:rPr>
          <w:sz w:val="18"/>
        </w:rPr>
        <w:t>allows</w:t>
      </w:r>
      <w:r>
        <w:rPr>
          <w:spacing w:val="-1"/>
          <w:sz w:val="18"/>
        </w:rPr>
        <w:t xml:space="preserve"> </w:t>
      </w:r>
      <w:r>
        <w:rPr>
          <w:sz w:val="18"/>
        </w:rPr>
        <w:t>for</w:t>
      </w:r>
      <w:r>
        <w:rPr>
          <w:spacing w:val="-3"/>
          <w:sz w:val="18"/>
        </w:rPr>
        <w:t xml:space="preserve"> </w:t>
      </w:r>
      <w:r>
        <w:rPr>
          <w:sz w:val="18"/>
        </w:rPr>
        <w:t>the</w:t>
      </w:r>
      <w:r>
        <w:rPr>
          <w:spacing w:val="-2"/>
          <w:sz w:val="18"/>
        </w:rPr>
        <w:t xml:space="preserve"> </w:t>
      </w:r>
      <w:r>
        <w:rPr>
          <w:sz w:val="18"/>
        </w:rPr>
        <w:t>following</w:t>
      </w:r>
      <w:r>
        <w:rPr>
          <w:spacing w:val="-1"/>
          <w:sz w:val="18"/>
        </w:rPr>
        <w:t xml:space="preserve"> </w:t>
      </w:r>
      <w:r>
        <w:rPr>
          <w:spacing w:val="-2"/>
          <w:sz w:val="18"/>
        </w:rPr>
        <w:t>development:</w:t>
      </w:r>
    </w:p>
    <w:p w14:paraId="7984856C" w14:textId="77777777" w:rsidR="00AC6F3C" w:rsidRDefault="00AC6F3C">
      <w:pPr>
        <w:pStyle w:val="BodyText"/>
        <w:spacing w:before="8" w:after="1"/>
      </w:pPr>
    </w:p>
    <w:tbl>
      <w:tblPr>
        <w:tblW w:w="0" w:type="auto"/>
        <w:tblInd w:w="958" w:type="dxa"/>
        <w:tblLayout w:type="fixed"/>
        <w:tblCellMar>
          <w:left w:w="0" w:type="dxa"/>
          <w:right w:w="0" w:type="dxa"/>
        </w:tblCellMar>
        <w:tblLook w:val="01E0" w:firstRow="1" w:lastRow="1" w:firstColumn="1" w:lastColumn="1" w:noHBand="0" w:noVBand="0"/>
      </w:tblPr>
      <w:tblGrid>
        <w:gridCol w:w="1355"/>
        <w:gridCol w:w="981"/>
        <w:gridCol w:w="1235"/>
        <w:gridCol w:w="897"/>
        <w:gridCol w:w="1666"/>
        <w:gridCol w:w="793"/>
        <w:gridCol w:w="1036"/>
        <w:gridCol w:w="1239"/>
      </w:tblGrid>
      <w:tr w:rsidR="00AC6F3C" w14:paraId="1E6F4D6C" w14:textId="77777777">
        <w:trPr>
          <w:trHeight w:val="359"/>
        </w:trPr>
        <w:tc>
          <w:tcPr>
            <w:tcW w:w="4468" w:type="dxa"/>
            <w:gridSpan w:val="4"/>
            <w:shd w:val="clear" w:color="auto" w:fill="D9D9D9"/>
          </w:tcPr>
          <w:p w14:paraId="6BFF7485" w14:textId="77777777" w:rsidR="00AC6F3C" w:rsidRDefault="00AC6F3C">
            <w:pPr>
              <w:pStyle w:val="TableParagraph"/>
              <w:rPr>
                <w:rFonts w:ascii="Times New Roman"/>
                <w:sz w:val="18"/>
              </w:rPr>
            </w:pPr>
          </w:p>
        </w:tc>
        <w:tc>
          <w:tcPr>
            <w:tcW w:w="1666" w:type="dxa"/>
            <w:shd w:val="clear" w:color="auto" w:fill="D9D9D9"/>
          </w:tcPr>
          <w:p w14:paraId="42260EEC" w14:textId="77777777" w:rsidR="00AC6F3C" w:rsidRDefault="00570E88">
            <w:pPr>
              <w:pStyle w:val="TableParagraph"/>
              <w:spacing w:before="76"/>
              <w:ind w:left="22"/>
              <w:rPr>
                <w:b/>
                <w:sz w:val="18"/>
              </w:rPr>
            </w:pPr>
            <w:r>
              <w:rPr>
                <w:b/>
                <w:sz w:val="18"/>
              </w:rPr>
              <w:t>Development</w:t>
            </w:r>
            <w:r>
              <w:rPr>
                <w:b/>
                <w:spacing w:val="-5"/>
                <w:sz w:val="18"/>
              </w:rPr>
              <w:t xml:space="preserve"> </w:t>
            </w:r>
            <w:r>
              <w:rPr>
                <w:b/>
                <w:spacing w:val="-4"/>
                <w:sz w:val="18"/>
              </w:rPr>
              <w:t>Year</w:t>
            </w:r>
          </w:p>
        </w:tc>
        <w:tc>
          <w:tcPr>
            <w:tcW w:w="3068" w:type="dxa"/>
            <w:gridSpan w:val="3"/>
            <w:shd w:val="clear" w:color="auto" w:fill="D9D9D9"/>
          </w:tcPr>
          <w:p w14:paraId="49175045" w14:textId="77777777" w:rsidR="00AC6F3C" w:rsidRDefault="00AC6F3C">
            <w:pPr>
              <w:pStyle w:val="TableParagraph"/>
              <w:rPr>
                <w:rFonts w:ascii="Times New Roman"/>
                <w:sz w:val="18"/>
              </w:rPr>
            </w:pPr>
          </w:p>
        </w:tc>
      </w:tr>
      <w:tr w:rsidR="00AC6F3C" w14:paraId="1D580939" w14:textId="77777777">
        <w:trPr>
          <w:trHeight w:val="500"/>
        </w:trPr>
        <w:tc>
          <w:tcPr>
            <w:tcW w:w="1355" w:type="dxa"/>
          </w:tcPr>
          <w:p w14:paraId="2EF9E05B" w14:textId="77777777" w:rsidR="00AC6F3C" w:rsidRDefault="00570E88">
            <w:pPr>
              <w:pStyle w:val="TableParagraph"/>
              <w:spacing w:before="25"/>
              <w:ind w:left="115"/>
              <w:rPr>
                <w:b/>
                <w:sz w:val="18"/>
              </w:rPr>
            </w:pPr>
            <w:r>
              <w:rPr>
                <w:b/>
                <w:spacing w:val="-2"/>
                <w:sz w:val="18"/>
              </w:rPr>
              <w:t>Development Factor</w:t>
            </w:r>
          </w:p>
        </w:tc>
        <w:tc>
          <w:tcPr>
            <w:tcW w:w="981" w:type="dxa"/>
          </w:tcPr>
          <w:p w14:paraId="4320DEC5" w14:textId="77777777" w:rsidR="00AC6F3C" w:rsidRDefault="00570E88">
            <w:pPr>
              <w:pStyle w:val="TableParagraph"/>
              <w:spacing w:before="25"/>
              <w:ind w:left="106"/>
              <w:rPr>
                <w:sz w:val="18"/>
              </w:rPr>
            </w:pPr>
            <w:r>
              <w:rPr>
                <w:spacing w:val="-5"/>
                <w:sz w:val="18"/>
              </w:rPr>
              <w:t>Yr2</w:t>
            </w:r>
          </w:p>
        </w:tc>
        <w:tc>
          <w:tcPr>
            <w:tcW w:w="1235" w:type="dxa"/>
          </w:tcPr>
          <w:p w14:paraId="5F0F11FE" w14:textId="77777777" w:rsidR="00AC6F3C" w:rsidRDefault="00570E88">
            <w:pPr>
              <w:pStyle w:val="TableParagraph"/>
              <w:spacing w:before="25"/>
              <w:ind w:left="361"/>
              <w:rPr>
                <w:sz w:val="18"/>
              </w:rPr>
            </w:pPr>
            <w:r>
              <w:rPr>
                <w:spacing w:val="-5"/>
                <w:sz w:val="18"/>
              </w:rPr>
              <w:t>Yr3</w:t>
            </w:r>
          </w:p>
        </w:tc>
        <w:tc>
          <w:tcPr>
            <w:tcW w:w="897" w:type="dxa"/>
          </w:tcPr>
          <w:p w14:paraId="603222BA" w14:textId="77777777" w:rsidR="00AC6F3C" w:rsidRDefault="00570E88">
            <w:pPr>
              <w:pStyle w:val="TableParagraph"/>
              <w:spacing w:before="25"/>
              <w:ind w:left="359"/>
              <w:rPr>
                <w:sz w:val="18"/>
              </w:rPr>
            </w:pPr>
            <w:r>
              <w:rPr>
                <w:spacing w:val="-5"/>
                <w:sz w:val="18"/>
              </w:rPr>
              <w:t>Yr4</w:t>
            </w:r>
          </w:p>
        </w:tc>
        <w:tc>
          <w:tcPr>
            <w:tcW w:w="1666" w:type="dxa"/>
          </w:tcPr>
          <w:p w14:paraId="7E6B1128" w14:textId="77777777" w:rsidR="00AC6F3C" w:rsidRDefault="00570E88">
            <w:pPr>
              <w:pStyle w:val="TableParagraph"/>
              <w:spacing w:before="25"/>
              <w:ind w:left="685" w:right="674"/>
              <w:jc w:val="center"/>
              <w:rPr>
                <w:sz w:val="18"/>
              </w:rPr>
            </w:pPr>
            <w:r>
              <w:rPr>
                <w:spacing w:val="-5"/>
                <w:sz w:val="18"/>
              </w:rPr>
              <w:t>Yr5</w:t>
            </w:r>
          </w:p>
        </w:tc>
        <w:tc>
          <w:tcPr>
            <w:tcW w:w="793" w:type="dxa"/>
          </w:tcPr>
          <w:p w14:paraId="6C7E38B2" w14:textId="77777777" w:rsidR="00AC6F3C" w:rsidRDefault="00570E88">
            <w:pPr>
              <w:pStyle w:val="TableParagraph"/>
              <w:spacing w:before="25"/>
              <w:ind w:left="67"/>
              <w:rPr>
                <w:sz w:val="18"/>
              </w:rPr>
            </w:pPr>
            <w:r>
              <w:rPr>
                <w:spacing w:val="-5"/>
                <w:sz w:val="18"/>
              </w:rPr>
              <w:t>Yr6</w:t>
            </w:r>
          </w:p>
        </w:tc>
        <w:tc>
          <w:tcPr>
            <w:tcW w:w="1036" w:type="dxa"/>
          </w:tcPr>
          <w:p w14:paraId="4151E698" w14:textId="77777777" w:rsidR="00AC6F3C" w:rsidRDefault="00570E88">
            <w:pPr>
              <w:pStyle w:val="TableParagraph"/>
              <w:spacing w:before="25"/>
              <w:ind w:left="308"/>
              <w:rPr>
                <w:sz w:val="18"/>
              </w:rPr>
            </w:pPr>
            <w:r>
              <w:rPr>
                <w:spacing w:val="-5"/>
                <w:sz w:val="18"/>
              </w:rPr>
              <w:t>Yr7</w:t>
            </w:r>
          </w:p>
        </w:tc>
        <w:tc>
          <w:tcPr>
            <w:tcW w:w="1239" w:type="dxa"/>
          </w:tcPr>
          <w:p w14:paraId="7E083EA4" w14:textId="77777777" w:rsidR="00AC6F3C" w:rsidRDefault="00570E88">
            <w:pPr>
              <w:pStyle w:val="TableParagraph"/>
              <w:spacing w:before="25"/>
              <w:ind w:left="309"/>
              <w:rPr>
                <w:sz w:val="18"/>
              </w:rPr>
            </w:pPr>
            <w:r>
              <w:rPr>
                <w:spacing w:val="-5"/>
                <w:sz w:val="18"/>
              </w:rPr>
              <w:t>Yr8</w:t>
            </w:r>
          </w:p>
        </w:tc>
      </w:tr>
      <w:tr w:rsidR="00AC6F3C" w14:paraId="0703F1DE" w14:textId="77777777">
        <w:trPr>
          <w:trHeight w:val="322"/>
        </w:trPr>
        <w:tc>
          <w:tcPr>
            <w:tcW w:w="1355" w:type="dxa"/>
          </w:tcPr>
          <w:p w14:paraId="55669C0F" w14:textId="77777777" w:rsidR="00AC6F3C" w:rsidRDefault="00570E88">
            <w:pPr>
              <w:pStyle w:val="TableParagraph"/>
              <w:spacing w:before="55"/>
              <w:ind w:left="115"/>
              <w:rPr>
                <w:b/>
                <w:sz w:val="18"/>
              </w:rPr>
            </w:pPr>
            <w:r>
              <w:rPr>
                <w:b/>
                <w:sz w:val="18"/>
              </w:rPr>
              <w:t>Current</w:t>
            </w:r>
            <w:r>
              <w:rPr>
                <w:b/>
                <w:spacing w:val="-3"/>
                <w:sz w:val="18"/>
              </w:rPr>
              <w:t xml:space="preserve"> </w:t>
            </w:r>
            <w:r>
              <w:rPr>
                <w:b/>
                <w:spacing w:val="-4"/>
                <w:sz w:val="18"/>
              </w:rPr>
              <w:t>Year</w:t>
            </w:r>
          </w:p>
        </w:tc>
        <w:tc>
          <w:tcPr>
            <w:tcW w:w="981" w:type="dxa"/>
          </w:tcPr>
          <w:p w14:paraId="5C7DC8CF" w14:textId="77777777" w:rsidR="00AC6F3C" w:rsidRDefault="00570E88">
            <w:pPr>
              <w:pStyle w:val="TableParagraph"/>
              <w:spacing w:before="55"/>
              <w:ind w:left="106"/>
              <w:rPr>
                <w:sz w:val="18"/>
              </w:rPr>
            </w:pPr>
            <w:r>
              <w:rPr>
                <w:spacing w:val="-2"/>
                <w:sz w:val="18"/>
              </w:rPr>
              <w:t>24.5%</w:t>
            </w:r>
          </w:p>
        </w:tc>
        <w:tc>
          <w:tcPr>
            <w:tcW w:w="1235" w:type="dxa"/>
          </w:tcPr>
          <w:p w14:paraId="608D937A" w14:textId="77777777" w:rsidR="00AC6F3C" w:rsidRDefault="00570E88">
            <w:pPr>
              <w:pStyle w:val="TableParagraph"/>
              <w:spacing w:before="55"/>
              <w:ind w:left="361"/>
              <w:rPr>
                <w:sz w:val="18"/>
              </w:rPr>
            </w:pPr>
            <w:r>
              <w:rPr>
                <w:spacing w:val="-2"/>
                <w:sz w:val="18"/>
              </w:rPr>
              <w:t>14.9%</w:t>
            </w:r>
          </w:p>
        </w:tc>
        <w:tc>
          <w:tcPr>
            <w:tcW w:w="897" w:type="dxa"/>
          </w:tcPr>
          <w:p w14:paraId="325F86D6" w14:textId="77777777" w:rsidR="00AC6F3C" w:rsidRDefault="00570E88">
            <w:pPr>
              <w:pStyle w:val="TableParagraph"/>
              <w:spacing w:before="55"/>
              <w:ind w:left="359"/>
              <w:rPr>
                <w:sz w:val="18"/>
              </w:rPr>
            </w:pPr>
            <w:r>
              <w:rPr>
                <w:spacing w:val="-2"/>
                <w:sz w:val="18"/>
              </w:rPr>
              <w:t>12.8%</w:t>
            </w:r>
          </w:p>
        </w:tc>
        <w:tc>
          <w:tcPr>
            <w:tcW w:w="1666" w:type="dxa"/>
          </w:tcPr>
          <w:p w14:paraId="15C49F94" w14:textId="77777777" w:rsidR="00AC6F3C" w:rsidRDefault="00570E88">
            <w:pPr>
              <w:pStyle w:val="TableParagraph"/>
              <w:spacing w:before="55"/>
              <w:ind w:left="698"/>
              <w:rPr>
                <w:sz w:val="18"/>
              </w:rPr>
            </w:pPr>
            <w:r>
              <w:rPr>
                <w:spacing w:val="-4"/>
                <w:sz w:val="18"/>
              </w:rPr>
              <w:t>4.8%</w:t>
            </w:r>
          </w:p>
        </w:tc>
        <w:tc>
          <w:tcPr>
            <w:tcW w:w="793" w:type="dxa"/>
          </w:tcPr>
          <w:p w14:paraId="332AB075" w14:textId="77777777" w:rsidR="00AC6F3C" w:rsidRDefault="00570E88">
            <w:pPr>
              <w:pStyle w:val="TableParagraph"/>
              <w:spacing w:before="55"/>
              <w:ind w:left="67"/>
              <w:rPr>
                <w:sz w:val="18"/>
              </w:rPr>
            </w:pPr>
            <w:r>
              <w:rPr>
                <w:spacing w:val="-4"/>
                <w:sz w:val="18"/>
              </w:rPr>
              <w:t>2.8%</w:t>
            </w:r>
          </w:p>
        </w:tc>
        <w:tc>
          <w:tcPr>
            <w:tcW w:w="1036" w:type="dxa"/>
          </w:tcPr>
          <w:p w14:paraId="07C03B1E" w14:textId="77777777" w:rsidR="00AC6F3C" w:rsidRDefault="00570E88">
            <w:pPr>
              <w:pStyle w:val="TableParagraph"/>
              <w:spacing w:before="55"/>
              <w:ind w:left="308"/>
              <w:rPr>
                <w:sz w:val="18"/>
              </w:rPr>
            </w:pPr>
            <w:r>
              <w:rPr>
                <w:spacing w:val="-4"/>
                <w:sz w:val="18"/>
              </w:rPr>
              <w:t>3.2%</w:t>
            </w:r>
          </w:p>
        </w:tc>
        <w:tc>
          <w:tcPr>
            <w:tcW w:w="1239" w:type="dxa"/>
          </w:tcPr>
          <w:p w14:paraId="74A8B3BB" w14:textId="77777777" w:rsidR="00AC6F3C" w:rsidRDefault="00570E88">
            <w:pPr>
              <w:pStyle w:val="TableParagraph"/>
              <w:spacing w:before="55"/>
              <w:ind w:left="309"/>
              <w:rPr>
                <w:sz w:val="18"/>
              </w:rPr>
            </w:pPr>
            <w:r>
              <w:rPr>
                <w:spacing w:val="-4"/>
                <w:sz w:val="18"/>
              </w:rPr>
              <w:t>2.0%</w:t>
            </w:r>
          </w:p>
        </w:tc>
      </w:tr>
      <w:tr w:rsidR="00AC6F3C" w14:paraId="547CAF83" w14:textId="77777777">
        <w:trPr>
          <w:trHeight w:val="350"/>
        </w:trPr>
        <w:tc>
          <w:tcPr>
            <w:tcW w:w="1355" w:type="dxa"/>
            <w:tcBorders>
              <w:bottom w:val="single" w:sz="4" w:space="0" w:color="000000"/>
            </w:tcBorders>
          </w:tcPr>
          <w:p w14:paraId="3D627889" w14:textId="77777777" w:rsidR="00AC6F3C" w:rsidRDefault="00570E88">
            <w:pPr>
              <w:pStyle w:val="TableParagraph"/>
              <w:spacing w:before="54"/>
              <w:ind w:left="115"/>
              <w:rPr>
                <w:b/>
                <w:sz w:val="18"/>
              </w:rPr>
            </w:pPr>
            <w:r>
              <w:rPr>
                <w:b/>
                <w:sz w:val="18"/>
              </w:rPr>
              <w:t>Prior</w:t>
            </w:r>
            <w:r>
              <w:rPr>
                <w:b/>
                <w:spacing w:val="-2"/>
                <w:sz w:val="18"/>
              </w:rPr>
              <w:t xml:space="preserve"> </w:t>
            </w:r>
            <w:r>
              <w:rPr>
                <w:b/>
                <w:spacing w:val="-4"/>
                <w:sz w:val="18"/>
              </w:rPr>
              <w:t>Year</w:t>
            </w:r>
          </w:p>
        </w:tc>
        <w:tc>
          <w:tcPr>
            <w:tcW w:w="981" w:type="dxa"/>
            <w:tcBorders>
              <w:bottom w:val="single" w:sz="4" w:space="0" w:color="000000"/>
            </w:tcBorders>
          </w:tcPr>
          <w:p w14:paraId="05B70407" w14:textId="77777777" w:rsidR="00AC6F3C" w:rsidRDefault="00570E88">
            <w:pPr>
              <w:pStyle w:val="TableParagraph"/>
              <w:spacing w:before="54"/>
              <w:ind w:left="106"/>
              <w:rPr>
                <w:sz w:val="18"/>
              </w:rPr>
            </w:pPr>
            <w:r>
              <w:rPr>
                <w:spacing w:val="-2"/>
                <w:sz w:val="18"/>
              </w:rPr>
              <w:t>24.4%</w:t>
            </w:r>
          </w:p>
        </w:tc>
        <w:tc>
          <w:tcPr>
            <w:tcW w:w="1235" w:type="dxa"/>
            <w:tcBorders>
              <w:bottom w:val="single" w:sz="4" w:space="0" w:color="000000"/>
            </w:tcBorders>
          </w:tcPr>
          <w:p w14:paraId="5922355E" w14:textId="77777777" w:rsidR="00AC6F3C" w:rsidRDefault="00570E88">
            <w:pPr>
              <w:pStyle w:val="TableParagraph"/>
              <w:spacing w:before="54"/>
              <w:ind w:left="361"/>
              <w:rPr>
                <w:sz w:val="18"/>
              </w:rPr>
            </w:pPr>
            <w:r>
              <w:rPr>
                <w:spacing w:val="-2"/>
                <w:sz w:val="18"/>
              </w:rPr>
              <w:t>16.7%</w:t>
            </w:r>
          </w:p>
        </w:tc>
        <w:tc>
          <w:tcPr>
            <w:tcW w:w="897" w:type="dxa"/>
            <w:tcBorders>
              <w:bottom w:val="single" w:sz="4" w:space="0" w:color="000000"/>
            </w:tcBorders>
          </w:tcPr>
          <w:p w14:paraId="1066332A" w14:textId="77777777" w:rsidR="00AC6F3C" w:rsidRDefault="00570E88">
            <w:pPr>
              <w:pStyle w:val="TableParagraph"/>
              <w:spacing w:before="54"/>
              <w:ind w:left="359"/>
              <w:rPr>
                <w:sz w:val="18"/>
              </w:rPr>
            </w:pPr>
            <w:r>
              <w:rPr>
                <w:spacing w:val="-2"/>
                <w:sz w:val="18"/>
              </w:rPr>
              <w:t>14.6%</w:t>
            </w:r>
          </w:p>
        </w:tc>
        <w:tc>
          <w:tcPr>
            <w:tcW w:w="1666" w:type="dxa"/>
            <w:tcBorders>
              <w:bottom w:val="single" w:sz="4" w:space="0" w:color="000000"/>
            </w:tcBorders>
          </w:tcPr>
          <w:p w14:paraId="3BC587D5" w14:textId="77777777" w:rsidR="00AC6F3C" w:rsidRDefault="00570E88">
            <w:pPr>
              <w:pStyle w:val="TableParagraph"/>
              <w:spacing w:before="54"/>
              <w:ind w:left="698"/>
              <w:rPr>
                <w:sz w:val="18"/>
              </w:rPr>
            </w:pPr>
            <w:r>
              <w:rPr>
                <w:spacing w:val="-4"/>
                <w:sz w:val="18"/>
              </w:rPr>
              <w:t>6.7%</w:t>
            </w:r>
          </w:p>
        </w:tc>
        <w:tc>
          <w:tcPr>
            <w:tcW w:w="793" w:type="dxa"/>
            <w:tcBorders>
              <w:bottom w:val="single" w:sz="4" w:space="0" w:color="000000"/>
            </w:tcBorders>
          </w:tcPr>
          <w:p w14:paraId="23F8CB5A" w14:textId="77777777" w:rsidR="00AC6F3C" w:rsidRDefault="00570E88">
            <w:pPr>
              <w:pStyle w:val="TableParagraph"/>
              <w:spacing w:before="54"/>
              <w:ind w:left="67"/>
              <w:rPr>
                <w:sz w:val="18"/>
              </w:rPr>
            </w:pPr>
            <w:r>
              <w:rPr>
                <w:spacing w:val="-4"/>
                <w:sz w:val="18"/>
              </w:rPr>
              <w:t>4.9%</w:t>
            </w:r>
          </w:p>
        </w:tc>
        <w:tc>
          <w:tcPr>
            <w:tcW w:w="1036" w:type="dxa"/>
            <w:tcBorders>
              <w:bottom w:val="single" w:sz="4" w:space="0" w:color="000000"/>
            </w:tcBorders>
          </w:tcPr>
          <w:p w14:paraId="1A9DEE6D" w14:textId="77777777" w:rsidR="00AC6F3C" w:rsidRDefault="00570E88">
            <w:pPr>
              <w:pStyle w:val="TableParagraph"/>
              <w:spacing w:before="54"/>
              <w:ind w:left="308"/>
              <w:rPr>
                <w:sz w:val="18"/>
              </w:rPr>
            </w:pPr>
            <w:r>
              <w:rPr>
                <w:spacing w:val="-4"/>
                <w:sz w:val="18"/>
              </w:rPr>
              <w:t>3.2%</w:t>
            </w:r>
          </w:p>
        </w:tc>
        <w:tc>
          <w:tcPr>
            <w:tcW w:w="1239" w:type="dxa"/>
            <w:tcBorders>
              <w:bottom w:val="single" w:sz="4" w:space="0" w:color="000000"/>
            </w:tcBorders>
          </w:tcPr>
          <w:p w14:paraId="37D07DF3" w14:textId="77777777" w:rsidR="00AC6F3C" w:rsidRDefault="00570E88">
            <w:pPr>
              <w:pStyle w:val="TableParagraph"/>
              <w:spacing w:before="54"/>
              <w:ind w:left="309"/>
              <w:rPr>
                <w:sz w:val="18"/>
              </w:rPr>
            </w:pPr>
            <w:r>
              <w:rPr>
                <w:spacing w:val="-4"/>
                <w:sz w:val="18"/>
              </w:rPr>
              <w:t>2.0%</w:t>
            </w:r>
          </w:p>
        </w:tc>
      </w:tr>
    </w:tbl>
    <w:p w14:paraId="4E66256E" w14:textId="77777777" w:rsidR="00AC6F3C" w:rsidRDefault="00AC6F3C">
      <w:pPr>
        <w:pStyle w:val="BodyText"/>
        <w:spacing w:before="10"/>
      </w:pPr>
    </w:p>
    <w:p w14:paraId="3FB6DBEE" w14:textId="77777777" w:rsidR="00AC6F3C" w:rsidRDefault="00570E88">
      <w:pPr>
        <w:pStyle w:val="ListParagraph"/>
        <w:numPr>
          <w:ilvl w:val="0"/>
          <w:numId w:val="29"/>
        </w:numPr>
        <w:tabs>
          <w:tab w:val="left" w:pos="1315"/>
        </w:tabs>
        <w:spacing w:before="1"/>
        <w:ind w:hanging="357"/>
        <w:rPr>
          <w:sz w:val="18"/>
        </w:rPr>
      </w:pPr>
      <w:r>
        <w:rPr>
          <w:sz w:val="18"/>
        </w:rPr>
        <w:t>The</w:t>
      </w:r>
      <w:r>
        <w:rPr>
          <w:spacing w:val="-1"/>
          <w:sz w:val="18"/>
        </w:rPr>
        <w:t xml:space="preserve"> </w:t>
      </w:r>
      <w:r>
        <w:rPr>
          <w:sz w:val="18"/>
        </w:rPr>
        <w:t>average</w:t>
      </w:r>
      <w:r>
        <w:rPr>
          <w:spacing w:val="-3"/>
          <w:sz w:val="18"/>
        </w:rPr>
        <w:t xml:space="preserve"> </w:t>
      </w:r>
      <w:r>
        <w:rPr>
          <w:sz w:val="18"/>
        </w:rPr>
        <w:t>cost</w:t>
      </w:r>
      <w:r>
        <w:rPr>
          <w:spacing w:val="-4"/>
          <w:sz w:val="18"/>
        </w:rPr>
        <w:t xml:space="preserve"> </w:t>
      </w:r>
      <w:r>
        <w:rPr>
          <w:sz w:val="18"/>
        </w:rPr>
        <w:t>per</w:t>
      </w:r>
      <w:r>
        <w:rPr>
          <w:spacing w:val="-3"/>
          <w:sz w:val="18"/>
        </w:rPr>
        <w:t xml:space="preserve"> </w:t>
      </w:r>
      <w:r>
        <w:rPr>
          <w:sz w:val="18"/>
        </w:rPr>
        <w:t>solicitor</w:t>
      </w:r>
      <w:r>
        <w:rPr>
          <w:spacing w:val="-4"/>
          <w:sz w:val="18"/>
        </w:rPr>
        <w:t xml:space="preserve"> </w:t>
      </w:r>
      <w:r>
        <w:rPr>
          <w:sz w:val="18"/>
        </w:rPr>
        <w:t>(used</w:t>
      </w:r>
      <w:r>
        <w:rPr>
          <w:spacing w:val="-3"/>
          <w:sz w:val="18"/>
        </w:rPr>
        <w:t xml:space="preserve"> </w:t>
      </w:r>
      <w:r>
        <w:rPr>
          <w:sz w:val="18"/>
        </w:rPr>
        <w:t>in</w:t>
      </w:r>
      <w:r>
        <w:rPr>
          <w:spacing w:val="-1"/>
          <w:sz w:val="18"/>
        </w:rPr>
        <w:t xml:space="preserve"> </w:t>
      </w:r>
      <w:r>
        <w:rPr>
          <w:sz w:val="18"/>
        </w:rPr>
        <w:t>the BF</w:t>
      </w:r>
      <w:r>
        <w:rPr>
          <w:spacing w:val="-4"/>
          <w:sz w:val="18"/>
        </w:rPr>
        <w:t xml:space="preserve"> </w:t>
      </w:r>
      <w:r>
        <w:rPr>
          <w:sz w:val="18"/>
        </w:rPr>
        <w:t>method)</w:t>
      </w:r>
      <w:r>
        <w:rPr>
          <w:spacing w:val="-3"/>
          <w:sz w:val="18"/>
        </w:rPr>
        <w:t xml:space="preserve"> </w:t>
      </w:r>
      <w:r>
        <w:rPr>
          <w:sz w:val="18"/>
        </w:rPr>
        <w:t>adopted</w:t>
      </w:r>
      <w:r>
        <w:rPr>
          <w:spacing w:val="-1"/>
          <w:sz w:val="18"/>
        </w:rPr>
        <w:t xml:space="preserve"> </w:t>
      </w:r>
      <w:r>
        <w:rPr>
          <w:sz w:val="18"/>
        </w:rPr>
        <w:t>is $2,400</w:t>
      </w:r>
      <w:r>
        <w:rPr>
          <w:spacing w:val="-2"/>
          <w:sz w:val="18"/>
        </w:rPr>
        <w:t xml:space="preserve"> </w:t>
      </w:r>
      <w:r>
        <w:rPr>
          <w:sz w:val="18"/>
        </w:rPr>
        <w:t>(2022:</w:t>
      </w:r>
      <w:r>
        <w:rPr>
          <w:spacing w:val="-1"/>
          <w:sz w:val="18"/>
        </w:rPr>
        <w:t xml:space="preserve"> </w:t>
      </w:r>
      <w:r>
        <w:rPr>
          <w:spacing w:val="-2"/>
          <w:sz w:val="18"/>
        </w:rPr>
        <w:t>$2,500).</w:t>
      </w:r>
    </w:p>
    <w:p w14:paraId="652013AC" w14:textId="77777777" w:rsidR="00AC6F3C" w:rsidRDefault="00570E88">
      <w:pPr>
        <w:pStyle w:val="ListParagraph"/>
        <w:numPr>
          <w:ilvl w:val="0"/>
          <w:numId w:val="29"/>
        </w:numPr>
        <w:tabs>
          <w:tab w:val="left" w:pos="1315"/>
        </w:tabs>
        <w:spacing w:before="120"/>
        <w:ind w:hanging="357"/>
        <w:rPr>
          <w:sz w:val="18"/>
        </w:rPr>
      </w:pPr>
      <w:r>
        <w:rPr>
          <w:sz w:val="18"/>
        </w:rPr>
        <w:t>The</w:t>
      </w:r>
      <w:r>
        <w:rPr>
          <w:spacing w:val="-1"/>
          <w:sz w:val="18"/>
        </w:rPr>
        <w:t xml:space="preserve"> </w:t>
      </w:r>
      <w:r>
        <w:rPr>
          <w:sz w:val="18"/>
        </w:rPr>
        <w:t>Group</w:t>
      </w:r>
      <w:r>
        <w:rPr>
          <w:spacing w:val="-4"/>
          <w:sz w:val="18"/>
        </w:rPr>
        <w:t xml:space="preserve"> </w:t>
      </w:r>
      <w:r>
        <w:rPr>
          <w:sz w:val="18"/>
        </w:rPr>
        <w:t>has</w:t>
      </w:r>
      <w:r>
        <w:rPr>
          <w:spacing w:val="-1"/>
          <w:sz w:val="18"/>
        </w:rPr>
        <w:t xml:space="preserve"> </w:t>
      </w:r>
      <w:r>
        <w:rPr>
          <w:sz w:val="18"/>
        </w:rPr>
        <w:t>assumed</w:t>
      </w:r>
      <w:r>
        <w:rPr>
          <w:spacing w:val="-4"/>
          <w:sz w:val="18"/>
        </w:rPr>
        <w:t xml:space="preserve"> </w:t>
      </w:r>
      <w:r>
        <w:rPr>
          <w:sz w:val="18"/>
        </w:rPr>
        <w:t>reinsurance</w:t>
      </w:r>
      <w:r>
        <w:rPr>
          <w:spacing w:val="-1"/>
          <w:sz w:val="18"/>
        </w:rPr>
        <w:t xml:space="preserve"> </w:t>
      </w:r>
      <w:r>
        <w:rPr>
          <w:sz w:val="18"/>
        </w:rPr>
        <w:t>recoveries</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fully</w:t>
      </w:r>
      <w:r>
        <w:rPr>
          <w:spacing w:val="-6"/>
          <w:sz w:val="18"/>
        </w:rPr>
        <w:t xml:space="preserve"> </w:t>
      </w:r>
      <w:r>
        <w:rPr>
          <w:sz w:val="18"/>
        </w:rPr>
        <w:t>recoverable</w:t>
      </w:r>
      <w:r>
        <w:rPr>
          <w:spacing w:val="-4"/>
          <w:sz w:val="18"/>
        </w:rPr>
        <w:t xml:space="preserve"> </w:t>
      </w:r>
      <w:r>
        <w:rPr>
          <w:sz w:val="18"/>
        </w:rPr>
        <w:t>on</w:t>
      </w:r>
      <w:r>
        <w:rPr>
          <w:spacing w:val="-1"/>
          <w:sz w:val="18"/>
        </w:rPr>
        <w:t xml:space="preserve"> </w:t>
      </w:r>
      <w:r>
        <w:rPr>
          <w:sz w:val="18"/>
        </w:rPr>
        <w:t>a</w:t>
      </w:r>
      <w:r>
        <w:rPr>
          <w:spacing w:val="-4"/>
          <w:sz w:val="18"/>
        </w:rPr>
        <w:t xml:space="preserve"> </w:t>
      </w:r>
      <w:r>
        <w:rPr>
          <w:sz w:val="18"/>
        </w:rPr>
        <w:t>prompt</w:t>
      </w:r>
      <w:r>
        <w:rPr>
          <w:spacing w:val="-1"/>
          <w:sz w:val="18"/>
        </w:rPr>
        <w:t xml:space="preserve"> </w:t>
      </w:r>
      <w:r>
        <w:rPr>
          <w:spacing w:val="-2"/>
          <w:sz w:val="18"/>
        </w:rPr>
        <w:t>basis.</w:t>
      </w:r>
    </w:p>
    <w:p w14:paraId="1A9FA200" w14:textId="77777777" w:rsidR="00AC6F3C" w:rsidRDefault="00570E88">
      <w:pPr>
        <w:pStyle w:val="ListParagraph"/>
        <w:numPr>
          <w:ilvl w:val="0"/>
          <w:numId w:val="29"/>
        </w:numPr>
        <w:tabs>
          <w:tab w:val="left" w:pos="1315"/>
        </w:tabs>
        <w:spacing w:before="118"/>
        <w:ind w:right="1161" w:hanging="358"/>
        <w:rPr>
          <w:sz w:val="18"/>
        </w:rPr>
      </w:pPr>
      <w:r>
        <w:rPr>
          <w:sz w:val="18"/>
        </w:rPr>
        <w:t>The</w:t>
      </w:r>
      <w:r>
        <w:rPr>
          <w:spacing w:val="-2"/>
          <w:sz w:val="18"/>
        </w:rPr>
        <w:t xml:space="preserve"> </w:t>
      </w:r>
      <w:r>
        <w:rPr>
          <w:sz w:val="18"/>
        </w:rPr>
        <w:t>Group</w:t>
      </w:r>
      <w:r>
        <w:rPr>
          <w:spacing w:val="-5"/>
          <w:sz w:val="18"/>
        </w:rPr>
        <w:t xml:space="preserve"> </w:t>
      </w:r>
      <w:r>
        <w:rPr>
          <w:sz w:val="18"/>
        </w:rPr>
        <w:t>has</w:t>
      </w:r>
      <w:r>
        <w:rPr>
          <w:spacing w:val="-2"/>
          <w:sz w:val="18"/>
        </w:rPr>
        <w:t xml:space="preserve"> </w:t>
      </w:r>
      <w:r>
        <w:rPr>
          <w:sz w:val="18"/>
        </w:rPr>
        <w:t>applied</w:t>
      </w:r>
      <w:r>
        <w:rPr>
          <w:spacing w:val="-2"/>
          <w:sz w:val="18"/>
        </w:rPr>
        <w:t xml:space="preserve"> </w:t>
      </w:r>
      <w:r>
        <w:rPr>
          <w:sz w:val="18"/>
        </w:rPr>
        <w:t>the</w:t>
      </w:r>
      <w:r>
        <w:rPr>
          <w:spacing w:val="-2"/>
          <w:sz w:val="18"/>
        </w:rPr>
        <w:t xml:space="preserve"> </w:t>
      </w:r>
      <w:r>
        <w:rPr>
          <w:sz w:val="18"/>
        </w:rPr>
        <w:t>zero-coupon</w:t>
      </w:r>
      <w:r>
        <w:rPr>
          <w:spacing w:val="-5"/>
          <w:sz w:val="18"/>
        </w:rPr>
        <w:t xml:space="preserve"> </w:t>
      </w:r>
      <w:r>
        <w:rPr>
          <w:sz w:val="18"/>
        </w:rPr>
        <w:t>yield</w:t>
      </w:r>
      <w:r>
        <w:rPr>
          <w:spacing w:val="-2"/>
          <w:sz w:val="18"/>
        </w:rPr>
        <w:t xml:space="preserve"> </w:t>
      </w:r>
      <w:r>
        <w:rPr>
          <w:sz w:val="18"/>
        </w:rPr>
        <w:t>for</w:t>
      </w:r>
      <w:r>
        <w:rPr>
          <w:spacing w:val="-3"/>
          <w:sz w:val="18"/>
        </w:rPr>
        <w:t xml:space="preserve"> </w:t>
      </w:r>
      <w:r>
        <w:rPr>
          <w:sz w:val="18"/>
        </w:rPr>
        <w:t>Government</w:t>
      </w:r>
      <w:r>
        <w:rPr>
          <w:spacing w:val="-3"/>
          <w:sz w:val="18"/>
        </w:rPr>
        <w:t xml:space="preserve"> </w:t>
      </w:r>
      <w:r>
        <w:rPr>
          <w:sz w:val="18"/>
        </w:rPr>
        <w:t>issued</w:t>
      </w:r>
      <w:r>
        <w:rPr>
          <w:spacing w:val="-3"/>
          <w:sz w:val="18"/>
        </w:rPr>
        <w:t xml:space="preserve"> </w:t>
      </w:r>
      <w:r>
        <w:rPr>
          <w:sz w:val="18"/>
        </w:rPr>
        <w:t>bonds</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expected</w:t>
      </w:r>
      <w:r>
        <w:rPr>
          <w:spacing w:val="-5"/>
          <w:sz w:val="18"/>
        </w:rPr>
        <w:t xml:space="preserve"> </w:t>
      </w:r>
      <w:r>
        <w:rPr>
          <w:sz w:val="18"/>
        </w:rPr>
        <w:t>future cash flows.</w:t>
      </w:r>
      <w:r>
        <w:rPr>
          <w:spacing w:val="40"/>
          <w:sz w:val="18"/>
        </w:rPr>
        <w:t xml:space="preserve"> </w:t>
      </w:r>
      <w:r>
        <w:rPr>
          <w:sz w:val="18"/>
        </w:rPr>
        <w:t>This has resulted in a uniform discount rate of 4.10% (2022: 3.19%) per annum.</w:t>
      </w:r>
    </w:p>
    <w:p w14:paraId="79169EC8" w14:textId="77777777" w:rsidR="00AC6F3C" w:rsidRDefault="00570E88">
      <w:pPr>
        <w:pStyle w:val="ListParagraph"/>
        <w:numPr>
          <w:ilvl w:val="0"/>
          <w:numId w:val="29"/>
        </w:numPr>
        <w:tabs>
          <w:tab w:val="left" w:pos="1315"/>
        </w:tabs>
        <w:spacing w:before="117"/>
        <w:ind w:right="1350" w:hanging="358"/>
        <w:rPr>
          <w:sz w:val="18"/>
        </w:rPr>
      </w:pPr>
      <w:r>
        <w:rPr>
          <w:sz w:val="18"/>
        </w:rPr>
        <w:t>The</w:t>
      </w:r>
      <w:r>
        <w:rPr>
          <w:spacing w:val="-1"/>
          <w:sz w:val="18"/>
        </w:rPr>
        <w:t xml:space="preserve"> </w:t>
      </w:r>
      <w:r>
        <w:rPr>
          <w:sz w:val="18"/>
        </w:rPr>
        <w:t>Group</w:t>
      </w:r>
      <w:r>
        <w:rPr>
          <w:spacing w:val="-4"/>
          <w:sz w:val="18"/>
        </w:rPr>
        <w:t xml:space="preserve"> </w:t>
      </w:r>
      <w:r>
        <w:rPr>
          <w:sz w:val="18"/>
        </w:rPr>
        <w:t>has</w:t>
      </w:r>
      <w:r>
        <w:rPr>
          <w:spacing w:val="-1"/>
          <w:sz w:val="18"/>
        </w:rPr>
        <w:t xml:space="preserve"> </w:t>
      </w:r>
      <w:r>
        <w:rPr>
          <w:sz w:val="18"/>
        </w:rPr>
        <w:t>assumed</w:t>
      </w:r>
      <w:r>
        <w:rPr>
          <w:spacing w:val="-4"/>
          <w:sz w:val="18"/>
        </w:rPr>
        <w:t xml:space="preserve"> </w:t>
      </w:r>
      <w:r>
        <w:rPr>
          <w:sz w:val="18"/>
        </w:rPr>
        <w:t>future</w:t>
      </w:r>
      <w:r>
        <w:rPr>
          <w:spacing w:val="-1"/>
          <w:sz w:val="18"/>
        </w:rPr>
        <w:t xml:space="preserve"> </w:t>
      </w:r>
      <w:r>
        <w:rPr>
          <w:sz w:val="18"/>
        </w:rPr>
        <w:t>inflation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the</w:t>
      </w:r>
      <w:r>
        <w:rPr>
          <w:spacing w:val="-1"/>
          <w:sz w:val="18"/>
        </w:rPr>
        <w:t xml:space="preserve"> </w:t>
      </w:r>
      <w:r>
        <w:rPr>
          <w:sz w:val="18"/>
        </w:rPr>
        <w:t>same</w:t>
      </w:r>
      <w:r>
        <w:rPr>
          <w:spacing w:val="-4"/>
          <w:sz w:val="18"/>
        </w:rPr>
        <w:t xml:space="preserve"> </w:t>
      </w:r>
      <w:r>
        <w:rPr>
          <w:sz w:val="18"/>
        </w:rPr>
        <w:t>as</w:t>
      </w:r>
      <w:r>
        <w:rPr>
          <w:spacing w:val="-3"/>
          <w:sz w:val="18"/>
        </w:rPr>
        <w:t xml:space="preserve"> </w:t>
      </w:r>
      <w:r>
        <w:rPr>
          <w:sz w:val="18"/>
        </w:rPr>
        <w:t>average</w:t>
      </w:r>
      <w:r>
        <w:rPr>
          <w:spacing w:val="-1"/>
          <w:sz w:val="18"/>
        </w:rPr>
        <w:t xml:space="preserve"> </w:t>
      </w:r>
      <w:r>
        <w:rPr>
          <w:sz w:val="18"/>
        </w:rPr>
        <w:t>rate</w:t>
      </w:r>
      <w:r>
        <w:rPr>
          <w:spacing w:val="-1"/>
          <w:sz w:val="18"/>
        </w:rPr>
        <w:t xml:space="preserve"> </w:t>
      </w:r>
      <w:r>
        <w:rPr>
          <w:sz w:val="18"/>
        </w:rPr>
        <w:t>of</w:t>
      </w:r>
      <w:r>
        <w:rPr>
          <w:spacing w:val="-4"/>
          <w:sz w:val="18"/>
        </w:rPr>
        <w:t xml:space="preserve"> </w:t>
      </w:r>
      <w:r>
        <w:rPr>
          <w:sz w:val="18"/>
        </w:rPr>
        <w:t>past</w:t>
      </w:r>
      <w:r>
        <w:rPr>
          <w:spacing w:val="-2"/>
          <w:sz w:val="18"/>
        </w:rPr>
        <w:t xml:space="preserve"> </w:t>
      </w:r>
      <w:r>
        <w:rPr>
          <w:sz w:val="18"/>
        </w:rPr>
        <w:t>inflation,</w:t>
      </w:r>
      <w:r>
        <w:rPr>
          <w:spacing w:val="-2"/>
          <w:sz w:val="18"/>
        </w:rPr>
        <w:t xml:space="preserve"> </w:t>
      </w:r>
      <w:r>
        <w:rPr>
          <w:sz w:val="18"/>
        </w:rPr>
        <w:t>to</w:t>
      </w:r>
      <w:r>
        <w:rPr>
          <w:spacing w:val="-1"/>
          <w:sz w:val="18"/>
        </w:rPr>
        <w:t xml:space="preserve"> </w:t>
      </w:r>
      <w:r>
        <w:rPr>
          <w:sz w:val="18"/>
        </w:rPr>
        <w:t>the extent that it has been captured by the claims development data.</w:t>
      </w:r>
    </w:p>
    <w:p w14:paraId="73D6551D" w14:textId="77777777" w:rsidR="00AC6F3C" w:rsidRDefault="00570E88">
      <w:pPr>
        <w:pStyle w:val="ListParagraph"/>
        <w:numPr>
          <w:ilvl w:val="0"/>
          <w:numId w:val="29"/>
        </w:numPr>
        <w:tabs>
          <w:tab w:val="left" w:pos="1315"/>
        </w:tabs>
        <w:spacing w:before="119"/>
        <w:ind w:right="1351" w:hanging="358"/>
        <w:rPr>
          <w:sz w:val="18"/>
        </w:rPr>
      </w:pPr>
      <w:r>
        <w:rPr>
          <w:sz w:val="18"/>
        </w:rPr>
        <w:t>The</w:t>
      </w:r>
      <w:r>
        <w:rPr>
          <w:spacing w:val="-1"/>
          <w:sz w:val="18"/>
        </w:rPr>
        <w:t xml:space="preserve"> </w:t>
      </w:r>
      <w:r>
        <w:rPr>
          <w:sz w:val="18"/>
        </w:rPr>
        <w:t>Group</w:t>
      </w:r>
      <w:r>
        <w:rPr>
          <w:spacing w:val="-4"/>
          <w:sz w:val="18"/>
        </w:rPr>
        <w:t xml:space="preserve"> </w:t>
      </w:r>
      <w:r>
        <w:rPr>
          <w:sz w:val="18"/>
        </w:rPr>
        <w:t>has</w:t>
      </w:r>
      <w:r>
        <w:rPr>
          <w:spacing w:val="-1"/>
          <w:sz w:val="18"/>
        </w:rPr>
        <w:t xml:space="preserve"> </w:t>
      </w:r>
      <w:r>
        <w:rPr>
          <w:sz w:val="18"/>
        </w:rPr>
        <w:t>included</w:t>
      </w:r>
      <w:r>
        <w:rPr>
          <w:spacing w:val="-4"/>
          <w:sz w:val="18"/>
        </w:rPr>
        <w:t xml:space="preserve"> </w:t>
      </w:r>
      <w:r>
        <w:rPr>
          <w:sz w:val="18"/>
        </w:rPr>
        <w:t>an</w:t>
      </w:r>
      <w:r>
        <w:rPr>
          <w:spacing w:val="-4"/>
          <w:sz w:val="18"/>
        </w:rPr>
        <w:t xml:space="preserve"> </w:t>
      </w:r>
      <w:r>
        <w:rPr>
          <w:sz w:val="18"/>
        </w:rPr>
        <w:t>allowance</w:t>
      </w:r>
      <w:r>
        <w:rPr>
          <w:spacing w:val="-4"/>
          <w:sz w:val="18"/>
        </w:rPr>
        <w:t xml:space="preserve"> </w:t>
      </w:r>
      <w:r>
        <w:rPr>
          <w:sz w:val="18"/>
        </w:rPr>
        <w:t>for</w:t>
      </w:r>
      <w:r>
        <w:rPr>
          <w:spacing w:val="-4"/>
          <w:sz w:val="18"/>
        </w:rPr>
        <w:t xml:space="preserve"> </w:t>
      </w:r>
      <w:r>
        <w:rPr>
          <w:sz w:val="18"/>
        </w:rPr>
        <w:t>claims</w:t>
      </w:r>
      <w:r>
        <w:rPr>
          <w:spacing w:val="-1"/>
          <w:sz w:val="18"/>
        </w:rPr>
        <w:t xml:space="preserve"> </w:t>
      </w:r>
      <w:r>
        <w:rPr>
          <w:sz w:val="18"/>
        </w:rPr>
        <w:t>handling</w:t>
      </w:r>
      <w:r>
        <w:rPr>
          <w:spacing w:val="-4"/>
          <w:sz w:val="18"/>
        </w:rPr>
        <w:t xml:space="preserve"> </w:t>
      </w:r>
      <w:r>
        <w:rPr>
          <w:sz w:val="18"/>
        </w:rPr>
        <w:t>expenses</w:t>
      </w:r>
      <w:r>
        <w:rPr>
          <w:spacing w:val="-1"/>
          <w:sz w:val="18"/>
        </w:rPr>
        <w:t xml:space="preserve"> </w:t>
      </w:r>
      <w:r>
        <w:rPr>
          <w:sz w:val="18"/>
        </w:rPr>
        <w:t>(“CHE”)</w:t>
      </w:r>
      <w:r>
        <w:rPr>
          <w:spacing w:val="-2"/>
          <w:sz w:val="18"/>
        </w:rPr>
        <w:t xml:space="preserve"> </w:t>
      </w:r>
      <w:r>
        <w:rPr>
          <w:sz w:val="18"/>
        </w:rPr>
        <w:t>based</w:t>
      </w:r>
      <w:r>
        <w:rPr>
          <w:spacing w:val="-1"/>
          <w:sz w:val="18"/>
        </w:rPr>
        <w:t xml:space="preserve"> </w:t>
      </w:r>
      <w:r>
        <w:rPr>
          <w:sz w:val="18"/>
        </w:rPr>
        <w:t>on</w:t>
      </w:r>
      <w:r>
        <w:rPr>
          <w:spacing w:val="-1"/>
          <w:sz w:val="18"/>
        </w:rPr>
        <w:t xml:space="preserve"> </w:t>
      </w:r>
      <w:r>
        <w:rPr>
          <w:sz w:val="18"/>
        </w:rPr>
        <w:t>historical experience and projected expenses.</w:t>
      </w:r>
    </w:p>
    <w:p w14:paraId="008C407C" w14:textId="77777777" w:rsidR="00AC6F3C" w:rsidRDefault="00AC6F3C">
      <w:pPr>
        <w:rPr>
          <w:sz w:val="18"/>
        </w:rPr>
        <w:sectPr w:rsidR="00AC6F3C">
          <w:pgSz w:w="11910" w:h="16840"/>
          <w:pgMar w:top="2020" w:right="1160" w:bottom="520" w:left="460" w:header="1228" w:footer="336" w:gutter="0"/>
          <w:cols w:space="720"/>
        </w:sectPr>
      </w:pPr>
    </w:p>
    <w:p w14:paraId="1F928DC5" w14:textId="77777777" w:rsidR="00AC6F3C" w:rsidRDefault="00AC6F3C">
      <w:pPr>
        <w:pStyle w:val="BodyText"/>
      </w:pPr>
    </w:p>
    <w:p w14:paraId="5455854D" w14:textId="77777777" w:rsidR="00AC6F3C" w:rsidRDefault="00570E88">
      <w:pPr>
        <w:tabs>
          <w:tab w:val="left" w:pos="1666"/>
        </w:tabs>
        <w:spacing w:before="249" w:line="322" w:lineRule="exact"/>
        <w:ind w:left="958"/>
        <w:rPr>
          <w:b/>
          <w:sz w:val="28"/>
        </w:rPr>
      </w:pPr>
      <w:r>
        <w:rPr>
          <w:b/>
          <w:spacing w:val="-5"/>
          <w:sz w:val="28"/>
        </w:rPr>
        <w:t>D1</w:t>
      </w:r>
      <w:r>
        <w:rPr>
          <w:b/>
          <w:sz w:val="28"/>
        </w:rPr>
        <w:tab/>
      </w:r>
      <w:r>
        <w:rPr>
          <w:b/>
          <w:spacing w:val="-2"/>
          <w:sz w:val="28"/>
        </w:rPr>
        <w:t>CRITICAL</w:t>
      </w:r>
      <w:r>
        <w:rPr>
          <w:b/>
          <w:spacing w:val="-18"/>
          <w:sz w:val="28"/>
        </w:rPr>
        <w:t xml:space="preserve"> </w:t>
      </w:r>
      <w:r>
        <w:rPr>
          <w:b/>
          <w:spacing w:val="-2"/>
          <w:sz w:val="28"/>
        </w:rPr>
        <w:t>ACCOUNTING</w:t>
      </w:r>
      <w:r>
        <w:rPr>
          <w:b/>
          <w:spacing w:val="3"/>
          <w:sz w:val="28"/>
        </w:rPr>
        <w:t xml:space="preserve"> </w:t>
      </w:r>
      <w:r>
        <w:rPr>
          <w:b/>
          <w:spacing w:val="-2"/>
          <w:sz w:val="28"/>
        </w:rPr>
        <w:t>ESTIMATES</w:t>
      </w:r>
      <w:r>
        <w:rPr>
          <w:b/>
          <w:spacing w:val="-9"/>
          <w:sz w:val="28"/>
        </w:rPr>
        <w:t xml:space="preserve"> </w:t>
      </w:r>
      <w:r>
        <w:rPr>
          <w:b/>
          <w:spacing w:val="-2"/>
          <w:sz w:val="28"/>
        </w:rPr>
        <w:t>AND</w:t>
      </w:r>
      <w:r>
        <w:rPr>
          <w:b/>
          <w:spacing w:val="2"/>
          <w:sz w:val="28"/>
        </w:rPr>
        <w:t xml:space="preserve"> </w:t>
      </w:r>
      <w:r>
        <w:rPr>
          <w:b/>
          <w:spacing w:val="-2"/>
          <w:sz w:val="28"/>
        </w:rPr>
        <w:t>JUDGEMENTS</w:t>
      </w:r>
    </w:p>
    <w:p w14:paraId="6FE7ABEE" w14:textId="77777777" w:rsidR="00AC6F3C" w:rsidRDefault="00570E88">
      <w:pPr>
        <w:spacing w:line="322" w:lineRule="exact"/>
        <w:ind w:left="1666"/>
        <w:rPr>
          <w:b/>
          <w:sz w:val="28"/>
        </w:rPr>
      </w:pPr>
      <w:r>
        <w:rPr>
          <w:b/>
          <w:spacing w:val="-2"/>
          <w:sz w:val="28"/>
        </w:rPr>
        <w:t>(continued)</w:t>
      </w:r>
    </w:p>
    <w:p w14:paraId="25BBC099" w14:textId="77777777" w:rsidR="00AC6F3C" w:rsidRDefault="00570E88">
      <w:pPr>
        <w:spacing w:before="240"/>
        <w:ind w:left="958"/>
        <w:rPr>
          <w:b/>
          <w:sz w:val="20"/>
        </w:rPr>
      </w:pPr>
      <w:r>
        <w:rPr>
          <w:b/>
          <w:sz w:val="20"/>
        </w:rPr>
        <w:t>Key</w:t>
      </w:r>
      <w:r>
        <w:rPr>
          <w:b/>
          <w:spacing w:val="-12"/>
          <w:sz w:val="20"/>
        </w:rPr>
        <w:t xml:space="preserve"> </w:t>
      </w:r>
      <w:r>
        <w:rPr>
          <w:b/>
          <w:sz w:val="20"/>
        </w:rPr>
        <w:t>assumptions</w:t>
      </w:r>
      <w:r>
        <w:rPr>
          <w:b/>
          <w:spacing w:val="-10"/>
          <w:sz w:val="20"/>
        </w:rPr>
        <w:t xml:space="preserve"> </w:t>
      </w:r>
      <w:r>
        <w:rPr>
          <w:b/>
          <w:spacing w:val="-2"/>
          <w:sz w:val="20"/>
        </w:rPr>
        <w:t>(continued)</w:t>
      </w:r>
    </w:p>
    <w:p w14:paraId="2ED8803B" w14:textId="77777777" w:rsidR="00AC6F3C" w:rsidRDefault="00AC6F3C">
      <w:pPr>
        <w:pStyle w:val="BodyText"/>
        <w:spacing w:before="9"/>
        <w:rPr>
          <w:b/>
        </w:rPr>
      </w:pPr>
    </w:p>
    <w:p w14:paraId="42BC1852" w14:textId="77777777" w:rsidR="00AC6F3C" w:rsidRDefault="00570E88">
      <w:pPr>
        <w:pStyle w:val="ListParagraph"/>
        <w:numPr>
          <w:ilvl w:val="0"/>
          <w:numId w:val="29"/>
        </w:numPr>
        <w:tabs>
          <w:tab w:val="left" w:pos="1318"/>
        </w:tabs>
        <w:spacing w:before="1"/>
        <w:ind w:left="1318" w:right="1135"/>
        <w:rPr>
          <w:sz w:val="18"/>
        </w:rPr>
      </w:pPr>
      <w:r>
        <w:rPr>
          <w:sz w:val="18"/>
        </w:rPr>
        <w:t>While the Group has calculated a central estimate, a risk margin at a 90th percent probability of sufficiency</w:t>
      </w:r>
      <w:r>
        <w:rPr>
          <w:spacing w:val="-1"/>
          <w:sz w:val="18"/>
        </w:rPr>
        <w:t xml:space="preserve"> </w:t>
      </w:r>
      <w:r>
        <w:rPr>
          <w:sz w:val="18"/>
        </w:rPr>
        <w:t>has</w:t>
      </w:r>
      <w:r>
        <w:rPr>
          <w:spacing w:val="-3"/>
          <w:sz w:val="18"/>
        </w:rPr>
        <w:t xml:space="preserve"> </w:t>
      </w:r>
      <w:r>
        <w:rPr>
          <w:sz w:val="18"/>
        </w:rPr>
        <w:t>been</w:t>
      </w:r>
      <w:r>
        <w:rPr>
          <w:spacing w:val="-4"/>
          <w:sz w:val="18"/>
        </w:rPr>
        <w:t xml:space="preserve"> </w:t>
      </w:r>
      <w:r>
        <w:rPr>
          <w:sz w:val="18"/>
        </w:rPr>
        <w:t>applied</w:t>
      </w:r>
      <w:r>
        <w:rPr>
          <w:spacing w:val="-1"/>
          <w:sz w:val="18"/>
        </w:rPr>
        <w:t xml:space="preserve"> </w:t>
      </w:r>
      <w:r>
        <w:rPr>
          <w:sz w:val="18"/>
        </w:rPr>
        <w:t>and</w:t>
      </w:r>
      <w:r>
        <w:rPr>
          <w:spacing w:val="-1"/>
          <w:sz w:val="18"/>
        </w:rPr>
        <w:t xml:space="preserve"> </w:t>
      </w:r>
      <w:r>
        <w:rPr>
          <w:sz w:val="18"/>
        </w:rPr>
        <w:t>the</w:t>
      </w:r>
      <w:r>
        <w:rPr>
          <w:spacing w:val="-4"/>
          <w:sz w:val="18"/>
        </w:rPr>
        <w:t xml:space="preserve"> </w:t>
      </w:r>
      <w:r>
        <w:rPr>
          <w:sz w:val="18"/>
        </w:rPr>
        <w:t>Group</w:t>
      </w:r>
      <w:r>
        <w:rPr>
          <w:spacing w:val="-4"/>
          <w:sz w:val="18"/>
        </w:rPr>
        <w:t xml:space="preserve"> </w:t>
      </w:r>
      <w:r>
        <w:rPr>
          <w:sz w:val="18"/>
        </w:rPr>
        <w:t>has</w:t>
      </w:r>
      <w:r>
        <w:rPr>
          <w:spacing w:val="-3"/>
          <w:sz w:val="18"/>
        </w:rPr>
        <w:t xml:space="preserve"> </w:t>
      </w:r>
      <w:r>
        <w:rPr>
          <w:sz w:val="18"/>
        </w:rPr>
        <w:t>adopted</w:t>
      </w:r>
      <w:r>
        <w:rPr>
          <w:spacing w:val="-4"/>
          <w:sz w:val="18"/>
        </w:rPr>
        <w:t xml:space="preserve"> </w:t>
      </w:r>
      <w:r>
        <w:rPr>
          <w:sz w:val="18"/>
        </w:rPr>
        <w:t>reserves</w:t>
      </w:r>
      <w:r>
        <w:rPr>
          <w:spacing w:val="-1"/>
          <w:sz w:val="18"/>
        </w:rPr>
        <w:t xml:space="preserve"> </w:t>
      </w:r>
      <w:r>
        <w:rPr>
          <w:sz w:val="18"/>
        </w:rPr>
        <w:t>at</w:t>
      </w:r>
      <w:r>
        <w:rPr>
          <w:spacing w:val="-4"/>
          <w:sz w:val="18"/>
        </w:rPr>
        <w:t xml:space="preserve"> </w:t>
      </w:r>
      <w:r>
        <w:rPr>
          <w:sz w:val="18"/>
        </w:rPr>
        <w:t>this</w:t>
      </w:r>
      <w:r>
        <w:rPr>
          <w:spacing w:val="-1"/>
          <w:sz w:val="18"/>
        </w:rPr>
        <w:t xml:space="preserve"> </w:t>
      </w:r>
      <w:r>
        <w:rPr>
          <w:sz w:val="18"/>
        </w:rPr>
        <w:t>level</w:t>
      </w:r>
      <w:r>
        <w:rPr>
          <w:spacing w:val="-1"/>
          <w:sz w:val="18"/>
        </w:rPr>
        <w:t xml:space="preserve"> </w:t>
      </w:r>
      <w:r>
        <w:rPr>
          <w:sz w:val="18"/>
        </w:rPr>
        <w:t>to</w:t>
      </w:r>
      <w:r>
        <w:rPr>
          <w:spacing w:val="-4"/>
          <w:sz w:val="18"/>
        </w:rPr>
        <w:t xml:space="preserve"> </w:t>
      </w:r>
      <w:r>
        <w:rPr>
          <w:sz w:val="18"/>
        </w:rPr>
        <w:t>maintain</w:t>
      </w:r>
      <w:r>
        <w:rPr>
          <w:spacing w:val="-4"/>
          <w:sz w:val="18"/>
        </w:rPr>
        <w:t xml:space="preserve"> </w:t>
      </w:r>
      <w:r>
        <w:rPr>
          <w:sz w:val="18"/>
        </w:rPr>
        <w:t>a</w:t>
      </w:r>
      <w:r>
        <w:rPr>
          <w:spacing w:val="-1"/>
          <w:sz w:val="18"/>
        </w:rPr>
        <w:t xml:space="preserve"> </w:t>
      </w:r>
      <w:r>
        <w:rPr>
          <w:sz w:val="18"/>
        </w:rPr>
        <w:t>higher level of adequacy.</w:t>
      </w:r>
    </w:p>
    <w:p w14:paraId="44FDE72B" w14:textId="77777777" w:rsidR="00AC6F3C" w:rsidRDefault="00AC6F3C">
      <w:pPr>
        <w:pStyle w:val="BodyText"/>
        <w:spacing w:before="9"/>
      </w:pPr>
    </w:p>
    <w:p w14:paraId="5B9A2D3E" w14:textId="77777777" w:rsidR="00AC6F3C" w:rsidRDefault="00570E88">
      <w:pPr>
        <w:pStyle w:val="ListParagraph"/>
        <w:numPr>
          <w:ilvl w:val="0"/>
          <w:numId w:val="29"/>
        </w:numPr>
        <w:tabs>
          <w:tab w:val="left" w:pos="1318"/>
        </w:tabs>
        <w:spacing w:before="0"/>
        <w:ind w:left="1318" w:right="1098"/>
        <w:jc w:val="both"/>
        <w:rPr>
          <w:sz w:val="18"/>
        </w:rPr>
      </w:pPr>
      <w:r>
        <w:rPr>
          <w:sz w:val="18"/>
        </w:rPr>
        <w:t>While</w:t>
      </w:r>
      <w:r>
        <w:rPr>
          <w:spacing w:val="-4"/>
          <w:sz w:val="18"/>
        </w:rPr>
        <w:t xml:space="preserve"> </w:t>
      </w:r>
      <w:r>
        <w:rPr>
          <w:sz w:val="18"/>
        </w:rPr>
        <w:t>claim</w:t>
      </w:r>
      <w:r>
        <w:rPr>
          <w:spacing w:val="-1"/>
          <w:sz w:val="18"/>
        </w:rPr>
        <w:t xml:space="preserve"> </w:t>
      </w:r>
      <w:r>
        <w:rPr>
          <w:sz w:val="18"/>
        </w:rPr>
        <w:t>numbers</w:t>
      </w:r>
      <w:r>
        <w:rPr>
          <w:spacing w:val="-1"/>
          <w:sz w:val="18"/>
        </w:rPr>
        <w:t xml:space="preserve"> </w:t>
      </w:r>
      <w:r>
        <w:rPr>
          <w:sz w:val="18"/>
        </w:rPr>
        <w:t>are</w:t>
      </w:r>
      <w:r>
        <w:rPr>
          <w:spacing w:val="-1"/>
          <w:sz w:val="18"/>
        </w:rPr>
        <w:t xml:space="preserve"> </w:t>
      </w:r>
      <w:r>
        <w:rPr>
          <w:sz w:val="18"/>
        </w:rPr>
        <w:t>not</w:t>
      </w:r>
      <w:r>
        <w:rPr>
          <w:spacing w:val="-2"/>
          <w:sz w:val="18"/>
        </w:rPr>
        <w:t xml:space="preserve"> </w:t>
      </w:r>
      <w:r>
        <w:rPr>
          <w:sz w:val="18"/>
        </w:rPr>
        <w:t>directly</w:t>
      </w:r>
      <w:r>
        <w:rPr>
          <w:spacing w:val="-3"/>
          <w:sz w:val="18"/>
        </w:rPr>
        <w:t xml:space="preserve"> </w:t>
      </w:r>
      <w:r>
        <w:rPr>
          <w:sz w:val="18"/>
        </w:rPr>
        <w:t>used</w:t>
      </w:r>
      <w:r>
        <w:rPr>
          <w:spacing w:val="-1"/>
          <w:sz w:val="18"/>
        </w:rPr>
        <w:t xml:space="preserve"> </w:t>
      </w:r>
      <w:r>
        <w:rPr>
          <w:sz w:val="18"/>
        </w:rPr>
        <w:t>in</w:t>
      </w:r>
      <w:r>
        <w:rPr>
          <w:spacing w:val="-4"/>
          <w:sz w:val="18"/>
        </w:rPr>
        <w:t xml:space="preserve"> </w:t>
      </w:r>
      <w:r>
        <w:rPr>
          <w:sz w:val="18"/>
        </w:rPr>
        <w:t>determining</w:t>
      </w:r>
      <w:r>
        <w:rPr>
          <w:spacing w:val="-1"/>
          <w:sz w:val="18"/>
        </w:rPr>
        <w:t xml:space="preserve"> </w:t>
      </w:r>
      <w:r>
        <w:rPr>
          <w:sz w:val="18"/>
        </w:rPr>
        <w:t>estimates,</w:t>
      </w:r>
      <w:r>
        <w:rPr>
          <w:spacing w:val="-2"/>
          <w:sz w:val="18"/>
        </w:rPr>
        <w:t xml:space="preserve"> </w:t>
      </w:r>
      <w:r>
        <w:rPr>
          <w:sz w:val="18"/>
        </w:rPr>
        <w:t>they</w:t>
      </w:r>
      <w:r>
        <w:rPr>
          <w:spacing w:val="-3"/>
          <w:sz w:val="18"/>
        </w:rPr>
        <w:t xml:space="preserve"> </w:t>
      </w:r>
      <w:r>
        <w:rPr>
          <w:sz w:val="18"/>
        </w:rPr>
        <w:t>are</w:t>
      </w:r>
      <w:r>
        <w:rPr>
          <w:spacing w:val="-1"/>
          <w:sz w:val="18"/>
        </w:rPr>
        <w:t xml:space="preserve"> </w:t>
      </w:r>
      <w:r>
        <w:rPr>
          <w:sz w:val="18"/>
        </w:rPr>
        <w:t>a</w:t>
      </w:r>
      <w:r>
        <w:rPr>
          <w:spacing w:val="-4"/>
          <w:sz w:val="18"/>
        </w:rPr>
        <w:t xml:space="preserve"> </w:t>
      </w:r>
      <w:r>
        <w:rPr>
          <w:sz w:val="18"/>
        </w:rPr>
        <w:t>good</w:t>
      </w:r>
      <w:r>
        <w:rPr>
          <w:spacing w:val="-1"/>
          <w:sz w:val="18"/>
        </w:rPr>
        <w:t xml:space="preserve"> </w:t>
      </w:r>
      <w:r>
        <w:rPr>
          <w:sz w:val="18"/>
        </w:rPr>
        <w:t>lead</w:t>
      </w:r>
      <w:r>
        <w:rPr>
          <w:spacing w:val="-4"/>
          <w:sz w:val="18"/>
        </w:rPr>
        <w:t xml:space="preserve"> </w:t>
      </w:r>
      <w:r>
        <w:rPr>
          <w:sz w:val="18"/>
        </w:rPr>
        <w:t>indicator. Given the policy</w:t>
      </w:r>
      <w:r>
        <w:rPr>
          <w:spacing w:val="-2"/>
          <w:sz w:val="18"/>
        </w:rPr>
        <w:t xml:space="preserve"> </w:t>
      </w:r>
      <w:r>
        <w:rPr>
          <w:sz w:val="18"/>
        </w:rPr>
        <w:t>is</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claims made,</w:t>
      </w:r>
      <w:r>
        <w:rPr>
          <w:spacing w:val="-3"/>
          <w:sz w:val="18"/>
        </w:rPr>
        <w:t xml:space="preserve"> </w:t>
      </w:r>
      <w:r>
        <w:rPr>
          <w:sz w:val="18"/>
        </w:rPr>
        <w:t>there is an</w:t>
      </w:r>
      <w:r>
        <w:rPr>
          <w:spacing w:val="-3"/>
          <w:sz w:val="18"/>
        </w:rPr>
        <w:t xml:space="preserve"> </w:t>
      </w:r>
      <w:r>
        <w:rPr>
          <w:sz w:val="18"/>
        </w:rPr>
        <w:t>assumption</w:t>
      </w:r>
      <w:r>
        <w:rPr>
          <w:spacing w:val="-3"/>
          <w:sz w:val="18"/>
        </w:rPr>
        <w:t xml:space="preserve"> </w:t>
      </w:r>
      <w:r>
        <w:rPr>
          <w:sz w:val="18"/>
        </w:rPr>
        <w:t>of</w:t>
      </w:r>
      <w:r>
        <w:rPr>
          <w:spacing w:val="-3"/>
          <w:sz w:val="18"/>
        </w:rPr>
        <w:t xml:space="preserve"> </w:t>
      </w:r>
      <w:r>
        <w:rPr>
          <w:sz w:val="18"/>
        </w:rPr>
        <w:t>minimal development</w:t>
      </w:r>
      <w:r>
        <w:rPr>
          <w:spacing w:val="-6"/>
          <w:sz w:val="18"/>
        </w:rPr>
        <w:t xml:space="preserve"> </w:t>
      </w:r>
      <w:r>
        <w:rPr>
          <w:sz w:val="18"/>
        </w:rPr>
        <w:t>post</w:t>
      </w:r>
      <w:r>
        <w:rPr>
          <w:spacing w:val="-3"/>
          <w:sz w:val="18"/>
        </w:rPr>
        <w:t xml:space="preserve"> </w:t>
      </w:r>
      <w:r>
        <w:rPr>
          <w:sz w:val="18"/>
        </w:rPr>
        <w:t>the end of the year.</w:t>
      </w:r>
    </w:p>
    <w:p w14:paraId="44C68E72" w14:textId="77777777" w:rsidR="00AC6F3C" w:rsidRDefault="00AC6F3C">
      <w:pPr>
        <w:pStyle w:val="BodyText"/>
        <w:spacing w:before="6"/>
      </w:pPr>
    </w:p>
    <w:p w14:paraId="10538CF9" w14:textId="77777777" w:rsidR="00AC6F3C" w:rsidRDefault="00570E88">
      <w:pPr>
        <w:spacing w:before="1"/>
        <w:ind w:left="958"/>
        <w:rPr>
          <w:sz w:val="18"/>
        </w:rPr>
      </w:pPr>
      <w:r>
        <w:rPr>
          <w:sz w:val="18"/>
        </w:rPr>
        <w:t>The</w:t>
      </w:r>
      <w:r>
        <w:rPr>
          <w:spacing w:val="-2"/>
          <w:sz w:val="18"/>
        </w:rPr>
        <w:t xml:space="preserve"> </w:t>
      </w:r>
      <w:r>
        <w:rPr>
          <w:sz w:val="18"/>
        </w:rPr>
        <w:t>following</w:t>
      </w:r>
      <w:r>
        <w:rPr>
          <w:spacing w:val="-4"/>
          <w:sz w:val="18"/>
        </w:rPr>
        <w:t xml:space="preserve"> </w:t>
      </w:r>
      <w:r>
        <w:rPr>
          <w:sz w:val="18"/>
        </w:rPr>
        <w:t>key</w:t>
      </w:r>
      <w:r>
        <w:rPr>
          <w:spacing w:val="-3"/>
          <w:sz w:val="18"/>
        </w:rPr>
        <w:t xml:space="preserve"> </w:t>
      </w:r>
      <w:r>
        <w:rPr>
          <w:sz w:val="18"/>
        </w:rPr>
        <w:t>valuation</w:t>
      </w:r>
      <w:r>
        <w:rPr>
          <w:spacing w:val="-4"/>
          <w:sz w:val="18"/>
        </w:rPr>
        <w:t xml:space="preserve"> </w:t>
      </w:r>
      <w:r>
        <w:rPr>
          <w:sz w:val="18"/>
        </w:rPr>
        <w:t>assumptions</w:t>
      </w:r>
      <w:r>
        <w:rPr>
          <w:spacing w:val="-3"/>
          <w:sz w:val="18"/>
        </w:rPr>
        <w:t xml:space="preserve"> </w:t>
      </w:r>
      <w:r>
        <w:rPr>
          <w:sz w:val="18"/>
        </w:rPr>
        <w:t>have</w:t>
      </w:r>
      <w:r>
        <w:rPr>
          <w:spacing w:val="-1"/>
          <w:sz w:val="18"/>
        </w:rPr>
        <w:t xml:space="preserve"> </w:t>
      </w:r>
      <w:r>
        <w:rPr>
          <w:sz w:val="18"/>
        </w:rPr>
        <w:t>been</w:t>
      </w:r>
      <w:r>
        <w:rPr>
          <w:spacing w:val="-2"/>
          <w:sz w:val="18"/>
        </w:rPr>
        <w:t xml:space="preserve"> </w:t>
      </w:r>
      <w:r>
        <w:rPr>
          <w:sz w:val="18"/>
        </w:rPr>
        <w:t>used</w:t>
      </w:r>
      <w:r>
        <w:rPr>
          <w:spacing w:val="-4"/>
          <w:sz w:val="18"/>
        </w:rPr>
        <w:t xml:space="preserve"> </w:t>
      </w:r>
      <w:r>
        <w:rPr>
          <w:sz w:val="18"/>
        </w:rPr>
        <w:t>to</w:t>
      </w:r>
      <w:r>
        <w:rPr>
          <w:spacing w:val="-4"/>
          <w:sz w:val="18"/>
        </w:rPr>
        <w:t xml:space="preserve"> </w:t>
      </w:r>
      <w:r>
        <w:rPr>
          <w:sz w:val="18"/>
        </w:rPr>
        <w:t>estimate</w:t>
      </w:r>
      <w:r>
        <w:rPr>
          <w:spacing w:val="-1"/>
          <w:sz w:val="18"/>
        </w:rPr>
        <w:t xml:space="preserve"> </w:t>
      </w:r>
      <w:r>
        <w:rPr>
          <w:sz w:val="18"/>
        </w:rPr>
        <w:t>the</w:t>
      </w:r>
      <w:r>
        <w:rPr>
          <w:spacing w:val="-4"/>
          <w:sz w:val="18"/>
        </w:rPr>
        <w:t xml:space="preserve"> </w:t>
      </w:r>
      <w:r>
        <w:rPr>
          <w:sz w:val="18"/>
        </w:rPr>
        <w:t>unexpired</w:t>
      </w:r>
      <w:r>
        <w:rPr>
          <w:spacing w:val="-2"/>
          <w:sz w:val="18"/>
        </w:rPr>
        <w:t xml:space="preserve"> </w:t>
      </w:r>
      <w:r>
        <w:rPr>
          <w:sz w:val="18"/>
        </w:rPr>
        <w:t>risk</w:t>
      </w:r>
      <w:r>
        <w:rPr>
          <w:spacing w:val="-1"/>
          <w:sz w:val="18"/>
        </w:rPr>
        <w:t xml:space="preserve"> </w:t>
      </w:r>
      <w:r>
        <w:rPr>
          <w:spacing w:val="-2"/>
          <w:sz w:val="18"/>
        </w:rPr>
        <w:t>reserve:</w:t>
      </w:r>
    </w:p>
    <w:p w14:paraId="7053F2F6" w14:textId="77777777" w:rsidR="00AC6F3C" w:rsidRDefault="00AC6F3C">
      <w:pPr>
        <w:pStyle w:val="BodyText"/>
        <w:spacing w:before="11"/>
      </w:pPr>
    </w:p>
    <w:p w14:paraId="5F9CC4A5" w14:textId="77777777" w:rsidR="00AC6F3C" w:rsidRDefault="00570E88">
      <w:pPr>
        <w:pStyle w:val="ListParagraph"/>
        <w:numPr>
          <w:ilvl w:val="0"/>
          <w:numId w:val="29"/>
        </w:numPr>
        <w:tabs>
          <w:tab w:val="left" w:pos="1318"/>
        </w:tabs>
        <w:spacing w:before="0"/>
        <w:ind w:left="1318" w:right="1215"/>
        <w:rPr>
          <w:sz w:val="18"/>
        </w:rPr>
      </w:pPr>
      <w:r>
        <w:rPr>
          <w:sz w:val="18"/>
        </w:rPr>
        <w:t>The</w:t>
      </w:r>
      <w:r>
        <w:rPr>
          <w:spacing w:val="-1"/>
          <w:sz w:val="18"/>
        </w:rPr>
        <w:t xml:space="preserve"> </w:t>
      </w:r>
      <w:r>
        <w:rPr>
          <w:sz w:val="18"/>
        </w:rPr>
        <w:t>average</w:t>
      </w:r>
      <w:r>
        <w:rPr>
          <w:spacing w:val="-4"/>
          <w:sz w:val="18"/>
        </w:rPr>
        <w:t xml:space="preserve"> </w:t>
      </w:r>
      <w:r>
        <w:rPr>
          <w:sz w:val="18"/>
        </w:rPr>
        <w:t>cost</w:t>
      </w:r>
      <w:r>
        <w:rPr>
          <w:spacing w:val="-4"/>
          <w:sz w:val="18"/>
        </w:rPr>
        <w:t xml:space="preserve"> </w:t>
      </w:r>
      <w:r>
        <w:rPr>
          <w:sz w:val="18"/>
        </w:rPr>
        <w:t>per</w:t>
      </w:r>
      <w:r>
        <w:rPr>
          <w:spacing w:val="-4"/>
          <w:sz w:val="18"/>
        </w:rPr>
        <w:t xml:space="preserve"> </w:t>
      </w:r>
      <w:r>
        <w:rPr>
          <w:sz w:val="18"/>
        </w:rPr>
        <w:t>solicitor</w:t>
      </w:r>
      <w:r>
        <w:rPr>
          <w:spacing w:val="-4"/>
          <w:sz w:val="18"/>
        </w:rPr>
        <w:t xml:space="preserve"> </w:t>
      </w:r>
      <w:r>
        <w:rPr>
          <w:sz w:val="18"/>
        </w:rPr>
        <w:t>adopted</w:t>
      </w:r>
      <w:r>
        <w:rPr>
          <w:spacing w:val="-1"/>
          <w:sz w:val="18"/>
        </w:rPr>
        <w:t xml:space="preserve"> </w:t>
      </w:r>
      <w:r>
        <w:rPr>
          <w:sz w:val="18"/>
        </w:rPr>
        <w:t>is</w:t>
      </w:r>
      <w:r>
        <w:rPr>
          <w:spacing w:val="-1"/>
          <w:sz w:val="18"/>
        </w:rPr>
        <w:t xml:space="preserve"> </w:t>
      </w:r>
      <w:r>
        <w:rPr>
          <w:sz w:val="18"/>
        </w:rPr>
        <w:t>$2,400</w:t>
      </w:r>
      <w:r>
        <w:rPr>
          <w:spacing w:val="-1"/>
          <w:sz w:val="18"/>
        </w:rPr>
        <w:t xml:space="preserve"> </w:t>
      </w:r>
      <w:r>
        <w:rPr>
          <w:sz w:val="18"/>
        </w:rPr>
        <w:t>(2022:</w:t>
      </w:r>
      <w:r>
        <w:rPr>
          <w:spacing w:val="-4"/>
          <w:sz w:val="18"/>
        </w:rPr>
        <w:t xml:space="preserve"> </w:t>
      </w:r>
      <w:r>
        <w:rPr>
          <w:sz w:val="18"/>
        </w:rPr>
        <w:t>$2,400).</w:t>
      </w:r>
      <w:r>
        <w:rPr>
          <w:spacing w:val="-2"/>
          <w:sz w:val="18"/>
        </w:rPr>
        <w:t xml:space="preserve"> </w:t>
      </w:r>
      <w:r>
        <w:rPr>
          <w:sz w:val="18"/>
        </w:rPr>
        <w:t>The</w:t>
      </w:r>
      <w:r>
        <w:rPr>
          <w:spacing w:val="-1"/>
          <w:sz w:val="18"/>
        </w:rPr>
        <w:t xml:space="preserve"> </w:t>
      </w:r>
      <w:r>
        <w:rPr>
          <w:sz w:val="18"/>
        </w:rPr>
        <w:t>estimated</w:t>
      </w:r>
      <w:r>
        <w:rPr>
          <w:spacing w:val="-1"/>
          <w:sz w:val="18"/>
        </w:rPr>
        <w:t xml:space="preserve"> </w:t>
      </w:r>
      <w:r>
        <w:rPr>
          <w:sz w:val="18"/>
        </w:rPr>
        <w:t>growth</w:t>
      </w:r>
      <w:r>
        <w:rPr>
          <w:spacing w:val="-1"/>
          <w:sz w:val="18"/>
        </w:rPr>
        <w:t xml:space="preserve"> </w:t>
      </w:r>
      <w:r>
        <w:rPr>
          <w:sz w:val="18"/>
        </w:rPr>
        <w:t>in</w:t>
      </w:r>
      <w:r>
        <w:rPr>
          <w:spacing w:val="-4"/>
          <w:sz w:val="18"/>
        </w:rPr>
        <w:t xml:space="preserve"> </w:t>
      </w:r>
      <w:r>
        <w:rPr>
          <w:sz w:val="18"/>
        </w:rPr>
        <w:t>solicitor numbers is 2.6% (2022: 3.0%)</w:t>
      </w:r>
    </w:p>
    <w:p w14:paraId="1C30E2C2" w14:textId="77777777" w:rsidR="00AC6F3C" w:rsidRDefault="00AC6F3C">
      <w:pPr>
        <w:pStyle w:val="BodyText"/>
        <w:spacing w:before="7"/>
      </w:pPr>
    </w:p>
    <w:p w14:paraId="1A77E6C6" w14:textId="77777777" w:rsidR="00AC6F3C" w:rsidRDefault="00570E88">
      <w:pPr>
        <w:spacing w:before="1"/>
        <w:ind w:left="958" w:right="990"/>
        <w:rPr>
          <w:sz w:val="18"/>
        </w:rPr>
      </w:pPr>
      <w:r>
        <w:rPr>
          <w:sz w:val="18"/>
        </w:rPr>
        <w:t>There have been no significant changes in the business underwritten by the Group or the way the insurance</w:t>
      </w:r>
      <w:r>
        <w:rPr>
          <w:spacing w:val="-1"/>
          <w:sz w:val="18"/>
        </w:rPr>
        <w:t xml:space="preserve"> </w:t>
      </w:r>
      <w:r>
        <w:rPr>
          <w:sz w:val="18"/>
        </w:rPr>
        <w:t>liabilities</w:t>
      </w:r>
      <w:r>
        <w:rPr>
          <w:spacing w:val="-3"/>
          <w:sz w:val="18"/>
        </w:rPr>
        <w:t xml:space="preserve"> </w:t>
      </w:r>
      <w:r>
        <w:rPr>
          <w:sz w:val="18"/>
        </w:rPr>
        <w:t>are</w:t>
      </w:r>
      <w:r>
        <w:rPr>
          <w:spacing w:val="-4"/>
          <w:sz w:val="18"/>
        </w:rPr>
        <w:t xml:space="preserve"> </w:t>
      </w:r>
      <w:r>
        <w:rPr>
          <w:sz w:val="18"/>
        </w:rPr>
        <w:t>estimated.</w:t>
      </w:r>
      <w:r>
        <w:rPr>
          <w:spacing w:val="40"/>
          <w:sz w:val="18"/>
        </w:rPr>
        <w:t xml:space="preserve"> </w:t>
      </w:r>
      <w:r>
        <w:rPr>
          <w:sz w:val="18"/>
        </w:rPr>
        <w:t>Hence,</w:t>
      </w:r>
      <w:r>
        <w:rPr>
          <w:spacing w:val="-4"/>
          <w:sz w:val="18"/>
        </w:rPr>
        <w:t xml:space="preserve"> </w:t>
      </w:r>
      <w:r>
        <w:rPr>
          <w:sz w:val="18"/>
        </w:rPr>
        <w:t>no</w:t>
      </w:r>
      <w:r>
        <w:rPr>
          <w:spacing w:val="-4"/>
          <w:sz w:val="18"/>
        </w:rPr>
        <w:t xml:space="preserve"> </w:t>
      </w:r>
      <w:r>
        <w:rPr>
          <w:sz w:val="18"/>
        </w:rPr>
        <w:t>significant</w:t>
      </w:r>
      <w:r>
        <w:rPr>
          <w:spacing w:val="-2"/>
          <w:sz w:val="18"/>
        </w:rPr>
        <w:t xml:space="preserve"> </w:t>
      </w:r>
      <w:r>
        <w:rPr>
          <w:sz w:val="18"/>
        </w:rPr>
        <w:t>amendments</w:t>
      </w:r>
      <w:r>
        <w:rPr>
          <w:spacing w:val="-3"/>
          <w:sz w:val="18"/>
        </w:rPr>
        <w:t xml:space="preserve"> </w:t>
      </w:r>
      <w:r>
        <w:rPr>
          <w:sz w:val="18"/>
        </w:rPr>
        <w:t>have</w:t>
      </w:r>
      <w:r>
        <w:rPr>
          <w:spacing w:val="-1"/>
          <w:sz w:val="18"/>
        </w:rPr>
        <w:t xml:space="preserve"> </w:t>
      </w:r>
      <w:r>
        <w:rPr>
          <w:sz w:val="18"/>
        </w:rPr>
        <w:t>been</w:t>
      </w:r>
      <w:r>
        <w:rPr>
          <w:spacing w:val="-4"/>
          <w:sz w:val="18"/>
        </w:rPr>
        <w:t xml:space="preserve"> </w:t>
      </w:r>
      <w:r>
        <w:rPr>
          <w:sz w:val="18"/>
        </w:rPr>
        <w:t>made</w:t>
      </w:r>
      <w:r>
        <w:rPr>
          <w:spacing w:val="-1"/>
          <w:sz w:val="18"/>
        </w:rPr>
        <w:t xml:space="preserve"> </w:t>
      </w:r>
      <w:r>
        <w:rPr>
          <w:sz w:val="18"/>
        </w:rPr>
        <w:t>to</w:t>
      </w:r>
      <w:r>
        <w:rPr>
          <w:spacing w:val="-4"/>
          <w:sz w:val="18"/>
        </w:rPr>
        <w:t xml:space="preserve"> </w:t>
      </w:r>
      <w:r>
        <w:rPr>
          <w:sz w:val="18"/>
        </w:rPr>
        <w:t>the</w:t>
      </w:r>
      <w:r>
        <w:rPr>
          <w:spacing w:val="-1"/>
          <w:sz w:val="18"/>
        </w:rPr>
        <w:t xml:space="preserve"> </w:t>
      </w:r>
      <w:r>
        <w:rPr>
          <w:sz w:val="18"/>
        </w:rPr>
        <w:t xml:space="preserve">valuation </w:t>
      </w:r>
      <w:r>
        <w:rPr>
          <w:spacing w:val="-2"/>
          <w:sz w:val="18"/>
        </w:rPr>
        <w:t>methodology.</w:t>
      </w:r>
    </w:p>
    <w:p w14:paraId="04DCF98C" w14:textId="77777777" w:rsidR="00AC6F3C" w:rsidRDefault="00AC6F3C">
      <w:pPr>
        <w:pStyle w:val="BodyText"/>
        <w:spacing w:before="10"/>
      </w:pPr>
    </w:p>
    <w:p w14:paraId="2C5E2B81" w14:textId="77777777" w:rsidR="00AC6F3C" w:rsidRDefault="00570E88">
      <w:pPr>
        <w:ind w:left="958" w:right="990"/>
        <w:rPr>
          <w:sz w:val="18"/>
        </w:rPr>
      </w:pPr>
      <w:r>
        <w:rPr>
          <w:sz w:val="18"/>
        </w:rPr>
        <w:t>The</w:t>
      </w:r>
      <w:r>
        <w:rPr>
          <w:spacing w:val="-1"/>
          <w:sz w:val="18"/>
        </w:rPr>
        <w:t xml:space="preserve"> </w:t>
      </w:r>
      <w:r>
        <w:rPr>
          <w:sz w:val="18"/>
        </w:rPr>
        <w:t>assumptions</w:t>
      </w:r>
      <w:r>
        <w:rPr>
          <w:spacing w:val="-1"/>
          <w:sz w:val="18"/>
        </w:rPr>
        <w:t xml:space="preserve"> </w:t>
      </w:r>
      <w:r>
        <w:rPr>
          <w:sz w:val="18"/>
        </w:rPr>
        <w:t>have</w:t>
      </w:r>
      <w:r>
        <w:rPr>
          <w:spacing w:val="-4"/>
          <w:sz w:val="18"/>
        </w:rPr>
        <w:t xml:space="preserve"> </w:t>
      </w:r>
      <w:r>
        <w:rPr>
          <w:sz w:val="18"/>
        </w:rPr>
        <w:t>been</w:t>
      </w:r>
      <w:r>
        <w:rPr>
          <w:spacing w:val="-1"/>
          <w:sz w:val="18"/>
        </w:rPr>
        <w:t xml:space="preserve"> </w:t>
      </w:r>
      <w:r>
        <w:rPr>
          <w:sz w:val="18"/>
        </w:rPr>
        <w:t>determined</w:t>
      </w:r>
      <w:r>
        <w:rPr>
          <w:spacing w:val="-4"/>
          <w:sz w:val="18"/>
        </w:rPr>
        <w:t xml:space="preserve"> </w:t>
      </w:r>
      <w:r>
        <w:rPr>
          <w:sz w:val="18"/>
        </w:rPr>
        <w:t>by</w:t>
      </w:r>
      <w:r>
        <w:rPr>
          <w:spacing w:val="-3"/>
          <w:sz w:val="18"/>
        </w:rPr>
        <w:t xml:space="preserve"> </w:t>
      </w:r>
      <w:r>
        <w:rPr>
          <w:sz w:val="18"/>
        </w:rPr>
        <w:t>management</w:t>
      </w:r>
      <w:r>
        <w:rPr>
          <w:spacing w:val="-2"/>
          <w:sz w:val="18"/>
        </w:rPr>
        <w:t xml:space="preserve"> </w:t>
      </w:r>
      <w:r>
        <w:rPr>
          <w:sz w:val="18"/>
        </w:rPr>
        <w:t>and</w:t>
      </w:r>
      <w:r>
        <w:rPr>
          <w:spacing w:val="-1"/>
          <w:sz w:val="18"/>
        </w:rPr>
        <w:t xml:space="preserve"> </w:t>
      </w:r>
      <w:r>
        <w:rPr>
          <w:sz w:val="18"/>
        </w:rPr>
        <w:t>the</w:t>
      </w:r>
      <w:r>
        <w:rPr>
          <w:spacing w:val="-4"/>
          <w:sz w:val="18"/>
        </w:rPr>
        <w:t xml:space="preserve"> </w:t>
      </w:r>
      <w:r>
        <w:rPr>
          <w:sz w:val="18"/>
        </w:rPr>
        <w:t>actuarial</w:t>
      </w:r>
      <w:r>
        <w:rPr>
          <w:spacing w:val="-1"/>
          <w:sz w:val="18"/>
        </w:rPr>
        <w:t xml:space="preserve"> </w:t>
      </w:r>
      <w:r>
        <w:rPr>
          <w:sz w:val="18"/>
        </w:rPr>
        <w:t>team</w:t>
      </w:r>
      <w:r>
        <w:rPr>
          <w:spacing w:val="-3"/>
          <w:sz w:val="18"/>
        </w:rPr>
        <w:t xml:space="preserve"> </w:t>
      </w:r>
      <w:r>
        <w:rPr>
          <w:sz w:val="18"/>
        </w:rPr>
        <w:t>by</w:t>
      </w:r>
      <w:r>
        <w:rPr>
          <w:spacing w:val="-3"/>
          <w:sz w:val="18"/>
        </w:rPr>
        <w:t xml:space="preserve"> </w:t>
      </w:r>
      <w:r>
        <w:rPr>
          <w:sz w:val="18"/>
        </w:rPr>
        <w:t>taking</w:t>
      </w:r>
      <w:r>
        <w:rPr>
          <w:spacing w:val="-4"/>
          <w:sz w:val="18"/>
        </w:rPr>
        <w:t xml:space="preserve"> </w:t>
      </w:r>
      <w:r>
        <w:rPr>
          <w:sz w:val="18"/>
        </w:rPr>
        <w:t>into</w:t>
      </w:r>
      <w:r>
        <w:rPr>
          <w:spacing w:val="-1"/>
          <w:sz w:val="18"/>
        </w:rPr>
        <w:t xml:space="preserve"> </w:t>
      </w:r>
      <w:r>
        <w:rPr>
          <w:sz w:val="18"/>
        </w:rPr>
        <w:t>account claim development experience, statistical analysis and market trends.</w:t>
      </w:r>
    </w:p>
    <w:p w14:paraId="33B7BDD2" w14:textId="77777777" w:rsidR="00AC6F3C" w:rsidRDefault="00AC6F3C">
      <w:pPr>
        <w:pStyle w:val="BodyText"/>
        <w:spacing w:before="9"/>
      </w:pPr>
    </w:p>
    <w:p w14:paraId="2AF9DF7B" w14:textId="77777777" w:rsidR="00AC6F3C" w:rsidRDefault="00570E88">
      <w:pPr>
        <w:ind w:left="958"/>
        <w:rPr>
          <w:b/>
          <w:sz w:val="20"/>
        </w:rPr>
      </w:pPr>
      <w:r>
        <w:rPr>
          <w:b/>
          <w:sz w:val="20"/>
        </w:rPr>
        <w:t>Sensitivity</w:t>
      </w:r>
      <w:r>
        <w:rPr>
          <w:b/>
          <w:spacing w:val="-7"/>
          <w:sz w:val="20"/>
        </w:rPr>
        <w:t xml:space="preserve"> </w:t>
      </w:r>
      <w:r>
        <w:rPr>
          <w:b/>
          <w:sz w:val="20"/>
        </w:rPr>
        <w:t>analysis</w:t>
      </w:r>
      <w:r>
        <w:rPr>
          <w:b/>
          <w:spacing w:val="-7"/>
          <w:sz w:val="20"/>
        </w:rPr>
        <w:t xml:space="preserve"> </w:t>
      </w:r>
      <w:r>
        <w:rPr>
          <w:b/>
          <w:sz w:val="20"/>
        </w:rPr>
        <w:t>of</w:t>
      </w:r>
      <w:r>
        <w:rPr>
          <w:b/>
          <w:spacing w:val="-6"/>
          <w:sz w:val="20"/>
        </w:rPr>
        <w:t xml:space="preserve"> </w:t>
      </w:r>
      <w:r>
        <w:rPr>
          <w:b/>
          <w:sz w:val="20"/>
        </w:rPr>
        <w:t>key</w:t>
      </w:r>
      <w:r>
        <w:rPr>
          <w:b/>
          <w:spacing w:val="-7"/>
          <w:sz w:val="20"/>
        </w:rPr>
        <w:t xml:space="preserve"> </w:t>
      </w:r>
      <w:r>
        <w:rPr>
          <w:b/>
          <w:spacing w:val="-2"/>
          <w:sz w:val="20"/>
        </w:rPr>
        <w:t>estimates</w:t>
      </w:r>
    </w:p>
    <w:p w14:paraId="4EFF4261" w14:textId="77777777" w:rsidR="00AC6F3C" w:rsidRDefault="00AC6F3C">
      <w:pPr>
        <w:pStyle w:val="BodyText"/>
        <w:spacing w:before="10"/>
        <w:rPr>
          <w:b/>
        </w:rPr>
      </w:pPr>
    </w:p>
    <w:p w14:paraId="31A27521" w14:textId="77777777" w:rsidR="00AC6F3C" w:rsidRDefault="00570E88">
      <w:pPr>
        <w:ind w:left="958" w:right="829"/>
        <w:rPr>
          <w:sz w:val="18"/>
        </w:rPr>
      </w:pPr>
      <w:r>
        <w:rPr>
          <w:sz w:val="18"/>
        </w:rPr>
        <w:t>While</w:t>
      </w:r>
      <w:r>
        <w:rPr>
          <w:spacing w:val="-4"/>
          <w:sz w:val="18"/>
        </w:rPr>
        <w:t xml:space="preserve"> </w:t>
      </w:r>
      <w:r>
        <w:rPr>
          <w:sz w:val="18"/>
        </w:rPr>
        <w:t>the</w:t>
      </w:r>
      <w:r>
        <w:rPr>
          <w:spacing w:val="-4"/>
          <w:sz w:val="18"/>
        </w:rPr>
        <w:t xml:space="preserve"> </w:t>
      </w:r>
      <w:r>
        <w:rPr>
          <w:sz w:val="18"/>
        </w:rPr>
        <w:t>gross</w:t>
      </w:r>
      <w:r>
        <w:rPr>
          <w:spacing w:val="-3"/>
          <w:sz w:val="18"/>
        </w:rPr>
        <w:t xml:space="preserve"> </w:t>
      </w:r>
      <w:r>
        <w:rPr>
          <w:sz w:val="18"/>
        </w:rPr>
        <w:t>ultimate</w:t>
      </w:r>
      <w:r>
        <w:rPr>
          <w:spacing w:val="-1"/>
          <w:sz w:val="18"/>
        </w:rPr>
        <w:t xml:space="preserve"> </w:t>
      </w:r>
      <w:r>
        <w:rPr>
          <w:sz w:val="18"/>
        </w:rPr>
        <w:t>costs</w:t>
      </w:r>
      <w:r>
        <w:rPr>
          <w:spacing w:val="-3"/>
          <w:sz w:val="18"/>
        </w:rPr>
        <w:t xml:space="preserve"> </w:t>
      </w:r>
      <w:r>
        <w:rPr>
          <w:sz w:val="18"/>
        </w:rPr>
        <w:t>are</w:t>
      </w:r>
      <w:r>
        <w:rPr>
          <w:spacing w:val="-1"/>
          <w:sz w:val="18"/>
        </w:rPr>
        <w:t xml:space="preserve"> </w:t>
      </w:r>
      <w:r>
        <w:rPr>
          <w:sz w:val="18"/>
        </w:rPr>
        <w:t>sensitive</w:t>
      </w:r>
      <w:r>
        <w:rPr>
          <w:spacing w:val="-1"/>
          <w:sz w:val="18"/>
        </w:rPr>
        <w:t xml:space="preserve"> </w:t>
      </w:r>
      <w:r>
        <w:rPr>
          <w:sz w:val="18"/>
        </w:rPr>
        <w:t>to</w:t>
      </w:r>
      <w:r>
        <w:rPr>
          <w:spacing w:val="-1"/>
          <w:sz w:val="18"/>
        </w:rPr>
        <w:t xml:space="preserve"> </w:t>
      </w:r>
      <w:r>
        <w:rPr>
          <w:sz w:val="18"/>
        </w:rPr>
        <w:t>valuation</w:t>
      </w:r>
      <w:r>
        <w:rPr>
          <w:spacing w:val="-4"/>
          <w:sz w:val="18"/>
        </w:rPr>
        <w:t xml:space="preserve"> </w:t>
      </w:r>
      <w:r>
        <w:rPr>
          <w:sz w:val="18"/>
        </w:rPr>
        <w:t>assumptions,</w:t>
      </w:r>
      <w:r>
        <w:rPr>
          <w:spacing w:val="-2"/>
          <w:sz w:val="18"/>
        </w:rPr>
        <w:t xml:space="preserve"> </w:t>
      </w:r>
      <w:r>
        <w:rPr>
          <w:sz w:val="18"/>
        </w:rPr>
        <w:t>the</w:t>
      </w:r>
      <w:r>
        <w:rPr>
          <w:spacing w:val="-4"/>
          <w:sz w:val="18"/>
        </w:rPr>
        <w:t xml:space="preserve"> </w:t>
      </w:r>
      <w:r>
        <w:rPr>
          <w:sz w:val="18"/>
        </w:rPr>
        <w:t>net</w:t>
      </w:r>
      <w:r>
        <w:rPr>
          <w:spacing w:val="-2"/>
          <w:sz w:val="18"/>
        </w:rPr>
        <w:t xml:space="preserve"> </w:t>
      </w:r>
      <w:r>
        <w:rPr>
          <w:sz w:val="18"/>
        </w:rPr>
        <w:t>results</w:t>
      </w:r>
      <w:r>
        <w:rPr>
          <w:spacing w:val="-1"/>
          <w:sz w:val="18"/>
        </w:rPr>
        <w:t xml:space="preserve"> </w:t>
      </w:r>
      <w:r>
        <w:rPr>
          <w:sz w:val="18"/>
        </w:rPr>
        <w:t>are</w:t>
      </w:r>
      <w:r>
        <w:rPr>
          <w:spacing w:val="-4"/>
          <w:sz w:val="18"/>
        </w:rPr>
        <w:t xml:space="preserve"> </w:t>
      </w:r>
      <w:r>
        <w:rPr>
          <w:sz w:val="18"/>
        </w:rPr>
        <w:t>less</w:t>
      </w:r>
      <w:r>
        <w:rPr>
          <w:spacing w:val="-1"/>
          <w:sz w:val="18"/>
        </w:rPr>
        <w:t xml:space="preserve"> </w:t>
      </w:r>
      <w:r>
        <w:rPr>
          <w:sz w:val="18"/>
        </w:rPr>
        <w:t>sensitive</w:t>
      </w:r>
      <w:r>
        <w:rPr>
          <w:spacing w:val="-1"/>
          <w:sz w:val="18"/>
        </w:rPr>
        <w:t xml:space="preserve"> </w:t>
      </w:r>
      <w:r>
        <w:rPr>
          <w:sz w:val="18"/>
        </w:rPr>
        <w:t>due to the aggregate limits that apply which reduce the net exposure.</w:t>
      </w:r>
      <w:r>
        <w:rPr>
          <w:spacing w:val="40"/>
          <w:sz w:val="18"/>
        </w:rPr>
        <w:t xml:space="preserve"> </w:t>
      </w:r>
      <w:r>
        <w:rPr>
          <w:sz w:val="18"/>
        </w:rPr>
        <w:t>The gross undiscounted unused exposure for all years totals $128.8 million (2022: $127.1 million) before risk margins; and $117.9 million (2022: $107.7 million) after allowing risk margins to the 90</w:t>
      </w:r>
      <w:proofErr w:type="spellStart"/>
      <w:r>
        <w:rPr>
          <w:position w:val="6"/>
          <w:sz w:val="12"/>
        </w:rPr>
        <w:t>th</w:t>
      </w:r>
      <w:proofErr w:type="spellEnd"/>
      <w:r>
        <w:rPr>
          <w:spacing w:val="19"/>
          <w:position w:val="6"/>
          <w:sz w:val="12"/>
        </w:rPr>
        <w:t xml:space="preserve"> </w:t>
      </w:r>
      <w:r>
        <w:rPr>
          <w:sz w:val="18"/>
        </w:rPr>
        <w:t>probability of sufficiency. The unused net exposure</w:t>
      </w:r>
      <w:r>
        <w:rPr>
          <w:spacing w:val="-3"/>
          <w:sz w:val="18"/>
        </w:rPr>
        <w:t xml:space="preserve"> </w:t>
      </w:r>
      <w:r>
        <w:rPr>
          <w:sz w:val="18"/>
        </w:rPr>
        <w:t>per</w:t>
      </w:r>
      <w:r>
        <w:rPr>
          <w:spacing w:val="-3"/>
          <w:sz w:val="18"/>
        </w:rPr>
        <w:t xml:space="preserve"> </w:t>
      </w:r>
      <w:r>
        <w:rPr>
          <w:sz w:val="18"/>
        </w:rPr>
        <w:t>policy year</w:t>
      </w:r>
      <w:r>
        <w:rPr>
          <w:spacing w:val="-1"/>
          <w:sz w:val="18"/>
        </w:rPr>
        <w:t xml:space="preserve"> </w:t>
      </w:r>
      <w:r>
        <w:rPr>
          <w:sz w:val="18"/>
        </w:rPr>
        <w:t>ranges from $0 to</w:t>
      </w:r>
      <w:r>
        <w:rPr>
          <w:spacing w:val="-3"/>
          <w:sz w:val="18"/>
        </w:rPr>
        <w:t xml:space="preserve"> </w:t>
      </w:r>
      <w:r>
        <w:rPr>
          <w:sz w:val="18"/>
        </w:rPr>
        <w:t>$17.5</w:t>
      </w:r>
      <w:r>
        <w:rPr>
          <w:spacing w:val="-1"/>
          <w:sz w:val="18"/>
        </w:rPr>
        <w:t xml:space="preserve"> </w:t>
      </w:r>
      <w:r>
        <w:rPr>
          <w:sz w:val="18"/>
        </w:rPr>
        <w:t>million</w:t>
      </w:r>
      <w:r>
        <w:rPr>
          <w:spacing w:val="-3"/>
          <w:sz w:val="18"/>
        </w:rPr>
        <w:t xml:space="preserve"> </w:t>
      </w:r>
      <w:r>
        <w:rPr>
          <w:sz w:val="18"/>
        </w:rPr>
        <w:t>(2022:</w:t>
      </w:r>
      <w:r>
        <w:rPr>
          <w:spacing w:val="-1"/>
          <w:sz w:val="18"/>
        </w:rPr>
        <w:t xml:space="preserve"> </w:t>
      </w:r>
      <w:r>
        <w:rPr>
          <w:sz w:val="18"/>
        </w:rPr>
        <w:t>$0</w:t>
      </w:r>
      <w:r>
        <w:rPr>
          <w:spacing w:val="-3"/>
          <w:sz w:val="18"/>
        </w:rPr>
        <w:t xml:space="preserve"> </w:t>
      </w:r>
      <w:r>
        <w:rPr>
          <w:sz w:val="18"/>
        </w:rPr>
        <w:t>to</w:t>
      </w:r>
      <w:r>
        <w:rPr>
          <w:spacing w:val="-3"/>
          <w:sz w:val="18"/>
        </w:rPr>
        <w:t xml:space="preserve"> </w:t>
      </w:r>
      <w:r>
        <w:rPr>
          <w:sz w:val="18"/>
        </w:rPr>
        <w:t>$13</w:t>
      </w:r>
      <w:r>
        <w:rPr>
          <w:spacing w:val="-3"/>
          <w:sz w:val="18"/>
        </w:rPr>
        <w:t xml:space="preserve"> </w:t>
      </w:r>
      <w:r>
        <w:rPr>
          <w:sz w:val="18"/>
        </w:rPr>
        <w:t>million)</w:t>
      </w:r>
      <w:r>
        <w:rPr>
          <w:spacing w:val="-1"/>
          <w:sz w:val="18"/>
        </w:rPr>
        <w:t xml:space="preserve"> </w:t>
      </w:r>
      <w:r>
        <w:rPr>
          <w:sz w:val="18"/>
        </w:rPr>
        <w:t>with</w:t>
      </w:r>
      <w:r>
        <w:rPr>
          <w:spacing w:val="-3"/>
          <w:sz w:val="18"/>
        </w:rPr>
        <w:t xml:space="preserve"> </w:t>
      </w:r>
      <w:r>
        <w:rPr>
          <w:sz w:val="18"/>
        </w:rPr>
        <w:t>an</w:t>
      </w:r>
      <w:r>
        <w:rPr>
          <w:spacing w:val="-3"/>
          <w:sz w:val="18"/>
        </w:rPr>
        <w:t xml:space="preserve"> </w:t>
      </w:r>
      <w:r>
        <w:rPr>
          <w:sz w:val="18"/>
        </w:rPr>
        <w:t>average of</w:t>
      </w:r>
      <w:r>
        <w:rPr>
          <w:spacing w:val="-3"/>
          <w:sz w:val="18"/>
        </w:rPr>
        <w:t xml:space="preserve"> </w:t>
      </w:r>
      <w:r>
        <w:rPr>
          <w:sz w:val="18"/>
        </w:rPr>
        <w:t>$10.8 million (2022: $8.3 million).</w:t>
      </w:r>
    </w:p>
    <w:p w14:paraId="4074506D" w14:textId="77777777" w:rsidR="00AC6F3C" w:rsidRDefault="00AC6F3C">
      <w:pPr>
        <w:pStyle w:val="BodyText"/>
        <w:spacing w:before="7"/>
      </w:pPr>
    </w:p>
    <w:p w14:paraId="493E2C7B" w14:textId="77777777" w:rsidR="00AC6F3C" w:rsidRDefault="00570E88">
      <w:pPr>
        <w:ind w:left="958" w:right="1030"/>
        <w:rPr>
          <w:sz w:val="18"/>
        </w:rPr>
      </w:pPr>
      <w:r>
        <w:rPr>
          <w:sz w:val="18"/>
        </w:rPr>
        <w:t>The Group’s results and Statement of Financial Position have been determined with a probability of sufficiency</w:t>
      </w:r>
      <w:r>
        <w:rPr>
          <w:spacing w:val="-1"/>
          <w:sz w:val="18"/>
        </w:rPr>
        <w:t xml:space="preserve"> </w:t>
      </w:r>
      <w:r>
        <w:rPr>
          <w:sz w:val="18"/>
        </w:rPr>
        <w:t>of</w:t>
      </w:r>
      <w:r>
        <w:rPr>
          <w:spacing w:val="-4"/>
          <w:sz w:val="18"/>
        </w:rPr>
        <w:t xml:space="preserve"> </w:t>
      </w:r>
      <w:r>
        <w:rPr>
          <w:sz w:val="18"/>
        </w:rPr>
        <w:t>90%.</w:t>
      </w:r>
      <w:r>
        <w:rPr>
          <w:spacing w:val="40"/>
          <w:sz w:val="18"/>
        </w:rPr>
        <w:t xml:space="preserve"> </w:t>
      </w:r>
      <w:r>
        <w:rPr>
          <w:sz w:val="18"/>
        </w:rPr>
        <w:t>As</w:t>
      </w:r>
      <w:r>
        <w:rPr>
          <w:spacing w:val="-3"/>
          <w:sz w:val="18"/>
        </w:rPr>
        <w:t xml:space="preserve"> </w:t>
      </w:r>
      <w:r>
        <w:rPr>
          <w:sz w:val="18"/>
        </w:rPr>
        <w:t>such,</w:t>
      </w:r>
      <w:r>
        <w:rPr>
          <w:spacing w:val="-4"/>
          <w:sz w:val="18"/>
        </w:rPr>
        <w:t xml:space="preserve"> </w:t>
      </w:r>
      <w:r>
        <w:rPr>
          <w:sz w:val="18"/>
        </w:rPr>
        <w:t>the</w:t>
      </w:r>
      <w:r>
        <w:rPr>
          <w:spacing w:val="-1"/>
          <w:sz w:val="18"/>
        </w:rPr>
        <w:t xml:space="preserve"> </w:t>
      </w:r>
      <w:r>
        <w:rPr>
          <w:sz w:val="18"/>
        </w:rPr>
        <w:t>sensitivity</w:t>
      </w:r>
      <w:r>
        <w:rPr>
          <w:spacing w:val="-1"/>
          <w:sz w:val="18"/>
        </w:rPr>
        <w:t xml:space="preserve"> </w:t>
      </w:r>
      <w:r>
        <w:rPr>
          <w:sz w:val="18"/>
        </w:rPr>
        <w:t>analysis</w:t>
      </w:r>
      <w:r>
        <w:rPr>
          <w:spacing w:val="-1"/>
          <w:sz w:val="18"/>
        </w:rPr>
        <w:t xml:space="preserve"> </w:t>
      </w:r>
      <w:r>
        <w:rPr>
          <w:sz w:val="18"/>
        </w:rPr>
        <w:t>shows</w:t>
      </w:r>
      <w:r>
        <w:rPr>
          <w:spacing w:val="-3"/>
          <w:sz w:val="18"/>
        </w:rPr>
        <w:t xml:space="preserve"> </w:t>
      </w:r>
      <w:r>
        <w:rPr>
          <w:sz w:val="18"/>
        </w:rPr>
        <w:t>the</w:t>
      </w:r>
      <w:r>
        <w:rPr>
          <w:spacing w:val="-1"/>
          <w:sz w:val="18"/>
        </w:rPr>
        <w:t xml:space="preserve"> </w:t>
      </w:r>
      <w:r>
        <w:rPr>
          <w:sz w:val="18"/>
        </w:rPr>
        <w:t>impact</w:t>
      </w:r>
      <w:r>
        <w:rPr>
          <w:spacing w:val="-2"/>
          <w:sz w:val="18"/>
        </w:rPr>
        <w:t xml:space="preserve"> </w:t>
      </w:r>
      <w:r>
        <w:rPr>
          <w:sz w:val="18"/>
        </w:rPr>
        <w:t>using</w:t>
      </w:r>
      <w:r>
        <w:rPr>
          <w:spacing w:val="-1"/>
          <w:sz w:val="18"/>
        </w:rPr>
        <w:t xml:space="preserve"> </w:t>
      </w:r>
      <w:r>
        <w:rPr>
          <w:sz w:val="18"/>
        </w:rPr>
        <w:t>this</w:t>
      </w:r>
      <w:r>
        <w:rPr>
          <w:spacing w:val="-3"/>
          <w:sz w:val="18"/>
        </w:rPr>
        <w:t xml:space="preserve"> </w:t>
      </w:r>
      <w:r>
        <w:rPr>
          <w:sz w:val="18"/>
        </w:rPr>
        <w:t>same</w:t>
      </w:r>
      <w:r>
        <w:rPr>
          <w:spacing w:val="-4"/>
          <w:sz w:val="18"/>
        </w:rPr>
        <w:t xml:space="preserve"> </w:t>
      </w:r>
      <w:r>
        <w:rPr>
          <w:sz w:val="18"/>
        </w:rPr>
        <w:t>measure</w:t>
      </w:r>
      <w:r>
        <w:rPr>
          <w:spacing w:val="-4"/>
          <w:sz w:val="18"/>
        </w:rPr>
        <w:t xml:space="preserve"> </w:t>
      </w:r>
      <w:r>
        <w:rPr>
          <w:sz w:val="18"/>
        </w:rPr>
        <w:t xml:space="preserve">before </w:t>
      </w:r>
      <w:r>
        <w:rPr>
          <w:spacing w:val="-4"/>
          <w:sz w:val="18"/>
        </w:rPr>
        <w:t>tax.</w:t>
      </w:r>
    </w:p>
    <w:p w14:paraId="713D3E13" w14:textId="77777777" w:rsidR="00AC6F3C" w:rsidRDefault="00AC6F3C">
      <w:pPr>
        <w:pStyle w:val="BodyText"/>
        <w:spacing w:before="8"/>
      </w:pPr>
    </w:p>
    <w:p w14:paraId="55836579" w14:textId="77777777" w:rsidR="00AC6F3C" w:rsidRDefault="00570E88">
      <w:pPr>
        <w:spacing w:before="1"/>
        <w:ind w:left="958" w:right="468"/>
        <w:rPr>
          <w:sz w:val="18"/>
        </w:rPr>
      </w:pPr>
      <w:r>
        <w:rPr>
          <w:sz w:val="18"/>
        </w:rPr>
        <w:t>In</w:t>
      </w:r>
      <w:r>
        <w:rPr>
          <w:spacing w:val="-1"/>
          <w:sz w:val="18"/>
        </w:rPr>
        <w:t xml:space="preserve"> </w:t>
      </w:r>
      <w:r>
        <w:rPr>
          <w:sz w:val="18"/>
        </w:rPr>
        <w:t>relation</w:t>
      </w:r>
      <w:r>
        <w:rPr>
          <w:spacing w:val="-1"/>
          <w:sz w:val="18"/>
        </w:rPr>
        <w:t xml:space="preserve"> </w:t>
      </w:r>
      <w:r>
        <w:rPr>
          <w:sz w:val="18"/>
        </w:rPr>
        <w:t>to</w:t>
      </w:r>
      <w:r>
        <w:rPr>
          <w:spacing w:val="-4"/>
          <w:sz w:val="18"/>
        </w:rPr>
        <w:t xml:space="preserve"> </w:t>
      </w:r>
      <w:r>
        <w:rPr>
          <w:sz w:val="18"/>
        </w:rPr>
        <w:t>outstanding</w:t>
      </w:r>
      <w:r>
        <w:rPr>
          <w:spacing w:val="-1"/>
          <w:sz w:val="18"/>
        </w:rPr>
        <w:t xml:space="preserve"> </w:t>
      </w:r>
      <w:r>
        <w:rPr>
          <w:sz w:val="18"/>
        </w:rPr>
        <w:t>claim</w:t>
      </w:r>
      <w:r>
        <w:rPr>
          <w:spacing w:val="-3"/>
          <w:sz w:val="18"/>
        </w:rPr>
        <w:t xml:space="preserve"> </w:t>
      </w:r>
      <w:r>
        <w:rPr>
          <w:sz w:val="18"/>
        </w:rPr>
        <w:t>liabilities,</w:t>
      </w:r>
      <w:r>
        <w:rPr>
          <w:spacing w:val="-2"/>
          <w:sz w:val="18"/>
        </w:rPr>
        <w:t xml:space="preserve"> </w:t>
      </w:r>
      <w:r>
        <w:rPr>
          <w:sz w:val="18"/>
        </w:rPr>
        <w:t>the</w:t>
      </w:r>
      <w:r>
        <w:rPr>
          <w:spacing w:val="-1"/>
          <w:sz w:val="18"/>
        </w:rPr>
        <w:t xml:space="preserve"> </w:t>
      </w:r>
      <w:r>
        <w:rPr>
          <w:sz w:val="18"/>
        </w:rPr>
        <w:t>impacts</w:t>
      </w:r>
      <w:r>
        <w:rPr>
          <w:spacing w:val="-3"/>
          <w:sz w:val="18"/>
        </w:rPr>
        <w:t xml:space="preserve"> </w:t>
      </w:r>
      <w:r>
        <w:rPr>
          <w:sz w:val="18"/>
        </w:rPr>
        <w:t>on</w:t>
      </w:r>
      <w:r>
        <w:rPr>
          <w:spacing w:val="-4"/>
          <w:sz w:val="18"/>
        </w:rPr>
        <w:t xml:space="preserve"> </w:t>
      </w:r>
      <w:r>
        <w:rPr>
          <w:sz w:val="18"/>
        </w:rPr>
        <w:t>our</w:t>
      </w:r>
      <w:r>
        <w:rPr>
          <w:spacing w:val="-4"/>
          <w:sz w:val="18"/>
        </w:rPr>
        <w:t xml:space="preserve"> </w:t>
      </w:r>
      <w:r>
        <w:rPr>
          <w:sz w:val="18"/>
        </w:rPr>
        <w:t>estimated</w:t>
      </w:r>
      <w:r>
        <w:rPr>
          <w:spacing w:val="-1"/>
          <w:sz w:val="18"/>
        </w:rPr>
        <w:t xml:space="preserve"> </w:t>
      </w:r>
      <w:r>
        <w:rPr>
          <w:sz w:val="18"/>
        </w:rPr>
        <w:t>total</w:t>
      </w:r>
      <w:r>
        <w:rPr>
          <w:spacing w:val="-4"/>
          <w:sz w:val="18"/>
        </w:rPr>
        <w:t xml:space="preserve"> </w:t>
      </w:r>
      <w:r>
        <w:rPr>
          <w:sz w:val="18"/>
        </w:rPr>
        <w:t>provision</w:t>
      </w:r>
      <w:r>
        <w:rPr>
          <w:spacing w:val="-4"/>
          <w:sz w:val="18"/>
        </w:rPr>
        <w:t xml:space="preserve"> </w:t>
      </w:r>
      <w:r>
        <w:rPr>
          <w:sz w:val="18"/>
        </w:rPr>
        <w:t>due</w:t>
      </w:r>
      <w:r>
        <w:rPr>
          <w:spacing w:val="-4"/>
          <w:sz w:val="18"/>
        </w:rPr>
        <w:t xml:space="preserve"> </w:t>
      </w:r>
      <w:r>
        <w:rPr>
          <w:sz w:val="18"/>
        </w:rPr>
        <w:t>to</w:t>
      </w:r>
      <w:r>
        <w:rPr>
          <w:spacing w:val="-1"/>
          <w:sz w:val="18"/>
        </w:rPr>
        <w:t xml:space="preserve"> </w:t>
      </w:r>
      <w:r>
        <w:rPr>
          <w:sz w:val="18"/>
        </w:rPr>
        <w:t>changes</w:t>
      </w:r>
      <w:r>
        <w:rPr>
          <w:spacing w:val="-1"/>
          <w:sz w:val="18"/>
        </w:rPr>
        <w:t xml:space="preserve"> </w:t>
      </w:r>
      <w:r>
        <w:rPr>
          <w:sz w:val="18"/>
        </w:rPr>
        <w:t>in assumptions are:</w:t>
      </w:r>
    </w:p>
    <w:p w14:paraId="2CD8B57D" w14:textId="77777777" w:rsidR="00AC6F3C" w:rsidRDefault="00570E88">
      <w:pPr>
        <w:pStyle w:val="ListParagraph"/>
        <w:numPr>
          <w:ilvl w:val="0"/>
          <w:numId w:val="29"/>
        </w:numPr>
        <w:tabs>
          <w:tab w:val="left" w:pos="1315"/>
        </w:tabs>
        <w:spacing w:before="121"/>
        <w:ind w:right="893" w:hanging="358"/>
        <w:rPr>
          <w:sz w:val="18"/>
        </w:rPr>
      </w:pPr>
      <w:r>
        <w:rPr>
          <w:sz w:val="18"/>
        </w:rPr>
        <w:t>Reserve</w:t>
      </w:r>
      <w:r>
        <w:rPr>
          <w:spacing w:val="-1"/>
          <w:sz w:val="18"/>
        </w:rPr>
        <w:t xml:space="preserve"> </w:t>
      </w:r>
      <w:r>
        <w:rPr>
          <w:sz w:val="18"/>
        </w:rPr>
        <w:t>under</w:t>
      </w:r>
      <w:r>
        <w:rPr>
          <w:spacing w:val="-2"/>
          <w:sz w:val="18"/>
        </w:rPr>
        <w:t xml:space="preserve"> </w:t>
      </w:r>
      <w:r>
        <w:rPr>
          <w:sz w:val="18"/>
        </w:rPr>
        <w:t>estimation:</w:t>
      </w:r>
      <w:r>
        <w:rPr>
          <w:spacing w:val="-2"/>
          <w:sz w:val="18"/>
        </w:rPr>
        <w:t xml:space="preserve"> </w:t>
      </w:r>
      <w:r>
        <w:rPr>
          <w:sz w:val="18"/>
        </w:rPr>
        <w:t>A</w:t>
      </w:r>
      <w:r>
        <w:rPr>
          <w:spacing w:val="-2"/>
          <w:sz w:val="18"/>
        </w:rPr>
        <w:t xml:space="preserve"> </w:t>
      </w:r>
      <w:r>
        <w:rPr>
          <w:sz w:val="18"/>
        </w:rPr>
        <w:t>10%</w:t>
      </w:r>
      <w:r>
        <w:rPr>
          <w:spacing w:val="-1"/>
          <w:sz w:val="18"/>
        </w:rPr>
        <w:t xml:space="preserve"> </w:t>
      </w:r>
      <w:r>
        <w:rPr>
          <w:sz w:val="18"/>
        </w:rPr>
        <w:t>(2022:</w:t>
      </w:r>
      <w:r>
        <w:rPr>
          <w:spacing w:val="-4"/>
          <w:sz w:val="18"/>
        </w:rPr>
        <w:t xml:space="preserve"> </w:t>
      </w:r>
      <w:r>
        <w:rPr>
          <w:sz w:val="18"/>
        </w:rPr>
        <w:t>10%)</w:t>
      </w:r>
      <w:r>
        <w:rPr>
          <w:spacing w:val="-2"/>
          <w:sz w:val="18"/>
        </w:rPr>
        <w:t xml:space="preserve"> </w:t>
      </w:r>
      <w:r>
        <w:rPr>
          <w:sz w:val="18"/>
        </w:rPr>
        <w:t>reserve</w:t>
      </w:r>
      <w:r>
        <w:rPr>
          <w:spacing w:val="-4"/>
          <w:sz w:val="18"/>
        </w:rPr>
        <w:t xml:space="preserve"> </w:t>
      </w:r>
      <w:r>
        <w:rPr>
          <w:sz w:val="18"/>
        </w:rPr>
        <w:t>under</w:t>
      </w:r>
      <w:r>
        <w:rPr>
          <w:spacing w:val="-4"/>
          <w:sz w:val="18"/>
        </w:rPr>
        <w:t xml:space="preserve"> </w:t>
      </w:r>
      <w:r>
        <w:rPr>
          <w:sz w:val="18"/>
        </w:rPr>
        <w:t>estimation</w:t>
      </w:r>
      <w:r>
        <w:rPr>
          <w:spacing w:val="-1"/>
          <w:sz w:val="18"/>
        </w:rPr>
        <w:t xml:space="preserve"> </w:t>
      </w:r>
      <w:r>
        <w:rPr>
          <w:sz w:val="18"/>
        </w:rPr>
        <w:t>results</w:t>
      </w:r>
      <w:r>
        <w:rPr>
          <w:spacing w:val="-1"/>
          <w:sz w:val="18"/>
        </w:rPr>
        <w:t xml:space="preserve"> </w:t>
      </w:r>
      <w:r>
        <w:rPr>
          <w:sz w:val="18"/>
        </w:rPr>
        <w:t>in</w:t>
      </w:r>
      <w:r>
        <w:rPr>
          <w:spacing w:val="-4"/>
          <w:sz w:val="18"/>
        </w:rPr>
        <w:t xml:space="preserve"> </w:t>
      </w:r>
      <w:r>
        <w:rPr>
          <w:sz w:val="18"/>
        </w:rPr>
        <w:t>an</w:t>
      </w:r>
      <w:r>
        <w:rPr>
          <w:spacing w:val="-4"/>
          <w:sz w:val="18"/>
        </w:rPr>
        <w:t xml:space="preserve"> </w:t>
      </w:r>
      <w:r>
        <w:rPr>
          <w:sz w:val="18"/>
        </w:rPr>
        <w:t>additional</w:t>
      </w:r>
      <w:r>
        <w:rPr>
          <w:spacing w:val="-4"/>
          <w:sz w:val="18"/>
        </w:rPr>
        <w:t xml:space="preserve"> </w:t>
      </w:r>
      <w:r>
        <w:rPr>
          <w:sz w:val="18"/>
        </w:rPr>
        <w:t>gross undiscounted reserve of $6.5 million (2022: $5.3 million) and net discounted reserve (after risk margins) of $7.9 million (2022: $7.2 million) or 10.3% (2022: 10%) of the discounted net central estimate plus risk margins.</w:t>
      </w:r>
    </w:p>
    <w:p w14:paraId="10B750C8" w14:textId="77777777" w:rsidR="00AC6F3C" w:rsidRDefault="00570E88">
      <w:pPr>
        <w:pStyle w:val="ListParagraph"/>
        <w:numPr>
          <w:ilvl w:val="0"/>
          <w:numId w:val="29"/>
        </w:numPr>
        <w:tabs>
          <w:tab w:val="left" w:pos="1315"/>
        </w:tabs>
        <w:spacing w:before="118"/>
        <w:ind w:right="1031" w:hanging="358"/>
        <w:rPr>
          <w:sz w:val="18"/>
        </w:rPr>
      </w:pPr>
      <w:r>
        <w:rPr>
          <w:sz w:val="18"/>
        </w:rPr>
        <w:t>Reserve over estimation: If estimated reserves on all years improved by 10% (2022: 10%) then it would</w:t>
      </w:r>
      <w:r>
        <w:rPr>
          <w:spacing w:val="-1"/>
          <w:sz w:val="18"/>
        </w:rPr>
        <w:t xml:space="preserve"> </w:t>
      </w:r>
      <w:r>
        <w:rPr>
          <w:sz w:val="18"/>
        </w:rPr>
        <w:t>result</w:t>
      </w:r>
      <w:r>
        <w:rPr>
          <w:spacing w:val="-2"/>
          <w:sz w:val="18"/>
        </w:rPr>
        <w:t xml:space="preserve"> </w:t>
      </w:r>
      <w:r>
        <w:rPr>
          <w:sz w:val="18"/>
        </w:rPr>
        <w:t>in</w:t>
      </w:r>
      <w:r>
        <w:rPr>
          <w:spacing w:val="-1"/>
          <w:sz w:val="18"/>
        </w:rPr>
        <w:t xml:space="preserve"> </w:t>
      </w:r>
      <w:r>
        <w:rPr>
          <w:sz w:val="18"/>
        </w:rPr>
        <w:t>a</w:t>
      </w:r>
      <w:r>
        <w:rPr>
          <w:spacing w:val="-1"/>
          <w:sz w:val="18"/>
        </w:rPr>
        <w:t xml:space="preserve"> </w:t>
      </w:r>
      <w:r>
        <w:rPr>
          <w:sz w:val="18"/>
        </w:rPr>
        <w:t>decrease</w:t>
      </w:r>
      <w:r>
        <w:rPr>
          <w:spacing w:val="-1"/>
          <w:sz w:val="18"/>
        </w:rPr>
        <w:t xml:space="preserve"> </w:t>
      </w:r>
      <w:r>
        <w:rPr>
          <w:sz w:val="18"/>
        </w:rPr>
        <w:t>in</w:t>
      </w:r>
      <w:r>
        <w:rPr>
          <w:spacing w:val="-4"/>
          <w:sz w:val="18"/>
        </w:rPr>
        <w:t xml:space="preserve"> </w:t>
      </w:r>
      <w:r>
        <w:rPr>
          <w:sz w:val="18"/>
        </w:rPr>
        <w:t>gross</w:t>
      </w:r>
      <w:r>
        <w:rPr>
          <w:spacing w:val="-3"/>
          <w:sz w:val="18"/>
        </w:rPr>
        <w:t xml:space="preserve"> </w:t>
      </w:r>
      <w:r>
        <w:rPr>
          <w:sz w:val="18"/>
        </w:rPr>
        <w:t>undiscounted</w:t>
      </w:r>
      <w:r>
        <w:rPr>
          <w:spacing w:val="-1"/>
          <w:sz w:val="18"/>
        </w:rPr>
        <w:t xml:space="preserve"> </w:t>
      </w:r>
      <w:r>
        <w:rPr>
          <w:sz w:val="18"/>
        </w:rPr>
        <w:t>reserve</w:t>
      </w:r>
      <w:r>
        <w:rPr>
          <w:spacing w:val="-4"/>
          <w:sz w:val="18"/>
        </w:rPr>
        <w:t xml:space="preserve"> </w:t>
      </w:r>
      <w:r>
        <w:rPr>
          <w:sz w:val="18"/>
        </w:rPr>
        <w:t>of</w:t>
      </w:r>
      <w:r>
        <w:rPr>
          <w:spacing w:val="-4"/>
          <w:sz w:val="18"/>
        </w:rPr>
        <w:t xml:space="preserve"> </w:t>
      </w:r>
      <w:r>
        <w:rPr>
          <w:sz w:val="18"/>
        </w:rPr>
        <w:t>$6.5</w:t>
      </w:r>
      <w:r>
        <w:rPr>
          <w:spacing w:val="-4"/>
          <w:sz w:val="18"/>
        </w:rPr>
        <w:t xml:space="preserve"> </w:t>
      </w:r>
      <w:r>
        <w:rPr>
          <w:sz w:val="18"/>
        </w:rPr>
        <w:t>million</w:t>
      </w:r>
      <w:r>
        <w:rPr>
          <w:spacing w:val="-1"/>
          <w:sz w:val="18"/>
        </w:rPr>
        <w:t xml:space="preserve"> </w:t>
      </w:r>
      <w:r>
        <w:rPr>
          <w:sz w:val="18"/>
        </w:rPr>
        <w:t>(2022:</w:t>
      </w:r>
      <w:r>
        <w:rPr>
          <w:spacing w:val="-4"/>
          <w:sz w:val="18"/>
        </w:rPr>
        <w:t xml:space="preserve"> </w:t>
      </w:r>
      <w:r>
        <w:rPr>
          <w:sz w:val="18"/>
        </w:rPr>
        <w:t>$5.3</w:t>
      </w:r>
      <w:r>
        <w:rPr>
          <w:spacing w:val="-4"/>
          <w:sz w:val="18"/>
        </w:rPr>
        <w:t xml:space="preserve"> </w:t>
      </w:r>
      <w:r>
        <w:rPr>
          <w:sz w:val="18"/>
        </w:rPr>
        <w:t>million)</w:t>
      </w:r>
      <w:r>
        <w:rPr>
          <w:spacing w:val="-2"/>
          <w:sz w:val="18"/>
        </w:rPr>
        <w:t xml:space="preserve"> </w:t>
      </w:r>
      <w:r>
        <w:rPr>
          <w:sz w:val="18"/>
        </w:rPr>
        <w:t>and</w:t>
      </w:r>
      <w:r>
        <w:rPr>
          <w:spacing w:val="-1"/>
          <w:sz w:val="18"/>
        </w:rPr>
        <w:t xml:space="preserve"> </w:t>
      </w:r>
      <w:r>
        <w:rPr>
          <w:sz w:val="18"/>
        </w:rPr>
        <w:t>the total net provision (after risk margins) would decrease by $8.8 million (2022: $7.2 million) or 11.6% (2022: 10%) of the discounted net central estimate plus risk margins.</w:t>
      </w:r>
    </w:p>
    <w:p w14:paraId="63A2D05C" w14:textId="77777777" w:rsidR="00AC6F3C" w:rsidRDefault="00570E88">
      <w:pPr>
        <w:pStyle w:val="ListParagraph"/>
        <w:numPr>
          <w:ilvl w:val="0"/>
          <w:numId w:val="29"/>
        </w:numPr>
        <w:tabs>
          <w:tab w:val="left" w:pos="1316"/>
        </w:tabs>
        <w:spacing w:before="118"/>
        <w:ind w:left="1316" w:right="832" w:hanging="358"/>
        <w:rPr>
          <w:sz w:val="18"/>
        </w:rPr>
      </w:pPr>
      <w:r>
        <w:rPr>
          <w:sz w:val="18"/>
        </w:rPr>
        <w:t>Discount</w:t>
      </w:r>
      <w:r>
        <w:rPr>
          <w:spacing w:val="-2"/>
          <w:sz w:val="18"/>
        </w:rPr>
        <w:t xml:space="preserve"> </w:t>
      </w:r>
      <w:r>
        <w:rPr>
          <w:sz w:val="18"/>
        </w:rPr>
        <w:t>rate:</w:t>
      </w:r>
      <w:r>
        <w:rPr>
          <w:spacing w:val="-2"/>
          <w:sz w:val="18"/>
        </w:rPr>
        <w:t xml:space="preserve"> </w:t>
      </w:r>
      <w:r>
        <w:rPr>
          <w:sz w:val="18"/>
        </w:rPr>
        <w:t>A</w:t>
      </w:r>
      <w:r>
        <w:rPr>
          <w:spacing w:val="-5"/>
          <w:sz w:val="18"/>
        </w:rPr>
        <w:t xml:space="preserve"> </w:t>
      </w:r>
      <w:r>
        <w:rPr>
          <w:sz w:val="18"/>
        </w:rPr>
        <w:t>half</w:t>
      </w:r>
      <w:r>
        <w:rPr>
          <w:spacing w:val="-2"/>
          <w:sz w:val="18"/>
        </w:rPr>
        <w:t xml:space="preserve"> </w:t>
      </w:r>
      <w:r>
        <w:rPr>
          <w:sz w:val="18"/>
        </w:rPr>
        <w:t>a</w:t>
      </w:r>
      <w:r>
        <w:rPr>
          <w:spacing w:val="-4"/>
          <w:sz w:val="18"/>
        </w:rPr>
        <w:t xml:space="preserve"> </w:t>
      </w:r>
      <w:r>
        <w:rPr>
          <w:sz w:val="18"/>
        </w:rPr>
        <w:t>percentage</w:t>
      </w:r>
      <w:r>
        <w:rPr>
          <w:spacing w:val="-1"/>
          <w:sz w:val="18"/>
        </w:rPr>
        <w:t xml:space="preserve"> </w:t>
      </w:r>
      <w:r>
        <w:rPr>
          <w:sz w:val="18"/>
        </w:rPr>
        <w:t>point</w:t>
      </w:r>
      <w:r>
        <w:rPr>
          <w:spacing w:val="-4"/>
          <w:sz w:val="18"/>
        </w:rPr>
        <w:t xml:space="preserve"> </w:t>
      </w:r>
      <w:r>
        <w:rPr>
          <w:sz w:val="18"/>
        </w:rPr>
        <w:t>decrease</w:t>
      </w:r>
      <w:r>
        <w:rPr>
          <w:spacing w:val="-2"/>
          <w:sz w:val="18"/>
        </w:rPr>
        <w:t xml:space="preserve"> </w:t>
      </w:r>
      <w:r>
        <w:rPr>
          <w:sz w:val="18"/>
        </w:rPr>
        <w:t>in</w:t>
      </w:r>
      <w:r>
        <w:rPr>
          <w:spacing w:val="-1"/>
          <w:sz w:val="18"/>
        </w:rPr>
        <w:t xml:space="preserve"> </w:t>
      </w:r>
      <w:r>
        <w:rPr>
          <w:sz w:val="18"/>
        </w:rPr>
        <w:t>discount</w:t>
      </w:r>
      <w:r>
        <w:rPr>
          <w:spacing w:val="-4"/>
          <w:sz w:val="18"/>
        </w:rPr>
        <w:t xml:space="preserve"> </w:t>
      </w:r>
      <w:r>
        <w:rPr>
          <w:sz w:val="18"/>
        </w:rPr>
        <w:t>rate</w:t>
      </w:r>
      <w:r>
        <w:rPr>
          <w:spacing w:val="-1"/>
          <w:sz w:val="18"/>
        </w:rPr>
        <w:t xml:space="preserve"> </w:t>
      </w:r>
      <w:r>
        <w:rPr>
          <w:sz w:val="18"/>
        </w:rPr>
        <w:t>from</w:t>
      </w:r>
      <w:r>
        <w:rPr>
          <w:spacing w:val="-3"/>
          <w:sz w:val="18"/>
        </w:rPr>
        <w:t xml:space="preserve"> </w:t>
      </w:r>
      <w:r>
        <w:rPr>
          <w:sz w:val="18"/>
        </w:rPr>
        <w:t>4.10%</w:t>
      </w:r>
      <w:r>
        <w:rPr>
          <w:spacing w:val="-1"/>
          <w:sz w:val="18"/>
        </w:rPr>
        <w:t xml:space="preserve"> </w:t>
      </w:r>
      <w:r>
        <w:rPr>
          <w:sz w:val="18"/>
        </w:rPr>
        <w:t>(2022:</w:t>
      </w:r>
      <w:r>
        <w:rPr>
          <w:spacing w:val="-2"/>
          <w:sz w:val="18"/>
        </w:rPr>
        <w:t xml:space="preserve"> </w:t>
      </w:r>
      <w:r>
        <w:rPr>
          <w:sz w:val="18"/>
        </w:rPr>
        <w:t>3.19%)</w:t>
      </w:r>
      <w:r>
        <w:rPr>
          <w:spacing w:val="-2"/>
          <w:sz w:val="18"/>
        </w:rPr>
        <w:t xml:space="preserve"> </w:t>
      </w:r>
      <w:r>
        <w:rPr>
          <w:sz w:val="18"/>
        </w:rPr>
        <w:t>to</w:t>
      </w:r>
      <w:r>
        <w:rPr>
          <w:spacing w:val="-1"/>
          <w:sz w:val="18"/>
        </w:rPr>
        <w:t xml:space="preserve"> </w:t>
      </w:r>
      <w:r>
        <w:rPr>
          <w:sz w:val="18"/>
        </w:rPr>
        <w:t>3.60% (2022: 2.69%) would increase the provision by $0.9 million (2022: $0.9 million) or 1.2% (2022: 1.2%) of the discounted net central estimate plus risk margins.</w:t>
      </w:r>
    </w:p>
    <w:p w14:paraId="7820531A" w14:textId="77777777" w:rsidR="00AC6F3C" w:rsidRDefault="00570E88">
      <w:pPr>
        <w:pStyle w:val="ListParagraph"/>
        <w:numPr>
          <w:ilvl w:val="0"/>
          <w:numId w:val="29"/>
        </w:numPr>
        <w:tabs>
          <w:tab w:val="left" w:pos="1314"/>
          <w:tab w:val="left" w:pos="1316"/>
        </w:tabs>
        <w:spacing w:before="120"/>
        <w:ind w:left="1316" w:right="960" w:hanging="358"/>
        <w:jc w:val="both"/>
        <w:rPr>
          <w:sz w:val="18"/>
        </w:rPr>
      </w:pPr>
      <w:r>
        <w:rPr>
          <w:sz w:val="18"/>
        </w:rPr>
        <w:t>Claims</w:t>
      </w:r>
      <w:r>
        <w:rPr>
          <w:spacing w:val="-1"/>
          <w:sz w:val="18"/>
        </w:rPr>
        <w:t xml:space="preserve"> </w:t>
      </w:r>
      <w:r>
        <w:rPr>
          <w:sz w:val="18"/>
        </w:rPr>
        <w:t>handing</w:t>
      </w:r>
      <w:r>
        <w:rPr>
          <w:spacing w:val="-1"/>
          <w:sz w:val="18"/>
        </w:rPr>
        <w:t xml:space="preserve"> </w:t>
      </w:r>
      <w:r>
        <w:rPr>
          <w:sz w:val="18"/>
        </w:rPr>
        <w:t>provision:</w:t>
      </w:r>
      <w:r>
        <w:rPr>
          <w:spacing w:val="-2"/>
          <w:sz w:val="18"/>
        </w:rPr>
        <w:t xml:space="preserve"> </w:t>
      </w:r>
      <w:r>
        <w:rPr>
          <w:sz w:val="18"/>
        </w:rPr>
        <w:t>A</w:t>
      </w:r>
      <w:r>
        <w:rPr>
          <w:spacing w:val="-5"/>
          <w:sz w:val="18"/>
        </w:rPr>
        <w:t xml:space="preserve"> </w:t>
      </w:r>
      <w:r>
        <w:rPr>
          <w:sz w:val="18"/>
        </w:rPr>
        <w:t>one</w:t>
      </w:r>
      <w:r>
        <w:rPr>
          <w:spacing w:val="-1"/>
          <w:sz w:val="18"/>
        </w:rPr>
        <w:t xml:space="preserve"> </w:t>
      </w:r>
      <w:r>
        <w:rPr>
          <w:sz w:val="18"/>
        </w:rPr>
        <w:t>percentage</w:t>
      </w:r>
      <w:r>
        <w:rPr>
          <w:spacing w:val="-4"/>
          <w:sz w:val="18"/>
        </w:rPr>
        <w:t xml:space="preserve"> </w:t>
      </w:r>
      <w:r>
        <w:rPr>
          <w:sz w:val="18"/>
        </w:rPr>
        <w:t>point</w:t>
      </w:r>
      <w:r>
        <w:rPr>
          <w:spacing w:val="-2"/>
          <w:sz w:val="18"/>
        </w:rPr>
        <w:t xml:space="preserve"> </w:t>
      </w:r>
      <w:r>
        <w:rPr>
          <w:sz w:val="18"/>
        </w:rPr>
        <w:t>increase</w:t>
      </w:r>
      <w:r>
        <w:rPr>
          <w:spacing w:val="-1"/>
          <w:sz w:val="18"/>
        </w:rPr>
        <w:t xml:space="preserve"> </w:t>
      </w:r>
      <w:r>
        <w:rPr>
          <w:sz w:val="18"/>
        </w:rPr>
        <w:t>in</w:t>
      </w:r>
      <w:r>
        <w:rPr>
          <w:spacing w:val="-1"/>
          <w:sz w:val="18"/>
        </w:rPr>
        <w:t xml:space="preserve"> </w:t>
      </w:r>
      <w:r>
        <w:rPr>
          <w:sz w:val="18"/>
        </w:rPr>
        <w:t>the</w:t>
      </w:r>
      <w:r>
        <w:rPr>
          <w:spacing w:val="-4"/>
          <w:sz w:val="18"/>
        </w:rPr>
        <w:t xml:space="preserve"> </w:t>
      </w:r>
      <w:r>
        <w:rPr>
          <w:sz w:val="18"/>
        </w:rPr>
        <w:t>claims</w:t>
      </w:r>
      <w:r>
        <w:rPr>
          <w:spacing w:val="-1"/>
          <w:sz w:val="18"/>
        </w:rPr>
        <w:t xml:space="preserve"> </w:t>
      </w:r>
      <w:r>
        <w:rPr>
          <w:sz w:val="18"/>
        </w:rPr>
        <w:t>handling</w:t>
      </w:r>
      <w:r>
        <w:rPr>
          <w:spacing w:val="-4"/>
          <w:sz w:val="18"/>
        </w:rPr>
        <w:t xml:space="preserve"> </w:t>
      </w:r>
      <w:r>
        <w:rPr>
          <w:sz w:val="18"/>
        </w:rPr>
        <w:t>rate</w:t>
      </w:r>
      <w:r>
        <w:rPr>
          <w:spacing w:val="-4"/>
          <w:sz w:val="18"/>
        </w:rPr>
        <w:t xml:space="preserve"> </w:t>
      </w:r>
      <w:r>
        <w:rPr>
          <w:sz w:val="18"/>
        </w:rPr>
        <w:t>applied</w:t>
      </w:r>
      <w:r>
        <w:rPr>
          <w:spacing w:val="-1"/>
          <w:sz w:val="18"/>
        </w:rPr>
        <w:t xml:space="preserve"> </w:t>
      </w:r>
      <w:r>
        <w:rPr>
          <w:sz w:val="18"/>
        </w:rPr>
        <w:t>would increase</w:t>
      </w:r>
      <w:r>
        <w:rPr>
          <w:spacing w:val="-3"/>
          <w:sz w:val="18"/>
        </w:rPr>
        <w:t xml:space="preserve"> </w:t>
      </w:r>
      <w:r>
        <w:rPr>
          <w:sz w:val="18"/>
        </w:rPr>
        <w:t>the</w:t>
      </w:r>
      <w:r>
        <w:rPr>
          <w:spacing w:val="-3"/>
          <w:sz w:val="18"/>
        </w:rPr>
        <w:t xml:space="preserve"> </w:t>
      </w:r>
      <w:r>
        <w:rPr>
          <w:sz w:val="18"/>
        </w:rPr>
        <w:t>provision</w:t>
      </w:r>
      <w:r>
        <w:rPr>
          <w:spacing w:val="-3"/>
          <w:sz w:val="18"/>
        </w:rPr>
        <w:t xml:space="preserve"> </w:t>
      </w:r>
      <w:r>
        <w:rPr>
          <w:sz w:val="18"/>
        </w:rPr>
        <w:t>by</w:t>
      </w:r>
      <w:r>
        <w:rPr>
          <w:spacing w:val="-2"/>
          <w:sz w:val="18"/>
        </w:rPr>
        <w:t xml:space="preserve"> </w:t>
      </w:r>
      <w:r>
        <w:rPr>
          <w:sz w:val="18"/>
        </w:rPr>
        <w:t>$0.7</w:t>
      </w:r>
      <w:r>
        <w:rPr>
          <w:spacing w:val="-5"/>
          <w:sz w:val="18"/>
        </w:rPr>
        <w:t xml:space="preserve"> </w:t>
      </w:r>
      <w:r>
        <w:rPr>
          <w:sz w:val="18"/>
        </w:rPr>
        <w:t>million</w:t>
      </w:r>
      <w:r>
        <w:rPr>
          <w:spacing w:val="-3"/>
          <w:sz w:val="18"/>
        </w:rPr>
        <w:t xml:space="preserve"> </w:t>
      </w:r>
      <w:r>
        <w:rPr>
          <w:sz w:val="18"/>
        </w:rPr>
        <w:t>(2022:</w:t>
      </w:r>
      <w:r>
        <w:rPr>
          <w:spacing w:val="-1"/>
          <w:sz w:val="18"/>
        </w:rPr>
        <w:t xml:space="preserve"> </w:t>
      </w:r>
      <w:r>
        <w:rPr>
          <w:sz w:val="18"/>
        </w:rPr>
        <w:t>$0.6</w:t>
      </w:r>
      <w:r>
        <w:rPr>
          <w:spacing w:val="-3"/>
          <w:sz w:val="18"/>
        </w:rPr>
        <w:t xml:space="preserve"> </w:t>
      </w:r>
      <w:r>
        <w:rPr>
          <w:sz w:val="18"/>
        </w:rPr>
        <w:t>million)</w:t>
      </w:r>
      <w:r>
        <w:rPr>
          <w:spacing w:val="-1"/>
          <w:sz w:val="18"/>
        </w:rPr>
        <w:t xml:space="preserve"> </w:t>
      </w:r>
      <w:r>
        <w:rPr>
          <w:sz w:val="18"/>
        </w:rPr>
        <w:t>or</w:t>
      </w:r>
      <w:r>
        <w:rPr>
          <w:spacing w:val="-4"/>
          <w:sz w:val="18"/>
        </w:rPr>
        <w:t xml:space="preserve"> </w:t>
      </w:r>
      <w:r>
        <w:rPr>
          <w:sz w:val="18"/>
        </w:rPr>
        <w:t>0.9% (2022:</w:t>
      </w:r>
      <w:r>
        <w:rPr>
          <w:spacing w:val="-3"/>
          <w:sz w:val="18"/>
        </w:rPr>
        <w:t xml:space="preserve"> </w:t>
      </w:r>
      <w:r>
        <w:rPr>
          <w:sz w:val="18"/>
        </w:rPr>
        <w:t>0.8%)</w:t>
      </w:r>
      <w:r>
        <w:rPr>
          <w:spacing w:val="-3"/>
          <w:sz w:val="18"/>
        </w:rPr>
        <w:t xml:space="preserve"> </w:t>
      </w:r>
      <w:r>
        <w:rPr>
          <w:sz w:val="18"/>
        </w:rPr>
        <w:t>of</w:t>
      </w:r>
      <w:r>
        <w:rPr>
          <w:spacing w:val="-1"/>
          <w:sz w:val="18"/>
        </w:rPr>
        <w:t xml:space="preserve"> </w:t>
      </w:r>
      <w:r>
        <w:rPr>
          <w:sz w:val="18"/>
        </w:rPr>
        <w:t>the discounted</w:t>
      </w:r>
      <w:r>
        <w:rPr>
          <w:spacing w:val="-3"/>
          <w:sz w:val="18"/>
        </w:rPr>
        <w:t xml:space="preserve"> </w:t>
      </w:r>
      <w:r>
        <w:rPr>
          <w:sz w:val="18"/>
        </w:rPr>
        <w:t>net central estimate plus risk margins.</w:t>
      </w:r>
    </w:p>
    <w:p w14:paraId="0B210C0D" w14:textId="77777777" w:rsidR="00AC6F3C" w:rsidRDefault="00AC6F3C">
      <w:pPr>
        <w:jc w:val="both"/>
        <w:rPr>
          <w:sz w:val="18"/>
        </w:rPr>
        <w:sectPr w:rsidR="00AC6F3C">
          <w:pgSz w:w="11910" w:h="16840"/>
          <w:pgMar w:top="2020" w:right="1160" w:bottom="520" w:left="460" w:header="1228" w:footer="336" w:gutter="0"/>
          <w:cols w:space="720"/>
        </w:sectPr>
      </w:pPr>
    </w:p>
    <w:p w14:paraId="0DD80F17" w14:textId="77777777" w:rsidR="00AC6F3C" w:rsidRDefault="00AC6F3C">
      <w:pPr>
        <w:pStyle w:val="BodyText"/>
      </w:pPr>
    </w:p>
    <w:p w14:paraId="34C799F5" w14:textId="77777777" w:rsidR="00AC6F3C" w:rsidRDefault="00570E88">
      <w:pPr>
        <w:tabs>
          <w:tab w:val="left" w:pos="1666"/>
        </w:tabs>
        <w:spacing w:before="249" w:line="322" w:lineRule="exact"/>
        <w:ind w:left="958"/>
        <w:rPr>
          <w:b/>
          <w:sz w:val="28"/>
        </w:rPr>
      </w:pPr>
      <w:r>
        <w:rPr>
          <w:b/>
          <w:spacing w:val="-5"/>
          <w:sz w:val="28"/>
        </w:rPr>
        <w:t>D1</w:t>
      </w:r>
      <w:r>
        <w:rPr>
          <w:b/>
          <w:sz w:val="28"/>
        </w:rPr>
        <w:tab/>
      </w:r>
      <w:r>
        <w:rPr>
          <w:b/>
          <w:spacing w:val="-2"/>
          <w:sz w:val="28"/>
        </w:rPr>
        <w:t>CRITICAL</w:t>
      </w:r>
      <w:r>
        <w:rPr>
          <w:b/>
          <w:spacing w:val="-18"/>
          <w:sz w:val="28"/>
        </w:rPr>
        <w:t xml:space="preserve"> </w:t>
      </w:r>
      <w:r>
        <w:rPr>
          <w:b/>
          <w:spacing w:val="-2"/>
          <w:sz w:val="28"/>
        </w:rPr>
        <w:t>ACCOUNTING</w:t>
      </w:r>
      <w:r>
        <w:rPr>
          <w:b/>
          <w:spacing w:val="3"/>
          <w:sz w:val="28"/>
        </w:rPr>
        <w:t xml:space="preserve"> </w:t>
      </w:r>
      <w:r>
        <w:rPr>
          <w:b/>
          <w:spacing w:val="-2"/>
          <w:sz w:val="28"/>
        </w:rPr>
        <w:t>ESTIMATES</w:t>
      </w:r>
      <w:r>
        <w:rPr>
          <w:b/>
          <w:spacing w:val="-9"/>
          <w:sz w:val="28"/>
        </w:rPr>
        <w:t xml:space="preserve"> </w:t>
      </w:r>
      <w:r>
        <w:rPr>
          <w:b/>
          <w:spacing w:val="-2"/>
          <w:sz w:val="28"/>
        </w:rPr>
        <w:t>AND</w:t>
      </w:r>
      <w:r>
        <w:rPr>
          <w:b/>
          <w:spacing w:val="1"/>
          <w:sz w:val="28"/>
        </w:rPr>
        <w:t xml:space="preserve"> </w:t>
      </w:r>
      <w:r>
        <w:rPr>
          <w:b/>
          <w:spacing w:val="-2"/>
          <w:sz w:val="28"/>
        </w:rPr>
        <w:t>JUDGEMENTS</w:t>
      </w:r>
    </w:p>
    <w:p w14:paraId="686A131C" w14:textId="77777777" w:rsidR="00AC6F3C" w:rsidRDefault="00570E88">
      <w:pPr>
        <w:spacing w:line="322" w:lineRule="exact"/>
        <w:ind w:left="1666"/>
        <w:rPr>
          <w:b/>
          <w:sz w:val="28"/>
        </w:rPr>
      </w:pPr>
      <w:r>
        <w:rPr>
          <w:b/>
          <w:spacing w:val="-2"/>
          <w:sz w:val="28"/>
        </w:rPr>
        <w:t>(continued)</w:t>
      </w:r>
    </w:p>
    <w:p w14:paraId="486C0179" w14:textId="77777777" w:rsidR="00AC6F3C" w:rsidRDefault="00570E88">
      <w:pPr>
        <w:spacing w:before="240"/>
        <w:ind w:left="958"/>
        <w:rPr>
          <w:b/>
          <w:sz w:val="20"/>
        </w:rPr>
      </w:pPr>
      <w:r>
        <w:rPr>
          <w:b/>
          <w:sz w:val="20"/>
        </w:rPr>
        <w:t>Key</w:t>
      </w:r>
      <w:r>
        <w:rPr>
          <w:b/>
          <w:spacing w:val="-12"/>
          <w:sz w:val="20"/>
        </w:rPr>
        <w:t xml:space="preserve"> </w:t>
      </w:r>
      <w:r>
        <w:rPr>
          <w:b/>
          <w:sz w:val="20"/>
        </w:rPr>
        <w:t>assumptions</w:t>
      </w:r>
      <w:r>
        <w:rPr>
          <w:b/>
          <w:spacing w:val="-10"/>
          <w:sz w:val="20"/>
        </w:rPr>
        <w:t xml:space="preserve"> </w:t>
      </w:r>
      <w:r>
        <w:rPr>
          <w:b/>
          <w:spacing w:val="-2"/>
          <w:sz w:val="20"/>
        </w:rPr>
        <w:t>(continued)</w:t>
      </w:r>
    </w:p>
    <w:p w14:paraId="728152CD" w14:textId="77777777" w:rsidR="00AC6F3C" w:rsidRDefault="00AC6F3C">
      <w:pPr>
        <w:pStyle w:val="BodyText"/>
        <w:spacing w:before="10"/>
        <w:rPr>
          <w:b/>
        </w:rPr>
      </w:pPr>
    </w:p>
    <w:p w14:paraId="66526620" w14:textId="77777777" w:rsidR="00AC6F3C" w:rsidRDefault="00570E88">
      <w:pPr>
        <w:ind w:left="958"/>
        <w:rPr>
          <w:b/>
          <w:sz w:val="20"/>
        </w:rPr>
      </w:pPr>
      <w:r>
        <w:rPr>
          <w:b/>
          <w:sz w:val="20"/>
        </w:rPr>
        <w:t>Sensitivity</w:t>
      </w:r>
      <w:r>
        <w:rPr>
          <w:b/>
          <w:spacing w:val="-9"/>
          <w:sz w:val="20"/>
        </w:rPr>
        <w:t xml:space="preserve"> </w:t>
      </w:r>
      <w:r>
        <w:rPr>
          <w:b/>
          <w:sz w:val="20"/>
        </w:rPr>
        <w:t>analysis</w:t>
      </w:r>
      <w:r>
        <w:rPr>
          <w:b/>
          <w:spacing w:val="-8"/>
          <w:sz w:val="20"/>
        </w:rPr>
        <w:t xml:space="preserve"> </w:t>
      </w:r>
      <w:r>
        <w:rPr>
          <w:b/>
          <w:sz w:val="20"/>
        </w:rPr>
        <w:t>of</w:t>
      </w:r>
      <w:r>
        <w:rPr>
          <w:b/>
          <w:spacing w:val="-7"/>
          <w:sz w:val="20"/>
        </w:rPr>
        <w:t xml:space="preserve"> </w:t>
      </w:r>
      <w:r>
        <w:rPr>
          <w:b/>
          <w:sz w:val="20"/>
        </w:rPr>
        <w:t>key</w:t>
      </w:r>
      <w:r>
        <w:rPr>
          <w:b/>
          <w:spacing w:val="-8"/>
          <w:sz w:val="20"/>
        </w:rPr>
        <w:t xml:space="preserve"> </w:t>
      </w:r>
      <w:r>
        <w:rPr>
          <w:b/>
          <w:sz w:val="20"/>
        </w:rPr>
        <w:t>estimates</w:t>
      </w:r>
      <w:r>
        <w:rPr>
          <w:b/>
          <w:spacing w:val="-8"/>
          <w:sz w:val="20"/>
        </w:rPr>
        <w:t xml:space="preserve"> </w:t>
      </w:r>
      <w:r>
        <w:rPr>
          <w:b/>
          <w:spacing w:val="-2"/>
          <w:sz w:val="20"/>
        </w:rPr>
        <w:t>(continued)</w:t>
      </w:r>
    </w:p>
    <w:p w14:paraId="0224C9F2" w14:textId="77777777" w:rsidR="00AC6F3C" w:rsidRDefault="00AC6F3C">
      <w:pPr>
        <w:pStyle w:val="BodyText"/>
        <w:spacing w:before="10"/>
        <w:rPr>
          <w:b/>
        </w:rPr>
      </w:pPr>
    </w:p>
    <w:p w14:paraId="5864071A" w14:textId="77777777" w:rsidR="00AC6F3C" w:rsidRDefault="00570E88">
      <w:pPr>
        <w:pStyle w:val="ListParagraph"/>
        <w:numPr>
          <w:ilvl w:val="0"/>
          <w:numId w:val="29"/>
        </w:numPr>
        <w:tabs>
          <w:tab w:val="left" w:pos="1318"/>
        </w:tabs>
        <w:spacing w:before="0"/>
        <w:ind w:left="1318" w:right="1159"/>
        <w:rPr>
          <w:sz w:val="18"/>
        </w:rPr>
      </w:pPr>
      <w:r>
        <w:rPr>
          <w:sz w:val="18"/>
        </w:rPr>
        <w:t>Cost per solicitor under estimation: An increase in the cost per solicitor from A$2,400 to A$2,900 (2022:</w:t>
      </w:r>
      <w:r>
        <w:rPr>
          <w:spacing w:val="-2"/>
          <w:sz w:val="18"/>
        </w:rPr>
        <w:t xml:space="preserve"> </w:t>
      </w:r>
      <w:r>
        <w:rPr>
          <w:sz w:val="18"/>
        </w:rPr>
        <w:t>A$2,500</w:t>
      </w:r>
      <w:r>
        <w:rPr>
          <w:spacing w:val="-1"/>
          <w:sz w:val="18"/>
        </w:rPr>
        <w:t xml:space="preserve"> </w:t>
      </w:r>
      <w:r>
        <w:rPr>
          <w:sz w:val="18"/>
        </w:rPr>
        <w:t>to</w:t>
      </w:r>
      <w:r>
        <w:rPr>
          <w:spacing w:val="-1"/>
          <w:sz w:val="18"/>
        </w:rPr>
        <w:t xml:space="preserve"> </w:t>
      </w:r>
      <w:r>
        <w:rPr>
          <w:sz w:val="18"/>
        </w:rPr>
        <w:t>A$3,300)</w:t>
      </w:r>
      <w:r>
        <w:rPr>
          <w:spacing w:val="-4"/>
          <w:sz w:val="18"/>
        </w:rPr>
        <w:t xml:space="preserve"> </w:t>
      </w:r>
      <w:r>
        <w:rPr>
          <w:sz w:val="18"/>
        </w:rPr>
        <w:t>increases</w:t>
      </w:r>
      <w:r>
        <w:rPr>
          <w:spacing w:val="-3"/>
          <w:sz w:val="18"/>
        </w:rPr>
        <w:t xml:space="preserve"> </w:t>
      </w:r>
      <w:r>
        <w:rPr>
          <w:sz w:val="18"/>
        </w:rPr>
        <w:t>our</w:t>
      </w:r>
      <w:r>
        <w:rPr>
          <w:spacing w:val="-5"/>
          <w:sz w:val="18"/>
        </w:rPr>
        <w:t xml:space="preserve"> </w:t>
      </w:r>
      <w:r>
        <w:rPr>
          <w:sz w:val="18"/>
        </w:rPr>
        <w:t>provision</w:t>
      </w:r>
      <w:r>
        <w:rPr>
          <w:spacing w:val="-4"/>
          <w:sz w:val="18"/>
        </w:rPr>
        <w:t xml:space="preserve"> </w:t>
      </w:r>
      <w:r>
        <w:rPr>
          <w:sz w:val="18"/>
        </w:rPr>
        <w:t>by</w:t>
      </w:r>
      <w:r>
        <w:rPr>
          <w:spacing w:val="-1"/>
          <w:sz w:val="18"/>
        </w:rPr>
        <w:t xml:space="preserve"> </w:t>
      </w:r>
      <w:r>
        <w:rPr>
          <w:sz w:val="18"/>
        </w:rPr>
        <w:t>A$2.9</w:t>
      </w:r>
      <w:r>
        <w:rPr>
          <w:spacing w:val="-1"/>
          <w:sz w:val="18"/>
        </w:rPr>
        <w:t xml:space="preserve"> </w:t>
      </w:r>
      <w:r>
        <w:rPr>
          <w:sz w:val="18"/>
        </w:rPr>
        <w:t>million</w:t>
      </w:r>
      <w:r>
        <w:rPr>
          <w:spacing w:val="-1"/>
          <w:sz w:val="18"/>
        </w:rPr>
        <w:t xml:space="preserve"> </w:t>
      </w:r>
      <w:r>
        <w:rPr>
          <w:sz w:val="18"/>
        </w:rPr>
        <w:t>(2022:</w:t>
      </w:r>
      <w:r>
        <w:rPr>
          <w:spacing w:val="-4"/>
          <w:sz w:val="18"/>
        </w:rPr>
        <w:t xml:space="preserve"> </w:t>
      </w:r>
      <w:r>
        <w:rPr>
          <w:sz w:val="18"/>
        </w:rPr>
        <w:t>A$2.9</w:t>
      </w:r>
      <w:r>
        <w:rPr>
          <w:spacing w:val="-1"/>
          <w:sz w:val="18"/>
        </w:rPr>
        <w:t xml:space="preserve"> </w:t>
      </w:r>
      <w:r>
        <w:rPr>
          <w:sz w:val="18"/>
        </w:rPr>
        <w:t>million)</w:t>
      </w:r>
      <w:r>
        <w:rPr>
          <w:spacing w:val="-4"/>
          <w:sz w:val="18"/>
        </w:rPr>
        <w:t xml:space="preserve"> </w:t>
      </w:r>
      <w:r>
        <w:rPr>
          <w:sz w:val="18"/>
        </w:rPr>
        <w:t>or</w:t>
      </w:r>
      <w:r>
        <w:rPr>
          <w:spacing w:val="-2"/>
          <w:sz w:val="18"/>
        </w:rPr>
        <w:t xml:space="preserve"> </w:t>
      </w:r>
      <w:r>
        <w:rPr>
          <w:sz w:val="18"/>
        </w:rPr>
        <w:t>4.1% (2021: 4.1%) of the discounted net central estimate plus risk margins.</w:t>
      </w:r>
    </w:p>
    <w:p w14:paraId="10716783" w14:textId="77777777" w:rsidR="00AC6F3C" w:rsidRDefault="00AC6F3C">
      <w:pPr>
        <w:pStyle w:val="BodyText"/>
        <w:spacing w:before="7"/>
      </w:pPr>
    </w:p>
    <w:p w14:paraId="699CC8C1" w14:textId="77777777" w:rsidR="00AC6F3C" w:rsidRDefault="00570E88">
      <w:pPr>
        <w:pStyle w:val="ListParagraph"/>
        <w:numPr>
          <w:ilvl w:val="0"/>
          <w:numId w:val="29"/>
        </w:numPr>
        <w:tabs>
          <w:tab w:val="left" w:pos="1318"/>
        </w:tabs>
        <w:spacing w:before="0"/>
        <w:ind w:left="1318" w:right="1288"/>
        <w:rPr>
          <w:sz w:val="18"/>
        </w:rPr>
      </w:pPr>
      <w:r>
        <w:rPr>
          <w:sz w:val="18"/>
        </w:rPr>
        <w:t>Cost per solicitor over estimation: A reduction in the cost per</w:t>
      </w:r>
      <w:r>
        <w:rPr>
          <w:spacing w:val="-3"/>
          <w:sz w:val="18"/>
        </w:rPr>
        <w:t xml:space="preserve"> </w:t>
      </w:r>
      <w:r>
        <w:rPr>
          <w:sz w:val="18"/>
        </w:rPr>
        <w:t>solicitor from A$2,500 to $A$2,000 (2022:</w:t>
      </w:r>
      <w:r>
        <w:rPr>
          <w:spacing w:val="-2"/>
          <w:sz w:val="18"/>
        </w:rPr>
        <w:t xml:space="preserve"> </w:t>
      </w:r>
      <w:r>
        <w:rPr>
          <w:sz w:val="18"/>
        </w:rPr>
        <w:t>A$2,500</w:t>
      </w:r>
      <w:r>
        <w:rPr>
          <w:spacing w:val="-1"/>
          <w:sz w:val="18"/>
        </w:rPr>
        <w:t xml:space="preserve"> </w:t>
      </w:r>
      <w:r>
        <w:rPr>
          <w:sz w:val="18"/>
        </w:rPr>
        <w:t>to</w:t>
      </w:r>
      <w:r>
        <w:rPr>
          <w:spacing w:val="-1"/>
          <w:sz w:val="18"/>
        </w:rPr>
        <w:t xml:space="preserve"> </w:t>
      </w:r>
      <w:r>
        <w:rPr>
          <w:sz w:val="18"/>
        </w:rPr>
        <w:t>A$2,000)</w:t>
      </w:r>
      <w:r>
        <w:rPr>
          <w:spacing w:val="-4"/>
          <w:sz w:val="18"/>
        </w:rPr>
        <w:t xml:space="preserve"> </w:t>
      </w:r>
      <w:r>
        <w:rPr>
          <w:sz w:val="18"/>
        </w:rPr>
        <w:t>reduces</w:t>
      </w:r>
      <w:r>
        <w:rPr>
          <w:spacing w:val="-1"/>
          <w:sz w:val="18"/>
        </w:rPr>
        <w:t xml:space="preserve"> </w:t>
      </w:r>
      <w:r>
        <w:rPr>
          <w:sz w:val="18"/>
        </w:rPr>
        <w:t>our</w:t>
      </w:r>
      <w:r>
        <w:rPr>
          <w:spacing w:val="-2"/>
          <w:sz w:val="18"/>
        </w:rPr>
        <w:t xml:space="preserve"> </w:t>
      </w:r>
      <w:r>
        <w:rPr>
          <w:sz w:val="18"/>
        </w:rPr>
        <w:t>provision</w:t>
      </w:r>
      <w:r>
        <w:rPr>
          <w:spacing w:val="-1"/>
          <w:sz w:val="18"/>
        </w:rPr>
        <w:t xml:space="preserve"> </w:t>
      </w:r>
      <w:r>
        <w:rPr>
          <w:sz w:val="18"/>
        </w:rPr>
        <w:t>by</w:t>
      </w:r>
      <w:r>
        <w:rPr>
          <w:spacing w:val="-1"/>
          <w:sz w:val="18"/>
        </w:rPr>
        <w:t xml:space="preserve"> </w:t>
      </w:r>
      <w:r>
        <w:rPr>
          <w:sz w:val="18"/>
        </w:rPr>
        <w:t>A$2.2</w:t>
      </w:r>
      <w:r>
        <w:rPr>
          <w:spacing w:val="-4"/>
          <w:sz w:val="18"/>
        </w:rPr>
        <w:t xml:space="preserve"> </w:t>
      </w:r>
      <w:r>
        <w:rPr>
          <w:sz w:val="18"/>
        </w:rPr>
        <w:t>million</w:t>
      </w:r>
      <w:r>
        <w:rPr>
          <w:spacing w:val="-4"/>
          <w:sz w:val="18"/>
        </w:rPr>
        <w:t xml:space="preserve"> </w:t>
      </w:r>
      <w:r>
        <w:rPr>
          <w:sz w:val="18"/>
        </w:rPr>
        <w:t>(2022:</w:t>
      </w:r>
      <w:r>
        <w:rPr>
          <w:spacing w:val="-2"/>
          <w:sz w:val="18"/>
        </w:rPr>
        <w:t xml:space="preserve"> </w:t>
      </w:r>
      <w:r>
        <w:rPr>
          <w:sz w:val="18"/>
        </w:rPr>
        <w:t>A$2.9</w:t>
      </w:r>
      <w:r>
        <w:rPr>
          <w:spacing w:val="-4"/>
          <w:sz w:val="18"/>
        </w:rPr>
        <w:t xml:space="preserve"> </w:t>
      </w:r>
      <w:r>
        <w:rPr>
          <w:sz w:val="18"/>
        </w:rPr>
        <w:t>million)</w:t>
      </w:r>
      <w:r>
        <w:rPr>
          <w:spacing w:val="-2"/>
          <w:sz w:val="18"/>
        </w:rPr>
        <w:t xml:space="preserve"> </w:t>
      </w:r>
      <w:r>
        <w:rPr>
          <w:sz w:val="18"/>
        </w:rPr>
        <w:t>or</w:t>
      </w:r>
      <w:r>
        <w:rPr>
          <w:spacing w:val="-4"/>
          <w:sz w:val="18"/>
        </w:rPr>
        <w:t xml:space="preserve"> </w:t>
      </w:r>
      <w:r>
        <w:rPr>
          <w:sz w:val="18"/>
        </w:rPr>
        <w:t>2.9% (2022: 4.1%) of the discounted net central estimate plus risk margins.</w:t>
      </w:r>
    </w:p>
    <w:p w14:paraId="3ECE8ED9" w14:textId="77777777" w:rsidR="00AC6F3C" w:rsidRDefault="00AC6F3C">
      <w:pPr>
        <w:pStyle w:val="BodyText"/>
        <w:spacing w:before="9"/>
      </w:pPr>
    </w:p>
    <w:p w14:paraId="154AE28B" w14:textId="77777777" w:rsidR="00AC6F3C" w:rsidRDefault="00570E88">
      <w:pPr>
        <w:ind w:left="958" w:right="990"/>
        <w:rPr>
          <w:sz w:val="18"/>
        </w:rPr>
      </w:pPr>
      <w:r>
        <w:rPr>
          <w:sz w:val="18"/>
        </w:rPr>
        <w:t>The</w:t>
      </w:r>
      <w:r>
        <w:rPr>
          <w:spacing w:val="-2"/>
          <w:sz w:val="18"/>
        </w:rPr>
        <w:t xml:space="preserve"> </w:t>
      </w:r>
      <w:r>
        <w:rPr>
          <w:sz w:val="18"/>
        </w:rPr>
        <w:t>Group</w:t>
      </w:r>
      <w:r>
        <w:rPr>
          <w:spacing w:val="-5"/>
          <w:sz w:val="18"/>
        </w:rPr>
        <w:t xml:space="preserve"> </w:t>
      </w:r>
      <w:r>
        <w:rPr>
          <w:sz w:val="18"/>
        </w:rPr>
        <w:t>identified</w:t>
      </w:r>
      <w:r>
        <w:rPr>
          <w:spacing w:val="-5"/>
          <w:sz w:val="18"/>
        </w:rPr>
        <w:t xml:space="preserve"> </w:t>
      </w:r>
      <w:r>
        <w:rPr>
          <w:sz w:val="18"/>
        </w:rPr>
        <w:t>a</w:t>
      </w:r>
      <w:r>
        <w:rPr>
          <w:spacing w:val="-2"/>
          <w:sz w:val="18"/>
        </w:rPr>
        <w:t xml:space="preserve"> </w:t>
      </w:r>
      <w:r>
        <w:rPr>
          <w:sz w:val="18"/>
        </w:rPr>
        <w:t>premium</w:t>
      </w:r>
      <w:r>
        <w:rPr>
          <w:spacing w:val="-2"/>
          <w:sz w:val="18"/>
        </w:rPr>
        <w:t xml:space="preserve"> </w:t>
      </w:r>
      <w:r>
        <w:rPr>
          <w:sz w:val="18"/>
        </w:rPr>
        <w:t>deficiency.</w:t>
      </w:r>
      <w:r>
        <w:rPr>
          <w:spacing w:val="-3"/>
          <w:sz w:val="18"/>
        </w:rPr>
        <w:t xml:space="preserve"> </w:t>
      </w:r>
      <w:r>
        <w:rPr>
          <w:sz w:val="18"/>
        </w:rPr>
        <w:t>Sensitivity</w:t>
      </w:r>
      <w:r>
        <w:rPr>
          <w:spacing w:val="-2"/>
          <w:sz w:val="18"/>
        </w:rPr>
        <w:t xml:space="preserve"> </w:t>
      </w:r>
      <w:r>
        <w:rPr>
          <w:sz w:val="18"/>
        </w:rPr>
        <w:t>analysis</w:t>
      </w:r>
      <w:r>
        <w:rPr>
          <w:spacing w:val="-4"/>
          <w:sz w:val="18"/>
        </w:rPr>
        <w:t xml:space="preserve"> </w:t>
      </w:r>
      <w:r>
        <w:rPr>
          <w:sz w:val="18"/>
        </w:rPr>
        <w:t>in</w:t>
      </w:r>
      <w:r>
        <w:rPr>
          <w:spacing w:val="-2"/>
          <w:sz w:val="18"/>
        </w:rPr>
        <w:t xml:space="preserve"> </w:t>
      </w:r>
      <w:r>
        <w:rPr>
          <w:sz w:val="18"/>
        </w:rPr>
        <w:t>relation</w:t>
      </w:r>
      <w:r>
        <w:rPr>
          <w:spacing w:val="-5"/>
          <w:sz w:val="18"/>
        </w:rPr>
        <w:t xml:space="preserve"> </w:t>
      </w:r>
      <w:r>
        <w:rPr>
          <w:sz w:val="18"/>
        </w:rPr>
        <w:t>to</w:t>
      </w:r>
      <w:r>
        <w:rPr>
          <w:spacing w:val="-2"/>
          <w:sz w:val="18"/>
        </w:rPr>
        <w:t xml:space="preserve"> </w:t>
      </w:r>
      <w:r>
        <w:rPr>
          <w:sz w:val="18"/>
        </w:rPr>
        <w:t>the</w:t>
      </w:r>
      <w:r>
        <w:rPr>
          <w:spacing w:val="-2"/>
          <w:sz w:val="18"/>
        </w:rPr>
        <w:t xml:space="preserve"> </w:t>
      </w:r>
      <w:r>
        <w:rPr>
          <w:sz w:val="18"/>
        </w:rPr>
        <w:t>unearned</w:t>
      </w:r>
      <w:r>
        <w:rPr>
          <w:spacing w:val="-5"/>
          <w:sz w:val="18"/>
        </w:rPr>
        <w:t xml:space="preserve"> </w:t>
      </w:r>
      <w:r>
        <w:rPr>
          <w:sz w:val="18"/>
        </w:rPr>
        <w:t>premium reserves and premium deficiency is as follows:</w:t>
      </w:r>
    </w:p>
    <w:p w14:paraId="74E19B73" w14:textId="77777777" w:rsidR="00AC6F3C" w:rsidRDefault="00AC6F3C">
      <w:pPr>
        <w:pStyle w:val="BodyText"/>
        <w:spacing w:before="11"/>
      </w:pPr>
    </w:p>
    <w:p w14:paraId="0E158A62" w14:textId="77777777" w:rsidR="00AC6F3C" w:rsidRDefault="00570E88">
      <w:pPr>
        <w:pStyle w:val="ListParagraph"/>
        <w:numPr>
          <w:ilvl w:val="0"/>
          <w:numId w:val="29"/>
        </w:numPr>
        <w:tabs>
          <w:tab w:val="left" w:pos="1318"/>
        </w:tabs>
        <w:spacing w:before="0"/>
        <w:ind w:left="1318" w:right="909"/>
        <w:rPr>
          <w:sz w:val="18"/>
        </w:rPr>
      </w:pPr>
      <w:r>
        <w:rPr>
          <w:sz w:val="18"/>
        </w:rPr>
        <w:t>Solicitor</w:t>
      </w:r>
      <w:r>
        <w:rPr>
          <w:spacing w:val="-4"/>
          <w:sz w:val="18"/>
        </w:rPr>
        <w:t xml:space="preserve"> </w:t>
      </w:r>
      <w:r>
        <w:rPr>
          <w:sz w:val="18"/>
        </w:rPr>
        <w:t>number</w:t>
      </w:r>
      <w:r>
        <w:rPr>
          <w:spacing w:val="-4"/>
          <w:sz w:val="18"/>
        </w:rPr>
        <w:t xml:space="preserve"> </w:t>
      </w:r>
      <w:r>
        <w:rPr>
          <w:sz w:val="18"/>
        </w:rPr>
        <w:t>under</w:t>
      </w:r>
      <w:r>
        <w:rPr>
          <w:spacing w:val="-4"/>
          <w:sz w:val="18"/>
        </w:rPr>
        <w:t xml:space="preserve"> </w:t>
      </w:r>
      <w:r>
        <w:rPr>
          <w:sz w:val="18"/>
        </w:rPr>
        <w:t>estimation:</w:t>
      </w:r>
      <w:r>
        <w:rPr>
          <w:spacing w:val="-2"/>
          <w:sz w:val="18"/>
        </w:rPr>
        <w:t xml:space="preserve"> </w:t>
      </w:r>
      <w:r>
        <w:rPr>
          <w:sz w:val="18"/>
        </w:rPr>
        <w:t>A</w:t>
      </w:r>
      <w:r>
        <w:rPr>
          <w:spacing w:val="-4"/>
          <w:sz w:val="18"/>
        </w:rPr>
        <w:t xml:space="preserve"> </w:t>
      </w:r>
      <w:r>
        <w:rPr>
          <w:sz w:val="18"/>
        </w:rPr>
        <w:t>10%</w:t>
      </w:r>
      <w:r>
        <w:rPr>
          <w:spacing w:val="-1"/>
          <w:sz w:val="18"/>
        </w:rPr>
        <w:t xml:space="preserve"> </w:t>
      </w:r>
      <w:r>
        <w:rPr>
          <w:sz w:val="18"/>
        </w:rPr>
        <w:t>(2022:</w:t>
      </w:r>
      <w:r>
        <w:rPr>
          <w:spacing w:val="-2"/>
          <w:sz w:val="18"/>
        </w:rPr>
        <w:t xml:space="preserve"> </w:t>
      </w:r>
      <w:r>
        <w:rPr>
          <w:sz w:val="18"/>
        </w:rPr>
        <w:t>10%)</w:t>
      </w:r>
      <w:r>
        <w:rPr>
          <w:spacing w:val="-2"/>
          <w:sz w:val="18"/>
        </w:rPr>
        <w:t xml:space="preserve"> </w:t>
      </w:r>
      <w:r>
        <w:rPr>
          <w:sz w:val="18"/>
        </w:rPr>
        <w:t>under</w:t>
      </w:r>
      <w:r>
        <w:rPr>
          <w:spacing w:val="-4"/>
          <w:sz w:val="18"/>
        </w:rPr>
        <w:t xml:space="preserve"> </w:t>
      </w:r>
      <w:r>
        <w:rPr>
          <w:sz w:val="18"/>
        </w:rPr>
        <w:t>estimation</w:t>
      </w:r>
      <w:r>
        <w:rPr>
          <w:spacing w:val="-1"/>
          <w:sz w:val="18"/>
        </w:rPr>
        <w:t xml:space="preserve"> </w:t>
      </w:r>
      <w:r>
        <w:rPr>
          <w:sz w:val="18"/>
        </w:rPr>
        <w:t>results</w:t>
      </w:r>
      <w:r>
        <w:rPr>
          <w:spacing w:val="-1"/>
          <w:sz w:val="18"/>
        </w:rPr>
        <w:t xml:space="preserve"> </w:t>
      </w:r>
      <w:r>
        <w:rPr>
          <w:sz w:val="18"/>
        </w:rPr>
        <w:t>in</w:t>
      </w:r>
      <w:r>
        <w:rPr>
          <w:spacing w:val="-4"/>
          <w:sz w:val="18"/>
        </w:rPr>
        <w:t xml:space="preserve"> </w:t>
      </w:r>
      <w:r>
        <w:rPr>
          <w:sz w:val="18"/>
        </w:rPr>
        <w:t>an</w:t>
      </w:r>
      <w:r>
        <w:rPr>
          <w:spacing w:val="-4"/>
          <w:sz w:val="18"/>
        </w:rPr>
        <w:t xml:space="preserve"> </w:t>
      </w:r>
      <w:r>
        <w:rPr>
          <w:sz w:val="18"/>
        </w:rPr>
        <w:t>additional</w:t>
      </w:r>
      <w:r>
        <w:rPr>
          <w:spacing w:val="-4"/>
          <w:sz w:val="18"/>
        </w:rPr>
        <w:t xml:space="preserve"> </w:t>
      </w:r>
      <w:r>
        <w:rPr>
          <w:sz w:val="18"/>
        </w:rPr>
        <w:t>gross undiscounted reserve of A$2.1 million (2022: A$2.6 million) and net discounted reserve (after risk margins) of A$2.1 million (2022: A$2.6 million) or 9.0% (2022: 9.2%) of the discounted net unearned premium reserve estimate including risk margins.</w:t>
      </w:r>
    </w:p>
    <w:p w14:paraId="6B6A91F6" w14:textId="77777777" w:rsidR="00AC6F3C" w:rsidRDefault="00AC6F3C">
      <w:pPr>
        <w:pStyle w:val="BodyText"/>
        <w:spacing w:before="8"/>
      </w:pPr>
    </w:p>
    <w:p w14:paraId="726E8BB1" w14:textId="77777777" w:rsidR="00AC6F3C" w:rsidRDefault="00570E88">
      <w:pPr>
        <w:pStyle w:val="ListParagraph"/>
        <w:numPr>
          <w:ilvl w:val="0"/>
          <w:numId w:val="29"/>
        </w:numPr>
        <w:tabs>
          <w:tab w:val="left" w:pos="1318"/>
        </w:tabs>
        <w:spacing w:before="1"/>
        <w:ind w:left="1318" w:right="999"/>
        <w:rPr>
          <w:sz w:val="18"/>
        </w:rPr>
      </w:pPr>
      <w:r>
        <w:rPr>
          <w:sz w:val="18"/>
        </w:rPr>
        <w:t>Solicitor number over estimation: A 10% (2022: 10%) over estimation results in a decrease in gross undiscounted reserve of A$2.1 million (2022: A$2.6 million) and net discounted reserve (after risk margins)</w:t>
      </w:r>
      <w:r>
        <w:rPr>
          <w:spacing w:val="-4"/>
          <w:sz w:val="18"/>
        </w:rPr>
        <w:t xml:space="preserve"> </w:t>
      </w:r>
      <w:r>
        <w:rPr>
          <w:sz w:val="18"/>
        </w:rPr>
        <w:t>of</w:t>
      </w:r>
      <w:r>
        <w:rPr>
          <w:spacing w:val="-2"/>
          <w:sz w:val="18"/>
        </w:rPr>
        <w:t xml:space="preserve"> </w:t>
      </w:r>
      <w:r>
        <w:rPr>
          <w:sz w:val="18"/>
        </w:rPr>
        <w:t>A$2.1</w:t>
      </w:r>
      <w:r>
        <w:rPr>
          <w:spacing w:val="-4"/>
          <w:sz w:val="18"/>
        </w:rPr>
        <w:t xml:space="preserve"> </w:t>
      </w:r>
      <w:r>
        <w:rPr>
          <w:sz w:val="18"/>
        </w:rPr>
        <w:t>million</w:t>
      </w:r>
      <w:r>
        <w:rPr>
          <w:spacing w:val="-1"/>
          <w:sz w:val="18"/>
        </w:rPr>
        <w:t xml:space="preserve"> </w:t>
      </w:r>
      <w:r>
        <w:rPr>
          <w:sz w:val="18"/>
        </w:rPr>
        <w:t>(2022:</w:t>
      </w:r>
      <w:r>
        <w:rPr>
          <w:spacing w:val="-2"/>
          <w:sz w:val="18"/>
        </w:rPr>
        <w:t xml:space="preserve"> </w:t>
      </w:r>
      <w:r>
        <w:rPr>
          <w:sz w:val="18"/>
        </w:rPr>
        <w:t>A$2.6</w:t>
      </w:r>
      <w:r>
        <w:rPr>
          <w:spacing w:val="-1"/>
          <w:sz w:val="18"/>
        </w:rPr>
        <w:t xml:space="preserve"> </w:t>
      </w:r>
      <w:r>
        <w:rPr>
          <w:sz w:val="18"/>
        </w:rPr>
        <w:t>million)</w:t>
      </w:r>
      <w:r>
        <w:rPr>
          <w:spacing w:val="-4"/>
          <w:sz w:val="18"/>
        </w:rPr>
        <w:t xml:space="preserve"> </w:t>
      </w:r>
      <w:r>
        <w:rPr>
          <w:sz w:val="18"/>
        </w:rPr>
        <w:t>or</w:t>
      </w:r>
      <w:r>
        <w:rPr>
          <w:spacing w:val="-2"/>
          <w:sz w:val="18"/>
        </w:rPr>
        <w:t xml:space="preserve"> </w:t>
      </w:r>
      <w:r>
        <w:rPr>
          <w:sz w:val="18"/>
        </w:rPr>
        <w:t>9.0%</w:t>
      </w:r>
      <w:r>
        <w:rPr>
          <w:spacing w:val="-1"/>
          <w:sz w:val="18"/>
        </w:rPr>
        <w:t xml:space="preserve"> </w:t>
      </w:r>
      <w:r>
        <w:rPr>
          <w:sz w:val="18"/>
        </w:rPr>
        <w:t>(2022:</w:t>
      </w:r>
      <w:r>
        <w:rPr>
          <w:spacing w:val="-2"/>
          <w:sz w:val="18"/>
        </w:rPr>
        <w:t xml:space="preserve"> </w:t>
      </w:r>
      <w:r>
        <w:rPr>
          <w:sz w:val="18"/>
        </w:rPr>
        <w:t>9.2%)</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discounted</w:t>
      </w:r>
      <w:r>
        <w:rPr>
          <w:spacing w:val="-1"/>
          <w:sz w:val="18"/>
        </w:rPr>
        <w:t xml:space="preserve"> </w:t>
      </w:r>
      <w:r>
        <w:rPr>
          <w:sz w:val="18"/>
        </w:rPr>
        <w:t>net</w:t>
      </w:r>
      <w:r>
        <w:rPr>
          <w:spacing w:val="-6"/>
          <w:sz w:val="18"/>
        </w:rPr>
        <w:t xml:space="preserve"> </w:t>
      </w:r>
      <w:r>
        <w:rPr>
          <w:sz w:val="18"/>
        </w:rPr>
        <w:t>unearned premium reserve estimate including risk margins.</w:t>
      </w:r>
    </w:p>
    <w:p w14:paraId="15F1F2EC" w14:textId="77777777" w:rsidR="00AC6F3C" w:rsidRDefault="00AC6F3C">
      <w:pPr>
        <w:pStyle w:val="BodyText"/>
        <w:spacing w:before="8"/>
      </w:pPr>
    </w:p>
    <w:p w14:paraId="7E0117AE" w14:textId="77777777" w:rsidR="00AC6F3C" w:rsidRDefault="00570E88">
      <w:pPr>
        <w:pStyle w:val="ListParagraph"/>
        <w:numPr>
          <w:ilvl w:val="0"/>
          <w:numId w:val="29"/>
        </w:numPr>
        <w:tabs>
          <w:tab w:val="left" w:pos="1318"/>
        </w:tabs>
        <w:spacing w:before="0"/>
        <w:ind w:left="1318" w:right="1058"/>
        <w:rPr>
          <w:sz w:val="18"/>
        </w:rPr>
      </w:pPr>
      <w:r>
        <w:rPr>
          <w:sz w:val="18"/>
        </w:rPr>
        <w:t>Cost per solicitor under estimation: An increase in the cost per solicitor from A$2,400 to A$2,900 (2022:</w:t>
      </w:r>
      <w:r>
        <w:rPr>
          <w:spacing w:val="-2"/>
          <w:sz w:val="18"/>
        </w:rPr>
        <w:t xml:space="preserve"> </w:t>
      </w:r>
      <w:r>
        <w:rPr>
          <w:sz w:val="18"/>
        </w:rPr>
        <w:t>A$2,666</w:t>
      </w:r>
      <w:r>
        <w:rPr>
          <w:spacing w:val="-1"/>
          <w:sz w:val="18"/>
        </w:rPr>
        <w:t xml:space="preserve"> </w:t>
      </w:r>
      <w:r>
        <w:rPr>
          <w:sz w:val="18"/>
        </w:rPr>
        <w:t>to</w:t>
      </w:r>
      <w:r>
        <w:rPr>
          <w:spacing w:val="-1"/>
          <w:sz w:val="18"/>
        </w:rPr>
        <w:t xml:space="preserve"> </w:t>
      </w:r>
      <w:r>
        <w:rPr>
          <w:sz w:val="18"/>
        </w:rPr>
        <w:t>A$3,166)</w:t>
      </w:r>
      <w:r>
        <w:rPr>
          <w:spacing w:val="-4"/>
          <w:sz w:val="18"/>
        </w:rPr>
        <w:t xml:space="preserve"> </w:t>
      </w:r>
      <w:r>
        <w:rPr>
          <w:sz w:val="18"/>
        </w:rPr>
        <w:t>increases</w:t>
      </w:r>
      <w:r>
        <w:rPr>
          <w:spacing w:val="-3"/>
          <w:sz w:val="18"/>
        </w:rPr>
        <w:t xml:space="preserve"> </w:t>
      </w:r>
      <w:r>
        <w:rPr>
          <w:sz w:val="18"/>
        </w:rPr>
        <w:t>our</w:t>
      </w:r>
      <w:r>
        <w:rPr>
          <w:spacing w:val="-4"/>
          <w:sz w:val="18"/>
        </w:rPr>
        <w:t xml:space="preserve"> </w:t>
      </w:r>
      <w:r>
        <w:rPr>
          <w:sz w:val="18"/>
        </w:rPr>
        <w:t>provision</w:t>
      </w:r>
      <w:r>
        <w:rPr>
          <w:spacing w:val="-4"/>
          <w:sz w:val="18"/>
        </w:rPr>
        <w:t xml:space="preserve"> </w:t>
      </w:r>
      <w:r>
        <w:rPr>
          <w:sz w:val="18"/>
        </w:rPr>
        <w:t>by</w:t>
      </w:r>
      <w:r>
        <w:rPr>
          <w:spacing w:val="-1"/>
          <w:sz w:val="18"/>
        </w:rPr>
        <w:t xml:space="preserve"> </w:t>
      </w:r>
      <w:r>
        <w:rPr>
          <w:sz w:val="18"/>
        </w:rPr>
        <w:t>A$4.3</w:t>
      </w:r>
      <w:r>
        <w:rPr>
          <w:spacing w:val="-1"/>
          <w:sz w:val="18"/>
        </w:rPr>
        <w:t xml:space="preserve"> </w:t>
      </w:r>
      <w:r>
        <w:rPr>
          <w:sz w:val="18"/>
        </w:rPr>
        <w:t>million</w:t>
      </w:r>
      <w:r>
        <w:rPr>
          <w:spacing w:val="-1"/>
          <w:sz w:val="18"/>
        </w:rPr>
        <w:t xml:space="preserve"> </w:t>
      </w:r>
      <w:r>
        <w:rPr>
          <w:sz w:val="18"/>
        </w:rPr>
        <w:t>(2022:</w:t>
      </w:r>
      <w:r>
        <w:rPr>
          <w:spacing w:val="-4"/>
          <w:sz w:val="18"/>
        </w:rPr>
        <w:t xml:space="preserve"> </w:t>
      </w:r>
      <w:r>
        <w:rPr>
          <w:sz w:val="18"/>
        </w:rPr>
        <w:t>A$4.9</w:t>
      </w:r>
      <w:r>
        <w:rPr>
          <w:spacing w:val="-1"/>
          <w:sz w:val="18"/>
        </w:rPr>
        <w:t xml:space="preserve"> </w:t>
      </w:r>
      <w:r>
        <w:rPr>
          <w:sz w:val="18"/>
        </w:rPr>
        <w:t>million)</w:t>
      </w:r>
      <w:r>
        <w:rPr>
          <w:spacing w:val="-4"/>
          <w:sz w:val="18"/>
        </w:rPr>
        <w:t xml:space="preserve"> </w:t>
      </w:r>
      <w:r>
        <w:rPr>
          <w:sz w:val="18"/>
        </w:rPr>
        <w:t>or</w:t>
      </w:r>
      <w:r>
        <w:rPr>
          <w:spacing w:val="-2"/>
          <w:sz w:val="18"/>
        </w:rPr>
        <w:t xml:space="preserve"> </w:t>
      </w:r>
      <w:r>
        <w:rPr>
          <w:sz w:val="18"/>
        </w:rPr>
        <w:t>18.7% (2022: 17.3%) of the discounted net unearned premium reserve estimate including risk margins.</w:t>
      </w:r>
    </w:p>
    <w:p w14:paraId="0AF66726" w14:textId="77777777" w:rsidR="00AC6F3C" w:rsidRDefault="00AC6F3C">
      <w:pPr>
        <w:pStyle w:val="BodyText"/>
        <w:spacing w:before="9"/>
      </w:pPr>
    </w:p>
    <w:p w14:paraId="29DFD6E0" w14:textId="77777777" w:rsidR="00AC6F3C" w:rsidRDefault="00570E88">
      <w:pPr>
        <w:pStyle w:val="ListParagraph"/>
        <w:numPr>
          <w:ilvl w:val="0"/>
          <w:numId w:val="29"/>
        </w:numPr>
        <w:tabs>
          <w:tab w:val="left" w:pos="1318"/>
        </w:tabs>
        <w:spacing w:before="0"/>
        <w:ind w:left="1318" w:right="887"/>
        <w:rPr>
          <w:sz w:val="18"/>
        </w:rPr>
      </w:pPr>
      <w:r>
        <w:rPr>
          <w:sz w:val="18"/>
        </w:rPr>
        <w:t>Cost</w:t>
      </w:r>
      <w:r>
        <w:rPr>
          <w:spacing w:val="-2"/>
          <w:sz w:val="18"/>
        </w:rPr>
        <w:t xml:space="preserve"> </w:t>
      </w:r>
      <w:r>
        <w:rPr>
          <w:sz w:val="18"/>
        </w:rPr>
        <w:t>per</w:t>
      </w:r>
      <w:r>
        <w:rPr>
          <w:spacing w:val="-2"/>
          <w:sz w:val="18"/>
        </w:rPr>
        <w:t xml:space="preserve"> </w:t>
      </w:r>
      <w:r>
        <w:rPr>
          <w:sz w:val="18"/>
        </w:rPr>
        <w:t>solicitor</w:t>
      </w:r>
      <w:r>
        <w:rPr>
          <w:spacing w:val="-4"/>
          <w:sz w:val="18"/>
        </w:rPr>
        <w:t xml:space="preserve"> </w:t>
      </w:r>
      <w:r>
        <w:rPr>
          <w:sz w:val="18"/>
        </w:rPr>
        <w:t>over</w:t>
      </w:r>
      <w:r>
        <w:rPr>
          <w:spacing w:val="-2"/>
          <w:sz w:val="18"/>
        </w:rPr>
        <w:t xml:space="preserve"> </w:t>
      </w:r>
      <w:r>
        <w:rPr>
          <w:sz w:val="18"/>
        </w:rPr>
        <w:t>estimation:</w:t>
      </w:r>
      <w:r>
        <w:rPr>
          <w:spacing w:val="-2"/>
          <w:sz w:val="18"/>
        </w:rPr>
        <w:t xml:space="preserve"> </w:t>
      </w:r>
      <w:r>
        <w:rPr>
          <w:sz w:val="18"/>
        </w:rPr>
        <w:t>A</w:t>
      </w:r>
      <w:r>
        <w:rPr>
          <w:spacing w:val="-2"/>
          <w:sz w:val="18"/>
        </w:rPr>
        <w:t xml:space="preserve"> </w:t>
      </w:r>
      <w:r>
        <w:rPr>
          <w:sz w:val="18"/>
        </w:rPr>
        <w:t>reduction</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cost</w:t>
      </w:r>
      <w:r>
        <w:rPr>
          <w:spacing w:val="-2"/>
          <w:sz w:val="18"/>
        </w:rPr>
        <w:t xml:space="preserve"> </w:t>
      </w:r>
      <w:r>
        <w:rPr>
          <w:sz w:val="18"/>
        </w:rPr>
        <w:t>per</w:t>
      </w:r>
      <w:r>
        <w:rPr>
          <w:spacing w:val="-7"/>
          <w:sz w:val="18"/>
        </w:rPr>
        <w:t xml:space="preserve"> </w:t>
      </w:r>
      <w:r>
        <w:rPr>
          <w:sz w:val="18"/>
        </w:rPr>
        <w:t>solicitor</w:t>
      </w:r>
      <w:r>
        <w:rPr>
          <w:spacing w:val="-2"/>
          <w:sz w:val="18"/>
        </w:rPr>
        <w:t xml:space="preserve"> </w:t>
      </w:r>
      <w:r>
        <w:rPr>
          <w:sz w:val="18"/>
        </w:rPr>
        <w:t>from</w:t>
      </w:r>
      <w:r>
        <w:rPr>
          <w:spacing w:val="-1"/>
          <w:sz w:val="18"/>
        </w:rPr>
        <w:t xml:space="preserve"> </w:t>
      </w:r>
      <w:r>
        <w:rPr>
          <w:sz w:val="18"/>
        </w:rPr>
        <w:t>A$2,400</w:t>
      </w:r>
      <w:r>
        <w:rPr>
          <w:spacing w:val="-1"/>
          <w:sz w:val="18"/>
        </w:rPr>
        <w:t xml:space="preserve"> </w:t>
      </w:r>
      <w:r>
        <w:rPr>
          <w:sz w:val="18"/>
        </w:rPr>
        <w:t>to</w:t>
      </w:r>
      <w:r>
        <w:rPr>
          <w:spacing w:val="-1"/>
          <w:sz w:val="18"/>
        </w:rPr>
        <w:t xml:space="preserve"> </w:t>
      </w:r>
      <w:r>
        <w:rPr>
          <w:sz w:val="18"/>
        </w:rPr>
        <w:t>A$1,900</w:t>
      </w:r>
      <w:r>
        <w:rPr>
          <w:spacing w:val="-1"/>
          <w:sz w:val="18"/>
        </w:rPr>
        <w:t xml:space="preserve"> </w:t>
      </w:r>
      <w:r>
        <w:rPr>
          <w:sz w:val="18"/>
        </w:rPr>
        <w:t>(2022: A$2,666 to A$1,900) reduces our provision by A$4.9 million (2022: A$4.9 million) or 18.7% (2022: 17.3%) of the discounted net unearned premium reserve estimate including risk margins.</w:t>
      </w:r>
    </w:p>
    <w:p w14:paraId="0B432073" w14:textId="77777777" w:rsidR="00AC6F3C" w:rsidRDefault="00AC6F3C">
      <w:pPr>
        <w:pStyle w:val="BodyText"/>
      </w:pPr>
    </w:p>
    <w:p w14:paraId="2940A3C9" w14:textId="77777777" w:rsidR="00AC6F3C" w:rsidRDefault="00AC6F3C">
      <w:pPr>
        <w:pStyle w:val="BodyText"/>
        <w:spacing w:before="7"/>
        <w:rPr>
          <w:sz w:val="18"/>
        </w:rPr>
      </w:pPr>
    </w:p>
    <w:p w14:paraId="2FD81EDA" w14:textId="77777777" w:rsidR="00AC6F3C" w:rsidRDefault="00570E88">
      <w:pPr>
        <w:tabs>
          <w:tab w:val="left" w:pos="1666"/>
        </w:tabs>
        <w:spacing w:before="1"/>
        <w:ind w:left="958"/>
        <w:rPr>
          <w:b/>
          <w:sz w:val="28"/>
        </w:rPr>
      </w:pPr>
      <w:r>
        <w:rPr>
          <w:b/>
          <w:spacing w:val="-5"/>
          <w:sz w:val="28"/>
        </w:rPr>
        <w:t>D2</w:t>
      </w:r>
      <w:r>
        <w:rPr>
          <w:b/>
          <w:sz w:val="28"/>
        </w:rPr>
        <w:tab/>
        <w:t>MANAGEMENT</w:t>
      </w:r>
      <w:r>
        <w:rPr>
          <w:b/>
          <w:spacing w:val="-8"/>
          <w:sz w:val="28"/>
        </w:rPr>
        <w:t xml:space="preserve"> </w:t>
      </w:r>
      <w:r>
        <w:rPr>
          <w:b/>
          <w:sz w:val="28"/>
        </w:rPr>
        <w:t>OF</w:t>
      </w:r>
      <w:r>
        <w:rPr>
          <w:b/>
          <w:spacing w:val="-8"/>
          <w:sz w:val="28"/>
        </w:rPr>
        <w:t xml:space="preserve"> </w:t>
      </w:r>
      <w:r>
        <w:rPr>
          <w:b/>
          <w:sz w:val="28"/>
        </w:rPr>
        <w:t>INSURANCE</w:t>
      </w:r>
      <w:r>
        <w:rPr>
          <w:b/>
          <w:spacing w:val="-18"/>
          <w:sz w:val="28"/>
        </w:rPr>
        <w:t xml:space="preserve"> </w:t>
      </w:r>
      <w:r>
        <w:rPr>
          <w:b/>
          <w:sz w:val="28"/>
        </w:rPr>
        <w:t>AND</w:t>
      </w:r>
      <w:r>
        <w:rPr>
          <w:b/>
          <w:spacing w:val="-7"/>
          <w:sz w:val="28"/>
        </w:rPr>
        <w:t xml:space="preserve"> </w:t>
      </w:r>
      <w:r>
        <w:rPr>
          <w:b/>
          <w:sz w:val="28"/>
        </w:rPr>
        <w:t>FINANCIAL</w:t>
      </w:r>
      <w:r>
        <w:rPr>
          <w:b/>
          <w:spacing w:val="-12"/>
          <w:sz w:val="28"/>
        </w:rPr>
        <w:t xml:space="preserve"> </w:t>
      </w:r>
      <w:r>
        <w:rPr>
          <w:b/>
          <w:spacing w:val="-4"/>
          <w:sz w:val="28"/>
        </w:rPr>
        <w:t>RISK</w:t>
      </w:r>
    </w:p>
    <w:p w14:paraId="112459F4" w14:textId="77777777" w:rsidR="00AC6F3C" w:rsidRDefault="00570E88">
      <w:pPr>
        <w:pStyle w:val="Heading6"/>
        <w:tabs>
          <w:tab w:val="left" w:pos="1810"/>
        </w:tabs>
      </w:pPr>
      <w:r>
        <w:rPr>
          <w:spacing w:val="-2"/>
        </w:rPr>
        <w:t>D2-</w:t>
      </w:r>
      <w:r>
        <w:rPr>
          <w:spacing w:val="-10"/>
        </w:rPr>
        <w:t>1</w:t>
      </w:r>
      <w:r>
        <w:tab/>
        <w:t>INSURANCE</w:t>
      </w:r>
      <w:r>
        <w:rPr>
          <w:spacing w:val="-7"/>
        </w:rPr>
        <w:t xml:space="preserve"> </w:t>
      </w:r>
      <w:r>
        <w:rPr>
          <w:spacing w:val="-4"/>
        </w:rPr>
        <w:t>RISK</w:t>
      </w:r>
    </w:p>
    <w:p w14:paraId="3A9BA76E" w14:textId="77777777" w:rsidR="00AC6F3C" w:rsidRDefault="00AC6F3C">
      <w:pPr>
        <w:pStyle w:val="BodyText"/>
        <w:spacing w:before="8"/>
        <w:rPr>
          <w:b/>
        </w:rPr>
      </w:pPr>
    </w:p>
    <w:p w14:paraId="0072ECE0" w14:textId="77777777" w:rsidR="00AC6F3C" w:rsidRDefault="00570E88">
      <w:pPr>
        <w:ind w:left="958" w:right="909"/>
        <w:rPr>
          <w:sz w:val="18"/>
        </w:rPr>
      </w:pPr>
      <w:r>
        <w:rPr>
          <w:sz w:val="18"/>
        </w:rPr>
        <w:t>Lexon is a</w:t>
      </w:r>
      <w:r>
        <w:rPr>
          <w:spacing w:val="-3"/>
          <w:sz w:val="18"/>
        </w:rPr>
        <w:t xml:space="preserve"> </w:t>
      </w:r>
      <w:r>
        <w:rPr>
          <w:sz w:val="18"/>
        </w:rPr>
        <w:t>captive insurer</w:t>
      </w:r>
      <w:r>
        <w:rPr>
          <w:spacing w:val="-3"/>
          <w:sz w:val="18"/>
        </w:rPr>
        <w:t xml:space="preserve"> </w:t>
      </w:r>
      <w:r>
        <w:rPr>
          <w:sz w:val="18"/>
        </w:rPr>
        <w:t>and</w:t>
      </w:r>
      <w:r>
        <w:rPr>
          <w:spacing w:val="-5"/>
          <w:sz w:val="18"/>
        </w:rPr>
        <w:t xml:space="preserve"> </w:t>
      </w:r>
      <w:r>
        <w:rPr>
          <w:sz w:val="18"/>
        </w:rPr>
        <w:t>issues</w:t>
      </w:r>
      <w:r>
        <w:rPr>
          <w:spacing w:val="-2"/>
          <w:sz w:val="18"/>
        </w:rPr>
        <w:t xml:space="preserve"> </w:t>
      </w:r>
      <w:r>
        <w:rPr>
          <w:sz w:val="18"/>
        </w:rPr>
        <w:t>a</w:t>
      </w:r>
      <w:r>
        <w:rPr>
          <w:spacing w:val="-3"/>
          <w:sz w:val="18"/>
        </w:rPr>
        <w:t xml:space="preserve"> </w:t>
      </w:r>
      <w:r>
        <w:rPr>
          <w:sz w:val="18"/>
        </w:rPr>
        <w:t>single</w:t>
      </w:r>
      <w:r>
        <w:rPr>
          <w:spacing w:val="-3"/>
          <w:sz w:val="18"/>
        </w:rPr>
        <w:t xml:space="preserve"> </w:t>
      </w:r>
      <w:r>
        <w:rPr>
          <w:sz w:val="18"/>
        </w:rPr>
        <w:t>insurance</w:t>
      </w:r>
      <w:r>
        <w:rPr>
          <w:spacing w:val="-3"/>
          <w:sz w:val="18"/>
        </w:rPr>
        <w:t xml:space="preserve"> </w:t>
      </w:r>
      <w:r>
        <w:rPr>
          <w:sz w:val="18"/>
        </w:rPr>
        <w:t>contract</w:t>
      </w:r>
      <w:r>
        <w:rPr>
          <w:spacing w:val="-1"/>
          <w:sz w:val="18"/>
        </w:rPr>
        <w:t xml:space="preserve"> </w:t>
      </w:r>
      <w:r>
        <w:rPr>
          <w:sz w:val="18"/>
        </w:rPr>
        <w:t>to the</w:t>
      </w:r>
      <w:r>
        <w:rPr>
          <w:spacing w:val="-3"/>
          <w:sz w:val="18"/>
        </w:rPr>
        <w:t xml:space="preserve"> </w:t>
      </w:r>
      <w:r>
        <w:rPr>
          <w:sz w:val="18"/>
        </w:rPr>
        <w:t>parent</w:t>
      </w:r>
      <w:r>
        <w:rPr>
          <w:spacing w:val="-1"/>
          <w:sz w:val="18"/>
        </w:rPr>
        <w:t xml:space="preserve"> </w:t>
      </w:r>
      <w:r>
        <w:rPr>
          <w:sz w:val="18"/>
        </w:rPr>
        <w:t>(the Society)</w:t>
      </w:r>
      <w:r>
        <w:rPr>
          <w:spacing w:val="-3"/>
          <w:sz w:val="18"/>
        </w:rPr>
        <w:t xml:space="preserve"> </w:t>
      </w:r>
      <w:r>
        <w:rPr>
          <w:sz w:val="18"/>
        </w:rPr>
        <w:t>that</w:t>
      </w:r>
      <w:r>
        <w:rPr>
          <w:spacing w:val="-1"/>
          <w:sz w:val="18"/>
        </w:rPr>
        <w:t xml:space="preserve"> </w:t>
      </w:r>
      <w:r>
        <w:rPr>
          <w:sz w:val="18"/>
        </w:rPr>
        <w:t>transfers insurance risks of its parent to itself.</w:t>
      </w:r>
      <w:r>
        <w:rPr>
          <w:spacing w:val="40"/>
          <w:sz w:val="18"/>
        </w:rPr>
        <w:t xml:space="preserve"> </w:t>
      </w:r>
      <w:r>
        <w:rPr>
          <w:sz w:val="18"/>
        </w:rPr>
        <w:t xml:space="preserve">This section </w:t>
      </w:r>
      <w:proofErr w:type="spellStart"/>
      <w:r>
        <w:rPr>
          <w:sz w:val="18"/>
        </w:rPr>
        <w:t>summarises</w:t>
      </w:r>
      <w:proofErr w:type="spellEnd"/>
      <w:r>
        <w:rPr>
          <w:sz w:val="18"/>
        </w:rPr>
        <w:t xml:space="preserve"> these risks and the way the Group manages them.</w:t>
      </w:r>
    </w:p>
    <w:p w14:paraId="53F5EC8B" w14:textId="77777777" w:rsidR="00AC6F3C" w:rsidRDefault="00AC6F3C">
      <w:pPr>
        <w:pStyle w:val="BodyText"/>
        <w:spacing w:before="8"/>
      </w:pPr>
    </w:p>
    <w:p w14:paraId="1C807FEB" w14:textId="77777777" w:rsidR="00AC6F3C" w:rsidRDefault="00570E88">
      <w:pPr>
        <w:spacing w:before="1"/>
        <w:ind w:left="958" w:right="730"/>
        <w:rPr>
          <w:sz w:val="18"/>
        </w:rPr>
      </w:pPr>
      <w:r>
        <w:rPr>
          <w:sz w:val="18"/>
        </w:rPr>
        <w:t>The</w:t>
      </w:r>
      <w:r>
        <w:rPr>
          <w:spacing w:val="-1"/>
          <w:sz w:val="18"/>
        </w:rPr>
        <w:t xml:space="preserve"> </w:t>
      </w:r>
      <w:r>
        <w:rPr>
          <w:sz w:val="18"/>
        </w:rPr>
        <w:t>risk</w:t>
      </w:r>
      <w:r>
        <w:rPr>
          <w:spacing w:val="-3"/>
          <w:sz w:val="18"/>
        </w:rPr>
        <w:t xml:space="preserve"> </w:t>
      </w:r>
      <w:r>
        <w:rPr>
          <w:sz w:val="18"/>
        </w:rPr>
        <w:t>in</w:t>
      </w:r>
      <w:r>
        <w:rPr>
          <w:spacing w:val="-1"/>
          <w:sz w:val="18"/>
        </w:rPr>
        <w:t xml:space="preserve"> </w:t>
      </w:r>
      <w:r>
        <w:rPr>
          <w:sz w:val="18"/>
        </w:rPr>
        <w:t>any</w:t>
      </w:r>
      <w:r>
        <w:rPr>
          <w:spacing w:val="-3"/>
          <w:sz w:val="18"/>
        </w:rPr>
        <w:t xml:space="preserve"> </w:t>
      </w:r>
      <w:r>
        <w:rPr>
          <w:sz w:val="18"/>
        </w:rPr>
        <w:t>one</w:t>
      </w:r>
      <w:r>
        <w:rPr>
          <w:spacing w:val="-4"/>
          <w:sz w:val="18"/>
        </w:rPr>
        <w:t xml:space="preserve"> </w:t>
      </w:r>
      <w:r>
        <w:rPr>
          <w:sz w:val="18"/>
        </w:rPr>
        <w:t>insurance</w:t>
      </w:r>
      <w:r>
        <w:rPr>
          <w:spacing w:val="-4"/>
          <w:sz w:val="18"/>
        </w:rPr>
        <w:t xml:space="preserve"> </w:t>
      </w:r>
      <w:r>
        <w:rPr>
          <w:sz w:val="18"/>
        </w:rPr>
        <w:t>contract</w:t>
      </w:r>
      <w:r>
        <w:rPr>
          <w:spacing w:val="-4"/>
          <w:sz w:val="18"/>
        </w:rPr>
        <w:t xml:space="preserve"> </w:t>
      </w:r>
      <w:r>
        <w:rPr>
          <w:sz w:val="18"/>
        </w:rPr>
        <w:t>is</w:t>
      </w:r>
      <w:r>
        <w:rPr>
          <w:spacing w:val="-3"/>
          <w:sz w:val="18"/>
        </w:rPr>
        <w:t xml:space="preserve"> </w:t>
      </w:r>
      <w:r>
        <w:rPr>
          <w:sz w:val="18"/>
        </w:rPr>
        <w:t>the</w:t>
      </w:r>
      <w:r>
        <w:rPr>
          <w:spacing w:val="-4"/>
          <w:sz w:val="18"/>
        </w:rPr>
        <w:t xml:space="preserve"> </w:t>
      </w:r>
      <w:r>
        <w:rPr>
          <w:sz w:val="18"/>
        </w:rPr>
        <w:t>possibility</w:t>
      </w:r>
      <w:r>
        <w:rPr>
          <w:spacing w:val="-1"/>
          <w:sz w:val="18"/>
        </w:rPr>
        <w:t xml:space="preserve"> </w:t>
      </w:r>
      <w:r>
        <w:rPr>
          <w:sz w:val="18"/>
        </w:rPr>
        <w:t>that</w:t>
      </w:r>
      <w:r>
        <w:rPr>
          <w:spacing w:val="-2"/>
          <w:sz w:val="18"/>
        </w:rPr>
        <w:t xml:space="preserve"> </w:t>
      </w:r>
      <w:r>
        <w:rPr>
          <w:sz w:val="18"/>
        </w:rPr>
        <w:t>the</w:t>
      </w:r>
      <w:r>
        <w:rPr>
          <w:spacing w:val="-1"/>
          <w:sz w:val="18"/>
        </w:rPr>
        <w:t xml:space="preserve"> </w:t>
      </w:r>
      <w:r>
        <w:rPr>
          <w:sz w:val="18"/>
        </w:rPr>
        <w:t>insured</w:t>
      </w:r>
      <w:r>
        <w:rPr>
          <w:spacing w:val="-1"/>
          <w:sz w:val="18"/>
        </w:rPr>
        <w:t xml:space="preserve"> </w:t>
      </w:r>
      <w:r>
        <w:rPr>
          <w:sz w:val="18"/>
        </w:rPr>
        <w:t>event</w:t>
      </w:r>
      <w:r>
        <w:rPr>
          <w:spacing w:val="-4"/>
          <w:sz w:val="18"/>
        </w:rPr>
        <w:t xml:space="preserve"> </w:t>
      </w:r>
      <w:r>
        <w:rPr>
          <w:sz w:val="18"/>
        </w:rPr>
        <w:t>occurs</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uncertainty</w:t>
      </w:r>
      <w:r>
        <w:rPr>
          <w:spacing w:val="-1"/>
          <w:sz w:val="18"/>
        </w:rPr>
        <w:t xml:space="preserve"> </w:t>
      </w:r>
      <w:r>
        <w:rPr>
          <w:sz w:val="18"/>
        </w:rPr>
        <w:t>of the amount of the resulting claim.</w:t>
      </w:r>
      <w:r>
        <w:rPr>
          <w:spacing w:val="40"/>
          <w:sz w:val="18"/>
        </w:rPr>
        <w:t xml:space="preserve"> </w:t>
      </w:r>
      <w:r>
        <w:rPr>
          <w:sz w:val="18"/>
        </w:rPr>
        <w:t>By the very nature of an insurance contract, this risk is random and therefore unpredictable.</w:t>
      </w:r>
    </w:p>
    <w:p w14:paraId="08B81D23" w14:textId="77777777" w:rsidR="00AC6F3C" w:rsidRDefault="00AC6F3C">
      <w:pPr>
        <w:pStyle w:val="BodyText"/>
        <w:spacing w:before="10"/>
      </w:pPr>
    </w:p>
    <w:p w14:paraId="1A427520" w14:textId="77777777" w:rsidR="00AC6F3C" w:rsidRDefault="00570E88">
      <w:pPr>
        <w:ind w:left="958" w:right="858"/>
        <w:rPr>
          <w:sz w:val="18"/>
        </w:rPr>
      </w:pPr>
      <w:r>
        <w:rPr>
          <w:sz w:val="18"/>
        </w:rPr>
        <w:t>The primary insurance activity carried out by the Group assumes the risk of loss from persons that are directly</w:t>
      </w:r>
      <w:r>
        <w:rPr>
          <w:spacing w:val="-3"/>
          <w:sz w:val="18"/>
        </w:rPr>
        <w:t xml:space="preserve"> </w:t>
      </w:r>
      <w:r>
        <w:rPr>
          <w:sz w:val="18"/>
        </w:rPr>
        <w:t>subject</w:t>
      </w:r>
      <w:r>
        <w:rPr>
          <w:spacing w:val="-2"/>
          <w:sz w:val="18"/>
        </w:rPr>
        <w:t xml:space="preserve"> </w:t>
      </w:r>
      <w:r>
        <w:rPr>
          <w:sz w:val="18"/>
        </w:rPr>
        <w:t>to</w:t>
      </w:r>
      <w:r>
        <w:rPr>
          <w:spacing w:val="-1"/>
          <w:sz w:val="18"/>
        </w:rPr>
        <w:t xml:space="preserve"> </w:t>
      </w:r>
      <w:r>
        <w:rPr>
          <w:sz w:val="18"/>
        </w:rPr>
        <w:t>the</w:t>
      </w:r>
      <w:r>
        <w:rPr>
          <w:spacing w:val="-4"/>
          <w:sz w:val="18"/>
        </w:rPr>
        <w:t xml:space="preserve"> </w:t>
      </w:r>
      <w:r>
        <w:rPr>
          <w:sz w:val="18"/>
        </w:rPr>
        <w:t>risk</w:t>
      </w:r>
      <w:r>
        <w:rPr>
          <w:spacing w:val="-1"/>
          <w:sz w:val="18"/>
        </w:rPr>
        <w:t xml:space="preserve"> </w:t>
      </w:r>
      <w:r>
        <w:rPr>
          <w:sz w:val="18"/>
        </w:rPr>
        <w:t>–</w:t>
      </w:r>
      <w:r>
        <w:rPr>
          <w:spacing w:val="-4"/>
          <w:sz w:val="18"/>
        </w:rPr>
        <w:t xml:space="preserve"> </w:t>
      </w:r>
      <w:r>
        <w:rPr>
          <w:sz w:val="18"/>
        </w:rPr>
        <w:t>professional</w:t>
      </w:r>
      <w:r>
        <w:rPr>
          <w:spacing w:val="-4"/>
          <w:sz w:val="18"/>
        </w:rPr>
        <w:t xml:space="preserve"> </w:t>
      </w:r>
      <w:r>
        <w:rPr>
          <w:sz w:val="18"/>
        </w:rPr>
        <w:t>indemnity</w:t>
      </w:r>
      <w:r>
        <w:rPr>
          <w:spacing w:val="-3"/>
          <w:sz w:val="18"/>
        </w:rPr>
        <w:t xml:space="preserve"> </w:t>
      </w:r>
      <w:r>
        <w:rPr>
          <w:sz w:val="18"/>
        </w:rPr>
        <w:t>liability.</w:t>
      </w:r>
      <w:r>
        <w:rPr>
          <w:spacing w:val="-2"/>
          <w:sz w:val="18"/>
        </w:rPr>
        <w:t xml:space="preserve"> </w:t>
      </w:r>
      <w:r>
        <w:rPr>
          <w:sz w:val="18"/>
        </w:rPr>
        <w:t>Such</w:t>
      </w:r>
      <w:r>
        <w:rPr>
          <w:spacing w:val="-1"/>
          <w:sz w:val="18"/>
        </w:rPr>
        <w:t xml:space="preserve"> </w:t>
      </w:r>
      <w:r>
        <w:rPr>
          <w:sz w:val="18"/>
        </w:rPr>
        <w:t>risk</w:t>
      </w:r>
      <w:r>
        <w:rPr>
          <w:spacing w:val="-1"/>
          <w:sz w:val="18"/>
        </w:rPr>
        <w:t xml:space="preserve"> </w:t>
      </w:r>
      <w:r>
        <w:rPr>
          <w:sz w:val="18"/>
        </w:rPr>
        <w:t>may</w:t>
      </w:r>
      <w:r>
        <w:rPr>
          <w:spacing w:val="-1"/>
          <w:sz w:val="18"/>
        </w:rPr>
        <w:t xml:space="preserve"> </w:t>
      </w:r>
      <w:r>
        <w:rPr>
          <w:sz w:val="18"/>
        </w:rPr>
        <w:t>relate</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liability</w:t>
      </w:r>
      <w:r>
        <w:rPr>
          <w:spacing w:val="-3"/>
          <w:sz w:val="18"/>
        </w:rPr>
        <w:t xml:space="preserve"> </w:t>
      </w:r>
      <w:r>
        <w:rPr>
          <w:sz w:val="18"/>
        </w:rPr>
        <w:t>that</w:t>
      </w:r>
      <w:r>
        <w:rPr>
          <w:spacing w:val="-4"/>
          <w:sz w:val="18"/>
        </w:rPr>
        <w:t xml:space="preserve"> </w:t>
      </w:r>
      <w:r>
        <w:rPr>
          <w:sz w:val="18"/>
        </w:rPr>
        <w:t>may</w:t>
      </w:r>
      <w:r>
        <w:rPr>
          <w:spacing w:val="-1"/>
          <w:sz w:val="18"/>
        </w:rPr>
        <w:t xml:space="preserve"> </w:t>
      </w:r>
      <w:r>
        <w:rPr>
          <w:sz w:val="18"/>
        </w:rPr>
        <w:t>arise from an insurable event.</w:t>
      </w:r>
      <w:r>
        <w:rPr>
          <w:spacing w:val="40"/>
          <w:sz w:val="18"/>
        </w:rPr>
        <w:t xml:space="preserve"> </w:t>
      </w:r>
      <w:r>
        <w:rPr>
          <w:sz w:val="18"/>
        </w:rPr>
        <w:t>As such, the Group is exposed to the uncertainty surrounding the timing and severity of claims under the contract.</w:t>
      </w:r>
    </w:p>
    <w:p w14:paraId="029402F4" w14:textId="77777777" w:rsidR="00AC6F3C" w:rsidRDefault="00AC6F3C">
      <w:pPr>
        <w:pStyle w:val="BodyText"/>
        <w:spacing w:before="10"/>
      </w:pPr>
    </w:p>
    <w:p w14:paraId="0341F235" w14:textId="77777777" w:rsidR="00AC6F3C" w:rsidRDefault="00570E88">
      <w:pPr>
        <w:ind w:left="958" w:right="829"/>
        <w:rPr>
          <w:sz w:val="18"/>
        </w:rPr>
      </w:pPr>
      <w:r>
        <w:rPr>
          <w:sz w:val="18"/>
        </w:rPr>
        <w:t>The</w:t>
      </w:r>
      <w:r>
        <w:rPr>
          <w:spacing w:val="-2"/>
          <w:sz w:val="18"/>
        </w:rPr>
        <w:t xml:space="preserve"> </w:t>
      </w:r>
      <w:r>
        <w:rPr>
          <w:sz w:val="18"/>
        </w:rPr>
        <w:t>Group</w:t>
      </w:r>
      <w:r>
        <w:rPr>
          <w:spacing w:val="-5"/>
          <w:sz w:val="18"/>
        </w:rPr>
        <w:t xml:space="preserve"> </w:t>
      </w:r>
      <w:r>
        <w:rPr>
          <w:sz w:val="18"/>
        </w:rPr>
        <w:t>manages</w:t>
      </w:r>
      <w:r>
        <w:rPr>
          <w:spacing w:val="-4"/>
          <w:sz w:val="18"/>
        </w:rPr>
        <w:t xml:space="preserve"> </w:t>
      </w:r>
      <w:r>
        <w:rPr>
          <w:sz w:val="18"/>
        </w:rPr>
        <w:t>its</w:t>
      </w:r>
      <w:r>
        <w:rPr>
          <w:spacing w:val="-4"/>
          <w:sz w:val="18"/>
        </w:rPr>
        <w:t xml:space="preserve"> </w:t>
      </w:r>
      <w:r>
        <w:rPr>
          <w:sz w:val="18"/>
        </w:rPr>
        <w:t>insurance</w:t>
      </w:r>
      <w:r>
        <w:rPr>
          <w:spacing w:val="-2"/>
          <w:sz w:val="18"/>
        </w:rPr>
        <w:t xml:space="preserve"> </w:t>
      </w:r>
      <w:r>
        <w:rPr>
          <w:sz w:val="18"/>
        </w:rPr>
        <w:t>risk</w:t>
      </w:r>
      <w:r>
        <w:rPr>
          <w:spacing w:val="-2"/>
          <w:sz w:val="18"/>
        </w:rPr>
        <w:t xml:space="preserve"> </w:t>
      </w:r>
      <w:r>
        <w:rPr>
          <w:sz w:val="18"/>
        </w:rPr>
        <w:t>through</w:t>
      </w:r>
      <w:r>
        <w:rPr>
          <w:spacing w:val="-5"/>
          <w:sz w:val="18"/>
        </w:rPr>
        <w:t xml:space="preserve"> </w:t>
      </w:r>
      <w:r>
        <w:rPr>
          <w:sz w:val="18"/>
        </w:rPr>
        <w:t>underwriting</w:t>
      </w:r>
      <w:r>
        <w:rPr>
          <w:spacing w:val="-5"/>
          <w:sz w:val="18"/>
        </w:rPr>
        <w:t xml:space="preserve"> </w:t>
      </w:r>
      <w:r>
        <w:rPr>
          <w:sz w:val="18"/>
        </w:rPr>
        <w:t>strategy,</w:t>
      </w:r>
      <w:r>
        <w:rPr>
          <w:spacing w:val="-3"/>
          <w:sz w:val="18"/>
        </w:rPr>
        <w:t xml:space="preserve"> </w:t>
      </w:r>
      <w:r>
        <w:rPr>
          <w:sz w:val="18"/>
        </w:rPr>
        <w:t>reinsurance</w:t>
      </w:r>
      <w:r>
        <w:rPr>
          <w:spacing w:val="-5"/>
          <w:sz w:val="18"/>
        </w:rPr>
        <w:t xml:space="preserve"> </w:t>
      </w:r>
      <w:r>
        <w:rPr>
          <w:sz w:val="18"/>
        </w:rPr>
        <w:t>strategy</w:t>
      </w:r>
      <w:r>
        <w:rPr>
          <w:spacing w:val="-4"/>
          <w:sz w:val="18"/>
        </w:rPr>
        <w:t xml:space="preserve"> </w:t>
      </w:r>
      <w:r>
        <w:rPr>
          <w:sz w:val="18"/>
        </w:rPr>
        <w:t>and</w:t>
      </w:r>
      <w:r>
        <w:rPr>
          <w:spacing w:val="-2"/>
          <w:sz w:val="18"/>
        </w:rPr>
        <w:t xml:space="preserve"> </w:t>
      </w:r>
      <w:r>
        <w:rPr>
          <w:sz w:val="18"/>
        </w:rPr>
        <w:t>amendment to the terms and conditions of insurance contracts.</w:t>
      </w:r>
    </w:p>
    <w:p w14:paraId="13F58B23" w14:textId="77777777" w:rsidR="00AC6F3C" w:rsidRDefault="00AC6F3C">
      <w:pPr>
        <w:rPr>
          <w:sz w:val="18"/>
        </w:rPr>
        <w:sectPr w:rsidR="00AC6F3C">
          <w:pgSz w:w="11910" w:h="16840"/>
          <w:pgMar w:top="2020" w:right="1160" w:bottom="520" w:left="460" w:header="1228" w:footer="336" w:gutter="0"/>
          <w:cols w:space="720"/>
        </w:sectPr>
      </w:pPr>
    </w:p>
    <w:p w14:paraId="4DE78AD0" w14:textId="77777777" w:rsidR="00AC6F3C" w:rsidRDefault="00AC6F3C">
      <w:pPr>
        <w:pStyle w:val="BodyText"/>
      </w:pPr>
    </w:p>
    <w:p w14:paraId="46C51C41" w14:textId="77777777" w:rsidR="00AC6F3C" w:rsidRDefault="00570E88">
      <w:pPr>
        <w:tabs>
          <w:tab w:val="left" w:pos="1666"/>
        </w:tabs>
        <w:spacing w:before="249" w:line="322" w:lineRule="exact"/>
        <w:ind w:left="958"/>
        <w:rPr>
          <w:b/>
          <w:sz w:val="28"/>
        </w:rPr>
      </w:pPr>
      <w:r>
        <w:rPr>
          <w:b/>
          <w:spacing w:val="-5"/>
          <w:sz w:val="28"/>
        </w:rPr>
        <w:t>D2</w:t>
      </w:r>
      <w:r>
        <w:rPr>
          <w:b/>
          <w:sz w:val="28"/>
        </w:rPr>
        <w:tab/>
        <w:t>MANAGEMENT</w:t>
      </w:r>
      <w:r>
        <w:rPr>
          <w:b/>
          <w:spacing w:val="-8"/>
          <w:sz w:val="28"/>
        </w:rPr>
        <w:t xml:space="preserve"> </w:t>
      </w:r>
      <w:r>
        <w:rPr>
          <w:b/>
          <w:sz w:val="28"/>
        </w:rPr>
        <w:t>OF</w:t>
      </w:r>
      <w:r>
        <w:rPr>
          <w:b/>
          <w:spacing w:val="-8"/>
          <w:sz w:val="28"/>
        </w:rPr>
        <w:t xml:space="preserve"> </w:t>
      </w:r>
      <w:r>
        <w:rPr>
          <w:b/>
          <w:sz w:val="28"/>
        </w:rPr>
        <w:t>INSURANCE</w:t>
      </w:r>
      <w:r>
        <w:rPr>
          <w:b/>
          <w:spacing w:val="-18"/>
          <w:sz w:val="28"/>
        </w:rPr>
        <w:t xml:space="preserve"> </w:t>
      </w:r>
      <w:r>
        <w:rPr>
          <w:b/>
          <w:sz w:val="28"/>
        </w:rPr>
        <w:t>AND</w:t>
      </w:r>
      <w:r>
        <w:rPr>
          <w:b/>
          <w:spacing w:val="-7"/>
          <w:sz w:val="28"/>
        </w:rPr>
        <w:t xml:space="preserve"> </w:t>
      </w:r>
      <w:r>
        <w:rPr>
          <w:b/>
          <w:sz w:val="28"/>
        </w:rPr>
        <w:t>FINANCIAL</w:t>
      </w:r>
      <w:r>
        <w:rPr>
          <w:b/>
          <w:spacing w:val="-12"/>
          <w:sz w:val="28"/>
        </w:rPr>
        <w:t xml:space="preserve"> </w:t>
      </w:r>
      <w:r>
        <w:rPr>
          <w:b/>
          <w:spacing w:val="-4"/>
          <w:sz w:val="28"/>
        </w:rPr>
        <w:t>RISK</w:t>
      </w:r>
    </w:p>
    <w:p w14:paraId="12D9D750" w14:textId="77777777" w:rsidR="00AC6F3C" w:rsidRDefault="00570E88">
      <w:pPr>
        <w:spacing w:line="322" w:lineRule="exact"/>
        <w:ind w:left="1666"/>
        <w:rPr>
          <w:b/>
          <w:sz w:val="28"/>
        </w:rPr>
      </w:pPr>
      <w:r>
        <w:rPr>
          <w:b/>
          <w:spacing w:val="-2"/>
          <w:sz w:val="28"/>
        </w:rPr>
        <w:t>(continued)</w:t>
      </w:r>
    </w:p>
    <w:p w14:paraId="4A25C88A" w14:textId="77777777" w:rsidR="00AC6F3C" w:rsidRDefault="00570E88">
      <w:pPr>
        <w:pStyle w:val="Heading7"/>
        <w:tabs>
          <w:tab w:val="left" w:pos="1810"/>
        </w:tabs>
      </w:pPr>
      <w:r>
        <w:rPr>
          <w:spacing w:val="-2"/>
        </w:rPr>
        <w:t>D2-</w:t>
      </w:r>
      <w:r>
        <w:rPr>
          <w:spacing w:val="-10"/>
        </w:rPr>
        <w:t>1</w:t>
      </w:r>
      <w:r>
        <w:tab/>
        <w:t>INSURANCE</w:t>
      </w:r>
      <w:r>
        <w:rPr>
          <w:spacing w:val="-3"/>
        </w:rPr>
        <w:t xml:space="preserve"> </w:t>
      </w:r>
      <w:r>
        <w:t>RISK</w:t>
      </w:r>
      <w:r>
        <w:rPr>
          <w:spacing w:val="-3"/>
        </w:rPr>
        <w:t xml:space="preserve"> </w:t>
      </w:r>
      <w:r>
        <w:rPr>
          <w:spacing w:val="-2"/>
        </w:rPr>
        <w:t>(continued)</w:t>
      </w:r>
    </w:p>
    <w:p w14:paraId="268B43FB" w14:textId="77777777" w:rsidR="00AC6F3C" w:rsidRDefault="00AC6F3C">
      <w:pPr>
        <w:pStyle w:val="BodyText"/>
        <w:spacing w:before="9"/>
        <w:rPr>
          <w:b/>
        </w:rPr>
      </w:pPr>
    </w:p>
    <w:p w14:paraId="47BBB299" w14:textId="77777777" w:rsidR="00AC6F3C" w:rsidRDefault="00570E88">
      <w:pPr>
        <w:numPr>
          <w:ilvl w:val="2"/>
          <w:numId w:val="30"/>
        </w:numPr>
        <w:tabs>
          <w:tab w:val="left" w:pos="1315"/>
        </w:tabs>
        <w:ind w:left="1315" w:hanging="357"/>
        <w:rPr>
          <w:b/>
          <w:sz w:val="20"/>
        </w:rPr>
      </w:pPr>
      <w:r>
        <w:rPr>
          <w:b/>
          <w:spacing w:val="-2"/>
          <w:sz w:val="20"/>
        </w:rPr>
        <w:t>Underwriting</w:t>
      </w:r>
      <w:r>
        <w:rPr>
          <w:b/>
          <w:spacing w:val="7"/>
          <w:sz w:val="20"/>
        </w:rPr>
        <w:t xml:space="preserve"> </w:t>
      </w:r>
      <w:r>
        <w:rPr>
          <w:b/>
          <w:spacing w:val="-2"/>
          <w:sz w:val="20"/>
        </w:rPr>
        <w:t>strategy</w:t>
      </w:r>
    </w:p>
    <w:p w14:paraId="06BF7D30" w14:textId="77777777" w:rsidR="00AC6F3C" w:rsidRDefault="00AC6F3C">
      <w:pPr>
        <w:pStyle w:val="BodyText"/>
        <w:spacing w:before="9"/>
        <w:rPr>
          <w:b/>
        </w:rPr>
      </w:pPr>
    </w:p>
    <w:p w14:paraId="7B325999" w14:textId="77777777" w:rsidR="00AC6F3C" w:rsidRDefault="00570E88">
      <w:pPr>
        <w:spacing w:before="1"/>
        <w:ind w:left="958" w:right="1099"/>
        <w:rPr>
          <w:sz w:val="18"/>
        </w:rPr>
      </w:pPr>
      <w:r>
        <w:rPr>
          <w:sz w:val="18"/>
        </w:rPr>
        <w:t>The Group is unable to provide a diversified portfolio of similar risks due to its licensing arrangement. The</w:t>
      </w:r>
      <w:r>
        <w:rPr>
          <w:spacing w:val="-1"/>
          <w:sz w:val="18"/>
        </w:rPr>
        <w:t xml:space="preserve"> </w:t>
      </w:r>
      <w:r>
        <w:rPr>
          <w:sz w:val="18"/>
        </w:rPr>
        <w:t>Group</w:t>
      </w:r>
      <w:r>
        <w:rPr>
          <w:spacing w:val="-4"/>
          <w:sz w:val="18"/>
        </w:rPr>
        <w:t xml:space="preserve"> </w:t>
      </w:r>
      <w:r>
        <w:rPr>
          <w:sz w:val="18"/>
        </w:rPr>
        <w:t>currently</w:t>
      </w:r>
      <w:r>
        <w:rPr>
          <w:spacing w:val="-1"/>
          <w:sz w:val="18"/>
        </w:rPr>
        <w:t xml:space="preserve"> </w:t>
      </w:r>
      <w:r>
        <w:rPr>
          <w:sz w:val="18"/>
        </w:rPr>
        <w:t>only</w:t>
      </w:r>
      <w:r>
        <w:rPr>
          <w:spacing w:val="-1"/>
          <w:sz w:val="18"/>
        </w:rPr>
        <w:t xml:space="preserve"> </w:t>
      </w:r>
      <w:r>
        <w:rPr>
          <w:sz w:val="18"/>
        </w:rPr>
        <w:t>underwrites</w:t>
      </w:r>
      <w:r>
        <w:rPr>
          <w:spacing w:val="-1"/>
          <w:sz w:val="18"/>
        </w:rPr>
        <w:t xml:space="preserve"> </w:t>
      </w:r>
      <w:r>
        <w:rPr>
          <w:sz w:val="18"/>
        </w:rPr>
        <w:t>the</w:t>
      </w:r>
      <w:r>
        <w:rPr>
          <w:spacing w:val="-1"/>
          <w:sz w:val="18"/>
        </w:rPr>
        <w:t xml:space="preserve"> </w:t>
      </w:r>
      <w:r>
        <w:rPr>
          <w:sz w:val="18"/>
        </w:rPr>
        <w:t>risk</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Society.</w:t>
      </w:r>
      <w:r>
        <w:rPr>
          <w:spacing w:val="40"/>
          <w:sz w:val="18"/>
        </w:rPr>
        <w:t xml:space="preserve"> </w:t>
      </w:r>
      <w:r>
        <w:rPr>
          <w:sz w:val="18"/>
        </w:rPr>
        <w:t>Such</w:t>
      </w:r>
      <w:r>
        <w:rPr>
          <w:spacing w:val="-1"/>
          <w:sz w:val="18"/>
        </w:rPr>
        <w:t xml:space="preserve"> </w:t>
      </w:r>
      <w:r>
        <w:rPr>
          <w:sz w:val="18"/>
        </w:rPr>
        <w:t>a</w:t>
      </w:r>
      <w:r>
        <w:rPr>
          <w:spacing w:val="-4"/>
          <w:sz w:val="18"/>
        </w:rPr>
        <w:t xml:space="preserve"> </w:t>
      </w:r>
      <w:r>
        <w:rPr>
          <w:sz w:val="18"/>
        </w:rPr>
        <w:t>focus</w:t>
      </w:r>
      <w:r>
        <w:rPr>
          <w:spacing w:val="-3"/>
          <w:sz w:val="18"/>
        </w:rPr>
        <w:t xml:space="preserve"> </w:t>
      </w:r>
      <w:r>
        <w:rPr>
          <w:sz w:val="18"/>
        </w:rPr>
        <w:t>on</w:t>
      </w:r>
      <w:r>
        <w:rPr>
          <w:spacing w:val="-4"/>
          <w:sz w:val="18"/>
        </w:rPr>
        <w:t xml:space="preserve"> </w:t>
      </w:r>
      <w:r>
        <w:rPr>
          <w:sz w:val="18"/>
        </w:rPr>
        <w:t>one</w:t>
      </w:r>
      <w:r>
        <w:rPr>
          <w:spacing w:val="-1"/>
          <w:sz w:val="18"/>
        </w:rPr>
        <w:t xml:space="preserve"> </w:t>
      </w:r>
      <w:r>
        <w:rPr>
          <w:sz w:val="18"/>
        </w:rPr>
        <w:t>“insured”</w:t>
      </w:r>
      <w:r>
        <w:rPr>
          <w:spacing w:val="-4"/>
          <w:sz w:val="18"/>
        </w:rPr>
        <w:t xml:space="preserve"> </w:t>
      </w:r>
      <w:r>
        <w:rPr>
          <w:sz w:val="18"/>
        </w:rPr>
        <w:t>group</w:t>
      </w:r>
      <w:r>
        <w:rPr>
          <w:spacing w:val="-4"/>
          <w:sz w:val="18"/>
        </w:rPr>
        <w:t xml:space="preserve"> </w:t>
      </w:r>
      <w:r>
        <w:rPr>
          <w:sz w:val="18"/>
        </w:rPr>
        <w:t>does create a wider variability of outcomes than a balanced portfolio.</w:t>
      </w:r>
    </w:p>
    <w:p w14:paraId="55A44781" w14:textId="77777777" w:rsidR="00AC6F3C" w:rsidRDefault="00AC6F3C">
      <w:pPr>
        <w:pStyle w:val="BodyText"/>
        <w:spacing w:before="8"/>
      </w:pPr>
    </w:p>
    <w:p w14:paraId="1A5802B2" w14:textId="77777777" w:rsidR="00AC6F3C" w:rsidRDefault="00570E88">
      <w:pPr>
        <w:numPr>
          <w:ilvl w:val="2"/>
          <w:numId w:val="30"/>
        </w:numPr>
        <w:tabs>
          <w:tab w:val="left" w:pos="1315"/>
        </w:tabs>
        <w:ind w:left="1315" w:hanging="357"/>
        <w:rPr>
          <w:b/>
          <w:sz w:val="20"/>
        </w:rPr>
      </w:pPr>
      <w:r>
        <w:rPr>
          <w:b/>
          <w:spacing w:val="-2"/>
          <w:sz w:val="20"/>
        </w:rPr>
        <w:t>Reinsurance</w:t>
      </w:r>
      <w:r>
        <w:rPr>
          <w:b/>
          <w:spacing w:val="5"/>
          <w:sz w:val="20"/>
        </w:rPr>
        <w:t xml:space="preserve"> </w:t>
      </w:r>
      <w:r>
        <w:rPr>
          <w:b/>
          <w:spacing w:val="-2"/>
          <w:sz w:val="20"/>
        </w:rPr>
        <w:t>strategy</w:t>
      </w:r>
    </w:p>
    <w:p w14:paraId="3D6C308B" w14:textId="77777777" w:rsidR="00AC6F3C" w:rsidRDefault="00AC6F3C">
      <w:pPr>
        <w:pStyle w:val="BodyText"/>
        <w:spacing w:before="10"/>
        <w:rPr>
          <w:b/>
        </w:rPr>
      </w:pPr>
    </w:p>
    <w:p w14:paraId="7A8F2214" w14:textId="77777777" w:rsidR="00AC6F3C" w:rsidRDefault="00570E88">
      <w:pPr>
        <w:ind w:left="958"/>
        <w:rPr>
          <w:sz w:val="18"/>
        </w:rPr>
      </w:pPr>
      <w:r>
        <w:rPr>
          <w:sz w:val="18"/>
        </w:rPr>
        <w:t>In</w:t>
      </w:r>
      <w:r>
        <w:rPr>
          <w:spacing w:val="-5"/>
          <w:sz w:val="18"/>
        </w:rPr>
        <w:t xml:space="preserve"> </w:t>
      </w:r>
      <w:r>
        <w:rPr>
          <w:sz w:val="18"/>
        </w:rPr>
        <w:t>considering</w:t>
      </w:r>
      <w:r>
        <w:rPr>
          <w:spacing w:val="-2"/>
          <w:sz w:val="18"/>
        </w:rPr>
        <w:t xml:space="preserve"> </w:t>
      </w:r>
      <w:r>
        <w:rPr>
          <w:sz w:val="18"/>
        </w:rPr>
        <w:t>the</w:t>
      </w:r>
      <w:r>
        <w:rPr>
          <w:spacing w:val="-2"/>
          <w:sz w:val="18"/>
        </w:rPr>
        <w:t xml:space="preserve"> </w:t>
      </w:r>
      <w:r>
        <w:rPr>
          <w:sz w:val="18"/>
        </w:rPr>
        <w:t>purchase</w:t>
      </w:r>
      <w:r>
        <w:rPr>
          <w:spacing w:val="-2"/>
          <w:sz w:val="18"/>
        </w:rPr>
        <w:t xml:space="preserve"> </w:t>
      </w:r>
      <w:r>
        <w:rPr>
          <w:sz w:val="18"/>
        </w:rPr>
        <w:t>of</w:t>
      </w:r>
      <w:r>
        <w:rPr>
          <w:spacing w:val="-5"/>
          <w:sz w:val="18"/>
        </w:rPr>
        <w:t xml:space="preserve"> </w:t>
      </w:r>
      <w:r>
        <w:rPr>
          <w:sz w:val="18"/>
        </w:rPr>
        <w:t>reinsurance</w:t>
      </w:r>
      <w:r>
        <w:rPr>
          <w:spacing w:val="-4"/>
          <w:sz w:val="18"/>
        </w:rPr>
        <w:t xml:space="preserve"> </w:t>
      </w:r>
      <w:r>
        <w:rPr>
          <w:sz w:val="18"/>
        </w:rPr>
        <w:t>protection,</w:t>
      </w:r>
      <w:r>
        <w:rPr>
          <w:spacing w:val="-3"/>
          <w:sz w:val="18"/>
        </w:rPr>
        <w:t xml:space="preserve"> </w:t>
      </w:r>
      <w:r>
        <w:rPr>
          <w:sz w:val="18"/>
        </w:rPr>
        <w:t>the</w:t>
      </w:r>
      <w:r>
        <w:rPr>
          <w:spacing w:val="-3"/>
          <w:sz w:val="18"/>
        </w:rPr>
        <w:t xml:space="preserve"> </w:t>
      </w:r>
      <w:r>
        <w:rPr>
          <w:sz w:val="18"/>
        </w:rPr>
        <w:t>Group’s</w:t>
      </w:r>
      <w:r>
        <w:rPr>
          <w:spacing w:val="-2"/>
          <w:sz w:val="18"/>
        </w:rPr>
        <w:t xml:space="preserve"> </w:t>
      </w:r>
      <w:r>
        <w:rPr>
          <w:sz w:val="18"/>
        </w:rPr>
        <w:t>philosophy</w:t>
      </w:r>
      <w:r>
        <w:rPr>
          <w:spacing w:val="-4"/>
          <w:sz w:val="18"/>
        </w:rPr>
        <w:t xml:space="preserve"> </w:t>
      </w:r>
      <w:r>
        <w:rPr>
          <w:sz w:val="18"/>
        </w:rPr>
        <w:t>is</w:t>
      </w:r>
      <w:r>
        <w:rPr>
          <w:spacing w:val="-3"/>
          <w:sz w:val="18"/>
        </w:rPr>
        <w:t xml:space="preserve"> </w:t>
      </w:r>
      <w:r>
        <w:rPr>
          <w:sz w:val="18"/>
        </w:rPr>
        <w:t>twofold,</w:t>
      </w:r>
      <w:r>
        <w:rPr>
          <w:spacing w:val="-3"/>
          <w:sz w:val="18"/>
        </w:rPr>
        <w:t xml:space="preserve"> </w:t>
      </w:r>
      <w:r>
        <w:rPr>
          <w:sz w:val="18"/>
        </w:rPr>
        <w:t>namely</w:t>
      </w:r>
      <w:r>
        <w:rPr>
          <w:spacing w:val="-2"/>
          <w:sz w:val="18"/>
        </w:rPr>
        <w:t xml:space="preserve"> </w:t>
      </w:r>
      <w:r>
        <w:rPr>
          <w:spacing w:val="-5"/>
          <w:sz w:val="18"/>
        </w:rPr>
        <w:t>to:</w:t>
      </w:r>
    </w:p>
    <w:p w14:paraId="601B5472" w14:textId="77777777" w:rsidR="00AC6F3C" w:rsidRDefault="00570E88">
      <w:pPr>
        <w:pStyle w:val="ListParagraph"/>
        <w:numPr>
          <w:ilvl w:val="0"/>
          <w:numId w:val="29"/>
        </w:numPr>
        <w:tabs>
          <w:tab w:val="left" w:pos="1315"/>
        </w:tabs>
        <w:spacing w:before="122"/>
        <w:ind w:hanging="357"/>
        <w:rPr>
          <w:sz w:val="18"/>
        </w:rPr>
      </w:pPr>
      <w:r>
        <w:rPr>
          <w:sz w:val="18"/>
        </w:rPr>
        <w:t>reduce</w:t>
      </w:r>
      <w:r>
        <w:rPr>
          <w:spacing w:val="-1"/>
          <w:sz w:val="18"/>
        </w:rPr>
        <w:t xml:space="preserve"> </w:t>
      </w:r>
      <w:r>
        <w:rPr>
          <w:sz w:val="18"/>
        </w:rPr>
        <w:t>risk;</w:t>
      </w:r>
      <w:r>
        <w:rPr>
          <w:spacing w:val="-2"/>
          <w:sz w:val="18"/>
        </w:rPr>
        <w:t xml:space="preserve"> </w:t>
      </w:r>
      <w:r>
        <w:rPr>
          <w:spacing w:val="-5"/>
          <w:sz w:val="18"/>
        </w:rPr>
        <w:t>and</w:t>
      </w:r>
    </w:p>
    <w:p w14:paraId="13838AEF" w14:textId="77777777" w:rsidR="00AC6F3C" w:rsidRDefault="00570E88">
      <w:pPr>
        <w:pStyle w:val="ListParagraph"/>
        <w:numPr>
          <w:ilvl w:val="0"/>
          <w:numId w:val="29"/>
        </w:numPr>
        <w:tabs>
          <w:tab w:val="left" w:pos="1318"/>
        </w:tabs>
        <w:spacing w:before="118"/>
        <w:ind w:left="1318"/>
        <w:rPr>
          <w:sz w:val="18"/>
        </w:rPr>
      </w:pPr>
      <w:proofErr w:type="spellStart"/>
      <w:r>
        <w:rPr>
          <w:sz w:val="18"/>
        </w:rPr>
        <w:t>stabilise</w:t>
      </w:r>
      <w:proofErr w:type="spellEnd"/>
      <w:r>
        <w:rPr>
          <w:spacing w:val="-4"/>
          <w:sz w:val="18"/>
        </w:rPr>
        <w:t xml:space="preserve"> </w:t>
      </w:r>
      <w:r>
        <w:rPr>
          <w:spacing w:val="-2"/>
          <w:sz w:val="18"/>
        </w:rPr>
        <w:t>solvency.</w:t>
      </w:r>
    </w:p>
    <w:p w14:paraId="3875AD6B" w14:textId="77777777" w:rsidR="00AC6F3C" w:rsidRDefault="00AC6F3C">
      <w:pPr>
        <w:pStyle w:val="BodyText"/>
        <w:spacing w:before="7"/>
      </w:pPr>
    </w:p>
    <w:p w14:paraId="158ABD5D" w14:textId="77777777" w:rsidR="00AC6F3C" w:rsidRDefault="00570E88">
      <w:pPr>
        <w:ind w:left="958" w:right="990"/>
        <w:rPr>
          <w:sz w:val="18"/>
        </w:rPr>
      </w:pPr>
      <w:r>
        <w:rPr>
          <w:sz w:val="18"/>
        </w:rPr>
        <w:t>To</w:t>
      </w:r>
      <w:r>
        <w:rPr>
          <w:spacing w:val="-1"/>
          <w:sz w:val="18"/>
        </w:rPr>
        <w:t xml:space="preserve"> </w:t>
      </w:r>
      <w:r>
        <w:rPr>
          <w:sz w:val="18"/>
        </w:rPr>
        <w:t>achieve</w:t>
      </w:r>
      <w:r>
        <w:rPr>
          <w:spacing w:val="-4"/>
          <w:sz w:val="18"/>
        </w:rPr>
        <w:t xml:space="preserve"> </w:t>
      </w:r>
      <w:r>
        <w:rPr>
          <w:sz w:val="18"/>
        </w:rPr>
        <w:t>such</w:t>
      </w:r>
      <w:r>
        <w:rPr>
          <w:spacing w:val="-1"/>
          <w:sz w:val="18"/>
        </w:rPr>
        <w:t xml:space="preserve"> </w:t>
      </w:r>
      <w:r>
        <w:rPr>
          <w:sz w:val="18"/>
        </w:rPr>
        <w:t>objectives,</w:t>
      </w:r>
      <w:r>
        <w:rPr>
          <w:spacing w:val="-2"/>
          <w:sz w:val="18"/>
        </w:rPr>
        <w:t xml:space="preserve"> </w:t>
      </w:r>
      <w:r>
        <w:rPr>
          <w:sz w:val="18"/>
        </w:rPr>
        <w:t>the</w:t>
      </w:r>
      <w:r>
        <w:rPr>
          <w:spacing w:val="-1"/>
          <w:sz w:val="18"/>
        </w:rPr>
        <w:t xml:space="preserve"> </w:t>
      </w:r>
      <w:r>
        <w:rPr>
          <w:sz w:val="18"/>
        </w:rPr>
        <w:t>Group</w:t>
      </w:r>
      <w:r>
        <w:rPr>
          <w:spacing w:val="-1"/>
          <w:sz w:val="18"/>
        </w:rPr>
        <w:t xml:space="preserve"> </w:t>
      </w:r>
      <w:r>
        <w:rPr>
          <w:sz w:val="18"/>
        </w:rPr>
        <w:t>will</w:t>
      </w:r>
      <w:r>
        <w:rPr>
          <w:spacing w:val="-4"/>
          <w:sz w:val="18"/>
        </w:rPr>
        <w:t xml:space="preserve"> </w:t>
      </w:r>
      <w:r>
        <w:rPr>
          <w:sz w:val="18"/>
        </w:rPr>
        <w:t>consider</w:t>
      </w:r>
      <w:r>
        <w:rPr>
          <w:spacing w:val="-2"/>
          <w:sz w:val="18"/>
        </w:rPr>
        <w:t xml:space="preserve"> </w:t>
      </w:r>
      <w:r>
        <w:rPr>
          <w:sz w:val="18"/>
        </w:rPr>
        <w:t>the</w:t>
      </w:r>
      <w:r>
        <w:rPr>
          <w:spacing w:val="-1"/>
          <w:sz w:val="18"/>
        </w:rPr>
        <w:t xml:space="preserve"> </w:t>
      </w:r>
      <w:r>
        <w:rPr>
          <w:sz w:val="18"/>
        </w:rPr>
        <w:t>placing</w:t>
      </w:r>
      <w:r>
        <w:rPr>
          <w:spacing w:val="-1"/>
          <w:sz w:val="18"/>
        </w:rPr>
        <w:t xml:space="preserve"> </w:t>
      </w:r>
      <w:r>
        <w:rPr>
          <w:sz w:val="18"/>
        </w:rPr>
        <w:t>of</w:t>
      </w:r>
      <w:r>
        <w:rPr>
          <w:spacing w:val="-2"/>
          <w:sz w:val="18"/>
        </w:rPr>
        <w:t xml:space="preserve"> </w:t>
      </w:r>
      <w:r>
        <w:rPr>
          <w:sz w:val="18"/>
        </w:rPr>
        <w:t>reinsurance</w:t>
      </w:r>
      <w:r>
        <w:rPr>
          <w:spacing w:val="-4"/>
          <w:sz w:val="18"/>
        </w:rPr>
        <w:t xml:space="preserve"> </w:t>
      </w:r>
      <w:r>
        <w:rPr>
          <w:sz w:val="18"/>
        </w:rPr>
        <w:t>protection</w:t>
      </w:r>
      <w:r>
        <w:rPr>
          <w:spacing w:val="-4"/>
          <w:sz w:val="18"/>
        </w:rPr>
        <w:t xml:space="preserve"> </w:t>
      </w:r>
      <w:r>
        <w:rPr>
          <w:sz w:val="18"/>
        </w:rPr>
        <w:t>at</w:t>
      </w:r>
      <w:r>
        <w:rPr>
          <w:spacing w:val="-4"/>
          <w:sz w:val="18"/>
        </w:rPr>
        <w:t xml:space="preserve"> </w:t>
      </w:r>
      <w:r>
        <w:rPr>
          <w:sz w:val="18"/>
        </w:rPr>
        <w:t>appropriate levels with reinsurance carriers of a proven financial record.</w:t>
      </w:r>
      <w:r>
        <w:rPr>
          <w:spacing w:val="40"/>
          <w:sz w:val="18"/>
        </w:rPr>
        <w:t xml:space="preserve"> </w:t>
      </w:r>
      <w:r>
        <w:rPr>
          <w:sz w:val="18"/>
        </w:rPr>
        <w:t>Specific reinsurance placements should reflect the appropriate balance between retention and reinsurance commensurate with the nature and complexity of the risk, all within acceptable exposure limits to the Group.</w:t>
      </w:r>
    </w:p>
    <w:p w14:paraId="068F43F3" w14:textId="77777777" w:rsidR="00AC6F3C" w:rsidRDefault="00AC6F3C">
      <w:pPr>
        <w:pStyle w:val="BodyText"/>
        <w:spacing w:before="10"/>
      </w:pPr>
    </w:p>
    <w:p w14:paraId="412E665E" w14:textId="77777777" w:rsidR="00AC6F3C" w:rsidRDefault="00570E88">
      <w:pPr>
        <w:spacing w:before="1"/>
        <w:ind w:left="958" w:right="990"/>
        <w:rPr>
          <w:sz w:val="18"/>
        </w:rPr>
      </w:pPr>
      <w:r>
        <w:rPr>
          <w:sz w:val="18"/>
        </w:rPr>
        <w:t>Ceded reinsurance contains credit risk, and such reinsurance recoverable are reported after known deductions for insolvencies and uncollectable items.</w:t>
      </w:r>
      <w:r>
        <w:rPr>
          <w:spacing w:val="40"/>
          <w:sz w:val="18"/>
        </w:rPr>
        <w:t xml:space="preserve"> </w:t>
      </w:r>
      <w:r>
        <w:rPr>
          <w:sz w:val="18"/>
        </w:rPr>
        <w:t>The Group monitors the financial condition of reinsurers on</w:t>
      </w:r>
      <w:r>
        <w:rPr>
          <w:spacing w:val="-3"/>
          <w:sz w:val="18"/>
        </w:rPr>
        <w:t xml:space="preserve"> </w:t>
      </w:r>
      <w:r>
        <w:rPr>
          <w:sz w:val="18"/>
        </w:rPr>
        <w:t>an ongoing</w:t>
      </w:r>
      <w:r>
        <w:rPr>
          <w:spacing w:val="-3"/>
          <w:sz w:val="18"/>
        </w:rPr>
        <w:t xml:space="preserve"> </w:t>
      </w:r>
      <w:r>
        <w:rPr>
          <w:sz w:val="18"/>
        </w:rPr>
        <w:t>basis and reviews</w:t>
      </w:r>
      <w:r>
        <w:rPr>
          <w:spacing w:val="-2"/>
          <w:sz w:val="18"/>
        </w:rPr>
        <w:t xml:space="preserve"> </w:t>
      </w:r>
      <w:r>
        <w:rPr>
          <w:sz w:val="18"/>
        </w:rPr>
        <w:t>its reinsurance</w:t>
      </w:r>
      <w:r>
        <w:rPr>
          <w:spacing w:val="-3"/>
          <w:sz w:val="18"/>
        </w:rPr>
        <w:t xml:space="preserve"> </w:t>
      </w:r>
      <w:r>
        <w:rPr>
          <w:sz w:val="18"/>
        </w:rPr>
        <w:t>arrangements</w:t>
      </w:r>
      <w:r>
        <w:rPr>
          <w:spacing w:val="-2"/>
          <w:sz w:val="18"/>
        </w:rPr>
        <w:t xml:space="preserve"> </w:t>
      </w:r>
      <w:r>
        <w:rPr>
          <w:sz w:val="18"/>
        </w:rPr>
        <w:t>periodically.</w:t>
      </w:r>
      <w:r>
        <w:rPr>
          <w:spacing w:val="40"/>
          <w:sz w:val="18"/>
        </w:rPr>
        <w:t xml:space="preserve"> </w:t>
      </w:r>
      <w:r>
        <w:rPr>
          <w:sz w:val="18"/>
        </w:rPr>
        <w:t>The Board</w:t>
      </w:r>
      <w:r>
        <w:rPr>
          <w:spacing w:val="-3"/>
          <w:sz w:val="18"/>
        </w:rPr>
        <w:t xml:space="preserve"> </w:t>
      </w:r>
      <w:r>
        <w:rPr>
          <w:sz w:val="18"/>
        </w:rPr>
        <w:t>of Directors</w:t>
      </w:r>
      <w:r>
        <w:rPr>
          <w:spacing w:val="-5"/>
          <w:sz w:val="18"/>
        </w:rPr>
        <w:t xml:space="preserve"> </w:t>
      </w:r>
      <w:r>
        <w:rPr>
          <w:sz w:val="18"/>
        </w:rPr>
        <w:t>of</w:t>
      </w:r>
      <w:r>
        <w:rPr>
          <w:spacing w:val="-3"/>
          <w:sz w:val="18"/>
        </w:rPr>
        <w:t xml:space="preserve"> </w:t>
      </w:r>
      <w:r>
        <w:rPr>
          <w:sz w:val="18"/>
        </w:rPr>
        <w:t>Lexon</w:t>
      </w:r>
      <w:r>
        <w:rPr>
          <w:spacing w:val="-5"/>
          <w:sz w:val="18"/>
        </w:rPr>
        <w:t xml:space="preserve"> </w:t>
      </w:r>
      <w:r>
        <w:rPr>
          <w:sz w:val="18"/>
        </w:rPr>
        <w:t>is</w:t>
      </w:r>
      <w:r>
        <w:rPr>
          <w:spacing w:val="-4"/>
          <w:sz w:val="18"/>
        </w:rPr>
        <w:t xml:space="preserve"> </w:t>
      </w:r>
      <w:r>
        <w:rPr>
          <w:sz w:val="18"/>
        </w:rPr>
        <w:t>responsible</w:t>
      </w:r>
      <w:r>
        <w:rPr>
          <w:spacing w:val="-2"/>
          <w:sz w:val="18"/>
        </w:rPr>
        <w:t xml:space="preserve"> </w:t>
      </w:r>
      <w:r>
        <w:rPr>
          <w:sz w:val="18"/>
        </w:rPr>
        <w:t>for</w:t>
      </w:r>
      <w:r>
        <w:rPr>
          <w:spacing w:val="-4"/>
          <w:sz w:val="18"/>
        </w:rPr>
        <w:t xml:space="preserve"> </w:t>
      </w:r>
      <w:r>
        <w:rPr>
          <w:sz w:val="18"/>
        </w:rPr>
        <w:t>setting</w:t>
      </w:r>
      <w:r>
        <w:rPr>
          <w:spacing w:val="-2"/>
          <w:sz w:val="18"/>
        </w:rPr>
        <w:t xml:space="preserve"> </w:t>
      </w:r>
      <w:r>
        <w:rPr>
          <w:sz w:val="18"/>
        </w:rPr>
        <w:t>the</w:t>
      </w:r>
      <w:r>
        <w:rPr>
          <w:spacing w:val="-2"/>
          <w:sz w:val="18"/>
        </w:rPr>
        <w:t xml:space="preserve"> </w:t>
      </w:r>
      <w:r>
        <w:rPr>
          <w:sz w:val="18"/>
        </w:rPr>
        <w:t>minimum</w:t>
      </w:r>
      <w:r>
        <w:rPr>
          <w:spacing w:val="-2"/>
          <w:sz w:val="18"/>
        </w:rPr>
        <w:t xml:space="preserve"> </w:t>
      </w:r>
      <w:r>
        <w:rPr>
          <w:sz w:val="18"/>
        </w:rPr>
        <w:t>security</w:t>
      </w:r>
      <w:r>
        <w:rPr>
          <w:spacing w:val="-3"/>
          <w:sz w:val="18"/>
        </w:rPr>
        <w:t xml:space="preserve"> </w:t>
      </w:r>
      <w:r>
        <w:rPr>
          <w:sz w:val="18"/>
        </w:rPr>
        <w:t>criteria</w:t>
      </w:r>
      <w:r>
        <w:rPr>
          <w:spacing w:val="-2"/>
          <w:sz w:val="18"/>
        </w:rPr>
        <w:t xml:space="preserve"> </w:t>
      </w:r>
      <w:r>
        <w:rPr>
          <w:sz w:val="18"/>
        </w:rPr>
        <w:t>for</w:t>
      </w:r>
      <w:r>
        <w:rPr>
          <w:spacing w:val="-3"/>
          <w:sz w:val="18"/>
        </w:rPr>
        <w:t xml:space="preserve"> </w:t>
      </w:r>
      <w:r>
        <w:rPr>
          <w:sz w:val="18"/>
        </w:rPr>
        <w:t>acceptable</w:t>
      </w:r>
      <w:r>
        <w:rPr>
          <w:spacing w:val="-2"/>
          <w:sz w:val="18"/>
        </w:rPr>
        <w:t xml:space="preserve"> reinsurance.</w:t>
      </w:r>
    </w:p>
    <w:p w14:paraId="2C19FA9E" w14:textId="77777777" w:rsidR="00AC6F3C" w:rsidRDefault="00AC6F3C">
      <w:pPr>
        <w:pStyle w:val="BodyText"/>
        <w:spacing w:before="10"/>
      </w:pPr>
    </w:p>
    <w:p w14:paraId="7BB04A66" w14:textId="77777777" w:rsidR="00AC6F3C" w:rsidRDefault="00570E88">
      <w:pPr>
        <w:numPr>
          <w:ilvl w:val="2"/>
          <w:numId w:val="30"/>
        </w:numPr>
        <w:tabs>
          <w:tab w:val="left" w:pos="1315"/>
        </w:tabs>
        <w:ind w:left="1315" w:hanging="357"/>
        <w:rPr>
          <w:b/>
          <w:sz w:val="20"/>
        </w:rPr>
      </w:pPr>
      <w:r>
        <w:rPr>
          <w:b/>
          <w:sz w:val="20"/>
        </w:rPr>
        <w:t>Terms</w:t>
      </w:r>
      <w:r>
        <w:rPr>
          <w:b/>
          <w:spacing w:val="-9"/>
          <w:sz w:val="20"/>
        </w:rPr>
        <w:t xml:space="preserve"> </w:t>
      </w:r>
      <w:r>
        <w:rPr>
          <w:b/>
          <w:sz w:val="20"/>
        </w:rPr>
        <w:t>and</w:t>
      </w:r>
      <w:r>
        <w:rPr>
          <w:b/>
          <w:spacing w:val="-7"/>
          <w:sz w:val="20"/>
        </w:rPr>
        <w:t xml:space="preserve"> </w:t>
      </w:r>
      <w:r>
        <w:rPr>
          <w:b/>
          <w:sz w:val="20"/>
        </w:rPr>
        <w:t>conditions</w:t>
      </w:r>
      <w:r>
        <w:rPr>
          <w:b/>
          <w:spacing w:val="-8"/>
          <w:sz w:val="20"/>
        </w:rPr>
        <w:t xml:space="preserve"> </w:t>
      </w:r>
      <w:r>
        <w:rPr>
          <w:b/>
          <w:sz w:val="20"/>
        </w:rPr>
        <w:t>of</w:t>
      </w:r>
      <w:r>
        <w:rPr>
          <w:b/>
          <w:spacing w:val="-7"/>
          <w:sz w:val="20"/>
        </w:rPr>
        <w:t xml:space="preserve"> </w:t>
      </w:r>
      <w:r>
        <w:rPr>
          <w:b/>
          <w:sz w:val="20"/>
        </w:rPr>
        <w:t>insurance</w:t>
      </w:r>
      <w:r>
        <w:rPr>
          <w:b/>
          <w:spacing w:val="-8"/>
          <w:sz w:val="20"/>
        </w:rPr>
        <w:t xml:space="preserve"> </w:t>
      </w:r>
      <w:r>
        <w:rPr>
          <w:b/>
          <w:spacing w:val="-2"/>
          <w:sz w:val="20"/>
        </w:rPr>
        <w:t>contracts</w:t>
      </w:r>
    </w:p>
    <w:p w14:paraId="35232471" w14:textId="77777777" w:rsidR="00AC6F3C" w:rsidRDefault="00AC6F3C">
      <w:pPr>
        <w:pStyle w:val="BodyText"/>
        <w:spacing w:before="10"/>
        <w:rPr>
          <w:b/>
        </w:rPr>
      </w:pPr>
    </w:p>
    <w:p w14:paraId="2039C06B" w14:textId="77777777" w:rsidR="00AC6F3C" w:rsidRDefault="00570E88">
      <w:pPr>
        <w:ind w:left="958" w:right="468"/>
        <w:rPr>
          <w:sz w:val="18"/>
        </w:rPr>
      </w:pPr>
      <w:r>
        <w:rPr>
          <w:sz w:val="18"/>
        </w:rPr>
        <w:t>The</w:t>
      </w:r>
      <w:r>
        <w:rPr>
          <w:spacing w:val="-1"/>
          <w:sz w:val="18"/>
        </w:rPr>
        <w:t xml:space="preserve"> </w:t>
      </w:r>
      <w:r>
        <w:rPr>
          <w:sz w:val="18"/>
        </w:rPr>
        <w:t>terms</w:t>
      </w:r>
      <w:r>
        <w:rPr>
          <w:spacing w:val="-3"/>
          <w:sz w:val="18"/>
        </w:rPr>
        <w:t xml:space="preserve"> </w:t>
      </w:r>
      <w:r>
        <w:rPr>
          <w:sz w:val="18"/>
        </w:rPr>
        <w:t>and</w:t>
      </w:r>
      <w:r>
        <w:rPr>
          <w:spacing w:val="-4"/>
          <w:sz w:val="18"/>
        </w:rPr>
        <w:t xml:space="preserve"> </w:t>
      </w:r>
      <w:r>
        <w:rPr>
          <w:sz w:val="18"/>
        </w:rPr>
        <w:t>conditions</w:t>
      </w:r>
      <w:r>
        <w:rPr>
          <w:spacing w:val="-1"/>
          <w:sz w:val="18"/>
        </w:rPr>
        <w:t xml:space="preserve"> </w:t>
      </w:r>
      <w:r>
        <w:rPr>
          <w:sz w:val="18"/>
        </w:rPr>
        <w:t>of</w:t>
      </w:r>
      <w:r>
        <w:rPr>
          <w:spacing w:val="-4"/>
          <w:sz w:val="18"/>
        </w:rPr>
        <w:t xml:space="preserve"> </w:t>
      </w:r>
      <w:r>
        <w:rPr>
          <w:sz w:val="18"/>
        </w:rPr>
        <w:t>insurance</w:t>
      </w:r>
      <w:r>
        <w:rPr>
          <w:spacing w:val="-4"/>
          <w:sz w:val="18"/>
        </w:rPr>
        <w:t xml:space="preserve"> </w:t>
      </w:r>
      <w:r>
        <w:rPr>
          <w:sz w:val="18"/>
        </w:rPr>
        <w:t>contracts</w:t>
      </w:r>
      <w:r>
        <w:rPr>
          <w:spacing w:val="-1"/>
          <w:sz w:val="18"/>
        </w:rPr>
        <w:t xml:space="preserve"> </w:t>
      </w:r>
      <w:r>
        <w:rPr>
          <w:sz w:val="18"/>
        </w:rPr>
        <w:t>that</w:t>
      </w:r>
      <w:r>
        <w:rPr>
          <w:spacing w:val="-4"/>
          <w:sz w:val="18"/>
        </w:rPr>
        <w:t xml:space="preserve"> </w:t>
      </w:r>
      <w:r>
        <w:rPr>
          <w:sz w:val="18"/>
        </w:rPr>
        <w:t>have</w:t>
      </w:r>
      <w:r>
        <w:rPr>
          <w:spacing w:val="-1"/>
          <w:sz w:val="18"/>
        </w:rPr>
        <w:t xml:space="preserve"> </w:t>
      </w:r>
      <w:r>
        <w:rPr>
          <w:sz w:val="18"/>
        </w:rPr>
        <w:t>a</w:t>
      </w:r>
      <w:r>
        <w:rPr>
          <w:spacing w:val="-4"/>
          <w:sz w:val="18"/>
        </w:rPr>
        <w:t xml:space="preserve"> </w:t>
      </w:r>
      <w:r>
        <w:rPr>
          <w:sz w:val="18"/>
        </w:rPr>
        <w:t>material</w:t>
      </w:r>
      <w:r>
        <w:rPr>
          <w:spacing w:val="-4"/>
          <w:sz w:val="18"/>
        </w:rPr>
        <w:t xml:space="preserve"> </w:t>
      </w:r>
      <w:r>
        <w:rPr>
          <w:sz w:val="18"/>
        </w:rPr>
        <w:t>effect</w:t>
      </w:r>
      <w:r>
        <w:rPr>
          <w:spacing w:val="-2"/>
          <w:sz w:val="18"/>
        </w:rPr>
        <w:t xml:space="preserve"> </w:t>
      </w:r>
      <w:r>
        <w:rPr>
          <w:sz w:val="18"/>
        </w:rPr>
        <w:t>on</w:t>
      </w:r>
      <w:r>
        <w:rPr>
          <w:spacing w:val="-1"/>
          <w:sz w:val="18"/>
        </w:rPr>
        <w:t xml:space="preserve"> </w:t>
      </w:r>
      <w:r>
        <w:rPr>
          <w:sz w:val="18"/>
        </w:rPr>
        <w:t>the</w:t>
      </w:r>
      <w:r>
        <w:rPr>
          <w:spacing w:val="-1"/>
          <w:sz w:val="18"/>
        </w:rPr>
        <w:t xml:space="preserve"> </w:t>
      </w:r>
      <w:r>
        <w:rPr>
          <w:sz w:val="18"/>
        </w:rPr>
        <w:t>amount,</w:t>
      </w:r>
      <w:r>
        <w:rPr>
          <w:spacing w:val="-4"/>
          <w:sz w:val="18"/>
        </w:rPr>
        <w:t xml:space="preserve"> </w:t>
      </w:r>
      <w:r>
        <w:rPr>
          <w:sz w:val="18"/>
        </w:rPr>
        <w:t>timing</w:t>
      </w:r>
      <w:r>
        <w:rPr>
          <w:spacing w:val="-1"/>
          <w:sz w:val="18"/>
        </w:rPr>
        <w:t xml:space="preserve"> </w:t>
      </w:r>
      <w:r>
        <w:rPr>
          <w:sz w:val="18"/>
        </w:rPr>
        <w:t>and uncertainty of future cash flows arising from insurance contracts are set out below.</w:t>
      </w:r>
    </w:p>
    <w:p w14:paraId="629799A4" w14:textId="77777777" w:rsidR="00AC6F3C" w:rsidRDefault="00AC6F3C">
      <w:pPr>
        <w:pStyle w:val="BodyText"/>
        <w:spacing w:before="8"/>
      </w:pPr>
    </w:p>
    <w:p w14:paraId="6CEE216F" w14:textId="77777777" w:rsidR="00AC6F3C" w:rsidRDefault="00570E88">
      <w:pPr>
        <w:spacing w:before="1"/>
        <w:ind w:left="958" w:right="990"/>
        <w:rPr>
          <w:sz w:val="18"/>
        </w:rPr>
      </w:pPr>
      <w:r>
        <w:rPr>
          <w:sz w:val="18"/>
        </w:rPr>
        <w:t>The</w:t>
      </w:r>
      <w:r>
        <w:rPr>
          <w:spacing w:val="-1"/>
          <w:sz w:val="18"/>
        </w:rPr>
        <w:t xml:space="preserve"> </w:t>
      </w:r>
      <w:r>
        <w:rPr>
          <w:sz w:val="18"/>
        </w:rPr>
        <w:t>following</w:t>
      </w:r>
      <w:r>
        <w:rPr>
          <w:spacing w:val="-4"/>
          <w:sz w:val="18"/>
        </w:rPr>
        <w:t xml:space="preserve"> </w:t>
      </w:r>
      <w:r>
        <w:rPr>
          <w:sz w:val="18"/>
        </w:rPr>
        <w:t>gives</w:t>
      </w:r>
      <w:r>
        <w:rPr>
          <w:spacing w:val="-3"/>
          <w:sz w:val="18"/>
        </w:rPr>
        <w:t xml:space="preserve"> </w:t>
      </w:r>
      <w:r>
        <w:rPr>
          <w:sz w:val="18"/>
        </w:rPr>
        <w:t>an</w:t>
      </w:r>
      <w:r>
        <w:rPr>
          <w:spacing w:val="-1"/>
          <w:sz w:val="18"/>
        </w:rPr>
        <w:t xml:space="preserve"> </w:t>
      </w:r>
      <w:r>
        <w:rPr>
          <w:sz w:val="18"/>
        </w:rPr>
        <w:t>assessment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Group’s</w:t>
      </w:r>
      <w:r>
        <w:rPr>
          <w:spacing w:val="-3"/>
          <w:sz w:val="18"/>
        </w:rPr>
        <w:t xml:space="preserve"> </w:t>
      </w:r>
      <w:r>
        <w:rPr>
          <w:sz w:val="18"/>
        </w:rPr>
        <w:t>main</w:t>
      </w:r>
      <w:r>
        <w:rPr>
          <w:spacing w:val="-1"/>
          <w:sz w:val="18"/>
        </w:rPr>
        <w:t xml:space="preserve"> </w:t>
      </w:r>
      <w:r>
        <w:rPr>
          <w:sz w:val="18"/>
        </w:rPr>
        <w:t>product</w:t>
      </w:r>
      <w:r>
        <w:rPr>
          <w:spacing w:val="-2"/>
          <w:sz w:val="18"/>
        </w:rPr>
        <w:t xml:space="preserve"> </w:t>
      </w:r>
      <w:r>
        <w:rPr>
          <w:sz w:val="18"/>
        </w:rPr>
        <w:t>–</w:t>
      </w:r>
      <w:r>
        <w:rPr>
          <w:spacing w:val="-4"/>
          <w:sz w:val="18"/>
        </w:rPr>
        <w:t xml:space="preserve"> </w:t>
      </w:r>
      <w:r>
        <w:rPr>
          <w:sz w:val="18"/>
        </w:rPr>
        <w:t>professional</w:t>
      </w:r>
      <w:r>
        <w:rPr>
          <w:spacing w:val="-4"/>
          <w:sz w:val="18"/>
        </w:rPr>
        <w:t xml:space="preserve"> </w:t>
      </w:r>
      <w:r>
        <w:rPr>
          <w:sz w:val="18"/>
        </w:rPr>
        <w:t>indemnity</w:t>
      </w:r>
      <w:r>
        <w:rPr>
          <w:spacing w:val="-3"/>
          <w:sz w:val="18"/>
        </w:rPr>
        <w:t xml:space="preserve"> </w:t>
      </w:r>
      <w:r>
        <w:rPr>
          <w:sz w:val="18"/>
        </w:rPr>
        <w:t>liability</w:t>
      </w:r>
      <w:r>
        <w:rPr>
          <w:spacing w:val="-3"/>
          <w:sz w:val="18"/>
        </w:rPr>
        <w:t xml:space="preserve"> </w:t>
      </w:r>
      <w:r>
        <w:rPr>
          <w:sz w:val="18"/>
        </w:rPr>
        <w:t>and</w:t>
      </w:r>
      <w:r>
        <w:rPr>
          <w:spacing w:val="-4"/>
          <w:sz w:val="18"/>
        </w:rPr>
        <w:t xml:space="preserve"> </w:t>
      </w:r>
      <w:r>
        <w:rPr>
          <w:sz w:val="18"/>
        </w:rPr>
        <w:t>the ways in which it manages the associated risks.</w:t>
      </w:r>
    </w:p>
    <w:p w14:paraId="06859F01" w14:textId="77777777" w:rsidR="00AC6F3C" w:rsidRDefault="00AC6F3C">
      <w:pPr>
        <w:pStyle w:val="BodyText"/>
        <w:spacing w:before="10"/>
      </w:pPr>
    </w:p>
    <w:p w14:paraId="4F31B09F" w14:textId="77777777" w:rsidR="00AC6F3C" w:rsidRDefault="00570E88">
      <w:pPr>
        <w:spacing w:before="1"/>
        <w:ind w:left="958"/>
        <w:rPr>
          <w:b/>
          <w:sz w:val="18"/>
        </w:rPr>
      </w:pPr>
      <w:r>
        <w:rPr>
          <w:b/>
          <w:sz w:val="18"/>
        </w:rPr>
        <w:t>Product</w:t>
      </w:r>
      <w:r>
        <w:rPr>
          <w:b/>
          <w:spacing w:val="-2"/>
          <w:sz w:val="18"/>
        </w:rPr>
        <w:t xml:space="preserve"> features</w:t>
      </w:r>
    </w:p>
    <w:p w14:paraId="405193A3" w14:textId="77777777" w:rsidR="00AC6F3C" w:rsidRDefault="00AC6F3C">
      <w:pPr>
        <w:pStyle w:val="BodyText"/>
        <w:spacing w:before="9"/>
        <w:rPr>
          <w:b/>
        </w:rPr>
      </w:pPr>
    </w:p>
    <w:p w14:paraId="14999FD2" w14:textId="77777777" w:rsidR="00AC6F3C" w:rsidRDefault="00570E88">
      <w:pPr>
        <w:ind w:left="958" w:right="857"/>
        <w:rPr>
          <w:sz w:val="18"/>
        </w:rPr>
      </w:pPr>
      <w:r>
        <w:rPr>
          <w:sz w:val="18"/>
        </w:rPr>
        <w:t>The Group writes professional indemnity liability and under these contracts, monetary compensation awards</w:t>
      </w:r>
      <w:r>
        <w:rPr>
          <w:spacing w:val="-3"/>
          <w:sz w:val="18"/>
        </w:rPr>
        <w:t xml:space="preserve"> </w:t>
      </w:r>
      <w:r>
        <w:rPr>
          <w:sz w:val="18"/>
        </w:rPr>
        <w:t>are</w:t>
      </w:r>
      <w:r>
        <w:rPr>
          <w:spacing w:val="-1"/>
          <w:sz w:val="18"/>
        </w:rPr>
        <w:t xml:space="preserve"> </w:t>
      </w:r>
      <w:r>
        <w:rPr>
          <w:sz w:val="18"/>
        </w:rPr>
        <w:t>paid</w:t>
      </w:r>
      <w:r>
        <w:rPr>
          <w:spacing w:val="-3"/>
          <w:sz w:val="18"/>
        </w:rPr>
        <w:t xml:space="preserve"> </w:t>
      </w:r>
      <w:r>
        <w:rPr>
          <w:sz w:val="18"/>
        </w:rPr>
        <w:t>for</w:t>
      </w:r>
      <w:r>
        <w:rPr>
          <w:spacing w:val="-2"/>
          <w:sz w:val="18"/>
        </w:rPr>
        <w:t xml:space="preserve"> </w:t>
      </w:r>
      <w:r>
        <w:rPr>
          <w:sz w:val="18"/>
        </w:rPr>
        <w:t>any</w:t>
      </w:r>
      <w:r>
        <w:rPr>
          <w:spacing w:val="-3"/>
          <w:sz w:val="18"/>
        </w:rPr>
        <w:t xml:space="preserve"> </w:t>
      </w:r>
      <w:r>
        <w:rPr>
          <w:sz w:val="18"/>
        </w:rPr>
        <w:t>description</w:t>
      </w:r>
      <w:r>
        <w:rPr>
          <w:spacing w:val="-3"/>
          <w:sz w:val="18"/>
        </w:rPr>
        <w:t xml:space="preserve"> </w:t>
      </w:r>
      <w:r>
        <w:rPr>
          <w:sz w:val="18"/>
        </w:rPr>
        <w:t>of</w:t>
      </w:r>
      <w:r>
        <w:rPr>
          <w:spacing w:val="-3"/>
          <w:sz w:val="18"/>
        </w:rPr>
        <w:t xml:space="preserve"> </w:t>
      </w:r>
      <w:r>
        <w:rPr>
          <w:sz w:val="18"/>
        </w:rPr>
        <w:t>civil</w:t>
      </w:r>
      <w:r>
        <w:rPr>
          <w:spacing w:val="-3"/>
          <w:sz w:val="18"/>
        </w:rPr>
        <w:t xml:space="preserve"> </w:t>
      </w:r>
      <w:r>
        <w:rPr>
          <w:sz w:val="18"/>
        </w:rPr>
        <w:t>liability</w:t>
      </w:r>
      <w:r>
        <w:rPr>
          <w:spacing w:val="-1"/>
          <w:sz w:val="18"/>
        </w:rPr>
        <w:t xml:space="preserve"> </w:t>
      </w:r>
      <w:r>
        <w:rPr>
          <w:sz w:val="18"/>
        </w:rPr>
        <w:t>whatsoever</w:t>
      </w:r>
      <w:r>
        <w:rPr>
          <w:spacing w:val="-2"/>
          <w:sz w:val="18"/>
        </w:rPr>
        <w:t xml:space="preserve"> </w:t>
      </w:r>
      <w:r>
        <w:rPr>
          <w:sz w:val="18"/>
        </w:rPr>
        <w:t>incurred</w:t>
      </w:r>
      <w:r>
        <w:rPr>
          <w:spacing w:val="-3"/>
          <w:sz w:val="18"/>
        </w:rPr>
        <w:t xml:space="preserve"> </w:t>
      </w:r>
      <w:r>
        <w:rPr>
          <w:sz w:val="18"/>
        </w:rPr>
        <w:t>in</w:t>
      </w:r>
      <w:r>
        <w:rPr>
          <w:spacing w:val="-3"/>
          <w:sz w:val="18"/>
        </w:rPr>
        <w:t xml:space="preserve"> </w:t>
      </w:r>
      <w:r>
        <w:rPr>
          <w:sz w:val="18"/>
        </w:rPr>
        <w:t>connection</w:t>
      </w:r>
      <w:r>
        <w:rPr>
          <w:spacing w:val="-3"/>
          <w:sz w:val="18"/>
        </w:rPr>
        <w:t xml:space="preserve"> </w:t>
      </w:r>
      <w:r>
        <w:rPr>
          <w:sz w:val="18"/>
        </w:rPr>
        <w:t>with</w:t>
      </w:r>
      <w:r>
        <w:rPr>
          <w:spacing w:val="-1"/>
          <w:sz w:val="18"/>
        </w:rPr>
        <w:t xml:space="preserve"> </w:t>
      </w:r>
      <w:r>
        <w:rPr>
          <w:sz w:val="18"/>
        </w:rPr>
        <w:t>the</w:t>
      </w:r>
      <w:r>
        <w:rPr>
          <w:spacing w:val="-1"/>
          <w:sz w:val="18"/>
        </w:rPr>
        <w:t xml:space="preserve"> </w:t>
      </w:r>
      <w:r>
        <w:rPr>
          <w:sz w:val="18"/>
        </w:rPr>
        <w:t>provision</w:t>
      </w:r>
      <w:r>
        <w:rPr>
          <w:spacing w:val="-3"/>
          <w:sz w:val="18"/>
        </w:rPr>
        <w:t xml:space="preserve"> </w:t>
      </w:r>
      <w:r>
        <w:rPr>
          <w:sz w:val="18"/>
        </w:rPr>
        <w:t>of legal services by the insured Law Practice.</w:t>
      </w:r>
    </w:p>
    <w:p w14:paraId="6494F954" w14:textId="77777777" w:rsidR="00AC6F3C" w:rsidRDefault="00AC6F3C">
      <w:pPr>
        <w:pStyle w:val="BodyText"/>
        <w:spacing w:before="10"/>
      </w:pPr>
    </w:p>
    <w:p w14:paraId="422DF4A4" w14:textId="77777777" w:rsidR="00AC6F3C" w:rsidRDefault="00570E88">
      <w:pPr>
        <w:spacing w:before="1"/>
        <w:ind w:left="958" w:right="888"/>
        <w:jc w:val="both"/>
        <w:rPr>
          <w:sz w:val="18"/>
        </w:rPr>
      </w:pPr>
      <w:r>
        <w:rPr>
          <w:sz w:val="18"/>
        </w:rPr>
        <w:t>Professional</w:t>
      </w:r>
      <w:r>
        <w:rPr>
          <w:spacing w:val="-2"/>
          <w:sz w:val="18"/>
        </w:rPr>
        <w:t xml:space="preserve"> </w:t>
      </w:r>
      <w:r>
        <w:rPr>
          <w:sz w:val="18"/>
        </w:rPr>
        <w:t>indemnity</w:t>
      </w:r>
      <w:r>
        <w:rPr>
          <w:spacing w:val="-1"/>
          <w:sz w:val="18"/>
        </w:rPr>
        <w:t xml:space="preserve"> </w:t>
      </w:r>
      <w:r>
        <w:rPr>
          <w:sz w:val="18"/>
        </w:rPr>
        <w:t>liability</w:t>
      </w:r>
      <w:r>
        <w:rPr>
          <w:spacing w:val="-4"/>
          <w:sz w:val="18"/>
        </w:rPr>
        <w:t xml:space="preserve"> </w:t>
      </w:r>
      <w:r>
        <w:rPr>
          <w:sz w:val="18"/>
        </w:rPr>
        <w:t>is generally considered a</w:t>
      </w:r>
      <w:r>
        <w:rPr>
          <w:spacing w:val="-2"/>
          <w:sz w:val="18"/>
        </w:rPr>
        <w:t xml:space="preserve"> </w:t>
      </w:r>
      <w:r>
        <w:rPr>
          <w:sz w:val="18"/>
        </w:rPr>
        <w:t>long</w:t>
      </w:r>
      <w:r>
        <w:rPr>
          <w:spacing w:val="-2"/>
          <w:sz w:val="18"/>
        </w:rPr>
        <w:t xml:space="preserve"> </w:t>
      </w:r>
      <w:r>
        <w:rPr>
          <w:sz w:val="18"/>
        </w:rPr>
        <w:t>tail</w:t>
      </w:r>
      <w:r>
        <w:rPr>
          <w:spacing w:val="-2"/>
          <w:sz w:val="18"/>
        </w:rPr>
        <w:t xml:space="preserve"> </w:t>
      </w:r>
      <w:r>
        <w:rPr>
          <w:sz w:val="18"/>
        </w:rPr>
        <w:t>line, as it</w:t>
      </w:r>
      <w:r>
        <w:rPr>
          <w:spacing w:val="-2"/>
          <w:sz w:val="18"/>
        </w:rPr>
        <w:t xml:space="preserve"> </w:t>
      </w:r>
      <w:r>
        <w:rPr>
          <w:sz w:val="18"/>
        </w:rPr>
        <w:t>takes</w:t>
      </w:r>
      <w:r>
        <w:rPr>
          <w:spacing w:val="-1"/>
          <w:sz w:val="18"/>
        </w:rPr>
        <w:t xml:space="preserve"> </w:t>
      </w:r>
      <w:r>
        <w:rPr>
          <w:sz w:val="18"/>
        </w:rPr>
        <w:t>a relatively</w:t>
      </w:r>
      <w:r>
        <w:rPr>
          <w:spacing w:val="-1"/>
          <w:sz w:val="18"/>
        </w:rPr>
        <w:t xml:space="preserve"> </w:t>
      </w:r>
      <w:r>
        <w:rPr>
          <w:sz w:val="18"/>
        </w:rPr>
        <w:t>long</w:t>
      </w:r>
      <w:r>
        <w:rPr>
          <w:spacing w:val="-2"/>
          <w:sz w:val="18"/>
        </w:rPr>
        <w:t xml:space="preserve"> </w:t>
      </w:r>
      <w:r>
        <w:rPr>
          <w:sz w:val="18"/>
        </w:rPr>
        <w:t>period of time</w:t>
      </w:r>
      <w:r>
        <w:rPr>
          <w:spacing w:val="-4"/>
          <w:sz w:val="18"/>
        </w:rPr>
        <w:t xml:space="preserve"> </w:t>
      </w:r>
      <w:r>
        <w:rPr>
          <w:sz w:val="18"/>
        </w:rPr>
        <w:t>to</w:t>
      </w:r>
      <w:r>
        <w:rPr>
          <w:spacing w:val="-1"/>
          <w:sz w:val="18"/>
        </w:rPr>
        <w:t xml:space="preserve"> </w:t>
      </w:r>
      <w:proofErr w:type="spellStart"/>
      <w:r>
        <w:rPr>
          <w:sz w:val="18"/>
        </w:rPr>
        <w:t>finalise</w:t>
      </w:r>
      <w:proofErr w:type="spellEnd"/>
      <w:r>
        <w:rPr>
          <w:spacing w:val="-1"/>
          <w:sz w:val="18"/>
        </w:rPr>
        <w:t xml:space="preserve"> </w:t>
      </w:r>
      <w:r>
        <w:rPr>
          <w:sz w:val="18"/>
        </w:rPr>
        <w:t>and</w:t>
      </w:r>
      <w:r>
        <w:rPr>
          <w:spacing w:val="-1"/>
          <w:sz w:val="18"/>
        </w:rPr>
        <w:t xml:space="preserve"> </w:t>
      </w:r>
      <w:r>
        <w:rPr>
          <w:sz w:val="18"/>
        </w:rPr>
        <w:t>settle</w:t>
      </w:r>
      <w:r>
        <w:rPr>
          <w:spacing w:val="-4"/>
          <w:sz w:val="18"/>
        </w:rPr>
        <w:t xml:space="preserve"> </w:t>
      </w:r>
      <w:r>
        <w:rPr>
          <w:sz w:val="18"/>
        </w:rPr>
        <w:t>claims</w:t>
      </w:r>
      <w:r>
        <w:rPr>
          <w:spacing w:val="-1"/>
          <w:sz w:val="18"/>
        </w:rPr>
        <w:t xml:space="preserve"> </w:t>
      </w:r>
      <w:r>
        <w:rPr>
          <w:sz w:val="18"/>
        </w:rPr>
        <w:t>for</w:t>
      </w:r>
      <w:r>
        <w:rPr>
          <w:spacing w:val="-4"/>
          <w:sz w:val="18"/>
        </w:rPr>
        <w:t xml:space="preserve"> </w:t>
      </w:r>
      <w:r>
        <w:rPr>
          <w:sz w:val="18"/>
        </w:rPr>
        <w:t>a</w:t>
      </w:r>
      <w:r>
        <w:rPr>
          <w:spacing w:val="-1"/>
          <w:sz w:val="18"/>
        </w:rPr>
        <w:t xml:space="preserve"> </w:t>
      </w:r>
      <w:r>
        <w:rPr>
          <w:sz w:val="18"/>
        </w:rPr>
        <w:t>given</w:t>
      </w:r>
      <w:r>
        <w:rPr>
          <w:spacing w:val="-4"/>
          <w:sz w:val="18"/>
        </w:rPr>
        <w:t xml:space="preserve"> </w:t>
      </w:r>
      <w:r>
        <w:rPr>
          <w:sz w:val="18"/>
        </w:rPr>
        <w:t>claim</w:t>
      </w:r>
      <w:r>
        <w:rPr>
          <w:spacing w:val="-1"/>
          <w:sz w:val="18"/>
        </w:rPr>
        <w:t xml:space="preserve"> </w:t>
      </w:r>
      <w:r>
        <w:rPr>
          <w:sz w:val="18"/>
        </w:rPr>
        <w:t>year.</w:t>
      </w:r>
      <w:r>
        <w:rPr>
          <w:spacing w:val="40"/>
          <w:sz w:val="18"/>
        </w:rPr>
        <w:t xml:space="preserve"> </w:t>
      </w:r>
      <w:r>
        <w:rPr>
          <w:sz w:val="18"/>
        </w:rPr>
        <w:t>The</w:t>
      </w:r>
      <w:r>
        <w:rPr>
          <w:spacing w:val="-4"/>
          <w:sz w:val="18"/>
        </w:rPr>
        <w:t xml:space="preserve"> </w:t>
      </w:r>
      <w:r>
        <w:rPr>
          <w:sz w:val="18"/>
        </w:rPr>
        <w:t>speed</w:t>
      </w:r>
      <w:r>
        <w:rPr>
          <w:spacing w:val="-4"/>
          <w:sz w:val="18"/>
        </w:rPr>
        <w:t xml:space="preserve"> </w:t>
      </w:r>
      <w:r>
        <w:rPr>
          <w:sz w:val="18"/>
        </w:rPr>
        <w:t>of</w:t>
      </w:r>
      <w:r>
        <w:rPr>
          <w:spacing w:val="-2"/>
          <w:sz w:val="18"/>
        </w:rPr>
        <w:t xml:space="preserve"> </w:t>
      </w:r>
      <w:r>
        <w:rPr>
          <w:sz w:val="18"/>
        </w:rPr>
        <w:t>claim</w:t>
      </w:r>
      <w:r>
        <w:rPr>
          <w:spacing w:val="-1"/>
          <w:sz w:val="18"/>
        </w:rPr>
        <w:t xml:space="preserve"> </w:t>
      </w:r>
      <w:r>
        <w:rPr>
          <w:sz w:val="18"/>
        </w:rPr>
        <w:t>reporting</w:t>
      </w:r>
      <w:r>
        <w:rPr>
          <w:spacing w:val="-1"/>
          <w:sz w:val="18"/>
        </w:rPr>
        <w:t xml:space="preserve"> </w:t>
      </w:r>
      <w:r>
        <w:rPr>
          <w:sz w:val="18"/>
        </w:rPr>
        <w:t>and</w:t>
      </w:r>
      <w:r>
        <w:rPr>
          <w:spacing w:val="-4"/>
          <w:sz w:val="18"/>
        </w:rPr>
        <w:t xml:space="preserve"> </w:t>
      </w:r>
      <w:r>
        <w:rPr>
          <w:sz w:val="18"/>
        </w:rPr>
        <w:t>claim</w:t>
      </w:r>
      <w:r>
        <w:rPr>
          <w:spacing w:val="-3"/>
          <w:sz w:val="18"/>
        </w:rPr>
        <w:t xml:space="preserve"> </w:t>
      </w:r>
      <w:r>
        <w:rPr>
          <w:sz w:val="18"/>
        </w:rPr>
        <w:t>settlement is a function of the specific coverage provided, the jurisdiction and specific policy provisions.</w:t>
      </w:r>
    </w:p>
    <w:p w14:paraId="780F0B58" w14:textId="77777777" w:rsidR="00AC6F3C" w:rsidRDefault="00AC6F3C">
      <w:pPr>
        <w:pStyle w:val="BodyText"/>
        <w:spacing w:before="10"/>
      </w:pPr>
    </w:p>
    <w:p w14:paraId="74333204" w14:textId="77777777" w:rsidR="00AC6F3C" w:rsidRDefault="00570E88">
      <w:pPr>
        <w:ind w:left="958" w:right="829"/>
        <w:rPr>
          <w:sz w:val="18"/>
        </w:rPr>
      </w:pPr>
      <w:r>
        <w:rPr>
          <w:sz w:val="18"/>
        </w:rPr>
        <w:t>This line is typically the largest source of uncertainty regarding claims reserves.</w:t>
      </w:r>
      <w:r>
        <w:rPr>
          <w:spacing w:val="40"/>
          <w:sz w:val="18"/>
        </w:rPr>
        <w:t xml:space="preserve"> </w:t>
      </w:r>
      <w:r>
        <w:rPr>
          <w:sz w:val="18"/>
        </w:rPr>
        <w:t>Major contributors to this provision estimate uncertainty include the reporting lag, the number of parties involved in the underlying action,</w:t>
      </w:r>
      <w:r>
        <w:rPr>
          <w:spacing w:val="-3"/>
          <w:sz w:val="18"/>
        </w:rPr>
        <w:t xml:space="preserve"> </w:t>
      </w:r>
      <w:r>
        <w:rPr>
          <w:sz w:val="18"/>
        </w:rPr>
        <w:t>the</w:t>
      </w:r>
      <w:r>
        <w:rPr>
          <w:spacing w:val="-2"/>
          <w:sz w:val="18"/>
        </w:rPr>
        <w:t xml:space="preserve"> </w:t>
      </w:r>
      <w:r>
        <w:rPr>
          <w:sz w:val="18"/>
        </w:rPr>
        <w:t>potential</w:t>
      </w:r>
      <w:r>
        <w:rPr>
          <w:spacing w:val="-5"/>
          <w:sz w:val="18"/>
        </w:rPr>
        <w:t xml:space="preserve"> </w:t>
      </w:r>
      <w:r>
        <w:rPr>
          <w:sz w:val="18"/>
        </w:rPr>
        <w:t>amounts</w:t>
      </w:r>
      <w:r>
        <w:rPr>
          <w:spacing w:val="-2"/>
          <w:sz w:val="18"/>
        </w:rPr>
        <w:t xml:space="preserve"> </w:t>
      </w:r>
      <w:r>
        <w:rPr>
          <w:sz w:val="18"/>
        </w:rPr>
        <w:t>involved</w:t>
      </w:r>
      <w:r>
        <w:rPr>
          <w:spacing w:val="-5"/>
          <w:sz w:val="18"/>
        </w:rPr>
        <w:t xml:space="preserve"> </w:t>
      </w:r>
      <w:r>
        <w:rPr>
          <w:sz w:val="18"/>
        </w:rPr>
        <w:t>and</w:t>
      </w:r>
      <w:r>
        <w:rPr>
          <w:spacing w:val="-5"/>
          <w:sz w:val="18"/>
        </w:rPr>
        <w:t xml:space="preserve"> </w:t>
      </w:r>
      <w:r>
        <w:rPr>
          <w:sz w:val="18"/>
        </w:rPr>
        <w:t>whether</w:t>
      </w:r>
      <w:r>
        <w:rPr>
          <w:spacing w:val="-3"/>
          <w:sz w:val="18"/>
        </w:rPr>
        <w:t xml:space="preserve"> </w:t>
      </w:r>
      <w:r>
        <w:rPr>
          <w:sz w:val="18"/>
        </w:rPr>
        <w:t>such</w:t>
      </w:r>
      <w:r>
        <w:rPr>
          <w:spacing w:val="-2"/>
          <w:sz w:val="18"/>
        </w:rPr>
        <w:t xml:space="preserve"> </w:t>
      </w:r>
      <w:r>
        <w:rPr>
          <w:sz w:val="18"/>
        </w:rPr>
        <w:t>claims</w:t>
      </w:r>
      <w:r>
        <w:rPr>
          <w:spacing w:val="-2"/>
          <w:sz w:val="18"/>
        </w:rPr>
        <w:t xml:space="preserve"> </w:t>
      </w:r>
      <w:r>
        <w:rPr>
          <w:sz w:val="18"/>
        </w:rPr>
        <w:t>were</w:t>
      </w:r>
      <w:r>
        <w:rPr>
          <w:spacing w:val="-2"/>
          <w:sz w:val="18"/>
        </w:rPr>
        <w:t xml:space="preserve"> </w:t>
      </w:r>
      <w:r>
        <w:rPr>
          <w:sz w:val="18"/>
        </w:rPr>
        <w:t>reasonably</w:t>
      </w:r>
      <w:r>
        <w:rPr>
          <w:spacing w:val="-2"/>
          <w:sz w:val="18"/>
        </w:rPr>
        <w:t xml:space="preserve"> </w:t>
      </w:r>
      <w:r>
        <w:rPr>
          <w:sz w:val="18"/>
        </w:rPr>
        <w:t>foreseeable</w:t>
      </w:r>
      <w:r>
        <w:rPr>
          <w:spacing w:val="-2"/>
          <w:sz w:val="18"/>
        </w:rPr>
        <w:t xml:space="preserve"> </w:t>
      </w:r>
      <w:r>
        <w:rPr>
          <w:sz w:val="18"/>
        </w:rPr>
        <w:t>and</w:t>
      </w:r>
      <w:r>
        <w:rPr>
          <w:spacing w:val="-3"/>
          <w:sz w:val="18"/>
        </w:rPr>
        <w:t xml:space="preserve"> </w:t>
      </w:r>
      <w:r>
        <w:rPr>
          <w:sz w:val="18"/>
        </w:rPr>
        <w:t>intended to be covered at the time the contracts were written.</w:t>
      </w:r>
      <w:r>
        <w:rPr>
          <w:spacing w:val="40"/>
          <w:sz w:val="18"/>
        </w:rPr>
        <w:t xml:space="preserve"> </w:t>
      </w:r>
      <w:r>
        <w:rPr>
          <w:sz w:val="18"/>
        </w:rPr>
        <w:t>Claims with longer reporting lag will result in greater inherent risk.</w:t>
      </w:r>
    </w:p>
    <w:p w14:paraId="6B12B7D1" w14:textId="77777777" w:rsidR="00AC6F3C" w:rsidRDefault="00AC6F3C">
      <w:pPr>
        <w:rPr>
          <w:sz w:val="18"/>
        </w:rPr>
        <w:sectPr w:rsidR="00AC6F3C">
          <w:pgSz w:w="11910" w:h="16840"/>
          <w:pgMar w:top="2020" w:right="1160" w:bottom="520" w:left="460" w:header="1228" w:footer="336" w:gutter="0"/>
          <w:cols w:space="720"/>
        </w:sectPr>
      </w:pPr>
    </w:p>
    <w:p w14:paraId="4822AA36" w14:textId="77777777" w:rsidR="00AC6F3C" w:rsidRDefault="00AC6F3C">
      <w:pPr>
        <w:pStyle w:val="BodyText"/>
      </w:pPr>
    </w:p>
    <w:p w14:paraId="74E8B8FF" w14:textId="77777777" w:rsidR="00AC6F3C" w:rsidRDefault="00570E88">
      <w:pPr>
        <w:tabs>
          <w:tab w:val="left" w:pos="1524"/>
        </w:tabs>
        <w:spacing w:before="249" w:line="322" w:lineRule="exact"/>
        <w:ind w:left="958"/>
        <w:rPr>
          <w:b/>
          <w:sz w:val="28"/>
        </w:rPr>
      </w:pPr>
      <w:r>
        <w:rPr>
          <w:b/>
          <w:spacing w:val="-5"/>
          <w:sz w:val="28"/>
        </w:rPr>
        <w:t>D2</w:t>
      </w:r>
      <w:r>
        <w:rPr>
          <w:b/>
          <w:sz w:val="28"/>
        </w:rPr>
        <w:tab/>
        <w:t>MANAGEMENT</w:t>
      </w:r>
      <w:r>
        <w:rPr>
          <w:b/>
          <w:spacing w:val="-7"/>
          <w:sz w:val="28"/>
        </w:rPr>
        <w:t xml:space="preserve"> </w:t>
      </w:r>
      <w:r>
        <w:rPr>
          <w:b/>
          <w:sz w:val="28"/>
        </w:rPr>
        <w:t>OF</w:t>
      </w:r>
      <w:r>
        <w:rPr>
          <w:b/>
          <w:spacing w:val="-7"/>
          <w:sz w:val="28"/>
        </w:rPr>
        <w:t xml:space="preserve"> </w:t>
      </w:r>
      <w:r>
        <w:rPr>
          <w:b/>
          <w:sz w:val="28"/>
        </w:rPr>
        <w:t>INSURANCE</w:t>
      </w:r>
      <w:r>
        <w:rPr>
          <w:b/>
          <w:spacing w:val="-5"/>
          <w:sz w:val="28"/>
        </w:rPr>
        <w:t xml:space="preserve"> </w:t>
      </w:r>
      <w:r>
        <w:rPr>
          <w:b/>
          <w:sz w:val="28"/>
        </w:rPr>
        <w:t>AND</w:t>
      </w:r>
      <w:r>
        <w:rPr>
          <w:b/>
          <w:spacing w:val="-7"/>
          <w:sz w:val="28"/>
        </w:rPr>
        <w:t xml:space="preserve"> </w:t>
      </w:r>
      <w:r>
        <w:rPr>
          <w:b/>
          <w:sz w:val="28"/>
        </w:rPr>
        <w:t>FINANCIAL</w:t>
      </w:r>
      <w:r>
        <w:rPr>
          <w:b/>
          <w:spacing w:val="-6"/>
          <w:sz w:val="28"/>
        </w:rPr>
        <w:t xml:space="preserve"> </w:t>
      </w:r>
      <w:r>
        <w:rPr>
          <w:b/>
          <w:spacing w:val="-4"/>
          <w:sz w:val="28"/>
        </w:rPr>
        <w:t>RISK</w:t>
      </w:r>
    </w:p>
    <w:p w14:paraId="1F0E179C" w14:textId="77777777" w:rsidR="00AC6F3C" w:rsidRDefault="00570E88">
      <w:pPr>
        <w:spacing w:line="322" w:lineRule="exact"/>
        <w:ind w:left="1524"/>
        <w:rPr>
          <w:b/>
          <w:sz w:val="28"/>
        </w:rPr>
      </w:pPr>
      <w:r>
        <w:rPr>
          <w:b/>
          <w:spacing w:val="-2"/>
          <w:sz w:val="28"/>
        </w:rPr>
        <w:t>(continued)</w:t>
      </w:r>
    </w:p>
    <w:p w14:paraId="7AAC70A5" w14:textId="77777777" w:rsidR="00AC6F3C" w:rsidRDefault="00570E88">
      <w:pPr>
        <w:pStyle w:val="Heading7"/>
        <w:tabs>
          <w:tab w:val="left" w:pos="1810"/>
        </w:tabs>
      </w:pPr>
      <w:r>
        <w:rPr>
          <w:spacing w:val="-2"/>
        </w:rPr>
        <w:t>D2-</w:t>
      </w:r>
      <w:r>
        <w:rPr>
          <w:spacing w:val="-10"/>
        </w:rPr>
        <w:t>1</w:t>
      </w:r>
      <w:r>
        <w:tab/>
        <w:t>INSURANCE</w:t>
      </w:r>
      <w:r>
        <w:rPr>
          <w:spacing w:val="-3"/>
        </w:rPr>
        <w:t xml:space="preserve"> </w:t>
      </w:r>
      <w:r>
        <w:t>RISK</w:t>
      </w:r>
      <w:r>
        <w:rPr>
          <w:spacing w:val="-3"/>
        </w:rPr>
        <w:t xml:space="preserve"> </w:t>
      </w:r>
      <w:r>
        <w:rPr>
          <w:spacing w:val="-2"/>
        </w:rPr>
        <w:t>(continued)</w:t>
      </w:r>
    </w:p>
    <w:p w14:paraId="446A53E4" w14:textId="77777777" w:rsidR="00AC6F3C" w:rsidRDefault="00AC6F3C">
      <w:pPr>
        <w:pStyle w:val="BodyText"/>
        <w:spacing w:before="9"/>
        <w:rPr>
          <w:b/>
        </w:rPr>
      </w:pPr>
    </w:p>
    <w:p w14:paraId="3E2125AC" w14:textId="77777777" w:rsidR="00AC6F3C" w:rsidRDefault="00570E88">
      <w:pPr>
        <w:ind w:left="958"/>
        <w:rPr>
          <w:b/>
          <w:sz w:val="20"/>
        </w:rPr>
      </w:pPr>
      <w:r>
        <w:rPr>
          <w:b/>
          <w:sz w:val="20"/>
        </w:rPr>
        <w:t>(c)</w:t>
      </w:r>
      <w:r>
        <w:rPr>
          <w:b/>
          <w:spacing w:val="44"/>
          <w:sz w:val="20"/>
        </w:rPr>
        <w:t xml:space="preserve"> </w:t>
      </w:r>
      <w:r>
        <w:rPr>
          <w:b/>
          <w:sz w:val="20"/>
        </w:rPr>
        <w:t>Terms</w:t>
      </w:r>
      <w:r>
        <w:rPr>
          <w:b/>
          <w:spacing w:val="-5"/>
          <w:sz w:val="20"/>
        </w:rPr>
        <w:t xml:space="preserve"> </w:t>
      </w:r>
      <w:r>
        <w:rPr>
          <w:b/>
          <w:sz w:val="20"/>
        </w:rPr>
        <w:t>and</w:t>
      </w:r>
      <w:r>
        <w:rPr>
          <w:b/>
          <w:spacing w:val="-7"/>
          <w:sz w:val="20"/>
        </w:rPr>
        <w:t xml:space="preserve"> </w:t>
      </w:r>
      <w:r>
        <w:rPr>
          <w:b/>
          <w:sz w:val="20"/>
        </w:rPr>
        <w:t>conditions</w:t>
      </w:r>
      <w:r>
        <w:rPr>
          <w:b/>
          <w:spacing w:val="-7"/>
          <w:sz w:val="20"/>
        </w:rPr>
        <w:t xml:space="preserve"> </w:t>
      </w:r>
      <w:r>
        <w:rPr>
          <w:b/>
          <w:sz w:val="20"/>
        </w:rPr>
        <w:t>of</w:t>
      </w:r>
      <w:r>
        <w:rPr>
          <w:b/>
          <w:spacing w:val="-6"/>
          <w:sz w:val="20"/>
        </w:rPr>
        <w:t xml:space="preserve"> </w:t>
      </w:r>
      <w:r>
        <w:rPr>
          <w:b/>
          <w:sz w:val="20"/>
        </w:rPr>
        <w:t>insurance</w:t>
      </w:r>
      <w:r>
        <w:rPr>
          <w:b/>
          <w:spacing w:val="-7"/>
          <w:sz w:val="20"/>
        </w:rPr>
        <w:t xml:space="preserve"> </w:t>
      </w:r>
      <w:r>
        <w:rPr>
          <w:b/>
          <w:sz w:val="20"/>
        </w:rPr>
        <w:t>contracts</w:t>
      </w:r>
      <w:r>
        <w:rPr>
          <w:b/>
          <w:spacing w:val="-7"/>
          <w:sz w:val="20"/>
        </w:rPr>
        <w:t xml:space="preserve"> </w:t>
      </w:r>
      <w:r>
        <w:rPr>
          <w:b/>
          <w:spacing w:val="-2"/>
          <w:sz w:val="20"/>
        </w:rPr>
        <w:t>(continued)</w:t>
      </w:r>
    </w:p>
    <w:p w14:paraId="18AF1B24" w14:textId="77777777" w:rsidR="00AC6F3C" w:rsidRDefault="00AC6F3C">
      <w:pPr>
        <w:pStyle w:val="BodyText"/>
        <w:spacing w:before="9"/>
        <w:rPr>
          <w:b/>
        </w:rPr>
      </w:pPr>
    </w:p>
    <w:p w14:paraId="10B0FDE3" w14:textId="77777777" w:rsidR="00AC6F3C" w:rsidRDefault="00570E88">
      <w:pPr>
        <w:spacing w:before="1"/>
        <w:ind w:left="958"/>
        <w:rPr>
          <w:b/>
          <w:sz w:val="18"/>
        </w:rPr>
      </w:pPr>
      <w:r>
        <w:rPr>
          <w:b/>
          <w:sz w:val="18"/>
        </w:rPr>
        <w:t>Management</w:t>
      </w:r>
      <w:r>
        <w:rPr>
          <w:b/>
          <w:spacing w:val="-4"/>
          <w:sz w:val="18"/>
        </w:rPr>
        <w:t xml:space="preserve"> </w:t>
      </w:r>
      <w:r>
        <w:rPr>
          <w:b/>
          <w:sz w:val="18"/>
        </w:rPr>
        <w:t>of</w:t>
      </w:r>
      <w:r>
        <w:rPr>
          <w:b/>
          <w:spacing w:val="-1"/>
          <w:sz w:val="18"/>
        </w:rPr>
        <w:t xml:space="preserve"> </w:t>
      </w:r>
      <w:r>
        <w:rPr>
          <w:b/>
          <w:spacing w:val="-4"/>
          <w:sz w:val="18"/>
        </w:rPr>
        <w:t>risks</w:t>
      </w:r>
    </w:p>
    <w:p w14:paraId="71089DB7" w14:textId="77777777" w:rsidR="00AC6F3C" w:rsidRDefault="00AC6F3C">
      <w:pPr>
        <w:pStyle w:val="BodyText"/>
        <w:spacing w:before="9"/>
        <w:rPr>
          <w:b/>
        </w:rPr>
      </w:pPr>
    </w:p>
    <w:p w14:paraId="729774C8" w14:textId="77777777" w:rsidR="00AC6F3C" w:rsidRDefault="00570E88">
      <w:pPr>
        <w:ind w:left="958"/>
        <w:rPr>
          <w:sz w:val="18"/>
        </w:rPr>
      </w:pPr>
      <w:r>
        <w:rPr>
          <w:sz w:val="18"/>
        </w:rPr>
        <w:t>The</w:t>
      </w:r>
      <w:r>
        <w:rPr>
          <w:spacing w:val="-4"/>
          <w:sz w:val="18"/>
        </w:rPr>
        <w:t xml:space="preserve"> </w:t>
      </w:r>
      <w:r>
        <w:rPr>
          <w:sz w:val="18"/>
        </w:rPr>
        <w:t>key</w:t>
      </w:r>
      <w:r>
        <w:rPr>
          <w:spacing w:val="-2"/>
          <w:sz w:val="18"/>
        </w:rPr>
        <w:t xml:space="preserve"> </w:t>
      </w:r>
      <w:r>
        <w:rPr>
          <w:sz w:val="18"/>
        </w:rPr>
        <w:t>risks</w:t>
      </w:r>
      <w:r>
        <w:rPr>
          <w:spacing w:val="-3"/>
          <w:sz w:val="18"/>
        </w:rPr>
        <w:t xml:space="preserve"> </w:t>
      </w:r>
      <w:r>
        <w:rPr>
          <w:sz w:val="18"/>
        </w:rPr>
        <w:t>associated</w:t>
      </w:r>
      <w:r>
        <w:rPr>
          <w:spacing w:val="-2"/>
          <w:sz w:val="18"/>
        </w:rPr>
        <w:t xml:space="preserve"> </w:t>
      </w:r>
      <w:r>
        <w:rPr>
          <w:sz w:val="18"/>
        </w:rPr>
        <w:t>with</w:t>
      </w:r>
      <w:r>
        <w:rPr>
          <w:spacing w:val="-1"/>
          <w:sz w:val="18"/>
        </w:rPr>
        <w:t xml:space="preserve"> </w:t>
      </w:r>
      <w:r>
        <w:rPr>
          <w:sz w:val="18"/>
        </w:rPr>
        <w:t>this</w:t>
      </w:r>
      <w:r>
        <w:rPr>
          <w:spacing w:val="-4"/>
          <w:sz w:val="18"/>
        </w:rPr>
        <w:t xml:space="preserve"> </w:t>
      </w:r>
      <w:r>
        <w:rPr>
          <w:sz w:val="18"/>
        </w:rPr>
        <w:t>product</w:t>
      </w:r>
      <w:r>
        <w:rPr>
          <w:spacing w:val="-4"/>
          <w:sz w:val="18"/>
        </w:rPr>
        <w:t xml:space="preserve"> </w:t>
      </w:r>
      <w:r>
        <w:rPr>
          <w:sz w:val="18"/>
        </w:rPr>
        <w:t>are</w:t>
      </w:r>
      <w:r>
        <w:rPr>
          <w:spacing w:val="-2"/>
          <w:sz w:val="18"/>
        </w:rPr>
        <w:t xml:space="preserve"> </w:t>
      </w:r>
      <w:r>
        <w:rPr>
          <w:sz w:val="18"/>
        </w:rPr>
        <w:t>underwriting</w:t>
      </w:r>
      <w:r>
        <w:rPr>
          <w:spacing w:val="-4"/>
          <w:sz w:val="18"/>
        </w:rPr>
        <w:t xml:space="preserve"> </w:t>
      </w:r>
      <w:r>
        <w:rPr>
          <w:sz w:val="18"/>
        </w:rPr>
        <w:t>risk</w:t>
      </w:r>
      <w:r>
        <w:rPr>
          <w:spacing w:val="-2"/>
          <w:sz w:val="18"/>
        </w:rPr>
        <w:t xml:space="preserve"> </w:t>
      </w:r>
      <w:r>
        <w:rPr>
          <w:sz w:val="18"/>
        </w:rPr>
        <w:t>and</w:t>
      </w:r>
      <w:r>
        <w:rPr>
          <w:spacing w:val="-4"/>
          <w:sz w:val="18"/>
        </w:rPr>
        <w:t xml:space="preserve"> </w:t>
      </w:r>
      <w:r>
        <w:rPr>
          <w:sz w:val="18"/>
        </w:rPr>
        <w:t>claims</w:t>
      </w:r>
      <w:r>
        <w:rPr>
          <w:spacing w:val="-2"/>
          <w:sz w:val="18"/>
        </w:rPr>
        <w:t xml:space="preserve"> </w:t>
      </w:r>
      <w:r>
        <w:rPr>
          <w:sz w:val="18"/>
        </w:rPr>
        <w:t>experience</w:t>
      </w:r>
      <w:r>
        <w:rPr>
          <w:spacing w:val="-1"/>
          <w:sz w:val="18"/>
        </w:rPr>
        <w:t xml:space="preserve"> </w:t>
      </w:r>
      <w:r>
        <w:rPr>
          <w:spacing w:val="-2"/>
          <w:sz w:val="18"/>
        </w:rPr>
        <w:t>risk.</w:t>
      </w:r>
    </w:p>
    <w:p w14:paraId="37680DE0" w14:textId="77777777" w:rsidR="00AC6F3C" w:rsidRDefault="00AC6F3C">
      <w:pPr>
        <w:pStyle w:val="BodyText"/>
        <w:spacing w:before="9"/>
      </w:pPr>
    </w:p>
    <w:p w14:paraId="2DE90F89" w14:textId="77777777" w:rsidR="00AC6F3C" w:rsidRDefault="00570E88">
      <w:pPr>
        <w:ind w:left="958" w:right="857"/>
        <w:rPr>
          <w:sz w:val="18"/>
        </w:rPr>
      </w:pPr>
      <w:r>
        <w:rPr>
          <w:sz w:val="18"/>
        </w:rPr>
        <w:t xml:space="preserve">Underwriting risk includes the risk of higher claims cost than expected owing to the random nature of claims and their frequency and severity and the risk of change in legal or economic conditions or </w:t>
      </w:r>
      <w:proofErr w:type="spellStart"/>
      <w:r>
        <w:rPr>
          <w:sz w:val="18"/>
        </w:rPr>
        <w:t>behavioural</w:t>
      </w:r>
      <w:proofErr w:type="spellEnd"/>
      <w:r>
        <w:rPr>
          <w:spacing w:val="-4"/>
          <w:sz w:val="18"/>
        </w:rPr>
        <w:t xml:space="preserve"> </w:t>
      </w:r>
      <w:r>
        <w:rPr>
          <w:sz w:val="18"/>
        </w:rPr>
        <w:t>patterns</w:t>
      </w:r>
      <w:r>
        <w:rPr>
          <w:spacing w:val="-3"/>
          <w:sz w:val="18"/>
        </w:rPr>
        <w:t xml:space="preserve"> </w:t>
      </w:r>
      <w:r>
        <w:rPr>
          <w:sz w:val="18"/>
        </w:rPr>
        <w:t>affecting</w:t>
      </w:r>
      <w:r>
        <w:rPr>
          <w:spacing w:val="-4"/>
          <w:sz w:val="18"/>
        </w:rPr>
        <w:t xml:space="preserve"> </w:t>
      </w:r>
      <w:r>
        <w:rPr>
          <w:sz w:val="18"/>
        </w:rPr>
        <w:t>reinsurance</w:t>
      </w:r>
      <w:r>
        <w:rPr>
          <w:spacing w:val="-4"/>
          <w:sz w:val="18"/>
        </w:rPr>
        <w:t xml:space="preserve"> </w:t>
      </w:r>
      <w:r>
        <w:rPr>
          <w:sz w:val="18"/>
        </w:rPr>
        <w:t>pricing</w:t>
      </w:r>
      <w:r>
        <w:rPr>
          <w:spacing w:val="-4"/>
          <w:sz w:val="18"/>
        </w:rPr>
        <w:t xml:space="preserve"> </w:t>
      </w:r>
      <w:r>
        <w:rPr>
          <w:sz w:val="18"/>
        </w:rPr>
        <w:t>and</w:t>
      </w:r>
      <w:r>
        <w:rPr>
          <w:spacing w:val="-4"/>
          <w:sz w:val="18"/>
        </w:rPr>
        <w:t xml:space="preserve"> </w:t>
      </w:r>
      <w:r>
        <w:rPr>
          <w:sz w:val="18"/>
        </w:rPr>
        <w:t>conditions</w:t>
      </w:r>
      <w:r>
        <w:rPr>
          <w:spacing w:val="-3"/>
          <w:sz w:val="18"/>
        </w:rPr>
        <w:t xml:space="preserve"> </w:t>
      </w:r>
      <w:r>
        <w:rPr>
          <w:sz w:val="18"/>
        </w:rPr>
        <w:t>of</w:t>
      </w:r>
      <w:r>
        <w:rPr>
          <w:spacing w:val="-2"/>
          <w:sz w:val="18"/>
        </w:rPr>
        <w:t xml:space="preserve"> </w:t>
      </w:r>
      <w:r>
        <w:rPr>
          <w:sz w:val="18"/>
        </w:rPr>
        <w:t>reinsurance</w:t>
      </w:r>
      <w:r>
        <w:rPr>
          <w:spacing w:val="-4"/>
          <w:sz w:val="18"/>
        </w:rPr>
        <w:t xml:space="preserve"> </w:t>
      </w:r>
      <w:r>
        <w:rPr>
          <w:sz w:val="18"/>
        </w:rPr>
        <w:t>cover.</w:t>
      </w:r>
      <w:r>
        <w:rPr>
          <w:spacing w:val="40"/>
          <w:sz w:val="18"/>
        </w:rPr>
        <w:t xml:space="preserve"> </w:t>
      </w:r>
      <w:r>
        <w:rPr>
          <w:sz w:val="18"/>
        </w:rPr>
        <w:t>This</w:t>
      </w:r>
      <w:r>
        <w:rPr>
          <w:spacing w:val="-1"/>
          <w:sz w:val="18"/>
        </w:rPr>
        <w:t xml:space="preserve"> </w:t>
      </w:r>
      <w:r>
        <w:rPr>
          <w:sz w:val="18"/>
        </w:rPr>
        <w:t>may</w:t>
      </w:r>
      <w:r>
        <w:rPr>
          <w:spacing w:val="-1"/>
          <w:sz w:val="18"/>
        </w:rPr>
        <w:t xml:space="preserve"> </w:t>
      </w:r>
      <w:r>
        <w:rPr>
          <w:sz w:val="18"/>
        </w:rPr>
        <w:t>result</w:t>
      </w:r>
      <w:r>
        <w:rPr>
          <w:spacing w:val="-2"/>
          <w:sz w:val="18"/>
        </w:rPr>
        <w:t xml:space="preserve"> </w:t>
      </w:r>
      <w:r>
        <w:rPr>
          <w:sz w:val="18"/>
        </w:rPr>
        <w:t>in the Group having either too little premium for the risks it has agreed to underwrite and hence, has not enough funds to invest and pay claims, or that claims are in excess of those expected.</w:t>
      </w:r>
    </w:p>
    <w:p w14:paraId="6105C758" w14:textId="77777777" w:rsidR="00AC6F3C" w:rsidRDefault="00AC6F3C">
      <w:pPr>
        <w:rPr>
          <w:sz w:val="18"/>
        </w:rPr>
        <w:sectPr w:rsidR="00AC6F3C">
          <w:pgSz w:w="11910" w:h="16840"/>
          <w:pgMar w:top="2020" w:right="1160" w:bottom="520" w:left="460" w:header="1228" w:footer="336" w:gutter="0"/>
          <w:cols w:space="720"/>
        </w:sectPr>
      </w:pPr>
    </w:p>
    <w:p w14:paraId="35BD6D3C" w14:textId="77777777" w:rsidR="00AC6F3C" w:rsidRDefault="00AC6F3C">
      <w:pPr>
        <w:pStyle w:val="BodyText"/>
      </w:pPr>
    </w:p>
    <w:p w14:paraId="3F1470B6" w14:textId="77777777" w:rsidR="00AC6F3C" w:rsidRDefault="00570E88">
      <w:pPr>
        <w:spacing w:before="249" w:line="322" w:lineRule="exact"/>
        <w:ind w:left="958"/>
        <w:jc w:val="both"/>
        <w:rPr>
          <w:b/>
          <w:sz w:val="28"/>
        </w:rPr>
      </w:pPr>
      <w:r>
        <w:rPr>
          <w:b/>
          <w:sz w:val="28"/>
        </w:rPr>
        <w:t>D2</w:t>
      </w:r>
      <w:r>
        <w:rPr>
          <w:b/>
          <w:spacing w:val="78"/>
          <w:w w:val="150"/>
          <w:sz w:val="28"/>
        </w:rPr>
        <w:t xml:space="preserve"> </w:t>
      </w:r>
      <w:r>
        <w:rPr>
          <w:b/>
          <w:sz w:val="28"/>
        </w:rPr>
        <w:t>MANAGEMENT</w:t>
      </w:r>
      <w:r>
        <w:rPr>
          <w:b/>
          <w:spacing w:val="-5"/>
          <w:sz w:val="28"/>
        </w:rPr>
        <w:t xml:space="preserve"> </w:t>
      </w:r>
      <w:r>
        <w:rPr>
          <w:b/>
          <w:sz w:val="28"/>
        </w:rPr>
        <w:t>OF</w:t>
      </w:r>
      <w:r>
        <w:rPr>
          <w:b/>
          <w:spacing w:val="-4"/>
          <w:sz w:val="28"/>
        </w:rPr>
        <w:t xml:space="preserve"> </w:t>
      </w:r>
      <w:r>
        <w:rPr>
          <w:b/>
          <w:sz w:val="28"/>
        </w:rPr>
        <w:t>INSURANCE</w:t>
      </w:r>
      <w:r>
        <w:rPr>
          <w:b/>
          <w:spacing w:val="-3"/>
          <w:sz w:val="28"/>
        </w:rPr>
        <w:t xml:space="preserve"> </w:t>
      </w:r>
      <w:r>
        <w:rPr>
          <w:b/>
          <w:sz w:val="28"/>
        </w:rPr>
        <w:t>AND</w:t>
      </w:r>
      <w:r>
        <w:rPr>
          <w:b/>
          <w:spacing w:val="-4"/>
          <w:sz w:val="28"/>
        </w:rPr>
        <w:t xml:space="preserve"> </w:t>
      </w:r>
      <w:r>
        <w:rPr>
          <w:b/>
          <w:sz w:val="28"/>
        </w:rPr>
        <w:t>FINANCIAL</w:t>
      </w:r>
      <w:r>
        <w:rPr>
          <w:b/>
          <w:spacing w:val="-4"/>
          <w:sz w:val="28"/>
        </w:rPr>
        <w:t xml:space="preserve"> RISK</w:t>
      </w:r>
    </w:p>
    <w:p w14:paraId="0E34CEC3" w14:textId="77777777" w:rsidR="00AC6F3C" w:rsidRDefault="00570E88">
      <w:pPr>
        <w:spacing w:line="322" w:lineRule="exact"/>
        <w:ind w:left="1524"/>
        <w:rPr>
          <w:b/>
          <w:sz w:val="28"/>
        </w:rPr>
      </w:pPr>
      <w:r>
        <w:rPr>
          <w:b/>
          <w:spacing w:val="-2"/>
          <w:sz w:val="28"/>
        </w:rPr>
        <w:t>(continued)</w:t>
      </w:r>
    </w:p>
    <w:p w14:paraId="1AECBDBF" w14:textId="77777777" w:rsidR="00AC6F3C" w:rsidRDefault="00570E88">
      <w:pPr>
        <w:pStyle w:val="Heading7"/>
        <w:jc w:val="both"/>
      </w:pPr>
      <w:r>
        <w:t>D2-1</w:t>
      </w:r>
      <w:r>
        <w:rPr>
          <w:spacing w:val="62"/>
          <w:w w:val="150"/>
        </w:rPr>
        <w:t xml:space="preserve">  </w:t>
      </w:r>
      <w:r>
        <w:t>INSURANCE</w:t>
      </w:r>
      <w:r>
        <w:rPr>
          <w:spacing w:val="-1"/>
        </w:rPr>
        <w:t xml:space="preserve"> </w:t>
      </w:r>
      <w:r>
        <w:t>RISK</w:t>
      </w:r>
      <w:r>
        <w:rPr>
          <w:spacing w:val="-1"/>
        </w:rPr>
        <w:t xml:space="preserve"> </w:t>
      </w:r>
      <w:r>
        <w:rPr>
          <w:spacing w:val="-2"/>
        </w:rPr>
        <w:t>(continued)</w:t>
      </w:r>
    </w:p>
    <w:p w14:paraId="073816FE" w14:textId="77777777" w:rsidR="00AC6F3C" w:rsidRDefault="00AC6F3C">
      <w:pPr>
        <w:pStyle w:val="BodyText"/>
        <w:spacing w:before="9"/>
        <w:rPr>
          <w:b/>
        </w:rPr>
      </w:pPr>
    </w:p>
    <w:p w14:paraId="0DD6B025" w14:textId="77777777" w:rsidR="00AC6F3C" w:rsidRDefault="00570E88">
      <w:pPr>
        <w:ind w:left="958"/>
        <w:rPr>
          <w:b/>
          <w:sz w:val="20"/>
        </w:rPr>
      </w:pPr>
      <w:r>
        <w:rPr>
          <w:b/>
          <w:sz w:val="20"/>
        </w:rPr>
        <w:t>(c)</w:t>
      </w:r>
      <w:r>
        <w:rPr>
          <w:b/>
          <w:spacing w:val="46"/>
          <w:sz w:val="20"/>
        </w:rPr>
        <w:t xml:space="preserve"> </w:t>
      </w:r>
      <w:r>
        <w:rPr>
          <w:b/>
          <w:sz w:val="20"/>
        </w:rPr>
        <w:t>Terms</w:t>
      </w:r>
      <w:r>
        <w:rPr>
          <w:b/>
          <w:spacing w:val="-5"/>
          <w:sz w:val="20"/>
        </w:rPr>
        <w:t xml:space="preserve"> </w:t>
      </w:r>
      <w:r>
        <w:rPr>
          <w:b/>
          <w:sz w:val="20"/>
        </w:rPr>
        <w:t>and</w:t>
      </w:r>
      <w:r>
        <w:rPr>
          <w:b/>
          <w:spacing w:val="-7"/>
          <w:sz w:val="20"/>
        </w:rPr>
        <w:t xml:space="preserve"> </w:t>
      </w:r>
      <w:r>
        <w:rPr>
          <w:b/>
          <w:sz w:val="20"/>
        </w:rPr>
        <w:t>conditions</w:t>
      </w:r>
      <w:r>
        <w:rPr>
          <w:b/>
          <w:spacing w:val="-7"/>
          <w:sz w:val="20"/>
        </w:rPr>
        <w:t xml:space="preserve"> </w:t>
      </w:r>
      <w:r>
        <w:rPr>
          <w:b/>
          <w:sz w:val="20"/>
        </w:rPr>
        <w:t>of</w:t>
      </w:r>
      <w:r>
        <w:rPr>
          <w:b/>
          <w:spacing w:val="-6"/>
          <w:sz w:val="20"/>
        </w:rPr>
        <w:t xml:space="preserve"> </w:t>
      </w:r>
      <w:r>
        <w:rPr>
          <w:b/>
          <w:sz w:val="20"/>
        </w:rPr>
        <w:t>insurance</w:t>
      </w:r>
      <w:r>
        <w:rPr>
          <w:b/>
          <w:spacing w:val="-7"/>
          <w:sz w:val="20"/>
        </w:rPr>
        <w:t xml:space="preserve"> </w:t>
      </w:r>
      <w:r>
        <w:rPr>
          <w:b/>
          <w:sz w:val="20"/>
        </w:rPr>
        <w:t>contracts</w:t>
      </w:r>
      <w:r>
        <w:rPr>
          <w:b/>
          <w:spacing w:val="-7"/>
          <w:sz w:val="20"/>
        </w:rPr>
        <w:t xml:space="preserve"> </w:t>
      </w:r>
      <w:r>
        <w:rPr>
          <w:b/>
          <w:spacing w:val="-2"/>
          <w:sz w:val="20"/>
        </w:rPr>
        <w:t>(continued)</w:t>
      </w:r>
    </w:p>
    <w:p w14:paraId="003032D1" w14:textId="77777777" w:rsidR="00AC6F3C" w:rsidRDefault="00AC6F3C">
      <w:pPr>
        <w:pStyle w:val="BodyText"/>
        <w:spacing w:before="9"/>
        <w:rPr>
          <w:b/>
        </w:rPr>
      </w:pPr>
    </w:p>
    <w:p w14:paraId="541A3851" w14:textId="77777777" w:rsidR="00AC6F3C" w:rsidRDefault="00570E88">
      <w:pPr>
        <w:spacing w:before="1"/>
        <w:ind w:left="958"/>
        <w:jc w:val="both"/>
        <w:rPr>
          <w:b/>
          <w:sz w:val="18"/>
        </w:rPr>
      </w:pPr>
      <w:r>
        <w:rPr>
          <w:b/>
          <w:sz w:val="18"/>
        </w:rPr>
        <w:t>Claims</w:t>
      </w:r>
      <w:r>
        <w:rPr>
          <w:b/>
          <w:spacing w:val="-3"/>
          <w:sz w:val="18"/>
        </w:rPr>
        <w:t xml:space="preserve"> </w:t>
      </w:r>
      <w:r>
        <w:rPr>
          <w:b/>
          <w:sz w:val="18"/>
        </w:rPr>
        <w:t>development</w:t>
      </w:r>
      <w:r>
        <w:rPr>
          <w:b/>
          <w:spacing w:val="-3"/>
          <w:sz w:val="18"/>
        </w:rPr>
        <w:t xml:space="preserve"> </w:t>
      </w:r>
      <w:r>
        <w:rPr>
          <w:b/>
          <w:spacing w:val="-2"/>
          <w:sz w:val="18"/>
        </w:rPr>
        <w:t>history</w:t>
      </w:r>
    </w:p>
    <w:p w14:paraId="0CEF64B4" w14:textId="77777777" w:rsidR="00AC6F3C" w:rsidRDefault="00AC6F3C">
      <w:pPr>
        <w:pStyle w:val="BodyText"/>
        <w:spacing w:before="4"/>
        <w:rPr>
          <w:b/>
          <w:sz w:val="21"/>
        </w:rPr>
      </w:pPr>
    </w:p>
    <w:tbl>
      <w:tblPr>
        <w:tblW w:w="0" w:type="auto"/>
        <w:tblInd w:w="972" w:type="dxa"/>
        <w:tblLayout w:type="fixed"/>
        <w:tblCellMar>
          <w:left w:w="0" w:type="dxa"/>
          <w:right w:w="0" w:type="dxa"/>
        </w:tblCellMar>
        <w:tblLook w:val="01E0" w:firstRow="1" w:lastRow="1" w:firstColumn="1" w:lastColumn="1" w:noHBand="0" w:noVBand="0"/>
      </w:tblPr>
      <w:tblGrid>
        <w:gridCol w:w="3029"/>
        <w:gridCol w:w="694"/>
        <w:gridCol w:w="694"/>
        <w:gridCol w:w="671"/>
        <w:gridCol w:w="718"/>
        <w:gridCol w:w="695"/>
        <w:gridCol w:w="695"/>
        <w:gridCol w:w="563"/>
        <w:gridCol w:w="732"/>
      </w:tblGrid>
      <w:tr w:rsidR="00AC6F3C" w14:paraId="076E15A7" w14:textId="77777777">
        <w:trPr>
          <w:trHeight w:val="3170"/>
        </w:trPr>
        <w:tc>
          <w:tcPr>
            <w:tcW w:w="8491" w:type="dxa"/>
            <w:gridSpan w:val="9"/>
            <w:tcBorders>
              <w:top w:val="single" w:sz="6" w:space="0" w:color="000000"/>
              <w:left w:val="single" w:sz="6" w:space="0" w:color="000000"/>
              <w:right w:val="single" w:sz="6" w:space="0" w:color="000000"/>
            </w:tcBorders>
          </w:tcPr>
          <w:p w14:paraId="56F7171E" w14:textId="77777777" w:rsidR="00AC6F3C" w:rsidRDefault="00570E88">
            <w:pPr>
              <w:pStyle w:val="TableParagraph"/>
              <w:tabs>
                <w:tab w:val="left" w:pos="4423"/>
                <w:tab w:val="left" w:pos="5116"/>
                <w:tab w:val="left" w:pos="5810"/>
                <w:tab w:val="left" w:pos="6503"/>
                <w:tab w:val="left" w:pos="7196"/>
                <w:tab w:val="left" w:pos="7987"/>
              </w:tabs>
              <w:spacing w:before="2" w:line="208" w:lineRule="exact"/>
              <w:ind w:left="2971"/>
              <w:rPr>
                <w:sz w:val="13"/>
              </w:rPr>
            </w:pPr>
            <w:r>
              <w:rPr>
                <w:position w:val="9"/>
                <w:sz w:val="13"/>
              </w:rPr>
              <w:t>2016/17</w:t>
            </w:r>
            <w:r>
              <w:rPr>
                <w:spacing w:val="-1"/>
                <w:position w:val="9"/>
                <w:sz w:val="13"/>
              </w:rPr>
              <w:t xml:space="preserve"> </w:t>
            </w:r>
            <w:r>
              <w:rPr>
                <w:position w:val="9"/>
                <w:sz w:val="13"/>
              </w:rPr>
              <w:t>&amp;</w:t>
            </w:r>
            <w:r>
              <w:rPr>
                <w:spacing w:val="41"/>
                <w:position w:val="9"/>
                <w:sz w:val="13"/>
              </w:rPr>
              <w:t xml:space="preserve">  </w:t>
            </w:r>
            <w:r>
              <w:rPr>
                <w:spacing w:val="-2"/>
                <w:sz w:val="13"/>
              </w:rPr>
              <w:t>2017/18</w:t>
            </w:r>
            <w:r>
              <w:rPr>
                <w:sz w:val="13"/>
              </w:rPr>
              <w:tab/>
            </w:r>
            <w:r>
              <w:rPr>
                <w:spacing w:val="-2"/>
                <w:sz w:val="13"/>
              </w:rPr>
              <w:t>2018/19</w:t>
            </w:r>
            <w:r>
              <w:rPr>
                <w:sz w:val="13"/>
              </w:rPr>
              <w:tab/>
            </w:r>
            <w:r>
              <w:rPr>
                <w:spacing w:val="-2"/>
                <w:sz w:val="13"/>
              </w:rPr>
              <w:t>2019/20</w:t>
            </w:r>
            <w:r>
              <w:rPr>
                <w:sz w:val="13"/>
              </w:rPr>
              <w:tab/>
            </w:r>
            <w:r>
              <w:rPr>
                <w:spacing w:val="-2"/>
                <w:sz w:val="13"/>
              </w:rPr>
              <w:t>2020/21</w:t>
            </w:r>
            <w:r>
              <w:rPr>
                <w:sz w:val="13"/>
              </w:rPr>
              <w:tab/>
            </w:r>
            <w:r>
              <w:rPr>
                <w:spacing w:val="-2"/>
                <w:sz w:val="13"/>
              </w:rPr>
              <w:t>2021/22</w:t>
            </w:r>
            <w:r>
              <w:rPr>
                <w:sz w:val="13"/>
              </w:rPr>
              <w:tab/>
            </w:r>
            <w:r>
              <w:rPr>
                <w:spacing w:val="-2"/>
                <w:sz w:val="13"/>
              </w:rPr>
              <w:t>2022/23</w:t>
            </w:r>
            <w:r>
              <w:rPr>
                <w:sz w:val="13"/>
              </w:rPr>
              <w:tab/>
            </w:r>
            <w:r>
              <w:rPr>
                <w:spacing w:val="-2"/>
                <w:sz w:val="13"/>
              </w:rPr>
              <w:t>Total</w:t>
            </w:r>
          </w:p>
          <w:p w14:paraId="603ECFE9" w14:textId="77777777" w:rsidR="00AC6F3C" w:rsidRDefault="00570E88">
            <w:pPr>
              <w:pStyle w:val="TableParagraph"/>
              <w:spacing w:line="118" w:lineRule="exact"/>
              <w:ind w:left="3145"/>
              <w:rPr>
                <w:sz w:val="13"/>
              </w:rPr>
            </w:pPr>
            <w:r>
              <w:rPr>
                <w:spacing w:val="-2"/>
                <w:sz w:val="13"/>
              </w:rPr>
              <w:t>prior</w:t>
            </w:r>
          </w:p>
          <w:p w14:paraId="64BAFAB4" w14:textId="77777777" w:rsidR="00AC6F3C" w:rsidRDefault="00570E88">
            <w:pPr>
              <w:pStyle w:val="TableParagraph"/>
              <w:tabs>
                <w:tab w:val="left" w:pos="3805"/>
                <w:tab w:val="left" w:pos="4499"/>
                <w:tab w:val="left" w:pos="5192"/>
                <w:tab w:val="left" w:pos="5885"/>
                <w:tab w:val="left" w:pos="6579"/>
                <w:tab w:val="left" w:pos="7272"/>
                <w:tab w:val="left" w:pos="7965"/>
              </w:tabs>
              <w:spacing w:before="68"/>
              <w:ind w:left="3112"/>
              <w:rPr>
                <w:sz w:val="13"/>
              </w:rPr>
            </w:pPr>
            <w:r>
              <w:rPr>
                <w:spacing w:val="-2"/>
                <w:sz w:val="13"/>
              </w:rPr>
              <w:t>$'000</w:t>
            </w:r>
            <w:r>
              <w:rPr>
                <w:sz w:val="13"/>
              </w:rPr>
              <w:tab/>
            </w:r>
            <w:r>
              <w:rPr>
                <w:spacing w:val="-2"/>
                <w:sz w:val="13"/>
              </w:rPr>
              <w:t>$'000</w:t>
            </w:r>
            <w:r>
              <w:rPr>
                <w:sz w:val="13"/>
              </w:rPr>
              <w:tab/>
            </w:r>
            <w:r>
              <w:rPr>
                <w:spacing w:val="-4"/>
                <w:sz w:val="13"/>
              </w:rPr>
              <w:t>$'000</w:t>
            </w:r>
            <w:r>
              <w:rPr>
                <w:sz w:val="13"/>
              </w:rPr>
              <w:tab/>
            </w:r>
            <w:r>
              <w:rPr>
                <w:spacing w:val="-4"/>
                <w:sz w:val="13"/>
              </w:rPr>
              <w:t>$'000</w:t>
            </w:r>
            <w:r>
              <w:rPr>
                <w:sz w:val="13"/>
              </w:rPr>
              <w:tab/>
            </w:r>
            <w:r>
              <w:rPr>
                <w:spacing w:val="-4"/>
                <w:sz w:val="13"/>
              </w:rPr>
              <w:t>$'000</w:t>
            </w:r>
            <w:r>
              <w:rPr>
                <w:sz w:val="13"/>
              </w:rPr>
              <w:tab/>
            </w:r>
            <w:r>
              <w:rPr>
                <w:spacing w:val="-4"/>
                <w:sz w:val="13"/>
              </w:rPr>
              <w:t>$'000</w:t>
            </w:r>
            <w:r>
              <w:rPr>
                <w:sz w:val="13"/>
              </w:rPr>
              <w:tab/>
            </w:r>
            <w:r>
              <w:rPr>
                <w:spacing w:val="-4"/>
                <w:sz w:val="13"/>
              </w:rPr>
              <w:t>$'000</w:t>
            </w:r>
            <w:r>
              <w:rPr>
                <w:sz w:val="13"/>
              </w:rPr>
              <w:tab/>
            </w:r>
            <w:r>
              <w:rPr>
                <w:spacing w:val="-4"/>
                <w:sz w:val="13"/>
              </w:rPr>
              <w:t>$'000</w:t>
            </w:r>
          </w:p>
          <w:p w14:paraId="7430BC28" w14:textId="77777777" w:rsidR="00AC6F3C" w:rsidRDefault="00570E88">
            <w:pPr>
              <w:pStyle w:val="TableParagraph"/>
              <w:spacing w:before="45"/>
              <w:ind w:left="25"/>
              <w:rPr>
                <w:b/>
                <w:sz w:val="13"/>
              </w:rPr>
            </w:pPr>
            <w:r>
              <w:rPr>
                <w:b/>
                <w:spacing w:val="-2"/>
                <w:sz w:val="13"/>
                <w:u w:val="single"/>
              </w:rPr>
              <w:t>Gross</w:t>
            </w:r>
          </w:p>
          <w:p w14:paraId="0CAF3289" w14:textId="77777777" w:rsidR="00AC6F3C" w:rsidRDefault="00570E88">
            <w:pPr>
              <w:pStyle w:val="TableParagraph"/>
              <w:spacing w:before="67" w:line="348" w:lineRule="auto"/>
              <w:ind w:left="25" w:right="6568"/>
              <w:rPr>
                <w:sz w:val="13"/>
              </w:rPr>
            </w:pPr>
            <w:r>
              <w:rPr>
                <w:sz w:val="13"/>
              </w:rPr>
              <w:t>Estimate of ultimate claims</w:t>
            </w:r>
            <w:r>
              <w:rPr>
                <w:spacing w:val="40"/>
                <w:sz w:val="13"/>
              </w:rPr>
              <w:t xml:space="preserve"> </w:t>
            </w:r>
            <w:r>
              <w:rPr>
                <w:spacing w:val="-2"/>
                <w:sz w:val="13"/>
              </w:rPr>
              <w:t>Costs:</w:t>
            </w:r>
          </w:p>
          <w:p w14:paraId="383269BE" w14:textId="77777777" w:rsidR="00AC6F3C" w:rsidRDefault="00570E88">
            <w:pPr>
              <w:pStyle w:val="TableParagraph"/>
              <w:tabs>
                <w:tab w:val="left" w:pos="3838"/>
                <w:tab w:val="left" w:pos="4531"/>
                <w:tab w:val="left" w:pos="5225"/>
                <w:tab w:val="left" w:pos="5918"/>
                <w:tab w:val="left" w:pos="6612"/>
                <w:tab w:val="left" w:pos="7305"/>
              </w:tabs>
              <w:spacing w:before="2"/>
              <w:ind w:left="25"/>
              <w:rPr>
                <w:sz w:val="13"/>
              </w:rPr>
            </w:pPr>
            <w:r>
              <w:rPr>
                <w:position w:val="2"/>
                <w:sz w:val="13"/>
              </w:rPr>
              <w:t>·</w:t>
            </w:r>
            <w:r>
              <w:rPr>
                <w:spacing w:val="31"/>
                <w:position w:val="2"/>
                <w:sz w:val="13"/>
              </w:rPr>
              <w:t xml:space="preserve"> </w:t>
            </w:r>
            <w:r>
              <w:rPr>
                <w:position w:val="2"/>
                <w:sz w:val="13"/>
              </w:rPr>
              <w:t>at</w:t>
            </w:r>
            <w:r>
              <w:rPr>
                <w:spacing w:val="-7"/>
                <w:position w:val="2"/>
                <w:sz w:val="13"/>
              </w:rPr>
              <w:t xml:space="preserve"> </w:t>
            </w:r>
            <w:r>
              <w:rPr>
                <w:position w:val="2"/>
                <w:sz w:val="13"/>
              </w:rPr>
              <w:t>end</w:t>
            </w:r>
            <w:r>
              <w:rPr>
                <w:spacing w:val="1"/>
                <w:position w:val="2"/>
                <w:sz w:val="13"/>
              </w:rPr>
              <w:t xml:space="preserve"> </w:t>
            </w:r>
            <w:r>
              <w:rPr>
                <w:position w:val="2"/>
                <w:sz w:val="13"/>
              </w:rPr>
              <w:t>of</w:t>
            </w:r>
            <w:r>
              <w:rPr>
                <w:spacing w:val="-6"/>
                <w:position w:val="2"/>
                <w:sz w:val="13"/>
              </w:rPr>
              <w:t xml:space="preserve"> </w:t>
            </w:r>
            <w:r>
              <w:rPr>
                <w:position w:val="2"/>
                <w:sz w:val="13"/>
              </w:rPr>
              <w:t>reporting</w:t>
            </w:r>
            <w:r>
              <w:rPr>
                <w:spacing w:val="1"/>
                <w:position w:val="2"/>
                <w:sz w:val="13"/>
              </w:rPr>
              <w:t xml:space="preserve"> </w:t>
            </w:r>
            <w:r>
              <w:rPr>
                <w:spacing w:val="-4"/>
                <w:position w:val="2"/>
                <w:sz w:val="13"/>
              </w:rPr>
              <w:t>year</w:t>
            </w:r>
            <w:r>
              <w:rPr>
                <w:position w:val="2"/>
                <w:sz w:val="13"/>
              </w:rPr>
              <w:tab/>
            </w:r>
            <w:r>
              <w:rPr>
                <w:spacing w:val="-2"/>
                <w:sz w:val="13"/>
              </w:rPr>
              <w:t>19,879</w:t>
            </w:r>
            <w:r>
              <w:rPr>
                <w:sz w:val="13"/>
              </w:rPr>
              <w:tab/>
            </w:r>
            <w:r>
              <w:rPr>
                <w:spacing w:val="-2"/>
                <w:sz w:val="13"/>
              </w:rPr>
              <w:t>17,363</w:t>
            </w:r>
            <w:r>
              <w:rPr>
                <w:sz w:val="13"/>
              </w:rPr>
              <w:tab/>
            </w:r>
            <w:r>
              <w:rPr>
                <w:spacing w:val="-2"/>
                <w:sz w:val="13"/>
              </w:rPr>
              <w:t>16,411</w:t>
            </w:r>
            <w:r>
              <w:rPr>
                <w:sz w:val="13"/>
              </w:rPr>
              <w:tab/>
            </w:r>
            <w:r>
              <w:rPr>
                <w:spacing w:val="-2"/>
                <w:sz w:val="13"/>
              </w:rPr>
              <w:t>17,744</w:t>
            </w:r>
            <w:r>
              <w:rPr>
                <w:sz w:val="13"/>
              </w:rPr>
              <w:tab/>
            </w:r>
            <w:r>
              <w:rPr>
                <w:spacing w:val="-2"/>
                <w:sz w:val="13"/>
              </w:rPr>
              <w:t>17,067</w:t>
            </w:r>
            <w:r>
              <w:rPr>
                <w:sz w:val="13"/>
              </w:rPr>
              <w:tab/>
            </w:r>
            <w:r>
              <w:rPr>
                <w:spacing w:val="-2"/>
                <w:sz w:val="13"/>
              </w:rPr>
              <w:t>18,397</w:t>
            </w:r>
          </w:p>
          <w:p w14:paraId="010F6BCE" w14:textId="77777777" w:rsidR="00AC6F3C" w:rsidRDefault="00570E88">
            <w:pPr>
              <w:pStyle w:val="TableParagraph"/>
              <w:tabs>
                <w:tab w:val="left" w:pos="3838"/>
                <w:tab w:val="left" w:pos="4531"/>
                <w:tab w:val="left" w:pos="5225"/>
                <w:tab w:val="left" w:pos="5918"/>
                <w:tab w:val="left" w:pos="6612"/>
              </w:tabs>
              <w:spacing w:before="47"/>
              <w:ind w:left="25"/>
              <w:rPr>
                <w:sz w:val="13"/>
              </w:rPr>
            </w:pPr>
            <w:r>
              <w:rPr>
                <w:position w:val="2"/>
                <w:sz w:val="13"/>
              </w:rPr>
              <w:t>·</w:t>
            </w:r>
            <w:r>
              <w:rPr>
                <w:spacing w:val="24"/>
                <w:position w:val="2"/>
                <w:sz w:val="13"/>
              </w:rPr>
              <w:t xml:space="preserve"> </w:t>
            </w:r>
            <w:r>
              <w:rPr>
                <w:position w:val="2"/>
                <w:sz w:val="13"/>
              </w:rPr>
              <w:t>one</w:t>
            </w:r>
            <w:r>
              <w:rPr>
                <w:spacing w:val="-2"/>
                <w:position w:val="2"/>
                <w:sz w:val="13"/>
              </w:rPr>
              <w:t xml:space="preserve"> </w:t>
            </w:r>
            <w:r>
              <w:rPr>
                <w:position w:val="2"/>
                <w:sz w:val="13"/>
              </w:rPr>
              <w:t>year</w:t>
            </w:r>
            <w:r>
              <w:rPr>
                <w:spacing w:val="-6"/>
                <w:position w:val="2"/>
                <w:sz w:val="13"/>
              </w:rPr>
              <w:t xml:space="preserve"> </w:t>
            </w:r>
            <w:r>
              <w:rPr>
                <w:spacing w:val="-2"/>
                <w:position w:val="2"/>
                <w:sz w:val="13"/>
              </w:rPr>
              <w:t>later</w:t>
            </w:r>
            <w:r>
              <w:rPr>
                <w:position w:val="2"/>
                <w:sz w:val="13"/>
              </w:rPr>
              <w:tab/>
            </w:r>
            <w:r>
              <w:rPr>
                <w:spacing w:val="-2"/>
                <w:sz w:val="13"/>
              </w:rPr>
              <w:t>18,895</w:t>
            </w:r>
            <w:r>
              <w:rPr>
                <w:sz w:val="13"/>
              </w:rPr>
              <w:tab/>
            </w:r>
            <w:r>
              <w:rPr>
                <w:spacing w:val="-2"/>
                <w:sz w:val="13"/>
              </w:rPr>
              <w:t>18,051</w:t>
            </w:r>
            <w:r>
              <w:rPr>
                <w:sz w:val="13"/>
              </w:rPr>
              <w:tab/>
            </w:r>
            <w:r>
              <w:rPr>
                <w:spacing w:val="-2"/>
                <w:sz w:val="13"/>
              </w:rPr>
              <w:t>16,769</w:t>
            </w:r>
            <w:r>
              <w:rPr>
                <w:sz w:val="13"/>
              </w:rPr>
              <w:tab/>
            </w:r>
            <w:r>
              <w:rPr>
                <w:spacing w:val="-2"/>
                <w:sz w:val="13"/>
              </w:rPr>
              <w:t>18,303</w:t>
            </w:r>
            <w:r>
              <w:rPr>
                <w:sz w:val="13"/>
              </w:rPr>
              <w:tab/>
            </w:r>
            <w:r>
              <w:rPr>
                <w:spacing w:val="-2"/>
                <w:sz w:val="13"/>
              </w:rPr>
              <w:t>16,967</w:t>
            </w:r>
          </w:p>
          <w:p w14:paraId="47A75FC7" w14:textId="77777777" w:rsidR="00AC6F3C" w:rsidRDefault="00570E88">
            <w:pPr>
              <w:pStyle w:val="TableParagraph"/>
              <w:tabs>
                <w:tab w:val="left" w:pos="3838"/>
                <w:tab w:val="left" w:pos="4531"/>
                <w:tab w:val="left" w:pos="5225"/>
                <w:tab w:val="left" w:pos="5918"/>
              </w:tabs>
              <w:spacing w:before="47"/>
              <w:ind w:left="25"/>
              <w:rPr>
                <w:sz w:val="13"/>
              </w:rPr>
            </w:pPr>
            <w:r>
              <w:rPr>
                <w:position w:val="2"/>
                <w:sz w:val="13"/>
              </w:rPr>
              <w:t>·</w:t>
            </w:r>
            <w:r>
              <w:rPr>
                <w:spacing w:val="21"/>
                <w:position w:val="2"/>
                <w:sz w:val="13"/>
              </w:rPr>
              <w:t xml:space="preserve"> </w:t>
            </w:r>
            <w:r>
              <w:rPr>
                <w:position w:val="2"/>
                <w:sz w:val="13"/>
              </w:rPr>
              <w:t>two</w:t>
            </w:r>
            <w:r>
              <w:rPr>
                <w:spacing w:val="-4"/>
                <w:position w:val="2"/>
                <w:sz w:val="13"/>
              </w:rPr>
              <w:t xml:space="preserve"> </w:t>
            </w:r>
            <w:r>
              <w:rPr>
                <w:position w:val="2"/>
                <w:sz w:val="13"/>
              </w:rPr>
              <w:t>years</w:t>
            </w:r>
            <w:r>
              <w:rPr>
                <w:spacing w:val="3"/>
                <w:position w:val="2"/>
                <w:sz w:val="13"/>
              </w:rPr>
              <w:t xml:space="preserve"> </w:t>
            </w:r>
            <w:r>
              <w:rPr>
                <w:spacing w:val="-2"/>
                <w:position w:val="2"/>
                <w:sz w:val="13"/>
              </w:rPr>
              <w:t>later</w:t>
            </w:r>
            <w:r>
              <w:rPr>
                <w:position w:val="2"/>
                <w:sz w:val="13"/>
              </w:rPr>
              <w:tab/>
            </w:r>
            <w:r>
              <w:rPr>
                <w:spacing w:val="-2"/>
                <w:sz w:val="13"/>
              </w:rPr>
              <w:t>18,680</w:t>
            </w:r>
            <w:r>
              <w:rPr>
                <w:sz w:val="13"/>
              </w:rPr>
              <w:tab/>
            </w:r>
            <w:r>
              <w:rPr>
                <w:spacing w:val="-2"/>
                <w:sz w:val="13"/>
              </w:rPr>
              <w:t>17,671</w:t>
            </w:r>
            <w:r>
              <w:rPr>
                <w:sz w:val="13"/>
              </w:rPr>
              <w:tab/>
            </w:r>
            <w:r>
              <w:rPr>
                <w:spacing w:val="-2"/>
                <w:sz w:val="13"/>
              </w:rPr>
              <w:t>15,288</w:t>
            </w:r>
            <w:r>
              <w:rPr>
                <w:sz w:val="13"/>
              </w:rPr>
              <w:tab/>
            </w:r>
            <w:r>
              <w:rPr>
                <w:spacing w:val="-2"/>
                <w:sz w:val="13"/>
              </w:rPr>
              <w:t>24,682</w:t>
            </w:r>
          </w:p>
          <w:p w14:paraId="7B1239FF" w14:textId="77777777" w:rsidR="00AC6F3C" w:rsidRDefault="00570E88">
            <w:pPr>
              <w:pStyle w:val="TableParagraph"/>
              <w:tabs>
                <w:tab w:val="left" w:pos="3838"/>
                <w:tab w:val="left" w:pos="4531"/>
                <w:tab w:val="left" w:pos="5225"/>
              </w:tabs>
              <w:spacing w:before="47"/>
              <w:ind w:left="25"/>
              <w:rPr>
                <w:sz w:val="13"/>
              </w:rPr>
            </w:pPr>
            <w:r>
              <w:rPr>
                <w:position w:val="2"/>
                <w:sz w:val="13"/>
              </w:rPr>
              <w:t>·</w:t>
            </w:r>
            <w:r>
              <w:rPr>
                <w:spacing w:val="22"/>
                <w:position w:val="2"/>
                <w:sz w:val="13"/>
              </w:rPr>
              <w:t xml:space="preserve"> </w:t>
            </w:r>
            <w:r>
              <w:rPr>
                <w:position w:val="2"/>
                <w:sz w:val="13"/>
              </w:rPr>
              <w:t>three</w:t>
            </w:r>
            <w:r>
              <w:rPr>
                <w:spacing w:val="-4"/>
                <w:position w:val="2"/>
                <w:sz w:val="13"/>
              </w:rPr>
              <w:t xml:space="preserve"> </w:t>
            </w:r>
            <w:r>
              <w:rPr>
                <w:position w:val="2"/>
                <w:sz w:val="13"/>
              </w:rPr>
              <w:t>years</w:t>
            </w:r>
            <w:r>
              <w:rPr>
                <w:spacing w:val="4"/>
                <w:position w:val="2"/>
                <w:sz w:val="13"/>
              </w:rPr>
              <w:t xml:space="preserve"> </w:t>
            </w:r>
            <w:r>
              <w:rPr>
                <w:spacing w:val="-2"/>
                <w:position w:val="2"/>
                <w:sz w:val="13"/>
              </w:rPr>
              <w:t>later</w:t>
            </w:r>
            <w:r>
              <w:rPr>
                <w:position w:val="2"/>
                <w:sz w:val="13"/>
              </w:rPr>
              <w:tab/>
            </w:r>
            <w:r>
              <w:rPr>
                <w:spacing w:val="-2"/>
                <w:sz w:val="13"/>
              </w:rPr>
              <w:t>18,870</w:t>
            </w:r>
            <w:r>
              <w:rPr>
                <w:sz w:val="13"/>
              </w:rPr>
              <w:tab/>
            </w:r>
            <w:r>
              <w:rPr>
                <w:spacing w:val="-2"/>
                <w:sz w:val="13"/>
              </w:rPr>
              <w:t>15,548</w:t>
            </w:r>
            <w:r>
              <w:rPr>
                <w:sz w:val="13"/>
              </w:rPr>
              <w:tab/>
            </w:r>
            <w:r>
              <w:rPr>
                <w:spacing w:val="-2"/>
                <w:sz w:val="13"/>
              </w:rPr>
              <w:t>14,170</w:t>
            </w:r>
          </w:p>
          <w:p w14:paraId="0547D5BD" w14:textId="77777777" w:rsidR="00AC6F3C" w:rsidRDefault="00570E88">
            <w:pPr>
              <w:pStyle w:val="TableParagraph"/>
              <w:numPr>
                <w:ilvl w:val="0"/>
                <w:numId w:val="28"/>
              </w:numPr>
              <w:tabs>
                <w:tab w:val="left" w:pos="132"/>
                <w:tab w:val="left" w:pos="3838"/>
                <w:tab w:val="left" w:pos="4531"/>
              </w:tabs>
              <w:spacing w:before="46"/>
              <w:ind w:left="132" w:hanging="107"/>
              <w:rPr>
                <w:sz w:val="13"/>
              </w:rPr>
            </w:pPr>
            <w:r>
              <w:rPr>
                <w:sz w:val="13"/>
              </w:rPr>
              <w:t>four</w:t>
            </w:r>
            <w:r>
              <w:rPr>
                <w:spacing w:val="-8"/>
                <w:sz w:val="13"/>
              </w:rPr>
              <w:t xml:space="preserve"> </w:t>
            </w:r>
            <w:r>
              <w:rPr>
                <w:sz w:val="13"/>
              </w:rPr>
              <w:t>years</w:t>
            </w:r>
            <w:r>
              <w:rPr>
                <w:spacing w:val="1"/>
                <w:sz w:val="13"/>
              </w:rPr>
              <w:t xml:space="preserve"> </w:t>
            </w:r>
            <w:r>
              <w:rPr>
                <w:spacing w:val="-2"/>
                <w:sz w:val="13"/>
              </w:rPr>
              <w:t>later</w:t>
            </w:r>
            <w:r>
              <w:rPr>
                <w:sz w:val="13"/>
              </w:rPr>
              <w:tab/>
            </w:r>
            <w:r>
              <w:rPr>
                <w:spacing w:val="-2"/>
                <w:position w:val="-1"/>
                <w:sz w:val="13"/>
              </w:rPr>
              <w:t>18,789</w:t>
            </w:r>
            <w:r>
              <w:rPr>
                <w:position w:val="-1"/>
                <w:sz w:val="13"/>
              </w:rPr>
              <w:tab/>
            </w:r>
            <w:r>
              <w:rPr>
                <w:spacing w:val="-2"/>
                <w:position w:val="-1"/>
                <w:sz w:val="13"/>
              </w:rPr>
              <w:t>16,313</w:t>
            </w:r>
          </w:p>
          <w:p w14:paraId="2FDF6EEE" w14:textId="77777777" w:rsidR="00AC6F3C" w:rsidRDefault="00570E88">
            <w:pPr>
              <w:pStyle w:val="TableParagraph"/>
              <w:numPr>
                <w:ilvl w:val="0"/>
                <w:numId w:val="28"/>
              </w:numPr>
              <w:tabs>
                <w:tab w:val="left" w:pos="132"/>
                <w:tab w:val="left" w:pos="3838"/>
              </w:tabs>
              <w:spacing w:before="47"/>
              <w:ind w:left="132" w:hanging="107"/>
              <w:rPr>
                <w:sz w:val="13"/>
              </w:rPr>
            </w:pPr>
            <w:r>
              <w:rPr>
                <w:sz w:val="13"/>
              </w:rPr>
              <w:t>five</w:t>
            </w:r>
            <w:r>
              <w:rPr>
                <w:spacing w:val="-10"/>
                <w:sz w:val="13"/>
              </w:rPr>
              <w:t xml:space="preserve"> </w:t>
            </w:r>
            <w:r>
              <w:rPr>
                <w:sz w:val="13"/>
              </w:rPr>
              <w:t>years</w:t>
            </w:r>
            <w:r>
              <w:rPr>
                <w:spacing w:val="-7"/>
                <w:sz w:val="13"/>
              </w:rPr>
              <w:t xml:space="preserve"> </w:t>
            </w:r>
            <w:r>
              <w:rPr>
                <w:spacing w:val="-2"/>
                <w:sz w:val="13"/>
              </w:rPr>
              <w:t>later</w:t>
            </w:r>
            <w:r>
              <w:rPr>
                <w:sz w:val="13"/>
              </w:rPr>
              <w:tab/>
            </w:r>
            <w:r>
              <w:rPr>
                <w:spacing w:val="-2"/>
                <w:position w:val="-1"/>
                <w:sz w:val="13"/>
              </w:rPr>
              <w:t>18,218</w:t>
            </w:r>
          </w:p>
          <w:p w14:paraId="29AF6DF0" w14:textId="77777777" w:rsidR="00AC6F3C" w:rsidRDefault="00570E88">
            <w:pPr>
              <w:pStyle w:val="TableParagraph"/>
              <w:tabs>
                <w:tab w:val="left" w:pos="2928"/>
                <w:tab w:val="left" w:pos="3795"/>
                <w:tab w:val="left" w:pos="5950"/>
                <w:tab w:val="left" w:pos="6644"/>
                <w:tab w:val="left" w:pos="7337"/>
                <w:tab w:val="left" w:pos="8486"/>
              </w:tabs>
              <w:spacing w:before="49"/>
              <w:ind w:left="25" w:right="-15"/>
              <w:rPr>
                <w:sz w:val="13"/>
              </w:rPr>
            </w:pPr>
            <w:r>
              <w:rPr>
                <w:position w:val="2"/>
                <w:sz w:val="13"/>
              </w:rPr>
              <w:t>Cumulative</w:t>
            </w:r>
            <w:r>
              <w:rPr>
                <w:spacing w:val="-1"/>
                <w:position w:val="2"/>
                <w:sz w:val="13"/>
              </w:rPr>
              <w:t xml:space="preserve"> </w:t>
            </w:r>
            <w:r>
              <w:rPr>
                <w:position w:val="2"/>
                <w:sz w:val="13"/>
              </w:rPr>
              <w:t>payments</w:t>
            </w:r>
            <w:r>
              <w:rPr>
                <w:spacing w:val="8"/>
                <w:position w:val="2"/>
                <w:sz w:val="13"/>
              </w:rPr>
              <w:t xml:space="preserve"> </w:t>
            </w:r>
            <w:r>
              <w:rPr>
                <w:position w:val="2"/>
                <w:sz w:val="13"/>
              </w:rPr>
              <w:t>to</w:t>
            </w:r>
            <w:r>
              <w:rPr>
                <w:spacing w:val="-1"/>
                <w:position w:val="2"/>
                <w:sz w:val="13"/>
              </w:rPr>
              <w:t xml:space="preserve"> </w:t>
            </w:r>
            <w:r>
              <w:rPr>
                <w:spacing w:val="-4"/>
                <w:position w:val="2"/>
                <w:sz w:val="13"/>
              </w:rPr>
              <w:t>date</w:t>
            </w:r>
            <w:r>
              <w:rPr>
                <w:position w:val="2"/>
                <w:sz w:val="13"/>
              </w:rPr>
              <w:tab/>
            </w:r>
            <w:r>
              <w:rPr>
                <w:sz w:val="13"/>
                <w:u w:val="single"/>
              </w:rPr>
              <w:tab/>
              <w:t>(15,631)</w:t>
            </w:r>
            <w:r>
              <w:rPr>
                <w:spacing w:val="63"/>
                <w:sz w:val="13"/>
                <w:u w:val="single"/>
              </w:rPr>
              <w:t xml:space="preserve">  </w:t>
            </w:r>
            <w:r>
              <w:rPr>
                <w:sz w:val="13"/>
                <w:u w:val="single"/>
              </w:rPr>
              <w:t>(10,374)</w:t>
            </w:r>
            <w:r>
              <w:rPr>
                <w:spacing w:val="63"/>
                <w:sz w:val="13"/>
                <w:u w:val="single"/>
              </w:rPr>
              <w:t xml:space="preserve">  </w:t>
            </w:r>
            <w:r>
              <w:rPr>
                <w:spacing w:val="-2"/>
                <w:sz w:val="13"/>
                <w:u w:val="single"/>
              </w:rPr>
              <w:t>(10,399)</w:t>
            </w:r>
            <w:r>
              <w:rPr>
                <w:sz w:val="13"/>
                <w:u w:val="single"/>
              </w:rPr>
              <w:tab/>
            </w:r>
            <w:r>
              <w:rPr>
                <w:spacing w:val="-2"/>
                <w:sz w:val="13"/>
                <w:u w:val="single"/>
              </w:rPr>
              <w:t>(4,990)</w:t>
            </w:r>
            <w:r>
              <w:rPr>
                <w:sz w:val="13"/>
                <w:u w:val="single"/>
              </w:rPr>
              <w:tab/>
            </w:r>
            <w:r>
              <w:rPr>
                <w:spacing w:val="-2"/>
                <w:sz w:val="13"/>
                <w:u w:val="single"/>
              </w:rPr>
              <w:t>(3,570)</w:t>
            </w:r>
            <w:r>
              <w:rPr>
                <w:sz w:val="13"/>
                <w:u w:val="single"/>
              </w:rPr>
              <w:tab/>
            </w:r>
            <w:r>
              <w:rPr>
                <w:spacing w:val="-2"/>
                <w:sz w:val="13"/>
                <w:u w:val="single"/>
              </w:rPr>
              <w:t>(1,008)</w:t>
            </w:r>
            <w:r>
              <w:rPr>
                <w:sz w:val="13"/>
                <w:u w:val="single"/>
              </w:rPr>
              <w:tab/>
            </w:r>
          </w:p>
          <w:p w14:paraId="4A1962FC" w14:textId="77777777" w:rsidR="00AC6F3C" w:rsidRDefault="00570E88">
            <w:pPr>
              <w:pStyle w:val="TableParagraph"/>
              <w:tabs>
                <w:tab w:val="left" w:pos="3914"/>
                <w:tab w:val="left" w:pos="4607"/>
                <w:tab w:val="left" w:pos="5300"/>
                <w:tab w:val="left" w:pos="5918"/>
                <w:tab w:val="left" w:pos="6611"/>
                <w:tab w:val="left" w:pos="7305"/>
              </w:tabs>
              <w:spacing w:before="47"/>
              <w:ind w:left="25"/>
              <w:rPr>
                <w:sz w:val="13"/>
              </w:rPr>
            </w:pPr>
            <w:r>
              <w:rPr>
                <w:position w:val="2"/>
                <w:sz w:val="13"/>
              </w:rPr>
              <w:t>Estimate</w:t>
            </w:r>
            <w:r>
              <w:rPr>
                <w:spacing w:val="8"/>
                <w:position w:val="2"/>
                <w:sz w:val="13"/>
              </w:rPr>
              <w:t xml:space="preserve"> </w:t>
            </w:r>
            <w:r>
              <w:rPr>
                <w:position w:val="2"/>
                <w:sz w:val="13"/>
              </w:rPr>
              <w:t>of</w:t>
            </w:r>
            <w:r>
              <w:rPr>
                <w:spacing w:val="-1"/>
                <w:position w:val="2"/>
                <w:sz w:val="13"/>
              </w:rPr>
              <w:t xml:space="preserve"> </w:t>
            </w:r>
            <w:r>
              <w:rPr>
                <w:position w:val="2"/>
                <w:sz w:val="13"/>
              </w:rPr>
              <w:t>claims</w:t>
            </w:r>
            <w:r>
              <w:rPr>
                <w:spacing w:val="19"/>
                <w:position w:val="2"/>
                <w:sz w:val="13"/>
              </w:rPr>
              <w:t xml:space="preserve"> </w:t>
            </w:r>
            <w:r>
              <w:rPr>
                <w:spacing w:val="-2"/>
                <w:position w:val="2"/>
                <w:sz w:val="13"/>
              </w:rPr>
              <w:t>reserve</w:t>
            </w:r>
            <w:r>
              <w:rPr>
                <w:position w:val="2"/>
                <w:sz w:val="13"/>
              </w:rPr>
              <w:tab/>
            </w:r>
            <w:r>
              <w:rPr>
                <w:spacing w:val="-4"/>
                <w:sz w:val="13"/>
              </w:rPr>
              <w:t>2,587</w:t>
            </w:r>
            <w:r>
              <w:rPr>
                <w:sz w:val="13"/>
              </w:rPr>
              <w:tab/>
            </w:r>
            <w:r>
              <w:rPr>
                <w:spacing w:val="-4"/>
                <w:sz w:val="13"/>
              </w:rPr>
              <w:t>5,939</w:t>
            </w:r>
            <w:r>
              <w:rPr>
                <w:sz w:val="13"/>
              </w:rPr>
              <w:tab/>
            </w:r>
            <w:r>
              <w:rPr>
                <w:spacing w:val="-2"/>
                <w:sz w:val="13"/>
              </w:rPr>
              <w:t>3,771</w:t>
            </w:r>
            <w:r>
              <w:rPr>
                <w:sz w:val="13"/>
              </w:rPr>
              <w:tab/>
            </w:r>
            <w:r>
              <w:rPr>
                <w:spacing w:val="-2"/>
                <w:sz w:val="13"/>
              </w:rPr>
              <w:t>19,692</w:t>
            </w:r>
            <w:r>
              <w:rPr>
                <w:sz w:val="13"/>
              </w:rPr>
              <w:tab/>
            </w:r>
            <w:r>
              <w:rPr>
                <w:spacing w:val="-2"/>
                <w:sz w:val="13"/>
              </w:rPr>
              <w:t>13,397</w:t>
            </w:r>
            <w:r>
              <w:rPr>
                <w:sz w:val="13"/>
              </w:rPr>
              <w:tab/>
            </w:r>
            <w:r>
              <w:rPr>
                <w:spacing w:val="-2"/>
                <w:sz w:val="13"/>
              </w:rPr>
              <w:t>17,389</w:t>
            </w:r>
          </w:p>
          <w:p w14:paraId="4AF72C5F" w14:textId="77777777" w:rsidR="00AC6F3C" w:rsidRDefault="00570E88">
            <w:pPr>
              <w:pStyle w:val="TableParagraph"/>
              <w:tabs>
                <w:tab w:val="left" w:pos="2928"/>
                <w:tab w:val="left" w:pos="3979"/>
                <w:tab w:val="left" w:pos="4672"/>
                <w:tab w:val="left" w:pos="5365"/>
                <w:tab w:val="left" w:pos="5950"/>
                <w:tab w:val="left" w:pos="6644"/>
                <w:tab w:val="left" w:pos="7337"/>
                <w:tab w:val="left" w:pos="8486"/>
              </w:tabs>
              <w:spacing w:before="47"/>
              <w:ind w:left="25" w:right="-15"/>
              <w:rPr>
                <w:sz w:val="13"/>
              </w:rPr>
            </w:pPr>
            <w:r>
              <w:rPr>
                <w:spacing w:val="-2"/>
                <w:position w:val="2"/>
                <w:sz w:val="13"/>
              </w:rPr>
              <w:t>Effect</w:t>
            </w:r>
            <w:r>
              <w:rPr>
                <w:spacing w:val="-5"/>
                <w:position w:val="2"/>
                <w:sz w:val="13"/>
              </w:rPr>
              <w:t xml:space="preserve"> </w:t>
            </w:r>
            <w:r>
              <w:rPr>
                <w:spacing w:val="-2"/>
                <w:position w:val="2"/>
                <w:sz w:val="13"/>
              </w:rPr>
              <w:t>of</w:t>
            </w:r>
            <w:r>
              <w:rPr>
                <w:spacing w:val="-4"/>
                <w:position w:val="2"/>
                <w:sz w:val="13"/>
              </w:rPr>
              <w:t xml:space="preserve"> </w:t>
            </w:r>
            <w:r>
              <w:rPr>
                <w:spacing w:val="-2"/>
                <w:position w:val="2"/>
                <w:sz w:val="13"/>
              </w:rPr>
              <w:t>discounting</w:t>
            </w:r>
            <w:r>
              <w:rPr>
                <w:position w:val="2"/>
                <w:sz w:val="13"/>
              </w:rPr>
              <w:tab/>
            </w:r>
            <w:r>
              <w:rPr>
                <w:sz w:val="13"/>
                <w:u w:val="single"/>
              </w:rPr>
              <w:tab/>
            </w:r>
            <w:r>
              <w:rPr>
                <w:spacing w:val="-2"/>
                <w:sz w:val="13"/>
                <w:u w:val="single"/>
              </w:rPr>
              <w:t>(216)</w:t>
            </w:r>
            <w:r>
              <w:rPr>
                <w:sz w:val="13"/>
                <w:u w:val="single"/>
              </w:rPr>
              <w:tab/>
            </w:r>
            <w:r>
              <w:rPr>
                <w:spacing w:val="-2"/>
                <w:sz w:val="13"/>
                <w:u w:val="single"/>
              </w:rPr>
              <w:t>(451)</w:t>
            </w:r>
            <w:r>
              <w:rPr>
                <w:sz w:val="13"/>
                <w:u w:val="single"/>
              </w:rPr>
              <w:tab/>
            </w:r>
            <w:r>
              <w:rPr>
                <w:spacing w:val="-2"/>
                <w:sz w:val="13"/>
                <w:u w:val="single"/>
              </w:rPr>
              <w:t>(326)</w:t>
            </w:r>
            <w:r>
              <w:rPr>
                <w:sz w:val="13"/>
                <w:u w:val="single"/>
              </w:rPr>
              <w:tab/>
            </w:r>
            <w:r>
              <w:rPr>
                <w:spacing w:val="-2"/>
                <w:sz w:val="13"/>
                <w:u w:val="single"/>
              </w:rPr>
              <w:t>(2,011)</w:t>
            </w:r>
            <w:r>
              <w:rPr>
                <w:sz w:val="13"/>
                <w:u w:val="single"/>
              </w:rPr>
              <w:tab/>
            </w:r>
            <w:r>
              <w:rPr>
                <w:spacing w:val="-2"/>
                <w:sz w:val="13"/>
                <w:u w:val="single"/>
              </w:rPr>
              <w:t>(1,269)</w:t>
            </w:r>
            <w:r>
              <w:rPr>
                <w:sz w:val="13"/>
                <w:u w:val="single"/>
              </w:rPr>
              <w:tab/>
            </w:r>
            <w:r>
              <w:rPr>
                <w:spacing w:val="-2"/>
                <w:sz w:val="13"/>
                <w:u w:val="single"/>
              </w:rPr>
              <w:t>(1,967)</w:t>
            </w:r>
            <w:r>
              <w:rPr>
                <w:sz w:val="13"/>
                <w:u w:val="single"/>
              </w:rPr>
              <w:tab/>
            </w:r>
          </w:p>
        </w:tc>
      </w:tr>
      <w:tr w:rsidR="00AC6F3C" w14:paraId="5C7A6BF7" w14:textId="77777777">
        <w:trPr>
          <w:trHeight w:val="216"/>
        </w:trPr>
        <w:tc>
          <w:tcPr>
            <w:tcW w:w="3029" w:type="dxa"/>
            <w:tcBorders>
              <w:left w:val="single" w:sz="6" w:space="0" w:color="000000"/>
            </w:tcBorders>
          </w:tcPr>
          <w:p w14:paraId="254152AE" w14:textId="77777777" w:rsidR="00AC6F3C" w:rsidRDefault="00570E88">
            <w:pPr>
              <w:pStyle w:val="TableParagraph"/>
              <w:spacing w:before="20"/>
              <w:ind w:left="25"/>
              <w:rPr>
                <w:sz w:val="13"/>
              </w:rPr>
            </w:pPr>
            <w:r>
              <w:rPr>
                <w:sz w:val="13"/>
              </w:rPr>
              <w:t>Best estimate</w:t>
            </w:r>
            <w:r>
              <w:rPr>
                <w:spacing w:val="10"/>
                <w:sz w:val="13"/>
              </w:rPr>
              <w:t xml:space="preserve"> </w:t>
            </w:r>
            <w:r>
              <w:rPr>
                <w:sz w:val="13"/>
              </w:rPr>
              <w:t>of claims</w:t>
            </w:r>
            <w:r>
              <w:rPr>
                <w:spacing w:val="21"/>
                <w:sz w:val="13"/>
              </w:rPr>
              <w:t xml:space="preserve"> </w:t>
            </w:r>
            <w:r>
              <w:rPr>
                <w:spacing w:val="-2"/>
                <w:sz w:val="13"/>
              </w:rPr>
              <w:t>liability</w:t>
            </w:r>
          </w:p>
        </w:tc>
        <w:tc>
          <w:tcPr>
            <w:tcW w:w="694" w:type="dxa"/>
          </w:tcPr>
          <w:p w14:paraId="560D9ABA" w14:textId="77777777" w:rsidR="00AC6F3C" w:rsidRDefault="00570E88">
            <w:pPr>
              <w:pStyle w:val="TableParagraph"/>
              <w:spacing w:before="42"/>
              <w:ind w:left="144" w:right="104"/>
              <w:jc w:val="center"/>
              <w:rPr>
                <w:sz w:val="13"/>
              </w:rPr>
            </w:pPr>
            <w:r>
              <w:rPr>
                <w:spacing w:val="-2"/>
                <w:sz w:val="13"/>
              </w:rPr>
              <w:t>2,539</w:t>
            </w:r>
          </w:p>
        </w:tc>
        <w:tc>
          <w:tcPr>
            <w:tcW w:w="694" w:type="dxa"/>
          </w:tcPr>
          <w:p w14:paraId="62F5B047" w14:textId="77777777" w:rsidR="00AC6F3C" w:rsidRDefault="00570E88">
            <w:pPr>
              <w:pStyle w:val="TableParagraph"/>
              <w:spacing w:before="42"/>
              <w:ind w:left="198"/>
              <w:rPr>
                <w:sz w:val="13"/>
              </w:rPr>
            </w:pPr>
            <w:r>
              <w:rPr>
                <w:spacing w:val="-2"/>
                <w:sz w:val="13"/>
              </w:rPr>
              <w:t>2,371</w:t>
            </w:r>
          </w:p>
        </w:tc>
        <w:tc>
          <w:tcPr>
            <w:tcW w:w="671" w:type="dxa"/>
          </w:tcPr>
          <w:p w14:paraId="0678846A" w14:textId="77777777" w:rsidR="00AC6F3C" w:rsidRDefault="00570E88">
            <w:pPr>
              <w:pStyle w:val="TableParagraph"/>
              <w:spacing w:before="42"/>
              <w:ind w:right="135"/>
              <w:jc w:val="right"/>
              <w:rPr>
                <w:sz w:val="13"/>
              </w:rPr>
            </w:pPr>
            <w:r>
              <w:rPr>
                <w:spacing w:val="-2"/>
                <w:sz w:val="13"/>
              </w:rPr>
              <w:t>5,488</w:t>
            </w:r>
          </w:p>
        </w:tc>
        <w:tc>
          <w:tcPr>
            <w:tcW w:w="718" w:type="dxa"/>
          </w:tcPr>
          <w:p w14:paraId="587C8A35" w14:textId="77777777" w:rsidR="00AC6F3C" w:rsidRDefault="00570E88">
            <w:pPr>
              <w:pStyle w:val="TableParagraph"/>
              <w:spacing w:before="42"/>
              <w:ind w:left="139" w:right="81"/>
              <w:jc w:val="center"/>
              <w:rPr>
                <w:sz w:val="13"/>
              </w:rPr>
            </w:pPr>
            <w:r>
              <w:rPr>
                <w:spacing w:val="-2"/>
                <w:sz w:val="13"/>
              </w:rPr>
              <w:t>3,445</w:t>
            </w:r>
          </w:p>
        </w:tc>
        <w:tc>
          <w:tcPr>
            <w:tcW w:w="695" w:type="dxa"/>
          </w:tcPr>
          <w:p w14:paraId="3CCEF9D5" w14:textId="77777777" w:rsidR="00AC6F3C" w:rsidRDefault="00570E88">
            <w:pPr>
              <w:pStyle w:val="TableParagraph"/>
              <w:spacing w:before="42"/>
              <w:ind w:left="119"/>
              <w:rPr>
                <w:sz w:val="13"/>
              </w:rPr>
            </w:pPr>
            <w:r>
              <w:rPr>
                <w:spacing w:val="-2"/>
                <w:sz w:val="13"/>
              </w:rPr>
              <w:t>17,681</w:t>
            </w:r>
          </w:p>
        </w:tc>
        <w:tc>
          <w:tcPr>
            <w:tcW w:w="695" w:type="dxa"/>
          </w:tcPr>
          <w:p w14:paraId="6B532D67" w14:textId="77777777" w:rsidR="00AC6F3C" w:rsidRDefault="00570E88">
            <w:pPr>
              <w:pStyle w:val="TableParagraph"/>
              <w:spacing w:before="42"/>
              <w:ind w:right="163"/>
              <w:jc w:val="right"/>
              <w:rPr>
                <w:sz w:val="13"/>
              </w:rPr>
            </w:pPr>
            <w:r>
              <w:rPr>
                <w:spacing w:val="-2"/>
                <w:sz w:val="13"/>
              </w:rPr>
              <w:t>12,128</w:t>
            </w:r>
          </w:p>
        </w:tc>
        <w:tc>
          <w:tcPr>
            <w:tcW w:w="563" w:type="dxa"/>
          </w:tcPr>
          <w:p w14:paraId="7101BE21" w14:textId="77777777" w:rsidR="00AC6F3C" w:rsidRDefault="00570E88">
            <w:pPr>
              <w:pStyle w:val="TableParagraph"/>
              <w:spacing w:before="42"/>
              <w:ind w:left="108" w:right="27"/>
              <w:jc w:val="center"/>
              <w:rPr>
                <w:sz w:val="13"/>
              </w:rPr>
            </w:pPr>
            <w:r>
              <w:rPr>
                <w:spacing w:val="-2"/>
                <w:sz w:val="13"/>
              </w:rPr>
              <w:t>15,422</w:t>
            </w:r>
          </w:p>
        </w:tc>
        <w:tc>
          <w:tcPr>
            <w:tcW w:w="732" w:type="dxa"/>
            <w:tcBorders>
              <w:right w:val="single" w:sz="6" w:space="0" w:color="000000"/>
            </w:tcBorders>
          </w:tcPr>
          <w:p w14:paraId="6AE7DF9D" w14:textId="77777777" w:rsidR="00AC6F3C" w:rsidRDefault="00570E88">
            <w:pPr>
              <w:pStyle w:val="TableParagraph"/>
              <w:spacing w:before="42"/>
              <w:ind w:left="247"/>
              <w:rPr>
                <w:sz w:val="13"/>
              </w:rPr>
            </w:pPr>
            <w:r>
              <w:rPr>
                <w:spacing w:val="-2"/>
                <w:sz w:val="13"/>
              </w:rPr>
              <w:t>59,074</w:t>
            </w:r>
          </w:p>
        </w:tc>
      </w:tr>
      <w:tr w:rsidR="00AC6F3C" w14:paraId="12293ADA" w14:textId="77777777">
        <w:trPr>
          <w:trHeight w:val="216"/>
        </w:trPr>
        <w:tc>
          <w:tcPr>
            <w:tcW w:w="3029" w:type="dxa"/>
            <w:tcBorders>
              <w:left w:val="single" w:sz="6" w:space="0" w:color="000000"/>
            </w:tcBorders>
          </w:tcPr>
          <w:p w14:paraId="5F8CCC27" w14:textId="77777777" w:rsidR="00AC6F3C" w:rsidRDefault="00570E88">
            <w:pPr>
              <w:pStyle w:val="TableParagraph"/>
              <w:spacing w:before="20"/>
              <w:ind w:left="25"/>
              <w:rPr>
                <w:sz w:val="13"/>
              </w:rPr>
            </w:pPr>
            <w:r>
              <w:rPr>
                <w:sz w:val="13"/>
              </w:rPr>
              <w:t>Risk</w:t>
            </w:r>
            <w:r>
              <w:rPr>
                <w:spacing w:val="9"/>
                <w:sz w:val="13"/>
              </w:rPr>
              <w:t xml:space="preserve"> </w:t>
            </w:r>
            <w:r>
              <w:rPr>
                <w:spacing w:val="-2"/>
                <w:sz w:val="13"/>
              </w:rPr>
              <w:t>margin</w:t>
            </w:r>
          </w:p>
        </w:tc>
        <w:tc>
          <w:tcPr>
            <w:tcW w:w="694" w:type="dxa"/>
          </w:tcPr>
          <w:p w14:paraId="3780E3D0" w14:textId="77777777" w:rsidR="00AC6F3C" w:rsidRDefault="00AC6F3C">
            <w:pPr>
              <w:pStyle w:val="TableParagraph"/>
              <w:rPr>
                <w:rFonts w:ascii="Times New Roman"/>
                <w:sz w:val="14"/>
              </w:rPr>
            </w:pPr>
          </w:p>
        </w:tc>
        <w:tc>
          <w:tcPr>
            <w:tcW w:w="694" w:type="dxa"/>
          </w:tcPr>
          <w:p w14:paraId="66B06EC3" w14:textId="77777777" w:rsidR="00AC6F3C" w:rsidRDefault="00AC6F3C">
            <w:pPr>
              <w:pStyle w:val="TableParagraph"/>
              <w:rPr>
                <w:rFonts w:ascii="Times New Roman"/>
                <w:sz w:val="14"/>
              </w:rPr>
            </w:pPr>
          </w:p>
        </w:tc>
        <w:tc>
          <w:tcPr>
            <w:tcW w:w="671" w:type="dxa"/>
          </w:tcPr>
          <w:p w14:paraId="199624A1" w14:textId="77777777" w:rsidR="00AC6F3C" w:rsidRDefault="00AC6F3C">
            <w:pPr>
              <w:pStyle w:val="TableParagraph"/>
              <w:rPr>
                <w:rFonts w:ascii="Times New Roman"/>
                <w:sz w:val="14"/>
              </w:rPr>
            </w:pPr>
          </w:p>
        </w:tc>
        <w:tc>
          <w:tcPr>
            <w:tcW w:w="718" w:type="dxa"/>
          </w:tcPr>
          <w:p w14:paraId="3007FCA5" w14:textId="77777777" w:rsidR="00AC6F3C" w:rsidRDefault="00AC6F3C">
            <w:pPr>
              <w:pStyle w:val="TableParagraph"/>
              <w:rPr>
                <w:rFonts w:ascii="Times New Roman"/>
                <w:sz w:val="14"/>
              </w:rPr>
            </w:pPr>
          </w:p>
        </w:tc>
        <w:tc>
          <w:tcPr>
            <w:tcW w:w="695" w:type="dxa"/>
          </w:tcPr>
          <w:p w14:paraId="3D741CB5" w14:textId="77777777" w:rsidR="00AC6F3C" w:rsidRDefault="00AC6F3C">
            <w:pPr>
              <w:pStyle w:val="TableParagraph"/>
              <w:rPr>
                <w:rFonts w:ascii="Times New Roman"/>
                <w:sz w:val="14"/>
              </w:rPr>
            </w:pPr>
          </w:p>
        </w:tc>
        <w:tc>
          <w:tcPr>
            <w:tcW w:w="695" w:type="dxa"/>
          </w:tcPr>
          <w:p w14:paraId="2A7E32A2" w14:textId="77777777" w:rsidR="00AC6F3C" w:rsidRDefault="00AC6F3C">
            <w:pPr>
              <w:pStyle w:val="TableParagraph"/>
              <w:rPr>
                <w:rFonts w:ascii="Times New Roman"/>
                <w:sz w:val="14"/>
              </w:rPr>
            </w:pPr>
          </w:p>
        </w:tc>
        <w:tc>
          <w:tcPr>
            <w:tcW w:w="563" w:type="dxa"/>
          </w:tcPr>
          <w:p w14:paraId="46693363" w14:textId="77777777" w:rsidR="00AC6F3C" w:rsidRDefault="00AC6F3C">
            <w:pPr>
              <w:pStyle w:val="TableParagraph"/>
              <w:rPr>
                <w:rFonts w:ascii="Times New Roman"/>
                <w:sz w:val="14"/>
              </w:rPr>
            </w:pPr>
          </w:p>
        </w:tc>
        <w:tc>
          <w:tcPr>
            <w:tcW w:w="732" w:type="dxa"/>
            <w:tcBorders>
              <w:right w:val="single" w:sz="6" w:space="0" w:color="000000"/>
            </w:tcBorders>
          </w:tcPr>
          <w:p w14:paraId="4CE54231" w14:textId="77777777" w:rsidR="00AC6F3C" w:rsidRDefault="00570E88">
            <w:pPr>
              <w:pStyle w:val="TableParagraph"/>
              <w:spacing w:before="42"/>
              <w:ind w:left="247"/>
              <w:rPr>
                <w:sz w:val="13"/>
              </w:rPr>
            </w:pPr>
            <w:r>
              <w:rPr>
                <w:spacing w:val="-2"/>
                <w:sz w:val="13"/>
              </w:rPr>
              <w:t>20,236</w:t>
            </w:r>
          </w:p>
        </w:tc>
      </w:tr>
      <w:tr w:rsidR="00AC6F3C" w14:paraId="1670936A" w14:textId="77777777">
        <w:trPr>
          <w:trHeight w:val="552"/>
        </w:trPr>
        <w:tc>
          <w:tcPr>
            <w:tcW w:w="3029" w:type="dxa"/>
            <w:tcBorders>
              <w:left w:val="single" w:sz="6" w:space="0" w:color="000000"/>
            </w:tcBorders>
          </w:tcPr>
          <w:p w14:paraId="52C389FF" w14:textId="77777777" w:rsidR="00AC6F3C" w:rsidRDefault="00570E88">
            <w:pPr>
              <w:pStyle w:val="TableParagraph"/>
              <w:spacing w:before="20"/>
              <w:ind w:left="25"/>
              <w:rPr>
                <w:sz w:val="13"/>
              </w:rPr>
            </w:pPr>
            <w:r>
              <w:rPr>
                <w:sz w:val="13"/>
              </w:rPr>
              <w:t>Provision</w:t>
            </w:r>
            <w:r>
              <w:rPr>
                <w:spacing w:val="4"/>
                <w:sz w:val="13"/>
              </w:rPr>
              <w:t xml:space="preserve"> </w:t>
            </w:r>
            <w:r>
              <w:rPr>
                <w:sz w:val="13"/>
              </w:rPr>
              <w:t>for claims</w:t>
            </w:r>
            <w:r>
              <w:rPr>
                <w:spacing w:val="14"/>
                <w:sz w:val="13"/>
              </w:rPr>
              <w:t xml:space="preserve"> </w:t>
            </w:r>
            <w:r>
              <w:rPr>
                <w:spacing w:val="-2"/>
                <w:sz w:val="13"/>
              </w:rPr>
              <w:t>handling</w:t>
            </w:r>
          </w:p>
          <w:p w14:paraId="3291DC72" w14:textId="77777777" w:rsidR="00AC6F3C" w:rsidRDefault="00570E88">
            <w:pPr>
              <w:pStyle w:val="TableParagraph"/>
              <w:spacing w:before="23" w:line="170" w:lineRule="atLeast"/>
              <w:ind w:left="25"/>
              <w:rPr>
                <w:b/>
                <w:sz w:val="13"/>
              </w:rPr>
            </w:pPr>
            <w:r>
              <w:rPr>
                <w:b/>
                <w:spacing w:val="-2"/>
                <w:sz w:val="13"/>
              </w:rPr>
              <w:t>Total</w:t>
            </w:r>
            <w:r>
              <w:rPr>
                <w:b/>
                <w:spacing w:val="-7"/>
                <w:sz w:val="13"/>
              </w:rPr>
              <w:t xml:space="preserve"> </w:t>
            </w:r>
            <w:r>
              <w:rPr>
                <w:b/>
                <w:spacing w:val="-2"/>
                <w:sz w:val="13"/>
              </w:rPr>
              <w:t>gross outstanding</w:t>
            </w:r>
            <w:r>
              <w:rPr>
                <w:b/>
                <w:spacing w:val="-7"/>
                <w:sz w:val="13"/>
              </w:rPr>
              <w:t xml:space="preserve"> </w:t>
            </w:r>
            <w:r>
              <w:rPr>
                <w:b/>
                <w:spacing w:val="-2"/>
                <w:sz w:val="13"/>
              </w:rPr>
              <w:t>claims included</w:t>
            </w:r>
            <w:r>
              <w:rPr>
                <w:b/>
                <w:spacing w:val="-7"/>
                <w:sz w:val="13"/>
              </w:rPr>
              <w:t xml:space="preserve"> </w:t>
            </w:r>
            <w:r>
              <w:rPr>
                <w:b/>
                <w:spacing w:val="-2"/>
                <w:sz w:val="13"/>
              </w:rPr>
              <w:t>in</w:t>
            </w:r>
            <w:r>
              <w:rPr>
                <w:b/>
                <w:spacing w:val="-7"/>
                <w:sz w:val="13"/>
              </w:rPr>
              <w:t xml:space="preserve"> </w:t>
            </w:r>
            <w:r>
              <w:rPr>
                <w:b/>
                <w:spacing w:val="-2"/>
                <w:sz w:val="13"/>
              </w:rPr>
              <w:t>the</w:t>
            </w:r>
            <w:r>
              <w:rPr>
                <w:b/>
                <w:spacing w:val="40"/>
                <w:sz w:val="13"/>
              </w:rPr>
              <w:t xml:space="preserve"> </w:t>
            </w:r>
            <w:r>
              <w:rPr>
                <w:b/>
                <w:sz w:val="13"/>
              </w:rPr>
              <w:t>Statement of Financial Position</w:t>
            </w:r>
          </w:p>
        </w:tc>
        <w:tc>
          <w:tcPr>
            <w:tcW w:w="694" w:type="dxa"/>
          </w:tcPr>
          <w:p w14:paraId="20C2CEF8" w14:textId="77777777" w:rsidR="00AC6F3C" w:rsidRDefault="00AC6F3C">
            <w:pPr>
              <w:pStyle w:val="TableParagraph"/>
              <w:rPr>
                <w:rFonts w:ascii="Times New Roman"/>
                <w:sz w:val="14"/>
              </w:rPr>
            </w:pPr>
          </w:p>
        </w:tc>
        <w:tc>
          <w:tcPr>
            <w:tcW w:w="694" w:type="dxa"/>
          </w:tcPr>
          <w:p w14:paraId="6C8AB37E" w14:textId="77777777" w:rsidR="00AC6F3C" w:rsidRDefault="00AC6F3C">
            <w:pPr>
              <w:pStyle w:val="TableParagraph"/>
              <w:rPr>
                <w:rFonts w:ascii="Times New Roman"/>
                <w:sz w:val="14"/>
              </w:rPr>
            </w:pPr>
          </w:p>
        </w:tc>
        <w:tc>
          <w:tcPr>
            <w:tcW w:w="671" w:type="dxa"/>
          </w:tcPr>
          <w:p w14:paraId="2014D9D8" w14:textId="77777777" w:rsidR="00AC6F3C" w:rsidRDefault="00AC6F3C">
            <w:pPr>
              <w:pStyle w:val="TableParagraph"/>
              <w:rPr>
                <w:rFonts w:ascii="Times New Roman"/>
                <w:sz w:val="14"/>
              </w:rPr>
            </w:pPr>
          </w:p>
        </w:tc>
        <w:tc>
          <w:tcPr>
            <w:tcW w:w="718" w:type="dxa"/>
          </w:tcPr>
          <w:p w14:paraId="5AF5EAB1" w14:textId="77777777" w:rsidR="00AC6F3C" w:rsidRDefault="00AC6F3C">
            <w:pPr>
              <w:pStyle w:val="TableParagraph"/>
              <w:rPr>
                <w:rFonts w:ascii="Times New Roman"/>
                <w:sz w:val="14"/>
              </w:rPr>
            </w:pPr>
          </w:p>
        </w:tc>
        <w:tc>
          <w:tcPr>
            <w:tcW w:w="695" w:type="dxa"/>
          </w:tcPr>
          <w:p w14:paraId="27395D1F" w14:textId="77777777" w:rsidR="00AC6F3C" w:rsidRDefault="00AC6F3C">
            <w:pPr>
              <w:pStyle w:val="TableParagraph"/>
              <w:rPr>
                <w:rFonts w:ascii="Times New Roman"/>
                <w:sz w:val="14"/>
              </w:rPr>
            </w:pPr>
          </w:p>
        </w:tc>
        <w:tc>
          <w:tcPr>
            <w:tcW w:w="695" w:type="dxa"/>
          </w:tcPr>
          <w:p w14:paraId="5EB6396A" w14:textId="77777777" w:rsidR="00AC6F3C" w:rsidRDefault="00AC6F3C">
            <w:pPr>
              <w:pStyle w:val="TableParagraph"/>
              <w:rPr>
                <w:rFonts w:ascii="Times New Roman"/>
                <w:sz w:val="14"/>
              </w:rPr>
            </w:pPr>
          </w:p>
        </w:tc>
        <w:tc>
          <w:tcPr>
            <w:tcW w:w="563" w:type="dxa"/>
          </w:tcPr>
          <w:p w14:paraId="0FC57878" w14:textId="77777777" w:rsidR="00AC6F3C" w:rsidRDefault="00AC6F3C">
            <w:pPr>
              <w:pStyle w:val="TableParagraph"/>
              <w:rPr>
                <w:rFonts w:ascii="Times New Roman"/>
                <w:sz w:val="14"/>
              </w:rPr>
            </w:pPr>
          </w:p>
        </w:tc>
        <w:tc>
          <w:tcPr>
            <w:tcW w:w="732" w:type="dxa"/>
            <w:tcBorders>
              <w:right w:val="single" w:sz="6" w:space="0" w:color="000000"/>
            </w:tcBorders>
          </w:tcPr>
          <w:p w14:paraId="25AB48B8" w14:textId="77777777" w:rsidR="00AC6F3C" w:rsidRDefault="00570E88">
            <w:pPr>
              <w:pStyle w:val="TableParagraph"/>
              <w:tabs>
                <w:tab w:val="left" w:pos="322"/>
              </w:tabs>
              <w:spacing w:before="42"/>
              <w:ind w:left="30" w:right="-15"/>
              <w:rPr>
                <w:sz w:val="13"/>
              </w:rPr>
            </w:pPr>
            <w:r>
              <w:rPr>
                <w:sz w:val="13"/>
                <w:u w:val="single"/>
              </w:rPr>
              <w:tab/>
            </w:r>
            <w:r>
              <w:rPr>
                <w:spacing w:val="-2"/>
                <w:sz w:val="13"/>
                <w:u w:val="single"/>
              </w:rPr>
              <w:t>6,865</w:t>
            </w:r>
            <w:r>
              <w:rPr>
                <w:spacing w:val="80"/>
                <w:sz w:val="13"/>
                <w:u w:val="single"/>
              </w:rPr>
              <w:t xml:space="preserve"> </w:t>
            </w:r>
          </w:p>
          <w:p w14:paraId="37118C5E" w14:textId="77777777" w:rsidR="00AC6F3C" w:rsidRDefault="00AC6F3C">
            <w:pPr>
              <w:pStyle w:val="TableParagraph"/>
              <w:spacing w:before="2"/>
              <w:rPr>
                <w:b/>
                <w:sz w:val="17"/>
              </w:rPr>
            </w:pPr>
          </w:p>
          <w:p w14:paraId="3742BD9A" w14:textId="77777777" w:rsidR="00AC6F3C" w:rsidRDefault="00570E88">
            <w:pPr>
              <w:pStyle w:val="TableParagraph"/>
              <w:spacing w:line="144" w:lineRule="exact"/>
              <w:ind w:left="247"/>
              <w:rPr>
                <w:b/>
                <w:sz w:val="13"/>
              </w:rPr>
            </w:pPr>
            <w:r>
              <w:rPr>
                <w:b/>
                <w:spacing w:val="-2"/>
                <w:sz w:val="13"/>
              </w:rPr>
              <w:t>86,175</w:t>
            </w:r>
          </w:p>
        </w:tc>
      </w:tr>
      <w:tr w:rsidR="00AC6F3C" w14:paraId="054449A3" w14:textId="77777777">
        <w:trPr>
          <w:trHeight w:val="357"/>
        </w:trPr>
        <w:tc>
          <w:tcPr>
            <w:tcW w:w="3029" w:type="dxa"/>
            <w:tcBorders>
              <w:left w:val="single" w:sz="6" w:space="0" w:color="000000"/>
            </w:tcBorders>
          </w:tcPr>
          <w:p w14:paraId="77D41482" w14:textId="77777777" w:rsidR="00AC6F3C" w:rsidRDefault="00570E88">
            <w:pPr>
              <w:pStyle w:val="TableParagraph"/>
              <w:spacing w:before="10"/>
              <w:ind w:left="25"/>
              <w:rPr>
                <w:sz w:val="13"/>
              </w:rPr>
            </w:pPr>
            <w:r>
              <w:rPr>
                <w:sz w:val="13"/>
              </w:rPr>
              <w:t>Movement</w:t>
            </w:r>
            <w:r>
              <w:rPr>
                <w:spacing w:val="-6"/>
                <w:sz w:val="13"/>
              </w:rPr>
              <w:t xml:space="preserve"> </w:t>
            </w:r>
            <w:r>
              <w:rPr>
                <w:sz w:val="13"/>
              </w:rPr>
              <w:t>in</w:t>
            </w:r>
            <w:r>
              <w:rPr>
                <w:spacing w:val="2"/>
                <w:sz w:val="13"/>
              </w:rPr>
              <w:t xml:space="preserve"> </w:t>
            </w:r>
            <w:r>
              <w:rPr>
                <w:sz w:val="13"/>
              </w:rPr>
              <w:t>accident</w:t>
            </w:r>
            <w:r>
              <w:rPr>
                <w:spacing w:val="-6"/>
                <w:sz w:val="13"/>
              </w:rPr>
              <w:t xml:space="preserve"> </w:t>
            </w:r>
            <w:r>
              <w:rPr>
                <w:sz w:val="13"/>
              </w:rPr>
              <w:t>year</w:t>
            </w:r>
            <w:r>
              <w:rPr>
                <w:spacing w:val="-2"/>
                <w:sz w:val="13"/>
              </w:rPr>
              <w:t xml:space="preserve"> </w:t>
            </w:r>
            <w:r>
              <w:rPr>
                <w:sz w:val="13"/>
              </w:rPr>
              <w:t>estimate</w:t>
            </w:r>
            <w:r>
              <w:rPr>
                <w:spacing w:val="2"/>
                <w:sz w:val="13"/>
              </w:rPr>
              <w:t xml:space="preserve"> </w:t>
            </w:r>
            <w:r>
              <w:rPr>
                <w:spacing w:val="-2"/>
                <w:sz w:val="13"/>
              </w:rPr>
              <w:t>before</w:t>
            </w:r>
          </w:p>
          <w:p w14:paraId="1E23B89D" w14:textId="77777777" w:rsidR="00AC6F3C" w:rsidRDefault="00570E88">
            <w:pPr>
              <w:pStyle w:val="TableParagraph"/>
              <w:spacing w:before="23"/>
              <w:ind w:left="25"/>
              <w:rPr>
                <w:sz w:val="13"/>
              </w:rPr>
            </w:pPr>
            <w:r>
              <w:rPr>
                <w:sz w:val="13"/>
              </w:rPr>
              <w:t>discounting</w:t>
            </w:r>
            <w:r>
              <w:rPr>
                <w:spacing w:val="10"/>
                <w:sz w:val="13"/>
              </w:rPr>
              <w:t xml:space="preserve"> </w:t>
            </w:r>
            <w:r>
              <w:rPr>
                <w:sz w:val="13"/>
              </w:rPr>
              <w:t>and</w:t>
            </w:r>
            <w:r>
              <w:rPr>
                <w:spacing w:val="11"/>
                <w:sz w:val="13"/>
              </w:rPr>
              <w:t xml:space="preserve"> </w:t>
            </w:r>
            <w:r>
              <w:rPr>
                <w:spacing w:val="-2"/>
                <w:sz w:val="13"/>
              </w:rPr>
              <w:t>margins</w:t>
            </w:r>
          </w:p>
        </w:tc>
        <w:tc>
          <w:tcPr>
            <w:tcW w:w="694" w:type="dxa"/>
          </w:tcPr>
          <w:p w14:paraId="5B6E1C66" w14:textId="77777777" w:rsidR="00AC6F3C" w:rsidRDefault="00AC6F3C">
            <w:pPr>
              <w:pStyle w:val="TableParagraph"/>
              <w:spacing w:before="10"/>
              <w:rPr>
                <w:b/>
                <w:sz w:val="15"/>
              </w:rPr>
            </w:pPr>
          </w:p>
          <w:p w14:paraId="2A446C31" w14:textId="77777777" w:rsidR="00AC6F3C" w:rsidRDefault="00570E88">
            <w:pPr>
              <w:pStyle w:val="TableParagraph"/>
              <w:ind w:left="189" w:right="37"/>
              <w:jc w:val="center"/>
              <w:rPr>
                <w:sz w:val="13"/>
              </w:rPr>
            </w:pPr>
            <w:r>
              <w:rPr>
                <w:spacing w:val="-2"/>
                <w:sz w:val="13"/>
              </w:rPr>
              <w:t>(822)</w:t>
            </w:r>
          </w:p>
        </w:tc>
        <w:tc>
          <w:tcPr>
            <w:tcW w:w="694" w:type="dxa"/>
          </w:tcPr>
          <w:p w14:paraId="1DF7664D" w14:textId="77777777" w:rsidR="00AC6F3C" w:rsidRDefault="00AC6F3C">
            <w:pPr>
              <w:pStyle w:val="TableParagraph"/>
              <w:spacing w:before="10"/>
              <w:rPr>
                <w:b/>
                <w:sz w:val="15"/>
              </w:rPr>
            </w:pPr>
          </w:p>
          <w:p w14:paraId="371C4AED" w14:textId="77777777" w:rsidR="00AC6F3C" w:rsidRDefault="00570E88">
            <w:pPr>
              <w:pStyle w:val="TableParagraph"/>
              <w:ind w:right="110"/>
              <w:jc w:val="right"/>
              <w:rPr>
                <w:sz w:val="13"/>
              </w:rPr>
            </w:pPr>
            <w:r>
              <w:rPr>
                <w:spacing w:val="-2"/>
                <w:sz w:val="13"/>
              </w:rPr>
              <w:t>(571)</w:t>
            </w:r>
          </w:p>
        </w:tc>
        <w:tc>
          <w:tcPr>
            <w:tcW w:w="671" w:type="dxa"/>
          </w:tcPr>
          <w:p w14:paraId="53732D5B" w14:textId="77777777" w:rsidR="00AC6F3C" w:rsidRDefault="00AC6F3C">
            <w:pPr>
              <w:pStyle w:val="TableParagraph"/>
              <w:spacing w:before="10"/>
              <w:rPr>
                <w:b/>
                <w:sz w:val="15"/>
              </w:rPr>
            </w:pPr>
          </w:p>
          <w:p w14:paraId="049FCBF0" w14:textId="77777777" w:rsidR="00AC6F3C" w:rsidRDefault="00570E88">
            <w:pPr>
              <w:pStyle w:val="TableParagraph"/>
              <w:ind w:right="135"/>
              <w:jc w:val="right"/>
              <w:rPr>
                <w:sz w:val="13"/>
              </w:rPr>
            </w:pPr>
            <w:r>
              <w:rPr>
                <w:spacing w:val="-5"/>
                <w:sz w:val="13"/>
              </w:rPr>
              <w:t>764</w:t>
            </w:r>
          </w:p>
        </w:tc>
        <w:tc>
          <w:tcPr>
            <w:tcW w:w="718" w:type="dxa"/>
          </w:tcPr>
          <w:p w14:paraId="015F5B6E" w14:textId="77777777" w:rsidR="00AC6F3C" w:rsidRDefault="00AC6F3C">
            <w:pPr>
              <w:pStyle w:val="TableParagraph"/>
              <w:spacing w:before="10"/>
              <w:rPr>
                <w:b/>
                <w:sz w:val="15"/>
              </w:rPr>
            </w:pPr>
          </w:p>
          <w:p w14:paraId="42434900" w14:textId="77777777" w:rsidR="00AC6F3C" w:rsidRDefault="00570E88">
            <w:pPr>
              <w:pStyle w:val="TableParagraph"/>
              <w:ind w:left="139" w:right="77"/>
              <w:jc w:val="center"/>
              <w:rPr>
                <w:sz w:val="13"/>
              </w:rPr>
            </w:pPr>
            <w:r>
              <w:rPr>
                <w:spacing w:val="-2"/>
                <w:sz w:val="13"/>
              </w:rPr>
              <w:t>(1,118)</w:t>
            </w:r>
          </w:p>
        </w:tc>
        <w:tc>
          <w:tcPr>
            <w:tcW w:w="695" w:type="dxa"/>
          </w:tcPr>
          <w:p w14:paraId="2A546E21" w14:textId="77777777" w:rsidR="00AC6F3C" w:rsidRDefault="00AC6F3C">
            <w:pPr>
              <w:pStyle w:val="TableParagraph"/>
              <w:spacing w:before="10"/>
              <w:rPr>
                <w:b/>
                <w:sz w:val="15"/>
              </w:rPr>
            </w:pPr>
          </w:p>
          <w:p w14:paraId="0411A0DD" w14:textId="77777777" w:rsidR="00AC6F3C" w:rsidRDefault="00570E88">
            <w:pPr>
              <w:pStyle w:val="TableParagraph"/>
              <w:ind w:left="195"/>
              <w:rPr>
                <w:sz w:val="13"/>
              </w:rPr>
            </w:pPr>
            <w:r>
              <w:rPr>
                <w:spacing w:val="-2"/>
                <w:sz w:val="13"/>
              </w:rPr>
              <w:t>6,380</w:t>
            </w:r>
          </w:p>
        </w:tc>
        <w:tc>
          <w:tcPr>
            <w:tcW w:w="695" w:type="dxa"/>
          </w:tcPr>
          <w:p w14:paraId="3354EC98" w14:textId="77777777" w:rsidR="00AC6F3C" w:rsidRDefault="00AC6F3C">
            <w:pPr>
              <w:pStyle w:val="TableParagraph"/>
              <w:spacing w:before="10"/>
              <w:rPr>
                <w:b/>
                <w:sz w:val="15"/>
              </w:rPr>
            </w:pPr>
          </w:p>
          <w:p w14:paraId="5C05406F" w14:textId="77777777" w:rsidR="00AC6F3C" w:rsidRDefault="00570E88">
            <w:pPr>
              <w:pStyle w:val="TableParagraph"/>
              <w:ind w:right="116"/>
              <w:jc w:val="right"/>
              <w:rPr>
                <w:sz w:val="13"/>
              </w:rPr>
            </w:pPr>
            <w:r>
              <w:rPr>
                <w:spacing w:val="-2"/>
                <w:sz w:val="13"/>
              </w:rPr>
              <w:t>(100)</w:t>
            </w:r>
          </w:p>
        </w:tc>
        <w:tc>
          <w:tcPr>
            <w:tcW w:w="563" w:type="dxa"/>
          </w:tcPr>
          <w:p w14:paraId="5085CB86" w14:textId="77777777" w:rsidR="00AC6F3C" w:rsidRDefault="00AC6F3C">
            <w:pPr>
              <w:pStyle w:val="TableParagraph"/>
              <w:spacing w:before="10"/>
              <w:rPr>
                <w:b/>
                <w:sz w:val="15"/>
              </w:rPr>
            </w:pPr>
          </w:p>
          <w:p w14:paraId="37DDAE6B" w14:textId="77777777" w:rsidR="00AC6F3C" w:rsidRDefault="00570E88">
            <w:pPr>
              <w:pStyle w:val="TableParagraph"/>
              <w:ind w:left="108" w:right="27"/>
              <w:jc w:val="center"/>
              <w:rPr>
                <w:sz w:val="13"/>
              </w:rPr>
            </w:pPr>
            <w:r>
              <w:rPr>
                <w:spacing w:val="-2"/>
                <w:sz w:val="13"/>
              </w:rPr>
              <w:t>18,397</w:t>
            </w:r>
          </w:p>
        </w:tc>
        <w:tc>
          <w:tcPr>
            <w:tcW w:w="732" w:type="dxa"/>
            <w:tcBorders>
              <w:right w:val="single" w:sz="6" w:space="0" w:color="000000"/>
            </w:tcBorders>
          </w:tcPr>
          <w:p w14:paraId="4E791770" w14:textId="77777777" w:rsidR="00AC6F3C" w:rsidRDefault="00AC6F3C">
            <w:pPr>
              <w:pStyle w:val="TableParagraph"/>
              <w:spacing w:before="10"/>
              <w:rPr>
                <w:b/>
                <w:sz w:val="15"/>
              </w:rPr>
            </w:pPr>
          </w:p>
          <w:p w14:paraId="1684F1FE" w14:textId="77777777" w:rsidR="00AC6F3C" w:rsidRDefault="00570E88">
            <w:pPr>
              <w:pStyle w:val="TableParagraph"/>
              <w:ind w:left="247"/>
              <w:rPr>
                <w:sz w:val="13"/>
              </w:rPr>
            </w:pPr>
            <w:r>
              <w:rPr>
                <w:spacing w:val="-2"/>
                <w:sz w:val="13"/>
              </w:rPr>
              <w:t>22,930</w:t>
            </w:r>
          </w:p>
        </w:tc>
      </w:tr>
      <w:tr w:rsidR="00AC6F3C" w14:paraId="7F556227" w14:textId="77777777">
        <w:trPr>
          <w:trHeight w:val="216"/>
        </w:trPr>
        <w:tc>
          <w:tcPr>
            <w:tcW w:w="3029" w:type="dxa"/>
            <w:tcBorders>
              <w:left w:val="single" w:sz="6" w:space="0" w:color="000000"/>
            </w:tcBorders>
          </w:tcPr>
          <w:p w14:paraId="27C993B6" w14:textId="77777777" w:rsidR="00AC6F3C" w:rsidRDefault="00570E88">
            <w:pPr>
              <w:pStyle w:val="TableParagraph"/>
              <w:spacing w:before="20"/>
              <w:ind w:left="25"/>
              <w:rPr>
                <w:sz w:val="13"/>
              </w:rPr>
            </w:pPr>
            <w:r>
              <w:rPr>
                <w:sz w:val="13"/>
              </w:rPr>
              <w:t>Movement</w:t>
            </w:r>
            <w:r>
              <w:rPr>
                <w:spacing w:val="-10"/>
                <w:sz w:val="13"/>
              </w:rPr>
              <w:t xml:space="preserve"> </w:t>
            </w:r>
            <w:r>
              <w:rPr>
                <w:sz w:val="13"/>
              </w:rPr>
              <w:t>in</w:t>
            </w:r>
            <w:r>
              <w:rPr>
                <w:spacing w:val="-2"/>
                <w:sz w:val="13"/>
              </w:rPr>
              <w:t xml:space="preserve"> </w:t>
            </w:r>
            <w:r>
              <w:rPr>
                <w:sz w:val="13"/>
              </w:rPr>
              <w:t>excess</w:t>
            </w:r>
            <w:r>
              <w:rPr>
                <w:spacing w:val="5"/>
                <w:sz w:val="13"/>
              </w:rPr>
              <w:t xml:space="preserve"> </w:t>
            </w:r>
            <w:r>
              <w:rPr>
                <w:spacing w:val="-2"/>
                <w:sz w:val="13"/>
              </w:rPr>
              <w:t>receivable</w:t>
            </w:r>
          </w:p>
        </w:tc>
        <w:tc>
          <w:tcPr>
            <w:tcW w:w="694" w:type="dxa"/>
          </w:tcPr>
          <w:p w14:paraId="7B346802" w14:textId="77777777" w:rsidR="00AC6F3C" w:rsidRDefault="00AC6F3C">
            <w:pPr>
              <w:pStyle w:val="TableParagraph"/>
              <w:rPr>
                <w:rFonts w:ascii="Times New Roman"/>
                <w:sz w:val="14"/>
              </w:rPr>
            </w:pPr>
          </w:p>
        </w:tc>
        <w:tc>
          <w:tcPr>
            <w:tcW w:w="694" w:type="dxa"/>
          </w:tcPr>
          <w:p w14:paraId="24870C17" w14:textId="77777777" w:rsidR="00AC6F3C" w:rsidRDefault="00AC6F3C">
            <w:pPr>
              <w:pStyle w:val="TableParagraph"/>
              <w:rPr>
                <w:rFonts w:ascii="Times New Roman"/>
                <w:sz w:val="14"/>
              </w:rPr>
            </w:pPr>
          </w:p>
        </w:tc>
        <w:tc>
          <w:tcPr>
            <w:tcW w:w="671" w:type="dxa"/>
          </w:tcPr>
          <w:p w14:paraId="6BE78F77" w14:textId="77777777" w:rsidR="00AC6F3C" w:rsidRDefault="00AC6F3C">
            <w:pPr>
              <w:pStyle w:val="TableParagraph"/>
              <w:rPr>
                <w:rFonts w:ascii="Times New Roman"/>
                <w:sz w:val="14"/>
              </w:rPr>
            </w:pPr>
          </w:p>
        </w:tc>
        <w:tc>
          <w:tcPr>
            <w:tcW w:w="718" w:type="dxa"/>
          </w:tcPr>
          <w:p w14:paraId="2D77C284" w14:textId="77777777" w:rsidR="00AC6F3C" w:rsidRDefault="00AC6F3C">
            <w:pPr>
              <w:pStyle w:val="TableParagraph"/>
              <w:rPr>
                <w:rFonts w:ascii="Times New Roman"/>
                <w:sz w:val="14"/>
              </w:rPr>
            </w:pPr>
          </w:p>
        </w:tc>
        <w:tc>
          <w:tcPr>
            <w:tcW w:w="695" w:type="dxa"/>
          </w:tcPr>
          <w:p w14:paraId="666E0636" w14:textId="77777777" w:rsidR="00AC6F3C" w:rsidRDefault="00AC6F3C">
            <w:pPr>
              <w:pStyle w:val="TableParagraph"/>
              <w:rPr>
                <w:rFonts w:ascii="Times New Roman"/>
                <w:sz w:val="14"/>
              </w:rPr>
            </w:pPr>
          </w:p>
        </w:tc>
        <w:tc>
          <w:tcPr>
            <w:tcW w:w="695" w:type="dxa"/>
          </w:tcPr>
          <w:p w14:paraId="25F131AA" w14:textId="77777777" w:rsidR="00AC6F3C" w:rsidRDefault="00AC6F3C">
            <w:pPr>
              <w:pStyle w:val="TableParagraph"/>
              <w:rPr>
                <w:rFonts w:ascii="Times New Roman"/>
                <w:sz w:val="14"/>
              </w:rPr>
            </w:pPr>
          </w:p>
        </w:tc>
        <w:tc>
          <w:tcPr>
            <w:tcW w:w="563" w:type="dxa"/>
          </w:tcPr>
          <w:p w14:paraId="310B1DC0" w14:textId="77777777" w:rsidR="00AC6F3C" w:rsidRDefault="00AC6F3C">
            <w:pPr>
              <w:pStyle w:val="TableParagraph"/>
              <w:rPr>
                <w:rFonts w:ascii="Times New Roman"/>
                <w:sz w:val="14"/>
              </w:rPr>
            </w:pPr>
          </w:p>
        </w:tc>
        <w:tc>
          <w:tcPr>
            <w:tcW w:w="732" w:type="dxa"/>
            <w:tcBorders>
              <w:right w:val="single" w:sz="6" w:space="0" w:color="000000"/>
            </w:tcBorders>
          </w:tcPr>
          <w:p w14:paraId="1281242C" w14:textId="77777777" w:rsidR="00AC6F3C" w:rsidRDefault="00570E88">
            <w:pPr>
              <w:pStyle w:val="TableParagraph"/>
              <w:tabs>
                <w:tab w:val="left" w:pos="582"/>
              </w:tabs>
              <w:spacing w:before="42"/>
              <w:ind w:left="30" w:right="-15"/>
              <w:rPr>
                <w:sz w:val="13"/>
              </w:rPr>
            </w:pPr>
            <w:r>
              <w:rPr>
                <w:sz w:val="13"/>
                <w:u w:val="single"/>
              </w:rPr>
              <w:tab/>
            </w:r>
            <w:r>
              <w:rPr>
                <w:spacing w:val="-10"/>
                <w:sz w:val="13"/>
                <w:u w:val="single"/>
              </w:rPr>
              <w:t>5</w:t>
            </w:r>
            <w:r>
              <w:rPr>
                <w:spacing w:val="80"/>
                <w:sz w:val="13"/>
                <w:u w:val="single"/>
              </w:rPr>
              <w:t xml:space="preserve"> </w:t>
            </w:r>
          </w:p>
        </w:tc>
      </w:tr>
      <w:tr w:rsidR="00AC6F3C" w14:paraId="4DD97E25" w14:textId="77777777">
        <w:trPr>
          <w:trHeight w:val="325"/>
        </w:trPr>
        <w:tc>
          <w:tcPr>
            <w:tcW w:w="3029" w:type="dxa"/>
            <w:tcBorders>
              <w:left w:val="single" w:sz="6" w:space="0" w:color="000000"/>
            </w:tcBorders>
          </w:tcPr>
          <w:p w14:paraId="09A37EE3" w14:textId="77777777" w:rsidR="00AC6F3C" w:rsidRDefault="00570E88">
            <w:pPr>
              <w:pStyle w:val="TableParagraph"/>
              <w:spacing w:before="20"/>
              <w:ind w:left="25"/>
              <w:rPr>
                <w:sz w:val="13"/>
              </w:rPr>
            </w:pPr>
            <w:r>
              <w:rPr>
                <w:sz w:val="13"/>
              </w:rPr>
              <w:t>Gross</w:t>
            </w:r>
            <w:r>
              <w:rPr>
                <w:spacing w:val="16"/>
                <w:sz w:val="13"/>
              </w:rPr>
              <w:t xml:space="preserve"> </w:t>
            </w:r>
            <w:r>
              <w:rPr>
                <w:sz w:val="13"/>
              </w:rPr>
              <w:t>claims</w:t>
            </w:r>
            <w:r>
              <w:rPr>
                <w:spacing w:val="16"/>
                <w:sz w:val="13"/>
              </w:rPr>
              <w:t xml:space="preserve"> </w:t>
            </w:r>
            <w:r>
              <w:rPr>
                <w:spacing w:val="-2"/>
                <w:sz w:val="13"/>
              </w:rPr>
              <w:t>incurred</w:t>
            </w:r>
          </w:p>
        </w:tc>
        <w:tc>
          <w:tcPr>
            <w:tcW w:w="694" w:type="dxa"/>
          </w:tcPr>
          <w:p w14:paraId="604782BC" w14:textId="77777777" w:rsidR="00AC6F3C" w:rsidRDefault="00AC6F3C">
            <w:pPr>
              <w:pStyle w:val="TableParagraph"/>
              <w:rPr>
                <w:rFonts w:ascii="Times New Roman"/>
                <w:sz w:val="14"/>
              </w:rPr>
            </w:pPr>
          </w:p>
        </w:tc>
        <w:tc>
          <w:tcPr>
            <w:tcW w:w="694" w:type="dxa"/>
          </w:tcPr>
          <w:p w14:paraId="326F4FF2" w14:textId="77777777" w:rsidR="00AC6F3C" w:rsidRDefault="00AC6F3C">
            <w:pPr>
              <w:pStyle w:val="TableParagraph"/>
              <w:rPr>
                <w:rFonts w:ascii="Times New Roman"/>
                <w:sz w:val="14"/>
              </w:rPr>
            </w:pPr>
          </w:p>
        </w:tc>
        <w:tc>
          <w:tcPr>
            <w:tcW w:w="671" w:type="dxa"/>
          </w:tcPr>
          <w:p w14:paraId="735AD519" w14:textId="77777777" w:rsidR="00AC6F3C" w:rsidRDefault="00AC6F3C">
            <w:pPr>
              <w:pStyle w:val="TableParagraph"/>
              <w:rPr>
                <w:rFonts w:ascii="Times New Roman"/>
                <w:sz w:val="14"/>
              </w:rPr>
            </w:pPr>
          </w:p>
        </w:tc>
        <w:tc>
          <w:tcPr>
            <w:tcW w:w="718" w:type="dxa"/>
          </w:tcPr>
          <w:p w14:paraId="7EAE0648" w14:textId="77777777" w:rsidR="00AC6F3C" w:rsidRDefault="00AC6F3C">
            <w:pPr>
              <w:pStyle w:val="TableParagraph"/>
              <w:rPr>
                <w:rFonts w:ascii="Times New Roman"/>
                <w:sz w:val="14"/>
              </w:rPr>
            </w:pPr>
          </w:p>
        </w:tc>
        <w:tc>
          <w:tcPr>
            <w:tcW w:w="695" w:type="dxa"/>
          </w:tcPr>
          <w:p w14:paraId="7533EF11" w14:textId="77777777" w:rsidR="00AC6F3C" w:rsidRDefault="00AC6F3C">
            <w:pPr>
              <w:pStyle w:val="TableParagraph"/>
              <w:rPr>
                <w:rFonts w:ascii="Times New Roman"/>
                <w:sz w:val="14"/>
              </w:rPr>
            </w:pPr>
          </w:p>
        </w:tc>
        <w:tc>
          <w:tcPr>
            <w:tcW w:w="695" w:type="dxa"/>
          </w:tcPr>
          <w:p w14:paraId="64674334" w14:textId="77777777" w:rsidR="00AC6F3C" w:rsidRDefault="00AC6F3C">
            <w:pPr>
              <w:pStyle w:val="TableParagraph"/>
              <w:rPr>
                <w:rFonts w:ascii="Times New Roman"/>
                <w:sz w:val="14"/>
              </w:rPr>
            </w:pPr>
          </w:p>
        </w:tc>
        <w:tc>
          <w:tcPr>
            <w:tcW w:w="563" w:type="dxa"/>
          </w:tcPr>
          <w:p w14:paraId="688A0E9C" w14:textId="77777777" w:rsidR="00AC6F3C" w:rsidRDefault="00AC6F3C">
            <w:pPr>
              <w:pStyle w:val="TableParagraph"/>
              <w:rPr>
                <w:rFonts w:ascii="Times New Roman"/>
                <w:sz w:val="14"/>
              </w:rPr>
            </w:pPr>
          </w:p>
        </w:tc>
        <w:tc>
          <w:tcPr>
            <w:tcW w:w="732" w:type="dxa"/>
            <w:tcBorders>
              <w:right w:val="single" w:sz="6" w:space="0" w:color="000000"/>
            </w:tcBorders>
          </w:tcPr>
          <w:p w14:paraId="135F6605" w14:textId="77777777" w:rsidR="00AC6F3C" w:rsidRDefault="00570E88">
            <w:pPr>
              <w:pStyle w:val="TableParagraph"/>
              <w:spacing w:before="42"/>
              <w:ind w:left="30" w:right="-15"/>
              <w:rPr>
                <w:b/>
                <w:sz w:val="13"/>
              </w:rPr>
            </w:pPr>
            <w:r>
              <w:rPr>
                <w:b/>
                <w:spacing w:val="70"/>
                <w:sz w:val="13"/>
                <w:u w:val="single"/>
              </w:rPr>
              <w:t xml:space="preserve">  </w:t>
            </w:r>
            <w:r>
              <w:rPr>
                <w:b/>
                <w:spacing w:val="-2"/>
                <w:sz w:val="13"/>
                <w:u w:val="single"/>
              </w:rPr>
              <w:t>22,935</w:t>
            </w:r>
            <w:r>
              <w:rPr>
                <w:b/>
                <w:spacing w:val="80"/>
                <w:sz w:val="13"/>
                <w:u w:val="single"/>
              </w:rPr>
              <w:t xml:space="preserve"> </w:t>
            </w:r>
          </w:p>
        </w:tc>
      </w:tr>
      <w:tr w:rsidR="00AC6F3C" w14:paraId="583A8CDD" w14:textId="77777777">
        <w:trPr>
          <w:trHeight w:val="314"/>
        </w:trPr>
        <w:tc>
          <w:tcPr>
            <w:tcW w:w="3029" w:type="dxa"/>
            <w:tcBorders>
              <w:left w:val="single" w:sz="6" w:space="0" w:color="000000"/>
            </w:tcBorders>
          </w:tcPr>
          <w:p w14:paraId="2BC9315A" w14:textId="77777777" w:rsidR="00AC6F3C" w:rsidRDefault="00AC6F3C">
            <w:pPr>
              <w:pStyle w:val="TableParagraph"/>
              <w:spacing w:before="2"/>
              <w:rPr>
                <w:b/>
                <w:sz w:val="11"/>
              </w:rPr>
            </w:pPr>
          </w:p>
          <w:p w14:paraId="6077105A" w14:textId="77777777" w:rsidR="00AC6F3C" w:rsidRDefault="00570E88">
            <w:pPr>
              <w:pStyle w:val="TableParagraph"/>
              <w:ind w:left="25"/>
              <w:rPr>
                <w:b/>
                <w:sz w:val="13"/>
              </w:rPr>
            </w:pPr>
            <w:r>
              <w:rPr>
                <w:b/>
                <w:spacing w:val="-5"/>
                <w:sz w:val="13"/>
                <w:u w:val="single"/>
              </w:rPr>
              <w:t>Net</w:t>
            </w:r>
          </w:p>
        </w:tc>
        <w:tc>
          <w:tcPr>
            <w:tcW w:w="694" w:type="dxa"/>
          </w:tcPr>
          <w:p w14:paraId="52BB318C" w14:textId="77777777" w:rsidR="00AC6F3C" w:rsidRDefault="00AC6F3C">
            <w:pPr>
              <w:pStyle w:val="TableParagraph"/>
              <w:rPr>
                <w:rFonts w:ascii="Times New Roman"/>
                <w:sz w:val="14"/>
              </w:rPr>
            </w:pPr>
          </w:p>
        </w:tc>
        <w:tc>
          <w:tcPr>
            <w:tcW w:w="694" w:type="dxa"/>
          </w:tcPr>
          <w:p w14:paraId="7268B46D" w14:textId="77777777" w:rsidR="00AC6F3C" w:rsidRDefault="00AC6F3C">
            <w:pPr>
              <w:pStyle w:val="TableParagraph"/>
              <w:rPr>
                <w:rFonts w:ascii="Times New Roman"/>
                <w:sz w:val="14"/>
              </w:rPr>
            </w:pPr>
          </w:p>
        </w:tc>
        <w:tc>
          <w:tcPr>
            <w:tcW w:w="671" w:type="dxa"/>
          </w:tcPr>
          <w:p w14:paraId="35DEC15E" w14:textId="77777777" w:rsidR="00AC6F3C" w:rsidRDefault="00AC6F3C">
            <w:pPr>
              <w:pStyle w:val="TableParagraph"/>
              <w:rPr>
                <w:rFonts w:ascii="Times New Roman"/>
                <w:sz w:val="14"/>
              </w:rPr>
            </w:pPr>
          </w:p>
        </w:tc>
        <w:tc>
          <w:tcPr>
            <w:tcW w:w="718" w:type="dxa"/>
          </w:tcPr>
          <w:p w14:paraId="3DAD1215" w14:textId="77777777" w:rsidR="00AC6F3C" w:rsidRDefault="00AC6F3C">
            <w:pPr>
              <w:pStyle w:val="TableParagraph"/>
              <w:rPr>
                <w:rFonts w:ascii="Times New Roman"/>
                <w:sz w:val="14"/>
              </w:rPr>
            </w:pPr>
          </w:p>
        </w:tc>
        <w:tc>
          <w:tcPr>
            <w:tcW w:w="695" w:type="dxa"/>
          </w:tcPr>
          <w:p w14:paraId="339B8ECA" w14:textId="77777777" w:rsidR="00AC6F3C" w:rsidRDefault="00AC6F3C">
            <w:pPr>
              <w:pStyle w:val="TableParagraph"/>
              <w:rPr>
                <w:rFonts w:ascii="Times New Roman"/>
                <w:sz w:val="14"/>
              </w:rPr>
            </w:pPr>
          </w:p>
        </w:tc>
        <w:tc>
          <w:tcPr>
            <w:tcW w:w="695" w:type="dxa"/>
          </w:tcPr>
          <w:p w14:paraId="71C1A915" w14:textId="77777777" w:rsidR="00AC6F3C" w:rsidRDefault="00AC6F3C">
            <w:pPr>
              <w:pStyle w:val="TableParagraph"/>
              <w:rPr>
                <w:rFonts w:ascii="Times New Roman"/>
                <w:sz w:val="14"/>
              </w:rPr>
            </w:pPr>
          </w:p>
        </w:tc>
        <w:tc>
          <w:tcPr>
            <w:tcW w:w="563" w:type="dxa"/>
          </w:tcPr>
          <w:p w14:paraId="2D807255" w14:textId="77777777" w:rsidR="00AC6F3C" w:rsidRDefault="00AC6F3C">
            <w:pPr>
              <w:pStyle w:val="TableParagraph"/>
              <w:rPr>
                <w:rFonts w:ascii="Times New Roman"/>
                <w:sz w:val="14"/>
              </w:rPr>
            </w:pPr>
          </w:p>
        </w:tc>
        <w:tc>
          <w:tcPr>
            <w:tcW w:w="732" w:type="dxa"/>
            <w:tcBorders>
              <w:right w:val="single" w:sz="6" w:space="0" w:color="000000"/>
            </w:tcBorders>
          </w:tcPr>
          <w:p w14:paraId="33AEE957" w14:textId="77777777" w:rsidR="00AC6F3C" w:rsidRDefault="00AC6F3C">
            <w:pPr>
              <w:pStyle w:val="TableParagraph"/>
              <w:rPr>
                <w:rFonts w:ascii="Times New Roman"/>
                <w:sz w:val="14"/>
              </w:rPr>
            </w:pPr>
          </w:p>
        </w:tc>
      </w:tr>
      <w:tr w:rsidR="00AC6F3C" w14:paraId="14F844B9" w14:textId="77777777">
        <w:trPr>
          <w:trHeight w:val="216"/>
        </w:trPr>
        <w:tc>
          <w:tcPr>
            <w:tcW w:w="3029" w:type="dxa"/>
            <w:tcBorders>
              <w:left w:val="single" w:sz="6" w:space="0" w:color="000000"/>
            </w:tcBorders>
          </w:tcPr>
          <w:p w14:paraId="593AE774" w14:textId="77777777" w:rsidR="00AC6F3C" w:rsidRDefault="00570E88">
            <w:pPr>
              <w:pStyle w:val="TableParagraph"/>
              <w:spacing w:before="31"/>
              <w:ind w:left="25"/>
              <w:rPr>
                <w:sz w:val="13"/>
              </w:rPr>
            </w:pPr>
            <w:r>
              <w:rPr>
                <w:sz w:val="13"/>
              </w:rPr>
              <w:t>Estimate</w:t>
            </w:r>
            <w:r>
              <w:rPr>
                <w:spacing w:val="6"/>
                <w:sz w:val="13"/>
              </w:rPr>
              <w:t xml:space="preserve"> </w:t>
            </w:r>
            <w:r>
              <w:rPr>
                <w:sz w:val="13"/>
              </w:rPr>
              <w:t>of</w:t>
            </w:r>
            <w:r>
              <w:rPr>
                <w:spacing w:val="-1"/>
                <w:sz w:val="13"/>
              </w:rPr>
              <w:t xml:space="preserve"> </w:t>
            </w:r>
            <w:r>
              <w:rPr>
                <w:sz w:val="13"/>
              </w:rPr>
              <w:t>ultimate</w:t>
            </w:r>
            <w:r>
              <w:rPr>
                <w:spacing w:val="7"/>
                <w:sz w:val="13"/>
              </w:rPr>
              <w:t xml:space="preserve"> </w:t>
            </w:r>
            <w:r>
              <w:rPr>
                <w:spacing w:val="-2"/>
                <w:sz w:val="13"/>
              </w:rPr>
              <w:t>claims</w:t>
            </w:r>
          </w:p>
        </w:tc>
        <w:tc>
          <w:tcPr>
            <w:tcW w:w="694" w:type="dxa"/>
          </w:tcPr>
          <w:p w14:paraId="43CE3FEE" w14:textId="77777777" w:rsidR="00AC6F3C" w:rsidRDefault="00AC6F3C">
            <w:pPr>
              <w:pStyle w:val="TableParagraph"/>
              <w:rPr>
                <w:rFonts w:ascii="Times New Roman"/>
                <w:sz w:val="14"/>
              </w:rPr>
            </w:pPr>
          </w:p>
        </w:tc>
        <w:tc>
          <w:tcPr>
            <w:tcW w:w="694" w:type="dxa"/>
          </w:tcPr>
          <w:p w14:paraId="5A7771CA" w14:textId="77777777" w:rsidR="00AC6F3C" w:rsidRDefault="00AC6F3C">
            <w:pPr>
              <w:pStyle w:val="TableParagraph"/>
              <w:rPr>
                <w:rFonts w:ascii="Times New Roman"/>
                <w:sz w:val="14"/>
              </w:rPr>
            </w:pPr>
          </w:p>
        </w:tc>
        <w:tc>
          <w:tcPr>
            <w:tcW w:w="671" w:type="dxa"/>
          </w:tcPr>
          <w:p w14:paraId="3355348A" w14:textId="77777777" w:rsidR="00AC6F3C" w:rsidRDefault="00AC6F3C">
            <w:pPr>
              <w:pStyle w:val="TableParagraph"/>
              <w:rPr>
                <w:rFonts w:ascii="Times New Roman"/>
                <w:sz w:val="14"/>
              </w:rPr>
            </w:pPr>
          </w:p>
        </w:tc>
        <w:tc>
          <w:tcPr>
            <w:tcW w:w="718" w:type="dxa"/>
          </w:tcPr>
          <w:p w14:paraId="66CD6A06" w14:textId="77777777" w:rsidR="00AC6F3C" w:rsidRDefault="00AC6F3C">
            <w:pPr>
              <w:pStyle w:val="TableParagraph"/>
              <w:rPr>
                <w:rFonts w:ascii="Times New Roman"/>
                <w:sz w:val="14"/>
              </w:rPr>
            </w:pPr>
          </w:p>
        </w:tc>
        <w:tc>
          <w:tcPr>
            <w:tcW w:w="695" w:type="dxa"/>
          </w:tcPr>
          <w:p w14:paraId="7169447D" w14:textId="77777777" w:rsidR="00AC6F3C" w:rsidRDefault="00AC6F3C">
            <w:pPr>
              <w:pStyle w:val="TableParagraph"/>
              <w:rPr>
                <w:rFonts w:ascii="Times New Roman"/>
                <w:sz w:val="14"/>
              </w:rPr>
            </w:pPr>
          </w:p>
        </w:tc>
        <w:tc>
          <w:tcPr>
            <w:tcW w:w="695" w:type="dxa"/>
          </w:tcPr>
          <w:p w14:paraId="6E756738" w14:textId="77777777" w:rsidR="00AC6F3C" w:rsidRDefault="00AC6F3C">
            <w:pPr>
              <w:pStyle w:val="TableParagraph"/>
              <w:rPr>
                <w:rFonts w:ascii="Times New Roman"/>
                <w:sz w:val="14"/>
              </w:rPr>
            </w:pPr>
          </w:p>
        </w:tc>
        <w:tc>
          <w:tcPr>
            <w:tcW w:w="563" w:type="dxa"/>
          </w:tcPr>
          <w:p w14:paraId="2905BA45" w14:textId="77777777" w:rsidR="00AC6F3C" w:rsidRDefault="00AC6F3C">
            <w:pPr>
              <w:pStyle w:val="TableParagraph"/>
              <w:rPr>
                <w:rFonts w:ascii="Times New Roman"/>
                <w:sz w:val="14"/>
              </w:rPr>
            </w:pPr>
          </w:p>
        </w:tc>
        <w:tc>
          <w:tcPr>
            <w:tcW w:w="732" w:type="dxa"/>
            <w:tcBorders>
              <w:right w:val="single" w:sz="6" w:space="0" w:color="000000"/>
            </w:tcBorders>
          </w:tcPr>
          <w:p w14:paraId="5BC7A455" w14:textId="77777777" w:rsidR="00AC6F3C" w:rsidRDefault="00AC6F3C">
            <w:pPr>
              <w:pStyle w:val="TableParagraph"/>
              <w:rPr>
                <w:rFonts w:ascii="Times New Roman"/>
                <w:sz w:val="14"/>
              </w:rPr>
            </w:pPr>
          </w:p>
        </w:tc>
      </w:tr>
      <w:tr w:rsidR="00AC6F3C" w14:paraId="40948A63" w14:textId="77777777">
        <w:trPr>
          <w:trHeight w:val="216"/>
        </w:trPr>
        <w:tc>
          <w:tcPr>
            <w:tcW w:w="3029" w:type="dxa"/>
            <w:tcBorders>
              <w:left w:val="single" w:sz="6" w:space="0" w:color="000000"/>
            </w:tcBorders>
          </w:tcPr>
          <w:p w14:paraId="137119A4" w14:textId="77777777" w:rsidR="00AC6F3C" w:rsidRDefault="00570E88">
            <w:pPr>
              <w:pStyle w:val="TableParagraph"/>
              <w:spacing w:before="31"/>
              <w:ind w:left="25"/>
              <w:rPr>
                <w:sz w:val="13"/>
              </w:rPr>
            </w:pPr>
            <w:r>
              <w:rPr>
                <w:spacing w:val="-2"/>
                <w:sz w:val="13"/>
              </w:rPr>
              <w:t>Costs:</w:t>
            </w:r>
          </w:p>
        </w:tc>
        <w:tc>
          <w:tcPr>
            <w:tcW w:w="694" w:type="dxa"/>
          </w:tcPr>
          <w:p w14:paraId="74F17766" w14:textId="77777777" w:rsidR="00AC6F3C" w:rsidRDefault="00AC6F3C">
            <w:pPr>
              <w:pStyle w:val="TableParagraph"/>
              <w:rPr>
                <w:rFonts w:ascii="Times New Roman"/>
                <w:sz w:val="14"/>
              </w:rPr>
            </w:pPr>
          </w:p>
        </w:tc>
        <w:tc>
          <w:tcPr>
            <w:tcW w:w="694" w:type="dxa"/>
          </w:tcPr>
          <w:p w14:paraId="6E7E878D" w14:textId="77777777" w:rsidR="00AC6F3C" w:rsidRDefault="00AC6F3C">
            <w:pPr>
              <w:pStyle w:val="TableParagraph"/>
              <w:rPr>
                <w:rFonts w:ascii="Times New Roman"/>
                <w:sz w:val="14"/>
              </w:rPr>
            </w:pPr>
          </w:p>
        </w:tc>
        <w:tc>
          <w:tcPr>
            <w:tcW w:w="671" w:type="dxa"/>
          </w:tcPr>
          <w:p w14:paraId="07232409" w14:textId="77777777" w:rsidR="00AC6F3C" w:rsidRDefault="00AC6F3C">
            <w:pPr>
              <w:pStyle w:val="TableParagraph"/>
              <w:rPr>
                <w:rFonts w:ascii="Times New Roman"/>
                <w:sz w:val="14"/>
              </w:rPr>
            </w:pPr>
          </w:p>
        </w:tc>
        <w:tc>
          <w:tcPr>
            <w:tcW w:w="718" w:type="dxa"/>
          </w:tcPr>
          <w:p w14:paraId="6A2A31D4" w14:textId="77777777" w:rsidR="00AC6F3C" w:rsidRDefault="00AC6F3C">
            <w:pPr>
              <w:pStyle w:val="TableParagraph"/>
              <w:rPr>
                <w:rFonts w:ascii="Times New Roman"/>
                <w:sz w:val="14"/>
              </w:rPr>
            </w:pPr>
          </w:p>
        </w:tc>
        <w:tc>
          <w:tcPr>
            <w:tcW w:w="695" w:type="dxa"/>
          </w:tcPr>
          <w:p w14:paraId="6FC67392" w14:textId="77777777" w:rsidR="00AC6F3C" w:rsidRDefault="00AC6F3C">
            <w:pPr>
              <w:pStyle w:val="TableParagraph"/>
              <w:rPr>
                <w:rFonts w:ascii="Times New Roman"/>
                <w:sz w:val="14"/>
              </w:rPr>
            </w:pPr>
          </w:p>
        </w:tc>
        <w:tc>
          <w:tcPr>
            <w:tcW w:w="695" w:type="dxa"/>
          </w:tcPr>
          <w:p w14:paraId="2B4C94E9" w14:textId="77777777" w:rsidR="00AC6F3C" w:rsidRDefault="00AC6F3C">
            <w:pPr>
              <w:pStyle w:val="TableParagraph"/>
              <w:rPr>
                <w:rFonts w:ascii="Times New Roman"/>
                <w:sz w:val="14"/>
              </w:rPr>
            </w:pPr>
          </w:p>
        </w:tc>
        <w:tc>
          <w:tcPr>
            <w:tcW w:w="563" w:type="dxa"/>
          </w:tcPr>
          <w:p w14:paraId="33F985A3" w14:textId="77777777" w:rsidR="00AC6F3C" w:rsidRDefault="00AC6F3C">
            <w:pPr>
              <w:pStyle w:val="TableParagraph"/>
              <w:rPr>
                <w:rFonts w:ascii="Times New Roman"/>
                <w:sz w:val="14"/>
              </w:rPr>
            </w:pPr>
          </w:p>
        </w:tc>
        <w:tc>
          <w:tcPr>
            <w:tcW w:w="732" w:type="dxa"/>
            <w:tcBorders>
              <w:right w:val="single" w:sz="6" w:space="0" w:color="000000"/>
            </w:tcBorders>
          </w:tcPr>
          <w:p w14:paraId="068893A3" w14:textId="77777777" w:rsidR="00AC6F3C" w:rsidRDefault="00AC6F3C">
            <w:pPr>
              <w:pStyle w:val="TableParagraph"/>
              <w:rPr>
                <w:rFonts w:ascii="Times New Roman"/>
                <w:sz w:val="14"/>
              </w:rPr>
            </w:pPr>
          </w:p>
        </w:tc>
      </w:tr>
      <w:tr w:rsidR="00AC6F3C" w14:paraId="0260A0B2" w14:textId="77777777">
        <w:trPr>
          <w:trHeight w:val="227"/>
        </w:trPr>
        <w:tc>
          <w:tcPr>
            <w:tcW w:w="3029" w:type="dxa"/>
            <w:tcBorders>
              <w:left w:val="single" w:sz="6" w:space="0" w:color="000000"/>
            </w:tcBorders>
          </w:tcPr>
          <w:p w14:paraId="1D8DDE52" w14:textId="77777777" w:rsidR="00AC6F3C" w:rsidRDefault="00570E88">
            <w:pPr>
              <w:pStyle w:val="TableParagraph"/>
              <w:spacing w:before="31"/>
              <w:ind w:left="25"/>
              <w:rPr>
                <w:sz w:val="13"/>
              </w:rPr>
            </w:pPr>
            <w:r>
              <w:rPr>
                <w:sz w:val="13"/>
              </w:rPr>
              <w:t>·</w:t>
            </w:r>
            <w:r>
              <w:rPr>
                <w:spacing w:val="31"/>
                <w:sz w:val="13"/>
              </w:rPr>
              <w:t xml:space="preserve"> </w:t>
            </w:r>
            <w:r>
              <w:rPr>
                <w:sz w:val="13"/>
              </w:rPr>
              <w:t>at</w:t>
            </w:r>
            <w:r>
              <w:rPr>
                <w:spacing w:val="-7"/>
                <w:sz w:val="13"/>
              </w:rPr>
              <w:t xml:space="preserve"> </w:t>
            </w:r>
            <w:r>
              <w:rPr>
                <w:sz w:val="13"/>
              </w:rPr>
              <w:t>end</w:t>
            </w:r>
            <w:r>
              <w:rPr>
                <w:spacing w:val="1"/>
                <w:sz w:val="13"/>
              </w:rPr>
              <w:t xml:space="preserve"> </w:t>
            </w:r>
            <w:r>
              <w:rPr>
                <w:sz w:val="13"/>
              </w:rPr>
              <w:t>of</w:t>
            </w:r>
            <w:r>
              <w:rPr>
                <w:spacing w:val="-6"/>
                <w:sz w:val="13"/>
              </w:rPr>
              <w:t xml:space="preserve"> </w:t>
            </w:r>
            <w:r>
              <w:rPr>
                <w:sz w:val="13"/>
              </w:rPr>
              <w:t>reporting</w:t>
            </w:r>
            <w:r>
              <w:rPr>
                <w:spacing w:val="1"/>
                <w:sz w:val="13"/>
              </w:rPr>
              <w:t xml:space="preserve"> </w:t>
            </w:r>
            <w:r>
              <w:rPr>
                <w:spacing w:val="-4"/>
                <w:sz w:val="13"/>
              </w:rPr>
              <w:t>year</w:t>
            </w:r>
          </w:p>
        </w:tc>
        <w:tc>
          <w:tcPr>
            <w:tcW w:w="694" w:type="dxa"/>
          </w:tcPr>
          <w:p w14:paraId="6696A7E9" w14:textId="77777777" w:rsidR="00AC6F3C" w:rsidRDefault="00AC6F3C">
            <w:pPr>
              <w:pStyle w:val="TableParagraph"/>
              <w:rPr>
                <w:rFonts w:ascii="Times New Roman"/>
                <w:sz w:val="14"/>
              </w:rPr>
            </w:pPr>
          </w:p>
        </w:tc>
        <w:tc>
          <w:tcPr>
            <w:tcW w:w="694" w:type="dxa"/>
          </w:tcPr>
          <w:p w14:paraId="3CB4715B" w14:textId="77777777" w:rsidR="00AC6F3C" w:rsidRDefault="00570E88">
            <w:pPr>
              <w:pStyle w:val="TableParagraph"/>
              <w:spacing w:before="53"/>
              <w:ind w:left="122"/>
              <w:rPr>
                <w:sz w:val="13"/>
              </w:rPr>
            </w:pPr>
            <w:r>
              <w:rPr>
                <w:spacing w:val="-2"/>
                <w:sz w:val="13"/>
              </w:rPr>
              <w:t>19,834</w:t>
            </w:r>
          </w:p>
        </w:tc>
        <w:tc>
          <w:tcPr>
            <w:tcW w:w="671" w:type="dxa"/>
          </w:tcPr>
          <w:p w14:paraId="716D967C" w14:textId="77777777" w:rsidR="00AC6F3C" w:rsidRDefault="00570E88">
            <w:pPr>
              <w:pStyle w:val="TableParagraph"/>
              <w:spacing w:before="53"/>
              <w:ind w:right="135"/>
              <w:jc w:val="right"/>
              <w:rPr>
                <w:sz w:val="13"/>
              </w:rPr>
            </w:pPr>
            <w:r>
              <w:rPr>
                <w:spacing w:val="-2"/>
                <w:sz w:val="13"/>
              </w:rPr>
              <w:t>17,303</w:t>
            </w:r>
          </w:p>
        </w:tc>
        <w:tc>
          <w:tcPr>
            <w:tcW w:w="718" w:type="dxa"/>
          </w:tcPr>
          <w:p w14:paraId="1432F881" w14:textId="77777777" w:rsidR="00AC6F3C" w:rsidRDefault="00570E88">
            <w:pPr>
              <w:pStyle w:val="TableParagraph"/>
              <w:spacing w:before="53"/>
              <w:ind w:left="95" w:right="109"/>
              <w:jc w:val="center"/>
              <w:rPr>
                <w:sz w:val="13"/>
              </w:rPr>
            </w:pPr>
            <w:r>
              <w:rPr>
                <w:spacing w:val="-2"/>
                <w:sz w:val="13"/>
              </w:rPr>
              <w:t>16,316</w:t>
            </w:r>
          </w:p>
        </w:tc>
        <w:tc>
          <w:tcPr>
            <w:tcW w:w="695" w:type="dxa"/>
          </w:tcPr>
          <w:p w14:paraId="02741E3F" w14:textId="77777777" w:rsidR="00AC6F3C" w:rsidRDefault="00570E88">
            <w:pPr>
              <w:pStyle w:val="TableParagraph"/>
              <w:spacing w:before="53"/>
              <w:ind w:left="120"/>
              <w:rPr>
                <w:sz w:val="13"/>
              </w:rPr>
            </w:pPr>
            <w:r>
              <w:rPr>
                <w:spacing w:val="-2"/>
                <w:sz w:val="13"/>
              </w:rPr>
              <w:t>17,649</w:t>
            </w:r>
          </w:p>
        </w:tc>
        <w:tc>
          <w:tcPr>
            <w:tcW w:w="695" w:type="dxa"/>
          </w:tcPr>
          <w:p w14:paraId="3BB8FEE6" w14:textId="77777777" w:rsidR="00AC6F3C" w:rsidRDefault="00570E88">
            <w:pPr>
              <w:pStyle w:val="TableParagraph"/>
              <w:spacing w:before="53"/>
              <w:ind w:right="162"/>
              <w:jc w:val="right"/>
              <w:rPr>
                <w:sz w:val="13"/>
              </w:rPr>
            </w:pPr>
            <w:r>
              <w:rPr>
                <w:spacing w:val="-2"/>
                <w:sz w:val="13"/>
              </w:rPr>
              <w:t>16,933</w:t>
            </w:r>
          </w:p>
        </w:tc>
        <w:tc>
          <w:tcPr>
            <w:tcW w:w="563" w:type="dxa"/>
          </w:tcPr>
          <w:p w14:paraId="4317973F" w14:textId="77777777" w:rsidR="00AC6F3C" w:rsidRDefault="00570E88">
            <w:pPr>
              <w:pStyle w:val="TableParagraph"/>
              <w:spacing w:before="53"/>
              <w:ind w:left="109" w:right="27"/>
              <w:jc w:val="center"/>
              <w:rPr>
                <w:sz w:val="13"/>
              </w:rPr>
            </w:pPr>
            <w:r>
              <w:rPr>
                <w:spacing w:val="-2"/>
                <w:sz w:val="13"/>
              </w:rPr>
              <w:t>17,074</w:t>
            </w:r>
          </w:p>
        </w:tc>
        <w:tc>
          <w:tcPr>
            <w:tcW w:w="732" w:type="dxa"/>
            <w:tcBorders>
              <w:right w:val="single" w:sz="6" w:space="0" w:color="000000"/>
            </w:tcBorders>
          </w:tcPr>
          <w:p w14:paraId="7B12269F" w14:textId="77777777" w:rsidR="00AC6F3C" w:rsidRDefault="00AC6F3C">
            <w:pPr>
              <w:pStyle w:val="TableParagraph"/>
              <w:rPr>
                <w:rFonts w:ascii="Times New Roman"/>
                <w:sz w:val="14"/>
              </w:rPr>
            </w:pPr>
          </w:p>
        </w:tc>
      </w:tr>
      <w:tr w:rsidR="00AC6F3C" w14:paraId="0A07EC20" w14:textId="77777777">
        <w:trPr>
          <w:trHeight w:val="216"/>
        </w:trPr>
        <w:tc>
          <w:tcPr>
            <w:tcW w:w="3029" w:type="dxa"/>
            <w:tcBorders>
              <w:left w:val="single" w:sz="6" w:space="0" w:color="000000"/>
            </w:tcBorders>
          </w:tcPr>
          <w:p w14:paraId="500174C0" w14:textId="77777777" w:rsidR="00AC6F3C" w:rsidRDefault="00570E88">
            <w:pPr>
              <w:pStyle w:val="TableParagraph"/>
              <w:spacing w:before="20"/>
              <w:ind w:left="25"/>
              <w:rPr>
                <w:sz w:val="13"/>
              </w:rPr>
            </w:pPr>
            <w:r>
              <w:rPr>
                <w:sz w:val="13"/>
              </w:rPr>
              <w:t>·</w:t>
            </w:r>
            <w:r>
              <w:rPr>
                <w:spacing w:val="24"/>
                <w:sz w:val="13"/>
              </w:rPr>
              <w:t xml:space="preserve"> </w:t>
            </w:r>
            <w:r>
              <w:rPr>
                <w:sz w:val="13"/>
              </w:rPr>
              <w:t>one</w:t>
            </w:r>
            <w:r>
              <w:rPr>
                <w:spacing w:val="-2"/>
                <w:sz w:val="13"/>
              </w:rPr>
              <w:t xml:space="preserve"> </w:t>
            </w:r>
            <w:r>
              <w:rPr>
                <w:sz w:val="13"/>
              </w:rPr>
              <w:t>year</w:t>
            </w:r>
            <w:r>
              <w:rPr>
                <w:spacing w:val="-6"/>
                <w:sz w:val="13"/>
              </w:rPr>
              <w:t xml:space="preserve"> </w:t>
            </w:r>
            <w:r>
              <w:rPr>
                <w:spacing w:val="-2"/>
                <w:sz w:val="13"/>
              </w:rPr>
              <w:t>later</w:t>
            </w:r>
          </w:p>
        </w:tc>
        <w:tc>
          <w:tcPr>
            <w:tcW w:w="694" w:type="dxa"/>
          </w:tcPr>
          <w:p w14:paraId="62E8CA68" w14:textId="77777777" w:rsidR="00AC6F3C" w:rsidRDefault="00AC6F3C">
            <w:pPr>
              <w:pStyle w:val="TableParagraph"/>
              <w:rPr>
                <w:rFonts w:ascii="Times New Roman"/>
                <w:sz w:val="14"/>
              </w:rPr>
            </w:pPr>
          </w:p>
        </w:tc>
        <w:tc>
          <w:tcPr>
            <w:tcW w:w="694" w:type="dxa"/>
          </w:tcPr>
          <w:p w14:paraId="17A9F4C4" w14:textId="77777777" w:rsidR="00AC6F3C" w:rsidRDefault="00570E88">
            <w:pPr>
              <w:pStyle w:val="TableParagraph"/>
              <w:spacing w:before="42"/>
              <w:ind w:left="122"/>
              <w:rPr>
                <w:sz w:val="13"/>
              </w:rPr>
            </w:pPr>
            <w:r>
              <w:rPr>
                <w:spacing w:val="-2"/>
                <w:sz w:val="13"/>
              </w:rPr>
              <w:t>18,852</w:t>
            </w:r>
          </w:p>
        </w:tc>
        <w:tc>
          <w:tcPr>
            <w:tcW w:w="671" w:type="dxa"/>
          </w:tcPr>
          <w:p w14:paraId="6E1FB5C7" w14:textId="77777777" w:rsidR="00AC6F3C" w:rsidRDefault="00570E88">
            <w:pPr>
              <w:pStyle w:val="TableParagraph"/>
              <w:spacing w:before="42"/>
              <w:ind w:right="135"/>
              <w:jc w:val="right"/>
              <w:rPr>
                <w:sz w:val="13"/>
              </w:rPr>
            </w:pPr>
            <w:r>
              <w:rPr>
                <w:spacing w:val="-2"/>
                <w:sz w:val="13"/>
              </w:rPr>
              <w:t>17,991</w:t>
            </w:r>
          </w:p>
        </w:tc>
        <w:tc>
          <w:tcPr>
            <w:tcW w:w="718" w:type="dxa"/>
          </w:tcPr>
          <w:p w14:paraId="518D846F" w14:textId="77777777" w:rsidR="00AC6F3C" w:rsidRDefault="00570E88">
            <w:pPr>
              <w:pStyle w:val="TableParagraph"/>
              <w:spacing w:before="42"/>
              <w:ind w:left="95" w:right="109"/>
              <w:jc w:val="center"/>
              <w:rPr>
                <w:sz w:val="13"/>
              </w:rPr>
            </w:pPr>
            <w:r>
              <w:rPr>
                <w:spacing w:val="-2"/>
                <w:sz w:val="13"/>
              </w:rPr>
              <w:t>16,707</w:t>
            </w:r>
          </w:p>
        </w:tc>
        <w:tc>
          <w:tcPr>
            <w:tcW w:w="695" w:type="dxa"/>
          </w:tcPr>
          <w:p w14:paraId="3D1E7AF4" w14:textId="77777777" w:rsidR="00AC6F3C" w:rsidRDefault="00570E88">
            <w:pPr>
              <w:pStyle w:val="TableParagraph"/>
              <w:spacing w:before="42"/>
              <w:ind w:left="120"/>
              <w:rPr>
                <w:sz w:val="13"/>
              </w:rPr>
            </w:pPr>
            <w:r>
              <w:rPr>
                <w:spacing w:val="-2"/>
                <w:sz w:val="13"/>
              </w:rPr>
              <w:t>17,788</w:t>
            </w:r>
          </w:p>
        </w:tc>
        <w:tc>
          <w:tcPr>
            <w:tcW w:w="695" w:type="dxa"/>
          </w:tcPr>
          <w:p w14:paraId="555FBA4E" w14:textId="77777777" w:rsidR="00AC6F3C" w:rsidRDefault="00570E88">
            <w:pPr>
              <w:pStyle w:val="TableParagraph"/>
              <w:spacing w:before="42"/>
              <w:ind w:right="162"/>
              <w:jc w:val="right"/>
              <w:rPr>
                <w:sz w:val="13"/>
              </w:rPr>
            </w:pPr>
            <w:r>
              <w:rPr>
                <w:spacing w:val="-2"/>
                <w:sz w:val="13"/>
              </w:rPr>
              <w:t>15,928</w:t>
            </w:r>
          </w:p>
        </w:tc>
        <w:tc>
          <w:tcPr>
            <w:tcW w:w="563" w:type="dxa"/>
          </w:tcPr>
          <w:p w14:paraId="547B301B" w14:textId="77777777" w:rsidR="00AC6F3C" w:rsidRDefault="00AC6F3C">
            <w:pPr>
              <w:pStyle w:val="TableParagraph"/>
              <w:rPr>
                <w:rFonts w:ascii="Times New Roman"/>
                <w:sz w:val="14"/>
              </w:rPr>
            </w:pPr>
          </w:p>
        </w:tc>
        <w:tc>
          <w:tcPr>
            <w:tcW w:w="732" w:type="dxa"/>
            <w:tcBorders>
              <w:right w:val="single" w:sz="6" w:space="0" w:color="000000"/>
            </w:tcBorders>
          </w:tcPr>
          <w:p w14:paraId="14F1599F" w14:textId="77777777" w:rsidR="00AC6F3C" w:rsidRDefault="00AC6F3C">
            <w:pPr>
              <w:pStyle w:val="TableParagraph"/>
              <w:rPr>
                <w:rFonts w:ascii="Times New Roman"/>
                <w:sz w:val="14"/>
              </w:rPr>
            </w:pPr>
          </w:p>
        </w:tc>
      </w:tr>
      <w:tr w:rsidR="00AC6F3C" w14:paraId="1AC301C9" w14:textId="77777777">
        <w:trPr>
          <w:trHeight w:val="216"/>
        </w:trPr>
        <w:tc>
          <w:tcPr>
            <w:tcW w:w="3029" w:type="dxa"/>
            <w:tcBorders>
              <w:left w:val="single" w:sz="6" w:space="0" w:color="000000"/>
            </w:tcBorders>
          </w:tcPr>
          <w:p w14:paraId="6CFA466A" w14:textId="77777777" w:rsidR="00AC6F3C" w:rsidRDefault="00570E88">
            <w:pPr>
              <w:pStyle w:val="TableParagraph"/>
              <w:spacing w:before="20"/>
              <w:ind w:left="25"/>
              <w:rPr>
                <w:sz w:val="13"/>
              </w:rPr>
            </w:pPr>
            <w:r>
              <w:rPr>
                <w:sz w:val="13"/>
              </w:rPr>
              <w:t>·</w:t>
            </w:r>
            <w:r>
              <w:rPr>
                <w:spacing w:val="21"/>
                <w:sz w:val="13"/>
              </w:rPr>
              <w:t xml:space="preserve"> </w:t>
            </w:r>
            <w:r>
              <w:rPr>
                <w:sz w:val="13"/>
              </w:rPr>
              <w:t>two</w:t>
            </w:r>
            <w:r>
              <w:rPr>
                <w:spacing w:val="-4"/>
                <w:sz w:val="13"/>
              </w:rPr>
              <w:t xml:space="preserve"> </w:t>
            </w:r>
            <w:r>
              <w:rPr>
                <w:sz w:val="13"/>
              </w:rPr>
              <w:t>years</w:t>
            </w:r>
            <w:r>
              <w:rPr>
                <w:spacing w:val="3"/>
                <w:sz w:val="13"/>
              </w:rPr>
              <w:t xml:space="preserve"> </w:t>
            </w:r>
            <w:r>
              <w:rPr>
                <w:spacing w:val="-2"/>
                <w:sz w:val="13"/>
              </w:rPr>
              <w:t>later</w:t>
            </w:r>
          </w:p>
        </w:tc>
        <w:tc>
          <w:tcPr>
            <w:tcW w:w="694" w:type="dxa"/>
          </w:tcPr>
          <w:p w14:paraId="586C3296" w14:textId="77777777" w:rsidR="00AC6F3C" w:rsidRDefault="00AC6F3C">
            <w:pPr>
              <w:pStyle w:val="TableParagraph"/>
              <w:rPr>
                <w:rFonts w:ascii="Times New Roman"/>
                <w:sz w:val="14"/>
              </w:rPr>
            </w:pPr>
          </w:p>
        </w:tc>
        <w:tc>
          <w:tcPr>
            <w:tcW w:w="694" w:type="dxa"/>
          </w:tcPr>
          <w:p w14:paraId="49DD9BDA" w14:textId="77777777" w:rsidR="00AC6F3C" w:rsidRDefault="00570E88">
            <w:pPr>
              <w:pStyle w:val="TableParagraph"/>
              <w:spacing w:before="42"/>
              <w:ind w:left="122"/>
              <w:rPr>
                <w:sz w:val="13"/>
              </w:rPr>
            </w:pPr>
            <w:r>
              <w:rPr>
                <w:spacing w:val="-2"/>
                <w:sz w:val="13"/>
              </w:rPr>
              <w:t>18,645</w:t>
            </w:r>
          </w:p>
        </w:tc>
        <w:tc>
          <w:tcPr>
            <w:tcW w:w="671" w:type="dxa"/>
          </w:tcPr>
          <w:p w14:paraId="55B0E198" w14:textId="77777777" w:rsidR="00AC6F3C" w:rsidRDefault="00570E88">
            <w:pPr>
              <w:pStyle w:val="TableParagraph"/>
              <w:spacing w:before="42"/>
              <w:ind w:right="135"/>
              <w:jc w:val="right"/>
              <w:rPr>
                <w:sz w:val="13"/>
              </w:rPr>
            </w:pPr>
            <w:r>
              <w:rPr>
                <w:spacing w:val="-2"/>
                <w:sz w:val="13"/>
              </w:rPr>
              <w:t>17,623</w:t>
            </w:r>
          </w:p>
        </w:tc>
        <w:tc>
          <w:tcPr>
            <w:tcW w:w="718" w:type="dxa"/>
          </w:tcPr>
          <w:p w14:paraId="7DCB7788" w14:textId="77777777" w:rsidR="00AC6F3C" w:rsidRDefault="00570E88">
            <w:pPr>
              <w:pStyle w:val="TableParagraph"/>
              <w:spacing w:before="42"/>
              <w:ind w:left="95" w:right="109"/>
              <w:jc w:val="center"/>
              <w:rPr>
                <w:sz w:val="13"/>
              </w:rPr>
            </w:pPr>
            <w:r>
              <w:rPr>
                <w:spacing w:val="-2"/>
                <w:sz w:val="13"/>
              </w:rPr>
              <w:t>15,239</w:t>
            </w:r>
          </w:p>
        </w:tc>
        <w:tc>
          <w:tcPr>
            <w:tcW w:w="695" w:type="dxa"/>
          </w:tcPr>
          <w:p w14:paraId="01B58B28" w14:textId="77777777" w:rsidR="00AC6F3C" w:rsidRDefault="00570E88">
            <w:pPr>
              <w:pStyle w:val="TableParagraph"/>
              <w:spacing w:before="42"/>
              <w:ind w:left="120"/>
              <w:rPr>
                <w:sz w:val="13"/>
              </w:rPr>
            </w:pPr>
            <w:r>
              <w:rPr>
                <w:spacing w:val="-2"/>
                <w:sz w:val="13"/>
              </w:rPr>
              <w:t>15,940</w:t>
            </w:r>
          </w:p>
        </w:tc>
        <w:tc>
          <w:tcPr>
            <w:tcW w:w="695" w:type="dxa"/>
          </w:tcPr>
          <w:p w14:paraId="2CA81CA1" w14:textId="77777777" w:rsidR="00AC6F3C" w:rsidRDefault="00AC6F3C">
            <w:pPr>
              <w:pStyle w:val="TableParagraph"/>
              <w:rPr>
                <w:rFonts w:ascii="Times New Roman"/>
                <w:sz w:val="14"/>
              </w:rPr>
            </w:pPr>
          </w:p>
        </w:tc>
        <w:tc>
          <w:tcPr>
            <w:tcW w:w="563" w:type="dxa"/>
          </w:tcPr>
          <w:p w14:paraId="485F0E94" w14:textId="77777777" w:rsidR="00AC6F3C" w:rsidRDefault="00AC6F3C">
            <w:pPr>
              <w:pStyle w:val="TableParagraph"/>
              <w:rPr>
                <w:rFonts w:ascii="Times New Roman"/>
                <w:sz w:val="14"/>
              </w:rPr>
            </w:pPr>
          </w:p>
        </w:tc>
        <w:tc>
          <w:tcPr>
            <w:tcW w:w="732" w:type="dxa"/>
            <w:tcBorders>
              <w:right w:val="single" w:sz="6" w:space="0" w:color="000000"/>
            </w:tcBorders>
          </w:tcPr>
          <w:p w14:paraId="01BF1631" w14:textId="77777777" w:rsidR="00AC6F3C" w:rsidRDefault="00AC6F3C">
            <w:pPr>
              <w:pStyle w:val="TableParagraph"/>
              <w:rPr>
                <w:rFonts w:ascii="Times New Roman"/>
                <w:sz w:val="14"/>
              </w:rPr>
            </w:pPr>
          </w:p>
        </w:tc>
      </w:tr>
      <w:tr w:rsidR="00AC6F3C" w14:paraId="33BDD317" w14:textId="77777777">
        <w:trPr>
          <w:trHeight w:val="216"/>
        </w:trPr>
        <w:tc>
          <w:tcPr>
            <w:tcW w:w="3029" w:type="dxa"/>
            <w:tcBorders>
              <w:left w:val="single" w:sz="6" w:space="0" w:color="000000"/>
            </w:tcBorders>
          </w:tcPr>
          <w:p w14:paraId="46284766" w14:textId="77777777" w:rsidR="00AC6F3C" w:rsidRDefault="00570E88">
            <w:pPr>
              <w:pStyle w:val="TableParagraph"/>
              <w:spacing w:before="20"/>
              <w:ind w:left="25"/>
              <w:rPr>
                <w:sz w:val="13"/>
              </w:rPr>
            </w:pPr>
            <w:r>
              <w:rPr>
                <w:sz w:val="13"/>
              </w:rPr>
              <w:t>·</w:t>
            </w:r>
            <w:r>
              <w:rPr>
                <w:spacing w:val="22"/>
                <w:sz w:val="13"/>
              </w:rPr>
              <w:t xml:space="preserve"> </w:t>
            </w:r>
            <w:r>
              <w:rPr>
                <w:sz w:val="13"/>
              </w:rPr>
              <w:t>three</w:t>
            </w:r>
            <w:r>
              <w:rPr>
                <w:spacing w:val="-4"/>
                <w:sz w:val="13"/>
              </w:rPr>
              <w:t xml:space="preserve"> </w:t>
            </w:r>
            <w:r>
              <w:rPr>
                <w:sz w:val="13"/>
              </w:rPr>
              <w:t>years</w:t>
            </w:r>
            <w:r>
              <w:rPr>
                <w:spacing w:val="4"/>
                <w:sz w:val="13"/>
              </w:rPr>
              <w:t xml:space="preserve"> </w:t>
            </w:r>
            <w:r>
              <w:rPr>
                <w:spacing w:val="-2"/>
                <w:sz w:val="13"/>
              </w:rPr>
              <w:t>later</w:t>
            </w:r>
          </w:p>
        </w:tc>
        <w:tc>
          <w:tcPr>
            <w:tcW w:w="694" w:type="dxa"/>
          </w:tcPr>
          <w:p w14:paraId="1247FA8F" w14:textId="77777777" w:rsidR="00AC6F3C" w:rsidRDefault="00AC6F3C">
            <w:pPr>
              <w:pStyle w:val="TableParagraph"/>
              <w:rPr>
                <w:rFonts w:ascii="Times New Roman"/>
                <w:sz w:val="14"/>
              </w:rPr>
            </w:pPr>
          </w:p>
        </w:tc>
        <w:tc>
          <w:tcPr>
            <w:tcW w:w="694" w:type="dxa"/>
          </w:tcPr>
          <w:p w14:paraId="6E640601" w14:textId="77777777" w:rsidR="00AC6F3C" w:rsidRDefault="00570E88">
            <w:pPr>
              <w:pStyle w:val="TableParagraph"/>
              <w:spacing w:before="42"/>
              <w:ind w:left="122"/>
              <w:rPr>
                <w:sz w:val="13"/>
              </w:rPr>
            </w:pPr>
            <w:r>
              <w:rPr>
                <w:spacing w:val="-2"/>
                <w:sz w:val="13"/>
              </w:rPr>
              <w:t>18,855</w:t>
            </w:r>
          </w:p>
        </w:tc>
        <w:tc>
          <w:tcPr>
            <w:tcW w:w="671" w:type="dxa"/>
          </w:tcPr>
          <w:p w14:paraId="0E474E33" w14:textId="77777777" w:rsidR="00AC6F3C" w:rsidRDefault="00570E88">
            <w:pPr>
              <w:pStyle w:val="TableParagraph"/>
              <w:spacing w:before="42"/>
              <w:ind w:right="135"/>
              <w:jc w:val="right"/>
              <w:rPr>
                <w:sz w:val="13"/>
              </w:rPr>
            </w:pPr>
            <w:r>
              <w:rPr>
                <w:spacing w:val="-2"/>
                <w:sz w:val="13"/>
              </w:rPr>
              <w:t>15,529</w:t>
            </w:r>
          </w:p>
        </w:tc>
        <w:tc>
          <w:tcPr>
            <w:tcW w:w="718" w:type="dxa"/>
          </w:tcPr>
          <w:p w14:paraId="608FBB7D" w14:textId="77777777" w:rsidR="00AC6F3C" w:rsidRDefault="00570E88">
            <w:pPr>
              <w:pStyle w:val="TableParagraph"/>
              <w:spacing w:before="42"/>
              <w:ind w:left="95" w:right="109"/>
              <w:jc w:val="center"/>
              <w:rPr>
                <w:sz w:val="13"/>
              </w:rPr>
            </w:pPr>
            <w:r>
              <w:rPr>
                <w:spacing w:val="-2"/>
                <w:sz w:val="13"/>
              </w:rPr>
              <w:t>14,044</w:t>
            </w:r>
          </w:p>
        </w:tc>
        <w:tc>
          <w:tcPr>
            <w:tcW w:w="695" w:type="dxa"/>
          </w:tcPr>
          <w:p w14:paraId="051896C3" w14:textId="77777777" w:rsidR="00AC6F3C" w:rsidRDefault="00AC6F3C">
            <w:pPr>
              <w:pStyle w:val="TableParagraph"/>
              <w:rPr>
                <w:rFonts w:ascii="Times New Roman"/>
                <w:sz w:val="14"/>
              </w:rPr>
            </w:pPr>
          </w:p>
        </w:tc>
        <w:tc>
          <w:tcPr>
            <w:tcW w:w="695" w:type="dxa"/>
          </w:tcPr>
          <w:p w14:paraId="1B5C5CFB" w14:textId="77777777" w:rsidR="00AC6F3C" w:rsidRDefault="00AC6F3C">
            <w:pPr>
              <w:pStyle w:val="TableParagraph"/>
              <w:rPr>
                <w:rFonts w:ascii="Times New Roman"/>
                <w:sz w:val="14"/>
              </w:rPr>
            </w:pPr>
          </w:p>
        </w:tc>
        <w:tc>
          <w:tcPr>
            <w:tcW w:w="563" w:type="dxa"/>
          </w:tcPr>
          <w:p w14:paraId="4167CE1E" w14:textId="77777777" w:rsidR="00AC6F3C" w:rsidRDefault="00AC6F3C">
            <w:pPr>
              <w:pStyle w:val="TableParagraph"/>
              <w:rPr>
                <w:rFonts w:ascii="Times New Roman"/>
                <w:sz w:val="14"/>
              </w:rPr>
            </w:pPr>
          </w:p>
        </w:tc>
        <w:tc>
          <w:tcPr>
            <w:tcW w:w="732" w:type="dxa"/>
            <w:tcBorders>
              <w:right w:val="single" w:sz="6" w:space="0" w:color="000000"/>
            </w:tcBorders>
          </w:tcPr>
          <w:p w14:paraId="465B32EF" w14:textId="77777777" w:rsidR="00AC6F3C" w:rsidRDefault="00AC6F3C">
            <w:pPr>
              <w:pStyle w:val="TableParagraph"/>
              <w:rPr>
                <w:rFonts w:ascii="Times New Roman"/>
                <w:sz w:val="14"/>
              </w:rPr>
            </w:pPr>
          </w:p>
        </w:tc>
      </w:tr>
      <w:tr w:rsidR="00AC6F3C" w14:paraId="5A16956F" w14:textId="77777777">
        <w:trPr>
          <w:trHeight w:val="216"/>
        </w:trPr>
        <w:tc>
          <w:tcPr>
            <w:tcW w:w="3029" w:type="dxa"/>
            <w:tcBorders>
              <w:left w:val="single" w:sz="6" w:space="0" w:color="000000"/>
            </w:tcBorders>
          </w:tcPr>
          <w:p w14:paraId="1457F226" w14:textId="77777777" w:rsidR="00AC6F3C" w:rsidRDefault="00570E88">
            <w:pPr>
              <w:pStyle w:val="TableParagraph"/>
              <w:spacing w:before="20"/>
              <w:ind w:left="25"/>
              <w:rPr>
                <w:sz w:val="13"/>
              </w:rPr>
            </w:pPr>
            <w:r>
              <w:rPr>
                <w:sz w:val="13"/>
              </w:rPr>
              <w:t>·</w:t>
            </w:r>
            <w:r>
              <w:rPr>
                <w:spacing w:val="22"/>
                <w:sz w:val="13"/>
              </w:rPr>
              <w:t xml:space="preserve"> </w:t>
            </w:r>
            <w:r>
              <w:rPr>
                <w:sz w:val="13"/>
              </w:rPr>
              <w:t>four</w:t>
            </w:r>
            <w:r>
              <w:rPr>
                <w:spacing w:val="-6"/>
                <w:sz w:val="13"/>
              </w:rPr>
              <w:t xml:space="preserve"> </w:t>
            </w:r>
            <w:r>
              <w:rPr>
                <w:sz w:val="13"/>
              </w:rPr>
              <w:t>years</w:t>
            </w:r>
            <w:r>
              <w:rPr>
                <w:spacing w:val="4"/>
                <w:sz w:val="13"/>
              </w:rPr>
              <w:t xml:space="preserve"> </w:t>
            </w:r>
            <w:r>
              <w:rPr>
                <w:spacing w:val="-2"/>
                <w:sz w:val="13"/>
              </w:rPr>
              <w:t>later</w:t>
            </w:r>
          </w:p>
        </w:tc>
        <w:tc>
          <w:tcPr>
            <w:tcW w:w="694" w:type="dxa"/>
          </w:tcPr>
          <w:p w14:paraId="0CF158A6" w14:textId="77777777" w:rsidR="00AC6F3C" w:rsidRDefault="00AC6F3C">
            <w:pPr>
              <w:pStyle w:val="TableParagraph"/>
              <w:rPr>
                <w:rFonts w:ascii="Times New Roman"/>
                <w:sz w:val="14"/>
              </w:rPr>
            </w:pPr>
          </w:p>
        </w:tc>
        <w:tc>
          <w:tcPr>
            <w:tcW w:w="694" w:type="dxa"/>
          </w:tcPr>
          <w:p w14:paraId="21E29EAA" w14:textId="77777777" w:rsidR="00AC6F3C" w:rsidRDefault="00570E88">
            <w:pPr>
              <w:pStyle w:val="TableParagraph"/>
              <w:spacing w:before="42"/>
              <w:ind w:left="122"/>
              <w:rPr>
                <w:sz w:val="13"/>
              </w:rPr>
            </w:pPr>
            <w:r>
              <w:rPr>
                <w:spacing w:val="-2"/>
                <w:sz w:val="13"/>
              </w:rPr>
              <w:t>18,779</w:t>
            </w:r>
          </w:p>
        </w:tc>
        <w:tc>
          <w:tcPr>
            <w:tcW w:w="671" w:type="dxa"/>
          </w:tcPr>
          <w:p w14:paraId="0DEDA8BE" w14:textId="77777777" w:rsidR="00AC6F3C" w:rsidRDefault="00570E88">
            <w:pPr>
              <w:pStyle w:val="TableParagraph"/>
              <w:spacing w:before="42"/>
              <w:ind w:right="135"/>
              <w:jc w:val="right"/>
              <w:rPr>
                <w:sz w:val="13"/>
              </w:rPr>
            </w:pPr>
            <w:r>
              <w:rPr>
                <w:spacing w:val="-2"/>
                <w:sz w:val="13"/>
              </w:rPr>
              <w:t>16,220</w:t>
            </w:r>
          </w:p>
        </w:tc>
        <w:tc>
          <w:tcPr>
            <w:tcW w:w="718" w:type="dxa"/>
          </w:tcPr>
          <w:p w14:paraId="716F3159" w14:textId="77777777" w:rsidR="00AC6F3C" w:rsidRDefault="00AC6F3C">
            <w:pPr>
              <w:pStyle w:val="TableParagraph"/>
              <w:rPr>
                <w:rFonts w:ascii="Times New Roman"/>
                <w:sz w:val="14"/>
              </w:rPr>
            </w:pPr>
          </w:p>
        </w:tc>
        <w:tc>
          <w:tcPr>
            <w:tcW w:w="695" w:type="dxa"/>
          </w:tcPr>
          <w:p w14:paraId="51C5299A" w14:textId="77777777" w:rsidR="00AC6F3C" w:rsidRDefault="00AC6F3C">
            <w:pPr>
              <w:pStyle w:val="TableParagraph"/>
              <w:rPr>
                <w:rFonts w:ascii="Times New Roman"/>
                <w:sz w:val="14"/>
              </w:rPr>
            </w:pPr>
          </w:p>
        </w:tc>
        <w:tc>
          <w:tcPr>
            <w:tcW w:w="695" w:type="dxa"/>
          </w:tcPr>
          <w:p w14:paraId="13D9E5F8" w14:textId="77777777" w:rsidR="00AC6F3C" w:rsidRDefault="00AC6F3C">
            <w:pPr>
              <w:pStyle w:val="TableParagraph"/>
              <w:rPr>
                <w:rFonts w:ascii="Times New Roman"/>
                <w:sz w:val="14"/>
              </w:rPr>
            </w:pPr>
          </w:p>
        </w:tc>
        <w:tc>
          <w:tcPr>
            <w:tcW w:w="563" w:type="dxa"/>
          </w:tcPr>
          <w:p w14:paraId="29581996" w14:textId="77777777" w:rsidR="00AC6F3C" w:rsidRDefault="00AC6F3C">
            <w:pPr>
              <w:pStyle w:val="TableParagraph"/>
              <w:rPr>
                <w:rFonts w:ascii="Times New Roman"/>
                <w:sz w:val="14"/>
              </w:rPr>
            </w:pPr>
          </w:p>
        </w:tc>
        <w:tc>
          <w:tcPr>
            <w:tcW w:w="732" w:type="dxa"/>
            <w:tcBorders>
              <w:right w:val="single" w:sz="6" w:space="0" w:color="000000"/>
            </w:tcBorders>
          </w:tcPr>
          <w:p w14:paraId="33DA55B3" w14:textId="77777777" w:rsidR="00AC6F3C" w:rsidRDefault="00AC6F3C">
            <w:pPr>
              <w:pStyle w:val="TableParagraph"/>
              <w:rPr>
                <w:rFonts w:ascii="Times New Roman"/>
                <w:sz w:val="14"/>
              </w:rPr>
            </w:pPr>
          </w:p>
        </w:tc>
      </w:tr>
      <w:tr w:rsidR="00AC6F3C" w14:paraId="0BE5BC68" w14:textId="77777777">
        <w:trPr>
          <w:trHeight w:val="216"/>
        </w:trPr>
        <w:tc>
          <w:tcPr>
            <w:tcW w:w="3029" w:type="dxa"/>
            <w:tcBorders>
              <w:left w:val="single" w:sz="6" w:space="0" w:color="000000"/>
            </w:tcBorders>
          </w:tcPr>
          <w:p w14:paraId="2F6FA242" w14:textId="77777777" w:rsidR="00AC6F3C" w:rsidRDefault="00570E88">
            <w:pPr>
              <w:pStyle w:val="TableParagraph"/>
              <w:spacing w:before="20"/>
              <w:ind w:left="25"/>
              <w:rPr>
                <w:sz w:val="13"/>
              </w:rPr>
            </w:pPr>
            <w:r>
              <w:rPr>
                <w:sz w:val="13"/>
              </w:rPr>
              <w:t>·</w:t>
            </w:r>
            <w:r>
              <w:rPr>
                <w:spacing w:val="16"/>
                <w:sz w:val="13"/>
              </w:rPr>
              <w:t xml:space="preserve"> </w:t>
            </w:r>
            <w:r>
              <w:rPr>
                <w:sz w:val="13"/>
              </w:rPr>
              <w:t>five</w:t>
            </w:r>
            <w:r>
              <w:rPr>
                <w:spacing w:val="-7"/>
                <w:sz w:val="13"/>
              </w:rPr>
              <w:t xml:space="preserve"> </w:t>
            </w:r>
            <w:r>
              <w:rPr>
                <w:sz w:val="13"/>
              </w:rPr>
              <w:t xml:space="preserve">years </w:t>
            </w:r>
            <w:r>
              <w:rPr>
                <w:spacing w:val="-2"/>
                <w:sz w:val="13"/>
              </w:rPr>
              <w:t>later</w:t>
            </w:r>
          </w:p>
        </w:tc>
        <w:tc>
          <w:tcPr>
            <w:tcW w:w="694" w:type="dxa"/>
          </w:tcPr>
          <w:p w14:paraId="68B09D22" w14:textId="77777777" w:rsidR="00AC6F3C" w:rsidRDefault="00AC6F3C">
            <w:pPr>
              <w:pStyle w:val="TableParagraph"/>
              <w:rPr>
                <w:rFonts w:ascii="Times New Roman"/>
                <w:sz w:val="14"/>
              </w:rPr>
            </w:pPr>
          </w:p>
        </w:tc>
        <w:tc>
          <w:tcPr>
            <w:tcW w:w="694" w:type="dxa"/>
          </w:tcPr>
          <w:p w14:paraId="5A89156A" w14:textId="77777777" w:rsidR="00AC6F3C" w:rsidRDefault="00570E88">
            <w:pPr>
              <w:pStyle w:val="TableParagraph"/>
              <w:spacing w:before="42"/>
              <w:ind w:left="122"/>
              <w:rPr>
                <w:sz w:val="13"/>
              </w:rPr>
            </w:pPr>
            <w:r>
              <w:rPr>
                <w:spacing w:val="-2"/>
                <w:sz w:val="13"/>
              </w:rPr>
              <w:t>18,193</w:t>
            </w:r>
          </w:p>
        </w:tc>
        <w:tc>
          <w:tcPr>
            <w:tcW w:w="671" w:type="dxa"/>
          </w:tcPr>
          <w:p w14:paraId="58076B35" w14:textId="77777777" w:rsidR="00AC6F3C" w:rsidRDefault="00AC6F3C">
            <w:pPr>
              <w:pStyle w:val="TableParagraph"/>
              <w:rPr>
                <w:rFonts w:ascii="Times New Roman"/>
                <w:sz w:val="14"/>
              </w:rPr>
            </w:pPr>
          </w:p>
        </w:tc>
        <w:tc>
          <w:tcPr>
            <w:tcW w:w="718" w:type="dxa"/>
          </w:tcPr>
          <w:p w14:paraId="2FA8B914" w14:textId="77777777" w:rsidR="00AC6F3C" w:rsidRDefault="00AC6F3C">
            <w:pPr>
              <w:pStyle w:val="TableParagraph"/>
              <w:rPr>
                <w:rFonts w:ascii="Times New Roman"/>
                <w:sz w:val="14"/>
              </w:rPr>
            </w:pPr>
          </w:p>
        </w:tc>
        <w:tc>
          <w:tcPr>
            <w:tcW w:w="695" w:type="dxa"/>
          </w:tcPr>
          <w:p w14:paraId="76D11286" w14:textId="77777777" w:rsidR="00AC6F3C" w:rsidRDefault="00AC6F3C">
            <w:pPr>
              <w:pStyle w:val="TableParagraph"/>
              <w:rPr>
                <w:rFonts w:ascii="Times New Roman"/>
                <w:sz w:val="14"/>
              </w:rPr>
            </w:pPr>
          </w:p>
        </w:tc>
        <w:tc>
          <w:tcPr>
            <w:tcW w:w="695" w:type="dxa"/>
          </w:tcPr>
          <w:p w14:paraId="4DC08BDA" w14:textId="77777777" w:rsidR="00AC6F3C" w:rsidRDefault="00AC6F3C">
            <w:pPr>
              <w:pStyle w:val="TableParagraph"/>
              <w:rPr>
                <w:rFonts w:ascii="Times New Roman"/>
                <w:sz w:val="14"/>
              </w:rPr>
            </w:pPr>
          </w:p>
        </w:tc>
        <w:tc>
          <w:tcPr>
            <w:tcW w:w="563" w:type="dxa"/>
          </w:tcPr>
          <w:p w14:paraId="6EC1F6B2" w14:textId="77777777" w:rsidR="00AC6F3C" w:rsidRDefault="00AC6F3C">
            <w:pPr>
              <w:pStyle w:val="TableParagraph"/>
              <w:rPr>
                <w:rFonts w:ascii="Times New Roman"/>
                <w:sz w:val="14"/>
              </w:rPr>
            </w:pPr>
          </w:p>
        </w:tc>
        <w:tc>
          <w:tcPr>
            <w:tcW w:w="732" w:type="dxa"/>
            <w:tcBorders>
              <w:right w:val="single" w:sz="6" w:space="0" w:color="000000"/>
            </w:tcBorders>
          </w:tcPr>
          <w:p w14:paraId="2221F5F7" w14:textId="77777777" w:rsidR="00AC6F3C" w:rsidRDefault="00AC6F3C">
            <w:pPr>
              <w:pStyle w:val="TableParagraph"/>
              <w:rPr>
                <w:rFonts w:ascii="Times New Roman"/>
                <w:sz w:val="14"/>
              </w:rPr>
            </w:pPr>
          </w:p>
        </w:tc>
      </w:tr>
      <w:tr w:rsidR="00AC6F3C" w14:paraId="504C21A1" w14:textId="77777777">
        <w:trPr>
          <w:trHeight w:val="674"/>
        </w:trPr>
        <w:tc>
          <w:tcPr>
            <w:tcW w:w="8491" w:type="dxa"/>
            <w:gridSpan w:val="9"/>
            <w:tcBorders>
              <w:left w:val="single" w:sz="6" w:space="0" w:color="000000"/>
              <w:right w:val="single" w:sz="6" w:space="0" w:color="000000"/>
            </w:tcBorders>
          </w:tcPr>
          <w:p w14:paraId="077993B0" w14:textId="77777777" w:rsidR="00AC6F3C" w:rsidRDefault="00570E88">
            <w:pPr>
              <w:pStyle w:val="TableParagraph"/>
              <w:tabs>
                <w:tab w:val="left" w:pos="2928"/>
                <w:tab w:val="left" w:pos="3795"/>
                <w:tab w:val="left" w:pos="5950"/>
                <w:tab w:val="left" w:pos="6644"/>
                <w:tab w:val="left" w:pos="7337"/>
                <w:tab w:val="left" w:pos="8486"/>
              </w:tabs>
              <w:spacing w:before="22"/>
              <w:ind w:left="25" w:right="-15"/>
              <w:rPr>
                <w:sz w:val="13"/>
              </w:rPr>
            </w:pPr>
            <w:r>
              <w:rPr>
                <w:position w:val="2"/>
                <w:sz w:val="13"/>
              </w:rPr>
              <w:t>Cumulative</w:t>
            </w:r>
            <w:r>
              <w:rPr>
                <w:spacing w:val="-1"/>
                <w:position w:val="2"/>
                <w:sz w:val="13"/>
              </w:rPr>
              <w:t xml:space="preserve"> </w:t>
            </w:r>
            <w:r>
              <w:rPr>
                <w:position w:val="2"/>
                <w:sz w:val="13"/>
              </w:rPr>
              <w:t>payments</w:t>
            </w:r>
            <w:r>
              <w:rPr>
                <w:spacing w:val="8"/>
                <w:position w:val="2"/>
                <w:sz w:val="13"/>
              </w:rPr>
              <w:t xml:space="preserve"> </w:t>
            </w:r>
            <w:r>
              <w:rPr>
                <w:position w:val="2"/>
                <w:sz w:val="13"/>
              </w:rPr>
              <w:t>to</w:t>
            </w:r>
            <w:r>
              <w:rPr>
                <w:spacing w:val="-1"/>
                <w:position w:val="2"/>
                <w:sz w:val="13"/>
              </w:rPr>
              <w:t xml:space="preserve"> </w:t>
            </w:r>
            <w:r>
              <w:rPr>
                <w:spacing w:val="-4"/>
                <w:position w:val="2"/>
                <w:sz w:val="13"/>
              </w:rPr>
              <w:t>date</w:t>
            </w:r>
            <w:r>
              <w:rPr>
                <w:position w:val="2"/>
                <w:sz w:val="13"/>
              </w:rPr>
              <w:tab/>
            </w:r>
            <w:r>
              <w:rPr>
                <w:sz w:val="13"/>
                <w:u w:val="single"/>
              </w:rPr>
              <w:tab/>
              <w:t>(15,631)</w:t>
            </w:r>
            <w:r>
              <w:rPr>
                <w:spacing w:val="63"/>
                <w:sz w:val="13"/>
                <w:u w:val="single"/>
              </w:rPr>
              <w:t xml:space="preserve">  </w:t>
            </w:r>
            <w:r>
              <w:rPr>
                <w:sz w:val="13"/>
                <w:u w:val="single"/>
              </w:rPr>
              <w:t>(10,374)</w:t>
            </w:r>
            <w:r>
              <w:rPr>
                <w:spacing w:val="63"/>
                <w:sz w:val="13"/>
                <w:u w:val="single"/>
              </w:rPr>
              <w:t xml:space="preserve">  </w:t>
            </w:r>
            <w:r>
              <w:rPr>
                <w:spacing w:val="-2"/>
                <w:sz w:val="13"/>
                <w:u w:val="single"/>
              </w:rPr>
              <w:t>(10,399)</w:t>
            </w:r>
            <w:r>
              <w:rPr>
                <w:sz w:val="13"/>
                <w:u w:val="single"/>
              </w:rPr>
              <w:tab/>
            </w:r>
            <w:r>
              <w:rPr>
                <w:spacing w:val="-2"/>
                <w:sz w:val="13"/>
                <w:u w:val="single"/>
              </w:rPr>
              <w:t>(4,990)</w:t>
            </w:r>
            <w:r>
              <w:rPr>
                <w:sz w:val="13"/>
                <w:u w:val="single"/>
              </w:rPr>
              <w:tab/>
            </w:r>
            <w:r>
              <w:rPr>
                <w:spacing w:val="-2"/>
                <w:sz w:val="13"/>
                <w:u w:val="single"/>
              </w:rPr>
              <w:t>(3,570)</w:t>
            </w:r>
            <w:r>
              <w:rPr>
                <w:sz w:val="13"/>
                <w:u w:val="single"/>
              </w:rPr>
              <w:tab/>
            </w:r>
            <w:r>
              <w:rPr>
                <w:spacing w:val="-2"/>
                <w:sz w:val="13"/>
                <w:u w:val="single"/>
              </w:rPr>
              <w:t>(1,008)</w:t>
            </w:r>
            <w:r>
              <w:rPr>
                <w:sz w:val="13"/>
                <w:u w:val="single"/>
              </w:rPr>
              <w:tab/>
            </w:r>
          </w:p>
          <w:p w14:paraId="5E23795D" w14:textId="77777777" w:rsidR="00AC6F3C" w:rsidRDefault="00570E88">
            <w:pPr>
              <w:pStyle w:val="TableParagraph"/>
              <w:tabs>
                <w:tab w:val="left" w:pos="3914"/>
                <w:tab w:val="left" w:pos="4607"/>
                <w:tab w:val="left" w:pos="5300"/>
                <w:tab w:val="left" w:pos="5918"/>
                <w:tab w:val="left" w:pos="6611"/>
                <w:tab w:val="left" w:pos="7305"/>
              </w:tabs>
              <w:spacing w:before="47"/>
              <w:ind w:left="25"/>
              <w:rPr>
                <w:sz w:val="13"/>
              </w:rPr>
            </w:pPr>
            <w:r>
              <w:rPr>
                <w:position w:val="2"/>
                <w:sz w:val="13"/>
              </w:rPr>
              <w:t>Estimate</w:t>
            </w:r>
            <w:r>
              <w:rPr>
                <w:spacing w:val="8"/>
                <w:position w:val="2"/>
                <w:sz w:val="13"/>
              </w:rPr>
              <w:t xml:space="preserve"> </w:t>
            </w:r>
            <w:r>
              <w:rPr>
                <w:position w:val="2"/>
                <w:sz w:val="13"/>
              </w:rPr>
              <w:t>of</w:t>
            </w:r>
            <w:r>
              <w:rPr>
                <w:spacing w:val="-1"/>
                <w:position w:val="2"/>
                <w:sz w:val="13"/>
              </w:rPr>
              <w:t xml:space="preserve"> </w:t>
            </w:r>
            <w:r>
              <w:rPr>
                <w:position w:val="2"/>
                <w:sz w:val="13"/>
              </w:rPr>
              <w:t>claims</w:t>
            </w:r>
            <w:r>
              <w:rPr>
                <w:spacing w:val="19"/>
                <w:position w:val="2"/>
                <w:sz w:val="13"/>
              </w:rPr>
              <w:t xml:space="preserve"> </w:t>
            </w:r>
            <w:r>
              <w:rPr>
                <w:spacing w:val="-2"/>
                <w:position w:val="2"/>
                <w:sz w:val="13"/>
              </w:rPr>
              <w:t>reserve</w:t>
            </w:r>
            <w:r>
              <w:rPr>
                <w:position w:val="2"/>
                <w:sz w:val="13"/>
              </w:rPr>
              <w:tab/>
            </w:r>
            <w:r>
              <w:rPr>
                <w:spacing w:val="-4"/>
                <w:sz w:val="13"/>
              </w:rPr>
              <w:t>2,562</w:t>
            </w:r>
            <w:r>
              <w:rPr>
                <w:sz w:val="13"/>
              </w:rPr>
              <w:tab/>
            </w:r>
            <w:r>
              <w:rPr>
                <w:spacing w:val="-4"/>
                <w:sz w:val="13"/>
              </w:rPr>
              <w:t>5,846</w:t>
            </w:r>
            <w:r>
              <w:rPr>
                <w:sz w:val="13"/>
              </w:rPr>
              <w:tab/>
            </w:r>
            <w:r>
              <w:rPr>
                <w:spacing w:val="-2"/>
                <w:sz w:val="13"/>
              </w:rPr>
              <w:t>3,645</w:t>
            </w:r>
            <w:r>
              <w:rPr>
                <w:sz w:val="13"/>
              </w:rPr>
              <w:tab/>
            </w:r>
            <w:r>
              <w:rPr>
                <w:spacing w:val="-2"/>
                <w:sz w:val="13"/>
              </w:rPr>
              <w:t>10,950</w:t>
            </w:r>
            <w:r>
              <w:rPr>
                <w:sz w:val="13"/>
              </w:rPr>
              <w:tab/>
            </w:r>
            <w:r>
              <w:rPr>
                <w:spacing w:val="-2"/>
                <w:sz w:val="13"/>
              </w:rPr>
              <w:t>12,358</w:t>
            </w:r>
            <w:r>
              <w:rPr>
                <w:sz w:val="13"/>
              </w:rPr>
              <w:tab/>
            </w:r>
            <w:r>
              <w:rPr>
                <w:spacing w:val="-2"/>
                <w:sz w:val="13"/>
              </w:rPr>
              <w:t>16,066</w:t>
            </w:r>
          </w:p>
          <w:p w14:paraId="11F3C7FE" w14:textId="77777777" w:rsidR="00AC6F3C" w:rsidRDefault="00570E88">
            <w:pPr>
              <w:pStyle w:val="TableParagraph"/>
              <w:tabs>
                <w:tab w:val="left" w:pos="2928"/>
                <w:tab w:val="left" w:pos="3979"/>
                <w:tab w:val="left" w:pos="4672"/>
                <w:tab w:val="left" w:pos="5365"/>
                <w:tab w:val="left" w:pos="6059"/>
                <w:tab w:val="left" w:pos="6644"/>
                <w:tab w:val="left" w:pos="7337"/>
                <w:tab w:val="left" w:pos="8486"/>
              </w:tabs>
              <w:spacing w:before="47"/>
              <w:ind w:left="25" w:right="-15"/>
              <w:rPr>
                <w:sz w:val="13"/>
              </w:rPr>
            </w:pPr>
            <w:r>
              <w:rPr>
                <w:spacing w:val="-2"/>
                <w:position w:val="2"/>
                <w:sz w:val="13"/>
              </w:rPr>
              <w:t>Effect</w:t>
            </w:r>
            <w:r>
              <w:rPr>
                <w:spacing w:val="-5"/>
                <w:position w:val="2"/>
                <w:sz w:val="13"/>
              </w:rPr>
              <w:t xml:space="preserve"> </w:t>
            </w:r>
            <w:r>
              <w:rPr>
                <w:spacing w:val="-2"/>
                <w:position w:val="2"/>
                <w:sz w:val="13"/>
              </w:rPr>
              <w:t>of</w:t>
            </w:r>
            <w:r>
              <w:rPr>
                <w:spacing w:val="-4"/>
                <w:position w:val="2"/>
                <w:sz w:val="13"/>
              </w:rPr>
              <w:t xml:space="preserve"> </w:t>
            </w:r>
            <w:r>
              <w:rPr>
                <w:spacing w:val="-2"/>
                <w:position w:val="2"/>
                <w:sz w:val="13"/>
              </w:rPr>
              <w:t>discounting</w:t>
            </w:r>
            <w:r>
              <w:rPr>
                <w:position w:val="2"/>
                <w:sz w:val="13"/>
              </w:rPr>
              <w:tab/>
            </w:r>
            <w:r>
              <w:rPr>
                <w:sz w:val="13"/>
                <w:u w:val="single"/>
              </w:rPr>
              <w:tab/>
            </w:r>
            <w:r>
              <w:rPr>
                <w:spacing w:val="-2"/>
                <w:sz w:val="13"/>
                <w:u w:val="single"/>
              </w:rPr>
              <w:t>(214)</w:t>
            </w:r>
            <w:r>
              <w:rPr>
                <w:sz w:val="13"/>
                <w:u w:val="single"/>
              </w:rPr>
              <w:tab/>
            </w:r>
            <w:r>
              <w:rPr>
                <w:spacing w:val="-2"/>
                <w:sz w:val="13"/>
                <w:u w:val="single"/>
              </w:rPr>
              <w:t>(442)</w:t>
            </w:r>
            <w:r>
              <w:rPr>
                <w:sz w:val="13"/>
                <w:u w:val="single"/>
              </w:rPr>
              <w:tab/>
            </w:r>
            <w:r>
              <w:rPr>
                <w:spacing w:val="-2"/>
                <w:sz w:val="13"/>
                <w:u w:val="single"/>
              </w:rPr>
              <w:t>(312)</w:t>
            </w:r>
            <w:r>
              <w:rPr>
                <w:sz w:val="13"/>
                <w:u w:val="single"/>
              </w:rPr>
              <w:tab/>
            </w:r>
            <w:r>
              <w:rPr>
                <w:spacing w:val="-2"/>
                <w:sz w:val="13"/>
                <w:u w:val="single"/>
              </w:rPr>
              <w:t>(898)</w:t>
            </w:r>
            <w:r>
              <w:rPr>
                <w:sz w:val="13"/>
                <w:u w:val="single"/>
              </w:rPr>
              <w:tab/>
            </w:r>
            <w:r>
              <w:rPr>
                <w:spacing w:val="-2"/>
                <w:sz w:val="13"/>
                <w:u w:val="single"/>
              </w:rPr>
              <w:t>(1,114)</w:t>
            </w:r>
            <w:r>
              <w:rPr>
                <w:sz w:val="13"/>
                <w:u w:val="single"/>
              </w:rPr>
              <w:tab/>
            </w:r>
            <w:r>
              <w:rPr>
                <w:spacing w:val="-2"/>
                <w:sz w:val="13"/>
                <w:u w:val="single"/>
              </w:rPr>
              <w:t>(1,767)</w:t>
            </w:r>
            <w:r>
              <w:rPr>
                <w:sz w:val="13"/>
                <w:u w:val="single"/>
              </w:rPr>
              <w:tab/>
            </w:r>
          </w:p>
        </w:tc>
      </w:tr>
      <w:tr w:rsidR="00AC6F3C" w14:paraId="16641515" w14:textId="77777777">
        <w:trPr>
          <w:trHeight w:val="191"/>
        </w:trPr>
        <w:tc>
          <w:tcPr>
            <w:tcW w:w="3029" w:type="dxa"/>
            <w:tcBorders>
              <w:left w:val="single" w:sz="6" w:space="0" w:color="000000"/>
            </w:tcBorders>
          </w:tcPr>
          <w:p w14:paraId="13B30CD6" w14:textId="77777777" w:rsidR="00AC6F3C" w:rsidRDefault="00570E88">
            <w:pPr>
              <w:pStyle w:val="TableParagraph"/>
              <w:spacing w:line="145" w:lineRule="exact"/>
              <w:ind w:left="25"/>
              <w:rPr>
                <w:sz w:val="13"/>
              </w:rPr>
            </w:pPr>
            <w:r>
              <w:rPr>
                <w:sz w:val="13"/>
              </w:rPr>
              <w:t>Best estimate</w:t>
            </w:r>
            <w:r>
              <w:rPr>
                <w:spacing w:val="10"/>
                <w:sz w:val="13"/>
              </w:rPr>
              <w:t xml:space="preserve"> </w:t>
            </w:r>
            <w:r>
              <w:rPr>
                <w:sz w:val="13"/>
              </w:rPr>
              <w:t>of claims</w:t>
            </w:r>
            <w:r>
              <w:rPr>
                <w:spacing w:val="21"/>
                <w:sz w:val="13"/>
              </w:rPr>
              <w:t xml:space="preserve"> </w:t>
            </w:r>
            <w:r>
              <w:rPr>
                <w:spacing w:val="-2"/>
                <w:sz w:val="13"/>
              </w:rPr>
              <w:t>liability</w:t>
            </w:r>
          </w:p>
        </w:tc>
        <w:tc>
          <w:tcPr>
            <w:tcW w:w="694" w:type="dxa"/>
          </w:tcPr>
          <w:p w14:paraId="57001E12" w14:textId="77777777" w:rsidR="00AC6F3C" w:rsidRDefault="00570E88">
            <w:pPr>
              <w:pStyle w:val="TableParagraph"/>
              <w:spacing w:before="17"/>
              <w:ind w:left="144" w:right="104"/>
              <w:jc w:val="center"/>
              <w:rPr>
                <w:sz w:val="13"/>
              </w:rPr>
            </w:pPr>
            <w:r>
              <w:rPr>
                <w:spacing w:val="-2"/>
                <w:sz w:val="13"/>
              </w:rPr>
              <w:t>2,529</w:t>
            </w:r>
          </w:p>
        </w:tc>
        <w:tc>
          <w:tcPr>
            <w:tcW w:w="694" w:type="dxa"/>
          </w:tcPr>
          <w:p w14:paraId="3A8E7873" w14:textId="77777777" w:rsidR="00AC6F3C" w:rsidRDefault="00570E88">
            <w:pPr>
              <w:pStyle w:val="TableParagraph"/>
              <w:spacing w:before="17"/>
              <w:ind w:left="198"/>
              <w:rPr>
                <w:sz w:val="13"/>
              </w:rPr>
            </w:pPr>
            <w:r>
              <w:rPr>
                <w:spacing w:val="-2"/>
                <w:sz w:val="13"/>
              </w:rPr>
              <w:t>2,348</w:t>
            </w:r>
          </w:p>
        </w:tc>
        <w:tc>
          <w:tcPr>
            <w:tcW w:w="671" w:type="dxa"/>
          </w:tcPr>
          <w:p w14:paraId="06AF9A70" w14:textId="77777777" w:rsidR="00AC6F3C" w:rsidRDefault="00570E88">
            <w:pPr>
              <w:pStyle w:val="TableParagraph"/>
              <w:spacing w:before="17"/>
              <w:ind w:right="135"/>
              <w:jc w:val="right"/>
              <w:rPr>
                <w:sz w:val="13"/>
              </w:rPr>
            </w:pPr>
            <w:r>
              <w:rPr>
                <w:spacing w:val="-2"/>
                <w:sz w:val="13"/>
              </w:rPr>
              <w:t>5,404</w:t>
            </w:r>
          </w:p>
        </w:tc>
        <w:tc>
          <w:tcPr>
            <w:tcW w:w="718" w:type="dxa"/>
          </w:tcPr>
          <w:p w14:paraId="19C4792E" w14:textId="77777777" w:rsidR="00AC6F3C" w:rsidRDefault="00570E88">
            <w:pPr>
              <w:pStyle w:val="TableParagraph"/>
              <w:spacing w:before="17"/>
              <w:ind w:left="139" w:right="81"/>
              <w:jc w:val="center"/>
              <w:rPr>
                <w:sz w:val="13"/>
              </w:rPr>
            </w:pPr>
            <w:r>
              <w:rPr>
                <w:spacing w:val="-2"/>
                <w:sz w:val="13"/>
              </w:rPr>
              <w:t>3,333</w:t>
            </w:r>
          </w:p>
        </w:tc>
        <w:tc>
          <w:tcPr>
            <w:tcW w:w="695" w:type="dxa"/>
          </w:tcPr>
          <w:p w14:paraId="21699FEC" w14:textId="77777777" w:rsidR="00AC6F3C" w:rsidRDefault="00570E88">
            <w:pPr>
              <w:pStyle w:val="TableParagraph"/>
              <w:spacing w:before="17"/>
              <w:ind w:left="119"/>
              <w:rPr>
                <w:sz w:val="13"/>
              </w:rPr>
            </w:pPr>
            <w:r>
              <w:rPr>
                <w:spacing w:val="-2"/>
                <w:sz w:val="13"/>
              </w:rPr>
              <w:t>10,052</w:t>
            </w:r>
          </w:p>
        </w:tc>
        <w:tc>
          <w:tcPr>
            <w:tcW w:w="695" w:type="dxa"/>
          </w:tcPr>
          <w:p w14:paraId="6C28DBC7" w14:textId="77777777" w:rsidR="00AC6F3C" w:rsidRDefault="00570E88">
            <w:pPr>
              <w:pStyle w:val="TableParagraph"/>
              <w:spacing w:before="17"/>
              <w:ind w:right="163"/>
              <w:jc w:val="right"/>
              <w:rPr>
                <w:sz w:val="13"/>
              </w:rPr>
            </w:pPr>
            <w:r>
              <w:rPr>
                <w:spacing w:val="-2"/>
                <w:sz w:val="13"/>
              </w:rPr>
              <w:t>11,244</w:t>
            </w:r>
          </w:p>
        </w:tc>
        <w:tc>
          <w:tcPr>
            <w:tcW w:w="563" w:type="dxa"/>
          </w:tcPr>
          <w:p w14:paraId="76844039" w14:textId="77777777" w:rsidR="00AC6F3C" w:rsidRDefault="00570E88">
            <w:pPr>
              <w:pStyle w:val="TableParagraph"/>
              <w:spacing w:before="17"/>
              <w:ind w:left="108" w:right="27"/>
              <w:jc w:val="center"/>
              <w:rPr>
                <w:sz w:val="13"/>
              </w:rPr>
            </w:pPr>
            <w:r>
              <w:rPr>
                <w:spacing w:val="-2"/>
                <w:sz w:val="13"/>
              </w:rPr>
              <w:t>14,299</w:t>
            </w:r>
          </w:p>
        </w:tc>
        <w:tc>
          <w:tcPr>
            <w:tcW w:w="732" w:type="dxa"/>
            <w:tcBorders>
              <w:right w:val="single" w:sz="6" w:space="0" w:color="000000"/>
            </w:tcBorders>
          </w:tcPr>
          <w:p w14:paraId="4AA0D04E" w14:textId="77777777" w:rsidR="00AC6F3C" w:rsidRDefault="00570E88">
            <w:pPr>
              <w:pStyle w:val="TableParagraph"/>
              <w:spacing w:before="17"/>
              <w:ind w:left="247"/>
              <w:rPr>
                <w:sz w:val="13"/>
              </w:rPr>
            </w:pPr>
            <w:r>
              <w:rPr>
                <w:spacing w:val="-2"/>
                <w:sz w:val="13"/>
              </w:rPr>
              <w:t>49,209</w:t>
            </w:r>
          </w:p>
        </w:tc>
      </w:tr>
      <w:tr w:rsidR="00AC6F3C" w14:paraId="46707C44" w14:textId="77777777">
        <w:trPr>
          <w:trHeight w:val="216"/>
        </w:trPr>
        <w:tc>
          <w:tcPr>
            <w:tcW w:w="3029" w:type="dxa"/>
            <w:tcBorders>
              <w:left w:val="single" w:sz="6" w:space="0" w:color="000000"/>
            </w:tcBorders>
          </w:tcPr>
          <w:p w14:paraId="18898AD1" w14:textId="77777777" w:rsidR="00AC6F3C" w:rsidRDefault="00570E88">
            <w:pPr>
              <w:pStyle w:val="TableParagraph"/>
              <w:spacing w:before="20"/>
              <w:ind w:left="25"/>
              <w:rPr>
                <w:sz w:val="13"/>
              </w:rPr>
            </w:pPr>
            <w:r>
              <w:rPr>
                <w:sz w:val="13"/>
              </w:rPr>
              <w:t>Risk</w:t>
            </w:r>
            <w:r>
              <w:rPr>
                <w:spacing w:val="9"/>
                <w:sz w:val="13"/>
              </w:rPr>
              <w:t xml:space="preserve"> </w:t>
            </w:r>
            <w:r>
              <w:rPr>
                <w:spacing w:val="-2"/>
                <w:sz w:val="13"/>
              </w:rPr>
              <w:t>margin</w:t>
            </w:r>
          </w:p>
        </w:tc>
        <w:tc>
          <w:tcPr>
            <w:tcW w:w="694" w:type="dxa"/>
          </w:tcPr>
          <w:p w14:paraId="6F9F32A3" w14:textId="77777777" w:rsidR="00AC6F3C" w:rsidRDefault="00AC6F3C">
            <w:pPr>
              <w:pStyle w:val="TableParagraph"/>
              <w:rPr>
                <w:rFonts w:ascii="Times New Roman"/>
                <w:sz w:val="14"/>
              </w:rPr>
            </w:pPr>
          </w:p>
        </w:tc>
        <w:tc>
          <w:tcPr>
            <w:tcW w:w="694" w:type="dxa"/>
          </w:tcPr>
          <w:p w14:paraId="496698B1" w14:textId="77777777" w:rsidR="00AC6F3C" w:rsidRDefault="00AC6F3C">
            <w:pPr>
              <w:pStyle w:val="TableParagraph"/>
              <w:rPr>
                <w:rFonts w:ascii="Times New Roman"/>
                <w:sz w:val="14"/>
              </w:rPr>
            </w:pPr>
          </w:p>
        </w:tc>
        <w:tc>
          <w:tcPr>
            <w:tcW w:w="671" w:type="dxa"/>
          </w:tcPr>
          <w:p w14:paraId="7FFC9357" w14:textId="77777777" w:rsidR="00AC6F3C" w:rsidRDefault="00AC6F3C">
            <w:pPr>
              <w:pStyle w:val="TableParagraph"/>
              <w:rPr>
                <w:rFonts w:ascii="Times New Roman"/>
                <w:sz w:val="14"/>
              </w:rPr>
            </w:pPr>
          </w:p>
        </w:tc>
        <w:tc>
          <w:tcPr>
            <w:tcW w:w="718" w:type="dxa"/>
          </w:tcPr>
          <w:p w14:paraId="17AD7708" w14:textId="77777777" w:rsidR="00AC6F3C" w:rsidRDefault="00AC6F3C">
            <w:pPr>
              <w:pStyle w:val="TableParagraph"/>
              <w:rPr>
                <w:rFonts w:ascii="Times New Roman"/>
                <w:sz w:val="14"/>
              </w:rPr>
            </w:pPr>
          </w:p>
        </w:tc>
        <w:tc>
          <w:tcPr>
            <w:tcW w:w="695" w:type="dxa"/>
          </w:tcPr>
          <w:p w14:paraId="74BC1C49" w14:textId="77777777" w:rsidR="00AC6F3C" w:rsidRDefault="00AC6F3C">
            <w:pPr>
              <w:pStyle w:val="TableParagraph"/>
              <w:rPr>
                <w:rFonts w:ascii="Times New Roman"/>
                <w:sz w:val="14"/>
              </w:rPr>
            </w:pPr>
          </w:p>
        </w:tc>
        <w:tc>
          <w:tcPr>
            <w:tcW w:w="695" w:type="dxa"/>
          </w:tcPr>
          <w:p w14:paraId="6F960711" w14:textId="77777777" w:rsidR="00AC6F3C" w:rsidRDefault="00AC6F3C">
            <w:pPr>
              <w:pStyle w:val="TableParagraph"/>
              <w:rPr>
                <w:rFonts w:ascii="Times New Roman"/>
                <w:sz w:val="14"/>
              </w:rPr>
            </w:pPr>
          </w:p>
        </w:tc>
        <w:tc>
          <w:tcPr>
            <w:tcW w:w="563" w:type="dxa"/>
          </w:tcPr>
          <w:p w14:paraId="6999FC67" w14:textId="77777777" w:rsidR="00AC6F3C" w:rsidRDefault="00AC6F3C">
            <w:pPr>
              <w:pStyle w:val="TableParagraph"/>
              <w:rPr>
                <w:rFonts w:ascii="Times New Roman"/>
                <w:sz w:val="14"/>
              </w:rPr>
            </w:pPr>
          </w:p>
        </w:tc>
        <w:tc>
          <w:tcPr>
            <w:tcW w:w="732" w:type="dxa"/>
            <w:tcBorders>
              <w:right w:val="single" w:sz="6" w:space="0" w:color="000000"/>
            </w:tcBorders>
          </w:tcPr>
          <w:p w14:paraId="5374E48B" w14:textId="77777777" w:rsidR="00AC6F3C" w:rsidRDefault="00570E88">
            <w:pPr>
              <w:pStyle w:val="TableParagraph"/>
              <w:spacing w:before="42"/>
              <w:ind w:left="247"/>
              <w:rPr>
                <w:sz w:val="13"/>
              </w:rPr>
            </w:pPr>
            <w:r>
              <w:rPr>
                <w:spacing w:val="-2"/>
                <w:sz w:val="13"/>
              </w:rPr>
              <w:t>20,236</w:t>
            </w:r>
          </w:p>
        </w:tc>
      </w:tr>
      <w:tr w:rsidR="00AC6F3C" w14:paraId="02C5271F" w14:textId="77777777">
        <w:trPr>
          <w:trHeight w:val="552"/>
        </w:trPr>
        <w:tc>
          <w:tcPr>
            <w:tcW w:w="3029" w:type="dxa"/>
            <w:tcBorders>
              <w:left w:val="single" w:sz="6" w:space="0" w:color="000000"/>
            </w:tcBorders>
          </w:tcPr>
          <w:p w14:paraId="645C1963" w14:textId="77777777" w:rsidR="00AC6F3C" w:rsidRDefault="00570E88">
            <w:pPr>
              <w:pStyle w:val="TableParagraph"/>
              <w:spacing w:before="20"/>
              <w:ind w:left="25"/>
              <w:rPr>
                <w:sz w:val="13"/>
              </w:rPr>
            </w:pPr>
            <w:r>
              <w:rPr>
                <w:sz w:val="13"/>
              </w:rPr>
              <w:t>Provision</w:t>
            </w:r>
            <w:r>
              <w:rPr>
                <w:spacing w:val="4"/>
                <w:sz w:val="13"/>
              </w:rPr>
              <w:t xml:space="preserve"> </w:t>
            </w:r>
            <w:r>
              <w:rPr>
                <w:sz w:val="13"/>
              </w:rPr>
              <w:t>for claims</w:t>
            </w:r>
            <w:r>
              <w:rPr>
                <w:spacing w:val="14"/>
                <w:sz w:val="13"/>
              </w:rPr>
              <w:t xml:space="preserve"> </w:t>
            </w:r>
            <w:r>
              <w:rPr>
                <w:spacing w:val="-2"/>
                <w:sz w:val="13"/>
              </w:rPr>
              <w:t>handling</w:t>
            </w:r>
          </w:p>
          <w:p w14:paraId="3C46DF41" w14:textId="77777777" w:rsidR="00AC6F3C" w:rsidRDefault="00570E88">
            <w:pPr>
              <w:pStyle w:val="TableParagraph"/>
              <w:spacing w:before="23" w:line="170" w:lineRule="atLeast"/>
              <w:ind w:left="25"/>
              <w:rPr>
                <w:b/>
                <w:sz w:val="13"/>
              </w:rPr>
            </w:pPr>
            <w:r>
              <w:rPr>
                <w:b/>
                <w:spacing w:val="-2"/>
                <w:sz w:val="13"/>
              </w:rPr>
              <w:t>Total</w:t>
            </w:r>
            <w:r>
              <w:rPr>
                <w:b/>
                <w:spacing w:val="-8"/>
                <w:sz w:val="13"/>
              </w:rPr>
              <w:t xml:space="preserve"> </w:t>
            </w:r>
            <w:r>
              <w:rPr>
                <w:b/>
                <w:spacing w:val="-2"/>
                <w:sz w:val="13"/>
              </w:rPr>
              <w:t>net</w:t>
            </w:r>
            <w:r>
              <w:rPr>
                <w:b/>
                <w:spacing w:val="-3"/>
                <w:sz w:val="13"/>
              </w:rPr>
              <w:t xml:space="preserve"> </w:t>
            </w:r>
            <w:r>
              <w:rPr>
                <w:b/>
                <w:spacing w:val="-2"/>
                <w:sz w:val="13"/>
              </w:rPr>
              <w:t>outstanding</w:t>
            </w:r>
            <w:r>
              <w:rPr>
                <w:b/>
                <w:spacing w:val="-8"/>
                <w:sz w:val="13"/>
              </w:rPr>
              <w:t xml:space="preserve"> </w:t>
            </w:r>
            <w:r>
              <w:rPr>
                <w:b/>
                <w:spacing w:val="-2"/>
                <w:sz w:val="13"/>
              </w:rPr>
              <w:t>claims included</w:t>
            </w:r>
            <w:r>
              <w:rPr>
                <w:b/>
                <w:spacing w:val="-8"/>
                <w:sz w:val="13"/>
              </w:rPr>
              <w:t xml:space="preserve"> </w:t>
            </w:r>
            <w:r>
              <w:rPr>
                <w:b/>
                <w:spacing w:val="-2"/>
                <w:sz w:val="13"/>
              </w:rPr>
              <w:t>in</w:t>
            </w:r>
            <w:r>
              <w:rPr>
                <w:b/>
                <w:spacing w:val="-8"/>
                <w:sz w:val="13"/>
              </w:rPr>
              <w:t xml:space="preserve"> </w:t>
            </w:r>
            <w:r>
              <w:rPr>
                <w:b/>
                <w:spacing w:val="-2"/>
                <w:sz w:val="13"/>
              </w:rPr>
              <w:t>the</w:t>
            </w:r>
            <w:r>
              <w:rPr>
                <w:b/>
                <w:spacing w:val="40"/>
                <w:sz w:val="13"/>
              </w:rPr>
              <w:t xml:space="preserve"> </w:t>
            </w:r>
            <w:r>
              <w:rPr>
                <w:b/>
                <w:sz w:val="13"/>
              </w:rPr>
              <w:t>Statement of Financial Position</w:t>
            </w:r>
          </w:p>
        </w:tc>
        <w:tc>
          <w:tcPr>
            <w:tcW w:w="694" w:type="dxa"/>
          </w:tcPr>
          <w:p w14:paraId="05EF96DC" w14:textId="77777777" w:rsidR="00AC6F3C" w:rsidRDefault="00AC6F3C">
            <w:pPr>
              <w:pStyle w:val="TableParagraph"/>
              <w:rPr>
                <w:rFonts w:ascii="Times New Roman"/>
                <w:sz w:val="14"/>
              </w:rPr>
            </w:pPr>
          </w:p>
        </w:tc>
        <w:tc>
          <w:tcPr>
            <w:tcW w:w="694" w:type="dxa"/>
          </w:tcPr>
          <w:p w14:paraId="537B2C05" w14:textId="77777777" w:rsidR="00AC6F3C" w:rsidRDefault="00AC6F3C">
            <w:pPr>
              <w:pStyle w:val="TableParagraph"/>
              <w:rPr>
                <w:rFonts w:ascii="Times New Roman"/>
                <w:sz w:val="14"/>
              </w:rPr>
            </w:pPr>
          </w:p>
        </w:tc>
        <w:tc>
          <w:tcPr>
            <w:tcW w:w="671" w:type="dxa"/>
          </w:tcPr>
          <w:p w14:paraId="37549B33" w14:textId="77777777" w:rsidR="00AC6F3C" w:rsidRDefault="00AC6F3C">
            <w:pPr>
              <w:pStyle w:val="TableParagraph"/>
              <w:rPr>
                <w:rFonts w:ascii="Times New Roman"/>
                <w:sz w:val="14"/>
              </w:rPr>
            </w:pPr>
          </w:p>
        </w:tc>
        <w:tc>
          <w:tcPr>
            <w:tcW w:w="718" w:type="dxa"/>
          </w:tcPr>
          <w:p w14:paraId="43D2D622" w14:textId="77777777" w:rsidR="00AC6F3C" w:rsidRDefault="00AC6F3C">
            <w:pPr>
              <w:pStyle w:val="TableParagraph"/>
              <w:rPr>
                <w:rFonts w:ascii="Times New Roman"/>
                <w:sz w:val="14"/>
              </w:rPr>
            </w:pPr>
          </w:p>
        </w:tc>
        <w:tc>
          <w:tcPr>
            <w:tcW w:w="695" w:type="dxa"/>
          </w:tcPr>
          <w:p w14:paraId="0A6DB1B1" w14:textId="77777777" w:rsidR="00AC6F3C" w:rsidRDefault="00AC6F3C">
            <w:pPr>
              <w:pStyle w:val="TableParagraph"/>
              <w:rPr>
                <w:rFonts w:ascii="Times New Roman"/>
                <w:sz w:val="14"/>
              </w:rPr>
            </w:pPr>
          </w:p>
        </w:tc>
        <w:tc>
          <w:tcPr>
            <w:tcW w:w="695" w:type="dxa"/>
          </w:tcPr>
          <w:p w14:paraId="2D4696E3" w14:textId="77777777" w:rsidR="00AC6F3C" w:rsidRDefault="00AC6F3C">
            <w:pPr>
              <w:pStyle w:val="TableParagraph"/>
              <w:rPr>
                <w:rFonts w:ascii="Times New Roman"/>
                <w:sz w:val="14"/>
              </w:rPr>
            </w:pPr>
          </w:p>
        </w:tc>
        <w:tc>
          <w:tcPr>
            <w:tcW w:w="563" w:type="dxa"/>
          </w:tcPr>
          <w:p w14:paraId="0817562A" w14:textId="77777777" w:rsidR="00AC6F3C" w:rsidRDefault="00AC6F3C">
            <w:pPr>
              <w:pStyle w:val="TableParagraph"/>
              <w:rPr>
                <w:rFonts w:ascii="Times New Roman"/>
                <w:sz w:val="14"/>
              </w:rPr>
            </w:pPr>
          </w:p>
        </w:tc>
        <w:tc>
          <w:tcPr>
            <w:tcW w:w="732" w:type="dxa"/>
            <w:tcBorders>
              <w:right w:val="single" w:sz="6" w:space="0" w:color="000000"/>
            </w:tcBorders>
          </w:tcPr>
          <w:p w14:paraId="0251389E" w14:textId="77777777" w:rsidR="00AC6F3C" w:rsidRDefault="00570E88">
            <w:pPr>
              <w:pStyle w:val="TableParagraph"/>
              <w:tabs>
                <w:tab w:val="left" w:pos="322"/>
              </w:tabs>
              <w:spacing w:before="42"/>
              <w:ind w:left="30" w:right="-15"/>
              <w:rPr>
                <w:sz w:val="13"/>
              </w:rPr>
            </w:pPr>
            <w:r>
              <w:rPr>
                <w:sz w:val="13"/>
                <w:u w:val="single"/>
              </w:rPr>
              <w:tab/>
            </w:r>
            <w:r>
              <w:rPr>
                <w:spacing w:val="-2"/>
                <w:sz w:val="13"/>
                <w:u w:val="single"/>
              </w:rPr>
              <w:t>6,865</w:t>
            </w:r>
            <w:r>
              <w:rPr>
                <w:spacing w:val="80"/>
                <w:sz w:val="13"/>
                <w:u w:val="single"/>
              </w:rPr>
              <w:t xml:space="preserve"> </w:t>
            </w:r>
          </w:p>
          <w:p w14:paraId="00F5B116" w14:textId="77777777" w:rsidR="00AC6F3C" w:rsidRDefault="00AC6F3C">
            <w:pPr>
              <w:pStyle w:val="TableParagraph"/>
              <w:spacing w:before="2"/>
              <w:rPr>
                <w:b/>
                <w:sz w:val="17"/>
              </w:rPr>
            </w:pPr>
          </w:p>
          <w:p w14:paraId="6C97487F" w14:textId="77777777" w:rsidR="00AC6F3C" w:rsidRDefault="00570E88">
            <w:pPr>
              <w:pStyle w:val="TableParagraph"/>
              <w:spacing w:line="144" w:lineRule="exact"/>
              <w:ind w:left="247"/>
              <w:rPr>
                <w:b/>
                <w:sz w:val="13"/>
              </w:rPr>
            </w:pPr>
            <w:r>
              <w:rPr>
                <w:b/>
                <w:spacing w:val="-2"/>
                <w:sz w:val="13"/>
              </w:rPr>
              <w:t>76,310</w:t>
            </w:r>
          </w:p>
        </w:tc>
      </w:tr>
      <w:tr w:rsidR="00AC6F3C" w14:paraId="2F4970E1" w14:textId="77777777">
        <w:trPr>
          <w:trHeight w:val="357"/>
        </w:trPr>
        <w:tc>
          <w:tcPr>
            <w:tcW w:w="3029" w:type="dxa"/>
            <w:tcBorders>
              <w:left w:val="single" w:sz="6" w:space="0" w:color="000000"/>
            </w:tcBorders>
          </w:tcPr>
          <w:p w14:paraId="607A81CA" w14:textId="77777777" w:rsidR="00AC6F3C" w:rsidRDefault="00570E88">
            <w:pPr>
              <w:pStyle w:val="TableParagraph"/>
              <w:spacing w:before="10"/>
              <w:ind w:left="25"/>
              <w:rPr>
                <w:sz w:val="13"/>
              </w:rPr>
            </w:pPr>
            <w:r>
              <w:rPr>
                <w:sz w:val="13"/>
              </w:rPr>
              <w:t>Movement</w:t>
            </w:r>
            <w:r>
              <w:rPr>
                <w:spacing w:val="-6"/>
                <w:sz w:val="13"/>
              </w:rPr>
              <w:t xml:space="preserve"> </w:t>
            </w:r>
            <w:r>
              <w:rPr>
                <w:sz w:val="13"/>
              </w:rPr>
              <w:t>in</w:t>
            </w:r>
            <w:r>
              <w:rPr>
                <w:spacing w:val="2"/>
                <w:sz w:val="13"/>
              </w:rPr>
              <w:t xml:space="preserve"> </w:t>
            </w:r>
            <w:r>
              <w:rPr>
                <w:sz w:val="13"/>
              </w:rPr>
              <w:t>accident</w:t>
            </w:r>
            <w:r>
              <w:rPr>
                <w:spacing w:val="-6"/>
                <w:sz w:val="13"/>
              </w:rPr>
              <w:t xml:space="preserve"> </w:t>
            </w:r>
            <w:r>
              <w:rPr>
                <w:sz w:val="13"/>
              </w:rPr>
              <w:t>year</w:t>
            </w:r>
            <w:r>
              <w:rPr>
                <w:spacing w:val="-2"/>
                <w:sz w:val="13"/>
              </w:rPr>
              <w:t xml:space="preserve"> </w:t>
            </w:r>
            <w:r>
              <w:rPr>
                <w:sz w:val="13"/>
              </w:rPr>
              <w:t>estimate</w:t>
            </w:r>
            <w:r>
              <w:rPr>
                <w:spacing w:val="2"/>
                <w:sz w:val="13"/>
              </w:rPr>
              <w:t xml:space="preserve"> </w:t>
            </w:r>
            <w:r>
              <w:rPr>
                <w:spacing w:val="-2"/>
                <w:sz w:val="13"/>
              </w:rPr>
              <w:t>before</w:t>
            </w:r>
          </w:p>
          <w:p w14:paraId="56D1FEB2" w14:textId="77777777" w:rsidR="00AC6F3C" w:rsidRDefault="00570E88">
            <w:pPr>
              <w:pStyle w:val="TableParagraph"/>
              <w:spacing w:before="23"/>
              <w:ind w:left="25"/>
              <w:rPr>
                <w:sz w:val="13"/>
              </w:rPr>
            </w:pPr>
            <w:r>
              <w:rPr>
                <w:sz w:val="13"/>
              </w:rPr>
              <w:t>discounting</w:t>
            </w:r>
            <w:r>
              <w:rPr>
                <w:spacing w:val="10"/>
                <w:sz w:val="13"/>
              </w:rPr>
              <w:t xml:space="preserve"> </w:t>
            </w:r>
            <w:r>
              <w:rPr>
                <w:sz w:val="13"/>
              </w:rPr>
              <w:t>and</w:t>
            </w:r>
            <w:r>
              <w:rPr>
                <w:spacing w:val="11"/>
                <w:sz w:val="13"/>
              </w:rPr>
              <w:t xml:space="preserve"> </w:t>
            </w:r>
            <w:r>
              <w:rPr>
                <w:spacing w:val="-2"/>
                <w:sz w:val="13"/>
              </w:rPr>
              <w:t>margins</w:t>
            </w:r>
          </w:p>
        </w:tc>
        <w:tc>
          <w:tcPr>
            <w:tcW w:w="694" w:type="dxa"/>
          </w:tcPr>
          <w:p w14:paraId="5124DB1D" w14:textId="77777777" w:rsidR="00AC6F3C" w:rsidRDefault="00AC6F3C">
            <w:pPr>
              <w:pStyle w:val="TableParagraph"/>
              <w:spacing w:before="10"/>
              <w:rPr>
                <w:b/>
                <w:sz w:val="15"/>
              </w:rPr>
            </w:pPr>
          </w:p>
          <w:p w14:paraId="0DF6C952" w14:textId="77777777" w:rsidR="00AC6F3C" w:rsidRDefault="00570E88">
            <w:pPr>
              <w:pStyle w:val="TableParagraph"/>
              <w:ind w:left="189" w:right="37"/>
              <w:jc w:val="center"/>
              <w:rPr>
                <w:sz w:val="13"/>
              </w:rPr>
            </w:pPr>
            <w:r>
              <w:rPr>
                <w:spacing w:val="-2"/>
                <w:sz w:val="13"/>
              </w:rPr>
              <w:t>(826)</w:t>
            </w:r>
          </w:p>
        </w:tc>
        <w:tc>
          <w:tcPr>
            <w:tcW w:w="694" w:type="dxa"/>
          </w:tcPr>
          <w:p w14:paraId="4F9603D6" w14:textId="77777777" w:rsidR="00AC6F3C" w:rsidRDefault="00AC6F3C">
            <w:pPr>
              <w:pStyle w:val="TableParagraph"/>
              <w:spacing w:before="10"/>
              <w:rPr>
                <w:b/>
                <w:sz w:val="15"/>
              </w:rPr>
            </w:pPr>
          </w:p>
          <w:p w14:paraId="491E19A9" w14:textId="77777777" w:rsidR="00AC6F3C" w:rsidRDefault="00570E88">
            <w:pPr>
              <w:pStyle w:val="TableParagraph"/>
              <w:ind w:right="110"/>
              <w:jc w:val="right"/>
              <w:rPr>
                <w:sz w:val="13"/>
              </w:rPr>
            </w:pPr>
            <w:r>
              <w:rPr>
                <w:spacing w:val="-2"/>
                <w:sz w:val="13"/>
              </w:rPr>
              <w:t>(585)</w:t>
            </w:r>
          </w:p>
        </w:tc>
        <w:tc>
          <w:tcPr>
            <w:tcW w:w="671" w:type="dxa"/>
          </w:tcPr>
          <w:p w14:paraId="22CB37F8" w14:textId="77777777" w:rsidR="00AC6F3C" w:rsidRDefault="00AC6F3C">
            <w:pPr>
              <w:pStyle w:val="TableParagraph"/>
              <w:spacing w:before="10"/>
              <w:rPr>
                <w:b/>
                <w:sz w:val="15"/>
              </w:rPr>
            </w:pPr>
          </w:p>
          <w:p w14:paraId="692EFB2F" w14:textId="77777777" w:rsidR="00AC6F3C" w:rsidRDefault="00570E88">
            <w:pPr>
              <w:pStyle w:val="TableParagraph"/>
              <w:ind w:right="135"/>
              <w:jc w:val="right"/>
              <w:rPr>
                <w:sz w:val="13"/>
              </w:rPr>
            </w:pPr>
            <w:r>
              <w:rPr>
                <w:spacing w:val="-5"/>
                <w:sz w:val="13"/>
              </w:rPr>
              <w:t>690</w:t>
            </w:r>
          </w:p>
        </w:tc>
        <w:tc>
          <w:tcPr>
            <w:tcW w:w="718" w:type="dxa"/>
          </w:tcPr>
          <w:p w14:paraId="4A672EF6" w14:textId="77777777" w:rsidR="00AC6F3C" w:rsidRDefault="00AC6F3C">
            <w:pPr>
              <w:pStyle w:val="TableParagraph"/>
              <w:spacing w:before="10"/>
              <w:rPr>
                <w:b/>
                <w:sz w:val="15"/>
              </w:rPr>
            </w:pPr>
          </w:p>
          <w:p w14:paraId="73817AFD" w14:textId="77777777" w:rsidR="00AC6F3C" w:rsidRDefault="00570E88">
            <w:pPr>
              <w:pStyle w:val="TableParagraph"/>
              <w:ind w:left="139" w:right="77"/>
              <w:jc w:val="center"/>
              <w:rPr>
                <w:sz w:val="13"/>
              </w:rPr>
            </w:pPr>
            <w:r>
              <w:rPr>
                <w:spacing w:val="-2"/>
                <w:sz w:val="13"/>
              </w:rPr>
              <w:t>(1,195)</w:t>
            </w:r>
          </w:p>
        </w:tc>
        <w:tc>
          <w:tcPr>
            <w:tcW w:w="695" w:type="dxa"/>
          </w:tcPr>
          <w:p w14:paraId="49584421" w14:textId="77777777" w:rsidR="00AC6F3C" w:rsidRDefault="00AC6F3C">
            <w:pPr>
              <w:pStyle w:val="TableParagraph"/>
              <w:spacing w:before="10"/>
              <w:rPr>
                <w:b/>
                <w:sz w:val="15"/>
              </w:rPr>
            </w:pPr>
          </w:p>
          <w:p w14:paraId="5A3A8885" w14:textId="77777777" w:rsidR="00AC6F3C" w:rsidRDefault="00570E88">
            <w:pPr>
              <w:pStyle w:val="TableParagraph"/>
              <w:ind w:left="152"/>
              <w:rPr>
                <w:sz w:val="13"/>
              </w:rPr>
            </w:pPr>
            <w:r>
              <w:rPr>
                <w:spacing w:val="-2"/>
                <w:sz w:val="13"/>
              </w:rPr>
              <w:t>(1,848)</w:t>
            </w:r>
          </w:p>
        </w:tc>
        <w:tc>
          <w:tcPr>
            <w:tcW w:w="695" w:type="dxa"/>
          </w:tcPr>
          <w:p w14:paraId="12942AB0" w14:textId="77777777" w:rsidR="00AC6F3C" w:rsidRDefault="00AC6F3C">
            <w:pPr>
              <w:pStyle w:val="TableParagraph"/>
              <w:spacing w:before="10"/>
              <w:rPr>
                <w:b/>
                <w:sz w:val="15"/>
              </w:rPr>
            </w:pPr>
          </w:p>
          <w:p w14:paraId="593669A5" w14:textId="77777777" w:rsidR="00AC6F3C" w:rsidRDefault="00570E88">
            <w:pPr>
              <w:pStyle w:val="TableParagraph"/>
              <w:ind w:right="116"/>
              <w:jc w:val="right"/>
              <w:rPr>
                <w:sz w:val="13"/>
              </w:rPr>
            </w:pPr>
            <w:r>
              <w:rPr>
                <w:spacing w:val="-2"/>
                <w:sz w:val="13"/>
              </w:rPr>
              <w:t>(1,005)</w:t>
            </w:r>
          </w:p>
        </w:tc>
        <w:tc>
          <w:tcPr>
            <w:tcW w:w="563" w:type="dxa"/>
          </w:tcPr>
          <w:p w14:paraId="177FB244" w14:textId="77777777" w:rsidR="00AC6F3C" w:rsidRDefault="00AC6F3C">
            <w:pPr>
              <w:pStyle w:val="TableParagraph"/>
              <w:spacing w:before="10"/>
              <w:rPr>
                <w:b/>
                <w:sz w:val="15"/>
              </w:rPr>
            </w:pPr>
          </w:p>
          <w:p w14:paraId="18E68D95" w14:textId="77777777" w:rsidR="00AC6F3C" w:rsidRDefault="00570E88">
            <w:pPr>
              <w:pStyle w:val="TableParagraph"/>
              <w:ind w:left="109" w:right="27"/>
              <w:jc w:val="center"/>
              <w:rPr>
                <w:sz w:val="13"/>
              </w:rPr>
            </w:pPr>
            <w:r>
              <w:rPr>
                <w:spacing w:val="-2"/>
                <w:sz w:val="13"/>
              </w:rPr>
              <w:t>17,074</w:t>
            </w:r>
          </w:p>
        </w:tc>
        <w:tc>
          <w:tcPr>
            <w:tcW w:w="732" w:type="dxa"/>
            <w:tcBorders>
              <w:right w:val="single" w:sz="6" w:space="0" w:color="000000"/>
            </w:tcBorders>
          </w:tcPr>
          <w:p w14:paraId="5FD24D6A" w14:textId="77777777" w:rsidR="00AC6F3C" w:rsidRDefault="00AC6F3C">
            <w:pPr>
              <w:pStyle w:val="TableParagraph"/>
              <w:spacing w:before="10"/>
              <w:rPr>
                <w:b/>
                <w:sz w:val="15"/>
              </w:rPr>
            </w:pPr>
          </w:p>
          <w:p w14:paraId="21F0D5DE" w14:textId="77777777" w:rsidR="00AC6F3C" w:rsidRDefault="00570E88">
            <w:pPr>
              <w:pStyle w:val="TableParagraph"/>
              <w:ind w:left="247"/>
              <w:rPr>
                <w:sz w:val="13"/>
              </w:rPr>
            </w:pPr>
            <w:r>
              <w:rPr>
                <w:spacing w:val="-2"/>
                <w:sz w:val="13"/>
              </w:rPr>
              <w:t>12,305</w:t>
            </w:r>
          </w:p>
        </w:tc>
      </w:tr>
      <w:tr w:rsidR="00AC6F3C" w14:paraId="36E76FE9" w14:textId="77777777">
        <w:trPr>
          <w:trHeight w:val="216"/>
        </w:trPr>
        <w:tc>
          <w:tcPr>
            <w:tcW w:w="3029" w:type="dxa"/>
            <w:tcBorders>
              <w:left w:val="single" w:sz="6" w:space="0" w:color="000000"/>
            </w:tcBorders>
          </w:tcPr>
          <w:p w14:paraId="2F7C294D" w14:textId="77777777" w:rsidR="00AC6F3C" w:rsidRDefault="00570E88">
            <w:pPr>
              <w:pStyle w:val="TableParagraph"/>
              <w:spacing w:before="20"/>
              <w:ind w:left="25"/>
              <w:rPr>
                <w:sz w:val="13"/>
              </w:rPr>
            </w:pPr>
            <w:r>
              <w:rPr>
                <w:sz w:val="13"/>
              </w:rPr>
              <w:t>Movement</w:t>
            </w:r>
            <w:r>
              <w:rPr>
                <w:spacing w:val="-10"/>
                <w:sz w:val="13"/>
              </w:rPr>
              <w:t xml:space="preserve"> </w:t>
            </w:r>
            <w:r>
              <w:rPr>
                <w:sz w:val="13"/>
              </w:rPr>
              <w:t>in</w:t>
            </w:r>
            <w:r>
              <w:rPr>
                <w:spacing w:val="-2"/>
                <w:sz w:val="13"/>
              </w:rPr>
              <w:t xml:space="preserve"> </w:t>
            </w:r>
            <w:r>
              <w:rPr>
                <w:sz w:val="13"/>
              </w:rPr>
              <w:t>excess</w:t>
            </w:r>
            <w:r>
              <w:rPr>
                <w:spacing w:val="5"/>
                <w:sz w:val="13"/>
              </w:rPr>
              <w:t xml:space="preserve"> </w:t>
            </w:r>
            <w:r>
              <w:rPr>
                <w:spacing w:val="-2"/>
                <w:sz w:val="13"/>
              </w:rPr>
              <w:t>receivable</w:t>
            </w:r>
          </w:p>
        </w:tc>
        <w:tc>
          <w:tcPr>
            <w:tcW w:w="694" w:type="dxa"/>
          </w:tcPr>
          <w:p w14:paraId="49494657" w14:textId="77777777" w:rsidR="00AC6F3C" w:rsidRDefault="00AC6F3C">
            <w:pPr>
              <w:pStyle w:val="TableParagraph"/>
              <w:rPr>
                <w:rFonts w:ascii="Times New Roman"/>
                <w:sz w:val="14"/>
              </w:rPr>
            </w:pPr>
          </w:p>
        </w:tc>
        <w:tc>
          <w:tcPr>
            <w:tcW w:w="694" w:type="dxa"/>
          </w:tcPr>
          <w:p w14:paraId="1B1C4981" w14:textId="77777777" w:rsidR="00AC6F3C" w:rsidRDefault="00AC6F3C">
            <w:pPr>
              <w:pStyle w:val="TableParagraph"/>
              <w:rPr>
                <w:rFonts w:ascii="Times New Roman"/>
                <w:sz w:val="14"/>
              </w:rPr>
            </w:pPr>
          </w:p>
        </w:tc>
        <w:tc>
          <w:tcPr>
            <w:tcW w:w="671" w:type="dxa"/>
          </w:tcPr>
          <w:p w14:paraId="273CA1CC" w14:textId="77777777" w:rsidR="00AC6F3C" w:rsidRDefault="00AC6F3C">
            <w:pPr>
              <w:pStyle w:val="TableParagraph"/>
              <w:rPr>
                <w:rFonts w:ascii="Times New Roman"/>
                <w:sz w:val="14"/>
              </w:rPr>
            </w:pPr>
          </w:p>
        </w:tc>
        <w:tc>
          <w:tcPr>
            <w:tcW w:w="718" w:type="dxa"/>
          </w:tcPr>
          <w:p w14:paraId="5C17D0F8" w14:textId="77777777" w:rsidR="00AC6F3C" w:rsidRDefault="00AC6F3C">
            <w:pPr>
              <w:pStyle w:val="TableParagraph"/>
              <w:rPr>
                <w:rFonts w:ascii="Times New Roman"/>
                <w:sz w:val="14"/>
              </w:rPr>
            </w:pPr>
          </w:p>
        </w:tc>
        <w:tc>
          <w:tcPr>
            <w:tcW w:w="695" w:type="dxa"/>
          </w:tcPr>
          <w:p w14:paraId="18B8AD56" w14:textId="77777777" w:rsidR="00AC6F3C" w:rsidRDefault="00AC6F3C">
            <w:pPr>
              <w:pStyle w:val="TableParagraph"/>
              <w:rPr>
                <w:rFonts w:ascii="Times New Roman"/>
                <w:sz w:val="14"/>
              </w:rPr>
            </w:pPr>
          </w:p>
        </w:tc>
        <w:tc>
          <w:tcPr>
            <w:tcW w:w="695" w:type="dxa"/>
          </w:tcPr>
          <w:p w14:paraId="7FDE7DA7" w14:textId="77777777" w:rsidR="00AC6F3C" w:rsidRDefault="00AC6F3C">
            <w:pPr>
              <w:pStyle w:val="TableParagraph"/>
              <w:rPr>
                <w:rFonts w:ascii="Times New Roman"/>
                <w:sz w:val="14"/>
              </w:rPr>
            </w:pPr>
          </w:p>
        </w:tc>
        <w:tc>
          <w:tcPr>
            <w:tcW w:w="563" w:type="dxa"/>
          </w:tcPr>
          <w:p w14:paraId="15875F77" w14:textId="77777777" w:rsidR="00AC6F3C" w:rsidRDefault="00AC6F3C">
            <w:pPr>
              <w:pStyle w:val="TableParagraph"/>
              <w:rPr>
                <w:rFonts w:ascii="Times New Roman"/>
                <w:sz w:val="14"/>
              </w:rPr>
            </w:pPr>
          </w:p>
        </w:tc>
        <w:tc>
          <w:tcPr>
            <w:tcW w:w="732" w:type="dxa"/>
            <w:tcBorders>
              <w:right w:val="single" w:sz="6" w:space="0" w:color="000000"/>
            </w:tcBorders>
          </w:tcPr>
          <w:p w14:paraId="05660C03" w14:textId="77777777" w:rsidR="00AC6F3C" w:rsidRDefault="00570E88">
            <w:pPr>
              <w:pStyle w:val="TableParagraph"/>
              <w:tabs>
                <w:tab w:val="left" w:pos="582"/>
              </w:tabs>
              <w:spacing w:before="42"/>
              <w:ind w:left="30" w:right="-15"/>
              <w:rPr>
                <w:sz w:val="13"/>
              </w:rPr>
            </w:pPr>
            <w:r>
              <w:rPr>
                <w:sz w:val="13"/>
                <w:u w:val="single"/>
              </w:rPr>
              <w:tab/>
            </w:r>
            <w:r>
              <w:rPr>
                <w:spacing w:val="-10"/>
                <w:sz w:val="13"/>
                <w:u w:val="single"/>
              </w:rPr>
              <w:t>5</w:t>
            </w:r>
            <w:r>
              <w:rPr>
                <w:spacing w:val="80"/>
                <w:sz w:val="13"/>
                <w:u w:val="single"/>
              </w:rPr>
              <w:t xml:space="preserve"> </w:t>
            </w:r>
          </w:p>
        </w:tc>
      </w:tr>
      <w:tr w:rsidR="00AC6F3C" w14:paraId="3F7A6E98" w14:textId="77777777">
        <w:trPr>
          <w:trHeight w:val="411"/>
        </w:trPr>
        <w:tc>
          <w:tcPr>
            <w:tcW w:w="3029" w:type="dxa"/>
            <w:tcBorders>
              <w:left w:val="single" w:sz="6" w:space="0" w:color="000000"/>
              <w:bottom w:val="single" w:sz="6" w:space="0" w:color="000000"/>
            </w:tcBorders>
          </w:tcPr>
          <w:p w14:paraId="67BD068C" w14:textId="77777777" w:rsidR="00AC6F3C" w:rsidRDefault="00570E88">
            <w:pPr>
              <w:pStyle w:val="TableParagraph"/>
              <w:spacing w:before="20"/>
              <w:ind w:left="25"/>
              <w:rPr>
                <w:sz w:val="13"/>
              </w:rPr>
            </w:pPr>
            <w:r>
              <w:rPr>
                <w:sz w:val="13"/>
              </w:rPr>
              <w:t>Net</w:t>
            </w:r>
            <w:r>
              <w:rPr>
                <w:spacing w:val="-1"/>
                <w:sz w:val="13"/>
              </w:rPr>
              <w:t xml:space="preserve"> </w:t>
            </w:r>
            <w:r>
              <w:rPr>
                <w:sz w:val="13"/>
              </w:rPr>
              <w:t>claims</w:t>
            </w:r>
            <w:r>
              <w:rPr>
                <w:spacing w:val="18"/>
                <w:sz w:val="13"/>
              </w:rPr>
              <w:t xml:space="preserve"> </w:t>
            </w:r>
            <w:r>
              <w:rPr>
                <w:spacing w:val="-2"/>
                <w:sz w:val="13"/>
              </w:rPr>
              <w:t>incurred</w:t>
            </w:r>
          </w:p>
        </w:tc>
        <w:tc>
          <w:tcPr>
            <w:tcW w:w="694" w:type="dxa"/>
            <w:tcBorders>
              <w:bottom w:val="single" w:sz="6" w:space="0" w:color="000000"/>
            </w:tcBorders>
          </w:tcPr>
          <w:p w14:paraId="59B11EF2" w14:textId="77777777" w:rsidR="00AC6F3C" w:rsidRDefault="00AC6F3C">
            <w:pPr>
              <w:pStyle w:val="TableParagraph"/>
              <w:rPr>
                <w:rFonts w:ascii="Times New Roman"/>
                <w:sz w:val="14"/>
              </w:rPr>
            </w:pPr>
          </w:p>
        </w:tc>
        <w:tc>
          <w:tcPr>
            <w:tcW w:w="694" w:type="dxa"/>
            <w:tcBorders>
              <w:bottom w:val="single" w:sz="6" w:space="0" w:color="000000"/>
            </w:tcBorders>
          </w:tcPr>
          <w:p w14:paraId="7AFD0DF1" w14:textId="77777777" w:rsidR="00AC6F3C" w:rsidRDefault="00AC6F3C">
            <w:pPr>
              <w:pStyle w:val="TableParagraph"/>
              <w:rPr>
                <w:rFonts w:ascii="Times New Roman"/>
                <w:sz w:val="14"/>
              </w:rPr>
            </w:pPr>
          </w:p>
        </w:tc>
        <w:tc>
          <w:tcPr>
            <w:tcW w:w="671" w:type="dxa"/>
            <w:tcBorders>
              <w:bottom w:val="single" w:sz="6" w:space="0" w:color="000000"/>
            </w:tcBorders>
          </w:tcPr>
          <w:p w14:paraId="590CC332" w14:textId="77777777" w:rsidR="00AC6F3C" w:rsidRDefault="00AC6F3C">
            <w:pPr>
              <w:pStyle w:val="TableParagraph"/>
              <w:rPr>
                <w:rFonts w:ascii="Times New Roman"/>
                <w:sz w:val="14"/>
              </w:rPr>
            </w:pPr>
          </w:p>
        </w:tc>
        <w:tc>
          <w:tcPr>
            <w:tcW w:w="718" w:type="dxa"/>
            <w:tcBorders>
              <w:bottom w:val="single" w:sz="6" w:space="0" w:color="000000"/>
            </w:tcBorders>
          </w:tcPr>
          <w:p w14:paraId="59A93DB0" w14:textId="77777777" w:rsidR="00AC6F3C" w:rsidRDefault="00AC6F3C">
            <w:pPr>
              <w:pStyle w:val="TableParagraph"/>
              <w:rPr>
                <w:rFonts w:ascii="Times New Roman"/>
                <w:sz w:val="14"/>
              </w:rPr>
            </w:pPr>
          </w:p>
        </w:tc>
        <w:tc>
          <w:tcPr>
            <w:tcW w:w="695" w:type="dxa"/>
            <w:tcBorders>
              <w:bottom w:val="single" w:sz="6" w:space="0" w:color="000000"/>
            </w:tcBorders>
          </w:tcPr>
          <w:p w14:paraId="4CB071B0" w14:textId="77777777" w:rsidR="00AC6F3C" w:rsidRDefault="00AC6F3C">
            <w:pPr>
              <w:pStyle w:val="TableParagraph"/>
              <w:rPr>
                <w:rFonts w:ascii="Times New Roman"/>
                <w:sz w:val="14"/>
              </w:rPr>
            </w:pPr>
          </w:p>
        </w:tc>
        <w:tc>
          <w:tcPr>
            <w:tcW w:w="695" w:type="dxa"/>
            <w:tcBorders>
              <w:bottom w:val="single" w:sz="6" w:space="0" w:color="000000"/>
            </w:tcBorders>
          </w:tcPr>
          <w:p w14:paraId="2806443B" w14:textId="77777777" w:rsidR="00AC6F3C" w:rsidRDefault="00AC6F3C">
            <w:pPr>
              <w:pStyle w:val="TableParagraph"/>
              <w:rPr>
                <w:rFonts w:ascii="Times New Roman"/>
                <w:sz w:val="14"/>
              </w:rPr>
            </w:pPr>
          </w:p>
        </w:tc>
        <w:tc>
          <w:tcPr>
            <w:tcW w:w="563" w:type="dxa"/>
            <w:tcBorders>
              <w:bottom w:val="single" w:sz="6" w:space="0" w:color="000000"/>
            </w:tcBorders>
          </w:tcPr>
          <w:p w14:paraId="1374565D" w14:textId="77777777" w:rsidR="00AC6F3C" w:rsidRDefault="00AC6F3C">
            <w:pPr>
              <w:pStyle w:val="TableParagraph"/>
              <w:rPr>
                <w:rFonts w:ascii="Times New Roman"/>
                <w:sz w:val="14"/>
              </w:rPr>
            </w:pPr>
          </w:p>
        </w:tc>
        <w:tc>
          <w:tcPr>
            <w:tcW w:w="732" w:type="dxa"/>
            <w:tcBorders>
              <w:bottom w:val="single" w:sz="6" w:space="0" w:color="000000"/>
              <w:right w:val="single" w:sz="6" w:space="0" w:color="000000"/>
            </w:tcBorders>
          </w:tcPr>
          <w:p w14:paraId="7121F9D6" w14:textId="77777777" w:rsidR="00AC6F3C" w:rsidRDefault="00570E88">
            <w:pPr>
              <w:pStyle w:val="TableParagraph"/>
              <w:spacing w:before="42"/>
              <w:ind w:left="30" w:right="-15"/>
              <w:rPr>
                <w:b/>
                <w:sz w:val="13"/>
              </w:rPr>
            </w:pPr>
            <w:r>
              <w:rPr>
                <w:b/>
                <w:spacing w:val="70"/>
                <w:sz w:val="13"/>
                <w:u w:val="single"/>
              </w:rPr>
              <w:t xml:space="preserve">  </w:t>
            </w:r>
            <w:r>
              <w:rPr>
                <w:b/>
                <w:spacing w:val="-2"/>
                <w:sz w:val="13"/>
                <w:u w:val="single"/>
              </w:rPr>
              <w:t>12,310</w:t>
            </w:r>
            <w:r>
              <w:rPr>
                <w:b/>
                <w:spacing w:val="80"/>
                <w:sz w:val="13"/>
                <w:u w:val="single"/>
              </w:rPr>
              <w:t xml:space="preserve"> </w:t>
            </w:r>
          </w:p>
        </w:tc>
      </w:tr>
    </w:tbl>
    <w:p w14:paraId="56F18DC4" w14:textId="77777777" w:rsidR="00AC6F3C" w:rsidRDefault="00570E88">
      <w:pPr>
        <w:spacing w:before="139"/>
        <w:ind w:left="958" w:right="817"/>
        <w:jc w:val="both"/>
        <w:rPr>
          <w:sz w:val="18"/>
        </w:rPr>
      </w:pPr>
      <w:r>
        <w:rPr>
          <w:sz w:val="18"/>
        </w:rPr>
        <w:t>The Group monitors and reacts to changes in the general economic and commercial environment in which it operates.</w:t>
      </w:r>
      <w:r>
        <w:rPr>
          <w:spacing w:val="40"/>
          <w:sz w:val="18"/>
        </w:rPr>
        <w:t xml:space="preserve"> </w:t>
      </w:r>
      <w:r>
        <w:rPr>
          <w:sz w:val="18"/>
        </w:rPr>
        <w:t xml:space="preserve">The Group also assesses the need to </w:t>
      </w:r>
      <w:proofErr w:type="spellStart"/>
      <w:r>
        <w:rPr>
          <w:sz w:val="18"/>
        </w:rPr>
        <w:t>minimise</w:t>
      </w:r>
      <w:proofErr w:type="spellEnd"/>
      <w:r>
        <w:rPr>
          <w:sz w:val="18"/>
        </w:rPr>
        <w:t xml:space="preserve"> its underwriting risks by retaining part of the risks underwritten for its own account and reinsuring the remainder.</w:t>
      </w:r>
    </w:p>
    <w:p w14:paraId="0BD87C29" w14:textId="77777777" w:rsidR="00AC6F3C" w:rsidRDefault="00AC6F3C">
      <w:pPr>
        <w:jc w:val="both"/>
        <w:rPr>
          <w:sz w:val="18"/>
        </w:rPr>
        <w:sectPr w:rsidR="00AC6F3C">
          <w:pgSz w:w="11910" w:h="16840"/>
          <w:pgMar w:top="2020" w:right="1160" w:bottom="520" w:left="460" w:header="1228" w:footer="336" w:gutter="0"/>
          <w:cols w:space="720"/>
        </w:sectPr>
      </w:pPr>
    </w:p>
    <w:p w14:paraId="0B1FF036" w14:textId="77777777" w:rsidR="00AC6F3C" w:rsidRDefault="00AC6F3C">
      <w:pPr>
        <w:pStyle w:val="BodyText"/>
      </w:pPr>
    </w:p>
    <w:p w14:paraId="634F0DC0" w14:textId="77777777" w:rsidR="00AC6F3C" w:rsidRDefault="00570E88">
      <w:pPr>
        <w:tabs>
          <w:tab w:val="left" w:pos="1666"/>
        </w:tabs>
        <w:spacing w:before="249" w:line="322" w:lineRule="exact"/>
        <w:ind w:left="958"/>
        <w:rPr>
          <w:b/>
          <w:sz w:val="28"/>
        </w:rPr>
      </w:pPr>
      <w:r>
        <w:rPr>
          <w:b/>
          <w:spacing w:val="-5"/>
          <w:sz w:val="28"/>
        </w:rPr>
        <w:t>D2</w:t>
      </w:r>
      <w:r>
        <w:rPr>
          <w:b/>
          <w:sz w:val="28"/>
        </w:rPr>
        <w:tab/>
        <w:t>MANAGEMENT</w:t>
      </w:r>
      <w:r>
        <w:rPr>
          <w:b/>
          <w:spacing w:val="-8"/>
          <w:sz w:val="28"/>
        </w:rPr>
        <w:t xml:space="preserve"> </w:t>
      </w:r>
      <w:r>
        <w:rPr>
          <w:b/>
          <w:sz w:val="28"/>
        </w:rPr>
        <w:t>OF</w:t>
      </w:r>
      <w:r>
        <w:rPr>
          <w:b/>
          <w:spacing w:val="-8"/>
          <w:sz w:val="28"/>
        </w:rPr>
        <w:t xml:space="preserve"> </w:t>
      </w:r>
      <w:r>
        <w:rPr>
          <w:b/>
          <w:sz w:val="28"/>
        </w:rPr>
        <w:t>INSURANCE</w:t>
      </w:r>
      <w:r>
        <w:rPr>
          <w:b/>
          <w:spacing w:val="-18"/>
          <w:sz w:val="28"/>
        </w:rPr>
        <w:t xml:space="preserve"> </w:t>
      </w:r>
      <w:r>
        <w:rPr>
          <w:b/>
          <w:sz w:val="28"/>
        </w:rPr>
        <w:t>AND</w:t>
      </w:r>
      <w:r>
        <w:rPr>
          <w:b/>
          <w:spacing w:val="-7"/>
          <w:sz w:val="28"/>
        </w:rPr>
        <w:t xml:space="preserve"> </w:t>
      </w:r>
      <w:r>
        <w:rPr>
          <w:b/>
          <w:sz w:val="28"/>
        </w:rPr>
        <w:t>FINANCIAL</w:t>
      </w:r>
      <w:r>
        <w:rPr>
          <w:b/>
          <w:spacing w:val="-12"/>
          <w:sz w:val="28"/>
        </w:rPr>
        <w:t xml:space="preserve"> </w:t>
      </w:r>
      <w:r>
        <w:rPr>
          <w:b/>
          <w:spacing w:val="-4"/>
          <w:sz w:val="28"/>
        </w:rPr>
        <w:t>RISK</w:t>
      </w:r>
    </w:p>
    <w:p w14:paraId="6ACF5930" w14:textId="77777777" w:rsidR="00AC6F3C" w:rsidRDefault="00570E88">
      <w:pPr>
        <w:spacing w:line="322" w:lineRule="exact"/>
        <w:ind w:left="1666"/>
        <w:rPr>
          <w:b/>
          <w:sz w:val="28"/>
        </w:rPr>
      </w:pPr>
      <w:r>
        <w:rPr>
          <w:b/>
          <w:spacing w:val="-2"/>
          <w:sz w:val="28"/>
        </w:rPr>
        <w:t>(continued)</w:t>
      </w:r>
    </w:p>
    <w:p w14:paraId="2F9D697E" w14:textId="77777777" w:rsidR="00AC6F3C" w:rsidRDefault="00570E88">
      <w:pPr>
        <w:pStyle w:val="Heading6"/>
        <w:tabs>
          <w:tab w:val="left" w:pos="1810"/>
        </w:tabs>
      </w:pPr>
      <w:r>
        <w:rPr>
          <w:spacing w:val="-2"/>
        </w:rPr>
        <w:t>D2-</w:t>
      </w:r>
      <w:r>
        <w:rPr>
          <w:spacing w:val="-10"/>
        </w:rPr>
        <w:t>2</w:t>
      </w:r>
      <w:r>
        <w:tab/>
        <w:t>REINSURANCE</w:t>
      </w:r>
      <w:r>
        <w:rPr>
          <w:spacing w:val="-6"/>
        </w:rPr>
        <w:t xml:space="preserve"> </w:t>
      </w:r>
      <w:r>
        <w:rPr>
          <w:spacing w:val="-4"/>
        </w:rPr>
        <w:t>RISK</w:t>
      </w:r>
    </w:p>
    <w:p w14:paraId="44E4E5B5" w14:textId="77777777" w:rsidR="00AC6F3C" w:rsidRDefault="00AC6F3C">
      <w:pPr>
        <w:pStyle w:val="BodyText"/>
        <w:spacing w:before="8"/>
        <w:rPr>
          <w:b/>
        </w:rPr>
      </w:pPr>
    </w:p>
    <w:p w14:paraId="1C4D2FEA" w14:textId="77777777" w:rsidR="00AC6F3C" w:rsidRDefault="00570E88">
      <w:pPr>
        <w:ind w:left="958" w:right="858"/>
        <w:rPr>
          <w:sz w:val="18"/>
        </w:rPr>
      </w:pPr>
      <w:r>
        <w:rPr>
          <w:sz w:val="18"/>
        </w:rPr>
        <w:t>The</w:t>
      </w:r>
      <w:r>
        <w:rPr>
          <w:spacing w:val="-1"/>
          <w:sz w:val="18"/>
        </w:rPr>
        <w:t xml:space="preserve"> </w:t>
      </w:r>
      <w:r>
        <w:rPr>
          <w:sz w:val="18"/>
        </w:rPr>
        <w:t>Group</w:t>
      </w:r>
      <w:r>
        <w:rPr>
          <w:spacing w:val="-4"/>
          <w:sz w:val="18"/>
        </w:rPr>
        <w:t xml:space="preserve"> </w:t>
      </w:r>
      <w:r>
        <w:rPr>
          <w:sz w:val="18"/>
        </w:rPr>
        <w:t>cedes</w:t>
      </w:r>
      <w:r>
        <w:rPr>
          <w:spacing w:val="-3"/>
          <w:sz w:val="18"/>
        </w:rPr>
        <w:t xml:space="preserve"> </w:t>
      </w:r>
      <w:r>
        <w:rPr>
          <w:sz w:val="18"/>
        </w:rPr>
        <w:t>insurance</w:t>
      </w:r>
      <w:r>
        <w:rPr>
          <w:spacing w:val="-4"/>
          <w:sz w:val="18"/>
        </w:rPr>
        <w:t xml:space="preserve"> </w:t>
      </w:r>
      <w:r>
        <w:rPr>
          <w:sz w:val="18"/>
        </w:rPr>
        <w:t>risk</w:t>
      </w:r>
      <w:r>
        <w:rPr>
          <w:spacing w:val="-1"/>
          <w:sz w:val="18"/>
        </w:rPr>
        <w:t xml:space="preserve"> </w:t>
      </w:r>
      <w:r>
        <w:rPr>
          <w:sz w:val="18"/>
        </w:rPr>
        <w:t>to</w:t>
      </w:r>
      <w:r>
        <w:rPr>
          <w:spacing w:val="-1"/>
          <w:sz w:val="18"/>
        </w:rPr>
        <w:t xml:space="preserve"> </w:t>
      </w:r>
      <w:r>
        <w:rPr>
          <w:sz w:val="18"/>
        </w:rPr>
        <w:t>limit</w:t>
      </w:r>
      <w:r>
        <w:rPr>
          <w:spacing w:val="-4"/>
          <w:sz w:val="18"/>
        </w:rPr>
        <w:t xml:space="preserve"> </w:t>
      </w:r>
      <w:r>
        <w:rPr>
          <w:sz w:val="18"/>
        </w:rPr>
        <w:t>exposure</w:t>
      </w:r>
      <w:r>
        <w:rPr>
          <w:spacing w:val="-1"/>
          <w:sz w:val="18"/>
        </w:rPr>
        <w:t xml:space="preserve"> </w:t>
      </w:r>
      <w:r>
        <w:rPr>
          <w:sz w:val="18"/>
        </w:rPr>
        <w:t>to</w:t>
      </w:r>
      <w:r>
        <w:rPr>
          <w:spacing w:val="-1"/>
          <w:sz w:val="18"/>
        </w:rPr>
        <w:t xml:space="preserve"> </w:t>
      </w:r>
      <w:r>
        <w:rPr>
          <w:sz w:val="18"/>
        </w:rPr>
        <w:t>underwriting</w:t>
      </w:r>
      <w:r>
        <w:rPr>
          <w:spacing w:val="-4"/>
          <w:sz w:val="18"/>
        </w:rPr>
        <w:t xml:space="preserve"> </w:t>
      </w:r>
      <w:r>
        <w:rPr>
          <w:sz w:val="18"/>
        </w:rPr>
        <w:t>losses</w:t>
      </w:r>
      <w:r>
        <w:rPr>
          <w:spacing w:val="-1"/>
          <w:sz w:val="18"/>
        </w:rPr>
        <w:t xml:space="preserve"> </w:t>
      </w:r>
      <w:r>
        <w:rPr>
          <w:sz w:val="18"/>
        </w:rPr>
        <w:t>under</w:t>
      </w:r>
      <w:r>
        <w:rPr>
          <w:spacing w:val="-4"/>
          <w:sz w:val="18"/>
        </w:rPr>
        <w:t xml:space="preserve"> </w:t>
      </w:r>
      <w:r>
        <w:rPr>
          <w:sz w:val="18"/>
        </w:rPr>
        <w:t>agreements</w:t>
      </w:r>
      <w:r>
        <w:rPr>
          <w:spacing w:val="-6"/>
          <w:sz w:val="18"/>
        </w:rPr>
        <w:t xml:space="preserve"> </w:t>
      </w:r>
      <w:r>
        <w:rPr>
          <w:sz w:val="18"/>
        </w:rPr>
        <w:t>that</w:t>
      </w:r>
      <w:r>
        <w:rPr>
          <w:spacing w:val="-4"/>
          <w:sz w:val="18"/>
        </w:rPr>
        <w:t xml:space="preserve"> </w:t>
      </w:r>
      <w:r>
        <w:rPr>
          <w:sz w:val="18"/>
        </w:rPr>
        <w:t>cover</w:t>
      </w:r>
      <w:r>
        <w:rPr>
          <w:spacing w:val="-2"/>
          <w:sz w:val="18"/>
        </w:rPr>
        <w:t xml:space="preserve"> </w:t>
      </w:r>
      <w:r>
        <w:rPr>
          <w:sz w:val="18"/>
        </w:rPr>
        <w:t>risks or group risks on yearly renewable terms.</w:t>
      </w:r>
      <w:r>
        <w:rPr>
          <w:spacing w:val="40"/>
          <w:sz w:val="18"/>
        </w:rPr>
        <w:t xml:space="preserve"> </w:t>
      </w:r>
      <w:r>
        <w:rPr>
          <w:sz w:val="18"/>
        </w:rPr>
        <w:t xml:space="preserve">These reinsurance agreements spread the risk and </w:t>
      </w:r>
      <w:proofErr w:type="spellStart"/>
      <w:r>
        <w:rPr>
          <w:sz w:val="18"/>
        </w:rPr>
        <w:t>minimise</w:t>
      </w:r>
      <w:proofErr w:type="spellEnd"/>
      <w:r>
        <w:rPr>
          <w:sz w:val="18"/>
        </w:rPr>
        <w:t xml:space="preserve"> the effect</w:t>
      </w:r>
      <w:r>
        <w:rPr>
          <w:spacing w:val="-3"/>
          <w:sz w:val="18"/>
        </w:rPr>
        <w:t xml:space="preserve"> </w:t>
      </w:r>
      <w:r>
        <w:rPr>
          <w:sz w:val="18"/>
        </w:rPr>
        <w:t>of</w:t>
      </w:r>
      <w:r>
        <w:rPr>
          <w:spacing w:val="-3"/>
          <w:sz w:val="18"/>
        </w:rPr>
        <w:t xml:space="preserve"> </w:t>
      </w:r>
      <w:r>
        <w:rPr>
          <w:sz w:val="18"/>
        </w:rPr>
        <w:t>losses.</w:t>
      </w:r>
      <w:r>
        <w:rPr>
          <w:spacing w:val="40"/>
          <w:sz w:val="18"/>
        </w:rPr>
        <w:t xml:space="preserve"> </w:t>
      </w:r>
      <w:r>
        <w:rPr>
          <w:sz w:val="18"/>
        </w:rPr>
        <w:t>The amount</w:t>
      </w:r>
      <w:r>
        <w:rPr>
          <w:spacing w:val="-1"/>
          <w:sz w:val="18"/>
        </w:rPr>
        <w:t xml:space="preserve"> </w:t>
      </w:r>
      <w:r>
        <w:rPr>
          <w:sz w:val="18"/>
        </w:rPr>
        <w:t>of</w:t>
      </w:r>
      <w:r>
        <w:rPr>
          <w:spacing w:val="-3"/>
          <w:sz w:val="18"/>
        </w:rPr>
        <w:t xml:space="preserve"> </w:t>
      </w:r>
      <w:r>
        <w:rPr>
          <w:sz w:val="18"/>
        </w:rPr>
        <w:t>risk retained depends</w:t>
      </w:r>
      <w:r>
        <w:rPr>
          <w:spacing w:val="-2"/>
          <w:sz w:val="18"/>
        </w:rPr>
        <w:t xml:space="preserve"> </w:t>
      </w:r>
      <w:r>
        <w:rPr>
          <w:sz w:val="18"/>
        </w:rPr>
        <w:t>on the Group’s evaluation of</w:t>
      </w:r>
      <w:r>
        <w:rPr>
          <w:spacing w:val="-1"/>
          <w:sz w:val="18"/>
        </w:rPr>
        <w:t xml:space="preserve"> </w:t>
      </w:r>
      <w:r>
        <w:rPr>
          <w:sz w:val="18"/>
        </w:rPr>
        <w:t>the</w:t>
      </w:r>
      <w:r>
        <w:rPr>
          <w:spacing w:val="-3"/>
          <w:sz w:val="18"/>
        </w:rPr>
        <w:t xml:space="preserve"> </w:t>
      </w:r>
      <w:r>
        <w:rPr>
          <w:sz w:val="18"/>
        </w:rPr>
        <w:t>risk.</w:t>
      </w:r>
      <w:r>
        <w:rPr>
          <w:spacing w:val="40"/>
          <w:sz w:val="18"/>
        </w:rPr>
        <w:t xml:space="preserve"> </w:t>
      </w:r>
      <w:r>
        <w:rPr>
          <w:sz w:val="18"/>
        </w:rPr>
        <w:t>Under</w:t>
      </w:r>
      <w:r>
        <w:rPr>
          <w:spacing w:val="-1"/>
          <w:sz w:val="18"/>
        </w:rPr>
        <w:t xml:space="preserve"> </w:t>
      </w:r>
      <w:r>
        <w:rPr>
          <w:sz w:val="18"/>
        </w:rPr>
        <w:t>the terms</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reinsurance</w:t>
      </w:r>
      <w:r>
        <w:rPr>
          <w:spacing w:val="-4"/>
          <w:sz w:val="18"/>
        </w:rPr>
        <w:t xml:space="preserve"> </w:t>
      </w:r>
      <w:r>
        <w:rPr>
          <w:sz w:val="18"/>
        </w:rPr>
        <w:t>agreements,</w:t>
      </w:r>
      <w:r>
        <w:rPr>
          <w:spacing w:val="-2"/>
          <w:sz w:val="18"/>
        </w:rPr>
        <w:t xml:space="preserve"> </w:t>
      </w:r>
      <w:r>
        <w:rPr>
          <w:sz w:val="18"/>
        </w:rPr>
        <w:t>the</w:t>
      </w:r>
      <w:r>
        <w:rPr>
          <w:spacing w:val="-1"/>
          <w:sz w:val="18"/>
        </w:rPr>
        <w:t xml:space="preserve"> </w:t>
      </w:r>
      <w:r>
        <w:rPr>
          <w:sz w:val="18"/>
        </w:rPr>
        <w:t>reinsurer</w:t>
      </w:r>
      <w:r>
        <w:rPr>
          <w:spacing w:val="-2"/>
          <w:sz w:val="18"/>
        </w:rPr>
        <w:t xml:space="preserve"> </w:t>
      </w:r>
      <w:r>
        <w:rPr>
          <w:sz w:val="18"/>
        </w:rPr>
        <w:t>agrees</w:t>
      </w:r>
      <w:r>
        <w:rPr>
          <w:spacing w:val="-1"/>
          <w:sz w:val="18"/>
        </w:rPr>
        <w:t xml:space="preserve"> </w:t>
      </w:r>
      <w:r>
        <w:rPr>
          <w:sz w:val="18"/>
        </w:rPr>
        <w:t>to</w:t>
      </w:r>
      <w:r>
        <w:rPr>
          <w:spacing w:val="-6"/>
          <w:sz w:val="18"/>
        </w:rPr>
        <w:t xml:space="preserve"> </w:t>
      </w:r>
      <w:r>
        <w:rPr>
          <w:sz w:val="18"/>
        </w:rPr>
        <w:t>reimburse</w:t>
      </w:r>
      <w:r>
        <w:rPr>
          <w:spacing w:val="-1"/>
          <w:sz w:val="18"/>
        </w:rPr>
        <w:t xml:space="preserve"> </w:t>
      </w:r>
      <w:r>
        <w:rPr>
          <w:sz w:val="18"/>
        </w:rPr>
        <w:t>the</w:t>
      </w:r>
      <w:r>
        <w:rPr>
          <w:spacing w:val="-4"/>
          <w:sz w:val="18"/>
        </w:rPr>
        <w:t xml:space="preserve"> </w:t>
      </w:r>
      <w:r>
        <w:rPr>
          <w:sz w:val="18"/>
        </w:rPr>
        <w:t>ceded</w:t>
      </w:r>
      <w:r>
        <w:rPr>
          <w:spacing w:val="-4"/>
          <w:sz w:val="18"/>
        </w:rPr>
        <w:t xml:space="preserve"> </w:t>
      </w:r>
      <w:r>
        <w:rPr>
          <w:sz w:val="18"/>
        </w:rPr>
        <w:t>amount</w:t>
      </w:r>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event</w:t>
      </w:r>
      <w:r>
        <w:rPr>
          <w:spacing w:val="-2"/>
          <w:sz w:val="18"/>
        </w:rPr>
        <w:t xml:space="preserve"> </w:t>
      </w:r>
      <w:r>
        <w:rPr>
          <w:sz w:val="18"/>
        </w:rPr>
        <w:t>the claim is agreed and paid.</w:t>
      </w:r>
      <w:r>
        <w:rPr>
          <w:spacing w:val="40"/>
          <w:sz w:val="18"/>
        </w:rPr>
        <w:t xml:space="preserve"> </w:t>
      </w:r>
      <w:r>
        <w:rPr>
          <w:sz w:val="18"/>
        </w:rPr>
        <w:t>However, the Group remains liable to its policyholders with respect to ceded insurance if any reinsurer fails to meet the obligations it assumes.</w:t>
      </w:r>
    </w:p>
    <w:p w14:paraId="5833F1B5" w14:textId="77777777" w:rsidR="00AC6F3C" w:rsidRDefault="00AC6F3C">
      <w:pPr>
        <w:pStyle w:val="BodyText"/>
        <w:spacing w:before="9"/>
      </w:pPr>
    </w:p>
    <w:p w14:paraId="5BCC9474" w14:textId="77777777" w:rsidR="00AC6F3C" w:rsidRDefault="00570E88">
      <w:pPr>
        <w:ind w:left="958" w:right="886"/>
        <w:rPr>
          <w:sz w:val="18"/>
        </w:rPr>
      </w:pPr>
      <w:r>
        <w:rPr>
          <w:sz w:val="18"/>
        </w:rPr>
        <w:t>When</w:t>
      </w:r>
      <w:r>
        <w:rPr>
          <w:spacing w:val="-4"/>
          <w:sz w:val="18"/>
        </w:rPr>
        <w:t xml:space="preserve"> </w:t>
      </w:r>
      <w:r>
        <w:rPr>
          <w:sz w:val="18"/>
        </w:rPr>
        <w:t>selecting</w:t>
      </w:r>
      <w:r>
        <w:rPr>
          <w:spacing w:val="-4"/>
          <w:sz w:val="18"/>
        </w:rPr>
        <w:t xml:space="preserve"> </w:t>
      </w:r>
      <w:r>
        <w:rPr>
          <w:sz w:val="18"/>
        </w:rPr>
        <w:t>a</w:t>
      </w:r>
      <w:r>
        <w:rPr>
          <w:spacing w:val="-1"/>
          <w:sz w:val="18"/>
        </w:rPr>
        <w:t xml:space="preserve"> </w:t>
      </w:r>
      <w:r>
        <w:rPr>
          <w:sz w:val="18"/>
        </w:rPr>
        <w:t>reinsurer,</w:t>
      </w:r>
      <w:r>
        <w:rPr>
          <w:spacing w:val="-2"/>
          <w:sz w:val="18"/>
        </w:rPr>
        <w:t xml:space="preserve"> </w:t>
      </w:r>
      <w:r>
        <w:rPr>
          <w:sz w:val="18"/>
        </w:rPr>
        <w:t>the</w:t>
      </w:r>
      <w:r>
        <w:rPr>
          <w:spacing w:val="-1"/>
          <w:sz w:val="18"/>
        </w:rPr>
        <w:t xml:space="preserve"> </w:t>
      </w:r>
      <w:r>
        <w:rPr>
          <w:sz w:val="18"/>
        </w:rPr>
        <w:t>Group</w:t>
      </w:r>
      <w:r>
        <w:rPr>
          <w:spacing w:val="-4"/>
          <w:sz w:val="18"/>
        </w:rPr>
        <w:t xml:space="preserve"> </w:t>
      </w:r>
      <w:r>
        <w:rPr>
          <w:sz w:val="18"/>
        </w:rPr>
        <w:t>considers</w:t>
      </w:r>
      <w:r>
        <w:rPr>
          <w:spacing w:val="-1"/>
          <w:sz w:val="18"/>
        </w:rPr>
        <w:t xml:space="preserve"> </w:t>
      </w:r>
      <w:r>
        <w:rPr>
          <w:sz w:val="18"/>
        </w:rPr>
        <w:t>their</w:t>
      </w:r>
      <w:r>
        <w:rPr>
          <w:spacing w:val="-4"/>
          <w:sz w:val="18"/>
        </w:rPr>
        <w:t xml:space="preserve"> </w:t>
      </w:r>
      <w:r>
        <w:rPr>
          <w:sz w:val="18"/>
        </w:rPr>
        <w:t>relative</w:t>
      </w:r>
      <w:r>
        <w:rPr>
          <w:spacing w:val="-1"/>
          <w:sz w:val="18"/>
        </w:rPr>
        <w:t xml:space="preserve"> </w:t>
      </w:r>
      <w:r>
        <w:rPr>
          <w:sz w:val="18"/>
        </w:rPr>
        <w:t>security.</w:t>
      </w:r>
      <w:r>
        <w:rPr>
          <w:spacing w:val="40"/>
          <w:sz w:val="18"/>
        </w:rPr>
        <w:t xml:space="preserve"> </w:t>
      </w:r>
      <w:r>
        <w:rPr>
          <w:sz w:val="18"/>
        </w:rPr>
        <w:t>The</w:t>
      </w:r>
      <w:r>
        <w:rPr>
          <w:spacing w:val="-4"/>
          <w:sz w:val="18"/>
        </w:rPr>
        <w:t xml:space="preserve"> </w:t>
      </w:r>
      <w:r>
        <w:rPr>
          <w:sz w:val="18"/>
        </w:rPr>
        <w:t>security</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insurer</w:t>
      </w:r>
      <w:r>
        <w:rPr>
          <w:spacing w:val="-2"/>
          <w:sz w:val="18"/>
        </w:rPr>
        <w:t xml:space="preserve"> </w:t>
      </w:r>
      <w:r>
        <w:rPr>
          <w:sz w:val="18"/>
        </w:rPr>
        <w:t>is assessed from public rating information.</w:t>
      </w:r>
    </w:p>
    <w:p w14:paraId="52680EF7" w14:textId="77777777" w:rsidR="00AC6F3C" w:rsidRDefault="00AC6F3C">
      <w:pPr>
        <w:pStyle w:val="BodyText"/>
        <w:spacing w:before="1"/>
        <w:rPr>
          <w:sz w:val="21"/>
        </w:rPr>
      </w:pPr>
    </w:p>
    <w:p w14:paraId="7D12F7FD" w14:textId="77777777" w:rsidR="00AC6F3C" w:rsidRDefault="00570E88">
      <w:pPr>
        <w:pStyle w:val="Heading6"/>
        <w:tabs>
          <w:tab w:val="left" w:pos="1810"/>
        </w:tabs>
        <w:spacing w:before="0"/>
      </w:pPr>
      <w:r>
        <w:rPr>
          <w:spacing w:val="-2"/>
        </w:rPr>
        <w:t>D2-</w:t>
      </w:r>
      <w:r>
        <w:rPr>
          <w:spacing w:val="-10"/>
        </w:rPr>
        <w:t>3</w:t>
      </w:r>
      <w:r>
        <w:tab/>
        <w:t>CONCENTRATION</w:t>
      </w:r>
      <w:r>
        <w:rPr>
          <w:spacing w:val="-5"/>
        </w:rPr>
        <w:t xml:space="preserve"> </w:t>
      </w:r>
      <w:r>
        <w:t>OF</w:t>
      </w:r>
      <w:r>
        <w:rPr>
          <w:spacing w:val="-2"/>
        </w:rPr>
        <w:t xml:space="preserve"> </w:t>
      </w:r>
      <w:r>
        <w:rPr>
          <w:spacing w:val="-4"/>
        </w:rPr>
        <w:t>RISK</w:t>
      </w:r>
    </w:p>
    <w:p w14:paraId="5BC09214" w14:textId="77777777" w:rsidR="00AC6F3C" w:rsidRDefault="00AC6F3C">
      <w:pPr>
        <w:pStyle w:val="BodyText"/>
        <w:spacing w:before="8"/>
        <w:rPr>
          <w:b/>
        </w:rPr>
      </w:pPr>
    </w:p>
    <w:p w14:paraId="05B0FC22" w14:textId="77777777" w:rsidR="00AC6F3C" w:rsidRDefault="00570E88">
      <w:pPr>
        <w:spacing w:before="1"/>
        <w:ind w:left="958" w:right="829"/>
        <w:rPr>
          <w:sz w:val="18"/>
        </w:rPr>
      </w:pPr>
      <w:r>
        <w:rPr>
          <w:sz w:val="18"/>
        </w:rPr>
        <w:t>The</w:t>
      </w:r>
      <w:r>
        <w:rPr>
          <w:spacing w:val="-1"/>
          <w:sz w:val="18"/>
        </w:rPr>
        <w:t xml:space="preserve"> </w:t>
      </w:r>
      <w:r>
        <w:rPr>
          <w:sz w:val="18"/>
        </w:rPr>
        <w:t>concentration</w:t>
      </w:r>
      <w:r>
        <w:rPr>
          <w:spacing w:val="-1"/>
          <w:sz w:val="18"/>
        </w:rPr>
        <w:t xml:space="preserve"> </w:t>
      </w:r>
      <w:r>
        <w:rPr>
          <w:sz w:val="18"/>
        </w:rPr>
        <w:t>of</w:t>
      </w:r>
      <w:r>
        <w:rPr>
          <w:spacing w:val="-4"/>
          <w:sz w:val="18"/>
        </w:rPr>
        <w:t xml:space="preserve"> </w:t>
      </w:r>
      <w:r>
        <w:rPr>
          <w:sz w:val="18"/>
        </w:rPr>
        <w:t>insurance</w:t>
      </w:r>
      <w:r>
        <w:rPr>
          <w:spacing w:val="-1"/>
          <w:sz w:val="18"/>
        </w:rPr>
        <w:t xml:space="preserve"> </w:t>
      </w:r>
      <w:r>
        <w:rPr>
          <w:sz w:val="18"/>
        </w:rPr>
        <w:t>risk</w:t>
      </w:r>
      <w:r>
        <w:rPr>
          <w:spacing w:val="-1"/>
          <w:sz w:val="18"/>
        </w:rPr>
        <w:t xml:space="preserve"> </w:t>
      </w:r>
      <w:r>
        <w:rPr>
          <w:sz w:val="18"/>
        </w:rPr>
        <w:t>before</w:t>
      </w:r>
      <w:r>
        <w:rPr>
          <w:spacing w:val="-4"/>
          <w:sz w:val="18"/>
        </w:rPr>
        <w:t xml:space="preserve"> </w:t>
      </w:r>
      <w:r>
        <w:rPr>
          <w:sz w:val="18"/>
        </w:rPr>
        <w:t>and</w:t>
      </w:r>
      <w:r>
        <w:rPr>
          <w:spacing w:val="-4"/>
          <w:sz w:val="18"/>
        </w:rPr>
        <w:t xml:space="preserve"> </w:t>
      </w:r>
      <w:r>
        <w:rPr>
          <w:sz w:val="18"/>
        </w:rPr>
        <w:t>after</w:t>
      </w:r>
      <w:r>
        <w:rPr>
          <w:spacing w:val="-4"/>
          <w:sz w:val="18"/>
        </w:rPr>
        <w:t xml:space="preserve"> </w:t>
      </w:r>
      <w:r>
        <w:rPr>
          <w:sz w:val="18"/>
        </w:rPr>
        <w:t>reinsurance</w:t>
      </w:r>
      <w:r>
        <w:rPr>
          <w:spacing w:val="-4"/>
          <w:sz w:val="18"/>
        </w:rPr>
        <w:t xml:space="preserve"> </w:t>
      </w:r>
      <w:r>
        <w:rPr>
          <w:sz w:val="18"/>
        </w:rPr>
        <w:t>is</w:t>
      </w:r>
      <w:r>
        <w:rPr>
          <w:spacing w:val="-3"/>
          <w:sz w:val="18"/>
        </w:rPr>
        <w:t xml:space="preserve"> </w:t>
      </w:r>
      <w:r>
        <w:rPr>
          <w:sz w:val="18"/>
        </w:rPr>
        <w:t>solely</w:t>
      </w:r>
      <w:r>
        <w:rPr>
          <w:spacing w:val="-3"/>
          <w:sz w:val="18"/>
        </w:rPr>
        <w:t xml:space="preserve"> </w:t>
      </w:r>
      <w:r>
        <w:rPr>
          <w:sz w:val="18"/>
        </w:rPr>
        <w:t>in</w:t>
      </w:r>
      <w:r>
        <w:rPr>
          <w:spacing w:val="-1"/>
          <w:sz w:val="18"/>
        </w:rPr>
        <w:t xml:space="preserve"> </w:t>
      </w:r>
      <w:r>
        <w:rPr>
          <w:sz w:val="18"/>
        </w:rPr>
        <w:t>Australia</w:t>
      </w:r>
      <w:r>
        <w:rPr>
          <w:spacing w:val="-1"/>
          <w:sz w:val="18"/>
        </w:rPr>
        <w:t xml:space="preserve"> </w:t>
      </w:r>
      <w:r>
        <w:rPr>
          <w:sz w:val="18"/>
        </w:rPr>
        <w:t>and</w:t>
      </w:r>
      <w:r>
        <w:rPr>
          <w:spacing w:val="-1"/>
          <w:sz w:val="18"/>
        </w:rPr>
        <w:t xml:space="preserve"> </w:t>
      </w:r>
      <w:r>
        <w:rPr>
          <w:sz w:val="18"/>
        </w:rPr>
        <w:t>from</w:t>
      </w:r>
      <w:r>
        <w:rPr>
          <w:spacing w:val="-1"/>
          <w:sz w:val="18"/>
        </w:rPr>
        <w:t xml:space="preserve"> </w:t>
      </w:r>
      <w:r>
        <w:rPr>
          <w:sz w:val="18"/>
        </w:rPr>
        <w:t>a</w:t>
      </w:r>
      <w:r>
        <w:rPr>
          <w:spacing w:val="-4"/>
          <w:sz w:val="18"/>
        </w:rPr>
        <w:t xml:space="preserve"> </w:t>
      </w:r>
      <w:r>
        <w:rPr>
          <w:sz w:val="18"/>
        </w:rPr>
        <w:t>single</w:t>
      </w:r>
      <w:r>
        <w:rPr>
          <w:spacing w:val="-4"/>
          <w:sz w:val="18"/>
        </w:rPr>
        <w:t xml:space="preserve"> </w:t>
      </w:r>
      <w:r>
        <w:rPr>
          <w:sz w:val="18"/>
        </w:rPr>
        <w:t>line of business, Professional Indemnity Insurance (for the provision of legal services).</w:t>
      </w:r>
    </w:p>
    <w:p w14:paraId="71C56948" w14:textId="77777777" w:rsidR="00AC6F3C" w:rsidRDefault="00AC6F3C">
      <w:pPr>
        <w:pStyle w:val="BodyText"/>
        <w:spacing w:before="9"/>
      </w:pPr>
    </w:p>
    <w:p w14:paraId="3D64F38E" w14:textId="77777777" w:rsidR="00AC6F3C" w:rsidRDefault="00570E88">
      <w:pPr>
        <w:pStyle w:val="Heading6"/>
        <w:tabs>
          <w:tab w:val="left" w:pos="1810"/>
        </w:tabs>
        <w:spacing w:before="1"/>
      </w:pPr>
      <w:r>
        <w:rPr>
          <w:spacing w:val="-2"/>
        </w:rPr>
        <w:t>D2-</w:t>
      </w:r>
      <w:r>
        <w:rPr>
          <w:spacing w:val="-10"/>
        </w:rPr>
        <w:t>4</w:t>
      </w:r>
      <w:r>
        <w:tab/>
        <w:t>FINANCIAL</w:t>
      </w:r>
      <w:r>
        <w:rPr>
          <w:spacing w:val="-7"/>
        </w:rPr>
        <w:t xml:space="preserve"> </w:t>
      </w:r>
      <w:r>
        <w:t>INSTRUMENTS</w:t>
      </w:r>
      <w:r>
        <w:rPr>
          <w:spacing w:val="-2"/>
        </w:rPr>
        <w:t xml:space="preserve"> </w:t>
      </w:r>
      <w:r>
        <w:t>AND</w:t>
      </w:r>
      <w:r>
        <w:rPr>
          <w:spacing w:val="-3"/>
        </w:rPr>
        <w:t xml:space="preserve"> </w:t>
      </w:r>
      <w:r>
        <w:t>FINANCIAL</w:t>
      </w:r>
      <w:r>
        <w:rPr>
          <w:spacing w:val="-3"/>
        </w:rPr>
        <w:t xml:space="preserve"> </w:t>
      </w:r>
      <w:r>
        <w:t>RISK</w:t>
      </w:r>
      <w:r>
        <w:rPr>
          <w:spacing w:val="-4"/>
        </w:rPr>
        <w:t xml:space="preserve"> </w:t>
      </w:r>
      <w:r>
        <w:rPr>
          <w:spacing w:val="-2"/>
        </w:rPr>
        <w:t>MANAGEMENT</w:t>
      </w:r>
    </w:p>
    <w:p w14:paraId="64E066ED" w14:textId="77777777" w:rsidR="00AC6F3C" w:rsidRDefault="00AC6F3C">
      <w:pPr>
        <w:pStyle w:val="BodyText"/>
        <w:spacing w:before="9"/>
        <w:rPr>
          <w:b/>
        </w:rPr>
      </w:pPr>
    </w:p>
    <w:p w14:paraId="0FD971DC" w14:textId="77777777" w:rsidR="00AC6F3C" w:rsidRDefault="00570E88">
      <w:pPr>
        <w:ind w:left="958"/>
        <w:rPr>
          <w:b/>
          <w:sz w:val="20"/>
        </w:rPr>
      </w:pPr>
      <w:r>
        <w:rPr>
          <w:b/>
          <w:sz w:val="20"/>
        </w:rPr>
        <w:t>Recognition</w:t>
      </w:r>
      <w:r>
        <w:rPr>
          <w:b/>
          <w:spacing w:val="-10"/>
          <w:sz w:val="20"/>
        </w:rPr>
        <w:t xml:space="preserve"> </w:t>
      </w:r>
      <w:r>
        <w:rPr>
          <w:b/>
          <w:sz w:val="20"/>
        </w:rPr>
        <w:t>of</w:t>
      </w:r>
      <w:r>
        <w:rPr>
          <w:b/>
          <w:spacing w:val="-9"/>
          <w:sz w:val="20"/>
        </w:rPr>
        <w:t xml:space="preserve"> </w:t>
      </w:r>
      <w:r>
        <w:rPr>
          <w:b/>
          <w:sz w:val="20"/>
        </w:rPr>
        <w:t>financial</w:t>
      </w:r>
      <w:r>
        <w:rPr>
          <w:b/>
          <w:spacing w:val="-10"/>
          <w:sz w:val="20"/>
        </w:rPr>
        <w:t xml:space="preserve"> </w:t>
      </w:r>
      <w:r>
        <w:rPr>
          <w:b/>
          <w:spacing w:val="-2"/>
          <w:sz w:val="20"/>
        </w:rPr>
        <w:t>instruments</w:t>
      </w:r>
    </w:p>
    <w:p w14:paraId="23F1BDA5" w14:textId="77777777" w:rsidR="00AC6F3C" w:rsidRDefault="00AC6F3C">
      <w:pPr>
        <w:pStyle w:val="BodyText"/>
        <w:spacing w:before="9"/>
        <w:rPr>
          <w:b/>
        </w:rPr>
      </w:pPr>
    </w:p>
    <w:p w14:paraId="0C0529AD" w14:textId="77777777" w:rsidR="00AC6F3C" w:rsidRDefault="00570E88">
      <w:pPr>
        <w:spacing w:before="1"/>
        <w:ind w:left="958" w:right="990"/>
        <w:rPr>
          <w:sz w:val="18"/>
        </w:rPr>
      </w:pPr>
      <w:r>
        <w:rPr>
          <w:sz w:val="18"/>
        </w:rPr>
        <w:t>Financial</w:t>
      </w:r>
      <w:r>
        <w:rPr>
          <w:spacing w:val="-1"/>
          <w:sz w:val="18"/>
        </w:rPr>
        <w:t xml:space="preserve"> </w:t>
      </w:r>
      <w:r>
        <w:rPr>
          <w:sz w:val="18"/>
        </w:rPr>
        <w:t>assets</w:t>
      </w:r>
      <w:r>
        <w:rPr>
          <w:spacing w:val="-3"/>
          <w:sz w:val="18"/>
        </w:rPr>
        <w:t xml:space="preserve"> </w:t>
      </w:r>
      <w:r>
        <w:rPr>
          <w:sz w:val="18"/>
        </w:rPr>
        <w:t>and</w:t>
      </w:r>
      <w:r>
        <w:rPr>
          <w:spacing w:val="-4"/>
          <w:sz w:val="18"/>
        </w:rPr>
        <w:t xml:space="preserve"> </w:t>
      </w:r>
      <w:r>
        <w:rPr>
          <w:sz w:val="18"/>
        </w:rPr>
        <w:t>financial</w:t>
      </w:r>
      <w:r>
        <w:rPr>
          <w:spacing w:val="-4"/>
          <w:sz w:val="18"/>
        </w:rPr>
        <w:t xml:space="preserve"> </w:t>
      </w:r>
      <w:r>
        <w:rPr>
          <w:sz w:val="18"/>
        </w:rPr>
        <w:t>liabilities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1"/>
          <w:sz w:val="18"/>
        </w:rPr>
        <w:t xml:space="preserve"> </w:t>
      </w:r>
      <w:r>
        <w:rPr>
          <w:sz w:val="18"/>
        </w:rPr>
        <w:t>when</w:t>
      </w:r>
      <w:r>
        <w:rPr>
          <w:spacing w:val="-1"/>
          <w:sz w:val="18"/>
        </w:rPr>
        <w:t xml:space="preserve"> </w:t>
      </w:r>
      <w:r>
        <w:rPr>
          <w:sz w:val="18"/>
        </w:rPr>
        <w:t>the Group becomes party to the contractual provisions of the financial instrument.</w:t>
      </w:r>
    </w:p>
    <w:p w14:paraId="3D1C974F" w14:textId="77777777" w:rsidR="00AC6F3C" w:rsidRDefault="00AC6F3C">
      <w:pPr>
        <w:pStyle w:val="BodyText"/>
        <w:spacing w:before="11"/>
      </w:pPr>
    </w:p>
    <w:p w14:paraId="0CE573CA" w14:textId="77777777" w:rsidR="00AC6F3C" w:rsidRDefault="00570E88">
      <w:pPr>
        <w:ind w:left="958"/>
        <w:rPr>
          <w:b/>
          <w:sz w:val="20"/>
        </w:rPr>
      </w:pPr>
      <w:r>
        <w:rPr>
          <w:b/>
          <w:sz w:val="20"/>
        </w:rPr>
        <w:t>Classification</w:t>
      </w:r>
      <w:r>
        <w:rPr>
          <w:b/>
          <w:spacing w:val="-13"/>
          <w:sz w:val="20"/>
        </w:rPr>
        <w:t xml:space="preserve"> </w:t>
      </w:r>
      <w:r>
        <w:rPr>
          <w:b/>
          <w:sz w:val="20"/>
        </w:rPr>
        <w:t>of</w:t>
      </w:r>
      <w:r>
        <w:rPr>
          <w:b/>
          <w:spacing w:val="-10"/>
          <w:sz w:val="20"/>
        </w:rPr>
        <w:t xml:space="preserve"> </w:t>
      </w:r>
      <w:r>
        <w:rPr>
          <w:b/>
          <w:sz w:val="20"/>
        </w:rPr>
        <w:t>financial</w:t>
      </w:r>
      <w:r>
        <w:rPr>
          <w:b/>
          <w:spacing w:val="-9"/>
          <w:sz w:val="20"/>
        </w:rPr>
        <w:t xml:space="preserve"> </w:t>
      </w:r>
      <w:r>
        <w:rPr>
          <w:b/>
          <w:spacing w:val="-2"/>
          <w:sz w:val="20"/>
        </w:rPr>
        <w:t>instruments</w:t>
      </w:r>
    </w:p>
    <w:p w14:paraId="5997C7CD" w14:textId="77777777" w:rsidR="00AC6F3C" w:rsidRDefault="00AC6F3C">
      <w:pPr>
        <w:pStyle w:val="BodyText"/>
        <w:spacing w:before="10"/>
        <w:rPr>
          <w:b/>
        </w:rPr>
      </w:pPr>
    </w:p>
    <w:p w14:paraId="2ED8DEE3" w14:textId="77777777" w:rsidR="00AC6F3C" w:rsidRDefault="00570E88">
      <w:pPr>
        <w:ind w:left="958"/>
        <w:rPr>
          <w:sz w:val="18"/>
        </w:rPr>
      </w:pPr>
      <w:r>
        <w:rPr>
          <w:sz w:val="18"/>
        </w:rPr>
        <w:t>Financial</w:t>
      </w:r>
      <w:r>
        <w:rPr>
          <w:spacing w:val="-2"/>
          <w:sz w:val="18"/>
        </w:rPr>
        <w:t xml:space="preserve"> </w:t>
      </w:r>
      <w:r>
        <w:rPr>
          <w:sz w:val="18"/>
        </w:rPr>
        <w:t>instruments</w:t>
      </w:r>
      <w:r>
        <w:rPr>
          <w:spacing w:val="-3"/>
          <w:sz w:val="18"/>
        </w:rPr>
        <w:t xml:space="preserve"> </w:t>
      </w:r>
      <w:r>
        <w:rPr>
          <w:sz w:val="18"/>
        </w:rPr>
        <w:t>are</w:t>
      </w:r>
      <w:r>
        <w:rPr>
          <w:spacing w:val="-4"/>
          <w:sz w:val="18"/>
        </w:rPr>
        <w:t xml:space="preserve"> </w:t>
      </w:r>
      <w:r>
        <w:rPr>
          <w:sz w:val="18"/>
        </w:rPr>
        <w:t>classified</w:t>
      </w:r>
      <w:r>
        <w:rPr>
          <w:spacing w:val="-2"/>
          <w:sz w:val="18"/>
        </w:rPr>
        <w:t xml:space="preserve"> </w:t>
      </w:r>
      <w:r>
        <w:rPr>
          <w:sz w:val="18"/>
        </w:rPr>
        <w:t>and</w:t>
      </w:r>
      <w:r>
        <w:rPr>
          <w:spacing w:val="-4"/>
          <w:sz w:val="18"/>
        </w:rPr>
        <w:t xml:space="preserve"> </w:t>
      </w:r>
      <w:r>
        <w:rPr>
          <w:sz w:val="18"/>
        </w:rPr>
        <w:t>measured</w:t>
      </w:r>
      <w:r>
        <w:rPr>
          <w:spacing w:val="-2"/>
          <w:sz w:val="18"/>
        </w:rPr>
        <w:t xml:space="preserve"> </w:t>
      </w:r>
      <w:r>
        <w:rPr>
          <w:sz w:val="18"/>
        </w:rPr>
        <w:t>as</w:t>
      </w:r>
      <w:r>
        <w:rPr>
          <w:spacing w:val="-3"/>
          <w:sz w:val="18"/>
        </w:rPr>
        <w:t xml:space="preserve"> </w:t>
      </w:r>
      <w:r>
        <w:rPr>
          <w:spacing w:val="-2"/>
          <w:sz w:val="18"/>
        </w:rPr>
        <w:t>follows:</w:t>
      </w:r>
    </w:p>
    <w:p w14:paraId="50EB7505" w14:textId="77777777" w:rsidR="00AC6F3C" w:rsidRDefault="00570E88">
      <w:pPr>
        <w:pStyle w:val="ListParagraph"/>
        <w:numPr>
          <w:ilvl w:val="0"/>
          <w:numId w:val="27"/>
        </w:numPr>
        <w:tabs>
          <w:tab w:val="left" w:pos="1318"/>
        </w:tabs>
        <w:spacing w:before="119"/>
        <w:rPr>
          <w:sz w:val="18"/>
        </w:rPr>
      </w:pPr>
      <w:r>
        <w:rPr>
          <w:sz w:val="18"/>
        </w:rPr>
        <w:t>Cash</w:t>
      </w:r>
      <w:r>
        <w:rPr>
          <w:spacing w:val="-1"/>
          <w:sz w:val="18"/>
        </w:rPr>
        <w:t xml:space="preserve"> </w:t>
      </w:r>
      <w:r>
        <w:rPr>
          <w:sz w:val="18"/>
        </w:rPr>
        <w:t>and</w:t>
      </w:r>
      <w:r>
        <w:rPr>
          <w:spacing w:val="-2"/>
          <w:sz w:val="18"/>
        </w:rPr>
        <w:t xml:space="preserve"> </w:t>
      </w:r>
      <w:r>
        <w:rPr>
          <w:sz w:val="18"/>
        </w:rPr>
        <w:t xml:space="preserve">cash </w:t>
      </w:r>
      <w:r>
        <w:rPr>
          <w:spacing w:val="-2"/>
          <w:sz w:val="18"/>
        </w:rPr>
        <w:t>equivalents</w:t>
      </w:r>
    </w:p>
    <w:p w14:paraId="73F51063" w14:textId="77777777" w:rsidR="00AC6F3C" w:rsidRDefault="00570E88">
      <w:pPr>
        <w:pStyle w:val="ListParagraph"/>
        <w:numPr>
          <w:ilvl w:val="0"/>
          <w:numId w:val="27"/>
        </w:numPr>
        <w:tabs>
          <w:tab w:val="left" w:pos="1318"/>
        </w:tabs>
        <w:spacing w:before="149"/>
        <w:rPr>
          <w:sz w:val="18"/>
        </w:rPr>
      </w:pPr>
      <w:r>
        <w:rPr>
          <w:sz w:val="18"/>
        </w:rPr>
        <w:t>Investments</w:t>
      </w:r>
      <w:r>
        <w:rPr>
          <w:spacing w:val="-1"/>
          <w:sz w:val="18"/>
        </w:rPr>
        <w:t xml:space="preserve"> </w:t>
      </w:r>
      <w:r>
        <w:rPr>
          <w:sz w:val="18"/>
        </w:rPr>
        <w:t>–</w:t>
      </w:r>
      <w:r>
        <w:rPr>
          <w:spacing w:val="-3"/>
          <w:sz w:val="18"/>
        </w:rPr>
        <w:t xml:space="preserve"> </w:t>
      </w:r>
      <w:r>
        <w:rPr>
          <w:sz w:val="18"/>
        </w:rPr>
        <w:t>held</w:t>
      </w:r>
      <w:r>
        <w:rPr>
          <w:spacing w:val="-3"/>
          <w:sz w:val="18"/>
        </w:rPr>
        <w:t xml:space="preserve"> </w:t>
      </w:r>
      <w:r>
        <w:rPr>
          <w:sz w:val="18"/>
        </w:rPr>
        <w:t>at</w:t>
      </w:r>
      <w:r>
        <w:rPr>
          <w:spacing w:val="-2"/>
          <w:sz w:val="18"/>
        </w:rPr>
        <w:t xml:space="preserve"> </w:t>
      </w:r>
      <w:r>
        <w:rPr>
          <w:sz w:val="18"/>
        </w:rPr>
        <w:t>fair</w:t>
      </w:r>
      <w:r>
        <w:rPr>
          <w:spacing w:val="-3"/>
          <w:sz w:val="18"/>
        </w:rPr>
        <w:t xml:space="preserve"> </w:t>
      </w:r>
      <w:r>
        <w:rPr>
          <w:sz w:val="18"/>
        </w:rPr>
        <w:t>value</w:t>
      </w:r>
      <w:r>
        <w:rPr>
          <w:spacing w:val="-1"/>
          <w:sz w:val="18"/>
        </w:rPr>
        <w:t xml:space="preserve"> </w:t>
      </w:r>
      <w:r>
        <w:rPr>
          <w:sz w:val="18"/>
        </w:rPr>
        <w:t>through</w:t>
      </w:r>
      <w:r>
        <w:rPr>
          <w:spacing w:val="-3"/>
          <w:sz w:val="18"/>
        </w:rPr>
        <w:t xml:space="preserve"> </w:t>
      </w:r>
      <w:r>
        <w:rPr>
          <w:sz w:val="18"/>
        </w:rPr>
        <w:t>profit</w:t>
      </w:r>
      <w:r>
        <w:rPr>
          <w:spacing w:val="-3"/>
          <w:sz w:val="18"/>
        </w:rPr>
        <w:t xml:space="preserve"> </w:t>
      </w:r>
      <w:r>
        <w:rPr>
          <w:sz w:val="18"/>
        </w:rPr>
        <w:t>or</w:t>
      </w:r>
      <w:r>
        <w:rPr>
          <w:spacing w:val="-1"/>
          <w:sz w:val="18"/>
        </w:rPr>
        <w:t xml:space="preserve"> </w:t>
      </w:r>
      <w:r>
        <w:rPr>
          <w:spacing w:val="-4"/>
          <w:sz w:val="18"/>
        </w:rPr>
        <w:t>loss</w:t>
      </w:r>
    </w:p>
    <w:p w14:paraId="1B82A26C" w14:textId="77777777" w:rsidR="00AC6F3C" w:rsidRDefault="00570E88">
      <w:pPr>
        <w:pStyle w:val="ListParagraph"/>
        <w:numPr>
          <w:ilvl w:val="0"/>
          <w:numId w:val="27"/>
        </w:numPr>
        <w:tabs>
          <w:tab w:val="left" w:pos="1318"/>
        </w:tabs>
        <w:spacing w:before="149"/>
        <w:rPr>
          <w:sz w:val="18"/>
        </w:rPr>
      </w:pPr>
      <w:r>
        <w:rPr>
          <w:sz w:val="18"/>
        </w:rPr>
        <w:t>Receivables</w:t>
      </w:r>
      <w:r>
        <w:rPr>
          <w:spacing w:val="-3"/>
          <w:sz w:val="18"/>
        </w:rPr>
        <w:t xml:space="preserve"> </w:t>
      </w:r>
      <w:r>
        <w:rPr>
          <w:sz w:val="18"/>
        </w:rPr>
        <w:t>–</w:t>
      </w:r>
      <w:r>
        <w:rPr>
          <w:spacing w:val="-2"/>
          <w:sz w:val="18"/>
        </w:rPr>
        <w:t xml:space="preserve"> </w:t>
      </w:r>
      <w:r>
        <w:rPr>
          <w:sz w:val="18"/>
        </w:rPr>
        <w:t>held</w:t>
      </w:r>
      <w:r>
        <w:rPr>
          <w:spacing w:val="-3"/>
          <w:sz w:val="18"/>
        </w:rPr>
        <w:t xml:space="preserve"> </w:t>
      </w:r>
      <w:r>
        <w:rPr>
          <w:sz w:val="18"/>
        </w:rPr>
        <w:t>at</w:t>
      </w:r>
      <w:r>
        <w:rPr>
          <w:spacing w:val="-2"/>
          <w:sz w:val="18"/>
        </w:rPr>
        <w:t xml:space="preserve"> </w:t>
      </w:r>
      <w:proofErr w:type="spellStart"/>
      <w:r>
        <w:rPr>
          <w:sz w:val="18"/>
        </w:rPr>
        <w:t>amortised</w:t>
      </w:r>
      <w:proofErr w:type="spellEnd"/>
      <w:r>
        <w:rPr>
          <w:spacing w:val="-1"/>
          <w:sz w:val="18"/>
        </w:rPr>
        <w:t xml:space="preserve"> </w:t>
      </w:r>
      <w:r>
        <w:rPr>
          <w:spacing w:val="-4"/>
          <w:sz w:val="18"/>
        </w:rPr>
        <w:t>cost</w:t>
      </w:r>
    </w:p>
    <w:p w14:paraId="7D9DD7D5" w14:textId="77777777" w:rsidR="00AC6F3C" w:rsidRDefault="00570E88">
      <w:pPr>
        <w:pStyle w:val="ListParagraph"/>
        <w:numPr>
          <w:ilvl w:val="0"/>
          <w:numId w:val="27"/>
        </w:numPr>
        <w:tabs>
          <w:tab w:val="left" w:pos="1317"/>
        </w:tabs>
        <w:spacing w:before="149"/>
        <w:ind w:left="1317" w:hanging="359"/>
        <w:rPr>
          <w:sz w:val="18"/>
        </w:rPr>
      </w:pPr>
      <w:r>
        <w:rPr>
          <w:sz w:val="18"/>
        </w:rPr>
        <w:t>Payables</w:t>
      </w:r>
      <w:r>
        <w:rPr>
          <w:spacing w:val="-3"/>
          <w:sz w:val="18"/>
        </w:rPr>
        <w:t xml:space="preserve"> </w:t>
      </w:r>
      <w:r>
        <w:rPr>
          <w:sz w:val="18"/>
        </w:rPr>
        <w:t>–</w:t>
      </w:r>
      <w:r>
        <w:rPr>
          <w:spacing w:val="-1"/>
          <w:sz w:val="18"/>
        </w:rPr>
        <w:t xml:space="preserve"> </w:t>
      </w:r>
      <w:r>
        <w:rPr>
          <w:sz w:val="18"/>
        </w:rPr>
        <w:t>held</w:t>
      </w:r>
      <w:r>
        <w:rPr>
          <w:spacing w:val="-3"/>
          <w:sz w:val="18"/>
        </w:rPr>
        <w:t xml:space="preserve"> </w:t>
      </w:r>
      <w:r>
        <w:rPr>
          <w:sz w:val="18"/>
        </w:rPr>
        <w:t>at</w:t>
      </w:r>
      <w:r>
        <w:rPr>
          <w:spacing w:val="-2"/>
          <w:sz w:val="18"/>
        </w:rPr>
        <w:t xml:space="preserve"> </w:t>
      </w:r>
      <w:proofErr w:type="spellStart"/>
      <w:r>
        <w:rPr>
          <w:sz w:val="18"/>
        </w:rPr>
        <w:t>amortised</w:t>
      </w:r>
      <w:proofErr w:type="spellEnd"/>
      <w:r>
        <w:rPr>
          <w:spacing w:val="-3"/>
          <w:sz w:val="18"/>
        </w:rPr>
        <w:t xml:space="preserve"> </w:t>
      </w:r>
      <w:r>
        <w:rPr>
          <w:spacing w:val="-4"/>
          <w:sz w:val="18"/>
        </w:rPr>
        <w:t>cost</w:t>
      </w:r>
    </w:p>
    <w:p w14:paraId="2B6DF4FA" w14:textId="77777777" w:rsidR="00AC6F3C" w:rsidRDefault="00AC6F3C">
      <w:pPr>
        <w:pStyle w:val="BodyText"/>
        <w:spacing w:before="7"/>
        <w:rPr>
          <w:sz w:val="23"/>
        </w:rPr>
      </w:pPr>
    </w:p>
    <w:p w14:paraId="345BD232" w14:textId="77777777" w:rsidR="00AC6F3C" w:rsidRDefault="00570E88">
      <w:pPr>
        <w:ind w:left="958"/>
        <w:rPr>
          <w:sz w:val="18"/>
        </w:rPr>
      </w:pPr>
      <w:r>
        <w:rPr>
          <w:sz w:val="18"/>
        </w:rPr>
        <w:t>The</w:t>
      </w:r>
      <w:r>
        <w:rPr>
          <w:spacing w:val="-1"/>
          <w:sz w:val="18"/>
        </w:rPr>
        <w:t xml:space="preserve"> </w:t>
      </w:r>
      <w:r>
        <w:rPr>
          <w:sz w:val="18"/>
        </w:rPr>
        <w:t>Group</w:t>
      </w:r>
      <w:r>
        <w:rPr>
          <w:spacing w:val="-4"/>
          <w:sz w:val="18"/>
        </w:rPr>
        <w:t xml:space="preserve"> </w:t>
      </w:r>
      <w:r>
        <w:rPr>
          <w:sz w:val="18"/>
        </w:rPr>
        <w:t>does</w:t>
      </w:r>
      <w:r>
        <w:rPr>
          <w:spacing w:val="-1"/>
          <w:sz w:val="18"/>
        </w:rPr>
        <w:t xml:space="preserve"> </w:t>
      </w:r>
      <w:r>
        <w:rPr>
          <w:sz w:val="18"/>
        </w:rPr>
        <w:t>not</w:t>
      </w:r>
      <w:r>
        <w:rPr>
          <w:spacing w:val="-1"/>
          <w:sz w:val="18"/>
        </w:rPr>
        <w:t xml:space="preserve"> </w:t>
      </w:r>
      <w:r>
        <w:rPr>
          <w:sz w:val="18"/>
        </w:rPr>
        <w:t>enter</w:t>
      </w:r>
      <w:r>
        <w:rPr>
          <w:spacing w:val="-4"/>
          <w:sz w:val="18"/>
        </w:rPr>
        <w:t xml:space="preserve"> </w:t>
      </w:r>
      <w:r>
        <w:rPr>
          <w:sz w:val="18"/>
        </w:rPr>
        <w:t>into</w:t>
      </w:r>
      <w:r>
        <w:rPr>
          <w:spacing w:val="-4"/>
          <w:sz w:val="18"/>
        </w:rPr>
        <w:t xml:space="preserve"> </w:t>
      </w:r>
      <w:r>
        <w:rPr>
          <w:sz w:val="18"/>
        </w:rPr>
        <w:t>transactions for</w:t>
      </w:r>
      <w:r>
        <w:rPr>
          <w:spacing w:val="-4"/>
          <w:sz w:val="18"/>
        </w:rPr>
        <w:t xml:space="preserve"> </w:t>
      </w:r>
      <w:r>
        <w:rPr>
          <w:sz w:val="18"/>
        </w:rPr>
        <w:t>speculative</w:t>
      </w:r>
      <w:r>
        <w:rPr>
          <w:spacing w:val="-3"/>
          <w:sz w:val="18"/>
        </w:rPr>
        <w:t xml:space="preserve"> </w:t>
      </w:r>
      <w:r>
        <w:rPr>
          <w:sz w:val="18"/>
        </w:rPr>
        <w:t>purposes,</w:t>
      </w:r>
      <w:r>
        <w:rPr>
          <w:spacing w:val="-2"/>
          <w:sz w:val="18"/>
        </w:rPr>
        <w:t xml:space="preserve"> </w:t>
      </w:r>
      <w:r>
        <w:rPr>
          <w:sz w:val="18"/>
        </w:rPr>
        <w:t>nor</w:t>
      </w:r>
      <w:r>
        <w:rPr>
          <w:spacing w:val="-2"/>
          <w:sz w:val="18"/>
        </w:rPr>
        <w:t xml:space="preserve"> </w:t>
      </w:r>
      <w:r>
        <w:rPr>
          <w:sz w:val="18"/>
        </w:rPr>
        <w:t>for</w:t>
      </w:r>
      <w:r>
        <w:rPr>
          <w:spacing w:val="-3"/>
          <w:sz w:val="18"/>
        </w:rPr>
        <w:t xml:space="preserve"> </w:t>
      </w:r>
      <w:r>
        <w:rPr>
          <w:spacing w:val="-2"/>
          <w:sz w:val="18"/>
        </w:rPr>
        <w:t>hedging.</w:t>
      </w:r>
    </w:p>
    <w:p w14:paraId="419B848E" w14:textId="77777777" w:rsidR="00AC6F3C" w:rsidRDefault="00AC6F3C">
      <w:pPr>
        <w:pStyle w:val="BodyText"/>
        <w:spacing w:before="10"/>
      </w:pPr>
    </w:p>
    <w:p w14:paraId="063924DD" w14:textId="77777777" w:rsidR="00AC6F3C" w:rsidRDefault="00570E88">
      <w:pPr>
        <w:ind w:left="958"/>
        <w:rPr>
          <w:b/>
          <w:sz w:val="20"/>
        </w:rPr>
      </w:pPr>
      <w:r>
        <w:rPr>
          <w:b/>
          <w:sz w:val="20"/>
        </w:rPr>
        <w:t>Financial</w:t>
      </w:r>
      <w:r>
        <w:rPr>
          <w:b/>
          <w:spacing w:val="-8"/>
          <w:sz w:val="20"/>
        </w:rPr>
        <w:t xml:space="preserve"> </w:t>
      </w:r>
      <w:r>
        <w:rPr>
          <w:b/>
          <w:sz w:val="20"/>
        </w:rPr>
        <w:t>risk</w:t>
      </w:r>
      <w:r>
        <w:rPr>
          <w:b/>
          <w:spacing w:val="-10"/>
          <w:sz w:val="20"/>
        </w:rPr>
        <w:t xml:space="preserve"> </w:t>
      </w:r>
      <w:r>
        <w:rPr>
          <w:b/>
          <w:spacing w:val="-2"/>
          <w:sz w:val="20"/>
        </w:rPr>
        <w:t>management</w:t>
      </w:r>
    </w:p>
    <w:p w14:paraId="5947EDA1" w14:textId="77777777" w:rsidR="00AC6F3C" w:rsidRDefault="00AC6F3C">
      <w:pPr>
        <w:pStyle w:val="BodyText"/>
        <w:spacing w:before="10"/>
        <w:rPr>
          <w:b/>
        </w:rPr>
      </w:pPr>
    </w:p>
    <w:p w14:paraId="37740DEF" w14:textId="77777777" w:rsidR="00AC6F3C" w:rsidRDefault="00570E88">
      <w:pPr>
        <w:ind w:left="958" w:right="990"/>
        <w:rPr>
          <w:sz w:val="18"/>
        </w:rPr>
      </w:pPr>
      <w:r>
        <w:rPr>
          <w:sz w:val="18"/>
        </w:rPr>
        <w:t>The</w:t>
      </w:r>
      <w:r>
        <w:rPr>
          <w:spacing w:val="-1"/>
          <w:sz w:val="18"/>
        </w:rPr>
        <w:t xml:space="preserve"> </w:t>
      </w:r>
      <w:r>
        <w:rPr>
          <w:sz w:val="18"/>
        </w:rPr>
        <w:t>Group’s</w:t>
      </w:r>
      <w:r>
        <w:rPr>
          <w:spacing w:val="-3"/>
          <w:sz w:val="18"/>
        </w:rPr>
        <w:t xml:space="preserve"> </w:t>
      </w:r>
      <w:r>
        <w:rPr>
          <w:sz w:val="18"/>
        </w:rPr>
        <w:t>activities</w:t>
      </w:r>
      <w:r>
        <w:rPr>
          <w:spacing w:val="-1"/>
          <w:sz w:val="18"/>
        </w:rPr>
        <w:t xml:space="preserve"> </w:t>
      </w:r>
      <w:r>
        <w:rPr>
          <w:sz w:val="18"/>
        </w:rPr>
        <w:t>expose</w:t>
      </w:r>
      <w:r>
        <w:rPr>
          <w:spacing w:val="-4"/>
          <w:sz w:val="18"/>
        </w:rPr>
        <w:t xml:space="preserve"> </w:t>
      </w:r>
      <w:r>
        <w:rPr>
          <w:sz w:val="18"/>
        </w:rPr>
        <w:t>it</w:t>
      </w:r>
      <w:r>
        <w:rPr>
          <w:spacing w:val="-2"/>
          <w:sz w:val="18"/>
        </w:rPr>
        <w:t xml:space="preserve"> </w:t>
      </w:r>
      <w:r>
        <w:rPr>
          <w:sz w:val="18"/>
        </w:rPr>
        <w:t>to</w:t>
      </w:r>
      <w:r>
        <w:rPr>
          <w:spacing w:val="-1"/>
          <w:sz w:val="18"/>
        </w:rPr>
        <w:t xml:space="preserve"> </w:t>
      </w:r>
      <w:r>
        <w:rPr>
          <w:sz w:val="18"/>
        </w:rPr>
        <w:t>a</w:t>
      </w:r>
      <w:r>
        <w:rPr>
          <w:spacing w:val="-4"/>
          <w:sz w:val="18"/>
        </w:rPr>
        <w:t xml:space="preserve"> </w:t>
      </w:r>
      <w:r>
        <w:rPr>
          <w:sz w:val="18"/>
        </w:rPr>
        <w:t>variety</w:t>
      </w:r>
      <w:r>
        <w:rPr>
          <w:spacing w:val="-3"/>
          <w:sz w:val="18"/>
        </w:rPr>
        <w:t xml:space="preserve"> </w:t>
      </w:r>
      <w:r>
        <w:rPr>
          <w:sz w:val="18"/>
        </w:rPr>
        <w:t>of</w:t>
      </w:r>
      <w:r>
        <w:rPr>
          <w:spacing w:val="-2"/>
          <w:sz w:val="18"/>
        </w:rPr>
        <w:t xml:space="preserve"> </w:t>
      </w:r>
      <w:r>
        <w:rPr>
          <w:sz w:val="18"/>
        </w:rPr>
        <w:t>financial</w:t>
      </w:r>
      <w:r>
        <w:rPr>
          <w:spacing w:val="-1"/>
          <w:sz w:val="18"/>
        </w:rPr>
        <w:t xml:space="preserve"> </w:t>
      </w:r>
      <w:r>
        <w:rPr>
          <w:sz w:val="18"/>
        </w:rPr>
        <w:t>risks:</w:t>
      </w:r>
      <w:r>
        <w:rPr>
          <w:spacing w:val="40"/>
          <w:sz w:val="18"/>
        </w:rPr>
        <w:t xml:space="preserve"> </w:t>
      </w:r>
      <w:r>
        <w:rPr>
          <w:sz w:val="18"/>
        </w:rPr>
        <w:t>market</w:t>
      </w:r>
      <w:r>
        <w:rPr>
          <w:spacing w:val="-2"/>
          <w:sz w:val="18"/>
        </w:rPr>
        <w:t xml:space="preserve"> </w:t>
      </w:r>
      <w:r>
        <w:rPr>
          <w:sz w:val="18"/>
        </w:rPr>
        <w:t>risk</w:t>
      </w:r>
      <w:r>
        <w:rPr>
          <w:spacing w:val="-3"/>
          <w:sz w:val="18"/>
        </w:rPr>
        <w:t xml:space="preserve"> </w:t>
      </w:r>
      <w:r>
        <w:rPr>
          <w:sz w:val="18"/>
        </w:rPr>
        <w:t>(currency</w:t>
      </w:r>
      <w:r>
        <w:rPr>
          <w:spacing w:val="-1"/>
          <w:sz w:val="18"/>
        </w:rPr>
        <w:t xml:space="preserve"> </w:t>
      </w:r>
      <w:r>
        <w:rPr>
          <w:sz w:val="18"/>
        </w:rPr>
        <w:t>risk,</w:t>
      </w:r>
      <w:r>
        <w:rPr>
          <w:spacing w:val="-2"/>
          <w:sz w:val="18"/>
        </w:rPr>
        <w:t xml:space="preserve"> </w:t>
      </w:r>
      <w:r>
        <w:rPr>
          <w:sz w:val="18"/>
        </w:rPr>
        <w:t>price</w:t>
      </w:r>
      <w:r>
        <w:rPr>
          <w:spacing w:val="-1"/>
          <w:sz w:val="18"/>
        </w:rPr>
        <w:t xml:space="preserve"> </w:t>
      </w:r>
      <w:r>
        <w:rPr>
          <w:sz w:val="18"/>
        </w:rPr>
        <w:t>risk</w:t>
      </w:r>
      <w:r>
        <w:rPr>
          <w:spacing w:val="-1"/>
          <w:sz w:val="18"/>
        </w:rPr>
        <w:t xml:space="preserve"> </w:t>
      </w:r>
      <w:r>
        <w:rPr>
          <w:sz w:val="18"/>
        </w:rPr>
        <w:t>and interest rate risk), credit risk and liquidity risk.</w:t>
      </w:r>
    </w:p>
    <w:p w14:paraId="7A47587F" w14:textId="77777777" w:rsidR="00AC6F3C" w:rsidRDefault="00AC6F3C">
      <w:pPr>
        <w:pStyle w:val="BodyText"/>
        <w:spacing w:before="9"/>
      </w:pPr>
    </w:p>
    <w:p w14:paraId="1E1AF5B4" w14:textId="77777777" w:rsidR="00AC6F3C" w:rsidRDefault="00570E88">
      <w:pPr>
        <w:ind w:left="958" w:right="990"/>
        <w:rPr>
          <w:sz w:val="18"/>
        </w:rPr>
      </w:pPr>
      <w:r>
        <w:rPr>
          <w:sz w:val="18"/>
        </w:rPr>
        <w:t>Management</w:t>
      </w:r>
      <w:r>
        <w:rPr>
          <w:spacing w:val="-4"/>
          <w:sz w:val="18"/>
        </w:rPr>
        <w:t xml:space="preserve"> </w:t>
      </w:r>
      <w:r>
        <w:rPr>
          <w:sz w:val="18"/>
        </w:rPr>
        <w:t>and</w:t>
      </w:r>
      <w:r>
        <w:rPr>
          <w:spacing w:val="-4"/>
          <w:sz w:val="18"/>
        </w:rPr>
        <w:t xml:space="preserve"> </w:t>
      </w:r>
      <w:r>
        <w:rPr>
          <w:sz w:val="18"/>
        </w:rPr>
        <w:t>the</w:t>
      </w:r>
      <w:r>
        <w:rPr>
          <w:spacing w:val="-3"/>
          <w:sz w:val="18"/>
        </w:rPr>
        <w:t xml:space="preserve"> </w:t>
      </w:r>
      <w:r>
        <w:rPr>
          <w:sz w:val="18"/>
        </w:rPr>
        <w:t>Council</w:t>
      </w:r>
      <w:r>
        <w:rPr>
          <w:spacing w:val="-4"/>
          <w:sz w:val="18"/>
        </w:rPr>
        <w:t xml:space="preserve"> </w:t>
      </w:r>
      <w:r>
        <w:rPr>
          <w:sz w:val="18"/>
        </w:rPr>
        <w:t>regularly</w:t>
      </w:r>
      <w:r>
        <w:rPr>
          <w:spacing w:val="-4"/>
          <w:sz w:val="18"/>
        </w:rPr>
        <w:t xml:space="preserve"> </w:t>
      </w:r>
      <w:r>
        <w:rPr>
          <w:sz w:val="18"/>
        </w:rPr>
        <w:t>review</w:t>
      </w:r>
      <w:r>
        <w:rPr>
          <w:spacing w:val="-3"/>
          <w:sz w:val="18"/>
        </w:rPr>
        <w:t xml:space="preserve"> </w:t>
      </w:r>
      <w:r>
        <w:rPr>
          <w:sz w:val="18"/>
        </w:rPr>
        <w:t>the</w:t>
      </w:r>
      <w:r>
        <w:rPr>
          <w:spacing w:val="-2"/>
          <w:sz w:val="18"/>
        </w:rPr>
        <w:t xml:space="preserve"> </w:t>
      </w:r>
      <w:r>
        <w:rPr>
          <w:sz w:val="18"/>
        </w:rPr>
        <w:t>Group’s</w:t>
      </w:r>
      <w:r>
        <w:rPr>
          <w:spacing w:val="-4"/>
          <w:sz w:val="18"/>
        </w:rPr>
        <w:t xml:space="preserve"> </w:t>
      </w:r>
      <w:r>
        <w:rPr>
          <w:sz w:val="18"/>
        </w:rPr>
        <w:t>performance</w:t>
      </w:r>
      <w:r>
        <w:rPr>
          <w:spacing w:val="-2"/>
          <w:sz w:val="18"/>
        </w:rPr>
        <w:t xml:space="preserve"> </w:t>
      </w:r>
      <w:r>
        <w:rPr>
          <w:sz w:val="18"/>
        </w:rPr>
        <w:t>and</w:t>
      </w:r>
      <w:r>
        <w:rPr>
          <w:spacing w:val="-2"/>
          <w:sz w:val="18"/>
        </w:rPr>
        <w:t xml:space="preserve"> </w:t>
      </w:r>
      <w:r>
        <w:rPr>
          <w:sz w:val="18"/>
        </w:rPr>
        <w:t>ensure</w:t>
      </w:r>
      <w:r>
        <w:rPr>
          <w:spacing w:val="-4"/>
          <w:sz w:val="18"/>
        </w:rPr>
        <w:t xml:space="preserve"> </w:t>
      </w:r>
      <w:r>
        <w:rPr>
          <w:sz w:val="18"/>
        </w:rPr>
        <w:t>all</w:t>
      </w:r>
      <w:r>
        <w:rPr>
          <w:spacing w:val="-2"/>
          <w:sz w:val="18"/>
        </w:rPr>
        <w:t xml:space="preserve"> </w:t>
      </w:r>
      <w:r>
        <w:rPr>
          <w:sz w:val="18"/>
        </w:rPr>
        <w:t>investments</w:t>
      </w:r>
      <w:r>
        <w:rPr>
          <w:spacing w:val="-2"/>
          <w:sz w:val="18"/>
        </w:rPr>
        <w:t xml:space="preserve"> </w:t>
      </w:r>
      <w:r>
        <w:rPr>
          <w:sz w:val="18"/>
        </w:rPr>
        <w:t>held are within the approved mandate.</w:t>
      </w:r>
    </w:p>
    <w:p w14:paraId="0B50ADB8" w14:textId="77777777" w:rsidR="00AC6F3C" w:rsidRDefault="00AC6F3C">
      <w:pPr>
        <w:pStyle w:val="BodyText"/>
        <w:rPr>
          <w:sz w:val="21"/>
        </w:rPr>
      </w:pPr>
    </w:p>
    <w:p w14:paraId="31252F95" w14:textId="77777777" w:rsidR="00AC6F3C" w:rsidRDefault="00570E88">
      <w:pPr>
        <w:numPr>
          <w:ilvl w:val="0"/>
          <w:numId w:val="26"/>
        </w:numPr>
        <w:tabs>
          <w:tab w:val="left" w:pos="1366"/>
        </w:tabs>
        <w:ind w:left="1366" w:hanging="408"/>
        <w:rPr>
          <w:b/>
          <w:sz w:val="20"/>
        </w:rPr>
      </w:pPr>
      <w:r>
        <w:rPr>
          <w:b/>
          <w:sz w:val="20"/>
        </w:rPr>
        <w:t>Currency</w:t>
      </w:r>
      <w:r>
        <w:rPr>
          <w:b/>
          <w:spacing w:val="-10"/>
          <w:sz w:val="20"/>
        </w:rPr>
        <w:t xml:space="preserve"> </w:t>
      </w:r>
      <w:r>
        <w:rPr>
          <w:b/>
          <w:spacing w:val="-4"/>
          <w:sz w:val="20"/>
        </w:rPr>
        <w:t>risk</w:t>
      </w:r>
    </w:p>
    <w:p w14:paraId="7A9F2265" w14:textId="77777777" w:rsidR="00AC6F3C" w:rsidRDefault="00AC6F3C">
      <w:pPr>
        <w:pStyle w:val="BodyText"/>
        <w:spacing w:before="10"/>
        <w:rPr>
          <w:b/>
        </w:rPr>
      </w:pPr>
    </w:p>
    <w:p w14:paraId="45F77088" w14:textId="77777777" w:rsidR="00AC6F3C" w:rsidRDefault="00570E88">
      <w:pPr>
        <w:ind w:left="958" w:right="632"/>
        <w:rPr>
          <w:sz w:val="18"/>
        </w:rPr>
      </w:pPr>
      <w:r>
        <w:rPr>
          <w:sz w:val="18"/>
        </w:rPr>
        <w:t>The</w:t>
      </w:r>
      <w:r>
        <w:rPr>
          <w:spacing w:val="-1"/>
          <w:sz w:val="18"/>
        </w:rPr>
        <w:t xml:space="preserve"> </w:t>
      </w:r>
      <w:r>
        <w:rPr>
          <w:sz w:val="18"/>
        </w:rPr>
        <w:t>Group</w:t>
      </w:r>
      <w:r>
        <w:rPr>
          <w:spacing w:val="-4"/>
          <w:sz w:val="18"/>
        </w:rPr>
        <w:t xml:space="preserve"> </w:t>
      </w:r>
      <w:r>
        <w:rPr>
          <w:sz w:val="18"/>
        </w:rPr>
        <w:t>is</w:t>
      </w:r>
      <w:r>
        <w:rPr>
          <w:spacing w:val="-3"/>
          <w:sz w:val="18"/>
        </w:rPr>
        <w:t xml:space="preserve"> </w:t>
      </w:r>
      <w:r>
        <w:rPr>
          <w:sz w:val="18"/>
        </w:rPr>
        <w:t>not</w:t>
      </w:r>
      <w:r>
        <w:rPr>
          <w:spacing w:val="-4"/>
          <w:sz w:val="18"/>
        </w:rPr>
        <w:t xml:space="preserve"> </w:t>
      </w:r>
      <w:r>
        <w:rPr>
          <w:sz w:val="18"/>
        </w:rPr>
        <w:t>exposed</w:t>
      </w:r>
      <w:r>
        <w:rPr>
          <w:spacing w:val="-1"/>
          <w:sz w:val="18"/>
        </w:rPr>
        <w:t xml:space="preserve"> </w:t>
      </w:r>
      <w:r>
        <w:rPr>
          <w:sz w:val="18"/>
        </w:rPr>
        <w:t>to</w:t>
      </w:r>
      <w:r>
        <w:rPr>
          <w:spacing w:val="-1"/>
          <w:sz w:val="18"/>
        </w:rPr>
        <w:t xml:space="preserve"> </w:t>
      </w:r>
      <w:r>
        <w:rPr>
          <w:sz w:val="18"/>
        </w:rPr>
        <w:t>significant</w:t>
      </w:r>
      <w:r>
        <w:rPr>
          <w:spacing w:val="-2"/>
          <w:sz w:val="18"/>
        </w:rPr>
        <w:t xml:space="preserve"> </w:t>
      </w:r>
      <w:r>
        <w:rPr>
          <w:sz w:val="18"/>
        </w:rPr>
        <w:t>foreign</w:t>
      </w:r>
      <w:r>
        <w:rPr>
          <w:spacing w:val="-4"/>
          <w:sz w:val="18"/>
        </w:rPr>
        <w:t xml:space="preserve"> </w:t>
      </w:r>
      <w:r>
        <w:rPr>
          <w:sz w:val="18"/>
        </w:rPr>
        <w:t>currency</w:t>
      </w:r>
      <w:r>
        <w:rPr>
          <w:spacing w:val="-1"/>
          <w:sz w:val="18"/>
        </w:rPr>
        <w:t xml:space="preserve"> </w:t>
      </w:r>
      <w:r>
        <w:rPr>
          <w:sz w:val="18"/>
        </w:rPr>
        <w:t>risk</w:t>
      </w:r>
      <w:r>
        <w:rPr>
          <w:spacing w:val="-1"/>
          <w:sz w:val="18"/>
        </w:rPr>
        <w:t xml:space="preserve"> </w:t>
      </w:r>
      <w:r>
        <w:rPr>
          <w:sz w:val="18"/>
        </w:rPr>
        <w:t>in</w:t>
      </w:r>
      <w:r>
        <w:rPr>
          <w:spacing w:val="-1"/>
          <w:sz w:val="18"/>
        </w:rPr>
        <w:t xml:space="preserve"> </w:t>
      </w:r>
      <w:r>
        <w:rPr>
          <w:sz w:val="18"/>
        </w:rPr>
        <w:t>relation</w:t>
      </w:r>
      <w:r>
        <w:rPr>
          <w:spacing w:val="-4"/>
          <w:sz w:val="18"/>
        </w:rPr>
        <w:t xml:space="preserve"> </w:t>
      </w:r>
      <w:r>
        <w:rPr>
          <w:sz w:val="18"/>
        </w:rPr>
        <w:t>to</w:t>
      </w:r>
      <w:r>
        <w:rPr>
          <w:spacing w:val="-4"/>
          <w:sz w:val="18"/>
        </w:rPr>
        <w:t xml:space="preserve"> </w:t>
      </w:r>
      <w:r>
        <w:rPr>
          <w:sz w:val="18"/>
        </w:rPr>
        <w:t>its</w:t>
      </w:r>
      <w:r>
        <w:rPr>
          <w:spacing w:val="-3"/>
          <w:sz w:val="18"/>
        </w:rPr>
        <w:t xml:space="preserve"> </w:t>
      </w:r>
      <w:r>
        <w:rPr>
          <w:sz w:val="18"/>
        </w:rPr>
        <w:t>functional</w:t>
      </w:r>
      <w:r>
        <w:rPr>
          <w:spacing w:val="-4"/>
          <w:sz w:val="18"/>
        </w:rPr>
        <w:t xml:space="preserve"> </w:t>
      </w:r>
      <w:r>
        <w:rPr>
          <w:sz w:val="18"/>
        </w:rPr>
        <w:t>currency</w:t>
      </w:r>
      <w:r>
        <w:rPr>
          <w:spacing w:val="-3"/>
          <w:sz w:val="18"/>
        </w:rPr>
        <w:t xml:space="preserve"> </w:t>
      </w:r>
      <w:r>
        <w:rPr>
          <w:sz w:val="18"/>
        </w:rPr>
        <w:t>as</w:t>
      </w:r>
      <w:r>
        <w:rPr>
          <w:spacing w:val="-3"/>
          <w:sz w:val="18"/>
        </w:rPr>
        <w:t xml:space="preserve"> </w:t>
      </w:r>
      <w:r>
        <w:rPr>
          <w:sz w:val="18"/>
        </w:rPr>
        <w:t>the majority of the Group’s transactions, assets and liabilities are denominated in Australian Dollars.</w:t>
      </w:r>
    </w:p>
    <w:p w14:paraId="40A4E45A" w14:textId="77777777" w:rsidR="00AC6F3C" w:rsidRDefault="00AC6F3C">
      <w:pPr>
        <w:pStyle w:val="BodyText"/>
        <w:spacing w:before="8"/>
      </w:pPr>
    </w:p>
    <w:p w14:paraId="10D92D76" w14:textId="77777777" w:rsidR="00AC6F3C" w:rsidRDefault="00570E88">
      <w:pPr>
        <w:spacing w:before="1"/>
        <w:ind w:left="958"/>
        <w:rPr>
          <w:sz w:val="18"/>
        </w:rPr>
      </w:pPr>
      <w:r>
        <w:rPr>
          <w:sz w:val="18"/>
        </w:rPr>
        <w:t>The</w:t>
      </w:r>
      <w:r>
        <w:rPr>
          <w:spacing w:val="-1"/>
          <w:sz w:val="18"/>
        </w:rPr>
        <w:t xml:space="preserve"> </w:t>
      </w:r>
      <w:r>
        <w:rPr>
          <w:sz w:val="18"/>
        </w:rPr>
        <w:t>Group</w:t>
      </w:r>
      <w:r>
        <w:rPr>
          <w:spacing w:val="-4"/>
          <w:sz w:val="18"/>
        </w:rPr>
        <w:t xml:space="preserve"> </w:t>
      </w:r>
      <w:r>
        <w:rPr>
          <w:sz w:val="18"/>
        </w:rPr>
        <w:t>holds</w:t>
      </w:r>
      <w:r>
        <w:rPr>
          <w:spacing w:val="-2"/>
          <w:sz w:val="18"/>
        </w:rPr>
        <w:t xml:space="preserve"> </w:t>
      </w:r>
      <w:r>
        <w:rPr>
          <w:sz w:val="18"/>
        </w:rPr>
        <w:t>minor</w:t>
      </w:r>
      <w:r>
        <w:rPr>
          <w:spacing w:val="-4"/>
          <w:sz w:val="18"/>
        </w:rPr>
        <w:t xml:space="preserve"> </w:t>
      </w:r>
      <w:r>
        <w:rPr>
          <w:sz w:val="18"/>
        </w:rPr>
        <w:t>cash</w:t>
      </w:r>
      <w:r>
        <w:rPr>
          <w:spacing w:val="-1"/>
          <w:sz w:val="18"/>
        </w:rPr>
        <w:t xml:space="preserve"> </w:t>
      </w:r>
      <w:r>
        <w:rPr>
          <w:sz w:val="18"/>
        </w:rPr>
        <w:t>balances</w:t>
      </w:r>
      <w:r>
        <w:rPr>
          <w:spacing w:val="-2"/>
          <w:sz w:val="18"/>
        </w:rPr>
        <w:t xml:space="preserve"> </w:t>
      </w:r>
      <w:r>
        <w:rPr>
          <w:sz w:val="18"/>
        </w:rPr>
        <w:t>in</w:t>
      </w:r>
      <w:r>
        <w:rPr>
          <w:spacing w:val="-1"/>
          <w:sz w:val="18"/>
        </w:rPr>
        <w:t xml:space="preserve"> </w:t>
      </w:r>
      <w:r>
        <w:rPr>
          <w:sz w:val="18"/>
        </w:rPr>
        <w:t>Singapore</w:t>
      </w:r>
      <w:r>
        <w:rPr>
          <w:spacing w:val="-3"/>
          <w:sz w:val="18"/>
        </w:rPr>
        <w:t xml:space="preserve"> </w:t>
      </w:r>
      <w:r>
        <w:rPr>
          <w:spacing w:val="-2"/>
          <w:sz w:val="18"/>
        </w:rPr>
        <w:t>Dollars.</w:t>
      </w:r>
    </w:p>
    <w:p w14:paraId="76B1B665" w14:textId="77777777" w:rsidR="00AC6F3C" w:rsidRDefault="00AC6F3C">
      <w:pPr>
        <w:pStyle w:val="BodyText"/>
        <w:spacing w:before="9"/>
      </w:pPr>
    </w:p>
    <w:p w14:paraId="1AAF392E" w14:textId="77777777" w:rsidR="00AC6F3C" w:rsidRDefault="00570E88">
      <w:pPr>
        <w:ind w:left="958" w:right="990"/>
        <w:rPr>
          <w:sz w:val="18"/>
        </w:rPr>
      </w:pPr>
      <w:r>
        <w:rPr>
          <w:sz w:val="18"/>
        </w:rPr>
        <w:t>The</w:t>
      </w:r>
      <w:r>
        <w:rPr>
          <w:spacing w:val="-2"/>
          <w:sz w:val="18"/>
        </w:rPr>
        <w:t xml:space="preserve"> </w:t>
      </w:r>
      <w:r>
        <w:rPr>
          <w:sz w:val="18"/>
        </w:rPr>
        <w:t>Group</w:t>
      </w:r>
      <w:r>
        <w:rPr>
          <w:spacing w:val="-5"/>
          <w:sz w:val="18"/>
        </w:rPr>
        <w:t xml:space="preserve"> </w:t>
      </w:r>
      <w:r>
        <w:rPr>
          <w:sz w:val="18"/>
        </w:rPr>
        <w:t>outsources</w:t>
      </w:r>
      <w:r>
        <w:rPr>
          <w:spacing w:val="-2"/>
          <w:sz w:val="18"/>
        </w:rPr>
        <w:t xml:space="preserve"> </w:t>
      </w:r>
      <w:r>
        <w:rPr>
          <w:sz w:val="18"/>
        </w:rPr>
        <w:t>its</w:t>
      </w:r>
      <w:r>
        <w:rPr>
          <w:spacing w:val="-2"/>
          <w:sz w:val="18"/>
        </w:rPr>
        <w:t xml:space="preserve"> </w:t>
      </w:r>
      <w:r>
        <w:rPr>
          <w:sz w:val="18"/>
        </w:rPr>
        <w:t>investment</w:t>
      </w:r>
      <w:r>
        <w:rPr>
          <w:spacing w:val="-3"/>
          <w:sz w:val="18"/>
        </w:rPr>
        <w:t xml:space="preserve"> </w:t>
      </w:r>
      <w:r>
        <w:rPr>
          <w:sz w:val="18"/>
        </w:rPr>
        <w:t>activities</w:t>
      </w:r>
      <w:r>
        <w:rPr>
          <w:spacing w:val="-4"/>
          <w:sz w:val="18"/>
        </w:rPr>
        <w:t xml:space="preserve"> </w:t>
      </w:r>
      <w:r>
        <w:rPr>
          <w:sz w:val="18"/>
        </w:rPr>
        <w:t>to</w:t>
      </w:r>
      <w:r>
        <w:rPr>
          <w:spacing w:val="-2"/>
          <w:sz w:val="18"/>
        </w:rPr>
        <w:t xml:space="preserve"> </w:t>
      </w:r>
      <w:r>
        <w:rPr>
          <w:sz w:val="18"/>
        </w:rPr>
        <w:t>respected</w:t>
      </w:r>
      <w:r>
        <w:rPr>
          <w:spacing w:val="-2"/>
          <w:sz w:val="18"/>
        </w:rPr>
        <w:t xml:space="preserve"> </w:t>
      </w:r>
      <w:r>
        <w:rPr>
          <w:sz w:val="18"/>
        </w:rPr>
        <w:t>fund</w:t>
      </w:r>
      <w:r>
        <w:rPr>
          <w:spacing w:val="-5"/>
          <w:sz w:val="18"/>
        </w:rPr>
        <w:t xml:space="preserve"> </w:t>
      </w:r>
      <w:r>
        <w:rPr>
          <w:sz w:val="18"/>
        </w:rPr>
        <w:t>managers</w:t>
      </w:r>
      <w:r>
        <w:rPr>
          <w:spacing w:val="-4"/>
          <w:sz w:val="18"/>
        </w:rPr>
        <w:t xml:space="preserve"> </w:t>
      </w:r>
      <w:r>
        <w:rPr>
          <w:sz w:val="18"/>
        </w:rPr>
        <w:t>who</w:t>
      </w:r>
      <w:r>
        <w:rPr>
          <w:spacing w:val="-2"/>
          <w:sz w:val="18"/>
        </w:rPr>
        <w:t xml:space="preserve"> </w:t>
      </w:r>
      <w:r>
        <w:rPr>
          <w:sz w:val="18"/>
        </w:rPr>
        <w:t>use</w:t>
      </w:r>
      <w:r>
        <w:rPr>
          <w:spacing w:val="-5"/>
          <w:sz w:val="18"/>
        </w:rPr>
        <w:t xml:space="preserve"> </w:t>
      </w:r>
      <w:r>
        <w:rPr>
          <w:sz w:val="18"/>
        </w:rPr>
        <w:t>defined</w:t>
      </w:r>
      <w:r>
        <w:rPr>
          <w:spacing w:val="-2"/>
          <w:sz w:val="18"/>
        </w:rPr>
        <w:t xml:space="preserve"> </w:t>
      </w:r>
      <w:r>
        <w:rPr>
          <w:sz w:val="18"/>
        </w:rPr>
        <w:t>risk management techniques as part of the funds’ mandates.</w:t>
      </w:r>
    </w:p>
    <w:p w14:paraId="4F31502F" w14:textId="77777777" w:rsidR="00AC6F3C" w:rsidRDefault="00AC6F3C">
      <w:pPr>
        <w:rPr>
          <w:sz w:val="18"/>
        </w:rPr>
        <w:sectPr w:rsidR="00AC6F3C">
          <w:pgSz w:w="11910" w:h="16840"/>
          <w:pgMar w:top="2020" w:right="1160" w:bottom="520" w:left="460" w:header="1228" w:footer="336" w:gutter="0"/>
          <w:cols w:space="720"/>
        </w:sectPr>
      </w:pPr>
    </w:p>
    <w:p w14:paraId="31DDF6F0" w14:textId="77777777" w:rsidR="00AC6F3C" w:rsidRDefault="00AC6F3C">
      <w:pPr>
        <w:pStyle w:val="BodyText"/>
      </w:pPr>
    </w:p>
    <w:p w14:paraId="2B572330" w14:textId="77777777" w:rsidR="00AC6F3C" w:rsidRDefault="00570E88">
      <w:pPr>
        <w:tabs>
          <w:tab w:val="left" w:pos="1666"/>
        </w:tabs>
        <w:spacing w:before="249" w:line="322" w:lineRule="exact"/>
        <w:ind w:left="958"/>
        <w:rPr>
          <w:b/>
          <w:sz w:val="28"/>
        </w:rPr>
      </w:pPr>
      <w:r>
        <w:rPr>
          <w:b/>
          <w:spacing w:val="-5"/>
          <w:sz w:val="28"/>
        </w:rPr>
        <w:t>D2</w:t>
      </w:r>
      <w:r>
        <w:rPr>
          <w:b/>
          <w:sz w:val="28"/>
        </w:rPr>
        <w:tab/>
        <w:t>MANAGEMENT</w:t>
      </w:r>
      <w:r>
        <w:rPr>
          <w:b/>
          <w:spacing w:val="-8"/>
          <w:sz w:val="28"/>
        </w:rPr>
        <w:t xml:space="preserve"> </w:t>
      </w:r>
      <w:r>
        <w:rPr>
          <w:b/>
          <w:sz w:val="28"/>
        </w:rPr>
        <w:t>OF</w:t>
      </w:r>
      <w:r>
        <w:rPr>
          <w:b/>
          <w:spacing w:val="-8"/>
          <w:sz w:val="28"/>
        </w:rPr>
        <w:t xml:space="preserve"> </w:t>
      </w:r>
      <w:r>
        <w:rPr>
          <w:b/>
          <w:sz w:val="28"/>
        </w:rPr>
        <w:t>INSURANCE</w:t>
      </w:r>
      <w:r>
        <w:rPr>
          <w:b/>
          <w:spacing w:val="-18"/>
          <w:sz w:val="28"/>
        </w:rPr>
        <w:t xml:space="preserve"> </w:t>
      </w:r>
      <w:r>
        <w:rPr>
          <w:b/>
          <w:sz w:val="28"/>
        </w:rPr>
        <w:t>AND</w:t>
      </w:r>
      <w:r>
        <w:rPr>
          <w:b/>
          <w:spacing w:val="-7"/>
          <w:sz w:val="28"/>
        </w:rPr>
        <w:t xml:space="preserve"> </w:t>
      </w:r>
      <w:r>
        <w:rPr>
          <w:b/>
          <w:sz w:val="28"/>
        </w:rPr>
        <w:t>FINANCIAL</w:t>
      </w:r>
      <w:r>
        <w:rPr>
          <w:b/>
          <w:spacing w:val="-12"/>
          <w:sz w:val="28"/>
        </w:rPr>
        <w:t xml:space="preserve"> </w:t>
      </w:r>
      <w:r>
        <w:rPr>
          <w:b/>
          <w:spacing w:val="-4"/>
          <w:sz w:val="28"/>
        </w:rPr>
        <w:t>RISK</w:t>
      </w:r>
    </w:p>
    <w:p w14:paraId="48EDC5A6" w14:textId="77777777" w:rsidR="00AC6F3C" w:rsidRDefault="00570E88">
      <w:pPr>
        <w:spacing w:line="322" w:lineRule="exact"/>
        <w:ind w:left="1659" w:right="7087"/>
        <w:jc w:val="center"/>
        <w:rPr>
          <w:b/>
          <w:sz w:val="28"/>
        </w:rPr>
      </w:pPr>
      <w:r>
        <w:rPr>
          <w:b/>
          <w:spacing w:val="-2"/>
          <w:sz w:val="28"/>
        </w:rPr>
        <w:t>(continued)</w:t>
      </w:r>
    </w:p>
    <w:p w14:paraId="64C449A5" w14:textId="77777777" w:rsidR="00AC6F3C" w:rsidRDefault="00570E88">
      <w:pPr>
        <w:pStyle w:val="Heading6"/>
        <w:tabs>
          <w:tab w:val="left" w:pos="1810"/>
        </w:tabs>
      </w:pPr>
      <w:r>
        <w:rPr>
          <w:spacing w:val="-2"/>
        </w:rPr>
        <w:t>D2-</w:t>
      </w:r>
      <w:r>
        <w:rPr>
          <w:spacing w:val="-10"/>
        </w:rPr>
        <w:t>4</w:t>
      </w:r>
      <w:r>
        <w:tab/>
        <w:t>FINANCIAL</w:t>
      </w:r>
      <w:r>
        <w:rPr>
          <w:spacing w:val="-7"/>
        </w:rPr>
        <w:t xml:space="preserve"> </w:t>
      </w:r>
      <w:r>
        <w:t>INSTRUMENTS</w:t>
      </w:r>
      <w:r>
        <w:rPr>
          <w:spacing w:val="-2"/>
        </w:rPr>
        <w:t xml:space="preserve"> </w:t>
      </w:r>
      <w:r>
        <w:t>AND</w:t>
      </w:r>
      <w:r>
        <w:rPr>
          <w:spacing w:val="-3"/>
        </w:rPr>
        <w:t xml:space="preserve"> </w:t>
      </w:r>
      <w:r>
        <w:t>FINANCIAL</w:t>
      </w:r>
      <w:r>
        <w:rPr>
          <w:spacing w:val="-3"/>
        </w:rPr>
        <w:t xml:space="preserve"> </w:t>
      </w:r>
      <w:r>
        <w:t>RISK</w:t>
      </w:r>
      <w:r>
        <w:rPr>
          <w:spacing w:val="-4"/>
        </w:rPr>
        <w:t xml:space="preserve"> </w:t>
      </w:r>
      <w:r>
        <w:rPr>
          <w:spacing w:val="-2"/>
        </w:rPr>
        <w:t>MANAGEMENT</w:t>
      </w:r>
    </w:p>
    <w:p w14:paraId="594A1EB3" w14:textId="77777777" w:rsidR="00AC6F3C" w:rsidRDefault="00570E88">
      <w:pPr>
        <w:pStyle w:val="Heading7"/>
        <w:spacing w:before="0"/>
        <w:ind w:left="1659" w:right="7016"/>
        <w:jc w:val="center"/>
      </w:pPr>
      <w:r>
        <w:rPr>
          <w:spacing w:val="-2"/>
        </w:rPr>
        <w:t>(continued)</w:t>
      </w:r>
    </w:p>
    <w:p w14:paraId="0B88981D" w14:textId="77777777" w:rsidR="00AC6F3C" w:rsidRDefault="00AC6F3C">
      <w:pPr>
        <w:pStyle w:val="BodyText"/>
        <w:spacing w:before="9"/>
        <w:rPr>
          <w:b/>
        </w:rPr>
      </w:pPr>
    </w:p>
    <w:p w14:paraId="12405745" w14:textId="77777777" w:rsidR="00AC6F3C" w:rsidRDefault="00570E88">
      <w:pPr>
        <w:numPr>
          <w:ilvl w:val="0"/>
          <w:numId w:val="25"/>
        </w:numPr>
        <w:tabs>
          <w:tab w:val="left" w:pos="1366"/>
        </w:tabs>
        <w:ind w:left="1366" w:hanging="408"/>
        <w:rPr>
          <w:b/>
          <w:sz w:val="20"/>
        </w:rPr>
      </w:pPr>
      <w:r>
        <w:rPr>
          <w:b/>
          <w:sz w:val="20"/>
        </w:rPr>
        <w:t>Currency</w:t>
      </w:r>
      <w:r>
        <w:rPr>
          <w:b/>
          <w:spacing w:val="-7"/>
          <w:sz w:val="20"/>
        </w:rPr>
        <w:t xml:space="preserve"> </w:t>
      </w:r>
      <w:r>
        <w:rPr>
          <w:b/>
          <w:sz w:val="20"/>
        </w:rPr>
        <w:t>risk</w:t>
      </w:r>
      <w:r>
        <w:rPr>
          <w:b/>
          <w:spacing w:val="-8"/>
          <w:sz w:val="20"/>
        </w:rPr>
        <w:t xml:space="preserve"> </w:t>
      </w:r>
      <w:r>
        <w:rPr>
          <w:b/>
          <w:spacing w:val="-2"/>
          <w:sz w:val="20"/>
        </w:rPr>
        <w:t>(continued)</w:t>
      </w:r>
    </w:p>
    <w:p w14:paraId="4960B786" w14:textId="77777777" w:rsidR="00AC6F3C" w:rsidRDefault="00AC6F3C">
      <w:pPr>
        <w:pStyle w:val="BodyText"/>
        <w:spacing w:before="9"/>
        <w:rPr>
          <w:b/>
        </w:rPr>
      </w:pPr>
    </w:p>
    <w:p w14:paraId="1E6D7822" w14:textId="77777777" w:rsidR="00AC6F3C" w:rsidRDefault="00570E88">
      <w:pPr>
        <w:spacing w:before="1"/>
        <w:ind w:left="958"/>
        <w:rPr>
          <w:sz w:val="18"/>
        </w:rPr>
      </w:pPr>
      <w:r>
        <w:rPr>
          <w:sz w:val="18"/>
        </w:rPr>
        <w:t>Investments</w:t>
      </w:r>
      <w:r>
        <w:rPr>
          <w:spacing w:val="-4"/>
          <w:sz w:val="18"/>
        </w:rPr>
        <w:t xml:space="preserve"> </w:t>
      </w:r>
      <w:r>
        <w:rPr>
          <w:sz w:val="18"/>
        </w:rPr>
        <w:t>in</w:t>
      </w:r>
      <w:r>
        <w:rPr>
          <w:spacing w:val="-5"/>
          <w:sz w:val="18"/>
        </w:rPr>
        <w:t xml:space="preserve"> </w:t>
      </w:r>
      <w:r>
        <w:rPr>
          <w:sz w:val="18"/>
        </w:rPr>
        <w:t>income</w:t>
      </w:r>
      <w:r>
        <w:rPr>
          <w:spacing w:val="-2"/>
          <w:sz w:val="18"/>
        </w:rPr>
        <w:t xml:space="preserve"> </w:t>
      </w:r>
      <w:r>
        <w:rPr>
          <w:sz w:val="18"/>
        </w:rPr>
        <w:t>securities</w:t>
      </w:r>
      <w:r>
        <w:rPr>
          <w:spacing w:val="-2"/>
          <w:sz w:val="18"/>
        </w:rPr>
        <w:t xml:space="preserve"> </w:t>
      </w:r>
      <w:r>
        <w:rPr>
          <w:sz w:val="18"/>
        </w:rPr>
        <w:t>are</w:t>
      </w:r>
      <w:r>
        <w:rPr>
          <w:spacing w:val="-2"/>
          <w:sz w:val="18"/>
        </w:rPr>
        <w:t xml:space="preserve"> </w:t>
      </w:r>
      <w:r>
        <w:rPr>
          <w:sz w:val="18"/>
        </w:rPr>
        <w:t>predominantly</w:t>
      </w:r>
      <w:r>
        <w:rPr>
          <w:spacing w:val="-2"/>
          <w:sz w:val="18"/>
        </w:rPr>
        <w:t xml:space="preserve"> </w:t>
      </w:r>
      <w:r>
        <w:rPr>
          <w:sz w:val="18"/>
        </w:rPr>
        <w:t>hedged</w:t>
      </w:r>
      <w:r>
        <w:rPr>
          <w:spacing w:val="-7"/>
          <w:sz w:val="18"/>
        </w:rPr>
        <w:t xml:space="preserve"> </w:t>
      </w:r>
      <w:r>
        <w:rPr>
          <w:sz w:val="18"/>
        </w:rPr>
        <w:t>where</w:t>
      </w:r>
      <w:r>
        <w:rPr>
          <w:spacing w:val="-2"/>
          <w:sz w:val="18"/>
        </w:rPr>
        <w:t xml:space="preserve"> </w:t>
      </w:r>
      <w:r>
        <w:rPr>
          <w:sz w:val="18"/>
        </w:rPr>
        <w:t>a</w:t>
      </w:r>
      <w:r>
        <w:rPr>
          <w:spacing w:val="-5"/>
          <w:sz w:val="18"/>
        </w:rPr>
        <w:t xml:space="preserve"> </w:t>
      </w:r>
      <w:r>
        <w:rPr>
          <w:sz w:val="18"/>
        </w:rPr>
        <w:t>currency</w:t>
      </w:r>
      <w:r>
        <w:rPr>
          <w:spacing w:val="-2"/>
          <w:sz w:val="18"/>
        </w:rPr>
        <w:t xml:space="preserve"> </w:t>
      </w:r>
      <w:r>
        <w:rPr>
          <w:sz w:val="18"/>
        </w:rPr>
        <w:t>exposure</w:t>
      </w:r>
      <w:r>
        <w:rPr>
          <w:spacing w:val="-4"/>
          <w:sz w:val="18"/>
        </w:rPr>
        <w:t xml:space="preserve"> </w:t>
      </w:r>
      <w:r>
        <w:rPr>
          <w:spacing w:val="-2"/>
          <w:sz w:val="18"/>
        </w:rPr>
        <w:t>exists.</w:t>
      </w:r>
    </w:p>
    <w:p w14:paraId="68A66BC4" w14:textId="77777777" w:rsidR="00AC6F3C" w:rsidRDefault="00AC6F3C">
      <w:pPr>
        <w:pStyle w:val="BodyText"/>
        <w:spacing w:before="9"/>
      </w:pPr>
    </w:p>
    <w:p w14:paraId="53813FFA" w14:textId="77777777" w:rsidR="00AC6F3C" w:rsidRDefault="00570E88">
      <w:pPr>
        <w:ind w:left="958" w:right="632"/>
        <w:rPr>
          <w:sz w:val="18"/>
        </w:rPr>
      </w:pPr>
      <w:r>
        <w:rPr>
          <w:sz w:val="18"/>
        </w:rPr>
        <w:t>As part of the Group’s investment mandate, it holds units in funds which hold unhedged international securities.</w:t>
      </w:r>
      <w:r>
        <w:rPr>
          <w:spacing w:val="40"/>
          <w:sz w:val="18"/>
        </w:rPr>
        <w:t xml:space="preserve"> </w:t>
      </w:r>
      <w:r>
        <w:rPr>
          <w:sz w:val="18"/>
        </w:rPr>
        <w:t>Any</w:t>
      </w:r>
      <w:r>
        <w:rPr>
          <w:spacing w:val="-3"/>
          <w:sz w:val="18"/>
        </w:rPr>
        <w:t xml:space="preserve"> </w:t>
      </w:r>
      <w:r>
        <w:rPr>
          <w:sz w:val="18"/>
        </w:rPr>
        <w:t>unhedged</w:t>
      </w:r>
      <w:r>
        <w:rPr>
          <w:spacing w:val="-1"/>
          <w:sz w:val="18"/>
        </w:rPr>
        <w:t xml:space="preserve"> </w:t>
      </w:r>
      <w:r>
        <w:rPr>
          <w:sz w:val="18"/>
        </w:rPr>
        <w:t>position</w:t>
      </w:r>
      <w:r>
        <w:rPr>
          <w:spacing w:val="-4"/>
          <w:sz w:val="18"/>
        </w:rPr>
        <w:t xml:space="preserve"> </w:t>
      </w:r>
      <w:r>
        <w:rPr>
          <w:sz w:val="18"/>
        </w:rPr>
        <w:t>is</w:t>
      </w:r>
      <w:r>
        <w:rPr>
          <w:spacing w:val="-3"/>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strategic</w:t>
      </w:r>
      <w:r>
        <w:rPr>
          <w:spacing w:val="-1"/>
          <w:sz w:val="18"/>
        </w:rPr>
        <w:t xml:space="preserve"> </w:t>
      </w:r>
      <w:r>
        <w:rPr>
          <w:sz w:val="18"/>
        </w:rPr>
        <w:t>asset</w:t>
      </w:r>
      <w:r>
        <w:rPr>
          <w:spacing w:val="-2"/>
          <w:sz w:val="18"/>
        </w:rPr>
        <w:t xml:space="preserve"> </w:t>
      </w:r>
      <w:r>
        <w:rPr>
          <w:sz w:val="18"/>
        </w:rPr>
        <w:t>allocation,</w:t>
      </w:r>
      <w:r>
        <w:rPr>
          <w:spacing w:val="-4"/>
          <w:sz w:val="18"/>
        </w:rPr>
        <w:t xml:space="preserve"> </w:t>
      </w:r>
      <w:r>
        <w:rPr>
          <w:sz w:val="18"/>
        </w:rPr>
        <w:t>and</w:t>
      </w:r>
      <w:r>
        <w:rPr>
          <w:spacing w:val="-4"/>
          <w:sz w:val="18"/>
        </w:rPr>
        <w:t xml:space="preserve"> </w:t>
      </w:r>
      <w:r>
        <w:rPr>
          <w:sz w:val="18"/>
        </w:rPr>
        <w:t>is</w:t>
      </w:r>
      <w:r>
        <w:rPr>
          <w:spacing w:val="-1"/>
          <w:sz w:val="18"/>
        </w:rPr>
        <w:t xml:space="preserve"> </w:t>
      </w:r>
      <w:r>
        <w:rPr>
          <w:sz w:val="18"/>
        </w:rPr>
        <w:t>monitored regularly by management.</w:t>
      </w:r>
    </w:p>
    <w:p w14:paraId="20804ABD" w14:textId="77777777" w:rsidR="00AC6F3C" w:rsidRDefault="00AC6F3C">
      <w:pPr>
        <w:pStyle w:val="BodyText"/>
        <w:spacing w:before="11"/>
      </w:pPr>
    </w:p>
    <w:p w14:paraId="74C0043B" w14:textId="77777777" w:rsidR="00AC6F3C" w:rsidRDefault="00570E88">
      <w:pPr>
        <w:numPr>
          <w:ilvl w:val="0"/>
          <w:numId w:val="25"/>
        </w:numPr>
        <w:tabs>
          <w:tab w:val="left" w:pos="1315"/>
        </w:tabs>
        <w:ind w:left="1315" w:hanging="357"/>
        <w:rPr>
          <w:b/>
          <w:sz w:val="20"/>
        </w:rPr>
      </w:pPr>
      <w:r>
        <w:rPr>
          <w:b/>
          <w:sz w:val="20"/>
        </w:rPr>
        <w:t>Price</w:t>
      </w:r>
      <w:r>
        <w:rPr>
          <w:b/>
          <w:spacing w:val="-8"/>
          <w:sz w:val="20"/>
        </w:rPr>
        <w:t xml:space="preserve"> </w:t>
      </w:r>
      <w:r>
        <w:rPr>
          <w:b/>
          <w:sz w:val="20"/>
        </w:rPr>
        <w:t>and</w:t>
      </w:r>
      <w:r>
        <w:rPr>
          <w:b/>
          <w:spacing w:val="-4"/>
          <w:sz w:val="20"/>
        </w:rPr>
        <w:t xml:space="preserve"> </w:t>
      </w:r>
      <w:r>
        <w:rPr>
          <w:b/>
          <w:sz w:val="20"/>
        </w:rPr>
        <w:t>interest</w:t>
      </w:r>
      <w:r>
        <w:rPr>
          <w:b/>
          <w:spacing w:val="-6"/>
          <w:sz w:val="20"/>
        </w:rPr>
        <w:t xml:space="preserve"> </w:t>
      </w:r>
      <w:r>
        <w:rPr>
          <w:b/>
          <w:sz w:val="20"/>
        </w:rPr>
        <w:t>rate</w:t>
      </w:r>
      <w:r>
        <w:rPr>
          <w:b/>
          <w:spacing w:val="-6"/>
          <w:sz w:val="20"/>
        </w:rPr>
        <w:t xml:space="preserve"> </w:t>
      </w:r>
      <w:r>
        <w:rPr>
          <w:b/>
          <w:spacing w:val="-4"/>
          <w:sz w:val="20"/>
        </w:rPr>
        <w:t>risk</w:t>
      </w:r>
    </w:p>
    <w:p w14:paraId="056F47E5" w14:textId="77777777" w:rsidR="00AC6F3C" w:rsidRDefault="00AC6F3C">
      <w:pPr>
        <w:pStyle w:val="BodyText"/>
        <w:spacing w:before="10"/>
        <w:rPr>
          <w:b/>
        </w:rPr>
      </w:pPr>
    </w:p>
    <w:p w14:paraId="1925C46E" w14:textId="77777777" w:rsidR="00AC6F3C" w:rsidRDefault="00570E88">
      <w:pPr>
        <w:ind w:left="958" w:right="632"/>
        <w:rPr>
          <w:sz w:val="18"/>
        </w:rPr>
      </w:pPr>
      <w:r>
        <w:rPr>
          <w:sz w:val="18"/>
        </w:rPr>
        <w:t>The</w:t>
      </w:r>
      <w:r>
        <w:rPr>
          <w:spacing w:val="-2"/>
          <w:sz w:val="18"/>
        </w:rPr>
        <w:t xml:space="preserve"> </w:t>
      </w:r>
      <w:r>
        <w:rPr>
          <w:sz w:val="18"/>
        </w:rPr>
        <w:t>Group</w:t>
      </w:r>
      <w:r>
        <w:rPr>
          <w:spacing w:val="-5"/>
          <w:sz w:val="18"/>
        </w:rPr>
        <w:t xml:space="preserve"> </w:t>
      </w:r>
      <w:r>
        <w:rPr>
          <w:sz w:val="18"/>
        </w:rPr>
        <w:t>is</w:t>
      </w:r>
      <w:r>
        <w:rPr>
          <w:spacing w:val="-4"/>
          <w:sz w:val="18"/>
        </w:rPr>
        <w:t xml:space="preserve"> </w:t>
      </w:r>
      <w:r>
        <w:rPr>
          <w:sz w:val="18"/>
        </w:rPr>
        <w:t>exposed</w:t>
      </w:r>
      <w:r>
        <w:rPr>
          <w:spacing w:val="-2"/>
          <w:sz w:val="18"/>
        </w:rPr>
        <w:t xml:space="preserve"> </w:t>
      </w:r>
      <w:r>
        <w:rPr>
          <w:sz w:val="18"/>
        </w:rPr>
        <w:t>to</w:t>
      </w:r>
      <w:r>
        <w:rPr>
          <w:spacing w:val="-2"/>
          <w:sz w:val="18"/>
        </w:rPr>
        <w:t xml:space="preserve"> </w:t>
      </w:r>
      <w:r>
        <w:rPr>
          <w:sz w:val="18"/>
        </w:rPr>
        <w:t>equity</w:t>
      </w:r>
      <w:r>
        <w:rPr>
          <w:spacing w:val="-2"/>
          <w:sz w:val="18"/>
        </w:rPr>
        <w:t xml:space="preserve"> </w:t>
      </w:r>
      <w:r>
        <w:rPr>
          <w:sz w:val="18"/>
        </w:rPr>
        <w:t>securities</w:t>
      </w:r>
      <w:r>
        <w:rPr>
          <w:spacing w:val="-2"/>
          <w:sz w:val="18"/>
        </w:rPr>
        <w:t xml:space="preserve"> </w:t>
      </w:r>
      <w:r>
        <w:rPr>
          <w:sz w:val="18"/>
        </w:rPr>
        <w:t>price</w:t>
      </w:r>
      <w:r>
        <w:rPr>
          <w:spacing w:val="-5"/>
          <w:sz w:val="18"/>
        </w:rPr>
        <w:t xml:space="preserve"> </w:t>
      </w:r>
      <w:r>
        <w:rPr>
          <w:sz w:val="18"/>
        </w:rPr>
        <w:t>risk</w:t>
      </w:r>
      <w:r>
        <w:rPr>
          <w:spacing w:val="-2"/>
          <w:sz w:val="18"/>
        </w:rPr>
        <w:t xml:space="preserve"> </w:t>
      </w:r>
      <w:r>
        <w:rPr>
          <w:sz w:val="18"/>
        </w:rPr>
        <w:t>arising</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investments</w:t>
      </w:r>
      <w:r>
        <w:rPr>
          <w:spacing w:val="-2"/>
          <w:sz w:val="18"/>
        </w:rPr>
        <w:t xml:space="preserve"> </w:t>
      </w:r>
      <w:r>
        <w:rPr>
          <w:sz w:val="18"/>
        </w:rPr>
        <w:t>classified</w:t>
      </w:r>
      <w:r>
        <w:rPr>
          <w:spacing w:val="-7"/>
          <w:sz w:val="18"/>
        </w:rPr>
        <w:t xml:space="preserve"> </w:t>
      </w:r>
      <w:r>
        <w:rPr>
          <w:sz w:val="18"/>
        </w:rPr>
        <w:t>as</w:t>
      </w:r>
      <w:r>
        <w:rPr>
          <w:spacing w:val="-2"/>
          <w:sz w:val="18"/>
        </w:rPr>
        <w:t xml:space="preserve"> </w:t>
      </w:r>
      <w:r>
        <w:rPr>
          <w:sz w:val="18"/>
        </w:rPr>
        <w:t>fair</w:t>
      </w:r>
      <w:r>
        <w:rPr>
          <w:spacing w:val="-3"/>
          <w:sz w:val="18"/>
        </w:rPr>
        <w:t xml:space="preserve"> </w:t>
      </w:r>
      <w:r>
        <w:rPr>
          <w:sz w:val="18"/>
        </w:rPr>
        <w:t>value through profit or loss. These securities are held with an Australian fund manager.</w:t>
      </w:r>
    </w:p>
    <w:p w14:paraId="58ED7831" w14:textId="77777777" w:rsidR="00AC6F3C" w:rsidRDefault="00AC6F3C">
      <w:pPr>
        <w:pStyle w:val="BodyText"/>
        <w:spacing w:before="8"/>
      </w:pPr>
    </w:p>
    <w:p w14:paraId="2928CD8A" w14:textId="77777777" w:rsidR="00AC6F3C" w:rsidRDefault="00570E88">
      <w:pPr>
        <w:spacing w:before="1"/>
        <w:ind w:left="958" w:right="990"/>
        <w:rPr>
          <w:sz w:val="18"/>
        </w:rPr>
      </w:pPr>
      <w:r>
        <w:rPr>
          <w:sz w:val="18"/>
        </w:rPr>
        <w:t>The</w:t>
      </w:r>
      <w:r>
        <w:rPr>
          <w:spacing w:val="-1"/>
          <w:sz w:val="18"/>
        </w:rPr>
        <w:t xml:space="preserve"> </w:t>
      </w:r>
      <w:r>
        <w:rPr>
          <w:sz w:val="18"/>
        </w:rPr>
        <w:t>Group</w:t>
      </w:r>
      <w:r>
        <w:rPr>
          <w:spacing w:val="-4"/>
          <w:sz w:val="18"/>
        </w:rPr>
        <w:t xml:space="preserve"> </w:t>
      </w:r>
      <w:r>
        <w:rPr>
          <w:sz w:val="18"/>
        </w:rPr>
        <w:t>manages</w:t>
      </w:r>
      <w:r>
        <w:rPr>
          <w:spacing w:val="-3"/>
          <w:sz w:val="18"/>
        </w:rPr>
        <w:t xml:space="preserve"> </w:t>
      </w:r>
      <w:r>
        <w:rPr>
          <w:sz w:val="18"/>
        </w:rPr>
        <w:t>its</w:t>
      </w:r>
      <w:r>
        <w:rPr>
          <w:spacing w:val="-3"/>
          <w:sz w:val="18"/>
        </w:rPr>
        <w:t xml:space="preserve"> </w:t>
      </w:r>
      <w:r>
        <w:rPr>
          <w:sz w:val="18"/>
        </w:rPr>
        <w:t>exposure</w:t>
      </w:r>
      <w:r>
        <w:rPr>
          <w:spacing w:val="-1"/>
          <w:sz w:val="18"/>
        </w:rPr>
        <w:t xml:space="preserve"> </w:t>
      </w:r>
      <w:r>
        <w:rPr>
          <w:sz w:val="18"/>
        </w:rPr>
        <w:t>to</w:t>
      </w:r>
      <w:r>
        <w:rPr>
          <w:spacing w:val="-4"/>
          <w:sz w:val="18"/>
        </w:rPr>
        <w:t xml:space="preserve"> </w:t>
      </w:r>
      <w:r>
        <w:rPr>
          <w:sz w:val="18"/>
        </w:rPr>
        <w:t>interest</w:t>
      </w:r>
      <w:r>
        <w:rPr>
          <w:spacing w:val="-4"/>
          <w:sz w:val="18"/>
        </w:rPr>
        <w:t xml:space="preserve"> </w:t>
      </w:r>
      <w:r>
        <w:rPr>
          <w:sz w:val="18"/>
        </w:rPr>
        <w:t>rate</w:t>
      </w:r>
      <w:r>
        <w:rPr>
          <w:spacing w:val="-1"/>
          <w:sz w:val="18"/>
        </w:rPr>
        <w:t xml:space="preserve"> </w:t>
      </w:r>
      <w:r>
        <w:rPr>
          <w:sz w:val="18"/>
        </w:rPr>
        <w:t>risk</w:t>
      </w:r>
      <w:r>
        <w:rPr>
          <w:spacing w:val="-1"/>
          <w:sz w:val="18"/>
        </w:rPr>
        <w:t xml:space="preserve"> </w:t>
      </w:r>
      <w:r>
        <w:rPr>
          <w:sz w:val="18"/>
        </w:rPr>
        <w:t>through</w:t>
      </w:r>
      <w:r>
        <w:rPr>
          <w:spacing w:val="-4"/>
          <w:sz w:val="18"/>
        </w:rPr>
        <w:t xml:space="preserve"> </w:t>
      </w:r>
      <w:r>
        <w:rPr>
          <w:sz w:val="18"/>
        </w:rPr>
        <w:t>the</w:t>
      </w:r>
      <w:r>
        <w:rPr>
          <w:spacing w:val="-4"/>
          <w:sz w:val="18"/>
        </w:rPr>
        <w:t xml:space="preserve"> </w:t>
      </w:r>
      <w:r>
        <w:rPr>
          <w:sz w:val="18"/>
        </w:rPr>
        <w:t>setting</w:t>
      </w:r>
      <w:r>
        <w:rPr>
          <w:spacing w:val="-4"/>
          <w:sz w:val="18"/>
        </w:rPr>
        <w:t xml:space="preserve"> </w:t>
      </w:r>
      <w:r>
        <w:rPr>
          <w:sz w:val="18"/>
        </w:rPr>
        <w:t>of</w:t>
      </w:r>
      <w:r>
        <w:rPr>
          <w:spacing w:val="-2"/>
          <w:sz w:val="18"/>
        </w:rPr>
        <w:t xml:space="preserve"> </w:t>
      </w:r>
      <w:r>
        <w:rPr>
          <w:sz w:val="18"/>
        </w:rPr>
        <w:t>investment</w:t>
      </w:r>
      <w:r>
        <w:rPr>
          <w:spacing w:val="-4"/>
          <w:sz w:val="18"/>
        </w:rPr>
        <w:t xml:space="preserve"> </w:t>
      </w:r>
      <w:r>
        <w:rPr>
          <w:sz w:val="18"/>
        </w:rPr>
        <w:t>durations</w:t>
      </w:r>
      <w:r>
        <w:rPr>
          <w:spacing w:val="-1"/>
          <w:sz w:val="18"/>
        </w:rPr>
        <w:t xml:space="preserve"> </w:t>
      </w:r>
      <w:r>
        <w:rPr>
          <w:sz w:val="18"/>
        </w:rPr>
        <w:t>by</w:t>
      </w:r>
      <w:r>
        <w:rPr>
          <w:spacing w:val="-1"/>
          <w:sz w:val="18"/>
        </w:rPr>
        <w:t xml:space="preserve"> </w:t>
      </w:r>
      <w:r>
        <w:rPr>
          <w:sz w:val="18"/>
        </w:rPr>
        <w:t>the fund managers.</w:t>
      </w:r>
    </w:p>
    <w:p w14:paraId="1D61E387" w14:textId="77777777" w:rsidR="00AC6F3C" w:rsidRDefault="00AC6F3C">
      <w:pPr>
        <w:pStyle w:val="BodyText"/>
        <w:spacing w:before="11"/>
      </w:pPr>
    </w:p>
    <w:p w14:paraId="4F6274F4" w14:textId="77777777" w:rsidR="00AC6F3C" w:rsidRDefault="00570E88">
      <w:pPr>
        <w:ind w:left="958" w:right="468"/>
        <w:rPr>
          <w:sz w:val="18"/>
        </w:rPr>
      </w:pPr>
      <w:r>
        <w:rPr>
          <w:sz w:val="18"/>
        </w:rPr>
        <w:t>The</w:t>
      </w:r>
      <w:r>
        <w:rPr>
          <w:spacing w:val="-1"/>
          <w:sz w:val="18"/>
        </w:rPr>
        <w:t xml:space="preserve"> </w:t>
      </w:r>
      <w:r>
        <w:rPr>
          <w:sz w:val="18"/>
        </w:rPr>
        <w:t>Group</w:t>
      </w:r>
      <w:r>
        <w:rPr>
          <w:spacing w:val="-4"/>
          <w:sz w:val="18"/>
        </w:rPr>
        <w:t xml:space="preserve"> </w:t>
      </w:r>
      <w:r>
        <w:rPr>
          <w:sz w:val="18"/>
        </w:rPr>
        <w:t>seeks</w:t>
      </w:r>
      <w:r>
        <w:rPr>
          <w:spacing w:val="-1"/>
          <w:sz w:val="18"/>
        </w:rPr>
        <w:t xml:space="preserve"> </w:t>
      </w:r>
      <w:r>
        <w:rPr>
          <w:sz w:val="18"/>
        </w:rPr>
        <w:t>to</w:t>
      </w:r>
      <w:r>
        <w:rPr>
          <w:spacing w:val="-1"/>
          <w:sz w:val="18"/>
        </w:rPr>
        <w:t xml:space="preserve"> </w:t>
      </w:r>
      <w:r>
        <w:rPr>
          <w:sz w:val="18"/>
        </w:rPr>
        <w:t>reduce</w:t>
      </w:r>
      <w:r>
        <w:rPr>
          <w:spacing w:val="-1"/>
          <w:sz w:val="18"/>
        </w:rPr>
        <w:t xml:space="preserve"> </w:t>
      </w:r>
      <w:r>
        <w:rPr>
          <w:sz w:val="18"/>
        </w:rPr>
        <w:t>risk</w:t>
      </w:r>
      <w:r>
        <w:rPr>
          <w:spacing w:val="-1"/>
          <w:sz w:val="18"/>
        </w:rPr>
        <w:t xml:space="preserve"> </w:t>
      </w:r>
      <w:r>
        <w:rPr>
          <w:sz w:val="18"/>
        </w:rPr>
        <w:t>by</w:t>
      </w:r>
      <w:r>
        <w:rPr>
          <w:spacing w:val="-3"/>
          <w:sz w:val="18"/>
        </w:rPr>
        <w:t xml:space="preserve"> </w:t>
      </w:r>
      <w:r>
        <w:rPr>
          <w:sz w:val="18"/>
        </w:rPr>
        <w:t>diversifying</w:t>
      </w:r>
      <w:r>
        <w:rPr>
          <w:spacing w:val="-4"/>
          <w:sz w:val="18"/>
        </w:rPr>
        <w:t xml:space="preserve"> </w:t>
      </w:r>
      <w:r>
        <w:rPr>
          <w:sz w:val="18"/>
        </w:rPr>
        <w:t>across</w:t>
      </w:r>
      <w:r>
        <w:rPr>
          <w:spacing w:val="-1"/>
          <w:sz w:val="18"/>
        </w:rPr>
        <w:t xml:space="preserve"> </w:t>
      </w:r>
      <w:r>
        <w:rPr>
          <w:sz w:val="18"/>
        </w:rPr>
        <w:t>a</w:t>
      </w:r>
      <w:r>
        <w:rPr>
          <w:spacing w:val="-1"/>
          <w:sz w:val="18"/>
        </w:rPr>
        <w:t xml:space="preserve"> </w:t>
      </w:r>
      <w:r>
        <w:rPr>
          <w:sz w:val="18"/>
        </w:rPr>
        <w:t>range</w:t>
      </w:r>
      <w:r>
        <w:rPr>
          <w:spacing w:val="-1"/>
          <w:sz w:val="18"/>
        </w:rPr>
        <w:t xml:space="preserve"> </w:t>
      </w:r>
      <w:r>
        <w:rPr>
          <w:sz w:val="18"/>
        </w:rPr>
        <w:t>of</w:t>
      </w:r>
      <w:r>
        <w:rPr>
          <w:spacing w:val="-4"/>
          <w:sz w:val="18"/>
        </w:rPr>
        <w:t xml:space="preserve"> </w:t>
      </w:r>
      <w:r>
        <w:rPr>
          <w:sz w:val="18"/>
        </w:rPr>
        <w:t>securities,</w:t>
      </w:r>
      <w:r>
        <w:rPr>
          <w:spacing w:val="-4"/>
          <w:sz w:val="18"/>
        </w:rPr>
        <w:t xml:space="preserve"> </w:t>
      </w:r>
      <w:r>
        <w:rPr>
          <w:sz w:val="18"/>
        </w:rPr>
        <w:t>maturities</w:t>
      </w:r>
      <w:r>
        <w:rPr>
          <w:spacing w:val="-3"/>
          <w:sz w:val="18"/>
        </w:rPr>
        <w:t xml:space="preserve"> </w:t>
      </w:r>
      <w:r>
        <w:rPr>
          <w:sz w:val="18"/>
        </w:rPr>
        <w:t>and</w:t>
      </w:r>
      <w:r>
        <w:rPr>
          <w:spacing w:val="-6"/>
          <w:sz w:val="18"/>
        </w:rPr>
        <w:t xml:space="preserve"> </w:t>
      </w:r>
      <w:r>
        <w:rPr>
          <w:sz w:val="18"/>
        </w:rPr>
        <w:t>counter-parties. Investment of the funds is subject to risk control limits and constraints as follows:</w:t>
      </w:r>
    </w:p>
    <w:p w14:paraId="0F2D965A" w14:textId="77777777" w:rsidR="00AC6F3C" w:rsidRDefault="00AC6F3C">
      <w:pPr>
        <w:pStyle w:val="BodyText"/>
        <w:spacing w:before="8"/>
      </w:pPr>
    </w:p>
    <w:p w14:paraId="62EDA8C6" w14:textId="77777777" w:rsidR="00AC6F3C" w:rsidRDefault="00570E88">
      <w:pPr>
        <w:spacing w:before="1"/>
        <w:ind w:left="958"/>
        <w:rPr>
          <w:b/>
          <w:sz w:val="18"/>
        </w:rPr>
      </w:pPr>
      <w:r>
        <w:rPr>
          <w:b/>
          <w:sz w:val="18"/>
        </w:rPr>
        <w:t>Duration</w:t>
      </w:r>
      <w:r>
        <w:rPr>
          <w:b/>
          <w:spacing w:val="-2"/>
          <w:sz w:val="18"/>
        </w:rPr>
        <w:t xml:space="preserve"> </w:t>
      </w:r>
      <w:r>
        <w:rPr>
          <w:b/>
          <w:sz w:val="18"/>
        </w:rPr>
        <w:t>and</w:t>
      </w:r>
      <w:r>
        <w:rPr>
          <w:b/>
          <w:spacing w:val="-4"/>
          <w:sz w:val="18"/>
        </w:rPr>
        <w:t xml:space="preserve"> </w:t>
      </w:r>
      <w:r>
        <w:rPr>
          <w:b/>
          <w:sz w:val="18"/>
        </w:rPr>
        <w:t>Tracking</w:t>
      </w:r>
      <w:r>
        <w:rPr>
          <w:b/>
          <w:spacing w:val="-2"/>
          <w:sz w:val="18"/>
        </w:rPr>
        <w:t xml:space="preserve"> </w:t>
      </w:r>
      <w:r>
        <w:rPr>
          <w:b/>
          <w:sz w:val="18"/>
        </w:rPr>
        <w:t>Error</w:t>
      </w:r>
      <w:r>
        <w:rPr>
          <w:b/>
          <w:spacing w:val="-4"/>
          <w:sz w:val="18"/>
        </w:rPr>
        <w:t xml:space="preserve"> </w:t>
      </w:r>
      <w:r>
        <w:rPr>
          <w:b/>
          <w:sz w:val="18"/>
        </w:rPr>
        <w:t>Limits</w:t>
      </w:r>
      <w:r>
        <w:rPr>
          <w:b/>
          <w:spacing w:val="-1"/>
          <w:sz w:val="18"/>
        </w:rPr>
        <w:t xml:space="preserve"> </w:t>
      </w:r>
      <w:r>
        <w:rPr>
          <w:b/>
          <w:sz w:val="18"/>
        </w:rPr>
        <w:t>(interest</w:t>
      </w:r>
      <w:r>
        <w:rPr>
          <w:b/>
          <w:spacing w:val="-4"/>
          <w:sz w:val="18"/>
        </w:rPr>
        <w:t xml:space="preserve"> </w:t>
      </w:r>
      <w:r>
        <w:rPr>
          <w:b/>
          <w:sz w:val="18"/>
        </w:rPr>
        <w:t xml:space="preserve">rate </w:t>
      </w:r>
      <w:r>
        <w:rPr>
          <w:b/>
          <w:spacing w:val="-2"/>
          <w:sz w:val="18"/>
        </w:rPr>
        <w:t>management)</w:t>
      </w:r>
    </w:p>
    <w:p w14:paraId="5270A8F8" w14:textId="77777777" w:rsidR="00AC6F3C" w:rsidRDefault="00AC6F3C">
      <w:pPr>
        <w:pStyle w:val="BodyText"/>
        <w:spacing w:before="9"/>
        <w:rPr>
          <w:b/>
        </w:rPr>
      </w:pPr>
    </w:p>
    <w:p w14:paraId="470F014B" w14:textId="77777777" w:rsidR="00AC6F3C" w:rsidRDefault="00570E88">
      <w:pPr>
        <w:ind w:left="957" w:right="990"/>
        <w:rPr>
          <w:sz w:val="18"/>
        </w:rPr>
      </w:pPr>
      <w:r>
        <w:rPr>
          <w:sz w:val="18"/>
        </w:rPr>
        <w:t>The</w:t>
      </w:r>
      <w:r>
        <w:rPr>
          <w:spacing w:val="-1"/>
          <w:sz w:val="18"/>
        </w:rPr>
        <w:t xml:space="preserve"> </w:t>
      </w:r>
      <w:r>
        <w:rPr>
          <w:sz w:val="18"/>
        </w:rPr>
        <w:t>Modified</w:t>
      </w:r>
      <w:r>
        <w:rPr>
          <w:spacing w:val="-4"/>
          <w:sz w:val="18"/>
        </w:rPr>
        <w:t xml:space="preserve"> </w:t>
      </w:r>
      <w:r>
        <w:rPr>
          <w:sz w:val="18"/>
        </w:rPr>
        <w:t>Duration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funds</w:t>
      </w:r>
      <w:r>
        <w:rPr>
          <w:spacing w:val="-3"/>
          <w:sz w:val="18"/>
        </w:rPr>
        <w:t xml:space="preserve"> </w:t>
      </w:r>
      <w:r>
        <w:rPr>
          <w:sz w:val="18"/>
        </w:rPr>
        <w:t>is</w:t>
      </w:r>
      <w:r>
        <w:rPr>
          <w:spacing w:val="-3"/>
          <w:sz w:val="18"/>
        </w:rPr>
        <w:t xml:space="preserve"> </w:t>
      </w:r>
      <w:r>
        <w:rPr>
          <w:sz w:val="18"/>
        </w:rPr>
        <w:t>constrained</w:t>
      </w:r>
      <w:r>
        <w:rPr>
          <w:spacing w:val="-1"/>
          <w:sz w:val="18"/>
        </w:rPr>
        <w:t xml:space="preserve"> </w:t>
      </w:r>
      <w:r>
        <w:rPr>
          <w:sz w:val="18"/>
        </w:rPr>
        <w:t>within</w:t>
      </w:r>
      <w:r>
        <w:rPr>
          <w:spacing w:val="-4"/>
          <w:sz w:val="18"/>
        </w:rPr>
        <w:t xml:space="preserve"> </w:t>
      </w:r>
      <w:r>
        <w:rPr>
          <w:sz w:val="18"/>
        </w:rPr>
        <w:t>a</w:t>
      </w:r>
      <w:r>
        <w:rPr>
          <w:spacing w:val="-1"/>
          <w:sz w:val="18"/>
        </w:rPr>
        <w:t xml:space="preserve"> </w:t>
      </w:r>
      <w:r>
        <w:rPr>
          <w:sz w:val="18"/>
        </w:rPr>
        <w:t>specified</w:t>
      </w:r>
      <w:r>
        <w:rPr>
          <w:spacing w:val="-4"/>
          <w:sz w:val="18"/>
        </w:rPr>
        <w:t xml:space="preserve"> </w:t>
      </w:r>
      <w:r>
        <w:rPr>
          <w:sz w:val="18"/>
        </w:rPr>
        <w:t>period</w:t>
      </w:r>
      <w:r>
        <w:rPr>
          <w:spacing w:val="-1"/>
          <w:sz w:val="18"/>
        </w:rPr>
        <w:t xml:space="preserve"> </w:t>
      </w:r>
      <w:r>
        <w:rPr>
          <w:sz w:val="18"/>
        </w:rPr>
        <w:t>either</w:t>
      </w:r>
      <w:r>
        <w:rPr>
          <w:spacing w:val="-4"/>
          <w:sz w:val="18"/>
        </w:rPr>
        <w:t xml:space="preserve"> </w:t>
      </w:r>
      <w:r>
        <w:rPr>
          <w:sz w:val="18"/>
        </w:rPr>
        <w:t>side</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Modified Duration of the Benchmark as contained in the relevant funds product disclosure statements.</w:t>
      </w:r>
    </w:p>
    <w:p w14:paraId="25B173DD" w14:textId="77777777" w:rsidR="00AC6F3C" w:rsidRDefault="00AC6F3C">
      <w:pPr>
        <w:pStyle w:val="BodyText"/>
        <w:spacing w:before="11"/>
      </w:pPr>
    </w:p>
    <w:p w14:paraId="23B6A20E" w14:textId="77777777" w:rsidR="00AC6F3C" w:rsidRDefault="00570E88">
      <w:pPr>
        <w:ind w:left="958" w:right="990" w:hanging="1"/>
        <w:rPr>
          <w:sz w:val="18"/>
        </w:rPr>
      </w:pPr>
      <w:r>
        <w:rPr>
          <w:sz w:val="18"/>
        </w:rPr>
        <w:t>Rolling</w:t>
      </w:r>
      <w:r>
        <w:rPr>
          <w:spacing w:val="-1"/>
          <w:sz w:val="18"/>
        </w:rPr>
        <w:t xml:space="preserve"> </w:t>
      </w:r>
      <w:r>
        <w:rPr>
          <w:sz w:val="18"/>
        </w:rPr>
        <w:t>year</w:t>
      </w:r>
      <w:r>
        <w:rPr>
          <w:spacing w:val="-2"/>
          <w:sz w:val="18"/>
        </w:rPr>
        <w:t xml:space="preserve"> </w:t>
      </w:r>
      <w:r>
        <w:rPr>
          <w:sz w:val="18"/>
        </w:rPr>
        <w:t>ex-post</w:t>
      </w:r>
      <w:r>
        <w:rPr>
          <w:spacing w:val="-2"/>
          <w:sz w:val="18"/>
        </w:rPr>
        <w:t xml:space="preserve"> </w:t>
      </w:r>
      <w:r>
        <w:rPr>
          <w:sz w:val="18"/>
        </w:rPr>
        <w:t>tracking</w:t>
      </w:r>
      <w:r>
        <w:rPr>
          <w:spacing w:val="-1"/>
          <w:sz w:val="18"/>
        </w:rPr>
        <w:t xml:space="preserve"> </w:t>
      </w:r>
      <w:r>
        <w:rPr>
          <w:sz w:val="18"/>
        </w:rPr>
        <w:t>error</w:t>
      </w:r>
      <w:r>
        <w:rPr>
          <w:spacing w:val="-2"/>
          <w:sz w:val="18"/>
        </w:rPr>
        <w:t xml:space="preserve"> </w:t>
      </w:r>
      <w:r>
        <w:rPr>
          <w:sz w:val="18"/>
        </w:rPr>
        <w:t>will</w:t>
      </w:r>
      <w:r>
        <w:rPr>
          <w:spacing w:val="-4"/>
          <w:sz w:val="18"/>
        </w:rPr>
        <w:t xml:space="preserve"> </w:t>
      </w:r>
      <w:r>
        <w:rPr>
          <w:sz w:val="18"/>
        </w:rPr>
        <w:t>be</w:t>
      </w:r>
      <w:r>
        <w:rPr>
          <w:spacing w:val="-4"/>
          <w:sz w:val="18"/>
        </w:rPr>
        <w:t xml:space="preserve"> </w:t>
      </w:r>
      <w:r>
        <w:rPr>
          <w:sz w:val="18"/>
        </w:rPr>
        <w:t>limited</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specified</w:t>
      </w:r>
      <w:r>
        <w:rPr>
          <w:spacing w:val="-1"/>
          <w:sz w:val="18"/>
        </w:rPr>
        <w:t xml:space="preserve"> </w:t>
      </w:r>
      <w:r>
        <w:rPr>
          <w:sz w:val="18"/>
        </w:rPr>
        <w:t>number</w:t>
      </w:r>
      <w:r>
        <w:rPr>
          <w:spacing w:val="-4"/>
          <w:sz w:val="18"/>
        </w:rPr>
        <w:t xml:space="preserve"> </w:t>
      </w:r>
      <w:r>
        <w:rPr>
          <w:sz w:val="18"/>
        </w:rPr>
        <w:t>of</w:t>
      </w:r>
      <w:r>
        <w:rPr>
          <w:spacing w:val="-2"/>
          <w:sz w:val="18"/>
        </w:rPr>
        <w:t xml:space="preserve"> </w:t>
      </w:r>
      <w:r>
        <w:rPr>
          <w:sz w:val="18"/>
        </w:rPr>
        <w:t>basis</w:t>
      </w:r>
      <w:r>
        <w:rPr>
          <w:spacing w:val="-1"/>
          <w:sz w:val="18"/>
        </w:rPr>
        <w:t xml:space="preserve"> </w:t>
      </w:r>
      <w:r>
        <w:rPr>
          <w:sz w:val="18"/>
        </w:rPr>
        <w:t>points.</w:t>
      </w:r>
      <w:r>
        <w:rPr>
          <w:spacing w:val="-2"/>
          <w:sz w:val="18"/>
        </w:rPr>
        <w:t xml:space="preserve"> </w:t>
      </w:r>
      <w:r>
        <w:rPr>
          <w:sz w:val="18"/>
        </w:rPr>
        <w:t>The</w:t>
      </w:r>
      <w:r>
        <w:rPr>
          <w:spacing w:val="-4"/>
          <w:sz w:val="18"/>
        </w:rPr>
        <w:t xml:space="preserve"> </w:t>
      </w:r>
      <w:r>
        <w:rPr>
          <w:sz w:val="18"/>
        </w:rPr>
        <w:t>ex-ante tracking error of the funds is not expected to exceed a specified number of basis points.</w:t>
      </w:r>
    </w:p>
    <w:p w14:paraId="3073B27A" w14:textId="77777777" w:rsidR="00AC6F3C" w:rsidRDefault="00AC6F3C">
      <w:pPr>
        <w:pStyle w:val="BodyText"/>
        <w:spacing w:before="9"/>
      </w:pPr>
    </w:p>
    <w:p w14:paraId="6192BF6B" w14:textId="77777777" w:rsidR="00AC6F3C" w:rsidRDefault="00570E88">
      <w:pPr>
        <w:ind w:left="958"/>
        <w:rPr>
          <w:b/>
          <w:sz w:val="18"/>
        </w:rPr>
      </w:pPr>
      <w:r>
        <w:rPr>
          <w:b/>
          <w:sz w:val="18"/>
        </w:rPr>
        <w:t>Sector</w:t>
      </w:r>
      <w:r>
        <w:rPr>
          <w:b/>
          <w:spacing w:val="-6"/>
          <w:sz w:val="18"/>
        </w:rPr>
        <w:t xml:space="preserve"> </w:t>
      </w:r>
      <w:r>
        <w:rPr>
          <w:b/>
          <w:sz w:val="18"/>
        </w:rPr>
        <w:t>Exposure</w:t>
      </w:r>
      <w:r>
        <w:rPr>
          <w:b/>
          <w:spacing w:val="-1"/>
          <w:sz w:val="18"/>
        </w:rPr>
        <w:t xml:space="preserve"> </w:t>
      </w:r>
      <w:r>
        <w:rPr>
          <w:b/>
          <w:spacing w:val="-4"/>
          <w:sz w:val="18"/>
        </w:rPr>
        <w:t>Bands</w:t>
      </w:r>
    </w:p>
    <w:p w14:paraId="55C6688D" w14:textId="77777777" w:rsidR="00AC6F3C" w:rsidRDefault="00AC6F3C">
      <w:pPr>
        <w:pStyle w:val="BodyText"/>
        <w:rPr>
          <w:b/>
          <w:sz w:val="21"/>
        </w:rPr>
      </w:pPr>
    </w:p>
    <w:p w14:paraId="37A5CCA7" w14:textId="77777777" w:rsidR="00AC6F3C" w:rsidRDefault="00570E88">
      <w:pPr>
        <w:ind w:left="958" w:right="730"/>
        <w:rPr>
          <w:sz w:val="18"/>
        </w:rPr>
      </w:pPr>
      <w:r>
        <w:rPr>
          <w:sz w:val="18"/>
        </w:rPr>
        <w:t>The</w:t>
      </w:r>
      <w:r>
        <w:rPr>
          <w:spacing w:val="-2"/>
          <w:sz w:val="18"/>
        </w:rPr>
        <w:t xml:space="preserve"> </w:t>
      </w:r>
      <w:r>
        <w:rPr>
          <w:sz w:val="18"/>
        </w:rPr>
        <w:t>weighting</w:t>
      </w:r>
      <w:r>
        <w:rPr>
          <w:spacing w:val="-2"/>
          <w:sz w:val="18"/>
        </w:rPr>
        <w:t xml:space="preserve"> </w:t>
      </w:r>
      <w:r>
        <w:rPr>
          <w:sz w:val="18"/>
        </w:rPr>
        <w:t>of</w:t>
      </w:r>
      <w:r>
        <w:rPr>
          <w:spacing w:val="-3"/>
          <w:sz w:val="18"/>
        </w:rPr>
        <w:t xml:space="preserve"> </w:t>
      </w:r>
      <w:r>
        <w:rPr>
          <w:sz w:val="18"/>
        </w:rPr>
        <w:t>each</w:t>
      </w:r>
      <w:r>
        <w:rPr>
          <w:spacing w:val="-4"/>
          <w:sz w:val="18"/>
        </w:rPr>
        <w:t xml:space="preserve"> </w:t>
      </w:r>
      <w:r>
        <w:rPr>
          <w:sz w:val="18"/>
        </w:rPr>
        <w:t>sector</w:t>
      </w:r>
      <w:r>
        <w:rPr>
          <w:spacing w:val="-3"/>
          <w:sz w:val="18"/>
        </w:rPr>
        <w:t xml:space="preserve"> </w:t>
      </w:r>
      <w:r>
        <w:rPr>
          <w:sz w:val="18"/>
        </w:rPr>
        <w:t>(e.g.</w:t>
      </w:r>
      <w:r>
        <w:rPr>
          <w:spacing w:val="-3"/>
          <w:sz w:val="18"/>
        </w:rPr>
        <w:t xml:space="preserve"> </w:t>
      </w:r>
      <w:r>
        <w:rPr>
          <w:sz w:val="18"/>
        </w:rPr>
        <w:t>domestic,</w:t>
      </w:r>
      <w:r>
        <w:rPr>
          <w:spacing w:val="-4"/>
          <w:sz w:val="18"/>
        </w:rPr>
        <w:t xml:space="preserve"> </w:t>
      </w:r>
      <w:r>
        <w:rPr>
          <w:sz w:val="18"/>
        </w:rPr>
        <w:t>international</w:t>
      </w:r>
      <w:r>
        <w:rPr>
          <w:spacing w:val="-3"/>
          <w:sz w:val="18"/>
        </w:rPr>
        <w:t xml:space="preserve"> </w:t>
      </w:r>
      <w:r>
        <w:rPr>
          <w:sz w:val="18"/>
        </w:rPr>
        <w:t>–</w:t>
      </w:r>
      <w:r>
        <w:rPr>
          <w:spacing w:val="-2"/>
          <w:sz w:val="18"/>
        </w:rPr>
        <w:t xml:space="preserve"> </w:t>
      </w:r>
      <w:r>
        <w:rPr>
          <w:sz w:val="18"/>
        </w:rPr>
        <w:t>government,</w:t>
      </w:r>
      <w:r>
        <w:rPr>
          <w:spacing w:val="-3"/>
          <w:sz w:val="18"/>
        </w:rPr>
        <w:t xml:space="preserve"> </w:t>
      </w:r>
      <w:r>
        <w:rPr>
          <w:sz w:val="18"/>
        </w:rPr>
        <w:t>non-government)</w:t>
      </w:r>
      <w:r>
        <w:rPr>
          <w:spacing w:val="-4"/>
          <w:sz w:val="18"/>
        </w:rPr>
        <w:t xml:space="preserve"> </w:t>
      </w:r>
      <w:r>
        <w:rPr>
          <w:sz w:val="18"/>
        </w:rPr>
        <w:t>within</w:t>
      </w:r>
      <w:r>
        <w:rPr>
          <w:spacing w:val="-4"/>
          <w:sz w:val="18"/>
        </w:rPr>
        <w:t xml:space="preserve"> </w:t>
      </w:r>
      <w:r>
        <w:rPr>
          <w:sz w:val="18"/>
        </w:rPr>
        <w:t>the</w:t>
      </w:r>
      <w:r>
        <w:rPr>
          <w:spacing w:val="-2"/>
          <w:sz w:val="18"/>
        </w:rPr>
        <w:t xml:space="preserve"> </w:t>
      </w:r>
      <w:r>
        <w:rPr>
          <w:sz w:val="18"/>
        </w:rPr>
        <w:t>funds will be maintained in specified limits.</w:t>
      </w:r>
    </w:p>
    <w:p w14:paraId="6EA8FDEE" w14:textId="77777777" w:rsidR="00AC6F3C" w:rsidRDefault="00AC6F3C">
      <w:pPr>
        <w:pStyle w:val="BodyText"/>
        <w:spacing w:before="9"/>
      </w:pPr>
    </w:p>
    <w:p w14:paraId="64227670" w14:textId="77777777" w:rsidR="00AC6F3C" w:rsidRDefault="00570E88">
      <w:pPr>
        <w:ind w:left="958"/>
        <w:rPr>
          <w:b/>
          <w:sz w:val="18"/>
        </w:rPr>
      </w:pPr>
      <w:r>
        <w:rPr>
          <w:b/>
          <w:sz w:val="18"/>
        </w:rPr>
        <w:t>Credit</w:t>
      </w:r>
      <w:r>
        <w:rPr>
          <w:b/>
          <w:spacing w:val="-2"/>
          <w:sz w:val="18"/>
        </w:rPr>
        <w:t xml:space="preserve"> Limits</w:t>
      </w:r>
    </w:p>
    <w:p w14:paraId="1926A4F2" w14:textId="77777777" w:rsidR="00AC6F3C" w:rsidRDefault="00AC6F3C">
      <w:pPr>
        <w:pStyle w:val="BodyText"/>
        <w:spacing w:before="9"/>
        <w:rPr>
          <w:b/>
        </w:rPr>
      </w:pPr>
    </w:p>
    <w:p w14:paraId="7A928DDC" w14:textId="77777777" w:rsidR="00AC6F3C" w:rsidRDefault="00570E88">
      <w:pPr>
        <w:ind w:left="958"/>
        <w:rPr>
          <w:sz w:val="18"/>
        </w:rPr>
      </w:pPr>
      <w:r>
        <w:rPr>
          <w:sz w:val="18"/>
        </w:rPr>
        <w:t>The</w:t>
      </w:r>
      <w:r>
        <w:rPr>
          <w:spacing w:val="-3"/>
          <w:sz w:val="18"/>
        </w:rPr>
        <w:t xml:space="preserve"> </w:t>
      </w:r>
      <w:r>
        <w:rPr>
          <w:sz w:val="18"/>
        </w:rPr>
        <w:t>funds</w:t>
      </w:r>
      <w:r>
        <w:rPr>
          <w:spacing w:val="-3"/>
          <w:sz w:val="18"/>
        </w:rPr>
        <w:t xml:space="preserve"> </w:t>
      </w:r>
      <w:r>
        <w:rPr>
          <w:sz w:val="18"/>
        </w:rPr>
        <w:t>will</w:t>
      </w:r>
      <w:r>
        <w:rPr>
          <w:spacing w:val="-4"/>
          <w:sz w:val="18"/>
        </w:rPr>
        <w:t xml:space="preserve"> </w:t>
      </w:r>
      <w:r>
        <w:rPr>
          <w:sz w:val="18"/>
        </w:rPr>
        <w:t>be</w:t>
      </w:r>
      <w:r>
        <w:rPr>
          <w:spacing w:val="-3"/>
          <w:sz w:val="18"/>
        </w:rPr>
        <w:t xml:space="preserve"> </w:t>
      </w:r>
      <w:r>
        <w:rPr>
          <w:sz w:val="18"/>
        </w:rPr>
        <w:t>invested</w:t>
      </w:r>
      <w:r>
        <w:rPr>
          <w:spacing w:val="-1"/>
          <w:sz w:val="18"/>
        </w:rPr>
        <w:t xml:space="preserve"> </w:t>
      </w:r>
      <w:r>
        <w:rPr>
          <w:sz w:val="18"/>
        </w:rPr>
        <w:t>in</w:t>
      </w:r>
      <w:r>
        <w:rPr>
          <w:spacing w:val="-1"/>
          <w:sz w:val="18"/>
        </w:rPr>
        <w:t xml:space="preserve"> </w:t>
      </w:r>
      <w:r>
        <w:rPr>
          <w:sz w:val="18"/>
        </w:rPr>
        <w:t>a</w:t>
      </w:r>
      <w:r>
        <w:rPr>
          <w:spacing w:val="-3"/>
          <w:sz w:val="18"/>
        </w:rPr>
        <w:t xml:space="preserve"> </w:t>
      </w:r>
      <w:r>
        <w:rPr>
          <w:sz w:val="18"/>
        </w:rPr>
        <w:t>broad</w:t>
      </w:r>
      <w:r>
        <w:rPr>
          <w:spacing w:val="-4"/>
          <w:sz w:val="18"/>
        </w:rPr>
        <w:t xml:space="preserve"> </w:t>
      </w:r>
      <w:r>
        <w:rPr>
          <w:sz w:val="18"/>
        </w:rPr>
        <w:t>and</w:t>
      </w:r>
      <w:r>
        <w:rPr>
          <w:spacing w:val="-4"/>
          <w:sz w:val="18"/>
        </w:rPr>
        <w:t xml:space="preserve"> </w:t>
      </w:r>
      <w:r>
        <w:rPr>
          <w:sz w:val="18"/>
        </w:rPr>
        <w:t>diversified range</w:t>
      </w:r>
      <w:r>
        <w:rPr>
          <w:spacing w:val="-4"/>
          <w:sz w:val="18"/>
        </w:rPr>
        <w:t xml:space="preserve"> </w:t>
      </w:r>
      <w:r>
        <w:rPr>
          <w:sz w:val="18"/>
        </w:rPr>
        <w:t>of</w:t>
      </w:r>
      <w:r>
        <w:rPr>
          <w:spacing w:val="-4"/>
          <w:sz w:val="18"/>
        </w:rPr>
        <w:t xml:space="preserve"> </w:t>
      </w:r>
      <w:r>
        <w:rPr>
          <w:sz w:val="18"/>
        </w:rPr>
        <w:t>securities</w:t>
      </w:r>
      <w:r>
        <w:rPr>
          <w:spacing w:val="-2"/>
          <w:sz w:val="18"/>
        </w:rPr>
        <w:t xml:space="preserve"> </w:t>
      </w:r>
      <w:r>
        <w:rPr>
          <w:sz w:val="18"/>
        </w:rPr>
        <w:t>across</w:t>
      </w:r>
      <w:r>
        <w:rPr>
          <w:spacing w:val="-1"/>
          <w:sz w:val="18"/>
        </w:rPr>
        <w:t xml:space="preserve"> </w:t>
      </w:r>
      <w:r>
        <w:rPr>
          <w:sz w:val="18"/>
        </w:rPr>
        <w:t>the</w:t>
      </w:r>
      <w:r>
        <w:rPr>
          <w:spacing w:val="-1"/>
          <w:sz w:val="18"/>
        </w:rPr>
        <w:t xml:space="preserve"> </w:t>
      </w:r>
      <w:r>
        <w:rPr>
          <w:sz w:val="18"/>
        </w:rPr>
        <w:t>credit</w:t>
      </w:r>
      <w:r>
        <w:rPr>
          <w:spacing w:val="-3"/>
          <w:sz w:val="18"/>
        </w:rPr>
        <w:t xml:space="preserve"> </w:t>
      </w:r>
      <w:r>
        <w:rPr>
          <w:spacing w:val="-2"/>
          <w:sz w:val="18"/>
        </w:rPr>
        <w:t>spectrum.</w:t>
      </w:r>
    </w:p>
    <w:p w14:paraId="635928BB" w14:textId="77777777" w:rsidR="00AC6F3C" w:rsidRDefault="00AC6F3C">
      <w:pPr>
        <w:pStyle w:val="BodyText"/>
        <w:spacing w:before="9"/>
      </w:pPr>
    </w:p>
    <w:p w14:paraId="6E7C78DB" w14:textId="77777777" w:rsidR="00AC6F3C" w:rsidRDefault="00570E88">
      <w:pPr>
        <w:spacing w:before="1"/>
        <w:ind w:left="958"/>
        <w:rPr>
          <w:b/>
          <w:sz w:val="18"/>
        </w:rPr>
      </w:pPr>
      <w:r>
        <w:rPr>
          <w:b/>
          <w:sz w:val="18"/>
        </w:rPr>
        <w:t>Credit</w:t>
      </w:r>
      <w:r>
        <w:rPr>
          <w:b/>
          <w:spacing w:val="-3"/>
          <w:sz w:val="18"/>
        </w:rPr>
        <w:t xml:space="preserve"> </w:t>
      </w:r>
      <w:r>
        <w:rPr>
          <w:b/>
          <w:sz w:val="18"/>
        </w:rPr>
        <w:t>Risk</w:t>
      </w:r>
      <w:r>
        <w:rPr>
          <w:b/>
          <w:spacing w:val="-2"/>
          <w:sz w:val="18"/>
        </w:rPr>
        <w:t xml:space="preserve"> </w:t>
      </w:r>
      <w:r>
        <w:rPr>
          <w:b/>
          <w:sz w:val="18"/>
        </w:rPr>
        <w:t>Limits</w:t>
      </w:r>
      <w:r>
        <w:rPr>
          <w:b/>
          <w:spacing w:val="-2"/>
          <w:sz w:val="18"/>
        </w:rPr>
        <w:t xml:space="preserve"> </w:t>
      </w:r>
      <w:r>
        <w:rPr>
          <w:b/>
          <w:sz w:val="18"/>
        </w:rPr>
        <w:t>for</w:t>
      </w:r>
      <w:r>
        <w:rPr>
          <w:b/>
          <w:spacing w:val="-3"/>
          <w:sz w:val="18"/>
        </w:rPr>
        <w:t xml:space="preserve"> </w:t>
      </w:r>
      <w:r>
        <w:rPr>
          <w:b/>
          <w:sz w:val="18"/>
        </w:rPr>
        <w:t>Individual</w:t>
      </w:r>
      <w:r>
        <w:rPr>
          <w:b/>
          <w:spacing w:val="-3"/>
          <w:sz w:val="18"/>
        </w:rPr>
        <w:t xml:space="preserve"> </w:t>
      </w:r>
      <w:r>
        <w:rPr>
          <w:b/>
          <w:sz w:val="18"/>
        </w:rPr>
        <w:t>Security</w:t>
      </w:r>
      <w:r>
        <w:rPr>
          <w:b/>
          <w:spacing w:val="-1"/>
          <w:sz w:val="18"/>
        </w:rPr>
        <w:t xml:space="preserve"> </w:t>
      </w:r>
      <w:r>
        <w:rPr>
          <w:b/>
          <w:spacing w:val="-2"/>
          <w:sz w:val="18"/>
        </w:rPr>
        <w:t>Investments</w:t>
      </w:r>
    </w:p>
    <w:p w14:paraId="38354B1E" w14:textId="77777777" w:rsidR="00AC6F3C" w:rsidRDefault="00AC6F3C">
      <w:pPr>
        <w:pStyle w:val="BodyText"/>
        <w:rPr>
          <w:b/>
          <w:sz w:val="21"/>
        </w:rPr>
      </w:pPr>
    </w:p>
    <w:p w14:paraId="6F8F848E" w14:textId="77777777" w:rsidR="00AC6F3C" w:rsidRDefault="00570E88">
      <w:pPr>
        <w:ind w:left="958" w:right="468"/>
        <w:rPr>
          <w:sz w:val="18"/>
        </w:rPr>
      </w:pPr>
      <w:r>
        <w:rPr>
          <w:sz w:val="18"/>
        </w:rPr>
        <w:t>Individual</w:t>
      </w:r>
      <w:r>
        <w:rPr>
          <w:spacing w:val="-4"/>
          <w:sz w:val="18"/>
        </w:rPr>
        <w:t xml:space="preserve"> </w:t>
      </w:r>
      <w:r>
        <w:rPr>
          <w:sz w:val="18"/>
        </w:rPr>
        <w:t>security</w:t>
      </w:r>
      <w:r>
        <w:rPr>
          <w:spacing w:val="-1"/>
          <w:sz w:val="18"/>
        </w:rPr>
        <w:t xml:space="preserve"> </w:t>
      </w:r>
      <w:r>
        <w:rPr>
          <w:sz w:val="18"/>
        </w:rPr>
        <w:t>limits</w:t>
      </w:r>
      <w:r>
        <w:rPr>
          <w:spacing w:val="-3"/>
          <w:sz w:val="18"/>
        </w:rPr>
        <w:t xml:space="preserve"> </w:t>
      </w:r>
      <w:r>
        <w:rPr>
          <w:sz w:val="18"/>
        </w:rPr>
        <w:t>apply</w:t>
      </w:r>
      <w:r>
        <w:rPr>
          <w:spacing w:val="-3"/>
          <w:sz w:val="18"/>
        </w:rPr>
        <w:t xml:space="preserve"> </w:t>
      </w:r>
      <w:r>
        <w:rPr>
          <w:sz w:val="18"/>
        </w:rPr>
        <w:t>for</w:t>
      </w:r>
      <w:r>
        <w:rPr>
          <w:spacing w:val="-2"/>
          <w:sz w:val="18"/>
        </w:rPr>
        <w:t xml:space="preserve"> </w:t>
      </w:r>
      <w:r>
        <w:rPr>
          <w:sz w:val="18"/>
        </w:rPr>
        <w:t>direct</w:t>
      </w:r>
      <w:r>
        <w:rPr>
          <w:spacing w:val="-4"/>
          <w:sz w:val="18"/>
        </w:rPr>
        <w:t xml:space="preserve"> </w:t>
      </w:r>
      <w:r>
        <w:rPr>
          <w:sz w:val="18"/>
        </w:rPr>
        <w:t>physical</w:t>
      </w:r>
      <w:r>
        <w:rPr>
          <w:spacing w:val="-4"/>
          <w:sz w:val="18"/>
        </w:rPr>
        <w:t xml:space="preserve"> </w:t>
      </w:r>
      <w:r>
        <w:rPr>
          <w:sz w:val="18"/>
        </w:rPr>
        <w:t>holdings</w:t>
      </w:r>
      <w:r>
        <w:rPr>
          <w:spacing w:val="-3"/>
          <w:sz w:val="18"/>
        </w:rPr>
        <w:t xml:space="preserve"> </w:t>
      </w:r>
      <w:r>
        <w:rPr>
          <w:sz w:val="18"/>
        </w:rPr>
        <w:t>based</w:t>
      </w:r>
      <w:r>
        <w:rPr>
          <w:spacing w:val="-4"/>
          <w:sz w:val="18"/>
        </w:rPr>
        <w:t xml:space="preserve"> </w:t>
      </w:r>
      <w:r>
        <w:rPr>
          <w:sz w:val="18"/>
        </w:rPr>
        <w:t>on</w:t>
      </w:r>
      <w:r>
        <w:rPr>
          <w:spacing w:val="-1"/>
          <w:sz w:val="18"/>
        </w:rPr>
        <w:t xml:space="preserve"> </w:t>
      </w:r>
      <w:r>
        <w:rPr>
          <w:sz w:val="18"/>
        </w:rPr>
        <w:t>their</w:t>
      </w:r>
      <w:r>
        <w:rPr>
          <w:spacing w:val="-4"/>
          <w:sz w:val="18"/>
        </w:rPr>
        <w:t xml:space="preserve"> </w:t>
      </w:r>
      <w:r>
        <w:rPr>
          <w:sz w:val="18"/>
        </w:rPr>
        <w:t>credit</w:t>
      </w:r>
      <w:r>
        <w:rPr>
          <w:spacing w:val="-2"/>
          <w:sz w:val="18"/>
        </w:rPr>
        <w:t xml:space="preserve"> </w:t>
      </w:r>
      <w:r>
        <w:rPr>
          <w:sz w:val="18"/>
        </w:rPr>
        <w:t>rating</w:t>
      </w:r>
      <w:r>
        <w:rPr>
          <w:spacing w:val="-4"/>
          <w:sz w:val="18"/>
        </w:rPr>
        <w:t xml:space="preserve"> </w:t>
      </w:r>
      <w:r>
        <w:rPr>
          <w:sz w:val="18"/>
        </w:rPr>
        <w:t>and</w:t>
      </w:r>
      <w:r>
        <w:rPr>
          <w:spacing w:val="-4"/>
          <w:sz w:val="18"/>
        </w:rPr>
        <w:t xml:space="preserve"> </w:t>
      </w:r>
      <w:r>
        <w:rPr>
          <w:sz w:val="18"/>
        </w:rPr>
        <w:t>inclusion</w:t>
      </w:r>
      <w:r>
        <w:rPr>
          <w:spacing w:val="-1"/>
          <w:sz w:val="18"/>
        </w:rPr>
        <w:t xml:space="preserve"> </w:t>
      </w:r>
      <w:r>
        <w:rPr>
          <w:sz w:val="18"/>
        </w:rPr>
        <w:t>in</w:t>
      </w:r>
      <w:r>
        <w:rPr>
          <w:spacing w:val="-1"/>
          <w:sz w:val="18"/>
        </w:rPr>
        <w:t xml:space="preserve"> </w:t>
      </w:r>
      <w:r>
        <w:rPr>
          <w:sz w:val="18"/>
        </w:rPr>
        <w:t xml:space="preserve">the </w:t>
      </w:r>
      <w:r>
        <w:rPr>
          <w:spacing w:val="-2"/>
          <w:sz w:val="18"/>
        </w:rPr>
        <w:t>benchmark.</w:t>
      </w:r>
    </w:p>
    <w:p w14:paraId="6FDD2070" w14:textId="77777777" w:rsidR="00AC6F3C" w:rsidRDefault="00AC6F3C">
      <w:pPr>
        <w:pStyle w:val="BodyText"/>
        <w:spacing w:before="9"/>
      </w:pPr>
    </w:p>
    <w:p w14:paraId="11325569" w14:textId="77777777" w:rsidR="00AC6F3C" w:rsidRDefault="00570E88">
      <w:pPr>
        <w:numPr>
          <w:ilvl w:val="0"/>
          <w:numId w:val="25"/>
        </w:numPr>
        <w:tabs>
          <w:tab w:val="left" w:pos="1315"/>
        </w:tabs>
        <w:ind w:left="1315" w:hanging="357"/>
        <w:rPr>
          <w:b/>
          <w:sz w:val="20"/>
        </w:rPr>
      </w:pPr>
      <w:r>
        <w:rPr>
          <w:b/>
          <w:sz w:val="20"/>
        </w:rPr>
        <w:t>Credit</w:t>
      </w:r>
      <w:r>
        <w:rPr>
          <w:b/>
          <w:spacing w:val="-9"/>
          <w:sz w:val="20"/>
        </w:rPr>
        <w:t xml:space="preserve"> </w:t>
      </w:r>
      <w:r>
        <w:rPr>
          <w:b/>
          <w:spacing w:val="-4"/>
          <w:sz w:val="20"/>
        </w:rPr>
        <w:t>risk</w:t>
      </w:r>
    </w:p>
    <w:p w14:paraId="53036633" w14:textId="77777777" w:rsidR="00AC6F3C" w:rsidRDefault="00AC6F3C">
      <w:pPr>
        <w:pStyle w:val="BodyText"/>
        <w:spacing w:before="10"/>
        <w:rPr>
          <w:b/>
        </w:rPr>
      </w:pPr>
    </w:p>
    <w:p w14:paraId="44749030" w14:textId="77777777" w:rsidR="00AC6F3C" w:rsidRDefault="00570E88">
      <w:pPr>
        <w:ind w:left="958" w:right="990"/>
        <w:rPr>
          <w:sz w:val="18"/>
        </w:rPr>
      </w:pPr>
      <w:r>
        <w:rPr>
          <w:sz w:val="18"/>
        </w:rPr>
        <w:t>There is no significant credit risk with respect to the collectability of premiums as the Group only underwrites</w:t>
      </w:r>
      <w:r>
        <w:rPr>
          <w:spacing w:val="-1"/>
          <w:sz w:val="18"/>
        </w:rPr>
        <w:t xml:space="preserve"> </w:t>
      </w:r>
      <w:r>
        <w:rPr>
          <w:sz w:val="18"/>
        </w:rPr>
        <w:t>risks</w:t>
      </w:r>
      <w:r>
        <w:rPr>
          <w:spacing w:val="-3"/>
          <w:sz w:val="18"/>
        </w:rPr>
        <w:t xml:space="preserve"> </w:t>
      </w:r>
      <w:r>
        <w:rPr>
          <w:sz w:val="18"/>
        </w:rPr>
        <w:t>from</w:t>
      </w:r>
      <w:r>
        <w:rPr>
          <w:spacing w:val="-3"/>
          <w:sz w:val="18"/>
        </w:rPr>
        <w:t xml:space="preserve"> </w:t>
      </w:r>
      <w:r>
        <w:rPr>
          <w:sz w:val="18"/>
        </w:rPr>
        <w:t>members.</w:t>
      </w:r>
      <w:r>
        <w:rPr>
          <w:spacing w:val="40"/>
          <w:sz w:val="18"/>
        </w:rPr>
        <w:t xml:space="preserve"> </w:t>
      </w:r>
      <w:r>
        <w:rPr>
          <w:sz w:val="18"/>
        </w:rPr>
        <w:t>All</w:t>
      </w:r>
      <w:r>
        <w:rPr>
          <w:spacing w:val="-1"/>
          <w:sz w:val="18"/>
        </w:rPr>
        <w:t xml:space="preserve"> </w:t>
      </w:r>
      <w:r>
        <w:rPr>
          <w:sz w:val="18"/>
        </w:rPr>
        <w:t>premiums</w:t>
      </w:r>
      <w:r>
        <w:rPr>
          <w:spacing w:val="-1"/>
          <w:sz w:val="18"/>
        </w:rPr>
        <w:t xml:space="preserve"> </w:t>
      </w:r>
      <w:r>
        <w:rPr>
          <w:sz w:val="18"/>
        </w:rPr>
        <w:t>are</w:t>
      </w:r>
      <w:r>
        <w:rPr>
          <w:spacing w:val="-4"/>
          <w:sz w:val="18"/>
        </w:rPr>
        <w:t xml:space="preserve"> </w:t>
      </w:r>
      <w:r>
        <w:rPr>
          <w:sz w:val="18"/>
        </w:rPr>
        <w:t>paid</w:t>
      </w:r>
      <w:r>
        <w:rPr>
          <w:spacing w:val="-1"/>
          <w:sz w:val="18"/>
        </w:rPr>
        <w:t xml:space="preserve"> </w:t>
      </w:r>
      <w:r>
        <w:rPr>
          <w:sz w:val="18"/>
        </w:rPr>
        <w:t>up</w:t>
      </w:r>
      <w:r>
        <w:rPr>
          <w:spacing w:val="-4"/>
          <w:sz w:val="18"/>
        </w:rPr>
        <w:t xml:space="preserve"> </w:t>
      </w:r>
      <w:r>
        <w:rPr>
          <w:sz w:val="18"/>
        </w:rPr>
        <w:t>front</w:t>
      </w:r>
      <w:r>
        <w:rPr>
          <w:spacing w:val="-2"/>
          <w:sz w:val="18"/>
        </w:rPr>
        <w:t xml:space="preserve"> </w:t>
      </w:r>
      <w:r>
        <w:rPr>
          <w:sz w:val="18"/>
        </w:rPr>
        <w:t>at</w:t>
      </w:r>
      <w:r>
        <w:rPr>
          <w:spacing w:val="-4"/>
          <w:sz w:val="18"/>
        </w:rPr>
        <w:t xml:space="preserve"> </w:t>
      </w:r>
      <w:r>
        <w:rPr>
          <w:sz w:val="18"/>
        </w:rPr>
        <w:t>the</w:t>
      </w:r>
      <w:r>
        <w:rPr>
          <w:spacing w:val="-4"/>
          <w:sz w:val="18"/>
        </w:rPr>
        <w:t xml:space="preserve"> </w:t>
      </w:r>
      <w:r>
        <w:rPr>
          <w:sz w:val="18"/>
        </w:rPr>
        <w:t>commencement</w:t>
      </w:r>
      <w:r>
        <w:rPr>
          <w:spacing w:val="-2"/>
          <w:sz w:val="18"/>
        </w:rPr>
        <w:t xml:space="preserve"> </w:t>
      </w:r>
      <w:r>
        <w:rPr>
          <w:sz w:val="18"/>
        </w:rPr>
        <w:t>of</w:t>
      </w:r>
      <w:r>
        <w:rPr>
          <w:spacing w:val="-4"/>
          <w:sz w:val="18"/>
        </w:rPr>
        <w:t xml:space="preserve"> </w:t>
      </w:r>
      <w:r>
        <w:rPr>
          <w:sz w:val="18"/>
        </w:rPr>
        <w:t>the</w:t>
      </w:r>
      <w:r>
        <w:rPr>
          <w:spacing w:val="-1"/>
          <w:sz w:val="18"/>
        </w:rPr>
        <w:t xml:space="preserve"> </w:t>
      </w:r>
      <w:r>
        <w:rPr>
          <w:sz w:val="18"/>
        </w:rPr>
        <w:t>period covered under the insurance policy.</w:t>
      </w:r>
    </w:p>
    <w:p w14:paraId="46CC5D39" w14:textId="77777777" w:rsidR="00AC6F3C" w:rsidRDefault="00AC6F3C">
      <w:pPr>
        <w:pStyle w:val="BodyText"/>
        <w:spacing w:before="10"/>
      </w:pPr>
    </w:p>
    <w:p w14:paraId="2921411B" w14:textId="77777777" w:rsidR="00AC6F3C" w:rsidRDefault="00570E88">
      <w:pPr>
        <w:ind w:left="958" w:right="966"/>
        <w:jc w:val="both"/>
        <w:rPr>
          <w:sz w:val="18"/>
        </w:rPr>
      </w:pPr>
      <w:r>
        <w:rPr>
          <w:sz w:val="18"/>
        </w:rPr>
        <w:t>Credit</w:t>
      </w:r>
      <w:r>
        <w:rPr>
          <w:spacing w:val="-1"/>
          <w:sz w:val="18"/>
        </w:rPr>
        <w:t xml:space="preserve"> </w:t>
      </w:r>
      <w:r>
        <w:rPr>
          <w:sz w:val="18"/>
        </w:rPr>
        <w:t>risk</w:t>
      </w:r>
      <w:r>
        <w:rPr>
          <w:spacing w:val="-2"/>
          <w:sz w:val="18"/>
        </w:rPr>
        <w:t xml:space="preserve"> </w:t>
      </w:r>
      <w:r>
        <w:rPr>
          <w:sz w:val="18"/>
        </w:rPr>
        <w:t>arising on</w:t>
      </w:r>
      <w:r>
        <w:rPr>
          <w:spacing w:val="-3"/>
          <w:sz w:val="18"/>
        </w:rPr>
        <w:t xml:space="preserve"> </w:t>
      </w:r>
      <w:r>
        <w:rPr>
          <w:sz w:val="18"/>
        </w:rPr>
        <w:t>funds placed with external fund</w:t>
      </w:r>
      <w:r>
        <w:rPr>
          <w:spacing w:val="-3"/>
          <w:sz w:val="18"/>
        </w:rPr>
        <w:t xml:space="preserve"> </w:t>
      </w:r>
      <w:r>
        <w:rPr>
          <w:sz w:val="18"/>
        </w:rPr>
        <w:t>managers and on reinsurance activities is</w:t>
      </w:r>
      <w:r>
        <w:rPr>
          <w:spacing w:val="-2"/>
          <w:sz w:val="18"/>
        </w:rPr>
        <w:t xml:space="preserve"> </w:t>
      </w:r>
      <w:r>
        <w:rPr>
          <w:sz w:val="18"/>
        </w:rPr>
        <w:t>managed by</w:t>
      </w:r>
      <w:r>
        <w:rPr>
          <w:spacing w:val="-2"/>
          <w:sz w:val="18"/>
        </w:rPr>
        <w:t xml:space="preserve"> </w:t>
      </w:r>
      <w:r>
        <w:rPr>
          <w:sz w:val="18"/>
        </w:rPr>
        <w:t>established</w:t>
      </w:r>
      <w:r>
        <w:rPr>
          <w:spacing w:val="-5"/>
          <w:sz w:val="18"/>
        </w:rPr>
        <w:t xml:space="preserve"> </w:t>
      </w:r>
      <w:r>
        <w:rPr>
          <w:sz w:val="18"/>
        </w:rPr>
        <w:t>policies</w:t>
      </w:r>
      <w:r>
        <w:rPr>
          <w:spacing w:val="-2"/>
          <w:sz w:val="18"/>
        </w:rPr>
        <w:t xml:space="preserve"> </w:t>
      </w:r>
      <w:r>
        <w:rPr>
          <w:sz w:val="18"/>
        </w:rPr>
        <w:t>to</w:t>
      </w:r>
      <w:r>
        <w:rPr>
          <w:spacing w:val="-5"/>
          <w:sz w:val="18"/>
        </w:rPr>
        <w:t xml:space="preserve"> </w:t>
      </w:r>
      <w:r>
        <w:rPr>
          <w:sz w:val="18"/>
        </w:rPr>
        <w:t>ensure</w:t>
      </w:r>
      <w:r>
        <w:rPr>
          <w:spacing w:val="-2"/>
          <w:sz w:val="18"/>
        </w:rPr>
        <w:t xml:space="preserve"> </w:t>
      </w:r>
      <w:r>
        <w:rPr>
          <w:sz w:val="18"/>
        </w:rPr>
        <w:t>that</w:t>
      </w:r>
      <w:r>
        <w:rPr>
          <w:spacing w:val="-5"/>
          <w:sz w:val="18"/>
        </w:rPr>
        <w:t xml:space="preserve"> </w:t>
      </w:r>
      <w:r>
        <w:rPr>
          <w:sz w:val="18"/>
        </w:rPr>
        <w:t>the</w:t>
      </w:r>
      <w:r>
        <w:rPr>
          <w:spacing w:val="-5"/>
          <w:sz w:val="18"/>
        </w:rPr>
        <w:t xml:space="preserve"> </w:t>
      </w:r>
      <w:r>
        <w:rPr>
          <w:sz w:val="18"/>
        </w:rPr>
        <w:t>counter-parties</w:t>
      </w:r>
      <w:r>
        <w:rPr>
          <w:spacing w:val="-4"/>
          <w:sz w:val="18"/>
        </w:rPr>
        <w:t xml:space="preserve"> </w:t>
      </w:r>
      <w:r>
        <w:rPr>
          <w:sz w:val="18"/>
        </w:rPr>
        <w:t>have</w:t>
      </w:r>
      <w:r>
        <w:rPr>
          <w:spacing w:val="-2"/>
          <w:sz w:val="18"/>
        </w:rPr>
        <w:t xml:space="preserve"> </w:t>
      </w:r>
      <w:r>
        <w:rPr>
          <w:sz w:val="18"/>
        </w:rPr>
        <w:t>adequate</w:t>
      </w:r>
      <w:r>
        <w:rPr>
          <w:spacing w:val="-2"/>
          <w:sz w:val="18"/>
        </w:rPr>
        <w:t xml:space="preserve"> </w:t>
      </w:r>
      <w:r>
        <w:rPr>
          <w:sz w:val="18"/>
        </w:rPr>
        <w:t>financial</w:t>
      </w:r>
      <w:r>
        <w:rPr>
          <w:spacing w:val="-2"/>
          <w:sz w:val="18"/>
        </w:rPr>
        <w:t xml:space="preserve"> </w:t>
      </w:r>
      <w:r>
        <w:rPr>
          <w:sz w:val="18"/>
        </w:rPr>
        <w:t>ratings</w:t>
      </w:r>
      <w:r>
        <w:rPr>
          <w:spacing w:val="-2"/>
          <w:sz w:val="18"/>
        </w:rPr>
        <w:t xml:space="preserve"> </w:t>
      </w:r>
      <w:r>
        <w:rPr>
          <w:sz w:val="18"/>
        </w:rPr>
        <w:t>and</w:t>
      </w:r>
      <w:r>
        <w:rPr>
          <w:spacing w:val="-2"/>
          <w:sz w:val="18"/>
        </w:rPr>
        <w:t xml:space="preserve"> </w:t>
      </w:r>
      <w:r>
        <w:rPr>
          <w:sz w:val="18"/>
        </w:rPr>
        <w:t>appropriate credit history.</w:t>
      </w:r>
    </w:p>
    <w:p w14:paraId="7BCB63C6" w14:textId="77777777" w:rsidR="00AC6F3C" w:rsidRDefault="00AC6F3C">
      <w:pPr>
        <w:jc w:val="both"/>
        <w:rPr>
          <w:sz w:val="18"/>
        </w:rPr>
        <w:sectPr w:rsidR="00AC6F3C">
          <w:pgSz w:w="11910" w:h="16840"/>
          <w:pgMar w:top="2020" w:right="1160" w:bottom="520" w:left="460" w:header="1228" w:footer="336" w:gutter="0"/>
          <w:cols w:space="720"/>
        </w:sectPr>
      </w:pPr>
    </w:p>
    <w:p w14:paraId="44BFA142" w14:textId="77777777" w:rsidR="00AC6F3C" w:rsidRDefault="00AC6F3C">
      <w:pPr>
        <w:pStyle w:val="BodyText"/>
      </w:pPr>
    </w:p>
    <w:p w14:paraId="069A4469" w14:textId="77777777" w:rsidR="00AC6F3C" w:rsidRDefault="00570E88">
      <w:pPr>
        <w:tabs>
          <w:tab w:val="left" w:pos="1666"/>
        </w:tabs>
        <w:spacing w:before="249" w:line="322" w:lineRule="exact"/>
        <w:ind w:left="958"/>
        <w:rPr>
          <w:b/>
          <w:sz w:val="28"/>
        </w:rPr>
      </w:pPr>
      <w:r>
        <w:rPr>
          <w:b/>
          <w:spacing w:val="-5"/>
          <w:sz w:val="28"/>
        </w:rPr>
        <w:t>D2</w:t>
      </w:r>
      <w:r>
        <w:rPr>
          <w:b/>
          <w:sz w:val="28"/>
        </w:rPr>
        <w:tab/>
        <w:t>MANAGEMENT</w:t>
      </w:r>
      <w:r>
        <w:rPr>
          <w:b/>
          <w:spacing w:val="-7"/>
          <w:sz w:val="28"/>
        </w:rPr>
        <w:t xml:space="preserve"> </w:t>
      </w:r>
      <w:r>
        <w:rPr>
          <w:b/>
          <w:sz w:val="28"/>
        </w:rPr>
        <w:t>OF</w:t>
      </w:r>
      <w:r>
        <w:rPr>
          <w:b/>
          <w:spacing w:val="-7"/>
          <w:sz w:val="28"/>
        </w:rPr>
        <w:t xml:space="preserve"> </w:t>
      </w:r>
      <w:r>
        <w:rPr>
          <w:b/>
          <w:sz w:val="28"/>
        </w:rPr>
        <w:t>INSURANCE</w:t>
      </w:r>
      <w:r>
        <w:rPr>
          <w:b/>
          <w:spacing w:val="-5"/>
          <w:sz w:val="28"/>
        </w:rPr>
        <w:t xml:space="preserve"> </w:t>
      </w:r>
      <w:r>
        <w:rPr>
          <w:b/>
          <w:sz w:val="28"/>
        </w:rPr>
        <w:t>AND</w:t>
      </w:r>
      <w:r>
        <w:rPr>
          <w:b/>
          <w:spacing w:val="-7"/>
          <w:sz w:val="28"/>
        </w:rPr>
        <w:t xml:space="preserve"> </w:t>
      </w:r>
      <w:r>
        <w:rPr>
          <w:b/>
          <w:sz w:val="28"/>
        </w:rPr>
        <w:t>FINANCIAL</w:t>
      </w:r>
      <w:r>
        <w:rPr>
          <w:b/>
          <w:spacing w:val="-6"/>
          <w:sz w:val="28"/>
        </w:rPr>
        <w:t xml:space="preserve"> </w:t>
      </w:r>
      <w:r>
        <w:rPr>
          <w:b/>
          <w:spacing w:val="-4"/>
          <w:sz w:val="28"/>
        </w:rPr>
        <w:t>RISK</w:t>
      </w:r>
    </w:p>
    <w:p w14:paraId="673F250B" w14:textId="77777777" w:rsidR="00AC6F3C" w:rsidRDefault="00570E88">
      <w:pPr>
        <w:spacing w:line="322" w:lineRule="exact"/>
        <w:ind w:left="1666"/>
        <w:rPr>
          <w:b/>
          <w:sz w:val="28"/>
        </w:rPr>
      </w:pPr>
      <w:r>
        <w:rPr>
          <w:b/>
          <w:spacing w:val="-2"/>
          <w:sz w:val="28"/>
        </w:rPr>
        <w:t>(continued)</w:t>
      </w:r>
    </w:p>
    <w:p w14:paraId="7C7CF9F9" w14:textId="77777777" w:rsidR="00AC6F3C" w:rsidRDefault="00570E88">
      <w:pPr>
        <w:pStyle w:val="Heading6"/>
      </w:pPr>
      <w:r>
        <w:t>D2-4</w:t>
      </w:r>
      <w:r>
        <w:rPr>
          <w:spacing w:val="23"/>
        </w:rPr>
        <w:t xml:space="preserve">  </w:t>
      </w:r>
      <w:r>
        <w:t>FINANCIAL</w:t>
      </w:r>
      <w:r>
        <w:rPr>
          <w:spacing w:val="-1"/>
        </w:rPr>
        <w:t xml:space="preserve"> </w:t>
      </w:r>
      <w:r>
        <w:t>INSTRUMENTS</w:t>
      </w:r>
      <w:r>
        <w:rPr>
          <w:spacing w:val="-1"/>
        </w:rPr>
        <w:t xml:space="preserve"> </w:t>
      </w:r>
      <w:r>
        <w:t>AND</w:t>
      </w:r>
      <w:r>
        <w:rPr>
          <w:spacing w:val="-3"/>
        </w:rPr>
        <w:t xml:space="preserve"> </w:t>
      </w:r>
      <w:r>
        <w:t>FINANCIAL</w:t>
      </w:r>
      <w:r>
        <w:rPr>
          <w:spacing w:val="-2"/>
        </w:rPr>
        <w:t xml:space="preserve"> </w:t>
      </w:r>
      <w:r>
        <w:t>RISK</w:t>
      </w:r>
      <w:r>
        <w:rPr>
          <w:spacing w:val="-2"/>
        </w:rPr>
        <w:t xml:space="preserve"> MANAGEMENT</w:t>
      </w:r>
    </w:p>
    <w:p w14:paraId="618EC3A2" w14:textId="77777777" w:rsidR="00AC6F3C" w:rsidRDefault="00570E88">
      <w:pPr>
        <w:pStyle w:val="Heading7"/>
        <w:spacing w:before="0"/>
        <w:ind w:left="1666"/>
      </w:pPr>
      <w:r>
        <w:rPr>
          <w:spacing w:val="-2"/>
        </w:rPr>
        <w:t>(continued)</w:t>
      </w:r>
    </w:p>
    <w:p w14:paraId="3CF4198F" w14:textId="77777777" w:rsidR="00AC6F3C" w:rsidRDefault="00AC6F3C">
      <w:pPr>
        <w:pStyle w:val="BodyText"/>
        <w:spacing w:before="9"/>
        <w:rPr>
          <w:b/>
        </w:rPr>
      </w:pPr>
    </w:p>
    <w:p w14:paraId="7B855884" w14:textId="77777777" w:rsidR="00AC6F3C" w:rsidRDefault="00570E88">
      <w:pPr>
        <w:numPr>
          <w:ilvl w:val="0"/>
          <w:numId w:val="24"/>
        </w:numPr>
        <w:tabs>
          <w:tab w:val="left" w:pos="1478"/>
        </w:tabs>
        <w:ind w:hanging="520"/>
        <w:rPr>
          <w:b/>
          <w:sz w:val="20"/>
        </w:rPr>
      </w:pPr>
      <w:r>
        <w:rPr>
          <w:b/>
          <w:sz w:val="20"/>
        </w:rPr>
        <w:t>Credit</w:t>
      </w:r>
      <w:r>
        <w:rPr>
          <w:b/>
          <w:spacing w:val="-6"/>
          <w:sz w:val="20"/>
        </w:rPr>
        <w:t xml:space="preserve"> </w:t>
      </w:r>
      <w:r>
        <w:rPr>
          <w:b/>
          <w:sz w:val="20"/>
        </w:rPr>
        <w:t>risk</w:t>
      </w:r>
      <w:r>
        <w:rPr>
          <w:b/>
          <w:spacing w:val="-6"/>
          <w:sz w:val="20"/>
        </w:rPr>
        <w:t xml:space="preserve"> </w:t>
      </w:r>
      <w:r>
        <w:rPr>
          <w:b/>
          <w:spacing w:val="-2"/>
          <w:sz w:val="20"/>
        </w:rPr>
        <w:t>(continued)</w:t>
      </w:r>
    </w:p>
    <w:p w14:paraId="45A1AA6D" w14:textId="77777777" w:rsidR="00AC6F3C" w:rsidRDefault="00AC6F3C">
      <w:pPr>
        <w:pStyle w:val="BodyText"/>
        <w:spacing w:before="9"/>
        <w:rPr>
          <w:b/>
        </w:rPr>
      </w:pPr>
    </w:p>
    <w:p w14:paraId="6613F5C8" w14:textId="77777777" w:rsidR="00AC6F3C" w:rsidRDefault="00570E88">
      <w:pPr>
        <w:pStyle w:val="ListParagraph"/>
        <w:numPr>
          <w:ilvl w:val="1"/>
          <w:numId w:val="24"/>
        </w:numPr>
        <w:tabs>
          <w:tab w:val="left" w:pos="1524"/>
        </w:tabs>
        <w:spacing w:before="1"/>
        <w:ind w:hanging="566"/>
        <w:rPr>
          <w:b/>
          <w:sz w:val="18"/>
        </w:rPr>
      </w:pPr>
      <w:r>
        <w:rPr>
          <w:b/>
          <w:sz w:val="18"/>
        </w:rPr>
        <w:t>Financial</w:t>
      </w:r>
      <w:r>
        <w:rPr>
          <w:b/>
          <w:spacing w:val="-2"/>
          <w:sz w:val="18"/>
        </w:rPr>
        <w:t xml:space="preserve"> </w:t>
      </w:r>
      <w:r>
        <w:rPr>
          <w:b/>
          <w:sz w:val="18"/>
        </w:rPr>
        <w:t>assets</w:t>
      </w:r>
      <w:r>
        <w:rPr>
          <w:b/>
          <w:spacing w:val="-3"/>
          <w:sz w:val="18"/>
        </w:rPr>
        <w:t xml:space="preserve"> </w:t>
      </w:r>
      <w:r>
        <w:rPr>
          <w:b/>
          <w:sz w:val="18"/>
        </w:rPr>
        <w:t>that</w:t>
      </w:r>
      <w:r>
        <w:rPr>
          <w:b/>
          <w:spacing w:val="-4"/>
          <w:sz w:val="18"/>
        </w:rPr>
        <w:t xml:space="preserve"> </w:t>
      </w:r>
      <w:r>
        <w:rPr>
          <w:b/>
          <w:sz w:val="18"/>
        </w:rPr>
        <w:t>are neither</w:t>
      </w:r>
      <w:r>
        <w:rPr>
          <w:b/>
          <w:spacing w:val="-2"/>
          <w:sz w:val="18"/>
        </w:rPr>
        <w:t xml:space="preserve"> </w:t>
      </w:r>
      <w:r>
        <w:rPr>
          <w:b/>
          <w:sz w:val="18"/>
        </w:rPr>
        <w:t>past</w:t>
      </w:r>
      <w:r>
        <w:rPr>
          <w:b/>
          <w:spacing w:val="-4"/>
          <w:sz w:val="18"/>
        </w:rPr>
        <w:t xml:space="preserve"> </w:t>
      </w:r>
      <w:r>
        <w:rPr>
          <w:b/>
          <w:sz w:val="18"/>
        </w:rPr>
        <w:t>due nor</w:t>
      </w:r>
      <w:r>
        <w:rPr>
          <w:b/>
          <w:spacing w:val="-2"/>
          <w:sz w:val="18"/>
        </w:rPr>
        <w:t xml:space="preserve"> impaired</w:t>
      </w:r>
    </w:p>
    <w:p w14:paraId="26C8DFDC" w14:textId="77777777" w:rsidR="00AC6F3C" w:rsidRDefault="00AC6F3C">
      <w:pPr>
        <w:pStyle w:val="BodyText"/>
        <w:spacing w:before="9"/>
        <w:rPr>
          <w:b/>
        </w:rPr>
      </w:pPr>
    </w:p>
    <w:p w14:paraId="0340CB79" w14:textId="77777777" w:rsidR="00AC6F3C" w:rsidRDefault="00570E88">
      <w:pPr>
        <w:ind w:left="1524" w:right="990"/>
        <w:rPr>
          <w:sz w:val="18"/>
        </w:rPr>
      </w:pPr>
      <w:r>
        <w:rPr>
          <w:sz w:val="18"/>
        </w:rPr>
        <w:t>At</w:t>
      </w:r>
      <w:r>
        <w:rPr>
          <w:spacing w:val="-2"/>
          <w:sz w:val="18"/>
        </w:rPr>
        <w:t xml:space="preserve"> </w:t>
      </w:r>
      <w:r>
        <w:rPr>
          <w:sz w:val="18"/>
        </w:rPr>
        <w:t>balance</w:t>
      </w:r>
      <w:r>
        <w:rPr>
          <w:spacing w:val="-1"/>
          <w:sz w:val="18"/>
        </w:rPr>
        <w:t xml:space="preserve"> </w:t>
      </w:r>
      <w:r>
        <w:rPr>
          <w:sz w:val="18"/>
        </w:rPr>
        <w:t>date</w:t>
      </w:r>
      <w:r>
        <w:rPr>
          <w:spacing w:val="-1"/>
          <w:sz w:val="18"/>
        </w:rPr>
        <w:t xml:space="preserve"> </w:t>
      </w:r>
      <w:r>
        <w:rPr>
          <w:sz w:val="18"/>
        </w:rPr>
        <w:t>no</w:t>
      </w:r>
      <w:r>
        <w:rPr>
          <w:spacing w:val="-4"/>
          <w:sz w:val="18"/>
        </w:rPr>
        <w:t xml:space="preserve"> </w:t>
      </w:r>
      <w:r>
        <w:rPr>
          <w:sz w:val="18"/>
        </w:rPr>
        <w:t>financial</w:t>
      </w:r>
      <w:r>
        <w:rPr>
          <w:spacing w:val="-4"/>
          <w:sz w:val="18"/>
        </w:rPr>
        <w:t xml:space="preserve"> </w:t>
      </w:r>
      <w:r>
        <w:rPr>
          <w:sz w:val="18"/>
        </w:rPr>
        <w:t>assets</w:t>
      </w:r>
      <w:r>
        <w:rPr>
          <w:spacing w:val="-3"/>
          <w:sz w:val="18"/>
        </w:rPr>
        <w:t xml:space="preserve"> </w:t>
      </w:r>
      <w:r>
        <w:rPr>
          <w:sz w:val="18"/>
        </w:rPr>
        <w:t>are</w:t>
      </w:r>
      <w:r>
        <w:rPr>
          <w:spacing w:val="-4"/>
          <w:sz w:val="18"/>
        </w:rPr>
        <w:t xml:space="preserve"> </w:t>
      </w:r>
      <w:r>
        <w:rPr>
          <w:sz w:val="18"/>
        </w:rPr>
        <w:t>past</w:t>
      </w:r>
      <w:r>
        <w:rPr>
          <w:spacing w:val="-2"/>
          <w:sz w:val="18"/>
        </w:rPr>
        <w:t xml:space="preserve"> </w:t>
      </w:r>
      <w:r>
        <w:rPr>
          <w:sz w:val="18"/>
        </w:rPr>
        <w:t>due</w:t>
      </w:r>
      <w:r>
        <w:rPr>
          <w:spacing w:val="-1"/>
          <w:sz w:val="18"/>
        </w:rPr>
        <w:t xml:space="preserve"> </w:t>
      </w:r>
      <w:r>
        <w:rPr>
          <w:sz w:val="18"/>
        </w:rPr>
        <w:t>nor</w:t>
      </w:r>
      <w:r>
        <w:rPr>
          <w:spacing w:val="-4"/>
          <w:sz w:val="18"/>
        </w:rPr>
        <w:t xml:space="preserve"> </w:t>
      </w:r>
      <w:r>
        <w:rPr>
          <w:sz w:val="18"/>
        </w:rPr>
        <w:t>impaired</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trade</w:t>
      </w:r>
      <w:r>
        <w:rPr>
          <w:spacing w:val="-1"/>
          <w:sz w:val="18"/>
        </w:rPr>
        <w:t xml:space="preserve"> </w:t>
      </w:r>
      <w:r>
        <w:rPr>
          <w:sz w:val="18"/>
        </w:rPr>
        <w:t>receivables</w:t>
      </w:r>
      <w:r>
        <w:rPr>
          <w:spacing w:val="-3"/>
          <w:sz w:val="18"/>
        </w:rPr>
        <w:t xml:space="preserve"> </w:t>
      </w:r>
      <w:r>
        <w:rPr>
          <w:sz w:val="18"/>
        </w:rPr>
        <w:t xml:space="preserve">noted </w:t>
      </w:r>
      <w:r>
        <w:rPr>
          <w:spacing w:val="-2"/>
          <w:sz w:val="18"/>
        </w:rPr>
        <w:t>below.</w:t>
      </w:r>
    </w:p>
    <w:p w14:paraId="67CA9E8C" w14:textId="77777777" w:rsidR="00AC6F3C" w:rsidRDefault="00570E88">
      <w:pPr>
        <w:spacing w:before="1"/>
        <w:ind w:left="1524" w:right="990"/>
        <w:rPr>
          <w:sz w:val="18"/>
        </w:rPr>
      </w:pPr>
      <w:r>
        <w:rPr>
          <w:sz w:val="18"/>
        </w:rPr>
        <w:t>Cash</w:t>
      </w:r>
      <w:r>
        <w:rPr>
          <w:spacing w:val="-1"/>
          <w:sz w:val="18"/>
        </w:rPr>
        <w:t xml:space="preserve"> </w:t>
      </w:r>
      <w:r>
        <w:rPr>
          <w:sz w:val="18"/>
        </w:rPr>
        <w:t>and</w:t>
      </w:r>
      <w:r>
        <w:rPr>
          <w:spacing w:val="-4"/>
          <w:sz w:val="18"/>
        </w:rPr>
        <w:t xml:space="preserve"> </w:t>
      </w:r>
      <w:r>
        <w:rPr>
          <w:sz w:val="18"/>
        </w:rPr>
        <w:t>cash</w:t>
      </w:r>
      <w:r>
        <w:rPr>
          <w:spacing w:val="-1"/>
          <w:sz w:val="18"/>
        </w:rPr>
        <w:t xml:space="preserve"> </w:t>
      </w:r>
      <w:r>
        <w:rPr>
          <w:sz w:val="18"/>
        </w:rPr>
        <w:t>equivalents</w:t>
      </w:r>
      <w:r>
        <w:rPr>
          <w:spacing w:val="-3"/>
          <w:sz w:val="18"/>
        </w:rPr>
        <w:t xml:space="preserve"> </w:t>
      </w:r>
      <w:r>
        <w:rPr>
          <w:sz w:val="18"/>
        </w:rPr>
        <w:t>that</w:t>
      </w:r>
      <w:r>
        <w:rPr>
          <w:spacing w:val="-2"/>
          <w:sz w:val="18"/>
        </w:rPr>
        <w:t xml:space="preserve"> </w:t>
      </w:r>
      <w:r>
        <w:rPr>
          <w:sz w:val="18"/>
        </w:rPr>
        <w:t>are</w:t>
      </w:r>
      <w:r>
        <w:rPr>
          <w:spacing w:val="-4"/>
          <w:sz w:val="18"/>
        </w:rPr>
        <w:t xml:space="preserve"> </w:t>
      </w:r>
      <w:r>
        <w:rPr>
          <w:sz w:val="18"/>
        </w:rPr>
        <w:t>neither</w:t>
      </w:r>
      <w:r>
        <w:rPr>
          <w:spacing w:val="-2"/>
          <w:sz w:val="18"/>
        </w:rPr>
        <w:t xml:space="preserve"> </w:t>
      </w:r>
      <w:r>
        <w:rPr>
          <w:sz w:val="18"/>
        </w:rPr>
        <w:t>past</w:t>
      </w:r>
      <w:r>
        <w:rPr>
          <w:spacing w:val="-4"/>
          <w:sz w:val="18"/>
        </w:rPr>
        <w:t xml:space="preserve"> </w:t>
      </w:r>
      <w:r>
        <w:rPr>
          <w:sz w:val="18"/>
        </w:rPr>
        <w:t>due</w:t>
      </w:r>
      <w:r>
        <w:rPr>
          <w:spacing w:val="-4"/>
          <w:sz w:val="18"/>
        </w:rPr>
        <w:t xml:space="preserve"> </w:t>
      </w:r>
      <w:r>
        <w:rPr>
          <w:sz w:val="18"/>
        </w:rPr>
        <w:t>nor</w:t>
      </w:r>
      <w:r>
        <w:rPr>
          <w:spacing w:val="-4"/>
          <w:sz w:val="18"/>
        </w:rPr>
        <w:t xml:space="preserve"> </w:t>
      </w:r>
      <w:r>
        <w:rPr>
          <w:sz w:val="18"/>
        </w:rPr>
        <w:t>impaired</w:t>
      </w:r>
      <w:r>
        <w:rPr>
          <w:spacing w:val="-4"/>
          <w:sz w:val="18"/>
        </w:rPr>
        <w:t xml:space="preserve"> </w:t>
      </w:r>
      <w:r>
        <w:rPr>
          <w:sz w:val="18"/>
        </w:rPr>
        <w:t>are</w:t>
      </w:r>
      <w:r>
        <w:rPr>
          <w:spacing w:val="-1"/>
          <w:sz w:val="18"/>
        </w:rPr>
        <w:t xml:space="preserve"> </w:t>
      </w:r>
      <w:r>
        <w:rPr>
          <w:sz w:val="18"/>
        </w:rPr>
        <w:t>placed</w:t>
      </w:r>
      <w:r>
        <w:rPr>
          <w:spacing w:val="-1"/>
          <w:sz w:val="18"/>
        </w:rPr>
        <w:t xml:space="preserve"> </w:t>
      </w:r>
      <w:r>
        <w:rPr>
          <w:sz w:val="18"/>
        </w:rPr>
        <w:t>with</w:t>
      </w:r>
      <w:r>
        <w:rPr>
          <w:spacing w:val="-1"/>
          <w:sz w:val="18"/>
        </w:rPr>
        <w:t xml:space="preserve"> </w:t>
      </w:r>
      <w:r>
        <w:rPr>
          <w:sz w:val="18"/>
        </w:rPr>
        <w:t>reputable financial institutions with high credit ratings and no history of default.</w:t>
      </w:r>
    </w:p>
    <w:p w14:paraId="6331468A" w14:textId="77777777" w:rsidR="00AC6F3C" w:rsidRDefault="00570E88">
      <w:pPr>
        <w:spacing w:before="119"/>
        <w:ind w:left="1524" w:right="468" w:hanging="1"/>
        <w:rPr>
          <w:sz w:val="18"/>
        </w:rPr>
      </w:pPr>
      <w:r>
        <w:rPr>
          <w:sz w:val="18"/>
        </w:rPr>
        <w:t>Investments</w:t>
      </w:r>
      <w:r>
        <w:rPr>
          <w:spacing w:val="-1"/>
          <w:sz w:val="18"/>
        </w:rPr>
        <w:t xml:space="preserve"> </w:t>
      </w:r>
      <w:r>
        <w:rPr>
          <w:sz w:val="18"/>
        </w:rPr>
        <w:t>at</w:t>
      </w:r>
      <w:r>
        <w:rPr>
          <w:spacing w:val="-4"/>
          <w:sz w:val="18"/>
        </w:rPr>
        <w:t xml:space="preserve"> </w:t>
      </w:r>
      <w:r>
        <w:rPr>
          <w:sz w:val="18"/>
        </w:rPr>
        <w:t>fair</w:t>
      </w:r>
      <w:r>
        <w:rPr>
          <w:spacing w:val="-4"/>
          <w:sz w:val="18"/>
        </w:rPr>
        <w:t xml:space="preserve"> </w:t>
      </w:r>
      <w:r>
        <w:rPr>
          <w:sz w:val="18"/>
        </w:rPr>
        <w:t>value</w:t>
      </w:r>
      <w:r>
        <w:rPr>
          <w:spacing w:val="-1"/>
          <w:sz w:val="18"/>
        </w:rPr>
        <w:t xml:space="preserve"> </w:t>
      </w:r>
      <w:r>
        <w:rPr>
          <w:sz w:val="18"/>
        </w:rPr>
        <w:t>through</w:t>
      </w:r>
      <w:r>
        <w:rPr>
          <w:spacing w:val="-2"/>
          <w:sz w:val="18"/>
        </w:rPr>
        <w:t xml:space="preserve"> </w:t>
      </w:r>
      <w:r>
        <w:rPr>
          <w:sz w:val="18"/>
        </w:rPr>
        <w:t>profit</w:t>
      </w:r>
      <w:r>
        <w:rPr>
          <w:spacing w:val="-2"/>
          <w:sz w:val="18"/>
        </w:rPr>
        <w:t xml:space="preserve"> </w:t>
      </w:r>
      <w:r>
        <w:rPr>
          <w:sz w:val="18"/>
        </w:rPr>
        <w:t>or</w:t>
      </w:r>
      <w:r>
        <w:rPr>
          <w:spacing w:val="-4"/>
          <w:sz w:val="18"/>
        </w:rPr>
        <w:t xml:space="preserve"> </w:t>
      </w:r>
      <w:r>
        <w:rPr>
          <w:sz w:val="18"/>
        </w:rPr>
        <w:t>loss</w:t>
      </w:r>
      <w:r>
        <w:rPr>
          <w:spacing w:val="-3"/>
          <w:sz w:val="18"/>
        </w:rPr>
        <w:t xml:space="preserve"> </w:t>
      </w:r>
      <w:r>
        <w:rPr>
          <w:sz w:val="18"/>
        </w:rPr>
        <w:t>are</w:t>
      </w:r>
      <w:r>
        <w:rPr>
          <w:spacing w:val="-1"/>
          <w:sz w:val="18"/>
        </w:rPr>
        <w:t xml:space="preserve"> </w:t>
      </w:r>
      <w:r>
        <w:rPr>
          <w:sz w:val="18"/>
        </w:rPr>
        <w:t>redeemable</w:t>
      </w:r>
      <w:r>
        <w:rPr>
          <w:spacing w:val="-1"/>
          <w:sz w:val="18"/>
        </w:rPr>
        <w:t xml:space="preserve"> </w:t>
      </w:r>
      <w:r>
        <w:rPr>
          <w:sz w:val="18"/>
        </w:rPr>
        <w:t>on</w:t>
      </w:r>
      <w:r>
        <w:rPr>
          <w:spacing w:val="-1"/>
          <w:sz w:val="18"/>
        </w:rPr>
        <w:t xml:space="preserve"> </w:t>
      </w:r>
      <w:r>
        <w:rPr>
          <w:sz w:val="18"/>
        </w:rPr>
        <w:t>demand.</w:t>
      </w:r>
      <w:r>
        <w:rPr>
          <w:spacing w:val="40"/>
          <w:sz w:val="18"/>
        </w:rPr>
        <w:t xml:space="preserve"> </w:t>
      </w:r>
      <w:r>
        <w:rPr>
          <w:sz w:val="18"/>
        </w:rPr>
        <w:t>These</w:t>
      </w:r>
      <w:r>
        <w:rPr>
          <w:spacing w:val="-4"/>
          <w:sz w:val="18"/>
        </w:rPr>
        <w:t xml:space="preserve"> </w:t>
      </w:r>
      <w:r>
        <w:rPr>
          <w:sz w:val="18"/>
        </w:rPr>
        <w:t>are</w:t>
      </w:r>
      <w:r>
        <w:rPr>
          <w:spacing w:val="-1"/>
          <w:sz w:val="18"/>
        </w:rPr>
        <w:t xml:space="preserve"> </w:t>
      </w:r>
      <w:r>
        <w:rPr>
          <w:sz w:val="18"/>
        </w:rPr>
        <w:t>placed</w:t>
      </w:r>
      <w:r>
        <w:rPr>
          <w:spacing w:val="-1"/>
          <w:sz w:val="18"/>
        </w:rPr>
        <w:t xml:space="preserve"> </w:t>
      </w:r>
      <w:r>
        <w:rPr>
          <w:sz w:val="18"/>
        </w:rPr>
        <w:t>with reputable fund managers.</w:t>
      </w:r>
    </w:p>
    <w:p w14:paraId="746BF944" w14:textId="77777777" w:rsidR="00AC6F3C" w:rsidRDefault="00570E88">
      <w:pPr>
        <w:spacing w:before="121"/>
        <w:ind w:left="1524" w:right="913"/>
        <w:jc w:val="both"/>
        <w:rPr>
          <w:sz w:val="18"/>
        </w:rPr>
      </w:pPr>
      <w:r>
        <w:rPr>
          <w:sz w:val="18"/>
        </w:rPr>
        <w:t>No</w:t>
      </w:r>
      <w:r>
        <w:rPr>
          <w:spacing w:val="-1"/>
          <w:sz w:val="18"/>
        </w:rPr>
        <w:t xml:space="preserve"> </w:t>
      </w:r>
      <w:r>
        <w:rPr>
          <w:sz w:val="18"/>
        </w:rPr>
        <w:t>insurance</w:t>
      </w:r>
      <w:r>
        <w:rPr>
          <w:spacing w:val="-1"/>
          <w:sz w:val="18"/>
        </w:rPr>
        <w:t xml:space="preserve"> </w:t>
      </w:r>
      <w:r>
        <w:rPr>
          <w:sz w:val="18"/>
        </w:rPr>
        <w:t>recoveries</w:t>
      </w:r>
      <w:r>
        <w:rPr>
          <w:spacing w:val="-3"/>
          <w:sz w:val="18"/>
        </w:rPr>
        <w:t xml:space="preserve"> </w:t>
      </w:r>
      <w:r>
        <w:rPr>
          <w:sz w:val="18"/>
        </w:rPr>
        <w:t>are</w:t>
      </w:r>
      <w:r>
        <w:rPr>
          <w:spacing w:val="-1"/>
          <w:sz w:val="18"/>
        </w:rPr>
        <w:t xml:space="preserve"> </w:t>
      </w:r>
      <w:r>
        <w:rPr>
          <w:sz w:val="18"/>
        </w:rPr>
        <w:t>past</w:t>
      </w:r>
      <w:r>
        <w:rPr>
          <w:spacing w:val="-2"/>
          <w:sz w:val="18"/>
        </w:rPr>
        <w:t xml:space="preserve"> </w:t>
      </w:r>
      <w:r>
        <w:rPr>
          <w:sz w:val="18"/>
        </w:rPr>
        <w:t>due.</w:t>
      </w:r>
      <w:r>
        <w:rPr>
          <w:spacing w:val="40"/>
          <w:sz w:val="18"/>
        </w:rPr>
        <w:t xml:space="preserve"> </w:t>
      </w:r>
      <w:r>
        <w:rPr>
          <w:sz w:val="18"/>
        </w:rPr>
        <w:t>All</w:t>
      </w:r>
      <w:r>
        <w:rPr>
          <w:spacing w:val="-1"/>
          <w:sz w:val="18"/>
        </w:rPr>
        <w:t xml:space="preserve"> </w:t>
      </w:r>
      <w:r>
        <w:rPr>
          <w:sz w:val="18"/>
        </w:rPr>
        <w:t>reinsurance</w:t>
      </w:r>
      <w:r>
        <w:rPr>
          <w:spacing w:val="-4"/>
          <w:sz w:val="18"/>
        </w:rPr>
        <w:t xml:space="preserve"> </w:t>
      </w:r>
      <w:r>
        <w:rPr>
          <w:sz w:val="18"/>
        </w:rPr>
        <w:t>contracts</w:t>
      </w:r>
      <w:r>
        <w:rPr>
          <w:spacing w:val="-3"/>
          <w:sz w:val="18"/>
        </w:rPr>
        <w:t xml:space="preserve"> </w:t>
      </w:r>
      <w:r>
        <w:rPr>
          <w:sz w:val="18"/>
        </w:rPr>
        <w:t>are</w:t>
      </w:r>
      <w:r>
        <w:rPr>
          <w:spacing w:val="-4"/>
          <w:sz w:val="18"/>
        </w:rPr>
        <w:t xml:space="preserve"> </w:t>
      </w:r>
      <w:r>
        <w:rPr>
          <w:sz w:val="18"/>
        </w:rPr>
        <w:t>placed</w:t>
      </w:r>
      <w:r>
        <w:rPr>
          <w:spacing w:val="-4"/>
          <w:sz w:val="18"/>
        </w:rPr>
        <w:t xml:space="preserve"> </w:t>
      </w:r>
      <w:r>
        <w:rPr>
          <w:sz w:val="18"/>
        </w:rPr>
        <w:t>in</w:t>
      </w:r>
      <w:r>
        <w:rPr>
          <w:spacing w:val="-4"/>
          <w:sz w:val="18"/>
        </w:rPr>
        <w:t xml:space="preserve"> </w:t>
      </w:r>
      <w:r>
        <w:rPr>
          <w:sz w:val="18"/>
        </w:rPr>
        <w:t>accordance</w:t>
      </w:r>
      <w:r>
        <w:rPr>
          <w:spacing w:val="-6"/>
          <w:sz w:val="18"/>
        </w:rPr>
        <w:t xml:space="preserve"> </w:t>
      </w:r>
      <w:r>
        <w:rPr>
          <w:sz w:val="18"/>
        </w:rPr>
        <w:t>with</w:t>
      </w:r>
      <w:r>
        <w:rPr>
          <w:spacing w:val="-1"/>
          <w:sz w:val="18"/>
        </w:rPr>
        <w:t xml:space="preserve"> </w:t>
      </w:r>
      <w:r>
        <w:rPr>
          <w:sz w:val="18"/>
        </w:rPr>
        <w:t>the Group’s</w:t>
      </w:r>
      <w:r>
        <w:rPr>
          <w:spacing w:val="-3"/>
          <w:sz w:val="18"/>
        </w:rPr>
        <w:t xml:space="preserve"> </w:t>
      </w:r>
      <w:r>
        <w:rPr>
          <w:sz w:val="18"/>
        </w:rPr>
        <w:t>reinsurance</w:t>
      </w:r>
      <w:r>
        <w:rPr>
          <w:spacing w:val="-1"/>
          <w:sz w:val="18"/>
        </w:rPr>
        <w:t xml:space="preserve"> </w:t>
      </w:r>
      <w:r>
        <w:rPr>
          <w:sz w:val="18"/>
        </w:rPr>
        <w:t>policy</w:t>
      </w:r>
      <w:r>
        <w:rPr>
          <w:spacing w:val="-1"/>
          <w:sz w:val="18"/>
        </w:rPr>
        <w:t xml:space="preserve"> </w:t>
      </w:r>
      <w:r>
        <w:rPr>
          <w:sz w:val="18"/>
        </w:rPr>
        <w:t>which</w:t>
      </w:r>
      <w:r>
        <w:rPr>
          <w:spacing w:val="-1"/>
          <w:sz w:val="18"/>
        </w:rPr>
        <w:t xml:space="preserve"> </w:t>
      </w:r>
      <w:r>
        <w:rPr>
          <w:sz w:val="18"/>
        </w:rPr>
        <w:t>ensures</w:t>
      </w:r>
      <w:r>
        <w:rPr>
          <w:spacing w:val="-3"/>
          <w:sz w:val="18"/>
        </w:rPr>
        <w:t xml:space="preserve"> </w:t>
      </w:r>
      <w:r>
        <w:rPr>
          <w:sz w:val="18"/>
        </w:rPr>
        <w:t>appropriate</w:t>
      </w:r>
      <w:r>
        <w:rPr>
          <w:spacing w:val="-1"/>
          <w:sz w:val="18"/>
        </w:rPr>
        <w:t xml:space="preserve"> </w:t>
      </w:r>
      <w:r>
        <w:rPr>
          <w:sz w:val="18"/>
        </w:rPr>
        <w:t>credit</w:t>
      </w:r>
      <w:r>
        <w:rPr>
          <w:spacing w:val="-2"/>
          <w:sz w:val="18"/>
        </w:rPr>
        <w:t xml:space="preserve"> </w:t>
      </w:r>
      <w:r>
        <w:rPr>
          <w:sz w:val="18"/>
        </w:rPr>
        <w:t>rating</w:t>
      </w:r>
      <w:r>
        <w:rPr>
          <w:spacing w:val="-4"/>
          <w:sz w:val="18"/>
        </w:rPr>
        <w:t xml:space="preserve"> </w:t>
      </w:r>
      <w:r>
        <w:rPr>
          <w:sz w:val="18"/>
        </w:rPr>
        <w:t>of</w:t>
      </w:r>
      <w:r>
        <w:rPr>
          <w:spacing w:val="-2"/>
          <w:sz w:val="18"/>
        </w:rPr>
        <w:t xml:space="preserve"> </w:t>
      </w:r>
      <w:r>
        <w:rPr>
          <w:sz w:val="18"/>
        </w:rPr>
        <w:t>individual</w:t>
      </w:r>
      <w:r>
        <w:rPr>
          <w:spacing w:val="-4"/>
          <w:sz w:val="18"/>
        </w:rPr>
        <w:t xml:space="preserve"> </w:t>
      </w:r>
      <w:r>
        <w:rPr>
          <w:sz w:val="18"/>
        </w:rPr>
        <w:t>reinsurers</w:t>
      </w:r>
      <w:r>
        <w:rPr>
          <w:spacing w:val="-3"/>
          <w:sz w:val="18"/>
        </w:rPr>
        <w:t xml:space="preserve"> </w:t>
      </w:r>
      <w:r>
        <w:rPr>
          <w:sz w:val="18"/>
        </w:rPr>
        <w:t>and</w:t>
      </w:r>
      <w:r>
        <w:rPr>
          <w:spacing w:val="-2"/>
          <w:sz w:val="18"/>
        </w:rPr>
        <w:t xml:space="preserve"> </w:t>
      </w:r>
      <w:r>
        <w:rPr>
          <w:sz w:val="18"/>
        </w:rPr>
        <w:t>that concentration risk is reduced to acceptable levels.</w:t>
      </w:r>
    </w:p>
    <w:p w14:paraId="6D469D70" w14:textId="77777777" w:rsidR="00AC6F3C" w:rsidRDefault="00AC6F3C">
      <w:pPr>
        <w:pStyle w:val="BodyText"/>
        <w:spacing w:before="8"/>
      </w:pPr>
    </w:p>
    <w:p w14:paraId="4912B5B7" w14:textId="77777777" w:rsidR="00AC6F3C" w:rsidRDefault="00570E88">
      <w:pPr>
        <w:pStyle w:val="ListParagraph"/>
        <w:numPr>
          <w:ilvl w:val="1"/>
          <w:numId w:val="24"/>
        </w:numPr>
        <w:tabs>
          <w:tab w:val="left" w:pos="1525"/>
        </w:tabs>
        <w:spacing w:before="0"/>
        <w:ind w:left="1525"/>
        <w:rPr>
          <w:b/>
          <w:sz w:val="18"/>
        </w:rPr>
      </w:pPr>
      <w:r>
        <w:rPr>
          <w:b/>
          <w:sz w:val="18"/>
        </w:rPr>
        <w:t>Financial</w:t>
      </w:r>
      <w:r>
        <w:rPr>
          <w:b/>
          <w:spacing w:val="-2"/>
          <w:sz w:val="18"/>
        </w:rPr>
        <w:t xml:space="preserve"> </w:t>
      </w:r>
      <w:r>
        <w:rPr>
          <w:b/>
          <w:sz w:val="18"/>
        </w:rPr>
        <w:t>assets</w:t>
      </w:r>
      <w:r>
        <w:rPr>
          <w:b/>
          <w:spacing w:val="-4"/>
          <w:sz w:val="18"/>
        </w:rPr>
        <w:t xml:space="preserve"> </w:t>
      </w:r>
      <w:r>
        <w:rPr>
          <w:b/>
          <w:sz w:val="18"/>
        </w:rPr>
        <w:t>that</w:t>
      </w:r>
      <w:r>
        <w:rPr>
          <w:b/>
          <w:spacing w:val="-3"/>
          <w:sz w:val="18"/>
        </w:rPr>
        <w:t xml:space="preserve"> </w:t>
      </w:r>
      <w:r>
        <w:rPr>
          <w:b/>
          <w:sz w:val="18"/>
        </w:rPr>
        <w:t>are</w:t>
      </w:r>
      <w:r>
        <w:rPr>
          <w:b/>
          <w:spacing w:val="-1"/>
          <w:sz w:val="18"/>
        </w:rPr>
        <w:t xml:space="preserve"> </w:t>
      </w:r>
      <w:r>
        <w:rPr>
          <w:b/>
          <w:sz w:val="18"/>
        </w:rPr>
        <w:t>past</w:t>
      </w:r>
      <w:r>
        <w:rPr>
          <w:b/>
          <w:spacing w:val="-1"/>
          <w:sz w:val="18"/>
        </w:rPr>
        <w:t xml:space="preserve"> </w:t>
      </w:r>
      <w:r>
        <w:rPr>
          <w:b/>
          <w:sz w:val="18"/>
        </w:rPr>
        <w:t>due</w:t>
      </w:r>
      <w:r>
        <w:rPr>
          <w:b/>
          <w:spacing w:val="-1"/>
          <w:sz w:val="18"/>
        </w:rPr>
        <w:t xml:space="preserve"> </w:t>
      </w:r>
      <w:r>
        <w:rPr>
          <w:b/>
          <w:sz w:val="18"/>
        </w:rPr>
        <w:t>and/or</w:t>
      </w:r>
      <w:r>
        <w:rPr>
          <w:b/>
          <w:spacing w:val="-2"/>
          <w:sz w:val="18"/>
        </w:rPr>
        <w:t xml:space="preserve"> impaired</w:t>
      </w:r>
    </w:p>
    <w:p w14:paraId="6DD21A33" w14:textId="77777777" w:rsidR="00AC6F3C" w:rsidRDefault="00570E88">
      <w:pPr>
        <w:spacing w:before="120"/>
        <w:ind w:left="1525"/>
        <w:jc w:val="both"/>
        <w:rPr>
          <w:sz w:val="18"/>
        </w:rPr>
      </w:pPr>
      <w:r>
        <w:rPr>
          <w:sz w:val="18"/>
        </w:rPr>
        <w:t>Trade</w:t>
      </w:r>
      <w:r>
        <w:rPr>
          <w:spacing w:val="-5"/>
          <w:sz w:val="18"/>
        </w:rPr>
        <w:t xml:space="preserve"> </w:t>
      </w:r>
      <w:r>
        <w:rPr>
          <w:sz w:val="18"/>
        </w:rPr>
        <w:t>debtors</w:t>
      </w:r>
      <w:r>
        <w:rPr>
          <w:spacing w:val="-3"/>
          <w:sz w:val="18"/>
        </w:rPr>
        <w:t xml:space="preserve"> </w:t>
      </w:r>
      <w:r>
        <w:rPr>
          <w:sz w:val="18"/>
        </w:rPr>
        <w:t>includes</w:t>
      </w:r>
      <w:r>
        <w:rPr>
          <w:spacing w:val="-2"/>
          <w:sz w:val="18"/>
        </w:rPr>
        <w:t xml:space="preserve"> </w:t>
      </w:r>
      <w:r>
        <w:rPr>
          <w:sz w:val="18"/>
        </w:rPr>
        <w:t>excesses</w:t>
      </w:r>
      <w:r>
        <w:rPr>
          <w:spacing w:val="-1"/>
          <w:sz w:val="18"/>
        </w:rPr>
        <w:t xml:space="preserve"> </w:t>
      </w:r>
      <w:r>
        <w:rPr>
          <w:sz w:val="18"/>
        </w:rPr>
        <w:t>which</w:t>
      </w:r>
      <w:r>
        <w:rPr>
          <w:spacing w:val="-4"/>
          <w:sz w:val="18"/>
        </w:rPr>
        <w:t xml:space="preserve"> </w:t>
      </w:r>
      <w:r>
        <w:rPr>
          <w:sz w:val="18"/>
        </w:rPr>
        <w:t>are</w:t>
      </w:r>
      <w:r>
        <w:rPr>
          <w:spacing w:val="-2"/>
          <w:sz w:val="18"/>
        </w:rPr>
        <w:t xml:space="preserve"> </w:t>
      </w:r>
      <w:r>
        <w:rPr>
          <w:sz w:val="18"/>
        </w:rPr>
        <w:t>due</w:t>
      </w:r>
      <w:r>
        <w:rPr>
          <w:spacing w:val="-1"/>
          <w:sz w:val="18"/>
        </w:rPr>
        <w:t xml:space="preserve"> </w:t>
      </w:r>
      <w:r>
        <w:rPr>
          <w:sz w:val="18"/>
        </w:rPr>
        <w:t>in</w:t>
      </w:r>
      <w:r>
        <w:rPr>
          <w:spacing w:val="-2"/>
          <w:sz w:val="18"/>
        </w:rPr>
        <w:t xml:space="preserve"> </w:t>
      </w:r>
      <w:r>
        <w:rPr>
          <w:sz w:val="18"/>
        </w:rPr>
        <w:t>relation</w:t>
      </w:r>
      <w:r>
        <w:rPr>
          <w:spacing w:val="-1"/>
          <w:sz w:val="18"/>
        </w:rPr>
        <w:t xml:space="preserve"> </w:t>
      </w:r>
      <w:r>
        <w:rPr>
          <w:sz w:val="18"/>
        </w:rPr>
        <w:t>to</w:t>
      </w:r>
      <w:r>
        <w:rPr>
          <w:spacing w:val="-6"/>
          <w:sz w:val="18"/>
        </w:rPr>
        <w:t xml:space="preserve"> </w:t>
      </w:r>
      <w:r>
        <w:rPr>
          <w:spacing w:val="-2"/>
          <w:sz w:val="18"/>
        </w:rPr>
        <w:t>claims.</w:t>
      </w:r>
    </w:p>
    <w:p w14:paraId="304405DF" w14:textId="77777777" w:rsidR="00AC6F3C" w:rsidRDefault="00570E88">
      <w:pPr>
        <w:spacing w:before="122"/>
        <w:ind w:left="1525" w:right="990" w:hanging="1"/>
        <w:rPr>
          <w:sz w:val="18"/>
        </w:rPr>
      </w:pPr>
      <w:r>
        <w:rPr>
          <w:sz w:val="18"/>
        </w:rPr>
        <w:t>Trade</w:t>
      </w:r>
      <w:r>
        <w:rPr>
          <w:spacing w:val="-4"/>
          <w:sz w:val="18"/>
        </w:rPr>
        <w:t xml:space="preserve"> </w:t>
      </w:r>
      <w:r>
        <w:rPr>
          <w:sz w:val="18"/>
        </w:rPr>
        <w:t>and</w:t>
      </w:r>
      <w:r>
        <w:rPr>
          <w:spacing w:val="-4"/>
          <w:sz w:val="18"/>
        </w:rPr>
        <w:t xml:space="preserve"> </w:t>
      </w:r>
      <w:r>
        <w:rPr>
          <w:sz w:val="18"/>
        </w:rPr>
        <w:t>other</w:t>
      </w:r>
      <w:r>
        <w:rPr>
          <w:spacing w:val="-2"/>
          <w:sz w:val="18"/>
        </w:rPr>
        <w:t xml:space="preserve"> </w:t>
      </w:r>
      <w:r>
        <w:rPr>
          <w:sz w:val="18"/>
        </w:rPr>
        <w:t>receivables</w:t>
      </w:r>
      <w:r>
        <w:rPr>
          <w:spacing w:val="-3"/>
          <w:sz w:val="18"/>
        </w:rPr>
        <w:t xml:space="preserve"> </w:t>
      </w:r>
      <w:r>
        <w:rPr>
          <w:sz w:val="18"/>
        </w:rPr>
        <w:t>include</w:t>
      </w:r>
      <w:r>
        <w:rPr>
          <w:spacing w:val="-1"/>
          <w:sz w:val="18"/>
        </w:rPr>
        <w:t xml:space="preserve"> </w:t>
      </w:r>
      <w:r>
        <w:rPr>
          <w:sz w:val="18"/>
        </w:rPr>
        <w:t>excess</w:t>
      </w:r>
      <w:r>
        <w:rPr>
          <w:spacing w:val="-3"/>
          <w:sz w:val="18"/>
        </w:rPr>
        <w:t xml:space="preserve"> </w:t>
      </w:r>
      <w:r>
        <w:rPr>
          <w:sz w:val="18"/>
        </w:rPr>
        <w:t>balances</w:t>
      </w:r>
      <w:r>
        <w:rPr>
          <w:spacing w:val="-3"/>
          <w:sz w:val="18"/>
        </w:rPr>
        <w:t xml:space="preserve"> </w:t>
      </w:r>
      <w:r>
        <w:rPr>
          <w:sz w:val="18"/>
        </w:rPr>
        <w:t>of</w:t>
      </w:r>
      <w:r>
        <w:rPr>
          <w:spacing w:val="-2"/>
          <w:sz w:val="18"/>
        </w:rPr>
        <w:t xml:space="preserve"> </w:t>
      </w:r>
      <w:r>
        <w:rPr>
          <w:sz w:val="18"/>
        </w:rPr>
        <w:t>$47,143</w:t>
      </w:r>
      <w:r>
        <w:rPr>
          <w:spacing w:val="-1"/>
          <w:sz w:val="18"/>
        </w:rPr>
        <w:t xml:space="preserve"> </w:t>
      </w:r>
      <w:r>
        <w:rPr>
          <w:sz w:val="18"/>
        </w:rPr>
        <w:t>(2021-22:</w:t>
      </w:r>
      <w:r>
        <w:rPr>
          <w:spacing w:val="-2"/>
          <w:sz w:val="18"/>
        </w:rPr>
        <w:t xml:space="preserve"> </w:t>
      </w:r>
      <w:r>
        <w:rPr>
          <w:sz w:val="18"/>
        </w:rPr>
        <w:t>$65,111)</w:t>
      </w:r>
      <w:r>
        <w:rPr>
          <w:spacing w:val="-2"/>
          <w:sz w:val="18"/>
        </w:rPr>
        <w:t xml:space="preserve"> </w:t>
      </w:r>
      <w:r>
        <w:rPr>
          <w:sz w:val="18"/>
        </w:rPr>
        <w:t>which</w:t>
      </w:r>
      <w:r>
        <w:rPr>
          <w:spacing w:val="-6"/>
          <w:sz w:val="18"/>
        </w:rPr>
        <w:t xml:space="preserve"> </w:t>
      </w:r>
      <w:r>
        <w:rPr>
          <w:sz w:val="18"/>
        </w:rPr>
        <w:t>are more than one month past due.</w:t>
      </w:r>
      <w:r>
        <w:rPr>
          <w:spacing w:val="40"/>
          <w:sz w:val="18"/>
        </w:rPr>
        <w:t xml:space="preserve"> </w:t>
      </w:r>
      <w:r>
        <w:rPr>
          <w:sz w:val="18"/>
        </w:rPr>
        <w:t>There is a provision of $47,143 (2021-22: $65,111) on these outstanding balances.</w:t>
      </w:r>
    </w:p>
    <w:p w14:paraId="3CA212DB" w14:textId="77777777" w:rsidR="00AC6F3C" w:rsidRDefault="00570E88">
      <w:pPr>
        <w:spacing w:before="24" w:line="328" w:lineRule="exact"/>
        <w:ind w:left="1525" w:right="1232" w:hanging="1"/>
        <w:rPr>
          <w:i/>
          <w:sz w:val="18"/>
        </w:rPr>
      </w:pPr>
      <w:r>
        <w:rPr>
          <w:sz w:val="18"/>
        </w:rPr>
        <w:t>There were no reinsurance recoveries (2021-22: $Nil) outstanding more than one month.</w:t>
      </w:r>
      <w:r>
        <w:rPr>
          <w:spacing w:val="40"/>
          <w:sz w:val="18"/>
        </w:rPr>
        <w:t xml:space="preserve"> </w:t>
      </w:r>
      <w:r>
        <w:rPr>
          <w:sz w:val="18"/>
        </w:rPr>
        <w:t>While</w:t>
      </w:r>
      <w:r>
        <w:rPr>
          <w:spacing w:val="-5"/>
          <w:sz w:val="18"/>
        </w:rPr>
        <w:t xml:space="preserve"> </w:t>
      </w:r>
      <w:r>
        <w:rPr>
          <w:sz w:val="18"/>
        </w:rPr>
        <w:t>provisions</w:t>
      </w:r>
      <w:r>
        <w:rPr>
          <w:spacing w:val="-2"/>
          <w:sz w:val="18"/>
        </w:rPr>
        <w:t xml:space="preserve"> </w:t>
      </w:r>
      <w:r>
        <w:rPr>
          <w:sz w:val="18"/>
        </w:rPr>
        <w:t>have</w:t>
      </w:r>
      <w:r>
        <w:rPr>
          <w:spacing w:val="-5"/>
          <w:sz w:val="18"/>
        </w:rPr>
        <w:t xml:space="preserve"> </w:t>
      </w:r>
      <w:r>
        <w:rPr>
          <w:sz w:val="18"/>
        </w:rPr>
        <w:t>been</w:t>
      </w:r>
      <w:r>
        <w:rPr>
          <w:spacing w:val="-2"/>
          <w:sz w:val="18"/>
        </w:rPr>
        <w:t xml:space="preserve"> </w:t>
      </w:r>
      <w:r>
        <w:rPr>
          <w:sz w:val="18"/>
        </w:rPr>
        <w:t>raised</w:t>
      </w:r>
      <w:r>
        <w:rPr>
          <w:spacing w:val="-5"/>
          <w:sz w:val="18"/>
        </w:rPr>
        <w:t xml:space="preserve"> </w:t>
      </w:r>
      <w:r>
        <w:rPr>
          <w:sz w:val="18"/>
        </w:rPr>
        <w:t>against</w:t>
      </w:r>
      <w:r>
        <w:rPr>
          <w:spacing w:val="-5"/>
          <w:sz w:val="18"/>
        </w:rPr>
        <w:t xml:space="preserve"> </w:t>
      </w:r>
      <w:r>
        <w:rPr>
          <w:sz w:val="18"/>
        </w:rPr>
        <w:t>outstanding</w:t>
      </w:r>
      <w:r>
        <w:rPr>
          <w:spacing w:val="-2"/>
          <w:sz w:val="18"/>
        </w:rPr>
        <w:t xml:space="preserve"> </w:t>
      </w:r>
      <w:r>
        <w:rPr>
          <w:sz w:val="18"/>
        </w:rPr>
        <w:t>excesses,</w:t>
      </w:r>
      <w:r>
        <w:rPr>
          <w:spacing w:val="-5"/>
          <w:sz w:val="18"/>
        </w:rPr>
        <w:t xml:space="preserve"> </w:t>
      </w:r>
      <w:r>
        <w:rPr>
          <w:sz w:val="18"/>
        </w:rPr>
        <w:t>the</w:t>
      </w:r>
      <w:r>
        <w:rPr>
          <w:spacing w:val="-2"/>
          <w:sz w:val="18"/>
        </w:rPr>
        <w:t xml:space="preserve"> </w:t>
      </w:r>
      <w:r>
        <w:rPr>
          <w:i/>
          <w:sz w:val="18"/>
        </w:rPr>
        <w:t>Queensland</w:t>
      </w:r>
      <w:r>
        <w:rPr>
          <w:i/>
          <w:spacing w:val="-2"/>
          <w:sz w:val="18"/>
        </w:rPr>
        <w:t xml:space="preserve"> </w:t>
      </w:r>
      <w:r>
        <w:rPr>
          <w:i/>
          <w:sz w:val="18"/>
        </w:rPr>
        <w:t>Law</w:t>
      </w:r>
      <w:r>
        <w:rPr>
          <w:i/>
          <w:spacing w:val="-3"/>
          <w:sz w:val="18"/>
        </w:rPr>
        <w:t xml:space="preserve"> </w:t>
      </w:r>
      <w:r>
        <w:rPr>
          <w:i/>
          <w:sz w:val="18"/>
        </w:rPr>
        <w:t>Society</w:t>
      </w:r>
    </w:p>
    <w:p w14:paraId="30BA230B" w14:textId="77777777" w:rsidR="00AC6F3C" w:rsidRDefault="00570E88">
      <w:pPr>
        <w:spacing w:line="179" w:lineRule="exact"/>
        <w:ind w:left="1525"/>
        <w:rPr>
          <w:sz w:val="18"/>
        </w:rPr>
      </w:pPr>
      <w:r>
        <w:rPr>
          <w:i/>
          <w:sz w:val="18"/>
        </w:rPr>
        <w:t>Indemnity</w:t>
      </w:r>
      <w:r>
        <w:rPr>
          <w:i/>
          <w:spacing w:val="-2"/>
          <w:sz w:val="18"/>
        </w:rPr>
        <w:t xml:space="preserve"> </w:t>
      </w:r>
      <w:r>
        <w:rPr>
          <w:i/>
          <w:sz w:val="18"/>
        </w:rPr>
        <w:t>Rule</w:t>
      </w:r>
      <w:r>
        <w:rPr>
          <w:i/>
          <w:spacing w:val="-2"/>
          <w:sz w:val="18"/>
        </w:rPr>
        <w:t xml:space="preserve"> </w:t>
      </w:r>
      <w:r>
        <w:rPr>
          <w:i/>
          <w:sz w:val="18"/>
        </w:rPr>
        <w:t>2005</w:t>
      </w:r>
      <w:r>
        <w:rPr>
          <w:i/>
          <w:spacing w:val="-2"/>
          <w:sz w:val="18"/>
        </w:rPr>
        <w:t xml:space="preserve"> </w:t>
      </w:r>
      <w:r>
        <w:rPr>
          <w:sz w:val="18"/>
        </w:rPr>
        <w:t>gives</w:t>
      </w:r>
      <w:r>
        <w:rPr>
          <w:spacing w:val="-4"/>
          <w:sz w:val="18"/>
        </w:rPr>
        <w:t xml:space="preserve"> </w:t>
      </w:r>
      <w:r>
        <w:rPr>
          <w:sz w:val="18"/>
        </w:rPr>
        <w:t>power</w:t>
      </w:r>
      <w:r>
        <w:rPr>
          <w:spacing w:val="-3"/>
          <w:sz w:val="18"/>
        </w:rPr>
        <w:t xml:space="preserve"> </w:t>
      </w:r>
      <w:r>
        <w:rPr>
          <w:sz w:val="18"/>
        </w:rPr>
        <w:t>to</w:t>
      </w:r>
      <w:r>
        <w:rPr>
          <w:spacing w:val="-3"/>
          <w:sz w:val="18"/>
        </w:rPr>
        <w:t xml:space="preserve"> </w:t>
      </w:r>
      <w:r>
        <w:rPr>
          <w:sz w:val="18"/>
        </w:rPr>
        <w:t>the</w:t>
      </w:r>
      <w:r>
        <w:rPr>
          <w:spacing w:val="-2"/>
          <w:sz w:val="18"/>
        </w:rPr>
        <w:t xml:space="preserve"> </w:t>
      </w:r>
      <w:r>
        <w:rPr>
          <w:sz w:val="18"/>
        </w:rPr>
        <w:t>Society</w:t>
      </w:r>
      <w:r>
        <w:rPr>
          <w:spacing w:val="-2"/>
          <w:sz w:val="18"/>
        </w:rPr>
        <w:t xml:space="preserve"> </w:t>
      </w:r>
      <w:r>
        <w:rPr>
          <w:sz w:val="18"/>
        </w:rPr>
        <w:t>to</w:t>
      </w:r>
      <w:r>
        <w:rPr>
          <w:spacing w:val="-5"/>
          <w:sz w:val="18"/>
        </w:rPr>
        <w:t xml:space="preserve"> </w:t>
      </w:r>
      <w:r>
        <w:rPr>
          <w:sz w:val="18"/>
        </w:rPr>
        <w:t>take</w:t>
      </w:r>
      <w:r>
        <w:rPr>
          <w:spacing w:val="-2"/>
          <w:sz w:val="18"/>
        </w:rPr>
        <w:t xml:space="preserve"> </w:t>
      </w:r>
      <w:r>
        <w:rPr>
          <w:sz w:val="18"/>
        </w:rPr>
        <w:t>action</w:t>
      </w:r>
      <w:r>
        <w:rPr>
          <w:spacing w:val="-2"/>
          <w:sz w:val="18"/>
        </w:rPr>
        <w:t xml:space="preserve"> </w:t>
      </w:r>
      <w:r>
        <w:rPr>
          <w:sz w:val="18"/>
        </w:rPr>
        <w:t>against</w:t>
      </w:r>
      <w:r>
        <w:rPr>
          <w:spacing w:val="-3"/>
          <w:sz w:val="18"/>
        </w:rPr>
        <w:t xml:space="preserve"> </w:t>
      </w:r>
      <w:r>
        <w:rPr>
          <w:sz w:val="18"/>
        </w:rPr>
        <w:t>insured</w:t>
      </w:r>
      <w:r>
        <w:rPr>
          <w:spacing w:val="-3"/>
          <w:sz w:val="18"/>
        </w:rPr>
        <w:t xml:space="preserve"> </w:t>
      </w:r>
      <w:r>
        <w:rPr>
          <w:sz w:val="18"/>
        </w:rPr>
        <w:t>parties</w:t>
      </w:r>
      <w:r>
        <w:rPr>
          <w:spacing w:val="-2"/>
          <w:sz w:val="18"/>
        </w:rPr>
        <w:t xml:space="preserve"> </w:t>
      </w:r>
      <w:r>
        <w:rPr>
          <w:sz w:val="18"/>
        </w:rPr>
        <w:t>where</w:t>
      </w:r>
      <w:r>
        <w:rPr>
          <w:spacing w:val="-1"/>
          <w:sz w:val="18"/>
        </w:rPr>
        <w:t xml:space="preserve"> </w:t>
      </w:r>
      <w:r>
        <w:rPr>
          <w:spacing w:val="-5"/>
          <w:sz w:val="18"/>
        </w:rPr>
        <w:t>any</w:t>
      </w:r>
    </w:p>
    <w:p w14:paraId="6FDF1B69" w14:textId="77777777" w:rsidR="00AC6F3C" w:rsidRDefault="00570E88">
      <w:pPr>
        <w:spacing w:line="207" w:lineRule="exact"/>
        <w:ind w:left="1525"/>
        <w:rPr>
          <w:sz w:val="18"/>
        </w:rPr>
      </w:pPr>
      <w:r>
        <w:rPr>
          <w:sz w:val="18"/>
        </w:rPr>
        <w:t>balances</w:t>
      </w:r>
      <w:r>
        <w:rPr>
          <w:spacing w:val="-2"/>
          <w:sz w:val="18"/>
        </w:rPr>
        <w:t xml:space="preserve"> </w:t>
      </w:r>
      <w:r>
        <w:rPr>
          <w:sz w:val="18"/>
        </w:rPr>
        <w:t>are</w:t>
      </w:r>
      <w:r>
        <w:rPr>
          <w:spacing w:val="-2"/>
          <w:sz w:val="18"/>
        </w:rPr>
        <w:t xml:space="preserve"> outstanding.</w:t>
      </w:r>
    </w:p>
    <w:p w14:paraId="5D2B70BF" w14:textId="77777777" w:rsidR="00AC6F3C" w:rsidRDefault="00AC6F3C">
      <w:pPr>
        <w:pStyle w:val="BodyText"/>
        <w:spacing w:before="9"/>
      </w:pPr>
    </w:p>
    <w:p w14:paraId="669134EA" w14:textId="77777777" w:rsidR="00AC6F3C" w:rsidRDefault="00570E88">
      <w:pPr>
        <w:pStyle w:val="ListParagraph"/>
        <w:numPr>
          <w:ilvl w:val="1"/>
          <w:numId w:val="24"/>
        </w:numPr>
        <w:tabs>
          <w:tab w:val="left" w:pos="1525"/>
        </w:tabs>
        <w:spacing w:before="1"/>
        <w:ind w:left="1525" w:hanging="566"/>
        <w:rPr>
          <w:b/>
          <w:sz w:val="18"/>
        </w:rPr>
      </w:pPr>
      <w:r>
        <w:rPr>
          <w:b/>
          <w:sz w:val="18"/>
        </w:rPr>
        <w:t>Credit</w:t>
      </w:r>
      <w:r>
        <w:rPr>
          <w:b/>
          <w:spacing w:val="-2"/>
          <w:sz w:val="18"/>
        </w:rPr>
        <w:t xml:space="preserve"> ratings</w:t>
      </w:r>
    </w:p>
    <w:p w14:paraId="6BA7D391" w14:textId="77777777" w:rsidR="00AC6F3C" w:rsidRDefault="00570E88">
      <w:pPr>
        <w:spacing w:before="121"/>
        <w:ind w:left="1525"/>
        <w:jc w:val="both"/>
        <w:rPr>
          <w:sz w:val="18"/>
        </w:rPr>
      </w:pPr>
      <w:r>
        <w:rPr>
          <w:sz w:val="18"/>
        </w:rPr>
        <w:t>The</w:t>
      </w:r>
      <w:r>
        <w:rPr>
          <w:spacing w:val="-2"/>
          <w:sz w:val="18"/>
        </w:rPr>
        <w:t xml:space="preserve"> </w:t>
      </w:r>
      <w:r>
        <w:rPr>
          <w:sz w:val="18"/>
        </w:rPr>
        <w:t>following</w:t>
      </w:r>
      <w:r>
        <w:rPr>
          <w:spacing w:val="-2"/>
          <w:sz w:val="18"/>
        </w:rPr>
        <w:t xml:space="preserve"> </w:t>
      </w:r>
      <w:r>
        <w:rPr>
          <w:sz w:val="18"/>
        </w:rPr>
        <w:t>table</w:t>
      </w:r>
      <w:r>
        <w:rPr>
          <w:spacing w:val="-2"/>
          <w:sz w:val="18"/>
        </w:rPr>
        <w:t xml:space="preserve"> </w:t>
      </w:r>
      <w:r>
        <w:rPr>
          <w:sz w:val="18"/>
        </w:rPr>
        <w:t>shows</w:t>
      </w:r>
      <w:r>
        <w:rPr>
          <w:spacing w:val="-2"/>
          <w:sz w:val="18"/>
        </w:rPr>
        <w:t xml:space="preserve"> </w:t>
      </w:r>
      <w:r>
        <w:rPr>
          <w:sz w:val="18"/>
        </w:rPr>
        <w:t>the</w:t>
      </w:r>
      <w:r>
        <w:rPr>
          <w:spacing w:val="-5"/>
          <w:sz w:val="18"/>
        </w:rPr>
        <w:t xml:space="preserve"> </w:t>
      </w:r>
      <w:r>
        <w:rPr>
          <w:sz w:val="18"/>
        </w:rPr>
        <w:t>investment</w:t>
      </w:r>
      <w:r>
        <w:rPr>
          <w:spacing w:val="-3"/>
          <w:sz w:val="18"/>
        </w:rPr>
        <w:t xml:space="preserve"> </w:t>
      </w:r>
      <w:r>
        <w:rPr>
          <w:sz w:val="18"/>
        </w:rPr>
        <w:t>grades</w:t>
      </w:r>
      <w:r>
        <w:rPr>
          <w:spacing w:val="-2"/>
          <w:sz w:val="18"/>
        </w:rPr>
        <w:t xml:space="preserve"> </w:t>
      </w:r>
      <w:r>
        <w:rPr>
          <w:sz w:val="18"/>
        </w:rPr>
        <w:t>of</w:t>
      </w:r>
      <w:r>
        <w:rPr>
          <w:spacing w:val="-5"/>
          <w:sz w:val="18"/>
        </w:rPr>
        <w:t xml:space="preserve"> </w:t>
      </w:r>
      <w:r>
        <w:rPr>
          <w:sz w:val="18"/>
        </w:rPr>
        <w:t>balances</w:t>
      </w:r>
      <w:r>
        <w:rPr>
          <w:spacing w:val="-3"/>
          <w:sz w:val="18"/>
        </w:rPr>
        <w:t xml:space="preserve"> </w:t>
      </w:r>
      <w:r>
        <w:rPr>
          <w:spacing w:val="-4"/>
          <w:sz w:val="18"/>
        </w:rPr>
        <w:t>due:</w:t>
      </w:r>
    </w:p>
    <w:p w14:paraId="206C445C" w14:textId="77777777" w:rsidR="00AC6F3C" w:rsidRDefault="00AC6F3C">
      <w:pPr>
        <w:pStyle w:val="BodyText"/>
        <w:spacing w:before="10"/>
      </w:pPr>
    </w:p>
    <w:tbl>
      <w:tblPr>
        <w:tblW w:w="0" w:type="auto"/>
        <w:tblInd w:w="1539" w:type="dxa"/>
        <w:tblLayout w:type="fixed"/>
        <w:tblCellMar>
          <w:left w:w="0" w:type="dxa"/>
          <w:right w:w="0" w:type="dxa"/>
        </w:tblCellMar>
        <w:tblLook w:val="01E0" w:firstRow="1" w:lastRow="1" w:firstColumn="1" w:lastColumn="1" w:noHBand="0" w:noVBand="0"/>
      </w:tblPr>
      <w:tblGrid>
        <w:gridCol w:w="4333"/>
        <w:gridCol w:w="1104"/>
        <w:gridCol w:w="973"/>
        <w:gridCol w:w="1140"/>
      </w:tblGrid>
      <w:tr w:rsidR="00AC6F3C" w14:paraId="6EFD8C06" w14:textId="77777777">
        <w:trPr>
          <w:trHeight w:val="1028"/>
        </w:trPr>
        <w:tc>
          <w:tcPr>
            <w:tcW w:w="5437" w:type="dxa"/>
            <w:gridSpan w:val="2"/>
            <w:tcBorders>
              <w:top w:val="single" w:sz="6" w:space="0" w:color="000000"/>
              <w:left w:val="single" w:sz="6" w:space="0" w:color="000000"/>
              <w:bottom w:val="single" w:sz="6" w:space="0" w:color="000000"/>
            </w:tcBorders>
            <w:shd w:val="clear" w:color="auto" w:fill="BEBEBE"/>
          </w:tcPr>
          <w:p w14:paraId="74873970" w14:textId="77777777" w:rsidR="00AC6F3C" w:rsidRDefault="00570E88">
            <w:pPr>
              <w:pStyle w:val="TableParagraph"/>
              <w:spacing w:before="14"/>
              <w:ind w:right="180"/>
              <w:jc w:val="right"/>
              <w:rPr>
                <w:b/>
                <w:sz w:val="17"/>
              </w:rPr>
            </w:pPr>
            <w:r>
              <w:rPr>
                <w:b/>
                <w:spacing w:val="-2"/>
                <w:sz w:val="17"/>
              </w:rPr>
              <w:t>Investment</w:t>
            </w:r>
          </w:p>
          <w:p w14:paraId="02B36A7D" w14:textId="77777777" w:rsidR="00AC6F3C" w:rsidRDefault="00570E88">
            <w:pPr>
              <w:pStyle w:val="TableParagraph"/>
              <w:spacing w:before="36" w:line="319" w:lineRule="auto"/>
              <w:ind w:left="4187" w:right="184" w:firstLine="566"/>
              <w:jc w:val="right"/>
              <w:rPr>
                <w:b/>
                <w:sz w:val="17"/>
              </w:rPr>
            </w:pPr>
            <w:r>
              <w:rPr>
                <w:b/>
                <w:spacing w:val="-2"/>
                <w:sz w:val="17"/>
              </w:rPr>
              <w:t>Grade (AAA</w:t>
            </w:r>
            <w:r>
              <w:rPr>
                <w:b/>
                <w:spacing w:val="-13"/>
                <w:sz w:val="17"/>
              </w:rPr>
              <w:t xml:space="preserve"> </w:t>
            </w:r>
            <w:r>
              <w:rPr>
                <w:b/>
                <w:spacing w:val="-2"/>
                <w:sz w:val="17"/>
              </w:rPr>
              <w:t>to</w:t>
            </w:r>
            <w:r>
              <w:rPr>
                <w:b/>
                <w:spacing w:val="-7"/>
                <w:sz w:val="17"/>
              </w:rPr>
              <w:t xml:space="preserve"> </w:t>
            </w:r>
            <w:r>
              <w:rPr>
                <w:b/>
                <w:spacing w:val="-8"/>
                <w:sz w:val="17"/>
              </w:rPr>
              <w:t>BBB)</w:t>
            </w:r>
          </w:p>
          <w:p w14:paraId="3808E6FF" w14:textId="77777777" w:rsidR="00AC6F3C" w:rsidRDefault="00570E88">
            <w:pPr>
              <w:pStyle w:val="TableParagraph"/>
              <w:spacing w:before="31"/>
              <w:ind w:right="180"/>
              <w:jc w:val="right"/>
              <w:rPr>
                <w:b/>
                <w:sz w:val="17"/>
              </w:rPr>
            </w:pPr>
            <w:r>
              <w:rPr>
                <w:b/>
                <w:spacing w:val="-2"/>
                <w:sz w:val="17"/>
              </w:rPr>
              <w:t>$'000</w:t>
            </w:r>
          </w:p>
        </w:tc>
        <w:tc>
          <w:tcPr>
            <w:tcW w:w="973" w:type="dxa"/>
            <w:tcBorders>
              <w:top w:val="single" w:sz="6" w:space="0" w:color="000000"/>
              <w:bottom w:val="single" w:sz="6" w:space="0" w:color="000000"/>
            </w:tcBorders>
            <w:shd w:val="clear" w:color="auto" w:fill="BEBEBE"/>
          </w:tcPr>
          <w:p w14:paraId="48929736" w14:textId="77777777" w:rsidR="00AC6F3C" w:rsidRDefault="00570E88">
            <w:pPr>
              <w:pStyle w:val="TableParagraph"/>
              <w:spacing w:before="130"/>
              <w:ind w:right="16"/>
              <w:jc w:val="right"/>
              <w:rPr>
                <w:b/>
                <w:sz w:val="17"/>
              </w:rPr>
            </w:pPr>
            <w:r>
              <w:rPr>
                <w:b/>
                <w:spacing w:val="-2"/>
                <w:sz w:val="17"/>
              </w:rPr>
              <w:t>Not</w:t>
            </w:r>
            <w:r>
              <w:rPr>
                <w:b/>
                <w:spacing w:val="-8"/>
                <w:sz w:val="17"/>
              </w:rPr>
              <w:t xml:space="preserve"> </w:t>
            </w:r>
            <w:r>
              <w:rPr>
                <w:b/>
                <w:spacing w:val="-2"/>
                <w:sz w:val="17"/>
              </w:rPr>
              <w:t>rated</w:t>
            </w:r>
          </w:p>
          <w:p w14:paraId="3ABFC38A" w14:textId="77777777" w:rsidR="00AC6F3C" w:rsidRDefault="00AC6F3C">
            <w:pPr>
              <w:pStyle w:val="TableParagraph"/>
              <w:rPr>
                <w:sz w:val="18"/>
              </w:rPr>
            </w:pPr>
          </w:p>
          <w:p w14:paraId="69BD6590" w14:textId="77777777" w:rsidR="00AC6F3C" w:rsidRDefault="00AC6F3C">
            <w:pPr>
              <w:pStyle w:val="TableParagraph"/>
              <w:spacing w:before="10"/>
            </w:pPr>
          </w:p>
          <w:p w14:paraId="21EE3CC0" w14:textId="77777777" w:rsidR="00AC6F3C" w:rsidRDefault="00570E88">
            <w:pPr>
              <w:pStyle w:val="TableParagraph"/>
              <w:spacing w:before="1"/>
              <w:ind w:right="20"/>
              <w:jc w:val="right"/>
              <w:rPr>
                <w:b/>
                <w:sz w:val="17"/>
              </w:rPr>
            </w:pPr>
            <w:r>
              <w:rPr>
                <w:b/>
                <w:spacing w:val="-2"/>
                <w:sz w:val="17"/>
              </w:rPr>
              <w:t>$'000</w:t>
            </w:r>
          </w:p>
        </w:tc>
        <w:tc>
          <w:tcPr>
            <w:tcW w:w="1140" w:type="dxa"/>
            <w:tcBorders>
              <w:top w:val="single" w:sz="6" w:space="0" w:color="000000"/>
              <w:bottom w:val="single" w:sz="6" w:space="0" w:color="000000"/>
              <w:right w:val="single" w:sz="6" w:space="0" w:color="000000"/>
            </w:tcBorders>
            <w:shd w:val="clear" w:color="auto" w:fill="BEBEBE"/>
          </w:tcPr>
          <w:p w14:paraId="4B9D59C1" w14:textId="77777777" w:rsidR="00AC6F3C" w:rsidRDefault="00570E88">
            <w:pPr>
              <w:pStyle w:val="TableParagraph"/>
              <w:spacing w:before="130"/>
              <w:ind w:left="703"/>
              <w:rPr>
                <w:b/>
                <w:sz w:val="17"/>
              </w:rPr>
            </w:pPr>
            <w:r>
              <w:rPr>
                <w:b/>
                <w:spacing w:val="-2"/>
                <w:sz w:val="17"/>
              </w:rPr>
              <w:t>Total</w:t>
            </w:r>
          </w:p>
          <w:p w14:paraId="6E89304E" w14:textId="77777777" w:rsidR="00AC6F3C" w:rsidRDefault="00AC6F3C">
            <w:pPr>
              <w:pStyle w:val="TableParagraph"/>
              <w:rPr>
                <w:sz w:val="18"/>
              </w:rPr>
            </w:pPr>
          </w:p>
          <w:p w14:paraId="200F0F75" w14:textId="77777777" w:rsidR="00AC6F3C" w:rsidRDefault="00AC6F3C">
            <w:pPr>
              <w:pStyle w:val="TableParagraph"/>
              <w:spacing w:before="10"/>
            </w:pPr>
          </w:p>
          <w:p w14:paraId="7CD0BD5D" w14:textId="77777777" w:rsidR="00AC6F3C" w:rsidRDefault="00570E88">
            <w:pPr>
              <w:pStyle w:val="TableParagraph"/>
              <w:spacing w:before="1"/>
              <w:ind w:left="659"/>
              <w:rPr>
                <w:b/>
                <w:sz w:val="17"/>
              </w:rPr>
            </w:pPr>
            <w:r>
              <w:rPr>
                <w:b/>
                <w:spacing w:val="-2"/>
                <w:sz w:val="17"/>
              </w:rPr>
              <w:t>$'000</w:t>
            </w:r>
          </w:p>
        </w:tc>
      </w:tr>
      <w:tr w:rsidR="00AC6F3C" w14:paraId="36E52B5B" w14:textId="77777777">
        <w:trPr>
          <w:trHeight w:val="308"/>
        </w:trPr>
        <w:tc>
          <w:tcPr>
            <w:tcW w:w="4333" w:type="dxa"/>
            <w:tcBorders>
              <w:top w:val="single" w:sz="6" w:space="0" w:color="000000"/>
              <w:left w:val="single" w:sz="6" w:space="0" w:color="000000"/>
            </w:tcBorders>
          </w:tcPr>
          <w:p w14:paraId="0FF1AA1C" w14:textId="77777777" w:rsidR="00AC6F3C" w:rsidRDefault="00570E88">
            <w:pPr>
              <w:pStyle w:val="TableParagraph"/>
              <w:spacing w:before="72"/>
              <w:ind w:left="36"/>
              <w:rPr>
                <w:sz w:val="17"/>
              </w:rPr>
            </w:pPr>
            <w:r>
              <w:rPr>
                <w:sz w:val="17"/>
                <w:u w:val="single"/>
              </w:rPr>
              <w:t>At</w:t>
            </w:r>
            <w:r>
              <w:rPr>
                <w:spacing w:val="-6"/>
                <w:sz w:val="17"/>
                <w:u w:val="single"/>
              </w:rPr>
              <w:t xml:space="preserve"> </w:t>
            </w:r>
            <w:r>
              <w:rPr>
                <w:sz w:val="17"/>
                <w:u w:val="single"/>
              </w:rPr>
              <w:t>30</w:t>
            </w:r>
            <w:r>
              <w:rPr>
                <w:spacing w:val="5"/>
                <w:sz w:val="17"/>
                <w:u w:val="single"/>
              </w:rPr>
              <w:t xml:space="preserve"> </w:t>
            </w:r>
            <w:r>
              <w:rPr>
                <w:sz w:val="17"/>
                <w:u w:val="single"/>
              </w:rPr>
              <w:t>June</w:t>
            </w:r>
            <w:r>
              <w:rPr>
                <w:spacing w:val="5"/>
                <w:sz w:val="17"/>
                <w:u w:val="single"/>
              </w:rPr>
              <w:t xml:space="preserve"> </w:t>
            </w:r>
            <w:r>
              <w:rPr>
                <w:spacing w:val="-4"/>
                <w:sz w:val="17"/>
                <w:u w:val="single"/>
              </w:rPr>
              <w:t>2023</w:t>
            </w:r>
          </w:p>
        </w:tc>
        <w:tc>
          <w:tcPr>
            <w:tcW w:w="1104" w:type="dxa"/>
            <w:tcBorders>
              <w:top w:val="single" w:sz="6" w:space="0" w:color="000000"/>
            </w:tcBorders>
          </w:tcPr>
          <w:p w14:paraId="4517A540" w14:textId="77777777" w:rsidR="00AC6F3C" w:rsidRDefault="00AC6F3C">
            <w:pPr>
              <w:pStyle w:val="TableParagraph"/>
              <w:rPr>
                <w:rFonts w:ascii="Times New Roman"/>
                <w:sz w:val="18"/>
              </w:rPr>
            </w:pPr>
          </w:p>
        </w:tc>
        <w:tc>
          <w:tcPr>
            <w:tcW w:w="973" w:type="dxa"/>
            <w:tcBorders>
              <w:top w:val="single" w:sz="6" w:space="0" w:color="000000"/>
            </w:tcBorders>
          </w:tcPr>
          <w:p w14:paraId="372B611E" w14:textId="77777777" w:rsidR="00AC6F3C" w:rsidRDefault="00AC6F3C">
            <w:pPr>
              <w:pStyle w:val="TableParagraph"/>
              <w:rPr>
                <w:rFonts w:ascii="Times New Roman"/>
                <w:sz w:val="18"/>
              </w:rPr>
            </w:pPr>
          </w:p>
        </w:tc>
        <w:tc>
          <w:tcPr>
            <w:tcW w:w="1140" w:type="dxa"/>
            <w:tcBorders>
              <w:top w:val="single" w:sz="6" w:space="0" w:color="000000"/>
              <w:right w:val="single" w:sz="6" w:space="0" w:color="000000"/>
            </w:tcBorders>
            <w:shd w:val="clear" w:color="auto" w:fill="F1F1F1"/>
          </w:tcPr>
          <w:p w14:paraId="16397FB6" w14:textId="77777777" w:rsidR="00AC6F3C" w:rsidRDefault="00AC6F3C">
            <w:pPr>
              <w:pStyle w:val="TableParagraph"/>
              <w:rPr>
                <w:rFonts w:ascii="Times New Roman"/>
                <w:sz w:val="18"/>
              </w:rPr>
            </w:pPr>
          </w:p>
        </w:tc>
      </w:tr>
      <w:tr w:rsidR="00AC6F3C" w14:paraId="2E788A4B" w14:textId="77777777">
        <w:trPr>
          <w:trHeight w:val="289"/>
        </w:trPr>
        <w:tc>
          <w:tcPr>
            <w:tcW w:w="4333" w:type="dxa"/>
            <w:tcBorders>
              <w:left w:val="single" w:sz="6" w:space="0" w:color="000000"/>
            </w:tcBorders>
          </w:tcPr>
          <w:p w14:paraId="10BD0B6B" w14:textId="77777777" w:rsidR="00AC6F3C" w:rsidRDefault="00570E88">
            <w:pPr>
              <w:pStyle w:val="TableParagraph"/>
              <w:spacing w:before="38"/>
              <w:ind w:left="36"/>
              <w:rPr>
                <w:sz w:val="17"/>
              </w:rPr>
            </w:pPr>
            <w:r>
              <w:rPr>
                <w:sz w:val="17"/>
              </w:rPr>
              <w:t>Cash</w:t>
            </w:r>
            <w:r>
              <w:rPr>
                <w:spacing w:val="23"/>
                <w:sz w:val="17"/>
              </w:rPr>
              <w:t xml:space="preserve"> </w:t>
            </w:r>
            <w:r>
              <w:rPr>
                <w:sz w:val="17"/>
              </w:rPr>
              <w:t>and</w:t>
            </w:r>
            <w:r>
              <w:rPr>
                <w:spacing w:val="24"/>
                <w:sz w:val="17"/>
              </w:rPr>
              <w:t xml:space="preserve"> </w:t>
            </w:r>
            <w:r>
              <w:rPr>
                <w:sz w:val="17"/>
              </w:rPr>
              <w:t>cash</w:t>
            </w:r>
            <w:r>
              <w:rPr>
                <w:spacing w:val="24"/>
                <w:sz w:val="17"/>
              </w:rPr>
              <w:t xml:space="preserve"> </w:t>
            </w:r>
            <w:r>
              <w:rPr>
                <w:spacing w:val="-2"/>
                <w:sz w:val="17"/>
              </w:rPr>
              <w:t>equivalents</w:t>
            </w:r>
          </w:p>
        </w:tc>
        <w:tc>
          <w:tcPr>
            <w:tcW w:w="1104" w:type="dxa"/>
          </w:tcPr>
          <w:p w14:paraId="3F6BB4AE" w14:textId="77777777" w:rsidR="00AC6F3C" w:rsidRDefault="00570E88">
            <w:pPr>
              <w:pStyle w:val="TableParagraph"/>
              <w:spacing w:before="38"/>
              <w:ind w:right="180"/>
              <w:jc w:val="right"/>
              <w:rPr>
                <w:sz w:val="17"/>
              </w:rPr>
            </w:pPr>
            <w:r>
              <w:rPr>
                <w:spacing w:val="-2"/>
                <w:sz w:val="17"/>
              </w:rPr>
              <w:t>72,531</w:t>
            </w:r>
          </w:p>
        </w:tc>
        <w:tc>
          <w:tcPr>
            <w:tcW w:w="973" w:type="dxa"/>
          </w:tcPr>
          <w:p w14:paraId="21FF4284" w14:textId="77777777" w:rsidR="00AC6F3C" w:rsidRDefault="00570E88">
            <w:pPr>
              <w:pStyle w:val="TableParagraph"/>
              <w:spacing w:before="38"/>
              <w:ind w:right="25"/>
              <w:jc w:val="right"/>
              <w:rPr>
                <w:sz w:val="17"/>
              </w:rPr>
            </w:pPr>
            <w:r>
              <w:rPr>
                <w:w w:val="102"/>
                <w:sz w:val="17"/>
              </w:rPr>
              <w:t>1</w:t>
            </w:r>
          </w:p>
        </w:tc>
        <w:tc>
          <w:tcPr>
            <w:tcW w:w="1140" w:type="dxa"/>
            <w:tcBorders>
              <w:right w:val="single" w:sz="6" w:space="0" w:color="000000"/>
            </w:tcBorders>
            <w:shd w:val="clear" w:color="auto" w:fill="F1F1F1"/>
          </w:tcPr>
          <w:p w14:paraId="58A78A7C" w14:textId="77777777" w:rsidR="00AC6F3C" w:rsidRDefault="00570E88">
            <w:pPr>
              <w:pStyle w:val="TableParagraph"/>
              <w:spacing w:before="38"/>
              <w:ind w:right="21"/>
              <w:jc w:val="right"/>
              <w:rPr>
                <w:sz w:val="17"/>
              </w:rPr>
            </w:pPr>
            <w:r>
              <w:rPr>
                <w:spacing w:val="-2"/>
                <w:sz w:val="17"/>
              </w:rPr>
              <w:t>72,532</w:t>
            </w:r>
          </w:p>
        </w:tc>
      </w:tr>
      <w:tr w:rsidR="00AC6F3C" w14:paraId="2783CB64" w14:textId="77777777">
        <w:trPr>
          <w:trHeight w:val="297"/>
        </w:trPr>
        <w:tc>
          <w:tcPr>
            <w:tcW w:w="4333" w:type="dxa"/>
            <w:tcBorders>
              <w:left w:val="single" w:sz="6" w:space="0" w:color="000000"/>
            </w:tcBorders>
          </w:tcPr>
          <w:p w14:paraId="615E3184" w14:textId="77777777" w:rsidR="00AC6F3C" w:rsidRDefault="00570E88">
            <w:pPr>
              <w:pStyle w:val="TableParagraph"/>
              <w:spacing w:before="53"/>
              <w:ind w:left="36"/>
              <w:rPr>
                <w:sz w:val="17"/>
              </w:rPr>
            </w:pPr>
            <w:r>
              <w:rPr>
                <w:sz w:val="17"/>
              </w:rPr>
              <w:t>Reinsurers'</w:t>
            </w:r>
            <w:r>
              <w:rPr>
                <w:spacing w:val="24"/>
                <w:sz w:val="17"/>
              </w:rPr>
              <w:t xml:space="preserve"> </w:t>
            </w:r>
            <w:r>
              <w:rPr>
                <w:sz w:val="17"/>
              </w:rPr>
              <w:t>share</w:t>
            </w:r>
            <w:r>
              <w:rPr>
                <w:spacing w:val="41"/>
                <w:sz w:val="17"/>
              </w:rPr>
              <w:t xml:space="preserve"> </w:t>
            </w:r>
            <w:r>
              <w:rPr>
                <w:sz w:val="17"/>
              </w:rPr>
              <w:t>of</w:t>
            </w:r>
            <w:r>
              <w:rPr>
                <w:spacing w:val="23"/>
                <w:sz w:val="17"/>
              </w:rPr>
              <w:t xml:space="preserve"> </w:t>
            </w:r>
            <w:r>
              <w:rPr>
                <w:sz w:val="17"/>
              </w:rPr>
              <w:t>outstanding</w:t>
            </w:r>
            <w:r>
              <w:rPr>
                <w:spacing w:val="41"/>
                <w:sz w:val="17"/>
              </w:rPr>
              <w:t xml:space="preserve"> </w:t>
            </w:r>
            <w:r>
              <w:rPr>
                <w:sz w:val="17"/>
              </w:rPr>
              <w:t>claims</w:t>
            </w:r>
            <w:r>
              <w:rPr>
                <w:spacing w:val="57"/>
                <w:sz w:val="17"/>
              </w:rPr>
              <w:t xml:space="preserve"> </w:t>
            </w:r>
            <w:r>
              <w:rPr>
                <w:spacing w:val="-2"/>
                <w:sz w:val="17"/>
              </w:rPr>
              <w:t>reserves</w:t>
            </w:r>
          </w:p>
        </w:tc>
        <w:tc>
          <w:tcPr>
            <w:tcW w:w="1104" w:type="dxa"/>
          </w:tcPr>
          <w:p w14:paraId="759E7FB9" w14:textId="77777777" w:rsidR="00AC6F3C" w:rsidRDefault="00570E88">
            <w:pPr>
              <w:pStyle w:val="TableParagraph"/>
              <w:spacing w:before="53"/>
              <w:ind w:right="180"/>
              <w:jc w:val="right"/>
              <w:rPr>
                <w:sz w:val="17"/>
              </w:rPr>
            </w:pPr>
            <w:r>
              <w:rPr>
                <w:spacing w:val="-2"/>
                <w:sz w:val="17"/>
              </w:rPr>
              <w:t>9,865</w:t>
            </w:r>
          </w:p>
        </w:tc>
        <w:tc>
          <w:tcPr>
            <w:tcW w:w="973" w:type="dxa"/>
          </w:tcPr>
          <w:p w14:paraId="5C96D630" w14:textId="77777777" w:rsidR="00AC6F3C" w:rsidRDefault="00570E88">
            <w:pPr>
              <w:pStyle w:val="TableParagraph"/>
              <w:spacing w:before="53"/>
              <w:ind w:right="20"/>
              <w:jc w:val="right"/>
              <w:rPr>
                <w:sz w:val="17"/>
              </w:rPr>
            </w:pPr>
            <w:r>
              <w:rPr>
                <w:w w:val="102"/>
                <w:sz w:val="17"/>
              </w:rPr>
              <w:t>-</w:t>
            </w:r>
          </w:p>
        </w:tc>
        <w:tc>
          <w:tcPr>
            <w:tcW w:w="1140" w:type="dxa"/>
            <w:tcBorders>
              <w:right w:val="single" w:sz="6" w:space="0" w:color="000000"/>
            </w:tcBorders>
            <w:shd w:val="clear" w:color="auto" w:fill="F1F1F1"/>
          </w:tcPr>
          <w:p w14:paraId="21A3E48D" w14:textId="77777777" w:rsidR="00AC6F3C" w:rsidRDefault="00570E88">
            <w:pPr>
              <w:pStyle w:val="TableParagraph"/>
              <w:spacing w:before="53"/>
              <w:ind w:right="21"/>
              <w:jc w:val="right"/>
              <w:rPr>
                <w:sz w:val="17"/>
              </w:rPr>
            </w:pPr>
            <w:r>
              <w:rPr>
                <w:spacing w:val="-2"/>
                <w:sz w:val="17"/>
              </w:rPr>
              <w:t>9,865</w:t>
            </w:r>
          </w:p>
        </w:tc>
      </w:tr>
      <w:tr w:rsidR="00AC6F3C" w14:paraId="2FBF9867" w14:textId="77777777">
        <w:trPr>
          <w:trHeight w:val="289"/>
        </w:trPr>
        <w:tc>
          <w:tcPr>
            <w:tcW w:w="4333" w:type="dxa"/>
            <w:tcBorders>
              <w:left w:val="single" w:sz="6" w:space="0" w:color="000000"/>
            </w:tcBorders>
          </w:tcPr>
          <w:p w14:paraId="061E90D3" w14:textId="77777777" w:rsidR="00AC6F3C" w:rsidRDefault="00570E88">
            <w:pPr>
              <w:pStyle w:val="TableParagraph"/>
              <w:spacing w:before="45"/>
              <w:ind w:left="36"/>
              <w:rPr>
                <w:sz w:val="17"/>
              </w:rPr>
            </w:pPr>
            <w:r>
              <w:rPr>
                <w:sz w:val="17"/>
              </w:rPr>
              <w:t>Trade</w:t>
            </w:r>
            <w:r>
              <w:rPr>
                <w:spacing w:val="14"/>
                <w:sz w:val="17"/>
              </w:rPr>
              <w:t xml:space="preserve"> </w:t>
            </w:r>
            <w:r>
              <w:rPr>
                <w:sz w:val="17"/>
              </w:rPr>
              <w:t>and</w:t>
            </w:r>
            <w:r>
              <w:rPr>
                <w:spacing w:val="15"/>
                <w:sz w:val="17"/>
              </w:rPr>
              <w:t xml:space="preserve"> </w:t>
            </w:r>
            <w:r>
              <w:rPr>
                <w:sz w:val="17"/>
              </w:rPr>
              <w:t>other</w:t>
            </w:r>
            <w:r>
              <w:rPr>
                <w:spacing w:val="9"/>
                <w:sz w:val="17"/>
              </w:rPr>
              <w:t xml:space="preserve"> </w:t>
            </w:r>
            <w:r>
              <w:rPr>
                <w:spacing w:val="-2"/>
                <w:sz w:val="17"/>
              </w:rPr>
              <w:t>receivables</w:t>
            </w:r>
          </w:p>
        </w:tc>
        <w:tc>
          <w:tcPr>
            <w:tcW w:w="1104" w:type="dxa"/>
          </w:tcPr>
          <w:p w14:paraId="5DA6ABCB" w14:textId="77777777" w:rsidR="00AC6F3C" w:rsidRDefault="00570E88">
            <w:pPr>
              <w:pStyle w:val="TableParagraph"/>
              <w:spacing w:before="45"/>
              <w:ind w:right="180"/>
              <w:jc w:val="right"/>
              <w:rPr>
                <w:sz w:val="17"/>
              </w:rPr>
            </w:pPr>
            <w:r>
              <w:rPr>
                <w:w w:val="102"/>
                <w:sz w:val="17"/>
              </w:rPr>
              <w:t>-</w:t>
            </w:r>
          </w:p>
        </w:tc>
        <w:tc>
          <w:tcPr>
            <w:tcW w:w="973" w:type="dxa"/>
          </w:tcPr>
          <w:p w14:paraId="5E196CFA" w14:textId="77777777" w:rsidR="00AC6F3C" w:rsidRDefault="00570E88">
            <w:pPr>
              <w:pStyle w:val="TableParagraph"/>
              <w:spacing w:before="45"/>
              <w:ind w:right="20"/>
              <w:jc w:val="right"/>
              <w:rPr>
                <w:sz w:val="17"/>
              </w:rPr>
            </w:pPr>
            <w:r>
              <w:rPr>
                <w:spacing w:val="-2"/>
                <w:sz w:val="17"/>
              </w:rPr>
              <w:t>2,598</w:t>
            </w:r>
          </w:p>
        </w:tc>
        <w:tc>
          <w:tcPr>
            <w:tcW w:w="1140" w:type="dxa"/>
            <w:tcBorders>
              <w:right w:val="single" w:sz="6" w:space="0" w:color="000000"/>
            </w:tcBorders>
            <w:shd w:val="clear" w:color="auto" w:fill="F1F1F1"/>
          </w:tcPr>
          <w:p w14:paraId="107691AF" w14:textId="77777777" w:rsidR="00AC6F3C" w:rsidRDefault="00570E88">
            <w:pPr>
              <w:pStyle w:val="TableParagraph"/>
              <w:spacing w:before="45"/>
              <w:ind w:right="21"/>
              <w:jc w:val="right"/>
              <w:rPr>
                <w:sz w:val="17"/>
              </w:rPr>
            </w:pPr>
            <w:r>
              <w:rPr>
                <w:spacing w:val="-2"/>
                <w:sz w:val="17"/>
              </w:rPr>
              <w:t>2,598</w:t>
            </w:r>
          </w:p>
        </w:tc>
      </w:tr>
      <w:tr w:rsidR="00AC6F3C" w14:paraId="0FF11ED8" w14:textId="77777777">
        <w:trPr>
          <w:trHeight w:val="248"/>
        </w:trPr>
        <w:tc>
          <w:tcPr>
            <w:tcW w:w="4333" w:type="dxa"/>
            <w:tcBorders>
              <w:left w:val="single" w:sz="6" w:space="0" w:color="000000"/>
              <w:bottom w:val="single" w:sz="6" w:space="0" w:color="000000"/>
            </w:tcBorders>
          </w:tcPr>
          <w:p w14:paraId="6446793D" w14:textId="77777777" w:rsidR="00AC6F3C" w:rsidRDefault="00570E88">
            <w:pPr>
              <w:pStyle w:val="TableParagraph"/>
              <w:spacing w:before="45" w:line="183" w:lineRule="exact"/>
              <w:ind w:left="36"/>
              <w:rPr>
                <w:sz w:val="17"/>
              </w:rPr>
            </w:pPr>
            <w:r>
              <w:rPr>
                <w:sz w:val="17"/>
              </w:rPr>
              <w:t>Financial</w:t>
            </w:r>
            <w:r>
              <w:rPr>
                <w:spacing w:val="19"/>
                <w:sz w:val="17"/>
              </w:rPr>
              <w:t xml:space="preserve"> </w:t>
            </w:r>
            <w:r>
              <w:rPr>
                <w:sz w:val="17"/>
              </w:rPr>
              <w:t>assets</w:t>
            </w:r>
            <w:r>
              <w:rPr>
                <w:spacing w:val="31"/>
                <w:sz w:val="17"/>
              </w:rPr>
              <w:t xml:space="preserve"> </w:t>
            </w:r>
            <w:r>
              <w:rPr>
                <w:sz w:val="17"/>
              </w:rPr>
              <w:t>at</w:t>
            </w:r>
            <w:r>
              <w:rPr>
                <w:spacing w:val="6"/>
                <w:sz w:val="17"/>
              </w:rPr>
              <w:t xml:space="preserve"> </w:t>
            </w:r>
            <w:r>
              <w:rPr>
                <w:sz w:val="17"/>
              </w:rPr>
              <w:t>fair</w:t>
            </w:r>
            <w:r>
              <w:rPr>
                <w:spacing w:val="12"/>
                <w:sz w:val="17"/>
              </w:rPr>
              <w:t xml:space="preserve"> </w:t>
            </w:r>
            <w:r>
              <w:rPr>
                <w:sz w:val="17"/>
              </w:rPr>
              <w:t>value</w:t>
            </w:r>
            <w:r>
              <w:rPr>
                <w:spacing w:val="19"/>
                <w:sz w:val="17"/>
              </w:rPr>
              <w:t xml:space="preserve"> </w:t>
            </w:r>
            <w:r>
              <w:rPr>
                <w:sz w:val="17"/>
              </w:rPr>
              <w:t>through</w:t>
            </w:r>
            <w:r>
              <w:rPr>
                <w:spacing w:val="19"/>
                <w:sz w:val="17"/>
              </w:rPr>
              <w:t xml:space="preserve"> </w:t>
            </w:r>
            <w:r>
              <w:rPr>
                <w:sz w:val="17"/>
              </w:rPr>
              <w:t>profit</w:t>
            </w:r>
            <w:r>
              <w:rPr>
                <w:spacing w:val="5"/>
                <w:sz w:val="17"/>
              </w:rPr>
              <w:t xml:space="preserve"> </w:t>
            </w:r>
            <w:r>
              <w:rPr>
                <w:sz w:val="17"/>
              </w:rPr>
              <w:t>or</w:t>
            </w:r>
            <w:r>
              <w:rPr>
                <w:spacing w:val="13"/>
                <w:sz w:val="17"/>
              </w:rPr>
              <w:t xml:space="preserve"> </w:t>
            </w:r>
            <w:r>
              <w:rPr>
                <w:spacing w:val="-4"/>
                <w:sz w:val="17"/>
              </w:rPr>
              <w:t>loss</w:t>
            </w:r>
          </w:p>
        </w:tc>
        <w:tc>
          <w:tcPr>
            <w:tcW w:w="1104" w:type="dxa"/>
            <w:tcBorders>
              <w:bottom w:val="single" w:sz="6" w:space="0" w:color="000000"/>
            </w:tcBorders>
          </w:tcPr>
          <w:p w14:paraId="7EA6007C" w14:textId="77777777" w:rsidR="00AC6F3C" w:rsidRDefault="00570E88">
            <w:pPr>
              <w:pStyle w:val="TableParagraph"/>
              <w:spacing w:before="45" w:line="183" w:lineRule="exact"/>
              <w:ind w:right="180"/>
              <w:jc w:val="right"/>
              <w:rPr>
                <w:sz w:val="17"/>
              </w:rPr>
            </w:pPr>
            <w:r>
              <w:rPr>
                <w:w w:val="102"/>
                <w:sz w:val="17"/>
              </w:rPr>
              <w:t>-</w:t>
            </w:r>
          </w:p>
        </w:tc>
        <w:tc>
          <w:tcPr>
            <w:tcW w:w="973" w:type="dxa"/>
            <w:tcBorders>
              <w:bottom w:val="single" w:sz="6" w:space="0" w:color="000000"/>
            </w:tcBorders>
          </w:tcPr>
          <w:p w14:paraId="416D8165" w14:textId="77777777" w:rsidR="00AC6F3C" w:rsidRDefault="00570E88">
            <w:pPr>
              <w:pStyle w:val="TableParagraph"/>
              <w:spacing w:before="45" w:line="183" w:lineRule="exact"/>
              <w:ind w:right="21"/>
              <w:jc w:val="right"/>
              <w:rPr>
                <w:sz w:val="17"/>
              </w:rPr>
            </w:pPr>
            <w:r>
              <w:rPr>
                <w:spacing w:val="-2"/>
                <w:sz w:val="17"/>
              </w:rPr>
              <w:t>197,465</w:t>
            </w:r>
          </w:p>
        </w:tc>
        <w:tc>
          <w:tcPr>
            <w:tcW w:w="1140" w:type="dxa"/>
            <w:tcBorders>
              <w:bottom w:val="single" w:sz="6" w:space="0" w:color="000000"/>
              <w:right w:val="single" w:sz="6" w:space="0" w:color="000000"/>
            </w:tcBorders>
            <w:shd w:val="clear" w:color="auto" w:fill="F1F1F1"/>
          </w:tcPr>
          <w:p w14:paraId="2109CC58" w14:textId="77777777" w:rsidR="00AC6F3C" w:rsidRDefault="00570E88">
            <w:pPr>
              <w:pStyle w:val="TableParagraph"/>
              <w:spacing w:before="45" w:line="183" w:lineRule="exact"/>
              <w:ind w:right="21"/>
              <w:jc w:val="right"/>
              <w:rPr>
                <w:sz w:val="17"/>
              </w:rPr>
            </w:pPr>
            <w:r>
              <w:rPr>
                <w:spacing w:val="-2"/>
                <w:sz w:val="17"/>
              </w:rPr>
              <w:t>197,465</w:t>
            </w:r>
          </w:p>
        </w:tc>
      </w:tr>
      <w:tr w:rsidR="00AC6F3C" w14:paraId="2BEBAB58" w14:textId="77777777">
        <w:trPr>
          <w:trHeight w:val="274"/>
        </w:trPr>
        <w:tc>
          <w:tcPr>
            <w:tcW w:w="4333" w:type="dxa"/>
            <w:tcBorders>
              <w:top w:val="single" w:sz="6" w:space="0" w:color="000000"/>
              <w:left w:val="single" w:sz="6" w:space="0" w:color="000000"/>
              <w:bottom w:val="single" w:sz="6" w:space="0" w:color="000000"/>
            </w:tcBorders>
            <w:shd w:val="clear" w:color="auto" w:fill="BEBEBE"/>
          </w:tcPr>
          <w:p w14:paraId="3038F3E6" w14:textId="77777777" w:rsidR="00AC6F3C" w:rsidRDefault="00570E88">
            <w:pPr>
              <w:pStyle w:val="TableParagraph"/>
              <w:spacing w:before="72" w:line="182" w:lineRule="exact"/>
              <w:ind w:left="35"/>
              <w:rPr>
                <w:b/>
                <w:sz w:val="17"/>
              </w:rPr>
            </w:pPr>
            <w:r>
              <w:rPr>
                <w:b/>
                <w:spacing w:val="-2"/>
                <w:sz w:val="17"/>
              </w:rPr>
              <w:t>Total</w:t>
            </w:r>
          </w:p>
        </w:tc>
        <w:tc>
          <w:tcPr>
            <w:tcW w:w="1104" w:type="dxa"/>
            <w:tcBorders>
              <w:top w:val="single" w:sz="6" w:space="0" w:color="000000"/>
              <w:bottom w:val="single" w:sz="6" w:space="0" w:color="000000"/>
            </w:tcBorders>
            <w:shd w:val="clear" w:color="auto" w:fill="BEBEBE"/>
          </w:tcPr>
          <w:p w14:paraId="13F19793" w14:textId="77777777" w:rsidR="00AC6F3C" w:rsidRDefault="00570E88">
            <w:pPr>
              <w:pStyle w:val="TableParagraph"/>
              <w:spacing w:before="72" w:line="182" w:lineRule="exact"/>
              <w:ind w:right="180"/>
              <w:jc w:val="right"/>
              <w:rPr>
                <w:b/>
                <w:sz w:val="17"/>
              </w:rPr>
            </w:pPr>
            <w:r>
              <w:rPr>
                <w:b/>
                <w:spacing w:val="-2"/>
                <w:sz w:val="17"/>
              </w:rPr>
              <w:t>82,396</w:t>
            </w:r>
          </w:p>
        </w:tc>
        <w:tc>
          <w:tcPr>
            <w:tcW w:w="973" w:type="dxa"/>
            <w:tcBorders>
              <w:top w:val="single" w:sz="6" w:space="0" w:color="000000"/>
              <w:bottom w:val="single" w:sz="6" w:space="0" w:color="000000"/>
            </w:tcBorders>
            <w:shd w:val="clear" w:color="auto" w:fill="BEBEBE"/>
          </w:tcPr>
          <w:p w14:paraId="36508DC9" w14:textId="77777777" w:rsidR="00AC6F3C" w:rsidRDefault="00570E88">
            <w:pPr>
              <w:pStyle w:val="TableParagraph"/>
              <w:spacing w:before="72" w:line="182" w:lineRule="exact"/>
              <w:ind w:right="21"/>
              <w:jc w:val="right"/>
              <w:rPr>
                <w:b/>
                <w:sz w:val="17"/>
              </w:rPr>
            </w:pPr>
            <w:r>
              <w:rPr>
                <w:b/>
                <w:spacing w:val="-2"/>
                <w:sz w:val="17"/>
              </w:rPr>
              <w:t>200,064</w:t>
            </w:r>
          </w:p>
        </w:tc>
        <w:tc>
          <w:tcPr>
            <w:tcW w:w="1140" w:type="dxa"/>
            <w:tcBorders>
              <w:top w:val="single" w:sz="6" w:space="0" w:color="000000"/>
              <w:bottom w:val="single" w:sz="6" w:space="0" w:color="000000"/>
              <w:right w:val="single" w:sz="6" w:space="0" w:color="000000"/>
            </w:tcBorders>
            <w:shd w:val="clear" w:color="auto" w:fill="BEBEBE"/>
          </w:tcPr>
          <w:p w14:paraId="4B5C3860" w14:textId="77777777" w:rsidR="00AC6F3C" w:rsidRDefault="00570E88">
            <w:pPr>
              <w:pStyle w:val="TableParagraph"/>
              <w:spacing w:before="72" w:line="182" w:lineRule="exact"/>
              <w:ind w:right="21"/>
              <w:jc w:val="right"/>
              <w:rPr>
                <w:b/>
                <w:sz w:val="17"/>
              </w:rPr>
            </w:pPr>
            <w:r>
              <w:rPr>
                <w:b/>
                <w:spacing w:val="-2"/>
                <w:sz w:val="17"/>
              </w:rPr>
              <w:t>282,460</w:t>
            </w:r>
          </w:p>
        </w:tc>
      </w:tr>
      <w:tr w:rsidR="00AC6F3C" w14:paraId="7BAFF42A" w14:textId="77777777">
        <w:trPr>
          <w:trHeight w:val="309"/>
        </w:trPr>
        <w:tc>
          <w:tcPr>
            <w:tcW w:w="4333" w:type="dxa"/>
            <w:tcBorders>
              <w:top w:val="single" w:sz="6" w:space="0" w:color="000000"/>
              <w:left w:val="single" w:sz="6" w:space="0" w:color="000000"/>
            </w:tcBorders>
          </w:tcPr>
          <w:p w14:paraId="0B191B19" w14:textId="77777777" w:rsidR="00AC6F3C" w:rsidRDefault="00570E88">
            <w:pPr>
              <w:pStyle w:val="TableParagraph"/>
              <w:spacing w:before="72"/>
              <w:ind w:left="35"/>
              <w:rPr>
                <w:sz w:val="17"/>
              </w:rPr>
            </w:pPr>
            <w:r>
              <w:rPr>
                <w:sz w:val="17"/>
                <w:u w:val="single"/>
              </w:rPr>
              <w:t>At</w:t>
            </w:r>
            <w:r>
              <w:rPr>
                <w:spacing w:val="-6"/>
                <w:sz w:val="17"/>
                <w:u w:val="single"/>
              </w:rPr>
              <w:t xml:space="preserve"> </w:t>
            </w:r>
            <w:r>
              <w:rPr>
                <w:sz w:val="17"/>
                <w:u w:val="single"/>
              </w:rPr>
              <w:t>30</w:t>
            </w:r>
            <w:r>
              <w:rPr>
                <w:spacing w:val="5"/>
                <w:sz w:val="17"/>
                <w:u w:val="single"/>
              </w:rPr>
              <w:t xml:space="preserve"> </w:t>
            </w:r>
            <w:r>
              <w:rPr>
                <w:sz w:val="17"/>
                <w:u w:val="single"/>
              </w:rPr>
              <w:t>June</w:t>
            </w:r>
            <w:r>
              <w:rPr>
                <w:spacing w:val="5"/>
                <w:sz w:val="17"/>
                <w:u w:val="single"/>
              </w:rPr>
              <w:t xml:space="preserve"> </w:t>
            </w:r>
            <w:r>
              <w:rPr>
                <w:spacing w:val="-4"/>
                <w:sz w:val="17"/>
                <w:u w:val="single"/>
              </w:rPr>
              <w:t>2022</w:t>
            </w:r>
          </w:p>
        </w:tc>
        <w:tc>
          <w:tcPr>
            <w:tcW w:w="1104" w:type="dxa"/>
            <w:tcBorders>
              <w:top w:val="single" w:sz="6" w:space="0" w:color="000000"/>
            </w:tcBorders>
          </w:tcPr>
          <w:p w14:paraId="5D315689" w14:textId="77777777" w:rsidR="00AC6F3C" w:rsidRDefault="00AC6F3C">
            <w:pPr>
              <w:pStyle w:val="TableParagraph"/>
              <w:rPr>
                <w:rFonts w:ascii="Times New Roman"/>
                <w:sz w:val="18"/>
              </w:rPr>
            </w:pPr>
          </w:p>
        </w:tc>
        <w:tc>
          <w:tcPr>
            <w:tcW w:w="973" w:type="dxa"/>
            <w:tcBorders>
              <w:top w:val="single" w:sz="6" w:space="0" w:color="000000"/>
            </w:tcBorders>
          </w:tcPr>
          <w:p w14:paraId="48D1B869" w14:textId="77777777" w:rsidR="00AC6F3C" w:rsidRDefault="00AC6F3C">
            <w:pPr>
              <w:pStyle w:val="TableParagraph"/>
              <w:rPr>
                <w:rFonts w:ascii="Times New Roman"/>
                <w:sz w:val="18"/>
              </w:rPr>
            </w:pPr>
          </w:p>
        </w:tc>
        <w:tc>
          <w:tcPr>
            <w:tcW w:w="1140" w:type="dxa"/>
            <w:tcBorders>
              <w:top w:val="single" w:sz="6" w:space="0" w:color="000000"/>
              <w:right w:val="single" w:sz="6" w:space="0" w:color="000000"/>
            </w:tcBorders>
            <w:shd w:val="clear" w:color="auto" w:fill="F1F1F1"/>
          </w:tcPr>
          <w:p w14:paraId="309C6A8A" w14:textId="77777777" w:rsidR="00AC6F3C" w:rsidRDefault="00AC6F3C">
            <w:pPr>
              <w:pStyle w:val="TableParagraph"/>
              <w:rPr>
                <w:rFonts w:ascii="Times New Roman"/>
                <w:sz w:val="18"/>
              </w:rPr>
            </w:pPr>
          </w:p>
        </w:tc>
      </w:tr>
      <w:tr w:rsidR="00AC6F3C" w14:paraId="5DF44F07" w14:textId="77777777">
        <w:trPr>
          <w:trHeight w:val="289"/>
        </w:trPr>
        <w:tc>
          <w:tcPr>
            <w:tcW w:w="4333" w:type="dxa"/>
            <w:tcBorders>
              <w:left w:val="single" w:sz="6" w:space="0" w:color="000000"/>
            </w:tcBorders>
          </w:tcPr>
          <w:p w14:paraId="2836ECC4" w14:textId="77777777" w:rsidR="00AC6F3C" w:rsidRDefault="00570E88">
            <w:pPr>
              <w:pStyle w:val="TableParagraph"/>
              <w:spacing w:before="38"/>
              <w:ind w:left="36"/>
              <w:rPr>
                <w:sz w:val="17"/>
              </w:rPr>
            </w:pPr>
            <w:r>
              <w:rPr>
                <w:sz w:val="17"/>
              </w:rPr>
              <w:t>Cash</w:t>
            </w:r>
            <w:r>
              <w:rPr>
                <w:spacing w:val="23"/>
                <w:sz w:val="17"/>
              </w:rPr>
              <w:t xml:space="preserve"> </w:t>
            </w:r>
            <w:r>
              <w:rPr>
                <w:sz w:val="17"/>
              </w:rPr>
              <w:t>and</w:t>
            </w:r>
            <w:r>
              <w:rPr>
                <w:spacing w:val="24"/>
                <w:sz w:val="17"/>
              </w:rPr>
              <w:t xml:space="preserve"> </w:t>
            </w:r>
            <w:r>
              <w:rPr>
                <w:sz w:val="17"/>
              </w:rPr>
              <w:t>cash</w:t>
            </w:r>
            <w:r>
              <w:rPr>
                <w:spacing w:val="24"/>
                <w:sz w:val="17"/>
              </w:rPr>
              <w:t xml:space="preserve"> </w:t>
            </w:r>
            <w:r>
              <w:rPr>
                <w:spacing w:val="-2"/>
                <w:sz w:val="17"/>
              </w:rPr>
              <w:t>equivalents</w:t>
            </w:r>
          </w:p>
        </w:tc>
        <w:tc>
          <w:tcPr>
            <w:tcW w:w="1104" w:type="dxa"/>
          </w:tcPr>
          <w:p w14:paraId="5E25D845" w14:textId="77777777" w:rsidR="00AC6F3C" w:rsidRDefault="00570E88">
            <w:pPr>
              <w:pStyle w:val="TableParagraph"/>
              <w:spacing w:before="38"/>
              <w:ind w:right="180"/>
              <w:jc w:val="right"/>
              <w:rPr>
                <w:sz w:val="17"/>
              </w:rPr>
            </w:pPr>
            <w:r>
              <w:rPr>
                <w:spacing w:val="-2"/>
                <w:sz w:val="17"/>
              </w:rPr>
              <w:t>69,349</w:t>
            </w:r>
          </w:p>
        </w:tc>
        <w:tc>
          <w:tcPr>
            <w:tcW w:w="973" w:type="dxa"/>
          </w:tcPr>
          <w:p w14:paraId="6CE6AA54" w14:textId="77777777" w:rsidR="00AC6F3C" w:rsidRDefault="00570E88">
            <w:pPr>
              <w:pStyle w:val="TableParagraph"/>
              <w:spacing w:before="38"/>
              <w:ind w:right="25"/>
              <w:jc w:val="right"/>
              <w:rPr>
                <w:sz w:val="17"/>
              </w:rPr>
            </w:pPr>
            <w:r>
              <w:rPr>
                <w:w w:val="102"/>
                <w:sz w:val="17"/>
              </w:rPr>
              <w:t>1</w:t>
            </w:r>
          </w:p>
        </w:tc>
        <w:tc>
          <w:tcPr>
            <w:tcW w:w="1140" w:type="dxa"/>
            <w:tcBorders>
              <w:right w:val="single" w:sz="6" w:space="0" w:color="000000"/>
            </w:tcBorders>
            <w:shd w:val="clear" w:color="auto" w:fill="F1F1F1"/>
          </w:tcPr>
          <w:p w14:paraId="68213B7E" w14:textId="77777777" w:rsidR="00AC6F3C" w:rsidRDefault="00570E88">
            <w:pPr>
              <w:pStyle w:val="TableParagraph"/>
              <w:spacing w:before="38"/>
              <w:ind w:right="21"/>
              <w:jc w:val="right"/>
              <w:rPr>
                <w:sz w:val="17"/>
              </w:rPr>
            </w:pPr>
            <w:r>
              <w:rPr>
                <w:spacing w:val="-2"/>
                <w:sz w:val="17"/>
              </w:rPr>
              <w:t>69,350</w:t>
            </w:r>
          </w:p>
        </w:tc>
      </w:tr>
      <w:tr w:rsidR="00AC6F3C" w14:paraId="6F44F507" w14:textId="77777777">
        <w:trPr>
          <w:trHeight w:val="297"/>
        </w:trPr>
        <w:tc>
          <w:tcPr>
            <w:tcW w:w="4333" w:type="dxa"/>
            <w:tcBorders>
              <w:left w:val="single" w:sz="6" w:space="0" w:color="000000"/>
            </w:tcBorders>
          </w:tcPr>
          <w:p w14:paraId="00889BDC" w14:textId="77777777" w:rsidR="00AC6F3C" w:rsidRDefault="00570E88">
            <w:pPr>
              <w:pStyle w:val="TableParagraph"/>
              <w:spacing w:before="53"/>
              <w:ind w:left="36"/>
              <w:rPr>
                <w:sz w:val="17"/>
              </w:rPr>
            </w:pPr>
            <w:r>
              <w:rPr>
                <w:sz w:val="17"/>
              </w:rPr>
              <w:t>Reinsurers'</w:t>
            </w:r>
            <w:r>
              <w:rPr>
                <w:spacing w:val="24"/>
                <w:sz w:val="17"/>
              </w:rPr>
              <w:t xml:space="preserve"> </w:t>
            </w:r>
            <w:r>
              <w:rPr>
                <w:sz w:val="17"/>
              </w:rPr>
              <w:t>share</w:t>
            </w:r>
            <w:r>
              <w:rPr>
                <w:spacing w:val="41"/>
                <w:sz w:val="17"/>
              </w:rPr>
              <w:t xml:space="preserve"> </w:t>
            </w:r>
            <w:r>
              <w:rPr>
                <w:sz w:val="17"/>
              </w:rPr>
              <w:t>of</w:t>
            </w:r>
            <w:r>
              <w:rPr>
                <w:spacing w:val="23"/>
                <w:sz w:val="17"/>
              </w:rPr>
              <w:t xml:space="preserve"> </w:t>
            </w:r>
            <w:r>
              <w:rPr>
                <w:sz w:val="17"/>
              </w:rPr>
              <w:t>outstanding</w:t>
            </w:r>
            <w:r>
              <w:rPr>
                <w:spacing w:val="41"/>
                <w:sz w:val="17"/>
              </w:rPr>
              <w:t xml:space="preserve"> </w:t>
            </w:r>
            <w:r>
              <w:rPr>
                <w:sz w:val="17"/>
              </w:rPr>
              <w:t>claims</w:t>
            </w:r>
            <w:r>
              <w:rPr>
                <w:spacing w:val="57"/>
                <w:sz w:val="17"/>
              </w:rPr>
              <w:t xml:space="preserve"> </w:t>
            </w:r>
            <w:r>
              <w:rPr>
                <w:spacing w:val="-2"/>
                <w:sz w:val="17"/>
              </w:rPr>
              <w:t>reserves</w:t>
            </w:r>
          </w:p>
        </w:tc>
        <w:tc>
          <w:tcPr>
            <w:tcW w:w="1104" w:type="dxa"/>
          </w:tcPr>
          <w:p w14:paraId="13CFF202" w14:textId="77777777" w:rsidR="00AC6F3C" w:rsidRDefault="00570E88">
            <w:pPr>
              <w:pStyle w:val="TableParagraph"/>
              <w:spacing w:before="53"/>
              <w:ind w:right="180"/>
              <w:jc w:val="right"/>
              <w:rPr>
                <w:sz w:val="17"/>
              </w:rPr>
            </w:pPr>
            <w:r>
              <w:rPr>
                <w:spacing w:val="-5"/>
                <w:sz w:val="17"/>
              </w:rPr>
              <w:t>673</w:t>
            </w:r>
          </w:p>
        </w:tc>
        <w:tc>
          <w:tcPr>
            <w:tcW w:w="973" w:type="dxa"/>
          </w:tcPr>
          <w:p w14:paraId="2B83FB37" w14:textId="77777777" w:rsidR="00AC6F3C" w:rsidRDefault="00570E88">
            <w:pPr>
              <w:pStyle w:val="TableParagraph"/>
              <w:spacing w:before="53"/>
              <w:ind w:right="20"/>
              <w:jc w:val="right"/>
              <w:rPr>
                <w:sz w:val="17"/>
              </w:rPr>
            </w:pPr>
            <w:r>
              <w:rPr>
                <w:w w:val="102"/>
                <w:sz w:val="17"/>
              </w:rPr>
              <w:t>-</w:t>
            </w:r>
          </w:p>
        </w:tc>
        <w:tc>
          <w:tcPr>
            <w:tcW w:w="1140" w:type="dxa"/>
            <w:tcBorders>
              <w:right w:val="single" w:sz="6" w:space="0" w:color="000000"/>
            </w:tcBorders>
            <w:shd w:val="clear" w:color="auto" w:fill="F1F1F1"/>
          </w:tcPr>
          <w:p w14:paraId="01492CB6" w14:textId="77777777" w:rsidR="00AC6F3C" w:rsidRDefault="00570E88">
            <w:pPr>
              <w:pStyle w:val="TableParagraph"/>
              <w:spacing w:before="53"/>
              <w:ind w:right="21"/>
              <w:jc w:val="right"/>
              <w:rPr>
                <w:sz w:val="17"/>
              </w:rPr>
            </w:pPr>
            <w:r>
              <w:rPr>
                <w:spacing w:val="-5"/>
                <w:sz w:val="17"/>
              </w:rPr>
              <w:t>673</w:t>
            </w:r>
          </w:p>
        </w:tc>
      </w:tr>
      <w:tr w:rsidR="00AC6F3C" w14:paraId="2522140D" w14:textId="77777777">
        <w:trPr>
          <w:trHeight w:val="289"/>
        </w:trPr>
        <w:tc>
          <w:tcPr>
            <w:tcW w:w="4333" w:type="dxa"/>
            <w:tcBorders>
              <w:left w:val="single" w:sz="6" w:space="0" w:color="000000"/>
            </w:tcBorders>
          </w:tcPr>
          <w:p w14:paraId="43790ADD" w14:textId="77777777" w:rsidR="00AC6F3C" w:rsidRDefault="00570E88">
            <w:pPr>
              <w:pStyle w:val="TableParagraph"/>
              <w:spacing w:before="45"/>
              <w:ind w:left="36"/>
              <w:rPr>
                <w:sz w:val="17"/>
              </w:rPr>
            </w:pPr>
            <w:r>
              <w:rPr>
                <w:sz w:val="17"/>
              </w:rPr>
              <w:t>Trade</w:t>
            </w:r>
            <w:r>
              <w:rPr>
                <w:spacing w:val="14"/>
                <w:sz w:val="17"/>
              </w:rPr>
              <w:t xml:space="preserve"> </w:t>
            </w:r>
            <w:r>
              <w:rPr>
                <w:sz w:val="17"/>
              </w:rPr>
              <w:t>and</w:t>
            </w:r>
            <w:r>
              <w:rPr>
                <w:spacing w:val="15"/>
                <w:sz w:val="17"/>
              </w:rPr>
              <w:t xml:space="preserve"> </w:t>
            </w:r>
            <w:r>
              <w:rPr>
                <w:sz w:val="17"/>
              </w:rPr>
              <w:t>other</w:t>
            </w:r>
            <w:r>
              <w:rPr>
                <w:spacing w:val="9"/>
                <w:sz w:val="17"/>
              </w:rPr>
              <w:t xml:space="preserve"> </w:t>
            </w:r>
            <w:r>
              <w:rPr>
                <w:spacing w:val="-2"/>
                <w:sz w:val="17"/>
              </w:rPr>
              <w:t>receivables</w:t>
            </w:r>
          </w:p>
        </w:tc>
        <w:tc>
          <w:tcPr>
            <w:tcW w:w="1104" w:type="dxa"/>
          </w:tcPr>
          <w:p w14:paraId="15A28A8B" w14:textId="77777777" w:rsidR="00AC6F3C" w:rsidRDefault="00570E88">
            <w:pPr>
              <w:pStyle w:val="TableParagraph"/>
              <w:spacing w:before="45"/>
              <w:ind w:right="180"/>
              <w:jc w:val="right"/>
              <w:rPr>
                <w:sz w:val="17"/>
              </w:rPr>
            </w:pPr>
            <w:r>
              <w:rPr>
                <w:w w:val="102"/>
                <w:sz w:val="17"/>
              </w:rPr>
              <w:t>-</w:t>
            </w:r>
          </w:p>
        </w:tc>
        <w:tc>
          <w:tcPr>
            <w:tcW w:w="973" w:type="dxa"/>
          </w:tcPr>
          <w:p w14:paraId="17A9AA33" w14:textId="77777777" w:rsidR="00AC6F3C" w:rsidRDefault="00570E88">
            <w:pPr>
              <w:pStyle w:val="TableParagraph"/>
              <w:spacing w:before="45"/>
              <w:ind w:right="20"/>
              <w:jc w:val="right"/>
              <w:rPr>
                <w:sz w:val="17"/>
              </w:rPr>
            </w:pPr>
            <w:r>
              <w:rPr>
                <w:spacing w:val="-2"/>
                <w:sz w:val="17"/>
              </w:rPr>
              <w:t>1,437</w:t>
            </w:r>
          </w:p>
        </w:tc>
        <w:tc>
          <w:tcPr>
            <w:tcW w:w="1140" w:type="dxa"/>
            <w:tcBorders>
              <w:right w:val="single" w:sz="6" w:space="0" w:color="000000"/>
            </w:tcBorders>
            <w:shd w:val="clear" w:color="auto" w:fill="F1F1F1"/>
          </w:tcPr>
          <w:p w14:paraId="62F326BD" w14:textId="77777777" w:rsidR="00AC6F3C" w:rsidRDefault="00570E88">
            <w:pPr>
              <w:pStyle w:val="TableParagraph"/>
              <w:spacing w:before="45"/>
              <w:ind w:right="21"/>
              <w:jc w:val="right"/>
              <w:rPr>
                <w:sz w:val="17"/>
              </w:rPr>
            </w:pPr>
            <w:r>
              <w:rPr>
                <w:spacing w:val="-2"/>
                <w:sz w:val="17"/>
              </w:rPr>
              <w:t>1,437</w:t>
            </w:r>
          </w:p>
        </w:tc>
      </w:tr>
      <w:tr w:rsidR="00AC6F3C" w14:paraId="64FDFC99" w14:textId="77777777">
        <w:trPr>
          <w:trHeight w:val="248"/>
        </w:trPr>
        <w:tc>
          <w:tcPr>
            <w:tcW w:w="4333" w:type="dxa"/>
            <w:tcBorders>
              <w:left w:val="single" w:sz="6" w:space="0" w:color="000000"/>
              <w:bottom w:val="single" w:sz="6" w:space="0" w:color="000000"/>
            </w:tcBorders>
          </w:tcPr>
          <w:p w14:paraId="27680613" w14:textId="77777777" w:rsidR="00AC6F3C" w:rsidRDefault="00570E88">
            <w:pPr>
              <w:pStyle w:val="TableParagraph"/>
              <w:spacing w:before="45" w:line="183" w:lineRule="exact"/>
              <w:ind w:left="36"/>
              <w:rPr>
                <w:sz w:val="17"/>
              </w:rPr>
            </w:pPr>
            <w:r>
              <w:rPr>
                <w:sz w:val="17"/>
              </w:rPr>
              <w:t>Financial</w:t>
            </w:r>
            <w:r>
              <w:rPr>
                <w:spacing w:val="19"/>
                <w:sz w:val="17"/>
              </w:rPr>
              <w:t xml:space="preserve"> </w:t>
            </w:r>
            <w:r>
              <w:rPr>
                <w:sz w:val="17"/>
              </w:rPr>
              <w:t>assets</w:t>
            </w:r>
            <w:r>
              <w:rPr>
                <w:spacing w:val="31"/>
                <w:sz w:val="17"/>
              </w:rPr>
              <w:t xml:space="preserve"> </w:t>
            </w:r>
            <w:r>
              <w:rPr>
                <w:sz w:val="17"/>
              </w:rPr>
              <w:t>at</w:t>
            </w:r>
            <w:r>
              <w:rPr>
                <w:spacing w:val="6"/>
                <w:sz w:val="17"/>
              </w:rPr>
              <w:t xml:space="preserve"> </w:t>
            </w:r>
            <w:r>
              <w:rPr>
                <w:sz w:val="17"/>
              </w:rPr>
              <w:t>fair</w:t>
            </w:r>
            <w:r>
              <w:rPr>
                <w:spacing w:val="12"/>
                <w:sz w:val="17"/>
              </w:rPr>
              <w:t xml:space="preserve"> </w:t>
            </w:r>
            <w:r>
              <w:rPr>
                <w:sz w:val="17"/>
              </w:rPr>
              <w:t>value</w:t>
            </w:r>
            <w:r>
              <w:rPr>
                <w:spacing w:val="19"/>
                <w:sz w:val="17"/>
              </w:rPr>
              <w:t xml:space="preserve"> </w:t>
            </w:r>
            <w:r>
              <w:rPr>
                <w:sz w:val="17"/>
              </w:rPr>
              <w:t>through</w:t>
            </w:r>
            <w:r>
              <w:rPr>
                <w:spacing w:val="19"/>
                <w:sz w:val="17"/>
              </w:rPr>
              <w:t xml:space="preserve"> </w:t>
            </w:r>
            <w:r>
              <w:rPr>
                <w:sz w:val="17"/>
              </w:rPr>
              <w:t>profit</w:t>
            </w:r>
            <w:r>
              <w:rPr>
                <w:spacing w:val="5"/>
                <w:sz w:val="17"/>
              </w:rPr>
              <w:t xml:space="preserve"> </w:t>
            </w:r>
            <w:r>
              <w:rPr>
                <w:sz w:val="17"/>
              </w:rPr>
              <w:t>or</w:t>
            </w:r>
            <w:r>
              <w:rPr>
                <w:spacing w:val="13"/>
                <w:sz w:val="17"/>
              </w:rPr>
              <w:t xml:space="preserve"> </w:t>
            </w:r>
            <w:r>
              <w:rPr>
                <w:spacing w:val="-4"/>
                <w:sz w:val="17"/>
              </w:rPr>
              <w:t>loss</w:t>
            </w:r>
          </w:p>
        </w:tc>
        <w:tc>
          <w:tcPr>
            <w:tcW w:w="1104" w:type="dxa"/>
            <w:tcBorders>
              <w:bottom w:val="single" w:sz="6" w:space="0" w:color="000000"/>
            </w:tcBorders>
          </w:tcPr>
          <w:p w14:paraId="5CBDC817" w14:textId="77777777" w:rsidR="00AC6F3C" w:rsidRDefault="00570E88">
            <w:pPr>
              <w:pStyle w:val="TableParagraph"/>
              <w:spacing w:before="45" w:line="183" w:lineRule="exact"/>
              <w:ind w:right="180"/>
              <w:jc w:val="right"/>
              <w:rPr>
                <w:sz w:val="17"/>
              </w:rPr>
            </w:pPr>
            <w:r>
              <w:rPr>
                <w:w w:val="102"/>
                <w:sz w:val="17"/>
              </w:rPr>
              <w:t>-</w:t>
            </w:r>
          </w:p>
        </w:tc>
        <w:tc>
          <w:tcPr>
            <w:tcW w:w="973" w:type="dxa"/>
            <w:tcBorders>
              <w:bottom w:val="single" w:sz="6" w:space="0" w:color="000000"/>
            </w:tcBorders>
          </w:tcPr>
          <w:p w14:paraId="77B1F53E" w14:textId="77777777" w:rsidR="00AC6F3C" w:rsidRDefault="00570E88">
            <w:pPr>
              <w:pStyle w:val="TableParagraph"/>
              <w:spacing w:before="45" w:line="183" w:lineRule="exact"/>
              <w:ind w:right="21"/>
              <w:jc w:val="right"/>
              <w:rPr>
                <w:sz w:val="17"/>
              </w:rPr>
            </w:pPr>
            <w:r>
              <w:rPr>
                <w:spacing w:val="-2"/>
                <w:sz w:val="17"/>
              </w:rPr>
              <w:t>185,460</w:t>
            </w:r>
          </w:p>
        </w:tc>
        <w:tc>
          <w:tcPr>
            <w:tcW w:w="1140" w:type="dxa"/>
            <w:tcBorders>
              <w:bottom w:val="single" w:sz="6" w:space="0" w:color="000000"/>
              <w:right w:val="single" w:sz="6" w:space="0" w:color="000000"/>
            </w:tcBorders>
            <w:shd w:val="clear" w:color="auto" w:fill="F1F1F1"/>
          </w:tcPr>
          <w:p w14:paraId="011A3208" w14:textId="77777777" w:rsidR="00AC6F3C" w:rsidRDefault="00570E88">
            <w:pPr>
              <w:pStyle w:val="TableParagraph"/>
              <w:spacing w:before="45" w:line="183" w:lineRule="exact"/>
              <w:ind w:right="21"/>
              <w:jc w:val="right"/>
              <w:rPr>
                <w:sz w:val="17"/>
              </w:rPr>
            </w:pPr>
            <w:r>
              <w:rPr>
                <w:spacing w:val="-2"/>
                <w:sz w:val="17"/>
              </w:rPr>
              <w:t>185,460</w:t>
            </w:r>
          </w:p>
        </w:tc>
      </w:tr>
      <w:tr w:rsidR="00AC6F3C" w14:paraId="20E8DB63" w14:textId="77777777">
        <w:trPr>
          <w:trHeight w:val="274"/>
        </w:trPr>
        <w:tc>
          <w:tcPr>
            <w:tcW w:w="4333" w:type="dxa"/>
            <w:tcBorders>
              <w:top w:val="single" w:sz="6" w:space="0" w:color="000000"/>
              <w:left w:val="single" w:sz="6" w:space="0" w:color="000000"/>
              <w:bottom w:val="single" w:sz="6" w:space="0" w:color="000000"/>
            </w:tcBorders>
            <w:shd w:val="clear" w:color="auto" w:fill="BEBEBE"/>
          </w:tcPr>
          <w:p w14:paraId="7ED0736A" w14:textId="77777777" w:rsidR="00AC6F3C" w:rsidRDefault="00570E88">
            <w:pPr>
              <w:pStyle w:val="TableParagraph"/>
              <w:spacing w:before="72" w:line="182" w:lineRule="exact"/>
              <w:ind w:left="35"/>
              <w:rPr>
                <w:b/>
                <w:sz w:val="17"/>
              </w:rPr>
            </w:pPr>
            <w:r>
              <w:rPr>
                <w:b/>
                <w:spacing w:val="-2"/>
                <w:sz w:val="17"/>
              </w:rPr>
              <w:t>Total</w:t>
            </w:r>
          </w:p>
        </w:tc>
        <w:tc>
          <w:tcPr>
            <w:tcW w:w="1104" w:type="dxa"/>
            <w:tcBorders>
              <w:top w:val="single" w:sz="6" w:space="0" w:color="000000"/>
              <w:bottom w:val="single" w:sz="6" w:space="0" w:color="000000"/>
            </w:tcBorders>
            <w:shd w:val="clear" w:color="auto" w:fill="BEBEBE"/>
          </w:tcPr>
          <w:p w14:paraId="1DE89C27" w14:textId="77777777" w:rsidR="00AC6F3C" w:rsidRDefault="00570E88">
            <w:pPr>
              <w:pStyle w:val="TableParagraph"/>
              <w:spacing w:before="72" w:line="182" w:lineRule="exact"/>
              <w:ind w:right="180"/>
              <w:jc w:val="right"/>
              <w:rPr>
                <w:b/>
                <w:sz w:val="17"/>
              </w:rPr>
            </w:pPr>
            <w:r>
              <w:rPr>
                <w:b/>
                <w:spacing w:val="-2"/>
                <w:sz w:val="17"/>
              </w:rPr>
              <w:t>70,022</w:t>
            </w:r>
          </w:p>
        </w:tc>
        <w:tc>
          <w:tcPr>
            <w:tcW w:w="973" w:type="dxa"/>
            <w:tcBorders>
              <w:top w:val="single" w:sz="6" w:space="0" w:color="000000"/>
              <w:bottom w:val="single" w:sz="6" w:space="0" w:color="000000"/>
            </w:tcBorders>
            <w:shd w:val="clear" w:color="auto" w:fill="BEBEBE"/>
          </w:tcPr>
          <w:p w14:paraId="7FBB3458" w14:textId="77777777" w:rsidR="00AC6F3C" w:rsidRDefault="00570E88">
            <w:pPr>
              <w:pStyle w:val="TableParagraph"/>
              <w:spacing w:before="72" w:line="182" w:lineRule="exact"/>
              <w:ind w:right="21"/>
              <w:jc w:val="right"/>
              <w:rPr>
                <w:b/>
                <w:sz w:val="17"/>
              </w:rPr>
            </w:pPr>
            <w:r>
              <w:rPr>
                <w:b/>
                <w:spacing w:val="-2"/>
                <w:sz w:val="17"/>
              </w:rPr>
              <w:t>186,898</w:t>
            </w:r>
          </w:p>
        </w:tc>
        <w:tc>
          <w:tcPr>
            <w:tcW w:w="1140" w:type="dxa"/>
            <w:tcBorders>
              <w:top w:val="single" w:sz="6" w:space="0" w:color="000000"/>
              <w:bottom w:val="single" w:sz="6" w:space="0" w:color="000000"/>
              <w:right w:val="single" w:sz="6" w:space="0" w:color="000000"/>
            </w:tcBorders>
            <w:shd w:val="clear" w:color="auto" w:fill="BEBEBE"/>
          </w:tcPr>
          <w:p w14:paraId="4BD40C4E" w14:textId="77777777" w:rsidR="00AC6F3C" w:rsidRDefault="00570E88">
            <w:pPr>
              <w:pStyle w:val="TableParagraph"/>
              <w:spacing w:before="72" w:line="182" w:lineRule="exact"/>
              <w:ind w:right="21"/>
              <w:jc w:val="right"/>
              <w:rPr>
                <w:b/>
                <w:sz w:val="17"/>
              </w:rPr>
            </w:pPr>
            <w:r>
              <w:rPr>
                <w:b/>
                <w:spacing w:val="-2"/>
                <w:sz w:val="17"/>
              </w:rPr>
              <w:t>256,920</w:t>
            </w:r>
          </w:p>
        </w:tc>
      </w:tr>
    </w:tbl>
    <w:p w14:paraId="203530A5" w14:textId="77777777" w:rsidR="00AC6F3C" w:rsidRDefault="00AC6F3C">
      <w:pPr>
        <w:spacing w:line="182" w:lineRule="exact"/>
        <w:jc w:val="right"/>
        <w:rPr>
          <w:sz w:val="17"/>
        </w:rPr>
        <w:sectPr w:rsidR="00AC6F3C">
          <w:pgSz w:w="11910" w:h="16840"/>
          <w:pgMar w:top="2020" w:right="1160" w:bottom="520" w:left="460" w:header="1228" w:footer="336" w:gutter="0"/>
          <w:cols w:space="720"/>
        </w:sectPr>
      </w:pPr>
    </w:p>
    <w:p w14:paraId="3397EEF4" w14:textId="77777777" w:rsidR="00AC6F3C" w:rsidRDefault="00AC6F3C">
      <w:pPr>
        <w:pStyle w:val="BodyText"/>
      </w:pPr>
    </w:p>
    <w:p w14:paraId="66B6C547" w14:textId="77777777" w:rsidR="00AC6F3C" w:rsidRDefault="00570E88">
      <w:pPr>
        <w:tabs>
          <w:tab w:val="left" w:pos="1810"/>
        </w:tabs>
        <w:spacing w:before="249" w:line="322" w:lineRule="exact"/>
        <w:ind w:left="958"/>
        <w:rPr>
          <w:b/>
          <w:sz w:val="28"/>
        </w:rPr>
      </w:pPr>
      <w:r>
        <w:rPr>
          <w:b/>
          <w:spacing w:val="-5"/>
          <w:sz w:val="28"/>
        </w:rPr>
        <w:t>D2</w:t>
      </w:r>
      <w:r>
        <w:rPr>
          <w:b/>
          <w:sz w:val="28"/>
        </w:rPr>
        <w:tab/>
        <w:t>MANAGEMENT</w:t>
      </w:r>
      <w:r>
        <w:rPr>
          <w:b/>
          <w:spacing w:val="-7"/>
          <w:sz w:val="28"/>
        </w:rPr>
        <w:t xml:space="preserve"> </w:t>
      </w:r>
      <w:r>
        <w:rPr>
          <w:b/>
          <w:sz w:val="28"/>
        </w:rPr>
        <w:t>OF</w:t>
      </w:r>
      <w:r>
        <w:rPr>
          <w:b/>
          <w:spacing w:val="-7"/>
          <w:sz w:val="28"/>
        </w:rPr>
        <w:t xml:space="preserve"> </w:t>
      </w:r>
      <w:r>
        <w:rPr>
          <w:b/>
          <w:sz w:val="28"/>
        </w:rPr>
        <w:t>INSURANCE</w:t>
      </w:r>
      <w:r>
        <w:rPr>
          <w:b/>
          <w:spacing w:val="-5"/>
          <w:sz w:val="28"/>
        </w:rPr>
        <w:t xml:space="preserve"> </w:t>
      </w:r>
      <w:r>
        <w:rPr>
          <w:b/>
          <w:sz w:val="28"/>
        </w:rPr>
        <w:t>AND</w:t>
      </w:r>
      <w:r>
        <w:rPr>
          <w:b/>
          <w:spacing w:val="-7"/>
          <w:sz w:val="28"/>
        </w:rPr>
        <w:t xml:space="preserve"> </w:t>
      </w:r>
      <w:r>
        <w:rPr>
          <w:b/>
          <w:sz w:val="28"/>
        </w:rPr>
        <w:t>FINANCIAL</w:t>
      </w:r>
      <w:r>
        <w:rPr>
          <w:b/>
          <w:spacing w:val="-6"/>
          <w:sz w:val="28"/>
        </w:rPr>
        <w:t xml:space="preserve"> </w:t>
      </w:r>
      <w:r>
        <w:rPr>
          <w:b/>
          <w:spacing w:val="-4"/>
          <w:sz w:val="28"/>
        </w:rPr>
        <w:t>RISK</w:t>
      </w:r>
    </w:p>
    <w:p w14:paraId="0CBB2F4E" w14:textId="77777777" w:rsidR="00AC6F3C" w:rsidRDefault="00570E88">
      <w:pPr>
        <w:spacing w:line="322" w:lineRule="exact"/>
        <w:ind w:left="1810"/>
        <w:rPr>
          <w:b/>
          <w:sz w:val="28"/>
        </w:rPr>
      </w:pPr>
      <w:r>
        <w:rPr>
          <w:b/>
          <w:spacing w:val="-2"/>
          <w:sz w:val="28"/>
        </w:rPr>
        <w:t>(continued)</w:t>
      </w:r>
    </w:p>
    <w:p w14:paraId="04127624" w14:textId="77777777" w:rsidR="00AC6F3C" w:rsidRDefault="00570E88">
      <w:pPr>
        <w:pStyle w:val="Heading6"/>
        <w:tabs>
          <w:tab w:val="left" w:pos="1810"/>
        </w:tabs>
      </w:pPr>
      <w:r>
        <w:rPr>
          <w:spacing w:val="-2"/>
        </w:rPr>
        <w:t>D2-</w:t>
      </w:r>
      <w:r>
        <w:rPr>
          <w:spacing w:val="-10"/>
        </w:rPr>
        <w:t>4</w:t>
      </w:r>
      <w:r>
        <w:tab/>
        <w:t>FINANCIAL</w:t>
      </w:r>
      <w:r>
        <w:rPr>
          <w:spacing w:val="-7"/>
        </w:rPr>
        <w:t xml:space="preserve"> </w:t>
      </w:r>
      <w:r>
        <w:t>INSTRUMENTS</w:t>
      </w:r>
      <w:r>
        <w:rPr>
          <w:spacing w:val="-2"/>
        </w:rPr>
        <w:t xml:space="preserve"> </w:t>
      </w:r>
      <w:r>
        <w:t>AND</w:t>
      </w:r>
      <w:r>
        <w:rPr>
          <w:spacing w:val="-3"/>
        </w:rPr>
        <w:t xml:space="preserve"> </w:t>
      </w:r>
      <w:r>
        <w:t>FINANCIAL</w:t>
      </w:r>
      <w:r>
        <w:rPr>
          <w:spacing w:val="-3"/>
        </w:rPr>
        <w:t xml:space="preserve"> </w:t>
      </w:r>
      <w:r>
        <w:t>RISK</w:t>
      </w:r>
      <w:r>
        <w:rPr>
          <w:spacing w:val="-4"/>
        </w:rPr>
        <w:t xml:space="preserve"> </w:t>
      </w:r>
      <w:r>
        <w:rPr>
          <w:spacing w:val="-2"/>
        </w:rPr>
        <w:t>MANAGEMENT</w:t>
      </w:r>
    </w:p>
    <w:p w14:paraId="534AFC66" w14:textId="77777777" w:rsidR="00AC6F3C" w:rsidRDefault="00570E88">
      <w:pPr>
        <w:pStyle w:val="Heading7"/>
        <w:spacing w:before="0"/>
        <w:ind w:left="1810"/>
      </w:pPr>
      <w:r>
        <w:rPr>
          <w:spacing w:val="-2"/>
        </w:rPr>
        <w:t>(continued)</w:t>
      </w:r>
    </w:p>
    <w:p w14:paraId="7EC1AD2B" w14:textId="77777777" w:rsidR="00AC6F3C" w:rsidRDefault="00AC6F3C">
      <w:pPr>
        <w:pStyle w:val="BodyText"/>
        <w:spacing w:before="9"/>
        <w:rPr>
          <w:b/>
        </w:rPr>
      </w:pPr>
    </w:p>
    <w:p w14:paraId="671D3BD6" w14:textId="77777777" w:rsidR="00AC6F3C" w:rsidRDefault="00570E88">
      <w:pPr>
        <w:numPr>
          <w:ilvl w:val="0"/>
          <w:numId w:val="24"/>
        </w:numPr>
        <w:tabs>
          <w:tab w:val="left" w:pos="1315"/>
        </w:tabs>
        <w:ind w:left="1315" w:hanging="357"/>
        <w:rPr>
          <w:b/>
          <w:sz w:val="20"/>
        </w:rPr>
      </w:pPr>
      <w:r>
        <w:rPr>
          <w:b/>
          <w:sz w:val="20"/>
        </w:rPr>
        <w:t>Liquidity</w:t>
      </w:r>
      <w:r>
        <w:rPr>
          <w:b/>
          <w:spacing w:val="-13"/>
          <w:sz w:val="20"/>
        </w:rPr>
        <w:t xml:space="preserve"> </w:t>
      </w:r>
      <w:r>
        <w:rPr>
          <w:b/>
          <w:spacing w:val="-4"/>
          <w:sz w:val="20"/>
        </w:rPr>
        <w:t>risk</w:t>
      </w:r>
    </w:p>
    <w:p w14:paraId="678D6C43" w14:textId="77777777" w:rsidR="00AC6F3C" w:rsidRDefault="00570E88">
      <w:pPr>
        <w:spacing w:before="120"/>
        <w:ind w:left="958" w:right="836"/>
        <w:rPr>
          <w:sz w:val="18"/>
        </w:rPr>
      </w:pPr>
      <w:r>
        <w:rPr>
          <w:sz w:val="18"/>
        </w:rPr>
        <w:t>In the</w:t>
      </w:r>
      <w:r>
        <w:rPr>
          <w:spacing w:val="-3"/>
          <w:sz w:val="18"/>
        </w:rPr>
        <w:t xml:space="preserve"> </w:t>
      </w:r>
      <w:r>
        <w:rPr>
          <w:sz w:val="18"/>
        </w:rPr>
        <w:t>management</w:t>
      </w:r>
      <w:r>
        <w:rPr>
          <w:spacing w:val="-1"/>
          <w:sz w:val="18"/>
        </w:rPr>
        <w:t xml:space="preserve"> </w:t>
      </w:r>
      <w:r>
        <w:rPr>
          <w:sz w:val="18"/>
        </w:rPr>
        <w:t>of</w:t>
      </w:r>
      <w:r>
        <w:rPr>
          <w:spacing w:val="-3"/>
          <w:sz w:val="18"/>
        </w:rPr>
        <w:t xml:space="preserve"> </w:t>
      </w:r>
      <w:r>
        <w:rPr>
          <w:sz w:val="18"/>
        </w:rPr>
        <w:t>liquidity</w:t>
      </w:r>
      <w:r>
        <w:rPr>
          <w:spacing w:val="-2"/>
          <w:sz w:val="18"/>
        </w:rPr>
        <w:t xml:space="preserve"> </w:t>
      </w:r>
      <w:r>
        <w:rPr>
          <w:sz w:val="18"/>
        </w:rPr>
        <w:t>risk,</w:t>
      </w:r>
      <w:r>
        <w:rPr>
          <w:spacing w:val="-1"/>
          <w:sz w:val="18"/>
        </w:rPr>
        <w:t xml:space="preserve"> </w:t>
      </w:r>
      <w:r>
        <w:rPr>
          <w:sz w:val="18"/>
        </w:rPr>
        <w:t>the</w:t>
      </w:r>
      <w:r>
        <w:rPr>
          <w:spacing w:val="-3"/>
          <w:sz w:val="18"/>
        </w:rPr>
        <w:t xml:space="preserve"> </w:t>
      </w:r>
      <w:r>
        <w:rPr>
          <w:sz w:val="18"/>
        </w:rPr>
        <w:t>Group</w:t>
      </w:r>
      <w:r>
        <w:rPr>
          <w:spacing w:val="-3"/>
          <w:sz w:val="18"/>
        </w:rPr>
        <w:t xml:space="preserve"> </w:t>
      </w:r>
      <w:r>
        <w:rPr>
          <w:sz w:val="18"/>
        </w:rPr>
        <w:t>monitors and</w:t>
      </w:r>
      <w:r>
        <w:rPr>
          <w:spacing w:val="-3"/>
          <w:sz w:val="18"/>
        </w:rPr>
        <w:t xml:space="preserve"> </w:t>
      </w:r>
      <w:r>
        <w:rPr>
          <w:sz w:val="18"/>
        </w:rPr>
        <w:t>maintains a</w:t>
      </w:r>
      <w:r>
        <w:rPr>
          <w:spacing w:val="-3"/>
          <w:sz w:val="18"/>
        </w:rPr>
        <w:t xml:space="preserve"> </w:t>
      </w:r>
      <w:r>
        <w:rPr>
          <w:sz w:val="18"/>
        </w:rPr>
        <w:t>level</w:t>
      </w:r>
      <w:r>
        <w:rPr>
          <w:spacing w:val="-3"/>
          <w:sz w:val="18"/>
        </w:rPr>
        <w:t xml:space="preserve"> </w:t>
      </w:r>
      <w:r>
        <w:rPr>
          <w:sz w:val="18"/>
        </w:rPr>
        <w:t>of</w:t>
      </w:r>
      <w:r>
        <w:rPr>
          <w:spacing w:val="-3"/>
          <w:sz w:val="18"/>
        </w:rPr>
        <w:t xml:space="preserve"> </w:t>
      </w:r>
      <w:r>
        <w:rPr>
          <w:sz w:val="18"/>
        </w:rPr>
        <w:t>cash and</w:t>
      </w:r>
      <w:r>
        <w:rPr>
          <w:spacing w:val="-3"/>
          <w:sz w:val="18"/>
        </w:rPr>
        <w:t xml:space="preserve"> </w:t>
      </w:r>
      <w:r>
        <w:rPr>
          <w:sz w:val="18"/>
        </w:rPr>
        <w:t>cash</w:t>
      </w:r>
      <w:r>
        <w:rPr>
          <w:spacing w:val="-1"/>
          <w:sz w:val="18"/>
        </w:rPr>
        <w:t xml:space="preserve"> </w:t>
      </w:r>
      <w:r>
        <w:rPr>
          <w:sz w:val="18"/>
        </w:rPr>
        <w:t>equivalents deemed adequate by management to finance the Group’s operations and mitigate the effects of fluctuations in cash flows.</w:t>
      </w:r>
      <w:r>
        <w:rPr>
          <w:spacing w:val="40"/>
          <w:sz w:val="18"/>
        </w:rPr>
        <w:t xml:space="preserve"> </w:t>
      </w:r>
      <w:r>
        <w:rPr>
          <w:sz w:val="18"/>
        </w:rPr>
        <w:t>The Group also constantly reviews its investments to ensure that there are sufficient cash and liquid deposits to meet its estimated outflows from its insurance contract.</w:t>
      </w:r>
    </w:p>
    <w:p w14:paraId="377F3948" w14:textId="77777777" w:rsidR="00AC6F3C" w:rsidRDefault="00570E88">
      <w:pPr>
        <w:spacing w:before="120"/>
        <w:ind w:left="958" w:right="1140"/>
        <w:jc w:val="both"/>
        <w:rPr>
          <w:sz w:val="18"/>
        </w:rPr>
      </w:pPr>
      <w:r>
        <w:rPr>
          <w:sz w:val="18"/>
        </w:rPr>
        <w:t>The Group</w:t>
      </w:r>
      <w:r>
        <w:rPr>
          <w:spacing w:val="-1"/>
          <w:sz w:val="18"/>
        </w:rPr>
        <w:t xml:space="preserve"> </w:t>
      </w:r>
      <w:r>
        <w:rPr>
          <w:sz w:val="18"/>
        </w:rPr>
        <w:t>manages its expected cash</w:t>
      </w:r>
      <w:r>
        <w:rPr>
          <w:spacing w:val="-1"/>
          <w:sz w:val="18"/>
        </w:rPr>
        <w:t xml:space="preserve"> </w:t>
      </w:r>
      <w:r>
        <w:rPr>
          <w:sz w:val="18"/>
        </w:rPr>
        <w:t>flow requirements using the</w:t>
      </w:r>
      <w:r>
        <w:rPr>
          <w:spacing w:val="-1"/>
          <w:sz w:val="18"/>
        </w:rPr>
        <w:t xml:space="preserve"> </w:t>
      </w:r>
      <w:r>
        <w:rPr>
          <w:sz w:val="18"/>
        </w:rPr>
        <w:t>latest</w:t>
      </w:r>
      <w:r>
        <w:rPr>
          <w:spacing w:val="-1"/>
          <w:sz w:val="18"/>
        </w:rPr>
        <w:t xml:space="preserve"> </w:t>
      </w:r>
      <w:r>
        <w:rPr>
          <w:sz w:val="18"/>
        </w:rPr>
        <w:t>actuarial</w:t>
      </w:r>
      <w:r>
        <w:rPr>
          <w:spacing w:val="-1"/>
          <w:sz w:val="18"/>
        </w:rPr>
        <w:t xml:space="preserve"> </w:t>
      </w:r>
      <w:r>
        <w:rPr>
          <w:sz w:val="18"/>
        </w:rPr>
        <w:t>valuations detailing projected cash flows.</w:t>
      </w:r>
      <w:r>
        <w:rPr>
          <w:spacing w:val="40"/>
          <w:sz w:val="18"/>
        </w:rPr>
        <w:t xml:space="preserve"> </w:t>
      </w:r>
      <w:r>
        <w:rPr>
          <w:sz w:val="18"/>
        </w:rPr>
        <w:t>These are monitored in conjunction with available cash and investments readily convertible</w:t>
      </w:r>
      <w:r>
        <w:rPr>
          <w:spacing w:val="-4"/>
          <w:sz w:val="18"/>
        </w:rPr>
        <w:t xml:space="preserve"> </w:t>
      </w:r>
      <w:r>
        <w:rPr>
          <w:sz w:val="18"/>
        </w:rPr>
        <w:t>to</w:t>
      </w:r>
      <w:r>
        <w:rPr>
          <w:spacing w:val="-4"/>
          <w:sz w:val="18"/>
        </w:rPr>
        <w:t xml:space="preserve"> </w:t>
      </w:r>
      <w:r>
        <w:rPr>
          <w:sz w:val="18"/>
        </w:rPr>
        <w:t>cash.</w:t>
      </w:r>
      <w:r>
        <w:rPr>
          <w:spacing w:val="-2"/>
          <w:sz w:val="18"/>
        </w:rPr>
        <w:t xml:space="preserve"> </w:t>
      </w:r>
      <w:r>
        <w:rPr>
          <w:sz w:val="18"/>
        </w:rPr>
        <w:t>A</w:t>
      </w:r>
      <w:r>
        <w:rPr>
          <w:spacing w:val="-5"/>
          <w:sz w:val="18"/>
        </w:rPr>
        <w:t xml:space="preserve"> </w:t>
      </w:r>
      <w:r>
        <w:rPr>
          <w:sz w:val="18"/>
        </w:rPr>
        <w:t>maturity</w:t>
      </w:r>
      <w:r>
        <w:rPr>
          <w:spacing w:val="-3"/>
          <w:sz w:val="18"/>
        </w:rPr>
        <w:t xml:space="preserve"> </w:t>
      </w:r>
      <w:r>
        <w:rPr>
          <w:sz w:val="18"/>
        </w:rPr>
        <w:t>analysis</w:t>
      </w:r>
      <w:r>
        <w:rPr>
          <w:spacing w:val="-3"/>
          <w:sz w:val="18"/>
        </w:rPr>
        <w:t xml:space="preserve"> </w:t>
      </w:r>
      <w:r>
        <w:rPr>
          <w:sz w:val="18"/>
        </w:rPr>
        <w:t>of</w:t>
      </w:r>
      <w:r>
        <w:rPr>
          <w:spacing w:val="-2"/>
          <w:sz w:val="18"/>
        </w:rPr>
        <w:t xml:space="preserve"> </w:t>
      </w:r>
      <w:r>
        <w:rPr>
          <w:sz w:val="18"/>
        </w:rPr>
        <w:t>unearned</w:t>
      </w:r>
      <w:r>
        <w:rPr>
          <w:spacing w:val="-1"/>
          <w:sz w:val="18"/>
        </w:rPr>
        <w:t xml:space="preserve"> </w:t>
      </w:r>
      <w:r>
        <w:rPr>
          <w:sz w:val="18"/>
        </w:rPr>
        <w:t>risk</w:t>
      </w:r>
      <w:r>
        <w:rPr>
          <w:spacing w:val="-3"/>
          <w:sz w:val="18"/>
        </w:rPr>
        <w:t xml:space="preserve"> </w:t>
      </w:r>
      <w:r>
        <w:rPr>
          <w:sz w:val="18"/>
        </w:rPr>
        <w:t>and</w:t>
      </w:r>
      <w:r>
        <w:rPr>
          <w:spacing w:val="-6"/>
          <w:sz w:val="18"/>
        </w:rPr>
        <w:t xml:space="preserve"> </w:t>
      </w:r>
      <w:r>
        <w:rPr>
          <w:sz w:val="18"/>
        </w:rPr>
        <w:t>premium</w:t>
      </w:r>
      <w:r>
        <w:rPr>
          <w:spacing w:val="-1"/>
          <w:sz w:val="18"/>
        </w:rPr>
        <w:t xml:space="preserve"> </w:t>
      </w:r>
      <w:r>
        <w:rPr>
          <w:sz w:val="18"/>
        </w:rPr>
        <w:t>reserves</w:t>
      </w:r>
      <w:r>
        <w:rPr>
          <w:spacing w:val="-1"/>
          <w:sz w:val="18"/>
        </w:rPr>
        <w:t xml:space="preserve"> </w:t>
      </w:r>
      <w:r>
        <w:rPr>
          <w:sz w:val="18"/>
        </w:rPr>
        <w:t>and</w:t>
      </w:r>
      <w:r>
        <w:rPr>
          <w:spacing w:val="-1"/>
          <w:sz w:val="18"/>
        </w:rPr>
        <w:t xml:space="preserve"> </w:t>
      </w:r>
      <w:r>
        <w:rPr>
          <w:sz w:val="18"/>
        </w:rPr>
        <w:t>outstanding</w:t>
      </w:r>
      <w:r>
        <w:rPr>
          <w:spacing w:val="-4"/>
          <w:sz w:val="18"/>
        </w:rPr>
        <w:t xml:space="preserve"> </w:t>
      </w:r>
      <w:r>
        <w:rPr>
          <w:sz w:val="18"/>
        </w:rPr>
        <w:t>claims reserves is provided in Note C8-2.</w:t>
      </w:r>
    </w:p>
    <w:p w14:paraId="26C54B0F" w14:textId="77777777" w:rsidR="00AC6F3C" w:rsidRDefault="00AC6F3C">
      <w:pPr>
        <w:pStyle w:val="BodyText"/>
        <w:spacing w:before="10"/>
      </w:pPr>
    </w:p>
    <w:p w14:paraId="79DD585C" w14:textId="77777777" w:rsidR="00AC6F3C" w:rsidRDefault="00570E88">
      <w:pPr>
        <w:numPr>
          <w:ilvl w:val="0"/>
          <w:numId w:val="24"/>
        </w:numPr>
        <w:tabs>
          <w:tab w:val="left" w:pos="1315"/>
        </w:tabs>
        <w:ind w:left="1315" w:hanging="357"/>
        <w:rPr>
          <w:b/>
          <w:sz w:val="20"/>
        </w:rPr>
      </w:pPr>
      <w:r>
        <w:rPr>
          <w:b/>
          <w:sz w:val="20"/>
        </w:rPr>
        <w:t>Capital</w:t>
      </w:r>
      <w:r>
        <w:rPr>
          <w:b/>
          <w:spacing w:val="-11"/>
          <w:sz w:val="20"/>
        </w:rPr>
        <w:t xml:space="preserve"> </w:t>
      </w:r>
      <w:r>
        <w:rPr>
          <w:b/>
          <w:spacing w:val="-4"/>
          <w:sz w:val="20"/>
        </w:rPr>
        <w:t>risk</w:t>
      </w:r>
    </w:p>
    <w:p w14:paraId="3B93C06D" w14:textId="77777777" w:rsidR="00AC6F3C" w:rsidRDefault="00570E88">
      <w:pPr>
        <w:spacing w:before="120"/>
        <w:ind w:left="958" w:right="919"/>
        <w:jc w:val="both"/>
        <w:rPr>
          <w:sz w:val="18"/>
        </w:rPr>
      </w:pPr>
      <w:r>
        <w:rPr>
          <w:sz w:val="18"/>
        </w:rPr>
        <w:t>The</w:t>
      </w:r>
      <w:r>
        <w:rPr>
          <w:spacing w:val="-2"/>
          <w:sz w:val="18"/>
        </w:rPr>
        <w:t xml:space="preserve"> </w:t>
      </w:r>
      <w:r>
        <w:rPr>
          <w:sz w:val="18"/>
        </w:rPr>
        <w:t>Group’s</w:t>
      </w:r>
      <w:r>
        <w:rPr>
          <w:spacing w:val="-4"/>
          <w:sz w:val="18"/>
        </w:rPr>
        <w:t xml:space="preserve"> </w:t>
      </w:r>
      <w:r>
        <w:rPr>
          <w:sz w:val="18"/>
        </w:rPr>
        <w:t>objectives</w:t>
      </w:r>
      <w:r>
        <w:rPr>
          <w:spacing w:val="-2"/>
          <w:sz w:val="18"/>
        </w:rPr>
        <w:t xml:space="preserve"> </w:t>
      </w:r>
      <w:r>
        <w:rPr>
          <w:sz w:val="18"/>
        </w:rPr>
        <w:t>when</w:t>
      </w:r>
      <w:r>
        <w:rPr>
          <w:spacing w:val="-5"/>
          <w:sz w:val="18"/>
        </w:rPr>
        <w:t xml:space="preserve"> </w:t>
      </w:r>
      <w:r>
        <w:rPr>
          <w:sz w:val="18"/>
        </w:rPr>
        <w:t>managing</w:t>
      </w:r>
      <w:r>
        <w:rPr>
          <w:spacing w:val="-2"/>
          <w:sz w:val="18"/>
        </w:rPr>
        <w:t xml:space="preserve"> </w:t>
      </w:r>
      <w:r>
        <w:rPr>
          <w:sz w:val="18"/>
        </w:rPr>
        <w:t>capital</w:t>
      </w:r>
      <w:r>
        <w:rPr>
          <w:spacing w:val="-2"/>
          <w:sz w:val="18"/>
        </w:rPr>
        <w:t xml:space="preserve"> </w:t>
      </w:r>
      <w:r>
        <w:rPr>
          <w:sz w:val="18"/>
        </w:rPr>
        <w:t>are</w:t>
      </w:r>
      <w:r>
        <w:rPr>
          <w:spacing w:val="-2"/>
          <w:sz w:val="18"/>
        </w:rPr>
        <w:t xml:space="preserve"> </w:t>
      </w:r>
      <w:r>
        <w:rPr>
          <w:sz w:val="18"/>
        </w:rPr>
        <w:t>to</w:t>
      </w:r>
      <w:r>
        <w:rPr>
          <w:spacing w:val="-5"/>
          <w:sz w:val="18"/>
        </w:rPr>
        <w:t xml:space="preserve"> </w:t>
      </w:r>
      <w:r>
        <w:rPr>
          <w:sz w:val="18"/>
        </w:rPr>
        <w:t>ensure</w:t>
      </w:r>
      <w:r>
        <w:rPr>
          <w:spacing w:val="-2"/>
          <w:sz w:val="18"/>
        </w:rPr>
        <w:t xml:space="preserve"> </w:t>
      </w:r>
      <w:r>
        <w:rPr>
          <w:sz w:val="18"/>
        </w:rPr>
        <w:t>that</w:t>
      </w:r>
      <w:r>
        <w:rPr>
          <w:spacing w:val="-5"/>
          <w:sz w:val="18"/>
        </w:rPr>
        <w:t xml:space="preserve"> </w:t>
      </w:r>
      <w:r>
        <w:rPr>
          <w:sz w:val="18"/>
        </w:rPr>
        <w:t>the</w:t>
      </w:r>
      <w:r>
        <w:rPr>
          <w:spacing w:val="-2"/>
          <w:sz w:val="18"/>
        </w:rPr>
        <w:t xml:space="preserve"> </w:t>
      </w:r>
      <w:r>
        <w:rPr>
          <w:sz w:val="18"/>
        </w:rPr>
        <w:t>Group</w:t>
      </w:r>
      <w:r>
        <w:rPr>
          <w:spacing w:val="-2"/>
          <w:sz w:val="18"/>
        </w:rPr>
        <w:t xml:space="preserve"> </w:t>
      </w:r>
      <w:r>
        <w:rPr>
          <w:sz w:val="18"/>
        </w:rPr>
        <w:t>is</w:t>
      </w:r>
      <w:r>
        <w:rPr>
          <w:spacing w:val="-2"/>
          <w:sz w:val="18"/>
        </w:rPr>
        <w:t xml:space="preserve"> </w:t>
      </w:r>
      <w:r>
        <w:rPr>
          <w:sz w:val="18"/>
        </w:rPr>
        <w:t>adequately</w:t>
      </w:r>
      <w:r>
        <w:rPr>
          <w:spacing w:val="-4"/>
          <w:sz w:val="18"/>
        </w:rPr>
        <w:t xml:space="preserve"> </w:t>
      </w:r>
      <w:proofErr w:type="spellStart"/>
      <w:r>
        <w:rPr>
          <w:sz w:val="18"/>
        </w:rPr>
        <w:t>capitalised</w:t>
      </w:r>
      <w:proofErr w:type="spellEnd"/>
      <w:r>
        <w:rPr>
          <w:spacing w:val="-2"/>
          <w:sz w:val="18"/>
        </w:rPr>
        <w:t xml:space="preserve"> </w:t>
      </w:r>
      <w:r>
        <w:rPr>
          <w:sz w:val="18"/>
        </w:rPr>
        <w:t>and assessing</w:t>
      </w:r>
      <w:r>
        <w:rPr>
          <w:spacing w:val="-4"/>
          <w:sz w:val="18"/>
        </w:rPr>
        <w:t xml:space="preserve"> </w:t>
      </w:r>
      <w:r>
        <w:rPr>
          <w:sz w:val="18"/>
        </w:rPr>
        <w:t>shortfalls</w:t>
      </w:r>
      <w:r>
        <w:rPr>
          <w:spacing w:val="-3"/>
          <w:sz w:val="18"/>
        </w:rPr>
        <w:t xml:space="preserve"> </w:t>
      </w:r>
      <w:r>
        <w:rPr>
          <w:sz w:val="18"/>
        </w:rPr>
        <w:t>between</w:t>
      </w:r>
      <w:r>
        <w:rPr>
          <w:spacing w:val="-1"/>
          <w:sz w:val="18"/>
        </w:rPr>
        <w:t xml:space="preserve"> </w:t>
      </w:r>
      <w:r>
        <w:rPr>
          <w:sz w:val="18"/>
        </w:rPr>
        <w:t>reported</w:t>
      </w:r>
      <w:r>
        <w:rPr>
          <w:spacing w:val="-1"/>
          <w:sz w:val="18"/>
        </w:rPr>
        <w:t xml:space="preserve"> </w:t>
      </w:r>
      <w:r>
        <w:rPr>
          <w:sz w:val="18"/>
        </w:rPr>
        <w:t>and</w:t>
      </w:r>
      <w:r>
        <w:rPr>
          <w:spacing w:val="-1"/>
          <w:sz w:val="18"/>
        </w:rPr>
        <w:t xml:space="preserve"> </w:t>
      </w:r>
      <w:r>
        <w:rPr>
          <w:sz w:val="18"/>
        </w:rPr>
        <w:t>required</w:t>
      </w:r>
      <w:r>
        <w:rPr>
          <w:spacing w:val="-1"/>
          <w:sz w:val="18"/>
        </w:rPr>
        <w:t xml:space="preserve"> </w:t>
      </w:r>
      <w:r>
        <w:rPr>
          <w:sz w:val="18"/>
        </w:rPr>
        <w:t>capital</w:t>
      </w:r>
      <w:r>
        <w:rPr>
          <w:spacing w:val="-1"/>
          <w:sz w:val="18"/>
        </w:rPr>
        <w:t xml:space="preserve"> </w:t>
      </w:r>
      <w:r>
        <w:rPr>
          <w:sz w:val="18"/>
        </w:rPr>
        <w:t>levels</w:t>
      </w:r>
      <w:r>
        <w:rPr>
          <w:spacing w:val="-1"/>
          <w:sz w:val="18"/>
        </w:rPr>
        <w:t xml:space="preserve"> </w:t>
      </w:r>
      <w:r>
        <w:rPr>
          <w:sz w:val="18"/>
        </w:rPr>
        <w:t>on</w:t>
      </w:r>
      <w:r>
        <w:rPr>
          <w:spacing w:val="-4"/>
          <w:sz w:val="18"/>
        </w:rPr>
        <w:t xml:space="preserve"> </w:t>
      </w:r>
      <w:r>
        <w:rPr>
          <w:sz w:val="18"/>
        </w:rPr>
        <w:t>a</w:t>
      </w:r>
      <w:r>
        <w:rPr>
          <w:spacing w:val="-1"/>
          <w:sz w:val="18"/>
        </w:rPr>
        <w:t xml:space="preserve"> </w:t>
      </w:r>
      <w:r>
        <w:rPr>
          <w:sz w:val="18"/>
        </w:rPr>
        <w:t>regular</w:t>
      </w:r>
      <w:r>
        <w:rPr>
          <w:spacing w:val="-4"/>
          <w:sz w:val="18"/>
        </w:rPr>
        <w:t xml:space="preserve"> </w:t>
      </w:r>
      <w:r>
        <w:rPr>
          <w:sz w:val="18"/>
        </w:rPr>
        <w:t>basis.</w:t>
      </w:r>
      <w:r>
        <w:rPr>
          <w:spacing w:val="40"/>
          <w:sz w:val="18"/>
        </w:rPr>
        <w:t xml:space="preserve"> </w:t>
      </w:r>
      <w:r>
        <w:rPr>
          <w:sz w:val="18"/>
        </w:rPr>
        <w:t>Capital</w:t>
      </w:r>
      <w:r>
        <w:rPr>
          <w:spacing w:val="-1"/>
          <w:sz w:val="18"/>
        </w:rPr>
        <w:t xml:space="preserve"> </w:t>
      </w:r>
      <w:r>
        <w:rPr>
          <w:sz w:val="18"/>
        </w:rPr>
        <w:t>is</w:t>
      </w:r>
      <w:r>
        <w:rPr>
          <w:spacing w:val="-1"/>
          <w:sz w:val="18"/>
        </w:rPr>
        <w:t xml:space="preserve"> </w:t>
      </w:r>
      <w:r>
        <w:rPr>
          <w:sz w:val="18"/>
        </w:rPr>
        <w:t>calculated in accordance with Australian Prudential Regulatory Authority’s guidelines.</w:t>
      </w:r>
    </w:p>
    <w:p w14:paraId="2E49EAF1" w14:textId="77777777" w:rsidR="00AC6F3C" w:rsidRDefault="00570E88">
      <w:pPr>
        <w:spacing w:before="118"/>
        <w:ind w:left="957" w:right="990"/>
        <w:rPr>
          <w:sz w:val="18"/>
        </w:rPr>
      </w:pPr>
      <w:r>
        <w:rPr>
          <w:sz w:val="18"/>
        </w:rPr>
        <w:t xml:space="preserve">Lexon is required under the </w:t>
      </w:r>
      <w:r>
        <w:rPr>
          <w:i/>
          <w:sz w:val="18"/>
        </w:rPr>
        <w:t>Singapore Insurance Act</w:t>
      </w:r>
      <w:r>
        <w:rPr>
          <w:sz w:val="18"/>
        </w:rPr>
        <w:t>, Cap. 142 and the relevant Regulations made thereunder to meet and maintain at all times during the course of each financial year that it carries on insurance business, minimum fund solvency and capital solvency requirements.</w:t>
      </w:r>
      <w:r>
        <w:rPr>
          <w:spacing w:val="40"/>
          <w:sz w:val="18"/>
        </w:rPr>
        <w:t xml:space="preserve"> </w:t>
      </w:r>
      <w:r>
        <w:rPr>
          <w:sz w:val="18"/>
        </w:rPr>
        <w:t>As at balance date, Lexon</w:t>
      </w:r>
      <w:r>
        <w:rPr>
          <w:spacing w:val="-2"/>
          <w:sz w:val="18"/>
        </w:rPr>
        <w:t xml:space="preserve"> </w:t>
      </w:r>
      <w:r>
        <w:rPr>
          <w:sz w:val="18"/>
        </w:rPr>
        <w:t>has</w:t>
      </w:r>
      <w:r>
        <w:rPr>
          <w:spacing w:val="-3"/>
          <w:sz w:val="18"/>
        </w:rPr>
        <w:t xml:space="preserve"> </w:t>
      </w:r>
      <w:r>
        <w:rPr>
          <w:sz w:val="18"/>
        </w:rPr>
        <w:t>met</w:t>
      </w:r>
      <w:r>
        <w:rPr>
          <w:spacing w:val="-2"/>
          <w:sz w:val="18"/>
        </w:rPr>
        <w:t xml:space="preserve"> </w:t>
      </w:r>
      <w:r>
        <w:rPr>
          <w:sz w:val="18"/>
        </w:rPr>
        <w:t>the</w:t>
      </w:r>
      <w:r>
        <w:rPr>
          <w:spacing w:val="-1"/>
          <w:sz w:val="18"/>
        </w:rPr>
        <w:t xml:space="preserve"> </w:t>
      </w:r>
      <w:r>
        <w:rPr>
          <w:sz w:val="18"/>
        </w:rPr>
        <w:t>fund</w:t>
      </w:r>
      <w:r>
        <w:rPr>
          <w:spacing w:val="-4"/>
          <w:sz w:val="18"/>
        </w:rPr>
        <w:t xml:space="preserve"> </w:t>
      </w:r>
      <w:r>
        <w:rPr>
          <w:sz w:val="18"/>
        </w:rPr>
        <w:t>solvency</w:t>
      </w:r>
      <w:r>
        <w:rPr>
          <w:spacing w:val="-1"/>
          <w:sz w:val="18"/>
        </w:rPr>
        <w:t xml:space="preserve"> </w:t>
      </w:r>
      <w:r>
        <w:rPr>
          <w:sz w:val="18"/>
        </w:rPr>
        <w:t>requirement</w:t>
      </w:r>
      <w:r>
        <w:rPr>
          <w:spacing w:val="-2"/>
          <w:sz w:val="18"/>
        </w:rPr>
        <w:t xml:space="preserve"> </w:t>
      </w:r>
      <w:r>
        <w:rPr>
          <w:sz w:val="18"/>
        </w:rPr>
        <w:t>for</w:t>
      </w:r>
      <w:r>
        <w:rPr>
          <w:spacing w:val="-2"/>
          <w:sz w:val="18"/>
        </w:rPr>
        <w:t xml:space="preserve"> </w:t>
      </w:r>
      <w:r>
        <w:rPr>
          <w:sz w:val="18"/>
        </w:rPr>
        <w:t>its</w:t>
      </w:r>
      <w:r>
        <w:rPr>
          <w:spacing w:val="-1"/>
          <w:sz w:val="18"/>
        </w:rPr>
        <w:t xml:space="preserve"> </w:t>
      </w:r>
      <w:r>
        <w:rPr>
          <w:sz w:val="18"/>
        </w:rPr>
        <w:t>Offshore</w:t>
      </w:r>
      <w:r>
        <w:rPr>
          <w:spacing w:val="-4"/>
          <w:sz w:val="18"/>
        </w:rPr>
        <w:t xml:space="preserve"> </w:t>
      </w:r>
      <w:r>
        <w:rPr>
          <w:sz w:val="18"/>
        </w:rPr>
        <w:t>Insurance</w:t>
      </w:r>
      <w:r>
        <w:rPr>
          <w:spacing w:val="-1"/>
          <w:sz w:val="18"/>
        </w:rPr>
        <w:t xml:space="preserve"> </w:t>
      </w:r>
      <w:r>
        <w:rPr>
          <w:sz w:val="18"/>
        </w:rPr>
        <w:t>Fund</w:t>
      </w:r>
      <w:r>
        <w:rPr>
          <w:spacing w:val="-1"/>
          <w:sz w:val="18"/>
        </w:rPr>
        <w:t xml:space="preserve"> </w:t>
      </w:r>
      <w:r>
        <w:rPr>
          <w:sz w:val="18"/>
        </w:rPr>
        <w:t>and</w:t>
      </w:r>
      <w:r>
        <w:rPr>
          <w:spacing w:val="-1"/>
          <w:sz w:val="18"/>
        </w:rPr>
        <w:t xml:space="preserve"> </w:t>
      </w:r>
      <w:r>
        <w:rPr>
          <w:sz w:val="18"/>
        </w:rPr>
        <w:t>the</w:t>
      </w:r>
      <w:r>
        <w:rPr>
          <w:spacing w:val="-4"/>
          <w:sz w:val="18"/>
        </w:rPr>
        <w:t xml:space="preserve"> </w:t>
      </w:r>
      <w:r>
        <w:rPr>
          <w:sz w:val="18"/>
        </w:rPr>
        <w:t>minimum</w:t>
      </w:r>
      <w:r>
        <w:rPr>
          <w:spacing w:val="-3"/>
          <w:sz w:val="18"/>
        </w:rPr>
        <w:t xml:space="preserve"> </w:t>
      </w:r>
      <w:r>
        <w:rPr>
          <w:sz w:val="18"/>
        </w:rPr>
        <w:t>capital adequacy requirement.</w:t>
      </w:r>
    </w:p>
    <w:p w14:paraId="64C6F51E" w14:textId="77777777" w:rsidR="00AC6F3C" w:rsidRDefault="00AC6F3C">
      <w:pPr>
        <w:pStyle w:val="BodyText"/>
        <w:rPr>
          <w:sz w:val="21"/>
        </w:rPr>
      </w:pPr>
    </w:p>
    <w:p w14:paraId="3FB66A5F" w14:textId="77777777" w:rsidR="00AC6F3C" w:rsidRDefault="00570E88">
      <w:pPr>
        <w:ind w:left="957"/>
        <w:jc w:val="both"/>
        <w:rPr>
          <w:sz w:val="18"/>
        </w:rPr>
      </w:pPr>
      <w:r>
        <w:rPr>
          <w:sz w:val="18"/>
        </w:rPr>
        <w:t>Management</w:t>
      </w:r>
      <w:r>
        <w:rPr>
          <w:spacing w:val="-5"/>
          <w:sz w:val="18"/>
        </w:rPr>
        <w:t xml:space="preserve"> </w:t>
      </w:r>
      <w:r>
        <w:rPr>
          <w:sz w:val="18"/>
        </w:rPr>
        <w:t>monitors</w:t>
      </w:r>
      <w:r>
        <w:rPr>
          <w:spacing w:val="-2"/>
          <w:sz w:val="18"/>
        </w:rPr>
        <w:t xml:space="preserve"> </w:t>
      </w:r>
      <w:r>
        <w:rPr>
          <w:sz w:val="18"/>
        </w:rPr>
        <w:t>the</w:t>
      </w:r>
      <w:r>
        <w:rPr>
          <w:spacing w:val="-2"/>
          <w:sz w:val="18"/>
        </w:rPr>
        <w:t xml:space="preserve"> </w:t>
      </w:r>
      <w:r>
        <w:rPr>
          <w:sz w:val="18"/>
        </w:rPr>
        <w:t>capital</w:t>
      </w:r>
      <w:r>
        <w:rPr>
          <w:spacing w:val="-4"/>
          <w:sz w:val="18"/>
        </w:rPr>
        <w:t xml:space="preserve"> </w:t>
      </w:r>
      <w:r>
        <w:rPr>
          <w:sz w:val="18"/>
        </w:rPr>
        <w:t>position</w:t>
      </w:r>
      <w:r>
        <w:rPr>
          <w:spacing w:val="-2"/>
          <w:sz w:val="18"/>
        </w:rPr>
        <w:t xml:space="preserve"> </w:t>
      </w:r>
      <w:r>
        <w:rPr>
          <w:sz w:val="18"/>
        </w:rPr>
        <w:t>using</w:t>
      </w:r>
      <w:r>
        <w:rPr>
          <w:spacing w:val="-2"/>
          <w:sz w:val="18"/>
        </w:rPr>
        <w:t xml:space="preserve"> </w:t>
      </w:r>
      <w:r>
        <w:rPr>
          <w:sz w:val="18"/>
        </w:rPr>
        <w:t>a</w:t>
      </w:r>
      <w:r>
        <w:rPr>
          <w:spacing w:val="-2"/>
          <w:sz w:val="18"/>
        </w:rPr>
        <w:t xml:space="preserve"> </w:t>
      </w:r>
      <w:r>
        <w:rPr>
          <w:sz w:val="18"/>
        </w:rPr>
        <w:t>risk</w:t>
      </w:r>
      <w:r>
        <w:rPr>
          <w:spacing w:val="-1"/>
          <w:sz w:val="18"/>
        </w:rPr>
        <w:t xml:space="preserve"> </w:t>
      </w:r>
      <w:r>
        <w:rPr>
          <w:sz w:val="18"/>
        </w:rPr>
        <w:t>based</w:t>
      </w:r>
      <w:r>
        <w:rPr>
          <w:spacing w:val="-7"/>
          <w:sz w:val="18"/>
        </w:rPr>
        <w:t xml:space="preserve"> </w:t>
      </w:r>
      <w:r>
        <w:rPr>
          <w:sz w:val="18"/>
        </w:rPr>
        <w:t>capital</w:t>
      </w:r>
      <w:r>
        <w:rPr>
          <w:spacing w:val="-4"/>
          <w:sz w:val="18"/>
        </w:rPr>
        <w:t xml:space="preserve"> </w:t>
      </w:r>
      <w:r>
        <w:rPr>
          <w:spacing w:val="-2"/>
          <w:sz w:val="18"/>
        </w:rPr>
        <w:t>model.</w:t>
      </w:r>
    </w:p>
    <w:p w14:paraId="541B9C9F" w14:textId="77777777" w:rsidR="00AC6F3C" w:rsidRDefault="00AC6F3C">
      <w:pPr>
        <w:pStyle w:val="BodyText"/>
        <w:spacing w:before="10"/>
      </w:pPr>
    </w:p>
    <w:p w14:paraId="42545EFF" w14:textId="77777777" w:rsidR="00AC6F3C" w:rsidRDefault="00570E88">
      <w:pPr>
        <w:numPr>
          <w:ilvl w:val="0"/>
          <w:numId w:val="24"/>
        </w:numPr>
        <w:tabs>
          <w:tab w:val="left" w:pos="1322"/>
        </w:tabs>
        <w:ind w:left="1322" w:hanging="364"/>
        <w:rPr>
          <w:b/>
          <w:sz w:val="20"/>
        </w:rPr>
      </w:pPr>
      <w:r>
        <w:rPr>
          <w:b/>
          <w:spacing w:val="-2"/>
          <w:sz w:val="20"/>
        </w:rPr>
        <w:t>Sensitivity</w:t>
      </w:r>
      <w:r>
        <w:rPr>
          <w:b/>
          <w:spacing w:val="5"/>
          <w:sz w:val="20"/>
        </w:rPr>
        <w:t xml:space="preserve"> </w:t>
      </w:r>
      <w:r>
        <w:rPr>
          <w:b/>
          <w:spacing w:val="-2"/>
          <w:sz w:val="20"/>
        </w:rPr>
        <w:t>Analysis</w:t>
      </w:r>
    </w:p>
    <w:p w14:paraId="39CD314E" w14:textId="77777777" w:rsidR="00AC6F3C" w:rsidRDefault="00AC6F3C">
      <w:pPr>
        <w:pStyle w:val="BodyText"/>
        <w:spacing w:before="10"/>
        <w:rPr>
          <w:b/>
        </w:rPr>
      </w:pPr>
    </w:p>
    <w:p w14:paraId="0FE960EB" w14:textId="77777777" w:rsidR="00AC6F3C" w:rsidRDefault="00570E88">
      <w:pPr>
        <w:ind w:left="958" w:right="990"/>
        <w:rPr>
          <w:sz w:val="18"/>
        </w:rPr>
      </w:pPr>
      <w:r>
        <w:rPr>
          <w:sz w:val="18"/>
        </w:rPr>
        <w:t>Investments</w:t>
      </w:r>
      <w:r>
        <w:rPr>
          <w:spacing w:val="-1"/>
          <w:sz w:val="18"/>
        </w:rPr>
        <w:t xml:space="preserve"> </w:t>
      </w:r>
      <w:r>
        <w:rPr>
          <w:sz w:val="18"/>
        </w:rPr>
        <w:t>at</w:t>
      </w:r>
      <w:r>
        <w:rPr>
          <w:spacing w:val="-4"/>
          <w:sz w:val="18"/>
        </w:rPr>
        <w:t xml:space="preserve"> </w:t>
      </w:r>
      <w:r>
        <w:rPr>
          <w:sz w:val="18"/>
        </w:rPr>
        <w:t>fair</w:t>
      </w:r>
      <w:r>
        <w:rPr>
          <w:spacing w:val="-4"/>
          <w:sz w:val="18"/>
        </w:rPr>
        <w:t xml:space="preserve"> </w:t>
      </w:r>
      <w:r>
        <w:rPr>
          <w:sz w:val="18"/>
        </w:rPr>
        <w:t>value</w:t>
      </w:r>
      <w:r>
        <w:rPr>
          <w:spacing w:val="-1"/>
          <w:sz w:val="18"/>
        </w:rPr>
        <w:t xml:space="preserve"> </w:t>
      </w:r>
      <w:r>
        <w:rPr>
          <w:sz w:val="18"/>
        </w:rPr>
        <w:t>through</w:t>
      </w:r>
      <w:r>
        <w:rPr>
          <w:spacing w:val="-2"/>
          <w:sz w:val="18"/>
        </w:rPr>
        <w:t xml:space="preserve"> </w:t>
      </w:r>
      <w:r>
        <w:rPr>
          <w:sz w:val="18"/>
        </w:rPr>
        <w:t>profit</w:t>
      </w:r>
      <w:r>
        <w:rPr>
          <w:spacing w:val="-2"/>
          <w:sz w:val="18"/>
        </w:rPr>
        <w:t xml:space="preserve"> </w:t>
      </w:r>
      <w:r>
        <w:rPr>
          <w:sz w:val="18"/>
        </w:rPr>
        <w:t>or</w:t>
      </w:r>
      <w:r>
        <w:rPr>
          <w:spacing w:val="-4"/>
          <w:sz w:val="18"/>
        </w:rPr>
        <w:t xml:space="preserve"> </w:t>
      </w:r>
      <w:r>
        <w:rPr>
          <w:sz w:val="18"/>
        </w:rPr>
        <w:t>loss</w:t>
      </w:r>
      <w:r>
        <w:rPr>
          <w:spacing w:val="-3"/>
          <w:sz w:val="18"/>
        </w:rPr>
        <w:t xml:space="preserve"> </w:t>
      </w:r>
      <w:r>
        <w:rPr>
          <w:sz w:val="18"/>
        </w:rPr>
        <w:t>have</w:t>
      </w:r>
      <w:r>
        <w:rPr>
          <w:spacing w:val="-1"/>
          <w:sz w:val="18"/>
        </w:rPr>
        <w:t xml:space="preserve"> </w:t>
      </w:r>
      <w:r>
        <w:rPr>
          <w:sz w:val="18"/>
        </w:rPr>
        <w:t>had</w:t>
      </w:r>
      <w:r>
        <w:rPr>
          <w:spacing w:val="-1"/>
          <w:sz w:val="18"/>
        </w:rPr>
        <w:t xml:space="preserve"> </w:t>
      </w:r>
      <w:r>
        <w:rPr>
          <w:sz w:val="18"/>
        </w:rPr>
        <w:t>the</w:t>
      </w:r>
      <w:r>
        <w:rPr>
          <w:spacing w:val="-1"/>
          <w:sz w:val="18"/>
        </w:rPr>
        <w:t xml:space="preserve"> </w:t>
      </w:r>
      <w:r>
        <w:rPr>
          <w:sz w:val="18"/>
        </w:rPr>
        <w:t>following</w:t>
      </w:r>
      <w:r>
        <w:rPr>
          <w:spacing w:val="-4"/>
          <w:sz w:val="18"/>
        </w:rPr>
        <w:t xml:space="preserve"> </w:t>
      </w:r>
      <w:r>
        <w:rPr>
          <w:sz w:val="18"/>
        </w:rPr>
        <w:t>sensitivity</w:t>
      </w:r>
      <w:r>
        <w:rPr>
          <w:spacing w:val="-1"/>
          <w:sz w:val="18"/>
        </w:rPr>
        <w:t xml:space="preserve"> </w:t>
      </w:r>
      <w:r>
        <w:rPr>
          <w:sz w:val="18"/>
        </w:rPr>
        <w:t>analyses</w:t>
      </w:r>
      <w:r>
        <w:rPr>
          <w:spacing w:val="-3"/>
          <w:sz w:val="18"/>
        </w:rPr>
        <w:t xml:space="preserve"> </w:t>
      </w:r>
      <w:r>
        <w:rPr>
          <w:sz w:val="18"/>
        </w:rPr>
        <w:t>applied,</w:t>
      </w:r>
      <w:r>
        <w:rPr>
          <w:spacing w:val="-2"/>
          <w:sz w:val="18"/>
        </w:rPr>
        <w:t xml:space="preserve"> </w:t>
      </w:r>
      <w:r>
        <w:rPr>
          <w:sz w:val="18"/>
        </w:rPr>
        <w:t>which are based on the Australian Prudential Regulatory Authority’s (APRA) General Insurance Prudential Standard GPS 114.</w:t>
      </w:r>
    </w:p>
    <w:p w14:paraId="0737DA36" w14:textId="77777777" w:rsidR="00AC6F3C" w:rsidRDefault="00AC6F3C">
      <w:pPr>
        <w:pStyle w:val="BodyText"/>
        <w:spacing w:before="8"/>
      </w:pPr>
    </w:p>
    <w:p w14:paraId="04BAFDFF" w14:textId="77777777" w:rsidR="00AC6F3C" w:rsidRDefault="00570E88">
      <w:pPr>
        <w:ind w:left="958"/>
        <w:rPr>
          <w:b/>
          <w:sz w:val="18"/>
        </w:rPr>
      </w:pPr>
      <w:r>
        <w:rPr>
          <w:b/>
          <w:sz w:val="18"/>
        </w:rPr>
        <w:t>Interest</w:t>
      </w:r>
      <w:r>
        <w:rPr>
          <w:b/>
          <w:spacing w:val="-3"/>
          <w:sz w:val="18"/>
        </w:rPr>
        <w:t xml:space="preserve"> </w:t>
      </w:r>
      <w:r>
        <w:rPr>
          <w:b/>
          <w:sz w:val="18"/>
        </w:rPr>
        <w:t>rate</w:t>
      </w:r>
      <w:r>
        <w:rPr>
          <w:b/>
          <w:spacing w:val="-1"/>
          <w:sz w:val="18"/>
        </w:rPr>
        <w:t xml:space="preserve"> </w:t>
      </w:r>
      <w:r>
        <w:rPr>
          <w:b/>
          <w:spacing w:val="-2"/>
          <w:sz w:val="18"/>
        </w:rPr>
        <w:t>sensitivity</w:t>
      </w:r>
    </w:p>
    <w:p w14:paraId="14AED1D7" w14:textId="77777777" w:rsidR="00AC6F3C" w:rsidRDefault="00570E88">
      <w:pPr>
        <w:spacing w:before="2"/>
        <w:ind w:left="958" w:right="857"/>
        <w:rPr>
          <w:sz w:val="18"/>
        </w:rPr>
      </w:pPr>
      <w:r>
        <w:rPr>
          <w:sz w:val="18"/>
        </w:rPr>
        <w:t>Interest</w:t>
      </w:r>
      <w:r>
        <w:rPr>
          <w:spacing w:val="-2"/>
          <w:sz w:val="18"/>
        </w:rPr>
        <w:t xml:space="preserve"> </w:t>
      </w:r>
      <w:r>
        <w:rPr>
          <w:sz w:val="18"/>
        </w:rPr>
        <w:t>rate</w:t>
      </w:r>
      <w:r>
        <w:rPr>
          <w:spacing w:val="-1"/>
          <w:sz w:val="18"/>
        </w:rPr>
        <w:t xml:space="preserve"> </w:t>
      </w:r>
      <w:r>
        <w:rPr>
          <w:sz w:val="18"/>
        </w:rPr>
        <w:t>sensitivity</w:t>
      </w:r>
      <w:r>
        <w:rPr>
          <w:spacing w:val="-3"/>
          <w:sz w:val="18"/>
        </w:rPr>
        <w:t xml:space="preserve"> </w:t>
      </w:r>
      <w:r>
        <w:rPr>
          <w:sz w:val="18"/>
        </w:rPr>
        <w:t>measures</w:t>
      </w:r>
      <w:r>
        <w:rPr>
          <w:spacing w:val="-1"/>
          <w:sz w:val="18"/>
        </w:rPr>
        <w:t xml:space="preserve"> </w:t>
      </w:r>
      <w:r>
        <w:rPr>
          <w:sz w:val="18"/>
        </w:rPr>
        <w:t>the</w:t>
      </w:r>
      <w:r>
        <w:rPr>
          <w:spacing w:val="-1"/>
          <w:sz w:val="18"/>
        </w:rPr>
        <w:t xml:space="preserve"> </w:t>
      </w:r>
      <w:r>
        <w:rPr>
          <w:sz w:val="18"/>
        </w:rPr>
        <w:t>changes</w:t>
      </w:r>
      <w:r>
        <w:rPr>
          <w:spacing w:val="-3"/>
          <w:sz w:val="18"/>
        </w:rPr>
        <w:t xml:space="preserve"> </w:t>
      </w:r>
      <w:r>
        <w:rPr>
          <w:sz w:val="18"/>
        </w:rPr>
        <w:t>on</w:t>
      </w:r>
      <w:r>
        <w:rPr>
          <w:spacing w:val="-1"/>
          <w:sz w:val="18"/>
        </w:rPr>
        <w:t xml:space="preserve"> </w:t>
      </w:r>
      <w:r>
        <w:rPr>
          <w:sz w:val="18"/>
        </w:rPr>
        <w:t>the</w:t>
      </w:r>
      <w:r>
        <w:rPr>
          <w:spacing w:val="-4"/>
          <w:sz w:val="18"/>
        </w:rPr>
        <w:t xml:space="preserve"> </w:t>
      </w:r>
      <w:r>
        <w:rPr>
          <w:sz w:val="18"/>
        </w:rPr>
        <w:t>capital</w:t>
      </w:r>
      <w:r>
        <w:rPr>
          <w:spacing w:val="-4"/>
          <w:sz w:val="18"/>
        </w:rPr>
        <w:t xml:space="preserve"> </w:t>
      </w:r>
      <w:r>
        <w:rPr>
          <w:sz w:val="18"/>
        </w:rPr>
        <w:t>base</w:t>
      </w:r>
      <w:r>
        <w:rPr>
          <w:spacing w:val="-4"/>
          <w:sz w:val="18"/>
        </w:rPr>
        <w:t xml:space="preserve"> </w:t>
      </w:r>
      <w:r>
        <w:rPr>
          <w:sz w:val="18"/>
        </w:rPr>
        <w:t>from</w:t>
      </w:r>
      <w:r>
        <w:rPr>
          <w:spacing w:val="-1"/>
          <w:sz w:val="18"/>
        </w:rPr>
        <w:t xml:space="preserve"> </w:t>
      </w:r>
      <w:r>
        <w:rPr>
          <w:sz w:val="18"/>
        </w:rPr>
        <w:t>changes</w:t>
      </w:r>
      <w:r>
        <w:rPr>
          <w:spacing w:val="-3"/>
          <w:sz w:val="18"/>
        </w:rPr>
        <w:t xml:space="preserve"> </w:t>
      </w:r>
      <w:r>
        <w:rPr>
          <w:sz w:val="18"/>
        </w:rPr>
        <w:t>in</w:t>
      </w:r>
      <w:r>
        <w:rPr>
          <w:spacing w:val="-1"/>
          <w:sz w:val="18"/>
        </w:rPr>
        <w:t xml:space="preserve"> </w:t>
      </w:r>
      <w:r>
        <w:rPr>
          <w:sz w:val="18"/>
        </w:rPr>
        <w:t>real</w:t>
      </w:r>
      <w:r>
        <w:rPr>
          <w:spacing w:val="-1"/>
          <w:sz w:val="18"/>
        </w:rPr>
        <w:t xml:space="preserve"> </w:t>
      </w:r>
      <w:r>
        <w:rPr>
          <w:sz w:val="18"/>
        </w:rPr>
        <w:t>interest</w:t>
      </w:r>
      <w:r>
        <w:rPr>
          <w:spacing w:val="-2"/>
          <w:sz w:val="18"/>
        </w:rPr>
        <w:t xml:space="preserve"> </w:t>
      </w:r>
      <w:r>
        <w:rPr>
          <w:sz w:val="18"/>
        </w:rPr>
        <w:t>rates.</w:t>
      </w:r>
      <w:r>
        <w:rPr>
          <w:spacing w:val="40"/>
          <w:sz w:val="18"/>
        </w:rPr>
        <w:t xml:space="preserve"> </w:t>
      </w:r>
      <w:r>
        <w:rPr>
          <w:sz w:val="18"/>
        </w:rPr>
        <w:t>The sensitivity has been determined by multiplying the nominal risk-free interest rate by -0.20 (downward stress)</w:t>
      </w:r>
      <w:r>
        <w:rPr>
          <w:spacing w:val="-2"/>
          <w:sz w:val="18"/>
        </w:rPr>
        <w:t xml:space="preserve"> </w:t>
      </w:r>
      <w:r>
        <w:rPr>
          <w:sz w:val="18"/>
        </w:rPr>
        <w:t>and</w:t>
      </w:r>
      <w:r>
        <w:rPr>
          <w:spacing w:val="-1"/>
          <w:sz w:val="18"/>
        </w:rPr>
        <w:t xml:space="preserve"> </w:t>
      </w:r>
      <w:r>
        <w:rPr>
          <w:sz w:val="18"/>
        </w:rPr>
        <w:t>0.25</w:t>
      </w:r>
      <w:r>
        <w:rPr>
          <w:spacing w:val="-1"/>
          <w:sz w:val="18"/>
        </w:rPr>
        <w:t xml:space="preserve"> </w:t>
      </w:r>
      <w:r>
        <w:rPr>
          <w:sz w:val="18"/>
        </w:rPr>
        <w:t>(upward</w:t>
      </w:r>
      <w:r>
        <w:rPr>
          <w:spacing w:val="-4"/>
          <w:sz w:val="18"/>
        </w:rPr>
        <w:t xml:space="preserve"> </w:t>
      </w:r>
      <w:r>
        <w:rPr>
          <w:sz w:val="18"/>
        </w:rPr>
        <w:t>stress),</w:t>
      </w:r>
      <w:r>
        <w:rPr>
          <w:spacing w:val="-2"/>
          <w:sz w:val="18"/>
        </w:rPr>
        <w:t xml:space="preserve"> </w:t>
      </w:r>
      <w:r>
        <w:rPr>
          <w:sz w:val="18"/>
        </w:rPr>
        <w:t>with</w:t>
      </w:r>
      <w:r>
        <w:rPr>
          <w:spacing w:val="-4"/>
          <w:sz w:val="18"/>
        </w:rPr>
        <w:t xml:space="preserve"> </w:t>
      </w:r>
      <w:r>
        <w:rPr>
          <w:sz w:val="18"/>
        </w:rPr>
        <w:t>a</w:t>
      </w:r>
      <w:r>
        <w:rPr>
          <w:spacing w:val="-4"/>
          <w:sz w:val="18"/>
        </w:rPr>
        <w:t xml:space="preserve"> </w:t>
      </w:r>
      <w:r>
        <w:rPr>
          <w:sz w:val="18"/>
        </w:rPr>
        <w:t>maximum</w:t>
      </w:r>
      <w:r>
        <w:rPr>
          <w:spacing w:val="-3"/>
          <w:sz w:val="18"/>
        </w:rPr>
        <w:t xml:space="preserve"> </w:t>
      </w:r>
      <w:r>
        <w:rPr>
          <w:sz w:val="18"/>
        </w:rPr>
        <w:t>stress</w:t>
      </w:r>
      <w:r>
        <w:rPr>
          <w:spacing w:val="-3"/>
          <w:sz w:val="18"/>
        </w:rPr>
        <w:t xml:space="preserve"> </w:t>
      </w:r>
      <w:r>
        <w:rPr>
          <w:sz w:val="18"/>
        </w:rPr>
        <w:t>adjustment</w:t>
      </w:r>
      <w:r>
        <w:rPr>
          <w:spacing w:val="-4"/>
          <w:sz w:val="18"/>
        </w:rPr>
        <w:t xml:space="preserve"> </w:t>
      </w:r>
      <w:r>
        <w:rPr>
          <w:sz w:val="18"/>
        </w:rPr>
        <w:t>of</w:t>
      </w:r>
      <w:r>
        <w:rPr>
          <w:spacing w:val="-2"/>
          <w:sz w:val="18"/>
        </w:rPr>
        <w:t xml:space="preserve"> </w:t>
      </w:r>
      <w:r>
        <w:rPr>
          <w:sz w:val="18"/>
        </w:rPr>
        <w:t>200</w:t>
      </w:r>
      <w:r>
        <w:rPr>
          <w:spacing w:val="-1"/>
          <w:sz w:val="18"/>
        </w:rPr>
        <w:t xml:space="preserve"> </w:t>
      </w:r>
      <w:r>
        <w:rPr>
          <w:sz w:val="18"/>
        </w:rPr>
        <w:t>basis</w:t>
      </w:r>
      <w:r>
        <w:rPr>
          <w:spacing w:val="-1"/>
          <w:sz w:val="18"/>
        </w:rPr>
        <w:t xml:space="preserve"> </w:t>
      </w:r>
      <w:r>
        <w:rPr>
          <w:sz w:val="18"/>
        </w:rPr>
        <w:t>points</w:t>
      </w:r>
      <w:r>
        <w:rPr>
          <w:spacing w:val="-1"/>
          <w:sz w:val="18"/>
        </w:rPr>
        <w:t xml:space="preserve"> </w:t>
      </w:r>
      <w:r>
        <w:rPr>
          <w:sz w:val="18"/>
        </w:rPr>
        <w:t>in</w:t>
      </w:r>
      <w:r>
        <w:rPr>
          <w:spacing w:val="-4"/>
          <w:sz w:val="18"/>
        </w:rPr>
        <w:t xml:space="preserve"> </w:t>
      </w:r>
      <w:r>
        <w:rPr>
          <w:sz w:val="18"/>
        </w:rPr>
        <w:t>either</w:t>
      </w:r>
      <w:r>
        <w:rPr>
          <w:spacing w:val="-4"/>
          <w:sz w:val="18"/>
        </w:rPr>
        <w:t xml:space="preserve"> </w:t>
      </w:r>
      <w:r>
        <w:rPr>
          <w:sz w:val="18"/>
        </w:rPr>
        <w:t>direction.</w:t>
      </w:r>
    </w:p>
    <w:p w14:paraId="11B4F369" w14:textId="77777777" w:rsidR="00AC6F3C" w:rsidRDefault="00AC6F3C">
      <w:pPr>
        <w:pStyle w:val="BodyText"/>
        <w:spacing w:before="8"/>
      </w:pPr>
    </w:p>
    <w:p w14:paraId="65EAAF80" w14:textId="77777777" w:rsidR="00AC6F3C" w:rsidRDefault="00570E88">
      <w:pPr>
        <w:ind w:left="958"/>
        <w:rPr>
          <w:b/>
          <w:sz w:val="18"/>
        </w:rPr>
      </w:pPr>
      <w:r>
        <w:rPr>
          <w:b/>
          <w:sz w:val="18"/>
        </w:rPr>
        <w:t>Inflation</w:t>
      </w:r>
      <w:r>
        <w:rPr>
          <w:b/>
          <w:spacing w:val="-3"/>
          <w:sz w:val="18"/>
        </w:rPr>
        <w:t xml:space="preserve"> </w:t>
      </w:r>
      <w:r>
        <w:rPr>
          <w:b/>
          <w:sz w:val="18"/>
        </w:rPr>
        <w:t>risk</w:t>
      </w:r>
      <w:r>
        <w:rPr>
          <w:b/>
          <w:spacing w:val="-2"/>
          <w:sz w:val="18"/>
        </w:rPr>
        <w:t xml:space="preserve"> sensitivity</w:t>
      </w:r>
    </w:p>
    <w:p w14:paraId="775BAFB7" w14:textId="77777777" w:rsidR="00AC6F3C" w:rsidRDefault="00570E88">
      <w:pPr>
        <w:spacing w:before="2"/>
        <w:ind w:left="958" w:right="858"/>
        <w:rPr>
          <w:sz w:val="18"/>
        </w:rPr>
      </w:pPr>
      <w:r>
        <w:rPr>
          <w:sz w:val="18"/>
        </w:rPr>
        <w:t>Expected inflation sensitivity measures the changes on the capital base from changes to expensed consumer price index inflation rates. The sensitivity has been determined by adjusting the expected inflation</w:t>
      </w:r>
      <w:r>
        <w:rPr>
          <w:spacing w:val="-4"/>
          <w:sz w:val="18"/>
        </w:rPr>
        <w:t xml:space="preserve"> </w:t>
      </w:r>
      <w:r>
        <w:rPr>
          <w:sz w:val="18"/>
        </w:rPr>
        <w:t>rates</w:t>
      </w:r>
      <w:r>
        <w:rPr>
          <w:spacing w:val="-2"/>
          <w:sz w:val="18"/>
        </w:rPr>
        <w:t xml:space="preserve"> </w:t>
      </w:r>
      <w:r>
        <w:rPr>
          <w:sz w:val="18"/>
        </w:rPr>
        <w:t>by</w:t>
      </w:r>
      <w:r>
        <w:rPr>
          <w:spacing w:val="-2"/>
          <w:sz w:val="18"/>
        </w:rPr>
        <w:t xml:space="preserve"> </w:t>
      </w:r>
      <w:r>
        <w:rPr>
          <w:sz w:val="18"/>
        </w:rPr>
        <w:t>adding</w:t>
      </w:r>
      <w:r>
        <w:rPr>
          <w:spacing w:val="-2"/>
          <w:sz w:val="18"/>
        </w:rPr>
        <w:t xml:space="preserve"> </w:t>
      </w:r>
      <w:r>
        <w:rPr>
          <w:sz w:val="18"/>
        </w:rPr>
        <w:t>125</w:t>
      </w:r>
      <w:r>
        <w:rPr>
          <w:spacing w:val="-2"/>
          <w:sz w:val="18"/>
        </w:rPr>
        <w:t xml:space="preserve"> </w:t>
      </w:r>
      <w:r>
        <w:rPr>
          <w:sz w:val="18"/>
        </w:rPr>
        <w:t>basis</w:t>
      </w:r>
      <w:r>
        <w:rPr>
          <w:spacing w:val="-2"/>
          <w:sz w:val="18"/>
        </w:rPr>
        <w:t xml:space="preserve"> </w:t>
      </w:r>
      <w:r>
        <w:rPr>
          <w:sz w:val="18"/>
        </w:rPr>
        <w:t>points</w:t>
      </w:r>
      <w:r>
        <w:rPr>
          <w:spacing w:val="-2"/>
          <w:sz w:val="18"/>
        </w:rPr>
        <w:t xml:space="preserve"> </w:t>
      </w:r>
      <w:r>
        <w:rPr>
          <w:sz w:val="18"/>
        </w:rPr>
        <w:t>(upward</w:t>
      </w:r>
      <w:r>
        <w:rPr>
          <w:spacing w:val="-2"/>
          <w:sz w:val="18"/>
        </w:rPr>
        <w:t xml:space="preserve"> </w:t>
      </w:r>
      <w:r>
        <w:rPr>
          <w:sz w:val="18"/>
        </w:rPr>
        <w:t>movement)</w:t>
      </w:r>
      <w:r>
        <w:rPr>
          <w:spacing w:val="-2"/>
          <w:sz w:val="18"/>
        </w:rPr>
        <w:t xml:space="preserve"> </w:t>
      </w:r>
      <w:r>
        <w:rPr>
          <w:sz w:val="18"/>
        </w:rPr>
        <w:t>and</w:t>
      </w:r>
      <w:r>
        <w:rPr>
          <w:spacing w:val="-4"/>
          <w:sz w:val="18"/>
        </w:rPr>
        <w:t xml:space="preserve"> </w:t>
      </w:r>
      <w:r>
        <w:rPr>
          <w:sz w:val="18"/>
        </w:rPr>
        <w:t>subtracting</w:t>
      </w:r>
      <w:r>
        <w:rPr>
          <w:spacing w:val="-4"/>
          <w:sz w:val="18"/>
        </w:rPr>
        <w:t xml:space="preserve"> </w:t>
      </w:r>
      <w:r>
        <w:rPr>
          <w:sz w:val="18"/>
        </w:rPr>
        <w:t>100</w:t>
      </w:r>
      <w:r>
        <w:rPr>
          <w:spacing w:val="-4"/>
          <w:sz w:val="18"/>
        </w:rPr>
        <w:t xml:space="preserve"> </w:t>
      </w:r>
      <w:r>
        <w:rPr>
          <w:sz w:val="18"/>
        </w:rPr>
        <w:t>basis</w:t>
      </w:r>
      <w:r>
        <w:rPr>
          <w:spacing w:val="-3"/>
          <w:sz w:val="18"/>
        </w:rPr>
        <w:t xml:space="preserve"> </w:t>
      </w:r>
      <w:r>
        <w:rPr>
          <w:sz w:val="18"/>
        </w:rPr>
        <w:t>points</w:t>
      </w:r>
      <w:r>
        <w:rPr>
          <w:spacing w:val="-2"/>
          <w:sz w:val="18"/>
        </w:rPr>
        <w:t xml:space="preserve"> </w:t>
      </w:r>
      <w:r>
        <w:rPr>
          <w:sz w:val="18"/>
        </w:rPr>
        <w:t xml:space="preserve">(downward </w:t>
      </w:r>
      <w:r>
        <w:rPr>
          <w:spacing w:val="-2"/>
          <w:sz w:val="18"/>
        </w:rPr>
        <w:t>movement).</w:t>
      </w:r>
    </w:p>
    <w:p w14:paraId="1371071B" w14:textId="77777777" w:rsidR="00AC6F3C" w:rsidRDefault="00AC6F3C">
      <w:pPr>
        <w:pStyle w:val="BodyText"/>
        <w:spacing w:before="10"/>
      </w:pPr>
    </w:p>
    <w:p w14:paraId="722A4197" w14:textId="77777777" w:rsidR="00AC6F3C" w:rsidRDefault="00570E88">
      <w:pPr>
        <w:spacing w:line="207" w:lineRule="exact"/>
        <w:ind w:left="958"/>
        <w:rPr>
          <w:b/>
          <w:sz w:val="18"/>
        </w:rPr>
      </w:pPr>
      <w:r>
        <w:rPr>
          <w:b/>
          <w:sz w:val="18"/>
        </w:rPr>
        <w:t>Currency</w:t>
      </w:r>
      <w:r>
        <w:rPr>
          <w:b/>
          <w:spacing w:val="-2"/>
          <w:sz w:val="18"/>
        </w:rPr>
        <w:t xml:space="preserve"> sensitivity</w:t>
      </w:r>
    </w:p>
    <w:p w14:paraId="5A233331" w14:textId="77777777" w:rsidR="00AC6F3C" w:rsidRDefault="00570E88">
      <w:pPr>
        <w:ind w:left="958" w:right="990"/>
        <w:rPr>
          <w:sz w:val="18"/>
        </w:rPr>
      </w:pPr>
      <w:r>
        <w:rPr>
          <w:sz w:val="18"/>
        </w:rPr>
        <w:t>Currency sensitivity measures the changes in the capital base due to changes in foreign currency exchange rates.</w:t>
      </w:r>
      <w:r>
        <w:rPr>
          <w:spacing w:val="40"/>
          <w:sz w:val="18"/>
        </w:rPr>
        <w:t xml:space="preserve"> </w:t>
      </w:r>
      <w:r>
        <w:rPr>
          <w:sz w:val="18"/>
        </w:rPr>
        <w:t>The</w:t>
      </w:r>
      <w:r>
        <w:rPr>
          <w:spacing w:val="-1"/>
          <w:sz w:val="18"/>
        </w:rPr>
        <w:t xml:space="preserve"> </w:t>
      </w:r>
      <w:r>
        <w:rPr>
          <w:sz w:val="18"/>
        </w:rPr>
        <w:t>sensitivity has been determined by applying a</w:t>
      </w:r>
      <w:r>
        <w:rPr>
          <w:spacing w:val="-1"/>
          <w:sz w:val="18"/>
        </w:rPr>
        <w:t xml:space="preserve"> </w:t>
      </w:r>
      <w:r>
        <w:rPr>
          <w:sz w:val="18"/>
        </w:rPr>
        <w:t>25%</w:t>
      </w:r>
      <w:r>
        <w:rPr>
          <w:spacing w:val="-1"/>
          <w:sz w:val="18"/>
        </w:rPr>
        <w:t xml:space="preserve"> </w:t>
      </w:r>
      <w:r>
        <w:rPr>
          <w:sz w:val="18"/>
        </w:rPr>
        <w:t>increase and 25%</w:t>
      </w:r>
      <w:r>
        <w:rPr>
          <w:spacing w:val="-1"/>
          <w:sz w:val="18"/>
        </w:rPr>
        <w:t xml:space="preserve"> </w:t>
      </w:r>
      <w:r>
        <w:rPr>
          <w:sz w:val="18"/>
        </w:rPr>
        <w:t>decrease in exchange rates.</w:t>
      </w:r>
      <w:r>
        <w:rPr>
          <w:spacing w:val="40"/>
          <w:sz w:val="18"/>
        </w:rPr>
        <w:t xml:space="preserve"> </w:t>
      </w:r>
      <w:r>
        <w:rPr>
          <w:sz w:val="18"/>
        </w:rPr>
        <w:t>An increase in the Australian Dollar is divided by 1.25 (or multiplied by 0.8) while a decrease</w:t>
      </w:r>
      <w:r>
        <w:rPr>
          <w:spacing w:val="-4"/>
          <w:sz w:val="18"/>
        </w:rPr>
        <w:t xml:space="preserve"> </w:t>
      </w:r>
      <w:r>
        <w:rPr>
          <w:sz w:val="18"/>
        </w:rPr>
        <w:t>is</w:t>
      </w:r>
      <w:r>
        <w:rPr>
          <w:spacing w:val="-3"/>
          <w:sz w:val="18"/>
        </w:rPr>
        <w:t xml:space="preserve"> </w:t>
      </w:r>
      <w:r>
        <w:rPr>
          <w:sz w:val="18"/>
        </w:rPr>
        <w:t>divided</w:t>
      </w:r>
      <w:r>
        <w:rPr>
          <w:spacing w:val="-1"/>
          <w:sz w:val="18"/>
        </w:rPr>
        <w:t xml:space="preserve"> </w:t>
      </w:r>
      <w:r>
        <w:rPr>
          <w:sz w:val="18"/>
        </w:rPr>
        <w:t>by</w:t>
      </w:r>
      <w:r>
        <w:rPr>
          <w:spacing w:val="-1"/>
          <w:sz w:val="18"/>
        </w:rPr>
        <w:t xml:space="preserve"> </w:t>
      </w:r>
      <w:r>
        <w:rPr>
          <w:sz w:val="18"/>
        </w:rPr>
        <w:t>0.75</w:t>
      </w:r>
      <w:r>
        <w:rPr>
          <w:spacing w:val="-1"/>
          <w:sz w:val="18"/>
        </w:rPr>
        <w:t xml:space="preserve"> </w:t>
      </w:r>
      <w:r>
        <w:rPr>
          <w:sz w:val="18"/>
        </w:rPr>
        <w:t>(or</w:t>
      </w:r>
      <w:r>
        <w:rPr>
          <w:spacing w:val="-4"/>
          <w:sz w:val="18"/>
        </w:rPr>
        <w:t xml:space="preserve"> </w:t>
      </w:r>
      <w:r>
        <w:rPr>
          <w:sz w:val="18"/>
        </w:rPr>
        <w:t>multiplied</w:t>
      </w:r>
      <w:r>
        <w:rPr>
          <w:spacing w:val="-4"/>
          <w:sz w:val="18"/>
        </w:rPr>
        <w:t xml:space="preserve"> </w:t>
      </w:r>
      <w:r>
        <w:rPr>
          <w:sz w:val="18"/>
        </w:rPr>
        <w:t>by</w:t>
      </w:r>
      <w:r>
        <w:rPr>
          <w:spacing w:val="-3"/>
          <w:sz w:val="18"/>
        </w:rPr>
        <w:t xml:space="preserve"> </w:t>
      </w:r>
      <w:r>
        <w:rPr>
          <w:sz w:val="18"/>
        </w:rPr>
        <w:t>1.333).</w:t>
      </w:r>
      <w:r>
        <w:rPr>
          <w:spacing w:val="-2"/>
          <w:sz w:val="18"/>
        </w:rPr>
        <w:t xml:space="preserve"> </w:t>
      </w:r>
      <w:r>
        <w:rPr>
          <w:sz w:val="18"/>
        </w:rPr>
        <w:t>Only</w:t>
      </w:r>
      <w:r>
        <w:rPr>
          <w:spacing w:val="-1"/>
          <w:sz w:val="18"/>
        </w:rPr>
        <w:t xml:space="preserve"> </w:t>
      </w:r>
      <w:r>
        <w:rPr>
          <w:sz w:val="18"/>
        </w:rPr>
        <w:t>negative</w:t>
      </w:r>
      <w:r>
        <w:rPr>
          <w:spacing w:val="-1"/>
          <w:sz w:val="18"/>
        </w:rPr>
        <w:t xml:space="preserve"> </w:t>
      </w:r>
      <w:r>
        <w:rPr>
          <w:sz w:val="18"/>
        </w:rPr>
        <w:t>results</w:t>
      </w:r>
      <w:r>
        <w:rPr>
          <w:spacing w:val="-1"/>
          <w:sz w:val="18"/>
        </w:rPr>
        <w:t xml:space="preserve"> </w:t>
      </w:r>
      <w:r>
        <w:rPr>
          <w:sz w:val="18"/>
        </w:rPr>
        <w:t>are</w:t>
      </w:r>
      <w:r>
        <w:rPr>
          <w:spacing w:val="-1"/>
          <w:sz w:val="18"/>
        </w:rPr>
        <w:t xml:space="preserve"> </w:t>
      </w:r>
      <w:r>
        <w:rPr>
          <w:sz w:val="18"/>
        </w:rPr>
        <w:t>included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calculation.</w:t>
      </w:r>
    </w:p>
    <w:p w14:paraId="136FCA07" w14:textId="77777777" w:rsidR="00AC6F3C" w:rsidRDefault="00AC6F3C">
      <w:pPr>
        <w:pStyle w:val="BodyText"/>
        <w:spacing w:before="9"/>
      </w:pPr>
    </w:p>
    <w:p w14:paraId="42A61F3F" w14:textId="77777777" w:rsidR="00AC6F3C" w:rsidRDefault="00570E88">
      <w:pPr>
        <w:spacing w:before="1" w:line="207" w:lineRule="exact"/>
        <w:ind w:left="958"/>
        <w:jc w:val="both"/>
        <w:rPr>
          <w:b/>
          <w:sz w:val="18"/>
        </w:rPr>
      </w:pPr>
      <w:r>
        <w:rPr>
          <w:b/>
          <w:sz w:val="18"/>
        </w:rPr>
        <w:t>Equity</w:t>
      </w:r>
      <w:r>
        <w:rPr>
          <w:b/>
          <w:spacing w:val="1"/>
          <w:sz w:val="18"/>
        </w:rPr>
        <w:t xml:space="preserve"> </w:t>
      </w:r>
      <w:r>
        <w:rPr>
          <w:b/>
          <w:spacing w:val="-2"/>
          <w:sz w:val="18"/>
        </w:rPr>
        <w:t>sensitivity</w:t>
      </w:r>
    </w:p>
    <w:p w14:paraId="7A099045" w14:textId="77777777" w:rsidR="00AC6F3C" w:rsidRDefault="00570E88">
      <w:pPr>
        <w:ind w:left="958" w:right="1007"/>
        <w:jc w:val="both"/>
        <w:rPr>
          <w:sz w:val="18"/>
        </w:rPr>
      </w:pPr>
      <w:r>
        <w:rPr>
          <w:sz w:val="18"/>
        </w:rPr>
        <w:t>Equity</w:t>
      </w:r>
      <w:r>
        <w:rPr>
          <w:spacing w:val="-1"/>
          <w:sz w:val="18"/>
        </w:rPr>
        <w:t xml:space="preserve"> </w:t>
      </w:r>
      <w:r>
        <w:rPr>
          <w:sz w:val="18"/>
        </w:rPr>
        <w:t>sensitivity</w:t>
      </w:r>
      <w:r>
        <w:rPr>
          <w:spacing w:val="-1"/>
          <w:sz w:val="18"/>
        </w:rPr>
        <w:t xml:space="preserve"> </w:t>
      </w:r>
      <w:r>
        <w:rPr>
          <w:sz w:val="18"/>
        </w:rPr>
        <w:t>measures</w:t>
      </w:r>
      <w:r>
        <w:rPr>
          <w:spacing w:val="-3"/>
          <w:sz w:val="18"/>
        </w:rPr>
        <w:t xml:space="preserve"> </w:t>
      </w:r>
      <w:r>
        <w:rPr>
          <w:sz w:val="18"/>
        </w:rPr>
        <w:t>the</w:t>
      </w:r>
      <w:r>
        <w:rPr>
          <w:spacing w:val="-1"/>
          <w:sz w:val="18"/>
        </w:rPr>
        <w:t xml:space="preserve"> </w:t>
      </w:r>
      <w:r>
        <w:rPr>
          <w:sz w:val="18"/>
        </w:rPr>
        <w:t>change</w:t>
      </w:r>
      <w:r>
        <w:rPr>
          <w:spacing w:val="-4"/>
          <w:sz w:val="18"/>
        </w:rPr>
        <w:t xml:space="preserve"> </w:t>
      </w:r>
      <w:r>
        <w:rPr>
          <w:sz w:val="18"/>
        </w:rPr>
        <w:t>on</w:t>
      </w:r>
      <w:r>
        <w:rPr>
          <w:spacing w:val="-1"/>
          <w:sz w:val="18"/>
        </w:rPr>
        <w:t xml:space="preserve"> </w:t>
      </w:r>
      <w:r>
        <w:rPr>
          <w:sz w:val="18"/>
        </w:rPr>
        <w:t>the</w:t>
      </w:r>
      <w:r>
        <w:rPr>
          <w:spacing w:val="-4"/>
          <w:sz w:val="18"/>
        </w:rPr>
        <w:t xml:space="preserve"> </w:t>
      </w:r>
      <w:r>
        <w:rPr>
          <w:sz w:val="18"/>
        </w:rPr>
        <w:t>capital</w:t>
      </w:r>
      <w:r>
        <w:rPr>
          <w:spacing w:val="-4"/>
          <w:sz w:val="18"/>
        </w:rPr>
        <w:t xml:space="preserve"> </w:t>
      </w:r>
      <w:r>
        <w:rPr>
          <w:sz w:val="18"/>
        </w:rPr>
        <w:t>base</w:t>
      </w:r>
      <w:r>
        <w:rPr>
          <w:spacing w:val="-1"/>
          <w:sz w:val="18"/>
        </w:rPr>
        <w:t xml:space="preserve"> </w:t>
      </w:r>
      <w:r>
        <w:rPr>
          <w:sz w:val="18"/>
        </w:rPr>
        <w:t>of</w:t>
      </w:r>
      <w:r>
        <w:rPr>
          <w:spacing w:val="-2"/>
          <w:sz w:val="18"/>
        </w:rPr>
        <w:t xml:space="preserve"> </w:t>
      </w:r>
      <w:r>
        <w:rPr>
          <w:sz w:val="18"/>
        </w:rPr>
        <w:t>a</w:t>
      </w:r>
      <w:r>
        <w:rPr>
          <w:spacing w:val="-1"/>
          <w:sz w:val="18"/>
        </w:rPr>
        <w:t xml:space="preserve"> </w:t>
      </w:r>
      <w:r>
        <w:rPr>
          <w:sz w:val="18"/>
        </w:rPr>
        <w:t>fall</w:t>
      </w:r>
      <w:r>
        <w:rPr>
          <w:spacing w:val="-1"/>
          <w:sz w:val="18"/>
        </w:rPr>
        <w:t xml:space="preserve"> </w:t>
      </w:r>
      <w:r>
        <w:rPr>
          <w:sz w:val="18"/>
        </w:rPr>
        <w:t>in</w:t>
      </w:r>
      <w:r>
        <w:rPr>
          <w:spacing w:val="-1"/>
          <w:sz w:val="18"/>
        </w:rPr>
        <w:t xml:space="preserve"> </w:t>
      </w:r>
      <w:r>
        <w:rPr>
          <w:sz w:val="18"/>
        </w:rPr>
        <w:t>equity</w:t>
      </w:r>
      <w:r>
        <w:rPr>
          <w:spacing w:val="-1"/>
          <w:sz w:val="18"/>
        </w:rPr>
        <w:t xml:space="preserve"> </w:t>
      </w:r>
      <w:r>
        <w:rPr>
          <w:sz w:val="18"/>
        </w:rPr>
        <w:t>and</w:t>
      </w:r>
      <w:r>
        <w:rPr>
          <w:spacing w:val="-1"/>
          <w:sz w:val="18"/>
        </w:rPr>
        <w:t xml:space="preserve"> </w:t>
      </w:r>
      <w:r>
        <w:rPr>
          <w:sz w:val="18"/>
        </w:rPr>
        <w:t>other</w:t>
      </w:r>
      <w:r>
        <w:rPr>
          <w:spacing w:val="-2"/>
          <w:sz w:val="18"/>
        </w:rPr>
        <w:t xml:space="preserve"> </w:t>
      </w:r>
      <w:r>
        <w:rPr>
          <w:sz w:val="18"/>
        </w:rPr>
        <w:t>asset</w:t>
      </w:r>
      <w:r>
        <w:rPr>
          <w:spacing w:val="-2"/>
          <w:sz w:val="18"/>
        </w:rPr>
        <w:t xml:space="preserve"> </w:t>
      </w:r>
      <w:r>
        <w:rPr>
          <w:sz w:val="18"/>
        </w:rPr>
        <w:t>values.</w:t>
      </w:r>
      <w:r>
        <w:rPr>
          <w:spacing w:val="40"/>
          <w:sz w:val="18"/>
        </w:rPr>
        <w:t xml:space="preserve"> </w:t>
      </w:r>
      <w:r>
        <w:rPr>
          <w:sz w:val="18"/>
        </w:rPr>
        <w:t>For listed</w:t>
      </w:r>
      <w:r>
        <w:rPr>
          <w:spacing w:val="-1"/>
          <w:sz w:val="18"/>
        </w:rPr>
        <w:t xml:space="preserve"> </w:t>
      </w:r>
      <w:r>
        <w:rPr>
          <w:sz w:val="18"/>
        </w:rPr>
        <w:t>equities,</w:t>
      </w:r>
      <w:r>
        <w:rPr>
          <w:spacing w:val="-2"/>
          <w:sz w:val="18"/>
        </w:rPr>
        <w:t xml:space="preserve"> </w:t>
      </w:r>
      <w:r>
        <w:rPr>
          <w:sz w:val="18"/>
        </w:rPr>
        <w:t>the</w:t>
      </w:r>
      <w:r>
        <w:rPr>
          <w:spacing w:val="-1"/>
          <w:sz w:val="18"/>
        </w:rPr>
        <w:t xml:space="preserve"> </w:t>
      </w:r>
      <w:r>
        <w:rPr>
          <w:sz w:val="18"/>
        </w:rPr>
        <w:t>fall</w:t>
      </w:r>
      <w:r>
        <w:rPr>
          <w:spacing w:val="-1"/>
          <w:sz w:val="18"/>
        </w:rPr>
        <w:t xml:space="preserve"> </w:t>
      </w:r>
      <w:r>
        <w:rPr>
          <w:sz w:val="18"/>
        </w:rPr>
        <w:t>is</w:t>
      </w:r>
      <w:r>
        <w:rPr>
          <w:spacing w:val="-1"/>
          <w:sz w:val="18"/>
        </w:rPr>
        <w:t xml:space="preserve"> </w:t>
      </w:r>
      <w:r>
        <w:rPr>
          <w:sz w:val="18"/>
        </w:rPr>
        <w:t>determined</w:t>
      </w:r>
      <w:r>
        <w:rPr>
          <w:spacing w:val="-1"/>
          <w:sz w:val="18"/>
        </w:rPr>
        <w:t xml:space="preserve"> </w:t>
      </w:r>
      <w:r>
        <w:rPr>
          <w:sz w:val="18"/>
        </w:rPr>
        <w:t>by</w:t>
      </w:r>
      <w:r>
        <w:rPr>
          <w:spacing w:val="-1"/>
          <w:sz w:val="18"/>
        </w:rPr>
        <w:t xml:space="preserve"> </w:t>
      </w:r>
      <w:r>
        <w:rPr>
          <w:sz w:val="18"/>
        </w:rPr>
        <w:t>increasing</w:t>
      </w:r>
      <w:r>
        <w:rPr>
          <w:spacing w:val="-1"/>
          <w:sz w:val="18"/>
        </w:rPr>
        <w:t xml:space="preserve"> </w:t>
      </w:r>
      <w:r>
        <w:rPr>
          <w:sz w:val="18"/>
        </w:rPr>
        <w:t>the</w:t>
      </w:r>
      <w:r>
        <w:rPr>
          <w:spacing w:val="-1"/>
          <w:sz w:val="18"/>
        </w:rPr>
        <w:t xml:space="preserve"> </w:t>
      </w:r>
      <w:r>
        <w:rPr>
          <w:sz w:val="18"/>
        </w:rPr>
        <w:t>dividend</w:t>
      </w:r>
      <w:r>
        <w:rPr>
          <w:spacing w:val="-1"/>
          <w:sz w:val="18"/>
        </w:rPr>
        <w:t xml:space="preserve"> </w:t>
      </w:r>
      <w:r>
        <w:rPr>
          <w:sz w:val="18"/>
        </w:rPr>
        <w:t>yield</w:t>
      </w:r>
      <w:r>
        <w:rPr>
          <w:spacing w:val="-4"/>
          <w:sz w:val="18"/>
        </w:rPr>
        <w:t xml:space="preserve"> </w:t>
      </w:r>
      <w:r>
        <w:rPr>
          <w:sz w:val="18"/>
        </w:rPr>
        <w:t>on</w:t>
      </w:r>
      <w:r>
        <w:rPr>
          <w:spacing w:val="-4"/>
          <w:sz w:val="18"/>
        </w:rPr>
        <w:t xml:space="preserve"> </w:t>
      </w:r>
      <w:r>
        <w:rPr>
          <w:sz w:val="18"/>
        </w:rPr>
        <w:t>the</w:t>
      </w:r>
      <w:r>
        <w:rPr>
          <w:spacing w:val="-1"/>
          <w:sz w:val="18"/>
        </w:rPr>
        <w:t xml:space="preserve"> </w:t>
      </w:r>
      <w:r>
        <w:rPr>
          <w:sz w:val="18"/>
        </w:rPr>
        <w:t>ASX</w:t>
      </w:r>
      <w:r>
        <w:rPr>
          <w:spacing w:val="-5"/>
          <w:sz w:val="18"/>
        </w:rPr>
        <w:t xml:space="preserve"> </w:t>
      </w:r>
      <w:r>
        <w:rPr>
          <w:sz w:val="18"/>
        </w:rPr>
        <w:t>200</w:t>
      </w:r>
      <w:r>
        <w:rPr>
          <w:spacing w:val="-4"/>
          <w:sz w:val="18"/>
        </w:rPr>
        <w:t xml:space="preserve"> </w:t>
      </w:r>
      <w:r>
        <w:rPr>
          <w:sz w:val="18"/>
        </w:rPr>
        <w:t>index</w:t>
      </w:r>
      <w:r>
        <w:rPr>
          <w:spacing w:val="-3"/>
          <w:sz w:val="18"/>
        </w:rPr>
        <w:t xml:space="preserve"> </w:t>
      </w:r>
      <w:r>
        <w:rPr>
          <w:sz w:val="18"/>
        </w:rPr>
        <w:t>by</w:t>
      </w:r>
      <w:r>
        <w:rPr>
          <w:spacing w:val="-1"/>
          <w:sz w:val="18"/>
        </w:rPr>
        <w:t xml:space="preserve"> </w:t>
      </w:r>
      <w:r>
        <w:rPr>
          <w:sz w:val="18"/>
        </w:rPr>
        <w:t>2.5%.</w:t>
      </w:r>
      <w:r>
        <w:rPr>
          <w:spacing w:val="40"/>
          <w:sz w:val="18"/>
        </w:rPr>
        <w:t xml:space="preserve"> </w:t>
      </w:r>
      <w:r>
        <w:rPr>
          <w:sz w:val="18"/>
        </w:rPr>
        <w:t>For unlisted equities, the fall is determined by increasing the dividend yield on the ASX 200 index by 3.0%.</w:t>
      </w:r>
    </w:p>
    <w:p w14:paraId="5BF0A5D8" w14:textId="77777777" w:rsidR="00AC6F3C" w:rsidRDefault="00AC6F3C">
      <w:pPr>
        <w:jc w:val="both"/>
        <w:rPr>
          <w:sz w:val="18"/>
        </w:rPr>
        <w:sectPr w:rsidR="00AC6F3C">
          <w:pgSz w:w="11910" w:h="16840"/>
          <w:pgMar w:top="2020" w:right="1160" w:bottom="520" w:left="460" w:header="1228" w:footer="336" w:gutter="0"/>
          <w:cols w:space="720"/>
        </w:sectPr>
      </w:pPr>
    </w:p>
    <w:p w14:paraId="3A173632" w14:textId="77777777" w:rsidR="00AC6F3C" w:rsidRDefault="00AC6F3C">
      <w:pPr>
        <w:pStyle w:val="BodyText"/>
      </w:pPr>
    </w:p>
    <w:p w14:paraId="2786F721" w14:textId="77777777" w:rsidR="00AC6F3C" w:rsidRDefault="00570E88">
      <w:pPr>
        <w:tabs>
          <w:tab w:val="left" w:pos="1666"/>
        </w:tabs>
        <w:spacing w:before="249" w:line="322" w:lineRule="exact"/>
        <w:ind w:left="958"/>
        <w:rPr>
          <w:b/>
          <w:sz w:val="28"/>
        </w:rPr>
      </w:pPr>
      <w:r>
        <w:rPr>
          <w:b/>
          <w:spacing w:val="-5"/>
          <w:sz w:val="28"/>
        </w:rPr>
        <w:t>D2</w:t>
      </w:r>
      <w:r>
        <w:rPr>
          <w:b/>
          <w:sz w:val="28"/>
        </w:rPr>
        <w:tab/>
        <w:t>MANAGEMENT</w:t>
      </w:r>
      <w:r>
        <w:rPr>
          <w:b/>
          <w:spacing w:val="-7"/>
          <w:sz w:val="28"/>
        </w:rPr>
        <w:t xml:space="preserve"> </w:t>
      </w:r>
      <w:r>
        <w:rPr>
          <w:b/>
          <w:sz w:val="28"/>
        </w:rPr>
        <w:t>OF</w:t>
      </w:r>
      <w:r>
        <w:rPr>
          <w:b/>
          <w:spacing w:val="-7"/>
          <w:sz w:val="28"/>
        </w:rPr>
        <w:t xml:space="preserve"> </w:t>
      </w:r>
      <w:r>
        <w:rPr>
          <w:b/>
          <w:sz w:val="28"/>
        </w:rPr>
        <w:t>INSURANCE</w:t>
      </w:r>
      <w:r>
        <w:rPr>
          <w:b/>
          <w:spacing w:val="-5"/>
          <w:sz w:val="28"/>
        </w:rPr>
        <w:t xml:space="preserve"> </w:t>
      </w:r>
      <w:r>
        <w:rPr>
          <w:b/>
          <w:sz w:val="28"/>
        </w:rPr>
        <w:t>AND</w:t>
      </w:r>
      <w:r>
        <w:rPr>
          <w:b/>
          <w:spacing w:val="-7"/>
          <w:sz w:val="28"/>
        </w:rPr>
        <w:t xml:space="preserve"> </w:t>
      </w:r>
      <w:r>
        <w:rPr>
          <w:b/>
          <w:sz w:val="28"/>
        </w:rPr>
        <w:t>FINANCIAL</w:t>
      </w:r>
      <w:r>
        <w:rPr>
          <w:b/>
          <w:spacing w:val="-6"/>
          <w:sz w:val="28"/>
        </w:rPr>
        <w:t xml:space="preserve"> </w:t>
      </w:r>
      <w:r>
        <w:rPr>
          <w:b/>
          <w:spacing w:val="-4"/>
          <w:sz w:val="28"/>
        </w:rPr>
        <w:t>RISK</w:t>
      </w:r>
    </w:p>
    <w:p w14:paraId="7FC37417" w14:textId="77777777" w:rsidR="00AC6F3C" w:rsidRDefault="00570E88">
      <w:pPr>
        <w:spacing w:line="322" w:lineRule="exact"/>
        <w:ind w:left="1666"/>
        <w:rPr>
          <w:b/>
          <w:sz w:val="28"/>
        </w:rPr>
      </w:pPr>
      <w:r>
        <w:rPr>
          <w:b/>
          <w:spacing w:val="-2"/>
          <w:sz w:val="28"/>
        </w:rPr>
        <w:t>(continued)</w:t>
      </w:r>
    </w:p>
    <w:p w14:paraId="0849A506" w14:textId="77777777" w:rsidR="00AC6F3C" w:rsidRDefault="00570E88">
      <w:pPr>
        <w:pStyle w:val="Heading6"/>
      </w:pPr>
      <w:r>
        <w:t>D2-4</w:t>
      </w:r>
      <w:r>
        <w:rPr>
          <w:spacing w:val="72"/>
          <w:w w:val="150"/>
        </w:rPr>
        <w:t xml:space="preserve"> </w:t>
      </w:r>
      <w:r>
        <w:t>FINANCIAL</w:t>
      </w:r>
      <w:r>
        <w:rPr>
          <w:spacing w:val="-3"/>
        </w:rPr>
        <w:t xml:space="preserve"> </w:t>
      </w:r>
      <w:r>
        <w:t>INSTRUMENTS</w:t>
      </w:r>
      <w:r>
        <w:rPr>
          <w:spacing w:val="-2"/>
        </w:rPr>
        <w:t xml:space="preserve"> </w:t>
      </w:r>
      <w:r>
        <w:t>AND</w:t>
      </w:r>
      <w:r>
        <w:rPr>
          <w:spacing w:val="-3"/>
        </w:rPr>
        <w:t xml:space="preserve"> </w:t>
      </w:r>
      <w:r>
        <w:t>FINANCIAL</w:t>
      </w:r>
      <w:r>
        <w:rPr>
          <w:spacing w:val="-2"/>
        </w:rPr>
        <w:t xml:space="preserve"> </w:t>
      </w:r>
      <w:r>
        <w:t>RISK</w:t>
      </w:r>
      <w:r>
        <w:rPr>
          <w:spacing w:val="-4"/>
        </w:rPr>
        <w:t xml:space="preserve"> </w:t>
      </w:r>
      <w:r>
        <w:rPr>
          <w:spacing w:val="-2"/>
        </w:rPr>
        <w:t>MANAGEMENT</w:t>
      </w:r>
    </w:p>
    <w:p w14:paraId="0C4C84AA" w14:textId="77777777" w:rsidR="00AC6F3C" w:rsidRDefault="00570E88">
      <w:pPr>
        <w:pStyle w:val="Heading7"/>
        <w:spacing w:before="0"/>
        <w:ind w:left="1591"/>
      </w:pPr>
      <w:r>
        <w:rPr>
          <w:spacing w:val="-2"/>
        </w:rPr>
        <w:t>(continued)</w:t>
      </w:r>
    </w:p>
    <w:p w14:paraId="6E8A2B0C" w14:textId="77777777" w:rsidR="00AC6F3C" w:rsidRDefault="00AC6F3C">
      <w:pPr>
        <w:pStyle w:val="BodyText"/>
        <w:spacing w:before="9"/>
        <w:rPr>
          <w:b/>
        </w:rPr>
      </w:pPr>
    </w:p>
    <w:p w14:paraId="45A25B87" w14:textId="77777777" w:rsidR="00AC6F3C" w:rsidRDefault="00570E88">
      <w:pPr>
        <w:ind w:left="958"/>
        <w:rPr>
          <w:b/>
          <w:sz w:val="20"/>
        </w:rPr>
      </w:pPr>
      <w:r>
        <w:rPr>
          <w:b/>
          <w:sz w:val="20"/>
        </w:rPr>
        <w:t>(f)</w:t>
      </w:r>
      <w:r>
        <w:rPr>
          <w:b/>
          <w:spacing w:val="68"/>
          <w:w w:val="150"/>
          <w:sz w:val="20"/>
        </w:rPr>
        <w:t xml:space="preserve"> </w:t>
      </w:r>
      <w:r>
        <w:rPr>
          <w:b/>
          <w:sz w:val="20"/>
        </w:rPr>
        <w:t>Sensitivity</w:t>
      </w:r>
      <w:r>
        <w:rPr>
          <w:b/>
          <w:spacing w:val="-6"/>
          <w:sz w:val="20"/>
        </w:rPr>
        <w:t xml:space="preserve"> </w:t>
      </w:r>
      <w:r>
        <w:rPr>
          <w:b/>
          <w:sz w:val="20"/>
        </w:rPr>
        <w:t>Analysis</w:t>
      </w:r>
      <w:r>
        <w:rPr>
          <w:b/>
          <w:spacing w:val="-6"/>
          <w:sz w:val="20"/>
        </w:rPr>
        <w:t xml:space="preserve"> </w:t>
      </w:r>
      <w:r>
        <w:rPr>
          <w:b/>
          <w:spacing w:val="-2"/>
          <w:sz w:val="20"/>
        </w:rPr>
        <w:t>(continued)</w:t>
      </w:r>
    </w:p>
    <w:p w14:paraId="009E20BD" w14:textId="77777777" w:rsidR="00AC6F3C" w:rsidRDefault="00AC6F3C">
      <w:pPr>
        <w:pStyle w:val="BodyText"/>
        <w:spacing w:before="10"/>
        <w:rPr>
          <w:b/>
        </w:rPr>
      </w:pPr>
    </w:p>
    <w:p w14:paraId="4D5AAC34" w14:textId="77777777" w:rsidR="00AC6F3C" w:rsidRDefault="00570E88">
      <w:pPr>
        <w:ind w:left="958"/>
        <w:rPr>
          <w:b/>
          <w:sz w:val="18"/>
        </w:rPr>
      </w:pPr>
      <w:r>
        <w:rPr>
          <w:b/>
          <w:sz w:val="18"/>
        </w:rPr>
        <w:t>Property</w:t>
      </w:r>
      <w:r>
        <w:rPr>
          <w:b/>
          <w:spacing w:val="-4"/>
          <w:sz w:val="18"/>
        </w:rPr>
        <w:t xml:space="preserve"> </w:t>
      </w:r>
      <w:r>
        <w:rPr>
          <w:b/>
          <w:spacing w:val="-2"/>
          <w:sz w:val="18"/>
        </w:rPr>
        <w:t>stress</w:t>
      </w:r>
    </w:p>
    <w:p w14:paraId="2A8D33EA" w14:textId="77777777" w:rsidR="00AC6F3C" w:rsidRDefault="00AC6F3C">
      <w:pPr>
        <w:pStyle w:val="BodyText"/>
        <w:spacing w:before="9"/>
        <w:rPr>
          <w:b/>
        </w:rPr>
      </w:pPr>
    </w:p>
    <w:p w14:paraId="060D61F7" w14:textId="77777777" w:rsidR="00AC6F3C" w:rsidRDefault="00570E88">
      <w:pPr>
        <w:ind w:left="958" w:right="886"/>
        <w:rPr>
          <w:sz w:val="18"/>
        </w:rPr>
      </w:pPr>
      <w:r>
        <w:rPr>
          <w:sz w:val="18"/>
        </w:rPr>
        <w:t>Property</w:t>
      </w:r>
      <w:r>
        <w:rPr>
          <w:spacing w:val="-1"/>
          <w:sz w:val="18"/>
        </w:rPr>
        <w:t xml:space="preserve"> </w:t>
      </w:r>
      <w:r>
        <w:rPr>
          <w:sz w:val="18"/>
        </w:rPr>
        <w:t>sensitivity</w:t>
      </w:r>
      <w:r>
        <w:rPr>
          <w:spacing w:val="-1"/>
          <w:sz w:val="18"/>
        </w:rPr>
        <w:t xml:space="preserve"> </w:t>
      </w:r>
      <w:r>
        <w:rPr>
          <w:sz w:val="18"/>
        </w:rPr>
        <w:t>measures</w:t>
      </w:r>
      <w:r>
        <w:rPr>
          <w:spacing w:val="-3"/>
          <w:sz w:val="18"/>
        </w:rPr>
        <w:t xml:space="preserve"> </w:t>
      </w:r>
      <w:r>
        <w:rPr>
          <w:sz w:val="18"/>
        </w:rPr>
        <w:t>the</w:t>
      </w:r>
      <w:r>
        <w:rPr>
          <w:spacing w:val="-1"/>
          <w:sz w:val="18"/>
        </w:rPr>
        <w:t xml:space="preserve"> </w:t>
      </w:r>
      <w:r>
        <w:rPr>
          <w:sz w:val="18"/>
        </w:rPr>
        <w:t>change</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capital</w:t>
      </w:r>
      <w:r>
        <w:rPr>
          <w:spacing w:val="-1"/>
          <w:sz w:val="18"/>
        </w:rPr>
        <w:t xml:space="preserve"> </w:t>
      </w:r>
      <w:r>
        <w:rPr>
          <w:sz w:val="18"/>
        </w:rPr>
        <w:t>base</w:t>
      </w:r>
      <w:r>
        <w:rPr>
          <w:spacing w:val="-4"/>
          <w:sz w:val="18"/>
        </w:rPr>
        <w:t xml:space="preserve"> </w:t>
      </w:r>
      <w:r>
        <w:rPr>
          <w:sz w:val="18"/>
        </w:rPr>
        <w:t>of</w:t>
      </w:r>
      <w:r>
        <w:rPr>
          <w:spacing w:val="-2"/>
          <w:sz w:val="18"/>
        </w:rPr>
        <w:t xml:space="preserve"> </w:t>
      </w:r>
      <w:r>
        <w:rPr>
          <w:sz w:val="18"/>
        </w:rPr>
        <w:t>a</w:t>
      </w:r>
      <w:r>
        <w:rPr>
          <w:spacing w:val="-1"/>
          <w:sz w:val="18"/>
        </w:rPr>
        <w:t xml:space="preserve"> </w:t>
      </w:r>
      <w:r>
        <w:rPr>
          <w:sz w:val="18"/>
        </w:rPr>
        <w:t>fall</w:t>
      </w:r>
      <w:r>
        <w:rPr>
          <w:spacing w:val="-4"/>
          <w:sz w:val="18"/>
        </w:rPr>
        <w:t xml:space="preserve"> </w:t>
      </w:r>
      <w:r>
        <w:rPr>
          <w:sz w:val="18"/>
        </w:rPr>
        <w:t>in</w:t>
      </w:r>
      <w:r>
        <w:rPr>
          <w:spacing w:val="-1"/>
          <w:sz w:val="18"/>
        </w:rPr>
        <w:t xml:space="preserve"> </w:t>
      </w:r>
      <w:r>
        <w:rPr>
          <w:sz w:val="18"/>
        </w:rPr>
        <w:t>property</w:t>
      </w:r>
      <w:r>
        <w:rPr>
          <w:spacing w:val="-1"/>
          <w:sz w:val="18"/>
        </w:rPr>
        <w:t xml:space="preserve"> </w:t>
      </w:r>
      <w:r>
        <w:rPr>
          <w:sz w:val="18"/>
        </w:rPr>
        <w:t>and</w:t>
      </w:r>
      <w:r>
        <w:rPr>
          <w:spacing w:val="-1"/>
          <w:sz w:val="18"/>
        </w:rPr>
        <w:t xml:space="preserve"> </w:t>
      </w:r>
      <w:r>
        <w:rPr>
          <w:sz w:val="18"/>
        </w:rPr>
        <w:t>infrastructure</w:t>
      </w:r>
      <w:r>
        <w:rPr>
          <w:spacing w:val="-1"/>
          <w:sz w:val="18"/>
        </w:rPr>
        <w:t xml:space="preserve"> </w:t>
      </w:r>
      <w:r>
        <w:rPr>
          <w:sz w:val="18"/>
        </w:rPr>
        <w:t>asset values.</w:t>
      </w:r>
      <w:r>
        <w:rPr>
          <w:spacing w:val="40"/>
          <w:sz w:val="18"/>
        </w:rPr>
        <w:t xml:space="preserve"> </w:t>
      </w:r>
      <w:r>
        <w:rPr>
          <w:sz w:val="18"/>
        </w:rPr>
        <w:t>The fall is determined by increasing the rental yield (for property assets) or earnings yield (for infrastructure assets) by 2.75%.</w:t>
      </w:r>
    </w:p>
    <w:p w14:paraId="4A73FEEC" w14:textId="77777777" w:rsidR="00AC6F3C" w:rsidRDefault="00AC6F3C">
      <w:pPr>
        <w:pStyle w:val="BodyText"/>
        <w:spacing w:before="10"/>
      </w:pPr>
    </w:p>
    <w:p w14:paraId="5F07746E" w14:textId="77777777" w:rsidR="00AC6F3C" w:rsidRDefault="00570E88">
      <w:pPr>
        <w:spacing w:before="1"/>
        <w:ind w:left="958"/>
        <w:rPr>
          <w:b/>
          <w:sz w:val="18"/>
        </w:rPr>
      </w:pPr>
      <w:r>
        <w:rPr>
          <w:b/>
          <w:sz w:val="18"/>
        </w:rPr>
        <w:t>Credit</w:t>
      </w:r>
      <w:r>
        <w:rPr>
          <w:b/>
          <w:spacing w:val="-2"/>
          <w:sz w:val="18"/>
        </w:rPr>
        <w:t xml:space="preserve"> </w:t>
      </w:r>
      <w:r>
        <w:rPr>
          <w:b/>
          <w:sz w:val="18"/>
        </w:rPr>
        <w:t>spread</w:t>
      </w:r>
      <w:r>
        <w:rPr>
          <w:b/>
          <w:spacing w:val="-3"/>
          <w:sz w:val="18"/>
        </w:rPr>
        <w:t xml:space="preserve"> </w:t>
      </w:r>
      <w:r>
        <w:rPr>
          <w:b/>
          <w:spacing w:val="-2"/>
          <w:sz w:val="18"/>
        </w:rPr>
        <w:t>stress</w:t>
      </w:r>
    </w:p>
    <w:p w14:paraId="3C0A91DA" w14:textId="77777777" w:rsidR="00AC6F3C" w:rsidRDefault="00AC6F3C">
      <w:pPr>
        <w:pStyle w:val="BodyText"/>
        <w:spacing w:before="9"/>
        <w:rPr>
          <w:b/>
        </w:rPr>
      </w:pPr>
    </w:p>
    <w:p w14:paraId="7C8A35A1" w14:textId="77777777" w:rsidR="00AC6F3C" w:rsidRDefault="00570E88">
      <w:pPr>
        <w:ind w:left="958" w:right="875"/>
        <w:rPr>
          <w:sz w:val="18"/>
        </w:rPr>
      </w:pPr>
      <w:r>
        <w:rPr>
          <w:sz w:val="18"/>
        </w:rPr>
        <w:t>Credit</w:t>
      </w:r>
      <w:r>
        <w:rPr>
          <w:spacing w:val="-4"/>
          <w:sz w:val="18"/>
        </w:rPr>
        <w:t xml:space="preserve"> </w:t>
      </w:r>
      <w:r>
        <w:rPr>
          <w:sz w:val="18"/>
        </w:rPr>
        <w:t>spread</w:t>
      </w:r>
      <w:r>
        <w:rPr>
          <w:spacing w:val="-1"/>
          <w:sz w:val="18"/>
        </w:rPr>
        <w:t xml:space="preserve"> </w:t>
      </w:r>
      <w:r>
        <w:rPr>
          <w:sz w:val="18"/>
        </w:rPr>
        <w:t>sensitivity</w:t>
      </w:r>
      <w:r>
        <w:rPr>
          <w:spacing w:val="-1"/>
          <w:sz w:val="18"/>
        </w:rPr>
        <w:t xml:space="preserve"> </w:t>
      </w:r>
      <w:r>
        <w:rPr>
          <w:sz w:val="18"/>
        </w:rPr>
        <w:t>measures</w:t>
      </w:r>
      <w:r>
        <w:rPr>
          <w:spacing w:val="-1"/>
          <w:sz w:val="18"/>
        </w:rPr>
        <w:t xml:space="preserve"> </w:t>
      </w:r>
      <w:r>
        <w:rPr>
          <w:sz w:val="18"/>
        </w:rPr>
        <w:t>the</w:t>
      </w:r>
      <w:r>
        <w:rPr>
          <w:spacing w:val="-4"/>
          <w:sz w:val="18"/>
        </w:rPr>
        <w:t xml:space="preserve"> </w:t>
      </w:r>
      <w:r>
        <w:rPr>
          <w:sz w:val="18"/>
        </w:rPr>
        <w:t>change</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capital</w:t>
      </w:r>
      <w:r>
        <w:rPr>
          <w:spacing w:val="-4"/>
          <w:sz w:val="18"/>
        </w:rPr>
        <w:t xml:space="preserve"> </w:t>
      </w:r>
      <w:r>
        <w:rPr>
          <w:sz w:val="18"/>
        </w:rPr>
        <w:t>base</w:t>
      </w:r>
      <w:r>
        <w:rPr>
          <w:spacing w:val="-1"/>
          <w:sz w:val="18"/>
        </w:rPr>
        <w:t xml:space="preserve"> </w:t>
      </w:r>
      <w:r>
        <w:rPr>
          <w:sz w:val="18"/>
        </w:rPr>
        <w:t>of</w:t>
      </w:r>
      <w:r>
        <w:rPr>
          <w:spacing w:val="-4"/>
          <w:sz w:val="18"/>
        </w:rPr>
        <w:t xml:space="preserve"> </w:t>
      </w:r>
      <w:r>
        <w:rPr>
          <w:sz w:val="18"/>
        </w:rPr>
        <w:t>an</w:t>
      </w:r>
      <w:r>
        <w:rPr>
          <w:spacing w:val="-1"/>
          <w:sz w:val="18"/>
        </w:rPr>
        <w:t xml:space="preserve"> </w:t>
      </w:r>
      <w:r>
        <w:rPr>
          <w:sz w:val="18"/>
        </w:rPr>
        <w:t>increase</w:t>
      </w:r>
      <w:r>
        <w:rPr>
          <w:spacing w:val="-1"/>
          <w:sz w:val="18"/>
        </w:rPr>
        <w:t xml:space="preserve"> </w:t>
      </w:r>
      <w:r>
        <w:rPr>
          <w:sz w:val="18"/>
        </w:rPr>
        <w:t>in</w:t>
      </w:r>
      <w:r>
        <w:rPr>
          <w:spacing w:val="-4"/>
          <w:sz w:val="18"/>
        </w:rPr>
        <w:t xml:space="preserve"> </w:t>
      </w:r>
      <w:r>
        <w:rPr>
          <w:sz w:val="18"/>
        </w:rPr>
        <w:t>credit</w:t>
      </w:r>
      <w:r>
        <w:rPr>
          <w:spacing w:val="-4"/>
          <w:sz w:val="18"/>
        </w:rPr>
        <w:t xml:space="preserve"> </w:t>
      </w:r>
      <w:r>
        <w:rPr>
          <w:sz w:val="18"/>
        </w:rPr>
        <w:t>spreads</w:t>
      </w:r>
      <w:r>
        <w:rPr>
          <w:spacing w:val="-1"/>
          <w:sz w:val="18"/>
        </w:rPr>
        <w:t xml:space="preserve"> </w:t>
      </w:r>
      <w:r>
        <w:rPr>
          <w:sz w:val="18"/>
        </w:rPr>
        <w:t>and</w:t>
      </w:r>
      <w:r>
        <w:rPr>
          <w:spacing w:val="-1"/>
          <w:sz w:val="18"/>
        </w:rPr>
        <w:t xml:space="preserve"> </w:t>
      </w:r>
      <w:r>
        <w:rPr>
          <w:sz w:val="18"/>
        </w:rPr>
        <w:t>the risk of default.</w:t>
      </w:r>
      <w:r>
        <w:rPr>
          <w:spacing w:val="40"/>
          <w:sz w:val="18"/>
        </w:rPr>
        <w:t xml:space="preserve"> </w:t>
      </w:r>
      <w:r>
        <w:rPr>
          <w:sz w:val="18"/>
        </w:rPr>
        <w:t>The sensitivity has been determined by adding a spread (based on APRA credit spread and default factors) to the</w:t>
      </w:r>
      <w:r>
        <w:rPr>
          <w:spacing w:val="-2"/>
          <w:sz w:val="18"/>
        </w:rPr>
        <w:t xml:space="preserve"> </w:t>
      </w:r>
      <w:r>
        <w:rPr>
          <w:sz w:val="18"/>
        </w:rPr>
        <w:t>current yield on</w:t>
      </w:r>
      <w:r>
        <w:rPr>
          <w:spacing w:val="-2"/>
          <w:sz w:val="18"/>
        </w:rPr>
        <w:t xml:space="preserve"> </w:t>
      </w:r>
      <w:r>
        <w:rPr>
          <w:sz w:val="18"/>
        </w:rPr>
        <w:t>the</w:t>
      </w:r>
      <w:r>
        <w:rPr>
          <w:spacing w:val="-2"/>
          <w:sz w:val="18"/>
        </w:rPr>
        <w:t xml:space="preserve"> </w:t>
      </w:r>
      <w:r>
        <w:rPr>
          <w:sz w:val="18"/>
        </w:rPr>
        <w:t>asset</w:t>
      </w:r>
      <w:r>
        <w:rPr>
          <w:spacing w:val="-2"/>
          <w:sz w:val="18"/>
        </w:rPr>
        <w:t xml:space="preserve"> </w:t>
      </w:r>
      <w:r>
        <w:rPr>
          <w:sz w:val="18"/>
        </w:rPr>
        <w:t>and</w:t>
      </w:r>
      <w:r>
        <w:rPr>
          <w:spacing w:val="-2"/>
          <w:sz w:val="18"/>
        </w:rPr>
        <w:t xml:space="preserve"> </w:t>
      </w:r>
      <w:r>
        <w:rPr>
          <w:sz w:val="18"/>
        </w:rPr>
        <w:t>multiplying</w:t>
      </w:r>
      <w:r>
        <w:rPr>
          <w:spacing w:val="-2"/>
          <w:sz w:val="18"/>
        </w:rPr>
        <w:t xml:space="preserve"> </w:t>
      </w:r>
      <w:r>
        <w:rPr>
          <w:sz w:val="18"/>
        </w:rPr>
        <w:t>the reduced</w:t>
      </w:r>
      <w:r>
        <w:rPr>
          <w:spacing w:val="-2"/>
          <w:sz w:val="18"/>
        </w:rPr>
        <w:t xml:space="preserve"> </w:t>
      </w:r>
      <w:r>
        <w:rPr>
          <w:sz w:val="18"/>
        </w:rPr>
        <w:t>value</w:t>
      </w:r>
      <w:r>
        <w:rPr>
          <w:spacing w:val="-2"/>
          <w:sz w:val="18"/>
        </w:rPr>
        <w:t xml:space="preserve"> </w:t>
      </w:r>
      <w:r>
        <w:rPr>
          <w:sz w:val="18"/>
        </w:rPr>
        <w:t>of the asset</w:t>
      </w:r>
      <w:r>
        <w:rPr>
          <w:spacing w:val="-2"/>
          <w:sz w:val="18"/>
        </w:rPr>
        <w:t xml:space="preserve"> </w:t>
      </w:r>
      <w:r>
        <w:rPr>
          <w:sz w:val="18"/>
        </w:rPr>
        <w:t>by (1 – default factor).</w:t>
      </w:r>
    </w:p>
    <w:p w14:paraId="5D384EBB" w14:textId="77777777" w:rsidR="00AC6F3C" w:rsidRDefault="00AC6F3C">
      <w:pPr>
        <w:pStyle w:val="BodyText"/>
        <w:spacing w:before="10"/>
      </w:pPr>
    </w:p>
    <w:p w14:paraId="543155D7" w14:textId="77777777" w:rsidR="00AC6F3C" w:rsidRDefault="00570E88">
      <w:pPr>
        <w:ind w:left="958" w:right="857"/>
        <w:rPr>
          <w:sz w:val="18"/>
        </w:rPr>
      </w:pPr>
      <w:r>
        <w:rPr>
          <w:sz w:val="18"/>
        </w:rPr>
        <w:t>In</w:t>
      </w:r>
      <w:r>
        <w:rPr>
          <w:spacing w:val="-2"/>
          <w:sz w:val="18"/>
        </w:rPr>
        <w:t xml:space="preserve"> </w:t>
      </w:r>
      <w:r>
        <w:rPr>
          <w:sz w:val="18"/>
        </w:rPr>
        <w:t>relation</w:t>
      </w:r>
      <w:r>
        <w:rPr>
          <w:spacing w:val="-2"/>
          <w:sz w:val="18"/>
        </w:rPr>
        <w:t xml:space="preserve"> </w:t>
      </w:r>
      <w:r>
        <w:rPr>
          <w:sz w:val="18"/>
        </w:rPr>
        <w:t>to</w:t>
      </w:r>
      <w:r>
        <w:rPr>
          <w:spacing w:val="-4"/>
          <w:sz w:val="18"/>
        </w:rPr>
        <w:t xml:space="preserve"> </w:t>
      </w:r>
      <w:r>
        <w:rPr>
          <w:sz w:val="18"/>
        </w:rPr>
        <w:t>currency</w:t>
      </w:r>
      <w:r>
        <w:rPr>
          <w:spacing w:val="-2"/>
          <w:sz w:val="18"/>
        </w:rPr>
        <w:t xml:space="preserve"> </w:t>
      </w:r>
      <w:r>
        <w:rPr>
          <w:sz w:val="18"/>
        </w:rPr>
        <w:t>stress</w:t>
      </w:r>
      <w:r>
        <w:rPr>
          <w:spacing w:val="-2"/>
          <w:sz w:val="18"/>
        </w:rPr>
        <w:t xml:space="preserve"> </w:t>
      </w:r>
      <w:r>
        <w:rPr>
          <w:sz w:val="18"/>
        </w:rPr>
        <w:t>test,</w:t>
      </w:r>
      <w:r>
        <w:rPr>
          <w:spacing w:val="-3"/>
          <w:sz w:val="18"/>
        </w:rPr>
        <w:t xml:space="preserve"> </w:t>
      </w:r>
      <w:r>
        <w:rPr>
          <w:sz w:val="18"/>
        </w:rPr>
        <w:t>APRA</w:t>
      </w:r>
      <w:r>
        <w:rPr>
          <w:spacing w:val="-3"/>
          <w:sz w:val="18"/>
        </w:rPr>
        <w:t xml:space="preserve"> </w:t>
      </w:r>
      <w:r>
        <w:rPr>
          <w:sz w:val="18"/>
        </w:rPr>
        <w:t>requires</w:t>
      </w:r>
      <w:r>
        <w:rPr>
          <w:spacing w:val="-3"/>
          <w:sz w:val="18"/>
        </w:rPr>
        <w:t xml:space="preserve"> </w:t>
      </w:r>
      <w:r>
        <w:rPr>
          <w:sz w:val="18"/>
        </w:rPr>
        <w:t>each</w:t>
      </w:r>
      <w:r>
        <w:rPr>
          <w:spacing w:val="-2"/>
          <w:sz w:val="18"/>
        </w:rPr>
        <w:t xml:space="preserve"> </w:t>
      </w:r>
      <w:r>
        <w:rPr>
          <w:sz w:val="18"/>
        </w:rPr>
        <w:t>fund</w:t>
      </w:r>
      <w:r>
        <w:rPr>
          <w:spacing w:val="-4"/>
          <w:sz w:val="18"/>
        </w:rPr>
        <w:t xml:space="preserve"> </w:t>
      </w:r>
      <w:r>
        <w:rPr>
          <w:sz w:val="18"/>
        </w:rPr>
        <w:t>to</w:t>
      </w:r>
      <w:r>
        <w:rPr>
          <w:spacing w:val="-2"/>
          <w:sz w:val="18"/>
        </w:rPr>
        <w:t xml:space="preserve"> </w:t>
      </w:r>
      <w:r>
        <w:rPr>
          <w:sz w:val="18"/>
        </w:rPr>
        <w:t>calculate</w:t>
      </w:r>
      <w:r>
        <w:rPr>
          <w:spacing w:val="-2"/>
          <w:sz w:val="18"/>
        </w:rPr>
        <w:t xml:space="preserve"> </w:t>
      </w:r>
      <w:r>
        <w:rPr>
          <w:sz w:val="18"/>
        </w:rPr>
        <w:t>the</w:t>
      </w:r>
      <w:r>
        <w:rPr>
          <w:spacing w:val="-4"/>
          <w:sz w:val="18"/>
        </w:rPr>
        <w:t xml:space="preserve"> </w:t>
      </w:r>
      <w:r>
        <w:rPr>
          <w:sz w:val="18"/>
        </w:rPr>
        <w:t>upward</w:t>
      </w:r>
      <w:r>
        <w:rPr>
          <w:spacing w:val="-2"/>
          <w:sz w:val="18"/>
        </w:rPr>
        <w:t xml:space="preserve"> </w:t>
      </w:r>
      <w:r>
        <w:rPr>
          <w:sz w:val="18"/>
        </w:rPr>
        <w:t>and</w:t>
      </w:r>
      <w:r>
        <w:rPr>
          <w:spacing w:val="-2"/>
          <w:sz w:val="18"/>
        </w:rPr>
        <w:t xml:space="preserve"> </w:t>
      </w:r>
      <w:r>
        <w:rPr>
          <w:sz w:val="18"/>
        </w:rPr>
        <w:t>downward</w:t>
      </w:r>
      <w:r>
        <w:rPr>
          <w:spacing w:val="-2"/>
          <w:sz w:val="18"/>
        </w:rPr>
        <w:t xml:space="preserve"> </w:t>
      </w:r>
      <w:r>
        <w:rPr>
          <w:sz w:val="18"/>
        </w:rPr>
        <w:t>impact for each foreign currency. For each foreign currency, if the stress test results in a profit, the impact is adjusted to zero. Only stress test resulting in losses are included in the calculations.</w:t>
      </w:r>
    </w:p>
    <w:p w14:paraId="03B70741" w14:textId="77777777" w:rsidR="00AC6F3C" w:rsidRDefault="00AC6F3C">
      <w:pPr>
        <w:pStyle w:val="BodyText"/>
        <w:spacing w:before="10"/>
      </w:pPr>
    </w:p>
    <w:p w14:paraId="1F9DFC8A" w14:textId="77777777" w:rsidR="00AC6F3C" w:rsidRDefault="00570E88">
      <w:pPr>
        <w:spacing w:before="1"/>
        <w:ind w:left="958" w:right="468"/>
        <w:rPr>
          <w:sz w:val="18"/>
        </w:rPr>
      </w:pPr>
      <w:r>
        <w:rPr>
          <w:sz w:val="18"/>
        </w:rPr>
        <w:t>The</w:t>
      </w:r>
      <w:r>
        <w:rPr>
          <w:spacing w:val="-1"/>
          <w:sz w:val="18"/>
        </w:rPr>
        <w:t xml:space="preserve"> </w:t>
      </w:r>
      <w:r>
        <w:rPr>
          <w:sz w:val="18"/>
        </w:rPr>
        <w:t>below</w:t>
      </w:r>
      <w:r>
        <w:rPr>
          <w:spacing w:val="-2"/>
          <w:sz w:val="18"/>
        </w:rPr>
        <w:t xml:space="preserve"> </w:t>
      </w:r>
      <w:r>
        <w:rPr>
          <w:sz w:val="18"/>
        </w:rPr>
        <w:t>details</w:t>
      </w:r>
      <w:r>
        <w:rPr>
          <w:spacing w:val="-3"/>
          <w:sz w:val="18"/>
        </w:rPr>
        <w:t xml:space="preserve"> </w:t>
      </w:r>
      <w:r>
        <w:rPr>
          <w:sz w:val="18"/>
        </w:rPr>
        <w:t>the</w:t>
      </w:r>
      <w:r>
        <w:rPr>
          <w:spacing w:val="-4"/>
          <w:sz w:val="18"/>
        </w:rPr>
        <w:t xml:space="preserve"> </w:t>
      </w:r>
      <w:r>
        <w:rPr>
          <w:sz w:val="18"/>
        </w:rPr>
        <w:t>impact</w:t>
      </w:r>
      <w:r>
        <w:rPr>
          <w:spacing w:val="-4"/>
          <w:sz w:val="18"/>
        </w:rPr>
        <w:t xml:space="preserve"> </w:t>
      </w:r>
      <w:r>
        <w:rPr>
          <w:sz w:val="18"/>
        </w:rPr>
        <w:t>to</w:t>
      </w:r>
      <w:r>
        <w:rPr>
          <w:spacing w:val="-2"/>
          <w:sz w:val="18"/>
        </w:rPr>
        <w:t xml:space="preserve"> </w:t>
      </w:r>
      <w:r>
        <w:rPr>
          <w:sz w:val="18"/>
        </w:rPr>
        <w:t>investments</w:t>
      </w:r>
      <w:r>
        <w:rPr>
          <w:spacing w:val="-3"/>
          <w:sz w:val="18"/>
        </w:rPr>
        <w:t xml:space="preserve"> </w:t>
      </w:r>
      <w:r>
        <w:rPr>
          <w:sz w:val="18"/>
        </w:rPr>
        <w:t>at</w:t>
      </w:r>
      <w:r>
        <w:rPr>
          <w:spacing w:val="-2"/>
          <w:sz w:val="18"/>
        </w:rPr>
        <w:t xml:space="preserve"> </w:t>
      </w:r>
      <w:r>
        <w:rPr>
          <w:sz w:val="18"/>
        </w:rPr>
        <w:t>fair</w:t>
      </w:r>
      <w:r>
        <w:rPr>
          <w:spacing w:val="-2"/>
          <w:sz w:val="18"/>
        </w:rPr>
        <w:t xml:space="preserve"> </w:t>
      </w:r>
      <w:r>
        <w:rPr>
          <w:sz w:val="18"/>
        </w:rPr>
        <w:t>value</w:t>
      </w:r>
      <w:r>
        <w:rPr>
          <w:spacing w:val="-1"/>
          <w:sz w:val="18"/>
        </w:rPr>
        <w:t xml:space="preserve"> </w:t>
      </w:r>
      <w:r>
        <w:rPr>
          <w:sz w:val="18"/>
        </w:rPr>
        <w:t>through</w:t>
      </w:r>
      <w:r>
        <w:rPr>
          <w:spacing w:val="-1"/>
          <w:sz w:val="18"/>
        </w:rPr>
        <w:t xml:space="preserve"> </w:t>
      </w:r>
      <w:r>
        <w:rPr>
          <w:sz w:val="18"/>
        </w:rPr>
        <w:t>profit</w:t>
      </w:r>
      <w:r>
        <w:rPr>
          <w:spacing w:val="-4"/>
          <w:sz w:val="18"/>
        </w:rPr>
        <w:t xml:space="preserve"> </w:t>
      </w:r>
      <w:r>
        <w:rPr>
          <w:sz w:val="18"/>
        </w:rPr>
        <w:t>or</w:t>
      </w:r>
      <w:r>
        <w:rPr>
          <w:spacing w:val="-2"/>
          <w:sz w:val="18"/>
        </w:rPr>
        <w:t xml:space="preserve"> </w:t>
      </w:r>
      <w:r>
        <w:rPr>
          <w:sz w:val="18"/>
        </w:rPr>
        <w:t>loss</w:t>
      </w:r>
      <w:r>
        <w:rPr>
          <w:spacing w:val="-1"/>
          <w:sz w:val="18"/>
        </w:rPr>
        <w:t xml:space="preserve"> </w:t>
      </w:r>
      <w:r>
        <w:rPr>
          <w:sz w:val="18"/>
        </w:rPr>
        <w:t>before</w:t>
      </w:r>
      <w:r>
        <w:rPr>
          <w:spacing w:val="-1"/>
          <w:sz w:val="18"/>
        </w:rPr>
        <w:t xml:space="preserve"> </w:t>
      </w:r>
      <w:r>
        <w:rPr>
          <w:sz w:val="18"/>
        </w:rPr>
        <w:t>tax</w:t>
      </w:r>
      <w:r>
        <w:rPr>
          <w:spacing w:val="-3"/>
          <w:sz w:val="18"/>
        </w:rPr>
        <w:t xml:space="preserve"> </w:t>
      </w:r>
      <w:r>
        <w:rPr>
          <w:sz w:val="18"/>
        </w:rPr>
        <w:t>and</w:t>
      </w:r>
      <w:r>
        <w:rPr>
          <w:spacing w:val="-1"/>
          <w:sz w:val="18"/>
        </w:rPr>
        <w:t xml:space="preserve"> </w:t>
      </w:r>
      <w:r>
        <w:rPr>
          <w:sz w:val="18"/>
        </w:rPr>
        <w:t>before</w:t>
      </w:r>
      <w:r>
        <w:rPr>
          <w:spacing w:val="-1"/>
          <w:sz w:val="18"/>
        </w:rPr>
        <w:t xml:space="preserve"> </w:t>
      </w:r>
      <w:r>
        <w:rPr>
          <w:sz w:val="18"/>
        </w:rPr>
        <w:t>any aggregation benefits.</w:t>
      </w:r>
    </w:p>
    <w:p w14:paraId="0AEE0F41" w14:textId="77777777" w:rsidR="00AC6F3C" w:rsidRDefault="00AC6F3C">
      <w:pPr>
        <w:pStyle w:val="BodyText"/>
        <w:spacing w:before="9"/>
      </w:pPr>
    </w:p>
    <w:tbl>
      <w:tblPr>
        <w:tblW w:w="0" w:type="auto"/>
        <w:tblInd w:w="972" w:type="dxa"/>
        <w:tblLayout w:type="fixed"/>
        <w:tblCellMar>
          <w:left w:w="0" w:type="dxa"/>
          <w:right w:w="0" w:type="dxa"/>
        </w:tblCellMar>
        <w:tblLook w:val="01E0" w:firstRow="1" w:lastRow="1" w:firstColumn="1" w:lastColumn="1" w:noHBand="0" w:noVBand="0"/>
      </w:tblPr>
      <w:tblGrid>
        <w:gridCol w:w="1696"/>
        <w:gridCol w:w="2861"/>
        <w:gridCol w:w="2148"/>
        <w:gridCol w:w="1078"/>
      </w:tblGrid>
      <w:tr w:rsidR="00AC6F3C" w14:paraId="5EE16AB0" w14:textId="77777777">
        <w:trPr>
          <w:trHeight w:val="583"/>
        </w:trPr>
        <w:tc>
          <w:tcPr>
            <w:tcW w:w="7783" w:type="dxa"/>
            <w:gridSpan w:val="4"/>
            <w:tcBorders>
              <w:top w:val="single" w:sz="6" w:space="0" w:color="000000"/>
              <w:left w:val="single" w:sz="6" w:space="0" w:color="000000"/>
              <w:bottom w:val="single" w:sz="6" w:space="0" w:color="000000"/>
              <w:right w:val="single" w:sz="6" w:space="0" w:color="000000"/>
            </w:tcBorders>
            <w:shd w:val="clear" w:color="auto" w:fill="BEBEBE"/>
          </w:tcPr>
          <w:p w14:paraId="69CBF146" w14:textId="77777777" w:rsidR="00AC6F3C" w:rsidRDefault="00570E88">
            <w:pPr>
              <w:pStyle w:val="TableParagraph"/>
              <w:tabs>
                <w:tab w:val="left" w:pos="1167"/>
              </w:tabs>
              <w:spacing w:before="40"/>
              <w:ind w:right="21"/>
              <w:jc w:val="right"/>
              <w:rPr>
                <w:b/>
                <w:sz w:val="18"/>
              </w:rPr>
            </w:pPr>
            <w:r>
              <w:rPr>
                <w:b/>
                <w:spacing w:val="-4"/>
                <w:sz w:val="18"/>
              </w:rPr>
              <w:t>2023</w:t>
            </w:r>
            <w:r>
              <w:rPr>
                <w:b/>
                <w:sz w:val="18"/>
              </w:rPr>
              <w:tab/>
            </w:r>
            <w:r>
              <w:rPr>
                <w:b/>
                <w:spacing w:val="-4"/>
                <w:sz w:val="18"/>
              </w:rPr>
              <w:t>2022</w:t>
            </w:r>
          </w:p>
          <w:p w14:paraId="4FF40144" w14:textId="77777777" w:rsidR="00AC6F3C" w:rsidRDefault="00570E88">
            <w:pPr>
              <w:pStyle w:val="TableParagraph"/>
              <w:tabs>
                <w:tab w:val="left" w:pos="1167"/>
              </w:tabs>
              <w:spacing w:before="93"/>
              <w:ind w:right="21"/>
              <w:jc w:val="right"/>
              <w:rPr>
                <w:b/>
                <w:sz w:val="18"/>
              </w:rPr>
            </w:pPr>
            <w:r>
              <w:rPr>
                <w:b/>
                <w:spacing w:val="-2"/>
                <w:sz w:val="18"/>
              </w:rPr>
              <w:t>$'000</w:t>
            </w:r>
            <w:r>
              <w:rPr>
                <w:b/>
                <w:sz w:val="18"/>
              </w:rPr>
              <w:tab/>
            </w:r>
            <w:r>
              <w:rPr>
                <w:b/>
                <w:spacing w:val="-4"/>
                <w:sz w:val="18"/>
              </w:rPr>
              <w:t>$'000</w:t>
            </w:r>
          </w:p>
        </w:tc>
      </w:tr>
      <w:tr w:rsidR="00AC6F3C" w14:paraId="4853DEC2" w14:textId="77777777">
        <w:trPr>
          <w:trHeight w:val="282"/>
        </w:trPr>
        <w:tc>
          <w:tcPr>
            <w:tcW w:w="1696" w:type="dxa"/>
            <w:tcBorders>
              <w:top w:val="single" w:sz="6" w:space="0" w:color="000000"/>
              <w:left w:val="single" w:sz="6" w:space="0" w:color="000000"/>
            </w:tcBorders>
          </w:tcPr>
          <w:p w14:paraId="08C6CBBD" w14:textId="77777777" w:rsidR="00AC6F3C" w:rsidRDefault="00AC6F3C">
            <w:pPr>
              <w:pStyle w:val="TableParagraph"/>
              <w:rPr>
                <w:rFonts w:ascii="Times New Roman"/>
                <w:sz w:val="18"/>
              </w:rPr>
            </w:pPr>
          </w:p>
        </w:tc>
        <w:tc>
          <w:tcPr>
            <w:tcW w:w="2861" w:type="dxa"/>
            <w:tcBorders>
              <w:top w:val="single" w:sz="6" w:space="0" w:color="000000"/>
            </w:tcBorders>
          </w:tcPr>
          <w:p w14:paraId="4D82D76B" w14:textId="77777777" w:rsidR="00AC6F3C" w:rsidRDefault="00570E88">
            <w:pPr>
              <w:pStyle w:val="TableParagraph"/>
              <w:spacing w:before="115" w:line="146" w:lineRule="exact"/>
              <w:ind w:left="548"/>
              <w:rPr>
                <w:b/>
                <w:sz w:val="18"/>
              </w:rPr>
            </w:pPr>
            <w:r>
              <w:rPr>
                <w:b/>
                <w:sz w:val="18"/>
              </w:rPr>
              <w:t>Stress</w:t>
            </w:r>
            <w:r>
              <w:rPr>
                <w:b/>
                <w:spacing w:val="4"/>
                <w:sz w:val="18"/>
              </w:rPr>
              <w:t xml:space="preserve"> </w:t>
            </w:r>
            <w:r>
              <w:rPr>
                <w:b/>
                <w:spacing w:val="-4"/>
                <w:sz w:val="18"/>
              </w:rPr>
              <w:t>Test</w:t>
            </w:r>
          </w:p>
        </w:tc>
        <w:tc>
          <w:tcPr>
            <w:tcW w:w="2148" w:type="dxa"/>
            <w:tcBorders>
              <w:top w:val="single" w:sz="6" w:space="0" w:color="000000"/>
            </w:tcBorders>
          </w:tcPr>
          <w:p w14:paraId="2F8F01D5" w14:textId="77777777" w:rsidR="00AC6F3C" w:rsidRDefault="00AC6F3C">
            <w:pPr>
              <w:pStyle w:val="TableParagraph"/>
              <w:rPr>
                <w:rFonts w:ascii="Times New Roman"/>
                <w:sz w:val="18"/>
              </w:rPr>
            </w:pPr>
          </w:p>
        </w:tc>
        <w:tc>
          <w:tcPr>
            <w:tcW w:w="1078" w:type="dxa"/>
            <w:tcBorders>
              <w:top w:val="single" w:sz="6" w:space="0" w:color="000000"/>
              <w:right w:val="single" w:sz="6" w:space="0" w:color="000000"/>
            </w:tcBorders>
          </w:tcPr>
          <w:p w14:paraId="1C4619AE" w14:textId="77777777" w:rsidR="00AC6F3C" w:rsidRDefault="00570E88">
            <w:pPr>
              <w:pStyle w:val="TableParagraph"/>
              <w:spacing w:line="203" w:lineRule="exact"/>
              <w:ind w:right="16"/>
              <w:jc w:val="right"/>
              <w:rPr>
                <w:b/>
                <w:sz w:val="18"/>
              </w:rPr>
            </w:pPr>
            <w:r>
              <w:rPr>
                <w:b/>
                <w:spacing w:val="-2"/>
                <w:sz w:val="18"/>
              </w:rPr>
              <w:t>Upward</w:t>
            </w:r>
          </w:p>
        </w:tc>
      </w:tr>
      <w:tr w:rsidR="00AC6F3C" w14:paraId="02544E1C" w14:textId="77777777">
        <w:trPr>
          <w:trHeight w:val="209"/>
        </w:trPr>
        <w:tc>
          <w:tcPr>
            <w:tcW w:w="1696" w:type="dxa"/>
            <w:tcBorders>
              <w:left w:val="single" w:sz="6" w:space="0" w:color="000000"/>
            </w:tcBorders>
          </w:tcPr>
          <w:p w14:paraId="54959B4E" w14:textId="77777777" w:rsidR="00AC6F3C" w:rsidRDefault="00AC6F3C">
            <w:pPr>
              <w:pStyle w:val="TableParagraph"/>
              <w:rPr>
                <w:rFonts w:ascii="Times New Roman"/>
                <w:sz w:val="14"/>
              </w:rPr>
            </w:pPr>
          </w:p>
        </w:tc>
        <w:tc>
          <w:tcPr>
            <w:tcW w:w="2861" w:type="dxa"/>
          </w:tcPr>
          <w:p w14:paraId="0A73EF95" w14:textId="77777777" w:rsidR="00AC6F3C" w:rsidRDefault="00AC6F3C">
            <w:pPr>
              <w:pStyle w:val="TableParagraph"/>
              <w:rPr>
                <w:rFonts w:ascii="Times New Roman"/>
                <w:sz w:val="14"/>
              </w:rPr>
            </w:pPr>
          </w:p>
        </w:tc>
        <w:tc>
          <w:tcPr>
            <w:tcW w:w="2148" w:type="dxa"/>
          </w:tcPr>
          <w:p w14:paraId="1CBADE5B" w14:textId="77777777" w:rsidR="00AC6F3C" w:rsidRDefault="00AC6F3C">
            <w:pPr>
              <w:pStyle w:val="TableParagraph"/>
              <w:rPr>
                <w:rFonts w:ascii="Times New Roman"/>
                <w:sz w:val="14"/>
              </w:rPr>
            </w:pPr>
          </w:p>
        </w:tc>
        <w:tc>
          <w:tcPr>
            <w:tcW w:w="1078" w:type="dxa"/>
            <w:tcBorders>
              <w:right w:val="single" w:sz="6" w:space="0" w:color="000000"/>
            </w:tcBorders>
          </w:tcPr>
          <w:p w14:paraId="47F0F784" w14:textId="77777777" w:rsidR="00AC6F3C" w:rsidRDefault="00570E88">
            <w:pPr>
              <w:pStyle w:val="TableParagraph"/>
              <w:spacing w:line="160" w:lineRule="exact"/>
              <w:ind w:right="22"/>
              <w:jc w:val="right"/>
              <w:rPr>
                <w:b/>
                <w:sz w:val="18"/>
              </w:rPr>
            </w:pPr>
            <w:r>
              <w:rPr>
                <w:b/>
                <w:spacing w:val="-2"/>
                <w:sz w:val="18"/>
              </w:rPr>
              <w:t>impact</w:t>
            </w:r>
          </w:p>
        </w:tc>
      </w:tr>
      <w:tr w:rsidR="00AC6F3C" w14:paraId="66BAB3B5" w14:textId="77777777">
        <w:trPr>
          <w:trHeight w:val="292"/>
        </w:trPr>
        <w:tc>
          <w:tcPr>
            <w:tcW w:w="1696" w:type="dxa"/>
            <w:tcBorders>
              <w:left w:val="single" w:sz="6" w:space="0" w:color="000000"/>
            </w:tcBorders>
          </w:tcPr>
          <w:p w14:paraId="774542C3" w14:textId="77777777" w:rsidR="00AC6F3C" w:rsidRDefault="00570E88">
            <w:pPr>
              <w:pStyle w:val="TableParagraph"/>
              <w:spacing w:before="43"/>
              <w:ind w:left="37"/>
              <w:rPr>
                <w:sz w:val="18"/>
              </w:rPr>
            </w:pPr>
            <w:r>
              <w:rPr>
                <w:sz w:val="18"/>
              </w:rPr>
              <w:t>Interest</w:t>
            </w:r>
            <w:r>
              <w:rPr>
                <w:spacing w:val="-5"/>
                <w:sz w:val="18"/>
              </w:rPr>
              <w:t xml:space="preserve"> </w:t>
            </w:r>
            <w:r>
              <w:rPr>
                <w:spacing w:val="-4"/>
                <w:sz w:val="18"/>
              </w:rPr>
              <w:t>rate</w:t>
            </w:r>
          </w:p>
        </w:tc>
        <w:tc>
          <w:tcPr>
            <w:tcW w:w="2861" w:type="dxa"/>
          </w:tcPr>
          <w:p w14:paraId="371F34B2" w14:textId="77777777" w:rsidR="00AC6F3C" w:rsidRDefault="00AC6F3C">
            <w:pPr>
              <w:pStyle w:val="TableParagraph"/>
              <w:rPr>
                <w:rFonts w:ascii="Times New Roman"/>
                <w:sz w:val="18"/>
              </w:rPr>
            </w:pPr>
          </w:p>
        </w:tc>
        <w:tc>
          <w:tcPr>
            <w:tcW w:w="2148" w:type="dxa"/>
          </w:tcPr>
          <w:p w14:paraId="433552D3" w14:textId="77777777" w:rsidR="00AC6F3C" w:rsidRDefault="00570E88">
            <w:pPr>
              <w:pStyle w:val="TableParagraph"/>
              <w:spacing w:before="43"/>
              <w:ind w:right="113"/>
              <w:jc w:val="right"/>
              <w:rPr>
                <w:sz w:val="18"/>
              </w:rPr>
            </w:pPr>
            <w:r>
              <w:rPr>
                <w:noProof/>
              </w:rPr>
              <mc:AlternateContent>
                <mc:Choice Requires="wpg">
                  <w:drawing>
                    <wp:anchor distT="0" distB="0" distL="0" distR="0" simplePos="0" relativeHeight="472925184" behindDoc="1" locked="0" layoutInCell="1" allowOverlap="1" wp14:anchorId="54599AD2" wp14:editId="0C955C2F">
                      <wp:simplePos x="0" y="0"/>
                      <wp:positionH relativeFrom="column">
                        <wp:posOffset>560792</wp:posOffset>
                      </wp:positionH>
                      <wp:positionV relativeFrom="paragraph">
                        <wp:posOffset>-27126</wp:posOffset>
                      </wp:positionV>
                      <wp:extent cx="751205" cy="58039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580390"/>
                                <a:chOff x="0" y="0"/>
                                <a:chExt cx="751205" cy="580390"/>
                              </a:xfrm>
                            </wpg:grpSpPr>
                            <wps:wsp>
                              <wps:cNvPr id="743" name="Graphic 743"/>
                              <wps:cNvSpPr/>
                              <wps:spPr>
                                <a:xfrm>
                                  <a:off x="-4" y="5"/>
                                  <a:ext cx="751205" cy="580390"/>
                                </a:xfrm>
                                <a:custGeom>
                                  <a:avLst/>
                                  <a:gdLst/>
                                  <a:ahLst/>
                                  <a:cxnLst/>
                                  <a:rect l="l" t="t" r="r" b="b"/>
                                  <a:pathLst>
                                    <a:path w="751205" h="580390">
                                      <a:moveTo>
                                        <a:pt x="750697" y="0"/>
                                      </a:moveTo>
                                      <a:lnTo>
                                        <a:pt x="0" y="0"/>
                                      </a:lnTo>
                                      <a:lnTo>
                                        <a:pt x="0" y="190157"/>
                                      </a:lnTo>
                                      <a:lnTo>
                                        <a:pt x="0" y="199694"/>
                                      </a:lnTo>
                                      <a:lnTo>
                                        <a:pt x="0" y="380352"/>
                                      </a:lnTo>
                                      <a:lnTo>
                                        <a:pt x="0" y="389864"/>
                                      </a:lnTo>
                                      <a:lnTo>
                                        <a:pt x="0" y="580034"/>
                                      </a:lnTo>
                                      <a:lnTo>
                                        <a:pt x="750684" y="580034"/>
                                      </a:lnTo>
                                      <a:lnTo>
                                        <a:pt x="750684" y="389864"/>
                                      </a:lnTo>
                                      <a:lnTo>
                                        <a:pt x="750697" y="199694"/>
                                      </a:lnTo>
                                      <a:lnTo>
                                        <a:pt x="750697" y="190157"/>
                                      </a:lnTo>
                                      <a:lnTo>
                                        <a:pt x="750697"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2E26FE40" id="Group 742" o:spid="_x0000_s1026" style="position:absolute;margin-left:44.15pt;margin-top:-2.15pt;width:59.15pt;height:45.7pt;z-index:-30391296;mso-wrap-distance-left:0;mso-wrap-distance-right:0" coordsize="7512,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">
                      <v:shape id="Graphic 743" o:spid="_x0000_s1027" style="position:absolute;width:7512;height:5803;visibility:visible;mso-wrap-style:square;v-text-anchor:top" coordsize="7512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" path="m750697,l,,,190157r,9537l,380352r,9512l,580034r750684,l750684,389864r13,-190170l750697,190157,750697,xe" fillcolor="#f1f1f1" stroked="f">
                        <v:path arrowok="t"/>
                      </v:shape>
                    </v:group>
                  </w:pict>
                </mc:Fallback>
              </mc:AlternateContent>
            </w:r>
            <w:r>
              <w:rPr>
                <w:spacing w:val="-2"/>
                <w:sz w:val="18"/>
              </w:rPr>
              <w:t>(2,822)</w:t>
            </w:r>
          </w:p>
        </w:tc>
        <w:tc>
          <w:tcPr>
            <w:tcW w:w="1078" w:type="dxa"/>
            <w:tcBorders>
              <w:right w:val="single" w:sz="6" w:space="0" w:color="000000"/>
            </w:tcBorders>
          </w:tcPr>
          <w:p w14:paraId="6FB75166" w14:textId="77777777" w:rsidR="00AC6F3C" w:rsidRDefault="00570E88">
            <w:pPr>
              <w:pStyle w:val="TableParagraph"/>
              <w:spacing w:before="43"/>
              <w:ind w:right="17"/>
              <w:jc w:val="right"/>
              <w:rPr>
                <w:sz w:val="18"/>
              </w:rPr>
            </w:pPr>
            <w:r>
              <w:rPr>
                <w:spacing w:val="-2"/>
                <w:sz w:val="18"/>
              </w:rPr>
              <w:t>(1,687)</w:t>
            </w:r>
          </w:p>
        </w:tc>
      </w:tr>
      <w:tr w:rsidR="00AC6F3C" w14:paraId="21F9FC87" w14:textId="77777777">
        <w:trPr>
          <w:trHeight w:val="299"/>
        </w:trPr>
        <w:tc>
          <w:tcPr>
            <w:tcW w:w="1696" w:type="dxa"/>
            <w:tcBorders>
              <w:left w:val="single" w:sz="6" w:space="0" w:color="000000"/>
            </w:tcBorders>
          </w:tcPr>
          <w:p w14:paraId="238D181F" w14:textId="77777777" w:rsidR="00AC6F3C" w:rsidRDefault="00570E88">
            <w:pPr>
              <w:pStyle w:val="TableParagraph"/>
              <w:spacing w:before="35"/>
              <w:ind w:left="37"/>
              <w:rPr>
                <w:sz w:val="18"/>
              </w:rPr>
            </w:pPr>
            <w:r>
              <w:rPr>
                <w:spacing w:val="-2"/>
                <w:sz w:val="18"/>
              </w:rPr>
              <w:t>Inflation</w:t>
            </w:r>
          </w:p>
        </w:tc>
        <w:tc>
          <w:tcPr>
            <w:tcW w:w="2861" w:type="dxa"/>
          </w:tcPr>
          <w:p w14:paraId="76E33047" w14:textId="77777777" w:rsidR="00AC6F3C" w:rsidRDefault="00AC6F3C">
            <w:pPr>
              <w:pStyle w:val="TableParagraph"/>
              <w:rPr>
                <w:rFonts w:ascii="Times New Roman"/>
                <w:sz w:val="18"/>
              </w:rPr>
            </w:pPr>
          </w:p>
        </w:tc>
        <w:tc>
          <w:tcPr>
            <w:tcW w:w="2148" w:type="dxa"/>
          </w:tcPr>
          <w:p w14:paraId="04C01DE4" w14:textId="77777777" w:rsidR="00AC6F3C" w:rsidRDefault="00570E88">
            <w:pPr>
              <w:pStyle w:val="TableParagraph"/>
              <w:spacing w:before="35"/>
              <w:ind w:right="113"/>
              <w:jc w:val="right"/>
              <w:rPr>
                <w:sz w:val="18"/>
              </w:rPr>
            </w:pPr>
            <w:r>
              <w:rPr>
                <w:spacing w:val="-2"/>
                <w:sz w:val="18"/>
              </w:rPr>
              <w:t>(3,076)</w:t>
            </w:r>
          </w:p>
        </w:tc>
        <w:tc>
          <w:tcPr>
            <w:tcW w:w="1078" w:type="dxa"/>
            <w:tcBorders>
              <w:right w:val="single" w:sz="6" w:space="0" w:color="000000"/>
            </w:tcBorders>
          </w:tcPr>
          <w:p w14:paraId="59475E50" w14:textId="77777777" w:rsidR="00AC6F3C" w:rsidRDefault="00570E88">
            <w:pPr>
              <w:pStyle w:val="TableParagraph"/>
              <w:spacing w:before="35"/>
              <w:ind w:right="17"/>
              <w:jc w:val="right"/>
              <w:rPr>
                <w:sz w:val="18"/>
              </w:rPr>
            </w:pPr>
            <w:r>
              <w:rPr>
                <w:spacing w:val="-2"/>
                <w:sz w:val="18"/>
              </w:rPr>
              <w:t>(3,536)</w:t>
            </w:r>
          </w:p>
        </w:tc>
      </w:tr>
      <w:tr w:rsidR="00AC6F3C" w14:paraId="09876C55" w14:textId="77777777">
        <w:trPr>
          <w:trHeight w:val="277"/>
        </w:trPr>
        <w:tc>
          <w:tcPr>
            <w:tcW w:w="1696" w:type="dxa"/>
            <w:tcBorders>
              <w:left w:val="single" w:sz="6" w:space="0" w:color="000000"/>
            </w:tcBorders>
          </w:tcPr>
          <w:p w14:paraId="0E599C3D" w14:textId="77777777" w:rsidR="00AC6F3C" w:rsidRDefault="00570E88">
            <w:pPr>
              <w:pStyle w:val="TableParagraph"/>
              <w:spacing w:before="50" w:line="206" w:lineRule="exact"/>
              <w:ind w:left="37"/>
              <w:rPr>
                <w:sz w:val="18"/>
              </w:rPr>
            </w:pPr>
            <w:r>
              <w:rPr>
                <w:spacing w:val="-2"/>
                <w:sz w:val="18"/>
              </w:rPr>
              <w:t>Currency</w:t>
            </w:r>
          </w:p>
        </w:tc>
        <w:tc>
          <w:tcPr>
            <w:tcW w:w="2861" w:type="dxa"/>
          </w:tcPr>
          <w:p w14:paraId="1ECB97CB" w14:textId="77777777" w:rsidR="00AC6F3C" w:rsidRDefault="00AC6F3C">
            <w:pPr>
              <w:pStyle w:val="TableParagraph"/>
              <w:rPr>
                <w:rFonts w:ascii="Times New Roman"/>
                <w:sz w:val="18"/>
              </w:rPr>
            </w:pPr>
          </w:p>
        </w:tc>
        <w:tc>
          <w:tcPr>
            <w:tcW w:w="2148" w:type="dxa"/>
          </w:tcPr>
          <w:p w14:paraId="038B131A" w14:textId="77777777" w:rsidR="00AC6F3C" w:rsidRDefault="00570E88">
            <w:pPr>
              <w:pStyle w:val="TableParagraph"/>
              <w:spacing w:before="50" w:line="206" w:lineRule="exact"/>
              <w:ind w:right="113"/>
              <w:jc w:val="right"/>
              <w:rPr>
                <w:sz w:val="18"/>
              </w:rPr>
            </w:pPr>
            <w:r>
              <w:rPr>
                <w:spacing w:val="-2"/>
                <w:sz w:val="18"/>
              </w:rPr>
              <w:t>(4,297)</w:t>
            </w:r>
          </w:p>
        </w:tc>
        <w:tc>
          <w:tcPr>
            <w:tcW w:w="1078" w:type="dxa"/>
            <w:tcBorders>
              <w:right w:val="single" w:sz="6" w:space="0" w:color="000000"/>
            </w:tcBorders>
          </w:tcPr>
          <w:p w14:paraId="09688372" w14:textId="77777777" w:rsidR="00AC6F3C" w:rsidRDefault="00570E88">
            <w:pPr>
              <w:pStyle w:val="TableParagraph"/>
              <w:spacing w:before="50" w:line="206" w:lineRule="exact"/>
              <w:ind w:right="17"/>
              <w:jc w:val="right"/>
              <w:rPr>
                <w:sz w:val="18"/>
              </w:rPr>
            </w:pPr>
            <w:r>
              <w:rPr>
                <w:spacing w:val="-2"/>
                <w:sz w:val="18"/>
              </w:rPr>
              <w:t>(4,067)</w:t>
            </w:r>
          </w:p>
        </w:tc>
      </w:tr>
      <w:tr w:rsidR="00AC6F3C" w14:paraId="1D628D8E" w14:textId="77777777">
        <w:trPr>
          <w:trHeight w:val="239"/>
        </w:trPr>
        <w:tc>
          <w:tcPr>
            <w:tcW w:w="1696" w:type="dxa"/>
            <w:tcBorders>
              <w:left w:val="single" w:sz="6" w:space="0" w:color="000000"/>
            </w:tcBorders>
          </w:tcPr>
          <w:p w14:paraId="2B53AA09" w14:textId="77777777" w:rsidR="00AC6F3C" w:rsidRDefault="00AC6F3C">
            <w:pPr>
              <w:pStyle w:val="TableParagraph"/>
              <w:rPr>
                <w:rFonts w:ascii="Times New Roman"/>
                <w:sz w:val="16"/>
              </w:rPr>
            </w:pPr>
          </w:p>
        </w:tc>
        <w:tc>
          <w:tcPr>
            <w:tcW w:w="2861" w:type="dxa"/>
          </w:tcPr>
          <w:p w14:paraId="43AED4BD" w14:textId="77777777" w:rsidR="00AC6F3C" w:rsidRDefault="00AC6F3C">
            <w:pPr>
              <w:pStyle w:val="TableParagraph"/>
              <w:rPr>
                <w:rFonts w:ascii="Times New Roman"/>
                <w:sz w:val="16"/>
              </w:rPr>
            </w:pPr>
          </w:p>
        </w:tc>
        <w:tc>
          <w:tcPr>
            <w:tcW w:w="2148" w:type="dxa"/>
          </w:tcPr>
          <w:p w14:paraId="25243CB7" w14:textId="77777777" w:rsidR="00AC6F3C" w:rsidRDefault="00AC6F3C">
            <w:pPr>
              <w:pStyle w:val="TableParagraph"/>
              <w:rPr>
                <w:rFonts w:ascii="Times New Roman"/>
                <w:sz w:val="16"/>
              </w:rPr>
            </w:pPr>
          </w:p>
        </w:tc>
        <w:tc>
          <w:tcPr>
            <w:tcW w:w="1078" w:type="dxa"/>
            <w:tcBorders>
              <w:right w:val="single" w:sz="6" w:space="0" w:color="000000"/>
            </w:tcBorders>
          </w:tcPr>
          <w:p w14:paraId="7A39FB17" w14:textId="77777777" w:rsidR="00AC6F3C" w:rsidRDefault="00570E88">
            <w:pPr>
              <w:pStyle w:val="TableParagraph"/>
              <w:spacing w:before="13" w:line="206" w:lineRule="exact"/>
              <w:ind w:right="16"/>
              <w:jc w:val="right"/>
              <w:rPr>
                <w:b/>
                <w:sz w:val="18"/>
              </w:rPr>
            </w:pPr>
            <w:r>
              <w:rPr>
                <w:b/>
                <w:spacing w:val="-2"/>
                <w:sz w:val="18"/>
              </w:rPr>
              <w:t>Downward</w:t>
            </w:r>
          </w:p>
        </w:tc>
      </w:tr>
      <w:tr w:rsidR="00AC6F3C" w14:paraId="1BDAC260" w14:textId="77777777">
        <w:trPr>
          <w:trHeight w:val="269"/>
        </w:trPr>
        <w:tc>
          <w:tcPr>
            <w:tcW w:w="1696" w:type="dxa"/>
            <w:tcBorders>
              <w:left w:val="single" w:sz="6" w:space="0" w:color="000000"/>
            </w:tcBorders>
          </w:tcPr>
          <w:p w14:paraId="68DD3F26" w14:textId="77777777" w:rsidR="00AC6F3C" w:rsidRDefault="00AC6F3C">
            <w:pPr>
              <w:pStyle w:val="TableParagraph"/>
              <w:rPr>
                <w:rFonts w:ascii="Times New Roman"/>
                <w:sz w:val="18"/>
              </w:rPr>
            </w:pPr>
          </w:p>
        </w:tc>
        <w:tc>
          <w:tcPr>
            <w:tcW w:w="2861" w:type="dxa"/>
          </w:tcPr>
          <w:p w14:paraId="0ACC8859" w14:textId="77777777" w:rsidR="00AC6F3C" w:rsidRDefault="00AC6F3C">
            <w:pPr>
              <w:pStyle w:val="TableParagraph"/>
              <w:rPr>
                <w:rFonts w:ascii="Times New Roman"/>
                <w:sz w:val="18"/>
              </w:rPr>
            </w:pPr>
          </w:p>
        </w:tc>
        <w:tc>
          <w:tcPr>
            <w:tcW w:w="2148" w:type="dxa"/>
          </w:tcPr>
          <w:p w14:paraId="63977541" w14:textId="77777777" w:rsidR="00AC6F3C" w:rsidRDefault="00AC6F3C">
            <w:pPr>
              <w:pStyle w:val="TableParagraph"/>
              <w:rPr>
                <w:rFonts w:ascii="Times New Roman"/>
                <w:sz w:val="18"/>
              </w:rPr>
            </w:pPr>
          </w:p>
        </w:tc>
        <w:tc>
          <w:tcPr>
            <w:tcW w:w="1078" w:type="dxa"/>
            <w:tcBorders>
              <w:right w:val="single" w:sz="6" w:space="0" w:color="000000"/>
            </w:tcBorders>
          </w:tcPr>
          <w:p w14:paraId="447A1DEC" w14:textId="77777777" w:rsidR="00AC6F3C" w:rsidRDefault="00570E88">
            <w:pPr>
              <w:pStyle w:val="TableParagraph"/>
              <w:spacing w:before="13"/>
              <w:ind w:right="22"/>
              <w:jc w:val="right"/>
              <w:rPr>
                <w:b/>
                <w:sz w:val="18"/>
              </w:rPr>
            </w:pPr>
            <w:r>
              <w:rPr>
                <w:b/>
                <w:spacing w:val="-2"/>
                <w:sz w:val="18"/>
              </w:rPr>
              <w:t>impact</w:t>
            </w:r>
          </w:p>
        </w:tc>
      </w:tr>
      <w:tr w:rsidR="00AC6F3C" w14:paraId="4CCC76D9" w14:textId="77777777">
        <w:trPr>
          <w:trHeight w:val="292"/>
        </w:trPr>
        <w:tc>
          <w:tcPr>
            <w:tcW w:w="1696" w:type="dxa"/>
            <w:tcBorders>
              <w:left w:val="single" w:sz="6" w:space="0" w:color="000000"/>
            </w:tcBorders>
          </w:tcPr>
          <w:p w14:paraId="325F95F9" w14:textId="77777777" w:rsidR="00AC6F3C" w:rsidRDefault="00570E88">
            <w:pPr>
              <w:pStyle w:val="TableParagraph"/>
              <w:spacing w:before="43"/>
              <w:ind w:left="37"/>
              <w:rPr>
                <w:sz w:val="18"/>
              </w:rPr>
            </w:pPr>
            <w:r>
              <w:rPr>
                <w:sz w:val="18"/>
              </w:rPr>
              <w:t>Interest</w:t>
            </w:r>
            <w:r>
              <w:rPr>
                <w:spacing w:val="-5"/>
                <w:sz w:val="18"/>
              </w:rPr>
              <w:t xml:space="preserve"> </w:t>
            </w:r>
            <w:r>
              <w:rPr>
                <w:spacing w:val="-4"/>
                <w:sz w:val="18"/>
              </w:rPr>
              <w:t>rate</w:t>
            </w:r>
          </w:p>
        </w:tc>
        <w:tc>
          <w:tcPr>
            <w:tcW w:w="2861" w:type="dxa"/>
          </w:tcPr>
          <w:p w14:paraId="180934AC" w14:textId="77777777" w:rsidR="00AC6F3C" w:rsidRDefault="00AC6F3C">
            <w:pPr>
              <w:pStyle w:val="TableParagraph"/>
              <w:rPr>
                <w:rFonts w:ascii="Times New Roman"/>
                <w:sz w:val="18"/>
              </w:rPr>
            </w:pPr>
          </w:p>
        </w:tc>
        <w:tc>
          <w:tcPr>
            <w:tcW w:w="2148" w:type="dxa"/>
          </w:tcPr>
          <w:p w14:paraId="34365B57" w14:textId="77777777" w:rsidR="00AC6F3C" w:rsidRDefault="00570E88">
            <w:pPr>
              <w:pStyle w:val="TableParagraph"/>
              <w:spacing w:before="43"/>
              <w:ind w:right="118"/>
              <w:jc w:val="right"/>
              <w:rPr>
                <w:sz w:val="18"/>
              </w:rPr>
            </w:pPr>
            <w:r>
              <w:rPr>
                <w:noProof/>
              </w:rPr>
              <mc:AlternateContent>
                <mc:Choice Requires="wpg">
                  <w:drawing>
                    <wp:anchor distT="0" distB="0" distL="0" distR="0" simplePos="0" relativeHeight="472925696" behindDoc="1" locked="0" layoutInCell="1" allowOverlap="1" wp14:anchorId="58FE2E25" wp14:editId="2A3D2EB0">
                      <wp:simplePos x="0" y="0"/>
                      <wp:positionH relativeFrom="column">
                        <wp:posOffset>560792</wp:posOffset>
                      </wp:positionH>
                      <wp:positionV relativeFrom="paragraph">
                        <wp:posOffset>-27133</wp:posOffset>
                      </wp:positionV>
                      <wp:extent cx="751205" cy="58039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580390"/>
                                <a:chOff x="0" y="0"/>
                                <a:chExt cx="751205" cy="580390"/>
                              </a:xfrm>
                            </wpg:grpSpPr>
                            <wps:wsp>
                              <wps:cNvPr id="745" name="Graphic 745"/>
                              <wps:cNvSpPr/>
                              <wps:spPr>
                                <a:xfrm>
                                  <a:off x="-4" y="9"/>
                                  <a:ext cx="751205" cy="580390"/>
                                </a:xfrm>
                                <a:custGeom>
                                  <a:avLst/>
                                  <a:gdLst/>
                                  <a:ahLst/>
                                  <a:cxnLst/>
                                  <a:rect l="l" t="t" r="r" b="b"/>
                                  <a:pathLst>
                                    <a:path w="751205" h="580390">
                                      <a:moveTo>
                                        <a:pt x="750684" y="0"/>
                                      </a:moveTo>
                                      <a:lnTo>
                                        <a:pt x="0" y="0"/>
                                      </a:lnTo>
                                      <a:lnTo>
                                        <a:pt x="0" y="190169"/>
                                      </a:lnTo>
                                      <a:lnTo>
                                        <a:pt x="0" y="199694"/>
                                      </a:lnTo>
                                      <a:lnTo>
                                        <a:pt x="0" y="380339"/>
                                      </a:lnTo>
                                      <a:lnTo>
                                        <a:pt x="0" y="389851"/>
                                      </a:lnTo>
                                      <a:lnTo>
                                        <a:pt x="0" y="580034"/>
                                      </a:lnTo>
                                      <a:lnTo>
                                        <a:pt x="750684" y="580034"/>
                                      </a:lnTo>
                                      <a:lnTo>
                                        <a:pt x="750684" y="389851"/>
                                      </a:lnTo>
                                      <a:lnTo>
                                        <a:pt x="750684" y="380339"/>
                                      </a:lnTo>
                                      <a:lnTo>
                                        <a:pt x="750684" y="199694"/>
                                      </a:lnTo>
                                      <a:lnTo>
                                        <a:pt x="750684" y="190169"/>
                                      </a:lnTo>
                                      <a:lnTo>
                                        <a:pt x="750684"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4B2820A7" id="Group 744" o:spid="_x0000_s1026" style="position:absolute;margin-left:44.15pt;margin-top:-2.15pt;width:59.15pt;height:45.7pt;z-index:-30390784;mso-wrap-distance-left:0;mso-wrap-distance-right:0" coordsize="7512,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">
                      <v:shape id="Graphic 745" o:spid="_x0000_s1027" style="position:absolute;width:7512;height:5803;visibility:visible;mso-wrap-style:square;v-text-anchor:top" coordsize="7512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" path="m750684,l,,,190169r,9525l,380339r,9512l,580034r750684,l750684,389851r,-9512l750684,199694r,-9525l750684,xe" fillcolor="#f1f1f1" stroked="f">
                        <v:path arrowok="t"/>
                      </v:shape>
                    </v:group>
                  </w:pict>
                </mc:Fallback>
              </mc:AlternateContent>
            </w:r>
            <w:r>
              <w:rPr>
                <w:spacing w:val="-2"/>
                <w:sz w:val="18"/>
              </w:rPr>
              <w:t>2,277</w:t>
            </w:r>
          </w:p>
        </w:tc>
        <w:tc>
          <w:tcPr>
            <w:tcW w:w="1078" w:type="dxa"/>
            <w:tcBorders>
              <w:right w:val="single" w:sz="6" w:space="0" w:color="000000"/>
            </w:tcBorders>
          </w:tcPr>
          <w:p w14:paraId="245ADC91" w14:textId="77777777" w:rsidR="00AC6F3C" w:rsidRDefault="00570E88">
            <w:pPr>
              <w:pStyle w:val="TableParagraph"/>
              <w:spacing w:before="43"/>
              <w:ind w:right="22"/>
              <w:jc w:val="right"/>
              <w:rPr>
                <w:sz w:val="18"/>
              </w:rPr>
            </w:pPr>
            <w:r>
              <w:rPr>
                <w:spacing w:val="-2"/>
                <w:sz w:val="18"/>
              </w:rPr>
              <w:t>1,429</w:t>
            </w:r>
          </w:p>
        </w:tc>
      </w:tr>
      <w:tr w:rsidR="00AC6F3C" w14:paraId="07403F49" w14:textId="77777777">
        <w:trPr>
          <w:trHeight w:val="299"/>
        </w:trPr>
        <w:tc>
          <w:tcPr>
            <w:tcW w:w="1696" w:type="dxa"/>
            <w:tcBorders>
              <w:left w:val="single" w:sz="6" w:space="0" w:color="000000"/>
            </w:tcBorders>
          </w:tcPr>
          <w:p w14:paraId="5AF84A4F" w14:textId="77777777" w:rsidR="00AC6F3C" w:rsidRDefault="00570E88">
            <w:pPr>
              <w:pStyle w:val="TableParagraph"/>
              <w:spacing w:before="35"/>
              <w:ind w:left="37"/>
              <w:rPr>
                <w:sz w:val="18"/>
              </w:rPr>
            </w:pPr>
            <w:r>
              <w:rPr>
                <w:spacing w:val="-2"/>
                <w:sz w:val="18"/>
              </w:rPr>
              <w:t>Inflation</w:t>
            </w:r>
          </w:p>
        </w:tc>
        <w:tc>
          <w:tcPr>
            <w:tcW w:w="2861" w:type="dxa"/>
          </w:tcPr>
          <w:p w14:paraId="02478C9F" w14:textId="77777777" w:rsidR="00AC6F3C" w:rsidRDefault="00AC6F3C">
            <w:pPr>
              <w:pStyle w:val="TableParagraph"/>
              <w:rPr>
                <w:rFonts w:ascii="Times New Roman"/>
                <w:sz w:val="18"/>
              </w:rPr>
            </w:pPr>
          </w:p>
        </w:tc>
        <w:tc>
          <w:tcPr>
            <w:tcW w:w="2148" w:type="dxa"/>
          </w:tcPr>
          <w:p w14:paraId="0DEA7406" w14:textId="77777777" w:rsidR="00AC6F3C" w:rsidRDefault="00570E88">
            <w:pPr>
              <w:pStyle w:val="TableParagraph"/>
              <w:spacing w:before="35"/>
              <w:ind w:right="118"/>
              <w:jc w:val="right"/>
              <w:rPr>
                <w:sz w:val="18"/>
              </w:rPr>
            </w:pPr>
            <w:r>
              <w:rPr>
                <w:spacing w:val="-2"/>
                <w:sz w:val="18"/>
              </w:rPr>
              <w:t>2,468</w:t>
            </w:r>
          </w:p>
        </w:tc>
        <w:tc>
          <w:tcPr>
            <w:tcW w:w="1078" w:type="dxa"/>
            <w:tcBorders>
              <w:right w:val="single" w:sz="6" w:space="0" w:color="000000"/>
            </w:tcBorders>
          </w:tcPr>
          <w:p w14:paraId="7671CFDD" w14:textId="77777777" w:rsidR="00AC6F3C" w:rsidRDefault="00570E88">
            <w:pPr>
              <w:pStyle w:val="TableParagraph"/>
              <w:spacing w:before="35"/>
              <w:ind w:right="22"/>
              <w:jc w:val="right"/>
              <w:rPr>
                <w:sz w:val="18"/>
              </w:rPr>
            </w:pPr>
            <w:r>
              <w:rPr>
                <w:spacing w:val="-2"/>
                <w:sz w:val="18"/>
              </w:rPr>
              <w:t>3,050</w:t>
            </w:r>
          </w:p>
        </w:tc>
      </w:tr>
      <w:tr w:rsidR="00AC6F3C" w14:paraId="36A3AF77" w14:textId="77777777">
        <w:trPr>
          <w:trHeight w:val="284"/>
        </w:trPr>
        <w:tc>
          <w:tcPr>
            <w:tcW w:w="1696" w:type="dxa"/>
            <w:tcBorders>
              <w:left w:val="single" w:sz="6" w:space="0" w:color="000000"/>
            </w:tcBorders>
          </w:tcPr>
          <w:p w14:paraId="46C87982" w14:textId="77777777" w:rsidR="00AC6F3C" w:rsidRDefault="00570E88">
            <w:pPr>
              <w:pStyle w:val="TableParagraph"/>
              <w:spacing w:before="50"/>
              <w:ind w:left="37"/>
              <w:rPr>
                <w:sz w:val="18"/>
              </w:rPr>
            </w:pPr>
            <w:r>
              <w:rPr>
                <w:spacing w:val="-2"/>
                <w:sz w:val="18"/>
              </w:rPr>
              <w:t>Currency</w:t>
            </w:r>
          </w:p>
        </w:tc>
        <w:tc>
          <w:tcPr>
            <w:tcW w:w="2861" w:type="dxa"/>
          </w:tcPr>
          <w:p w14:paraId="13EA4D97" w14:textId="77777777" w:rsidR="00AC6F3C" w:rsidRDefault="00AC6F3C">
            <w:pPr>
              <w:pStyle w:val="TableParagraph"/>
              <w:rPr>
                <w:rFonts w:ascii="Times New Roman"/>
                <w:sz w:val="18"/>
              </w:rPr>
            </w:pPr>
          </w:p>
        </w:tc>
        <w:tc>
          <w:tcPr>
            <w:tcW w:w="2148" w:type="dxa"/>
          </w:tcPr>
          <w:p w14:paraId="1EAF59C6" w14:textId="77777777" w:rsidR="00AC6F3C" w:rsidRDefault="00570E88">
            <w:pPr>
              <w:pStyle w:val="TableParagraph"/>
              <w:spacing w:before="50"/>
              <w:ind w:right="118"/>
              <w:jc w:val="right"/>
              <w:rPr>
                <w:sz w:val="18"/>
              </w:rPr>
            </w:pPr>
            <w:r>
              <w:rPr>
                <w:spacing w:val="-5"/>
                <w:sz w:val="18"/>
              </w:rPr>
              <w:t>(9)</w:t>
            </w:r>
          </w:p>
        </w:tc>
        <w:tc>
          <w:tcPr>
            <w:tcW w:w="1078" w:type="dxa"/>
            <w:tcBorders>
              <w:right w:val="single" w:sz="6" w:space="0" w:color="000000"/>
            </w:tcBorders>
          </w:tcPr>
          <w:p w14:paraId="4813B215" w14:textId="77777777" w:rsidR="00AC6F3C" w:rsidRDefault="00570E88">
            <w:pPr>
              <w:pStyle w:val="TableParagraph"/>
              <w:spacing w:before="50"/>
              <w:ind w:right="16"/>
              <w:jc w:val="right"/>
              <w:rPr>
                <w:sz w:val="18"/>
              </w:rPr>
            </w:pPr>
            <w:r>
              <w:rPr>
                <w:spacing w:val="-4"/>
                <w:sz w:val="18"/>
              </w:rPr>
              <w:t>(32)</w:t>
            </w:r>
          </w:p>
        </w:tc>
      </w:tr>
      <w:tr w:rsidR="00AC6F3C" w14:paraId="6AD8E19D" w14:textId="77777777">
        <w:trPr>
          <w:trHeight w:val="322"/>
        </w:trPr>
        <w:tc>
          <w:tcPr>
            <w:tcW w:w="1696" w:type="dxa"/>
            <w:tcBorders>
              <w:left w:val="single" w:sz="6" w:space="0" w:color="000000"/>
            </w:tcBorders>
          </w:tcPr>
          <w:p w14:paraId="408F27EB" w14:textId="77777777" w:rsidR="00AC6F3C" w:rsidRDefault="00AC6F3C">
            <w:pPr>
              <w:pStyle w:val="TableParagraph"/>
              <w:rPr>
                <w:rFonts w:ascii="Times New Roman"/>
                <w:sz w:val="18"/>
              </w:rPr>
            </w:pPr>
          </w:p>
        </w:tc>
        <w:tc>
          <w:tcPr>
            <w:tcW w:w="2861" w:type="dxa"/>
          </w:tcPr>
          <w:p w14:paraId="4EFB4B58" w14:textId="77777777" w:rsidR="00AC6F3C" w:rsidRDefault="00570E88">
            <w:pPr>
              <w:pStyle w:val="TableParagraph"/>
              <w:spacing w:before="20"/>
              <w:ind w:left="548"/>
              <w:rPr>
                <w:b/>
                <w:sz w:val="18"/>
              </w:rPr>
            </w:pPr>
            <w:r>
              <w:rPr>
                <w:b/>
                <w:sz w:val="18"/>
              </w:rPr>
              <w:t>Stress</w:t>
            </w:r>
            <w:r>
              <w:rPr>
                <w:b/>
                <w:spacing w:val="4"/>
                <w:sz w:val="18"/>
              </w:rPr>
              <w:t xml:space="preserve"> </w:t>
            </w:r>
            <w:r>
              <w:rPr>
                <w:b/>
                <w:spacing w:val="-4"/>
                <w:sz w:val="18"/>
              </w:rPr>
              <w:t>Test</w:t>
            </w:r>
          </w:p>
        </w:tc>
        <w:tc>
          <w:tcPr>
            <w:tcW w:w="2148" w:type="dxa"/>
          </w:tcPr>
          <w:p w14:paraId="19865B2B" w14:textId="77777777" w:rsidR="00AC6F3C" w:rsidRDefault="00AC6F3C">
            <w:pPr>
              <w:pStyle w:val="TableParagraph"/>
              <w:rPr>
                <w:rFonts w:ascii="Times New Roman"/>
                <w:sz w:val="18"/>
              </w:rPr>
            </w:pPr>
          </w:p>
        </w:tc>
        <w:tc>
          <w:tcPr>
            <w:tcW w:w="1078" w:type="dxa"/>
            <w:tcBorders>
              <w:right w:val="single" w:sz="6" w:space="0" w:color="000000"/>
            </w:tcBorders>
          </w:tcPr>
          <w:p w14:paraId="52643F2F" w14:textId="77777777" w:rsidR="00AC6F3C" w:rsidRDefault="00570E88">
            <w:pPr>
              <w:pStyle w:val="TableParagraph"/>
              <w:spacing w:before="65"/>
              <w:ind w:right="22"/>
              <w:jc w:val="right"/>
              <w:rPr>
                <w:b/>
                <w:sz w:val="18"/>
              </w:rPr>
            </w:pPr>
            <w:r>
              <w:rPr>
                <w:b/>
                <w:spacing w:val="-2"/>
                <w:sz w:val="18"/>
              </w:rPr>
              <w:t>Impact</w:t>
            </w:r>
          </w:p>
        </w:tc>
      </w:tr>
      <w:tr w:rsidR="00AC6F3C" w14:paraId="4A38D5D3" w14:textId="77777777">
        <w:trPr>
          <w:trHeight w:val="299"/>
        </w:trPr>
        <w:tc>
          <w:tcPr>
            <w:tcW w:w="1696" w:type="dxa"/>
            <w:tcBorders>
              <w:left w:val="single" w:sz="6" w:space="0" w:color="000000"/>
            </w:tcBorders>
          </w:tcPr>
          <w:p w14:paraId="1D542153" w14:textId="77777777" w:rsidR="00AC6F3C" w:rsidRDefault="00570E88">
            <w:pPr>
              <w:pStyle w:val="TableParagraph"/>
              <w:spacing w:before="43"/>
              <w:ind w:left="37"/>
              <w:rPr>
                <w:sz w:val="18"/>
              </w:rPr>
            </w:pPr>
            <w:r>
              <w:rPr>
                <w:spacing w:val="-2"/>
                <w:sz w:val="18"/>
              </w:rPr>
              <w:t>Equity</w:t>
            </w:r>
          </w:p>
        </w:tc>
        <w:tc>
          <w:tcPr>
            <w:tcW w:w="2861" w:type="dxa"/>
          </w:tcPr>
          <w:p w14:paraId="3F8F262C" w14:textId="77777777" w:rsidR="00AC6F3C" w:rsidRDefault="00AC6F3C">
            <w:pPr>
              <w:pStyle w:val="TableParagraph"/>
              <w:rPr>
                <w:rFonts w:ascii="Times New Roman"/>
                <w:sz w:val="18"/>
              </w:rPr>
            </w:pPr>
          </w:p>
        </w:tc>
        <w:tc>
          <w:tcPr>
            <w:tcW w:w="2148" w:type="dxa"/>
          </w:tcPr>
          <w:p w14:paraId="71B84896" w14:textId="77777777" w:rsidR="00AC6F3C" w:rsidRDefault="00570E88">
            <w:pPr>
              <w:pStyle w:val="TableParagraph"/>
              <w:spacing w:before="43"/>
              <w:ind w:right="113"/>
              <w:jc w:val="right"/>
              <w:rPr>
                <w:sz w:val="18"/>
              </w:rPr>
            </w:pPr>
            <w:r>
              <w:rPr>
                <w:noProof/>
              </w:rPr>
              <mc:AlternateContent>
                <mc:Choice Requires="wpg">
                  <w:drawing>
                    <wp:anchor distT="0" distB="0" distL="0" distR="0" simplePos="0" relativeHeight="472926208" behindDoc="1" locked="0" layoutInCell="1" allowOverlap="1" wp14:anchorId="0834E956" wp14:editId="70E84216">
                      <wp:simplePos x="0" y="0"/>
                      <wp:positionH relativeFrom="column">
                        <wp:posOffset>560792</wp:posOffset>
                      </wp:positionH>
                      <wp:positionV relativeFrom="paragraph">
                        <wp:posOffset>-27171</wp:posOffset>
                      </wp:positionV>
                      <wp:extent cx="751205" cy="580390"/>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580390"/>
                                <a:chOff x="0" y="0"/>
                                <a:chExt cx="751205" cy="580390"/>
                              </a:xfrm>
                            </wpg:grpSpPr>
                            <wps:wsp>
                              <wps:cNvPr id="747" name="Graphic 747"/>
                              <wps:cNvSpPr/>
                              <wps:spPr>
                                <a:xfrm>
                                  <a:off x="-4" y="5"/>
                                  <a:ext cx="751205" cy="580390"/>
                                </a:xfrm>
                                <a:custGeom>
                                  <a:avLst/>
                                  <a:gdLst/>
                                  <a:ahLst/>
                                  <a:cxnLst/>
                                  <a:rect l="l" t="t" r="r" b="b"/>
                                  <a:pathLst>
                                    <a:path w="751205" h="580390">
                                      <a:moveTo>
                                        <a:pt x="750684" y="0"/>
                                      </a:moveTo>
                                      <a:lnTo>
                                        <a:pt x="0" y="0"/>
                                      </a:lnTo>
                                      <a:lnTo>
                                        <a:pt x="0" y="190169"/>
                                      </a:lnTo>
                                      <a:lnTo>
                                        <a:pt x="0" y="199694"/>
                                      </a:lnTo>
                                      <a:lnTo>
                                        <a:pt x="0" y="380365"/>
                                      </a:lnTo>
                                      <a:lnTo>
                                        <a:pt x="0" y="389877"/>
                                      </a:lnTo>
                                      <a:lnTo>
                                        <a:pt x="0" y="580047"/>
                                      </a:lnTo>
                                      <a:lnTo>
                                        <a:pt x="750684" y="580047"/>
                                      </a:lnTo>
                                      <a:lnTo>
                                        <a:pt x="750684" y="389877"/>
                                      </a:lnTo>
                                      <a:lnTo>
                                        <a:pt x="750684" y="380365"/>
                                      </a:lnTo>
                                      <a:lnTo>
                                        <a:pt x="750684" y="199694"/>
                                      </a:lnTo>
                                      <a:lnTo>
                                        <a:pt x="750684" y="190169"/>
                                      </a:lnTo>
                                      <a:lnTo>
                                        <a:pt x="750684"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4763E68A" id="Group 746" o:spid="_x0000_s1026" style="position:absolute;margin-left:44.15pt;margin-top:-2.15pt;width:59.15pt;height:45.7pt;z-index:-30390272;mso-wrap-distance-left:0;mso-wrap-distance-right:0" coordsize="7512,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">
                      <v:shape id="Graphic 747" o:spid="_x0000_s1027" style="position:absolute;width:7512;height:5803;visibility:visible;mso-wrap-style:square;v-text-anchor:top" coordsize="7512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" path="m750684,l,,,190169r,9525l,380365r,9512l,580047r750684,l750684,389877r,-9512l750684,199694r,-9525l750684,xe" fillcolor="#f1f1f1" stroked="f">
                        <v:path arrowok="t"/>
                      </v:shape>
                    </v:group>
                  </w:pict>
                </mc:Fallback>
              </mc:AlternateContent>
            </w:r>
            <w:r>
              <w:rPr>
                <w:spacing w:val="-2"/>
                <w:sz w:val="18"/>
              </w:rPr>
              <w:t>(29,245)</w:t>
            </w:r>
          </w:p>
        </w:tc>
        <w:tc>
          <w:tcPr>
            <w:tcW w:w="1078" w:type="dxa"/>
            <w:tcBorders>
              <w:right w:val="single" w:sz="6" w:space="0" w:color="000000"/>
            </w:tcBorders>
          </w:tcPr>
          <w:p w14:paraId="45C5A431" w14:textId="77777777" w:rsidR="00AC6F3C" w:rsidRDefault="00570E88">
            <w:pPr>
              <w:pStyle w:val="TableParagraph"/>
              <w:spacing w:before="43"/>
              <w:ind w:right="17"/>
              <w:jc w:val="right"/>
              <w:rPr>
                <w:sz w:val="18"/>
              </w:rPr>
            </w:pPr>
            <w:r>
              <w:rPr>
                <w:spacing w:val="-2"/>
                <w:sz w:val="18"/>
              </w:rPr>
              <w:t>(12,314)</w:t>
            </w:r>
          </w:p>
        </w:tc>
      </w:tr>
      <w:tr w:rsidR="00AC6F3C" w14:paraId="56879DD7" w14:textId="77777777">
        <w:trPr>
          <w:trHeight w:val="299"/>
        </w:trPr>
        <w:tc>
          <w:tcPr>
            <w:tcW w:w="1696" w:type="dxa"/>
            <w:tcBorders>
              <w:left w:val="single" w:sz="6" w:space="0" w:color="000000"/>
            </w:tcBorders>
          </w:tcPr>
          <w:p w14:paraId="016FDA52" w14:textId="77777777" w:rsidR="00AC6F3C" w:rsidRDefault="00570E88">
            <w:pPr>
              <w:pStyle w:val="TableParagraph"/>
              <w:spacing w:before="43"/>
              <w:ind w:left="37"/>
              <w:rPr>
                <w:sz w:val="18"/>
              </w:rPr>
            </w:pPr>
            <w:r>
              <w:rPr>
                <w:spacing w:val="-2"/>
                <w:sz w:val="18"/>
              </w:rPr>
              <w:t>Property</w:t>
            </w:r>
          </w:p>
        </w:tc>
        <w:tc>
          <w:tcPr>
            <w:tcW w:w="2861" w:type="dxa"/>
          </w:tcPr>
          <w:p w14:paraId="3B172706" w14:textId="77777777" w:rsidR="00AC6F3C" w:rsidRDefault="00AC6F3C">
            <w:pPr>
              <w:pStyle w:val="TableParagraph"/>
              <w:rPr>
                <w:rFonts w:ascii="Times New Roman"/>
                <w:sz w:val="18"/>
              </w:rPr>
            </w:pPr>
          </w:p>
        </w:tc>
        <w:tc>
          <w:tcPr>
            <w:tcW w:w="2148" w:type="dxa"/>
          </w:tcPr>
          <w:p w14:paraId="0240E39B" w14:textId="77777777" w:rsidR="00AC6F3C" w:rsidRDefault="00570E88">
            <w:pPr>
              <w:pStyle w:val="TableParagraph"/>
              <w:spacing w:before="43"/>
              <w:ind w:right="113"/>
              <w:jc w:val="right"/>
              <w:rPr>
                <w:sz w:val="18"/>
              </w:rPr>
            </w:pPr>
            <w:r>
              <w:rPr>
                <w:spacing w:val="-2"/>
                <w:sz w:val="18"/>
              </w:rPr>
              <w:t>(3,218)</w:t>
            </w:r>
          </w:p>
        </w:tc>
        <w:tc>
          <w:tcPr>
            <w:tcW w:w="1078" w:type="dxa"/>
            <w:tcBorders>
              <w:right w:val="single" w:sz="6" w:space="0" w:color="000000"/>
            </w:tcBorders>
          </w:tcPr>
          <w:p w14:paraId="0E6868C2" w14:textId="77777777" w:rsidR="00AC6F3C" w:rsidRDefault="00570E88">
            <w:pPr>
              <w:pStyle w:val="TableParagraph"/>
              <w:spacing w:before="43"/>
              <w:ind w:right="17"/>
              <w:jc w:val="right"/>
              <w:rPr>
                <w:sz w:val="18"/>
              </w:rPr>
            </w:pPr>
            <w:r>
              <w:rPr>
                <w:spacing w:val="-2"/>
                <w:sz w:val="18"/>
              </w:rPr>
              <w:t>(1,305)</w:t>
            </w:r>
          </w:p>
        </w:tc>
      </w:tr>
      <w:tr w:rsidR="00AC6F3C" w14:paraId="5C833E57" w14:textId="77777777">
        <w:trPr>
          <w:trHeight w:val="256"/>
        </w:trPr>
        <w:tc>
          <w:tcPr>
            <w:tcW w:w="1696" w:type="dxa"/>
            <w:tcBorders>
              <w:left w:val="single" w:sz="6" w:space="0" w:color="000000"/>
              <w:bottom w:val="single" w:sz="6" w:space="0" w:color="000000"/>
            </w:tcBorders>
          </w:tcPr>
          <w:p w14:paraId="2BBF16E6" w14:textId="77777777" w:rsidR="00AC6F3C" w:rsidRDefault="00570E88">
            <w:pPr>
              <w:pStyle w:val="TableParagraph"/>
              <w:spacing w:before="43" w:line="194" w:lineRule="exact"/>
              <w:ind w:left="37"/>
              <w:rPr>
                <w:sz w:val="18"/>
              </w:rPr>
            </w:pPr>
            <w:r>
              <w:rPr>
                <w:sz w:val="18"/>
              </w:rPr>
              <w:t>Credit</w:t>
            </w:r>
            <w:r>
              <w:rPr>
                <w:spacing w:val="2"/>
                <w:sz w:val="18"/>
              </w:rPr>
              <w:t xml:space="preserve"> </w:t>
            </w:r>
            <w:r>
              <w:rPr>
                <w:spacing w:val="-2"/>
                <w:sz w:val="18"/>
              </w:rPr>
              <w:t>spread</w:t>
            </w:r>
          </w:p>
        </w:tc>
        <w:tc>
          <w:tcPr>
            <w:tcW w:w="2861" w:type="dxa"/>
            <w:tcBorders>
              <w:bottom w:val="single" w:sz="6" w:space="0" w:color="000000"/>
            </w:tcBorders>
          </w:tcPr>
          <w:p w14:paraId="5CDE4E91" w14:textId="77777777" w:rsidR="00AC6F3C" w:rsidRDefault="00AC6F3C">
            <w:pPr>
              <w:pStyle w:val="TableParagraph"/>
              <w:rPr>
                <w:rFonts w:ascii="Times New Roman"/>
                <w:sz w:val="18"/>
              </w:rPr>
            </w:pPr>
          </w:p>
        </w:tc>
        <w:tc>
          <w:tcPr>
            <w:tcW w:w="2148" w:type="dxa"/>
            <w:tcBorders>
              <w:bottom w:val="single" w:sz="6" w:space="0" w:color="000000"/>
            </w:tcBorders>
          </w:tcPr>
          <w:p w14:paraId="577908C9" w14:textId="77777777" w:rsidR="00AC6F3C" w:rsidRDefault="00570E88">
            <w:pPr>
              <w:pStyle w:val="TableParagraph"/>
              <w:spacing w:before="43" w:line="194" w:lineRule="exact"/>
              <w:ind w:right="113"/>
              <w:jc w:val="right"/>
              <w:rPr>
                <w:sz w:val="18"/>
              </w:rPr>
            </w:pPr>
            <w:r>
              <w:rPr>
                <w:spacing w:val="-2"/>
                <w:sz w:val="18"/>
              </w:rPr>
              <w:t>(4,528)</w:t>
            </w:r>
          </w:p>
        </w:tc>
        <w:tc>
          <w:tcPr>
            <w:tcW w:w="1078" w:type="dxa"/>
            <w:tcBorders>
              <w:bottom w:val="single" w:sz="6" w:space="0" w:color="000000"/>
              <w:right w:val="single" w:sz="6" w:space="0" w:color="000000"/>
            </w:tcBorders>
          </w:tcPr>
          <w:p w14:paraId="5952E760" w14:textId="77777777" w:rsidR="00AC6F3C" w:rsidRDefault="00570E88">
            <w:pPr>
              <w:pStyle w:val="TableParagraph"/>
              <w:spacing w:before="43" w:line="194" w:lineRule="exact"/>
              <w:ind w:right="17"/>
              <w:jc w:val="right"/>
              <w:rPr>
                <w:sz w:val="18"/>
              </w:rPr>
            </w:pPr>
            <w:r>
              <w:rPr>
                <w:spacing w:val="-2"/>
                <w:sz w:val="18"/>
              </w:rPr>
              <w:t>(7,274)</w:t>
            </w:r>
          </w:p>
        </w:tc>
      </w:tr>
    </w:tbl>
    <w:p w14:paraId="31FB8219" w14:textId="77777777" w:rsidR="00AC6F3C" w:rsidRDefault="00AC6F3C">
      <w:pPr>
        <w:spacing w:line="194" w:lineRule="exact"/>
        <w:jc w:val="right"/>
        <w:rPr>
          <w:sz w:val="18"/>
        </w:rPr>
        <w:sectPr w:rsidR="00AC6F3C">
          <w:pgSz w:w="11910" w:h="16840"/>
          <w:pgMar w:top="2020" w:right="1160" w:bottom="520" w:left="460" w:header="1228" w:footer="336" w:gutter="0"/>
          <w:cols w:space="720"/>
        </w:sectPr>
      </w:pPr>
    </w:p>
    <w:p w14:paraId="18BAC18A" w14:textId="77777777" w:rsidR="00AC6F3C" w:rsidRDefault="00AC6F3C">
      <w:pPr>
        <w:pStyle w:val="BodyText"/>
      </w:pPr>
    </w:p>
    <w:p w14:paraId="4F9F9769" w14:textId="77777777" w:rsidR="00AC6F3C" w:rsidRDefault="00570E88">
      <w:pPr>
        <w:tabs>
          <w:tab w:val="left" w:pos="1810"/>
        </w:tabs>
        <w:spacing w:before="249"/>
        <w:ind w:left="958"/>
        <w:rPr>
          <w:b/>
          <w:sz w:val="28"/>
        </w:rPr>
      </w:pPr>
      <w:r>
        <w:rPr>
          <w:b/>
          <w:spacing w:val="-5"/>
          <w:sz w:val="28"/>
        </w:rPr>
        <w:t>D3</w:t>
      </w:r>
      <w:r>
        <w:rPr>
          <w:b/>
          <w:sz w:val="28"/>
        </w:rPr>
        <w:tab/>
      </w:r>
      <w:r>
        <w:rPr>
          <w:b/>
          <w:spacing w:val="-2"/>
          <w:sz w:val="28"/>
        </w:rPr>
        <w:t>COMMITMENTS</w:t>
      </w:r>
    </w:p>
    <w:p w14:paraId="38806D8A" w14:textId="77777777" w:rsidR="00AC6F3C" w:rsidRDefault="00570E88">
      <w:pPr>
        <w:pStyle w:val="Heading6"/>
        <w:tabs>
          <w:tab w:val="left" w:pos="1810"/>
        </w:tabs>
      </w:pPr>
      <w:r>
        <w:rPr>
          <w:spacing w:val="-2"/>
        </w:rPr>
        <w:t>D3-</w:t>
      </w:r>
      <w:r>
        <w:rPr>
          <w:spacing w:val="-10"/>
        </w:rPr>
        <w:t>1</w:t>
      </w:r>
      <w:r>
        <w:tab/>
        <w:t>CAPITAL</w:t>
      </w:r>
      <w:r>
        <w:rPr>
          <w:spacing w:val="-5"/>
        </w:rPr>
        <w:t xml:space="preserve"> </w:t>
      </w:r>
      <w:r>
        <w:t>EXPENDITURE</w:t>
      </w:r>
      <w:r>
        <w:rPr>
          <w:spacing w:val="-4"/>
        </w:rPr>
        <w:t xml:space="preserve"> </w:t>
      </w:r>
      <w:r>
        <w:rPr>
          <w:spacing w:val="-2"/>
        </w:rPr>
        <w:t>COMMITMENTS</w:t>
      </w:r>
    </w:p>
    <w:p w14:paraId="31F70B2B" w14:textId="77777777" w:rsidR="00AC6F3C" w:rsidRDefault="00AC6F3C">
      <w:pPr>
        <w:pStyle w:val="BodyText"/>
        <w:spacing w:before="8"/>
        <w:rPr>
          <w:b/>
        </w:rPr>
      </w:pPr>
    </w:p>
    <w:p w14:paraId="6D7447C3" w14:textId="77777777" w:rsidR="00AC6F3C" w:rsidRDefault="00570E88">
      <w:pPr>
        <w:ind w:left="958" w:right="909"/>
        <w:rPr>
          <w:sz w:val="18"/>
        </w:rPr>
      </w:pPr>
      <w:r>
        <w:rPr>
          <w:sz w:val="18"/>
        </w:rPr>
        <w:t>Law</w:t>
      </w:r>
      <w:r>
        <w:rPr>
          <w:spacing w:val="-3"/>
          <w:sz w:val="18"/>
        </w:rPr>
        <w:t xml:space="preserve"> </w:t>
      </w:r>
      <w:r>
        <w:rPr>
          <w:sz w:val="18"/>
        </w:rPr>
        <w:t>Society</w:t>
      </w:r>
      <w:r>
        <w:rPr>
          <w:spacing w:val="-2"/>
          <w:sz w:val="18"/>
        </w:rPr>
        <w:t xml:space="preserve"> </w:t>
      </w:r>
      <w:r>
        <w:rPr>
          <w:sz w:val="18"/>
        </w:rPr>
        <w:t>House</w:t>
      </w:r>
      <w:r>
        <w:rPr>
          <w:spacing w:val="-2"/>
          <w:sz w:val="18"/>
        </w:rPr>
        <w:t xml:space="preserve"> </w:t>
      </w:r>
      <w:r>
        <w:rPr>
          <w:sz w:val="18"/>
        </w:rPr>
        <w:t>is</w:t>
      </w:r>
      <w:r>
        <w:rPr>
          <w:spacing w:val="-2"/>
          <w:sz w:val="18"/>
        </w:rPr>
        <w:t xml:space="preserve"> </w:t>
      </w:r>
      <w:r>
        <w:rPr>
          <w:sz w:val="18"/>
        </w:rPr>
        <w:t>undergoing</w:t>
      </w:r>
      <w:r>
        <w:rPr>
          <w:spacing w:val="-2"/>
          <w:sz w:val="18"/>
        </w:rPr>
        <w:t xml:space="preserve"> </w:t>
      </w:r>
      <w:r>
        <w:rPr>
          <w:sz w:val="18"/>
        </w:rPr>
        <w:t>a</w:t>
      </w:r>
      <w:r>
        <w:rPr>
          <w:spacing w:val="-5"/>
          <w:sz w:val="18"/>
        </w:rPr>
        <w:t xml:space="preserve"> </w:t>
      </w:r>
      <w:r>
        <w:rPr>
          <w:sz w:val="18"/>
        </w:rPr>
        <w:t>refurbishment</w:t>
      </w:r>
      <w:r>
        <w:rPr>
          <w:spacing w:val="-3"/>
          <w:sz w:val="18"/>
        </w:rPr>
        <w:t xml:space="preserve"> </w:t>
      </w:r>
      <w:r>
        <w:rPr>
          <w:sz w:val="18"/>
        </w:rPr>
        <w:t>to</w:t>
      </w:r>
      <w:r>
        <w:rPr>
          <w:spacing w:val="-2"/>
          <w:sz w:val="18"/>
        </w:rPr>
        <w:t xml:space="preserve"> </w:t>
      </w:r>
      <w:r>
        <w:rPr>
          <w:sz w:val="18"/>
        </w:rPr>
        <w:t>the</w:t>
      </w:r>
      <w:r>
        <w:rPr>
          <w:spacing w:val="-5"/>
          <w:sz w:val="18"/>
        </w:rPr>
        <w:t xml:space="preserve"> </w:t>
      </w:r>
      <w:r>
        <w:rPr>
          <w:sz w:val="18"/>
        </w:rPr>
        <w:t>value</w:t>
      </w:r>
      <w:r>
        <w:rPr>
          <w:spacing w:val="-2"/>
          <w:sz w:val="18"/>
        </w:rPr>
        <w:t xml:space="preserve"> </w:t>
      </w:r>
      <w:r>
        <w:rPr>
          <w:sz w:val="18"/>
        </w:rPr>
        <w:t>of</w:t>
      </w:r>
      <w:r>
        <w:rPr>
          <w:spacing w:val="-3"/>
          <w:sz w:val="18"/>
        </w:rPr>
        <w:t xml:space="preserve"> </w:t>
      </w:r>
      <w:r>
        <w:rPr>
          <w:sz w:val="18"/>
        </w:rPr>
        <w:t>$15.9m.</w:t>
      </w:r>
      <w:r>
        <w:rPr>
          <w:spacing w:val="-3"/>
          <w:sz w:val="18"/>
        </w:rPr>
        <w:t xml:space="preserve"> </w:t>
      </w:r>
      <w:r>
        <w:rPr>
          <w:sz w:val="18"/>
        </w:rPr>
        <w:t>The</w:t>
      </w:r>
      <w:r>
        <w:rPr>
          <w:spacing w:val="-2"/>
          <w:sz w:val="18"/>
        </w:rPr>
        <w:t xml:space="preserve"> </w:t>
      </w:r>
      <w:r>
        <w:rPr>
          <w:sz w:val="18"/>
        </w:rPr>
        <w:t>refurbishment</w:t>
      </w:r>
      <w:r>
        <w:rPr>
          <w:spacing w:val="-3"/>
          <w:sz w:val="18"/>
        </w:rPr>
        <w:t xml:space="preserve"> </w:t>
      </w:r>
      <w:r>
        <w:rPr>
          <w:sz w:val="18"/>
        </w:rPr>
        <w:t>commenced in October</w:t>
      </w:r>
      <w:r>
        <w:rPr>
          <w:spacing w:val="-1"/>
          <w:sz w:val="18"/>
        </w:rPr>
        <w:t xml:space="preserve"> </w:t>
      </w:r>
      <w:r>
        <w:rPr>
          <w:sz w:val="18"/>
        </w:rPr>
        <w:t>2022</w:t>
      </w:r>
      <w:r>
        <w:rPr>
          <w:spacing w:val="-3"/>
          <w:sz w:val="18"/>
        </w:rPr>
        <w:t xml:space="preserve"> </w:t>
      </w:r>
      <w:r>
        <w:rPr>
          <w:sz w:val="18"/>
        </w:rPr>
        <w:t>and</w:t>
      </w:r>
      <w:r>
        <w:rPr>
          <w:spacing w:val="-3"/>
          <w:sz w:val="18"/>
        </w:rPr>
        <w:t xml:space="preserve"> </w:t>
      </w:r>
      <w:r>
        <w:rPr>
          <w:sz w:val="18"/>
        </w:rPr>
        <w:t>is</w:t>
      </w:r>
      <w:r>
        <w:rPr>
          <w:spacing w:val="-2"/>
          <w:sz w:val="18"/>
        </w:rPr>
        <w:t xml:space="preserve"> </w:t>
      </w:r>
      <w:r>
        <w:rPr>
          <w:sz w:val="18"/>
        </w:rPr>
        <w:t>expected to</w:t>
      </w:r>
      <w:r>
        <w:rPr>
          <w:spacing w:val="-3"/>
          <w:sz w:val="18"/>
        </w:rPr>
        <w:t xml:space="preserve"> </w:t>
      </w:r>
      <w:r>
        <w:rPr>
          <w:sz w:val="18"/>
        </w:rPr>
        <w:t>be</w:t>
      </w:r>
      <w:r>
        <w:rPr>
          <w:spacing w:val="-3"/>
          <w:sz w:val="18"/>
        </w:rPr>
        <w:t xml:space="preserve"> </w:t>
      </w:r>
      <w:r>
        <w:rPr>
          <w:sz w:val="18"/>
        </w:rPr>
        <w:t>completed by October</w:t>
      </w:r>
      <w:r>
        <w:rPr>
          <w:spacing w:val="-1"/>
          <w:sz w:val="18"/>
        </w:rPr>
        <w:t xml:space="preserve"> </w:t>
      </w:r>
      <w:r>
        <w:rPr>
          <w:sz w:val="18"/>
        </w:rPr>
        <w:t>2023.</w:t>
      </w:r>
      <w:r>
        <w:rPr>
          <w:spacing w:val="-3"/>
          <w:sz w:val="18"/>
        </w:rPr>
        <w:t xml:space="preserve"> </w:t>
      </w:r>
      <w:r>
        <w:rPr>
          <w:sz w:val="18"/>
        </w:rPr>
        <w:t>The</w:t>
      </w:r>
      <w:r>
        <w:rPr>
          <w:spacing w:val="-3"/>
          <w:sz w:val="18"/>
        </w:rPr>
        <w:t xml:space="preserve"> </w:t>
      </w:r>
      <w:r>
        <w:rPr>
          <w:sz w:val="18"/>
        </w:rPr>
        <w:t>amount</w:t>
      </w:r>
      <w:r>
        <w:rPr>
          <w:spacing w:val="-3"/>
          <w:sz w:val="18"/>
        </w:rPr>
        <w:t xml:space="preserve"> </w:t>
      </w:r>
      <w:r>
        <w:rPr>
          <w:sz w:val="18"/>
        </w:rPr>
        <w:t>apportioned to QLS</w:t>
      </w:r>
      <w:r>
        <w:rPr>
          <w:spacing w:val="-4"/>
          <w:sz w:val="18"/>
        </w:rPr>
        <w:t xml:space="preserve"> </w:t>
      </w:r>
      <w:r>
        <w:rPr>
          <w:sz w:val="18"/>
        </w:rPr>
        <w:t>after body corporate and co-owner contributions is $14.7m. The amount incurred to 30 June 2023 of $11.6m has been accounted for as follows: demolition costs expensed to profit and loss of $0.9m, buildings of</w:t>
      </w:r>
    </w:p>
    <w:p w14:paraId="20F1E732" w14:textId="77777777" w:rsidR="00AC6F3C" w:rsidRDefault="00570E88">
      <w:pPr>
        <w:ind w:left="958" w:right="857"/>
        <w:rPr>
          <w:sz w:val="18"/>
        </w:rPr>
      </w:pPr>
      <w:r>
        <w:rPr>
          <w:sz w:val="18"/>
        </w:rPr>
        <w:t>$8.8m,</w:t>
      </w:r>
      <w:r>
        <w:rPr>
          <w:spacing w:val="-2"/>
          <w:sz w:val="18"/>
        </w:rPr>
        <w:t xml:space="preserve"> </w:t>
      </w:r>
      <w:r>
        <w:rPr>
          <w:sz w:val="18"/>
        </w:rPr>
        <w:t>work</w:t>
      </w:r>
      <w:r>
        <w:rPr>
          <w:spacing w:val="-3"/>
          <w:sz w:val="18"/>
        </w:rPr>
        <w:t xml:space="preserve"> </w:t>
      </w:r>
      <w:r>
        <w:rPr>
          <w:sz w:val="18"/>
        </w:rPr>
        <w:t>in</w:t>
      </w:r>
      <w:r>
        <w:rPr>
          <w:spacing w:val="-4"/>
          <w:sz w:val="18"/>
        </w:rPr>
        <w:t xml:space="preserve"> </w:t>
      </w:r>
      <w:r>
        <w:rPr>
          <w:sz w:val="18"/>
        </w:rPr>
        <w:t>progress</w:t>
      </w:r>
      <w:r>
        <w:rPr>
          <w:spacing w:val="-1"/>
          <w:sz w:val="18"/>
        </w:rPr>
        <w:t xml:space="preserve"> </w:t>
      </w:r>
      <w:r>
        <w:rPr>
          <w:sz w:val="18"/>
        </w:rPr>
        <w:t>of</w:t>
      </w:r>
      <w:r>
        <w:rPr>
          <w:spacing w:val="-4"/>
          <w:sz w:val="18"/>
        </w:rPr>
        <w:t xml:space="preserve"> </w:t>
      </w:r>
      <w:r>
        <w:rPr>
          <w:sz w:val="18"/>
        </w:rPr>
        <w:t>$1.8m</w:t>
      </w:r>
      <w:r>
        <w:rPr>
          <w:spacing w:val="-1"/>
          <w:sz w:val="18"/>
        </w:rPr>
        <w:t xml:space="preserve"> </w:t>
      </w:r>
      <w:r>
        <w:rPr>
          <w:sz w:val="18"/>
        </w:rPr>
        <w:t>and</w:t>
      </w:r>
      <w:r>
        <w:rPr>
          <w:spacing w:val="-1"/>
          <w:sz w:val="18"/>
        </w:rPr>
        <w:t xml:space="preserve"> </w:t>
      </w:r>
      <w:r>
        <w:rPr>
          <w:sz w:val="18"/>
        </w:rPr>
        <w:t>a</w:t>
      </w:r>
      <w:r>
        <w:rPr>
          <w:spacing w:val="-1"/>
          <w:sz w:val="18"/>
        </w:rPr>
        <w:t xml:space="preserve"> </w:t>
      </w:r>
      <w:r>
        <w:rPr>
          <w:sz w:val="18"/>
        </w:rPr>
        <w:t>receivable</w:t>
      </w:r>
      <w:r>
        <w:rPr>
          <w:spacing w:val="-1"/>
          <w:sz w:val="18"/>
        </w:rPr>
        <w:t xml:space="preserve"> </w:t>
      </w:r>
      <w:r>
        <w:rPr>
          <w:sz w:val="18"/>
        </w:rPr>
        <w:t>from</w:t>
      </w:r>
      <w:r>
        <w:rPr>
          <w:spacing w:val="-1"/>
          <w:sz w:val="18"/>
        </w:rPr>
        <w:t xml:space="preserve"> </w:t>
      </w:r>
      <w:r>
        <w:rPr>
          <w:sz w:val="18"/>
        </w:rPr>
        <w:t>the</w:t>
      </w:r>
      <w:r>
        <w:rPr>
          <w:spacing w:val="-4"/>
          <w:sz w:val="18"/>
        </w:rPr>
        <w:t xml:space="preserve"> </w:t>
      </w:r>
      <w:r>
        <w:rPr>
          <w:sz w:val="18"/>
        </w:rPr>
        <w:t>body</w:t>
      </w:r>
      <w:r>
        <w:rPr>
          <w:spacing w:val="-3"/>
          <w:sz w:val="18"/>
        </w:rPr>
        <w:t xml:space="preserve"> </w:t>
      </w:r>
      <w:r>
        <w:rPr>
          <w:sz w:val="18"/>
        </w:rPr>
        <w:t>corporate</w:t>
      </w:r>
      <w:r>
        <w:rPr>
          <w:spacing w:val="-1"/>
          <w:sz w:val="18"/>
        </w:rPr>
        <w:t xml:space="preserve"> </w:t>
      </w:r>
      <w:r>
        <w:rPr>
          <w:sz w:val="18"/>
        </w:rPr>
        <w:t>of</w:t>
      </w:r>
      <w:r>
        <w:rPr>
          <w:spacing w:val="-4"/>
          <w:sz w:val="18"/>
        </w:rPr>
        <w:t xml:space="preserve"> </w:t>
      </w:r>
      <w:r>
        <w:rPr>
          <w:sz w:val="18"/>
        </w:rPr>
        <w:t>$0.1m.</w:t>
      </w:r>
      <w:r>
        <w:rPr>
          <w:spacing w:val="-2"/>
          <w:sz w:val="18"/>
        </w:rPr>
        <w:t xml:space="preserve"> </w:t>
      </w:r>
      <w:r>
        <w:rPr>
          <w:sz w:val="18"/>
        </w:rPr>
        <w:t>Accordingly,</w:t>
      </w:r>
      <w:r>
        <w:rPr>
          <w:spacing w:val="-4"/>
          <w:sz w:val="18"/>
        </w:rPr>
        <w:t xml:space="preserve"> </w:t>
      </w:r>
      <w:r>
        <w:rPr>
          <w:sz w:val="18"/>
        </w:rPr>
        <w:t>there</w:t>
      </w:r>
      <w:r>
        <w:rPr>
          <w:spacing w:val="-4"/>
          <w:sz w:val="18"/>
        </w:rPr>
        <w:t xml:space="preserve"> </w:t>
      </w:r>
      <w:r>
        <w:rPr>
          <w:sz w:val="18"/>
        </w:rPr>
        <w:t>is a remaining capital commitment of $3.1m at 30 June 2023. There were no capital expenditure commitments for 30 June 2022.</w:t>
      </w:r>
    </w:p>
    <w:p w14:paraId="7B3F3D9B" w14:textId="77777777" w:rsidR="00AC6F3C" w:rsidRDefault="00AC6F3C">
      <w:pPr>
        <w:pStyle w:val="BodyText"/>
        <w:spacing w:before="10"/>
      </w:pPr>
    </w:p>
    <w:p w14:paraId="442B5859" w14:textId="77777777" w:rsidR="00AC6F3C" w:rsidRDefault="00570E88">
      <w:pPr>
        <w:tabs>
          <w:tab w:val="left" w:pos="1666"/>
        </w:tabs>
        <w:ind w:left="1666" w:right="2213" w:hanging="709"/>
        <w:rPr>
          <w:b/>
          <w:sz w:val="28"/>
        </w:rPr>
      </w:pPr>
      <w:r>
        <w:rPr>
          <w:b/>
          <w:spacing w:val="-6"/>
          <w:sz w:val="28"/>
        </w:rPr>
        <w:t>D4</w:t>
      </w:r>
      <w:r>
        <w:rPr>
          <w:b/>
          <w:sz w:val="28"/>
        </w:rPr>
        <w:tab/>
        <w:t>CONTINGENT</w:t>
      </w:r>
      <w:r>
        <w:rPr>
          <w:b/>
          <w:spacing w:val="-9"/>
          <w:sz w:val="28"/>
        </w:rPr>
        <w:t xml:space="preserve"> </w:t>
      </w:r>
      <w:r>
        <w:rPr>
          <w:b/>
          <w:sz w:val="28"/>
        </w:rPr>
        <w:t>LIABILITIES</w:t>
      </w:r>
      <w:r>
        <w:rPr>
          <w:b/>
          <w:spacing w:val="-19"/>
          <w:sz w:val="28"/>
        </w:rPr>
        <w:t xml:space="preserve"> </w:t>
      </w:r>
      <w:r>
        <w:rPr>
          <w:b/>
          <w:sz w:val="28"/>
        </w:rPr>
        <w:t>AND</w:t>
      </w:r>
      <w:r>
        <w:rPr>
          <w:b/>
          <w:spacing w:val="-10"/>
          <w:sz w:val="28"/>
        </w:rPr>
        <w:t xml:space="preserve"> </w:t>
      </w:r>
      <w:r>
        <w:rPr>
          <w:b/>
          <w:sz w:val="28"/>
        </w:rPr>
        <w:t>EVENTS</w:t>
      </w:r>
      <w:r>
        <w:rPr>
          <w:b/>
          <w:spacing w:val="-19"/>
          <w:sz w:val="28"/>
        </w:rPr>
        <w:t xml:space="preserve"> </w:t>
      </w:r>
      <w:r>
        <w:rPr>
          <w:b/>
          <w:sz w:val="28"/>
        </w:rPr>
        <w:t>AFTER BALANCE DATE</w:t>
      </w:r>
    </w:p>
    <w:p w14:paraId="4DE91DAE" w14:textId="77777777" w:rsidR="00AC6F3C" w:rsidRDefault="00570E88">
      <w:pPr>
        <w:spacing w:before="240"/>
        <w:ind w:left="958" w:right="886"/>
        <w:rPr>
          <w:sz w:val="18"/>
        </w:rPr>
      </w:pPr>
      <w:r>
        <w:rPr>
          <w:sz w:val="18"/>
        </w:rPr>
        <w:t>Lexon has a bank guarantee for $108,031 (2021-22:</w:t>
      </w:r>
      <w:r>
        <w:rPr>
          <w:spacing w:val="40"/>
          <w:sz w:val="18"/>
        </w:rPr>
        <w:t xml:space="preserve"> </w:t>
      </w:r>
      <w:r>
        <w:rPr>
          <w:sz w:val="18"/>
        </w:rPr>
        <w:t xml:space="preserve">$108,031) in </w:t>
      </w:r>
      <w:proofErr w:type="spellStart"/>
      <w:r>
        <w:rPr>
          <w:sz w:val="18"/>
        </w:rPr>
        <w:t>favour</w:t>
      </w:r>
      <w:proofErr w:type="spellEnd"/>
      <w:r>
        <w:rPr>
          <w:sz w:val="18"/>
        </w:rPr>
        <w:t xml:space="preserve"> of the lessor of 307 Queen Street,</w:t>
      </w:r>
      <w:r>
        <w:rPr>
          <w:spacing w:val="-2"/>
          <w:sz w:val="18"/>
        </w:rPr>
        <w:t xml:space="preserve"> </w:t>
      </w:r>
      <w:r>
        <w:rPr>
          <w:sz w:val="18"/>
        </w:rPr>
        <w:t>Brisbane</w:t>
      </w:r>
      <w:r>
        <w:rPr>
          <w:spacing w:val="40"/>
          <w:sz w:val="18"/>
        </w:rPr>
        <w:t xml:space="preserve"> </w:t>
      </w:r>
      <w:r>
        <w:rPr>
          <w:sz w:val="18"/>
        </w:rPr>
        <w:t>QLD</w:t>
      </w:r>
      <w:r>
        <w:rPr>
          <w:spacing w:val="-4"/>
          <w:sz w:val="18"/>
        </w:rPr>
        <w:t xml:space="preserve"> </w:t>
      </w:r>
      <w:r>
        <w:rPr>
          <w:sz w:val="18"/>
        </w:rPr>
        <w:t>4000</w:t>
      </w:r>
      <w:r>
        <w:rPr>
          <w:spacing w:val="-1"/>
          <w:sz w:val="18"/>
        </w:rPr>
        <w:t xml:space="preserve"> </w:t>
      </w:r>
      <w:r>
        <w:rPr>
          <w:sz w:val="18"/>
        </w:rPr>
        <w:t>which</w:t>
      </w:r>
      <w:r>
        <w:rPr>
          <w:spacing w:val="-3"/>
          <w:sz w:val="18"/>
        </w:rPr>
        <w:t xml:space="preserve"> </w:t>
      </w:r>
      <w:r>
        <w:rPr>
          <w:sz w:val="18"/>
        </w:rPr>
        <w:t>can</w:t>
      </w:r>
      <w:r>
        <w:rPr>
          <w:spacing w:val="-1"/>
          <w:sz w:val="18"/>
        </w:rPr>
        <w:t xml:space="preserve"> </w:t>
      </w:r>
      <w:r>
        <w:rPr>
          <w:sz w:val="18"/>
        </w:rPr>
        <w:t>be</w:t>
      </w:r>
      <w:r>
        <w:rPr>
          <w:spacing w:val="-3"/>
          <w:sz w:val="18"/>
        </w:rPr>
        <w:t xml:space="preserve"> </w:t>
      </w:r>
      <w:r>
        <w:rPr>
          <w:sz w:val="18"/>
        </w:rPr>
        <w:t>drawn</w:t>
      </w:r>
      <w:r>
        <w:rPr>
          <w:spacing w:val="-3"/>
          <w:sz w:val="18"/>
        </w:rPr>
        <w:t xml:space="preserve"> </w:t>
      </w:r>
      <w:r>
        <w:rPr>
          <w:sz w:val="18"/>
        </w:rPr>
        <w:t>upon</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event</w:t>
      </w:r>
      <w:r>
        <w:rPr>
          <w:spacing w:val="-2"/>
          <w:sz w:val="18"/>
        </w:rPr>
        <w:t xml:space="preserve"> </w:t>
      </w:r>
      <w:r>
        <w:rPr>
          <w:sz w:val="18"/>
        </w:rPr>
        <w:t>of</w:t>
      </w:r>
      <w:r>
        <w:rPr>
          <w:spacing w:val="-3"/>
          <w:sz w:val="18"/>
        </w:rPr>
        <w:t xml:space="preserve"> </w:t>
      </w:r>
      <w:r>
        <w:rPr>
          <w:sz w:val="18"/>
        </w:rPr>
        <w:t>a</w:t>
      </w:r>
      <w:r>
        <w:rPr>
          <w:spacing w:val="-1"/>
          <w:sz w:val="18"/>
        </w:rPr>
        <w:t xml:space="preserve"> </w:t>
      </w:r>
      <w:r>
        <w:rPr>
          <w:sz w:val="18"/>
        </w:rPr>
        <w:t>default</w:t>
      </w:r>
      <w:r>
        <w:rPr>
          <w:spacing w:val="-2"/>
          <w:sz w:val="18"/>
        </w:rPr>
        <w:t xml:space="preserve"> </w:t>
      </w:r>
      <w:r>
        <w:rPr>
          <w:sz w:val="18"/>
        </w:rPr>
        <w:t>in</w:t>
      </w:r>
      <w:r>
        <w:rPr>
          <w:spacing w:val="-3"/>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 rental agreement.</w:t>
      </w:r>
    </w:p>
    <w:p w14:paraId="032483C4" w14:textId="77777777" w:rsidR="00AC6F3C" w:rsidRDefault="00AC6F3C">
      <w:pPr>
        <w:pStyle w:val="BodyText"/>
        <w:spacing w:before="10"/>
      </w:pPr>
    </w:p>
    <w:p w14:paraId="2ADFAABB" w14:textId="77777777" w:rsidR="00AC6F3C" w:rsidRDefault="00570E88">
      <w:pPr>
        <w:tabs>
          <w:tab w:val="left" w:pos="1810"/>
        </w:tabs>
        <w:ind w:left="1810" w:right="1238" w:hanging="853"/>
        <w:rPr>
          <w:b/>
          <w:sz w:val="28"/>
        </w:rPr>
      </w:pPr>
      <w:r>
        <w:rPr>
          <w:b/>
          <w:spacing w:val="-6"/>
          <w:sz w:val="28"/>
        </w:rPr>
        <w:t>D5</w:t>
      </w:r>
      <w:r>
        <w:rPr>
          <w:b/>
          <w:sz w:val="28"/>
        </w:rPr>
        <w:tab/>
        <w:t>FUTURE</w:t>
      </w:r>
      <w:r>
        <w:rPr>
          <w:b/>
          <w:spacing w:val="-7"/>
          <w:sz w:val="28"/>
        </w:rPr>
        <w:t xml:space="preserve"> </w:t>
      </w:r>
      <w:r>
        <w:rPr>
          <w:b/>
          <w:sz w:val="28"/>
        </w:rPr>
        <w:t>IMPACT</w:t>
      </w:r>
      <w:r>
        <w:rPr>
          <w:b/>
          <w:spacing w:val="-8"/>
          <w:sz w:val="28"/>
        </w:rPr>
        <w:t xml:space="preserve"> </w:t>
      </w:r>
      <w:r>
        <w:rPr>
          <w:b/>
          <w:sz w:val="28"/>
        </w:rPr>
        <w:t>OF</w:t>
      </w:r>
      <w:r>
        <w:rPr>
          <w:b/>
          <w:spacing w:val="-5"/>
          <w:sz w:val="28"/>
        </w:rPr>
        <w:t xml:space="preserve"> </w:t>
      </w:r>
      <w:r>
        <w:rPr>
          <w:b/>
          <w:sz w:val="28"/>
        </w:rPr>
        <w:t>ACCOUNTING</w:t>
      </w:r>
      <w:r>
        <w:rPr>
          <w:b/>
          <w:spacing w:val="-6"/>
          <w:sz w:val="28"/>
        </w:rPr>
        <w:t xml:space="preserve"> </w:t>
      </w:r>
      <w:r>
        <w:rPr>
          <w:b/>
          <w:sz w:val="28"/>
        </w:rPr>
        <w:t>STANDARDS</w:t>
      </w:r>
      <w:r>
        <w:rPr>
          <w:b/>
          <w:spacing w:val="-7"/>
          <w:sz w:val="28"/>
        </w:rPr>
        <w:t xml:space="preserve"> </w:t>
      </w:r>
      <w:r>
        <w:rPr>
          <w:b/>
          <w:sz w:val="28"/>
        </w:rPr>
        <w:t>NOT YET EFFECTIVE</w:t>
      </w:r>
    </w:p>
    <w:p w14:paraId="61A58813" w14:textId="77777777" w:rsidR="00AC6F3C" w:rsidRDefault="00570E88">
      <w:pPr>
        <w:spacing w:before="239"/>
        <w:ind w:left="958"/>
        <w:rPr>
          <w:b/>
          <w:i/>
          <w:sz w:val="18"/>
        </w:rPr>
      </w:pPr>
      <w:r>
        <w:rPr>
          <w:b/>
          <w:sz w:val="18"/>
        </w:rPr>
        <w:t>AASB</w:t>
      </w:r>
      <w:r>
        <w:rPr>
          <w:b/>
          <w:spacing w:val="-2"/>
          <w:sz w:val="18"/>
        </w:rPr>
        <w:t xml:space="preserve"> </w:t>
      </w:r>
      <w:r>
        <w:rPr>
          <w:b/>
          <w:sz w:val="18"/>
        </w:rPr>
        <w:t>17</w:t>
      </w:r>
      <w:r>
        <w:rPr>
          <w:b/>
          <w:spacing w:val="-1"/>
          <w:sz w:val="18"/>
        </w:rPr>
        <w:t xml:space="preserve"> </w:t>
      </w:r>
      <w:r>
        <w:rPr>
          <w:b/>
          <w:i/>
          <w:sz w:val="18"/>
        </w:rPr>
        <w:t>Insurance</w:t>
      </w:r>
      <w:r>
        <w:rPr>
          <w:b/>
          <w:i/>
          <w:spacing w:val="-1"/>
          <w:sz w:val="18"/>
        </w:rPr>
        <w:t xml:space="preserve"> </w:t>
      </w:r>
      <w:r>
        <w:rPr>
          <w:b/>
          <w:i/>
          <w:spacing w:val="-2"/>
          <w:sz w:val="18"/>
        </w:rPr>
        <w:t>Contracts</w:t>
      </w:r>
    </w:p>
    <w:p w14:paraId="26621DF7" w14:textId="77777777" w:rsidR="00AC6F3C" w:rsidRDefault="00AC6F3C">
      <w:pPr>
        <w:pStyle w:val="BodyText"/>
        <w:spacing w:before="10"/>
        <w:rPr>
          <w:b/>
          <w:i/>
        </w:rPr>
      </w:pPr>
    </w:p>
    <w:p w14:paraId="1D245723" w14:textId="77777777" w:rsidR="00AC6F3C" w:rsidRDefault="00570E88">
      <w:pPr>
        <w:ind w:left="958" w:right="837"/>
        <w:rPr>
          <w:sz w:val="18"/>
        </w:rPr>
      </w:pPr>
      <w:r>
        <w:rPr>
          <w:sz w:val="18"/>
        </w:rPr>
        <w:t>AASB 17 will come into effect for financial periods beginning on or after 1 January 2023. In Australia,</w:t>
      </w:r>
      <w:r>
        <w:rPr>
          <w:spacing w:val="40"/>
          <w:sz w:val="18"/>
        </w:rPr>
        <w:t xml:space="preserve"> </w:t>
      </w:r>
      <w:r>
        <w:rPr>
          <w:sz w:val="18"/>
        </w:rPr>
        <w:t>public</w:t>
      </w:r>
      <w:r>
        <w:rPr>
          <w:spacing w:val="-3"/>
          <w:sz w:val="18"/>
        </w:rPr>
        <w:t xml:space="preserve"> </w:t>
      </w:r>
      <w:r>
        <w:rPr>
          <w:sz w:val="18"/>
        </w:rPr>
        <w:t>sector</w:t>
      </w:r>
      <w:r>
        <w:rPr>
          <w:spacing w:val="-2"/>
          <w:sz w:val="18"/>
        </w:rPr>
        <w:t xml:space="preserve"> </w:t>
      </w:r>
      <w:r>
        <w:rPr>
          <w:sz w:val="18"/>
        </w:rPr>
        <w:t>entities</w:t>
      </w:r>
      <w:r>
        <w:rPr>
          <w:spacing w:val="-3"/>
          <w:sz w:val="18"/>
        </w:rPr>
        <w:t xml:space="preserve"> </w:t>
      </w:r>
      <w:r>
        <w:rPr>
          <w:sz w:val="18"/>
        </w:rPr>
        <w:t>have</w:t>
      </w:r>
      <w:r>
        <w:rPr>
          <w:spacing w:val="-1"/>
          <w:sz w:val="18"/>
        </w:rPr>
        <w:t xml:space="preserve"> </w:t>
      </w:r>
      <w:r>
        <w:rPr>
          <w:sz w:val="18"/>
        </w:rPr>
        <w:t>an</w:t>
      </w:r>
      <w:r>
        <w:rPr>
          <w:spacing w:val="-4"/>
          <w:sz w:val="18"/>
        </w:rPr>
        <w:t xml:space="preserve"> </w:t>
      </w:r>
      <w:r>
        <w:rPr>
          <w:sz w:val="18"/>
        </w:rPr>
        <w:t>exemption</w:t>
      </w:r>
      <w:r>
        <w:rPr>
          <w:spacing w:val="-1"/>
          <w:sz w:val="18"/>
        </w:rPr>
        <w:t xml:space="preserve"> </w:t>
      </w:r>
      <w:r>
        <w:rPr>
          <w:sz w:val="18"/>
        </w:rPr>
        <w:t>to</w:t>
      </w:r>
      <w:r>
        <w:rPr>
          <w:spacing w:val="-1"/>
          <w:sz w:val="18"/>
        </w:rPr>
        <w:t xml:space="preserve"> </w:t>
      </w:r>
      <w:r>
        <w:rPr>
          <w:sz w:val="18"/>
        </w:rPr>
        <w:t>adopting</w:t>
      </w:r>
      <w:r>
        <w:rPr>
          <w:spacing w:val="-1"/>
          <w:sz w:val="18"/>
        </w:rPr>
        <w:t xml:space="preserve"> </w:t>
      </w:r>
      <w:r>
        <w:rPr>
          <w:sz w:val="18"/>
        </w:rPr>
        <w:t>AASB</w:t>
      </w:r>
      <w:r>
        <w:rPr>
          <w:spacing w:val="-2"/>
          <w:sz w:val="18"/>
        </w:rPr>
        <w:t xml:space="preserve"> </w:t>
      </w:r>
      <w:r>
        <w:rPr>
          <w:sz w:val="18"/>
        </w:rPr>
        <w:t>17</w:t>
      </w:r>
      <w:r>
        <w:rPr>
          <w:spacing w:val="-1"/>
          <w:sz w:val="18"/>
        </w:rPr>
        <w:t xml:space="preserve"> </w:t>
      </w:r>
      <w:r>
        <w:rPr>
          <w:sz w:val="18"/>
        </w:rPr>
        <w:t>until</w:t>
      </w:r>
      <w:r>
        <w:rPr>
          <w:spacing w:val="-1"/>
          <w:sz w:val="18"/>
        </w:rPr>
        <w:t xml:space="preserve"> </w:t>
      </w:r>
      <w:r>
        <w:rPr>
          <w:sz w:val="18"/>
        </w:rPr>
        <w:t>1</w:t>
      </w:r>
      <w:r>
        <w:rPr>
          <w:spacing w:val="-4"/>
          <w:sz w:val="18"/>
        </w:rPr>
        <w:t xml:space="preserve"> </w:t>
      </w:r>
      <w:r>
        <w:rPr>
          <w:sz w:val="18"/>
        </w:rPr>
        <w:t>July</w:t>
      </w:r>
      <w:r>
        <w:rPr>
          <w:spacing w:val="-3"/>
          <w:sz w:val="18"/>
        </w:rPr>
        <w:t xml:space="preserve"> </w:t>
      </w:r>
      <w:r>
        <w:rPr>
          <w:sz w:val="18"/>
        </w:rPr>
        <w:t>2025.</w:t>
      </w:r>
      <w:r>
        <w:rPr>
          <w:spacing w:val="-2"/>
          <w:sz w:val="18"/>
        </w:rPr>
        <w:t xml:space="preserve"> </w:t>
      </w:r>
      <w:r>
        <w:rPr>
          <w:sz w:val="18"/>
        </w:rPr>
        <w:t>QLS</w:t>
      </w:r>
      <w:r>
        <w:rPr>
          <w:spacing w:val="-2"/>
          <w:sz w:val="18"/>
        </w:rPr>
        <w:t xml:space="preserve"> </w:t>
      </w:r>
      <w:r>
        <w:rPr>
          <w:sz w:val="18"/>
        </w:rPr>
        <w:t>will</w:t>
      </w:r>
      <w:r>
        <w:rPr>
          <w:spacing w:val="-1"/>
          <w:sz w:val="18"/>
        </w:rPr>
        <w:t xml:space="preserve"> </w:t>
      </w:r>
      <w:r>
        <w:rPr>
          <w:sz w:val="18"/>
        </w:rPr>
        <w:t>early</w:t>
      </w:r>
      <w:r>
        <w:rPr>
          <w:spacing w:val="-3"/>
          <w:sz w:val="18"/>
        </w:rPr>
        <w:t xml:space="preserve"> </w:t>
      </w:r>
      <w:r>
        <w:rPr>
          <w:sz w:val="18"/>
        </w:rPr>
        <w:t>adopt</w:t>
      </w:r>
      <w:r>
        <w:rPr>
          <w:spacing w:val="-2"/>
          <w:sz w:val="18"/>
        </w:rPr>
        <w:t xml:space="preserve"> </w:t>
      </w:r>
      <w:r>
        <w:rPr>
          <w:sz w:val="18"/>
        </w:rPr>
        <w:t>AASB 17 from 1 July 2023, on the basis its wholly owned subsidiary is required to adopt AASB 17 from 1 July 2023. Queensland Treasury has approved that the Society can early adopt AASB 17 starting from 1 July 2023, per section 2C.1 of the Financial Reporting Requirements for Queensland Government Agencies.</w:t>
      </w:r>
    </w:p>
    <w:p w14:paraId="162F9B5B" w14:textId="77777777" w:rsidR="00AC6F3C" w:rsidRDefault="00AC6F3C">
      <w:pPr>
        <w:pStyle w:val="BodyText"/>
        <w:spacing w:before="9"/>
      </w:pPr>
    </w:p>
    <w:p w14:paraId="3B67AA08" w14:textId="77777777" w:rsidR="00AC6F3C" w:rsidRDefault="00570E88">
      <w:pPr>
        <w:ind w:left="958" w:right="1379"/>
        <w:rPr>
          <w:sz w:val="18"/>
        </w:rPr>
      </w:pPr>
      <w:r>
        <w:rPr>
          <w:sz w:val="18"/>
        </w:rPr>
        <w:t>It is a comprehensive new accounting standard for insurance contracts covering recognition and measurement,</w:t>
      </w:r>
      <w:r>
        <w:rPr>
          <w:spacing w:val="-3"/>
          <w:sz w:val="18"/>
        </w:rPr>
        <w:t xml:space="preserve"> </w:t>
      </w:r>
      <w:r>
        <w:rPr>
          <w:sz w:val="18"/>
        </w:rPr>
        <w:t>presentation</w:t>
      </w:r>
      <w:r>
        <w:rPr>
          <w:spacing w:val="-2"/>
          <w:sz w:val="18"/>
        </w:rPr>
        <w:t xml:space="preserve"> </w:t>
      </w:r>
      <w:r>
        <w:rPr>
          <w:sz w:val="18"/>
        </w:rPr>
        <w:t>and</w:t>
      </w:r>
      <w:r>
        <w:rPr>
          <w:spacing w:val="-2"/>
          <w:sz w:val="18"/>
        </w:rPr>
        <w:t xml:space="preserve"> </w:t>
      </w:r>
      <w:r>
        <w:rPr>
          <w:sz w:val="18"/>
        </w:rPr>
        <w:t>disclosure.</w:t>
      </w:r>
      <w:r>
        <w:rPr>
          <w:spacing w:val="-3"/>
          <w:sz w:val="18"/>
        </w:rPr>
        <w:t xml:space="preserve"> </w:t>
      </w:r>
      <w:r>
        <w:rPr>
          <w:sz w:val="18"/>
        </w:rPr>
        <w:t>AASB</w:t>
      </w:r>
      <w:r>
        <w:rPr>
          <w:spacing w:val="-3"/>
          <w:sz w:val="18"/>
        </w:rPr>
        <w:t xml:space="preserve"> </w:t>
      </w:r>
      <w:r>
        <w:rPr>
          <w:sz w:val="18"/>
        </w:rPr>
        <w:t>17</w:t>
      </w:r>
      <w:r>
        <w:rPr>
          <w:spacing w:val="-2"/>
          <w:sz w:val="18"/>
        </w:rPr>
        <w:t xml:space="preserve"> </w:t>
      </w:r>
      <w:r>
        <w:rPr>
          <w:sz w:val="18"/>
        </w:rPr>
        <w:t>requires</w:t>
      </w:r>
      <w:r>
        <w:rPr>
          <w:spacing w:val="-2"/>
          <w:sz w:val="18"/>
        </w:rPr>
        <w:t xml:space="preserve"> </w:t>
      </w:r>
      <w:r>
        <w:rPr>
          <w:sz w:val="18"/>
        </w:rPr>
        <w:t>a</w:t>
      </w:r>
      <w:r>
        <w:rPr>
          <w:spacing w:val="-2"/>
          <w:sz w:val="18"/>
        </w:rPr>
        <w:t xml:space="preserve"> </w:t>
      </w:r>
      <w:r>
        <w:rPr>
          <w:sz w:val="18"/>
        </w:rPr>
        <w:t>general</w:t>
      </w:r>
      <w:r>
        <w:rPr>
          <w:spacing w:val="-5"/>
          <w:sz w:val="18"/>
        </w:rPr>
        <w:t xml:space="preserve"> </w:t>
      </w:r>
      <w:r>
        <w:rPr>
          <w:sz w:val="18"/>
        </w:rPr>
        <w:t>model</w:t>
      </w:r>
      <w:r>
        <w:rPr>
          <w:spacing w:val="-2"/>
          <w:sz w:val="18"/>
        </w:rPr>
        <w:t xml:space="preserve"> </w:t>
      </w:r>
      <w:r>
        <w:rPr>
          <w:sz w:val="18"/>
        </w:rPr>
        <w:t>where</w:t>
      </w:r>
      <w:r>
        <w:rPr>
          <w:spacing w:val="-2"/>
          <w:sz w:val="18"/>
        </w:rPr>
        <w:t xml:space="preserve"> </w:t>
      </w:r>
      <w:r>
        <w:rPr>
          <w:sz w:val="18"/>
        </w:rPr>
        <w:t>estimates</w:t>
      </w:r>
      <w:r>
        <w:rPr>
          <w:spacing w:val="-4"/>
          <w:sz w:val="18"/>
        </w:rPr>
        <w:t xml:space="preserve"> </w:t>
      </w:r>
      <w:r>
        <w:rPr>
          <w:sz w:val="18"/>
        </w:rPr>
        <w:t>are re-measured in each reporting period. Contracts are measured using the building blocks of:</w:t>
      </w:r>
    </w:p>
    <w:p w14:paraId="12F2C2AF" w14:textId="77777777" w:rsidR="00AC6F3C" w:rsidRDefault="00AC6F3C">
      <w:pPr>
        <w:pStyle w:val="BodyText"/>
        <w:spacing w:before="11"/>
      </w:pPr>
    </w:p>
    <w:p w14:paraId="06237BE2" w14:textId="77777777" w:rsidR="00AC6F3C" w:rsidRDefault="00570E88">
      <w:pPr>
        <w:pStyle w:val="ListParagraph"/>
        <w:numPr>
          <w:ilvl w:val="0"/>
          <w:numId w:val="23"/>
        </w:numPr>
        <w:tabs>
          <w:tab w:val="left" w:pos="1335"/>
        </w:tabs>
        <w:spacing w:before="0"/>
        <w:rPr>
          <w:sz w:val="18"/>
        </w:rPr>
      </w:pPr>
      <w:r>
        <w:rPr>
          <w:sz w:val="18"/>
        </w:rPr>
        <w:t>discounted</w:t>
      </w:r>
      <w:r>
        <w:rPr>
          <w:spacing w:val="-7"/>
          <w:sz w:val="18"/>
        </w:rPr>
        <w:t xml:space="preserve"> </w:t>
      </w:r>
      <w:r>
        <w:rPr>
          <w:sz w:val="18"/>
        </w:rPr>
        <w:t>probability-weighted</w:t>
      </w:r>
      <w:r>
        <w:rPr>
          <w:spacing w:val="-4"/>
          <w:sz w:val="18"/>
        </w:rPr>
        <w:t xml:space="preserve"> </w:t>
      </w:r>
      <w:r>
        <w:rPr>
          <w:sz w:val="18"/>
        </w:rPr>
        <w:t>cash</w:t>
      </w:r>
      <w:r>
        <w:rPr>
          <w:spacing w:val="-3"/>
          <w:sz w:val="18"/>
        </w:rPr>
        <w:t xml:space="preserve"> </w:t>
      </w:r>
      <w:r>
        <w:rPr>
          <w:spacing w:val="-2"/>
          <w:sz w:val="18"/>
        </w:rPr>
        <w:t>flows;</w:t>
      </w:r>
    </w:p>
    <w:p w14:paraId="1A544B72" w14:textId="77777777" w:rsidR="00AC6F3C" w:rsidRDefault="00570E88">
      <w:pPr>
        <w:pStyle w:val="ListParagraph"/>
        <w:numPr>
          <w:ilvl w:val="0"/>
          <w:numId w:val="23"/>
        </w:numPr>
        <w:tabs>
          <w:tab w:val="left" w:pos="1335"/>
        </w:tabs>
        <w:spacing w:before="118"/>
        <w:rPr>
          <w:sz w:val="18"/>
        </w:rPr>
      </w:pPr>
      <w:r>
        <w:rPr>
          <w:sz w:val="18"/>
        </w:rPr>
        <w:t>an</w:t>
      </w:r>
      <w:r>
        <w:rPr>
          <w:spacing w:val="-4"/>
          <w:sz w:val="18"/>
        </w:rPr>
        <w:t xml:space="preserve"> </w:t>
      </w:r>
      <w:r>
        <w:rPr>
          <w:sz w:val="18"/>
        </w:rPr>
        <w:t>explicit</w:t>
      </w:r>
      <w:r>
        <w:rPr>
          <w:spacing w:val="-4"/>
          <w:sz w:val="18"/>
        </w:rPr>
        <w:t xml:space="preserve"> </w:t>
      </w:r>
      <w:r>
        <w:rPr>
          <w:sz w:val="18"/>
        </w:rPr>
        <w:t>risk</w:t>
      </w:r>
      <w:r>
        <w:rPr>
          <w:spacing w:val="-2"/>
          <w:sz w:val="18"/>
        </w:rPr>
        <w:t xml:space="preserve"> </w:t>
      </w:r>
      <w:r>
        <w:rPr>
          <w:sz w:val="18"/>
        </w:rPr>
        <w:t>adjustments;</w:t>
      </w:r>
      <w:r>
        <w:rPr>
          <w:spacing w:val="-2"/>
          <w:sz w:val="18"/>
        </w:rPr>
        <w:t xml:space="preserve"> </w:t>
      </w:r>
      <w:r>
        <w:rPr>
          <w:spacing w:val="-5"/>
          <w:sz w:val="18"/>
        </w:rPr>
        <w:t>and</w:t>
      </w:r>
    </w:p>
    <w:p w14:paraId="2EDF0CB0" w14:textId="77777777" w:rsidR="00AC6F3C" w:rsidRDefault="00570E88">
      <w:pPr>
        <w:pStyle w:val="ListParagraph"/>
        <w:numPr>
          <w:ilvl w:val="0"/>
          <w:numId w:val="23"/>
        </w:numPr>
        <w:tabs>
          <w:tab w:val="left" w:pos="1335"/>
        </w:tabs>
        <w:spacing w:before="120"/>
        <w:ind w:right="1273"/>
        <w:rPr>
          <w:sz w:val="18"/>
        </w:rPr>
      </w:pPr>
      <w:r>
        <w:rPr>
          <w:sz w:val="18"/>
        </w:rPr>
        <w:t>a</w:t>
      </w:r>
      <w:r>
        <w:rPr>
          <w:spacing w:val="-2"/>
          <w:sz w:val="18"/>
        </w:rPr>
        <w:t xml:space="preserve"> </w:t>
      </w:r>
      <w:r>
        <w:rPr>
          <w:sz w:val="18"/>
        </w:rPr>
        <w:t>contractual</w:t>
      </w:r>
      <w:r>
        <w:rPr>
          <w:spacing w:val="-2"/>
          <w:sz w:val="18"/>
        </w:rPr>
        <w:t xml:space="preserve"> </w:t>
      </w:r>
      <w:r>
        <w:rPr>
          <w:sz w:val="18"/>
        </w:rPr>
        <w:t>service</w:t>
      </w:r>
      <w:r>
        <w:rPr>
          <w:spacing w:val="-5"/>
          <w:sz w:val="18"/>
        </w:rPr>
        <w:t xml:space="preserve"> </w:t>
      </w:r>
      <w:r>
        <w:rPr>
          <w:sz w:val="18"/>
        </w:rPr>
        <w:t>margin</w:t>
      </w:r>
      <w:r>
        <w:rPr>
          <w:spacing w:val="-2"/>
          <w:sz w:val="18"/>
        </w:rPr>
        <w:t xml:space="preserve"> </w:t>
      </w:r>
      <w:r>
        <w:rPr>
          <w:sz w:val="18"/>
        </w:rPr>
        <w:t>representing</w:t>
      </w:r>
      <w:r>
        <w:rPr>
          <w:spacing w:val="-2"/>
          <w:sz w:val="18"/>
        </w:rPr>
        <w:t xml:space="preserve"> </w:t>
      </w:r>
      <w:r>
        <w:rPr>
          <w:sz w:val="18"/>
        </w:rPr>
        <w:t>the</w:t>
      </w:r>
      <w:r>
        <w:rPr>
          <w:spacing w:val="-2"/>
          <w:sz w:val="18"/>
        </w:rPr>
        <w:t xml:space="preserve"> </w:t>
      </w:r>
      <w:r>
        <w:rPr>
          <w:sz w:val="18"/>
        </w:rPr>
        <w:t>unearned</w:t>
      </w:r>
      <w:r>
        <w:rPr>
          <w:spacing w:val="-5"/>
          <w:sz w:val="18"/>
        </w:rPr>
        <w:t xml:space="preserve"> </w:t>
      </w:r>
      <w:r>
        <w:rPr>
          <w:sz w:val="18"/>
        </w:rPr>
        <w:t>profit</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contract</w:t>
      </w:r>
      <w:r>
        <w:rPr>
          <w:spacing w:val="-3"/>
          <w:sz w:val="18"/>
        </w:rPr>
        <w:t xml:space="preserve"> </w:t>
      </w:r>
      <w:r>
        <w:rPr>
          <w:sz w:val="18"/>
        </w:rPr>
        <w:t>which</w:t>
      </w:r>
      <w:r>
        <w:rPr>
          <w:spacing w:val="-5"/>
          <w:sz w:val="18"/>
        </w:rPr>
        <w:t xml:space="preserve"> </w:t>
      </w:r>
      <w:r>
        <w:rPr>
          <w:sz w:val="18"/>
        </w:rPr>
        <w:t>is</w:t>
      </w:r>
      <w:r>
        <w:rPr>
          <w:spacing w:val="-4"/>
          <w:sz w:val="18"/>
        </w:rPr>
        <w:t xml:space="preserve"> </w:t>
      </w:r>
      <w:proofErr w:type="spellStart"/>
      <w:r>
        <w:rPr>
          <w:sz w:val="18"/>
        </w:rPr>
        <w:t>recognised</w:t>
      </w:r>
      <w:proofErr w:type="spellEnd"/>
      <w:r>
        <w:rPr>
          <w:sz w:val="18"/>
        </w:rPr>
        <w:t xml:space="preserve"> as revenue over the coverage period.</w:t>
      </w:r>
    </w:p>
    <w:p w14:paraId="3DF67F39" w14:textId="77777777" w:rsidR="00AC6F3C" w:rsidRDefault="00570E88">
      <w:pPr>
        <w:spacing w:before="117"/>
        <w:ind w:left="958"/>
        <w:rPr>
          <w:sz w:val="18"/>
        </w:rPr>
      </w:pPr>
      <w:r>
        <w:rPr>
          <w:sz w:val="18"/>
        </w:rPr>
        <w:t>The</w:t>
      </w:r>
      <w:r>
        <w:rPr>
          <w:spacing w:val="-3"/>
          <w:sz w:val="18"/>
        </w:rPr>
        <w:t xml:space="preserve"> </w:t>
      </w:r>
      <w:r>
        <w:rPr>
          <w:sz w:val="18"/>
        </w:rPr>
        <w:t>general</w:t>
      </w:r>
      <w:r>
        <w:rPr>
          <w:spacing w:val="-2"/>
          <w:sz w:val="18"/>
        </w:rPr>
        <w:t xml:space="preserve"> </w:t>
      </w:r>
      <w:r>
        <w:rPr>
          <w:sz w:val="18"/>
        </w:rPr>
        <w:t>model</w:t>
      </w:r>
      <w:r>
        <w:rPr>
          <w:spacing w:val="-2"/>
          <w:sz w:val="18"/>
        </w:rPr>
        <w:t xml:space="preserve"> </w:t>
      </w:r>
      <w:r>
        <w:rPr>
          <w:sz w:val="18"/>
        </w:rPr>
        <w:t>is</w:t>
      </w:r>
      <w:r>
        <w:rPr>
          <w:spacing w:val="-2"/>
          <w:sz w:val="18"/>
        </w:rPr>
        <w:t xml:space="preserve"> </w:t>
      </w:r>
      <w:r>
        <w:rPr>
          <w:sz w:val="18"/>
        </w:rPr>
        <w:t>supplemented</w:t>
      </w:r>
      <w:r>
        <w:rPr>
          <w:spacing w:val="-5"/>
          <w:sz w:val="18"/>
        </w:rPr>
        <w:t xml:space="preserve"> by:</w:t>
      </w:r>
    </w:p>
    <w:p w14:paraId="347B8BE5" w14:textId="77777777" w:rsidR="00AC6F3C" w:rsidRDefault="00570E88">
      <w:pPr>
        <w:pStyle w:val="ListParagraph"/>
        <w:numPr>
          <w:ilvl w:val="0"/>
          <w:numId w:val="23"/>
        </w:numPr>
        <w:tabs>
          <w:tab w:val="left" w:pos="1323"/>
        </w:tabs>
        <w:spacing w:before="119"/>
        <w:ind w:left="1323" w:hanging="329"/>
        <w:rPr>
          <w:sz w:val="18"/>
        </w:rPr>
      </w:pPr>
      <w:r>
        <w:rPr>
          <w:sz w:val="18"/>
        </w:rPr>
        <w:t>a</w:t>
      </w:r>
      <w:r>
        <w:rPr>
          <w:spacing w:val="-2"/>
          <w:sz w:val="18"/>
        </w:rPr>
        <w:t xml:space="preserve"> </w:t>
      </w:r>
      <w:r>
        <w:rPr>
          <w:sz w:val="18"/>
        </w:rPr>
        <w:t>simplified</w:t>
      </w:r>
      <w:r>
        <w:rPr>
          <w:spacing w:val="-2"/>
          <w:sz w:val="18"/>
        </w:rPr>
        <w:t xml:space="preserve"> </w:t>
      </w:r>
      <w:r>
        <w:rPr>
          <w:sz w:val="18"/>
        </w:rPr>
        <w:t>approach</w:t>
      </w:r>
      <w:r>
        <w:rPr>
          <w:spacing w:val="-2"/>
          <w:sz w:val="18"/>
        </w:rPr>
        <w:t xml:space="preserve"> </w:t>
      </w:r>
      <w:r>
        <w:rPr>
          <w:sz w:val="18"/>
        </w:rPr>
        <w:t>(the</w:t>
      </w:r>
      <w:r>
        <w:rPr>
          <w:spacing w:val="-5"/>
          <w:sz w:val="18"/>
        </w:rPr>
        <w:t xml:space="preserve"> </w:t>
      </w:r>
      <w:r>
        <w:rPr>
          <w:sz w:val="18"/>
        </w:rPr>
        <w:t>premium</w:t>
      </w:r>
      <w:r>
        <w:rPr>
          <w:spacing w:val="-2"/>
          <w:sz w:val="18"/>
        </w:rPr>
        <w:t xml:space="preserve"> </w:t>
      </w:r>
      <w:r>
        <w:rPr>
          <w:sz w:val="18"/>
        </w:rPr>
        <w:t>allocation</w:t>
      </w:r>
      <w:r>
        <w:rPr>
          <w:spacing w:val="-2"/>
          <w:sz w:val="18"/>
        </w:rPr>
        <w:t xml:space="preserve"> </w:t>
      </w:r>
      <w:r>
        <w:rPr>
          <w:sz w:val="18"/>
        </w:rPr>
        <w:t>approach)</w:t>
      </w:r>
      <w:r>
        <w:rPr>
          <w:spacing w:val="-5"/>
          <w:sz w:val="18"/>
        </w:rPr>
        <w:t xml:space="preserve"> </w:t>
      </w:r>
      <w:r>
        <w:rPr>
          <w:sz w:val="18"/>
        </w:rPr>
        <w:t>mainly</w:t>
      </w:r>
      <w:r>
        <w:rPr>
          <w:spacing w:val="-2"/>
          <w:sz w:val="18"/>
        </w:rPr>
        <w:t xml:space="preserve"> </w:t>
      </w:r>
      <w:r>
        <w:rPr>
          <w:sz w:val="18"/>
        </w:rPr>
        <w:t>for</w:t>
      </w:r>
      <w:r>
        <w:rPr>
          <w:spacing w:val="-3"/>
          <w:sz w:val="18"/>
        </w:rPr>
        <w:t xml:space="preserve"> </w:t>
      </w:r>
      <w:r>
        <w:rPr>
          <w:sz w:val="18"/>
        </w:rPr>
        <w:t>short</w:t>
      </w:r>
      <w:r>
        <w:rPr>
          <w:spacing w:val="-5"/>
          <w:sz w:val="18"/>
        </w:rPr>
        <w:t xml:space="preserve"> </w:t>
      </w:r>
      <w:r>
        <w:rPr>
          <w:sz w:val="18"/>
        </w:rPr>
        <w:t>duration</w:t>
      </w:r>
      <w:r>
        <w:rPr>
          <w:spacing w:val="-5"/>
          <w:sz w:val="18"/>
        </w:rPr>
        <w:t xml:space="preserve"> </w:t>
      </w:r>
      <w:r>
        <w:rPr>
          <w:sz w:val="18"/>
        </w:rPr>
        <w:t>contracts;</w:t>
      </w:r>
      <w:r>
        <w:rPr>
          <w:spacing w:val="-2"/>
          <w:sz w:val="18"/>
        </w:rPr>
        <w:t xml:space="preserve"> </w:t>
      </w:r>
      <w:r>
        <w:rPr>
          <w:spacing w:val="-5"/>
          <w:sz w:val="18"/>
        </w:rPr>
        <w:t>and</w:t>
      </w:r>
    </w:p>
    <w:p w14:paraId="02B29009" w14:textId="77777777" w:rsidR="00AC6F3C" w:rsidRDefault="00570E88">
      <w:pPr>
        <w:pStyle w:val="ListParagraph"/>
        <w:numPr>
          <w:ilvl w:val="0"/>
          <w:numId w:val="23"/>
        </w:numPr>
        <w:tabs>
          <w:tab w:val="left" w:pos="1320"/>
        </w:tabs>
        <w:spacing w:before="120"/>
        <w:ind w:left="1320" w:right="1398" w:hanging="329"/>
        <w:rPr>
          <w:sz w:val="18"/>
        </w:rPr>
      </w:pPr>
      <w:r>
        <w:rPr>
          <w:sz w:val="18"/>
        </w:rPr>
        <w:t>a</w:t>
      </w:r>
      <w:r>
        <w:rPr>
          <w:spacing w:val="-1"/>
          <w:sz w:val="18"/>
        </w:rPr>
        <w:t xml:space="preserve"> </w:t>
      </w:r>
      <w:r>
        <w:rPr>
          <w:sz w:val="18"/>
        </w:rPr>
        <w:t>modification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general</w:t>
      </w:r>
      <w:r>
        <w:rPr>
          <w:spacing w:val="-4"/>
          <w:sz w:val="18"/>
        </w:rPr>
        <w:t xml:space="preserve"> </w:t>
      </w:r>
      <w:r>
        <w:rPr>
          <w:sz w:val="18"/>
        </w:rPr>
        <w:t>measurement</w:t>
      </w:r>
      <w:r>
        <w:rPr>
          <w:spacing w:val="-4"/>
          <w:sz w:val="18"/>
        </w:rPr>
        <w:t xml:space="preserve"> </w:t>
      </w:r>
      <w:r>
        <w:rPr>
          <w:sz w:val="18"/>
        </w:rPr>
        <w:t>model</w:t>
      </w:r>
      <w:r>
        <w:rPr>
          <w:spacing w:val="-1"/>
          <w:sz w:val="18"/>
        </w:rPr>
        <w:t xml:space="preserve"> </w:t>
      </w:r>
      <w:r>
        <w:rPr>
          <w:sz w:val="18"/>
        </w:rPr>
        <w:t>(the</w:t>
      </w:r>
      <w:r>
        <w:rPr>
          <w:spacing w:val="-4"/>
          <w:sz w:val="18"/>
        </w:rPr>
        <w:t xml:space="preserve"> </w:t>
      </w:r>
      <w:r>
        <w:rPr>
          <w:sz w:val="18"/>
        </w:rPr>
        <w:t>variable</w:t>
      </w:r>
      <w:r>
        <w:rPr>
          <w:spacing w:val="-1"/>
          <w:sz w:val="18"/>
        </w:rPr>
        <w:t xml:space="preserve"> </w:t>
      </w:r>
      <w:r>
        <w:rPr>
          <w:sz w:val="18"/>
        </w:rPr>
        <w:t>fee</w:t>
      </w:r>
      <w:r>
        <w:rPr>
          <w:spacing w:val="-1"/>
          <w:sz w:val="18"/>
        </w:rPr>
        <w:t xml:space="preserve"> </w:t>
      </w:r>
      <w:r>
        <w:rPr>
          <w:sz w:val="18"/>
        </w:rPr>
        <w:t>approach)</w:t>
      </w:r>
      <w:r>
        <w:rPr>
          <w:spacing w:val="-4"/>
          <w:sz w:val="18"/>
        </w:rPr>
        <w:t xml:space="preserve"> </w:t>
      </w:r>
      <w:r>
        <w:rPr>
          <w:sz w:val="18"/>
        </w:rPr>
        <w:t>for</w:t>
      </w:r>
      <w:r>
        <w:rPr>
          <w:spacing w:val="-4"/>
          <w:sz w:val="18"/>
        </w:rPr>
        <w:t xml:space="preserve"> </w:t>
      </w:r>
      <w:r>
        <w:rPr>
          <w:sz w:val="18"/>
        </w:rPr>
        <w:t>contracts</w:t>
      </w:r>
      <w:r>
        <w:rPr>
          <w:spacing w:val="-3"/>
          <w:sz w:val="18"/>
        </w:rPr>
        <w:t xml:space="preserve"> </w:t>
      </w:r>
      <w:r>
        <w:rPr>
          <w:sz w:val="18"/>
        </w:rPr>
        <w:t>with direct participation features.</w:t>
      </w:r>
    </w:p>
    <w:p w14:paraId="174C5375" w14:textId="77777777" w:rsidR="00AC6F3C" w:rsidRDefault="00AC6F3C">
      <w:pPr>
        <w:pStyle w:val="BodyText"/>
        <w:spacing w:before="8"/>
      </w:pPr>
    </w:p>
    <w:p w14:paraId="662A6D18" w14:textId="77777777" w:rsidR="00AC6F3C" w:rsidRDefault="00570E88">
      <w:pPr>
        <w:ind w:left="958" w:right="1247"/>
        <w:rPr>
          <w:sz w:val="18"/>
        </w:rPr>
      </w:pPr>
      <w:r>
        <w:rPr>
          <w:sz w:val="18"/>
        </w:rPr>
        <w:t>AASB 17 is effective for annual periods beginning on or after 1 January 2023, with comparative figures required. Retrospective application is required. However, if full retrospective application for a group of insurance contracts is impracticable, then the entity is required to choose either a modified retrospective approach or a fair value approach. The Group plans to adopt AASB 17 on the required effective</w:t>
      </w:r>
      <w:r>
        <w:rPr>
          <w:spacing w:val="-1"/>
          <w:sz w:val="18"/>
        </w:rPr>
        <w:t xml:space="preserve"> </w:t>
      </w:r>
      <w:r>
        <w:rPr>
          <w:sz w:val="18"/>
        </w:rPr>
        <w:t>date</w:t>
      </w:r>
      <w:r>
        <w:rPr>
          <w:spacing w:val="-1"/>
          <w:sz w:val="18"/>
        </w:rPr>
        <w:t xml:space="preserve"> </w:t>
      </w:r>
      <w:r>
        <w:rPr>
          <w:sz w:val="18"/>
        </w:rPr>
        <w:t>and</w:t>
      </w:r>
      <w:r>
        <w:rPr>
          <w:spacing w:val="-1"/>
          <w:sz w:val="18"/>
        </w:rPr>
        <w:t xml:space="preserve"> </w:t>
      </w:r>
      <w:r>
        <w:rPr>
          <w:sz w:val="18"/>
        </w:rPr>
        <w:t>it</w:t>
      </w:r>
      <w:r>
        <w:rPr>
          <w:spacing w:val="-2"/>
          <w:sz w:val="18"/>
        </w:rPr>
        <w:t xml:space="preserve"> </w:t>
      </w:r>
      <w:r>
        <w:rPr>
          <w:sz w:val="18"/>
        </w:rPr>
        <w:t>is</w:t>
      </w:r>
      <w:r>
        <w:rPr>
          <w:spacing w:val="-1"/>
          <w:sz w:val="18"/>
        </w:rPr>
        <w:t xml:space="preserve"> </w:t>
      </w:r>
      <w:r>
        <w:rPr>
          <w:sz w:val="18"/>
        </w:rPr>
        <w:t>expected</w:t>
      </w:r>
      <w:r>
        <w:rPr>
          <w:spacing w:val="-1"/>
          <w:sz w:val="18"/>
        </w:rPr>
        <w:t xml:space="preserve"> </w:t>
      </w:r>
      <w:r>
        <w:rPr>
          <w:sz w:val="18"/>
        </w:rPr>
        <w:t>that</w:t>
      </w:r>
      <w:r>
        <w:rPr>
          <w:spacing w:val="-2"/>
          <w:sz w:val="18"/>
        </w:rPr>
        <w:t xml:space="preserve"> </w:t>
      </w:r>
      <w:r>
        <w:rPr>
          <w:sz w:val="18"/>
        </w:rPr>
        <w:t>AASB</w:t>
      </w:r>
      <w:r>
        <w:rPr>
          <w:spacing w:val="-5"/>
          <w:sz w:val="18"/>
        </w:rPr>
        <w:t xml:space="preserve"> </w:t>
      </w:r>
      <w:r>
        <w:rPr>
          <w:sz w:val="18"/>
        </w:rPr>
        <w:t>17</w:t>
      </w:r>
      <w:r>
        <w:rPr>
          <w:spacing w:val="-1"/>
          <w:sz w:val="18"/>
        </w:rPr>
        <w:t xml:space="preserve"> </w:t>
      </w:r>
      <w:r>
        <w:rPr>
          <w:sz w:val="18"/>
        </w:rPr>
        <w:t>will</w:t>
      </w:r>
      <w:r>
        <w:rPr>
          <w:spacing w:val="-1"/>
          <w:sz w:val="18"/>
        </w:rPr>
        <w:t xml:space="preserve"> </w:t>
      </w:r>
      <w:r>
        <w:rPr>
          <w:sz w:val="18"/>
        </w:rPr>
        <w:t>result</w:t>
      </w:r>
      <w:r>
        <w:rPr>
          <w:spacing w:val="-2"/>
          <w:sz w:val="18"/>
        </w:rPr>
        <w:t xml:space="preserve"> </w:t>
      </w:r>
      <w:r>
        <w:rPr>
          <w:sz w:val="18"/>
        </w:rPr>
        <w:t>in</w:t>
      </w:r>
      <w:r>
        <w:rPr>
          <w:spacing w:val="-1"/>
          <w:sz w:val="18"/>
        </w:rPr>
        <w:t xml:space="preserve"> </w:t>
      </w:r>
      <w:r>
        <w:rPr>
          <w:sz w:val="18"/>
        </w:rPr>
        <w:t>a</w:t>
      </w:r>
      <w:r>
        <w:rPr>
          <w:spacing w:val="-4"/>
          <w:sz w:val="18"/>
        </w:rPr>
        <w:t xml:space="preserve"> </w:t>
      </w:r>
      <w:r>
        <w:rPr>
          <w:sz w:val="18"/>
        </w:rPr>
        <w:t>change</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accounting</w:t>
      </w:r>
      <w:r>
        <w:rPr>
          <w:spacing w:val="-1"/>
          <w:sz w:val="18"/>
        </w:rPr>
        <w:t xml:space="preserve"> </w:t>
      </w:r>
      <w:r>
        <w:rPr>
          <w:sz w:val="18"/>
        </w:rPr>
        <w:t>policies</w:t>
      </w:r>
      <w:r>
        <w:rPr>
          <w:spacing w:val="-1"/>
          <w:sz w:val="18"/>
        </w:rPr>
        <w:t xml:space="preserve"> </w:t>
      </w:r>
      <w:r>
        <w:rPr>
          <w:sz w:val="18"/>
        </w:rPr>
        <w:t>for</w:t>
      </w:r>
      <w:r>
        <w:rPr>
          <w:spacing w:val="-2"/>
          <w:sz w:val="18"/>
        </w:rPr>
        <w:t xml:space="preserve"> </w:t>
      </w:r>
      <w:r>
        <w:rPr>
          <w:sz w:val="18"/>
        </w:rPr>
        <w:t>the insurance contract liabilities of the Group. Upon assessment and initial review, AASB 17 is likely to have an immaterial impact on profit and total equity together with the Group’s financial statements’ presentation and disclosures.</w:t>
      </w:r>
    </w:p>
    <w:p w14:paraId="04A82E67" w14:textId="77777777" w:rsidR="00AC6F3C" w:rsidRDefault="00AC6F3C">
      <w:pPr>
        <w:rPr>
          <w:sz w:val="18"/>
        </w:rPr>
        <w:sectPr w:rsidR="00AC6F3C">
          <w:pgSz w:w="11910" w:h="16840"/>
          <w:pgMar w:top="2020" w:right="1160" w:bottom="520" w:left="460" w:header="1228" w:footer="336" w:gutter="0"/>
          <w:cols w:space="720"/>
        </w:sectPr>
      </w:pPr>
    </w:p>
    <w:p w14:paraId="4308E27C" w14:textId="77777777" w:rsidR="00AC6F3C" w:rsidRDefault="00AC6F3C">
      <w:pPr>
        <w:pStyle w:val="BodyText"/>
      </w:pPr>
    </w:p>
    <w:p w14:paraId="46E58A4F" w14:textId="77777777" w:rsidR="00AC6F3C" w:rsidRDefault="00570E88">
      <w:pPr>
        <w:tabs>
          <w:tab w:val="left" w:pos="1666"/>
        </w:tabs>
        <w:spacing w:before="249"/>
        <w:ind w:left="958"/>
        <w:rPr>
          <w:b/>
          <w:sz w:val="28"/>
        </w:rPr>
      </w:pPr>
      <w:r>
        <w:rPr>
          <w:b/>
          <w:spacing w:val="-5"/>
          <w:sz w:val="28"/>
        </w:rPr>
        <w:t>E1</w:t>
      </w:r>
      <w:r>
        <w:rPr>
          <w:b/>
          <w:sz w:val="28"/>
        </w:rPr>
        <w:tab/>
        <w:t>KEY</w:t>
      </w:r>
      <w:r>
        <w:rPr>
          <w:b/>
          <w:spacing w:val="-16"/>
          <w:sz w:val="28"/>
        </w:rPr>
        <w:t xml:space="preserve"> </w:t>
      </w:r>
      <w:r>
        <w:rPr>
          <w:b/>
          <w:sz w:val="28"/>
        </w:rPr>
        <w:t>MANAGEMENT</w:t>
      </w:r>
      <w:r>
        <w:rPr>
          <w:b/>
          <w:spacing w:val="-10"/>
          <w:sz w:val="28"/>
        </w:rPr>
        <w:t xml:space="preserve"> </w:t>
      </w:r>
      <w:r>
        <w:rPr>
          <w:b/>
          <w:sz w:val="28"/>
        </w:rPr>
        <w:t>PERSONNEL</w:t>
      </w:r>
      <w:r>
        <w:rPr>
          <w:b/>
          <w:spacing w:val="-16"/>
          <w:sz w:val="28"/>
        </w:rPr>
        <w:t xml:space="preserve"> </w:t>
      </w:r>
      <w:r>
        <w:rPr>
          <w:b/>
          <w:spacing w:val="-2"/>
          <w:sz w:val="28"/>
        </w:rPr>
        <w:t>DISCLOSURES</w:t>
      </w:r>
    </w:p>
    <w:p w14:paraId="6EF7DBAD" w14:textId="77777777" w:rsidR="00AC6F3C" w:rsidRDefault="00570E88">
      <w:pPr>
        <w:spacing w:before="239"/>
        <w:ind w:left="958" w:right="468"/>
        <w:rPr>
          <w:sz w:val="18"/>
        </w:rPr>
      </w:pPr>
      <w:r>
        <w:rPr>
          <w:sz w:val="18"/>
        </w:rPr>
        <w:t>Key</w:t>
      </w:r>
      <w:r>
        <w:rPr>
          <w:spacing w:val="-2"/>
          <w:sz w:val="18"/>
        </w:rPr>
        <w:t xml:space="preserve"> </w:t>
      </w:r>
      <w:r>
        <w:rPr>
          <w:sz w:val="18"/>
        </w:rPr>
        <w:t>management</w:t>
      </w:r>
      <w:r>
        <w:rPr>
          <w:spacing w:val="-5"/>
          <w:sz w:val="18"/>
        </w:rPr>
        <w:t xml:space="preserve"> </w:t>
      </w:r>
      <w:r>
        <w:rPr>
          <w:sz w:val="18"/>
        </w:rPr>
        <w:t>personnel</w:t>
      </w:r>
      <w:r>
        <w:rPr>
          <w:spacing w:val="-2"/>
          <w:sz w:val="18"/>
        </w:rPr>
        <w:t xml:space="preserve"> </w:t>
      </w:r>
      <w:r>
        <w:rPr>
          <w:sz w:val="18"/>
        </w:rPr>
        <w:t>(KMP)</w:t>
      </w:r>
      <w:r>
        <w:rPr>
          <w:spacing w:val="-3"/>
          <w:sz w:val="18"/>
        </w:rPr>
        <w:t xml:space="preserve"> </w:t>
      </w:r>
      <w:r>
        <w:rPr>
          <w:sz w:val="18"/>
        </w:rPr>
        <w:t>and</w:t>
      </w:r>
      <w:r>
        <w:rPr>
          <w:spacing w:val="-2"/>
          <w:sz w:val="18"/>
        </w:rPr>
        <w:t xml:space="preserve"> </w:t>
      </w:r>
      <w:r>
        <w:rPr>
          <w:sz w:val="18"/>
        </w:rPr>
        <w:t>remuneration</w:t>
      </w:r>
      <w:r>
        <w:rPr>
          <w:spacing w:val="-2"/>
          <w:sz w:val="18"/>
        </w:rPr>
        <w:t xml:space="preserve"> </w:t>
      </w:r>
      <w:r>
        <w:rPr>
          <w:sz w:val="18"/>
        </w:rPr>
        <w:t>disclosures</w:t>
      </w:r>
      <w:r>
        <w:rPr>
          <w:spacing w:val="-2"/>
          <w:sz w:val="18"/>
        </w:rPr>
        <w:t xml:space="preserve"> </w:t>
      </w:r>
      <w:r>
        <w:rPr>
          <w:sz w:val="18"/>
        </w:rPr>
        <w:t>are</w:t>
      </w:r>
      <w:r>
        <w:rPr>
          <w:spacing w:val="-5"/>
          <w:sz w:val="18"/>
        </w:rPr>
        <w:t xml:space="preserve"> </w:t>
      </w:r>
      <w:r>
        <w:rPr>
          <w:sz w:val="18"/>
        </w:rPr>
        <w:t>made</w:t>
      </w:r>
      <w:r>
        <w:rPr>
          <w:spacing w:val="-2"/>
          <w:sz w:val="18"/>
        </w:rPr>
        <w:t xml:space="preserve"> </w:t>
      </w:r>
      <w:r>
        <w:rPr>
          <w:sz w:val="18"/>
        </w:rPr>
        <w:t>in</w:t>
      </w:r>
      <w:r>
        <w:rPr>
          <w:spacing w:val="-2"/>
          <w:sz w:val="18"/>
        </w:rPr>
        <w:t xml:space="preserve"> </w:t>
      </w:r>
      <w:r>
        <w:rPr>
          <w:sz w:val="18"/>
        </w:rPr>
        <w:t>accordance</w:t>
      </w:r>
      <w:r>
        <w:rPr>
          <w:spacing w:val="-5"/>
          <w:sz w:val="18"/>
        </w:rPr>
        <w:t xml:space="preserve"> </w:t>
      </w:r>
      <w:r>
        <w:rPr>
          <w:sz w:val="18"/>
        </w:rPr>
        <w:t>with</w:t>
      </w:r>
      <w:r>
        <w:rPr>
          <w:spacing w:val="-2"/>
          <w:sz w:val="18"/>
        </w:rPr>
        <w:t xml:space="preserve"> </w:t>
      </w:r>
      <w:r>
        <w:rPr>
          <w:sz w:val="18"/>
        </w:rPr>
        <w:t>the</w:t>
      </w:r>
      <w:r>
        <w:rPr>
          <w:spacing w:val="-2"/>
          <w:sz w:val="18"/>
        </w:rPr>
        <w:t xml:space="preserve"> </w:t>
      </w:r>
      <w:r>
        <w:rPr>
          <w:sz w:val="18"/>
        </w:rPr>
        <w:t xml:space="preserve">FRR, consistent with additional guidance included in AASB 124 </w:t>
      </w:r>
      <w:r>
        <w:rPr>
          <w:i/>
          <w:sz w:val="18"/>
        </w:rPr>
        <w:t>Related Party Disclosures</w:t>
      </w:r>
      <w:r>
        <w:rPr>
          <w:sz w:val="18"/>
        </w:rPr>
        <w:t>.</w:t>
      </w:r>
    </w:p>
    <w:p w14:paraId="35B37A07" w14:textId="77777777" w:rsidR="00AC6F3C" w:rsidRDefault="00AC6F3C">
      <w:pPr>
        <w:pStyle w:val="BodyText"/>
        <w:spacing w:before="9"/>
      </w:pPr>
    </w:p>
    <w:p w14:paraId="415D33E3" w14:textId="77777777" w:rsidR="00AC6F3C" w:rsidRDefault="00570E88">
      <w:pPr>
        <w:ind w:left="958" w:right="990"/>
        <w:rPr>
          <w:sz w:val="18"/>
        </w:rPr>
      </w:pPr>
      <w:r>
        <w:rPr>
          <w:sz w:val="18"/>
        </w:rPr>
        <w:t>The</w:t>
      </w:r>
      <w:r>
        <w:rPr>
          <w:spacing w:val="-2"/>
          <w:sz w:val="18"/>
        </w:rPr>
        <w:t xml:space="preserve"> </w:t>
      </w:r>
      <w:r>
        <w:rPr>
          <w:sz w:val="18"/>
        </w:rPr>
        <w:t>following</w:t>
      </w:r>
      <w:r>
        <w:rPr>
          <w:spacing w:val="-5"/>
          <w:sz w:val="18"/>
        </w:rPr>
        <w:t xml:space="preserve"> </w:t>
      </w:r>
      <w:r>
        <w:rPr>
          <w:sz w:val="18"/>
        </w:rPr>
        <w:t>details</w:t>
      </w:r>
      <w:r>
        <w:rPr>
          <w:spacing w:val="-4"/>
          <w:sz w:val="18"/>
        </w:rPr>
        <w:t xml:space="preserve"> </w:t>
      </w:r>
      <w:r>
        <w:rPr>
          <w:sz w:val="18"/>
        </w:rPr>
        <w:t>for</w:t>
      </w:r>
      <w:r>
        <w:rPr>
          <w:spacing w:val="-3"/>
          <w:sz w:val="18"/>
        </w:rPr>
        <w:t xml:space="preserve"> </w:t>
      </w:r>
      <w:r>
        <w:rPr>
          <w:sz w:val="18"/>
        </w:rPr>
        <w:t>KMP</w:t>
      </w:r>
      <w:r>
        <w:rPr>
          <w:spacing w:val="-3"/>
          <w:sz w:val="18"/>
        </w:rPr>
        <w:t xml:space="preserve"> </w:t>
      </w:r>
      <w:r>
        <w:rPr>
          <w:sz w:val="18"/>
        </w:rPr>
        <w:t>include</w:t>
      </w:r>
      <w:r>
        <w:rPr>
          <w:spacing w:val="-2"/>
          <w:sz w:val="18"/>
        </w:rPr>
        <w:t xml:space="preserve"> </w:t>
      </w:r>
      <w:r>
        <w:rPr>
          <w:sz w:val="18"/>
        </w:rPr>
        <w:t>those</w:t>
      </w:r>
      <w:r>
        <w:rPr>
          <w:spacing w:val="-2"/>
          <w:sz w:val="18"/>
        </w:rPr>
        <w:t xml:space="preserve"> </w:t>
      </w:r>
      <w:r>
        <w:rPr>
          <w:sz w:val="18"/>
        </w:rPr>
        <w:t>positions</w:t>
      </w:r>
      <w:r>
        <w:rPr>
          <w:spacing w:val="-2"/>
          <w:sz w:val="18"/>
        </w:rPr>
        <w:t xml:space="preserve"> </w:t>
      </w:r>
      <w:r>
        <w:rPr>
          <w:sz w:val="18"/>
        </w:rPr>
        <w:t>that</w:t>
      </w:r>
      <w:r>
        <w:rPr>
          <w:spacing w:val="-3"/>
          <w:sz w:val="18"/>
        </w:rPr>
        <w:t xml:space="preserve"> </w:t>
      </w:r>
      <w:r>
        <w:rPr>
          <w:sz w:val="18"/>
        </w:rPr>
        <w:t>had</w:t>
      </w:r>
      <w:r>
        <w:rPr>
          <w:spacing w:val="-2"/>
          <w:sz w:val="18"/>
        </w:rPr>
        <w:t xml:space="preserve"> </w:t>
      </w:r>
      <w:r>
        <w:rPr>
          <w:sz w:val="18"/>
        </w:rPr>
        <w:t>authority</w:t>
      </w:r>
      <w:r>
        <w:rPr>
          <w:spacing w:val="-2"/>
          <w:sz w:val="18"/>
        </w:rPr>
        <w:t xml:space="preserve"> </w:t>
      </w:r>
      <w:r>
        <w:rPr>
          <w:sz w:val="18"/>
        </w:rPr>
        <w:t>and</w:t>
      </w:r>
      <w:r>
        <w:rPr>
          <w:spacing w:val="-2"/>
          <w:sz w:val="18"/>
        </w:rPr>
        <w:t xml:space="preserve"> </w:t>
      </w:r>
      <w:r>
        <w:rPr>
          <w:sz w:val="18"/>
        </w:rPr>
        <w:t>responsibility</w:t>
      </w:r>
      <w:r>
        <w:rPr>
          <w:spacing w:val="-4"/>
          <w:sz w:val="18"/>
        </w:rPr>
        <w:t xml:space="preserve"> </w:t>
      </w:r>
      <w:r>
        <w:rPr>
          <w:sz w:val="18"/>
        </w:rPr>
        <w:t>for</w:t>
      </w:r>
      <w:r>
        <w:rPr>
          <w:spacing w:val="-3"/>
          <w:sz w:val="18"/>
        </w:rPr>
        <w:t xml:space="preserve"> </w:t>
      </w:r>
      <w:r>
        <w:rPr>
          <w:sz w:val="18"/>
        </w:rPr>
        <w:t>planning, directing and controlling the activities of the Society during 2022-23 and 2021-22.</w:t>
      </w:r>
      <w:r>
        <w:rPr>
          <w:spacing w:val="40"/>
          <w:sz w:val="18"/>
        </w:rPr>
        <w:t xml:space="preserve"> </w:t>
      </w:r>
      <w:r>
        <w:rPr>
          <w:sz w:val="18"/>
        </w:rPr>
        <w:t>This is supported through the Council Charter which is available on the Society’s website. Further information on these positions can be found in the body of the Annual Report.</w:t>
      </w:r>
    </w:p>
    <w:p w14:paraId="2F9C6109" w14:textId="77777777" w:rsidR="00AC6F3C" w:rsidRDefault="00AC6F3C">
      <w:pPr>
        <w:pStyle w:val="BodyText"/>
        <w:spacing w:before="10"/>
      </w:pPr>
    </w:p>
    <w:p w14:paraId="1D435A62" w14:textId="77777777" w:rsidR="00AC6F3C" w:rsidRDefault="00570E88">
      <w:pPr>
        <w:ind w:left="958" w:right="468"/>
        <w:rPr>
          <w:sz w:val="18"/>
        </w:rPr>
      </w:pPr>
      <w:r>
        <w:rPr>
          <w:sz w:val="18"/>
        </w:rPr>
        <w:t>The</w:t>
      </w:r>
      <w:r>
        <w:rPr>
          <w:spacing w:val="-2"/>
          <w:sz w:val="18"/>
        </w:rPr>
        <w:t xml:space="preserve"> </w:t>
      </w:r>
      <w:r>
        <w:rPr>
          <w:sz w:val="18"/>
        </w:rPr>
        <w:t>positions</w:t>
      </w:r>
      <w:r>
        <w:rPr>
          <w:spacing w:val="-2"/>
          <w:sz w:val="18"/>
        </w:rPr>
        <w:t xml:space="preserve"> </w:t>
      </w:r>
      <w:r>
        <w:rPr>
          <w:sz w:val="18"/>
        </w:rPr>
        <w:t>of</w:t>
      </w:r>
      <w:r>
        <w:rPr>
          <w:spacing w:val="-5"/>
          <w:sz w:val="18"/>
        </w:rPr>
        <w:t xml:space="preserve"> </w:t>
      </w:r>
      <w:r>
        <w:rPr>
          <w:sz w:val="18"/>
        </w:rPr>
        <w:t>President,</w:t>
      </w:r>
      <w:r>
        <w:rPr>
          <w:spacing w:val="-3"/>
          <w:sz w:val="18"/>
        </w:rPr>
        <w:t xml:space="preserve"> </w:t>
      </w:r>
      <w:r>
        <w:rPr>
          <w:sz w:val="18"/>
        </w:rPr>
        <w:t>Deputy</w:t>
      </w:r>
      <w:r>
        <w:rPr>
          <w:spacing w:val="-2"/>
          <w:sz w:val="18"/>
        </w:rPr>
        <w:t xml:space="preserve"> </w:t>
      </w:r>
      <w:r>
        <w:rPr>
          <w:sz w:val="18"/>
        </w:rPr>
        <w:t>President,</w:t>
      </w:r>
      <w:r>
        <w:rPr>
          <w:spacing w:val="-3"/>
          <w:sz w:val="18"/>
        </w:rPr>
        <w:t xml:space="preserve"> </w:t>
      </w:r>
      <w:r>
        <w:rPr>
          <w:sz w:val="18"/>
        </w:rPr>
        <w:t>and</w:t>
      </w:r>
      <w:r>
        <w:rPr>
          <w:spacing w:val="-2"/>
          <w:sz w:val="18"/>
        </w:rPr>
        <w:t xml:space="preserve"> </w:t>
      </w:r>
      <w:r>
        <w:rPr>
          <w:sz w:val="18"/>
        </w:rPr>
        <w:t>Vice</w:t>
      </w:r>
      <w:r>
        <w:rPr>
          <w:spacing w:val="-2"/>
          <w:sz w:val="18"/>
        </w:rPr>
        <w:t xml:space="preserve"> </w:t>
      </w:r>
      <w:r>
        <w:rPr>
          <w:sz w:val="18"/>
        </w:rPr>
        <w:t>President</w:t>
      </w:r>
      <w:r>
        <w:rPr>
          <w:spacing w:val="-3"/>
          <w:sz w:val="18"/>
        </w:rPr>
        <w:t xml:space="preserve"> </w:t>
      </w:r>
      <w:r>
        <w:rPr>
          <w:sz w:val="18"/>
        </w:rPr>
        <w:t>are</w:t>
      </w:r>
      <w:r>
        <w:rPr>
          <w:spacing w:val="-2"/>
          <w:sz w:val="18"/>
        </w:rPr>
        <w:t xml:space="preserve"> </w:t>
      </w:r>
      <w:r>
        <w:rPr>
          <w:sz w:val="18"/>
        </w:rPr>
        <w:t>supported</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elected</w:t>
      </w:r>
      <w:r>
        <w:rPr>
          <w:spacing w:val="-2"/>
          <w:sz w:val="18"/>
        </w:rPr>
        <w:t xml:space="preserve"> </w:t>
      </w:r>
      <w:r>
        <w:rPr>
          <w:sz w:val="18"/>
        </w:rPr>
        <w:t xml:space="preserve">Council </w:t>
      </w:r>
      <w:r>
        <w:rPr>
          <w:spacing w:val="-2"/>
          <w:sz w:val="18"/>
        </w:rPr>
        <w:t>members.</w:t>
      </w:r>
    </w:p>
    <w:p w14:paraId="3BEF1959" w14:textId="77777777" w:rsidR="00AC6F3C" w:rsidRDefault="00AC6F3C">
      <w:pPr>
        <w:rPr>
          <w:sz w:val="18"/>
        </w:rPr>
        <w:sectPr w:rsidR="00AC6F3C">
          <w:pgSz w:w="11910" w:h="16840"/>
          <w:pgMar w:top="2020" w:right="1160" w:bottom="520" w:left="460" w:header="1228" w:footer="336" w:gutter="0"/>
          <w:cols w:space="720"/>
        </w:sectPr>
      </w:pPr>
    </w:p>
    <w:p w14:paraId="5EAC4A90" w14:textId="77777777" w:rsidR="00AC6F3C" w:rsidRDefault="00AC6F3C">
      <w:pPr>
        <w:pStyle w:val="BodyText"/>
      </w:pPr>
    </w:p>
    <w:p w14:paraId="12B57159" w14:textId="77777777" w:rsidR="00AC6F3C" w:rsidRDefault="00570E88">
      <w:pPr>
        <w:tabs>
          <w:tab w:val="left" w:pos="1810"/>
        </w:tabs>
        <w:spacing w:before="249" w:line="322" w:lineRule="exact"/>
        <w:ind w:left="958"/>
        <w:rPr>
          <w:b/>
          <w:sz w:val="28"/>
        </w:rPr>
      </w:pPr>
      <w:r>
        <w:rPr>
          <w:b/>
          <w:spacing w:val="-5"/>
          <w:sz w:val="28"/>
        </w:rPr>
        <w:t>E1</w:t>
      </w:r>
      <w:r>
        <w:rPr>
          <w:b/>
          <w:sz w:val="28"/>
        </w:rPr>
        <w:tab/>
        <w:t>KEY</w:t>
      </w:r>
      <w:r>
        <w:rPr>
          <w:b/>
          <w:spacing w:val="-11"/>
          <w:sz w:val="28"/>
        </w:rPr>
        <w:t xml:space="preserve"> </w:t>
      </w:r>
      <w:r>
        <w:rPr>
          <w:b/>
          <w:sz w:val="28"/>
        </w:rPr>
        <w:t>MANAGEMENT</w:t>
      </w:r>
      <w:r>
        <w:rPr>
          <w:b/>
          <w:spacing w:val="-6"/>
          <w:sz w:val="28"/>
        </w:rPr>
        <w:t xml:space="preserve"> </w:t>
      </w:r>
      <w:r>
        <w:rPr>
          <w:b/>
          <w:sz w:val="28"/>
        </w:rPr>
        <w:t>PERSONNEL</w:t>
      </w:r>
      <w:r>
        <w:rPr>
          <w:b/>
          <w:spacing w:val="-9"/>
          <w:sz w:val="28"/>
        </w:rPr>
        <w:t xml:space="preserve"> </w:t>
      </w:r>
      <w:r>
        <w:rPr>
          <w:b/>
          <w:spacing w:val="-2"/>
          <w:sz w:val="28"/>
        </w:rPr>
        <w:t>DISCLOSURES</w:t>
      </w:r>
    </w:p>
    <w:p w14:paraId="55CA208C" w14:textId="77777777" w:rsidR="00AC6F3C" w:rsidRDefault="00570E88">
      <w:pPr>
        <w:spacing w:line="322" w:lineRule="exact"/>
        <w:ind w:left="1810"/>
        <w:rPr>
          <w:b/>
          <w:sz w:val="28"/>
        </w:rPr>
      </w:pPr>
      <w:r>
        <w:rPr>
          <w:b/>
          <w:spacing w:val="-2"/>
          <w:sz w:val="28"/>
        </w:rPr>
        <w:t>(continued)</w:t>
      </w:r>
    </w:p>
    <w:p w14:paraId="464F840F" w14:textId="77777777" w:rsidR="00AC6F3C" w:rsidRDefault="00570E88">
      <w:pPr>
        <w:pStyle w:val="BodyText"/>
        <w:spacing w:before="9"/>
        <w:rPr>
          <w:b/>
          <w:sz w:val="18"/>
        </w:rPr>
      </w:pPr>
      <w:r>
        <w:rPr>
          <w:noProof/>
        </w:rPr>
        <mc:AlternateContent>
          <mc:Choice Requires="wps">
            <w:drawing>
              <wp:anchor distT="0" distB="0" distL="0" distR="0" simplePos="0" relativeHeight="487681024" behindDoc="1" locked="0" layoutInCell="1" allowOverlap="1" wp14:anchorId="193C2887" wp14:editId="33EB7120">
                <wp:simplePos x="0" y="0"/>
                <wp:positionH relativeFrom="page">
                  <wp:posOffset>882330</wp:posOffset>
                </wp:positionH>
                <wp:positionV relativeFrom="paragraph">
                  <wp:posOffset>152746</wp:posOffset>
                </wp:positionV>
                <wp:extent cx="5437505" cy="274320"/>
                <wp:effectExtent l="0" t="0" r="0" b="0"/>
                <wp:wrapTopAndBottom/>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7505" cy="274320"/>
                        </a:xfrm>
                        <a:prstGeom prst="rect">
                          <a:avLst/>
                        </a:prstGeom>
                        <a:solidFill>
                          <a:srgbClr val="D9D9D9"/>
                        </a:solidFill>
                      </wps:spPr>
                      <wps:txbx>
                        <w:txbxContent>
                          <w:p w14:paraId="2F4C42CD" w14:textId="77777777" w:rsidR="00AC6F3C" w:rsidRDefault="00570E88">
                            <w:pPr>
                              <w:tabs>
                                <w:tab w:val="left" w:pos="2769"/>
                              </w:tabs>
                              <w:spacing w:before="28"/>
                              <w:ind w:left="141"/>
                              <w:rPr>
                                <w:b/>
                                <w:color w:val="000000"/>
                                <w:sz w:val="18"/>
                              </w:rPr>
                            </w:pPr>
                            <w:r>
                              <w:rPr>
                                <w:b/>
                                <w:color w:val="000000"/>
                                <w:spacing w:val="-2"/>
                                <w:sz w:val="18"/>
                              </w:rPr>
                              <w:t>Position</w:t>
                            </w:r>
                            <w:r>
                              <w:rPr>
                                <w:b/>
                                <w:color w:val="000000"/>
                                <w:sz w:val="18"/>
                              </w:rPr>
                              <w:tab/>
                            </w:r>
                            <w:r>
                              <w:rPr>
                                <w:b/>
                                <w:color w:val="000000"/>
                                <w:sz w:val="18"/>
                              </w:rPr>
                              <w:t>Position</w:t>
                            </w:r>
                            <w:r>
                              <w:rPr>
                                <w:b/>
                                <w:color w:val="000000"/>
                                <w:spacing w:val="-1"/>
                                <w:sz w:val="18"/>
                              </w:rPr>
                              <w:t xml:space="preserve"> </w:t>
                            </w:r>
                            <w:r>
                              <w:rPr>
                                <w:b/>
                                <w:color w:val="000000"/>
                                <w:spacing w:val="-2"/>
                                <w:sz w:val="18"/>
                              </w:rPr>
                              <w:t>Responsibility</w:t>
                            </w:r>
                          </w:p>
                        </w:txbxContent>
                      </wps:txbx>
                      <wps:bodyPr wrap="square" lIns="0" tIns="0" rIns="0" bIns="0" rtlCol="0">
                        <a:noAutofit/>
                      </wps:bodyPr>
                    </wps:wsp>
                  </a:graphicData>
                </a:graphic>
              </wp:anchor>
            </w:drawing>
          </mc:Choice>
          <mc:Fallback>
            <w:pict>
              <v:shape w14:anchorId="193C2887" id="Textbox 748" o:spid="_x0000_s1029" type="#_x0000_t202" style="position:absolute;margin-left:69.45pt;margin-top:12.05pt;width:428.15pt;height:21.6pt;z-index:-1563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" fillcolor="#d9d9d9" stroked="f">
                <v:textbox inset="0,0,0,0">
                  <w:txbxContent>
                    <w:p w14:paraId="2F4C42CD" w14:textId="77777777" w:rsidR="00AC6F3C" w:rsidRDefault="00570E88">
                      <w:pPr>
                        <w:tabs>
                          <w:tab w:val="left" w:pos="2769"/>
                        </w:tabs>
                        <w:spacing w:before="28"/>
                        <w:ind w:left="141"/>
                        <w:rPr>
                          <w:b/>
                          <w:color w:val="000000"/>
                          <w:sz w:val="18"/>
                        </w:rPr>
                      </w:pPr>
                      <w:r>
                        <w:rPr>
                          <w:b/>
                          <w:color w:val="000000"/>
                          <w:spacing w:val="-2"/>
                          <w:sz w:val="18"/>
                        </w:rPr>
                        <w:t>Position</w:t>
                      </w:r>
                      <w:r>
                        <w:rPr>
                          <w:b/>
                          <w:color w:val="000000"/>
                          <w:sz w:val="18"/>
                        </w:rPr>
                        <w:tab/>
                      </w:r>
                      <w:r>
                        <w:rPr>
                          <w:b/>
                          <w:color w:val="000000"/>
                          <w:sz w:val="18"/>
                        </w:rPr>
                        <w:t>Position</w:t>
                      </w:r>
                      <w:r>
                        <w:rPr>
                          <w:b/>
                          <w:color w:val="000000"/>
                          <w:spacing w:val="-1"/>
                          <w:sz w:val="18"/>
                        </w:rPr>
                        <w:t xml:space="preserve"> </w:t>
                      </w:r>
                      <w:r>
                        <w:rPr>
                          <w:b/>
                          <w:color w:val="000000"/>
                          <w:spacing w:val="-2"/>
                          <w:sz w:val="18"/>
                        </w:rPr>
                        <w:t>Responsibility</w:t>
                      </w:r>
                    </w:p>
                  </w:txbxContent>
                </v:textbox>
                <w10:wrap type="topAndBottom" anchorx="page"/>
              </v:shape>
            </w:pict>
          </mc:Fallback>
        </mc:AlternateContent>
      </w:r>
    </w:p>
    <w:p w14:paraId="738A0E2F" w14:textId="77777777" w:rsidR="00AC6F3C" w:rsidRDefault="00570E88">
      <w:pPr>
        <w:tabs>
          <w:tab w:val="left" w:pos="3698"/>
        </w:tabs>
        <w:spacing w:before="25" w:after="30"/>
        <w:ind w:left="3698" w:right="1059" w:hanging="2628"/>
        <w:rPr>
          <w:sz w:val="18"/>
        </w:rPr>
      </w:pPr>
      <w:r>
        <w:rPr>
          <w:b/>
          <w:spacing w:val="-2"/>
          <w:sz w:val="18"/>
        </w:rPr>
        <w:t>President</w:t>
      </w:r>
      <w:r>
        <w:rPr>
          <w:b/>
          <w:sz w:val="18"/>
        </w:rPr>
        <w:tab/>
      </w:r>
      <w:r>
        <w:rPr>
          <w:sz w:val="18"/>
        </w:rPr>
        <w:t>Lead the Council in settling the corporate direction and goals and monitoring</w:t>
      </w:r>
      <w:r>
        <w:rPr>
          <w:spacing w:val="-2"/>
          <w:sz w:val="18"/>
        </w:rPr>
        <w:t xml:space="preserve"> </w:t>
      </w:r>
      <w:r>
        <w:rPr>
          <w:sz w:val="18"/>
        </w:rPr>
        <w:t>the</w:t>
      </w:r>
      <w:r>
        <w:rPr>
          <w:spacing w:val="-2"/>
          <w:sz w:val="18"/>
        </w:rPr>
        <w:t xml:space="preserve"> </w:t>
      </w:r>
      <w:r>
        <w:rPr>
          <w:sz w:val="18"/>
        </w:rPr>
        <w:t>performance</w:t>
      </w:r>
      <w:r>
        <w:rPr>
          <w:spacing w:val="-2"/>
          <w:sz w:val="18"/>
        </w:rPr>
        <w:t xml:space="preserve"> </w:t>
      </w:r>
      <w:r>
        <w:rPr>
          <w:sz w:val="18"/>
        </w:rPr>
        <w:t>of</w:t>
      </w:r>
      <w:r>
        <w:rPr>
          <w:spacing w:val="-8"/>
          <w:sz w:val="18"/>
        </w:rPr>
        <w:t xml:space="preserve"> </w:t>
      </w:r>
      <w:r>
        <w:rPr>
          <w:sz w:val="18"/>
        </w:rPr>
        <w:t>the</w:t>
      </w:r>
      <w:r>
        <w:rPr>
          <w:spacing w:val="-2"/>
          <w:sz w:val="18"/>
        </w:rPr>
        <w:t xml:space="preserve"> </w:t>
      </w:r>
      <w:r>
        <w:rPr>
          <w:sz w:val="18"/>
        </w:rPr>
        <w:t>Society.</w:t>
      </w:r>
      <w:r>
        <w:rPr>
          <w:spacing w:val="40"/>
          <w:sz w:val="18"/>
        </w:rPr>
        <w:t xml:space="preserve"> </w:t>
      </w:r>
      <w:r>
        <w:rPr>
          <w:sz w:val="18"/>
        </w:rPr>
        <w:t>Each</w:t>
      </w:r>
      <w:r>
        <w:rPr>
          <w:spacing w:val="-5"/>
          <w:sz w:val="18"/>
        </w:rPr>
        <w:t xml:space="preserve"> </w:t>
      </w:r>
      <w:r>
        <w:rPr>
          <w:sz w:val="18"/>
        </w:rPr>
        <w:t>President</w:t>
      </w:r>
      <w:r>
        <w:rPr>
          <w:spacing w:val="-3"/>
          <w:sz w:val="18"/>
        </w:rPr>
        <w:t xml:space="preserve"> </w:t>
      </w:r>
      <w:r>
        <w:rPr>
          <w:sz w:val="18"/>
        </w:rPr>
        <w:t>is</w:t>
      </w:r>
      <w:r>
        <w:rPr>
          <w:spacing w:val="-4"/>
          <w:sz w:val="18"/>
        </w:rPr>
        <w:t xml:space="preserve"> </w:t>
      </w:r>
      <w:r>
        <w:rPr>
          <w:sz w:val="18"/>
        </w:rPr>
        <w:t xml:space="preserve">elected for a term of one calendar year. Supported by elected Council </w:t>
      </w:r>
      <w:r>
        <w:rPr>
          <w:spacing w:val="-2"/>
          <w:sz w:val="18"/>
        </w:rPr>
        <w:t>Members.</w:t>
      </w:r>
    </w:p>
    <w:p w14:paraId="124F2002" w14:textId="77777777" w:rsidR="00AC6F3C" w:rsidRDefault="00570E88">
      <w:pPr>
        <w:pStyle w:val="BodyText"/>
        <w:spacing w:line="20" w:lineRule="exact"/>
        <w:ind w:left="963"/>
        <w:rPr>
          <w:sz w:val="2"/>
        </w:rPr>
      </w:pPr>
      <w:r>
        <w:rPr>
          <w:noProof/>
          <w:sz w:val="2"/>
        </w:rPr>
        <mc:AlternateContent>
          <mc:Choice Requires="wpg">
            <w:drawing>
              <wp:inline distT="0" distB="0" distL="0" distR="0" wp14:anchorId="6A5FA74C" wp14:editId="72A2042B">
                <wp:extent cx="5394960" cy="6350"/>
                <wp:effectExtent l="0" t="0" r="0" b="0"/>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6350"/>
                          <a:chOff x="0" y="0"/>
                          <a:chExt cx="5394960" cy="6350"/>
                        </a:xfrm>
                      </wpg:grpSpPr>
                      <wps:wsp>
                        <wps:cNvPr id="750" name="Graphic 750"/>
                        <wps:cNvSpPr/>
                        <wps:spPr>
                          <a:xfrm>
                            <a:off x="-8" y="9"/>
                            <a:ext cx="5394960" cy="6350"/>
                          </a:xfrm>
                          <a:custGeom>
                            <a:avLst/>
                            <a:gdLst/>
                            <a:ahLst/>
                            <a:cxnLst/>
                            <a:rect l="l" t="t" r="r" b="b"/>
                            <a:pathLst>
                              <a:path w="5394960" h="6350">
                                <a:moveTo>
                                  <a:pt x="5394566" y="0"/>
                                </a:moveTo>
                                <a:lnTo>
                                  <a:pt x="1674749" y="0"/>
                                </a:lnTo>
                                <a:lnTo>
                                  <a:pt x="1668653" y="0"/>
                                </a:lnTo>
                                <a:lnTo>
                                  <a:pt x="0" y="0"/>
                                </a:lnTo>
                                <a:lnTo>
                                  <a:pt x="0" y="6096"/>
                                </a:lnTo>
                                <a:lnTo>
                                  <a:pt x="1668653" y="6096"/>
                                </a:lnTo>
                                <a:lnTo>
                                  <a:pt x="1674749" y="6096"/>
                                </a:lnTo>
                                <a:lnTo>
                                  <a:pt x="5394566" y="6096"/>
                                </a:lnTo>
                                <a:lnTo>
                                  <a:pt x="53945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899EF5" id="Group 749" o:spid="_x0000_s1026" style="width:424.8pt;height:.5pt;mso-position-horizontal-relative:char;mso-position-vertical-relative:line" coordsize="53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">
                <v:shape id="Graphic 750" o:spid="_x0000_s1027" style="position:absolute;width:53949;height:63;visibility:visible;mso-wrap-style:square;v-text-anchor:top" coordsize="5394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" path="m5394566,l1674749,r-6096,l,,,6096r1668653,l1674749,6096r3719817,l5394566,xe" fillcolor="black" stroked="f">
                  <v:path arrowok="t"/>
                </v:shape>
                <w10:anchorlock/>
              </v:group>
            </w:pict>
          </mc:Fallback>
        </mc:AlternateContent>
      </w:r>
    </w:p>
    <w:p w14:paraId="008B94D1" w14:textId="77777777" w:rsidR="00AC6F3C" w:rsidRDefault="00570E88">
      <w:pPr>
        <w:tabs>
          <w:tab w:val="left" w:pos="3698"/>
        </w:tabs>
        <w:spacing w:before="17" w:line="207" w:lineRule="exact"/>
        <w:ind w:left="1071"/>
        <w:rPr>
          <w:sz w:val="18"/>
        </w:rPr>
      </w:pPr>
      <w:r>
        <w:rPr>
          <w:b/>
          <w:sz w:val="18"/>
        </w:rPr>
        <w:t xml:space="preserve">Deputy </w:t>
      </w:r>
      <w:r>
        <w:rPr>
          <w:b/>
          <w:spacing w:val="-2"/>
          <w:sz w:val="18"/>
        </w:rPr>
        <w:t>President</w:t>
      </w:r>
      <w:r>
        <w:rPr>
          <w:b/>
          <w:sz w:val="18"/>
        </w:rPr>
        <w:tab/>
      </w:r>
      <w:r>
        <w:rPr>
          <w:sz w:val="18"/>
        </w:rPr>
        <w:t>To</w:t>
      </w:r>
      <w:r>
        <w:rPr>
          <w:spacing w:val="-4"/>
          <w:sz w:val="18"/>
        </w:rPr>
        <w:t xml:space="preserve"> </w:t>
      </w:r>
      <w:r>
        <w:rPr>
          <w:sz w:val="18"/>
        </w:rPr>
        <w:t>provide</w:t>
      </w:r>
      <w:r>
        <w:rPr>
          <w:spacing w:val="-1"/>
          <w:sz w:val="18"/>
        </w:rPr>
        <w:t xml:space="preserve"> </w:t>
      </w:r>
      <w:r>
        <w:rPr>
          <w:sz w:val="18"/>
        </w:rPr>
        <w:t>direct</w:t>
      </w:r>
      <w:r>
        <w:rPr>
          <w:spacing w:val="-4"/>
          <w:sz w:val="18"/>
        </w:rPr>
        <w:t xml:space="preserve"> </w:t>
      </w:r>
      <w:r>
        <w:rPr>
          <w:sz w:val="18"/>
        </w:rPr>
        <w:t>support</w:t>
      </w:r>
      <w:r>
        <w:rPr>
          <w:spacing w:val="-4"/>
          <w:sz w:val="18"/>
        </w:rPr>
        <w:t xml:space="preserve"> </w:t>
      </w:r>
      <w:r>
        <w:rPr>
          <w:sz w:val="18"/>
        </w:rPr>
        <w:t>to</w:t>
      </w:r>
      <w:r>
        <w:rPr>
          <w:spacing w:val="-1"/>
          <w:sz w:val="18"/>
        </w:rPr>
        <w:t xml:space="preserve"> </w:t>
      </w:r>
      <w:r>
        <w:rPr>
          <w:sz w:val="18"/>
        </w:rPr>
        <w:t>President.</w:t>
      </w:r>
      <w:r>
        <w:rPr>
          <w:spacing w:val="-4"/>
          <w:sz w:val="18"/>
        </w:rPr>
        <w:t xml:space="preserve"> </w:t>
      </w:r>
      <w:r>
        <w:rPr>
          <w:sz w:val="18"/>
        </w:rPr>
        <w:t>The</w:t>
      </w:r>
      <w:r>
        <w:rPr>
          <w:spacing w:val="-1"/>
          <w:sz w:val="18"/>
        </w:rPr>
        <w:t xml:space="preserve"> </w:t>
      </w:r>
      <w:r>
        <w:rPr>
          <w:sz w:val="18"/>
        </w:rPr>
        <w:t>Deputy</w:t>
      </w:r>
      <w:r>
        <w:rPr>
          <w:spacing w:val="-1"/>
          <w:sz w:val="18"/>
        </w:rPr>
        <w:t xml:space="preserve"> </w:t>
      </w:r>
      <w:r>
        <w:rPr>
          <w:spacing w:val="-2"/>
          <w:sz w:val="18"/>
        </w:rPr>
        <w:t>President</w:t>
      </w:r>
    </w:p>
    <w:p w14:paraId="05D8D039" w14:textId="77777777" w:rsidR="00AC6F3C" w:rsidRDefault="00570E88">
      <w:pPr>
        <w:ind w:left="3698" w:right="1030"/>
        <w:rPr>
          <w:sz w:val="18"/>
        </w:rPr>
      </w:pPr>
      <w:r>
        <w:rPr>
          <w:noProof/>
        </w:rPr>
        <mc:AlternateContent>
          <mc:Choice Requires="wps">
            <w:drawing>
              <wp:anchor distT="0" distB="0" distL="0" distR="0" simplePos="0" relativeHeight="487682048" behindDoc="1" locked="0" layoutInCell="1" allowOverlap="1" wp14:anchorId="4C86E599" wp14:editId="6E2301B6">
                <wp:simplePos x="0" y="0"/>
                <wp:positionH relativeFrom="page">
                  <wp:posOffset>903655</wp:posOffset>
                </wp:positionH>
                <wp:positionV relativeFrom="paragraph">
                  <wp:posOffset>280915</wp:posOffset>
                </wp:positionV>
                <wp:extent cx="5394960" cy="635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6350"/>
                        </a:xfrm>
                        <a:custGeom>
                          <a:avLst/>
                          <a:gdLst/>
                          <a:ahLst/>
                          <a:cxnLst/>
                          <a:rect l="l" t="t" r="r" b="b"/>
                          <a:pathLst>
                            <a:path w="5394960" h="6350">
                              <a:moveTo>
                                <a:pt x="5394566" y="0"/>
                              </a:moveTo>
                              <a:lnTo>
                                <a:pt x="1674749" y="0"/>
                              </a:lnTo>
                              <a:lnTo>
                                <a:pt x="1668653" y="0"/>
                              </a:lnTo>
                              <a:lnTo>
                                <a:pt x="0" y="0"/>
                              </a:lnTo>
                              <a:lnTo>
                                <a:pt x="0" y="6121"/>
                              </a:lnTo>
                              <a:lnTo>
                                <a:pt x="1668653" y="6121"/>
                              </a:lnTo>
                              <a:lnTo>
                                <a:pt x="1674749" y="6121"/>
                              </a:lnTo>
                              <a:lnTo>
                                <a:pt x="5394566" y="6121"/>
                              </a:lnTo>
                              <a:lnTo>
                                <a:pt x="5394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4FA99" id="Graphic 751" o:spid="_x0000_s1026" style="position:absolute;margin-left:71.15pt;margin-top:22.1pt;width:424.8pt;height:.5pt;z-index:-15634432;visibility:visible;mso-wrap-style:square;mso-wrap-distance-left:0;mso-wrap-distance-top:0;mso-wrap-distance-right:0;mso-wrap-distance-bottom:0;mso-position-horizontal:absolute;mso-position-horizontal-relative:page;mso-position-vertical:absolute;mso-position-vertical-relative:text;v-text-anchor:top" coordsize="5394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" path="m5394566,l1674749,r-6096,l,,,6121r1668653,l1674749,6121r3719817,l5394566,xe" fillcolor="black" stroked="f">
                <v:path arrowok="t"/>
                <w10:wrap type="topAndBottom" anchorx="page"/>
              </v:shape>
            </w:pict>
          </mc:Fallback>
        </mc:AlternateContent>
      </w:r>
      <w:r>
        <w:rPr>
          <w:sz w:val="18"/>
        </w:rPr>
        <w:t>succeeds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office</w:t>
      </w:r>
      <w:r>
        <w:rPr>
          <w:spacing w:val="-2"/>
          <w:sz w:val="18"/>
        </w:rPr>
        <w:t xml:space="preserve"> </w:t>
      </w:r>
      <w:r>
        <w:rPr>
          <w:sz w:val="18"/>
        </w:rPr>
        <w:t>of</w:t>
      </w:r>
      <w:r>
        <w:rPr>
          <w:spacing w:val="-3"/>
          <w:sz w:val="18"/>
        </w:rPr>
        <w:t xml:space="preserve"> </w:t>
      </w:r>
      <w:r>
        <w:rPr>
          <w:sz w:val="18"/>
        </w:rPr>
        <w:t>President</w:t>
      </w:r>
      <w:r>
        <w:rPr>
          <w:spacing w:val="-3"/>
          <w:sz w:val="18"/>
        </w:rPr>
        <w:t xml:space="preserve"> </w:t>
      </w:r>
      <w:r>
        <w:rPr>
          <w:sz w:val="18"/>
        </w:rPr>
        <w:t>at</w:t>
      </w:r>
      <w:r>
        <w:rPr>
          <w:spacing w:val="-3"/>
          <w:sz w:val="18"/>
        </w:rPr>
        <w:t xml:space="preserve"> </w:t>
      </w:r>
      <w:r>
        <w:rPr>
          <w:sz w:val="18"/>
        </w:rPr>
        <w:t>the</w:t>
      </w:r>
      <w:r>
        <w:rPr>
          <w:spacing w:val="-2"/>
          <w:sz w:val="18"/>
        </w:rPr>
        <w:t xml:space="preserve"> </w:t>
      </w:r>
      <w:r>
        <w:rPr>
          <w:sz w:val="18"/>
        </w:rPr>
        <w:t>beginning</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 xml:space="preserve">second </w:t>
      </w:r>
      <w:r>
        <w:rPr>
          <w:spacing w:val="-2"/>
          <w:sz w:val="18"/>
        </w:rPr>
        <w:t>term.</w:t>
      </w:r>
    </w:p>
    <w:p w14:paraId="69B8DA52" w14:textId="77777777" w:rsidR="00AC6F3C" w:rsidRDefault="00570E88">
      <w:pPr>
        <w:tabs>
          <w:tab w:val="left" w:pos="3698"/>
        </w:tabs>
        <w:spacing w:before="28" w:line="207" w:lineRule="exact"/>
        <w:ind w:left="1071"/>
        <w:rPr>
          <w:sz w:val="18"/>
        </w:rPr>
      </w:pPr>
      <w:r>
        <w:rPr>
          <w:b/>
          <w:sz w:val="18"/>
        </w:rPr>
        <w:t xml:space="preserve">Vice </w:t>
      </w:r>
      <w:r>
        <w:rPr>
          <w:b/>
          <w:spacing w:val="-2"/>
          <w:sz w:val="18"/>
        </w:rPr>
        <w:t>President</w:t>
      </w:r>
      <w:r>
        <w:rPr>
          <w:b/>
          <w:sz w:val="18"/>
        </w:rPr>
        <w:tab/>
      </w:r>
      <w:r>
        <w:rPr>
          <w:sz w:val="18"/>
        </w:rPr>
        <w:t>Supporting</w:t>
      </w:r>
      <w:r>
        <w:rPr>
          <w:spacing w:val="-6"/>
          <w:sz w:val="18"/>
        </w:rPr>
        <w:t xml:space="preserve"> </w:t>
      </w:r>
      <w:r>
        <w:rPr>
          <w:sz w:val="18"/>
        </w:rPr>
        <w:t>the</w:t>
      </w:r>
      <w:r>
        <w:rPr>
          <w:spacing w:val="-2"/>
          <w:sz w:val="18"/>
        </w:rPr>
        <w:t xml:space="preserve"> </w:t>
      </w:r>
      <w:r>
        <w:rPr>
          <w:sz w:val="18"/>
        </w:rPr>
        <w:t>President</w:t>
      </w:r>
      <w:r>
        <w:rPr>
          <w:spacing w:val="-4"/>
          <w:sz w:val="18"/>
        </w:rPr>
        <w:t xml:space="preserve"> </w:t>
      </w:r>
      <w:r>
        <w:rPr>
          <w:sz w:val="18"/>
        </w:rPr>
        <w:t>and</w:t>
      </w:r>
      <w:r>
        <w:rPr>
          <w:spacing w:val="-5"/>
          <w:sz w:val="18"/>
        </w:rPr>
        <w:t xml:space="preserve"> </w:t>
      </w:r>
      <w:r>
        <w:rPr>
          <w:sz w:val="18"/>
        </w:rPr>
        <w:t>Deputy</w:t>
      </w:r>
      <w:r>
        <w:rPr>
          <w:spacing w:val="-3"/>
          <w:sz w:val="18"/>
        </w:rPr>
        <w:t xml:space="preserve"> </w:t>
      </w:r>
      <w:r>
        <w:rPr>
          <w:sz w:val="18"/>
        </w:rPr>
        <w:t>President</w:t>
      </w:r>
      <w:r>
        <w:rPr>
          <w:spacing w:val="-2"/>
          <w:sz w:val="18"/>
        </w:rPr>
        <w:t xml:space="preserve"> </w:t>
      </w:r>
      <w:r>
        <w:rPr>
          <w:sz w:val="18"/>
        </w:rPr>
        <w:t>in</w:t>
      </w:r>
      <w:r>
        <w:rPr>
          <w:spacing w:val="-4"/>
          <w:sz w:val="18"/>
        </w:rPr>
        <w:t xml:space="preserve"> </w:t>
      </w:r>
      <w:r>
        <w:rPr>
          <w:sz w:val="18"/>
        </w:rPr>
        <w:t>the</w:t>
      </w:r>
      <w:r>
        <w:rPr>
          <w:spacing w:val="-4"/>
          <w:sz w:val="18"/>
        </w:rPr>
        <w:t xml:space="preserve"> </w:t>
      </w:r>
      <w:r>
        <w:rPr>
          <w:sz w:val="18"/>
        </w:rPr>
        <w:t>discharge</w:t>
      </w:r>
      <w:r>
        <w:rPr>
          <w:spacing w:val="-1"/>
          <w:sz w:val="18"/>
        </w:rPr>
        <w:t xml:space="preserve"> </w:t>
      </w:r>
      <w:r>
        <w:rPr>
          <w:spacing w:val="-5"/>
          <w:sz w:val="18"/>
        </w:rPr>
        <w:t>of</w:t>
      </w:r>
    </w:p>
    <w:p w14:paraId="739C694A" w14:textId="77777777" w:rsidR="00AC6F3C" w:rsidRDefault="00570E88">
      <w:pPr>
        <w:spacing w:line="207" w:lineRule="exact"/>
        <w:ind w:right="1521"/>
        <w:jc w:val="right"/>
        <w:rPr>
          <w:sz w:val="18"/>
        </w:rPr>
      </w:pPr>
      <w:r>
        <w:rPr>
          <w:noProof/>
        </w:rPr>
        <mc:AlternateContent>
          <mc:Choice Requires="wps">
            <w:drawing>
              <wp:anchor distT="0" distB="0" distL="0" distR="0" simplePos="0" relativeHeight="487682560" behindDoc="1" locked="0" layoutInCell="1" allowOverlap="1" wp14:anchorId="500588DF" wp14:editId="7F60A042">
                <wp:simplePos x="0" y="0"/>
                <wp:positionH relativeFrom="page">
                  <wp:posOffset>903655</wp:posOffset>
                </wp:positionH>
                <wp:positionV relativeFrom="paragraph">
                  <wp:posOffset>149682</wp:posOffset>
                </wp:positionV>
                <wp:extent cx="5394960" cy="635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6350"/>
                        </a:xfrm>
                        <a:custGeom>
                          <a:avLst/>
                          <a:gdLst/>
                          <a:ahLst/>
                          <a:cxnLst/>
                          <a:rect l="l" t="t" r="r" b="b"/>
                          <a:pathLst>
                            <a:path w="5394960" h="6350">
                              <a:moveTo>
                                <a:pt x="5394566" y="0"/>
                              </a:moveTo>
                              <a:lnTo>
                                <a:pt x="1674749" y="0"/>
                              </a:lnTo>
                              <a:lnTo>
                                <a:pt x="1668653" y="0"/>
                              </a:lnTo>
                              <a:lnTo>
                                <a:pt x="0" y="0"/>
                              </a:lnTo>
                              <a:lnTo>
                                <a:pt x="0" y="6096"/>
                              </a:lnTo>
                              <a:lnTo>
                                <a:pt x="1668653" y="6096"/>
                              </a:lnTo>
                              <a:lnTo>
                                <a:pt x="1674749" y="6096"/>
                              </a:lnTo>
                              <a:lnTo>
                                <a:pt x="5394566" y="6096"/>
                              </a:lnTo>
                              <a:lnTo>
                                <a:pt x="5394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E9F88" id="Graphic 752" o:spid="_x0000_s1026" style="position:absolute;margin-left:71.15pt;margin-top:11.8pt;width:424.8pt;height:.5pt;z-index:-15633920;visibility:visible;mso-wrap-style:square;mso-wrap-distance-left:0;mso-wrap-distance-top:0;mso-wrap-distance-right:0;mso-wrap-distance-bottom:0;mso-position-horizontal:absolute;mso-position-horizontal-relative:page;mso-position-vertical:absolute;mso-position-vertical-relative:text;v-text-anchor:top" coordsize="5394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" path="m5394566,l1674749,r-6096,l,,,6096r1668653,l1674749,6096r3719817,l5394566,xe" fillcolor="black" stroked="f">
                <v:path arrowok="t"/>
                <w10:wrap type="topAndBottom" anchorx="page"/>
              </v:shape>
            </w:pict>
          </mc:Fallback>
        </mc:AlternateContent>
      </w:r>
      <w:r>
        <w:rPr>
          <w:sz w:val="18"/>
        </w:rPr>
        <w:t>their</w:t>
      </w:r>
      <w:r>
        <w:rPr>
          <w:spacing w:val="-4"/>
          <w:sz w:val="18"/>
        </w:rPr>
        <w:t xml:space="preserve"> </w:t>
      </w:r>
      <w:r>
        <w:rPr>
          <w:sz w:val="18"/>
        </w:rPr>
        <w:t>duties.</w:t>
      </w:r>
      <w:r>
        <w:rPr>
          <w:spacing w:val="-4"/>
          <w:sz w:val="18"/>
        </w:rPr>
        <w:t xml:space="preserve"> </w:t>
      </w:r>
      <w:r>
        <w:rPr>
          <w:sz w:val="18"/>
        </w:rPr>
        <w:t>The</w:t>
      </w:r>
      <w:r>
        <w:rPr>
          <w:spacing w:val="-1"/>
          <w:sz w:val="18"/>
        </w:rPr>
        <w:t xml:space="preserve"> </w:t>
      </w:r>
      <w:r>
        <w:rPr>
          <w:sz w:val="18"/>
        </w:rPr>
        <w:t>Vice</w:t>
      </w:r>
      <w:r>
        <w:rPr>
          <w:spacing w:val="-3"/>
          <w:sz w:val="18"/>
        </w:rPr>
        <w:t xml:space="preserve"> </w:t>
      </w:r>
      <w:r>
        <w:rPr>
          <w:sz w:val="18"/>
        </w:rPr>
        <w:t>President</w:t>
      </w:r>
      <w:r>
        <w:rPr>
          <w:spacing w:val="-2"/>
          <w:sz w:val="18"/>
        </w:rPr>
        <w:t xml:space="preserve"> </w:t>
      </w:r>
      <w:r>
        <w:rPr>
          <w:sz w:val="18"/>
        </w:rPr>
        <w:t>holds</w:t>
      </w:r>
      <w:r>
        <w:rPr>
          <w:spacing w:val="-1"/>
          <w:sz w:val="18"/>
        </w:rPr>
        <w:t xml:space="preserve"> </w:t>
      </w:r>
      <w:r>
        <w:rPr>
          <w:sz w:val="18"/>
        </w:rPr>
        <w:t>office</w:t>
      </w:r>
      <w:r>
        <w:rPr>
          <w:spacing w:val="-1"/>
          <w:sz w:val="18"/>
        </w:rPr>
        <w:t xml:space="preserve"> </w:t>
      </w:r>
      <w:r>
        <w:rPr>
          <w:sz w:val="18"/>
        </w:rPr>
        <w:t>for</w:t>
      </w:r>
      <w:r>
        <w:rPr>
          <w:spacing w:val="-1"/>
          <w:sz w:val="18"/>
        </w:rPr>
        <w:t xml:space="preserve"> </w:t>
      </w:r>
      <w:r>
        <w:rPr>
          <w:sz w:val="18"/>
        </w:rPr>
        <w:t>a</w:t>
      </w:r>
      <w:r>
        <w:rPr>
          <w:spacing w:val="-1"/>
          <w:sz w:val="18"/>
        </w:rPr>
        <w:t xml:space="preserve"> </w:t>
      </w:r>
      <w:r>
        <w:rPr>
          <w:sz w:val="18"/>
        </w:rPr>
        <w:t>two</w:t>
      </w:r>
      <w:r>
        <w:rPr>
          <w:spacing w:val="-4"/>
          <w:sz w:val="18"/>
        </w:rPr>
        <w:t xml:space="preserve"> </w:t>
      </w:r>
      <w:r>
        <w:rPr>
          <w:sz w:val="18"/>
        </w:rPr>
        <w:t>year</w:t>
      </w:r>
      <w:r>
        <w:rPr>
          <w:spacing w:val="-1"/>
          <w:sz w:val="18"/>
        </w:rPr>
        <w:t xml:space="preserve"> </w:t>
      </w:r>
      <w:r>
        <w:rPr>
          <w:spacing w:val="-4"/>
          <w:sz w:val="18"/>
        </w:rPr>
        <w:t>term.</w:t>
      </w:r>
    </w:p>
    <w:p w14:paraId="5280333E" w14:textId="77777777" w:rsidR="00AC6F3C" w:rsidRDefault="00570E88">
      <w:pPr>
        <w:tabs>
          <w:tab w:val="left" w:pos="2627"/>
        </w:tabs>
        <w:spacing w:before="28" w:line="207" w:lineRule="exact"/>
        <w:ind w:right="1470"/>
        <w:jc w:val="right"/>
        <w:rPr>
          <w:sz w:val="18"/>
        </w:rPr>
      </w:pPr>
      <w:r>
        <w:rPr>
          <w:b/>
          <w:sz w:val="18"/>
        </w:rPr>
        <w:t>Chief</w:t>
      </w:r>
      <w:r>
        <w:rPr>
          <w:b/>
          <w:spacing w:val="-3"/>
          <w:sz w:val="18"/>
        </w:rPr>
        <w:t xml:space="preserve"> </w:t>
      </w:r>
      <w:r>
        <w:rPr>
          <w:b/>
          <w:sz w:val="18"/>
        </w:rPr>
        <w:t>Executive</w:t>
      </w:r>
      <w:r>
        <w:rPr>
          <w:b/>
          <w:spacing w:val="-3"/>
          <w:sz w:val="18"/>
        </w:rPr>
        <w:t xml:space="preserve"> </w:t>
      </w:r>
      <w:r>
        <w:rPr>
          <w:b/>
          <w:spacing w:val="-2"/>
          <w:sz w:val="18"/>
        </w:rPr>
        <w:t>Officer</w:t>
      </w:r>
      <w:r>
        <w:rPr>
          <w:b/>
          <w:sz w:val="18"/>
        </w:rPr>
        <w:tab/>
      </w:r>
      <w:r>
        <w:rPr>
          <w:sz w:val="18"/>
        </w:rPr>
        <w:t>To</w:t>
      </w:r>
      <w:r>
        <w:rPr>
          <w:spacing w:val="-2"/>
          <w:sz w:val="18"/>
        </w:rPr>
        <w:t xml:space="preserve"> </w:t>
      </w:r>
      <w:r>
        <w:rPr>
          <w:sz w:val="18"/>
        </w:rPr>
        <w:t>lead</w:t>
      </w:r>
      <w:r>
        <w:rPr>
          <w:spacing w:val="-1"/>
          <w:sz w:val="18"/>
        </w:rPr>
        <w:t xml:space="preserve"> </w:t>
      </w:r>
      <w:r>
        <w:rPr>
          <w:sz w:val="18"/>
        </w:rPr>
        <w:t>day</w:t>
      </w:r>
      <w:r>
        <w:rPr>
          <w:spacing w:val="-2"/>
          <w:sz w:val="18"/>
        </w:rPr>
        <w:t xml:space="preserve"> </w:t>
      </w:r>
      <w:r>
        <w:rPr>
          <w:sz w:val="18"/>
        </w:rPr>
        <w:t>to</w:t>
      </w:r>
      <w:r>
        <w:rPr>
          <w:spacing w:val="-1"/>
          <w:sz w:val="18"/>
        </w:rPr>
        <w:t xml:space="preserve"> </w:t>
      </w:r>
      <w:r>
        <w:rPr>
          <w:sz w:val="18"/>
        </w:rPr>
        <w:t>day</w:t>
      </w:r>
      <w:r>
        <w:rPr>
          <w:spacing w:val="-2"/>
          <w:sz w:val="18"/>
        </w:rPr>
        <w:t xml:space="preserve"> </w:t>
      </w:r>
      <w:r>
        <w:rPr>
          <w:sz w:val="18"/>
        </w:rPr>
        <w:t>operations</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Society</w:t>
      </w:r>
      <w:r>
        <w:rPr>
          <w:spacing w:val="-1"/>
          <w:sz w:val="18"/>
        </w:rPr>
        <w:t xml:space="preserve"> </w:t>
      </w:r>
      <w:r>
        <w:rPr>
          <w:sz w:val="18"/>
        </w:rPr>
        <w:t>and</w:t>
      </w:r>
      <w:r>
        <w:rPr>
          <w:spacing w:val="-2"/>
          <w:sz w:val="18"/>
        </w:rPr>
        <w:t xml:space="preserve"> </w:t>
      </w:r>
      <w:r>
        <w:rPr>
          <w:sz w:val="18"/>
        </w:rPr>
        <w:t>is</w:t>
      </w:r>
      <w:r>
        <w:rPr>
          <w:spacing w:val="-1"/>
          <w:sz w:val="18"/>
        </w:rPr>
        <w:t xml:space="preserve"> </w:t>
      </w:r>
      <w:r>
        <w:rPr>
          <w:sz w:val="18"/>
        </w:rPr>
        <w:t>charged</w:t>
      </w:r>
      <w:r>
        <w:rPr>
          <w:spacing w:val="-4"/>
          <w:sz w:val="18"/>
        </w:rPr>
        <w:t xml:space="preserve"> with</w:t>
      </w:r>
    </w:p>
    <w:p w14:paraId="1B3AB901" w14:textId="77777777" w:rsidR="00AC6F3C" w:rsidRDefault="00570E88">
      <w:pPr>
        <w:ind w:left="3698" w:right="909"/>
        <w:rPr>
          <w:sz w:val="18"/>
        </w:rPr>
      </w:pPr>
      <w:r>
        <w:rPr>
          <w:noProof/>
        </w:rPr>
        <mc:AlternateContent>
          <mc:Choice Requires="wps">
            <w:drawing>
              <wp:anchor distT="0" distB="0" distL="0" distR="0" simplePos="0" relativeHeight="487683072" behindDoc="1" locked="0" layoutInCell="1" allowOverlap="1" wp14:anchorId="38F10E98" wp14:editId="12C9B88F">
                <wp:simplePos x="0" y="0"/>
                <wp:positionH relativeFrom="page">
                  <wp:posOffset>894511</wp:posOffset>
                </wp:positionH>
                <wp:positionV relativeFrom="paragraph">
                  <wp:posOffset>544535</wp:posOffset>
                </wp:positionV>
                <wp:extent cx="5403850" cy="635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0" cy="6350"/>
                        </a:xfrm>
                        <a:custGeom>
                          <a:avLst/>
                          <a:gdLst/>
                          <a:ahLst/>
                          <a:cxnLst/>
                          <a:rect l="l" t="t" r="r" b="b"/>
                          <a:pathLst>
                            <a:path w="5403850" h="6350">
                              <a:moveTo>
                                <a:pt x="5403710" y="0"/>
                              </a:moveTo>
                              <a:lnTo>
                                <a:pt x="1677797" y="0"/>
                              </a:lnTo>
                              <a:lnTo>
                                <a:pt x="1674749" y="0"/>
                              </a:lnTo>
                              <a:lnTo>
                                <a:pt x="1668653" y="0"/>
                              </a:lnTo>
                              <a:lnTo>
                                <a:pt x="0" y="0"/>
                              </a:lnTo>
                              <a:lnTo>
                                <a:pt x="0" y="6083"/>
                              </a:lnTo>
                              <a:lnTo>
                                <a:pt x="1668653" y="6083"/>
                              </a:lnTo>
                              <a:lnTo>
                                <a:pt x="1674749" y="6083"/>
                              </a:lnTo>
                              <a:lnTo>
                                <a:pt x="1677797" y="6083"/>
                              </a:lnTo>
                              <a:lnTo>
                                <a:pt x="5403710" y="6083"/>
                              </a:lnTo>
                              <a:lnTo>
                                <a:pt x="5403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E1D08" id="Graphic 753" o:spid="_x0000_s1026" style="position:absolute;margin-left:70.45pt;margin-top:42.9pt;width:425.5pt;height:.5pt;z-index:-15633408;visibility:visible;mso-wrap-style:square;mso-wrap-distance-left:0;mso-wrap-distance-top:0;mso-wrap-distance-right:0;mso-wrap-distance-bottom:0;mso-position-horizontal:absolute;mso-position-horizontal-relative:page;mso-position-vertical:absolute;mso-position-vertical-relative:text;v-text-anchor:top" coordsize="5403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" path="m5403710,l1677797,r-3048,l1668653,,,,,6083r1668653,l1674749,6083r3048,l5403710,6083r,-6083xe" fillcolor="black" stroked="f">
                <v:path arrowok="t"/>
                <w10:wrap type="topAndBottom" anchorx="page"/>
              </v:shape>
            </w:pict>
          </mc:Fallback>
        </mc:AlternateContent>
      </w:r>
      <w:r>
        <w:rPr>
          <w:sz w:val="18"/>
        </w:rPr>
        <w:t>implementing and managing best practice standards and processes in risk management, compliance and governance of the Society. The Chief</w:t>
      </w:r>
      <w:r>
        <w:rPr>
          <w:spacing w:val="-3"/>
          <w:sz w:val="18"/>
        </w:rPr>
        <w:t xml:space="preserve"> </w:t>
      </w:r>
      <w:r>
        <w:rPr>
          <w:sz w:val="18"/>
        </w:rPr>
        <w:t>Executive</w:t>
      </w:r>
      <w:r>
        <w:rPr>
          <w:spacing w:val="-2"/>
          <w:sz w:val="18"/>
        </w:rPr>
        <w:t xml:space="preserve"> </w:t>
      </w:r>
      <w:r>
        <w:rPr>
          <w:sz w:val="18"/>
        </w:rPr>
        <w:t>Officer</w:t>
      </w:r>
      <w:r>
        <w:rPr>
          <w:spacing w:val="-5"/>
          <w:sz w:val="18"/>
        </w:rPr>
        <w:t xml:space="preserve"> </w:t>
      </w:r>
      <w:r>
        <w:rPr>
          <w:sz w:val="18"/>
        </w:rPr>
        <w:t>is</w:t>
      </w:r>
      <w:r>
        <w:rPr>
          <w:spacing w:val="-4"/>
          <w:sz w:val="18"/>
        </w:rPr>
        <w:t xml:space="preserve"> </w:t>
      </w:r>
      <w:r>
        <w:rPr>
          <w:sz w:val="18"/>
        </w:rPr>
        <w:t>accountable</w:t>
      </w:r>
      <w:r>
        <w:rPr>
          <w:spacing w:val="-2"/>
          <w:sz w:val="18"/>
        </w:rPr>
        <w:t xml:space="preserve"> </w:t>
      </w:r>
      <w:r>
        <w:rPr>
          <w:sz w:val="18"/>
        </w:rPr>
        <w:t>to</w:t>
      </w:r>
      <w:r>
        <w:rPr>
          <w:spacing w:val="-2"/>
          <w:sz w:val="18"/>
        </w:rPr>
        <w:t xml:space="preserve"> </w:t>
      </w:r>
      <w:r>
        <w:rPr>
          <w:sz w:val="18"/>
        </w:rPr>
        <w:t>the</w:t>
      </w:r>
      <w:r>
        <w:rPr>
          <w:spacing w:val="-5"/>
          <w:sz w:val="18"/>
        </w:rPr>
        <w:t xml:space="preserve"> </w:t>
      </w:r>
      <w:r>
        <w:rPr>
          <w:sz w:val="18"/>
        </w:rPr>
        <w:t>governing</w:t>
      </w:r>
      <w:r>
        <w:rPr>
          <w:spacing w:val="-5"/>
          <w:sz w:val="18"/>
        </w:rPr>
        <w:t xml:space="preserve"> </w:t>
      </w:r>
      <w:r>
        <w:rPr>
          <w:sz w:val="18"/>
        </w:rPr>
        <w:t>body</w:t>
      </w:r>
      <w:r>
        <w:rPr>
          <w:spacing w:val="-4"/>
          <w:sz w:val="18"/>
        </w:rPr>
        <w:t xml:space="preserve"> </w:t>
      </w:r>
      <w:r>
        <w:rPr>
          <w:sz w:val="18"/>
        </w:rPr>
        <w:t>of</w:t>
      </w:r>
      <w:r>
        <w:rPr>
          <w:spacing w:val="-3"/>
          <w:sz w:val="18"/>
        </w:rPr>
        <w:t xml:space="preserve"> </w:t>
      </w:r>
      <w:r>
        <w:rPr>
          <w:sz w:val="18"/>
        </w:rPr>
        <w:t>elected Council members.</w:t>
      </w:r>
    </w:p>
    <w:p w14:paraId="36D808EC" w14:textId="77777777" w:rsidR="00AC6F3C" w:rsidRDefault="00AC6F3C">
      <w:pPr>
        <w:pStyle w:val="BodyText"/>
      </w:pPr>
    </w:p>
    <w:p w14:paraId="18DB09FF" w14:textId="77777777" w:rsidR="00AC6F3C" w:rsidRDefault="00AC6F3C">
      <w:pPr>
        <w:pStyle w:val="BodyText"/>
        <w:spacing w:before="7" w:after="1"/>
      </w:pPr>
    </w:p>
    <w:tbl>
      <w:tblPr>
        <w:tblW w:w="0" w:type="auto"/>
        <w:tblInd w:w="936" w:type="dxa"/>
        <w:tblLayout w:type="fixed"/>
        <w:tblCellMar>
          <w:left w:w="0" w:type="dxa"/>
          <w:right w:w="0" w:type="dxa"/>
        </w:tblCellMar>
        <w:tblLook w:val="01E0" w:firstRow="1" w:lastRow="1" w:firstColumn="1" w:lastColumn="1" w:noHBand="0" w:noVBand="0"/>
      </w:tblPr>
      <w:tblGrid>
        <w:gridCol w:w="2160"/>
        <w:gridCol w:w="2191"/>
        <w:gridCol w:w="2384"/>
        <w:gridCol w:w="1825"/>
      </w:tblGrid>
      <w:tr w:rsidR="00AC6F3C" w14:paraId="2146DF0B" w14:textId="77777777">
        <w:trPr>
          <w:trHeight w:val="455"/>
        </w:trPr>
        <w:tc>
          <w:tcPr>
            <w:tcW w:w="2160" w:type="dxa"/>
            <w:tcBorders>
              <w:bottom w:val="single" w:sz="4" w:space="0" w:color="000000"/>
            </w:tcBorders>
            <w:shd w:val="clear" w:color="auto" w:fill="D9D9D9"/>
          </w:tcPr>
          <w:p w14:paraId="261B4152" w14:textId="77777777" w:rsidR="00AC6F3C" w:rsidRDefault="00570E88">
            <w:pPr>
              <w:pStyle w:val="TableParagraph"/>
              <w:spacing w:before="124"/>
              <w:ind w:left="136"/>
              <w:rPr>
                <w:b/>
                <w:sz w:val="18"/>
              </w:rPr>
            </w:pPr>
            <w:r>
              <w:rPr>
                <w:b/>
                <w:spacing w:val="-2"/>
                <w:sz w:val="18"/>
              </w:rPr>
              <w:t>Position</w:t>
            </w:r>
          </w:p>
        </w:tc>
        <w:tc>
          <w:tcPr>
            <w:tcW w:w="2191" w:type="dxa"/>
            <w:tcBorders>
              <w:bottom w:val="single" w:sz="4" w:space="0" w:color="000000"/>
            </w:tcBorders>
            <w:shd w:val="clear" w:color="auto" w:fill="D9D9D9"/>
          </w:tcPr>
          <w:p w14:paraId="7EA5BDC7" w14:textId="77777777" w:rsidR="00AC6F3C" w:rsidRDefault="00570E88">
            <w:pPr>
              <w:pStyle w:val="TableParagraph"/>
              <w:spacing w:before="124"/>
              <w:ind w:left="189"/>
              <w:rPr>
                <w:b/>
                <w:sz w:val="18"/>
              </w:rPr>
            </w:pPr>
            <w:r>
              <w:rPr>
                <w:b/>
                <w:spacing w:val="-2"/>
                <w:sz w:val="18"/>
              </w:rPr>
              <w:t>Person</w:t>
            </w:r>
          </w:p>
        </w:tc>
        <w:tc>
          <w:tcPr>
            <w:tcW w:w="2384" w:type="dxa"/>
            <w:tcBorders>
              <w:bottom w:val="single" w:sz="4" w:space="0" w:color="000000"/>
            </w:tcBorders>
            <w:shd w:val="clear" w:color="auto" w:fill="D9D9D9"/>
          </w:tcPr>
          <w:p w14:paraId="376E7713" w14:textId="77777777" w:rsidR="00AC6F3C" w:rsidRDefault="00570E88">
            <w:pPr>
              <w:pStyle w:val="TableParagraph"/>
              <w:spacing w:before="124"/>
              <w:ind w:right="628"/>
              <w:jc w:val="right"/>
              <w:rPr>
                <w:b/>
                <w:sz w:val="18"/>
              </w:rPr>
            </w:pPr>
            <w:r>
              <w:rPr>
                <w:b/>
                <w:sz w:val="18"/>
              </w:rPr>
              <w:t>Start</w:t>
            </w:r>
            <w:r>
              <w:rPr>
                <w:b/>
                <w:spacing w:val="-2"/>
                <w:sz w:val="18"/>
              </w:rPr>
              <w:t xml:space="preserve"> </w:t>
            </w:r>
            <w:r>
              <w:rPr>
                <w:b/>
                <w:sz w:val="18"/>
              </w:rPr>
              <w:t>of</w:t>
            </w:r>
            <w:r>
              <w:rPr>
                <w:b/>
                <w:spacing w:val="-1"/>
                <w:sz w:val="18"/>
              </w:rPr>
              <w:t xml:space="preserve"> </w:t>
            </w:r>
            <w:r>
              <w:rPr>
                <w:b/>
                <w:spacing w:val="-4"/>
                <w:sz w:val="18"/>
              </w:rPr>
              <w:t>Term</w:t>
            </w:r>
          </w:p>
        </w:tc>
        <w:tc>
          <w:tcPr>
            <w:tcW w:w="1825" w:type="dxa"/>
            <w:tcBorders>
              <w:bottom w:val="single" w:sz="4" w:space="0" w:color="000000"/>
            </w:tcBorders>
            <w:shd w:val="clear" w:color="auto" w:fill="D9D9D9"/>
          </w:tcPr>
          <w:p w14:paraId="23DAF071" w14:textId="77777777" w:rsidR="00AC6F3C" w:rsidRDefault="00570E88">
            <w:pPr>
              <w:pStyle w:val="TableParagraph"/>
              <w:spacing w:before="124"/>
              <w:ind w:right="137"/>
              <w:jc w:val="right"/>
              <w:rPr>
                <w:b/>
                <w:sz w:val="18"/>
              </w:rPr>
            </w:pPr>
            <w:r>
              <w:rPr>
                <w:b/>
                <w:sz w:val="18"/>
              </w:rPr>
              <w:t>End</w:t>
            </w:r>
            <w:r>
              <w:rPr>
                <w:b/>
                <w:spacing w:val="-3"/>
                <w:sz w:val="18"/>
              </w:rPr>
              <w:t xml:space="preserve"> </w:t>
            </w:r>
            <w:r>
              <w:rPr>
                <w:b/>
                <w:sz w:val="18"/>
              </w:rPr>
              <w:t xml:space="preserve">of </w:t>
            </w:r>
            <w:r>
              <w:rPr>
                <w:b/>
                <w:spacing w:val="-4"/>
                <w:sz w:val="18"/>
              </w:rPr>
              <w:t>Term</w:t>
            </w:r>
          </w:p>
        </w:tc>
      </w:tr>
      <w:tr w:rsidR="00AC6F3C" w14:paraId="47FFA55C" w14:textId="77777777">
        <w:trPr>
          <w:trHeight w:val="335"/>
        </w:trPr>
        <w:tc>
          <w:tcPr>
            <w:tcW w:w="2160" w:type="dxa"/>
            <w:tcBorders>
              <w:top w:val="single" w:sz="4" w:space="0" w:color="000000"/>
              <w:bottom w:val="single" w:sz="4" w:space="0" w:color="000000"/>
            </w:tcBorders>
          </w:tcPr>
          <w:p w14:paraId="36E7611E" w14:textId="77777777" w:rsidR="00AC6F3C" w:rsidRDefault="00570E88">
            <w:pPr>
              <w:pStyle w:val="TableParagraph"/>
              <w:spacing w:before="63"/>
              <w:ind w:left="136"/>
              <w:rPr>
                <w:sz w:val="18"/>
              </w:rPr>
            </w:pPr>
            <w:r>
              <w:rPr>
                <w:spacing w:val="-2"/>
                <w:sz w:val="18"/>
              </w:rPr>
              <w:t>President</w:t>
            </w:r>
          </w:p>
        </w:tc>
        <w:tc>
          <w:tcPr>
            <w:tcW w:w="2191" w:type="dxa"/>
            <w:tcBorders>
              <w:top w:val="single" w:sz="4" w:space="0" w:color="000000"/>
              <w:bottom w:val="single" w:sz="4" w:space="0" w:color="000000"/>
            </w:tcBorders>
          </w:tcPr>
          <w:p w14:paraId="6585979C" w14:textId="77777777" w:rsidR="00AC6F3C" w:rsidRDefault="00570E88">
            <w:pPr>
              <w:pStyle w:val="TableParagraph"/>
              <w:spacing w:before="63"/>
              <w:ind w:left="189"/>
              <w:rPr>
                <w:sz w:val="18"/>
              </w:rPr>
            </w:pPr>
            <w:r>
              <w:rPr>
                <w:sz w:val="18"/>
              </w:rPr>
              <w:t xml:space="preserve">Chloé </w:t>
            </w:r>
            <w:r>
              <w:rPr>
                <w:spacing w:val="-2"/>
                <w:sz w:val="18"/>
              </w:rPr>
              <w:t>Kopilovic</w:t>
            </w:r>
          </w:p>
        </w:tc>
        <w:tc>
          <w:tcPr>
            <w:tcW w:w="2384" w:type="dxa"/>
            <w:tcBorders>
              <w:top w:val="single" w:sz="4" w:space="0" w:color="000000"/>
              <w:bottom w:val="single" w:sz="4" w:space="0" w:color="000000"/>
            </w:tcBorders>
          </w:tcPr>
          <w:p w14:paraId="51162219" w14:textId="77777777" w:rsidR="00AC6F3C" w:rsidRDefault="00570E88">
            <w:pPr>
              <w:pStyle w:val="TableParagraph"/>
              <w:spacing w:before="63"/>
              <w:ind w:right="627"/>
              <w:jc w:val="right"/>
              <w:rPr>
                <w:sz w:val="18"/>
              </w:rPr>
            </w:pPr>
            <w:r>
              <w:rPr>
                <w:spacing w:val="-2"/>
                <w:sz w:val="18"/>
              </w:rPr>
              <w:t>1/01/2023</w:t>
            </w:r>
          </w:p>
        </w:tc>
        <w:tc>
          <w:tcPr>
            <w:tcW w:w="1825" w:type="dxa"/>
            <w:tcBorders>
              <w:top w:val="single" w:sz="4" w:space="0" w:color="000000"/>
              <w:bottom w:val="single" w:sz="4" w:space="0" w:color="000000"/>
            </w:tcBorders>
          </w:tcPr>
          <w:p w14:paraId="5926FE89" w14:textId="77777777" w:rsidR="00AC6F3C" w:rsidRDefault="00570E88">
            <w:pPr>
              <w:pStyle w:val="TableParagraph"/>
              <w:spacing w:before="63"/>
              <w:ind w:right="137"/>
              <w:jc w:val="right"/>
              <w:rPr>
                <w:sz w:val="18"/>
              </w:rPr>
            </w:pPr>
            <w:r>
              <w:rPr>
                <w:spacing w:val="-2"/>
                <w:sz w:val="18"/>
              </w:rPr>
              <w:t>30/06/2023</w:t>
            </w:r>
          </w:p>
        </w:tc>
      </w:tr>
      <w:tr w:rsidR="00AC6F3C" w14:paraId="502CD93C" w14:textId="77777777">
        <w:trPr>
          <w:trHeight w:val="337"/>
        </w:trPr>
        <w:tc>
          <w:tcPr>
            <w:tcW w:w="2160" w:type="dxa"/>
            <w:tcBorders>
              <w:top w:val="single" w:sz="4" w:space="0" w:color="000000"/>
              <w:bottom w:val="single" w:sz="4" w:space="0" w:color="000000"/>
            </w:tcBorders>
          </w:tcPr>
          <w:p w14:paraId="3577A139" w14:textId="77777777" w:rsidR="00AC6F3C" w:rsidRDefault="00570E88">
            <w:pPr>
              <w:pStyle w:val="TableParagraph"/>
              <w:spacing w:before="63"/>
              <w:ind w:left="136"/>
              <w:rPr>
                <w:sz w:val="18"/>
              </w:rPr>
            </w:pPr>
            <w:r>
              <w:rPr>
                <w:spacing w:val="-2"/>
                <w:sz w:val="18"/>
              </w:rPr>
              <w:t>President</w:t>
            </w:r>
          </w:p>
        </w:tc>
        <w:tc>
          <w:tcPr>
            <w:tcW w:w="2191" w:type="dxa"/>
            <w:tcBorders>
              <w:top w:val="single" w:sz="4" w:space="0" w:color="000000"/>
              <w:bottom w:val="single" w:sz="4" w:space="0" w:color="000000"/>
            </w:tcBorders>
          </w:tcPr>
          <w:p w14:paraId="4970E9A3" w14:textId="77777777" w:rsidR="00AC6F3C" w:rsidRDefault="00570E88">
            <w:pPr>
              <w:pStyle w:val="TableParagraph"/>
              <w:spacing w:before="63"/>
              <w:ind w:left="189"/>
              <w:rPr>
                <w:sz w:val="18"/>
              </w:rPr>
            </w:pPr>
            <w:r>
              <w:rPr>
                <w:sz w:val="18"/>
              </w:rPr>
              <w:t xml:space="preserve">Kara </w:t>
            </w:r>
            <w:r>
              <w:rPr>
                <w:spacing w:val="-2"/>
                <w:sz w:val="18"/>
              </w:rPr>
              <w:t>Thomson</w:t>
            </w:r>
          </w:p>
        </w:tc>
        <w:tc>
          <w:tcPr>
            <w:tcW w:w="2384" w:type="dxa"/>
            <w:tcBorders>
              <w:top w:val="single" w:sz="4" w:space="0" w:color="000000"/>
              <w:bottom w:val="single" w:sz="4" w:space="0" w:color="000000"/>
            </w:tcBorders>
          </w:tcPr>
          <w:p w14:paraId="0BBFFB91" w14:textId="77777777" w:rsidR="00AC6F3C" w:rsidRDefault="00570E88">
            <w:pPr>
              <w:pStyle w:val="TableParagraph"/>
              <w:spacing w:before="63"/>
              <w:ind w:right="628"/>
              <w:jc w:val="right"/>
              <w:rPr>
                <w:sz w:val="18"/>
              </w:rPr>
            </w:pPr>
            <w:r>
              <w:rPr>
                <w:spacing w:val="-2"/>
                <w:sz w:val="18"/>
              </w:rPr>
              <w:t>1/07/2022</w:t>
            </w:r>
          </w:p>
        </w:tc>
        <w:tc>
          <w:tcPr>
            <w:tcW w:w="1825" w:type="dxa"/>
            <w:tcBorders>
              <w:top w:val="single" w:sz="4" w:space="0" w:color="000000"/>
              <w:bottom w:val="single" w:sz="4" w:space="0" w:color="000000"/>
            </w:tcBorders>
          </w:tcPr>
          <w:p w14:paraId="5F22ABFC" w14:textId="77777777" w:rsidR="00AC6F3C" w:rsidRDefault="00570E88">
            <w:pPr>
              <w:pStyle w:val="TableParagraph"/>
              <w:spacing w:before="63"/>
              <w:ind w:right="137"/>
              <w:jc w:val="right"/>
              <w:rPr>
                <w:sz w:val="18"/>
              </w:rPr>
            </w:pPr>
            <w:r>
              <w:rPr>
                <w:spacing w:val="-2"/>
                <w:sz w:val="18"/>
              </w:rPr>
              <w:t>31/12/2022</w:t>
            </w:r>
          </w:p>
        </w:tc>
      </w:tr>
      <w:tr w:rsidR="00AC6F3C" w14:paraId="0133AFA4" w14:textId="77777777">
        <w:trPr>
          <w:trHeight w:val="335"/>
        </w:trPr>
        <w:tc>
          <w:tcPr>
            <w:tcW w:w="2160" w:type="dxa"/>
            <w:tcBorders>
              <w:top w:val="single" w:sz="4" w:space="0" w:color="000000"/>
              <w:bottom w:val="single" w:sz="4" w:space="0" w:color="000000"/>
            </w:tcBorders>
          </w:tcPr>
          <w:p w14:paraId="6396A1D8" w14:textId="77777777" w:rsidR="00AC6F3C" w:rsidRDefault="00570E88">
            <w:pPr>
              <w:pStyle w:val="TableParagraph"/>
              <w:spacing w:before="63"/>
              <w:ind w:left="136"/>
              <w:rPr>
                <w:sz w:val="18"/>
              </w:rPr>
            </w:pPr>
            <w:r>
              <w:rPr>
                <w:sz w:val="18"/>
              </w:rPr>
              <w:t>Deputy</w:t>
            </w:r>
            <w:r>
              <w:rPr>
                <w:spacing w:val="-3"/>
                <w:sz w:val="18"/>
              </w:rPr>
              <w:t xml:space="preserve"> </w:t>
            </w:r>
            <w:r>
              <w:rPr>
                <w:spacing w:val="-2"/>
                <w:sz w:val="18"/>
              </w:rPr>
              <w:t>President</w:t>
            </w:r>
          </w:p>
        </w:tc>
        <w:tc>
          <w:tcPr>
            <w:tcW w:w="2191" w:type="dxa"/>
            <w:tcBorders>
              <w:top w:val="single" w:sz="4" w:space="0" w:color="000000"/>
              <w:bottom w:val="single" w:sz="4" w:space="0" w:color="000000"/>
            </w:tcBorders>
          </w:tcPr>
          <w:p w14:paraId="24CBCD83" w14:textId="77777777" w:rsidR="00AC6F3C" w:rsidRDefault="00570E88">
            <w:pPr>
              <w:pStyle w:val="TableParagraph"/>
              <w:spacing w:before="63"/>
              <w:ind w:left="189"/>
              <w:rPr>
                <w:sz w:val="18"/>
              </w:rPr>
            </w:pPr>
            <w:r>
              <w:rPr>
                <w:sz w:val="18"/>
              </w:rPr>
              <w:t xml:space="preserve">Chloé </w:t>
            </w:r>
            <w:r>
              <w:rPr>
                <w:spacing w:val="-2"/>
                <w:sz w:val="18"/>
              </w:rPr>
              <w:t>Kopilovic</w:t>
            </w:r>
          </w:p>
        </w:tc>
        <w:tc>
          <w:tcPr>
            <w:tcW w:w="2384" w:type="dxa"/>
            <w:tcBorders>
              <w:top w:val="single" w:sz="4" w:space="0" w:color="000000"/>
              <w:bottom w:val="single" w:sz="4" w:space="0" w:color="000000"/>
            </w:tcBorders>
          </w:tcPr>
          <w:p w14:paraId="3997DF99" w14:textId="77777777" w:rsidR="00AC6F3C" w:rsidRDefault="00570E88">
            <w:pPr>
              <w:pStyle w:val="TableParagraph"/>
              <w:spacing w:before="63"/>
              <w:ind w:right="627"/>
              <w:jc w:val="right"/>
              <w:rPr>
                <w:sz w:val="18"/>
              </w:rPr>
            </w:pPr>
            <w:r>
              <w:rPr>
                <w:spacing w:val="-2"/>
                <w:sz w:val="18"/>
              </w:rPr>
              <w:t>1/07/2022</w:t>
            </w:r>
          </w:p>
        </w:tc>
        <w:tc>
          <w:tcPr>
            <w:tcW w:w="1825" w:type="dxa"/>
            <w:tcBorders>
              <w:top w:val="single" w:sz="4" w:space="0" w:color="000000"/>
              <w:bottom w:val="single" w:sz="4" w:space="0" w:color="000000"/>
            </w:tcBorders>
          </w:tcPr>
          <w:p w14:paraId="1269D597" w14:textId="77777777" w:rsidR="00AC6F3C" w:rsidRDefault="00570E88">
            <w:pPr>
              <w:pStyle w:val="TableParagraph"/>
              <w:spacing w:before="63"/>
              <w:ind w:right="137"/>
              <w:jc w:val="right"/>
              <w:rPr>
                <w:sz w:val="18"/>
              </w:rPr>
            </w:pPr>
            <w:r>
              <w:rPr>
                <w:spacing w:val="-2"/>
                <w:sz w:val="18"/>
              </w:rPr>
              <w:t>31/12/2022</w:t>
            </w:r>
          </w:p>
        </w:tc>
      </w:tr>
      <w:tr w:rsidR="00AC6F3C" w14:paraId="31E4AD14" w14:textId="77777777">
        <w:trPr>
          <w:trHeight w:val="337"/>
        </w:trPr>
        <w:tc>
          <w:tcPr>
            <w:tcW w:w="2160" w:type="dxa"/>
            <w:tcBorders>
              <w:top w:val="single" w:sz="4" w:space="0" w:color="000000"/>
              <w:bottom w:val="single" w:sz="4" w:space="0" w:color="000000"/>
            </w:tcBorders>
          </w:tcPr>
          <w:p w14:paraId="36E5D961" w14:textId="77777777" w:rsidR="00AC6F3C" w:rsidRDefault="00570E88">
            <w:pPr>
              <w:pStyle w:val="TableParagraph"/>
              <w:spacing w:before="66"/>
              <w:ind w:left="136"/>
              <w:rPr>
                <w:sz w:val="18"/>
              </w:rPr>
            </w:pPr>
            <w:r>
              <w:rPr>
                <w:sz w:val="18"/>
              </w:rPr>
              <w:t>Vice</w:t>
            </w:r>
            <w:r>
              <w:rPr>
                <w:spacing w:val="-1"/>
                <w:sz w:val="18"/>
              </w:rPr>
              <w:t xml:space="preserve"> </w:t>
            </w:r>
            <w:r>
              <w:rPr>
                <w:spacing w:val="-2"/>
                <w:sz w:val="18"/>
              </w:rPr>
              <w:t>President</w:t>
            </w:r>
          </w:p>
        </w:tc>
        <w:tc>
          <w:tcPr>
            <w:tcW w:w="2191" w:type="dxa"/>
            <w:tcBorders>
              <w:top w:val="single" w:sz="4" w:space="0" w:color="000000"/>
              <w:bottom w:val="single" w:sz="4" w:space="0" w:color="000000"/>
            </w:tcBorders>
          </w:tcPr>
          <w:p w14:paraId="2AD13DED" w14:textId="77777777" w:rsidR="00AC6F3C" w:rsidRDefault="00570E88">
            <w:pPr>
              <w:pStyle w:val="TableParagraph"/>
              <w:spacing w:before="66"/>
              <w:ind w:left="189"/>
              <w:rPr>
                <w:sz w:val="18"/>
              </w:rPr>
            </w:pPr>
            <w:r>
              <w:rPr>
                <w:sz w:val="18"/>
              </w:rPr>
              <w:t>Rebecca</w:t>
            </w:r>
            <w:r>
              <w:rPr>
                <w:spacing w:val="-1"/>
                <w:sz w:val="18"/>
              </w:rPr>
              <w:t xml:space="preserve"> </w:t>
            </w:r>
            <w:r>
              <w:rPr>
                <w:spacing w:val="-2"/>
                <w:sz w:val="18"/>
              </w:rPr>
              <w:t>Fogerty</w:t>
            </w:r>
          </w:p>
        </w:tc>
        <w:tc>
          <w:tcPr>
            <w:tcW w:w="2384" w:type="dxa"/>
            <w:tcBorders>
              <w:top w:val="single" w:sz="4" w:space="0" w:color="000000"/>
              <w:bottom w:val="single" w:sz="4" w:space="0" w:color="000000"/>
            </w:tcBorders>
          </w:tcPr>
          <w:p w14:paraId="38416A51" w14:textId="77777777" w:rsidR="00AC6F3C" w:rsidRDefault="00570E88">
            <w:pPr>
              <w:pStyle w:val="TableParagraph"/>
              <w:spacing w:before="66"/>
              <w:ind w:right="628"/>
              <w:jc w:val="right"/>
              <w:rPr>
                <w:sz w:val="18"/>
              </w:rPr>
            </w:pPr>
            <w:r>
              <w:rPr>
                <w:spacing w:val="-2"/>
                <w:sz w:val="18"/>
              </w:rPr>
              <w:t>1/07/2022</w:t>
            </w:r>
          </w:p>
        </w:tc>
        <w:tc>
          <w:tcPr>
            <w:tcW w:w="1825" w:type="dxa"/>
            <w:tcBorders>
              <w:top w:val="single" w:sz="4" w:space="0" w:color="000000"/>
              <w:bottom w:val="single" w:sz="4" w:space="0" w:color="000000"/>
            </w:tcBorders>
          </w:tcPr>
          <w:p w14:paraId="40986843" w14:textId="77777777" w:rsidR="00AC6F3C" w:rsidRDefault="00570E88">
            <w:pPr>
              <w:pStyle w:val="TableParagraph"/>
              <w:spacing w:before="66"/>
              <w:ind w:right="137"/>
              <w:jc w:val="right"/>
              <w:rPr>
                <w:sz w:val="18"/>
              </w:rPr>
            </w:pPr>
            <w:r>
              <w:rPr>
                <w:spacing w:val="-2"/>
                <w:sz w:val="18"/>
              </w:rPr>
              <w:t>30/06/2023</w:t>
            </w:r>
          </w:p>
        </w:tc>
      </w:tr>
      <w:tr w:rsidR="00AC6F3C" w14:paraId="16904679" w14:textId="77777777">
        <w:trPr>
          <w:trHeight w:val="337"/>
        </w:trPr>
        <w:tc>
          <w:tcPr>
            <w:tcW w:w="2160" w:type="dxa"/>
            <w:tcBorders>
              <w:top w:val="single" w:sz="4" w:space="0" w:color="000000"/>
              <w:bottom w:val="single" w:sz="4" w:space="0" w:color="000000"/>
            </w:tcBorders>
          </w:tcPr>
          <w:p w14:paraId="2CD0B0D5" w14:textId="77777777" w:rsidR="00AC6F3C" w:rsidRDefault="00570E88">
            <w:pPr>
              <w:pStyle w:val="TableParagraph"/>
              <w:spacing w:before="63"/>
              <w:ind w:left="136"/>
              <w:rPr>
                <w:sz w:val="18"/>
              </w:rPr>
            </w:pPr>
            <w:r>
              <w:rPr>
                <w:sz w:val="18"/>
              </w:rPr>
              <w:t>Chief</w:t>
            </w:r>
            <w:r>
              <w:rPr>
                <w:spacing w:val="-3"/>
                <w:sz w:val="18"/>
              </w:rPr>
              <w:t xml:space="preserve"> </w:t>
            </w:r>
            <w:r>
              <w:rPr>
                <w:sz w:val="18"/>
              </w:rPr>
              <w:t>Executive</w:t>
            </w:r>
            <w:r>
              <w:rPr>
                <w:spacing w:val="-2"/>
                <w:sz w:val="18"/>
              </w:rPr>
              <w:t xml:space="preserve"> Officer</w:t>
            </w:r>
          </w:p>
        </w:tc>
        <w:tc>
          <w:tcPr>
            <w:tcW w:w="2191" w:type="dxa"/>
            <w:tcBorders>
              <w:top w:val="single" w:sz="4" w:space="0" w:color="000000"/>
              <w:bottom w:val="single" w:sz="4" w:space="0" w:color="000000"/>
            </w:tcBorders>
          </w:tcPr>
          <w:p w14:paraId="5D1CA9AD" w14:textId="77777777" w:rsidR="00AC6F3C" w:rsidRDefault="00570E88">
            <w:pPr>
              <w:pStyle w:val="TableParagraph"/>
              <w:spacing w:before="63"/>
              <w:ind w:left="189"/>
              <w:rPr>
                <w:sz w:val="18"/>
              </w:rPr>
            </w:pPr>
            <w:r>
              <w:rPr>
                <w:sz w:val="18"/>
              </w:rPr>
              <w:t>Rolf</w:t>
            </w:r>
            <w:r>
              <w:rPr>
                <w:spacing w:val="-3"/>
                <w:sz w:val="18"/>
              </w:rPr>
              <w:t xml:space="preserve"> </w:t>
            </w:r>
            <w:r>
              <w:rPr>
                <w:spacing w:val="-2"/>
                <w:sz w:val="18"/>
              </w:rPr>
              <w:t>Moses</w:t>
            </w:r>
          </w:p>
        </w:tc>
        <w:tc>
          <w:tcPr>
            <w:tcW w:w="2384" w:type="dxa"/>
            <w:tcBorders>
              <w:top w:val="single" w:sz="4" w:space="0" w:color="000000"/>
              <w:bottom w:val="single" w:sz="4" w:space="0" w:color="000000"/>
            </w:tcBorders>
          </w:tcPr>
          <w:p w14:paraId="2FA64AEF" w14:textId="77777777" w:rsidR="00AC6F3C" w:rsidRDefault="00570E88">
            <w:pPr>
              <w:pStyle w:val="TableParagraph"/>
              <w:spacing w:before="63"/>
              <w:ind w:right="628"/>
              <w:jc w:val="right"/>
              <w:rPr>
                <w:sz w:val="18"/>
              </w:rPr>
            </w:pPr>
            <w:r>
              <w:rPr>
                <w:spacing w:val="-2"/>
                <w:sz w:val="18"/>
              </w:rPr>
              <w:t>1/07/2022</w:t>
            </w:r>
          </w:p>
        </w:tc>
        <w:tc>
          <w:tcPr>
            <w:tcW w:w="1825" w:type="dxa"/>
            <w:tcBorders>
              <w:top w:val="single" w:sz="4" w:space="0" w:color="000000"/>
              <w:bottom w:val="single" w:sz="4" w:space="0" w:color="000000"/>
            </w:tcBorders>
          </w:tcPr>
          <w:p w14:paraId="19957AAF" w14:textId="77777777" w:rsidR="00AC6F3C" w:rsidRDefault="00570E88">
            <w:pPr>
              <w:pStyle w:val="TableParagraph"/>
              <w:spacing w:before="63"/>
              <w:ind w:right="137"/>
              <w:jc w:val="right"/>
              <w:rPr>
                <w:sz w:val="18"/>
              </w:rPr>
            </w:pPr>
            <w:r>
              <w:rPr>
                <w:spacing w:val="-2"/>
                <w:sz w:val="18"/>
              </w:rPr>
              <w:t>30/06/2023</w:t>
            </w:r>
          </w:p>
        </w:tc>
      </w:tr>
    </w:tbl>
    <w:p w14:paraId="37EC3A98" w14:textId="77777777" w:rsidR="00AC6F3C" w:rsidRDefault="00AC6F3C">
      <w:pPr>
        <w:pStyle w:val="BodyText"/>
        <w:spacing w:before="10"/>
        <w:rPr>
          <w:sz w:val="12"/>
        </w:rPr>
      </w:pPr>
    </w:p>
    <w:p w14:paraId="7C909A41" w14:textId="77777777" w:rsidR="00AC6F3C" w:rsidRDefault="00570E88">
      <w:pPr>
        <w:spacing w:before="93"/>
        <w:ind w:left="958"/>
        <w:rPr>
          <w:b/>
          <w:sz w:val="20"/>
        </w:rPr>
      </w:pPr>
      <w:r>
        <w:rPr>
          <w:b/>
          <w:sz w:val="20"/>
        </w:rPr>
        <w:t>KMP</w:t>
      </w:r>
      <w:r>
        <w:rPr>
          <w:b/>
          <w:spacing w:val="-10"/>
          <w:sz w:val="20"/>
        </w:rPr>
        <w:t xml:space="preserve"> </w:t>
      </w:r>
      <w:r>
        <w:rPr>
          <w:b/>
          <w:sz w:val="20"/>
        </w:rPr>
        <w:t>Remuneration</w:t>
      </w:r>
      <w:r>
        <w:rPr>
          <w:b/>
          <w:spacing w:val="-10"/>
          <w:sz w:val="20"/>
        </w:rPr>
        <w:t xml:space="preserve"> </w:t>
      </w:r>
      <w:r>
        <w:rPr>
          <w:b/>
          <w:spacing w:val="-2"/>
          <w:sz w:val="20"/>
        </w:rPr>
        <w:t>Policy</w:t>
      </w:r>
    </w:p>
    <w:p w14:paraId="527AA2ED" w14:textId="77777777" w:rsidR="00AC6F3C" w:rsidRDefault="00570E88">
      <w:pPr>
        <w:spacing w:before="120"/>
        <w:ind w:left="958" w:right="857"/>
        <w:rPr>
          <w:sz w:val="18"/>
        </w:rPr>
      </w:pPr>
      <w:r>
        <w:rPr>
          <w:sz w:val="18"/>
        </w:rPr>
        <w:t>Remuneration</w:t>
      </w:r>
      <w:r>
        <w:rPr>
          <w:spacing w:val="-1"/>
          <w:sz w:val="18"/>
        </w:rPr>
        <w:t xml:space="preserve"> </w:t>
      </w:r>
      <w:r>
        <w:rPr>
          <w:sz w:val="18"/>
        </w:rPr>
        <w:t>entitlements</w:t>
      </w:r>
      <w:r>
        <w:rPr>
          <w:spacing w:val="-1"/>
          <w:sz w:val="18"/>
        </w:rPr>
        <w:t xml:space="preserve"> </w:t>
      </w:r>
      <w:r>
        <w:rPr>
          <w:sz w:val="18"/>
        </w:rPr>
        <w:t>are</w:t>
      </w:r>
      <w:r>
        <w:rPr>
          <w:spacing w:val="-1"/>
          <w:sz w:val="18"/>
        </w:rPr>
        <w:t xml:space="preserve"> </w:t>
      </w:r>
      <w:r>
        <w:rPr>
          <w:sz w:val="18"/>
        </w:rPr>
        <w:t>set</w:t>
      </w:r>
      <w:r>
        <w:rPr>
          <w:spacing w:val="-4"/>
          <w:sz w:val="18"/>
        </w:rPr>
        <w:t xml:space="preserve"> </w:t>
      </w:r>
      <w:r>
        <w:rPr>
          <w:sz w:val="18"/>
        </w:rPr>
        <w:t>by</w:t>
      </w:r>
      <w:r>
        <w:rPr>
          <w:spacing w:val="-3"/>
          <w:sz w:val="18"/>
        </w:rPr>
        <w:t xml:space="preserve"> </w:t>
      </w:r>
      <w:r>
        <w:rPr>
          <w:sz w:val="18"/>
        </w:rPr>
        <w:t>the</w:t>
      </w:r>
      <w:r>
        <w:rPr>
          <w:spacing w:val="-1"/>
          <w:sz w:val="18"/>
        </w:rPr>
        <w:t xml:space="preserve"> </w:t>
      </w:r>
      <w:r>
        <w:rPr>
          <w:sz w:val="18"/>
        </w:rPr>
        <w:t>Council.</w:t>
      </w:r>
      <w:r>
        <w:rPr>
          <w:spacing w:val="-4"/>
          <w:sz w:val="18"/>
        </w:rPr>
        <w:t xml:space="preserve"> </w:t>
      </w:r>
      <w:r>
        <w:rPr>
          <w:sz w:val="18"/>
        </w:rPr>
        <w:t>The</w:t>
      </w:r>
      <w:r>
        <w:rPr>
          <w:spacing w:val="-1"/>
          <w:sz w:val="18"/>
        </w:rPr>
        <w:t xml:space="preserve"> </w:t>
      </w:r>
      <w:r>
        <w:rPr>
          <w:sz w:val="18"/>
        </w:rPr>
        <w:t>Society</w:t>
      </w:r>
      <w:r>
        <w:rPr>
          <w:spacing w:val="-1"/>
          <w:sz w:val="18"/>
        </w:rPr>
        <w:t xml:space="preserve"> </w:t>
      </w:r>
      <w:r>
        <w:rPr>
          <w:sz w:val="18"/>
        </w:rPr>
        <w:t>does</w:t>
      </w:r>
      <w:r>
        <w:rPr>
          <w:spacing w:val="-3"/>
          <w:sz w:val="18"/>
        </w:rPr>
        <w:t xml:space="preserve"> </w:t>
      </w:r>
      <w:r>
        <w:rPr>
          <w:sz w:val="18"/>
        </w:rPr>
        <w:t>not</w:t>
      </w:r>
      <w:r>
        <w:rPr>
          <w:spacing w:val="-4"/>
          <w:sz w:val="18"/>
        </w:rPr>
        <w:t xml:space="preserve"> </w:t>
      </w:r>
      <w:r>
        <w:rPr>
          <w:sz w:val="18"/>
        </w:rPr>
        <w:t>bear</w:t>
      </w:r>
      <w:r>
        <w:rPr>
          <w:spacing w:val="-4"/>
          <w:sz w:val="18"/>
        </w:rPr>
        <w:t xml:space="preserve"> </w:t>
      </w:r>
      <w:r>
        <w:rPr>
          <w:sz w:val="18"/>
        </w:rPr>
        <w:t>any</w:t>
      </w:r>
      <w:r>
        <w:rPr>
          <w:spacing w:val="-1"/>
          <w:sz w:val="18"/>
        </w:rPr>
        <w:t xml:space="preserve"> </w:t>
      </w:r>
      <w:r>
        <w:rPr>
          <w:sz w:val="18"/>
        </w:rPr>
        <w:t>cost</w:t>
      </w:r>
      <w:r>
        <w:rPr>
          <w:spacing w:val="-4"/>
          <w:sz w:val="18"/>
        </w:rPr>
        <w:t xml:space="preserve"> </w:t>
      </w:r>
      <w:r>
        <w:rPr>
          <w:sz w:val="18"/>
        </w:rPr>
        <w:t>of</w:t>
      </w:r>
      <w:r>
        <w:rPr>
          <w:spacing w:val="-2"/>
          <w:sz w:val="18"/>
        </w:rPr>
        <w:t xml:space="preserve"> </w:t>
      </w:r>
      <w:r>
        <w:rPr>
          <w:sz w:val="18"/>
        </w:rPr>
        <w:t>remuneration</w:t>
      </w:r>
      <w:r>
        <w:rPr>
          <w:spacing w:val="-1"/>
          <w:sz w:val="18"/>
        </w:rPr>
        <w:t xml:space="preserve"> </w:t>
      </w:r>
      <w:r>
        <w:rPr>
          <w:sz w:val="18"/>
        </w:rPr>
        <w:t xml:space="preserve">for its Councillors. Remuneration packages for key management personnel comprise the following </w:t>
      </w:r>
      <w:r>
        <w:rPr>
          <w:spacing w:val="-2"/>
          <w:sz w:val="18"/>
        </w:rPr>
        <w:t>components:</w:t>
      </w:r>
    </w:p>
    <w:p w14:paraId="45C94CEB" w14:textId="77777777" w:rsidR="00AC6F3C" w:rsidRDefault="00570E88">
      <w:pPr>
        <w:spacing w:before="121"/>
        <w:ind w:left="958"/>
        <w:rPr>
          <w:sz w:val="18"/>
        </w:rPr>
      </w:pPr>
      <w:r>
        <w:rPr>
          <w:b/>
          <w:sz w:val="18"/>
        </w:rPr>
        <w:t>Short</w:t>
      </w:r>
      <w:r>
        <w:rPr>
          <w:b/>
          <w:spacing w:val="-3"/>
          <w:sz w:val="18"/>
        </w:rPr>
        <w:t xml:space="preserve"> </w:t>
      </w:r>
      <w:r>
        <w:rPr>
          <w:b/>
          <w:sz w:val="18"/>
        </w:rPr>
        <w:t>term</w:t>
      </w:r>
      <w:r>
        <w:rPr>
          <w:b/>
          <w:spacing w:val="-2"/>
          <w:sz w:val="18"/>
        </w:rPr>
        <w:t xml:space="preserve"> </w:t>
      </w:r>
      <w:r>
        <w:rPr>
          <w:b/>
          <w:sz w:val="18"/>
        </w:rPr>
        <w:t>employee</w:t>
      </w:r>
      <w:r>
        <w:rPr>
          <w:b/>
          <w:spacing w:val="-1"/>
          <w:sz w:val="18"/>
        </w:rPr>
        <w:t xml:space="preserve"> </w:t>
      </w:r>
      <w:r>
        <w:rPr>
          <w:b/>
          <w:sz w:val="18"/>
        </w:rPr>
        <w:t>expenses</w:t>
      </w:r>
      <w:r>
        <w:rPr>
          <w:b/>
          <w:spacing w:val="-2"/>
          <w:sz w:val="18"/>
        </w:rPr>
        <w:t xml:space="preserve"> </w:t>
      </w:r>
      <w:r>
        <w:rPr>
          <w:sz w:val="18"/>
        </w:rPr>
        <w:t>which</w:t>
      </w:r>
      <w:r>
        <w:rPr>
          <w:spacing w:val="-4"/>
          <w:sz w:val="18"/>
        </w:rPr>
        <w:t xml:space="preserve"> </w:t>
      </w:r>
      <w:r>
        <w:rPr>
          <w:spacing w:val="-2"/>
          <w:sz w:val="18"/>
        </w:rPr>
        <w:t>include:</w:t>
      </w:r>
    </w:p>
    <w:p w14:paraId="56989FA6" w14:textId="77777777" w:rsidR="00AC6F3C" w:rsidRDefault="00570E88">
      <w:pPr>
        <w:pStyle w:val="ListParagraph"/>
        <w:numPr>
          <w:ilvl w:val="0"/>
          <w:numId w:val="23"/>
        </w:numPr>
        <w:tabs>
          <w:tab w:val="left" w:pos="1318"/>
        </w:tabs>
        <w:spacing w:before="119"/>
        <w:ind w:left="1318" w:right="879"/>
        <w:rPr>
          <w:sz w:val="18"/>
        </w:rPr>
      </w:pPr>
      <w:r>
        <w:rPr>
          <w:sz w:val="18"/>
        </w:rPr>
        <w:t>base</w:t>
      </w:r>
      <w:r>
        <w:rPr>
          <w:spacing w:val="-5"/>
          <w:sz w:val="18"/>
        </w:rPr>
        <w:t xml:space="preserve"> </w:t>
      </w:r>
      <w:r>
        <w:rPr>
          <w:sz w:val="18"/>
        </w:rPr>
        <w:t>salary</w:t>
      </w:r>
      <w:r>
        <w:rPr>
          <w:spacing w:val="-4"/>
          <w:sz w:val="18"/>
        </w:rPr>
        <w:t xml:space="preserve"> </w:t>
      </w:r>
      <w:r>
        <w:rPr>
          <w:sz w:val="18"/>
        </w:rPr>
        <w:t>or</w:t>
      </w:r>
      <w:r>
        <w:rPr>
          <w:spacing w:val="-3"/>
          <w:sz w:val="18"/>
        </w:rPr>
        <w:t xml:space="preserve"> </w:t>
      </w:r>
      <w:r>
        <w:rPr>
          <w:sz w:val="18"/>
        </w:rPr>
        <w:t>honorarium,</w:t>
      </w:r>
      <w:r>
        <w:rPr>
          <w:spacing w:val="-3"/>
          <w:sz w:val="18"/>
        </w:rPr>
        <w:t xml:space="preserve"> </w:t>
      </w:r>
      <w:r>
        <w:rPr>
          <w:sz w:val="18"/>
        </w:rPr>
        <w:t>allowances</w:t>
      </w:r>
      <w:r>
        <w:rPr>
          <w:spacing w:val="-2"/>
          <w:sz w:val="18"/>
        </w:rPr>
        <w:t xml:space="preserve"> </w:t>
      </w:r>
      <w:r>
        <w:rPr>
          <w:sz w:val="18"/>
        </w:rPr>
        <w:t>and</w:t>
      </w:r>
      <w:r>
        <w:rPr>
          <w:spacing w:val="-2"/>
          <w:sz w:val="18"/>
        </w:rPr>
        <w:t xml:space="preserve"> </w:t>
      </w:r>
      <w:r>
        <w:rPr>
          <w:sz w:val="18"/>
        </w:rPr>
        <w:t>leave</w:t>
      </w:r>
      <w:r>
        <w:rPr>
          <w:spacing w:val="-2"/>
          <w:sz w:val="18"/>
        </w:rPr>
        <w:t xml:space="preserve"> </w:t>
      </w:r>
      <w:r>
        <w:rPr>
          <w:sz w:val="18"/>
        </w:rPr>
        <w:t>entitlements</w:t>
      </w:r>
      <w:r>
        <w:rPr>
          <w:spacing w:val="-2"/>
          <w:sz w:val="18"/>
        </w:rPr>
        <w:t xml:space="preserve"> </w:t>
      </w:r>
      <w:r>
        <w:rPr>
          <w:sz w:val="18"/>
        </w:rPr>
        <w:t>paid</w:t>
      </w:r>
      <w:r>
        <w:rPr>
          <w:spacing w:val="-2"/>
          <w:sz w:val="18"/>
        </w:rPr>
        <w:t xml:space="preserve"> </w:t>
      </w:r>
      <w:r>
        <w:rPr>
          <w:sz w:val="18"/>
        </w:rPr>
        <w:t>and</w:t>
      </w:r>
      <w:r>
        <w:rPr>
          <w:spacing w:val="-2"/>
          <w:sz w:val="18"/>
        </w:rPr>
        <w:t xml:space="preserve"> </w:t>
      </w:r>
      <w:r>
        <w:rPr>
          <w:sz w:val="18"/>
        </w:rPr>
        <w:t>provided</w:t>
      </w:r>
      <w:r>
        <w:rPr>
          <w:spacing w:val="-5"/>
          <w:sz w:val="18"/>
        </w:rPr>
        <w:t xml:space="preserve"> </w:t>
      </w:r>
      <w:r>
        <w:rPr>
          <w:sz w:val="18"/>
        </w:rPr>
        <w:t>for</w:t>
      </w:r>
      <w:r>
        <w:rPr>
          <w:spacing w:val="-3"/>
          <w:sz w:val="18"/>
        </w:rPr>
        <w:t xml:space="preserve"> </w:t>
      </w:r>
      <w:r>
        <w:rPr>
          <w:sz w:val="18"/>
        </w:rPr>
        <w:t>the</w:t>
      </w:r>
      <w:r>
        <w:rPr>
          <w:spacing w:val="-2"/>
          <w:sz w:val="18"/>
        </w:rPr>
        <w:t xml:space="preserve"> </w:t>
      </w:r>
      <w:r>
        <w:rPr>
          <w:sz w:val="18"/>
        </w:rPr>
        <w:t>entire</w:t>
      </w:r>
      <w:r>
        <w:rPr>
          <w:spacing w:val="-2"/>
          <w:sz w:val="18"/>
        </w:rPr>
        <w:t xml:space="preserve"> </w:t>
      </w:r>
      <w:r>
        <w:rPr>
          <w:sz w:val="18"/>
        </w:rPr>
        <w:t>year</w:t>
      </w:r>
      <w:r>
        <w:rPr>
          <w:spacing w:val="-5"/>
          <w:sz w:val="18"/>
        </w:rPr>
        <w:t xml:space="preserve"> </w:t>
      </w:r>
      <w:r>
        <w:rPr>
          <w:sz w:val="18"/>
        </w:rPr>
        <w:t>or for that part of the year during which the employee occupied the specific position;</w:t>
      </w:r>
    </w:p>
    <w:p w14:paraId="383179B3" w14:textId="77777777" w:rsidR="00AC6F3C" w:rsidRDefault="00570E88">
      <w:pPr>
        <w:pStyle w:val="ListParagraph"/>
        <w:numPr>
          <w:ilvl w:val="0"/>
          <w:numId w:val="23"/>
        </w:numPr>
        <w:tabs>
          <w:tab w:val="left" w:pos="1318"/>
        </w:tabs>
        <w:spacing w:before="120"/>
        <w:ind w:left="1318"/>
        <w:rPr>
          <w:sz w:val="18"/>
        </w:rPr>
      </w:pPr>
      <w:r>
        <w:rPr>
          <w:sz w:val="18"/>
        </w:rPr>
        <w:t>performance</w:t>
      </w:r>
      <w:r>
        <w:rPr>
          <w:spacing w:val="-3"/>
          <w:sz w:val="18"/>
        </w:rPr>
        <w:t xml:space="preserve"> </w:t>
      </w:r>
      <w:r>
        <w:rPr>
          <w:sz w:val="18"/>
        </w:rPr>
        <w:t>payments</w:t>
      </w:r>
      <w:r>
        <w:rPr>
          <w:spacing w:val="-1"/>
          <w:sz w:val="18"/>
        </w:rPr>
        <w:t xml:space="preserve"> </w:t>
      </w:r>
      <w:proofErr w:type="spellStart"/>
      <w:r>
        <w:rPr>
          <w:sz w:val="18"/>
        </w:rPr>
        <w:t>recognised</w:t>
      </w:r>
      <w:proofErr w:type="spellEnd"/>
      <w:r>
        <w:rPr>
          <w:spacing w:val="-4"/>
          <w:sz w:val="18"/>
        </w:rPr>
        <w:t xml:space="preserve"> </w:t>
      </w:r>
      <w:r>
        <w:rPr>
          <w:sz w:val="18"/>
        </w:rPr>
        <w:t>as</w:t>
      </w:r>
      <w:r>
        <w:rPr>
          <w:spacing w:val="-3"/>
          <w:sz w:val="18"/>
        </w:rPr>
        <w:t xml:space="preserve"> </w:t>
      </w:r>
      <w:r>
        <w:rPr>
          <w:sz w:val="18"/>
        </w:rPr>
        <w:t>an</w:t>
      </w:r>
      <w:r>
        <w:rPr>
          <w:spacing w:val="-4"/>
          <w:sz w:val="18"/>
        </w:rPr>
        <w:t xml:space="preserve"> </w:t>
      </w:r>
      <w:r>
        <w:rPr>
          <w:sz w:val="18"/>
        </w:rPr>
        <w:t>expense</w:t>
      </w:r>
      <w:r>
        <w:rPr>
          <w:spacing w:val="-1"/>
          <w:sz w:val="18"/>
        </w:rPr>
        <w:t xml:space="preserve"> </w:t>
      </w:r>
      <w:r>
        <w:rPr>
          <w:sz w:val="18"/>
        </w:rPr>
        <w:t>during</w:t>
      </w:r>
      <w:r>
        <w:rPr>
          <w:spacing w:val="-4"/>
          <w:sz w:val="18"/>
        </w:rPr>
        <w:t xml:space="preserve"> </w:t>
      </w:r>
      <w:r>
        <w:rPr>
          <w:sz w:val="18"/>
        </w:rPr>
        <w:t>the</w:t>
      </w:r>
      <w:r>
        <w:rPr>
          <w:spacing w:val="-4"/>
          <w:sz w:val="18"/>
        </w:rPr>
        <w:t xml:space="preserve"> </w:t>
      </w:r>
      <w:r>
        <w:rPr>
          <w:sz w:val="18"/>
        </w:rPr>
        <w:t>year;</w:t>
      </w:r>
      <w:r>
        <w:rPr>
          <w:spacing w:val="-3"/>
          <w:sz w:val="18"/>
        </w:rPr>
        <w:t xml:space="preserve"> </w:t>
      </w:r>
      <w:r>
        <w:rPr>
          <w:spacing w:val="-5"/>
          <w:sz w:val="18"/>
        </w:rPr>
        <w:t>and</w:t>
      </w:r>
    </w:p>
    <w:p w14:paraId="5D168C10" w14:textId="77777777" w:rsidR="00AC6F3C" w:rsidRDefault="00570E88">
      <w:pPr>
        <w:pStyle w:val="ListParagraph"/>
        <w:numPr>
          <w:ilvl w:val="0"/>
          <w:numId w:val="23"/>
        </w:numPr>
        <w:tabs>
          <w:tab w:val="left" w:pos="1318"/>
        </w:tabs>
        <w:spacing w:before="117"/>
        <w:ind w:left="1318" w:right="1338" w:hanging="361"/>
        <w:rPr>
          <w:sz w:val="18"/>
        </w:rPr>
      </w:pPr>
      <w:r>
        <w:rPr>
          <w:sz w:val="18"/>
        </w:rPr>
        <w:t>non-monetary</w:t>
      </w:r>
      <w:r>
        <w:rPr>
          <w:spacing w:val="-4"/>
          <w:sz w:val="18"/>
        </w:rPr>
        <w:t xml:space="preserve"> </w:t>
      </w:r>
      <w:r>
        <w:rPr>
          <w:sz w:val="18"/>
        </w:rPr>
        <w:t>benefits</w:t>
      </w:r>
      <w:r>
        <w:rPr>
          <w:spacing w:val="-2"/>
          <w:sz w:val="18"/>
        </w:rPr>
        <w:t xml:space="preserve"> </w:t>
      </w:r>
      <w:r>
        <w:rPr>
          <w:sz w:val="18"/>
        </w:rPr>
        <w:t>–</w:t>
      </w:r>
      <w:r>
        <w:rPr>
          <w:spacing w:val="-5"/>
          <w:sz w:val="18"/>
        </w:rPr>
        <w:t xml:space="preserve"> </w:t>
      </w:r>
      <w:r>
        <w:rPr>
          <w:sz w:val="18"/>
        </w:rPr>
        <w:t>consisting</w:t>
      </w:r>
      <w:r>
        <w:rPr>
          <w:spacing w:val="-2"/>
          <w:sz w:val="18"/>
        </w:rPr>
        <w:t xml:space="preserve"> </w:t>
      </w:r>
      <w:r>
        <w:rPr>
          <w:sz w:val="18"/>
        </w:rPr>
        <w:t>of</w:t>
      </w:r>
      <w:r>
        <w:rPr>
          <w:spacing w:val="-5"/>
          <w:sz w:val="18"/>
        </w:rPr>
        <w:t xml:space="preserve"> </w:t>
      </w:r>
      <w:r>
        <w:rPr>
          <w:sz w:val="18"/>
        </w:rPr>
        <w:t>provision</w:t>
      </w:r>
      <w:r>
        <w:rPr>
          <w:spacing w:val="-5"/>
          <w:sz w:val="18"/>
        </w:rPr>
        <w:t xml:space="preserve"> </w:t>
      </w:r>
      <w:r>
        <w:rPr>
          <w:sz w:val="18"/>
        </w:rPr>
        <w:t>of</w:t>
      </w:r>
      <w:r>
        <w:rPr>
          <w:spacing w:val="-3"/>
          <w:sz w:val="18"/>
        </w:rPr>
        <w:t xml:space="preserve"> </w:t>
      </w:r>
      <w:r>
        <w:rPr>
          <w:sz w:val="18"/>
        </w:rPr>
        <w:t>car</w:t>
      </w:r>
      <w:r>
        <w:rPr>
          <w:spacing w:val="-3"/>
          <w:sz w:val="18"/>
        </w:rPr>
        <w:t xml:space="preserve"> </w:t>
      </w:r>
      <w:r>
        <w:rPr>
          <w:sz w:val="18"/>
        </w:rPr>
        <w:t>parking,</w:t>
      </w:r>
      <w:r>
        <w:rPr>
          <w:spacing w:val="-3"/>
          <w:sz w:val="18"/>
        </w:rPr>
        <w:t xml:space="preserve"> </w:t>
      </w:r>
      <w:r>
        <w:rPr>
          <w:sz w:val="18"/>
        </w:rPr>
        <w:t>travel</w:t>
      </w:r>
      <w:r>
        <w:rPr>
          <w:spacing w:val="-2"/>
          <w:sz w:val="18"/>
        </w:rPr>
        <w:t xml:space="preserve"> </w:t>
      </w:r>
      <w:r>
        <w:rPr>
          <w:sz w:val="18"/>
        </w:rPr>
        <w:t>reimbursement</w:t>
      </w:r>
      <w:r>
        <w:rPr>
          <w:spacing w:val="-3"/>
          <w:sz w:val="18"/>
        </w:rPr>
        <w:t xml:space="preserve"> </w:t>
      </w:r>
      <w:r>
        <w:rPr>
          <w:sz w:val="18"/>
        </w:rPr>
        <w:t>(</w:t>
      </w:r>
      <w:proofErr w:type="spellStart"/>
      <w:r>
        <w:rPr>
          <w:sz w:val="18"/>
        </w:rPr>
        <w:t>kilometres</w:t>
      </w:r>
      <w:proofErr w:type="spellEnd"/>
      <w:r>
        <w:rPr>
          <w:sz w:val="18"/>
        </w:rPr>
        <w:t xml:space="preserve"> travelled) and accommodation (including fringe benefits tax where applicable).</w:t>
      </w:r>
    </w:p>
    <w:p w14:paraId="450818F4" w14:textId="77777777" w:rsidR="00AC6F3C" w:rsidRDefault="00AC6F3C">
      <w:pPr>
        <w:pStyle w:val="BodyText"/>
        <w:spacing w:before="10"/>
      </w:pPr>
    </w:p>
    <w:p w14:paraId="62B22BFE" w14:textId="77777777" w:rsidR="00AC6F3C" w:rsidRDefault="00570E88">
      <w:pPr>
        <w:ind w:left="958" w:right="990"/>
        <w:rPr>
          <w:sz w:val="18"/>
        </w:rPr>
      </w:pPr>
      <w:r>
        <w:rPr>
          <w:b/>
          <w:sz w:val="18"/>
        </w:rPr>
        <w:t>Long</w:t>
      </w:r>
      <w:r>
        <w:rPr>
          <w:b/>
          <w:spacing w:val="-2"/>
          <w:sz w:val="18"/>
        </w:rPr>
        <w:t xml:space="preserve"> </w:t>
      </w:r>
      <w:r>
        <w:rPr>
          <w:b/>
          <w:sz w:val="18"/>
        </w:rPr>
        <w:t>term</w:t>
      </w:r>
      <w:r>
        <w:rPr>
          <w:b/>
          <w:spacing w:val="-4"/>
          <w:sz w:val="18"/>
        </w:rPr>
        <w:t xml:space="preserve"> </w:t>
      </w:r>
      <w:r>
        <w:rPr>
          <w:b/>
          <w:sz w:val="18"/>
        </w:rPr>
        <w:t>employee</w:t>
      </w:r>
      <w:r>
        <w:rPr>
          <w:b/>
          <w:spacing w:val="-4"/>
          <w:sz w:val="18"/>
        </w:rPr>
        <w:t xml:space="preserve"> </w:t>
      </w:r>
      <w:r>
        <w:rPr>
          <w:b/>
          <w:sz w:val="18"/>
        </w:rPr>
        <w:t>benefits</w:t>
      </w:r>
      <w:r>
        <w:rPr>
          <w:b/>
          <w:spacing w:val="-2"/>
          <w:sz w:val="18"/>
        </w:rPr>
        <w:t xml:space="preserve"> </w:t>
      </w:r>
      <w:r>
        <w:rPr>
          <w:sz w:val="18"/>
        </w:rPr>
        <w:t>include</w:t>
      </w:r>
      <w:r>
        <w:rPr>
          <w:spacing w:val="-1"/>
          <w:sz w:val="18"/>
        </w:rPr>
        <w:t xml:space="preserve"> </w:t>
      </w:r>
      <w:r>
        <w:rPr>
          <w:sz w:val="18"/>
        </w:rPr>
        <w:t>long</w:t>
      </w:r>
      <w:r>
        <w:rPr>
          <w:spacing w:val="-4"/>
          <w:sz w:val="18"/>
        </w:rPr>
        <w:t xml:space="preserve"> </w:t>
      </w:r>
      <w:r>
        <w:rPr>
          <w:sz w:val="18"/>
        </w:rPr>
        <w:t>service</w:t>
      </w:r>
      <w:r>
        <w:rPr>
          <w:spacing w:val="-1"/>
          <w:sz w:val="18"/>
        </w:rPr>
        <w:t xml:space="preserve"> </w:t>
      </w:r>
      <w:r>
        <w:rPr>
          <w:sz w:val="18"/>
        </w:rPr>
        <w:t>leave</w:t>
      </w:r>
      <w:r>
        <w:rPr>
          <w:spacing w:val="-1"/>
          <w:sz w:val="18"/>
        </w:rPr>
        <w:t xml:space="preserve"> </w:t>
      </w:r>
      <w:r>
        <w:rPr>
          <w:sz w:val="18"/>
        </w:rPr>
        <w:t>entitlements</w:t>
      </w:r>
      <w:r>
        <w:rPr>
          <w:spacing w:val="-3"/>
          <w:sz w:val="18"/>
        </w:rPr>
        <w:t xml:space="preserve"> </w:t>
      </w:r>
      <w:r>
        <w:rPr>
          <w:sz w:val="18"/>
        </w:rPr>
        <w:t>accrued</w:t>
      </w:r>
      <w:r>
        <w:rPr>
          <w:spacing w:val="-1"/>
          <w:sz w:val="18"/>
        </w:rPr>
        <w:t xml:space="preserve"> </w:t>
      </w:r>
      <w:r>
        <w:rPr>
          <w:sz w:val="18"/>
        </w:rPr>
        <w:t>during</w:t>
      </w:r>
      <w:r>
        <w:rPr>
          <w:spacing w:val="-4"/>
          <w:sz w:val="18"/>
        </w:rPr>
        <w:t xml:space="preserve"> </w:t>
      </w:r>
      <w:r>
        <w:rPr>
          <w:sz w:val="18"/>
        </w:rPr>
        <w:t>the</w:t>
      </w:r>
      <w:r>
        <w:rPr>
          <w:spacing w:val="-4"/>
          <w:sz w:val="18"/>
        </w:rPr>
        <w:t xml:space="preserve"> </w:t>
      </w:r>
      <w:r>
        <w:rPr>
          <w:sz w:val="18"/>
        </w:rPr>
        <w:t>period.</w:t>
      </w:r>
      <w:r>
        <w:rPr>
          <w:spacing w:val="-2"/>
          <w:sz w:val="18"/>
        </w:rPr>
        <w:t xml:space="preserve"> </w:t>
      </w:r>
      <w:r>
        <w:rPr>
          <w:sz w:val="18"/>
        </w:rPr>
        <w:t>There were no long term employee benefits paid in the reporting period.</w:t>
      </w:r>
    </w:p>
    <w:p w14:paraId="684EA9EE" w14:textId="77777777" w:rsidR="00AC6F3C" w:rsidRDefault="00AC6F3C">
      <w:pPr>
        <w:pStyle w:val="BodyText"/>
        <w:spacing w:before="9"/>
      </w:pPr>
    </w:p>
    <w:p w14:paraId="2CD9F690" w14:textId="77777777" w:rsidR="00AC6F3C" w:rsidRDefault="00570E88">
      <w:pPr>
        <w:ind w:left="958"/>
        <w:rPr>
          <w:sz w:val="18"/>
        </w:rPr>
      </w:pPr>
      <w:r>
        <w:rPr>
          <w:b/>
          <w:sz w:val="18"/>
        </w:rPr>
        <w:t>Post-employment</w:t>
      </w:r>
      <w:r>
        <w:rPr>
          <w:b/>
          <w:spacing w:val="-5"/>
          <w:sz w:val="18"/>
        </w:rPr>
        <w:t xml:space="preserve"> </w:t>
      </w:r>
      <w:r>
        <w:rPr>
          <w:b/>
          <w:sz w:val="18"/>
        </w:rPr>
        <w:t>benefits</w:t>
      </w:r>
      <w:r>
        <w:rPr>
          <w:b/>
          <w:spacing w:val="-4"/>
          <w:sz w:val="18"/>
        </w:rPr>
        <w:t xml:space="preserve"> </w:t>
      </w:r>
      <w:r>
        <w:rPr>
          <w:sz w:val="18"/>
        </w:rPr>
        <w:t>include</w:t>
      </w:r>
      <w:r>
        <w:rPr>
          <w:spacing w:val="-2"/>
          <w:sz w:val="18"/>
        </w:rPr>
        <w:t xml:space="preserve"> </w:t>
      </w:r>
      <w:r>
        <w:rPr>
          <w:sz w:val="18"/>
        </w:rPr>
        <w:t>amounts</w:t>
      </w:r>
      <w:r>
        <w:rPr>
          <w:spacing w:val="-3"/>
          <w:sz w:val="18"/>
        </w:rPr>
        <w:t xml:space="preserve"> </w:t>
      </w:r>
      <w:r>
        <w:rPr>
          <w:sz w:val="18"/>
        </w:rPr>
        <w:t>in</w:t>
      </w:r>
      <w:r>
        <w:rPr>
          <w:spacing w:val="-1"/>
          <w:sz w:val="18"/>
        </w:rPr>
        <w:t xml:space="preserve"> </w:t>
      </w:r>
      <w:r>
        <w:rPr>
          <w:sz w:val="18"/>
        </w:rPr>
        <w:t>respect</w:t>
      </w:r>
      <w:r>
        <w:rPr>
          <w:spacing w:val="-5"/>
          <w:sz w:val="18"/>
        </w:rPr>
        <w:t xml:space="preserve"> </w:t>
      </w:r>
      <w:r>
        <w:rPr>
          <w:sz w:val="18"/>
        </w:rPr>
        <w:t>of</w:t>
      </w:r>
      <w:r>
        <w:rPr>
          <w:spacing w:val="-2"/>
          <w:sz w:val="18"/>
        </w:rPr>
        <w:t xml:space="preserve"> </w:t>
      </w:r>
      <w:r>
        <w:rPr>
          <w:sz w:val="18"/>
        </w:rPr>
        <w:t>employer</w:t>
      </w:r>
      <w:r>
        <w:rPr>
          <w:spacing w:val="-4"/>
          <w:sz w:val="18"/>
        </w:rPr>
        <w:t xml:space="preserve"> </w:t>
      </w:r>
      <w:r>
        <w:rPr>
          <w:sz w:val="18"/>
        </w:rPr>
        <w:t>superannuation</w:t>
      </w:r>
      <w:r>
        <w:rPr>
          <w:spacing w:val="-4"/>
          <w:sz w:val="18"/>
        </w:rPr>
        <w:t xml:space="preserve"> </w:t>
      </w:r>
      <w:r>
        <w:rPr>
          <w:spacing w:val="-2"/>
          <w:sz w:val="18"/>
        </w:rPr>
        <w:t>contributions.</w:t>
      </w:r>
    </w:p>
    <w:p w14:paraId="40D4C9C1" w14:textId="77777777" w:rsidR="00AC6F3C" w:rsidRDefault="00AC6F3C">
      <w:pPr>
        <w:pStyle w:val="BodyText"/>
        <w:rPr>
          <w:sz w:val="21"/>
        </w:rPr>
      </w:pPr>
    </w:p>
    <w:p w14:paraId="3E4CC9FB" w14:textId="77777777" w:rsidR="00AC6F3C" w:rsidRDefault="00570E88">
      <w:pPr>
        <w:ind w:left="958" w:right="858"/>
        <w:rPr>
          <w:sz w:val="18"/>
        </w:rPr>
      </w:pPr>
      <w:r>
        <w:rPr>
          <w:b/>
          <w:sz w:val="18"/>
        </w:rPr>
        <w:t xml:space="preserve">Termination benefits </w:t>
      </w:r>
      <w:r>
        <w:rPr>
          <w:sz w:val="18"/>
        </w:rPr>
        <w:t>include payments in lieu of notice on termination and other lump sum separation entitlements</w:t>
      </w:r>
      <w:r>
        <w:rPr>
          <w:spacing w:val="-2"/>
          <w:sz w:val="18"/>
        </w:rPr>
        <w:t xml:space="preserve"> </w:t>
      </w:r>
      <w:r>
        <w:rPr>
          <w:sz w:val="18"/>
        </w:rPr>
        <w:t>(excluding</w:t>
      </w:r>
      <w:r>
        <w:rPr>
          <w:spacing w:val="-2"/>
          <w:sz w:val="18"/>
        </w:rPr>
        <w:t xml:space="preserve"> </w:t>
      </w:r>
      <w:r>
        <w:rPr>
          <w:sz w:val="18"/>
        </w:rPr>
        <w:t>annual</w:t>
      </w:r>
      <w:r>
        <w:rPr>
          <w:spacing w:val="-4"/>
          <w:sz w:val="18"/>
        </w:rPr>
        <w:t xml:space="preserve"> </w:t>
      </w:r>
      <w:r>
        <w:rPr>
          <w:sz w:val="18"/>
        </w:rPr>
        <w:t>and</w:t>
      </w:r>
      <w:r>
        <w:rPr>
          <w:spacing w:val="-4"/>
          <w:sz w:val="18"/>
        </w:rPr>
        <w:t xml:space="preserve"> </w:t>
      </w:r>
      <w:r>
        <w:rPr>
          <w:sz w:val="18"/>
        </w:rPr>
        <w:t>long</w:t>
      </w:r>
      <w:r>
        <w:rPr>
          <w:spacing w:val="-4"/>
          <w:sz w:val="18"/>
        </w:rPr>
        <w:t xml:space="preserve"> </w:t>
      </w:r>
      <w:r>
        <w:rPr>
          <w:sz w:val="18"/>
        </w:rPr>
        <w:t>service</w:t>
      </w:r>
      <w:r>
        <w:rPr>
          <w:spacing w:val="-2"/>
          <w:sz w:val="18"/>
        </w:rPr>
        <w:t xml:space="preserve"> </w:t>
      </w:r>
      <w:r>
        <w:rPr>
          <w:sz w:val="18"/>
        </w:rPr>
        <w:t>leave</w:t>
      </w:r>
      <w:r>
        <w:rPr>
          <w:spacing w:val="-2"/>
          <w:sz w:val="18"/>
        </w:rPr>
        <w:t xml:space="preserve"> </w:t>
      </w:r>
      <w:r>
        <w:rPr>
          <w:sz w:val="18"/>
        </w:rPr>
        <w:t>entitlements)</w:t>
      </w:r>
      <w:r>
        <w:rPr>
          <w:spacing w:val="-3"/>
          <w:sz w:val="18"/>
        </w:rPr>
        <w:t xml:space="preserve"> </w:t>
      </w:r>
      <w:r>
        <w:rPr>
          <w:sz w:val="18"/>
        </w:rPr>
        <w:t>payable</w:t>
      </w:r>
      <w:r>
        <w:rPr>
          <w:spacing w:val="-4"/>
          <w:sz w:val="18"/>
        </w:rPr>
        <w:t xml:space="preserve"> </w:t>
      </w:r>
      <w:r>
        <w:rPr>
          <w:sz w:val="18"/>
        </w:rPr>
        <w:t>on</w:t>
      </w:r>
      <w:r>
        <w:rPr>
          <w:spacing w:val="-2"/>
          <w:sz w:val="18"/>
        </w:rPr>
        <w:t xml:space="preserve"> </w:t>
      </w:r>
      <w:r>
        <w:rPr>
          <w:sz w:val="18"/>
        </w:rPr>
        <w:t>termination</w:t>
      </w:r>
      <w:r>
        <w:rPr>
          <w:spacing w:val="-4"/>
          <w:sz w:val="18"/>
        </w:rPr>
        <w:t xml:space="preserve"> </w:t>
      </w:r>
      <w:r>
        <w:rPr>
          <w:sz w:val="18"/>
        </w:rPr>
        <w:t>of</w:t>
      </w:r>
      <w:r>
        <w:rPr>
          <w:spacing w:val="-3"/>
          <w:sz w:val="18"/>
        </w:rPr>
        <w:t xml:space="preserve"> </w:t>
      </w:r>
      <w:r>
        <w:rPr>
          <w:sz w:val="18"/>
        </w:rPr>
        <w:t>employment or acceptance of an offer of termination of employment.</w:t>
      </w:r>
    </w:p>
    <w:p w14:paraId="22ED65FF" w14:textId="77777777" w:rsidR="00AC6F3C" w:rsidRDefault="00AC6F3C">
      <w:pPr>
        <w:rPr>
          <w:sz w:val="18"/>
        </w:rPr>
        <w:sectPr w:rsidR="00AC6F3C">
          <w:pgSz w:w="11910" w:h="16840"/>
          <w:pgMar w:top="2020" w:right="1160" w:bottom="520" w:left="460" w:header="1228" w:footer="336" w:gutter="0"/>
          <w:cols w:space="720"/>
        </w:sectPr>
      </w:pPr>
    </w:p>
    <w:p w14:paraId="086EA9E1" w14:textId="77777777" w:rsidR="00AC6F3C" w:rsidRDefault="00AC6F3C">
      <w:pPr>
        <w:pStyle w:val="BodyText"/>
      </w:pPr>
    </w:p>
    <w:p w14:paraId="1877BFBC" w14:textId="77777777" w:rsidR="00AC6F3C" w:rsidRDefault="00570E88">
      <w:pPr>
        <w:tabs>
          <w:tab w:val="left" w:pos="1666"/>
        </w:tabs>
        <w:spacing w:before="249" w:line="322" w:lineRule="exact"/>
        <w:ind w:left="958"/>
        <w:rPr>
          <w:b/>
          <w:sz w:val="28"/>
        </w:rPr>
      </w:pPr>
      <w:r>
        <w:rPr>
          <w:b/>
          <w:spacing w:val="-5"/>
          <w:sz w:val="28"/>
        </w:rPr>
        <w:t>E1</w:t>
      </w:r>
      <w:r>
        <w:rPr>
          <w:b/>
          <w:sz w:val="28"/>
        </w:rPr>
        <w:tab/>
        <w:t>KEY</w:t>
      </w:r>
      <w:r>
        <w:rPr>
          <w:b/>
          <w:spacing w:val="-13"/>
          <w:sz w:val="28"/>
        </w:rPr>
        <w:t xml:space="preserve"> </w:t>
      </w:r>
      <w:r>
        <w:rPr>
          <w:b/>
          <w:sz w:val="28"/>
        </w:rPr>
        <w:t>MANAGEMENT</w:t>
      </w:r>
      <w:r>
        <w:rPr>
          <w:b/>
          <w:spacing w:val="-10"/>
          <w:sz w:val="28"/>
        </w:rPr>
        <w:t xml:space="preserve"> </w:t>
      </w:r>
      <w:r>
        <w:rPr>
          <w:b/>
          <w:sz w:val="28"/>
        </w:rPr>
        <w:t>PERSONNEL</w:t>
      </w:r>
      <w:r>
        <w:rPr>
          <w:b/>
          <w:spacing w:val="-15"/>
          <w:sz w:val="28"/>
        </w:rPr>
        <w:t xml:space="preserve"> </w:t>
      </w:r>
      <w:r>
        <w:rPr>
          <w:b/>
          <w:spacing w:val="-2"/>
          <w:sz w:val="28"/>
        </w:rPr>
        <w:t>DISCLOSURES</w:t>
      </w:r>
    </w:p>
    <w:p w14:paraId="45033C1B" w14:textId="77777777" w:rsidR="00AC6F3C" w:rsidRDefault="00570E88">
      <w:pPr>
        <w:spacing w:line="322" w:lineRule="exact"/>
        <w:ind w:left="1666"/>
        <w:rPr>
          <w:b/>
          <w:sz w:val="28"/>
        </w:rPr>
      </w:pPr>
      <w:r>
        <w:rPr>
          <w:b/>
          <w:spacing w:val="-2"/>
          <w:sz w:val="28"/>
        </w:rPr>
        <w:t>(continued)</w:t>
      </w:r>
    </w:p>
    <w:p w14:paraId="2825A31D" w14:textId="77777777" w:rsidR="00AC6F3C" w:rsidRDefault="00570E88">
      <w:pPr>
        <w:spacing w:before="240"/>
        <w:ind w:left="958"/>
        <w:rPr>
          <w:b/>
          <w:sz w:val="20"/>
        </w:rPr>
      </w:pPr>
      <w:r>
        <w:rPr>
          <w:b/>
          <w:sz w:val="20"/>
        </w:rPr>
        <w:t>KMP</w:t>
      </w:r>
      <w:r>
        <w:rPr>
          <w:b/>
          <w:spacing w:val="-8"/>
          <w:sz w:val="20"/>
        </w:rPr>
        <w:t xml:space="preserve"> </w:t>
      </w:r>
      <w:r>
        <w:rPr>
          <w:b/>
          <w:sz w:val="20"/>
        </w:rPr>
        <w:t>Remuneration</w:t>
      </w:r>
      <w:r>
        <w:rPr>
          <w:b/>
          <w:spacing w:val="-8"/>
          <w:sz w:val="20"/>
        </w:rPr>
        <w:t xml:space="preserve"> </w:t>
      </w:r>
      <w:r>
        <w:rPr>
          <w:b/>
          <w:sz w:val="20"/>
        </w:rPr>
        <w:t>Policy</w:t>
      </w:r>
      <w:r>
        <w:rPr>
          <w:b/>
          <w:spacing w:val="-9"/>
          <w:sz w:val="20"/>
        </w:rPr>
        <w:t xml:space="preserve"> </w:t>
      </w:r>
      <w:r>
        <w:rPr>
          <w:b/>
          <w:spacing w:val="-2"/>
          <w:sz w:val="20"/>
        </w:rPr>
        <w:t>(continued)</w:t>
      </w:r>
    </w:p>
    <w:p w14:paraId="46EF5811" w14:textId="77777777" w:rsidR="00AC6F3C" w:rsidRDefault="00AC6F3C">
      <w:pPr>
        <w:pStyle w:val="BodyText"/>
        <w:spacing w:before="10"/>
        <w:rPr>
          <w:b/>
        </w:rPr>
      </w:pPr>
    </w:p>
    <w:p w14:paraId="6712576B" w14:textId="77777777" w:rsidR="00AC6F3C" w:rsidRDefault="00570E88">
      <w:pPr>
        <w:ind w:left="958"/>
        <w:rPr>
          <w:b/>
          <w:sz w:val="18"/>
        </w:rPr>
      </w:pPr>
      <w:r>
        <w:rPr>
          <w:b/>
          <w:sz w:val="18"/>
        </w:rPr>
        <w:t xml:space="preserve">KMP </w:t>
      </w:r>
      <w:r>
        <w:rPr>
          <w:b/>
          <w:spacing w:val="-2"/>
          <w:sz w:val="18"/>
        </w:rPr>
        <w:t>remuneration</w:t>
      </w:r>
    </w:p>
    <w:p w14:paraId="45B09C81" w14:textId="77777777" w:rsidR="00AC6F3C" w:rsidRDefault="00AC6F3C">
      <w:pPr>
        <w:pStyle w:val="BodyText"/>
        <w:spacing w:before="9"/>
        <w:rPr>
          <w:b/>
        </w:rPr>
      </w:pPr>
    </w:p>
    <w:p w14:paraId="2370EBA3" w14:textId="77777777" w:rsidR="00AC6F3C" w:rsidRDefault="00570E88">
      <w:pPr>
        <w:ind w:left="958"/>
        <w:rPr>
          <w:b/>
          <w:sz w:val="18"/>
        </w:rPr>
      </w:pPr>
      <w:r>
        <w:rPr>
          <w:b/>
          <w:sz w:val="18"/>
        </w:rPr>
        <w:t>1</w:t>
      </w:r>
      <w:r>
        <w:rPr>
          <w:b/>
          <w:spacing w:val="-2"/>
          <w:sz w:val="18"/>
        </w:rPr>
        <w:t xml:space="preserve"> </w:t>
      </w:r>
      <w:r>
        <w:rPr>
          <w:b/>
          <w:sz w:val="18"/>
        </w:rPr>
        <w:t>July</w:t>
      </w:r>
      <w:r>
        <w:rPr>
          <w:b/>
          <w:spacing w:val="-3"/>
          <w:sz w:val="18"/>
        </w:rPr>
        <w:t xml:space="preserve"> </w:t>
      </w:r>
      <w:r>
        <w:rPr>
          <w:b/>
          <w:sz w:val="18"/>
        </w:rPr>
        <w:t>2022</w:t>
      </w:r>
      <w:r>
        <w:rPr>
          <w:b/>
          <w:spacing w:val="1"/>
          <w:sz w:val="18"/>
        </w:rPr>
        <w:t xml:space="preserve"> </w:t>
      </w:r>
      <w:r>
        <w:rPr>
          <w:b/>
          <w:sz w:val="18"/>
        </w:rPr>
        <w:t>–</w:t>
      </w:r>
      <w:r>
        <w:rPr>
          <w:b/>
          <w:spacing w:val="-3"/>
          <w:sz w:val="18"/>
        </w:rPr>
        <w:t xml:space="preserve"> </w:t>
      </w:r>
      <w:r>
        <w:rPr>
          <w:b/>
          <w:sz w:val="18"/>
        </w:rPr>
        <w:t>30 June</w:t>
      </w:r>
      <w:r>
        <w:rPr>
          <w:b/>
          <w:spacing w:val="1"/>
          <w:sz w:val="18"/>
        </w:rPr>
        <w:t xml:space="preserve"> </w:t>
      </w:r>
      <w:r>
        <w:rPr>
          <w:b/>
          <w:spacing w:val="-4"/>
          <w:sz w:val="18"/>
        </w:rPr>
        <w:t>2023</w:t>
      </w:r>
    </w:p>
    <w:p w14:paraId="3E0C9FD6" w14:textId="77777777" w:rsidR="00AC6F3C" w:rsidRDefault="00AC6F3C">
      <w:pPr>
        <w:pStyle w:val="BodyText"/>
        <w:spacing w:before="1"/>
        <w:rPr>
          <w:b/>
          <w:sz w:val="18"/>
        </w:rPr>
      </w:pPr>
    </w:p>
    <w:tbl>
      <w:tblPr>
        <w:tblW w:w="0" w:type="auto"/>
        <w:tblInd w:w="972" w:type="dxa"/>
        <w:tblLayout w:type="fixed"/>
        <w:tblCellMar>
          <w:left w:w="0" w:type="dxa"/>
          <w:right w:w="0" w:type="dxa"/>
        </w:tblCellMar>
        <w:tblLook w:val="01E0" w:firstRow="1" w:lastRow="1" w:firstColumn="1" w:lastColumn="1" w:noHBand="0" w:noVBand="0"/>
      </w:tblPr>
      <w:tblGrid>
        <w:gridCol w:w="2569"/>
        <w:gridCol w:w="1454"/>
        <w:gridCol w:w="610"/>
        <w:gridCol w:w="981"/>
        <w:gridCol w:w="1012"/>
        <w:gridCol w:w="992"/>
        <w:gridCol w:w="865"/>
      </w:tblGrid>
      <w:tr w:rsidR="00AC6F3C" w14:paraId="03A6E132" w14:textId="77777777">
        <w:trPr>
          <w:trHeight w:val="1536"/>
        </w:trPr>
        <w:tc>
          <w:tcPr>
            <w:tcW w:w="2569" w:type="dxa"/>
            <w:tcBorders>
              <w:top w:val="single" w:sz="6" w:space="0" w:color="000000"/>
              <w:left w:val="single" w:sz="6" w:space="0" w:color="000000"/>
              <w:bottom w:val="single" w:sz="6" w:space="0" w:color="000000"/>
            </w:tcBorders>
            <w:shd w:val="clear" w:color="auto" w:fill="BEBEBE"/>
          </w:tcPr>
          <w:p w14:paraId="055CA37F" w14:textId="77777777" w:rsidR="00AC6F3C" w:rsidRDefault="00AC6F3C">
            <w:pPr>
              <w:pStyle w:val="TableParagraph"/>
              <w:rPr>
                <w:b/>
                <w:sz w:val="18"/>
              </w:rPr>
            </w:pPr>
          </w:p>
          <w:p w14:paraId="4DF8EEF1" w14:textId="77777777" w:rsidR="00AC6F3C" w:rsidRDefault="00AC6F3C">
            <w:pPr>
              <w:pStyle w:val="TableParagraph"/>
              <w:rPr>
                <w:b/>
                <w:sz w:val="18"/>
              </w:rPr>
            </w:pPr>
          </w:p>
          <w:p w14:paraId="61F3690B" w14:textId="77777777" w:rsidR="00AC6F3C" w:rsidRDefault="00570E88">
            <w:pPr>
              <w:pStyle w:val="TableParagraph"/>
              <w:spacing w:before="117"/>
              <w:ind w:left="32"/>
              <w:rPr>
                <w:b/>
                <w:sz w:val="16"/>
              </w:rPr>
            </w:pPr>
            <w:r>
              <w:rPr>
                <w:b/>
                <w:spacing w:val="-2"/>
                <w:sz w:val="16"/>
              </w:rPr>
              <w:t>Position</w:t>
            </w:r>
          </w:p>
        </w:tc>
        <w:tc>
          <w:tcPr>
            <w:tcW w:w="2064" w:type="dxa"/>
            <w:gridSpan w:val="2"/>
            <w:tcBorders>
              <w:top w:val="single" w:sz="6" w:space="0" w:color="000000"/>
              <w:bottom w:val="single" w:sz="6" w:space="0" w:color="000000"/>
            </w:tcBorders>
            <w:shd w:val="clear" w:color="auto" w:fill="BEBEBE"/>
          </w:tcPr>
          <w:p w14:paraId="5211AE80" w14:textId="77777777" w:rsidR="00AC6F3C" w:rsidRDefault="00570E88">
            <w:pPr>
              <w:pStyle w:val="TableParagraph"/>
              <w:spacing w:before="9" w:line="278" w:lineRule="auto"/>
              <w:ind w:left="658" w:right="162" w:hanging="442"/>
              <w:rPr>
                <w:b/>
                <w:sz w:val="16"/>
              </w:rPr>
            </w:pPr>
            <w:r>
              <w:rPr>
                <w:b/>
                <w:spacing w:val="-2"/>
                <w:sz w:val="16"/>
              </w:rPr>
              <w:t>Short</w:t>
            </w:r>
            <w:r>
              <w:rPr>
                <w:b/>
                <w:spacing w:val="-10"/>
                <w:sz w:val="16"/>
              </w:rPr>
              <w:t xml:space="preserve"> </w:t>
            </w:r>
            <w:r>
              <w:rPr>
                <w:b/>
                <w:spacing w:val="-2"/>
                <w:sz w:val="16"/>
              </w:rPr>
              <w:t>Term</w:t>
            </w:r>
            <w:r>
              <w:rPr>
                <w:b/>
                <w:spacing w:val="-9"/>
                <w:sz w:val="16"/>
              </w:rPr>
              <w:t xml:space="preserve"> </w:t>
            </w:r>
            <w:r>
              <w:rPr>
                <w:b/>
                <w:spacing w:val="-2"/>
                <w:sz w:val="16"/>
              </w:rPr>
              <w:t>Employee Expenses</w:t>
            </w:r>
          </w:p>
          <w:p w14:paraId="0B6046BC" w14:textId="77777777" w:rsidR="00AC6F3C" w:rsidRDefault="00AC6F3C">
            <w:pPr>
              <w:pStyle w:val="TableParagraph"/>
              <w:spacing w:before="11"/>
              <w:rPr>
                <w:b/>
                <w:sz w:val="23"/>
              </w:rPr>
            </w:pPr>
          </w:p>
          <w:p w14:paraId="078652CC" w14:textId="77777777" w:rsidR="00AC6F3C" w:rsidRDefault="00570E88">
            <w:pPr>
              <w:pStyle w:val="TableParagraph"/>
              <w:tabs>
                <w:tab w:val="left" w:pos="1180"/>
                <w:tab w:val="left" w:pos="1368"/>
              </w:tabs>
              <w:spacing w:line="139" w:lineRule="auto"/>
              <w:ind w:left="163" w:right="162" w:firstLine="26"/>
              <w:rPr>
                <w:b/>
                <w:sz w:val="16"/>
              </w:rPr>
            </w:pPr>
            <w:r>
              <w:rPr>
                <w:b/>
                <w:spacing w:val="-2"/>
                <w:sz w:val="16"/>
              </w:rPr>
              <w:t>Monetary</w:t>
            </w:r>
            <w:r>
              <w:rPr>
                <w:b/>
                <w:sz w:val="16"/>
              </w:rPr>
              <w:tab/>
            </w:r>
            <w:r>
              <w:rPr>
                <w:b/>
                <w:sz w:val="16"/>
              </w:rPr>
              <w:tab/>
            </w:r>
            <w:r>
              <w:rPr>
                <w:b/>
                <w:spacing w:val="-4"/>
                <w:position w:val="11"/>
                <w:sz w:val="16"/>
              </w:rPr>
              <w:t xml:space="preserve">Non- </w:t>
            </w:r>
            <w:r>
              <w:rPr>
                <w:b/>
                <w:spacing w:val="-2"/>
                <w:position w:val="-10"/>
                <w:sz w:val="16"/>
              </w:rPr>
              <w:t>Expenses</w:t>
            </w:r>
            <w:r>
              <w:rPr>
                <w:b/>
                <w:position w:val="-10"/>
                <w:sz w:val="16"/>
              </w:rPr>
              <w:tab/>
            </w:r>
            <w:r>
              <w:rPr>
                <w:b/>
                <w:spacing w:val="-2"/>
                <w:sz w:val="16"/>
              </w:rPr>
              <w:t>Monetary</w:t>
            </w:r>
          </w:p>
          <w:p w14:paraId="47230DF0" w14:textId="77777777" w:rsidR="00AC6F3C" w:rsidRDefault="00570E88">
            <w:pPr>
              <w:pStyle w:val="TableParagraph"/>
              <w:spacing w:line="118" w:lineRule="exact"/>
              <w:ind w:left="1221"/>
              <w:rPr>
                <w:b/>
                <w:sz w:val="16"/>
              </w:rPr>
            </w:pPr>
            <w:r>
              <w:rPr>
                <w:b/>
                <w:spacing w:val="-2"/>
                <w:sz w:val="16"/>
              </w:rPr>
              <w:t>Benefits</w:t>
            </w:r>
          </w:p>
          <w:p w14:paraId="26DA8203" w14:textId="77777777" w:rsidR="00AC6F3C" w:rsidRDefault="00570E88">
            <w:pPr>
              <w:pStyle w:val="TableParagraph"/>
              <w:tabs>
                <w:tab w:val="left" w:pos="1596"/>
              </w:tabs>
              <w:spacing w:before="57"/>
              <w:ind w:left="591"/>
              <w:rPr>
                <w:b/>
                <w:sz w:val="16"/>
              </w:rPr>
            </w:pPr>
            <w:r>
              <w:rPr>
                <w:b/>
                <w:spacing w:val="-2"/>
                <w:sz w:val="16"/>
              </w:rPr>
              <w:t>$’000</w:t>
            </w:r>
            <w:r>
              <w:rPr>
                <w:b/>
                <w:sz w:val="16"/>
              </w:rPr>
              <w:tab/>
            </w:r>
            <w:r>
              <w:rPr>
                <w:b/>
                <w:spacing w:val="-2"/>
                <w:sz w:val="16"/>
              </w:rPr>
              <w:t>$’000</w:t>
            </w:r>
          </w:p>
        </w:tc>
        <w:tc>
          <w:tcPr>
            <w:tcW w:w="981" w:type="dxa"/>
            <w:tcBorders>
              <w:top w:val="single" w:sz="6" w:space="0" w:color="000000"/>
              <w:bottom w:val="single" w:sz="6" w:space="0" w:color="000000"/>
            </w:tcBorders>
            <w:shd w:val="clear" w:color="auto" w:fill="BEBEBE"/>
          </w:tcPr>
          <w:p w14:paraId="27BA6E0E" w14:textId="77777777" w:rsidR="00AC6F3C" w:rsidRDefault="00570E88">
            <w:pPr>
              <w:pStyle w:val="TableParagraph"/>
              <w:spacing w:before="9" w:line="278" w:lineRule="auto"/>
              <w:ind w:left="108" w:right="98" w:hanging="41"/>
              <w:jc w:val="both"/>
              <w:rPr>
                <w:b/>
                <w:sz w:val="16"/>
              </w:rPr>
            </w:pPr>
            <w:r>
              <w:rPr>
                <w:b/>
                <w:spacing w:val="-2"/>
                <w:sz w:val="16"/>
              </w:rPr>
              <w:t>Long</w:t>
            </w:r>
            <w:r>
              <w:rPr>
                <w:b/>
                <w:spacing w:val="-10"/>
                <w:sz w:val="16"/>
              </w:rPr>
              <w:t xml:space="preserve"> </w:t>
            </w:r>
            <w:r>
              <w:rPr>
                <w:b/>
                <w:spacing w:val="-2"/>
                <w:sz w:val="16"/>
              </w:rPr>
              <w:t>Term Employee Expenses</w:t>
            </w:r>
          </w:p>
          <w:p w14:paraId="361CD512" w14:textId="77777777" w:rsidR="00AC6F3C" w:rsidRDefault="00AC6F3C">
            <w:pPr>
              <w:pStyle w:val="TableParagraph"/>
              <w:rPr>
                <w:b/>
                <w:sz w:val="18"/>
              </w:rPr>
            </w:pPr>
          </w:p>
          <w:p w14:paraId="0B26E00B" w14:textId="77777777" w:rsidR="00AC6F3C" w:rsidRDefault="00AC6F3C">
            <w:pPr>
              <w:pStyle w:val="TableParagraph"/>
              <w:rPr>
                <w:b/>
                <w:sz w:val="18"/>
              </w:rPr>
            </w:pPr>
          </w:p>
          <w:p w14:paraId="6D6DCAED" w14:textId="77777777" w:rsidR="00AC6F3C" w:rsidRDefault="00AC6F3C">
            <w:pPr>
              <w:pStyle w:val="TableParagraph"/>
              <w:spacing w:before="3"/>
              <w:rPr>
                <w:b/>
              </w:rPr>
            </w:pPr>
          </w:p>
          <w:p w14:paraId="280EEA7F" w14:textId="77777777" w:rsidR="00AC6F3C" w:rsidRDefault="00570E88">
            <w:pPr>
              <w:pStyle w:val="TableParagraph"/>
              <w:ind w:left="536"/>
              <w:rPr>
                <w:b/>
                <w:sz w:val="16"/>
              </w:rPr>
            </w:pPr>
            <w:r>
              <w:rPr>
                <w:b/>
                <w:spacing w:val="-2"/>
                <w:sz w:val="16"/>
              </w:rPr>
              <w:t>$’000</w:t>
            </w:r>
          </w:p>
        </w:tc>
        <w:tc>
          <w:tcPr>
            <w:tcW w:w="1012" w:type="dxa"/>
            <w:tcBorders>
              <w:top w:val="single" w:sz="6" w:space="0" w:color="000000"/>
              <w:bottom w:val="single" w:sz="6" w:space="0" w:color="000000"/>
            </w:tcBorders>
            <w:shd w:val="clear" w:color="auto" w:fill="BEBEBE"/>
          </w:tcPr>
          <w:p w14:paraId="5F46E27A" w14:textId="77777777" w:rsidR="00AC6F3C" w:rsidRDefault="00570E88">
            <w:pPr>
              <w:pStyle w:val="TableParagraph"/>
              <w:spacing w:before="9" w:line="278" w:lineRule="auto"/>
              <w:ind w:left="37" w:right="39" w:firstLine="4"/>
              <w:jc w:val="center"/>
              <w:rPr>
                <w:b/>
                <w:sz w:val="16"/>
              </w:rPr>
            </w:pPr>
            <w:r>
              <w:rPr>
                <w:b/>
                <w:spacing w:val="-4"/>
                <w:sz w:val="16"/>
              </w:rPr>
              <w:t xml:space="preserve">Post Employment </w:t>
            </w:r>
            <w:r>
              <w:rPr>
                <w:b/>
                <w:spacing w:val="-2"/>
                <w:sz w:val="16"/>
              </w:rPr>
              <w:t>Benefits</w:t>
            </w:r>
          </w:p>
          <w:p w14:paraId="3D6B4214" w14:textId="77777777" w:rsidR="00AC6F3C" w:rsidRDefault="00AC6F3C">
            <w:pPr>
              <w:pStyle w:val="TableParagraph"/>
              <w:rPr>
                <w:b/>
                <w:sz w:val="18"/>
              </w:rPr>
            </w:pPr>
          </w:p>
          <w:p w14:paraId="56D2D859" w14:textId="77777777" w:rsidR="00AC6F3C" w:rsidRDefault="00AC6F3C">
            <w:pPr>
              <w:pStyle w:val="TableParagraph"/>
              <w:rPr>
                <w:b/>
                <w:sz w:val="18"/>
              </w:rPr>
            </w:pPr>
          </w:p>
          <w:p w14:paraId="71C2BB6D" w14:textId="77777777" w:rsidR="00AC6F3C" w:rsidRDefault="00AC6F3C">
            <w:pPr>
              <w:pStyle w:val="TableParagraph"/>
              <w:spacing w:before="3"/>
              <w:rPr>
                <w:b/>
              </w:rPr>
            </w:pPr>
          </w:p>
          <w:p w14:paraId="569D306B" w14:textId="77777777" w:rsidR="00AC6F3C" w:rsidRDefault="00570E88">
            <w:pPr>
              <w:pStyle w:val="TableParagraph"/>
              <w:ind w:left="560"/>
              <w:rPr>
                <w:b/>
                <w:sz w:val="16"/>
              </w:rPr>
            </w:pPr>
            <w:r>
              <w:rPr>
                <w:b/>
                <w:spacing w:val="-2"/>
                <w:sz w:val="16"/>
              </w:rPr>
              <w:t>$’000</w:t>
            </w:r>
          </w:p>
        </w:tc>
        <w:tc>
          <w:tcPr>
            <w:tcW w:w="992" w:type="dxa"/>
            <w:tcBorders>
              <w:top w:val="single" w:sz="6" w:space="0" w:color="000000"/>
              <w:bottom w:val="single" w:sz="6" w:space="0" w:color="000000"/>
            </w:tcBorders>
            <w:shd w:val="clear" w:color="auto" w:fill="BEBEBE"/>
          </w:tcPr>
          <w:p w14:paraId="67576165" w14:textId="77777777" w:rsidR="00AC6F3C" w:rsidRDefault="00570E88">
            <w:pPr>
              <w:pStyle w:val="TableParagraph"/>
              <w:spacing w:before="9" w:line="278" w:lineRule="auto"/>
              <w:ind w:left="190" w:hanging="148"/>
              <w:rPr>
                <w:b/>
                <w:sz w:val="16"/>
              </w:rPr>
            </w:pPr>
            <w:r>
              <w:rPr>
                <w:b/>
                <w:spacing w:val="-2"/>
                <w:sz w:val="16"/>
              </w:rPr>
              <w:t>Termination Benefits</w:t>
            </w:r>
          </w:p>
          <w:p w14:paraId="1E404872" w14:textId="77777777" w:rsidR="00AC6F3C" w:rsidRDefault="00AC6F3C">
            <w:pPr>
              <w:pStyle w:val="TableParagraph"/>
              <w:rPr>
                <w:b/>
                <w:sz w:val="18"/>
              </w:rPr>
            </w:pPr>
          </w:p>
          <w:p w14:paraId="2327EE58" w14:textId="77777777" w:rsidR="00AC6F3C" w:rsidRDefault="00AC6F3C">
            <w:pPr>
              <w:pStyle w:val="TableParagraph"/>
              <w:rPr>
                <w:b/>
                <w:sz w:val="18"/>
              </w:rPr>
            </w:pPr>
          </w:p>
          <w:p w14:paraId="4DEF70E6" w14:textId="77777777" w:rsidR="00AC6F3C" w:rsidRDefault="00AC6F3C">
            <w:pPr>
              <w:pStyle w:val="TableParagraph"/>
              <w:rPr>
                <w:b/>
                <w:sz w:val="18"/>
              </w:rPr>
            </w:pPr>
          </w:p>
          <w:p w14:paraId="75CAF39B" w14:textId="77777777" w:rsidR="00AC6F3C" w:rsidRDefault="00AC6F3C">
            <w:pPr>
              <w:pStyle w:val="TableParagraph"/>
              <w:spacing w:before="10"/>
              <w:rPr>
                <w:b/>
              </w:rPr>
            </w:pPr>
          </w:p>
          <w:p w14:paraId="05F0692A" w14:textId="77777777" w:rsidR="00AC6F3C" w:rsidRDefault="00570E88">
            <w:pPr>
              <w:pStyle w:val="TableParagraph"/>
              <w:ind w:left="552"/>
              <w:rPr>
                <w:b/>
                <w:sz w:val="16"/>
              </w:rPr>
            </w:pPr>
            <w:r>
              <w:rPr>
                <w:b/>
                <w:spacing w:val="-2"/>
                <w:sz w:val="16"/>
              </w:rPr>
              <w:t>$’000</w:t>
            </w:r>
          </w:p>
        </w:tc>
        <w:tc>
          <w:tcPr>
            <w:tcW w:w="865" w:type="dxa"/>
            <w:tcBorders>
              <w:top w:val="single" w:sz="6" w:space="0" w:color="000000"/>
              <w:bottom w:val="single" w:sz="6" w:space="0" w:color="000000"/>
              <w:right w:val="single" w:sz="6" w:space="0" w:color="000000"/>
            </w:tcBorders>
            <w:shd w:val="clear" w:color="auto" w:fill="BEBEBE"/>
          </w:tcPr>
          <w:p w14:paraId="72FF1A71" w14:textId="77777777" w:rsidR="00AC6F3C" w:rsidRDefault="00570E88">
            <w:pPr>
              <w:pStyle w:val="TableParagraph"/>
              <w:spacing w:before="9" w:line="278" w:lineRule="auto"/>
              <w:ind w:left="55" w:firstLine="187"/>
              <w:rPr>
                <w:b/>
                <w:sz w:val="16"/>
              </w:rPr>
            </w:pPr>
            <w:r>
              <w:rPr>
                <w:b/>
                <w:spacing w:val="-2"/>
                <w:sz w:val="16"/>
              </w:rPr>
              <w:t>Total Expenses</w:t>
            </w:r>
          </w:p>
          <w:p w14:paraId="3FA64501" w14:textId="77777777" w:rsidR="00AC6F3C" w:rsidRDefault="00AC6F3C">
            <w:pPr>
              <w:pStyle w:val="TableParagraph"/>
              <w:rPr>
                <w:b/>
                <w:sz w:val="18"/>
              </w:rPr>
            </w:pPr>
          </w:p>
          <w:p w14:paraId="68B21D30" w14:textId="77777777" w:rsidR="00AC6F3C" w:rsidRDefault="00AC6F3C">
            <w:pPr>
              <w:pStyle w:val="TableParagraph"/>
              <w:rPr>
                <w:b/>
                <w:sz w:val="18"/>
              </w:rPr>
            </w:pPr>
          </w:p>
          <w:p w14:paraId="1416B4E0" w14:textId="77777777" w:rsidR="00AC6F3C" w:rsidRDefault="00AC6F3C">
            <w:pPr>
              <w:pStyle w:val="TableParagraph"/>
              <w:rPr>
                <w:b/>
                <w:sz w:val="18"/>
              </w:rPr>
            </w:pPr>
          </w:p>
          <w:p w14:paraId="4625A135" w14:textId="77777777" w:rsidR="00AC6F3C" w:rsidRDefault="00AC6F3C">
            <w:pPr>
              <w:pStyle w:val="TableParagraph"/>
              <w:spacing w:before="10"/>
              <w:rPr>
                <w:b/>
              </w:rPr>
            </w:pPr>
          </w:p>
          <w:p w14:paraId="2CA6520F" w14:textId="77777777" w:rsidR="00AC6F3C" w:rsidRDefault="00570E88">
            <w:pPr>
              <w:pStyle w:val="TableParagraph"/>
              <w:ind w:left="417"/>
              <w:rPr>
                <w:b/>
                <w:sz w:val="16"/>
              </w:rPr>
            </w:pPr>
            <w:r>
              <w:rPr>
                <w:b/>
                <w:spacing w:val="-2"/>
                <w:sz w:val="16"/>
              </w:rPr>
              <w:t>$’000</w:t>
            </w:r>
          </w:p>
        </w:tc>
      </w:tr>
      <w:tr w:rsidR="00AC6F3C" w14:paraId="5A57039F" w14:textId="77777777">
        <w:trPr>
          <w:trHeight w:val="291"/>
        </w:trPr>
        <w:tc>
          <w:tcPr>
            <w:tcW w:w="2569" w:type="dxa"/>
            <w:tcBorders>
              <w:top w:val="single" w:sz="6" w:space="0" w:color="000000"/>
              <w:left w:val="single" w:sz="6" w:space="0" w:color="000000"/>
            </w:tcBorders>
          </w:tcPr>
          <w:p w14:paraId="3419E32D" w14:textId="77777777" w:rsidR="00AC6F3C" w:rsidRDefault="00570E88">
            <w:pPr>
              <w:pStyle w:val="TableParagraph"/>
              <w:spacing w:before="63"/>
              <w:ind w:left="32"/>
              <w:rPr>
                <w:b/>
                <w:sz w:val="16"/>
              </w:rPr>
            </w:pPr>
            <w:r>
              <w:rPr>
                <w:b/>
                <w:spacing w:val="-2"/>
                <w:sz w:val="16"/>
              </w:rPr>
              <w:t>President</w:t>
            </w:r>
          </w:p>
        </w:tc>
        <w:tc>
          <w:tcPr>
            <w:tcW w:w="1454" w:type="dxa"/>
            <w:tcBorders>
              <w:top w:val="single" w:sz="6" w:space="0" w:color="000000"/>
            </w:tcBorders>
          </w:tcPr>
          <w:p w14:paraId="602D0F09" w14:textId="77777777" w:rsidR="00AC6F3C" w:rsidRDefault="00AC6F3C">
            <w:pPr>
              <w:pStyle w:val="TableParagraph"/>
              <w:rPr>
                <w:rFonts w:ascii="Times New Roman"/>
                <w:sz w:val="16"/>
              </w:rPr>
            </w:pPr>
          </w:p>
        </w:tc>
        <w:tc>
          <w:tcPr>
            <w:tcW w:w="610" w:type="dxa"/>
            <w:tcBorders>
              <w:top w:val="single" w:sz="6" w:space="0" w:color="000000"/>
            </w:tcBorders>
          </w:tcPr>
          <w:p w14:paraId="3BA6B65E" w14:textId="77777777" w:rsidR="00AC6F3C" w:rsidRDefault="00AC6F3C">
            <w:pPr>
              <w:pStyle w:val="TableParagraph"/>
              <w:rPr>
                <w:rFonts w:ascii="Times New Roman"/>
                <w:sz w:val="16"/>
              </w:rPr>
            </w:pPr>
          </w:p>
        </w:tc>
        <w:tc>
          <w:tcPr>
            <w:tcW w:w="981" w:type="dxa"/>
            <w:tcBorders>
              <w:top w:val="single" w:sz="6" w:space="0" w:color="000000"/>
            </w:tcBorders>
          </w:tcPr>
          <w:p w14:paraId="05AF15C9" w14:textId="77777777" w:rsidR="00AC6F3C" w:rsidRDefault="00AC6F3C">
            <w:pPr>
              <w:pStyle w:val="TableParagraph"/>
              <w:rPr>
                <w:rFonts w:ascii="Times New Roman"/>
                <w:sz w:val="16"/>
              </w:rPr>
            </w:pPr>
          </w:p>
        </w:tc>
        <w:tc>
          <w:tcPr>
            <w:tcW w:w="1012" w:type="dxa"/>
            <w:tcBorders>
              <w:top w:val="single" w:sz="6" w:space="0" w:color="000000"/>
            </w:tcBorders>
          </w:tcPr>
          <w:p w14:paraId="28E36722" w14:textId="77777777" w:rsidR="00AC6F3C" w:rsidRDefault="00AC6F3C">
            <w:pPr>
              <w:pStyle w:val="TableParagraph"/>
              <w:rPr>
                <w:rFonts w:ascii="Times New Roman"/>
                <w:sz w:val="16"/>
              </w:rPr>
            </w:pPr>
          </w:p>
        </w:tc>
        <w:tc>
          <w:tcPr>
            <w:tcW w:w="992" w:type="dxa"/>
            <w:tcBorders>
              <w:top w:val="single" w:sz="6" w:space="0" w:color="000000"/>
            </w:tcBorders>
          </w:tcPr>
          <w:p w14:paraId="36F85626" w14:textId="77777777" w:rsidR="00AC6F3C" w:rsidRDefault="00AC6F3C">
            <w:pPr>
              <w:pStyle w:val="TableParagraph"/>
              <w:rPr>
                <w:rFonts w:ascii="Times New Roman"/>
                <w:sz w:val="16"/>
              </w:rPr>
            </w:pPr>
          </w:p>
        </w:tc>
        <w:tc>
          <w:tcPr>
            <w:tcW w:w="865" w:type="dxa"/>
            <w:tcBorders>
              <w:top w:val="single" w:sz="6" w:space="0" w:color="000000"/>
              <w:right w:val="single" w:sz="6" w:space="0" w:color="000000"/>
            </w:tcBorders>
            <w:shd w:val="clear" w:color="auto" w:fill="F1F1F1"/>
          </w:tcPr>
          <w:p w14:paraId="700DBEA0" w14:textId="77777777" w:rsidR="00AC6F3C" w:rsidRDefault="00AC6F3C">
            <w:pPr>
              <w:pStyle w:val="TableParagraph"/>
              <w:rPr>
                <w:rFonts w:ascii="Times New Roman"/>
                <w:sz w:val="16"/>
              </w:rPr>
            </w:pPr>
          </w:p>
        </w:tc>
      </w:tr>
      <w:tr w:rsidR="00AC6F3C" w14:paraId="6B440547" w14:textId="77777777">
        <w:trPr>
          <w:trHeight w:val="267"/>
        </w:trPr>
        <w:tc>
          <w:tcPr>
            <w:tcW w:w="2569" w:type="dxa"/>
            <w:tcBorders>
              <w:left w:val="single" w:sz="6" w:space="0" w:color="000000"/>
            </w:tcBorders>
          </w:tcPr>
          <w:p w14:paraId="5732E292" w14:textId="77777777" w:rsidR="00AC6F3C" w:rsidRDefault="00570E88">
            <w:pPr>
              <w:pStyle w:val="TableParagraph"/>
              <w:spacing w:before="39"/>
              <w:ind w:left="32"/>
              <w:rPr>
                <w:sz w:val="16"/>
              </w:rPr>
            </w:pPr>
            <w:r>
              <w:rPr>
                <w:sz w:val="16"/>
              </w:rPr>
              <w:t>1</w:t>
            </w:r>
            <w:r>
              <w:rPr>
                <w:spacing w:val="10"/>
                <w:sz w:val="16"/>
              </w:rPr>
              <w:t xml:space="preserve"> </w:t>
            </w:r>
            <w:r>
              <w:rPr>
                <w:sz w:val="16"/>
              </w:rPr>
              <w:t>July</w:t>
            </w:r>
            <w:r>
              <w:rPr>
                <w:spacing w:val="-12"/>
                <w:sz w:val="16"/>
              </w:rPr>
              <w:t xml:space="preserve"> </w:t>
            </w:r>
            <w:r>
              <w:rPr>
                <w:sz w:val="16"/>
              </w:rPr>
              <w:t>2022</w:t>
            </w:r>
            <w:r>
              <w:rPr>
                <w:spacing w:val="11"/>
                <w:sz w:val="16"/>
              </w:rPr>
              <w:t xml:space="preserve"> </w:t>
            </w:r>
            <w:r>
              <w:rPr>
                <w:sz w:val="16"/>
              </w:rPr>
              <w:t>-</w:t>
            </w:r>
            <w:r>
              <w:rPr>
                <w:spacing w:val="4"/>
                <w:sz w:val="16"/>
              </w:rPr>
              <w:t xml:space="preserve"> </w:t>
            </w:r>
            <w:r>
              <w:rPr>
                <w:sz w:val="16"/>
              </w:rPr>
              <w:t>31</w:t>
            </w:r>
            <w:r>
              <w:rPr>
                <w:spacing w:val="11"/>
                <w:sz w:val="16"/>
              </w:rPr>
              <w:t xml:space="preserve"> </w:t>
            </w:r>
            <w:r>
              <w:rPr>
                <w:sz w:val="16"/>
              </w:rPr>
              <w:t>December</w:t>
            </w:r>
            <w:r>
              <w:rPr>
                <w:spacing w:val="5"/>
                <w:sz w:val="16"/>
              </w:rPr>
              <w:t xml:space="preserve"> </w:t>
            </w:r>
            <w:r>
              <w:rPr>
                <w:spacing w:val="-4"/>
                <w:sz w:val="16"/>
              </w:rPr>
              <w:t>2022</w:t>
            </w:r>
          </w:p>
        </w:tc>
        <w:tc>
          <w:tcPr>
            <w:tcW w:w="1454" w:type="dxa"/>
          </w:tcPr>
          <w:p w14:paraId="562AE5E3" w14:textId="77777777" w:rsidR="00AC6F3C" w:rsidRDefault="00570E88">
            <w:pPr>
              <w:pStyle w:val="TableParagraph"/>
              <w:spacing w:before="39"/>
              <w:ind w:right="445"/>
              <w:jc w:val="right"/>
              <w:rPr>
                <w:sz w:val="16"/>
              </w:rPr>
            </w:pPr>
            <w:r>
              <w:rPr>
                <w:spacing w:val="-5"/>
                <w:sz w:val="16"/>
              </w:rPr>
              <w:t>131</w:t>
            </w:r>
          </w:p>
        </w:tc>
        <w:tc>
          <w:tcPr>
            <w:tcW w:w="610" w:type="dxa"/>
          </w:tcPr>
          <w:p w14:paraId="46C2100E" w14:textId="77777777" w:rsidR="00AC6F3C" w:rsidRDefault="00570E88">
            <w:pPr>
              <w:pStyle w:val="TableParagraph"/>
              <w:spacing w:before="39"/>
              <w:ind w:right="55"/>
              <w:jc w:val="right"/>
              <w:rPr>
                <w:sz w:val="16"/>
              </w:rPr>
            </w:pPr>
            <w:r>
              <w:rPr>
                <w:sz w:val="16"/>
              </w:rPr>
              <w:t>4</w:t>
            </w:r>
          </w:p>
        </w:tc>
        <w:tc>
          <w:tcPr>
            <w:tcW w:w="981" w:type="dxa"/>
          </w:tcPr>
          <w:p w14:paraId="1DEEB3B8" w14:textId="77777777" w:rsidR="00AC6F3C" w:rsidRDefault="00570E88">
            <w:pPr>
              <w:pStyle w:val="TableParagraph"/>
              <w:spacing w:before="39"/>
              <w:ind w:right="27"/>
              <w:jc w:val="right"/>
              <w:rPr>
                <w:sz w:val="16"/>
              </w:rPr>
            </w:pPr>
            <w:r>
              <w:rPr>
                <w:sz w:val="16"/>
              </w:rPr>
              <w:t>-</w:t>
            </w:r>
          </w:p>
        </w:tc>
        <w:tc>
          <w:tcPr>
            <w:tcW w:w="1012" w:type="dxa"/>
          </w:tcPr>
          <w:p w14:paraId="69714A05" w14:textId="77777777" w:rsidR="00AC6F3C" w:rsidRDefault="00570E88">
            <w:pPr>
              <w:pStyle w:val="TableParagraph"/>
              <w:spacing w:before="39"/>
              <w:ind w:right="34"/>
              <w:jc w:val="right"/>
              <w:rPr>
                <w:sz w:val="16"/>
              </w:rPr>
            </w:pPr>
            <w:r>
              <w:rPr>
                <w:spacing w:val="-5"/>
                <w:sz w:val="16"/>
              </w:rPr>
              <w:t>13</w:t>
            </w:r>
          </w:p>
        </w:tc>
        <w:tc>
          <w:tcPr>
            <w:tcW w:w="992" w:type="dxa"/>
          </w:tcPr>
          <w:p w14:paraId="3A319A27" w14:textId="77777777" w:rsidR="00AC6F3C" w:rsidRDefault="00570E88">
            <w:pPr>
              <w:pStyle w:val="TableParagraph"/>
              <w:spacing w:before="39"/>
              <w:ind w:right="22"/>
              <w:jc w:val="right"/>
              <w:rPr>
                <w:sz w:val="16"/>
              </w:rPr>
            </w:pPr>
            <w:r>
              <w:rPr>
                <w:sz w:val="16"/>
              </w:rPr>
              <w:t>-</w:t>
            </w:r>
          </w:p>
        </w:tc>
        <w:tc>
          <w:tcPr>
            <w:tcW w:w="865" w:type="dxa"/>
            <w:tcBorders>
              <w:right w:val="single" w:sz="6" w:space="0" w:color="000000"/>
            </w:tcBorders>
            <w:shd w:val="clear" w:color="auto" w:fill="F1F1F1"/>
          </w:tcPr>
          <w:p w14:paraId="1BF39912" w14:textId="77777777" w:rsidR="00AC6F3C" w:rsidRDefault="00570E88">
            <w:pPr>
              <w:pStyle w:val="TableParagraph"/>
              <w:spacing w:before="39"/>
              <w:ind w:right="22"/>
              <w:jc w:val="right"/>
              <w:rPr>
                <w:sz w:val="16"/>
              </w:rPr>
            </w:pPr>
            <w:r>
              <w:rPr>
                <w:spacing w:val="-5"/>
                <w:sz w:val="16"/>
              </w:rPr>
              <w:t>148</w:t>
            </w:r>
          </w:p>
        </w:tc>
      </w:tr>
      <w:tr w:rsidR="00AC6F3C" w14:paraId="04C99C46" w14:textId="77777777">
        <w:trPr>
          <w:trHeight w:val="267"/>
        </w:trPr>
        <w:tc>
          <w:tcPr>
            <w:tcW w:w="2569" w:type="dxa"/>
            <w:tcBorders>
              <w:left w:val="single" w:sz="6" w:space="0" w:color="000000"/>
            </w:tcBorders>
          </w:tcPr>
          <w:p w14:paraId="2B8B6869" w14:textId="77777777" w:rsidR="00AC6F3C" w:rsidRDefault="00570E88">
            <w:pPr>
              <w:pStyle w:val="TableParagraph"/>
              <w:spacing w:before="39"/>
              <w:ind w:left="32"/>
              <w:rPr>
                <w:b/>
                <w:sz w:val="16"/>
              </w:rPr>
            </w:pPr>
            <w:r>
              <w:rPr>
                <w:b/>
                <w:spacing w:val="-2"/>
                <w:sz w:val="16"/>
              </w:rPr>
              <w:t>President</w:t>
            </w:r>
          </w:p>
        </w:tc>
        <w:tc>
          <w:tcPr>
            <w:tcW w:w="1454" w:type="dxa"/>
          </w:tcPr>
          <w:p w14:paraId="1E31421D" w14:textId="77777777" w:rsidR="00AC6F3C" w:rsidRDefault="00AC6F3C">
            <w:pPr>
              <w:pStyle w:val="TableParagraph"/>
              <w:rPr>
                <w:rFonts w:ascii="Times New Roman"/>
                <w:sz w:val="16"/>
              </w:rPr>
            </w:pPr>
          </w:p>
        </w:tc>
        <w:tc>
          <w:tcPr>
            <w:tcW w:w="610" w:type="dxa"/>
          </w:tcPr>
          <w:p w14:paraId="62C20E53" w14:textId="77777777" w:rsidR="00AC6F3C" w:rsidRDefault="00AC6F3C">
            <w:pPr>
              <w:pStyle w:val="TableParagraph"/>
              <w:rPr>
                <w:rFonts w:ascii="Times New Roman"/>
                <w:sz w:val="16"/>
              </w:rPr>
            </w:pPr>
          </w:p>
        </w:tc>
        <w:tc>
          <w:tcPr>
            <w:tcW w:w="981" w:type="dxa"/>
          </w:tcPr>
          <w:p w14:paraId="49AC8468" w14:textId="77777777" w:rsidR="00AC6F3C" w:rsidRDefault="00AC6F3C">
            <w:pPr>
              <w:pStyle w:val="TableParagraph"/>
              <w:rPr>
                <w:rFonts w:ascii="Times New Roman"/>
                <w:sz w:val="16"/>
              </w:rPr>
            </w:pPr>
          </w:p>
        </w:tc>
        <w:tc>
          <w:tcPr>
            <w:tcW w:w="1012" w:type="dxa"/>
          </w:tcPr>
          <w:p w14:paraId="7A606617" w14:textId="77777777" w:rsidR="00AC6F3C" w:rsidRDefault="00AC6F3C">
            <w:pPr>
              <w:pStyle w:val="TableParagraph"/>
              <w:rPr>
                <w:rFonts w:ascii="Times New Roman"/>
                <w:sz w:val="16"/>
              </w:rPr>
            </w:pPr>
          </w:p>
        </w:tc>
        <w:tc>
          <w:tcPr>
            <w:tcW w:w="992" w:type="dxa"/>
          </w:tcPr>
          <w:p w14:paraId="5F39782A" w14:textId="77777777" w:rsidR="00AC6F3C" w:rsidRDefault="00AC6F3C">
            <w:pPr>
              <w:pStyle w:val="TableParagraph"/>
              <w:rPr>
                <w:rFonts w:ascii="Times New Roman"/>
                <w:sz w:val="16"/>
              </w:rPr>
            </w:pPr>
          </w:p>
        </w:tc>
        <w:tc>
          <w:tcPr>
            <w:tcW w:w="865" w:type="dxa"/>
            <w:tcBorders>
              <w:right w:val="single" w:sz="6" w:space="0" w:color="000000"/>
            </w:tcBorders>
            <w:shd w:val="clear" w:color="auto" w:fill="F1F1F1"/>
          </w:tcPr>
          <w:p w14:paraId="3AC3CE2E" w14:textId="77777777" w:rsidR="00AC6F3C" w:rsidRDefault="00AC6F3C">
            <w:pPr>
              <w:pStyle w:val="TableParagraph"/>
              <w:rPr>
                <w:rFonts w:ascii="Times New Roman"/>
                <w:sz w:val="16"/>
              </w:rPr>
            </w:pPr>
          </w:p>
        </w:tc>
      </w:tr>
      <w:tr w:rsidR="00AC6F3C" w14:paraId="0B8D9E5B" w14:textId="77777777">
        <w:trPr>
          <w:trHeight w:val="267"/>
        </w:trPr>
        <w:tc>
          <w:tcPr>
            <w:tcW w:w="2569" w:type="dxa"/>
            <w:tcBorders>
              <w:left w:val="single" w:sz="6" w:space="0" w:color="000000"/>
            </w:tcBorders>
          </w:tcPr>
          <w:p w14:paraId="457CC993" w14:textId="77777777" w:rsidR="00AC6F3C" w:rsidRDefault="00570E88">
            <w:pPr>
              <w:pStyle w:val="TableParagraph"/>
              <w:spacing w:before="39"/>
              <w:ind w:left="32"/>
              <w:rPr>
                <w:sz w:val="16"/>
              </w:rPr>
            </w:pPr>
            <w:r>
              <w:rPr>
                <w:sz w:val="16"/>
              </w:rPr>
              <w:t>1</w:t>
            </w:r>
            <w:r>
              <w:rPr>
                <w:spacing w:val="7"/>
                <w:sz w:val="16"/>
              </w:rPr>
              <w:t xml:space="preserve"> </w:t>
            </w:r>
            <w:r>
              <w:rPr>
                <w:sz w:val="16"/>
              </w:rPr>
              <w:t>January</w:t>
            </w:r>
            <w:r>
              <w:rPr>
                <w:spacing w:val="-14"/>
                <w:sz w:val="16"/>
              </w:rPr>
              <w:t xml:space="preserve"> </w:t>
            </w:r>
            <w:r>
              <w:rPr>
                <w:sz w:val="16"/>
              </w:rPr>
              <w:t>2023</w:t>
            </w:r>
            <w:r>
              <w:rPr>
                <w:spacing w:val="7"/>
                <w:sz w:val="16"/>
              </w:rPr>
              <w:t xml:space="preserve"> </w:t>
            </w:r>
            <w:r>
              <w:rPr>
                <w:sz w:val="16"/>
              </w:rPr>
              <w:t>-</w:t>
            </w:r>
            <w:r>
              <w:rPr>
                <w:spacing w:val="2"/>
                <w:sz w:val="16"/>
              </w:rPr>
              <w:t xml:space="preserve"> </w:t>
            </w:r>
            <w:r>
              <w:rPr>
                <w:sz w:val="16"/>
              </w:rPr>
              <w:t>30</w:t>
            </w:r>
            <w:r>
              <w:rPr>
                <w:spacing w:val="7"/>
                <w:sz w:val="16"/>
              </w:rPr>
              <w:t xml:space="preserve"> </w:t>
            </w:r>
            <w:r>
              <w:rPr>
                <w:sz w:val="16"/>
              </w:rPr>
              <w:t>June</w:t>
            </w:r>
            <w:r>
              <w:rPr>
                <w:spacing w:val="8"/>
                <w:sz w:val="16"/>
              </w:rPr>
              <w:t xml:space="preserve"> </w:t>
            </w:r>
            <w:r>
              <w:rPr>
                <w:spacing w:val="-4"/>
                <w:sz w:val="16"/>
              </w:rPr>
              <w:t>2023</w:t>
            </w:r>
          </w:p>
        </w:tc>
        <w:tc>
          <w:tcPr>
            <w:tcW w:w="1454" w:type="dxa"/>
          </w:tcPr>
          <w:p w14:paraId="5F4DE351" w14:textId="77777777" w:rsidR="00AC6F3C" w:rsidRDefault="00570E88">
            <w:pPr>
              <w:pStyle w:val="TableParagraph"/>
              <w:spacing w:before="39"/>
              <w:ind w:right="445"/>
              <w:jc w:val="right"/>
              <w:rPr>
                <w:sz w:val="16"/>
              </w:rPr>
            </w:pPr>
            <w:r>
              <w:rPr>
                <w:spacing w:val="-5"/>
                <w:sz w:val="16"/>
              </w:rPr>
              <w:t>131</w:t>
            </w:r>
          </w:p>
        </w:tc>
        <w:tc>
          <w:tcPr>
            <w:tcW w:w="610" w:type="dxa"/>
          </w:tcPr>
          <w:p w14:paraId="4A168F3D" w14:textId="77777777" w:rsidR="00AC6F3C" w:rsidRDefault="00570E88">
            <w:pPr>
              <w:pStyle w:val="TableParagraph"/>
              <w:spacing w:before="39"/>
              <w:ind w:right="54"/>
              <w:jc w:val="right"/>
              <w:rPr>
                <w:sz w:val="16"/>
              </w:rPr>
            </w:pPr>
            <w:r>
              <w:rPr>
                <w:sz w:val="16"/>
              </w:rPr>
              <w:t>3</w:t>
            </w:r>
          </w:p>
        </w:tc>
        <w:tc>
          <w:tcPr>
            <w:tcW w:w="981" w:type="dxa"/>
          </w:tcPr>
          <w:p w14:paraId="5E81F7D1" w14:textId="77777777" w:rsidR="00AC6F3C" w:rsidRDefault="00570E88">
            <w:pPr>
              <w:pStyle w:val="TableParagraph"/>
              <w:spacing w:before="39"/>
              <w:ind w:right="27"/>
              <w:jc w:val="right"/>
              <w:rPr>
                <w:sz w:val="16"/>
              </w:rPr>
            </w:pPr>
            <w:r>
              <w:rPr>
                <w:sz w:val="16"/>
              </w:rPr>
              <w:t>-</w:t>
            </w:r>
          </w:p>
        </w:tc>
        <w:tc>
          <w:tcPr>
            <w:tcW w:w="1012" w:type="dxa"/>
          </w:tcPr>
          <w:p w14:paraId="3B0CF2E7" w14:textId="77777777" w:rsidR="00AC6F3C" w:rsidRDefault="00570E88">
            <w:pPr>
              <w:pStyle w:val="TableParagraph"/>
              <w:spacing w:before="39"/>
              <w:ind w:right="34"/>
              <w:jc w:val="right"/>
              <w:rPr>
                <w:sz w:val="16"/>
              </w:rPr>
            </w:pPr>
            <w:r>
              <w:rPr>
                <w:spacing w:val="-5"/>
                <w:sz w:val="16"/>
              </w:rPr>
              <w:t>13</w:t>
            </w:r>
          </w:p>
        </w:tc>
        <w:tc>
          <w:tcPr>
            <w:tcW w:w="992" w:type="dxa"/>
          </w:tcPr>
          <w:p w14:paraId="7ACF69EC" w14:textId="77777777" w:rsidR="00AC6F3C" w:rsidRDefault="00570E88">
            <w:pPr>
              <w:pStyle w:val="TableParagraph"/>
              <w:spacing w:before="39"/>
              <w:ind w:right="22"/>
              <w:jc w:val="right"/>
              <w:rPr>
                <w:sz w:val="16"/>
              </w:rPr>
            </w:pPr>
            <w:r>
              <w:rPr>
                <w:sz w:val="16"/>
              </w:rPr>
              <w:t>-</w:t>
            </w:r>
          </w:p>
        </w:tc>
        <w:tc>
          <w:tcPr>
            <w:tcW w:w="865" w:type="dxa"/>
            <w:tcBorders>
              <w:right w:val="single" w:sz="6" w:space="0" w:color="000000"/>
            </w:tcBorders>
            <w:shd w:val="clear" w:color="auto" w:fill="F1F1F1"/>
          </w:tcPr>
          <w:p w14:paraId="021F730E" w14:textId="77777777" w:rsidR="00AC6F3C" w:rsidRDefault="00570E88">
            <w:pPr>
              <w:pStyle w:val="TableParagraph"/>
              <w:spacing w:before="39"/>
              <w:ind w:right="22"/>
              <w:jc w:val="right"/>
              <w:rPr>
                <w:sz w:val="16"/>
              </w:rPr>
            </w:pPr>
            <w:r>
              <w:rPr>
                <w:spacing w:val="-5"/>
                <w:sz w:val="16"/>
              </w:rPr>
              <w:t>147</w:t>
            </w:r>
          </w:p>
        </w:tc>
      </w:tr>
      <w:tr w:rsidR="00AC6F3C" w14:paraId="6740D32E" w14:textId="77777777">
        <w:trPr>
          <w:trHeight w:val="267"/>
        </w:trPr>
        <w:tc>
          <w:tcPr>
            <w:tcW w:w="2569" w:type="dxa"/>
            <w:tcBorders>
              <w:left w:val="single" w:sz="6" w:space="0" w:color="000000"/>
            </w:tcBorders>
          </w:tcPr>
          <w:p w14:paraId="5300BA5D" w14:textId="77777777" w:rsidR="00AC6F3C" w:rsidRDefault="00570E88">
            <w:pPr>
              <w:pStyle w:val="TableParagraph"/>
              <w:spacing w:before="39"/>
              <w:ind w:left="32"/>
              <w:rPr>
                <w:b/>
                <w:sz w:val="16"/>
              </w:rPr>
            </w:pPr>
            <w:r>
              <w:rPr>
                <w:b/>
                <w:sz w:val="16"/>
              </w:rPr>
              <w:t>Vice</w:t>
            </w:r>
            <w:r>
              <w:rPr>
                <w:b/>
                <w:spacing w:val="-2"/>
                <w:sz w:val="16"/>
              </w:rPr>
              <w:t xml:space="preserve"> President</w:t>
            </w:r>
          </w:p>
        </w:tc>
        <w:tc>
          <w:tcPr>
            <w:tcW w:w="1454" w:type="dxa"/>
          </w:tcPr>
          <w:p w14:paraId="5DFA602F" w14:textId="77777777" w:rsidR="00AC6F3C" w:rsidRDefault="00AC6F3C">
            <w:pPr>
              <w:pStyle w:val="TableParagraph"/>
              <w:rPr>
                <w:rFonts w:ascii="Times New Roman"/>
                <w:sz w:val="16"/>
              </w:rPr>
            </w:pPr>
          </w:p>
        </w:tc>
        <w:tc>
          <w:tcPr>
            <w:tcW w:w="610" w:type="dxa"/>
          </w:tcPr>
          <w:p w14:paraId="6948D6E5" w14:textId="77777777" w:rsidR="00AC6F3C" w:rsidRDefault="00AC6F3C">
            <w:pPr>
              <w:pStyle w:val="TableParagraph"/>
              <w:rPr>
                <w:rFonts w:ascii="Times New Roman"/>
                <w:sz w:val="16"/>
              </w:rPr>
            </w:pPr>
          </w:p>
        </w:tc>
        <w:tc>
          <w:tcPr>
            <w:tcW w:w="981" w:type="dxa"/>
          </w:tcPr>
          <w:p w14:paraId="2A68F7A5" w14:textId="77777777" w:rsidR="00AC6F3C" w:rsidRDefault="00AC6F3C">
            <w:pPr>
              <w:pStyle w:val="TableParagraph"/>
              <w:rPr>
                <w:rFonts w:ascii="Times New Roman"/>
                <w:sz w:val="16"/>
              </w:rPr>
            </w:pPr>
          </w:p>
        </w:tc>
        <w:tc>
          <w:tcPr>
            <w:tcW w:w="1012" w:type="dxa"/>
          </w:tcPr>
          <w:p w14:paraId="17F1305D" w14:textId="77777777" w:rsidR="00AC6F3C" w:rsidRDefault="00AC6F3C">
            <w:pPr>
              <w:pStyle w:val="TableParagraph"/>
              <w:rPr>
                <w:rFonts w:ascii="Times New Roman"/>
                <w:sz w:val="16"/>
              </w:rPr>
            </w:pPr>
          </w:p>
        </w:tc>
        <w:tc>
          <w:tcPr>
            <w:tcW w:w="992" w:type="dxa"/>
          </w:tcPr>
          <w:p w14:paraId="1AD914D6" w14:textId="77777777" w:rsidR="00AC6F3C" w:rsidRDefault="00AC6F3C">
            <w:pPr>
              <w:pStyle w:val="TableParagraph"/>
              <w:rPr>
                <w:rFonts w:ascii="Times New Roman"/>
                <w:sz w:val="16"/>
              </w:rPr>
            </w:pPr>
          </w:p>
        </w:tc>
        <w:tc>
          <w:tcPr>
            <w:tcW w:w="865" w:type="dxa"/>
            <w:tcBorders>
              <w:right w:val="single" w:sz="6" w:space="0" w:color="000000"/>
            </w:tcBorders>
            <w:shd w:val="clear" w:color="auto" w:fill="F1F1F1"/>
          </w:tcPr>
          <w:p w14:paraId="1501204C" w14:textId="77777777" w:rsidR="00AC6F3C" w:rsidRDefault="00AC6F3C">
            <w:pPr>
              <w:pStyle w:val="TableParagraph"/>
              <w:rPr>
                <w:rFonts w:ascii="Times New Roman"/>
                <w:sz w:val="16"/>
              </w:rPr>
            </w:pPr>
          </w:p>
        </w:tc>
      </w:tr>
      <w:tr w:rsidR="00AC6F3C" w14:paraId="78F31771" w14:textId="77777777">
        <w:trPr>
          <w:trHeight w:val="267"/>
        </w:trPr>
        <w:tc>
          <w:tcPr>
            <w:tcW w:w="2569" w:type="dxa"/>
            <w:tcBorders>
              <w:left w:val="single" w:sz="6" w:space="0" w:color="000000"/>
            </w:tcBorders>
          </w:tcPr>
          <w:p w14:paraId="3CF2882B" w14:textId="77777777" w:rsidR="00AC6F3C" w:rsidRDefault="00570E88">
            <w:pPr>
              <w:pStyle w:val="TableParagraph"/>
              <w:spacing w:before="39"/>
              <w:ind w:left="32"/>
              <w:rPr>
                <w:sz w:val="16"/>
              </w:rPr>
            </w:pPr>
            <w:r>
              <w:rPr>
                <w:sz w:val="16"/>
              </w:rPr>
              <w:t>1</w:t>
            </w:r>
            <w:r>
              <w:rPr>
                <w:spacing w:val="7"/>
                <w:sz w:val="16"/>
              </w:rPr>
              <w:t xml:space="preserve"> </w:t>
            </w:r>
            <w:r>
              <w:rPr>
                <w:sz w:val="16"/>
              </w:rPr>
              <w:t>January</w:t>
            </w:r>
            <w:r>
              <w:rPr>
                <w:spacing w:val="-14"/>
                <w:sz w:val="16"/>
              </w:rPr>
              <w:t xml:space="preserve"> </w:t>
            </w:r>
            <w:r>
              <w:rPr>
                <w:sz w:val="16"/>
              </w:rPr>
              <w:t>2023</w:t>
            </w:r>
            <w:r>
              <w:rPr>
                <w:spacing w:val="7"/>
                <w:sz w:val="16"/>
              </w:rPr>
              <w:t xml:space="preserve"> </w:t>
            </w:r>
            <w:r>
              <w:rPr>
                <w:sz w:val="16"/>
              </w:rPr>
              <w:t>-</w:t>
            </w:r>
            <w:r>
              <w:rPr>
                <w:spacing w:val="2"/>
                <w:sz w:val="16"/>
              </w:rPr>
              <w:t xml:space="preserve"> </w:t>
            </w:r>
            <w:r>
              <w:rPr>
                <w:sz w:val="16"/>
              </w:rPr>
              <w:t>30</w:t>
            </w:r>
            <w:r>
              <w:rPr>
                <w:spacing w:val="7"/>
                <w:sz w:val="16"/>
              </w:rPr>
              <w:t xml:space="preserve"> </w:t>
            </w:r>
            <w:r>
              <w:rPr>
                <w:sz w:val="16"/>
              </w:rPr>
              <w:t>June</w:t>
            </w:r>
            <w:r>
              <w:rPr>
                <w:spacing w:val="8"/>
                <w:sz w:val="16"/>
              </w:rPr>
              <w:t xml:space="preserve"> </w:t>
            </w:r>
            <w:r>
              <w:rPr>
                <w:spacing w:val="-4"/>
                <w:sz w:val="16"/>
              </w:rPr>
              <w:t>2023</w:t>
            </w:r>
          </w:p>
        </w:tc>
        <w:tc>
          <w:tcPr>
            <w:tcW w:w="1454" w:type="dxa"/>
          </w:tcPr>
          <w:p w14:paraId="3F5EA825" w14:textId="77777777" w:rsidR="00AC6F3C" w:rsidRDefault="00570E88">
            <w:pPr>
              <w:pStyle w:val="TableParagraph"/>
              <w:spacing w:before="39"/>
              <w:ind w:right="446"/>
              <w:jc w:val="right"/>
              <w:rPr>
                <w:sz w:val="16"/>
              </w:rPr>
            </w:pPr>
            <w:r>
              <w:rPr>
                <w:spacing w:val="-5"/>
                <w:sz w:val="16"/>
              </w:rPr>
              <w:t>43</w:t>
            </w:r>
          </w:p>
        </w:tc>
        <w:tc>
          <w:tcPr>
            <w:tcW w:w="610" w:type="dxa"/>
          </w:tcPr>
          <w:p w14:paraId="2D657B12" w14:textId="77777777" w:rsidR="00AC6F3C" w:rsidRDefault="00570E88">
            <w:pPr>
              <w:pStyle w:val="TableParagraph"/>
              <w:spacing w:before="39"/>
              <w:ind w:right="54"/>
              <w:jc w:val="right"/>
              <w:rPr>
                <w:sz w:val="16"/>
              </w:rPr>
            </w:pPr>
            <w:r>
              <w:rPr>
                <w:sz w:val="16"/>
              </w:rPr>
              <w:t>3</w:t>
            </w:r>
          </w:p>
        </w:tc>
        <w:tc>
          <w:tcPr>
            <w:tcW w:w="981" w:type="dxa"/>
          </w:tcPr>
          <w:p w14:paraId="292F1D09" w14:textId="77777777" w:rsidR="00AC6F3C" w:rsidRDefault="00570E88">
            <w:pPr>
              <w:pStyle w:val="TableParagraph"/>
              <w:spacing w:before="39"/>
              <w:ind w:right="27"/>
              <w:jc w:val="right"/>
              <w:rPr>
                <w:sz w:val="16"/>
              </w:rPr>
            </w:pPr>
            <w:r>
              <w:rPr>
                <w:sz w:val="16"/>
              </w:rPr>
              <w:t>-</w:t>
            </w:r>
          </w:p>
        </w:tc>
        <w:tc>
          <w:tcPr>
            <w:tcW w:w="1012" w:type="dxa"/>
          </w:tcPr>
          <w:p w14:paraId="0F799E4A" w14:textId="77777777" w:rsidR="00AC6F3C" w:rsidRDefault="00570E88">
            <w:pPr>
              <w:pStyle w:val="TableParagraph"/>
              <w:spacing w:before="39"/>
              <w:ind w:right="38"/>
              <w:jc w:val="right"/>
              <w:rPr>
                <w:sz w:val="16"/>
              </w:rPr>
            </w:pPr>
            <w:r>
              <w:rPr>
                <w:sz w:val="16"/>
              </w:rPr>
              <w:t>5</w:t>
            </w:r>
          </w:p>
        </w:tc>
        <w:tc>
          <w:tcPr>
            <w:tcW w:w="992" w:type="dxa"/>
          </w:tcPr>
          <w:p w14:paraId="47BA4351" w14:textId="77777777" w:rsidR="00AC6F3C" w:rsidRDefault="00570E88">
            <w:pPr>
              <w:pStyle w:val="TableParagraph"/>
              <w:spacing w:before="39"/>
              <w:ind w:right="22"/>
              <w:jc w:val="right"/>
              <w:rPr>
                <w:sz w:val="16"/>
              </w:rPr>
            </w:pPr>
            <w:r>
              <w:rPr>
                <w:sz w:val="16"/>
              </w:rPr>
              <w:t>-</w:t>
            </w:r>
          </w:p>
        </w:tc>
        <w:tc>
          <w:tcPr>
            <w:tcW w:w="865" w:type="dxa"/>
            <w:tcBorders>
              <w:right w:val="single" w:sz="6" w:space="0" w:color="000000"/>
            </w:tcBorders>
            <w:shd w:val="clear" w:color="auto" w:fill="F1F1F1"/>
          </w:tcPr>
          <w:p w14:paraId="4FB54A60" w14:textId="77777777" w:rsidR="00AC6F3C" w:rsidRDefault="00570E88">
            <w:pPr>
              <w:pStyle w:val="TableParagraph"/>
              <w:spacing w:before="39"/>
              <w:ind w:right="22"/>
              <w:jc w:val="right"/>
              <w:rPr>
                <w:sz w:val="16"/>
              </w:rPr>
            </w:pPr>
            <w:r>
              <w:rPr>
                <w:spacing w:val="-5"/>
                <w:sz w:val="16"/>
              </w:rPr>
              <w:t>51</w:t>
            </w:r>
          </w:p>
        </w:tc>
      </w:tr>
      <w:tr w:rsidR="00AC6F3C" w14:paraId="13E8FF10" w14:textId="77777777">
        <w:trPr>
          <w:trHeight w:val="267"/>
        </w:trPr>
        <w:tc>
          <w:tcPr>
            <w:tcW w:w="2569" w:type="dxa"/>
            <w:tcBorders>
              <w:left w:val="single" w:sz="6" w:space="0" w:color="000000"/>
            </w:tcBorders>
          </w:tcPr>
          <w:p w14:paraId="20D750B3" w14:textId="77777777" w:rsidR="00AC6F3C" w:rsidRDefault="00570E88">
            <w:pPr>
              <w:pStyle w:val="TableParagraph"/>
              <w:spacing w:before="39"/>
              <w:ind w:left="32"/>
              <w:rPr>
                <w:b/>
                <w:sz w:val="16"/>
              </w:rPr>
            </w:pPr>
            <w:r>
              <w:rPr>
                <w:b/>
                <w:spacing w:val="-4"/>
                <w:sz w:val="16"/>
              </w:rPr>
              <w:t>Deputy</w:t>
            </w:r>
            <w:r>
              <w:rPr>
                <w:b/>
                <w:spacing w:val="-5"/>
                <w:sz w:val="16"/>
              </w:rPr>
              <w:t xml:space="preserve"> </w:t>
            </w:r>
            <w:r>
              <w:rPr>
                <w:b/>
                <w:spacing w:val="-2"/>
                <w:sz w:val="16"/>
              </w:rPr>
              <w:t>President</w:t>
            </w:r>
          </w:p>
        </w:tc>
        <w:tc>
          <w:tcPr>
            <w:tcW w:w="1454" w:type="dxa"/>
          </w:tcPr>
          <w:p w14:paraId="7F3FA63C" w14:textId="77777777" w:rsidR="00AC6F3C" w:rsidRDefault="00AC6F3C">
            <w:pPr>
              <w:pStyle w:val="TableParagraph"/>
              <w:rPr>
                <w:rFonts w:ascii="Times New Roman"/>
                <w:sz w:val="16"/>
              </w:rPr>
            </w:pPr>
          </w:p>
        </w:tc>
        <w:tc>
          <w:tcPr>
            <w:tcW w:w="610" w:type="dxa"/>
          </w:tcPr>
          <w:p w14:paraId="47D94960" w14:textId="77777777" w:rsidR="00AC6F3C" w:rsidRDefault="00AC6F3C">
            <w:pPr>
              <w:pStyle w:val="TableParagraph"/>
              <w:rPr>
                <w:rFonts w:ascii="Times New Roman"/>
                <w:sz w:val="16"/>
              </w:rPr>
            </w:pPr>
          </w:p>
        </w:tc>
        <w:tc>
          <w:tcPr>
            <w:tcW w:w="981" w:type="dxa"/>
          </w:tcPr>
          <w:p w14:paraId="75E0D232" w14:textId="77777777" w:rsidR="00AC6F3C" w:rsidRDefault="00AC6F3C">
            <w:pPr>
              <w:pStyle w:val="TableParagraph"/>
              <w:rPr>
                <w:rFonts w:ascii="Times New Roman"/>
                <w:sz w:val="16"/>
              </w:rPr>
            </w:pPr>
          </w:p>
        </w:tc>
        <w:tc>
          <w:tcPr>
            <w:tcW w:w="1012" w:type="dxa"/>
          </w:tcPr>
          <w:p w14:paraId="4CECBEB3" w14:textId="77777777" w:rsidR="00AC6F3C" w:rsidRDefault="00AC6F3C">
            <w:pPr>
              <w:pStyle w:val="TableParagraph"/>
              <w:rPr>
                <w:rFonts w:ascii="Times New Roman"/>
                <w:sz w:val="16"/>
              </w:rPr>
            </w:pPr>
          </w:p>
        </w:tc>
        <w:tc>
          <w:tcPr>
            <w:tcW w:w="992" w:type="dxa"/>
          </w:tcPr>
          <w:p w14:paraId="315CC0A8" w14:textId="77777777" w:rsidR="00AC6F3C" w:rsidRDefault="00AC6F3C">
            <w:pPr>
              <w:pStyle w:val="TableParagraph"/>
              <w:rPr>
                <w:rFonts w:ascii="Times New Roman"/>
                <w:sz w:val="16"/>
              </w:rPr>
            </w:pPr>
          </w:p>
        </w:tc>
        <w:tc>
          <w:tcPr>
            <w:tcW w:w="865" w:type="dxa"/>
            <w:tcBorders>
              <w:right w:val="single" w:sz="6" w:space="0" w:color="000000"/>
            </w:tcBorders>
            <w:shd w:val="clear" w:color="auto" w:fill="F1F1F1"/>
          </w:tcPr>
          <w:p w14:paraId="4E57A886" w14:textId="77777777" w:rsidR="00AC6F3C" w:rsidRDefault="00AC6F3C">
            <w:pPr>
              <w:pStyle w:val="TableParagraph"/>
              <w:rPr>
                <w:rFonts w:ascii="Times New Roman"/>
                <w:sz w:val="16"/>
              </w:rPr>
            </w:pPr>
          </w:p>
        </w:tc>
      </w:tr>
      <w:tr w:rsidR="00AC6F3C" w14:paraId="748F9DED" w14:textId="77777777">
        <w:trPr>
          <w:trHeight w:val="267"/>
        </w:trPr>
        <w:tc>
          <w:tcPr>
            <w:tcW w:w="2569" w:type="dxa"/>
            <w:tcBorders>
              <w:left w:val="single" w:sz="6" w:space="0" w:color="000000"/>
            </w:tcBorders>
          </w:tcPr>
          <w:p w14:paraId="6C8DCF3E" w14:textId="77777777" w:rsidR="00AC6F3C" w:rsidRDefault="00570E88">
            <w:pPr>
              <w:pStyle w:val="TableParagraph"/>
              <w:spacing w:before="39"/>
              <w:ind w:left="32"/>
              <w:rPr>
                <w:sz w:val="16"/>
              </w:rPr>
            </w:pPr>
            <w:r>
              <w:rPr>
                <w:sz w:val="16"/>
              </w:rPr>
              <w:t>1</w:t>
            </w:r>
            <w:r>
              <w:rPr>
                <w:spacing w:val="13"/>
                <w:sz w:val="16"/>
              </w:rPr>
              <w:t xml:space="preserve"> </w:t>
            </w:r>
            <w:r>
              <w:rPr>
                <w:sz w:val="16"/>
              </w:rPr>
              <w:t>July</w:t>
            </w:r>
            <w:r>
              <w:rPr>
                <w:spacing w:val="-9"/>
                <w:sz w:val="16"/>
              </w:rPr>
              <w:t xml:space="preserve"> </w:t>
            </w:r>
            <w:r>
              <w:rPr>
                <w:sz w:val="16"/>
              </w:rPr>
              <w:t>2022-</w:t>
            </w:r>
            <w:r>
              <w:rPr>
                <w:spacing w:val="7"/>
                <w:sz w:val="16"/>
              </w:rPr>
              <w:t xml:space="preserve"> </w:t>
            </w:r>
            <w:r>
              <w:rPr>
                <w:sz w:val="16"/>
              </w:rPr>
              <w:t>31</w:t>
            </w:r>
            <w:r>
              <w:rPr>
                <w:spacing w:val="14"/>
                <w:sz w:val="16"/>
              </w:rPr>
              <w:t xml:space="preserve"> </w:t>
            </w:r>
            <w:r>
              <w:rPr>
                <w:sz w:val="16"/>
              </w:rPr>
              <w:t>December</w:t>
            </w:r>
            <w:r>
              <w:rPr>
                <w:spacing w:val="8"/>
                <w:sz w:val="16"/>
              </w:rPr>
              <w:t xml:space="preserve"> </w:t>
            </w:r>
            <w:r>
              <w:rPr>
                <w:spacing w:val="-4"/>
                <w:sz w:val="16"/>
              </w:rPr>
              <w:t>2022</w:t>
            </w:r>
          </w:p>
        </w:tc>
        <w:tc>
          <w:tcPr>
            <w:tcW w:w="1454" w:type="dxa"/>
          </w:tcPr>
          <w:p w14:paraId="175473D7" w14:textId="77777777" w:rsidR="00AC6F3C" w:rsidRDefault="00570E88">
            <w:pPr>
              <w:pStyle w:val="TableParagraph"/>
              <w:spacing w:before="39"/>
              <w:ind w:right="445"/>
              <w:jc w:val="right"/>
              <w:rPr>
                <w:sz w:val="16"/>
              </w:rPr>
            </w:pPr>
            <w:r>
              <w:rPr>
                <w:spacing w:val="-5"/>
                <w:sz w:val="16"/>
              </w:rPr>
              <w:t>43</w:t>
            </w:r>
          </w:p>
        </w:tc>
        <w:tc>
          <w:tcPr>
            <w:tcW w:w="610" w:type="dxa"/>
          </w:tcPr>
          <w:p w14:paraId="1DECAB64" w14:textId="77777777" w:rsidR="00AC6F3C" w:rsidRDefault="00570E88">
            <w:pPr>
              <w:pStyle w:val="TableParagraph"/>
              <w:spacing w:before="39"/>
              <w:ind w:right="55"/>
              <w:jc w:val="right"/>
              <w:rPr>
                <w:sz w:val="16"/>
              </w:rPr>
            </w:pPr>
            <w:r>
              <w:rPr>
                <w:sz w:val="16"/>
              </w:rPr>
              <w:t>3</w:t>
            </w:r>
          </w:p>
        </w:tc>
        <w:tc>
          <w:tcPr>
            <w:tcW w:w="981" w:type="dxa"/>
          </w:tcPr>
          <w:p w14:paraId="1B77DC38" w14:textId="77777777" w:rsidR="00AC6F3C" w:rsidRDefault="00570E88">
            <w:pPr>
              <w:pStyle w:val="TableParagraph"/>
              <w:spacing w:before="39"/>
              <w:ind w:right="27"/>
              <w:jc w:val="right"/>
              <w:rPr>
                <w:sz w:val="16"/>
              </w:rPr>
            </w:pPr>
            <w:r>
              <w:rPr>
                <w:sz w:val="16"/>
              </w:rPr>
              <w:t>-</w:t>
            </w:r>
          </w:p>
        </w:tc>
        <w:tc>
          <w:tcPr>
            <w:tcW w:w="1012" w:type="dxa"/>
          </w:tcPr>
          <w:p w14:paraId="60480F5B" w14:textId="77777777" w:rsidR="00AC6F3C" w:rsidRDefault="00570E88">
            <w:pPr>
              <w:pStyle w:val="TableParagraph"/>
              <w:spacing w:before="39"/>
              <w:ind w:right="39"/>
              <w:jc w:val="right"/>
              <w:rPr>
                <w:sz w:val="16"/>
              </w:rPr>
            </w:pPr>
            <w:r>
              <w:rPr>
                <w:sz w:val="16"/>
              </w:rPr>
              <w:t>5</w:t>
            </w:r>
          </w:p>
        </w:tc>
        <w:tc>
          <w:tcPr>
            <w:tcW w:w="992" w:type="dxa"/>
          </w:tcPr>
          <w:p w14:paraId="47820D0B" w14:textId="77777777" w:rsidR="00AC6F3C" w:rsidRDefault="00570E88">
            <w:pPr>
              <w:pStyle w:val="TableParagraph"/>
              <w:spacing w:before="39"/>
              <w:ind w:right="22"/>
              <w:jc w:val="right"/>
              <w:rPr>
                <w:sz w:val="16"/>
              </w:rPr>
            </w:pPr>
            <w:r>
              <w:rPr>
                <w:sz w:val="16"/>
              </w:rPr>
              <w:t>-</w:t>
            </w:r>
          </w:p>
        </w:tc>
        <w:tc>
          <w:tcPr>
            <w:tcW w:w="865" w:type="dxa"/>
            <w:tcBorders>
              <w:right w:val="single" w:sz="6" w:space="0" w:color="000000"/>
            </w:tcBorders>
            <w:shd w:val="clear" w:color="auto" w:fill="F1F1F1"/>
          </w:tcPr>
          <w:p w14:paraId="633B49EB" w14:textId="77777777" w:rsidR="00AC6F3C" w:rsidRDefault="00570E88">
            <w:pPr>
              <w:pStyle w:val="TableParagraph"/>
              <w:spacing w:before="39"/>
              <w:ind w:right="22"/>
              <w:jc w:val="right"/>
              <w:rPr>
                <w:sz w:val="16"/>
              </w:rPr>
            </w:pPr>
            <w:r>
              <w:rPr>
                <w:spacing w:val="-5"/>
                <w:sz w:val="16"/>
              </w:rPr>
              <w:t>51</w:t>
            </w:r>
          </w:p>
        </w:tc>
      </w:tr>
      <w:tr w:rsidR="00AC6F3C" w14:paraId="719D51EB" w14:textId="77777777">
        <w:trPr>
          <w:trHeight w:val="267"/>
        </w:trPr>
        <w:tc>
          <w:tcPr>
            <w:tcW w:w="2569" w:type="dxa"/>
            <w:tcBorders>
              <w:left w:val="single" w:sz="6" w:space="0" w:color="000000"/>
            </w:tcBorders>
          </w:tcPr>
          <w:p w14:paraId="44AA79F8" w14:textId="77777777" w:rsidR="00AC6F3C" w:rsidRDefault="00570E88">
            <w:pPr>
              <w:pStyle w:val="TableParagraph"/>
              <w:spacing w:before="39"/>
              <w:ind w:left="32"/>
              <w:rPr>
                <w:b/>
                <w:sz w:val="16"/>
              </w:rPr>
            </w:pPr>
            <w:r>
              <w:rPr>
                <w:b/>
                <w:spacing w:val="-5"/>
                <w:sz w:val="16"/>
              </w:rPr>
              <w:t>CEO</w:t>
            </w:r>
          </w:p>
        </w:tc>
        <w:tc>
          <w:tcPr>
            <w:tcW w:w="1454" w:type="dxa"/>
          </w:tcPr>
          <w:p w14:paraId="5B15F616" w14:textId="77777777" w:rsidR="00AC6F3C" w:rsidRDefault="00AC6F3C">
            <w:pPr>
              <w:pStyle w:val="TableParagraph"/>
              <w:rPr>
                <w:rFonts w:ascii="Times New Roman"/>
                <w:sz w:val="16"/>
              </w:rPr>
            </w:pPr>
          </w:p>
        </w:tc>
        <w:tc>
          <w:tcPr>
            <w:tcW w:w="610" w:type="dxa"/>
          </w:tcPr>
          <w:p w14:paraId="748E7F68" w14:textId="77777777" w:rsidR="00AC6F3C" w:rsidRDefault="00AC6F3C">
            <w:pPr>
              <w:pStyle w:val="TableParagraph"/>
              <w:rPr>
                <w:rFonts w:ascii="Times New Roman"/>
                <w:sz w:val="16"/>
              </w:rPr>
            </w:pPr>
          </w:p>
        </w:tc>
        <w:tc>
          <w:tcPr>
            <w:tcW w:w="981" w:type="dxa"/>
          </w:tcPr>
          <w:p w14:paraId="19BABBAF" w14:textId="77777777" w:rsidR="00AC6F3C" w:rsidRDefault="00AC6F3C">
            <w:pPr>
              <w:pStyle w:val="TableParagraph"/>
              <w:rPr>
                <w:rFonts w:ascii="Times New Roman"/>
                <w:sz w:val="16"/>
              </w:rPr>
            </w:pPr>
          </w:p>
        </w:tc>
        <w:tc>
          <w:tcPr>
            <w:tcW w:w="1012" w:type="dxa"/>
          </w:tcPr>
          <w:p w14:paraId="2BBEE8A4" w14:textId="77777777" w:rsidR="00AC6F3C" w:rsidRDefault="00AC6F3C">
            <w:pPr>
              <w:pStyle w:val="TableParagraph"/>
              <w:rPr>
                <w:rFonts w:ascii="Times New Roman"/>
                <w:sz w:val="16"/>
              </w:rPr>
            </w:pPr>
          </w:p>
        </w:tc>
        <w:tc>
          <w:tcPr>
            <w:tcW w:w="992" w:type="dxa"/>
          </w:tcPr>
          <w:p w14:paraId="55EF9AAB" w14:textId="77777777" w:rsidR="00AC6F3C" w:rsidRDefault="00AC6F3C">
            <w:pPr>
              <w:pStyle w:val="TableParagraph"/>
              <w:rPr>
                <w:rFonts w:ascii="Times New Roman"/>
                <w:sz w:val="16"/>
              </w:rPr>
            </w:pPr>
          </w:p>
        </w:tc>
        <w:tc>
          <w:tcPr>
            <w:tcW w:w="865" w:type="dxa"/>
            <w:tcBorders>
              <w:right w:val="single" w:sz="6" w:space="0" w:color="000000"/>
            </w:tcBorders>
            <w:shd w:val="clear" w:color="auto" w:fill="F1F1F1"/>
          </w:tcPr>
          <w:p w14:paraId="640D69B6" w14:textId="77777777" w:rsidR="00AC6F3C" w:rsidRDefault="00AC6F3C">
            <w:pPr>
              <w:pStyle w:val="TableParagraph"/>
              <w:rPr>
                <w:rFonts w:ascii="Times New Roman"/>
                <w:sz w:val="16"/>
              </w:rPr>
            </w:pPr>
          </w:p>
        </w:tc>
      </w:tr>
      <w:tr w:rsidR="00AC6F3C" w14:paraId="2D7735E4" w14:textId="77777777">
        <w:trPr>
          <w:trHeight w:val="228"/>
        </w:trPr>
        <w:tc>
          <w:tcPr>
            <w:tcW w:w="2569" w:type="dxa"/>
            <w:tcBorders>
              <w:left w:val="single" w:sz="6" w:space="0" w:color="000000"/>
              <w:bottom w:val="single" w:sz="6" w:space="0" w:color="000000"/>
            </w:tcBorders>
          </w:tcPr>
          <w:p w14:paraId="3B5C864E" w14:textId="77777777" w:rsidR="00AC6F3C" w:rsidRDefault="00570E88">
            <w:pPr>
              <w:pStyle w:val="TableParagraph"/>
              <w:spacing w:before="39" w:line="169" w:lineRule="exact"/>
              <w:ind w:left="32"/>
              <w:rPr>
                <w:sz w:val="16"/>
              </w:rPr>
            </w:pPr>
            <w:r>
              <w:rPr>
                <w:sz w:val="16"/>
              </w:rPr>
              <w:t>1</w:t>
            </w:r>
            <w:r>
              <w:rPr>
                <w:spacing w:val="5"/>
                <w:sz w:val="16"/>
              </w:rPr>
              <w:t xml:space="preserve"> </w:t>
            </w:r>
            <w:r>
              <w:rPr>
                <w:sz w:val="16"/>
              </w:rPr>
              <w:t>July</w:t>
            </w:r>
            <w:r>
              <w:rPr>
                <w:spacing w:val="-14"/>
                <w:sz w:val="16"/>
              </w:rPr>
              <w:t xml:space="preserve"> </w:t>
            </w:r>
            <w:r>
              <w:rPr>
                <w:sz w:val="16"/>
              </w:rPr>
              <w:t>2022</w:t>
            </w:r>
            <w:r>
              <w:rPr>
                <w:spacing w:val="6"/>
                <w:sz w:val="16"/>
              </w:rPr>
              <w:t xml:space="preserve"> </w:t>
            </w:r>
            <w:r>
              <w:rPr>
                <w:sz w:val="16"/>
              </w:rPr>
              <w:t>- 30</w:t>
            </w:r>
            <w:r>
              <w:rPr>
                <w:spacing w:val="6"/>
                <w:sz w:val="16"/>
              </w:rPr>
              <w:t xml:space="preserve"> </w:t>
            </w:r>
            <w:r>
              <w:rPr>
                <w:sz w:val="16"/>
              </w:rPr>
              <w:t>June</w:t>
            </w:r>
            <w:r>
              <w:rPr>
                <w:spacing w:val="6"/>
                <w:sz w:val="16"/>
              </w:rPr>
              <w:t xml:space="preserve"> </w:t>
            </w:r>
            <w:r>
              <w:rPr>
                <w:spacing w:val="-4"/>
                <w:sz w:val="16"/>
              </w:rPr>
              <w:t>2023</w:t>
            </w:r>
          </w:p>
        </w:tc>
        <w:tc>
          <w:tcPr>
            <w:tcW w:w="1454" w:type="dxa"/>
            <w:tcBorders>
              <w:bottom w:val="single" w:sz="6" w:space="0" w:color="000000"/>
            </w:tcBorders>
          </w:tcPr>
          <w:p w14:paraId="67992165" w14:textId="77777777" w:rsidR="00AC6F3C" w:rsidRDefault="00570E88">
            <w:pPr>
              <w:pStyle w:val="TableParagraph"/>
              <w:spacing w:before="39" w:line="169" w:lineRule="exact"/>
              <w:ind w:right="445"/>
              <w:jc w:val="right"/>
              <w:rPr>
                <w:sz w:val="16"/>
              </w:rPr>
            </w:pPr>
            <w:r>
              <w:rPr>
                <w:spacing w:val="-5"/>
                <w:sz w:val="16"/>
              </w:rPr>
              <w:t>365</w:t>
            </w:r>
          </w:p>
        </w:tc>
        <w:tc>
          <w:tcPr>
            <w:tcW w:w="610" w:type="dxa"/>
            <w:tcBorders>
              <w:bottom w:val="single" w:sz="6" w:space="0" w:color="000000"/>
            </w:tcBorders>
          </w:tcPr>
          <w:p w14:paraId="78A30F55" w14:textId="77777777" w:rsidR="00AC6F3C" w:rsidRDefault="00570E88">
            <w:pPr>
              <w:pStyle w:val="TableParagraph"/>
              <w:spacing w:before="39" w:line="169" w:lineRule="exact"/>
              <w:ind w:right="55"/>
              <w:jc w:val="right"/>
              <w:rPr>
                <w:sz w:val="16"/>
              </w:rPr>
            </w:pPr>
            <w:r>
              <w:rPr>
                <w:sz w:val="16"/>
              </w:rPr>
              <w:t>7</w:t>
            </w:r>
          </w:p>
        </w:tc>
        <w:tc>
          <w:tcPr>
            <w:tcW w:w="981" w:type="dxa"/>
            <w:tcBorders>
              <w:bottom w:val="single" w:sz="6" w:space="0" w:color="000000"/>
            </w:tcBorders>
          </w:tcPr>
          <w:p w14:paraId="22902272" w14:textId="77777777" w:rsidR="00AC6F3C" w:rsidRDefault="00570E88">
            <w:pPr>
              <w:pStyle w:val="TableParagraph"/>
              <w:spacing w:before="39" w:line="169" w:lineRule="exact"/>
              <w:ind w:right="27"/>
              <w:jc w:val="right"/>
              <w:rPr>
                <w:sz w:val="16"/>
              </w:rPr>
            </w:pPr>
            <w:r>
              <w:rPr>
                <w:spacing w:val="-5"/>
                <w:sz w:val="16"/>
              </w:rPr>
              <w:t>10</w:t>
            </w:r>
          </w:p>
        </w:tc>
        <w:tc>
          <w:tcPr>
            <w:tcW w:w="1012" w:type="dxa"/>
            <w:tcBorders>
              <w:bottom w:val="single" w:sz="6" w:space="0" w:color="000000"/>
            </w:tcBorders>
          </w:tcPr>
          <w:p w14:paraId="0E863EEB" w14:textId="77777777" w:rsidR="00AC6F3C" w:rsidRDefault="00570E88">
            <w:pPr>
              <w:pStyle w:val="TableParagraph"/>
              <w:spacing w:before="39" w:line="169" w:lineRule="exact"/>
              <w:ind w:right="34"/>
              <w:jc w:val="right"/>
              <w:rPr>
                <w:sz w:val="16"/>
              </w:rPr>
            </w:pPr>
            <w:r>
              <w:rPr>
                <w:spacing w:val="-5"/>
                <w:sz w:val="16"/>
              </w:rPr>
              <w:t>26</w:t>
            </w:r>
          </w:p>
        </w:tc>
        <w:tc>
          <w:tcPr>
            <w:tcW w:w="992" w:type="dxa"/>
            <w:tcBorders>
              <w:bottom w:val="single" w:sz="6" w:space="0" w:color="000000"/>
            </w:tcBorders>
          </w:tcPr>
          <w:p w14:paraId="4F286622" w14:textId="77777777" w:rsidR="00AC6F3C" w:rsidRDefault="00570E88">
            <w:pPr>
              <w:pStyle w:val="TableParagraph"/>
              <w:spacing w:before="39" w:line="169" w:lineRule="exact"/>
              <w:ind w:right="22"/>
              <w:jc w:val="right"/>
              <w:rPr>
                <w:sz w:val="16"/>
              </w:rPr>
            </w:pPr>
            <w:r>
              <w:rPr>
                <w:sz w:val="16"/>
              </w:rPr>
              <w:t>-</w:t>
            </w:r>
          </w:p>
        </w:tc>
        <w:tc>
          <w:tcPr>
            <w:tcW w:w="865" w:type="dxa"/>
            <w:tcBorders>
              <w:bottom w:val="single" w:sz="6" w:space="0" w:color="000000"/>
              <w:right w:val="single" w:sz="6" w:space="0" w:color="000000"/>
            </w:tcBorders>
            <w:shd w:val="clear" w:color="auto" w:fill="F1F1F1"/>
          </w:tcPr>
          <w:p w14:paraId="5BE2F8FF" w14:textId="77777777" w:rsidR="00AC6F3C" w:rsidRDefault="00570E88">
            <w:pPr>
              <w:pStyle w:val="TableParagraph"/>
              <w:spacing w:before="39" w:line="169" w:lineRule="exact"/>
              <w:ind w:right="22"/>
              <w:jc w:val="right"/>
              <w:rPr>
                <w:sz w:val="16"/>
              </w:rPr>
            </w:pPr>
            <w:r>
              <w:rPr>
                <w:spacing w:val="-5"/>
                <w:sz w:val="16"/>
              </w:rPr>
              <w:t>408</w:t>
            </w:r>
          </w:p>
        </w:tc>
      </w:tr>
    </w:tbl>
    <w:p w14:paraId="515B2AD8" w14:textId="77777777" w:rsidR="00AC6F3C" w:rsidRDefault="00AC6F3C">
      <w:pPr>
        <w:pStyle w:val="BodyText"/>
        <w:rPr>
          <w:b/>
        </w:rPr>
      </w:pPr>
    </w:p>
    <w:p w14:paraId="31877118" w14:textId="77777777" w:rsidR="00AC6F3C" w:rsidRDefault="00AC6F3C">
      <w:pPr>
        <w:pStyle w:val="BodyText"/>
        <w:rPr>
          <w:b/>
        </w:rPr>
      </w:pPr>
    </w:p>
    <w:p w14:paraId="340A6A47" w14:textId="77777777" w:rsidR="00AC6F3C" w:rsidRDefault="00570E88">
      <w:pPr>
        <w:spacing w:before="129"/>
        <w:ind w:left="958"/>
        <w:rPr>
          <w:b/>
          <w:sz w:val="18"/>
        </w:rPr>
      </w:pPr>
      <w:r>
        <w:rPr>
          <w:b/>
          <w:sz w:val="18"/>
        </w:rPr>
        <w:t>1</w:t>
      </w:r>
      <w:r>
        <w:rPr>
          <w:b/>
          <w:spacing w:val="-2"/>
          <w:sz w:val="18"/>
        </w:rPr>
        <w:t xml:space="preserve"> </w:t>
      </w:r>
      <w:r>
        <w:rPr>
          <w:b/>
          <w:sz w:val="18"/>
        </w:rPr>
        <w:t>July</w:t>
      </w:r>
      <w:r>
        <w:rPr>
          <w:b/>
          <w:spacing w:val="-3"/>
          <w:sz w:val="18"/>
        </w:rPr>
        <w:t xml:space="preserve"> </w:t>
      </w:r>
      <w:r>
        <w:rPr>
          <w:b/>
          <w:sz w:val="18"/>
        </w:rPr>
        <w:t>2021</w:t>
      </w:r>
      <w:r>
        <w:rPr>
          <w:b/>
          <w:spacing w:val="1"/>
          <w:sz w:val="18"/>
        </w:rPr>
        <w:t xml:space="preserve"> </w:t>
      </w:r>
      <w:r>
        <w:rPr>
          <w:b/>
          <w:sz w:val="18"/>
        </w:rPr>
        <w:t>–</w:t>
      </w:r>
      <w:r>
        <w:rPr>
          <w:b/>
          <w:spacing w:val="-3"/>
          <w:sz w:val="18"/>
        </w:rPr>
        <w:t xml:space="preserve"> </w:t>
      </w:r>
      <w:r>
        <w:rPr>
          <w:b/>
          <w:sz w:val="18"/>
        </w:rPr>
        <w:t>30 June</w:t>
      </w:r>
      <w:r>
        <w:rPr>
          <w:b/>
          <w:spacing w:val="1"/>
          <w:sz w:val="18"/>
        </w:rPr>
        <w:t xml:space="preserve"> </w:t>
      </w:r>
      <w:r>
        <w:rPr>
          <w:b/>
          <w:spacing w:val="-4"/>
          <w:sz w:val="18"/>
        </w:rPr>
        <w:t>2022</w:t>
      </w:r>
    </w:p>
    <w:p w14:paraId="0E9C075A" w14:textId="77777777" w:rsidR="00AC6F3C" w:rsidRDefault="00AC6F3C">
      <w:pPr>
        <w:pStyle w:val="BodyText"/>
        <w:spacing w:before="11"/>
        <w:rPr>
          <w:b/>
        </w:rPr>
      </w:pPr>
    </w:p>
    <w:tbl>
      <w:tblPr>
        <w:tblW w:w="0" w:type="auto"/>
        <w:tblInd w:w="972" w:type="dxa"/>
        <w:tblLayout w:type="fixed"/>
        <w:tblCellMar>
          <w:left w:w="0" w:type="dxa"/>
          <w:right w:w="0" w:type="dxa"/>
        </w:tblCellMar>
        <w:tblLook w:val="01E0" w:firstRow="1" w:lastRow="1" w:firstColumn="1" w:lastColumn="1" w:noHBand="0" w:noVBand="0"/>
      </w:tblPr>
      <w:tblGrid>
        <w:gridCol w:w="2569"/>
        <w:gridCol w:w="1453"/>
        <w:gridCol w:w="609"/>
        <w:gridCol w:w="980"/>
        <w:gridCol w:w="1011"/>
        <w:gridCol w:w="991"/>
        <w:gridCol w:w="864"/>
      </w:tblGrid>
      <w:tr w:rsidR="00AC6F3C" w14:paraId="2A34A2BF" w14:textId="77777777">
        <w:trPr>
          <w:trHeight w:val="1538"/>
        </w:trPr>
        <w:tc>
          <w:tcPr>
            <w:tcW w:w="2569" w:type="dxa"/>
            <w:tcBorders>
              <w:top w:val="single" w:sz="6" w:space="0" w:color="000000"/>
              <w:left w:val="single" w:sz="6" w:space="0" w:color="000000"/>
              <w:bottom w:val="single" w:sz="6" w:space="0" w:color="000000"/>
            </w:tcBorders>
            <w:shd w:val="clear" w:color="auto" w:fill="BEBEBE"/>
          </w:tcPr>
          <w:p w14:paraId="12D2CE35" w14:textId="77777777" w:rsidR="00AC6F3C" w:rsidRDefault="00AC6F3C">
            <w:pPr>
              <w:pStyle w:val="TableParagraph"/>
              <w:rPr>
                <w:b/>
                <w:sz w:val="18"/>
              </w:rPr>
            </w:pPr>
          </w:p>
          <w:p w14:paraId="3C3D77CF" w14:textId="77777777" w:rsidR="00AC6F3C" w:rsidRDefault="00AC6F3C">
            <w:pPr>
              <w:pStyle w:val="TableParagraph"/>
              <w:rPr>
                <w:b/>
                <w:sz w:val="18"/>
              </w:rPr>
            </w:pPr>
          </w:p>
          <w:p w14:paraId="1D2A0EA7" w14:textId="77777777" w:rsidR="00AC6F3C" w:rsidRDefault="00570E88">
            <w:pPr>
              <w:pStyle w:val="TableParagraph"/>
              <w:spacing w:before="118"/>
              <w:ind w:left="32"/>
              <w:rPr>
                <w:b/>
                <w:sz w:val="16"/>
              </w:rPr>
            </w:pPr>
            <w:r>
              <w:rPr>
                <w:b/>
                <w:spacing w:val="-2"/>
                <w:sz w:val="16"/>
              </w:rPr>
              <w:t>Position</w:t>
            </w:r>
          </w:p>
        </w:tc>
        <w:tc>
          <w:tcPr>
            <w:tcW w:w="2062" w:type="dxa"/>
            <w:gridSpan w:val="2"/>
            <w:tcBorders>
              <w:top w:val="single" w:sz="6" w:space="0" w:color="000000"/>
              <w:bottom w:val="single" w:sz="6" w:space="0" w:color="000000"/>
            </w:tcBorders>
            <w:shd w:val="clear" w:color="auto" w:fill="BEBEBE"/>
          </w:tcPr>
          <w:p w14:paraId="7180D6F6" w14:textId="77777777" w:rsidR="00AC6F3C" w:rsidRDefault="00570E88">
            <w:pPr>
              <w:pStyle w:val="TableParagraph"/>
              <w:spacing w:before="10" w:line="278" w:lineRule="auto"/>
              <w:ind w:left="658" w:right="160" w:hanging="442"/>
              <w:rPr>
                <w:b/>
                <w:sz w:val="16"/>
              </w:rPr>
            </w:pPr>
            <w:r>
              <w:rPr>
                <w:b/>
                <w:spacing w:val="-2"/>
                <w:sz w:val="16"/>
              </w:rPr>
              <w:t>Short</w:t>
            </w:r>
            <w:r>
              <w:rPr>
                <w:b/>
                <w:spacing w:val="-10"/>
                <w:sz w:val="16"/>
              </w:rPr>
              <w:t xml:space="preserve"> </w:t>
            </w:r>
            <w:r>
              <w:rPr>
                <w:b/>
                <w:spacing w:val="-2"/>
                <w:sz w:val="16"/>
              </w:rPr>
              <w:t>Term</w:t>
            </w:r>
            <w:r>
              <w:rPr>
                <w:b/>
                <w:spacing w:val="-9"/>
                <w:sz w:val="16"/>
              </w:rPr>
              <w:t xml:space="preserve"> </w:t>
            </w:r>
            <w:r>
              <w:rPr>
                <w:b/>
                <w:spacing w:val="-2"/>
                <w:sz w:val="16"/>
              </w:rPr>
              <w:t>Employee Expenses</w:t>
            </w:r>
          </w:p>
          <w:p w14:paraId="76C38157" w14:textId="77777777" w:rsidR="00AC6F3C" w:rsidRDefault="00AC6F3C">
            <w:pPr>
              <w:pStyle w:val="TableParagraph"/>
              <w:rPr>
                <w:b/>
                <w:sz w:val="24"/>
              </w:rPr>
            </w:pPr>
          </w:p>
          <w:p w14:paraId="4545EF0D" w14:textId="77777777" w:rsidR="00AC6F3C" w:rsidRDefault="00570E88">
            <w:pPr>
              <w:pStyle w:val="TableParagraph"/>
              <w:tabs>
                <w:tab w:val="left" w:pos="1180"/>
                <w:tab w:val="left" w:pos="1368"/>
              </w:tabs>
              <w:spacing w:line="139" w:lineRule="auto"/>
              <w:ind w:left="163" w:right="160" w:firstLine="26"/>
              <w:rPr>
                <w:b/>
                <w:sz w:val="16"/>
              </w:rPr>
            </w:pPr>
            <w:r>
              <w:rPr>
                <w:b/>
                <w:spacing w:val="-2"/>
                <w:sz w:val="16"/>
              </w:rPr>
              <w:t>Monetary</w:t>
            </w:r>
            <w:r>
              <w:rPr>
                <w:b/>
                <w:sz w:val="16"/>
              </w:rPr>
              <w:tab/>
            </w:r>
            <w:r>
              <w:rPr>
                <w:b/>
                <w:sz w:val="16"/>
              </w:rPr>
              <w:tab/>
            </w:r>
            <w:r>
              <w:rPr>
                <w:b/>
                <w:spacing w:val="-4"/>
                <w:position w:val="11"/>
                <w:sz w:val="16"/>
              </w:rPr>
              <w:t xml:space="preserve">Non- </w:t>
            </w:r>
            <w:r>
              <w:rPr>
                <w:b/>
                <w:spacing w:val="-2"/>
                <w:position w:val="-10"/>
                <w:sz w:val="16"/>
              </w:rPr>
              <w:t>Expenses</w:t>
            </w:r>
            <w:r>
              <w:rPr>
                <w:b/>
                <w:position w:val="-10"/>
                <w:sz w:val="16"/>
              </w:rPr>
              <w:tab/>
            </w:r>
            <w:r>
              <w:rPr>
                <w:b/>
                <w:spacing w:val="-2"/>
                <w:sz w:val="16"/>
              </w:rPr>
              <w:t>Monetary</w:t>
            </w:r>
          </w:p>
          <w:p w14:paraId="26F096B9" w14:textId="77777777" w:rsidR="00AC6F3C" w:rsidRDefault="00570E88">
            <w:pPr>
              <w:pStyle w:val="TableParagraph"/>
              <w:spacing w:line="119" w:lineRule="exact"/>
              <w:ind w:left="1221"/>
              <w:rPr>
                <w:b/>
                <w:sz w:val="16"/>
              </w:rPr>
            </w:pPr>
            <w:r>
              <w:rPr>
                <w:b/>
                <w:spacing w:val="-2"/>
                <w:sz w:val="16"/>
              </w:rPr>
              <w:t>Benefits</w:t>
            </w:r>
          </w:p>
          <w:p w14:paraId="76D2F83E" w14:textId="77777777" w:rsidR="00AC6F3C" w:rsidRDefault="00570E88">
            <w:pPr>
              <w:pStyle w:val="TableParagraph"/>
              <w:tabs>
                <w:tab w:val="left" w:pos="1596"/>
              </w:tabs>
              <w:spacing w:before="57"/>
              <w:ind w:left="591"/>
              <w:rPr>
                <w:b/>
                <w:sz w:val="16"/>
              </w:rPr>
            </w:pPr>
            <w:r>
              <w:rPr>
                <w:b/>
                <w:spacing w:val="-2"/>
                <w:sz w:val="16"/>
              </w:rPr>
              <w:t>$’000</w:t>
            </w:r>
            <w:r>
              <w:rPr>
                <w:b/>
                <w:sz w:val="16"/>
              </w:rPr>
              <w:tab/>
            </w:r>
            <w:r>
              <w:rPr>
                <w:b/>
                <w:spacing w:val="-2"/>
                <w:sz w:val="16"/>
              </w:rPr>
              <w:t>$’000</w:t>
            </w:r>
          </w:p>
        </w:tc>
        <w:tc>
          <w:tcPr>
            <w:tcW w:w="980" w:type="dxa"/>
            <w:tcBorders>
              <w:top w:val="single" w:sz="6" w:space="0" w:color="000000"/>
              <w:bottom w:val="single" w:sz="6" w:space="0" w:color="000000"/>
            </w:tcBorders>
            <w:shd w:val="clear" w:color="auto" w:fill="BEBEBE"/>
          </w:tcPr>
          <w:p w14:paraId="168A55D7" w14:textId="77777777" w:rsidR="00AC6F3C" w:rsidRDefault="00570E88">
            <w:pPr>
              <w:pStyle w:val="TableParagraph"/>
              <w:spacing w:before="10" w:line="278" w:lineRule="auto"/>
              <w:ind w:left="110" w:right="95" w:hanging="41"/>
              <w:jc w:val="both"/>
              <w:rPr>
                <w:b/>
                <w:sz w:val="16"/>
              </w:rPr>
            </w:pPr>
            <w:r>
              <w:rPr>
                <w:b/>
                <w:spacing w:val="-2"/>
                <w:sz w:val="16"/>
              </w:rPr>
              <w:t>Long</w:t>
            </w:r>
            <w:r>
              <w:rPr>
                <w:b/>
                <w:spacing w:val="-10"/>
                <w:sz w:val="16"/>
              </w:rPr>
              <w:t xml:space="preserve"> </w:t>
            </w:r>
            <w:r>
              <w:rPr>
                <w:b/>
                <w:spacing w:val="-2"/>
                <w:sz w:val="16"/>
              </w:rPr>
              <w:t>Term Employee Expenses</w:t>
            </w:r>
          </w:p>
          <w:p w14:paraId="540BE18F" w14:textId="77777777" w:rsidR="00AC6F3C" w:rsidRDefault="00AC6F3C">
            <w:pPr>
              <w:pStyle w:val="TableParagraph"/>
              <w:rPr>
                <w:b/>
                <w:sz w:val="18"/>
              </w:rPr>
            </w:pPr>
          </w:p>
          <w:p w14:paraId="66D91D96" w14:textId="77777777" w:rsidR="00AC6F3C" w:rsidRDefault="00AC6F3C">
            <w:pPr>
              <w:pStyle w:val="TableParagraph"/>
              <w:rPr>
                <w:b/>
                <w:sz w:val="18"/>
              </w:rPr>
            </w:pPr>
          </w:p>
          <w:p w14:paraId="32510040" w14:textId="77777777" w:rsidR="00AC6F3C" w:rsidRDefault="00AC6F3C">
            <w:pPr>
              <w:pStyle w:val="TableParagraph"/>
              <w:spacing w:before="5"/>
              <w:rPr>
                <w:b/>
              </w:rPr>
            </w:pPr>
          </w:p>
          <w:p w14:paraId="68835B48" w14:textId="77777777" w:rsidR="00AC6F3C" w:rsidRDefault="00570E88">
            <w:pPr>
              <w:pStyle w:val="TableParagraph"/>
              <w:ind w:left="538"/>
              <w:rPr>
                <w:b/>
                <w:sz w:val="16"/>
              </w:rPr>
            </w:pPr>
            <w:r>
              <w:rPr>
                <w:b/>
                <w:spacing w:val="-2"/>
                <w:sz w:val="16"/>
              </w:rPr>
              <w:t>$’000</w:t>
            </w:r>
          </w:p>
        </w:tc>
        <w:tc>
          <w:tcPr>
            <w:tcW w:w="1011" w:type="dxa"/>
            <w:tcBorders>
              <w:top w:val="single" w:sz="6" w:space="0" w:color="000000"/>
              <w:bottom w:val="single" w:sz="6" w:space="0" w:color="000000"/>
            </w:tcBorders>
            <w:shd w:val="clear" w:color="auto" w:fill="BEBEBE"/>
          </w:tcPr>
          <w:p w14:paraId="1251D6AA" w14:textId="77777777" w:rsidR="00AC6F3C" w:rsidRDefault="00570E88">
            <w:pPr>
              <w:pStyle w:val="TableParagraph"/>
              <w:spacing w:before="10" w:line="278" w:lineRule="auto"/>
              <w:ind w:left="40" w:right="35" w:firstLine="4"/>
              <w:jc w:val="center"/>
              <w:rPr>
                <w:b/>
                <w:sz w:val="16"/>
              </w:rPr>
            </w:pPr>
            <w:r>
              <w:rPr>
                <w:b/>
                <w:spacing w:val="-4"/>
                <w:sz w:val="16"/>
              </w:rPr>
              <w:t xml:space="preserve">Post Employment </w:t>
            </w:r>
            <w:r>
              <w:rPr>
                <w:b/>
                <w:spacing w:val="-2"/>
                <w:sz w:val="16"/>
              </w:rPr>
              <w:t>Benefits</w:t>
            </w:r>
          </w:p>
          <w:p w14:paraId="68A4F4BF" w14:textId="77777777" w:rsidR="00AC6F3C" w:rsidRDefault="00AC6F3C">
            <w:pPr>
              <w:pStyle w:val="TableParagraph"/>
              <w:rPr>
                <w:b/>
                <w:sz w:val="18"/>
              </w:rPr>
            </w:pPr>
          </w:p>
          <w:p w14:paraId="1B4E3E0C" w14:textId="77777777" w:rsidR="00AC6F3C" w:rsidRDefault="00AC6F3C">
            <w:pPr>
              <w:pStyle w:val="TableParagraph"/>
              <w:rPr>
                <w:b/>
                <w:sz w:val="18"/>
              </w:rPr>
            </w:pPr>
          </w:p>
          <w:p w14:paraId="23AF1319" w14:textId="77777777" w:rsidR="00AC6F3C" w:rsidRDefault="00AC6F3C">
            <w:pPr>
              <w:pStyle w:val="TableParagraph"/>
              <w:spacing w:before="5"/>
              <w:rPr>
                <w:b/>
              </w:rPr>
            </w:pPr>
          </w:p>
          <w:p w14:paraId="0E7C7D87" w14:textId="77777777" w:rsidR="00AC6F3C" w:rsidRDefault="00570E88">
            <w:pPr>
              <w:pStyle w:val="TableParagraph"/>
              <w:ind w:left="563"/>
              <w:rPr>
                <w:b/>
                <w:sz w:val="16"/>
              </w:rPr>
            </w:pPr>
            <w:r>
              <w:rPr>
                <w:b/>
                <w:spacing w:val="-2"/>
                <w:sz w:val="16"/>
              </w:rPr>
              <w:t>$’000</w:t>
            </w:r>
          </w:p>
        </w:tc>
        <w:tc>
          <w:tcPr>
            <w:tcW w:w="991" w:type="dxa"/>
            <w:tcBorders>
              <w:top w:val="single" w:sz="6" w:space="0" w:color="000000"/>
              <w:bottom w:val="single" w:sz="6" w:space="0" w:color="000000"/>
            </w:tcBorders>
            <w:shd w:val="clear" w:color="auto" w:fill="BEBEBE"/>
          </w:tcPr>
          <w:p w14:paraId="58E8568B" w14:textId="77777777" w:rsidR="00AC6F3C" w:rsidRDefault="00570E88">
            <w:pPr>
              <w:pStyle w:val="TableParagraph"/>
              <w:spacing w:before="10" w:line="278" w:lineRule="auto"/>
              <w:ind w:left="194" w:hanging="148"/>
              <w:rPr>
                <w:b/>
                <w:sz w:val="16"/>
              </w:rPr>
            </w:pPr>
            <w:r>
              <w:rPr>
                <w:b/>
                <w:spacing w:val="-2"/>
                <w:sz w:val="16"/>
              </w:rPr>
              <w:t>Termination Benefits</w:t>
            </w:r>
          </w:p>
          <w:p w14:paraId="644CFCAB" w14:textId="77777777" w:rsidR="00AC6F3C" w:rsidRDefault="00AC6F3C">
            <w:pPr>
              <w:pStyle w:val="TableParagraph"/>
              <w:rPr>
                <w:b/>
                <w:sz w:val="18"/>
              </w:rPr>
            </w:pPr>
          </w:p>
          <w:p w14:paraId="788614B8" w14:textId="77777777" w:rsidR="00AC6F3C" w:rsidRDefault="00AC6F3C">
            <w:pPr>
              <w:pStyle w:val="TableParagraph"/>
              <w:rPr>
                <w:b/>
                <w:sz w:val="18"/>
              </w:rPr>
            </w:pPr>
          </w:p>
          <w:p w14:paraId="4AD5C690" w14:textId="77777777" w:rsidR="00AC6F3C" w:rsidRDefault="00AC6F3C">
            <w:pPr>
              <w:pStyle w:val="TableParagraph"/>
              <w:rPr>
                <w:b/>
                <w:sz w:val="18"/>
              </w:rPr>
            </w:pPr>
          </w:p>
          <w:p w14:paraId="062F5590" w14:textId="77777777" w:rsidR="00AC6F3C" w:rsidRDefault="00AC6F3C">
            <w:pPr>
              <w:pStyle w:val="TableParagraph"/>
              <w:rPr>
                <w:b/>
                <w:sz w:val="23"/>
              </w:rPr>
            </w:pPr>
          </w:p>
          <w:p w14:paraId="60F22138" w14:textId="77777777" w:rsidR="00AC6F3C" w:rsidRDefault="00570E88">
            <w:pPr>
              <w:pStyle w:val="TableParagraph"/>
              <w:ind w:left="556"/>
              <w:rPr>
                <w:b/>
                <w:sz w:val="16"/>
              </w:rPr>
            </w:pPr>
            <w:r>
              <w:rPr>
                <w:b/>
                <w:spacing w:val="-2"/>
                <w:sz w:val="16"/>
              </w:rPr>
              <w:t>$’000</w:t>
            </w:r>
          </w:p>
        </w:tc>
        <w:tc>
          <w:tcPr>
            <w:tcW w:w="864" w:type="dxa"/>
            <w:tcBorders>
              <w:top w:val="single" w:sz="6" w:space="0" w:color="000000"/>
              <w:bottom w:val="single" w:sz="6" w:space="0" w:color="000000"/>
              <w:right w:val="single" w:sz="6" w:space="0" w:color="000000"/>
            </w:tcBorders>
            <w:shd w:val="clear" w:color="auto" w:fill="BEBEBE"/>
          </w:tcPr>
          <w:p w14:paraId="43F14C1E" w14:textId="77777777" w:rsidR="00AC6F3C" w:rsidRDefault="00570E88">
            <w:pPr>
              <w:pStyle w:val="TableParagraph"/>
              <w:spacing w:before="10" w:line="278" w:lineRule="auto"/>
              <w:ind w:left="60" w:firstLine="187"/>
              <w:rPr>
                <w:b/>
                <w:sz w:val="16"/>
              </w:rPr>
            </w:pPr>
            <w:r>
              <w:rPr>
                <w:b/>
                <w:spacing w:val="-2"/>
                <w:sz w:val="16"/>
              </w:rPr>
              <w:t>Total Expenses</w:t>
            </w:r>
          </w:p>
          <w:p w14:paraId="1B01EE85" w14:textId="77777777" w:rsidR="00AC6F3C" w:rsidRDefault="00AC6F3C">
            <w:pPr>
              <w:pStyle w:val="TableParagraph"/>
              <w:rPr>
                <w:b/>
                <w:sz w:val="18"/>
              </w:rPr>
            </w:pPr>
          </w:p>
          <w:p w14:paraId="34283311" w14:textId="77777777" w:rsidR="00AC6F3C" w:rsidRDefault="00AC6F3C">
            <w:pPr>
              <w:pStyle w:val="TableParagraph"/>
              <w:rPr>
                <w:b/>
                <w:sz w:val="18"/>
              </w:rPr>
            </w:pPr>
          </w:p>
          <w:p w14:paraId="053BE959" w14:textId="77777777" w:rsidR="00AC6F3C" w:rsidRDefault="00AC6F3C">
            <w:pPr>
              <w:pStyle w:val="TableParagraph"/>
              <w:rPr>
                <w:b/>
                <w:sz w:val="18"/>
              </w:rPr>
            </w:pPr>
          </w:p>
          <w:p w14:paraId="6673AA76" w14:textId="77777777" w:rsidR="00AC6F3C" w:rsidRDefault="00AC6F3C">
            <w:pPr>
              <w:pStyle w:val="TableParagraph"/>
              <w:rPr>
                <w:b/>
                <w:sz w:val="23"/>
              </w:rPr>
            </w:pPr>
          </w:p>
          <w:p w14:paraId="7E5F545E" w14:textId="77777777" w:rsidR="00AC6F3C" w:rsidRDefault="00570E88">
            <w:pPr>
              <w:pStyle w:val="TableParagraph"/>
              <w:ind w:left="422"/>
              <w:rPr>
                <w:b/>
                <w:sz w:val="16"/>
              </w:rPr>
            </w:pPr>
            <w:r>
              <w:rPr>
                <w:b/>
                <w:spacing w:val="-2"/>
                <w:sz w:val="16"/>
              </w:rPr>
              <w:t>$’000</w:t>
            </w:r>
          </w:p>
        </w:tc>
      </w:tr>
      <w:tr w:rsidR="00AC6F3C" w14:paraId="64FAD4AD" w14:textId="77777777">
        <w:trPr>
          <w:trHeight w:val="291"/>
        </w:trPr>
        <w:tc>
          <w:tcPr>
            <w:tcW w:w="2569" w:type="dxa"/>
            <w:tcBorders>
              <w:top w:val="single" w:sz="6" w:space="0" w:color="000000"/>
              <w:left w:val="single" w:sz="6" w:space="0" w:color="000000"/>
            </w:tcBorders>
          </w:tcPr>
          <w:p w14:paraId="405431F5" w14:textId="77777777" w:rsidR="00AC6F3C" w:rsidRDefault="00570E88">
            <w:pPr>
              <w:pStyle w:val="TableParagraph"/>
              <w:spacing w:before="63"/>
              <w:ind w:left="32"/>
              <w:rPr>
                <w:b/>
                <w:sz w:val="16"/>
              </w:rPr>
            </w:pPr>
            <w:r>
              <w:rPr>
                <w:b/>
                <w:spacing w:val="-2"/>
                <w:sz w:val="16"/>
              </w:rPr>
              <w:t>President</w:t>
            </w:r>
          </w:p>
        </w:tc>
        <w:tc>
          <w:tcPr>
            <w:tcW w:w="1453" w:type="dxa"/>
            <w:tcBorders>
              <w:top w:val="single" w:sz="6" w:space="0" w:color="000000"/>
            </w:tcBorders>
          </w:tcPr>
          <w:p w14:paraId="790D6329" w14:textId="77777777" w:rsidR="00AC6F3C" w:rsidRDefault="00AC6F3C">
            <w:pPr>
              <w:pStyle w:val="TableParagraph"/>
              <w:rPr>
                <w:rFonts w:ascii="Times New Roman"/>
                <w:sz w:val="16"/>
              </w:rPr>
            </w:pPr>
          </w:p>
        </w:tc>
        <w:tc>
          <w:tcPr>
            <w:tcW w:w="609" w:type="dxa"/>
            <w:tcBorders>
              <w:top w:val="single" w:sz="6" w:space="0" w:color="000000"/>
            </w:tcBorders>
          </w:tcPr>
          <w:p w14:paraId="11A20FF6" w14:textId="77777777" w:rsidR="00AC6F3C" w:rsidRDefault="00AC6F3C">
            <w:pPr>
              <w:pStyle w:val="TableParagraph"/>
              <w:rPr>
                <w:rFonts w:ascii="Times New Roman"/>
                <w:sz w:val="16"/>
              </w:rPr>
            </w:pPr>
          </w:p>
        </w:tc>
        <w:tc>
          <w:tcPr>
            <w:tcW w:w="980" w:type="dxa"/>
            <w:tcBorders>
              <w:top w:val="single" w:sz="6" w:space="0" w:color="000000"/>
            </w:tcBorders>
          </w:tcPr>
          <w:p w14:paraId="114B11C8" w14:textId="77777777" w:rsidR="00AC6F3C" w:rsidRDefault="00AC6F3C">
            <w:pPr>
              <w:pStyle w:val="TableParagraph"/>
              <w:rPr>
                <w:rFonts w:ascii="Times New Roman"/>
                <w:sz w:val="16"/>
              </w:rPr>
            </w:pPr>
          </w:p>
        </w:tc>
        <w:tc>
          <w:tcPr>
            <w:tcW w:w="1011" w:type="dxa"/>
            <w:tcBorders>
              <w:top w:val="single" w:sz="6" w:space="0" w:color="000000"/>
            </w:tcBorders>
          </w:tcPr>
          <w:p w14:paraId="07F5EF17" w14:textId="77777777" w:rsidR="00AC6F3C" w:rsidRDefault="00AC6F3C">
            <w:pPr>
              <w:pStyle w:val="TableParagraph"/>
              <w:rPr>
                <w:rFonts w:ascii="Times New Roman"/>
                <w:sz w:val="16"/>
              </w:rPr>
            </w:pPr>
          </w:p>
        </w:tc>
        <w:tc>
          <w:tcPr>
            <w:tcW w:w="991" w:type="dxa"/>
            <w:tcBorders>
              <w:top w:val="single" w:sz="6" w:space="0" w:color="000000"/>
            </w:tcBorders>
          </w:tcPr>
          <w:p w14:paraId="00E1F923" w14:textId="77777777" w:rsidR="00AC6F3C" w:rsidRDefault="00AC6F3C">
            <w:pPr>
              <w:pStyle w:val="TableParagraph"/>
              <w:rPr>
                <w:rFonts w:ascii="Times New Roman"/>
                <w:sz w:val="16"/>
              </w:rPr>
            </w:pPr>
          </w:p>
        </w:tc>
        <w:tc>
          <w:tcPr>
            <w:tcW w:w="864" w:type="dxa"/>
            <w:tcBorders>
              <w:top w:val="single" w:sz="6" w:space="0" w:color="000000"/>
              <w:right w:val="single" w:sz="6" w:space="0" w:color="000000"/>
            </w:tcBorders>
            <w:shd w:val="clear" w:color="auto" w:fill="F1F1F1"/>
          </w:tcPr>
          <w:p w14:paraId="781F5488" w14:textId="77777777" w:rsidR="00AC6F3C" w:rsidRDefault="00AC6F3C">
            <w:pPr>
              <w:pStyle w:val="TableParagraph"/>
              <w:rPr>
                <w:rFonts w:ascii="Times New Roman"/>
                <w:sz w:val="16"/>
              </w:rPr>
            </w:pPr>
          </w:p>
        </w:tc>
      </w:tr>
      <w:tr w:rsidR="00AC6F3C" w14:paraId="4947A04E" w14:textId="77777777">
        <w:trPr>
          <w:trHeight w:val="267"/>
        </w:trPr>
        <w:tc>
          <w:tcPr>
            <w:tcW w:w="2569" w:type="dxa"/>
            <w:tcBorders>
              <w:left w:val="single" w:sz="6" w:space="0" w:color="000000"/>
            </w:tcBorders>
          </w:tcPr>
          <w:p w14:paraId="05BDCC30" w14:textId="77777777" w:rsidR="00AC6F3C" w:rsidRDefault="00570E88">
            <w:pPr>
              <w:pStyle w:val="TableParagraph"/>
              <w:spacing w:before="39"/>
              <w:ind w:left="32"/>
              <w:rPr>
                <w:sz w:val="16"/>
              </w:rPr>
            </w:pPr>
            <w:r>
              <w:rPr>
                <w:sz w:val="16"/>
              </w:rPr>
              <w:t>1</w:t>
            </w:r>
            <w:r>
              <w:rPr>
                <w:spacing w:val="10"/>
                <w:sz w:val="16"/>
              </w:rPr>
              <w:t xml:space="preserve"> </w:t>
            </w:r>
            <w:r>
              <w:rPr>
                <w:sz w:val="16"/>
              </w:rPr>
              <w:t>July</w:t>
            </w:r>
            <w:r>
              <w:rPr>
                <w:spacing w:val="-12"/>
                <w:sz w:val="16"/>
              </w:rPr>
              <w:t xml:space="preserve"> </w:t>
            </w:r>
            <w:r>
              <w:rPr>
                <w:sz w:val="16"/>
              </w:rPr>
              <w:t>2021</w:t>
            </w:r>
            <w:r>
              <w:rPr>
                <w:spacing w:val="11"/>
                <w:sz w:val="16"/>
              </w:rPr>
              <w:t xml:space="preserve"> </w:t>
            </w:r>
            <w:r>
              <w:rPr>
                <w:sz w:val="16"/>
              </w:rPr>
              <w:t>-</w:t>
            </w:r>
            <w:r>
              <w:rPr>
                <w:spacing w:val="4"/>
                <w:sz w:val="16"/>
              </w:rPr>
              <w:t xml:space="preserve"> </w:t>
            </w:r>
            <w:r>
              <w:rPr>
                <w:sz w:val="16"/>
              </w:rPr>
              <w:t>31</w:t>
            </w:r>
            <w:r>
              <w:rPr>
                <w:spacing w:val="11"/>
                <w:sz w:val="16"/>
              </w:rPr>
              <w:t xml:space="preserve"> </w:t>
            </w:r>
            <w:r>
              <w:rPr>
                <w:sz w:val="16"/>
              </w:rPr>
              <w:t>December</w:t>
            </w:r>
            <w:r>
              <w:rPr>
                <w:spacing w:val="5"/>
                <w:sz w:val="16"/>
              </w:rPr>
              <w:t xml:space="preserve"> </w:t>
            </w:r>
            <w:r>
              <w:rPr>
                <w:spacing w:val="-4"/>
                <w:sz w:val="16"/>
              </w:rPr>
              <w:t>2021</w:t>
            </w:r>
          </w:p>
        </w:tc>
        <w:tc>
          <w:tcPr>
            <w:tcW w:w="1453" w:type="dxa"/>
          </w:tcPr>
          <w:p w14:paraId="5D4F1105" w14:textId="77777777" w:rsidR="00AC6F3C" w:rsidRDefault="00570E88">
            <w:pPr>
              <w:pStyle w:val="TableParagraph"/>
              <w:spacing w:before="39"/>
              <w:ind w:right="444"/>
              <w:jc w:val="right"/>
              <w:rPr>
                <w:sz w:val="16"/>
              </w:rPr>
            </w:pPr>
            <w:r>
              <w:rPr>
                <w:spacing w:val="-5"/>
                <w:sz w:val="16"/>
              </w:rPr>
              <w:t>131</w:t>
            </w:r>
          </w:p>
        </w:tc>
        <w:tc>
          <w:tcPr>
            <w:tcW w:w="609" w:type="dxa"/>
          </w:tcPr>
          <w:p w14:paraId="3D4CE6E0" w14:textId="77777777" w:rsidR="00AC6F3C" w:rsidRDefault="00570E88">
            <w:pPr>
              <w:pStyle w:val="TableParagraph"/>
              <w:spacing w:before="39"/>
              <w:ind w:right="53"/>
              <w:jc w:val="right"/>
              <w:rPr>
                <w:sz w:val="16"/>
              </w:rPr>
            </w:pPr>
            <w:r>
              <w:rPr>
                <w:sz w:val="16"/>
              </w:rPr>
              <w:t>2</w:t>
            </w:r>
          </w:p>
        </w:tc>
        <w:tc>
          <w:tcPr>
            <w:tcW w:w="980" w:type="dxa"/>
          </w:tcPr>
          <w:p w14:paraId="4A41F518" w14:textId="77777777" w:rsidR="00AC6F3C" w:rsidRDefault="00570E88">
            <w:pPr>
              <w:pStyle w:val="TableParagraph"/>
              <w:spacing w:before="39"/>
              <w:ind w:right="24"/>
              <w:jc w:val="right"/>
              <w:rPr>
                <w:sz w:val="16"/>
              </w:rPr>
            </w:pPr>
            <w:r>
              <w:rPr>
                <w:sz w:val="16"/>
              </w:rPr>
              <w:t>-</w:t>
            </w:r>
          </w:p>
        </w:tc>
        <w:tc>
          <w:tcPr>
            <w:tcW w:w="1011" w:type="dxa"/>
          </w:tcPr>
          <w:p w14:paraId="5F646BC3" w14:textId="77777777" w:rsidR="00AC6F3C" w:rsidRDefault="00570E88">
            <w:pPr>
              <w:pStyle w:val="TableParagraph"/>
              <w:spacing w:before="39"/>
              <w:ind w:right="30"/>
              <w:jc w:val="right"/>
              <w:rPr>
                <w:sz w:val="16"/>
              </w:rPr>
            </w:pPr>
            <w:r>
              <w:rPr>
                <w:spacing w:val="-5"/>
                <w:sz w:val="16"/>
              </w:rPr>
              <w:t>12</w:t>
            </w:r>
          </w:p>
        </w:tc>
        <w:tc>
          <w:tcPr>
            <w:tcW w:w="991" w:type="dxa"/>
          </w:tcPr>
          <w:p w14:paraId="2A871413" w14:textId="77777777" w:rsidR="00AC6F3C" w:rsidRDefault="00570E88">
            <w:pPr>
              <w:pStyle w:val="TableParagraph"/>
              <w:spacing w:before="39"/>
              <w:ind w:right="17"/>
              <w:jc w:val="right"/>
              <w:rPr>
                <w:sz w:val="16"/>
              </w:rPr>
            </w:pPr>
            <w:r>
              <w:rPr>
                <w:sz w:val="16"/>
              </w:rPr>
              <w:t>-</w:t>
            </w:r>
          </w:p>
        </w:tc>
        <w:tc>
          <w:tcPr>
            <w:tcW w:w="864" w:type="dxa"/>
            <w:tcBorders>
              <w:right w:val="single" w:sz="6" w:space="0" w:color="000000"/>
            </w:tcBorders>
            <w:shd w:val="clear" w:color="auto" w:fill="F1F1F1"/>
          </w:tcPr>
          <w:p w14:paraId="1B19D686" w14:textId="77777777" w:rsidR="00AC6F3C" w:rsidRDefault="00570E88">
            <w:pPr>
              <w:pStyle w:val="TableParagraph"/>
              <w:spacing w:before="39"/>
              <w:ind w:right="16"/>
              <w:jc w:val="right"/>
              <w:rPr>
                <w:sz w:val="16"/>
              </w:rPr>
            </w:pPr>
            <w:r>
              <w:rPr>
                <w:spacing w:val="-5"/>
                <w:sz w:val="16"/>
              </w:rPr>
              <w:t>145</w:t>
            </w:r>
          </w:p>
        </w:tc>
      </w:tr>
      <w:tr w:rsidR="00AC6F3C" w14:paraId="0FC52B07" w14:textId="77777777">
        <w:trPr>
          <w:trHeight w:val="267"/>
        </w:trPr>
        <w:tc>
          <w:tcPr>
            <w:tcW w:w="2569" w:type="dxa"/>
            <w:tcBorders>
              <w:left w:val="single" w:sz="6" w:space="0" w:color="000000"/>
            </w:tcBorders>
          </w:tcPr>
          <w:p w14:paraId="5BDDB111" w14:textId="77777777" w:rsidR="00AC6F3C" w:rsidRDefault="00570E88">
            <w:pPr>
              <w:pStyle w:val="TableParagraph"/>
              <w:spacing w:before="39"/>
              <w:ind w:left="32"/>
              <w:rPr>
                <w:b/>
                <w:sz w:val="16"/>
              </w:rPr>
            </w:pPr>
            <w:r>
              <w:rPr>
                <w:b/>
                <w:spacing w:val="-2"/>
                <w:sz w:val="16"/>
              </w:rPr>
              <w:t>President</w:t>
            </w:r>
          </w:p>
        </w:tc>
        <w:tc>
          <w:tcPr>
            <w:tcW w:w="1453" w:type="dxa"/>
          </w:tcPr>
          <w:p w14:paraId="62DEC61F" w14:textId="77777777" w:rsidR="00AC6F3C" w:rsidRDefault="00AC6F3C">
            <w:pPr>
              <w:pStyle w:val="TableParagraph"/>
              <w:rPr>
                <w:rFonts w:ascii="Times New Roman"/>
                <w:sz w:val="16"/>
              </w:rPr>
            </w:pPr>
          </w:p>
        </w:tc>
        <w:tc>
          <w:tcPr>
            <w:tcW w:w="609" w:type="dxa"/>
          </w:tcPr>
          <w:p w14:paraId="17637126" w14:textId="77777777" w:rsidR="00AC6F3C" w:rsidRDefault="00AC6F3C">
            <w:pPr>
              <w:pStyle w:val="TableParagraph"/>
              <w:rPr>
                <w:rFonts w:ascii="Times New Roman"/>
                <w:sz w:val="16"/>
              </w:rPr>
            </w:pPr>
          </w:p>
        </w:tc>
        <w:tc>
          <w:tcPr>
            <w:tcW w:w="980" w:type="dxa"/>
          </w:tcPr>
          <w:p w14:paraId="5CF88922" w14:textId="77777777" w:rsidR="00AC6F3C" w:rsidRDefault="00AC6F3C">
            <w:pPr>
              <w:pStyle w:val="TableParagraph"/>
              <w:rPr>
                <w:rFonts w:ascii="Times New Roman"/>
                <w:sz w:val="16"/>
              </w:rPr>
            </w:pPr>
          </w:p>
        </w:tc>
        <w:tc>
          <w:tcPr>
            <w:tcW w:w="1011" w:type="dxa"/>
          </w:tcPr>
          <w:p w14:paraId="45B1BE62" w14:textId="77777777" w:rsidR="00AC6F3C" w:rsidRDefault="00AC6F3C">
            <w:pPr>
              <w:pStyle w:val="TableParagraph"/>
              <w:rPr>
                <w:rFonts w:ascii="Times New Roman"/>
                <w:sz w:val="16"/>
              </w:rPr>
            </w:pPr>
          </w:p>
        </w:tc>
        <w:tc>
          <w:tcPr>
            <w:tcW w:w="991" w:type="dxa"/>
          </w:tcPr>
          <w:p w14:paraId="4EE1980F" w14:textId="77777777" w:rsidR="00AC6F3C" w:rsidRDefault="00AC6F3C">
            <w:pPr>
              <w:pStyle w:val="TableParagraph"/>
              <w:rPr>
                <w:rFonts w:ascii="Times New Roman"/>
                <w:sz w:val="16"/>
              </w:rPr>
            </w:pPr>
          </w:p>
        </w:tc>
        <w:tc>
          <w:tcPr>
            <w:tcW w:w="864" w:type="dxa"/>
            <w:tcBorders>
              <w:right w:val="single" w:sz="6" w:space="0" w:color="000000"/>
            </w:tcBorders>
            <w:shd w:val="clear" w:color="auto" w:fill="F1F1F1"/>
          </w:tcPr>
          <w:p w14:paraId="3F9344DA" w14:textId="77777777" w:rsidR="00AC6F3C" w:rsidRDefault="00AC6F3C">
            <w:pPr>
              <w:pStyle w:val="TableParagraph"/>
              <w:rPr>
                <w:rFonts w:ascii="Times New Roman"/>
                <w:sz w:val="16"/>
              </w:rPr>
            </w:pPr>
          </w:p>
        </w:tc>
      </w:tr>
      <w:tr w:rsidR="00AC6F3C" w14:paraId="3A740FE1" w14:textId="77777777">
        <w:trPr>
          <w:trHeight w:val="267"/>
        </w:trPr>
        <w:tc>
          <w:tcPr>
            <w:tcW w:w="2569" w:type="dxa"/>
            <w:tcBorders>
              <w:left w:val="single" w:sz="6" w:space="0" w:color="000000"/>
            </w:tcBorders>
          </w:tcPr>
          <w:p w14:paraId="1A105821" w14:textId="77777777" w:rsidR="00AC6F3C" w:rsidRDefault="00570E88">
            <w:pPr>
              <w:pStyle w:val="TableParagraph"/>
              <w:spacing w:before="39"/>
              <w:ind w:left="32"/>
              <w:rPr>
                <w:sz w:val="16"/>
              </w:rPr>
            </w:pPr>
            <w:r>
              <w:rPr>
                <w:sz w:val="16"/>
              </w:rPr>
              <w:t>1</w:t>
            </w:r>
            <w:r>
              <w:rPr>
                <w:spacing w:val="7"/>
                <w:sz w:val="16"/>
              </w:rPr>
              <w:t xml:space="preserve"> </w:t>
            </w:r>
            <w:r>
              <w:rPr>
                <w:sz w:val="16"/>
              </w:rPr>
              <w:t>January</w:t>
            </w:r>
            <w:r>
              <w:rPr>
                <w:spacing w:val="-14"/>
                <w:sz w:val="16"/>
              </w:rPr>
              <w:t xml:space="preserve"> </w:t>
            </w:r>
            <w:r>
              <w:rPr>
                <w:sz w:val="16"/>
              </w:rPr>
              <w:t>2022</w:t>
            </w:r>
            <w:r>
              <w:rPr>
                <w:spacing w:val="7"/>
                <w:sz w:val="16"/>
              </w:rPr>
              <w:t xml:space="preserve"> </w:t>
            </w:r>
            <w:r>
              <w:rPr>
                <w:sz w:val="16"/>
              </w:rPr>
              <w:t>-</w:t>
            </w:r>
            <w:r>
              <w:rPr>
                <w:spacing w:val="2"/>
                <w:sz w:val="16"/>
              </w:rPr>
              <w:t xml:space="preserve"> </w:t>
            </w:r>
            <w:r>
              <w:rPr>
                <w:sz w:val="16"/>
              </w:rPr>
              <w:t>30</w:t>
            </w:r>
            <w:r>
              <w:rPr>
                <w:spacing w:val="7"/>
                <w:sz w:val="16"/>
              </w:rPr>
              <w:t xml:space="preserve"> </w:t>
            </w:r>
            <w:r>
              <w:rPr>
                <w:sz w:val="16"/>
              </w:rPr>
              <w:t>June</w:t>
            </w:r>
            <w:r>
              <w:rPr>
                <w:spacing w:val="8"/>
                <w:sz w:val="16"/>
              </w:rPr>
              <w:t xml:space="preserve"> </w:t>
            </w:r>
            <w:r>
              <w:rPr>
                <w:spacing w:val="-4"/>
                <w:sz w:val="16"/>
              </w:rPr>
              <w:t>2022</w:t>
            </w:r>
          </w:p>
        </w:tc>
        <w:tc>
          <w:tcPr>
            <w:tcW w:w="1453" w:type="dxa"/>
          </w:tcPr>
          <w:p w14:paraId="0011A064" w14:textId="77777777" w:rsidR="00AC6F3C" w:rsidRDefault="00570E88">
            <w:pPr>
              <w:pStyle w:val="TableParagraph"/>
              <w:spacing w:before="39"/>
              <w:ind w:right="444"/>
              <w:jc w:val="right"/>
              <w:rPr>
                <w:sz w:val="16"/>
              </w:rPr>
            </w:pPr>
            <w:r>
              <w:rPr>
                <w:spacing w:val="-5"/>
                <w:sz w:val="16"/>
              </w:rPr>
              <w:t>131</w:t>
            </w:r>
          </w:p>
        </w:tc>
        <w:tc>
          <w:tcPr>
            <w:tcW w:w="609" w:type="dxa"/>
          </w:tcPr>
          <w:p w14:paraId="3F42CADC" w14:textId="77777777" w:rsidR="00AC6F3C" w:rsidRDefault="00570E88">
            <w:pPr>
              <w:pStyle w:val="TableParagraph"/>
              <w:spacing w:before="39"/>
              <w:ind w:right="52"/>
              <w:jc w:val="right"/>
              <w:rPr>
                <w:sz w:val="16"/>
              </w:rPr>
            </w:pPr>
            <w:r>
              <w:rPr>
                <w:sz w:val="16"/>
              </w:rPr>
              <w:t>3</w:t>
            </w:r>
          </w:p>
        </w:tc>
        <w:tc>
          <w:tcPr>
            <w:tcW w:w="980" w:type="dxa"/>
          </w:tcPr>
          <w:p w14:paraId="006D2C0D" w14:textId="77777777" w:rsidR="00AC6F3C" w:rsidRDefault="00570E88">
            <w:pPr>
              <w:pStyle w:val="TableParagraph"/>
              <w:spacing w:before="39"/>
              <w:ind w:right="24"/>
              <w:jc w:val="right"/>
              <w:rPr>
                <w:sz w:val="16"/>
              </w:rPr>
            </w:pPr>
            <w:r>
              <w:rPr>
                <w:sz w:val="16"/>
              </w:rPr>
              <w:t>-</w:t>
            </w:r>
          </w:p>
        </w:tc>
        <w:tc>
          <w:tcPr>
            <w:tcW w:w="1011" w:type="dxa"/>
          </w:tcPr>
          <w:p w14:paraId="773F8C77" w14:textId="77777777" w:rsidR="00AC6F3C" w:rsidRDefault="00570E88">
            <w:pPr>
              <w:pStyle w:val="TableParagraph"/>
              <w:spacing w:before="39"/>
              <w:ind w:right="30"/>
              <w:jc w:val="right"/>
              <w:rPr>
                <w:sz w:val="16"/>
              </w:rPr>
            </w:pPr>
            <w:r>
              <w:rPr>
                <w:spacing w:val="-5"/>
                <w:sz w:val="16"/>
              </w:rPr>
              <w:t>12</w:t>
            </w:r>
          </w:p>
        </w:tc>
        <w:tc>
          <w:tcPr>
            <w:tcW w:w="991" w:type="dxa"/>
          </w:tcPr>
          <w:p w14:paraId="5BFCB5B4" w14:textId="77777777" w:rsidR="00AC6F3C" w:rsidRDefault="00570E88">
            <w:pPr>
              <w:pStyle w:val="TableParagraph"/>
              <w:spacing w:before="39"/>
              <w:ind w:right="17"/>
              <w:jc w:val="right"/>
              <w:rPr>
                <w:sz w:val="16"/>
              </w:rPr>
            </w:pPr>
            <w:r>
              <w:rPr>
                <w:sz w:val="16"/>
              </w:rPr>
              <w:t>-</w:t>
            </w:r>
          </w:p>
        </w:tc>
        <w:tc>
          <w:tcPr>
            <w:tcW w:w="864" w:type="dxa"/>
            <w:tcBorders>
              <w:right w:val="single" w:sz="6" w:space="0" w:color="000000"/>
            </w:tcBorders>
            <w:shd w:val="clear" w:color="auto" w:fill="F1F1F1"/>
          </w:tcPr>
          <w:p w14:paraId="08D3A52B" w14:textId="77777777" w:rsidR="00AC6F3C" w:rsidRDefault="00570E88">
            <w:pPr>
              <w:pStyle w:val="TableParagraph"/>
              <w:spacing w:before="39"/>
              <w:ind w:right="16"/>
              <w:jc w:val="right"/>
              <w:rPr>
                <w:sz w:val="16"/>
              </w:rPr>
            </w:pPr>
            <w:r>
              <w:rPr>
                <w:spacing w:val="-5"/>
                <w:sz w:val="16"/>
              </w:rPr>
              <w:t>146</w:t>
            </w:r>
          </w:p>
        </w:tc>
      </w:tr>
      <w:tr w:rsidR="00AC6F3C" w14:paraId="734440ED" w14:textId="77777777">
        <w:trPr>
          <w:trHeight w:val="267"/>
        </w:trPr>
        <w:tc>
          <w:tcPr>
            <w:tcW w:w="2569" w:type="dxa"/>
            <w:tcBorders>
              <w:left w:val="single" w:sz="6" w:space="0" w:color="000000"/>
            </w:tcBorders>
          </w:tcPr>
          <w:p w14:paraId="1191F97E" w14:textId="77777777" w:rsidR="00AC6F3C" w:rsidRDefault="00570E88">
            <w:pPr>
              <w:pStyle w:val="TableParagraph"/>
              <w:spacing w:before="39"/>
              <w:ind w:left="33"/>
              <w:rPr>
                <w:b/>
                <w:sz w:val="16"/>
              </w:rPr>
            </w:pPr>
            <w:r>
              <w:rPr>
                <w:b/>
                <w:sz w:val="16"/>
              </w:rPr>
              <w:t>Vice</w:t>
            </w:r>
            <w:r>
              <w:rPr>
                <w:b/>
                <w:spacing w:val="-2"/>
                <w:sz w:val="16"/>
              </w:rPr>
              <w:t xml:space="preserve"> President</w:t>
            </w:r>
          </w:p>
        </w:tc>
        <w:tc>
          <w:tcPr>
            <w:tcW w:w="1453" w:type="dxa"/>
          </w:tcPr>
          <w:p w14:paraId="281D0694" w14:textId="77777777" w:rsidR="00AC6F3C" w:rsidRDefault="00AC6F3C">
            <w:pPr>
              <w:pStyle w:val="TableParagraph"/>
              <w:rPr>
                <w:rFonts w:ascii="Times New Roman"/>
                <w:sz w:val="16"/>
              </w:rPr>
            </w:pPr>
          </w:p>
        </w:tc>
        <w:tc>
          <w:tcPr>
            <w:tcW w:w="609" w:type="dxa"/>
          </w:tcPr>
          <w:p w14:paraId="7C923141" w14:textId="77777777" w:rsidR="00AC6F3C" w:rsidRDefault="00AC6F3C">
            <w:pPr>
              <w:pStyle w:val="TableParagraph"/>
              <w:rPr>
                <w:rFonts w:ascii="Times New Roman"/>
                <w:sz w:val="16"/>
              </w:rPr>
            </w:pPr>
          </w:p>
        </w:tc>
        <w:tc>
          <w:tcPr>
            <w:tcW w:w="980" w:type="dxa"/>
          </w:tcPr>
          <w:p w14:paraId="0F78947C" w14:textId="77777777" w:rsidR="00AC6F3C" w:rsidRDefault="00AC6F3C">
            <w:pPr>
              <w:pStyle w:val="TableParagraph"/>
              <w:rPr>
                <w:rFonts w:ascii="Times New Roman"/>
                <w:sz w:val="16"/>
              </w:rPr>
            </w:pPr>
          </w:p>
        </w:tc>
        <w:tc>
          <w:tcPr>
            <w:tcW w:w="1011" w:type="dxa"/>
          </w:tcPr>
          <w:p w14:paraId="1FE514EB" w14:textId="77777777" w:rsidR="00AC6F3C" w:rsidRDefault="00AC6F3C">
            <w:pPr>
              <w:pStyle w:val="TableParagraph"/>
              <w:rPr>
                <w:rFonts w:ascii="Times New Roman"/>
                <w:sz w:val="16"/>
              </w:rPr>
            </w:pPr>
          </w:p>
        </w:tc>
        <w:tc>
          <w:tcPr>
            <w:tcW w:w="991" w:type="dxa"/>
          </w:tcPr>
          <w:p w14:paraId="326033DE" w14:textId="77777777" w:rsidR="00AC6F3C" w:rsidRDefault="00AC6F3C">
            <w:pPr>
              <w:pStyle w:val="TableParagraph"/>
              <w:rPr>
                <w:rFonts w:ascii="Times New Roman"/>
                <w:sz w:val="16"/>
              </w:rPr>
            </w:pPr>
          </w:p>
        </w:tc>
        <w:tc>
          <w:tcPr>
            <w:tcW w:w="864" w:type="dxa"/>
            <w:tcBorders>
              <w:right w:val="single" w:sz="6" w:space="0" w:color="000000"/>
            </w:tcBorders>
            <w:shd w:val="clear" w:color="auto" w:fill="F1F1F1"/>
          </w:tcPr>
          <w:p w14:paraId="2FB2A3D7" w14:textId="77777777" w:rsidR="00AC6F3C" w:rsidRDefault="00AC6F3C">
            <w:pPr>
              <w:pStyle w:val="TableParagraph"/>
              <w:rPr>
                <w:rFonts w:ascii="Times New Roman"/>
                <w:sz w:val="16"/>
              </w:rPr>
            </w:pPr>
          </w:p>
        </w:tc>
      </w:tr>
      <w:tr w:rsidR="00AC6F3C" w14:paraId="7FEB96CA" w14:textId="77777777">
        <w:trPr>
          <w:trHeight w:val="267"/>
        </w:trPr>
        <w:tc>
          <w:tcPr>
            <w:tcW w:w="2569" w:type="dxa"/>
            <w:tcBorders>
              <w:left w:val="single" w:sz="6" w:space="0" w:color="000000"/>
            </w:tcBorders>
          </w:tcPr>
          <w:p w14:paraId="1C7BAB6D" w14:textId="77777777" w:rsidR="00AC6F3C" w:rsidRDefault="00570E88">
            <w:pPr>
              <w:pStyle w:val="TableParagraph"/>
              <w:spacing w:before="39"/>
              <w:ind w:left="33"/>
              <w:rPr>
                <w:sz w:val="16"/>
              </w:rPr>
            </w:pPr>
            <w:r>
              <w:rPr>
                <w:sz w:val="16"/>
              </w:rPr>
              <w:t>1</w:t>
            </w:r>
            <w:r>
              <w:rPr>
                <w:spacing w:val="10"/>
                <w:sz w:val="16"/>
              </w:rPr>
              <w:t xml:space="preserve"> </w:t>
            </w:r>
            <w:r>
              <w:rPr>
                <w:sz w:val="16"/>
              </w:rPr>
              <w:t>July</w:t>
            </w:r>
            <w:r>
              <w:rPr>
                <w:spacing w:val="-12"/>
                <w:sz w:val="16"/>
              </w:rPr>
              <w:t xml:space="preserve"> </w:t>
            </w:r>
            <w:r>
              <w:rPr>
                <w:sz w:val="16"/>
              </w:rPr>
              <w:t>2021</w:t>
            </w:r>
            <w:r>
              <w:rPr>
                <w:spacing w:val="11"/>
                <w:sz w:val="16"/>
              </w:rPr>
              <w:t xml:space="preserve"> </w:t>
            </w:r>
            <w:r>
              <w:rPr>
                <w:sz w:val="16"/>
              </w:rPr>
              <w:t>-</w:t>
            </w:r>
            <w:r>
              <w:rPr>
                <w:spacing w:val="4"/>
                <w:sz w:val="16"/>
              </w:rPr>
              <w:t xml:space="preserve"> </w:t>
            </w:r>
            <w:r>
              <w:rPr>
                <w:sz w:val="16"/>
              </w:rPr>
              <w:t>31</w:t>
            </w:r>
            <w:r>
              <w:rPr>
                <w:spacing w:val="11"/>
                <w:sz w:val="16"/>
              </w:rPr>
              <w:t xml:space="preserve"> </w:t>
            </w:r>
            <w:r>
              <w:rPr>
                <w:sz w:val="16"/>
              </w:rPr>
              <w:t>December</w:t>
            </w:r>
            <w:r>
              <w:rPr>
                <w:spacing w:val="5"/>
                <w:sz w:val="16"/>
              </w:rPr>
              <w:t xml:space="preserve"> </w:t>
            </w:r>
            <w:r>
              <w:rPr>
                <w:spacing w:val="-4"/>
                <w:sz w:val="16"/>
              </w:rPr>
              <w:t>2021</w:t>
            </w:r>
          </w:p>
        </w:tc>
        <w:tc>
          <w:tcPr>
            <w:tcW w:w="1453" w:type="dxa"/>
          </w:tcPr>
          <w:p w14:paraId="4F6C3AA8" w14:textId="77777777" w:rsidR="00AC6F3C" w:rsidRDefault="00570E88">
            <w:pPr>
              <w:pStyle w:val="TableParagraph"/>
              <w:spacing w:before="39"/>
              <w:ind w:right="443"/>
              <w:jc w:val="right"/>
              <w:rPr>
                <w:sz w:val="16"/>
              </w:rPr>
            </w:pPr>
            <w:r>
              <w:rPr>
                <w:spacing w:val="-5"/>
                <w:sz w:val="16"/>
              </w:rPr>
              <w:t>43</w:t>
            </w:r>
          </w:p>
        </w:tc>
        <w:tc>
          <w:tcPr>
            <w:tcW w:w="609" w:type="dxa"/>
          </w:tcPr>
          <w:p w14:paraId="06131281" w14:textId="77777777" w:rsidR="00AC6F3C" w:rsidRDefault="00570E88">
            <w:pPr>
              <w:pStyle w:val="TableParagraph"/>
              <w:spacing w:before="39"/>
              <w:ind w:right="52"/>
              <w:jc w:val="right"/>
              <w:rPr>
                <w:sz w:val="16"/>
              </w:rPr>
            </w:pPr>
            <w:r>
              <w:rPr>
                <w:sz w:val="16"/>
              </w:rPr>
              <w:t>2</w:t>
            </w:r>
          </w:p>
        </w:tc>
        <w:tc>
          <w:tcPr>
            <w:tcW w:w="980" w:type="dxa"/>
          </w:tcPr>
          <w:p w14:paraId="24B99FAE" w14:textId="77777777" w:rsidR="00AC6F3C" w:rsidRDefault="00570E88">
            <w:pPr>
              <w:pStyle w:val="TableParagraph"/>
              <w:spacing w:before="39"/>
              <w:ind w:right="24"/>
              <w:jc w:val="right"/>
              <w:rPr>
                <w:sz w:val="16"/>
              </w:rPr>
            </w:pPr>
            <w:r>
              <w:rPr>
                <w:sz w:val="16"/>
              </w:rPr>
              <w:t>-</w:t>
            </w:r>
          </w:p>
        </w:tc>
        <w:tc>
          <w:tcPr>
            <w:tcW w:w="1011" w:type="dxa"/>
          </w:tcPr>
          <w:p w14:paraId="002F8E43" w14:textId="77777777" w:rsidR="00AC6F3C" w:rsidRDefault="00570E88">
            <w:pPr>
              <w:pStyle w:val="TableParagraph"/>
              <w:spacing w:before="39"/>
              <w:ind w:right="34"/>
              <w:jc w:val="right"/>
              <w:rPr>
                <w:sz w:val="16"/>
              </w:rPr>
            </w:pPr>
            <w:r>
              <w:rPr>
                <w:sz w:val="16"/>
              </w:rPr>
              <w:t>4</w:t>
            </w:r>
          </w:p>
        </w:tc>
        <w:tc>
          <w:tcPr>
            <w:tcW w:w="991" w:type="dxa"/>
          </w:tcPr>
          <w:p w14:paraId="3B714EB9" w14:textId="77777777" w:rsidR="00AC6F3C" w:rsidRDefault="00570E88">
            <w:pPr>
              <w:pStyle w:val="TableParagraph"/>
              <w:spacing w:before="39"/>
              <w:ind w:right="17"/>
              <w:jc w:val="right"/>
              <w:rPr>
                <w:sz w:val="16"/>
              </w:rPr>
            </w:pPr>
            <w:r>
              <w:rPr>
                <w:sz w:val="16"/>
              </w:rPr>
              <w:t>-</w:t>
            </w:r>
          </w:p>
        </w:tc>
        <w:tc>
          <w:tcPr>
            <w:tcW w:w="864" w:type="dxa"/>
            <w:tcBorders>
              <w:right w:val="single" w:sz="6" w:space="0" w:color="000000"/>
            </w:tcBorders>
            <w:shd w:val="clear" w:color="auto" w:fill="F1F1F1"/>
          </w:tcPr>
          <w:p w14:paraId="04E5D366" w14:textId="77777777" w:rsidR="00AC6F3C" w:rsidRDefault="00570E88">
            <w:pPr>
              <w:pStyle w:val="TableParagraph"/>
              <w:spacing w:before="39"/>
              <w:ind w:right="16"/>
              <w:jc w:val="right"/>
              <w:rPr>
                <w:sz w:val="16"/>
              </w:rPr>
            </w:pPr>
            <w:r>
              <w:rPr>
                <w:spacing w:val="-5"/>
                <w:sz w:val="16"/>
              </w:rPr>
              <w:t>49</w:t>
            </w:r>
          </w:p>
        </w:tc>
      </w:tr>
      <w:tr w:rsidR="00AC6F3C" w14:paraId="57D1A332" w14:textId="77777777">
        <w:trPr>
          <w:trHeight w:val="267"/>
        </w:trPr>
        <w:tc>
          <w:tcPr>
            <w:tcW w:w="2569" w:type="dxa"/>
            <w:tcBorders>
              <w:left w:val="single" w:sz="6" w:space="0" w:color="000000"/>
            </w:tcBorders>
          </w:tcPr>
          <w:p w14:paraId="0C04C011" w14:textId="77777777" w:rsidR="00AC6F3C" w:rsidRDefault="00570E88">
            <w:pPr>
              <w:pStyle w:val="TableParagraph"/>
              <w:spacing w:before="39"/>
              <w:ind w:left="32"/>
              <w:rPr>
                <w:b/>
                <w:sz w:val="16"/>
              </w:rPr>
            </w:pPr>
            <w:r>
              <w:rPr>
                <w:b/>
                <w:spacing w:val="-4"/>
                <w:sz w:val="16"/>
              </w:rPr>
              <w:t>Deputy</w:t>
            </w:r>
            <w:r>
              <w:rPr>
                <w:b/>
                <w:spacing w:val="-5"/>
                <w:sz w:val="16"/>
              </w:rPr>
              <w:t xml:space="preserve"> </w:t>
            </w:r>
            <w:r>
              <w:rPr>
                <w:b/>
                <w:spacing w:val="-2"/>
                <w:sz w:val="16"/>
              </w:rPr>
              <w:t>President</w:t>
            </w:r>
          </w:p>
        </w:tc>
        <w:tc>
          <w:tcPr>
            <w:tcW w:w="1453" w:type="dxa"/>
          </w:tcPr>
          <w:p w14:paraId="2D49093E" w14:textId="77777777" w:rsidR="00AC6F3C" w:rsidRDefault="00AC6F3C">
            <w:pPr>
              <w:pStyle w:val="TableParagraph"/>
              <w:rPr>
                <w:rFonts w:ascii="Times New Roman"/>
                <w:sz w:val="16"/>
              </w:rPr>
            </w:pPr>
          </w:p>
        </w:tc>
        <w:tc>
          <w:tcPr>
            <w:tcW w:w="609" w:type="dxa"/>
          </w:tcPr>
          <w:p w14:paraId="65F46AC9" w14:textId="77777777" w:rsidR="00AC6F3C" w:rsidRDefault="00AC6F3C">
            <w:pPr>
              <w:pStyle w:val="TableParagraph"/>
              <w:rPr>
                <w:rFonts w:ascii="Times New Roman"/>
                <w:sz w:val="16"/>
              </w:rPr>
            </w:pPr>
          </w:p>
        </w:tc>
        <w:tc>
          <w:tcPr>
            <w:tcW w:w="980" w:type="dxa"/>
          </w:tcPr>
          <w:p w14:paraId="6CB183FF" w14:textId="77777777" w:rsidR="00AC6F3C" w:rsidRDefault="00AC6F3C">
            <w:pPr>
              <w:pStyle w:val="TableParagraph"/>
              <w:rPr>
                <w:rFonts w:ascii="Times New Roman"/>
                <w:sz w:val="16"/>
              </w:rPr>
            </w:pPr>
          </w:p>
        </w:tc>
        <w:tc>
          <w:tcPr>
            <w:tcW w:w="1011" w:type="dxa"/>
          </w:tcPr>
          <w:p w14:paraId="7121CBD0" w14:textId="77777777" w:rsidR="00AC6F3C" w:rsidRDefault="00AC6F3C">
            <w:pPr>
              <w:pStyle w:val="TableParagraph"/>
              <w:rPr>
                <w:rFonts w:ascii="Times New Roman"/>
                <w:sz w:val="16"/>
              </w:rPr>
            </w:pPr>
          </w:p>
        </w:tc>
        <w:tc>
          <w:tcPr>
            <w:tcW w:w="991" w:type="dxa"/>
          </w:tcPr>
          <w:p w14:paraId="3894E645" w14:textId="77777777" w:rsidR="00AC6F3C" w:rsidRDefault="00AC6F3C">
            <w:pPr>
              <w:pStyle w:val="TableParagraph"/>
              <w:rPr>
                <w:rFonts w:ascii="Times New Roman"/>
                <w:sz w:val="16"/>
              </w:rPr>
            </w:pPr>
          </w:p>
        </w:tc>
        <w:tc>
          <w:tcPr>
            <w:tcW w:w="864" w:type="dxa"/>
            <w:tcBorders>
              <w:right w:val="single" w:sz="6" w:space="0" w:color="000000"/>
            </w:tcBorders>
            <w:shd w:val="clear" w:color="auto" w:fill="F1F1F1"/>
          </w:tcPr>
          <w:p w14:paraId="4352BAB6" w14:textId="77777777" w:rsidR="00AC6F3C" w:rsidRDefault="00AC6F3C">
            <w:pPr>
              <w:pStyle w:val="TableParagraph"/>
              <w:rPr>
                <w:rFonts w:ascii="Times New Roman"/>
                <w:sz w:val="16"/>
              </w:rPr>
            </w:pPr>
          </w:p>
        </w:tc>
      </w:tr>
      <w:tr w:rsidR="00AC6F3C" w14:paraId="675B31BD" w14:textId="77777777">
        <w:trPr>
          <w:trHeight w:val="267"/>
        </w:trPr>
        <w:tc>
          <w:tcPr>
            <w:tcW w:w="2569" w:type="dxa"/>
            <w:tcBorders>
              <w:left w:val="single" w:sz="6" w:space="0" w:color="000000"/>
            </w:tcBorders>
          </w:tcPr>
          <w:p w14:paraId="206E8F28" w14:textId="77777777" w:rsidR="00AC6F3C" w:rsidRDefault="00570E88">
            <w:pPr>
              <w:pStyle w:val="TableParagraph"/>
              <w:spacing w:before="39"/>
              <w:ind w:left="32"/>
              <w:rPr>
                <w:sz w:val="16"/>
              </w:rPr>
            </w:pPr>
            <w:r>
              <w:rPr>
                <w:sz w:val="16"/>
              </w:rPr>
              <w:t>1</w:t>
            </w:r>
            <w:r>
              <w:rPr>
                <w:spacing w:val="6"/>
                <w:sz w:val="16"/>
              </w:rPr>
              <w:t xml:space="preserve"> </w:t>
            </w:r>
            <w:r>
              <w:rPr>
                <w:sz w:val="16"/>
              </w:rPr>
              <w:t>January</w:t>
            </w:r>
            <w:r>
              <w:rPr>
                <w:spacing w:val="-14"/>
                <w:sz w:val="16"/>
              </w:rPr>
              <w:t xml:space="preserve"> </w:t>
            </w:r>
            <w:r>
              <w:rPr>
                <w:sz w:val="16"/>
              </w:rPr>
              <w:t>2022</w:t>
            </w:r>
            <w:r>
              <w:rPr>
                <w:spacing w:val="7"/>
                <w:sz w:val="16"/>
              </w:rPr>
              <w:t xml:space="preserve"> </w:t>
            </w:r>
            <w:r>
              <w:rPr>
                <w:sz w:val="16"/>
              </w:rPr>
              <w:t>- 7</w:t>
            </w:r>
            <w:r>
              <w:rPr>
                <w:spacing w:val="7"/>
                <w:sz w:val="16"/>
              </w:rPr>
              <w:t xml:space="preserve"> </w:t>
            </w:r>
            <w:r>
              <w:rPr>
                <w:sz w:val="16"/>
              </w:rPr>
              <w:t>June</w:t>
            </w:r>
            <w:r>
              <w:rPr>
                <w:spacing w:val="7"/>
                <w:sz w:val="16"/>
              </w:rPr>
              <w:t xml:space="preserve"> </w:t>
            </w:r>
            <w:r>
              <w:rPr>
                <w:spacing w:val="-4"/>
                <w:sz w:val="16"/>
              </w:rPr>
              <w:t>2022</w:t>
            </w:r>
          </w:p>
        </w:tc>
        <w:tc>
          <w:tcPr>
            <w:tcW w:w="1453" w:type="dxa"/>
          </w:tcPr>
          <w:p w14:paraId="4C76AAC7" w14:textId="77777777" w:rsidR="00AC6F3C" w:rsidRDefault="00570E88">
            <w:pPr>
              <w:pStyle w:val="TableParagraph"/>
              <w:spacing w:before="39"/>
              <w:ind w:right="444"/>
              <w:jc w:val="right"/>
              <w:rPr>
                <w:sz w:val="16"/>
              </w:rPr>
            </w:pPr>
            <w:r>
              <w:rPr>
                <w:spacing w:val="-5"/>
                <w:sz w:val="16"/>
              </w:rPr>
              <w:t>43</w:t>
            </w:r>
          </w:p>
        </w:tc>
        <w:tc>
          <w:tcPr>
            <w:tcW w:w="609" w:type="dxa"/>
          </w:tcPr>
          <w:p w14:paraId="7F826570" w14:textId="77777777" w:rsidR="00AC6F3C" w:rsidRDefault="00570E88">
            <w:pPr>
              <w:pStyle w:val="TableParagraph"/>
              <w:spacing w:before="39"/>
              <w:ind w:right="53"/>
              <w:jc w:val="right"/>
              <w:rPr>
                <w:sz w:val="16"/>
              </w:rPr>
            </w:pPr>
            <w:r>
              <w:rPr>
                <w:sz w:val="16"/>
              </w:rPr>
              <w:t>2</w:t>
            </w:r>
          </w:p>
        </w:tc>
        <w:tc>
          <w:tcPr>
            <w:tcW w:w="980" w:type="dxa"/>
          </w:tcPr>
          <w:p w14:paraId="487A6F06" w14:textId="77777777" w:rsidR="00AC6F3C" w:rsidRDefault="00570E88">
            <w:pPr>
              <w:pStyle w:val="TableParagraph"/>
              <w:spacing w:before="39"/>
              <w:ind w:right="24"/>
              <w:jc w:val="right"/>
              <w:rPr>
                <w:sz w:val="16"/>
              </w:rPr>
            </w:pPr>
            <w:r>
              <w:rPr>
                <w:sz w:val="16"/>
              </w:rPr>
              <w:t>-</w:t>
            </w:r>
          </w:p>
        </w:tc>
        <w:tc>
          <w:tcPr>
            <w:tcW w:w="1011" w:type="dxa"/>
          </w:tcPr>
          <w:p w14:paraId="1C022468" w14:textId="77777777" w:rsidR="00AC6F3C" w:rsidRDefault="00570E88">
            <w:pPr>
              <w:pStyle w:val="TableParagraph"/>
              <w:spacing w:before="39"/>
              <w:ind w:right="35"/>
              <w:jc w:val="right"/>
              <w:rPr>
                <w:sz w:val="16"/>
              </w:rPr>
            </w:pPr>
            <w:r>
              <w:rPr>
                <w:sz w:val="16"/>
              </w:rPr>
              <w:t>4</w:t>
            </w:r>
          </w:p>
        </w:tc>
        <w:tc>
          <w:tcPr>
            <w:tcW w:w="991" w:type="dxa"/>
          </w:tcPr>
          <w:p w14:paraId="193B5A7D" w14:textId="77777777" w:rsidR="00AC6F3C" w:rsidRDefault="00570E88">
            <w:pPr>
              <w:pStyle w:val="TableParagraph"/>
              <w:spacing w:before="39"/>
              <w:ind w:right="17"/>
              <w:jc w:val="right"/>
              <w:rPr>
                <w:sz w:val="16"/>
              </w:rPr>
            </w:pPr>
            <w:r>
              <w:rPr>
                <w:sz w:val="16"/>
              </w:rPr>
              <w:t>-</w:t>
            </w:r>
          </w:p>
        </w:tc>
        <w:tc>
          <w:tcPr>
            <w:tcW w:w="864" w:type="dxa"/>
            <w:tcBorders>
              <w:right w:val="single" w:sz="6" w:space="0" w:color="000000"/>
            </w:tcBorders>
            <w:shd w:val="clear" w:color="auto" w:fill="F1F1F1"/>
          </w:tcPr>
          <w:p w14:paraId="150B2370" w14:textId="77777777" w:rsidR="00AC6F3C" w:rsidRDefault="00570E88">
            <w:pPr>
              <w:pStyle w:val="TableParagraph"/>
              <w:spacing w:before="39"/>
              <w:ind w:right="16"/>
              <w:jc w:val="right"/>
              <w:rPr>
                <w:sz w:val="16"/>
              </w:rPr>
            </w:pPr>
            <w:r>
              <w:rPr>
                <w:spacing w:val="-5"/>
                <w:sz w:val="16"/>
              </w:rPr>
              <w:t>49</w:t>
            </w:r>
          </w:p>
        </w:tc>
      </w:tr>
      <w:tr w:rsidR="00AC6F3C" w14:paraId="724653AD" w14:textId="77777777">
        <w:trPr>
          <w:trHeight w:val="267"/>
        </w:trPr>
        <w:tc>
          <w:tcPr>
            <w:tcW w:w="2569" w:type="dxa"/>
            <w:tcBorders>
              <w:left w:val="single" w:sz="6" w:space="0" w:color="000000"/>
            </w:tcBorders>
          </w:tcPr>
          <w:p w14:paraId="30900663" w14:textId="77777777" w:rsidR="00AC6F3C" w:rsidRDefault="00570E88">
            <w:pPr>
              <w:pStyle w:val="TableParagraph"/>
              <w:spacing w:before="39"/>
              <w:ind w:left="32"/>
              <w:rPr>
                <w:b/>
                <w:sz w:val="16"/>
              </w:rPr>
            </w:pPr>
            <w:r>
              <w:rPr>
                <w:b/>
                <w:spacing w:val="-4"/>
                <w:sz w:val="16"/>
              </w:rPr>
              <w:t>Deputy</w:t>
            </w:r>
            <w:r>
              <w:rPr>
                <w:b/>
                <w:spacing w:val="-5"/>
                <w:sz w:val="16"/>
              </w:rPr>
              <w:t xml:space="preserve"> </w:t>
            </w:r>
            <w:r>
              <w:rPr>
                <w:b/>
                <w:spacing w:val="-2"/>
                <w:sz w:val="16"/>
              </w:rPr>
              <w:t>President</w:t>
            </w:r>
          </w:p>
        </w:tc>
        <w:tc>
          <w:tcPr>
            <w:tcW w:w="1453" w:type="dxa"/>
          </w:tcPr>
          <w:p w14:paraId="2051DEEE" w14:textId="77777777" w:rsidR="00AC6F3C" w:rsidRDefault="00AC6F3C">
            <w:pPr>
              <w:pStyle w:val="TableParagraph"/>
              <w:rPr>
                <w:rFonts w:ascii="Times New Roman"/>
                <w:sz w:val="16"/>
              </w:rPr>
            </w:pPr>
          </w:p>
        </w:tc>
        <w:tc>
          <w:tcPr>
            <w:tcW w:w="609" w:type="dxa"/>
          </w:tcPr>
          <w:p w14:paraId="7FE21790" w14:textId="77777777" w:rsidR="00AC6F3C" w:rsidRDefault="00AC6F3C">
            <w:pPr>
              <w:pStyle w:val="TableParagraph"/>
              <w:rPr>
                <w:rFonts w:ascii="Times New Roman"/>
                <w:sz w:val="16"/>
              </w:rPr>
            </w:pPr>
          </w:p>
        </w:tc>
        <w:tc>
          <w:tcPr>
            <w:tcW w:w="980" w:type="dxa"/>
          </w:tcPr>
          <w:p w14:paraId="1FAEFDFA" w14:textId="77777777" w:rsidR="00AC6F3C" w:rsidRDefault="00AC6F3C">
            <w:pPr>
              <w:pStyle w:val="TableParagraph"/>
              <w:rPr>
                <w:rFonts w:ascii="Times New Roman"/>
                <w:sz w:val="16"/>
              </w:rPr>
            </w:pPr>
          </w:p>
        </w:tc>
        <w:tc>
          <w:tcPr>
            <w:tcW w:w="1011" w:type="dxa"/>
          </w:tcPr>
          <w:p w14:paraId="175233AB" w14:textId="77777777" w:rsidR="00AC6F3C" w:rsidRDefault="00AC6F3C">
            <w:pPr>
              <w:pStyle w:val="TableParagraph"/>
              <w:rPr>
                <w:rFonts w:ascii="Times New Roman"/>
                <w:sz w:val="16"/>
              </w:rPr>
            </w:pPr>
          </w:p>
        </w:tc>
        <w:tc>
          <w:tcPr>
            <w:tcW w:w="991" w:type="dxa"/>
          </w:tcPr>
          <w:p w14:paraId="4794E46A" w14:textId="77777777" w:rsidR="00AC6F3C" w:rsidRDefault="00AC6F3C">
            <w:pPr>
              <w:pStyle w:val="TableParagraph"/>
              <w:rPr>
                <w:rFonts w:ascii="Times New Roman"/>
                <w:sz w:val="16"/>
              </w:rPr>
            </w:pPr>
          </w:p>
        </w:tc>
        <w:tc>
          <w:tcPr>
            <w:tcW w:w="864" w:type="dxa"/>
            <w:tcBorders>
              <w:right w:val="single" w:sz="6" w:space="0" w:color="000000"/>
            </w:tcBorders>
            <w:shd w:val="clear" w:color="auto" w:fill="F1F1F1"/>
          </w:tcPr>
          <w:p w14:paraId="360B8050" w14:textId="77777777" w:rsidR="00AC6F3C" w:rsidRDefault="00AC6F3C">
            <w:pPr>
              <w:pStyle w:val="TableParagraph"/>
              <w:rPr>
                <w:rFonts w:ascii="Times New Roman"/>
                <w:sz w:val="16"/>
              </w:rPr>
            </w:pPr>
          </w:p>
        </w:tc>
      </w:tr>
      <w:tr w:rsidR="00AC6F3C" w14:paraId="3F22430D" w14:textId="77777777">
        <w:trPr>
          <w:trHeight w:val="267"/>
        </w:trPr>
        <w:tc>
          <w:tcPr>
            <w:tcW w:w="2569" w:type="dxa"/>
            <w:tcBorders>
              <w:left w:val="single" w:sz="6" w:space="0" w:color="000000"/>
            </w:tcBorders>
          </w:tcPr>
          <w:p w14:paraId="0F051327" w14:textId="77777777" w:rsidR="00AC6F3C" w:rsidRDefault="00570E88">
            <w:pPr>
              <w:pStyle w:val="TableParagraph"/>
              <w:spacing w:before="39"/>
              <w:ind w:left="32"/>
              <w:rPr>
                <w:sz w:val="16"/>
              </w:rPr>
            </w:pPr>
            <w:r>
              <w:rPr>
                <w:sz w:val="16"/>
              </w:rPr>
              <w:t>8</w:t>
            </w:r>
            <w:r>
              <w:rPr>
                <w:spacing w:val="5"/>
                <w:sz w:val="16"/>
              </w:rPr>
              <w:t xml:space="preserve"> </w:t>
            </w:r>
            <w:r>
              <w:rPr>
                <w:sz w:val="16"/>
              </w:rPr>
              <w:t>June</w:t>
            </w:r>
            <w:r>
              <w:rPr>
                <w:spacing w:val="5"/>
                <w:sz w:val="16"/>
              </w:rPr>
              <w:t xml:space="preserve"> </w:t>
            </w:r>
            <w:r>
              <w:rPr>
                <w:sz w:val="16"/>
              </w:rPr>
              <w:t>2022</w:t>
            </w:r>
            <w:r>
              <w:rPr>
                <w:spacing w:val="6"/>
                <w:sz w:val="16"/>
              </w:rPr>
              <w:t xml:space="preserve"> </w:t>
            </w:r>
            <w:r>
              <w:rPr>
                <w:sz w:val="16"/>
              </w:rPr>
              <w:t>- 30</w:t>
            </w:r>
            <w:r>
              <w:rPr>
                <w:spacing w:val="5"/>
                <w:sz w:val="16"/>
              </w:rPr>
              <w:t xml:space="preserve"> </w:t>
            </w:r>
            <w:r>
              <w:rPr>
                <w:sz w:val="16"/>
              </w:rPr>
              <w:t>June</w:t>
            </w:r>
            <w:r>
              <w:rPr>
                <w:spacing w:val="6"/>
                <w:sz w:val="16"/>
              </w:rPr>
              <w:t xml:space="preserve"> </w:t>
            </w:r>
            <w:r>
              <w:rPr>
                <w:spacing w:val="-4"/>
                <w:sz w:val="16"/>
              </w:rPr>
              <w:t>2022</w:t>
            </w:r>
          </w:p>
        </w:tc>
        <w:tc>
          <w:tcPr>
            <w:tcW w:w="1453" w:type="dxa"/>
          </w:tcPr>
          <w:p w14:paraId="50BC8A05" w14:textId="77777777" w:rsidR="00AC6F3C" w:rsidRDefault="00570E88">
            <w:pPr>
              <w:pStyle w:val="TableParagraph"/>
              <w:spacing w:before="39"/>
              <w:ind w:right="448"/>
              <w:jc w:val="right"/>
              <w:rPr>
                <w:sz w:val="16"/>
              </w:rPr>
            </w:pPr>
            <w:r>
              <w:rPr>
                <w:sz w:val="16"/>
              </w:rPr>
              <w:t>5</w:t>
            </w:r>
          </w:p>
        </w:tc>
        <w:tc>
          <w:tcPr>
            <w:tcW w:w="609" w:type="dxa"/>
          </w:tcPr>
          <w:p w14:paraId="6C07CD43" w14:textId="77777777" w:rsidR="00AC6F3C" w:rsidRDefault="00AC6F3C">
            <w:pPr>
              <w:pStyle w:val="TableParagraph"/>
              <w:rPr>
                <w:rFonts w:ascii="Times New Roman"/>
                <w:sz w:val="16"/>
              </w:rPr>
            </w:pPr>
          </w:p>
        </w:tc>
        <w:tc>
          <w:tcPr>
            <w:tcW w:w="980" w:type="dxa"/>
          </w:tcPr>
          <w:p w14:paraId="025A6F51" w14:textId="77777777" w:rsidR="00AC6F3C" w:rsidRDefault="00570E88">
            <w:pPr>
              <w:pStyle w:val="TableParagraph"/>
              <w:spacing w:before="39"/>
              <w:ind w:right="24"/>
              <w:jc w:val="right"/>
              <w:rPr>
                <w:sz w:val="16"/>
              </w:rPr>
            </w:pPr>
            <w:r>
              <w:rPr>
                <w:sz w:val="16"/>
              </w:rPr>
              <w:t>-</w:t>
            </w:r>
          </w:p>
        </w:tc>
        <w:tc>
          <w:tcPr>
            <w:tcW w:w="1011" w:type="dxa"/>
          </w:tcPr>
          <w:p w14:paraId="626D2029" w14:textId="77777777" w:rsidR="00AC6F3C" w:rsidRDefault="00570E88">
            <w:pPr>
              <w:pStyle w:val="TableParagraph"/>
              <w:spacing w:before="39"/>
              <w:ind w:right="35"/>
              <w:jc w:val="right"/>
              <w:rPr>
                <w:sz w:val="16"/>
              </w:rPr>
            </w:pPr>
            <w:r>
              <w:rPr>
                <w:sz w:val="16"/>
              </w:rPr>
              <w:t>1</w:t>
            </w:r>
          </w:p>
        </w:tc>
        <w:tc>
          <w:tcPr>
            <w:tcW w:w="991" w:type="dxa"/>
          </w:tcPr>
          <w:p w14:paraId="0F77A568" w14:textId="77777777" w:rsidR="00AC6F3C" w:rsidRDefault="00570E88">
            <w:pPr>
              <w:pStyle w:val="TableParagraph"/>
              <w:spacing w:before="39"/>
              <w:ind w:right="17"/>
              <w:jc w:val="right"/>
              <w:rPr>
                <w:sz w:val="16"/>
              </w:rPr>
            </w:pPr>
            <w:r>
              <w:rPr>
                <w:sz w:val="16"/>
              </w:rPr>
              <w:t>-</w:t>
            </w:r>
          </w:p>
        </w:tc>
        <w:tc>
          <w:tcPr>
            <w:tcW w:w="864" w:type="dxa"/>
            <w:tcBorders>
              <w:right w:val="single" w:sz="6" w:space="0" w:color="000000"/>
            </w:tcBorders>
            <w:shd w:val="clear" w:color="auto" w:fill="F1F1F1"/>
          </w:tcPr>
          <w:p w14:paraId="7C114F75" w14:textId="77777777" w:rsidR="00AC6F3C" w:rsidRDefault="00570E88">
            <w:pPr>
              <w:pStyle w:val="TableParagraph"/>
              <w:spacing w:before="39"/>
              <w:ind w:right="21"/>
              <w:jc w:val="right"/>
              <w:rPr>
                <w:sz w:val="16"/>
              </w:rPr>
            </w:pPr>
            <w:r>
              <w:rPr>
                <w:sz w:val="16"/>
              </w:rPr>
              <w:t>6</w:t>
            </w:r>
          </w:p>
        </w:tc>
      </w:tr>
      <w:tr w:rsidR="00AC6F3C" w14:paraId="572085BC" w14:textId="77777777">
        <w:trPr>
          <w:trHeight w:val="267"/>
        </w:trPr>
        <w:tc>
          <w:tcPr>
            <w:tcW w:w="2569" w:type="dxa"/>
            <w:tcBorders>
              <w:left w:val="single" w:sz="6" w:space="0" w:color="000000"/>
            </w:tcBorders>
          </w:tcPr>
          <w:p w14:paraId="207313D4" w14:textId="77777777" w:rsidR="00AC6F3C" w:rsidRDefault="00570E88">
            <w:pPr>
              <w:pStyle w:val="TableParagraph"/>
              <w:spacing w:before="39"/>
              <w:ind w:left="32"/>
              <w:rPr>
                <w:b/>
                <w:sz w:val="16"/>
              </w:rPr>
            </w:pPr>
            <w:r>
              <w:rPr>
                <w:b/>
                <w:spacing w:val="-5"/>
                <w:sz w:val="16"/>
              </w:rPr>
              <w:t>CEO</w:t>
            </w:r>
          </w:p>
        </w:tc>
        <w:tc>
          <w:tcPr>
            <w:tcW w:w="1453" w:type="dxa"/>
          </w:tcPr>
          <w:p w14:paraId="79CC7824" w14:textId="77777777" w:rsidR="00AC6F3C" w:rsidRDefault="00AC6F3C">
            <w:pPr>
              <w:pStyle w:val="TableParagraph"/>
              <w:rPr>
                <w:rFonts w:ascii="Times New Roman"/>
                <w:sz w:val="16"/>
              </w:rPr>
            </w:pPr>
          </w:p>
        </w:tc>
        <w:tc>
          <w:tcPr>
            <w:tcW w:w="609" w:type="dxa"/>
          </w:tcPr>
          <w:p w14:paraId="3429EBE6" w14:textId="77777777" w:rsidR="00AC6F3C" w:rsidRDefault="00AC6F3C">
            <w:pPr>
              <w:pStyle w:val="TableParagraph"/>
              <w:rPr>
                <w:rFonts w:ascii="Times New Roman"/>
                <w:sz w:val="16"/>
              </w:rPr>
            </w:pPr>
          </w:p>
        </w:tc>
        <w:tc>
          <w:tcPr>
            <w:tcW w:w="980" w:type="dxa"/>
          </w:tcPr>
          <w:p w14:paraId="474BA2E8" w14:textId="77777777" w:rsidR="00AC6F3C" w:rsidRDefault="00AC6F3C">
            <w:pPr>
              <w:pStyle w:val="TableParagraph"/>
              <w:rPr>
                <w:rFonts w:ascii="Times New Roman"/>
                <w:sz w:val="16"/>
              </w:rPr>
            </w:pPr>
          </w:p>
        </w:tc>
        <w:tc>
          <w:tcPr>
            <w:tcW w:w="1011" w:type="dxa"/>
          </w:tcPr>
          <w:p w14:paraId="3BB57BA4" w14:textId="77777777" w:rsidR="00AC6F3C" w:rsidRDefault="00AC6F3C">
            <w:pPr>
              <w:pStyle w:val="TableParagraph"/>
              <w:rPr>
                <w:rFonts w:ascii="Times New Roman"/>
                <w:sz w:val="16"/>
              </w:rPr>
            </w:pPr>
          </w:p>
        </w:tc>
        <w:tc>
          <w:tcPr>
            <w:tcW w:w="991" w:type="dxa"/>
          </w:tcPr>
          <w:p w14:paraId="3C5528DB" w14:textId="77777777" w:rsidR="00AC6F3C" w:rsidRDefault="00AC6F3C">
            <w:pPr>
              <w:pStyle w:val="TableParagraph"/>
              <w:rPr>
                <w:rFonts w:ascii="Times New Roman"/>
                <w:sz w:val="16"/>
              </w:rPr>
            </w:pPr>
          </w:p>
        </w:tc>
        <w:tc>
          <w:tcPr>
            <w:tcW w:w="864" w:type="dxa"/>
            <w:tcBorders>
              <w:right w:val="single" w:sz="6" w:space="0" w:color="000000"/>
            </w:tcBorders>
            <w:shd w:val="clear" w:color="auto" w:fill="F1F1F1"/>
          </w:tcPr>
          <w:p w14:paraId="2A0D3114" w14:textId="77777777" w:rsidR="00AC6F3C" w:rsidRDefault="00AC6F3C">
            <w:pPr>
              <w:pStyle w:val="TableParagraph"/>
              <w:rPr>
                <w:rFonts w:ascii="Times New Roman"/>
                <w:sz w:val="16"/>
              </w:rPr>
            </w:pPr>
          </w:p>
        </w:tc>
      </w:tr>
      <w:tr w:rsidR="00AC6F3C" w14:paraId="2D593ABF" w14:textId="77777777">
        <w:trPr>
          <w:trHeight w:val="228"/>
        </w:trPr>
        <w:tc>
          <w:tcPr>
            <w:tcW w:w="2569" w:type="dxa"/>
            <w:tcBorders>
              <w:left w:val="single" w:sz="6" w:space="0" w:color="000000"/>
              <w:bottom w:val="single" w:sz="6" w:space="0" w:color="000000"/>
            </w:tcBorders>
          </w:tcPr>
          <w:p w14:paraId="15B7635A" w14:textId="77777777" w:rsidR="00AC6F3C" w:rsidRDefault="00570E88">
            <w:pPr>
              <w:pStyle w:val="TableParagraph"/>
              <w:spacing w:before="39" w:line="169" w:lineRule="exact"/>
              <w:ind w:left="32"/>
              <w:rPr>
                <w:sz w:val="16"/>
              </w:rPr>
            </w:pPr>
            <w:r>
              <w:rPr>
                <w:sz w:val="16"/>
              </w:rPr>
              <w:t>1</w:t>
            </w:r>
            <w:r>
              <w:rPr>
                <w:spacing w:val="5"/>
                <w:sz w:val="16"/>
              </w:rPr>
              <w:t xml:space="preserve"> </w:t>
            </w:r>
            <w:r>
              <w:rPr>
                <w:sz w:val="16"/>
              </w:rPr>
              <w:t>July</w:t>
            </w:r>
            <w:r>
              <w:rPr>
                <w:spacing w:val="-14"/>
                <w:sz w:val="16"/>
              </w:rPr>
              <w:t xml:space="preserve"> </w:t>
            </w:r>
            <w:r>
              <w:rPr>
                <w:sz w:val="16"/>
              </w:rPr>
              <w:t>2021</w:t>
            </w:r>
            <w:r>
              <w:rPr>
                <w:spacing w:val="6"/>
                <w:sz w:val="16"/>
              </w:rPr>
              <w:t xml:space="preserve"> </w:t>
            </w:r>
            <w:r>
              <w:rPr>
                <w:sz w:val="16"/>
              </w:rPr>
              <w:t>- 30</w:t>
            </w:r>
            <w:r>
              <w:rPr>
                <w:spacing w:val="6"/>
                <w:sz w:val="16"/>
              </w:rPr>
              <w:t xml:space="preserve"> </w:t>
            </w:r>
            <w:r>
              <w:rPr>
                <w:sz w:val="16"/>
              </w:rPr>
              <w:t>June</w:t>
            </w:r>
            <w:r>
              <w:rPr>
                <w:spacing w:val="6"/>
                <w:sz w:val="16"/>
              </w:rPr>
              <w:t xml:space="preserve"> </w:t>
            </w:r>
            <w:r>
              <w:rPr>
                <w:spacing w:val="-4"/>
                <w:sz w:val="16"/>
              </w:rPr>
              <w:t>2022</w:t>
            </w:r>
          </w:p>
        </w:tc>
        <w:tc>
          <w:tcPr>
            <w:tcW w:w="1453" w:type="dxa"/>
            <w:tcBorders>
              <w:bottom w:val="single" w:sz="6" w:space="0" w:color="000000"/>
            </w:tcBorders>
          </w:tcPr>
          <w:p w14:paraId="376B364F" w14:textId="77777777" w:rsidR="00AC6F3C" w:rsidRDefault="00570E88">
            <w:pPr>
              <w:pStyle w:val="TableParagraph"/>
              <w:spacing w:before="39" w:line="169" w:lineRule="exact"/>
              <w:ind w:right="444"/>
              <w:jc w:val="right"/>
              <w:rPr>
                <w:sz w:val="16"/>
              </w:rPr>
            </w:pPr>
            <w:r>
              <w:rPr>
                <w:spacing w:val="-5"/>
                <w:sz w:val="16"/>
              </w:rPr>
              <w:t>359</w:t>
            </w:r>
          </w:p>
        </w:tc>
        <w:tc>
          <w:tcPr>
            <w:tcW w:w="609" w:type="dxa"/>
            <w:tcBorders>
              <w:bottom w:val="single" w:sz="6" w:space="0" w:color="000000"/>
            </w:tcBorders>
          </w:tcPr>
          <w:p w14:paraId="270F3A89" w14:textId="77777777" w:rsidR="00AC6F3C" w:rsidRDefault="00570E88">
            <w:pPr>
              <w:pStyle w:val="TableParagraph"/>
              <w:spacing w:before="39" w:line="169" w:lineRule="exact"/>
              <w:ind w:right="53"/>
              <w:jc w:val="right"/>
              <w:rPr>
                <w:sz w:val="16"/>
              </w:rPr>
            </w:pPr>
            <w:r>
              <w:rPr>
                <w:sz w:val="16"/>
              </w:rPr>
              <w:t>5</w:t>
            </w:r>
          </w:p>
        </w:tc>
        <w:tc>
          <w:tcPr>
            <w:tcW w:w="980" w:type="dxa"/>
            <w:tcBorders>
              <w:bottom w:val="single" w:sz="6" w:space="0" w:color="000000"/>
            </w:tcBorders>
          </w:tcPr>
          <w:p w14:paraId="0E455857" w14:textId="77777777" w:rsidR="00AC6F3C" w:rsidRDefault="00570E88">
            <w:pPr>
              <w:pStyle w:val="TableParagraph"/>
              <w:spacing w:before="39" w:line="169" w:lineRule="exact"/>
              <w:ind w:right="28"/>
              <w:jc w:val="right"/>
              <w:rPr>
                <w:sz w:val="16"/>
              </w:rPr>
            </w:pPr>
            <w:r>
              <w:rPr>
                <w:sz w:val="16"/>
              </w:rPr>
              <w:t>6</w:t>
            </w:r>
          </w:p>
        </w:tc>
        <w:tc>
          <w:tcPr>
            <w:tcW w:w="1011" w:type="dxa"/>
            <w:tcBorders>
              <w:bottom w:val="single" w:sz="6" w:space="0" w:color="000000"/>
            </w:tcBorders>
          </w:tcPr>
          <w:p w14:paraId="155AA86C" w14:textId="77777777" w:rsidR="00AC6F3C" w:rsidRDefault="00570E88">
            <w:pPr>
              <w:pStyle w:val="TableParagraph"/>
              <w:spacing w:before="39" w:line="169" w:lineRule="exact"/>
              <w:ind w:right="30"/>
              <w:jc w:val="right"/>
              <w:rPr>
                <w:sz w:val="16"/>
              </w:rPr>
            </w:pPr>
            <w:r>
              <w:rPr>
                <w:spacing w:val="-5"/>
                <w:sz w:val="16"/>
              </w:rPr>
              <w:t>23</w:t>
            </w:r>
          </w:p>
        </w:tc>
        <w:tc>
          <w:tcPr>
            <w:tcW w:w="991" w:type="dxa"/>
            <w:tcBorders>
              <w:bottom w:val="single" w:sz="6" w:space="0" w:color="000000"/>
            </w:tcBorders>
          </w:tcPr>
          <w:p w14:paraId="51FBEE28" w14:textId="77777777" w:rsidR="00AC6F3C" w:rsidRDefault="00570E88">
            <w:pPr>
              <w:pStyle w:val="TableParagraph"/>
              <w:spacing w:before="39" w:line="169" w:lineRule="exact"/>
              <w:ind w:right="17"/>
              <w:jc w:val="right"/>
              <w:rPr>
                <w:sz w:val="16"/>
              </w:rPr>
            </w:pPr>
            <w:r>
              <w:rPr>
                <w:sz w:val="16"/>
              </w:rPr>
              <w:t>-</w:t>
            </w:r>
          </w:p>
        </w:tc>
        <w:tc>
          <w:tcPr>
            <w:tcW w:w="864" w:type="dxa"/>
            <w:tcBorders>
              <w:bottom w:val="single" w:sz="6" w:space="0" w:color="000000"/>
              <w:right w:val="single" w:sz="6" w:space="0" w:color="000000"/>
            </w:tcBorders>
            <w:shd w:val="clear" w:color="auto" w:fill="F1F1F1"/>
          </w:tcPr>
          <w:p w14:paraId="48EC53D7" w14:textId="77777777" w:rsidR="00AC6F3C" w:rsidRDefault="00570E88">
            <w:pPr>
              <w:pStyle w:val="TableParagraph"/>
              <w:spacing w:before="39" w:line="169" w:lineRule="exact"/>
              <w:ind w:right="16"/>
              <w:jc w:val="right"/>
              <w:rPr>
                <w:sz w:val="16"/>
              </w:rPr>
            </w:pPr>
            <w:r>
              <w:rPr>
                <w:spacing w:val="-5"/>
                <w:sz w:val="16"/>
              </w:rPr>
              <w:t>393</w:t>
            </w:r>
          </w:p>
        </w:tc>
      </w:tr>
    </w:tbl>
    <w:p w14:paraId="532F6A7B" w14:textId="77777777" w:rsidR="00AC6F3C" w:rsidRDefault="00AC6F3C">
      <w:pPr>
        <w:spacing w:line="169" w:lineRule="exact"/>
        <w:jc w:val="right"/>
        <w:rPr>
          <w:sz w:val="16"/>
        </w:rPr>
        <w:sectPr w:rsidR="00AC6F3C">
          <w:pgSz w:w="11910" w:h="16840"/>
          <w:pgMar w:top="2020" w:right="1160" w:bottom="520" w:left="460" w:header="1228" w:footer="336" w:gutter="0"/>
          <w:cols w:space="720"/>
        </w:sectPr>
      </w:pPr>
    </w:p>
    <w:p w14:paraId="5D14DA42" w14:textId="77777777" w:rsidR="00AC6F3C" w:rsidRDefault="00AC6F3C">
      <w:pPr>
        <w:pStyle w:val="BodyText"/>
        <w:rPr>
          <w:b/>
        </w:rPr>
      </w:pPr>
    </w:p>
    <w:p w14:paraId="0405ED32" w14:textId="77777777" w:rsidR="00AC6F3C" w:rsidRDefault="00570E88">
      <w:pPr>
        <w:tabs>
          <w:tab w:val="left" w:pos="1666"/>
        </w:tabs>
        <w:spacing w:before="249" w:line="322" w:lineRule="exact"/>
        <w:ind w:left="958"/>
        <w:rPr>
          <w:b/>
          <w:sz w:val="28"/>
        </w:rPr>
      </w:pPr>
      <w:r>
        <w:rPr>
          <w:b/>
          <w:spacing w:val="-5"/>
          <w:sz w:val="28"/>
        </w:rPr>
        <w:t>E1</w:t>
      </w:r>
      <w:r>
        <w:rPr>
          <w:b/>
          <w:sz w:val="28"/>
        </w:rPr>
        <w:tab/>
        <w:t>KEY</w:t>
      </w:r>
      <w:r>
        <w:rPr>
          <w:b/>
          <w:spacing w:val="-16"/>
          <w:sz w:val="28"/>
        </w:rPr>
        <w:t xml:space="preserve"> </w:t>
      </w:r>
      <w:r>
        <w:rPr>
          <w:b/>
          <w:sz w:val="28"/>
        </w:rPr>
        <w:t>MANAGEMENT</w:t>
      </w:r>
      <w:r>
        <w:rPr>
          <w:b/>
          <w:spacing w:val="-10"/>
          <w:sz w:val="28"/>
        </w:rPr>
        <w:t xml:space="preserve"> </w:t>
      </w:r>
      <w:r>
        <w:rPr>
          <w:b/>
          <w:sz w:val="28"/>
        </w:rPr>
        <w:t>PERSONNEL</w:t>
      </w:r>
      <w:r>
        <w:rPr>
          <w:b/>
          <w:spacing w:val="-15"/>
          <w:sz w:val="28"/>
        </w:rPr>
        <w:t xml:space="preserve"> </w:t>
      </w:r>
      <w:r>
        <w:rPr>
          <w:b/>
          <w:spacing w:val="-2"/>
          <w:sz w:val="28"/>
        </w:rPr>
        <w:t>DISCLOSURES</w:t>
      </w:r>
    </w:p>
    <w:p w14:paraId="72695B1F" w14:textId="77777777" w:rsidR="00AC6F3C" w:rsidRDefault="00570E88">
      <w:pPr>
        <w:spacing w:line="322" w:lineRule="exact"/>
        <w:ind w:left="1666"/>
        <w:rPr>
          <w:b/>
          <w:sz w:val="28"/>
        </w:rPr>
      </w:pPr>
      <w:r>
        <w:rPr>
          <w:b/>
          <w:spacing w:val="-2"/>
          <w:sz w:val="28"/>
        </w:rPr>
        <w:t>(continued)</w:t>
      </w:r>
    </w:p>
    <w:p w14:paraId="4ED9AACC" w14:textId="77777777" w:rsidR="00AC6F3C" w:rsidRDefault="00570E88">
      <w:pPr>
        <w:spacing w:before="240"/>
        <w:ind w:left="958"/>
        <w:rPr>
          <w:b/>
          <w:sz w:val="20"/>
        </w:rPr>
      </w:pPr>
      <w:r>
        <w:rPr>
          <w:b/>
          <w:sz w:val="20"/>
        </w:rPr>
        <w:t>KMP</w:t>
      </w:r>
      <w:r>
        <w:rPr>
          <w:b/>
          <w:spacing w:val="-8"/>
          <w:sz w:val="20"/>
        </w:rPr>
        <w:t xml:space="preserve"> </w:t>
      </w:r>
      <w:r>
        <w:rPr>
          <w:b/>
          <w:sz w:val="20"/>
        </w:rPr>
        <w:t>Remuneration</w:t>
      </w:r>
      <w:r>
        <w:rPr>
          <w:b/>
          <w:spacing w:val="-8"/>
          <w:sz w:val="20"/>
        </w:rPr>
        <w:t xml:space="preserve"> </w:t>
      </w:r>
      <w:r>
        <w:rPr>
          <w:b/>
          <w:sz w:val="20"/>
        </w:rPr>
        <w:t>Policy</w:t>
      </w:r>
      <w:r>
        <w:rPr>
          <w:b/>
          <w:spacing w:val="-9"/>
          <w:sz w:val="20"/>
        </w:rPr>
        <w:t xml:space="preserve"> </w:t>
      </w:r>
      <w:r>
        <w:rPr>
          <w:b/>
          <w:spacing w:val="-2"/>
          <w:sz w:val="20"/>
        </w:rPr>
        <w:t>(continued)</w:t>
      </w:r>
    </w:p>
    <w:p w14:paraId="0F7A3BBD" w14:textId="77777777" w:rsidR="00AC6F3C" w:rsidRDefault="00AC6F3C">
      <w:pPr>
        <w:pStyle w:val="BodyText"/>
        <w:spacing w:before="10"/>
        <w:rPr>
          <w:b/>
        </w:rPr>
      </w:pPr>
    </w:p>
    <w:p w14:paraId="5F527D27" w14:textId="77777777" w:rsidR="00AC6F3C" w:rsidRDefault="00570E88">
      <w:pPr>
        <w:ind w:left="958"/>
        <w:rPr>
          <w:b/>
          <w:sz w:val="18"/>
        </w:rPr>
      </w:pPr>
      <w:r>
        <w:rPr>
          <w:b/>
          <w:sz w:val="18"/>
        </w:rPr>
        <w:t>Performance</w:t>
      </w:r>
      <w:r>
        <w:rPr>
          <w:b/>
          <w:spacing w:val="-7"/>
          <w:sz w:val="18"/>
        </w:rPr>
        <w:t xml:space="preserve"> </w:t>
      </w:r>
      <w:r>
        <w:rPr>
          <w:b/>
          <w:spacing w:val="-2"/>
          <w:sz w:val="18"/>
        </w:rPr>
        <w:t>payments</w:t>
      </w:r>
    </w:p>
    <w:p w14:paraId="7A98238C" w14:textId="77777777" w:rsidR="00AC6F3C" w:rsidRDefault="00AC6F3C">
      <w:pPr>
        <w:pStyle w:val="BodyText"/>
        <w:spacing w:before="9"/>
        <w:rPr>
          <w:b/>
        </w:rPr>
      </w:pPr>
    </w:p>
    <w:p w14:paraId="39989EA8" w14:textId="77777777" w:rsidR="00AC6F3C" w:rsidRDefault="00570E88">
      <w:pPr>
        <w:ind w:left="958" w:right="468"/>
        <w:rPr>
          <w:sz w:val="18"/>
        </w:rPr>
      </w:pPr>
      <w:r>
        <w:rPr>
          <w:sz w:val="18"/>
        </w:rPr>
        <w:t>The</w:t>
      </w:r>
      <w:r>
        <w:rPr>
          <w:spacing w:val="-2"/>
          <w:sz w:val="18"/>
        </w:rPr>
        <w:t xml:space="preserve"> </w:t>
      </w:r>
      <w:r>
        <w:rPr>
          <w:sz w:val="18"/>
        </w:rPr>
        <w:t>remuneration</w:t>
      </w:r>
      <w:r>
        <w:rPr>
          <w:spacing w:val="-2"/>
          <w:sz w:val="18"/>
        </w:rPr>
        <w:t xml:space="preserve"> </w:t>
      </w:r>
      <w:r>
        <w:rPr>
          <w:sz w:val="18"/>
        </w:rPr>
        <w:t>package</w:t>
      </w:r>
      <w:r>
        <w:rPr>
          <w:spacing w:val="-2"/>
          <w:sz w:val="18"/>
        </w:rPr>
        <w:t xml:space="preserve"> </w:t>
      </w:r>
      <w:r>
        <w:rPr>
          <w:sz w:val="18"/>
        </w:rPr>
        <w:t>for</w:t>
      </w:r>
      <w:r>
        <w:rPr>
          <w:spacing w:val="-5"/>
          <w:sz w:val="18"/>
        </w:rPr>
        <w:t xml:space="preserve"> </w:t>
      </w:r>
      <w:r>
        <w:rPr>
          <w:sz w:val="18"/>
        </w:rPr>
        <w:t>the</w:t>
      </w:r>
      <w:r>
        <w:rPr>
          <w:spacing w:val="-2"/>
          <w:sz w:val="18"/>
        </w:rPr>
        <w:t xml:space="preserve"> </w:t>
      </w:r>
      <w:r>
        <w:rPr>
          <w:sz w:val="18"/>
        </w:rPr>
        <w:t>Chief</w:t>
      </w:r>
      <w:r>
        <w:rPr>
          <w:spacing w:val="-3"/>
          <w:sz w:val="18"/>
        </w:rPr>
        <w:t xml:space="preserve"> </w:t>
      </w:r>
      <w:r>
        <w:rPr>
          <w:sz w:val="18"/>
        </w:rPr>
        <w:t>Executive</w:t>
      </w:r>
      <w:r>
        <w:rPr>
          <w:spacing w:val="-2"/>
          <w:sz w:val="18"/>
        </w:rPr>
        <w:t xml:space="preserve"> </w:t>
      </w:r>
      <w:r>
        <w:rPr>
          <w:sz w:val="18"/>
        </w:rPr>
        <w:t>Officer</w:t>
      </w:r>
      <w:r>
        <w:rPr>
          <w:spacing w:val="-5"/>
          <w:sz w:val="18"/>
        </w:rPr>
        <w:t xml:space="preserve"> </w:t>
      </w:r>
      <w:r>
        <w:rPr>
          <w:sz w:val="18"/>
        </w:rPr>
        <w:t>provides</w:t>
      </w:r>
      <w:r>
        <w:rPr>
          <w:spacing w:val="-4"/>
          <w:sz w:val="18"/>
        </w:rPr>
        <w:t xml:space="preserve"> </w:t>
      </w:r>
      <w:r>
        <w:rPr>
          <w:sz w:val="18"/>
        </w:rPr>
        <w:t>for</w:t>
      </w:r>
      <w:r>
        <w:rPr>
          <w:spacing w:val="-3"/>
          <w:sz w:val="18"/>
        </w:rPr>
        <w:t xml:space="preserve"> </w:t>
      </w:r>
      <w:r>
        <w:rPr>
          <w:sz w:val="18"/>
        </w:rPr>
        <w:t>performance</w:t>
      </w:r>
      <w:r>
        <w:rPr>
          <w:spacing w:val="-2"/>
          <w:sz w:val="18"/>
        </w:rPr>
        <w:t xml:space="preserve"> </w:t>
      </w:r>
      <w:r>
        <w:rPr>
          <w:sz w:val="18"/>
        </w:rPr>
        <w:t>payments</w:t>
      </w:r>
      <w:r>
        <w:rPr>
          <w:spacing w:val="-2"/>
          <w:sz w:val="18"/>
        </w:rPr>
        <w:t xml:space="preserve"> </w:t>
      </w:r>
      <w:r>
        <w:rPr>
          <w:sz w:val="18"/>
        </w:rPr>
        <w:t>to</w:t>
      </w:r>
      <w:r>
        <w:rPr>
          <w:spacing w:val="-2"/>
          <w:sz w:val="18"/>
        </w:rPr>
        <w:t xml:space="preserve"> </w:t>
      </w:r>
      <w:r>
        <w:rPr>
          <w:sz w:val="18"/>
        </w:rPr>
        <w:t>be</w:t>
      </w:r>
      <w:r>
        <w:rPr>
          <w:spacing w:val="-5"/>
          <w:sz w:val="18"/>
        </w:rPr>
        <w:t xml:space="preserve"> </w:t>
      </w:r>
      <w:r>
        <w:rPr>
          <w:sz w:val="18"/>
        </w:rPr>
        <w:t>made conditional on the achievement of key performance indicators (KPIs) specified in the CEO’s employment contract and subject to discretionary approval by the Council.</w:t>
      </w:r>
    </w:p>
    <w:p w14:paraId="2F0B62FB" w14:textId="77777777" w:rsidR="00AC6F3C" w:rsidRDefault="00AC6F3C">
      <w:pPr>
        <w:pStyle w:val="BodyText"/>
        <w:spacing w:before="10"/>
      </w:pPr>
    </w:p>
    <w:p w14:paraId="62E109C1" w14:textId="77777777" w:rsidR="00AC6F3C" w:rsidRDefault="00570E88">
      <w:pPr>
        <w:spacing w:before="1"/>
        <w:ind w:left="958" w:right="468"/>
        <w:rPr>
          <w:sz w:val="18"/>
        </w:rPr>
      </w:pPr>
      <w:r>
        <w:rPr>
          <w:sz w:val="18"/>
        </w:rPr>
        <w:t>Achievement</w:t>
      </w:r>
      <w:r>
        <w:rPr>
          <w:spacing w:val="-4"/>
          <w:sz w:val="18"/>
        </w:rPr>
        <w:t xml:space="preserve"> </w:t>
      </w:r>
      <w:r>
        <w:rPr>
          <w:sz w:val="18"/>
        </w:rPr>
        <w:t>of</w:t>
      </w:r>
      <w:r>
        <w:rPr>
          <w:spacing w:val="-2"/>
          <w:sz w:val="18"/>
        </w:rPr>
        <w:t xml:space="preserve"> </w:t>
      </w:r>
      <w:r>
        <w:rPr>
          <w:sz w:val="18"/>
        </w:rPr>
        <w:t>each</w:t>
      </w:r>
      <w:r>
        <w:rPr>
          <w:spacing w:val="-1"/>
          <w:sz w:val="18"/>
        </w:rPr>
        <w:t xml:space="preserve"> </w:t>
      </w:r>
      <w:r>
        <w:rPr>
          <w:sz w:val="18"/>
        </w:rPr>
        <w:t>KPI</w:t>
      </w:r>
      <w:r>
        <w:rPr>
          <w:spacing w:val="-2"/>
          <w:sz w:val="18"/>
        </w:rPr>
        <w:t xml:space="preserve"> </w:t>
      </w:r>
      <w:r>
        <w:rPr>
          <w:sz w:val="18"/>
        </w:rPr>
        <w:t>is</w:t>
      </w:r>
      <w:r>
        <w:rPr>
          <w:spacing w:val="-1"/>
          <w:sz w:val="18"/>
        </w:rPr>
        <w:t xml:space="preserve"> </w:t>
      </w:r>
      <w:r>
        <w:rPr>
          <w:sz w:val="18"/>
        </w:rPr>
        <w:t>measured</w:t>
      </w:r>
      <w:r>
        <w:rPr>
          <w:spacing w:val="-1"/>
          <w:sz w:val="18"/>
        </w:rPr>
        <w:t xml:space="preserve"> </w:t>
      </w:r>
      <w:r>
        <w:rPr>
          <w:sz w:val="18"/>
        </w:rPr>
        <w:t>on</w:t>
      </w:r>
      <w:r>
        <w:rPr>
          <w:spacing w:val="-1"/>
          <w:sz w:val="18"/>
        </w:rPr>
        <w:t xml:space="preserve"> </w:t>
      </w:r>
      <w:r>
        <w:rPr>
          <w:sz w:val="18"/>
        </w:rPr>
        <w:t>an</w:t>
      </w:r>
      <w:r>
        <w:rPr>
          <w:spacing w:val="-4"/>
          <w:sz w:val="18"/>
        </w:rPr>
        <w:t xml:space="preserve"> </w:t>
      </w:r>
      <w:r>
        <w:rPr>
          <w:sz w:val="18"/>
        </w:rPr>
        <w:t>annual</w:t>
      </w:r>
      <w:r>
        <w:rPr>
          <w:spacing w:val="-4"/>
          <w:sz w:val="18"/>
        </w:rPr>
        <w:t xml:space="preserve"> </w:t>
      </w:r>
      <w:r>
        <w:rPr>
          <w:sz w:val="18"/>
        </w:rPr>
        <w:t>basis.</w:t>
      </w:r>
      <w:r>
        <w:rPr>
          <w:spacing w:val="-2"/>
          <w:sz w:val="18"/>
        </w:rPr>
        <w:t xml:space="preserve"> </w:t>
      </w:r>
      <w:r>
        <w:rPr>
          <w:sz w:val="18"/>
        </w:rPr>
        <w:t>The</w:t>
      </w:r>
      <w:r>
        <w:rPr>
          <w:spacing w:val="-1"/>
          <w:sz w:val="18"/>
        </w:rPr>
        <w:t xml:space="preserve"> </w:t>
      </w:r>
      <w:r>
        <w:rPr>
          <w:sz w:val="18"/>
        </w:rPr>
        <w:t>Council</w:t>
      </w:r>
      <w:r>
        <w:rPr>
          <w:spacing w:val="-1"/>
          <w:sz w:val="18"/>
        </w:rPr>
        <w:t xml:space="preserve"> </w:t>
      </w:r>
      <w:r>
        <w:rPr>
          <w:sz w:val="18"/>
        </w:rPr>
        <w:t>retains</w:t>
      </w:r>
      <w:r>
        <w:rPr>
          <w:spacing w:val="-1"/>
          <w:sz w:val="18"/>
        </w:rPr>
        <w:t xml:space="preserve"> </w:t>
      </w:r>
      <w:r>
        <w:rPr>
          <w:sz w:val="18"/>
        </w:rPr>
        <w:t>discretion</w:t>
      </w:r>
      <w:r>
        <w:rPr>
          <w:spacing w:val="-1"/>
          <w:sz w:val="18"/>
        </w:rPr>
        <w:t xml:space="preserve"> </w:t>
      </w:r>
      <w:r>
        <w:rPr>
          <w:sz w:val="18"/>
        </w:rPr>
        <w:t>as</w:t>
      </w:r>
      <w:r>
        <w:rPr>
          <w:spacing w:val="-1"/>
          <w:sz w:val="18"/>
        </w:rPr>
        <w:t xml:space="preserve"> </w:t>
      </w:r>
      <w:r>
        <w:rPr>
          <w:sz w:val="18"/>
        </w:rPr>
        <w:t>to</w:t>
      </w:r>
      <w:r>
        <w:rPr>
          <w:spacing w:val="-1"/>
          <w:sz w:val="18"/>
        </w:rPr>
        <w:t xml:space="preserve"> </w:t>
      </w:r>
      <w:r>
        <w:rPr>
          <w:sz w:val="18"/>
        </w:rPr>
        <w:t>whether performance payments are made.</w:t>
      </w:r>
    </w:p>
    <w:p w14:paraId="6E401165" w14:textId="77777777" w:rsidR="00AC6F3C" w:rsidRDefault="00AC6F3C">
      <w:pPr>
        <w:pStyle w:val="BodyText"/>
        <w:spacing w:before="8"/>
      </w:pPr>
    </w:p>
    <w:p w14:paraId="2AE83931" w14:textId="77777777" w:rsidR="00AC6F3C" w:rsidRDefault="00570E88">
      <w:pPr>
        <w:ind w:left="958" w:right="990" w:hanging="1"/>
        <w:rPr>
          <w:sz w:val="18"/>
        </w:rPr>
      </w:pPr>
      <w:r>
        <w:rPr>
          <w:sz w:val="18"/>
        </w:rPr>
        <w:t>There</w:t>
      </w:r>
      <w:r>
        <w:rPr>
          <w:spacing w:val="-2"/>
          <w:sz w:val="18"/>
        </w:rPr>
        <w:t xml:space="preserve"> </w:t>
      </w:r>
      <w:r>
        <w:rPr>
          <w:sz w:val="18"/>
        </w:rPr>
        <w:t>was</w:t>
      </w:r>
      <w:r>
        <w:rPr>
          <w:spacing w:val="-2"/>
          <w:sz w:val="18"/>
        </w:rPr>
        <w:t xml:space="preserve"> </w:t>
      </w:r>
      <w:r>
        <w:rPr>
          <w:sz w:val="18"/>
        </w:rPr>
        <w:t>$30,000</w:t>
      </w:r>
      <w:r>
        <w:rPr>
          <w:spacing w:val="-2"/>
          <w:sz w:val="18"/>
        </w:rPr>
        <w:t xml:space="preserve"> </w:t>
      </w:r>
      <w:r>
        <w:rPr>
          <w:sz w:val="18"/>
        </w:rPr>
        <w:t>expensed</w:t>
      </w:r>
      <w:r>
        <w:rPr>
          <w:spacing w:val="-4"/>
          <w:sz w:val="18"/>
        </w:rPr>
        <w:t xml:space="preserve"> </w:t>
      </w:r>
      <w:r>
        <w:rPr>
          <w:sz w:val="18"/>
        </w:rPr>
        <w:t>in</w:t>
      </w:r>
      <w:r>
        <w:rPr>
          <w:spacing w:val="-2"/>
          <w:sz w:val="18"/>
        </w:rPr>
        <w:t xml:space="preserve"> </w:t>
      </w:r>
      <w:r>
        <w:rPr>
          <w:sz w:val="18"/>
        </w:rPr>
        <w:t>2022-23</w:t>
      </w:r>
      <w:r>
        <w:rPr>
          <w:spacing w:val="-2"/>
          <w:sz w:val="18"/>
        </w:rPr>
        <w:t xml:space="preserve"> </w:t>
      </w:r>
      <w:r>
        <w:rPr>
          <w:sz w:val="18"/>
        </w:rPr>
        <w:t>(2021-22:</w:t>
      </w:r>
      <w:r>
        <w:rPr>
          <w:spacing w:val="-3"/>
          <w:sz w:val="18"/>
        </w:rPr>
        <w:t xml:space="preserve"> </w:t>
      </w:r>
      <w:r>
        <w:rPr>
          <w:sz w:val="18"/>
        </w:rPr>
        <w:t>$30,000)</w:t>
      </w:r>
      <w:r>
        <w:rPr>
          <w:spacing w:val="-4"/>
          <w:sz w:val="18"/>
        </w:rPr>
        <w:t xml:space="preserve"> </w:t>
      </w:r>
      <w:r>
        <w:rPr>
          <w:sz w:val="18"/>
        </w:rPr>
        <w:t>for</w:t>
      </w:r>
      <w:r>
        <w:rPr>
          <w:spacing w:val="-3"/>
          <w:sz w:val="18"/>
        </w:rPr>
        <w:t xml:space="preserve"> </w:t>
      </w:r>
      <w:r>
        <w:rPr>
          <w:sz w:val="18"/>
        </w:rPr>
        <w:t>bonus</w:t>
      </w:r>
      <w:r>
        <w:rPr>
          <w:spacing w:val="-3"/>
          <w:sz w:val="18"/>
        </w:rPr>
        <w:t xml:space="preserve"> </w:t>
      </w:r>
      <w:r>
        <w:rPr>
          <w:sz w:val="18"/>
        </w:rPr>
        <w:t>paid</w:t>
      </w:r>
      <w:r>
        <w:rPr>
          <w:spacing w:val="-3"/>
          <w:sz w:val="18"/>
        </w:rPr>
        <w:t xml:space="preserve"> </w:t>
      </w:r>
      <w:r>
        <w:rPr>
          <w:sz w:val="18"/>
        </w:rPr>
        <w:t>or</w:t>
      </w:r>
      <w:r>
        <w:rPr>
          <w:spacing w:val="-4"/>
          <w:sz w:val="18"/>
        </w:rPr>
        <w:t xml:space="preserve"> </w:t>
      </w:r>
      <w:r>
        <w:rPr>
          <w:sz w:val="18"/>
        </w:rPr>
        <w:t>accrued</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Chief Executive Officer.</w:t>
      </w:r>
    </w:p>
    <w:p w14:paraId="29E6DD0D" w14:textId="77777777" w:rsidR="00AC6F3C" w:rsidRDefault="00AC6F3C">
      <w:pPr>
        <w:rPr>
          <w:sz w:val="18"/>
        </w:rPr>
        <w:sectPr w:rsidR="00AC6F3C">
          <w:pgSz w:w="11910" w:h="16840"/>
          <w:pgMar w:top="2020" w:right="1160" w:bottom="520" w:left="460" w:header="1228" w:footer="336" w:gutter="0"/>
          <w:cols w:space="720"/>
        </w:sectPr>
      </w:pPr>
    </w:p>
    <w:p w14:paraId="18BB03CE" w14:textId="77777777" w:rsidR="00AC6F3C" w:rsidRDefault="00AC6F3C">
      <w:pPr>
        <w:pStyle w:val="BodyText"/>
      </w:pPr>
    </w:p>
    <w:p w14:paraId="598DC5A2" w14:textId="77777777" w:rsidR="00AC6F3C" w:rsidRDefault="00570E88">
      <w:pPr>
        <w:tabs>
          <w:tab w:val="left" w:pos="1666"/>
        </w:tabs>
        <w:spacing w:before="249"/>
        <w:ind w:left="958"/>
        <w:rPr>
          <w:b/>
          <w:sz w:val="28"/>
        </w:rPr>
      </w:pPr>
      <w:r>
        <w:rPr>
          <w:b/>
          <w:spacing w:val="-5"/>
          <w:sz w:val="28"/>
        </w:rPr>
        <w:t>E2</w:t>
      </w:r>
      <w:r>
        <w:rPr>
          <w:b/>
          <w:sz w:val="28"/>
        </w:rPr>
        <w:tab/>
      </w:r>
      <w:r>
        <w:rPr>
          <w:b/>
          <w:spacing w:val="-4"/>
          <w:sz w:val="28"/>
        </w:rPr>
        <w:t>RELATED</w:t>
      </w:r>
      <w:r>
        <w:rPr>
          <w:b/>
          <w:spacing w:val="-5"/>
          <w:sz w:val="28"/>
        </w:rPr>
        <w:t xml:space="preserve"> </w:t>
      </w:r>
      <w:r>
        <w:rPr>
          <w:b/>
          <w:spacing w:val="-4"/>
          <w:sz w:val="28"/>
        </w:rPr>
        <w:t>PARTY</w:t>
      </w:r>
      <w:r>
        <w:rPr>
          <w:b/>
          <w:spacing w:val="-8"/>
          <w:sz w:val="28"/>
        </w:rPr>
        <w:t xml:space="preserve"> </w:t>
      </w:r>
      <w:r>
        <w:rPr>
          <w:b/>
          <w:spacing w:val="-4"/>
          <w:sz w:val="28"/>
        </w:rPr>
        <w:t>TRANSACTIONS</w:t>
      </w:r>
    </w:p>
    <w:p w14:paraId="2EE3C2DA" w14:textId="77777777" w:rsidR="00AC6F3C" w:rsidRDefault="00570E88">
      <w:pPr>
        <w:spacing w:before="239"/>
        <w:ind w:left="958" w:right="990"/>
        <w:rPr>
          <w:sz w:val="18"/>
        </w:rPr>
      </w:pPr>
      <w:r>
        <w:rPr>
          <w:sz w:val="18"/>
        </w:rPr>
        <w:t>The</w:t>
      </w:r>
      <w:r>
        <w:rPr>
          <w:spacing w:val="-2"/>
          <w:sz w:val="18"/>
        </w:rPr>
        <w:t xml:space="preserve"> </w:t>
      </w:r>
      <w:r>
        <w:rPr>
          <w:sz w:val="18"/>
        </w:rPr>
        <w:t>following</w:t>
      </w:r>
      <w:r>
        <w:rPr>
          <w:spacing w:val="-5"/>
          <w:sz w:val="18"/>
        </w:rPr>
        <w:t xml:space="preserve"> </w:t>
      </w:r>
      <w:r>
        <w:rPr>
          <w:sz w:val="18"/>
        </w:rPr>
        <w:t>significant</w:t>
      </w:r>
      <w:r>
        <w:rPr>
          <w:spacing w:val="-3"/>
          <w:sz w:val="18"/>
        </w:rPr>
        <w:t xml:space="preserve"> </w:t>
      </w:r>
      <w:r>
        <w:rPr>
          <w:sz w:val="18"/>
        </w:rPr>
        <w:t>transactions</w:t>
      </w:r>
      <w:r>
        <w:rPr>
          <w:spacing w:val="-4"/>
          <w:sz w:val="18"/>
        </w:rPr>
        <w:t xml:space="preserve"> </w:t>
      </w:r>
      <w:r>
        <w:rPr>
          <w:sz w:val="18"/>
        </w:rPr>
        <w:t>took</w:t>
      </w:r>
      <w:r>
        <w:rPr>
          <w:spacing w:val="-2"/>
          <w:sz w:val="18"/>
        </w:rPr>
        <w:t xml:space="preserve"> </w:t>
      </w:r>
      <w:r>
        <w:rPr>
          <w:sz w:val="18"/>
        </w:rPr>
        <w:t>place</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Consolidated</w:t>
      </w:r>
      <w:r>
        <w:rPr>
          <w:spacing w:val="-2"/>
          <w:sz w:val="18"/>
        </w:rPr>
        <w:t xml:space="preserve"> </w:t>
      </w:r>
      <w:r>
        <w:rPr>
          <w:sz w:val="18"/>
        </w:rPr>
        <w:t>Group</w:t>
      </w:r>
      <w:r>
        <w:rPr>
          <w:spacing w:val="-5"/>
          <w:sz w:val="18"/>
        </w:rPr>
        <w:t xml:space="preserve"> </w:t>
      </w:r>
      <w:r>
        <w:rPr>
          <w:sz w:val="18"/>
        </w:rPr>
        <w:t>and</w:t>
      </w:r>
      <w:r>
        <w:rPr>
          <w:spacing w:val="-5"/>
          <w:sz w:val="18"/>
        </w:rPr>
        <w:t xml:space="preserve"> </w:t>
      </w:r>
      <w:r>
        <w:rPr>
          <w:sz w:val="18"/>
        </w:rPr>
        <w:t>related</w:t>
      </w:r>
      <w:r>
        <w:rPr>
          <w:spacing w:val="-2"/>
          <w:sz w:val="18"/>
        </w:rPr>
        <w:t xml:space="preserve"> </w:t>
      </w:r>
      <w:r>
        <w:rPr>
          <w:sz w:val="18"/>
        </w:rPr>
        <w:t>parties during the financial period on commercial terms agreed between the parties concerned.</w:t>
      </w:r>
    </w:p>
    <w:p w14:paraId="72B6E75B" w14:textId="77777777" w:rsidR="00AC6F3C" w:rsidRDefault="00AC6F3C">
      <w:pPr>
        <w:pStyle w:val="BodyText"/>
        <w:spacing w:before="11"/>
      </w:pPr>
    </w:p>
    <w:tbl>
      <w:tblPr>
        <w:tblW w:w="0" w:type="auto"/>
        <w:tblInd w:w="1039" w:type="dxa"/>
        <w:tblLayout w:type="fixed"/>
        <w:tblCellMar>
          <w:left w:w="0" w:type="dxa"/>
          <w:right w:w="0" w:type="dxa"/>
        </w:tblCellMar>
        <w:tblLook w:val="01E0" w:firstRow="1" w:lastRow="1" w:firstColumn="1" w:lastColumn="1" w:noHBand="0" w:noVBand="0"/>
      </w:tblPr>
      <w:tblGrid>
        <w:gridCol w:w="5349"/>
        <w:gridCol w:w="1137"/>
        <w:gridCol w:w="1115"/>
      </w:tblGrid>
      <w:tr w:rsidR="00AC6F3C" w14:paraId="193CFE85" w14:textId="77777777">
        <w:trPr>
          <w:trHeight w:val="584"/>
        </w:trPr>
        <w:tc>
          <w:tcPr>
            <w:tcW w:w="7601" w:type="dxa"/>
            <w:gridSpan w:val="3"/>
            <w:tcBorders>
              <w:top w:val="single" w:sz="6" w:space="0" w:color="000000"/>
              <w:left w:val="single" w:sz="6" w:space="0" w:color="000000"/>
              <w:bottom w:val="single" w:sz="6" w:space="0" w:color="000000"/>
              <w:right w:val="single" w:sz="6" w:space="0" w:color="000000"/>
            </w:tcBorders>
            <w:shd w:val="clear" w:color="auto" w:fill="BEBEBE"/>
          </w:tcPr>
          <w:p w14:paraId="6DD676CE" w14:textId="77777777" w:rsidR="00AC6F3C" w:rsidRDefault="00570E88">
            <w:pPr>
              <w:pStyle w:val="TableParagraph"/>
              <w:tabs>
                <w:tab w:val="left" w:pos="1122"/>
              </w:tabs>
              <w:spacing w:before="41"/>
              <w:ind w:right="20"/>
              <w:jc w:val="right"/>
              <w:rPr>
                <w:b/>
                <w:sz w:val="18"/>
              </w:rPr>
            </w:pPr>
            <w:r>
              <w:rPr>
                <w:b/>
                <w:spacing w:val="-4"/>
                <w:sz w:val="18"/>
              </w:rPr>
              <w:t>2023</w:t>
            </w:r>
            <w:r>
              <w:rPr>
                <w:b/>
                <w:sz w:val="18"/>
              </w:rPr>
              <w:tab/>
            </w:r>
            <w:r>
              <w:rPr>
                <w:b/>
                <w:spacing w:val="-4"/>
                <w:sz w:val="18"/>
              </w:rPr>
              <w:t>2022</w:t>
            </w:r>
          </w:p>
          <w:p w14:paraId="5798BAA4" w14:textId="77777777" w:rsidR="00AC6F3C" w:rsidRDefault="00570E88">
            <w:pPr>
              <w:pStyle w:val="TableParagraph"/>
              <w:tabs>
                <w:tab w:val="left" w:pos="1122"/>
              </w:tabs>
              <w:spacing w:before="92"/>
              <w:ind w:right="24"/>
              <w:jc w:val="right"/>
              <w:rPr>
                <w:b/>
                <w:sz w:val="18"/>
              </w:rPr>
            </w:pPr>
            <w:r>
              <w:rPr>
                <w:b/>
                <w:spacing w:val="-10"/>
                <w:sz w:val="18"/>
              </w:rPr>
              <w:t>$</w:t>
            </w:r>
            <w:r>
              <w:rPr>
                <w:b/>
                <w:sz w:val="18"/>
              </w:rPr>
              <w:tab/>
            </w:r>
            <w:r>
              <w:rPr>
                <w:b/>
                <w:spacing w:val="-10"/>
                <w:sz w:val="18"/>
              </w:rPr>
              <w:t>$</w:t>
            </w:r>
          </w:p>
        </w:tc>
      </w:tr>
      <w:tr w:rsidR="00AC6F3C" w14:paraId="213AC9A1" w14:textId="77777777">
        <w:trPr>
          <w:trHeight w:val="237"/>
        </w:trPr>
        <w:tc>
          <w:tcPr>
            <w:tcW w:w="5349" w:type="dxa"/>
            <w:tcBorders>
              <w:top w:val="single" w:sz="6" w:space="0" w:color="000000"/>
              <w:left w:val="single" w:sz="6" w:space="0" w:color="000000"/>
            </w:tcBorders>
          </w:tcPr>
          <w:p w14:paraId="53FCFF18" w14:textId="77777777" w:rsidR="00AC6F3C" w:rsidRDefault="00570E88">
            <w:pPr>
              <w:pStyle w:val="TableParagraph"/>
              <w:spacing w:before="11" w:line="206" w:lineRule="exact"/>
              <w:ind w:left="37"/>
              <w:rPr>
                <w:b/>
                <w:sz w:val="18"/>
              </w:rPr>
            </w:pPr>
            <w:r>
              <w:rPr>
                <w:b/>
                <w:spacing w:val="-2"/>
                <w:sz w:val="18"/>
              </w:rPr>
              <w:t>Management</w:t>
            </w:r>
            <w:r>
              <w:rPr>
                <w:b/>
                <w:spacing w:val="-1"/>
                <w:sz w:val="18"/>
              </w:rPr>
              <w:t xml:space="preserve"> </w:t>
            </w:r>
            <w:r>
              <w:rPr>
                <w:b/>
                <w:spacing w:val="-2"/>
                <w:sz w:val="18"/>
              </w:rPr>
              <w:t>fees</w:t>
            </w:r>
            <w:r>
              <w:rPr>
                <w:b/>
                <w:spacing w:val="5"/>
                <w:sz w:val="18"/>
              </w:rPr>
              <w:t xml:space="preserve"> </w:t>
            </w:r>
            <w:r>
              <w:rPr>
                <w:b/>
                <w:spacing w:val="-2"/>
                <w:sz w:val="18"/>
              </w:rPr>
              <w:t>and</w:t>
            </w:r>
            <w:r>
              <w:rPr>
                <w:b/>
                <w:spacing w:val="-6"/>
                <w:sz w:val="18"/>
              </w:rPr>
              <w:t xml:space="preserve"> </w:t>
            </w:r>
            <w:r>
              <w:rPr>
                <w:b/>
                <w:spacing w:val="-2"/>
                <w:sz w:val="18"/>
              </w:rPr>
              <w:t>recovery</w:t>
            </w:r>
            <w:r>
              <w:rPr>
                <w:b/>
                <w:spacing w:val="-12"/>
                <w:sz w:val="18"/>
              </w:rPr>
              <w:t xml:space="preserve"> </w:t>
            </w:r>
            <w:r>
              <w:rPr>
                <w:b/>
                <w:spacing w:val="-2"/>
                <w:sz w:val="18"/>
              </w:rPr>
              <w:t>expenditure</w:t>
            </w:r>
            <w:r>
              <w:rPr>
                <w:b/>
                <w:spacing w:val="5"/>
                <w:sz w:val="18"/>
              </w:rPr>
              <w:t xml:space="preserve"> </w:t>
            </w:r>
            <w:r>
              <w:rPr>
                <w:b/>
                <w:spacing w:val="-2"/>
                <w:sz w:val="18"/>
              </w:rPr>
              <w:t>paid</w:t>
            </w:r>
            <w:r>
              <w:rPr>
                <w:b/>
                <w:spacing w:val="-6"/>
                <w:sz w:val="18"/>
              </w:rPr>
              <w:t xml:space="preserve"> </w:t>
            </w:r>
            <w:r>
              <w:rPr>
                <w:b/>
                <w:spacing w:val="-2"/>
                <w:sz w:val="18"/>
              </w:rPr>
              <w:t>to</w:t>
            </w:r>
            <w:r>
              <w:rPr>
                <w:b/>
                <w:spacing w:val="-6"/>
                <w:sz w:val="18"/>
              </w:rPr>
              <w:t xml:space="preserve"> </w:t>
            </w:r>
            <w:r>
              <w:rPr>
                <w:b/>
                <w:spacing w:val="-2"/>
                <w:sz w:val="18"/>
              </w:rPr>
              <w:t>the</w:t>
            </w:r>
            <w:r>
              <w:rPr>
                <w:b/>
                <w:spacing w:val="5"/>
                <w:sz w:val="18"/>
              </w:rPr>
              <w:t xml:space="preserve"> </w:t>
            </w:r>
            <w:r>
              <w:rPr>
                <w:b/>
                <w:spacing w:val="-2"/>
                <w:sz w:val="18"/>
              </w:rPr>
              <w:t>parent</w:t>
            </w:r>
          </w:p>
        </w:tc>
        <w:tc>
          <w:tcPr>
            <w:tcW w:w="1137" w:type="dxa"/>
            <w:tcBorders>
              <w:top w:val="single" w:sz="6" w:space="0" w:color="000000"/>
            </w:tcBorders>
            <w:shd w:val="clear" w:color="auto" w:fill="F1F1F1"/>
          </w:tcPr>
          <w:p w14:paraId="2BD32033" w14:textId="77777777" w:rsidR="00AC6F3C" w:rsidRDefault="00AC6F3C">
            <w:pPr>
              <w:pStyle w:val="TableParagraph"/>
              <w:rPr>
                <w:rFonts w:ascii="Times New Roman"/>
                <w:sz w:val="16"/>
              </w:rPr>
            </w:pPr>
          </w:p>
        </w:tc>
        <w:tc>
          <w:tcPr>
            <w:tcW w:w="1115" w:type="dxa"/>
            <w:tcBorders>
              <w:top w:val="single" w:sz="6" w:space="0" w:color="000000"/>
              <w:right w:val="single" w:sz="6" w:space="0" w:color="000000"/>
            </w:tcBorders>
          </w:tcPr>
          <w:p w14:paraId="5D870E41" w14:textId="77777777" w:rsidR="00AC6F3C" w:rsidRDefault="00AC6F3C">
            <w:pPr>
              <w:pStyle w:val="TableParagraph"/>
              <w:rPr>
                <w:rFonts w:ascii="Times New Roman"/>
                <w:sz w:val="16"/>
              </w:rPr>
            </w:pPr>
          </w:p>
        </w:tc>
      </w:tr>
      <w:tr w:rsidR="00AC6F3C" w14:paraId="61C1E924" w14:textId="77777777">
        <w:trPr>
          <w:trHeight w:val="262"/>
        </w:trPr>
        <w:tc>
          <w:tcPr>
            <w:tcW w:w="5349" w:type="dxa"/>
            <w:tcBorders>
              <w:left w:val="single" w:sz="6" w:space="0" w:color="000000"/>
            </w:tcBorders>
          </w:tcPr>
          <w:p w14:paraId="6755DC2F" w14:textId="77777777" w:rsidR="00AC6F3C" w:rsidRDefault="00570E88">
            <w:pPr>
              <w:pStyle w:val="TableParagraph"/>
              <w:spacing w:before="13"/>
              <w:ind w:left="37"/>
              <w:rPr>
                <w:b/>
                <w:sz w:val="18"/>
              </w:rPr>
            </w:pPr>
            <w:r>
              <w:rPr>
                <w:b/>
                <w:spacing w:val="-2"/>
                <w:sz w:val="18"/>
              </w:rPr>
              <w:t>entity</w:t>
            </w:r>
            <w:r>
              <w:rPr>
                <w:b/>
                <w:spacing w:val="-15"/>
                <w:sz w:val="18"/>
              </w:rPr>
              <w:t xml:space="preserve"> </w:t>
            </w:r>
            <w:r>
              <w:rPr>
                <w:b/>
                <w:spacing w:val="-5"/>
                <w:sz w:val="18"/>
              </w:rPr>
              <w:t>by:</w:t>
            </w:r>
          </w:p>
        </w:tc>
        <w:tc>
          <w:tcPr>
            <w:tcW w:w="1137" w:type="dxa"/>
            <w:shd w:val="clear" w:color="auto" w:fill="F1F1F1"/>
          </w:tcPr>
          <w:p w14:paraId="63ECE7D7" w14:textId="77777777" w:rsidR="00AC6F3C" w:rsidRDefault="00AC6F3C">
            <w:pPr>
              <w:pStyle w:val="TableParagraph"/>
              <w:rPr>
                <w:rFonts w:ascii="Times New Roman"/>
                <w:sz w:val="18"/>
              </w:rPr>
            </w:pPr>
          </w:p>
        </w:tc>
        <w:tc>
          <w:tcPr>
            <w:tcW w:w="1115" w:type="dxa"/>
            <w:tcBorders>
              <w:right w:val="single" w:sz="6" w:space="0" w:color="000000"/>
            </w:tcBorders>
          </w:tcPr>
          <w:p w14:paraId="12870B1C" w14:textId="77777777" w:rsidR="00AC6F3C" w:rsidRDefault="00AC6F3C">
            <w:pPr>
              <w:pStyle w:val="TableParagraph"/>
              <w:rPr>
                <w:rFonts w:ascii="Times New Roman"/>
                <w:sz w:val="18"/>
              </w:rPr>
            </w:pPr>
          </w:p>
        </w:tc>
      </w:tr>
      <w:tr w:rsidR="00AC6F3C" w14:paraId="78113E5C" w14:textId="77777777">
        <w:trPr>
          <w:trHeight w:val="292"/>
        </w:trPr>
        <w:tc>
          <w:tcPr>
            <w:tcW w:w="5349" w:type="dxa"/>
            <w:tcBorders>
              <w:left w:val="single" w:sz="6" w:space="0" w:color="000000"/>
            </w:tcBorders>
          </w:tcPr>
          <w:p w14:paraId="6719FE37" w14:textId="77777777" w:rsidR="00AC6F3C" w:rsidRDefault="00570E88">
            <w:pPr>
              <w:pStyle w:val="TableParagraph"/>
              <w:spacing w:before="36"/>
              <w:ind w:left="37"/>
              <w:rPr>
                <w:sz w:val="18"/>
              </w:rPr>
            </w:pPr>
            <w:r>
              <w:rPr>
                <w:sz w:val="18"/>
              </w:rPr>
              <w:t>Lexon</w:t>
            </w:r>
            <w:r>
              <w:rPr>
                <w:spacing w:val="-1"/>
                <w:sz w:val="18"/>
              </w:rPr>
              <w:t xml:space="preserve"> </w:t>
            </w:r>
            <w:r>
              <w:rPr>
                <w:sz w:val="18"/>
              </w:rPr>
              <w:t>Insurance</w:t>
            </w:r>
            <w:r>
              <w:rPr>
                <w:spacing w:val="-1"/>
                <w:sz w:val="18"/>
              </w:rPr>
              <w:t xml:space="preserve"> </w:t>
            </w:r>
            <w:r>
              <w:rPr>
                <w:sz w:val="18"/>
              </w:rPr>
              <w:t>Pte</w:t>
            </w:r>
            <w:r>
              <w:rPr>
                <w:spacing w:val="-1"/>
                <w:sz w:val="18"/>
              </w:rPr>
              <w:t xml:space="preserve"> </w:t>
            </w:r>
            <w:r>
              <w:rPr>
                <w:spacing w:val="-5"/>
                <w:sz w:val="18"/>
              </w:rPr>
              <w:t>Ltd</w:t>
            </w:r>
          </w:p>
        </w:tc>
        <w:tc>
          <w:tcPr>
            <w:tcW w:w="1137" w:type="dxa"/>
            <w:shd w:val="clear" w:color="auto" w:fill="F1F1F1"/>
          </w:tcPr>
          <w:p w14:paraId="6B3A72A6" w14:textId="77777777" w:rsidR="00AC6F3C" w:rsidRDefault="00570E88">
            <w:pPr>
              <w:pStyle w:val="TableParagraph"/>
              <w:spacing w:before="36"/>
              <w:ind w:right="94"/>
              <w:jc w:val="right"/>
              <w:rPr>
                <w:sz w:val="18"/>
              </w:rPr>
            </w:pPr>
            <w:r>
              <w:rPr>
                <w:spacing w:val="-2"/>
                <w:sz w:val="18"/>
              </w:rPr>
              <w:t>523,362</w:t>
            </w:r>
          </w:p>
        </w:tc>
        <w:tc>
          <w:tcPr>
            <w:tcW w:w="1115" w:type="dxa"/>
            <w:tcBorders>
              <w:right w:val="single" w:sz="6" w:space="0" w:color="000000"/>
            </w:tcBorders>
          </w:tcPr>
          <w:p w14:paraId="3C4D2F02" w14:textId="77777777" w:rsidR="00AC6F3C" w:rsidRDefault="00570E88">
            <w:pPr>
              <w:pStyle w:val="TableParagraph"/>
              <w:spacing w:before="36"/>
              <w:ind w:right="80"/>
              <w:jc w:val="right"/>
              <w:rPr>
                <w:sz w:val="18"/>
              </w:rPr>
            </w:pPr>
            <w:r>
              <w:rPr>
                <w:spacing w:val="-2"/>
                <w:sz w:val="18"/>
              </w:rPr>
              <w:t>508,118</w:t>
            </w:r>
          </w:p>
        </w:tc>
      </w:tr>
      <w:tr w:rsidR="00AC6F3C" w14:paraId="2BF0507A" w14:textId="77777777">
        <w:trPr>
          <w:trHeight w:val="299"/>
        </w:trPr>
        <w:tc>
          <w:tcPr>
            <w:tcW w:w="5349" w:type="dxa"/>
            <w:tcBorders>
              <w:left w:val="single" w:sz="6" w:space="0" w:color="000000"/>
            </w:tcBorders>
          </w:tcPr>
          <w:p w14:paraId="48923912" w14:textId="77777777" w:rsidR="00AC6F3C" w:rsidRDefault="00570E88">
            <w:pPr>
              <w:pStyle w:val="TableParagraph"/>
              <w:spacing w:before="43"/>
              <w:ind w:left="37"/>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137" w:type="dxa"/>
            <w:shd w:val="clear" w:color="auto" w:fill="F1F1F1"/>
          </w:tcPr>
          <w:p w14:paraId="2CA445E0" w14:textId="77777777" w:rsidR="00AC6F3C" w:rsidRDefault="00570E88">
            <w:pPr>
              <w:pStyle w:val="TableParagraph"/>
              <w:spacing w:before="43"/>
              <w:ind w:right="94"/>
              <w:jc w:val="right"/>
              <w:rPr>
                <w:sz w:val="18"/>
              </w:rPr>
            </w:pPr>
            <w:r>
              <w:rPr>
                <w:spacing w:val="-2"/>
                <w:sz w:val="18"/>
              </w:rPr>
              <w:t>44,453</w:t>
            </w:r>
          </w:p>
        </w:tc>
        <w:tc>
          <w:tcPr>
            <w:tcW w:w="1115" w:type="dxa"/>
            <w:tcBorders>
              <w:right w:val="single" w:sz="6" w:space="0" w:color="000000"/>
            </w:tcBorders>
          </w:tcPr>
          <w:p w14:paraId="35197027" w14:textId="77777777" w:rsidR="00AC6F3C" w:rsidRDefault="00570E88">
            <w:pPr>
              <w:pStyle w:val="TableParagraph"/>
              <w:spacing w:before="43"/>
              <w:ind w:right="80"/>
              <w:jc w:val="right"/>
              <w:rPr>
                <w:sz w:val="18"/>
              </w:rPr>
            </w:pPr>
            <w:r>
              <w:rPr>
                <w:spacing w:val="-2"/>
                <w:sz w:val="18"/>
              </w:rPr>
              <w:t>44,534</w:t>
            </w:r>
          </w:p>
        </w:tc>
      </w:tr>
      <w:tr w:rsidR="00AC6F3C" w14:paraId="193E43FD" w14:textId="77777777">
        <w:trPr>
          <w:trHeight w:val="299"/>
        </w:trPr>
        <w:tc>
          <w:tcPr>
            <w:tcW w:w="5349" w:type="dxa"/>
            <w:tcBorders>
              <w:left w:val="single" w:sz="6" w:space="0" w:color="000000"/>
            </w:tcBorders>
          </w:tcPr>
          <w:p w14:paraId="3D4C16A9" w14:textId="77777777" w:rsidR="00AC6F3C" w:rsidRDefault="00570E88">
            <w:pPr>
              <w:pStyle w:val="TableParagraph"/>
              <w:spacing w:before="43"/>
              <w:ind w:left="37"/>
              <w:rPr>
                <w:sz w:val="18"/>
              </w:rPr>
            </w:pPr>
            <w:r>
              <w:rPr>
                <w:sz w:val="18"/>
              </w:rPr>
              <w:t>Legal</w:t>
            </w:r>
            <w:r>
              <w:rPr>
                <w:spacing w:val="10"/>
                <w:sz w:val="18"/>
              </w:rPr>
              <w:t xml:space="preserve"> </w:t>
            </w:r>
            <w:r>
              <w:rPr>
                <w:sz w:val="18"/>
              </w:rPr>
              <w:t>Practitioners'</w:t>
            </w:r>
            <w:r>
              <w:rPr>
                <w:spacing w:val="-1"/>
                <w:sz w:val="18"/>
              </w:rPr>
              <w:t xml:space="preserve"> </w:t>
            </w:r>
            <w:r>
              <w:rPr>
                <w:sz w:val="18"/>
              </w:rPr>
              <w:t>Fidelity</w:t>
            </w:r>
            <w:r>
              <w:rPr>
                <w:spacing w:val="-14"/>
                <w:sz w:val="18"/>
              </w:rPr>
              <w:t xml:space="preserve"> </w:t>
            </w:r>
            <w:r>
              <w:rPr>
                <w:sz w:val="18"/>
              </w:rPr>
              <w:t>Guarantee</w:t>
            </w:r>
            <w:r>
              <w:rPr>
                <w:spacing w:val="11"/>
                <w:sz w:val="18"/>
              </w:rPr>
              <w:t xml:space="preserve"> </w:t>
            </w:r>
            <w:r>
              <w:rPr>
                <w:spacing w:val="-4"/>
                <w:sz w:val="18"/>
              </w:rPr>
              <w:t>Fund</w:t>
            </w:r>
          </w:p>
        </w:tc>
        <w:tc>
          <w:tcPr>
            <w:tcW w:w="1137" w:type="dxa"/>
            <w:shd w:val="clear" w:color="auto" w:fill="F1F1F1"/>
          </w:tcPr>
          <w:p w14:paraId="2B0E3008" w14:textId="77777777" w:rsidR="00AC6F3C" w:rsidRDefault="00570E88">
            <w:pPr>
              <w:pStyle w:val="TableParagraph"/>
              <w:spacing w:before="43"/>
              <w:ind w:right="95"/>
              <w:jc w:val="right"/>
              <w:rPr>
                <w:sz w:val="18"/>
              </w:rPr>
            </w:pPr>
            <w:r>
              <w:rPr>
                <w:spacing w:val="-2"/>
                <w:sz w:val="18"/>
              </w:rPr>
              <w:t>172,246</w:t>
            </w:r>
          </w:p>
        </w:tc>
        <w:tc>
          <w:tcPr>
            <w:tcW w:w="1115" w:type="dxa"/>
            <w:tcBorders>
              <w:right w:val="single" w:sz="6" w:space="0" w:color="000000"/>
            </w:tcBorders>
          </w:tcPr>
          <w:p w14:paraId="5A556631" w14:textId="77777777" w:rsidR="00AC6F3C" w:rsidRDefault="00570E88">
            <w:pPr>
              <w:pStyle w:val="TableParagraph"/>
              <w:spacing w:before="43"/>
              <w:ind w:right="80"/>
              <w:jc w:val="right"/>
              <w:rPr>
                <w:sz w:val="18"/>
              </w:rPr>
            </w:pPr>
            <w:r>
              <w:rPr>
                <w:spacing w:val="-2"/>
                <w:sz w:val="18"/>
              </w:rPr>
              <w:t>156,125</w:t>
            </w:r>
          </w:p>
        </w:tc>
      </w:tr>
      <w:tr w:rsidR="00AC6F3C" w14:paraId="6EB20AFD" w14:textId="77777777">
        <w:trPr>
          <w:trHeight w:val="299"/>
        </w:trPr>
        <w:tc>
          <w:tcPr>
            <w:tcW w:w="5349" w:type="dxa"/>
            <w:tcBorders>
              <w:left w:val="single" w:sz="6" w:space="0" w:color="000000"/>
            </w:tcBorders>
          </w:tcPr>
          <w:p w14:paraId="04C300C1" w14:textId="77777777" w:rsidR="00AC6F3C" w:rsidRDefault="00570E88">
            <w:pPr>
              <w:pStyle w:val="TableParagraph"/>
              <w:spacing w:before="43"/>
              <w:ind w:left="37"/>
              <w:rPr>
                <w:sz w:val="18"/>
              </w:rPr>
            </w:pPr>
            <w:r>
              <w:rPr>
                <w:sz w:val="18"/>
              </w:rPr>
              <w:t>Legal</w:t>
            </w:r>
            <w:r>
              <w:rPr>
                <w:spacing w:val="15"/>
                <w:sz w:val="18"/>
              </w:rPr>
              <w:t xml:space="preserve"> </w:t>
            </w:r>
            <w:r>
              <w:rPr>
                <w:sz w:val="18"/>
              </w:rPr>
              <w:t>Practitioners</w:t>
            </w:r>
            <w:r>
              <w:rPr>
                <w:spacing w:val="29"/>
                <w:sz w:val="18"/>
              </w:rPr>
              <w:t xml:space="preserve"> </w:t>
            </w:r>
            <w:r>
              <w:rPr>
                <w:sz w:val="18"/>
              </w:rPr>
              <w:t>Admissions</w:t>
            </w:r>
            <w:r>
              <w:rPr>
                <w:spacing w:val="29"/>
                <w:sz w:val="18"/>
              </w:rPr>
              <w:t xml:space="preserve"> </w:t>
            </w:r>
            <w:r>
              <w:rPr>
                <w:spacing w:val="-4"/>
                <w:sz w:val="18"/>
              </w:rPr>
              <w:t>Board</w:t>
            </w:r>
          </w:p>
        </w:tc>
        <w:tc>
          <w:tcPr>
            <w:tcW w:w="1137" w:type="dxa"/>
            <w:shd w:val="clear" w:color="auto" w:fill="F1F1F1"/>
          </w:tcPr>
          <w:p w14:paraId="4800964C" w14:textId="77777777" w:rsidR="00AC6F3C" w:rsidRDefault="00570E88">
            <w:pPr>
              <w:pStyle w:val="TableParagraph"/>
              <w:spacing w:before="43"/>
              <w:ind w:right="95"/>
              <w:jc w:val="right"/>
              <w:rPr>
                <w:sz w:val="18"/>
              </w:rPr>
            </w:pPr>
            <w:r>
              <w:rPr>
                <w:spacing w:val="-2"/>
                <w:sz w:val="18"/>
              </w:rPr>
              <w:t>66,730</w:t>
            </w:r>
          </w:p>
        </w:tc>
        <w:tc>
          <w:tcPr>
            <w:tcW w:w="1115" w:type="dxa"/>
            <w:tcBorders>
              <w:right w:val="single" w:sz="6" w:space="0" w:color="000000"/>
            </w:tcBorders>
          </w:tcPr>
          <w:p w14:paraId="5992C590" w14:textId="77777777" w:rsidR="00AC6F3C" w:rsidRDefault="00570E88">
            <w:pPr>
              <w:pStyle w:val="TableParagraph"/>
              <w:spacing w:before="43"/>
              <w:ind w:right="80"/>
              <w:jc w:val="right"/>
              <w:rPr>
                <w:sz w:val="18"/>
              </w:rPr>
            </w:pPr>
            <w:r>
              <w:rPr>
                <w:spacing w:val="-2"/>
                <w:sz w:val="18"/>
              </w:rPr>
              <w:t>68,803</w:t>
            </w:r>
          </w:p>
        </w:tc>
      </w:tr>
      <w:tr w:rsidR="00AC6F3C" w14:paraId="54F33AD7" w14:textId="77777777">
        <w:trPr>
          <w:trHeight w:val="449"/>
        </w:trPr>
        <w:tc>
          <w:tcPr>
            <w:tcW w:w="5349" w:type="dxa"/>
            <w:tcBorders>
              <w:left w:val="single" w:sz="6" w:space="0" w:color="000000"/>
            </w:tcBorders>
          </w:tcPr>
          <w:p w14:paraId="3F5C7868" w14:textId="77777777" w:rsidR="00AC6F3C" w:rsidRDefault="00570E88">
            <w:pPr>
              <w:pStyle w:val="TableParagraph"/>
              <w:spacing w:before="43"/>
              <w:ind w:left="37"/>
              <w:rPr>
                <w:sz w:val="18"/>
              </w:rPr>
            </w:pPr>
            <w:r>
              <w:rPr>
                <w:sz w:val="18"/>
              </w:rPr>
              <w:t>QLS</w:t>
            </w:r>
            <w:r>
              <w:rPr>
                <w:spacing w:val="-4"/>
                <w:sz w:val="18"/>
              </w:rPr>
              <w:t xml:space="preserve"> </w:t>
            </w:r>
            <w:r>
              <w:rPr>
                <w:sz w:val="18"/>
              </w:rPr>
              <w:t>Solicitors</w:t>
            </w:r>
            <w:r>
              <w:rPr>
                <w:spacing w:val="12"/>
                <w:sz w:val="18"/>
              </w:rPr>
              <w:t xml:space="preserve"> </w:t>
            </w:r>
            <w:r>
              <w:rPr>
                <w:spacing w:val="-2"/>
                <w:sz w:val="18"/>
              </w:rPr>
              <w:t>Support</w:t>
            </w:r>
          </w:p>
        </w:tc>
        <w:tc>
          <w:tcPr>
            <w:tcW w:w="1137" w:type="dxa"/>
            <w:shd w:val="clear" w:color="auto" w:fill="F1F1F1"/>
          </w:tcPr>
          <w:p w14:paraId="59840838" w14:textId="77777777" w:rsidR="00AC6F3C" w:rsidRDefault="00570E88">
            <w:pPr>
              <w:pStyle w:val="TableParagraph"/>
              <w:spacing w:before="43"/>
              <w:ind w:right="95"/>
              <w:jc w:val="right"/>
              <w:rPr>
                <w:sz w:val="18"/>
              </w:rPr>
            </w:pPr>
            <w:r>
              <w:rPr>
                <w:spacing w:val="-2"/>
                <w:sz w:val="18"/>
              </w:rPr>
              <w:t>882,289</w:t>
            </w:r>
          </w:p>
        </w:tc>
        <w:tc>
          <w:tcPr>
            <w:tcW w:w="1115" w:type="dxa"/>
            <w:tcBorders>
              <w:right w:val="single" w:sz="6" w:space="0" w:color="000000"/>
            </w:tcBorders>
          </w:tcPr>
          <w:p w14:paraId="393C2F66" w14:textId="77777777" w:rsidR="00AC6F3C" w:rsidRDefault="00570E88">
            <w:pPr>
              <w:pStyle w:val="TableParagraph"/>
              <w:spacing w:before="43"/>
              <w:ind w:right="80"/>
              <w:jc w:val="right"/>
              <w:rPr>
                <w:sz w:val="18"/>
              </w:rPr>
            </w:pPr>
            <w:r>
              <w:rPr>
                <w:spacing w:val="-2"/>
                <w:sz w:val="18"/>
              </w:rPr>
              <w:t>851,864</w:t>
            </w:r>
          </w:p>
        </w:tc>
      </w:tr>
      <w:tr w:rsidR="00AC6F3C" w14:paraId="5C825169" w14:textId="77777777">
        <w:trPr>
          <w:trHeight w:val="606"/>
        </w:trPr>
        <w:tc>
          <w:tcPr>
            <w:tcW w:w="5349" w:type="dxa"/>
            <w:tcBorders>
              <w:left w:val="single" w:sz="6" w:space="0" w:color="000000"/>
            </w:tcBorders>
          </w:tcPr>
          <w:p w14:paraId="12251B55" w14:textId="77777777" w:rsidR="00AC6F3C" w:rsidRDefault="00AC6F3C">
            <w:pPr>
              <w:pStyle w:val="TableParagraph"/>
              <w:spacing w:before="9"/>
              <w:rPr>
                <w:sz w:val="16"/>
              </w:rPr>
            </w:pPr>
          </w:p>
          <w:p w14:paraId="34963B76" w14:textId="77777777" w:rsidR="00AC6F3C" w:rsidRDefault="00570E88">
            <w:pPr>
              <w:pStyle w:val="TableParagraph"/>
              <w:ind w:left="36"/>
              <w:rPr>
                <w:sz w:val="18"/>
              </w:rPr>
            </w:pPr>
            <w:r>
              <w:rPr>
                <w:sz w:val="18"/>
              </w:rPr>
              <w:t>Grant</w:t>
            </w:r>
            <w:r>
              <w:rPr>
                <w:spacing w:val="-9"/>
                <w:sz w:val="18"/>
              </w:rPr>
              <w:t xml:space="preserve"> </w:t>
            </w:r>
            <w:r>
              <w:rPr>
                <w:sz w:val="18"/>
              </w:rPr>
              <w:t>funding</w:t>
            </w:r>
            <w:r>
              <w:rPr>
                <w:spacing w:val="3"/>
                <w:sz w:val="18"/>
              </w:rPr>
              <w:t xml:space="preserve"> </w:t>
            </w:r>
            <w:r>
              <w:rPr>
                <w:sz w:val="18"/>
              </w:rPr>
              <w:t>paid</w:t>
            </w:r>
            <w:r>
              <w:rPr>
                <w:spacing w:val="3"/>
                <w:sz w:val="18"/>
              </w:rPr>
              <w:t xml:space="preserve"> </w:t>
            </w:r>
            <w:r>
              <w:rPr>
                <w:sz w:val="18"/>
              </w:rPr>
              <w:t>by</w:t>
            </w:r>
            <w:r>
              <w:rPr>
                <w:spacing w:val="-19"/>
                <w:sz w:val="18"/>
              </w:rPr>
              <w:t xml:space="preserve"> </w:t>
            </w:r>
            <w:r>
              <w:rPr>
                <w:sz w:val="18"/>
              </w:rPr>
              <w:t>parent</w:t>
            </w:r>
            <w:r>
              <w:rPr>
                <w:spacing w:val="-8"/>
                <w:sz w:val="18"/>
              </w:rPr>
              <w:t xml:space="preserve"> </w:t>
            </w:r>
            <w:r>
              <w:rPr>
                <w:sz w:val="18"/>
              </w:rPr>
              <w:t>entity</w:t>
            </w:r>
            <w:r>
              <w:rPr>
                <w:spacing w:val="-19"/>
                <w:sz w:val="18"/>
              </w:rPr>
              <w:t xml:space="preserve"> </w:t>
            </w:r>
            <w:r>
              <w:rPr>
                <w:sz w:val="18"/>
              </w:rPr>
              <w:t>to</w:t>
            </w:r>
            <w:r>
              <w:rPr>
                <w:spacing w:val="2"/>
                <w:sz w:val="18"/>
              </w:rPr>
              <w:t xml:space="preserve"> </w:t>
            </w:r>
            <w:r>
              <w:rPr>
                <w:sz w:val="18"/>
              </w:rPr>
              <w:t>QLS</w:t>
            </w:r>
            <w:r>
              <w:rPr>
                <w:spacing w:val="-2"/>
                <w:sz w:val="18"/>
              </w:rPr>
              <w:t xml:space="preserve"> </w:t>
            </w:r>
            <w:r>
              <w:rPr>
                <w:sz w:val="18"/>
              </w:rPr>
              <w:t>Solicitors</w:t>
            </w:r>
            <w:r>
              <w:rPr>
                <w:spacing w:val="13"/>
                <w:sz w:val="18"/>
              </w:rPr>
              <w:t xml:space="preserve"> </w:t>
            </w:r>
            <w:r>
              <w:rPr>
                <w:spacing w:val="-2"/>
                <w:sz w:val="18"/>
              </w:rPr>
              <w:t>Support</w:t>
            </w:r>
          </w:p>
        </w:tc>
        <w:tc>
          <w:tcPr>
            <w:tcW w:w="1137" w:type="dxa"/>
            <w:shd w:val="clear" w:color="auto" w:fill="F1F1F1"/>
          </w:tcPr>
          <w:p w14:paraId="0273DE76" w14:textId="77777777" w:rsidR="00AC6F3C" w:rsidRDefault="00AC6F3C">
            <w:pPr>
              <w:pStyle w:val="TableParagraph"/>
              <w:spacing w:before="9"/>
              <w:rPr>
                <w:sz w:val="16"/>
              </w:rPr>
            </w:pPr>
          </w:p>
          <w:p w14:paraId="3229F802" w14:textId="77777777" w:rsidR="00AC6F3C" w:rsidRDefault="00570E88">
            <w:pPr>
              <w:pStyle w:val="TableParagraph"/>
              <w:ind w:right="95"/>
              <w:jc w:val="right"/>
              <w:rPr>
                <w:sz w:val="18"/>
              </w:rPr>
            </w:pPr>
            <w:r>
              <w:rPr>
                <w:spacing w:val="-2"/>
                <w:sz w:val="18"/>
              </w:rPr>
              <w:t>1,434,538</w:t>
            </w:r>
          </w:p>
        </w:tc>
        <w:tc>
          <w:tcPr>
            <w:tcW w:w="1115" w:type="dxa"/>
            <w:tcBorders>
              <w:right w:val="single" w:sz="6" w:space="0" w:color="000000"/>
            </w:tcBorders>
          </w:tcPr>
          <w:p w14:paraId="0F1C45D7" w14:textId="77777777" w:rsidR="00AC6F3C" w:rsidRDefault="00AC6F3C">
            <w:pPr>
              <w:pStyle w:val="TableParagraph"/>
              <w:spacing w:before="9"/>
              <w:rPr>
                <w:sz w:val="16"/>
              </w:rPr>
            </w:pPr>
          </w:p>
          <w:p w14:paraId="4AAFFCCE" w14:textId="77777777" w:rsidR="00AC6F3C" w:rsidRDefault="00570E88">
            <w:pPr>
              <w:pStyle w:val="TableParagraph"/>
              <w:ind w:right="80"/>
              <w:jc w:val="right"/>
              <w:rPr>
                <w:sz w:val="18"/>
              </w:rPr>
            </w:pPr>
            <w:r>
              <w:rPr>
                <w:spacing w:val="-2"/>
                <w:sz w:val="18"/>
              </w:rPr>
              <w:t>1,488,188</w:t>
            </w:r>
          </w:p>
        </w:tc>
      </w:tr>
      <w:tr w:rsidR="00AC6F3C" w14:paraId="5AE8C300" w14:textId="77777777">
        <w:trPr>
          <w:trHeight w:val="449"/>
        </w:trPr>
        <w:tc>
          <w:tcPr>
            <w:tcW w:w="5349" w:type="dxa"/>
            <w:tcBorders>
              <w:left w:val="single" w:sz="6" w:space="0" w:color="000000"/>
            </w:tcBorders>
          </w:tcPr>
          <w:p w14:paraId="0E7A1C8A" w14:textId="77777777" w:rsidR="00AC6F3C" w:rsidRDefault="00AC6F3C">
            <w:pPr>
              <w:pStyle w:val="TableParagraph"/>
              <w:spacing w:before="5"/>
              <w:rPr>
                <w:sz w:val="17"/>
              </w:rPr>
            </w:pPr>
          </w:p>
          <w:p w14:paraId="7DA5831D" w14:textId="77777777" w:rsidR="00AC6F3C" w:rsidRDefault="00570E88">
            <w:pPr>
              <w:pStyle w:val="TableParagraph"/>
              <w:ind w:left="36"/>
              <w:rPr>
                <w:b/>
                <w:sz w:val="18"/>
              </w:rPr>
            </w:pPr>
            <w:r>
              <w:rPr>
                <w:b/>
                <w:spacing w:val="-4"/>
                <w:sz w:val="18"/>
              </w:rPr>
              <w:t>Grant</w:t>
            </w:r>
            <w:r>
              <w:rPr>
                <w:b/>
                <w:spacing w:val="-1"/>
                <w:sz w:val="18"/>
              </w:rPr>
              <w:t xml:space="preserve"> </w:t>
            </w:r>
            <w:r>
              <w:rPr>
                <w:b/>
                <w:spacing w:val="-4"/>
                <w:sz w:val="18"/>
              </w:rPr>
              <w:t>funding</w:t>
            </w:r>
            <w:r>
              <w:rPr>
                <w:b/>
                <w:spacing w:val="-5"/>
                <w:sz w:val="18"/>
              </w:rPr>
              <w:t xml:space="preserve"> </w:t>
            </w:r>
            <w:r>
              <w:rPr>
                <w:b/>
                <w:spacing w:val="-4"/>
                <w:sz w:val="18"/>
              </w:rPr>
              <w:t>paid</w:t>
            </w:r>
            <w:r>
              <w:rPr>
                <w:b/>
                <w:spacing w:val="-6"/>
                <w:sz w:val="18"/>
              </w:rPr>
              <w:t xml:space="preserve"> </w:t>
            </w:r>
            <w:r>
              <w:rPr>
                <w:b/>
                <w:spacing w:val="-4"/>
                <w:sz w:val="18"/>
              </w:rPr>
              <w:t>to</w:t>
            </w:r>
            <w:r>
              <w:rPr>
                <w:b/>
                <w:spacing w:val="-6"/>
                <w:sz w:val="18"/>
              </w:rPr>
              <w:t xml:space="preserve"> </w:t>
            </w:r>
            <w:r>
              <w:rPr>
                <w:b/>
                <w:spacing w:val="-4"/>
                <w:sz w:val="18"/>
              </w:rPr>
              <w:t>the</w:t>
            </w:r>
            <w:r>
              <w:rPr>
                <w:b/>
                <w:spacing w:val="5"/>
                <w:sz w:val="18"/>
              </w:rPr>
              <w:t xml:space="preserve"> </w:t>
            </w:r>
            <w:r>
              <w:rPr>
                <w:b/>
                <w:spacing w:val="-4"/>
                <w:sz w:val="18"/>
              </w:rPr>
              <w:t>parent</w:t>
            </w:r>
            <w:r>
              <w:rPr>
                <w:b/>
                <w:sz w:val="18"/>
              </w:rPr>
              <w:t xml:space="preserve"> </w:t>
            </w:r>
            <w:r>
              <w:rPr>
                <w:b/>
                <w:spacing w:val="-4"/>
                <w:sz w:val="18"/>
              </w:rPr>
              <w:t>entity</w:t>
            </w:r>
            <w:r>
              <w:rPr>
                <w:b/>
                <w:spacing w:val="-11"/>
                <w:sz w:val="18"/>
              </w:rPr>
              <w:t xml:space="preserve"> </w:t>
            </w:r>
            <w:r>
              <w:rPr>
                <w:b/>
                <w:spacing w:val="-5"/>
                <w:sz w:val="18"/>
              </w:rPr>
              <w:t>by:</w:t>
            </w:r>
          </w:p>
        </w:tc>
        <w:tc>
          <w:tcPr>
            <w:tcW w:w="1137" w:type="dxa"/>
            <w:shd w:val="clear" w:color="auto" w:fill="F1F1F1"/>
          </w:tcPr>
          <w:p w14:paraId="51A3FD73" w14:textId="77777777" w:rsidR="00AC6F3C" w:rsidRDefault="00AC6F3C">
            <w:pPr>
              <w:pStyle w:val="TableParagraph"/>
              <w:rPr>
                <w:rFonts w:ascii="Times New Roman"/>
                <w:sz w:val="18"/>
              </w:rPr>
            </w:pPr>
          </w:p>
        </w:tc>
        <w:tc>
          <w:tcPr>
            <w:tcW w:w="1115" w:type="dxa"/>
            <w:tcBorders>
              <w:right w:val="single" w:sz="6" w:space="0" w:color="000000"/>
            </w:tcBorders>
          </w:tcPr>
          <w:p w14:paraId="1B3EFFD1" w14:textId="77777777" w:rsidR="00AC6F3C" w:rsidRDefault="00AC6F3C">
            <w:pPr>
              <w:pStyle w:val="TableParagraph"/>
              <w:rPr>
                <w:rFonts w:ascii="Times New Roman"/>
                <w:sz w:val="18"/>
              </w:rPr>
            </w:pPr>
          </w:p>
        </w:tc>
      </w:tr>
      <w:tr w:rsidR="00AC6F3C" w14:paraId="0D71E3C9" w14:textId="77777777">
        <w:trPr>
          <w:trHeight w:val="292"/>
        </w:trPr>
        <w:tc>
          <w:tcPr>
            <w:tcW w:w="5349" w:type="dxa"/>
            <w:tcBorders>
              <w:left w:val="single" w:sz="6" w:space="0" w:color="000000"/>
            </w:tcBorders>
          </w:tcPr>
          <w:p w14:paraId="2E8DBB2E" w14:textId="77777777" w:rsidR="00AC6F3C" w:rsidRDefault="00570E88">
            <w:pPr>
              <w:pStyle w:val="TableParagraph"/>
              <w:spacing w:before="36"/>
              <w:ind w:left="36"/>
              <w:rPr>
                <w:sz w:val="18"/>
              </w:rPr>
            </w:pPr>
            <w:r>
              <w:rPr>
                <w:sz w:val="18"/>
              </w:rPr>
              <w:t>Law</w:t>
            </w:r>
            <w:r>
              <w:rPr>
                <w:spacing w:val="7"/>
                <w:sz w:val="18"/>
              </w:rPr>
              <w:t xml:space="preserve"> </w:t>
            </w:r>
            <w:r>
              <w:rPr>
                <w:sz w:val="18"/>
              </w:rPr>
              <w:t>Claims</w:t>
            </w:r>
            <w:r>
              <w:rPr>
                <w:spacing w:val="18"/>
                <w:sz w:val="18"/>
              </w:rPr>
              <w:t xml:space="preserve"> </w:t>
            </w:r>
            <w:r>
              <w:rPr>
                <w:sz w:val="18"/>
              </w:rPr>
              <w:t>Levy</w:t>
            </w:r>
            <w:r>
              <w:rPr>
                <w:spacing w:val="-16"/>
                <w:sz w:val="18"/>
              </w:rPr>
              <w:t xml:space="preserve"> </w:t>
            </w:r>
            <w:r>
              <w:rPr>
                <w:spacing w:val="-4"/>
                <w:sz w:val="18"/>
              </w:rPr>
              <w:t>Fund</w:t>
            </w:r>
          </w:p>
        </w:tc>
        <w:tc>
          <w:tcPr>
            <w:tcW w:w="1137" w:type="dxa"/>
            <w:shd w:val="clear" w:color="auto" w:fill="F1F1F1"/>
          </w:tcPr>
          <w:p w14:paraId="0E52A7EF" w14:textId="77777777" w:rsidR="00AC6F3C" w:rsidRDefault="00570E88">
            <w:pPr>
              <w:pStyle w:val="TableParagraph"/>
              <w:spacing w:before="36"/>
              <w:ind w:right="95"/>
              <w:jc w:val="right"/>
              <w:rPr>
                <w:sz w:val="18"/>
              </w:rPr>
            </w:pPr>
            <w:r>
              <w:rPr>
                <w:spacing w:val="-2"/>
                <w:sz w:val="18"/>
              </w:rPr>
              <w:t>992,051</w:t>
            </w:r>
          </w:p>
        </w:tc>
        <w:tc>
          <w:tcPr>
            <w:tcW w:w="1115" w:type="dxa"/>
            <w:tcBorders>
              <w:right w:val="single" w:sz="6" w:space="0" w:color="000000"/>
            </w:tcBorders>
          </w:tcPr>
          <w:p w14:paraId="14013599" w14:textId="77777777" w:rsidR="00AC6F3C" w:rsidRDefault="00570E88">
            <w:pPr>
              <w:pStyle w:val="TableParagraph"/>
              <w:spacing w:before="36"/>
              <w:ind w:right="80"/>
              <w:jc w:val="right"/>
              <w:rPr>
                <w:sz w:val="18"/>
              </w:rPr>
            </w:pPr>
            <w:r>
              <w:rPr>
                <w:spacing w:val="-2"/>
                <w:sz w:val="18"/>
              </w:rPr>
              <w:t>992,873</w:t>
            </w:r>
          </w:p>
        </w:tc>
      </w:tr>
      <w:tr w:rsidR="00AC6F3C" w14:paraId="36153F6F" w14:textId="77777777">
        <w:trPr>
          <w:trHeight w:val="457"/>
        </w:trPr>
        <w:tc>
          <w:tcPr>
            <w:tcW w:w="5349" w:type="dxa"/>
            <w:tcBorders>
              <w:left w:val="single" w:sz="6" w:space="0" w:color="000000"/>
            </w:tcBorders>
          </w:tcPr>
          <w:p w14:paraId="653C4825" w14:textId="77777777" w:rsidR="00AC6F3C" w:rsidRDefault="00570E88">
            <w:pPr>
              <w:pStyle w:val="TableParagraph"/>
              <w:spacing w:before="43"/>
              <w:ind w:left="36"/>
              <w:rPr>
                <w:sz w:val="18"/>
              </w:rPr>
            </w:pPr>
            <w:r>
              <w:rPr>
                <w:sz w:val="18"/>
              </w:rPr>
              <w:t>Legal</w:t>
            </w:r>
            <w:r>
              <w:rPr>
                <w:spacing w:val="10"/>
                <w:sz w:val="18"/>
              </w:rPr>
              <w:t xml:space="preserve"> </w:t>
            </w:r>
            <w:r>
              <w:rPr>
                <w:sz w:val="18"/>
              </w:rPr>
              <w:t>Practitioners'</w:t>
            </w:r>
            <w:r>
              <w:rPr>
                <w:spacing w:val="-1"/>
                <w:sz w:val="18"/>
              </w:rPr>
              <w:t xml:space="preserve"> </w:t>
            </w:r>
            <w:r>
              <w:rPr>
                <w:sz w:val="18"/>
              </w:rPr>
              <w:t>Fidelity</w:t>
            </w:r>
            <w:r>
              <w:rPr>
                <w:spacing w:val="-14"/>
                <w:sz w:val="18"/>
              </w:rPr>
              <w:t xml:space="preserve"> </w:t>
            </w:r>
            <w:r>
              <w:rPr>
                <w:sz w:val="18"/>
              </w:rPr>
              <w:t>Guarantee</w:t>
            </w:r>
            <w:r>
              <w:rPr>
                <w:spacing w:val="11"/>
                <w:sz w:val="18"/>
              </w:rPr>
              <w:t xml:space="preserve"> </w:t>
            </w:r>
            <w:r>
              <w:rPr>
                <w:spacing w:val="-4"/>
                <w:sz w:val="18"/>
              </w:rPr>
              <w:t>Fund</w:t>
            </w:r>
          </w:p>
        </w:tc>
        <w:tc>
          <w:tcPr>
            <w:tcW w:w="1137" w:type="dxa"/>
            <w:shd w:val="clear" w:color="auto" w:fill="F1F1F1"/>
          </w:tcPr>
          <w:p w14:paraId="54A8A123" w14:textId="77777777" w:rsidR="00AC6F3C" w:rsidRDefault="00570E88">
            <w:pPr>
              <w:pStyle w:val="TableParagraph"/>
              <w:spacing w:before="43"/>
              <w:ind w:right="95"/>
              <w:jc w:val="right"/>
              <w:rPr>
                <w:sz w:val="18"/>
              </w:rPr>
            </w:pPr>
            <w:r>
              <w:rPr>
                <w:spacing w:val="-2"/>
                <w:sz w:val="18"/>
              </w:rPr>
              <w:t>707,193</w:t>
            </w:r>
          </w:p>
        </w:tc>
        <w:tc>
          <w:tcPr>
            <w:tcW w:w="1115" w:type="dxa"/>
            <w:tcBorders>
              <w:right w:val="single" w:sz="6" w:space="0" w:color="000000"/>
            </w:tcBorders>
          </w:tcPr>
          <w:p w14:paraId="643A928E" w14:textId="77777777" w:rsidR="00AC6F3C" w:rsidRDefault="00570E88">
            <w:pPr>
              <w:pStyle w:val="TableParagraph"/>
              <w:spacing w:before="43"/>
              <w:ind w:right="80"/>
              <w:jc w:val="right"/>
              <w:rPr>
                <w:sz w:val="18"/>
              </w:rPr>
            </w:pPr>
            <w:r>
              <w:rPr>
                <w:spacing w:val="-2"/>
                <w:sz w:val="18"/>
              </w:rPr>
              <w:t>686,595</w:t>
            </w:r>
          </w:p>
        </w:tc>
      </w:tr>
      <w:tr w:rsidR="00AC6F3C" w14:paraId="4A390B05" w14:textId="77777777">
        <w:trPr>
          <w:trHeight w:val="576"/>
        </w:trPr>
        <w:tc>
          <w:tcPr>
            <w:tcW w:w="5349" w:type="dxa"/>
            <w:tcBorders>
              <w:left w:val="single" w:sz="6" w:space="0" w:color="000000"/>
            </w:tcBorders>
          </w:tcPr>
          <w:p w14:paraId="682F43BD" w14:textId="77777777" w:rsidR="00AC6F3C" w:rsidRDefault="00AC6F3C">
            <w:pPr>
              <w:pStyle w:val="TableParagraph"/>
              <w:spacing w:before="5"/>
              <w:rPr>
                <w:sz w:val="17"/>
              </w:rPr>
            </w:pPr>
          </w:p>
          <w:p w14:paraId="78468F43" w14:textId="77777777" w:rsidR="00AC6F3C" w:rsidRDefault="00570E88">
            <w:pPr>
              <w:pStyle w:val="TableParagraph"/>
              <w:ind w:left="36"/>
              <w:rPr>
                <w:sz w:val="18"/>
              </w:rPr>
            </w:pPr>
            <w:r>
              <w:rPr>
                <w:sz w:val="18"/>
              </w:rPr>
              <w:t>Gross</w:t>
            </w:r>
            <w:r>
              <w:rPr>
                <w:spacing w:val="17"/>
                <w:sz w:val="18"/>
              </w:rPr>
              <w:t xml:space="preserve"> </w:t>
            </w:r>
            <w:r>
              <w:rPr>
                <w:sz w:val="18"/>
              </w:rPr>
              <w:t>premium</w:t>
            </w:r>
            <w:r>
              <w:rPr>
                <w:spacing w:val="17"/>
                <w:sz w:val="18"/>
              </w:rPr>
              <w:t xml:space="preserve"> </w:t>
            </w:r>
            <w:r>
              <w:rPr>
                <w:sz w:val="18"/>
              </w:rPr>
              <w:t>paid</w:t>
            </w:r>
            <w:r>
              <w:rPr>
                <w:spacing w:val="6"/>
                <w:sz w:val="18"/>
              </w:rPr>
              <w:t xml:space="preserve"> </w:t>
            </w:r>
            <w:r>
              <w:rPr>
                <w:sz w:val="18"/>
              </w:rPr>
              <w:t>by</w:t>
            </w:r>
            <w:r>
              <w:rPr>
                <w:spacing w:val="-17"/>
                <w:sz w:val="18"/>
              </w:rPr>
              <w:t xml:space="preserve"> </w:t>
            </w:r>
            <w:r>
              <w:rPr>
                <w:sz w:val="18"/>
              </w:rPr>
              <w:t>Law</w:t>
            </w:r>
            <w:r>
              <w:rPr>
                <w:spacing w:val="5"/>
                <w:sz w:val="18"/>
              </w:rPr>
              <w:t xml:space="preserve"> </w:t>
            </w:r>
            <w:r>
              <w:rPr>
                <w:sz w:val="18"/>
              </w:rPr>
              <w:t>Claims</w:t>
            </w:r>
            <w:r>
              <w:rPr>
                <w:spacing w:val="18"/>
                <w:sz w:val="18"/>
              </w:rPr>
              <w:t xml:space="preserve"> </w:t>
            </w:r>
            <w:r>
              <w:rPr>
                <w:sz w:val="18"/>
              </w:rPr>
              <w:t>Levy</w:t>
            </w:r>
            <w:r>
              <w:rPr>
                <w:spacing w:val="-17"/>
                <w:sz w:val="18"/>
              </w:rPr>
              <w:t xml:space="preserve"> </w:t>
            </w:r>
            <w:r>
              <w:rPr>
                <w:sz w:val="18"/>
              </w:rPr>
              <w:t>Fund</w:t>
            </w:r>
            <w:r>
              <w:rPr>
                <w:spacing w:val="5"/>
                <w:sz w:val="18"/>
              </w:rPr>
              <w:t xml:space="preserve"> </w:t>
            </w:r>
            <w:r>
              <w:rPr>
                <w:sz w:val="18"/>
              </w:rPr>
              <w:t>to</w:t>
            </w:r>
            <w:r>
              <w:rPr>
                <w:spacing w:val="6"/>
                <w:sz w:val="18"/>
              </w:rPr>
              <w:t xml:space="preserve"> </w:t>
            </w:r>
            <w:r>
              <w:rPr>
                <w:spacing w:val="-4"/>
                <w:sz w:val="18"/>
              </w:rPr>
              <w:t>Lexon</w:t>
            </w:r>
          </w:p>
        </w:tc>
        <w:tc>
          <w:tcPr>
            <w:tcW w:w="1137" w:type="dxa"/>
            <w:shd w:val="clear" w:color="auto" w:fill="F1F1F1"/>
          </w:tcPr>
          <w:p w14:paraId="45F2E2DE" w14:textId="77777777" w:rsidR="00AC6F3C" w:rsidRDefault="00AC6F3C">
            <w:pPr>
              <w:pStyle w:val="TableParagraph"/>
              <w:spacing w:before="5"/>
              <w:rPr>
                <w:sz w:val="17"/>
              </w:rPr>
            </w:pPr>
          </w:p>
          <w:p w14:paraId="11F63D49" w14:textId="77777777" w:rsidR="00AC6F3C" w:rsidRDefault="00570E88">
            <w:pPr>
              <w:pStyle w:val="TableParagraph"/>
              <w:ind w:right="95"/>
              <w:jc w:val="right"/>
              <w:rPr>
                <w:sz w:val="18"/>
              </w:rPr>
            </w:pPr>
            <w:r>
              <w:rPr>
                <w:spacing w:val="-2"/>
                <w:sz w:val="18"/>
              </w:rPr>
              <w:t>27,108,817</w:t>
            </w:r>
          </w:p>
        </w:tc>
        <w:tc>
          <w:tcPr>
            <w:tcW w:w="1115" w:type="dxa"/>
            <w:tcBorders>
              <w:right w:val="single" w:sz="6" w:space="0" w:color="000000"/>
            </w:tcBorders>
          </w:tcPr>
          <w:p w14:paraId="2E99DCCE" w14:textId="77777777" w:rsidR="00AC6F3C" w:rsidRDefault="00AC6F3C">
            <w:pPr>
              <w:pStyle w:val="TableParagraph"/>
              <w:spacing w:before="5"/>
              <w:rPr>
                <w:sz w:val="17"/>
              </w:rPr>
            </w:pPr>
          </w:p>
          <w:p w14:paraId="5FB8A905" w14:textId="77777777" w:rsidR="00AC6F3C" w:rsidRDefault="00570E88">
            <w:pPr>
              <w:pStyle w:val="TableParagraph"/>
              <w:ind w:right="80"/>
              <w:jc w:val="right"/>
              <w:rPr>
                <w:sz w:val="18"/>
              </w:rPr>
            </w:pPr>
            <w:r>
              <w:rPr>
                <w:spacing w:val="-2"/>
                <w:sz w:val="18"/>
              </w:rPr>
              <w:t>23,684,912</w:t>
            </w:r>
          </w:p>
        </w:tc>
      </w:tr>
      <w:tr w:rsidR="00AC6F3C" w14:paraId="55FC9DBD" w14:textId="77777777">
        <w:trPr>
          <w:trHeight w:val="389"/>
        </w:trPr>
        <w:tc>
          <w:tcPr>
            <w:tcW w:w="5349" w:type="dxa"/>
            <w:tcBorders>
              <w:left w:val="single" w:sz="6" w:space="0" w:color="000000"/>
            </w:tcBorders>
          </w:tcPr>
          <w:p w14:paraId="09688F5E" w14:textId="77777777" w:rsidR="00AC6F3C" w:rsidRDefault="00570E88">
            <w:pPr>
              <w:pStyle w:val="TableParagraph"/>
              <w:spacing w:before="163" w:line="206" w:lineRule="exact"/>
              <w:ind w:left="37"/>
              <w:rPr>
                <w:b/>
                <w:sz w:val="18"/>
              </w:rPr>
            </w:pPr>
            <w:r>
              <w:rPr>
                <w:b/>
                <w:sz w:val="18"/>
              </w:rPr>
              <w:t>Management</w:t>
            </w:r>
            <w:r>
              <w:rPr>
                <w:b/>
                <w:spacing w:val="-13"/>
                <w:sz w:val="18"/>
              </w:rPr>
              <w:t xml:space="preserve"> </w:t>
            </w:r>
            <w:r>
              <w:rPr>
                <w:b/>
                <w:sz w:val="18"/>
              </w:rPr>
              <w:t>fees</w:t>
            </w:r>
            <w:r>
              <w:rPr>
                <w:b/>
                <w:spacing w:val="-12"/>
                <w:sz w:val="18"/>
              </w:rPr>
              <w:t xml:space="preserve"> </w:t>
            </w:r>
            <w:r>
              <w:rPr>
                <w:b/>
                <w:sz w:val="18"/>
              </w:rPr>
              <w:t>paid</w:t>
            </w:r>
            <w:r>
              <w:rPr>
                <w:b/>
                <w:spacing w:val="-13"/>
                <w:sz w:val="18"/>
              </w:rPr>
              <w:t xml:space="preserve"> </w:t>
            </w:r>
            <w:r>
              <w:rPr>
                <w:b/>
                <w:sz w:val="18"/>
              </w:rPr>
              <w:t>to</w:t>
            </w:r>
            <w:r>
              <w:rPr>
                <w:b/>
                <w:spacing w:val="-12"/>
                <w:sz w:val="18"/>
              </w:rPr>
              <w:t xml:space="preserve"> </w:t>
            </w:r>
            <w:r>
              <w:rPr>
                <w:b/>
                <w:sz w:val="18"/>
              </w:rPr>
              <w:t>a</w:t>
            </w:r>
            <w:r>
              <w:rPr>
                <w:b/>
                <w:spacing w:val="-13"/>
                <w:sz w:val="18"/>
              </w:rPr>
              <w:t xml:space="preserve"> </w:t>
            </w:r>
            <w:r>
              <w:rPr>
                <w:b/>
                <w:sz w:val="18"/>
              </w:rPr>
              <w:t>firm</w:t>
            </w:r>
            <w:r>
              <w:rPr>
                <w:b/>
                <w:spacing w:val="-7"/>
                <w:sz w:val="18"/>
              </w:rPr>
              <w:t xml:space="preserve"> </w:t>
            </w:r>
            <w:r>
              <w:rPr>
                <w:b/>
                <w:sz w:val="18"/>
              </w:rPr>
              <w:t>which</w:t>
            </w:r>
            <w:r>
              <w:rPr>
                <w:b/>
                <w:spacing w:val="-13"/>
                <w:sz w:val="18"/>
              </w:rPr>
              <w:t xml:space="preserve"> </w:t>
            </w:r>
            <w:r>
              <w:rPr>
                <w:b/>
                <w:sz w:val="18"/>
              </w:rPr>
              <w:t>a</w:t>
            </w:r>
            <w:r>
              <w:rPr>
                <w:b/>
                <w:spacing w:val="-7"/>
                <w:sz w:val="18"/>
              </w:rPr>
              <w:t xml:space="preserve"> </w:t>
            </w:r>
            <w:r>
              <w:rPr>
                <w:b/>
                <w:sz w:val="18"/>
              </w:rPr>
              <w:t>director</w:t>
            </w:r>
            <w:r>
              <w:rPr>
                <w:b/>
                <w:spacing w:val="-7"/>
                <w:sz w:val="18"/>
              </w:rPr>
              <w:t xml:space="preserve"> </w:t>
            </w:r>
            <w:r>
              <w:rPr>
                <w:b/>
                <w:sz w:val="18"/>
              </w:rPr>
              <w:t>of</w:t>
            </w:r>
            <w:r>
              <w:rPr>
                <w:b/>
                <w:spacing w:val="-11"/>
                <w:sz w:val="18"/>
              </w:rPr>
              <w:t xml:space="preserve"> </w:t>
            </w:r>
            <w:r>
              <w:rPr>
                <w:b/>
                <w:sz w:val="18"/>
              </w:rPr>
              <w:t>Lexon</w:t>
            </w:r>
            <w:r>
              <w:rPr>
                <w:b/>
                <w:spacing w:val="-12"/>
                <w:sz w:val="18"/>
              </w:rPr>
              <w:t xml:space="preserve"> </w:t>
            </w:r>
            <w:r>
              <w:rPr>
                <w:b/>
                <w:sz w:val="18"/>
              </w:rPr>
              <w:t>is</w:t>
            </w:r>
            <w:r>
              <w:rPr>
                <w:b/>
                <w:spacing w:val="-7"/>
                <w:sz w:val="18"/>
              </w:rPr>
              <w:t xml:space="preserve"> </w:t>
            </w:r>
            <w:r>
              <w:rPr>
                <w:b/>
                <w:spacing w:val="-10"/>
                <w:sz w:val="18"/>
              </w:rPr>
              <w:t>a</w:t>
            </w:r>
          </w:p>
        </w:tc>
        <w:tc>
          <w:tcPr>
            <w:tcW w:w="1137" w:type="dxa"/>
            <w:shd w:val="clear" w:color="auto" w:fill="F1F1F1"/>
          </w:tcPr>
          <w:p w14:paraId="0B50C6BE" w14:textId="77777777" w:rsidR="00AC6F3C" w:rsidRDefault="00AC6F3C">
            <w:pPr>
              <w:pStyle w:val="TableParagraph"/>
              <w:rPr>
                <w:rFonts w:ascii="Times New Roman"/>
                <w:sz w:val="18"/>
              </w:rPr>
            </w:pPr>
          </w:p>
        </w:tc>
        <w:tc>
          <w:tcPr>
            <w:tcW w:w="1115" w:type="dxa"/>
            <w:tcBorders>
              <w:right w:val="single" w:sz="6" w:space="0" w:color="000000"/>
            </w:tcBorders>
          </w:tcPr>
          <w:p w14:paraId="34E52657" w14:textId="77777777" w:rsidR="00AC6F3C" w:rsidRDefault="00AC6F3C">
            <w:pPr>
              <w:pStyle w:val="TableParagraph"/>
              <w:rPr>
                <w:rFonts w:ascii="Times New Roman"/>
                <w:sz w:val="18"/>
              </w:rPr>
            </w:pPr>
          </w:p>
        </w:tc>
      </w:tr>
      <w:tr w:rsidR="00AC6F3C" w14:paraId="4708C8B9" w14:textId="77777777">
        <w:trPr>
          <w:trHeight w:val="269"/>
        </w:trPr>
        <w:tc>
          <w:tcPr>
            <w:tcW w:w="5349" w:type="dxa"/>
            <w:tcBorders>
              <w:left w:val="single" w:sz="6" w:space="0" w:color="000000"/>
            </w:tcBorders>
          </w:tcPr>
          <w:p w14:paraId="573C3619" w14:textId="77777777" w:rsidR="00AC6F3C" w:rsidRDefault="00570E88">
            <w:pPr>
              <w:pStyle w:val="TableParagraph"/>
              <w:spacing w:before="13"/>
              <w:ind w:left="37"/>
              <w:rPr>
                <w:b/>
                <w:sz w:val="18"/>
              </w:rPr>
            </w:pPr>
            <w:r>
              <w:rPr>
                <w:b/>
                <w:spacing w:val="-2"/>
                <w:sz w:val="18"/>
              </w:rPr>
              <w:t>member:</w:t>
            </w:r>
          </w:p>
        </w:tc>
        <w:tc>
          <w:tcPr>
            <w:tcW w:w="1137" w:type="dxa"/>
            <w:shd w:val="clear" w:color="auto" w:fill="F1F1F1"/>
          </w:tcPr>
          <w:p w14:paraId="3BF44023" w14:textId="77777777" w:rsidR="00AC6F3C" w:rsidRDefault="00AC6F3C">
            <w:pPr>
              <w:pStyle w:val="TableParagraph"/>
              <w:rPr>
                <w:rFonts w:ascii="Times New Roman"/>
                <w:sz w:val="18"/>
              </w:rPr>
            </w:pPr>
          </w:p>
        </w:tc>
        <w:tc>
          <w:tcPr>
            <w:tcW w:w="1115" w:type="dxa"/>
            <w:tcBorders>
              <w:right w:val="single" w:sz="6" w:space="0" w:color="000000"/>
            </w:tcBorders>
          </w:tcPr>
          <w:p w14:paraId="244D5D80" w14:textId="77777777" w:rsidR="00AC6F3C" w:rsidRDefault="00AC6F3C">
            <w:pPr>
              <w:pStyle w:val="TableParagraph"/>
              <w:rPr>
                <w:rFonts w:ascii="Times New Roman"/>
                <w:sz w:val="18"/>
              </w:rPr>
            </w:pPr>
          </w:p>
        </w:tc>
      </w:tr>
      <w:tr w:rsidR="00AC6F3C" w14:paraId="2EE0785E" w14:textId="77777777">
        <w:trPr>
          <w:trHeight w:val="449"/>
        </w:trPr>
        <w:tc>
          <w:tcPr>
            <w:tcW w:w="5349" w:type="dxa"/>
            <w:tcBorders>
              <w:left w:val="single" w:sz="6" w:space="0" w:color="000000"/>
            </w:tcBorders>
          </w:tcPr>
          <w:p w14:paraId="37093727" w14:textId="77777777" w:rsidR="00AC6F3C" w:rsidRDefault="00570E88">
            <w:pPr>
              <w:pStyle w:val="TableParagraph"/>
              <w:spacing w:before="43"/>
              <w:ind w:left="37"/>
              <w:rPr>
                <w:sz w:val="18"/>
              </w:rPr>
            </w:pPr>
            <w:r>
              <w:rPr>
                <w:sz w:val="18"/>
              </w:rPr>
              <w:t>AON</w:t>
            </w:r>
            <w:r>
              <w:rPr>
                <w:spacing w:val="-2"/>
                <w:sz w:val="18"/>
              </w:rPr>
              <w:t xml:space="preserve"> </w:t>
            </w:r>
            <w:r>
              <w:rPr>
                <w:sz w:val="18"/>
              </w:rPr>
              <w:t>Insurance</w:t>
            </w:r>
            <w:r>
              <w:rPr>
                <w:spacing w:val="-1"/>
                <w:sz w:val="18"/>
              </w:rPr>
              <w:t xml:space="preserve"> </w:t>
            </w:r>
            <w:r>
              <w:rPr>
                <w:sz w:val="18"/>
              </w:rPr>
              <w:t>Managers</w:t>
            </w:r>
            <w:r>
              <w:rPr>
                <w:spacing w:val="9"/>
                <w:sz w:val="18"/>
              </w:rPr>
              <w:t xml:space="preserve"> </w:t>
            </w:r>
            <w:r>
              <w:rPr>
                <w:sz w:val="18"/>
              </w:rPr>
              <w:t>(Singapore)</w:t>
            </w:r>
            <w:r>
              <w:rPr>
                <w:spacing w:val="-6"/>
                <w:sz w:val="18"/>
              </w:rPr>
              <w:t xml:space="preserve"> </w:t>
            </w:r>
            <w:r>
              <w:rPr>
                <w:sz w:val="18"/>
              </w:rPr>
              <w:t>Pte</w:t>
            </w:r>
            <w:r>
              <w:rPr>
                <w:spacing w:val="-1"/>
                <w:sz w:val="18"/>
              </w:rPr>
              <w:t xml:space="preserve"> </w:t>
            </w:r>
            <w:r>
              <w:rPr>
                <w:spacing w:val="-5"/>
                <w:sz w:val="18"/>
              </w:rPr>
              <w:t>Ltd</w:t>
            </w:r>
          </w:p>
        </w:tc>
        <w:tc>
          <w:tcPr>
            <w:tcW w:w="1137" w:type="dxa"/>
            <w:shd w:val="clear" w:color="auto" w:fill="F1F1F1"/>
          </w:tcPr>
          <w:p w14:paraId="779593C1" w14:textId="77777777" w:rsidR="00AC6F3C" w:rsidRDefault="00570E88">
            <w:pPr>
              <w:pStyle w:val="TableParagraph"/>
              <w:spacing w:before="43"/>
              <w:ind w:right="94"/>
              <w:jc w:val="right"/>
              <w:rPr>
                <w:sz w:val="18"/>
              </w:rPr>
            </w:pPr>
            <w:r>
              <w:rPr>
                <w:spacing w:val="-2"/>
                <w:sz w:val="18"/>
              </w:rPr>
              <w:t>109,272</w:t>
            </w:r>
          </w:p>
        </w:tc>
        <w:tc>
          <w:tcPr>
            <w:tcW w:w="1115" w:type="dxa"/>
            <w:tcBorders>
              <w:right w:val="single" w:sz="6" w:space="0" w:color="000000"/>
            </w:tcBorders>
          </w:tcPr>
          <w:p w14:paraId="405242FB" w14:textId="77777777" w:rsidR="00AC6F3C" w:rsidRDefault="00570E88">
            <w:pPr>
              <w:pStyle w:val="TableParagraph"/>
              <w:spacing w:before="43"/>
              <w:ind w:right="80"/>
              <w:jc w:val="right"/>
              <w:rPr>
                <w:sz w:val="18"/>
              </w:rPr>
            </w:pPr>
            <w:r>
              <w:rPr>
                <w:spacing w:val="-2"/>
                <w:sz w:val="18"/>
              </w:rPr>
              <w:t>106,090</w:t>
            </w:r>
          </w:p>
        </w:tc>
      </w:tr>
      <w:tr w:rsidR="00AC6F3C" w14:paraId="13A7E628" w14:textId="77777777">
        <w:trPr>
          <w:trHeight w:val="449"/>
        </w:trPr>
        <w:tc>
          <w:tcPr>
            <w:tcW w:w="5349" w:type="dxa"/>
            <w:tcBorders>
              <w:left w:val="single" w:sz="6" w:space="0" w:color="000000"/>
            </w:tcBorders>
          </w:tcPr>
          <w:p w14:paraId="7476782D" w14:textId="77777777" w:rsidR="00AC6F3C" w:rsidRDefault="00AC6F3C">
            <w:pPr>
              <w:pStyle w:val="TableParagraph"/>
              <w:spacing w:before="9"/>
              <w:rPr>
                <w:sz w:val="16"/>
              </w:rPr>
            </w:pPr>
          </w:p>
          <w:p w14:paraId="7FED41DE" w14:textId="77777777" w:rsidR="00AC6F3C" w:rsidRDefault="00570E88">
            <w:pPr>
              <w:pStyle w:val="TableParagraph"/>
              <w:ind w:left="37"/>
              <w:rPr>
                <w:b/>
                <w:sz w:val="18"/>
              </w:rPr>
            </w:pPr>
            <w:r>
              <w:rPr>
                <w:b/>
                <w:spacing w:val="-2"/>
                <w:sz w:val="18"/>
              </w:rPr>
              <w:t>Key</w:t>
            </w:r>
            <w:r>
              <w:rPr>
                <w:b/>
                <w:spacing w:val="-14"/>
                <w:sz w:val="18"/>
              </w:rPr>
              <w:t xml:space="preserve"> </w:t>
            </w:r>
            <w:r>
              <w:rPr>
                <w:b/>
                <w:spacing w:val="-2"/>
                <w:sz w:val="18"/>
              </w:rPr>
              <w:t>management</w:t>
            </w:r>
            <w:r>
              <w:rPr>
                <w:b/>
                <w:spacing w:val="-3"/>
                <w:sz w:val="18"/>
              </w:rPr>
              <w:t xml:space="preserve"> </w:t>
            </w:r>
            <w:r>
              <w:rPr>
                <w:b/>
                <w:spacing w:val="-2"/>
                <w:sz w:val="18"/>
              </w:rPr>
              <w:t>personnel</w:t>
            </w:r>
            <w:r>
              <w:rPr>
                <w:b/>
                <w:spacing w:val="-8"/>
                <w:sz w:val="18"/>
              </w:rPr>
              <w:t xml:space="preserve"> </w:t>
            </w:r>
            <w:r>
              <w:rPr>
                <w:b/>
                <w:spacing w:val="-2"/>
                <w:sz w:val="18"/>
              </w:rPr>
              <w:t>compensation</w:t>
            </w:r>
            <w:r>
              <w:rPr>
                <w:b/>
                <w:spacing w:val="-9"/>
                <w:sz w:val="18"/>
              </w:rPr>
              <w:t xml:space="preserve"> </w:t>
            </w:r>
            <w:r>
              <w:rPr>
                <w:b/>
                <w:spacing w:val="-2"/>
                <w:sz w:val="18"/>
              </w:rPr>
              <w:t>for</w:t>
            </w:r>
            <w:r>
              <w:rPr>
                <w:b/>
                <w:spacing w:val="3"/>
                <w:sz w:val="18"/>
              </w:rPr>
              <w:t xml:space="preserve"> </w:t>
            </w:r>
            <w:r>
              <w:rPr>
                <w:b/>
                <w:spacing w:val="-2"/>
                <w:sz w:val="18"/>
              </w:rPr>
              <w:t>Lexon:</w:t>
            </w:r>
          </w:p>
        </w:tc>
        <w:tc>
          <w:tcPr>
            <w:tcW w:w="1137" w:type="dxa"/>
            <w:shd w:val="clear" w:color="auto" w:fill="F1F1F1"/>
          </w:tcPr>
          <w:p w14:paraId="4C04D4AA" w14:textId="77777777" w:rsidR="00AC6F3C" w:rsidRDefault="00AC6F3C">
            <w:pPr>
              <w:pStyle w:val="TableParagraph"/>
              <w:rPr>
                <w:rFonts w:ascii="Times New Roman"/>
                <w:sz w:val="18"/>
              </w:rPr>
            </w:pPr>
          </w:p>
        </w:tc>
        <w:tc>
          <w:tcPr>
            <w:tcW w:w="1115" w:type="dxa"/>
            <w:tcBorders>
              <w:right w:val="single" w:sz="6" w:space="0" w:color="000000"/>
            </w:tcBorders>
          </w:tcPr>
          <w:p w14:paraId="705F50B3" w14:textId="77777777" w:rsidR="00AC6F3C" w:rsidRDefault="00AC6F3C">
            <w:pPr>
              <w:pStyle w:val="TableParagraph"/>
              <w:rPr>
                <w:rFonts w:ascii="Times New Roman"/>
                <w:sz w:val="18"/>
              </w:rPr>
            </w:pPr>
          </w:p>
        </w:tc>
      </w:tr>
      <w:tr w:rsidR="00AC6F3C" w14:paraId="4ECAFEA9" w14:textId="77777777">
        <w:trPr>
          <w:trHeight w:val="299"/>
        </w:trPr>
        <w:tc>
          <w:tcPr>
            <w:tcW w:w="5349" w:type="dxa"/>
            <w:tcBorders>
              <w:left w:val="single" w:sz="6" w:space="0" w:color="000000"/>
            </w:tcBorders>
          </w:tcPr>
          <w:p w14:paraId="2B353B37" w14:textId="77777777" w:rsidR="00AC6F3C" w:rsidRDefault="00570E88">
            <w:pPr>
              <w:pStyle w:val="TableParagraph"/>
              <w:spacing w:before="43"/>
              <w:ind w:left="37"/>
              <w:rPr>
                <w:sz w:val="18"/>
              </w:rPr>
            </w:pPr>
            <w:r>
              <w:rPr>
                <w:sz w:val="18"/>
              </w:rPr>
              <w:t>Directors'</w:t>
            </w:r>
            <w:r>
              <w:rPr>
                <w:spacing w:val="9"/>
                <w:sz w:val="18"/>
              </w:rPr>
              <w:t xml:space="preserve"> </w:t>
            </w:r>
            <w:r>
              <w:rPr>
                <w:spacing w:val="-2"/>
                <w:sz w:val="18"/>
              </w:rPr>
              <w:t>fees*</w:t>
            </w:r>
          </w:p>
        </w:tc>
        <w:tc>
          <w:tcPr>
            <w:tcW w:w="1137" w:type="dxa"/>
            <w:shd w:val="clear" w:color="auto" w:fill="F1F1F1"/>
          </w:tcPr>
          <w:p w14:paraId="342D66AD" w14:textId="77777777" w:rsidR="00AC6F3C" w:rsidRDefault="00570E88">
            <w:pPr>
              <w:pStyle w:val="TableParagraph"/>
              <w:spacing w:before="43"/>
              <w:ind w:right="95"/>
              <w:jc w:val="right"/>
              <w:rPr>
                <w:sz w:val="18"/>
              </w:rPr>
            </w:pPr>
            <w:r>
              <w:rPr>
                <w:spacing w:val="-2"/>
                <w:sz w:val="18"/>
              </w:rPr>
              <w:t>478,001</w:t>
            </w:r>
          </w:p>
        </w:tc>
        <w:tc>
          <w:tcPr>
            <w:tcW w:w="1115" w:type="dxa"/>
            <w:tcBorders>
              <w:right w:val="single" w:sz="6" w:space="0" w:color="000000"/>
            </w:tcBorders>
          </w:tcPr>
          <w:p w14:paraId="4CC8CF71" w14:textId="77777777" w:rsidR="00AC6F3C" w:rsidRDefault="00570E88">
            <w:pPr>
              <w:pStyle w:val="TableParagraph"/>
              <w:spacing w:before="43"/>
              <w:ind w:right="80"/>
              <w:jc w:val="right"/>
              <w:rPr>
                <w:sz w:val="18"/>
              </w:rPr>
            </w:pPr>
            <w:r>
              <w:rPr>
                <w:spacing w:val="-2"/>
                <w:sz w:val="18"/>
              </w:rPr>
              <w:t>457,938</w:t>
            </w:r>
          </w:p>
        </w:tc>
      </w:tr>
      <w:tr w:rsidR="00AC6F3C" w14:paraId="6323D07D" w14:textId="77777777">
        <w:trPr>
          <w:trHeight w:val="299"/>
        </w:trPr>
        <w:tc>
          <w:tcPr>
            <w:tcW w:w="5349" w:type="dxa"/>
            <w:tcBorders>
              <w:left w:val="single" w:sz="6" w:space="0" w:color="000000"/>
            </w:tcBorders>
          </w:tcPr>
          <w:p w14:paraId="5C9886B7" w14:textId="77777777" w:rsidR="00AC6F3C" w:rsidRDefault="00570E88">
            <w:pPr>
              <w:pStyle w:val="TableParagraph"/>
              <w:spacing w:before="43"/>
              <w:ind w:left="37"/>
              <w:rPr>
                <w:sz w:val="18"/>
              </w:rPr>
            </w:pPr>
            <w:r>
              <w:rPr>
                <w:spacing w:val="-2"/>
                <w:sz w:val="18"/>
              </w:rPr>
              <w:t>Other</w:t>
            </w:r>
            <w:r>
              <w:rPr>
                <w:spacing w:val="-5"/>
                <w:sz w:val="18"/>
              </w:rPr>
              <w:t xml:space="preserve"> </w:t>
            </w:r>
            <w:r>
              <w:rPr>
                <w:spacing w:val="-2"/>
                <w:sz w:val="18"/>
              </w:rPr>
              <w:t>officers:</w:t>
            </w:r>
          </w:p>
        </w:tc>
        <w:tc>
          <w:tcPr>
            <w:tcW w:w="1137" w:type="dxa"/>
            <w:shd w:val="clear" w:color="auto" w:fill="F1F1F1"/>
          </w:tcPr>
          <w:p w14:paraId="6274F4D8" w14:textId="77777777" w:rsidR="00AC6F3C" w:rsidRDefault="00AC6F3C">
            <w:pPr>
              <w:pStyle w:val="TableParagraph"/>
              <w:rPr>
                <w:rFonts w:ascii="Times New Roman"/>
                <w:sz w:val="18"/>
              </w:rPr>
            </w:pPr>
          </w:p>
        </w:tc>
        <w:tc>
          <w:tcPr>
            <w:tcW w:w="1115" w:type="dxa"/>
            <w:tcBorders>
              <w:right w:val="single" w:sz="6" w:space="0" w:color="000000"/>
            </w:tcBorders>
          </w:tcPr>
          <w:p w14:paraId="3BE1DE8E" w14:textId="77777777" w:rsidR="00AC6F3C" w:rsidRDefault="00AC6F3C">
            <w:pPr>
              <w:pStyle w:val="TableParagraph"/>
              <w:rPr>
                <w:rFonts w:ascii="Times New Roman"/>
                <w:sz w:val="18"/>
              </w:rPr>
            </w:pPr>
          </w:p>
        </w:tc>
      </w:tr>
      <w:tr w:rsidR="00AC6F3C" w14:paraId="73F28513" w14:textId="77777777">
        <w:trPr>
          <w:trHeight w:val="299"/>
        </w:trPr>
        <w:tc>
          <w:tcPr>
            <w:tcW w:w="5349" w:type="dxa"/>
            <w:tcBorders>
              <w:left w:val="single" w:sz="6" w:space="0" w:color="000000"/>
            </w:tcBorders>
          </w:tcPr>
          <w:p w14:paraId="7002429E" w14:textId="77777777" w:rsidR="00AC6F3C" w:rsidRDefault="00570E88">
            <w:pPr>
              <w:pStyle w:val="TableParagraph"/>
              <w:spacing w:before="43"/>
              <w:ind w:left="37"/>
              <w:rPr>
                <w:sz w:val="18"/>
              </w:rPr>
            </w:pPr>
            <w:r>
              <w:rPr>
                <w:sz w:val="18"/>
              </w:rPr>
              <w:t>Salaried</w:t>
            </w:r>
            <w:r>
              <w:rPr>
                <w:spacing w:val="7"/>
                <w:sz w:val="18"/>
              </w:rPr>
              <w:t xml:space="preserve"> </w:t>
            </w:r>
            <w:r>
              <w:rPr>
                <w:sz w:val="18"/>
              </w:rPr>
              <w:t>and</w:t>
            </w:r>
            <w:r>
              <w:rPr>
                <w:spacing w:val="7"/>
                <w:sz w:val="18"/>
              </w:rPr>
              <w:t xml:space="preserve"> </w:t>
            </w:r>
            <w:r>
              <w:rPr>
                <w:sz w:val="18"/>
              </w:rPr>
              <w:t>other</w:t>
            </w:r>
            <w:r>
              <w:rPr>
                <w:spacing w:val="2"/>
                <w:sz w:val="18"/>
              </w:rPr>
              <w:t xml:space="preserve"> </w:t>
            </w:r>
            <w:r>
              <w:rPr>
                <w:sz w:val="18"/>
              </w:rPr>
              <w:t>short</w:t>
            </w:r>
            <w:r>
              <w:rPr>
                <w:spacing w:val="-5"/>
                <w:sz w:val="18"/>
              </w:rPr>
              <w:t xml:space="preserve"> </w:t>
            </w:r>
            <w:r>
              <w:rPr>
                <w:sz w:val="18"/>
              </w:rPr>
              <w:t>term</w:t>
            </w:r>
            <w:r>
              <w:rPr>
                <w:spacing w:val="19"/>
                <w:sz w:val="18"/>
              </w:rPr>
              <w:t xml:space="preserve"> </w:t>
            </w:r>
            <w:r>
              <w:rPr>
                <w:sz w:val="18"/>
              </w:rPr>
              <w:t>employee</w:t>
            </w:r>
            <w:r>
              <w:rPr>
                <w:spacing w:val="7"/>
                <w:sz w:val="18"/>
              </w:rPr>
              <w:t xml:space="preserve"> </w:t>
            </w:r>
            <w:r>
              <w:rPr>
                <w:spacing w:val="-2"/>
                <w:sz w:val="18"/>
              </w:rPr>
              <w:t>benefits</w:t>
            </w:r>
          </w:p>
        </w:tc>
        <w:tc>
          <w:tcPr>
            <w:tcW w:w="1137" w:type="dxa"/>
            <w:shd w:val="clear" w:color="auto" w:fill="F1F1F1"/>
          </w:tcPr>
          <w:p w14:paraId="21C2A73A" w14:textId="77777777" w:rsidR="00AC6F3C" w:rsidRDefault="00570E88">
            <w:pPr>
              <w:pStyle w:val="TableParagraph"/>
              <w:spacing w:before="43"/>
              <w:ind w:right="95"/>
              <w:jc w:val="right"/>
              <w:rPr>
                <w:sz w:val="18"/>
              </w:rPr>
            </w:pPr>
            <w:r>
              <w:rPr>
                <w:spacing w:val="-2"/>
                <w:sz w:val="18"/>
              </w:rPr>
              <w:t>1,452,981</w:t>
            </w:r>
          </w:p>
        </w:tc>
        <w:tc>
          <w:tcPr>
            <w:tcW w:w="1115" w:type="dxa"/>
            <w:tcBorders>
              <w:right w:val="single" w:sz="6" w:space="0" w:color="000000"/>
            </w:tcBorders>
          </w:tcPr>
          <w:p w14:paraId="4396316A" w14:textId="77777777" w:rsidR="00AC6F3C" w:rsidRDefault="00570E88">
            <w:pPr>
              <w:pStyle w:val="TableParagraph"/>
              <w:spacing w:before="43"/>
              <w:ind w:right="80"/>
              <w:jc w:val="right"/>
              <w:rPr>
                <w:sz w:val="18"/>
              </w:rPr>
            </w:pPr>
            <w:r>
              <w:rPr>
                <w:spacing w:val="-2"/>
                <w:sz w:val="18"/>
              </w:rPr>
              <w:t>1,413,345</w:t>
            </w:r>
          </w:p>
        </w:tc>
      </w:tr>
      <w:tr w:rsidR="00AC6F3C" w14:paraId="02AFB538" w14:textId="77777777">
        <w:trPr>
          <w:trHeight w:val="256"/>
        </w:trPr>
        <w:tc>
          <w:tcPr>
            <w:tcW w:w="5349" w:type="dxa"/>
            <w:tcBorders>
              <w:left w:val="single" w:sz="6" w:space="0" w:color="000000"/>
              <w:bottom w:val="single" w:sz="6" w:space="0" w:color="000000"/>
            </w:tcBorders>
          </w:tcPr>
          <w:p w14:paraId="39E81460" w14:textId="77777777" w:rsidR="00AC6F3C" w:rsidRDefault="00570E88">
            <w:pPr>
              <w:pStyle w:val="TableParagraph"/>
              <w:spacing w:before="43" w:line="194" w:lineRule="exact"/>
              <w:ind w:left="37"/>
              <w:rPr>
                <w:sz w:val="18"/>
              </w:rPr>
            </w:pPr>
            <w:r>
              <w:rPr>
                <w:sz w:val="18"/>
              </w:rPr>
              <w:t>Employer's</w:t>
            </w:r>
            <w:r>
              <w:rPr>
                <w:spacing w:val="15"/>
                <w:sz w:val="18"/>
              </w:rPr>
              <w:t xml:space="preserve"> </w:t>
            </w:r>
            <w:r>
              <w:rPr>
                <w:sz w:val="18"/>
              </w:rPr>
              <w:t>contribution</w:t>
            </w:r>
            <w:r>
              <w:rPr>
                <w:spacing w:val="4"/>
                <w:sz w:val="18"/>
              </w:rPr>
              <w:t xml:space="preserve"> </w:t>
            </w:r>
            <w:r>
              <w:rPr>
                <w:sz w:val="18"/>
              </w:rPr>
              <w:t>to</w:t>
            </w:r>
            <w:r>
              <w:rPr>
                <w:spacing w:val="4"/>
                <w:sz w:val="18"/>
              </w:rPr>
              <w:t xml:space="preserve"> </w:t>
            </w:r>
            <w:r>
              <w:rPr>
                <w:sz w:val="18"/>
              </w:rPr>
              <w:t>defined</w:t>
            </w:r>
            <w:r>
              <w:rPr>
                <w:spacing w:val="4"/>
                <w:sz w:val="18"/>
              </w:rPr>
              <w:t xml:space="preserve"> </w:t>
            </w:r>
            <w:r>
              <w:rPr>
                <w:sz w:val="18"/>
              </w:rPr>
              <w:t>contribution</w:t>
            </w:r>
            <w:r>
              <w:rPr>
                <w:spacing w:val="5"/>
                <w:sz w:val="18"/>
              </w:rPr>
              <w:t xml:space="preserve"> </w:t>
            </w:r>
            <w:r>
              <w:rPr>
                <w:spacing w:val="-2"/>
                <w:sz w:val="18"/>
              </w:rPr>
              <w:t>plans</w:t>
            </w:r>
          </w:p>
        </w:tc>
        <w:tc>
          <w:tcPr>
            <w:tcW w:w="1137" w:type="dxa"/>
            <w:tcBorders>
              <w:bottom w:val="single" w:sz="6" w:space="0" w:color="000000"/>
            </w:tcBorders>
            <w:shd w:val="clear" w:color="auto" w:fill="F1F1F1"/>
          </w:tcPr>
          <w:p w14:paraId="17628510" w14:textId="77777777" w:rsidR="00AC6F3C" w:rsidRDefault="00570E88">
            <w:pPr>
              <w:pStyle w:val="TableParagraph"/>
              <w:spacing w:before="43" w:line="194" w:lineRule="exact"/>
              <w:ind w:right="95"/>
              <w:jc w:val="right"/>
              <w:rPr>
                <w:sz w:val="18"/>
              </w:rPr>
            </w:pPr>
            <w:r>
              <w:rPr>
                <w:spacing w:val="-2"/>
                <w:sz w:val="18"/>
              </w:rPr>
              <w:t>101,399</w:t>
            </w:r>
          </w:p>
        </w:tc>
        <w:tc>
          <w:tcPr>
            <w:tcW w:w="1115" w:type="dxa"/>
            <w:tcBorders>
              <w:bottom w:val="single" w:sz="6" w:space="0" w:color="000000"/>
              <w:right w:val="single" w:sz="6" w:space="0" w:color="000000"/>
            </w:tcBorders>
          </w:tcPr>
          <w:p w14:paraId="399776A7" w14:textId="77777777" w:rsidR="00AC6F3C" w:rsidRDefault="00570E88">
            <w:pPr>
              <w:pStyle w:val="TableParagraph"/>
              <w:spacing w:before="43" w:line="194" w:lineRule="exact"/>
              <w:ind w:right="80"/>
              <w:jc w:val="right"/>
              <w:rPr>
                <w:sz w:val="18"/>
              </w:rPr>
            </w:pPr>
            <w:r>
              <w:rPr>
                <w:spacing w:val="-2"/>
                <w:sz w:val="18"/>
              </w:rPr>
              <w:t>94,141</w:t>
            </w:r>
          </w:p>
        </w:tc>
      </w:tr>
    </w:tbl>
    <w:p w14:paraId="29C7E2F0" w14:textId="77777777" w:rsidR="00AC6F3C" w:rsidRDefault="00AC6F3C">
      <w:pPr>
        <w:pStyle w:val="BodyText"/>
        <w:spacing w:before="8"/>
        <w:rPr>
          <w:sz w:val="23"/>
        </w:rPr>
      </w:pPr>
    </w:p>
    <w:p w14:paraId="7459D080" w14:textId="77777777" w:rsidR="00AC6F3C" w:rsidRDefault="00570E88">
      <w:pPr>
        <w:spacing w:line="207" w:lineRule="exact"/>
        <w:ind w:left="958"/>
        <w:rPr>
          <w:sz w:val="18"/>
        </w:rPr>
      </w:pPr>
      <w:r>
        <w:rPr>
          <w:sz w:val="18"/>
        </w:rPr>
        <w:t>*</w:t>
      </w:r>
      <w:r>
        <w:rPr>
          <w:spacing w:val="-5"/>
          <w:sz w:val="18"/>
        </w:rPr>
        <w:t xml:space="preserve"> </w:t>
      </w:r>
      <w:r>
        <w:rPr>
          <w:sz w:val="18"/>
        </w:rPr>
        <w:t>Includes</w:t>
      </w:r>
      <w:r>
        <w:rPr>
          <w:spacing w:val="-1"/>
          <w:sz w:val="18"/>
        </w:rPr>
        <w:t xml:space="preserve"> </w:t>
      </w:r>
      <w:r>
        <w:rPr>
          <w:sz w:val="18"/>
        </w:rPr>
        <w:t>Directors’ fees</w:t>
      </w:r>
      <w:r>
        <w:rPr>
          <w:spacing w:val="-3"/>
          <w:sz w:val="18"/>
        </w:rPr>
        <w:t xml:space="preserve"> </w:t>
      </w:r>
      <w:r>
        <w:rPr>
          <w:sz w:val="18"/>
        </w:rPr>
        <w:t>in relation</w:t>
      </w:r>
      <w:r>
        <w:rPr>
          <w:spacing w:val="-4"/>
          <w:sz w:val="18"/>
        </w:rPr>
        <w:t xml:space="preserve"> </w:t>
      </w:r>
      <w:r>
        <w:rPr>
          <w:sz w:val="18"/>
        </w:rPr>
        <w:t>to</w:t>
      </w:r>
      <w:r>
        <w:rPr>
          <w:spacing w:val="-3"/>
          <w:sz w:val="18"/>
        </w:rPr>
        <w:t xml:space="preserve"> </w:t>
      </w:r>
      <w:proofErr w:type="spellStart"/>
      <w:r>
        <w:rPr>
          <w:sz w:val="18"/>
        </w:rPr>
        <w:t>Mr</w:t>
      </w:r>
      <w:proofErr w:type="spellEnd"/>
      <w:r>
        <w:rPr>
          <w:spacing w:val="-2"/>
          <w:sz w:val="18"/>
        </w:rPr>
        <w:t xml:space="preserve"> </w:t>
      </w:r>
      <w:r>
        <w:rPr>
          <w:sz w:val="18"/>
        </w:rPr>
        <w:t>Rolf</w:t>
      </w:r>
      <w:r>
        <w:rPr>
          <w:spacing w:val="-3"/>
          <w:sz w:val="18"/>
        </w:rPr>
        <w:t xml:space="preserve"> </w:t>
      </w:r>
      <w:r>
        <w:rPr>
          <w:sz w:val="18"/>
        </w:rPr>
        <w:t>Moses</w:t>
      </w:r>
      <w:r>
        <w:rPr>
          <w:spacing w:val="-1"/>
          <w:sz w:val="18"/>
        </w:rPr>
        <w:t xml:space="preserve"> </w:t>
      </w:r>
      <w:r>
        <w:rPr>
          <w:sz w:val="18"/>
        </w:rPr>
        <w:t>which</w:t>
      </w:r>
      <w:r>
        <w:rPr>
          <w:spacing w:val="-3"/>
          <w:sz w:val="18"/>
        </w:rPr>
        <w:t xml:space="preserve"> </w:t>
      </w:r>
      <w:r>
        <w:rPr>
          <w:sz w:val="18"/>
        </w:rPr>
        <w:t>were</w:t>
      </w:r>
      <w:r>
        <w:rPr>
          <w:spacing w:val="-1"/>
          <w:sz w:val="18"/>
        </w:rPr>
        <w:t xml:space="preserve"> </w:t>
      </w:r>
      <w:r>
        <w:rPr>
          <w:sz w:val="18"/>
        </w:rPr>
        <w:t>paid to</w:t>
      </w:r>
      <w:r>
        <w:rPr>
          <w:spacing w:val="-4"/>
          <w:sz w:val="18"/>
        </w:rPr>
        <w:t xml:space="preserve"> </w:t>
      </w:r>
      <w:r>
        <w:rPr>
          <w:sz w:val="18"/>
        </w:rPr>
        <w:t>QLS</w:t>
      </w:r>
      <w:r>
        <w:rPr>
          <w:spacing w:val="-1"/>
          <w:sz w:val="18"/>
        </w:rPr>
        <w:t xml:space="preserve"> </w:t>
      </w:r>
      <w:r>
        <w:rPr>
          <w:sz w:val="18"/>
        </w:rPr>
        <w:t>in</w:t>
      </w:r>
      <w:r>
        <w:rPr>
          <w:spacing w:val="-3"/>
          <w:sz w:val="18"/>
        </w:rPr>
        <w:t xml:space="preserve"> </w:t>
      </w:r>
      <w:r>
        <w:rPr>
          <w:sz w:val="18"/>
        </w:rPr>
        <w:t>2022-</w:t>
      </w:r>
      <w:r>
        <w:rPr>
          <w:spacing w:val="-5"/>
          <w:sz w:val="18"/>
        </w:rPr>
        <w:t>23:</w:t>
      </w:r>
    </w:p>
    <w:p w14:paraId="34A0C200" w14:textId="77777777" w:rsidR="00AC6F3C" w:rsidRDefault="00570E88">
      <w:pPr>
        <w:spacing w:line="207" w:lineRule="exact"/>
        <w:ind w:left="1099"/>
        <w:rPr>
          <w:sz w:val="18"/>
        </w:rPr>
      </w:pPr>
      <w:r>
        <w:rPr>
          <w:sz w:val="18"/>
        </w:rPr>
        <w:t>$Nil</w:t>
      </w:r>
      <w:r>
        <w:rPr>
          <w:spacing w:val="-2"/>
          <w:sz w:val="18"/>
        </w:rPr>
        <w:t xml:space="preserve"> </w:t>
      </w:r>
      <w:r>
        <w:rPr>
          <w:sz w:val="18"/>
        </w:rPr>
        <w:t>(2021-22:</w:t>
      </w:r>
      <w:r>
        <w:rPr>
          <w:spacing w:val="-2"/>
          <w:sz w:val="18"/>
        </w:rPr>
        <w:t xml:space="preserve"> $38,750).</w:t>
      </w:r>
    </w:p>
    <w:p w14:paraId="163F4B73" w14:textId="77777777" w:rsidR="00AC6F3C" w:rsidRDefault="00AC6F3C">
      <w:pPr>
        <w:spacing w:line="207" w:lineRule="exact"/>
        <w:rPr>
          <w:sz w:val="18"/>
        </w:rPr>
        <w:sectPr w:rsidR="00AC6F3C">
          <w:pgSz w:w="11910" w:h="16840"/>
          <w:pgMar w:top="2020" w:right="1160" w:bottom="520" w:left="460" w:header="1228" w:footer="336" w:gutter="0"/>
          <w:cols w:space="720"/>
        </w:sectPr>
      </w:pPr>
    </w:p>
    <w:p w14:paraId="153E3F44" w14:textId="77777777" w:rsidR="00AC6F3C" w:rsidRDefault="00AC6F3C">
      <w:pPr>
        <w:pStyle w:val="BodyText"/>
      </w:pPr>
    </w:p>
    <w:p w14:paraId="100DC7EE" w14:textId="77777777" w:rsidR="00AC6F3C" w:rsidRDefault="00570E88">
      <w:pPr>
        <w:tabs>
          <w:tab w:val="left" w:pos="1666"/>
        </w:tabs>
        <w:spacing w:before="249"/>
        <w:ind w:left="1666" w:right="1643" w:hanging="708"/>
        <w:rPr>
          <w:b/>
          <w:sz w:val="28"/>
        </w:rPr>
      </w:pPr>
      <w:r>
        <w:rPr>
          <w:b/>
          <w:spacing w:val="-6"/>
          <w:sz w:val="28"/>
        </w:rPr>
        <w:t>E3</w:t>
      </w:r>
      <w:r>
        <w:rPr>
          <w:b/>
          <w:sz w:val="28"/>
        </w:rPr>
        <w:tab/>
        <w:t>FIRST YEAR APPLICATION OF NEW ACCOUNTING STANDARDS</w:t>
      </w:r>
      <w:r>
        <w:rPr>
          <w:b/>
          <w:spacing w:val="-11"/>
          <w:sz w:val="28"/>
        </w:rPr>
        <w:t xml:space="preserve"> </w:t>
      </w:r>
      <w:r>
        <w:rPr>
          <w:b/>
          <w:sz w:val="28"/>
        </w:rPr>
        <w:t>OR</w:t>
      </w:r>
      <w:r>
        <w:rPr>
          <w:b/>
          <w:spacing w:val="-11"/>
          <w:sz w:val="28"/>
        </w:rPr>
        <w:t xml:space="preserve"> </w:t>
      </w:r>
      <w:r>
        <w:rPr>
          <w:b/>
          <w:sz w:val="28"/>
        </w:rPr>
        <w:t>CHANGE</w:t>
      </w:r>
      <w:r>
        <w:rPr>
          <w:b/>
          <w:spacing w:val="-10"/>
          <w:sz w:val="28"/>
        </w:rPr>
        <w:t xml:space="preserve"> </w:t>
      </w:r>
      <w:r>
        <w:rPr>
          <w:b/>
          <w:sz w:val="28"/>
        </w:rPr>
        <w:t>IN</w:t>
      </w:r>
      <w:r>
        <w:rPr>
          <w:b/>
          <w:spacing w:val="-20"/>
          <w:sz w:val="28"/>
        </w:rPr>
        <w:t xml:space="preserve"> </w:t>
      </w:r>
      <w:r>
        <w:rPr>
          <w:b/>
          <w:sz w:val="28"/>
        </w:rPr>
        <w:t>ACCOUNTING</w:t>
      </w:r>
      <w:r>
        <w:rPr>
          <w:b/>
          <w:spacing w:val="-9"/>
          <w:sz w:val="28"/>
        </w:rPr>
        <w:t xml:space="preserve"> </w:t>
      </w:r>
      <w:r>
        <w:rPr>
          <w:b/>
          <w:sz w:val="28"/>
        </w:rPr>
        <w:t>POLICY</w:t>
      </w:r>
    </w:p>
    <w:p w14:paraId="7BBBC016" w14:textId="77777777" w:rsidR="00AC6F3C" w:rsidRDefault="00570E88">
      <w:pPr>
        <w:spacing w:before="239"/>
        <w:ind w:left="958"/>
        <w:rPr>
          <w:b/>
          <w:sz w:val="18"/>
        </w:rPr>
      </w:pPr>
      <w:r>
        <w:rPr>
          <w:b/>
          <w:color w:val="231F20"/>
          <w:sz w:val="18"/>
        </w:rPr>
        <w:t>Changes</w:t>
      </w:r>
      <w:r>
        <w:rPr>
          <w:b/>
          <w:color w:val="231F20"/>
          <w:spacing w:val="-4"/>
          <w:sz w:val="18"/>
        </w:rPr>
        <w:t xml:space="preserve"> </w:t>
      </w:r>
      <w:r>
        <w:rPr>
          <w:b/>
          <w:color w:val="231F20"/>
          <w:sz w:val="18"/>
        </w:rPr>
        <w:t>in</w:t>
      </w:r>
      <w:r>
        <w:rPr>
          <w:b/>
          <w:color w:val="231F20"/>
          <w:spacing w:val="-2"/>
          <w:sz w:val="18"/>
        </w:rPr>
        <w:t xml:space="preserve"> </w:t>
      </w:r>
      <w:r>
        <w:rPr>
          <w:b/>
          <w:color w:val="231F20"/>
          <w:sz w:val="18"/>
        </w:rPr>
        <w:t>accounting</w:t>
      </w:r>
      <w:r>
        <w:rPr>
          <w:b/>
          <w:color w:val="231F20"/>
          <w:spacing w:val="-1"/>
          <w:sz w:val="18"/>
        </w:rPr>
        <w:t xml:space="preserve"> </w:t>
      </w:r>
      <w:r>
        <w:rPr>
          <w:b/>
          <w:color w:val="231F20"/>
          <w:spacing w:val="-2"/>
          <w:sz w:val="18"/>
        </w:rPr>
        <w:t>policy</w:t>
      </w:r>
    </w:p>
    <w:p w14:paraId="6CC508E5" w14:textId="77777777" w:rsidR="00AC6F3C" w:rsidRDefault="00AC6F3C">
      <w:pPr>
        <w:pStyle w:val="BodyText"/>
        <w:spacing w:before="9"/>
        <w:rPr>
          <w:b/>
        </w:rPr>
      </w:pPr>
    </w:p>
    <w:p w14:paraId="5DF3319A" w14:textId="77777777" w:rsidR="00AC6F3C" w:rsidRDefault="00570E88">
      <w:pPr>
        <w:ind w:left="958"/>
        <w:rPr>
          <w:sz w:val="18"/>
        </w:rPr>
      </w:pPr>
      <w:r>
        <w:rPr>
          <w:color w:val="231F20"/>
          <w:sz w:val="18"/>
        </w:rPr>
        <w:t>The</w:t>
      </w:r>
      <w:r>
        <w:rPr>
          <w:color w:val="231F20"/>
          <w:spacing w:val="-2"/>
          <w:sz w:val="18"/>
        </w:rPr>
        <w:t xml:space="preserve"> </w:t>
      </w:r>
      <w:r>
        <w:rPr>
          <w:color w:val="231F20"/>
          <w:sz w:val="18"/>
        </w:rPr>
        <w:t>Group</w:t>
      </w:r>
      <w:r>
        <w:rPr>
          <w:color w:val="231F20"/>
          <w:spacing w:val="-4"/>
          <w:sz w:val="18"/>
        </w:rPr>
        <w:t xml:space="preserve"> </w:t>
      </w:r>
      <w:r>
        <w:rPr>
          <w:color w:val="231F20"/>
          <w:sz w:val="18"/>
        </w:rPr>
        <w:t>did</w:t>
      </w:r>
      <w:r>
        <w:rPr>
          <w:color w:val="231F20"/>
          <w:spacing w:val="-2"/>
          <w:sz w:val="18"/>
        </w:rPr>
        <w:t xml:space="preserve"> </w:t>
      </w:r>
      <w:r>
        <w:rPr>
          <w:color w:val="231F20"/>
          <w:sz w:val="18"/>
        </w:rPr>
        <w:t>not</w:t>
      </w:r>
      <w:r>
        <w:rPr>
          <w:color w:val="231F20"/>
          <w:spacing w:val="-4"/>
          <w:sz w:val="18"/>
        </w:rPr>
        <w:t xml:space="preserve"> </w:t>
      </w:r>
      <w:r>
        <w:rPr>
          <w:color w:val="231F20"/>
          <w:sz w:val="18"/>
        </w:rPr>
        <w:t>voluntarily</w:t>
      </w:r>
      <w:r>
        <w:rPr>
          <w:color w:val="231F20"/>
          <w:spacing w:val="-4"/>
          <w:sz w:val="18"/>
        </w:rPr>
        <w:t xml:space="preserve"> </w:t>
      </w:r>
      <w:r>
        <w:rPr>
          <w:color w:val="231F20"/>
          <w:sz w:val="18"/>
        </w:rPr>
        <w:t>change</w:t>
      </w:r>
      <w:r>
        <w:rPr>
          <w:color w:val="231F20"/>
          <w:spacing w:val="-4"/>
          <w:sz w:val="18"/>
        </w:rPr>
        <w:t xml:space="preserve"> </w:t>
      </w:r>
      <w:r>
        <w:rPr>
          <w:color w:val="231F20"/>
          <w:sz w:val="18"/>
        </w:rPr>
        <w:t>any</w:t>
      </w:r>
      <w:r>
        <w:rPr>
          <w:color w:val="231F20"/>
          <w:spacing w:val="-2"/>
          <w:sz w:val="18"/>
        </w:rPr>
        <w:t xml:space="preserve"> </w:t>
      </w:r>
      <w:r>
        <w:rPr>
          <w:color w:val="231F20"/>
          <w:sz w:val="18"/>
        </w:rPr>
        <w:t>of</w:t>
      </w:r>
      <w:r>
        <w:rPr>
          <w:color w:val="231F20"/>
          <w:spacing w:val="-4"/>
          <w:sz w:val="18"/>
        </w:rPr>
        <w:t xml:space="preserve"> </w:t>
      </w:r>
      <w:r>
        <w:rPr>
          <w:color w:val="231F20"/>
          <w:sz w:val="18"/>
        </w:rPr>
        <w:t>its</w:t>
      </w:r>
      <w:r>
        <w:rPr>
          <w:color w:val="231F20"/>
          <w:spacing w:val="-4"/>
          <w:sz w:val="18"/>
        </w:rPr>
        <w:t xml:space="preserve"> </w:t>
      </w:r>
      <w:r>
        <w:rPr>
          <w:color w:val="231F20"/>
          <w:sz w:val="18"/>
        </w:rPr>
        <w:t>accounting</w:t>
      </w:r>
      <w:r>
        <w:rPr>
          <w:color w:val="231F20"/>
          <w:spacing w:val="-1"/>
          <w:sz w:val="18"/>
        </w:rPr>
        <w:t xml:space="preserve"> </w:t>
      </w:r>
      <w:r>
        <w:rPr>
          <w:color w:val="231F20"/>
          <w:sz w:val="18"/>
        </w:rPr>
        <w:t>policies</w:t>
      </w:r>
      <w:r>
        <w:rPr>
          <w:color w:val="231F20"/>
          <w:spacing w:val="-4"/>
          <w:sz w:val="18"/>
        </w:rPr>
        <w:t xml:space="preserve"> </w:t>
      </w:r>
      <w:r>
        <w:rPr>
          <w:color w:val="231F20"/>
          <w:sz w:val="18"/>
        </w:rPr>
        <w:t>during</w:t>
      </w:r>
      <w:r>
        <w:rPr>
          <w:color w:val="231F20"/>
          <w:spacing w:val="-1"/>
          <w:sz w:val="18"/>
        </w:rPr>
        <w:t xml:space="preserve"> </w:t>
      </w:r>
      <w:r>
        <w:rPr>
          <w:color w:val="231F20"/>
          <w:sz w:val="18"/>
        </w:rPr>
        <w:t>2022-</w:t>
      </w:r>
      <w:r>
        <w:rPr>
          <w:color w:val="231F20"/>
          <w:spacing w:val="-5"/>
          <w:sz w:val="18"/>
        </w:rPr>
        <w:t>23.</w:t>
      </w:r>
    </w:p>
    <w:p w14:paraId="55C2B6E3" w14:textId="77777777" w:rsidR="00AC6F3C" w:rsidRDefault="00AC6F3C">
      <w:pPr>
        <w:pStyle w:val="BodyText"/>
        <w:spacing w:before="9"/>
      </w:pPr>
    </w:p>
    <w:p w14:paraId="29EF096B" w14:textId="77777777" w:rsidR="00AC6F3C" w:rsidRDefault="00570E88">
      <w:pPr>
        <w:spacing w:before="1"/>
        <w:ind w:left="958"/>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4"/>
          <w:sz w:val="18"/>
        </w:rPr>
        <w:t xml:space="preserve"> </w:t>
      </w:r>
      <w:r>
        <w:rPr>
          <w:b/>
          <w:color w:val="231F20"/>
          <w:sz w:val="18"/>
        </w:rPr>
        <w:t>early</w:t>
      </w:r>
      <w:r>
        <w:rPr>
          <w:b/>
          <w:color w:val="231F20"/>
          <w:spacing w:val="-4"/>
          <w:sz w:val="18"/>
        </w:rPr>
        <w:t xml:space="preserve"> </w:t>
      </w:r>
      <w:r>
        <w:rPr>
          <w:b/>
          <w:color w:val="231F20"/>
          <w:spacing w:val="-2"/>
          <w:sz w:val="18"/>
        </w:rPr>
        <w:t>adopted</w:t>
      </w:r>
    </w:p>
    <w:p w14:paraId="52491760" w14:textId="77777777" w:rsidR="00AC6F3C" w:rsidRDefault="00AC6F3C">
      <w:pPr>
        <w:pStyle w:val="BodyText"/>
        <w:rPr>
          <w:b/>
          <w:sz w:val="21"/>
        </w:rPr>
      </w:pPr>
    </w:p>
    <w:p w14:paraId="59129EFB" w14:textId="77777777" w:rsidR="00AC6F3C" w:rsidRDefault="00570E88">
      <w:pPr>
        <w:ind w:left="958" w:right="990"/>
        <w:rPr>
          <w:sz w:val="18"/>
        </w:rPr>
      </w:pPr>
      <w:r>
        <w:rPr>
          <w:color w:val="231F20"/>
          <w:sz w:val="18"/>
        </w:rPr>
        <w:t>The</w:t>
      </w:r>
      <w:r>
        <w:rPr>
          <w:color w:val="231F20"/>
          <w:spacing w:val="-1"/>
          <w:sz w:val="18"/>
        </w:rPr>
        <w:t xml:space="preserve"> </w:t>
      </w:r>
      <w:r>
        <w:rPr>
          <w:color w:val="231F20"/>
          <w:sz w:val="18"/>
        </w:rPr>
        <w:t>Australian</w:t>
      </w:r>
      <w:r>
        <w:rPr>
          <w:color w:val="231F20"/>
          <w:spacing w:val="-4"/>
          <w:sz w:val="18"/>
        </w:rPr>
        <w:t xml:space="preserve"> </w:t>
      </w:r>
      <w:r>
        <w:rPr>
          <w:color w:val="231F20"/>
          <w:sz w:val="18"/>
        </w:rPr>
        <w:t>Accounting</w:t>
      </w:r>
      <w:r>
        <w:rPr>
          <w:color w:val="231F20"/>
          <w:spacing w:val="-4"/>
          <w:sz w:val="18"/>
        </w:rPr>
        <w:t xml:space="preserve"> </w:t>
      </w:r>
      <w:r>
        <w:rPr>
          <w:color w:val="231F20"/>
          <w:sz w:val="18"/>
        </w:rPr>
        <w:t>Standard,</w:t>
      </w:r>
      <w:r>
        <w:rPr>
          <w:color w:val="231F20"/>
          <w:spacing w:val="-2"/>
          <w:sz w:val="18"/>
        </w:rPr>
        <w:t xml:space="preserve"> </w:t>
      </w:r>
      <w:r>
        <w:rPr>
          <w:color w:val="231F20"/>
          <w:sz w:val="18"/>
        </w:rPr>
        <w:t>AASB</w:t>
      </w:r>
      <w:r>
        <w:rPr>
          <w:color w:val="231F20"/>
          <w:spacing w:val="-5"/>
          <w:sz w:val="18"/>
        </w:rPr>
        <w:t xml:space="preserve"> </w:t>
      </w:r>
      <w:r>
        <w:rPr>
          <w:color w:val="231F20"/>
          <w:sz w:val="18"/>
        </w:rPr>
        <w:t>17</w:t>
      </w:r>
      <w:r>
        <w:rPr>
          <w:color w:val="231F20"/>
          <w:spacing w:val="-1"/>
          <w:sz w:val="18"/>
        </w:rPr>
        <w:t xml:space="preserve"> </w:t>
      </w:r>
      <w:r>
        <w:rPr>
          <w:color w:val="231F20"/>
          <w:sz w:val="18"/>
        </w:rPr>
        <w:t>Insurance</w:t>
      </w:r>
      <w:r>
        <w:rPr>
          <w:color w:val="231F20"/>
          <w:spacing w:val="-1"/>
          <w:sz w:val="18"/>
        </w:rPr>
        <w:t xml:space="preserve"> </w:t>
      </w:r>
      <w:r>
        <w:rPr>
          <w:color w:val="231F20"/>
          <w:sz w:val="18"/>
        </w:rPr>
        <w:t>Contracts,</w:t>
      </w:r>
      <w:r>
        <w:rPr>
          <w:color w:val="231F20"/>
          <w:spacing w:val="-2"/>
          <w:sz w:val="18"/>
        </w:rPr>
        <w:t xml:space="preserve"> </w:t>
      </w:r>
      <w:r>
        <w:rPr>
          <w:color w:val="231F20"/>
          <w:sz w:val="18"/>
        </w:rPr>
        <w:t>will</w:t>
      </w:r>
      <w:r>
        <w:rPr>
          <w:color w:val="231F20"/>
          <w:spacing w:val="-4"/>
          <w:sz w:val="18"/>
        </w:rPr>
        <w:t xml:space="preserve"> </w:t>
      </w:r>
      <w:r>
        <w:rPr>
          <w:color w:val="231F20"/>
          <w:sz w:val="18"/>
        </w:rPr>
        <w:t>be</w:t>
      </w:r>
      <w:r>
        <w:rPr>
          <w:color w:val="231F20"/>
          <w:spacing w:val="-1"/>
          <w:sz w:val="18"/>
        </w:rPr>
        <w:t xml:space="preserve"> </w:t>
      </w:r>
      <w:r>
        <w:rPr>
          <w:color w:val="231F20"/>
          <w:sz w:val="18"/>
        </w:rPr>
        <w:t>early</w:t>
      </w:r>
      <w:r>
        <w:rPr>
          <w:color w:val="231F20"/>
          <w:spacing w:val="-3"/>
          <w:sz w:val="18"/>
        </w:rPr>
        <w:t xml:space="preserve"> </w:t>
      </w:r>
      <w:r>
        <w:rPr>
          <w:color w:val="231F20"/>
          <w:sz w:val="18"/>
        </w:rPr>
        <w:t>adopted</w:t>
      </w:r>
      <w:r>
        <w:rPr>
          <w:color w:val="231F20"/>
          <w:spacing w:val="-4"/>
          <w:sz w:val="18"/>
        </w:rPr>
        <w:t xml:space="preserve"> </w:t>
      </w:r>
      <w:r>
        <w:rPr>
          <w:color w:val="231F20"/>
          <w:sz w:val="18"/>
        </w:rPr>
        <w:t>for</w:t>
      </w:r>
      <w:r>
        <w:rPr>
          <w:color w:val="231F20"/>
          <w:spacing w:val="-2"/>
          <w:sz w:val="18"/>
        </w:rPr>
        <w:t xml:space="preserve"> </w:t>
      </w:r>
      <w:r>
        <w:rPr>
          <w:color w:val="231F20"/>
          <w:sz w:val="18"/>
        </w:rPr>
        <w:t>2022-23. Refer D5.</w:t>
      </w:r>
    </w:p>
    <w:p w14:paraId="3A69EC9C" w14:textId="77777777" w:rsidR="00AC6F3C" w:rsidRDefault="00AC6F3C">
      <w:pPr>
        <w:pStyle w:val="BodyText"/>
        <w:spacing w:before="8"/>
      </w:pPr>
    </w:p>
    <w:p w14:paraId="0CA6E5F5" w14:textId="77777777" w:rsidR="00AC6F3C" w:rsidRDefault="00570E88">
      <w:pPr>
        <w:spacing w:before="1"/>
        <w:ind w:left="958"/>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3"/>
          <w:sz w:val="18"/>
        </w:rPr>
        <w:t xml:space="preserve"> </w:t>
      </w:r>
      <w:r>
        <w:rPr>
          <w:b/>
          <w:color w:val="231F20"/>
          <w:sz w:val="18"/>
        </w:rPr>
        <w:t>applied</w:t>
      </w:r>
      <w:r>
        <w:rPr>
          <w:b/>
          <w:color w:val="231F20"/>
          <w:spacing w:val="-2"/>
          <w:sz w:val="18"/>
        </w:rPr>
        <w:t xml:space="preserve"> </w:t>
      </w:r>
      <w:r>
        <w:rPr>
          <w:b/>
          <w:color w:val="231F20"/>
          <w:sz w:val="18"/>
        </w:rPr>
        <w:t>for</w:t>
      </w:r>
      <w:r>
        <w:rPr>
          <w:b/>
          <w:color w:val="231F20"/>
          <w:spacing w:val="-3"/>
          <w:sz w:val="18"/>
        </w:rPr>
        <w:t xml:space="preserve"> </w:t>
      </w:r>
      <w:r>
        <w:rPr>
          <w:b/>
          <w:color w:val="231F20"/>
          <w:sz w:val="18"/>
        </w:rPr>
        <w:t>the</w:t>
      </w:r>
      <w:r>
        <w:rPr>
          <w:b/>
          <w:color w:val="231F20"/>
          <w:spacing w:val="-1"/>
          <w:sz w:val="18"/>
        </w:rPr>
        <w:t xml:space="preserve"> </w:t>
      </w:r>
      <w:r>
        <w:rPr>
          <w:b/>
          <w:color w:val="231F20"/>
          <w:sz w:val="18"/>
        </w:rPr>
        <w:t>first</w:t>
      </w:r>
      <w:r>
        <w:rPr>
          <w:b/>
          <w:color w:val="231F20"/>
          <w:spacing w:val="-2"/>
          <w:sz w:val="18"/>
        </w:rPr>
        <w:t xml:space="preserve"> </w:t>
      </w:r>
      <w:r>
        <w:rPr>
          <w:b/>
          <w:color w:val="231F20"/>
          <w:spacing w:val="-4"/>
          <w:sz w:val="18"/>
        </w:rPr>
        <w:t>time</w:t>
      </w:r>
    </w:p>
    <w:p w14:paraId="79D08DD7" w14:textId="77777777" w:rsidR="00AC6F3C" w:rsidRDefault="00AC6F3C">
      <w:pPr>
        <w:pStyle w:val="BodyText"/>
        <w:spacing w:before="9"/>
        <w:rPr>
          <w:b/>
        </w:rPr>
      </w:pPr>
    </w:p>
    <w:p w14:paraId="50DE66E4" w14:textId="77777777" w:rsidR="00AC6F3C" w:rsidRDefault="00570E88">
      <w:pPr>
        <w:ind w:left="958"/>
        <w:rPr>
          <w:sz w:val="18"/>
        </w:rPr>
      </w:pPr>
      <w:r>
        <w:rPr>
          <w:color w:val="231F20"/>
          <w:sz w:val="18"/>
        </w:rPr>
        <w:t>No</w:t>
      </w:r>
      <w:r>
        <w:rPr>
          <w:color w:val="231F20"/>
          <w:spacing w:val="-4"/>
          <w:sz w:val="18"/>
        </w:rPr>
        <w:t xml:space="preserve"> </w:t>
      </w:r>
      <w:r>
        <w:rPr>
          <w:color w:val="231F20"/>
          <w:sz w:val="18"/>
        </w:rPr>
        <w:t>Australian</w:t>
      </w:r>
      <w:r>
        <w:rPr>
          <w:color w:val="231F20"/>
          <w:spacing w:val="-1"/>
          <w:sz w:val="18"/>
        </w:rPr>
        <w:t xml:space="preserve"> </w:t>
      </w:r>
      <w:r>
        <w:rPr>
          <w:color w:val="231F20"/>
          <w:sz w:val="18"/>
        </w:rPr>
        <w:t>Standards</w:t>
      </w:r>
      <w:r>
        <w:rPr>
          <w:color w:val="231F20"/>
          <w:spacing w:val="-1"/>
          <w:sz w:val="18"/>
        </w:rPr>
        <w:t xml:space="preserve"> </w:t>
      </w:r>
      <w:r>
        <w:rPr>
          <w:color w:val="231F20"/>
          <w:sz w:val="18"/>
        </w:rPr>
        <w:t>have</w:t>
      </w:r>
      <w:r>
        <w:rPr>
          <w:color w:val="231F20"/>
          <w:spacing w:val="-6"/>
          <w:sz w:val="18"/>
        </w:rPr>
        <w:t xml:space="preserve"> </w:t>
      </w:r>
      <w:r>
        <w:rPr>
          <w:color w:val="231F20"/>
          <w:sz w:val="18"/>
        </w:rPr>
        <w:t>been</w:t>
      </w:r>
      <w:r>
        <w:rPr>
          <w:color w:val="231F20"/>
          <w:spacing w:val="-4"/>
          <w:sz w:val="18"/>
        </w:rPr>
        <w:t xml:space="preserve"> </w:t>
      </w:r>
      <w:r>
        <w:rPr>
          <w:color w:val="231F20"/>
          <w:sz w:val="18"/>
        </w:rPr>
        <w:t>applied</w:t>
      </w:r>
      <w:r>
        <w:rPr>
          <w:color w:val="231F20"/>
          <w:spacing w:val="-4"/>
          <w:sz w:val="18"/>
        </w:rPr>
        <w:t xml:space="preserve"> </w:t>
      </w:r>
      <w:r>
        <w:rPr>
          <w:color w:val="231F20"/>
          <w:sz w:val="18"/>
        </w:rPr>
        <w:t>for</w:t>
      </w:r>
      <w:r>
        <w:rPr>
          <w:color w:val="231F20"/>
          <w:spacing w:val="-2"/>
          <w:sz w:val="18"/>
        </w:rPr>
        <w:t xml:space="preserve"> </w:t>
      </w:r>
      <w:r>
        <w:rPr>
          <w:color w:val="231F20"/>
          <w:sz w:val="18"/>
        </w:rPr>
        <w:t>the</w:t>
      </w:r>
      <w:r>
        <w:rPr>
          <w:color w:val="231F20"/>
          <w:spacing w:val="-1"/>
          <w:sz w:val="18"/>
        </w:rPr>
        <w:t xml:space="preserve"> </w:t>
      </w:r>
      <w:r>
        <w:rPr>
          <w:color w:val="231F20"/>
          <w:sz w:val="18"/>
        </w:rPr>
        <w:t>first</w:t>
      </w:r>
      <w:r>
        <w:rPr>
          <w:color w:val="231F20"/>
          <w:spacing w:val="-4"/>
          <w:sz w:val="18"/>
        </w:rPr>
        <w:t xml:space="preserve"> </w:t>
      </w:r>
      <w:r>
        <w:rPr>
          <w:color w:val="231F20"/>
          <w:sz w:val="18"/>
        </w:rPr>
        <w:t>time</w:t>
      </w:r>
      <w:r>
        <w:rPr>
          <w:color w:val="231F20"/>
          <w:spacing w:val="-4"/>
          <w:sz w:val="18"/>
        </w:rPr>
        <w:t xml:space="preserve"> </w:t>
      </w:r>
      <w:r>
        <w:rPr>
          <w:color w:val="231F20"/>
          <w:sz w:val="18"/>
        </w:rPr>
        <w:t>during</w:t>
      </w:r>
      <w:r>
        <w:rPr>
          <w:color w:val="231F20"/>
          <w:spacing w:val="-3"/>
          <w:sz w:val="18"/>
        </w:rPr>
        <w:t xml:space="preserve"> </w:t>
      </w:r>
      <w:r>
        <w:rPr>
          <w:color w:val="231F20"/>
          <w:sz w:val="18"/>
        </w:rPr>
        <w:t>2022-</w:t>
      </w:r>
      <w:r>
        <w:rPr>
          <w:color w:val="231F20"/>
          <w:spacing w:val="-5"/>
          <w:sz w:val="18"/>
        </w:rPr>
        <w:t>23.</w:t>
      </w:r>
    </w:p>
    <w:p w14:paraId="7F1E2758" w14:textId="77777777" w:rsidR="00AC6F3C" w:rsidRDefault="00AC6F3C">
      <w:pPr>
        <w:rPr>
          <w:sz w:val="18"/>
        </w:rPr>
        <w:sectPr w:rsidR="00AC6F3C">
          <w:pgSz w:w="11910" w:h="16840"/>
          <w:pgMar w:top="2020" w:right="1160" w:bottom="520" w:left="460" w:header="1228" w:footer="336" w:gutter="0"/>
          <w:cols w:space="720"/>
        </w:sectPr>
      </w:pPr>
    </w:p>
    <w:p w14:paraId="42D85819" w14:textId="77777777" w:rsidR="00AC6F3C" w:rsidRDefault="00AC6F3C">
      <w:pPr>
        <w:pStyle w:val="BodyText"/>
      </w:pPr>
    </w:p>
    <w:p w14:paraId="00B89E1D" w14:textId="77777777" w:rsidR="00AC6F3C" w:rsidRDefault="00570E88">
      <w:pPr>
        <w:tabs>
          <w:tab w:val="left" w:pos="1666"/>
        </w:tabs>
        <w:spacing w:before="249"/>
        <w:ind w:left="958"/>
        <w:rPr>
          <w:b/>
          <w:sz w:val="28"/>
        </w:rPr>
      </w:pPr>
      <w:r>
        <w:rPr>
          <w:b/>
          <w:spacing w:val="-5"/>
          <w:sz w:val="28"/>
        </w:rPr>
        <w:t>F1</w:t>
      </w:r>
      <w:r>
        <w:rPr>
          <w:b/>
          <w:sz w:val="28"/>
        </w:rPr>
        <w:tab/>
      </w:r>
      <w:r>
        <w:rPr>
          <w:b/>
          <w:spacing w:val="-2"/>
          <w:sz w:val="28"/>
        </w:rPr>
        <w:t>TAXATION</w:t>
      </w:r>
    </w:p>
    <w:p w14:paraId="459668A5" w14:textId="77777777" w:rsidR="00AC6F3C" w:rsidRDefault="00570E88">
      <w:pPr>
        <w:spacing w:before="239"/>
        <w:ind w:left="958"/>
        <w:rPr>
          <w:sz w:val="18"/>
        </w:rPr>
      </w:pPr>
      <w:r>
        <w:rPr>
          <w:sz w:val="18"/>
        </w:rPr>
        <w:t>Income</w:t>
      </w:r>
      <w:r>
        <w:rPr>
          <w:spacing w:val="-1"/>
          <w:sz w:val="18"/>
        </w:rPr>
        <w:t xml:space="preserve"> </w:t>
      </w:r>
      <w:r>
        <w:rPr>
          <w:sz w:val="18"/>
        </w:rPr>
        <w:t>tax</w:t>
      </w:r>
      <w:r>
        <w:rPr>
          <w:spacing w:val="-2"/>
          <w:sz w:val="18"/>
        </w:rPr>
        <w:t xml:space="preserve"> </w:t>
      </w:r>
      <w:r>
        <w:rPr>
          <w:sz w:val="18"/>
        </w:rPr>
        <w:t>is</w:t>
      </w:r>
      <w:r>
        <w:rPr>
          <w:spacing w:val="-1"/>
          <w:sz w:val="18"/>
        </w:rPr>
        <w:t xml:space="preserve"> </w:t>
      </w:r>
      <w:proofErr w:type="spellStart"/>
      <w:r>
        <w:rPr>
          <w:sz w:val="18"/>
        </w:rPr>
        <w:t>recognised</w:t>
      </w:r>
      <w:proofErr w:type="spellEnd"/>
      <w:r>
        <w:rPr>
          <w:spacing w:val="-3"/>
          <w:sz w:val="18"/>
        </w:rPr>
        <w:t xml:space="preserve"> </w:t>
      </w:r>
      <w:r>
        <w:rPr>
          <w:sz w:val="18"/>
        </w:rPr>
        <w:t>on</w:t>
      </w:r>
      <w:r>
        <w:rPr>
          <w:spacing w:val="-3"/>
          <w:sz w:val="18"/>
        </w:rPr>
        <w:t xml:space="preserve"> </w:t>
      </w:r>
      <w:r>
        <w:rPr>
          <w:spacing w:val="-2"/>
          <w:sz w:val="18"/>
        </w:rPr>
        <w:t>consolidation.</w:t>
      </w:r>
    </w:p>
    <w:p w14:paraId="36395EEE" w14:textId="77777777" w:rsidR="00AC6F3C" w:rsidRDefault="00AC6F3C">
      <w:pPr>
        <w:pStyle w:val="BodyText"/>
        <w:spacing w:before="9"/>
      </w:pPr>
    </w:p>
    <w:p w14:paraId="51FB9F5C" w14:textId="77777777" w:rsidR="00AC6F3C" w:rsidRDefault="00570E88">
      <w:pPr>
        <w:spacing w:before="1"/>
        <w:ind w:left="958" w:right="857"/>
        <w:rPr>
          <w:sz w:val="18"/>
        </w:rPr>
      </w:pPr>
      <w:r>
        <w:rPr>
          <w:sz w:val="18"/>
        </w:rPr>
        <w:t>Queensland</w:t>
      </w:r>
      <w:r>
        <w:rPr>
          <w:spacing w:val="-4"/>
          <w:sz w:val="18"/>
        </w:rPr>
        <w:t xml:space="preserve"> </w:t>
      </w:r>
      <w:r>
        <w:rPr>
          <w:sz w:val="18"/>
        </w:rPr>
        <w:t>Law</w:t>
      </w:r>
      <w:r>
        <w:rPr>
          <w:spacing w:val="-2"/>
          <w:sz w:val="18"/>
        </w:rPr>
        <w:t xml:space="preserve"> </w:t>
      </w:r>
      <w:r>
        <w:rPr>
          <w:sz w:val="18"/>
        </w:rPr>
        <w:t>Society</w:t>
      </w:r>
      <w:r>
        <w:rPr>
          <w:spacing w:val="-3"/>
          <w:sz w:val="18"/>
        </w:rPr>
        <w:t xml:space="preserve"> </w:t>
      </w:r>
      <w:r>
        <w:rPr>
          <w:sz w:val="18"/>
        </w:rPr>
        <w:t>Incorporated</w:t>
      </w:r>
      <w:r>
        <w:rPr>
          <w:spacing w:val="-2"/>
          <w:sz w:val="18"/>
        </w:rPr>
        <w:t xml:space="preserve"> </w:t>
      </w:r>
      <w:r>
        <w:rPr>
          <w:sz w:val="18"/>
        </w:rPr>
        <w:t>(parent</w:t>
      </w:r>
      <w:r>
        <w:rPr>
          <w:spacing w:val="-4"/>
          <w:sz w:val="18"/>
        </w:rPr>
        <w:t xml:space="preserve"> </w:t>
      </w:r>
      <w:r>
        <w:rPr>
          <w:sz w:val="18"/>
        </w:rPr>
        <w:t>entity)</w:t>
      </w:r>
      <w:r>
        <w:rPr>
          <w:spacing w:val="-4"/>
          <w:sz w:val="18"/>
        </w:rPr>
        <w:t xml:space="preserve"> </w:t>
      </w:r>
      <w:r>
        <w:rPr>
          <w:sz w:val="18"/>
        </w:rPr>
        <w:t>is</w:t>
      </w:r>
      <w:r>
        <w:rPr>
          <w:spacing w:val="-1"/>
          <w:sz w:val="18"/>
        </w:rPr>
        <w:t xml:space="preserve"> </w:t>
      </w:r>
      <w:r>
        <w:rPr>
          <w:sz w:val="18"/>
        </w:rPr>
        <w:t>exempt</w:t>
      </w:r>
      <w:r>
        <w:rPr>
          <w:spacing w:val="-2"/>
          <w:sz w:val="18"/>
        </w:rPr>
        <w:t xml:space="preserve"> </w:t>
      </w:r>
      <w:r>
        <w:rPr>
          <w:sz w:val="18"/>
        </w:rPr>
        <w:t>from</w:t>
      </w:r>
      <w:r>
        <w:rPr>
          <w:spacing w:val="-1"/>
          <w:sz w:val="18"/>
        </w:rPr>
        <w:t xml:space="preserve"> </w:t>
      </w:r>
      <w:r>
        <w:rPr>
          <w:sz w:val="18"/>
        </w:rPr>
        <w:t>income</w:t>
      </w:r>
      <w:r>
        <w:rPr>
          <w:spacing w:val="-1"/>
          <w:sz w:val="18"/>
        </w:rPr>
        <w:t xml:space="preserve"> </w:t>
      </w:r>
      <w:r>
        <w:rPr>
          <w:sz w:val="18"/>
        </w:rPr>
        <w:t>tax</w:t>
      </w:r>
      <w:r>
        <w:rPr>
          <w:spacing w:val="-3"/>
          <w:sz w:val="18"/>
        </w:rPr>
        <w:t xml:space="preserve"> </w:t>
      </w:r>
      <w:r>
        <w:rPr>
          <w:sz w:val="18"/>
        </w:rPr>
        <w:t>by</w:t>
      </w:r>
      <w:r>
        <w:rPr>
          <w:spacing w:val="-3"/>
          <w:sz w:val="18"/>
        </w:rPr>
        <w:t xml:space="preserve"> </w:t>
      </w:r>
      <w:r>
        <w:rPr>
          <w:sz w:val="18"/>
        </w:rPr>
        <w:t>virtue</w:t>
      </w:r>
      <w:r>
        <w:rPr>
          <w:spacing w:val="-1"/>
          <w:sz w:val="18"/>
        </w:rPr>
        <w:t xml:space="preserve"> </w:t>
      </w:r>
      <w:r>
        <w:rPr>
          <w:sz w:val="18"/>
        </w:rPr>
        <w:t>of</w:t>
      </w:r>
      <w:r>
        <w:rPr>
          <w:spacing w:val="-4"/>
          <w:sz w:val="18"/>
        </w:rPr>
        <w:t xml:space="preserve"> </w:t>
      </w:r>
      <w:r>
        <w:rPr>
          <w:sz w:val="18"/>
        </w:rPr>
        <w:t>section</w:t>
      </w:r>
      <w:r>
        <w:rPr>
          <w:spacing w:val="-1"/>
          <w:sz w:val="18"/>
        </w:rPr>
        <w:t xml:space="preserve"> </w:t>
      </w:r>
      <w:r>
        <w:rPr>
          <w:sz w:val="18"/>
        </w:rPr>
        <w:t xml:space="preserve">50-25 of the </w:t>
      </w:r>
      <w:r>
        <w:rPr>
          <w:i/>
          <w:sz w:val="18"/>
        </w:rPr>
        <w:t xml:space="preserve">Income Tax Assessment Act 1997 </w:t>
      </w:r>
      <w:r>
        <w:rPr>
          <w:sz w:val="18"/>
        </w:rPr>
        <w:t>with the exception of Fringe Benefits Tax (FBT) and Goods and Services Tax (GST).</w:t>
      </w:r>
    </w:p>
    <w:p w14:paraId="3D1D7087" w14:textId="77777777" w:rsidR="00AC6F3C" w:rsidRDefault="00AC6F3C">
      <w:pPr>
        <w:pStyle w:val="BodyText"/>
        <w:spacing w:before="10"/>
      </w:pPr>
    </w:p>
    <w:p w14:paraId="2D72B84C" w14:textId="77777777" w:rsidR="00AC6F3C" w:rsidRDefault="00570E88">
      <w:pPr>
        <w:ind w:left="958" w:right="1082"/>
        <w:jc w:val="both"/>
        <w:rPr>
          <w:sz w:val="18"/>
        </w:rPr>
      </w:pPr>
      <w:r>
        <w:rPr>
          <w:sz w:val="18"/>
        </w:rPr>
        <w:t>Revenues,</w:t>
      </w:r>
      <w:r>
        <w:rPr>
          <w:spacing w:val="-4"/>
          <w:sz w:val="18"/>
        </w:rPr>
        <w:t xml:space="preserve"> </w:t>
      </w:r>
      <w:r>
        <w:rPr>
          <w:sz w:val="18"/>
        </w:rPr>
        <w:t>expenses</w:t>
      </w:r>
      <w:r>
        <w:rPr>
          <w:spacing w:val="-3"/>
          <w:sz w:val="18"/>
        </w:rPr>
        <w:t xml:space="preserve"> </w:t>
      </w:r>
      <w:r>
        <w:rPr>
          <w:sz w:val="18"/>
        </w:rPr>
        <w:t>and</w:t>
      </w:r>
      <w:r>
        <w:rPr>
          <w:spacing w:val="-1"/>
          <w:sz w:val="18"/>
        </w:rPr>
        <w:t xml:space="preserve"> </w:t>
      </w:r>
      <w:r>
        <w:rPr>
          <w:sz w:val="18"/>
        </w:rPr>
        <w:t>assets</w:t>
      </w:r>
      <w:r>
        <w:rPr>
          <w:spacing w:val="-1"/>
          <w:sz w:val="18"/>
        </w:rPr>
        <w:t xml:space="preserve"> </w:t>
      </w:r>
      <w:r>
        <w:rPr>
          <w:sz w:val="18"/>
        </w:rPr>
        <w:t>are</w:t>
      </w:r>
      <w:r>
        <w:rPr>
          <w:spacing w:val="-1"/>
          <w:sz w:val="18"/>
        </w:rPr>
        <w:t xml:space="preserve"> </w:t>
      </w:r>
      <w:proofErr w:type="spellStart"/>
      <w:r>
        <w:rPr>
          <w:sz w:val="18"/>
        </w:rPr>
        <w:t>recognised</w:t>
      </w:r>
      <w:proofErr w:type="spellEnd"/>
      <w:r>
        <w:rPr>
          <w:spacing w:val="-1"/>
          <w:sz w:val="18"/>
        </w:rPr>
        <w:t xml:space="preserve"> </w:t>
      </w:r>
      <w:r>
        <w:rPr>
          <w:sz w:val="18"/>
        </w:rPr>
        <w:t>net</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amount</w:t>
      </w:r>
      <w:r>
        <w:rPr>
          <w:spacing w:val="-2"/>
          <w:sz w:val="18"/>
        </w:rPr>
        <w:t xml:space="preserve"> </w:t>
      </w:r>
      <w:r>
        <w:rPr>
          <w:sz w:val="18"/>
        </w:rPr>
        <w:t>of</w:t>
      </w:r>
      <w:r>
        <w:rPr>
          <w:spacing w:val="-2"/>
          <w:sz w:val="18"/>
        </w:rPr>
        <w:t xml:space="preserve"> </w:t>
      </w:r>
      <w:r>
        <w:rPr>
          <w:sz w:val="18"/>
        </w:rPr>
        <w:t>GST,</w:t>
      </w:r>
      <w:r>
        <w:rPr>
          <w:spacing w:val="-4"/>
          <w:sz w:val="18"/>
        </w:rPr>
        <w:t xml:space="preserve"> </w:t>
      </w:r>
      <w:r>
        <w:rPr>
          <w:sz w:val="18"/>
        </w:rPr>
        <w:t>except</w:t>
      </w:r>
      <w:r>
        <w:rPr>
          <w:spacing w:val="-4"/>
          <w:sz w:val="18"/>
        </w:rPr>
        <w:t xml:space="preserve"> </w:t>
      </w:r>
      <w:r>
        <w:rPr>
          <w:sz w:val="18"/>
        </w:rPr>
        <w:t>where</w:t>
      </w:r>
      <w:r>
        <w:rPr>
          <w:spacing w:val="-4"/>
          <w:sz w:val="18"/>
        </w:rPr>
        <w:t xml:space="preserve"> </w:t>
      </w:r>
      <w:r>
        <w:rPr>
          <w:sz w:val="18"/>
        </w:rPr>
        <w:t>the</w:t>
      </w:r>
      <w:r>
        <w:rPr>
          <w:spacing w:val="-1"/>
          <w:sz w:val="18"/>
        </w:rPr>
        <w:t xml:space="preserve"> </w:t>
      </w:r>
      <w:r>
        <w:rPr>
          <w:sz w:val="18"/>
        </w:rPr>
        <w:t>amount</w:t>
      </w:r>
      <w:r>
        <w:rPr>
          <w:spacing w:val="-2"/>
          <w:sz w:val="18"/>
        </w:rPr>
        <w:t xml:space="preserve"> </w:t>
      </w:r>
      <w:r>
        <w:rPr>
          <w:sz w:val="18"/>
        </w:rPr>
        <w:t>of GST</w:t>
      </w:r>
      <w:r>
        <w:rPr>
          <w:spacing w:val="-3"/>
          <w:sz w:val="18"/>
        </w:rPr>
        <w:t xml:space="preserve"> </w:t>
      </w:r>
      <w:r>
        <w:rPr>
          <w:sz w:val="18"/>
        </w:rPr>
        <w:t>incurred</w:t>
      </w:r>
      <w:r>
        <w:rPr>
          <w:spacing w:val="-2"/>
          <w:sz w:val="18"/>
        </w:rPr>
        <w:t xml:space="preserve"> </w:t>
      </w:r>
      <w:r>
        <w:rPr>
          <w:sz w:val="18"/>
        </w:rPr>
        <w:t>is</w:t>
      </w:r>
      <w:r>
        <w:rPr>
          <w:spacing w:val="-2"/>
          <w:sz w:val="18"/>
        </w:rPr>
        <w:t xml:space="preserve"> </w:t>
      </w:r>
      <w:r>
        <w:rPr>
          <w:sz w:val="18"/>
        </w:rPr>
        <w:t>not</w:t>
      </w:r>
      <w:r>
        <w:rPr>
          <w:spacing w:val="-3"/>
          <w:sz w:val="18"/>
        </w:rPr>
        <w:t xml:space="preserve"> </w:t>
      </w:r>
      <w:r>
        <w:rPr>
          <w:sz w:val="18"/>
        </w:rPr>
        <w:t>recoverable</w:t>
      </w:r>
      <w:r>
        <w:rPr>
          <w:spacing w:val="-2"/>
          <w:sz w:val="18"/>
        </w:rPr>
        <w:t xml:space="preserve"> </w:t>
      </w:r>
      <w:r>
        <w:rPr>
          <w:sz w:val="18"/>
        </w:rPr>
        <w:t>from</w:t>
      </w:r>
      <w:r>
        <w:rPr>
          <w:spacing w:val="-4"/>
          <w:sz w:val="18"/>
        </w:rPr>
        <w:t xml:space="preserve"> </w:t>
      </w:r>
      <w:r>
        <w:rPr>
          <w:sz w:val="18"/>
        </w:rPr>
        <w:t>the</w:t>
      </w:r>
      <w:r>
        <w:rPr>
          <w:spacing w:val="-2"/>
          <w:sz w:val="18"/>
        </w:rPr>
        <w:t xml:space="preserve"> </w:t>
      </w:r>
      <w:r>
        <w:rPr>
          <w:sz w:val="18"/>
        </w:rPr>
        <w:t>Australian</w:t>
      </w:r>
      <w:r>
        <w:rPr>
          <w:spacing w:val="-2"/>
          <w:sz w:val="18"/>
        </w:rPr>
        <w:t xml:space="preserve"> </w:t>
      </w:r>
      <w:r>
        <w:rPr>
          <w:sz w:val="18"/>
        </w:rPr>
        <w:t>Taxation</w:t>
      </w:r>
      <w:r>
        <w:rPr>
          <w:spacing w:val="-7"/>
          <w:sz w:val="18"/>
        </w:rPr>
        <w:t xml:space="preserve"> </w:t>
      </w:r>
      <w:r>
        <w:rPr>
          <w:sz w:val="18"/>
        </w:rPr>
        <w:t>Office</w:t>
      </w:r>
      <w:r>
        <w:rPr>
          <w:spacing w:val="-2"/>
          <w:sz w:val="18"/>
        </w:rPr>
        <w:t xml:space="preserve"> </w:t>
      </w:r>
      <w:r>
        <w:rPr>
          <w:sz w:val="18"/>
        </w:rPr>
        <w:t>(ATO).</w:t>
      </w:r>
      <w:r>
        <w:rPr>
          <w:spacing w:val="40"/>
          <w:sz w:val="18"/>
        </w:rPr>
        <w:t xml:space="preserve"> </w:t>
      </w:r>
      <w:r>
        <w:rPr>
          <w:sz w:val="18"/>
        </w:rPr>
        <w:t>In</w:t>
      </w:r>
      <w:r>
        <w:rPr>
          <w:spacing w:val="-2"/>
          <w:sz w:val="18"/>
        </w:rPr>
        <w:t xml:space="preserve"> </w:t>
      </w:r>
      <w:r>
        <w:rPr>
          <w:sz w:val="18"/>
        </w:rPr>
        <w:t>these</w:t>
      </w:r>
      <w:r>
        <w:rPr>
          <w:spacing w:val="-2"/>
          <w:sz w:val="18"/>
        </w:rPr>
        <w:t xml:space="preserve"> </w:t>
      </w:r>
      <w:r>
        <w:rPr>
          <w:sz w:val="18"/>
        </w:rPr>
        <w:t>circumstances,</w:t>
      </w:r>
      <w:r>
        <w:rPr>
          <w:spacing w:val="-3"/>
          <w:sz w:val="18"/>
        </w:rPr>
        <w:t xml:space="preserve"> </w:t>
      </w:r>
      <w:r>
        <w:rPr>
          <w:sz w:val="18"/>
        </w:rPr>
        <w:t>the GST</w:t>
      </w:r>
      <w:r>
        <w:rPr>
          <w:spacing w:val="-1"/>
          <w:sz w:val="18"/>
        </w:rPr>
        <w:t xml:space="preserve"> </w:t>
      </w:r>
      <w:r>
        <w:rPr>
          <w:sz w:val="18"/>
        </w:rPr>
        <w:t xml:space="preserve">is </w:t>
      </w:r>
      <w:proofErr w:type="spellStart"/>
      <w:r>
        <w:rPr>
          <w:sz w:val="18"/>
        </w:rPr>
        <w:t>recognised</w:t>
      </w:r>
      <w:proofErr w:type="spellEnd"/>
      <w:r>
        <w:rPr>
          <w:sz w:val="18"/>
        </w:rPr>
        <w:t xml:space="preserve"> as part</w:t>
      </w:r>
      <w:r>
        <w:rPr>
          <w:spacing w:val="-1"/>
          <w:sz w:val="18"/>
        </w:rPr>
        <w:t xml:space="preserve"> </w:t>
      </w:r>
      <w:r>
        <w:rPr>
          <w:sz w:val="18"/>
        </w:rPr>
        <w:t>of</w:t>
      </w:r>
      <w:r>
        <w:rPr>
          <w:spacing w:val="-3"/>
          <w:sz w:val="18"/>
        </w:rPr>
        <w:t xml:space="preserve"> </w:t>
      </w:r>
      <w:r>
        <w:rPr>
          <w:sz w:val="18"/>
        </w:rPr>
        <w:t>the cost</w:t>
      </w:r>
      <w:r>
        <w:rPr>
          <w:spacing w:val="-3"/>
          <w:sz w:val="18"/>
        </w:rPr>
        <w:t xml:space="preserve"> </w:t>
      </w:r>
      <w:r>
        <w:rPr>
          <w:sz w:val="18"/>
        </w:rPr>
        <w:t>of</w:t>
      </w:r>
      <w:r>
        <w:rPr>
          <w:spacing w:val="-1"/>
          <w:sz w:val="18"/>
        </w:rPr>
        <w:t xml:space="preserve"> </w:t>
      </w:r>
      <w:r>
        <w:rPr>
          <w:sz w:val="18"/>
        </w:rPr>
        <w:t>acquisition of</w:t>
      </w:r>
      <w:r>
        <w:rPr>
          <w:spacing w:val="-1"/>
          <w:sz w:val="18"/>
        </w:rPr>
        <w:t xml:space="preserve"> </w:t>
      </w:r>
      <w:r>
        <w:rPr>
          <w:sz w:val="18"/>
        </w:rPr>
        <w:t>the asset</w:t>
      </w:r>
      <w:r>
        <w:rPr>
          <w:spacing w:val="-1"/>
          <w:sz w:val="18"/>
        </w:rPr>
        <w:t xml:space="preserve"> </w:t>
      </w:r>
      <w:r>
        <w:rPr>
          <w:sz w:val="18"/>
        </w:rPr>
        <w:t>or</w:t>
      </w:r>
      <w:r>
        <w:rPr>
          <w:spacing w:val="-3"/>
          <w:sz w:val="18"/>
        </w:rPr>
        <w:t xml:space="preserve"> </w:t>
      </w:r>
      <w:r>
        <w:rPr>
          <w:sz w:val="18"/>
        </w:rPr>
        <w:t>as</w:t>
      </w:r>
      <w:r>
        <w:rPr>
          <w:spacing w:val="-2"/>
          <w:sz w:val="18"/>
        </w:rPr>
        <w:t xml:space="preserve"> </w:t>
      </w:r>
      <w:r>
        <w:rPr>
          <w:sz w:val="18"/>
        </w:rPr>
        <w:t>part</w:t>
      </w:r>
      <w:r>
        <w:rPr>
          <w:spacing w:val="-3"/>
          <w:sz w:val="18"/>
        </w:rPr>
        <w:t xml:space="preserve"> </w:t>
      </w:r>
      <w:r>
        <w:rPr>
          <w:sz w:val="18"/>
        </w:rPr>
        <w:t>of</w:t>
      </w:r>
      <w:r>
        <w:rPr>
          <w:spacing w:val="-1"/>
          <w:sz w:val="18"/>
        </w:rPr>
        <w:t xml:space="preserve"> </w:t>
      </w:r>
      <w:r>
        <w:rPr>
          <w:sz w:val="18"/>
        </w:rPr>
        <w:t>the expense.</w:t>
      </w:r>
      <w:r>
        <w:rPr>
          <w:spacing w:val="40"/>
          <w:sz w:val="18"/>
        </w:rPr>
        <w:t xml:space="preserve"> </w:t>
      </w:r>
      <w:r>
        <w:rPr>
          <w:sz w:val="18"/>
        </w:rPr>
        <w:t>Receivables and payables are stated with the amount of GST included.</w:t>
      </w:r>
    </w:p>
    <w:p w14:paraId="2514F981" w14:textId="77777777" w:rsidR="00AC6F3C" w:rsidRDefault="00AC6F3C">
      <w:pPr>
        <w:pStyle w:val="BodyText"/>
        <w:spacing w:before="10"/>
      </w:pPr>
    </w:p>
    <w:p w14:paraId="30B47EB0" w14:textId="77777777" w:rsidR="00AC6F3C" w:rsidRDefault="00570E88">
      <w:pPr>
        <w:ind w:left="958" w:right="857"/>
        <w:rPr>
          <w:sz w:val="18"/>
        </w:rPr>
      </w:pPr>
      <w:r>
        <w:rPr>
          <w:sz w:val="18"/>
        </w:rPr>
        <w:t>The net amount of GST recoverable from, or payable to, the</w:t>
      </w:r>
      <w:r>
        <w:rPr>
          <w:spacing w:val="-1"/>
          <w:sz w:val="18"/>
        </w:rPr>
        <w:t xml:space="preserve"> </w:t>
      </w:r>
      <w:r>
        <w:rPr>
          <w:sz w:val="18"/>
        </w:rPr>
        <w:t>ATO is included as a current asset or liability in</w:t>
      </w:r>
      <w:r>
        <w:rPr>
          <w:spacing w:val="-1"/>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4"/>
          <w:sz w:val="18"/>
        </w:rPr>
        <w:t xml:space="preserve"> </w:t>
      </w:r>
      <w:r>
        <w:rPr>
          <w:sz w:val="18"/>
        </w:rPr>
        <w:t>Financial</w:t>
      </w:r>
      <w:r>
        <w:rPr>
          <w:spacing w:val="-4"/>
          <w:sz w:val="18"/>
        </w:rPr>
        <w:t xml:space="preserve"> </w:t>
      </w:r>
      <w:r>
        <w:rPr>
          <w:sz w:val="18"/>
        </w:rPr>
        <w:t>Position.</w:t>
      </w:r>
      <w:r>
        <w:rPr>
          <w:spacing w:val="40"/>
          <w:sz w:val="18"/>
        </w:rPr>
        <w:t xml:space="preserve"> </w:t>
      </w:r>
      <w:r>
        <w:rPr>
          <w:sz w:val="18"/>
        </w:rPr>
        <w:t>Cash</w:t>
      </w:r>
      <w:r>
        <w:rPr>
          <w:spacing w:val="-1"/>
          <w:sz w:val="18"/>
        </w:rPr>
        <w:t xml:space="preserve"> </w:t>
      </w:r>
      <w:r>
        <w:rPr>
          <w:sz w:val="18"/>
        </w:rPr>
        <w:t>flows</w:t>
      </w:r>
      <w:r>
        <w:rPr>
          <w:spacing w:val="-1"/>
          <w:sz w:val="18"/>
        </w:rPr>
        <w:t xml:space="preserve"> </w:t>
      </w:r>
      <w:r>
        <w:rPr>
          <w:sz w:val="18"/>
        </w:rPr>
        <w:t>are</w:t>
      </w:r>
      <w:r>
        <w:rPr>
          <w:spacing w:val="-1"/>
          <w:sz w:val="18"/>
        </w:rPr>
        <w:t xml:space="preserve"> </w:t>
      </w:r>
      <w:r>
        <w:rPr>
          <w:sz w:val="18"/>
        </w:rPr>
        <w:t>included</w:t>
      </w:r>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2"/>
          <w:sz w:val="18"/>
        </w:rPr>
        <w:t xml:space="preserve"> </w:t>
      </w:r>
      <w:r>
        <w:rPr>
          <w:sz w:val="18"/>
        </w:rPr>
        <w:t>Cash</w:t>
      </w:r>
      <w:r>
        <w:rPr>
          <w:spacing w:val="-4"/>
          <w:sz w:val="18"/>
        </w:rPr>
        <w:t xml:space="preserve"> </w:t>
      </w:r>
      <w:r>
        <w:rPr>
          <w:sz w:val="18"/>
        </w:rPr>
        <w:t>Flows</w:t>
      </w:r>
      <w:r>
        <w:rPr>
          <w:spacing w:val="-1"/>
          <w:sz w:val="18"/>
        </w:rPr>
        <w:t xml:space="preserve"> </w:t>
      </w:r>
      <w:r>
        <w:rPr>
          <w:sz w:val="18"/>
        </w:rPr>
        <w:t>on</w:t>
      </w:r>
      <w:r>
        <w:rPr>
          <w:spacing w:val="-4"/>
          <w:sz w:val="18"/>
        </w:rPr>
        <w:t xml:space="preserve"> </w:t>
      </w:r>
      <w:r>
        <w:rPr>
          <w:sz w:val="18"/>
        </w:rPr>
        <w:t>a</w:t>
      </w:r>
      <w:r>
        <w:rPr>
          <w:spacing w:val="-1"/>
          <w:sz w:val="18"/>
        </w:rPr>
        <w:t xml:space="preserve"> </w:t>
      </w:r>
      <w:r>
        <w:rPr>
          <w:sz w:val="18"/>
        </w:rPr>
        <w:t>gross basis.</w:t>
      </w:r>
      <w:r>
        <w:rPr>
          <w:spacing w:val="40"/>
          <w:sz w:val="18"/>
        </w:rPr>
        <w:t xml:space="preserve"> </w:t>
      </w:r>
      <w:r>
        <w:rPr>
          <w:sz w:val="18"/>
        </w:rPr>
        <w:t>The GST components of cash flows arising from investing activities and financing activities which are recoverable from, or payable to, the ATO are classified as operating cash flows.</w:t>
      </w:r>
    </w:p>
    <w:p w14:paraId="176D01F4" w14:textId="77777777" w:rsidR="00AC6F3C" w:rsidRDefault="00AC6F3C">
      <w:pPr>
        <w:pStyle w:val="BodyText"/>
        <w:spacing w:before="10"/>
      </w:pPr>
    </w:p>
    <w:p w14:paraId="4BF0A337" w14:textId="77777777" w:rsidR="00AC6F3C" w:rsidRDefault="00570E88">
      <w:pPr>
        <w:ind w:left="958" w:right="990"/>
        <w:rPr>
          <w:sz w:val="18"/>
        </w:rPr>
      </w:pPr>
      <w:r>
        <w:rPr>
          <w:sz w:val="18"/>
        </w:rPr>
        <w:t>Lexon</w:t>
      </w:r>
      <w:r>
        <w:rPr>
          <w:spacing w:val="-1"/>
          <w:sz w:val="18"/>
        </w:rPr>
        <w:t xml:space="preserve"> </w:t>
      </w:r>
      <w:r>
        <w:rPr>
          <w:sz w:val="18"/>
        </w:rPr>
        <w:t>is</w:t>
      </w:r>
      <w:r>
        <w:rPr>
          <w:spacing w:val="-1"/>
          <w:sz w:val="18"/>
        </w:rPr>
        <w:t xml:space="preserve"> </w:t>
      </w:r>
      <w:r>
        <w:rPr>
          <w:sz w:val="18"/>
        </w:rPr>
        <w:t>registered</w:t>
      </w:r>
      <w:r>
        <w:rPr>
          <w:spacing w:val="-4"/>
          <w:sz w:val="18"/>
        </w:rPr>
        <w:t xml:space="preserve"> </w:t>
      </w:r>
      <w:r>
        <w:rPr>
          <w:sz w:val="18"/>
        </w:rPr>
        <w:t>in</w:t>
      </w:r>
      <w:r>
        <w:rPr>
          <w:spacing w:val="-1"/>
          <w:sz w:val="18"/>
        </w:rPr>
        <w:t xml:space="preserve"> </w:t>
      </w:r>
      <w:r>
        <w:rPr>
          <w:sz w:val="18"/>
        </w:rPr>
        <w:t>Australia</w:t>
      </w:r>
      <w:r>
        <w:rPr>
          <w:spacing w:val="-1"/>
          <w:sz w:val="18"/>
        </w:rPr>
        <w:t xml:space="preserve"> </w:t>
      </w:r>
      <w:r>
        <w:rPr>
          <w:sz w:val="18"/>
        </w:rPr>
        <w:t>for</w:t>
      </w:r>
      <w:r>
        <w:rPr>
          <w:spacing w:val="-2"/>
          <w:sz w:val="18"/>
        </w:rPr>
        <w:t xml:space="preserve"> </w:t>
      </w:r>
      <w:r>
        <w:rPr>
          <w:sz w:val="18"/>
        </w:rPr>
        <w:t>income</w:t>
      </w:r>
      <w:r>
        <w:rPr>
          <w:spacing w:val="-4"/>
          <w:sz w:val="18"/>
        </w:rPr>
        <w:t xml:space="preserve"> </w:t>
      </w:r>
      <w:r>
        <w:rPr>
          <w:sz w:val="18"/>
        </w:rPr>
        <w:t>tax</w:t>
      </w:r>
      <w:r>
        <w:rPr>
          <w:spacing w:val="-4"/>
          <w:sz w:val="18"/>
        </w:rPr>
        <w:t xml:space="preserve"> </w:t>
      </w:r>
      <w:r>
        <w:rPr>
          <w:sz w:val="18"/>
        </w:rPr>
        <w:t>and</w:t>
      </w:r>
      <w:r>
        <w:rPr>
          <w:spacing w:val="-4"/>
          <w:sz w:val="18"/>
        </w:rPr>
        <w:t xml:space="preserve"> </w:t>
      </w:r>
      <w:r>
        <w:rPr>
          <w:sz w:val="18"/>
        </w:rPr>
        <w:t>has</w:t>
      </w:r>
      <w:r>
        <w:rPr>
          <w:spacing w:val="-1"/>
          <w:sz w:val="18"/>
        </w:rPr>
        <w:t xml:space="preserve"> </w:t>
      </w:r>
      <w:r>
        <w:rPr>
          <w:sz w:val="18"/>
        </w:rPr>
        <w:t>dual</w:t>
      </w:r>
      <w:r>
        <w:rPr>
          <w:spacing w:val="-4"/>
          <w:sz w:val="18"/>
        </w:rPr>
        <w:t xml:space="preserve"> </w:t>
      </w:r>
      <w:r>
        <w:rPr>
          <w:sz w:val="18"/>
        </w:rPr>
        <w:t>tax</w:t>
      </w:r>
      <w:r>
        <w:rPr>
          <w:spacing w:val="-1"/>
          <w:sz w:val="18"/>
        </w:rPr>
        <w:t xml:space="preserve"> </w:t>
      </w:r>
      <w:r>
        <w:rPr>
          <w:sz w:val="18"/>
        </w:rPr>
        <w:t>residency</w:t>
      </w:r>
      <w:r>
        <w:rPr>
          <w:spacing w:val="-3"/>
          <w:sz w:val="18"/>
        </w:rPr>
        <w:t xml:space="preserve"> </w:t>
      </w:r>
      <w:r>
        <w:rPr>
          <w:sz w:val="18"/>
        </w:rPr>
        <w:t>in</w:t>
      </w:r>
      <w:r>
        <w:rPr>
          <w:spacing w:val="-1"/>
          <w:sz w:val="18"/>
        </w:rPr>
        <w:t xml:space="preserve"> </w:t>
      </w:r>
      <w:r>
        <w:rPr>
          <w:sz w:val="18"/>
        </w:rPr>
        <w:t>Australia</w:t>
      </w:r>
      <w:r>
        <w:rPr>
          <w:spacing w:val="-4"/>
          <w:sz w:val="18"/>
        </w:rPr>
        <w:t xml:space="preserve"> </w:t>
      </w:r>
      <w:r>
        <w:rPr>
          <w:sz w:val="18"/>
        </w:rPr>
        <w:t>and</w:t>
      </w:r>
      <w:r>
        <w:rPr>
          <w:spacing w:val="-4"/>
          <w:sz w:val="18"/>
        </w:rPr>
        <w:t xml:space="preserve"> </w:t>
      </w:r>
      <w:r>
        <w:rPr>
          <w:sz w:val="18"/>
        </w:rPr>
        <w:t>Singapore.</w:t>
      </w:r>
      <w:r>
        <w:rPr>
          <w:spacing w:val="40"/>
          <w:sz w:val="18"/>
        </w:rPr>
        <w:t xml:space="preserve"> </w:t>
      </w:r>
      <w:r>
        <w:rPr>
          <w:sz w:val="18"/>
        </w:rPr>
        <w:t>In relation to offshore insurance business, Lexon was extended for a period of 10 years from 17 February 2016 under the tax exemption scheme for captive insurers for Singapore taxation (exempt from tax).</w:t>
      </w:r>
    </w:p>
    <w:p w14:paraId="69B249F2" w14:textId="77777777" w:rsidR="00AC6F3C" w:rsidRDefault="00570E88">
      <w:pPr>
        <w:ind w:left="958" w:right="990"/>
        <w:rPr>
          <w:sz w:val="18"/>
        </w:rPr>
      </w:pPr>
      <w:r>
        <w:rPr>
          <w:sz w:val="18"/>
        </w:rPr>
        <w:t>Lexon</w:t>
      </w:r>
      <w:r>
        <w:rPr>
          <w:spacing w:val="-2"/>
          <w:sz w:val="18"/>
        </w:rPr>
        <w:t xml:space="preserve"> </w:t>
      </w:r>
      <w:r>
        <w:rPr>
          <w:sz w:val="18"/>
        </w:rPr>
        <w:t>has</w:t>
      </w:r>
      <w:r>
        <w:rPr>
          <w:spacing w:val="-3"/>
          <w:sz w:val="18"/>
        </w:rPr>
        <w:t xml:space="preserve"> </w:t>
      </w:r>
      <w:r>
        <w:rPr>
          <w:sz w:val="18"/>
        </w:rPr>
        <w:t>met</w:t>
      </w:r>
      <w:r>
        <w:rPr>
          <w:spacing w:val="-2"/>
          <w:sz w:val="18"/>
        </w:rPr>
        <w:t xml:space="preserve"> </w:t>
      </w:r>
      <w:r>
        <w:rPr>
          <w:sz w:val="18"/>
        </w:rPr>
        <w:t>the</w:t>
      </w:r>
      <w:r>
        <w:rPr>
          <w:spacing w:val="-1"/>
          <w:sz w:val="18"/>
        </w:rPr>
        <w:t xml:space="preserve"> </w:t>
      </w:r>
      <w:r>
        <w:rPr>
          <w:sz w:val="18"/>
        </w:rPr>
        <w:t>requirements</w:t>
      </w:r>
      <w:r>
        <w:rPr>
          <w:spacing w:val="-1"/>
          <w:sz w:val="18"/>
        </w:rPr>
        <w:t xml:space="preserve"> </w:t>
      </w:r>
      <w:r>
        <w:rPr>
          <w:sz w:val="18"/>
        </w:rPr>
        <w:t>for</w:t>
      </w:r>
      <w:r>
        <w:rPr>
          <w:spacing w:val="-4"/>
          <w:sz w:val="18"/>
        </w:rPr>
        <w:t xml:space="preserve"> </w:t>
      </w:r>
      <w:r>
        <w:rPr>
          <w:sz w:val="18"/>
        </w:rPr>
        <w:t>continued</w:t>
      </w:r>
      <w:r>
        <w:rPr>
          <w:spacing w:val="-4"/>
          <w:sz w:val="18"/>
        </w:rPr>
        <w:t xml:space="preserve"> </w:t>
      </w:r>
      <w:r>
        <w:rPr>
          <w:sz w:val="18"/>
        </w:rPr>
        <w:t>qualification</w:t>
      </w:r>
      <w:r>
        <w:rPr>
          <w:spacing w:val="-4"/>
          <w:sz w:val="18"/>
        </w:rPr>
        <w:t xml:space="preserve"> </w:t>
      </w:r>
      <w:r>
        <w:rPr>
          <w:sz w:val="18"/>
        </w:rPr>
        <w:t>for</w:t>
      </w:r>
      <w:r>
        <w:rPr>
          <w:spacing w:val="-2"/>
          <w:sz w:val="18"/>
        </w:rPr>
        <w:t xml:space="preserve"> </w:t>
      </w:r>
      <w:r>
        <w:rPr>
          <w:sz w:val="18"/>
        </w:rPr>
        <w:t>the</w:t>
      </w:r>
      <w:r>
        <w:rPr>
          <w:spacing w:val="-1"/>
          <w:sz w:val="18"/>
        </w:rPr>
        <w:t xml:space="preserve"> </w:t>
      </w:r>
      <w:r>
        <w:rPr>
          <w:sz w:val="18"/>
        </w:rPr>
        <w:t>tax</w:t>
      </w:r>
      <w:r>
        <w:rPr>
          <w:spacing w:val="-3"/>
          <w:sz w:val="18"/>
        </w:rPr>
        <w:t xml:space="preserve"> </w:t>
      </w:r>
      <w:r>
        <w:rPr>
          <w:sz w:val="18"/>
        </w:rPr>
        <w:t>incentive</w:t>
      </w:r>
      <w:r>
        <w:rPr>
          <w:spacing w:val="-4"/>
          <w:sz w:val="18"/>
        </w:rPr>
        <w:t xml:space="preserve"> </w:t>
      </w:r>
      <w:r>
        <w:rPr>
          <w:sz w:val="18"/>
        </w:rPr>
        <w:t>scheme.</w:t>
      </w:r>
      <w:r>
        <w:rPr>
          <w:spacing w:val="-3"/>
          <w:sz w:val="18"/>
        </w:rPr>
        <w:t xml:space="preserve"> </w:t>
      </w:r>
      <w:r>
        <w:rPr>
          <w:sz w:val="18"/>
        </w:rPr>
        <w:t>Lexon</w:t>
      </w:r>
      <w:r>
        <w:rPr>
          <w:spacing w:val="-4"/>
          <w:sz w:val="18"/>
        </w:rPr>
        <w:t xml:space="preserve"> </w:t>
      </w:r>
      <w:r>
        <w:rPr>
          <w:sz w:val="18"/>
        </w:rPr>
        <w:t>is</w:t>
      </w:r>
      <w:r>
        <w:rPr>
          <w:spacing w:val="-3"/>
          <w:sz w:val="18"/>
        </w:rPr>
        <w:t xml:space="preserve"> </w:t>
      </w:r>
      <w:r>
        <w:rPr>
          <w:sz w:val="18"/>
        </w:rPr>
        <w:t>still liable to be taxed in Australia at a rate of 30% on its profits.</w:t>
      </w:r>
    </w:p>
    <w:p w14:paraId="77CBC85D" w14:textId="77777777" w:rsidR="00AC6F3C" w:rsidRDefault="00AC6F3C">
      <w:pPr>
        <w:pStyle w:val="BodyText"/>
        <w:spacing w:before="10"/>
      </w:pPr>
    </w:p>
    <w:p w14:paraId="5FD296DD" w14:textId="77777777" w:rsidR="00AC6F3C" w:rsidRDefault="00570E88">
      <w:pPr>
        <w:ind w:left="958" w:right="990"/>
        <w:rPr>
          <w:sz w:val="18"/>
        </w:rPr>
      </w:pPr>
      <w:r>
        <w:rPr>
          <w:sz w:val="18"/>
        </w:rPr>
        <w:t>Current</w:t>
      </w:r>
      <w:r>
        <w:rPr>
          <w:spacing w:val="-2"/>
          <w:sz w:val="18"/>
        </w:rPr>
        <w:t xml:space="preserve"> </w:t>
      </w:r>
      <w:r>
        <w:rPr>
          <w:sz w:val="18"/>
        </w:rPr>
        <w:t>income</w:t>
      </w:r>
      <w:r>
        <w:rPr>
          <w:spacing w:val="-4"/>
          <w:sz w:val="18"/>
        </w:rPr>
        <w:t xml:space="preserve"> </w:t>
      </w:r>
      <w:r>
        <w:rPr>
          <w:sz w:val="18"/>
        </w:rPr>
        <w:t>tax</w:t>
      </w:r>
      <w:r>
        <w:rPr>
          <w:spacing w:val="-3"/>
          <w:sz w:val="18"/>
        </w:rPr>
        <w:t xml:space="preserve"> </w:t>
      </w:r>
      <w:r>
        <w:rPr>
          <w:sz w:val="18"/>
        </w:rPr>
        <w:t>is</w:t>
      </w:r>
      <w:r>
        <w:rPr>
          <w:spacing w:val="-3"/>
          <w:sz w:val="18"/>
        </w:rPr>
        <w:t xml:space="preserve"> </w:t>
      </w:r>
      <w:proofErr w:type="spellStart"/>
      <w:r>
        <w:rPr>
          <w:sz w:val="18"/>
        </w:rPr>
        <w:t>recognised</w:t>
      </w:r>
      <w:proofErr w:type="spellEnd"/>
      <w:r>
        <w:rPr>
          <w:spacing w:val="-1"/>
          <w:sz w:val="18"/>
        </w:rPr>
        <w:t xml:space="preserve"> </w:t>
      </w:r>
      <w:r>
        <w:rPr>
          <w:sz w:val="18"/>
        </w:rPr>
        <w:t>at</w:t>
      </w:r>
      <w:r>
        <w:rPr>
          <w:spacing w:val="-2"/>
          <w:sz w:val="18"/>
        </w:rPr>
        <w:t xml:space="preserve"> </w:t>
      </w:r>
      <w:r>
        <w:rPr>
          <w:sz w:val="18"/>
        </w:rPr>
        <w:t>the</w:t>
      </w:r>
      <w:r>
        <w:rPr>
          <w:spacing w:val="-4"/>
          <w:sz w:val="18"/>
        </w:rPr>
        <w:t xml:space="preserve"> </w:t>
      </w:r>
      <w:r>
        <w:rPr>
          <w:sz w:val="18"/>
        </w:rPr>
        <w:t>amount</w:t>
      </w:r>
      <w:r>
        <w:rPr>
          <w:spacing w:val="-2"/>
          <w:sz w:val="18"/>
        </w:rPr>
        <w:t xml:space="preserve"> </w:t>
      </w:r>
      <w:r>
        <w:rPr>
          <w:sz w:val="18"/>
        </w:rPr>
        <w:t>expected</w:t>
      </w:r>
      <w:r>
        <w:rPr>
          <w:spacing w:val="-1"/>
          <w:sz w:val="18"/>
        </w:rPr>
        <w:t xml:space="preserve"> </w:t>
      </w:r>
      <w:r>
        <w:rPr>
          <w:sz w:val="18"/>
        </w:rPr>
        <w:t>to</w:t>
      </w:r>
      <w:r>
        <w:rPr>
          <w:spacing w:val="-6"/>
          <w:sz w:val="18"/>
        </w:rPr>
        <w:t xml:space="preserve"> </w:t>
      </w:r>
      <w:r>
        <w:rPr>
          <w:sz w:val="18"/>
        </w:rPr>
        <w:t>be</w:t>
      </w:r>
      <w:r>
        <w:rPr>
          <w:spacing w:val="-1"/>
          <w:sz w:val="18"/>
        </w:rPr>
        <w:t xml:space="preserve"> </w:t>
      </w:r>
      <w:r>
        <w:rPr>
          <w:sz w:val="18"/>
        </w:rPr>
        <w:t>paid</w:t>
      </w:r>
      <w:r>
        <w:rPr>
          <w:spacing w:val="-1"/>
          <w:sz w:val="18"/>
        </w:rPr>
        <w:t xml:space="preserve"> </w:t>
      </w:r>
      <w:r>
        <w:rPr>
          <w:sz w:val="18"/>
        </w:rPr>
        <w:t>to</w:t>
      </w:r>
      <w:r>
        <w:rPr>
          <w:spacing w:val="-1"/>
          <w:sz w:val="18"/>
        </w:rPr>
        <w:t xml:space="preserve"> </w:t>
      </w:r>
      <w:r>
        <w:rPr>
          <w:sz w:val="18"/>
        </w:rPr>
        <w:t>or</w:t>
      </w:r>
      <w:r>
        <w:rPr>
          <w:spacing w:val="-2"/>
          <w:sz w:val="18"/>
        </w:rPr>
        <w:t xml:space="preserve"> </w:t>
      </w:r>
      <w:r>
        <w:rPr>
          <w:sz w:val="18"/>
        </w:rPr>
        <w:t>recovered</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 xml:space="preserve">tax </w:t>
      </w:r>
      <w:r>
        <w:rPr>
          <w:spacing w:val="-2"/>
          <w:sz w:val="18"/>
        </w:rPr>
        <w:t>authorities.</w:t>
      </w:r>
    </w:p>
    <w:p w14:paraId="2CF27886" w14:textId="77777777" w:rsidR="00AC6F3C" w:rsidRDefault="00AC6F3C">
      <w:pPr>
        <w:pStyle w:val="BodyText"/>
        <w:spacing w:before="8"/>
      </w:pPr>
    </w:p>
    <w:p w14:paraId="6D067728" w14:textId="77777777" w:rsidR="00AC6F3C" w:rsidRDefault="00570E88">
      <w:pPr>
        <w:spacing w:before="1"/>
        <w:ind w:left="958" w:right="990"/>
        <w:rPr>
          <w:sz w:val="18"/>
        </w:rPr>
      </w:pPr>
      <w:r>
        <w:rPr>
          <w:sz w:val="18"/>
        </w:rPr>
        <w:t xml:space="preserve">Deferred income tax is </w:t>
      </w:r>
      <w:proofErr w:type="spellStart"/>
      <w:r>
        <w:rPr>
          <w:sz w:val="18"/>
        </w:rPr>
        <w:t>recognised</w:t>
      </w:r>
      <w:proofErr w:type="spellEnd"/>
      <w:r>
        <w:rPr>
          <w:sz w:val="18"/>
        </w:rPr>
        <w:t xml:space="preserve"> for all temporary differences except when the deferred income tax arises</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initial</w:t>
      </w:r>
      <w:r>
        <w:rPr>
          <w:spacing w:val="-1"/>
          <w:sz w:val="18"/>
        </w:rPr>
        <w:t xml:space="preserve"> </w:t>
      </w:r>
      <w:r>
        <w:rPr>
          <w:sz w:val="18"/>
        </w:rPr>
        <w:t>recognition</w:t>
      </w:r>
      <w:r>
        <w:rPr>
          <w:spacing w:val="-1"/>
          <w:sz w:val="18"/>
        </w:rPr>
        <w:t xml:space="preserve"> </w:t>
      </w:r>
      <w:r>
        <w:rPr>
          <w:sz w:val="18"/>
        </w:rPr>
        <w:t>of</w:t>
      </w:r>
      <w:r>
        <w:rPr>
          <w:spacing w:val="-4"/>
          <w:sz w:val="18"/>
        </w:rPr>
        <w:t xml:space="preserve"> </w:t>
      </w:r>
      <w:r>
        <w:rPr>
          <w:sz w:val="18"/>
        </w:rPr>
        <w:t>an</w:t>
      </w:r>
      <w:r>
        <w:rPr>
          <w:spacing w:val="-1"/>
          <w:sz w:val="18"/>
        </w:rPr>
        <w:t xml:space="preserve"> </w:t>
      </w:r>
      <w:r>
        <w:rPr>
          <w:sz w:val="18"/>
        </w:rPr>
        <w:t>asset</w:t>
      </w:r>
      <w:r>
        <w:rPr>
          <w:spacing w:val="-2"/>
          <w:sz w:val="18"/>
        </w:rPr>
        <w:t xml:space="preserve"> </w:t>
      </w:r>
      <w:r>
        <w:rPr>
          <w:sz w:val="18"/>
        </w:rPr>
        <w:t>or</w:t>
      </w:r>
      <w:r>
        <w:rPr>
          <w:spacing w:val="-4"/>
          <w:sz w:val="18"/>
        </w:rPr>
        <w:t xml:space="preserve"> </w:t>
      </w:r>
      <w:r>
        <w:rPr>
          <w:sz w:val="18"/>
        </w:rPr>
        <w:t>liability</w:t>
      </w:r>
      <w:r>
        <w:rPr>
          <w:spacing w:val="-1"/>
          <w:sz w:val="18"/>
        </w:rPr>
        <w:t xml:space="preserve"> </w:t>
      </w:r>
      <w:r>
        <w:rPr>
          <w:sz w:val="18"/>
        </w:rPr>
        <w:t>which</w:t>
      </w:r>
      <w:r>
        <w:rPr>
          <w:spacing w:val="-4"/>
          <w:sz w:val="18"/>
        </w:rPr>
        <w:t xml:space="preserve"> </w:t>
      </w:r>
      <w:r>
        <w:rPr>
          <w:sz w:val="18"/>
        </w:rPr>
        <w:t>affects</w:t>
      </w:r>
      <w:r>
        <w:rPr>
          <w:spacing w:val="-3"/>
          <w:sz w:val="18"/>
        </w:rPr>
        <w:t xml:space="preserve"> </w:t>
      </w:r>
      <w:r>
        <w:rPr>
          <w:sz w:val="18"/>
        </w:rPr>
        <w:t>neither</w:t>
      </w:r>
      <w:r>
        <w:rPr>
          <w:spacing w:val="-2"/>
          <w:sz w:val="18"/>
        </w:rPr>
        <w:t xml:space="preserve"> </w:t>
      </w:r>
      <w:r>
        <w:rPr>
          <w:sz w:val="18"/>
        </w:rPr>
        <w:t>accounting</w:t>
      </w:r>
      <w:r>
        <w:rPr>
          <w:spacing w:val="-4"/>
          <w:sz w:val="18"/>
        </w:rPr>
        <w:t xml:space="preserve"> </w:t>
      </w:r>
      <w:r>
        <w:rPr>
          <w:sz w:val="18"/>
        </w:rPr>
        <w:t>nor</w:t>
      </w:r>
      <w:r>
        <w:rPr>
          <w:spacing w:val="-4"/>
          <w:sz w:val="18"/>
        </w:rPr>
        <w:t xml:space="preserve"> </w:t>
      </w:r>
      <w:r>
        <w:rPr>
          <w:sz w:val="18"/>
        </w:rPr>
        <w:t>taxable</w:t>
      </w:r>
      <w:r>
        <w:rPr>
          <w:spacing w:val="-4"/>
          <w:sz w:val="18"/>
        </w:rPr>
        <w:t xml:space="preserve"> </w:t>
      </w:r>
      <w:r>
        <w:rPr>
          <w:sz w:val="18"/>
        </w:rPr>
        <w:t>profit nor loss at the time of the transaction.</w:t>
      </w:r>
    </w:p>
    <w:p w14:paraId="2C162880" w14:textId="77777777" w:rsidR="00AC6F3C" w:rsidRDefault="00AC6F3C">
      <w:pPr>
        <w:pStyle w:val="BodyText"/>
        <w:spacing w:before="10"/>
      </w:pPr>
    </w:p>
    <w:p w14:paraId="691C90C9" w14:textId="77777777" w:rsidR="00AC6F3C" w:rsidRDefault="00570E88">
      <w:pPr>
        <w:ind w:left="958" w:right="632"/>
        <w:rPr>
          <w:sz w:val="18"/>
        </w:rPr>
      </w:pPr>
      <w:r>
        <w:rPr>
          <w:sz w:val="18"/>
        </w:rPr>
        <w:t>Current</w:t>
      </w:r>
      <w:r>
        <w:rPr>
          <w:spacing w:val="-2"/>
          <w:sz w:val="18"/>
        </w:rPr>
        <w:t xml:space="preserve"> </w:t>
      </w:r>
      <w:r>
        <w:rPr>
          <w:sz w:val="18"/>
        </w:rPr>
        <w:t>and</w:t>
      </w:r>
      <w:r>
        <w:rPr>
          <w:spacing w:val="-1"/>
          <w:sz w:val="18"/>
        </w:rPr>
        <w:t xml:space="preserve"> </w:t>
      </w:r>
      <w:r>
        <w:rPr>
          <w:sz w:val="18"/>
        </w:rPr>
        <w:t>deferred</w:t>
      </w:r>
      <w:r>
        <w:rPr>
          <w:spacing w:val="-1"/>
          <w:sz w:val="18"/>
        </w:rPr>
        <w:t xml:space="preserve"> </w:t>
      </w:r>
      <w:r>
        <w:rPr>
          <w:sz w:val="18"/>
        </w:rPr>
        <w:t>income</w:t>
      </w:r>
      <w:r>
        <w:rPr>
          <w:spacing w:val="-1"/>
          <w:sz w:val="18"/>
        </w:rPr>
        <w:t xml:space="preserve"> </w:t>
      </w:r>
      <w:r>
        <w:rPr>
          <w:sz w:val="18"/>
        </w:rPr>
        <w:t>tax</w:t>
      </w:r>
      <w:r>
        <w:rPr>
          <w:spacing w:val="-1"/>
          <w:sz w:val="18"/>
        </w:rPr>
        <w:t xml:space="preserve"> </w:t>
      </w:r>
      <w:r>
        <w:rPr>
          <w:sz w:val="18"/>
        </w:rPr>
        <w:t>is</w:t>
      </w:r>
      <w:r>
        <w:rPr>
          <w:spacing w:val="-1"/>
          <w:sz w:val="18"/>
        </w:rPr>
        <w:t xml:space="preserve"> </w:t>
      </w:r>
      <w:r>
        <w:rPr>
          <w:sz w:val="18"/>
        </w:rPr>
        <w:t>measured</w:t>
      </w:r>
      <w:r>
        <w:rPr>
          <w:spacing w:val="-4"/>
          <w:sz w:val="18"/>
        </w:rPr>
        <w:t xml:space="preserve"> </w:t>
      </w:r>
      <w:r>
        <w:rPr>
          <w:sz w:val="18"/>
        </w:rPr>
        <w:t>using</w:t>
      </w:r>
      <w:r>
        <w:rPr>
          <w:spacing w:val="-4"/>
          <w:sz w:val="18"/>
        </w:rPr>
        <w:t xml:space="preserve"> </w:t>
      </w:r>
      <w:r>
        <w:rPr>
          <w:sz w:val="18"/>
        </w:rPr>
        <w:t>the</w:t>
      </w:r>
      <w:r>
        <w:rPr>
          <w:spacing w:val="-1"/>
          <w:sz w:val="18"/>
        </w:rPr>
        <w:t xml:space="preserve"> </w:t>
      </w:r>
      <w:r>
        <w:rPr>
          <w:sz w:val="18"/>
        </w:rPr>
        <w:t>tax</w:t>
      </w:r>
      <w:r>
        <w:rPr>
          <w:spacing w:val="-1"/>
          <w:sz w:val="18"/>
        </w:rPr>
        <w:t xml:space="preserve"> </w:t>
      </w:r>
      <w:r>
        <w:rPr>
          <w:sz w:val="18"/>
        </w:rPr>
        <w:t>rates</w:t>
      </w:r>
      <w:r>
        <w:rPr>
          <w:spacing w:val="-3"/>
          <w:sz w:val="18"/>
        </w:rPr>
        <w:t xml:space="preserve"> </w:t>
      </w:r>
      <w:r>
        <w:rPr>
          <w:sz w:val="18"/>
        </w:rPr>
        <w:t>and</w:t>
      </w:r>
      <w:r>
        <w:rPr>
          <w:spacing w:val="-4"/>
          <w:sz w:val="18"/>
        </w:rPr>
        <w:t xml:space="preserve"> </w:t>
      </w:r>
      <w:r>
        <w:rPr>
          <w:sz w:val="18"/>
        </w:rPr>
        <w:t>tax</w:t>
      </w:r>
      <w:r>
        <w:rPr>
          <w:spacing w:val="-3"/>
          <w:sz w:val="18"/>
        </w:rPr>
        <w:t xml:space="preserve"> </w:t>
      </w:r>
      <w:r>
        <w:rPr>
          <w:sz w:val="18"/>
        </w:rPr>
        <w:t>laws</w:t>
      </w:r>
      <w:r>
        <w:rPr>
          <w:spacing w:val="-3"/>
          <w:sz w:val="18"/>
        </w:rPr>
        <w:t xml:space="preserve"> </w:t>
      </w:r>
      <w:r>
        <w:rPr>
          <w:sz w:val="18"/>
        </w:rPr>
        <w:t>that</w:t>
      </w:r>
      <w:r>
        <w:rPr>
          <w:spacing w:val="-2"/>
          <w:sz w:val="18"/>
        </w:rPr>
        <w:t xml:space="preserve"> </w:t>
      </w:r>
      <w:r>
        <w:rPr>
          <w:sz w:val="18"/>
        </w:rPr>
        <w:t>have</w:t>
      </w:r>
      <w:r>
        <w:rPr>
          <w:spacing w:val="-1"/>
          <w:sz w:val="18"/>
        </w:rPr>
        <w:t xml:space="preserve"> </w:t>
      </w:r>
      <w:r>
        <w:rPr>
          <w:sz w:val="18"/>
        </w:rPr>
        <w:t>been</w:t>
      </w:r>
      <w:r>
        <w:rPr>
          <w:spacing w:val="-1"/>
          <w:sz w:val="18"/>
        </w:rPr>
        <w:t xml:space="preserve"> </w:t>
      </w:r>
      <w:r>
        <w:rPr>
          <w:sz w:val="18"/>
        </w:rPr>
        <w:t>enacted</w:t>
      </w:r>
      <w:r>
        <w:rPr>
          <w:spacing w:val="-1"/>
          <w:sz w:val="18"/>
        </w:rPr>
        <w:t xml:space="preserve"> </w:t>
      </w:r>
      <w:r>
        <w:rPr>
          <w:sz w:val="18"/>
        </w:rPr>
        <w:t xml:space="preserve">or substantively enacted by balance date, and are </w:t>
      </w:r>
      <w:proofErr w:type="spellStart"/>
      <w:r>
        <w:rPr>
          <w:sz w:val="18"/>
        </w:rPr>
        <w:t>recognised</w:t>
      </w:r>
      <w:proofErr w:type="spellEnd"/>
      <w:r>
        <w:rPr>
          <w:sz w:val="18"/>
        </w:rPr>
        <w:t xml:space="preserve"> as income or expenses in the Statement of Comprehensive Income, except to the extent that the tax arises from a transaction which is </w:t>
      </w:r>
      <w:proofErr w:type="spellStart"/>
      <w:r>
        <w:rPr>
          <w:sz w:val="18"/>
        </w:rPr>
        <w:t>recognised</w:t>
      </w:r>
      <w:proofErr w:type="spellEnd"/>
      <w:r>
        <w:rPr>
          <w:sz w:val="18"/>
        </w:rPr>
        <w:t xml:space="preserve"> directly in equity.</w:t>
      </w:r>
    </w:p>
    <w:p w14:paraId="07EB6A81" w14:textId="77777777" w:rsidR="00AC6F3C" w:rsidRDefault="00AC6F3C">
      <w:pPr>
        <w:pStyle w:val="BodyText"/>
        <w:spacing w:before="10"/>
      </w:pPr>
    </w:p>
    <w:p w14:paraId="6D619786" w14:textId="77777777" w:rsidR="00AC6F3C" w:rsidRDefault="00570E88">
      <w:pPr>
        <w:ind w:left="958" w:right="1016"/>
        <w:jc w:val="both"/>
        <w:rPr>
          <w:sz w:val="18"/>
        </w:rPr>
      </w:pPr>
      <w:r>
        <w:rPr>
          <w:sz w:val="18"/>
        </w:rPr>
        <w:t>A</w:t>
      </w:r>
      <w:r>
        <w:rPr>
          <w:spacing w:val="-2"/>
          <w:sz w:val="18"/>
        </w:rPr>
        <w:t xml:space="preserve"> </w:t>
      </w:r>
      <w:r>
        <w:rPr>
          <w:sz w:val="18"/>
        </w:rPr>
        <w:t>deferred</w:t>
      </w:r>
      <w:r>
        <w:rPr>
          <w:spacing w:val="-1"/>
          <w:sz w:val="18"/>
        </w:rPr>
        <w:t xml:space="preserve"> </w:t>
      </w:r>
      <w:r>
        <w:rPr>
          <w:sz w:val="18"/>
        </w:rPr>
        <w:t>income</w:t>
      </w:r>
      <w:r>
        <w:rPr>
          <w:spacing w:val="-1"/>
          <w:sz w:val="18"/>
        </w:rPr>
        <w:t xml:space="preserve"> </w:t>
      </w:r>
      <w:r>
        <w:rPr>
          <w:sz w:val="18"/>
        </w:rPr>
        <w:t>tax</w:t>
      </w:r>
      <w:r>
        <w:rPr>
          <w:spacing w:val="-3"/>
          <w:sz w:val="18"/>
        </w:rPr>
        <w:t xml:space="preserve"> </w:t>
      </w:r>
      <w:r>
        <w:rPr>
          <w:sz w:val="18"/>
        </w:rPr>
        <w:t>asset</w:t>
      </w:r>
      <w:r>
        <w:rPr>
          <w:spacing w:val="-4"/>
          <w:sz w:val="18"/>
        </w:rPr>
        <w:t xml:space="preserve"> </w:t>
      </w:r>
      <w:r>
        <w:rPr>
          <w:sz w:val="18"/>
        </w:rPr>
        <w:t>is</w:t>
      </w:r>
      <w:r>
        <w:rPr>
          <w:spacing w:val="-3"/>
          <w:sz w:val="18"/>
        </w:rPr>
        <w:t xml:space="preserve"> </w:t>
      </w:r>
      <w:proofErr w:type="spellStart"/>
      <w:r>
        <w:rPr>
          <w:sz w:val="18"/>
        </w:rPr>
        <w:t>recognised</w:t>
      </w:r>
      <w:proofErr w:type="spellEnd"/>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extent</w:t>
      </w:r>
      <w:r>
        <w:rPr>
          <w:spacing w:val="-2"/>
          <w:sz w:val="18"/>
        </w:rPr>
        <w:t xml:space="preserve"> </w:t>
      </w:r>
      <w:r>
        <w:rPr>
          <w:sz w:val="18"/>
        </w:rPr>
        <w:t>that</w:t>
      </w:r>
      <w:r>
        <w:rPr>
          <w:spacing w:val="-2"/>
          <w:sz w:val="18"/>
        </w:rPr>
        <w:t xml:space="preserve"> </w:t>
      </w:r>
      <w:r>
        <w:rPr>
          <w:sz w:val="18"/>
        </w:rPr>
        <w:t>it</w:t>
      </w:r>
      <w:r>
        <w:rPr>
          <w:spacing w:val="-2"/>
          <w:sz w:val="18"/>
        </w:rPr>
        <w:t xml:space="preserve"> </w:t>
      </w:r>
      <w:r>
        <w:rPr>
          <w:sz w:val="18"/>
        </w:rPr>
        <w:t>is</w:t>
      </w:r>
      <w:r>
        <w:rPr>
          <w:spacing w:val="-3"/>
          <w:sz w:val="18"/>
        </w:rPr>
        <w:t xml:space="preserve"> </w:t>
      </w:r>
      <w:r>
        <w:rPr>
          <w:sz w:val="18"/>
        </w:rPr>
        <w:t>probable</w:t>
      </w:r>
      <w:r>
        <w:rPr>
          <w:spacing w:val="-4"/>
          <w:sz w:val="18"/>
        </w:rPr>
        <w:t xml:space="preserve"> </w:t>
      </w:r>
      <w:r>
        <w:rPr>
          <w:sz w:val="18"/>
        </w:rPr>
        <w:t>that</w:t>
      </w:r>
      <w:r>
        <w:rPr>
          <w:spacing w:val="-4"/>
          <w:sz w:val="18"/>
        </w:rPr>
        <w:t xml:space="preserve"> </w:t>
      </w:r>
      <w:r>
        <w:rPr>
          <w:sz w:val="18"/>
        </w:rPr>
        <w:t>future</w:t>
      </w:r>
      <w:r>
        <w:rPr>
          <w:spacing w:val="-1"/>
          <w:sz w:val="18"/>
        </w:rPr>
        <w:t xml:space="preserve"> </w:t>
      </w:r>
      <w:r>
        <w:rPr>
          <w:sz w:val="18"/>
        </w:rPr>
        <w:t>taxable</w:t>
      </w:r>
      <w:r>
        <w:rPr>
          <w:spacing w:val="-1"/>
          <w:sz w:val="18"/>
        </w:rPr>
        <w:t xml:space="preserve"> </w:t>
      </w:r>
      <w:r>
        <w:rPr>
          <w:sz w:val="18"/>
        </w:rPr>
        <w:t>profit</w:t>
      </w:r>
      <w:r>
        <w:rPr>
          <w:spacing w:val="-2"/>
          <w:sz w:val="18"/>
        </w:rPr>
        <w:t xml:space="preserve"> </w:t>
      </w:r>
      <w:r>
        <w:rPr>
          <w:sz w:val="18"/>
        </w:rPr>
        <w:t>will</w:t>
      </w:r>
      <w:r>
        <w:rPr>
          <w:spacing w:val="-1"/>
          <w:sz w:val="18"/>
        </w:rPr>
        <w:t xml:space="preserve"> </w:t>
      </w:r>
      <w:r>
        <w:rPr>
          <w:sz w:val="18"/>
        </w:rPr>
        <w:t xml:space="preserve">be available against which the deductible temporary differences and tax losses can be </w:t>
      </w:r>
      <w:proofErr w:type="spellStart"/>
      <w:r>
        <w:rPr>
          <w:sz w:val="18"/>
        </w:rPr>
        <w:t>utilised</w:t>
      </w:r>
      <w:proofErr w:type="spellEnd"/>
      <w:r>
        <w:rPr>
          <w:sz w:val="18"/>
        </w:rPr>
        <w:t>.</w:t>
      </w:r>
    </w:p>
    <w:p w14:paraId="53FEE684" w14:textId="77777777" w:rsidR="00AC6F3C" w:rsidRDefault="00AC6F3C">
      <w:pPr>
        <w:jc w:val="both"/>
        <w:rPr>
          <w:sz w:val="18"/>
        </w:rPr>
        <w:sectPr w:rsidR="00AC6F3C">
          <w:pgSz w:w="11910" w:h="16840"/>
          <w:pgMar w:top="2020" w:right="1160" w:bottom="520" w:left="460" w:header="1228" w:footer="336" w:gutter="0"/>
          <w:cols w:space="720"/>
        </w:sectPr>
      </w:pPr>
    </w:p>
    <w:p w14:paraId="74DE3316" w14:textId="77777777" w:rsidR="00AC6F3C" w:rsidRDefault="00AC6F3C">
      <w:pPr>
        <w:pStyle w:val="BodyText"/>
      </w:pPr>
    </w:p>
    <w:p w14:paraId="0B5ACABB" w14:textId="77777777" w:rsidR="00AC6F3C" w:rsidRDefault="00570E88">
      <w:pPr>
        <w:tabs>
          <w:tab w:val="left" w:pos="1666"/>
        </w:tabs>
        <w:spacing w:before="249"/>
        <w:ind w:left="958"/>
        <w:rPr>
          <w:b/>
          <w:sz w:val="28"/>
        </w:rPr>
      </w:pPr>
      <w:r>
        <w:rPr>
          <w:b/>
          <w:spacing w:val="-5"/>
          <w:sz w:val="28"/>
        </w:rPr>
        <w:t>F1</w:t>
      </w:r>
      <w:r>
        <w:rPr>
          <w:b/>
          <w:sz w:val="28"/>
        </w:rPr>
        <w:tab/>
      </w:r>
      <w:r>
        <w:rPr>
          <w:b/>
          <w:spacing w:val="-5"/>
          <w:sz w:val="28"/>
        </w:rPr>
        <w:t>TAXATION</w:t>
      </w:r>
      <w:r>
        <w:rPr>
          <w:b/>
          <w:spacing w:val="-9"/>
          <w:sz w:val="28"/>
        </w:rPr>
        <w:t xml:space="preserve"> </w:t>
      </w:r>
      <w:r>
        <w:rPr>
          <w:b/>
          <w:spacing w:val="-2"/>
          <w:sz w:val="28"/>
        </w:rPr>
        <w:t>(continued)</w:t>
      </w:r>
    </w:p>
    <w:p w14:paraId="3520259A" w14:textId="77777777" w:rsidR="00AC6F3C" w:rsidRDefault="00570E88">
      <w:pPr>
        <w:pStyle w:val="Heading6"/>
        <w:tabs>
          <w:tab w:val="left" w:pos="1810"/>
        </w:tabs>
      </w:pPr>
      <w:r>
        <w:rPr>
          <w:spacing w:val="-2"/>
        </w:rPr>
        <w:t>F1-</w:t>
      </w:r>
      <w:r>
        <w:rPr>
          <w:spacing w:val="-10"/>
        </w:rPr>
        <w:t>1</w:t>
      </w:r>
      <w:r>
        <w:tab/>
        <w:t>INCOME</w:t>
      </w:r>
      <w:r>
        <w:rPr>
          <w:spacing w:val="-1"/>
        </w:rPr>
        <w:t xml:space="preserve"> </w:t>
      </w:r>
      <w:r>
        <w:t>TAX</w:t>
      </w:r>
      <w:r>
        <w:rPr>
          <w:spacing w:val="-2"/>
        </w:rPr>
        <w:t xml:space="preserve"> EXPENSE</w:t>
      </w:r>
    </w:p>
    <w:p w14:paraId="2D4F4B3B"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991"/>
        <w:gridCol w:w="1134"/>
        <w:gridCol w:w="577"/>
        <w:gridCol w:w="528"/>
        <w:gridCol w:w="1134"/>
        <w:gridCol w:w="440"/>
        <w:gridCol w:w="671"/>
      </w:tblGrid>
      <w:tr w:rsidR="00AC6F3C" w14:paraId="1998DC94" w14:textId="77777777">
        <w:trPr>
          <w:trHeight w:val="878"/>
        </w:trPr>
        <w:tc>
          <w:tcPr>
            <w:tcW w:w="3991" w:type="dxa"/>
            <w:tcBorders>
              <w:top w:val="single" w:sz="6" w:space="0" w:color="000000"/>
              <w:left w:val="single" w:sz="6" w:space="0" w:color="000000"/>
              <w:bottom w:val="single" w:sz="6" w:space="0" w:color="000000"/>
            </w:tcBorders>
            <w:shd w:val="clear" w:color="auto" w:fill="BEBEBE"/>
          </w:tcPr>
          <w:p w14:paraId="5605D872" w14:textId="77777777" w:rsidR="00AC6F3C" w:rsidRDefault="00AC6F3C">
            <w:pPr>
              <w:pStyle w:val="TableParagraph"/>
              <w:rPr>
                <w:rFonts w:ascii="Times New Roman"/>
                <w:sz w:val="18"/>
              </w:rPr>
            </w:pPr>
          </w:p>
        </w:tc>
        <w:tc>
          <w:tcPr>
            <w:tcW w:w="1711" w:type="dxa"/>
            <w:gridSpan w:val="2"/>
            <w:tcBorders>
              <w:top w:val="single" w:sz="6" w:space="0" w:color="000000"/>
              <w:bottom w:val="single" w:sz="6" w:space="0" w:color="000000"/>
            </w:tcBorders>
            <w:shd w:val="clear" w:color="auto" w:fill="BEBEBE"/>
          </w:tcPr>
          <w:p w14:paraId="394D683A" w14:textId="77777777" w:rsidR="00AC6F3C" w:rsidRDefault="00570E88">
            <w:pPr>
              <w:pStyle w:val="TableParagraph"/>
              <w:spacing w:before="24" w:line="362" w:lineRule="auto"/>
              <w:ind w:left="678" w:right="25" w:hanging="105"/>
              <w:rPr>
                <w:b/>
                <w:sz w:val="18"/>
              </w:rPr>
            </w:pPr>
            <w:r>
              <w:rPr>
                <w:b/>
                <w:spacing w:val="-4"/>
                <w:sz w:val="18"/>
              </w:rPr>
              <w:t>Consolidated 2023</w:t>
            </w:r>
          </w:p>
          <w:p w14:paraId="69A4589A" w14:textId="77777777" w:rsidR="00AC6F3C" w:rsidRDefault="00570E88">
            <w:pPr>
              <w:pStyle w:val="TableParagraph"/>
              <w:spacing w:line="193" w:lineRule="exact"/>
              <w:ind w:left="634"/>
              <w:rPr>
                <w:b/>
                <w:sz w:val="18"/>
              </w:rPr>
            </w:pPr>
            <w:r>
              <w:rPr>
                <w:b/>
                <w:spacing w:val="-2"/>
                <w:sz w:val="18"/>
              </w:rPr>
              <w:t>$’000</w:t>
            </w:r>
          </w:p>
        </w:tc>
        <w:tc>
          <w:tcPr>
            <w:tcW w:w="528" w:type="dxa"/>
            <w:tcBorders>
              <w:top w:val="single" w:sz="6" w:space="0" w:color="000000"/>
              <w:bottom w:val="single" w:sz="6" w:space="0" w:color="000000"/>
            </w:tcBorders>
            <w:shd w:val="clear" w:color="auto" w:fill="BEBEBE"/>
          </w:tcPr>
          <w:p w14:paraId="60E7FC7C" w14:textId="77777777" w:rsidR="00AC6F3C" w:rsidRDefault="00AC6F3C">
            <w:pPr>
              <w:pStyle w:val="TableParagraph"/>
              <w:spacing w:before="4"/>
              <w:rPr>
                <w:b/>
                <w:sz w:val="29"/>
              </w:rPr>
            </w:pPr>
          </w:p>
          <w:p w14:paraId="3ECE1A82" w14:textId="77777777" w:rsidR="00AC6F3C" w:rsidRDefault="00570E88">
            <w:pPr>
              <w:pStyle w:val="TableParagraph"/>
              <w:ind w:left="86"/>
              <w:rPr>
                <w:b/>
                <w:sz w:val="18"/>
              </w:rPr>
            </w:pPr>
            <w:r>
              <w:rPr>
                <w:b/>
                <w:spacing w:val="-4"/>
                <w:sz w:val="18"/>
              </w:rPr>
              <w:t>2022</w:t>
            </w:r>
          </w:p>
          <w:p w14:paraId="03DBB191" w14:textId="77777777" w:rsidR="00AC6F3C" w:rsidRDefault="00570E88">
            <w:pPr>
              <w:pStyle w:val="TableParagraph"/>
              <w:spacing w:before="91"/>
              <w:ind w:left="42"/>
              <w:rPr>
                <w:b/>
                <w:sz w:val="18"/>
              </w:rPr>
            </w:pPr>
            <w:r>
              <w:rPr>
                <w:b/>
                <w:spacing w:val="-2"/>
                <w:sz w:val="18"/>
              </w:rPr>
              <w:t>$’000</w:t>
            </w:r>
          </w:p>
        </w:tc>
        <w:tc>
          <w:tcPr>
            <w:tcW w:w="1574" w:type="dxa"/>
            <w:gridSpan w:val="2"/>
            <w:tcBorders>
              <w:top w:val="single" w:sz="6" w:space="0" w:color="000000"/>
              <w:bottom w:val="single" w:sz="6" w:space="0" w:color="000000"/>
            </w:tcBorders>
            <w:shd w:val="clear" w:color="auto" w:fill="BEBEBE"/>
          </w:tcPr>
          <w:p w14:paraId="1E37ADF7" w14:textId="77777777" w:rsidR="00AC6F3C" w:rsidRDefault="00570E88">
            <w:pPr>
              <w:pStyle w:val="TableParagraph"/>
              <w:spacing w:before="24" w:line="362" w:lineRule="auto"/>
              <w:ind w:left="677" w:firstLine="164"/>
              <w:rPr>
                <w:b/>
                <w:sz w:val="18"/>
              </w:rPr>
            </w:pPr>
            <w:r>
              <w:rPr>
                <w:b/>
                <w:spacing w:val="-2"/>
                <w:sz w:val="18"/>
              </w:rPr>
              <w:t xml:space="preserve">Parent </w:t>
            </w:r>
            <w:r>
              <w:rPr>
                <w:b/>
                <w:spacing w:val="-4"/>
                <w:sz w:val="18"/>
              </w:rPr>
              <w:t>2023</w:t>
            </w:r>
          </w:p>
          <w:p w14:paraId="5919AF9A" w14:textId="77777777" w:rsidR="00AC6F3C" w:rsidRDefault="00570E88">
            <w:pPr>
              <w:pStyle w:val="TableParagraph"/>
              <w:spacing w:line="193" w:lineRule="exact"/>
              <w:ind w:left="633"/>
              <w:rPr>
                <w:b/>
                <w:sz w:val="18"/>
              </w:rPr>
            </w:pPr>
            <w:r>
              <w:rPr>
                <w:b/>
                <w:spacing w:val="-2"/>
                <w:sz w:val="18"/>
              </w:rPr>
              <w:t>$’000</w:t>
            </w:r>
          </w:p>
        </w:tc>
        <w:tc>
          <w:tcPr>
            <w:tcW w:w="671" w:type="dxa"/>
            <w:tcBorders>
              <w:top w:val="single" w:sz="6" w:space="0" w:color="000000"/>
              <w:bottom w:val="single" w:sz="6" w:space="0" w:color="000000"/>
              <w:right w:val="single" w:sz="6" w:space="0" w:color="000000"/>
            </w:tcBorders>
            <w:shd w:val="clear" w:color="auto" w:fill="BEBEBE"/>
          </w:tcPr>
          <w:p w14:paraId="49727CBD" w14:textId="77777777" w:rsidR="00AC6F3C" w:rsidRDefault="00AC6F3C">
            <w:pPr>
              <w:pStyle w:val="TableParagraph"/>
              <w:spacing w:before="4"/>
              <w:rPr>
                <w:b/>
                <w:sz w:val="29"/>
              </w:rPr>
            </w:pPr>
          </w:p>
          <w:p w14:paraId="482837AD" w14:textId="77777777" w:rsidR="00AC6F3C" w:rsidRDefault="00570E88">
            <w:pPr>
              <w:pStyle w:val="TableParagraph"/>
              <w:ind w:left="222"/>
              <w:rPr>
                <w:b/>
                <w:sz w:val="18"/>
              </w:rPr>
            </w:pPr>
            <w:r>
              <w:rPr>
                <w:b/>
                <w:spacing w:val="-4"/>
                <w:sz w:val="18"/>
              </w:rPr>
              <w:t>2022</w:t>
            </w:r>
          </w:p>
          <w:p w14:paraId="49ECB998" w14:textId="77777777" w:rsidR="00AC6F3C" w:rsidRDefault="00570E88">
            <w:pPr>
              <w:pStyle w:val="TableParagraph"/>
              <w:spacing w:before="91"/>
              <w:ind w:left="178"/>
              <w:rPr>
                <w:b/>
                <w:sz w:val="18"/>
              </w:rPr>
            </w:pPr>
            <w:r>
              <w:rPr>
                <w:b/>
                <w:spacing w:val="-2"/>
                <w:sz w:val="18"/>
              </w:rPr>
              <w:t>$’000</w:t>
            </w:r>
          </w:p>
        </w:tc>
      </w:tr>
      <w:tr w:rsidR="00AC6F3C" w14:paraId="6AEBD599" w14:textId="77777777">
        <w:trPr>
          <w:trHeight w:val="503"/>
        </w:trPr>
        <w:tc>
          <w:tcPr>
            <w:tcW w:w="3991" w:type="dxa"/>
            <w:tcBorders>
              <w:top w:val="single" w:sz="6" w:space="0" w:color="000000"/>
              <w:left w:val="single" w:sz="6" w:space="0" w:color="000000"/>
            </w:tcBorders>
          </w:tcPr>
          <w:p w14:paraId="1852E3DF" w14:textId="77777777" w:rsidR="00AC6F3C" w:rsidRDefault="00570E88">
            <w:pPr>
              <w:pStyle w:val="TableParagraph"/>
              <w:spacing w:before="10"/>
              <w:ind w:left="37"/>
              <w:rPr>
                <w:b/>
                <w:sz w:val="18"/>
              </w:rPr>
            </w:pPr>
            <w:r>
              <w:rPr>
                <w:b/>
                <w:sz w:val="18"/>
              </w:rPr>
              <w:t>Tax</w:t>
            </w:r>
            <w:r>
              <w:rPr>
                <w:b/>
                <w:spacing w:val="-13"/>
                <w:sz w:val="18"/>
              </w:rPr>
              <w:t xml:space="preserve"> </w:t>
            </w:r>
            <w:r>
              <w:rPr>
                <w:b/>
                <w:sz w:val="18"/>
              </w:rPr>
              <w:t>expense</w:t>
            </w:r>
            <w:r>
              <w:rPr>
                <w:b/>
                <w:spacing w:val="-11"/>
                <w:sz w:val="18"/>
              </w:rPr>
              <w:t xml:space="preserve"> </w:t>
            </w:r>
            <w:r>
              <w:rPr>
                <w:b/>
                <w:sz w:val="18"/>
              </w:rPr>
              <w:t>attributable</w:t>
            </w:r>
            <w:r>
              <w:rPr>
                <w:b/>
                <w:spacing w:val="-9"/>
                <w:sz w:val="18"/>
              </w:rPr>
              <w:t xml:space="preserve"> </w:t>
            </w:r>
            <w:r>
              <w:rPr>
                <w:b/>
                <w:sz w:val="18"/>
              </w:rPr>
              <w:t>to</w:t>
            </w:r>
            <w:r>
              <w:rPr>
                <w:b/>
                <w:spacing w:val="-13"/>
                <w:sz w:val="18"/>
              </w:rPr>
              <w:t xml:space="preserve"> </w:t>
            </w:r>
            <w:r>
              <w:rPr>
                <w:b/>
                <w:sz w:val="18"/>
              </w:rPr>
              <w:t>profit</w:t>
            </w:r>
            <w:r>
              <w:rPr>
                <w:b/>
                <w:spacing w:val="-12"/>
                <w:sz w:val="18"/>
              </w:rPr>
              <w:t xml:space="preserve"> </w:t>
            </w:r>
            <w:r>
              <w:rPr>
                <w:b/>
                <w:sz w:val="18"/>
              </w:rPr>
              <w:t>is</w:t>
            </w:r>
            <w:r>
              <w:rPr>
                <w:b/>
                <w:spacing w:val="-9"/>
                <w:sz w:val="18"/>
              </w:rPr>
              <w:t xml:space="preserve"> </w:t>
            </w:r>
            <w:r>
              <w:rPr>
                <w:b/>
                <w:sz w:val="18"/>
              </w:rPr>
              <w:t>made</w:t>
            </w:r>
            <w:r>
              <w:rPr>
                <w:b/>
                <w:spacing w:val="-9"/>
                <w:sz w:val="18"/>
              </w:rPr>
              <w:t xml:space="preserve"> </w:t>
            </w:r>
            <w:r>
              <w:rPr>
                <w:b/>
                <w:spacing w:val="-5"/>
                <w:sz w:val="18"/>
              </w:rPr>
              <w:t>up</w:t>
            </w:r>
          </w:p>
          <w:p w14:paraId="3EFCAE24" w14:textId="77777777" w:rsidR="00AC6F3C" w:rsidRDefault="00570E88">
            <w:pPr>
              <w:pStyle w:val="TableParagraph"/>
              <w:spacing w:before="31"/>
              <w:ind w:left="37"/>
              <w:rPr>
                <w:b/>
                <w:sz w:val="18"/>
              </w:rPr>
            </w:pPr>
            <w:r>
              <w:rPr>
                <w:b/>
                <w:spacing w:val="-5"/>
                <w:sz w:val="18"/>
              </w:rPr>
              <w:t>of:</w:t>
            </w:r>
          </w:p>
        </w:tc>
        <w:tc>
          <w:tcPr>
            <w:tcW w:w="1134" w:type="dxa"/>
            <w:tcBorders>
              <w:top w:val="single" w:sz="6" w:space="0" w:color="000000"/>
            </w:tcBorders>
            <w:shd w:val="clear" w:color="auto" w:fill="F1F1F1"/>
          </w:tcPr>
          <w:p w14:paraId="7EB16388" w14:textId="77777777" w:rsidR="00AC6F3C" w:rsidRDefault="00AC6F3C">
            <w:pPr>
              <w:pStyle w:val="TableParagraph"/>
              <w:rPr>
                <w:rFonts w:ascii="Times New Roman"/>
                <w:sz w:val="18"/>
              </w:rPr>
            </w:pPr>
          </w:p>
        </w:tc>
        <w:tc>
          <w:tcPr>
            <w:tcW w:w="1105" w:type="dxa"/>
            <w:gridSpan w:val="2"/>
            <w:tcBorders>
              <w:top w:val="single" w:sz="6" w:space="0" w:color="000000"/>
            </w:tcBorders>
          </w:tcPr>
          <w:p w14:paraId="76444B0B" w14:textId="77777777" w:rsidR="00AC6F3C" w:rsidRDefault="00AC6F3C">
            <w:pPr>
              <w:pStyle w:val="TableParagraph"/>
              <w:rPr>
                <w:rFonts w:ascii="Times New Roman"/>
                <w:sz w:val="18"/>
              </w:rPr>
            </w:pPr>
          </w:p>
        </w:tc>
        <w:tc>
          <w:tcPr>
            <w:tcW w:w="1134" w:type="dxa"/>
            <w:tcBorders>
              <w:top w:val="single" w:sz="6" w:space="0" w:color="000000"/>
            </w:tcBorders>
            <w:shd w:val="clear" w:color="auto" w:fill="F1F1F1"/>
          </w:tcPr>
          <w:p w14:paraId="34FFE1E7" w14:textId="77777777" w:rsidR="00AC6F3C" w:rsidRDefault="00AC6F3C">
            <w:pPr>
              <w:pStyle w:val="TableParagraph"/>
              <w:rPr>
                <w:rFonts w:ascii="Times New Roman"/>
                <w:sz w:val="18"/>
              </w:rPr>
            </w:pPr>
          </w:p>
        </w:tc>
        <w:tc>
          <w:tcPr>
            <w:tcW w:w="1111" w:type="dxa"/>
            <w:gridSpan w:val="2"/>
            <w:tcBorders>
              <w:top w:val="single" w:sz="6" w:space="0" w:color="000000"/>
              <w:right w:val="single" w:sz="6" w:space="0" w:color="000000"/>
            </w:tcBorders>
          </w:tcPr>
          <w:p w14:paraId="578A2CF7" w14:textId="77777777" w:rsidR="00AC6F3C" w:rsidRDefault="00AC6F3C">
            <w:pPr>
              <w:pStyle w:val="TableParagraph"/>
              <w:rPr>
                <w:rFonts w:ascii="Times New Roman"/>
                <w:sz w:val="18"/>
              </w:rPr>
            </w:pPr>
          </w:p>
        </w:tc>
      </w:tr>
      <w:tr w:rsidR="00AC6F3C" w14:paraId="2D1D46E4" w14:textId="77777777">
        <w:trPr>
          <w:trHeight w:val="297"/>
        </w:trPr>
        <w:tc>
          <w:tcPr>
            <w:tcW w:w="3991" w:type="dxa"/>
            <w:tcBorders>
              <w:left w:val="single" w:sz="6" w:space="0" w:color="000000"/>
            </w:tcBorders>
          </w:tcPr>
          <w:p w14:paraId="746E2E90" w14:textId="77777777" w:rsidR="00AC6F3C" w:rsidRDefault="00570E88">
            <w:pPr>
              <w:pStyle w:val="TableParagraph"/>
              <w:spacing w:before="42"/>
              <w:ind w:left="37"/>
              <w:rPr>
                <w:sz w:val="18"/>
              </w:rPr>
            </w:pPr>
            <w:r>
              <w:rPr>
                <w:sz w:val="18"/>
              </w:rPr>
              <w:t>Current</w:t>
            </w:r>
            <w:r>
              <w:rPr>
                <w:spacing w:val="2"/>
                <w:sz w:val="18"/>
              </w:rPr>
              <w:t xml:space="preserve"> </w:t>
            </w:r>
            <w:r>
              <w:rPr>
                <w:sz w:val="18"/>
              </w:rPr>
              <w:t>income</w:t>
            </w:r>
            <w:r>
              <w:rPr>
                <w:spacing w:val="16"/>
                <w:sz w:val="18"/>
              </w:rPr>
              <w:t xml:space="preserve"> </w:t>
            </w:r>
            <w:r>
              <w:rPr>
                <w:spacing w:val="-5"/>
                <w:sz w:val="18"/>
              </w:rPr>
              <w:t>tax</w:t>
            </w:r>
          </w:p>
        </w:tc>
        <w:tc>
          <w:tcPr>
            <w:tcW w:w="1134" w:type="dxa"/>
            <w:shd w:val="clear" w:color="auto" w:fill="F1F1F1"/>
          </w:tcPr>
          <w:p w14:paraId="41FD3E60" w14:textId="77777777" w:rsidR="00AC6F3C" w:rsidRDefault="00570E88">
            <w:pPr>
              <w:pStyle w:val="TableParagraph"/>
              <w:spacing w:before="42"/>
              <w:ind w:right="35"/>
              <w:jc w:val="right"/>
              <w:rPr>
                <w:sz w:val="18"/>
              </w:rPr>
            </w:pPr>
            <w:r>
              <w:rPr>
                <w:spacing w:val="-2"/>
                <w:sz w:val="18"/>
              </w:rPr>
              <w:t>1,199</w:t>
            </w:r>
          </w:p>
        </w:tc>
        <w:tc>
          <w:tcPr>
            <w:tcW w:w="1105" w:type="dxa"/>
            <w:gridSpan w:val="2"/>
          </w:tcPr>
          <w:p w14:paraId="2B4ED0A7" w14:textId="77777777" w:rsidR="00AC6F3C" w:rsidRDefault="00570E88">
            <w:pPr>
              <w:pStyle w:val="TableParagraph"/>
              <w:spacing w:before="42"/>
              <w:ind w:left="619"/>
              <w:rPr>
                <w:sz w:val="18"/>
              </w:rPr>
            </w:pPr>
            <w:r>
              <w:rPr>
                <w:spacing w:val="-2"/>
                <w:sz w:val="18"/>
              </w:rPr>
              <w:t>2,520</w:t>
            </w:r>
          </w:p>
        </w:tc>
        <w:tc>
          <w:tcPr>
            <w:tcW w:w="1134" w:type="dxa"/>
            <w:shd w:val="clear" w:color="auto" w:fill="F1F1F1"/>
          </w:tcPr>
          <w:p w14:paraId="09A7601A" w14:textId="77777777" w:rsidR="00AC6F3C" w:rsidRDefault="00570E88">
            <w:pPr>
              <w:pStyle w:val="TableParagraph"/>
              <w:spacing w:before="42"/>
              <w:ind w:right="36"/>
              <w:jc w:val="right"/>
              <w:rPr>
                <w:sz w:val="18"/>
              </w:rPr>
            </w:pPr>
            <w:r>
              <w:rPr>
                <w:w w:val="99"/>
                <w:sz w:val="18"/>
              </w:rPr>
              <w:t>-</w:t>
            </w:r>
          </w:p>
        </w:tc>
        <w:tc>
          <w:tcPr>
            <w:tcW w:w="1111" w:type="dxa"/>
            <w:gridSpan w:val="2"/>
            <w:tcBorders>
              <w:right w:val="single" w:sz="6" w:space="0" w:color="000000"/>
            </w:tcBorders>
          </w:tcPr>
          <w:p w14:paraId="751E7938" w14:textId="77777777" w:rsidR="00AC6F3C" w:rsidRDefault="00570E88">
            <w:pPr>
              <w:pStyle w:val="TableParagraph"/>
              <w:spacing w:before="42"/>
              <w:ind w:right="22"/>
              <w:jc w:val="right"/>
              <w:rPr>
                <w:sz w:val="18"/>
              </w:rPr>
            </w:pPr>
            <w:r>
              <w:rPr>
                <w:w w:val="99"/>
                <w:sz w:val="18"/>
              </w:rPr>
              <w:t>-</w:t>
            </w:r>
          </w:p>
        </w:tc>
      </w:tr>
      <w:tr w:rsidR="00AC6F3C" w14:paraId="5BCC2658" w14:textId="77777777">
        <w:trPr>
          <w:trHeight w:val="255"/>
        </w:trPr>
        <w:tc>
          <w:tcPr>
            <w:tcW w:w="3991" w:type="dxa"/>
            <w:tcBorders>
              <w:left w:val="single" w:sz="6" w:space="0" w:color="000000"/>
            </w:tcBorders>
          </w:tcPr>
          <w:p w14:paraId="573561E2" w14:textId="77777777" w:rsidR="00AC6F3C" w:rsidRDefault="00570E88">
            <w:pPr>
              <w:pStyle w:val="TableParagraph"/>
              <w:spacing w:before="42" w:line="193" w:lineRule="exact"/>
              <w:ind w:left="37"/>
              <w:rPr>
                <w:sz w:val="18"/>
              </w:rPr>
            </w:pPr>
            <w:r>
              <w:rPr>
                <w:sz w:val="18"/>
              </w:rPr>
              <w:t>Deferred</w:t>
            </w:r>
            <w:r>
              <w:rPr>
                <w:spacing w:val="3"/>
                <w:sz w:val="18"/>
              </w:rPr>
              <w:t xml:space="preserve"> </w:t>
            </w:r>
            <w:r>
              <w:rPr>
                <w:sz w:val="18"/>
              </w:rPr>
              <w:t>income</w:t>
            </w:r>
            <w:r>
              <w:rPr>
                <w:spacing w:val="3"/>
                <w:sz w:val="18"/>
              </w:rPr>
              <w:t xml:space="preserve"> </w:t>
            </w:r>
            <w:r>
              <w:rPr>
                <w:sz w:val="18"/>
              </w:rPr>
              <w:t>tax</w:t>
            </w:r>
            <w:r>
              <w:rPr>
                <w:spacing w:val="-18"/>
                <w:sz w:val="18"/>
              </w:rPr>
              <w:t xml:space="preserve"> </w:t>
            </w:r>
            <w:r>
              <w:rPr>
                <w:sz w:val="18"/>
              </w:rPr>
              <w:t>(Note</w:t>
            </w:r>
            <w:r>
              <w:rPr>
                <w:spacing w:val="3"/>
                <w:sz w:val="18"/>
              </w:rPr>
              <w:t xml:space="preserve"> </w:t>
            </w:r>
            <w:r>
              <w:rPr>
                <w:sz w:val="18"/>
              </w:rPr>
              <w:t>F1-</w:t>
            </w:r>
            <w:r>
              <w:rPr>
                <w:spacing w:val="-5"/>
                <w:sz w:val="18"/>
              </w:rPr>
              <w:t>3)</w:t>
            </w:r>
          </w:p>
        </w:tc>
        <w:tc>
          <w:tcPr>
            <w:tcW w:w="1134" w:type="dxa"/>
            <w:tcBorders>
              <w:bottom w:val="single" w:sz="6" w:space="0" w:color="000000"/>
            </w:tcBorders>
            <w:shd w:val="clear" w:color="auto" w:fill="F1F1F1"/>
          </w:tcPr>
          <w:p w14:paraId="35F8F8C3" w14:textId="77777777" w:rsidR="00AC6F3C" w:rsidRDefault="00570E88">
            <w:pPr>
              <w:pStyle w:val="TableParagraph"/>
              <w:spacing w:before="42" w:line="193" w:lineRule="exact"/>
              <w:ind w:right="35"/>
              <w:jc w:val="right"/>
              <w:rPr>
                <w:sz w:val="18"/>
              </w:rPr>
            </w:pPr>
            <w:r>
              <w:rPr>
                <w:spacing w:val="-2"/>
                <w:sz w:val="18"/>
              </w:rPr>
              <w:t>2,501</w:t>
            </w:r>
          </w:p>
        </w:tc>
        <w:tc>
          <w:tcPr>
            <w:tcW w:w="1105" w:type="dxa"/>
            <w:gridSpan w:val="2"/>
            <w:tcBorders>
              <w:bottom w:val="single" w:sz="6" w:space="0" w:color="000000"/>
            </w:tcBorders>
          </w:tcPr>
          <w:p w14:paraId="2B6C2CA1" w14:textId="77777777" w:rsidR="00AC6F3C" w:rsidRDefault="00570E88">
            <w:pPr>
              <w:pStyle w:val="TableParagraph"/>
              <w:spacing w:before="42" w:line="193" w:lineRule="exact"/>
              <w:ind w:left="499"/>
              <w:rPr>
                <w:sz w:val="18"/>
              </w:rPr>
            </w:pPr>
            <w:r>
              <w:rPr>
                <w:spacing w:val="-2"/>
                <w:sz w:val="18"/>
              </w:rPr>
              <w:t>(2,295)</w:t>
            </w:r>
          </w:p>
        </w:tc>
        <w:tc>
          <w:tcPr>
            <w:tcW w:w="1134" w:type="dxa"/>
            <w:tcBorders>
              <w:bottom w:val="single" w:sz="6" w:space="0" w:color="000000"/>
            </w:tcBorders>
            <w:shd w:val="clear" w:color="auto" w:fill="F1F1F1"/>
          </w:tcPr>
          <w:p w14:paraId="6FF8E385" w14:textId="77777777" w:rsidR="00AC6F3C" w:rsidRDefault="00570E88">
            <w:pPr>
              <w:pStyle w:val="TableParagraph"/>
              <w:spacing w:before="42" w:line="193" w:lineRule="exact"/>
              <w:ind w:right="36"/>
              <w:jc w:val="right"/>
              <w:rPr>
                <w:sz w:val="18"/>
              </w:rPr>
            </w:pPr>
            <w:r>
              <w:rPr>
                <w:w w:val="99"/>
                <w:sz w:val="18"/>
              </w:rPr>
              <w:t>-</w:t>
            </w:r>
          </w:p>
        </w:tc>
        <w:tc>
          <w:tcPr>
            <w:tcW w:w="1111" w:type="dxa"/>
            <w:gridSpan w:val="2"/>
            <w:tcBorders>
              <w:bottom w:val="single" w:sz="6" w:space="0" w:color="000000"/>
              <w:right w:val="single" w:sz="6" w:space="0" w:color="000000"/>
            </w:tcBorders>
          </w:tcPr>
          <w:p w14:paraId="3A3D46A6" w14:textId="77777777" w:rsidR="00AC6F3C" w:rsidRDefault="00570E88">
            <w:pPr>
              <w:pStyle w:val="TableParagraph"/>
              <w:spacing w:before="42" w:line="193" w:lineRule="exact"/>
              <w:ind w:right="22"/>
              <w:jc w:val="right"/>
              <w:rPr>
                <w:sz w:val="18"/>
              </w:rPr>
            </w:pPr>
            <w:r>
              <w:rPr>
                <w:w w:val="99"/>
                <w:sz w:val="18"/>
              </w:rPr>
              <w:t>-</w:t>
            </w:r>
          </w:p>
        </w:tc>
      </w:tr>
      <w:tr w:rsidR="00AC6F3C" w14:paraId="50A80027" w14:textId="77777777">
        <w:trPr>
          <w:trHeight w:val="295"/>
        </w:trPr>
        <w:tc>
          <w:tcPr>
            <w:tcW w:w="3991" w:type="dxa"/>
            <w:tcBorders>
              <w:left w:val="single" w:sz="6" w:space="0" w:color="000000"/>
            </w:tcBorders>
          </w:tcPr>
          <w:p w14:paraId="41E7E838" w14:textId="77777777" w:rsidR="00AC6F3C" w:rsidRDefault="00AC6F3C">
            <w:pPr>
              <w:pStyle w:val="TableParagraph"/>
              <w:rPr>
                <w:rFonts w:ascii="Times New Roman"/>
                <w:sz w:val="18"/>
              </w:rPr>
            </w:pPr>
          </w:p>
        </w:tc>
        <w:tc>
          <w:tcPr>
            <w:tcW w:w="1134" w:type="dxa"/>
            <w:tcBorders>
              <w:top w:val="single" w:sz="6" w:space="0" w:color="000000"/>
            </w:tcBorders>
            <w:shd w:val="clear" w:color="auto" w:fill="F1F1F1"/>
          </w:tcPr>
          <w:p w14:paraId="78C4758C" w14:textId="77777777" w:rsidR="00AC6F3C" w:rsidRDefault="00570E88">
            <w:pPr>
              <w:pStyle w:val="TableParagraph"/>
              <w:spacing w:before="69" w:line="206" w:lineRule="exact"/>
              <w:ind w:right="35"/>
              <w:jc w:val="right"/>
              <w:rPr>
                <w:sz w:val="18"/>
              </w:rPr>
            </w:pPr>
            <w:r>
              <w:rPr>
                <w:spacing w:val="-2"/>
                <w:sz w:val="18"/>
              </w:rPr>
              <w:t>3,700</w:t>
            </w:r>
          </w:p>
        </w:tc>
        <w:tc>
          <w:tcPr>
            <w:tcW w:w="1105" w:type="dxa"/>
            <w:gridSpan w:val="2"/>
            <w:tcBorders>
              <w:top w:val="single" w:sz="6" w:space="0" w:color="000000"/>
            </w:tcBorders>
          </w:tcPr>
          <w:p w14:paraId="23DE6775" w14:textId="77777777" w:rsidR="00AC6F3C" w:rsidRDefault="00570E88">
            <w:pPr>
              <w:pStyle w:val="TableParagraph"/>
              <w:spacing w:before="69" w:line="206" w:lineRule="exact"/>
              <w:ind w:right="21"/>
              <w:jc w:val="right"/>
              <w:rPr>
                <w:sz w:val="18"/>
              </w:rPr>
            </w:pPr>
            <w:r>
              <w:rPr>
                <w:spacing w:val="-5"/>
                <w:sz w:val="18"/>
              </w:rPr>
              <w:t>225</w:t>
            </w:r>
          </w:p>
        </w:tc>
        <w:tc>
          <w:tcPr>
            <w:tcW w:w="1134" w:type="dxa"/>
            <w:tcBorders>
              <w:top w:val="single" w:sz="6" w:space="0" w:color="000000"/>
            </w:tcBorders>
            <w:shd w:val="clear" w:color="auto" w:fill="F1F1F1"/>
          </w:tcPr>
          <w:p w14:paraId="2633C70D" w14:textId="77777777" w:rsidR="00AC6F3C" w:rsidRDefault="00570E88">
            <w:pPr>
              <w:pStyle w:val="TableParagraph"/>
              <w:spacing w:before="69" w:line="206" w:lineRule="exact"/>
              <w:ind w:right="36"/>
              <w:jc w:val="right"/>
              <w:rPr>
                <w:sz w:val="18"/>
              </w:rPr>
            </w:pPr>
            <w:r>
              <w:rPr>
                <w:w w:val="99"/>
                <w:sz w:val="18"/>
              </w:rPr>
              <w:t>-</w:t>
            </w:r>
          </w:p>
        </w:tc>
        <w:tc>
          <w:tcPr>
            <w:tcW w:w="1111" w:type="dxa"/>
            <w:gridSpan w:val="2"/>
            <w:tcBorders>
              <w:top w:val="single" w:sz="6" w:space="0" w:color="000000"/>
              <w:right w:val="single" w:sz="6" w:space="0" w:color="000000"/>
            </w:tcBorders>
          </w:tcPr>
          <w:p w14:paraId="2B680581" w14:textId="77777777" w:rsidR="00AC6F3C" w:rsidRDefault="00570E88">
            <w:pPr>
              <w:pStyle w:val="TableParagraph"/>
              <w:spacing w:before="69" w:line="206" w:lineRule="exact"/>
              <w:ind w:right="22"/>
              <w:jc w:val="right"/>
              <w:rPr>
                <w:sz w:val="18"/>
              </w:rPr>
            </w:pPr>
            <w:r>
              <w:rPr>
                <w:w w:val="99"/>
                <w:sz w:val="18"/>
              </w:rPr>
              <w:t>-</w:t>
            </w:r>
          </w:p>
        </w:tc>
      </w:tr>
      <w:tr w:rsidR="00AC6F3C" w14:paraId="4B300C6D" w14:textId="77777777">
        <w:trPr>
          <w:trHeight w:val="506"/>
        </w:trPr>
        <w:tc>
          <w:tcPr>
            <w:tcW w:w="3991" w:type="dxa"/>
            <w:tcBorders>
              <w:left w:val="single" w:sz="6" w:space="0" w:color="000000"/>
            </w:tcBorders>
          </w:tcPr>
          <w:p w14:paraId="581AAD49" w14:textId="77777777" w:rsidR="00AC6F3C" w:rsidRDefault="00570E88">
            <w:pPr>
              <w:pStyle w:val="TableParagraph"/>
              <w:spacing w:before="12"/>
              <w:ind w:left="37"/>
              <w:rPr>
                <w:sz w:val="18"/>
              </w:rPr>
            </w:pPr>
            <w:r>
              <w:rPr>
                <w:sz w:val="18"/>
              </w:rPr>
              <w:t>(Over)/under</w:t>
            </w:r>
            <w:r>
              <w:rPr>
                <w:spacing w:val="-3"/>
                <w:sz w:val="18"/>
              </w:rPr>
              <w:t xml:space="preserve"> </w:t>
            </w:r>
            <w:r>
              <w:rPr>
                <w:sz w:val="18"/>
              </w:rPr>
              <w:t>provision</w:t>
            </w:r>
            <w:r>
              <w:rPr>
                <w:spacing w:val="3"/>
                <w:sz w:val="18"/>
              </w:rPr>
              <w:t xml:space="preserve"> </w:t>
            </w:r>
            <w:r>
              <w:rPr>
                <w:sz w:val="18"/>
              </w:rPr>
              <w:t>in</w:t>
            </w:r>
            <w:r>
              <w:rPr>
                <w:spacing w:val="3"/>
                <w:sz w:val="18"/>
              </w:rPr>
              <w:t xml:space="preserve"> </w:t>
            </w:r>
            <w:r>
              <w:rPr>
                <w:sz w:val="18"/>
              </w:rPr>
              <w:t>preceding</w:t>
            </w:r>
            <w:r>
              <w:rPr>
                <w:spacing w:val="3"/>
                <w:sz w:val="18"/>
              </w:rPr>
              <w:t xml:space="preserve"> </w:t>
            </w:r>
            <w:r>
              <w:rPr>
                <w:spacing w:val="-2"/>
                <w:sz w:val="18"/>
              </w:rPr>
              <w:t>financial</w:t>
            </w:r>
          </w:p>
          <w:p w14:paraId="1276B08D" w14:textId="77777777" w:rsidR="00AC6F3C" w:rsidRDefault="00570E88">
            <w:pPr>
              <w:pStyle w:val="TableParagraph"/>
              <w:spacing w:before="31"/>
              <w:ind w:left="37"/>
              <w:rPr>
                <w:sz w:val="18"/>
              </w:rPr>
            </w:pPr>
            <w:r>
              <w:rPr>
                <w:spacing w:val="-2"/>
                <w:sz w:val="18"/>
              </w:rPr>
              <w:t>years</w:t>
            </w:r>
          </w:p>
        </w:tc>
        <w:tc>
          <w:tcPr>
            <w:tcW w:w="1134" w:type="dxa"/>
            <w:shd w:val="clear" w:color="auto" w:fill="F1F1F1"/>
          </w:tcPr>
          <w:p w14:paraId="6E5FBB54" w14:textId="77777777" w:rsidR="00AC6F3C" w:rsidRDefault="00AC6F3C">
            <w:pPr>
              <w:pStyle w:val="TableParagraph"/>
              <w:spacing w:before="9"/>
              <w:rPr>
                <w:b/>
                <w:sz w:val="21"/>
              </w:rPr>
            </w:pPr>
          </w:p>
          <w:p w14:paraId="69A288DD" w14:textId="77777777" w:rsidR="00AC6F3C" w:rsidRDefault="00570E88">
            <w:pPr>
              <w:pStyle w:val="TableParagraph"/>
              <w:ind w:right="35"/>
              <w:jc w:val="right"/>
              <w:rPr>
                <w:sz w:val="18"/>
              </w:rPr>
            </w:pPr>
            <w:r>
              <w:rPr>
                <w:w w:val="99"/>
                <w:sz w:val="18"/>
              </w:rPr>
              <w:t>-</w:t>
            </w:r>
          </w:p>
        </w:tc>
        <w:tc>
          <w:tcPr>
            <w:tcW w:w="1105" w:type="dxa"/>
            <w:gridSpan w:val="2"/>
          </w:tcPr>
          <w:p w14:paraId="1B697029" w14:textId="77777777" w:rsidR="00AC6F3C" w:rsidRDefault="00AC6F3C">
            <w:pPr>
              <w:pStyle w:val="TableParagraph"/>
              <w:spacing w:before="9"/>
              <w:rPr>
                <w:b/>
                <w:sz w:val="21"/>
              </w:rPr>
            </w:pPr>
          </w:p>
          <w:p w14:paraId="3700A19F" w14:textId="77777777" w:rsidR="00AC6F3C" w:rsidRDefault="00570E88">
            <w:pPr>
              <w:pStyle w:val="TableParagraph"/>
              <w:ind w:right="21"/>
              <w:jc w:val="right"/>
              <w:rPr>
                <w:sz w:val="18"/>
              </w:rPr>
            </w:pPr>
            <w:r>
              <w:rPr>
                <w:w w:val="99"/>
                <w:sz w:val="18"/>
              </w:rPr>
              <w:t>-</w:t>
            </w:r>
          </w:p>
        </w:tc>
        <w:tc>
          <w:tcPr>
            <w:tcW w:w="1134" w:type="dxa"/>
            <w:shd w:val="clear" w:color="auto" w:fill="F1F1F1"/>
          </w:tcPr>
          <w:p w14:paraId="2E452A9A" w14:textId="77777777" w:rsidR="00AC6F3C" w:rsidRDefault="00AC6F3C">
            <w:pPr>
              <w:pStyle w:val="TableParagraph"/>
              <w:spacing w:before="9"/>
              <w:rPr>
                <w:b/>
                <w:sz w:val="21"/>
              </w:rPr>
            </w:pPr>
          </w:p>
          <w:p w14:paraId="2E80279E" w14:textId="77777777" w:rsidR="00AC6F3C" w:rsidRDefault="00570E88">
            <w:pPr>
              <w:pStyle w:val="TableParagraph"/>
              <w:ind w:right="36"/>
              <w:jc w:val="right"/>
              <w:rPr>
                <w:sz w:val="18"/>
              </w:rPr>
            </w:pPr>
            <w:r>
              <w:rPr>
                <w:w w:val="99"/>
                <w:sz w:val="18"/>
              </w:rPr>
              <w:t>-</w:t>
            </w:r>
          </w:p>
        </w:tc>
        <w:tc>
          <w:tcPr>
            <w:tcW w:w="1111" w:type="dxa"/>
            <w:gridSpan w:val="2"/>
            <w:tcBorders>
              <w:right w:val="single" w:sz="6" w:space="0" w:color="000000"/>
            </w:tcBorders>
          </w:tcPr>
          <w:p w14:paraId="057CB1CB" w14:textId="77777777" w:rsidR="00AC6F3C" w:rsidRDefault="00AC6F3C">
            <w:pPr>
              <w:pStyle w:val="TableParagraph"/>
              <w:spacing w:before="9"/>
              <w:rPr>
                <w:b/>
                <w:sz w:val="21"/>
              </w:rPr>
            </w:pPr>
          </w:p>
          <w:p w14:paraId="1BBD609C" w14:textId="77777777" w:rsidR="00AC6F3C" w:rsidRDefault="00570E88">
            <w:pPr>
              <w:pStyle w:val="TableParagraph"/>
              <w:ind w:right="20"/>
              <w:jc w:val="right"/>
              <w:rPr>
                <w:sz w:val="18"/>
              </w:rPr>
            </w:pPr>
            <w:r>
              <w:rPr>
                <w:w w:val="99"/>
                <w:sz w:val="18"/>
              </w:rPr>
              <w:t>-</w:t>
            </w:r>
          </w:p>
        </w:tc>
      </w:tr>
      <w:tr w:rsidR="00AC6F3C" w14:paraId="5FE4D1DF" w14:textId="77777777">
        <w:trPr>
          <w:trHeight w:val="255"/>
        </w:trPr>
        <w:tc>
          <w:tcPr>
            <w:tcW w:w="3991" w:type="dxa"/>
            <w:tcBorders>
              <w:left w:val="single" w:sz="6" w:space="0" w:color="000000"/>
              <w:bottom w:val="single" w:sz="6" w:space="0" w:color="000000"/>
            </w:tcBorders>
          </w:tcPr>
          <w:p w14:paraId="0D597D94" w14:textId="77777777" w:rsidR="00AC6F3C" w:rsidRDefault="00570E88">
            <w:pPr>
              <w:pStyle w:val="TableParagraph"/>
              <w:spacing w:before="42" w:line="193" w:lineRule="exact"/>
              <w:ind w:left="37"/>
              <w:rPr>
                <w:sz w:val="18"/>
              </w:rPr>
            </w:pPr>
            <w:r>
              <w:rPr>
                <w:sz w:val="18"/>
              </w:rPr>
              <w:t>Current</w:t>
            </w:r>
            <w:r>
              <w:rPr>
                <w:spacing w:val="2"/>
                <w:sz w:val="18"/>
              </w:rPr>
              <w:t xml:space="preserve"> </w:t>
            </w:r>
            <w:r>
              <w:rPr>
                <w:sz w:val="18"/>
              </w:rPr>
              <w:t>income</w:t>
            </w:r>
            <w:r>
              <w:rPr>
                <w:spacing w:val="16"/>
                <w:sz w:val="18"/>
              </w:rPr>
              <w:t xml:space="preserve"> </w:t>
            </w:r>
            <w:r>
              <w:rPr>
                <w:spacing w:val="-5"/>
                <w:sz w:val="18"/>
              </w:rPr>
              <w:t>tax</w:t>
            </w:r>
          </w:p>
        </w:tc>
        <w:tc>
          <w:tcPr>
            <w:tcW w:w="1134" w:type="dxa"/>
            <w:tcBorders>
              <w:bottom w:val="single" w:sz="6" w:space="0" w:color="000000"/>
            </w:tcBorders>
            <w:shd w:val="clear" w:color="auto" w:fill="F1F1F1"/>
          </w:tcPr>
          <w:p w14:paraId="3D335149" w14:textId="77777777" w:rsidR="00AC6F3C" w:rsidRDefault="00570E88">
            <w:pPr>
              <w:pStyle w:val="TableParagraph"/>
              <w:spacing w:before="42" w:line="193" w:lineRule="exact"/>
              <w:ind w:right="35"/>
              <w:jc w:val="right"/>
              <w:rPr>
                <w:sz w:val="18"/>
              </w:rPr>
            </w:pPr>
            <w:r>
              <w:rPr>
                <w:w w:val="99"/>
                <w:sz w:val="18"/>
              </w:rPr>
              <w:t>-</w:t>
            </w:r>
          </w:p>
        </w:tc>
        <w:tc>
          <w:tcPr>
            <w:tcW w:w="1105" w:type="dxa"/>
            <w:gridSpan w:val="2"/>
            <w:tcBorders>
              <w:bottom w:val="single" w:sz="6" w:space="0" w:color="000000"/>
            </w:tcBorders>
          </w:tcPr>
          <w:p w14:paraId="74C23209" w14:textId="77777777" w:rsidR="00AC6F3C" w:rsidRDefault="00570E88">
            <w:pPr>
              <w:pStyle w:val="TableParagraph"/>
              <w:spacing w:before="42" w:line="193" w:lineRule="exact"/>
              <w:ind w:right="21"/>
              <w:jc w:val="right"/>
              <w:rPr>
                <w:sz w:val="18"/>
              </w:rPr>
            </w:pPr>
            <w:r>
              <w:rPr>
                <w:w w:val="99"/>
                <w:sz w:val="18"/>
              </w:rPr>
              <w:t>-</w:t>
            </w:r>
          </w:p>
        </w:tc>
        <w:tc>
          <w:tcPr>
            <w:tcW w:w="1134" w:type="dxa"/>
            <w:tcBorders>
              <w:bottom w:val="single" w:sz="6" w:space="0" w:color="000000"/>
            </w:tcBorders>
            <w:shd w:val="clear" w:color="auto" w:fill="F1F1F1"/>
          </w:tcPr>
          <w:p w14:paraId="59067F46" w14:textId="77777777" w:rsidR="00AC6F3C" w:rsidRDefault="00570E88">
            <w:pPr>
              <w:pStyle w:val="TableParagraph"/>
              <w:spacing w:before="42" w:line="193" w:lineRule="exact"/>
              <w:ind w:right="36"/>
              <w:jc w:val="right"/>
              <w:rPr>
                <w:sz w:val="18"/>
              </w:rPr>
            </w:pPr>
            <w:r>
              <w:rPr>
                <w:w w:val="99"/>
                <w:sz w:val="18"/>
              </w:rPr>
              <w:t>-</w:t>
            </w:r>
          </w:p>
        </w:tc>
        <w:tc>
          <w:tcPr>
            <w:tcW w:w="1111" w:type="dxa"/>
            <w:gridSpan w:val="2"/>
            <w:tcBorders>
              <w:bottom w:val="single" w:sz="6" w:space="0" w:color="000000"/>
              <w:right w:val="single" w:sz="6" w:space="0" w:color="000000"/>
            </w:tcBorders>
          </w:tcPr>
          <w:p w14:paraId="694D91F2" w14:textId="77777777" w:rsidR="00AC6F3C" w:rsidRDefault="00570E88">
            <w:pPr>
              <w:pStyle w:val="TableParagraph"/>
              <w:spacing w:before="42" w:line="193" w:lineRule="exact"/>
              <w:ind w:right="20"/>
              <w:jc w:val="right"/>
              <w:rPr>
                <w:sz w:val="18"/>
              </w:rPr>
            </w:pPr>
            <w:r>
              <w:rPr>
                <w:w w:val="99"/>
                <w:sz w:val="18"/>
              </w:rPr>
              <w:t>-</w:t>
            </w:r>
          </w:p>
        </w:tc>
      </w:tr>
      <w:tr w:rsidR="00AC6F3C" w14:paraId="3E97BFFB" w14:textId="77777777">
        <w:trPr>
          <w:trHeight w:val="282"/>
        </w:trPr>
        <w:tc>
          <w:tcPr>
            <w:tcW w:w="3991" w:type="dxa"/>
            <w:tcBorders>
              <w:top w:val="single" w:sz="6" w:space="0" w:color="000000"/>
              <w:left w:val="single" w:sz="6" w:space="0" w:color="000000"/>
              <w:bottom w:val="single" w:sz="6" w:space="0" w:color="000000"/>
            </w:tcBorders>
            <w:shd w:val="clear" w:color="auto" w:fill="BEBEBE"/>
          </w:tcPr>
          <w:p w14:paraId="6854337F" w14:textId="77777777" w:rsidR="00AC6F3C" w:rsidRDefault="00570E88">
            <w:pPr>
              <w:pStyle w:val="TableParagraph"/>
              <w:spacing w:before="69" w:line="193" w:lineRule="exact"/>
              <w:ind w:left="37"/>
              <w:rPr>
                <w:b/>
                <w:sz w:val="18"/>
              </w:rPr>
            </w:pPr>
            <w:r>
              <w:rPr>
                <w:b/>
                <w:sz w:val="18"/>
              </w:rPr>
              <w:t>Total</w:t>
            </w:r>
            <w:r>
              <w:rPr>
                <w:b/>
                <w:spacing w:val="-13"/>
                <w:sz w:val="18"/>
              </w:rPr>
              <w:t xml:space="preserve"> </w:t>
            </w:r>
            <w:r>
              <w:rPr>
                <w:b/>
                <w:sz w:val="18"/>
              </w:rPr>
              <w:t>income</w:t>
            </w:r>
            <w:r>
              <w:rPr>
                <w:b/>
                <w:spacing w:val="-12"/>
                <w:sz w:val="18"/>
              </w:rPr>
              <w:t xml:space="preserve"> </w:t>
            </w:r>
            <w:r>
              <w:rPr>
                <w:b/>
                <w:sz w:val="18"/>
              </w:rPr>
              <w:t>tax</w:t>
            </w:r>
            <w:r>
              <w:rPr>
                <w:b/>
                <w:spacing w:val="-11"/>
                <w:sz w:val="18"/>
              </w:rPr>
              <w:t xml:space="preserve"> </w:t>
            </w:r>
            <w:r>
              <w:rPr>
                <w:b/>
                <w:spacing w:val="-2"/>
                <w:sz w:val="18"/>
              </w:rPr>
              <w:t>(credit)/expense</w:t>
            </w:r>
          </w:p>
        </w:tc>
        <w:tc>
          <w:tcPr>
            <w:tcW w:w="1711" w:type="dxa"/>
            <w:gridSpan w:val="2"/>
            <w:tcBorders>
              <w:top w:val="single" w:sz="6" w:space="0" w:color="000000"/>
              <w:bottom w:val="single" w:sz="6" w:space="0" w:color="000000"/>
            </w:tcBorders>
            <w:shd w:val="clear" w:color="auto" w:fill="BEBEBE"/>
          </w:tcPr>
          <w:p w14:paraId="01488707" w14:textId="77777777" w:rsidR="00AC6F3C" w:rsidRDefault="00570E88">
            <w:pPr>
              <w:pStyle w:val="TableParagraph"/>
              <w:spacing w:before="69" w:line="193" w:lineRule="exact"/>
              <w:ind w:left="624" w:right="605"/>
              <w:jc w:val="center"/>
              <w:rPr>
                <w:b/>
                <w:sz w:val="18"/>
              </w:rPr>
            </w:pPr>
            <w:r>
              <w:rPr>
                <w:b/>
                <w:spacing w:val="-2"/>
                <w:sz w:val="18"/>
              </w:rPr>
              <w:t>3,700</w:t>
            </w:r>
          </w:p>
        </w:tc>
        <w:tc>
          <w:tcPr>
            <w:tcW w:w="528" w:type="dxa"/>
            <w:tcBorders>
              <w:top w:val="single" w:sz="6" w:space="0" w:color="000000"/>
              <w:bottom w:val="single" w:sz="6" w:space="0" w:color="000000"/>
            </w:tcBorders>
            <w:shd w:val="clear" w:color="auto" w:fill="BEBEBE"/>
          </w:tcPr>
          <w:p w14:paraId="5670BCA2" w14:textId="77777777" w:rsidR="00AC6F3C" w:rsidRDefault="00570E88">
            <w:pPr>
              <w:pStyle w:val="TableParagraph"/>
              <w:spacing w:before="69" w:line="193" w:lineRule="exact"/>
              <w:ind w:left="191"/>
              <w:rPr>
                <w:b/>
                <w:sz w:val="18"/>
              </w:rPr>
            </w:pPr>
            <w:r>
              <w:rPr>
                <w:b/>
                <w:spacing w:val="-5"/>
                <w:sz w:val="18"/>
              </w:rPr>
              <w:t>225</w:t>
            </w:r>
          </w:p>
        </w:tc>
        <w:tc>
          <w:tcPr>
            <w:tcW w:w="1574" w:type="dxa"/>
            <w:gridSpan w:val="2"/>
            <w:tcBorders>
              <w:top w:val="single" w:sz="6" w:space="0" w:color="000000"/>
              <w:bottom w:val="single" w:sz="6" w:space="0" w:color="000000"/>
            </w:tcBorders>
            <w:shd w:val="clear" w:color="auto" w:fill="BEBEBE"/>
          </w:tcPr>
          <w:p w14:paraId="3E016952" w14:textId="77777777" w:rsidR="00AC6F3C" w:rsidRDefault="00570E88">
            <w:pPr>
              <w:pStyle w:val="TableParagraph"/>
              <w:spacing w:before="69" w:line="193" w:lineRule="exact"/>
              <w:ind w:left="1035"/>
              <w:rPr>
                <w:b/>
                <w:sz w:val="18"/>
              </w:rPr>
            </w:pPr>
            <w:r>
              <w:rPr>
                <w:b/>
                <w:w w:val="99"/>
                <w:sz w:val="18"/>
              </w:rPr>
              <w:t>-</w:t>
            </w:r>
          </w:p>
        </w:tc>
        <w:tc>
          <w:tcPr>
            <w:tcW w:w="671" w:type="dxa"/>
            <w:tcBorders>
              <w:top w:val="single" w:sz="6" w:space="0" w:color="000000"/>
              <w:bottom w:val="single" w:sz="6" w:space="0" w:color="000000"/>
              <w:right w:val="single" w:sz="6" w:space="0" w:color="000000"/>
            </w:tcBorders>
            <w:shd w:val="clear" w:color="auto" w:fill="BEBEBE"/>
          </w:tcPr>
          <w:p w14:paraId="57324541" w14:textId="77777777" w:rsidR="00AC6F3C" w:rsidRDefault="00570E88">
            <w:pPr>
              <w:pStyle w:val="TableParagraph"/>
              <w:spacing w:before="69" w:line="193" w:lineRule="exact"/>
              <w:ind w:right="20"/>
              <w:jc w:val="right"/>
              <w:rPr>
                <w:b/>
                <w:sz w:val="18"/>
              </w:rPr>
            </w:pPr>
            <w:r>
              <w:rPr>
                <w:b/>
                <w:w w:val="99"/>
                <w:sz w:val="18"/>
              </w:rPr>
              <w:t>-</w:t>
            </w:r>
          </w:p>
        </w:tc>
      </w:tr>
    </w:tbl>
    <w:p w14:paraId="5EACD334" w14:textId="77777777" w:rsidR="00AC6F3C" w:rsidRDefault="00AC6F3C">
      <w:pPr>
        <w:pStyle w:val="BodyText"/>
        <w:spacing w:before="7"/>
        <w:rPr>
          <w:b/>
          <w:sz w:val="22"/>
        </w:rPr>
      </w:pPr>
    </w:p>
    <w:p w14:paraId="272F559F" w14:textId="77777777" w:rsidR="00AC6F3C" w:rsidRDefault="00570E88">
      <w:pPr>
        <w:ind w:left="958" w:right="990"/>
        <w:rPr>
          <w:sz w:val="18"/>
        </w:rPr>
      </w:pPr>
      <w:r>
        <w:rPr>
          <w:sz w:val="18"/>
        </w:rPr>
        <w:t>The</w:t>
      </w:r>
      <w:r>
        <w:rPr>
          <w:spacing w:val="-1"/>
          <w:sz w:val="18"/>
        </w:rPr>
        <w:t xml:space="preserve"> </w:t>
      </w:r>
      <w:r>
        <w:rPr>
          <w:sz w:val="18"/>
        </w:rPr>
        <w:t>tax</w:t>
      </w:r>
      <w:r>
        <w:rPr>
          <w:spacing w:val="-1"/>
          <w:sz w:val="18"/>
        </w:rPr>
        <w:t xml:space="preserve"> </w:t>
      </w:r>
      <w:r>
        <w:rPr>
          <w:sz w:val="18"/>
        </w:rPr>
        <w:t>expense</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Statement</w:t>
      </w:r>
      <w:r>
        <w:rPr>
          <w:spacing w:val="-4"/>
          <w:sz w:val="18"/>
        </w:rPr>
        <w:t xml:space="preserve"> </w:t>
      </w:r>
      <w:r>
        <w:rPr>
          <w:sz w:val="18"/>
        </w:rPr>
        <w:t>of</w:t>
      </w:r>
      <w:r>
        <w:rPr>
          <w:spacing w:val="-2"/>
          <w:sz w:val="18"/>
        </w:rPr>
        <w:t xml:space="preserve"> </w:t>
      </w:r>
      <w:r>
        <w:rPr>
          <w:sz w:val="18"/>
        </w:rPr>
        <w:t>Comprehensive</w:t>
      </w:r>
      <w:r>
        <w:rPr>
          <w:spacing w:val="-1"/>
          <w:sz w:val="18"/>
        </w:rPr>
        <w:t xml:space="preserve"> </w:t>
      </w:r>
      <w:r>
        <w:rPr>
          <w:sz w:val="18"/>
        </w:rPr>
        <w:t>Income</w:t>
      </w:r>
      <w:r>
        <w:rPr>
          <w:spacing w:val="-2"/>
          <w:sz w:val="18"/>
        </w:rPr>
        <w:t xml:space="preserve"> </w:t>
      </w:r>
      <w:r>
        <w:rPr>
          <w:sz w:val="18"/>
        </w:rPr>
        <w:t>differs</w:t>
      </w:r>
      <w:r>
        <w:rPr>
          <w:spacing w:val="-3"/>
          <w:sz w:val="18"/>
        </w:rPr>
        <w:t xml:space="preserve"> </w:t>
      </w:r>
      <w:r>
        <w:rPr>
          <w:sz w:val="18"/>
        </w:rPr>
        <w:t>from</w:t>
      </w:r>
      <w:r>
        <w:rPr>
          <w:spacing w:val="-3"/>
          <w:sz w:val="18"/>
        </w:rPr>
        <w:t xml:space="preserve"> </w:t>
      </w:r>
      <w:r>
        <w:rPr>
          <w:sz w:val="18"/>
        </w:rPr>
        <w:t>the</w:t>
      </w:r>
      <w:r>
        <w:rPr>
          <w:spacing w:val="-4"/>
          <w:sz w:val="18"/>
        </w:rPr>
        <w:t xml:space="preserve"> </w:t>
      </w:r>
      <w:r>
        <w:rPr>
          <w:sz w:val="18"/>
        </w:rPr>
        <w:t>amount</w:t>
      </w:r>
      <w:r>
        <w:rPr>
          <w:spacing w:val="-4"/>
          <w:sz w:val="18"/>
        </w:rPr>
        <w:t xml:space="preserve"> </w:t>
      </w:r>
      <w:r>
        <w:rPr>
          <w:sz w:val="18"/>
        </w:rPr>
        <w:t>that</w:t>
      </w:r>
      <w:r>
        <w:rPr>
          <w:spacing w:val="-4"/>
          <w:sz w:val="18"/>
        </w:rPr>
        <w:t xml:space="preserve"> </w:t>
      </w:r>
      <w:r>
        <w:rPr>
          <w:sz w:val="18"/>
        </w:rPr>
        <w:t>would</w:t>
      </w:r>
      <w:r>
        <w:rPr>
          <w:spacing w:val="-1"/>
          <w:sz w:val="18"/>
        </w:rPr>
        <w:t xml:space="preserve"> </w:t>
      </w:r>
      <w:r>
        <w:rPr>
          <w:sz w:val="18"/>
        </w:rPr>
        <w:t>arise using the standard tax rate due to the following:</w:t>
      </w:r>
    </w:p>
    <w:p w14:paraId="5DF48588" w14:textId="77777777" w:rsidR="00AC6F3C" w:rsidRDefault="00AC6F3C">
      <w:pPr>
        <w:pStyle w:val="BodyText"/>
        <w:spacing w:before="10"/>
      </w:pPr>
    </w:p>
    <w:tbl>
      <w:tblPr>
        <w:tblW w:w="0" w:type="auto"/>
        <w:tblInd w:w="972" w:type="dxa"/>
        <w:tblLayout w:type="fixed"/>
        <w:tblCellMar>
          <w:left w:w="0" w:type="dxa"/>
          <w:right w:w="0" w:type="dxa"/>
        </w:tblCellMar>
        <w:tblLook w:val="01E0" w:firstRow="1" w:lastRow="1" w:firstColumn="1" w:lastColumn="1" w:noHBand="0" w:noVBand="0"/>
      </w:tblPr>
      <w:tblGrid>
        <w:gridCol w:w="3991"/>
        <w:gridCol w:w="1134"/>
        <w:gridCol w:w="577"/>
        <w:gridCol w:w="528"/>
        <w:gridCol w:w="1134"/>
        <w:gridCol w:w="440"/>
        <w:gridCol w:w="671"/>
      </w:tblGrid>
      <w:tr w:rsidR="00AC6F3C" w14:paraId="0BA42945" w14:textId="77777777">
        <w:trPr>
          <w:trHeight w:val="877"/>
        </w:trPr>
        <w:tc>
          <w:tcPr>
            <w:tcW w:w="3991" w:type="dxa"/>
            <w:tcBorders>
              <w:top w:val="single" w:sz="6" w:space="0" w:color="000000"/>
              <w:left w:val="single" w:sz="6" w:space="0" w:color="000000"/>
              <w:bottom w:val="single" w:sz="6" w:space="0" w:color="000000"/>
            </w:tcBorders>
            <w:shd w:val="clear" w:color="auto" w:fill="BEBEBE"/>
          </w:tcPr>
          <w:p w14:paraId="08B3AB45" w14:textId="77777777" w:rsidR="00AC6F3C" w:rsidRDefault="00AC6F3C">
            <w:pPr>
              <w:pStyle w:val="TableParagraph"/>
              <w:rPr>
                <w:rFonts w:ascii="Times New Roman"/>
                <w:sz w:val="18"/>
              </w:rPr>
            </w:pPr>
          </w:p>
        </w:tc>
        <w:tc>
          <w:tcPr>
            <w:tcW w:w="1711" w:type="dxa"/>
            <w:gridSpan w:val="2"/>
            <w:tcBorders>
              <w:top w:val="single" w:sz="6" w:space="0" w:color="000000"/>
              <w:bottom w:val="single" w:sz="6" w:space="0" w:color="000000"/>
            </w:tcBorders>
            <w:shd w:val="clear" w:color="auto" w:fill="BEBEBE"/>
          </w:tcPr>
          <w:p w14:paraId="6FBE2904" w14:textId="77777777" w:rsidR="00AC6F3C" w:rsidRDefault="00570E88">
            <w:pPr>
              <w:pStyle w:val="TableParagraph"/>
              <w:spacing w:before="24" w:line="362" w:lineRule="auto"/>
              <w:ind w:left="678" w:right="25" w:hanging="105"/>
              <w:rPr>
                <w:b/>
                <w:sz w:val="18"/>
              </w:rPr>
            </w:pPr>
            <w:r>
              <w:rPr>
                <w:b/>
                <w:spacing w:val="-4"/>
                <w:sz w:val="18"/>
              </w:rPr>
              <w:t>Consolidated 2023</w:t>
            </w:r>
          </w:p>
          <w:p w14:paraId="6D386C12" w14:textId="77777777" w:rsidR="00AC6F3C" w:rsidRDefault="00570E88">
            <w:pPr>
              <w:pStyle w:val="TableParagraph"/>
              <w:spacing w:line="192" w:lineRule="exact"/>
              <w:ind w:left="634"/>
              <w:rPr>
                <w:b/>
                <w:sz w:val="18"/>
              </w:rPr>
            </w:pPr>
            <w:r>
              <w:rPr>
                <w:b/>
                <w:spacing w:val="-2"/>
                <w:sz w:val="18"/>
              </w:rPr>
              <w:t>$’000</w:t>
            </w:r>
          </w:p>
        </w:tc>
        <w:tc>
          <w:tcPr>
            <w:tcW w:w="528" w:type="dxa"/>
            <w:tcBorders>
              <w:top w:val="single" w:sz="6" w:space="0" w:color="000000"/>
              <w:bottom w:val="single" w:sz="6" w:space="0" w:color="000000"/>
            </w:tcBorders>
            <w:shd w:val="clear" w:color="auto" w:fill="BEBEBE"/>
          </w:tcPr>
          <w:p w14:paraId="2896E4DA" w14:textId="77777777" w:rsidR="00AC6F3C" w:rsidRDefault="00AC6F3C">
            <w:pPr>
              <w:pStyle w:val="TableParagraph"/>
              <w:spacing w:before="3"/>
              <w:rPr>
                <w:sz w:val="29"/>
              </w:rPr>
            </w:pPr>
          </w:p>
          <w:p w14:paraId="3FD651D7" w14:textId="77777777" w:rsidR="00AC6F3C" w:rsidRDefault="00570E88">
            <w:pPr>
              <w:pStyle w:val="TableParagraph"/>
              <w:ind w:left="86"/>
              <w:rPr>
                <w:b/>
                <w:sz w:val="18"/>
              </w:rPr>
            </w:pPr>
            <w:r>
              <w:rPr>
                <w:b/>
                <w:spacing w:val="-4"/>
                <w:sz w:val="18"/>
              </w:rPr>
              <w:t>2022</w:t>
            </w:r>
          </w:p>
          <w:p w14:paraId="1C0E8C5C" w14:textId="77777777" w:rsidR="00AC6F3C" w:rsidRDefault="00570E88">
            <w:pPr>
              <w:pStyle w:val="TableParagraph"/>
              <w:spacing w:before="91"/>
              <w:ind w:left="42"/>
              <w:rPr>
                <w:b/>
                <w:sz w:val="18"/>
              </w:rPr>
            </w:pPr>
            <w:r>
              <w:rPr>
                <w:b/>
                <w:spacing w:val="-2"/>
                <w:sz w:val="18"/>
              </w:rPr>
              <w:t>$’000</w:t>
            </w:r>
          </w:p>
        </w:tc>
        <w:tc>
          <w:tcPr>
            <w:tcW w:w="1574" w:type="dxa"/>
            <w:gridSpan w:val="2"/>
            <w:tcBorders>
              <w:top w:val="single" w:sz="6" w:space="0" w:color="000000"/>
              <w:bottom w:val="single" w:sz="6" w:space="0" w:color="000000"/>
            </w:tcBorders>
            <w:shd w:val="clear" w:color="auto" w:fill="BEBEBE"/>
          </w:tcPr>
          <w:p w14:paraId="752B646F" w14:textId="77777777" w:rsidR="00AC6F3C" w:rsidRDefault="00570E88">
            <w:pPr>
              <w:pStyle w:val="TableParagraph"/>
              <w:spacing w:before="24" w:line="362" w:lineRule="auto"/>
              <w:ind w:left="677" w:firstLine="164"/>
              <w:rPr>
                <w:b/>
                <w:sz w:val="18"/>
              </w:rPr>
            </w:pPr>
            <w:r>
              <w:rPr>
                <w:b/>
                <w:spacing w:val="-2"/>
                <w:sz w:val="18"/>
              </w:rPr>
              <w:t xml:space="preserve">Parent </w:t>
            </w:r>
            <w:r>
              <w:rPr>
                <w:b/>
                <w:spacing w:val="-4"/>
                <w:sz w:val="18"/>
              </w:rPr>
              <w:t>2023</w:t>
            </w:r>
          </w:p>
          <w:p w14:paraId="1CB8ED50" w14:textId="77777777" w:rsidR="00AC6F3C" w:rsidRDefault="00570E88">
            <w:pPr>
              <w:pStyle w:val="TableParagraph"/>
              <w:spacing w:line="192" w:lineRule="exact"/>
              <w:ind w:left="633"/>
              <w:rPr>
                <w:b/>
                <w:sz w:val="18"/>
              </w:rPr>
            </w:pPr>
            <w:r>
              <w:rPr>
                <w:b/>
                <w:spacing w:val="-2"/>
                <w:sz w:val="18"/>
              </w:rPr>
              <w:t>$’000</w:t>
            </w:r>
          </w:p>
        </w:tc>
        <w:tc>
          <w:tcPr>
            <w:tcW w:w="671" w:type="dxa"/>
            <w:tcBorders>
              <w:top w:val="single" w:sz="6" w:space="0" w:color="000000"/>
              <w:bottom w:val="single" w:sz="6" w:space="0" w:color="000000"/>
              <w:right w:val="single" w:sz="6" w:space="0" w:color="000000"/>
            </w:tcBorders>
            <w:shd w:val="clear" w:color="auto" w:fill="BEBEBE"/>
          </w:tcPr>
          <w:p w14:paraId="7D74DA9E" w14:textId="77777777" w:rsidR="00AC6F3C" w:rsidRDefault="00AC6F3C">
            <w:pPr>
              <w:pStyle w:val="TableParagraph"/>
              <w:spacing w:before="3"/>
              <w:rPr>
                <w:sz w:val="29"/>
              </w:rPr>
            </w:pPr>
          </w:p>
          <w:p w14:paraId="06F3E752" w14:textId="77777777" w:rsidR="00AC6F3C" w:rsidRDefault="00570E88">
            <w:pPr>
              <w:pStyle w:val="TableParagraph"/>
              <w:ind w:left="222"/>
              <w:rPr>
                <w:b/>
                <w:sz w:val="18"/>
              </w:rPr>
            </w:pPr>
            <w:r>
              <w:rPr>
                <w:b/>
                <w:spacing w:val="-4"/>
                <w:sz w:val="18"/>
              </w:rPr>
              <w:t>2022</w:t>
            </w:r>
          </w:p>
          <w:p w14:paraId="55FDFB72" w14:textId="77777777" w:rsidR="00AC6F3C" w:rsidRDefault="00570E88">
            <w:pPr>
              <w:pStyle w:val="TableParagraph"/>
              <w:spacing w:before="91"/>
              <w:ind w:left="178"/>
              <w:rPr>
                <w:b/>
                <w:sz w:val="18"/>
              </w:rPr>
            </w:pPr>
            <w:r>
              <w:rPr>
                <w:b/>
                <w:spacing w:val="-2"/>
                <w:sz w:val="18"/>
              </w:rPr>
              <w:t>$’000</w:t>
            </w:r>
          </w:p>
        </w:tc>
      </w:tr>
      <w:tr w:rsidR="00AC6F3C" w14:paraId="581E235F" w14:textId="77777777">
        <w:trPr>
          <w:trHeight w:val="473"/>
        </w:trPr>
        <w:tc>
          <w:tcPr>
            <w:tcW w:w="3991" w:type="dxa"/>
            <w:tcBorders>
              <w:top w:val="single" w:sz="6" w:space="0" w:color="000000"/>
              <w:left w:val="single" w:sz="6" w:space="0" w:color="000000"/>
            </w:tcBorders>
          </w:tcPr>
          <w:p w14:paraId="33D00246" w14:textId="77777777" w:rsidR="00AC6F3C" w:rsidRDefault="00570E88">
            <w:pPr>
              <w:pStyle w:val="TableParagraph"/>
              <w:spacing w:before="69"/>
              <w:ind w:left="37"/>
              <w:rPr>
                <w:sz w:val="18"/>
              </w:rPr>
            </w:pPr>
            <w:r>
              <w:rPr>
                <w:sz w:val="18"/>
              </w:rPr>
              <w:t>Operating</w:t>
            </w:r>
            <w:r>
              <w:rPr>
                <w:spacing w:val="10"/>
                <w:sz w:val="18"/>
              </w:rPr>
              <w:t xml:space="preserve"> </w:t>
            </w:r>
            <w:r>
              <w:rPr>
                <w:sz w:val="18"/>
              </w:rPr>
              <w:t>surplus</w:t>
            </w:r>
            <w:r>
              <w:rPr>
                <w:spacing w:val="23"/>
                <w:sz w:val="18"/>
              </w:rPr>
              <w:t xml:space="preserve"> </w:t>
            </w:r>
            <w:r>
              <w:rPr>
                <w:sz w:val="18"/>
              </w:rPr>
              <w:t>before</w:t>
            </w:r>
            <w:r>
              <w:rPr>
                <w:spacing w:val="10"/>
                <w:sz w:val="18"/>
              </w:rPr>
              <w:t xml:space="preserve"> </w:t>
            </w:r>
            <w:r>
              <w:rPr>
                <w:sz w:val="18"/>
              </w:rPr>
              <w:t>income</w:t>
            </w:r>
            <w:r>
              <w:rPr>
                <w:spacing w:val="11"/>
                <w:sz w:val="18"/>
              </w:rPr>
              <w:t xml:space="preserve"> </w:t>
            </w:r>
            <w:r>
              <w:rPr>
                <w:spacing w:val="-5"/>
                <w:sz w:val="18"/>
              </w:rPr>
              <w:t>tax</w:t>
            </w:r>
          </w:p>
        </w:tc>
        <w:tc>
          <w:tcPr>
            <w:tcW w:w="1134" w:type="dxa"/>
            <w:tcBorders>
              <w:top w:val="single" w:sz="6" w:space="0" w:color="000000"/>
            </w:tcBorders>
            <w:shd w:val="clear" w:color="auto" w:fill="F1F1F1"/>
          </w:tcPr>
          <w:p w14:paraId="4DF418D6" w14:textId="77777777" w:rsidR="00AC6F3C" w:rsidRDefault="00570E88">
            <w:pPr>
              <w:pStyle w:val="TableParagraph"/>
              <w:spacing w:before="69"/>
              <w:ind w:right="35"/>
              <w:jc w:val="right"/>
              <w:rPr>
                <w:sz w:val="18"/>
              </w:rPr>
            </w:pPr>
            <w:r>
              <w:rPr>
                <w:spacing w:val="-2"/>
                <w:sz w:val="18"/>
              </w:rPr>
              <w:t>14,090</w:t>
            </w:r>
          </w:p>
        </w:tc>
        <w:tc>
          <w:tcPr>
            <w:tcW w:w="1105" w:type="dxa"/>
            <w:gridSpan w:val="2"/>
            <w:tcBorders>
              <w:top w:val="single" w:sz="6" w:space="0" w:color="000000"/>
            </w:tcBorders>
          </w:tcPr>
          <w:p w14:paraId="2869A8AE" w14:textId="77777777" w:rsidR="00AC6F3C" w:rsidRDefault="00570E88">
            <w:pPr>
              <w:pStyle w:val="TableParagraph"/>
              <w:spacing w:before="69"/>
              <w:ind w:left="648"/>
              <w:rPr>
                <w:sz w:val="18"/>
              </w:rPr>
            </w:pPr>
            <w:r>
              <w:rPr>
                <w:spacing w:val="-2"/>
                <w:sz w:val="18"/>
              </w:rPr>
              <w:t>(678)</w:t>
            </w:r>
          </w:p>
        </w:tc>
        <w:tc>
          <w:tcPr>
            <w:tcW w:w="1134" w:type="dxa"/>
            <w:tcBorders>
              <w:top w:val="single" w:sz="6" w:space="0" w:color="000000"/>
            </w:tcBorders>
            <w:shd w:val="clear" w:color="auto" w:fill="F1F1F1"/>
          </w:tcPr>
          <w:p w14:paraId="7878D401" w14:textId="77777777" w:rsidR="00AC6F3C" w:rsidRDefault="00570E88">
            <w:pPr>
              <w:pStyle w:val="TableParagraph"/>
              <w:spacing w:before="69"/>
              <w:ind w:right="36"/>
              <w:jc w:val="right"/>
              <w:rPr>
                <w:sz w:val="18"/>
              </w:rPr>
            </w:pPr>
            <w:r>
              <w:rPr>
                <w:w w:val="99"/>
                <w:sz w:val="18"/>
              </w:rPr>
              <w:t>-</w:t>
            </w:r>
          </w:p>
        </w:tc>
        <w:tc>
          <w:tcPr>
            <w:tcW w:w="1111" w:type="dxa"/>
            <w:gridSpan w:val="2"/>
            <w:tcBorders>
              <w:top w:val="single" w:sz="6" w:space="0" w:color="000000"/>
              <w:right w:val="single" w:sz="6" w:space="0" w:color="000000"/>
            </w:tcBorders>
          </w:tcPr>
          <w:p w14:paraId="4E6A1E6D" w14:textId="77777777" w:rsidR="00AC6F3C" w:rsidRDefault="00570E88">
            <w:pPr>
              <w:pStyle w:val="TableParagraph"/>
              <w:spacing w:before="69"/>
              <w:ind w:right="22"/>
              <w:jc w:val="right"/>
              <w:rPr>
                <w:sz w:val="18"/>
              </w:rPr>
            </w:pPr>
            <w:r>
              <w:rPr>
                <w:w w:val="99"/>
                <w:sz w:val="18"/>
              </w:rPr>
              <w:t>-</w:t>
            </w:r>
          </w:p>
        </w:tc>
      </w:tr>
      <w:tr w:rsidR="00AC6F3C" w14:paraId="16EFD18E" w14:textId="77777777">
        <w:trPr>
          <w:trHeight w:val="594"/>
        </w:trPr>
        <w:tc>
          <w:tcPr>
            <w:tcW w:w="3991" w:type="dxa"/>
            <w:tcBorders>
              <w:left w:val="single" w:sz="6" w:space="0" w:color="000000"/>
            </w:tcBorders>
          </w:tcPr>
          <w:p w14:paraId="173FE34F" w14:textId="77777777" w:rsidR="00AC6F3C" w:rsidRDefault="00AC6F3C">
            <w:pPr>
              <w:pStyle w:val="TableParagraph"/>
              <w:spacing w:before="6"/>
              <w:rPr>
                <w:sz w:val="16"/>
              </w:rPr>
            </w:pPr>
          </w:p>
          <w:p w14:paraId="0900017A" w14:textId="77777777" w:rsidR="00AC6F3C" w:rsidRDefault="00570E88">
            <w:pPr>
              <w:pStyle w:val="TableParagraph"/>
              <w:ind w:left="37"/>
              <w:rPr>
                <w:sz w:val="18"/>
              </w:rPr>
            </w:pPr>
            <w:r>
              <w:rPr>
                <w:sz w:val="18"/>
              </w:rPr>
              <w:t>Tax</w:t>
            </w:r>
            <w:r>
              <w:rPr>
                <w:spacing w:val="-20"/>
                <w:sz w:val="18"/>
              </w:rPr>
              <w:t xml:space="preserve"> </w:t>
            </w:r>
            <w:r>
              <w:rPr>
                <w:sz w:val="18"/>
              </w:rPr>
              <w:t>calculated</w:t>
            </w:r>
            <w:r>
              <w:rPr>
                <w:spacing w:val="2"/>
                <w:sz w:val="18"/>
              </w:rPr>
              <w:t xml:space="preserve"> </w:t>
            </w:r>
            <w:r>
              <w:rPr>
                <w:sz w:val="18"/>
              </w:rPr>
              <w:t>at</w:t>
            </w:r>
            <w:r>
              <w:rPr>
                <w:spacing w:val="-9"/>
                <w:sz w:val="18"/>
              </w:rPr>
              <w:t xml:space="preserve"> </w:t>
            </w:r>
            <w:r>
              <w:rPr>
                <w:sz w:val="18"/>
              </w:rPr>
              <w:t>a</w:t>
            </w:r>
            <w:r>
              <w:rPr>
                <w:spacing w:val="1"/>
                <w:sz w:val="18"/>
              </w:rPr>
              <w:t xml:space="preserve"> </w:t>
            </w:r>
            <w:r>
              <w:rPr>
                <w:sz w:val="18"/>
              </w:rPr>
              <w:t>tax</w:t>
            </w:r>
            <w:r>
              <w:rPr>
                <w:spacing w:val="-19"/>
                <w:sz w:val="18"/>
              </w:rPr>
              <w:t xml:space="preserve"> </w:t>
            </w:r>
            <w:r>
              <w:rPr>
                <w:sz w:val="18"/>
              </w:rPr>
              <w:t>rate</w:t>
            </w:r>
            <w:r>
              <w:rPr>
                <w:spacing w:val="1"/>
                <w:sz w:val="18"/>
              </w:rPr>
              <w:t xml:space="preserve"> </w:t>
            </w:r>
            <w:r>
              <w:rPr>
                <w:sz w:val="18"/>
              </w:rPr>
              <w:t>of</w:t>
            </w:r>
            <w:r>
              <w:rPr>
                <w:spacing w:val="-8"/>
                <w:sz w:val="18"/>
              </w:rPr>
              <w:t xml:space="preserve"> </w:t>
            </w:r>
            <w:r>
              <w:rPr>
                <w:sz w:val="18"/>
              </w:rPr>
              <w:t>30%</w:t>
            </w:r>
            <w:r>
              <w:rPr>
                <w:spacing w:val="1"/>
                <w:sz w:val="18"/>
              </w:rPr>
              <w:t xml:space="preserve"> </w:t>
            </w:r>
            <w:r>
              <w:rPr>
                <w:sz w:val="18"/>
              </w:rPr>
              <w:t>(2022:</w:t>
            </w:r>
            <w:r>
              <w:rPr>
                <w:spacing w:val="-9"/>
                <w:sz w:val="18"/>
              </w:rPr>
              <w:t xml:space="preserve"> </w:t>
            </w:r>
            <w:r>
              <w:rPr>
                <w:spacing w:val="-4"/>
                <w:sz w:val="18"/>
              </w:rPr>
              <w:t>30%)</w:t>
            </w:r>
          </w:p>
        </w:tc>
        <w:tc>
          <w:tcPr>
            <w:tcW w:w="1134" w:type="dxa"/>
            <w:shd w:val="clear" w:color="auto" w:fill="F1F1F1"/>
          </w:tcPr>
          <w:p w14:paraId="60456C80" w14:textId="77777777" w:rsidR="00AC6F3C" w:rsidRDefault="00AC6F3C">
            <w:pPr>
              <w:pStyle w:val="TableParagraph"/>
              <w:spacing w:before="6"/>
              <w:rPr>
                <w:sz w:val="16"/>
              </w:rPr>
            </w:pPr>
          </w:p>
          <w:p w14:paraId="626059C4" w14:textId="77777777" w:rsidR="00AC6F3C" w:rsidRDefault="00570E88">
            <w:pPr>
              <w:pStyle w:val="TableParagraph"/>
              <w:ind w:right="35"/>
              <w:jc w:val="right"/>
              <w:rPr>
                <w:sz w:val="18"/>
              </w:rPr>
            </w:pPr>
            <w:r>
              <w:rPr>
                <w:spacing w:val="-2"/>
                <w:sz w:val="18"/>
              </w:rPr>
              <w:t>4,227</w:t>
            </w:r>
          </w:p>
        </w:tc>
        <w:tc>
          <w:tcPr>
            <w:tcW w:w="1105" w:type="dxa"/>
            <w:gridSpan w:val="2"/>
          </w:tcPr>
          <w:p w14:paraId="2560AA4B" w14:textId="77777777" w:rsidR="00AC6F3C" w:rsidRDefault="00AC6F3C">
            <w:pPr>
              <w:pStyle w:val="TableParagraph"/>
              <w:spacing w:before="6"/>
              <w:rPr>
                <w:sz w:val="16"/>
              </w:rPr>
            </w:pPr>
          </w:p>
          <w:p w14:paraId="0871BCEA" w14:textId="77777777" w:rsidR="00AC6F3C" w:rsidRDefault="00570E88">
            <w:pPr>
              <w:pStyle w:val="TableParagraph"/>
              <w:ind w:left="648"/>
              <w:rPr>
                <w:sz w:val="18"/>
              </w:rPr>
            </w:pPr>
            <w:r>
              <w:rPr>
                <w:spacing w:val="-2"/>
                <w:sz w:val="18"/>
              </w:rPr>
              <w:t>(203)</w:t>
            </w:r>
          </w:p>
        </w:tc>
        <w:tc>
          <w:tcPr>
            <w:tcW w:w="1134" w:type="dxa"/>
            <w:shd w:val="clear" w:color="auto" w:fill="F1F1F1"/>
          </w:tcPr>
          <w:p w14:paraId="0E69234B" w14:textId="77777777" w:rsidR="00AC6F3C" w:rsidRDefault="00AC6F3C">
            <w:pPr>
              <w:pStyle w:val="TableParagraph"/>
              <w:spacing w:before="6"/>
              <w:rPr>
                <w:sz w:val="16"/>
              </w:rPr>
            </w:pPr>
          </w:p>
          <w:p w14:paraId="727BB641" w14:textId="77777777" w:rsidR="00AC6F3C" w:rsidRDefault="00570E88">
            <w:pPr>
              <w:pStyle w:val="TableParagraph"/>
              <w:ind w:right="36"/>
              <w:jc w:val="right"/>
              <w:rPr>
                <w:sz w:val="18"/>
              </w:rPr>
            </w:pPr>
            <w:r>
              <w:rPr>
                <w:w w:val="99"/>
                <w:sz w:val="18"/>
              </w:rPr>
              <w:t>-</w:t>
            </w:r>
          </w:p>
        </w:tc>
        <w:tc>
          <w:tcPr>
            <w:tcW w:w="1111" w:type="dxa"/>
            <w:gridSpan w:val="2"/>
            <w:tcBorders>
              <w:right w:val="single" w:sz="6" w:space="0" w:color="000000"/>
            </w:tcBorders>
          </w:tcPr>
          <w:p w14:paraId="0F0BDCCB" w14:textId="77777777" w:rsidR="00AC6F3C" w:rsidRDefault="00AC6F3C">
            <w:pPr>
              <w:pStyle w:val="TableParagraph"/>
              <w:spacing w:before="6"/>
              <w:rPr>
                <w:sz w:val="16"/>
              </w:rPr>
            </w:pPr>
          </w:p>
          <w:p w14:paraId="552210EA" w14:textId="77777777" w:rsidR="00AC6F3C" w:rsidRDefault="00570E88">
            <w:pPr>
              <w:pStyle w:val="TableParagraph"/>
              <w:ind w:right="22"/>
              <w:jc w:val="right"/>
              <w:rPr>
                <w:sz w:val="18"/>
              </w:rPr>
            </w:pPr>
            <w:r>
              <w:rPr>
                <w:w w:val="99"/>
                <w:sz w:val="18"/>
              </w:rPr>
              <w:t>-</w:t>
            </w:r>
          </w:p>
        </w:tc>
      </w:tr>
      <w:tr w:rsidR="00AC6F3C" w14:paraId="3E9D742F" w14:textId="77777777">
        <w:trPr>
          <w:trHeight w:val="446"/>
        </w:trPr>
        <w:tc>
          <w:tcPr>
            <w:tcW w:w="3991" w:type="dxa"/>
            <w:tcBorders>
              <w:left w:val="single" w:sz="6" w:space="0" w:color="000000"/>
            </w:tcBorders>
          </w:tcPr>
          <w:p w14:paraId="0946E152" w14:textId="77777777" w:rsidR="00AC6F3C" w:rsidRDefault="00AC6F3C">
            <w:pPr>
              <w:pStyle w:val="TableParagraph"/>
              <w:spacing w:before="6"/>
              <w:rPr>
                <w:sz w:val="16"/>
              </w:rPr>
            </w:pPr>
          </w:p>
          <w:p w14:paraId="7F3ECB1F" w14:textId="77777777" w:rsidR="00AC6F3C" w:rsidRDefault="00570E88">
            <w:pPr>
              <w:pStyle w:val="TableParagraph"/>
              <w:ind w:left="37"/>
              <w:rPr>
                <w:b/>
                <w:sz w:val="18"/>
              </w:rPr>
            </w:pPr>
            <w:r>
              <w:rPr>
                <w:b/>
                <w:spacing w:val="-2"/>
                <w:sz w:val="18"/>
              </w:rPr>
              <w:t>Effects</w:t>
            </w:r>
            <w:r>
              <w:rPr>
                <w:b/>
                <w:spacing w:val="-5"/>
                <w:sz w:val="18"/>
              </w:rPr>
              <w:t xml:space="preserve"> of:</w:t>
            </w:r>
          </w:p>
        </w:tc>
        <w:tc>
          <w:tcPr>
            <w:tcW w:w="1134" w:type="dxa"/>
            <w:shd w:val="clear" w:color="auto" w:fill="F1F1F1"/>
          </w:tcPr>
          <w:p w14:paraId="27035747" w14:textId="77777777" w:rsidR="00AC6F3C" w:rsidRDefault="00AC6F3C">
            <w:pPr>
              <w:pStyle w:val="TableParagraph"/>
              <w:rPr>
                <w:rFonts w:ascii="Times New Roman"/>
                <w:sz w:val="18"/>
              </w:rPr>
            </w:pPr>
          </w:p>
        </w:tc>
        <w:tc>
          <w:tcPr>
            <w:tcW w:w="1105" w:type="dxa"/>
            <w:gridSpan w:val="2"/>
          </w:tcPr>
          <w:p w14:paraId="463811BD" w14:textId="77777777" w:rsidR="00AC6F3C" w:rsidRDefault="00AC6F3C">
            <w:pPr>
              <w:pStyle w:val="TableParagraph"/>
              <w:rPr>
                <w:rFonts w:ascii="Times New Roman"/>
                <w:sz w:val="18"/>
              </w:rPr>
            </w:pPr>
          </w:p>
        </w:tc>
        <w:tc>
          <w:tcPr>
            <w:tcW w:w="1134" w:type="dxa"/>
            <w:shd w:val="clear" w:color="auto" w:fill="F1F1F1"/>
          </w:tcPr>
          <w:p w14:paraId="700D5C6B" w14:textId="77777777" w:rsidR="00AC6F3C" w:rsidRDefault="00AC6F3C">
            <w:pPr>
              <w:pStyle w:val="TableParagraph"/>
              <w:rPr>
                <w:rFonts w:ascii="Times New Roman"/>
                <w:sz w:val="18"/>
              </w:rPr>
            </w:pPr>
          </w:p>
        </w:tc>
        <w:tc>
          <w:tcPr>
            <w:tcW w:w="1111" w:type="dxa"/>
            <w:gridSpan w:val="2"/>
            <w:tcBorders>
              <w:right w:val="single" w:sz="6" w:space="0" w:color="000000"/>
            </w:tcBorders>
          </w:tcPr>
          <w:p w14:paraId="4B9F7021" w14:textId="77777777" w:rsidR="00AC6F3C" w:rsidRDefault="00AC6F3C">
            <w:pPr>
              <w:pStyle w:val="TableParagraph"/>
              <w:rPr>
                <w:rFonts w:ascii="Times New Roman"/>
                <w:sz w:val="18"/>
              </w:rPr>
            </w:pPr>
          </w:p>
        </w:tc>
      </w:tr>
      <w:tr w:rsidR="00AC6F3C" w14:paraId="78AFD031" w14:textId="77777777">
        <w:trPr>
          <w:trHeight w:val="297"/>
        </w:trPr>
        <w:tc>
          <w:tcPr>
            <w:tcW w:w="3991" w:type="dxa"/>
            <w:tcBorders>
              <w:left w:val="single" w:sz="6" w:space="0" w:color="000000"/>
            </w:tcBorders>
          </w:tcPr>
          <w:p w14:paraId="397F12E1" w14:textId="77777777" w:rsidR="00AC6F3C" w:rsidRDefault="00570E88">
            <w:pPr>
              <w:pStyle w:val="TableParagraph"/>
              <w:spacing w:before="42"/>
              <w:ind w:left="37"/>
              <w:rPr>
                <w:sz w:val="18"/>
              </w:rPr>
            </w:pPr>
            <w:r>
              <w:rPr>
                <w:sz w:val="18"/>
              </w:rPr>
              <w:t>Income</w:t>
            </w:r>
            <w:r>
              <w:rPr>
                <w:spacing w:val="8"/>
                <w:sz w:val="18"/>
              </w:rPr>
              <w:t xml:space="preserve"> </w:t>
            </w:r>
            <w:r>
              <w:rPr>
                <w:sz w:val="18"/>
              </w:rPr>
              <w:t>not</w:t>
            </w:r>
            <w:r>
              <w:rPr>
                <w:spacing w:val="-3"/>
                <w:sz w:val="18"/>
              </w:rPr>
              <w:t xml:space="preserve"> </w:t>
            </w:r>
            <w:r>
              <w:rPr>
                <w:sz w:val="18"/>
              </w:rPr>
              <w:t>subject</w:t>
            </w:r>
            <w:r>
              <w:rPr>
                <w:spacing w:val="-4"/>
                <w:sz w:val="18"/>
              </w:rPr>
              <w:t xml:space="preserve"> </w:t>
            </w:r>
            <w:r>
              <w:rPr>
                <w:sz w:val="18"/>
              </w:rPr>
              <w:t>to</w:t>
            </w:r>
            <w:r>
              <w:rPr>
                <w:spacing w:val="9"/>
                <w:sz w:val="18"/>
              </w:rPr>
              <w:t xml:space="preserve"> </w:t>
            </w:r>
            <w:r>
              <w:rPr>
                <w:spacing w:val="-5"/>
                <w:sz w:val="18"/>
              </w:rPr>
              <w:t>tax</w:t>
            </w:r>
          </w:p>
        </w:tc>
        <w:tc>
          <w:tcPr>
            <w:tcW w:w="1134" w:type="dxa"/>
            <w:shd w:val="clear" w:color="auto" w:fill="F1F1F1"/>
          </w:tcPr>
          <w:p w14:paraId="5B04197A" w14:textId="77777777" w:rsidR="00AC6F3C" w:rsidRDefault="00570E88">
            <w:pPr>
              <w:pStyle w:val="TableParagraph"/>
              <w:spacing w:before="42"/>
              <w:ind w:right="30"/>
              <w:jc w:val="right"/>
              <w:rPr>
                <w:sz w:val="18"/>
              </w:rPr>
            </w:pPr>
            <w:r>
              <w:rPr>
                <w:spacing w:val="-2"/>
                <w:sz w:val="18"/>
              </w:rPr>
              <w:t>(187)</w:t>
            </w:r>
          </w:p>
        </w:tc>
        <w:tc>
          <w:tcPr>
            <w:tcW w:w="1105" w:type="dxa"/>
            <w:gridSpan w:val="2"/>
          </w:tcPr>
          <w:p w14:paraId="4752520F" w14:textId="77777777" w:rsidR="00AC6F3C" w:rsidRDefault="00570E88">
            <w:pPr>
              <w:pStyle w:val="TableParagraph"/>
              <w:spacing w:before="42"/>
              <w:ind w:right="21"/>
              <w:jc w:val="right"/>
              <w:rPr>
                <w:sz w:val="18"/>
              </w:rPr>
            </w:pPr>
            <w:r>
              <w:rPr>
                <w:spacing w:val="-5"/>
                <w:sz w:val="18"/>
              </w:rPr>
              <w:t>708</w:t>
            </w:r>
          </w:p>
        </w:tc>
        <w:tc>
          <w:tcPr>
            <w:tcW w:w="1134" w:type="dxa"/>
            <w:shd w:val="clear" w:color="auto" w:fill="F1F1F1"/>
          </w:tcPr>
          <w:p w14:paraId="3C22E324" w14:textId="77777777" w:rsidR="00AC6F3C" w:rsidRDefault="00570E88">
            <w:pPr>
              <w:pStyle w:val="TableParagraph"/>
              <w:spacing w:before="42"/>
              <w:ind w:right="36"/>
              <w:jc w:val="right"/>
              <w:rPr>
                <w:sz w:val="18"/>
              </w:rPr>
            </w:pPr>
            <w:r>
              <w:rPr>
                <w:w w:val="99"/>
                <w:sz w:val="18"/>
              </w:rPr>
              <w:t>-</w:t>
            </w:r>
          </w:p>
        </w:tc>
        <w:tc>
          <w:tcPr>
            <w:tcW w:w="1111" w:type="dxa"/>
            <w:gridSpan w:val="2"/>
            <w:tcBorders>
              <w:right w:val="single" w:sz="6" w:space="0" w:color="000000"/>
            </w:tcBorders>
          </w:tcPr>
          <w:p w14:paraId="21709FD1" w14:textId="77777777" w:rsidR="00AC6F3C" w:rsidRDefault="00570E88">
            <w:pPr>
              <w:pStyle w:val="TableParagraph"/>
              <w:spacing w:before="42"/>
              <w:ind w:right="20"/>
              <w:jc w:val="right"/>
              <w:rPr>
                <w:sz w:val="18"/>
              </w:rPr>
            </w:pPr>
            <w:r>
              <w:rPr>
                <w:w w:val="99"/>
                <w:sz w:val="18"/>
              </w:rPr>
              <w:t>-</w:t>
            </w:r>
          </w:p>
        </w:tc>
      </w:tr>
      <w:tr w:rsidR="00AC6F3C" w14:paraId="0704091C" w14:textId="77777777">
        <w:trPr>
          <w:trHeight w:val="255"/>
        </w:trPr>
        <w:tc>
          <w:tcPr>
            <w:tcW w:w="3991" w:type="dxa"/>
            <w:tcBorders>
              <w:left w:val="single" w:sz="6" w:space="0" w:color="000000"/>
              <w:bottom w:val="single" w:sz="6" w:space="0" w:color="000000"/>
            </w:tcBorders>
          </w:tcPr>
          <w:p w14:paraId="0BD2DBA5" w14:textId="77777777" w:rsidR="00AC6F3C" w:rsidRDefault="00570E88">
            <w:pPr>
              <w:pStyle w:val="TableParagraph"/>
              <w:spacing w:before="42" w:line="193" w:lineRule="exact"/>
              <w:ind w:left="37"/>
              <w:rPr>
                <w:sz w:val="18"/>
              </w:rPr>
            </w:pPr>
            <w:r>
              <w:rPr>
                <w:sz w:val="18"/>
              </w:rPr>
              <w:t>Franking</w:t>
            </w:r>
            <w:r>
              <w:rPr>
                <w:spacing w:val="2"/>
                <w:sz w:val="18"/>
              </w:rPr>
              <w:t xml:space="preserve"> </w:t>
            </w:r>
            <w:r>
              <w:rPr>
                <w:sz w:val="18"/>
              </w:rPr>
              <w:t>and</w:t>
            </w:r>
            <w:r>
              <w:rPr>
                <w:spacing w:val="2"/>
                <w:sz w:val="18"/>
              </w:rPr>
              <w:t xml:space="preserve"> </w:t>
            </w:r>
            <w:r>
              <w:rPr>
                <w:sz w:val="18"/>
              </w:rPr>
              <w:t>other</w:t>
            </w:r>
            <w:r>
              <w:rPr>
                <w:spacing w:val="-3"/>
                <w:sz w:val="18"/>
              </w:rPr>
              <w:t xml:space="preserve"> </w:t>
            </w:r>
            <w:r>
              <w:rPr>
                <w:sz w:val="18"/>
              </w:rPr>
              <w:t>credits</w:t>
            </w:r>
            <w:r>
              <w:rPr>
                <w:spacing w:val="13"/>
                <w:sz w:val="18"/>
              </w:rPr>
              <w:t xml:space="preserve"> </w:t>
            </w:r>
            <w:r>
              <w:rPr>
                <w:spacing w:val="-2"/>
                <w:sz w:val="18"/>
              </w:rPr>
              <w:t>available</w:t>
            </w:r>
          </w:p>
        </w:tc>
        <w:tc>
          <w:tcPr>
            <w:tcW w:w="1134" w:type="dxa"/>
            <w:tcBorders>
              <w:bottom w:val="single" w:sz="6" w:space="0" w:color="000000"/>
            </w:tcBorders>
            <w:shd w:val="clear" w:color="auto" w:fill="F1F1F1"/>
          </w:tcPr>
          <w:p w14:paraId="3340F586" w14:textId="77777777" w:rsidR="00AC6F3C" w:rsidRDefault="00570E88">
            <w:pPr>
              <w:pStyle w:val="TableParagraph"/>
              <w:spacing w:before="42" w:line="193" w:lineRule="exact"/>
              <w:ind w:right="30"/>
              <w:jc w:val="right"/>
              <w:rPr>
                <w:sz w:val="18"/>
              </w:rPr>
            </w:pPr>
            <w:r>
              <w:rPr>
                <w:spacing w:val="-2"/>
                <w:sz w:val="18"/>
              </w:rPr>
              <w:t>(340)</w:t>
            </w:r>
          </w:p>
        </w:tc>
        <w:tc>
          <w:tcPr>
            <w:tcW w:w="1105" w:type="dxa"/>
            <w:gridSpan w:val="2"/>
            <w:tcBorders>
              <w:bottom w:val="single" w:sz="6" w:space="0" w:color="000000"/>
            </w:tcBorders>
          </w:tcPr>
          <w:p w14:paraId="5E17F270" w14:textId="77777777" w:rsidR="00AC6F3C" w:rsidRDefault="00570E88">
            <w:pPr>
              <w:pStyle w:val="TableParagraph"/>
              <w:spacing w:before="42" w:line="193" w:lineRule="exact"/>
              <w:ind w:left="649"/>
              <w:rPr>
                <w:sz w:val="18"/>
              </w:rPr>
            </w:pPr>
            <w:r>
              <w:rPr>
                <w:spacing w:val="-2"/>
                <w:sz w:val="18"/>
              </w:rPr>
              <w:t>(280)</w:t>
            </w:r>
          </w:p>
        </w:tc>
        <w:tc>
          <w:tcPr>
            <w:tcW w:w="1134" w:type="dxa"/>
            <w:tcBorders>
              <w:bottom w:val="single" w:sz="6" w:space="0" w:color="000000"/>
            </w:tcBorders>
            <w:shd w:val="clear" w:color="auto" w:fill="F1F1F1"/>
          </w:tcPr>
          <w:p w14:paraId="57BCADF2" w14:textId="77777777" w:rsidR="00AC6F3C" w:rsidRDefault="00570E88">
            <w:pPr>
              <w:pStyle w:val="TableParagraph"/>
              <w:spacing w:before="42" w:line="193" w:lineRule="exact"/>
              <w:ind w:right="36"/>
              <w:jc w:val="right"/>
              <w:rPr>
                <w:sz w:val="18"/>
              </w:rPr>
            </w:pPr>
            <w:r>
              <w:rPr>
                <w:w w:val="99"/>
                <w:sz w:val="18"/>
              </w:rPr>
              <w:t>-</w:t>
            </w:r>
          </w:p>
        </w:tc>
        <w:tc>
          <w:tcPr>
            <w:tcW w:w="1111" w:type="dxa"/>
            <w:gridSpan w:val="2"/>
            <w:tcBorders>
              <w:bottom w:val="single" w:sz="6" w:space="0" w:color="000000"/>
              <w:right w:val="single" w:sz="6" w:space="0" w:color="000000"/>
            </w:tcBorders>
          </w:tcPr>
          <w:p w14:paraId="7C69EF08" w14:textId="77777777" w:rsidR="00AC6F3C" w:rsidRDefault="00570E88">
            <w:pPr>
              <w:pStyle w:val="TableParagraph"/>
              <w:spacing w:before="42" w:line="193" w:lineRule="exact"/>
              <w:ind w:right="20"/>
              <w:jc w:val="right"/>
              <w:rPr>
                <w:sz w:val="18"/>
              </w:rPr>
            </w:pPr>
            <w:r>
              <w:rPr>
                <w:w w:val="99"/>
                <w:sz w:val="18"/>
              </w:rPr>
              <w:t>-</w:t>
            </w:r>
          </w:p>
        </w:tc>
      </w:tr>
      <w:tr w:rsidR="00AC6F3C" w14:paraId="205EAA24" w14:textId="77777777">
        <w:trPr>
          <w:trHeight w:val="282"/>
        </w:trPr>
        <w:tc>
          <w:tcPr>
            <w:tcW w:w="3991" w:type="dxa"/>
            <w:tcBorders>
              <w:top w:val="single" w:sz="6" w:space="0" w:color="000000"/>
              <w:left w:val="single" w:sz="6" w:space="0" w:color="000000"/>
              <w:bottom w:val="single" w:sz="6" w:space="0" w:color="000000"/>
            </w:tcBorders>
            <w:shd w:val="clear" w:color="auto" w:fill="BEBEBE"/>
          </w:tcPr>
          <w:p w14:paraId="40DE2CBF" w14:textId="77777777" w:rsidR="00AC6F3C" w:rsidRDefault="00AC6F3C">
            <w:pPr>
              <w:pStyle w:val="TableParagraph"/>
              <w:rPr>
                <w:rFonts w:ascii="Times New Roman"/>
                <w:sz w:val="18"/>
              </w:rPr>
            </w:pPr>
          </w:p>
        </w:tc>
        <w:tc>
          <w:tcPr>
            <w:tcW w:w="1711" w:type="dxa"/>
            <w:gridSpan w:val="2"/>
            <w:tcBorders>
              <w:top w:val="single" w:sz="6" w:space="0" w:color="000000"/>
              <w:bottom w:val="single" w:sz="6" w:space="0" w:color="000000"/>
            </w:tcBorders>
            <w:shd w:val="clear" w:color="auto" w:fill="BEBEBE"/>
          </w:tcPr>
          <w:p w14:paraId="2667705B" w14:textId="77777777" w:rsidR="00AC6F3C" w:rsidRDefault="00570E88">
            <w:pPr>
              <w:pStyle w:val="TableParagraph"/>
              <w:spacing w:before="69" w:line="193" w:lineRule="exact"/>
              <w:ind w:left="624" w:right="605"/>
              <w:jc w:val="center"/>
              <w:rPr>
                <w:b/>
                <w:sz w:val="18"/>
              </w:rPr>
            </w:pPr>
            <w:r>
              <w:rPr>
                <w:b/>
                <w:spacing w:val="-2"/>
                <w:sz w:val="18"/>
              </w:rPr>
              <w:t>3,700</w:t>
            </w:r>
          </w:p>
        </w:tc>
        <w:tc>
          <w:tcPr>
            <w:tcW w:w="528" w:type="dxa"/>
            <w:tcBorders>
              <w:top w:val="single" w:sz="6" w:space="0" w:color="000000"/>
              <w:bottom w:val="single" w:sz="6" w:space="0" w:color="000000"/>
            </w:tcBorders>
            <w:shd w:val="clear" w:color="auto" w:fill="BEBEBE"/>
          </w:tcPr>
          <w:p w14:paraId="694E2C25" w14:textId="77777777" w:rsidR="00AC6F3C" w:rsidRDefault="00570E88">
            <w:pPr>
              <w:pStyle w:val="TableParagraph"/>
              <w:spacing w:before="69" w:line="193" w:lineRule="exact"/>
              <w:ind w:left="191"/>
              <w:rPr>
                <w:b/>
                <w:sz w:val="18"/>
              </w:rPr>
            </w:pPr>
            <w:r>
              <w:rPr>
                <w:b/>
                <w:spacing w:val="-5"/>
                <w:sz w:val="18"/>
              </w:rPr>
              <w:t>225</w:t>
            </w:r>
          </w:p>
        </w:tc>
        <w:tc>
          <w:tcPr>
            <w:tcW w:w="1574" w:type="dxa"/>
            <w:gridSpan w:val="2"/>
            <w:tcBorders>
              <w:top w:val="single" w:sz="6" w:space="0" w:color="000000"/>
              <w:bottom w:val="single" w:sz="6" w:space="0" w:color="000000"/>
            </w:tcBorders>
            <w:shd w:val="clear" w:color="auto" w:fill="BEBEBE"/>
          </w:tcPr>
          <w:p w14:paraId="77008684" w14:textId="77777777" w:rsidR="00AC6F3C" w:rsidRDefault="00570E88">
            <w:pPr>
              <w:pStyle w:val="TableParagraph"/>
              <w:spacing w:before="69" w:line="193" w:lineRule="exact"/>
              <w:ind w:left="1036"/>
              <w:rPr>
                <w:b/>
                <w:sz w:val="18"/>
              </w:rPr>
            </w:pPr>
            <w:r>
              <w:rPr>
                <w:b/>
                <w:w w:val="99"/>
                <w:sz w:val="18"/>
              </w:rPr>
              <w:t>-</w:t>
            </w:r>
          </w:p>
        </w:tc>
        <w:tc>
          <w:tcPr>
            <w:tcW w:w="671" w:type="dxa"/>
            <w:tcBorders>
              <w:top w:val="single" w:sz="6" w:space="0" w:color="000000"/>
              <w:bottom w:val="single" w:sz="6" w:space="0" w:color="000000"/>
              <w:right w:val="single" w:sz="6" w:space="0" w:color="000000"/>
            </w:tcBorders>
            <w:shd w:val="clear" w:color="auto" w:fill="BEBEBE"/>
          </w:tcPr>
          <w:p w14:paraId="6A35788D" w14:textId="77777777" w:rsidR="00AC6F3C" w:rsidRDefault="00570E88">
            <w:pPr>
              <w:pStyle w:val="TableParagraph"/>
              <w:spacing w:before="69" w:line="193" w:lineRule="exact"/>
              <w:ind w:right="20"/>
              <w:jc w:val="right"/>
              <w:rPr>
                <w:b/>
                <w:sz w:val="18"/>
              </w:rPr>
            </w:pPr>
            <w:r>
              <w:rPr>
                <w:b/>
                <w:w w:val="99"/>
                <w:sz w:val="18"/>
              </w:rPr>
              <w:t>-</w:t>
            </w:r>
          </w:p>
        </w:tc>
      </w:tr>
    </w:tbl>
    <w:p w14:paraId="6AB1F6A6" w14:textId="77777777" w:rsidR="00AC6F3C" w:rsidRDefault="00AC6F3C">
      <w:pPr>
        <w:spacing w:line="193" w:lineRule="exact"/>
        <w:jc w:val="right"/>
        <w:rPr>
          <w:sz w:val="18"/>
        </w:rPr>
        <w:sectPr w:rsidR="00AC6F3C">
          <w:pgSz w:w="11910" w:h="16840"/>
          <w:pgMar w:top="2020" w:right="1160" w:bottom="520" w:left="460" w:header="1228" w:footer="336" w:gutter="0"/>
          <w:cols w:space="720"/>
        </w:sectPr>
      </w:pPr>
    </w:p>
    <w:p w14:paraId="48503AC3" w14:textId="77777777" w:rsidR="00AC6F3C" w:rsidRDefault="00AC6F3C">
      <w:pPr>
        <w:pStyle w:val="BodyText"/>
      </w:pPr>
    </w:p>
    <w:p w14:paraId="48EB195D" w14:textId="77777777" w:rsidR="00AC6F3C" w:rsidRDefault="00570E88">
      <w:pPr>
        <w:tabs>
          <w:tab w:val="left" w:pos="1666"/>
        </w:tabs>
        <w:spacing w:before="249"/>
        <w:ind w:left="958"/>
        <w:rPr>
          <w:b/>
          <w:sz w:val="28"/>
        </w:rPr>
      </w:pPr>
      <w:r>
        <w:rPr>
          <w:b/>
          <w:spacing w:val="-5"/>
          <w:sz w:val="28"/>
        </w:rPr>
        <w:t>F1</w:t>
      </w:r>
      <w:r>
        <w:rPr>
          <w:b/>
          <w:sz w:val="28"/>
        </w:rPr>
        <w:tab/>
      </w:r>
      <w:r>
        <w:rPr>
          <w:b/>
          <w:spacing w:val="-5"/>
          <w:sz w:val="28"/>
        </w:rPr>
        <w:t>TAXATION</w:t>
      </w:r>
      <w:r>
        <w:rPr>
          <w:b/>
          <w:spacing w:val="-9"/>
          <w:sz w:val="28"/>
        </w:rPr>
        <w:t xml:space="preserve"> </w:t>
      </w:r>
      <w:r>
        <w:rPr>
          <w:b/>
          <w:spacing w:val="-2"/>
          <w:sz w:val="28"/>
        </w:rPr>
        <w:t>(continued)</w:t>
      </w:r>
    </w:p>
    <w:p w14:paraId="7E38EC68" w14:textId="77777777" w:rsidR="00AC6F3C" w:rsidRDefault="00570E88">
      <w:pPr>
        <w:pStyle w:val="Heading6"/>
        <w:tabs>
          <w:tab w:val="left" w:pos="1810"/>
        </w:tabs>
      </w:pPr>
      <w:r>
        <w:rPr>
          <w:spacing w:val="-2"/>
        </w:rPr>
        <w:t>F1-</w:t>
      </w:r>
      <w:r>
        <w:rPr>
          <w:spacing w:val="-10"/>
        </w:rPr>
        <w:t>2</w:t>
      </w:r>
      <w:r>
        <w:tab/>
        <w:t xml:space="preserve">INCOME TAX </w:t>
      </w:r>
      <w:r>
        <w:rPr>
          <w:spacing w:val="-2"/>
        </w:rPr>
        <w:t>RECEIVABLE</w:t>
      </w:r>
    </w:p>
    <w:p w14:paraId="68D25A00" w14:textId="77777777" w:rsidR="00AC6F3C" w:rsidRDefault="00AC6F3C">
      <w:pPr>
        <w:pStyle w:val="BodyText"/>
        <w:spacing w:before="9"/>
        <w:rPr>
          <w:b/>
        </w:rPr>
      </w:pPr>
    </w:p>
    <w:tbl>
      <w:tblPr>
        <w:tblW w:w="0" w:type="auto"/>
        <w:tblInd w:w="972" w:type="dxa"/>
        <w:tblLayout w:type="fixed"/>
        <w:tblCellMar>
          <w:left w:w="0" w:type="dxa"/>
          <w:right w:w="0" w:type="dxa"/>
        </w:tblCellMar>
        <w:tblLook w:val="01E0" w:firstRow="1" w:lastRow="1" w:firstColumn="1" w:lastColumn="1" w:noHBand="0" w:noVBand="0"/>
      </w:tblPr>
      <w:tblGrid>
        <w:gridCol w:w="3991"/>
        <w:gridCol w:w="1134"/>
        <w:gridCol w:w="577"/>
        <w:gridCol w:w="528"/>
        <w:gridCol w:w="1134"/>
        <w:gridCol w:w="440"/>
        <w:gridCol w:w="671"/>
      </w:tblGrid>
      <w:tr w:rsidR="00AC6F3C" w14:paraId="15AA2763" w14:textId="77777777">
        <w:trPr>
          <w:trHeight w:val="874"/>
        </w:trPr>
        <w:tc>
          <w:tcPr>
            <w:tcW w:w="3991" w:type="dxa"/>
            <w:tcBorders>
              <w:top w:val="single" w:sz="6" w:space="0" w:color="000000"/>
              <w:left w:val="single" w:sz="6" w:space="0" w:color="000000"/>
              <w:bottom w:val="single" w:sz="6" w:space="0" w:color="000000"/>
            </w:tcBorders>
            <w:shd w:val="clear" w:color="auto" w:fill="BEBEBE"/>
          </w:tcPr>
          <w:p w14:paraId="68D39487" w14:textId="77777777" w:rsidR="00AC6F3C" w:rsidRDefault="00AC6F3C">
            <w:pPr>
              <w:pStyle w:val="TableParagraph"/>
              <w:rPr>
                <w:rFonts w:ascii="Times New Roman"/>
                <w:sz w:val="18"/>
              </w:rPr>
            </w:pPr>
          </w:p>
        </w:tc>
        <w:tc>
          <w:tcPr>
            <w:tcW w:w="1711" w:type="dxa"/>
            <w:gridSpan w:val="2"/>
            <w:tcBorders>
              <w:top w:val="single" w:sz="6" w:space="0" w:color="000000"/>
              <w:bottom w:val="single" w:sz="6" w:space="0" w:color="000000"/>
            </w:tcBorders>
            <w:shd w:val="clear" w:color="auto" w:fill="BEBEBE"/>
          </w:tcPr>
          <w:p w14:paraId="17F5F9C7" w14:textId="77777777" w:rsidR="00AC6F3C" w:rsidRDefault="00570E88">
            <w:pPr>
              <w:pStyle w:val="TableParagraph"/>
              <w:spacing w:before="33" w:line="381" w:lineRule="auto"/>
              <w:ind w:left="678" w:right="25" w:hanging="105"/>
              <w:rPr>
                <w:b/>
                <w:sz w:val="17"/>
              </w:rPr>
            </w:pPr>
            <w:r>
              <w:rPr>
                <w:b/>
                <w:spacing w:val="-4"/>
                <w:w w:val="105"/>
                <w:sz w:val="17"/>
              </w:rPr>
              <w:t>Consolidated 2023</w:t>
            </w:r>
          </w:p>
          <w:p w14:paraId="527C0F00" w14:textId="77777777" w:rsidR="00AC6F3C" w:rsidRDefault="00570E88">
            <w:pPr>
              <w:pStyle w:val="TableParagraph"/>
              <w:spacing w:line="182" w:lineRule="exact"/>
              <w:ind w:left="634"/>
              <w:rPr>
                <w:b/>
                <w:sz w:val="17"/>
              </w:rPr>
            </w:pPr>
            <w:r>
              <w:rPr>
                <w:b/>
                <w:spacing w:val="-4"/>
                <w:w w:val="105"/>
                <w:sz w:val="17"/>
              </w:rPr>
              <w:t>$’000</w:t>
            </w:r>
          </w:p>
        </w:tc>
        <w:tc>
          <w:tcPr>
            <w:tcW w:w="528" w:type="dxa"/>
            <w:tcBorders>
              <w:top w:val="single" w:sz="6" w:space="0" w:color="000000"/>
              <w:bottom w:val="single" w:sz="6" w:space="0" w:color="000000"/>
            </w:tcBorders>
            <w:shd w:val="clear" w:color="auto" w:fill="BEBEBE"/>
          </w:tcPr>
          <w:p w14:paraId="7C584651" w14:textId="77777777" w:rsidR="00AC6F3C" w:rsidRDefault="00AC6F3C">
            <w:pPr>
              <w:pStyle w:val="TableParagraph"/>
              <w:spacing w:before="10"/>
              <w:rPr>
                <w:b/>
                <w:sz w:val="29"/>
              </w:rPr>
            </w:pPr>
          </w:p>
          <w:p w14:paraId="618E9107" w14:textId="77777777" w:rsidR="00AC6F3C" w:rsidRDefault="00570E88">
            <w:pPr>
              <w:pStyle w:val="TableParagraph"/>
              <w:spacing w:before="1"/>
              <w:ind w:left="86"/>
              <w:rPr>
                <w:b/>
                <w:sz w:val="17"/>
              </w:rPr>
            </w:pPr>
            <w:r>
              <w:rPr>
                <w:b/>
                <w:spacing w:val="-4"/>
                <w:w w:val="105"/>
                <w:sz w:val="17"/>
              </w:rPr>
              <w:t>2022</w:t>
            </w:r>
          </w:p>
          <w:p w14:paraId="355EA045" w14:textId="77777777" w:rsidR="00AC6F3C" w:rsidRDefault="00570E88">
            <w:pPr>
              <w:pStyle w:val="TableParagraph"/>
              <w:spacing w:before="101"/>
              <w:ind w:left="42"/>
              <w:rPr>
                <w:b/>
                <w:sz w:val="17"/>
              </w:rPr>
            </w:pPr>
            <w:r>
              <w:rPr>
                <w:b/>
                <w:spacing w:val="-4"/>
                <w:w w:val="105"/>
                <w:sz w:val="17"/>
              </w:rPr>
              <w:t>$’000</w:t>
            </w:r>
          </w:p>
        </w:tc>
        <w:tc>
          <w:tcPr>
            <w:tcW w:w="1574" w:type="dxa"/>
            <w:gridSpan w:val="2"/>
            <w:tcBorders>
              <w:top w:val="single" w:sz="6" w:space="0" w:color="000000"/>
              <w:bottom w:val="single" w:sz="6" w:space="0" w:color="000000"/>
            </w:tcBorders>
            <w:shd w:val="clear" w:color="auto" w:fill="BEBEBE"/>
          </w:tcPr>
          <w:p w14:paraId="0A375208" w14:textId="77777777" w:rsidR="00AC6F3C" w:rsidRDefault="00570E88">
            <w:pPr>
              <w:pStyle w:val="TableParagraph"/>
              <w:spacing w:before="33" w:line="381" w:lineRule="auto"/>
              <w:ind w:left="677" w:firstLine="164"/>
              <w:rPr>
                <w:b/>
                <w:sz w:val="17"/>
              </w:rPr>
            </w:pPr>
            <w:r>
              <w:rPr>
                <w:b/>
                <w:spacing w:val="-2"/>
                <w:w w:val="105"/>
                <w:sz w:val="17"/>
              </w:rPr>
              <w:t xml:space="preserve">Parent </w:t>
            </w:r>
            <w:r>
              <w:rPr>
                <w:b/>
                <w:spacing w:val="-4"/>
                <w:w w:val="105"/>
                <w:sz w:val="17"/>
              </w:rPr>
              <w:t>2023</w:t>
            </w:r>
          </w:p>
          <w:p w14:paraId="0752C404" w14:textId="77777777" w:rsidR="00AC6F3C" w:rsidRDefault="00570E88">
            <w:pPr>
              <w:pStyle w:val="TableParagraph"/>
              <w:spacing w:line="182" w:lineRule="exact"/>
              <w:ind w:left="633"/>
              <w:rPr>
                <w:b/>
                <w:sz w:val="17"/>
              </w:rPr>
            </w:pPr>
            <w:r>
              <w:rPr>
                <w:b/>
                <w:spacing w:val="-4"/>
                <w:w w:val="105"/>
                <w:sz w:val="17"/>
              </w:rPr>
              <w:t>$’000</w:t>
            </w:r>
          </w:p>
        </w:tc>
        <w:tc>
          <w:tcPr>
            <w:tcW w:w="671" w:type="dxa"/>
            <w:tcBorders>
              <w:top w:val="single" w:sz="6" w:space="0" w:color="000000"/>
              <w:bottom w:val="single" w:sz="6" w:space="0" w:color="000000"/>
              <w:right w:val="single" w:sz="6" w:space="0" w:color="000000"/>
            </w:tcBorders>
            <w:shd w:val="clear" w:color="auto" w:fill="BEBEBE"/>
          </w:tcPr>
          <w:p w14:paraId="0D368F65" w14:textId="77777777" w:rsidR="00AC6F3C" w:rsidRDefault="00AC6F3C">
            <w:pPr>
              <w:pStyle w:val="TableParagraph"/>
              <w:spacing w:before="10"/>
              <w:rPr>
                <w:b/>
                <w:sz w:val="29"/>
              </w:rPr>
            </w:pPr>
          </w:p>
          <w:p w14:paraId="0127C32D" w14:textId="77777777" w:rsidR="00AC6F3C" w:rsidRDefault="00570E88">
            <w:pPr>
              <w:pStyle w:val="TableParagraph"/>
              <w:spacing w:before="1"/>
              <w:ind w:left="222"/>
              <w:rPr>
                <w:b/>
                <w:sz w:val="17"/>
              </w:rPr>
            </w:pPr>
            <w:r>
              <w:rPr>
                <w:b/>
                <w:spacing w:val="-4"/>
                <w:w w:val="105"/>
                <w:sz w:val="17"/>
              </w:rPr>
              <w:t>2022</w:t>
            </w:r>
          </w:p>
          <w:p w14:paraId="6D7752A3" w14:textId="77777777" w:rsidR="00AC6F3C" w:rsidRDefault="00570E88">
            <w:pPr>
              <w:pStyle w:val="TableParagraph"/>
              <w:spacing w:before="101"/>
              <w:ind w:left="178"/>
              <w:rPr>
                <w:b/>
                <w:sz w:val="17"/>
              </w:rPr>
            </w:pPr>
            <w:r>
              <w:rPr>
                <w:b/>
                <w:spacing w:val="-4"/>
                <w:w w:val="105"/>
                <w:sz w:val="17"/>
              </w:rPr>
              <w:t>$’000</w:t>
            </w:r>
          </w:p>
        </w:tc>
      </w:tr>
      <w:tr w:rsidR="00AC6F3C" w14:paraId="17A24338" w14:textId="77777777">
        <w:trPr>
          <w:trHeight w:val="323"/>
        </w:trPr>
        <w:tc>
          <w:tcPr>
            <w:tcW w:w="3991" w:type="dxa"/>
            <w:tcBorders>
              <w:top w:val="single" w:sz="6" w:space="0" w:color="000000"/>
              <w:left w:val="single" w:sz="6" w:space="0" w:color="000000"/>
            </w:tcBorders>
          </w:tcPr>
          <w:p w14:paraId="3BB5BCD5" w14:textId="77777777" w:rsidR="00AC6F3C" w:rsidRDefault="00570E88">
            <w:pPr>
              <w:pStyle w:val="TableParagraph"/>
              <w:spacing w:before="77"/>
              <w:ind w:left="37"/>
              <w:rPr>
                <w:sz w:val="17"/>
              </w:rPr>
            </w:pPr>
            <w:r>
              <w:rPr>
                <w:w w:val="105"/>
                <w:sz w:val="17"/>
              </w:rPr>
              <w:t>Income</w:t>
            </w:r>
            <w:r>
              <w:rPr>
                <w:spacing w:val="9"/>
                <w:w w:val="105"/>
                <w:sz w:val="17"/>
              </w:rPr>
              <w:t xml:space="preserve"> </w:t>
            </w:r>
            <w:r>
              <w:rPr>
                <w:w w:val="105"/>
                <w:sz w:val="17"/>
              </w:rPr>
              <w:t>tax</w:t>
            </w:r>
            <w:r>
              <w:rPr>
                <w:spacing w:val="-14"/>
                <w:w w:val="105"/>
                <w:sz w:val="17"/>
              </w:rPr>
              <w:t xml:space="preserve"> </w:t>
            </w:r>
            <w:r>
              <w:rPr>
                <w:w w:val="105"/>
                <w:sz w:val="17"/>
              </w:rPr>
              <w:t>at</w:t>
            </w:r>
            <w:r>
              <w:rPr>
                <w:spacing w:val="-2"/>
                <w:w w:val="105"/>
                <w:sz w:val="17"/>
              </w:rPr>
              <w:t xml:space="preserve"> </w:t>
            </w:r>
            <w:r>
              <w:rPr>
                <w:w w:val="105"/>
                <w:sz w:val="17"/>
              </w:rPr>
              <w:t>the</w:t>
            </w:r>
            <w:r>
              <w:rPr>
                <w:spacing w:val="10"/>
                <w:w w:val="105"/>
                <w:sz w:val="17"/>
              </w:rPr>
              <w:t xml:space="preserve"> </w:t>
            </w:r>
            <w:r>
              <w:rPr>
                <w:w w:val="105"/>
                <w:sz w:val="17"/>
              </w:rPr>
              <w:t>beginning</w:t>
            </w:r>
            <w:r>
              <w:rPr>
                <w:spacing w:val="9"/>
                <w:w w:val="105"/>
                <w:sz w:val="17"/>
              </w:rPr>
              <w:t xml:space="preserve"> </w:t>
            </w:r>
            <w:r>
              <w:rPr>
                <w:w w:val="105"/>
                <w:sz w:val="17"/>
              </w:rPr>
              <w:t>of</w:t>
            </w:r>
            <w:r>
              <w:rPr>
                <w:spacing w:val="-2"/>
                <w:w w:val="105"/>
                <w:sz w:val="17"/>
              </w:rPr>
              <w:t xml:space="preserve"> </w:t>
            </w:r>
            <w:r>
              <w:rPr>
                <w:w w:val="105"/>
                <w:sz w:val="17"/>
              </w:rPr>
              <w:t>the</w:t>
            </w:r>
            <w:r>
              <w:rPr>
                <w:spacing w:val="10"/>
                <w:w w:val="105"/>
                <w:sz w:val="17"/>
              </w:rPr>
              <w:t xml:space="preserve"> </w:t>
            </w:r>
            <w:r>
              <w:rPr>
                <w:w w:val="105"/>
                <w:sz w:val="17"/>
              </w:rPr>
              <w:t>financial</w:t>
            </w:r>
            <w:r>
              <w:rPr>
                <w:spacing w:val="10"/>
                <w:w w:val="105"/>
                <w:sz w:val="17"/>
              </w:rPr>
              <w:t xml:space="preserve"> </w:t>
            </w:r>
            <w:r>
              <w:rPr>
                <w:spacing w:val="-4"/>
                <w:w w:val="105"/>
                <w:sz w:val="17"/>
              </w:rPr>
              <w:t>year</w:t>
            </w:r>
          </w:p>
        </w:tc>
        <w:tc>
          <w:tcPr>
            <w:tcW w:w="1134" w:type="dxa"/>
            <w:tcBorders>
              <w:top w:val="single" w:sz="6" w:space="0" w:color="000000"/>
            </w:tcBorders>
            <w:shd w:val="clear" w:color="auto" w:fill="F1F1F1"/>
          </w:tcPr>
          <w:p w14:paraId="461A163D" w14:textId="77777777" w:rsidR="00AC6F3C" w:rsidRDefault="00570E88">
            <w:pPr>
              <w:pStyle w:val="TableParagraph"/>
              <w:spacing w:before="77"/>
              <w:ind w:right="35"/>
              <w:jc w:val="right"/>
              <w:rPr>
                <w:sz w:val="17"/>
              </w:rPr>
            </w:pPr>
            <w:r>
              <w:rPr>
                <w:spacing w:val="-4"/>
                <w:w w:val="105"/>
                <w:sz w:val="17"/>
              </w:rPr>
              <w:t>2,477</w:t>
            </w:r>
          </w:p>
        </w:tc>
        <w:tc>
          <w:tcPr>
            <w:tcW w:w="1105" w:type="dxa"/>
            <w:gridSpan w:val="2"/>
            <w:tcBorders>
              <w:top w:val="single" w:sz="6" w:space="0" w:color="000000"/>
            </w:tcBorders>
          </w:tcPr>
          <w:p w14:paraId="71D3FA59" w14:textId="77777777" w:rsidR="00AC6F3C" w:rsidRDefault="00570E88">
            <w:pPr>
              <w:pStyle w:val="TableParagraph"/>
              <w:spacing w:before="77"/>
              <w:ind w:right="21"/>
              <w:jc w:val="right"/>
              <w:rPr>
                <w:sz w:val="17"/>
              </w:rPr>
            </w:pPr>
            <w:r>
              <w:rPr>
                <w:spacing w:val="-5"/>
                <w:w w:val="105"/>
                <w:sz w:val="17"/>
              </w:rPr>
              <w:t>115</w:t>
            </w:r>
          </w:p>
        </w:tc>
        <w:tc>
          <w:tcPr>
            <w:tcW w:w="1134" w:type="dxa"/>
            <w:tcBorders>
              <w:top w:val="single" w:sz="6" w:space="0" w:color="000000"/>
            </w:tcBorders>
            <w:shd w:val="clear" w:color="auto" w:fill="F1F1F1"/>
          </w:tcPr>
          <w:p w14:paraId="6C382084" w14:textId="77777777" w:rsidR="00AC6F3C" w:rsidRDefault="00570E88">
            <w:pPr>
              <w:pStyle w:val="TableParagraph"/>
              <w:spacing w:before="77"/>
              <w:ind w:right="36"/>
              <w:jc w:val="right"/>
              <w:rPr>
                <w:sz w:val="17"/>
              </w:rPr>
            </w:pPr>
            <w:r>
              <w:rPr>
                <w:w w:val="105"/>
                <w:sz w:val="17"/>
              </w:rPr>
              <w:t>-</w:t>
            </w:r>
          </w:p>
        </w:tc>
        <w:tc>
          <w:tcPr>
            <w:tcW w:w="1111" w:type="dxa"/>
            <w:gridSpan w:val="2"/>
            <w:tcBorders>
              <w:top w:val="single" w:sz="6" w:space="0" w:color="000000"/>
              <w:right w:val="single" w:sz="6" w:space="0" w:color="000000"/>
            </w:tcBorders>
          </w:tcPr>
          <w:p w14:paraId="40444F48" w14:textId="77777777" w:rsidR="00AC6F3C" w:rsidRDefault="00570E88">
            <w:pPr>
              <w:pStyle w:val="TableParagraph"/>
              <w:spacing w:before="77"/>
              <w:ind w:right="22"/>
              <w:jc w:val="right"/>
              <w:rPr>
                <w:sz w:val="17"/>
              </w:rPr>
            </w:pPr>
            <w:r>
              <w:rPr>
                <w:w w:val="105"/>
                <w:sz w:val="17"/>
              </w:rPr>
              <w:t>-</w:t>
            </w:r>
          </w:p>
        </w:tc>
      </w:tr>
      <w:tr w:rsidR="00AC6F3C" w14:paraId="5A718E5F" w14:textId="77777777">
        <w:trPr>
          <w:trHeight w:val="296"/>
        </w:trPr>
        <w:tc>
          <w:tcPr>
            <w:tcW w:w="3991" w:type="dxa"/>
            <w:tcBorders>
              <w:left w:val="single" w:sz="6" w:space="0" w:color="000000"/>
            </w:tcBorders>
          </w:tcPr>
          <w:p w14:paraId="46F96873" w14:textId="77777777" w:rsidR="00AC6F3C" w:rsidRDefault="00570E88">
            <w:pPr>
              <w:pStyle w:val="TableParagraph"/>
              <w:spacing w:before="50"/>
              <w:ind w:left="37"/>
              <w:rPr>
                <w:sz w:val="17"/>
              </w:rPr>
            </w:pPr>
            <w:r>
              <w:rPr>
                <w:w w:val="105"/>
                <w:sz w:val="17"/>
              </w:rPr>
              <w:t>Income</w:t>
            </w:r>
            <w:r>
              <w:rPr>
                <w:spacing w:val="9"/>
                <w:w w:val="105"/>
                <w:sz w:val="17"/>
              </w:rPr>
              <w:t xml:space="preserve"> </w:t>
            </w:r>
            <w:r>
              <w:rPr>
                <w:w w:val="105"/>
                <w:sz w:val="17"/>
              </w:rPr>
              <w:t>tax</w:t>
            </w:r>
            <w:r>
              <w:rPr>
                <w:spacing w:val="-14"/>
                <w:w w:val="105"/>
                <w:sz w:val="17"/>
              </w:rPr>
              <w:t xml:space="preserve"> </w:t>
            </w:r>
            <w:r>
              <w:rPr>
                <w:spacing w:val="-2"/>
                <w:w w:val="105"/>
                <w:sz w:val="17"/>
              </w:rPr>
              <w:t>refunded/(paid)</w:t>
            </w:r>
          </w:p>
        </w:tc>
        <w:tc>
          <w:tcPr>
            <w:tcW w:w="1134" w:type="dxa"/>
            <w:shd w:val="clear" w:color="auto" w:fill="F1F1F1"/>
          </w:tcPr>
          <w:p w14:paraId="6928EAF4" w14:textId="77777777" w:rsidR="00AC6F3C" w:rsidRDefault="00570E88">
            <w:pPr>
              <w:pStyle w:val="TableParagraph"/>
              <w:spacing w:before="50"/>
              <w:ind w:right="30"/>
              <w:jc w:val="right"/>
              <w:rPr>
                <w:sz w:val="17"/>
              </w:rPr>
            </w:pPr>
            <w:r>
              <w:rPr>
                <w:spacing w:val="-2"/>
                <w:w w:val="105"/>
                <w:sz w:val="17"/>
              </w:rPr>
              <w:t>(4,124)</w:t>
            </w:r>
          </w:p>
        </w:tc>
        <w:tc>
          <w:tcPr>
            <w:tcW w:w="1105" w:type="dxa"/>
            <w:gridSpan w:val="2"/>
          </w:tcPr>
          <w:p w14:paraId="61CA710C" w14:textId="77777777" w:rsidR="00AC6F3C" w:rsidRDefault="00570E88">
            <w:pPr>
              <w:pStyle w:val="TableParagraph"/>
              <w:spacing w:before="50"/>
              <w:ind w:left="648"/>
              <w:rPr>
                <w:sz w:val="17"/>
              </w:rPr>
            </w:pPr>
            <w:r>
              <w:rPr>
                <w:spacing w:val="-4"/>
                <w:w w:val="105"/>
                <w:sz w:val="17"/>
              </w:rPr>
              <w:t>(158)</w:t>
            </w:r>
          </w:p>
        </w:tc>
        <w:tc>
          <w:tcPr>
            <w:tcW w:w="1134" w:type="dxa"/>
            <w:shd w:val="clear" w:color="auto" w:fill="F1F1F1"/>
          </w:tcPr>
          <w:p w14:paraId="2E5FD478" w14:textId="77777777" w:rsidR="00AC6F3C" w:rsidRDefault="00570E88">
            <w:pPr>
              <w:pStyle w:val="TableParagraph"/>
              <w:spacing w:before="50"/>
              <w:ind w:right="36"/>
              <w:jc w:val="right"/>
              <w:rPr>
                <w:sz w:val="17"/>
              </w:rPr>
            </w:pPr>
            <w:r>
              <w:rPr>
                <w:w w:val="105"/>
                <w:sz w:val="17"/>
              </w:rPr>
              <w:t>-</w:t>
            </w:r>
          </w:p>
        </w:tc>
        <w:tc>
          <w:tcPr>
            <w:tcW w:w="1111" w:type="dxa"/>
            <w:gridSpan w:val="2"/>
            <w:tcBorders>
              <w:right w:val="single" w:sz="6" w:space="0" w:color="000000"/>
            </w:tcBorders>
          </w:tcPr>
          <w:p w14:paraId="2D66C3C8" w14:textId="77777777" w:rsidR="00AC6F3C" w:rsidRDefault="00570E88">
            <w:pPr>
              <w:pStyle w:val="TableParagraph"/>
              <w:spacing w:before="50"/>
              <w:ind w:right="22"/>
              <w:jc w:val="right"/>
              <w:rPr>
                <w:sz w:val="17"/>
              </w:rPr>
            </w:pPr>
            <w:r>
              <w:rPr>
                <w:w w:val="105"/>
                <w:sz w:val="17"/>
              </w:rPr>
              <w:t>-</w:t>
            </w:r>
          </w:p>
        </w:tc>
      </w:tr>
      <w:tr w:rsidR="00AC6F3C" w14:paraId="12470DBD" w14:textId="77777777">
        <w:trPr>
          <w:trHeight w:val="254"/>
        </w:trPr>
        <w:tc>
          <w:tcPr>
            <w:tcW w:w="3991" w:type="dxa"/>
            <w:tcBorders>
              <w:left w:val="single" w:sz="6" w:space="0" w:color="000000"/>
              <w:bottom w:val="single" w:sz="6" w:space="0" w:color="000000"/>
            </w:tcBorders>
          </w:tcPr>
          <w:p w14:paraId="516FADA0" w14:textId="77777777" w:rsidR="00AC6F3C" w:rsidRDefault="00570E88">
            <w:pPr>
              <w:pStyle w:val="TableParagraph"/>
              <w:spacing w:before="50" w:line="184" w:lineRule="exact"/>
              <w:ind w:left="37"/>
              <w:rPr>
                <w:sz w:val="17"/>
              </w:rPr>
            </w:pPr>
            <w:r>
              <w:rPr>
                <w:w w:val="105"/>
                <w:sz w:val="17"/>
              </w:rPr>
              <w:t>Current</w:t>
            </w:r>
            <w:r>
              <w:rPr>
                <w:spacing w:val="-1"/>
                <w:w w:val="105"/>
                <w:sz w:val="17"/>
              </w:rPr>
              <w:t xml:space="preserve"> </w:t>
            </w:r>
            <w:r>
              <w:rPr>
                <w:w w:val="105"/>
                <w:sz w:val="17"/>
              </w:rPr>
              <w:t>year</w:t>
            </w:r>
            <w:r>
              <w:rPr>
                <w:spacing w:val="7"/>
                <w:w w:val="105"/>
                <w:sz w:val="17"/>
              </w:rPr>
              <w:t xml:space="preserve"> </w:t>
            </w:r>
            <w:r>
              <w:rPr>
                <w:w w:val="105"/>
                <w:sz w:val="17"/>
              </w:rPr>
              <w:t>income</w:t>
            </w:r>
            <w:r>
              <w:rPr>
                <w:spacing w:val="12"/>
                <w:w w:val="105"/>
                <w:sz w:val="17"/>
              </w:rPr>
              <w:t xml:space="preserve"> </w:t>
            </w:r>
            <w:r>
              <w:rPr>
                <w:spacing w:val="-5"/>
                <w:w w:val="105"/>
                <w:sz w:val="17"/>
              </w:rPr>
              <w:t>tax</w:t>
            </w:r>
          </w:p>
        </w:tc>
        <w:tc>
          <w:tcPr>
            <w:tcW w:w="1134" w:type="dxa"/>
            <w:tcBorders>
              <w:bottom w:val="single" w:sz="6" w:space="0" w:color="000000"/>
            </w:tcBorders>
            <w:shd w:val="clear" w:color="auto" w:fill="F1F1F1"/>
          </w:tcPr>
          <w:p w14:paraId="4464A82B" w14:textId="77777777" w:rsidR="00AC6F3C" w:rsidRDefault="00570E88">
            <w:pPr>
              <w:pStyle w:val="TableParagraph"/>
              <w:spacing w:before="50" w:line="184" w:lineRule="exact"/>
              <w:ind w:right="35"/>
              <w:jc w:val="right"/>
              <w:rPr>
                <w:sz w:val="17"/>
              </w:rPr>
            </w:pPr>
            <w:r>
              <w:rPr>
                <w:spacing w:val="-4"/>
                <w:w w:val="105"/>
                <w:sz w:val="17"/>
              </w:rPr>
              <w:t>1,199</w:t>
            </w:r>
          </w:p>
        </w:tc>
        <w:tc>
          <w:tcPr>
            <w:tcW w:w="1105" w:type="dxa"/>
            <w:gridSpan w:val="2"/>
            <w:tcBorders>
              <w:bottom w:val="single" w:sz="6" w:space="0" w:color="000000"/>
            </w:tcBorders>
          </w:tcPr>
          <w:p w14:paraId="649459AD" w14:textId="77777777" w:rsidR="00AC6F3C" w:rsidRDefault="00570E88">
            <w:pPr>
              <w:pStyle w:val="TableParagraph"/>
              <w:spacing w:before="50" w:line="184" w:lineRule="exact"/>
              <w:ind w:left="619"/>
              <w:rPr>
                <w:sz w:val="17"/>
              </w:rPr>
            </w:pPr>
            <w:r>
              <w:rPr>
                <w:spacing w:val="-4"/>
                <w:w w:val="105"/>
                <w:sz w:val="17"/>
              </w:rPr>
              <w:t>2,520</w:t>
            </w:r>
          </w:p>
        </w:tc>
        <w:tc>
          <w:tcPr>
            <w:tcW w:w="1134" w:type="dxa"/>
            <w:tcBorders>
              <w:bottom w:val="single" w:sz="6" w:space="0" w:color="000000"/>
            </w:tcBorders>
            <w:shd w:val="clear" w:color="auto" w:fill="F1F1F1"/>
          </w:tcPr>
          <w:p w14:paraId="2A413CCE" w14:textId="77777777" w:rsidR="00AC6F3C" w:rsidRDefault="00570E88">
            <w:pPr>
              <w:pStyle w:val="TableParagraph"/>
              <w:spacing w:before="50" w:line="184" w:lineRule="exact"/>
              <w:ind w:right="36"/>
              <w:jc w:val="right"/>
              <w:rPr>
                <w:sz w:val="17"/>
              </w:rPr>
            </w:pPr>
            <w:r>
              <w:rPr>
                <w:w w:val="105"/>
                <w:sz w:val="17"/>
              </w:rPr>
              <w:t>-</w:t>
            </w:r>
          </w:p>
        </w:tc>
        <w:tc>
          <w:tcPr>
            <w:tcW w:w="1111" w:type="dxa"/>
            <w:gridSpan w:val="2"/>
            <w:tcBorders>
              <w:bottom w:val="single" w:sz="6" w:space="0" w:color="000000"/>
              <w:right w:val="single" w:sz="6" w:space="0" w:color="000000"/>
            </w:tcBorders>
          </w:tcPr>
          <w:p w14:paraId="23C68773" w14:textId="77777777" w:rsidR="00AC6F3C" w:rsidRDefault="00570E88">
            <w:pPr>
              <w:pStyle w:val="TableParagraph"/>
              <w:spacing w:before="50" w:line="184" w:lineRule="exact"/>
              <w:ind w:right="22"/>
              <w:jc w:val="right"/>
              <w:rPr>
                <w:sz w:val="17"/>
              </w:rPr>
            </w:pPr>
            <w:r>
              <w:rPr>
                <w:w w:val="105"/>
                <w:sz w:val="17"/>
              </w:rPr>
              <w:t>-</w:t>
            </w:r>
          </w:p>
        </w:tc>
      </w:tr>
      <w:tr w:rsidR="00AC6F3C" w14:paraId="066863C0" w14:textId="77777777">
        <w:trPr>
          <w:trHeight w:val="474"/>
        </w:trPr>
        <w:tc>
          <w:tcPr>
            <w:tcW w:w="3991" w:type="dxa"/>
            <w:tcBorders>
              <w:top w:val="single" w:sz="6" w:space="0" w:color="000000"/>
              <w:left w:val="single" w:sz="6" w:space="0" w:color="000000"/>
              <w:bottom w:val="single" w:sz="6" w:space="0" w:color="000000"/>
            </w:tcBorders>
            <w:shd w:val="clear" w:color="auto" w:fill="BEBEBE"/>
          </w:tcPr>
          <w:p w14:paraId="4AE6BFA9" w14:textId="77777777" w:rsidR="00AC6F3C" w:rsidRDefault="00570E88">
            <w:pPr>
              <w:pStyle w:val="TableParagraph"/>
              <w:spacing w:before="3"/>
              <w:ind w:left="37"/>
              <w:rPr>
                <w:b/>
                <w:sz w:val="17"/>
              </w:rPr>
            </w:pPr>
            <w:r>
              <w:rPr>
                <w:b/>
                <w:w w:val="105"/>
                <w:sz w:val="17"/>
              </w:rPr>
              <w:t>Income</w:t>
            </w:r>
            <w:r>
              <w:rPr>
                <w:b/>
                <w:spacing w:val="-3"/>
                <w:w w:val="105"/>
                <w:sz w:val="17"/>
              </w:rPr>
              <w:t xml:space="preserve"> </w:t>
            </w:r>
            <w:r>
              <w:rPr>
                <w:b/>
                <w:w w:val="105"/>
                <w:sz w:val="17"/>
              </w:rPr>
              <w:t>tax</w:t>
            </w:r>
            <w:r>
              <w:rPr>
                <w:b/>
                <w:spacing w:val="-3"/>
                <w:w w:val="105"/>
                <w:sz w:val="17"/>
              </w:rPr>
              <w:t xml:space="preserve"> </w:t>
            </w:r>
            <w:r>
              <w:rPr>
                <w:b/>
                <w:w w:val="105"/>
                <w:sz w:val="17"/>
              </w:rPr>
              <w:t>receivable</w:t>
            </w:r>
            <w:r>
              <w:rPr>
                <w:b/>
                <w:spacing w:val="-3"/>
                <w:w w:val="105"/>
                <w:sz w:val="17"/>
              </w:rPr>
              <w:t xml:space="preserve"> </w:t>
            </w:r>
            <w:r>
              <w:rPr>
                <w:b/>
                <w:w w:val="105"/>
                <w:sz w:val="17"/>
              </w:rPr>
              <w:t>at</w:t>
            </w:r>
            <w:r>
              <w:rPr>
                <w:b/>
                <w:spacing w:val="-7"/>
                <w:w w:val="105"/>
                <w:sz w:val="17"/>
              </w:rPr>
              <w:t xml:space="preserve"> </w:t>
            </w:r>
            <w:r>
              <w:rPr>
                <w:b/>
                <w:w w:val="105"/>
                <w:sz w:val="17"/>
              </w:rPr>
              <w:t>the</w:t>
            </w:r>
            <w:r>
              <w:rPr>
                <w:b/>
                <w:spacing w:val="-3"/>
                <w:w w:val="105"/>
                <w:sz w:val="17"/>
              </w:rPr>
              <w:t xml:space="preserve"> </w:t>
            </w:r>
            <w:r>
              <w:rPr>
                <w:b/>
                <w:w w:val="105"/>
                <w:sz w:val="17"/>
              </w:rPr>
              <w:t>end</w:t>
            </w:r>
            <w:r>
              <w:rPr>
                <w:b/>
                <w:spacing w:val="-12"/>
                <w:w w:val="105"/>
                <w:sz w:val="17"/>
              </w:rPr>
              <w:t xml:space="preserve"> </w:t>
            </w:r>
            <w:r>
              <w:rPr>
                <w:b/>
                <w:w w:val="105"/>
                <w:sz w:val="17"/>
              </w:rPr>
              <w:t>of</w:t>
            </w:r>
            <w:r>
              <w:rPr>
                <w:b/>
                <w:spacing w:val="-8"/>
                <w:w w:val="105"/>
                <w:sz w:val="17"/>
              </w:rPr>
              <w:t xml:space="preserve"> </w:t>
            </w:r>
            <w:r>
              <w:rPr>
                <w:b/>
                <w:spacing w:val="-5"/>
                <w:w w:val="105"/>
                <w:sz w:val="17"/>
              </w:rPr>
              <w:t>the</w:t>
            </w:r>
          </w:p>
          <w:p w14:paraId="1153927C" w14:textId="77777777" w:rsidR="00AC6F3C" w:rsidRDefault="00570E88">
            <w:pPr>
              <w:pStyle w:val="TableParagraph"/>
              <w:spacing w:before="42"/>
              <w:ind w:left="37"/>
              <w:rPr>
                <w:b/>
                <w:sz w:val="17"/>
              </w:rPr>
            </w:pPr>
            <w:r>
              <w:rPr>
                <w:b/>
                <w:spacing w:val="-2"/>
                <w:w w:val="105"/>
                <w:sz w:val="17"/>
              </w:rPr>
              <w:t>financial</w:t>
            </w:r>
            <w:r>
              <w:rPr>
                <w:b/>
                <w:spacing w:val="-1"/>
                <w:w w:val="105"/>
                <w:sz w:val="17"/>
              </w:rPr>
              <w:t xml:space="preserve"> </w:t>
            </w:r>
            <w:r>
              <w:rPr>
                <w:b/>
                <w:spacing w:val="-4"/>
                <w:w w:val="105"/>
                <w:sz w:val="17"/>
              </w:rPr>
              <w:t>year</w:t>
            </w:r>
          </w:p>
        </w:tc>
        <w:tc>
          <w:tcPr>
            <w:tcW w:w="1711" w:type="dxa"/>
            <w:gridSpan w:val="2"/>
            <w:tcBorders>
              <w:top w:val="single" w:sz="6" w:space="0" w:color="000000"/>
              <w:bottom w:val="single" w:sz="6" w:space="0" w:color="000000"/>
            </w:tcBorders>
            <w:shd w:val="clear" w:color="auto" w:fill="BEBEBE"/>
          </w:tcPr>
          <w:p w14:paraId="4E275B97" w14:textId="77777777" w:rsidR="00AC6F3C" w:rsidRDefault="00570E88">
            <w:pPr>
              <w:pStyle w:val="TableParagraph"/>
              <w:spacing w:before="137"/>
              <w:ind w:left="624" w:right="570"/>
              <w:jc w:val="center"/>
              <w:rPr>
                <w:b/>
                <w:sz w:val="17"/>
              </w:rPr>
            </w:pPr>
            <w:r>
              <w:rPr>
                <w:b/>
                <w:spacing w:val="-4"/>
                <w:w w:val="105"/>
                <w:sz w:val="17"/>
              </w:rPr>
              <w:t>(448)</w:t>
            </w:r>
          </w:p>
        </w:tc>
        <w:tc>
          <w:tcPr>
            <w:tcW w:w="528" w:type="dxa"/>
            <w:tcBorders>
              <w:top w:val="single" w:sz="6" w:space="0" w:color="000000"/>
              <w:bottom w:val="single" w:sz="6" w:space="0" w:color="000000"/>
            </w:tcBorders>
            <w:shd w:val="clear" w:color="auto" w:fill="BEBEBE"/>
          </w:tcPr>
          <w:p w14:paraId="56F180B4" w14:textId="77777777" w:rsidR="00AC6F3C" w:rsidRDefault="00570E88">
            <w:pPr>
              <w:pStyle w:val="TableParagraph"/>
              <w:spacing w:before="137"/>
              <w:ind w:left="42"/>
              <w:rPr>
                <w:b/>
                <w:sz w:val="17"/>
              </w:rPr>
            </w:pPr>
            <w:r>
              <w:rPr>
                <w:b/>
                <w:spacing w:val="-4"/>
                <w:w w:val="105"/>
                <w:sz w:val="17"/>
              </w:rPr>
              <w:t>2,477</w:t>
            </w:r>
          </w:p>
        </w:tc>
        <w:tc>
          <w:tcPr>
            <w:tcW w:w="1574" w:type="dxa"/>
            <w:gridSpan w:val="2"/>
            <w:tcBorders>
              <w:top w:val="single" w:sz="6" w:space="0" w:color="000000"/>
              <w:bottom w:val="single" w:sz="6" w:space="0" w:color="000000"/>
            </w:tcBorders>
            <w:shd w:val="clear" w:color="auto" w:fill="BEBEBE"/>
          </w:tcPr>
          <w:p w14:paraId="09E352DC" w14:textId="77777777" w:rsidR="00AC6F3C" w:rsidRDefault="00570E88">
            <w:pPr>
              <w:pStyle w:val="TableParagraph"/>
              <w:spacing w:before="137"/>
              <w:ind w:left="1035"/>
              <w:rPr>
                <w:b/>
                <w:sz w:val="17"/>
              </w:rPr>
            </w:pPr>
            <w:r>
              <w:rPr>
                <w:b/>
                <w:w w:val="105"/>
                <w:sz w:val="17"/>
              </w:rPr>
              <w:t>-</w:t>
            </w:r>
          </w:p>
        </w:tc>
        <w:tc>
          <w:tcPr>
            <w:tcW w:w="671" w:type="dxa"/>
            <w:tcBorders>
              <w:top w:val="single" w:sz="6" w:space="0" w:color="000000"/>
              <w:bottom w:val="single" w:sz="6" w:space="0" w:color="000000"/>
              <w:right w:val="single" w:sz="6" w:space="0" w:color="000000"/>
            </w:tcBorders>
            <w:shd w:val="clear" w:color="auto" w:fill="BEBEBE"/>
          </w:tcPr>
          <w:p w14:paraId="70EE70C0" w14:textId="77777777" w:rsidR="00AC6F3C" w:rsidRDefault="00570E88">
            <w:pPr>
              <w:pStyle w:val="TableParagraph"/>
              <w:spacing w:before="137"/>
              <w:ind w:right="22"/>
              <w:jc w:val="right"/>
              <w:rPr>
                <w:b/>
                <w:sz w:val="17"/>
              </w:rPr>
            </w:pPr>
            <w:r>
              <w:rPr>
                <w:b/>
                <w:w w:val="105"/>
                <w:sz w:val="17"/>
              </w:rPr>
              <w:t>-</w:t>
            </w:r>
          </w:p>
        </w:tc>
      </w:tr>
    </w:tbl>
    <w:p w14:paraId="6DC762BC" w14:textId="77777777" w:rsidR="00AC6F3C" w:rsidRDefault="00AC6F3C">
      <w:pPr>
        <w:pStyle w:val="BodyText"/>
        <w:spacing w:before="3"/>
        <w:rPr>
          <w:b/>
          <w:sz w:val="23"/>
        </w:rPr>
      </w:pPr>
    </w:p>
    <w:p w14:paraId="1523CA06" w14:textId="77777777" w:rsidR="00AC6F3C" w:rsidRDefault="00570E88">
      <w:pPr>
        <w:pStyle w:val="Heading6"/>
        <w:tabs>
          <w:tab w:val="left" w:pos="1810"/>
        </w:tabs>
        <w:spacing w:before="0"/>
      </w:pPr>
      <w:r>
        <w:rPr>
          <w:spacing w:val="-2"/>
        </w:rPr>
        <w:t>F1-</w:t>
      </w:r>
      <w:r>
        <w:rPr>
          <w:spacing w:val="-10"/>
        </w:rPr>
        <w:t>3</w:t>
      </w:r>
      <w:r>
        <w:tab/>
        <w:t>DEFERRED</w:t>
      </w:r>
      <w:r>
        <w:rPr>
          <w:spacing w:val="-3"/>
        </w:rPr>
        <w:t xml:space="preserve"> </w:t>
      </w:r>
      <w:r>
        <w:t>INCOME</w:t>
      </w:r>
      <w:r>
        <w:rPr>
          <w:spacing w:val="-1"/>
        </w:rPr>
        <w:t xml:space="preserve"> </w:t>
      </w:r>
      <w:r>
        <w:t>TAX</w:t>
      </w:r>
      <w:r>
        <w:rPr>
          <w:spacing w:val="-1"/>
        </w:rPr>
        <w:t xml:space="preserve"> </w:t>
      </w:r>
      <w:r>
        <w:rPr>
          <w:spacing w:val="-2"/>
        </w:rPr>
        <w:t>BALANCES</w:t>
      </w:r>
    </w:p>
    <w:p w14:paraId="190A083F" w14:textId="77777777" w:rsidR="00AC6F3C" w:rsidRDefault="00AC6F3C">
      <w:pPr>
        <w:pStyle w:val="BodyText"/>
        <w:spacing w:before="9"/>
        <w:rPr>
          <w:b/>
        </w:rPr>
      </w:pPr>
    </w:p>
    <w:p w14:paraId="30EB17FA" w14:textId="77777777" w:rsidR="00AC6F3C" w:rsidRDefault="00570E88">
      <w:pPr>
        <w:ind w:left="958"/>
        <w:rPr>
          <w:sz w:val="18"/>
        </w:rPr>
      </w:pPr>
      <w:r>
        <w:rPr>
          <w:sz w:val="18"/>
        </w:rPr>
        <w:t>The</w:t>
      </w:r>
      <w:r>
        <w:rPr>
          <w:spacing w:val="-2"/>
          <w:sz w:val="18"/>
        </w:rPr>
        <w:t xml:space="preserve"> </w:t>
      </w:r>
      <w:r>
        <w:rPr>
          <w:sz w:val="18"/>
        </w:rPr>
        <w:t>movements</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z w:val="18"/>
        </w:rPr>
        <w:t>deferred</w:t>
      </w:r>
      <w:r>
        <w:rPr>
          <w:spacing w:val="-1"/>
          <w:sz w:val="18"/>
        </w:rPr>
        <w:t xml:space="preserve"> </w:t>
      </w:r>
      <w:r>
        <w:rPr>
          <w:sz w:val="18"/>
        </w:rPr>
        <w:t>income</w:t>
      </w:r>
      <w:r>
        <w:rPr>
          <w:spacing w:val="-1"/>
          <w:sz w:val="18"/>
        </w:rPr>
        <w:t xml:space="preserve"> </w:t>
      </w:r>
      <w:r>
        <w:rPr>
          <w:sz w:val="18"/>
        </w:rPr>
        <w:t>tax</w:t>
      </w:r>
      <w:r>
        <w:rPr>
          <w:spacing w:val="-1"/>
          <w:sz w:val="18"/>
        </w:rPr>
        <w:t xml:space="preserve"> </w:t>
      </w:r>
      <w:r>
        <w:rPr>
          <w:sz w:val="18"/>
        </w:rPr>
        <w:t>accounts</w:t>
      </w:r>
      <w:r>
        <w:rPr>
          <w:spacing w:val="-1"/>
          <w:sz w:val="18"/>
        </w:rPr>
        <w:t xml:space="preserve"> </w:t>
      </w:r>
      <w:r>
        <w:rPr>
          <w:sz w:val="18"/>
        </w:rPr>
        <w:t>are</w:t>
      </w:r>
      <w:r>
        <w:rPr>
          <w:spacing w:val="-4"/>
          <w:sz w:val="18"/>
        </w:rPr>
        <w:t xml:space="preserve"> </w:t>
      </w:r>
      <w:r>
        <w:rPr>
          <w:sz w:val="18"/>
        </w:rPr>
        <w:t>as</w:t>
      </w:r>
      <w:r>
        <w:rPr>
          <w:spacing w:val="-2"/>
          <w:sz w:val="18"/>
        </w:rPr>
        <w:t xml:space="preserve"> follows:</w:t>
      </w:r>
    </w:p>
    <w:p w14:paraId="4603A969" w14:textId="77777777" w:rsidR="00AC6F3C" w:rsidRDefault="00AC6F3C">
      <w:pPr>
        <w:pStyle w:val="BodyText"/>
        <w:rPr>
          <w:sz w:val="21"/>
        </w:rPr>
      </w:pPr>
    </w:p>
    <w:tbl>
      <w:tblPr>
        <w:tblW w:w="0" w:type="auto"/>
        <w:tblInd w:w="972" w:type="dxa"/>
        <w:tblLayout w:type="fixed"/>
        <w:tblCellMar>
          <w:left w:w="0" w:type="dxa"/>
          <w:right w:w="0" w:type="dxa"/>
        </w:tblCellMar>
        <w:tblLook w:val="01E0" w:firstRow="1" w:lastRow="1" w:firstColumn="1" w:lastColumn="1" w:noHBand="0" w:noVBand="0"/>
      </w:tblPr>
      <w:tblGrid>
        <w:gridCol w:w="3991"/>
        <w:gridCol w:w="1134"/>
        <w:gridCol w:w="577"/>
        <w:gridCol w:w="528"/>
        <w:gridCol w:w="1134"/>
        <w:gridCol w:w="440"/>
        <w:gridCol w:w="671"/>
      </w:tblGrid>
      <w:tr w:rsidR="00AC6F3C" w14:paraId="57015029" w14:textId="77777777">
        <w:trPr>
          <w:trHeight w:val="876"/>
        </w:trPr>
        <w:tc>
          <w:tcPr>
            <w:tcW w:w="3991" w:type="dxa"/>
            <w:tcBorders>
              <w:top w:val="single" w:sz="6" w:space="0" w:color="000000"/>
              <w:left w:val="single" w:sz="6" w:space="0" w:color="000000"/>
              <w:bottom w:val="single" w:sz="6" w:space="0" w:color="000000"/>
            </w:tcBorders>
            <w:shd w:val="clear" w:color="auto" w:fill="BEBEBE"/>
          </w:tcPr>
          <w:p w14:paraId="158707F3" w14:textId="77777777" w:rsidR="00AC6F3C" w:rsidRDefault="00AC6F3C">
            <w:pPr>
              <w:pStyle w:val="TableParagraph"/>
              <w:rPr>
                <w:rFonts w:ascii="Times New Roman"/>
                <w:sz w:val="18"/>
              </w:rPr>
            </w:pPr>
          </w:p>
        </w:tc>
        <w:tc>
          <w:tcPr>
            <w:tcW w:w="1711" w:type="dxa"/>
            <w:gridSpan w:val="2"/>
            <w:tcBorders>
              <w:top w:val="single" w:sz="6" w:space="0" w:color="000000"/>
              <w:bottom w:val="single" w:sz="6" w:space="0" w:color="000000"/>
            </w:tcBorders>
            <w:shd w:val="clear" w:color="auto" w:fill="BEBEBE"/>
          </w:tcPr>
          <w:p w14:paraId="7848B0D8" w14:textId="77777777" w:rsidR="00AC6F3C" w:rsidRDefault="00570E88">
            <w:pPr>
              <w:pStyle w:val="TableParagraph"/>
              <w:spacing w:before="24" w:line="362" w:lineRule="auto"/>
              <w:ind w:left="678" w:right="25" w:hanging="105"/>
              <w:rPr>
                <w:b/>
                <w:sz w:val="18"/>
              </w:rPr>
            </w:pPr>
            <w:r>
              <w:rPr>
                <w:b/>
                <w:spacing w:val="-4"/>
                <w:sz w:val="18"/>
              </w:rPr>
              <w:t>Consolidated 2023</w:t>
            </w:r>
          </w:p>
          <w:p w14:paraId="17B537D2" w14:textId="77777777" w:rsidR="00AC6F3C" w:rsidRDefault="00570E88">
            <w:pPr>
              <w:pStyle w:val="TableParagraph"/>
              <w:spacing w:line="191" w:lineRule="exact"/>
              <w:ind w:left="634"/>
              <w:rPr>
                <w:b/>
                <w:sz w:val="18"/>
              </w:rPr>
            </w:pPr>
            <w:r>
              <w:rPr>
                <w:b/>
                <w:spacing w:val="-2"/>
                <w:sz w:val="18"/>
              </w:rPr>
              <w:t>$’000</w:t>
            </w:r>
          </w:p>
        </w:tc>
        <w:tc>
          <w:tcPr>
            <w:tcW w:w="528" w:type="dxa"/>
            <w:tcBorders>
              <w:top w:val="single" w:sz="6" w:space="0" w:color="000000"/>
              <w:bottom w:val="single" w:sz="6" w:space="0" w:color="000000"/>
            </w:tcBorders>
            <w:shd w:val="clear" w:color="auto" w:fill="BEBEBE"/>
          </w:tcPr>
          <w:p w14:paraId="1E2B35C1" w14:textId="77777777" w:rsidR="00AC6F3C" w:rsidRDefault="00AC6F3C">
            <w:pPr>
              <w:pStyle w:val="TableParagraph"/>
              <w:spacing w:before="3"/>
              <w:rPr>
                <w:sz w:val="29"/>
              </w:rPr>
            </w:pPr>
          </w:p>
          <w:p w14:paraId="7AB9E502" w14:textId="77777777" w:rsidR="00AC6F3C" w:rsidRDefault="00570E88">
            <w:pPr>
              <w:pStyle w:val="TableParagraph"/>
              <w:ind w:left="86"/>
              <w:rPr>
                <w:b/>
                <w:sz w:val="18"/>
              </w:rPr>
            </w:pPr>
            <w:r>
              <w:rPr>
                <w:b/>
                <w:spacing w:val="-4"/>
                <w:sz w:val="18"/>
              </w:rPr>
              <w:t>2022</w:t>
            </w:r>
          </w:p>
          <w:p w14:paraId="48936AE6" w14:textId="77777777" w:rsidR="00AC6F3C" w:rsidRDefault="00570E88">
            <w:pPr>
              <w:pStyle w:val="TableParagraph"/>
              <w:spacing w:before="90"/>
              <w:ind w:left="42"/>
              <w:rPr>
                <w:b/>
                <w:sz w:val="18"/>
              </w:rPr>
            </w:pPr>
            <w:r>
              <w:rPr>
                <w:b/>
                <w:spacing w:val="-2"/>
                <w:sz w:val="18"/>
              </w:rPr>
              <w:t>$’000</w:t>
            </w:r>
          </w:p>
        </w:tc>
        <w:tc>
          <w:tcPr>
            <w:tcW w:w="1574" w:type="dxa"/>
            <w:gridSpan w:val="2"/>
            <w:tcBorders>
              <w:top w:val="single" w:sz="6" w:space="0" w:color="000000"/>
              <w:bottom w:val="single" w:sz="6" w:space="0" w:color="000000"/>
            </w:tcBorders>
            <w:shd w:val="clear" w:color="auto" w:fill="BEBEBE"/>
          </w:tcPr>
          <w:p w14:paraId="5A78C60E" w14:textId="77777777" w:rsidR="00AC6F3C" w:rsidRDefault="00570E88">
            <w:pPr>
              <w:pStyle w:val="TableParagraph"/>
              <w:spacing w:before="24" w:line="362" w:lineRule="auto"/>
              <w:ind w:left="677" w:firstLine="164"/>
              <w:rPr>
                <w:b/>
                <w:sz w:val="18"/>
              </w:rPr>
            </w:pPr>
            <w:r>
              <w:rPr>
                <w:b/>
                <w:spacing w:val="-2"/>
                <w:sz w:val="18"/>
              </w:rPr>
              <w:t xml:space="preserve">Parent </w:t>
            </w:r>
            <w:r>
              <w:rPr>
                <w:b/>
                <w:spacing w:val="-4"/>
                <w:sz w:val="18"/>
              </w:rPr>
              <w:t>2023</w:t>
            </w:r>
          </w:p>
          <w:p w14:paraId="6652F262" w14:textId="77777777" w:rsidR="00AC6F3C" w:rsidRDefault="00570E88">
            <w:pPr>
              <w:pStyle w:val="TableParagraph"/>
              <w:spacing w:line="191" w:lineRule="exact"/>
              <w:ind w:left="633"/>
              <w:rPr>
                <w:b/>
                <w:sz w:val="18"/>
              </w:rPr>
            </w:pPr>
            <w:r>
              <w:rPr>
                <w:b/>
                <w:spacing w:val="-2"/>
                <w:sz w:val="18"/>
              </w:rPr>
              <w:t>$’000</w:t>
            </w:r>
          </w:p>
        </w:tc>
        <w:tc>
          <w:tcPr>
            <w:tcW w:w="671" w:type="dxa"/>
            <w:tcBorders>
              <w:top w:val="single" w:sz="6" w:space="0" w:color="000000"/>
              <w:bottom w:val="single" w:sz="6" w:space="0" w:color="000000"/>
              <w:right w:val="single" w:sz="6" w:space="0" w:color="000000"/>
            </w:tcBorders>
            <w:shd w:val="clear" w:color="auto" w:fill="BEBEBE"/>
          </w:tcPr>
          <w:p w14:paraId="172977A4" w14:textId="77777777" w:rsidR="00AC6F3C" w:rsidRDefault="00AC6F3C">
            <w:pPr>
              <w:pStyle w:val="TableParagraph"/>
              <w:spacing w:before="3"/>
              <w:rPr>
                <w:sz w:val="29"/>
              </w:rPr>
            </w:pPr>
          </w:p>
          <w:p w14:paraId="2CDF807B" w14:textId="77777777" w:rsidR="00AC6F3C" w:rsidRDefault="00570E88">
            <w:pPr>
              <w:pStyle w:val="TableParagraph"/>
              <w:ind w:left="222"/>
              <w:rPr>
                <w:b/>
                <w:sz w:val="18"/>
              </w:rPr>
            </w:pPr>
            <w:r>
              <w:rPr>
                <w:b/>
                <w:spacing w:val="-4"/>
                <w:sz w:val="18"/>
              </w:rPr>
              <w:t>2022</w:t>
            </w:r>
          </w:p>
          <w:p w14:paraId="1550C77A" w14:textId="77777777" w:rsidR="00AC6F3C" w:rsidRDefault="00570E88">
            <w:pPr>
              <w:pStyle w:val="TableParagraph"/>
              <w:spacing w:before="90"/>
              <w:ind w:left="178"/>
              <w:rPr>
                <w:b/>
                <w:sz w:val="18"/>
              </w:rPr>
            </w:pPr>
            <w:r>
              <w:rPr>
                <w:b/>
                <w:spacing w:val="-2"/>
                <w:sz w:val="18"/>
              </w:rPr>
              <w:t>$’000</w:t>
            </w:r>
          </w:p>
        </w:tc>
      </w:tr>
      <w:tr w:rsidR="00AC6F3C" w14:paraId="2596857A" w14:textId="77777777">
        <w:trPr>
          <w:trHeight w:val="309"/>
        </w:trPr>
        <w:tc>
          <w:tcPr>
            <w:tcW w:w="3991" w:type="dxa"/>
            <w:tcBorders>
              <w:top w:val="single" w:sz="6" w:space="0" w:color="000000"/>
              <w:left w:val="single" w:sz="6" w:space="0" w:color="000000"/>
            </w:tcBorders>
          </w:tcPr>
          <w:p w14:paraId="686D219D" w14:textId="77777777" w:rsidR="00AC6F3C" w:rsidRDefault="00570E88">
            <w:pPr>
              <w:pStyle w:val="TableParagraph"/>
              <w:spacing w:before="54"/>
              <w:ind w:left="37"/>
              <w:rPr>
                <w:b/>
                <w:sz w:val="18"/>
              </w:rPr>
            </w:pPr>
            <w:r>
              <w:rPr>
                <w:b/>
                <w:sz w:val="18"/>
              </w:rPr>
              <w:t>Deferred</w:t>
            </w:r>
            <w:r>
              <w:rPr>
                <w:b/>
                <w:spacing w:val="-12"/>
                <w:sz w:val="18"/>
              </w:rPr>
              <w:t xml:space="preserve"> </w:t>
            </w:r>
            <w:r>
              <w:rPr>
                <w:b/>
                <w:sz w:val="18"/>
              </w:rPr>
              <w:t>tax</w:t>
            </w:r>
            <w:r>
              <w:rPr>
                <w:b/>
                <w:spacing w:val="2"/>
                <w:sz w:val="18"/>
              </w:rPr>
              <w:t xml:space="preserve"> </w:t>
            </w:r>
            <w:r>
              <w:rPr>
                <w:b/>
                <w:spacing w:val="-2"/>
                <w:sz w:val="18"/>
              </w:rPr>
              <w:t>assets</w:t>
            </w:r>
          </w:p>
        </w:tc>
        <w:tc>
          <w:tcPr>
            <w:tcW w:w="1134" w:type="dxa"/>
            <w:tcBorders>
              <w:top w:val="single" w:sz="6" w:space="0" w:color="000000"/>
            </w:tcBorders>
            <w:shd w:val="clear" w:color="auto" w:fill="F1F1F1"/>
          </w:tcPr>
          <w:p w14:paraId="3DAF7361" w14:textId="77777777" w:rsidR="00AC6F3C" w:rsidRDefault="00AC6F3C">
            <w:pPr>
              <w:pStyle w:val="TableParagraph"/>
              <w:rPr>
                <w:rFonts w:ascii="Times New Roman"/>
                <w:sz w:val="18"/>
              </w:rPr>
            </w:pPr>
          </w:p>
        </w:tc>
        <w:tc>
          <w:tcPr>
            <w:tcW w:w="1105" w:type="dxa"/>
            <w:gridSpan w:val="2"/>
            <w:tcBorders>
              <w:top w:val="single" w:sz="6" w:space="0" w:color="000000"/>
            </w:tcBorders>
          </w:tcPr>
          <w:p w14:paraId="0EEA26EF" w14:textId="77777777" w:rsidR="00AC6F3C" w:rsidRDefault="00AC6F3C">
            <w:pPr>
              <w:pStyle w:val="TableParagraph"/>
              <w:rPr>
                <w:rFonts w:ascii="Times New Roman"/>
                <w:sz w:val="18"/>
              </w:rPr>
            </w:pPr>
          </w:p>
        </w:tc>
        <w:tc>
          <w:tcPr>
            <w:tcW w:w="1134" w:type="dxa"/>
            <w:tcBorders>
              <w:top w:val="single" w:sz="6" w:space="0" w:color="000000"/>
            </w:tcBorders>
            <w:shd w:val="clear" w:color="auto" w:fill="F1F1F1"/>
          </w:tcPr>
          <w:p w14:paraId="47E4585E" w14:textId="77777777" w:rsidR="00AC6F3C" w:rsidRDefault="00AC6F3C">
            <w:pPr>
              <w:pStyle w:val="TableParagraph"/>
              <w:rPr>
                <w:rFonts w:ascii="Times New Roman"/>
                <w:sz w:val="18"/>
              </w:rPr>
            </w:pPr>
          </w:p>
        </w:tc>
        <w:tc>
          <w:tcPr>
            <w:tcW w:w="1111" w:type="dxa"/>
            <w:gridSpan w:val="2"/>
            <w:tcBorders>
              <w:top w:val="single" w:sz="6" w:space="0" w:color="000000"/>
              <w:right w:val="single" w:sz="6" w:space="0" w:color="000000"/>
            </w:tcBorders>
          </w:tcPr>
          <w:p w14:paraId="1E1EFB2C" w14:textId="77777777" w:rsidR="00AC6F3C" w:rsidRDefault="00AC6F3C">
            <w:pPr>
              <w:pStyle w:val="TableParagraph"/>
              <w:rPr>
                <w:rFonts w:ascii="Times New Roman"/>
                <w:sz w:val="18"/>
              </w:rPr>
            </w:pPr>
          </w:p>
        </w:tc>
      </w:tr>
      <w:tr w:rsidR="00AC6F3C" w14:paraId="5D867E3C" w14:textId="77777777">
        <w:trPr>
          <w:trHeight w:val="297"/>
        </w:trPr>
        <w:tc>
          <w:tcPr>
            <w:tcW w:w="3991" w:type="dxa"/>
            <w:tcBorders>
              <w:left w:val="single" w:sz="6" w:space="0" w:color="000000"/>
            </w:tcBorders>
          </w:tcPr>
          <w:p w14:paraId="1A8B5F88" w14:textId="77777777" w:rsidR="00AC6F3C" w:rsidRDefault="00570E88">
            <w:pPr>
              <w:pStyle w:val="TableParagraph"/>
              <w:spacing w:before="41"/>
              <w:ind w:left="37"/>
              <w:rPr>
                <w:sz w:val="18"/>
              </w:rPr>
            </w:pPr>
            <w:r>
              <w:rPr>
                <w:sz w:val="18"/>
              </w:rPr>
              <w:t>Balance</w:t>
            </w:r>
            <w:r>
              <w:rPr>
                <w:spacing w:val="5"/>
                <w:sz w:val="18"/>
              </w:rPr>
              <w:t xml:space="preserve"> </w:t>
            </w:r>
            <w:r>
              <w:rPr>
                <w:sz w:val="18"/>
              </w:rPr>
              <w:t>at</w:t>
            </w:r>
            <w:r>
              <w:rPr>
                <w:spacing w:val="-6"/>
                <w:sz w:val="18"/>
              </w:rPr>
              <w:t xml:space="preserve"> </w:t>
            </w:r>
            <w:r>
              <w:rPr>
                <w:sz w:val="18"/>
              </w:rPr>
              <w:t>the</w:t>
            </w:r>
            <w:r>
              <w:rPr>
                <w:spacing w:val="6"/>
                <w:sz w:val="18"/>
              </w:rPr>
              <w:t xml:space="preserve"> </w:t>
            </w:r>
            <w:r>
              <w:rPr>
                <w:sz w:val="18"/>
              </w:rPr>
              <w:t>beginning</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financial</w:t>
            </w:r>
            <w:r>
              <w:rPr>
                <w:spacing w:val="6"/>
                <w:sz w:val="18"/>
              </w:rPr>
              <w:t xml:space="preserve"> </w:t>
            </w:r>
            <w:r>
              <w:rPr>
                <w:spacing w:val="-4"/>
                <w:sz w:val="18"/>
              </w:rPr>
              <w:t>year</w:t>
            </w:r>
          </w:p>
        </w:tc>
        <w:tc>
          <w:tcPr>
            <w:tcW w:w="1134" w:type="dxa"/>
            <w:shd w:val="clear" w:color="auto" w:fill="F1F1F1"/>
          </w:tcPr>
          <w:p w14:paraId="6FDC9F72" w14:textId="77777777" w:rsidR="00AC6F3C" w:rsidRDefault="00570E88">
            <w:pPr>
              <w:pStyle w:val="TableParagraph"/>
              <w:spacing w:before="41"/>
              <w:ind w:right="35"/>
              <w:jc w:val="right"/>
              <w:rPr>
                <w:sz w:val="18"/>
              </w:rPr>
            </w:pPr>
            <w:r>
              <w:rPr>
                <w:spacing w:val="-2"/>
                <w:sz w:val="18"/>
              </w:rPr>
              <w:t>4,129</w:t>
            </w:r>
          </w:p>
        </w:tc>
        <w:tc>
          <w:tcPr>
            <w:tcW w:w="1105" w:type="dxa"/>
            <w:gridSpan w:val="2"/>
          </w:tcPr>
          <w:p w14:paraId="7DDDDDB5" w14:textId="77777777" w:rsidR="00AC6F3C" w:rsidRDefault="00570E88">
            <w:pPr>
              <w:pStyle w:val="TableParagraph"/>
              <w:spacing w:before="41"/>
              <w:ind w:left="619"/>
              <w:rPr>
                <w:sz w:val="18"/>
              </w:rPr>
            </w:pPr>
            <w:r>
              <w:rPr>
                <w:spacing w:val="-2"/>
                <w:sz w:val="18"/>
              </w:rPr>
              <w:t>1,834</w:t>
            </w:r>
          </w:p>
        </w:tc>
        <w:tc>
          <w:tcPr>
            <w:tcW w:w="1134" w:type="dxa"/>
            <w:shd w:val="clear" w:color="auto" w:fill="F1F1F1"/>
          </w:tcPr>
          <w:p w14:paraId="438F6E5A" w14:textId="77777777" w:rsidR="00AC6F3C" w:rsidRDefault="00570E88">
            <w:pPr>
              <w:pStyle w:val="TableParagraph"/>
              <w:spacing w:before="41"/>
              <w:ind w:right="36"/>
              <w:jc w:val="right"/>
              <w:rPr>
                <w:sz w:val="18"/>
              </w:rPr>
            </w:pPr>
            <w:r>
              <w:rPr>
                <w:w w:val="99"/>
                <w:sz w:val="18"/>
              </w:rPr>
              <w:t>-</w:t>
            </w:r>
          </w:p>
        </w:tc>
        <w:tc>
          <w:tcPr>
            <w:tcW w:w="1111" w:type="dxa"/>
            <w:gridSpan w:val="2"/>
            <w:tcBorders>
              <w:right w:val="single" w:sz="6" w:space="0" w:color="000000"/>
            </w:tcBorders>
          </w:tcPr>
          <w:p w14:paraId="70894770" w14:textId="77777777" w:rsidR="00AC6F3C" w:rsidRDefault="00570E88">
            <w:pPr>
              <w:pStyle w:val="TableParagraph"/>
              <w:spacing w:before="41"/>
              <w:ind w:right="22"/>
              <w:jc w:val="right"/>
              <w:rPr>
                <w:sz w:val="18"/>
              </w:rPr>
            </w:pPr>
            <w:r>
              <w:rPr>
                <w:w w:val="99"/>
                <w:sz w:val="18"/>
              </w:rPr>
              <w:t>-</w:t>
            </w:r>
          </w:p>
        </w:tc>
      </w:tr>
      <w:tr w:rsidR="00AC6F3C" w14:paraId="383ABC94" w14:textId="77777777">
        <w:trPr>
          <w:trHeight w:val="297"/>
        </w:trPr>
        <w:tc>
          <w:tcPr>
            <w:tcW w:w="3991" w:type="dxa"/>
            <w:tcBorders>
              <w:left w:val="single" w:sz="6" w:space="0" w:color="000000"/>
            </w:tcBorders>
          </w:tcPr>
          <w:p w14:paraId="0BA5A907" w14:textId="77777777" w:rsidR="00AC6F3C" w:rsidRDefault="00570E88">
            <w:pPr>
              <w:pStyle w:val="TableParagraph"/>
              <w:spacing w:before="41"/>
              <w:ind w:left="37"/>
              <w:rPr>
                <w:sz w:val="18"/>
              </w:rPr>
            </w:pPr>
            <w:r>
              <w:rPr>
                <w:sz w:val="18"/>
              </w:rPr>
              <w:t>Charge</w:t>
            </w:r>
            <w:r>
              <w:rPr>
                <w:spacing w:val="-1"/>
                <w:sz w:val="18"/>
              </w:rPr>
              <w:t xml:space="preserve"> </w:t>
            </w:r>
            <w:r>
              <w:rPr>
                <w:sz w:val="18"/>
              </w:rPr>
              <w:t>to</w:t>
            </w:r>
            <w:r>
              <w:rPr>
                <w:spacing w:val="1"/>
                <w:sz w:val="18"/>
              </w:rPr>
              <w:t xml:space="preserve"> </w:t>
            </w:r>
            <w:r>
              <w:rPr>
                <w:sz w:val="18"/>
              </w:rPr>
              <w:t>profit</w:t>
            </w:r>
            <w:r>
              <w:rPr>
                <w:spacing w:val="-9"/>
                <w:sz w:val="18"/>
              </w:rPr>
              <w:t xml:space="preserve"> </w:t>
            </w:r>
            <w:r>
              <w:rPr>
                <w:sz w:val="18"/>
              </w:rPr>
              <w:t>or</w:t>
            </w:r>
            <w:r>
              <w:rPr>
                <w:spacing w:val="-3"/>
                <w:sz w:val="18"/>
              </w:rPr>
              <w:t xml:space="preserve"> </w:t>
            </w:r>
            <w:r>
              <w:rPr>
                <w:spacing w:val="-2"/>
                <w:sz w:val="18"/>
              </w:rPr>
              <w:t>loss:</w:t>
            </w:r>
          </w:p>
        </w:tc>
        <w:tc>
          <w:tcPr>
            <w:tcW w:w="1134" w:type="dxa"/>
            <w:shd w:val="clear" w:color="auto" w:fill="F1F1F1"/>
          </w:tcPr>
          <w:p w14:paraId="6D52343A" w14:textId="77777777" w:rsidR="00AC6F3C" w:rsidRDefault="00AC6F3C">
            <w:pPr>
              <w:pStyle w:val="TableParagraph"/>
              <w:rPr>
                <w:rFonts w:ascii="Times New Roman"/>
                <w:sz w:val="18"/>
              </w:rPr>
            </w:pPr>
          </w:p>
        </w:tc>
        <w:tc>
          <w:tcPr>
            <w:tcW w:w="1105" w:type="dxa"/>
            <w:gridSpan w:val="2"/>
          </w:tcPr>
          <w:p w14:paraId="05AA883D" w14:textId="77777777" w:rsidR="00AC6F3C" w:rsidRDefault="00AC6F3C">
            <w:pPr>
              <w:pStyle w:val="TableParagraph"/>
              <w:rPr>
                <w:rFonts w:ascii="Times New Roman"/>
                <w:sz w:val="18"/>
              </w:rPr>
            </w:pPr>
          </w:p>
        </w:tc>
        <w:tc>
          <w:tcPr>
            <w:tcW w:w="1134" w:type="dxa"/>
            <w:shd w:val="clear" w:color="auto" w:fill="F1F1F1"/>
          </w:tcPr>
          <w:p w14:paraId="7A3946AD" w14:textId="77777777" w:rsidR="00AC6F3C" w:rsidRDefault="00AC6F3C">
            <w:pPr>
              <w:pStyle w:val="TableParagraph"/>
              <w:rPr>
                <w:rFonts w:ascii="Times New Roman"/>
                <w:sz w:val="18"/>
              </w:rPr>
            </w:pPr>
          </w:p>
        </w:tc>
        <w:tc>
          <w:tcPr>
            <w:tcW w:w="1111" w:type="dxa"/>
            <w:gridSpan w:val="2"/>
            <w:tcBorders>
              <w:right w:val="single" w:sz="6" w:space="0" w:color="000000"/>
            </w:tcBorders>
          </w:tcPr>
          <w:p w14:paraId="025955BC" w14:textId="77777777" w:rsidR="00AC6F3C" w:rsidRDefault="00AC6F3C">
            <w:pPr>
              <w:pStyle w:val="TableParagraph"/>
              <w:rPr>
                <w:rFonts w:ascii="Times New Roman"/>
                <w:sz w:val="18"/>
              </w:rPr>
            </w:pPr>
          </w:p>
        </w:tc>
      </w:tr>
      <w:tr w:rsidR="00AC6F3C" w14:paraId="49AD631B" w14:textId="77777777">
        <w:trPr>
          <w:trHeight w:val="297"/>
        </w:trPr>
        <w:tc>
          <w:tcPr>
            <w:tcW w:w="3991" w:type="dxa"/>
            <w:tcBorders>
              <w:left w:val="single" w:sz="6" w:space="0" w:color="000000"/>
            </w:tcBorders>
          </w:tcPr>
          <w:p w14:paraId="406144D9" w14:textId="77777777" w:rsidR="00AC6F3C" w:rsidRDefault="00570E88">
            <w:pPr>
              <w:pStyle w:val="TableParagraph"/>
              <w:spacing w:before="41"/>
              <w:ind w:left="37"/>
              <w:rPr>
                <w:sz w:val="18"/>
              </w:rPr>
            </w:pPr>
            <w:r>
              <w:rPr>
                <w:sz w:val="18"/>
              </w:rPr>
              <w:t>-</w:t>
            </w:r>
            <w:r>
              <w:rPr>
                <w:spacing w:val="76"/>
                <w:sz w:val="18"/>
              </w:rPr>
              <w:t xml:space="preserve"> </w:t>
            </w:r>
            <w:r>
              <w:rPr>
                <w:sz w:val="18"/>
              </w:rPr>
              <w:t>Actuarial</w:t>
            </w:r>
            <w:r>
              <w:rPr>
                <w:spacing w:val="-4"/>
                <w:sz w:val="18"/>
              </w:rPr>
              <w:t xml:space="preserve"> </w:t>
            </w:r>
            <w:r>
              <w:rPr>
                <w:spacing w:val="-2"/>
                <w:sz w:val="18"/>
              </w:rPr>
              <w:t>provisions</w:t>
            </w:r>
          </w:p>
        </w:tc>
        <w:tc>
          <w:tcPr>
            <w:tcW w:w="1134" w:type="dxa"/>
            <w:shd w:val="clear" w:color="auto" w:fill="F1F1F1"/>
          </w:tcPr>
          <w:p w14:paraId="6E9B0375" w14:textId="77777777" w:rsidR="00AC6F3C" w:rsidRDefault="00570E88">
            <w:pPr>
              <w:pStyle w:val="TableParagraph"/>
              <w:spacing w:before="41"/>
              <w:ind w:right="35"/>
              <w:jc w:val="right"/>
              <w:rPr>
                <w:sz w:val="18"/>
              </w:rPr>
            </w:pPr>
            <w:r>
              <w:rPr>
                <w:spacing w:val="-5"/>
                <w:sz w:val="18"/>
              </w:rPr>
              <w:t>72</w:t>
            </w:r>
          </w:p>
        </w:tc>
        <w:tc>
          <w:tcPr>
            <w:tcW w:w="1105" w:type="dxa"/>
            <w:gridSpan w:val="2"/>
          </w:tcPr>
          <w:p w14:paraId="4BE09C69" w14:textId="77777777" w:rsidR="00AC6F3C" w:rsidRDefault="00570E88">
            <w:pPr>
              <w:pStyle w:val="TableParagraph"/>
              <w:spacing w:before="41"/>
              <w:ind w:left="648"/>
              <w:rPr>
                <w:sz w:val="18"/>
              </w:rPr>
            </w:pPr>
            <w:r>
              <w:rPr>
                <w:spacing w:val="-2"/>
                <w:sz w:val="18"/>
              </w:rPr>
              <w:t>(706)</w:t>
            </w:r>
          </w:p>
        </w:tc>
        <w:tc>
          <w:tcPr>
            <w:tcW w:w="1134" w:type="dxa"/>
            <w:shd w:val="clear" w:color="auto" w:fill="F1F1F1"/>
          </w:tcPr>
          <w:p w14:paraId="02DD3A32" w14:textId="77777777" w:rsidR="00AC6F3C" w:rsidRDefault="00570E88">
            <w:pPr>
              <w:pStyle w:val="TableParagraph"/>
              <w:spacing w:before="41"/>
              <w:ind w:right="36"/>
              <w:jc w:val="right"/>
              <w:rPr>
                <w:sz w:val="18"/>
              </w:rPr>
            </w:pPr>
            <w:r>
              <w:rPr>
                <w:w w:val="99"/>
                <w:sz w:val="18"/>
              </w:rPr>
              <w:t>-</w:t>
            </w:r>
          </w:p>
        </w:tc>
        <w:tc>
          <w:tcPr>
            <w:tcW w:w="1111" w:type="dxa"/>
            <w:gridSpan w:val="2"/>
            <w:tcBorders>
              <w:right w:val="single" w:sz="6" w:space="0" w:color="000000"/>
            </w:tcBorders>
          </w:tcPr>
          <w:p w14:paraId="7C0E3FAA" w14:textId="77777777" w:rsidR="00AC6F3C" w:rsidRDefault="00570E88">
            <w:pPr>
              <w:pStyle w:val="TableParagraph"/>
              <w:spacing w:before="41"/>
              <w:ind w:right="22"/>
              <w:jc w:val="right"/>
              <w:rPr>
                <w:sz w:val="18"/>
              </w:rPr>
            </w:pPr>
            <w:r>
              <w:rPr>
                <w:w w:val="99"/>
                <w:sz w:val="18"/>
              </w:rPr>
              <w:t>-</w:t>
            </w:r>
          </w:p>
        </w:tc>
      </w:tr>
      <w:tr w:rsidR="00AC6F3C" w14:paraId="4C5EC536" w14:textId="77777777">
        <w:trPr>
          <w:trHeight w:val="297"/>
        </w:trPr>
        <w:tc>
          <w:tcPr>
            <w:tcW w:w="3991" w:type="dxa"/>
            <w:tcBorders>
              <w:left w:val="single" w:sz="6" w:space="0" w:color="000000"/>
            </w:tcBorders>
          </w:tcPr>
          <w:p w14:paraId="1BBFE771" w14:textId="77777777" w:rsidR="00AC6F3C" w:rsidRDefault="00570E88">
            <w:pPr>
              <w:pStyle w:val="TableParagraph"/>
              <w:spacing w:before="41"/>
              <w:ind w:left="37"/>
              <w:rPr>
                <w:sz w:val="18"/>
              </w:rPr>
            </w:pPr>
            <w:r>
              <w:rPr>
                <w:sz w:val="18"/>
              </w:rPr>
              <w:t>-</w:t>
            </w:r>
            <w:r>
              <w:rPr>
                <w:spacing w:val="66"/>
                <w:w w:val="150"/>
                <w:sz w:val="18"/>
              </w:rPr>
              <w:t xml:space="preserve"> </w:t>
            </w:r>
            <w:r>
              <w:rPr>
                <w:sz w:val="18"/>
              </w:rPr>
              <w:t>Investment</w:t>
            </w:r>
            <w:r>
              <w:rPr>
                <w:spacing w:val="-9"/>
                <w:sz w:val="18"/>
              </w:rPr>
              <w:t xml:space="preserve"> </w:t>
            </w:r>
            <w:r>
              <w:rPr>
                <w:spacing w:val="-2"/>
                <w:sz w:val="18"/>
              </w:rPr>
              <w:t>income</w:t>
            </w:r>
          </w:p>
        </w:tc>
        <w:tc>
          <w:tcPr>
            <w:tcW w:w="1134" w:type="dxa"/>
            <w:shd w:val="clear" w:color="auto" w:fill="F1F1F1"/>
          </w:tcPr>
          <w:p w14:paraId="2C1E8B5B" w14:textId="77777777" w:rsidR="00AC6F3C" w:rsidRDefault="00570E88">
            <w:pPr>
              <w:pStyle w:val="TableParagraph"/>
              <w:spacing w:before="41"/>
              <w:ind w:right="30"/>
              <w:jc w:val="right"/>
              <w:rPr>
                <w:sz w:val="18"/>
              </w:rPr>
            </w:pPr>
            <w:r>
              <w:rPr>
                <w:spacing w:val="-2"/>
                <w:sz w:val="18"/>
              </w:rPr>
              <w:t>(2,579)</w:t>
            </w:r>
          </w:p>
        </w:tc>
        <w:tc>
          <w:tcPr>
            <w:tcW w:w="1105" w:type="dxa"/>
            <w:gridSpan w:val="2"/>
          </w:tcPr>
          <w:p w14:paraId="2AD4E978" w14:textId="77777777" w:rsidR="00AC6F3C" w:rsidRDefault="00570E88">
            <w:pPr>
              <w:pStyle w:val="TableParagraph"/>
              <w:spacing w:before="41"/>
              <w:ind w:left="619"/>
              <w:rPr>
                <w:sz w:val="18"/>
              </w:rPr>
            </w:pPr>
            <w:r>
              <w:rPr>
                <w:spacing w:val="-2"/>
                <w:sz w:val="18"/>
              </w:rPr>
              <w:t>2,970</w:t>
            </w:r>
          </w:p>
        </w:tc>
        <w:tc>
          <w:tcPr>
            <w:tcW w:w="1134" w:type="dxa"/>
            <w:shd w:val="clear" w:color="auto" w:fill="F1F1F1"/>
          </w:tcPr>
          <w:p w14:paraId="450D580A" w14:textId="77777777" w:rsidR="00AC6F3C" w:rsidRDefault="00570E88">
            <w:pPr>
              <w:pStyle w:val="TableParagraph"/>
              <w:spacing w:before="41"/>
              <w:ind w:right="36"/>
              <w:jc w:val="right"/>
              <w:rPr>
                <w:sz w:val="18"/>
              </w:rPr>
            </w:pPr>
            <w:r>
              <w:rPr>
                <w:w w:val="99"/>
                <w:sz w:val="18"/>
              </w:rPr>
              <w:t>-</w:t>
            </w:r>
          </w:p>
        </w:tc>
        <w:tc>
          <w:tcPr>
            <w:tcW w:w="1111" w:type="dxa"/>
            <w:gridSpan w:val="2"/>
            <w:tcBorders>
              <w:right w:val="single" w:sz="6" w:space="0" w:color="000000"/>
            </w:tcBorders>
          </w:tcPr>
          <w:p w14:paraId="2BF7615C" w14:textId="77777777" w:rsidR="00AC6F3C" w:rsidRDefault="00570E88">
            <w:pPr>
              <w:pStyle w:val="TableParagraph"/>
              <w:spacing w:before="41"/>
              <w:ind w:right="22"/>
              <w:jc w:val="right"/>
              <w:rPr>
                <w:sz w:val="18"/>
              </w:rPr>
            </w:pPr>
            <w:r>
              <w:rPr>
                <w:w w:val="99"/>
                <w:sz w:val="18"/>
              </w:rPr>
              <w:t>-</w:t>
            </w:r>
          </w:p>
        </w:tc>
      </w:tr>
      <w:tr w:rsidR="00AC6F3C" w14:paraId="7C1FD0EB" w14:textId="77777777">
        <w:trPr>
          <w:trHeight w:val="297"/>
        </w:trPr>
        <w:tc>
          <w:tcPr>
            <w:tcW w:w="3991" w:type="dxa"/>
            <w:tcBorders>
              <w:left w:val="single" w:sz="6" w:space="0" w:color="000000"/>
            </w:tcBorders>
          </w:tcPr>
          <w:p w14:paraId="6AC08AB2" w14:textId="77777777" w:rsidR="00AC6F3C" w:rsidRDefault="00570E88">
            <w:pPr>
              <w:pStyle w:val="TableParagraph"/>
              <w:spacing w:before="41"/>
              <w:ind w:left="37"/>
              <w:rPr>
                <w:sz w:val="18"/>
              </w:rPr>
            </w:pPr>
            <w:r>
              <w:rPr>
                <w:sz w:val="18"/>
              </w:rPr>
              <w:t>-</w:t>
            </w:r>
            <w:r>
              <w:rPr>
                <w:spacing w:val="66"/>
                <w:w w:val="150"/>
                <w:sz w:val="18"/>
              </w:rPr>
              <w:t xml:space="preserve"> </w:t>
            </w:r>
            <w:r>
              <w:rPr>
                <w:sz w:val="18"/>
              </w:rPr>
              <w:t>Income</w:t>
            </w:r>
            <w:r>
              <w:rPr>
                <w:spacing w:val="2"/>
                <w:sz w:val="18"/>
              </w:rPr>
              <w:t xml:space="preserve"> </w:t>
            </w:r>
            <w:r>
              <w:rPr>
                <w:spacing w:val="-2"/>
                <w:sz w:val="18"/>
              </w:rPr>
              <w:t>losses</w:t>
            </w:r>
          </w:p>
        </w:tc>
        <w:tc>
          <w:tcPr>
            <w:tcW w:w="1134" w:type="dxa"/>
            <w:shd w:val="clear" w:color="auto" w:fill="F1F1F1"/>
          </w:tcPr>
          <w:p w14:paraId="7795C5F2" w14:textId="77777777" w:rsidR="00AC6F3C" w:rsidRDefault="00570E88">
            <w:pPr>
              <w:pStyle w:val="TableParagraph"/>
              <w:spacing w:before="41"/>
              <w:ind w:right="35"/>
              <w:jc w:val="right"/>
              <w:rPr>
                <w:sz w:val="18"/>
              </w:rPr>
            </w:pPr>
            <w:r>
              <w:rPr>
                <w:w w:val="99"/>
                <w:sz w:val="18"/>
              </w:rPr>
              <w:t>-</w:t>
            </w:r>
          </w:p>
        </w:tc>
        <w:tc>
          <w:tcPr>
            <w:tcW w:w="1105" w:type="dxa"/>
            <w:gridSpan w:val="2"/>
          </w:tcPr>
          <w:p w14:paraId="47D7DBB6" w14:textId="77777777" w:rsidR="00AC6F3C" w:rsidRDefault="00570E88">
            <w:pPr>
              <w:pStyle w:val="TableParagraph"/>
              <w:spacing w:before="41"/>
              <w:ind w:right="21"/>
              <w:jc w:val="right"/>
              <w:rPr>
                <w:sz w:val="18"/>
              </w:rPr>
            </w:pPr>
            <w:r>
              <w:rPr>
                <w:w w:val="99"/>
                <w:sz w:val="18"/>
              </w:rPr>
              <w:t>-</w:t>
            </w:r>
          </w:p>
        </w:tc>
        <w:tc>
          <w:tcPr>
            <w:tcW w:w="1134" w:type="dxa"/>
            <w:shd w:val="clear" w:color="auto" w:fill="F1F1F1"/>
          </w:tcPr>
          <w:p w14:paraId="3F14A644" w14:textId="77777777" w:rsidR="00AC6F3C" w:rsidRDefault="00570E88">
            <w:pPr>
              <w:pStyle w:val="TableParagraph"/>
              <w:spacing w:before="41"/>
              <w:ind w:right="36"/>
              <w:jc w:val="right"/>
              <w:rPr>
                <w:sz w:val="18"/>
              </w:rPr>
            </w:pPr>
            <w:r>
              <w:rPr>
                <w:w w:val="99"/>
                <w:sz w:val="18"/>
              </w:rPr>
              <w:t>-</w:t>
            </w:r>
          </w:p>
        </w:tc>
        <w:tc>
          <w:tcPr>
            <w:tcW w:w="1111" w:type="dxa"/>
            <w:gridSpan w:val="2"/>
            <w:tcBorders>
              <w:right w:val="single" w:sz="6" w:space="0" w:color="000000"/>
            </w:tcBorders>
          </w:tcPr>
          <w:p w14:paraId="163B4DAE" w14:textId="77777777" w:rsidR="00AC6F3C" w:rsidRDefault="00570E88">
            <w:pPr>
              <w:pStyle w:val="TableParagraph"/>
              <w:spacing w:before="41"/>
              <w:ind w:right="22"/>
              <w:jc w:val="right"/>
              <w:rPr>
                <w:sz w:val="18"/>
              </w:rPr>
            </w:pPr>
            <w:r>
              <w:rPr>
                <w:w w:val="99"/>
                <w:sz w:val="18"/>
              </w:rPr>
              <w:t>-</w:t>
            </w:r>
          </w:p>
        </w:tc>
      </w:tr>
      <w:tr w:rsidR="00AC6F3C" w14:paraId="050CB43D" w14:textId="77777777">
        <w:trPr>
          <w:trHeight w:val="566"/>
        </w:trPr>
        <w:tc>
          <w:tcPr>
            <w:tcW w:w="3991" w:type="dxa"/>
            <w:tcBorders>
              <w:left w:val="single" w:sz="6" w:space="0" w:color="000000"/>
              <w:bottom w:val="single" w:sz="6" w:space="0" w:color="000000"/>
            </w:tcBorders>
          </w:tcPr>
          <w:p w14:paraId="6B9EB6DD" w14:textId="77777777" w:rsidR="00AC6F3C" w:rsidRDefault="00570E88">
            <w:pPr>
              <w:pStyle w:val="TableParagraph"/>
              <w:spacing w:before="41"/>
              <w:ind w:left="37"/>
              <w:rPr>
                <w:sz w:val="18"/>
              </w:rPr>
            </w:pPr>
            <w:r>
              <w:rPr>
                <w:sz w:val="18"/>
              </w:rPr>
              <w:t>-</w:t>
            </w:r>
            <w:r>
              <w:rPr>
                <w:spacing w:val="58"/>
                <w:w w:val="150"/>
                <w:sz w:val="18"/>
              </w:rPr>
              <w:t xml:space="preserve"> </w:t>
            </w:r>
            <w:r>
              <w:rPr>
                <w:spacing w:val="-2"/>
                <w:sz w:val="18"/>
              </w:rPr>
              <w:t>Other</w:t>
            </w:r>
          </w:p>
        </w:tc>
        <w:tc>
          <w:tcPr>
            <w:tcW w:w="1134" w:type="dxa"/>
            <w:tcBorders>
              <w:bottom w:val="single" w:sz="6" w:space="0" w:color="000000"/>
            </w:tcBorders>
            <w:shd w:val="clear" w:color="auto" w:fill="F1F1F1"/>
          </w:tcPr>
          <w:p w14:paraId="42DA20EA" w14:textId="77777777" w:rsidR="00AC6F3C" w:rsidRDefault="00570E88">
            <w:pPr>
              <w:pStyle w:val="TableParagraph"/>
              <w:spacing w:before="41"/>
              <w:ind w:right="40"/>
              <w:jc w:val="right"/>
              <w:rPr>
                <w:sz w:val="18"/>
              </w:rPr>
            </w:pPr>
            <w:r>
              <w:rPr>
                <w:w w:val="99"/>
                <w:sz w:val="18"/>
              </w:rPr>
              <w:t>6</w:t>
            </w:r>
          </w:p>
        </w:tc>
        <w:tc>
          <w:tcPr>
            <w:tcW w:w="1105" w:type="dxa"/>
            <w:gridSpan w:val="2"/>
            <w:tcBorders>
              <w:bottom w:val="single" w:sz="6" w:space="0" w:color="000000"/>
            </w:tcBorders>
          </w:tcPr>
          <w:p w14:paraId="452D88C0" w14:textId="77777777" w:rsidR="00AC6F3C" w:rsidRDefault="00570E88">
            <w:pPr>
              <w:pStyle w:val="TableParagraph"/>
              <w:spacing w:before="41"/>
              <w:ind w:right="21"/>
              <w:jc w:val="right"/>
              <w:rPr>
                <w:sz w:val="18"/>
              </w:rPr>
            </w:pPr>
            <w:r>
              <w:rPr>
                <w:spacing w:val="-5"/>
                <w:sz w:val="18"/>
              </w:rPr>
              <w:t>31</w:t>
            </w:r>
          </w:p>
        </w:tc>
        <w:tc>
          <w:tcPr>
            <w:tcW w:w="1134" w:type="dxa"/>
            <w:tcBorders>
              <w:bottom w:val="single" w:sz="6" w:space="0" w:color="000000"/>
            </w:tcBorders>
            <w:shd w:val="clear" w:color="auto" w:fill="F1F1F1"/>
          </w:tcPr>
          <w:p w14:paraId="7EE3FC1F" w14:textId="77777777" w:rsidR="00AC6F3C" w:rsidRDefault="00570E88">
            <w:pPr>
              <w:pStyle w:val="TableParagraph"/>
              <w:spacing w:before="41"/>
              <w:ind w:right="36"/>
              <w:jc w:val="right"/>
              <w:rPr>
                <w:sz w:val="18"/>
              </w:rPr>
            </w:pPr>
            <w:r>
              <w:rPr>
                <w:w w:val="99"/>
                <w:sz w:val="18"/>
              </w:rPr>
              <w:t>-</w:t>
            </w:r>
          </w:p>
        </w:tc>
        <w:tc>
          <w:tcPr>
            <w:tcW w:w="1111" w:type="dxa"/>
            <w:gridSpan w:val="2"/>
            <w:tcBorders>
              <w:bottom w:val="single" w:sz="6" w:space="0" w:color="000000"/>
              <w:right w:val="single" w:sz="6" w:space="0" w:color="000000"/>
            </w:tcBorders>
          </w:tcPr>
          <w:p w14:paraId="0B4C3151" w14:textId="77777777" w:rsidR="00AC6F3C" w:rsidRDefault="00570E88">
            <w:pPr>
              <w:pStyle w:val="TableParagraph"/>
              <w:spacing w:before="41"/>
              <w:ind w:right="22"/>
              <w:jc w:val="right"/>
              <w:rPr>
                <w:sz w:val="18"/>
              </w:rPr>
            </w:pPr>
            <w:r>
              <w:rPr>
                <w:w w:val="99"/>
                <w:sz w:val="18"/>
              </w:rPr>
              <w:t>-</w:t>
            </w:r>
          </w:p>
        </w:tc>
      </w:tr>
      <w:tr w:rsidR="00AC6F3C" w14:paraId="08672998" w14:textId="77777777">
        <w:trPr>
          <w:trHeight w:val="475"/>
        </w:trPr>
        <w:tc>
          <w:tcPr>
            <w:tcW w:w="3991" w:type="dxa"/>
            <w:tcBorders>
              <w:top w:val="single" w:sz="6" w:space="0" w:color="000000"/>
              <w:left w:val="single" w:sz="6" w:space="0" w:color="000000"/>
              <w:bottom w:val="single" w:sz="6" w:space="0" w:color="000000"/>
            </w:tcBorders>
            <w:shd w:val="clear" w:color="auto" w:fill="BEBEBE"/>
          </w:tcPr>
          <w:p w14:paraId="536B4A65" w14:textId="77777777" w:rsidR="00AC6F3C" w:rsidRDefault="00570E88">
            <w:pPr>
              <w:pStyle w:val="TableParagraph"/>
              <w:spacing w:line="202" w:lineRule="exact"/>
              <w:ind w:left="37"/>
              <w:rPr>
                <w:b/>
                <w:sz w:val="18"/>
              </w:rPr>
            </w:pPr>
            <w:r>
              <w:rPr>
                <w:b/>
                <w:sz w:val="18"/>
              </w:rPr>
              <w:t>Net</w:t>
            </w:r>
            <w:r>
              <w:rPr>
                <w:b/>
                <w:spacing w:val="-7"/>
                <w:sz w:val="18"/>
              </w:rPr>
              <w:t xml:space="preserve"> </w:t>
            </w:r>
            <w:r>
              <w:rPr>
                <w:b/>
                <w:sz w:val="18"/>
              </w:rPr>
              <w:t>deferred</w:t>
            </w:r>
            <w:r>
              <w:rPr>
                <w:b/>
                <w:spacing w:val="-12"/>
                <w:sz w:val="18"/>
              </w:rPr>
              <w:t xml:space="preserve"> </w:t>
            </w:r>
            <w:r>
              <w:rPr>
                <w:b/>
                <w:sz w:val="18"/>
              </w:rPr>
              <w:t>tax</w:t>
            </w:r>
            <w:r>
              <w:rPr>
                <w:b/>
                <w:spacing w:val="-1"/>
                <w:sz w:val="18"/>
              </w:rPr>
              <w:t xml:space="preserve"> </w:t>
            </w:r>
            <w:r>
              <w:rPr>
                <w:b/>
                <w:sz w:val="18"/>
              </w:rPr>
              <w:t>asset</w:t>
            </w:r>
            <w:r>
              <w:rPr>
                <w:b/>
                <w:spacing w:val="-7"/>
                <w:sz w:val="18"/>
              </w:rPr>
              <w:t xml:space="preserve"> </w:t>
            </w:r>
            <w:r>
              <w:rPr>
                <w:b/>
                <w:sz w:val="18"/>
              </w:rPr>
              <w:t>at</w:t>
            </w:r>
            <w:r>
              <w:rPr>
                <w:b/>
                <w:spacing w:val="-6"/>
                <w:sz w:val="18"/>
              </w:rPr>
              <w:t xml:space="preserve"> </w:t>
            </w:r>
            <w:r>
              <w:rPr>
                <w:b/>
                <w:sz w:val="18"/>
              </w:rPr>
              <w:t>end</w:t>
            </w:r>
            <w:r>
              <w:rPr>
                <w:b/>
                <w:spacing w:val="-12"/>
                <w:sz w:val="18"/>
              </w:rPr>
              <w:t xml:space="preserve"> </w:t>
            </w:r>
            <w:r>
              <w:rPr>
                <w:b/>
                <w:sz w:val="18"/>
              </w:rPr>
              <w:t>of</w:t>
            </w:r>
            <w:r>
              <w:rPr>
                <w:b/>
                <w:spacing w:val="-6"/>
                <w:sz w:val="18"/>
              </w:rPr>
              <w:t xml:space="preserve"> </w:t>
            </w:r>
            <w:r>
              <w:rPr>
                <w:b/>
                <w:sz w:val="18"/>
              </w:rPr>
              <w:t>the</w:t>
            </w:r>
            <w:r>
              <w:rPr>
                <w:b/>
                <w:spacing w:val="-2"/>
                <w:sz w:val="18"/>
              </w:rPr>
              <w:t xml:space="preserve"> financial</w:t>
            </w:r>
          </w:p>
          <w:p w14:paraId="5611F469" w14:textId="77777777" w:rsidR="00AC6F3C" w:rsidRDefault="00570E88">
            <w:pPr>
              <w:pStyle w:val="TableParagraph"/>
              <w:spacing w:before="30"/>
              <w:ind w:left="37"/>
              <w:rPr>
                <w:b/>
                <w:sz w:val="18"/>
              </w:rPr>
            </w:pPr>
            <w:r>
              <w:rPr>
                <w:b/>
                <w:spacing w:val="-4"/>
                <w:sz w:val="18"/>
              </w:rPr>
              <w:t>year</w:t>
            </w:r>
          </w:p>
        </w:tc>
        <w:tc>
          <w:tcPr>
            <w:tcW w:w="1711" w:type="dxa"/>
            <w:gridSpan w:val="2"/>
            <w:tcBorders>
              <w:top w:val="single" w:sz="6" w:space="0" w:color="000000"/>
              <w:bottom w:val="single" w:sz="6" w:space="0" w:color="000000"/>
            </w:tcBorders>
            <w:shd w:val="clear" w:color="auto" w:fill="BEBEBE"/>
          </w:tcPr>
          <w:p w14:paraId="09DA3352" w14:textId="77777777" w:rsidR="00AC6F3C" w:rsidRDefault="00570E88">
            <w:pPr>
              <w:pStyle w:val="TableParagraph"/>
              <w:spacing w:before="128"/>
              <w:ind w:left="624" w:right="605"/>
              <w:jc w:val="center"/>
              <w:rPr>
                <w:b/>
                <w:sz w:val="18"/>
              </w:rPr>
            </w:pPr>
            <w:r>
              <w:rPr>
                <w:b/>
                <w:spacing w:val="-2"/>
                <w:sz w:val="18"/>
              </w:rPr>
              <w:t>1,628</w:t>
            </w:r>
          </w:p>
        </w:tc>
        <w:tc>
          <w:tcPr>
            <w:tcW w:w="528" w:type="dxa"/>
            <w:tcBorders>
              <w:top w:val="single" w:sz="6" w:space="0" w:color="000000"/>
              <w:bottom w:val="single" w:sz="6" w:space="0" w:color="000000"/>
            </w:tcBorders>
            <w:shd w:val="clear" w:color="auto" w:fill="BEBEBE"/>
          </w:tcPr>
          <w:p w14:paraId="12EF75BB" w14:textId="77777777" w:rsidR="00AC6F3C" w:rsidRDefault="00570E88">
            <w:pPr>
              <w:pStyle w:val="TableParagraph"/>
              <w:spacing w:before="128"/>
              <w:ind w:left="42"/>
              <w:rPr>
                <w:b/>
                <w:sz w:val="18"/>
              </w:rPr>
            </w:pPr>
            <w:r>
              <w:rPr>
                <w:b/>
                <w:spacing w:val="-2"/>
                <w:sz w:val="18"/>
              </w:rPr>
              <w:t>4,129</w:t>
            </w:r>
          </w:p>
        </w:tc>
        <w:tc>
          <w:tcPr>
            <w:tcW w:w="1574" w:type="dxa"/>
            <w:gridSpan w:val="2"/>
            <w:tcBorders>
              <w:top w:val="single" w:sz="6" w:space="0" w:color="000000"/>
              <w:bottom w:val="single" w:sz="6" w:space="0" w:color="000000"/>
            </w:tcBorders>
            <w:shd w:val="clear" w:color="auto" w:fill="BEBEBE"/>
          </w:tcPr>
          <w:p w14:paraId="07844F78" w14:textId="77777777" w:rsidR="00AC6F3C" w:rsidRDefault="00570E88">
            <w:pPr>
              <w:pStyle w:val="TableParagraph"/>
              <w:spacing w:before="128"/>
              <w:ind w:left="1035"/>
              <w:rPr>
                <w:b/>
                <w:sz w:val="18"/>
              </w:rPr>
            </w:pPr>
            <w:r>
              <w:rPr>
                <w:b/>
                <w:w w:val="99"/>
                <w:sz w:val="18"/>
              </w:rPr>
              <w:t>-</w:t>
            </w:r>
          </w:p>
        </w:tc>
        <w:tc>
          <w:tcPr>
            <w:tcW w:w="671" w:type="dxa"/>
            <w:tcBorders>
              <w:top w:val="single" w:sz="6" w:space="0" w:color="000000"/>
              <w:bottom w:val="single" w:sz="6" w:space="0" w:color="000000"/>
              <w:right w:val="single" w:sz="6" w:space="0" w:color="000000"/>
            </w:tcBorders>
            <w:shd w:val="clear" w:color="auto" w:fill="BEBEBE"/>
          </w:tcPr>
          <w:p w14:paraId="79E95B79" w14:textId="77777777" w:rsidR="00AC6F3C" w:rsidRDefault="00570E88">
            <w:pPr>
              <w:pStyle w:val="TableParagraph"/>
              <w:spacing w:before="128"/>
              <w:ind w:right="20"/>
              <w:jc w:val="right"/>
              <w:rPr>
                <w:b/>
                <w:sz w:val="18"/>
              </w:rPr>
            </w:pPr>
            <w:r>
              <w:rPr>
                <w:b/>
                <w:w w:val="99"/>
                <w:sz w:val="18"/>
              </w:rPr>
              <w:t>-</w:t>
            </w:r>
          </w:p>
        </w:tc>
      </w:tr>
    </w:tbl>
    <w:p w14:paraId="78B370C6" w14:textId="77777777" w:rsidR="00AC6F3C" w:rsidRDefault="00AC6F3C">
      <w:pPr>
        <w:jc w:val="right"/>
        <w:rPr>
          <w:sz w:val="18"/>
        </w:rPr>
        <w:sectPr w:rsidR="00AC6F3C">
          <w:pgSz w:w="11910" w:h="16840"/>
          <w:pgMar w:top="2020" w:right="1160" w:bottom="520" w:left="460" w:header="1228" w:footer="336" w:gutter="0"/>
          <w:cols w:space="720"/>
        </w:sectPr>
      </w:pPr>
    </w:p>
    <w:p w14:paraId="16FA63DA" w14:textId="77777777" w:rsidR="00AC6F3C" w:rsidRDefault="00570E88">
      <w:pPr>
        <w:spacing w:before="80"/>
        <w:ind w:left="979"/>
        <w:rPr>
          <w:b/>
          <w:sz w:val="26"/>
        </w:rPr>
      </w:pPr>
      <w:r>
        <w:rPr>
          <w:b/>
          <w:sz w:val="26"/>
        </w:rPr>
        <w:lastRenderedPageBreak/>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p w14:paraId="1ED568DB" w14:textId="77777777" w:rsidR="00AC6F3C" w:rsidRDefault="00570E88">
      <w:pPr>
        <w:ind w:left="979"/>
      </w:pPr>
      <w:r>
        <w:t>Management</w:t>
      </w:r>
      <w:r>
        <w:rPr>
          <w:spacing w:val="-4"/>
        </w:rPr>
        <w:t xml:space="preserve"> </w:t>
      </w:r>
      <w:r>
        <w:t>Certificate</w:t>
      </w:r>
      <w:r>
        <w:rPr>
          <w:spacing w:val="-6"/>
        </w:rPr>
        <w:t xml:space="preserve"> </w:t>
      </w:r>
      <w:r>
        <w:t>for</w:t>
      </w:r>
      <w:r>
        <w:rPr>
          <w:spacing w:val="-4"/>
        </w:rPr>
        <w:t xml:space="preserve"> </w:t>
      </w:r>
      <w:r>
        <w:t>the</w:t>
      </w:r>
      <w:r>
        <w:rPr>
          <w:spacing w:val="-6"/>
        </w:rPr>
        <w:t xml:space="preserve"> </w:t>
      </w:r>
      <w:r>
        <w:t>year</w:t>
      </w:r>
      <w:r>
        <w:rPr>
          <w:spacing w:val="-5"/>
        </w:rPr>
        <w:t xml:space="preserve"> </w:t>
      </w:r>
      <w:r>
        <w:t>ended</w:t>
      </w:r>
      <w:r>
        <w:rPr>
          <w:spacing w:val="-3"/>
        </w:rPr>
        <w:t xml:space="preserve"> </w:t>
      </w:r>
      <w:r>
        <w:t>30</w:t>
      </w:r>
      <w:r>
        <w:rPr>
          <w:spacing w:val="-6"/>
        </w:rPr>
        <w:t xml:space="preserve"> </w:t>
      </w:r>
      <w:r>
        <w:t>June</w:t>
      </w:r>
      <w:r>
        <w:rPr>
          <w:spacing w:val="-3"/>
        </w:rPr>
        <w:t xml:space="preserve"> </w:t>
      </w:r>
      <w:r>
        <w:rPr>
          <w:spacing w:val="-4"/>
        </w:rPr>
        <w:t>2023</w:t>
      </w:r>
    </w:p>
    <w:p w14:paraId="7C24580C" w14:textId="77777777" w:rsidR="00AC6F3C" w:rsidRDefault="00570E88">
      <w:pPr>
        <w:pStyle w:val="BodyText"/>
        <w:spacing w:before="10"/>
        <w:rPr>
          <w:sz w:val="18"/>
        </w:rPr>
      </w:pPr>
      <w:r>
        <w:rPr>
          <w:noProof/>
        </w:rPr>
        <mc:AlternateContent>
          <mc:Choice Requires="wps">
            <w:drawing>
              <wp:anchor distT="0" distB="0" distL="0" distR="0" simplePos="0" relativeHeight="487683584" behindDoc="1" locked="0" layoutInCell="1" allowOverlap="1" wp14:anchorId="5FBA0988" wp14:editId="7F0CA076">
                <wp:simplePos x="0" y="0"/>
                <wp:positionH relativeFrom="page">
                  <wp:posOffset>896045</wp:posOffset>
                </wp:positionH>
                <wp:positionV relativeFrom="paragraph">
                  <wp:posOffset>153613</wp:posOffset>
                </wp:positionV>
                <wp:extent cx="5768340" cy="635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C98DA" id="Graphic 755" o:spid="_x0000_s1026" style="position:absolute;margin-left:70.55pt;margin-top:12.1pt;width:454.2pt;height:.5pt;z-index:-1563289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" path="m5767909,6094l,6094,,,5767909,r,6094xe" fillcolor="black" stroked="f">
                <v:path arrowok="t"/>
                <w10:wrap type="topAndBottom" anchorx="page"/>
              </v:shape>
            </w:pict>
          </mc:Fallback>
        </mc:AlternateContent>
      </w:r>
    </w:p>
    <w:p w14:paraId="1952B0EF" w14:textId="77777777" w:rsidR="00AC6F3C" w:rsidRDefault="00AC6F3C">
      <w:pPr>
        <w:pStyle w:val="BodyText"/>
      </w:pPr>
    </w:p>
    <w:p w14:paraId="145A7BF2" w14:textId="77777777" w:rsidR="00AC6F3C" w:rsidRDefault="00AC6F3C">
      <w:pPr>
        <w:pStyle w:val="BodyText"/>
        <w:spacing w:before="7"/>
        <w:rPr>
          <w:sz w:val="21"/>
        </w:rPr>
      </w:pPr>
    </w:p>
    <w:p w14:paraId="6E51B273" w14:textId="77777777" w:rsidR="00AC6F3C" w:rsidRDefault="00570E88">
      <w:pPr>
        <w:ind w:left="979" w:right="234"/>
        <w:rPr>
          <w:sz w:val="18"/>
        </w:rPr>
      </w:pPr>
      <w:r>
        <w:rPr>
          <w:sz w:val="18"/>
        </w:rPr>
        <w:t xml:space="preserve">These general purpose financial statements have been prepared pursuant to section 62(1) of the </w:t>
      </w:r>
      <w:r>
        <w:rPr>
          <w:i/>
          <w:sz w:val="18"/>
        </w:rPr>
        <w:t>Financial Accountability</w:t>
      </w:r>
      <w:r>
        <w:rPr>
          <w:i/>
          <w:spacing w:val="-1"/>
          <w:sz w:val="18"/>
        </w:rPr>
        <w:t xml:space="preserve"> </w:t>
      </w:r>
      <w:r>
        <w:rPr>
          <w:i/>
          <w:sz w:val="18"/>
        </w:rPr>
        <w:t>Act</w:t>
      </w:r>
      <w:r>
        <w:rPr>
          <w:i/>
          <w:spacing w:val="-2"/>
          <w:sz w:val="18"/>
        </w:rPr>
        <w:t xml:space="preserve"> </w:t>
      </w:r>
      <w:r>
        <w:rPr>
          <w:i/>
          <w:sz w:val="18"/>
        </w:rPr>
        <w:t>2009</w:t>
      </w:r>
      <w:r>
        <w:rPr>
          <w:i/>
          <w:spacing w:val="-2"/>
          <w:sz w:val="18"/>
        </w:rPr>
        <w:t xml:space="preserve"> </w:t>
      </w:r>
      <w:r>
        <w:rPr>
          <w:sz w:val="18"/>
        </w:rPr>
        <w:t>(the</w:t>
      </w:r>
      <w:r>
        <w:rPr>
          <w:spacing w:val="-1"/>
          <w:sz w:val="18"/>
        </w:rPr>
        <w:t xml:space="preserve"> </w:t>
      </w:r>
      <w:r>
        <w:rPr>
          <w:sz w:val="18"/>
        </w:rPr>
        <w:t>Act),</w:t>
      </w:r>
      <w:r>
        <w:rPr>
          <w:spacing w:val="-2"/>
          <w:sz w:val="18"/>
        </w:rPr>
        <w:t xml:space="preserve"> </w:t>
      </w:r>
      <w:r>
        <w:rPr>
          <w:sz w:val="18"/>
        </w:rPr>
        <w:t>section</w:t>
      </w:r>
      <w:r>
        <w:rPr>
          <w:spacing w:val="-4"/>
          <w:sz w:val="18"/>
        </w:rPr>
        <w:t xml:space="preserve"> </w:t>
      </w:r>
      <w:r>
        <w:rPr>
          <w:sz w:val="18"/>
        </w:rPr>
        <w:t>39</w:t>
      </w:r>
      <w:r>
        <w:rPr>
          <w:spacing w:val="-4"/>
          <w:sz w:val="18"/>
        </w:rPr>
        <w:t xml:space="preserve"> </w:t>
      </w:r>
      <w:r>
        <w:rPr>
          <w:sz w:val="18"/>
        </w:rPr>
        <w:t>of</w:t>
      </w:r>
      <w:r>
        <w:rPr>
          <w:spacing w:val="-2"/>
          <w:sz w:val="18"/>
        </w:rPr>
        <w:t xml:space="preserve"> </w:t>
      </w:r>
      <w:r>
        <w:rPr>
          <w:sz w:val="18"/>
        </w:rPr>
        <w:t>the</w:t>
      </w:r>
      <w:r>
        <w:rPr>
          <w:spacing w:val="-1"/>
          <w:sz w:val="18"/>
        </w:rPr>
        <w:t xml:space="preserve"> </w:t>
      </w:r>
      <w:r>
        <w:rPr>
          <w:i/>
          <w:sz w:val="18"/>
        </w:rPr>
        <w:t>Financial</w:t>
      </w:r>
      <w:r>
        <w:rPr>
          <w:i/>
          <w:spacing w:val="-4"/>
          <w:sz w:val="18"/>
        </w:rPr>
        <w:t xml:space="preserve"> </w:t>
      </w:r>
      <w:r>
        <w:rPr>
          <w:i/>
          <w:sz w:val="18"/>
        </w:rPr>
        <w:t>and</w:t>
      </w:r>
      <w:r>
        <w:rPr>
          <w:i/>
          <w:spacing w:val="-1"/>
          <w:sz w:val="18"/>
        </w:rPr>
        <w:t xml:space="preserve"> </w:t>
      </w:r>
      <w:r>
        <w:rPr>
          <w:i/>
          <w:sz w:val="18"/>
        </w:rPr>
        <w:t>Performance</w:t>
      </w:r>
      <w:r>
        <w:rPr>
          <w:i/>
          <w:spacing w:val="-1"/>
          <w:sz w:val="18"/>
        </w:rPr>
        <w:t xml:space="preserve"> </w:t>
      </w:r>
      <w:r>
        <w:rPr>
          <w:i/>
          <w:sz w:val="18"/>
        </w:rPr>
        <w:t>Management</w:t>
      </w:r>
      <w:r>
        <w:rPr>
          <w:i/>
          <w:spacing w:val="-2"/>
          <w:sz w:val="18"/>
        </w:rPr>
        <w:t xml:space="preserve"> </w:t>
      </w:r>
      <w:r>
        <w:rPr>
          <w:i/>
          <w:sz w:val="18"/>
        </w:rPr>
        <w:t>Standard</w:t>
      </w:r>
      <w:r>
        <w:rPr>
          <w:i/>
          <w:spacing w:val="-1"/>
          <w:sz w:val="18"/>
        </w:rPr>
        <w:t xml:space="preserve"> </w:t>
      </w:r>
      <w:r>
        <w:rPr>
          <w:i/>
          <w:sz w:val="18"/>
        </w:rPr>
        <w:t>2019</w:t>
      </w:r>
      <w:r>
        <w:rPr>
          <w:i/>
          <w:spacing w:val="-4"/>
          <w:sz w:val="18"/>
        </w:rPr>
        <w:t xml:space="preserve"> </w:t>
      </w:r>
      <w:r>
        <w:rPr>
          <w:sz w:val="18"/>
        </w:rPr>
        <w:t>and other prescribed requirements.</w:t>
      </w:r>
      <w:r>
        <w:rPr>
          <w:spacing w:val="40"/>
          <w:sz w:val="18"/>
        </w:rPr>
        <w:t xml:space="preserve"> </w:t>
      </w:r>
      <w:r>
        <w:rPr>
          <w:sz w:val="18"/>
        </w:rPr>
        <w:t>In accordance with section 62(1) (b) of the Act we certify that in our opinion:</w:t>
      </w:r>
    </w:p>
    <w:p w14:paraId="4F37E72E" w14:textId="77777777" w:rsidR="00AC6F3C" w:rsidRDefault="00AC6F3C">
      <w:pPr>
        <w:pStyle w:val="BodyText"/>
        <w:spacing w:before="8"/>
      </w:pPr>
    </w:p>
    <w:p w14:paraId="2EAC9DDD" w14:textId="77777777" w:rsidR="00AC6F3C" w:rsidRDefault="00570E88">
      <w:pPr>
        <w:pStyle w:val="ListParagraph"/>
        <w:numPr>
          <w:ilvl w:val="0"/>
          <w:numId w:val="22"/>
        </w:numPr>
        <w:tabs>
          <w:tab w:val="left" w:pos="1699"/>
        </w:tabs>
        <w:spacing w:before="1"/>
        <w:ind w:right="959"/>
        <w:rPr>
          <w:sz w:val="18"/>
        </w:rPr>
      </w:pPr>
      <w:r>
        <w:rPr>
          <w:sz w:val="18"/>
        </w:rPr>
        <w:t>the</w:t>
      </w:r>
      <w:r>
        <w:rPr>
          <w:spacing w:val="-2"/>
          <w:sz w:val="18"/>
        </w:rPr>
        <w:t xml:space="preserve"> </w:t>
      </w:r>
      <w:r>
        <w:rPr>
          <w:sz w:val="18"/>
        </w:rPr>
        <w:t>prescribed</w:t>
      </w:r>
      <w:r>
        <w:rPr>
          <w:spacing w:val="-2"/>
          <w:sz w:val="18"/>
        </w:rPr>
        <w:t xml:space="preserve"> </w:t>
      </w:r>
      <w:r>
        <w:rPr>
          <w:sz w:val="18"/>
        </w:rPr>
        <w:t>requirements</w:t>
      </w:r>
      <w:r>
        <w:rPr>
          <w:spacing w:val="-4"/>
          <w:sz w:val="18"/>
        </w:rPr>
        <w:t xml:space="preserve"> </w:t>
      </w:r>
      <w:r>
        <w:rPr>
          <w:sz w:val="18"/>
        </w:rPr>
        <w:t>in</w:t>
      </w:r>
      <w:r>
        <w:rPr>
          <w:spacing w:val="-5"/>
          <w:sz w:val="18"/>
        </w:rPr>
        <w:t xml:space="preserve"> </w:t>
      </w:r>
      <w:r>
        <w:rPr>
          <w:sz w:val="18"/>
        </w:rPr>
        <w:t>respect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establishment</w:t>
      </w:r>
      <w:r>
        <w:rPr>
          <w:spacing w:val="-5"/>
          <w:sz w:val="18"/>
        </w:rPr>
        <w:t xml:space="preserve"> </w:t>
      </w:r>
      <w:r>
        <w:rPr>
          <w:sz w:val="18"/>
        </w:rPr>
        <w:t>and</w:t>
      </w:r>
      <w:r>
        <w:rPr>
          <w:spacing w:val="-2"/>
          <w:sz w:val="18"/>
        </w:rPr>
        <w:t xml:space="preserve"> </w:t>
      </w:r>
      <w:r>
        <w:rPr>
          <w:sz w:val="18"/>
        </w:rPr>
        <w:t>keeping</w:t>
      </w:r>
      <w:r>
        <w:rPr>
          <w:spacing w:val="-2"/>
          <w:sz w:val="18"/>
        </w:rPr>
        <w:t xml:space="preserve"> </w:t>
      </w:r>
      <w:r>
        <w:rPr>
          <w:sz w:val="18"/>
        </w:rPr>
        <w:t>of</w:t>
      </w:r>
      <w:r>
        <w:rPr>
          <w:spacing w:val="-3"/>
          <w:sz w:val="18"/>
        </w:rPr>
        <w:t xml:space="preserve"> </w:t>
      </w:r>
      <w:r>
        <w:rPr>
          <w:sz w:val="18"/>
        </w:rPr>
        <w:t>accounts</w:t>
      </w:r>
      <w:r>
        <w:rPr>
          <w:spacing w:val="-2"/>
          <w:sz w:val="18"/>
        </w:rPr>
        <w:t xml:space="preserve"> </w:t>
      </w:r>
      <w:r>
        <w:rPr>
          <w:sz w:val="18"/>
        </w:rPr>
        <w:t>have</w:t>
      </w:r>
      <w:r>
        <w:rPr>
          <w:spacing w:val="-5"/>
          <w:sz w:val="18"/>
        </w:rPr>
        <w:t xml:space="preserve"> </w:t>
      </w:r>
      <w:r>
        <w:rPr>
          <w:sz w:val="18"/>
        </w:rPr>
        <w:t>been complied with in all material respects;</w:t>
      </w:r>
      <w:r>
        <w:rPr>
          <w:spacing w:val="40"/>
          <w:sz w:val="18"/>
        </w:rPr>
        <w:t xml:space="preserve"> </w:t>
      </w:r>
      <w:r>
        <w:rPr>
          <w:sz w:val="18"/>
        </w:rPr>
        <w:t>and</w:t>
      </w:r>
    </w:p>
    <w:p w14:paraId="2F30EC12" w14:textId="77777777" w:rsidR="00AC6F3C" w:rsidRDefault="00AC6F3C">
      <w:pPr>
        <w:pStyle w:val="BodyText"/>
        <w:spacing w:before="10"/>
      </w:pPr>
    </w:p>
    <w:p w14:paraId="02DD3EA4" w14:textId="77777777" w:rsidR="00AC6F3C" w:rsidRDefault="00570E88">
      <w:pPr>
        <w:pStyle w:val="ListParagraph"/>
        <w:numPr>
          <w:ilvl w:val="0"/>
          <w:numId w:val="22"/>
        </w:numPr>
        <w:tabs>
          <w:tab w:val="left" w:pos="1699"/>
        </w:tabs>
        <w:spacing w:before="1"/>
        <w:ind w:right="306"/>
        <w:rPr>
          <w:sz w:val="18"/>
        </w:rPr>
      </w:pPr>
      <w:r>
        <w:rPr>
          <w:sz w:val="18"/>
        </w:rPr>
        <w:t>the financial statements have been drawn up so as to present a true and fair view, in accordance with prescribed accounting standards, of the transactions of the Queensland Law Society Incorporated and its</w:t>
      </w:r>
      <w:r>
        <w:rPr>
          <w:spacing w:val="-3"/>
          <w:sz w:val="18"/>
        </w:rPr>
        <w:t xml:space="preserve"> </w:t>
      </w:r>
      <w:r>
        <w:rPr>
          <w:sz w:val="18"/>
        </w:rPr>
        <w:t>controlled</w:t>
      </w:r>
      <w:r>
        <w:rPr>
          <w:spacing w:val="-1"/>
          <w:sz w:val="18"/>
        </w:rPr>
        <w:t xml:space="preserve"> </w:t>
      </w:r>
      <w:r>
        <w:rPr>
          <w:sz w:val="18"/>
        </w:rPr>
        <w:t>entities</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financial</w:t>
      </w:r>
      <w:r>
        <w:rPr>
          <w:spacing w:val="-4"/>
          <w:sz w:val="18"/>
        </w:rPr>
        <w:t xml:space="preserve"> </w:t>
      </w:r>
      <w:r>
        <w:rPr>
          <w:sz w:val="18"/>
        </w:rPr>
        <w:t>year</w:t>
      </w:r>
      <w:r>
        <w:rPr>
          <w:spacing w:val="-4"/>
          <w:sz w:val="18"/>
        </w:rPr>
        <w:t xml:space="preserve"> </w:t>
      </w:r>
      <w:r>
        <w:rPr>
          <w:sz w:val="18"/>
        </w:rPr>
        <w:t>ended</w:t>
      </w:r>
      <w:r>
        <w:rPr>
          <w:spacing w:val="-1"/>
          <w:sz w:val="18"/>
        </w:rPr>
        <w:t xml:space="preserve"> </w:t>
      </w:r>
      <w:r>
        <w:rPr>
          <w:sz w:val="18"/>
        </w:rPr>
        <w:t>30</w:t>
      </w:r>
      <w:r>
        <w:rPr>
          <w:spacing w:val="-1"/>
          <w:sz w:val="18"/>
        </w:rPr>
        <w:t xml:space="preserve"> </w:t>
      </w:r>
      <w:r>
        <w:rPr>
          <w:sz w:val="18"/>
        </w:rPr>
        <w:t>June</w:t>
      </w:r>
      <w:r>
        <w:rPr>
          <w:spacing w:val="-4"/>
          <w:sz w:val="18"/>
        </w:rPr>
        <w:t xml:space="preserve"> </w:t>
      </w:r>
      <w:r>
        <w:rPr>
          <w:sz w:val="18"/>
        </w:rPr>
        <w:t>2023</w:t>
      </w:r>
      <w:r>
        <w:rPr>
          <w:spacing w:val="-1"/>
          <w:sz w:val="18"/>
        </w:rPr>
        <w:t xml:space="preserve"> </w:t>
      </w:r>
      <w:r>
        <w:rPr>
          <w:sz w:val="18"/>
        </w:rPr>
        <w:t>and</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financial</w:t>
      </w:r>
      <w:r>
        <w:rPr>
          <w:spacing w:val="-4"/>
          <w:sz w:val="18"/>
        </w:rPr>
        <w:t xml:space="preserve"> </w:t>
      </w:r>
      <w:r>
        <w:rPr>
          <w:sz w:val="18"/>
        </w:rPr>
        <w:t>position</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Group as at the end of that year.</w:t>
      </w:r>
    </w:p>
    <w:p w14:paraId="7CB8D3B8" w14:textId="77777777" w:rsidR="00AC6F3C" w:rsidRDefault="00AC6F3C">
      <w:pPr>
        <w:pStyle w:val="BodyText"/>
        <w:spacing w:before="9"/>
      </w:pPr>
    </w:p>
    <w:p w14:paraId="599F3840" w14:textId="1D06455A" w:rsidR="00AC6F3C" w:rsidRDefault="00570E88">
      <w:pPr>
        <w:spacing w:before="1"/>
        <w:ind w:left="979" w:right="468"/>
        <w:rPr>
          <w:sz w:val="18"/>
        </w:rPr>
      </w:pPr>
      <w:r>
        <w:rPr>
          <w:sz w:val="18"/>
        </w:rPr>
        <w:t>We</w:t>
      </w:r>
      <w:r>
        <w:rPr>
          <w:spacing w:val="-2"/>
          <w:sz w:val="18"/>
        </w:rPr>
        <w:t xml:space="preserve"> </w:t>
      </w:r>
      <w:r>
        <w:rPr>
          <w:sz w:val="18"/>
        </w:rPr>
        <w:t>acknowledge</w:t>
      </w:r>
      <w:r>
        <w:rPr>
          <w:spacing w:val="-2"/>
          <w:sz w:val="18"/>
        </w:rPr>
        <w:t xml:space="preserve"> </w:t>
      </w:r>
      <w:r>
        <w:rPr>
          <w:sz w:val="18"/>
        </w:rPr>
        <w:t>responsibility</w:t>
      </w:r>
      <w:r>
        <w:rPr>
          <w:spacing w:val="-2"/>
          <w:sz w:val="18"/>
        </w:rPr>
        <w:t xml:space="preserve"> </w:t>
      </w:r>
      <w:r>
        <w:rPr>
          <w:sz w:val="18"/>
        </w:rPr>
        <w:t>under</w:t>
      </w:r>
      <w:r>
        <w:rPr>
          <w:spacing w:val="-3"/>
          <w:sz w:val="18"/>
        </w:rPr>
        <w:t xml:space="preserve"> </w:t>
      </w:r>
      <w:r>
        <w:rPr>
          <w:sz w:val="18"/>
        </w:rPr>
        <w:t>section</w:t>
      </w:r>
      <w:r>
        <w:rPr>
          <w:spacing w:val="-5"/>
          <w:sz w:val="18"/>
        </w:rPr>
        <w:t xml:space="preserve"> </w:t>
      </w:r>
      <w:r>
        <w:rPr>
          <w:sz w:val="18"/>
        </w:rPr>
        <w:t>7</w:t>
      </w:r>
      <w:r>
        <w:rPr>
          <w:spacing w:val="-2"/>
          <w:sz w:val="18"/>
        </w:rPr>
        <w:t xml:space="preserve"> </w:t>
      </w:r>
      <w:r>
        <w:rPr>
          <w:sz w:val="18"/>
        </w:rPr>
        <w:t>and</w:t>
      </w:r>
      <w:r>
        <w:rPr>
          <w:spacing w:val="-2"/>
          <w:sz w:val="18"/>
        </w:rPr>
        <w:t xml:space="preserve"> </w:t>
      </w:r>
      <w:r>
        <w:rPr>
          <w:sz w:val="18"/>
        </w:rPr>
        <w:t>section</w:t>
      </w:r>
      <w:r>
        <w:rPr>
          <w:spacing w:val="-5"/>
          <w:sz w:val="18"/>
        </w:rPr>
        <w:t xml:space="preserve"> </w:t>
      </w:r>
      <w:r>
        <w:rPr>
          <w:sz w:val="18"/>
        </w:rPr>
        <w:t>11</w:t>
      </w:r>
      <w:r>
        <w:rPr>
          <w:spacing w:val="-2"/>
          <w:sz w:val="18"/>
        </w:rPr>
        <w:t xml:space="preserve"> </w:t>
      </w:r>
      <w:r>
        <w:rPr>
          <w:sz w:val="18"/>
        </w:rPr>
        <w:t>of</w:t>
      </w:r>
      <w:r>
        <w:rPr>
          <w:spacing w:val="-3"/>
          <w:sz w:val="18"/>
        </w:rPr>
        <w:t xml:space="preserve"> </w:t>
      </w:r>
      <w:r>
        <w:rPr>
          <w:sz w:val="18"/>
        </w:rPr>
        <w:t>the</w:t>
      </w:r>
      <w:r>
        <w:rPr>
          <w:spacing w:val="-2"/>
          <w:sz w:val="18"/>
        </w:rPr>
        <w:t xml:space="preserve"> </w:t>
      </w:r>
      <w:r>
        <w:rPr>
          <w:i/>
          <w:sz w:val="18"/>
        </w:rPr>
        <w:t>Financial</w:t>
      </w:r>
      <w:r>
        <w:rPr>
          <w:i/>
          <w:spacing w:val="-5"/>
          <w:sz w:val="18"/>
        </w:rPr>
        <w:t xml:space="preserve"> </w:t>
      </w:r>
      <w:r>
        <w:rPr>
          <w:i/>
          <w:sz w:val="18"/>
        </w:rPr>
        <w:t>and</w:t>
      </w:r>
      <w:r>
        <w:rPr>
          <w:i/>
          <w:spacing w:val="-2"/>
          <w:sz w:val="18"/>
        </w:rPr>
        <w:t xml:space="preserve"> </w:t>
      </w:r>
      <w:r>
        <w:rPr>
          <w:i/>
          <w:sz w:val="18"/>
        </w:rPr>
        <w:t>Performance</w:t>
      </w:r>
      <w:r>
        <w:rPr>
          <w:i/>
          <w:spacing w:val="-2"/>
          <w:sz w:val="18"/>
        </w:rPr>
        <w:t xml:space="preserve"> </w:t>
      </w:r>
      <w:r>
        <w:rPr>
          <w:i/>
          <w:sz w:val="18"/>
        </w:rPr>
        <w:t>Management Standard 2019</w:t>
      </w:r>
      <w:r>
        <w:rPr>
          <w:i/>
          <w:spacing w:val="-1"/>
          <w:sz w:val="18"/>
        </w:rPr>
        <w:t xml:space="preserve"> </w:t>
      </w:r>
      <w:r>
        <w:rPr>
          <w:sz w:val="18"/>
        </w:rPr>
        <w:t>for</w:t>
      </w:r>
      <w:r>
        <w:rPr>
          <w:spacing w:val="-1"/>
          <w:sz w:val="18"/>
        </w:rPr>
        <w:t xml:space="preserve"> </w:t>
      </w:r>
      <w:r>
        <w:rPr>
          <w:sz w:val="18"/>
        </w:rPr>
        <w:t>the</w:t>
      </w:r>
      <w:r>
        <w:rPr>
          <w:spacing w:val="-3"/>
          <w:sz w:val="18"/>
        </w:rPr>
        <w:t xml:space="preserve"> </w:t>
      </w:r>
      <w:r>
        <w:rPr>
          <w:sz w:val="18"/>
        </w:rPr>
        <w:t>establishment</w:t>
      </w:r>
      <w:r>
        <w:rPr>
          <w:spacing w:val="-1"/>
          <w:sz w:val="18"/>
        </w:rPr>
        <w:t xml:space="preserve"> </w:t>
      </w:r>
      <w:r>
        <w:rPr>
          <w:sz w:val="18"/>
        </w:rPr>
        <w:t>and maintenance,</w:t>
      </w:r>
      <w:r>
        <w:rPr>
          <w:spacing w:val="-3"/>
          <w:sz w:val="18"/>
        </w:rPr>
        <w:t xml:space="preserve"> </w:t>
      </w:r>
      <w:r>
        <w:rPr>
          <w:sz w:val="18"/>
        </w:rPr>
        <w:t>in</w:t>
      </w:r>
      <w:r>
        <w:rPr>
          <w:spacing w:val="-3"/>
          <w:sz w:val="18"/>
        </w:rPr>
        <w:t xml:space="preserve"> </w:t>
      </w:r>
      <w:r>
        <w:rPr>
          <w:sz w:val="18"/>
        </w:rPr>
        <w:t>all</w:t>
      </w:r>
      <w:r>
        <w:rPr>
          <w:spacing w:val="-3"/>
          <w:sz w:val="18"/>
        </w:rPr>
        <w:t xml:space="preserve"> </w:t>
      </w:r>
      <w:r>
        <w:rPr>
          <w:sz w:val="18"/>
        </w:rPr>
        <w:t>material</w:t>
      </w:r>
      <w:r>
        <w:rPr>
          <w:spacing w:val="-1"/>
          <w:sz w:val="18"/>
        </w:rPr>
        <w:t xml:space="preserve"> </w:t>
      </w:r>
      <w:r>
        <w:rPr>
          <w:sz w:val="18"/>
        </w:rPr>
        <w:t>respects,</w:t>
      </w:r>
      <w:r>
        <w:rPr>
          <w:spacing w:val="-3"/>
          <w:sz w:val="18"/>
        </w:rPr>
        <w:t xml:space="preserve"> </w:t>
      </w:r>
      <w:r>
        <w:rPr>
          <w:sz w:val="18"/>
        </w:rPr>
        <w:t>of</w:t>
      </w:r>
      <w:r>
        <w:rPr>
          <w:spacing w:val="-1"/>
          <w:sz w:val="18"/>
        </w:rPr>
        <w:t xml:space="preserve"> </w:t>
      </w:r>
      <w:r>
        <w:rPr>
          <w:sz w:val="18"/>
        </w:rPr>
        <w:t>an</w:t>
      </w:r>
      <w:r>
        <w:rPr>
          <w:spacing w:val="-3"/>
          <w:sz w:val="18"/>
        </w:rPr>
        <w:t xml:space="preserve"> </w:t>
      </w:r>
      <w:r>
        <w:rPr>
          <w:sz w:val="18"/>
        </w:rPr>
        <w:t>appropriate</w:t>
      </w:r>
      <w:r>
        <w:rPr>
          <w:spacing w:val="-3"/>
          <w:sz w:val="18"/>
        </w:rPr>
        <w:t xml:space="preserve"> </w:t>
      </w:r>
      <w:r>
        <w:rPr>
          <w:sz w:val="18"/>
        </w:rPr>
        <w:t>and</w:t>
      </w:r>
      <w:r>
        <w:rPr>
          <w:spacing w:val="-3"/>
          <w:sz w:val="18"/>
        </w:rPr>
        <w:t xml:space="preserve"> </w:t>
      </w:r>
      <w:r>
        <w:rPr>
          <w:sz w:val="18"/>
        </w:rPr>
        <w:t>effective system of internal controls and risk management processes with respect to financial reporting throughout the reporting period.</w:t>
      </w:r>
    </w:p>
    <w:p w14:paraId="4C3DCA23" w14:textId="77777777" w:rsidR="00AC6F3C" w:rsidRDefault="00AC6F3C">
      <w:pPr>
        <w:pStyle w:val="BodyText"/>
      </w:pPr>
    </w:p>
    <w:p w14:paraId="79808737" w14:textId="77777777" w:rsidR="00AC6F3C" w:rsidRDefault="00AC6F3C">
      <w:pPr>
        <w:pStyle w:val="BodyText"/>
      </w:pPr>
    </w:p>
    <w:p w14:paraId="52D03567" w14:textId="77777777" w:rsidR="00AC6F3C" w:rsidRDefault="00AC6F3C">
      <w:pPr>
        <w:pStyle w:val="BodyText"/>
      </w:pPr>
    </w:p>
    <w:p w14:paraId="189D83F7" w14:textId="77777777" w:rsidR="00AC6F3C" w:rsidRDefault="00AC6F3C">
      <w:pPr>
        <w:pStyle w:val="BodyText"/>
      </w:pPr>
    </w:p>
    <w:p w14:paraId="6DDC6282" w14:textId="77777777" w:rsidR="00AC6F3C" w:rsidRDefault="00AC6F3C">
      <w:pPr>
        <w:pStyle w:val="BodyText"/>
      </w:pPr>
    </w:p>
    <w:p w14:paraId="3ABC15E1" w14:textId="77777777" w:rsidR="00AC6F3C" w:rsidRDefault="00AC6F3C">
      <w:pPr>
        <w:pStyle w:val="BodyText"/>
      </w:pPr>
    </w:p>
    <w:p w14:paraId="5CA02DEE" w14:textId="77777777" w:rsidR="00AC6F3C" w:rsidRDefault="00AC6F3C">
      <w:pPr>
        <w:pStyle w:val="BodyText"/>
      </w:pPr>
    </w:p>
    <w:p w14:paraId="080EF176" w14:textId="77777777" w:rsidR="00AC6F3C" w:rsidRDefault="00570E88">
      <w:pPr>
        <w:pStyle w:val="BodyText"/>
        <w:spacing w:before="8"/>
        <w:rPr>
          <w:sz w:val="25"/>
        </w:rPr>
      </w:pPr>
      <w:r>
        <w:rPr>
          <w:noProof/>
        </w:rPr>
        <mc:AlternateContent>
          <mc:Choice Requires="wps">
            <w:drawing>
              <wp:anchor distT="0" distB="0" distL="0" distR="0" simplePos="0" relativeHeight="487684096" behindDoc="1" locked="0" layoutInCell="1" allowOverlap="1" wp14:anchorId="47B8AC05" wp14:editId="12AC1BF4">
                <wp:simplePos x="0" y="0"/>
                <wp:positionH relativeFrom="page">
                  <wp:posOffset>914331</wp:posOffset>
                </wp:positionH>
                <wp:positionV relativeFrom="paragraph">
                  <wp:posOffset>203140</wp:posOffset>
                </wp:positionV>
                <wp:extent cx="1970405" cy="635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6350"/>
                        </a:xfrm>
                        <a:custGeom>
                          <a:avLst/>
                          <a:gdLst/>
                          <a:ahLst/>
                          <a:cxnLst/>
                          <a:rect l="l" t="t" r="r" b="b"/>
                          <a:pathLst>
                            <a:path w="1970405" h="6350">
                              <a:moveTo>
                                <a:pt x="1970384" y="6120"/>
                              </a:moveTo>
                              <a:lnTo>
                                <a:pt x="0" y="6120"/>
                              </a:lnTo>
                              <a:lnTo>
                                <a:pt x="0" y="0"/>
                              </a:lnTo>
                              <a:lnTo>
                                <a:pt x="1970384" y="0"/>
                              </a:lnTo>
                              <a:lnTo>
                                <a:pt x="1970384" y="61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80B340" id="Graphic 757" o:spid="_x0000_s1026" style="position:absolute;margin-left:1in;margin-top:16pt;width:155.15pt;height:.5pt;z-index:-15632384;visibility:visible;mso-wrap-style:square;mso-wrap-distance-left:0;mso-wrap-distance-top:0;mso-wrap-distance-right:0;mso-wrap-distance-bottom:0;mso-position-horizontal:absolute;mso-position-horizontal-relative:page;mso-position-vertical:absolute;mso-position-vertical-relative:text;v-text-anchor:top" coordsize="197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" path="m1970384,6120l,6120,,,1970384,r,6120xe" fillcolor="black" stroked="f">
                <v:path arrowok="t"/>
                <w10:wrap type="topAndBottom" anchorx="page"/>
              </v:shape>
            </w:pict>
          </mc:Fallback>
        </mc:AlternateContent>
      </w:r>
      <w:r>
        <w:rPr>
          <w:noProof/>
        </w:rPr>
        <mc:AlternateContent>
          <mc:Choice Requires="wps">
            <w:drawing>
              <wp:anchor distT="0" distB="0" distL="0" distR="0" simplePos="0" relativeHeight="487684608" behindDoc="1" locked="0" layoutInCell="1" allowOverlap="1" wp14:anchorId="6FB914D6" wp14:editId="2A615499">
                <wp:simplePos x="0" y="0"/>
                <wp:positionH relativeFrom="page">
                  <wp:posOffset>3952961</wp:posOffset>
                </wp:positionH>
                <wp:positionV relativeFrom="paragraph">
                  <wp:posOffset>203140</wp:posOffset>
                </wp:positionV>
                <wp:extent cx="1889760" cy="635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6350"/>
                        </a:xfrm>
                        <a:custGeom>
                          <a:avLst/>
                          <a:gdLst/>
                          <a:ahLst/>
                          <a:cxnLst/>
                          <a:rect l="l" t="t" r="r" b="b"/>
                          <a:pathLst>
                            <a:path w="1889760" h="6350">
                              <a:moveTo>
                                <a:pt x="1889618" y="6120"/>
                              </a:moveTo>
                              <a:lnTo>
                                <a:pt x="0" y="6120"/>
                              </a:lnTo>
                              <a:lnTo>
                                <a:pt x="0" y="0"/>
                              </a:lnTo>
                              <a:lnTo>
                                <a:pt x="1889618" y="0"/>
                              </a:lnTo>
                              <a:lnTo>
                                <a:pt x="1889618" y="61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67DC6" id="Graphic 758" o:spid="_x0000_s1026" style="position:absolute;margin-left:311.25pt;margin-top:16pt;width:148.8pt;height:.5pt;z-index:-15631872;visibility:visible;mso-wrap-style:square;mso-wrap-distance-left:0;mso-wrap-distance-top:0;mso-wrap-distance-right:0;mso-wrap-distance-bottom:0;mso-position-horizontal:absolute;mso-position-horizontal-relative:page;mso-position-vertical:absolute;mso-position-vertical-relative:text;v-text-anchor:top" coordsize="188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" path="m1889618,6120l,6120,,,1889618,r,6120xe" fillcolor="black" stroked="f">
                <v:path arrowok="t"/>
                <w10:wrap type="topAndBottom" anchorx="page"/>
              </v:shape>
            </w:pict>
          </mc:Fallback>
        </mc:AlternateContent>
      </w:r>
    </w:p>
    <w:p w14:paraId="4051E1DB" w14:textId="77777777" w:rsidR="00AC6F3C" w:rsidRDefault="00570E88">
      <w:pPr>
        <w:pStyle w:val="BodyText"/>
        <w:ind w:left="1087"/>
      </w:pPr>
      <w:r>
        <w:rPr>
          <w:noProof/>
        </w:rPr>
        <mc:AlternateContent>
          <mc:Choice Requires="wpg">
            <w:drawing>
              <wp:inline distT="0" distB="0" distL="0" distR="0" wp14:anchorId="72F738FC" wp14:editId="11521FB9">
                <wp:extent cx="4317365" cy="784860"/>
                <wp:effectExtent l="0" t="0" r="0" b="5715"/>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784860"/>
                          <a:chOff x="0" y="0"/>
                          <a:chExt cx="4317365" cy="784860"/>
                        </a:xfrm>
                      </wpg:grpSpPr>
                      <wps:wsp>
                        <wps:cNvPr id="760" name="Textbox 760"/>
                        <wps:cNvSpPr txBox="1"/>
                        <wps:spPr>
                          <a:xfrm>
                            <a:off x="0" y="0"/>
                            <a:ext cx="1278890" cy="389890"/>
                          </a:xfrm>
                          <a:prstGeom prst="rect">
                            <a:avLst/>
                          </a:prstGeom>
                        </wps:spPr>
                        <wps:txbx>
                          <w:txbxContent>
                            <w:p w14:paraId="1C0AFD77" w14:textId="77777777" w:rsidR="00AC6F3C" w:rsidRDefault="00570E88">
                              <w:pPr>
                                <w:spacing w:line="201" w:lineRule="exact"/>
                                <w:rPr>
                                  <w:sz w:val="18"/>
                                </w:rPr>
                              </w:pPr>
                              <w:r>
                                <w:rPr>
                                  <w:spacing w:val="-2"/>
                                  <w:sz w:val="18"/>
                                </w:rPr>
                                <w:t>President</w:t>
                              </w:r>
                            </w:p>
                            <w:p w14:paraId="6CAA7394" w14:textId="77777777" w:rsidR="00AC6F3C" w:rsidRDefault="00570E88">
                              <w:pPr>
                                <w:spacing w:line="206" w:lineRule="exact"/>
                                <w:rPr>
                                  <w:sz w:val="18"/>
                                </w:rPr>
                              </w:pPr>
                              <w:r>
                                <w:rPr>
                                  <w:sz w:val="18"/>
                                </w:rPr>
                                <w:t>Queensland</w:t>
                              </w:r>
                              <w:r>
                                <w:rPr>
                                  <w:spacing w:val="-4"/>
                                  <w:sz w:val="18"/>
                                </w:rPr>
                                <w:t xml:space="preserve"> </w:t>
                              </w:r>
                              <w:r>
                                <w:rPr>
                                  <w:sz w:val="18"/>
                                </w:rPr>
                                <w:t>Law</w:t>
                              </w:r>
                              <w:r>
                                <w:rPr>
                                  <w:spacing w:val="-2"/>
                                  <w:sz w:val="18"/>
                                </w:rPr>
                                <w:t xml:space="preserve"> Society</w:t>
                              </w:r>
                            </w:p>
                            <w:p w14:paraId="6220DB31" w14:textId="77777777" w:rsidR="00AC6F3C" w:rsidRDefault="00570E88">
                              <w:pPr>
                                <w:spacing w:line="207" w:lineRule="exact"/>
                                <w:rPr>
                                  <w:sz w:val="18"/>
                                </w:rPr>
                              </w:pPr>
                              <w:r>
                                <w:rPr>
                                  <w:sz w:val="18"/>
                                </w:rPr>
                                <w:t xml:space="preserve">Chloé </w:t>
                              </w:r>
                              <w:r>
                                <w:rPr>
                                  <w:spacing w:val="-2"/>
                                  <w:sz w:val="18"/>
                                </w:rPr>
                                <w:t>Kopilović</w:t>
                              </w:r>
                            </w:p>
                          </w:txbxContent>
                        </wps:txbx>
                        <wps:bodyPr wrap="square" lIns="0" tIns="0" rIns="0" bIns="0" rtlCol="0">
                          <a:noAutofit/>
                        </wps:bodyPr>
                      </wps:wsp>
                      <wps:wsp>
                        <wps:cNvPr id="761" name="Textbox 761"/>
                        <wps:cNvSpPr txBox="1"/>
                        <wps:spPr>
                          <a:xfrm>
                            <a:off x="3038630" y="0"/>
                            <a:ext cx="1278890" cy="389890"/>
                          </a:xfrm>
                          <a:prstGeom prst="rect">
                            <a:avLst/>
                          </a:prstGeom>
                        </wps:spPr>
                        <wps:txbx>
                          <w:txbxContent>
                            <w:p w14:paraId="24FC911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wps:txbx>
                        <wps:bodyPr wrap="square" lIns="0" tIns="0" rIns="0" bIns="0" rtlCol="0">
                          <a:noAutofit/>
                        </wps:bodyPr>
                      </wps:wsp>
                      <wps:wsp>
                        <wps:cNvPr id="762" name="Textbox 762"/>
                        <wps:cNvSpPr txBox="1"/>
                        <wps:spPr>
                          <a:xfrm>
                            <a:off x="0" y="656727"/>
                            <a:ext cx="814069" cy="128270"/>
                          </a:xfrm>
                          <a:prstGeom prst="rect">
                            <a:avLst/>
                          </a:prstGeom>
                        </wps:spPr>
                        <wps:txbx>
                          <w:txbxContent>
                            <w:p w14:paraId="75F6FE6F"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s:wsp>
                        <wps:cNvPr id="763" name="Textbox 763"/>
                        <wps:cNvSpPr txBox="1"/>
                        <wps:spPr>
                          <a:xfrm>
                            <a:off x="3038630" y="656727"/>
                            <a:ext cx="814069" cy="128270"/>
                          </a:xfrm>
                          <a:prstGeom prst="rect">
                            <a:avLst/>
                          </a:prstGeom>
                        </wps:spPr>
                        <wps:txbx>
                          <w:txbxContent>
                            <w:p w14:paraId="51708250"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g:wgp>
                  </a:graphicData>
                </a:graphic>
              </wp:inline>
            </w:drawing>
          </mc:Choice>
          <mc:Fallback>
            <w:pict>
              <v:group w14:anchorId="72F738FC" id="Group 759" o:spid="_x0000_s1030" style="width:339.95pt;height:61.8pt;mso-position-horizontal-relative:char;mso-position-vertical-relative:line" coordsize="4317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">
                <v:shape id="Textbox 760" o:spid="_x0000_s1031" type="#_x0000_t202" style="position:absolute;width:12788;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C0AFD77" w14:textId="77777777" w:rsidR="00AC6F3C" w:rsidRDefault="00570E88">
                        <w:pPr>
                          <w:spacing w:line="201" w:lineRule="exact"/>
                          <w:rPr>
                            <w:sz w:val="18"/>
                          </w:rPr>
                        </w:pPr>
                        <w:r>
                          <w:rPr>
                            <w:spacing w:val="-2"/>
                            <w:sz w:val="18"/>
                          </w:rPr>
                          <w:t>President</w:t>
                        </w:r>
                      </w:p>
                      <w:p w14:paraId="6CAA7394" w14:textId="77777777" w:rsidR="00AC6F3C" w:rsidRDefault="00570E88">
                        <w:pPr>
                          <w:spacing w:line="206" w:lineRule="exact"/>
                          <w:rPr>
                            <w:sz w:val="18"/>
                          </w:rPr>
                        </w:pPr>
                        <w:r>
                          <w:rPr>
                            <w:sz w:val="18"/>
                          </w:rPr>
                          <w:t>Queensland</w:t>
                        </w:r>
                        <w:r>
                          <w:rPr>
                            <w:spacing w:val="-4"/>
                            <w:sz w:val="18"/>
                          </w:rPr>
                          <w:t xml:space="preserve"> </w:t>
                        </w:r>
                        <w:r>
                          <w:rPr>
                            <w:sz w:val="18"/>
                          </w:rPr>
                          <w:t>Law</w:t>
                        </w:r>
                        <w:r>
                          <w:rPr>
                            <w:spacing w:val="-2"/>
                            <w:sz w:val="18"/>
                          </w:rPr>
                          <w:t xml:space="preserve"> Society</w:t>
                        </w:r>
                      </w:p>
                      <w:p w14:paraId="6220DB31" w14:textId="77777777" w:rsidR="00AC6F3C" w:rsidRDefault="00570E88">
                        <w:pPr>
                          <w:spacing w:line="207" w:lineRule="exact"/>
                          <w:rPr>
                            <w:sz w:val="18"/>
                          </w:rPr>
                        </w:pPr>
                        <w:r>
                          <w:rPr>
                            <w:sz w:val="18"/>
                          </w:rPr>
                          <w:t xml:space="preserve">Chloé </w:t>
                        </w:r>
                        <w:r>
                          <w:rPr>
                            <w:spacing w:val="-2"/>
                            <w:sz w:val="18"/>
                          </w:rPr>
                          <w:t>Kopilović</w:t>
                        </w:r>
                      </w:p>
                    </w:txbxContent>
                  </v:textbox>
                </v:shape>
                <v:shape id="Textbox 761" o:spid="_x0000_s1032" type="#_x0000_t202" style="position:absolute;left:30386;width:12789;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4FC911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v:textbox>
                </v:shape>
                <v:shape id="Textbox 762" o:spid="_x0000_s1033" type="#_x0000_t202" style="position:absolute;top:6567;width:81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75F6FE6F"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v:textbox>
                </v:shape>
                <v:shape id="Textbox 763" o:spid="_x0000_s1034" type="#_x0000_t202" style="position:absolute;left:30386;top:6567;width:81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51708250"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v:textbox>
                </v:shape>
                <w10:anchorlock/>
              </v:group>
            </w:pict>
          </mc:Fallback>
        </mc:AlternateContent>
      </w:r>
    </w:p>
    <w:p w14:paraId="20526BEC" w14:textId="77777777" w:rsidR="00AC6F3C" w:rsidRDefault="00AC6F3C">
      <w:pPr>
        <w:sectPr w:rsidR="00AC6F3C">
          <w:headerReference w:type="default" r:id="rId215"/>
          <w:footerReference w:type="default" r:id="rId216"/>
          <w:pgSz w:w="11910" w:h="16840"/>
          <w:pgMar w:top="1440" w:right="1160" w:bottom="520" w:left="460" w:header="0" w:footer="336" w:gutter="0"/>
          <w:cols w:space="720"/>
        </w:sectPr>
      </w:pPr>
    </w:p>
    <w:p w14:paraId="1502FCA7" w14:textId="77777777" w:rsidR="00AC6F3C" w:rsidRDefault="00AC6F3C">
      <w:pPr>
        <w:pStyle w:val="BodyText"/>
      </w:pPr>
    </w:p>
    <w:p w14:paraId="2EA343D3" w14:textId="77777777" w:rsidR="00AC6F3C" w:rsidRDefault="00AC6F3C">
      <w:pPr>
        <w:pStyle w:val="BodyText"/>
        <w:spacing w:before="7"/>
        <w:rPr>
          <w:sz w:val="26"/>
        </w:rPr>
      </w:pPr>
    </w:p>
    <w:p w14:paraId="486DAF1F" w14:textId="77777777" w:rsidR="00AC6F3C" w:rsidRDefault="00570E88">
      <w:pPr>
        <w:spacing w:before="90"/>
        <w:ind w:left="815"/>
        <w:rPr>
          <w:b/>
          <w:sz w:val="32"/>
        </w:rPr>
      </w:pPr>
      <w:r>
        <w:rPr>
          <w:b/>
          <w:sz w:val="32"/>
        </w:rPr>
        <w:t>INDEPENDENT</w:t>
      </w:r>
      <w:r>
        <w:rPr>
          <w:b/>
          <w:spacing w:val="-17"/>
          <w:sz w:val="32"/>
        </w:rPr>
        <w:t xml:space="preserve"> </w:t>
      </w:r>
      <w:r>
        <w:rPr>
          <w:b/>
          <w:sz w:val="32"/>
        </w:rPr>
        <w:t>AUDITOR’S</w:t>
      </w:r>
      <w:r>
        <w:rPr>
          <w:b/>
          <w:spacing w:val="-4"/>
          <w:sz w:val="32"/>
        </w:rPr>
        <w:t xml:space="preserve"> </w:t>
      </w:r>
      <w:r>
        <w:rPr>
          <w:b/>
          <w:spacing w:val="-2"/>
          <w:sz w:val="32"/>
        </w:rPr>
        <w:t>REPORT</w:t>
      </w:r>
    </w:p>
    <w:p w14:paraId="32E41E51" w14:textId="77777777" w:rsidR="00AC6F3C" w:rsidRDefault="00570E88">
      <w:pPr>
        <w:pStyle w:val="BodyText"/>
        <w:spacing w:before="155"/>
        <w:ind w:left="815"/>
      </w:pPr>
      <w:r>
        <w:t>To</w:t>
      </w:r>
      <w:r>
        <w:rPr>
          <w:spacing w:val="-6"/>
        </w:rPr>
        <w:t xml:space="preserve"> </w:t>
      </w:r>
      <w:r>
        <w:t>the</w:t>
      </w:r>
      <w:r>
        <w:rPr>
          <w:spacing w:val="-6"/>
        </w:rPr>
        <w:t xml:space="preserve"> </w:t>
      </w:r>
      <w:r>
        <w:t>Council</w:t>
      </w:r>
      <w:r>
        <w:rPr>
          <w:spacing w:val="-6"/>
        </w:rPr>
        <w:t xml:space="preserve"> </w:t>
      </w:r>
      <w:r>
        <w:t>of</w:t>
      </w:r>
      <w:r>
        <w:rPr>
          <w:spacing w:val="-6"/>
        </w:rPr>
        <w:t xml:space="preserve"> </w:t>
      </w:r>
      <w:r>
        <w:t>Queensland</w:t>
      </w:r>
      <w:r>
        <w:rPr>
          <w:spacing w:val="-6"/>
        </w:rPr>
        <w:t xml:space="preserve"> </w:t>
      </w:r>
      <w:r>
        <w:t>Law</w:t>
      </w:r>
      <w:r>
        <w:rPr>
          <w:spacing w:val="-6"/>
        </w:rPr>
        <w:t xml:space="preserve"> </w:t>
      </w:r>
      <w:r>
        <w:t>Society</w:t>
      </w:r>
      <w:r>
        <w:rPr>
          <w:spacing w:val="-6"/>
        </w:rPr>
        <w:t xml:space="preserve"> </w:t>
      </w:r>
      <w:r>
        <w:rPr>
          <w:spacing w:val="-2"/>
        </w:rPr>
        <w:t>Incorporated</w:t>
      </w:r>
    </w:p>
    <w:p w14:paraId="746BCC09" w14:textId="77777777" w:rsidR="00AC6F3C" w:rsidRDefault="00AC6F3C">
      <w:pPr>
        <w:pStyle w:val="BodyText"/>
        <w:spacing w:before="9"/>
        <w:rPr>
          <w:sz w:val="31"/>
        </w:rPr>
      </w:pPr>
    </w:p>
    <w:p w14:paraId="667F6177" w14:textId="77777777" w:rsidR="00AC6F3C" w:rsidRDefault="00570E88">
      <w:pPr>
        <w:ind w:left="815"/>
        <w:rPr>
          <w:b/>
          <w:sz w:val="26"/>
        </w:rPr>
      </w:pPr>
      <w:r>
        <w:rPr>
          <w:b/>
          <w:sz w:val="26"/>
        </w:rPr>
        <w:t>Report</w:t>
      </w:r>
      <w:r>
        <w:rPr>
          <w:b/>
          <w:spacing w:val="-1"/>
          <w:sz w:val="26"/>
        </w:rPr>
        <w:t xml:space="preserve"> </w:t>
      </w:r>
      <w:r>
        <w:rPr>
          <w:b/>
          <w:sz w:val="26"/>
        </w:rPr>
        <w:t>on</w:t>
      </w:r>
      <w:r>
        <w:rPr>
          <w:b/>
          <w:spacing w:val="-1"/>
          <w:sz w:val="26"/>
        </w:rPr>
        <w:t xml:space="preserve"> </w:t>
      </w:r>
      <w:r>
        <w:rPr>
          <w:b/>
          <w:sz w:val="26"/>
        </w:rPr>
        <w:t>the audit</w:t>
      </w:r>
      <w:r>
        <w:rPr>
          <w:b/>
          <w:spacing w:val="-1"/>
          <w:sz w:val="26"/>
        </w:rPr>
        <w:t xml:space="preserve"> </w:t>
      </w:r>
      <w:r>
        <w:rPr>
          <w:b/>
          <w:sz w:val="26"/>
        </w:rPr>
        <w:t>of the</w:t>
      </w:r>
      <w:r>
        <w:rPr>
          <w:b/>
          <w:spacing w:val="-1"/>
          <w:sz w:val="26"/>
        </w:rPr>
        <w:t xml:space="preserve"> </w:t>
      </w:r>
      <w:r>
        <w:rPr>
          <w:b/>
          <w:sz w:val="26"/>
        </w:rPr>
        <w:t xml:space="preserve">financial </w:t>
      </w:r>
      <w:r>
        <w:rPr>
          <w:b/>
          <w:spacing w:val="-2"/>
          <w:sz w:val="26"/>
        </w:rPr>
        <w:t>report</w:t>
      </w:r>
    </w:p>
    <w:p w14:paraId="3FCAF729" w14:textId="77777777" w:rsidR="00AC6F3C" w:rsidRDefault="00AC6F3C">
      <w:pPr>
        <w:pStyle w:val="BodyText"/>
        <w:spacing w:before="5"/>
        <w:rPr>
          <w:b/>
          <w:sz w:val="22"/>
        </w:rPr>
      </w:pPr>
    </w:p>
    <w:p w14:paraId="6878AD12" w14:textId="77777777" w:rsidR="00AC6F3C" w:rsidRDefault="00570E88">
      <w:pPr>
        <w:pStyle w:val="Heading9"/>
      </w:pPr>
      <w:r>
        <w:rPr>
          <w:spacing w:val="-2"/>
        </w:rPr>
        <w:t>Opinion</w:t>
      </w:r>
    </w:p>
    <w:p w14:paraId="789468D2" w14:textId="77777777" w:rsidR="00AC6F3C" w:rsidRDefault="00570E88">
      <w:pPr>
        <w:pStyle w:val="BodyText"/>
        <w:spacing w:before="176" w:line="249" w:lineRule="auto"/>
        <w:ind w:left="815" w:right="1424"/>
      </w:pPr>
      <w:r>
        <w:t>I</w:t>
      </w:r>
      <w:r>
        <w:rPr>
          <w:spacing w:val="-4"/>
        </w:rPr>
        <w:t xml:space="preserve"> </w:t>
      </w:r>
      <w:r>
        <w:t>have</w:t>
      </w:r>
      <w:r>
        <w:rPr>
          <w:spacing w:val="-4"/>
        </w:rPr>
        <w:t xml:space="preserve"> </w:t>
      </w:r>
      <w:r>
        <w:t>audited</w:t>
      </w:r>
      <w:r>
        <w:rPr>
          <w:spacing w:val="-4"/>
        </w:rPr>
        <w:t xml:space="preserve"> </w:t>
      </w:r>
      <w:r>
        <w:t>the</w:t>
      </w:r>
      <w:r>
        <w:rPr>
          <w:spacing w:val="-4"/>
        </w:rPr>
        <w:t xml:space="preserve"> </w:t>
      </w:r>
      <w:r>
        <w:t>accompanying</w:t>
      </w:r>
      <w:r>
        <w:rPr>
          <w:spacing w:val="-4"/>
        </w:rPr>
        <w:t xml:space="preserve"> </w:t>
      </w:r>
      <w:r>
        <w:t>financial</w:t>
      </w:r>
      <w:r>
        <w:rPr>
          <w:spacing w:val="-4"/>
        </w:rPr>
        <w:t xml:space="preserve"> </w:t>
      </w:r>
      <w:r>
        <w:t>report</w:t>
      </w:r>
      <w:r>
        <w:rPr>
          <w:spacing w:val="-4"/>
        </w:rPr>
        <w:t xml:space="preserve"> </w:t>
      </w:r>
      <w:r>
        <w:t>of</w:t>
      </w:r>
      <w:r>
        <w:rPr>
          <w:spacing w:val="-4"/>
        </w:rPr>
        <w:t xml:space="preserve"> </w:t>
      </w:r>
      <w:r>
        <w:t>Queensland</w:t>
      </w:r>
      <w:r>
        <w:rPr>
          <w:spacing w:val="-4"/>
        </w:rPr>
        <w:t xml:space="preserve"> </w:t>
      </w:r>
      <w:r>
        <w:t>Law</w:t>
      </w:r>
      <w:r>
        <w:rPr>
          <w:spacing w:val="-4"/>
        </w:rPr>
        <w:t xml:space="preserve"> </w:t>
      </w:r>
      <w:r>
        <w:t>Society</w:t>
      </w:r>
      <w:r>
        <w:rPr>
          <w:spacing w:val="-4"/>
        </w:rPr>
        <w:t xml:space="preserve"> </w:t>
      </w:r>
      <w:r>
        <w:t>Incorporated (the parent) and its controlled entities (the group).</w:t>
      </w:r>
    </w:p>
    <w:p w14:paraId="708645F5" w14:textId="77777777" w:rsidR="00AC6F3C" w:rsidRDefault="00570E88">
      <w:pPr>
        <w:pStyle w:val="BodyText"/>
        <w:spacing w:before="171"/>
        <w:ind w:left="815"/>
      </w:pPr>
      <w:r>
        <w:t>In</w:t>
      </w:r>
      <w:r>
        <w:rPr>
          <w:spacing w:val="-3"/>
        </w:rPr>
        <w:t xml:space="preserve"> </w:t>
      </w:r>
      <w:r>
        <w:t>my</w:t>
      </w:r>
      <w:r>
        <w:rPr>
          <w:spacing w:val="-2"/>
        </w:rPr>
        <w:t xml:space="preserve"> </w:t>
      </w:r>
      <w:r>
        <w:t>opinion,</w:t>
      </w:r>
      <w:r>
        <w:rPr>
          <w:spacing w:val="-2"/>
        </w:rPr>
        <w:t xml:space="preserve"> </w:t>
      </w:r>
      <w:r>
        <w:t>the</w:t>
      </w:r>
      <w:r>
        <w:rPr>
          <w:spacing w:val="-2"/>
        </w:rPr>
        <w:t xml:space="preserve"> </w:t>
      </w:r>
      <w:r>
        <w:t>financial</w:t>
      </w:r>
      <w:r>
        <w:rPr>
          <w:spacing w:val="-2"/>
        </w:rPr>
        <w:t xml:space="preserve"> report:</w:t>
      </w:r>
    </w:p>
    <w:p w14:paraId="6A36CA01" w14:textId="77777777" w:rsidR="00AC6F3C" w:rsidRDefault="00570E88">
      <w:pPr>
        <w:pStyle w:val="ListParagraph"/>
        <w:numPr>
          <w:ilvl w:val="0"/>
          <w:numId w:val="21"/>
        </w:numPr>
        <w:tabs>
          <w:tab w:val="left" w:pos="1269"/>
        </w:tabs>
        <w:spacing w:line="249" w:lineRule="auto"/>
        <w:ind w:right="1595"/>
        <w:rPr>
          <w:sz w:val="20"/>
        </w:rPr>
      </w:pPr>
      <w:r>
        <w:rPr>
          <w:sz w:val="20"/>
        </w:rPr>
        <w:t>gives</w:t>
      </w:r>
      <w:r>
        <w:rPr>
          <w:spacing w:val="-3"/>
          <w:sz w:val="20"/>
        </w:rPr>
        <w:t xml:space="preserve"> </w:t>
      </w:r>
      <w:r>
        <w:rPr>
          <w:sz w:val="20"/>
        </w:rPr>
        <w:t>a</w:t>
      </w:r>
      <w:r>
        <w:rPr>
          <w:spacing w:val="-3"/>
          <w:sz w:val="20"/>
        </w:rPr>
        <w:t xml:space="preserve"> </w:t>
      </w:r>
      <w:r>
        <w:rPr>
          <w:sz w:val="20"/>
        </w:rPr>
        <w:t>true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view</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parent’s</w:t>
      </w:r>
      <w:r>
        <w:rPr>
          <w:spacing w:val="-3"/>
          <w:sz w:val="20"/>
        </w:rPr>
        <w:t xml:space="preserve"> </w:t>
      </w:r>
      <w:r>
        <w:rPr>
          <w:sz w:val="20"/>
        </w:rPr>
        <w:t>and</w:t>
      </w:r>
      <w:r>
        <w:rPr>
          <w:spacing w:val="-3"/>
          <w:sz w:val="20"/>
        </w:rPr>
        <w:t xml:space="preserve"> </w:t>
      </w:r>
      <w:r>
        <w:rPr>
          <w:sz w:val="20"/>
        </w:rPr>
        <w:t>group’s</w:t>
      </w:r>
      <w:r>
        <w:rPr>
          <w:spacing w:val="-3"/>
          <w:sz w:val="20"/>
        </w:rPr>
        <w:t xml:space="preserve"> </w:t>
      </w:r>
      <w:r>
        <w:rPr>
          <w:sz w:val="20"/>
        </w:rPr>
        <w:t>financial</w:t>
      </w:r>
      <w:r>
        <w:rPr>
          <w:spacing w:val="-3"/>
          <w:sz w:val="20"/>
        </w:rPr>
        <w:t xml:space="preserve"> </w:t>
      </w:r>
      <w:r>
        <w:rPr>
          <w:sz w:val="20"/>
        </w:rPr>
        <w:t>position</w:t>
      </w:r>
      <w:r>
        <w:rPr>
          <w:spacing w:val="-3"/>
          <w:sz w:val="20"/>
        </w:rPr>
        <w:t xml:space="preserve"> </w:t>
      </w:r>
      <w:r>
        <w:rPr>
          <w:sz w:val="20"/>
        </w:rPr>
        <w:t>as</w:t>
      </w:r>
      <w:r>
        <w:rPr>
          <w:spacing w:val="-3"/>
          <w:sz w:val="20"/>
        </w:rPr>
        <w:t xml:space="preserve"> </w:t>
      </w:r>
      <w:r>
        <w:rPr>
          <w:sz w:val="20"/>
        </w:rPr>
        <w:t>at</w:t>
      </w:r>
      <w:r>
        <w:rPr>
          <w:spacing w:val="-3"/>
          <w:sz w:val="20"/>
        </w:rPr>
        <w:t xml:space="preserve"> </w:t>
      </w:r>
      <w:r>
        <w:rPr>
          <w:sz w:val="20"/>
        </w:rPr>
        <w:t>30</w:t>
      </w:r>
      <w:r>
        <w:rPr>
          <w:spacing w:val="-3"/>
          <w:sz w:val="20"/>
        </w:rPr>
        <w:t xml:space="preserve"> </w:t>
      </w:r>
      <w:r>
        <w:rPr>
          <w:sz w:val="20"/>
        </w:rPr>
        <w:t>June 2023, and their financial performance and cash flows for the year then ended</w:t>
      </w:r>
    </w:p>
    <w:p w14:paraId="52F067E5" w14:textId="77777777" w:rsidR="00AC6F3C" w:rsidRDefault="00570E88">
      <w:pPr>
        <w:pStyle w:val="ListParagraph"/>
        <w:numPr>
          <w:ilvl w:val="0"/>
          <w:numId w:val="21"/>
        </w:numPr>
        <w:tabs>
          <w:tab w:val="left" w:pos="1269"/>
        </w:tabs>
        <w:spacing w:before="172" w:line="249" w:lineRule="auto"/>
        <w:ind w:right="1670"/>
        <w:rPr>
          <w:sz w:val="20"/>
        </w:rPr>
      </w:pPr>
      <w:r>
        <w:rPr>
          <w:sz w:val="20"/>
        </w:rPr>
        <w:t>complies</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i/>
          <w:sz w:val="20"/>
        </w:rPr>
        <w:t>Financial</w:t>
      </w:r>
      <w:r>
        <w:rPr>
          <w:i/>
          <w:spacing w:val="-11"/>
          <w:sz w:val="20"/>
        </w:rPr>
        <w:t xml:space="preserve"> </w:t>
      </w:r>
      <w:r>
        <w:rPr>
          <w:i/>
          <w:sz w:val="20"/>
        </w:rPr>
        <w:t>Accountability</w:t>
      </w:r>
      <w:r>
        <w:rPr>
          <w:i/>
          <w:spacing w:val="-11"/>
          <w:sz w:val="20"/>
        </w:rPr>
        <w:t xml:space="preserve"> </w:t>
      </w:r>
      <w:r>
        <w:rPr>
          <w:i/>
          <w:sz w:val="20"/>
        </w:rPr>
        <w:t>Act</w:t>
      </w:r>
      <w:r>
        <w:rPr>
          <w:i/>
          <w:spacing w:val="-5"/>
          <w:sz w:val="20"/>
        </w:rPr>
        <w:t xml:space="preserve"> </w:t>
      </w:r>
      <w:r>
        <w:rPr>
          <w:i/>
          <w:sz w:val="20"/>
        </w:rPr>
        <w:t>2009</w:t>
      </w:r>
      <w:r>
        <w:rPr>
          <w:sz w:val="20"/>
        </w:rPr>
        <w:t>,</w:t>
      </w:r>
      <w:r>
        <w:rPr>
          <w:spacing w:val="-4"/>
          <w:sz w:val="20"/>
        </w:rPr>
        <w:t xml:space="preserve"> </w:t>
      </w:r>
      <w:r>
        <w:rPr>
          <w:sz w:val="20"/>
        </w:rPr>
        <w:t>the</w:t>
      </w:r>
      <w:r>
        <w:rPr>
          <w:spacing w:val="-4"/>
          <w:sz w:val="20"/>
        </w:rPr>
        <w:t xml:space="preserve"> </w:t>
      </w:r>
      <w:r>
        <w:rPr>
          <w:sz w:val="20"/>
        </w:rPr>
        <w:t>Financial</w:t>
      </w:r>
      <w:r>
        <w:rPr>
          <w:spacing w:val="-4"/>
          <w:sz w:val="20"/>
        </w:rPr>
        <w:t xml:space="preserve"> </w:t>
      </w:r>
      <w:r>
        <w:rPr>
          <w:sz w:val="20"/>
        </w:rPr>
        <w:t>and</w:t>
      </w:r>
      <w:r>
        <w:rPr>
          <w:spacing w:val="-4"/>
          <w:sz w:val="20"/>
        </w:rPr>
        <w:t xml:space="preserve"> </w:t>
      </w:r>
      <w:r>
        <w:rPr>
          <w:sz w:val="20"/>
        </w:rPr>
        <w:t>Performance Management Standard 2019 and Australian Accounting Standards.</w:t>
      </w:r>
    </w:p>
    <w:p w14:paraId="6BCEACBB" w14:textId="77777777" w:rsidR="00AC6F3C" w:rsidRDefault="00570E88">
      <w:pPr>
        <w:pStyle w:val="BodyText"/>
        <w:spacing w:before="172" w:line="249" w:lineRule="auto"/>
        <w:ind w:left="815" w:right="632"/>
      </w:pPr>
      <w:r>
        <w:t>The</w:t>
      </w:r>
      <w:r>
        <w:rPr>
          <w:spacing w:val="-3"/>
        </w:rPr>
        <w:t xml:space="preserve"> </w:t>
      </w:r>
      <w:r>
        <w:t>financial</w:t>
      </w:r>
      <w:r>
        <w:rPr>
          <w:spacing w:val="-3"/>
        </w:rPr>
        <w:t xml:space="preserve"> </w:t>
      </w:r>
      <w:r>
        <w:t>report</w:t>
      </w:r>
      <w:r>
        <w:rPr>
          <w:spacing w:val="-3"/>
        </w:rPr>
        <w:t xml:space="preserve"> </w:t>
      </w:r>
      <w:r>
        <w:t>comprises</w:t>
      </w:r>
      <w:r>
        <w:rPr>
          <w:spacing w:val="-3"/>
        </w:rPr>
        <w:t xml:space="preserve"> </w:t>
      </w:r>
      <w:r>
        <w:t>the</w:t>
      </w:r>
      <w:r>
        <w:rPr>
          <w:spacing w:val="-3"/>
        </w:rPr>
        <w:t xml:space="preserve"> </w:t>
      </w:r>
      <w:r>
        <w:t>statements</w:t>
      </w:r>
      <w:r>
        <w:rPr>
          <w:spacing w:val="-3"/>
        </w:rPr>
        <w:t xml:space="preserve"> </w:t>
      </w:r>
      <w:r>
        <w:t>of</w:t>
      </w:r>
      <w:r>
        <w:rPr>
          <w:spacing w:val="-3"/>
        </w:rPr>
        <w:t xml:space="preserve"> </w:t>
      </w:r>
      <w:r>
        <w:t>financial</w:t>
      </w:r>
      <w:r>
        <w:rPr>
          <w:spacing w:val="-3"/>
        </w:rPr>
        <w:t xml:space="preserve"> </w:t>
      </w:r>
      <w:r>
        <w:t>position</w:t>
      </w:r>
      <w:r>
        <w:rPr>
          <w:spacing w:val="-3"/>
        </w:rPr>
        <w:t xml:space="preserve"> </w:t>
      </w:r>
      <w:r>
        <w:t>as</w:t>
      </w:r>
      <w:r>
        <w:rPr>
          <w:spacing w:val="-3"/>
        </w:rPr>
        <w:t xml:space="preserve"> </w:t>
      </w:r>
      <w:r>
        <w:t>at</w:t>
      </w:r>
      <w:r>
        <w:rPr>
          <w:spacing w:val="-3"/>
        </w:rPr>
        <w:t xml:space="preserve"> </w:t>
      </w:r>
      <w:r>
        <w:t>30</w:t>
      </w:r>
      <w:r>
        <w:rPr>
          <w:spacing w:val="-3"/>
        </w:rPr>
        <w:t xml:space="preserve"> </w:t>
      </w:r>
      <w:r>
        <w:t>June</w:t>
      </w:r>
      <w:r>
        <w:rPr>
          <w:spacing w:val="-3"/>
        </w:rPr>
        <w:t xml:space="preserve"> </w:t>
      </w:r>
      <w:r>
        <w:t>2023,</w:t>
      </w:r>
      <w:r>
        <w:rPr>
          <w:spacing w:val="-3"/>
        </w:rPr>
        <w:t xml:space="preserve"> </w:t>
      </w:r>
      <w:r>
        <w:t>the statements of comprehensive income, statements of changes in equity and statements</w:t>
      </w:r>
    </w:p>
    <w:p w14:paraId="72C57B64" w14:textId="77777777" w:rsidR="00AC6F3C" w:rsidRDefault="00570E88">
      <w:pPr>
        <w:pStyle w:val="BodyText"/>
        <w:spacing w:before="1" w:line="249" w:lineRule="auto"/>
        <w:ind w:left="815" w:right="990"/>
      </w:pPr>
      <w:r>
        <w:t>of</w:t>
      </w:r>
      <w:r>
        <w:rPr>
          <w:spacing w:val="-3"/>
        </w:rPr>
        <w:t xml:space="preserve"> </w:t>
      </w:r>
      <w:r>
        <w:t>cash</w:t>
      </w:r>
      <w:r>
        <w:rPr>
          <w:spacing w:val="-3"/>
        </w:rPr>
        <w:t xml:space="preserve"> </w:t>
      </w:r>
      <w:r>
        <w:t>flows</w:t>
      </w:r>
      <w:r>
        <w:rPr>
          <w:spacing w:val="-3"/>
        </w:rPr>
        <w:t xml:space="preserve"> </w:t>
      </w:r>
      <w:r>
        <w:t>for</w:t>
      </w:r>
      <w:r>
        <w:rPr>
          <w:spacing w:val="-3"/>
        </w:rPr>
        <w:t xml:space="preserve"> </w:t>
      </w:r>
      <w:r>
        <w:t>the</w:t>
      </w:r>
      <w:r>
        <w:rPr>
          <w:spacing w:val="-3"/>
        </w:rPr>
        <w:t xml:space="preserve"> </w:t>
      </w:r>
      <w:r>
        <w:t>year</w:t>
      </w:r>
      <w:r>
        <w:rPr>
          <w:spacing w:val="-3"/>
        </w:rPr>
        <w:t xml:space="preserve"> </w:t>
      </w:r>
      <w:r>
        <w:t>then</w:t>
      </w:r>
      <w:r>
        <w:rPr>
          <w:spacing w:val="-3"/>
        </w:rPr>
        <w:t xml:space="preserve"> </w:t>
      </w:r>
      <w:r>
        <w:t>ended,</w:t>
      </w:r>
      <w:r>
        <w:rPr>
          <w:spacing w:val="-3"/>
        </w:rPr>
        <w:t xml:space="preserve"> </w:t>
      </w:r>
      <w:r>
        <w:t>notes</w:t>
      </w:r>
      <w:r>
        <w:rPr>
          <w:spacing w:val="-3"/>
        </w:rPr>
        <w:t xml:space="preserve"> </w:t>
      </w:r>
      <w:r>
        <w:t>to</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including</w:t>
      </w:r>
      <w:r>
        <w:rPr>
          <w:spacing w:val="-3"/>
        </w:rPr>
        <w:t xml:space="preserve"> </w:t>
      </w:r>
      <w:r>
        <w:t>material accounting policy information and the management certificate.</w:t>
      </w:r>
    </w:p>
    <w:p w14:paraId="1D1B961A" w14:textId="77777777" w:rsidR="00AC6F3C" w:rsidRDefault="00570E88">
      <w:pPr>
        <w:pStyle w:val="BodyText"/>
        <w:spacing w:before="172"/>
        <w:ind w:left="815"/>
      </w:pPr>
      <w:r>
        <w:t xml:space="preserve">Basis for </w:t>
      </w:r>
      <w:r>
        <w:rPr>
          <w:spacing w:val="-2"/>
        </w:rPr>
        <w:t>opinion</w:t>
      </w:r>
    </w:p>
    <w:p w14:paraId="465A3724" w14:textId="77777777" w:rsidR="00AC6F3C" w:rsidRDefault="00570E88">
      <w:pPr>
        <w:spacing w:before="180" w:line="249" w:lineRule="auto"/>
        <w:ind w:left="815" w:right="1183"/>
        <w:rPr>
          <w:sz w:val="20"/>
        </w:rPr>
      </w:pPr>
      <w:r>
        <w:rPr>
          <w:sz w:val="20"/>
        </w:rPr>
        <w:t xml:space="preserve">I conducted my audit in accordance with the </w:t>
      </w:r>
      <w:r>
        <w:rPr>
          <w:i/>
          <w:sz w:val="20"/>
        </w:rPr>
        <w:t>Auditor-General Auditing Standards</w:t>
      </w:r>
      <w:r>
        <w:rPr>
          <w:sz w:val="20"/>
        </w:rPr>
        <w:t>, which incorporate the</w:t>
      </w:r>
      <w:r>
        <w:rPr>
          <w:spacing w:val="-8"/>
          <w:sz w:val="20"/>
        </w:rPr>
        <w:t xml:space="preserve"> </w:t>
      </w:r>
      <w:r>
        <w:rPr>
          <w:sz w:val="20"/>
        </w:rPr>
        <w:t>Australian</w:t>
      </w:r>
      <w:r>
        <w:rPr>
          <w:spacing w:val="-8"/>
          <w:sz w:val="20"/>
        </w:rPr>
        <w:t xml:space="preserve"> </w:t>
      </w:r>
      <w:r>
        <w:rPr>
          <w:sz w:val="20"/>
        </w:rPr>
        <w:t>Auditing Standards. My responsibilities under those standards are further</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i/>
          <w:sz w:val="20"/>
        </w:rPr>
        <w:t>Auditor’s</w:t>
      </w:r>
      <w:r>
        <w:rPr>
          <w:i/>
          <w:spacing w:val="-3"/>
          <w:sz w:val="20"/>
        </w:rPr>
        <w:t xml:space="preserve"> </w:t>
      </w:r>
      <w:r>
        <w:rPr>
          <w:i/>
          <w:sz w:val="20"/>
        </w:rPr>
        <w:t>Responsibilities</w:t>
      </w:r>
      <w:r>
        <w:rPr>
          <w:i/>
          <w:spacing w:val="-3"/>
          <w:sz w:val="20"/>
        </w:rPr>
        <w:t xml:space="preserve"> </w:t>
      </w:r>
      <w:r>
        <w:rPr>
          <w:i/>
          <w:sz w:val="20"/>
        </w:rPr>
        <w:t>for</w:t>
      </w:r>
      <w:r>
        <w:rPr>
          <w:i/>
          <w:spacing w:val="-3"/>
          <w:sz w:val="20"/>
        </w:rPr>
        <w:t xml:space="preserve"> </w:t>
      </w:r>
      <w:r>
        <w:rPr>
          <w:i/>
          <w:sz w:val="20"/>
        </w:rPr>
        <w:t>the</w:t>
      </w:r>
      <w:r>
        <w:rPr>
          <w:i/>
          <w:spacing w:val="-10"/>
          <w:sz w:val="20"/>
        </w:rPr>
        <w:t xml:space="preserve"> </w:t>
      </w:r>
      <w:r>
        <w:rPr>
          <w:i/>
          <w:sz w:val="20"/>
        </w:rPr>
        <w:t>Audit</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Financial</w:t>
      </w:r>
      <w:r>
        <w:rPr>
          <w:i/>
          <w:spacing w:val="-3"/>
          <w:sz w:val="20"/>
        </w:rPr>
        <w:t xml:space="preserve"> </w:t>
      </w:r>
      <w:r>
        <w:rPr>
          <w:i/>
          <w:sz w:val="20"/>
        </w:rPr>
        <w:t>Report</w:t>
      </w:r>
      <w:r>
        <w:rPr>
          <w:i/>
          <w:spacing w:val="-4"/>
          <w:sz w:val="20"/>
        </w:rPr>
        <w:t xml:space="preserve"> </w:t>
      </w:r>
      <w:r>
        <w:rPr>
          <w:sz w:val="20"/>
        </w:rPr>
        <w:t>section of my report.</w:t>
      </w:r>
    </w:p>
    <w:p w14:paraId="0E0235CD" w14:textId="77777777" w:rsidR="00AC6F3C" w:rsidRDefault="00570E88">
      <w:pPr>
        <w:pStyle w:val="BodyText"/>
        <w:spacing w:before="173" w:line="249" w:lineRule="auto"/>
        <w:ind w:left="815" w:right="1424"/>
      </w:pPr>
      <w:r>
        <w:t>I am independent of the parent and group in accordance with the ethical requirements of the</w:t>
      </w:r>
      <w:r>
        <w:rPr>
          <w:spacing w:val="-6"/>
        </w:rPr>
        <w:t xml:space="preserve"> </w:t>
      </w:r>
      <w:r>
        <w:t>Accounting Professional and Ethical Standards Board’s</w:t>
      </w:r>
      <w:r>
        <w:rPr>
          <w:spacing w:val="-6"/>
        </w:rPr>
        <w:t xml:space="preserve"> </w:t>
      </w:r>
      <w:r>
        <w:t xml:space="preserve">APES 110 </w:t>
      </w:r>
      <w:r>
        <w:rPr>
          <w:i/>
        </w:rPr>
        <w:t>Code of Ethics for Professional</w:t>
      </w:r>
      <w:r>
        <w:rPr>
          <w:i/>
          <w:spacing w:val="-9"/>
        </w:rPr>
        <w:t xml:space="preserve"> </w:t>
      </w:r>
      <w:r>
        <w:rPr>
          <w:i/>
        </w:rPr>
        <w:t>Accountants</w:t>
      </w:r>
      <w:r>
        <w:rPr>
          <w:i/>
          <w:spacing w:val="-1"/>
        </w:rPr>
        <w:t xml:space="preserve"> </w:t>
      </w:r>
      <w:r>
        <w:t>(the</w:t>
      </w:r>
      <w:r>
        <w:rPr>
          <w:spacing w:val="-1"/>
        </w:rPr>
        <w:t xml:space="preserve"> </w:t>
      </w:r>
      <w:r>
        <w:t>Code)</w:t>
      </w:r>
      <w:r>
        <w:rPr>
          <w:spacing w:val="-1"/>
        </w:rPr>
        <w:t xml:space="preserve"> </w:t>
      </w:r>
      <w:r>
        <w:t>that</w:t>
      </w:r>
      <w:r>
        <w:rPr>
          <w:spacing w:val="-1"/>
        </w:rPr>
        <w:t xml:space="preserve"> </w:t>
      </w:r>
      <w:r>
        <w:t>are</w:t>
      </w:r>
      <w:r>
        <w:rPr>
          <w:spacing w:val="-1"/>
        </w:rPr>
        <w:t xml:space="preserve"> </w:t>
      </w:r>
      <w:r>
        <w:t>relevant</w:t>
      </w:r>
      <w:r>
        <w:rPr>
          <w:spacing w:val="-1"/>
        </w:rPr>
        <w:t xml:space="preserve"> </w:t>
      </w:r>
      <w:r>
        <w:t>to</w:t>
      </w:r>
      <w:r>
        <w:rPr>
          <w:spacing w:val="-1"/>
        </w:rPr>
        <w:t xml:space="preserve"> </w:t>
      </w:r>
      <w:r>
        <w:t>my</w:t>
      </w:r>
      <w:r>
        <w:rPr>
          <w:spacing w:val="-1"/>
        </w:rPr>
        <w:t xml:space="preserve"> </w:t>
      </w:r>
      <w:r>
        <w:t>audit</w:t>
      </w:r>
      <w:r>
        <w:rPr>
          <w:spacing w:val="-1"/>
        </w:rPr>
        <w:t xml:space="preserve"> </w:t>
      </w:r>
      <w:r>
        <w:t>of</w:t>
      </w:r>
      <w:r>
        <w:rPr>
          <w:spacing w:val="-1"/>
        </w:rPr>
        <w:t xml:space="preserve"> </w:t>
      </w:r>
      <w:r>
        <w:t>the</w:t>
      </w:r>
      <w:r>
        <w:rPr>
          <w:spacing w:val="-1"/>
        </w:rPr>
        <w:t xml:space="preserve"> </w:t>
      </w:r>
      <w:r>
        <w:t>financial</w:t>
      </w:r>
      <w:r>
        <w:rPr>
          <w:spacing w:val="-1"/>
        </w:rPr>
        <w:t xml:space="preserve"> </w:t>
      </w:r>
      <w:r>
        <w:t>report</w:t>
      </w:r>
      <w:r>
        <w:rPr>
          <w:spacing w:val="-1"/>
        </w:rPr>
        <w:t xml:space="preserve"> </w:t>
      </w:r>
      <w:r>
        <w:t>in Australia.</w:t>
      </w:r>
      <w:r>
        <w:rPr>
          <w:spacing w:val="-3"/>
        </w:rPr>
        <w:t xml:space="preserve"> </w:t>
      </w:r>
      <w:r>
        <w:t>I</w:t>
      </w:r>
      <w:r>
        <w:rPr>
          <w:spacing w:val="-3"/>
        </w:rPr>
        <w:t xml:space="preserve"> </w:t>
      </w:r>
      <w:r>
        <w:t>have</w:t>
      </w:r>
      <w:r>
        <w:rPr>
          <w:spacing w:val="-3"/>
        </w:rPr>
        <w:t xml:space="preserve"> </w:t>
      </w:r>
      <w:r>
        <w:t>also</w:t>
      </w:r>
      <w:r>
        <w:rPr>
          <w:spacing w:val="-3"/>
        </w:rPr>
        <w:t xml:space="preserve"> </w:t>
      </w:r>
      <w:r>
        <w:t>fulfilled</w:t>
      </w:r>
      <w:r>
        <w:rPr>
          <w:spacing w:val="-3"/>
        </w:rPr>
        <w:t xml:space="preserve"> </w:t>
      </w:r>
      <w:r>
        <w:t>my</w:t>
      </w:r>
      <w:r>
        <w:rPr>
          <w:spacing w:val="-3"/>
        </w:rPr>
        <w:t xml:space="preserve"> </w:t>
      </w:r>
      <w:r>
        <w:t>other</w:t>
      </w:r>
      <w:r>
        <w:rPr>
          <w:spacing w:val="-3"/>
        </w:rPr>
        <w:t xml:space="preserve"> </w:t>
      </w:r>
      <w:r>
        <w:t>ethical</w:t>
      </w:r>
      <w:r>
        <w:rPr>
          <w:spacing w:val="-3"/>
        </w:rPr>
        <w:t xml:space="preserve"> </w:t>
      </w:r>
      <w:r>
        <w:t>responsibilities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 xml:space="preserve">Code and the </w:t>
      </w:r>
      <w:r>
        <w:rPr>
          <w:i/>
        </w:rPr>
        <w:t>Auditor-General Auditing Standards</w:t>
      </w:r>
      <w:r>
        <w:t>.</w:t>
      </w:r>
    </w:p>
    <w:p w14:paraId="05D6A529" w14:textId="77777777" w:rsidR="00AC6F3C" w:rsidRDefault="00570E88">
      <w:pPr>
        <w:pStyle w:val="BodyText"/>
        <w:spacing w:before="174" w:line="249" w:lineRule="auto"/>
        <w:ind w:left="815" w:right="1424"/>
      </w:pPr>
      <w:r>
        <w:t>I</w:t>
      </w:r>
      <w:r>
        <w:rPr>
          <w:spacing w:val="-3"/>
        </w:rPr>
        <w:t xml:space="preserve"> </w:t>
      </w:r>
      <w:r>
        <w:t>believe</w:t>
      </w:r>
      <w:r>
        <w:rPr>
          <w:spacing w:val="-3"/>
        </w:rPr>
        <w:t xml:space="preserve"> </w:t>
      </w:r>
      <w:r>
        <w:t>that</w:t>
      </w:r>
      <w:r>
        <w:rPr>
          <w:spacing w:val="-3"/>
        </w:rPr>
        <w:t xml:space="preserve"> </w:t>
      </w:r>
      <w:r>
        <w:t>the</w:t>
      </w:r>
      <w:r>
        <w:rPr>
          <w:spacing w:val="-3"/>
        </w:rPr>
        <w:t xml:space="preserve"> </w:t>
      </w:r>
      <w:r>
        <w:t>audit</w:t>
      </w:r>
      <w:r>
        <w:rPr>
          <w:spacing w:val="-3"/>
        </w:rPr>
        <w:t xml:space="preserve"> </w:t>
      </w:r>
      <w:r>
        <w:t>evidence</w:t>
      </w:r>
      <w:r>
        <w:rPr>
          <w:spacing w:val="-3"/>
        </w:rPr>
        <w:t xml:space="preserve"> </w:t>
      </w:r>
      <w:r>
        <w:t>I</w:t>
      </w:r>
      <w:r>
        <w:rPr>
          <w:spacing w:val="-3"/>
        </w:rPr>
        <w:t xml:space="preserve"> </w:t>
      </w:r>
      <w:r>
        <w:t>have</w:t>
      </w:r>
      <w:r>
        <w:rPr>
          <w:spacing w:val="-3"/>
        </w:rPr>
        <w:t xml:space="preserve"> </w:t>
      </w:r>
      <w:r>
        <w:t>obtained</w:t>
      </w:r>
      <w:r>
        <w:rPr>
          <w:spacing w:val="-3"/>
        </w:rPr>
        <w:t xml:space="preserve"> </w:t>
      </w:r>
      <w:r>
        <w:t>is</w:t>
      </w:r>
      <w:r>
        <w:rPr>
          <w:spacing w:val="-3"/>
        </w:rPr>
        <w:t xml:space="preserve"> </w:t>
      </w:r>
      <w:r>
        <w:t>sufficient</w:t>
      </w:r>
      <w:r>
        <w:rPr>
          <w:spacing w:val="-3"/>
        </w:rPr>
        <w:t xml:space="preserve"> </w:t>
      </w:r>
      <w:r>
        <w:t>and</w:t>
      </w:r>
      <w:r>
        <w:rPr>
          <w:spacing w:val="-3"/>
        </w:rPr>
        <w:t xml:space="preserve"> </w:t>
      </w:r>
      <w:r>
        <w:t>appropriate</w:t>
      </w:r>
      <w:r>
        <w:rPr>
          <w:spacing w:val="-3"/>
        </w:rPr>
        <w:t xml:space="preserve"> </w:t>
      </w:r>
      <w:r>
        <w:t>to</w:t>
      </w:r>
      <w:r>
        <w:rPr>
          <w:spacing w:val="-3"/>
        </w:rPr>
        <w:t xml:space="preserve"> </w:t>
      </w:r>
      <w:r>
        <w:t>provide</w:t>
      </w:r>
      <w:r>
        <w:rPr>
          <w:spacing w:val="-3"/>
        </w:rPr>
        <w:t xml:space="preserve"> </w:t>
      </w:r>
      <w:r>
        <w:t>a basis for my opinion.</w:t>
      </w:r>
    </w:p>
    <w:p w14:paraId="168AC567" w14:textId="77777777" w:rsidR="00AC6F3C" w:rsidRDefault="00AC6F3C">
      <w:pPr>
        <w:pStyle w:val="BodyText"/>
        <w:spacing w:before="10"/>
        <w:rPr>
          <w:sz w:val="22"/>
        </w:rPr>
      </w:pPr>
    </w:p>
    <w:p w14:paraId="64C3BA09" w14:textId="77777777" w:rsidR="00AC6F3C" w:rsidRDefault="00570E88">
      <w:pPr>
        <w:pStyle w:val="Heading9"/>
      </w:pPr>
      <w:r>
        <w:t>Responsibilities</w:t>
      </w:r>
      <w:r>
        <w:rPr>
          <w:spacing w:val="-4"/>
        </w:rPr>
        <w:t xml:space="preserve"> </w:t>
      </w:r>
      <w:r>
        <w:t>of</w:t>
      </w:r>
      <w:r>
        <w:rPr>
          <w:spacing w:val="-4"/>
        </w:rPr>
        <w:t xml:space="preserve"> </w:t>
      </w:r>
      <w:r>
        <w:t>the</w:t>
      </w:r>
      <w:r>
        <w:rPr>
          <w:spacing w:val="-4"/>
        </w:rPr>
        <w:t xml:space="preserve"> </w:t>
      </w:r>
      <w:r>
        <w:t>entity</w:t>
      </w:r>
      <w:r>
        <w:rPr>
          <w:spacing w:val="-3"/>
        </w:rPr>
        <w:t xml:space="preserve"> </w:t>
      </w:r>
      <w:r>
        <w:t>for</w:t>
      </w:r>
      <w:r>
        <w:rPr>
          <w:spacing w:val="-4"/>
        </w:rPr>
        <w:t xml:space="preserve"> </w:t>
      </w:r>
      <w:r>
        <w:t>the</w:t>
      </w:r>
      <w:r>
        <w:rPr>
          <w:spacing w:val="-4"/>
        </w:rPr>
        <w:t xml:space="preserve"> </w:t>
      </w:r>
      <w:r>
        <w:t>financial</w:t>
      </w:r>
      <w:r>
        <w:rPr>
          <w:spacing w:val="-3"/>
        </w:rPr>
        <w:t xml:space="preserve"> </w:t>
      </w:r>
      <w:r>
        <w:rPr>
          <w:spacing w:val="-2"/>
        </w:rPr>
        <w:t>report</w:t>
      </w:r>
    </w:p>
    <w:p w14:paraId="43C4DF42" w14:textId="77777777" w:rsidR="00AC6F3C" w:rsidRDefault="00570E88">
      <w:pPr>
        <w:pStyle w:val="BodyText"/>
        <w:spacing w:before="176" w:line="249" w:lineRule="auto"/>
        <w:ind w:left="815" w:right="1683"/>
      </w:pPr>
      <w:r>
        <w:t>The Council is responsible for the preparation of the financial report that gives a true</w:t>
      </w:r>
      <w:r>
        <w:rPr>
          <w:spacing w:val="40"/>
        </w:rPr>
        <w:t xml:space="preserve"> </w:t>
      </w:r>
      <w:r>
        <w:t>and</w:t>
      </w:r>
      <w:r>
        <w:rPr>
          <w:spacing w:val="-2"/>
        </w:rPr>
        <w:t xml:space="preserve"> </w:t>
      </w:r>
      <w:r>
        <w:t>fair</w:t>
      </w:r>
      <w:r>
        <w:rPr>
          <w:spacing w:val="-2"/>
        </w:rPr>
        <w:t xml:space="preserve"> </w:t>
      </w:r>
      <w:r>
        <w:t>view</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rPr>
          <w:i/>
        </w:rPr>
        <w:t>Financial</w:t>
      </w:r>
      <w:r>
        <w:rPr>
          <w:i/>
          <w:spacing w:val="-10"/>
        </w:rPr>
        <w:t xml:space="preserve"> </w:t>
      </w:r>
      <w:r>
        <w:rPr>
          <w:i/>
        </w:rPr>
        <w:t>Accountability</w:t>
      </w:r>
      <w:r>
        <w:rPr>
          <w:i/>
          <w:spacing w:val="-10"/>
        </w:rPr>
        <w:t xml:space="preserve"> </w:t>
      </w:r>
      <w:r>
        <w:rPr>
          <w:i/>
        </w:rPr>
        <w:t>Act</w:t>
      </w:r>
      <w:r>
        <w:rPr>
          <w:i/>
          <w:spacing w:val="-2"/>
        </w:rPr>
        <w:t xml:space="preserve"> </w:t>
      </w:r>
      <w:r>
        <w:rPr>
          <w:i/>
        </w:rPr>
        <w:t>2009</w:t>
      </w:r>
      <w:r>
        <w:t>,</w:t>
      </w:r>
      <w:r>
        <w:rPr>
          <w:spacing w:val="-2"/>
        </w:rPr>
        <w:t xml:space="preserve"> </w:t>
      </w:r>
      <w:r>
        <w:t>the</w:t>
      </w:r>
      <w:r>
        <w:rPr>
          <w:spacing w:val="-2"/>
        </w:rPr>
        <w:t xml:space="preserve"> </w:t>
      </w:r>
      <w:r>
        <w:t>Financial</w:t>
      </w:r>
      <w:r>
        <w:rPr>
          <w:spacing w:val="-2"/>
        </w:rPr>
        <w:t xml:space="preserve"> </w:t>
      </w:r>
      <w:r>
        <w:t>and Performance</w:t>
      </w:r>
      <w:r>
        <w:rPr>
          <w:spacing w:val="-9"/>
        </w:rPr>
        <w:t xml:space="preserve"> </w:t>
      </w:r>
      <w:r>
        <w:t>Management</w:t>
      </w:r>
      <w:r>
        <w:rPr>
          <w:spacing w:val="-5"/>
        </w:rPr>
        <w:t xml:space="preserve"> </w:t>
      </w:r>
      <w:r>
        <w:t>Standard</w:t>
      </w:r>
      <w:r>
        <w:rPr>
          <w:spacing w:val="-5"/>
        </w:rPr>
        <w:t xml:space="preserve"> </w:t>
      </w:r>
      <w:r>
        <w:t>2019</w:t>
      </w:r>
      <w:r>
        <w:rPr>
          <w:spacing w:val="-5"/>
        </w:rPr>
        <w:t xml:space="preserve"> </w:t>
      </w:r>
      <w:r>
        <w:t>and</w:t>
      </w:r>
      <w:r>
        <w:rPr>
          <w:spacing w:val="-14"/>
        </w:rPr>
        <w:t xml:space="preserve"> </w:t>
      </w:r>
      <w:r>
        <w:t>Australian</w:t>
      </w:r>
      <w:r>
        <w:rPr>
          <w:spacing w:val="-14"/>
        </w:rPr>
        <w:t xml:space="preserve"> </w:t>
      </w:r>
      <w:r>
        <w:t>Accounting</w:t>
      </w:r>
      <w:r>
        <w:rPr>
          <w:spacing w:val="-5"/>
        </w:rPr>
        <w:t xml:space="preserve"> </w:t>
      </w:r>
      <w:r>
        <w:t>Standards,</w:t>
      </w:r>
      <w:r>
        <w:rPr>
          <w:spacing w:val="-5"/>
        </w:rPr>
        <w:t xml:space="preserve"> </w:t>
      </w:r>
      <w:r>
        <w:t>and</w:t>
      </w:r>
      <w:r>
        <w:rPr>
          <w:spacing w:val="-4"/>
        </w:rPr>
        <w:t xml:space="preserve"> </w:t>
      </w:r>
      <w:r>
        <w:rPr>
          <w:spacing w:val="-5"/>
        </w:rPr>
        <w:t>for</w:t>
      </w:r>
    </w:p>
    <w:p w14:paraId="72B5C7B5" w14:textId="77777777" w:rsidR="00AC6F3C" w:rsidRDefault="00570E88">
      <w:pPr>
        <w:pStyle w:val="BodyText"/>
        <w:spacing w:before="2" w:line="249" w:lineRule="auto"/>
        <w:ind w:left="815" w:right="990"/>
      </w:pPr>
      <w:r>
        <w:t>such</w:t>
      </w:r>
      <w:r>
        <w:rPr>
          <w:spacing w:val="-3"/>
        </w:rPr>
        <w:t xml:space="preserve"> </w:t>
      </w:r>
      <w:r>
        <w:t>internal</w:t>
      </w:r>
      <w:r>
        <w:rPr>
          <w:spacing w:val="-3"/>
        </w:rPr>
        <w:t xml:space="preserve"> </w:t>
      </w:r>
      <w:r>
        <w:t>control</w:t>
      </w:r>
      <w:r>
        <w:rPr>
          <w:spacing w:val="-3"/>
        </w:rPr>
        <w:t xml:space="preserve"> </w:t>
      </w:r>
      <w:r>
        <w:t>as</w:t>
      </w:r>
      <w:r>
        <w:rPr>
          <w:spacing w:val="-3"/>
        </w:rPr>
        <w:t xml:space="preserve"> </w:t>
      </w:r>
      <w:r>
        <w:t>the</w:t>
      </w:r>
      <w:r>
        <w:rPr>
          <w:spacing w:val="-3"/>
        </w:rPr>
        <w:t xml:space="preserve"> </w:t>
      </w:r>
      <w:r>
        <w:t>Council</w:t>
      </w:r>
      <w:r>
        <w:rPr>
          <w:spacing w:val="-3"/>
        </w:rPr>
        <w:t xml:space="preserve"> </w:t>
      </w:r>
      <w:r>
        <w:t>determines</w:t>
      </w:r>
      <w:r>
        <w:rPr>
          <w:spacing w:val="-3"/>
        </w:rPr>
        <w:t xml:space="preserve"> </w:t>
      </w:r>
      <w:r>
        <w:t>is</w:t>
      </w:r>
      <w:r>
        <w:rPr>
          <w:spacing w:val="-3"/>
        </w:rPr>
        <w:t xml:space="preserve"> </w:t>
      </w:r>
      <w:r>
        <w:t>necessary</w:t>
      </w:r>
      <w:r>
        <w:rPr>
          <w:spacing w:val="-3"/>
        </w:rPr>
        <w:t xml:space="preserve"> </w:t>
      </w:r>
      <w:r>
        <w:t>to</w:t>
      </w:r>
      <w:r>
        <w:rPr>
          <w:spacing w:val="-3"/>
        </w:rPr>
        <w:t xml:space="preserve"> </w:t>
      </w:r>
      <w:r>
        <w:t>enable</w:t>
      </w:r>
      <w:r>
        <w:rPr>
          <w:spacing w:val="-3"/>
        </w:rPr>
        <w:t xml:space="preserve"> </w:t>
      </w:r>
      <w:r>
        <w:t>the</w:t>
      </w:r>
      <w:r>
        <w:rPr>
          <w:spacing w:val="-3"/>
        </w:rPr>
        <w:t xml:space="preserve"> </w:t>
      </w:r>
      <w:r>
        <w:t>preparation</w:t>
      </w:r>
      <w:r>
        <w:rPr>
          <w:spacing w:val="-3"/>
        </w:rPr>
        <w:t xml:space="preserve"> </w:t>
      </w:r>
      <w:r>
        <w:t>of</w:t>
      </w:r>
      <w:r>
        <w:rPr>
          <w:spacing w:val="-3"/>
        </w:rPr>
        <w:t xml:space="preserve"> </w:t>
      </w:r>
      <w:r>
        <w:t>the financial report that is free from material misstatement, whether due to fraud or error.</w:t>
      </w:r>
    </w:p>
    <w:p w14:paraId="42BB57B3" w14:textId="77777777" w:rsidR="00AC6F3C" w:rsidRDefault="00570E88">
      <w:pPr>
        <w:pStyle w:val="BodyText"/>
        <w:spacing w:before="172" w:line="249" w:lineRule="auto"/>
        <w:ind w:left="815" w:right="1379"/>
      </w:pPr>
      <w:r>
        <w:t>The</w:t>
      </w:r>
      <w:r>
        <w:rPr>
          <w:spacing w:val="-3"/>
        </w:rPr>
        <w:t xml:space="preserve"> </w:t>
      </w:r>
      <w:r>
        <w:t>Council</w:t>
      </w:r>
      <w:r>
        <w:rPr>
          <w:spacing w:val="-3"/>
        </w:rPr>
        <w:t xml:space="preserve"> </w:t>
      </w:r>
      <w:r>
        <w:t>is</w:t>
      </w:r>
      <w:r>
        <w:rPr>
          <w:spacing w:val="-3"/>
        </w:rPr>
        <w:t xml:space="preserve"> </w:t>
      </w:r>
      <w:r>
        <w:t>also</w:t>
      </w:r>
      <w:r>
        <w:rPr>
          <w:spacing w:val="-3"/>
        </w:rPr>
        <w:t xml:space="preserve"> </w:t>
      </w:r>
      <w:r>
        <w:t>responsible</w:t>
      </w:r>
      <w:r>
        <w:rPr>
          <w:spacing w:val="-3"/>
        </w:rPr>
        <w:t xml:space="preserve"> </w:t>
      </w:r>
      <w:r>
        <w:t>for</w:t>
      </w:r>
      <w:r>
        <w:rPr>
          <w:spacing w:val="-3"/>
        </w:rPr>
        <w:t xml:space="preserve"> </w:t>
      </w:r>
      <w:r>
        <w:t>assessing</w:t>
      </w:r>
      <w:r>
        <w:rPr>
          <w:spacing w:val="-3"/>
        </w:rPr>
        <w:t xml:space="preserve"> </w:t>
      </w:r>
      <w:r>
        <w:t>the</w:t>
      </w:r>
      <w:r>
        <w:rPr>
          <w:spacing w:val="-3"/>
        </w:rPr>
        <w:t xml:space="preserve"> </w:t>
      </w:r>
      <w:r>
        <w:t>parent’s</w:t>
      </w:r>
      <w:r>
        <w:rPr>
          <w:spacing w:val="-3"/>
        </w:rPr>
        <w:t xml:space="preserve"> </w:t>
      </w:r>
      <w:r>
        <w:t>and</w:t>
      </w:r>
      <w:r>
        <w:rPr>
          <w:spacing w:val="-3"/>
        </w:rPr>
        <w:t xml:space="preserve"> </w:t>
      </w:r>
      <w:r>
        <w:t>group’s</w:t>
      </w:r>
      <w:r>
        <w:rPr>
          <w:spacing w:val="-3"/>
        </w:rPr>
        <w:t xml:space="preserve"> </w:t>
      </w:r>
      <w:r>
        <w:t>ability</w:t>
      </w:r>
      <w:r>
        <w:rPr>
          <w:spacing w:val="-3"/>
        </w:rPr>
        <w:t xml:space="preserve"> </w:t>
      </w:r>
      <w:r>
        <w:t>to</w:t>
      </w:r>
      <w:r>
        <w:rPr>
          <w:spacing w:val="-3"/>
        </w:rPr>
        <w:t xml:space="preserve"> </w:t>
      </w:r>
      <w:r>
        <w:t>continue</w:t>
      </w:r>
      <w:r>
        <w:rPr>
          <w:spacing w:val="-3"/>
        </w:rPr>
        <w:t xml:space="preserve"> </w:t>
      </w:r>
      <w:r>
        <w:t>as a going concern, disclosing, as applicable, matters relating to going concern and using the going concern basis of accounting unless it is intended to abolish the parent or group or to otherwise cease operations.</w:t>
      </w:r>
    </w:p>
    <w:p w14:paraId="28204C10" w14:textId="77777777" w:rsidR="00AC6F3C" w:rsidRDefault="00AC6F3C">
      <w:pPr>
        <w:spacing w:line="249" w:lineRule="auto"/>
        <w:sectPr w:rsidR="00AC6F3C">
          <w:headerReference w:type="default" r:id="rId217"/>
          <w:footerReference w:type="default" r:id="rId218"/>
          <w:pgSz w:w="11910" w:h="16840"/>
          <w:pgMar w:top="2460" w:right="1160" w:bottom="520" w:left="460" w:header="1524" w:footer="336" w:gutter="0"/>
          <w:cols w:space="720"/>
        </w:sectPr>
      </w:pPr>
    </w:p>
    <w:p w14:paraId="7A12DA13" w14:textId="77777777" w:rsidR="00AC6F3C" w:rsidRDefault="00AC6F3C">
      <w:pPr>
        <w:pStyle w:val="BodyText"/>
      </w:pPr>
    </w:p>
    <w:p w14:paraId="40450A0E" w14:textId="77777777" w:rsidR="00AC6F3C" w:rsidRDefault="00AC6F3C">
      <w:pPr>
        <w:pStyle w:val="BodyText"/>
        <w:spacing w:before="2"/>
        <w:rPr>
          <w:sz w:val="28"/>
        </w:rPr>
      </w:pPr>
    </w:p>
    <w:p w14:paraId="339F9E5E" w14:textId="77777777" w:rsidR="00AC6F3C" w:rsidRDefault="00570E88">
      <w:pPr>
        <w:pStyle w:val="Heading9"/>
        <w:spacing w:before="93"/>
      </w:pPr>
      <w:r>
        <w:t>Auditor’s</w:t>
      </w:r>
      <w:r>
        <w:rPr>
          <w:spacing w:val="-4"/>
        </w:rPr>
        <w:t xml:space="preserve"> </w:t>
      </w:r>
      <w:r>
        <w:t>responsibilities</w:t>
      </w:r>
      <w:r>
        <w:rPr>
          <w:spacing w:val="-3"/>
        </w:rPr>
        <w:t xml:space="preserve"> </w:t>
      </w:r>
      <w:r>
        <w:t>for</w:t>
      </w:r>
      <w:r>
        <w:rPr>
          <w:spacing w:val="-4"/>
        </w:rPr>
        <w:t xml:space="preserve"> </w:t>
      </w:r>
      <w:r>
        <w:t>the</w:t>
      </w:r>
      <w:r>
        <w:rPr>
          <w:spacing w:val="-3"/>
        </w:rPr>
        <w:t xml:space="preserve"> </w:t>
      </w:r>
      <w:r>
        <w:t>audit</w:t>
      </w:r>
      <w:r>
        <w:rPr>
          <w:spacing w:val="-4"/>
        </w:rPr>
        <w:t xml:space="preserve"> </w:t>
      </w:r>
      <w:r>
        <w:t>of</w:t>
      </w:r>
      <w:r>
        <w:rPr>
          <w:spacing w:val="-3"/>
        </w:rPr>
        <w:t xml:space="preserve"> </w:t>
      </w:r>
      <w:r>
        <w:t>the</w:t>
      </w:r>
      <w:r>
        <w:rPr>
          <w:spacing w:val="-4"/>
        </w:rPr>
        <w:t xml:space="preserve"> </w:t>
      </w:r>
      <w:r>
        <w:t>financial</w:t>
      </w:r>
      <w:r>
        <w:rPr>
          <w:spacing w:val="-3"/>
        </w:rPr>
        <w:t xml:space="preserve"> </w:t>
      </w:r>
      <w:r>
        <w:rPr>
          <w:spacing w:val="-2"/>
        </w:rPr>
        <w:t>report</w:t>
      </w:r>
    </w:p>
    <w:p w14:paraId="0D8B497A" w14:textId="77777777" w:rsidR="00AC6F3C" w:rsidRDefault="00570E88">
      <w:pPr>
        <w:pStyle w:val="BodyText"/>
        <w:spacing w:before="176" w:line="249" w:lineRule="auto"/>
        <w:ind w:left="815" w:right="1183"/>
      </w:pPr>
      <w:r>
        <w:t>My objectives are to obtain reasonable assurance about whether the financial report as a whole is free from material misstatement, whether due to fraud or error, and to issue an auditor’s</w:t>
      </w:r>
      <w:r>
        <w:rPr>
          <w:spacing w:val="-3"/>
        </w:rPr>
        <w:t xml:space="preserve"> </w:t>
      </w:r>
      <w:r>
        <w:t>report</w:t>
      </w:r>
      <w:r>
        <w:rPr>
          <w:spacing w:val="-3"/>
        </w:rPr>
        <w:t xml:space="preserve"> </w:t>
      </w:r>
      <w:r>
        <w:t>that</w:t>
      </w:r>
      <w:r>
        <w:rPr>
          <w:spacing w:val="-3"/>
        </w:rPr>
        <w:t xml:space="preserve"> </w:t>
      </w:r>
      <w:r>
        <w:t>includes</w:t>
      </w:r>
      <w:r>
        <w:rPr>
          <w:spacing w:val="-3"/>
        </w:rPr>
        <w:t xml:space="preserve"> </w:t>
      </w:r>
      <w:r>
        <w:t>my</w:t>
      </w:r>
      <w:r>
        <w:rPr>
          <w:spacing w:val="-3"/>
        </w:rPr>
        <w:t xml:space="preserve"> </w:t>
      </w:r>
      <w:r>
        <w:t>opinion.</w:t>
      </w:r>
      <w:r>
        <w:rPr>
          <w:spacing w:val="-3"/>
        </w:rPr>
        <w:t xml:space="preserve"> </w:t>
      </w:r>
      <w:r>
        <w:t>Reasonable</w:t>
      </w:r>
      <w:r>
        <w:rPr>
          <w:spacing w:val="-3"/>
        </w:rPr>
        <w:t xml:space="preserve"> </w:t>
      </w:r>
      <w:r>
        <w:t>assurance</w:t>
      </w:r>
      <w:r>
        <w:rPr>
          <w:spacing w:val="-3"/>
        </w:rPr>
        <w:t xml:space="preserve"> </w:t>
      </w:r>
      <w:r>
        <w:t>is</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assurance, but is not a guarantee that an audit conducted in accordance with the</w:t>
      </w:r>
      <w:r>
        <w:rPr>
          <w:spacing w:val="-5"/>
        </w:rPr>
        <w:t xml:space="preserve"> </w:t>
      </w:r>
      <w:r>
        <w:t>Australian</w:t>
      </w:r>
      <w:r>
        <w:rPr>
          <w:spacing w:val="-5"/>
        </w:rPr>
        <w:t xml:space="preserve"> </w:t>
      </w:r>
      <w:r>
        <w:t>Auditing Standards</w:t>
      </w:r>
      <w:r>
        <w:rPr>
          <w:spacing w:val="-3"/>
        </w:rPr>
        <w:t xml:space="preserve"> </w:t>
      </w:r>
      <w:r>
        <w:t>will</w:t>
      </w:r>
      <w:r>
        <w:rPr>
          <w:spacing w:val="-3"/>
        </w:rPr>
        <w:t xml:space="preserve"> </w:t>
      </w:r>
      <w:r>
        <w:t>always</w:t>
      </w:r>
      <w:r>
        <w:rPr>
          <w:spacing w:val="-3"/>
        </w:rPr>
        <w:t xml:space="preserve"> </w:t>
      </w:r>
      <w:r>
        <w:t>detect</w:t>
      </w:r>
      <w:r>
        <w:rPr>
          <w:spacing w:val="-3"/>
        </w:rPr>
        <w:t xml:space="preserve"> </w:t>
      </w:r>
      <w:r>
        <w:t>a</w:t>
      </w:r>
      <w:r>
        <w:rPr>
          <w:spacing w:val="-3"/>
        </w:rPr>
        <w:t xml:space="preserve"> </w:t>
      </w:r>
      <w:r>
        <w:t>material</w:t>
      </w:r>
      <w:r>
        <w:rPr>
          <w:spacing w:val="-3"/>
        </w:rPr>
        <w:t xml:space="preserve"> </w:t>
      </w:r>
      <w:r>
        <w:t>misstatement</w:t>
      </w:r>
      <w:r>
        <w:rPr>
          <w:spacing w:val="-3"/>
        </w:rPr>
        <w:t xml:space="preserve"> </w:t>
      </w:r>
      <w:r>
        <w:t>when</w:t>
      </w:r>
      <w:r>
        <w:rPr>
          <w:spacing w:val="-3"/>
        </w:rPr>
        <w:t xml:space="preserve"> </w:t>
      </w:r>
      <w:r>
        <w:t>it</w:t>
      </w:r>
      <w:r>
        <w:rPr>
          <w:spacing w:val="-3"/>
        </w:rPr>
        <w:t xml:space="preserve"> </w:t>
      </w:r>
      <w:r>
        <w:t>exists.</w:t>
      </w:r>
      <w:r>
        <w:rPr>
          <w:spacing w:val="-3"/>
        </w:rPr>
        <w:t xml:space="preserve"> </w:t>
      </w:r>
      <w:r>
        <w:t>Misstatements</w:t>
      </w:r>
      <w:r>
        <w:rPr>
          <w:spacing w:val="-3"/>
        </w:rPr>
        <w:t xml:space="preserve"> </w:t>
      </w:r>
      <w:r>
        <w:t>can</w:t>
      </w:r>
      <w:r>
        <w:rPr>
          <w:spacing w:val="-3"/>
        </w:rPr>
        <w:t xml:space="preserve"> </w:t>
      </w:r>
      <w:r>
        <w:t>arise from fraud or error and are considered material if, individually or in aggregate, they could reasonably be expected to influence the economic decisions of users taken on the basis of this financial report.</w:t>
      </w:r>
    </w:p>
    <w:p w14:paraId="338E922E" w14:textId="77777777" w:rsidR="00AC6F3C" w:rsidRDefault="00570E88">
      <w:pPr>
        <w:pStyle w:val="BodyText"/>
        <w:spacing w:before="176" w:line="249" w:lineRule="auto"/>
        <w:ind w:left="815" w:right="1424"/>
      </w:pPr>
      <w:r>
        <w:t>As part of an audit in accordance with the</w:t>
      </w:r>
      <w:r>
        <w:rPr>
          <w:spacing w:val="-4"/>
        </w:rPr>
        <w:t xml:space="preserve"> </w:t>
      </w:r>
      <w:r>
        <w:t>Australian</w:t>
      </w:r>
      <w:r>
        <w:rPr>
          <w:spacing w:val="-4"/>
        </w:rPr>
        <w:t xml:space="preserve"> </w:t>
      </w:r>
      <w:r>
        <w:t>Auditing Standards, I exercise professional</w:t>
      </w:r>
      <w:r>
        <w:rPr>
          <w:spacing w:val="-4"/>
        </w:rPr>
        <w:t xml:space="preserve"> </w:t>
      </w:r>
      <w:r>
        <w:t>judgement</w:t>
      </w:r>
      <w:r>
        <w:rPr>
          <w:spacing w:val="-4"/>
        </w:rPr>
        <w:t xml:space="preserve"> </w:t>
      </w:r>
      <w:r>
        <w:t>and</w:t>
      </w:r>
      <w:r>
        <w:rPr>
          <w:spacing w:val="-4"/>
        </w:rPr>
        <w:t xml:space="preserve"> </w:t>
      </w:r>
      <w:r>
        <w:t>maintain</w:t>
      </w:r>
      <w:r>
        <w:rPr>
          <w:spacing w:val="-4"/>
        </w:rPr>
        <w:t xml:space="preserve"> </w:t>
      </w:r>
      <w:r>
        <w:t>professional</w:t>
      </w:r>
      <w:r>
        <w:rPr>
          <w:spacing w:val="-4"/>
        </w:rPr>
        <w:t xml:space="preserve"> </w:t>
      </w:r>
      <w:proofErr w:type="spellStart"/>
      <w:r>
        <w:t>scepticism</w:t>
      </w:r>
      <w:proofErr w:type="spellEnd"/>
      <w:r>
        <w:rPr>
          <w:spacing w:val="-4"/>
        </w:rPr>
        <w:t xml:space="preserve"> </w:t>
      </w:r>
      <w:r>
        <w:t>throughout</w:t>
      </w:r>
      <w:r>
        <w:rPr>
          <w:spacing w:val="-4"/>
        </w:rPr>
        <w:t xml:space="preserve"> </w:t>
      </w:r>
      <w:r>
        <w:t>the</w:t>
      </w:r>
      <w:r>
        <w:rPr>
          <w:spacing w:val="-4"/>
        </w:rPr>
        <w:t xml:space="preserve"> </w:t>
      </w:r>
      <w:r>
        <w:t>audit.</w:t>
      </w:r>
      <w:r>
        <w:rPr>
          <w:spacing w:val="-4"/>
        </w:rPr>
        <w:t xml:space="preserve"> </w:t>
      </w:r>
      <w:r>
        <w:t>I</w:t>
      </w:r>
      <w:r>
        <w:rPr>
          <w:spacing w:val="-4"/>
        </w:rPr>
        <w:t xml:space="preserve"> </w:t>
      </w:r>
      <w:r>
        <w:t>also:</w:t>
      </w:r>
    </w:p>
    <w:p w14:paraId="7F8AC5C6" w14:textId="77777777" w:rsidR="00AC6F3C" w:rsidRDefault="00570E88">
      <w:pPr>
        <w:pStyle w:val="ListParagraph"/>
        <w:numPr>
          <w:ilvl w:val="0"/>
          <w:numId w:val="20"/>
        </w:numPr>
        <w:tabs>
          <w:tab w:val="left" w:pos="1269"/>
        </w:tabs>
        <w:spacing w:before="172" w:line="249" w:lineRule="auto"/>
        <w:ind w:right="1358"/>
        <w:rPr>
          <w:sz w:val="20"/>
        </w:rPr>
      </w:pPr>
      <w:r>
        <w:rPr>
          <w:sz w:val="20"/>
        </w:rPr>
        <w:t>Identify and assess the risks of material misstatement of the financial report, whether due to fraud or error, design and perform audit procedures responsive to those risks, and obtain audit evidence that is sufficient and appropriate to provide a basis for my opinion.</w:t>
      </w:r>
      <w:r>
        <w:rPr>
          <w:spacing w:val="-7"/>
          <w:sz w:val="20"/>
        </w:rPr>
        <w:t xml:space="preserve"> </w:t>
      </w:r>
      <w:r>
        <w:rPr>
          <w:sz w:val="20"/>
        </w:rPr>
        <w:t>The</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not</w:t>
      </w:r>
      <w:r>
        <w:rPr>
          <w:spacing w:val="-3"/>
          <w:sz w:val="20"/>
        </w:rPr>
        <w:t xml:space="preserve"> </w:t>
      </w:r>
      <w:r>
        <w:rPr>
          <w:sz w:val="20"/>
        </w:rPr>
        <w:t>detecting</w:t>
      </w:r>
      <w:r>
        <w:rPr>
          <w:spacing w:val="-3"/>
          <w:sz w:val="20"/>
        </w:rPr>
        <w:t xml:space="preserve"> </w:t>
      </w:r>
      <w:r>
        <w:rPr>
          <w:sz w:val="20"/>
        </w:rPr>
        <w:t>a</w:t>
      </w:r>
      <w:r>
        <w:rPr>
          <w:spacing w:val="-3"/>
          <w:sz w:val="20"/>
        </w:rPr>
        <w:t xml:space="preserve"> </w:t>
      </w:r>
      <w:r>
        <w:rPr>
          <w:sz w:val="20"/>
        </w:rPr>
        <w:t>material</w:t>
      </w:r>
      <w:r>
        <w:rPr>
          <w:spacing w:val="-3"/>
          <w:sz w:val="20"/>
        </w:rPr>
        <w:t xml:space="preserve"> </w:t>
      </w:r>
      <w:r>
        <w:rPr>
          <w:sz w:val="20"/>
        </w:rPr>
        <w:t>misstatement</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fraud</w:t>
      </w:r>
      <w:r>
        <w:rPr>
          <w:spacing w:val="-3"/>
          <w:sz w:val="20"/>
        </w:rPr>
        <w:t xml:space="preserve"> </w:t>
      </w:r>
      <w:r>
        <w:rPr>
          <w:sz w:val="20"/>
        </w:rPr>
        <w:t>is</w:t>
      </w:r>
      <w:r>
        <w:rPr>
          <w:spacing w:val="-3"/>
          <w:sz w:val="20"/>
        </w:rPr>
        <w:t xml:space="preserve"> </w:t>
      </w:r>
      <w:r>
        <w:rPr>
          <w:sz w:val="20"/>
        </w:rPr>
        <w:t>higher than for one resulting from error, as fraud may involve collusion, forgery, intentional omissions, misrepresentations, or the override of internal control.</w:t>
      </w:r>
    </w:p>
    <w:p w14:paraId="09D23FAF" w14:textId="77777777" w:rsidR="00AC6F3C" w:rsidRDefault="00570E88">
      <w:pPr>
        <w:pStyle w:val="ListParagraph"/>
        <w:numPr>
          <w:ilvl w:val="0"/>
          <w:numId w:val="20"/>
        </w:numPr>
        <w:tabs>
          <w:tab w:val="left" w:pos="1269"/>
        </w:tabs>
        <w:spacing w:before="175" w:line="249" w:lineRule="auto"/>
        <w:ind w:right="1284"/>
        <w:rPr>
          <w:sz w:val="20"/>
        </w:rPr>
      </w:pPr>
      <w:r>
        <w:rPr>
          <w:sz w:val="20"/>
        </w:rPr>
        <w:t>Obtain an understanding of internal control relevant to the audit in order to design audit procedures that are appropriate in the circumstances. This is not done for the purpose of</w:t>
      </w:r>
      <w:r>
        <w:rPr>
          <w:spacing w:val="-3"/>
          <w:sz w:val="20"/>
        </w:rPr>
        <w:t xml:space="preserve"> </w:t>
      </w:r>
      <w:r>
        <w:rPr>
          <w:sz w:val="20"/>
        </w:rPr>
        <w:t>forming</w:t>
      </w:r>
      <w:r>
        <w:rPr>
          <w:spacing w:val="-3"/>
          <w:sz w:val="20"/>
        </w:rPr>
        <w:t xml:space="preserve"> </w:t>
      </w:r>
      <w:r>
        <w:rPr>
          <w:sz w:val="20"/>
        </w:rPr>
        <w:t>an</w:t>
      </w:r>
      <w:r>
        <w:rPr>
          <w:spacing w:val="-3"/>
          <w:sz w:val="20"/>
        </w:rPr>
        <w:t xml:space="preserve"> </w:t>
      </w:r>
      <w:r>
        <w:rPr>
          <w:sz w:val="20"/>
        </w:rPr>
        <w:t>opinion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effectiveness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entity’s</w:t>
      </w:r>
      <w:r>
        <w:rPr>
          <w:spacing w:val="-3"/>
          <w:sz w:val="20"/>
        </w:rPr>
        <w:t xml:space="preserve"> </w:t>
      </w:r>
      <w:r>
        <w:rPr>
          <w:sz w:val="20"/>
        </w:rPr>
        <w:t>internal</w:t>
      </w:r>
      <w:r>
        <w:rPr>
          <w:spacing w:val="-3"/>
          <w:sz w:val="20"/>
        </w:rPr>
        <w:t xml:space="preserve"> </w:t>
      </w:r>
      <w:r>
        <w:rPr>
          <w:sz w:val="20"/>
        </w:rPr>
        <w:t>controls,</w:t>
      </w:r>
      <w:r>
        <w:rPr>
          <w:spacing w:val="-3"/>
          <w:sz w:val="20"/>
        </w:rPr>
        <w:t xml:space="preserve"> </w:t>
      </w:r>
      <w:r>
        <w:rPr>
          <w:sz w:val="20"/>
        </w:rPr>
        <w:t>but</w:t>
      </w:r>
      <w:r>
        <w:rPr>
          <w:spacing w:val="-3"/>
          <w:sz w:val="20"/>
        </w:rPr>
        <w:t xml:space="preserve"> </w:t>
      </w:r>
      <w:r>
        <w:rPr>
          <w:sz w:val="20"/>
        </w:rPr>
        <w:t>allows</w:t>
      </w:r>
      <w:r>
        <w:rPr>
          <w:spacing w:val="-3"/>
          <w:sz w:val="20"/>
        </w:rPr>
        <w:t xml:space="preserve"> </w:t>
      </w:r>
      <w:r>
        <w:rPr>
          <w:sz w:val="20"/>
        </w:rPr>
        <w:t>me to form an opinion on compliance with prescribed requirements.</w:t>
      </w:r>
    </w:p>
    <w:p w14:paraId="61E1CEB3" w14:textId="77777777" w:rsidR="00AC6F3C" w:rsidRDefault="00570E88">
      <w:pPr>
        <w:pStyle w:val="ListParagraph"/>
        <w:numPr>
          <w:ilvl w:val="0"/>
          <w:numId w:val="20"/>
        </w:numPr>
        <w:tabs>
          <w:tab w:val="left" w:pos="1269"/>
        </w:tabs>
        <w:spacing w:before="173" w:line="249" w:lineRule="auto"/>
        <w:ind w:right="1554"/>
        <w:rPr>
          <w:sz w:val="20"/>
        </w:rPr>
      </w:pPr>
      <w:r>
        <w:rPr>
          <w:sz w:val="20"/>
        </w:rPr>
        <w:t>Evaluate</w:t>
      </w:r>
      <w:r>
        <w:rPr>
          <w:spacing w:val="-2"/>
          <w:sz w:val="20"/>
        </w:rPr>
        <w:t xml:space="preserve"> </w:t>
      </w:r>
      <w:r>
        <w:rPr>
          <w:sz w:val="20"/>
        </w:rPr>
        <w:t>the</w:t>
      </w:r>
      <w:r>
        <w:rPr>
          <w:spacing w:val="-2"/>
          <w:sz w:val="20"/>
        </w:rPr>
        <w:t xml:space="preserve"> </w:t>
      </w:r>
      <w:r>
        <w:rPr>
          <w:sz w:val="20"/>
        </w:rPr>
        <w:t>appropriateness</w:t>
      </w:r>
      <w:r>
        <w:rPr>
          <w:spacing w:val="-2"/>
          <w:sz w:val="20"/>
        </w:rPr>
        <w:t xml:space="preserve"> </w:t>
      </w:r>
      <w:r>
        <w:rPr>
          <w:sz w:val="20"/>
        </w:rPr>
        <w:t>of</w:t>
      </w:r>
      <w:r>
        <w:rPr>
          <w:spacing w:val="-2"/>
          <w:sz w:val="20"/>
        </w:rPr>
        <w:t xml:space="preserve"> </w:t>
      </w:r>
      <w:r>
        <w:rPr>
          <w:sz w:val="20"/>
        </w:rPr>
        <w:t>material</w:t>
      </w:r>
      <w:r>
        <w:rPr>
          <w:spacing w:val="-2"/>
          <w:sz w:val="20"/>
        </w:rPr>
        <w:t xml:space="preserve"> </w:t>
      </w:r>
      <w:r>
        <w:rPr>
          <w:sz w:val="20"/>
        </w:rPr>
        <w:t>accounting</w:t>
      </w:r>
      <w:r>
        <w:rPr>
          <w:spacing w:val="-2"/>
          <w:sz w:val="20"/>
        </w:rPr>
        <w:t xml:space="preserve"> </w:t>
      </w:r>
      <w:r>
        <w:rPr>
          <w:sz w:val="20"/>
        </w:rPr>
        <w:t>policy</w:t>
      </w:r>
      <w:r>
        <w:rPr>
          <w:spacing w:val="-2"/>
          <w:sz w:val="20"/>
        </w:rPr>
        <w:t xml:space="preserve"> </w:t>
      </w:r>
      <w:r>
        <w:rPr>
          <w:sz w:val="20"/>
        </w:rPr>
        <w:t>information</w:t>
      </w:r>
      <w:r>
        <w:rPr>
          <w:spacing w:val="-2"/>
          <w:sz w:val="20"/>
        </w:rPr>
        <w:t xml:space="preserve"> </w:t>
      </w:r>
      <w:r>
        <w:rPr>
          <w:sz w:val="20"/>
        </w:rPr>
        <w:t>used</w:t>
      </w:r>
      <w:r>
        <w:rPr>
          <w:spacing w:val="-2"/>
          <w:sz w:val="20"/>
        </w:rPr>
        <w:t xml:space="preserve"> </w:t>
      </w:r>
      <w:r>
        <w:rPr>
          <w:sz w:val="20"/>
        </w:rPr>
        <w:t>and</w:t>
      </w:r>
      <w:r>
        <w:rPr>
          <w:spacing w:val="-2"/>
          <w:sz w:val="20"/>
        </w:rPr>
        <w:t xml:space="preserve"> </w:t>
      </w:r>
      <w:r>
        <w:rPr>
          <w:sz w:val="20"/>
        </w:rPr>
        <w:t>the reasonableness</w:t>
      </w:r>
      <w:r>
        <w:rPr>
          <w:spacing w:val="-4"/>
          <w:sz w:val="20"/>
        </w:rPr>
        <w:t xml:space="preserve"> </w:t>
      </w:r>
      <w:r>
        <w:rPr>
          <w:sz w:val="20"/>
        </w:rPr>
        <w:t>of</w:t>
      </w:r>
      <w:r>
        <w:rPr>
          <w:spacing w:val="-4"/>
          <w:sz w:val="20"/>
        </w:rPr>
        <w:t xml:space="preserve"> </w:t>
      </w:r>
      <w:r>
        <w:rPr>
          <w:sz w:val="20"/>
        </w:rPr>
        <w:t>accounting</w:t>
      </w:r>
      <w:r>
        <w:rPr>
          <w:spacing w:val="-4"/>
          <w:sz w:val="20"/>
        </w:rPr>
        <w:t xml:space="preserve"> </w:t>
      </w:r>
      <w:r>
        <w:rPr>
          <w:sz w:val="20"/>
        </w:rPr>
        <w:t>estimates</w:t>
      </w:r>
      <w:r>
        <w:rPr>
          <w:spacing w:val="-4"/>
          <w:sz w:val="20"/>
        </w:rPr>
        <w:t xml:space="preserve"> </w:t>
      </w:r>
      <w:r>
        <w:rPr>
          <w:sz w:val="20"/>
        </w:rPr>
        <w:t>and</w:t>
      </w:r>
      <w:r>
        <w:rPr>
          <w:spacing w:val="-4"/>
          <w:sz w:val="20"/>
        </w:rPr>
        <w:t xml:space="preserve"> </w:t>
      </w:r>
      <w:r>
        <w:rPr>
          <w:sz w:val="20"/>
        </w:rPr>
        <w:t>related</w:t>
      </w:r>
      <w:r>
        <w:rPr>
          <w:spacing w:val="-4"/>
          <w:sz w:val="20"/>
        </w:rPr>
        <w:t xml:space="preserve"> </w:t>
      </w:r>
      <w:r>
        <w:rPr>
          <w:sz w:val="20"/>
        </w:rPr>
        <w:t>disclosures</w:t>
      </w:r>
      <w:r>
        <w:rPr>
          <w:spacing w:val="-4"/>
          <w:sz w:val="20"/>
        </w:rPr>
        <w:t xml:space="preserve"> </w:t>
      </w:r>
      <w:r>
        <w:rPr>
          <w:sz w:val="20"/>
        </w:rPr>
        <w:t>made</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group.</w:t>
      </w:r>
    </w:p>
    <w:p w14:paraId="2EC396B9" w14:textId="77777777" w:rsidR="00AC6F3C" w:rsidRDefault="00570E88">
      <w:pPr>
        <w:pStyle w:val="ListParagraph"/>
        <w:numPr>
          <w:ilvl w:val="0"/>
          <w:numId w:val="20"/>
        </w:numPr>
        <w:tabs>
          <w:tab w:val="left" w:pos="1269"/>
        </w:tabs>
        <w:spacing w:before="172" w:line="249" w:lineRule="auto"/>
        <w:ind w:right="1328"/>
        <w:rPr>
          <w:sz w:val="20"/>
        </w:rPr>
      </w:pPr>
      <w:r>
        <w:rPr>
          <w:sz w:val="20"/>
        </w:rPr>
        <w:t>Conclude on the appropriateness of the parent’s and group’s use of the going concern basis of accounting and, based on the audit evidence obtained, whether a material uncertainty exists related to events or conditions that may cast significant doubt on the parent’s or group’s ability to continue as a going concern. If I conclude that a material uncertainty exists, I am required to draw attention in my auditor’s report to the related disclosures in the financial report or, if such disclosures are inadequate, to modify my opinion. I base my conclusions on the audit evidence obtained up to the date of my auditor’s</w:t>
      </w:r>
      <w:r>
        <w:rPr>
          <w:spacing w:val="-4"/>
          <w:sz w:val="20"/>
        </w:rPr>
        <w:t xml:space="preserve"> </w:t>
      </w:r>
      <w:r>
        <w:rPr>
          <w:sz w:val="20"/>
        </w:rPr>
        <w:t>report.</w:t>
      </w:r>
      <w:r>
        <w:rPr>
          <w:spacing w:val="-4"/>
          <w:sz w:val="20"/>
        </w:rPr>
        <w:t xml:space="preserve"> </w:t>
      </w:r>
      <w:r>
        <w:rPr>
          <w:sz w:val="20"/>
        </w:rPr>
        <w:t>However,</w:t>
      </w:r>
      <w:r>
        <w:rPr>
          <w:spacing w:val="-4"/>
          <w:sz w:val="20"/>
        </w:rPr>
        <w:t xml:space="preserve"> </w:t>
      </w:r>
      <w:r>
        <w:rPr>
          <w:sz w:val="20"/>
        </w:rPr>
        <w:t>future</w:t>
      </w:r>
      <w:r>
        <w:rPr>
          <w:spacing w:val="-4"/>
          <w:sz w:val="20"/>
        </w:rPr>
        <w:t xml:space="preserve"> </w:t>
      </w:r>
      <w:r>
        <w:rPr>
          <w:sz w:val="20"/>
        </w:rPr>
        <w:t>events</w:t>
      </w:r>
      <w:r>
        <w:rPr>
          <w:spacing w:val="-4"/>
          <w:sz w:val="20"/>
        </w:rPr>
        <w:t xml:space="preserve"> </w:t>
      </w:r>
      <w:r>
        <w:rPr>
          <w:sz w:val="20"/>
        </w:rPr>
        <w:t>or</w:t>
      </w:r>
      <w:r>
        <w:rPr>
          <w:spacing w:val="-4"/>
          <w:sz w:val="20"/>
        </w:rPr>
        <w:t xml:space="preserve"> </w:t>
      </w:r>
      <w:r>
        <w:rPr>
          <w:sz w:val="20"/>
        </w:rPr>
        <w:t>conditions</w:t>
      </w:r>
      <w:r>
        <w:rPr>
          <w:spacing w:val="-4"/>
          <w:sz w:val="20"/>
        </w:rPr>
        <w:t xml:space="preserve"> </w:t>
      </w:r>
      <w:r>
        <w:rPr>
          <w:sz w:val="20"/>
        </w:rPr>
        <w:t>may</w:t>
      </w:r>
      <w:r>
        <w:rPr>
          <w:spacing w:val="-4"/>
          <w:sz w:val="20"/>
        </w:rPr>
        <w:t xml:space="preserve"> </w:t>
      </w:r>
      <w:r>
        <w:rPr>
          <w:sz w:val="20"/>
        </w:rPr>
        <w:t>cause</w:t>
      </w:r>
      <w:r>
        <w:rPr>
          <w:spacing w:val="-4"/>
          <w:sz w:val="20"/>
        </w:rPr>
        <w:t xml:space="preserve"> </w:t>
      </w:r>
      <w:r>
        <w:rPr>
          <w:sz w:val="20"/>
        </w:rPr>
        <w:t>the</w:t>
      </w:r>
      <w:r>
        <w:rPr>
          <w:spacing w:val="-4"/>
          <w:sz w:val="20"/>
        </w:rPr>
        <w:t xml:space="preserve"> </w:t>
      </w:r>
      <w:r>
        <w:rPr>
          <w:sz w:val="20"/>
        </w:rPr>
        <w:t>parent</w:t>
      </w:r>
      <w:r>
        <w:rPr>
          <w:spacing w:val="-4"/>
          <w:sz w:val="20"/>
        </w:rPr>
        <w:t xml:space="preserve"> </w:t>
      </w:r>
      <w:r>
        <w:rPr>
          <w:sz w:val="20"/>
        </w:rPr>
        <w:t>or</w:t>
      </w:r>
      <w:r>
        <w:rPr>
          <w:spacing w:val="-4"/>
          <w:sz w:val="20"/>
        </w:rPr>
        <w:t xml:space="preserve"> </w:t>
      </w:r>
      <w:r>
        <w:rPr>
          <w:sz w:val="20"/>
        </w:rPr>
        <w:t>group</w:t>
      </w:r>
      <w:r>
        <w:rPr>
          <w:spacing w:val="-4"/>
          <w:sz w:val="20"/>
        </w:rPr>
        <w:t xml:space="preserve"> </w:t>
      </w:r>
      <w:r>
        <w:rPr>
          <w:sz w:val="20"/>
        </w:rPr>
        <w:t>to cease to continue as a going concern.</w:t>
      </w:r>
    </w:p>
    <w:p w14:paraId="207A0E0D" w14:textId="77777777" w:rsidR="00AC6F3C" w:rsidRDefault="00570E88">
      <w:pPr>
        <w:pStyle w:val="ListParagraph"/>
        <w:numPr>
          <w:ilvl w:val="0"/>
          <w:numId w:val="20"/>
        </w:numPr>
        <w:tabs>
          <w:tab w:val="left" w:pos="1267"/>
          <w:tab w:val="left" w:pos="1269"/>
        </w:tabs>
        <w:spacing w:before="177" w:line="249" w:lineRule="auto"/>
        <w:ind w:right="1287"/>
        <w:jc w:val="both"/>
        <w:rPr>
          <w:sz w:val="20"/>
        </w:rPr>
      </w:pPr>
      <w:r>
        <w:rPr>
          <w:sz w:val="20"/>
        </w:rPr>
        <w:t>Evaluate</w:t>
      </w:r>
      <w:r>
        <w:rPr>
          <w:spacing w:val="-3"/>
          <w:sz w:val="20"/>
        </w:rPr>
        <w:t xml:space="preserve"> </w:t>
      </w:r>
      <w:r>
        <w:rPr>
          <w:sz w:val="20"/>
        </w:rPr>
        <w:t>the</w:t>
      </w:r>
      <w:r>
        <w:rPr>
          <w:spacing w:val="-3"/>
          <w:sz w:val="20"/>
        </w:rPr>
        <w:t xml:space="preserve"> </w:t>
      </w:r>
      <w:r>
        <w:rPr>
          <w:sz w:val="20"/>
        </w:rPr>
        <w:t>overall</w:t>
      </w:r>
      <w:r>
        <w:rPr>
          <w:spacing w:val="-3"/>
          <w:sz w:val="20"/>
        </w:rPr>
        <w:t xml:space="preserve"> </w:t>
      </w:r>
      <w:r>
        <w:rPr>
          <w:sz w:val="20"/>
        </w:rPr>
        <w:t>presentation,</w:t>
      </w:r>
      <w:r>
        <w:rPr>
          <w:spacing w:val="-3"/>
          <w:sz w:val="20"/>
        </w:rPr>
        <w:t xml:space="preserve"> </w:t>
      </w:r>
      <w:r>
        <w:rPr>
          <w:sz w:val="20"/>
        </w:rPr>
        <w:t>structure</w:t>
      </w:r>
      <w:r>
        <w:rPr>
          <w:spacing w:val="-3"/>
          <w:sz w:val="20"/>
        </w:rPr>
        <w:t xml:space="preserve"> </w:t>
      </w:r>
      <w:r>
        <w:rPr>
          <w:sz w:val="20"/>
        </w:rPr>
        <w:t>and</w:t>
      </w:r>
      <w:r>
        <w:rPr>
          <w:spacing w:val="-3"/>
          <w:sz w:val="20"/>
        </w:rPr>
        <w:t xml:space="preserve"> </w:t>
      </w:r>
      <w:r>
        <w:rPr>
          <w:sz w:val="20"/>
        </w:rPr>
        <w:t>content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w:t>
      </w:r>
      <w:r>
        <w:rPr>
          <w:spacing w:val="-3"/>
          <w:sz w:val="20"/>
        </w:rPr>
        <w:t xml:space="preserve"> </w:t>
      </w:r>
      <w:r>
        <w:rPr>
          <w:sz w:val="20"/>
        </w:rPr>
        <w:t>including the disclosures, and whether the financial report represents the underlying transactions and events in a manner that achieves fair presentation.</w:t>
      </w:r>
    </w:p>
    <w:p w14:paraId="0579D035" w14:textId="77777777" w:rsidR="00AC6F3C" w:rsidRDefault="00570E88">
      <w:pPr>
        <w:pStyle w:val="ListParagraph"/>
        <w:numPr>
          <w:ilvl w:val="0"/>
          <w:numId w:val="20"/>
        </w:numPr>
        <w:tabs>
          <w:tab w:val="left" w:pos="1269"/>
        </w:tabs>
        <w:spacing w:before="173" w:line="249" w:lineRule="auto"/>
        <w:ind w:right="1321"/>
        <w:rPr>
          <w:sz w:val="20"/>
        </w:rPr>
      </w:pPr>
      <w:r>
        <w:rPr>
          <w:sz w:val="20"/>
        </w:rPr>
        <w:t>Obtain sufficient appropriate audit evidence regarding the financial information of the entities</w:t>
      </w:r>
      <w:r>
        <w:rPr>
          <w:spacing w:val="-3"/>
          <w:sz w:val="20"/>
        </w:rPr>
        <w:t xml:space="preserve"> </w:t>
      </w:r>
      <w:r>
        <w:rPr>
          <w:sz w:val="20"/>
        </w:rPr>
        <w:t>or</w:t>
      </w:r>
      <w:r>
        <w:rPr>
          <w:spacing w:val="-3"/>
          <w:sz w:val="20"/>
        </w:rPr>
        <w:t xml:space="preserve"> </w:t>
      </w:r>
      <w:r>
        <w:rPr>
          <w:sz w:val="20"/>
        </w:rPr>
        <w:t>business</w:t>
      </w:r>
      <w:r>
        <w:rPr>
          <w:spacing w:val="-3"/>
          <w:sz w:val="20"/>
        </w:rPr>
        <w:t xml:space="preserve"> </w:t>
      </w:r>
      <w:r>
        <w:rPr>
          <w:sz w:val="20"/>
        </w:rPr>
        <w:t>activities</w:t>
      </w:r>
      <w:r>
        <w:rPr>
          <w:spacing w:val="-3"/>
          <w:sz w:val="20"/>
        </w:rPr>
        <w:t xml:space="preserve"> </w:t>
      </w:r>
      <w:r>
        <w:rPr>
          <w:sz w:val="20"/>
        </w:rPr>
        <w:t>within</w:t>
      </w:r>
      <w:r>
        <w:rPr>
          <w:spacing w:val="-3"/>
          <w:sz w:val="20"/>
        </w:rPr>
        <w:t xml:space="preserve"> </w:t>
      </w:r>
      <w:r>
        <w:rPr>
          <w:sz w:val="20"/>
        </w:rPr>
        <w:t>the</w:t>
      </w:r>
      <w:r>
        <w:rPr>
          <w:spacing w:val="-3"/>
          <w:sz w:val="20"/>
        </w:rPr>
        <w:t xml:space="preserve"> </w:t>
      </w:r>
      <w:r>
        <w:rPr>
          <w:sz w:val="20"/>
        </w:rPr>
        <w:t>group</w:t>
      </w:r>
      <w:r>
        <w:rPr>
          <w:spacing w:val="-3"/>
          <w:sz w:val="20"/>
        </w:rPr>
        <w:t xml:space="preserve"> </w:t>
      </w:r>
      <w:r>
        <w:rPr>
          <w:sz w:val="20"/>
        </w:rPr>
        <w:t>to</w:t>
      </w:r>
      <w:r>
        <w:rPr>
          <w:spacing w:val="-3"/>
          <w:sz w:val="20"/>
        </w:rPr>
        <w:t xml:space="preserve"> </w:t>
      </w:r>
      <w:r>
        <w:rPr>
          <w:sz w:val="20"/>
        </w:rPr>
        <w:t>form</w:t>
      </w:r>
      <w:r>
        <w:rPr>
          <w:spacing w:val="-3"/>
          <w:sz w:val="20"/>
        </w:rPr>
        <w:t xml:space="preserve"> </w:t>
      </w:r>
      <w:r>
        <w:rPr>
          <w:sz w:val="20"/>
        </w:rPr>
        <w:t>an</w:t>
      </w:r>
      <w:r>
        <w:rPr>
          <w:spacing w:val="-3"/>
          <w:sz w:val="20"/>
        </w:rPr>
        <w:t xml:space="preserve"> </w:t>
      </w:r>
      <w:r>
        <w:rPr>
          <w:sz w:val="20"/>
        </w:rPr>
        <w:t>opinion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 I am responsible for the direction, supervision and performance of the audit of the group. I remain solely responsible for my audit opinion.</w:t>
      </w:r>
    </w:p>
    <w:p w14:paraId="2D353FAC" w14:textId="77777777" w:rsidR="00AC6F3C" w:rsidRDefault="00570E88">
      <w:pPr>
        <w:pStyle w:val="BodyText"/>
        <w:spacing w:before="173" w:line="249" w:lineRule="auto"/>
        <w:ind w:left="815" w:right="1424"/>
      </w:pPr>
      <w:r>
        <w:t>I</w:t>
      </w:r>
      <w:r>
        <w:rPr>
          <w:spacing w:val="-3"/>
        </w:rPr>
        <w:t xml:space="preserve"> </w:t>
      </w:r>
      <w:r>
        <w:t>communicate</w:t>
      </w:r>
      <w:r>
        <w:rPr>
          <w:spacing w:val="-3"/>
        </w:rPr>
        <w:t xml:space="preserve"> </w:t>
      </w:r>
      <w:r>
        <w:t>with</w:t>
      </w:r>
      <w:r>
        <w:rPr>
          <w:spacing w:val="-3"/>
        </w:rPr>
        <w:t xml:space="preserve"> </w:t>
      </w:r>
      <w:r>
        <w:t>the</w:t>
      </w:r>
      <w:r>
        <w:rPr>
          <w:spacing w:val="-3"/>
        </w:rPr>
        <w:t xml:space="preserve"> </w:t>
      </w:r>
      <w:r>
        <w:t>Council</w:t>
      </w:r>
      <w:r>
        <w:rPr>
          <w:spacing w:val="-3"/>
        </w:rPr>
        <w:t xml:space="preserve"> </w:t>
      </w:r>
      <w:r>
        <w:t>regarding,</w:t>
      </w:r>
      <w:r>
        <w:rPr>
          <w:spacing w:val="-3"/>
        </w:rPr>
        <w:t xml:space="preserve"> </w:t>
      </w:r>
      <w:r>
        <w:t>among</w:t>
      </w:r>
      <w:r>
        <w:rPr>
          <w:spacing w:val="-3"/>
        </w:rPr>
        <w:t xml:space="preserve"> </w:t>
      </w:r>
      <w:r>
        <w:t>other</w:t>
      </w:r>
      <w:r>
        <w:rPr>
          <w:spacing w:val="-3"/>
        </w:rPr>
        <w:t xml:space="preserve"> </w:t>
      </w:r>
      <w:r>
        <w:t>matters,</w:t>
      </w:r>
      <w:r>
        <w:rPr>
          <w:spacing w:val="-3"/>
        </w:rPr>
        <w:t xml:space="preserve"> </w:t>
      </w:r>
      <w:r>
        <w:t>the</w:t>
      </w:r>
      <w:r>
        <w:rPr>
          <w:spacing w:val="-3"/>
        </w:rPr>
        <w:t xml:space="preserve"> </w:t>
      </w:r>
      <w:r>
        <w:t>planned</w:t>
      </w:r>
      <w:r>
        <w:rPr>
          <w:spacing w:val="-3"/>
        </w:rPr>
        <w:t xml:space="preserve"> </w:t>
      </w:r>
      <w:r>
        <w:t>scope</w:t>
      </w:r>
      <w:r>
        <w:rPr>
          <w:spacing w:val="-3"/>
        </w:rPr>
        <w:t xml:space="preserve"> </w:t>
      </w:r>
      <w:r>
        <w:t>and timing of the audit and significant audit findings, including any significant deficiencies in internal control that I identify during my audit.</w:t>
      </w:r>
    </w:p>
    <w:p w14:paraId="6ED868B9" w14:textId="77777777" w:rsidR="00AC6F3C" w:rsidRDefault="00AC6F3C">
      <w:pPr>
        <w:spacing w:line="249" w:lineRule="auto"/>
        <w:sectPr w:rsidR="00AC6F3C">
          <w:pgSz w:w="11910" w:h="16840"/>
          <w:pgMar w:top="2460" w:right="1160" w:bottom="520" w:left="460" w:header="1524" w:footer="336" w:gutter="0"/>
          <w:cols w:space="720"/>
        </w:sectPr>
      </w:pPr>
    </w:p>
    <w:p w14:paraId="7F3666BB" w14:textId="77777777" w:rsidR="00AC6F3C" w:rsidRDefault="00AC6F3C">
      <w:pPr>
        <w:pStyle w:val="BodyText"/>
      </w:pPr>
    </w:p>
    <w:p w14:paraId="651018EE" w14:textId="77777777" w:rsidR="00AC6F3C" w:rsidRDefault="00AC6F3C">
      <w:pPr>
        <w:pStyle w:val="BodyText"/>
        <w:spacing w:before="6"/>
        <w:rPr>
          <w:sz w:val="27"/>
        </w:rPr>
      </w:pPr>
    </w:p>
    <w:p w14:paraId="35994C30" w14:textId="77777777" w:rsidR="00AC6F3C" w:rsidRDefault="00570E88">
      <w:pPr>
        <w:spacing w:before="92"/>
        <w:ind w:left="815"/>
        <w:rPr>
          <w:b/>
          <w:sz w:val="26"/>
        </w:rPr>
      </w:pPr>
      <w:r>
        <w:rPr>
          <w:b/>
          <w:sz w:val="26"/>
        </w:rPr>
        <w:t>Report</w:t>
      </w:r>
      <w:r>
        <w:rPr>
          <w:b/>
          <w:spacing w:val="-3"/>
          <w:sz w:val="26"/>
        </w:rPr>
        <w:t xml:space="preserve"> </w:t>
      </w:r>
      <w:r>
        <w:rPr>
          <w:b/>
          <w:sz w:val="26"/>
        </w:rPr>
        <w:t>on</w:t>
      </w:r>
      <w:r>
        <w:rPr>
          <w:b/>
          <w:spacing w:val="-2"/>
          <w:sz w:val="26"/>
        </w:rPr>
        <w:t xml:space="preserve"> </w:t>
      </w:r>
      <w:r>
        <w:rPr>
          <w:b/>
          <w:sz w:val="26"/>
        </w:rPr>
        <w:t>other</w:t>
      </w:r>
      <w:r>
        <w:rPr>
          <w:b/>
          <w:spacing w:val="-2"/>
          <w:sz w:val="26"/>
        </w:rPr>
        <w:t xml:space="preserve"> </w:t>
      </w:r>
      <w:r>
        <w:rPr>
          <w:b/>
          <w:sz w:val="26"/>
        </w:rPr>
        <w:t>legal</w:t>
      </w:r>
      <w:r>
        <w:rPr>
          <w:b/>
          <w:spacing w:val="-2"/>
          <w:sz w:val="26"/>
        </w:rPr>
        <w:t xml:space="preserve"> </w:t>
      </w:r>
      <w:r>
        <w:rPr>
          <w:b/>
          <w:sz w:val="26"/>
        </w:rPr>
        <w:t>and</w:t>
      </w:r>
      <w:r>
        <w:rPr>
          <w:b/>
          <w:spacing w:val="-2"/>
          <w:sz w:val="26"/>
        </w:rPr>
        <w:t xml:space="preserve"> </w:t>
      </w:r>
      <w:r>
        <w:rPr>
          <w:b/>
          <w:sz w:val="26"/>
        </w:rPr>
        <w:t>regulatory</w:t>
      </w:r>
      <w:r>
        <w:rPr>
          <w:b/>
          <w:spacing w:val="-2"/>
          <w:sz w:val="26"/>
        </w:rPr>
        <w:t xml:space="preserve"> requirements</w:t>
      </w:r>
    </w:p>
    <w:p w14:paraId="550C8C3A" w14:textId="77777777" w:rsidR="00AC6F3C" w:rsidRDefault="00AC6F3C">
      <w:pPr>
        <w:pStyle w:val="BodyText"/>
        <w:spacing w:before="5"/>
        <w:rPr>
          <w:b/>
          <w:sz w:val="22"/>
        </w:rPr>
      </w:pPr>
    </w:p>
    <w:p w14:paraId="5D6C6F26" w14:textId="77777777" w:rsidR="00AC6F3C" w:rsidRDefault="00570E88">
      <w:pPr>
        <w:pStyle w:val="Heading9"/>
      </w:pPr>
      <w:r>
        <w:rPr>
          <w:spacing w:val="-2"/>
        </w:rPr>
        <w:t>Statement</w:t>
      </w:r>
    </w:p>
    <w:p w14:paraId="23F0FC18" w14:textId="77777777" w:rsidR="00AC6F3C" w:rsidRDefault="00570E88">
      <w:pPr>
        <w:spacing w:before="176"/>
        <w:ind w:left="815"/>
        <w:rPr>
          <w:sz w:val="20"/>
        </w:rPr>
      </w:pPr>
      <w:r>
        <w:rPr>
          <w:sz w:val="20"/>
        </w:rPr>
        <w:t>In</w:t>
      </w:r>
      <w:r>
        <w:rPr>
          <w:spacing w:val="-5"/>
          <w:sz w:val="20"/>
        </w:rPr>
        <w:t xml:space="preserve"> </w:t>
      </w:r>
      <w:r>
        <w:rPr>
          <w:sz w:val="20"/>
        </w:rPr>
        <w:t>accordance</w:t>
      </w:r>
      <w:r>
        <w:rPr>
          <w:spacing w:val="-3"/>
          <w:sz w:val="20"/>
        </w:rPr>
        <w:t xml:space="preserve"> </w:t>
      </w:r>
      <w:r>
        <w:rPr>
          <w:sz w:val="20"/>
        </w:rPr>
        <w:t>with</w:t>
      </w:r>
      <w:r>
        <w:rPr>
          <w:spacing w:val="-3"/>
          <w:sz w:val="20"/>
        </w:rPr>
        <w:t xml:space="preserve"> </w:t>
      </w:r>
      <w:r>
        <w:rPr>
          <w:sz w:val="20"/>
        </w:rPr>
        <w:t>s.40</w:t>
      </w:r>
      <w:r>
        <w:rPr>
          <w:spacing w:val="-3"/>
          <w:sz w:val="20"/>
        </w:rPr>
        <w:t xml:space="preserve"> </w:t>
      </w:r>
      <w:r>
        <w:rPr>
          <w:sz w:val="20"/>
        </w:rPr>
        <w:t>of</w:t>
      </w:r>
      <w:r>
        <w:rPr>
          <w:spacing w:val="-3"/>
          <w:sz w:val="20"/>
        </w:rPr>
        <w:t xml:space="preserve"> </w:t>
      </w:r>
      <w:r>
        <w:rPr>
          <w:sz w:val="20"/>
        </w:rPr>
        <w:t>the</w:t>
      </w:r>
      <w:r>
        <w:rPr>
          <w:spacing w:val="-9"/>
          <w:sz w:val="20"/>
        </w:rPr>
        <w:t xml:space="preserve"> </w:t>
      </w:r>
      <w:r>
        <w:rPr>
          <w:i/>
          <w:sz w:val="20"/>
        </w:rPr>
        <w:t>Auditor-General</w:t>
      </w:r>
      <w:r>
        <w:rPr>
          <w:i/>
          <w:spacing w:val="-11"/>
          <w:sz w:val="20"/>
        </w:rPr>
        <w:t xml:space="preserve"> </w:t>
      </w:r>
      <w:r>
        <w:rPr>
          <w:i/>
          <w:sz w:val="20"/>
        </w:rPr>
        <w:t>Act</w:t>
      </w:r>
      <w:r>
        <w:rPr>
          <w:i/>
          <w:spacing w:val="-4"/>
          <w:sz w:val="20"/>
        </w:rPr>
        <w:t xml:space="preserve"> </w:t>
      </w:r>
      <w:r>
        <w:rPr>
          <w:i/>
          <w:sz w:val="20"/>
        </w:rPr>
        <w:t>2009</w:t>
      </w:r>
      <w:r>
        <w:rPr>
          <w:sz w:val="20"/>
        </w:rPr>
        <w:t>,</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ended</w:t>
      </w:r>
      <w:r>
        <w:rPr>
          <w:spacing w:val="-3"/>
          <w:sz w:val="20"/>
        </w:rPr>
        <w:t xml:space="preserve"> </w:t>
      </w:r>
      <w:r>
        <w:rPr>
          <w:sz w:val="20"/>
        </w:rPr>
        <w:t>30</w:t>
      </w:r>
      <w:r>
        <w:rPr>
          <w:spacing w:val="-3"/>
          <w:sz w:val="20"/>
        </w:rPr>
        <w:t xml:space="preserve"> </w:t>
      </w:r>
      <w:r>
        <w:rPr>
          <w:sz w:val="20"/>
        </w:rPr>
        <w:t>June</w:t>
      </w:r>
      <w:r>
        <w:rPr>
          <w:spacing w:val="-2"/>
          <w:sz w:val="20"/>
        </w:rPr>
        <w:t xml:space="preserve"> 2023:</w:t>
      </w:r>
    </w:p>
    <w:p w14:paraId="6F03DEC9" w14:textId="77777777" w:rsidR="00AC6F3C" w:rsidRDefault="00570E88">
      <w:pPr>
        <w:pStyle w:val="ListParagraph"/>
        <w:numPr>
          <w:ilvl w:val="0"/>
          <w:numId w:val="19"/>
        </w:numPr>
        <w:tabs>
          <w:tab w:val="left" w:pos="1269"/>
        </w:tabs>
        <w:rPr>
          <w:sz w:val="20"/>
        </w:rPr>
      </w:pPr>
      <w:r>
        <w:rPr>
          <w:sz w:val="20"/>
        </w:rPr>
        <w:t>I</w:t>
      </w:r>
      <w:r>
        <w:rPr>
          <w:spacing w:val="-3"/>
          <w:sz w:val="20"/>
        </w:rPr>
        <w:t xml:space="preserve"> </w:t>
      </w:r>
      <w:r>
        <w:rPr>
          <w:sz w:val="20"/>
        </w:rPr>
        <w:t>received</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information</w:t>
      </w:r>
      <w:r>
        <w:rPr>
          <w:spacing w:val="-3"/>
          <w:sz w:val="20"/>
        </w:rPr>
        <w:t xml:space="preserve"> </w:t>
      </w:r>
      <w:r>
        <w:rPr>
          <w:sz w:val="20"/>
        </w:rPr>
        <w:t>and</w:t>
      </w:r>
      <w:r>
        <w:rPr>
          <w:spacing w:val="-3"/>
          <w:sz w:val="20"/>
        </w:rPr>
        <w:t xml:space="preserve"> </w:t>
      </w:r>
      <w:r>
        <w:rPr>
          <w:sz w:val="20"/>
        </w:rPr>
        <w:t>explanations</w:t>
      </w:r>
      <w:r>
        <w:rPr>
          <w:spacing w:val="-3"/>
          <w:sz w:val="20"/>
        </w:rPr>
        <w:t xml:space="preserve"> </w:t>
      </w:r>
      <w:r>
        <w:rPr>
          <w:sz w:val="20"/>
        </w:rPr>
        <w:t>I</w:t>
      </w:r>
      <w:r>
        <w:rPr>
          <w:spacing w:val="-2"/>
          <w:sz w:val="20"/>
        </w:rPr>
        <w:t xml:space="preserve"> required.</w:t>
      </w:r>
    </w:p>
    <w:p w14:paraId="0286BC76" w14:textId="77777777" w:rsidR="00AC6F3C" w:rsidRDefault="00570E88">
      <w:pPr>
        <w:pStyle w:val="ListParagraph"/>
        <w:numPr>
          <w:ilvl w:val="0"/>
          <w:numId w:val="19"/>
        </w:numPr>
        <w:tabs>
          <w:tab w:val="left" w:pos="1269"/>
        </w:tabs>
        <w:spacing w:line="249" w:lineRule="auto"/>
        <w:ind w:right="1246"/>
        <w:rPr>
          <w:sz w:val="20"/>
        </w:rPr>
      </w:pPr>
      <w:r>
        <w:rPr>
          <w:sz w:val="20"/>
        </w:rPr>
        <w:t>I</w:t>
      </w:r>
      <w:r>
        <w:rPr>
          <w:spacing w:val="-4"/>
          <w:sz w:val="20"/>
        </w:rPr>
        <w:t xml:space="preserve"> </w:t>
      </w:r>
      <w:r>
        <w:rPr>
          <w:sz w:val="20"/>
        </w:rPr>
        <w:t>consider</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prescribed</w:t>
      </w:r>
      <w:r>
        <w:rPr>
          <w:spacing w:val="-4"/>
          <w:sz w:val="20"/>
        </w:rPr>
        <w:t xml:space="preserve"> </w:t>
      </w:r>
      <w:r>
        <w:rPr>
          <w:sz w:val="20"/>
        </w:rPr>
        <w:t>requirements</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establishment</w:t>
      </w:r>
      <w:r>
        <w:rPr>
          <w:spacing w:val="-4"/>
          <w:sz w:val="20"/>
        </w:rPr>
        <w:t xml:space="preserve"> </w:t>
      </w:r>
      <w:r>
        <w:rPr>
          <w:sz w:val="20"/>
        </w:rPr>
        <w:t>and</w:t>
      </w:r>
      <w:r>
        <w:rPr>
          <w:spacing w:val="-4"/>
          <w:sz w:val="20"/>
        </w:rPr>
        <w:t xml:space="preserve"> </w:t>
      </w:r>
      <w:r>
        <w:rPr>
          <w:sz w:val="20"/>
        </w:rPr>
        <w:t>keeping of accounts were complied with in all material respects.</w:t>
      </w:r>
    </w:p>
    <w:p w14:paraId="05F89CAA" w14:textId="77777777" w:rsidR="00AC6F3C" w:rsidRDefault="00AC6F3C">
      <w:pPr>
        <w:pStyle w:val="BodyText"/>
        <w:spacing w:before="9"/>
        <w:rPr>
          <w:sz w:val="22"/>
        </w:rPr>
      </w:pPr>
    </w:p>
    <w:p w14:paraId="2D9ED62A" w14:textId="77777777" w:rsidR="00AC6F3C" w:rsidRDefault="00570E88">
      <w:pPr>
        <w:pStyle w:val="Heading9"/>
      </w:pPr>
      <w:r>
        <w:t>Prescribed</w:t>
      </w:r>
      <w:r>
        <w:rPr>
          <w:spacing w:val="-6"/>
        </w:rPr>
        <w:t xml:space="preserve"> </w:t>
      </w:r>
      <w:r>
        <w:t>requirements</w:t>
      </w:r>
      <w:r>
        <w:rPr>
          <w:spacing w:val="-5"/>
        </w:rPr>
        <w:t xml:space="preserve"> </w:t>
      </w:r>
      <w:r>
        <w:rPr>
          <w:spacing w:val="-2"/>
        </w:rPr>
        <w:t>scope</w:t>
      </w:r>
    </w:p>
    <w:p w14:paraId="418AE0C4" w14:textId="77777777" w:rsidR="00AC6F3C" w:rsidRDefault="00570E88">
      <w:pPr>
        <w:pStyle w:val="BodyText"/>
        <w:spacing w:before="176" w:line="249" w:lineRule="auto"/>
        <w:ind w:left="815" w:right="1424"/>
      </w:pPr>
      <w:r>
        <w:t>The</w:t>
      </w:r>
      <w:r>
        <w:rPr>
          <w:spacing w:val="-3"/>
        </w:rPr>
        <w:t xml:space="preserve"> </w:t>
      </w:r>
      <w:r>
        <w:t>prescribed</w:t>
      </w:r>
      <w:r>
        <w:rPr>
          <w:spacing w:val="-3"/>
        </w:rPr>
        <w:t xml:space="preserve"> </w:t>
      </w:r>
      <w:r>
        <w:t>requirements</w:t>
      </w:r>
      <w:r>
        <w:rPr>
          <w:spacing w:val="-3"/>
        </w:rPr>
        <w:t xml:space="preserve"> </w:t>
      </w:r>
      <w:r>
        <w:t>for</w:t>
      </w:r>
      <w:r>
        <w:rPr>
          <w:spacing w:val="-3"/>
        </w:rPr>
        <w:t xml:space="preserve"> </w:t>
      </w:r>
      <w:r>
        <w:t>the</w:t>
      </w:r>
      <w:r>
        <w:rPr>
          <w:spacing w:val="-3"/>
        </w:rPr>
        <w:t xml:space="preserve"> </w:t>
      </w:r>
      <w:r>
        <w:t>establishment</w:t>
      </w:r>
      <w:r>
        <w:rPr>
          <w:spacing w:val="-3"/>
        </w:rPr>
        <w:t xml:space="preserve"> </w:t>
      </w:r>
      <w:r>
        <w:t>and</w:t>
      </w:r>
      <w:r>
        <w:rPr>
          <w:spacing w:val="-3"/>
        </w:rPr>
        <w:t xml:space="preserve"> </w:t>
      </w:r>
      <w:r>
        <w:t>keeping</w:t>
      </w:r>
      <w:r>
        <w:rPr>
          <w:spacing w:val="-3"/>
        </w:rPr>
        <w:t xml:space="preserve"> </w:t>
      </w:r>
      <w:r>
        <w:t>of</w:t>
      </w:r>
      <w:r>
        <w:rPr>
          <w:spacing w:val="-3"/>
        </w:rPr>
        <w:t xml:space="preserve"> </w:t>
      </w:r>
      <w:r>
        <w:t>accounts</w:t>
      </w:r>
      <w:r>
        <w:rPr>
          <w:spacing w:val="-3"/>
        </w:rPr>
        <w:t xml:space="preserve"> </w:t>
      </w:r>
      <w:r>
        <w:t>are</w:t>
      </w:r>
      <w:r>
        <w:rPr>
          <w:spacing w:val="-3"/>
        </w:rPr>
        <w:t xml:space="preserve"> </w:t>
      </w:r>
      <w:r>
        <w:t xml:space="preserve">contained in the </w:t>
      </w:r>
      <w:r>
        <w:rPr>
          <w:i/>
        </w:rPr>
        <w:t>Financial</w:t>
      </w:r>
      <w:r>
        <w:rPr>
          <w:i/>
          <w:spacing w:val="-7"/>
        </w:rPr>
        <w:t xml:space="preserve"> </w:t>
      </w:r>
      <w:r>
        <w:rPr>
          <w:i/>
        </w:rPr>
        <w:t>Accountability</w:t>
      </w:r>
      <w:r>
        <w:rPr>
          <w:i/>
          <w:spacing w:val="-7"/>
        </w:rPr>
        <w:t xml:space="preserve"> </w:t>
      </w:r>
      <w:r>
        <w:rPr>
          <w:i/>
        </w:rPr>
        <w:t>Act 2009</w:t>
      </w:r>
      <w:r>
        <w:t>, any other</w:t>
      </w:r>
      <w:r>
        <w:rPr>
          <w:spacing w:val="-11"/>
        </w:rPr>
        <w:t xml:space="preserve"> </w:t>
      </w:r>
      <w:r>
        <w:t>Act and the Financial and Performance Management Standard 2019. The applicable requirements include those for keeping financial records that correctly record and explain the entity’s transactions and account balances to enable the preparation of a true and fair financial report.</w:t>
      </w:r>
    </w:p>
    <w:p w14:paraId="07DD8FCB" w14:textId="77777777" w:rsidR="00AC6F3C" w:rsidRDefault="00AC6F3C">
      <w:pPr>
        <w:pStyle w:val="BodyText"/>
      </w:pPr>
    </w:p>
    <w:p w14:paraId="59E20C9A" w14:textId="77777777" w:rsidR="00AC6F3C" w:rsidRDefault="00AC6F3C">
      <w:pPr>
        <w:pStyle w:val="BodyText"/>
      </w:pPr>
    </w:p>
    <w:p w14:paraId="500A5014" w14:textId="77777777" w:rsidR="00AC6F3C" w:rsidRDefault="00AC6F3C">
      <w:pPr>
        <w:pStyle w:val="BodyText"/>
        <w:spacing w:before="8"/>
        <w:rPr>
          <w:sz w:val="27"/>
        </w:rPr>
      </w:pPr>
    </w:p>
    <w:p w14:paraId="36AEEAD4" w14:textId="77777777" w:rsidR="00AC6F3C" w:rsidRDefault="00AC6F3C">
      <w:pPr>
        <w:rPr>
          <w:sz w:val="27"/>
        </w:rPr>
        <w:sectPr w:rsidR="00AC6F3C">
          <w:pgSz w:w="11910" w:h="16840"/>
          <w:pgMar w:top="2460" w:right="1160" w:bottom="520" w:left="460" w:header="1524" w:footer="336" w:gutter="0"/>
          <w:cols w:space="720"/>
        </w:sectPr>
      </w:pPr>
    </w:p>
    <w:p w14:paraId="6F739F81" w14:textId="77777777" w:rsidR="00AC6F3C" w:rsidRDefault="00AC6F3C">
      <w:pPr>
        <w:pStyle w:val="BodyText"/>
        <w:rPr>
          <w:sz w:val="22"/>
        </w:rPr>
      </w:pPr>
    </w:p>
    <w:p w14:paraId="41BB058F" w14:textId="77777777" w:rsidR="00AC6F3C" w:rsidRDefault="00AC6F3C">
      <w:pPr>
        <w:pStyle w:val="BodyText"/>
        <w:rPr>
          <w:sz w:val="22"/>
        </w:rPr>
      </w:pPr>
    </w:p>
    <w:p w14:paraId="3ED115CB" w14:textId="77777777" w:rsidR="00AC6F3C" w:rsidRDefault="00AC6F3C">
      <w:pPr>
        <w:pStyle w:val="BodyText"/>
        <w:rPr>
          <w:sz w:val="22"/>
        </w:rPr>
      </w:pPr>
    </w:p>
    <w:p w14:paraId="763DD43A" w14:textId="77777777" w:rsidR="00AC6F3C" w:rsidRDefault="00AC6F3C">
      <w:pPr>
        <w:pStyle w:val="BodyText"/>
        <w:spacing w:before="8"/>
        <w:rPr>
          <w:sz w:val="23"/>
        </w:rPr>
      </w:pPr>
    </w:p>
    <w:p w14:paraId="3D0399D9" w14:textId="7FF1D7D5" w:rsidR="00AC6F3C" w:rsidRDefault="00570E88">
      <w:pPr>
        <w:pStyle w:val="BodyText"/>
        <w:ind w:left="895"/>
      </w:pPr>
      <w:r>
        <w:t>Michelle</w:t>
      </w:r>
      <w:r>
        <w:rPr>
          <w:spacing w:val="-7"/>
        </w:rPr>
        <w:t xml:space="preserve"> </w:t>
      </w:r>
      <w:r>
        <w:rPr>
          <w:spacing w:val="-2"/>
        </w:rPr>
        <w:t>Reardon</w:t>
      </w:r>
    </w:p>
    <w:p w14:paraId="4E31FF82" w14:textId="77777777" w:rsidR="00AC6F3C" w:rsidRDefault="00570E88">
      <w:pPr>
        <w:pStyle w:val="BodyText"/>
        <w:spacing w:before="11"/>
        <w:ind w:left="895"/>
      </w:pPr>
      <w:r>
        <w:t>as</w:t>
      </w:r>
      <w:r>
        <w:rPr>
          <w:spacing w:val="-6"/>
        </w:rPr>
        <w:t xml:space="preserve"> </w:t>
      </w:r>
      <w:r>
        <w:t>delegate</w:t>
      </w:r>
      <w:r>
        <w:rPr>
          <w:spacing w:val="-4"/>
        </w:rPr>
        <w:t xml:space="preserve"> </w:t>
      </w:r>
      <w:r>
        <w:t>of</w:t>
      </w:r>
      <w:r>
        <w:rPr>
          <w:spacing w:val="-5"/>
        </w:rPr>
        <w:t xml:space="preserve"> </w:t>
      </w:r>
      <w:r>
        <w:t>the</w:t>
      </w:r>
      <w:r>
        <w:rPr>
          <w:spacing w:val="-13"/>
        </w:rPr>
        <w:t xml:space="preserve"> </w:t>
      </w:r>
      <w:r>
        <w:t>Auditor-</w:t>
      </w:r>
      <w:r>
        <w:rPr>
          <w:spacing w:val="-2"/>
        </w:rPr>
        <w:t>General</w:t>
      </w:r>
    </w:p>
    <w:p w14:paraId="6F240AB8" w14:textId="77777777" w:rsidR="00AC6F3C" w:rsidRDefault="00570E88">
      <w:pPr>
        <w:pStyle w:val="BodyText"/>
        <w:spacing w:before="94"/>
        <w:ind w:right="193"/>
        <w:jc w:val="right"/>
      </w:pPr>
      <w:r>
        <w:br w:type="column"/>
      </w:r>
      <w:r>
        <w:t xml:space="preserve">1 September </w:t>
      </w:r>
      <w:r>
        <w:rPr>
          <w:spacing w:val="-4"/>
        </w:rPr>
        <w:t>2023</w:t>
      </w:r>
    </w:p>
    <w:p w14:paraId="54BC35A5" w14:textId="77777777" w:rsidR="00AC6F3C" w:rsidRDefault="00AC6F3C">
      <w:pPr>
        <w:pStyle w:val="BodyText"/>
        <w:rPr>
          <w:sz w:val="22"/>
        </w:rPr>
      </w:pPr>
    </w:p>
    <w:p w14:paraId="5362DE12" w14:textId="77777777" w:rsidR="00AC6F3C" w:rsidRDefault="00AC6F3C">
      <w:pPr>
        <w:pStyle w:val="BodyText"/>
        <w:rPr>
          <w:sz w:val="22"/>
        </w:rPr>
      </w:pPr>
    </w:p>
    <w:p w14:paraId="12EE3E4B" w14:textId="77777777" w:rsidR="00AC6F3C" w:rsidRDefault="00AC6F3C">
      <w:pPr>
        <w:pStyle w:val="BodyText"/>
        <w:spacing w:before="6"/>
        <w:rPr>
          <w:sz w:val="17"/>
        </w:rPr>
      </w:pPr>
    </w:p>
    <w:p w14:paraId="58D89059" w14:textId="77777777" w:rsidR="00AC6F3C" w:rsidRDefault="00570E88">
      <w:pPr>
        <w:pStyle w:val="BodyText"/>
        <w:ind w:right="193"/>
        <w:jc w:val="right"/>
      </w:pPr>
      <w:r>
        <w:t>Queensland</w:t>
      </w:r>
      <w:r>
        <w:rPr>
          <w:spacing w:val="-14"/>
        </w:rPr>
        <w:t xml:space="preserve"> </w:t>
      </w:r>
      <w:r>
        <w:t>Audit</w:t>
      </w:r>
      <w:r>
        <w:rPr>
          <w:spacing w:val="-6"/>
        </w:rPr>
        <w:t xml:space="preserve"> </w:t>
      </w:r>
      <w:r>
        <w:rPr>
          <w:spacing w:val="-2"/>
        </w:rPr>
        <w:t>Office</w:t>
      </w:r>
    </w:p>
    <w:p w14:paraId="07267CA7" w14:textId="77777777" w:rsidR="00AC6F3C" w:rsidRDefault="00570E88">
      <w:pPr>
        <w:pStyle w:val="BodyText"/>
        <w:spacing w:before="11"/>
        <w:ind w:right="193"/>
        <w:jc w:val="right"/>
      </w:pPr>
      <w:r>
        <w:rPr>
          <w:spacing w:val="-2"/>
        </w:rPr>
        <w:t>Brisbane</w:t>
      </w:r>
    </w:p>
    <w:p w14:paraId="6A88CFBB" w14:textId="77777777" w:rsidR="00AC6F3C" w:rsidRDefault="00AC6F3C">
      <w:pPr>
        <w:jc w:val="right"/>
        <w:sectPr w:rsidR="00AC6F3C">
          <w:type w:val="continuous"/>
          <w:pgSz w:w="11910" w:h="16840"/>
          <w:pgMar w:top="1920" w:right="1160" w:bottom="280" w:left="460" w:header="1524" w:footer="336" w:gutter="0"/>
          <w:cols w:num="2" w:space="720" w:equalWidth="0">
            <w:col w:w="3982" w:space="3110"/>
            <w:col w:w="3198"/>
          </w:cols>
        </w:sectPr>
      </w:pPr>
    </w:p>
    <w:p w14:paraId="1D963A90" w14:textId="77777777" w:rsidR="00AC6F3C" w:rsidRDefault="00AC6F3C">
      <w:pPr>
        <w:pStyle w:val="BodyText"/>
      </w:pPr>
    </w:p>
    <w:p w14:paraId="275162EE" w14:textId="77777777" w:rsidR="00AC6F3C" w:rsidRDefault="00AC6F3C">
      <w:pPr>
        <w:pStyle w:val="BodyText"/>
      </w:pPr>
    </w:p>
    <w:p w14:paraId="784D1C46" w14:textId="77777777" w:rsidR="00AC6F3C" w:rsidRDefault="00AC6F3C">
      <w:pPr>
        <w:pStyle w:val="BodyText"/>
      </w:pPr>
    </w:p>
    <w:p w14:paraId="4142A523" w14:textId="77777777" w:rsidR="00AC6F3C" w:rsidRDefault="00AC6F3C">
      <w:pPr>
        <w:pStyle w:val="BodyText"/>
      </w:pPr>
    </w:p>
    <w:p w14:paraId="34C6055C" w14:textId="77777777" w:rsidR="00AC6F3C" w:rsidRDefault="00AC6F3C">
      <w:pPr>
        <w:pStyle w:val="BodyText"/>
      </w:pPr>
    </w:p>
    <w:p w14:paraId="2BC86580" w14:textId="77777777" w:rsidR="00AC6F3C" w:rsidRDefault="00AC6F3C">
      <w:pPr>
        <w:pStyle w:val="BodyText"/>
      </w:pPr>
    </w:p>
    <w:p w14:paraId="41EAB97D" w14:textId="77777777" w:rsidR="00AC6F3C" w:rsidRDefault="00AC6F3C">
      <w:pPr>
        <w:pStyle w:val="BodyText"/>
      </w:pPr>
    </w:p>
    <w:p w14:paraId="64DAD004" w14:textId="77777777" w:rsidR="00AC6F3C" w:rsidRDefault="00AC6F3C">
      <w:pPr>
        <w:pStyle w:val="BodyText"/>
      </w:pPr>
    </w:p>
    <w:p w14:paraId="396B20F7" w14:textId="77777777" w:rsidR="00AC6F3C" w:rsidRDefault="00AC6F3C">
      <w:pPr>
        <w:pStyle w:val="BodyText"/>
      </w:pPr>
    </w:p>
    <w:p w14:paraId="5DDC72B4" w14:textId="77777777" w:rsidR="00AC6F3C" w:rsidRDefault="00AC6F3C">
      <w:pPr>
        <w:pStyle w:val="BodyText"/>
      </w:pPr>
    </w:p>
    <w:p w14:paraId="6D294E76" w14:textId="77777777" w:rsidR="00AC6F3C" w:rsidRDefault="00AC6F3C">
      <w:pPr>
        <w:pStyle w:val="BodyText"/>
      </w:pPr>
    </w:p>
    <w:p w14:paraId="64B3F45C" w14:textId="77777777" w:rsidR="00AC6F3C" w:rsidRDefault="00AC6F3C">
      <w:pPr>
        <w:pStyle w:val="BodyText"/>
      </w:pPr>
    </w:p>
    <w:p w14:paraId="66B2520C" w14:textId="77777777" w:rsidR="00AC6F3C" w:rsidRDefault="00AC6F3C">
      <w:pPr>
        <w:pStyle w:val="BodyText"/>
      </w:pPr>
    </w:p>
    <w:p w14:paraId="62029463" w14:textId="77777777" w:rsidR="00AC6F3C" w:rsidRDefault="00AC6F3C">
      <w:pPr>
        <w:pStyle w:val="BodyText"/>
      </w:pPr>
    </w:p>
    <w:p w14:paraId="180387BD" w14:textId="77777777" w:rsidR="00AC6F3C" w:rsidRDefault="00AC6F3C">
      <w:pPr>
        <w:pStyle w:val="BodyText"/>
      </w:pPr>
    </w:p>
    <w:p w14:paraId="5A7B151B" w14:textId="77777777" w:rsidR="00AC6F3C" w:rsidRDefault="00AC6F3C">
      <w:pPr>
        <w:pStyle w:val="BodyText"/>
        <w:spacing w:before="3"/>
        <w:rPr>
          <w:sz w:val="28"/>
        </w:rPr>
      </w:pPr>
    </w:p>
    <w:p w14:paraId="3EE59688" w14:textId="77777777" w:rsidR="00AC6F3C" w:rsidRDefault="00570E88">
      <w:pPr>
        <w:spacing w:before="81"/>
        <w:ind w:left="979"/>
        <w:rPr>
          <w:b/>
          <w:sz w:val="56"/>
        </w:rPr>
      </w:pPr>
      <w:bookmarkStart w:id="91" w:name="_bookmark34"/>
      <w:bookmarkEnd w:id="91"/>
      <w:r>
        <w:rPr>
          <w:b/>
          <w:sz w:val="56"/>
        </w:rPr>
        <w:t>LAW</w:t>
      </w:r>
      <w:r>
        <w:rPr>
          <w:b/>
          <w:spacing w:val="-32"/>
          <w:sz w:val="56"/>
        </w:rPr>
        <w:t xml:space="preserve"> </w:t>
      </w:r>
      <w:r>
        <w:rPr>
          <w:b/>
          <w:sz w:val="56"/>
        </w:rPr>
        <w:t>CLAIMS</w:t>
      </w:r>
      <w:r>
        <w:rPr>
          <w:b/>
          <w:spacing w:val="-31"/>
          <w:sz w:val="56"/>
        </w:rPr>
        <w:t xml:space="preserve"> </w:t>
      </w:r>
      <w:r>
        <w:rPr>
          <w:b/>
          <w:sz w:val="56"/>
        </w:rPr>
        <w:t>LEVY</w:t>
      </w:r>
      <w:r>
        <w:rPr>
          <w:b/>
          <w:spacing w:val="-32"/>
          <w:sz w:val="56"/>
        </w:rPr>
        <w:t xml:space="preserve"> </w:t>
      </w:r>
      <w:r>
        <w:rPr>
          <w:b/>
          <w:spacing w:val="-4"/>
          <w:sz w:val="56"/>
        </w:rPr>
        <w:t>FUND</w:t>
      </w:r>
    </w:p>
    <w:p w14:paraId="08CCC490" w14:textId="77777777" w:rsidR="00AC6F3C" w:rsidRDefault="00570E88">
      <w:pPr>
        <w:spacing w:before="241" w:line="505" w:lineRule="exact"/>
        <w:ind w:left="979"/>
        <w:rPr>
          <w:sz w:val="44"/>
        </w:rPr>
      </w:pPr>
      <w:r>
        <w:rPr>
          <w:spacing w:val="-2"/>
          <w:sz w:val="44"/>
        </w:rPr>
        <w:t>Financial</w:t>
      </w:r>
      <w:r>
        <w:rPr>
          <w:spacing w:val="-28"/>
          <w:sz w:val="44"/>
        </w:rPr>
        <w:t xml:space="preserve"> </w:t>
      </w:r>
      <w:r>
        <w:rPr>
          <w:spacing w:val="-2"/>
          <w:sz w:val="44"/>
        </w:rPr>
        <w:t>Report</w:t>
      </w:r>
    </w:p>
    <w:p w14:paraId="329D8408" w14:textId="77777777" w:rsidR="00AC6F3C" w:rsidRDefault="00570E88">
      <w:pPr>
        <w:spacing w:line="505" w:lineRule="exact"/>
        <w:ind w:left="979"/>
        <w:rPr>
          <w:sz w:val="44"/>
        </w:rPr>
      </w:pPr>
      <w:r>
        <w:rPr>
          <w:sz w:val="44"/>
        </w:rPr>
        <w:t>For</w:t>
      </w:r>
      <w:r>
        <w:rPr>
          <w:spacing w:val="-20"/>
          <w:sz w:val="44"/>
        </w:rPr>
        <w:t xml:space="preserve"> </w:t>
      </w:r>
      <w:r>
        <w:rPr>
          <w:sz w:val="44"/>
        </w:rPr>
        <w:t>the</w:t>
      </w:r>
      <w:r>
        <w:rPr>
          <w:spacing w:val="-22"/>
          <w:sz w:val="44"/>
        </w:rPr>
        <w:t xml:space="preserve"> </w:t>
      </w:r>
      <w:r>
        <w:rPr>
          <w:sz w:val="44"/>
        </w:rPr>
        <w:t>year</w:t>
      </w:r>
      <w:r>
        <w:rPr>
          <w:spacing w:val="-21"/>
          <w:sz w:val="44"/>
        </w:rPr>
        <w:t xml:space="preserve"> </w:t>
      </w:r>
      <w:r>
        <w:rPr>
          <w:sz w:val="44"/>
        </w:rPr>
        <w:t>ended</w:t>
      </w:r>
      <w:r>
        <w:rPr>
          <w:spacing w:val="-21"/>
          <w:sz w:val="44"/>
        </w:rPr>
        <w:t xml:space="preserve"> </w:t>
      </w:r>
      <w:r>
        <w:rPr>
          <w:sz w:val="44"/>
        </w:rPr>
        <w:t>30</w:t>
      </w:r>
      <w:r>
        <w:rPr>
          <w:spacing w:val="-22"/>
          <w:sz w:val="44"/>
        </w:rPr>
        <w:t xml:space="preserve"> </w:t>
      </w:r>
      <w:r>
        <w:rPr>
          <w:sz w:val="44"/>
        </w:rPr>
        <w:t>June</w:t>
      </w:r>
      <w:r>
        <w:rPr>
          <w:spacing w:val="-19"/>
          <w:sz w:val="44"/>
        </w:rPr>
        <w:t xml:space="preserve"> </w:t>
      </w:r>
      <w:r>
        <w:rPr>
          <w:spacing w:val="-4"/>
          <w:sz w:val="44"/>
        </w:rPr>
        <w:t>2023</w:t>
      </w:r>
    </w:p>
    <w:p w14:paraId="5FDEF7D4" w14:textId="77777777" w:rsidR="00AC6F3C" w:rsidRDefault="00AC6F3C">
      <w:pPr>
        <w:spacing w:line="505" w:lineRule="exact"/>
        <w:rPr>
          <w:sz w:val="44"/>
        </w:rPr>
        <w:sectPr w:rsidR="00AC6F3C">
          <w:headerReference w:type="default" r:id="rId219"/>
          <w:footerReference w:type="default" r:id="rId220"/>
          <w:pgSz w:w="11910" w:h="16840"/>
          <w:pgMar w:top="1920" w:right="1160" w:bottom="520" w:left="460" w:header="0" w:footer="336" w:gutter="0"/>
          <w:cols w:space="720"/>
        </w:sectPr>
      </w:pPr>
    </w:p>
    <w:p w14:paraId="07D66074" w14:textId="77777777" w:rsidR="00AC6F3C" w:rsidRDefault="00570E88">
      <w:pPr>
        <w:ind w:left="979"/>
      </w:pPr>
      <w:r>
        <w:lastRenderedPageBreak/>
        <w:t>Financial</w:t>
      </w:r>
      <w:r>
        <w:rPr>
          <w:spacing w:val="-9"/>
        </w:rPr>
        <w:t xml:space="preserve"> </w:t>
      </w:r>
      <w:r>
        <w:rPr>
          <w:spacing w:val="-2"/>
        </w:rPr>
        <w:t>Report</w:t>
      </w:r>
    </w:p>
    <w:p w14:paraId="463EECDA" w14:textId="77777777" w:rsidR="00AC6F3C" w:rsidRDefault="00570E88">
      <w:pPr>
        <w:pStyle w:val="BodyText"/>
        <w:spacing w:before="8"/>
        <w:rPr>
          <w:sz w:val="18"/>
        </w:rPr>
      </w:pPr>
      <w:r>
        <w:rPr>
          <w:noProof/>
        </w:rPr>
        <mc:AlternateContent>
          <mc:Choice Requires="wps">
            <w:drawing>
              <wp:anchor distT="0" distB="0" distL="0" distR="0" simplePos="0" relativeHeight="487686656" behindDoc="1" locked="0" layoutInCell="1" allowOverlap="1" wp14:anchorId="60826118" wp14:editId="04D3CD02">
                <wp:simplePos x="0" y="0"/>
                <wp:positionH relativeFrom="page">
                  <wp:posOffset>896045</wp:posOffset>
                </wp:positionH>
                <wp:positionV relativeFrom="paragraph">
                  <wp:posOffset>151896</wp:posOffset>
                </wp:positionV>
                <wp:extent cx="5783580" cy="635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6350"/>
                        </a:xfrm>
                        <a:custGeom>
                          <a:avLst/>
                          <a:gdLst/>
                          <a:ahLst/>
                          <a:cxnLst/>
                          <a:rect l="l" t="t" r="r" b="b"/>
                          <a:pathLst>
                            <a:path w="5783580" h="6350">
                              <a:moveTo>
                                <a:pt x="5783148" y="6094"/>
                              </a:moveTo>
                              <a:lnTo>
                                <a:pt x="0" y="6094"/>
                              </a:lnTo>
                              <a:lnTo>
                                <a:pt x="0" y="0"/>
                              </a:lnTo>
                              <a:lnTo>
                                <a:pt x="5783148" y="0"/>
                              </a:lnTo>
                              <a:lnTo>
                                <a:pt x="578314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4B216" id="Graphic 770" o:spid="_x0000_s1026" style="position:absolute;margin-left:70.55pt;margin-top:11.95pt;width:455.4pt;height:.5pt;z-index:-15629824;visibility:visible;mso-wrap-style:square;mso-wrap-distance-left:0;mso-wrap-distance-top:0;mso-wrap-distance-right:0;mso-wrap-distance-bottom:0;mso-position-horizontal:absolute;mso-position-horizontal-relative:page;mso-position-vertical:absolute;mso-position-vertical-relative:text;v-text-anchor:top" coordsize="5783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" path="m5783148,6094l,6094,,,5783148,r,6094xe" fillcolor="black" stroked="f">
                <v:path arrowok="t"/>
                <w10:wrap type="topAndBottom" anchorx="page"/>
              </v:shape>
            </w:pict>
          </mc:Fallback>
        </mc:AlternateContent>
      </w:r>
    </w:p>
    <w:p w14:paraId="77112F33" w14:textId="77777777" w:rsidR="00AC6F3C" w:rsidRDefault="00AC6F3C">
      <w:pPr>
        <w:pStyle w:val="BodyText"/>
      </w:pPr>
    </w:p>
    <w:p w14:paraId="694CA6B8" w14:textId="77777777" w:rsidR="00AC6F3C" w:rsidRDefault="00AC6F3C">
      <w:pPr>
        <w:pStyle w:val="BodyText"/>
      </w:pPr>
    </w:p>
    <w:p w14:paraId="3CA4CFF7" w14:textId="77777777" w:rsidR="00AC6F3C" w:rsidRDefault="00AC6F3C">
      <w:pPr>
        <w:pStyle w:val="BodyText"/>
      </w:pPr>
    </w:p>
    <w:p w14:paraId="19CAF885" w14:textId="77777777" w:rsidR="00AC6F3C" w:rsidRDefault="00570E88">
      <w:pPr>
        <w:pStyle w:val="BodyText"/>
        <w:spacing w:before="7"/>
        <w:rPr>
          <w:sz w:val="22"/>
        </w:rPr>
      </w:pPr>
      <w:r>
        <w:rPr>
          <w:noProof/>
        </w:rPr>
        <mc:AlternateContent>
          <mc:Choice Requires="wps">
            <w:drawing>
              <wp:anchor distT="0" distB="0" distL="0" distR="0" simplePos="0" relativeHeight="487687168" behindDoc="1" locked="0" layoutInCell="1" allowOverlap="1" wp14:anchorId="4C6C7FCC" wp14:editId="796F862E">
                <wp:simplePos x="0" y="0"/>
                <wp:positionH relativeFrom="page">
                  <wp:posOffset>896045</wp:posOffset>
                </wp:positionH>
                <wp:positionV relativeFrom="paragraph">
                  <wp:posOffset>180533</wp:posOffset>
                </wp:positionV>
                <wp:extent cx="5783580" cy="1270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12700"/>
                        </a:xfrm>
                        <a:custGeom>
                          <a:avLst/>
                          <a:gdLst/>
                          <a:ahLst/>
                          <a:cxnLst/>
                          <a:rect l="l" t="t" r="r" b="b"/>
                          <a:pathLst>
                            <a:path w="5783580" h="12700">
                              <a:moveTo>
                                <a:pt x="5783148" y="12164"/>
                              </a:moveTo>
                              <a:lnTo>
                                <a:pt x="0" y="12164"/>
                              </a:lnTo>
                              <a:lnTo>
                                <a:pt x="0" y="0"/>
                              </a:lnTo>
                              <a:lnTo>
                                <a:pt x="5783148" y="0"/>
                              </a:lnTo>
                              <a:lnTo>
                                <a:pt x="5783148" y="12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9B9873" id="Graphic 771" o:spid="_x0000_s1026" style="position:absolute;margin-left:70.55pt;margin-top:14.2pt;width:455.4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57835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" path="m5783148,12164l,12164,,,5783148,r,12164xe" fillcolor="black" stroked="f">
                <v:path arrowok="t"/>
                <w10:wrap type="topAndBottom" anchorx="page"/>
              </v:shape>
            </w:pict>
          </mc:Fallback>
        </mc:AlternateContent>
      </w:r>
    </w:p>
    <w:p w14:paraId="1AACCC3A" w14:textId="77777777" w:rsidR="00AC6F3C" w:rsidRDefault="00570E88">
      <w:pPr>
        <w:spacing w:before="99"/>
        <w:ind w:left="979"/>
        <w:rPr>
          <w:b/>
          <w:sz w:val="36"/>
        </w:rPr>
      </w:pPr>
      <w:r>
        <w:rPr>
          <w:b/>
          <w:sz w:val="36"/>
        </w:rPr>
        <w:t>Table</w:t>
      </w:r>
      <w:r>
        <w:rPr>
          <w:b/>
          <w:spacing w:val="-4"/>
          <w:sz w:val="36"/>
        </w:rPr>
        <w:t xml:space="preserve"> </w:t>
      </w:r>
      <w:r>
        <w:rPr>
          <w:b/>
          <w:sz w:val="36"/>
        </w:rPr>
        <w:t xml:space="preserve">of </w:t>
      </w:r>
      <w:r>
        <w:rPr>
          <w:b/>
          <w:spacing w:val="-2"/>
          <w:sz w:val="36"/>
        </w:rPr>
        <w:t>contents</w:t>
      </w:r>
    </w:p>
    <w:p w14:paraId="7223929A" w14:textId="77777777" w:rsidR="00AC6F3C" w:rsidRDefault="00AC6F3C">
      <w:pPr>
        <w:pStyle w:val="BodyText"/>
        <w:rPr>
          <w:b/>
        </w:rPr>
      </w:pPr>
    </w:p>
    <w:p w14:paraId="59BC0D5D" w14:textId="77777777" w:rsidR="00AC6F3C" w:rsidRDefault="00AC6F3C">
      <w:pPr>
        <w:pStyle w:val="BodyText"/>
        <w:spacing w:before="5"/>
        <w:rPr>
          <w:b/>
          <w:sz w:val="24"/>
        </w:rPr>
      </w:pPr>
    </w:p>
    <w:p w14:paraId="1E598686" w14:textId="77777777" w:rsidR="00AC6F3C" w:rsidRDefault="00570E88">
      <w:pPr>
        <w:pStyle w:val="BodyText"/>
        <w:spacing w:line="20" w:lineRule="exact"/>
        <w:ind w:left="979"/>
        <w:rPr>
          <w:sz w:val="2"/>
        </w:rPr>
      </w:pPr>
      <w:r>
        <w:rPr>
          <w:noProof/>
          <w:sz w:val="2"/>
        </w:rPr>
        <mc:AlternateContent>
          <mc:Choice Requires="wpg">
            <w:drawing>
              <wp:inline distT="0" distB="0" distL="0" distR="0" wp14:anchorId="467B8115" wp14:editId="0B13CB8A">
                <wp:extent cx="5760720" cy="6350"/>
                <wp:effectExtent l="0" t="0" r="0" b="0"/>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773" name="Graphic 773"/>
                        <wps:cNvSpPr/>
                        <wps:spPr>
                          <a:xfrm>
                            <a:off x="-7" y="5"/>
                            <a:ext cx="5760720" cy="6350"/>
                          </a:xfrm>
                          <a:custGeom>
                            <a:avLst/>
                            <a:gdLst/>
                            <a:ahLst/>
                            <a:cxnLst/>
                            <a:rect l="l" t="t" r="r" b="b"/>
                            <a:pathLst>
                              <a:path w="5760720" h="6350">
                                <a:moveTo>
                                  <a:pt x="5760288" y="0"/>
                                </a:moveTo>
                                <a:lnTo>
                                  <a:pt x="5760288" y="0"/>
                                </a:lnTo>
                                <a:lnTo>
                                  <a:pt x="0" y="0"/>
                                </a:lnTo>
                                <a:lnTo>
                                  <a:pt x="0" y="6096"/>
                                </a:lnTo>
                                <a:lnTo>
                                  <a:pt x="5760288" y="6096"/>
                                </a:lnTo>
                                <a:lnTo>
                                  <a:pt x="57602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02EC45" id="Group 772" o:spid="_x0000_s1026" style="width:453.6pt;height:.5pt;mso-position-horizontal-relative:char;mso-position-vertical-relative:line" coordsize="576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">
                <v:shape id="Graphic 773" o:spid="_x0000_s1027" style="position:absolute;width:57607;height:63;visibility:visible;mso-wrap-style:square;v-text-anchor:top" coordsize="5760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" path="m5760288,r,l,,,6096r5760288,l5760288,xe" fillcolor="black" stroked="f">
                  <v:path arrowok="t"/>
                </v:shape>
                <w10:anchorlock/>
              </v:group>
            </w:pict>
          </mc:Fallback>
        </mc:AlternateContent>
      </w:r>
    </w:p>
    <w:p w14:paraId="6B8A7F12" w14:textId="77777777" w:rsidR="00AC6F3C" w:rsidRDefault="00AC6F3C">
      <w:pPr>
        <w:spacing w:line="20" w:lineRule="exact"/>
        <w:rPr>
          <w:sz w:val="2"/>
        </w:rPr>
        <w:sectPr w:rsidR="00AC6F3C">
          <w:headerReference w:type="default" r:id="rId221"/>
          <w:footerReference w:type="default" r:id="rId222"/>
          <w:pgSz w:w="11910" w:h="16840"/>
          <w:pgMar w:top="1580" w:right="1160" w:bottom="520" w:left="460" w:header="1297" w:footer="336" w:gutter="0"/>
          <w:cols w:space="720"/>
        </w:sectPr>
      </w:pPr>
    </w:p>
    <w:p w14:paraId="3B39BED0" w14:textId="77777777" w:rsidR="00AC6F3C" w:rsidRDefault="00570E88">
      <w:pPr>
        <w:spacing w:before="46"/>
        <w:ind w:left="1087" w:right="58"/>
        <w:rPr>
          <w:b/>
          <w:sz w:val="18"/>
        </w:rPr>
      </w:pPr>
      <w:r>
        <w:rPr>
          <w:b/>
          <w:spacing w:val="-2"/>
          <w:sz w:val="18"/>
        </w:rPr>
        <w:t xml:space="preserve">Financial </w:t>
      </w:r>
      <w:r>
        <w:rPr>
          <w:b/>
          <w:spacing w:val="-4"/>
          <w:sz w:val="18"/>
        </w:rPr>
        <w:t>Statements</w:t>
      </w:r>
    </w:p>
    <w:p w14:paraId="315A1358" w14:textId="77777777" w:rsidR="00AC6F3C" w:rsidRDefault="00AC6F3C">
      <w:pPr>
        <w:pStyle w:val="BodyText"/>
        <w:rPr>
          <w:b/>
        </w:rPr>
      </w:pPr>
    </w:p>
    <w:p w14:paraId="67A4F261" w14:textId="77777777" w:rsidR="00AC6F3C" w:rsidRDefault="00AC6F3C">
      <w:pPr>
        <w:pStyle w:val="BodyText"/>
        <w:rPr>
          <w:b/>
        </w:rPr>
      </w:pPr>
    </w:p>
    <w:p w14:paraId="3DF36428" w14:textId="77777777" w:rsidR="00AC6F3C" w:rsidRDefault="00AC6F3C">
      <w:pPr>
        <w:pStyle w:val="BodyText"/>
        <w:rPr>
          <w:b/>
        </w:rPr>
      </w:pPr>
    </w:p>
    <w:p w14:paraId="3D56221B" w14:textId="77777777" w:rsidR="00AC6F3C" w:rsidRDefault="00AC6F3C">
      <w:pPr>
        <w:pStyle w:val="BodyText"/>
        <w:rPr>
          <w:b/>
          <w:sz w:val="19"/>
        </w:rPr>
      </w:pPr>
    </w:p>
    <w:p w14:paraId="2C673BE7" w14:textId="77777777" w:rsidR="00AC6F3C" w:rsidRDefault="00570E88">
      <w:pPr>
        <w:ind w:left="1087"/>
        <w:rPr>
          <w:b/>
          <w:sz w:val="18"/>
        </w:rPr>
      </w:pPr>
      <w:r>
        <w:rPr>
          <w:noProof/>
        </w:rPr>
        <mc:AlternateContent>
          <mc:Choice Requires="wps">
            <w:drawing>
              <wp:anchor distT="0" distB="0" distL="0" distR="0" simplePos="0" relativeHeight="15833088" behindDoc="0" locked="0" layoutInCell="1" allowOverlap="1" wp14:anchorId="1174167F" wp14:editId="2D8FC3CE">
                <wp:simplePos x="0" y="0"/>
                <wp:positionH relativeFrom="page">
                  <wp:posOffset>914323</wp:posOffset>
                </wp:positionH>
                <wp:positionV relativeFrom="paragraph">
                  <wp:posOffset>-42124</wp:posOffset>
                </wp:positionV>
                <wp:extent cx="5760720" cy="635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350"/>
                        </a:xfrm>
                        <a:custGeom>
                          <a:avLst/>
                          <a:gdLst/>
                          <a:ahLst/>
                          <a:cxnLst/>
                          <a:rect l="l" t="t" r="r" b="b"/>
                          <a:pathLst>
                            <a:path w="5760720" h="6350">
                              <a:moveTo>
                                <a:pt x="5760288" y="0"/>
                              </a:moveTo>
                              <a:lnTo>
                                <a:pt x="5760288" y="0"/>
                              </a:lnTo>
                              <a:lnTo>
                                <a:pt x="0" y="0"/>
                              </a:lnTo>
                              <a:lnTo>
                                <a:pt x="0" y="6121"/>
                              </a:lnTo>
                              <a:lnTo>
                                <a:pt x="5760288" y="6121"/>
                              </a:lnTo>
                              <a:lnTo>
                                <a:pt x="5760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AE661" id="Graphic 774" o:spid="_x0000_s1026" style="position:absolute;margin-left:1in;margin-top:-3.3pt;width:453.6pt;height:.5pt;z-index:15833088;visibility:visible;mso-wrap-style:square;mso-wrap-distance-left:0;mso-wrap-distance-top:0;mso-wrap-distance-right:0;mso-wrap-distance-bottom:0;mso-position-horizontal:absolute;mso-position-horizontal-relative:page;mso-position-vertical:absolute;mso-position-vertical-relative:text;v-text-anchor:top" coordsize="576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" path="m5760288,r,l,,,6121r5760288,l5760288,xe" fillcolor="black" stroked="f">
                <v:path arrowok="t"/>
                <w10:wrap anchorx="page"/>
              </v:shape>
            </w:pict>
          </mc:Fallback>
        </mc:AlternateContent>
      </w:r>
      <w:r>
        <w:rPr>
          <w:b/>
          <w:spacing w:val="-4"/>
          <w:sz w:val="18"/>
        </w:rPr>
        <w:t>Notes</w:t>
      </w:r>
      <w:r>
        <w:rPr>
          <w:b/>
          <w:spacing w:val="-11"/>
          <w:sz w:val="18"/>
        </w:rPr>
        <w:t xml:space="preserve"> </w:t>
      </w:r>
      <w:r>
        <w:rPr>
          <w:b/>
          <w:spacing w:val="-4"/>
          <w:sz w:val="18"/>
        </w:rPr>
        <w:t>to</w:t>
      </w:r>
      <w:r>
        <w:rPr>
          <w:b/>
          <w:spacing w:val="-8"/>
          <w:sz w:val="18"/>
        </w:rPr>
        <w:t xml:space="preserve"> </w:t>
      </w:r>
      <w:r>
        <w:rPr>
          <w:b/>
          <w:spacing w:val="-4"/>
          <w:sz w:val="18"/>
        </w:rPr>
        <w:t xml:space="preserve">the </w:t>
      </w:r>
      <w:r>
        <w:rPr>
          <w:b/>
          <w:spacing w:val="-2"/>
          <w:sz w:val="18"/>
        </w:rPr>
        <w:t>Financial Statements</w:t>
      </w:r>
    </w:p>
    <w:p w14:paraId="0F71DB72" w14:textId="77777777" w:rsidR="00AC6F3C" w:rsidRDefault="00570E88">
      <w:pPr>
        <w:tabs>
          <w:tab w:val="left" w:pos="6539"/>
        </w:tabs>
        <w:spacing w:before="46"/>
        <w:ind w:right="340"/>
        <w:jc w:val="right"/>
        <w:rPr>
          <w:b/>
          <w:sz w:val="18"/>
        </w:rPr>
      </w:pPr>
      <w:r>
        <w:br w:type="column"/>
      </w:r>
      <w:r>
        <w:rPr>
          <w:b/>
          <w:spacing w:val="-4"/>
          <w:sz w:val="18"/>
        </w:rPr>
        <w:t>Statement</w:t>
      </w:r>
      <w:r>
        <w:rPr>
          <w:b/>
          <w:spacing w:val="1"/>
          <w:sz w:val="18"/>
        </w:rPr>
        <w:t xml:space="preserve"> </w:t>
      </w:r>
      <w:r>
        <w:rPr>
          <w:b/>
          <w:spacing w:val="-4"/>
          <w:sz w:val="18"/>
        </w:rPr>
        <w:t>of</w:t>
      </w:r>
      <w:r>
        <w:rPr>
          <w:b/>
          <w:spacing w:val="2"/>
          <w:sz w:val="18"/>
        </w:rPr>
        <w:t xml:space="preserve"> </w:t>
      </w:r>
      <w:r>
        <w:rPr>
          <w:b/>
          <w:spacing w:val="-4"/>
          <w:sz w:val="18"/>
        </w:rPr>
        <w:t>Comprehensive</w:t>
      </w:r>
      <w:r>
        <w:rPr>
          <w:b/>
          <w:sz w:val="18"/>
        </w:rPr>
        <w:t xml:space="preserve"> </w:t>
      </w:r>
      <w:r>
        <w:rPr>
          <w:b/>
          <w:spacing w:val="-4"/>
          <w:sz w:val="18"/>
        </w:rPr>
        <w:t>Income</w:t>
      </w:r>
      <w:r>
        <w:rPr>
          <w:b/>
          <w:sz w:val="18"/>
        </w:rPr>
        <w:tab/>
      </w:r>
      <w:r>
        <w:rPr>
          <w:b/>
          <w:spacing w:val="-2"/>
          <w:sz w:val="18"/>
        </w:rPr>
        <w:t>Page</w:t>
      </w:r>
      <w:r>
        <w:rPr>
          <w:b/>
          <w:spacing w:val="-11"/>
          <w:sz w:val="18"/>
        </w:rPr>
        <w:t xml:space="preserve"> </w:t>
      </w:r>
      <w:r>
        <w:rPr>
          <w:b/>
          <w:spacing w:val="-5"/>
          <w:sz w:val="18"/>
        </w:rPr>
        <w:t>164</w:t>
      </w:r>
    </w:p>
    <w:p w14:paraId="1DFC65AE" w14:textId="77777777" w:rsidR="00AC6F3C" w:rsidRDefault="00AC6F3C">
      <w:pPr>
        <w:pStyle w:val="BodyText"/>
        <w:rPr>
          <w:b/>
          <w:sz w:val="5"/>
        </w:rPr>
      </w:pPr>
    </w:p>
    <w:p w14:paraId="76D57FB3"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7F577C1D" wp14:editId="5A417346">
                <wp:extent cx="4770120" cy="6350"/>
                <wp:effectExtent l="0" t="0" r="0" b="0"/>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76" name="Graphic 776"/>
                        <wps:cNvSpPr/>
                        <wps:spPr>
                          <a:xfrm>
                            <a:off x="-10" y="5"/>
                            <a:ext cx="4770120" cy="6350"/>
                          </a:xfrm>
                          <a:custGeom>
                            <a:avLst/>
                            <a:gdLst/>
                            <a:ahLst/>
                            <a:cxnLst/>
                            <a:rect l="l" t="t" r="r" b="b"/>
                            <a:pathLst>
                              <a:path w="4770120" h="6350">
                                <a:moveTo>
                                  <a:pt x="4769764" y="0"/>
                                </a:moveTo>
                                <a:lnTo>
                                  <a:pt x="3966680" y="0"/>
                                </a:lnTo>
                                <a:lnTo>
                                  <a:pt x="3960584" y="0"/>
                                </a:lnTo>
                                <a:lnTo>
                                  <a:pt x="0" y="0"/>
                                </a:lnTo>
                                <a:lnTo>
                                  <a:pt x="0" y="6096"/>
                                </a:lnTo>
                                <a:lnTo>
                                  <a:pt x="3960584" y="6096"/>
                                </a:lnTo>
                                <a:lnTo>
                                  <a:pt x="3966680" y="6096"/>
                                </a:lnTo>
                                <a:lnTo>
                                  <a:pt x="4769764" y="6096"/>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458DBC" id="Group 775"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">
                <v:shape id="Graphic 776"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" path="m4769764,l3966680,r-6096,l,,,6096r3960584,l3966680,6096r803084,l4769764,xe" fillcolor="black" stroked="f">
                  <v:path arrowok="t"/>
                </v:shape>
                <w10:anchorlock/>
              </v:group>
            </w:pict>
          </mc:Fallback>
        </mc:AlternateContent>
      </w:r>
    </w:p>
    <w:p w14:paraId="7790FEC5" w14:textId="77777777" w:rsidR="00AC6F3C" w:rsidRDefault="00570E88">
      <w:pPr>
        <w:tabs>
          <w:tab w:val="left" w:pos="6539"/>
        </w:tabs>
        <w:spacing w:before="47"/>
        <w:ind w:right="340"/>
        <w:jc w:val="right"/>
        <w:rPr>
          <w:b/>
          <w:sz w:val="18"/>
        </w:rPr>
      </w:pPr>
      <w:r>
        <w:rPr>
          <w:b/>
          <w:spacing w:val="-4"/>
          <w:sz w:val="18"/>
        </w:rPr>
        <w:t>Statement</w:t>
      </w:r>
      <w:r>
        <w:rPr>
          <w:b/>
          <w:spacing w:val="2"/>
          <w:sz w:val="18"/>
        </w:rPr>
        <w:t xml:space="preserve"> </w:t>
      </w:r>
      <w:r>
        <w:rPr>
          <w:b/>
          <w:spacing w:val="-4"/>
          <w:sz w:val="18"/>
        </w:rPr>
        <w:t>of</w:t>
      </w:r>
      <w:r>
        <w:rPr>
          <w:b/>
          <w:spacing w:val="1"/>
          <w:sz w:val="18"/>
        </w:rPr>
        <w:t xml:space="preserve"> </w:t>
      </w:r>
      <w:r>
        <w:rPr>
          <w:b/>
          <w:spacing w:val="-4"/>
          <w:sz w:val="18"/>
        </w:rPr>
        <w:t>Financial</w:t>
      </w:r>
      <w:r>
        <w:rPr>
          <w:b/>
          <w:spacing w:val="1"/>
          <w:sz w:val="18"/>
        </w:rPr>
        <w:t xml:space="preserve"> </w:t>
      </w:r>
      <w:r>
        <w:rPr>
          <w:b/>
          <w:spacing w:val="-4"/>
          <w:sz w:val="18"/>
        </w:rPr>
        <w:t>Position</w:t>
      </w:r>
      <w:r>
        <w:rPr>
          <w:b/>
          <w:sz w:val="18"/>
        </w:rPr>
        <w:tab/>
      </w:r>
      <w:r>
        <w:rPr>
          <w:b/>
          <w:spacing w:val="-2"/>
          <w:sz w:val="18"/>
        </w:rPr>
        <w:t>Page</w:t>
      </w:r>
      <w:r>
        <w:rPr>
          <w:b/>
          <w:spacing w:val="-11"/>
          <w:sz w:val="18"/>
        </w:rPr>
        <w:t xml:space="preserve"> </w:t>
      </w:r>
      <w:r>
        <w:rPr>
          <w:b/>
          <w:spacing w:val="-5"/>
          <w:sz w:val="18"/>
        </w:rPr>
        <w:t>165</w:t>
      </w:r>
    </w:p>
    <w:p w14:paraId="108AB871" w14:textId="77777777" w:rsidR="00AC6F3C" w:rsidRDefault="00AC6F3C">
      <w:pPr>
        <w:pStyle w:val="BodyText"/>
        <w:rPr>
          <w:b/>
          <w:sz w:val="5"/>
        </w:rPr>
      </w:pPr>
    </w:p>
    <w:p w14:paraId="34D277AE"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1BF01F52" wp14:editId="65EE4CED">
                <wp:extent cx="4770120" cy="6350"/>
                <wp:effectExtent l="0" t="0" r="0" b="0"/>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78" name="Graphic 778"/>
                        <wps:cNvSpPr/>
                        <wps:spPr>
                          <a:xfrm>
                            <a:off x="-10" y="4"/>
                            <a:ext cx="4770120" cy="6350"/>
                          </a:xfrm>
                          <a:custGeom>
                            <a:avLst/>
                            <a:gdLst/>
                            <a:ahLst/>
                            <a:cxnLst/>
                            <a:rect l="l" t="t" r="r" b="b"/>
                            <a:pathLst>
                              <a:path w="4770120" h="6350">
                                <a:moveTo>
                                  <a:pt x="4769764" y="0"/>
                                </a:moveTo>
                                <a:lnTo>
                                  <a:pt x="3966680" y="0"/>
                                </a:lnTo>
                                <a:lnTo>
                                  <a:pt x="3960584" y="0"/>
                                </a:lnTo>
                                <a:lnTo>
                                  <a:pt x="0" y="0"/>
                                </a:lnTo>
                                <a:lnTo>
                                  <a:pt x="0" y="6096"/>
                                </a:lnTo>
                                <a:lnTo>
                                  <a:pt x="3960584" y="6096"/>
                                </a:lnTo>
                                <a:lnTo>
                                  <a:pt x="3966680" y="6096"/>
                                </a:lnTo>
                                <a:lnTo>
                                  <a:pt x="4769764" y="6096"/>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DF88DD" id="Group 777"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">
                <v:shape id="Graphic 778"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" path="m4769764,l3966680,r-6096,l,,,6096r3960584,l3966680,6096r803084,l4769764,xe" fillcolor="black" stroked="f">
                  <v:path arrowok="t"/>
                </v:shape>
                <w10:anchorlock/>
              </v:group>
            </w:pict>
          </mc:Fallback>
        </mc:AlternateContent>
      </w:r>
    </w:p>
    <w:p w14:paraId="094623A2" w14:textId="77777777" w:rsidR="00AC6F3C" w:rsidRDefault="00570E88">
      <w:pPr>
        <w:tabs>
          <w:tab w:val="left" w:pos="6539"/>
        </w:tabs>
        <w:spacing w:before="46"/>
        <w:ind w:right="340"/>
        <w:jc w:val="right"/>
        <w:rPr>
          <w:b/>
          <w:sz w:val="18"/>
        </w:rPr>
      </w:pPr>
      <w:r>
        <w:rPr>
          <w:b/>
          <w:spacing w:val="-2"/>
          <w:sz w:val="18"/>
        </w:rPr>
        <w:t>Statement</w:t>
      </w:r>
      <w:r>
        <w:rPr>
          <w:b/>
          <w:spacing w:val="-11"/>
          <w:sz w:val="18"/>
        </w:rPr>
        <w:t xml:space="preserve"> </w:t>
      </w:r>
      <w:r>
        <w:rPr>
          <w:b/>
          <w:spacing w:val="-2"/>
          <w:sz w:val="18"/>
        </w:rPr>
        <w:t>of</w:t>
      </w:r>
      <w:r>
        <w:rPr>
          <w:b/>
          <w:spacing w:val="-9"/>
          <w:sz w:val="18"/>
        </w:rPr>
        <w:t xml:space="preserve"> </w:t>
      </w:r>
      <w:r>
        <w:rPr>
          <w:b/>
          <w:spacing w:val="-2"/>
          <w:sz w:val="18"/>
        </w:rPr>
        <w:t>Changes</w:t>
      </w:r>
      <w:r>
        <w:rPr>
          <w:b/>
          <w:spacing w:val="-11"/>
          <w:sz w:val="18"/>
        </w:rPr>
        <w:t xml:space="preserve"> </w:t>
      </w:r>
      <w:r>
        <w:rPr>
          <w:b/>
          <w:spacing w:val="-2"/>
          <w:sz w:val="18"/>
        </w:rPr>
        <w:t>in</w:t>
      </w:r>
      <w:r>
        <w:rPr>
          <w:b/>
          <w:spacing w:val="-10"/>
          <w:sz w:val="18"/>
        </w:rPr>
        <w:t xml:space="preserve"> </w:t>
      </w:r>
      <w:r>
        <w:rPr>
          <w:b/>
          <w:spacing w:val="-2"/>
          <w:sz w:val="18"/>
        </w:rPr>
        <w:t>Equity</w:t>
      </w:r>
      <w:r>
        <w:rPr>
          <w:b/>
          <w:sz w:val="18"/>
        </w:rPr>
        <w:tab/>
      </w:r>
      <w:r>
        <w:rPr>
          <w:b/>
          <w:spacing w:val="-2"/>
          <w:sz w:val="18"/>
        </w:rPr>
        <w:t>Page</w:t>
      </w:r>
      <w:r>
        <w:rPr>
          <w:b/>
          <w:spacing w:val="-11"/>
          <w:sz w:val="18"/>
        </w:rPr>
        <w:t xml:space="preserve"> </w:t>
      </w:r>
      <w:r>
        <w:rPr>
          <w:b/>
          <w:spacing w:val="-5"/>
          <w:sz w:val="18"/>
        </w:rPr>
        <w:t>166</w:t>
      </w:r>
    </w:p>
    <w:p w14:paraId="62D1B406" w14:textId="77777777" w:rsidR="00AC6F3C" w:rsidRDefault="00AC6F3C">
      <w:pPr>
        <w:pStyle w:val="BodyText"/>
        <w:spacing w:before="10"/>
        <w:rPr>
          <w:b/>
          <w:sz w:val="4"/>
        </w:rPr>
      </w:pPr>
    </w:p>
    <w:p w14:paraId="21F43089"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020A0C86" wp14:editId="568F1DC9">
                <wp:extent cx="4770120" cy="6350"/>
                <wp:effectExtent l="0" t="0" r="0" b="0"/>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80" name="Graphic 780"/>
                        <wps:cNvSpPr/>
                        <wps:spPr>
                          <a:xfrm>
                            <a:off x="-10" y="3"/>
                            <a:ext cx="4770120" cy="6350"/>
                          </a:xfrm>
                          <a:custGeom>
                            <a:avLst/>
                            <a:gdLst/>
                            <a:ahLst/>
                            <a:cxnLst/>
                            <a:rect l="l" t="t" r="r" b="b"/>
                            <a:pathLst>
                              <a:path w="4770120" h="6350">
                                <a:moveTo>
                                  <a:pt x="4769764" y="0"/>
                                </a:moveTo>
                                <a:lnTo>
                                  <a:pt x="3966680" y="0"/>
                                </a:lnTo>
                                <a:lnTo>
                                  <a:pt x="3960584" y="0"/>
                                </a:lnTo>
                                <a:lnTo>
                                  <a:pt x="0" y="0"/>
                                </a:lnTo>
                                <a:lnTo>
                                  <a:pt x="0" y="6121"/>
                                </a:lnTo>
                                <a:lnTo>
                                  <a:pt x="3960584" y="6121"/>
                                </a:lnTo>
                                <a:lnTo>
                                  <a:pt x="396668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A0885E" id="Group 779"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">
                <v:shape id="Graphic 780"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" path="m4769764,l3966680,r-6096,l,,,6121r3960584,l3966680,6121r803084,l4769764,xe" fillcolor="black" stroked="f">
                  <v:path arrowok="t"/>
                </v:shape>
                <w10:anchorlock/>
              </v:group>
            </w:pict>
          </mc:Fallback>
        </mc:AlternateContent>
      </w:r>
    </w:p>
    <w:p w14:paraId="2FF6AFE4" w14:textId="77777777" w:rsidR="00AC6F3C" w:rsidRDefault="00570E88">
      <w:pPr>
        <w:tabs>
          <w:tab w:val="left" w:pos="6539"/>
        </w:tabs>
        <w:spacing w:before="46"/>
        <w:ind w:right="340"/>
        <w:jc w:val="right"/>
        <w:rPr>
          <w:b/>
          <w:sz w:val="18"/>
        </w:rPr>
      </w:pPr>
      <w:r>
        <w:rPr>
          <w:b/>
          <w:spacing w:val="-4"/>
          <w:sz w:val="18"/>
        </w:rPr>
        <w:t>Statement</w:t>
      </w:r>
      <w:r>
        <w:rPr>
          <w:b/>
          <w:spacing w:val="-2"/>
          <w:sz w:val="18"/>
        </w:rPr>
        <w:t xml:space="preserve"> </w:t>
      </w:r>
      <w:r>
        <w:rPr>
          <w:b/>
          <w:spacing w:val="-4"/>
          <w:sz w:val="18"/>
        </w:rPr>
        <w:t>of</w:t>
      </w:r>
      <w:r>
        <w:rPr>
          <w:b/>
          <w:sz w:val="18"/>
        </w:rPr>
        <w:t xml:space="preserve"> </w:t>
      </w:r>
      <w:r>
        <w:rPr>
          <w:b/>
          <w:spacing w:val="-4"/>
          <w:sz w:val="18"/>
        </w:rPr>
        <w:t>Cash</w:t>
      </w:r>
      <w:r>
        <w:rPr>
          <w:b/>
          <w:spacing w:val="-2"/>
          <w:sz w:val="18"/>
        </w:rPr>
        <w:t xml:space="preserve"> </w:t>
      </w:r>
      <w:r>
        <w:rPr>
          <w:b/>
          <w:spacing w:val="-4"/>
          <w:sz w:val="18"/>
        </w:rPr>
        <w:t>Flows</w:t>
      </w:r>
      <w:r>
        <w:rPr>
          <w:b/>
          <w:sz w:val="18"/>
        </w:rPr>
        <w:tab/>
      </w:r>
      <w:r>
        <w:rPr>
          <w:b/>
          <w:spacing w:val="-2"/>
          <w:sz w:val="18"/>
        </w:rPr>
        <w:t>Page</w:t>
      </w:r>
      <w:r>
        <w:rPr>
          <w:b/>
          <w:spacing w:val="-11"/>
          <w:sz w:val="18"/>
        </w:rPr>
        <w:t xml:space="preserve"> </w:t>
      </w:r>
      <w:r>
        <w:rPr>
          <w:b/>
          <w:spacing w:val="-5"/>
          <w:sz w:val="18"/>
        </w:rPr>
        <w:t>167</w:t>
      </w:r>
    </w:p>
    <w:p w14:paraId="25C6998B" w14:textId="77777777" w:rsidR="00AC6F3C" w:rsidRDefault="00570E88">
      <w:pPr>
        <w:tabs>
          <w:tab w:val="left" w:pos="1135"/>
          <w:tab w:val="left" w:pos="6539"/>
        </w:tabs>
        <w:spacing w:before="124"/>
        <w:ind w:right="340"/>
        <w:jc w:val="right"/>
        <w:rPr>
          <w:b/>
          <w:sz w:val="18"/>
        </w:rPr>
      </w:pPr>
      <w:r>
        <w:rPr>
          <w:b/>
          <w:spacing w:val="-5"/>
          <w:sz w:val="18"/>
        </w:rPr>
        <w:t>A1.</w:t>
      </w:r>
      <w:r>
        <w:rPr>
          <w:b/>
          <w:sz w:val="18"/>
        </w:rPr>
        <w:tab/>
      </w:r>
      <w:r>
        <w:rPr>
          <w:b/>
          <w:spacing w:val="-4"/>
          <w:sz w:val="18"/>
        </w:rPr>
        <w:t>Basis</w:t>
      </w:r>
      <w:r>
        <w:rPr>
          <w:b/>
          <w:sz w:val="18"/>
        </w:rPr>
        <w:t xml:space="preserve"> </w:t>
      </w:r>
      <w:r>
        <w:rPr>
          <w:b/>
          <w:spacing w:val="-4"/>
          <w:sz w:val="18"/>
        </w:rPr>
        <w:t>of</w:t>
      </w:r>
      <w:r>
        <w:rPr>
          <w:b/>
          <w:sz w:val="18"/>
        </w:rPr>
        <w:t xml:space="preserve"> </w:t>
      </w:r>
      <w:r>
        <w:rPr>
          <w:b/>
          <w:spacing w:val="-4"/>
          <w:sz w:val="18"/>
        </w:rPr>
        <w:t>Financial</w:t>
      </w:r>
      <w:r>
        <w:rPr>
          <w:b/>
          <w:spacing w:val="3"/>
          <w:sz w:val="18"/>
        </w:rPr>
        <w:t xml:space="preserve"> </w:t>
      </w:r>
      <w:r>
        <w:rPr>
          <w:b/>
          <w:spacing w:val="-4"/>
          <w:sz w:val="18"/>
        </w:rPr>
        <w:t>Statement</w:t>
      </w:r>
      <w:r>
        <w:rPr>
          <w:b/>
          <w:spacing w:val="1"/>
          <w:sz w:val="18"/>
        </w:rPr>
        <w:t xml:space="preserve"> </w:t>
      </w:r>
      <w:r>
        <w:rPr>
          <w:b/>
          <w:spacing w:val="-4"/>
          <w:sz w:val="18"/>
        </w:rPr>
        <w:t>Preparation</w:t>
      </w:r>
      <w:r>
        <w:rPr>
          <w:b/>
          <w:sz w:val="18"/>
        </w:rPr>
        <w:tab/>
      </w:r>
      <w:r>
        <w:rPr>
          <w:b/>
          <w:spacing w:val="-2"/>
          <w:sz w:val="18"/>
        </w:rPr>
        <w:t>Page</w:t>
      </w:r>
      <w:r>
        <w:rPr>
          <w:b/>
          <w:spacing w:val="-11"/>
          <w:sz w:val="18"/>
        </w:rPr>
        <w:t xml:space="preserve"> </w:t>
      </w:r>
      <w:r>
        <w:rPr>
          <w:b/>
          <w:spacing w:val="-5"/>
          <w:sz w:val="18"/>
        </w:rPr>
        <w:t>168</w:t>
      </w:r>
    </w:p>
    <w:p w14:paraId="4EFD298F" w14:textId="77777777" w:rsidR="00AC6F3C" w:rsidRDefault="00AC6F3C">
      <w:pPr>
        <w:pStyle w:val="BodyText"/>
        <w:rPr>
          <w:b/>
          <w:sz w:val="5"/>
        </w:rPr>
      </w:pPr>
    </w:p>
    <w:p w14:paraId="61303867"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4B768F33" wp14:editId="1E606694">
                <wp:extent cx="4770120" cy="6350"/>
                <wp:effectExtent l="0" t="0" r="0" b="0"/>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82" name="Graphic 782"/>
                        <wps:cNvSpPr/>
                        <wps:spPr>
                          <a:xfrm>
                            <a:off x="-10" y="2"/>
                            <a:ext cx="4770120" cy="6350"/>
                          </a:xfrm>
                          <a:custGeom>
                            <a:avLst/>
                            <a:gdLst/>
                            <a:ahLst/>
                            <a:cxnLst/>
                            <a:rect l="l" t="t" r="r" b="b"/>
                            <a:pathLst>
                              <a:path w="4770120" h="6350">
                                <a:moveTo>
                                  <a:pt x="4769764" y="0"/>
                                </a:moveTo>
                                <a:lnTo>
                                  <a:pt x="4769764" y="0"/>
                                </a:lnTo>
                                <a:lnTo>
                                  <a:pt x="0" y="0"/>
                                </a:lnTo>
                                <a:lnTo>
                                  <a:pt x="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96A3A4" id="Group 781"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">
                <v:shape id="Graphic 782"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" path="m4769764,r,l,,,6121r4769764,l4769764,xe" fillcolor="black" stroked="f">
                  <v:path arrowok="t"/>
                </v:shape>
                <w10:anchorlock/>
              </v:group>
            </w:pict>
          </mc:Fallback>
        </mc:AlternateContent>
      </w:r>
    </w:p>
    <w:p w14:paraId="11F09F03" w14:textId="77777777" w:rsidR="00AC6F3C" w:rsidRDefault="00570E88">
      <w:pPr>
        <w:tabs>
          <w:tab w:val="left" w:pos="5413"/>
        </w:tabs>
        <w:spacing w:before="47"/>
        <w:ind w:right="340"/>
        <w:jc w:val="right"/>
        <w:rPr>
          <w:sz w:val="18"/>
        </w:rPr>
      </w:pPr>
      <w:r>
        <w:rPr>
          <w:sz w:val="18"/>
        </w:rPr>
        <w:t>A1-1</w:t>
      </w:r>
      <w:r>
        <w:rPr>
          <w:spacing w:val="29"/>
          <w:sz w:val="18"/>
        </w:rPr>
        <w:t xml:space="preserve">  </w:t>
      </w:r>
      <w:r>
        <w:rPr>
          <w:sz w:val="18"/>
        </w:rPr>
        <w:t>General</w:t>
      </w:r>
      <w:r>
        <w:rPr>
          <w:spacing w:val="-12"/>
          <w:sz w:val="18"/>
        </w:rPr>
        <w:t xml:space="preserve"> </w:t>
      </w:r>
      <w:r>
        <w:rPr>
          <w:spacing w:val="-2"/>
          <w:sz w:val="18"/>
        </w:rPr>
        <w:t>Information</w:t>
      </w:r>
      <w:r>
        <w:rPr>
          <w:sz w:val="18"/>
        </w:rPr>
        <w:tab/>
      </w:r>
      <w:r>
        <w:rPr>
          <w:spacing w:val="-2"/>
          <w:sz w:val="18"/>
        </w:rPr>
        <w:t>Page</w:t>
      </w:r>
      <w:r>
        <w:rPr>
          <w:spacing w:val="-11"/>
          <w:sz w:val="18"/>
        </w:rPr>
        <w:t xml:space="preserve"> </w:t>
      </w:r>
      <w:r>
        <w:rPr>
          <w:spacing w:val="-5"/>
          <w:sz w:val="18"/>
        </w:rPr>
        <w:t>168</w:t>
      </w:r>
    </w:p>
    <w:p w14:paraId="5710F687" w14:textId="77777777" w:rsidR="00AC6F3C" w:rsidRDefault="00AC6F3C">
      <w:pPr>
        <w:pStyle w:val="BodyText"/>
        <w:rPr>
          <w:sz w:val="5"/>
        </w:rPr>
      </w:pPr>
    </w:p>
    <w:p w14:paraId="40CE7AF9"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734C0771" wp14:editId="46C6656C">
                <wp:extent cx="4770120" cy="6350"/>
                <wp:effectExtent l="0" t="0" r="0" b="0"/>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84" name="Graphic 784"/>
                        <wps:cNvSpPr/>
                        <wps:spPr>
                          <a:xfrm>
                            <a:off x="-10" y="1"/>
                            <a:ext cx="4770120" cy="6350"/>
                          </a:xfrm>
                          <a:custGeom>
                            <a:avLst/>
                            <a:gdLst/>
                            <a:ahLst/>
                            <a:cxnLst/>
                            <a:rect l="l" t="t" r="r" b="b"/>
                            <a:pathLst>
                              <a:path w="4770120" h="6350">
                                <a:moveTo>
                                  <a:pt x="4769764" y="0"/>
                                </a:moveTo>
                                <a:lnTo>
                                  <a:pt x="4769764" y="0"/>
                                </a:lnTo>
                                <a:lnTo>
                                  <a:pt x="0" y="0"/>
                                </a:lnTo>
                                <a:lnTo>
                                  <a:pt x="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C3F1EB" id="Group 783"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">
                <v:shape id="Graphic 784"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" path="m4769764,r,l,,,6121r4769764,l4769764,xe" fillcolor="black" stroked="f">
                  <v:path arrowok="t"/>
                </v:shape>
                <w10:anchorlock/>
              </v:group>
            </w:pict>
          </mc:Fallback>
        </mc:AlternateContent>
      </w:r>
    </w:p>
    <w:p w14:paraId="4C508BCE" w14:textId="77777777" w:rsidR="00AC6F3C" w:rsidRDefault="00570E88">
      <w:pPr>
        <w:tabs>
          <w:tab w:val="left" w:pos="5413"/>
        </w:tabs>
        <w:spacing w:before="47"/>
        <w:ind w:right="340"/>
        <w:jc w:val="right"/>
        <w:rPr>
          <w:sz w:val="18"/>
        </w:rPr>
      </w:pPr>
      <w:r>
        <w:rPr>
          <w:spacing w:val="-2"/>
          <w:sz w:val="18"/>
        </w:rPr>
        <w:t>A1-2</w:t>
      </w:r>
      <w:r>
        <w:rPr>
          <w:spacing w:val="31"/>
          <w:sz w:val="18"/>
        </w:rPr>
        <w:t xml:space="preserve">  </w:t>
      </w:r>
      <w:r>
        <w:rPr>
          <w:spacing w:val="-2"/>
          <w:sz w:val="18"/>
        </w:rPr>
        <w:t>Compliance</w:t>
      </w:r>
      <w:r>
        <w:rPr>
          <w:spacing w:val="-8"/>
          <w:sz w:val="18"/>
        </w:rPr>
        <w:t xml:space="preserve"> </w:t>
      </w:r>
      <w:r>
        <w:rPr>
          <w:spacing w:val="-2"/>
          <w:sz w:val="18"/>
        </w:rPr>
        <w:t>with</w:t>
      </w:r>
      <w:r>
        <w:rPr>
          <w:spacing w:val="-10"/>
          <w:sz w:val="18"/>
        </w:rPr>
        <w:t xml:space="preserve"> </w:t>
      </w:r>
      <w:r>
        <w:rPr>
          <w:spacing w:val="-2"/>
          <w:sz w:val="18"/>
        </w:rPr>
        <w:t>Prescribed</w:t>
      </w:r>
      <w:r>
        <w:rPr>
          <w:spacing w:val="-8"/>
          <w:sz w:val="18"/>
        </w:rPr>
        <w:t xml:space="preserve"> </w:t>
      </w:r>
      <w:r>
        <w:rPr>
          <w:spacing w:val="-2"/>
          <w:sz w:val="18"/>
        </w:rPr>
        <w:t>Requirements</w:t>
      </w:r>
      <w:r>
        <w:rPr>
          <w:sz w:val="18"/>
        </w:rPr>
        <w:tab/>
      </w:r>
      <w:r>
        <w:rPr>
          <w:spacing w:val="-2"/>
          <w:sz w:val="18"/>
        </w:rPr>
        <w:t>Page</w:t>
      </w:r>
      <w:r>
        <w:rPr>
          <w:spacing w:val="-11"/>
          <w:sz w:val="18"/>
        </w:rPr>
        <w:t xml:space="preserve"> </w:t>
      </w:r>
      <w:r>
        <w:rPr>
          <w:spacing w:val="-5"/>
          <w:sz w:val="18"/>
        </w:rPr>
        <w:t>168</w:t>
      </w:r>
    </w:p>
    <w:p w14:paraId="49104683" w14:textId="77777777" w:rsidR="00AC6F3C" w:rsidRDefault="00AC6F3C">
      <w:pPr>
        <w:pStyle w:val="BodyText"/>
        <w:rPr>
          <w:sz w:val="5"/>
        </w:rPr>
      </w:pPr>
    </w:p>
    <w:p w14:paraId="106DDFEB"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442DC550" wp14:editId="2AF7692D">
                <wp:extent cx="4770120" cy="6350"/>
                <wp:effectExtent l="0" t="0" r="0" b="0"/>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86" name="Graphic 786"/>
                        <wps:cNvSpPr/>
                        <wps:spPr>
                          <a:xfrm>
                            <a:off x="-10" y="1"/>
                            <a:ext cx="4770120" cy="6350"/>
                          </a:xfrm>
                          <a:custGeom>
                            <a:avLst/>
                            <a:gdLst/>
                            <a:ahLst/>
                            <a:cxnLst/>
                            <a:rect l="l" t="t" r="r" b="b"/>
                            <a:pathLst>
                              <a:path w="4770120" h="6350">
                                <a:moveTo>
                                  <a:pt x="4769764" y="0"/>
                                </a:moveTo>
                                <a:lnTo>
                                  <a:pt x="4769764" y="0"/>
                                </a:lnTo>
                                <a:lnTo>
                                  <a:pt x="0" y="0"/>
                                </a:lnTo>
                                <a:lnTo>
                                  <a:pt x="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1295BF" id="Group 785"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">
                <v:shape id="Graphic 786"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" path="m4769764,r,l,,,6121r4769764,l4769764,xe" fillcolor="black" stroked="f">
                  <v:path arrowok="t"/>
                </v:shape>
                <w10:anchorlock/>
              </v:group>
            </w:pict>
          </mc:Fallback>
        </mc:AlternateContent>
      </w:r>
    </w:p>
    <w:p w14:paraId="6233E30E" w14:textId="77777777" w:rsidR="00AC6F3C" w:rsidRDefault="00570E88">
      <w:pPr>
        <w:tabs>
          <w:tab w:val="left" w:pos="5413"/>
        </w:tabs>
        <w:spacing w:before="46"/>
        <w:ind w:right="340"/>
        <w:jc w:val="right"/>
        <w:rPr>
          <w:sz w:val="18"/>
        </w:rPr>
      </w:pPr>
      <w:r>
        <w:rPr>
          <w:sz w:val="18"/>
        </w:rPr>
        <w:t>A1-3</w:t>
      </w:r>
      <w:r>
        <w:rPr>
          <w:spacing w:val="37"/>
          <w:sz w:val="18"/>
        </w:rPr>
        <w:t xml:space="preserve">  </w:t>
      </w:r>
      <w:r>
        <w:rPr>
          <w:spacing w:val="-2"/>
          <w:sz w:val="18"/>
        </w:rPr>
        <w:t>Presentation</w:t>
      </w:r>
      <w:r>
        <w:rPr>
          <w:sz w:val="18"/>
        </w:rPr>
        <w:tab/>
      </w:r>
      <w:r>
        <w:rPr>
          <w:spacing w:val="-2"/>
          <w:sz w:val="18"/>
        </w:rPr>
        <w:t>Page</w:t>
      </w:r>
      <w:r>
        <w:rPr>
          <w:spacing w:val="-11"/>
          <w:sz w:val="18"/>
        </w:rPr>
        <w:t xml:space="preserve"> </w:t>
      </w:r>
      <w:r>
        <w:rPr>
          <w:spacing w:val="-5"/>
          <w:sz w:val="18"/>
        </w:rPr>
        <w:t>168</w:t>
      </w:r>
    </w:p>
    <w:p w14:paraId="7B9A8220" w14:textId="77777777" w:rsidR="00AC6F3C" w:rsidRDefault="00AC6F3C">
      <w:pPr>
        <w:pStyle w:val="BodyText"/>
        <w:rPr>
          <w:sz w:val="5"/>
        </w:rPr>
      </w:pPr>
    </w:p>
    <w:p w14:paraId="717EF0FF"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708AB863" wp14:editId="14D0B464">
                <wp:extent cx="4770120" cy="6350"/>
                <wp:effectExtent l="0" t="0" r="0" b="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88" name="Graphic 788"/>
                        <wps:cNvSpPr/>
                        <wps:spPr>
                          <a:xfrm>
                            <a:off x="-10" y="0"/>
                            <a:ext cx="4770120" cy="6350"/>
                          </a:xfrm>
                          <a:custGeom>
                            <a:avLst/>
                            <a:gdLst/>
                            <a:ahLst/>
                            <a:cxnLst/>
                            <a:rect l="l" t="t" r="r" b="b"/>
                            <a:pathLst>
                              <a:path w="4770120" h="6350">
                                <a:moveTo>
                                  <a:pt x="4769764" y="0"/>
                                </a:moveTo>
                                <a:lnTo>
                                  <a:pt x="4769764" y="0"/>
                                </a:lnTo>
                                <a:lnTo>
                                  <a:pt x="0" y="0"/>
                                </a:lnTo>
                                <a:lnTo>
                                  <a:pt x="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B8AF1F" id="Group 787"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">
                <v:shape id="Graphic 788"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" path="m4769764,r,l,,,6121r4769764,l4769764,xe" fillcolor="black" stroked="f">
                  <v:path arrowok="t"/>
                </v:shape>
                <w10:anchorlock/>
              </v:group>
            </w:pict>
          </mc:Fallback>
        </mc:AlternateContent>
      </w:r>
    </w:p>
    <w:p w14:paraId="2DF04BB7" w14:textId="77777777" w:rsidR="00AC6F3C" w:rsidRDefault="00570E88">
      <w:pPr>
        <w:tabs>
          <w:tab w:val="left" w:pos="5413"/>
        </w:tabs>
        <w:spacing w:before="47"/>
        <w:ind w:right="340"/>
        <w:jc w:val="right"/>
        <w:rPr>
          <w:sz w:val="18"/>
        </w:rPr>
      </w:pPr>
      <w:r>
        <w:rPr>
          <w:sz w:val="18"/>
        </w:rPr>
        <w:t>A1-4</w:t>
      </w:r>
      <w:r>
        <w:rPr>
          <w:spacing w:val="31"/>
          <w:sz w:val="18"/>
        </w:rPr>
        <w:t xml:space="preserve">  </w:t>
      </w:r>
      <w:r>
        <w:rPr>
          <w:sz w:val="18"/>
        </w:rPr>
        <w:t>Basis</w:t>
      </w:r>
      <w:r>
        <w:rPr>
          <w:spacing w:val="-10"/>
          <w:sz w:val="18"/>
        </w:rPr>
        <w:t xml:space="preserve"> </w:t>
      </w:r>
      <w:r>
        <w:rPr>
          <w:sz w:val="18"/>
        </w:rPr>
        <w:t>of</w:t>
      </w:r>
      <w:r>
        <w:rPr>
          <w:spacing w:val="-12"/>
          <w:sz w:val="18"/>
        </w:rPr>
        <w:t xml:space="preserve"> </w:t>
      </w:r>
      <w:r>
        <w:rPr>
          <w:spacing w:val="-2"/>
          <w:sz w:val="18"/>
        </w:rPr>
        <w:t>Measurement</w:t>
      </w:r>
      <w:r>
        <w:rPr>
          <w:sz w:val="18"/>
        </w:rPr>
        <w:tab/>
      </w:r>
      <w:r>
        <w:rPr>
          <w:spacing w:val="-2"/>
          <w:sz w:val="18"/>
        </w:rPr>
        <w:t>Page</w:t>
      </w:r>
      <w:r>
        <w:rPr>
          <w:spacing w:val="-11"/>
          <w:sz w:val="18"/>
        </w:rPr>
        <w:t xml:space="preserve"> </w:t>
      </w:r>
      <w:r>
        <w:rPr>
          <w:spacing w:val="-5"/>
          <w:sz w:val="18"/>
        </w:rPr>
        <w:t>169</w:t>
      </w:r>
    </w:p>
    <w:p w14:paraId="769586AA" w14:textId="77777777" w:rsidR="00AC6F3C" w:rsidRDefault="00AC6F3C">
      <w:pPr>
        <w:pStyle w:val="BodyText"/>
        <w:rPr>
          <w:sz w:val="5"/>
        </w:rPr>
      </w:pPr>
    </w:p>
    <w:p w14:paraId="615C2A22"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25A50EB6" wp14:editId="4832204D">
                <wp:extent cx="4770120" cy="6350"/>
                <wp:effectExtent l="0" t="0" r="0" b="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790" name="Graphic 790"/>
                        <wps:cNvSpPr/>
                        <wps:spPr>
                          <a:xfrm>
                            <a:off x="-10" y="0"/>
                            <a:ext cx="4770120" cy="6350"/>
                          </a:xfrm>
                          <a:custGeom>
                            <a:avLst/>
                            <a:gdLst/>
                            <a:ahLst/>
                            <a:cxnLst/>
                            <a:rect l="l" t="t" r="r" b="b"/>
                            <a:pathLst>
                              <a:path w="4770120" h="6350">
                                <a:moveTo>
                                  <a:pt x="4769764" y="0"/>
                                </a:moveTo>
                                <a:lnTo>
                                  <a:pt x="4769764" y="0"/>
                                </a:lnTo>
                                <a:lnTo>
                                  <a:pt x="0" y="0"/>
                                </a:lnTo>
                                <a:lnTo>
                                  <a:pt x="0"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8D62DD" id="Group 789"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">
                <v:shape id="Graphic 790"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" path="m4769764,r,l,,,6121r4769764,l4769764,xe" fillcolor="black" stroked="f">
                  <v:path arrowok="t"/>
                </v:shape>
                <w10:anchorlock/>
              </v:group>
            </w:pict>
          </mc:Fallback>
        </mc:AlternateContent>
      </w:r>
    </w:p>
    <w:p w14:paraId="27C9364A" w14:textId="77777777" w:rsidR="00AC6F3C" w:rsidRDefault="00570E88">
      <w:pPr>
        <w:tabs>
          <w:tab w:val="left" w:pos="5413"/>
        </w:tabs>
        <w:spacing w:before="47"/>
        <w:ind w:right="340"/>
        <w:jc w:val="right"/>
        <w:rPr>
          <w:sz w:val="18"/>
        </w:rPr>
      </w:pPr>
      <w:r>
        <w:rPr>
          <w:spacing w:val="-2"/>
          <w:sz w:val="18"/>
        </w:rPr>
        <w:t>A1-5</w:t>
      </w:r>
      <w:r>
        <w:rPr>
          <w:spacing w:val="31"/>
          <w:sz w:val="18"/>
        </w:rPr>
        <w:t xml:space="preserve">  </w:t>
      </w:r>
      <w:proofErr w:type="spellStart"/>
      <w:r>
        <w:rPr>
          <w:spacing w:val="-2"/>
          <w:sz w:val="18"/>
        </w:rPr>
        <w:t>Authorisation</w:t>
      </w:r>
      <w:proofErr w:type="spellEnd"/>
      <w:r>
        <w:rPr>
          <w:spacing w:val="-10"/>
          <w:sz w:val="18"/>
        </w:rPr>
        <w:t xml:space="preserve"> </w:t>
      </w:r>
      <w:r>
        <w:rPr>
          <w:spacing w:val="-2"/>
          <w:sz w:val="18"/>
        </w:rPr>
        <w:t>of</w:t>
      </w:r>
      <w:r>
        <w:rPr>
          <w:spacing w:val="-10"/>
          <w:sz w:val="18"/>
        </w:rPr>
        <w:t xml:space="preserve"> </w:t>
      </w:r>
      <w:r>
        <w:rPr>
          <w:spacing w:val="-2"/>
          <w:sz w:val="18"/>
        </w:rPr>
        <w:t>Financial</w:t>
      </w:r>
      <w:r>
        <w:rPr>
          <w:spacing w:val="-10"/>
          <w:sz w:val="18"/>
        </w:rPr>
        <w:t xml:space="preserve"> </w:t>
      </w:r>
      <w:r>
        <w:rPr>
          <w:spacing w:val="-2"/>
          <w:sz w:val="18"/>
        </w:rPr>
        <w:t>Statements</w:t>
      </w:r>
      <w:r>
        <w:rPr>
          <w:spacing w:val="-9"/>
          <w:sz w:val="18"/>
        </w:rPr>
        <w:t xml:space="preserve"> </w:t>
      </w:r>
      <w:r>
        <w:rPr>
          <w:spacing w:val="-2"/>
          <w:sz w:val="18"/>
        </w:rPr>
        <w:t>for</w:t>
      </w:r>
      <w:r>
        <w:rPr>
          <w:spacing w:val="-10"/>
          <w:sz w:val="18"/>
        </w:rPr>
        <w:t xml:space="preserve"> </w:t>
      </w:r>
      <w:r>
        <w:rPr>
          <w:spacing w:val="-4"/>
          <w:sz w:val="18"/>
        </w:rPr>
        <w:t>Issue</w:t>
      </w:r>
      <w:r>
        <w:rPr>
          <w:sz w:val="18"/>
        </w:rPr>
        <w:tab/>
      </w:r>
      <w:r>
        <w:rPr>
          <w:spacing w:val="-2"/>
          <w:sz w:val="18"/>
        </w:rPr>
        <w:t>Page</w:t>
      </w:r>
      <w:r>
        <w:rPr>
          <w:spacing w:val="-11"/>
          <w:sz w:val="18"/>
        </w:rPr>
        <w:t xml:space="preserve"> </w:t>
      </w:r>
      <w:r>
        <w:rPr>
          <w:spacing w:val="-5"/>
          <w:sz w:val="18"/>
        </w:rPr>
        <w:t>170</w:t>
      </w:r>
    </w:p>
    <w:p w14:paraId="6D3489D9" w14:textId="77777777" w:rsidR="00AC6F3C" w:rsidRDefault="00AC6F3C">
      <w:pPr>
        <w:jc w:val="right"/>
        <w:rPr>
          <w:sz w:val="18"/>
        </w:rPr>
        <w:sectPr w:rsidR="00AC6F3C">
          <w:type w:val="continuous"/>
          <w:pgSz w:w="11910" w:h="16840"/>
          <w:pgMar w:top="1920" w:right="1160" w:bottom="280" w:left="460" w:header="1297" w:footer="336" w:gutter="0"/>
          <w:cols w:num="2" w:space="720" w:equalWidth="0">
            <w:col w:w="2096" w:space="40"/>
            <w:col w:w="8154"/>
          </w:cols>
        </w:sectPr>
      </w:pPr>
    </w:p>
    <w:p w14:paraId="1399494A" w14:textId="77777777" w:rsidR="00AC6F3C" w:rsidRDefault="00AC6F3C">
      <w:pPr>
        <w:pStyle w:val="BodyText"/>
        <w:spacing w:before="5"/>
        <w:rPr>
          <w:sz w:val="5"/>
        </w:rPr>
      </w:pPr>
    </w:p>
    <w:tbl>
      <w:tblPr>
        <w:tblW w:w="0" w:type="auto"/>
        <w:tblInd w:w="958" w:type="dxa"/>
        <w:tblLayout w:type="fixed"/>
        <w:tblCellMar>
          <w:left w:w="0" w:type="dxa"/>
          <w:right w:w="0" w:type="dxa"/>
        </w:tblCellMar>
        <w:tblLook w:val="01E0" w:firstRow="1" w:lastRow="1" w:firstColumn="1" w:lastColumn="1" w:noHBand="0" w:noVBand="0"/>
      </w:tblPr>
      <w:tblGrid>
        <w:gridCol w:w="1589"/>
        <w:gridCol w:w="814"/>
        <w:gridCol w:w="5406"/>
        <w:gridCol w:w="1297"/>
      </w:tblGrid>
      <w:tr w:rsidR="00AC6F3C" w14:paraId="62673583" w14:textId="77777777">
        <w:trPr>
          <w:trHeight w:val="321"/>
        </w:trPr>
        <w:tc>
          <w:tcPr>
            <w:tcW w:w="1589" w:type="dxa"/>
            <w:vMerge w:val="restart"/>
            <w:tcBorders>
              <w:bottom w:val="single" w:sz="4" w:space="0" w:color="000000"/>
            </w:tcBorders>
          </w:tcPr>
          <w:p w14:paraId="7A9D4E4E" w14:textId="77777777" w:rsidR="00AC6F3C" w:rsidRDefault="00AC6F3C">
            <w:pPr>
              <w:pStyle w:val="TableParagraph"/>
              <w:rPr>
                <w:rFonts w:ascii="Times New Roman"/>
                <w:sz w:val="18"/>
              </w:rPr>
            </w:pPr>
          </w:p>
        </w:tc>
        <w:tc>
          <w:tcPr>
            <w:tcW w:w="814" w:type="dxa"/>
            <w:tcBorders>
              <w:top w:val="single" w:sz="4" w:space="0" w:color="000000"/>
              <w:bottom w:val="single" w:sz="4" w:space="0" w:color="000000"/>
            </w:tcBorders>
          </w:tcPr>
          <w:p w14:paraId="7FD20FE7" w14:textId="77777777" w:rsidR="00AC6F3C" w:rsidRDefault="00570E88">
            <w:pPr>
              <w:pStyle w:val="TableParagraph"/>
              <w:spacing w:before="56"/>
              <w:ind w:left="107"/>
              <w:rPr>
                <w:b/>
                <w:sz w:val="18"/>
              </w:rPr>
            </w:pPr>
            <w:r>
              <w:rPr>
                <w:b/>
                <w:spacing w:val="-5"/>
                <w:sz w:val="18"/>
              </w:rPr>
              <w:t>A2.</w:t>
            </w:r>
          </w:p>
        </w:tc>
        <w:tc>
          <w:tcPr>
            <w:tcW w:w="5406" w:type="dxa"/>
            <w:tcBorders>
              <w:top w:val="single" w:sz="4" w:space="0" w:color="000000"/>
              <w:bottom w:val="single" w:sz="4" w:space="0" w:color="000000"/>
            </w:tcBorders>
          </w:tcPr>
          <w:p w14:paraId="38B8FDA4" w14:textId="77777777" w:rsidR="00AC6F3C" w:rsidRDefault="00570E88">
            <w:pPr>
              <w:pStyle w:val="TableParagraph"/>
              <w:spacing w:before="56"/>
              <w:ind w:left="428"/>
              <w:rPr>
                <w:b/>
                <w:sz w:val="18"/>
              </w:rPr>
            </w:pPr>
            <w:r>
              <w:rPr>
                <w:b/>
                <w:spacing w:val="-2"/>
                <w:sz w:val="18"/>
              </w:rPr>
              <w:t>The</w:t>
            </w:r>
            <w:r>
              <w:rPr>
                <w:b/>
                <w:spacing w:val="-8"/>
                <w:sz w:val="18"/>
              </w:rPr>
              <w:t xml:space="preserve"> </w:t>
            </w:r>
            <w:r>
              <w:rPr>
                <w:b/>
                <w:spacing w:val="-2"/>
                <w:sz w:val="18"/>
              </w:rPr>
              <w:t>Fund’s</w:t>
            </w:r>
            <w:r>
              <w:rPr>
                <w:b/>
                <w:spacing w:val="-8"/>
                <w:sz w:val="18"/>
              </w:rPr>
              <w:t xml:space="preserve"> </w:t>
            </w:r>
            <w:r>
              <w:rPr>
                <w:b/>
                <w:spacing w:val="-2"/>
                <w:sz w:val="18"/>
              </w:rPr>
              <w:t>Objectives</w:t>
            </w:r>
          </w:p>
        </w:tc>
        <w:tc>
          <w:tcPr>
            <w:tcW w:w="1297" w:type="dxa"/>
            <w:tcBorders>
              <w:top w:val="single" w:sz="4" w:space="0" w:color="000000"/>
              <w:bottom w:val="single" w:sz="4" w:space="0" w:color="000000"/>
            </w:tcBorders>
          </w:tcPr>
          <w:p w14:paraId="2BE745A2"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170</w:t>
            </w:r>
          </w:p>
        </w:tc>
      </w:tr>
      <w:tr w:rsidR="00AC6F3C" w14:paraId="63104618" w14:textId="77777777">
        <w:trPr>
          <w:trHeight w:val="321"/>
        </w:trPr>
        <w:tc>
          <w:tcPr>
            <w:tcW w:w="1589" w:type="dxa"/>
            <w:vMerge/>
            <w:tcBorders>
              <w:top w:val="nil"/>
              <w:bottom w:val="single" w:sz="4" w:space="0" w:color="000000"/>
            </w:tcBorders>
          </w:tcPr>
          <w:p w14:paraId="2C7CBE61" w14:textId="77777777" w:rsidR="00AC6F3C" w:rsidRDefault="00AC6F3C">
            <w:pPr>
              <w:rPr>
                <w:sz w:val="2"/>
                <w:szCs w:val="2"/>
              </w:rPr>
            </w:pPr>
          </w:p>
        </w:tc>
        <w:tc>
          <w:tcPr>
            <w:tcW w:w="814" w:type="dxa"/>
            <w:tcBorders>
              <w:top w:val="single" w:sz="4" w:space="0" w:color="000000"/>
              <w:bottom w:val="single" w:sz="4" w:space="0" w:color="000000"/>
            </w:tcBorders>
          </w:tcPr>
          <w:p w14:paraId="48A05645" w14:textId="77777777" w:rsidR="00AC6F3C" w:rsidRDefault="00570E88">
            <w:pPr>
              <w:pStyle w:val="TableParagraph"/>
              <w:spacing w:before="56"/>
              <w:ind w:left="107"/>
              <w:rPr>
                <w:b/>
                <w:sz w:val="18"/>
              </w:rPr>
            </w:pPr>
            <w:r>
              <w:rPr>
                <w:b/>
                <w:spacing w:val="-5"/>
                <w:sz w:val="18"/>
              </w:rPr>
              <w:t>B1.</w:t>
            </w:r>
          </w:p>
        </w:tc>
        <w:tc>
          <w:tcPr>
            <w:tcW w:w="5406" w:type="dxa"/>
            <w:tcBorders>
              <w:top w:val="single" w:sz="4" w:space="0" w:color="000000"/>
              <w:bottom w:val="single" w:sz="4" w:space="0" w:color="000000"/>
            </w:tcBorders>
          </w:tcPr>
          <w:p w14:paraId="4A1A7666" w14:textId="77777777" w:rsidR="00AC6F3C" w:rsidRDefault="00570E88">
            <w:pPr>
              <w:pStyle w:val="TableParagraph"/>
              <w:spacing w:before="56"/>
              <w:ind w:left="428"/>
              <w:rPr>
                <w:b/>
                <w:sz w:val="18"/>
              </w:rPr>
            </w:pPr>
            <w:r>
              <w:rPr>
                <w:b/>
                <w:spacing w:val="-2"/>
                <w:sz w:val="18"/>
              </w:rPr>
              <w:t>Revenue</w:t>
            </w:r>
          </w:p>
        </w:tc>
        <w:tc>
          <w:tcPr>
            <w:tcW w:w="1297" w:type="dxa"/>
            <w:tcBorders>
              <w:top w:val="single" w:sz="4" w:space="0" w:color="000000"/>
              <w:bottom w:val="single" w:sz="4" w:space="0" w:color="000000"/>
            </w:tcBorders>
          </w:tcPr>
          <w:p w14:paraId="743CFF05"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170</w:t>
            </w:r>
          </w:p>
        </w:tc>
      </w:tr>
      <w:tr w:rsidR="00AC6F3C" w14:paraId="0E87BA6B" w14:textId="77777777">
        <w:trPr>
          <w:trHeight w:val="321"/>
        </w:trPr>
        <w:tc>
          <w:tcPr>
            <w:tcW w:w="1589" w:type="dxa"/>
            <w:vMerge/>
            <w:tcBorders>
              <w:top w:val="nil"/>
              <w:bottom w:val="single" w:sz="4" w:space="0" w:color="000000"/>
            </w:tcBorders>
          </w:tcPr>
          <w:p w14:paraId="025DFA7D" w14:textId="77777777" w:rsidR="00AC6F3C" w:rsidRDefault="00AC6F3C">
            <w:pPr>
              <w:rPr>
                <w:sz w:val="2"/>
                <w:szCs w:val="2"/>
              </w:rPr>
            </w:pPr>
          </w:p>
        </w:tc>
        <w:tc>
          <w:tcPr>
            <w:tcW w:w="814" w:type="dxa"/>
            <w:tcBorders>
              <w:top w:val="single" w:sz="4" w:space="0" w:color="000000"/>
              <w:bottom w:val="single" w:sz="4" w:space="0" w:color="000000"/>
            </w:tcBorders>
          </w:tcPr>
          <w:p w14:paraId="6A5F32DF" w14:textId="77777777" w:rsidR="00AC6F3C" w:rsidRDefault="00AC6F3C">
            <w:pPr>
              <w:pStyle w:val="TableParagraph"/>
              <w:rPr>
                <w:rFonts w:ascii="Times New Roman"/>
                <w:sz w:val="18"/>
              </w:rPr>
            </w:pPr>
          </w:p>
        </w:tc>
        <w:tc>
          <w:tcPr>
            <w:tcW w:w="5406" w:type="dxa"/>
            <w:tcBorders>
              <w:top w:val="single" w:sz="4" w:space="0" w:color="000000"/>
              <w:bottom w:val="single" w:sz="4" w:space="0" w:color="000000"/>
            </w:tcBorders>
          </w:tcPr>
          <w:p w14:paraId="612F8E52" w14:textId="77777777" w:rsidR="00AC6F3C" w:rsidRDefault="00570E88">
            <w:pPr>
              <w:pStyle w:val="TableParagraph"/>
              <w:spacing w:before="56"/>
              <w:ind w:left="428"/>
              <w:rPr>
                <w:sz w:val="18"/>
              </w:rPr>
            </w:pPr>
            <w:r>
              <w:rPr>
                <w:sz w:val="18"/>
              </w:rPr>
              <w:t>B1-1</w:t>
            </w:r>
            <w:r>
              <w:rPr>
                <w:spacing w:val="74"/>
                <w:w w:val="150"/>
                <w:sz w:val="18"/>
              </w:rPr>
              <w:t xml:space="preserve"> </w:t>
            </w:r>
            <w:r>
              <w:rPr>
                <w:sz w:val="18"/>
              </w:rPr>
              <w:t>Insurance</w:t>
            </w:r>
            <w:r>
              <w:rPr>
                <w:spacing w:val="-12"/>
                <w:sz w:val="18"/>
              </w:rPr>
              <w:t xml:space="preserve"> </w:t>
            </w:r>
            <w:r>
              <w:rPr>
                <w:spacing w:val="-2"/>
                <w:sz w:val="18"/>
              </w:rPr>
              <w:t>Levies</w:t>
            </w:r>
          </w:p>
        </w:tc>
        <w:tc>
          <w:tcPr>
            <w:tcW w:w="1297" w:type="dxa"/>
            <w:tcBorders>
              <w:top w:val="single" w:sz="4" w:space="0" w:color="000000"/>
              <w:bottom w:val="single" w:sz="4" w:space="0" w:color="000000"/>
            </w:tcBorders>
          </w:tcPr>
          <w:p w14:paraId="7873D38D" w14:textId="77777777" w:rsidR="00AC6F3C" w:rsidRDefault="00570E88">
            <w:pPr>
              <w:pStyle w:val="TableParagraph"/>
              <w:spacing w:before="56"/>
              <w:ind w:right="111"/>
              <w:jc w:val="right"/>
              <w:rPr>
                <w:sz w:val="18"/>
              </w:rPr>
            </w:pPr>
            <w:r>
              <w:rPr>
                <w:spacing w:val="-2"/>
                <w:sz w:val="18"/>
              </w:rPr>
              <w:t>Page</w:t>
            </w:r>
            <w:r>
              <w:rPr>
                <w:spacing w:val="-11"/>
                <w:sz w:val="18"/>
              </w:rPr>
              <w:t xml:space="preserve"> </w:t>
            </w:r>
            <w:r>
              <w:rPr>
                <w:spacing w:val="-5"/>
                <w:sz w:val="18"/>
              </w:rPr>
              <w:t>170</w:t>
            </w:r>
          </w:p>
        </w:tc>
      </w:tr>
      <w:tr w:rsidR="00AC6F3C" w14:paraId="0CA3AE6A" w14:textId="77777777">
        <w:trPr>
          <w:trHeight w:val="321"/>
        </w:trPr>
        <w:tc>
          <w:tcPr>
            <w:tcW w:w="1589" w:type="dxa"/>
            <w:vMerge/>
            <w:tcBorders>
              <w:top w:val="nil"/>
              <w:bottom w:val="single" w:sz="4" w:space="0" w:color="000000"/>
            </w:tcBorders>
          </w:tcPr>
          <w:p w14:paraId="08074775" w14:textId="77777777" w:rsidR="00AC6F3C" w:rsidRDefault="00AC6F3C">
            <w:pPr>
              <w:rPr>
                <w:sz w:val="2"/>
                <w:szCs w:val="2"/>
              </w:rPr>
            </w:pPr>
          </w:p>
        </w:tc>
        <w:tc>
          <w:tcPr>
            <w:tcW w:w="814" w:type="dxa"/>
            <w:tcBorders>
              <w:top w:val="single" w:sz="4" w:space="0" w:color="000000"/>
              <w:bottom w:val="single" w:sz="4" w:space="0" w:color="000000"/>
            </w:tcBorders>
          </w:tcPr>
          <w:p w14:paraId="1A4D09E8" w14:textId="77777777" w:rsidR="00AC6F3C" w:rsidRDefault="00AC6F3C">
            <w:pPr>
              <w:pStyle w:val="TableParagraph"/>
              <w:rPr>
                <w:rFonts w:ascii="Times New Roman"/>
                <w:sz w:val="18"/>
              </w:rPr>
            </w:pPr>
          </w:p>
        </w:tc>
        <w:tc>
          <w:tcPr>
            <w:tcW w:w="5406" w:type="dxa"/>
            <w:tcBorders>
              <w:top w:val="single" w:sz="4" w:space="0" w:color="000000"/>
              <w:bottom w:val="single" w:sz="4" w:space="0" w:color="000000"/>
            </w:tcBorders>
          </w:tcPr>
          <w:p w14:paraId="1881B7D1" w14:textId="77777777" w:rsidR="00AC6F3C" w:rsidRDefault="00570E88">
            <w:pPr>
              <w:pStyle w:val="TableParagraph"/>
              <w:spacing w:before="56"/>
              <w:ind w:left="428"/>
              <w:rPr>
                <w:sz w:val="18"/>
              </w:rPr>
            </w:pPr>
            <w:r>
              <w:rPr>
                <w:sz w:val="18"/>
              </w:rPr>
              <w:t>B1-2</w:t>
            </w:r>
            <w:r>
              <w:rPr>
                <w:spacing w:val="31"/>
                <w:sz w:val="18"/>
              </w:rPr>
              <w:t xml:space="preserve">  </w:t>
            </w:r>
            <w:r>
              <w:rPr>
                <w:sz w:val="18"/>
              </w:rPr>
              <w:t>Other</w:t>
            </w:r>
            <w:r>
              <w:rPr>
                <w:spacing w:val="-11"/>
                <w:sz w:val="18"/>
              </w:rPr>
              <w:t xml:space="preserve"> </w:t>
            </w:r>
            <w:r>
              <w:rPr>
                <w:spacing w:val="-2"/>
                <w:sz w:val="18"/>
              </w:rPr>
              <w:t>Income</w:t>
            </w:r>
          </w:p>
        </w:tc>
        <w:tc>
          <w:tcPr>
            <w:tcW w:w="1297" w:type="dxa"/>
            <w:tcBorders>
              <w:top w:val="single" w:sz="4" w:space="0" w:color="000000"/>
              <w:bottom w:val="single" w:sz="4" w:space="0" w:color="000000"/>
            </w:tcBorders>
          </w:tcPr>
          <w:p w14:paraId="437578AF" w14:textId="77777777" w:rsidR="00AC6F3C" w:rsidRDefault="00570E88">
            <w:pPr>
              <w:pStyle w:val="TableParagraph"/>
              <w:spacing w:before="56"/>
              <w:ind w:right="111"/>
              <w:jc w:val="right"/>
              <w:rPr>
                <w:sz w:val="18"/>
              </w:rPr>
            </w:pPr>
            <w:r>
              <w:rPr>
                <w:spacing w:val="-2"/>
                <w:sz w:val="18"/>
              </w:rPr>
              <w:t>Page</w:t>
            </w:r>
            <w:r>
              <w:rPr>
                <w:spacing w:val="-11"/>
                <w:sz w:val="18"/>
              </w:rPr>
              <w:t xml:space="preserve"> </w:t>
            </w:r>
            <w:r>
              <w:rPr>
                <w:spacing w:val="-5"/>
                <w:sz w:val="18"/>
              </w:rPr>
              <w:t>170</w:t>
            </w:r>
          </w:p>
        </w:tc>
      </w:tr>
      <w:tr w:rsidR="00AC6F3C" w14:paraId="6D105C49" w14:textId="77777777">
        <w:trPr>
          <w:trHeight w:val="318"/>
        </w:trPr>
        <w:tc>
          <w:tcPr>
            <w:tcW w:w="1589" w:type="dxa"/>
            <w:vMerge/>
            <w:tcBorders>
              <w:top w:val="nil"/>
              <w:bottom w:val="single" w:sz="4" w:space="0" w:color="000000"/>
            </w:tcBorders>
          </w:tcPr>
          <w:p w14:paraId="7E66CE01" w14:textId="77777777" w:rsidR="00AC6F3C" w:rsidRDefault="00AC6F3C">
            <w:pPr>
              <w:rPr>
                <w:sz w:val="2"/>
                <w:szCs w:val="2"/>
              </w:rPr>
            </w:pPr>
          </w:p>
        </w:tc>
        <w:tc>
          <w:tcPr>
            <w:tcW w:w="814" w:type="dxa"/>
            <w:tcBorders>
              <w:top w:val="single" w:sz="4" w:space="0" w:color="000000"/>
              <w:bottom w:val="single" w:sz="4" w:space="0" w:color="000000"/>
            </w:tcBorders>
          </w:tcPr>
          <w:p w14:paraId="48F9F0BA" w14:textId="77777777" w:rsidR="00AC6F3C" w:rsidRDefault="00570E88">
            <w:pPr>
              <w:pStyle w:val="TableParagraph"/>
              <w:spacing w:before="54"/>
              <w:ind w:left="107"/>
              <w:rPr>
                <w:b/>
                <w:sz w:val="18"/>
              </w:rPr>
            </w:pPr>
            <w:r>
              <w:rPr>
                <w:b/>
                <w:spacing w:val="-5"/>
                <w:sz w:val="18"/>
              </w:rPr>
              <w:t>B2.</w:t>
            </w:r>
          </w:p>
        </w:tc>
        <w:tc>
          <w:tcPr>
            <w:tcW w:w="5406" w:type="dxa"/>
            <w:tcBorders>
              <w:top w:val="single" w:sz="4" w:space="0" w:color="000000"/>
              <w:bottom w:val="single" w:sz="4" w:space="0" w:color="000000"/>
            </w:tcBorders>
          </w:tcPr>
          <w:p w14:paraId="3794ECDB" w14:textId="77777777" w:rsidR="00AC6F3C" w:rsidRDefault="00570E88">
            <w:pPr>
              <w:pStyle w:val="TableParagraph"/>
              <w:spacing w:before="54"/>
              <w:ind w:left="428"/>
              <w:rPr>
                <w:b/>
                <w:sz w:val="18"/>
              </w:rPr>
            </w:pPr>
            <w:r>
              <w:rPr>
                <w:b/>
                <w:spacing w:val="-2"/>
                <w:sz w:val="18"/>
              </w:rPr>
              <w:t>Expenses</w:t>
            </w:r>
          </w:p>
        </w:tc>
        <w:tc>
          <w:tcPr>
            <w:tcW w:w="1297" w:type="dxa"/>
            <w:tcBorders>
              <w:top w:val="single" w:sz="4" w:space="0" w:color="000000"/>
              <w:bottom w:val="single" w:sz="4" w:space="0" w:color="000000"/>
            </w:tcBorders>
          </w:tcPr>
          <w:p w14:paraId="674F6CDE" w14:textId="77777777" w:rsidR="00AC6F3C" w:rsidRDefault="00570E88">
            <w:pPr>
              <w:pStyle w:val="TableParagraph"/>
              <w:spacing w:before="54"/>
              <w:ind w:right="111"/>
              <w:jc w:val="right"/>
              <w:rPr>
                <w:b/>
                <w:sz w:val="18"/>
              </w:rPr>
            </w:pPr>
            <w:r>
              <w:rPr>
                <w:b/>
                <w:spacing w:val="-2"/>
                <w:sz w:val="18"/>
              </w:rPr>
              <w:t>Page</w:t>
            </w:r>
            <w:r>
              <w:rPr>
                <w:b/>
                <w:spacing w:val="-11"/>
                <w:sz w:val="18"/>
              </w:rPr>
              <w:t xml:space="preserve"> </w:t>
            </w:r>
            <w:r>
              <w:rPr>
                <w:b/>
                <w:spacing w:val="-5"/>
                <w:sz w:val="18"/>
              </w:rPr>
              <w:t>171</w:t>
            </w:r>
          </w:p>
        </w:tc>
      </w:tr>
      <w:tr w:rsidR="00AC6F3C" w14:paraId="66186CF6" w14:textId="77777777">
        <w:trPr>
          <w:trHeight w:val="321"/>
        </w:trPr>
        <w:tc>
          <w:tcPr>
            <w:tcW w:w="1589" w:type="dxa"/>
            <w:vMerge/>
            <w:tcBorders>
              <w:top w:val="nil"/>
              <w:bottom w:val="single" w:sz="4" w:space="0" w:color="000000"/>
            </w:tcBorders>
          </w:tcPr>
          <w:p w14:paraId="27B13BFB" w14:textId="77777777" w:rsidR="00AC6F3C" w:rsidRDefault="00AC6F3C">
            <w:pPr>
              <w:rPr>
                <w:sz w:val="2"/>
                <w:szCs w:val="2"/>
              </w:rPr>
            </w:pPr>
          </w:p>
        </w:tc>
        <w:tc>
          <w:tcPr>
            <w:tcW w:w="814" w:type="dxa"/>
            <w:tcBorders>
              <w:top w:val="single" w:sz="4" w:space="0" w:color="000000"/>
              <w:bottom w:val="single" w:sz="4" w:space="0" w:color="000000"/>
            </w:tcBorders>
          </w:tcPr>
          <w:p w14:paraId="5556CF8B" w14:textId="77777777" w:rsidR="00AC6F3C" w:rsidRDefault="00AC6F3C">
            <w:pPr>
              <w:pStyle w:val="TableParagraph"/>
              <w:rPr>
                <w:rFonts w:ascii="Times New Roman"/>
                <w:sz w:val="18"/>
              </w:rPr>
            </w:pPr>
          </w:p>
        </w:tc>
        <w:tc>
          <w:tcPr>
            <w:tcW w:w="5406" w:type="dxa"/>
            <w:tcBorders>
              <w:top w:val="single" w:sz="4" w:space="0" w:color="000000"/>
              <w:bottom w:val="single" w:sz="4" w:space="0" w:color="000000"/>
            </w:tcBorders>
          </w:tcPr>
          <w:p w14:paraId="7E64ECA5" w14:textId="77777777" w:rsidR="00AC6F3C" w:rsidRDefault="00570E88">
            <w:pPr>
              <w:pStyle w:val="TableParagraph"/>
              <w:spacing w:before="56"/>
              <w:ind w:left="428"/>
              <w:rPr>
                <w:sz w:val="18"/>
              </w:rPr>
            </w:pPr>
            <w:r>
              <w:rPr>
                <w:sz w:val="18"/>
              </w:rPr>
              <w:t>B2-1</w:t>
            </w:r>
            <w:r>
              <w:rPr>
                <w:spacing w:val="62"/>
                <w:w w:val="150"/>
                <w:sz w:val="18"/>
              </w:rPr>
              <w:t xml:space="preserve"> </w:t>
            </w:r>
            <w:r>
              <w:rPr>
                <w:sz w:val="18"/>
              </w:rPr>
              <w:t>Administration</w:t>
            </w:r>
            <w:r>
              <w:rPr>
                <w:spacing w:val="-12"/>
                <w:sz w:val="18"/>
              </w:rPr>
              <w:t xml:space="preserve"> </w:t>
            </w:r>
            <w:r>
              <w:rPr>
                <w:spacing w:val="-2"/>
                <w:sz w:val="18"/>
              </w:rPr>
              <w:t>Expenses</w:t>
            </w:r>
          </w:p>
        </w:tc>
        <w:tc>
          <w:tcPr>
            <w:tcW w:w="1297" w:type="dxa"/>
            <w:tcBorders>
              <w:top w:val="single" w:sz="4" w:space="0" w:color="000000"/>
              <w:bottom w:val="single" w:sz="4" w:space="0" w:color="000000"/>
            </w:tcBorders>
          </w:tcPr>
          <w:p w14:paraId="00D77E64" w14:textId="77777777" w:rsidR="00AC6F3C" w:rsidRDefault="00570E88">
            <w:pPr>
              <w:pStyle w:val="TableParagraph"/>
              <w:spacing w:before="56"/>
              <w:ind w:right="111"/>
              <w:jc w:val="right"/>
              <w:rPr>
                <w:sz w:val="18"/>
              </w:rPr>
            </w:pPr>
            <w:r>
              <w:rPr>
                <w:spacing w:val="-2"/>
                <w:sz w:val="18"/>
              </w:rPr>
              <w:t>Page</w:t>
            </w:r>
            <w:r>
              <w:rPr>
                <w:spacing w:val="-11"/>
                <w:sz w:val="18"/>
              </w:rPr>
              <w:t xml:space="preserve"> </w:t>
            </w:r>
            <w:r>
              <w:rPr>
                <w:spacing w:val="-5"/>
                <w:sz w:val="18"/>
              </w:rPr>
              <w:t>171</w:t>
            </w:r>
          </w:p>
        </w:tc>
      </w:tr>
      <w:tr w:rsidR="00AC6F3C" w14:paraId="520164C7" w14:textId="77777777">
        <w:trPr>
          <w:trHeight w:val="321"/>
        </w:trPr>
        <w:tc>
          <w:tcPr>
            <w:tcW w:w="1589" w:type="dxa"/>
            <w:vMerge/>
            <w:tcBorders>
              <w:top w:val="nil"/>
              <w:bottom w:val="single" w:sz="4" w:space="0" w:color="000000"/>
            </w:tcBorders>
          </w:tcPr>
          <w:p w14:paraId="521900C5" w14:textId="77777777" w:rsidR="00AC6F3C" w:rsidRDefault="00AC6F3C">
            <w:pPr>
              <w:rPr>
                <w:sz w:val="2"/>
                <w:szCs w:val="2"/>
              </w:rPr>
            </w:pPr>
          </w:p>
        </w:tc>
        <w:tc>
          <w:tcPr>
            <w:tcW w:w="814" w:type="dxa"/>
            <w:tcBorders>
              <w:top w:val="single" w:sz="4" w:space="0" w:color="000000"/>
              <w:bottom w:val="single" w:sz="4" w:space="0" w:color="000000"/>
            </w:tcBorders>
          </w:tcPr>
          <w:p w14:paraId="243F5DFC" w14:textId="77777777" w:rsidR="00AC6F3C" w:rsidRDefault="00AC6F3C">
            <w:pPr>
              <w:pStyle w:val="TableParagraph"/>
              <w:rPr>
                <w:rFonts w:ascii="Times New Roman"/>
                <w:sz w:val="18"/>
              </w:rPr>
            </w:pPr>
          </w:p>
        </w:tc>
        <w:tc>
          <w:tcPr>
            <w:tcW w:w="5406" w:type="dxa"/>
            <w:tcBorders>
              <w:top w:val="single" w:sz="4" w:space="0" w:color="000000"/>
              <w:bottom w:val="single" w:sz="4" w:space="0" w:color="000000"/>
            </w:tcBorders>
          </w:tcPr>
          <w:p w14:paraId="2E054CE9" w14:textId="77777777" w:rsidR="00AC6F3C" w:rsidRDefault="00570E88">
            <w:pPr>
              <w:pStyle w:val="TableParagraph"/>
              <w:spacing w:before="56"/>
              <w:ind w:left="428"/>
              <w:rPr>
                <w:sz w:val="18"/>
              </w:rPr>
            </w:pPr>
            <w:r>
              <w:rPr>
                <w:sz w:val="18"/>
              </w:rPr>
              <w:t>B2-2</w:t>
            </w:r>
            <w:r>
              <w:rPr>
                <w:spacing w:val="32"/>
                <w:sz w:val="18"/>
              </w:rPr>
              <w:t xml:space="preserve">  </w:t>
            </w:r>
            <w:r>
              <w:rPr>
                <w:sz w:val="18"/>
              </w:rPr>
              <w:t>Audit</w:t>
            </w:r>
            <w:r>
              <w:rPr>
                <w:spacing w:val="-11"/>
                <w:sz w:val="18"/>
              </w:rPr>
              <w:t xml:space="preserve"> </w:t>
            </w:r>
            <w:r>
              <w:rPr>
                <w:spacing w:val="-4"/>
                <w:sz w:val="18"/>
              </w:rPr>
              <w:t>Fees</w:t>
            </w:r>
          </w:p>
        </w:tc>
        <w:tc>
          <w:tcPr>
            <w:tcW w:w="1297" w:type="dxa"/>
            <w:tcBorders>
              <w:top w:val="single" w:sz="4" w:space="0" w:color="000000"/>
              <w:bottom w:val="single" w:sz="4" w:space="0" w:color="000000"/>
            </w:tcBorders>
          </w:tcPr>
          <w:p w14:paraId="1C64619C" w14:textId="77777777" w:rsidR="00AC6F3C" w:rsidRDefault="00570E88">
            <w:pPr>
              <w:pStyle w:val="TableParagraph"/>
              <w:spacing w:before="56"/>
              <w:ind w:right="111"/>
              <w:jc w:val="right"/>
              <w:rPr>
                <w:sz w:val="18"/>
              </w:rPr>
            </w:pPr>
            <w:r>
              <w:rPr>
                <w:spacing w:val="-2"/>
                <w:sz w:val="18"/>
              </w:rPr>
              <w:t>Page</w:t>
            </w:r>
            <w:r>
              <w:rPr>
                <w:spacing w:val="-11"/>
                <w:sz w:val="18"/>
              </w:rPr>
              <w:t xml:space="preserve"> </w:t>
            </w:r>
            <w:r>
              <w:rPr>
                <w:spacing w:val="-5"/>
                <w:sz w:val="18"/>
              </w:rPr>
              <w:t>171</w:t>
            </w:r>
          </w:p>
        </w:tc>
      </w:tr>
      <w:tr w:rsidR="00AC6F3C" w14:paraId="26A876AD" w14:textId="77777777">
        <w:trPr>
          <w:trHeight w:val="321"/>
        </w:trPr>
        <w:tc>
          <w:tcPr>
            <w:tcW w:w="1589" w:type="dxa"/>
            <w:vMerge/>
            <w:tcBorders>
              <w:top w:val="nil"/>
              <w:bottom w:val="single" w:sz="4" w:space="0" w:color="000000"/>
            </w:tcBorders>
          </w:tcPr>
          <w:p w14:paraId="1A840E99" w14:textId="77777777" w:rsidR="00AC6F3C" w:rsidRDefault="00AC6F3C">
            <w:pPr>
              <w:rPr>
                <w:sz w:val="2"/>
                <w:szCs w:val="2"/>
              </w:rPr>
            </w:pPr>
          </w:p>
        </w:tc>
        <w:tc>
          <w:tcPr>
            <w:tcW w:w="814" w:type="dxa"/>
            <w:tcBorders>
              <w:top w:val="single" w:sz="4" w:space="0" w:color="000000"/>
              <w:bottom w:val="single" w:sz="4" w:space="0" w:color="000000"/>
            </w:tcBorders>
          </w:tcPr>
          <w:p w14:paraId="5730B110" w14:textId="77777777" w:rsidR="00AC6F3C" w:rsidRDefault="00AC6F3C">
            <w:pPr>
              <w:pStyle w:val="TableParagraph"/>
              <w:rPr>
                <w:rFonts w:ascii="Times New Roman"/>
                <w:sz w:val="18"/>
              </w:rPr>
            </w:pPr>
          </w:p>
        </w:tc>
        <w:tc>
          <w:tcPr>
            <w:tcW w:w="5406" w:type="dxa"/>
            <w:tcBorders>
              <w:top w:val="single" w:sz="4" w:space="0" w:color="000000"/>
              <w:bottom w:val="single" w:sz="4" w:space="0" w:color="000000"/>
            </w:tcBorders>
          </w:tcPr>
          <w:p w14:paraId="02059679" w14:textId="77777777" w:rsidR="00AC6F3C" w:rsidRDefault="00570E88">
            <w:pPr>
              <w:pStyle w:val="TableParagraph"/>
              <w:spacing w:before="56"/>
              <w:ind w:left="428"/>
              <w:rPr>
                <w:sz w:val="18"/>
              </w:rPr>
            </w:pPr>
            <w:r>
              <w:rPr>
                <w:sz w:val="18"/>
              </w:rPr>
              <w:t>B2-3</w:t>
            </w:r>
            <w:r>
              <w:rPr>
                <w:spacing w:val="73"/>
                <w:w w:val="150"/>
                <w:sz w:val="18"/>
              </w:rPr>
              <w:t xml:space="preserve"> </w:t>
            </w:r>
            <w:r>
              <w:rPr>
                <w:sz w:val="18"/>
              </w:rPr>
              <w:t>Insurance</w:t>
            </w:r>
            <w:r>
              <w:rPr>
                <w:spacing w:val="-12"/>
                <w:sz w:val="18"/>
              </w:rPr>
              <w:t xml:space="preserve"> </w:t>
            </w:r>
            <w:r>
              <w:rPr>
                <w:spacing w:val="-2"/>
                <w:sz w:val="18"/>
              </w:rPr>
              <w:t>Premiums</w:t>
            </w:r>
          </w:p>
        </w:tc>
        <w:tc>
          <w:tcPr>
            <w:tcW w:w="1297" w:type="dxa"/>
            <w:tcBorders>
              <w:top w:val="single" w:sz="4" w:space="0" w:color="000000"/>
              <w:bottom w:val="single" w:sz="4" w:space="0" w:color="000000"/>
            </w:tcBorders>
          </w:tcPr>
          <w:p w14:paraId="2B6A4366" w14:textId="77777777" w:rsidR="00AC6F3C" w:rsidRDefault="00570E88">
            <w:pPr>
              <w:pStyle w:val="TableParagraph"/>
              <w:spacing w:before="56"/>
              <w:ind w:right="111"/>
              <w:jc w:val="right"/>
              <w:rPr>
                <w:sz w:val="18"/>
              </w:rPr>
            </w:pPr>
            <w:r>
              <w:rPr>
                <w:spacing w:val="-2"/>
                <w:sz w:val="18"/>
              </w:rPr>
              <w:t>Page</w:t>
            </w:r>
            <w:r>
              <w:rPr>
                <w:spacing w:val="-11"/>
                <w:sz w:val="18"/>
              </w:rPr>
              <w:t xml:space="preserve"> </w:t>
            </w:r>
            <w:r>
              <w:rPr>
                <w:spacing w:val="-5"/>
                <w:sz w:val="18"/>
              </w:rPr>
              <w:t>171</w:t>
            </w:r>
          </w:p>
        </w:tc>
      </w:tr>
      <w:tr w:rsidR="00AC6F3C" w14:paraId="29340351" w14:textId="77777777">
        <w:trPr>
          <w:trHeight w:val="321"/>
        </w:trPr>
        <w:tc>
          <w:tcPr>
            <w:tcW w:w="1589" w:type="dxa"/>
            <w:vMerge/>
            <w:tcBorders>
              <w:top w:val="nil"/>
              <w:bottom w:val="single" w:sz="4" w:space="0" w:color="000000"/>
            </w:tcBorders>
          </w:tcPr>
          <w:p w14:paraId="27DD946E" w14:textId="77777777" w:rsidR="00AC6F3C" w:rsidRDefault="00AC6F3C">
            <w:pPr>
              <w:rPr>
                <w:sz w:val="2"/>
                <w:szCs w:val="2"/>
              </w:rPr>
            </w:pPr>
          </w:p>
        </w:tc>
        <w:tc>
          <w:tcPr>
            <w:tcW w:w="814" w:type="dxa"/>
            <w:tcBorders>
              <w:top w:val="single" w:sz="4" w:space="0" w:color="000000"/>
              <w:bottom w:val="single" w:sz="4" w:space="0" w:color="000000"/>
            </w:tcBorders>
          </w:tcPr>
          <w:p w14:paraId="7A9401AB" w14:textId="77777777" w:rsidR="00AC6F3C" w:rsidRDefault="00570E88">
            <w:pPr>
              <w:pStyle w:val="TableParagraph"/>
              <w:spacing w:before="56"/>
              <w:ind w:left="107"/>
              <w:rPr>
                <w:b/>
                <w:sz w:val="18"/>
              </w:rPr>
            </w:pPr>
            <w:r>
              <w:rPr>
                <w:b/>
                <w:spacing w:val="-5"/>
                <w:sz w:val="18"/>
              </w:rPr>
              <w:t>C1.</w:t>
            </w:r>
          </w:p>
        </w:tc>
        <w:tc>
          <w:tcPr>
            <w:tcW w:w="5406" w:type="dxa"/>
            <w:tcBorders>
              <w:top w:val="single" w:sz="4" w:space="0" w:color="000000"/>
              <w:bottom w:val="single" w:sz="4" w:space="0" w:color="000000"/>
            </w:tcBorders>
          </w:tcPr>
          <w:p w14:paraId="1B1108CA" w14:textId="77777777" w:rsidR="00AC6F3C" w:rsidRDefault="00570E88">
            <w:pPr>
              <w:pStyle w:val="TableParagraph"/>
              <w:spacing w:before="56"/>
              <w:ind w:left="428"/>
              <w:rPr>
                <w:b/>
                <w:sz w:val="18"/>
              </w:rPr>
            </w:pPr>
            <w:r>
              <w:rPr>
                <w:b/>
                <w:spacing w:val="-2"/>
                <w:sz w:val="18"/>
              </w:rPr>
              <w:t>Cash</w:t>
            </w:r>
            <w:r>
              <w:rPr>
                <w:b/>
                <w:spacing w:val="-8"/>
                <w:sz w:val="18"/>
              </w:rPr>
              <w:t xml:space="preserve"> </w:t>
            </w:r>
            <w:r>
              <w:rPr>
                <w:b/>
                <w:spacing w:val="-2"/>
                <w:sz w:val="18"/>
              </w:rPr>
              <w:t>and</w:t>
            </w:r>
            <w:r>
              <w:rPr>
                <w:b/>
                <w:spacing w:val="-8"/>
                <w:sz w:val="18"/>
              </w:rPr>
              <w:t xml:space="preserve"> </w:t>
            </w:r>
            <w:r>
              <w:rPr>
                <w:b/>
                <w:spacing w:val="-2"/>
                <w:sz w:val="18"/>
              </w:rPr>
              <w:t>Cash</w:t>
            </w:r>
            <w:r>
              <w:rPr>
                <w:b/>
                <w:spacing w:val="-7"/>
                <w:sz w:val="18"/>
              </w:rPr>
              <w:t xml:space="preserve"> </w:t>
            </w:r>
            <w:r>
              <w:rPr>
                <w:b/>
                <w:spacing w:val="-2"/>
                <w:sz w:val="18"/>
              </w:rPr>
              <w:t>Equivalents</w:t>
            </w:r>
          </w:p>
        </w:tc>
        <w:tc>
          <w:tcPr>
            <w:tcW w:w="1297" w:type="dxa"/>
            <w:tcBorders>
              <w:top w:val="single" w:sz="4" w:space="0" w:color="000000"/>
              <w:bottom w:val="single" w:sz="4" w:space="0" w:color="000000"/>
            </w:tcBorders>
          </w:tcPr>
          <w:p w14:paraId="778AF709"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171</w:t>
            </w:r>
          </w:p>
        </w:tc>
      </w:tr>
      <w:tr w:rsidR="00AC6F3C" w14:paraId="2EA19A30" w14:textId="77777777">
        <w:trPr>
          <w:trHeight w:val="321"/>
        </w:trPr>
        <w:tc>
          <w:tcPr>
            <w:tcW w:w="1589" w:type="dxa"/>
            <w:vMerge/>
            <w:tcBorders>
              <w:top w:val="nil"/>
              <w:bottom w:val="single" w:sz="4" w:space="0" w:color="000000"/>
            </w:tcBorders>
          </w:tcPr>
          <w:p w14:paraId="4B6FF565" w14:textId="77777777" w:rsidR="00AC6F3C" w:rsidRDefault="00AC6F3C">
            <w:pPr>
              <w:rPr>
                <w:sz w:val="2"/>
                <w:szCs w:val="2"/>
              </w:rPr>
            </w:pPr>
          </w:p>
        </w:tc>
        <w:tc>
          <w:tcPr>
            <w:tcW w:w="814" w:type="dxa"/>
            <w:tcBorders>
              <w:top w:val="single" w:sz="4" w:space="0" w:color="000000"/>
              <w:bottom w:val="single" w:sz="4" w:space="0" w:color="000000"/>
            </w:tcBorders>
          </w:tcPr>
          <w:p w14:paraId="2125FBA9" w14:textId="77777777" w:rsidR="00AC6F3C" w:rsidRDefault="00570E88">
            <w:pPr>
              <w:pStyle w:val="TableParagraph"/>
              <w:spacing w:before="56"/>
              <w:ind w:left="107"/>
              <w:rPr>
                <w:b/>
                <w:sz w:val="18"/>
              </w:rPr>
            </w:pPr>
            <w:r>
              <w:rPr>
                <w:b/>
                <w:spacing w:val="-5"/>
                <w:sz w:val="18"/>
              </w:rPr>
              <w:t>C2.</w:t>
            </w:r>
          </w:p>
        </w:tc>
        <w:tc>
          <w:tcPr>
            <w:tcW w:w="5406" w:type="dxa"/>
            <w:tcBorders>
              <w:top w:val="single" w:sz="4" w:space="0" w:color="000000"/>
              <w:bottom w:val="single" w:sz="4" w:space="0" w:color="000000"/>
            </w:tcBorders>
          </w:tcPr>
          <w:p w14:paraId="49343F50" w14:textId="77777777" w:rsidR="00AC6F3C" w:rsidRDefault="00570E88">
            <w:pPr>
              <w:pStyle w:val="TableParagraph"/>
              <w:spacing w:before="56"/>
              <w:ind w:left="428"/>
              <w:rPr>
                <w:b/>
                <w:sz w:val="18"/>
              </w:rPr>
            </w:pPr>
            <w:r>
              <w:rPr>
                <w:b/>
                <w:spacing w:val="-2"/>
                <w:sz w:val="18"/>
              </w:rPr>
              <w:t>Receivables</w:t>
            </w:r>
          </w:p>
        </w:tc>
        <w:tc>
          <w:tcPr>
            <w:tcW w:w="1297" w:type="dxa"/>
            <w:tcBorders>
              <w:top w:val="single" w:sz="4" w:space="0" w:color="000000"/>
              <w:bottom w:val="single" w:sz="4" w:space="0" w:color="000000"/>
            </w:tcBorders>
          </w:tcPr>
          <w:p w14:paraId="746DAD63"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172</w:t>
            </w:r>
          </w:p>
        </w:tc>
      </w:tr>
      <w:tr w:rsidR="00AC6F3C" w14:paraId="16B05D62" w14:textId="77777777">
        <w:trPr>
          <w:trHeight w:val="321"/>
        </w:trPr>
        <w:tc>
          <w:tcPr>
            <w:tcW w:w="1589" w:type="dxa"/>
            <w:vMerge/>
            <w:tcBorders>
              <w:top w:val="nil"/>
              <w:bottom w:val="single" w:sz="4" w:space="0" w:color="000000"/>
            </w:tcBorders>
          </w:tcPr>
          <w:p w14:paraId="08A4FA95" w14:textId="77777777" w:rsidR="00AC6F3C" w:rsidRDefault="00AC6F3C">
            <w:pPr>
              <w:rPr>
                <w:sz w:val="2"/>
                <w:szCs w:val="2"/>
              </w:rPr>
            </w:pPr>
          </w:p>
        </w:tc>
        <w:tc>
          <w:tcPr>
            <w:tcW w:w="814" w:type="dxa"/>
            <w:tcBorders>
              <w:top w:val="single" w:sz="4" w:space="0" w:color="000000"/>
              <w:bottom w:val="single" w:sz="4" w:space="0" w:color="000000"/>
            </w:tcBorders>
          </w:tcPr>
          <w:p w14:paraId="3C2DE31F" w14:textId="77777777" w:rsidR="00AC6F3C" w:rsidRDefault="00570E88">
            <w:pPr>
              <w:pStyle w:val="TableParagraph"/>
              <w:spacing w:before="56"/>
              <w:ind w:left="107"/>
              <w:rPr>
                <w:b/>
                <w:sz w:val="18"/>
              </w:rPr>
            </w:pPr>
            <w:r>
              <w:rPr>
                <w:b/>
                <w:spacing w:val="-5"/>
                <w:sz w:val="18"/>
              </w:rPr>
              <w:t>C3.</w:t>
            </w:r>
          </w:p>
        </w:tc>
        <w:tc>
          <w:tcPr>
            <w:tcW w:w="5406" w:type="dxa"/>
            <w:tcBorders>
              <w:top w:val="single" w:sz="4" w:space="0" w:color="000000"/>
              <w:bottom w:val="single" w:sz="4" w:space="0" w:color="000000"/>
            </w:tcBorders>
          </w:tcPr>
          <w:p w14:paraId="476EF08E" w14:textId="77777777" w:rsidR="00AC6F3C" w:rsidRDefault="00570E88">
            <w:pPr>
              <w:pStyle w:val="TableParagraph"/>
              <w:spacing w:before="56"/>
              <w:ind w:left="428"/>
              <w:rPr>
                <w:b/>
                <w:sz w:val="18"/>
              </w:rPr>
            </w:pPr>
            <w:r>
              <w:rPr>
                <w:b/>
                <w:spacing w:val="-2"/>
                <w:sz w:val="18"/>
              </w:rPr>
              <w:t>Investments</w:t>
            </w:r>
          </w:p>
        </w:tc>
        <w:tc>
          <w:tcPr>
            <w:tcW w:w="1297" w:type="dxa"/>
            <w:tcBorders>
              <w:top w:val="single" w:sz="4" w:space="0" w:color="000000"/>
              <w:bottom w:val="single" w:sz="4" w:space="0" w:color="000000"/>
            </w:tcBorders>
          </w:tcPr>
          <w:p w14:paraId="060F5EB1"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172</w:t>
            </w:r>
          </w:p>
        </w:tc>
      </w:tr>
      <w:tr w:rsidR="00AC6F3C" w14:paraId="7874674D" w14:textId="77777777">
        <w:trPr>
          <w:trHeight w:val="321"/>
        </w:trPr>
        <w:tc>
          <w:tcPr>
            <w:tcW w:w="1589" w:type="dxa"/>
            <w:vMerge/>
            <w:tcBorders>
              <w:top w:val="nil"/>
              <w:bottom w:val="single" w:sz="4" w:space="0" w:color="000000"/>
            </w:tcBorders>
          </w:tcPr>
          <w:p w14:paraId="06FB2B1B" w14:textId="77777777" w:rsidR="00AC6F3C" w:rsidRDefault="00AC6F3C">
            <w:pPr>
              <w:rPr>
                <w:sz w:val="2"/>
                <w:szCs w:val="2"/>
              </w:rPr>
            </w:pPr>
          </w:p>
        </w:tc>
        <w:tc>
          <w:tcPr>
            <w:tcW w:w="814" w:type="dxa"/>
            <w:tcBorders>
              <w:top w:val="single" w:sz="4" w:space="0" w:color="000000"/>
              <w:bottom w:val="single" w:sz="4" w:space="0" w:color="000000"/>
            </w:tcBorders>
          </w:tcPr>
          <w:p w14:paraId="6CB16E9E" w14:textId="77777777" w:rsidR="00AC6F3C" w:rsidRDefault="00570E88">
            <w:pPr>
              <w:pStyle w:val="TableParagraph"/>
              <w:spacing w:before="56"/>
              <w:ind w:left="107"/>
              <w:rPr>
                <w:b/>
                <w:sz w:val="18"/>
              </w:rPr>
            </w:pPr>
            <w:r>
              <w:rPr>
                <w:b/>
                <w:spacing w:val="-5"/>
                <w:sz w:val="18"/>
              </w:rPr>
              <w:t>C4.</w:t>
            </w:r>
          </w:p>
        </w:tc>
        <w:tc>
          <w:tcPr>
            <w:tcW w:w="5406" w:type="dxa"/>
            <w:tcBorders>
              <w:top w:val="single" w:sz="4" w:space="0" w:color="000000"/>
              <w:bottom w:val="single" w:sz="4" w:space="0" w:color="000000"/>
            </w:tcBorders>
          </w:tcPr>
          <w:p w14:paraId="6DED8BFF" w14:textId="77777777" w:rsidR="00AC6F3C" w:rsidRDefault="00570E88">
            <w:pPr>
              <w:pStyle w:val="TableParagraph"/>
              <w:spacing w:before="56"/>
              <w:ind w:left="428"/>
              <w:rPr>
                <w:b/>
                <w:sz w:val="18"/>
              </w:rPr>
            </w:pPr>
            <w:r>
              <w:rPr>
                <w:b/>
                <w:spacing w:val="-2"/>
                <w:sz w:val="18"/>
              </w:rPr>
              <w:t>Income</w:t>
            </w:r>
            <w:r>
              <w:rPr>
                <w:b/>
                <w:spacing w:val="-8"/>
                <w:sz w:val="18"/>
              </w:rPr>
              <w:t xml:space="preserve"> </w:t>
            </w:r>
            <w:r>
              <w:rPr>
                <w:b/>
                <w:spacing w:val="-2"/>
                <w:sz w:val="18"/>
              </w:rPr>
              <w:t>in</w:t>
            </w:r>
            <w:r>
              <w:rPr>
                <w:b/>
                <w:spacing w:val="-8"/>
                <w:sz w:val="18"/>
              </w:rPr>
              <w:t xml:space="preserve"> </w:t>
            </w:r>
            <w:r>
              <w:rPr>
                <w:b/>
                <w:spacing w:val="-2"/>
                <w:sz w:val="18"/>
              </w:rPr>
              <w:t>Advance</w:t>
            </w:r>
          </w:p>
        </w:tc>
        <w:tc>
          <w:tcPr>
            <w:tcW w:w="1297" w:type="dxa"/>
            <w:tcBorders>
              <w:top w:val="single" w:sz="4" w:space="0" w:color="000000"/>
              <w:bottom w:val="single" w:sz="4" w:space="0" w:color="000000"/>
            </w:tcBorders>
          </w:tcPr>
          <w:p w14:paraId="4D20A55B"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173</w:t>
            </w:r>
          </w:p>
        </w:tc>
      </w:tr>
      <w:tr w:rsidR="00AC6F3C" w14:paraId="1DA5FB51" w14:textId="77777777">
        <w:trPr>
          <w:trHeight w:val="321"/>
        </w:trPr>
        <w:tc>
          <w:tcPr>
            <w:tcW w:w="1589" w:type="dxa"/>
            <w:vMerge/>
            <w:tcBorders>
              <w:top w:val="nil"/>
              <w:bottom w:val="single" w:sz="4" w:space="0" w:color="000000"/>
            </w:tcBorders>
          </w:tcPr>
          <w:p w14:paraId="24ABED9C" w14:textId="77777777" w:rsidR="00AC6F3C" w:rsidRDefault="00AC6F3C">
            <w:pPr>
              <w:rPr>
                <w:sz w:val="2"/>
                <w:szCs w:val="2"/>
              </w:rPr>
            </w:pPr>
          </w:p>
        </w:tc>
        <w:tc>
          <w:tcPr>
            <w:tcW w:w="814" w:type="dxa"/>
            <w:tcBorders>
              <w:top w:val="single" w:sz="4" w:space="0" w:color="000000"/>
              <w:bottom w:val="single" w:sz="4" w:space="0" w:color="000000"/>
            </w:tcBorders>
          </w:tcPr>
          <w:p w14:paraId="72C73E3A" w14:textId="77777777" w:rsidR="00AC6F3C" w:rsidRDefault="00570E88">
            <w:pPr>
              <w:pStyle w:val="TableParagraph"/>
              <w:spacing w:before="56"/>
              <w:ind w:left="107"/>
              <w:rPr>
                <w:b/>
                <w:sz w:val="18"/>
              </w:rPr>
            </w:pPr>
            <w:r>
              <w:rPr>
                <w:b/>
                <w:spacing w:val="-5"/>
                <w:sz w:val="18"/>
              </w:rPr>
              <w:t>C5.</w:t>
            </w:r>
          </w:p>
        </w:tc>
        <w:tc>
          <w:tcPr>
            <w:tcW w:w="5406" w:type="dxa"/>
            <w:tcBorders>
              <w:top w:val="single" w:sz="4" w:space="0" w:color="000000"/>
              <w:bottom w:val="single" w:sz="4" w:space="0" w:color="000000"/>
            </w:tcBorders>
          </w:tcPr>
          <w:p w14:paraId="60AB3EFD" w14:textId="77777777" w:rsidR="00AC6F3C" w:rsidRDefault="00570E88">
            <w:pPr>
              <w:pStyle w:val="TableParagraph"/>
              <w:spacing w:before="56"/>
              <w:ind w:left="428"/>
              <w:rPr>
                <w:b/>
                <w:sz w:val="18"/>
              </w:rPr>
            </w:pPr>
            <w:r>
              <w:rPr>
                <w:b/>
                <w:spacing w:val="-2"/>
                <w:sz w:val="18"/>
              </w:rPr>
              <w:t>Payables</w:t>
            </w:r>
          </w:p>
        </w:tc>
        <w:tc>
          <w:tcPr>
            <w:tcW w:w="1297" w:type="dxa"/>
            <w:tcBorders>
              <w:top w:val="single" w:sz="4" w:space="0" w:color="000000"/>
              <w:bottom w:val="single" w:sz="4" w:space="0" w:color="000000"/>
            </w:tcBorders>
          </w:tcPr>
          <w:p w14:paraId="249C5CEF"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173</w:t>
            </w:r>
          </w:p>
        </w:tc>
      </w:tr>
      <w:tr w:rsidR="00AC6F3C" w14:paraId="2082638A" w14:textId="77777777">
        <w:trPr>
          <w:trHeight w:val="321"/>
        </w:trPr>
        <w:tc>
          <w:tcPr>
            <w:tcW w:w="1589" w:type="dxa"/>
            <w:vMerge/>
            <w:tcBorders>
              <w:top w:val="nil"/>
              <w:bottom w:val="single" w:sz="4" w:space="0" w:color="000000"/>
            </w:tcBorders>
          </w:tcPr>
          <w:p w14:paraId="03A718A3" w14:textId="77777777" w:rsidR="00AC6F3C" w:rsidRDefault="00AC6F3C">
            <w:pPr>
              <w:rPr>
                <w:sz w:val="2"/>
                <w:szCs w:val="2"/>
              </w:rPr>
            </w:pPr>
          </w:p>
        </w:tc>
        <w:tc>
          <w:tcPr>
            <w:tcW w:w="814" w:type="dxa"/>
            <w:tcBorders>
              <w:top w:val="single" w:sz="4" w:space="0" w:color="000000"/>
              <w:bottom w:val="single" w:sz="4" w:space="0" w:color="000000"/>
            </w:tcBorders>
          </w:tcPr>
          <w:p w14:paraId="3C68E042" w14:textId="77777777" w:rsidR="00AC6F3C" w:rsidRDefault="00570E88">
            <w:pPr>
              <w:pStyle w:val="TableParagraph"/>
              <w:spacing w:before="56"/>
              <w:ind w:left="107"/>
              <w:rPr>
                <w:b/>
                <w:sz w:val="18"/>
              </w:rPr>
            </w:pPr>
            <w:r>
              <w:rPr>
                <w:b/>
                <w:spacing w:val="-5"/>
                <w:sz w:val="18"/>
              </w:rPr>
              <w:t>D1.</w:t>
            </w:r>
          </w:p>
        </w:tc>
        <w:tc>
          <w:tcPr>
            <w:tcW w:w="5406" w:type="dxa"/>
            <w:tcBorders>
              <w:top w:val="single" w:sz="4" w:space="0" w:color="000000"/>
              <w:bottom w:val="single" w:sz="4" w:space="0" w:color="000000"/>
            </w:tcBorders>
          </w:tcPr>
          <w:p w14:paraId="1E7022EA" w14:textId="77777777" w:rsidR="00AC6F3C" w:rsidRDefault="00570E88">
            <w:pPr>
              <w:pStyle w:val="TableParagraph"/>
              <w:spacing w:before="56"/>
              <w:ind w:left="428"/>
              <w:rPr>
                <w:b/>
                <w:sz w:val="18"/>
              </w:rPr>
            </w:pPr>
            <w:r>
              <w:rPr>
                <w:b/>
                <w:spacing w:val="-4"/>
                <w:sz w:val="18"/>
              </w:rPr>
              <w:t>Critical</w:t>
            </w:r>
            <w:r>
              <w:rPr>
                <w:b/>
                <w:spacing w:val="3"/>
                <w:sz w:val="18"/>
              </w:rPr>
              <w:t xml:space="preserve"> </w:t>
            </w:r>
            <w:r>
              <w:rPr>
                <w:b/>
                <w:spacing w:val="-4"/>
                <w:sz w:val="18"/>
              </w:rPr>
              <w:t>Accounting</w:t>
            </w:r>
            <w:r>
              <w:rPr>
                <w:b/>
                <w:sz w:val="18"/>
              </w:rPr>
              <w:t xml:space="preserve"> </w:t>
            </w:r>
            <w:r>
              <w:rPr>
                <w:b/>
                <w:spacing w:val="-4"/>
                <w:sz w:val="18"/>
              </w:rPr>
              <w:t>Estimates</w:t>
            </w:r>
            <w:r>
              <w:rPr>
                <w:b/>
                <w:spacing w:val="3"/>
                <w:sz w:val="18"/>
              </w:rPr>
              <w:t xml:space="preserve"> </w:t>
            </w:r>
            <w:r>
              <w:rPr>
                <w:b/>
                <w:spacing w:val="-4"/>
                <w:sz w:val="18"/>
              </w:rPr>
              <w:t>and</w:t>
            </w:r>
            <w:r>
              <w:rPr>
                <w:b/>
                <w:sz w:val="18"/>
              </w:rPr>
              <w:t xml:space="preserve"> </w:t>
            </w:r>
            <w:r>
              <w:rPr>
                <w:b/>
                <w:spacing w:val="-4"/>
                <w:sz w:val="18"/>
              </w:rPr>
              <w:t>Judgements</w:t>
            </w:r>
          </w:p>
        </w:tc>
        <w:tc>
          <w:tcPr>
            <w:tcW w:w="1297" w:type="dxa"/>
            <w:tcBorders>
              <w:top w:val="single" w:sz="4" w:space="0" w:color="000000"/>
              <w:bottom w:val="single" w:sz="4" w:space="0" w:color="000000"/>
            </w:tcBorders>
          </w:tcPr>
          <w:p w14:paraId="4EF823CE"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173</w:t>
            </w:r>
          </w:p>
        </w:tc>
      </w:tr>
      <w:tr w:rsidR="00AC6F3C" w14:paraId="44000D65" w14:textId="77777777">
        <w:trPr>
          <w:trHeight w:val="321"/>
        </w:trPr>
        <w:tc>
          <w:tcPr>
            <w:tcW w:w="1589" w:type="dxa"/>
            <w:vMerge/>
            <w:tcBorders>
              <w:top w:val="nil"/>
              <w:bottom w:val="single" w:sz="4" w:space="0" w:color="000000"/>
            </w:tcBorders>
          </w:tcPr>
          <w:p w14:paraId="45316678" w14:textId="77777777" w:rsidR="00AC6F3C" w:rsidRDefault="00AC6F3C">
            <w:pPr>
              <w:rPr>
                <w:sz w:val="2"/>
                <w:szCs w:val="2"/>
              </w:rPr>
            </w:pPr>
          </w:p>
        </w:tc>
        <w:tc>
          <w:tcPr>
            <w:tcW w:w="814" w:type="dxa"/>
            <w:tcBorders>
              <w:top w:val="single" w:sz="4" w:space="0" w:color="000000"/>
              <w:bottom w:val="single" w:sz="4" w:space="0" w:color="000000"/>
            </w:tcBorders>
          </w:tcPr>
          <w:p w14:paraId="1334F26C" w14:textId="77777777" w:rsidR="00AC6F3C" w:rsidRDefault="00570E88">
            <w:pPr>
              <w:pStyle w:val="TableParagraph"/>
              <w:spacing w:before="56"/>
              <w:ind w:left="107"/>
              <w:rPr>
                <w:b/>
                <w:sz w:val="18"/>
              </w:rPr>
            </w:pPr>
            <w:r>
              <w:rPr>
                <w:b/>
                <w:spacing w:val="-5"/>
                <w:sz w:val="18"/>
              </w:rPr>
              <w:t>D2.</w:t>
            </w:r>
          </w:p>
        </w:tc>
        <w:tc>
          <w:tcPr>
            <w:tcW w:w="5406" w:type="dxa"/>
            <w:tcBorders>
              <w:top w:val="single" w:sz="4" w:space="0" w:color="000000"/>
              <w:bottom w:val="single" w:sz="4" w:space="0" w:color="000000"/>
            </w:tcBorders>
          </w:tcPr>
          <w:p w14:paraId="7144D121" w14:textId="77777777" w:rsidR="00AC6F3C" w:rsidRDefault="00570E88">
            <w:pPr>
              <w:pStyle w:val="TableParagraph"/>
              <w:spacing w:before="56"/>
              <w:ind w:left="428"/>
              <w:rPr>
                <w:b/>
                <w:sz w:val="18"/>
              </w:rPr>
            </w:pPr>
            <w:r>
              <w:rPr>
                <w:b/>
                <w:spacing w:val="-4"/>
                <w:sz w:val="18"/>
              </w:rPr>
              <w:t>Financial</w:t>
            </w:r>
            <w:r>
              <w:rPr>
                <w:b/>
                <w:spacing w:val="1"/>
                <w:sz w:val="18"/>
              </w:rPr>
              <w:t xml:space="preserve"> </w:t>
            </w:r>
            <w:r>
              <w:rPr>
                <w:b/>
                <w:spacing w:val="-4"/>
                <w:sz w:val="18"/>
              </w:rPr>
              <w:t>Instruments</w:t>
            </w:r>
            <w:r>
              <w:rPr>
                <w:b/>
                <w:spacing w:val="1"/>
                <w:sz w:val="18"/>
              </w:rPr>
              <w:t xml:space="preserve"> </w:t>
            </w:r>
            <w:r>
              <w:rPr>
                <w:b/>
                <w:spacing w:val="-4"/>
                <w:sz w:val="18"/>
              </w:rPr>
              <w:t>and</w:t>
            </w:r>
            <w:r>
              <w:rPr>
                <w:b/>
                <w:spacing w:val="1"/>
                <w:sz w:val="18"/>
              </w:rPr>
              <w:t xml:space="preserve"> </w:t>
            </w:r>
            <w:r>
              <w:rPr>
                <w:b/>
                <w:spacing w:val="-4"/>
                <w:sz w:val="18"/>
              </w:rPr>
              <w:t>Financial</w:t>
            </w:r>
            <w:r>
              <w:rPr>
                <w:b/>
                <w:spacing w:val="1"/>
                <w:sz w:val="18"/>
              </w:rPr>
              <w:t xml:space="preserve"> </w:t>
            </w:r>
            <w:r>
              <w:rPr>
                <w:b/>
                <w:spacing w:val="-4"/>
                <w:sz w:val="18"/>
              </w:rPr>
              <w:t>Risk</w:t>
            </w:r>
            <w:r>
              <w:rPr>
                <w:b/>
                <w:spacing w:val="2"/>
                <w:sz w:val="18"/>
              </w:rPr>
              <w:t xml:space="preserve"> </w:t>
            </w:r>
            <w:r>
              <w:rPr>
                <w:b/>
                <w:spacing w:val="-4"/>
                <w:sz w:val="18"/>
              </w:rPr>
              <w:t>Management</w:t>
            </w:r>
          </w:p>
        </w:tc>
        <w:tc>
          <w:tcPr>
            <w:tcW w:w="1297" w:type="dxa"/>
            <w:tcBorders>
              <w:top w:val="single" w:sz="4" w:space="0" w:color="000000"/>
              <w:bottom w:val="single" w:sz="4" w:space="0" w:color="000000"/>
            </w:tcBorders>
          </w:tcPr>
          <w:p w14:paraId="7817CC28"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173</w:t>
            </w:r>
          </w:p>
        </w:tc>
      </w:tr>
      <w:tr w:rsidR="00AC6F3C" w14:paraId="7C651712" w14:textId="77777777">
        <w:trPr>
          <w:trHeight w:val="318"/>
        </w:trPr>
        <w:tc>
          <w:tcPr>
            <w:tcW w:w="1589" w:type="dxa"/>
            <w:vMerge/>
            <w:tcBorders>
              <w:top w:val="nil"/>
              <w:bottom w:val="single" w:sz="4" w:space="0" w:color="000000"/>
            </w:tcBorders>
          </w:tcPr>
          <w:p w14:paraId="510EC710" w14:textId="77777777" w:rsidR="00AC6F3C" w:rsidRDefault="00AC6F3C">
            <w:pPr>
              <w:rPr>
                <w:sz w:val="2"/>
                <w:szCs w:val="2"/>
              </w:rPr>
            </w:pPr>
          </w:p>
        </w:tc>
        <w:tc>
          <w:tcPr>
            <w:tcW w:w="814" w:type="dxa"/>
            <w:tcBorders>
              <w:top w:val="single" w:sz="4" w:space="0" w:color="000000"/>
              <w:bottom w:val="single" w:sz="4" w:space="0" w:color="000000"/>
            </w:tcBorders>
          </w:tcPr>
          <w:p w14:paraId="3EF795D1" w14:textId="77777777" w:rsidR="00AC6F3C" w:rsidRDefault="00570E88">
            <w:pPr>
              <w:pStyle w:val="TableParagraph"/>
              <w:spacing w:before="54"/>
              <w:ind w:left="107"/>
              <w:rPr>
                <w:b/>
                <w:sz w:val="18"/>
              </w:rPr>
            </w:pPr>
            <w:r>
              <w:rPr>
                <w:b/>
                <w:spacing w:val="-5"/>
                <w:sz w:val="18"/>
              </w:rPr>
              <w:t>D3.</w:t>
            </w:r>
          </w:p>
        </w:tc>
        <w:tc>
          <w:tcPr>
            <w:tcW w:w="5406" w:type="dxa"/>
            <w:tcBorders>
              <w:top w:val="single" w:sz="4" w:space="0" w:color="000000"/>
              <w:bottom w:val="single" w:sz="4" w:space="0" w:color="000000"/>
            </w:tcBorders>
          </w:tcPr>
          <w:p w14:paraId="3B3B4712" w14:textId="77777777" w:rsidR="00AC6F3C" w:rsidRDefault="00570E88">
            <w:pPr>
              <w:pStyle w:val="TableParagraph"/>
              <w:spacing w:before="54"/>
              <w:ind w:left="428"/>
              <w:rPr>
                <w:b/>
                <w:sz w:val="18"/>
              </w:rPr>
            </w:pPr>
            <w:r>
              <w:rPr>
                <w:b/>
                <w:spacing w:val="-4"/>
                <w:sz w:val="18"/>
              </w:rPr>
              <w:t>Contingent</w:t>
            </w:r>
            <w:r>
              <w:rPr>
                <w:b/>
                <w:sz w:val="18"/>
              </w:rPr>
              <w:t xml:space="preserve"> </w:t>
            </w:r>
            <w:r>
              <w:rPr>
                <w:b/>
                <w:spacing w:val="-4"/>
                <w:sz w:val="18"/>
              </w:rPr>
              <w:t>Liabilities</w:t>
            </w:r>
            <w:r>
              <w:rPr>
                <w:b/>
                <w:sz w:val="18"/>
              </w:rPr>
              <w:t xml:space="preserve"> </w:t>
            </w:r>
            <w:r>
              <w:rPr>
                <w:b/>
                <w:spacing w:val="-4"/>
                <w:sz w:val="18"/>
              </w:rPr>
              <w:t>and</w:t>
            </w:r>
            <w:r>
              <w:rPr>
                <w:b/>
                <w:spacing w:val="4"/>
                <w:sz w:val="18"/>
              </w:rPr>
              <w:t xml:space="preserve"> </w:t>
            </w:r>
            <w:r>
              <w:rPr>
                <w:b/>
                <w:spacing w:val="-4"/>
                <w:sz w:val="18"/>
              </w:rPr>
              <w:t>Events</w:t>
            </w:r>
            <w:r>
              <w:rPr>
                <w:b/>
                <w:spacing w:val="4"/>
                <w:sz w:val="18"/>
              </w:rPr>
              <w:t xml:space="preserve"> </w:t>
            </w:r>
            <w:r>
              <w:rPr>
                <w:b/>
                <w:spacing w:val="-4"/>
                <w:sz w:val="18"/>
              </w:rPr>
              <w:t>After</w:t>
            </w:r>
            <w:r>
              <w:rPr>
                <w:b/>
                <w:sz w:val="18"/>
              </w:rPr>
              <w:t xml:space="preserve"> </w:t>
            </w:r>
            <w:r>
              <w:rPr>
                <w:b/>
                <w:spacing w:val="-4"/>
                <w:sz w:val="18"/>
              </w:rPr>
              <w:t>Balance</w:t>
            </w:r>
            <w:r>
              <w:rPr>
                <w:b/>
                <w:spacing w:val="4"/>
                <w:sz w:val="18"/>
              </w:rPr>
              <w:t xml:space="preserve"> </w:t>
            </w:r>
            <w:r>
              <w:rPr>
                <w:b/>
                <w:spacing w:val="-4"/>
                <w:sz w:val="18"/>
              </w:rPr>
              <w:t>Date</w:t>
            </w:r>
          </w:p>
        </w:tc>
        <w:tc>
          <w:tcPr>
            <w:tcW w:w="1297" w:type="dxa"/>
            <w:tcBorders>
              <w:top w:val="single" w:sz="4" w:space="0" w:color="000000"/>
              <w:bottom w:val="single" w:sz="4" w:space="0" w:color="000000"/>
            </w:tcBorders>
          </w:tcPr>
          <w:p w14:paraId="6C2256B4" w14:textId="77777777" w:rsidR="00AC6F3C" w:rsidRDefault="00570E88">
            <w:pPr>
              <w:pStyle w:val="TableParagraph"/>
              <w:spacing w:before="54"/>
              <w:ind w:right="111"/>
              <w:jc w:val="right"/>
              <w:rPr>
                <w:b/>
                <w:sz w:val="18"/>
              </w:rPr>
            </w:pPr>
            <w:r>
              <w:rPr>
                <w:b/>
                <w:spacing w:val="-2"/>
                <w:sz w:val="18"/>
              </w:rPr>
              <w:t>Page</w:t>
            </w:r>
            <w:r>
              <w:rPr>
                <w:b/>
                <w:spacing w:val="-11"/>
                <w:sz w:val="18"/>
              </w:rPr>
              <w:t xml:space="preserve"> </w:t>
            </w:r>
            <w:r>
              <w:rPr>
                <w:b/>
                <w:spacing w:val="-5"/>
                <w:sz w:val="18"/>
              </w:rPr>
              <w:t>176</w:t>
            </w:r>
          </w:p>
        </w:tc>
      </w:tr>
      <w:tr w:rsidR="00AC6F3C" w14:paraId="09C3C6E7" w14:textId="77777777">
        <w:trPr>
          <w:trHeight w:val="321"/>
        </w:trPr>
        <w:tc>
          <w:tcPr>
            <w:tcW w:w="1589" w:type="dxa"/>
            <w:vMerge/>
            <w:tcBorders>
              <w:top w:val="nil"/>
              <w:bottom w:val="single" w:sz="4" w:space="0" w:color="000000"/>
            </w:tcBorders>
          </w:tcPr>
          <w:p w14:paraId="4D330C18" w14:textId="77777777" w:rsidR="00AC6F3C" w:rsidRDefault="00AC6F3C">
            <w:pPr>
              <w:rPr>
                <w:sz w:val="2"/>
                <w:szCs w:val="2"/>
              </w:rPr>
            </w:pPr>
          </w:p>
        </w:tc>
        <w:tc>
          <w:tcPr>
            <w:tcW w:w="814" w:type="dxa"/>
            <w:tcBorders>
              <w:top w:val="single" w:sz="4" w:space="0" w:color="000000"/>
              <w:bottom w:val="single" w:sz="4" w:space="0" w:color="000000"/>
            </w:tcBorders>
          </w:tcPr>
          <w:p w14:paraId="3A63C69E" w14:textId="77777777" w:rsidR="00AC6F3C" w:rsidRDefault="00570E88">
            <w:pPr>
              <w:pStyle w:val="TableParagraph"/>
              <w:spacing w:before="56"/>
              <w:ind w:left="107"/>
              <w:rPr>
                <w:b/>
                <w:sz w:val="18"/>
              </w:rPr>
            </w:pPr>
            <w:r>
              <w:rPr>
                <w:b/>
                <w:spacing w:val="-5"/>
                <w:sz w:val="18"/>
              </w:rPr>
              <w:t>E1.</w:t>
            </w:r>
          </w:p>
        </w:tc>
        <w:tc>
          <w:tcPr>
            <w:tcW w:w="5406" w:type="dxa"/>
            <w:tcBorders>
              <w:top w:val="single" w:sz="4" w:space="0" w:color="000000"/>
              <w:bottom w:val="single" w:sz="4" w:space="0" w:color="000000"/>
            </w:tcBorders>
          </w:tcPr>
          <w:p w14:paraId="20C76355" w14:textId="77777777" w:rsidR="00AC6F3C" w:rsidRDefault="00570E88">
            <w:pPr>
              <w:pStyle w:val="TableParagraph"/>
              <w:spacing w:before="56"/>
              <w:ind w:left="428"/>
              <w:rPr>
                <w:b/>
                <w:sz w:val="18"/>
              </w:rPr>
            </w:pPr>
            <w:r>
              <w:rPr>
                <w:b/>
                <w:spacing w:val="-4"/>
                <w:sz w:val="18"/>
              </w:rPr>
              <w:t>Related</w:t>
            </w:r>
            <w:r>
              <w:rPr>
                <w:b/>
                <w:sz w:val="18"/>
              </w:rPr>
              <w:t xml:space="preserve"> </w:t>
            </w:r>
            <w:r>
              <w:rPr>
                <w:b/>
                <w:spacing w:val="-4"/>
                <w:sz w:val="18"/>
              </w:rPr>
              <w:t>Party</w:t>
            </w:r>
            <w:r>
              <w:rPr>
                <w:b/>
                <w:sz w:val="18"/>
              </w:rPr>
              <w:t xml:space="preserve"> </w:t>
            </w:r>
            <w:r>
              <w:rPr>
                <w:b/>
                <w:spacing w:val="-4"/>
                <w:sz w:val="18"/>
              </w:rPr>
              <w:t>Transactions</w:t>
            </w:r>
          </w:p>
        </w:tc>
        <w:tc>
          <w:tcPr>
            <w:tcW w:w="1297" w:type="dxa"/>
            <w:tcBorders>
              <w:top w:val="single" w:sz="4" w:space="0" w:color="000000"/>
              <w:bottom w:val="single" w:sz="4" w:space="0" w:color="000000"/>
            </w:tcBorders>
          </w:tcPr>
          <w:p w14:paraId="1C3A75BE"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177</w:t>
            </w:r>
          </w:p>
        </w:tc>
      </w:tr>
      <w:tr w:rsidR="00AC6F3C" w14:paraId="675B0DA8" w14:textId="77777777">
        <w:trPr>
          <w:trHeight w:val="529"/>
        </w:trPr>
        <w:tc>
          <w:tcPr>
            <w:tcW w:w="1589" w:type="dxa"/>
            <w:vMerge/>
            <w:tcBorders>
              <w:top w:val="nil"/>
              <w:bottom w:val="single" w:sz="4" w:space="0" w:color="000000"/>
            </w:tcBorders>
          </w:tcPr>
          <w:p w14:paraId="36B24D55" w14:textId="77777777" w:rsidR="00AC6F3C" w:rsidRDefault="00AC6F3C">
            <w:pPr>
              <w:rPr>
                <w:sz w:val="2"/>
                <w:szCs w:val="2"/>
              </w:rPr>
            </w:pPr>
          </w:p>
        </w:tc>
        <w:tc>
          <w:tcPr>
            <w:tcW w:w="814" w:type="dxa"/>
            <w:tcBorders>
              <w:top w:val="single" w:sz="4" w:space="0" w:color="000000"/>
              <w:bottom w:val="single" w:sz="4" w:space="0" w:color="000000"/>
            </w:tcBorders>
          </w:tcPr>
          <w:p w14:paraId="714D7F4E" w14:textId="77777777" w:rsidR="00AC6F3C" w:rsidRDefault="00570E88">
            <w:pPr>
              <w:pStyle w:val="TableParagraph"/>
              <w:spacing w:before="56"/>
              <w:ind w:left="107"/>
              <w:rPr>
                <w:b/>
                <w:sz w:val="18"/>
              </w:rPr>
            </w:pPr>
            <w:r>
              <w:rPr>
                <w:b/>
                <w:spacing w:val="-5"/>
                <w:sz w:val="18"/>
              </w:rPr>
              <w:t>E2.</w:t>
            </w:r>
          </w:p>
        </w:tc>
        <w:tc>
          <w:tcPr>
            <w:tcW w:w="5406" w:type="dxa"/>
            <w:tcBorders>
              <w:top w:val="single" w:sz="4" w:space="0" w:color="000000"/>
              <w:bottom w:val="single" w:sz="4" w:space="0" w:color="000000"/>
            </w:tcBorders>
          </w:tcPr>
          <w:p w14:paraId="4519D3D7" w14:textId="77777777" w:rsidR="00AC6F3C" w:rsidRDefault="00570E88">
            <w:pPr>
              <w:pStyle w:val="TableParagraph"/>
              <w:spacing w:before="56"/>
              <w:ind w:left="428" w:right="423"/>
              <w:rPr>
                <w:b/>
                <w:sz w:val="18"/>
              </w:rPr>
            </w:pPr>
            <w:r>
              <w:rPr>
                <w:b/>
                <w:spacing w:val="-2"/>
                <w:sz w:val="18"/>
              </w:rPr>
              <w:t>First</w:t>
            </w:r>
            <w:r>
              <w:rPr>
                <w:b/>
                <w:spacing w:val="-11"/>
                <w:sz w:val="18"/>
              </w:rPr>
              <w:t xml:space="preserve"> </w:t>
            </w:r>
            <w:r>
              <w:rPr>
                <w:b/>
                <w:spacing w:val="-2"/>
                <w:sz w:val="18"/>
              </w:rPr>
              <w:t>Year</w:t>
            </w:r>
            <w:r>
              <w:rPr>
                <w:b/>
                <w:spacing w:val="-10"/>
                <w:sz w:val="18"/>
              </w:rPr>
              <w:t xml:space="preserve"> </w:t>
            </w:r>
            <w:r>
              <w:rPr>
                <w:b/>
                <w:spacing w:val="-2"/>
                <w:sz w:val="18"/>
              </w:rPr>
              <w:t>Application</w:t>
            </w:r>
            <w:r>
              <w:rPr>
                <w:b/>
                <w:spacing w:val="-11"/>
                <w:sz w:val="18"/>
              </w:rPr>
              <w:t xml:space="preserve"> </w:t>
            </w:r>
            <w:r>
              <w:rPr>
                <w:b/>
                <w:spacing w:val="-2"/>
                <w:sz w:val="18"/>
              </w:rPr>
              <w:t>of</w:t>
            </w:r>
            <w:r>
              <w:rPr>
                <w:b/>
                <w:spacing w:val="-10"/>
                <w:sz w:val="18"/>
              </w:rPr>
              <w:t xml:space="preserve"> </w:t>
            </w:r>
            <w:r>
              <w:rPr>
                <w:b/>
                <w:spacing w:val="-2"/>
                <w:sz w:val="18"/>
              </w:rPr>
              <w:t>New</w:t>
            </w:r>
            <w:r>
              <w:rPr>
                <w:b/>
                <w:spacing w:val="-11"/>
                <w:sz w:val="18"/>
              </w:rPr>
              <w:t xml:space="preserve"> </w:t>
            </w:r>
            <w:r>
              <w:rPr>
                <w:b/>
                <w:spacing w:val="-2"/>
                <w:sz w:val="18"/>
              </w:rPr>
              <w:t>Accounting</w:t>
            </w:r>
            <w:r>
              <w:rPr>
                <w:b/>
                <w:spacing w:val="-11"/>
                <w:sz w:val="18"/>
              </w:rPr>
              <w:t xml:space="preserve"> </w:t>
            </w:r>
            <w:r>
              <w:rPr>
                <w:b/>
                <w:spacing w:val="-2"/>
                <w:sz w:val="18"/>
              </w:rPr>
              <w:t>Standards</w:t>
            </w:r>
            <w:r>
              <w:rPr>
                <w:b/>
                <w:spacing w:val="-10"/>
                <w:sz w:val="18"/>
              </w:rPr>
              <w:t xml:space="preserve"> </w:t>
            </w:r>
            <w:r>
              <w:rPr>
                <w:b/>
                <w:spacing w:val="-2"/>
                <w:sz w:val="18"/>
              </w:rPr>
              <w:t xml:space="preserve">or </w:t>
            </w:r>
            <w:r>
              <w:rPr>
                <w:b/>
                <w:sz w:val="18"/>
              </w:rPr>
              <w:t>Change in Accounting Policy</w:t>
            </w:r>
          </w:p>
        </w:tc>
        <w:tc>
          <w:tcPr>
            <w:tcW w:w="1297" w:type="dxa"/>
            <w:tcBorders>
              <w:top w:val="single" w:sz="4" w:space="0" w:color="000000"/>
              <w:bottom w:val="single" w:sz="4" w:space="0" w:color="000000"/>
            </w:tcBorders>
          </w:tcPr>
          <w:p w14:paraId="0AE0A65E"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177</w:t>
            </w:r>
          </w:p>
        </w:tc>
      </w:tr>
      <w:tr w:rsidR="00AC6F3C" w14:paraId="03A99194" w14:textId="77777777">
        <w:trPr>
          <w:trHeight w:val="318"/>
        </w:trPr>
        <w:tc>
          <w:tcPr>
            <w:tcW w:w="1589" w:type="dxa"/>
            <w:vMerge/>
            <w:tcBorders>
              <w:top w:val="nil"/>
              <w:bottom w:val="single" w:sz="4" w:space="0" w:color="000000"/>
            </w:tcBorders>
          </w:tcPr>
          <w:p w14:paraId="2B27D800" w14:textId="77777777" w:rsidR="00AC6F3C" w:rsidRDefault="00AC6F3C">
            <w:pPr>
              <w:rPr>
                <w:sz w:val="2"/>
                <w:szCs w:val="2"/>
              </w:rPr>
            </w:pPr>
          </w:p>
        </w:tc>
        <w:tc>
          <w:tcPr>
            <w:tcW w:w="814" w:type="dxa"/>
            <w:tcBorders>
              <w:top w:val="single" w:sz="4" w:space="0" w:color="000000"/>
              <w:bottom w:val="single" w:sz="4" w:space="0" w:color="000000"/>
            </w:tcBorders>
          </w:tcPr>
          <w:p w14:paraId="3296360B" w14:textId="77777777" w:rsidR="00AC6F3C" w:rsidRDefault="00570E88">
            <w:pPr>
              <w:pStyle w:val="TableParagraph"/>
              <w:spacing w:before="54"/>
              <w:ind w:left="107"/>
              <w:rPr>
                <w:b/>
                <w:sz w:val="18"/>
              </w:rPr>
            </w:pPr>
            <w:r>
              <w:rPr>
                <w:b/>
                <w:spacing w:val="-5"/>
                <w:sz w:val="18"/>
              </w:rPr>
              <w:t>E3.</w:t>
            </w:r>
          </w:p>
        </w:tc>
        <w:tc>
          <w:tcPr>
            <w:tcW w:w="5406" w:type="dxa"/>
            <w:tcBorders>
              <w:top w:val="single" w:sz="4" w:space="0" w:color="000000"/>
              <w:bottom w:val="single" w:sz="4" w:space="0" w:color="000000"/>
            </w:tcBorders>
          </w:tcPr>
          <w:p w14:paraId="47A406C2" w14:textId="77777777" w:rsidR="00AC6F3C" w:rsidRDefault="00570E88">
            <w:pPr>
              <w:pStyle w:val="TableParagraph"/>
              <w:spacing w:before="54"/>
              <w:ind w:left="428"/>
              <w:rPr>
                <w:b/>
                <w:sz w:val="18"/>
              </w:rPr>
            </w:pPr>
            <w:r>
              <w:rPr>
                <w:b/>
                <w:spacing w:val="-2"/>
                <w:sz w:val="18"/>
              </w:rPr>
              <w:t>Taxation</w:t>
            </w:r>
          </w:p>
        </w:tc>
        <w:tc>
          <w:tcPr>
            <w:tcW w:w="1297" w:type="dxa"/>
            <w:tcBorders>
              <w:top w:val="single" w:sz="4" w:space="0" w:color="000000"/>
              <w:bottom w:val="single" w:sz="4" w:space="0" w:color="000000"/>
            </w:tcBorders>
          </w:tcPr>
          <w:p w14:paraId="7AA4143E" w14:textId="77777777" w:rsidR="00AC6F3C" w:rsidRDefault="00570E88">
            <w:pPr>
              <w:pStyle w:val="TableParagraph"/>
              <w:spacing w:before="54"/>
              <w:ind w:right="111"/>
              <w:jc w:val="right"/>
              <w:rPr>
                <w:b/>
                <w:sz w:val="18"/>
              </w:rPr>
            </w:pPr>
            <w:r>
              <w:rPr>
                <w:b/>
                <w:spacing w:val="-2"/>
                <w:sz w:val="18"/>
              </w:rPr>
              <w:t>Page</w:t>
            </w:r>
            <w:r>
              <w:rPr>
                <w:b/>
                <w:spacing w:val="-11"/>
                <w:sz w:val="18"/>
              </w:rPr>
              <w:t xml:space="preserve"> </w:t>
            </w:r>
            <w:r>
              <w:rPr>
                <w:b/>
                <w:spacing w:val="-5"/>
                <w:sz w:val="18"/>
              </w:rPr>
              <w:t>177</w:t>
            </w:r>
          </w:p>
        </w:tc>
      </w:tr>
      <w:tr w:rsidR="00AC6F3C" w14:paraId="799AF2C5" w14:textId="77777777">
        <w:trPr>
          <w:trHeight w:val="321"/>
        </w:trPr>
        <w:tc>
          <w:tcPr>
            <w:tcW w:w="1589" w:type="dxa"/>
          </w:tcPr>
          <w:p w14:paraId="1B428268" w14:textId="77777777" w:rsidR="00AC6F3C" w:rsidRDefault="00570E88">
            <w:pPr>
              <w:pStyle w:val="TableParagraph"/>
              <w:spacing w:before="51"/>
              <w:ind w:left="136"/>
              <w:rPr>
                <w:b/>
                <w:sz w:val="18"/>
              </w:rPr>
            </w:pPr>
            <w:r>
              <w:rPr>
                <w:b/>
                <w:spacing w:val="-2"/>
                <w:sz w:val="18"/>
              </w:rPr>
              <w:t>Certification</w:t>
            </w:r>
          </w:p>
        </w:tc>
        <w:tc>
          <w:tcPr>
            <w:tcW w:w="6220" w:type="dxa"/>
            <w:gridSpan w:val="2"/>
            <w:tcBorders>
              <w:bottom w:val="single" w:sz="4" w:space="0" w:color="000000"/>
            </w:tcBorders>
          </w:tcPr>
          <w:p w14:paraId="619186A1" w14:textId="77777777" w:rsidR="00AC6F3C" w:rsidRDefault="00570E88">
            <w:pPr>
              <w:pStyle w:val="TableParagraph"/>
              <w:spacing w:before="51"/>
              <w:ind w:left="107"/>
              <w:rPr>
                <w:b/>
                <w:sz w:val="18"/>
              </w:rPr>
            </w:pPr>
            <w:r>
              <w:rPr>
                <w:b/>
                <w:spacing w:val="-4"/>
                <w:sz w:val="18"/>
              </w:rPr>
              <w:t>Management</w:t>
            </w:r>
            <w:r>
              <w:rPr>
                <w:b/>
                <w:spacing w:val="3"/>
                <w:sz w:val="18"/>
              </w:rPr>
              <w:t xml:space="preserve"> </w:t>
            </w:r>
            <w:r>
              <w:rPr>
                <w:b/>
                <w:spacing w:val="-2"/>
                <w:sz w:val="18"/>
              </w:rPr>
              <w:t>Certificate</w:t>
            </w:r>
          </w:p>
        </w:tc>
        <w:tc>
          <w:tcPr>
            <w:tcW w:w="1297" w:type="dxa"/>
            <w:tcBorders>
              <w:bottom w:val="single" w:sz="4" w:space="0" w:color="000000"/>
            </w:tcBorders>
          </w:tcPr>
          <w:p w14:paraId="26E6A6D5" w14:textId="77777777" w:rsidR="00AC6F3C" w:rsidRDefault="00570E88">
            <w:pPr>
              <w:pStyle w:val="TableParagraph"/>
              <w:spacing w:before="51"/>
              <w:ind w:right="111"/>
              <w:jc w:val="right"/>
              <w:rPr>
                <w:b/>
                <w:sz w:val="18"/>
              </w:rPr>
            </w:pPr>
            <w:r>
              <w:rPr>
                <w:b/>
                <w:spacing w:val="-2"/>
                <w:sz w:val="18"/>
              </w:rPr>
              <w:t>Page</w:t>
            </w:r>
            <w:r>
              <w:rPr>
                <w:b/>
                <w:spacing w:val="-11"/>
                <w:sz w:val="18"/>
              </w:rPr>
              <w:t xml:space="preserve"> </w:t>
            </w:r>
            <w:r>
              <w:rPr>
                <w:b/>
                <w:spacing w:val="-5"/>
                <w:sz w:val="18"/>
              </w:rPr>
              <w:t>178</w:t>
            </w:r>
          </w:p>
        </w:tc>
      </w:tr>
      <w:tr w:rsidR="00AC6F3C" w14:paraId="47E4AA88" w14:textId="77777777">
        <w:trPr>
          <w:trHeight w:val="321"/>
        </w:trPr>
        <w:tc>
          <w:tcPr>
            <w:tcW w:w="1589" w:type="dxa"/>
            <w:tcBorders>
              <w:bottom w:val="single" w:sz="4" w:space="0" w:color="000000"/>
            </w:tcBorders>
          </w:tcPr>
          <w:p w14:paraId="48607503" w14:textId="77777777" w:rsidR="00AC6F3C" w:rsidRDefault="00AC6F3C">
            <w:pPr>
              <w:pStyle w:val="TableParagraph"/>
              <w:rPr>
                <w:rFonts w:ascii="Times New Roman"/>
                <w:sz w:val="18"/>
              </w:rPr>
            </w:pPr>
          </w:p>
        </w:tc>
        <w:tc>
          <w:tcPr>
            <w:tcW w:w="6220" w:type="dxa"/>
            <w:gridSpan w:val="2"/>
            <w:tcBorders>
              <w:top w:val="single" w:sz="4" w:space="0" w:color="000000"/>
              <w:bottom w:val="single" w:sz="4" w:space="0" w:color="000000"/>
            </w:tcBorders>
          </w:tcPr>
          <w:p w14:paraId="3775E143" w14:textId="77777777" w:rsidR="00AC6F3C" w:rsidRDefault="00570E88">
            <w:pPr>
              <w:pStyle w:val="TableParagraph"/>
              <w:spacing w:before="56"/>
              <w:ind w:left="107"/>
              <w:rPr>
                <w:b/>
                <w:sz w:val="18"/>
              </w:rPr>
            </w:pPr>
            <w:r>
              <w:rPr>
                <w:b/>
                <w:spacing w:val="-4"/>
                <w:sz w:val="18"/>
              </w:rPr>
              <w:t>Independent</w:t>
            </w:r>
            <w:r>
              <w:rPr>
                <w:b/>
                <w:spacing w:val="5"/>
                <w:sz w:val="18"/>
              </w:rPr>
              <w:t xml:space="preserve"> </w:t>
            </w:r>
            <w:r>
              <w:rPr>
                <w:b/>
                <w:spacing w:val="-4"/>
                <w:sz w:val="18"/>
              </w:rPr>
              <w:t>Auditor’s</w:t>
            </w:r>
            <w:r>
              <w:rPr>
                <w:b/>
                <w:spacing w:val="3"/>
                <w:sz w:val="18"/>
              </w:rPr>
              <w:t xml:space="preserve"> </w:t>
            </w:r>
            <w:r>
              <w:rPr>
                <w:b/>
                <w:spacing w:val="-4"/>
                <w:sz w:val="18"/>
              </w:rPr>
              <w:t>Report</w:t>
            </w:r>
          </w:p>
        </w:tc>
        <w:tc>
          <w:tcPr>
            <w:tcW w:w="1297" w:type="dxa"/>
            <w:tcBorders>
              <w:top w:val="single" w:sz="4" w:space="0" w:color="000000"/>
              <w:bottom w:val="single" w:sz="4" w:space="0" w:color="000000"/>
            </w:tcBorders>
          </w:tcPr>
          <w:p w14:paraId="404F93C4" w14:textId="77777777" w:rsidR="00AC6F3C" w:rsidRDefault="00570E88">
            <w:pPr>
              <w:pStyle w:val="TableParagraph"/>
              <w:spacing w:before="56"/>
              <w:ind w:right="111"/>
              <w:jc w:val="right"/>
              <w:rPr>
                <w:b/>
                <w:sz w:val="18"/>
              </w:rPr>
            </w:pPr>
            <w:r>
              <w:rPr>
                <w:b/>
                <w:spacing w:val="-2"/>
                <w:sz w:val="18"/>
              </w:rPr>
              <w:t>Page</w:t>
            </w:r>
            <w:r>
              <w:rPr>
                <w:b/>
                <w:spacing w:val="-11"/>
                <w:sz w:val="18"/>
              </w:rPr>
              <w:t xml:space="preserve"> </w:t>
            </w:r>
            <w:r>
              <w:rPr>
                <w:b/>
                <w:spacing w:val="-5"/>
                <w:sz w:val="18"/>
              </w:rPr>
              <w:t>179</w:t>
            </w:r>
          </w:p>
        </w:tc>
      </w:tr>
    </w:tbl>
    <w:p w14:paraId="2A6F0590" w14:textId="77777777" w:rsidR="00AC6F3C" w:rsidRDefault="00AC6F3C">
      <w:pPr>
        <w:jc w:val="right"/>
        <w:rPr>
          <w:sz w:val="18"/>
        </w:rPr>
        <w:sectPr w:rsidR="00AC6F3C">
          <w:type w:val="continuous"/>
          <w:pgSz w:w="11910" w:h="16840"/>
          <w:pgMar w:top="1920" w:right="1160" w:bottom="280" w:left="460" w:header="1297" w:footer="336" w:gutter="0"/>
          <w:cols w:space="720"/>
        </w:sectPr>
      </w:pPr>
    </w:p>
    <w:p w14:paraId="00353D35" w14:textId="77777777" w:rsidR="00AC6F3C" w:rsidRDefault="00570E88">
      <w:pPr>
        <w:ind w:left="979"/>
      </w:pPr>
      <w:r>
        <w:lastRenderedPageBreak/>
        <w:t>Statement</w:t>
      </w:r>
      <w:r>
        <w:rPr>
          <w:spacing w:val="-6"/>
        </w:rPr>
        <w:t xml:space="preserve"> </w:t>
      </w:r>
      <w:r>
        <w:t>of</w:t>
      </w:r>
      <w:r>
        <w:rPr>
          <w:spacing w:val="-3"/>
        </w:rPr>
        <w:t xml:space="preserve"> </w:t>
      </w:r>
      <w:r>
        <w:t>Comprehensive</w:t>
      </w:r>
      <w:r>
        <w:rPr>
          <w:spacing w:val="-4"/>
        </w:rPr>
        <w:t xml:space="preserve"> </w:t>
      </w:r>
      <w:r>
        <w:t>Income</w:t>
      </w:r>
      <w:r>
        <w:rPr>
          <w:spacing w:val="-5"/>
        </w:rPr>
        <w:t xml:space="preserve"> </w:t>
      </w:r>
      <w:r>
        <w:t>for</w:t>
      </w:r>
      <w:r>
        <w:rPr>
          <w:spacing w:val="-6"/>
        </w:rPr>
        <w:t xml:space="preserve"> </w:t>
      </w:r>
      <w:r>
        <w:t>the</w:t>
      </w:r>
      <w:r>
        <w:rPr>
          <w:spacing w:val="-4"/>
        </w:rPr>
        <w:t xml:space="preserve"> </w:t>
      </w:r>
      <w:r>
        <w:t>year</w:t>
      </w:r>
      <w:r>
        <w:rPr>
          <w:spacing w:val="-1"/>
        </w:rPr>
        <w:t xml:space="preserve"> </w:t>
      </w:r>
      <w:r>
        <w:t>ended</w:t>
      </w:r>
      <w:r>
        <w:rPr>
          <w:spacing w:val="-6"/>
        </w:rPr>
        <w:t xml:space="preserve"> </w:t>
      </w:r>
      <w:r>
        <w:t>30</w:t>
      </w:r>
      <w:r>
        <w:rPr>
          <w:spacing w:val="-3"/>
        </w:rPr>
        <w:t xml:space="preserve"> </w:t>
      </w:r>
      <w:r>
        <w:t>June</w:t>
      </w:r>
      <w:r>
        <w:rPr>
          <w:spacing w:val="-5"/>
        </w:rPr>
        <w:t xml:space="preserve"> </w:t>
      </w:r>
      <w:r>
        <w:rPr>
          <w:spacing w:val="-4"/>
        </w:rPr>
        <w:t>2023</w:t>
      </w:r>
    </w:p>
    <w:p w14:paraId="1579D035" w14:textId="77777777" w:rsidR="00AC6F3C" w:rsidRDefault="00570E88">
      <w:pPr>
        <w:pStyle w:val="BodyText"/>
        <w:spacing w:before="8"/>
        <w:rPr>
          <w:sz w:val="18"/>
        </w:rPr>
      </w:pPr>
      <w:r>
        <w:rPr>
          <w:noProof/>
        </w:rPr>
        <mc:AlternateContent>
          <mc:Choice Requires="wps">
            <w:drawing>
              <wp:anchor distT="0" distB="0" distL="0" distR="0" simplePos="0" relativeHeight="487692800" behindDoc="1" locked="0" layoutInCell="1" allowOverlap="1" wp14:anchorId="460E0F0D" wp14:editId="246440D6">
                <wp:simplePos x="0" y="0"/>
                <wp:positionH relativeFrom="page">
                  <wp:posOffset>896045</wp:posOffset>
                </wp:positionH>
                <wp:positionV relativeFrom="paragraph">
                  <wp:posOffset>151896</wp:posOffset>
                </wp:positionV>
                <wp:extent cx="5783580" cy="6350"/>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6350"/>
                        </a:xfrm>
                        <a:custGeom>
                          <a:avLst/>
                          <a:gdLst/>
                          <a:ahLst/>
                          <a:cxnLst/>
                          <a:rect l="l" t="t" r="r" b="b"/>
                          <a:pathLst>
                            <a:path w="5783580" h="6350">
                              <a:moveTo>
                                <a:pt x="5783148" y="6094"/>
                              </a:moveTo>
                              <a:lnTo>
                                <a:pt x="0" y="6094"/>
                              </a:lnTo>
                              <a:lnTo>
                                <a:pt x="0" y="0"/>
                              </a:lnTo>
                              <a:lnTo>
                                <a:pt x="5783148" y="0"/>
                              </a:lnTo>
                              <a:lnTo>
                                <a:pt x="578314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DE481" id="Graphic 791" o:spid="_x0000_s1026" style="position:absolute;margin-left:70.55pt;margin-top:11.95pt;width:455.4pt;height:.5pt;z-index:-15623680;visibility:visible;mso-wrap-style:square;mso-wrap-distance-left:0;mso-wrap-distance-top:0;mso-wrap-distance-right:0;mso-wrap-distance-bottom:0;mso-position-horizontal:absolute;mso-position-horizontal-relative:page;mso-position-vertical:absolute;mso-position-vertical-relative:text;v-text-anchor:top" coordsize="5783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" path="m5783148,6094l,6094,,,5783148,r,6094xe" fillcolor="black" stroked="f">
                <v:path arrowok="t"/>
                <w10:wrap type="topAndBottom" anchorx="page"/>
              </v:shape>
            </w:pict>
          </mc:Fallback>
        </mc:AlternateContent>
      </w:r>
    </w:p>
    <w:p w14:paraId="7D352C56" w14:textId="77777777" w:rsidR="00AC6F3C" w:rsidRDefault="00AC6F3C">
      <w:pPr>
        <w:pStyle w:val="BodyText"/>
      </w:pPr>
    </w:p>
    <w:p w14:paraId="7BF2D874" w14:textId="77777777" w:rsidR="00AC6F3C" w:rsidRDefault="00AC6F3C">
      <w:pPr>
        <w:pStyle w:val="BodyText"/>
      </w:pPr>
    </w:p>
    <w:p w14:paraId="2E66DE3E" w14:textId="77777777" w:rsidR="00AC6F3C" w:rsidRDefault="00AC6F3C">
      <w:pPr>
        <w:pStyle w:val="BodyText"/>
        <w:spacing w:before="9"/>
        <w:rPr>
          <w:sz w:val="13"/>
        </w:rPr>
      </w:pPr>
    </w:p>
    <w:tbl>
      <w:tblPr>
        <w:tblW w:w="0" w:type="auto"/>
        <w:tblInd w:w="994" w:type="dxa"/>
        <w:tblLayout w:type="fixed"/>
        <w:tblCellMar>
          <w:left w:w="0" w:type="dxa"/>
          <w:right w:w="0" w:type="dxa"/>
        </w:tblCellMar>
        <w:tblLook w:val="01E0" w:firstRow="1" w:lastRow="1" w:firstColumn="1" w:lastColumn="1" w:noHBand="0" w:noVBand="0"/>
      </w:tblPr>
      <w:tblGrid>
        <w:gridCol w:w="3996"/>
        <w:gridCol w:w="1492"/>
        <w:gridCol w:w="1662"/>
        <w:gridCol w:w="1640"/>
      </w:tblGrid>
      <w:tr w:rsidR="00AC6F3C" w14:paraId="6407FEA6" w14:textId="77777777">
        <w:trPr>
          <w:trHeight w:val="553"/>
        </w:trPr>
        <w:tc>
          <w:tcPr>
            <w:tcW w:w="5488" w:type="dxa"/>
            <w:gridSpan w:val="2"/>
            <w:tcBorders>
              <w:top w:val="single" w:sz="6" w:space="0" w:color="000000"/>
              <w:left w:val="single" w:sz="6" w:space="0" w:color="000000"/>
              <w:bottom w:val="single" w:sz="6" w:space="0" w:color="000000"/>
            </w:tcBorders>
            <w:shd w:val="clear" w:color="auto" w:fill="BEBEBE"/>
          </w:tcPr>
          <w:p w14:paraId="3B68ACFE" w14:textId="77777777" w:rsidR="00AC6F3C" w:rsidRDefault="00AC6F3C">
            <w:pPr>
              <w:pStyle w:val="TableParagraph"/>
              <w:spacing w:before="11"/>
              <w:rPr>
                <w:sz w:val="26"/>
              </w:rPr>
            </w:pPr>
          </w:p>
          <w:p w14:paraId="39C15627" w14:textId="77777777" w:rsidR="00AC6F3C" w:rsidRDefault="00570E88">
            <w:pPr>
              <w:pStyle w:val="TableParagraph"/>
              <w:ind w:right="564"/>
              <w:jc w:val="right"/>
              <w:rPr>
                <w:b/>
                <w:sz w:val="18"/>
              </w:rPr>
            </w:pPr>
            <w:r>
              <w:rPr>
                <w:b/>
                <w:spacing w:val="-2"/>
                <w:sz w:val="18"/>
              </w:rPr>
              <w:t>Notes</w:t>
            </w:r>
          </w:p>
        </w:tc>
        <w:tc>
          <w:tcPr>
            <w:tcW w:w="1662" w:type="dxa"/>
            <w:tcBorders>
              <w:top w:val="single" w:sz="6" w:space="0" w:color="000000"/>
              <w:bottom w:val="single" w:sz="6" w:space="0" w:color="000000"/>
            </w:tcBorders>
            <w:shd w:val="clear" w:color="auto" w:fill="BEBEBE"/>
          </w:tcPr>
          <w:p w14:paraId="4912F3C1" w14:textId="77777777" w:rsidR="00AC6F3C" w:rsidRDefault="00570E88">
            <w:pPr>
              <w:pStyle w:val="TableParagraph"/>
              <w:spacing w:before="25"/>
              <w:ind w:left="1205"/>
              <w:rPr>
                <w:b/>
                <w:sz w:val="18"/>
              </w:rPr>
            </w:pPr>
            <w:r>
              <w:rPr>
                <w:b/>
                <w:spacing w:val="-4"/>
                <w:sz w:val="18"/>
              </w:rPr>
              <w:t>2023</w:t>
            </w:r>
          </w:p>
          <w:p w14:paraId="771E07EE" w14:textId="77777777" w:rsidR="00AC6F3C" w:rsidRDefault="00570E88">
            <w:pPr>
              <w:pStyle w:val="TableParagraph"/>
              <w:spacing w:before="108" w:line="194" w:lineRule="exact"/>
              <w:ind w:left="1160"/>
              <w:rPr>
                <w:b/>
                <w:sz w:val="18"/>
              </w:rPr>
            </w:pPr>
            <w:r>
              <w:rPr>
                <w:b/>
                <w:spacing w:val="-2"/>
                <w:sz w:val="18"/>
              </w:rPr>
              <w:t>$'000</w:t>
            </w:r>
          </w:p>
        </w:tc>
        <w:tc>
          <w:tcPr>
            <w:tcW w:w="1640" w:type="dxa"/>
            <w:tcBorders>
              <w:top w:val="single" w:sz="6" w:space="0" w:color="000000"/>
              <w:bottom w:val="single" w:sz="6" w:space="0" w:color="000000"/>
              <w:right w:val="single" w:sz="6" w:space="0" w:color="000000"/>
            </w:tcBorders>
            <w:shd w:val="clear" w:color="auto" w:fill="BEBEBE"/>
          </w:tcPr>
          <w:p w14:paraId="562326FA" w14:textId="77777777" w:rsidR="00AC6F3C" w:rsidRDefault="00570E88">
            <w:pPr>
              <w:pStyle w:val="TableParagraph"/>
              <w:spacing w:before="25"/>
              <w:ind w:left="1190"/>
              <w:rPr>
                <w:b/>
                <w:sz w:val="18"/>
              </w:rPr>
            </w:pPr>
            <w:r>
              <w:rPr>
                <w:b/>
                <w:spacing w:val="-4"/>
                <w:sz w:val="18"/>
              </w:rPr>
              <w:t>2022</w:t>
            </w:r>
          </w:p>
          <w:p w14:paraId="1D9B25DB" w14:textId="77777777" w:rsidR="00AC6F3C" w:rsidRDefault="00570E88">
            <w:pPr>
              <w:pStyle w:val="TableParagraph"/>
              <w:spacing w:before="108" w:line="194" w:lineRule="exact"/>
              <w:ind w:left="1145"/>
              <w:rPr>
                <w:b/>
                <w:sz w:val="18"/>
              </w:rPr>
            </w:pPr>
            <w:r>
              <w:rPr>
                <w:b/>
                <w:spacing w:val="-2"/>
                <w:sz w:val="18"/>
              </w:rPr>
              <w:t>$'000</w:t>
            </w:r>
          </w:p>
        </w:tc>
      </w:tr>
      <w:tr w:rsidR="00AC6F3C" w14:paraId="5A776593" w14:textId="77777777">
        <w:trPr>
          <w:trHeight w:val="296"/>
        </w:trPr>
        <w:tc>
          <w:tcPr>
            <w:tcW w:w="3996" w:type="dxa"/>
            <w:tcBorders>
              <w:top w:val="single" w:sz="6" w:space="0" w:color="000000"/>
              <w:left w:val="single" w:sz="6" w:space="0" w:color="000000"/>
            </w:tcBorders>
          </w:tcPr>
          <w:p w14:paraId="21C11A12" w14:textId="77777777" w:rsidR="00AC6F3C" w:rsidRDefault="00570E88">
            <w:pPr>
              <w:pStyle w:val="TableParagraph"/>
              <w:spacing w:before="55"/>
              <w:ind w:left="37"/>
              <w:rPr>
                <w:b/>
                <w:sz w:val="18"/>
              </w:rPr>
            </w:pPr>
            <w:r>
              <w:rPr>
                <w:b/>
                <w:spacing w:val="-2"/>
                <w:sz w:val="18"/>
              </w:rPr>
              <w:t>Revenue</w:t>
            </w:r>
          </w:p>
        </w:tc>
        <w:tc>
          <w:tcPr>
            <w:tcW w:w="1492" w:type="dxa"/>
            <w:tcBorders>
              <w:top w:val="single" w:sz="6" w:space="0" w:color="000000"/>
            </w:tcBorders>
          </w:tcPr>
          <w:p w14:paraId="0811F05F" w14:textId="77777777" w:rsidR="00AC6F3C" w:rsidRDefault="00AC6F3C">
            <w:pPr>
              <w:pStyle w:val="TableParagraph"/>
              <w:rPr>
                <w:rFonts w:ascii="Times New Roman"/>
                <w:sz w:val="18"/>
              </w:rPr>
            </w:pPr>
          </w:p>
        </w:tc>
        <w:tc>
          <w:tcPr>
            <w:tcW w:w="1662" w:type="dxa"/>
            <w:tcBorders>
              <w:top w:val="single" w:sz="6" w:space="0" w:color="000000"/>
            </w:tcBorders>
            <w:shd w:val="clear" w:color="auto" w:fill="F1F1F1"/>
          </w:tcPr>
          <w:p w14:paraId="333F1918" w14:textId="77777777" w:rsidR="00AC6F3C" w:rsidRDefault="00AC6F3C">
            <w:pPr>
              <w:pStyle w:val="TableParagraph"/>
              <w:rPr>
                <w:rFonts w:ascii="Times New Roman"/>
                <w:sz w:val="18"/>
              </w:rPr>
            </w:pPr>
          </w:p>
        </w:tc>
        <w:tc>
          <w:tcPr>
            <w:tcW w:w="1640" w:type="dxa"/>
            <w:tcBorders>
              <w:top w:val="single" w:sz="6" w:space="0" w:color="000000"/>
              <w:right w:val="single" w:sz="6" w:space="0" w:color="000000"/>
            </w:tcBorders>
          </w:tcPr>
          <w:p w14:paraId="16B28A7C" w14:textId="77777777" w:rsidR="00AC6F3C" w:rsidRDefault="00AC6F3C">
            <w:pPr>
              <w:pStyle w:val="TableParagraph"/>
              <w:rPr>
                <w:rFonts w:ascii="Times New Roman"/>
                <w:sz w:val="18"/>
              </w:rPr>
            </w:pPr>
          </w:p>
        </w:tc>
      </w:tr>
      <w:tr w:rsidR="00AC6F3C" w14:paraId="12DABB3D" w14:textId="77777777">
        <w:trPr>
          <w:trHeight w:val="256"/>
        </w:trPr>
        <w:tc>
          <w:tcPr>
            <w:tcW w:w="3996" w:type="dxa"/>
            <w:tcBorders>
              <w:left w:val="single" w:sz="6" w:space="0" w:color="000000"/>
            </w:tcBorders>
          </w:tcPr>
          <w:p w14:paraId="3180B0E3" w14:textId="77777777" w:rsidR="00AC6F3C" w:rsidRDefault="00570E88">
            <w:pPr>
              <w:pStyle w:val="TableParagraph"/>
              <w:spacing w:before="28"/>
              <w:ind w:left="37"/>
              <w:rPr>
                <w:sz w:val="18"/>
              </w:rPr>
            </w:pPr>
            <w:r>
              <w:rPr>
                <w:sz w:val="18"/>
              </w:rPr>
              <w:t>Insurance</w:t>
            </w:r>
            <w:r>
              <w:rPr>
                <w:spacing w:val="16"/>
                <w:sz w:val="18"/>
              </w:rPr>
              <w:t xml:space="preserve"> </w:t>
            </w:r>
            <w:r>
              <w:rPr>
                <w:spacing w:val="-2"/>
                <w:sz w:val="18"/>
              </w:rPr>
              <w:t>levies</w:t>
            </w:r>
          </w:p>
        </w:tc>
        <w:tc>
          <w:tcPr>
            <w:tcW w:w="1492" w:type="dxa"/>
          </w:tcPr>
          <w:p w14:paraId="310ED14D" w14:textId="77777777" w:rsidR="00AC6F3C" w:rsidRDefault="00570E88">
            <w:pPr>
              <w:pStyle w:val="TableParagraph"/>
              <w:spacing w:before="28"/>
              <w:ind w:left="496"/>
              <w:rPr>
                <w:sz w:val="18"/>
              </w:rPr>
            </w:pPr>
            <w:r>
              <w:rPr>
                <w:spacing w:val="-2"/>
                <w:sz w:val="18"/>
              </w:rPr>
              <w:t>B1-</w:t>
            </w:r>
            <w:r>
              <w:rPr>
                <w:spacing w:val="-10"/>
                <w:sz w:val="18"/>
              </w:rPr>
              <w:t>1</w:t>
            </w:r>
          </w:p>
        </w:tc>
        <w:tc>
          <w:tcPr>
            <w:tcW w:w="1662" w:type="dxa"/>
            <w:tcBorders>
              <w:bottom w:val="single" w:sz="6" w:space="0" w:color="000000"/>
            </w:tcBorders>
            <w:shd w:val="clear" w:color="auto" w:fill="F1F1F1"/>
          </w:tcPr>
          <w:p w14:paraId="208052D6" w14:textId="77777777" w:rsidR="00AC6F3C" w:rsidRDefault="00570E88">
            <w:pPr>
              <w:pStyle w:val="TableParagraph"/>
              <w:spacing w:before="28"/>
              <w:ind w:right="35"/>
              <w:jc w:val="right"/>
              <w:rPr>
                <w:sz w:val="18"/>
              </w:rPr>
            </w:pPr>
            <w:r>
              <w:rPr>
                <w:spacing w:val="-2"/>
                <w:sz w:val="18"/>
              </w:rPr>
              <w:t>30,028</w:t>
            </w:r>
          </w:p>
        </w:tc>
        <w:tc>
          <w:tcPr>
            <w:tcW w:w="1640" w:type="dxa"/>
            <w:tcBorders>
              <w:bottom w:val="single" w:sz="6" w:space="0" w:color="000000"/>
              <w:right w:val="single" w:sz="6" w:space="0" w:color="000000"/>
            </w:tcBorders>
          </w:tcPr>
          <w:p w14:paraId="75F6A9BD" w14:textId="77777777" w:rsidR="00AC6F3C" w:rsidRDefault="00570E88">
            <w:pPr>
              <w:pStyle w:val="TableParagraph"/>
              <w:spacing w:before="28"/>
              <w:ind w:right="20"/>
              <w:jc w:val="right"/>
              <w:rPr>
                <w:sz w:val="18"/>
              </w:rPr>
            </w:pPr>
            <w:r>
              <w:rPr>
                <w:spacing w:val="-2"/>
                <w:sz w:val="18"/>
              </w:rPr>
              <w:t>26,375</w:t>
            </w:r>
          </w:p>
        </w:tc>
      </w:tr>
      <w:tr w:rsidR="00AC6F3C" w14:paraId="1C9DEF0C" w14:textId="77777777">
        <w:trPr>
          <w:trHeight w:val="446"/>
        </w:trPr>
        <w:tc>
          <w:tcPr>
            <w:tcW w:w="3996" w:type="dxa"/>
            <w:tcBorders>
              <w:left w:val="single" w:sz="6" w:space="0" w:color="000000"/>
            </w:tcBorders>
          </w:tcPr>
          <w:p w14:paraId="6C4DC523" w14:textId="77777777" w:rsidR="00AC6F3C" w:rsidRDefault="00570E88">
            <w:pPr>
              <w:pStyle w:val="TableParagraph"/>
              <w:spacing w:before="55"/>
              <w:ind w:left="37"/>
              <w:rPr>
                <w:b/>
                <w:sz w:val="18"/>
              </w:rPr>
            </w:pPr>
            <w:r>
              <w:rPr>
                <w:b/>
                <w:spacing w:val="-4"/>
                <w:sz w:val="18"/>
              </w:rPr>
              <w:t xml:space="preserve">Total </w:t>
            </w:r>
            <w:r>
              <w:rPr>
                <w:b/>
                <w:spacing w:val="-2"/>
                <w:sz w:val="18"/>
              </w:rPr>
              <w:t>levies</w:t>
            </w:r>
          </w:p>
        </w:tc>
        <w:tc>
          <w:tcPr>
            <w:tcW w:w="1492" w:type="dxa"/>
          </w:tcPr>
          <w:p w14:paraId="7E90AF78" w14:textId="77777777" w:rsidR="00AC6F3C" w:rsidRDefault="00AC6F3C">
            <w:pPr>
              <w:pStyle w:val="TableParagraph"/>
              <w:rPr>
                <w:rFonts w:ascii="Times New Roman"/>
                <w:sz w:val="18"/>
              </w:rPr>
            </w:pPr>
          </w:p>
        </w:tc>
        <w:tc>
          <w:tcPr>
            <w:tcW w:w="1662" w:type="dxa"/>
            <w:tcBorders>
              <w:top w:val="single" w:sz="6" w:space="0" w:color="000000"/>
            </w:tcBorders>
            <w:shd w:val="clear" w:color="auto" w:fill="F1F1F1"/>
          </w:tcPr>
          <w:p w14:paraId="0FA89432" w14:textId="77777777" w:rsidR="00AC6F3C" w:rsidRDefault="00570E88">
            <w:pPr>
              <w:pStyle w:val="TableParagraph"/>
              <w:spacing w:before="55"/>
              <w:ind w:right="35"/>
              <w:jc w:val="right"/>
              <w:rPr>
                <w:b/>
                <w:sz w:val="18"/>
              </w:rPr>
            </w:pPr>
            <w:r>
              <w:rPr>
                <w:b/>
                <w:spacing w:val="-2"/>
                <w:sz w:val="18"/>
              </w:rPr>
              <w:t>30,028</w:t>
            </w:r>
          </w:p>
        </w:tc>
        <w:tc>
          <w:tcPr>
            <w:tcW w:w="1640" w:type="dxa"/>
            <w:tcBorders>
              <w:top w:val="single" w:sz="6" w:space="0" w:color="000000"/>
              <w:right w:val="single" w:sz="6" w:space="0" w:color="000000"/>
            </w:tcBorders>
          </w:tcPr>
          <w:p w14:paraId="5149F08B" w14:textId="77777777" w:rsidR="00AC6F3C" w:rsidRDefault="00570E88">
            <w:pPr>
              <w:pStyle w:val="TableParagraph"/>
              <w:spacing w:before="55"/>
              <w:ind w:right="20"/>
              <w:jc w:val="right"/>
              <w:rPr>
                <w:b/>
                <w:sz w:val="18"/>
              </w:rPr>
            </w:pPr>
            <w:r>
              <w:rPr>
                <w:b/>
                <w:spacing w:val="-2"/>
                <w:sz w:val="18"/>
              </w:rPr>
              <w:t>26,375</w:t>
            </w:r>
          </w:p>
        </w:tc>
      </w:tr>
      <w:tr w:rsidR="00AC6F3C" w14:paraId="50551AA1" w14:textId="77777777">
        <w:trPr>
          <w:trHeight w:val="419"/>
        </w:trPr>
        <w:tc>
          <w:tcPr>
            <w:tcW w:w="3996" w:type="dxa"/>
            <w:tcBorders>
              <w:left w:val="single" w:sz="6" w:space="0" w:color="000000"/>
            </w:tcBorders>
          </w:tcPr>
          <w:p w14:paraId="71E85E12" w14:textId="77777777" w:rsidR="00AC6F3C" w:rsidRDefault="00570E88">
            <w:pPr>
              <w:pStyle w:val="TableParagraph"/>
              <w:spacing w:before="178"/>
              <w:ind w:left="37"/>
              <w:rPr>
                <w:b/>
                <w:sz w:val="18"/>
              </w:rPr>
            </w:pPr>
            <w:r>
              <w:rPr>
                <w:b/>
                <w:spacing w:val="-2"/>
                <w:sz w:val="18"/>
              </w:rPr>
              <w:t>Other</w:t>
            </w:r>
            <w:r>
              <w:rPr>
                <w:b/>
                <w:spacing w:val="-4"/>
                <w:sz w:val="18"/>
              </w:rPr>
              <w:t xml:space="preserve"> </w:t>
            </w:r>
            <w:r>
              <w:rPr>
                <w:b/>
                <w:spacing w:val="-2"/>
                <w:sz w:val="18"/>
              </w:rPr>
              <w:t>income</w:t>
            </w:r>
          </w:p>
        </w:tc>
        <w:tc>
          <w:tcPr>
            <w:tcW w:w="1492" w:type="dxa"/>
          </w:tcPr>
          <w:p w14:paraId="7A6DDA03" w14:textId="77777777" w:rsidR="00AC6F3C" w:rsidRDefault="00AC6F3C">
            <w:pPr>
              <w:pStyle w:val="TableParagraph"/>
              <w:rPr>
                <w:rFonts w:ascii="Times New Roman"/>
                <w:sz w:val="18"/>
              </w:rPr>
            </w:pPr>
          </w:p>
        </w:tc>
        <w:tc>
          <w:tcPr>
            <w:tcW w:w="1662" w:type="dxa"/>
            <w:shd w:val="clear" w:color="auto" w:fill="F1F1F1"/>
          </w:tcPr>
          <w:p w14:paraId="6351A07F" w14:textId="77777777" w:rsidR="00AC6F3C" w:rsidRDefault="00AC6F3C">
            <w:pPr>
              <w:pStyle w:val="TableParagraph"/>
              <w:rPr>
                <w:rFonts w:ascii="Times New Roman"/>
                <w:sz w:val="18"/>
              </w:rPr>
            </w:pPr>
          </w:p>
        </w:tc>
        <w:tc>
          <w:tcPr>
            <w:tcW w:w="1640" w:type="dxa"/>
            <w:tcBorders>
              <w:right w:val="single" w:sz="6" w:space="0" w:color="000000"/>
            </w:tcBorders>
          </w:tcPr>
          <w:p w14:paraId="4D870845" w14:textId="77777777" w:rsidR="00AC6F3C" w:rsidRDefault="00AC6F3C">
            <w:pPr>
              <w:pStyle w:val="TableParagraph"/>
              <w:rPr>
                <w:rFonts w:ascii="Times New Roman"/>
                <w:sz w:val="18"/>
              </w:rPr>
            </w:pPr>
          </w:p>
        </w:tc>
      </w:tr>
      <w:tr w:rsidR="00AC6F3C" w14:paraId="114E66A3" w14:textId="77777777">
        <w:trPr>
          <w:trHeight w:val="276"/>
        </w:trPr>
        <w:tc>
          <w:tcPr>
            <w:tcW w:w="3996" w:type="dxa"/>
            <w:tcBorders>
              <w:left w:val="single" w:sz="6" w:space="0" w:color="000000"/>
            </w:tcBorders>
          </w:tcPr>
          <w:p w14:paraId="6BEB6AFA" w14:textId="77777777" w:rsidR="00AC6F3C" w:rsidRDefault="00570E88">
            <w:pPr>
              <w:pStyle w:val="TableParagraph"/>
              <w:spacing w:before="28"/>
              <w:ind w:left="37"/>
              <w:rPr>
                <w:sz w:val="18"/>
              </w:rPr>
            </w:pPr>
            <w:r>
              <w:rPr>
                <w:sz w:val="18"/>
              </w:rPr>
              <w:t>Interest</w:t>
            </w:r>
            <w:r>
              <w:rPr>
                <w:spacing w:val="-3"/>
                <w:sz w:val="18"/>
              </w:rPr>
              <w:t xml:space="preserve"> </w:t>
            </w:r>
            <w:r>
              <w:rPr>
                <w:spacing w:val="-2"/>
                <w:sz w:val="18"/>
              </w:rPr>
              <w:t>income</w:t>
            </w:r>
          </w:p>
        </w:tc>
        <w:tc>
          <w:tcPr>
            <w:tcW w:w="1492" w:type="dxa"/>
          </w:tcPr>
          <w:p w14:paraId="4173E684" w14:textId="77777777" w:rsidR="00AC6F3C" w:rsidRDefault="00AC6F3C">
            <w:pPr>
              <w:pStyle w:val="TableParagraph"/>
              <w:rPr>
                <w:rFonts w:ascii="Times New Roman"/>
                <w:sz w:val="18"/>
              </w:rPr>
            </w:pPr>
          </w:p>
        </w:tc>
        <w:tc>
          <w:tcPr>
            <w:tcW w:w="1662" w:type="dxa"/>
            <w:shd w:val="clear" w:color="auto" w:fill="F1F1F1"/>
          </w:tcPr>
          <w:p w14:paraId="165F2CCC" w14:textId="77777777" w:rsidR="00AC6F3C" w:rsidRDefault="00570E88">
            <w:pPr>
              <w:pStyle w:val="TableParagraph"/>
              <w:spacing w:before="28"/>
              <w:ind w:right="35"/>
              <w:jc w:val="right"/>
              <w:rPr>
                <w:sz w:val="18"/>
              </w:rPr>
            </w:pPr>
            <w:r>
              <w:rPr>
                <w:spacing w:val="-5"/>
                <w:sz w:val="18"/>
              </w:rPr>
              <w:t>37</w:t>
            </w:r>
          </w:p>
        </w:tc>
        <w:tc>
          <w:tcPr>
            <w:tcW w:w="1640" w:type="dxa"/>
            <w:tcBorders>
              <w:right w:val="single" w:sz="6" w:space="0" w:color="000000"/>
            </w:tcBorders>
          </w:tcPr>
          <w:p w14:paraId="5C465597" w14:textId="77777777" w:rsidR="00AC6F3C" w:rsidRDefault="00570E88">
            <w:pPr>
              <w:pStyle w:val="TableParagraph"/>
              <w:spacing w:before="28"/>
              <w:ind w:right="25"/>
              <w:jc w:val="right"/>
              <w:rPr>
                <w:sz w:val="18"/>
              </w:rPr>
            </w:pPr>
            <w:r>
              <w:rPr>
                <w:w w:val="99"/>
                <w:sz w:val="18"/>
              </w:rPr>
              <w:t>1</w:t>
            </w:r>
          </w:p>
        </w:tc>
      </w:tr>
      <w:tr w:rsidR="00AC6F3C" w14:paraId="3D8BB922" w14:textId="77777777">
        <w:trPr>
          <w:trHeight w:val="284"/>
        </w:trPr>
        <w:tc>
          <w:tcPr>
            <w:tcW w:w="3996" w:type="dxa"/>
            <w:tcBorders>
              <w:left w:val="single" w:sz="6" w:space="0" w:color="000000"/>
            </w:tcBorders>
          </w:tcPr>
          <w:p w14:paraId="07C43A75" w14:textId="77777777" w:rsidR="00AC6F3C" w:rsidRDefault="00570E88">
            <w:pPr>
              <w:pStyle w:val="TableParagraph"/>
              <w:spacing w:before="35"/>
              <w:ind w:left="37"/>
              <w:rPr>
                <w:sz w:val="18"/>
              </w:rPr>
            </w:pPr>
            <w:r>
              <w:rPr>
                <w:sz w:val="18"/>
              </w:rPr>
              <w:t xml:space="preserve">Investment </w:t>
            </w:r>
            <w:r>
              <w:rPr>
                <w:spacing w:val="-2"/>
                <w:sz w:val="18"/>
              </w:rPr>
              <w:t>income</w:t>
            </w:r>
          </w:p>
        </w:tc>
        <w:tc>
          <w:tcPr>
            <w:tcW w:w="1492" w:type="dxa"/>
          </w:tcPr>
          <w:p w14:paraId="0E0359AC" w14:textId="77777777" w:rsidR="00AC6F3C" w:rsidRDefault="00AC6F3C">
            <w:pPr>
              <w:pStyle w:val="TableParagraph"/>
              <w:rPr>
                <w:rFonts w:ascii="Times New Roman"/>
                <w:sz w:val="18"/>
              </w:rPr>
            </w:pPr>
          </w:p>
        </w:tc>
        <w:tc>
          <w:tcPr>
            <w:tcW w:w="1662" w:type="dxa"/>
            <w:shd w:val="clear" w:color="auto" w:fill="F1F1F1"/>
          </w:tcPr>
          <w:p w14:paraId="3193D3AF" w14:textId="77777777" w:rsidR="00AC6F3C" w:rsidRDefault="00570E88">
            <w:pPr>
              <w:pStyle w:val="TableParagraph"/>
              <w:spacing w:before="35"/>
              <w:ind w:right="35"/>
              <w:jc w:val="right"/>
              <w:rPr>
                <w:sz w:val="18"/>
              </w:rPr>
            </w:pPr>
            <w:r>
              <w:rPr>
                <w:spacing w:val="-2"/>
                <w:sz w:val="18"/>
              </w:rPr>
              <w:t>1,204</w:t>
            </w:r>
          </w:p>
        </w:tc>
        <w:tc>
          <w:tcPr>
            <w:tcW w:w="1640" w:type="dxa"/>
            <w:tcBorders>
              <w:right w:val="single" w:sz="6" w:space="0" w:color="000000"/>
            </w:tcBorders>
          </w:tcPr>
          <w:p w14:paraId="0F2C9CE5" w14:textId="77777777" w:rsidR="00AC6F3C" w:rsidRDefault="00570E88">
            <w:pPr>
              <w:pStyle w:val="TableParagraph"/>
              <w:spacing w:before="35"/>
              <w:ind w:right="20"/>
              <w:jc w:val="right"/>
              <w:rPr>
                <w:sz w:val="18"/>
              </w:rPr>
            </w:pPr>
            <w:r>
              <w:rPr>
                <w:spacing w:val="-2"/>
                <w:sz w:val="18"/>
              </w:rPr>
              <w:t>4,467</w:t>
            </w:r>
          </w:p>
        </w:tc>
      </w:tr>
      <w:tr w:rsidR="00AC6F3C" w14:paraId="61C99FBD" w14:textId="77777777">
        <w:trPr>
          <w:trHeight w:val="284"/>
        </w:trPr>
        <w:tc>
          <w:tcPr>
            <w:tcW w:w="3996" w:type="dxa"/>
            <w:tcBorders>
              <w:left w:val="single" w:sz="6" w:space="0" w:color="000000"/>
            </w:tcBorders>
          </w:tcPr>
          <w:p w14:paraId="344A332E" w14:textId="77777777" w:rsidR="00AC6F3C" w:rsidRDefault="00570E88">
            <w:pPr>
              <w:pStyle w:val="TableParagraph"/>
              <w:spacing w:before="35"/>
              <w:ind w:left="37"/>
              <w:rPr>
                <w:sz w:val="18"/>
              </w:rPr>
            </w:pPr>
            <w:proofErr w:type="spellStart"/>
            <w:r>
              <w:rPr>
                <w:sz w:val="18"/>
              </w:rPr>
              <w:t>Realised</w:t>
            </w:r>
            <w:proofErr w:type="spellEnd"/>
            <w:r>
              <w:rPr>
                <w:spacing w:val="35"/>
                <w:sz w:val="18"/>
              </w:rPr>
              <w:t xml:space="preserve"> </w:t>
            </w:r>
            <w:r>
              <w:rPr>
                <w:sz w:val="18"/>
              </w:rPr>
              <w:t>gains/(losses)</w:t>
            </w:r>
            <w:r>
              <w:rPr>
                <w:spacing w:val="27"/>
                <w:sz w:val="18"/>
              </w:rPr>
              <w:t xml:space="preserve"> </w:t>
            </w:r>
            <w:r>
              <w:rPr>
                <w:sz w:val="18"/>
              </w:rPr>
              <w:t>on</w:t>
            </w:r>
            <w:r>
              <w:rPr>
                <w:spacing w:val="35"/>
                <w:sz w:val="18"/>
              </w:rPr>
              <w:t xml:space="preserve"> </w:t>
            </w:r>
            <w:r>
              <w:rPr>
                <w:spacing w:val="-2"/>
                <w:sz w:val="18"/>
              </w:rPr>
              <w:t>investments</w:t>
            </w:r>
          </w:p>
        </w:tc>
        <w:tc>
          <w:tcPr>
            <w:tcW w:w="1492" w:type="dxa"/>
          </w:tcPr>
          <w:p w14:paraId="1D9A3FC8" w14:textId="77777777" w:rsidR="00AC6F3C" w:rsidRDefault="00AC6F3C">
            <w:pPr>
              <w:pStyle w:val="TableParagraph"/>
              <w:rPr>
                <w:rFonts w:ascii="Times New Roman"/>
                <w:sz w:val="18"/>
              </w:rPr>
            </w:pPr>
          </w:p>
        </w:tc>
        <w:tc>
          <w:tcPr>
            <w:tcW w:w="1662" w:type="dxa"/>
            <w:shd w:val="clear" w:color="auto" w:fill="F1F1F1"/>
          </w:tcPr>
          <w:p w14:paraId="418DADDA" w14:textId="77777777" w:rsidR="00AC6F3C" w:rsidRDefault="00570E88">
            <w:pPr>
              <w:pStyle w:val="TableParagraph"/>
              <w:spacing w:before="35"/>
              <w:ind w:right="35"/>
              <w:jc w:val="right"/>
              <w:rPr>
                <w:sz w:val="18"/>
              </w:rPr>
            </w:pPr>
            <w:r>
              <w:rPr>
                <w:spacing w:val="-5"/>
                <w:sz w:val="18"/>
              </w:rPr>
              <w:t>192</w:t>
            </w:r>
          </w:p>
        </w:tc>
        <w:tc>
          <w:tcPr>
            <w:tcW w:w="1640" w:type="dxa"/>
            <w:tcBorders>
              <w:right w:val="single" w:sz="6" w:space="0" w:color="000000"/>
            </w:tcBorders>
          </w:tcPr>
          <w:p w14:paraId="735367FF" w14:textId="77777777" w:rsidR="00AC6F3C" w:rsidRDefault="00570E88">
            <w:pPr>
              <w:pStyle w:val="TableParagraph"/>
              <w:spacing w:before="35"/>
              <w:ind w:right="20"/>
              <w:jc w:val="right"/>
              <w:rPr>
                <w:sz w:val="18"/>
              </w:rPr>
            </w:pPr>
            <w:r>
              <w:rPr>
                <w:spacing w:val="-5"/>
                <w:sz w:val="18"/>
              </w:rPr>
              <w:t>686</w:t>
            </w:r>
          </w:p>
        </w:tc>
      </w:tr>
      <w:tr w:rsidR="00AC6F3C" w14:paraId="2A74330A" w14:textId="77777777">
        <w:trPr>
          <w:trHeight w:val="284"/>
        </w:trPr>
        <w:tc>
          <w:tcPr>
            <w:tcW w:w="3996" w:type="dxa"/>
            <w:tcBorders>
              <w:left w:val="single" w:sz="6" w:space="0" w:color="000000"/>
            </w:tcBorders>
          </w:tcPr>
          <w:p w14:paraId="0F020A7A" w14:textId="77777777" w:rsidR="00AC6F3C" w:rsidRDefault="00570E88">
            <w:pPr>
              <w:pStyle w:val="TableParagraph"/>
              <w:spacing w:before="35"/>
              <w:ind w:left="37"/>
              <w:rPr>
                <w:sz w:val="18"/>
              </w:rPr>
            </w:pPr>
            <w:r>
              <w:rPr>
                <w:sz w:val="18"/>
              </w:rPr>
              <w:t>Fair</w:t>
            </w:r>
            <w:r>
              <w:rPr>
                <w:spacing w:val="9"/>
                <w:sz w:val="18"/>
              </w:rPr>
              <w:t xml:space="preserve"> </w:t>
            </w:r>
            <w:r>
              <w:rPr>
                <w:sz w:val="18"/>
              </w:rPr>
              <w:t>value</w:t>
            </w:r>
            <w:r>
              <w:rPr>
                <w:spacing w:val="17"/>
                <w:sz w:val="18"/>
              </w:rPr>
              <w:t xml:space="preserve"> </w:t>
            </w:r>
            <w:r>
              <w:rPr>
                <w:sz w:val="18"/>
              </w:rPr>
              <w:t>gains/(losses)</w:t>
            </w:r>
            <w:r>
              <w:rPr>
                <w:spacing w:val="9"/>
                <w:sz w:val="18"/>
              </w:rPr>
              <w:t xml:space="preserve"> </w:t>
            </w:r>
            <w:r>
              <w:rPr>
                <w:sz w:val="18"/>
              </w:rPr>
              <w:t>on</w:t>
            </w:r>
            <w:r>
              <w:rPr>
                <w:spacing w:val="17"/>
                <w:sz w:val="18"/>
              </w:rPr>
              <w:t xml:space="preserve"> </w:t>
            </w:r>
            <w:r>
              <w:rPr>
                <w:spacing w:val="-2"/>
                <w:sz w:val="18"/>
              </w:rPr>
              <w:t>investments</w:t>
            </w:r>
          </w:p>
        </w:tc>
        <w:tc>
          <w:tcPr>
            <w:tcW w:w="1492" w:type="dxa"/>
          </w:tcPr>
          <w:p w14:paraId="5C58A49D" w14:textId="77777777" w:rsidR="00AC6F3C" w:rsidRDefault="00AC6F3C">
            <w:pPr>
              <w:pStyle w:val="TableParagraph"/>
              <w:rPr>
                <w:rFonts w:ascii="Times New Roman"/>
                <w:sz w:val="18"/>
              </w:rPr>
            </w:pPr>
          </w:p>
        </w:tc>
        <w:tc>
          <w:tcPr>
            <w:tcW w:w="1662" w:type="dxa"/>
            <w:shd w:val="clear" w:color="auto" w:fill="F1F1F1"/>
          </w:tcPr>
          <w:p w14:paraId="4FB00103" w14:textId="77777777" w:rsidR="00AC6F3C" w:rsidRDefault="00570E88">
            <w:pPr>
              <w:pStyle w:val="TableParagraph"/>
              <w:spacing w:before="35"/>
              <w:ind w:right="35"/>
              <w:jc w:val="right"/>
              <w:rPr>
                <w:sz w:val="18"/>
              </w:rPr>
            </w:pPr>
            <w:r>
              <w:rPr>
                <w:spacing w:val="-2"/>
                <w:sz w:val="18"/>
              </w:rPr>
              <w:t>2,411</w:t>
            </w:r>
          </w:p>
        </w:tc>
        <w:tc>
          <w:tcPr>
            <w:tcW w:w="1640" w:type="dxa"/>
            <w:tcBorders>
              <w:right w:val="single" w:sz="6" w:space="0" w:color="000000"/>
            </w:tcBorders>
          </w:tcPr>
          <w:p w14:paraId="2E23B219" w14:textId="77777777" w:rsidR="00AC6F3C" w:rsidRDefault="00570E88">
            <w:pPr>
              <w:pStyle w:val="TableParagraph"/>
              <w:spacing w:before="35"/>
              <w:ind w:right="15"/>
              <w:jc w:val="right"/>
              <w:rPr>
                <w:sz w:val="18"/>
              </w:rPr>
            </w:pPr>
            <w:r>
              <w:rPr>
                <w:spacing w:val="-2"/>
                <w:sz w:val="18"/>
              </w:rPr>
              <w:t>(7,400)</w:t>
            </w:r>
          </w:p>
        </w:tc>
      </w:tr>
      <w:tr w:rsidR="00AC6F3C" w14:paraId="7FDBD165" w14:textId="77777777">
        <w:trPr>
          <w:trHeight w:val="264"/>
        </w:trPr>
        <w:tc>
          <w:tcPr>
            <w:tcW w:w="3996" w:type="dxa"/>
            <w:tcBorders>
              <w:left w:val="single" w:sz="6" w:space="0" w:color="000000"/>
            </w:tcBorders>
          </w:tcPr>
          <w:p w14:paraId="46D6C4D3" w14:textId="77777777" w:rsidR="00AC6F3C" w:rsidRDefault="00570E88">
            <w:pPr>
              <w:pStyle w:val="TableParagraph"/>
              <w:spacing w:before="35"/>
              <w:ind w:left="37"/>
              <w:rPr>
                <w:sz w:val="18"/>
              </w:rPr>
            </w:pPr>
            <w:r>
              <w:rPr>
                <w:sz w:val="18"/>
              </w:rPr>
              <w:t>Other</w:t>
            </w:r>
            <w:r>
              <w:rPr>
                <w:spacing w:val="-13"/>
                <w:sz w:val="18"/>
              </w:rPr>
              <w:t xml:space="preserve"> </w:t>
            </w:r>
            <w:r>
              <w:rPr>
                <w:spacing w:val="-2"/>
                <w:sz w:val="18"/>
              </w:rPr>
              <w:t>income</w:t>
            </w:r>
          </w:p>
        </w:tc>
        <w:tc>
          <w:tcPr>
            <w:tcW w:w="1492" w:type="dxa"/>
          </w:tcPr>
          <w:p w14:paraId="3849A35A" w14:textId="77777777" w:rsidR="00AC6F3C" w:rsidRDefault="00AC6F3C">
            <w:pPr>
              <w:pStyle w:val="TableParagraph"/>
              <w:rPr>
                <w:rFonts w:ascii="Times New Roman"/>
                <w:sz w:val="18"/>
              </w:rPr>
            </w:pPr>
          </w:p>
        </w:tc>
        <w:tc>
          <w:tcPr>
            <w:tcW w:w="1662" w:type="dxa"/>
            <w:tcBorders>
              <w:bottom w:val="single" w:sz="6" w:space="0" w:color="000000"/>
            </w:tcBorders>
            <w:shd w:val="clear" w:color="auto" w:fill="F1F1F1"/>
          </w:tcPr>
          <w:p w14:paraId="7C0C7F38" w14:textId="77777777" w:rsidR="00AC6F3C" w:rsidRDefault="00570E88">
            <w:pPr>
              <w:pStyle w:val="TableParagraph"/>
              <w:spacing w:before="35"/>
              <w:ind w:right="35"/>
              <w:jc w:val="right"/>
              <w:rPr>
                <w:sz w:val="18"/>
              </w:rPr>
            </w:pPr>
            <w:r>
              <w:rPr>
                <w:w w:val="99"/>
                <w:sz w:val="18"/>
              </w:rPr>
              <w:t>-</w:t>
            </w:r>
          </w:p>
        </w:tc>
        <w:tc>
          <w:tcPr>
            <w:tcW w:w="1640" w:type="dxa"/>
            <w:tcBorders>
              <w:bottom w:val="single" w:sz="6" w:space="0" w:color="000000"/>
              <w:right w:val="single" w:sz="6" w:space="0" w:color="000000"/>
            </w:tcBorders>
          </w:tcPr>
          <w:p w14:paraId="06798B25" w14:textId="77777777" w:rsidR="00AC6F3C" w:rsidRDefault="00570E88">
            <w:pPr>
              <w:pStyle w:val="TableParagraph"/>
              <w:spacing w:before="35"/>
              <w:ind w:right="20"/>
              <w:jc w:val="right"/>
              <w:rPr>
                <w:sz w:val="18"/>
              </w:rPr>
            </w:pPr>
            <w:r>
              <w:rPr>
                <w:w w:val="99"/>
                <w:sz w:val="18"/>
              </w:rPr>
              <w:t>-</w:t>
            </w:r>
          </w:p>
        </w:tc>
      </w:tr>
      <w:tr w:rsidR="00AC6F3C" w14:paraId="6A71EFA4" w14:textId="77777777">
        <w:trPr>
          <w:trHeight w:val="269"/>
        </w:trPr>
        <w:tc>
          <w:tcPr>
            <w:tcW w:w="3996" w:type="dxa"/>
            <w:tcBorders>
              <w:left w:val="single" w:sz="6" w:space="0" w:color="000000"/>
              <w:bottom w:val="single" w:sz="6" w:space="0" w:color="000000"/>
            </w:tcBorders>
          </w:tcPr>
          <w:p w14:paraId="2EFD106B" w14:textId="77777777" w:rsidR="00AC6F3C" w:rsidRDefault="00570E88">
            <w:pPr>
              <w:pStyle w:val="TableParagraph"/>
              <w:spacing w:before="55" w:line="194" w:lineRule="exact"/>
              <w:ind w:left="37"/>
              <w:rPr>
                <w:b/>
                <w:sz w:val="18"/>
              </w:rPr>
            </w:pPr>
            <w:r>
              <w:rPr>
                <w:b/>
                <w:spacing w:val="-2"/>
                <w:sz w:val="18"/>
              </w:rPr>
              <w:t>Total</w:t>
            </w:r>
            <w:r>
              <w:rPr>
                <w:b/>
                <w:spacing w:val="-11"/>
                <w:sz w:val="18"/>
              </w:rPr>
              <w:t xml:space="preserve"> </w:t>
            </w:r>
            <w:r>
              <w:rPr>
                <w:b/>
                <w:spacing w:val="-2"/>
                <w:sz w:val="18"/>
              </w:rPr>
              <w:t>other</w:t>
            </w:r>
            <w:r>
              <w:rPr>
                <w:b/>
                <w:spacing w:val="-6"/>
                <w:sz w:val="18"/>
              </w:rPr>
              <w:t xml:space="preserve"> </w:t>
            </w:r>
            <w:r>
              <w:rPr>
                <w:b/>
                <w:spacing w:val="-2"/>
                <w:sz w:val="18"/>
              </w:rPr>
              <w:t>income</w:t>
            </w:r>
          </w:p>
        </w:tc>
        <w:tc>
          <w:tcPr>
            <w:tcW w:w="1492" w:type="dxa"/>
            <w:tcBorders>
              <w:bottom w:val="single" w:sz="6" w:space="0" w:color="000000"/>
            </w:tcBorders>
          </w:tcPr>
          <w:p w14:paraId="3D6BB51C" w14:textId="77777777" w:rsidR="00AC6F3C" w:rsidRDefault="00570E88">
            <w:pPr>
              <w:pStyle w:val="TableParagraph"/>
              <w:spacing w:before="55" w:line="194" w:lineRule="exact"/>
              <w:ind w:left="496"/>
              <w:rPr>
                <w:sz w:val="18"/>
              </w:rPr>
            </w:pPr>
            <w:r>
              <w:rPr>
                <w:spacing w:val="-2"/>
                <w:sz w:val="18"/>
              </w:rPr>
              <w:t>B1-</w:t>
            </w:r>
            <w:r>
              <w:rPr>
                <w:spacing w:val="-10"/>
                <w:sz w:val="18"/>
              </w:rPr>
              <w:t>2</w:t>
            </w:r>
          </w:p>
        </w:tc>
        <w:tc>
          <w:tcPr>
            <w:tcW w:w="1662" w:type="dxa"/>
            <w:tcBorders>
              <w:top w:val="single" w:sz="6" w:space="0" w:color="000000"/>
              <w:bottom w:val="single" w:sz="6" w:space="0" w:color="000000"/>
            </w:tcBorders>
            <w:shd w:val="clear" w:color="auto" w:fill="F1F1F1"/>
          </w:tcPr>
          <w:p w14:paraId="680FBDA6" w14:textId="77777777" w:rsidR="00AC6F3C" w:rsidRDefault="00570E88">
            <w:pPr>
              <w:pStyle w:val="TableParagraph"/>
              <w:spacing w:before="55" w:line="194" w:lineRule="exact"/>
              <w:ind w:right="35"/>
              <w:jc w:val="right"/>
              <w:rPr>
                <w:b/>
                <w:sz w:val="18"/>
              </w:rPr>
            </w:pPr>
            <w:r>
              <w:rPr>
                <w:b/>
                <w:spacing w:val="-2"/>
                <w:sz w:val="18"/>
              </w:rPr>
              <w:t>3,844</w:t>
            </w:r>
          </w:p>
        </w:tc>
        <w:tc>
          <w:tcPr>
            <w:tcW w:w="1640" w:type="dxa"/>
            <w:tcBorders>
              <w:top w:val="single" w:sz="6" w:space="0" w:color="000000"/>
              <w:bottom w:val="single" w:sz="6" w:space="0" w:color="000000"/>
              <w:right w:val="single" w:sz="6" w:space="0" w:color="000000"/>
            </w:tcBorders>
          </w:tcPr>
          <w:p w14:paraId="3EEB7846" w14:textId="77777777" w:rsidR="00AC6F3C" w:rsidRDefault="00570E88">
            <w:pPr>
              <w:pStyle w:val="TableParagraph"/>
              <w:spacing w:before="55" w:line="194" w:lineRule="exact"/>
              <w:ind w:right="15"/>
              <w:jc w:val="right"/>
              <w:rPr>
                <w:b/>
                <w:sz w:val="18"/>
              </w:rPr>
            </w:pPr>
            <w:r>
              <w:rPr>
                <w:b/>
                <w:spacing w:val="-2"/>
                <w:sz w:val="18"/>
              </w:rPr>
              <w:t>(2,246)</w:t>
            </w:r>
          </w:p>
        </w:tc>
      </w:tr>
      <w:tr w:rsidR="00AC6F3C" w14:paraId="2472726B" w14:textId="77777777">
        <w:trPr>
          <w:trHeight w:val="269"/>
        </w:trPr>
        <w:tc>
          <w:tcPr>
            <w:tcW w:w="3996" w:type="dxa"/>
            <w:tcBorders>
              <w:top w:val="single" w:sz="6" w:space="0" w:color="000000"/>
              <w:left w:val="single" w:sz="6" w:space="0" w:color="000000"/>
              <w:bottom w:val="single" w:sz="6" w:space="0" w:color="000000"/>
            </w:tcBorders>
            <w:shd w:val="clear" w:color="auto" w:fill="BEBEBE"/>
          </w:tcPr>
          <w:p w14:paraId="30035B18" w14:textId="77777777" w:rsidR="00AC6F3C" w:rsidRDefault="00570E88">
            <w:pPr>
              <w:pStyle w:val="TableParagraph"/>
              <w:spacing w:before="55" w:line="194" w:lineRule="exact"/>
              <w:ind w:left="37"/>
              <w:rPr>
                <w:b/>
                <w:sz w:val="18"/>
              </w:rPr>
            </w:pPr>
            <w:r>
              <w:rPr>
                <w:b/>
                <w:spacing w:val="-4"/>
                <w:sz w:val="18"/>
              </w:rPr>
              <w:t xml:space="preserve">Total </w:t>
            </w:r>
            <w:r>
              <w:rPr>
                <w:b/>
                <w:spacing w:val="-2"/>
                <w:sz w:val="18"/>
              </w:rPr>
              <w:t>revenue</w:t>
            </w:r>
          </w:p>
        </w:tc>
        <w:tc>
          <w:tcPr>
            <w:tcW w:w="1492" w:type="dxa"/>
            <w:tcBorders>
              <w:top w:val="single" w:sz="6" w:space="0" w:color="000000"/>
              <w:bottom w:val="single" w:sz="6" w:space="0" w:color="000000"/>
            </w:tcBorders>
            <w:shd w:val="clear" w:color="auto" w:fill="BEBEBE"/>
          </w:tcPr>
          <w:p w14:paraId="0BCA6C82" w14:textId="77777777" w:rsidR="00AC6F3C" w:rsidRDefault="00AC6F3C">
            <w:pPr>
              <w:pStyle w:val="TableParagraph"/>
              <w:rPr>
                <w:rFonts w:ascii="Times New Roman"/>
                <w:sz w:val="18"/>
              </w:rPr>
            </w:pPr>
          </w:p>
        </w:tc>
        <w:tc>
          <w:tcPr>
            <w:tcW w:w="1662" w:type="dxa"/>
            <w:tcBorders>
              <w:top w:val="single" w:sz="6" w:space="0" w:color="000000"/>
              <w:bottom w:val="single" w:sz="6" w:space="0" w:color="000000"/>
            </w:tcBorders>
            <w:shd w:val="clear" w:color="auto" w:fill="BEBEBE"/>
          </w:tcPr>
          <w:p w14:paraId="6FB160F6" w14:textId="77777777" w:rsidR="00AC6F3C" w:rsidRDefault="00570E88">
            <w:pPr>
              <w:pStyle w:val="TableParagraph"/>
              <w:spacing w:before="55" w:line="194" w:lineRule="exact"/>
              <w:ind w:right="35"/>
              <w:jc w:val="right"/>
              <w:rPr>
                <w:b/>
                <w:sz w:val="18"/>
              </w:rPr>
            </w:pPr>
            <w:r>
              <w:rPr>
                <w:b/>
                <w:spacing w:val="-2"/>
                <w:sz w:val="18"/>
              </w:rPr>
              <w:t>33,872</w:t>
            </w:r>
          </w:p>
        </w:tc>
        <w:tc>
          <w:tcPr>
            <w:tcW w:w="1640" w:type="dxa"/>
            <w:tcBorders>
              <w:top w:val="single" w:sz="6" w:space="0" w:color="000000"/>
              <w:bottom w:val="single" w:sz="6" w:space="0" w:color="000000"/>
              <w:right w:val="single" w:sz="6" w:space="0" w:color="000000"/>
            </w:tcBorders>
            <w:shd w:val="clear" w:color="auto" w:fill="BEBEBE"/>
          </w:tcPr>
          <w:p w14:paraId="02E19DE1" w14:textId="77777777" w:rsidR="00AC6F3C" w:rsidRDefault="00570E88">
            <w:pPr>
              <w:pStyle w:val="TableParagraph"/>
              <w:spacing w:before="55" w:line="194" w:lineRule="exact"/>
              <w:ind w:right="20"/>
              <w:jc w:val="right"/>
              <w:rPr>
                <w:b/>
                <w:sz w:val="18"/>
              </w:rPr>
            </w:pPr>
            <w:r>
              <w:rPr>
                <w:b/>
                <w:spacing w:val="-2"/>
                <w:sz w:val="18"/>
              </w:rPr>
              <w:t>24,129</w:t>
            </w:r>
          </w:p>
        </w:tc>
      </w:tr>
      <w:tr w:rsidR="00AC6F3C" w14:paraId="56F05431" w14:textId="77777777">
        <w:trPr>
          <w:trHeight w:val="588"/>
        </w:trPr>
        <w:tc>
          <w:tcPr>
            <w:tcW w:w="3996" w:type="dxa"/>
            <w:tcBorders>
              <w:top w:val="single" w:sz="6" w:space="0" w:color="000000"/>
              <w:left w:val="single" w:sz="6" w:space="0" w:color="000000"/>
            </w:tcBorders>
          </w:tcPr>
          <w:p w14:paraId="559C36C2" w14:textId="77777777" w:rsidR="00AC6F3C" w:rsidRDefault="00AC6F3C">
            <w:pPr>
              <w:pStyle w:val="TableParagraph"/>
              <w:spacing w:before="6"/>
              <w:rPr>
                <w:sz w:val="29"/>
              </w:rPr>
            </w:pPr>
          </w:p>
          <w:p w14:paraId="64ED90AF" w14:textId="77777777" w:rsidR="00AC6F3C" w:rsidRDefault="00570E88">
            <w:pPr>
              <w:pStyle w:val="TableParagraph"/>
              <w:ind w:left="37"/>
              <w:rPr>
                <w:b/>
                <w:sz w:val="18"/>
              </w:rPr>
            </w:pPr>
            <w:r>
              <w:rPr>
                <w:b/>
                <w:spacing w:val="-2"/>
                <w:sz w:val="18"/>
              </w:rPr>
              <w:t>Expenses</w:t>
            </w:r>
          </w:p>
        </w:tc>
        <w:tc>
          <w:tcPr>
            <w:tcW w:w="1492" w:type="dxa"/>
            <w:tcBorders>
              <w:top w:val="single" w:sz="6" w:space="0" w:color="000000"/>
            </w:tcBorders>
          </w:tcPr>
          <w:p w14:paraId="08D46C1C" w14:textId="77777777" w:rsidR="00AC6F3C" w:rsidRDefault="00AC6F3C">
            <w:pPr>
              <w:pStyle w:val="TableParagraph"/>
              <w:rPr>
                <w:rFonts w:ascii="Times New Roman"/>
                <w:sz w:val="18"/>
              </w:rPr>
            </w:pPr>
          </w:p>
        </w:tc>
        <w:tc>
          <w:tcPr>
            <w:tcW w:w="1662" w:type="dxa"/>
            <w:tcBorders>
              <w:top w:val="single" w:sz="6" w:space="0" w:color="000000"/>
            </w:tcBorders>
            <w:shd w:val="clear" w:color="auto" w:fill="F1F1F1"/>
          </w:tcPr>
          <w:p w14:paraId="58441C2D" w14:textId="77777777" w:rsidR="00AC6F3C" w:rsidRDefault="00AC6F3C">
            <w:pPr>
              <w:pStyle w:val="TableParagraph"/>
              <w:rPr>
                <w:rFonts w:ascii="Times New Roman"/>
                <w:sz w:val="18"/>
              </w:rPr>
            </w:pPr>
          </w:p>
        </w:tc>
        <w:tc>
          <w:tcPr>
            <w:tcW w:w="1640" w:type="dxa"/>
            <w:tcBorders>
              <w:top w:val="single" w:sz="6" w:space="0" w:color="000000"/>
              <w:right w:val="single" w:sz="6" w:space="0" w:color="000000"/>
            </w:tcBorders>
          </w:tcPr>
          <w:p w14:paraId="47F9D86B" w14:textId="77777777" w:rsidR="00AC6F3C" w:rsidRDefault="00AC6F3C">
            <w:pPr>
              <w:pStyle w:val="TableParagraph"/>
              <w:rPr>
                <w:rFonts w:ascii="Times New Roman"/>
                <w:sz w:val="18"/>
              </w:rPr>
            </w:pPr>
          </w:p>
        </w:tc>
      </w:tr>
      <w:tr w:rsidR="00AC6F3C" w14:paraId="1F70DAA4" w14:textId="77777777">
        <w:trPr>
          <w:trHeight w:val="276"/>
        </w:trPr>
        <w:tc>
          <w:tcPr>
            <w:tcW w:w="3996" w:type="dxa"/>
            <w:tcBorders>
              <w:left w:val="single" w:sz="6" w:space="0" w:color="000000"/>
            </w:tcBorders>
          </w:tcPr>
          <w:p w14:paraId="5CDAB50A" w14:textId="77777777" w:rsidR="00AC6F3C" w:rsidRDefault="00570E88">
            <w:pPr>
              <w:pStyle w:val="TableParagraph"/>
              <w:spacing w:before="35"/>
              <w:ind w:left="37"/>
              <w:rPr>
                <w:sz w:val="18"/>
              </w:rPr>
            </w:pPr>
            <w:r>
              <w:rPr>
                <w:sz w:val="18"/>
              </w:rPr>
              <w:t>Administration</w:t>
            </w:r>
            <w:r>
              <w:rPr>
                <w:spacing w:val="21"/>
                <w:sz w:val="18"/>
              </w:rPr>
              <w:t xml:space="preserve"> </w:t>
            </w:r>
            <w:r>
              <w:rPr>
                <w:spacing w:val="-2"/>
                <w:sz w:val="18"/>
              </w:rPr>
              <w:t>expenses</w:t>
            </w:r>
          </w:p>
        </w:tc>
        <w:tc>
          <w:tcPr>
            <w:tcW w:w="1492" w:type="dxa"/>
          </w:tcPr>
          <w:p w14:paraId="4D602749" w14:textId="77777777" w:rsidR="00AC6F3C" w:rsidRDefault="00570E88">
            <w:pPr>
              <w:pStyle w:val="TableParagraph"/>
              <w:spacing w:before="35"/>
              <w:ind w:left="496"/>
              <w:rPr>
                <w:sz w:val="18"/>
              </w:rPr>
            </w:pPr>
            <w:r>
              <w:rPr>
                <w:spacing w:val="-2"/>
                <w:sz w:val="18"/>
              </w:rPr>
              <w:t>B2-</w:t>
            </w:r>
            <w:r>
              <w:rPr>
                <w:spacing w:val="-10"/>
                <w:sz w:val="18"/>
              </w:rPr>
              <w:t>1</w:t>
            </w:r>
          </w:p>
        </w:tc>
        <w:tc>
          <w:tcPr>
            <w:tcW w:w="1662" w:type="dxa"/>
            <w:shd w:val="clear" w:color="auto" w:fill="F1F1F1"/>
          </w:tcPr>
          <w:p w14:paraId="7CCFEF83" w14:textId="77777777" w:rsidR="00AC6F3C" w:rsidRDefault="00570E88">
            <w:pPr>
              <w:pStyle w:val="TableParagraph"/>
              <w:spacing w:before="35"/>
              <w:ind w:right="35"/>
              <w:jc w:val="right"/>
              <w:rPr>
                <w:sz w:val="18"/>
              </w:rPr>
            </w:pPr>
            <w:r>
              <w:rPr>
                <w:spacing w:val="-2"/>
                <w:sz w:val="18"/>
              </w:rPr>
              <w:t>1,259</w:t>
            </w:r>
          </w:p>
        </w:tc>
        <w:tc>
          <w:tcPr>
            <w:tcW w:w="1640" w:type="dxa"/>
            <w:tcBorders>
              <w:right w:val="single" w:sz="6" w:space="0" w:color="000000"/>
            </w:tcBorders>
          </w:tcPr>
          <w:p w14:paraId="5024662E" w14:textId="77777777" w:rsidR="00AC6F3C" w:rsidRDefault="00570E88">
            <w:pPr>
              <w:pStyle w:val="TableParagraph"/>
              <w:spacing w:before="35"/>
              <w:ind w:right="20"/>
              <w:jc w:val="right"/>
              <w:rPr>
                <w:sz w:val="18"/>
              </w:rPr>
            </w:pPr>
            <w:r>
              <w:rPr>
                <w:spacing w:val="-2"/>
                <w:sz w:val="18"/>
              </w:rPr>
              <w:t>1,290</w:t>
            </w:r>
          </w:p>
        </w:tc>
      </w:tr>
      <w:tr w:rsidR="00AC6F3C" w14:paraId="4EF001F3" w14:textId="77777777">
        <w:trPr>
          <w:trHeight w:val="276"/>
        </w:trPr>
        <w:tc>
          <w:tcPr>
            <w:tcW w:w="3996" w:type="dxa"/>
            <w:tcBorders>
              <w:left w:val="single" w:sz="6" w:space="0" w:color="000000"/>
            </w:tcBorders>
          </w:tcPr>
          <w:p w14:paraId="47807695" w14:textId="77777777" w:rsidR="00AC6F3C" w:rsidRDefault="00570E88">
            <w:pPr>
              <w:pStyle w:val="TableParagraph"/>
              <w:spacing w:before="28"/>
              <w:ind w:left="37"/>
              <w:rPr>
                <w:sz w:val="18"/>
              </w:rPr>
            </w:pPr>
            <w:r>
              <w:rPr>
                <w:spacing w:val="-2"/>
                <w:sz w:val="18"/>
              </w:rPr>
              <w:t>Audit</w:t>
            </w:r>
            <w:r>
              <w:rPr>
                <w:spacing w:val="-9"/>
                <w:sz w:val="18"/>
              </w:rPr>
              <w:t xml:space="preserve"> </w:t>
            </w:r>
            <w:r>
              <w:rPr>
                <w:spacing w:val="-4"/>
                <w:sz w:val="18"/>
              </w:rPr>
              <w:t>fees</w:t>
            </w:r>
          </w:p>
        </w:tc>
        <w:tc>
          <w:tcPr>
            <w:tcW w:w="1492" w:type="dxa"/>
          </w:tcPr>
          <w:p w14:paraId="26520407" w14:textId="77777777" w:rsidR="00AC6F3C" w:rsidRDefault="00570E88">
            <w:pPr>
              <w:pStyle w:val="TableParagraph"/>
              <w:spacing w:before="28"/>
              <w:ind w:left="496"/>
              <w:rPr>
                <w:sz w:val="18"/>
              </w:rPr>
            </w:pPr>
            <w:r>
              <w:rPr>
                <w:spacing w:val="-2"/>
                <w:sz w:val="18"/>
              </w:rPr>
              <w:t>B2-</w:t>
            </w:r>
            <w:r>
              <w:rPr>
                <w:spacing w:val="-10"/>
                <w:sz w:val="18"/>
              </w:rPr>
              <w:t>2</w:t>
            </w:r>
          </w:p>
        </w:tc>
        <w:tc>
          <w:tcPr>
            <w:tcW w:w="1662" w:type="dxa"/>
            <w:shd w:val="clear" w:color="auto" w:fill="F1F1F1"/>
          </w:tcPr>
          <w:p w14:paraId="3371487A" w14:textId="77777777" w:rsidR="00AC6F3C" w:rsidRDefault="00570E88">
            <w:pPr>
              <w:pStyle w:val="TableParagraph"/>
              <w:spacing w:before="28"/>
              <w:ind w:right="35"/>
              <w:jc w:val="right"/>
              <w:rPr>
                <w:sz w:val="18"/>
              </w:rPr>
            </w:pPr>
            <w:r>
              <w:rPr>
                <w:spacing w:val="-5"/>
                <w:sz w:val="18"/>
              </w:rPr>
              <w:t>31</w:t>
            </w:r>
          </w:p>
        </w:tc>
        <w:tc>
          <w:tcPr>
            <w:tcW w:w="1640" w:type="dxa"/>
            <w:tcBorders>
              <w:right w:val="single" w:sz="6" w:space="0" w:color="000000"/>
            </w:tcBorders>
          </w:tcPr>
          <w:p w14:paraId="1BF6322F" w14:textId="77777777" w:rsidR="00AC6F3C" w:rsidRDefault="00570E88">
            <w:pPr>
              <w:pStyle w:val="TableParagraph"/>
              <w:spacing w:before="28"/>
              <w:ind w:right="20"/>
              <w:jc w:val="right"/>
              <w:rPr>
                <w:sz w:val="18"/>
              </w:rPr>
            </w:pPr>
            <w:r>
              <w:rPr>
                <w:spacing w:val="-5"/>
                <w:sz w:val="18"/>
              </w:rPr>
              <w:t>21</w:t>
            </w:r>
          </w:p>
        </w:tc>
      </w:tr>
      <w:tr w:rsidR="00AC6F3C" w14:paraId="5C7E64F9" w14:textId="77777777">
        <w:trPr>
          <w:trHeight w:val="284"/>
        </w:trPr>
        <w:tc>
          <w:tcPr>
            <w:tcW w:w="3996" w:type="dxa"/>
            <w:tcBorders>
              <w:left w:val="single" w:sz="6" w:space="0" w:color="000000"/>
            </w:tcBorders>
          </w:tcPr>
          <w:p w14:paraId="6887AF0D" w14:textId="77777777" w:rsidR="00AC6F3C" w:rsidRDefault="00570E88">
            <w:pPr>
              <w:pStyle w:val="TableParagraph"/>
              <w:spacing w:before="35"/>
              <w:ind w:left="38"/>
              <w:rPr>
                <w:sz w:val="18"/>
              </w:rPr>
            </w:pPr>
            <w:r>
              <w:rPr>
                <w:sz w:val="18"/>
              </w:rPr>
              <w:t>Insurance</w:t>
            </w:r>
            <w:r>
              <w:rPr>
                <w:spacing w:val="16"/>
                <w:sz w:val="18"/>
              </w:rPr>
              <w:t xml:space="preserve"> </w:t>
            </w:r>
            <w:r>
              <w:rPr>
                <w:spacing w:val="-2"/>
                <w:sz w:val="18"/>
              </w:rPr>
              <w:t>premiums</w:t>
            </w:r>
          </w:p>
        </w:tc>
        <w:tc>
          <w:tcPr>
            <w:tcW w:w="1492" w:type="dxa"/>
          </w:tcPr>
          <w:p w14:paraId="38537584" w14:textId="77777777" w:rsidR="00AC6F3C" w:rsidRDefault="00570E88">
            <w:pPr>
              <w:pStyle w:val="TableParagraph"/>
              <w:spacing w:before="35"/>
              <w:ind w:left="496"/>
              <w:rPr>
                <w:sz w:val="18"/>
              </w:rPr>
            </w:pPr>
            <w:r>
              <w:rPr>
                <w:spacing w:val="-2"/>
                <w:sz w:val="18"/>
              </w:rPr>
              <w:t>B2-</w:t>
            </w:r>
            <w:r>
              <w:rPr>
                <w:spacing w:val="-10"/>
                <w:sz w:val="18"/>
              </w:rPr>
              <w:t>3</w:t>
            </w:r>
          </w:p>
        </w:tc>
        <w:tc>
          <w:tcPr>
            <w:tcW w:w="1662" w:type="dxa"/>
            <w:shd w:val="clear" w:color="auto" w:fill="F1F1F1"/>
          </w:tcPr>
          <w:p w14:paraId="74D02317" w14:textId="77777777" w:rsidR="00AC6F3C" w:rsidRDefault="00570E88">
            <w:pPr>
              <w:pStyle w:val="TableParagraph"/>
              <w:spacing w:before="35"/>
              <w:ind w:right="34"/>
              <w:jc w:val="right"/>
              <w:rPr>
                <w:sz w:val="18"/>
              </w:rPr>
            </w:pPr>
            <w:r>
              <w:rPr>
                <w:spacing w:val="-2"/>
                <w:sz w:val="18"/>
              </w:rPr>
              <w:t>27,509</w:t>
            </w:r>
          </w:p>
        </w:tc>
        <w:tc>
          <w:tcPr>
            <w:tcW w:w="1640" w:type="dxa"/>
            <w:tcBorders>
              <w:right w:val="single" w:sz="6" w:space="0" w:color="000000"/>
            </w:tcBorders>
          </w:tcPr>
          <w:p w14:paraId="6FDF16E6" w14:textId="77777777" w:rsidR="00AC6F3C" w:rsidRDefault="00570E88">
            <w:pPr>
              <w:pStyle w:val="TableParagraph"/>
              <w:spacing w:before="35"/>
              <w:ind w:right="20"/>
              <w:jc w:val="right"/>
              <w:rPr>
                <w:sz w:val="18"/>
              </w:rPr>
            </w:pPr>
            <w:r>
              <w:rPr>
                <w:spacing w:val="-2"/>
                <w:sz w:val="18"/>
              </w:rPr>
              <w:t>24,151</w:t>
            </w:r>
          </w:p>
        </w:tc>
      </w:tr>
      <w:tr w:rsidR="00AC6F3C" w14:paraId="327B7196" w14:textId="77777777">
        <w:trPr>
          <w:trHeight w:val="264"/>
        </w:trPr>
        <w:tc>
          <w:tcPr>
            <w:tcW w:w="3996" w:type="dxa"/>
            <w:tcBorders>
              <w:left w:val="single" w:sz="6" w:space="0" w:color="000000"/>
              <w:bottom w:val="single" w:sz="6" w:space="0" w:color="000000"/>
            </w:tcBorders>
          </w:tcPr>
          <w:p w14:paraId="77F48230" w14:textId="77777777" w:rsidR="00AC6F3C" w:rsidRDefault="00570E88">
            <w:pPr>
              <w:pStyle w:val="TableParagraph"/>
              <w:spacing w:before="35"/>
              <w:ind w:left="38"/>
              <w:rPr>
                <w:sz w:val="18"/>
              </w:rPr>
            </w:pPr>
            <w:r>
              <w:rPr>
                <w:sz w:val="18"/>
              </w:rPr>
              <w:t>Stamp</w:t>
            </w:r>
            <w:r>
              <w:rPr>
                <w:spacing w:val="6"/>
                <w:sz w:val="18"/>
              </w:rPr>
              <w:t xml:space="preserve"> </w:t>
            </w:r>
            <w:r>
              <w:rPr>
                <w:spacing w:val="-4"/>
                <w:sz w:val="18"/>
              </w:rPr>
              <w:t>duty</w:t>
            </w:r>
          </w:p>
        </w:tc>
        <w:tc>
          <w:tcPr>
            <w:tcW w:w="1492" w:type="dxa"/>
            <w:tcBorders>
              <w:bottom w:val="single" w:sz="6" w:space="0" w:color="000000"/>
            </w:tcBorders>
          </w:tcPr>
          <w:p w14:paraId="7A33748E" w14:textId="77777777" w:rsidR="00AC6F3C" w:rsidRDefault="00AC6F3C">
            <w:pPr>
              <w:pStyle w:val="TableParagraph"/>
              <w:rPr>
                <w:rFonts w:ascii="Times New Roman"/>
                <w:sz w:val="18"/>
              </w:rPr>
            </w:pPr>
          </w:p>
        </w:tc>
        <w:tc>
          <w:tcPr>
            <w:tcW w:w="1662" w:type="dxa"/>
            <w:tcBorders>
              <w:bottom w:val="single" w:sz="6" w:space="0" w:color="000000"/>
            </w:tcBorders>
            <w:shd w:val="clear" w:color="auto" w:fill="F1F1F1"/>
          </w:tcPr>
          <w:p w14:paraId="230B5503" w14:textId="77777777" w:rsidR="00AC6F3C" w:rsidRDefault="00570E88">
            <w:pPr>
              <w:pStyle w:val="TableParagraph"/>
              <w:spacing w:before="35"/>
              <w:ind w:right="34"/>
              <w:jc w:val="right"/>
              <w:rPr>
                <w:sz w:val="18"/>
              </w:rPr>
            </w:pPr>
            <w:r>
              <w:rPr>
                <w:spacing w:val="-2"/>
                <w:sz w:val="18"/>
              </w:rPr>
              <w:t>2,419</w:t>
            </w:r>
          </w:p>
        </w:tc>
        <w:tc>
          <w:tcPr>
            <w:tcW w:w="1640" w:type="dxa"/>
            <w:tcBorders>
              <w:bottom w:val="single" w:sz="6" w:space="0" w:color="000000"/>
              <w:right w:val="single" w:sz="6" w:space="0" w:color="000000"/>
            </w:tcBorders>
          </w:tcPr>
          <w:p w14:paraId="04C91D73" w14:textId="77777777" w:rsidR="00AC6F3C" w:rsidRDefault="00570E88">
            <w:pPr>
              <w:pStyle w:val="TableParagraph"/>
              <w:spacing w:before="35"/>
              <w:ind w:right="20"/>
              <w:jc w:val="right"/>
              <w:rPr>
                <w:sz w:val="18"/>
              </w:rPr>
            </w:pPr>
            <w:r>
              <w:rPr>
                <w:spacing w:val="-2"/>
                <w:sz w:val="18"/>
              </w:rPr>
              <w:t>2,133</w:t>
            </w:r>
          </w:p>
        </w:tc>
      </w:tr>
      <w:tr w:rsidR="00AC6F3C" w14:paraId="579AC282" w14:textId="77777777">
        <w:trPr>
          <w:trHeight w:val="269"/>
        </w:trPr>
        <w:tc>
          <w:tcPr>
            <w:tcW w:w="3996" w:type="dxa"/>
            <w:tcBorders>
              <w:top w:val="single" w:sz="6" w:space="0" w:color="000000"/>
              <w:left w:val="single" w:sz="6" w:space="0" w:color="000000"/>
              <w:bottom w:val="single" w:sz="6" w:space="0" w:color="000000"/>
            </w:tcBorders>
            <w:shd w:val="clear" w:color="auto" w:fill="BEBEBE"/>
          </w:tcPr>
          <w:p w14:paraId="44C152CC" w14:textId="77777777" w:rsidR="00AC6F3C" w:rsidRDefault="00570E88">
            <w:pPr>
              <w:pStyle w:val="TableParagraph"/>
              <w:spacing w:before="55" w:line="194" w:lineRule="exact"/>
              <w:ind w:left="38"/>
              <w:rPr>
                <w:b/>
                <w:sz w:val="18"/>
              </w:rPr>
            </w:pPr>
            <w:r>
              <w:rPr>
                <w:b/>
                <w:spacing w:val="-4"/>
                <w:sz w:val="18"/>
              </w:rPr>
              <w:t>Total</w:t>
            </w:r>
            <w:r>
              <w:rPr>
                <w:b/>
                <w:spacing w:val="-2"/>
                <w:sz w:val="18"/>
              </w:rPr>
              <w:t xml:space="preserve"> expenses</w:t>
            </w:r>
          </w:p>
        </w:tc>
        <w:tc>
          <w:tcPr>
            <w:tcW w:w="1492" w:type="dxa"/>
            <w:tcBorders>
              <w:top w:val="single" w:sz="6" w:space="0" w:color="000000"/>
              <w:bottom w:val="single" w:sz="6" w:space="0" w:color="000000"/>
            </w:tcBorders>
            <w:shd w:val="clear" w:color="auto" w:fill="BEBEBE"/>
          </w:tcPr>
          <w:p w14:paraId="479224A4" w14:textId="77777777" w:rsidR="00AC6F3C" w:rsidRDefault="00AC6F3C">
            <w:pPr>
              <w:pStyle w:val="TableParagraph"/>
              <w:rPr>
                <w:rFonts w:ascii="Times New Roman"/>
                <w:sz w:val="18"/>
              </w:rPr>
            </w:pPr>
          </w:p>
        </w:tc>
        <w:tc>
          <w:tcPr>
            <w:tcW w:w="1662" w:type="dxa"/>
            <w:tcBorders>
              <w:top w:val="single" w:sz="6" w:space="0" w:color="000000"/>
              <w:bottom w:val="single" w:sz="6" w:space="0" w:color="000000"/>
            </w:tcBorders>
            <w:shd w:val="clear" w:color="auto" w:fill="BEBEBE"/>
          </w:tcPr>
          <w:p w14:paraId="4C947AD3" w14:textId="77777777" w:rsidR="00AC6F3C" w:rsidRDefault="00570E88">
            <w:pPr>
              <w:pStyle w:val="TableParagraph"/>
              <w:spacing w:before="55" w:line="194" w:lineRule="exact"/>
              <w:ind w:right="34"/>
              <w:jc w:val="right"/>
              <w:rPr>
                <w:b/>
                <w:sz w:val="18"/>
              </w:rPr>
            </w:pPr>
            <w:r>
              <w:rPr>
                <w:b/>
                <w:spacing w:val="-2"/>
                <w:sz w:val="18"/>
              </w:rPr>
              <w:t>31,218</w:t>
            </w:r>
          </w:p>
        </w:tc>
        <w:tc>
          <w:tcPr>
            <w:tcW w:w="1640" w:type="dxa"/>
            <w:tcBorders>
              <w:top w:val="single" w:sz="6" w:space="0" w:color="000000"/>
              <w:bottom w:val="single" w:sz="6" w:space="0" w:color="000000"/>
              <w:right w:val="single" w:sz="6" w:space="0" w:color="000000"/>
            </w:tcBorders>
            <w:shd w:val="clear" w:color="auto" w:fill="BEBEBE"/>
          </w:tcPr>
          <w:p w14:paraId="7738C2EC" w14:textId="77777777" w:rsidR="00AC6F3C" w:rsidRDefault="00570E88">
            <w:pPr>
              <w:pStyle w:val="TableParagraph"/>
              <w:spacing w:before="55" w:line="194" w:lineRule="exact"/>
              <w:ind w:right="20"/>
              <w:jc w:val="right"/>
              <w:rPr>
                <w:b/>
                <w:sz w:val="18"/>
              </w:rPr>
            </w:pPr>
            <w:r>
              <w:rPr>
                <w:b/>
                <w:spacing w:val="-2"/>
                <w:sz w:val="18"/>
              </w:rPr>
              <w:t>27,595</w:t>
            </w:r>
          </w:p>
        </w:tc>
      </w:tr>
      <w:tr w:rsidR="00AC6F3C" w14:paraId="043BDE4F" w14:textId="77777777">
        <w:trPr>
          <w:trHeight w:val="269"/>
        </w:trPr>
        <w:tc>
          <w:tcPr>
            <w:tcW w:w="5488" w:type="dxa"/>
            <w:gridSpan w:val="2"/>
            <w:tcBorders>
              <w:top w:val="single" w:sz="6" w:space="0" w:color="000000"/>
              <w:left w:val="single" w:sz="6" w:space="0" w:color="000000"/>
              <w:bottom w:val="single" w:sz="6" w:space="0" w:color="000000"/>
            </w:tcBorders>
          </w:tcPr>
          <w:p w14:paraId="6724C8EB" w14:textId="77777777" w:rsidR="00AC6F3C" w:rsidRDefault="00AC6F3C">
            <w:pPr>
              <w:pStyle w:val="TableParagraph"/>
              <w:rPr>
                <w:rFonts w:ascii="Times New Roman"/>
                <w:sz w:val="18"/>
              </w:rPr>
            </w:pPr>
          </w:p>
        </w:tc>
        <w:tc>
          <w:tcPr>
            <w:tcW w:w="1662" w:type="dxa"/>
            <w:tcBorders>
              <w:top w:val="single" w:sz="6" w:space="0" w:color="000000"/>
              <w:bottom w:val="single" w:sz="6" w:space="0" w:color="000000"/>
            </w:tcBorders>
            <w:shd w:val="clear" w:color="auto" w:fill="F1F1F1"/>
          </w:tcPr>
          <w:p w14:paraId="093CDB75" w14:textId="77777777" w:rsidR="00AC6F3C" w:rsidRDefault="00AC6F3C">
            <w:pPr>
              <w:pStyle w:val="TableParagraph"/>
              <w:rPr>
                <w:rFonts w:ascii="Times New Roman"/>
                <w:sz w:val="18"/>
              </w:rPr>
            </w:pPr>
          </w:p>
        </w:tc>
        <w:tc>
          <w:tcPr>
            <w:tcW w:w="1640" w:type="dxa"/>
            <w:tcBorders>
              <w:top w:val="single" w:sz="6" w:space="0" w:color="000000"/>
              <w:bottom w:val="single" w:sz="6" w:space="0" w:color="000000"/>
              <w:right w:val="single" w:sz="6" w:space="0" w:color="000000"/>
            </w:tcBorders>
          </w:tcPr>
          <w:p w14:paraId="7EBBC32F" w14:textId="77777777" w:rsidR="00AC6F3C" w:rsidRDefault="00AC6F3C">
            <w:pPr>
              <w:pStyle w:val="TableParagraph"/>
              <w:rPr>
                <w:rFonts w:ascii="Times New Roman"/>
                <w:sz w:val="18"/>
              </w:rPr>
            </w:pPr>
          </w:p>
        </w:tc>
      </w:tr>
      <w:tr w:rsidR="00AC6F3C" w14:paraId="2650696F" w14:textId="77777777">
        <w:trPr>
          <w:trHeight w:val="269"/>
        </w:trPr>
        <w:tc>
          <w:tcPr>
            <w:tcW w:w="3996" w:type="dxa"/>
            <w:tcBorders>
              <w:top w:val="single" w:sz="6" w:space="0" w:color="000000"/>
              <w:left w:val="single" w:sz="6" w:space="0" w:color="000000"/>
              <w:bottom w:val="single" w:sz="6" w:space="0" w:color="000000"/>
            </w:tcBorders>
            <w:shd w:val="clear" w:color="auto" w:fill="BEBEBE"/>
          </w:tcPr>
          <w:p w14:paraId="07CC3679" w14:textId="77777777" w:rsidR="00AC6F3C" w:rsidRDefault="00570E88">
            <w:pPr>
              <w:pStyle w:val="TableParagraph"/>
              <w:spacing w:before="55" w:line="194" w:lineRule="exact"/>
              <w:ind w:left="38"/>
              <w:rPr>
                <w:b/>
                <w:sz w:val="18"/>
              </w:rPr>
            </w:pPr>
            <w:r>
              <w:rPr>
                <w:b/>
                <w:spacing w:val="-2"/>
                <w:sz w:val="18"/>
              </w:rPr>
              <w:t>Operating</w:t>
            </w:r>
            <w:r>
              <w:rPr>
                <w:b/>
                <w:spacing w:val="-11"/>
                <w:sz w:val="18"/>
              </w:rPr>
              <w:t xml:space="preserve"> </w:t>
            </w:r>
            <w:r>
              <w:rPr>
                <w:b/>
                <w:spacing w:val="-2"/>
                <w:sz w:val="18"/>
              </w:rPr>
              <w:t>result</w:t>
            </w:r>
            <w:r>
              <w:rPr>
                <w:b/>
                <w:spacing w:val="-6"/>
                <w:sz w:val="18"/>
              </w:rPr>
              <w:t xml:space="preserve"> </w:t>
            </w:r>
            <w:r>
              <w:rPr>
                <w:b/>
                <w:spacing w:val="-2"/>
                <w:sz w:val="18"/>
              </w:rPr>
              <w:t>for</w:t>
            </w:r>
            <w:r>
              <w:rPr>
                <w:b/>
                <w:sz w:val="18"/>
              </w:rPr>
              <w:t xml:space="preserve"> </w:t>
            </w:r>
            <w:r>
              <w:rPr>
                <w:b/>
                <w:spacing w:val="-2"/>
                <w:sz w:val="18"/>
              </w:rPr>
              <w:t>the</w:t>
            </w:r>
            <w:r>
              <w:rPr>
                <w:b/>
                <w:spacing w:val="-1"/>
                <w:sz w:val="18"/>
              </w:rPr>
              <w:t xml:space="preserve"> </w:t>
            </w:r>
            <w:r>
              <w:rPr>
                <w:b/>
                <w:spacing w:val="-4"/>
                <w:sz w:val="18"/>
              </w:rPr>
              <w:t>year</w:t>
            </w:r>
          </w:p>
        </w:tc>
        <w:tc>
          <w:tcPr>
            <w:tcW w:w="1492" w:type="dxa"/>
            <w:tcBorders>
              <w:top w:val="single" w:sz="6" w:space="0" w:color="000000"/>
              <w:bottom w:val="single" w:sz="6" w:space="0" w:color="000000"/>
            </w:tcBorders>
            <w:shd w:val="clear" w:color="auto" w:fill="BEBEBE"/>
          </w:tcPr>
          <w:p w14:paraId="40527528" w14:textId="77777777" w:rsidR="00AC6F3C" w:rsidRDefault="00AC6F3C">
            <w:pPr>
              <w:pStyle w:val="TableParagraph"/>
              <w:rPr>
                <w:rFonts w:ascii="Times New Roman"/>
                <w:sz w:val="18"/>
              </w:rPr>
            </w:pPr>
          </w:p>
        </w:tc>
        <w:tc>
          <w:tcPr>
            <w:tcW w:w="1662" w:type="dxa"/>
            <w:tcBorders>
              <w:top w:val="single" w:sz="6" w:space="0" w:color="000000"/>
              <w:bottom w:val="single" w:sz="6" w:space="0" w:color="000000"/>
            </w:tcBorders>
            <w:shd w:val="clear" w:color="auto" w:fill="BEBEBE"/>
          </w:tcPr>
          <w:p w14:paraId="36655806" w14:textId="77777777" w:rsidR="00AC6F3C" w:rsidRDefault="00570E88">
            <w:pPr>
              <w:pStyle w:val="TableParagraph"/>
              <w:spacing w:before="55" w:line="194" w:lineRule="exact"/>
              <w:ind w:right="34"/>
              <w:jc w:val="right"/>
              <w:rPr>
                <w:b/>
                <w:sz w:val="18"/>
              </w:rPr>
            </w:pPr>
            <w:r>
              <w:rPr>
                <w:b/>
                <w:spacing w:val="-2"/>
                <w:sz w:val="18"/>
              </w:rPr>
              <w:t>2,654</w:t>
            </w:r>
          </w:p>
        </w:tc>
        <w:tc>
          <w:tcPr>
            <w:tcW w:w="1640" w:type="dxa"/>
            <w:tcBorders>
              <w:top w:val="single" w:sz="6" w:space="0" w:color="000000"/>
              <w:bottom w:val="single" w:sz="6" w:space="0" w:color="000000"/>
              <w:right w:val="single" w:sz="6" w:space="0" w:color="000000"/>
            </w:tcBorders>
            <w:shd w:val="clear" w:color="auto" w:fill="BEBEBE"/>
          </w:tcPr>
          <w:p w14:paraId="68EEA582" w14:textId="77777777" w:rsidR="00AC6F3C" w:rsidRDefault="00570E88">
            <w:pPr>
              <w:pStyle w:val="TableParagraph"/>
              <w:spacing w:before="55" w:line="194" w:lineRule="exact"/>
              <w:ind w:right="15"/>
              <w:jc w:val="right"/>
              <w:rPr>
                <w:b/>
                <w:sz w:val="18"/>
              </w:rPr>
            </w:pPr>
            <w:r>
              <w:rPr>
                <w:b/>
                <w:spacing w:val="-2"/>
                <w:sz w:val="18"/>
              </w:rPr>
              <w:t>(3,466)</w:t>
            </w:r>
          </w:p>
        </w:tc>
      </w:tr>
      <w:tr w:rsidR="00AC6F3C" w14:paraId="712CD6DF" w14:textId="77777777">
        <w:trPr>
          <w:trHeight w:val="553"/>
        </w:trPr>
        <w:tc>
          <w:tcPr>
            <w:tcW w:w="5488" w:type="dxa"/>
            <w:gridSpan w:val="2"/>
            <w:tcBorders>
              <w:top w:val="single" w:sz="6" w:space="0" w:color="000000"/>
              <w:left w:val="single" w:sz="6" w:space="0" w:color="000000"/>
              <w:bottom w:val="single" w:sz="6" w:space="0" w:color="000000"/>
            </w:tcBorders>
          </w:tcPr>
          <w:p w14:paraId="75E98ECE" w14:textId="77777777" w:rsidR="00AC6F3C" w:rsidRDefault="00AC6F3C">
            <w:pPr>
              <w:pStyle w:val="TableParagraph"/>
              <w:spacing w:before="6"/>
              <w:rPr>
                <w:sz w:val="29"/>
              </w:rPr>
            </w:pPr>
          </w:p>
          <w:p w14:paraId="1C18599E" w14:textId="77777777" w:rsidR="00AC6F3C" w:rsidRDefault="00570E88">
            <w:pPr>
              <w:pStyle w:val="TableParagraph"/>
              <w:spacing w:line="194" w:lineRule="exact"/>
              <w:ind w:left="38"/>
              <w:rPr>
                <w:sz w:val="18"/>
              </w:rPr>
            </w:pPr>
            <w:r>
              <w:rPr>
                <w:sz w:val="18"/>
              </w:rPr>
              <w:t>Other</w:t>
            </w:r>
            <w:r>
              <w:rPr>
                <w:spacing w:val="5"/>
                <w:sz w:val="18"/>
              </w:rPr>
              <w:t xml:space="preserve"> </w:t>
            </w:r>
            <w:r>
              <w:rPr>
                <w:sz w:val="18"/>
              </w:rPr>
              <w:t>comprehensive</w:t>
            </w:r>
            <w:r>
              <w:rPr>
                <w:spacing w:val="12"/>
                <w:sz w:val="18"/>
              </w:rPr>
              <w:t xml:space="preserve"> </w:t>
            </w:r>
            <w:r>
              <w:rPr>
                <w:spacing w:val="-2"/>
                <w:sz w:val="18"/>
              </w:rPr>
              <w:t>income</w:t>
            </w:r>
          </w:p>
        </w:tc>
        <w:tc>
          <w:tcPr>
            <w:tcW w:w="1662" w:type="dxa"/>
            <w:tcBorders>
              <w:top w:val="single" w:sz="6" w:space="0" w:color="000000"/>
              <w:bottom w:val="single" w:sz="6" w:space="0" w:color="000000"/>
            </w:tcBorders>
            <w:shd w:val="clear" w:color="auto" w:fill="F1F1F1"/>
          </w:tcPr>
          <w:p w14:paraId="6D32C1B6" w14:textId="77777777" w:rsidR="00AC6F3C" w:rsidRDefault="00AC6F3C">
            <w:pPr>
              <w:pStyle w:val="TableParagraph"/>
              <w:spacing w:before="6"/>
              <w:rPr>
                <w:sz w:val="29"/>
              </w:rPr>
            </w:pPr>
          </w:p>
          <w:p w14:paraId="4F3E4F9D" w14:textId="77777777" w:rsidR="00AC6F3C" w:rsidRDefault="00570E88">
            <w:pPr>
              <w:pStyle w:val="TableParagraph"/>
              <w:spacing w:line="194" w:lineRule="exact"/>
              <w:ind w:right="34"/>
              <w:jc w:val="right"/>
              <w:rPr>
                <w:sz w:val="18"/>
              </w:rPr>
            </w:pPr>
            <w:r>
              <w:rPr>
                <w:w w:val="99"/>
                <w:sz w:val="18"/>
              </w:rPr>
              <w:t>-</w:t>
            </w:r>
          </w:p>
        </w:tc>
        <w:tc>
          <w:tcPr>
            <w:tcW w:w="1640" w:type="dxa"/>
            <w:tcBorders>
              <w:top w:val="single" w:sz="6" w:space="0" w:color="000000"/>
              <w:bottom w:val="single" w:sz="6" w:space="0" w:color="000000"/>
              <w:right w:val="single" w:sz="6" w:space="0" w:color="000000"/>
            </w:tcBorders>
          </w:tcPr>
          <w:p w14:paraId="2481147A" w14:textId="77777777" w:rsidR="00AC6F3C" w:rsidRDefault="00AC6F3C">
            <w:pPr>
              <w:pStyle w:val="TableParagraph"/>
              <w:spacing w:before="6"/>
              <w:rPr>
                <w:sz w:val="29"/>
              </w:rPr>
            </w:pPr>
          </w:p>
          <w:p w14:paraId="06FB4904" w14:textId="77777777" w:rsidR="00AC6F3C" w:rsidRDefault="00570E88">
            <w:pPr>
              <w:pStyle w:val="TableParagraph"/>
              <w:spacing w:line="194" w:lineRule="exact"/>
              <w:ind w:right="19"/>
              <w:jc w:val="right"/>
              <w:rPr>
                <w:sz w:val="18"/>
              </w:rPr>
            </w:pPr>
            <w:r>
              <w:rPr>
                <w:w w:val="99"/>
                <w:sz w:val="18"/>
              </w:rPr>
              <w:t>-</w:t>
            </w:r>
          </w:p>
        </w:tc>
      </w:tr>
      <w:tr w:rsidR="00AC6F3C" w14:paraId="562C15E8" w14:textId="77777777">
        <w:trPr>
          <w:trHeight w:val="269"/>
        </w:trPr>
        <w:tc>
          <w:tcPr>
            <w:tcW w:w="3996" w:type="dxa"/>
            <w:tcBorders>
              <w:top w:val="single" w:sz="6" w:space="0" w:color="000000"/>
              <w:left w:val="single" w:sz="6" w:space="0" w:color="000000"/>
              <w:bottom w:val="single" w:sz="6" w:space="0" w:color="000000"/>
            </w:tcBorders>
            <w:shd w:val="clear" w:color="auto" w:fill="BEBEBE"/>
          </w:tcPr>
          <w:p w14:paraId="603C2098" w14:textId="77777777" w:rsidR="00AC6F3C" w:rsidRDefault="00570E88">
            <w:pPr>
              <w:pStyle w:val="TableParagraph"/>
              <w:spacing w:before="55" w:line="194" w:lineRule="exact"/>
              <w:ind w:left="38"/>
              <w:rPr>
                <w:b/>
                <w:sz w:val="18"/>
              </w:rPr>
            </w:pPr>
            <w:r>
              <w:rPr>
                <w:b/>
                <w:spacing w:val="-2"/>
                <w:sz w:val="18"/>
              </w:rPr>
              <w:t>Total</w:t>
            </w:r>
            <w:r>
              <w:rPr>
                <w:b/>
                <w:spacing w:val="-11"/>
                <w:sz w:val="18"/>
              </w:rPr>
              <w:t xml:space="preserve"> </w:t>
            </w:r>
            <w:r>
              <w:rPr>
                <w:b/>
                <w:spacing w:val="-2"/>
                <w:sz w:val="18"/>
              </w:rPr>
              <w:t>comprehensive</w:t>
            </w:r>
            <w:r>
              <w:rPr>
                <w:b/>
                <w:spacing w:val="-3"/>
                <w:sz w:val="18"/>
              </w:rPr>
              <w:t xml:space="preserve"> </w:t>
            </w:r>
            <w:r>
              <w:rPr>
                <w:b/>
                <w:spacing w:val="-2"/>
                <w:sz w:val="18"/>
              </w:rPr>
              <w:t>income for the</w:t>
            </w:r>
            <w:r>
              <w:rPr>
                <w:b/>
                <w:spacing w:val="-1"/>
                <w:sz w:val="18"/>
              </w:rPr>
              <w:t xml:space="preserve"> </w:t>
            </w:r>
            <w:r>
              <w:rPr>
                <w:b/>
                <w:spacing w:val="-4"/>
                <w:sz w:val="18"/>
              </w:rPr>
              <w:t>year</w:t>
            </w:r>
          </w:p>
        </w:tc>
        <w:tc>
          <w:tcPr>
            <w:tcW w:w="1492" w:type="dxa"/>
            <w:tcBorders>
              <w:top w:val="single" w:sz="6" w:space="0" w:color="000000"/>
              <w:bottom w:val="single" w:sz="6" w:space="0" w:color="000000"/>
            </w:tcBorders>
            <w:shd w:val="clear" w:color="auto" w:fill="BEBEBE"/>
          </w:tcPr>
          <w:p w14:paraId="7DBB6385" w14:textId="77777777" w:rsidR="00AC6F3C" w:rsidRDefault="00AC6F3C">
            <w:pPr>
              <w:pStyle w:val="TableParagraph"/>
              <w:rPr>
                <w:rFonts w:ascii="Times New Roman"/>
                <w:sz w:val="18"/>
              </w:rPr>
            </w:pPr>
          </w:p>
        </w:tc>
        <w:tc>
          <w:tcPr>
            <w:tcW w:w="1662" w:type="dxa"/>
            <w:tcBorders>
              <w:top w:val="single" w:sz="6" w:space="0" w:color="000000"/>
              <w:bottom w:val="single" w:sz="6" w:space="0" w:color="000000"/>
            </w:tcBorders>
            <w:shd w:val="clear" w:color="auto" w:fill="BEBEBE"/>
          </w:tcPr>
          <w:p w14:paraId="18E5F2A2" w14:textId="77777777" w:rsidR="00AC6F3C" w:rsidRDefault="00570E88">
            <w:pPr>
              <w:pStyle w:val="TableParagraph"/>
              <w:spacing w:before="55" w:line="194" w:lineRule="exact"/>
              <w:ind w:right="34"/>
              <w:jc w:val="right"/>
              <w:rPr>
                <w:b/>
                <w:sz w:val="18"/>
              </w:rPr>
            </w:pPr>
            <w:r>
              <w:rPr>
                <w:b/>
                <w:spacing w:val="-2"/>
                <w:sz w:val="18"/>
              </w:rPr>
              <w:t>2,654</w:t>
            </w:r>
          </w:p>
        </w:tc>
        <w:tc>
          <w:tcPr>
            <w:tcW w:w="1640" w:type="dxa"/>
            <w:tcBorders>
              <w:top w:val="single" w:sz="6" w:space="0" w:color="000000"/>
              <w:bottom w:val="single" w:sz="6" w:space="0" w:color="000000"/>
              <w:right w:val="single" w:sz="6" w:space="0" w:color="000000"/>
            </w:tcBorders>
            <w:shd w:val="clear" w:color="auto" w:fill="BEBEBE"/>
          </w:tcPr>
          <w:p w14:paraId="4899FA82" w14:textId="77777777" w:rsidR="00AC6F3C" w:rsidRDefault="00570E88">
            <w:pPr>
              <w:pStyle w:val="TableParagraph"/>
              <w:spacing w:before="55" w:line="194" w:lineRule="exact"/>
              <w:ind w:right="15"/>
              <w:jc w:val="right"/>
              <w:rPr>
                <w:b/>
                <w:sz w:val="18"/>
              </w:rPr>
            </w:pPr>
            <w:r>
              <w:rPr>
                <w:b/>
                <w:spacing w:val="-2"/>
                <w:sz w:val="18"/>
              </w:rPr>
              <w:t>(3,466)</w:t>
            </w:r>
          </w:p>
        </w:tc>
      </w:tr>
    </w:tbl>
    <w:p w14:paraId="74514676" w14:textId="77777777" w:rsidR="00AC6F3C" w:rsidRDefault="00AC6F3C">
      <w:pPr>
        <w:pStyle w:val="BodyText"/>
      </w:pPr>
    </w:p>
    <w:p w14:paraId="6D090D42" w14:textId="77777777" w:rsidR="00AC6F3C" w:rsidRDefault="00AC6F3C">
      <w:pPr>
        <w:pStyle w:val="BodyText"/>
      </w:pPr>
    </w:p>
    <w:p w14:paraId="0F4E8881" w14:textId="77777777" w:rsidR="00AC6F3C" w:rsidRDefault="00AC6F3C">
      <w:pPr>
        <w:pStyle w:val="BodyText"/>
      </w:pPr>
    </w:p>
    <w:p w14:paraId="52D76327" w14:textId="77777777" w:rsidR="00AC6F3C" w:rsidRDefault="00AC6F3C">
      <w:pPr>
        <w:pStyle w:val="BodyText"/>
      </w:pPr>
    </w:p>
    <w:p w14:paraId="2C03A20A" w14:textId="77777777" w:rsidR="00AC6F3C" w:rsidRDefault="00AC6F3C">
      <w:pPr>
        <w:pStyle w:val="BodyText"/>
      </w:pPr>
    </w:p>
    <w:p w14:paraId="226C2F6E" w14:textId="77777777" w:rsidR="00AC6F3C" w:rsidRDefault="00AC6F3C">
      <w:pPr>
        <w:pStyle w:val="BodyText"/>
      </w:pPr>
    </w:p>
    <w:p w14:paraId="2B64419D" w14:textId="77777777" w:rsidR="00AC6F3C" w:rsidRDefault="00AC6F3C">
      <w:pPr>
        <w:pStyle w:val="BodyText"/>
      </w:pPr>
    </w:p>
    <w:p w14:paraId="4035F5C8" w14:textId="77777777" w:rsidR="00AC6F3C" w:rsidRDefault="00AC6F3C">
      <w:pPr>
        <w:pStyle w:val="BodyText"/>
      </w:pPr>
    </w:p>
    <w:p w14:paraId="7122DA03" w14:textId="77777777" w:rsidR="00AC6F3C" w:rsidRDefault="00AC6F3C">
      <w:pPr>
        <w:pStyle w:val="BodyText"/>
      </w:pPr>
    </w:p>
    <w:p w14:paraId="6112958E" w14:textId="77777777" w:rsidR="00AC6F3C" w:rsidRDefault="00AC6F3C">
      <w:pPr>
        <w:pStyle w:val="BodyText"/>
      </w:pPr>
    </w:p>
    <w:p w14:paraId="21005B27" w14:textId="77777777" w:rsidR="00AC6F3C" w:rsidRDefault="00AC6F3C">
      <w:pPr>
        <w:pStyle w:val="BodyText"/>
      </w:pPr>
    </w:p>
    <w:p w14:paraId="25B5B698" w14:textId="77777777" w:rsidR="00AC6F3C" w:rsidRDefault="00AC6F3C">
      <w:pPr>
        <w:pStyle w:val="BodyText"/>
      </w:pPr>
    </w:p>
    <w:p w14:paraId="472AAD60" w14:textId="77777777" w:rsidR="00AC6F3C" w:rsidRDefault="00AC6F3C">
      <w:pPr>
        <w:pStyle w:val="BodyText"/>
      </w:pPr>
    </w:p>
    <w:p w14:paraId="4B4A12A4" w14:textId="77777777" w:rsidR="00AC6F3C" w:rsidRDefault="00AC6F3C">
      <w:pPr>
        <w:pStyle w:val="BodyText"/>
      </w:pPr>
    </w:p>
    <w:p w14:paraId="73BA0474" w14:textId="77777777" w:rsidR="00AC6F3C" w:rsidRDefault="00AC6F3C">
      <w:pPr>
        <w:pStyle w:val="BodyText"/>
      </w:pPr>
    </w:p>
    <w:p w14:paraId="4249BF0A" w14:textId="77777777" w:rsidR="00AC6F3C" w:rsidRDefault="00AC6F3C">
      <w:pPr>
        <w:pStyle w:val="BodyText"/>
      </w:pPr>
    </w:p>
    <w:p w14:paraId="2232C7DD" w14:textId="77777777" w:rsidR="00AC6F3C" w:rsidRDefault="00AC6F3C">
      <w:pPr>
        <w:pStyle w:val="BodyText"/>
      </w:pPr>
    </w:p>
    <w:p w14:paraId="112A2BF9" w14:textId="77777777" w:rsidR="00AC6F3C" w:rsidRDefault="00AC6F3C">
      <w:pPr>
        <w:pStyle w:val="BodyText"/>
      </w:pPr>
    </w:p>
    <w:p w14:paraId="19E5BC43" w14:textId="77777777" w:rsidR="00AC6F3C" w:rsidRDefault="00AC6F3C">
      <w:pPr>
        <w:pStyle w:val="BodyText"/>
        <w:spacing w:before="6"/>
        <w:rPr>
          <w:sz w:val="28"/>
        </w:rPr>
      </w:pPr>
    </w:p>
    <w:p w14:paraId="1D7410C9" w14:textId="77777777" w:rsidR="00AC6F3C" w:rsidRDefault="00570E88">
      <w:pPr>
        <w:spacing w:before="94"/>
        <w:ind w:left="996"/>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08B4BC93" w14:textId="77777777" w:rsidR="00AC6F3C" w:rsidRDefault="00AC6F3C">
      <w:pPr>
        <w:rPr>
          <w:sz w:val="18"/>
        </w:rPr>
        <w:sectPr w:rsidR="00AC6F3C">
          <w:pgSz w:w="11910" w:h="16840"/>
          <w:pgMar w:top="1580" w:right="1160" w:bottom="520" w:left="460" w:header="1297" w:footer="336" w:gutter="0"/>
          <w:cols w:space="720"/>
        </w:sectPr>
      </w:pPr>
    </w:p>
    <w:p w14:paraId="18B306CE" w14:textId="77777777" w:rsidR="00AC6F3C" w:rsidRDefault="00570E88">
      <w:pPr>
        <w:ind w:left="979"/>
      </w:pPr>
      <w:r>
        <w:lastRenderedPageBreak/>
        <w:t>Statement</w:t>
      </w:r>
      <w:r>
        <w:rPr>
          <w:spacing w:val="-4"/>
        </w:rPr>
        <w:t xml:space="preserve"> </w:t>
      </w:r>
      <w:r>
        <w:t>of</w:t>
      </w:r>
      <w:r>
        <w:rPr>
          <w:spacing w:val="-4"/>
        </w:rPr>
        <w:t xml:space="preserve"> </w:t>
      </w:r>
      <w:r>
        <w:t>Financial</w:t>
      </w:r>
      <w:r>
        <w:rPr>
          <w:spacing w:val="-3"/>
        </w:rPr>
        <w:t xml:space="preserve"> </w:t>
      </w:r>
      <w:r>
        <w:t>Position</w:t>
      </w:r>
      <w:r>
        <w:rPr>
          <w:spacing w:val="-4"/>
        </w:rPr>
        <w:t xml:space="preserve"> </w:t>
      </w:r>
      <w:r>
        <w:t>as</w:t>
      </w:r>
      <w:r>
        <w:rPr>
          <w:spacing w:val="-2"/>
        </w:rPr>
        <w:t xml:space="preserve"> </w:t>
      </w:r>
      <w:r>
        <w:t>at</w:t>
      </w:r>
      <w:r>
        <w:rPr>
          <w:spacing w:val="-2"/>
        </w:rPr>
        <w:t xml:space="preserve"> </w:t>
      </w:r>
      <w:r>
        <w:t>30</w:t>
      </w:r>
      <w:r>
        <w:rPr>
          <w:spacing w:val="-5"/>
        </w:rPr>
        <w:t xml:space="preserve"> </w:t>
      </w:r>
      <w:r>
        <w:t>June</w:t>
      </w:r>
      <w:r>
        <w:rPr>
          <w:spacing w:val="-5"/>
        </w:rPr>
        <w:t xml:space="preserve"> </w:t>
      </w:r>
      <w:r>
        <w:rPr>
          <w:spacing w:val="-4"/>
        </w:rPr>
        <w:t>2023</w:t>
      </w:r>
    </w:p>
    <w:p w14:paraId="2718D78B" w14:textId="77777777" w:rsidR="00AC6F3C" w:rsidRDefault="00570E88">
      <w:pPr>
        <w:pStyle w:val="BodyText"/>
        <w:spacing w:before="8"/>
        <w:rPr>
          <w:sz w:val="18"/>
        </w:rPr>
      </w:pPr>
      <w:r>
        <w:rPr>
          <w:noProof/>
        </w:rPr>
        <mc:AlternateContent>
          <mc:Choice Requires="wps">
            <w:drawing>
              <wp:anchor distT="0" distB="0" distL="0" distR="0" simplePos="0" relativeHeight="487693312" behindDoc="1" locked="0" layoutInCell="1" allowOverlap="1" wp14:anchorId="351826C9" wp14:editId="7A94CD13">
                <wp:simplePos x="0" y="0"/>
                <wp:positionH relativeFrom="page">
                  <wp:posOffset>896045</wp:posOffset>
                </wp:positionH>
                <wp:positionV relativeFrom="paragraph">
                  <wp:posOffset>151896</wp:posOffset>
                </wp:positionV>
                <wp:extent cx="5783580" cy="6350"/>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6350"/>
                        </a:xfrm>
                        <a:custGeom>
                          <a:avLst/>
                          <a:gdLst/>
                          <a:ahLst/>
                          <a:cxnLst/>
                          <a:rect l="l" t="t" r="r" b="b"/>
                          <a:pathLst>
                            <a:path w="5783580" h="6350">
                              <a:moveTo>
                                <a:pt x="5783148" y="6094"/>
                              </a:moveTo>
                              <a:lnTo>
                                <a:pt x="0" y="6094"/>
                              </a:lnTo>
                              <a:lnTo>
                                <a:pt x="0" y="0"/>
                              </a:lnTo>
                              <a:lnTo>
                                <a:pt x="5783148" y="0"/>
                              </a:lnTo>
                              <a:lnTo>
                                <a:pt x="578314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BBBA35" id="Graphic 792" o:spid="_x0000_s1026" style="position:absolute;margin-left:70.55pt;margin-top:11.95pt;width:455.4pt;height:.5pt;z-index:-15623168;visibility:visible;mso-wrap-style:square;mso-wrap-distance-left:0;mso-wrap-distance-top:0;mso-wrap-distance-right:0;mso-wrap-distance-bottom:0;mso-position-horizontal:absolute;mso-position-horizontal-relative:page;mso-position-vertical:absolute;mso-position-vertical-relative:text;v-text-anchor:top" coordsize="5783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" path="m5783148,6094l,6094,,,5783148,r,6094xe" fillcolor="black" stroked="f">
                <v:path arrowok="t"/>
                <w10:wrap type="topAndBottom" anchorx="page"/>
              </v:shape>
            </w:pict>
          </mc:Fallback>
        </mc:AlternateContent>
      </w:r>
    </w:p>
    <w:p w14:paraId="7F11A6A4" w14:textId="77777777" w:rsidR="00AC6F3C" w:rsidRDefault="00AC6F3C">
      <w:pPr>
        <w:pStyle w:val="BodyText"/>
      </w:pPr>
    </w:p>
    <w:p w14:paraId="6332D5CA" w14:textId="77777777" w:rsidR="00AC6F3C" w:rsidRDefault="00AC6F3C">
      <w:pPr>
        <w:pStyle w:val="BodyText"/>
      </w:pPr>
    </w:p>
    <w:p w14:paraId="30409C19" w14:textId="77777777" w:rsidR="00AC6F3C" w:rsidRDefault="00AC6F3C">
      <w:pPr>
        <w:pStyle w:val="BodyText"/>
        <w:spacing w:before="9"/>
        <w:rPr>
          <w:sz w:val="13"/>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4"/>
        <w:gridCol w:w="2074"/>
        <w:gridCol w:w="1662"/>
        <w:gridCol w:w="1640"/>
      </w:tblGrid>
      <w:tr w:rsidR="00AC6F3C" w14:paraId="0713907B" w14:textId="77777777">
        <w:trPr>
          <w:trHeight w:val="553"/>
        </w:trPr>
        <w:tc>
          <w:tcPr>
            <w:tcW w:w="5488" w:type="dxa"/>
            <w:gridSpan w:val="2"/>
            <w:tcBorders>
              <w:right w:val="nil"/>
            </w:tcBorders>
            <w:shd w:val="clear" w:color="auto" w:fill="BEBEBE"/>
          </w:tcPr>
          <w:p w14:paraId="39B12C45" w14:textId="77777777" w:rsidR="00AC6F3C" w:rsidRDefault="00AC6F3C">
            <w:pPr>
              <w:pStyle w:val="TableParagraph"/>
              <w:spacing w:before="11"/>
              <w:rPr>
                <w:sz w:val="26"/>
              </w:rPr>
            </w:pPr>
          </w:p>
          <w:p w14:paraId="5CFC2DF4" w14:textId="77777777" w:rsidR="00AC6F3C" w:rsidRDefault="00570E88">
            <w:pPr>
              <w:pStyle w:val="TableParagraph"/>
              <w:ind w:right="564"/>
              <w:jc w:val="right"/>
              <w:rPr>
                <w:b/>
                <w:sz w:val="18"/>
              </w:rPr>
            </w:pPr>
            <w:r>
              <w:rPr>
                <w:b/>
                <w:spacing w:val="-2"/>
                <w:sz w:val="18"/>
              </w:rPr>
              <w:t>Notes</w:t>
            </w:r>
          </w:p>
        </w:tc>
        <w:tc>
          <w:tcPr>
            <w:tcW w:w="1662" w:type="dxa"/>
            <w:tcBorders>
              <w:left w:val="nil"/>
              <w:right w:val="nil"/>
            </w:tcBorders>
            <w:shd w:val="clear" w:color="auto" w:fill="BEBEBE"/>
          </w:tcPr>
          <w:p w14:paraId="517BD024" w14:textId="77777777" w:rsidR="00AC6F3C" w:rsidRDefault="00570E88">
            <w:pPr>
              <w:pStyle w:val="TableParagraph"/>
              <w:spacing w:before="25"/>
              <w:ind w:left="1205"/>
              <w:rPr>
                <w:b/>
                <w:sz w:val="18"/>
              </w:rPr>
            </w:pPr>
            <w:r>
              <w:rPr>
                <w:b/>
                <w:spacing w:val="-4"/>
                <w:sz w:val="18"/>
              </w:rPr>
              <w:t>2023</w:t>
            </w:r>
          </w:p>
          <w:p w14:paraId="15ECE181" w14:textId="77777777" w:rsidR="00AC6F3C" w:rsidRDefault="00570E88">
            <w:pPr>
              <w:pStyle w:val="TableParagraph"/>
              <w:spacing w:before="108" w:line="194" w:lineRule="exact"/>
              <w:ind w:left="1160"/>
              <w:rPr>
                <w:b/>
                <w:sz w:val="18"/>
              </w:rPr>
            </w:pPr>
            <w:r>
              <w:rPr>
                <w:b/>
                <w:spacing w:val="-2"/>
                <w:sz w:val="18"/>
              </w:rPr>
              <w:t>$'000</w:t>
            </w:r>
          </w:p>
        </w:tc>
        <w:tc>
          <w:tcPr>
            <w:tcW w:w="1640" w:type="dxa"/>
            <w:tcBorders>
              <w:left w:val="nil"/>
            </w:tcBorders>
            <w:shd w:val="clear" w:color="auto" w:fill="BEBEBE"/>
          </w:tcPr>
          <w:p w14:paraId="3B93BEF9" w14:textId="77777777" w:rsidR="00AC6F3C" w:rsidRDefault="00570E88">
            <w:pPr>
              <w:pStyle w:val="TableParagraph"/>
              <w:spacing w:before="25"/>
              <w:ind w:left="1190"/>
              <w:rPr>
                <w:b/>
                <w:sz w:val="18"/>
              </w:rPr>
            </w:pPr>
            <w:r>
              <w:rPr>
                <w:b/>
                <w:spacing w:val="-4"/>
                <w:sz w:val="18"/>
              </w:rPr>
              <w:t>2022</w:t>
            </w:r>
          </w:p>
          <w:p w14:paraId="2E121745" w14:textId="77777777" w:rsidR="00AC6F3C" w:rsidRDefault="00570E88">
            <w:pPr>
              <w:pStyle w:val="TableParagraph"/>
              <w:spacing w:before="108" w:line="194" w:lineRule="exact"/>
              <w:ind w:left="1145"/>
              <w:rPr>
                <w:b/>
                <w:sz w:val="18"/>
              </w:rPr>
            </w:pPr>
            <w:r>
              <w:rPr>
                <w:b/>
                <w:spacing w:val="-2"/>
                <w:sz w:val="18"/>
              </w:rPr>
              <w:t>$'000</w:t>
            </w:r>
          </w:p>
        </w:tc>
      </w:tr>
      <w:tr w:rsidR="00AC6F3C" w14:paraId="180D643D" w14:textId="77777777">
        <w:trPr>
          <w:trHeight w:val="838"/>
        </w:trPr>
        <w:tc>
          <w:tcPr>
            <w:tcW w:w="3414" w:type="dxa"/>
            <w:tcBorders>
              <w:right w:val="nil"/>
            </w:tcBorders>
          </w:tcPr>
          <w:p w14:paraId="149A6D11" w14:textId="77777777" w:rsidR="00AC6F3C" w:rsidRDefault="00570E88">
            <w:pPr>
              <w:pStyle w:val="TableParagraph"/>
              <w:spacing w:before="55"/>
              <w:ind w:left="37"/>
              <w:rPr>
                <w:b/>
                <w:sz w:val="18"/>
              </w:rPr>
            </w:pPr>
            <w:r>
              <w:rPr>
                <w:b/>
                <w:spacing w:val="-2"/>
                <w:sz w:val="18"/>
              </w:rPr>
              <w:t>Current</w:t>
            </w:r>
            <w:r>
              <w:rPr>
                <w:b/>
                <w:spacing w:val="-7"/>
                <w:sz w:val="18"/>
              </w:rPr>
              <w:t xml:space="preserve"> </w:t>
            </w:r>
            <w:r>
              <w:rPr>
                <w:b/>
                <w:spacing w:val="-2"/>
                <w:sz w:val="18"/>
              </w:rPr>
              <w:t>assets</w:t>
            </w:r>
          </w:p>
          <w:p w14:paraId="0356E95D" w14:textId="77777777" w:rsidR="00AC6F3C" w:rsidRDefault="00570E88">
            <w:pPr>
              <w:pStyle w:val="TableParagraph"/>
              <w:spacing w:line="280" w:lineRule="atLeast"/>
              <w:ind w:left="37" w:right="269"/>
              <w:rPr>
                <w:sz w:val="18"/>
              </w:rPr>
            </w:pPr>
            <w:r>
              <w:rPr>
                <w:sz w:val="18"/>
              </w:rPr>
              <w:t xml:space="preserve">Cash and cash equivalents </w:t>
            </w:r>
            <w:r>
              <w:rPr>
                <w:spacing w:val="-2"/>
                <w:sz w:val="18"/>
              </w:rPr>
              <w:t>Receivables</w:t>
            </w:r>
          </w:p>
        </w:tc>
        <w:tc>
          <w:tcPr>
            <w:tcW w:w="2074" w:type="dxa"/>
            <w:tcBorders>
              <w:left w:val="nil"/>
              <w:right w:val="nil"/>
            </w:tcBorders>
          </w:tcPr>
          <w:p w14:paraId="38435380" w14:textId="77777777" w:rsidR="00AC6F3C" w:rsidRDefault="00AC6F3C">
            <w:pPr>
              <w:pStyle w:val="TableParagraph"/>
              <w:spacing w:before="5"/>
            </w:pPr>
          </w:p>
          <w:p w14:paraId="09E7309E" w14:textId="77777777" w:rsidR="00AC6F3C" w:rsidRDefault="00570E88">
            <w:pPr>
              <w:pStyle w:val="TableParagraph"/>
              <w:spacing w:line="280" w:lineRule="atLeast"/>
              <w:ind w:left="1153" w:right="502"/>
              <w:rPr>
                <w:sz w:val="18"/>
              </w:rPr>
            </w:pPr>
            <w:r>
              <w:rPr>
                <w:spacing w:val="-6"/>
                <w:sz w:val="18"/>
              </w:rPr>
              <w:t xml:space="preserve">C1 </w:t>
            </w:r>
            <w:r>
              <w:rPr>
                <w:spacing w:val="-5"/>
                <w:sz w:val="18"/>
              </w:rPr>
              <w:t>C2</w:t>
            </w:r>
          </w:p>
        </w:tc>
        <w:tc>
          <w:tcPr>
            <w:tcW w:w="1662" w:type="dxa"/>
            <w:tcBorders>
              <w:left w:val="nil"/>
              <w:right w:val="nil"/>
            </w:tcBorders>
            <w:shd w:val="clear" w:color="auto" w:fill="F1F1F1"/>
          </w:tcPr>
          <w:p w14:paraId="0540CC15" w14:textId="77777777" w:rsidR="00AC6F3C" w:rsidRDefault="00AC6F3C">
            <w:pPr>
              <w:pStyle w:val="TableParagraph"/>
              <w:spacing w:before="6"/>
              <w:rPr>
                <w:sz w:val="29"/>
              </w:rPr>
            </w:pPr>
          </w:p>
          <w:p w14:paraId="21E1FB53" w14:textId="77777777" w:rsidR="00AC6F3C" w:rsidRDefault="00570E88">
            <w:pPr>
              <w:pStyle w:val="TableParagraph"/>
              <w:ind w:right="35"/>
              <w:jc w:val="right"/>
              <w:rPr>
                <w:sz w:val="18"/>
              </w:rPr>
            </w:pPr>
            <w:r>
              <w:rPr>
                <w:spacing w:val="-5"/>
                <w:sz w:val="18"/>
              </w:rPr>
              <w:t>945</w:t>
            </w:r>
          </w:p>
          <w:p w14:paraId="757373BE" w14:textId="77777777" w:rsidR="00AC6F3C" w:rsidRDefault="00570E88">
            <w:pPr>
              <w:pStyle w:val="TableParagraph"/>
              <w:spacing w:before="77" w:line="194" w:lineRule="exact"/>
              <w:ind w:right="35"/>
              <w:jc w:val="right"/>
              <w:rPr>
                <w:sz w:val="18"/>
              </w:rPr>
            </w:pPr>
            <w:r>
              <w:rPr>
                <w:spacing w:val="-2"/>
                <w:sz w:val="18"/>
              </w:rPr>
              <w:t>28,232</w:t>
            </w:r>
          </w:p>
        </w:tc>
        <w:tc>
          <w:tcPr>
            <w:tcW w:w="1640" w:type="dxa"/>
            <w:tcBorders>
              <w:left w:val="nil"/>
            </w:tcBorders>
          </w:tcPr>
          <w:p w14:paraId="692C42FF" w14:textId="77777777" w:rsidR="00AC6F3C" w:rsidRDefault="00AC6F3C">
            <w:pPr>
              <w:pStyle w:val="TableParagraph"/>
              <w:spacing w:before="6"/>
              <w:rPr>
                <w:sz w:val="29"/>
              </w:rPr>
            </w:pPr>
          </w:p>
          <w:p w14:paraId="62131DF5" w14:textId="77777777" w:rsidR="00AC6F3C" w:rsidRDefault="00570E88">
            <w:pPr>
              <w:pStyle w:val="TableParagraph"/>
              <w:ind w:right="21"/>
              <w:jc w:val="right"/>
              <w:rPr>
                <w:sz w:val="18"/>
              </w:rPr>
            </w:pPr>
            <w:r>
              <w:rPr>
                <w:spacing w:val="-2"/>
                <w:sz w:val="18"/>
              </w:rPr>
              <w:t>1,518</w:t>
            </w:r>
          </w:p>
          <w:p w14:paraId="12711A5F" w14:textId="77777777" w:rsidR="00AC6F3C" w:rsidRDefault="00570E88">
            <w:pPr>
              <w:pStyle w:val="TableParagraph"/>
              <w:spacing w:before="77" w:line="194" w:lineRule="exact"/>
              <w:ind w:right="20"/>
              <w:jc w:val="right"/>
              <w:rPr>
                <w:sz w:val="18"/>
              </w:rPr>
            </w:pPr>
            <w:r>
              <w:rPr>
                <w:spacing w:val="-2"/>
                <w:sz w:val="18"/>
              </w:rPr>
              <w:t>26,500</w:t>
            </w:r>
          </w:p>
        </w:tc>
      </w:tr>
      <w:tr w:rsidR="00AC6F3C" w14:paraId="48A74F6C" w14:textId="77777777">
        <w:trPr>
          <w:trHeight w:val="269"/>
        </w:trPr>
        <w:tc>
          <w:tcPr>
            <w:tcW w:w="3414" w:type="dxa"/>
            <w:tcBorders>
              <w:right w:val="nil"/>
            </w:tcBorders>
            <w:shd w:val="clear" w:color="auto" w:fill="BEBEBE"/>
          </w:tcPr>
          <w:p w14:paraId="54CB34B4" w14:textId="77777777" w:rsidR="00AC6F3C" w:rsidRDefault="00570E88">
            <w:pPr>
              <w:pStyle w:val="TableParagraph"/>
              <w:spacing w:before="55" w:line="194" w:lineRule="exact"/>
              <w:ind w:left="37"/>
              <w:rPr>
                <w:b/>
                <w:sz w:val="18"/>
              </w:rPr>
            </w:pPr>
            <w:r>
              <w:rPr>
                <w:b/>
                <w:spacing w:val="-2"/>
                <w:sz w:val="18"/>
              </w:rPr>
              <w:t>Total</w:t>
            </w:r>
            <w:r>
              <w:rPr>
                <w:b/>
                <w:spacing w:val="-5"/>
                <w:sz w:val="18"/>
              </w:rPr>
              <w:t xml:space="preserve"> </w:t>
            </w:r>
            <w:r>
              <w:rPr>
                <w:b/>
                <w:spacing w:val="-2"/>
                <w:sz w:val="18"/>
              </w:rPr>
              <w:t>current</w:t>
            </w:r>
            <w:r>
              <w:rPr>
                <w:b/>
                <w:spacing w:val="1"/>
                <w:sz w:val="18"/>
              </w:rPr>
              <w:t xml:space="preserve"> </w:t>
            </w:r>
            <w:r>
              <w:rPr>
                <w:b/>
                <w:spacing w:val="-2"/>
                <w:sz w:val="18"/>
              </w:rPr>
              <w:t>assets</w:t>
            </w:r>
          </w:p>
        </w:tc>
        <w:tc>
          <w:tcPr>
            <w:tcW w:w="2074" w:type="dxa"/>
            <w:tcBorders>
              <w:left w:val="nil"/>
              <w:right w:val="nil"/>
            </w:tcBorders>
            <w:shd w:val="clear" w:color="auto" w:fill="BEBEBE"/>
          </w:tcPr>
          <w:p w14:paraId="12B1AE3E"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457633A0" w14:textId="77777777" w:rsidR="00AC6F3C" w:rsidRDefault="00570E88">
            <w:pPr>
              <w:pStyle w:val="TableParagraph"/>
              <w:spacing w:before="55" w:line="194" w:lineRule="exact"/>
              <w:ind w:right="35"/>
              <w:jc w:val="right"/>
              <w:rPr>
                <w:b/>
                <w:sz w:val="18"/>
              </w:rPr>
            </w:pPr>
            <w:r>
              <w:rPr>
                <w:b/>
                <w:spacing w:val="-2"/>
                <w:sz w:val="18"/>
              </w:rPr>
              <w:t>29,177</w:t>
            </w:r>
          </w:p>
        </w:tc>
        <w:tc>
          <w:tcPr>
            <w:tcW w:w="1640" w:type="dxa"/>
            <w:tcBorders>
              <w:left w:val="nil"/>
            </w:tcBorders>
            <w:shd w:val="clear" w:color="auto" w:fill="BEBEBE"/>
          </w:tcPr>
          <w:p w14:paraId="62A75651" w14:textId="77777777" w:rsidR="00AC6F3C" w:rsidRDefault="00570E88">
            <w:pPr>
              <w:pStyle w:val="TableParagraph"/>
              <w:spacing w:before="55" w:line="194" w:lineRule="exact"/>
              <w:ind w:right="20"/>
              <w:jc w:val="right"/>
              <w:rPr>
                <w:b/>
                <w:sz w:val="18"/>
              </w:rPr>
            </w:pPr>
            <w:r>
              <w:rPr>
                <w:b/>
                <w:spacing w:val="-2"/>
                <w:sz w:val="18"/>
              </w:rPr>
              <w:t>28,018</w:t>
            </w:r>
          </w:p>
        </w:tc>
      </w:tr>
      <w:tr w:rsidR="00AC6F3C" w14:paraId="7CE7C173" w14:textId="77777777">
        <w:trPr>
          <w:trHeight w:val="838"/>
        </w:trPr>
        <w:tc>
          <w:tcPr>
            <w:tcW w:w="3414" w:type="dxa"/>
            <w:tcBorders>
              <w:right w:val="nil"/>
            </w:tcBorders>
          </w:tcPr>
          <w:p w14:paraId="559EAE96" w14:textId="77777777" w:rsidR="00AC6F3C" w:rsidRDefault="00AC6F3C">
            <w:pPr>
              <w:pStyle w:val="TableParagraph"/>
              <w:spacing w:before="6"/>
              <w:rPr>
                <w:sz w:val="29"/>
              </w:rPr>
            </w:pPr>
          </w:p>
          <w:p w14:paraId="439C8DDA" w14:textId="77777777" w:rsidR="00AC6F3C" w:rsidRDefault="00570E88">
            <w:pPr>
              <w:pStyle w:val="TableParagraph"/>
              <w:ind w:left="37"/>
              <w:rPr>
                <w:b/>
                <w:sz w:val="18"/>
              </w:rPr>
            </w:pPr>
            <w:r>
              <w:rPr>
                <w:b/>
                <w:spacing w:val="-2"/>
                <w:sz w:val="18"/>
              </w:rPr>
              <w:t>Non-current</w:t>
            </w:r>
            <w:r>
              <w:rPr>
                <w:b/>
                <w:spacing w:val="-9"/>
                <w:sz w:val="18"/>
              </w:rPr>
              <w:t xml:space="preserve"> </w:t>
            </w:r>
            <w:r>
              <w:rPr>
                <w:b/>
                <w:spacing w:val="-2"/>
                <w:sz w:val="18"/>
              </w:rPr>
              <w:t>assets</w:t>
            </w:r>
          </w:p>
          <w:p w14:paraId="67FACA78" w14:textId="77777777" w:rsidR="00AC6F3C" w:rsidRDefault="00570E88">
            <w:pPr>
              <w:pStyle w:val="TableParagraph"/>
              <w:spacing w:before="77" w:line="194" w:lineRule="exact"/>
              <w:ind w:left="37"/>
              <w:rPr>
                <w:sz w:val="18"/>
              </w:rPr>
            </w:pPr>
            <w:r>
              <w:rPr>
                <w:spacing w:val="-2"/>
                <w:sz w:val="18"/>
              </w:rPr>
              <w:t>Investments</w:t>
            </w:r>
          </w:p>
        </w:tc>
        <w:tc>
          <w:tcPr>
            <w:tcW w:w="2074" w:type="dxa"/>
            <w:tcBorders>
              <w:left w:val="nil"/>
              <w:right w:val="nil"/>
            </w:tcBorders>
          </w:tcPr>
          <w:p w14:paraId="1B365B7A" w14:textId="77777777" w:rsidR="00AC6F3C" w:rsidRDefault="00AC6F3C">
            <w:pPr>
              <w:pStyle w:val="TableParagraph"/>
              <w:rPr>
                <w:sz w:val="20"/>
              </w:rPr>
            </w:pPr>
          </w:p>
          <w:p w14:paraId="0F6010CB" w14:textId="77777777" w:rsidR="00AC6F3C" w:rsidRDefault="00AC6F3C">
            <w:pPr>
              <w:pStyle w:val="TableParagraph"/>
              <w:rPr>
                <w:sz w:val="20"/>
              </w:rPr>
            </w:pPr>
          </w:p>
          <w:p w14:paraId="7370FB6F" w14:textId="77777777" w:rsidR="00AC6F3C" w:rsidRDefault="00570E88">
            <w:pPr>
              <w:pStyle w:val="TableParagraph"/>
              <w:spacing w:before="164" w:line="194" w:lineRule="exact"/>
              <w:ind w:left="1153"/>
              <w:rPr>
                <w:sz w:val="18"/>
              </w:rPr>
            </w:pPr>
            <w:r>
              <w:rPr>
                <w:spacing w:val="-5"/>
                <w:sz w:val="18"/>
              </w:rPr>
              <w:t>C3</w:t>
            </w:r>
          </w:p>
        </w:tc>
        <w:tc>
          <w:tcPr>
            <w:tcW w:w="1662" w:type="dxa"/>
            <w:tcBorders>
              <w:left w:val="nil"/>
              <w:right w:val="nil"/>
            </w:tcBorders>
            <w:shd w:val="clear" w:color="auto" w:fill="F1F1F1"/>
          </w:tcPr>
          <w:p w14:paraId="506ABA4C" w14:textId="77777777" w:rsidR="00AC6F3C" w:rsidRDefault="00AC6F3C">
            <w:pPr>
              <w:pStyle w:val="TableParagraph"/>
              <w:rPr>
                <w:sz w:val="20"/>
              </w:rPr>
            </w:pPr>
          </w:p>
          <w:p w14:paraId="2979E1E2" w14:textId="77777777" w:rsidR="00AC6F3C" w:rsidRDefault="00AC6F3C">
            <w:pPr>
              <w:pStyle w:val="TableParagraph"/>
              <w:rPr>
                <w:sz w:val="20"/>
              </w:rPr>
            </w:pPr>
          </w:p>
          <w:p w14:paraId="43DB60A3" w14:textId="77777777" w:rsidR="00AC6F3C" w:rsidRDefault="00570E88">
            <w:pPr>
              <w:pStyle w:val="TableParagraph"/>
              <w:spacing w:before="164" w:line="194" w:lineRule="exact"/>
              <w:ind w:right="35"/>
              <w:jc w:val="right"/>
              <w:rPr>
                <w:sz w:val="18"/>
              </w:rPr>
            </w:pPr>
            <w:r>
              <w:rPr>
                <w:spacing w:val="-2"/>
                <w:sz w:val="18"/>
              </w:rPr>
              <w:t>55,745</w:t>
            </w:r>
          </w:p>
        </w:tc>
        <w:tc>
          <w:tcPr>
            <w:tcW w:w="1640" w:type="dxa"/>
            <w:tcBorders>
              <w:left w:val="nil"/>
            </w:tcBorders>
          </w:tcPr>
          <w:p w14:paraId="52171645" w14:textId="77777777" w:rsidR="00AC6F3C" w:rsidRDefault="00AC6F3C">
            <w:pPr>
              <w:pStyle w:val="TableParagraph"/>
              <w:rPr>
                <w:sz w:val="20"/>
              </w:rPr>
            </w:pPr>
          </w:p>
          <w:p w14:paraId="5ABE32BA" w14:textId="77777777" w:rsidR="00AC6F3C" w:rsidRDefault="00AC6F3C">
            <w:pPr>
              <w:pStyle w:val="TableParagraph"/>
              <w:rPr>
                <w:sz w:val="20"/>
              </w:rPr>
            </w:pPr>
          </w:p>
          <w:p w14:paraId="4DACE55B" w14:textId="77777777" w:rsidR="00AC6F3C" w:rsidRDefault="00570E88">
            <w:pPr>
              <w:pStyle w:val="TableParagraph"/>
              <w:spacing w:before="164" w:line="194" w:lineRule="exact"/>
              <w:ind w:right="20"/>
              <w:jc w:val="right"/>
              <w:rPr>
                <w:sz w:val="18"/>
              </w:rPr>
            </w:pPr>
            <w:r>
              <w:rPr>
                <w:spacing w:val="-2"/>
                <w:sz w:val="18"/>
              </w:rPr>
              <w:t>53,438</w:t>
            </w:r>
          </w:p>
        </w:tc>
      </w:tr>
      <w:tr w:rsidR="00AC6F3C" w14:paraId="0F6F61B9" w14:textId="77777777">
        <w:trPr>
          <w:trHeight w:val="269"/>
        </w:trPr>
        <w:tc>
          <w:tcPr>
            <w:tcW w:w="3414" w:type="dxa"/>
            <w:tcBorders>
              <w:right w:val="nil"/>
            </w:tcBorders>
            <w:shd w:val="clear" w:color="auto" w:fill="BEBEBE"/>
          </w:tcPr>
          <w:p w14:paraId="61F56079" w14:textId="77777777" w:rsidR="00AC6F3C" w:rsidRDefault="00570E88">
            <w:pPr>
              <w:pStyle w:val="TableParagraph"/>
              <w:spacing w:before="55" w:line="194" w:lineRule="exact"/>
              <w:ind w:left="37"/>
              <w:rPr>
                <w:b/>
                <w:sz w:val="18"/>
              </w:rPr>
            </w:pPr>
            <w:r>
              <w:rPr>
                <w:b/>
                <w:spacing w:val="-2"/>
                <w:sz w:val="18"/>
              </w:rPr>
              <w:t>Total</w:t>
            </w:r>
            <w:r>
              <w:rPr>
                <w:b/>
                <w:spacing w:val="-10"/>
                <w:sz w:val="18"/>
              </w:rPr>
              <w:t xml:space="preserve"> </w:t>
            </w:r>
            <w:r>
              <w:rPr>
                <w:b/>
                <w:spacing w:val="-2"/>
                <w:sz w:val="18"/>
              </w:rPr>
              <w:t>non-current</w:t>
            </w:r>
            <w:r>
              <w:rPr>
                <w:b/>
                <w:spacing w:val="-5"/>
                <w:sz w:val="18"/>
              </w:rPr>
              <w:t xml:space="preserve"> </w:t>
            </w:r>
            <w:r>
              <w:rPr>
                <w:b/>
                <w:spacing w:val="-2"/>
                <w:sz w:val="18"/>
              </w:rPr>
              <w:t>assets</w:t>
            </w:r>
          </w:p>
        </w:tc>
        <w:tc>
          <w:tcPr>
            <w:tcW w:w="2074" w:type="dxa"/>
            <w:tcBorders>
              <w:left w:val="nil"/>
              <w:right w:val="nil"/>
            </w:tcBorders>
            <w:shd w:val="clear" w:color="auto" w:fill="BEBEBE"/>
          </w:tcPr>
          <w:p w14:paraId="1D82DA00"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3FF1F5E3" w14:textId="77777777" w:rsidR="00AC6F3C" w:rsidRDefault="00570E88">
            <w:pPr>
              <w:pStyle w:val="TableParagraph"/>
              <w:spacing w:before="55" w:line="194" w:lineRule="exact"/>
              <w:ind w:right="35"/>
              <w:jc w:val="right"/>
              <w:rPr>
                <w:b/>
                <w:sz w:val="18"/>
              </w:rPr>
            </w:pPr>
            <w:r>
              <w:rPr>
                <w:b/>
                <w:spacing w:val="-2"/>
                <w:sz w:val="18"/>
              </w:rPr>
              <w:t>55,745</w:t>
            </w:r>
          </w:p>
        </w:tc>
        <w:tc>
          <w:tcPr>
            <w:tcW w:w="1640" w:type="dxa"/>
            <w:tcBorders>
              <w:left w:val="nil"/>
            </w:tcBorders>
            <w:shd w:val="clear" w:color="auto" w:fill="BEBEBE"/>
          </w:tcPr>
          <w:p w14:paraId="4072CEAC" w14:textId="77777777" w:rsidR="00AC6F3C" w:rsidRDefault="00570E88">
            <w:pPr>
              <w:pStyle w:val="TableParagraph"/>
              <w:spacing w:before="55" w:line="194" w:lineRule="exact"/>
              <w:ind w:right="20"/>
              <w:jc w:val="right"/>
              <w:rPr>
                <w:b/>
                <w:sz w:val="18"/>
              </w:rPr>
            </w:pPr>
            <w:r>
              <w:rPr>
                <w:b/>
                <w:spacing w:val="-2"/>
                <w:sz w:val="18"/>
              </w:rPr>
              <w:t>53,438</w:t>
            </w:r>
          </w:p>
        </w:tc>
      </w:tr>
      <w:tr w:rsidR="00AC6F3C" w14:paraId="3007F2FD" w14:textId="77777777">
        <w:trPr>
          <w:trHeight w:val="269"/>
        </w:trPr>
        <w:tc>
          <w:tcPr>
            <w:tcW w:w="5488" w:type="dxa"/>
            <w:gridSpan w:val="2"/>
            <w:tcBorders>
              <w:right w:val="nil"/>
            </w:tcBorders>
          </w:tcPr>
          <w:p w14:paraId="3F04A364"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2FFCFB1C" w14:textId="77777777" w:rsidR="00AC6F3C" w:rsidRDefault="00AC6F3C">
            <w:pPr>
              <w:pStyle w:val="TableParagraph"/>
              <w:rPr>
                <w:rFonts w:ascii="Times New Roman"/>
                <w:sz w:val="18"/>
              </w:rPr>
            </w:pPr>
          </w:p>
        </w:tc>
        <w:tc>
          <w:tcPr>
            <w:tcW w:w="1640" w:type="dxa"/>
            <w:tcBorders>
              <w:left w:val="nil"/>
            </w:tcBorders>
          </w:tcPr>
          <w:p w14:paraId="173A3B77" w14:textId="77777777" w:rsidR="00AC6F3C" w:rsidRDefault="00AC6F3C">
            <w:pPr>
              <w:pStyle w:val="TableParagraph"/>
              <w:rPr>
                <w:rFonts w:ascii="Times New Roman"/>
                <w:sz w:val="18"/>
              </w:rPr>
            </w:pPr>
          </w:p>
        </w:tc>
      </w:tr>
      <w:tr w:rsidR="00AC6F3C" w14:paraId="2F80BC77" w14:textId="77777777">
        <w:trPr>
          <w:trHeight w:val="269"/>
        </w:trPr>
        <w:tc>
          <w:tcPr>
            <w:tcW w:w="3414" w:type="dxa"/>
            <w:tcBorders>
              <w:right w:val="nil"/>
            </w:tcBorders>
            <w:shd w:val="clear" w:color="auto" w:fill="BEBEBE"/>
          </w:tcPr>
          <w:p w14:paraId="3C019493" w14:textId="77777777" w:rsidR="00AC6F3C" w:rsidRDefault="00570E88">
            <w:pPr>
              <w:pStyle w:val="TableParagraph"/>
              <w:spacing w:before="55" w:line="194" w:lineRule="exact"/>
              <w:ind w:left="38"/>
              <w:rPr>
                <w:b/>
                <w:sz w:val="18"/>
              </w:rPr>
            </w:pPr>
            <w:r>
              <w:rPr>
                <w:b/>
                <w:spacing w:val="-4"/>
                <w:sz w:val="18"/>
              </w:rPr>
              <w:t>Total</w:t>
            </w:r>
            <w:r>
              <w:rPr>
                <w:b/>
                <w:spacing w:val="-2"/>
                <w:sz w:val="18"/>
              </w:rPr>
              <w:t xml:space="preserve"> assets</w:t>
            </w:r>
          </w:p>
        </w:tc>
        <w:tc>
          <w:tcPr>
            <w:tcW w:w="2074" w:type="dxa"/>
            <w:tcBorders>
              <w:left w:val="nil"/>
              <w:right w:val="nil"/>
            </w:tcBorders>
            <w:shd w:val="clear" w:color="auto" w:fill="BEBEBE"/>
          </w:tcPr>
          <w:p w14:paraId="23AD9BE1"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5641BD5C" w14:textId="77777777" w:rsidR="00AC6F3C" w:rsidRDefault="00570E88">
            <w:pPr>
              <w:pStyle w:val="TableParagraph"/>
              <w:spacing w:before="55" w:line="194" w:lineRule="exact"/>
              <w:ind w:right="34"/>
              <w:jc w:val="right"/>
              <w:rPr>
                <w:b/>
                <w:sz w:val="18"/>
              </w:rPr>
            </w:pPr>
            <w:r>
              <w:rPr>
                <w:b/>
                <w:spacing w:val="-2"/>
                <w:sz w:val="18"/>
              </w:rPr>
              <w:t>84,922</w:t>
            </w:r>
          </w:p>
        </w:tc>
        <w:tc>
          <w:tcPr>
            <w:tcW w:w="1640" w:type="dxa"/>
            <w:tcBorders>
              <w:left w:val="nil"/>
            </w:tcBorders>
            <w:shd w:val="clear" w:color="auto" w:fill="BEBEBE"/>
          </w:tcPr>
          <w:p w14:paraId="330A5C39" w14:textId="77777777" w:rsidR="00AC6F3C" w:rsidRDefault="00570E88">
            <w:pPr>
              <w:pStyle w:val="TableParagraph"/>
              <w:spacing w:before="55" w:line="194" w:lineRule="exact"/>
              <w:ind w:right="20"/>
              <w:jc w:val="right"/>
              <w:rPr>
                <w:b/>
                <w:sz w:val="18"/>
              </w:rPr>
            </w:pPr>
            <w:r>
              <w:rPr>
                <w:b/>
                <w:spacing w:val="-2"/>
                <w:sz w:val="18"/>
              </w:rPr>
              <w:t>81,456</w:t>
            </w:r>
          </w:p>
        </w:tc>
      </w:tr>
      <w:tr w:rsidR="00AC6F3C" w14:paraId="2E7B94C9" w14:textId="77777777">
        <w:trPr>
          <w:trHeight w:val="1122"/>
        </w:trPr>
        <w:tc>
          <w:tcPr>
            <w:tcW w:w="3414" w:type="dxa"/>
            <w:tcBorders>
              <w:right w:val="nil"/>
            </w:tcBorders>
          </w:tcPr>
          <w:p w14:paraId="78CAFF30" w14:textId="77777777" w:rsidR="00AC6F3C" w:rsidRDefault="00AC6F3C">
            <w:pPr>
              <w:pStyle w:val="TableParagraph"/>
              <w:spacing w:before="9"/>
            </w:pPr>
          </w:p>
          <w:p w14:paraId="1EACCC1A" w14:textId="77777777" w:rsidR="00AC6F3C" w:rsidRDefault="00570E88">
            <w:pPr>
              <w:pStyle w:val="TableParagraph"/>
              <w:spacing w:line="280" w:lineRule="atLeast"/>
              <w:ind w:left="38" w:right="1330"/>
              <w:rPr>
                <w:sz w:val="18"/>
              </w:rPr>
            </w:pPr>
            <w:r>
              <w:rPr>
                <w:b/>
                <w:sz w:val="18"/>
              </w:rPr>
              <w:t>Current</w:t>
            </w:r>
            <w:r>
              <w:rPr>
                <w:b/>
                <w:spacing w:val="-3"/>
                <w:sz w:val="18"/>
              </w:rPr>
              <w:t xml:space="preserve"> </w:t>
            </w:r>
            <w:r>
              <w:rPr>
                <w:b/>
                <w:sz w:val="18"/>
              </w:rPr>
              <w:t xml:space="preserve">liabilities </w:t>
            </w:r>
            <w:r>
              <w:rPr>
                <w:sz w:val="18"/>
              </w:rPr>
              <w:t>Income</w:t>
            </w:r>
            <w:r>
              <w:rPr>
                <w:spacing w:val="-6"/>
                <w:sz w:val="18"/>
              </w:rPr>
              <w:t xml:space="preserve"> </w:t>
            </w:r>
            <w:r>
              <w:rPr>
                <w:sz w:val="18"/>
              </w:rPr>
              <w:t>in</w:t>
            </w:r>
            <w:r>
              <w:rPr>
                <w:spacing w:val="-6"/>
                <w:sz w:val="18"/>
              </w:rPr>
              <w:t xml:space="preserve"> </w:t>
            </w:r>
            <w:r>
              <w:rPr>
                <w:sz w:val="18"/>
              </w:rPr>
              <w:t xml:space="preserve">advance </w:t>
            </w:r>
            <w:r>
              <w:rPr>
                <w:spacing w:val="-2"/>
                <w:sz w:val="18"/>
              </w:rPr>
              <w:t>Payables</w:t>
            </w:r>
          </w:p>
        </w:tc>
        <w:tc>
          <w:tcPr>
            <w:tcW w:w="2074" w:type="dxa"/>
            <w:tcBorders>
              <w:left w:val="nil"/>
              <w:right w:val="nil"/>
            </w:tcBorders>
          </w:tcPr>
          <w:p w14:paraId="661EB811" w14:textId="77777777" w:rsidR="00AC6F3C" w:rsidRDefault="00AC6F3C">
            <w:pPr>
              <w:pStyle w:val="TableParagraph"/>
              <w:rPr>
                <w:sz w:val="20"/>
              </w:rPr>
            </w:pPr>
          </w:p>
          <w:p w14:paraId="43884DFA" w14:textId="77777777" w:rsidR="00AC6F3C" w:rsidRDefault="00AC6F3C">
            <w:pPr>
              <w:pStyle w:val="TableParagraph"/>
              <w:spacing w:before="1"/>
              <w:rPr>
                <w:sz w:val="27"/>
              </w:rPr>
            </w:pPr>
          </w:p>
          <w:p w14:paraId="5F243594" w14:textId="77777777" w:rsidR="00AC6F3C" w:rsidRDefault="00570E88">
            <w:pPr>
              <w:pStyle w:val="TableParagraph"/>
              <w:spacing w:before="1" w:line="280" w:lineRule="atLeast"/>
              <w:ind w:left="1154" w:right="502" w:hanging="1"/>
              <w:rPr>
                <w:sz w:val="18"/>
              </w:rPr>
            </w:pPr>
            <w:r>
              <w:rPr>
                <w:spacing w:val="-6"/>
                <w:sz w:val="18"/>
              </w:rPr>
              <w:t xml:space="preserve">C4 </w:t>
            </w:r>
            <w:r>
              <w:rPr>
                <w:spacing w:val="-5"/>
                <w:sz w:val="18"/>
              </w:rPr>
              <w:t>C5</w:t>
            </w:r>
          </w:p>
        </w:tc>
        <w:tc>
          <w:tcPr>
            <w:tcW w:w="1662" w:type="dxa"/>
            <w:tcBorders>
              <w:left w:val="nil"/>
              <w:right w:val="nil"/>
            </w:tcBorders>
            <w:shd w:val="clear" w:color="auto" w:fill="F1F1F1"/>
          </w:tcPr>
          <w:p w14:paraId="0B284CBB" w14:textId="77777777" w:rsidR="00AC6F3C" w:rsidRDefault="00AC6F3C">
            <w:pPr>
              <w:pStyle w:val="TableParagraph"/>
              <w:rPr>
                <w:sz w:val="20"/>
              </w:rPr>
            </w:pPr>
          </w:p>
          <w:p w14:paraId="24144CDF" w14:textId="77777777" w:rsidR="00AC6F3C" w:rsidRDefault="00AC6F3C">
            <w:pPr>
              <w:pStyle w:val="TableParagraph"/>
              <w:rPr>
                <w:sz w:val="20"/>
              </w:rPr>
            </w:pPr>
          </w:p>
          <w:p w14:paraId="39D5BD8F" w14:textId="77777777" w:rsidR="00AC6F3C" w:rsidRDefault="00570E88">
            <w:pPr>
              <w:pStyle w:val="TableParagraph"/>
              <w:spacing w:before="164"/>
              <w:ind w:right="34"/>
              <w:jc w:val="right"/>
              <w:rPr>
                <w:sz w:val="18"/>
              </w:rPr>
            </w:pPr>
            <w:r>
              <w:rPr>
                <w:spacing w:val="-2"/>
                <w:sz w:val="18"/>
              </w:rPr>
              <w:t>28,176</w:t>
            </w:r>
          </w:p>
          <w:p w14:paraId="57D5F9C7" w14:textId="77777777" w:rsidR="00AC6F3C" w:rsidRDefault="00570E88">
            <w:pPr>
              <w:pStyle w:val="TableParagraph"/>
              <w:spacing w:before="77" w:line="194" w:lineRule="exact"/>
              <w:ind w:right="34"/>
              <w:jc w:val="right"/>
              <w:rPr>
                <w:sz w:val="18"/>
              </w:rPr>
            </w:pPr>
            <w:r>
              <w:rPr>
                <w:spacing w:val="-5"/>
                <w:sz w:val="18"/>
              </w:rPr>
              <w:t>46</w:t>
            </w:r>
          </w:p>
        </w:tc>
        <w:tc>
          <w:tcPr>
            <w:tcW w:w="1640" w:type="dxa"/>
            <w:tcBorders>
              <w:left w:val="nil"/>
            </w:tcBorders>
          </w:tcPr>
          <w:p w14:paraId="46DC3789" w14:textId="77777777" w:rsidR="00AC6F3C" w:rsidRDefault="00AC6F3C">
            <w:pPr>
              <w:pStyle w:val="TableParagraph"/>
              <w:rPr>
                <w:sz w:val="20"/>
              </w:rPr>
            </w:pPr>
          </w:p>
          <w:p w14:paraId="094B605C" w14:textId="77777777" w:rsidR="00AC6F3C" w:rsidRDefault="00AC6F3C">
            <w:pPr>
              <w:pStyle w:val="TableParagraph"/>
              <w:rPr>
                <w:sz w:val="20"/>
              </w:rPr>
            </w:pPr>
          </w:p>
          <w:p w14:paraId="2BBC57E1" w14:textId="77777777" w:rsidR="00AC6F3C" w:rsidRDefault="00570E88">
            <w:pPr>
              <w:pStyle w:val="TableParagraph"/>
              <w:spacing w:before="164"/>
              <w:ind w:right="20"/>
              <w:jc w:val="right"/>
              <w:rPr>
                <w:sz w:val="18"/>
              </w:rPr>
            </w:pPr>
            <w:r>
              <w:rPr>
                <w:spacing w:val="-2"/>
                <w:sz w:val="18"/>
              </w:rPr>
              <w:t>27,370</w:t>
            </w:r>
          </w:p>
          <w:p w14:paraId="73841DE3" w14:textId="77777777" w:rsidR="00AC6F3C" w:rsidRDefault="00570E88">
            <w:pPr>
              <w:pStyle w:val="TableParagraph"/>
              <w:spacing w:before="77" w:line="194" w:lineRule="exact"/>
              <w:ind w:right="19"/>
              <w:jc w:val="right"/>
              <w:rPr>
                <w:sz w:val="18"/>
              </w:rPr>
            </w:pPr>
            <w:r>
              <w:rPr>
                <w:spacing w:val="-5"/>
                <w:sz w:val="18"/>
              </w:rPr>
              <w:t>40</w:t>
            </w:r>
          </w:p>
        </w:tc>
      </w:tr>
      <w:tr w:rsidR="00AC6F3C" w14:paraId="42364A2B" w14:textId="77777777">
        <w:trPr>
          <w:trHeight w:val="269"/>
        </w:trPr>
        <w:tc>
          <w:tcPr>
            <w:tcW w:w="3414" w:type="dxa"/>
            <w:tcBorders>
              <w:right w:val="nil"/>
            </w:tcBorders>
            <w:shd w:val="clear" w:color="auto" w:fill="BEBEBE"/>
          </w:tcPr>
          <w:p w14:paraId="5607BEA8" w14:textId="77777777" w:rsidR="00AC6F3C" w:rsidRDefault="00570E88">
            <w:pPr>
              <w:pStyle w:val="TableParagraph"/>
              <w:spacing w:before="55" w:line="194" w:lineRule="exact"/>
              <w:ind w:left="38"/>
              <w:rPr>
                <w:b/>
                <w:sz w:val="18"/>
              </w:rPr>
            </w:pPr>
            <w:r>
              <w:rPr>
                <w:b/>
                <w:spacing w:val="-2"/>
                <w:sz w:val="18"/>
              </w:rPr>
              <w:t>Total</w:t>
            </w:r>
            <w:r>
              <w:rPr>
                <w:b/>
                <w:spacing w:val="-7"/>
                <w:sz w:val="18"/>
              </w:rPr>
              <w:t xml:space="preserve"> </w:t>
            </w:r>
            <w:r>
              <w:rPr>
                <w:b/>
                <w:spacing w:val="-2"/>
                <w:sz w:val="18"/>
              </w:rPr>
              <w:t>current</w:t>
            </w:r>
            <w:r>
              <w:rPr>
                <w:b/>
                <w:spacing w:val="-1"/>
                <w:sz w:val="18"/>
              </w:rPr>
              <w:t xml:space="preserve"> </w:t>
            </w:r>
            <w:r>
              <w:rPr>
                <w:b/>
                <w:spacing w:val="-2"/>
                <w:sz w:val="18"/>
              </w:rPr>
              <w:t>liabilities</w:t>
            </w:r>
          </w:p>
        </w:tc>
        <w:tc>
          <w:tcPr>
            <w:tcW w:w="2074" w:type="dxa"/>
            <w:tcBorders>
              <w:left w:val="nil"/>
              <w:right w:val="nil"/>
            </w:tcBorders>
            <w:shd w:val="clear" w:color="auto" w:fill="BEBEBE"/>
          </w:tcPr>
          <w:p w14:paraId="022A127E"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23142EFC" w14:textId="77777777" w:rsidR="00AC6F3C" w:rsidRDefault="00570E88">
            <w:pPr>
              <w:pStyle w:val="TableParagraph"/>
              <w:spacing w:before="55" w:line="194" w:lineRule="exact"/>
              <w:ind w:right="34"/>
              <w:jc w:val="right"/>
              <w:rPr>
                <w:b/>
                <w:sz w:val="18"/>
              </w:rPr>
            </w:pPr>
            <w:r>
              <w:rPr>
                <w:b/>
                <w:spacing w:val="-2"/>
                <w:sz w:val="18"/>
              </w:rPr>
              <w:t>28,222</w:t>
            </w:r>
          </w:p>
        </w:tc>
        <w:tc>
          <w:tcPr>
            <w:tcW w:w="1640" w:type="dxa"/>
            <w:tcBorders>
              <w:left w:val="nil"/>
            </w:tcBorders>
            <w:shd w:val="clear" w:color="auto" w:fill="BEBEBE"/>
          </w:tcPr>
          <w:p w14:paraId="585B50C4" w14:textId="77777777" w:rsidR="00AC6F3C" w:rsidRDefault="00570E88">
            <w:pPr>
              <w:pStyle w:val="TableParagraph"/>
              <w:spacing w:before="55" w:line="194" w:lineRule="exact"/>
              <w:ind w:right="19"/>
              <w:jc w:val="right"/>
              <w:rPr>
                <w:b/>
                <w:sz w:val="18"/>
              </w:rPr>
            </w:pPr>
            <w:r>
              <w:rPr>
                <w:b/>
                <w:spacing w:val="-2"/>
                <w:sz w:val="18"/>
              </w:rPr>
              <w:t>27,410</w:t>
            </w:r>
          </w:p>
        </w:tc>
      </w:tr>
      <w:tr w:rsidR="00AC6F3C" w14:paraId="1855FC37" w14:textId="77777777">
        <w:trPr>
          <w:trHeight w:val="269"/>
        </w:trPr>
        <w:tc>
          <w:tcPr>
            <w:tcW w:w="5488" w:type="dxa"/>
            <w:gridSpan w:val="2"/>
            <w:tcBorders>
              <w:right w:val="nil"/>
            </w:tcBorders>
          </w:tcPr>
          <w:p w14:paraId="37C81ABB"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12B639E0" w14:textId="77777777" w:rsidR="00AC6F3C" w:rsidRDefault="00AC6F3C">
            <w:pPr>
              <w:pStyle w:val="TableParagraph"/>
              <w:rPr>
                <w:rFonts w:ascii="Times New Roman"/>
                <w:sz w:val="18"/>
              </w:rPr>
            </w:pPr>
          </w:p>
        </w:tc>
        <w:tc>
          <w:tcPr>
            <w:tcW w:w="1640" w:type="dxa"/>
            <w:tcBorders>
              <w:left w:val="nil"/>
            </w:tcBorders>
          </w:tcPr>
          <w:p w14:paraId="73D6F3DB" w14:textId="77777777" w:rsidR="00AC6F3C" w:rsidRDefault="00AC6F3C">
            <w:pPr>
              <w:pStyle w:val="TableParagraph"/>
              <w:rPr>
                <w:rFonts w:ascii="Times New Roman"/>
                <w:sz w:val="18"/>
              </w:rPr>
            </w:pPr>
          </w:p>
        </w:tc>
      </w:tr>
      <w:tr w:rsidR="00AC6F3C" w14:paraId="43DA30EB" w14:textId="77777777">
        <w:trPr>
          <w:trHeight w:val="269"/>
        </w:trPr>
        <w:tc>
          <w:tcPr>
            <w:tcW w:w="3414" w:type="dxa"/>
            <w:tcBorders>
              <w:right w:val="nil"/>
            </w:tcBorders>
            <w:shd w:val="clear" w:color="auto" w:fill="BEBEBE"/>
          </w:tcPr>
          <w:p w14:paraId="35B993F0" w14:textId="77777777" w:rsidR="00AC6F3C" w:rsidRDefault="00570E88">
            <w:pPr>
              <w:pStyle w:val="TableParagraph"/>
              <w:spacing w:before="55" w:line="194" w:lineRule="exact"/>
              <w:ind w:left="38"/>
              <w:rPr>
                <w:b/>
                <w:sz w:val="18"/>
              </w:rPr>
            </w:pPr>
            <w:r>
              <w:rPr>
                <w:b/>
                <w:spacing w:val="-4"/>
                <w:sz w:val="18"/>
              </w:rPr>
              <w:t xml:space="preserve">Total </w:t>
            </w:r>
            <w:r>
              <w:rPr>
                <w:b/>
                <w:spacing w:val="-2"/>
                <w:sz w:val="18"/>
              </w:rPr>
              <w:t>liabilities</w:t>
            </w:r>
          </w:p>
        </w:tc>
        <w:tc>
          <w:tcPr>
            <w:tcW w:w="2074" w:type="dxa"/>
            <w:tcBorders>
              <w:left w:val="nil"/>
              <w:right w:val="nil"/>
            </w:tcBorders>
            <w:shd w:val="clear" w:color="auto" w:fill="BEBEBE"/>
          </w:tcPr>
          <w:p w14:paraId="2B6D1C61"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13E685F0" w14:textId="77777777" w:rsidR="00AC6F3C" w:rsidRDefault="00570E88">
            <w:pPr>
              <w:pStyle w:val="TableParagraph"/>
              <w:spacing w:before="55" w:line="194" w:lineRule="exact"/>
              <w:ind w:right="34"/>
              <w:jc w:val="right"/>
              <w:rPr>
                <w:b/>
                <w:sz w:val="18"/>
              </w:rPr>
            </w:pPr>
            <w:r>
              <w:rPr>
                <w:b/>
                <w:spacing w:val="-2"/>
                <w:sz w:val="18"/>
              </w:rPr>
              <w:t>28,222</w:t>
            </w:r>
          </w:p>
        </w:tc>
        <w:tc>
          <w:tcPr>
            <w:tcW w:w="1640" w:type="dxa"/>
            <w:tcBorders>
              <w:left w:val="nil"/>
            </w:tcBorders>
            <w:shd w:val="clear" w:color="auto" w:fill="BEBEBE"/>
          </w:tcPr>
          <w:p w14:paraId="0DAD13B8" w14:textId="77777777" w:rsidR="00AC6F3C" w:rsidRDefault="00570E88">
            <w:pPr>
              <w:pStyle w:val="TableParagraph"/>
              <w:spacing w:before="55" w:line="194" w:lineRule="exact"/>
              <w:ind w:right="19"/>
              <w:jc w:val="right"/>
              <w:rPr>
                <w:b/>
                <w:sz w:val="18"/>
              </w:rPr>
            </w:pPr>
            <w:r>
              <w:rPr>
                <w:b/>
                <w:spacing w:val="-2"/>
                <w:sz w:val="18"/>
              </w:rPr>
              <w:t>27,410</w:t>
            </w:r>
          </w:p>
        </w:tc>
      </w:tr>
      <w:tr w:rsidR="00AC6F3C" w14:paraId="0F17AE5C" w14:textId="77777777">
        <w:trPr>
          <w:trHeight w:val="269"/>
        </w:trPr>
        <w:tc>
          <w:tcPr>
            <w:tcW w:w="5488" w:type="dxa"/>
            <w:gridSpan w:val="2"/>
            <w:tcBorders>
              <w:right w:val="nil"/>
            </w:tcBorders>
          </w:tcPr>
          <w:p w14:paraId="24936E41"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46F98702" w14:textId="77777777" w:rsidR="00AC6F3C" w:rsidRDefault="00AC6F3C">
            <w:pPr>
              <w:pStyle w:val="TableParagraph"/>
              <w:rPr>
                <w:rFonts w:ascii="Times New Roman"/>
                <w:sz w:val="18"/>
              </w:rPr>
            </w:pPr>
          </w:p>
        </w:tc>
        <w:tc>
          <w:tcPr>
            <w:tcW w:w="1640" w:type="dxa"/>
            <w:tcBorders>
              <w:left w:val="nil"/>
            </w:tcBorders>
          </w:tcPr>
          <w:p w14:paraId="6DBD37EF" w14:textId="77777777" w:rsidR="00AC6F3C" w:rsidRDefault="00AC6F3C">
            <w:pPr>
              <w:pStyle w:val="TableParagraph"/>
              <w:rPr>
                <w:rFonts w:ascii="Times New Roman"/>
                <w:sz w:val="18"/>
              </w:rPr>
            </w:pPr>
          </w:p>
        </w:tc>
      </w:tr>
      <w:tr w:rsidR="00AC6F3C" w14:paraId="4C6C53E7" w14:textId="77777777">
        <w:trPr>
          <w:trHeight w:val="269"/>
        </w:trPr>
        <w:tc>
          <w:tcPr>
            <w:tcW w:w="3414" w:type="dxa"/>
            <w:tcBorders>
              <w:right w:val="nil"/>
            </w:tcBorders>
            <w:shd w:val="clear" w:color="auto" w:fill="BEBEBE"/>
          </w:tcPr>
          <w:p w14:paraId="1A88AD81" w14:textId="77777777" w:rsidR="00AC6F3C" w:rsidRDefault="00570E88">
            <w:pPr>
              <w:pStyle w:val="TableParagraph"/>
              <w:spacing w:before="55" w:line="194" w:lineRule="exact"/>
              <w:ind w:left="39"/>
              <w:rPr>
                <w:b/>
                <w:sz w:val="18"/>
              </w:rPr>
            </w:pPr>
            <w:r>
              <w:rPr>
                <w:b/>
                <w:spacing w:val="-2"/>
                <w:sz w:val="18"/>
              </w:rPr>
              <w:t>Net</w:t>
            </w:r>
            <w:r>
              <w:rPr>
                <w:b/>
                <w:spacing w:val="-9"/>
                <w:sz w:val="18"/>
              </w:rPr>
              <w:t xml:space="preserve"> </w:t>
            </w:r>
            <w:r>
              <w:rPr>
                <w:b/>
                <w:spacing w:val="-2"/>
                <w:sz w:val="18"/>
              </w:rPr>
              <w:t>assets</w:t>
            </w:r>
          </w:p>
        </w:tc>
        <w:tc>
          <w:tcPr>
            <w:tcW w:w="2074" w:type="dxa"/>
            <w:tcBorders>
              <w:left w:val="nil"/>
              <w:right w:val="nil"/>
            </w:tcBorders>
            <w:shd w:val="clear" w:color="auto" w:fill="BEBEBE"/>
          </w:tcPr>
          <w:p w14:paraId="0874FC8B"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0B090956" w14:textId="77777777" w:rsidR="00AC6F3C" w:rsidRDefault="00570E88">
            <w:pPr>
              <w:pStyle w:val="TableParagraph"/>
              <w:spacing w:before="55" w:line="194" w:lineRule="exact"/>
              <w:ind w:right="34"/>
              <w:jc w:val="right"/>
              <w:rPr>
                <w:b/>
                <w:sz w:val="18"/>
              </w:rPr>
            </w:pPr>
            <w:r>
              <w:rPr>
                <w:b/>
                <w:spacing w:val="-2"/>
                <w:sz w:val="18"/>
              </w:rPr>
              <w:t>56,700</w:t>
            </w:r>
          </w:p>
        </w:tc>
        <w:tc>
          <w:tcPr>
            <w:tcW w:w="1640" w:type="dxa"/>
            <w:tcBorders>
              <w:left w:val="nil"/>
            </w:tcBorders>
            <w:shd w:val="clear" w:color="auto" w:fill="BEBEBE"/>
          </w:tcPr>
          <w:p w14:paraId="74B7DB7E" w14:textId="77777777" w:rsidR="00AC6F3C" w:rsidRDefault="00570E88">
            <w:pPr>
              <w:pStyle w:val="TableParagraph"/>
              <w:spacing w:before="55" w:line="194" w:lineRule="exact"/>
              <w:ind w:right="19"/>
              <w:jc w:val="right"/>
              <w:rPr>
                <w:b/>
                <w:sz w:val="18"/>
              </w:rPr>
            </w:pPr>
            <w:r>
              <w:rPr>
                <w:b/>
                <w:spacing w:val="-2"/>
                <w:sz w:val="18"/>
              </w:rPr>
              <w:t>54,046</w:t>
            </w:r>
          </w:p>
        </w:tc>
      </w:tr>
      <w:tr w:rsidR="00AC6F3C" w14:paraId="3A07EF79" w14:textId="77777777">
        <w:trPr>
          <w:trHeight w:val="838"/>
        </w:trPr>
        <w:tc>
          <w:tcPr>
            <w:tcW w:w="5488" w:type="dxa"/>
            <w:gridSpan w:val="2"/>
            <w:tcBorders>
              <w:right w:val="nil"/>
            </w:tcBorders>
          </w:tcPr>
          <w:p w14:paraId="72DBAABE" w14:textId="77777777" w:rsidR="00AC6F3C" w:rsidRDefault="00AC6F3C">
            <w:pPr>
              <w:pStyle w:val="TableParagraph"/>
              <w:spacing w:before="6"/>
              <w:rPr>
                <w:sz w:val="29"/>
              </w:rPr>
            </w:pPr>
          </w:p>
          <w:p w14:paraId="70323574" w14:textId="77777777" w:rsidR="00AC6F3C" w:rsidRDefault="00570E88">
            <w:pPr>
              <w:pStyle w:val="TableParagraph"/>
              <w:ind w:left="39"/>
              <w:rPr>
                <w:b/>
                <w:sz w:val="18"/>
              </w:rPr>
            </w:pPr>
            <w:r>
              <w:rPr>
                <w:b/>
                <w:spacing w:val="-2"/>
                <w:sz w:val="18"/>
              </w:rPr>
              <w:t>Equity</w:t>
            </w:r>
          </w:p>
          <w:p w14:paraId="51399BD9" w14:textId="77777777" w:rsidR="00AC6F3C" w:rsidRDefault="00570E88">
            <w:pPr>
              <w:pStyle w:val="TableParagraph"/>
              <w:spacing w:before="77" w:line="194" w:lineRule="exact"/>
              <w:ind w:left="39"/>
              <w:rPr>
                <w:sz w:val="18"/>
              </w:rPr>
            </w:pPr>
            <w:r>
              <w:rPr>
                <w:sz w:val="18"/>
              </w:rPr>
              <w:t>Accumulated</w:t>
            </w:r>
            <w:r>
              <w:rPr>
                <w:spacing w:val="3"/>
                <w:sz w:val="18"/>
              </w:rPr>
              <w:t xml:space="preserve"> </w:t>
            </w:r>
            <w:r>
              <w:rPr>
                <w:spacing w:val="-2"/>
                <w:sz w:val="18"/>
              </w:rPr>
              <w:t>surplus</w:t>
            </w:r>
          </w:p>
        </w:tc>
        <w:tc>
          <w:tcPr>
            <w:tcW w:w="1662" w:type="dxa"/>
            <w:tcBorders>
              <w:left w:val="nil"/>
              <w:right w:val="nil"/>
            </w:tcBorders>
            <w:shd w:val="clear" w:color="auto" w:fill="F1F1F1"/>
          </w:tcPr>
          <w:p w14:paraId="2A1CC5A6" w14:textId="77777777" w:rsidR="00AC6F3C" w:rsidRDefault="00AC6F3C">
            <w:pPr>
              <w:pStyle w:val="TableParagraph"/>
              <w:rPr>
                <w:sz w:val="20"/>
              </w:rPr>
            </w:pPr>
          </w:p>
          <w:p w14:paraId="2CD747C6" w14:textId="77777777" w:rsidR="00AC6F3C" w:rsidRDefault="00AC6F3C">
            <w:pPr>
              <w:pStyle w:val="TableParagraph"/>
              <w:rPr>
                <w:sz w:val="20"/>
              </w:rPr>
            </w:pPr>
          </w:p>
          <w:p w14:paraId="59E941EF" w14:textId="77777777" w:rsidR="00AC6F3C" w:rsidRDefault="00570E88">
            <w:pPr>
              <w:pStyle w:val="TableParagraph"/>
              <w:spacing w:before="164" w:line="194" w:lineRule="exact"/>
              <w:ind w:right="33"/>
              <w:jc w:val="right"/>
              <w:rPr>
                <w:sz w:val="18"/>
              </w:rPr>
            </w:pPr>
            <w:r>
              <w:rPr>
                <w:spacing w:val="-2"/>
                <w:sz w:val="18"/>
              </w:rPr>
              <w:t>56,700</w:t>
            </w:r>
          </w:p>
        </w:tc>
        <w:tc>
          <w:tcPr>
            <w:tcW w:w="1640" w:type="dxa"/>
            <w:tcBorders>
              <w:left w:val="nil"/>
            </w:tcBorders>
          </w:tcPr>
          <w:p w14:paraId="649340D8" w14:textId="77777777" w:rsidR="00AC6F3C" w:rsidRDefault="00AC6F3C">
            <w:pPr>
              <w:pStyle w:val="TableParagraph"/>
              <w:rPr>
                <w:sz w:val="20"/>
              </w:rPr>
            </w:pPr>
          </w:p>
          <w:p w14:paraId="002B8234" w14:textId="77777777" w:rsidR="00AC6F3C" w:rsidRDefault="00AC6F3C">
            <w:pPr>
              <w:pStyle w:val="TableParagraph"/>
              <w:rPr>
                <w:sz w:val="20"/>
              </w:rPr>
            </w:pPr>
          </w:p>
          <w:p w14:paraId="202EAF4D" w14:textId="77777777" w:rsidR="00AC6F3C" w:rsidRDefault="00570E88">
            <w:pPr>
              <w:pStyle w:val="TableParagraph"/>
              <w:spacing w:before="164" w:line="194" w:lineRule="exact"/>
              <w:ind w:right="19"/>
              <w:jc w:val="right"/>
              <w:rPr>
                <w:sz w:val="18"/>
              </w:rPr>
            </w:pPr>
            <w:r>
              <w:rPr>
                <w:spacing w:val="-2"/>
                <w:sz w:val="18"/>
              </w:rPr>
              <w:t>54,046</w:t>
            </w:r>
          </w:p>
        </w:tc>
      </w:tr>
      <w:tr w:rsidR="00AC6F3C" w14:paraId="42D81D95" w14:textId="77777777">
        <w:trPr>
          <w:trHeight w:val="269"/>
        </w:trPr>
        <w:tc>
          <w:tcPr>
            <w:tcW w:w="3414" w:type="dxa"/>
            <w:tcBorders>
              <w:right w:val="nil"/>
            </w:tcBorders>
            <w:shd w:val="clear" w:color="auto" w:fill="BEBEBE"/>
          </w:tcPr>
          <w:p w14:paraId="5D7AB64B" w14:textId="77777777" w:rsidR="00AC6F3C" w:rsidRDefault="00570E88">
            <w:pPr>
              <w:pStyle w:val="TableParagraph"/>
              <w:spacing w:before="55" w:line="194" w:lineRule="exact"/>
              <w:ind w:left="39"/>
              <w:rPr>
                <w:b/>
                <w:sz w:val="18"/>
              </w:rPr>
            </w:pPr>
            <w:r>
              <w:rPr>
                <w:b/>
                <w:spacing w:val="-4"/>
                <w:sz w:val="18"/>
              </w:rPr>
              <w:t xml:space="preserve">Total </w:t>
            </w:r>
            <w:r>
              <w:rPr>
                <w:b/>
                <w:spacing w:val="-2"/>
                <w:sz w:val="18"/>
              </w:rPr>
              <w:t>equity</w:t>
            </w:r>
          </w:p>
        </w:tc>
        <w:tc>
          <w:tcPr>
            <w:tcW w:w="2074" w:type="dxa"/>
            <w:tcBorders>
              <w:left w:val="nil"/>
              <w:right w:val="nil"/>
            </w:tcBorders>
            <w:shd w:val="clear" w:color="auto" w:fill="BEBEBE"/>
          </w:tcPr>
          <w:p w14:paraId="47B04412"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503044CC" w14:textId="77777777" w:rsidR="00AC6F3C" w:rsidRDefault="00570E88">
            <w:pPr>
              <w:pStyle w:val="TableParagraph"/>
              <w:spacing w:before="55" w:line="194" w:lineRule="exact"/>
              <w:ind w:right="33"/>
              <w:jc w:val="right"/>
              <w:rPr>
                <w:b/>
                <w:sz w:val="18"/>
              </w:rPr>
            </w:pPr>
            <w:r>
              <w:rPr>
                <w:b/>
                <w:spacing w:val="-2"/>
                <w:sz w:val="18"/>
              </w:rPr>
              <w:t>56,700</w:t>
            </w:r>
          </w:p>
        </w:tc>
        <w:tc>
          <w:tcPr>
            <w:tcW w:w="1640" w:type="dxa"/>
            <w:tcBorders>
              <w:left w:val="nil"/>
            </w:tcBorders>
            <w:shd w:val="clear" w:color="auto" w:fill="BEBEBE"/>
          </w:tcPr>
          <w:p w14:paraId="66CC3347" w14:textId="77777777" w:rsidR="00AC6F3C" w:rsidRDefault="00570E88">
            <w:pPr>
              <w:pStyle w:val="TableParagraph"/>
              <w:spacing w:before="55" w:line="194" w:lineRule="exact"/>
              <w:ind w:right="20"/>
              <w:jc w:val="right"/>
              <w:rPr>
                <w:b/>
                <w:sz w:val="18"/>
              </w:rPr>
            </w:pPr>
            <w:r>
              <w:rPr>
                <w:b/>
                <w:spacing w:val="-2"/>
                <w:sz w:val="18"/>
              </w:rPr>
              <w:t>54,046</w:t>
            </w:r>
          </w:p>
        </w:tc>
      </w:tr>
    </w:tbl>
    <w:p w14:paraId="77F3C174" w14:textId="77777777" w:rsidR="00AC6F3C" w:rsidRDefault="00AC6F3C">
      <w:pPr>
        <w:pStyle w:val="BodyText"/>
      </w:pPr>
    </w:p>
    <w:p w14:paraId="5D5187A9" w14:textId="77777777" w:rsidR="00AC6F3C" w:rsidRDefault="00AC6F3C">
      <w:pPr>
        <w:pStyle w:val="BodyText"/>
      </w:pPr>
    </w:p>
    <w:p w14:paraId="1BCE3670" w14:textId="77777777" w:rsidR="00AC6F3C" w:rsidRDefault="00AC6F3C">
      <w:pPr>
        <w:pStyle w:val="BodyText"/>
      </w:pPr>
    </w:p>
    <w:p w14:paraId="510B2A92" w14:textId="77777777" w:rsidR="00AC6F3C" w:rsidRDefault="00AC6F3C">
      <w:pPr>
        <w:pStyle w:val="BodyText"/>
      </w:pPr>
    </w:p>
    <w:p w14:paraId="346D129C" w14:textId="77777777" w:rsidR="00AC6F3C" w:rsidRDefault="00AC6F3C">
      <w:pPr>
        <w:pStyle w:val="BodyText"/>
      </w:pPr>
    </w:p>
    <w:p w14:paraId="576FAFE8" w14:textId="77777777" w:rsidR="00AC6F3C" w:rsidRDefault="00AC6F3C">
      <w:pPr>
        <w:pStyle w:val="BodyText"/>
      </w:pPr>
    </w:p>
    <w:p w14:paraId="72BC2AD3" w14:textId="77777777" w:rsidR="00AC6F3C" w:rsidRDefault="00AC6F3C">
      <w:pPr>
        <w:pStyle w:val="BodyText"/>
      </w:pPr>
    </w:p>
    <w:p w14:paraId="37C3CECC" w14:textId="77777777" w:rsidR="00AC6F3C" w:rsidRDefault="00AC6F3C">
      <w:pPr>
        <w:pStyle w:val="BodyText"/>
      </w:pPr>
    </w:p>
    <w:p w14:paraId="6DE1428C" w14:textId="77777777" w:rsidR="00AC6F3C" w:rsidRDefault="00AC6F3C">
      <w:pPr>
        <w:pStyle w:val="BodyText"/>
      </w:pPr>
    </w:p>
    <w:p w14:paraId="75C2D7E9" w14:textId="77777777" w:rsidR="00AC6F3C" w:rsidRDefault="00AC6F3C">
      <w:pPr>
        <w:pStyle w:val="BodyText"/>
      </w:pPr>
    </w:p>
    <w:p w14:paraId="4EE20AF1" w14:textId="77777777" w:rsidR="00AC6F3C" w:rsidRDefault="00AC6F3C">
      <w:pPr>
        <w:pStyle w:val="BodyText"/>
      </w:pPr>
    </w:p>
    <w:p w14:paraId="50CA9EC9" w14:textId="77777777" w:rsidR="00AC6F3C" w:rsidRDefault="00AC6F3C">
      <w:pPr>
        <w:pStyle w:val="BodyText"/>
      </w:pPr>
    </w:p>
    <w:p w14:paraId="083A59B1" w14:textId="77777777" w:rsidR="00AC6F3C" w:rsidRDefault="00AC6F3C">
      <w:pPr>
        <w:pStyle w:val="BodyText"/>
      </w:pPr>
    </w:p>
    <w:p w14:paraId="418F9884" w14:textId="77777777" w:rsidR="00AC6F3C" w:rsidRDefault="00AC6F3C">
      <w:pPr>
        <w:pStyle w:val="BodyText"/>
      </w:pPr>
    </w:p>
    <w:p w14:paraId="3CDAE927" w14:textId="77777777" w:rsidR="00AC6F3C" w:rsidRDefault="00AC6F3C">
      <w:pPr>
        <w:pStyle w:val="BodyText"/>
      </w:pPr>
    </w:p>
    <w:p w14:paraId="352F57E8" w14:textId="77777777" w:rsidR="00AC6F3C" w:rsidRDefault="00AC6F3C">
      <w:pPr>
        <w:pStyle w:val="BodyText"/>
      </w:pPr>
    </w:p>
    <w:p w14:paraId="744C37D8" w14:textId="77777777" w:rsidR="00AC6F3C" w:rsidRDefault="00AC6F3C">
      <w:pPr>
        <w:pStyle w:val="BodyText"/>
      </w:pPr>
    </w:p>
    <w:p w14:paraId="2B074E22" w14:textId="77777777" w:rsidR="00AC6F3C" w:rsidRDefault="00AC6F3C">
      <w:pPr>
        <w:pStyle w:val="BodyText"/>
      </w:pPr>
    </w:p>
    <w:p w14:paraId="524D4126" w14:textId="77777777" w:rsidR="00AC6F3C" w:rsidRDefault="00AC6F3C">
      <w:pPr>
        <w:pStyle w:val="BodyText"/>
      </w:pPr>
    </w:p>
    <w:p w14:paraId="78C91DA0" w14:textId="77777777" w:rsidR="00AC6F3C" w:rsidRDefault="00AC6F3C">
      <w:pPr>
        <w:pStyle w:val="BodyText"/>
        <w:spacing w:before="6"/>
        <w:rPr>
          <w:sz w:val="25"/>
        </w:rPr>
      </w:pPr>
    </w:p>
    <w:p w14:paraId="568286A0" w14:textId="77777777" w:rsidR="00AC6F3C" w:rsidRDefault="00570E88">
      <w:pPr>
        <w:spacing w:before="95"/>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68737992" w14:textId="77777777" w:rsidR="00AC6F3C" w:rsidRDefault="00AC6F3C">
      <w:pPr>
        <w:rPr>
          <w:sz w:val="18"/>
        </w:rPr>
        <w:sectPr w:rsidR="00AC6F3C">
          <w:pgSz w:w="11910" w:h="16840"/>
          <w:pgMar w:top="1580" w:right="1160" w:bottom="520" w:left="460" w:header="1297" w:footer="336" w:gutter="0"/>
          <w:cols w:space="720"/>
        </w:sectPr>
      </w:pPr>
    </w:p>
    <w:p w14:paraId="310BC0E3" w14:textId="77777777" w:rsidR="00AC6F3C" w:rsidRDefault="00570E88">
      <w:pPr>
        <w:ind w:left="979"/>
      </w:pPr>
      <w:r>
        <w:lastRenderedPageBreak/>
        <w:t>Statement</w:t>
      </w:r>
      <w:r>
        <w:rPr>
          <w:spacing w:val="-5"/>
        </w:rPr>
        <w:t xml:space="preserve"> </w:t>
      </w:r>
      <w:r>
        <w:t>of</w:t>
      </w:r>
      <w:r>
        <w:rPr>
          <w:spacing w:val="-3"/>
        </w:rPr>
        <w:t xml:space="preserve"> </w:t>
      </w:r>
      <w:r>
        <w:t>Changes</w:t>
      </w:r>
      <w:r>
        <w:rPr>
          <w:spacing w:val="-2"/>
        </w:rPr>
        <w:t xml:space="preserve"> </w:t>
      </w:r>
      <w:r>
        <w:t>in</w:t>
      </w:r>
      <w:r>
        <w:rPr>
          <w:spacing w:val="-5"/>
        </w:rPr>
        <w:t xml:space="preserve"> </w:t>
      </w:r>
      <w:r>
        <w:t>Equity</w:t>
      </w:r>
      <w:r>
        <w:rPr>
          <w:spacing w:val="-5"/>
        </w:rPr>
        <w:t xml:space="preserve"> </w:t>
      </w:r>
      <w:r>
        <w:t>for</w:t>
      </w:r>
      <w:r>
        <w:rPr>
          <w:spacing w:val="-4"/>
        </w:rPr>
        <w:t xml:space="preserve"> </w:t>
      </w:r>
      <w:r>
        <w:t>the</w:t>
      </w:r>
      <w:r>
        <w:rPr>
          <w:spacing w:val="-5"/>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p w14:paraId="2AF39F0E" w14:textId="77777777" w:rsidR="00AC6F3C" w:rsidRDefault="00570E88">
      <w:pPr>
        <w:pStyle w:val="BodyText"/>
        <w:spacing w:before="8"/>
        <w:rPr>
          <w:sz w:val="18"/>
        </w:rPr>
      </w:pPr>
      <w:r>
        <w:rPr>
          <w:noProof/>
        </w:rPr>
        <mc:AlternateContent>
          <mc:Choice Requires="wps">
            <w:drawing>
              <wp:anchor distT="0" distB="0" distL="0" distR="0" simplePos="0" relativeHeight="487693824" behindDoc="1" locked="0" layoutInCell="1" allowOverlap="1" wp14:anchorId="398C4CDC" wp14:editId="566D709B">
                <wp:simplePos x="0" y="0"/>
                <wp:positionH relativeFrom="page">
                  <wp:posOffset>896045</wp:posOffset>
                </wp:positionH>
                <wp:positionV relativeFrom="paragraph">
                  <wp:posOffset>151896</wp:posOffset>
                </wp:positionV>
                <wp:extent cx="5783580" cy="6350"/>
                <wp:effectExtent l="0" t="0" r="0" b="0"/>
                <wp:wrapTopAndBottom/>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6350"/>
                        </a:xfrm>
                        <a:custGeom>
                          <a:avLst/>
                          <a:gdLst/>
                          <a:ahLst/>
                          <a:cxnLst/>
                          <a:rect l="l" t="t" r="r" b="b"/>
                          <a:pathLst>
                            <a:path w="5783580" h="6350">
                              <a:moveTo>
                                <a:pt x="5783148" y="6094"/>
                              </a:moveTo>
                              <a:lnTo>
                                <a:pt x="0" y="6094"/>
                              </a:lnTo>
                              <a:lnTo>
                                <a:pt x="0" y="0"/>
                              </a:lnTo>
                              <a:lnTo>
                                <a:pt x="5783148" y="0"/>
                              </a:lnTo>
                              <a:lnTo>
                                <a:pt x="578314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E5395" id="Graphic 793" o:spid="_x0000_s1026" style="position:absolute;margin-left:70.55pt;margin-top:11.95pt;width:455.4pt;height:.5pt;z-index:-15622656;visibility:visible;mso-wrap-style:square;mso-wrap-distance-left:0;mso-wrap-distance-top:0;mso-wrap-distance-right:0;mso-wrap-distance-bottom:0;mso-position-horizontal:absolute;mso-position-horizontal-relative:page;mso-position-vertical:absolute;mso-position-vertical-relative:text;v-text-anchor:top" coordsize="5783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" path="m5783148,6094l,6094,,,5783148,r,6094xe" fillcolor="black" stroked="f">
                <v:path arrowok="t"/>
                <w10:wrap type="topAndBottom" anchorx="page"/>
              </v:shape>
            </w:pict>
          </mc:Fallback>
        </mc:AlternateContent>
      </w:r>
    </w:p>
    <w:p w14:paraId="5F29A6B7" w14:textId="77777777" w:rsidR="00AC6F3C" w:rsidRDefault="00AC6F3C">
      <w:pPr>
        <w:pStyle w:val="BodyText"/>
      </w:pPr>
    </w:p>
    <w:p w14:paraId="5BED9105" w14:textId="77777777" w:rsidR="00AC6F3C" w:rsidRDefault="00AC6F3C">
      <w:pPr>
        <w:pStyle w:val="BodyText"/>
        <w:spacing w:before="9"/>
        <w:rPr>
          <w:sz w:val="21"/>
        </w:rPr>
      </w:pPr>
    </w:p>
    <w:tbl>
      <w:tblPr>
        <w:tblW w:w="0" w:type="auto"/>
        <w:tblInd w:w="994" w:type="dxa"/>
        <w:tblLayout w:type="fixed"/>
        <w:tblCellMar>
          <w:left w:w="0" w:type="dxa"/>
          <w:right w:w="0" w:type="dxa"/>
        </w:tblCellMar>
        <w:tblLook w:val="01E0" w:firstRow="1" w:lastRow="1" w:firstColumn="1" w:lastColumn="1" w:noHBand="0" w:noVBand="0"/>
      </w:tblPr>
      <w:tblGrid>
        <w:gridCol w:w="5639"/>
        <w:gridCol w:w="1702"/>
        <w:gridCol w:w="1684"/>
      </w:tblGrid>
      <w:tr w:rsidR="00AC6F3C" w14:paraId="44296848" w14:textId="77777777">
        <w:trPr>
          <w:trHeight w:val="557"/>
        </w:trPr>
        <w:tc>
          <w:tcPr>
            <w:tcW w:w="9025" w:type="dxa"/>
            <w:gridSpan w:val="3"/>
            <w:tcBorders>
              <w:top w:val="single" w:sz="6" w:space="0" w:color="000000"/>
              <w:left w:val="single" w:sz="6" w:space="0" w:color="000000"/>
              <w:bottom w:val="single" w:sz="6" w:space="0" w:color="000000"/>
              <w:right w:val="single" w:sz="6" w:space="0" w:color="000000"/>
            </w:tcBorders>
            <w:shd w:val="clear" w:color="auto" w:fill="BEBEBE"/>
          </w:tcPr>
          <w:p w14:paraId="43E16527" w14:textId="77777777" w:rsidR="00AC6F3C" w:rsidRDefault="00570E88">
            <w:pPr>
              <w:pStyle w:val="TableParagraph"/>
              <w:tabs>
                <w:tab w:val="left" w:pos="1689"/>
              </w:tabs>
              <w:spacing w:before="32"/>
              <w:ind w:right="14"/>
              <w:jc w:val="right"/>
              <w:rPr>
                <w:b/>
                <w:sz w:val="18"/>
              </w:rPr>
            </w:pPr>
            <w:r>
              <w:rPr>
                <w:b/>
                <w:spacing w:val="-4"/>
                <w:sz w:val="18"/>
              </w:rPr>
              <w:t>2023</w:t>
            </w:r>
            <w:r>
              <w:rPr>
                <w:b/>
                <w:sz w:val="18"/>
              </w:rPr>
              <w:tab/>
            </w:r>
            <w:r>
              <w:rPr>
                <w:b/>
                <w:spacing w:val="-4"/>
                <w:sz w:val="18"/>
              </w:rPr>
              <w:t>2022</w:t>
            </w:r>
          </w:p>
          <w:p w14:paraId="38F25811" w14:textId="77777777" w:rsidR="00AC6F3C" w:rsidRDefault="00570E88">
            <w:pPr>
              <w:pStyle w:val="TableParagraph"/>
              <w:tabs>
                <w:tab w:val="left" w:pos="1689"/>
              </w:tabs>
              <w:spacing w:before="79"/>
              <w:ind w:right="14"/>
              <w:jc w:val="right"/>
              <w:rPr>
                <w:b/>
                <w:sz w:val="18"/>
              </w:rPr>
            </w:pPr>
            <w:r>
              <w:rPr>
                <w:b/>
                <w:spacing w:val="-2"/>
                <w:sz w:val="18"/>
              </w:rPr>
              <w:t>$'000</w:t>
            </w:r>
            <w:r>
              <w:rPr>
                <w:b/>
                <w:sz w:val="18"/>
              </w:rPr>
              <w:tab/>
            </w:r>
            <w:r>
              <w:rPr>
                <w:b/>
                <w:spacing w:val="-4"/>
                <w:sz w:val="18"/>
              </w:rPr>
              <w:t>$'000</w:t>
            </w:r>
          </w:p>
        </w:tc>
      </w:tr>
      <w:tr w:rsidR="00AC6F3C" w14:paraId="1980ED85" w14:textId="77777777">
        <w:trPr>
          <w:trHeight w:val="425"/>
        </w:trPr>
        <w:tc>
          <w:tcPr>
            <w:tcW w:w="5639" w:type="dxa"/>
            <w:tcBorders>
              <w:top w:val="single" w:sz="6" w:space="0" w:color="000000"/>
              <w:left w:val="single" w:sz="6" w:space="0" w:color="000000"/>
            </w:tcBorders>
          </w:tcPr>
          <w:p w14:paraId="03925F69" w14:textId="77777777" w:rsidR="00AC6F3C" w:rsidRDefault="00570E88">
            <w:pPr>
              <w:pStyle w:val="TableParagraph"/>
              <w:spacing w:before="44"/>
              <w:ind w:left="28"/>
              <w:rPr>
                <w:b/>
                <w:sz w:val="18"/>
              </w:rPr>
            </w:pPr>
            <w:r>
              <w:rPr>
                <w:b/>
                <w:spacing w:val="-7"/>
                <w:sz w:val="18"/>
              </w:rPr>
              <w:t>Accumulated</w:t>
            </w:r>
            <w:r>
              <w:rPr>
                <w:b/>
                <w:spacing w:val="8"/>
                <w:sz w:val="18"/>
              </w:rPr>
              <w:t xml:space="preserve"> </w:t>
            </w:r>
            <w:r>
              <w:rPr>
                <w:b/>
                <w:spacing w:val="-2"/>
                <w:sz w:val="18"/>
              </w:rPr>
              <w:t>surplus</w:t>
            </w:r>
          </w:p>
        </w:tc>
        <w:tc>
          <w:tcPr>
            <w:tcW w:w="1702" w:type="dxa"/>
            <w:tcBorders>
              <w:top w:val="single" w:sz="6" w:space="0" w:color="000000"/>
            </w:tcBorders>
            <w:shd w:val="clear" w:color="auto" w:fill="F1F1F1"/>
          </w:tcPr>
          <w:p w14:paraId="2162FD0A" w14:textId="77777777" w:rsidR="00AC6F3C" w:rsidRDefault="00AC6F3C">
            <w:pPr>
              <w:pStyle w:val="TableParagraph"/>
              <w:rPr>
                <w:rFonts w:ascii="Times New Roman"/>
                <w:sz w:val="18"/>
              </w:rPr>
            </w:pPr>
          </w:p>
        </w:tc>
        <w:tc>
          <w:tcPr>
            <w:tcW w:w="1684" w:type="dxa"/>
            <w:tcBorders>
              <w:top w:val="single" w:sz="6" w:space="0" w:color="000000"/>
              <w:right w:val="single" w:sz="6" w:space="0" w:color="000000"/>
            </w:tcBorders>
          </w:tcPr>
          <w:p w14:paraId="6D921D74" w14:textId="77777777" w:rsidR="00AC6F3C" w:rsidRDefault="00AC6F3C">
            <w:pPr>
              <w:pStyle w:val="TableParagraph"/>
              <w:rPr>
                <w:rFonts w:ascii="Times New Roman"/>
                <w:sz w:val="18"/>
              </w:rPr>
            </w:pPr>
          </w:p>
        </w:tc>
      </w:tr>
      <w:tr w:rsidR="00AC6F3C" w14:paraId="687D563E" w14:textId="77777777">
        <w:trPr>
          <w:trHeight w:val="554"/>
        </w:trPr>
        <w:tc>
          <w:tcPr>
            <w:tcW w:w="5639" w:type="dxa"/>
            <w:tcBorders>
              <w:left w:val="single" w:sz="6" w:space="0" w:color="000000"/>
            </w:tcBorders>
          </w:tcPr>
          <w:p w14:paraId="0224BCE5" w14:textId="77777777" w:rsidR="00AC6F3C" w:rsidRDefault="00570E88">
            <w:pPr>
              <w:pStyle w:val="TableParagraph"/>
              <w:spacing w:before="167"/>
              <w:ind w:left="28"/>
              <w:rPr>
                <w:b/>
                <w:sz w:val="18"/>
              </w:rPr>
            </w:pPr>
            <w:r>
              <w:rPr>
                <w:b/>
                <w:sz w:val="18"/>
              </w:rPr>
              <w:t>Balance</w:t>
            </w:r>
            <w:r>
              <w:rPr>
                <w:b/>
                <w:spacing w:val="-12"/>
                <w:sz w:val="18"/>
              </w:rPr>
              <w:t xml:space="preserve"> </w:t>
            </w:r>
            <w:r>
              <w:rPr>
                <w:b/>
                <w:sz w:val="18"/>
              </w:rPr>
              <w:t>at</w:t>
            </w:r>
            <w:r>
              <w:rPr>
                <w:b/>
                <w:spacing w:val="-12"/>
                <w:sz w:val="18"/>
              </w:rPr>
              <w:t xml:space="preserve"> </w:t>
            </w:r>
            <w:r>
              <w:rPr>
                <w:b/>
                <w:sz w:val="18"/>
              </w:rPr>
              <w:t>1</w:t>
            </w:r>
            <w:r>
              <w:rPr>
                <w:b/>
                <w:spacing w:val="-13"/>
                <w:sz w:val="18"/>
              </w:rPr>
              <w:t xml:space="preserve"> </w:t>
            </w:r>
            <w:r>
              <w:rPr>
                <w:b/>
                <w:spacing w:val="-4"/>
                <w:sz w:val="18"/>
              </w:rPr>
              <w:t>July</w:t>
            </w:r>
          </w:p>
        </w:tc>
        <w:tc>
          <w:tcPr>
            <w:tcW w:w="1702" w:type="dxa"/>
            <w:shd w:val="clear" w:color="auto" w:fill="F1F1F1"/>
          </w:tcPr>
          <w:p w14:paraId="566F4BCC" w14:textId="77777777" w:rsidR="00AC6F3C" w:rsidRDefault="00570E88">
            <w:pPr>
              <w:pStyle w:val="TableParagraph"/>
              <w:spacing w:before="167"/>
              <w:ind w:right="28"/>
              <w:jc w:val="right"/>
              <w:rPr>
                <w:sz w:val="18"/>
              </w:rPr>
            </w:pPr>
            <w:r>
              <w:rPr>
                <w:spacing w:val="-2"/>
                <w:sz w:val="18"/>
              </w:rPr>
              <w:t>54,046</w:t>
            </w:r>
          </w:p>
        </w:tc>
        <w:tc>
          <w:tcPr>
            <w:tcW w:w="1684" w:type="dxa"/>
            <w:tcBorders>
              <w:right w:val="single" w:sz="6" w:space="0" w:color="000000"/>
            </w:tcBorders>
          </w:tcPr>
          <w:p w14:paraId="06BBAA35" w14:textId="77777777" w:rsidR="00AC6F3C" w:rsidRDefault="00570E88">
            <w:pPr>
              <w:pStyle w:val="TableParagraph"/>
              <w:spacing w:before="167"/>
              <w:ind w:right="14"/>
              <w:jc w:val="right"/>
              <w:rPr>
                <w:sz w:val="18"/>
              </w:rPr>
            </w:pPr>
            <w:r>
              <w:rPr>
                <w:spacing w:val="-2"/>
                <w:sz w:val="18"/>
              </w:rPr>
              <w:t>57,512</w:t>
            </w:r>
          </w:p>
        </w:tc>
      </w:tr>
      <w:tr w:rsidR="00AC6F3C" w14:paraId="6DB1552F" w14:textId="77777777">
        <w:trPr>
          <w:trHeight w:val="650"/>
        </w:trPr>
        <w:tc>
          <w:tcPr>
            <w:tcW w:w="5639" w:type="dxa"/>
            <w:tcBorders>
              <w:left w:val="single" w:sz="6" w:space="0" w:color="000000"/>
              <w:bottom w:val="single" w:sz="6" w:space="0" w:color="000000"/>
            </w:tcBorders>
          </w:tcPr>
          <w:p w14:paraId="2B62820F" w14:textId="77777777" w:rsidR="00AC6F3C" w:rsidRDefault="00570E88">
            <w:pPr>
              <w:pStyle w:val="TableParagraph"/>
              <w:spacing w:before="173"/>
              <w:ind w:left="28"/>
              <w:rPr>
                <w:sz w:val="18"/>
              </w:rPr>
            </w:pPr>
            <w:r>
              <w:rPr>
                <w:spacing w:val="-4"/>
                <w:sz w:val="18"/>
              </w:rPr>
              <w:t>Total</w:t>
            </w:r>
            <w:r>
              <w:rPr>
                <w:spacing w:val="1"/>
                <w:sz w:val="18"/>
              </w:rPr>
              <w:t xml:space="preserve"> </w:t>
            </w:r>
            <w:r>
              <w:rPr>
                <w:spacing w:val="-4"/>
                <w:sz w:val="18"/>
              </w:rPr>
              <w:t>comprehensive</w:t>
            </w:r>
            <w:r>
              <w:rPr>
                <w:sz w:val="18"/>
              </w:rPr>
              <w:t xml:space="preserve"> </w:t>
            </w:r>
            <w:r>
              <w:rPr>
                <w:spacing w:val="-4"/>
                <w:sz w:val="18"/>
              </w:rPr>
              <w:t>income</w:t>
            </w:r>
            <w:r>
              <w:rPr>
                <w:sz w:val="18"/>
              </w:rPr>
              <w:t xml:space="preserve"> </w:t>
            </w:r>
            <w:r>
              <w:rPr>
                <w:spacing w:val="-4"/>
                <w:sz w:val="18"/>
              </w:rPr>
              <w:t>for</w:t>
            </w:r>
            <w:r>
              <w:rPr>
                <w:spacing w:val="6"/>
                <w:sz w:val="18"/>
              </w:rPr>
              <w:t xml:space="preserve"> </w:t>
            </w:r>
            <w:r>
              <w:rPr>
                <w:spacing w:val="-4"/>
                <w:sz w:val="18"/>
              </w:rPr>
              <w:t>the</w:t>
            </w:r>
            <w:r>
              <w:rPr>
                <w:sz w:val="18"/>
              </w:rPr>
              <w:t xml:space="preserve"> </w:t>
            </w:r>
            <w:r>
              <w:rPr>
                <w:spacing w:val="-4"/>
                <w:sz w:val="18"/>
              </w:rPr>
              <w:t>year</w:t>
            </w:r>
          </w:p>
        </w:tc>
        <w:tc>
          <w:tcPr>
            <w:tcW w:w="1702" w:type="dxa"/>
            <w:tcBorders>
              <w:bottom w:val="single" w:sz="6" w:space="0" w:color="000000"/>
            </w:tcBorders>
            <w:shd w:val="clear" w:color="auto" w:fill="F1F1F1"/>
          </w:tcPr>
          <w:p w14:paraId="7D2444C0" w14:textId="77777777" w:rsidR="00AC6F3C" w:rsidRDefault="00570E88">
            <w:pPr>
              <w:pStyle w:val="TableParagraph"/>
              <w:spacing w:before="173"/>
              <w:ind w:right="28"/>
              <w:jc w:val="right"/>
              <w:rPr>
                <w:sz w:val="18"/>
              </w:rPr>
            </w:pPr>
            <w:r>
              <w:rPr>
                <w:spacing w:val="-2"/>
                <w:sz w:val="18"/>
              </w:rPr>
              <w:t>2,654</w:t>
            </w:r>
          </w:p>
        </w:tc>
        <w:tc>
          <w:tcPr>
            <w:tcW w:w="1684" w:type="dxa"/>
            <w:tcBorders>
              <w:bottom w:val="single" w:sz="6" w:space="0" w:color="000000"/>
              <w:right w:val="single" w:sz="6" w:space="0" w:color="000000"/>
            </w:tcBorders>
          </w:tcPr>
          <w:p w14:paraId="736E68A4" w14:textId="77777777" w:rsidR="00AC6F3C" w:rsidRDefault="00570E88">
            <w:pPr>
              <w:pStyle w:val="TableParagraph"/>
              <w:spacing w:before="173"/>
              <w:ind w:right="18"/>
              <w:jc w:val="right"/>
              <w:rPr>
                <w:sz w:val="18"/>
              </w:rPr>
            </w:pPr>
            <w:r>
              <w:rPr>
                <w:spacing w:val="-2"/>
                <w:sz w:val="18"/>
              </w:rPr>
              <w:t>(3,466)</w:t>
            </w:r>
          </w:p>
        </w:tc>
      </w:tr>
      <w:tr w:rsidR="00AC6F3C" w14:paraId="5156669A" w14:textId="77777777">
        <w:trPr>
          <w:trHeight w:val="259"/>
        </w:trPr>
        <w:tc>
          <w:tcPr>
            <w:tcW w:w="5639" w:type="dxa"/>
            <w:tcBorders>
              <w:top w:val="single" w:sz="6" w:space="0" w:color="000000"/>
              <w:left w:val="single" w:sz="6" w:space="0" w:color="000000"/>
              <w:bottom w:val="single" w:sz="6" w:space="0" w:color="000000"/>
            </w:tcBorders>
            <w:shd w:val="clear" w:color="auto" w:fill="BEBEBE"/>
          </w:tcPr>
          <w:p w14:paraId="471DE4C9" w14:textId="77777777" w:rsidR="00AC6F3C" w:rsidRDefault="00570E88">
            <w:pPr>
              <w:pStyle w:val="TableParagraph"/>
              <w:spacing w:before="44" w:line="195" w:lineRule="exact"/>
              <w:ind w:left="28"/>
              <w:rPr>
                <w:b/>
                <w:sz w:val="18"/>
              </w:rPr>
            </w:pPr>
            <w:r>
              <w:rPr>
                <w:b/>
                <w:spacing w:val="-2"/>
                <w:sz w:val="18"/>
              </w:rPr>
              <w:t>Balance</w:t>
            </w:r>
            <w:r>
              <w:rPr>
                <w:b/>
                <w:spacing w:val="-3"/>
                <w:sz w:val="18"/>
              </w:rPr>
              <w:t xml:space="preserve"> </w:t>
            </w:r>
            <w:r>
              <w:rPr>
                <w:b/>
                <w:spacing w:val="-2"/>
                <w:sz w:val="18"/>
              </w:rPr>
              <w:t>at</w:t>
            </w:r>
            <w:r>
              <w:rPr>
                <w:b/>
                <w:spacing w:val="-7"/>
                <w:sz w:val="18"/>
              </w:rPr>
              <w:t xml:space="preserve"> </w:t>
            </w:r>
            <w:r>
              <w:rPr>
                <w:b/>
                <w:spacing w:val="-2"/>
                <w:sz w:val="18"/>
              </w:rPr>
              <w:t>30</w:t>
            </w:r>
            <w:r>
              <w:rPr>
                <w:b/>
                <w:spacing w:val="-11"/>
                <w:sz w:val="18"/>
              </w:rPr>
              <w:t xml:space="preserve"> </w:t>
            </w:r>
            <w:r>
              <w:rPr>
                <w:b/>
                <w:spacing w:val="-4"/>
                <w:sz w:val="18"/>
              </w:rPr>
              <w:t>June</w:t>
            </w:r>
          </w:p>
        </w:tc>
        <w:tc>
          <w:tcPr>
            <w:tcW w:w="1702" w:type="dxa"/>
            <w:tcBorders>
              <w:top w:val="single" w:sz="6" w:space="0" w:color="000000"/>
              <w:bottom w:val="single" w:sz="6" w:space="0" w:color="000000"/>
            </w:tcBorders>
            <w:shd w:val="clear" w:color="auto" w:fill="BEBEBE"/>
          </w:tcPr>
          <w:p w14:paraId="60DEBE78" w14:textId="77777777" w:rsidR="00AC6F3C" w:rsidRDefault="00570E88">
            <w:pPr>
              <w:pStyle w:val="TableParagraph"/>
              <w:spacing w:before="44" w:line="195" w:lineRule="exact"/>
              <w:ind w:right="28"/>
              <w:jc w:val="right"/>
              <w:rPr>
                <w:b/>
                <w:sz w:val="18"/>
              </w:rPr>
            </w:pPr>
            <w:r>
              <w:rPr>
                <w:b/>
                <w:spacing w:val="-2"/>
                <w:sz w:val="18"/>
              </w:rPr>
              <w:t>56,700</w:t>
            </w:r>
          </w:p>
        </w:tc>
        <w:tc>
          <w:tcPr>
            <w:tcW w:w="1684" w:type="dxa"/>
            <w:tcBorders>
              <w:top w:val="single" w:sz="6" w:space="0" w:color="000000"/>
              <w:bottom w:val="single" w:sz="6" w:space="0" w:color="000000"/>
              <w:right w:val="single" w:sz="6" w:space="0" w:color="000000"/>
            </w:tcBorders>
            <w:shd w:val="clear" w:color="auto" w:fill="BEBEBE"/>
          </w:tcPr>
          <w:p w14:paraId="5C3DFE6C" w14:textId="77777777" w:rsidR="00AC6F3C" w:rsidRDefault="00570E88">
            <w:pPr>
              <w:pStyle w:val="TableParagraph"/>
              <w:spacing w:before="44" w:line="195" w:lineRule="exact"/>
              <w:ind w:right="14"/>
              <w:jc w:val="right"/>
              <w:rPr>
                <w:b/>
                <w:sz w:val="18"/>
              </w:rPr>
            </w:pPr>
            <w:r>
              <w:rPr>
                <w:b/>
                <w:spacing w:val="-2"/>
                <w:sz w:val="18"/>
              </w:rPr>
              <w:t>54,046</w:t>
            </w:r>
          </w:p>
        </w:tc>
      </w:tr>
    </w:tbl>
    <w:p w14:paraId="7AAAF4F6" w14:textId="77777777" w:rsidR="00AC6F3C" w:rsidRDefault="00AC6F3C">
      <w:pPr>
        <w:pStyle w:val="BodyText"/>
      </w:pPr>
    </w:p>
    <w:p w14:paraId="0B848B77" w14:textId="77777777" w:rsidR="00AC6F3C" w:rsidRDefault="00AC6F3C">
      <w:pPr>
        <w:pStyle w:val="BodyText"/>
      </w:pPr>
    </w:p>
    <w:p w14:paraId="76E6FEB6" w14:textId="77777777" w:rsidR="00AC6F3C" w:rsidRDefault="00AC6F3C">
      <w:pPr>
        <w:pStyle w:val="BodyText"/>
      </w:pPr>
    </w:p>
    <w:p w14:paraId="16C68BF3" w14:textId="77777777" w:rsidR="00AC6F3C" w:rsidRDefault="00AC6F3C">
      <w:pPr>
        <w:pStyle w:val="BodyText"/>
      </w:pPr>
    </w:p>
    <w:p w14:paraId="59F39842" w14:textId="77777777" w:rsidR="00AC6F3C" w:rsidRDefault="00AC6F3C">
      <w:pPr>
        <w:pStyle w:val="BodyText"/>
      </w:pPr>
    </w:p>
    <w:p w14:paraId="7124F18B" w14:textId="77777777" w:rsidR="00AC6F3C" w:rsidRDefault="00AC6F3C">
      <w:pPr>
        <w:pStyle w:val="BodyText"/>
      </w:pPr>
    </w:p>
    <w:p w14:paraId="31534BF8" w14:textId="77777777" w:rsidR="00AC6F3C" w:rsidRDefault="00AC6F3C">
      <w:pPr>
        <w:pStyle w:val="BodyText"/>
      </w:pPr>
    </w:p>
    <w:p w14:paraId="63964747" w14:textId="77777777" w:rsidR="00AC6F3C" w:rsidRDefault="00AC6F3C">
      <w:pPr>
        <w:pStyle w:val="BodyText"/>
      </w:pPr>
    </w:p>
    <w:p w14:paraId="173954FF" w14:textId="77777777" w:rsidR="00AC6F3C" w:rsidRDefault="00AC6F3C">
      <w:pPr>
        <w:pStyle w:val="BodyText"/>
      </w:pPr>
    </w:p>
    <w:p w14:paraId="0D7E8B30" w14:textId="77777777" w:rsidR="00AC6F3C" w:rsidRDefault="00AC6F3C">
      <w:pPr>
        <w:pStyle w:val="BodyText"/>
      </w:pPr>
    </w:p>
    <w:p w14:paraId="4AAE6E07" w14:textId="77777777" w:rsidR="00AC6F3C" w:rsidRDefault="00AC6F3C">
      <w:pPr>
        <w:pStyle w:val="BodyText"/>
      </w:pPr>
    </w:p>
    <w:p w14:paraId="20BFE839" w14:textId="77777777" w:rsidR="00AC6F3C" w:rsidRDefault="00AC6F3C">
      <w:pPr>
        <w:pStyle w:val="BodyText"/>
      </w:pPr>
    </w:p>
    <w:p w14:paraId="7D3C98D6" w14:textId="77777777" w:rsidR="00AC6F3C" w:rsidRDefault="00AC6F3C">
      <w:pPr>
        <w:pStyle w:val="BodyText"/>
      </w:pPr>
    </w:p>
    <w:p w14:paraId="18C04A8C" w14:textId="77777777" w:rsidR="00AC6F3C" w:rsidRDefault="00AC6F3C">
      <w:pPr>
        <w:pStyle w:val="BodyText"/>
      </w:pPr>
    </w:p>
    <w:p w14:paraId="23F899A1" w14:textId="77777777" w:rsidR="00AC6F3C" w:rsidRDefault="00AC6F3C">
      <w:pPr>
        <w:pStyle w:val="BodyText"/>
      </w:pPr>
    </w:p>
    <w:p w14:paraId="132A74E1" w14:textId="77777777" w:rsidR="00AC6F3C" w:rsidRDefault="00AC6F3C">
      <w:pPr>
        <w:pStyle w:val="BodyText"/>
      </w:pPr>
    </w:p>
    <w:p w14:paraId="5ED2A8D7" w14:textId="77777777" w:rsidR="00AC6F3C" w:rsidRDefault="00AC6F3C">
      <w:pPr>
        <w:pStyle w:val="BodyText"/>
      </w:pPr>
    </w:p>
    <w:p w14:paraId="52A4166C" w14:textId="77777777" w:rsidR="00AC6F3C" w:rsidRDefault="00AC6F3C">
      <w:pPr>
        <w:pStyle w:val="BodyText"/>
      </w:pPr>
    </w:p>
    <w:p w14:paraId="7BFD10A9" w14:textId="77777777" w:rsidR="00AC6F3C" w:rsidRDefault="00AC6F3C">
      <w:pPr>
        <w:pStyle w:val="BodyText"/>
      </w:pPr>
    </w:p>
    <w:p w14:paraId="36752505" w14:textId="77777777" w:rsidR="00AC6F3C" w:rsidRDefault="00AC6F3C">
      <w:pPr>
        <w:pStyle w:val="BodyText"/>
      </w:pPr>
    </w:p>
    <w:p w14:paraId="471A13F2" w14:textId="77777777" w:rsidR="00AC6F3C" w:rsidRDefault="00AC6F3C">
      <w:pPr>
        <w:pStyle w:val="BodyText"/>
      </w:pPr>
    </w:p>
    <w:p w14:paraId="4E7C10AB" w14:textId="77777777" w:rsidR="00AC6F3C" w:rsidRDefault="00AC6F3C">
      <w:pPr>
        <w:pStyle w:val="BodyText"/>
      </w:pPr>
    </w:p>
    <w:p w14:paraId="08983D3A" w14:textId="77777777" w:rsidR="00AC6F3C" w:rsidRDefault="00AC6F3C">
      <w:pPr>
        <w:pStyle w:val="BodyText"/>
      </w:pPr>
    </w:p>
    <w:p w14:paraId="53718A06" w14:textId="77777777" w:rsidR="00AC6F3C" w:rsidRDefault="00AC6F3C">
      <w:pPr>
        <w:pStyle w:val="BodyText"/>
      </w:pPr>
    </w:p>
    <w:p w14:paraId="45C8EB9C" w14:textId="77777777" w:rsidR="00AC6F3C" w:rsidRDefault="00AC6F3C">
      <w:pPr>
        <w:pStyle w:val="BodyText"/>
      </w:pPr>
    </w:p>
    <w:p w14:paraId="48039AEF" w14:textId="77777777" w:rsidR="00AC6F3C" w:rsidRDefault="00AC6F3C">
      <w:pPr>
        <w:pStyle w:val="BodyText"/>
      </w:pPr>
    </w:p>
    <w:p w14:paraId="4D5BA5CE" w14:textId="77777777" w:rsidR="00AC6F3C" w:rsidRDefault="00AC6F3C">
      <w:pPr>
        <w:pStyle w:val="BodyText"/>
      </w:pPr>
    </w:p>
    <w:p w14:paraId="4FF4A7A7" w14:textId="77777777" w:rsidR="00AC6F3C" w:rsidRDefault="00AC6F3C">
      <w:pPr>
        <w:pStyle w:val="BodyText"/>
      </w:pPr>
    </w:p>
    <w:p w14:paraId="77D08702" w14:textId="77777777" w:rsidR="00AC6F3C" w:rsidRDefault="00AC6F3C">
      <w:pPr>
        <w:pStyle w:val="BodyText"/>
      </w:pPr>
    </w:p>
    <w:p w14:paraId="15D853A9" w14:textId="77777777" w:rsidR="00AC6F3C" w:rsidRDefault="00AC6F3C">
      <w:pPr>
        <w:pStyle w:val="BodyText"/>
      </w:pPr>
    </w:p>
    <w:p w14:paraId="270E3EA8" w14:textId="77777777" w:rsidR="00AC6F3C" w:rsidRDefault="00AC6F3C">
      <w:pPr>
        <w:pStyle w:val="BodyText"/>
      </w:pPr>
    </w:p>
    <w:p w14:paraId="688678B6" w14:textId="77777777" w:rsidR="00AC6F3C" w:rsidRDefault="00AC6F3C">
      <w:pPr>
        <w:pStyle w:val="BodyText"/>
      </w:pPr>
    </w:p>
    <w:p w14:paraId="09D1DB7A" w14:textId="77777777" w:rsidR="00AC6F3C" w:rsidRDefault="00AC6F3C">
      <w:pPr>
        <w:pStyle w:val="BodyText"/>
      </w:pPr>
    </w:p>
    <w:p w14:paraId="52DD8660" w14:textId="77777777" w:rsidR="00AC6F3C" w:rsidRDefault="00AC6F3C">
      <w:pPr>
        <w:pStyle w:val="BodyText"/>
      </w:pPr>
    </w:p>
    <w:p w14:paraId="1778ED6A" w14:textId="77777777" w:rsidR="00AC6F3C" w:rsidRDefault="00AC6F3C">
      <w:pPr>
        <w:pStyle w:val="BodyText"/>
      </w:pPr>
    </w:p>
    <w:p w14:paraId="1538BB80" w14:textId="77777777" w:rsidR="00AC6F3C" w:rsidRDefault="00AC6F3C">
      <w:pPr>
        <w:pStyle w:val="BodyText"/>
      </w:pPr>
    </w:p>
    <w:p w14:paraId="3C7DD59F" w14:textId="77777777" w:rsidR="00AC6F3C" w:rsidRDefault="00AC6F3C">
      <w:pPr>
        <w:pStyle w:val="BodyText"/>
      </w:pPr>
    </w:p>
    <w:p w14:paraId="42791079" w14:textId="77777777" w:rsidR="00AC6F3C" w:rsidRDefault="00AC6F3C">
      <w:pPr>
        <w:pStyle w:val="BodyText"/>
      </w:pPr>
    </w:p>
    <w:p w14:paraId="3979D862" w14:textId="77777777" w:rsidR="00AC6F3C" w:rsidRDefault="00AC6F3C">
      <w:pPr>
        <w:pStyle w:val="BodyText"/>
      </w:pPr>
    </w:p>
    <w:p w14:paraId="126F0D0F" w14:textId="77777777" w:rsidR="00AC6F3C" w:rsidRDefault="00AC6F3C">
      <w:pPr>
        <w:pStyle w:val="BodyText"/>
        <w:spacing w:before="4"/>
        <w:rPr>
          <w:sz w:val="18"/>
        </w:rPr>
      </w:pPr>
    </w:p>
    <w:p w14:paraId="4954A9AD" w14:textId="77777777" w:rsidR="00AC6F3C" w:rsidRDefault="00570E88">
      <w:pPr>
        <w:spacing w:before="94"/>
        <w:ind w:left="977"/>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4FFE38A6" w14:textId="77777777" w:rsidR="00AC6F3C" w:rsidRDefault="00AC6F3C">
      <w:pPr>
        <w:rPr>
          <w:sz w:val="18"/>
        </w:rPr>
        <w:sectPr w:rsidR="00AC6F3C">
          <w:pgSz w:w="11910" w:h="16840"/>
          <w:pgMar w:top="1580" w:right="1160" w:bottom="520" w:left="460" w:header="1297" w:footer="336" w:gutter="0"/>
          <w:cols w:space="720"/>
        </w:sectPr>
      </w:pPr>
    </w:p>
    <w:p w14:paraId="66D01A3C" w14:textId="77777777" w:rsidR="00AC6F3C" w:rsidRDefault="00570E88">
      <w:pPr>
        <w:ind w:left="979"/>
      </w:pPr>
      <w:r>
        <w:lastRenderedPageBreak/>
        <w:t>Statement</w:t>
      </w:r>
      <w:r>
        <w:rPr>
          <w:spacing w:val="-6"/>
        </w:rPr>
        <w:t xml:space="preserve"> </w:t>
      </w:r>
      <w:r>
        <w:t>of</w:t>
      </w:r>
      <w:r>
        <w:rPr>
          <w:spacing w:val="-3"/>
        </w:rPr>
        <w:t xml:space="preserve"> </w:t>
      </w:r>
      <w:r>
        <w:t>Cash</w:t>
      </w:r>
      <w:r>
        <w:rPr>
          <w:spacing w:val="-4"/>
        </w:rPr>
        <w:t xml:space="preserve"> </w:t>
      </w:r>
      <w:r>
        <w:t>Flows</w:t>
      </w:r>
      <w:r>
        <w:rPr>
          <w:spacing w:val="-2"/>
        </w:rPr>
        <w:t xml:space="preserve"> </w:t>
      </w:r>
      <w:r>
        <w:t>for</w:t>
      </w:r>
      <w:r>
        <w:rPr>
          <w:spacing w:val="-5"/>
        </w:rPr>
        <w:t xml:space="preserve"> </w:t>
      </w:r>
      <w:r>
        <w:t>the</w:t>
      </w:r>
      <w:r>
        <w:rPr>
          <w:spacing w:val="-3"/>
        </w:rPr>
        <w:t xml:space="preserve"> </w:t>
      </w:r>
      <w:r>
        <w:t>year</w:t>
      </w:r>
      <w:r>
        <w:rPr>
          <w:spacing w:val="-4"/>
        </w:rPr>
        <w:t xml:space="preserve"> </w:t>
      </w:r>
      <w:r>
        <w:t>ended</w:t>
      </w:r>
      <w:r>
        <w:rPr>
          <w:spacing w:val="-4"/>
        </w:rPr>
        <w:t xml:space="preserve"> </w:t>
      </w:r>
      <w:r>
        <w:t>30</w:t>
      </w:r>
      <w:r>
        <w:rPr>
          <w:spacing w:val="-5"/>
        </w:rPr>
        <w:t xml:space="preserve"> </w:t>
      </w:r>
      <w:r>
        <w:t>June</w:t>
      </w:r>
      <w:r>
        <w:rPr>
          <w:spacing w:val="-3"/>
        </w:rPr>
        <w:t xml:space="preserve"> </w:t>
      </w:r>
      <w:r>
        <w:rPr>
          <w:spacing w:val="-4"/>
        </w:rPr>
        <w:t>2023</w:t>
      </w:r>
    </w:p>
    <w:p w14:paraId="588B5925" w14:textId="77777777" w:rsidR="00AC6F3C" w:rsidRDefault="00570E88">
      <w:pPr>
        <w:pStyle w:val="BodyText"/>
        <w:spacing w:before="8"/>
        <w:rPr>
          <w:sz w:val="18"/>
        </w:rPr>
      </w:pPr>
      <w:r>
        <w:rPr>
          <w:noProof/>
        </w:rPr>
        <mc:AlternateContent>
          <mc:Choice Requires="wps">
            <w:drawing>
              <wp:anchor distT="0" distB="0" distL="0" distR="0" simplePos="0" relativeHeight="487694336" behindDoc="1" locked="0" layoutInCell="1" allowOverlap="1" wp14:anchorId="3F85DE99" wp14:editId="0DB969D4">
                <wp:simplePos x="0" y="0"/>
                <wp:positionH relativeFrom="page">
                  <wp:posOffset>896045</wp:posOffset>
                </wp:positionH>
                <wp:positionV relativeFrom="paragraph">
                  <wp:posOffset>151896</wp:posOffset>
                </wp:positionV>
                <wp:extent cx="5783580" cy="635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3580" cy="6350"/>
                        </a:xfrm>
                        <a:custGeom>
                          <a:avLst/>
                          <a:gdLst/>
                          <a:ahLst/>
                          <a:cxnLst/>
                          <a:rect l="l" t="t" r="r" b="b"/>
                          <a:pathLst>
                            <a:path w="5783580" h="6350">
                              <a:moveTo>
                                <a:pt x="5783148" y="6094"/>
                              </a:moveTo>
                              <a:lnTo>
                                <a:pt x="0" y="6094"/>
                              </a:lnTo>
                              <a:lnTo>
                                <a:pt x="0" y="0"/>
                              </a:lnTo>
                              <a:lnTo>
                                <a:pt x="5783148" y="0"/>
                              </a:lnTo>
                              <a:lnTo>
                                <a:pt x="578314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2DDDD" id="Graphic 794" o:spid="_x0000_s1026" style="position:absolute;margin-left:70.55pt;margin-top:11.95pt;width:455.4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5783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" path="m5783148,6094l,6094,,,5783148,r,6094xe" fillcolor="black" stroked="f">
                <v:path arrowok="t"/>
                <w10:wrap type="topAndBottom" anchorx="page"/>
              </v:shape>
            </w:pict>
          </mc:Fallback>
        </mc:AlternateContent>
      </w:r>
    </w:p>
    <w:p w14:paraId="74E7C91D" w14:textId="77777777" w:rsidR="00AC6F3C" w:rsidRDefault="00AC6F3C">
      <w:pPr>
        <w:pStyle w:val="BodyText"/>
      </w:pPr>
    </w:p>
    <w:p w14:paraId="7B1B5438" w14:textId="77777777" w:rsidR="00AC6F3C" w:rsidRDefault="00AC6F3C">
      <w:pPr>
        <w:pStyle w:val="BodyText"/>
        <w:spacing w:before="9"/>
        <w:rPr>
          <w:sz w:val="21"/>
        </w:rPr>
      </w:pPr>
    </w:p>
    <w:tbl>
      <w:tblPr>
        <w:tblW w:w="0" w:type="auto"/>
        <w:tblInd w:w="994" w:type="dxa"/>
        <w:tblLayout w:type="fixed"/>
        <w:tblCellMar>
          <w:left w:w="0" w:type="dxa"/>
          <w:right w:w="0" w:type="dxa"/>
        </w:tblCellMar>
        <w:tblLook w:val="01E0" w:firstRow="1" w:lastRow="1" w:firstColumn="1" w:lastColumn="1" w:noHBand="0" w:noVBand="0"/>
      </w:tblPr>
      <w:tblGrid>
        <w:gridCol w:w="5418"/>
        <w:gridCol w:w="1178"/>
        <w:gridCol w:w="1138"/>
        <w:gridCol w:w="1116"/>
      </w:tblGrid>
      <w:tr w:rsidR="00AC6F3C" w14:paraId="29E34BED" w14:textId="77777777">
        <w:trPr>
          <w:trHeight w:val="941"/>
        </w:trPr>
        <w:tc>
          <w:tcPr>
            <w:tcW w:w="6596" w:type="dxa"/>
            <w:gridSpan w:val="2"/>
            <w:tcBorders>
              <w:top w:val="single" w:sz="6" w:space="0" w:color="000000"/>
              <w:left w:val="single" w:sz="6" w:space="0" w:color="000000"/>
              <w:bottom w:val="single" w:sz="6" w:space="0" w:color="000000"/>
            </w:tcBorders>
            <w:shd w:val="clear" w:color="auto" w:fill="BEBEBE"/>
          </w:tcPr>
          <w:p w14:paraId="627ADDC1" w14:textId="77777777" w:rsidR="00AC6F3C" w:rsidRDefault="00AC6F3C">
            <w:pPr>
              <w:pStyle w:val="TableParagraph"/>
              <w:rPr>
                <w:sz w:val="20"/>
              </w:rPr>
            </w:pPr>
          </w:p>
          <w:p w14:paraId="1E9A273B" w14:textId="77777777" w:rsidR="00AC6F3C" w:rsidRDefault="00AC6F3C">
            <w:pPr>
              <w:pStyle w:val="TableParagraph"/>
              <w:rPr>
                <w:sz w:val="20"/>
              </w:rPr>
            </w:pPr>
          </w:p>
          <w:p w14:paraId="1ADFCE6A" w14:textId="77777777" w:rsidR="00AC6F3C" w:rsidRDefault="00AC6F3C">
            <w:pPr>
              <w:pStyle w:val="TableParagraph"/>
              <w:spacing w:before="3"/>
              <w:rPr>
                <w:sz w:val="23"/>
              </w:rPr>
            </w:pPr>
          </w:p>
          <w:p w14:paraId="16FE7308" w14:textId="77777777" w:rsidR="00AC6F3C" w:rsidRDefault="00570E88">
            <w:pPr>
              <w:pStyle w:val="TableParagraph"/>
              <w:spacing w:before="1" w:line="194" w:lineRule="exact"/>
              <w:ind w:right="309"/>
              <w:jc w:val="right"/>
              <w:rPr>
                <w:b/>
                <w:sz w:val="18"/>
              </w:rPr>
            </w:pPr>
            <w:r>
              <w:rPr>
                <w:b/>
                <w:spacing w:val="-2"/>
                <w:sz w:val="18"/>
              </w:rPr>
              <w:t>Notes</w:t>
            </w:r>
          </w:p>
        </w:tc>
        <w:tc>
          <w:tcPr>
            <w:tcW w:w="1138" w:type="dxa"/>
            <w:tcBorders>
              <w:top w:val="single" w:sz="6" w:space="0" w:color="000000"/>
              <w:bottom w:val="single" w:sz="6" w:space="0" w:color="000000"/>
            </w:tcBorders>
            <w:shd w:val="clear" w:color="auto" w:fill="BEBEBE"/>
          </w:tcPr>
          <w:p w14:paraId="3A8FA810" w14:textId="77777777" w:rsidR="00AC6F3C" w:rsidRDefault="00570E88">
            <w:pPr>
              <w:pStyle w:val="TableParagraph"/>
              <w:spacing w:before="10"/>
              <w:ind w:right="35"/>
              <w:jc w:val="right"/>
              <w:rPr>
                <w:b/>
                <w:sz w:val="18"/>
              </w:rPr>
            </w:pPr>
            <w:r>
              <w:rPr>
                <w:b/>
                <w:spacing w:val="-4"/>
                <w:sz w:val="18"/>
              </w:rPr>
              <w:t>2023</w:t>
            </w:r>
          </w:p>
          <w:p w14:paraId="342F4375" w14:textId="77777777" w:rsidR="00AC6F3C" w:rsidRDefault="00570E88">
            <w:pPr>
              <w:pStyle w:val="TableParagraph"/>
              <w:spacing w:before="33"/>
              <w:ind w:right="35"/>
              <w:jc w:val="right"/>
              <w:rPr>
                <w:b/>
                <w:sz w:val="18"/>
              </w:rPr>
            </w:pPr>
            <w:r>
              <w:rPr>
                <w:b/>
                <w:spacing w:val="-2"/>
                <w:sz w:val="18"/>
              </w:rPr>
              <w:t>$'000</w:t>
            </w:r>
          </w:p>
          <w:p w14:paraId="143BAA96" w14:textId="77777777" w:rsidR="00AC6F3C" w:rsidRDefault="00570E88">
            <w:pPr>
              <w:pStyle w:val="TableParagraph"/>
              <w:spacing w:line="240" w:lineRule="atLeast"/>
              <w:ind w:left="261" w:right="30" w:firstLine="209"/>
              <w:jc w:val="right"/>
              <w:rPr>
                <w:sz w:val="18"/>
              </w:rPr>
            </w:pPr>
            <w:r>
              <w:rPr>
                <w:spacing w:val="-2"/>
                <w:sz w:val="18"/>
              </w:rPr>
              <w:t>Inflows/ (Outflows)</w:t>
            </w:r>
          </w:p>
        </w:tc>
        <w:tc>
          <w:tcPr>
            <w:tcW w:w="1116" w:type="dxa"/>
            <w:tcBorders>
              <w:top w:val="single" w:sz="6" w:space="0" w:color="000000"/>
              <w:bottom w:val="single" w:sz="6" w:space="0" w:color="000000"/>
              <w:right w:val="single" w:sz="6" w:space="0" w:color="000000"/>
            </w:tcBorders>
            <w:shd w:val="clear" w:color="auto" w:fill="BEBEBE"/>
          </w:tcPr>
          <w:p w14:paraId="500BF01E" w14:textId="77777777" w:rsidR="00AC6F3C" w:rsidRDefault="00570E88">
            <w:pPr>
              <w:pStyle w:val="TableParagraph"/>
              <w:spacing w:before="10"/>
              <w:ind w:right="21"/>
              <w:jc w:val="right"/>
              <w:rPr>
                <w:b/>
                <w:sz w:val="18"/>
              </w:rPr>
            </w:pPr>
            <w:r>
              <w:rPr>
                <w:b/>
                <w:spacing w:val="-4"/>
                <w:sz w:val="18"/>
              </w:rPr>
              <w:t>2022</w:t>
            </w:r>
          </w:p>
          <w:p w14:paraId="75078E81" w14:textId="77777777" w:rsidR="00AC6F3C" w:rsidRDefault="00570E88">
            <w:pPr>
              <w:pStyle w:val="TableParagraph"/>
              <w:spacing w:before="33"/>
              <w:ind w:right="21"/>
              <w:jc w:val="right"/>
              <w:rPr>
                <w:b/>
                <w:sz w:val="18"/>
              </w:rPr>
            </w:pPr>
            <w:r>
              <w:rPr>
                <w:b/>
                <w:spacing w:val="-2"/>
                <w:sz w:val="18"/>
              </w:rPr>
              <w:t>$'000</w:t>
            </w:r>
          </w:p>
          <w:p w14:paraId="3DF2E260" w14:textId="77777777" w:rsidR="00AC6F3C" w:rsidRDefault="00570E88">
            <w:pPr>
              <w:pStyle w:val="TableParagraph"/>
              <w:spacing w:line="240" w:lineRule="atLeast"/>
              <w:ind w:left="246" w:right="16" w:firstLine="209"/>
              <w:jc w:val="right"/>
              <w:rPr>
                <w:sz w:val="18"/>
              </w:rPr>
            </w:pPr>
            <w:r>
              <w:rPr>
                <w:spacing w:val="-2"/>
                <w:sz w:val="18"/>
              </w:rPr>
              <w:t>Inflows/ (Outflows)</w:t>
            </w:r>
          </w:p>
        </w:tc>
      </w:tr>
      <w:tr w:rsidR="00AC6F3C" w14:paraId="6AB895F6" w14:textId="77777777">
        <w:trPr>
          <w:trHeight w:val="304"/>
        </w:trPr>
        <w:tc>
          <w:tcPr>
            <w:tcW w:w="6596" w:type="dxa"/>
            <w:gridSpan w:val="2"/>
            <w:tcBorders>
              <w:top w:val="single" w:sz="6" w:space="0" w:color="000000"/>
              <w:left w:val="single" w:sz="6" w:space="0" w:color="000000"/>
            </w:tcBorders>
          </w:tcPr>
          <w:p w14:paraId="0FE48EC7" w14:textId="77777777" w:rsidR="00AC6F3C" w:rsidRDefault="00570E88">
            <w:pPr>
              <w:pStyle w:val="TableParagraph"/>
              <w:spacing w:before="55"/>
              <w:ind w:left="37"/>
              <w:rPr>
                <w:b/>
                <w:sz w:val="18"/>
              </w:rPr>
            </w:pPr>
            <w:r>
              <w:rPr>
                <w:b/>
                <w:spacing w:val="-2"/>
                <w:sz w:val="18"/>
              </w:rPr>
              <w:t>Cash</w:t>
            </w:r>
            <w:r>
              <w:rPr>
                <w:b/>
                <w:spacing w:val="-9"/>
                <w:sz w:val="18"/>
              </w:rPr>
              <w:t xml:space="preserve"> </w:t>
            </w:r>
            <w:r>
              <w:rPr>
                <w:b/>
                <w:spacing w:val="-2"/>
                <w:sz w:val="18"/>
              </w:rPr>
              <w:t>flows</w:t>
            </w:r>
            <w:r>
              <w:rPr>
                <w:b/>
                <w:spacing w:val="2"/>
                <w:sz w:val="18"/>
              </w:rPr>
              <w:t xml:space="preserve"> </w:t>
            </w:r>
            <w:r>
              <w:rPr>
                <w:b/>
                <w:spacing w:val="-2"/>
                <w:sz w:val="18"/>
              </w:rPr>
              <w:t>from</w:t>
            </w:r>
            <w:r>
              <w:rPr>
                <w:b/>
                <w:spacing w:val="2"/>
                <w:sz w:val="18"/>
              </w:rPr>
              <w:t xml:space="preserve"> </w:t>
            </w:r>
            <w:r>
              <w:rPr>
                <w:b/>
                <w:spacing w:val="-2"/>
                <w:sz w:val="18"/>
              </w:rPr>
              <w:t>operating</w:t>
            </w:r>
            <w:r>
              <w:rPr>
                <w:b/>
                <w:spacing w:val="-9"/>
                <w:sz w:val="18"/>
              </w:rPr>
              <w:t xml:space="preserve"> </w:t>
            </w:r>
            <w:r>
              <w:rPr>
                <w:b/>
                <w:spacing w:val="-2"/>
                <w:sz w:val="18"/>
              </w:rPr>
              <w:t>activities</w:t>
            </w:r>
          </w:p>
        </w:tc>
        <w:tc>
          <w:tcPr>
            <w:tcW w:w="1138" w:type="dxa"/>
            <w:tcBorders>
              <w:top w:val="single" w:sz="6" w:space="0" w:color="000000"/>
            </w:tcBorders>
            <w:shd w:val="clear" w:color="auto" w:fill="F1F1F1"/>
          </w:tcPr>
          <w:p w14:paraId="4E462D4D" w14:textId="77777777" w:rsidR="00AC6F3C" w:rsidRDefault="00AC6F3C">
            <w:pPr>
              <w:pStyle w:val="TableParagraph"/>
              <w:rPr>
                <w:rFonts w:ascii="Times New Roman"/>
                <w:sz w:val="18"/>
              </w:rPr>
            </w:pPr>
          </w:p>
        </w:tc>
        <w:tc>
          <w:tcPr>
            <w:tcW w:w="1116" w:type="dxa"/>
            <w:tcBorders>
              <w:top w:val="single" w:sz="6" w:space="0" w:color="000000"/>
              <w:right w:val="single" w:sz="6" w:space="0" w:color="000000"/>
            </w:tcBorders>
          </w:tcPr>
          <w:p w14:paraId="7544C7F9" w14:textId="77777777" w:rsidR="00AC6F3C" w:rsidRDefault="00AC6F3C">
            <w:pPr>
              <w:pStyle w:val="TableParagraph"/>
              <w:rPr>
                <w:rFonts w:ascii="Times New Roman"/>
                <w:sz w:val="18"/>
              </w:rPr>
            </w:pPr>
          </w:p>
        </w:tc>
      </w:tr>
      <w:tr w:rsidR="00AC6F3C" w14:paraId="34D8C2D5" w14:textId="77777777">
        <w:trPr>
          <w:trHeight w:val="284"/>
        </w:trPr>
        <w:tc>
          <w:tcPr>
            <w:tcW w:w="6596" w:type="dxa"/>
            <w:gridSpan w:val="2"/>
            <w:tcBorders>
              <w:left w:val="single" w:sz="6" w:space="0" w:color="000000"/>
            </w:tcBorders>
          </w:tcPr>
          <w:p w14:paraId="465DFDF8" w14:textId="77777777" w:rsidR="00AC6F3C" w:rsidRDefault="00570E88">
            <w:pPr>
              <w:pStyle w:val="TableParagraph"/>
              <w:spacing w:before="35"/>
              <w:ind w:left="37"/>
              <w:rPr>
                <w:sz w:val="18"/>
              </w:rPr>
            </w:pPr>
            <w:r>
              <w:rPr>
                <w:sz w:val="18"/>
              </w:rPr>
              <w:t>Receipts</w:t>
            </w:r>
            <w:r>
              <w:rPr>
                <w:spacing w:val="18"/>
                <w:sz w:val="18"/>
              </w:rPr>
              <w:t xml:space="preserve"> </w:t>
            </w:r>
            <w:r>
              <w:rPr>
                <w:sz w:val="18"/>
              </w:rPr>
              <w:t>from</w:t>
            </w:r>
            <w:r>
              <w:rPr>
                <w:spacing w:val="18"/>
                <w:sz w:val="18"/>
              </w:rPr>
              <w:t xml:space="preserve"> </w:t>
            </w:r>
            <w:r>
              <w:rPr>
                <w:sz w:val="18"/>
              </w:rPr>
              <w:t>the</w:t>
            </w:r>
            <w:r>
              <w:rPr>
                <w:spacing w:val="7"/>
                <w:sz w:val="18"/>
              </w:rPr>
              <w:t xml:space="preserve"> </w:t>
            </w:r>
            <w:r>
              <w:rPr>
                <w:sz w:val="18"/>
              </w:rPr>
              <w:t>profession</w:t>
            </w:r>
            <w:r>
              <w:rPr>
                <w:spacing w:val="7"/>
                <w:sz w:val="18"/>
              </w:rPr>
              <w:t xml:space="preserve"> </w:t>
            </w:r>
            <w:r>
              <w:rPr>
                <w:sz w:val="18"/>
              </w:rPr>
              <w:t>and</w:t>
            </w:r>
            <w:r>
              <w:rPr>
                <w:spacing w:val="7"/>
                <w:sz w:val="18"/>
              </w:rPr>
              <w:t xml:space="preserve"> </w:t>
            </w:r>
            <w:r>
              <w:rPr>
                <w:spacing w:val="-2"/>
                <w:sz w:val="18"/>
              </w:rPr>
              <w:t>reinsurers</w:t>
            </w:r>
          </w:p>
        </w:tc>
        <w:tc>
          <w:tcPr>
            <w:tcW w:w="1138" w:type="dxa"/>
            <w:shd w:val="clear" w:color="auto" w:fill="F1F1F1"/>
          </w:tcPr>
          <w:p w14:paraId="1EE4F9BF" w14:textId="77777777" w:rsidR="00AC6F3C" w:rsidRDefault="00570E88">
            <w:pPr>
              <w:pStyle w:val="TableParagraph"/>
              <w:spacing w:before="35"/>
              <w:ind w:right="35"/>
              <w:jc w:val="right"/>
              <w:rPr>
                <w:sz w:val="18"/>
              </w:rPr>
            </w:pPr>
            <w:r>
              <w:rPr>
                <w:spacing w:val="-2"/>
                <w:sz w:val="18"/>
              </w:rPr>
              <w:t>29,099</w:t>
            </w:r>
          </w:p>
        </w:tc>
        <w:tc>
          <w:tcPr>
            <w:tcW w:w="1116" w:type="dxa"/>
            <w:tcBorders>
              <w:right w:val="single" w:sz="6" w:space="0" w:color="000000"/>
            </w:tcBorders>
          </w:tcPr>
          <w:p w14:paraId="514DE861" w14:textId="77777777" w:rsidR="00AC6F3C" w:rsidRDefault="00570E88">
            <w:pPr>
              <w:pStyle w:val="TableParagraph"/>
              <w:spacing w:before="35"/>
              <w:ind w:right="21"/>
              <w:jc w:val="right"/>
              <w:rPr>
                <w:sz w:val="18"/>
              </w:rPr>
            </w:pPr>
            <w:r>
              <w:rPr>
                <w:spacing w:val="-2"/>
                <w:sz w:val="18"/>
              </w:rPr>
              <w:t>5,916</w:t>
            </w:r>
          </w:p>
        </w:tc>
      </w:tr>
      <w:tr w:rsidR="00AC6F3C" w14:paraId="73BD75BC" w14:textId="77777777">
        <w:trPr>
          <w:trHeight w:val="284"/>
        </w:trPr>
        <w:tc>
          <w:tcPr>
            <w:tcW w:w="6596" w:type="dxa"/>
            <w:gridSpan w:val="2"/>
            <w:tcBorders>
              <w:left w:val="single" w:sz="6" w:space="0" w:color="000000"/>
            </w:tcBorders>
          </w:tcPr>
          <w:p w14:paraId="7AB726F0" w14:textId="77777777" w:rsidR="00AC6F3C" w:rsidRDefault="00570E88">
            <w:pPr>
              <w:pStyle w:val="TableParagraph"/>
              <w:spacing w:before="35"/>
              <w:ind w:left="37"/>
              <w:rPr>
                <w:sz w:val="18"/>
              </w:rPr>
            </w:pPr>
            <w:r>
              <w:rPr>
                <w:sz w:val="18"/>
              </w:rPr>
              <w:t>Payments</w:t>
            </w:r>
            <w:r>
              <w:rPr>
                <w:spacing w:val="4"/>
                <w:sz w:val="18"/>
              </w:rPr>
              <w:t xml:space="preserve"> </w:t>
            </w:r>
            <w:r>
              <w:rPr>
                <w:sz w:val="18"/>
              </w:rPr>
              <w:t>to</w:t>
            </w:r>
            <w:r>
              <w:rPr>
                <w:spacing w:val="-5"/>
                <w:sz w:val="18"/>
              </w:rPr>
              <w:t xml:space="preserve"> </w:t>
            </w:r>
            <w:r>
              <w:rPr>
                <w:spacing w:val="-2"/>
                <w:sz w:val="18"/>
              </w:rPr>
              <w:t>suppliers</w:t>
            </w:r>
          </w:p>
        </w:tc>
        <w:tc>
          <w:tcPr>
            <w:tcW w:w="1138" w:type="dxa"/>
            <w:shd w:val="clear" w:color="auto" w:fill="F1F1F1"/>
          </w:tcPr>
          <w:p w14:paraId="5F5DC2EA" w14:textId="77777777" w:rsidR="00AC6F3C" w:rsidRDefault="00570E88">
            <w:pPr>
              <w:pStyle w:val="TableParagraph"/>
              <w:spacing w:before="35"/>
              <w:ind w:right="30"/>
              <w:jc w:val="right"/>
              <w:rPr>
                <w:sz w:val="18"/>
              </w:rPr>
            </w:pPr>
            <w:r>
              <w:rPr>
                <w:spacing w:val="-2"/>
                <w:sz w:val="18"/>
              </w:rPr>
              <w:t>(31,209)</w:t>
            </w:r>
          </w:p>
        </w:tc>
        <w:tc>
          <w:tcPr>
            <w:tcW w:w="1116" w:type="dxa"/>
            <w:tcBorders>
              <w:right w:val="single" w:sz="6" w:space="0" w:color="000000"/>
            </w:tcBorders>
          </w:tcPr>
          <w:p w14:paraId="2B0B836B" w14:textId="77777777" w:rsidR="00AC6F3C" w:rsidRDefault="00570E88">
            <w:pPr>
              <w:pStyle w:val="TableParagraph"/>
              <w:spacing w:before="35"/>
              <w:ind w:right="16"/>
              <w:jc w:val="right"/>
              <w:rPr>
                <w:sz w:val="18"/>
              </w:rPr>
            </w:pPr>
            <w:r>
              <w:rPr>
                <w:spacing w:val="-2"/>
                <w:sz w:val="18"/>
              </w:rPr>
              <w:t>(28,137)</w:t>
            </w:r>
          </w:p>
        </w:tc>
      </w:tr>
      <w:tr w:rsidR="00AC6F3C" w14:paraId="0AB6B99F" w14:textId="77777777">
        <w:trPr>
          <w:trHeight w:val="249"/>
        </w:trPr>
        <w:tc>
          <w:tcPr>
            <w:tcW w:w="6596" w:type="dxa"/>
            <w:gridSpan w:val="2"/>
            <w:tcBorders>
              <w:left w:val="single" w:sz="6" w:space="0" w:color="000000"/>
              <w:bottom w:val="single" w:sz="6" w:space="0" w:color="000000"/>
            </w:tcBorders>
          </w:tcPr>
          <w:p w14:paraId="465AB3A5" w14:textId="77777777" w:rsidR="00AC6F3C" w:rsidRDefault="00570E88">
            <w:pPr>
              <w:pStyle w:val="TableParagraph"/>
              <w:spacing w:before="35" w:line="194" w:lineRule="exact"/>
              <w:ind w:left="37"/>
              <w:rPr>
                <w:sz w:val="18"/>
              </w:rPr>
            </w:pPr>
            <w:r>
              <w:rPr>
                <w:sz w:val="18"/>
              </w:rPr>
              <w:t>Interest</w:t>
            </w:r>
            <w:r>
              <w:rPr>
                <w:spacing w:val="-3"/>
                <w:sz w:val="18"/>
              </w:rPr>
              <w:t xml:space="preserve"> </w:t>
            </w:r>
            <w:r>
              <w:rPr>
                <w:spacing w:val="-2"/>
                <w:sz w:val="18"/>
              </w:rPr>
              <w:t>received</w:t>
            </w:r>
          </w:p>
        </w:tc>
        <w:tc>
          <w:tcPr>
            <w:tcW w:w="1138" w:type="dxa"/>
            <w:tcBorders>
              <w:bottom w:val="single" w:sz="6" w:space="0" w:color="000000"/>
            </w:tcBorders>
            <w:shd w:val="clear" w:color="auto" w:fill="F1F1F1"/>
          </w:tcPr>
          <w:p w14:paraId="20AA8EA5" w14:textId="77777777" w:rsidR="00AC6F3C" w:rsidRDefault="00570E88">
            <w:pPr>
              <w:pStyle w:val="TableParagraph"/>
              <w:spacing w:before="35" w:line="194" w:lineRule="exact"/>
              <w:ind w:right="35"/>
              <w:jc w:val="right"/>
              <w:rPr>
                <w:sz w:val="18"/>
              </w:rPr>
            </w:pPr>
            <w:r>
              <w:rPr>
                <w:spacing w:val="-5"/>
                <w:sz w:val="18"/>
              </w:rPr>
              <w:t>37</w:t>
            </w:r>
          </w:p>
        </w:tc>
        <w:tc>
          <w:tcPr>
            <w:tcW w:w="1116" w:type="dxa"/>
            <w:tcBorders>
              <w:bottom w:val="single" w:sz="6" w:space="0" w:color="000000"/>
              <w:right w:val="single" w:sz="6" w:space="0" w:color="000000"/>
            </w:tcBorders>
          </w:tcPr>
          <w:p w14:paraId="4A2F1147" w14:textId="77777777" w:rsidR="00AC6F3C" w:rsidRDefault="00570E88">
            <w:pPr>
              <w:pStyle w:val="TableParagraph"/>
              <w:spacing w:before="35" w:line="194" w:lineRule="exact"/>
              <w:ind w:right="25"/>
              <w:jc w:val="right"/>
              <w:rPr>
                <w:sz w:val="18"/>
              </w:rPr>
            </w:pPr>
            <w:r>
              <w:rPr>
                <w:w w:val="99"/>
                <w:sz w:val="18"/>
              </w:rPr>
              <w:t>1</w:t>
            </w:r>
          </w:p>
        </w:tc>
      </w:tr>
      <w:tr w:rsidR="00AC6F3C" w14:paraId="19C72A46" w14:textId="77777777">
        <w:trPr>
          <w:trHeight w:val="269"/>
        </w:trPr>
        <w:tc>
          <w:tcPr>
            <w:tcW w:w="5418" w:type="dxa"/>
            <w:tcBorders>
              <w:top w:val="single" w:sz="6" w:space="0" w:color="000000"/>
              <w:left w:val="single" w:sz="6" w:space="0" w:color="000000"/>
              <w:bottom w:val="single" w:sz="6" w:space="0" w:color="000000"/>
            </w:tcBorders>
            <w:shd w:val="clear" w:color="auto" w:fill="BEBEBE"/>
          </w:tcPr>
          <w:p w14:paraId="1EFBC0A9" w14:textId="77777777" w:rsidR="00AC6F3C" w:rsidRDefault="00570E88">
            <w:pPr>
              <w:pStyle w:val="TableParagraph"/>
              <w:spacing w:before="55" w:line="194" w:lineRule="exact"/>
              <w:ind w:left="37"/>
              <w:rPr>
                <w:b/>
                <w:sz w:val="18"/>
              </w:rPr>
            </w:pPr>
            <w:r>
              <w:rPr>
                <w:b/>
                <w:spacing w:val="-2"/>
                <w:sz w:val="18"/>
              </w:rPr>
              <w:t>Net</w:t>
            </w:r>
            <w:r>
              <w:rPr>
                <w:b/>
                <w:sz w:val="18"/>
              </w:rPr>
              <w:t xml:space="preserve"> </w:t>
            </w:r>
            <w:r>
              <w:rPr>
                <w:b/>
                <w:spacing w:val="-2"/>
                <w:sz w:val="18"/>
              </w:rPr>
              <w:t>cash</w:t>
            </w:r>
            <w:r>
              <w:rPr>
                <w:b/>
                <w:spacing w:val="-6"/>
                <w:sz w:val="18"/>
              </w:rPr>
              <w:t xml:space="preserve"> </w:t>
            </w:r>
            <w:r>
              <w:rPr>
                <w:b/>
                <w:spacing w:val="-2"/>
                <w:sz w:val="18"/>
              </w:rPr>
              <w:t>(used</w:t>
            </w:r>
            <w:r>
              <w:rPr>
                <w:b/>
                <w:spacing w:val="-5"/>
                <w:sz w:val="18"/>
              </w:rPr>
              <w:t xml:space="preserve"> </w:t>
            </w:r>
            <w:r>
              <w:rPr>
                <w:b/>
                <w:spacing w:val="-2"/>
                <w:sz w:val="18"/>
              </w:rPr>
              <w:t>in)/generated</w:t>
            </w:r>
            <w:r>
              <w:rPr>
                <w:b/>
                <w:spacing w:val="-5"/>
                <w:sz w:val="18"/>
              </w:rPr>
              <w:t xml:space="preserve"> </w:t>
            </w:r>
            <w:r>
              <w:rPr>
                <w:b/>
                <w:spacing w:val="-2"/>
                <w:sz w:val="18"/>
              </w:rPr>
              <w:t>from</w:t>
            </w:r>
            <w:r>
              <w:rPr>
                <w:b/>
                <w:spacing w:val="6"/>
                <w:sz w:val="18"/>
              </w:rPr>
              <w:t xml:space="preserve"> </w:t>
            </w:r>
            <w:r>
              <w:rPr>
                <w:b/>
                <w:spacing w:val="-2"/>
                <w:sz w:val="18"/>
              </w:rPr>
              <w:t>operating</w:t>
            </w:r>
            <w:r>
              <w:rPr>
                <w:b/>
                <w:spacing w:val="-6"/>
                <w:sz w:val="18"/>
              </w:rPr>
              <w:t xml:space="preserve"> </w:t>
            </w:r>
            <w:r>
              <w:rPr>
                <w:b/>
                <w:spacing w:val="-2"/>
                <w:sz w:val="18"/>
              </w:rPr>
              <w:t>activities</w:t>
            </w:r>
          </w:p>
        </w:tc>
        <w:tc>
          <w:tcPr>
            <w:tcW w:w="1178" w:type="dxa"/>
            <w:tcBorders>
              <w:top w:val="single" w:sz="6" w:space="0" w:color="000000"/>
              <w:bottom w:val="single" w:sz="6" w:space="0" w:color="000000"/>
            </w:tcBorders>
            <w:shd w:val="clear" w:color="auto" w:fill="BEBEBE"/>
          </w:tcPr>
          <w:p w14:paraId="3B1ADA34" w14:textId="77777777" w:rsidR="00AC6F3C" w:rsidRDefault="00570E88">
            <w:pPr>
              <w:pStyle w:val="TableParagraph"/>
              <w:spacing w:before="55" w:line="194" w:lineRule="exact"/>
              <w:ind w:left="500" w:right="416"/>
              <w:jc w:val="center"/>
              <w:rPr>
                <w:b/>
                <w:sz w:val="18"/>
              </w:rPr>
            </w:pPr>
            <w:r>
              <w:rPr>
                <w:b/>
                <w:spacing w:val="-5"/>
                <w:sz w:val="18"/>
              </w:rPr>
              <w:t>C1</w:t>
            </w:r>
          </w:p>
        </w:tc>
        <w:tc>
          <w:tcPr>
            <w:tcW w:w="1138" w:type="dxa"/>
            <w:tcBorders>
              <w:top w:val="single" w:sz="6" w:space="0" w:color="000000"/>
              <w:bottom w:val="single" w:sz="6" w:space="0" w:color="000000"/>
            </w:tcBorders>
            <w:shd w:val="clear" w:color="auto" w:fill="BEBEBE"/>
          </w:tcPr>
          <w:p w14:paraId="1031C952" w14:textId="77777777" w:rsidR="00AC6F3C" w:rsidRDefault="00570E88">
            <w:pPr>
              <w:pStyle w:val="TableParagraph"/>
              <w:spacing w:before="55" w:line="194" w:lineRule="exact"/>
              <w:ind w:right="30"/>
              <w:jc w:val="right"/>
              <w:rPr>
                <w:b/>
                <w:sz w:val="18"/>
              </w:rPr>
            </w:pPr>
            <w:r>
              <w:rPr>
                <w:b/>
                <w:spacing w:val="-2"/>
                <w:sz w:val="18"/>
              </w:rPr>
              <w:t>(2,073)</w:t>
            </w:r>
          </w:p>
        </w:tc>
        <w:tc>
          <w:tcPr>
            <w:tcW w:w="1116" w:type="dxa"/>
            <w:tcBorders>
              <w:top w:val="single" w:sz="6" w:space="0" w:color="000000"/>
              <w:bottom w:val="single" w:sz="6" w:space="0" w:color="000000"/>
              <w:right w:val="single" w:sz="6" w:space="0" w:color="000000"/>
            </w:tcBorders>
            <w:shd w:val="clear" w:color="auto" w:fill="BEBEBE"/>
          </w:tcPr>
          <w:p w14:paraId="61050CC1" w14:textId="77777777" w:rsidR="00AC6F3C" w:rsidRDefault="00570E88">
            <w:pPr>
              <w:pStyle w:val="TableParagraph"/>
              <w:spacing w:before="55" w:line="194" w:lineRule="exact"/>
              <w:ind w:right="16"/>
              <w:jc w:val="right"/>
              <w:rPr>
                <w:b/>
                <w:sz w:val="18"/>
              </w:rPr>
            </w:pPr>
            <w:r>
              <w:rPr>
                <w:b/>
                <w:spacing w:val="-2"/>
                <w:sz w:val="18"/>
              </w:rPr>
              <w:t>(22,220)</w:t>
            </w:r>
          </w:p>
        </w:tc>
      </w:tr>
      <w:tr w:rsidR="00AC6F3C" w14:paraId="4DCF4827" w14:textId="77777777">
        <w:trPr>
          <w:trHeight w:val="837"/>
        </w:trPr>
        <w:tc>
          <w:tcPr>
            <w:tcW w:w="6596" w:type="dxa"/>
            <w:gridSpan w:val="2"/>
            <w:tcBorders>
              <w:top w:val="single" w:sz="6" w:space="0" w:color="000000"/>
              <w:left w:val="single" w:sz="6" w:space="0" w:color="000000"/>
              <w:bottom w:val="single" w:sz="6" w:space="0" w:color="000000"/>
            </w:tcBorders>
          </w:tcPr>
          <w:p w14:paraId="08AD70F6" w14:textId="77777777" w:rsidR="00AC6F3C" w:rsidRDefault="00AC6F3C">
            <w:pPr>
              <w:pStyle w:val="TableParagraph"/>
              <w:spacing w:before="5"/>
              <w:rPr>
                <w:sz w:val="29"/>
              </w:rPr>
            </w:pPr>
          </w:p>
          <w:p w14:paraId="00D34352" w14:textId="77777777" w:rsidR="00AC6F3C" w:rsidRDefault="00570E88">
            <w:pPr>
              <w:pStyle w:val="TableParagraph"/>
              <w:spacing w:before="1"/>
              <w:ind w:left="37"/>
              <w:rPr>
                <w:b/>
                <w:sz w:val="18"/>
              </w:rPr>
            </w:pPr>
            <w:r>
              <w:rPr>
                <w:b/>
                <w:spacing w:val="-2"/>
                <w:sz w:val="18"/>
              </w:rPr>
              <w:t>Cash</w:t>
            </w:r>
            <w:r>
              <w:rPr>
                <w:b/>
                <w:spacing w:val="-11"/>
                <w:sz w:val="18"/>
              </w:rPr>
              <w:t xml:space="preserve"> </w:t>
            </w:r>
            <w:r>
              <w:rPr>
                <w:b/>
                <w:spacing w:val="-2"/>
                <w:sz w:val="18"/>
              </w:rPr>
              <w:t>flows</w:t>
            </w:r>
            <w:r>
              <w:rPr>
                <w:b/>
                <w:spacing w:val="-6"/>
                <w:sz w:val="18"/>
              </w:rPr>
              <w:t xml:space="preserve"> </w:t>
            </w:r>
            <w:r>
              <w:rPr>
                <w:b/>
                <w:spacing w:val="-2"/>
                <w:sz w:val="18"/>
              </w:rPr>
              <w:t>from</w:t>
            </w:r>
            <w:r>
              <w:rPr>
                <w:b/>
                <w:spacing w:val="-3"/>
                <w:sz w:val="18"/>
              </w:rPr>
              <w:t xml:space="preserve"> </w:t>
            </w:r>
            <w:r>
              <w:rPr>
                <w:b/>
                <w:spacing w:val="-2"/>
                <w:sz w:val="18"/>
              </w:rPr>
              <w:t>investing</w:t>
            </w:r>
            <w:r>
              <w:rPr>
                <w:b/>
                <w:spacing w:val="-11"/>
                <w:sz w:val="18"/>
              </w:rPr>
              <w:t xml:space="preserve"> </w:t>
            </w:r>
            <w:r>
              <w:rPr>
                <w:b/>
                <w:spacing w:val="-2"/>
                <w:sz w:val="18"/>
              </w:rPr>
              <w:t>activities</w:t>
            </w:r>
          </w:p>
          <w:p w14:paraId="43CA4BDF" w14:textId="77777777" w:rsidR="00AC6F3C" w:rsidRDefault="00570E88">
            <w:pPr>
              <w:pStyle w:val="TableParagraph"/>
              <w:spacing w:before="77" w:line="194" w:lineRule="exact"/>
              <w:ind w:left="37"/>
              <w:rPr>
                <w:sz w:val="18"/>
              </w:rPr>
            </w:pPr>
            <w:r>
              <w:rPr>
                <w:sz w:val="18"/>
              </w:rPr>
              <w:t>Proceeds</w:t>
            </w:r>
            <w:r>
              <w:rPr>
                <w:spacing w:val="10"/>
                <w:sz w:val="18"/>
              </w:rPr>
              <w:t xml:space="preserve"> </w:t>
            </w:r>
            <w:r>
              <w:rPr>
                <w:sz w:val="18"/>
              </w:rPr>
              <w:t>from</w:t>
            </w:r>
            <w:r>
              <w:rPr>
                <w:spacing w:val="10"/>
                <w:sz w:val="18"/>
              </w:rPr>
              <w:t xml:space="preserve"> </w:t>
            </w:r>
            <w:r>
              <w:rPr>
                <w:spacing w:val="-2"/>
                <w:sz w:val="18"/>
              </w:rPr>
              <w:t>investments</w:t>
            </w:r>
          </w:p>
        </w:tc>
        <w:tc>
          <w:tcPr>
            <w:tcW w:w="1138" w:type="dxa"/>
            <w:tcBorders>
              <w:top w:val="single" w:sz="6" w:space="0" w:color="000000"/>
              <w:bottom w:val="single" w:sz="6" w:space="0" w:color="000000"/>
            </w:tcBorders>
            <w:shd w:val="clear" w:color="auto" w:fill="F1F1F1"/>
          </w:tcPr>
          <w:p w14:paraId="42CD94DC" w14:textId="77777777" w:rsidR="00AC6F3C" w:rsidRDefault="00AC6F3C">
            <w:pPr>
              <w:pStyle w:val="TableParagraph"/>
              <w:rPr>
                <w:sz w:val="20"/>
              </w:rPr>
            </w:pPr>
          </w:p>
          <w:p w14:paraId="63D4A1F9" w14:textId="77777777" w:rsidR="00AC6F3C" w:rsidRDefault="00AC6F3C">
            <w:pPr>
              <w:pStyle w:val="TableParagraph"/>
              <w:rPr>
                <w:sz w:val="20"/>
              </w:rPr>
            </w:pPr>
          </w:p>
          <w:p w14:paraId="6F56B66E" w14:textId="77777777" w:rsidR="00AC6F3C" w:rsidRDefault="00570E88">
            <w:pPr>
              <w:pStyle w:val="TableParagraph"/>
              <w:spacing w:before="163" w:line="194" w:lineRule="exact"/>
              <w:ind w:right="35"/>
              <w:jc w:val="right"/>
              <w:rPr>
                <w:sz w:val="18"/>
              </w:rPr>
            </w:pPr>
            <w:r>
              <w:rPr>
                <w:spacing w:val="-2"/>
                <w:sz w:val="18"/>
              </w:rPr>
              <w:t>1,500</w:t>
            </w:r>
          </w:p>
        </w:tc>
        <w:tc>
          <w:tcPr>
            <w:tcW w:w="1116" w:type="dxa"/>
            <w:tcBorders>
              <w:top w:val="single" w:sz="6" w:space="0" w:color="000000"/>
              <w:bottom w:val="single" w:sz="6" w:space="0" w:color="000000"/>
              <w:right w:val="single" w:sz="6" w:space="0" w:color="000000"/>
            </w:tcBorders>
          </w:tcPr>
          <w:p w14:paraId="6CA18628" w14:textId="77777777" w:rsidR="00AC6F3C" w:rsidRDefault="00AC6F3C">
            <w:pPr>
              <w:pStyle w:val="TableParagraph"/>
              <w:rPr>
                <w:sz w:val="20"/>
              </w:rPr>
            </w:pPr>
          </w:p>
          <w:p w14:paraId="0BA49177" w14:textId="77777777" w:rsidR="00AC6F3C" w:rsidRDefault="00AC6F3C">
            <w:pPr>
              <w:pStyle w:val="TableParagraph"/>
              <w:rPr>
                <w:sz w:val="20"/>
              </w:rPr>
            </w:pPr>
          </w:p>
          <w:p w14:paraId="436D291E" w14:textId="77777777" w:rsidR="00AC6F3C" w:rsidRDefault="00570E88">
            <w:pPr>
              <w:pStyle w:val="TableParagraph"/>
              <w:spacing w:before="163" w:line="194" w:lineRule="exact"/>
              <w:ind w:right="21"/>
              <w:jc w:val="right"/>
              <w:rPr>
                <w:sz w:val="18"/>
              </w:rPr>
            </w:pPr>
            <w:r>
              <w:rPr>
                <w:spacing w:val="-2"/>
                <w:sz w:val="18"/>
              </w:rPr>
              <w:t>2,000</w:t>
            </w:r>
          </w:p>
        </w:tc>
      </w:tr>
      <w:tr w:rsidR="00AC6F3C" w14:paraId="5A8B3CF9" w14:textId="77777777">
        <w:trPr>
          <w:trHeight w:val="269"/>
        </w:trPr>
        <w:tc>
          <w:tcPr>
            <w:tcW w:w="5418" w:type="dxa"/>
            <w:tcBorders>
              <w:top w:val="single" w:sz="6" w:space="0" w:color="000000"/>
              <w:left w:val="single" w:sz="6" w:space="0" w:color="000000"/>
              <w:bottom w:val="single" w:sz="6" w:space="0" w:color="000000"/>
            </w:tcBorders>
            <w:shd w:val="clear" w:color="auto" w:fill="BEBEBE"/>
          </w:tcPr>
          <w:p w14:paraId="240FDB5C" w14:textId="77777777" w:rsidR="00AC6F3C" w:rsidRDefault="00570E88">
            <w:pPr>
              <w:pStyle w:val="TableParagraph"/>
              <w:spacing w:before="55" w:line="194" w:lineRule="exact"/>
              <w:ind w:left="37"/>
              <w:rPr>
                <w:b/>
                <w:sz w:val="18"/>
              </w:rPr>
            </w:pPr>
            <w:r>
              <w:rPr>
                <w:b/>
                <w:spacing w:val="-2"/>
                <w:sz w:val="18"/>
              </w:rPr>
              <w:t>Net cash</w:t>
            </w:r>
            <w:r>
              <w:rPr>
                <w:b/>
                <w:spacing w:val="-7"/>
                <w:sz w:val="18"/>
              </w:rPr>
              <w:t xml:space="preserve"> </w:t>
            </w:r>
            <w:r>
              <w:rPr>
                <w:b/>
                <w:spacing w:val="-2"/>
                <w:sz w:val="18"/>
              </w:rPr>
              <w:t>generated</w:t>
            </w:r>
            <w:r>
              <w:rPr>
                <w:b/>
                <w:spacing w:val="-6"/>
                <w:sz w:val="18"/>
              </w:rPr>
              <w:t xml:space="preserve"> </w:t>
            </w:r>
            <w:r>
              <w:rPr>
                <w:b/>
                <w:spacing w:val="-2"/>
                <w:sz w:val="18"/>
              </w:rPr>
              <w:t>from</w:t>
            </w:r>
            <w:r>
              <w:rPr>
                <w:b/>
                <w:spacing w:val="4"/>
                <w:sz w:val="18"/>
              </w:rPr>
              <w:t xml:space="preserve"> </w:t>
            </w:r>
            <w:r>
              <w:rPr>
                <w:b/>
                <w:spacing w:val="-2"/>
                <w:sz w:val="18"/>
              </w:rPr>
              <w:t>investing</w:t>
            </w:r>
            <w:r>
              <w:rPr>
                <w:b/>
                <w:spacing w:val="-7"/>
                <w:sz w:val="18"/>
              </w:rPr>
              <w:t xml:space="preserve"> </w:t>
            </w:r>
            <w:r>
              <w:rPr>
                <w:b/>
                <w:spacing w:val="-2"/>
                <w:sz w:val="18"/>
              </w:rPr>
              <w:t>activities</w:t>
            </w:r>
          </w:p>
        </w:tc>
        <w:tc>
          <w:tcPr>
            <w:tcW w:w="1178" w:type="dxa"/>
            <w:tcBorders>
              <w:top w:val="single" w:sz="6" w:space="0" w:color="000000"/>
              <w:bottom w:val="single" w:sz="6" w:space="0" w:color="000000"/>
            </w:tcBorders>
            <w:shd w:val="clear" w:color="auto" w:fill="BEBEBE"/>
          </w:tcPr>
          <w:p w14:paraId="0F5F0E13" w14:textId="77777777" w:rsidR="00AC6F3C" w:rsidRDefault="00AC6F3C">
            <w:pPr>
              <w:pStyle w:val="TableParagraph"/>
              <w:rPr>
                <w:rFonts w:ascii="Times New Roman"/>
                <w:sz w:val="18"/>
              </w:rPr>
            </w:pPr>
          </w:p>
        </w:tc>
        <w:tc>
          <w:tcPr>
            <w:tcW w:w="1138" w:type="dxa"/>
            <w:tcBorders>
              <w:top w:val="single" w:sz="6" w:space="0" w:color="000000"/>
              <w:bottom w:val="single" w:sz="6" w:space="0" w:color="000000"/>
            </w:tcBorders>
            <w:shd w:val="clear" w:color="auto" w:fill="BEBEBE"/>
          </w:tcPr>
          <w:p w14:paraId="4CABA47A" w14:textId="77777777" w:rsidR="00AC6F3C" w:rsidRDefault="00570E88">
            <w:pPr>
              <w:pStyle w:val="TableParagraph"/>
              <w:spacing w:before="55" w:line="194" w:lineRule="exact"/>
              <w:ind w:right="35"/>
              <w:jc w:val="right"/>
              <w:rPr>
                <w:b/>
                <w:sz w:val="18"/>
              </w:rPr>
            </w:pPr>
            <w:r>
              <w:rPr>
                <w:b/>
                <w:spacing w:val="-2"/>
                <w:sz w:val="18"/>
              </w:rPr>
              <w:t>1,500</w:t>
            </w:r>
          </w:p>
        </w:tc>
        <w:tc>
          <w:tcPr>
            <w:tcW w:w="1116" w:type="dxa"/>
            <w:tcBorders>
              <w:top w:val="single" w:sz="6" w:space="0" w:color="000000"/>
              <w:bottom w:val="single" w:sz="6" w:space="0" w:color="000000"/>
              <w:right w:val="single" w:sz="6" w:space="0" w:color="000000"/>
            </w:tcBorders>
            <w:shd w:val="clear" w:color="auto" w:fill="BEBEBE"/>
          </w:tcPr>
          <w:p w14:paraId="6FD1B149" w14:textId="77777777" w:rsidR="00AC6F3C" w:rsidRDefault="00570E88">
            <w:pPr>
              <w:pStyle w:val="TableParagraph"/>
              <w:spacing w:before="55" w:line="194" w:lineRule="exact"/>
              <w:ind w:right="21"/>
              <w:jc w:val="right"/>
              <w:rPr>
                <w:b/>
                <w:sz w:val="18"/>
              </w:rPr>
            </w:pPr>
            <w:r>
              <w:rPr>
                <w:b/>
                <w:spacing w:val="-2"/>
                <w:sz w:val="18"/>
              </w:rPr>
              <w:t>2,000</w:t>
            </w:r>
          </w:p>
        </w:tc>
      </w:tr>
      <w:tr w:rsidR="00AC6F3C" w14:paraId="49605381" w14:textId="77777777">
        <w:trPr>
          <w:trHeight w:val="730"/>
        </w:trPr>
        <w:tc>
          <w:tcPr>
            <w:tcW w:w="6596" w:type="dxa"/>
            <w:gridSpan w:val="2"/>
            <w:tcBorders>
              <w:top w:val="single" w:sz="6" w:space="0" w:color="000000"/>
              <w:left w:val="single" w:sz="6" w:space="0" w:color="000000"/>
            </w:tcBorders>
          </w:tcPr>
          <w:p w14:paraId="2AAEF540" w14:textId="77777777" w:rsidR="00AC6F3C" w:rsidRDefault="00AC6F3C">
            <w:pPr>
              <w:pStyle w:val="TableParagraph"/>
              <w:spacing w:before="5"/>
              <w:rPr>
                <w:sz w:val="29"/>
              </w:rPr>
            </w:pPr>
          </w:p>
          <w:p w14:paraId="15035518" w14:textId="77777777" w:rsidR="00AC6F3C" w:rsidRDefault="00570E88">
            <w:pPr>
              <w:pStyle w:val="TableParagraph"/>
              <w:ind w:left="37"/>
              <w:rPr>
                <w:b/>
                <w:sz w:val="18"/>
              </w:rPr>
            </w:pPr>
            <w:r>
              <w:rPr>
                <w:b/>
                <w:sz w:val="18"/>
              </w:rPr>
              <w:t>Net</w:t>
            </w:r>
            <w:r>
              <w:rPr>
                <w:b/>
                <w:spacing w:val="-13"/>
                <w:sz w:val="18"/>
              </w:rPr>
              <w:t xml:space="preserve"> </w:t>
            </w:r>
            <w:r>
              <w:rPr>
                <w:b/>
                <w:sz w:val="18"/>
              </w:rPr>
              <w:t>increase/(decrease)</w:t>
            </w:r>
            <w:r>
              <w:rPr>
                <w:b/>
                <w:spacing w:val="-12"/>
                <w:sz w:val="18"/>
              </w:rPr>
              <w:t xml:space="preserve"> </w:t>
            </w:r>
            <w:r>
              <w:rPr>
                <w:b/>
                <w:sz w:val="18"/>
              </w:rPr>
              <w:t>in</w:t>
            </w:r>
            <w:r>
              <w:rPr>
                <w:b/>
                <w:spacing w:val="-13"/>
                <w:sz w:val="18"/>
              </w:rPr>
              <w:t xml:space="preserve"> </w:t>
            </w:r>
            <w:r>
              <w:rPr>
                <w:b/>
                <w:sz w:val="18"/>
              </w:rPr>
              <w:t>cash</w:t>
            </w:r>
            <w:r>
              <w:rPr>
                <w:b/>
                <w:spacing w:val="-12"/>
                <w:sz w:val="18"/>
              </w:rPr>
              <w:t xml:space="preserve"> </w:t>
            </w:r>
            <w:r>
              <w:rPr>
                <w:b/>
                <w:sz w:val="18"/>
              </w:rPr>
              <w:t>and</w:t>
            </w:r>
            <w:r>
              <w:rPr>
                <w:b/>
                <w:spacing w:val="-13"/>
                <w:sz w:val="18"/>
              </w:rPr>
              <w:t xml:space="preserve"> </w:t>
            </w:r>
            <w:r>
              <w:rPr>
                <w:b/>
                <w:sz w:val="18"/>
              </w:rPr>
              <w:t>cash</w:t>
            </w:r>
            <w:r>
              <w:rPr>
                <w:b/>
                <w:spacing w:val="-12"/>
                <w:sz w:val="18"/>
              </w:rPr>
              <w:t xml:space="preserve"> </w:t>
            </w:r>
            <w:r>
              <w:rPr>
                <w:b/>
                <w:sz w:val="18"/>
              </w:rPr>
              <w:t>equivalents</w:t>
            </w:r>
            <w:r>
              <w:rPr>
                <w:b/>
                <w:spacing w:val="-5"/>
                <w:sz w:val="18"/>
              </w:rPr>
              <w:t xml:space="preserve"> </w:t>
            </w:r>
            <w:r>
              <w:rPr>
                <w:b/>
                <w:spacing w:val="-4"/>
                <w:sz w:val="18"/>
              </w:rPr>
              <w:t>held</w:t>
            </w:r>
          </w:p>
        </w:tc>
        <w:tc>
          <w:tcPr>
            <w:tcW w:w="1138" w:type="dxa"/>
            <w:tcBorders>
              <w:top w:val="single" w:sz="6" w:space="0" w:color="000000"/>
            </w:tcBorders>
            <w:shd w:val="clear" w:color="auto" w:fill="F1F1F1"/>
          </w:tcPr>
          <w:p w14:paraId="3BE44014" w14:textId="77777777" w:rsidR="00AC6F3C" w:rsidRDefault="00AC6F3C">
            <w:pPr>
              <w:pStyle w:val="TableParagraph"/>
              <w:spacing w:before="5"/>
              <w:rPr>
                <w:sz w:val="29"/>
              </w:rPr>
            </w:pPr>
          </w:p>
          <w:p w14:paraId="3E7B083F" w14:textId="77777777" w:rsidR="00AC6F3C" w:rsidRDefault="00570E88">
            <w:pPr>
              <w:pStyle w:val="TableParagraph"/>
              <w:ind w:right="30"/>
              <w:jc w:val="right"/>
              <w:rPr>
                <w:b/>
                <w:sz w:val="18"/>
              </w:rPr>
            </w:pPr>
            <w:r>
              <w:rPr>
                <w:b/>
                <w:spacing w:val="-2"/>
                <w:sz w:val="18"/>
              </w:rPr>
              <w:t>(573)</w:t>
            </w:r>
          </w:p>
        </w:tc>
        <w:tc>
          <w:tcPr>
            <w:tcW w:w="1116" w:type="dxa"/>
            <w:tcBorders>
              <w:top w:val="single" w:sz="6" w:space="0" w:color="000000"/>
              <w:right w:val="single" w:sz="6" w:space="0" w:color="000000"/>
            </w:tcBorders>
          </w:tcPr>
          <w:p w14:paraId="10F82F95" w14:textId="77777777" w:rsidR="00AC6F3C" w:rsidRDefault="00AC6F3C">
            <w:pPr>
              <w:pStyle w:val="TableParagraph"/>
              <w:spacing w:before="5"/>
              <w:rPr>
                <w:sz w:val="29"/>
              </w:rPr>
            </w:pPr>
          </w:p>
          <w:p w14:paraId="1C4620AD" w14:textId="77777777" w:rsidR="00AC6F3C" w:rsidRDefault="00570E88">
            <w:pPr>
              <w:pStyle w:val="TableParagraph"/>
              <w:ind w:right="16"/>
              <w:jc w:val="right"/>
              <w:rPr>
                <w:b/>
                <w:sz w:val="18"/>
              </w:rPr>
            </w:pPr>
            <w:r>
              <w:rPr>
                <w:b/>
                <w:spacing w:val="-2"/>
                <w:sz w:val="18"/>
              </w:rPr>
              <w:t>(20,220)</w:t>
            </w:r>
          </w:p>
        </w:tc>
      </w:tr>
      <w:tr w:rsidR="00AC6F3C" w14:paraId="5E8195EC" w14:textId="77777777">
        <w:trPr>
          <w:trHeight w:val="391"/>
        </w:trPr>
        <w:tc>
          <w:tcPr>
            <w:tcW w:w="6596" w:type="dxa"/>
            <w:gridSpan w:val="2"/>
            <w:tcBorders>
              <w:left w:val="single" w:sz="6" w:space="0" w:color="000000"/>
              <w:bottom w:val="single" w:sz="6" w:space="0" w:color="000000"/>
            </w:tcBorders>
          </w:tcPr>
          <w:p w14:paraId="0F7060B8" w14:textId="77777777" w:rsidR="00AC6F3C" w:rsidRDefault="00570E88">
            <w:pPr>
              <w:pStyle w:val="TableParagraph"/>
              <w:spacing w:before="177" w:line="194" w:lineRule="exact"/>
              <w:ind w:left="37"/>
              <w:rPr>
                <w:b/>
                <w:sz w:val="18"/>
              </w:rPr>
            </w:pPr>
            <w:r>
              <w:rPr>
                <w:b/>
                <w:spacing w:val="-2"/>
                <w:sz w:val="18"/>
              </w:rPr>
              <w:t>Cash</w:t>
            </w:r>
            <w:r>
              <w:rPr>
                <w:b/>
                <w:spacing w:val="-11"/>
                <w:sz w:val="18"/>
              </w:rPr>
              <w:t xml:space="preserve"> </w:t>
            </w:r>
            <w:r>
              <w:rPr>
                <w:b/>
                <w:spacing w:val="-2"/>
                <w:sz w:val="18"/>
              </w:rPr>
              <w:t>and</w:t>
            </w:r>
            <w:r>
              <w:rPr>
                <w:b/>
                <w:spacing w:val="-11"/>
                <w:sz w:val="18"/>
              </w:rPr>
              <w:t xml:space="preserve"> </w:t>
            </w:r>
            <w:r>
              <w:rPr>
                <w:b/>
                <w:spacing w:val="-2"/>
                <w:sz w:val="18"/>
              </w:rPr>
              <w:t>cash</w:t>
            </w:r>
            <w:r>
              <w:rPr>
                <w:b/>
                <w:spacing w:val="-11"/>
                <w:sz w:val="18"/>
              </w:rPr>
              <w:t xml:space="preserve"> </w:t>
            </w:r>
            <w:r>
              <w:rPr>
                <w:b/>
                <w:spacing w:val="-2"/>
                <w:sz w:val="18"/>
              </w:rPr>
              <w:t>equivalents</w:t>
            </w:r>
            <w:r>
              <w:rPr>
                <w:b/>
                <w:spacing w:val="-8"/>
                <w:sz w:val="18"/>
              </w:rPr>
              <w:t xml:space="preserve"> </w:t>
            </w:r>
            <w:r>
              <w:rPr>
                <w:b/>
                <w:spacing w:val="-2"/>
                <w:sz w:val="18"/>
              </w:rPr>
              <w:t>at</w:t>
            </w:r>
            <w:r>
              <w:rPr>
                <w:b/>
                <w:spacing w:val="-7"/>
                <w:sz w:val="18"/>
              </w:rPr>
              <w:t xml:space="preserve"> </w:t>
            </w:r>
            <w:r>
              <w:rPr>
                <w:b/>
                <w:spacing w:val="-2"/>
                <w:sz w:val="18"/>
              </w:rPr>
              <w:t>the beginning</w:t>
            </w:r>
            <w:r>
              <w:rPr>
                <w:b/>
                <w:spacing w:val="-11"/>
                <w:sz w:val="18"/>
              </w:rPr>
              <w:t xml:space="preserve"> </w:t>
            </w:r>
            <w:r>
              <w:rPr>
                <w:b/>
                <w:spacing w:val="-2"/>
                <w:sz w:val="18"/>
              </w:rPr>
              <w:t>of</w:t>
            </w:r>
            <w:r>
              <w:rPr>
                <w:b/>
                <w:spacing w:val="-7"/>
                <w:sz w:val="18"/>
              </w:rPr>
              <w:t xml:space="preserve"> </w:t>
            </w:r>
            <w:r>
              <w:rPr>
                <w:b/>
                <w:spacing w:val="-2"/>
                <w:sz w:val="18"/>
              </w:rPr>
              <w:t>the</w:t>
            </w:r>
            <w:r>
              <w:rPr>
                <w:b/>
                <w:spacing w:val="-3"/>
                <w:sz w:val="18"/>
              </w:rPr>
              <w:t xml:space="preserve"> </w:t>
            </w:r>
            <w:r>
              <w:rPr>
                <w:b/>
                <w:spacing w:val="-2"/>
                <w:sz w:val="18"/>
              </w:rPr>
              <w:t>financial</w:t>
            </w:r>
            <w:r>
              <w:rPr>
                <w:b/>
                <w:spacing w:val="-11"/>
                <w:sz w:val="18"/>
              </w:rPr>
              <w:t xml:space="preserve"> </w:t>
            </w:r>
            <w:r>
              <w:rPr>
                <w:b/>
                <w:spacing w:val="-4"/>
                <w:sz w:val="18"/>
              </w:rPr>
              <w:t>year</w:t>
            </w:r>
          </w:p>
        </w:tc>
        <w:tc>
          <w:tcPr>
            <w:tcW w:w="1138" w:type="dxa"/>
            <w:tcBorders>
              <w:bottom w:val="single" w:sz="6" w:space="0" w:color="000000"/>
            </w:tcBorders>
            <w:shd w:val="clear" w:color="auto" w:fill="F1F1F1"/>
          </w:tcPr>
          <w:p w14:paraId="653B390D" w14:textId="77777777" w:rsidR="00AC6F3C" w:rsidRDefault="00570E88">
            <w:pPr>
              <w:pStyle w:val="TableParagraph"/>
              <w:spacing w:before="177" w:line="194" w:lineRule="exact"/>
              <w:ind w:right="35"/>
              <w:jc w:val="right"/>
              <w:rPr>
                <w:b/>
                <w:sz w:val="18"/>
              </w:rPr>
            </w:pPr>
            <w:r>
              <w:rPr>
                <w:b/>
                <w:spacing w:val="-2"/>
                <w:sz w:val="18"/>
              </w:rPr>
              <w:t>1,518</w:t>
            </w:r>
          </w:p>
        </w:tc>
        <w:tc>
          <w:tcPr>
            <w:tcW w:w="1116" w:type="dxa"/>
            <w:tcBorders>
              <w:bottom w:val="single" w:sz="6" w:space="0" w:color="000000"/>
              <w:right w:val="single" w:sz="6" w:space="0" w:color="000000"/>
            </w:tcBorders>
          </w:tcPr>
          <w:p w14:paraId="2C088922" w14:textId="77777777" w:rsidR="00AC6F3C" w:rsidRDefault="00570E88">
            <w:pPr>
              <w:pStyle w:val="TableParagraph"/>
              <w:spacing w:before="177" w:line="194" w:lineRule="exact"/>
              <w:ind w:right="21"/>
              <w:jc w:val="right"/>
              <w:rPr>
                <w:b/>
                <w:sz w:val="18"/>
              </w:rPr>
            </w:pPr>
            <w:r>
              <w:rPr>
                <w:b/>
                <w:spacing w:val="-2"/>
                <w:sz w:val="18"/>
              </w:rPr>
              <w:t>21,738</w:t>
            </w:r>
          </w:p>
        </w:tc>
      </w:tr>
      <w:tr w:rsidR="00AC6F3C" w14:paraId="00EC7EEA" w14:textId="77777777">
        <w:trPr>
          <w:trHeight w:val="269"/>
        </w:trPr>
        <w:tc>
          <w:tcPr>
            <w:tcW w:w="5418" w:type="dxa"/>
            <w:tcBorders>
              <w:top w:val="single" w:sz="6" w:space="0" w:color="000000"/>
              <w:left w:val="single" w:sz="6" w:space="0" w:color="000000"/>
              <w:bottom w:val="single" w:sz="6" w:space="0" w:color="000000"/>
            </w:tcBorders>
            <w:shd w:val="clear" w:color="auto" w:fill="BEBEBE"/>
          </w:tcPr>
          <w:p w14:paraId="2C615DE5" w14:textId="77777777" w:rsidR="00AC6F3C" w:rsidRDefault="00570E88">
            <w:pPr>
              <w:pStyle w:val="TableParagraph"/>
              <w:spacing w:before="55" w:line="194" w:lineRule="exact"/>
              <w:ind w:left="37"/>
              <w:rPr>
                <w:b/>
                <w:sz w:val="18"/>
              </w:rPr>
            </w:pPr>
            <w:r>
              <w:rPr>
                <w:b/>
                <w:spacing w:val="-2"/>
                <w:sz w:val="18"/>
              </w:rPr>
              <w:t>Cash</w:t>
            </w:r>
            <w:r>
              <w:rPr>
                <w:b/>
                <w:spacing w:val="-10"/>
                <w:sz w:val="18"/>
              </w:rPr>
              <w:t xml:space="preserve"> </w:t>
            </w:r>
            <w:r>
              <w:rPr>
                <w:b/>
                <w:spacing w:val="-2"/>
                <w:sz w:val="18"/>
              </w:rPr>
              <w:t>and</w:t>
            </w:r>
            <w:r>
              <w:rPr>
                <w:b/>
                <w:spacing w:val="-10"/>
                <w:sz w:val="18"/>
              </w:rPr>
              <w:t xml:space="preserve"> </w:t>
            </w:r>
            <w:r>
              <w:rPr>
                <w:b/>
                <w:spacing w:val="-2"/>
                <w:sz w:val="18"/>
              </w:rPr>
              <w:t>cash</w:t>
            </w:r>
            <w:r>
              <w:rPr>
                <w:b/>
                <w:spacing w:val="-10"/>
                <w:sz w:val="18"/>
              </w:rPr>
              <w:t xml:space="preserve"> </w:t>
            </w:r>
            <w:r>
              <w:rPr>
                <w:b/>
                <w:spacing w:val="-2"/>
                <w:sz w:val="18"/>
              </w:rPr>
              <w:t>equivalents</w:t>
            </w:r>
            <w:r>
              <w:rPr>
                <w:b/>
                <w:sz w:val="18"/>
              </w:rPr>
              <w:t xml:space="preserve"> </w:t>
            </w:r>
            <w:r>
              <w:rPr>
                <w:b/>
                <w:spacing w:val="-2"/>
                <w:sz w:val="18"/>
              </w:rPr>
              <w:t>at</w:t>
            </w:r>
            <w:r>
              <w:rPr>
                <w:b/>
                <w:spacing w:val="-5"/>
                <w:sz w:val="18"/>
              </w:rPr>
              <w:t xml:space="preserve"> </w:t>
            </w:r>
            <w:r>
              <w:rPr>
                <w:b/>
                <w:spacing w:val="-2"/>
                <w:sz w:val="18"/>
              </w:rPr>
              <w:t>the</w:t>
            </w:r>
            <w:r>
              <w:rPr>
                <w:b/>
                <w:spacing w:val="1"/>
                <w:sz w:val="18"/>
              </w:rPr>
              <w:t xml:space="preserve"> </w:t>
            </w:r>
            <w:r>
              <w:rPr>
                <w:b/>
                <w:spacing w:val="-2"/>
                <w:sz w:val="18"/>
              </w:rPr>
              <w:t>end</w:t>
            </w:r>
            <w:r>
              <w:rPr>
                <w:b/>
                <w:spacing w:val="-10"/>
                <w:sz w:val="18"/>
              </w:rPr>
              <w:t xml:space="preserve"> </w:t>
            </w:r>
            <w:r>
              <w:rPr>
                <w:b/>
                <w:spacing w:val="-2"/>
                <w:sz w:val="18"/>
              </w:rPr>
              <w:t>of</w:t>
            </w:r>
            <w:r>
              <w:rPr>
                <w:b/>
                <w:spacing w:val="-5"/>
                <w:sz w:val="18"/>
              </w:rPr>
              <w:t xml:space="preserve"> </w:t>
            </w:r>
            <w:r>
              <w:rPr>
                <w:b/>
                <w:spacing w:val="-2"/>
                <w:sz w:val="18"/>
              </w:rPr>
              <w:t>the</w:t>
            </w:r>
            <w:r>
              <w:rPr>
                <w:b/>
                <w:spacing w:val="1"/>
                <w:sz w:val="18"/>
              </w:rPr>
              <w:t xml:space="preserve"> </w:t>
            </w:r>
            <w:r>
              <w:rPr>
                <w:b/>
                <w:spacing w:val="-2"/>
                <w:sz w:val="18"/>
              </w:rPr>
              <w:t>financial</w:t>
            </w:r>
            <w:r>
              <w:rPr>
                <w:b/>
                <w:spacing w:val="-10"/>
                <w:sz w:val="18"/>
              </w:rPr>
              <w:t xml:space="preserve"> </w:t>
            </w:r>
            <w:r>
              <w:rPr>
                <w:b/>
                <w:spacing w:val="-4"/>
                <w:sz w:val="18"/>
              </w:rPr>
              <w:t>year</w:t>
            </w:r>
          </w:p>
        </w:tc>
        <w:tc>
          <w:tcPr>
            <w:tcW w:w="1178" w:type="dxa"/>
            <w:tcBorders>
              <w:top w:val="single" w:sz="6" w:space="0" w:color="000000"/>
              <w:bottom w:val="single" w:sz="6" w:space="0" w:color="000000"/>
            </w:tcBorders>
            <w:shd w:val="clear" w:color="auto" w:fill="BEBEBE"/>
          </w:tcPr>
          <w:p w14:paraId="2E5BE7E5" w14:textId="77777777" w:rsidR="00AC6F3C" w:rsidRDefault="00570E88">
            <w:pPr>
              <w:pStyle w:val="TableParagraph"/>
              <w:spacing w:before="55" w:line="194" w:lineRule="exact"/>
              <w:ind w:left="500" w:right="416"/>
              <w:jc w:val="center"/>
              <w:rPr>
                <w:b/>
                <w:sz w:val="18"/>
              </w:rPr>
            </w:pPr>
            <w:r>
              <w:rPr>
                <w:b/>
                <w:spacing w:val="-5"/>
                <w:sz w:val="18"/>
              </w:rPr>
              <w:t>C1</w:t>
            </w:r>
          </w:p>
        </w:tc>
        <w:tc>
          <w:tcPr>
            <w:tcW w:w="1138" w:type="dxa"/>
            <w:tcBorders>
              <w:top w:val="single" w:sz="6" w:space="0" w:color="000000"/>
              <w:bottom w:val="single" w:sz="6" w:space="0" w:color="000000"/>
            </w:tcBorders>
            <w:shd w:val="clear" w:color="auto" w:fill="BEBEBE"/>
          </w:tcPr>
          <w:p w14:paraId="16DBFD88" w14:textId="77777777" w:rsidR="00AC6F3C" w:rsidRDefault="00570E88">
            <w:pPr>
              <w:pStyle w:val="TableParagraph"/>
              <w:spacing w:before="55" w:line="194" w:lineRule="exact"/>
              <w:ind w:right="35"/>
              <w:jc w:val="right"/>
              <w:rPr>
                <w:b/>
                <w:sz w:val="18"/>
              </w:rPr>
            </w:pPr>
            <w:r>
              <w:rPr>
                <w:b/>
                <w:spacing w:val="-5"/>
                <w:sz w:val="18"/>
              </w:rPr>
              <w:t>945</w:t>
            </w:r>
          </w:p>
        </w:tc>
        <w:tc>
          <w:tcPr>
            <w:tcW w:w="1116" w:type="dxa"/>
            <w:tcBorders>
              <w:top w:val="single" w:sz="6" w:space="0" w:color="000000"/>
              <w:bottom w:val="single" w:sz="6" w:space="0" w:color="000000"/>
              <w:right w:val="single" w:sz="6" w:space="0" w:color="000000"/>
            </w:tcBorders>
            <w:shd w:val="clear" w:color="auto" w:fill="BEBEBE"/>
          </w:tcPr>
          <w:p w14:paraId="109A0CDF" w14:textId="77777777" w:rsidR="00AC6F3C" w:rsidRDefault="00570E88">
            <w:pPr>
              <w:pStyle w:val="TableParagraph"/>
              <w:spacing w:before="55" w:line="194" w:lineRule="exact"/>
              <w:ind w:right="21"/>
              <w:jc w:val="right"/>
              <w:rPr>
                <w:b/>
                <w:sz w:val="18"/>
              </w:rPr>
            </w:pPr>
            <w:r>
              <w:rPr>
                <w:b/>
                <w:spacing w:val="-2"/>
                <w:sz w:val="18"/>
              </w:rPr>
              <w:t>1,518</w:t>
            </w:r>
          </w:p>
        </w:tc>
      </w:tr>
    </w:tbl>
    <w:p w14:paraId="0BCD7775" w14:textId="77777777" w:rsidR="00AC6F3C" w:rsidRDefault="00AC6F3C">
      <w:pPr>
        <w:pStyle w:val="BodyText"/>
      </w:pPr>
    </w:p>
    <w:p w14:paraId="646C6991" w14:textId="77777777" w:rsidR="00AC6F3C" w:rsidRDefault="00AC6F3C">
      <w:pPr>
        <w:pStyle w:val="BodyText"/>
      </w:pPr>
    </w:p>
    <w:p w14:paraId="2E1ACF82" w14:textId="77777777" w:rsidR="00AC6F3C" w:rsidRDefault="00AC6F3C">
      <w:pPr>
        <w:pStyle w:val="BodyText"/>
      </w:pPr>
    </w:p>
    <w:p w14:paraId="559778B4" w14:textId="77777777" w:rsidR="00AC6F3C" w:rsidRDefault="00AC6F3C">
      <w:pPr>
        <w:pStyle w:val="BodyText"/>
      </w:pPr>
    </w:p>
    <w:p w14:paraId="2EFE805C" w14:textId="77777777" w:rsidR="00AC6F3C" w:rsidRDefault="00AC6F3C">
      <w:pPr>
        <w:pStyle w:val="BodyText"/>
      </w:pPr>
    </w:p>
    <w:p w14:paraId="748F23A2" w14:textId="77777777" w:rsidR="00AC6F3C" w:rsidRDefault="00AC6F3C">
      <w:pPr>
        <w:pStyle w:val="BodyText"/>
      </w:pPr>
    </w:p>
    <w:p w14:paraId="3256F25E" w14:textId="77777777" w:rsidR="00AC6F3C" w:rsidRDefault="00AC6F3C">
      <w:pPr>
        <w:pStyle w:val="BodyText"/>
      </w:pPr>
    </w:p>
    <w:p w14:paraId="4C9CC502" w14:textId="77777777" w:rsidR="00AC6F3C" w:rsidRDefault="00AC6F3C">
      <w:pPr>
        <w:pStyle w:val="BodyText"/>
      </w:pPr>
    </w:p>
    <w:p w14:paraId="353EB4CB" w14:textId="77777777" w:rsidR="00AC6F3C" w:rsidRDefault="00AC6F3C">
      <w:pPr>
        <w:pStyle w:val="BodyText"/>
      </w:pPr>
    </w:p>
    <w:p w14:paraId="41AAAC22" w14:textId="77777777" w:rsidR="00AC6F3C" w:rsidRDefault="00AC6F3C">
      <w:pPr>
        <w:pStyle w:val="BodyText"/>
      </w:pPr>
    </w:p>
    <w:p w14:paraId="4B9A6CC4" w14:textId="77777777" w:rsidR="00AC6F3C" w:rsidRDefault="00AC6F3C">
      <w:pPr>
        <w:pStyle w:val="BodyText"/>
      </w:pPr>
    </w:p>
    <w:p w14:paraId="7E4B81ED" w14:textId="77777777" w:rsidR="00AC6F3C" w:rsidRDefault="00AC6F3C">
      <w:pPr>
        <w:pStyle w:val="BodyText"/>
      </w:pPr>
    </w:p>
    <w:p w14:paraId="31C4626D" w14:textId="77777777" w:rsidR="00AC6F3C" w:rsidRDefault="00AC6F3C">
      <w:pPr>
        <w:pStyle w:val="BodyText"/>
      </w:pPr>
    </w:p>
    <w:p w14:paraId="5600B6DA" w14:textId="77777777" w:rsidR="00AC6F3C" w:rsidRDefault="00AC6F3C">
      <w:pPr>
        <w:pStyle w:val="BodyText"/>
      </w:pPr>
    </w:p>
    <w:p w14:paraId="7473BF6E" w14:textId="77777777" w:rsidR="00AC6F3C" w:rsidRDefault="00AC6F3C">
      <w:pPr>
        <w:pStyle w:val="BodyText"/>
      </w:pPr>
    </w:p>
    <w:p w14:paraId="1783D0EE" w14:textId="77777777" w:rsidR="00AC6F3C" w:rsidRDefault="00AC6F3C">
      <w:pPr>
        <w:pStyle w:val="BodyText"/>
      </w:pPr>
    </w:p>
    <w:p w14:paraId="36F2F894" w14:textId="77777777" w:rsidR="00AC6F3C" w:rsidRDefault="00AC6F3C">
      <w:pPr>
        <w:pStyle w:val="BodyText"/>
      </w:pPr>
    </w:p>
    <w:p w14:paraId="22370F7F" w14:textId="77777777" w:rsidR="00AC6F3C" w:rsidRDefault="00AC6F3C">
      <w:pPr>
        <w:pStyle w:val="BodyText"/>
      </w:pPr>
    </w:p>
    <w:p w14:paraId="355A4AC9" w14:textId="77777777" w:rsidR="00AC6F3C" w:rsidRDefault="00AC6F3C">
      <w:pPr>
        <w:pStyle w:val="BodyText"/>
      </w:pPr>
    </w:p>
    <w:p w14:paraId="63F3DE14" w14:textId="77777777" w:rsidR="00AC6F3C" w:rsidRDefault="00AC6F3C">
      <w:pPr>
        <w:pStyle w:val="BodyText"/>
      </w:pPr>
    </w:p>
    <w:p w14:paraId="1D9B9609" w14:textId="77777777" w:rsidR="00AC6F3C" w:rsidRDefault="00AC6F3C">
      <w:pPr>
        <w:pStyle w:val="BodyText"/>
      </w:pPr>
    </w:p>
    <w:p w14:paraId="74D798E7" w14:textId="77777777" w:rsidR="00AC6F3C" w:rsidRDefault="00AC6F3C">
      <w:pPr>
        <w:pStyle w:val="BodyText"/>
      </w:pPr>
    </w:p>
    <w:p w14:paraId="0E11DA9F" w14:textId="77777777" w:rsidR="00AC6F3C" w:rsidRDefault="00AC6F3C">
      <w:pPr>
        <w:pStyle w:val="BodyText"/>
      </w:pPr>
    </w:p>
    <w:p w14:paraId="5DFCAD3F" w14:textId="77777777" w:rsidR="00AC6F3C" w:rsidRDefault="00AC6F3C">
      <w:pPr>
        <w:pStyle w:val="BodyText"/>
      </w:pPr>
    </w:p>
    <w:p w14:paraId="418F3F86" w14:textId="77777777" w:rsidR="00AC6F3C" w:rsidRDefault="00AC6F3C">
      <w:pPr>
        <w:pStyle w:val="BodyText"/>
      </w:pPr>
    </w:p>
    <w:p w14:paraId="2F84D843" w14:textId="77777777" w:rsidR="00AC6F3C" w:rsidRDefault="00AC6F3C">
      <w:pPr>
        <w:pStyle w:val="BodyText"/>
      </w:pPr>
    </w:p>
    <w:p w14:paraId="1669615A" w14:textId="77777777" w:rsidR="00AC6F3C" w:rsidRDefault="00AC6F3C">
      <w:pPr>
        <w:pStyle w:val="BodyText"/>
        <w:spacing w:before="7"/>
        <w:rPr>
          <w:sz w:val="27"/>
        </w:rPr>
      </w:pPr>
    </w:p>
    <w:p w14:paraId="63C87975" w14:textId="77777777" w:rsidR="00AC6F3C" w:rsidRDefault="00570E88">
      <w:pPr>
        <w:spacing w:before="94"/>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1CE86D73" w14:textId="77777777" w:rsidR="00AC6F3C" w:rsidRDefault="00AC6F3C">
      <w:pPr>
        <w:rPr>
          <w:sz w:val="18"/>
        </w:rPr>
        <w:sectPr w:rsidR="00AC6F3C">
          <w:pgSz w:w="11910" w:h="16840"/>
          <w:pgMar w:top="1580" w:right="1160" w:bottom="520" w:left="460" w:header="1297" w:footer="336" w:gutter="0"/>
          <w:cols w:space="720"/>
        </w:sectPr>
      </w:pPr>
    </w:p>
    <w:p w14:paraId="1BBB967E" w14:textId="77777777" w:rsidR="00AC6F3C" w:rsidRDefault="00AC6F3C">
      <w:pPr>
        <w:pStyle w:val="BodyText"/>
        <w:spacing w:before="9"/>
        <w:rPr>
          <w:sz w:val="13"/>
        </w:rPr>
      </w:pPr>
    </w:p>
    <w:p w14:paraId="06891EB8" w14:textId="77777777" w:rsidR="00AC6F3C" w:rsidRDefault="00570E88">
      <w:pPr>
        <w:tabs>
          <w:tab w:val="left" w:pos="1700"/>
        </w:tabs>
        <w:spacing w:before="92"/>
        <w:ind w:left="979"/>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556C1C22" w14:textId="77777777" w:rsidR="00AC6F3C" w:rsidRDefault="00570E88">
      <w:pPr>
        <w:pStyle w:val="Heading6"/>
        <w:tabs>
          <w:tab w:val="left" w:pos="1831"/>
        </w:tabs>
        <w:ind w:left="979"/>
      </w:pPr>
      <w:r>
        <w:rPr>
          <w:spacing w:val="-2"/>
        </w:rPr>
        <w:t>A1-</w:t>
      </w:r>
      <w:r>
        <w:rPr>
          <w:spacing w:val="-10"/>
        </w:rPr>
        <w:t>1</w:t>
      </w:r>
      <w:r>
        <w:tab/>
        <w:t>GENERAL</w:t>
      </w:r>
      <w:r>
        <w:rPr>
          <w:spacing w:val="-3"/>
        </w:rPr>
        <w:t xml:space="preserve"> </w:t>
      </w:r>
      <w:r>
        <w:rPr>
          <w:spacing w:val="-2"/>
        </w:rPr>
        <w:t>INFORMATION</w:t>
      </w:r>
    </w:p>
    <w:p w14:paraId="2F803366" w14:textId="77777777" w:rsidR="00AC6F3C" w:rsidRDefault="00AC6F3C">
      <w:pPr>
        <w:pStyle w:val="BodyText"/>
        <w:spacing w:before="9"/>
        <w:rPr>
          <w:b/>
        </w:rPr>
      </w:pPr>
    </w:p>
    <w:p w14:paraId="64408ADF" w14:textId="77777777" w:rsidR="00AC6F3C" w:rsidRDefault="00570E88">
      <w:pPr>
        <w:spacing w:line="207" w:lineRule="exact"/>
        <w:ind w:left="979"/>
        <w:rPr>
          <w:i/>
          <w:sz w:val="18"/>
        </w:rPr>
      </w:pPr>
      <w:r>
        <w:rPr>
          <w:sz w:val="18"/>
        </w:rPr>
        <w:t>Queensland</w:t>
      </w:r>
      <w:r>
        <w:rPr>
          <w:spacing w:val="-7"/>
          <w:sz w:val="18"/>
        </w:rPr>
        <w:t xml:space="preserve"> </w:t>
      </w:r>
      <w:r>
        <w:rPr>
          <w:sz w:val="18"/>
        </w:rPr>
        <w:t>Law</w:t>
      </w:r>
      <w:r>
        <w:rPr>
          <w:spacing w:val="-3"/>
          <w:sz w:val="18"/>
        </w:rPr>
        <w:t xml:space="preserve"> </w:t>
      </w:r>
      <w:r>
        <w:rPr>
          <w:sz w:val="18"/>
        </w:rPr>
        <w:t>Society</w:t>
      </w:r>
      <w:r>
        <w:rPr>
          <w:spacing w:val="-3"/>
          <w:sz w:val="18"/>
        </w:rPr>
        <w:t xml:space="preserve"> </w:t>
      </w:r>
      <w:r>
        <w:rPr>
          <w:sz w:val="18"/>
        </w:rPr>
        <w:t>Incorporated</w:t>
      </w:r>
      <w:r>
        <w:rPr>
          <w:spacing w:val="-2"/>
          <w:sz w:val="18"/>
        </w:rPr>
        <w:t xml:space="preserve"> </w:t>
      </w:r>
      <w:r>
        <w:rPr>
          <w:sz w:val="18"/>
        </w:rPr>
        <w:t>(‘the</w:t>
      </w:r>
      <w:r>
        <w:rPr>
          <w:spacing w:val="-2"/>
          <w:sz w:val="18"/>
        </w:rPr>
        <w:t xml:space="preserve"> </w:t>
      </w:r>
      <w:r>
        <w:rPr>
          <w:sz w:val="18"/>
        </w:rPr>
        <w:t>Society’</w:t>
      </w:r>
      <w:r>
        <w:rPr>
          <w:spacing w:val="-5"/>
          <w:sz w:val="18"/>
        </w:rPr>
        <w:t xml:space="preserve"> </w:t>
      </w:r>
      <w:r>
        <w:rPr>
          <w:sz w:val="18"/>
        </w:rPr>
        <w:t>or</w:t>
      </w:r>
      <w:r>
        <w:rPr>
          <w:spacing w:val="-2"/>
          <w:sz w:val="18"/>
        </w:rPr>
        <w:t xml:space="preserve"> </w:t>
      </w:r>
      <w:r>
        <w:rPr>
          <w:sz w:val="18"/>
        </w:rPr>
        <w:t>‘QLS’),</w:t>
      </w:r>
      <w:r>
        <w:rPr>
          <w:spacing w:val="-3"/>
          <w:sz w:val="18"/>
        </w:rPr>
        <w:t xml:space="preserve"> </w:t>
      </w:r>
      <w:r>
        <w:rPr>
          <w:sz w:val="18"/>
        </w:rPr>
        <w:t>pursuant</w:t>
      </w:r>
      <w:r>
        <w:rPr>
          <w:spacing w:val="-5"/>
          <w:sz w:val="18"/>
        </w:rPr>
        <w:t xml:space="preserve"> </w:t>
      </w:r>
      <w:r>
        <w:rPr>
          <w:sz w:val="18"/>
        </w:rPr>
        <w:t>to</w:t>
      </w:r>
      <w:r>
        <w:rPr>
          <w:spacing w:val="-4"/>
          <w:sz w:val="18"/>
        </w:rPr>
        <w:t xml:space="preserve"> </w:t>
      </w:r>
      <w:r>
        <w:rPr>
          <w:sz w:val="18"/>
        </w:rPr>
        <w:t>s232</w:t>
      </w:r>
      <w:r>
        <w:rPr>
          <w:spacing w:val="-2"/>
          <w:sz w:val="18"/>
        </w:rPr>
        <w:t xml:space="preserve"> </w:t>
      </w:r>
      <w:r>
        <w:rPr>
          <w:sz w:val="18"/>
        </w:rPr>
        <w:t>of</w:t>
      </w:r>
      <w:r>
        <w:rPr>
          <w:spacing w:val="-3"/>
          <w:sz w:val="18"/>
        </w:rPr>
        <w:t xml:space="preserve"> </w:t>
      </w:r>
      <w:r>
        <w:rPr>
          <w:sz w:val="18"/>
        </w:rPr>
        <w:t>the</w:t>
      </w:r>
      <w:r>
        <w:rPr>
          <w:spacing w:val="-1"/>
          <w:sz w:val="18"/>
        </w:rPr>
        <w:t xml:space="preserve"> </w:t>
      </w:r>
      <w:r>
        <w:rPr>
          <w:i/>
          <w:sz w:val="18"/>
        </w:rPr>
        <w:t>Legal</w:t>
      </w:r>
      <w:r>
        <w:rPr>
          <w:i/>
          <w:spacing w:val="-5"/>
          <w:sz w:val="18"/>
        </w:rPr>
        <w:t xml:space="preserve"> </w:t>
      </w:r>
      <w:r>
        <w:rPr>
          <w:i/>
          <w:sz w:val="18"/>
        </w:rPr>
        <w:t>Profession</w:t>
      </w:r>
      <w:r>
        <w:rPr>
          <w:i/>
          <w:spacing w:val="-2"/>
          <w:sz w:val="18"/>
        </w:rPr>
        <w:t xml:space="preserve"> </w:t>
      </w:r>
      <w:r>
        <w:rPr>
          <w:i/>
          <w:sz w:val="18"/>
        </w:rPr>
        <w:t>Act</w:t>
      </w:r>
      <w:r>
        <w:rPr>
          <w:i/>
          <w:spacing w:val="-2"/>
          <w:sz w:val="18"/>
        </w:rPr>
        <w:t xml:space="preserve"> </w:t>
      </w:r>
      <w:r>
        <w:rPr>
          <w:i/>
          <w:spacing w:val="-4"/>
          <w:sz w:val="18"/>
        </w:rPr>
        <w:t>2007</w:t>
      </w:r>
    </w:p>
    <w:p w14:paraId="1B1C7D68" w14:textId="77777777" w:rsidR="00AC6F3C" w:rsidRDefault="00570E88">
      <w:pPr>
        <w:ind w:left="980" w:right="990"/>
        <w:rPr>
          <w:sz w:val="18"/>
        </w:rPr>
      </w:pPr>
      <w:r>
        <w:rPr>
          <w:sz w:val="18"/>
        </w:rPr>
        <w:t>(the</w:t>
      </w:r>
      <w:r>
        <w:rPr>
          <w:spacing w:val="-1"/>
          <w:sz w:val="18"/>
        </w:rPr>
        <w:t xml:space="preserve"> </w:t>
      </w:r>
      <w:r>
        <w:rPr>
          <w:sz w:val="18"/>
        </w:rPr>
        <w:t>Act)</w:t>
      </w:r>
      <w:r>
        <w:rPr>
          <w:spacing w:val="-2"/>
          <w:sz w:val="18"/>
        </w:rPr>
        <w:t xml:space="preserve"> </w:t>
      </w:r>
      <w:r>
        <w:rPr>
          <w:sz w:val="18"/>
        </w:rPr>
        <w:t>is</w:t>
      </w:r>
      <w:r>
        <w:rPr>
          <w:spacing w:val="-1"/>
          <w:sz w:val="18"/>
        </w:rPr>
        <w:t xml:space="preserve"> </w:t>
      </w:r>
      <w:proofErr w:type="spellStart"/>
      <w:r>
        <w:rPr>
          <w:sz w:val="18"/>
        </w:rPr>
        <w:t>authorised</w:t>
      </w:r>
      <w:proofErr w:type="spellEnd"/>
      <w:r>
        <w:rPr>
          <w:spacing w:val="-4"/>
          <w:sz w:val="18"/>
        </w:rPr>
        <w:t xml:space="preserve"> </w:t>
      </w:r>
      <w:r>
        <w:rPr>
          <w:sz w:val="18"/>
        </w:rPr>
        <w:t>to</w:t>
      </w:r>
      <w:r>
        <w:rPr>
          <w:spacing w:val="-4"/>
          <w:sz w:val="18"/>
        </w:rPr>
        <w:t xml:space="preserve"> </w:t>
      </w:r>
      <w:r>
        <w:rPr>
          <w:sz w:val="18"/>
        </w:rPr>
        <w:t>establish</w:t>
      </w:r>
      <w:r>
        <w:rPr>
          <w:spacing w:val="-4"/>
          <w:sz w:val="18"/>
        </w:rPr>
        <w:t xml:space="preserve"> </w:t>
      </w:r>
      <w:r>
        <w:rPr>
          <w:sz w:val="18"/>
        </w:rPr>
        <w:t>and</w:t>
      </w:r>
      <w:r>
        <w:rPr>
          <w:spacing w:val="-4"/>
          <w:sz w:val="18"/>
        </w:rPr>
        <w:t xml:space="preserve"> </w:t>
      </w:r>
      <w:r>
        <w:rPr>
          <w:sz w:val="18"/>
        </w:rPr>
        <w:t>maintain</w:t>
      </w:r>
      <w:r>
        <w:rPr>
          <w:spacing w:val="-4"/>
          <w:sz w:val="18"/>
        </w:rPr>
        <w:t xml:space="preserve"> </w:t>
      </w:r>
      <w:r>
        <w:rPr>
          <w:sz w:val="18"/>
        </w:rPr>
        <w:t>a</w:t>
      </w:r>
      <w:r>
        <w:rPr>
          <w:spacing w:val="-1"/>
          <w:sz w:val="18"/>
        </w:rPr>
        <w:t xml:space="preserve"> </w:t>
      </w:r>
      <w:r>
        <w:rPr>
          <w:sz w:val="18"/>
        </w:rPr>
        <w:t>fund</w:t>
      </w:r>
      <w:r>
        <w:rPr>
          <w:spacing w:val="-1"/>
          <w:sz w:val="18"/>
        </w:rPr>
        <w:t xml:space="preserve"> </w:t>
      </w:r>
      <w:r>
        <w:rPr>
          <w:sz w:val="18"/>
        </w:rPr>
        <w:t>for</w:t>
      </w:r>
      <w:r>
        <w:rPr>
          <w:spacing w:val="-4"/>
          <w:sz w:val="18"/>
        </w:rPr>
        <w:t xml:space="preserve"> </w:t>
      </w:r>
      <w:r>
        <w:rPr>
          <w:sz w:val="18"/>
        </w:rPr>
        <w:t>the</w:t>
      </w:r>
      <w:r>
        <w:rPr>
          <w:spacing w:val="-1"/>
          <w:sz w:val="18"/>
        </w:rPr>
        <w:t xml:space="preserve"> </w:t>
      </w:r>
      <w:r>
        <w:rPr>
          <w:sz w:val="18"/>
        </w:rPr>
        <w:t>purposes</w:t>
      </w:r>
      <w:r>
        <w:rPr>
          <w:spacing w:val="-1"/>
          <w:sz w:val="18"/>
        </w:rPr>
        <w:t xml:space="preserve"> </w:t>
      </w:r>
      <w:r>
        <w:rPr>
          <w:sz w:val="18"/>
        </w:rPr>
        <w:t>of</w:t>
      </w:r>
      <w:r>
        <w:rPr>
          <w:spacing w:val="-4"/>
          <w:sz w:val="18"/>
        </w:rPr>
        <w:t xml:space="preserve"> </w:t>
      </w:r>
      <w:r>
        <w:rPr>
          <w:sz w:val="18"/>
        </w:rPr>
        <w:t>providing</w:t>
      </w:r>
      <w:r>
        <w:rPr>
          <w:spacing w:val="-4"/>
          <w:sz w:val="18"/>
        </w:rPr>
        <w:t xml:space="preserve"> </w:t>
      </w:r>
      <w:r>
        <w:rPr>
          <w:sz w:val="18"/>
        </w:rPr>
        <w:t>insurance</w:t>
      </w:r>
      <w:r>
        <w:rPr>
          <w:spacing w:val="-1"/>
          <w:sz w:val="18"/>
        </w:rPr>
        <w:t xml:space="preserve"> </w:t>
      </w:r>
      <w:r>
        <w:rPr>
          <w:sz w:val="18"/>
        </w:rPr>
        <w:t>to</w:t>
      </w:r>
      <w:r>
        <w:rPr>
          <w:spacing w:val="-1"/>
          <w:sz w:val="18"/>
        </w:rPr>
        <w:t xml:space="preserve"> </w:t>
      </w:r>
      <w:r>
        <w:rPr>
          <w:sz w:val="18"/>
        </w:rPr>
        <w:t>the legal profession of Queensland.</w:t>
      </w:r>
    </w:p>
    <w:p w14:paraId="2F03C3F1" w14:textId="77777777" w:rsidR="00AC6F3C" w:rsidRDefault="00AC6F3C">
      <w:pPr>
        <w:pStyle w:val="BodyText"/>
        <w:rPr>
          <w:sz w:val="18"/>
        </w:rPr>
      </w:pPr>
    </w:p>
    <w:p w14:paraId="3E80C121" w14:textId="77777777" w:rsidR="00AC6F3C" w:rsidRDefault="00570E88">
      <w:pPr>
        <w:ind w:left="980" w:right="234"/>
        <w:rPr>
          <w:sz w:val="18"/>
        </w:rPr>
      </w:pPr>
      <w:r>
        <w:rPr>
          <w:sz w:val="18"/>
        </w:rPr>
        <w:t>The Law Claims Levy Fund (the Fund) was created in 1987 to provide professional indemnity insurance to Queensland solicitors. The Fund is responsible for the management of professional indemnity claims of practitioners</w:t>
      </w:r>
      <w:r>
        <w:rPr>
          <w:spacing w:val="-3"/>
          <w:sz w:val="18"/>
        </w:rPr>
        <w:t xml:space="preserve"> </w:t>
      </w:r>
      <w:r>
        <w:rPr>
          <w:sz w:val="18"/>
        </w:rPr>
        <w:t>for</w:t>
      </w:r>
      <w:r>
        <w:rPr>
          <w:spacing w:val="-2"/>
          <w:sz w:val="18"/>
        </w:rPr>
        <w:t xml:space="preserve"> </w:t>
      </w:r>
      <w:r>
        <w:rPr>
          <w:sz w:val="18"/>
        </w:rPr>
        <w:t>the</w:t>
      </w:r>
      <w:r>
        <w:rPr>
          <w:spacing w:val="-4"/>
          <w:sz w:val="18"/>
        </w:rPr>
        <w:t xml:space="preserve"> </w:t>
      </w:r>
      <w:r>
        <w:rPr>
          <w:sz w:val="18"/>
        </w:rPr>
        <w:t>years</w:t>
      </w:r>
      <w:r>
        <w:rPr>
          <w:spacing w:val="-1"/>
          <w:sz w:val="18"/>
        </w:rPr>
        <w:t xml:space="preserve"> </w:t>
      </w:r>
      <w:r>
        <w:rPr>
          <w:sz w:val="18"/>
        </w:rPr>
        <w:t>1987</w:t>
      </w:r>
      <w:r>
        <w:rPr>
          <w:spacing w:val="-1"/>
          <w:sz w:val="18"/>
        </w:rPr>
        <w:t xml:space="preserve"> </w:t>
      </w:r>
      <w:r>
        <w:rPr>
          <w:sz w:val="18"/>
        </w:rPr>
        <w:t>to</w:t>
      </w:r>
      <w:r>
        <w:rPr>
          <w:spacing w:val="-1"/>
          <w:sz w:val="18"/>
        </w:rPr>
        <w:t xml:space="preserve"> </w:t>
      </w:r>
      <w:r>
        <w:rPr>
          <w:sz w:val="18"/>
        </w:rPr>
        <w:t>1995,</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administration</w:t>
      </w:r>
      <w:r>
        <w:rPr>
          <w:spacing w:val="-1"/>
          <w:sz w:val="18"/>
        </w:rPr>
        <w:t xml:space="preserve"> </w:t>
      </w:r>
      <w:r>
        <w:rPr>
          <w:sz w:val="18"/>
        </w:rPr>
        <w:t>of</w:t>
      </w:r>
      <w:r>
        <w:rPr>
          <w:spacing w:val="-4"/>
          <w:sz w:val="18"/>
        </w:rPr>
        <w:t xml:space="preserve"> </w:t>
      </w:r>
      <w:r>
        <w:rPr>
          <w:sz w:val="18"/>
        </w:rPr>
        <w:t>insurance</w:t>
      </w:r>
      <w:r>
        <w:rPr>
          <w:spacing w:val="-4"/>
          <w:sz w:val="18"/>
        </w:rPr>
        <w:t xml:space="preserve"> </w:t>
      </w:r>
      <w:r>
        <w:rPr>
          <w:sz w:val="18"/>
        </w:rPr>
        <w:t>matters</w:t>
      </w:r>
      <w:r>
        <w:rPr>
          <w:spacing w:val="-1"/>
          <w:sz w:val="18"/>
        </w:rPr>
        <w:t xml:space="preserve"> </w:t>
      </w:r>
      <w:r>
        <w:rPr>
          <w:sz w:val="18"/>
        </w:rPr>
        <w:t>(jointly</w:t>
      </w:r>
      <w:r>
        <w:rPr>
          <w:spacing w:val="-3"/>
          <w:sz w:val="18"/>
        </w:rPr>
        <w:t xml:space="preserve"> </w:t>
      </w:r>
      <w:r>
        <w:rPr>
          <w:sz w:val="18"/>
        </w:rPr>
        <w:t>with</w:t>
      </w:r>
      <w:r>
        <w:rPr>
          <w:spacing w:val="-1"/>
          <w:sz w:val="18"/>
        </w:rPr>
        <w:t xml:space="preserve"> </w:t>
      </w:r>
      <w:r>
        <w:rPr>
          <w:sz w:val="18"/>
        </w:rPr>
        <w:t>Lexon</w:t>
      </w:r>
      <w:r>
        <w:rPr>
          <w:spacing w:val="-1"/>
          <w:sz w:val="18"/>
        </w:rPr>
        <w:t xml:space="preserve"> </w:t>
      </w:r>
      <w:r>
        <w:rPr>
          <w:sz w:val="18"/>
        </w:rPr>
        <w:t xml:space="preserve">Insurance Pte Ltd) in accordance with the </w:t>
      </w:r>
      <w:r>
        <w:rPr>
          <w:i/>
          <w:sz w:val="18"/>
        </w:rPr>
        <w:t>Queensland Law Society Indemnity Rule 2005</w:t>
      </w:r>
      <w:r>
        <w:rPr>
          <w:sz w:val="18"/>
        </w:rPr>
        <w:t>.</w:t>
      </w:r>
    </w:p>
    <w:p w14:paraId="6C7DDAE3" w14:textId="77777777" w:rsidR="00AC6F3C" w:rsidRDefault="00AC6F3C">
      <w:pPr>
        <w:pStyle w:val="BodyText"/>
        <w:rPr>
          <w:sz w:val="18"/>
        </w:rPr>
      </w:pPr>
    </w:p>
    <w:p w14:paraId="334336BE" w14:textId="77777777" w:rsidR="00AC6F3C" w:rsidRDefault="00570E88">
      <w:pPr>
        <w:ind w:left="979"/>
        <w:rPr>
          <w:sz w:val="18"/>
        </w:rPr>
      </w:pPr>
      <w:r>
        <w:rPr>
          <w:sz w:val="18"/>
        </w:rPr>
        <w:t>The</w:t>
      </w:r>
      <w:r>
        <w:rPr>
          <w:spacing w:val="-2"/>
          <w:sz w:val="18"/>
        </w:rPr>
        <w:t xml:space="preserve"> </w:t>
      </w:r>
      <w:r>
        <w:rPr>
          <w:sz w:val="18"/>
        </w:rPr>
        <w:t>Fund</w:t>
      </w:r>
      <w:r>
        <w:rPr>
          <w:spacing w:val="-1"/>
          <w:sz w:val="18"/>
        </w:rPr>
        <w:t xml:space="preserve"> </w:t>
      </w:r>
      <w:r>
        <w:rPr>
          <w:sz w:val="18"/>
        </w:rPr>
        <w:t>was</w:t>
      </w:r>
      <w:r>
        <w:rPr>
          <w:spacing w:val="-1"/>
          <w:sz w:val="18"/>
        </w:rPr>
        <w:t xml:space="preserve"> </w:t>
      </w:r>
      <w:r>
        <w:rPr>
          <w:sz w:val="18"/>
        </w:rPr>
        <w:t>wholly</w:t>
      </w:r>
      <w:r>
        <w:rPr>
          <w:spacing w:val="-3"/>
          <w:sz w:val="18"/>
        </w:rPr>
        <w:t xml:space="preserve"> </w:t>
      </w:r>
      <w:r>
        <w:rPr>
          <w:sz w:val="18"/>
        </w:rPr>
        <w:t>controlled</w:t>
      </w:r>
      <w:r>
        <w:rPr>
          <w:spacing w:val="-1"/>
          <w:sz w:val="18"/>
        </w:rPr>
        <w:t xml:space="preserve"> </w:t>
      </w:r>
      <w:r>
        <w:rPr>
          <w:sz w:val="18"/>
        </w:rPr>
        <w:t>by</w:t>
      </w:r>
      <w:r>
        <w:rPr>
          <w:spacing w:val="-3"/>
          <w:sz w:val="18"/>
        </w:rPr>
        <w:t xml:space="preserve"> </w:t>
      </w:r>
      <w:r>
        <w:rPr>
          <w:sz w:val="18"/>
        </w:rPr>
        <w:t>the</w:t>
      </w:r>
      <w:r>
        <w:rPr>
          <w:spacing w:val="-1"/>
          <w:sz w:val="18"/>
        </w:rPr>
        <w:t xml:space="preserve"> </w:t>
      </w:r>
      <w:r>
        <w:rPr>
          <w:sz w:val="18"/>
        </w:rPr>
        <w:t>Society</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whole</w:t>
      </w:r>
      <w:r>
        <w:rPr>
          <w:spacing w:val="-4"/>
          <w:sz w:val="18"/>
        </w:rPr>
        <w:t xml:space="preserve"> </w:t>
      </w:r>
      <w:r>
        <w:rPr>
          <w:sz w:val="18"/>
        </w:rPr>
        <w:t>reporting</w:t>
      </w:r>
      <w:r>
        <w:rPr>
          <w:spacing w:val="-1"/>
          <w:sz w:val="18"/>
        </w:rPr>
        <w:t xml:space="preserve"> </w:t>
      </w:r>
      <w:r>
        <w:rPr>
          <w:spacing w:val="-2"/>
          <w:sz w:val="18"/>
        </w:rPr>
        <w:t>period.</w:t>
      </w:r>
    </w:p>
    <w:p w14:paraId="3497EFAA" w14:textId="77777777" w:rsidR="00AC6F3C" w:rsidRDefault="00AC6F3C">
      <w:pPr>
        <w:pStyle w:val="BodyText"/>
        <w:spacing w:before="10"/>
        <w:rPr>
          <w:sz w:val="17"/>
        </w:rPr>
      </w:pPr>
    </w:p>
    <w:p w14:paraId="43D22207" w14:textId="77777777" w:rsidR="00AC6F3C" w:rsidRDefault="00570E88">
      <w:pPr>
        <w:ind w:left="979"/>
        <w:rPr>
          <w:sz w:val="18"/>
        </w:rPr>
      </w:pPr>
      <w:r>
        <w:rPr>
          <w:sz w:val="18"/>
        </w:rPr>
        <w:t>The</w:t>
      </w:r>
      <w:r>
        <w:rPr>
          <w:spacing w:val="-4"/>
          <w:sz w:val="18"/>
        </w:rPr>
        <w:t xml:space="preserve"> </w:t>
      </w:r>
      <w:r>
        <w:rPr>
          <w:sz w:val="18"/>
        </w:rPr>
        <w:t>principal</w:t>
      </w:r>
      <w:r>
        <w:rPr>
          <w:spacing w:val="-2"/>
          <w:sz w:val="18"/>
        </w:rPr>
        <w:t xml:space="preserve"> </w:t>
      </w:r>
      <w:r>
        <w:rPr>
          <w:sz w:val="18"/>
        </w:rPr>
        <w:t>place</w:t>
      </w:r>
      <w:r>
        <w:rPr>
          <w:spacing w:val="-4"/>
          <w:sz w:val="18"/>
        </w:rPr>
        <w:t xml:space="preserve"> </w:t>
      </w:r>
      <w:r>
        <w:rPr>
          <w:sz w:val="18"/>
        </w:rPr>
        <w:t>of</w:t>
      </w:r>
      <w:r>
        <w:rPr>
          <w:spacing w:val="-2"/>
          <w:sz w:val="18"/>
        </w:rPr>
        <w:t xml:space="preserve"> </w:t>
      </w:r>
      <w:r>
        <w:rPr>
          <w:sz w:val="18"/>
        </w:rPr>
        <w:t>business</w:t>
      </w:r>
      <w:r>
        <w:rPr>
          <w:spacing w:val="-2"/>
          <w:sz w:val="18"/>
        </w:rPr>
        <w:t xml:space="preserve"> </w:t>
      </w:r>
      <w:r>
        <w:rPr>
          <w:sz w:val="18"/>
        </w:rPr>
        <w:t>of</w:t>
      </w:r>
      <w:r>
        <w:rPr>
          <w:spacing w:val="-3"/>
          <w:sz w:val="18"/>
        </w:rPr>
        <w:t xml:space="preserve"> </w:t>
      </w:r>
      <w:r>
        <w:rPr>
          <w:sz w:val="18"/>
        </w:rPr>
        <w:t>the</w:t>
      </w:r>
      <w:r>
        <w:rPr>
          <w:spacing w:val="-1"/>
          <w:sz w:val="18"/>
        </w:rPr>
        <w:t xml:space="preserve"> </w:t>
      </w:r>
      <w:r>
        <w:rPr>
          <w:sz w:val="18"/>
        </w:rPr>
        <w:t>Fund</w:t>
      </w:r>
      <w:r>
        <w:rPr>
          <w:spacing w:val="-4"/>
          <w:sz w:val="18"/>
        </w:rPr>
        <w:t xml:space="preserve"> </w:t>
      </w:r>
      <w:r>
        <w:rPr>
          <w:sz w:val="18"/>
        </w:rPr>
        <w:t>is</w:t>
      </w:r>
      <w:r>
        <w:rPr>
          <w:spacing w:val="-4"/>
          <w:sz w:val="18"/>
        </w:rPr>
        <w:t xml:space="preserve"> </w:t>
      </w:r>
      <w:r>
        <w:rPr>
          <w:sz w:val="18"/>
        </w:rPr>
        <w:t>179</w:t>
      </w:r>
      <w:r>
        <w:rPr>
          <w:spacing w:val="-1"/>
          <w:sz w:val="18"/>
        </w:rPr>
        <w:t xml:space="preserve"> </w:t>
      </w:r>
      <w:r>
        <w:rPr>
          <w:sz w:val="18"/>
        </w:rPr>
        <w:t>Ann</w:t>
      </w:r>
      <w:r>
        <w:rPr>
          <w:spacing w:val="-2"/>
          <w:sz w:val="18"/>
        </w:rPr>
        <w:t xml:space="preserve"> </w:t>
      </w:r>
      <w:r>
        <w:rPr>
          <w:sz w:val="18"/>
        </w:rPr>
        <w:t>Street,</w:t>
      </w:r>
      <w:r>
        <w:rPr>
          <w:spacing w:val="-2"/>
          <w:sz w:val="18"/>
        </w:rPr>
        <w:t xml:space="preserve"> </w:t>
      </w:r>
      <w:r>
        <w:rPr>
          <w:sz w:val="18"/>
        </w:rPr>
        <w:t>Brisbane,</w:t>
      </w:r>
      <w:r>
        <w:rPr>
          <w:spacing w:val="-3"/>
          <w:sz w:val="18"/>
        </w:rPr>
        <w:t xml:space="preserve"> </w:t>
      </w:r>
      <w:r>
        <w:rPr>
          <w:sz w:val="18"/>
        </w:rPr>
        <w:t>QLD</w:t>
      </w:r>
      <w:r>
        <w:rPr>
          <w:spacing w:val="-2"/>
          <w:sz w:val="18"/>
        </w:rPr>
        <w:t xml:space="preserve"> 4000.</w:t>
      </w:r>
    </w:p>
    <w:p w14:paraId="6F703524" w14:textId="77777777" w:rsidR="00AC6F3C" w:rsidRDefault="00AC6F3C">
      <w:pPr>
        <w:pStyle w:val="BodyText"/>
      </w:pPr>
    </w:p>
    <w:p w14:paraId="3EB394AC" w14:textId="77777777" w:rsidR="00AC6F3C" w:rsidRDefault="00AC6F3C">
      <w:pPr>
        <w:pStyle w:val="BodyText"/>
        <w:spacing w:before="1"/>
        <w:rPr>
          <w:sz w:val="16"/>
        </w:rPr>
      </w:pPr>
    </w:p>
    <w:p w14:paraId="0A5B6839" w14:textId="77777777" w:rsidR="00AC6F3C" w:rsidRDefault="00570E88">
      <w:pPr>
        <w:pStyle w:val="Heading6"/>
        <w:tabs>
          <w:tab w:val="left" w:pos="1831"/>
        </w:tabs>
        <w:spacing w:before="0"/>
        <w:ind w:left="979"/>
      </w:pPr>
      <w:r>
        <w:rPr>
          <w:spacing w:val="-2"/>
        </w:rPr>
        <w:t>A1-</w:t>
      </w:r>
      <w:r>
        <w:rPr>
          <w:spacing w:val="-10"/>
        </w:rPr>
        <w:t>2</w:t>
      </w:r>
      <w:r>
        <w:tab/>
        <w:t>COMPLIANCE</w:t>
      </w:r>
      <w:r>
        <w:rPr>
          <w:spacing w:val="-5"/>
        </w:rPr>
        <w:t xml:space="preserve"> </w:t>
      </w:r>
      <w:r>
        <w:t>WITH</w:t>
      </w:r>
      <w:r>
        <w:rPr>
          <w:spacing w:val="-5"/>
        </w:rPr>
        <w:t xml:space="preserve"> </w:t>
      </w:r>
      <w:r>
        <w:t>PRESCRIBED</w:t>
      </w:r>
      <w:r>
        <w:rPr>
          <w:spacing w:val="-3"/>
        </w:rPr>
        <w:t xml:space="preserve"> </w:t>
      </w:r>
      <w:r>
        <w:rPr>
          <w:spacing w:val="-2"/>
        </w:rPr>
        <w:t>REQUIREMENTS</w:t>
      </w:r>
    </w:p>
    <w:p w14:paraId="6FBA0F19" w14:textId="77777777" w:rsidR="00AC6F3C" w:rsidRDefault="00AC6F3C">
      <w:pPr>
        <w:pStyle w:val="BodyText"/>
        <w:spacing w:before="9"/>
        <w:rPr>
          <w:b/>
        </w:rPr>
      </w:pPr>
    </w:p>
    <w:p w14:paraId="4FE21B5B" w14:textId="77777777" w:rsidR="00AC6F3C" w:rsidRDefault="00570E88">
      <w:pPr>
        <w:ind w:left="980" w:right="468" w:hanging="1"/>
        <w:rPr>
          <w:sz w:val="18"/>
        </w:rPr>
      </w:pPr>
      <w:r>
        <w:rPr>
          <w:sz w:val="18"/>
        </w:rPr>
        <w:t xml:space="preserve">The Fund has prepared these financial statements in compliance with section 39 of the </w:t>
      </w:r>
      <w:r>
        <w:rPr>
          <w:i/>
          <w:sz w:val="18"/>
        </w:rPr>
        <w:t>Financial and Performance</w:t>
      </w:r>
      <w:r>
        <w:rPr>
          <w:i/>
          <w:spacing w:val="-3"/>
          <w:sz w:val="18"/>
        </w:rPr>
        <w:t xml:space="preserve"> </w:t>
      </w:r>
      <w:r>
        <w:rPr>
          <w:i/>
          <w:sz w:val="18"/>
        </w:rPr>
        <w:t>Management</w:t>
      </w:r>
      <w:r>
        <w:rPr>
          <w:i/>
          <w:spacing w:val="-4"/>
          <w:sz w:val="18"/>
        </w:rPr>
        <w:t xml:space="preserve"> </w:t>
      </w:r>
      <w:r>
        <w:rPr>
          <w:i/>
          <w:sz w:val="18"/>
        </w:rPr>
        <w:t>Standard</w:t>
      </w:r>
      <w:r>
        <w:rPr>
          <w:i/>
          <w:spacing w:val="-6"/>
          <w:sz w:val="18"/>
        </w:rPr>
        <w:t xml:space="preserve"> </w:t>
      </w:r>
      <w:r>
        <w:rPr>
          <w:i/>
          <w:sz w:val="18"/>
        </w:rPr>
        <w:t>2019</w:t>
      </w:r>
      <w:r>
        <w:rPr>
          <w:sz w:val="18"/>
        </w:rPr>
        <w:t>.</w:t>
      </w:r>
      <w:r>
        <w:rPr>
          <w:spacing w:val="-4"/>
          <w:sz w:val="18"/>
        </w:rPr>
        <w:t xml:space="preserve"> </w:t>
      </w:r>
      <w:r>
        <w:rPr>
          <w:sz w:val="18"/>
        </w:rPr>
        <w:t>The</w:t>
      </w:r>
      <w:r>
        <w:rPr>
          <w:spacing w:val="-3"/>
          <w:sz w:val="18"/>
        </w:rPr>
        <w:t xml:space="preserve"> </w:t>
      </w:r>
      <w:r>
        <w:rPr>
          <w:sz w:val="18"/>
        </w:rPr>
        <w:t>financial</w:t>
      </w:r>
      <w:r>
        <w:rPr>
          <w:spacing w:val="-3"/>
          <w:sz w:val="18"/>
        </w:rPr>
        <w:t xml:space="preserve"> </w:t>
      </w:r>
      <w:r>
        <w:rPr>
          <w:sz w:val="18"/>
        </w:rPr>
        <w:t>statements</w:t>
      </w:r>
      <w:r>
        <w:rPr>
          <w:spacing w:val="-5"/>
          <w:sz w:val="18"/>
        </w:rPr>
        <w:t xml:space="preserve"> </w:t>
      </w:r>
      <w:r>
        <w:rPr>
          <w:sz w:val="18"/>
        </w:rPr>
        <w:t>comply</w:t>
      </w:r>
      <w:r>
        <w:rPr>
          <w:spacing w:val="-3"/>
          <w:sz w:val="18"/>
        </w:rPr>
        <w:t xml:space="preserve"> </w:t>
      </w:r>
      <w:r>
        <w:rPr>
          <w:sz w:val="18"/>
        </w:rPr>
        <w:t>with</w:t>
      </w:r>
      <w:r>
        <w:rPr>
          <w:spacing w:val="-6"/>
          <w:sz w:val="18"/>
        </w:rPr>
        <w:t xml:space="preserve"> </w:t>
      </w:r>
      <w:r>
        <w:rPr>
          <w:sz w:val="18"/>
        </w:rPr>
        <w:t>the</w:t>
      </w:r>
      <w:r>
        <w:rPr>
          <w:spacing w:val="-3"/>
          <w:sz w:val="18"/>
        </w:rPr>
        <w:t xml:space="preserve"> </w:t>
      </w:r>
      <w:r>
        <w:rPr>
          <w:sz w:val="18"/>
        </w:rPr>
        <w:t>Queensland</w:t>
      </w:r>
      <w:r>
        <w:rPr>
          <w:spacing w:val="-3"/>
          <w:sz w:val="18"/>
        </w:rPr>
        <w:t xml:space="preserve"> </w:t>
      </w:r>
      <w:r>
        <w:rPr>
          <w:sz w:val="18"/>
        </w:rPr>
        <w:t>Treasury’s minimum Financial Reporting Requirements for reporting periods beginning on or after 1 July 2022.</w:t>
      </w:r>
    </w:p>
    <w:p w14:paraId="304053D7" w14:textId="77777777" w:rsidR="00AC6F3C" w:rsidRDefault="00AC6F3C">
      <w:pPr>
        <w:pStyle w:val="BodyText"/>
        <w:spacing w:before="10"/>
      </w:pPr>
    </w:p>
    <w:p w14:paraId="2EDD3A85" w14:textId="77777777" w:rsidR="00AC6F3C" w:rsidRDefault="00570E88">
      <w:pPr>
        <w:spacing w:before="1"/>
        <w:ind w:left="980" w:right="375"/>
        <w:rPr>
          <w:sz w:val="18"/>
        </w:rPr>
      </w:pPr>
      <w:r>
        <w:rPr>
          <w:sz w:val="18"/>
        </w:rPr>
        <w:t>The Fund is a not-for-profit entity and these general purpose financial statements are prepared on an accrual basis</w:t>
      </w:r>
      <w:r>
        <w:rPr>
          <w:spacing w:val="-1"/>
          <w:sz w:val="18"/>
        </w:rPr>
        <w:t xml:space="preserve"> </w:t>
      </w:r>
      <w:r>
        <w:rPr>
          <w:sz w:val="18"/>
        </w:rPr>
        <w:t>(except</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1"/>
          <w:sz w:val="18"/>
        </w:rPr>
        <w:t xml:space="preserve"> </w:t>
      </w:r>
      <w:r>
        <w:rPr>
          <w:sz w:val="18"/>
        </w:rPr>
        <w:t>which</w:t>
      </w:r>
      <w:r>
        <w:rPr>
          <w:spacing w:val="-1"/>
          <w:sz w:val="18"/>
        </w:rPr>
        <w:t xml:space="preserve"> </w:t>
      </w:r>
      <w:r>
        <w:rPr>
          <w:sz w:val="18"/>
        </w:rPr>
        <w:t>is</w:t>
      </w:r>
      <w:r>
        <w:rPr>
          <w:spacing w:val="-1"/>
          <w:sz w:val="18"/>
        </w:rPr>
        <w:t xml:space="preserve"> </w:t>
      </w:r>
      <w:r>
        <w:rPr>
          <w:sz w:val="18"/>
        </w:rPr>
        <w:t>prepared</w:t>
      </w:r>
      <w:r>
        <w:rPr>
          <w:spacing w:val="-1"/>
          <w:sz w:val="18"/>
        </w:rPr>
        <w:t xml:space="preserve"> </w:t>
      </w:r>
      <w:r>
        <w:rPr>
          <w:sz w:val="18"/>
        </w:rPr>
        <w:t>on</w:t>
      </w:r>
      <w:r>
        <w:rPr>
          <w:spacing w:val="-4"/>
          <w:sz w:val="18"/>
        </w:rPr>
        <w:t xml:space="preserve"> </w:t>
      </w:r>
      <w:r>
        <w:rPr>
          <w:sz w:val="18"/>
        </w:rPr>
        <w:t>a</w:t>
      </w:r>
      <w:r>
        <w:rPr>
          <w:spacing w:val="-1"/>
          <w:sz w:val="18"/>
        </w:rPr>
        <w:t xml:space="preserve"> </w:t>
      </w:r>
      <w:r>
        <w:rPr>
          <w:sz w:val="18"/>
        </w:rPr>
        <w:t>cash</w:t>
      </w:r>
      <w:r>
        <w:rPr>
          <w:spacing w:val="-4"/>
          <w:sz w:val="18"/>
        </w:rPr>
        <w:t xml:space="preserve"> </w:t>
      </w:r>
      <w:r>
        <w:rPr>
          <w:sz w:val="18"/>
        </w:rPr>
        <w:t>basis)</w:t>
      </w:r>
      <w:r>
        <w:rPr>
          <w:spacing w:val="-2"/>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1"/>
          <w:sz w:val="18"/>
        </w:rPr>
        <w:t xml:space="preserve"> </w:t>
      </w:r>
      <w:r>
        <w:rPr>
          <w:sz w:val="18"/>
        </w:rPr>
        <w:t>Australian Accounting Standards and Interpretations applicable to not-for-profit entities.</w:t>
      </w:r>
    </w:p>
    <w:p w14:paraId="781ACADE" w14:textId="77777777" w:rsidR="00AC6F3C" w:rsidRDefault="00AC6F3C">
      <w:pPr>
        <w:pStyle w:val="BodyText"/>
        <w:spacing w:before="1"/>
        <w:rPr>
          <w:sz w:val="24"/>
        </w:rPr>
      </w:pPr>
    </w:p>
    <w:p w14:paraId="36E59C96" w14:textId="77777777" w:rsidR="00AC6F3C" w:rsidRDefault="00570E88">
      <w:pPr>
        <w:pStyle w:val="Heading6"/>
        <w:tabs>
          <w:tab w:val="left" w:pos="1831"/>
        </w:tabs>
        <w:spacing w:before="0"/>
        <w:ind w:left="979"/>
      </w:pPr>
      <w:r>
        <w:rPr>
          <w:spacing w:val="-2"/>
        </w:rPr>
        <w:t>A1-</w:t>
      </w:r>
      <w:r>
        <w:rPr>
          <w:spacing w:val="-10"/>
        </w:rPr>
        <w:t>3</w:t>
      </w:r>
      <w:r>
        <w:tab/>
      </w:r>
      <w:r>
        <w:rPr>
          <w:spacing w:val="-2"/>
        </w:rPr>
        <w:t>PRESENTATION</w:t>
      </w:r>
    </w:p>
    <w:p w14:paraId="21B4FCBD" w14:textId="77777777" w:rsidR="00AC6F3C" w:rsidRDefault="00AC6F3C">
      <w:pPr>
        <w:pStyle w:val="BodyText"/>
        <w:spacing w:before="7"/>
        <w:rPr>
          <w:b/>
        </w:rPr>
      </w:pPr>
    </w:p>
    <w:p w14:paraId="375094C2" w14:textId="77777777" w:rsidR="00AC6F3C" w:rsidRDefault="00570E88">
      <w:pPr>
        <w:ind w:left="979"/>
        <w:rPr>
          <w:b/>
          <w:sz w:val="20"/>
        </w:rPr>
      </w:pPr>
      <w:r>
        <w:rPr>
          <w:b/>
          <w:sz w:val="20"/>
        </w:rPr>
        <w:t>Currency</w:t>
      </w:r>
      <w:r>
        <w:rPr>
          <w:b/>
          <w:spacing w:val="-8"/>
          <w:sz w:val="20"/>
        </w:rPr>
        <w:t xml:space="preserve"> </w:t>
      </w:r>
      <w:r>
        <w:rPr>
          <w:b/>
          <w:sz w:val="20"/>
        </w:rPr>
        <w:t>and</w:t>
      </w:r>
      <w:r>
        <w:rPr>
          <w:b/>
          <w:spacing w:val="-6"/>
          <w:sz w:val="20"/>
        </w:rPr>
        <w:t xml:space="preserve"> </w:t>
      </w:r>
      <w:r>
        <w:rPr>
          <w:b/>
          <w:spacing w:val="-2"/>
          <w:sz w:val="20"/>
        </w:rPr>
        <w:t>rounding</w:t>
      </w:r>
    </w:p>
    <w:p w14:paraId="2967B5DD" w14:textId="77777777" w:rsidR="00AC6F3C" w:rsidRDefault="00AC6F3C">
      <w:pPr>
        <w:pStyle w:val="BodyText"/>
        <w:spacing w:before="10"/>
        <w:rPr>
          <w:b/>
        </w:rPr>
      </w:pPr>
    </w:p>
    <w:p w14:paraId="0AB89B88" w14:textId="77777777" w:rsidR="00AC6F3C" w:rsidRDefault="00570E88">
      <w:pPr>
        <w:ind w:left="979" w:right="468"/>
        <w:rPr>
          <w:sz w:val="18"/>
        </w:rPr>
      </w:pPr>
      <w:r>
        <w:rPr>
          <w:sz w:val="18"/>
        </w:rPr>
        <w:t>Amounts</w:t>
      </w:r>
      <w:r>
        <w:rPr>
          <w:spacing w:val="-3"/>
          <w:sz w:val="18"/>
        </w:rPr>
        <w:t xml:space="preserve"> </w:t>
      </w:r>
      <w:r>
        <w:rPr>
          <w:sz w:val="18"/>
        </w:rPr>
        <w:t>included</w:t>
      </w:r>
      <w:r>
        <w:rPr>
          <w:spacing w:val="-1"/>
          <w:sz w:val="18"/>
        </w:rPr>
        <w:t xml:space="preserve"> </w:t>
      </w:r>
      <w:r>
        <w:rPr>
          <w:sz w:val="18"/>
        </w:rPr>
        <w:t>in</w:t>
      </w:r>
      <w:r>
        <w:rPr>
          <w:spacing w:val="-1"/>
          <w:sz w:val="18"/>
        </w:rPr>
        <w:t xml:space="preserve"> </w:t>
      </w:r>
      <w:r>
        <w:rPr>
          <w:sz w:val="18"/>
        </w:rPr>
        <w:t>the</w:t>
      </w:r>
      <w:r>
        <w:rPr>
          <w:spacing w:val="-4"/>
          <w:sz w:val="18"/>
        </w:rPr>
        <w:t xml:space="preserve"> </w:t>
      </w:r>
      <w:r>
        <w:rPr>
          <w:sz w:val="18"/>
        </w:rPr>
        <w:t>financial</w:t>
      </w:r>
      <w:r>
        <w:rPr>
          <w:spacing w:val="-4"/>
          <w:sz w:val="18"/>
        </w:rPr>
        <w:t xml:space="preserve"> </w:t>
      </w:r>
      <w:r>
        <w:rPr>
          <w:sz w:val="18"/>
        </w:rPr>
        <w:t>statements</w:t>
      </w:r>
      <w:r>
        <w:rPr>
          <w:spacing w:val="-3"/>
          <w:sz w:val="18"/>
        </w:rPr>
        <w:t xml:space="preserve"> </w:t>
      </w:r>
      <w:r>
        <w:rPr>
          <w:sz w:val="18"/>
        </w:rPr>
        <w:t>are</w:t>
      </w:r>
      <w:r>
        <w:rPr>
          <w:spacing w:val="-4"/>
          <w:sz w:val="18"/>
        </w:rPr>
        <w:t xml:space="preserve"> </w:t>
      </w:r>
      <w:r>
        <w:rPr>
          <w:sz w:val="18"/>
        </w:rPr>
        <w:t>in</w:t>
      </w:r>
      <w:r>
        <w:rPr>
          <w:spacing w:val="-1"/>
          <w:sz w:val="18"/>
        </w:rPr>
        <w:t xml:space="preserve"> </w:t>
      </w:r>
      <w:r>
        <w:rPr>
          <w:sz w:val="18"/>
        </w:rPr>
        <w:t>Australian</w:t>
      </w:r>
      <w:r>
        <w:rPr>
          <w:spacing w:val="-1"/>
          <w:sz w:val="18"/>
        </w:rPr>
        <w:t xml:space="preserve"> </w:t>
      </w:r>
      <w:r>
        <w:rPr>
          <w:sz w:val="18"/>
        </w:rPr>
        <w:t>dollars</w:t>
      </w:r>
      <w:r>
        <w:rPr>
          <w:spacing w:val="-3"/>
          <w:sz w:val="18"/>
        </w:rPr>
        <w:t xml:space="preserve"> </w:t>
      </w:r>
      <w:r>
        <w:rPr>
          <w:sz w:val="18"/>
        </w:rPr>
        <w:t>and</w:t>
      </w:r>
      <w:r>
        <w:rPr>
          <w:spacing w:val="-1"/>
          <w:sz w:val="18"/>
        </w:rPr>
        <w:t xml:space="preserve"> </w:t>
      </w:r>
      <w:r>
        <w:rPr>
          <w:sz w:val="18"/>
        </w:rPr>
        <w:t>rounded</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nearest</w:t>
      </w:r>
      <w:r>
        <w:rPr>
          <w:spacing w:val="-2"/>
          <w:sz w:val="18"/>
        </w:rPr>
        <w:t xml:space="preserve"> </w:t>
      </w:r>
      <w:r>
        <w:rPr>
          <w:sz w:val="18"/>
        </w:rPr>
        <w:t>$1,000</w:t>
      </w:r>
      <w:r>
        <w:rPr>
          <w:spacing w:val="-4"/>
          <w:sz w:val="18"/>
        </w:rPr>
        <w:t xml:space="preserve"> </w:t>
      </w:r>
      <w:r>
        <w:rPr>
          <w:sz w:val="18"/>
        </w:rPr>
        <w:t>or, where that amount is $500 or less, to zero, unless disclosure of the full amount is specifically required.</w:t>
      </w:r>
    </w:p>
    <w:p w14:paraId="67336561" w14:textId="77777777" w:rsidR="00AC6F3C" w:rsidRDefault="00AC6F3C">
      <w:pPr>
        <w:pStyle w:val="BodyText"/>
        <w:rPr>
          <w:sz w:val="21"/>
        </w:rPr>
      </w:pPr>
    </w:p>
    <w:p w14:paraId="39C52430" w14:textId="77777777" w:rsidR="00AC6F3C" w:rsidRDefault="00570E88">
      <w:pPr>
        <w:ind w:left="979"/>
        <w:rPr>
          <w:b/>
          <w:sz w:val="20"/>
        </w:rPr>
      </w:pPr>
      <w:r>
        <w:rPr>
          <w:b/>
          <w:spacing w:val="-2"/>
          <w:sz w:val="20"/>
        </w:rPr>
        <w:t>Comparatives</w:t>
      </w:r>
    </w:p>
    <w:p w14:paraId="5B0A1922" w14:textId="77777777" w:rsidR="00AC6F3C" w:rsidRDefault="00AC6F3C">
      <w:pPr>
        <w:pStyle w:val="BodyText"/>
        <w:spacing w:before="10"/>
        <w:rPr>
          <w:b/>
        </w:rPr>
      </w:pPr>
    </w:p>
    <w:p w14:paraId="2D730312" w14:textId="77777777" w:rsidR="00AC6F3C" w:rsidRDefault="00570E88">
      <w:pPr>
        <w:ind w:left="979"/>
        <w:rPr>
          <w:sz w:val="18"/>
        </w:rPr>
      </w:pPr>
      <w:r>
        <w:rPr>
          <w:sz w:val="18"/>
        </w:rPr>
        <w:t>Comparative</w:t>
      </w:r>
      <w:r>
        <w:rPr>
          <w:spacing w:val="-4"/>
          <w:sz w:val="18"/>
        </w:rPr>
        <w:t xml:space="preserve"> </w:t>
      </w:r>
      <w:r>
        <w:rPr>
          <w:sz w:val="18"/>
        </w:rPr>
        <w:t>information</w:t>
      </w:r>
      <w:r>
        <w:rPr>
          <w:spacing w:val="-3"/>
          <w:sz w:val="18"/>
        </w:rPr>
        <w:t xml:space="preserve"> </w:t>
      </w:r>
      <w:r>
        <w:rPr>
          <w:sz w:val="18"/>
        </w:rPr>
        <w:t>reflects</w:t>
      </w:r>
      <w:r>
        <w:rPr>
          <w:spacing w:val="-4"/>
          <w:sz w:val="18"/>
        </w:rPr>
        <w:t xml:space="preserve"> </w:t>
      </w:r>
      <w:r>
        <w:rPr>
          <w:sz w:val="18"/>
        </w:rPr>
        <w:t>the</w:t>
      </w:r>
      <w:r>
        <w:rPr>
          <w:spacing w:val="-3"/>
          <w:sz w:val="18"/>
        </w:rPr>
        <w:t xml:space="preserve"> </w:t>
      </w:r>
      <w:r>
        <w:rPr>
          <w:sz w:val="18"/>
        </w:rPr>
        <w:t>audited</w:t>
      </w:r>
      <w:r>
        <w:rPr>
          <w:spacing w:val="-4"/>
          <w:sz w:val="18"/>
        </w:rPr>
        <w:t xml:space="preserve"> </w:t>
      </w:r>
      <w:r>
        <w:rPr>
          <w:sz w:val="18"/>
        </w:rPr>
        <w:t>2021-2022</w:t>
      </w:r>
      <w:r>
        <w:rPr>
          <w:spacing w:val="-4"/>
          <w:sz w:val="18"/>
        </w:rPr>
        <w:t xml:space="preserve"> </w:t>
      </w:r>
      <w:r>
        <w:rPr>
          <w:sz w:val="18"/>
        </w:rPr>
        <w:t>financial</w:t>
      </w:r>
      <w:r>
        <w:rPr>
          <w:spacing w:val="-6"/>
          <w:sz w:val="18"/>
        </w:rPr>
        <w:t xml:space="preserve"> </w:t>
      </w:r>
      <w:r>
        <w:rPr>
          <w:spacing w:val="-2"/>
          <w:sz w:val="18"/>
        </w:rPr>
        <w:t>statements.</w:t>
      </w:r>
    </w:p>
    <w:p w14:paraId="30499B96" w14:textId="77777777" w:rsidR="00AC6F3C" w:rsidRDefault="00AC6F3C">
      <w:pPr>
        <w:pStyle w:val="BodyText"/>
        <w:spacing w:before="10"/>
      </w:pPr>
    </w:p>
    <w:p w14:paraId="12E29F5D" w14:textId="77777777" w:rsidR="00AC6F3C" w:rsidRDefault="00570E88">
      <w:pPr>
        <w:ind w:left="979"/>
        <w:rPr>
          <w:b/>
          <w:sz w:val="20"/>
        </w:rPr>
      </w:pPr>
      <w:r>
        <w:rPr>
          <w:b/>
          <w:spacing w:val="-2"/>
          <w:sz w:val="20"/>
        </w:rPr>
        <w:t>Current/non-current</w:t>
      </w:r>
      <w:r>
        <w:rPr>
          <w:b/>
          <w:spacing w:val="13"/>
          <w:sz w:val="20"/>
        </w:rPr>
        <w:t xml:space="preserve"> </w:t>
      </w:r>
      <w:r>
        <w:rPr>
          <w:b/>
          <w:spacing w:val="-2"/>
          <w:sz w:val="20"/>
        </w:rPr>
        <w:t>classification</w:t>
      </w:r>
    </w:p>
    <w:p w14:paraId="1B086C68" w14:textId="77777777" w:rsidR="00AC6F3C" w:rsidRDefault="00AC6F3C">
      <w:pPr>
        <w:pStyle w:val="BodyText"/>
        <w:spacing w:before="9"/>
        <w:rPr>
          <w:b/>
        </w:rPr>
      </w:pPr>
    </w:p>
    <w:p w14:paraId="2D339F69" w14:textId="77777777" w:rsidR="00AC6F3C" w:rsidRDefault="00570E88">
      <w:pPr>
        <w:spacing w:before="1"/>
        <w:ind w:left="979"/>
        <w:rPr>
          <w:sz w:val="18"/>
        </w:rPr>
      </w:pPr>
      <w:r>
        <w:rPr>
          <w:sz w:val="18"/>
        </w:rPr>
        <w:t>Assets</w:t>
      </w:r>
      <w:r>
        <w:rPr>
          <w:spacing w:val="-2"/>
          <w:sz w:val="18"/>
        </w:rPr>
        <w:t xml:space="preserve"> </w:t>
      </w:r>
      <w:r>
        <w:rPr>
          <w:sz w:val="18"/>
        </w:rPr>
        <w:t>and</w:t>
      </w:r>
      <w:r>
        <w:rPr>
          <w:spacing w:val="-2"/>
          <w:sz w:val="18"/>
        </w:rPr>
        <w:t xml:space="preserve"> </w:t>
      </w:r>
      <w:r>
        <w:rPr>
          <w:sz w:val="18"/>
        </w:rPr>
        <w:t>liabilities</w:t>
      </w:r>
      <w:r>
        <w:rPr>
          <w:spacing w:val="-2"/>
          <w:sz w:val="18"/>
        </w:rPr>
        <w:t xml:space="preserve"> </w:t>
      </w:r>
      <w:r>
        <w:rPr>
          <w:sz w:val="18"/>
        </w:rPr>
        <w:t>are</w:t>
      </w:r>
      <w:r>
        <w:rPr>
          <w:spacing w:val="-5"/>
          <w:sz w:val="18"/>
        </w:rPr>
        <w:t xml:space="preserve"> </w:t>
      </w:r>
      <w:r>
        <w:rPr>
          <w:sz w:val="18"/>
        </w:rPr>
        <w:t>classified</w:t>
      </w:r>
      <w:r>
        <w:rPr>
          <w:spacing w:val="-5"/>
          <w:sz w:val="18"/>
        </w:rPr>
        <w:t xml:space="preserve"> </w:t>
      </w:r>
      <w:r>
        <w:rPr>
          <w:sz w:val="18"/>
        </w:rPr>
        <w:t>as</w:t>
      </w:r>
      <w:r>
        <w:rPr>
          <w:spacing w:val="-2"/>
          <w:sz w:val="18"/>
        </w:rPr>
        <w:t xml:space="preserve"> </w:t>
      </w:r>
      <w:r>
        <w:rPr>
          <w:sz w:val="18"/>
        </w:rPr>
        <w:t>either</w:t>
      </w:r>
      <w:r>
        <w:rPr>
          <w:spacing w:val="-3"/>
          <w:sz w:val="18"/>
        </w:rPr>
        <w:t xml:space="preserve"> </w:t>
      </w:r>
      <w:r>
        <w:rPr>
          <w:sz w:val="18"/>
        </w:rPr>
        <w:t>‘current’</w:t>
      </w:r>
      <w:r>
        <w:rPr>
          <w:spacing w:val="-2"/>
          <w:sz w:val="18"/>
        </w:rPr>
        <w:t xml:space="preserve"> </w:t>
      </w:r>
      <w:r>
        <w:rPr>
          <w:sz w:val="18"/>
        </w:rPr>
        <w:t>or</w:t>
      </w:r>
      <w:r>
        <w:rPr>
          <w:spacing w:val="-5"/>
          <w:sz w:val="18"/>
        </w:rPr>
        <w:t xml:space="preserve"> </w:t>
      </w:r>
      <w:r>
        <w:rPr>
          <w:sz w:val="18"/>
        </w:rPr>
        <w:t>‘non-current’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Statement</w:t>
      </w:r>
      <w:r>
        <w:rPr>
          <w:spacing w:val="-3"/>
          <w:sz w:val="18"/>
        </w:rPr>
        <w:t xml:space="preserve"> </w:t>
      </w:r>
      <w:r>
        <w:rPr>
          <w:sz w:val="18"/>
        </w:rPr>
        <w:t>of</w:t>
      </w:r>
      <w:r>
        <w:rPr>
          <w:spacing w:val="-5"/>
          <w:sz w:val="18"/>
        </w:rPr>
        <w:t xml:space="preserve"> </w:t>
      </w:r>
      <w:r>
        <w:rPr>
          <w:sz w:val="18"/>
        </w:rPr>
        <w:t>Financial</w:t>
      </w:r>
      <w:r>
        <w:rPr>
          <w:spacing w:val="-2"/>
          <w:sz w:val="18"/>
        </w:rPr>
        <w:t xml:space="preserve"> </w:t>
      </w:r>
      <w:r>
        <w:rPr>
          <w:sz w:val="18"/>
        </w:rPr>
        <w:t>Position</w:t>
      </w:r>
      <w:r>
        <w:rPr>
          <w:spacing w:val="-2"/>
          <w:sz w:val="18"/>
        </w:rPr>
        <w:t xml:space="preserve"> </w:t>
      </w:r>
      <w:r>
        <w:rPr>
          <w:sz w:val="18"/>
        </w:rPr>
        <w:t>and associated notes.</w:t>
      </w:r>
    </w:p>
    <w:p w14:paraId="30773984" w14:textId="77777777" w:rsidR="00AC6F3C" w:rsidRDefault="00AC6F3C">
      <w:pPr>
        <w:pStyle w:val="BodyText"/>
        <w:spacing w:before="8"/>
      </w:pPr>
    </w:p>
    <w:p w14:paraId="68E64389" w14:textId="77777777" w:rsidR="00AC6F3C" w:rsidRDefault="00570E88">
      <w:pPr>
        <w:ind w:left="979" w:right="234"/>
        <w:rPr>
          <w:sz w:val="18"/>
        </w:rPr>
      </w:pPr>
      <w:r>
        <w:rPr>
          <w:sz w:val="18"/>
        </w:rPr>
        <w:t>Assets</w:t>
      </w:r>
      <w:r>
        <w:rPr>
          <w:spacing w:val="-1"/>
          <w:sz w:val="18"/>
        </w:rPr>
        <w:t xml:space="preserve"> </w:t>
      </w:r>
      <w:r>
        <w:rPr>
          <w:sz w:val="18"/>
        </w:rPr>
        <w:t>are</w:t>
      </w:r>
      <w:r>
        <w:rPr>
          <w:spacing w:val="-1"/>
          <w:sz w:val="18"/>
        </w:rPr>
        <w:t xml:space="preserve"> </w:t>
      </w:r>
      <w:r>
        <w:rPr>
          <w:sz w:val="18"/>
        </w:rPr>
        <w:t>classified</w:t>
      </w:r>
      <w:r>
        <w:rPr>
          <w:spacing w:val="-4"/>
          <w:sz w:val="18"/>
        </w:rPr>
        <w:t xml:space="preserve"> </w:t>
      </w:r>
      <w:r>
        <w:rPr>
          <w:sz w:val="18"/>
        </w:rPr>
        <w:t>as</w:t>
      </w:r>
      <w:r>
        <w:rPr>
          <w:spacing w:val="-3"/>
          <w:sz w:val="18"/>
        </w:rPr>
        <w:t xml:space="preserve"> </w:t>
      </w:r>
      <w:r>
        <w:rPr>
          <w:sz w:val="18"/>
        </w:rPr>
        <w:t>‘current’</w:t>
      </w:r>
      <w:r>
        <w:rPr>
          <w:spacing w:val="-1"/>
          <w:sz w:val="18"/>
        </w:rPr>
        <w:t xml:space="preserve"> </w:t>
      </w:r>
      <w:r>
        <w:rPr>
          <w:sz w:val="18"/>
        </w:rPr>
        <w:t>where</w:t>
      </w:r>
      <w:r>
        <w:rPr>
          <w:spacing w:val="-1"/>
          <w:sz w:val="18"/>
        </w:rPr>
        <w:t xml:space="preserve"> </w:t>
      </w:r>
      <w:r>
        <w:rPr>
          <w:sz w:val="18"/>
        </w:rPr>
        <w:t>their</w:t>
      </w:r>
      <w:r>
        <w:rPr>
          <w:spacing w:val="-4"/>
          <w:sz w:val="18"/>
        </w:rPr>
        <w:t xml:space="preserve"> </w:t>
      </w:r>
      <w:r>
        <w:rPr>
          <w:sz w:val="18"/>
        </w:rPr>
        <w:t>carrying</w:t>
      </w:r>
      <w:r>
        <w:rPr>
          <w:spacing w:val="-4"/>
          <w:sz w:val="18"/>
        </w:rPr>
        <w:t xml:space="preserve"> </w:t>
      </w:r>
      <w:r>
        <w:rPr>
          <w:sz w:val="18"/>
        </w:rPr>
        <w:t>amount</w:t>
      </w:r>
      <w:r>
        <w:rPr>
          <w:spacing w:val="-2"/>
          <w:sz w:val="18"/>
        </w:rPr>
        <w:t xml:space="preserve"> </w:t>
      </w:r>
      <w:r>
        <w:rPr>
          <w:sz w:val="18"/>
        </w:rPr>
        <w:t>is</w:t>
      </w:r>
      <w:r>
        <w:rPr>
          <w:spacing w:val="-3"/>
          <w:sz w:val="18"/>
        </w:rPr>
        <w:t xml:space="preserve"> </w:t>
      </w:r>
      <w:r>
        <w:rPr>
          <w:sz w:val="18"/>
        </w:rPr>
        <w:t>expected</w:t>
      </w:r>
      <w:r>
        <w:rPr>
          <w:spacing w:val="-1"/>
          <w:sz w:val="18"/>
        </w:rPr>
        <w:t xml:space="preserve"> </w:t>
      </w:r>
      <w:r>
        <w:rPr>
          <w:sz w:val="18"/>
        </w:rPr>
        <w:t>to</w:t>
      </w:r>
      <w:r>
        <w:rPr>
          <w:spacing w:val="-1"/>
          <w:sz w:val="18"/>
        </w:rPr>
        <w:t xml:space="preserve"> </w:t>
      </w:r>
      <w:r>
        <w:rPr>
          <w:sz w:val="18"/>
        </w:rPr>
        <w:t>be</w:t>
      </w:r>
      <w:r>
        <w:rPr>
          <w:spacing w:val="-1"/>
          <w:sz w:val="18"/>
        </w:rPr>
        <w:t xml:space="preserve"> </w:t>
      </w:r>
      <w:proofErr w:type="spellStart"/>
      <w:r>
        <w:rPr>
          <w:sz w:val="18"/>
        </w:rPr>
        <w:t>realised</w:t>
      </w:r>
      <w:proofErr w:type="spellEnd"/>
      <w:r>
        <w:rPr>
          <w:spacing w:val="-1"/>
          <w:sz w:val="18"/>
        </w:rPr>
        <w:t xml:space="preserve"> </w:t>
      </w:r>
      <w:r>
        <w:rPr>
          <w:sz w:val="18"/>
        </w:rPr>
        <w:t>within</w:t>
      </w:r>
      <w:r>
        <w:rPr>
          <w:spacing w:val="-1"/>
          <w:sz w:val="18"/>
        </w:rPr>
        <w:t xml:space="preserve"> </w:t>
      </w:r>
      <w:r>
        <w:rPr>
          <w:sz w:val="18"/>
        </w:rPr>
        <w:t>twelve</w:t>
      </w:r>
      <w:r>
        <w:rPr>
          <w:spacing w:val="-4"/>
          <w:sz w:val="18"/>
        </w:rPr>
        <w:t xml:space="preserve"> </w:t>
      </w:r>
      <w:r>
        <w:rPr>
          <w:sz w:val="18"/>
        </w:rPr>
        <w:t>(12)</w:t>
      </w:r>
      <w:r>
        <w:rPr>
          <w:spacing w:val="-4"/>
          <w:sz w:val="18"/>
        </w:rPr>
        <w:t xml:space="preserve"> </w:t>
      </w:r>
      <w:r>
        <w:rPr>
          <w:sz w:val="18"/>
        </w:rPr>
        <w:t>months after the reporting date.</w:t>
      </w:r>
      <w:r>
        <w:rPr>
          <w:spacing w:val="40"/>
          <w:sz w:val="18"/>
        </w:rPr>
        <w:t xml:space="preserve"> </w:t>
      </w:r>
      <w:r>
        <w:rPr>
          <w:sz w:val="18"/>
        </w:rPr>
        <w:t>Liabilities are classified as ‘current’ when they are due to be settled within twelve (12) months after the reporting date, or the Fund does not have an unconditional right to defer settlement to beyond twelve (12) months after the reporting date.</w:t>
      </w:r>
    </w:p>
    <w:p w14:paraId="64B9BCA7" w14:textId="77777777" w:rsidR="00AC6F3C" w:rsidRDefault="00AC6F3C">
      <w:pPr>
        <w:pStyle w:val="BodyText"/>
        <w:spacing w:before="10"/>
      </w:pPr>
    </w:p>
    <w:p w14:paraId="4487435C" w14:textId="77777777" w:rsidR="00AC6F3C" w:rsidRDefault="00570E88">
      <w:pPr>
        <w:spacing w:before="1"/>
        <w:ind w:left="979" w:right="468"/>
        <w:rPr>
          <w:sz w:val="18"/>
        </w:rPr>
      </w:pPr>
      <w:r>
        <w:rPr>
          <w:sz w:val="18"/>
        </w:rPr>
        <w:t>Investments</w:t>
      </w:r>
      <w:r>
        <w:rPr>
          <w:spacing w:val="-1"/>
          <w:sz w:val="18"/>
        </w:rPr>
        <w:t xml:space="preserve"> </w:t>
      </w:r>
      <w:r>
        <w:rPr>
          <w:sz w:val="18"/>
        </w:rPr>
        <w:t>are</w:t>
      </w:r>
      <w:r>
        <w:rPr>
          <w:spacing w:val="-4"/>
          <w:sz w:val="18"/>
        </w:rPr>
        <w:t xml:space="preserve"> </w:t>
      </w:r>
      <w:r>
        <w:rPr>
          <w:sz w:val="18"/>
        </w:rPr>
        <w:t>classified</w:t>
      </w:r>
      <w:r>
        <w:rPr>
          <w:spacing w:val="-4"/>
          <w:sz w:val="18"/>
        </w:rPr>
        <w:t xml:space="preserve"> </w:t>
      </w:r>
      <w:r>
        <w:rPr>
          <w:sz w:val="18"/>
        </w:rPr>
        <w:t>as</w:t>
      </w:r>
      <w:r>
        <w:rPr>
          <w:spacing w:val="-3"/>
          <w:sz w:val="18"/>
        </w:rPr>
        <w:t xml:space="preserve"> </w:t>
      </w:r>
      <w:r>
        <w:rPr>
          <w:sz w:val="18"/>
        </w:rPr>
        <w:t>‘non-current’</w:t>
      </w:r>
      <w:r>
        <w:rPr>
          <w:spacing w:val="-2"/>
          <w:sz w:val="18"/>
        </w:rPr>
        <w:t xml:space="preserve"> </w:t>
      </w:r>
      <w:r>
        <w:rPr>
          <w:sz w:val="18"/>
        </w:rPr>
        <w:t>as</w:t>
      </w:r>
      <w:r>
        <w:rPr>
          <w:spacing w:val="-1"/>
          <w:sz w:val="18"/>
        </w:rPr>
        <w:t xml:space="preserve"> </w:t>
      </w:r>
      <w:r>
        <w:rPr>
          <w:sz w:val="18"/>
        </w:rPr>
        <w:t>they</w:t>
      </w:r>
      <w:r>
        <w:rPr>
          <w:spacing w:val="-3"/>
          <w:sz w:val="18"/>
        </w:rPr>
        <w:t xml:space="preserve"> </w:t>
      </w:r>
      <w:r>
        <w:rPr>
          <w:sz w:val="18"/>
        </w:rPr>
        <w:t>are</w:t>
      </w:r>
      <w:r>
        <w:rPr>
          <w:spacing w:val="-4"/>
          <w:sz w:val="18"/>
        </w:rPr>
        <w:t xml:space="preserve"> </w:t>
      </w:r>
      <w:r>
        <w:rPr>
          <w:sz w:val="18"/>
        </w:rPr>
        <w:t>kept</w:t>
      </w:r>
      <w:r>
        <w:rPr>
          <w:spacing w:val="-4"/>
          <w:sz w:val="18"/>
        </w:rPr>
        <w:t xml:space="preserve"> </w:t>
      </w:r>
      <w:r>
        <w:rPr>
          <w:sz w:val="18"/>
        </w:rPr>
        <w:t>as</w:t>
      </w:r>
      <w:r>
        <w:rPr>
          <w:spacing w:val="-1"/>
          <w:sz w:val="18"/>
        </w:rPr>
        <w:t xml:space="preserve"> </w:t>
      </w:r>
      <w:r>
        <w:rPr>
          <w:sz w:val="18"/>
        </w:rPr>
        <w:t>long</w:t>
      </w:r>
      <w:r>
        <w:rPr>
          <w:spacing w:val="-1"/>
          <w:sz w:val="18"/>
        </w:rPr>
        <w:t xml:space="preserve"> </w:t>
      </w:r>
      <w:r>
        <w:rPr>
          <w:sz w:val="18"/>
        </w:rPr>
        <w:t>term</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full</w:t>
      </w:r>
      <w:r>
        <w:rPr>
          <w:spacing w:val="-4"/>
          <w:sz w:val="18"/>
        </w:rPr>
        <w:t xml:space="preserve"> </w:t>
      </w:r>
      <w:r>
        <w:rPr>
          <w:sz w:val="18"/>
        </w:rPr>
        <w:t>value</w:t>
      </w:r>
      <w:r>
        <w:rPr>
          <w:spacing w:val="-4"/>
          <w:sz w:val="18"/>
        </w:rPr>
        <w:t xml:space="preserve"> </w:t>
      </w:r>
      <w:r>
        <w:rPr>
          <w:sz w:val="18"/>
        </w:rPr>
        <w:t>will</w:t>
      </w:r>
      <w:r>
        <w:rPr>
          <w:spacing w:val="-1"/>
          <w:sz w:val="18"/>
        </w:rPr>
        <w:t xml:space="preserve"> </w:t>
      </w:r>
      <w:r>
        <w:rPr>
          <w:sz w:val="18"/>
        </w:rPr>
        <w:t>not</w:t>
      </w:r>
      <w:r>
        <w:rPr>
          <w:spacing w:val="-2"/>
          <w:sz w:val="18"/>
        </w:rPr>
        <w:t xml:space="preserve"> </w:t>
      </w:r>
      <w:r>
        <w:rPr>
          <w:sz w:val="18"/>
        </w:rPr>
        <w:t>be</w:t>
      </w:r>
      <w:r>
        <w:rPr>
          <w:spacing w:val="-4"/>
          <w:sz w:val="18"/>
        </w:rPr>
        <w:t xml:space="preserve"> </w:t>
      </w:r>
      <w:proofErr w:type="spellStart"/>
      <w:r>
        <w:rPr>
          <w:sz w:val="18"/>
        </w:rPr>
        <w:t>realised</w:t>
      </w:r>
      <w:proofErr w:type="spellEnd"/>
      <w:r>
        <w:rPr>
          <w:sz w:val="18"/>
        </w:rPr>
        <w:t xml:space="preserve"> within the accounting year.</w:t>
      </w:r>
    </w:p>
    <w:p w14:paraId="14300175" w14:textId="77777777" w:rsidR="00AC6F3C" w:rsidRDefault="00AC6F3C">
      <w:pPr>
        <w:pStyle w:val="BodyText"/>
        <w:spacing w:before="10"/>
      </w:pPr>
    </w:p>
    <w:p w14:paraId="10B4A19A" w14:textId="77777777" w:rsidR="00AC6F3C" w:rsidRDefault="00570E88">
      <w:pPr>
        <w:spacing w:before="1"/>
        <w:ind w:left="979"/>
        <w:rPr>
          <w:sz w:val="18"/>
        </w:rPr>
      </w:pPr>
      <w:r>
        <w:rPr>
          <w:sz w:val="18"/>
        </w:rPr>
        <w:t>All</w:t>
      </w:r>
      <w:r>
        <w:rPr>
          <w:spacing w:val="-2"/>
          <w:sz w:val="18"/>
        </w:rPr>
        <w:t xml:space="preserve"> </w:t>
      </w:r>
      <w:r>
        <w:rPr>
          <w:sz w:val="18"/>
        </w:rPr>
        <w:t>other</w:t>
      </w:r>
      <w:r>
        <w:rPr>
          <w:spacing w:val="-2"/>
          <w:sz w:val="18"/>
        </w:rPr>
        <w:t xml:space="preserve"> </w:t>
      </w:r>
      <w:r>
        <w:rPr>
          <w:sz w:val="18"/>
        </w:rPr>
        <w:t>assets</w:t>
      </w:r>
      <w:r>
        <w:rPr>
          <w:spacing w:val="-4"/>
          <w:sz w:val="18"/>
        </w:rPr>
        <w:t xml:space="preserve"> </w:t>
      </w:r>
      <w:r>
        <w:rPr>
          <w:sz w:val="18"/>
        </w:rPr>
        <w:t>and</w:t>
      </w:r>
      <w:r>
        <w:rPr>
          <w:spacing w:val="-4"/>
          <w:sz w:val="18"/>
        </w:rPr>
        <w:t xml:space="preserve"> </w:t>
      </w:r>
      <w:r>
        <w:rPr>
          <w:sz w:val="18"/>
        </w:rPr>
        <w:t>liabilities</w:t>
      </w:r>
      <w:r>
        <w:rPr>
          <w:spacing w:val="-3"/>
          <w:sz w:val="18"/>
        </w:rPr>
        <w:t xml:space="preserve"> </w:t>
      </w:r>
      <w:r>
        <w:rPr>
          <w:sz w:val="18"/>
        </w:rPr>
        <w:t>are</w:t>
      </w:r>
      <w:r>
        <w:rPr>
          <w:spacing w:val="-2"/>
          <w:sz w:val="18"/>
        </w:rPr>
        <w:t xml:space="preserve"> </w:t>
      </w:r>
      <w:r>
        <w:rPr>
          <w:sz w:val="18"/>
        </w:rPr>
        <w:t>classified</w:t>
      </w:r>
      <w:r>
        <w:rPr>
          <w:spacing w:val="-4"/>
          <w:sz w:val="18"/>
        </w:rPr>
        <w:t xml:space="preserve"> </w:t>
      </w:r>
      <w:r>
        <w:rPr>
          <w:sz w:val="18"/>
        </w:rPr>
        <w:t>as</w:t>
      </w:r>
      <w:r>
        <w:rPr>
          <w:spacing w:val="-3"/>
          <w:sz w:val="18"/>
        </w:rPr>
        <w:t xml:space="preserve"> </w:t>
      </w:r>
      <w:r>
        <w:rPr>
          <w:sz w:val="18"/>
        </w:rPr>
        <w:t>‘non-</w:t>
      </w:r>
      <w:r>
        <w:rPr>
          <w:spacing w:val="-2"/>
          <w:sz w:val="18"/>
        </w:rPr>
        <w:t>current’.</w:t>
      </w:r>
    </w:p>
    <w:p w14:paraId="7CA837FB" w14:textId="77777777" w:rsidR="00AC6F3C" w:rsidRDefault="00AC6F3C">
      <w:pPr>
        <w:rPr>
          <w:sz w:val="18"/>
        </w:rPr>
        <w:sectPr w:rsidR="00AC6F3C">
          <w:headerReference w:type="default" r:id="rId223"/>
          <w:footerReference w:type="default" r:id="rId224"/>
          <w:pgSz w:w="11910" w:h="16840"/>
          <w:pgMar w:top="2080" w:right="1160" w:bottom="520" w:left="460" w:header="1297" w:footer="336" w:gutter="0"/>
          <w:cols w:space="720"/>
        </w:sectPr>
      </w:pPr>
    </w:p>
    <w:p w14:paraId="5C788A5F" w14:textId="77777777" w:rsidR="00AC6F3C" w:rsidRDefault="00AC6F3C">
      <w:pPr>
        <w:pStyle w:val="BodyText"/>
        <w:spacing w:before="10"/>
        <w:rPr>
          <w:sz w:val="13"/>
        </w:rPr>
      </w:pPr>
    </w:p>
    <w:p w14:paraId="176157D3" w14:textId="77777777" w:rsidR="00AC6F3C" w:rsidRDefault="00570E88">
      <w:pPr>
        <w:pStyle w:val="Heading6"/>
        <w:tabs>
          <w:tab w:val="left" w:pos="1831"/>
        </w:tabs>
        <w:spacing w:before="93"/>
        <w:ind w:left="979"/>
      </w:pPr>
      <w:r>
        <w:rPr>
          <w:spacing w:val="-2"/>
        </w:rPr>
        <w:t>A1-</w:t>
      </w:r>
      <w:r>
        <w:rPr>
          <w:spacing w:val="-10"/>
        </w:rPr>
        <w:t>4</w:t>
      </w:r>
      <w:r>
        <w:tab/>
        <w:t>BASIS OF</w:t>
      </w:r>
      <w:r>
        <w:rPr>
          <w:spacing w:val="-1"/>
        </w:rPr>
        <w:t xml:space="preserve"> </w:t>
      </w:r>
      <w:r>
        <w:rPr>
          <w:spacing w:val="-2"/>
        </w:rPr>
        <w:t>MEASUREMENT</w:t>
      </w:r>
    </w:p>
    <w:p w14:paraId="0C72F00E" w14:textId="77777777" w:rsidR="00AC6F3C" w:rsidRDefault="00AC6F3C">
      <w:pPr>
        <w:pStyle w:val="BodyText"/>
        <w:spacing w:before="8"/>
        <w:rPr>
          <w:b/>
        </w:rPr>
      </w:pPr>
    </w:p>
    <w:p w14:paraId="306FF79E" w14:textId="77777777" w:rsidR="00AC6F3C" w:rsidRDefault="00570E88">
      <w:pPr>
        <w:ind w:left="979" w:right="234"/>
        <w:rPr>
          <w:sz w:val="18"/>
        </w:rPr>
      </w:pPr>
      <w:r>
        <w:rPr>
          <w:sz w:val="18"/>
        </w:rPr>
        <w:t>Historical</w:t>
      </w:r>
      <w:r>
        <w:rPr>
          <w:spacing w:val="-11"/>
          <w:sz w:val="18"/>
        </w:rPr>
        <w:t xml:space="preserve"> </w:t>
      </w:r>
      <w:r>
        <w:rPr>
          <w:sz w:val="18"/>
        </w:rPr>
        <w:t>cost</w:t>
      </w:r>
      <w:r>
        <w:rPr>
          <w:spacing w:val="-11"/>
          <w:sz w:val="18"/>
        </w:rPr>
        <w:t xml:space="preserve"> </w:t>
      </w:r>
      <w:r>
        <w:rPr>
          <w:sz w:val="18"/>
        </w:rPr>
        <w:t>is</w:t>
      </w:r>
      <w:r>
        <w:rPr>
          <w:spacing w:val="-10"/>
          <w:sz w:val="18"/>
        </w:rPr>
        <w:t xml:space="preserve"> </w:t>
      </w:r>
      <w:r>
        <w:rPr>
          <w:sz w:val="18"/>
        </w:rPr>
        <w:t>used</w:t>
      </w:r>
      <w:r>
        <w:rPr>
          <w:spacing w:val="-11"/>
          <w:sz w:val="18"/>
        </w:rPr>
        <w:t xml:space="preserve"> </w:t>
      </w:r>
      <w:r>
        <w:rPr>
          <w:sz w:val="18"/>
        </w:rPr>
        <w:t>as</w:t>
      </w:r>
      <w:r>
        <w:rPr>
          <w:spacing w:val="-10"/>
          <w:sz w:val="18"/>
        </w:rPr>
        <w:t xml:space="preserve"> </w:t>
      </w:r>
      <w:r>
        <w:rPr>
          <w:sz w:val="18"/>
        </w:rPr>
        <w:t>the</w:t>
      </w:r>
      <w:r>
        <w:rPr>
          <w:spacing w:val="-11"/>
          <w:sz w:val="18"/>
        </w:rPr>
        <w:t xml:space="preserve"> </w:t>
      </w:r>
      <w:r>
        <w:rPr>
          <w:sz w:val="18"/>
        </w:rPr>
        <w:t>measurement</w:t>
      </w:r>
      <w:r>
        <w:rPr>
          <w:spacing w:val="-11"/>
          <w:sz w:val="18"/>
        </w:rPr>
        <w:t xml:space="preserve"> </w:t>
      </w:r>
      <w:r>
        <w:rPr>
          <w:sz w:val="18"/>
        </w:rPr>
        <w:t>basis</w:t>
      </w:r>
      <w:r>
        <w:rPr>
          <w:spacing w:val="-10"/>
          <w:sz w:val="18"/>
        </w:rPr>
        <w:t xml:space="preserve"> </w:t>
      </w:r>
      <w:r>
        <w:rPr>
          <w:sz w:val="18"/>
        </w:rPr>
        <w:t>in</w:t>
      </w:r>
      <w:r>
        <w:rPr>
          <w:spacing w:val="-11"/>
          <w:sz w:val="18"/>
        </w:rPr>
        <w:t xml:space="preserve"> </w:t>
      </w:r>
      <w:r>
        <w:rPr>
          <w:sz w:val="18"/>
        </w:rPr>
        <w:t>this</w:t>
      </w:r>
      <w:r>
        <w:rPr>
          <w:spacing w:val="-10"/>
          <w:sz w:val="18"/>
        </w:rPr>
        <w:t xml:space="preserve"> </w:t>
      </w:r>
      <w:r>
        <w:rPr>
          <w:sz w:val="18"/>
        </w:rPr>
        <w:t>financial</w:t>
      </w:r>
      <w:r>
        <w:rPr>
          <w:spacing w:val="-11"/>
          <w:sz w:val="18"/>
        </w:rPr>
        <w:t xml:space="preserve"> </w:t>
      </w:r>
      <w:r>
        <w:rPr>
          <w:sz w:val="18"/>
        </w:rPr>
        <w:t>report</w:t>
      </w:r>
      <w:r>
        <w:rPr>
          <w:spacing w:val="-11"/>
          <w:sz w:val="18"/>
        </w:rPr>
        <w:t xml:space="preserve"> </w:t>
      </w:r>
      <w:r>
        <w:rPr>
          <w:sz w:val="18"/>
        </w:rPr>
        <w:t>except</w:t>
      </w:r>
      <w:r>
        <w:rPr>
          <w:spacing w:val="-11"/>
          <w:sz w:val="18"/>
        </w:rPr>
        <w:t xml:space="preserve"> </w:t>
      </w:r>
      <w:r>
        <w:rPr>
          <w:sz w:val="18"/>
        </w:rPr>
        <w:t>for</w:t>
      </w:r>
      <w:r>
        <w:rPr>
          <w:spacing w:val="-12"/>
          <w:sz w:val="18"/>
        </w:rPr>
        <w:t xml:space="preserve"> </w:t>
      </w:r>
      <w:r>
        <w:rPr>
          <w:sz w:val="18"/>
        </w:rPr>
        <w:t>investments</w:t>
      </w:r>
      <w:r>
        <w:rPr>
          <w:spacing w:val="-10"/>
          <w:sz w:val="18"/>
        </w:rPr>
        <w:t xml:space="preserve"> </w:t>
      </w:r>
      <w:r>
        <w:rPr>
          <w:sz w:val="18"/>
        </w:rPr>
        <w:t>which</w:t>
      </w:r>
      <w:r>
        <w:rPr>
          <w:spacing w:val="-11"/>
          <w:sz w:val="18"/>
        </w:rPr>
        <w:t xml:space="preserve"> </w:t>
      </w:r>
      <w:r>
        <w:rPr>
          <w:sz w:val="18"/>
        </w:rPr>
        <w:t>are</w:t>
      </w:r>
      <w:r>
        <w:rPr>
          <w:spacing w:val="-11"/>
          <w:sz w:val="18"/>
        </w:rPr>
        <w:t xml:space="preserve"> </w:t>
      </w:r>
      <w:r>
        <w:rPr>
          <w:sz w:val="18"/>
        </w:rPr>
        <w:t>measured at fair value.</w:t>
      </w:r>
    </w:p>
    <w:p w14:paraId="527B3A85" w14:textId="77777777" w:rsidR="00AC6F3C" w:rsidRDefault="00AC6F3C">
      <w:pPr>
        <w:pStyle w:val="BodyText"/>
        <w:spacing w:before="9"/>
      </w:pPr>
    </w:p>
    <w:p w14:paraId="5C80DD27" w14:textId="77777777" w:rsidR="00AC6F3C" w:rsidRDefault="00570E88">
      <w:pPr>
        <w:ind w:left="979"/>
        <w:rPr>
          <w:b/>
          <w:sz w:val="20"/>
        </w:rPr>
      </w:pPr>
      <w:r>
        <w:rPr>
          <w:b/>
          <w:sz w:val="20"/>
        </w:rPr>
        <w:t>Historical</w:t>
      </w:r>
      <w:r>
        <w:rPr>
          <w:b/>
          <w:spacing w:val="-14"/>
          <w:sz w:val="20"/>
        </w:rPr>
        <w:t xml:space="preserve"> </w:t>
      </w:r>
      <w:r>
        <w:rPr>
          <w:b/>
          <w:spacing w:val="-4"/>
          <w:sz w:val="20"/>
        </w:rPr>
        <w:t>cost</w:t>
      </w:r>
    </w:p>
    <w:p w14:paraId="56B0FD07" w14:textId="77777777" w:rsidR="00AC6F3C" w:rsidRDefault="00AC6F3C">
      <w:pPr>
        <w:pStyle w:val="BodyText"/>
        <w:spacing w:before="10"/>
        <w:rPr>
          <w:b/>
        </w:rPr>
      </w:pPr>
    </w:p>
    <w:p w14:paraId="5EE7E9E8" w14:textId="77777777" w:rsidR="00AC6F3C" w:rsidRDefault="00570E88">
      <w:pPr>
        <w:ind w:left="979" w:right="234"/>
        <w:rPr>
          <w:sz w:val="18"/>
        </w:rPr>
      </w:pPr>
      <w:r>
        <w:rPr>
          <w:sz w:val="18"/>
        </w:rPr>
        <w:t>Under</w:t>
      </w:r>
      <w:r>
        <w:rPr>
          <w:spacing w:val="-2"/>
          <w:sz w:val="18"/>
        </w:rPr>
        <w:t xml:space="preserve"> </w:t>
      </w:r>
      <w:r>
        <w:rPr>
          <w:sz w:val="18"/>
        </w:rPr>
        <w:t>historical</w:t>
      </w:r>
      <w:r>
        <w:rPr>
          <w:spacing w:val="-3"/>
          <w:sz w:val="18"/>
        </w:rPr>
        <w:t xml:space="preserve"> </w:t>
      </w:r>
      <w:r>
        <w:rPr>
          <w:sz w:val="18"/>
        </w:rPr>
        <w:t>cost,</w:t>
      </w:r>
      <w:r>
        <w:rPr>
          <w:spacing w:val="-2"/>
          <w:sz w:val="18"/>
        </w:rPr>
        <w:t xml:space="preserve"> </w:t>
      </w:r>
      <w:r>
        <w:rPr>
          <w:sz w:val="18"/>
        </w:rPr>
        <w:t>assets</w:t>
      </w:r>
      <w:r>
        <w:rPr>
          <w:spacing w:val="-2"/>
          <w:sz w:val="18"/>
        </w:rPr>
        <w:t xml:space="preserve"> </w:t>
      </w:r>
      <w:r>
        <w:rPr>
          <w:sz w:val="18"/>
        </w:rPr>
        <w:t>are</w:t>
      </w:r>
      <w:r>
        <w:rPr>
          <w:spacing w:val="-1"/>
          <w:sz w:val="18"/>
        </w:rPr>
        <w:t xml:space="preserve"> </w:t>
      </w:r>
      <w:r>
        <w:rPr>
          <w:sz w:val="18"/>
        </w:rPr>
        <w:t>recorded</w:t>
      </w:r>
      <w:r>
        <w:rPr>
          <w:spacing w:val="-3"/>
          <w:sz w:val="18"/>
        </w:rPr>
        <w:t xml:space="preserve"> </w:t>
      </w:r>
      <w:r>
        <w:rPr>
          <w:sz w:val="18"/>
        </w:rPr>
        <w:t>at</w:t>
      </w:r>
      <w:r>
        <w:rPr>
          <w:spacing w:val="-2"/>
          <w:sz w:val="18"/>
        </w:rPr>
        <w:t xml:space="preserve"> </w:t>
      </w:r>
      <w:r>
        <w:rPr>
          <w:sz w:val="18"/>
        </w:rPr>
        <w:t>the</w:t>
      </w:r>
      <w:r>
        <w:rPr>
          <w:spacing w:val="-1"/>
          <w:sz w:val="18"/>
        </w:rPr>
        <w:t xml:space="preserve"> </w:t>
      </w:r>
      <w:r>
        <w:rPr>
          <w:sz w:val="18"/>
        </w:rPr>
        <w:t>amount</w:t>
      </w:r>
      <w:r>
        <w:rPr>
          <w:spacing w:val="-2"/>
          <w:sz w:val="18"/>
        </w:rPr>
        <w:t xml:space="preserve"> </w:t>
      </w:r>
      <w:r>
        <w:rPr>
          <w:sz w:val="18"/>
        </w:rPr>
        <w:t>of</w:t>
      </w:r>
      <w:r>
        <w:rPr>
          <w:spacing w:val="-2"/>
          <w:sz w:val="18"/>
        </w:rPr>
        <w:t xml:space="preserve"> </w:t>
      </w:r>
      <w:r>
        <w:rPr>
          <w:sz w:val="18"/>
        </w:rPr>
        <w:t>cash</w:t>
      </w:r>
      <w:r>
        <w:rPr>
          <w:spacing w:val="-3"/>
          <w:sz w:val="18"/>
        </w:rPr>
        <w:t xml:space="preserve"> </w:t>
      </w:r>
      <w:r>
        <w:rPr>
          <w:sz w:val="18"/>
        </w:rPr>
        <w:t>or</w:t>
      </w:r>
      <w:r>
        <w:rPr>
          <w:spacing w:val="-2"/>
          <w:sz w:val="18"/>
        </w:rPr>
        <w:t xml:space="preserve"> </w:t>
      </w:r>
      <w:r>
        <w:rPr>
          <w:sz w:val="18"/>
        </w:rPr>
        <w:t>cash</w:t>
      </w:r>
      <w:r>
        <w:rPr>
          <w:spacing w:val="-3"/>
          <w:sz w:val="18"/>
        </w:rPr>
        <w:t xml:space="preserve"> </w:t>
      </w:r>
      <w:r>
        <w:rPr>
          <w:sz w:val="18"/>
        </w:rPr>
        <w:t>equivalents</w:t>
      </w:r>
      <w:r>
        <w:rPr>
          <w:spacing w:val="-1"/>
          <w:sz w:val="18"/>
        </w:rPr>
        <w:t xml:space="preserve"> </w:t>
      </w:r>
      <w:r>
        <w:rPr>
          <w:sz w:val="18"/>
        </w:rPr>
        <w:t>paid</w:t>
      </w:r>
      <w:r>
        <w:rPr>
          <w:spacing w:val="-3"/>
          <w:sz w:val="18"/>
        </w:rPr>
        <w:t xml:space="preserve"> </w:t>
      </w:r>
      <w:r>
        <w:rPr>
          <w:sz w:val="18"/>
        </w:rPr>
        <w:t>or</w:t>
      </w:r>
      <w:r>
        <w:rPr>
          <w:spacing w:val="-2"/>
          <w:sz w:val="18"/>
        </w:rPr>
        <w:t xml:space="preserve"> </w:t>
      </w:r>
      <w:r>
        <w:rPr>
          <w:sz w:val="18"/>
        </w:rPr>
        <w:t>the</w:t>
      </w:r>
      <w:r>
        <w:rPr>
          <w:spacing w:val="-1"/>
          <w:sz w:val="18"/>
        </w:rPr>
        <w:t xml:space="preserve"> </w:t>
      </w:r>
      <w:r>
        <w:rPr>
          <w:sz w:val="18"/>
        </w:rPr>
        <w:t>fair</w:t>
      </w:r>
      <w:r>
        <w:rPr>
          <w:spacing w:val="-3"/>
          <w:sz w:val="18"/>
        </w:rPr>
        <w:t xml:space="preserve"> </w:t>
      </w:r>
      <w:r>
        <w:rPr>
          <w:sz w:val="18"/>
        </w:rPr>
        <w:t>value</w:t>
      </w:r>
      <w:r>
        <w:rPr>
          <w:spacing w:val="-1"/>
          <w:sz w:val="18"/>
        </w:rPr>
        <w:t xml:space="preserve"> </w:t>
      </w:r>
      <w:r>
        <w:rPr>
          <w:sz w:val="18"/>
        </w:rPr>
        <w:t>of</w:t>
      </w:r>
      <w:r>
        <w:rPr>
          <w:spacing w:val="-3"/>
          <w:sz w:val="18"/>
        </w:rPr>
        <w:t xml:space="preserve"> </w:t>
      </w:r>
      <w:r>
        <w:rPr>
          <w:sz w:val="18"/>
        </w:rPr>
        <w:t>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0205467F" w14:textId="77777777" w:rsidR="00AC6F3C" w:rsidRDefault="00AC6F3C">
      <w:pPr>
        <w:pStyle w:val="BodyText"/>
        <w:spacing w:before="10"/>
      </w:pPr>
    </w:p>
    <w:p w14:paraId="1F6E281E" w14:textId="77777777" w:rsidR="00AC6F3C" w:rsidRDefault="00570E88">
      <w:pPr>
        <w:spacing w:before="1"/>
        <w:ind w:left="979"/>
        <w:rPr>
          <w:b/>
          <w:sz w:val="20"/>
        </w:rPr>
      </w:pPr>
      <w:r>
        <w:rPr>
          <w:b/>
          <w:sz w:val="20"/>
        </w:rPr>
        <w:t>Fair</w:t>
      </w:r>
      <w:r>
        <w:rPr>
          <w:b/>
          <w:spacing w:val="-8"/>
          <w:sz w:val="20"/>
        </w:rPr>
        <w:t xml:space="preserve"> </w:t>
      </w:r>
      <w:r>
        <w:rPr>
          <w:b/>
          <w:sz w:val="20"/>
        </w:rPr>
        <w:t>value</w:t>
      </w:r>
      <w:r>
        <w:rPr>
          <w:b/>
          <w:spacing w:val="-6"/>
          <w:sz w:val="20"/>
        </w:rPr>
        <w:t xml:space="preserve"> </w:t>
      </w:r>
      <w:r>
        <w:rPr>
          <w:b/>
          <w:spacing w:val="-2"/>
          <w:sz w:val="20"/>
        </w:rPr>
        <w:t>measurement</w:t>
      </w:r>
    </w:p>
    <w:p w14:paraId="6005C04B" w14:textId="77777777" w:rsidR="00AC6F3C" w:rsidRDefault="00AC6F3C">
      <w:pPr>
        <w:pStyle w:val="BodyText"/>
        <w:spacing w:before="9"/>
        <w:rPr>
          <w:b/>
        </w:rPr>
      </w:pPr>
    </w:p>
    <w:p w14:paraId="57AEF355" w14:textId="77777777" w:rsidR="00AC6F3C" w:rsidRDefault="00570E88">
      <w:pPr>
        <w:spacing w:before="1"/>
        <w:ind w:left="979" w:right="234"/>
        <w:rPr>
          <w:sz w:val="18"/>
        </w:rPr>
      </w:pPr>
      <w:r>
        <w:rPr>
          <w:sz w:val="18"/>
        </w:rPr>
        <w:t>Fair</w:t>
      </w:r>
      <w:r>
        <w:rPr>
          <w:spacing w:val="-2"/>
          <w:sz w:val="18"/>
        </w:rPr>
        <w:t xml:space="preserve"> </w:t>
      </w:r>
      <w:r>
        <w:rPr>
          <w:sz w:val="18"/>
        </w:rPr>
        <w:t>value</w:t>
      </w:r>
      <w:r>
        <w:rPr>
          <w:spacing w:val="-1"/>
          <w:sz w:val="18"/>
        </w:rPr>
        <w:t xml:space="preserve"> </w:t>
      </w:r>
      <w:r>
        <w:rPr>
          <w:sz w:val="18"/>
        </w:rPr>
        <w:t>is</w:t>
      </w:r>
      <w:r>
        <w:rPr>
          <w:spacing w:val="-1"/>
          <w:sz w:val="18"/>
        </w:rPr>
        <w:t xml:space="preserve"> </w:t>
      </w:r>
      <w:r>
        <w:rPr>
          <w:sz w:val="18"/>
        </w:rPr>
        <w:t>the</w:t>
      </w:r>
      <w:r>
        <w:rPr>
          <w:spacing w:val="-1"/>
          <w:sz w:val="18"/>
        </w:rPr>
        <w:t xml:space="preserve"> </w:t>
      </w:r>
      <w:r>
        <w:rPr>
          <w:sz w:val="18"/>
        </w:rPr>
        <w:t>price</w:t>
      </w:r>
      <w:r>
        <w:rPr>
          <w:spacing w:val="-1"/>
          <w:sz w:val="18"/>
        </w:rPr>
        <w:t xml:space="preserve"> </w:t>
      </w:r>
      <w:r>
        <w:rPr>
          <w:sz w:val="18"/>
        </w:rPr>
        <w:t>that</w:t>
      </w:r>
      <w:r>
        <w:rPr>
          <w:spacing w:val="-2"/>
          <w:sz w:val="18"/>
        </w:rPr>
        <w:t xml:space="preserve"> </w:t>
      </w:r>
      <w:r>
        <w:rPr>
          <w:sz w:val="18"/>
        </w:rPr>
        <w:t>would</w:t>
      </w:r>
      <w:r>
        <w:rPr>
          <w:spacing w:val="-1"/>
          <w:sz w:val="18"/>
        </w:rPr>
        <w:t xml:space="preserve"> </w:t>
      </w:r>
      <w:r>
        <w:rPr>
          <w:sz w:val="18"/>
        </w:rPr>
        <w:t>be</w:t>
      </w:r>
      <w:r>
        <w:rPr>
          <w:spacing w:val="-4"/>
          <w:sz w:val="18"/>
        </w:rPr>
        <w:t xml:space="preserve"> </w:t>
      </w:r>
      <w:r>
        <w:rPr>
          <w:sz w:val="18"/>
        </w:rPr>
        <w:t>received</w:t>
      </w:r>
      <w:r>
        <w:rPr>
          <w:spacing w:val="-1"/>
          <w:sz w:val="18"/>
        </w:rPr>
        <w:t xml:space="preserve"> </w:t>
      </w:r>
      <w:r>
        <w:rPr>
          <w:sz w:val="18"/>
        </w:rPr>
        <w:t>to</w:t>
      </w:r>
      <w:r>
        <w:rPr>
          <w:spacing w:val="-1"/>
          <w:sz w:val="18"/>
        </w:rPr>
        <w:t xml:space="preserve"> </w:t>
      </w:r>
      <w:r>
        <w:rPr>
          <w:sz w:val="18"/>
        </w:rPr>
        <w:t>sell</w:t>
      </w:r>
      <w:r>
        <w:rPr>
          <w:spacing w:val="-4"/>
          <w:sz w:val="18"/>
        </w:rPr>
        <w:t xml:space="preserve"> </w:t>
      </w:r>
      <w:r>
        <w:rPr>
          <w:sz w:val="18"/>
        </w:rPr>
        <w:t>an</w:t>
      </w:r>
      <w:r>
        <w:rPr>
          <w:spacing w:val="-1"/>
          <w:sz w:val="18"/>
        </w:rPr>
        <w:t xml:space="preserve"> </w:t>
      </w:r>
      <w:r>
        <w:rPr>
          <w:sz w:val="18"/>
        </w:rPr>
        <w:t>asset</w:t>
      </w:r>
      <w:r>
        <w:rPr>
          <w:spacing w:val="-4"/>
          <w:sz w:val="18"/>
        </w:rPr>
        <w:t xml:space="preserve"> </w:t>
      </w:r>
      <w:r>
        <w:rPr>
          <w:sz w:val="18"/>
        </w:rPr>
        <w:t>or</w:t>
      </w:r>
      <w:r>
        <w:rPr>
          <w:spacing w:val="-2"/>
          <w:sz w:val="18"/>
        </w:rPr>
        <w:t xml:space="preserve"> </w:t>
      </w:r>
      <w:r>
        <w:rPr>
          <w:sz w:val="18"/>
        </w:rPr>
        <w:t>paid</w:t>
      </w:r>
      <w:r>
        <w:rPr>
          <w:spacing w:val="-1"/>
          <w:sz w:val="18"/>
        </w:rPr>
        <w:t xml:space="preserve"> </w:t>
      </w:r>
      <w:r>
        <w:rPr>
          <w:sz w:val="18"/>
        </w:rPr>
        <w:t>to</w:t>
      </w:r>
      <w:r>
        <w:rPr>
          <w:spacing w:val="-4"/>
          <w:sz w:val="18"/>
        </w:rPr>
        <w:t xml:space="preserve"> </w:t>
      </w:r>
      <w:r>
        <w:rPr>
          <w:sz w:val="18"/>
        </w:rPr>
        <w:t>transfer</w:t>
      </w:r>
      <w:r>
        <w:rPr>
          <w:spacing w:val="-4"/>
          <w:sz w:val="18"/>
        </w:rPr>
        <w:t xml:space="preserve"> </w:t>
      </w:r>
      <w:r>
        <w:rPr>
          <w:sz w:val="18"/>
        </w:rPr>
        <w:t>a</w:t>
      </w:r>
      <w:r>
        <w:rPr>
          <w:spacing w:val="-1"/>
          <w:sz w:val="18"/>
        </w:rPr>
        <w:t xml:space="preserve"> </w:t>
      </w:r>
      <w:r>
        <w:rPr>
          <w:sz w:val="18"/>
        </w:rPr>
        <w:t>liability</w:t>
      </w:r>
      <w:r>
        <w:rPr>
          <w:spacing w:val="-1"/>
          <w:sz w:val="18"/>
        </w:rPr>
        <w:t xml:space="preserve"> </w:t>
      </w:r>
      <w:r>
        <w:rPr>
          <w:sz w:val="18"/>
        </w:rPr>
        <w:t>in</w:t>
      </w:r>
      <w:r>
        <w:rPr>
          <w:spacing w:val="-6"/>
          <w:sz w:val="18"/>
        </w:rPr>
        <w:t xml:space="preserve"> </w:t>
      </w:r>
      <w:r>
        <w:rPr>
          <w:sz w:val="18"/>
        </w:rPr>
        <w:t>an</w:t>
      </w:r>
      <w:r>
        <w:rPr>
          <w:spacing w:val="-1"/>
          <w:sz w:val="18"/>
        </w:rPr>
        <w:t xml:space="preserve"> </w:t>
      </w:r>
      <w:r>
        <w:rPr>
          <w:sz w:val="18"/>
        </w:rPr>
        <w:t>orderly</w:t>
      </w:r>
      <w:r>
        <w:rPr>
          <w:spacing w:val="-3"/>
          <w:sz w:val="18"/>
        </w:rPr>
        <w:t xml:space="preserve"> </w:t>
      </w:r>
      <w:r>
        <w:rPr>
          <w:sz w:val="18"/>
        </w:rPr>
        <w:t xml:space="preserve">transaction between market participants at the measurement date under current market conditions (i.e. an exit price) regardless of whether that price is directly derived from observable inputs or estimated using another valuation </w:t>
      </w:r>
      <w:r>
        <w:rPr>
          <w:spacing w:val="-2"/>
          <w:sz w:val="18"/>
        </w:rPr>
        <w:t>technique.</w:t>
      </w:r>
    </w:p>
    <w:p w14:paraId="6DB9E7E8" w14:textId="77777777" w:rsidR="00AC6F3C" w:rsidRDefault="00AC6F3C">
      <w:pPr>
        <w:pStyle w:val="BodyText"/>
        <w:spacing w:before="9"/>
      </w:pPr>
    </w:p>
    <w:p w14:paraId="10029BEE" w14:textId="77777777" w:rsidR="00AC6F3C" w:rsidRDefault="00570E88">
      <w:pPr>
        <w:spacing w:before="1"/>
        <w:ind w:left="979"/>
        <w:rPr>
          <w:sz w:val="18"/>
        </w:rPr>
      </w:pPr>
      <w:r>
        <w:rPr>
          <w:sz w:val="18"/>
        </w:rPr>
        <w:t>Fair</w:t>
      </w:r>
      <w:r>
        <w:rPr>
          <w:spacing w:val="-3"/>
          <w:sz w:val="18"/>
        </w:rPr>
        <w:t xml:space="preserve"> </w:t>
      </w:r>
      <w:r>
        <w:rPr>
          <w:sz w:val="18"/>
        </w:rPr>
        <w:t>value</w:t>
      </w:r>
      <w:r>
        <w:rPr>
          <w:spacing w:val="-1"/>
          <w:sz w:val="18"/>
        </w:rPr>
        <w:t xml:space="preserve"> </w:t>
      </w:r>
      <w:r>
        <w:rPr>
          <w:sz w:val="18"/>
        </w:rPr>
        <w:t>is</w:t>
      </w:r>
      <w:r>
        <w:rPr>
          <w:spacing w:val="-1"/>
          <w:sz w:val="18"/>
        </w:rPr>
        <w:t xml:space="preserve"> </w:t>
      </w:r>
      <w:r>
        <w:rPr>
          <w:sz w:val="18"/>
        </w:rPr>
        <w:t>determined</w:t>
      </w:r>
      <w:r>
        <w:rPr>
          <w:spacing w:val="-1"/>
          <w:sz w:val="18"/>
        </w:rPr>
        <w:t xml:space="preserve"> </w:t>
      </w:r>
      <w:r>
        <w:rPr>
          <w:sz w:val="18"/>
        </w:rPr>
        <w:t>using</w:t>
      </w:r>
      <w:r>
        <w:rPr>
          <w:spacing w:val="-6"/>
          <w:sz w:val="18"/>
        </w:rPr>
        <w:t xml:space="preserve"> </w:t>
      </w:r>
      <w:r>
        <w:rPr>
          <w:sz w:val="18"/>
        </w:rPr>
        <w:t>one</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following</w:t>
      </w:r>
      <w:r>
        <w:rPr>
          <w:spacing w:val="-1"/>
          <w:sz w:val="18"/>
        </w:rPr>
        <w:t xml:space="preserve"> </w:t>
      </w:r>
      <w:r>
        <w:rPr>
          <w:sz w:val="18"/>
        </w:rPr>
        <w:t>three</w:t>
      </w:r>
      <w:r>
        <w:rPr>
          <w:spacing w:val="-1"/>
          <w:sz w:val="18"/>
        </w:rPr>
        <w:t xml:space="preserve"> </w:t>
      </w:r>
      <w:r>
        <w:rPr>
          <w:spacing w:val="-2"/>
          <w:sz w:val="18"/>
        </w:rPr>
        <w:t>approaches:</w:t>
      </w:r>
    </w:p>
    <w:p w14:paraId="4F24BB9F" w14:textId="77777777" w:rsidR="00AC6F3C" w:rsidRDefault="00AC6F3C">
      <w:pPr>
        <w:pStyle w:val="BodyText"/>
        <w:spacing w:before="9"/>
      </w:pPr>
    </w:p>
    <w:p w14:paraId="4F3EAB83" w14:textId="77777777" w:rsidR="00AC6F3C" w:rsidRDefault="00570E88">
      <w:pPr>
        <w:pStyle w:val="ListParagraph"/>
        <w:numPr>
          <w:ilvl w:val="0"/>
          <w:numId w:val="18"/>
        </w:numPr>
        <w:tabs>
          <w:tab w:val="left" w:pos="1339"/>
        </w:tabs>
        <w:spacing w:before="0"/>
        <w:ind w:right="347"/>
        <w:rPr>
          <w:sz w:val="18"/>
        </w:rPr>
      </w:pPr>
      <w:r>
        <w:rPr>
          <w:sz w:val="18"/>
        </w:rPr>
        <w:t xml:space="preserve">The </w:t>
      </w:r>
      <w:r>
        <w:rPr>
          <w:i/>
          <w:sz w:val="18"/>
        </w:rPr>
        <w:t>market</w:t>
      </w:r>
      <w:r>
        <w:rPr>
          <w:i/>
          <w:spacing w:val="-1"/>
          <w:sz w:val="18"/>
        </w:rPr>
        <w:t xml:space="preserve"> </w:t>
      </w:r>
      <w:r>
        <w:rPr>
          <w:i/>
          <w:sz w:val="18"/>
        </w:rPr>
        <w:t>approach</w:t>
      </w:r>
      <w:r>
        <w:rPr>
          <w:i/>
          <w:spacing w:val="-3"/>
          <w:sz w:val="18"/>
        </w:rPr>
        <w:t xml:space="preserve"> </w:t>
      </w:r>
      <w:r>
        <w:rPr>
          <w:sz w:val="18"/>
        </w:rPr>
        <w:t>uses prices</w:t>
      </w:r>
      <w:r>
        <w:rPr>
          <w:spacing w:val="-2"/>
          <w:sz w:val="18"/>
        </w:rPr>
        <w:t xml:space="preserve"> </w:t>
      </w:r>
      <w:r>
        <w:rPr>
          <w:sz w:val="18"/>
        </w:rPr>
        <w:t>and</w:t>
      </w:r>
      <w:r>
        <w:rPr>
          <w:spacing w:val="-3"/>
          <w:sz w:val="18"/>
        </w:rPr>
        <w:t xml:space="preserve"> </w:t>
      </w:r>
      <w:r>
        <w:rPr>
          <w:sz w:val="18"/>
        </w:rPr>
        <w:t>other</w:t>
      </w:r>
      <w:r>
        <w:rPr>
          <w:spacing w:val="-3"/>
          <w:sz w:val="18"/>
        </w:rPr>
        <w:t xml:space="preserve"> </w:t>
      </w:r>
      <w:r>
        <w:rPr>
          <w:sz w:val="18"/>
        </w:rPr>
        <w:t>relevant</w:t>
      </w:r>
      <w:r>
        <w:rPr>
          <w:spacing w:val="-1"/>
          <w:sz w:val="18"/>
        </w:rPr>
        <w:t xml:space="preserve"> </w:t>
      </w:r>
      <w:r>
        <w:rPr>
          <w:sz w:val="18"/>
        </w:rPr>
        <w:t>information</w:t>
      </w:r>
      <w:r>
        <w:rPr>
          <w:spacing w:val="-3"/>
          <w:sz w:val="18"/>
        </w:rPr>
        <w:t xml:space="preserve"> </w:t>
      </w:r>
      <w:r>
        <w:rPr>
          <w:sz w:val="18"/>
        </w:rPr>
        <w:t>generated</w:t>
      </w:r>
      <w:r>
        <w:rPr>
          <w:spacing w:val="-3"/>
          <w:sz w:val="18"/>
        </w:rPr>
        <w:t xml:space="preserve"> </w:t>
      </w:r>
      <w:r>
        <w:rPr>
          <w:sz w:val="18"/>
        </w:rPr>
        <w:t>by</w:t>
      </w:r>
      <w:r>
        <w:rPr>
          <w:spacing w:val="-2"/>
          <w:sz w:val="18"/>
        </w:rPr>
        <w:t xml:space="preserve"> </w:t>
      </w:r>
      <w:r>
        <w:rPr>
          <w:sz w:val="18"/>
        </w:rPr>
        <w:t>market</w:t>
      </w:r>
      <w:r>
        <w:rPr>
          <w:spacing w:val="-3"/>
          <w:sz w:val="18"/>
        </w:rPr>
        <w:t xml:space="preserve"> </w:t>
      </w:r>
      <w:r>
        <w:rPr>
          <w:sz w:val="18"/>
        </w:rPr>
        <w:t>transactions</w:t>
      </w:r>
      <w:r>
        <w:rPr>
          <w:spacing w:val="-2"/>
          <w:sz w:val="18"/>
        </w:rPr>
        <w:t xml:space="preserve"> </w:t>
      </w:r>
      <w:r>
        <w:rPr>
          <w:sz w:val="18"/>
        </w:rPr>
        <w:t>involving identical</w:t>
      </w:r>
      <w:r>
        <w:rPr>
          <w:spacing w:val="-1"/>
          <w:sz w:val="18"/>
        </w:rPr>
        <w:t xml:space="preserve"> </w:t>
      </w:r>
      <w:r>
        <w:rPr>
          <w:sz w:val="18"/>
        </w:rPr>
        <w:t>or</w:t>
      </w:r>
      <w:r>
        <w:rPr>
          <w:spacing w:val="-4"/>
          <w:sz w:val="18"/>
        </w:rPr>
        <w:t xml:space="preserve"> </w:t>
      </w:r>
      <w:r>
        <w:rPr>
          <w:sz w:val="18"/>
        </w:rPr>
        <w:t>comparable</w:t>
      </w:r>
      <w:r>
        <w:rPr>
          <w:spacing w:val="-1"/>
          <w:sz w:val="18"/>
        </w:rPr>
        <w:t xml:space="preserve"> </w:t>
      </w:r>
      <w:r>
        <w:rPr>
          <w:sz w:val="18"/>
        </w:rPr>
        <w:t>(i.e.</w:t>
      </w:r>
      <w:r>
        <w:rPr>
          <w:spacing w:val="-2"/>
          <w:sz w:val="18"/>
        </w:rPr>
        <w:t xml:space="preserve"> </w:t>
      </w:r>
      <w:r>
        <w:rPr>
          <w:sz w:val="18"/>
        </w:rPr>
        <w:t>similar)</w:t>
      </w:r>
      <w:r>
        <w:rPr>
          <w:spacing w:val="-2"/>
          <w:sz w:val="18"/>
        </w:rPr>
        <w:t xml:space="preserve"> </w:t>
      </w:r>
      <w:r>
        <w:rPr>
          <w:sz w:val="18"/>
        </w:rPr>
        <w:t>assets,</w:t>
      </w:r>
      <w:r>
        <w:rPr>
          <w:spacing w:val="-4"/>
          <w:sz w:val="18"/>
        </w:rPr>
        <w:t xml:space="preserve"> </w:t>
      </w:r>
      <w:r>
        <w:rPr>
          <w:sz w:val="18"/>
        </w:rPr>
        <w:t>liabilities</w:t>
      </w:r>
      <w:r>
        <w:rPr>
          <w:spacing w:val="-1"/>
          <w:sz w:val="18"/>
        </w:rPr>
        <w:t xml:space="preserve"> </w:t>
      </w:r>
      <w:r>
        <w:rPr>
          <w:sz w:val="18"/>
        </w:rPr>
        <w:t>or</w:t>
      </w:r>
      <w:r>
        <w:rPr>
          <w:spacing w:val="-4"/>
          <w:sz w:val="18"/>
        </w:rPr>
        <w:t xml:space="preserve"> </w:t>
      </w:r>
      <w:r>
        <w:rPr>
          <w:sz w:val="18"/>
        </w:rPr>
        <w:t>a</w:t>
      </w:r>
      <w:r>
        <w:rPr>
          <w:spacing w:val="-1"/>
          <w:sz w:val="18"/>
        </w:rPr>
        <w:t xml:space="preserve"> </w:t>
      </w:r>
      <w:r>
        <w:rPr>
          <w:sz w:val="18"/>
        </w:rPr>
        <w:t>group</w:t>
      </w:r>
      <w:r>
        <w:rPr>
          <w:spacing w:val="-1"/>
          <w:sz w:val="18"/>
        </w:rPr>
        <w:t xml:space="preserve"> </w:t>
      </w:r>
      <w:r>
        <w:rPr>
          <w:sz w:val="18"/>
        </w:rPr>
        <w:t>of</w:t>
      </w:r>
      <w:r>
        <w:rPr>
          <w:spacing w:val="-4"/>
          <w:sz w:val="18"/>
        </w:rPr>
        <w:t xml:space="preserve"> </w:t>
      </w:r>
      <w:r>
        <w:rPr>
          <w:sz w:val="18"/>
        </w:rPr>
        <w:t>assets</w:t>
      </w:r>
      <w:r>
        <w:rPr>
          <w:spacing w:val="-1"/>
          <w:sz w:val="18"/>
        </w:rPr>
        <w:t xml:space="preserve"> </w:t>
      </w:r>
      <w:r>
        <w:rPr>
          <w:sz w:val="18"/>
        </w:rPr>
        <w:t>and</w:t>
      </w:r>
      <w:r>
        <w:rPr>
          <w:spacing w:val="-1"/>
          <w:sz w:val="18"/>
        </w:rPr>
        <w:t xml:space="preserve"> </w:t>
      </w:r>
      <w:r>
        <w:rPr>
          <w:sz w:val="18"/>
        </w:rPr>
        <w:t>liabilities,</w:t>
      </w:r>
      <w:r>
        <w:rPr>
          <w:spacing w:val="-2"/>
          <w:sz w:val="18"/>
        </w:rPr>
        <w:t xml:space="preserve"> </w:t>
      </w:r>
      <w:r>
        <w:rPr>
          <w:sz w:val="18"/>
        </w:rPr>
        <w:t>such</w:t>
      </w:r>
      <w:r>
        <w:rPr>
          <w:spacing w:val="-1"/>
          <w:sz w:val="18"/>
        </w:rPr>
        <w:t xml:space="preserve"> </w:t>
      </w:r>
      <w:r>
        <w:rPr>
          <w:sz w:val="18"/>
        </w:rPr>
        <w:t>as</w:t>
      </w:r>
      <w:r>
        <w:rPr>
          <w:spacing w:val="-1"/>
          <w:sz w:val="18"/>
        </w:rPr>
        <w:t xml:space="preserve"> </w:t>
      </w:r>
      <w:r>
        <w:rPr>
          <w:sz w:val="18"/>
        </w:rPr>
        <w:t>a</w:t>
      </w:r>
      <w:r>
        <w:rPr>
          <w:spacing w:val="-4"/>
          <w:sz w:val="18"/>
        </w:rPr>
        <w:t xml:space="preserve"> </w:t>
      </w:r>
      <w:r>
        <w:rPr>
          <w:sz w:val="18"/>
        </w:rPr>
        <w:t>business.</w:t>
      </w:r>
    </w:p>
    <w:p w14:paraId="324697E2" w14:textId="77777777" w:rsidR="00AC6F3C" w:rsidRDefault="00AC6F3C">
      <w:pPr>
        <w:pStyle w:val="BodyText"/>
        <w:spacing w:before="7"/>
      </w:pPr>
    </w:p>
    <w:p w14:paraId="593D8407" w14:textId="77777777" w:rsidR="00AC6F3C" w:rsidRDefault="00570E88">
      <w:pPr>
        <w:pStyle w:val="ListParagraph"/>
        <w:numPr>
          <w:ilvl w:val="0"/>
          <w:numId w:val="18"/>
        </w:numPr>
        <w:tabs>
          <w:tab w:val="left" w:pos="1339"/>
        </w:tabs>
        <w:spacing w:before="0"/>
        <w:ind w:right="375"/>
        <w:rPr>
          <w:sz w:val="18"/>
        </w:rPr>
      </w:pPr>
      <w:r>
        <w:rPr>
          <w:sz w:val="18"/>
        </w:rPr>
        <w:t>The</w:t>
      </w:r>
      <w:r>
        <w:rPr>
          <w:spacing w:val="-1"/>
          <w:sz w:val="18"/>
        </w:rPr>
        <w:t xml:space="preserve"> </w:t>
      </w:r>
      <w:r>
        <w:rPr>
          <w:i/>
          <w:sz w:val="18"/>
        </w:rPr>
        <w:t>cost</w:t>
      </w:r>
      <w:r>
        <w:rPr>
          <w:i/>
          <w:spacing w:val="-4"/>
          <w:sz w:val="18"/>
        </w:rPr>
        <w:t xml:space="preserve"> </w:t>
      </w:r>
      <w:r>
        <w:rPr>
          <w:i/>
          <w:sz w:val="18"/>
        </w:rPr>
        <w:t>approach</w:t>
      </w:r>
      <w:r>
        <w:rPr>
          <w:i/>
          <w:spacing w:val="-1"/>
          <w:sz w:val="18"/>
        </w:rPr>
        <w:t xml:space="preserve"> </w:t>
      </w:r>
      <w:r>
        <w:rPr>
          <w:sz w:val="18"/>
        </w:rPr>
        <w:t>reflects</w:t>
      </w:r>
      <w:r>
        <w:rPr>
          <w:spacing w:val="-1"/>
          <w:sz w:val="18"/>
        </w:rPr>
        <w:t xml:space="preserve"> </w:t>
      </w:r>
      <w:r>
        <w:rPr>
          <w:sz w:val="18"/>
        </w:rPr>
        <w:t>the</w:t>
      </w:r>
      <w:r>
        <w:rPr>
          <w:spacing w:val="-4"/>
          <w:sz w:val="18"/>
        </w:rPr>
        <w:t xml:space="preserve"> </w:t>
      </w:r>
      <w:r>
        <w:rPr>
          <w:sz w:val="18"/>
        </w:rPr>
        <w:t>amount</w:t>
      </w:r>
      <w:r>
        <w:rPr>
          <w:spacing w:val="-2"/>
          <w:sz w:val="18"/>
        </w:rPr>
        <w:t xml:space="preserve"> </w:t>
      </w:r>
      <w:r>
        <w:rPr>
          <w:sz w:val="18"/>
        </w:rPr>
        <w:t>that</w:t>
      </w:r>
      <w:r>
        <w:rPr>
          <w:spacing w:val="-2"/>
          <w:sz w:val="18"/>
        </w:rPr>
        <w:t xml:space="preserve"> </w:t>
      </w:r>
      <w:r>
        <w:rPr>
          <w:sz w:val="18"/>
        </w:rPr>
        <w:t>would</w:t>
      </w:r>
      <w:r>
        <w:rPr>
          <w:spacing w:val="-4"/>
          <w:sz w:val="18"/>
        </w:rPr>
        <w:t xml:space="preserve"> </w:t>
      </w:r>
      <w:r>
        <w:rPr>
          <w:sz w:val="18"/>
        </w:rPr>
        <w:t>be</w:t>
      </w:r>
      <w:r>
        <w:rPr>
          <w:spacing w:val="-1"/>
          <w:sz w:val="18"/>
        </w:rPr>
        <w:t xml:space="preserve"> </w:t>
      </w:r>
      <w:r>
        <w:rPr>
          <w:sz w:val="18"/>
        </w:rPr>
        <w:t>required</w:t>
      </w:r>
      <w:r>
        <w:rPr>
          <w:spacing w:val="-1"/>
          <w:sz w:val="18"/>
        </w:rPr>
        <w:t xml:space="preserve"> </w:t>
      </w:r>
      <w:r>
        <w:rPr>
          <w:sz w:val="18"/>
        </w:rPr>
        <w:t>currently</w:t>
      </w:r>
      <w:r>
        <w:rPr>
          <w:spacing w:val="-1"/>
          <w:sz w:val="18"/>
        </w:rPr>
        <w:t xml:space="preserve"> </w:t>
      </w:r>
      <w:r>
        <w:rPr>
          <w:sz w:val="18"/>
        </w:rPr>
        <w:t>to</w:t>
      </w:r>
      <w:r>
        <w:rPr>
          <w:spacing w:val="-4"/>
          <w:sz w:val="18"/>
        </w:rPr>
        <w:t xml:space="preserve"> </w:t>
      </w:r>
      <w:r>
        <w:rPr>
          <w:sz w:val="18"/>
        </w:rPr>
        <w:t>replace</w:t>
      </w:r>
      <w:r>
        <w:rPr>
          <w:spacing w:val="-1"/>
          <w:sz w:val="18"/>
        </w:rPr>
        <w:t xml:space="preserve"> </w:t>
      </w:r>
      <w:r>
        <w:rPr>
          <w:sz w:val="18"/>
        </w:rPr>
        <w:t>the</w:t>
      </w:r>
      <w:r>
        <w:rPr>
          <w:spacing w:val="-4"/>
          <w:sz w:val="18"/>
        </w:rPr>
        <w:t xml:space="preserve"> </w:t>
      </w:r>
      <w:r>
        <w:rPr>
          <w:sz w:val="18"/>
        </w:rPr>
        <w:t>service</w:t>
      </w:r>
      <w:r>
        <w:rPr>
          <w:spacing w:val="-1"/>
          <w:sz w:val="18"/>
        </w:rPr>
        <w:t xml:space="preserve"> </w:t>
      </w:r>
      <w:r>
        <w:rPr>
          <w:sz w:val="18"/>
        </w:rPr>
        <w:t>capacity</w:t>
      </w:r>
      <w:r>
        <w:rPr>
          <w:spacing w:val="-1"/>
          <w:sz w:val="18"/>
        </w:rPr>
        <w:t xml:space="preserve"> </w:t>
      </w:r>
      <w:r>
        <w:rPr>
          <w:sz w:val="18"/>
        </w:rPr>
        <w:t>of</w:t>
      </w:r>
      <w:r>
        <w:rPr>
          <w:spacing w:val="-4"/>
          <w:sz w:val="18"/>
        </w:rPr>
        <w:t xml:space="preserve"> </w:t>
      </w:r>
      <w:r>
        <w:rPr>
          <w:sz w:val="18"/>
        </w:rPr>
        <w:t>an asset. This method includes the current replacement costs methodology.</w:t>
      </w:r>
    </w:p>
    <w:p w14:paraId="27FEF2F6" w14:textId="77777777" w:rsidR="00AC6F3C" w:rsidRDefault="00AC6F3C">
      <w:pPr>
        <w:pStyle w:val="BodyText"/>
        <w:spacing w:before="10"/>
      </w:pPr>
    </w:p>
    <w:p w14:paraId="7ABB88DA" w14:textId="77777777" w:rsidR="00AC6F3C" w:rsidRDefault="00570E88">
      <w:pPr>
        <w:pStyle w:val="ListParagraph"/>
        <w:numPr>
          <w:ilvl w:val="0"/>
          <w:numId w:val="18"/>
        </w:numPr>
        <w:tabs>
          <w:tab w:val="left" w:pos="1339"/>
        </w:tabs>
        <w:spacing w:before="0"/>
        <w:ind w:right="936"/>
        <w:rPr>
          <w:sz w:val="18"/>
        </w:rPr>
      </w:pPr>
      <w:r>
        <w:rPr>
          <w:sz w:val="18"/>
        </w:rPr>
        <w:t>The</w:t>
      </w:r>
      <w:r>
        <w:rPr>
          <w:spacing w:val="-1"/>
          <w:sz w:val="18"/>
        </w:rPr>
        <w:t xml:space="preserve"> </w:t>
      </w:r>
      <w:r>
        <w:rPr>
          <w:i/>
          <w:sz w:val="18"/>
        </w:rPr>
        <w:t>income</w:t>
      </w:r>
      <w:r>
        <w:rPr>
          <w:i/>
          <w:spacing w:val="-4"/>
          <w:sz w:val="18"/>
        </w:rPr>
        <w:t xml:space="preserve"> </w:t>
      </w:r>
      <w:r>
        <w:rPr>
          <w:i/>
          <w:sz w:val="18"/>
        </w:rPr>
        <w:t>approach</w:t>
      </w:r>
      <w:r>
        <w:rPr>
          <w:i/>
          <w:spacing w:val="-2"/>
          <w:sz w:val="18"/>
        </w:rPr>
        <w:t xml:space="preserve"> </w:t>
      </w:r>
      <w:r>
        <w:rPr>
          <w:sz w:val="18"/>
        </w:rPr>
        <w:t>converts</w:t>
      </w:r>
      <w:r>
        <w:rPr>
          <w:spacing w:val="-1"/>
          <w:sz w:val="18"/>
        </w:rPr>
        <w:t xml:space="preserve"> </w:t>
      </w:r>
      <w:r>
        <w:rPr>
          <w:sz w:val="18"/>
        </w:rPr>
        <w:t>multiple</w:t>
      </w:r>
      <w:r>
        <w:rPr>
          <w:spacing w:val="-4"/>
          <w:sz w:val="18"/>
        </w:rPr>
        <w:t xml:space="preserve"> </w:t>
      </w:r>
      <w:r>
        <w:rPr>
          <w:sz w:val="18"/>
        </w:rPr>
        <w:t>future</w:t>
      </w:r>
      <w:r>
        <w:rPr>
          <w:spacing w:val="-1"/>
          <w:sz w:val="18"/>
        </w:rPr>
        <w:t xml:space="preserve"> </w:t>
      </w:r>
      <w:r>
        <w:rPr>
          <w:sz w:val="18"/>
        </w:rPr>
        <w:t>cash</w:t>
      </w:r>
      <w:r>
        <w:rPr>
          <w:spacing w:val="-4"/>
          <w:sz w:val="18"/>
        </w:rPr>
        <w:t xml:space="preserve"> </w:t>
      </w:r>
      <w:r>
        <w:rPr>
          <w:sz w:val="18"/>
        </w:rPr>
        <w:t>flow</w:t>
      </w:r>
      <w:r>
        <w:rPr>
          <w:spacing w:val="-5"/>
          <w:sz w:val="18"/>
        </w:rPr>
        <w:t xml:space="preserve"> </w:t>
      </w:r>
      <w:r>
        <w:rPr>
          <w:sz w:val="18"/>
        </w:rPr>
        <w:t>amounts</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single</w:t>
      </w:r>
      <w:r>
        <w:rPr>
          <w:spacing w:val="-1"/>
          <w:sz w:val="18"/>
        </w:rPr>
        <w:t xml:space="preserve"> </w:t>
      </w:r>
      <w:r>
        <w:rPr>
          <w:sz w:val="18"/>
        </w:rPr>
        <w:t>current</w:t>
      </w:r>
      <w:r>
        <w:rPr>
          <w:spacing w:val="-4"/>
          <w:sz w:val="18"/>
        </w:rPr>
        <w:t xml:space="preserve"> </w:t>
      </w:r>
      <w:r>
        <w:rPr>
          <w:sz w:val="18"/>
        </w:rPr>
        <w:t>(i.e.</w:t>
      </w:r>
      <w:r>
        <w:rPr>
          <w:spacing w:val="-2"/>
          <w:sz w:val="18"/>
        </w:rPr>
        <w:t xml:space="preserve"> </w:t>
      </w:r>
      <w:r>
        <w:rPr>
          <w:sz w:val="18"/>
        </w:rPr>
        <w:t>discounted) amount. When the income approach is used, the fair value measurement reflects current market expectations about those future amounts.</w:t>
      </w:r>
    </w:p>
    <w:p w14:paraId="077E09F6" w14:textId="77777777" w:rsidR="00AC6F3C" w:rsidRDefault="00AC6F3C">
      <w:pPr>
        <w:pStyle w:val="BodyText"/>
        <w:spacing w:before="9"/>
      </w:pPr>
    </w:p>
    <w:p w14:paraId="0950D21A" w14:textId="77777777" w:rsidR="00AC6F3C" w:rsidRDefault="00570E88">
      <w:pPr>
        <w:ind w:left="979"/>
        <w:rPr>
          <w:sz w:val="18"/>
        </w:rPr>
      </w:pPr>
      <w:r>
        <w:rPr>
          <w:sz w:val="18"/>
        </w:rPr>
        <w:t>Where</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is</w:t>
      </w:r>
      <w:r>
        <w:rPr>
          <w:spacing w:val="-1"/>
          <w:sz w:val="18"/>
        </w:rPr>
        <w:t xml:space="preserve"> </w:t>
      </w:r>
      <w:r>
        <w:rPr>
          <w:sz w:val="18"/>
        </w:rPr>
        <w:t>used,</w:t>
      </w:r>
      <w:r>
        <w:rPr>
          <w:spacing w:val="-2"/>
          <w:sz w:val="18"/>
        </w:rPr>
        <w:t xml:space="preserve"> </w:t>
      </w:r>
      <w:r>
        <w:rPr>
          <w:sz w:val="18"/>
        </w:rPr>
        <w:t>the</w:t>
      </w:r>
      <w:r>
        <w:rPr>
          <w:spacing w:val="-3"/>
          <w:sz w:val="18"/>
        </w:rPr>
        <w:t xml:space="preserve"> </w:t>
      </w:r>
      <w:r>
        <w:rPr>
          <w:sz w:val="18"/>
        </w:rPr>
        <w:t>fair</w:t>
      </w:r>
      <w:r>
        <w:rPr>
          <w:spacing w:val="-2"/>
          <w:sz w:val="18"/>
        </w:rPr>
        <w:t xml:space="preserve"> </w:t>
      </w:r>
      <w:r>
        <w:rPr>
          <w:sz w:val="18"/>
        </w:rPr>
        <w:t>value</w:t>
      </w:r>
      <w:r>
        <w:rPr>
          <w:spacing w:val="-4"/>
          <w:sz w:val="18"/>
        </w:rPr>
        <w:t xml:space="preserve"> </w:t>
      </w:r>
      <w:r>
        <w:rPr>
          <w:sz w:val="18"/>
        </w:rPr>
        <w:t>approach</w:t>
      </w:r>
      <w:r>
        <w:rPr>
          <w:spacing w:val="-1"/>
          <w:sz w:val="18"/>
        </w:rPr>
        <w:t xml:space="preserve"> </w:t>
      </w:r>
      <w:r>
        <w:rPr>
          <w:sz w:val="18"/>
        </w:rPr>
        <w:t xml:space="preserve">is </w:t>
      </w:r>
      <w:r>
        <w:rPr>
          <w:spacing w:val="-2"/>
          <w:sz w:val="18"/>
        </w:rPr>
        <w:t>disclosed.</w:t>
      </w:r>
    </w:p>
    <w:p w14:paraId="7C98D79A" w14:textId="77777777" w:rsidR="00AC6F3C" w:rsidRDefault="00AC6F3C">
      <w:pPr>
        <w:pStyle w:val="BodyText"/>
        <w:spacing w:before="9"/>
      </w:pPr>
    </w:p>
    <w:p w14:paraId="0E943CF0" w14:textId="77777777" w:rsidR="00AC6F3C" w:rsidRDefault="00570E88">
      <w:pPr>
        <w:ind w:left="979" w:right="375"/>
        <w:rPr>
          <w:sz w:val="18"/>
        </w:rPr>
      </w:pPr>
      <w:r>
        <w:rPr>
          <w:sz w:val="18"/>
        </w:rPr>
        <w:t>Observable</w:t>
      </w:r>
      <w:r>
        <w:rPr>
          <w:spacing w:val="-3"/>
          <w:sz w:val="18"/>
        </w:rPr>
        <w:t xml:space="preserve"> </w:t>
      </w:r>
      <w:r>
        <w:rPr>
          <w:sz w:val="18"/>
        </w:rPr>
        <w:t>inputs</w:t>
      </w:r>
      <w:r>
        <w:rPr>
          <w:spacing w:val="-2"/>
          <w:sz w:val="18"/>
        </w:rPr>
        <w:t xml:space="preserve"> </w:t>
      </w:r>
      <w:r>
        <w:rPr>
          <w:sz w:val="18"/>
        </w:rPr>
        <w:t>are</w:t>
      </w:r>
      <w:r>
        <w:rPr>
          <w:spacing w:val="-3"/>
          <w:sz w:val="18"/>
        </w:rPr>
        <w:t xml:space="preserve"> </w:t>
      </w:r>
      <w:r>
        <w:rPr>
          <w:sz w:val="18"/>
        </w:rPr>
        <w:t>publicly</w:t>
      </w:r>
      <w:r>
        <w:rPr>
          <w:spacing w:val="-2"/>
          <w:sz w:val="18"/>
        </w:rPr>
        <w:t xml:space="preserve"> </w:t>
      </w:r>
      <w:r>
        <w:rPr>
          <w:sz w:val="18"/>
        </w:rPr>
        <w:t>available</w:t>
      </w:r>
      <w:r>
        <w:rPr>
          <w:spacing w:val="-3"/>
          <w:sz w:val="18"/>
        </w:rPr>
        <w:t xml:space="preserve"> </w:t>
      </w:r>
      <w:r>
        <w:rPr>
          <w:sz w:val="18"/>
        </w:rPr>
        <w:t>data</w:t>
      </w:r>
      <w:r>
        <w:rPr>
          <w:spacing w:val="-3"/>
          <w:sz w:val="18"/>
        </w:rPr>
        <w:t xml:space="preserve"> </w:t>
      </w:r>
      <w:r>
        <w:rPr>
          <w:sz w:val="18"/>
        </w:rPr>
        <w:t>that</w:t>
      </w:r>
      <w:r>
        <w:rPr>
          <w:spacing w:val="-3"/>
          <w:sz w:val="18"/>
        </w:rPr>
        <w:t xml:space="preserve"> </w:t>
      </w:r>
      <w:r>
        <w:rPr>
          <w:sz w:val="18"/>
        </w:rPr>
        <w:t>are relevant</w:t>
      </w:r>
      <w:r>
        <w:rPr>
          <w:spacing w:val="-1"/>
          <w:sz w:val="18"/>
        </w:rPr>
        <w:t xml:space="preserve"> </w:t>
      </w:r>
      <w:r>
        <w:rPr>
          <w:sz w:val="18"/>
        </w:rPr>
        <w:t>to the</w:t>
      </w:r>
      <w:r>
        <w:rPr>
          <w:spacing w:val="-3"/>
          <w:sz w:val="18"/>
        </w:rPr>
        <w:t xml:space="preserve"> </w:t>
      </w:r>
      <w:r>
        <w:rPr>
          <w:sz w:val="18"/>
        </w:rPr>
        <w:t>characteristics of</w:t>
      </w:r>
      <w:r>
        <w:rPr>
          <w:spacing w:val="-3"/>
          <w:sz w:val="18"/>
        </w:rPr>
        <w:t xml:space="preserve"> </w:t>
      </w:r>
      <w:r>
        <w:rPr>
          <w:sz w:val="18"/>
        </w:rPr>
        <w:t>the</w:t>
      </w:r>
      <w:r>
        <w:rPr>
          <w:spacing w:val="-3"/>
          <w:sz w:val="18"/>
        </w:rPr>
        <w:t xml:space="preserve"> </w:t>
      </w:r>
      <w:r>
        <w:rPr>
          <w:sz w:val="18"/>
        </w:rPr>
        <w:t>assets/liabilities being valued. Unobservable inputs are data, assumptions and judgements that are not available publicly, but are relevant to the characteristics</w:t>
      </w:r>
      <w:r>
        <w:rPr>
          <w:spacing w:val="-1"/>
          <w:sz w:val="18"/>
        </w:rPr>
        <w:t xml:space="preserve"> </w:t>
      </w:r>
      <w:r>
        <w:rPr>
          <w:sz w:val="18"/>
        </w:rPr>
        <w:t>of the assets/liabilities being valued.</w:t>
      </w:r>
      <w:r>
        <w:rPr>
          <w:spacing w:val="40"/>
          <w:sz w:val="18"/>
        </w:rPr>
        <w:t xml:space="preserve"> </w:t>
      </w:r>
      <w:r>
        <w:rPr>
          <w:sz w:val="18"/>
        </w:rPr>
        <w:t>Significant unobservable inputs used by the Fund include, but are not limited to, subjective adjustments made to observable data to take account of the characteristics</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Fund’s</w:t>
      </w:r>
      <w:r>
        <w:rPr>
          <w:spacing w:val="-3"/>
          <w:sz w:val="18"/>
        </w:rPr>
        <w:t xml:space="preserve"> </w:t>
      </w:r>
      <w:r>
        <w:rPr>
          <w:sz w:val="18"/>
        </w:rPr>
        <w:t>assets/liabilities.</w:t>
      </w:r>
      <w:r>
        <w:rPr>
          <w:spacing w:val="40"/>
          <w:sz w:val="18"/>
        </w:rPr>
        <w:t xml:space="preserve"> </w:t>
      </w:r>
      <w:r>
        <w:rPr>
          <w:sz w:val="18"/>
        </w:rPr>
        <w:t>Unobservable</w:t>
      </w:r>
      <w:r>
        <w:rPr>
          <w:spacing w:val="-4"/>
          <w:sz w:val="18"/>
        </w:rPr>
        <w:t xml:space="preserve"> </w:t>
      </w:r>
      <w:r>
        <w:rPr>
          <w:sz w:val="18"/>
        </w:rPr>
        <w:t>inputs</w:t>
      </w:r>
      <w:r>
        <w:rPr>
          <w:spacing w:val="-1"/>
          <w:sz w:val="18"/>
        </w:rPr>
        <w:t xml:space="preserve"> </w:t>
      </w:r>
      <w:r>
        <w:rPr>
          <w:sz w:val="18"/>
        </w:rPr>
        <w:t>are</w:t>
      </w:r>
      <w:r>
        <w:rPr>
          <w:spacing w:val="-1"/>
          <w:sz w:val="18"/>
        </w:rPr>
        <w:t xml:space="preserve"> </w:t>
      </w:r>
      <w:r>
        <w:rPr>
          <w:sz w:val="18"/>
        </w:rPr>
        <w:t>used</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extent</w:t>
      </w:r>
      <w:r>
        <w:rPr>
          <w:spacing w:val="-2"/>
          <w:sz w:val="18"/>
        </w:rPr>
        <w:t xml:space="preserve"> </w:t>
      </w:r>
      <w:r>
        <w:rPr>
          <w:sz w:val="18"/>
        </w:rPr>
        <w:t>that</w:t>
      </w:r>
      <w:r>
        <w:rPr>
          <w:spacing w:val="-2"/>
          <w:sz w:val="18"/>
        </w:rPr>
        <w:t xml:space="preserve"> </w:t>
      </w:r>
      <w:r>
        <w:rPr>
          <w:sz w:val="18"/>
        </w:rPr>
        <w:t>sufficient</w:t>
      </w:r>
      <w:r>
        <w:rPr>
          <w:spacing w:val="-2"/>
          <w:sz w:val="18"/>
        </w:rPr>
        <w:t xml:space="preserve"> </w:t>
      </w:r>
      <w:r>
        <w:rPr>
          <w:sz w:val="18"/>
        </w:rPr>
        <w:t>relevant and reliable observable inputs are not available for similar assets/liabilities.</w:t>
      </w:r>
    </w:p>
    <w:p w14:paraId="67F27EC1" w14:textId="77777777" w:rsidR="00AC6F3C" w:rsidRDefault="00AC6F3C">
      <w:pPr>
        <w:pStyle w:val="BodyText"/>
        <w:spacing w:before="9"/>
      </w:pPr>
    </w:p>
    <w:p w14:paraId="5CF59B76" w14:textId="77777777" w:rsidR="00AC6F3C" w:rsidRDefault="00570E88">
      <w:pPr>
        <w:ind w:left="979"/>
        <w:rPr>
          <w:sz w:val="18"/>
        </w:rPr>
      </w:pPr>
      <w:r>
        <w:rPr>
          <w:sz w:val="18"/>
        </w:rPr>
        <w:t>A</w:t>
      </w:r>
      <w:r>
        <w:rPr>
          <w:spacing w:val="-2"/>
          <w:sz w:val="18"/>
        </w:rPr>
        <w:t xml:space="preserve"> </w:t>
      </w:r>
      <w:r>
        <w:rPr>
          <w:sz w:val="18"/>
        </w:rPr>
        <w:t>fair</w:t>
      </w:r>
      <w:r>
        <w:rPr>
          <w:spacing w:val="-4"/>
          <w:sz w:val="18"/>
        </w:rPr>
        <w:t xml:space="preserve"> </w:t>
      </w:r>
      <w:r>
        <w:rPr>
          <w:sz w:val="18"/>
        </w:rPr>
        <w:t>value</w:t>
      </w:r>
      <w:r>
        <w:rPr>
          <w:spacing w:val="-1"/>
          <w:sz w:val="18"/>
        </w:rPr>
        <w:t xml:space="preserve"> </w:t>
      </w:r>
      <w:r>
        <w:rPr>
          <w:sz w:val="18"/>
        </w:rPr>
        <w:t>measurement</w:t>
      </w:r>
      <w:r>
        <w:rPr>
          <w:spacing w:val="-4"/>
          <w:sz w:val="18"/>
        </w:rPr>
        <w:t xml:space="preserve"> </w:t>
      </w:r>
      <w:r>
        <w:rPr>
          <w:sz w:val="18"/>
        </w:rPr>
        <w:t>of</w:t>
      </w:r>
      <w:r>
        <w:rPr>
          <w:spacing w:val="-2"/>
          <w:sz w:val="18"/>
        </w:rPr>
        <w:t xml:space="preserve"> </w:t>
      </w:r>
      <w:r>
        <w:rPr>
          <w:sz w:val="18"/>
        </w:rPr>
        <w:t>a</w:t>
      </w:r>
      <w:r>
        <w:rPr>
          <w:spacing w:val="-6"/>
          <w:sz w:val="18"/>
        </w:rPr>
        <w:t xml:space="preserve"> </w:t>
      </w:r>
      <w:r>
        <w:rPr>
          <w:sz w:val="18"/>
        </w:rPr>
        <w:t>non-financial</w:t>
      </w:r>
      <w:r>
        <w:rPr>
          <w:spacing w:val="-1"/>
          <w:sz w:val="18"/>
        </w:rPr>
        <w:t xml:space="preserve"> </w:t>
      </w:r>
      <w:r>
        <w:rPr>
          <w:sz w:val="18"/>
        </w:rPr>
        <w:t>asset</w:t>
      </w:r>
      <w:r>
        <w:rPr>
          <w:spacing w:val="-2"/>
          <w:sz w:val="18"/>
        </w:rPr>
        <w:t xml:space="preserve"> </w:t>
      </w:r>
      <w:r>
        <w:rPr>
          <w:sz w:val="18"/>
        </w:rPr>
        <w:t>takes</w:t>
      </w:r>
      <w:r>
        <w:rPr>
          <w:spacing w:val="-3"/>
          <w:sz w:val="18"/>
        </w:rPr>
        <w:t xml:space="preserve"> </w:t>
      </w:r>
      <w:r>
        <w:rPr>
          <w:sz w:val="18"/>
        </w:rPr>
        <w:t>into</w:t>
      </w:r>
      <w:r>
        <w:rPr>
          <w:spacing w:val="-4"/>
          <w:sz w:val="18"/>
        </w:rPr>
        <w:t xml:space="preserve"> </w:t>
      </w:r>
      <w:r>
        <w:rPr>
          <w:sz w:val="18"/>
        </w:rPr>
        <w:t>account</w:t>
      </w:r>
      <w:r>
        <w:rPr>
          <w:spacing w:val="-4"/>
          <w:sz w:val="18"/>
        </w:rPr>
        <w:t xml:space="preserve"> </w:t>
      </w:r>
      <w:r>
        <w:rPr>
          <w:sz w:val="18"/>
        </w:rPr>
        <w:t>a</w:t>
      </w:r>
      <w:r>
        <w:rPr>
          <w:spacing w:val="-1"/>
          <w:sz w:val="18"/>
        </w:rPr>
        <w:t xml:space="preserve"> </w:t>
      </w:r>
      <w:r>
        <w:rPr>
          <w:sz w:val="18"/>
        </w:rPr>
        <w:t>market</w:t>
      </w:r>
      <w:r>
        <w:rPr>
          <w:spacing w:val="-2"/>
          <w:sz w:val="18"/>
        </w:rPr>
        <w:t xml:space="preserve"> </w:t>
      </w:r>
      <w:r>
        <w:rPr>
          <w:sz w:val="18"/>
        </w:rPr>
        <w:t>participant’s</w:t>
      </w:r>
      <w:r>
        <w:rPr>
          <w:spacing w:val="-3"/>
          <w:sz w:val="18"/>
        </w:rPr>
        <w:t xml:space="preserve"> </w:t>
      </w:r>
      <w:r>
        <w:rPr>
          <w:sz w:val="18"/>
        </w:rPr>
        <w:t>ability</w:t>
      </w:r>
      <w:r>
        <w:rPr>
          <w:spacing w:val="-3"/>
          <w:sz w:val="18"/>
        </w:rPr>
        <w:t xml:space="preserve"> </w:t>
      </w:r>
      <w:r>
        <w:rPr>
          <w:sz w:val="18"/>
        </w:rPr>
        <w:t>to</w:t>
      </w:r>
      <w:r>
        <w:rPr>
          <w:spacing w:val="-1"/>
          <w:sz w:val="18"/>
        </w:rPr>
        <w:t xml:space="preserve"> </w:t>
      </w:r>
      <w:r>
        <w:rPr>
          <w:sz w:val="18"/>
        </w:rPr>
        <w:t>generate economic benefits by using the asset in its highest and best use.</w:t>
      </w:r>
    </w:p>
    <w:p w14:paraId="5559E68B" w14:textId="77777777" w:rsidR="00AC6F3C" w:rsidRDefault="00AC6F3C">
      <w:pPr>
        <w:pStyle w:val="BodyText"/>
        <w:rPr>
          <w:sz w:val="21"/>
        </w:rPr>
      </w:pPr>
    </w:p>
    <w:p w14:paraId="74EE32D1" w14:textId="77777777" w:rsidR="00AC6F3C" w:rsidRDefault="00570E88">
      <w:pPr>
        <w:ind w:left="979"/>
        <w:rPr>
          <w:sz w:val="18"/>
        </w:rPr>
      </w:pPr>
      <w:r>
        <w:rPr>
          <w:sz w:val="18"/>
        </w:rPr>
        <w:t xml:space="preserve">All assets and liabilities of the Fund for which fair value is measured or disclosed in the financial statements are </w:t>
      </w:r>
      <w:proofErr w:type="spellStart"/>
      <w:r>
        <w:rPr>
          <w:sz w:val="18"/>
        </w:rPr>
        <w:t>categorised</w:t>
      </w:r>
      <w:proofErr w:type="spellEnd"/>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fair</w:t>
      </w:r>
      <w:r>
        <w:rPr>
          <w:spacing w:val="-4"/>
          <w:sz w:val="18"/>
        </w:rPr>
        <w:t xml:space="preserve"> </w:t>
      </w:r>
      <w:r>
        <w:rPr>
          <w:sz w:val="18"/>
        </w:rPr>
        <w:t>value</w:t>
      </w:r>
      <w:r>
        <w:rPr>
          <w:spacing w:val="-4"/>
          <w:sz w:val="18"/>
        </w:rPr>
        <w:t xml:space="preserve"> </w:t>
      </w:r>
      <w:r>
        <w:rPr>
          <w:sz w:val="18"/>
        </w:rPr>
        <w:t>hierarchy,</w:t>
      </w:r>
      <w:r>
        <w:rPr>
          <w:spacing w:val="-2"/>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4"/>
          <w:sz w:val="18"/>
        </w:rPr>
        <w:t xml:space="preserve"> </w:t>
      </w:r>
      <w:r>
        <w:rPr>
          <w:sz w:val="18"/>
        </w:rPr>
        <w:t>data</w:t>
      </w:r>
      <w:r>
        <w:rPr>
          <w:spacing w:val="-4"/>
          <w:sz w:val="18"/>
        </w:rPr>
        <w:t xml:space="preserve"> </w:t>
      </w:r>
      <w:r>
        <w:rPr>
          <w:sz w:val="18"/>
        </w:rPr>
        <w:t>and</w:t>
      </w:r>
      <w:r>
        <w:rPr>
          <w:spacing w:val="-4"/>
          <w:sz w:val="18"/>
        </w:rPr>
        <w:t xml:space="preserve"> </w:t>
      </w:r>
      <w:r>
        <w:rPr>
          <w:sz w:val="18"/>
        </w:rPr>
        <w:t>assumptions</w:t>
      </w:r>
      <w:r>
        <w:rPr>
          <w:spacing w:val="-3"/>
          <w:sz w:val="18"/>
        </w:rPr>
        <w:t xml:space="preserve"> </w:t>
      </w:r>
      <w:r>
        <w:rPr>
          <w:sz w:val="18"/>
        </w:rPr>
        <w:t>used</w:t>
      </w:r>
      <w:r>
        <w:rPr>
          <w:spacing w:val="-1"/>
          <w:sz w:val="18"/>
        </w:rPr>
        <w:t xml:space="preserve"> </w:t>
      </w:r>
      <w:r>
        <w:rPr>
          <w:sz w:val="18"/>
        </w:rPr>
        <w:t>in</w:t>
      </w:r>
      <w:r>
        <w:rPr>
          <w:spacing w:val="-4"/>
          <w:sz w:val="18"/>
        </w:rPr>
        <w:t xml:space="preserve"> </w:t>
      </w:r>
      <w:r>
        <w:rPr>
          <w:sz w:val="18"/>
        </w:rPr>
        <w:t>the</w:t>
      </w:r>
      <w:r>
        <w:rPr>
          <w:spacing w:val="-4"/>
          <w:sz w:val="18"/>
        </w:rPr>
        <w:t xml:space="preserve"> </w:t>
      </w:r>
      <w:r>
        <w:rPr>
          <w:sz w:val="18"/>
        </w:rPr>
        <w:t>most</w:t>
      </w:r>
      <w:r>
        <w:rPr>
          <w:spacing w:val="-2"/>
          <w:sz w:val="18"/>
        </w:rPr>
        <w:t xml:space="preserve"> </w:t>
      </w:r>
      <w:r>
        <w:rPr>
          <w:sz w:val="18"/>
        </w:rPr>
        <w:t>recent specific appraisals:</w:t>
      </w:r>
    </w:p>
    <w:p w14:paraId="71207156" w14:textId="77777777" w:rsidR="00AC6F3C" w:rsidRDefault="00570E88">
      <w:pPr>
        <w:pStyle w:val="ListParagraph"/>
        <w:numPr>
          <w:ilvl w:val="0"/>
          <w:numId w:val="18"/>
        </w:numPr>
        <w:tabs>
          <w:tab w:val="left" w:pos="1337"/>
        </w:tabs>
        <w:spacing w:before="120"/>
        <w:ind w:left="1337" w:right="489" w:hanging="358"/>
        <w:rPr>
          <w:sz w:val="18"/>
        </w:rPr>
      </w:pPr>
      <w:r>
        <w:rPr>
          <w:sz w:val="18"/>
        </w:rPr>
        <w:t>level</w:t>
      </w:r>
      <w:r>
        <w:rPr>
          <w:spacing w:val="-1"/>
          <w:sz w:val="18"/>
        </w:rPr>
        <w:t xml:space="preserve"> </w:t>
      </w:r>
      <w:r>
        <w:rPr>
          <w:sz w:val="18"/>
        </w:rPr>
        <w:t>1</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market</w:t>
      </w:r>
      <w:r>
        <w:rPr>
          <w:spacing w:val="-2"/>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reflect</w:t>
      </w:r>
      <w:r>
        <w:rPr>
          <w:spacing w:val="-2"/>
          <w:sz w:val="18"/>
        </w:rPr>
        <w:t xml:space="preserve"> </w:t>
      </w:r>
      <w:r>
        <w:rPr>
          <w:sz w:val="18"/>
        </w:rPr>
        <w:t>unadjusted</w:t>
      </w:r>
      <w:r>
        <w:rPr>
          <w:spacing w:val="-4"/>
          <w:sz w:val="18"/>
        </w:rPr>
        <w:t xml:space="preserve"> </w:t>
      </w:r>
      <w:r>
        <w:rPr>
          <w:sz w:val="18"/>
        </w:rPr>
        <w:t>quoted</w:t>
      </w:r>
      <w:r>
        <w:rPr>
          <w:spacing w:val="-4"/>
          <w:sz w:val="18"/>
        </w:rPr>
        <w:t xml:space="preserve"> </w:t>
      </w:r>
      <w:r>
        <w:rPr>
          <w:sz w:val="18"/>
        </w:rPr>
        <w:t>market</w:t>
      </w:r>
      <w:r>
        <w:rPr>
          <w:spacing w:val="-4"/>
          <w:sz w:val="18"/>
        </w:rPr>
        <w:t xml:space="preserve"> </w:t>
      </w:r>
      <w:r>
        <w:rPr>
          <w:sz w:val="18"/>
        </w:rPr>
        <w:t>prices</w:t>
      </w:r>
      <w:r>
        <w:rPr>
          <w:spacing w:val="-1"/>
          <w:sz w:val="18"/>
        </w:rPr>
        <w:t xml:space="preserve"> </w:t>
      </w:r>
      <w:r>
        <w:rPr>
          <w:sz w:val="18"/>
        </w:rPr>
        <w:t>in</w:t>
      </w:r>
      <w:r>
        <w:rPr>
          <w:spacing w:val="-1"/>
          <w:sz w:val="18"/>
        </w:rPr>
        <w:t xml:space="preserve"> </w:t>
      </w:r>
      <w:r>
        <w:rPr>
          <w:sz w:val="18"/>
        </w:rPr>
        <w:t>active markets for identical assets and liabilities;</w:t>
      </w:r>
    </w:p>
    <w:p w14:paraId="04A8E25D" w14:textId="77777777" w:rsidR="00AC6F3C" w:rsidRDefault="00570E88">
      <w:pPr>
        <w:pStyle w:val="ListParagraph"/>
        <w:numPr>
          <w:ilvl w:val="0"/>
          <w:numId w:val="18"/>
        </w:numPr>
        <w:tabs>
          <w:tab w:val="left" w:pos="1337"/>
        </w:tabs>
        <w:spacing w:before="118"/>
        <w:ind w:left="1337" w:right="546" w:hanging="358"/>
        <w:rPr>
          <w:sz w:val="18"/>
        </w:rPr>
      </w:pPr>
      <w:r>
        <w:rPr>
          <w:sz w:val="18"/>
        </w:rPr>
        <w:t>level</w:t>
      </w:r>
      <w:r>
        <w:rPr>
          <w:spacing w:val="-1"/>
          <w:sz w:val="18"/>
        </w:rPr>
        <w:t xml:space="preserve"> </w:t>
      </w:r>
      <w:r>
        <w:rPr>
          <w:sz w:val="18"/>
        </w:rPr>
        <w:t>2</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1"/>
          <w:sz w:val="18"/>
        </w:rPr>
        <w:t xml:space="preserve"> </w:t>
      </w:r>
      <w:r>
        <w:rPr>
          <w:sz w:val="18"/>
        </w:rPr>
        <w:t>substantially</w:t>
      </w:r>
      <w:r>
        <w:rPr>
          <w:spacing w:val="-3"/>
          <w:sz w:val="18"/>
        </w:rPr>
        <w:t xml:space="preserve"> </w:t>
      </w:r>
      <w:r>
        <w:rPr>
          <w:sz w:val="18"/>
        </w:rPr>
        <w:t>derived</w:t>
      </w:r>
      <w:r>
        <w:rPr>
          <w:spacing w:val="-4"/>
          <w:sz w:val="18"/>
        </w:rPr>
        <w:t xml:space="preserve"> </w:t>
      </w:r>
      <w:r>
        <w:rPr>
          <w:sz w:val="18"/>
        </w:rPr>
        <w:t>from</w:t>
      </w:r>
      <w:r>
        <w:rPr>
          <w:spacing w:val="-1"/>
          <w:sz w:val="18"/>
        </w:rPr>
        <w:t xml:space="preserve"> </w:t>
      </w:r>
      <w:r>
        <w:rPr>
          <w:sz w:val="18"/>
        </w:rPr>
        <w:t>inputs</w:t>
      </w:r>
      <w:r>
        <w:rPr>
          <w:spacing w:val="-1"/>
          <w:sz w:val="18"/>
        </w:rPr>
        <w:t xml:space="preserve"> </w:t>
      </w:r>
      <w:r>
        <w:rPr>
          <w:sz w:val="18"/>
        </w:rPr>
        <w:t>(other</w:t>
      </w:r>
      <w:r>
        <w:rPr>
          <w:spacing w:val="-2"/>
          <w:sz w:val="18"/>
        </w:rPr>
        <w:t xml:space="preserve"> </w:t>
      </w:r>
      <w:r>
        <w:rPr>
          <w:sz w:val="18"/>
        </w:rPr>
        <w:t>than</w:t>
      </w:r>
      <w:r>
        <w:rPr>
          <w:spacing w:val="-4"/>
          <w:sz w:val="18"/>
        </w:rPr>
        <w:t xml:space="preserve"> </w:t>
      </w:r>
      <w:r>
        <w:rPr>
          <w:sz w:val="18"/>
        </w:rPr>
        <w:t>quoted prices included within level 1) that are observable, either directly or indirectly;</w:t>
      </w:r>
      <w:r>
        <w:rPr>
          <w:spacing w:val="40"/>
          <w:sz w:val="18"/>
        </w:rPr>
        <w:t xml:space="preserve"> </w:t>
      </w:r>
      <w:r>
        <w:rPr>
          <w:sz w:val="18"/>
        </w:rPr>
        <w:t>and</w:t>
      </w:r>
    </w:p>
    <w:p w14:paraId="5E00AF79" w14:textId="77777777" w:rsidR="00AC6F3C" w:rsidRDefault="00570E88">
      <w:pPr>
        <w:pStyle w:val="ListParagraph"/>
        <w:numPr>
          <w:ilvl w:val="0"/>
          <w:numId w:val="18"/>
        </w:numPr>
        <w:tabs>
          <w:tab w:val="left" w:pos="1336"/>
        </w:tabs>
        <w:spacing w:before="119"/>
        <w:ind w:left="1336" w:hanging="357"/>
        <w:rPr>
          <w:sz w:val="18"/>
        </w:rPr>
      </w:pPr>
      <w:r>
        <w:rPr>
          <w:sz w:val="18"/>
        </w:rPr>
        <w:t>level</w:t>
      </w:r>
      <w:r>
        <w:rPr>
          <w:spacing w:val="-4"/>
          <w:sz w:val="18"/>
        </w:rPr>
        <w:t xml:space="preserve"> </w:t>
      </w:r>
      <w:r>
        <w:rPr>
          <w:sz w:val="18"/>
        </w:rPr>
        <w:t>3</w:t>
      </w:r>
      <w:r>
        <w:rPr>
          <w:spacing w:val="-4"/>
          <w:sz w:val="18"/>
        </w:rPr>
        <w:t xml:space="preserve"> </w:t>
      </w:r>
      <w:r>
        <w:rPr>
          <w:sz w:val="18"/>
        </w:rPr>
        <w:t>–</w:t>
      </w:r>
      <w:r>
        <w:rPr>
          <w:spacing w:val="-2"/>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5"/>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2"/>
          <w:sz w:val="18"/>
        </w:rPr>
        <w:t xml:space="preserve"> </w:t>
      </w:r>
      <w:r>
        <w:rPr>
          <w:sz w:val="18"/>
        </w:rPr>
        <w:t>substantially</w:t>
      </w:r>
      <w:r>
        <w:rPr>
          <w:spacing w:val="-3"/>
          <w:sz w:val="18"/>
        </w:rPr>
        <w:t xml:space="preserve"> </w:t>
      </w:r>
      <w:r>
        <w:rPr>
          <w:sz w:val="18"/>
        </w:rPr>
        <w:t>derived</w:t>
      </w:r>
      <w:r>
        <w:rPr>
          <w:spacing w:val="-5"/>
          <w:sz w:val="18"/>
        </w:rPr>
        <w:t xml:space="preserve"> </w:t>
      </w:r>
      <w:r>
        <w:rPr>
          <w:sz w:val="18"/>
        </w:rPr>
        <w:t>from</w:t>
      </w:r>
      <w:r>
        <w:rPr>
          <w:spacing w:val="-1"/>
          <w:sz w:val="18"/>
        </w:rPr>
        <w:t xml:space="preserve"> </w:t>
      </w:r>
      <w:r>
        <w:rPr>
          <w:sz w:val="18"/>
        </w:rPr>
        <w:t>unobservable</w:t>
      </w:r>
      <w:r>
        <w:rPr>
          <w:spacing w:val="-1"/>
          <w:sz w:val="18"/>
        </w:rPr>
        <w:t xml:space="preserve"> </w:t>
      </w:r>
      <w:r>
        <w:rPr>
          <w:spacing w:val="-2"/>
          <w:sz w:val="18"/>
        </w:rPr>
        <w:t>inputs.</w:t>
      </w:r>
    </w:p>
    <w:p w14:paraId="5B589CCE" w14:textId="77777777" w:rsidR="00AC6F3C" w:rsidRDefault="00AC6F3C">
      <w:pPr>
        <w:pStyle w:val="BodyText"/>
        <w:spacing w:before="8"/>
      </w:pPr>
    </w:p>
    <w:p w14:paraId="71848198" w14:textId="77777777" w:rsidR="00AC6F3C" w:rsidRDefault="00570E88">
      <w:pPr>
        <w:ind w:left="979" w:right="468" w:hanging="1"/>
        <w:rPr>
          <w:sz w:val="18"/>
        </w:rPr>
      </w:pPr>
      <w:r>
        <w:rPr>
          <w:sz w:val="18"/>
        </w:rPr>
        <w:t>The</w:t>
      </w:r>
      <w:r>
        <w:rPr>
          <w:spacing w:val="-1"/>
          <w:sz w:val="18"/>
        </w:rPr>
        <w:t xml:space="preserve"> </w:t>
      </w:r>
      <w:r>
        <w:rPr>
          <w:sz w:val="18"/>
        </w:rPr>
        <w:t>fair</w:t>
      </w:r>
      <w:r>
        <w:rPr>
          <w:spacing w:val="-2"/>
          <w:sz w:val="18"/>
        </w:rPr>
        <w:t xml:space="preserve"> </w:t>
      </w:r>
      <w:r>
        <w:rPr>
          <w:sz w:val="18"/>
        </w:rPr>
        <w:t>value</w:t>
      </w:r>
      <w:r>
        <w:rPr>
          <w:spacing w:val="-1"/>
          <w:sz w:val="18"/>
        </w:rPr>
        <w:t xml:space="preserve"> </w:t>
      </w:r>
      <w:r>
        <w:rPr>
          <w:sz w:val="18"/>
        </w:rPr>
        <w:t>of</w:t>
      </w:r>
      <w:r>
        <w:rPr>
          <w:spacing w:val="-3"/>
          <w:sz w:val="18"/>
        </w:rPr>
        <w:t xml:space="preserve"> </w:t>
      </w:r>
      <w:r>
        <w:rPr>
          <w:sz w:val="18"/>
        </w:rPr>
        <w:t>investments</w:t>
      </w:r>
      <w:r>
        <w:rPr>
          <w:spacing w:val="-2"/>
          <w:sz w:val="18"/>
        </w:rPr>
        <w:t xml:space="preserve"> </w:t>
      </w:r>
      <w:r>
        <w:rPr>
          <w:sz w:val="18"/>
        </w:rPr>
        <w:t>is</w:t>
      </w:r>
      <w:r>
        <w:rPr>
          <w:spacing w:val="-1"/>
          <w:sz w:val="18"/>
        </w:rPr>
        <w:t xml:space="preserve"> </w:t>
      </w:r>
      <w:r>
        <w:rPr>
          <w:sz w:val="18"/>
        </w:rPr>
        <w:t>determined</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market</w:t>
      </w:r>
      <w:r>
        <w:rPr>
          <w:spacing w:val="-3"/>
          <w:sz w:val="18"/>
        </w:rPr>
        <w:t xml:space="preserve"> </w:t>
      </w:r>
      <w:r>
        <w:rPr>
          <w:sz w:val="18"/>
        </w:rPr>
        <w:t>approach</w:t>
      </w:r>
      <w:r>
        <w:rPr>
          <w:spacing w:val="-3"/>
          <w:sz w:val="18"/>
        </w:rPr>
        <w:t xml:space="preserve"> </w:t>
      </w:r>
      <w:r>
        <w:rPr>
          <w:sz w:val="18"/>
        </w:rPr>
        <w:t>and</w:t>
      </w:r>
      <w:r>
        <w:rPr>
          <w:spacing w:val="-3"/>
          <w:sz w:val="18"/>
        </w:rPr>
        <w:t xml:space="preserve"> </w:t>
      </w:r>
      <w:proofErr w:type="spellStart"/>
      <w:r>
        <w:rPr>
          <w:sz w:val="18"/>
        </w:rPr>
        <w:t>categorised</w:t>
      </w:r>
      <w:proofErr w:type="spellEnd"/>
      <w:r>
        <w:rPr>
          <w:spacing w:val="-1"/>
          <w:sz w:val="18"/>
        </w:rPr>
        <w:t xml:space="preserve"> </w:t>
      </w:r>
      <w:r>
        <w:rPr>
          <w:sz w:val="18"/>
        </w:rPr>
        <w:t>into</w:t>
      </w:r>
      <w:r>
        <w:rPr>
          <w:spacing w:val="-1"/>
          <w:sz w:val="18"/>
        </w:rPr>
        <w:t xml:space="preserve"> </w:t>
      </w:r>
      <w:r>
        <w:rPr>
          <w:sz w:val="18"/>
        </w:rPr>
        <w:t>level</w:t>
      </w:r>
      <w:r>
        <w:rPr>
          <w:spacing w:val="-3"/>
          <w:sz w:val="18"/>
        </w:rPr>
        <w:t xml:space="preserve"> </w:t>
      </w:r>
      <w:r>
        <w:rPr>
          <w:sz w:val="18"/>
        </w:rPr>
        <w:t>2</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fair value hierarchy.</w:t>
      </w:r>
      <w:r>
        <w:rPr>
          <w:spacing w:val="40"/>
          <w:sz w:val="18"/>
        </w:rPr>
        <w:t xml:space="preserve"> </w:t>
      </w:r>
      <w:r>
        <w:rPr>
          <w:sz w:val="18"/>
        </w:rPr>
        <w:t>There were no transfers of assets between fair value hierarchy levels during the period.</w:t>
      </w:r>
    </w:p>
    <w:p w14:paraId="036CA09B" w14:textId="77777777" w:rsidR="00AC6F3C" w:rsidRDefault="00AC6F3C">
      <w:pPr>
        <w:rPr>
          <w:sz w:val="18"/>
        </w:rPr>
        <w:sectPr w:rsidR="00AC6F3C">
          <w:pgSz w:w="11910" w:h="16840"/>
          <w:pgMar w:top="2080" w:right="1160" w:bottom="520" w:left="460" w:header="1297" w:footer="336" w:gutter="0"/>
          <w:cols w:space="720"/>
        </w:sectPr>
      </w:pPr>
    </w:p>
    <w:p w14:paraId="7959FB80" w14:textId="77777777" w:rsidR="00AC6F3C" w:rsidRDefault="00AC6F3C">
      <w:pPr>
        <w:pStyle w:val="BodyText"/>
        <w:spacing w:before="10"/>
        <w:rPr>
          <w:sz w:val="13"/>
        </w:rPr>
      </w:pPr>
    </w:p>
    <w:p w14:paraId="0C124940" w14:textId="77777777" w:rsidR="00AC6F3C" w:rsidRDefault="00570E88">
      <w:pPr>
        <w:pStyle w:val="Heading6"/>
        <w:tabs>
          <w:tab w:val="left" w:pos="1831"/>
        </w:tabs>
        <w:spacing w:before="93"/>
        <w:ind w:left="979"/>
      </w:pPr>
      <w:r>
        <w:rPr>
          <w:spacing w:val="-2"/>
        </w:rPr>
        <w:t>A1-</w:t>
      </w:r>
      <w:r>
        <w:rPr>
          <w:spacing w:val="-10"/>
        </w:rPr>
        <w:t>5</w:t>
      </w:r>
      <w:r>
        <w:tab/>
        <w:t>AUTHORISATION</w:t>
      </w:r>
      <w:r>
        <w:rPr>
          <w:spacing w:val="-3"/>
        </w:rPr>
        <w:t xml:space="preserve"> </w:t>
      </w:r>
      <w:r>
        <w:t>OF</w:t>
      </w:r>
      <w:r>
        <w:rPr>
          <w:spacing w:val="-6"/>
        </w:rPr>
        <w:t xml:space="preserve"> </w:t>
      </w:r>
      <w:r>
        <w:t>FINANCIAL</w:t>
      </w:r>
      <w:r>
        <w:rPr>
          <w:spacing w:val="-2"/>
        </w:rPr>
        <w:t xml:space="preserve"> </w:t>
      </w:r>
      <w:r>
        <w:t>STATEMENTS</w:t>
      </w:r>
      <w:r>
        <w:rPr>
          <w:spacing w:val="-2"/>
        </w:rPr>
        <w:t xml:space="preserve"> </w:t>
      </w:r>
      <w:r>
        <w:t>FOR</w:t>
      </w:r>
      <w:r>
        <w:rPr>
          <w:spacing w:val="-2"/>
        </w:rPr>
        <w:t xml:space="preserve"> ISSUE</w:t>
      </w:r>
    </w:p>
    <w:p w14:paraId="3490D785" w14:textId="77777777" w:rsidR="00AC6F3C" w:rsidRDefault="00AC6F3C">
      <w:pPr>
        <w:pStyle w:val="BodyText"/>
        <w:spacing w:before="8"/>
        <w:rPr>
          <w:b/>
        </w:rPr>
      </w:pPr>
    </w:p>
    <w:p w14:paraId="33A8D6CB" w14:textId="77777777" w:rsidR="00AC6F3C" w:rsidRDefault="00570E88">
      <w:pPr>
        <w:ind w:left="979" w:right="468"/>
        <w:rPr>
          <w:sz w:val="18"/>
        </w:rPr>
      </w:pPr>
      <w:r>
        <w:rPr>
          <w:sz w:val="18"/>
        </w:rPr>
        <w:t>The</w:t>
      </w:r>
      <w:r>
        <w:rPr>
          <w:spacing w:val="-1"/>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are</w:t>
      </w:r>
      <w:r>
        <w:rPr>
          <w:spacing w:val="-1"/>
          <w:sz w:val="18"/>
        </w:rPr>
        <w:t xml:space="preserve"> </w:t>
      </w:r>
      <w:proofErr w:type="spellStart"/>
      <w:r>
        <w:rPr>
          <w:sz w:val="18"/>
        </w:rPr>
        <w:t>authorised</w:t>
      </w:r>
      <w:proofErr w:type="spellEnd"/>
      <w:r>
        <w:rPr>
          <w:spacing w:val="-4"/>
          <w:sz w:val="18"/>
        </w:rPr>
        <w:t xml:space="preserve"> </w:t>
      </w:r>
      <w:r>
        <w:rPr>
          <w:sz w:val="18"/>
        </w:rPr>
        <w:t>for</w:t>
      </w:r>
      <w:r>
        <w:rPr>
          <w:spacing w:val="-4"/>
          <w:sz w:val="18"/>
        </w:rPr>
        <w:t xml:space="preserve"> </w:t>
      </w:r>
      <w:r>
        <w:rPr>
          <w:sz w:val="18"/>
        </w:rPr>
        <w:t>issue</w:t>
      </w:r>
      <w:r>
        <w:rPr>
          <w:spacing w:val="-4"/>
          <w:sz w:val="18"/>
        </w:rPr>
        <w:t xml:space="preserve"> </w:t>
      </w:r>
      <w:r>
        <w:rPr>
          <w:sz w:val="18"/>
        </w:rPr>
        <w:t>by</w:t>
      </w:r>
      <w:r>
        <w:rPr>
          <w:spacing w:val="-1"/>
          <w:sz w:val="18"/>
        </w:rPr>
        <w:t xml:space="preserve"> </w:t>
      </w:r>
      <w:r>
        <w:rPr>
          <w:sz w:val="18"/>
        </w:rPr>
        <w:t>the</w:t>
      </w:r>
      <w:r>
        <w:rPr>
          <w:spacing w:val="-1"/>
          <w:sz w:val="18"/>
        </w:rPr>
        <w:t xml:space="preserve"> </w:t>
      </w:r>
      <w:r>
        <w:rPr>
          <w:sz w:val="18"/>
        </w:rPr>
        <w:t>Queensland</w:t>
      </w:r>
      <w:r>
        <w:rPr>
          <w:spacing w:val="-4"/>
          <w:sz w:val="18"/>
        </w:rPr>
        <w:t xml:space="preserve"> </w:t>
      </w:r>
      <w:r>
        <w:rPr>
          <w:sz w:val="18"/>
        </w:rPr>
        <w:t>Law</w:t>
      </w:r>
      <w:r>
        <w:rPr>
          <w:spacing w:val="-2"/>
          <w:sz w:val="18"/>
        </w:rPr>
        <w:t xml:space="preserve"> </w:t>
      </w:r>
      <w:r>
        <w:rPr>
          <w:sz w:val="18"/>
        </w:rPr>
        <w:t>Society</w:t>
      </w:r>
      <w:r>
        <w:rPr>
          <w:spacing w:val="-1"/>
          <w:sz w:val="18"/>
        </w:rPr>
        <w:t xml:space="preserve"> </w:t>
      </w:r>
      <w:r>
        <w:rPr>
          <w:sz w:val="18"/>
        </w:rPr>
        <w:t>Incorporated’s</w:t>
      </w:r>
      <w:r>
        <w:rPr>
          <w:spacing w:val="-1"/>
          <w:sz w:val="18"/>
        </w:rPr>
        <w:t xml:space="preserve"> </w:t>
      </w:r>
      <w:r>
        <w:rPr>
          <w:sz w:val="18"/>
        </w:rPr>
        <w:t>President</w:t>
      </w:r>
      <w:r>
        <w:rPr>
          <w:spacing w:val="-4"/>
          <w:sz w:val="18"/>
        </w:rPr>
        <w:t xml:space="preserve"> </w:t>
      </w:r>
      <w:r>
        <w:rPr>
          <w:sz w:val="18"/>
        </w:rPr>
        <w:t>and Chief Executive Officer at the date of signing the Management Certificate.</w:t>
      </w:r>
    </w:p>
    <w:p w14:paraId="6F44FC8A" w14:textId="77777777" w:rsidR="00AC6F3C" w:rsidRDefault="00AC6F3C">
      <w:pPr>
        <w:pStyle w:val="BodyText"/>
      </w:pPr>
    </w:p>
    <w:p w14:paraId="44992F52" w14:textId="77777777" w:rsidR="00AC6F3C" w:rsidRDefault="00AC6F3C">
      <w:pPr>
        <w:pStyle w:val="BodyText"/>
        <w:spacing w:before="8"/>
        <w:rPr>
          <w:sz w:val="18"/>
        </w:rPr>
      </w:pPr>
    </w:p>
    <w:p w14:paraId="43B939ED" w14:textId="77777777" w:rsidR="00AC6F3C" w:rsidRDefault="00570E88">
      <w:pPr>
        <w:tabs>
          <w:tab w:val="left" w:pos="1831"/>
        </w:tabs>
        <w:ind w:left="979"/>
        <w:rPr>
          <w:b/>
          <w:sz w:val="28"/>
        </w:rPr>
      </w:pPr>
      <w:r>
        <w:rPr>
          <w:b/>
          <w:spacing w:val="-5"/>
          <w:sz w:val="28"/>
        </w:rPr>
        <w:t>A2</w:t>
      </w:r>
      <w:r>
        <w:rPr>
          <w:b/>
          <w:sz w:val="28"/>
        </w:rPr>
        <w:tab/>
        <w:t>THE</w:t>
      </w:r>
      <w:r>
        <w:rPr>
          <w:b/>
          <w:spacing w:val="-5"/>
          <w:sz w:val="28"/>
        </w:rPr>
        <w:t xml:space="preserve"> </w:t>
      </w:r>
      <w:r>
        <w:rPr>
          <w:b/>
          <w:sz w:val="28"/>
        </w:rPr>
        <w:t>FUND’S</w:t>
      </w:r>
      <w:r>
        <w:rPr>
          <w:b/>
          <w:spacing w:val="-4"/>
          <w:sz w:val="28"/>
        </w:rPr>
        <w:t xml:space="preserve"> </w:t>
      </w:r>
      <w:r>
        <w:rPr>
          <w:b/>
          <w:spacing w:val="-2"/>
          <w:sz w:val="28"/>
        </w:rPr>
        <w:t>OBJECTIVES</w:t>
      </w:r>
    </w:p>
    <w:p w14:paraId="33F00A79" w14:textId="77777777" w:rsidR="00AC6F3C" w:rsidRDefault="00570E88">
      <w:pPr>
        <w:spacing w:before="120"/>
        <w:ind w:left="979" w:right="468"/>
        <w:rPr>
          <w:sz w:val="18"/>
        </w:rPr>
      </w:pPr>
      <w:r>
        <w:rPr>
          <w:sz w:val="18"/>
        </w:rPr>
        <w:t xml:space="preserve">The Fund administers insurance matters (jointly with Lexon Insurance Pte Ltd) in accordance with the </w:t>
      </w:r>
      <w:r>
        <w:rPr>
          <w:i/>
          <w:sz w:val="18"/>
        </w:rPr>
        <w:t xml:space="preserve">Queensland Law Society Indemnity Rule 2005. </w:t>
      </w:r>
      <w:r>
        <w:rPr>
          <w:sz w:val="18"/>
        </w:rPr>
        <w:t>The main source of income is the collection of Professional Indemnity</w:t>
      </w:r>
      <w:r>
        <w:rPr>
          <w:spacing w:val="-2"/>
          <w:sz w:val="18"/>
        </w:rPr>
        <w:t xml:space="preserve"> </w:t>
      </w:r>
      <w:r>
        <w:rPr>
          <w:sz w:val="18"/>
        </w:rPr>
        <w:t>insurance</w:t>
      </w:r>
      <w:r>
        <w:rPr>
          <w:spacing w:val="-2"/>
          <w:sz w:val="18"/>
        </w:rPr>
        <w:t xml:space="preserve"> </w:t>
      </w:r>
      <w:r>
        <w:rPr>
          <w:sz w:val="18"/>
        </w:rPr>
        <w:t>levies</w:t>
      </w:r>
      <w:r>
        <w:rPr>
          <w:spacing w:val="-2"/>
          <w:sz w:val="18"/>
        </w:rPr>
        <w:t xml:space="preserve"> </w:t>
      </w:r>
      <w:r>
        <w:rPr>
          <w:sz w:val="18"/>
        </w:rPr>
        <w:t>for</w:t>
      </w:r>
      <w:r>
        <w:rPr>
          <w:spacing w:val="-5"/>
          <w:sz w:val="18"/>
        </w:rPr>
        <w:t xml:space="preserve"> </w:t>
      </w:r>
      <w:r>
        <w:rPr>
          <w:sz w:val="18"/>
        </w:rPr>
        <w:t>payment</w:t>
      </w:r>
      <w:r>
        <w:rPr>
          <w:spacing w:val="-5"/>
          <w:sz w:val="18"/>
        </w:rPr>
        <w:t xml:space="preserve"> </w:t>
      </w:r>
      <w:r>
        <w:rPr>
          <w:sz w:val="18"/>
        </w:rPr>
        <w:t>of</w:t>
      </w:r>
      <w:r>
        <w:rPr>
          <w:spacing w:val="-3"/>
          <w:sz w:val="18"/>
        </w:rPr>
        <w:t xml:space="preserve"> </w:t>
      </w:r>
      <w:r>
        <w:rPr>
          <w:sz w:val="18"/>
        </w:rPr>
        <w:t>insurance</w:t>
      </w:r>
      <w:r>
        <w:rPr>
          <w:spacing w:val="-2"/>
          <w:sz w:val="18"/>
        </w:rPr>
        <w:t xml:space="preserve"> </w:t>
      </w:r>
      <w:r>
        <w:rPr>
          <w:sz w:val="18"/>
        </w:rPr>
        <w:t>premiums</w:t>
      </w:r>
      <w:r>
        <w:rPr>
          <w:spacing w:val="-2"/>
          <w:sz w:val="18"/>
        </w:rPr>
        <w:t xml:space="preserve"> </w:t>
      </w:r>
      <w:r>
        <w:rPr>
          <w:sz w:val="18"/>
        </w:rPr>
        <w:t>to</w:t>
      </w:r>
      <w:r>
        <w:rPr>
          <w:spacing w:val="-2"/>
          <w:sz w:val="18"/>
        </w:rPr>
        <w:t xml:space="preserve"> </w:t>
      </w:r>
      <w:r>
        <w:rPr>
          <w:sz w:val="18"/>
        </w:rPr>
        <w:t>Lexon</w:t>
      </w:r>
      <w:r>
        <w:rPr>
          <w:spacing w:val="-5"/>
          <w:sz w:val="18"/>
        </w:rPr>
        <w:t xml:space="preserve"> </w:t>
      </w:r>
      <w:r>
        <w:rPr>
          <w:sz w:val="18"/>
        </w:rPr>
        <w:t>under</w:t>
      </w:r>
      <w:r>
        <w:rPr>
          <w:spacing w:val="-3"/>
          <w:sz w:val="18"/>
        </w:rPr>
        <w:t xml:space="preserve"> </w:t>
      </w:r>
      <w:r>
        <w:rPr>
          <w:sz w:val="18"/>
        </w:rPr>
        <w:t>the</w:t>
      </w:r>
      <w:r>
        <w:rPr>
          <w:spacing w:val="-2"/>
          <w:sz w:val="18"/>
        </w:rPr>
        <w:t xml:space="preserve"> </w:t>
      </w:r>
      <w:r>
        <w:rPr>
          <w:sz w:val="18"/>
        </w:rPr>
        <w:t>Master</w:t>
      </w:r>
      <w:r>
        <w:rPr>
          <w:spacing w:val="-5"/>
          <w:sz w:val="18"/>
        </w:rPr>
        <w:t xml:space="preserve"> </w:t>
      </w:r>
      <w:r>
        <w:rPr>
          <w:sz w:val="18"/>
        </w:rPr>
        <w:t>Policy</w:t>
      </w:r>
      <w:r>
        <w:rPr>
          <w:spacing w:val="-2"/>
          <w:sz w:val="18"/>
        </w:rPr>
        <w:t xml:space="preserve"> </w:t>
      </w:r>
      <w:r>
        <w:rPr>
          <w:sz w:val="18"/>
        </w:rPr>
        <w:t>in</w:t>
      </w:r>
      <w:r>
        <w:rPr>
          <w:spacing w:val="-2"/>
          <w:sz w:val="18"/>
        </w:rPr>
        <w:t xml:space="preserve"> </w:t>
      </w:r>
      <w:r>
        <w:rPr>
          <w:sz w:val="18"/>
        </w:rPr>
        <w:t>accordance with the Indemnity Rule.</w:t>
      </w:r>
    </w:p>
    <w:p w14:paraId="1ACE817A" w14:textId="77777777" w:rsidR="00AC6F3C" w:rsidRDefault="00AC6F3C">
      <w:pPr>
        <w:pStyle w:val="BodyText"/>
        <w:spacing w:before="10"/>
      </w:pPr>
    </w:p>
    <w:p w14:paraId="7F49DDAA" w14:textId="77777777" w:rsidR="00AC6F3C" w:rsidRDefault="00570E88">
      <w:pPr>
        <w:ind w:left="979"/>
        <w:rPr>
          <w:sz w:val="18"/>
        </w:rPr>
      </w:pPr>
      <w:r>
        <w:rPr>
          <w:sz w:val="18"/>
        </w:rPr>
        <w:t>The</w:t>
      </w:r>
      <w:r>
        <w:rPr>
          <w:spacing w:val="-1"/>
          <w:sz w:val="18"/>
        </w:rPr>
        <w:t xml:space="preserve"> </w:t>
      </w:r>
      <w:r>
        <w:rPr>
          <w:sz w:val="18"/>
        </w:rPr>
        <w:t>Fund</w:t>
      </w:r>
      <w:r>
        <w:rPr>
          <w:spacing w:val="-4"/>
          <w:sz w:val="18"/>
        </w:rPr>
        <w:t xml:space="preserve"> </w:t>
      </w:r>
      <w:r>
        <w:rPr>
          <w:sz w:val="18"/>
        </w:rPr>
        <w:t>continues</w:t>
      </w:r>
      <w:r>
        <w:rPr>
          <w:spacing w:val="-1"/>
          <w:sz w:val="18"/>
        </w:rPr>
        <w:t xml:space="preserve"> </w:t>
      </w:r>
      <w:r>
        <w:rPr>
          <w:sz w:val="18"/>
        </w:rPr>
        <w:t>to</w:t>
      </w:r>
      <w:r>
        <w:rPr>
          <w:spacing w:val="-1"/>
          <w:sz w:val="18"/>
        </w:rPr>
        <w:t xml:space="preserve"> </w:t>
      </w:r>
      <w:r>
        <w:rPr>
          <w:sz w:val="18"/>
        </w:rPr>
        <w:t>accumulate</w:t>
      </w:r>
      <w:r>
        <w:rPr>
          <w:spacing w:val="-4"/>
          <w:sz w:val="18"/>
        </w:rPr>
        <w:t xml:space="preserve"> </w:t>
      </w:r>
      <w:r>
        <w:rPr>
          <w:sz w:val="18"/>
        </w:rPr>
        <w:t>reserves</w:t>
      </w:r>
      <w:r>
        <w:rPr>
          <w:spacing w:val="-1"/>
          <w:sz w:val="18"/>
        </w:rPr>
        <w:t xml:space="preserve"> </w:t>
      </w:r>
      <w:r>
        <w:rPr>
          <w:sz w:val="18"/>
        </w:rPr>
        <w:t>in</w:t>
      </w:r>
      <w:r>
        <w:rPr>
          <w:spacing w:val="-1"/>
          <w:sz w:val="18"/>
        </w:rPr>
        <w:t xml:space="preserve"> </w:t>
      </w:r>
      <w:r>
        <w:rPr>
          <w:sz w:val="18"/>
        </w:rPr>
        <w:t>accordance</w:t>
      </w:r>
      <w:r>
        <w:rPr>
          <w:spacing w:val="-4"/>
          <w:sz w:val="18"/>
        </w:rPr>
        <w:t xml:space="preserve"> </w:t>
      </w:r>
      <w:r>
        <w:rPr>
          <w:sz w:val="18"/>
        </w:rPr>
        <w:t>with</w:t>
      </w:r>
      <w:r>
        <w:rPr>
          <w:spacing w:val="-1"/>
          <w:sz w:val="18"/>
        </w:rPr>
        <w:t xml:space="preserve"> </w:t>
      </w:r>
      <w:r>
        <w:rPr>
          <w:sz w:val="18"/>
        </w:rPr>
        <w:t>actuarial</w:t>
      </w:r>
      <w:r>
        <w:rPr>
          <w:spacing w:val="-4"/>
          <w:sz w:val="18"/>
        </w:rPr>
        <w:t xml:space="preserve"> </w:t>
      </w:r>
      <w:r>
        <w:rPr>
          <w:sz w:val="18"/>
        </w:rPr>
        <w:t>assessments</w:t>
      </w:r>
      <w:r>
        <w:rPr>
          <w:spacing w:val="-1"/>
          <w:sz w:val="18"/>
        </w:rPr>
        <w:t xml:space="preserve"> </w:t>
      </w:r>
      <w:r>
        <w:rPr>
          <w:sz w:val="18"/>
        </w:rPr>
        <w:t>for</w:t>
      </w:r>
      <w:r>
        <w:rPr>
          <w:spacing w:val="-4"/>
          <w:sz w:val="18"/>
        </w:rPr>
        <w:t xml:space="preserve"> </w:t>
      </w:r>
      <w:r>
        <w:rPr>
          <w:sz w:val="18"/>
        </w:rPr>
        <w:t>the</w:t>
      </w:r>
      <w:r>
        <w:rPr>
          <w:spacing w:val="-1"/>
          <w:sz w:val="18"/>
        </w:rPr>
        <w:t xml:space="preserve"> </w:t>
      </w:r>
      <w:r>
        <w:rPr>
          <w:sz w:val="18"/>
        </w:rPr>
        <w:t>benefit</w:t>
      </w:r>
      <w:r>
        <w:rPr>
          <w:spacing w:val="-2"/>
          <w:sz w:val="18"/>
        </w:rPr>
        <w:t xml:space="preserve"> </w:t>
      </w:r>
      <w:r>
        <w:rPr>
          <w:sz w:val="18"/>
        </w:rPr>
        <w:t>of</w:t>
      </w:r>
      <w:r>
        <w:rPr>
          <w:spacing w:val="-4"/>
          <w:sz w:val="18"/>
        </w:rPr>
        <w:t xml:space="preserve"> </w:t>
      </w:r>
      <w:r>
        <w:rPr>
          <w:sz w:val="18"/>
        </w:rPr>
        <w:t>all practitioners who have contributed to the Fund.</w:t>
      </w:r>
    </w:p>
    <w:p w14:paraId="4FC9B360" w14:textId="77777777" w:rsidR="00AC6F3C" w:rsidRDefault="00AC6F3C">
      <w:pPr>
        <w:pStyle w:val="BodyText"/>
        <w:spacing w:before="11"/>
      </w:pPr>
    </w:p>
    <w:p w14:paraId="07F34404" w14:textId="77777777" w:rsidR="00AC6F3C" w:rsidRDefault="00570E88">
      <w:pPr>
        <w:ind w:left="979" w:right="234"/>
        <w:rPr>
          <w:sz w:val="18"/>
        </w:rPr>
      </w:pPr>
      <w:r>
        <w:rPr>
          <w:sz w:val="18"/>
        </w:rPr>
        <w:t>The fund is responsible</w:t>
      </w:r>
      <w:r>
        <w:rPr>
          <w:spacing w:val="-2"/>
          <w:sz w:val="18"/>
        </w:rPr>
        <w:t xml:space="preserve"> </w:t>
      </w:r>
      <w:r>
        <w:rPr>
          <w:sz w:val="18"/>
        </w:rPr>
        <w:t>for</w:t>
      </w:r>
      <w:r>
        <w:rPr>
          <w:spacing w:val="-2"/>
          <w:sz w:val="18"/>
        </w:rPr>
        <w:t xml:space="preserve"> </w:t>
      </w:r>
      <w:r>
        <w:rPr>
          <w:sz w:val="18"/>
        </w:rPr>
        <w:t>individual</w:t>
      </w:r>
      <w:r>
        <w:rPr>
          <w:spacing w:val="-2"/>
          <w:sz w:val="18"/>
        </w:rPr>
        <w:t xml:space="preserve"> </w:t>
      </w:r>
      <w:r>
        <w:rPr>
          <w:sz w:val="18"/>
        </w:rPr>
        <w:t>claims costs up</w:t>
      </w:r>
      <w:r>
        <w:rPr>
          <w:spacing w:val="-2"/>
          <w:sz w:val="18"/>
        </w:rPr>
        <w:t xml:space="preserve"> </w:t>
      </w:r>
      <w:r>
        <w:rPr>
          <w:sz w:val="18"/>
        </w:rPr>
        <w:t>to</w:t>
      </w:r>
      <w:r>
        <w:rPr>
          <w:spacing w:val="-2"/>
          <w:sz w:val="18"/>
        </w:rPr>
        <w:t xml:space="preserve"> </w:t>
      </w:r>
      <w:r>
        <w:rPr>
          <w:sz w:val="18"/>
        </w:rPr>
        <w:t>a predefined amount which</w:t>
      </w:r>
      <w:r>
        <w:rPr>
          <w:spacing w:val="-2"/>
          <w:sz w:val="18"/>
        </w:rPr>
        <w:t xml:space="preserve"> </w:t>
      </w:r>
      <w:r>
        <w:rPr>
          <w:sz w:val="18"/>
        </w:rPr>
        <w:t>varied</w:t>
      </w:r>
      <w:r>
        <w:rPr>
          <w:spacing w:val="-2"/>
          <w:sz w:val="18"/>
        </w:rPr>
        <w:t xml:space="preserve"> </w:t>
      </w:r>
      <w:r>
        <w:rPr>
          <w:sz w:val="18"/>
        </w:rPr>
        <w:t>per insurance</w:t>
      </w:r>
      <w:r>
        <w:rPr>
          <w:spacing w:val="-2"/>
          <w:sz w:val="18"/>
        </w:rPr>
        <w:t xml:space="preserve"> </w:t>
      </w:r>
      <w:r>
        <w:rPr>
          <w:sz w:val="18"/>
        </w:rPr>
        <w:t>year</w:t>
      </w:r>
      <w:r>
        <w:rPr>
          <w:spacing w:val="-3"/>
          <w:sz w:val="18"/>
        </w:rPr>
        <w:t xml:space="preserve"> </w:t>
      </w:r>
      <w:r>
        <w:rPr>
          <w:sz w:val="18"/>
        </w:rPr>
        <w:t>for the</w:t>
      </w:r>
      <w:r>
        <w:rPr>
          <w:spacing w:val="-1"/>
          <w:sz w:val="18"/>
        </w:rPr>
        <w:t xml:space="preserve"> </w:t>
      </w:r>
      <w:r>
        <w:rPr>
          <w:sz w:val="18"/>
        </w:rPr>
        <w:t>periods</w:t>
      </w:r>
      <w:r>
        <w:rPr>
          <w:spacing w:val="-1"/>
          <w:sz w:val="18"/>
        </w:rPr>
        <w:t xml:space="preserve"> </w:t>
      </w:r>
      <w:r>
        <w:rPr>
          <w:sz w:val="18"/>
        </w:rPr>
        <w:t>1987</w:t>
      </w:r>
      <w:r>
        <w:rPr>
          <w:spacing w:val="-4"/>
          <w:sz w:val="18"/>
        </w:rPr>
        <w:t xml:space="preserve"> </w:t>
      </w:r>
      <w:r>
        <w:rPr>
          <w:sz w:val="18"/>
        </w:rPr>
        <w:t>to</w:t>
      </w:r>
      <w:r>
        <w:rPr>
          <w:spacing w:val="-1"/>
          <w:sz w:val="18"/>
        </w:rPr>
        <w:t xml:space="preserve"> </w:t>
      </w:r>
      <w:r>
        <w:rPr>
          <w:sz w:val="18"/>
        </w:rPr>
        <w:t>1995.</w:t>
      </w:r>
      <w:r>
        <w:rPr>
          <w:spacing w:val="-4"/>
          <w:sz w:val="18"/>
        </w:rPr>
        <w:t xml:space="preserve"> </w:t>
      </w:r>
      <w:r>
        <w:rPr>
          <w:sz w:val="18"/>
        </w:rPr>
        <w:t>In</w:t>
      </w:r>
      <w:r>
        <w:rPr>
          <w:spacing w:val="-1"/>
          <w:sz w:val="18"/>
        </w:rPr>
        <w:t xml:space="preserve"> </w:t>
      </w:r>
      <w:r>
        <w:rPr>
          <w:sz w:val="18"/>
        </w:rPr>
        <w:t>2001,</w:t>
      </w:r>
      <w:r>
        <w:rPr>
          <w:spacing w:val="-2"/>
          <w:sz w:val="18"/>
        </w:rPr>
        <w:t xml:space="preserve"> </w:t>
      </w:r>
      <w:r>
        <w:rPr>
          <w:sz w:val="18"/>
        </w:rPr>
        <w:t>the</w:t>
      </w:r>
      <w:r>
        <w:rPr>
          <w:spacing w:val="-1"/>
          <w:sz w:val="18"/>
        </w:rPr>
        <w:t xml:space="preserve"> </w:t>
      </w:r>
      <w:r>
        <w:rPr>
          <w:sz w:val="18"/>
        </w:rPr>
        <w:t>fund</w:t>
      </w:r>
      <w:r>
        <w:rPr>
          <w:spacing w:val="-4"/>
          <w:sz w:val="18"/>
        </w:rPr>
        <w:t xml:space="preserve"> </w:t>
      </w:r>
      <w:r>
        <w:rPr>
          <w:sz w:val="18"/>
        </w:rPr>
        <w:t>entered</w:t>
      </w:r>
      <w:r>
        <w:rPr>
          <w:spacing w:val="-1"/>
          <w:sz w:val="18"/>
        </w:rPr>
        <w:t xml:space="preserve"> </w:t>
      </w:r>
      <w:r>
        <w:rPr>
          <w:sz w:val="18"/>
        </w:rPr>
        <w:t>into</w:t>
      </w:r>
      <w:r>
        <w:rPr>
          <w:spacing w:val="-4"/>
          <w:sz w:val="18"/>
        </w:rPr>
        <w:t xml:space="preserve"> </w:t>
      </w:r>
      <w:r>
        <w:rPr>
          <w:sz w:val="18"/>
        </w:rPr>
        <w:t>an</w:t>
      </w:r>
      <w:r>
        <w:rPr>
          <w:spacing w:val="-1"/>
          <w:sz w:val="18"/>
        </w:rPr>
        <w:t xml:space="preserve"> </w:t>
      </w:r>
      <w:r>
        <w:rPr>
          <w:sz w:val="18"/>
        </w:rPr>
        <w:t>aggregate</w:t>
      </w:r>
      <w:r>
        <w:rPr>
          <w:spacing w:val="-1"/>
          <w:sz w:val="18"/>
        </w:rPr>
        <w:t xml:space="preserve"> </w:t>
      </w:r>
      <w:r>
        <w:rPr>
          <w:sz w:val="18"/>
        </w:rPr>
        <w:t>policy</w:t>
      </w:r>
      <w:r>
        <w:rPr>
          <w:spacing w:val="-1"/>
          <w:sz w:val="18"/>
        </w:rPr>
        <w:t xml:space="preserve"> </w:t>
      </w:r>
      <w:r>
        <w:rPr>
          <w:sz w:val="18"/>
        </w:rPr>
        <w:t>with</w:t>
      </w:r>
      <w:r>
        <w:rPr>
          <w:spacing w:val="-4"/>
          <w:sz w:val="18"/>
        </w:rPr>
        <w:t xml:space="preserve"> </w:t>
      </w:r>
      <w:r>
        <w:rPr>
          <w:sz w:val="18"/>
        </w:rPr>
        <w:t>Lexon</w:t>
      </w:r>
      <w:r>
        <w:rPr>
          <w:spacing w:val="-1"/>
          <w:sz w:val="18"/>
        </w:rPr>
        <w:t xml:space="preserve"> </w:t>
      </w:r>
      <w:r>
        <w:rPr>
          <w:sz w:val="18"/>
        </w:rPr>
        <w:t>Insurance</w:t>
      </w:r>
      <w:r>
        <w:rPr>
          <w:spacing w:val="-1"/>
          <w:sz w:val="18"/>
        </w:rPr>
        <w:t xml:space="preserve"> </w:t>
      </w:r>
      <w:r>
        <w:rPr>
          <w:sz w:val="18"/>
        </w:rPr>
        <w:t>Pte</w:t>
      </w:r>
      <w:r>
        <w:rPr>
          <w:spacing w:val="-4"/>
          <w:sz w:val="18"/>
        </w:rPr>
        <w:t xml:space="preserve"> </w:t>
      </w:r>
      <w:r>
        <w:rPr>
          <w:sz w:val="18"/>
        </w:rPr>
        <w:t>Ltd</w:t>
      </w:r>
      <w:r>
        <w:rPr>
          <w:spacing w:val="-1"/>
          <w:sz w:val="18"/>
        </w:rPr>
        <w:t xml:space="preserve"> </w:t>
      </w:r>
      <w:r>
        <w:rPr>
          <w:sz w:val="18"/>
        </w:rPr>
        <w:t>to</w:t>
      </w:r>
      <w:r>
        <w:rPr>
          <w:spacing w:val="-1"/>
          <w:sz w:val="18"/>
        </w:rPr>
        <w:t xml:space="preserve"> </w:t>
      </w:r>
      <w:r>
        <w:rPr>
          <w:sz w:val="18"/>
        </w:rPr>
        <w:t>cap the sum of the individual claims that remained outstanding. This aggregate amount has not been exceeded and given the fund currently has no outstanding claims it is unlikely further claims expenses will be incurred.</w:t>
      </w:r>
    </w:p>
    <w:p w14:paraId="1A8514A3" w14:textId="77777777" w:rsidR="00AC6F3C" w:rsidRDefault="00AC6F3C">
      <w:pPr>
        <w:pStyle w:val="BodyText"/>
        <w:spacing w:before="10"/>
        <w:rPr>
          <w:sz w:val="17"/>
        </w:rPr>
      </w:pPr>
    </w:p>
    <w:p w14:paraId="7E757A1E" w14:textId="77777777" w:rsidR="00AC6F3C" w:rsidRDefault="00570E88">
      <w:pPr>
        <w:tabs>
          <w:tab w:val="left" w:pos="1831"/>
        </w:tabs>
        <w:spacing w:before="1"/>
        <w:ind w:left="979"/>
        <w:rPr>
          <w:b/>
          <w:sz w:val="28"/>
        </w:rPr>
      </w:pPr>
      <w:r>
        <w:rPr>
          <w:b/>
          <w:spacing w:val="-5"/>
          <w:sz w:val="28"/>
        </w:rPr>
        <w:t>B1</w:t>
      </w:r>
      <w:r>
        <w:rPr>
          <w:b/>
          <w:sz w:val="28"/>
        </w:rPr>
        <w:tab/>
      </w:r>
      <w:r>
        <w:rPr>
          <w:b/>
          <w:spacing w:val="-2"/>
          <w:sz w:val="28"/>
        </w:rPr>
        <w:t>REVENUE</w:t>
      </w:r>
    </w:p>
    <w:p w14:paraId="7BDAC6FB" w14:textId="77777777" w:rsidR="00AC6F3C" w:rsidRDefault="00570E88">
      <w:pPr>
        <w:pStyle w:val="Heading6"/>
        <w:tabs>
          <w:tab w:val="left" w:pos="1831"/>
        </w:tabs>
        <w:ind w:left="979"/>
      </w:pPr>
      <w:r>
        <w:rPr>
          <w:spacing w:val="-2"/>
        </w:rPr>
        <w:t>B1-</w:t>
      </w:r>
      <w:r>
        <w:rPr>
          <w:spacing w:val="-10"/>
        </w:rPr>
        <w:t>1</w:t>
      </w:r>
      <w:r>
        <w:tab/>
        <w:t>INSURANCE</w:t>
      </w:r>
      <w:r>
        <w:rPr>
          <w:spacing w:val="-5"/>
        </w:rPr>
        <w:t xml:space="preserve"> </w:t>
      </w:r>
      <w:r>
        <w:rPr>
          <w:spacing w:val="-2"/>
        </w:rPr>
        <w:t>LEVIES</w:t>
      </w:r>
    </w:p>
    <w:p w14:paraId="13109594" w14:textId="77777777" w:rsidR="00AC6F3C" w:rsidRDefault="00AC6F3C">
      <w:pPr>
        <w:pStyle w:val="BodyText"/>
        <w:spacing w:before="8"/>
        <w:rPr>
          <w:b/>
        </w:rPr>
      </w:pPr>
    </w:p>
    <w:p w14:paraId="7E47151F" w14:textId="77777777" w:rsidR="00AC6F3C" w:rsidRDefault="00570E88">
      <w:pPr>
        <w:ind w:left="979"/>
        <w:rPr>
          <w:sz w:val="18"/>
        </w:rPr>
      </w:pPr>
      <w:r>
        <w:rPr>
          <w:sz w:val="18"/>
        </w:rPr>
        <w:t>Insurance</w:t>
      </w:r>
      <w:r>
        <w:rPr>
          <w:spacing w:val="-2"/>
          <w:sz w:val="18"/>
        </w:rPr>
        <w:t xml:space="preserve"> </w:t>
      </w:r>
      <w:r>
        <w:rPr>
          <w:sz w:val="18"/>
        </w:rPr>
        <w:t>levies</w:t>
      </w:r>
      <w:r>
        <w:rPr>
          <w:spacing w:val="-2"/>
          <w:sz w:val="18"/>
        </w:rPr>
        <w:t xml:space="preserve"> </w:t>
      </w:r>
      <w:r>
        <w:rPr>
          <w:sz w:val="18"/>
        </w:rPr>
        <w:t>are</w:t>
      </w:r>
      <w:r>
        <w:rPr>
          <w:spacing w:val="-2"/>
          <w:sz w:val="18"/>
        </w:rPr>
        <w:t xml:space="preserve"> </w:t>
      </w:r>
      <w:proofErr w:type="spellStart"/>
      <w:r>
        <w:rPr>
          <w:sz w:val="18"/>
        </w:rPr>
        <w:t>recognised</w:t>
      </w:r>
      <w:proofErr w:type="spellEnd"/>
      <w:r>
        <w:rPr>
          <w:spacing w:val="-2"/>
          <w:sz w:val="18"/>
        </w:rPr>
        <w:t xml:space="preserve"> </w:t>
      </w:r>
      <w:r>
        <w:rPr>
          <w:sz w:val="18"/>
        </w:rPr>
        <w:t>as</w:t>
      </w:r>
      <w:r>
        <w:rPr>
          <w:spacing w:val="-2"/>
          <w:sz w:val="18"/>
        </w:rPr>
        <w:t xml:space="preserve"> </w:t>
      </w:r>
      <w:r>
        <w:rPr>
          <w:sz w:val="18"/>
        </w:rPr>
        <w:t>revenue</w:t>
      </w:r>
      <w:r>
        <w:rPr>
          <w:spacing w:val="-5"/>
          <w:sz w:val="18"/>
        </w:rPr>
        <w:t xml:space="preserve"> </w:t>
      </w:r>
      <w:r>
        <w:rPr>
          <w:sz w:val="18"/>
        </w:rPr>
        <w:t>at</w:t>
      </w:r>
      <w:r>
        <w:rPr>
          <w:spacing w:val="-3"/>
          <w:sz w:val="18"/>
        </w:rPr>
        <w:t xml:space="preserve"> </w:t>
      </w:r>
      <w:r>
        <w:rPr>
          <w:sz w:val="18"/>
        </w:rPr>
        <w:t>the</w:t>
      </w:r>
      <w:r>
        <w:rPr>
          <w:spacing w:val="-2"/>
          <w:sz w:val="18"/>
        </w:rPr>
        <w:t xml:space="preserve"> </w:t>
      </w:r>
      <w:r>
        <w:rPr>
          <w:sz w:val="18"/>
        </w:rPr>
        <w:t>commencement</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risk</w:t>
      </w:r>
      <w:r>
        <w:rPr>
          <w:spacing w:val="-2"/>
          <w:sz w:val="18"/>
        </w:rPr>
        <w:t xml:space="preserve"> </w:t>
      </w:r>
      <w:r>
        <w:rPr>
          <w:sz w:val="18"/>
        </w:rPr>
        <w:t>period</w:t>
      </w:r>
      <w:r>
        <w:rPr>
          <w:spacing w:val="-5"/>
          <w:sz w:val="18"/>
        </w:rPr>
        <w:t xml:space="preserve"> </w:t>
      </w:r>
      <w:r>
        <w:rPr>
          <w:sz w:val="18"/>
        </w:rPr>
        <w:t>covered</w:t>
      </w:r>
      <w:r>
        <w:rPr>
          <w:spacing w:val="-2"/>
          <w:sz w:val="18"/>
        </w:rPr>
        <w:t xml:space="preserve"> </w:t>
      </w:r>
      <w:r>
        <w:rPr>
          <w:sz w:val="18"/>
        </w:rPr>
        <w:t>by</w:t>
      </w:r>
      <w:r>
        <w:rPr>
          <w:spacing w:val="-2"/>
          <w:sz w:val="18"/>
        </w:rPr>
        <w:t xml:space="preserve"> </w:t>
      </w:r>
      <w:r>
        <w:rPr>
          <w:sz w:val="18"/>
        </w:rPr>
        <w:t>the</w:t>
      </w:r>
      <w:r>
        <w:rPr>
          <w:spacing w:val="-5"/>
          <w:sz w:val="18"/>
        </w:rPr>
        <w:t xml:space="preserve"> </w:t>
      </w:r>
      <w:r>
        <w:rPr>
          <w:sz w:val="18"/>
        </w:rPr>
        <w:t>policy</w:t>
      </w:r>
      <w:r>
        <w:rPr>
          <w:spacing w:val="-2"/>
          <w:sz w:val="18"/>
        </w:rPr>
        <w:t xml:space="preserve"> </w:t>
      </w:r>
      <w:r>
        <w:rPr>
          <w:sz w:val="18"/>
        </w:rPr>
        <w:t>and accrued proportionally over the period of coverage.</w:t>
      </w:r>
    </w:p>
    <w:p w14:paraId="0802359C" w14:textId="77777777" w:rsidR="00AC6F3C" w:rsidRDefault="00AC6F3C">
      <w:pPr>
        <w:pStyle w:val="BodyText"/>
        <w:rPr>
          <w:sz w:val="21"/>
        </w:rPr>
      </w:pPr>
    </w:p>
    <w:p w14:paraId="57CF5226" w14:textId="77777777" w:rsidR="00AC6F3C" w:rsidRDefault="00570E88">
      <w:pPr>
        <w:ind w:left="979"/>
        <w:rPr>
          <w:sz w:val="18"/>
        </w:rPr>
      </w:pPr>
      <w:r>
        <w:rPr>
          <w:sz w:val="18"/>
        </w:rPr>
        <w:t>Additional</w:t>
      </w:r>
      <w:r>
        <w:rPr>
          <w:spacing w:val="-1"/>
          <w:sz w:val="18"/>
        </w:rPr>
        <w:t xml:space="preserve"> </w:t>
      </w:r>
      <w:r>
        <w:rPr>
          <w:sz w:val="18"/>
        </w:rPr>
        <w:t>levies</w:t>
      </w:r>
      <w:r>
        <w:rPr>
          <w:spacing w:val="-3"/>
          <w:sz w:val="18"/>
        </w:rPr>
        <w:t xml:space="preserve"> </w:t>
      </w:r>
      <w:r>
        <w:rPr>
          <w:sz w:val="18"/>
        </w:rPr>
        <w:t>may</w:t>
      </w:r>
      <w:r>
        <w:rPr>
          <w:spacing w:val="-3"/>
          <w:sz w:val="18"/>
        </w:rPr>
        <w:t xml:space="preserve"> </w:t>
      </w:r>
      <w:r>
        <w:rPr>
          <w:sz w:val="18"/>
        </w:rPr>
        <w:t>be</w:t>
      </w:r>
      <w:r>
        <w:rPr>
          <w:spacing w:val="-4"/>
          <w:sz w:val="18"/>
        </w:rPr>
        <w:t xml:space="preserve"> </w:t>
      </w:r>
      <w:r>
        <w:rPr>
          <w:sz w:val="18"/>
        </w:rPr>
        <w:t>imposed</w:t>
      </w:r>
      <w:r>
        <w:rPr>
          <w:spacing w:val="-4"/>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indemnity</w:t>
      </w:r>
      <w:r>
        <w:rPr>
          <w:spacing w:val="-1"/>
          <w:sz w:val="18"/>
        </w:rPr>
        <w:t xml:space="preserve"> </w:t>
      </w:r>
      <w:r>
        <w:rPr>
          <w:sz w:val="18"/>
        </w:rPr>
        <w:t>rules</w:t>
      </w:r>
      <w:r>
        <w:rPr>
          <w:spacing w:val="-1"/>
          <w:sz w:val="18"/>
        </w:rPr>
        <w:t xml:space="preserve"> </w:t>
      </w:r>
      <w:r>
        <w:rPr>
          <w:sz w:val="18"/>
        </w:rPr>
        <w:t>and</w:t>
      </w:r>
      <w:r>
        <w:rPr>
          <w:spacing w:val="-1"/>
          <w:sz w:val="18"/>
        </w:rPr>
        <w:t xml:space="preserve"> </w:t>
      </w:r>
      <w:r>
        <w:rPr>
          <w:sz w:val="18"/>
        </w:rPr>
        <w:t>are</w:t>
      </w:r>
      <w:r>
        <w:rPr>
          <w:spacing w:val="-4"/>
          <w:sz w:val="18"/>
        </w:rPr>
        <w:t xml:space="preserve"> </w:t>
      </w:r>
      <w:r>
        <w:rPr>
          <w:sz w:val="18"/>
        </w:rPr>
        <w:t>accounted</w:t>
      </w:r>
      <w:r>
        <w:rPr>
          <w:spacing w:val="-1"/>
          <w:sz w:val="18"/>
        </w:rPr>
        <w:t xml:space="preserve"> </w:t>
      </w:r>
      <w:r>
        <w:rPr>
          <w:sz w:val="18"/>
        </w:rPr>
        <w:t>for</w:t>
      </w:r>
      <w:r>
        <w:rPr>
          <w:spacing w:val="-4"/>
          <w:sz w:val="18"/>
        </w:rPr>
        <w:t xml:space="preserve"> </w:t>
      </w:r>
      <w:r>
        <w:rPr>
          <w:sz w:val="18"/>
        </w:rPr>
        <w:t>separately</w:t>
      </w:r>
      <w:r>
        <w:rPr>
          <w:spacing w:val="-1"/>
          <w:sz w:val="18"/>
        </w:rPr>
        <w:t xml:space="preserve"> </w:t>
      </w:r>
      <w:r>
        <w:rPr>
          <w:sz w:val="18"/>
        </w:rPr>
        <w:t>and disclosed as income of the Fund.</w:t>
      </w:r>
    </w:p>
    <w:p w14:paraId="478F69A6" w14:textId="77777777" w:rsidR="00AC6F3C" w:rsidRDefault="00AC6F3C">
      <w:pPr>
        <w:pStyle w:val="BodyText"/>
        <w:spacing w:before="8"/>
      </w:pPr>
    </w:p>
    <w:p w14:paraId="63D4EA15" w14:textId="77777777" w:rsidR="00AC6F3C" w:rsidRDefault="00570E88">
      <w:pPr>
        <w:spacing w:before="1"/>
        <w:ind w:left="980" w:right="234" w:hanging="1"/>
        <w:rPr>
          <w:sz w:val="18"/>
        </w:rPr>
      </w:pPr>
      <w:r>
        <w:rPr>
          <w:sz w:val="18"/>
        </w:rPr>
        <w:t>All insurance levies collected via the Queensland Law Society Incorporated renewal process were transferred to the</w:t>
      </w:r>
      <w:r>
        <w:rPr>
          <w:spacing w:val="-1"/>
          <w:sz w:val="18"/>
        </w:rPr>
        <w:t xml:space="preserve"> </w:t>
      </w:r>
      <w:r>
        <w:rPr>
          <w:sz w:val="18"/>
        </w:rPr>
        <w:t>Fund.</w:t>
      </w:r>
      <w:r>
        <w:rPr>
          <w:spacing w:val="40"/>
          <w:sz w:val="18"/>
        </w:rPr>
        <w:t xml:space="preserve"> </w:t>
      </w:r>
      <w:r>
        <w:rPr>
          <w:sz w:val="18"/>
        </w:rPr>
        <w:t>The</w:t>
      </w:r>
      <w:r>
        <w:rPr>
          <w:spacing w:val="-4"/>
          <w:sz w:val="18"/>
        </w:rPr>
        <w:t xml:space="preserve"> </w:t>
      </w:r>
      <w:r>
        <w:rPr>
          <w:sz w:val="18"/>
        </w:rPr>
        <w:t>levies</w:t>
      </w:r>
      <w:r>
        <w:rPr>
          <w:spacing w:val="-1"/>
          <w:sz w:val="18"/>
        </w:rPr>
        <w:t xml:space="preserve"> </w:t>
      </w:r>
      <w:r>
        <w:rPr>
          <w:sz w:val="18"/>
        </w:rPr>
        <w:t>collected</w:t>
      </w:r>
      <w:r>
        <w:rPr>
          <w:spacing w:val="-4"/>
          <w:sz w:val="18"/>
        </w:rPr>
        <w:t xml:space="preserve"> </w:t>
      </w:r>
      <w:r>
        <w:rPr>
          <w:sz w:val="18"/>
        </w:rPr>
        <w:t>and</w:t>
      </w:r>
      <w:r>
        <w:rPr>
          <w:spacing w:val="-1"/>
          <w:sz w:val="18"/>
        </w:rPr>
        <w:t xml:space="preserve"> </w:t>
      </w:r>
      <w:r>
        <w:rPr>
          <w:sz w:val="18"/>
        </w:rPr>
        <w:t>any</w:t>
      </w:r>
      <w:r>
        <w:rPr>
          <w:spacing w:val="-3"/>
          <w:sz w:val="18"/>
        </w:rPr>
        <w:t xml:space="preserve"> </w:t>
      </w:r>
      <w:r>
        <w:rPr>
          <w:sz w:val="18"/>
        </w:rPr>
        <w:t>surpluses</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Fund</w:t>
      </w:r>
      <w:r>
        <w:rPr>
          <w:spacing w:val="-2"/>
          <w:sz w:val="18"/>
        </w:rPr>
        <w:t xml:space="preserve"> </w:t>
      </w:r>
      <w:r>
        <w:rPr>
          <w:sz w:val="18"/>
        </w:rPr>
        <w:t>can</w:t>
      </w:r>
      <w:r>
        <w:rPr>
          <w:spacing w:val="-1"/>
          <w:sz w:val="18"/>
        </w:rPr>
        <w:t xml:space="preserve"> </w:t>
      </w:r>
      <w:r>
        <w:rPr>
          <w:sz w:val="18"/>
        </w:rPr>
        <w:t>only</w:t>
      </w:r>
      <w:r>
        <w:rPr>
          <w:spacing w:val="-3"/>
          <w:sz w:val="18"/>
        </w:rPr>
        <w:t xml:space="preserve"> </w:t>
      </w:r>
      <w:r>
        <w:rPr>
          <w:sz w:val="18"/>
        </w:rPr>
        <w:t>be</w:t>
      </w:r>
      <w:r>
        <w:rPr>
          <w:spacing w:val="-1"/>
          <w:sz w:val="18"/>
        </w:rPr>
        <w:t xml:space="preserve"> </w:t>
      </w:r>
      <w:r>
        <w:rPr>
          <w:sz w:val="18"/>
        </w:rPr>
        <w:t>used</w:t>
      </w:r>
      <w:r>
        <w:rPr>
          <w:spacing w:val="-4"/>
          <w:sz w:val="18"/>
        </w:rPr>
        <w:t xml:space="preserve"> </w:t>
      </w:r>
      <w:r>
        <w:rPr>
          <w:sz w:val="18"/>
        </w:rPr>
        <w:t>in</w:t>
      </w:r>
      <w:r>
        <w:rPr>
          <w:spacing w:val="-4"/>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Indemnity Rules for insurance purposes.</w:t>
      </w:r>
    </w:p>
    <w:p w14:paraId="7A250D3A" w14:textId="77777777" w:rsidR="00AC6F3C" w:rsidRDefault="00AC6F3C">
      <w:pPr>
        <w:pStyle w:val="BodyText"/>
        <w:spacing w:before="1"/>
        <w:rPr>
          <w:sz w:val="24"/>
        </w:rPr>
      </w:pPr>
    </w:p>
    <w:p w14:paraId="7A7975F5" w14:textId="77777777" w:rsidR="00AC6F3C" w:rsidRDefault="00570E88">
      <w:pPr>
        <w:pStyle w:val="Heading6"/>
        <w:tabs>
          <w:tab w:val="left" w:pos="1831"/>
        </w:tabs>
        <w:spacing w:before="0"/>
        <w:ind w:left="979"/>
      </w:pPr>
      <w:r>
        <w:rPr>
          <w:spacing w:val="-2"/>
        </w:rPr>
        <w:t>B1-</w:t>
      </w:r>
      <w:r>
        <w:rPr>
          <w:spacing w:val="-10"/>
        </w:rPr>
        <w:t>2</w:t>
      </w:r>
      <w:r>
        <w:tab/>
        <w:t>OTHER</w:t>
      </w:r>
      <w:r>
        <w:rPr>
          <w:spacing w:val="1"/>
        </w:rPr>
        <w:t xml:space="preserve"> </w:t>
      </w:r>
      <w:r>
        <w:rPr>
          <w:spacing w:val="-2"/>
        </w:rPr>
        <w:t>INCOME</w:t>
      </w:r>
    </w:p>
    <w:p w14:paraId="20AF3D01" w14:textId="77777777" w:rsidR="00AC6F3C" w:rsidRDefault="00AC6F3C">
      <w:pPr>
        <w:pStyle w:val="BodyText"/>
        <w:spacing w:before="9"/>
        <w:rPr>
          <w:b/>
        </w:rPr>
      </w:pPr>
    </w:p>
    <w:p w14:paraId="7DC412B8" w14:textId="77777777" w:rsidR="00AC6F3C" w:rsidRDefault="00570E88">
      <w:pPr>
        <w:ind w:left="979" w:right="468"/>
        <w:rPr>
          <w:sz w:val="18"/>
        </w:rPr>
      </w:pPr>
      <w:r>
        <w:rPr>
          <w:sz w:val="18"/>
        </w:rPr>
        <w:t>Interest</w:t>
      </w:r>
      <w:r>
        <w:rPr>
          <w:spacing w:val="-2"/>
          <w:sz w:val="18"/>
        </w:rPr>
        <w:t xml:space="preserve"> </w:t>
      </w:r>
      <w:r>
        <w:rPr>
          <w:sz w:val="18"/>
        </w:rPr>
        <w:t>revenue</w:t>
      </w:r>
      <w:r>
        <w:rPr>
          <w:spacing w:val="-1"/>
          <w:sz w:val="18"/>
        </w:rPr>
        <w:t xml:space="preserve"> </w:t>
      </w:r>
      <w:r>
        <w:rPr>
          <w:sz w:val="18"/>
        </w:rPr>
        <w:t>is</w:t>
      </w:r>
      <w:r>
        <w:rPr>
          <w:spacing w:val="-1"/>
          <w:sz w:val="18"/>
        </w:rPr>
        <w:t xml:space="preserve">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it</w:t>
      </w:r>
      <w:r>
        <w:rPr>
          <w:spacing w:val="-2"/>
          <w:sz w:val="18"/>
        </w:rPr>
        <w:t xml:space="preserve"> </w:t>
      </w:r>
      <w:r>
        <w:rPr>
          <w:sz w:val="18"/>
        </w:rPr>
        <w:t>accrues,</w:t>
      </w:r>
      <w:r>
        <w:rPr>
          <w:spacing w:val="-4"/>
          <w:sz w:val="18"/>
        </w:rPr>
        <w:t xml:space="preserve"> </w:t>
      </w:r>
      <w:r>
        <w:rPr>
          <w:sz w:val="18"/>
        </w:rPr>
        <w:t>taking</w:t>
      </w:r>
      <w:r>
        <w:rPr>
          <w:spacing w:val="-4"/>
          <w:sz w:val="18"/>
        </w:rPr>
        <w:t xml:space="preserve"> </w:t>
      </w:r>
      <w:r>
        <w:rPr>
          <w:sz w:val="18"/>
        </w:rPr>
        <w:t>into</w:t>
      </w:r>
      <w:r>
        <w:rPr>
          <w:spacing w:val="-1"/>
          <w:sz w:val="18"/>
        </w:rPr>
        <w:t xml:space="preserve"> </w:t>
      </w:r>
      <w:r>
        <w:rPr>
          <w:sz w:val="18"/>
        </w:rPr>
        <w:t>account</w:t>
      </w:r>
      <w:r>
        <w:rPr>
          <w:spacing w:val="-2"/>
          <w:sz w:val="18"/>
        </w:rPr>
        <w:t xml:space="preserve"> </w:t>
      </w:r>
      <w:r>
        <w:rPr>
          <w:sz w:val="18"/>
        </w:rPr>
        <w:t>the</w:t>
      </w:r>
      <w:r>
        <w:rPr>
          <w:spacing w:val="-1"/>
          <w:sz w:val="18"/>
        </w:rPr>
        <w:t xml:space="preserve"> </w:t>
      </w:r>
      <w:r>
        <w:rPr>
          <w:sz w:val="18"/>
        </w:rPr>
        <w:t>effective</w:t>
      </w:r>
      <w:r>
        <w:rPr>
          <w:spacing w:val="-4"/>
          <w:sz w:val="18"/>
        </w:rPr>
        <w:t xml:space="preserve"> </w:t>
      </w:r>
      <w:r>
        <w:rPr>
          <w:sz w:val="18"/>
        </w:rPr>
        <w:t>yield</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financial</w:t>
      </w:r>
      <w:r>
        <w:rPr>
          <w:spacing w:val="-4"/>
          <w:sz w:val="18"/>
        </w:rPr>
        <w:t xml:space="preserve"> </w:t>
      </w:r>
      <w:r>
        <w:rPr>
          <w:sz w:val="18"/>
        </w:rPr>
        <w:t>asset</w:t>
      </w:r>
      <w:r>
        <w:rPr>
          <w:spacing w:val="-4"/>
          <w:sz w:val="18"/>
        </w:rPr>
        <w:t xml:space="preserve"> </w:t>
      </w:r>
      <w:r>
        <w:rPr>
          <w:sz w:val="18"/>
        </w:rPr>
        <w:t>and</w:t>
      </w:r>
      <w:r>
        <w:rPr>
          <w:spacing w:val="-4"/>
          <w:sz w:val="18"/>
        </w:rPr>
        <w:t xml:space="preserve"> </w:t>
      </w:r>
      <w:r>
        <w:rPr>
          <w:sz w:val="18"/>
        </w:rPr>
        <w:t xml:space="preserve">is also </w:t>
      </w:r>
      <w:proofErr w:type="spellStart"/>
      <w:r>
        <w:rPr>
          <w:sz w:val="18"/>
        </w:rPr>
        <w:t>recognised</w:t>
      </w:r>
      <w:proofErr w:type="spellEnd"/>
      <w:r>
        <w:rPr>
          <w:sz w:val="18"/>
        </w:rPr>
        <w:t xml:space="preserve"> net of bank charges.</w:t>
      </w:r>
    </w:p>
    <w:p w14:paraId="660F285C" w14:textId="77777777" w:rsidR="00AC6F3C" w:rsidRDefault="00AC6F3C">
      <w:pPr>
        <w:pStyle w:val="BodyText"/>
        <w:spacing w:before="9"/>
      </w:pPr>
    </w:p>
    <w:p w14:paraId="6E8C33A6" w14:textId="77777777" w:rsidR="00AC6F3C" w:rsidRDefault="00570E88">
      <w:pPr>
        <w:ind w:left="979"/>
        <w:rPr>
          <w:sz w:val="18"/>
        </w:rPr>
      </w:pPr>
      <w:r>
        <w:rPr>
          <w:sz w:val="18"/>
        </w:rPr>
        <w:t>Distributions</w:t>
      </w:r>
      <w:r>
        <w:rPr>
          <w:spacing w:val="-5"/>
          <w:sz w:val="18"/>
        </w:rPr>
        <w:t xml:space="preserve"> </w:t>
      </w:r>
      <w:r>
        <w:rPr>
          <w:sz w:val="18"/>
        </w:rPr>
        <w:t>from</w:t>
      </w:r>
      <w:r>
        <w:rPr>
          <w:spacing w:val="-3"/>
          <w:sz w:val="18"/>
        </w:rPr>
        <w:t xml:space="preserve"> </w:t>
      </w:r>
      <w:r>
        <w:rPr>
          <w:sz w:val="18"/>
        </w:rPr>
        <w:t>investments</w:t>
      </w:r>
      <w:r>
        <w:rPr>
          <w:spacing w:val="-3"/>
          <w:sz w:val="18"/>
        </w:rPr>
        <w:t xml:space="preserve"> </w:t>
      </w:r>
      <w:r>
        <w:rPr>
          <w:sz w:val="18"/>
        </w:rPr>
        <w:t>are</w:t>
      </w:r>
      <w:r>
        <w:rPr>
          <w:spacing w:val="-2"/>
          <w:sz w:val="18"/>
        </w:rPr>
        <w:t xml:space="preserve"> </w:t>
      </w:r>
      <w:proofErr w:type="spellStart"/>
      <w:r>
        <w:rPr>
          <w:sz w:val="18"/>
        </w:rPr>
        <w:t>recognised</w:t>
      </w:r>
      <w:proofErr w:type="spellEnd"/>
      <w:r>
        <w:rPr>
          <w:spacing w:val="-1"/>
          <w:sz w:val="18"/>
        </w:rPr>
        <w:t xml:space="preserve"> </w:t>
      </w:r>
      <w:r>
        <w:rPr>
          <w:sz w:val="18"/>
        </w:rPr>
        <w:t>in</w:t>
      </w:r>
      <w:r>
        <w:rPr>
          <w:spacing w:val="-1"/>
          <w:sz w:val="18"/>
        </w:rPr>
        <w:t xml:space="preserve"> </w:t>
      </w:r>
      <w:r>
        <w:rPr>
          <w:sz w:val="18"/>
        </w:rPr>
        <w:t>profit</w:t>
      </w:r>
      <w:r>
        <w:rPr>
          <w:spacing w:val="-3"/>
          <w:sz w:val="18"/>
        </w:rPr>
        <w:t xml:space="preserve"> </w:t>
      </w:r>
      <w:r>
        <w:rPr>
          <w:sz w:val="18"/>
        </w:rPr>
        <w:t>and</w:t>
      </w:r>
      <w:r>
        <w:rPr>
          <w:spacing w:val="-4"/>
          <w:sz w:val="18"/>
        </w:rPr>
        <w:t xml:space="preserve"> </w:t>
      </w:r>
      <w:r>
        <w:rPr>
          <w:sz w:val="18"/>
        </w:rPr>
        <w:t>loss</w:t>
      </w:r>
      <w:r>
        <w:rPr>
          <w:spacing w:val="-1"/>
          <w:sz w:val="18"/>
        </w:rPr>
        <w:t xml:space="preserve"> </w:t>
      </w:r>
      <w:r>
        <w:rPr>
          <w:sz w:val="18"/>
        </w:rPr>
        <w:t>when</w:t>
      </w:r>
      <w:r>
        <w:rPr>
          <w:spacing w:val="-1"/>
          <w:sz w:val="18"/>
        </w:rPr>
        <w:t xml:space="preserve"> </w:t>
      </w:r>
      <w:r>
        <w:rPr>
          <w:sz w:val="18"/>
        </w:rPr>
        <w:t>declared</w:t>
      </w:r>
      <w:r>
        <w:rPr>
          <w:spacing w:val="-4"/>
          <w:sz w:val="18"/>
        </w:rPr>
        <w:t xml:space="preserve"> </w:t>
      </w:r>
      <w:r>
        <w:rPr>
          <w:sz w:val="18"/>
        </w:rPr>
        <w:t>by</w:t>
      </w:r>
      <w:r>
        <w:rPr>
          <w:spacing w:val="-3"/>
          <w:sz w:val="18"/>
        </w:rPr>
        <w:t xml:space="preserve"> </w:t>
      </w:r>
      <w:r>
        <w:rPr>
          <w:sz w:val="18"/>
        </w:rPr>
        <w:t>fund</w:t>
      </w:r>
      <w:r>
        <w:rPr>
          <w:spacing w:val="-3"/>
          <w:sz w:val="18"/>
        </w:rPr>
        <w:t xml:space="preserve"> </w:t>
      </w:r>
      <w:r>
        <w:rPr>
          <w:spacing w:val="-2"/>
          <w:sz w:val="18"/>
        </w:rPr>
        <w:t>managers.</w:t>
      </w:r>
    </w:p>
    <w:p w14:paraId="13A66C88" w14:textId="77777777" w:rsidR="00AC6F3C" w:rsidRDefault="00AC6F3C">
      <w:pPr>
        <w:pStyle w:val="BodyText"/>
        <w:rPr>
          <w:sz w:val="21"/>
        </w:rPr>
      </w:pPr>
    </w:p>
    <w:p w14:paraId="729E4F61" w14:textId="77777777" w:rsidR="00AC6F3C" w:rsidRDefault="00570E88">
      <w:pPr>
        <w:ind w:left="979"/>
        <w:rPr>
          <w:sz w:val="18"/>
        </w:rPr>
      </w:pPr>
      <w:proofErr w:type="spellStart"/>
      <w:r>
        <w:rPr>
          <w:sz w:val="18"/>
        </w:rPr>
        <w:t>Realised</w:t>
      </w:r>
      <w:proofErr w:type="spellEnd"/>
      <w:r>
        <w:rPr>
          <w:sz w:val="18"/>
        </w:rPr>
        <w:t xml:space="preserve"> gains/losses represent the net gains/losses on the sale of investments and are </w:t>
      </w:r>
      <w:proofErr w:type="spellStart"/>
      <w:r>
        <w:rPr>
          <w:sz w:val="18"/>
        </w:rPr>
        <w:t>recognised</w:t>
      </w:r>
      <w:proofErr w:type="spellEnd"/>
      <w:r>
        <w:rPr>
          <w:sz w:val="18"/>
        </w:rPr>
        <w:t xml:space="preserve"> when investments</w:t>
      </w:r>
      <w:r>
        <w:rPr>
          <w:spacing w:val="-1"/>
          <w:sz w:val="18"/>
        </w:rPr>
        <w:t xml:space="preserve"> </w:t>
      </w:r>
      <w:r>
        <w:rPr>
          <w:sz w:val="18"/>
        </w:rPr>
        <w:t>are</w:t>
      </w:r>
      <w:r>
        <w:rPr>
          <w:spacing w:val="-1"/>
          <w:sz w:val="18"/>
        </w:rPr>
        <w:t xml:space="preserve"> </w:t>
      </w:r>
      <w:r>
        <w:rPr>
          <w:sz w:val="18"/>
        </w:rPr>
        <w:t>sold</w:t>
      </w:r>
      <w:r>
        <w:rPr>
          <w:spacing w:val="-4"/>
          <w:sz w:val="18"/>
        </w:rPr>
        <w:t xml:space="preserve"> </w:t>
      </w:r>
      <w:r>
        <w:rPr>
          <w:sz w:val="18"/>
        </w:rPr>
        <w:t>during</w:t>
      </w:r>
      <w:r>
        <w:rPr>
          <w:spacing w:val="-1"/>
          <w:sz w:val="18"/>
        </w:rPr>
        <w:t xml:space="preserve"> </w:t>
      </w:r>
      <w:r>
        <w:rPr>
          <w:sz w:val="18"/>
        </w:rPr>
        <w:t>the</w:t>
      </w:r>
      <w:r>
        <w:rPr>
          <w:spacing w:val="-1"/>
          <w:sz w:val="18"/>
        </w:rPr>
        <w:t xml:space="preserve"> </w:t>
      </w:r>
      <w:r>
        <w:rPr>
          <w:sz w:val="18"/>
        </w:rPr>
        <w:t>course</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year.</w:t>
      </w:r>
      <w:r>
        <w:rPr>
          <w:spacing w:val="-4"/>
          <w:sz w:val="18"/>
        </w:rPr>
        <w:t xml:space="preserve"> </w:t>
      </w:r>
      <w:r>
        <w:rPr>
          <w:sz w:val="18"/>
        </w:rPr>
        <w:t>Fair</w:t>
      </w:r>
      <w:r>
        <w:rPr>
          <w:spacing w:val="-4"/>
          <w:sz w:val="18"/>
        </w:rPr>
        <w:t xml:space="preserve"> </w:t>
      </w:r>
      <w:r>
        <w:rPr>
          <w:sz w:val="18"/>
        </w:rPr>
        <w:t>value</w:t>
      </w:r>
      <w:r>
        <w:rPr>
          <w:spacing w:val="-1"/>
          <w:sz w:val="18"/>
        </w:rPr>
        <w:t xml:space="preserve"> </w:t>
      </w:r>
      <w:r>
        <w:rPr>
          <w:sz w:val="18"/>
        </w:rPr>
        <w:t>gains/losses</w:t>
      </w:r>
      <w:r>
        <w:rPr>
          <w:spacing w:val="-1"/>
          <w:sz w:val="18"/>
        </w:rPr>
        <w:t xml:space="preserve"> </w:t>
      </w:r>
      <w:r>
        <w:rPr>
          <w:sz w:val="18"/>
        </w:rPr>
        <w:t>are</w:t>
      </w:r>
      <w:r>
        <w:rPr>
          <w:spacing w:val="-4"/>
          <w:sz w:val="18"/>
        </w:rPr>
        <w:t xml:space="preserve"> </w:t>
      </w:r>
      <w:proofErr w:type="spellStart"/>
      <w:r>
        <w:rPr>
          <w:sz w:val="18"/>
        </w:rPr>
        <w:t>recognised</w:t>
      </w:r>
      <w:proofErr w:type="spellEnd"/>
      <w:r>
        <w:rPr>
          <w:spacing w:val="-4"/>
          <w:sz w:val="18"/>
        </w:rPr>
        <w:t xml:space="preserve"> </w:t>
      </w:r>
      <w:r>
        <w:rPr>
          <w:sz w:val="18"/>
        </w:rPr>
        <w:t>monthly</w:t>
      </w:r>
      <w:r>
        <w:rPr>
          <w:spacing w:val="-3"/>
          <w:sz w:val="18"/>
        </w:rPr>
        <w:t xml:space="preserve"> </w:t>
      </w:r>
      <w:r>
        <w:rPr>
          <w:sz w:val="18"/>
        </w:rPr>
        <w:t>based</w:t>
      </w:r>
      <w:r>
        <w:rPr>
          <w:spacing w:val="-4"/>
          <w:sz w:val="18"/>
        </w:rPr>
        <w:t xml:space="preserve"> </w:t>
      </w:r>
      <w:r>
        <w:rPr>
          <w:sz w:val="18"/>
        </w:rPr>
        <w:t>on fluctuations in market prices of investments.</w:t>
      </w:r>
    </w:p>
    <w:p w14:paraId="3E58425C" w14:textId="77777777" w:rsidR="00AC6F3C" w:rsidRDefault="00AC6F3C">
      <w:pPr>
        <w:rPr>
          <w:sz w:val="18"/>
        </w:rPr>
        <w:sectPr w:rsidR="00AC6F3C">
          <w:pgSz w:w="11910" w:h="16840"/>
          <w:pgMar w:top="2080" w:right="1160" w:bottom="520" w:left="460" w:header="1297" w:footer="336" w:gutter="0"/>
          <w:cols w:space="720"/>
        </w:sectPr>
      </w:pPr>
    </w:p>
    <w:p w14:paraId="5AF6A2A8" w14:textId="77777777" w:rsidR="00AC6F3C" w:rsidRDefault="00AC6F3C">
      <w:pPr>
        <w:pStyle w:val="BodyText"/>
        <w:spacing w:before="9"/>
        <w:rPr>
          <w:sz w:val="13"/>
        </w:rPr>
      </w:pPr>
    </w:p>
    <w:p w14:paraId="42CADBB3" w14:textId="77777777" w:rsidR="00AC6F3C" w:rsidRDefault="00570E88">
      <w:pPr>
        <w:tabs>
          <w:tab w:val="left" w:pos="1831"/>
        </w:tabs>
        <w:spacing w:before="92"/>
        <w:ind w:left="979"/>
        <w:rPr>
          <w:b/>
          <w:sz w:val="28"/>
        </w:rPr>
      </w:pPr>
      <w:r>
        <w:rPr>
          <w:b/>
          <w:spacing w:val="-5"/>
          <w:sz w:val="28"/>
        </w:rPr>
        <w:t>B2</w:t>
      </w:r>
      <w:r>
        <w:rPr>
          <w:b/>
          <w:sz w:val="28"/>
        </w:rPr>
        <w:tab/>
      </w:r>
      <w:r>
        <w:rPr>
          <w:b/>
          <w:spacing w:val="-2"/>
          <w:sz w:val="28"/>
        </w:rPr>
        <w:t>EXPENSES</w:t>
      </w:r>
    </w:p>
    <w:p w14:paraId="7B5B459B" w14:textId="77777777" w:rsidR="00AC6F3C" w:rsidRDefault="00570E88">
      <w:pPr>
        <w:pStyle w:val="Heading6"/>
        <w:tabs>
          <w:tab w:val="left" w:pos="1831"/>
        </w:tabs>
        <w:spacing w:before="121"/>
        <w:ind w:left="979"/>
      </w:pPr>
      <w:r>
        <w:rPr>
          <w:spacing w:val="-2"/>
        </w:rPr>
        <w:t>B2-</w:t>
      </w:r>
      <w:r>
        <w:rPr>
          <w:spacing w:val="-10"/>
        </w:rPr>
        <w:t>1</w:t>
      </w:r>
      <w:r>
        <w:tab/>
        <w:t>ADMINISTRATION</w:t>
      </w:r>
      <w:r>
        <w:rPr>
          <w:spacing w:val="-4"/>
        </w:rPr>
        <w:t xml:space="preserve"> </w:t>
      </w:r>
      <w:r>
        <w:rPr>
          <w:spacing w:val="-2"/>
        </w:rPr>
        <w:t>EXPENSES</w:t>
      </w:r>
    </w:p>
    <w:p w14:paraId="778A3481" w14:textId="77777777" w:rsidR="00AC6F3C" w:rsidRDefault="00AC6F3C">
      <w:pPr>
        <w:pStyle w:val="BodyText"/>
        <w:spacing w:before="9"/>
        <w:rPr>
          <w:b/>
        </w:rPr>
      </w:pPr>
    </w:p>
    <w:p w14:paraId="0C0D39F8" w14:textId="77777777" w:rsidR="00AC6F3C" w:rsidRDefault="00570E88">
      <w:pPr>
        <w:ind w:left="979" w:right="322"/>
        <w:rPr>
          <w:sz w:val="18"/>
        </w:rPr>
      </w:pPr>
      <w:r>
        <w:rPr>
          <w:sz w:val="18"/>
        </w:rPr>
        <w:t>The</w:t>
      </w:r>
      <w:r>
        <w:rPr>
          <w:spacing w:val="-1"/>
          <w:sz w:val="18"/>
        </w:rPr>
        <w:t xml:space="preserve"> </w:t>
      </w:r>
      <w:r>
        <w:rPr>
          <w:sz w:val="18"/>
        </w:rPr>
        <w:t>Fund</w:t>
      </w:r>
      <w:r>
        <w:rPr>
          <w:spacing w:val="-1"/>
          <w:sz w:val="18"/>
        </w:rPr>
        <w:t xml:space="preserve"> </w:t>
      </w:r>
      <w:r>
        <w:rPr>
          <w:sz w:val="18"/>
        </w:rPr>
        <w:t>reimburses</w:t>
      </w:r>
      <w:r>
        <w:rPr>
          <w:spacing w:val="-3"/>
          <w:sz w:val="18"/>
        </w:rPr>
        <w:t xml:space="preserve"> </w:t>
      </w:r>
      <w:r>
        <w:rPr>
          <w:sz w:val="18"/>
        </w:rPr>
        <w:t>costs</w:t>
      </w:r>
      <w:r>
        <w:rPr>
          <w:spacing w:val="-3"/>
          <w:sz w:val="18"/>
        </w:rPr>
        <w:t xml:space="preserve"> </w:t>
      </w:r>
      <w:r>
        <w:rPr>
          <w:sz w:val="18"/>
        </w:rPr>
        <w:t>incurred</w:t>
      </w:r>
      <w:r>
        <w:rPr>
          <w:spacing w:val="-4"/>
          <w:sz w:val="18"/>
        </w:rPr>
        <w:t xml:space="preserve"> </w:t>
      </w:r>
      <w:r>
        <w:rPr>
          <w:sz w:val="18"/>
        </w:rPr>
        <w:t>by</w:t>
      </w:r>
      <w:r>
        <w:rPr>
          <w:spacing w:val="-3"/>
          <w:sz w:val="18"/>
        </w:rPr>
        <w:t xml:space="preserve"> </w:t>
      </w:r>
      <w:r>
        <w:rPr>
          <w:sz w:val="18"/>
        </w:rPr>
        <w:t>the</w:t>
      </w:r>
      <w:r>
        <w:rPr>
          <w:spacing w:val="-1"/>
          <w:sz w:val="18"/>
        </w:rPr>
        <w:t xml:space="preserve"> </w:t>
      </w:r>
      <w:r>
        <w:rPr>
          <w:sz w:val="18"/>
        </w:rPr>
        <w:t>Society</w:t>
      </w:r>
      <w:r>
        <w:rPr>
          <w:spacing w:val="-3"/>
          <w:sz w:val="18"/>
        </w:rPr>
        <w:t xml:space="preserve"> </w:t>
      </w:r>
      <w:r>
        <w:rPr>
          <w:sz w:val="18"/>
        </w:rPr>
        <w:t>for</w:t>
      </w:r>
      <w:r>
        <w:rPr>
          <w:spacing w:val="-4"/>
          <w:sz w:val="18"/>
        </w:rPr>
        <w:t xml:space="preserve"> </w:t>
      </w:r>
      <w:r>
        <w:rPr>
          <w:sz w:val="18"/>
        </w:rPr>
        <w:t>execution</w:t>
      </w:r>
      <w:r>
        <w:rPr>
          <w:spacing w:val="-4"/>
          <w:sz w:val="18"/>
        </w:rPr>
        <w:t xml:space="preserve"> </w:t>
      </w:r>
      <w:r>
        <w:rPr>
          <w:sz w:val="18"/>
        </w:rPr>
        <w:t>of</w:t>
      </w:r>
      <w:r>
        <w:rPr>
          <w:spacing w:val="-2"/>
          <w:sz w:val="18"/>
        </w:rPr>
        <w:t xml:space="preserve"> </w:t>
      </w:r>
      <w:r>
        <w:rPr>
          <w:sz w:val="18"/>
        </w:rPr>
        <w:t>discrete</w:t>
      </w:r>
      <w:r>
        <w:rPr>
          <w:spacing w:val="-4"/>
          <w:sz w:val="18"/>
        </w:rPr>
        <w:t xml:space="preserve"> </w:t>
      </w:r>
      <w:r>
        <w:rPr>
          <w:sz w:val="18"/>
        </w:rPr>
        <w:t>projects</w:t>
      </w:r>
      <w:r>
        <w:rPr>
          <w:spacing w:val="-1"/>
          <w:sz w:val="18"/>
        </w:rPr>
        <w:t xml:space="preserve"> </w:t>
      </w:r>
      <w:r>
        <w:rPr>
          <w:sz w:val="18"/>
        </w:rPr>
        <w:t>relating</w:t>
      </w:r>
      <w:r>
        <w:rPr>
          <w:spacing w:val="-1"/>
          <w:sz w:val="18"/>
        </w:rPr>
        <w:t xml:space="preserve"> </w:t>
      </w:r>
      <w:r>
        <w:rPr>
          <w:sz w:val="18"/>
        </w:rPr>
        <w:t>to</w:t>
      </w:r>
      <w:r>
        <w:rPr>
          <w:spacing w:val="-1"/>
          <w:sz w:val="18"/>
        </w:rPr>
        <w:t xml:space="preserve"> </w:t>
      </w:r>
      <w:r>
        <w:rPr>
          <w:sz w:val="18"/>
        </w:rPr>
        <w:t>risk</w:t>
      </w:r>
      <w:r>
        <w:rPr>
          <w:spacing w:val="-1"/>
          <w:sz w:val="18"/>
        </w:rPr>
        <w:t xml:space="preserve"> </w:t>
      </w:r>
      <w:r>
        <w:rPr>
          <w:sz w:val="18"/>
        </w:rPr>
        <w:t>management in the profession. This includes the development of resources and educational units designed to reduce the exposure of solicitors with respect to compensation and/or damages claims. These resources include legal project management, the QLS</w:t>
      </w:r>
      <w:r>
        <w:rPr>
          <w:spacing w:val="-3"/>
          <w:sz w:val="18"/>
        </w:rPr>
        <w:t xml:space="preserve"> </w:t>
      </w:r>
      <w:r>
        <w:rPr>
          <w:sz w:val="18"/>
        </w:rPr>
        <w:t>Legal Ethics Course and Solicitor Advocates Course and publications for practice support and risk management.</w:t>
      </w:r>
    </w:p>
    <w:p w14:paraId="7275915E" w14:textId="77777777" w:rsidR="00AC6F3C" w:rsidRDefault="00AC6F3C">
      <w:pPr>
        <w:pStyle w:val="BodyText"/>
        <w:spacing w:before="10"/>
      </w:pPr>
    </w:p>
    <w:tbl>
      <w:tblPr>
        <w:tblW w:w="0" w:type="auto"/>
        <w:tblInd w:w="994" w:type="dxa"/>
        <w:tblLayout w:type="fixed"/>
        <w:tblCellMar>
          <w:left w:w="0" w:type="dxa"/>
          <w:right w:w="0" w:type="dxa"/>
        </w:tblCellMar>
        <w:tblLook w:val="01E0" w:firstRow="1" w:lastRow="1" w:firstColumn="1" w:lastColumn="1" w:noHBand="0" w:noVBand="0"/>
      </w:tblPr>
      <w:tblGrid>
        <w:gridCol w:w="6416"/>
        <w:gridCol w:w="1138"/>
        <w:gridCol w:w="1116"/>
      </w:tblGrid>
      <w:tr w:rsidR="00AC6F3C" w14:paraId="5E91E4F2" w14:textId="77777777">
        <w:trPr>
          <w:trHeight w:val="551"/>
        </w:trPr>
        <w:tc>
          <w:tcPr>
            <w:tcW w:w="8670" w:type="dxa"/>
            <w:gridSpan w:val="3"/>
            <w:tcBorders>
              <w:top w:val="single" w:sz="6" w:space="0" w:color="000000"/>
              <w:left w:val="single" w:sz="6" w:space="0" w:color="000000"/>
              <w:bottom w:val="single" w:sz="6" w:space="0" w:color="000000"/>
              <w:right w:val="single" w:sz="6" w:space="0" w:color="000000"/>
            </w:tcBorders>
            <w:shd w:val="clear" w:color="auto" w:fill="BEBEBE"/>
          </w:tcPr>
          <w:p w14:paraId="2356BEC8" w14:textId="77777777" w:rsidR="00AC6F3C" w:rsidRDefault="00570E88">
            <w:pPr>
              <w:pStyle w:val="TableParagraph"/>
              <w:tabs>
                <w:tab w:val="left" w:pos="1122"/>
              </w:tabs>
              <w:spacing w:before="25"/>
              <w:ind w:right="21"/>
              <w:jc w:val="right"/>
              <w:rPr>
                <w:b/>
                <w:sz w:val="18"/>
              </w:rPr>
            </w:pPr>
            <w:r>
              <w:rPr>
                <w:b/>
                <w:spacing w:val="-4"/>
                <w:sz w:val="18"/>
              </w:rPr>
              <w:t>2023</w:t>
            </w:r>
            <w:r>
              <w:rPr>
                <w:b/>
                <w:sz w:val="18"/>
              </w:rPr>
              <w:tab/>
            </w:r>
            <w:r>
              <w:rPr>
                <w:b/>
                <w:spacing w:val="-4"/>
                <w:sz w:val="18"/>
              </w:rPr>
              <w:t>2022</w:t>
            </w:r>
          </w:p>
          <w:p w14:paraId="51E1CD68" w14:textId="77777777" w:rsidR="00AC6F3C" w:rsidRDefault="00570E88">
            <w:pPr>
              <w:pStyle w:val="TableParagraph"/>
              <w:tabs>
                <w:tab w:val="left" w:pos="1122"/>
              </w:tabs>
              <w:spacing w:before="76"/>
              <w:ind w:right="21"/>
              <w:jc w:val="right"/>
              <w:rPr>
                <w:b/>
                <w:sz w:val="18"/>
              </w:rPr>
            </w:pPr>
            <w:r>
              <w:rPr>
                <w:b/>
                <w:spacing w:val="-2"/>
                <w:sz w:val="18"/>
              </w:rPr>
              <w:t>$'000</w:t>
            </w:r>
            <w:r>
              <w:rPr>
                <w:b/>
                <w:sz w:val="18"/>
              </w:rPr>
              <w:tab/>
            </w:r>
            <w:r>
              <w:rPr>
                <w:b/>
                <w:spacing w:val="-2"/>
                <w:sz w:val="18"/>
              </w:rPr>
              <w:t>$'000</w:t>
            </w:r>
          </w:p>
        </w:tc>
      </w:tr>
      <w:tr w:rsidR="00AC6F3C" w14:paraId="0B313A38" w14:textId="77777777">
        <w:trPr>
          <w:trHeight w:val="571"/>
        </w:trPr>
        <w:tc>
          <w:tcPr>
            <w:tcW w:w="6416" w:type="dxa"/>
            <w:tcBorders>
              <w:top w:val="single" w:sz="6" w:space="0" w:color="000000"/>
              <w:left w:val="single" w:sz="6" w:space="0" w:color="000000"/>
            </w:tcBorders>
          </w:tcPr>
          <w:p w14:paraId="1E0913C6" w14:textId="77777777" w:rsidR="00AC6F3C" w:rsidRDefault="00AC6F3C">
            <w:pPr>
              <w:pStyle w:val="TableParagraph"/>
              <w:spacing w:before="1"/>
              <w:rPr>
                <w:sz w:val="28"/>
              </w:rPr>
            </w:pPr>
          </w:p>
          <w:p w14:paraId="5D485012" w14:textId="77777777" w:rsidR="00AC6F3C" w:rsidRDefault="00570E88">
            <w:pPr>
              <w:pStyle w:val="TableParagraph"/>
              <w:ind w:left="37"/>
              <w:rPr>
                <w:sz w:val="18"/>
              </w:rPr>
            </w:pPr>
            <w:r>
              <w:rPr>
                <w:sz w:val="18"/>
              </w:rPr>
              <w:t>Management</w:t>
            </w:r>
            <w:r>
              <w:rPr>
                <w:spacing w:val="-9"/>
                <w:sz w:val="18"/>
              </w:rPr>
              <w:t xml:space="preserve"> </w:t>
            </w:r>
            <w:r>
              <w:rPr>
                <w:sz w:val="18"/>
              </w:rPr>
              <w:t>fees</w:t>
            </w:r>
            <w:r>
              <w:rPr>
                <w:spacing w:val="13"/>
                <w:sz w:val="18"/>
              </w:rPr>
              <w:t xml:space="preserve"> </w:t>
            </w:r>
            <w:r>
              <w:rPr>
                <w:sz w:val="18"/>
              </w:rPr>
              <w:t>paid</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pacing w:val="-2"/>
                <w:sz w:val="18"/>
              </w:rPr>
              <w:t>Society</w:t>
            </w:r>
          </w:p>
        </w:tc>
        <w:tc>
          <w:tcPr>
            <w:tcW w:w="1138" w:type="dxa"/>
            <w:tcBorders>
              <w:top w:val="single" w:sz="6" w:space="0" w:color="000000"/>
            </w:tcBorders>
            <w:shd w:val="clear" w:color="auto" w:fill="F1F1F1"/>
          </w:tcPr>
          <w:p w14:paraId="3A34A4C5" w14:textId="77777777" w:rsidR="00AC6F3C" w:rsidRDefault="00AC6F3C">
            <w:pPr>
              <w:pStyle w:val="TableParagraph"/>
              <w:spacing w:before="1"/>
              <w:rPr>
                <w:sz w:val="28"/>
              </w:rPr>
            </w:pPr>
          </w:p>
          <w:p w14:paraId="10A1F86E" w14:textId="77777777" w:rsidR="00AC6F3C" w:rsidRDefault="00570E88">
            <w:pPr>
              <w:pStyle w:val="TableParagraph"/>
              <w:ind w:right="35"/>
              <w:jc w:val="right"/>
              <w:rPr>
                <w:sz w:val="18"/>
              </w:rPr>
            </w:pPr>
            <w:r>
              <w:rPr>
                <w:spacing w:val="-5"/>
                <w:sz w:val="18"/>
              </w:rPr>
              <w:t>46</w:t>
            </w:r>
          </w:p>
        </w:tc>
        <w:tc>
          <w:tcPr>
            <w:tcW w:w="1116" w:type="dxa"/>
            <w:tcBorders>
              <w:top w:val="single" w:sz="6" w:space="0" w:color="000000"/>
              <w:right w:val="single" w:sz="6" w:space="0" w:color="000000"/>
            </w:tcBorders>
          </w:tcPr>
          <w:p w14:paraId="30C445CA" w14:textId="77777777" w:rsidR="00AC6F3C" w:rsidRDefault="00AC6F3C">
            <w:pPr>
              <w:pStyle w:val="TableParagraph"/>
              <w:spacing w:before="1"/>
              <w:rPr>
                <w:sz w:val="28"/>
              </w:rPr>
            </w:pPr>
          </w:p>
          <w:p w14:paraId="74B62834" w14:textId="77777777" w:rsidR="00AC6F3C" w:rsidRDefault="00570E88">
            <w:pPr>
              <w:pStyle w:val="TableParagraph"/>
              <w:ind w:right="21"/>
              <w:jc w:val="right"/>
              <w:rPr>
                <w:sz w:val="18"/>
              </w:rPr>
            </w:pPr>
            <w:r>
              <w:rPr>
                <w:spacing w:val="-5"/>
                <w:sz w:val="18"/>
              </w:rPr>
              <w:t>45</w:t>
            </w:r>
          </w:p>
        </w:tc>
      </w:tr>
      <w:tr w:rsidR="00AC6F3C" w14:paraId="35C28ECE" w14:textId="77777777">
        <w:trPr>
          <w:trHeight w:val="263"/>
        </w:trPr>
        <w:tc>
          <w:tcPr>
            <w:tcW w:w="6416" w:type="dxa"/>
            <w:tcBorders>
              <w:left w:val="single" w:sz="6" w:space="0" w:color="000000"/>
            </w:tcBorders>
          </w:tcPr>
          <w:p w14:paraId="7A933C66" w14:textId="77777777" w:rsidR="00AC6F3C" w:rsidRDefault="00570E88">
            <w:pPr>
              <w:pStyle w:val="TableParagraph"/>
              <w:spacing w:before="35"/>
              <w:ind w:left="37"/>
              <w:rPr>
                <w:sz w:val="18"/>
              </w:rPr>
            </w:pPr>
            <w:r>
              <w:rPr>
                <w:sz w:val="18"/>
              </w:rPr>
              <w:t>Projects</w:t>
            </w:r>
            <w:r>
              <w:rPr>
                <w:spacing w:val="19"/>
                <w:sz w:val="18"/>
              </w:rPr>
              <w:t xml:space="preserve"> </w:t>
            </w:r>
            <w:r>
              <w:rPr>
                <w:sz w:val="18"/>
              </w:rPr>
              <w:t>relating</w:t>
            </w:r>
            <w:r>
              <w:rPr>
                <w:spacing w:val="8"/>
                <w:sz w:val="18"/>
              </w:rPr>
              <w:t xml:space="preserve"> </w:t>
            </w:r>
            <w:r>
              <w:rPr>
                <w:sz w:val="18"/>
              </w:rPr>
              <w:t>to</w:t>
            </w:r>
            <w:r>
              <w:rPr>
                <w:spacing w:val="7"/>
                <w:sz w:val="18"/>
              </w:rPr>
              <w:t xml:space="preserve"> </w:t>
            </w:r>
            <w:r>
              <w:rPr>
                <w:sz w:val="18"/>
              </w:rPr>
              <w:t>risk</w:t>
            </w:r>
            <w:r>
              <w:rPr>
                <w:spacing w:val="2"/>
                <w:sz w:val="18"/>
              </w:rPr>
              <w:t xml:space="preserve"> </w:t>
            </w:r>
            <w:r>
              <w:rPr>
                <w:sz w:val="18"/>
              </w:rPr>
              <w:t>management</w:t>
            </w:r>
            <w:r>
              <w:rPr>
                <w:spacing w:val="-4"/>
                <w:sz w:val="18"/>
              </w:rPr>
              <w:t xml:space="preserve"> </w:t>
            </w:r>
            <w:r>
              <w:rPr>
                <w:sz w:val="18"/>
              </w:rPr>
              <w:t>in</w:t>
            </w:r>
            <w:r>
              <w:rPr>
                <w:spacing w:val="8"/>
                <w:sz w:val="18"/>
              </w:rPr>
              <w:t xml:space="preserve"> </w:t>
            </w:r>
            <w:r>
              <w:rPr>
                <w:sz w:val="18"/>
              </w:rPr>
              <w:t>the</w:t>
            </w:r>
            <w:r>
              <w:rPr>
                <w:spacing w:val="8"/>
                <w:sz w:val="18"/>
              </w:rPr>
              <w:t xml:space="preserve"> </w:t>
            </w:r>
            <w:r>
              <w:rPr>
                <w:sz w:val="18"/>
              </w:rPr>
              <w:t>profession</w:t>
            </w:r>
            <w:r>
              <w:rPr>
                <w:spacing w:val="7"/>
                <w:sz w:val="18"/>
              </w:rPr>
              <w:t xml:space="preserve"> </w:t>
            </w:r>
            <w:r>
              <w:rPr>
                <w:sz w:val="18"/>
              </w:rPr>
              <w:t>-</w:t>
            </w:r>
            <w:r>
              <w:rPr>
                <w:spacing w:val="2"/>
                <w:sz w:val="18"/>
              </w:rPr>
              <w:t xml:space="preserve"> </w:t>
            </w:r>
            <w:r>
              <w:rPr>
                <w:sz w:val="18"/>
              </w:rPr>
              <w:t>grant</w:t>
            </w:r>
            <w:r>
              <w:rPr>
                <w:spacing w:val="-4"/>
                <w:sz w:val="18"/>
              </w:rPr>
              <w:t xml:space="preserve"> </w:t>
            </w:r>
            <w:r>
              <w:rPr>
                <w:sz w:val="18"/>
              </w:rPr>
              <w:t>to</w:t>
            </w:r>
            <w:r>
              <w:rPr>
                <w:spacing w:val="8"/>
                <w:sz w:val="18"/>
              </w:rPr>
              <w:t xml:space="preserve"> </w:t>
            </w:r>
            <w:r>
              <w:rPr>
                <w:sz w:val="18"/>
              </w:rPr>
              <w:t>the</w:t>
            </w:r>
            <w:r>
              <w:rPr>
                <w:spacing w:val="7"/>
                <w:sz w:val="18"/>
              </w:rPr>
              <w:t xml:space="preserve"> </w:t>
            </w:r>
            <w:r>
              <w:rPr>
                <w:spacing w:val="-2"/>
                <w:sz w:val="18"/>
              </w:rPr>
              <w:t>Society</w:t>
            </w:r>
          </w:p>
        </w:tc>
        <w:tc>
          <w:tcPr>
            <w:tcW w:w="1138" w:type="dxa"/>
            <w:tcBorders>
              <w:bottom w:val="single" w:sz="6" w:space="0" w:color="000000"/>
            </w:tcBorders>
            <w:shd w:val="clear" w:color="auto" w:fill="F1F1F1"/>
          </w:tcPr>
          <w:p w14:paraId="7D810EE2" w14:textId="77777777" w:rsidR="00AC6F3C" w:rsidRDefault="00570E88">
            <w:pPr>
              <w:pStyle w:val="TableParagraph"/>
              <w:spacing w:before="35"/>
              <w:ind w:right="35"/>
              <w:jc w:val="right"/>
              <w:rPr>
                <w:sz w:val="18"/>
              </w:rPr>
            </w:pPr>
            <w:r>
              <w:rPr>
                <w:spacing w:val="-5"/>
                <w:sz w:val="18"/>
              </w:rPr>
              <w:t>992</w:t>
            </w:r>
          </w:p>
        </w:tc>
        <w:tc>
          <w:tcPr>
            <w:tcW w:w="1116" w:type="dxa"/>
            <w:tcBorders>
              <w:bottom w:val="single" w:sz="6" w:space="0" w:color="000000"/>
              <w:right w:val="single" w:sz="6" w:space="0" w:color="000000"/>
            </w:tcBorders>
          </w:tcPr>
          <w:p w14:paraId="5B2501CA" w14:textId="77777777" w:rsidR="00AC6F3C" w:rsidRDefault="00570E88">
            <w:pPr>
              <w:pStyle w:val="TableParagraph"/>
              <w:spacing w:before="35"/>
              <w:ind w:right="21"/>
              <w:jc w:val="right"/>
              <w:rPr>
                <w:sz w:val="18"/>
              </w:rPr>
            </w:pPr>
            <w:r>
              <w:rPr>
                <w:spacing w:val="-5"/>
                <w:sz w:val="18"/>
              </w:rPr>
              <w:t>992</w:t>
            </w:r>
          </w:p>
        </w:tc>
      </w:tr>
      <w:tr w:rsidR="00AC6F3C" w14:paraId="2B874BBF" w14:textId="77777777">
        <w:trPr>
          <w:trHeight w:val="437"/>
        </w:trPr>
        <w:tc>
          <w:tcPr>
            <w:tcW w:w="6416" w:type="dxa"/>
            <w:tcBorders>
              <w:left w:val="single" w:sz="6" w:space="0" w:color="000000"/>
            </w:tcBorders>
          </w:tcPr>
          <w:p w14:paraId="03ED484F" w14:textId="77777777" w:rsidR="00AC6F3C" w:rsidRDefault="00AC6F3C">
            <w:pPr>
              <w:pStyle w:val="TableParagraph"/>
              <w:rPr>
                <w:rFonts w:ascii="Times New Roman"/>
                <w:sz w:val="18"/>
              </w:rPr>
            </w:pPr>
          </w:p>
        </w:tc>
        <w:tc>
          <w:tcPr>
            <w:tcW w:w="1138" w:type="dxa"/>
            <w:tcBorders>
              <w:top w:val="single" w:sz="6" w:space="0" w:color="000000"/>
            </w:tcBorders>
            <w:shd w:val="clear" w:color="auto" w:fill="F1F1F1"/>
          </w:tcPr>
          <w:p w14:paraId="40FBBF83" w14:textId="77777777" w:rsidR="00AC6F3C" w:rsidRDefault="00570E88">
            <w:pPr>
              <w:pStyle w:val="TableParagraph"/>
              <w:spacing w:before="55"/>
              <w:ind w:right="35"/>
              <w:jc w:val="right"/>
              <w:rPr>
                <w:sz w:val="18"/>
              </w:rPr>
            </w:pPr>
            <w:r>
              <w:rPr>
                <w:spacing w:val="-2"/>
                <w:sz w:val="18"/>
              </w:rPr>
              <w:t>1,038</w:t>
            </w:r>
          </w:p>
        </w:tc>
        <w:tc>
          <w:tcPr>
            <w:tcW w:w="1116" w:type="dxa"/>
            <w:tcBorders>
              <w:top w:val="single" w:sz="6" w:space="0" w:color="000000"/>
              <w:right w:val="single" w:sz="6" w:space="0" w:color="000000"/>
            </w:tcBorders>
          </w:tcPr>
          <w:p w14:paraId="14EEE301" w14:textId="77777777" w:rsidR="00AC6F3C" w:rsidRDefault="00570E88">
            <w:pPr>
              <w:pStyle w:val="TableParagraph"/>
              <w:spacing w:before="55"/>
              <w:ind w:right="21"/>
              <w:jc w:val="right"/>
              <w:rPr>
                <w:sz w:val="18"/>
              </w:rPr>
            </w:pPr>
            <w:r>
              <w:rPr>
                <w:spacing w:val="-2"/>
                <w:sz w:val="18"/>
              </w:rPr>
              <w:t>1,037</w:t>
            </w:r>
          </w:p>
        </w:tc>
      </w:tr>
      <w:tr w:rsidR="00AC6F3C" w14:paraId="06FAA5A4" w14:textId="77777777">
        <w:trPr>
          <w:trHeight w:val="417"/>
        </w:trPr>
        <w:tc>
          <w:tcPr>
            <w:tcW w:w="6416" w:type="dxa"/>
            <w:tcBorders>
              <w:left w:val="single" w:sz="6" w:space="0" w:color="000000"/>
            </w:tcBorders>
          </w:tcPr>
          <w:p w14:paraId="0071A293" w14:textId="77777777" w:rsidR="00AC6F3C" w:rsidRDefault="00570E88">
            <w:pPr>
              <w:pStyle w:val="TableParagraph"/>
              <w:spacing w:before="169"/>
              <w:ind w:left="37"/>
              <w:rPr>
                <w:sz w:val="18"/>
              </w:rPr>
            </w:pPr>
            <w:r>
              <w:rPr>
                <w:sz w:val="18"/>
              </w:rPr>
              <w:t>Investment</w:t>
            </w:r>
            <w:r>
              <w:rPr>
                <w:spacing w:val="14"/>
                <w:sz w:val="18"/>
              </w:rPr>
              <w:t xml:space="preserve"> </w:t>
            </w:r>
            <w:r>
              <w:rPr>
                <w:sz w:val="18"/>
              </w:rPr>
              <w:t>managers'</w:t>
            </w:r>
            <w:r>
              <w:rPr>
                <w:spacing w:val="16"/>
                <w:sz w:val="18"/>
              </w:rPr>
              <w:t xml:space="preserve"> </w:t>
            </w:r>
            <w:r>
              <w:rPr>
                <w:spacing w:val="-4"/>
                <w:sz w:val="18"/>
              </w:rPr>
              <w:t>fees</w:t>
            </w:r>
          </w:p>
        </w:tc>
        <w:tc>
          <w:tcPr>
            <w:tcW w:w="1138" w:type="dxa"/>
            <w:shd w:val="clear" w:color="auto" w:fill="F1F1F1"/>
          </w:tcPr>
          <w:p w14:paraId="2276A01F" w14:textId="77777777" w:rsidR="00AC6F3C" w:rsidRDefault="00570E88">
            <w:pPr>
              <w:pStyle w:val="TableParagraph"/>
              <w:spacing w:before="169"/>
              <w:ind w:right="35"/>
              <w:jc w:val="right"/>
              <w:rPr>
                <w:sz w:val="18"/>
              </w:rPr>
            </w:pPr>
            <w:r>
              <w:rPr>
                <w:spacing w:val="-5"/>
                <w:sz w:val="18"/>
              </w:rPr>
              <w:t>216</w:t>
            </w:r>
          </w:p>
        </w:tc>
        <w:tc>
          <w:tcPr>
            <w:tcW w:w="1116" w:type="dxa"/>
            <w:tcBorders>
              <w:right w:val="single" w:sz="6" w:space="0" w:color="000000"/>
            </w:tcBorders>
          </w:tcPr>
          <w:p w14:paraId="3BE97A03" w14:textId="77777777" w:rsidR="00AC6F3C" w:rsidRDefault="00570E88">
            <w:pPr>
              <w:pStyle w:val="TableParagraph"/>
              <w:spacing w:before="169"/>
              <w:ind w:right="21"/>
              <w:jc w:val="right"/>
              <w:rPr>
                <w:sz w:val="18"/>
              </w:rPr>
            </w:pPr>
            <w:r>
              <w:rPr>
                <w:spacing w:val="-5"/>
                <w:sz w:val="18"/>
              </w:rPr>
              <w:t>229</w:t>
            </w:r>
          </w:p>
        </w:tc>
      </w:tr>
      <w:tr w:rsidR="00AC6F3C" w14:paraId="608344A1" w14:textId="77777777">
        <w:trPr>
          <w:trHeight w:val="263"/>
        </w:trPr>
        <w:tc>
          <w:tcPr>
            <w:tcW w:w="6416" w:type="dxa"/>
            <w:tcBorders>
              <w:left w:val="single" w:sz="6" w:space="0" w:color="000000"/>
              <w:bottom w:val="single" w:sz="6" w:space="0" w:color="000000"/>
            </w:tcBorders>
          </w:tcPr>
          <w:p w14:paraId="58B12698" w14:textId="77777777" w:rsidR="00AC6F3C" w:rsidRDefault="00570E88">
            <w:pPr>
              <w:pStyle w:val="TableParagraph"/>
              <w:spacing w:before="35"/>
              <w:ind w:left="37"/>
              <w:rPr>
                <w:sz w:val="18"/>
              </w:rPr>
            </w:pPr>
            <w:r>
              <w:rPr>
                <w:sz w:val="18"/>
              </w:rPr>
              <w:t>Sundry</w:t>
            </w:r>
            <w:r>
              <w:rPr>
                <w:spacing w:val="-16"/>
                <w:sz w:val="18"/>
              </w:rPr>
              <w:t xml:space="preserve"> </w:t>
            </w:r>
            <w:r>
              <w:rPr>
                <w:spacing w:val="-2"/>
                <w:sz w:val="18"/>
              </w:rPr>
              <w:t>expenses</w:t>
            </w:r>
          </w:p>
        </w:tc>
        <w:tc>
          <w:tcPr>
            <w:tcW w:w="1138" w:type="dxa"/>
            <w:tcBorders>
              <w:bottom w:val="single" w:sz="6" w:space="0" w:color="000000"/>
            </w:tcBorders>
            <w:shd w:val="clear" w:color="auto" w:fill="F1F1F1"/>
          </w:tcPr>
          <w:p w14:paraId="1F2280E5" w14:textId="77777777" w:rsidR="00AC6F3C" w:rsidRDefault="00570E88">
            <w:pPr>
              <w:pStyle w:val="TableParagraph"/>
              <w:spacing w:before="35"/>
              <w:ind w:right="40"/>
              <w:jc w:val="right"/>
              <w:rPr>
                <w:sz w:val="18"/>
              </w:rPr>
            </w:pPr>
            <w:r>
              <w:rPr>
                <w:w w:val="99"/>
                <w:sz w:val="18"/>
              </w:rPr>
              <w:t>5</w:t>
            </w:r>
          </w:p>
        </w:tc>
        <w:tc>
          <w:tcPr>
            <w:tcW w:w="1116" w:type="dxa"/>
            <w:tcBorders>
              <w:bottom w:val="single" w:sz="6" w:space="0" w:color="000000"/>
              <w:right w:val="single" w:sz="6" w:space="0" w:color="000000"/>
            </w:tcBorders>
          </w:tcPr>
          <w:p w14:paraId="09B78558" w14:textId="77777777" w:rsidR="00AC6F3C" w:rsidRDefault="00570E88">
            <w:pPr>
              <w:pStyle w:val="TableParagraph"/>
              <w:spacing w:before="35"/>
              <w:ind w:right="21"/>
              <w:jc w:val="right"/>
              <w:rPr>
                <w:sz w:val="18"/>
              </w:rPr>
            </w:pPr>
            <w:r>
              <w:rPr>
                <w:spacing w:val="-5"/>
                <w:sz w:val="18"/>
              </w:rPr>
              <w:t>24</w:t>
            </w:r>
          </w:p>
        </w:tc>
      </w:tr>
      <w:tr w:rsidR="00AC6F3C" w14:paraId="4481B579" w14:textId="77777777">
        <w:trPr>
          <w:trHeight w:val="268"/>
        </w:trPr>
        <w:tc>
          <w:tcPr>
            <w:tcW w:w="6416" w:type="dxa"/>
            <w:tcBorders>
              <w:top w:val="single" w:sz="6" w:space="0" w:color="000000"/>
              <w:left w:val="single" w:sz="6" w:space="0" w:color="000000"/>
              <w:bottom w:val="single" w:sz="6" w:space="0" w:color="000000"/>
            </w:tcBorders>
            <w:shd w:val="clear" w:color="auto" w:fill="BEBEBE"/>
          </w:tcPr>
          <w:p w14:paraId="26ECAF27" w14:textId="77777777" w:rsidR="00AC6F3C" w:rsidRDefault="00570E88">
            <w:pPr>
              <w:pStyle w:val="TableParagraph"/>
              <w:spacing w:before="55" w:line="194" w:lineRule="exact"/>
              <w:ind w:left="37"/>
              <w:rPr>
                <w:b/>
                <w:sz w:val="18"/>
              </w:rPr>
            </w:pPr>
            <w:r>
              <w:rPr>
                <w:b/>
                <w:spacing w:val="-4"/>
                <w:sz w:val="18"/>
              </w:rPr>
              <w:t>Total</w:t>
            </w:r>
            <w:r>
              <w:rPr>
                <w:b/>
                <w:spacing w:val="7"/>
                <w:sz w:val="18"/>
              </w:rPr>
              <w:t xml:space="preserve"> </w:t>
            </w:r>
            <w:r>
              <w:rPr>
                <w:b/>
                <w:spacing w:val="-4"/>
                <w:sz w:val="18"/>
              </w:rPr>
              <w:t>administration</w:t>
            </w:r>
            <w:r>
              <w:rPr>
                <w:b/>
                <w:spacing w:val="8"/>
                <w:sz w:val="18"/>
              </w:rPr>
              <w:t xml:space="preserve"> </w:t>
            </w:r>
            <w:r>
              <w:rPr>
                <w:b/>
                <w:spacing w:val="-4"/>
                <w:sz w:val="18"/>
              </w:rPr>
              <w:t>expenses</w:t>
            </w:r>
          </w:p>
        </w:tc>
        <w:tc>
          <w:tcPr>
            <w:tcW w:w="1138" w:type="dxa"/>
            <w:tcBorders>
              <w:top w:val="single" w:sz="6" w:space="0" w:color="000000"/>
              <w:bottom w:val="single" w:sz="6" w:space="0" w:color="000000"/>
            </w:tcBorders>
            <w:shd w:val="clear" w:color="auto" w:fill="BEBEBE"/>
          </w:tcPr>
          <w:p w14:paraId="61083CC3" w14:textId="77777777" w:rsidR="00AC6F3C" w:rsidRDefault="00570E88">
            <w:pPr>
              <w:pStyle w:val="TableParagraph"/>
              <w:spacing w:before="55" w:line="194" w:lineRule="exact"/>
              <w:ind w:right="35"/>
              <w:jc w:val="right"/>
              <w:rPr>
                <w:b/>
                <w:sz w:val="18"/>
              </w:rPr>
            </w:pPr>
            <w:r>
              <w:rPr>
                <w:b/>
                <w:spacing w:val="-2"/>
                <w:sz w:val="18"/>
              </w:rPr>
              <w:t>1,259</w:t>
            </w:r>
          </w:p>
        </w:tc>
        <w:tc>
          <w:tcPr>
            <w:tcW w:w="1116" w:type="dxa"/>
            <w:tcBorders>
              <w:top w:val="single" w:sz="6" w:space="0" w:color="000000"/>
              <w:bottom w:val="single" w:sz="6" w:space="0" w:color="000000"/>
              <w:right w:val="single" w:sz="6" w:space="0" w:color="000000"/>
            </w:tcBorders>
            <w:shd w:val="clear" w:color="auto" w:fill="BEBEBE"/>
          </w:tcPr>
          <w:p w14:paraId="140FFDA1" w14:textId="77777777" w:rsidR="00AC6F3C" w:rsidRDefault="00570E88">
            <w:pPr>
              <w:pStyle w:val="TableParagraph"/>
              <w:spacing w:before="55" w:line="194" w:lineRule="exact"/>
              <w:ind w:right="21"/>
              <w:jc w:val="right"/>
              <w:rPr>
                <w:b/>
                <w:sz w:val="18"/>
              </w:rPr>
            </w:pPr>
            <w:r>
              <w:rPr>
                <w:b/>
                <w:spacing w:val="-2"/>
                <w:sz w:val="18"/>
              </w:rPr>
              <w:t>1,290</w:t>
            </w:r>
          </w:p>
        </w:tc>
      </w:tr>
    </w:tbl>
    <w:p w14:paraId="3F1BAE56" w14:textId="77777777" w:rsidR="00AC6F3C" w:rsidRDefault="00AC6F3C">
      <w:pPr>
        <w:pStyle w:val="BodyText"/>
        <w:rPr>
          <w:sz w:val="23"/>
        </w:rPr>
      </w:pPr>
    </w:p>
    <w:p w14:paraId="23FBE8BE" w14:textId="77777777" w:rsidR="00AC6F3C" w:rsidRDefault="00570E88">
      <w:pPr>
        <w:pStyle w:val="Heading6"/>
        <w:tabs>
          <w:tab w:val="left" w:pos="1831"/>
        </w:tabs>
        <w:spacing w:before="1"/>
        <w:ind w:left="979"/>
      </w:pPr>
      <w:r>
        <w:rPr>
          <w:spacing w:val="-2"/>
        </w:rPr>
        <w:t>B2-</w:t>
      </w:r>
      <w:r>
        <w:rPr>
          <w:spacing w:val="-10"/>
        </w:rPr>
        <w:t>2</w:t>
      </w:r>
      <w:r>
        <w:tab/>
        <w:t>AUDIT</w:t>
      </w:r>
      <w:r>
        <w:rPr>
          <w:spacing w:val="-3"/>
        </w:rPr>
        <w:t xml:space="preserve"> </w:t>
      </w:r>
      <w:r>
        <w:rPr>
          <w:spacing w:val="-4"/>
        </w:rPr>
        <w:t>FEES</w:t>
      </w:r>
    </w:p>
    <w:p w14:paraId="121C9027" w14:textId="77777777" w:rsidR="00AC6F3C" w:rsidRDefault="00AC6F3C">
      <w:pPr>
        <w:pStyle w:val="BodyText"/>
        <w:spacing w:before="8"/>
        <w:rPr>
          <w:b/>
        </w:rPr>
      </w:pPr>
    </w:p>
    <w:p w14:paraId="6CD2D473" w14:textId="77777777" w:rsidR="00AC6F3C" w:rsidRDefault="00570E88">
      <w:pPr>
        <w:ind w:left="979"/>
        <w:rPr>
          <w:sz w:val="18"/>
        </w:rPr>
      </w:pPr>
      <w:r>
        <w:rPr>
          <w:sz w:val="18"/>
        </w:rPr>
        <w:t>Total audit fees paid and payable to the Queensland Audit Office to perform the audit of the Fund’s financial statement</w:t>
      </w:r>
      <w:r>
        <w:rPr>
          <w:spacing w:val="-2"/>
          <w:sz w:val="18"/>
        </w:rPr>
        <w:t xml:space="preserve"> </w:t>
      </w:r>
      <w:r>
        <w:rPr>
          <w:sz w:val="18"/>
        </w:rPr>
        <w:t>for</w:t>
      </w:r>
      <w:r>
        <w:rPr>
          <w:spacing w:val="-4"/>
          <w:sz w:val="18"/>
        </w:rPr>
        <w:t xml:space="preserve"> </w:t>
      </w:r>
      <w:r>
        <w:rPr>
          <w:sz w:val="18"/>
        </w:rPr>
        <w:t>2022-23</w:t>
      </w:r>
      <w:r>
        <w:rPr>
          <w:spacing w:val="-4"/>
          <w:sz w:val="18"/>
        </w:rPr>
        <w:t xml:space="preserve"> </w:t>
      </w:r>
      <w:r>
        <w:rPr>
          <w:sz w:val="18"/>
        </w:rPr>
        <w:t>are</w:t>
      </w:r>
      <w:r>
        <w:rPr>
          <w:spacing w:val="-1"/>
          <w:sz w:val="18"/>
        </w:rPr>
        <w:t xml:space="preserve"> </w:t>
      </w:r>
      <w:r>
        <w:rPr>
          <w:sz w:val="18"/>
        </w:rPr>
        <w:t>$27,000</w:t>
      </w:r>
      <w:r>
        <w:rPr>
          <w:spacing w:val="-1"/>
          <w:sz w:val="18"/>
        </w:rPr>
        <w:t xml:space="preserve"> </w:t>
      </w:r>
      <w:r>
        <w:rPr>
          <w:sz w:val="18"/>
        </w:rPr>
        <w:t>(2022:</w:t>
      </w:r>
      <w:r>
        <w:rPr>
          <w:spacing w:val="-2"/>
          <w:sz w:val="18"/>
        </w:rPr>
        <w:t xml:space="preserve"> </w:t>
      </w:r>
      <w:r>
        <w:rPr>
          <w:sz w:val="18"/>
        </w:rPr>
        <w:t>$25,000).</w:t>
      </w:r>
      <w:r>
        <w:rPr>
          <w:spacing w:val="40"/>
          <w:sz w:val="18"/>
        </w:rPr>
        <w:t xml:space="preserve"> </w:t>
      </w:r>
      <w:r>
        <w:rPr>
          <w:sz w:val="18"/>
        </w:rPr>
        <w:t>There</w:t>
      </w:r>
      <w:r>
        <w:rPr>
          <w:spacing w:val="-4"/>
          <w:sz w:val="18"/>
        </w:rPr>
        <w:t xml:space="preserve"> </w:t>
      </w:r>
      <w:r>
        <w:rPr>
          <w:sz w:val="18"/>
        </w:rPr>
        <w:t>are</w:t>
      </w:r>
      <w:r>
        <w:rPr>
          <w:spacing w:val="-1"/>
          <w:sz w:val="18"/>
        </w:rPr>
        <w:t xml:space="preserve"> </w:t>
      </w:r>
      <w:r>
        <w:rPr>
          <w:sz w:val="18"/>
        </w:rPr>
        <w:t>no</w:t>
      </w:r>
      <w:r>
        <w:rPr>
          <w:spacing w:val="-1"/>
          <w:sz w:val="18"/>
        </w:rPr>
        <w:t xml:space="preserve"> </w:t>
      </w:r>
      <w:r>
        <w:rPr>
          <w:sz w:val="18"/>
        </w:rPr>
        <w:t>non-audit</w:t>
      </w:r>
      <w:r>
        <w:rPr>
          <w:spacing w:val="-4"/>
          <w:sz w:val="18"/>
        </w:rPr>
        <w:t xml:space="preserve"> </w:t>
      </w:r>
      <w:r>
        <w:rPr>
          <w:sz w:val="18"/>
        </w:rPr>
        <w:t>services</w:t>
      </w:r>
      <w:r>
        <w:rPr>
          <w:spacing w:val="-1"/>
          <w:sz w:val="18"/>
        </w:rPr>
        <w:t xml:space="preserve"> </w:t>
      </w:r>
      <w:r>
        <w:rPr>
          <w:sz w:val="18"/>
        </w:rPr>
        <w:t>included</w:t>
      </w:r>
      <w:r>
        <w:rPr>
          <w:spacing w:val="-1"/>
          <w:sz w:val="18"/>
        </w:rPr>
        <w:t xml:space="preserve"> </w:t>
      </w:r>
      <w:r>
        <w:rPr>
          <w:sz w:val="18"/>
        </w:rPr>
        <w:t>in</w:t>
      </w:r>
      <w:r>
        <w:rPr>
          <w:spacing w:val="-4"/>
          <w:sz w:val="18"/>
        </w:rPr>
        <w:t xml:space="preserve"> </w:t>
      </w:r>
      <w:r>
        <w:rPr>
          <w:sz w:val="18"/>
        </w:rPr>
        <w:t>this</w:t>
      </w:r>
      <w:r>
        <w:rPr>
          <w:spacing w:val="-1"/>
          <w:sz w:val="18"/>
        </w:rPr>
        <w:t xml:space="preserve"> </w:t>
      </w:r>
      <w:r>
        <w:rPr>
          <w:sz w:val="18"/>
        </w:rPr>
        <w:t>amount.</w:t>
      </w:r>
    </w:p>
    <w:p w14:paraId="6F2D2707" w14:textId="77777777" w:rsidR="00AC6F3C" w:rsidRDefault="00AC6F3C">
      <w:pPr>
        <w:pStyle w:val="BodyText"/>
        <w:rPr>
          <w:sz w:val="24"/>
        </w:rPr>
      </w:pPr>
    </w:p>
    <w:p w14:paraId="323F1D12" w14:textId="77777777" w:rsidR="00AC6F3C" w:rsidRDefault="00570E88">
      <w:pPr>
        <w:pStyle w:val="Heading6"/>
        <w:tabs>
          <w:tab w:val="left" w:pos="1831"/>
        </w:tabs>
        <w:spacing w:before="0"/>
        <w:ind w:left="979"/>
      </w:pPr>
      <w:r>
        <w:rPr>
          <w:spacing w:val="-2"/>
        </w:rPr>
        <w:t>B2-</w:t>
      </w:r>
      <w:r>
        <w:rPr>
          <w:spacing w:val="-10"/>
        </w:rPr>
        <w:t>3</w:t>
      </w:r>
      <w:r>
        <w:tab/>
        <w:t>INSURANCE</w:t>
      </w:r>
      <w:r>
        <w:rPr>
          <w:spacing w:val="-5"/>
        </w:rPr>
        <w:t xml:space="preserve"> </w:t>
      </w:r>
      <w:r>
        <w:rPr>
          <w:spacing w:val="-2"/>
        </w:rPr>
        <w:t>PREMIUMS</w:t>
      </w:r>
    </w:p>
    <w:p w14:paraId="3A4B1A2D" w14:textId="77777777" w:rsidR="00AC6F3C" w:rsidRDefault="00AC6F3C">
      <w:pPr>
        <w:pStyle w:val="BodyText"/>
        <w:spacing w:before="9"/>
        <w:rPr>
          <w:b/>
        </w:rPr>
      </w:pPr>
    </w:p>
    <w:p w14:paraId="6E37F3A1" w14:textId="77777777" w:rsidR="00AC6F3C" w:rsidRDefault="00570E88">
      <w:pPr>
        <w:ind w:left="979"/>
        <w:rPr>
          <w:sz w:val="18"/>
        </w:rPr>
      </w:pPr>
      <w:r>
        <w:rPr>
          <w:sz w:val="18"/>
        </w:rPr>
        <w:t>Insurance</w:t>
      </w:r>
      <w:r>
        <w:rPr>
          <w:spacing w:val="-1"/>
          <w:sz w:val="18"/>
        </w:rPr>
        <w:t xml:space="preserve"> </w:t>
      </w:r>
      <w:r>
        <w:rPr>
          <w:sz w:val="18"/>
        </w:rPr>
        <w:t>premiums</w:t>
      </w:r>
      <w:r>
        <w:rPr>
          <w:spacing w:val="-1"/>
          <w:sz w:val="18"/>
        </w:rPr>
        <w:t xml:space="preserve"> </w:t>
      </w:r>
      <w:r>
        <w:rPr>
          <w:sz w:val="18"/>
        </w:rPr>
        <w:t>are</w:t>
      </w:r>
      <w:r>
        <w:rPr>
          <w:spacing w:val="-4"/>
          <w:sz w:val="18"/>
        </w:rPr>
        <w:t xml:space="preserve"> </w:t>
      </w:r>
      <w:r>
        <w:rPr>
          <w:sz w:val="18"/>
        </w:rPr>
        <w:t>paid</w:t>
      </w:r>
      <w:r>
        <w:rPr>
          <w:spacing w:val="-1"/>
          <w:sz w:val="18"/>
        </w:rPr>
        <w:t xml:space="preserve"> </w:t>
      </w:r>
      <w:r>
        <w:rPr>
          <w:sz w:val="18"/>
        </w:rPr>
        <w:t>to</w:t>
      </w:r>
      <w:r>
        <w:rPr>
          <w:spacing w:val="-1"/>
          <w:sz w:val="18"/>
        </w:rPr>
        <w:t xml:space="preserve"> </w:t>
      </w:r>
      <w:r>
        <w:rPr>
          <w:sz w:val="18"/>
        </w:rPr>
        <w:t>Lexon</w:t>
      </w:r>
      <w:r>
        <w:rPr>
          <w:spacing w:val="-1"/>
          <w:sz w:val="18"/>
        </w:rPr>
        <w:t xml:space="preserve"> </w:t>
      </w:r>
      <w:r>
        <w:rPr>
          <w:sz w:val="18"/>
        </w:rPr>
        <w:t>Insurance</w:t>
      </w:r>
      <w:r>
        <w:rPr>
          <w:spacing w:val="-1"/>
          <w:sz w:val="18"/>
        </w:rPr>
        <w:t xml:space="preserve"> </w:t>
      </w:r>
      <w:r>
        <w:rPr>
          <w:sz w:val="18"/>
        </w:rPr>
        <w:t>Pte</w:t>
      </w:r>
      <w:r>
        <w:rPr>
          <w:spacing w:val="-4"/>
          <w:sz w:val="18"/>
        </w:rPr>
        <w:t xml:space="preserve"> </w:t>
      </w:r>
      <w:r>
        <w:rPr>
          <w:sz w:val="18"/>
        </w:rPr>
        <w:t>Ltd,</w:t>
      </w:r>
      <w:r>
        <w:rPr>
          <w:spacing w:val="-4"/>
          <w:sz w:val="18"/>
        </w:rPr>
        <w:t xml:space="preserve"> </w:t>
      </w:r>
      <w:r>
        <w:rPr>
          <w:sz w:val="18"/>
        </w:rPr>
        <w:t>a</w:t>
      </w:r>
      <w:r>
        <w:rPr>
          <w:spacing w:val="-4"/>
          <w:sz w:val="18"/>
        </w:rPr>
        <w:t xml:space="preserve"> </w:t>
      </w:r>
      <w:r>
        <w:rPr>
          <w:sz w:val="18"/>
        </w:rPr>
        <w:t>wholly</w:t>
      </w:r>
      <w:r>
        <w:rPr>
          <w:spacing w:val="-1"/>
          <w:sz w:val="18"/>
        </w:rPr>
        <w:t xml:space="preserve"> </w:t>
      </w:r>
      <w:r>
        <w:rPr>
          <w:sz w:val="18"/>
        </w:rPr>
        <w:t>owned</w:t>
      </w:r>
      <w:r>
        <w:rPr>
          <w:spacing w:val="-1"/>
          <w:sz w:val="18"/>
        </w:rPr>
        <w:t xml:space="preserve"> </w:t>
      </w:r>
      <w:r>
        <w:rPr>
          <w:sz w:val="18"/>
        </w:rPr>
        <w:t>entity</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Society,</w:t>
      </w:r>
      <w:r>
        <w:rPr>
          <w:spacing w:val="-4"/>
          <w:sz w:val="18"/>
        </w:rPr>
        <w:t xml:space="preserve"> </w:t>
      </w:r>
      <w:r>
        <w:rPr>
          <w:sz w:val="18"/>
        </w:rPr>
        <w:t>under</w:t>
      </w:r>
      <w:r>
        <w:rPr>
          <w:spacing w:val="-2"/>
          <w:sz w:val="18"/>
        </w:rPr>
        <w:t xml:space="preserve"> </w:t>
      </w:r>
      <w:r>
        <w:rPr>
          <w:sz w:val="18"/>
        </w:rPr>
        <w:t>the</w:t>
      </w:r>
      <w:r>
        <w:rPr>
          <w:spacing w:val="-1"/>
          <w:sz w:val="18"/>
        </w:rPr>
        <w:t xml:space="preserve"> </w:t>
      </w:r>
      <w:r>
        <w:rPr>
          <w:sz w:val="18"/>
        </w:rPr>
        <w:t>Master Policy in accordance with the Indemnity Rules.</w:t>
      </w:r>
    </w:p>
    <w:p w14:paraId="738A6C09" w14:textId="77777777" w:rsidR="00AC6F3C" w:rsidRDefault="00AC6F3C">
      <w:pPr>
        <w:pStyle w:val="BodyText"/>
      </w:pPr>
    </w:p>
    <w:p w14:paraId="205F7B8D" w14:textId="77777777" w:rsidR="00AC6F3C" w:rsidRDefault="00AC6F3C">
      <w:pPr>
        <w:pStyle w:val="BodyText"/>
        <w:spacing w:before="11"/>
        <w:rPr>
          <w:sz w:val="15"/>
        </w:rPr>
      </w:pPr>
    </w:p>
    <w:p w14:paraId="0A138174" w14:textId="77777777" w:rsidR="00AC6F3C" w:rsidRDefault="00570E88">
      <w:pPr>
        <w:tabs>
          <w:tab w:val="left" w:pos="1831"/>
        </w:tabs>
        <w:ind w:left="979"/>
        <w:rPr>
          <w:b/>
          <w:sz w:val="28"/>
        </w:rPr>
      </w:pPr>
      <w:r>
        <w:rPr>
          <w:b/>
          <w:spacing w:val="-5"/>
          <w:sz w:val="28"/>
        </w:rPr>
        <w:t>C1</w:t>
      </w:r>
      <w:r>
        <w:rPr>
          <w:b/>
          <w:sz w:val="28"/>
        </w:rPr>
        <w:tab/>
        <w:t>CASH</w:t>
      </w:r>
      <w:r>
        <w:rPr>
          <w:b/>
          <w:spacing w:val="-17"/>
          <w:sz w:val="28"/>
        </w:rPr>
        <w:t xml:space="preserve"> </w:t>
      </w:r>
      <w:r>
        <w:rPr>
          <w:b/>
          <w:sz w:val="28"/>
        </w:rPr>
        <w:t>AND</w:t>
      </w:r>
      <w:r>
        <w:rPr>
          <w:b/>
          <w:spacing w:val="-4"/>
          <w:sz w:val="28"/>
        </w:rPr>
        <w:t xml:space="preserve"> </w:t>
      </w:r>
      <w:r>
        <w:rPr>
          <w:b/>
          <w:sz w:val="28"/>
        </w:rPr>
        <w:t>CASH</w:t>
      </w:r>
      <w:r>
        <w:rPr>
          <w:b/>
          <w:spacing w:val="-3"/>
          <w:sz w:val="28"/>
        </w:rPr>
        <w:t xml:space="preserve"> </w:t>
      </w:r>
      <w:r>
        <w:rPr>
          <w:b/>
          <w:spacing w:val="-2"/>
          <w:sz w:val="28"/>
        </w:rPr>
        <w:t>EQUIVALENTS</w:t>
      </w:r>
    </w:p>
    <w:p w14:paraId="2959FF95" w14:textId="77777777" w:rsidR="00AC6F3C" w:rsidRDefault="00570E88">
      <w:pPr>
        <w:spacing w:before="240"/>
        <w:ind w:left="979" w:right="256"/>
        <w:rPr>
          <w:sz w:val="18"/>
        </w:rPr>
      </w:pPr>
      <w:r>
        <w:rPr>
          <w:sz w:val="18"/>
        </w:rPr>
        <w:t>For the purposes of the Statement of Financial Position and Statement of Cash Flows, cash assets include all cash</w:t>
      </w:r>
      <w:r>
        <w:rPr>
          <w:spacing w:val="-1"/>
          <w:sz w:val="18"/>
        </w:rPr>
        <w:t xml:space="preserve"> </w:t>
      </w:r>
      <w:r>
        <w:rPr>
          <w:sz w:val="18"/>
        </w:rPr>
        <w:t>and</w:t>
      </w:r>
      <w:r>
        <w:rPr>
          <w:spacing w:val="-1"/>
          <w:sz w:val="18"/>
        </w:rPr>
        <w:t xml:space="preserve"> </w:t>
      </w:r>
      <w:r>
        <w:rPr>
          <w:sz w:val="18"/>
        </w:rPr>
        <w:t>cheques</w:t>
      </w:r>
      <w:r>
        <w:rPr>
          <w:spacing w:val="-1"/>
          <w:sz w:val="18"/>
        </w:rPr>
        <w:t xml:space="preserve"> </w:t>
      </w:r>
      <w:r>
        <w:rPr>
          <w:sz w:val="18"/>
        </w:rPr>
        <w:t>receipted</w:t>
      </w:r>
      <w:r>
        <w:rPr>
          <w:spacing w:val="-1"/>
          <w:sz w:val="18"/>
        </w:rPr>
        <w:t xml:space="preserve"> </w:t>
      </w:r>
      <w:r>
        <w:rPr>
          <w:sz w:val="18"/>
        </w:rPr>
        <w:t>but</w:t>
      </w:r>
      <w:r>
        <w:rPr>
          <w:spacing w:val="-2"/>
          <w:sz w:val="18"/>
        </w:rPr>
        <w:t xml:space="preserve"> </w:t>
      </w:r>
      <w:r>
        <w:rPr>
          <w:sz w:val="18"/>
        </w:rPr>
        <w:t>not</w:t>
      </w:r>
      <w:r>
        <w:rPr>
          <w:spacing w:val="-4"/>
          <w:sz w:val="18"/>
        </w:rPr>
        <w:t xml:space="preserve"> </w:t>
      </w:r>
      <w:r>
        <w:rPr>
          <w:sz w:val="18"/>
        </w:rPr>
        <w:t>banked</w:t>
      </w:r>
      <w:r>
        <w:rPr>
          <w:spacing w:val="-4"/>
          <w:sz w:val="18"/>
        </w:rPr>
        <w:t xml:space="preserve"> </w:t>
      </w:r>
      <w:r>
        <w:rPr>
          <w:sz w:val="18"/>
        </w:rPr>
        <w:t>at</w:t>
      </w:r>
      <w:r>
        <w:rPr>
          <w:spacing w:val="-2"/>
          <w:sz w:val="18"/>
        </w:rPr>
        <w:t xml:space="preserve"> </w:t>
      </w:r>
      <w:r>
        <w:rPr>
          <w:sz w:val="18"/>
        </w:rPr>
        <w:t>30</w:t>
      </w:r>
      <w:r>
        <w:rPr>
          <w:spacing w:val="-1"/>
          <w:sz w:val="18"/>
        </w:rPr>
        <w:t xml:space="preserve"> </w:t>
      </w:r>
      <w:r>
        <w:rPr>
          <w:sz w:val="18"/>
        </w:rPr>
        <w:t>June</w:t>
      </w:r>
      <w:r>
        <w:rPr>
          <w:spacing w:val="-4"/>
          <w:sz w:val="18"/>
        </w:rPr>
        <w:t xml:space="preserve"> </w:t>
      </w:r>
      <w:r>
        <w:rPr>
          <w:sz w:val="18"/>
        </w:rPr>
        <w:t>as</w:t>
      </w:r>
      <w:r>
        <w:rPr>
          <w:spacing w:val="-1"/>
          <w:sz w:val="18"/>
        </w:rPr>
        <w:t xml:space="preserve"> </w:t>
      </w:r>
      <w:r>
        <w:rPr>
          <w:sz w:val="18"/>
        </w:rPr>
        <w:t>well</w:t>
      </w:r>
      <w:r>
        <w:rPr>
          <w:spacing w:val="-1"/>
          <w:sz w:val="18"/>
        </w:rPr>
        <w:t xml:space="preserve"> </w:t>
      </w:r>
      <w:r>
        <w:rPr>
          <w:sz w:val="18"/>
        </w:rPr>
        <w:t>as</w:t>
      </w:r>
      <w:r>
        <w:rPr>
          <w:spacing w:val="-1"/>
          <w:sz w:val="18"/>
        </w:rPr>
        <w:t xml:space="preserve"> </w:t>
      </w:r>
      <w:r>
        <w:rPr>
          <w:sz w:val="18"/>
        </w:rPr>
        <w:t>deposits</w:t>
      </w:r>
      <w:r>
        <w:rPr>
          <w:spacing w:val="-1"/>
          <w:sz w:val="18"/>
        </w:rPr>
        <w:t xml:space="preserve"> </w:t>
      </w:r>
      <w:r>
        <w:rPr>
          <w:sz w:val="18"/>
        </w:rPr>
        <w:t>on</w:t>
      </w:r>
      <w:r>
        <w:rPr>
          <w:spacing w:val="-4"/>
          <w:sz w:val="18"/>
        </w:rPr>
        <w:t xml:space="preserve"> </w:t>
      </w:r>
      <w:r>
        <w:rPr>
          <w:sz w:val="18"/>
        </w:rPr>
        <w:t>call</w:t>
      </w:r>
      <w:r>
        <w:rPr>
          <w:spacing w:val="-1"/>
          <w:sz w:val="18"/>
        </w:rPr>
        <w:t xml:space="preserve"> </w:t>
      </w:r>
      <w:r>
        <w:rPr>
          <w:sz w:val="18"/>
        </w:rPr>
        <w:t>with</w:t>
      </w:r>
      <w:r>
        <w:rPr>
          <w:spacing w:val="-1"/>
          <w:sz w:val="18"/>
        </w:rPr>
        <w:t xml:space="preserve"> </w:t>
      </w:r>
      <w:r>
        <w:rPr>
          <w:sz w:val="18"/>
        </w:rPr>
        <w:t>financial</w:t>
      </w:r>
      <w:r>
        <w:rPr>
          <w:spacing w:val="-1"/>
          <w:sz w:val="18"/>
        </w:rPr>
        <w:t xml:space="preserve"> </w:t>
      </w:r>
      <w:r>
        <w:rPr>
          <w:sz w:val="18"/>
        </w:rPr>
        <w:t>institutions.</w:t>
      </w:r>
      <w:r>
        <w:rPr>
          <w:spacing w:val="-2"/>
          <w:sz w:val="18"/>
        </w:rPr>
        <w:t xml:space="preserve"> </w:t>
      </w:r>
      <w:r>
        <w:rPr>
          <w:sz w:val="18"/>
        </w:rPr>
        <w:t>Cash at the end of the financial year as shown in the Statement of Cash Flows is reconciled to the related items in the Statement of Financial Position as follows:</w:t>
      </w:r>
    </w:p>
    <w:p w14:paraId="7CAEB2B2" w14:textId="77777777" w:rsidR="00AC6F3C" w:rsidRDefault="00AC6F3C">
      <w:pPr>
        <w:pStyle w:val="BodyText"/>
      </w:pPr>
    </w:p>
    <w:p w14:paraId="550A4003" w14:textId="77777777" w:rsidR="00AC6F3C" w:rsidRDefault="00AC6F3C">
      <w:pPr>
        <w:pStyle w:val="BodyText"/>
        <w:spacing w:before="1"/>
        <w:rPr>
          <w:sz w:val="18"/>
        </w:rPr>
      </w:pPr>
    </w:p>
    <w:tbl>
      <w:tblPr>
        <w:tblW w:w="0" w:type="auto"/>
        <w:tblInd w:w="994" w:type="dxa"/>
        <w:tblLayout w:type="fixed"/>
        <w:tblCellMar>
          <w:left w:w="0" w:type="dxa"/>
          <w:right w:w="0" w:type="dxa"/>
        </w:tblCellMar>
        <w:tblLook w:val="01E0" w:firstRow="1" w:lastRow="1" w:firstColumn="1" w:lastColumn="1" w:noHBand="0" w:noVBand="0"/>
      </w:tblPr>
      <w:tblGrid>
        <w:gridCol w:w="5568"/>
        <w:gridCol w:w="1702"/>
        <w:gridCol w:w="1684"/>
      </w:tblGrid>
      <w:tr w:rsidR="00AC6F3C" w14:paraId="02D9A3E1" w14:textId="77777777">
        <w:trPr>
          <w:trHeight w:val="531"/>
        </w:trPr>
        <w:tc>
          <w:tcPr>
            <w:tcW w:w="8954" w:type="dxa"/>
            <w:gridSpan w:val="3"/>
            <w:tcBorders>
              <w:top w:val="single" w:sz="6" w:space="0" w:color="000000"/>
              <w:left w:val="single" w:sz="6" w:space="0" w:color="000000"/>
              <w:bottom w:val="single" w:sz="6" w:space="0" w:color="000000"/>
              <w:right w:val="single" w:sz="6" w:space="0" w:color="000000"/>
            </w:tcBorders>
            <w:shd w:val="clear" w:color="auto" w:fill="BEBEBE"/>
          </w:tcPr>
          <w:p w14:paraId="05469BEB" w14:textId="77777777" w:rsidR="00AC6F3C" w:rsidRDefault="00570E88">
            <w:pPr>
              <w:pStyle w:val="TableParagraph"/>
              <w:tabs>
                <w:tab w:val="left" w:pos="1689"/>
              </w:tabs>
              <w:spacing w:before="20"/>
              <w:ind w:right="15"/>
              <w:jc w:val="right"/>
              <w:rPr>
                <w:b/>
                <w:sz w:val="18"/>
              </w:rPr>
            </w:pPr>
            <w:r>
              <w:rPr>
                <w:b/>
                <w:spacing w:val="-4"/>
                <w:sz w:val="18"/>
              </w:rPr>
              <w:t>2023</w:t>
            </w:r>
            <w:r>
              <w:rPr>
                <w:b/>
                <w:sz w:val="18"/>
              </w:rPr>
              <w:tab/>
            </w:r>
            <w:r>
              <w:rPr>
                <w:b/>
                <w:spacing w:val="-4"/>
                <w:sz w:val="18"/>
              </w:rPr>
              <w:t>2022</w:t>
            </w:r>
          </w:p>
          <w:p w14:paraId="00D83E46" w14:textId="77777777" w:rsidR="00AC6F3C" w:rsidRDefault="00570E88">
            <w:pPr>
              <w:pStyle w:val="TableParagraph"/>
              <w:tabs>
                <w:tab w:val="left" w:pos="1689"/>
              </w:tabs>
              <w:spacing w:before="66"/>
              <w:ind w:right="14"/>
              <w:jc w:val="right"/>
              <w:rPr>
                <w:b/>
                <w:sz w:val="18"/>
              </w:rPr>
            </w:pPr>
            <w:r>
              <w:rPr>
                <w:b/>
                <w:spacing w:val="-2"/>
                <w:sz w:val="18"/>
              </w:rPr>
              <w:t>$'000</w:t>
            </w:r>
            <w:r>
              <w:rPr>
                <w:b/>
                <w:sz w:val="18"/>
              </w:rPr>
              <w:tab/>
            </w:r>
            <w:r>
              <w:rPr>
                <w:b/>
                <w:spacing w:val="-4"/>
                <w:sz w:val="18"/>
              </w:rPr>
              <w:t>$'000</w:t>
            </w:r>
          </w:p>
        </w:tc>
      </w:tr>
      <w:tr w:rsidR="00AC6F3C" w14:paraId="25DBC03C" w14:textId="77777777">
        <w:trPr>
          <w:trHeight w:val="281"/>
        </w:trPr>
        <w:tc>
          <w:tcPr>
            <w:tcW w:w="5568" w:type="dxa"/>
            <w:tcBorders>
              <w:top w:val="single" w:sz="6" w:space="0" w:color="000000"/>
              <w:left w:val="single" w:sz="6" w:space="0" w:color="000000"/>
            </w:tcBorders>
          </w:tcPr>
          <w:p w14:paraId="727094CD" w14:textId="77777777" w:rsidR="00AC6F3C" w:rsidRDefault="00570E88">
            <w:pPr>
              <w:pStyle w:val="TableParagraph"/>
              <w:spacing w:before="43"/>
              <w:ind w:left="28"/>
              <w:rPr>
                <w:b/>
                <w:sz w:val="18"/>
              </w:rPr>
            </w:pPr>
            <w:r>
              <w:rPr>
                <w:b/>
                <w:sz w:val="18"/>
              </w:rPr>
              <w:t>Current</w:t>
            </w:r>
            <w:r>
              <w:rPr>
                <w:b/>
                <w:spacing w:val="-2"/>
                <w:sz w:val="18"/>
              </w:rPr>
              <w:t xml:space="preserve"> assets:</w:t>
            </w:r>
          </w:p>
        </w:tc>
        <w:tc>
          <w:tcPr>
            <w:tcW w:w="1702" w:type="dxa"/>
            <w:tcBorders>
              <w:top w:val="single" w:sz="6" w:space="0" w:color="000000"/>
            </w:tcBorders>
            <w:shd w:val="clear" w:color="auto" w:fill="F1F1F1"/>
          </w:tcPr>
          <w:p w14:paraId="64096C4D" w14:textId="77777777" w:rsidR="00AC6F3C" w:rsidRDefault="00AC6F3C">
            <w:pPr>
              <w:pStyle w:val="TableParagraph"/>
              <w:rPr>
                <w:rFonts w:ascii="Times New Roman"/>
                <w:sz w:val="18"/>
              </w:rPr>
            </w:pPr>
          </w:p>
        </w:tc>
        <w:tc>
          <w:tcPr>
            <w:tcW w:w="1684" w:type="dxa"/>
            <w:tcBorders>
              <w:top w:val="single" w:sz="6" w:space="0" w:color="000000"/>
              <w:right w:val="single" w:sz="6" w:space="0" w:color="000000"/>
            </w:tcBorders>
          </w:tcPr>
          <w:p w14:paraId="588C9FCF" w14:textId="77777777" w:rsidR="00AC6F3C" w:rsidRDefault="00AC6F3C">
            <w:pPr>
              <w:pStyle w:val="TableParagraph"/>
              <w:rPr>
                <w:rFonts w:ascii="Times New Roman"/>
                <w:sz w:val="18"/>
              </w:rPr>
            </w:pPr>
          </w:p>
        </w:tc>
      </w:tr>
      <w:tr w:rsidR="00AC6F3C" w14:paraId="0C48A892" w14:textId="77777777">
        <w:trPr>
          <w:trHeight w:val="267"/>
        </w:trPr>
        <w:tc>
          <w:tcPr>
            <w:tcW w:w="5568" w:type="dxa"/>
            <w:tcBorders>
              <w:left w:val="single" w:sz="6" w:space="0" w:color="000000"/>
            </w:tcBorders>
          </w:tcPr>
          <w:p w14:paraId="7A6A972F" w14:textId="77777777" w:rsidR="00AC6F3C" w:rsidRDefault="00570E88">
            <w:pPr>
              <w:pStyle w:val="TableParagraph"/>
              <w:spacing w:before="24"/>
              <w:ind w:left="28"/>
              <w:rPr>
                <w:sz w:val="18"/>
              </w:rPr>
            </w:pPr>
            <w:r>
              <w:rPr>
                <w:sz w:val="18"/>
              </w:rPr>
              <w:t>Cash</w:t>
            </w:r>
            <w:r>
              <w:rPr>
                <w:spacing w:val="-12"/>
                <w:sz w:val="18"/>
              </w:rPr>
              <w:t xml:space="preserve"> </w:t>
            </w:r>
            <w:r>
              <w:rPr>
                <w:sz w:val="18"/>
              </w:rPr>
              <w:t>at</w:t>
            </w:r>
            <w:r>
              <w:rPr>
                <w:spacing w:val="-8"/>
                <w:sz w:val="18"/>
              </w:rPr>
              <w:t xml:space="preserve"> </w:t>
            </w:r>
            <w:r>
              <w:rPr>
                <w:spacing w:val="-4"/>
                <w:sz w:val="18"/>
              </w:rPr>
              <w:t>bank</w:t>
            </w:r>
          </w:p>
        </w:tc>
        <w:tc>
          <w:tcPr>
            <w:tcW w:w="1702" w:type="dxa"/>
            <w:shd w:val="clear" w:color="auto" w:fill="F1F1F1"/>
          </w:tcPr>
          <w:p w14:paraId="6636DAA9" w14:textId="77777777" w:rsidR="00AC6F3C" w:rsidRDefault="00570E88">
            <w:pPr>
              <w:pStyle w:val="TableParagraph"/>
              <w:spacing w:before="24"/>
              <w:ind w:right="28"/>
              <w:jc w:val="right"/>
              <w:rPr>
                <w:sz w:val="18"/>
              </w:rPr>
            </w:pPr>
            <w:r>
              <w:rPr>
                <w:spacing w:val="-5"/>
                <w:sz w:val="18"/>
              </w:rPr>
              <w:t>117</w:t>
            </w:r>
          </w:p>
        </w:tc>
        <w:tc>
          <w:tcPr>
            <w:tcW w:w="1684" w:type="dxa"/>
            <w:tcBorders>
              <w:right w:val="single" w:sz="6" w:space="0" w:color="000000"/>
            </w:tcBorders>
          </w:tcPr>
          <w:p w14:paraId="616F7782" w14:textId="77777777" w:rsidR="00AC6F3C" w:rsidRDefault="00570E88">
            <w:pPr>
              <w:pStyle w:val="TableParagraph"/>
              <w:spacing w:before="24"/>
              <w:ind w:right="14"/>
              <w:jc w:val="right"/>
              <w:rPr>
                <w:sz w:val="18"/>
              </w:rPr>
            </w:pPr>
            <w:r>
              <w:rPr>
                <w:spacing w:val="-5"/>
                <w:sz w:val="18"/>
              </w:rPr>
              <w:t>12</w:t>
            </w:r>
          </w:p>
        </w:tc>
      </w:tr>
      <w:tr w:rsidR="00AC6F3C" w14:paraId="739BDD3C" w14:textId="77777777">
        <w:trPr>
          <w:trHeight w:val="256"/>
        </w:trPr>
        <w:tc>
          <w:tcPr>
            <w:tcW w:w="5568" w:type="dxa"/>
            <w:tcBorders>
              <w:left w:val="single" w:sz="6" w:space="0" w:color="000000"/>
              <w:bottom w:val="single" w:sz="6" w:space="0" w:color="000000"/>
            </w:tcBorders>
          </w:tcPr>
          <w:p w14:paraId="5A77A38F" w14:textId="77777777" w:rsidR="00AC6F3C" w:rsidRDefault="00570E88">
            <w:pPr>
              <w:pStyle w:val="TableParagraph"/>
              <w:spacing w:before="29" w:line="207" w:lineRule="exact"/>
              <w:ind w:left="28"/>
              <w:rPr>
                <w:sz w:val="18"/>
              </w:rPr>
            </w:pPr>
            <w:r>
              <w:rPr>
                <w:spacing w:val="-2"/>
                <w:sz w:val="18"/>
              </w:rPr>
              <w:t>Short</w:t>
            </w:r>
            <w:r>
              <w:rPr>
                <w:spacing w:val="-9"/>
                <w:sz w:val="18"/>
              </w:rPr>
              <w:t xml:space="preserve"> </w:t>
            </w:r>
            <w:r>
              <w:rPr>
                <w:spacing w:val="-2"/>
                <w:sz w:val="18"/>
              </w:rPr>
              <w:t>term</w:t>
            </w:r>
            <w:r>
              <w:rPr>
                <w:sz w:val="18"/>
              </w:rPr>
              <w:t xml:space="preserve"> </w:t>
            </w:r>
            <w:r>
              <w:rPr>
                <w:spacing w:val="-2"/>
                <w:sz w:val="18"/>
              </w:rPr>
              <w:t>deposits</w:t>
            </w:r>
          </w:p>
        </w:tc>
        <w:tc>
          <w:tcPr>
            <w:tcW w:w="1702" w:type="dxa"/>
            <w:tcBorders>
              <w:bottom w:val="single" w:sz="6" w:space="0" w:color="000000"/>
            </w:tcBorders>
            <w:shd w:val="clear" w:color="auto" w:fill="F1F1F1"/>
          </w:tcPr>
          <w:p w14:paraId="3ACA7978" w14:textId="77777777" w:rsidR="00AC6F3C" w:rsidRDefault="00570E88">
            <w:pPr>
              <w:pStyle w:val="TableParagraph"/>
              <w:spacing w:before="29" w:line="207" w:lineRule="exact"/>
              <w:ind w:right="28"/>
              <w:jc w:val="right"/>
              <w:rPr>
                <w:sz w:val="18"/>
              </w:rPr>
            </w:pPr>
            <w:r>
              <w:rPr>
                <w:spacing w:val="-5"/>
                <w:sz w:val="18"/>
              </w:rPr>
              <w:t>828</w:t>
            </w:r>
          </w:p>
        </w:tc>
        <w:tc>
          <w:tcPr>
            <w:tcW w:w="1684" w:type="dxa"/>
            <w:tcBorders>
              <w:bottom w:val="single" w:sz="6" w:space="0" w:color="000000"/>
              <w:right w:val="single" w:sz="6" w:space="0" w:color="000000"/>
            </w:tcBorders>
          </w:tcPr>
          <w:p w14:paraId="04A2C63E" w14:textId="77777777" w:rsidR="00AC6F3C" w:rsidRDefault="00570E88">
            <w:pPr>
              <w:pStyle w:val="TableParagraph"/>
              <w:spacing w:before="29" w:line="207" w:lineRule="exact"/>
              <w:ind w:right="14"/>
              <w:jc w:val="right"/>
              <w:rPr>
                <w:sz w:val="18"/>
              </w:rPr>
            </w:pPr>
            <w:r>
              <w:rPr>
                <w:spacing w:val="-2"/>
                <w:sz w:val="18"/>
              </w:rPr>
              <w:t>1,506</w:t>
            </w:r>
          </w:p>
        </w:tc>
      </w:tr>
      <w:tr w:rsidR="00AC6F3C" w14:paraId="1314A8E6" w14:textId="77777777">
        <w:trPr>
          <w:trHeight w:val="258"/>
        </w:trPr>
        <w:tc>
          <w:tcPr>
            <w:tcW w:w="5568" w:type="dxa"/>
            <w:tcBorders>
              <w:top w:val="single" w:sz="6" w:space="0" w:color="000000"/>
              <w:left w:val="single" w:sz="6" w:space="0" w:color="000000"/>
              <w:bottom w:val="single" w:sz="6" w:space="0" w:color="000000"/>
            </w:tcBorders>
            <w:shd w:val="clear" w:color="auto" w:fill="BEBEBE"/>
          </w:tcPr>
          <w:p w14:paraId="3D834726" w14:textId="77777777" w:rsidR="00AC6F3C" w:rsidRDefault="00570E88">
            <w:pPr>
              <w:pStyle w:val="TableParagraph"/>
              <w:spacing w:before="43" w:line="195" w:lineRule="exact"/>
              <w:ind w:left="28"/>
              <w:rPr>
                <w:b/>
                <w:sz w:val="18"/>
              </w:rPr>
            </w:pPr>
            <w:r>
              <w:rPr>
                <w:b/>
                <w:spacing w:val="-2"/>
                <w:sz w:val="18"/>
              </w:rPr>
              <w:t>Total</w:t>
            </w:r>
            <w:r>
              <w:rPr>
                <w:b/>
                <w:spacing w:val="-9"/>
                <w:sz w:val="18"/>
              </w:rPr>
              <w:t xml:space="preserve"> </w:t>
            </w:r>
            <w:r>
              <w:rPr>
                <w:b/>
                <w:spacing w:val="-2"/>
                <w:sz w:val="18"/>
              </w:rPr>
              <w:t>cash</w:t>
            </w:r>
            <w:r>
              <w:rPr>
                <w:b/>
                <w:spacing w:val="-8"/>
                <w:sz w:val="18"/>
              </w:rPr>
              <w:t xml:space="preserve"> </w:t>
            </w:r>
            <w:r>
              <w:rPr>
                <w:b/>
                <w:spacing w:val="-2"/>
                <w:sz w:val="18"/>
              </w:rPr>
              <w:t>and</w:t>
            </w:r>
            <w:r>
              <w:rPr>
                <w:b/>
                <w:spacing w:val="-9"/>
                <w:sz w:val="18"/>
              </w:rPr>
              <w:t xml:space="preserve"> </w:t>
            </w:r>
            <w:r>
              <w:rPr>
                <w:b/>
                <w:spacing w:val="-2"/>
                <w:sz w:val="18"/>
              </w:rPr>
              <w:t>cash</w:t>
            </w:r>
            <w:r>
              <w:rPr>
                <w:b/>
                <w:spacing w:val="-8"/>
                <w:sz w:val="18"/>
              </w:rPr>
              <w:t xml:space="preserve"> </w:t>
            </w:r>
            <w:r>
              <w:rPr>
                <w:b/>
                <w:spacing w:val="-2"/>
                <w:sz w:val="18"/>
              </w:rPr>
              <w:t>equivalents</w:t>
            </w:r>
          </w:p>
        </w:tc>
        <w:tc>
          <w:tcPr>
            <w:tcW w:w="1702" w:type="dxa"/>
            <w:tcBorders>
              <w:top w:val="single" w:sz="6" w:space="0" w:color="000000"/>
              <w:bottom w:val="single" w:sz="6" w:space="0" w:color="000000"/>
            </w:tcBorders>
            <w:shd w:val="clear" w:color="auto" w:fill="BEBEBE"/>
          </w:tcPr>
          <w:p w14:paraId="704D5C7C" w14:textId="77777777" w:rsidR="00AC6F3C" w:rsidRDefault="00570E88">
            <w:pPr>
              <w:pStyle w:val="TableParagraph"/>
              <w:spacing w:before="43" w:line="195" w:lineRule="exact"/>
              <w:ind w:right="28"/>
              <w:jc w:val="right"/>
              <w:rPr>
                <w:b/>
                <w:sz w:val="18"/>
              </w:rPr>
            </w:pPr>
            <w:r>
              <w:rPr>
                <w:b/>
                <w:spacing w:val="-5"/>
                <w:sz w:val="18"/>
              </w:rPr>
              <w:t>945</w:t>
            </w:r>
          </w:p>
        </w:tc>
        <w:tc>
          <w:tcPr>
            <w:tcW w:w="1684" w:type="dxa"/>
            <w:tcBorders>
              <w:top w:val="single" w:sz="6" w:space="0" w:color="000000"/>
              <w:bottom w:val="single" w:sz="6" w:space="0" w:color="000000"/>
              <w:right w:val="single" w:sz="6" w:space="0" w:color="000000"/>
            </w:tcBorders>
            <w:shd w:val="clear" w:color="auto" w:fill="BEBEBE"/>
          </w:tcPr>
          <w:p w14:paraId="62E1FF86" w14:textId="77777777" w:rsidR="00AC6F3C" w:rsidRDefault="00570E88">
            <w:pPr>
              <w:pStyle w:val="TableParagraph"/>
              <w:spacing w:before="43" w:line="195" w:lineRule="exact"/>
              <w:ind w:right="14"/>
              <w:jc w:val="right"/>
              <w:rPr>
                <w:b/>
                <w:sz w:val="18"/>
              </w:rPr>
            </w:pPr>
            <w:r>
              <w:rPr>
                <w:b/>
                <w:spacing w:val="-2"/>
                <w:sz w:val="18"/>
              </w:rPr>
              <w:t>1,518</w:t>
            </w:r>
          </w:p>
        </w:tc>
      </w:tr>
    </w:tbl>
    <w:p w14:paraId="1AA044A4" w14:textId="77777777" w:rsidR="00AC6F3C" w:rsidRDefault="00AC6F3C">
      <w:pPr>
        <w:spacing w:line="195" w:lineRule="exact"/>
        <w:jc w:val="right"/>
        <w:rPr>
          <w:sz w:val="18"/>
        </w:rPr>
        <w:sectPr w:rsidR="00AC6F3C">
          <w:pgSz w:w="11910" w:h="16840"/>
          <w:pgMar w:top="2080" w:right="1160" w:bottom="520" w:left="460" w:header="1297" w:footer="336" w:gutter="0"/>
          <w:cols w:space="720"/>
        </w:sectPr>
      </w:pPr>
    </w:p>
    <w:p w14:paraId="11760D31" w14:textId="77777777" w:rsidR="00AC6F3C" w:rsidRDefault="00AC6F3C">
      <w:pPr>
        <w:pStyle w:val="BodyText"/>
        <w:spacing w:before="9"/>
        <w:rPr>
          <w:sz w:val="13"/>
        </w:rPr>
      </w:pPr>
    </w:p>
    <w:p w14:paraId="78E4BA75" w14:textId="77777777" w:rsidR="00AC6F3C" w:rsidRDefault="00570E88">
      <w:pPr>
        <w:tabs>
          <w:tab w:val="left" w:pos="1831"/>
        </w:tabs>
        <w:spacing w:before="92"/>
        <w:ind w:left="979"/>
        <w:rPr>
          <w:b/>
          <w:sz w:val="28"/>
        </w:rPr>
      </w:pPr>
      <w:r>
        <w:rPr>
          <w:b/>
          <w:spacing w:val="-5"/>
          <w:sz w:val="28"/>
        </w:rPr>
        <w:t>C1</w:t>
      </w:r>
      <w:r>
        <w:rPr>
          <w:b/>
          <w:sz w:val="28"/>
        </w:rPr>
        <w:tab/>
        <w:t>CASH</w:t>
      </w:r>
      <w:r>
        <w:rPr>
          <w:b/>
          <w:spacing w:val="-20"/>
          <w:sz w:val="28"/>
        </w:rPr>
        <w:t xml:space="preserve"> </w:t>
      </w:r>
      <w:r>
        <w:rPr>
          <w:b/>
          <w:sz w:val="28"/>
        </w:rPr>
        <w:t>AND</w:t>
      </w:r>
      <w:r>
        <w:rPr>
          <w:b/>
          <w:spacing w:val="-15"/>
          <w:sz w:val="28"/>
        </w:rPr>
        <w:t xml:space="preserve"> </w:t>
      </w:r>
      <w:r>
        <w:rPr>
          <w:b/>
          <w:sz w:val="28"/>
        </w:rPr>
        <w:t>CASH</w:t>
      </w:r>
      <w:r>
        <w:rPr>
          <w:b/>
          <w:spacing w:val="-11"/>
          <w:sz w:val="28"/>
        </w:rPr>
        <w:t xml:space="preserve"> </w:t>
      </w:r>
      <w:r>
        <w:rPr>
          <w:b/>
          <w:sz w:val="28"/>
        </w:rPr>
        <w:t>EQUIVALENTS</w:t>
      </w:r>
      <w:r>
        <w:rPr>
          <w:b/>
          <w:spacing w:val="-12"/>
          <w:sz w:val="28"/>
        </w:rPr>
        <w:t xml:space="preserve"> </w:t>
      </w:r>
      <w:r>
        <w:rPr>
          <w:b/>
          <w:spacing w:val="-2"/>
          <w:sz w:val="28"/>
        </w:rPr>
        <w:t>(continued)</w:t>
      </w:r>
    </w:p>
    <w:p w14:paraId="79D21A67" w14:textId="77777777" w:rsidR="00AC6F3C" w:rsidRDefault="00570E88">
      <w:pPr>
        <w:spacing w:before="120"/>
        <w:ind w:left="979"/>
        <w:rPr>
          <w:b/>
          <w:sz w:val="18"/>
        </w:rPr>
      </w:pPr>
      <w:r>
        <w:rPr>
          <w:b/>
          <w:sz w:val="18"/>
        </w:rPr>
        <w:t>Reconciliation</w:t>
      </w:r>
      <w:r>
        <w:rPr>
          <w:b/>
          <w:spacing w:val="-6"/>
          <w:sz w:val="18"/>
        </w:rPr>
        <w:t xml:space="preserve"> </w:t>
      </w:r>
      <w:r>
        <w:rPr>
          <w:b/>
          <w:sz w:val="18"/>
        </w:rPr>
        <w:t>of</w:t>
      </w:r>
      <w:r>
        <w:rPr>
          <w:b/>
          <w:spacing w:val="-1"/>
          <w:sz w:val="18"/>
        </w:rPr>
        <w:t xml:space="preserve"> </w:t>
      </w:r>
      <w:r>
        <w:rPr>
          <w:b/>
          <w:sz w:val="18"/>
        </w:rPr>
        <w:t>the</w:t>
      </w:r>
      <w:r>
        <w:rPr>
          <w:b/>
          <w:spacing w:val="-3"/>
          <w:sz w:val="18"/>
        </w:rPr>
        <w:t xml:space="preserve"> </w:t>
      </w:r>
      <w:r>
        <w:rPr>
          <w:b/>
          <w:sz w:val="18"/>
        </w:rPr>
        <w:t>operating</w:t>
      </w:r>
      <w:r>
        <w:rPr>
          <w:b/>
          <w:spacing w:val="-1"/>
          <w:sz w:val="18"/>
        </w:rPr>
        <w:t xml:space="preserve"> </w:t>
      </w:r>
      <w:r>
        <w:rPr>
          <w:b/>
          <w:sz w:val="18"/>
        </w:rPr>
        <w:t>result</w:t>
      </w:r>
      <w:r>
        <w:rPr>
          <w:b/>
          <w:spacing w:val="-1"/>
          <w:sz w:val="18"/>
        </w:rPr>
        <w:t xml:space="preserve"> </w:t>
      </w:r>
      <w:r>
        <w:rPr>
          <w:b/>
          <w:sz w:val="18"/>
        </w:rPr>
        <w:t>for</w:t>
      </w:r>
      <w:r>
        <w:rPr>
          <w:b/>
          <w:spacing w:val="-2"/>
          <w:sz w:val="18"/>
        </w:rPr>
        <w:t xml:space="preserve"> </w:t>
      </w:r>
      <w:r>
        <w:rPr>
          <w:b/>
          <w:sz w:val="18"/>
        </w:rPr>
        <w:t>the</w:t>
      </w:r>
      <w:r>
        <w:rPr>
          <w:b/>
          <w:spacing w:val="-3"/>
          <w:sz w:val="18"/>
        </w:rPr>
        <w:t xml:space="preserve"> </w:t>
      </w:r>
      <w:r>
        <w:rPr>
          <w:b/>
          <w:sz w:val="18"/>
        </w:rPr>
        <w:t>year</w:t>
      </w:r>
      <w:r>
        <w:rPr>
          <w:b/>
          <w:spacing w:val="-3"/>
          <w:sz w:val="18"/>
        </w:rPr>
        <w:t xml:space="preserve"> </w:t>
      </w:r>
      <w:r>
        <w:rPr>
          <w:b/>
          <w:sz w:val="18"/>
        </w:rPr>
        <w:t>to</w:t>
      </w:r>
      <w:r>
        <w:rPr>
          <w:b/>
          <w:spacing w:val="-3"/>
          <w:sz w:val="18"/>
        </w:rPr>
        <w:t xml:space="preserve"> </w:t>
      </w:r>
      <w:r>
        <w:rPr>
          <w:b/>
          <w:sz w:val="18"/>
        </w:rPr>
        <w:t>net</w:t>
      </w:r>
      <w:r>
        <w:rPr>
          <w:b/>
          <w:spacing w:val="-3"/>
          <w:sz w:val="18"/>
        </w:rPr>
        <w:t xml:space="preserve"> </w:t>
      </w:r>
      <w:r>
        <w:rPr>
          <w:b/>
          <w:sz w:val="18"/>
        </w:rPr>
        <w:t>cash</w:t>
      </w:r>
      <w:r>
        <w:rPr>
          <w:b/>
          <w:spacing w:val="-1"/>
          <w:sz w:val="18"/>
        </w:rPr>
        <w:t xml:space="preserve"> </w:t>
      </w:r>
      <w:r>
        <w:rPr>
          <w:b/>
          <w:sz w:val="18"/>
        </w:rPr>
        <w:t>(used</w:t>
      </w:r>
      <w:r>
        <w:rPr>
          <w:b/>
          <w:spacing w:val="-1"/>
          <w:sz w:val="18"/>
        </w:rPr>
        <w:t xml:space="preserve"> </w:t>
      </w:r>
      <w:r>
        <w:rPr>
          <w:b/>
          <w:sz w:val="18"/>
        </w:rPr>
        <w:t>in)</w:t>
      </w:r>
      <w:r>
        <w:rPr>
          <w:b/>
          <w:spacing w:val="-1"/>
          <w:sz w:val="18"/>
        </w:rPr>
        <w:t xml:space="preserve"> </w:t>
      </w:r>
      <w:r>
        <w:rPr>
          <w:b/>
          <w:sz w:val="18"/>
        </w:rPr>
        <w:t>from</w:t>
      </w:r>
      <w:r>
        <w:rPr>
          <w:b/>
          <w:spacing w:val="-3"/>
          <w:sz w:val="18"/>
        </w:rPr>
        <w:t xml:space="preserve"> </w:t>
      </w:r>
      <w:r>
        <w:rPr>
          <w:b/>
          <w:sz w:val="18"/>
        </w:rPr>
        <w:t>operating</w:t>
      </w:r>
      <w:r>
        <w:rPr>
          <w:b/>
          <w:spacing w:val="-1"/>
          <w:sz w:val="18"/>
        </w:rPr>
        <w:t xml:space="preserve"> </w:t>
      </w:r>
      <w:r>
        <w:rPr>
          <w:b/>
          <w:spacing w:val="-2"/>
          <w:sz w:val="18"/>
        </w:rPr>
        <w:t>activities</w:t>
      </w:r>
    </w:p>
    <w:p w14:paraId="0C4BE405" w14:textId="77777777" w:rsidR="00AC6F3C" w:rsidRDefault="00AC6F3C">
      <w:pPr>
        <w:pStyle w:val="BodyText"/>
        <w:spacing w:before="10"/>
        <w:rPr>
          <w:b/>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1DCA4C16" w14:textId="77777777">
        <w:trPr>
          <w:trHeight w:val="552"/>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56775E5E" w14:textId="77777777" w:rsidR="00AC6F3C" w:rsidRDefault="00570E88">
            <w:pPr>
              <w:pStyle w:val="TableParagraph"/>
              <w:tabs>
                <w:tab w:val="left" w:pos="1647"/>
              </w:tabs>
              <w:spacing w:before="25"/>
              <w:ind w:right="21"/>
              <w:jc w:val="right"/>
              <w:rPr>
                <w:b/>
                <w:sz w:val="18"/>
              </w:rPr>
            </w:pPr>
            <w:r>
              <w:rPr>
                <w:b/>
                <w:spacing w:val="-4"/>
                <w:sz w:val="18"/>
              </w:rPr>
              <w:t>2023</w:t>
            </w:r>
            <w:r>
              <w:rPr>
                <w:b/>
                <w:sz w:val="18"/>
              </w:rPr>
              <w:tab/>
            </w:r>
            <w:r>
              <w:rPr>
                <w:b/>
                <w:spacing w:val="-4"/>
                <w:sz w:val="18"/>
              </w:rPr>
              <w:t>2022</w:t>
            </w:r>
          </w:p>
          <w:p w14:paraId="3C6C3216" w14:textId="77777777" w:rsidR="00AC6F3C" w:rsidRDefault="00570E88">
            <w:pPr>
              <w:pStyle w:val="TableParagraph"/>
              <w:tabs>
                <w:tab w:val="left" w:pos="1647"/>
              </w:tabs>
              <w:spacing w:before="77"/>
              <w:ind w:right="21"/>
              <w:jc w:val="right"/>
              <w:rPr>
                <w:b/>
                <w:sz w:val="18"/>
              </w:rPr>
            </w:pPr>
            <w:r>
              <w:rPr>
                <w:b/>
                <w:spacing w:val="-2"/>
                <w:sz w:val="18"/>
              </w:rPr>
              <w:t>$'000</w:t>
            </w:r>
            <w:r>
              <w:rPr>
                <w:b/>
                <w:sz w:val="18"/>
              </w:rPr>
              <w:tab/>
            </w:r>
            <w:r>
              <w:rPr>
                <w:b/>
                <w:spacing w:val="-4"/>
                <w:sz w:val="18"/>
              </w:rPr>
              <w:t>$'000</w:t>
            </w:r>
          </w:p>
        </w:tc>
      </w:tr>
      <w:tr w:rsidR="00AC6F3C" w14:paraId="6A56FE03" w14:textId="77777777">
        <w:trPr>
          <w:trHeight w:val="445"/>
        </w:trPr>
        <w:tc>
          <w:tcPr>
            <w:tcW w:w="5413" w:type="dxa"/>
            <w:tcBorders>
              <w:top w:val="single" w:sz="6" w:space="0" w:color="000000"/>
              <w:left w:val="single" w:sz="6" w:space="0" w:color="000000"/>
            </w:tcBorders>
          </w:tcPr>
          <w:p w14:paraId="74D5B684" w14:textId="77777777" w:rsidR="00AC6F3C" w:rsidRDefault="00570E88">
            <w:pPr>
              <w:pStyle w:val="TableParagraph"/>
              <w:spacing w:before="55"/>
              <w:ind w:left="37"/>
              <w:rPr>
                <w:sz w:val="18"/>
              </w:rPr>
            </w:pPr>
            <w:r>
              <w:rPr>
                <w:sz w:val="18"/>
              </w:rPr>
              <w:t>Operating</w:t>
            </w:r>
            <w:r>
              <w:rPr>
                <w:spacing w:val="4"/>
                <w:sz w:val="18"/>
              </w:rPr>
              <w:t xml:space="preserve"> </w:t>
            </w:r>
            <w:r>
              <w:rPr>
                <w:sz w:val="18"/>
              </w:rPr>
              <w:t>result</w:t>
            </w:r>
            <w:r>
              <w:rPr>
                <w:spacing w:val="-7"/>
                <w:sz w:val="18"/>
              </w:rPr>
              <w:t xml:space="preserve"> </w:t>
            </w:r>
            <w:r>
              <w:rPr>
                <w:sz w:val="18"/>
              </w:rPr>
              <w:t>for</w:t>
            </w:r>
            <w:r>
              <w:rPr>
                <w:spacing w:val="-2"/>
                <w:sz w:val="18"/>
              </w:rPr>
              <w:t xml:space="preserve"> </w:t>
            </w:r>
            <w:r>
              <w:rPr>
                <w:sz w:val="18"/>
              </w:rPr>
              <w:t>the</w:t>
            </w:r>
            <w:r>
              <w:rPr>
                <w:spacing w:val="5"/>
                <w:sz w:val="18"/>
              </w:rPr>
              <w:t xml:space="preserve"> </w:t>
            </w:r>
            <w:r>
              <w:rPr>
                <w:spacing w:val="-4"/>
                <w:sz w:val="18"/>
              </w:rPr>
              <w:t>year</w:t>
            </w:r>
          </w:p>
        </w:tc>
        <w:tc>
          <w:tcPr>
            <w:tcW w:w="1662" w:type="dxa"/>
            <w:tcBorders>
              <w:top w:val="single" w:sz="6" w:space="0" w:color="000000"/>
            </w:tcBorders>
            <w:shd w:val="clear" w:color="auto" w:fill="F1F1F1"/>
          </w:tcPr>
          <w:p w14:paraId="45C7CD94" w14:textId="77777777" w:rsidR="00AC6F3C" w:rsidRDefault="00570E88">
            <w:pPr>
              <w:pStyle w:val="TableParagraph"/>
              <w:spacing w:before="55"/>
              <w:ind w:right="35"/>
              <w:jc w:val="right"/>
              <w:rPr>
                <w:sz w:val="18"/>
              </w:rPr>
            </w:pPr>
            <w:r>
              <w:rPr>
                <w:spacing w:val="-2"/>
                <w:sz w:val="18"/>
              </w:rPr>
              <w:t>2,654</w:t>
            </w:r>
          </w:p>
        </w:tc>
        <w:tc>
          <w:tcPr>
            <w:tcW w:w="1640" w:type="dxa"/>
            <w:tcBorders>
              <w:top w:val="single" w:sz="6" w:space="0" w:color="000000"/>
              <w:right w:val="single" w:sz="6" w:space="0" w:color="000000"/>
            </w:tcBorders>
          </w:tcPr>
          <w:p w14:paraId="1D2688B3" w14:textId="77777777" w:rsidR="00AC6F3C" w:rsidRDefault="00570E88">
            <w:pPr>
              <w:pStyle w:val="TableParagraph"/>
              <w:spacing w:before="55"/>
              <w:ind w:right="16"/>
              <w:jc w:val="right"/>
              <w:rPr>
                <w:sz w:val="18"/>
              </w:rPr>
            </w:pPr>
            <w:r>
              <w:rPr>
                <w:spacing w:val="-2"/>
                <w:sz w:val="18"/>
              </w:rPr>
              <w:t>(3,466)</w:t>
            </w:r>
          </w:p>
        </w:tc>
      </w:tr>
      <w:tr w:rsidR="00AC6F3C" w14:paraId="6FF11265" w14:textId="77777777">
        <w:trPr>
          <w:trHeight w:val="418"/>
        </w:trPr>
        <w:tc>
          <w:tcPr>
            <w:tcW w:w="5413" w:type="dxa"/>
            <w:tcBorders>
              <w:left w:val="single" w:sz="6" w:space="0" w:color="000000"/>
            </w:tcBorders>
          </w:tcPr>
          <w:p w14:paraId="265BA1C4" w14:textId="77777777" w:rsidR="00AC6F3C" w:rsidRDefault="00570E88">
            <w:pPr>
              <w:pStyle w:val="TableParagraph"/>
              <w:spacing w:before="177"/>
              <w:ind w:left="37"/>
              <w:rPr>
                <w:i/>
                <w:sz w:val="18"/>
              </w:rPr>
            </w:pPr>
            <w:r>
              <w:rPr>
                <w:i/>
                <w:sz w:val="18"/>
              </w:rPr>
              <w:t>Adjustments</w:t>
            </w:r>
            <w:r>
              <w:rPr>
                <w:i/>
                <w:spacing w:val="8"/>
                <w:sz w:val="18"/>
              </w:rPr>
              <w:t xml:space="preserve"> </w:t>
            </w:r>
            <w:r>
              <w:rPr>
                <w:i/>
                <w:spacing w:val="-4"/>
                <w:sz w:val="18"/>
              </w:rPr>
              <w:t>for:</w:t>
            </w:r>
          </w:p>
        </w:tc>
        <w:tc>
          <w:tcPr>
            <w:tcW w:w="1662" w:type="dxa"/>
            <w:shd w:val="clear" w:color="auto" w:fill="F1F1F1"/>
          </w:tcPr>
          <w:p w14:paraId="2459AC87" w14:textId="77777777" w:rsidR="00AC6F3C" w:rsidRDefault="00AC6F3C">
            <w:pPr>
              <w:pStyle w:val="TableParagraph"/>
              <w:rPr>
                <w:rFonts w:ascii="Times New Roman"/>
                <w:sz w:val="18"/>
              </w:rPr>
            </w:pPr>
          </w:p>
        </w:tc>
        <w:tc>
          <w:tcPr>
            <w:tcW w:w="1640" w:type="dxa"/>
            <w:tcBorders>
              <w:right w:val="single" w:sz="6" w:space="0" w:color="000000"/>
            </w:tcBorders>
          </w:tcPr>
          <w:p w14:paraId="1F3C8618" w14:textId="77777777" w:rsidR="00AC6F3C" w:rsidRDefault="00AC6F3C">
            <w:pPr>
              <w:pStyle w:val="TableParagraph"/>
              <w:rPr>
                <w:rFonts w:ascii="Times New Roman"/>
                <w:sz w:val="18"/>
              </w:rPr>
            </w:pPr>
          </w:p>
        </w:tc>
      </w:tr>
      <w:tr w:rsidR="00AC6F3C" w14:paraId="5330D598" w14:textId="77777777">
        <w:trPr>
          <w:trHeight w:val="276"/>
        </w:trPr>
        <w:tc>
          <w:tcPr>
            <w:tcW w:w="5413" w:type="dxa"/>
            <w:tcBorders>
              <w:left w:val="single" w:sz="6" w:space="0" w:color="000000"/>
            </w:tcBorders>
          </w:tcPr>
          <w:p w14:paraId="0E5B9811" w14:textId="77777777" w:rsidR="00AC6F3C" w:rsidRDefault="00570E88">
            <w:pPr>
              <w:pStyle w:val="TableParagraph"/>
              <w:spacing w:before="27"/>
              <w:ind w:left="306"/>
              <w:rPr>
                <w:sz w:val="18"/>
              </w:rPr>
            </w:pPr>
            <w:r>
              <w:rPr>
                <w:sz w:val="18"/>
              </w:rPr>
              <w:t>Net</w:t>
            </w:r>
            <w:r>
              <w:rPr>
                <w:spacing w:val="3"/>
                <w:sz w:val="18"/>
              </w:rPr>
              <w:t xml:space="preserve"> </w:t>
            </w:r>
            <w:r>
              <w:rPr>
                <w:sz w:val="18"/>
              </w:rPr>
              <w:t>investment</w:t>
            </w:r>
            <w:r>
              <w:rPr>
                <w:spacing w:val="3"/>
                <w:sz w:val="18"/>
              </w:rPr>
              <w:t xml:space="preserve"> </w:t>
            </w:r>
            <w:r>
              <w:rPr>
                <w:spacing w:val="-2"/>
                <w:sz w:val="18"/>
              </w:rPr>
              <w:t>income</w:t>
            </w:r>
          </w:p>
        </w:tc>
        <w:tc>
          <w:tcPr>
            <w:tcW w:w="1662" w:type="dxa"/>
            <w:shd w:val="clear" w:color="auto" w:fill="F1F1F1"/>
          </w:tcPr>
          <w:p w14:paraId="6AE582E3" w14:textId="77777777" w:rsidR="00AC6F3C" w:rsidRDefault="00570E88">
            <w:pPr>
              <w:pStyle w:val="TableParagraph"/>
              <w:spacing w:before="27"/>
              <w:ind w:right="30"/>
              <w:jc w:val="right"/>
              <w:rPr>
                <w:sz w:val="18"/>
              </w:rPr>
            </w:pPr>
            <w:r>
              <w:rPr>
                <w:spacing w:val="-2"/>
                <w:sz w:val="18"/>
              </w:rPr>
              <w:t>(3,615)</w:t>
            </w:r>
          </w:p>
        </w:tc>
        <w:tc>
          <w:tcPr>
            <w:tcW w:w="1640" w:type="dxa"/>
            <w:tcBorders>
              <w:right w:val="single" w:sz="6" w:space="0" w:color="000000"/>
            </w:tcBorders>
          </w:tcPr>
          <w:p w14:paraId="01DB3FF2" w14:textId="77777777" w:rsidR="00AC6F3C" w:rsidRDefault="00570E88">
            <w:pPr>
              <w:pStyle w:val="TableParagraph"/>
              <w:spacing w:before="27"/>
              <w:ind w:right="21"/>
              <w:jc w:val="right"/>
              <w:rPr>
                <w:sz w:val="18"/>
              </w:rPr>
            </w:pPr>
            <w:r>
              <w:rPr>
                <w:spacing w:val="-2"/>
                <w:sz w:val="18"/>
              </w:rPr>
              <w:t>2,932</w:t>
            </w:r>
          </w:p>
        </w:tc>
      </w:tr>
      <w:tr w:rsidR="00AC6F3C" w14:paraId="27CFFB28" w14:textId="77777777">
        <w:trPr>
          <w:trHeight w:val="291"/>
        </w:trPr>
        <w:tc>
          <w:tcPr>
            <w:tcW w:w="5413" w:type="dxa"/>
            <w:tcBorders>
              <w:left w:val="single" w:sz="6" w:space="0" w:color="000000"/>
            </w:tcBorders>
          </w:tcPr>
          <w:p w14:paraId="137F0848" w14:textId="77777777" w:rsidR="00AC6F3C" w:rsidRDefault="00570E88">
            <w:pPr>
              <w:pStyle w:val="TableParagraph"/>
              <w:spacing w:before="35"/>
              <w:ind w:left="306"/>
              <w:rPr>
                <w:sz w:val="18"/>
              </w:rPr>
            </w:pPr>
            <w:r>
              <w:rPr>
                <w:sz w:val="18"/>
              </w:rPr>
              <w:t>(Gain)/loss</w:t>
            </w:r>
            <w:r>
              <w:rPr>
                <w:spacing w:val="28"/>
                <w:sz w:val="18"/>
              </w:rPr>
              <w:t xml:space="preserve"> </w:t>
            </w:r>
            <w:r>
              <w:rPr>
                <w:sz w:val="18"/>
              </w:rPr>
              <w:t>on</w:t>
            </w:r>
            <w:r>
              <w:rPr>
                <w:spacing w:val="15"/>
                <w:sz w:val="18"/>
              </w:rPr>
              <w:t xml:space="preserve"> </w:t>
            </w:r>
            <w:r>
              <w:rPr>
                <w:sz w:val="18"/>
              </w:rPr>
              <w:t>disposal</w:t>
            </w:r>
            <w:r>
              <w:rPr>
                <w:spacing w:val="15"/>
                <w:sz w:val="18"/>
              </w:rPr>
              <w:t xml:space="preserve"> </w:t>
            </w:r>
            <w:r>
              <w:rPr>
                <w:sz w:val="18"/>
              </w:rPr>
              <w:t>of</w:t>
            </w:r>
            <w:r>
              <w:rPr>
                <w:spacing w:val="2"/>
                <w:sz w:val="18"/>
              </w:rPr>
              <w:t xml:space="preserve"> </w:t>
            </w:r>
            <w:r>
              <w:rPr>
                <w:spacing w:val="-2"/>
                <w:sz w:val="18"/>
              </w:rPr>
              <w:t>investments</w:t>
            </w:r>
          </w:p>
        </w:tc>
        <w:tc>
          <w:tcPr>
            <w:tcW w:w="1662" w:type="dxa"/>
            <w:shd w:val="clear" w:color="auto" w:fill="F1F1F1"/>
          </w:tcPr>
          <w:p w14:paraId="0B6D7765" w14:textId="77777777" w:rsidR="00AC6F3C" w:rsidRDefault="00570E88">
            <w:pPr>
              <w:pStyle w:val="TableParagraph"/>
              <w:spacing w:before="35"/>
              <w:ind w:right="30"/>
              <w:jc w:val="right"/>
              <w:rPr>
                <w:sz w:val="18"/>
              </w:rPr>
            </w:pPr>
            <w:r>
              <w:rPr>
                <w:spacing w:val="-2"/>
                <w:sz w:val="18"/>
              </w:rPr>
              <w:t>(192)</w:t>
            </w:r>
          </w:p>
        </w:tc>
        <w:tc>
          <w:tcPr>
            <w:tcW w:w="1640" w:type="dxa"/>
            <w:tcBorders>
              <w:right w:val="single" w:sz="6" w:space="0" w:color="000000"/>
            </w:tcBorders>
          </w:tcPr>
          <w:p w14:paraId="018A0AE1" w14:textId="77777777" w:rsidR="00AC6F3C" w:rsidRDefault="00570E88">
            <w:pPr>
              <w:pStyle w:val="TableParagraph"/>
              <w:spacing w:before="35"/>
              <w:ind w:right="16"/>
              <w:jc w:val="right"/>
              <w:rPr>
                <w:sz w:val="18"/>
              </w:rPr>
            </w:pPr>
            <w:r>
              <w:rPr>
                <w:spacing w:val="-2"/>
                <w:sz w:val="18"/>
              </w:rPr>
              <w:t>(686)</w:t>
            </w:r>
          </w:p>
        </w:tc>
      </w:tr>
      <w:tr w:rsidR="00AC6F3C" w14:paraId="22AF67D4" w14:textId="77777777">
        <w:trPr>
          <w:trHeight w:val="291"/>
        </w:trPr>
        <w:tc>
          <w:tcPr>
            <w:tcW w:w="5413" w:type="dxa"/>
            <w:tcBorders>
              <w:left w:val="single" w:sz="6" w:space="0" w:color="000000"/>
            </w:tcBorders>
          </w:tcPr>
          <w:p w14:paraId="70E307D1" w14:textId="77777777" w:rsidR="00AC6F3C" w:rsidRDefault="00570E88">
            <w:pPr>
              <w:pStyle w:val="TableParagraph"/>
              <w:spacing w:before="42"/>
              <w:ind w:left="37"/>
              <w:rPr>
                <w:b/>
                <w:i/>
                <w:sz w:val="18"/>
              </w:rPr>
            </w:pPr>
            <w:r>
              <w:rPr>
                <w:b/>
                <w:i/>
                <w:sz w:val="18"/>
              </w:rPr>
              <w:t>Changes</w:t>
            </w:r>
            <w:r>
              <w:rPr>
                <w:b/>
                <w:i/>
                <w:spacing w:val="-8"/>
                <w:sz w:val="18"/>
              </w:rPr>
              <w:t xml:space="preserve"> </w:t>
            </w:r>
            <w:r>
              <w:rPr>
                <w:b/>
                <w:i/>
                <w:sz w:val="18"/>
              </w:rPr>
              <w:t>in</w:t>
            </w:r>
            <w:r>
              <w:rPr>
                <w:b/>
                <w:i/>
                <w:spacing w:val="-12"/>
                <w:sz w:val="18"/>
              </w:rPr>
              <w:t xml:space="preserve"> </w:t>
            </w:r>
            <w:r>
              <w:rPr>
                <w:b/>
                <w:i/>
                <w:sz w:val="18"/>
              </w:rPr>
              <w:t>assets</w:t>
            </w:r>
            <w:r>
              <w:rPr>
                <w:b/>
                <w:i/>
                <w:spacing w:val="-4"/>
                <w:sz w:val="18"/>
              </w:rPr>
              <w:t xml:space="preserve"> </w:t>
            </w:r>
            <w:r>
              <w:rPr>
                <w:b/>
                <w:i/>
                <w:sz w:val="18"/>
              </w:rPr>
              <w:t>and</w:t>
            </w:r>
            <w:r>
              <w:rPr>
                <w:b/>
                <w:i/>
                <w:spacing w:val="-12"/>
                <w:sz w:val="18"/>
              </w:rPr>
              <w:t xml:space="preserve"> </w:t>
            </w:r>
            <w:r>
              <w:rPr>
                <w:b/>
                <w:i/>
                <w:spacing w:val="-2"/>
                <w:sz w:val="18"/>
              </w:rPr>
              <w:t>liabilities:</w:t>
            </w:r>
          </w:p>
        </w:tc>
        <w:tc>
          <w:tcPr>
            <w:tcW w:w="1662" w:type="dxa"/>
            <w:shd w:val="clear" w:color="auto" w:fill="F1F1F1"/>
          </w:tcPr>
          <w:p w14:paraId="50AFE3E9" w14:textId="77777777" w:rsidR="00AC6F3C" w:rsidRDefault="00AC6F3C">
            <w:pPr>
              <w:pStyle w:val="TableParagraph"/>
              <w:rPr>
                <w:rFonts w:ascii="Times New Roman"/>
                <w:sz w:val="18"/>
              </w:rPr>
            </w:pPr>
          </w:p>
        </w:tc>
        <w:tc>
          <w:tcPr>
            <w:tcW w:w="1640" w:type="dxa"/>
            <w:tcBorders>
              <w:right w:val="single" w:sz="6" w:space="0" w:color="000000"/>
            </w:tcBorders>
          </w:tcPr>
          <w:p w14:paraId="06C730FF" w14:textId="77777777" w:rsidR="00AC6F3C" w:rsidRDefault="00AC6F3C">
            <w:pPr>
              <w:pStyle w:val="TableParagraph"/>
              <w:rPr>
                <w:rFonts w:ascii="Times New Roman"/>
                <w:sz w:val="18"/>
              </w:rPr>
            </w:pPr>
          </w:p>
        </w:tc>
      </w:tr>
      <w:tr w:rsidR="00AC6F3C" w14:paraId="45D87FE6" w14:textId="77777777">
        <w:trPr>
          <w:trHeight w:val="283"/>
        </w:trPr>
        <w:tc>
          <w:tcPr>
            <w:tcW w:w="5413" w:type="dxa"/>
            <w:tcBorders>
              <w:left w:val="single" w:sz="6" w:space="0" w:color="000000"/>
            </w:tcBorders>
          </w:tcPr>
          <w:p w14:paraId="3E2EE48A" w14:textId="77777777" w:rsidR="00AC6F3C" w:rsidRDefault="00570E88">
            <w:pPr>
              <w:pStyle w:val="TableParagraph"/>
              <w:spacing w:before="35"/>
              <w:ind w:left="306"/>
              <w:rPr>
                <w:sz w:val="18"/>
              </w:rPr>
            </w:pPr>
            <w:r>
              <w:rPr>
                <w:sz w:val="18"/>
              </w:rPr>
              <w:t>(Increase)/decrease</w:t>
            </w:r>
            <w:r>
              <w:rPr>
                <w:spacing w:val="17"/>
                <w:sz w:val="18"/>
              </w:rPr>
              <w:t xml:space="preserve"> </w:t>
            </w:r>
            <w:r>
              <w:rPr>
                <w:sz w:val="18"/>
              </w:rPr>
              <w:t>in</w:t>
            </w:r>
            <w:r>
              <w:rPr>
                <w:spacing w:val="18"/>
                <w:sz w:val="18"/>
              </w:rPr>
              <w:t xml:space="preserve"> </w:t>
            </w:r>
            <w:r>
              <w:rPr>
                <w:spacing w:val="-2"/>
                <w:sz w:val="18"/>
              </w:rPr>
              <w:t>receivables</w:t>
            </w:r>
          </w:p>
        </w:tc>
        <w:tc>
          <w:tcPr>
            <w:tcW w:w="1662" w:type="dxa"/>
            <w:shd w:val="clear" w:color="auto" w:fill="F1F1F1"/>
          </w:tcPr>
          <w:p w14:paraId="280268A3" w14:textId="77777777" w:rsidR="00AC6F3C" w:rsidRDefault="00570E88">
            <w:pPr>
              <w:pStyle w:val="TableParagraph"/>
              <w:spacing w:before="35"/>
              <w:ind w:right="30"/>
              <w:jc w:val="right"/>
              <w:rPr>
                <w:sz w:val="18"/>
              </w:rPr>
            </w:pPr>
            <w:r>
              <w:rPr>
                <w:spacing w:val="-2"/>
                <w:sz w:val="18"/>
              </w:rPr>
              <w:t>(1,732)</w:t>
            </w:r>
          </w:p>
        </w:tc>
        <w:tc>
          <w:tcPr>
            <w:tcW w:w="1640" w:type="dxa"/>
            <w:tcBorders>
              <w:right w:val="single" w:sz="6" w:space="0" w:color="000000"/>
            </w:tcBorders>
          </w:tcPr>
          <w:p w14:paraId="7F74FB45" w14:textId="77777777" w:rsidR="00AC6F3C" w:rsidRDefault="00570E88">
            <w:pPr>
              <w:pStyle w:val="TableParagraph"/>
              <w:spacing w:before="35"/>
              <w:ind w:right="16"/>
              <w:jc w:val="right"/>
              <w:rPr>
                <w:sz w:val="18"/>
              </w:rPr>
            </w:pPr>
            <w:r>
              <w:rPr>
                <w:spacing w:val="-2"/>
                <w:sz w:val="18"/>
              </w:rPr>
              <w:t>(22,692)</w:t>
            </w:r>
          </w:p>
        </w:tc>
      </w:tr>
      <w:tr w:rsidR="00AC6F3C" w14:paraId="7A70CE24" w14:textId="77777777">
        <w:trPr>
          <w:trHeight w:val="283"/>
        </w:trPr>
        <w:tc>
          <w:tcPr>
            <w:tcW w:w="5413" w:type="dxa"/>
            <w:tcBorders>
              <w:left w:val="single" w:sz="6" w:space="0" w:color="000000"/>
            </w:tcBorders>
          </w:tcPr>
          <w:p w14:paraId="1DAF81E2" w14:textId="77777777" w:rsidR="00AC6F3C" w:rsidRDefault="00570E88">
            <w:pPr>
              <w:pStyle w:val="TableParagraph"/>
              <w:spacing w:before="35"/>
              <w:ind w:left="306"/>
              <w:rPr>
                <w:sz w:val="18"/>
              </w:rPr>
            </w:pPr>
            <w:r>
              <w:rPr>
                <w:sz w:val="18"/>
              </w:rPr>
              <w:t>Increase/(decrease)</w:t>
            </w:r>
            <w:r>
              <w:rPr>
                <w:spacing w:val="13"/>
                <w:sz w:val="18"/>
              </w:rPr>
              <w:t xml:space="preserve"> </w:t>
            </w:r>
            <w:r>
              <w:rPr>
                <w:sz w:val="18"/>
              </w:rPr>
              <w:t>in</w:t>
            </w:r>
            <w:r>
              <w:rPr>
                <w:spacing w:val="21"/>
                <w:sz w:val="18"/>
              </w:rPr>
              <w:t xml:space="preserve"> </w:t>
            </w:r>
            <w:r>
              <w:rPr>
                <w:spacing w:val="-2"/>
                <w:sz w:val="18"/>
              </w:rPr>
              <w:t>payables</w:t>
            </w:r>
          </w:p>
        </w:tc>
        <w:tc>
          <w:tcPr>
            <w:tcW w:w="1662" w:type="dxa"/>
            <w:shd w:val="clear" w:color="auto" w:fill="F1F1F1"/>
          </w:tcPr>
          <w:p w14:paraId="71168115" w14:textId="77777777" w:rsidR="00AC6F3C" w:rsidRDefault="00570E88">
            <w:pPr>
              <w:pStyle w:val="TableParagraph"/>
              <w:spacing w:before="35"/>
              <w:ind w:right="40"/>
              <w:jc w:val="right"/>
              <w:rPr>
                <w:sz w:val="18"/>
              </w:rPr>
            </w:pPr>
            <w:r>
              <w:rPr>
                <w:w w:val="99"/>
                <w:sz w:val="18"/>
              </w:rPr>
              <w:t>6</w:t>
            </w:r>
          </w:p>
        </w:tc>
        <w:tc>
          <w:tcPr>
            <w:tcW w:w="1640" w:type="dxa"/>
            <w:tcBorders>
              <w:right w:val="single" w:sz="6" w:space="0" w:color="000000"/>
            </w:tcBorders>
          </w:tcPr>
          <w:p w14:paraId="0762F57F" w14:textId="77777777" w:rsidR="00AC6F3C" w:rsidRDefault="00570E88">
            <w:pPr>
              <w:pStyle w:val="TableParagraph"/>
              <w:spacing w:before="35"/>
              <w:ind w:right="16"/>
              <w:jc w:val="right"/>
              <w:rPr>
                <w:sz w:val="18"/>
              </w:rPr>
            </w:pPr>
            <w:r>
              <w:rPr>
                <w:spacing w:val="-2"/>
                <w:sz w:val="18"/>
              </w:rPr>
              <w:t>(539)</w:t>
            </w:r>
          </w:p>
        </w:tc>
      </w:tr>
      <w:tr w:rsidR="00AC6F3C" w14:paraId="1B665239" w14:textId="77777777">
        <w:trPr>
          <w:trHeight w:val="248"/>
        </w:trPr>
        <w:tc>
          <w:tcPr>
            <w:tcW w:w="5413" w:type="dxa"/>
            <w:tcBorders>
              <w:left w:val="single" w:sz="6" w:space="0" w:color="000000"/>
              <w:bottom w:val="single" w:sz="6" w:space="0" w:color="000000"/>
            </w:tcBorders>
          </w:tcPr>
          <w:p w14:paraId="54A14672" w14:textId="77777777" w:rsidR="00AC6F3C" w:rsidRDefault="00570E88">
            <w:pPr>
              <w:pStyle w:val="TableParagraph"/>
              <w:spacing w:before="35" w:line="194" w:lineRule="exact"/>
              <w:ind w:left="306"/>
              <w:rPr>
                <w:sz w:val="18"/>
              </w:rPr>
            </w:pPr>
            <w:r>
              <w:rPr>
                <w:sz w:val="18"/>
              </w:rPr>
              <w:t>Increase/(decrease)</w:t>
            </w:r>
            <w:r>
              <w:rPr>
                <w:spacing w:val="9"/>
                <w:sz w:val="18"/>
              </w:rPr>
              <w:t xml:space="preserve"> </w:t>
            </w:r>
            <w:r>
              <w:rPr>
                <w:sz w:val="18"/>
              </w:rPr>
              <w:t>in</w:t>
            </w:r>
            <w:r>
              <w:rPr>
                <w:spacing w:val="16"/>
                <w:sz w:val="18"/>
              </w:rPr>
              <w:t xml:space="preserve"> </w:t>
            </w:r>
            <w:r>
              <w:rPr>
                <w:sz w:val="18"/>
              </w:rPr>
              <w:t>income</w:t>
            </w:r>
            <w:r>
              <w:rPr>
                <w:spacing w:val="16"/>
                <w:sz w:val="18"/>
              </w:rPr>
              <w:t xml:space="preserve"> </w:t>
            </w:r>
            <w:r>
              <w:rPr>
                <w:sz w:val="18"/>
              </w:rPr>
              <w:t>in</w:t>
            </w:r>
            <w:r>
              <w:rPr>
                <w:spacing w:val="16"/>
                <w:sz w:val="18"/>
              </w:rPr>
              <w:t xml:space="preserve"> </w:t>
            </w:r>
            <w:r>
              <w:rPr>
                <w:spacing w:val="-2"/>
                <w:sz w:val="18"/>
              </w:rPr>
              <w:t>advance</w:t>
            </w:r>
          </w:p>
        </w:tc>
        <w:tc>
          <w:tcPr>
            <w:tcW w:w="1662" w:type="dxa"/>
            <w:tcBorders>
              <w:bottom w:val="single" w:sz="6" w:space="0" w:color="000000"/>
            </w:tcBorders>
            <w:shd w:val="clear" w:color="auto" w:fill="F1F1F1"/>
          </w:tcPr>
          <w:p w14:paraId="4A18578F" w14:textId="77777777" w:rsidR="00AC6F3C" w:rsidRDefault="00570E88">
            <w:pPr>
              <w:pStyle w:val="TableParagraph"/>
              <w:spacing w:before="35" w:line="194" w:lineRule="exact"/>
              <w:ind w:right="35"/>
              <w:jc w:val="right"/>
              <w:rPr>
                <w:sz w:val="18"/>
              </w:rPr>
            </w:pPr>
            <w:r>
              <w:rPr>
                <w:spacing w:val="-5"/>
                <w:sz w:val="18"/>
              </w:rPr>
              <w:t>806</w:t>
            </w:r>
          </w:p>
        </w:tc>
        <w:tc>
          <w:tcPr>
            <w:tcW w:w="1640" w:type="dxa"/>
            <w:tcBorders>
              <w:bottom w:val="single" w:sz="6" w:space="0" w:color="000000"/>
              <w:right w:val="single" w:sz="6" w:space="0" w:color="000000"/>
            </w:tcBorders>
          </w:tcPr>
          <w:p w14:paraId="22E3E21E" w14:textId="77777777" w:rsidR="00AC6F3C" w:rsidRDefault="00570E88">
            <w:pPr>
              <w:pStyle w:val="TableParagraph"/>
              <w:spacing w:before="35" w:line="194" w:lineRule="exact"/>
              <w:ind w:right="21"/>
              <w:jc w:val="right"/>
              <w:rPr>
                <w:sz w:val="18"/>
              </w:rPr>
            </w:pPr>
            <w:r>
              <w:rPr>
                <w:spacing w:val="-2"/>
                <w:sz w:val="18"/>
              </w:rPr>
              <w:t>2,231</w:t>
            </w:r>
          </w:p>
        </w:tc>
      </w:tr>
      <w:tr w:rsidR="00AC6F3C" w14:paraId="6894E7DA" w14:textId="77777777">
        <w:trPr>
          <w:trHeight w:val="268"/>
        </w:trPr>
        <w:tc>
          <w:tcPr>
            <w:tcW w:w="5413" w:type="dxa"/>
            <w:tcBorders>
              <w:top w:val="single" w:sz="6" w:space="0" w:color="000000"/>
              <w:left w:val="single" w:sz="6" w:space="0" w:color="000000"/>
              <w:bottom w:val="single" w:sz="6" w:space="0" w:color="000000"/>
            </w:tcBorders>
            <w:shd w:val="clear" w:color="auto" w:fill="BEBEBE"/>
          </w:tcPr>
          <w:p w14:paraId="3F6D0676" w14:textId="77777777" w:rsidR="00AC6F3C" w:rsidRDefault="00570E88">
            <w:pPr>
              <w:pStyle w:val="TableParagraph"/>
              <w:spacing w:before="55" w:line="194" w:lineRule="exact"/>
              <w:ind w:left="37"/>
              <w:rPr>
                <w:b/>
                <w:sz w:val="18"/>
              </w:rPr>
            </w:pPr>
            <w:r>
              <w:rPr>
                <w:b/>
                <w:spacing w:val="-2"/>
                <w:sz w:val="18"/>
              </w:rPr>
              <w:t>Net</w:t>
            </w:r>
            <w:r>
              <w:rPr>
                <w:b/>
                <w:sz w:val="18"/>
              </w:rPr>
              <w:t xml:space="preserve"> </w:t>
            </w:r>
            <w:r>
              <w:rPr>
                <w:b/>
                <w:spacing w:val="-2"/>
                <w:sz w:val="18"/>
              </w:rPr>
              <w:t>cash</w:t>
            </w:r>
            <w:r>
              <w:rPr>
                <w:b/>
                <w:spacing w:val="-6"/>
                <w:sz w:val="18"/>
              </w:rPr>
              <w:t xml:space="preserve"> </w:t>
            </w:r>
            <w:r>
              <w:rPr>
                <w:b/>
                <w:spacing w:val="-2"/>
                <w:sz w:val="18"/>
              </w:rPr>
              <w:t>(used</w:t>
            </w:r>
            <w:r>
              <w:rPr>
                <w:b/>
                <w:spacing w:val="-5"/>
                <w:sz w:val="18"/>
              </w:rPr>
              <w:t xml:space="preserve"> </w:t>
            </w:r>
            <w:r>
              <w:rPr>
                <w:b/>
                <w:spacing w:val="-2"/>
                <w:sz w:val="18"/>
              </w:rPr>
              <w:t>in)/generated</w:t>
            </w:r>
            <w:r>
              <w:rPr>
                <w:b/>
                <w:spacing w:val="-5"/>
                <w:sz w:val="18"/>
              </w:rPr>
              <w:t xml:space="preserve"> </w:t>
            </w:r>
            <w:r>
              <w:rPr>
                <w:b/>
                <w:spacing w:val="-2"/>
                <w:sz w:val="18"/>
              </w:rPr>
              <w:t>from</w:t>
            </w:r>
            <w:r>
              <w:rPr>
                <w:b/>
                <w:spacing w:val="6"/>
                <w:sz w:val="18"/>
              </w:rPr>
              <w:t xml:space="preserve"> </w:t>
            </w:r>
            <w:r>
              <w:rPr>
                <w:b/>
                <w:spacing w:val="-2"/>
                <w:sz w:val="18"/>
              </w:rPr>
              <w:t>operating</w:t>
            </w:r>
            <w:r>
              <w:rPr>
                <w:b/>
                <w:spacing w:val="-6"/>
                <w:sz w:val="18"/>
              </w:rPr>
              <w:t xml:space="preserve"> </w:t>
            </w:r>
            <w:r>
              <w:rPr>
                <w:b/>
                <w:spacing w:val="-2"/>
                <w:sz w:val="18"/>
              </w:rPr>
              <w:t>activities</w:t>
            </w:r>
          </w:p>
        </w:tc>
        <w:tc>
          <w:tcPr>
            <w:tcW w:w="1662" w:type="dxa"/>
            <w:tcBorders>
              <w:top w:val="single" w:sz="6" w:space="0" w:color="000000"/>
              <w:bottom w:val="single" w:sz="6" w:space="0" w:color="000000"/>
            </w:tcBorders>
            <w:shd w:val="clear" w:color="auto" w:fill="BEBEBE"/>
          </w:tcPr>
          <w:p w14:paraId="549DA7B8" w14:textId="77777777" w:rsidR="00AC6F3C" w:rsidRDefault="00570E88">
            <w:pPr>
              <w:pStyle w:val="TableParagraph"/>
              <w:spacing w:before="55" w:line="194" w:lineRule="exact"/>
              <w:ind w:right="30"/>
              <w:jc w:val="right"/>
              <w:rPr>
                <w:b/>
                <w:sz w:val="18"/>
              </w:rPr>
            </w:pPr>
            <w:r>
              <w:rPr>
                <w:b/>
                <w:spacing w:val="-2"/>
                <w:sz w:val="18"/>
              </w:rPr>
              <w:t>(2,073)</w:t>
            </w:r>
          </w:p>
        </w:tc>
        <w:tc>
          <w:tcPr>
            <w:tcW w:w="1640" w:type="dxa"/>
            <w:tcBorders>
              <w:top w:val="single" w:sz="6" w:space="0" w:color="000000"/>
              <w:bottom w:val="single" w:sz="6" w:space="0" w:color="000000"/>
              <w:right w:val="single" w:sz="6" w:space="0" w:color="000000"/>
            </w:tcBorders>
            <w:shd w:val="clear" w:color="auto" w:fill="BEBEBE"/>
          </w:tcPr>
          <w:p w14:paraId="3F38294B" w14:textId="77777777" w:rsidR="00AC6F3C" w:rsidRDefault="00570E88">
            <w:pPr>
              <w:pStyle w:val="TableParagraph"/>
              <w:spacing w:before="55" w:line="194" w:lineRule="exact"/>
              <w:ind w:right="16"/>
              <w:jc w:val="right"/>
              <w:rPr>
                <w:b/>
                <w:sz w:val="18"/>
              </w:rPr>
            </w:pPr>
            <w:r>
              <w:rPr>
                <w:b/>
                <w:spacing w:val="-2"/>
                <w:sz w:val="18"/>
              </w:rPr>
              <w:t>(22,220)</w:t>
            </w:r>
          </w:p>
        </w:tc>
      </w:tr>
    </w:tbl>
    <w:p w14:paraId="338F8C95" w14:textId="77777777" w:rsidR="00AC6F3C" w:rsidRDefault="00AC6F3C">
      <w:pPr>
        <w:pStyle w:val="BodyText"/>
        <w:spacing w:before="9"/>
        <w:rPr>
          <w:b/>
          <w:sz w:val="23"/>
        </w:rPr>
      </w:pPr>
    </w:p>
    <w:p w14:paraId="251109AC" w14:textId="77777777" w:rsidR="00AC6F3C" w:rsidRDefault="00570E88">
      <w:pPr>
        <w:tabs>
          <w:tab w:val="left" w:pos="1699"/>
        </w:tabs>
        <w:spacing w:before="1"/>
        <w:ind w:left="979"/>
        <w:rPr>
          <w:b/>
          <w:sz w:val="28"/>
        </w:rPr>
      </w:pPr>
      <w:r>
        <w:rPr>
          <w:b/>
          <w:spacing w:val="-5"/>
          <w:sz w:val="28"/>
        </w:rPr>
        <w:t>C2</w:t>
      </w:r>
      <w:r>
        <w:rPr>
          <w:b/>
          <w:sz w:val="28"/>
        </w:rPr>
        <w:tab/>
      </w:r>
      <w:r>
        <w:rPr>
          <w:b/>
          <w:spacing w:val="-2"/>
          <w:sz w:val="28"/>
        </w:rPr>
        <w:t>RECEIVABLES</w:t>
      </w:r>
    </w:p>
    <w:p w14:paraId="19ACC149" w14:textId="77777777" w:rsidR="00AC6F3C" w:rsidRDefault="00570E88">
      <w:pPr>
        <w:spacing w:before="119"/>
        <w:ind w:left="979"/>
        <w:rPr>
          <w:sz w:val="18"/>
        </w:rPr>
      </w:pPr>
      <w:r>
        <w:rPr>
          <w:sz w:val="18"/>
        </w:rPr>
        <w:t>Receivables</w:t>
      </w:r>
      <w:r>
        <w:rPr>
          <w:spacing w:val="-3"/>
          <w:sz w:val="18"/>
        </w:rPr>
        <w:t xml:space="preserve"> </w:t>
      </w:r>
      <w:r>
        <w:rPr>
          <w:sz w:val="18"/>
        </w:rPr>
        <w:t>represent</w:t>
      </w:r>
      <w:r>
        <w:rPr>
          <w:spacing w:val="-2"/>
          <w:sz w:val="18"/>
        </w:rPr>
        <w:t xml:space="preserve"> </w:t>
      </w:r>
      <w:r>
        <w:rPr>
          <w:sz w:val="18"/>
        </w:rPr>
        <w:t>investment</w:t>
      </w:r>
      <w:r>
        <w:rPr>
          <w:spacing w:val="-2"/>
          <w:sz w:val="18"/>
        </w:rPr>
        <w:t xml:space="preserve"> </w:t>
      </w:r>
      <w:r>
        <w:rPr>
          <w:sz w:val="18"/>
        </w:rPr>
        <w:t>redemption,</w:t>
      </w:r>
      <w:r>
        <w:rPr>
          <w:spacing w:val="-4"/>
          <w:sz w:val="18"/>
        </w:rPr>
        <w:t xml:space="preserve"> </w:t>
      </w:r>
      <w:r>
        <w:rPr>
          <w:sz w:val="18"/>
        </w:rPr>
        <w:t>levies,</w:t>
      </w:r>
      <w:r>
        <w:rPr>
          <w:spacing w:val="-2"/>
          <w:sz w:val="18"/>
        </w:rPr>
        <w:t xml:space="preserve"> </w:t>
      </w:r>
      <w:r>
        <w:rPr>
          <w:sz w:val="18"/>
        </w:rPr>
        <w:t>GST,</w:t>
      </w:r>
      <w:r>
        <w:rPr>
          <w:spacing w:val="-4"/>
          <w:sz w:val="18"/>
        </w:rPr>
        <w:t xml:space="preserve"> </w:t>
      </w:r>
      <w:r>
        <w:rPr>
          <w:sz w:val="18"/>
        </w:rPr>
        <w:t>interest</w:t>
      </w:r>
      <w:r>
        <w:rPr>
          <w:spacing w:val="-4"/>
          <w:sz w:val="18"/>
        </w:rPr>
        <w:t xml:space="preserve"> </w:t>
      </w:r>
      <w:r>
        <w:rPr>
          <w:sz w:val="18"/>
        </w:rPr>
        <w:t>and</w:t>
      </w:r>
      <w:r>
        <w:rPr>
          <w:spacing w:val="-4"/>
          <w:sz w:val="18"/>
        </w:rPr>
        <w:t xml:space="preserve"> </w:t>
      </w:r>
      <w:r>
        <w:rPr>
          <w:sz w:val="18"/>
        </w:rPr>
        <w:t>distributions</w:t>
      </w:r>
      <w:r>
        <w:rPr>
          <w:spacing w:val="-3"/>
          <w:sz w:val="18"/>
        </w:rPr>
        <w:t xml:space="preserve"> </w:t>
      </w:r>
      <w:r>
        <w:rPr>
          <w:sz w:val="18"/>
        </w:rPr>
        <w:t>earned</w:t>
      </w:r>
      <w:r>
        <w:rPr>
          <w:spacing w:val="-1"/>
          <w:sz w:val="18"/>
        </w:rPr>
        <w:t xml:space="preserve"> </w:t>
      </w:r>
      <w:r>
        <w:rPr>
          <w:sz w:val="18"/>
        </w:rPr>
        <w:t>on</w:t>
      </w:r>
      <w:r>
        <w:rPr>
          <w:spacing w:val="-4"/>
          <w:sz w:val="18"/>
        </w:rPr>
        <w:t xml:space="preserve"> </w:t>
      </w:r>
      <w:r>
        <w:rPr>
          <w:sz w:val="18"/>
        </w:rPr>
        <w:t>funds</w:t>
      </w:r>
      <w:r>
        <w:rPr>
          <w:spacing w:val="-1"/>
          <w:sz w:val="18"/>
        </w:rPr>
        <w:t xml:space="preserve"> </w:t>
      </w:r>
      <w:r>
        <w:rPr>
          <w:sz w:val="18"/>
        </w:rPr>
        <w:t>held</w:t>
      </w:r>
      <w:r>
        <w:rPr>
          <w:spacing w:val="-4"/>
          <w:sz w:val="18"/>
        </w:rPr>
        <w:t xml:space="preserve"> </w:t>
      </w:r>
      <w:r>
        <w:rPr>
          <w:sz w:val="18"/>
        </w:rPr>
        <w:t>up</w:t>
      </w:r>
      <w:r>
        <w:rPr>
          <w:spacing w:val="-1"/>
          <w:sz w:val="18"/>
        </w:rPr>
        <w:t xml:space="preserve"> </w:t>
      </w:r>
      <w:r>
        <w:rPr>
          <w:sz w:val="18"/>
        </w:rPr>
        <w:t>to balance date which have not yet been received.</w:t>
      </w:r>
    </w:p>
    <w:p w14:paraId="137FD108" w14:textId="77777777" w:rsidR="00AC6F3C" w:rsidRDefault="00570E88">
      <w:pPr>
        <w:spacing w:before="119"/>
        <w:ind w:left="979" w:right="468"/>
        <w:rPr>
          <w:sz w:val="18"/>
        </w:rPr>
      </w:pPr>
      <w:r>
        <w:rPr>
          <w:sz w:val="18"/>
        </w:rPr>
        <w:t>These</w:t>
      </w:r>
      <w:r>
        <w:rPr>
          <w:spacing w:val="-1"/>
          <w:sz w:val="18"/>
        </w:rPr>
        <w:t xml:space="preserve"> </w:t>
      </w:r>
      <w:r>
        <w:rPr>
          <w:sz w:val="18"/>
        </w:rPr>
        <w:t>financial</w:t>
      </w:r>
      <w:r>
        <w:rPr>
          <w:spacing w:val="-1"/>
          <w:sz w:val="18"/>
        </w:rPr>
        <w:t xml:space="preserve"> </w:t>
      </w:r>
      <w:r>
        <w:rPr>
          <w:sz w:val="18"/>
        </w:rPr>
        <w:t>assets</w:t>
      </w:r>
      <w:r>
        <w:rPr>
          <w:spacing w:val="-1"/>
          <w:sz w:val="18"/>
        </w:rPr>
        <w:t xml:space="preserve"> </w:t>
      </w:r>
      <w:r>
        <w:rPr>
          <w:sz w:val="18"/>
        </w:rPr>
        <w:t>are</w:t>
      </w:r>
      <w:r>
        <w:rPr>
          <w:spacing w:val="-1"/>
          <w:sz w:val="18"/>
        </w:rPr>
        <w:t xml:space="preserve"> </w:t>
      </w:r>
      <w:r>
        <w:rPr>
          <w:sz w:val="18"/>
        </w:rPr>
        <w:t>initially</w:t>
      </w:r>
      <w:r>
        <w:rPr>
          <w:spacing w:val="-3"/>
          <w:sz w:val="18"/>
        </w:rPr>
        <w:t xml:space="preserve"> </w:t>
      </w:r>
      <w:proofErr w:type="spellStart"/>
      <w:r>
        <w:rPr>
          <w:sz w:val="18"/>
        </w:rPr>
        <w:t>recognised</w:t>
      </w:r>
      <w:proofErr w:type="spellEnd"/>
      <w:r>
        <w:rPr>
          <w:spacing w:val="-1"/>
          <w:sz w:val="18"/>
        </w:rPr>
        <w:t xml:space="preserve"> </w:t>
      </w:r>
      <w:r>
        <w:rPr>
          <w:sz w:val="18"/>
        </w:rPr>
        <w:t>at</w:t>
      </w:r>
      <w:r>
        <w:rPr>
          <w:spacing w:val="-4"/>
          <w:sz w:val="18"/>
        </w:rPr>
        <w:t xml:space="preserve"> </w:t>
      </w:r>
      <w:r>
        <w:rPr>
          <w:sz w:val="18"/>
        </w:rPr>
        <w:t>fair</w:t>
      </w:r>
      <w:r>
        <w:rPr>
          <w:spacing w:val="-4"/>
          <w:sz w:val="18"/>
        </w:rPr>
        <w:t xml:space="preserve"> </w:t>
      </w:r>
      <w:r>
        <w:rPr>
          <w:sz w:val="18"/>
        </w:rPr>
        <w:t>value</w:t>
      </w:r>
      <w:r>
        <w:rPr>
          <w:spacing w:val="-4"/>
          <w:sz w:val="18"/>
        </w:rPr>
        <w:t xml:space="preserve"> </w:t>
      </w:r>
      <w:r>
        <w:rPr>
          <w:sz w:val="18"/>
        </w:rPr>
        <w:t>plus</w:t>
      </w:r>
      <w:r>
        <w:rPr>
          <w:spacing w:val="-1"/>
          <w:sz w:val="18"/>
        </w:rPr>
        <w:t xml:space="preserve"> </w:t>
      </w:r>
      <w:r>
        <w:rPr>
          <w:sz w:val="18"/>
        </w:rPr>
        <w:t>transaction</w:t>
      </w:r>
      <w:r>
        <w:rPr>
          <w:spacing w:val="-4"/>
          <w:sz w:val="18"/>
        </w:rPr>
        <w:t xml:space="preserve"> </w:t>
      </w:r>
      <w:r>
        <w:rPr>
          <w:sz w:val="18"/>
        </w:rPr>
        <w:t>costs</w:t>
      </w:r>
      <w:r>
        <w:rPr>
          <w:spacing w:val="-3"/>
          <w:sz w:val="18"/>
        </w:rPr>
        <w:t xml:space="preserve"> </w:t>
      </w:r>
      <w:r>
        <w:rPr>
          <w:sz w:val="18"/>
        </w:rPr>
        <w:t>and</w:t>
      </w:r>
      <w:r>
        <w:rPr>
          <w:spacing w:val="-4"/>
          <w:sz w:val="18"/>
        </w:rPr>
        <w:t xml:space="preserve"> </w:t>
      </w:r>
      <w:r>
        <w:rPr>
          <w:sz w:val="18"/>
        </w:rPr>
        <w:t>subsequently</w:t>
      </w:r>
      <w:r>
        <w:rPr>
          <w:spacing w:val="-3"/>
          <w:sz w:val="18"/>
        </w:rPr>
        <w:t xml:space="preserve"> </w:t>
      </w:r>
      <w:r>
        <w:rPr>
          <w:sz w:val="18"/>
        </w:rPr>
        <w:t>carried</w:t>
      </w:r>
      <w:r>
        <w:rPr>
          <w:spacing w:val="-4"/>
          <w:sz w:val="18"/>
        </w:rPr>
        <w:t xml:space="preserve"> </w:t>
      </w:r>
      <w:r>
        <w:rPr>
          <w:sz w:val="18"/>
        </w:rPr>
        <w:t xml:space="preserve">at </w:t>
      </w:r>
      <w:proofErr w:type="spellStart"/>
      <w:r>
        <w:rPr>
          <w:sz w:val="18"/>
        </w:rPr>
        <w:t>amortised</w:t>
      </w:r>
      <w:proofErr w:type="spellEnd"/>
      <w:r>
        <w:rPr>
          <w:sz w:val="18"/>
        </w:rPr>
        <w:t xml:space="preserve"> cost using the effective interest method.</w:t>
      </w:r>
      <w:r>
        <w:rPr>
          <w:spacing w:val="40"/>
          <w:sz w:val="18"/>
        </w:rPr>
        <w:t xml:space="preserve"> </w:t>
      </w:r>
      <w:r>
        <w:rPr>
          <w:sz w:val="18"/>
        </w:rPr>
        <w:t>They are presented as current assets, except for those maturing later than 12 months after the reporting date which are presented as non-current assets.</w:t>
      </w:r>
    </w:p>
    <w:p w14:paraId="2982ECA2" w14:textId="77777777" w:rsidR="00AC6F3C" w:rsidRDefault="00570E88">
      <w:pPr>
        <w:spacing w:before="121"/>
        <w:ind w:left="979" w:right="234"/>
        <w:rPr>
          <w:sz w:val="18"/>
        </w:rPr>
      </w:pPr>
      <w:r>
        <w:rPr>
          <w:sz w:val="18"/>
        </w:rPr>
        <w:t xml:space="preserve">The Fund assesses at each reporting date whether there is objective evidence that these financial assets are impaired and </w:t>
      </w:r>
      <w:proofErr w:type="spellStart"/>
      <w:r>
        <w:rPr>
          <w:sz w:val="18"/>
        </w:rPr>
        <w:t>recognises</w:t>
      </w:r>
      <w:proofErr w:type="spellEnd"/>
      <w:r>
        <w:rPr>
          <w:sz w:val="18"/>
        </w:rPr>
        <w:t xml:space="preserve"> an allowance for impairment when such evidence exists.</w:t>
      </w:r>
      <w:r>
        <w:rPr>
          <w:spacing w:val="40"/>
          <w:sz w:val="18"/>
        </w:rPr>
        <w:t xml:space="preserve"> </w:t>
      </w:r>
      <w:r>
        <w:rPr>
          <w:sz w:val="18"/>
        </w:rPr>
        <w:t>A further allowance for impairment is calculated by applying the simplified approach to the calculation of lifetime expected credit losses. The</w:t>
      </w:r>
      <w:r>
        <w:rPr>
          <w:spacing w:val="-2"/>
          <w:sz w:val="18"/>
        </w:rPr>
        <w:t xml:space="preserve"> </w:t>
      </w:r>
      <w:r>
        <w:rPr>
          <w:sz w:val="18"/>
        </w:rPr>
        <w:t>percentage</w:t>
      </w:r>
      <w:r>
        <w:rPr>
          <w:spacing w:val="-2"/>
          <w:sz w:val="18"/>
        </w:rPr>
        <w:t xml:space="preserve"> </w:t>
      </w:r>
      <w:r>
        <w:rPr>
          <w:sz w:val="18"/>
        </w:rPr>
        <w:t>applied</w:t>
      </w:r>
      <w:r>
        <w:rPr>
          <w:spacing w:val="-2"/>
          <w:sz w:val="18"/>
        </w:rPr>
        <w:t xml:space="preserve"> </w:t>
      </w:r>
      <w:r>
        <w:rPr>
          <w:sz w:val="18"/>
        </w:rPr>
        <w:t>is</w:t>
      </w:r>
      <w:r>
        <w:rPr>
          <w:spacing w:val="-3"/>
          <w:sz w:val="18"/>
        </w:rPr>
        <w:t xml:space="preserve"> </w:t>
      </w:r>
      <w:r>
        <w:rPr>
          <w:sz w:val="18"/>
        </w:rPr>
        <w:t>calculated</w:t>
      </w:r>
      <w:r>
        <w:rPr>
          <w:spacing w:val="-2"/>
          <w:sz w:val="18"/>
        </w:rPr>
        <w:t xml:space="preserve"> </w:t>
      </w:r>
      <w:r>
        <w:rPr>
          <w:sz w:val="18"/>
        </w:rPr>
        <w:t>based</w:t>
      </w:r>
      <w:r>
        <w:rPr>
          <w:spacing w:val="-4"/>
          <w:sz w:val="18"/>
        </w:rPr>
        <w:t xml:space="preserve"> </w:t>
      </w:r>
      <w:r>
        <w:rPr>
          <w:sz w:val="18"/>
        </w:rPr>
        <w:t>on</w:t>
      </w:r>
      <w:r>
        <w:rPr>
          <w:spacing w:val="-4"/>
          <w:sz w:val="18"/>
        </w:rPr>
        <w:t xml:space="preserve"> </w:t>
      </w:r>
      <w:r>
        <w:rPr>
          <w:sz w:val="18"/>
        </w:rPr>
        <w:t>historical</w:t>
      </w:r>
      <w:r>
        <w:rPr>
          <w:spacing w:val="-4"/>
          <w:sz w:val="18"/>
        </w:rPr>
        <w:t xml:space="preserve"> </w:t>
      </w:r>
      <w:r>
        <w:rPr>
          <w:sz w:val="18"/>
        </w:rPr>
        <w:t>default</w:t>
      </w:r>
      <w:r>
        <w:rPr>
          <w:spacing w:val="-3"/>
          <w:sz w:val="18"/>
        </w:rPr>
        <w:t xml:space="preserve"> </w:t>
      </w:r>
      <w:r>
        <w:rPr>
          <w:sz w:val="18"/>
        </w:rPr>
        <w:t>rates</w:t>
      </w:r>
      <w:r>
        <w:rPr>
          <w:spacing w:val="-2"/>
          <w:sz w:val="18"/>
        </w:rPr>
        <w:t xml:space="preserve"> </w:t>
      </w:r>
      <w:r>
        <w:rPr>
          <w:sz w:val="18"/>
        </w:rPr>
        <w:t>with</w:t>
      </w:r>
      <w:r>
        <w:rPr>
          <w:spacing w:val="-2"/>
          <w:sz w:val="18"/>
        </w:rPr>
        <w:t xml:space="preserve"> </w:t>
      </w:r>
      <w:r>
        <w:rPr>
          <w:sz w:val="18"/>
        </w:rPr>
        <w:t>a</w:t>
      </w:r>
      <w:r>
        <w:rPr>
          <w:spacing w:val="-4"/>
          <w:sz w:val="18"/>
        </w:rPr>
        <w:t xml:space="preserve"> </w:t>
      </w:r>
      <w:r>
        <w:rPr>
          <w:sz w:val="18"/>
        </w:rPr>
        <w:t>forward-looking</w:t>
      </w:r>
      <w:r>
        <w:rPr>
          <w:spacing w:val="-4"/>
          <w:sz w:val="18"/>
        </w:rPr>
        <w:t xml:space="preserve"> </w:t>
      </w:r>
      <w:r>
        <w:rPr>
          <w:sz w:val="18"/>
        </w:rPr>
        <w:t>estimate</w:t>
      </w:r>
      <w:r>
        <w:rPr>
          <w:spacing w:val="-2"/>
          <w:sz w:val="18"/>
        </w:rPr>
        <w:t xml:space="preserve"> </w:t>
      </w:r>
      <w:r>
        <w:rPr>
          <w:sz w:val="18"/>
        </w:rPr>
        <w:t>adjustment which incorporates various risk factors appropriate for the class of receivable being assessed.</w:t>
      </w:r>
    </w:p>
    <w:p w14:paraId="1EBCDCB1" w14:textId="77777777" w:rsidR="00AC6F3C" w:rsidRDefault="00AC6F3C">
      <w:pPr>
        <w:pStyle w:val="BodyText"/>
        <w:spacing w:before="10"/>
      </w:pPr>
    </w:p>
    <w:tbl>
      <w:tblPr>
        <w:tblW w:w="0" w:type="auto"/>
        <w:tblInd w:w="994" w:type="dxa"/>
        <w:tblLayout w:type="fixed"/>
        <w:tblCellMar>
          <w:left w:w="0" w:type="dxa"/>
          <w:right w:w="0" w:type="dxa"/>
        </w:tblCellMar>
        <w:tblLook w:val="01E0" w:firstRow="1" w:lastRow="1" w:firstColumn="1" w:lastColumn="1" w:noHBand="0" w:noVBand="0"/>
      </w:tblPr>
      <w:tblGrid>
        <w:gridCol w:w="5414"/>
        <w:gridCol w:w="1655"/>
        <w:gridCol w:w="1637"/>
      </w:tblGrid>
      <w:tr w:rsidR="00AC6F3C" w14:paraId="2E2AD30F" w14:textId="77777777">
        <w:trPr>
          <w:trHeight w:val="531"/>
        </w:trPr>
        <w:tc>
          <w:tcPr>
            <w:tcW w:w="8706" w:type="dxa"/>
            <w:gridSpan w:val="3"/>
            <w:tcBorders>
              <w:top w:val="single" w:sz="6" w:space="0" w:color="000000"/>
              <w:left w:val="single" w:sz="6" w:space="0" w:color="000000"/>
              <w:bottom w:val="single" w:sz="6" w:space="0" w:color="000000"/>
              <w:right w:val="single" w:sz="6" w:space="0" w:color="000000"/>
            </w:tcBorders>
            <w:shd w:val="clear" w:color="auto" w:fill="BEBEBE"/>
          </w:tcPr>
          <w:p w14:paraId="4E6B43F9" w14:textId="77777777" w:rsidR="00AC6F3C" w:rsidRDefault="00570E88">
            <w:pPr>
              <w:pStyle w:val="TableParagraph"/>
              <w:tabs>
                <w:tab w:val="left" w:pos="1643"/>
              </w:tabs>
              <w:spacing w:before="20"/>
              <w:ind w:right="13"/>
              <w:jc w:val="right"/>
              <w:rPr>
                <w:b/>
                <w:sz w:val="18"/>
              </w:rPr>
            </w:pPr>
            <w:r>
              <w:rPr>
                <w:b/>
                <w:spacing w:val="-4"/>
                <w:sz w:val="18"/>
              </w:rPr>
              <w:t>2023</w:t>
            </w:r>
            <w:r>
              <w:rPr>
                <w:b/>
                <w:sz w:val="18"/>
              </w:rPr>
              <w:tab/>
            </w:r>
            <w:r>
              <w:rPr>
                <w:b/>
                <w:spacing w:val="-4"/>
                <w:sz w:val="18"/>
              </w:rPr>
              <w:t>2022</w:t>
            </w:r>
          </w:p>
          <w:p w14:paraId="041B80DA" w14:textId="77777777" w:rsidR="00AC6F3C" w:rsidRDefault="00570E88">
            <w:pPr>
              <w:pStyle w:val="TableParagraph"/>
              <w:tabs>
                <w:tab w:val="left" w:pos="1643"/>
              </w:tabs>
              <w:spacing w:before="66"/>
              <w:ind w:right="13"/>
              <w:jc w:val="right"/>
              <w:rPr>
                <w:b/>
                <w:sz w:val="18"/>
              </w:rPr>
            </w:pPr>
            <w:r>
              <w:rPr>
                <w:b/>
                <w:spacing w:val="-2"/>
                <w:sz w:val="18"/>
              </w:rPr>
              <w:t>$'000</w:t>
            </w:r>
            <w:r>
              <w:rPr>
                <w:b/>
                <w:sz w:val="18"/>
              </w:rPr>
              <w:tab/>
            </w:r>
            <w:r>
              <w:rPr>
                <w:b/>
                <w:spacing w:val="-4"/>
                <w:sz w:val="18"/>
              </w:rPr>
              <w:t>$'000</w:t>
            </w:r>
          </w:p>
        </w:tc>
      </w:tr>
      <w:tr w:rsidR="00AC6F3C" w14:paraId="5908E700" w14:textId="77777777">
        <w:trPr>
          <w:trHeight w:val="275"/>
        </w:trPr>
        <w:tc>
          <w:tcPr>
            <w:tcW w:w="5414" w:type="dxa"/>
            <w:tcBorders>
              <w:top w:val="single" w:sz="6" w:space="0" w:color="000000"/>
              <w:left w:val="single" w:sz="6" w:space="0" w:color="000000"/>
            </w:tcBorders>
          </w:tcPr>
          <w:p w14:paraId="3BEFB234" w14:textId="77777777" w:rsidR="00AC6F3C" w:rsidRDefault="00570E88">
            <w:pPr>
              <w:pStyle w:val="TableParagraph"/>
              <w:spacing w:before="31"/>
              <w:ind w:left="27"/>
              <w:rPr>
                <w:sz w:val="18"/>
              </w:rPr>
            </w:pPr>
            <w:r>
              <w:rPr>
                <w:spacing w:val="-4"/>
                <w:sz w:val="18"/>
              </w:rPr>
              <w:t>Other</w:t>
            </w:r>
            <w:r>
              <w:rPr>
                <w:spacing w:val="-7"/>
                <w:sz w:val="18"/>
              </w:rPr>
              <w:t xml:space="preserve"> </w:t>
            </w:r>
            <w:r>
              <w:rPr>
                <w:spacing w:val="-2"/>
                <w:sz w:val="18"/>
              </w:rPr>
              <w:t>receivables</w:t>
            </w:r>
          </w:p>
        </w:tc>
        <w:tc>
          <w:tcPr>
            <w:tcW w:w="1655" w:type="dxa"/>
            <w:tcBorders>
              <w:top w:val="single" w:sz="6" w:space="0" w:color="000000"/>
            </w:tcBorders>
            <w:shd w:val="clear" w:color="auto" w:fill="F1F1F1"/>
          </w:tcPr>
          <w:p w14:paraId="759440DD" w14:textId="77777777" w:rsidR="00AC6F3C" w:rsidRDefault="00570E88">
            <w:pPr>
              <w:pStyle w:val="TableParagraph"/>
              <w:spacing w:before="31"/>
              <w:ind w:right="27"/>
              <w:jc w:val="right"/>
              <w:rPr>
                <w:sz w:val="18"/>
              </w:rPr>
            </w:pPr>
            <w:r>
              <w:rPr>
                <w:spacing w:val="-5"/>
                <w:sz w:val="18"/>
              </w:rPr>
              <w:t>36</w:t>
            </w:r>
          </w:p>
        </w:tc>
        <w:tc>
          <w:tcPr>
            <w:tcW w:w="1637" w:type="dxa"/>
            <w:tcBorders>
              <w:top w:val="single" w:sz="6" w:space="0" w:color="000000"/>
              <w:right w:val="single" w:sz="6" w:space="0" w:color="000000"/>
            </w:tcBorders>
          </w:tcPr>
          <w:p w14:paraId="53896588" w14:textId="77777777" w:rsidR="00AC6F3C" w:rsidRDefault="00570E88">
            <w:pPr>
              <w:pStyle w:val="TableParagraph"/>
              <w:spacing w:before="31"/>
              <w:ind w:right="13"/>
              <w:jc w:val="right"/>
              <w:rPr>
                <w:sz w:val="18"/>
              </w:rPr>
            </w:pPr>
            <w:r>
              <w:rPr>
                <w:spacing w:val="-5"/>
                <w:sz w:val="18"/>
              </w:rPr>
              <w:t>43</w:t>
            </w:r>
          </w:p>
        </w:tc>
      </w:tr>
      <w:tr w:rsidR="00AC6F3C" w14:paraId="270FA34E" w14:textId="77777777">
        <w:trPr>
          <w:trHeight w:val="273"/>
        </w:trPr>
        <w:tc>
          <w:tcPr>
            <w:tcW w:w="5414" w:type="dxa"/>
            <w:tcBorders>
              <w:left w:val="single" w:sz="6" w:space="0" w:color="000000"/>
            </w:tcBorders>
          </w:tcPr>
          <w:p w14:paraId="4592C79D" w14:textId="77777777" w:rsidR="00AC6F3C" w:rsidRDefault="00570E88">
            <w:pPr>
              <w:pStyle w:val="TableParagraph"/>
              <w:spacing w:before="29"/>
              <w:ind w:left="27"/>
              <w:rPr>
                <w:sz w:val="18"/>
              </w:rPr>
            </w:pPr>
            <w:r>
              <w:rPr>
                <w:spacing w:val="-6"/>
                <w:sz w:val="18"/>
              </w:rPr>
              <w:t>Levies</w:t>
            </w:r>
            <w:r>
              <w:rPr>
                <w:spacing w:val="5"/>
                <w:sz w:val="18"/>
              </w:rPr>
              <w:t xml:space="preserve"> </w:t>
            </w:r>
            <w:r>
              <w:rPr>
                <w:spacing w:val="-6"/>
                <w:sz w:val="18"/>
              </w:rPr>
              <w:t>receivable from</w:t>
            </w:r>
            <w:r>
              <w:rPr>
                <w:spacing w:val="5"/>
                <w:sz w:val="18"/>
              </w:rPr>
              <w:t xml:space="preserve"> </w:t>
            </w:r>
            <w:r>
              <w:rPr>
                <w:spacing w:val="-6"/>
                <w:sz w:val="18"/>
              </w:rPr>
              <w:t>the</w:t>
            </w:r>
            <w:r>
              <w:rPr>
                <w:spacing w:val="-5"/>
                <w:sz w:val="18"/>
              </w:rPr>
              <w:t xml:space="preserve"> </w:t>
            </w:r>
            <w:r>
              <w:rPr>
                <w:spacing w:val="-6"/>
                <w:sz w:val="18"/>
              </w:rPr>
              <w:t>Society</w:t>
            </w:r>
          </w:p>
        </w:tc>
        <w:tc>
          <w:tcPr>
            <w:tcW w:w="1655" w:type="dxa"/>
            <w:shd w:val="clear" w:color="auto" w:fill="F1F1F1"/>
          </w:tcPr>
          <w:p w14:paraId="2B0098FE" w14:textId="77777777" w:rsidR="00AC6F3C" w:rsidRDefault="00570E88">
            <w:pPr>
              <w:pStyle w:val="TableParagraph"/>
              <w:spacing w:before="29"/>
              <w:ind w:right="27"/>
              <w:jc w:val="right"/>
              <w:rPr>
                <w:sz w:val="18"/>
              </w:rPr>
            </w:pPr>
            <w:r>
              <w:rPr>
                <w:spacing w:val="-2"/>
                <w:sz w:val="18"/>
              </w:rPr>
              <w:t>28,190</w:t>
            </w:r>
          </w:p>
        </w:tc>
        <w:tc>
          <w:tcPr>
            <w:tcW w:w="1637" w:type="dxa"/>
            <w:tcBorders>
              <w:right w:val="single" w:sz="6" w:space="0" w:color="000000"/>
            </w:tcBorders>
          </w:tcPr>
          <w:p w14:paraId="50FA22A3" w14:textId="77777777" w:rsidR="00AC6F3C" w:rsidRDefault="00570E88">
            <w:pPr>
              <w:pStyle w:val="TableParagraph"/>
              <w:spacing w:before="29"/>
              <w:ind w:right="13"/>
              <w:jc w:val="right"/>
              <w:rPr>
                <w:sz w:val="18"/>
              </w:rPr>
            </w:pPr>
            <w:r>
              <w:rPr>
                <w:spacing w:val="-2"/>
                <w:sz w:val="18"/>
              </w:rPr>
              <w:t>26,455</w:t>
            </w:r>
          </w:p>
        </w:tc>
      </w:tr>
      <w:tr w:rsidR="00AC6F3C" w14:paraId="0D7CAA33" w14:textId="77777777">
        <w:trPr>
          <w:trHeight w:val="256"/>
        </w:trPr>
        <w:tc>
          <w:tcPr>
            <w:tcW w:w="5414" w:type="dxa"/>
            <w:tcBorders>
              <w:left w:val="single" w:sz="6" w:space="0" w:color="000000"/>
              <w:bottom w:val="single" w:sz="6" w:space="0" w:color="000000"/>
            </w:tcBorders>
          </w:tcPr>
          <w:p w14:paraId="1DF8A3E1" w14:textId="77777777" w:rsidR="00AC6F3C" w:rsidRDefault="00570E88">
            <w:pPr>
              <w:pStyle w:val="TableParagraph"/>
              <w:spacing w:before="29"/>
              <w:ind w:left="27"/>
              <w:rPr>
                <w:sz w:val="18"/>
              </w:rPr>
            </w:pPr>
            <w:r>
              <w:rPr>
                <w:spacing w:val="-8"/>
                <w:sz w:val="18"/>
              </w:rPr>
              <w:t>GST</w:t>
            </w:r>
            <w:r>
              <w:rPr>
                <w:spacing w:val="-3"/>
                <w:sz w:val="18"/>
              </w:rPr>
              <w:t xml:space="preserve"> </w:t>
            </w:r>
            <w:r>
              <w:rPr>
                <w:spacing w:val="-2"/>
                <w:sz w:val="18"/>
              </w:rPr>
              <w:t>receivable</w:t>
            </w:r>
          </w:p>
        </w:tc>
        <w:tc>
          <w:tcPr>
            <w:tcW w:w="1655" w:type="dxa"/>
            <w:tcBorders>
              <w:bottom w:val="single" w:sz="6" w:space="0" w:color="000000"/>
            </w:tcBorders>
            <w:shd w:val="clear" w:color="auto" w:fill="F1F1F1"/>
          </w:tcPr>
          <w:p w14:paraId="66B3BF95" w14:textId="77777777" w:rsidR="00AC6F3C" w:rsidRDefault="00570E88">
            <w:pPr>
              <w:pStyle w:val="TableParagraph"/>
              <w:spacing w:before="29"/>
              <w:ind w:right="23"/>
              <w:jc w:val="right"/>
              <w:rPr>
                <w:sz w:val="18"/>
              </w:rPr>
            </w:pPr>
            <w:r>
              <w:rPr>
                <w:w w:val="97"/>
                <w:sz w:val="18"/>
              </w:rPr>
              <w:t>6</w:t>
            </w:r>
          </w:p>
        </w:tc>
        <w:tc>
          <w:tcPr>
            <w:tcW w:w="1637" w:type="dxa"/>
            <w:tcBorders>
              <w:bottom w:val="single" w:sz="6" w:space="0" w:color="000000"/>
              <w:right w:val="single" w:sz="6" w:space="0" w:color="000000"/>
            </w:tcBorders>
          </w:tcPr>
          <w:p w14:paraId="18C9B6F6" w14:textId="77777777" w:rsidR="00AC6F3C" w:rsidRDefault="00570E88">
            <w:pPr>
              <w:pStyle w:val="TableParagraph"/>
              <w:spacing w:before="29"/>
              <w:ind w:right="9"/>
              <w:jc w:val="right"/>
              <w:rPr>
                <w:sz w:val="18"/>
              </w:rPr>
            </w:pPr>
            <w:r>
              <w:rPr>
                <w:w w:val="97"/>
                <w:sz w:val="18"/>
              </w:rPr>
              <w:t>2</w:t>
            </w:r>
          </w:p>
        </w:tc>
      </w:tr>
      <w:tr w:rsidR="00AC6F3C" w14:paraId="3983E33E" w14:textId="77777777">
        <w:trPr>
          <w:trHeight w:val="258"/>
        </w:trPr>
        <w:tc>
          <w:tcPr>
            <w:tcW w:w="5414" w:type="dxa"/>
            <w:tcBorders>
              <w:top w:val="single" w:sz="6" w:space="0" w:color="000000"/>
              <w:left w:val="single" w:sz="6" w:space="0" w:color="000000"/>
              <w:bottom w:val="single" w:sz="6" w:space="0" w:color="000000"/>
            </w:tcBorders>
            <w:shd w:val="clear" w:color="auto" w:fill="BEBEBE"/>
          </w:tcPr>
          <w:p w14:paraId="029A2E2A" w14:textId="77777777" w:rsidR="00AC6F3C" w:rsidRDefault="00570E88">
            <w:pPr>
              <w:pStyle w:val="TableParagraph"/>
              <w:spacing w:before="43" w:line="195" w:lineRule="exact"/>
              <w:ind w:left="27"/>
              <w:rPr>
                <w:b/>
                <w:sz w:val="18"/>
              </w:rPr>
            </w:pPr>
            <w:r>
              <w:rPr>
                <w:b/>
                <w:spacing w:val="-2"/>
                <w:sz w:val="18"/>
              </w:rPr>
              <w:t>Total</w:t>
            </w:r>
            <w:r>
              <w:rPr>
                <w:b/>
                <w:spacing w:val="-6"/>
                <w:sz w:val="18"/>
              </w:rPr>
              <w:t xml:space="preserve"> </w:t>
            </w:r>
            <w:r>
              <w:rPr>
                <w:b/>
                <w:spacing w:val="-2"/>
                <w:sz w:val="18"/>
              </w:rPr>
              <w:t>receivables</w:t>
            </w:r>
          </w:p>
        </w:tc>
        <w:tc>
          <w:tcPr>
            <w:tcW w:w="1655" w:type="dxa"/>
            <w:tcBorders>
              <w:top w:val="single" w:sz="6" w:space="0" w:color="000000"/>
              <w:bottom w:val="single" w:sz="6" w:space="0" w:color="000000"/>
            </w:tcBorders>
            <w:shd w:val="clear" w:color="auto" w:fill="BEBEBE"/>
          </w:tcPr>
          <w:p w14:paraId="6FE9A73E" w14:textId="77777777" w:rsidR="00AC6F3C" w:rsidRDefault="00570E88">
            <w:pPr>
              <w:pStyle w:val="TableParagraph"/>
              <w:spacing w:before="43" w:line="195" w:lineRule="exact"/>
              <w:ind w:right="27"/>
              <w:jc w:val="right"/>
              <w:rPr>
                <w:b/>
                <w:sz w:val="18"/>
              </w:rPr>
            </w:pPr>
            <w:r>
              <w:rPr>
                <w:b/>
                <w:spacing w:val="-2"/>
                <w:sz w:val="18"/>
              </w:rPr>
              <w:t>28,232</w:t>
            </w:r>
          </w:p>
        </w:tc>
        <w:tc>
          <w:tcPr>
            <w:tcW w:w="1637" w:type="dxa"/>
            <w:tcBorders>
              <w:top w:val="single" w:sz="6" w:space="0" w:color="000000"/>
              <w:bottom w:val="single" w:sz="6" w:space="0" w:color="000000"/>
              <w:right w:val="single" w:sz="6" w:space="0" w:color="000000"/>
            </w:tcBorders>
            <w:shd w:val="clear" w:color="auto" w:fill="BEBEBE"/>
          </w:tcPr>
          <w:p w14:paraId="71C1F93F" w14:textId="77777777" w:rsidR="00AC6F3C" w:rsidRDefault="00570E88">
            <w:pPr>
              <w:pStyle w:val="TableParagraph"/>
              <w:spacing w:before="43" w:line="195" w:lineRule="exact"/>
              <w:ind w:right="13"/>
              <w:jc w:val="right"/>
              <w:rPr>
                <w:b/>
                <w:sz w:val="18"/>
              </w:rPr>
            </w:pPr>
            <w:r>
              <w:rPr>
                <w:b/>
                <w:spacing w:val="-2"/>
                <w:sz w:val="18"/>
              </w:rPr>
              <w:t>26,500</w:t>
            </w:r>
          </w:p>
        </w:tc>
      </w:tr>
    </w:tbl>
    <w:p w14:paraId="13B19705" w14:textId="77777777" w:rsidR="00AC6F3C" w:rsidRDefault="00AC6F3C">
      <w:pPr>
        <w:pStyle w:val="BodyText"/>
        <w:rPr>
          <w:sz w:val="23"/>
        </w:rPr>
      </w:pPr>
    </w:p>
    <w:p w14:paraId="1EFB57F6" w14:textId="77777777" w:rsidR="00AC6F3C" w:rsidRDefault="00570E88">
      <w:pPr>
        <w:tabs>
          <w:tab w:val="left" w:pos="1700"/>
        </w:tabs>
        <w:spacing w:before="1"/>
        <w:ind w:left="979"/>
        <w:rPr>
          <w:b/>
          <w:sz w:val="28"/>
        </w:rPr>
      </w:pPr>
      <w:r>
        <w:rPr>
          <w:b/>
          <w:spacing w:val="-5"/>
          <w:sz w:val="28"/>
        </w:rPr>
        <w:t>C3</w:t>
      </w:r>
      <w:r>
        <w:rPr>
          <w:b/>
          <w:sz w:val="28"/>
        </w:rPr>
        <w:tab/>
      </w:r>
      <w:r>
        <w:rPr>
          <w:b/>
          <w:spacing w:val="-2"/>
          <w:sz w:val="28"/>
        </w:rPr>
        <w:t>INVESTMENTS</w:t>
      </w:r>
    </w:p>
    <w:p w14:paraId="2B6A343D" w14:textId="77777777" w:rsidR="00AC6F3C" w:rsidRDefault="00570E88">
      <w:pPr>
        <w:spacing w:before="239"/>
        <w:ind w:left="979" w:right="468"/>
        <w:rPr>
          <w:sz w:val="18"/>
        </w:rPr>
      </w:pPr>
      <w:r>
        <w:rPr>
          <w:sz w:val="18"/>
        </w:rPr>
        <w:t>Investments</w:t>
      </w:r>
      <w:r>
        <w:rPr>
          <w:spacing w:val="-1"/>
          <w:sz w:val="18"/>
        </w:rPr>
        <w:t xml:space="preserve"> </w:t>
      </w:r>
      <w:r>
        <w:rPr>
          <w:sz w:val="18"/>
        </w:rPr>
        <w:t>are</w:t>
      </w:r>
      <w:r>
        <w:rPr>
          <w:spacing w:val="-3"/>
          <w:sz w:val="18"/>
        </w:rPr>
        <w:t xml:space="preserve"> </w:t>
      </w:r>
      <w:r>
        <w:rPr>
          <w:sz w:val="18"/>
        </w:rPr>
        <w:t>held</w:t>
      </w:r>
      <w:r>
        <w:rPr>
          <w:spacing w:val="-1"/>
          <w:sz w:val="18"/>
        </w:rPr>
        <w:t xml:space="preserve"> </w:t>
      </w:r>
      <w:r>
        <w:rPr>
          <w:sz w:val="18"/>
        </w:rPr>
        <w:t>at</w:t>
      </w:r>
      <w:r>
        <w:rPr>
          <w:spacing w:val="-3"/>
          <w:sz w:val="18"/>
        </w:rPr>
        <w:t xml:space="preserve"> </w:t>
      </w:r>
      <w:r>
        <w:rPr>
          <w:sz w:val="18"/>
        </w:rPr>
        <w:t>fair</w:t>
      </w:r>
      <w:r>
        <w:rPr>
          <w:spacing w:val="-3"/>
          <w:sz w:val="18"/>
        </w:rPr>
        <w:t xml:space="preserve"> </w:t>
      </w:r>
      <w:r>
        <w:rPr>
          <w:sz w:val="18"/>
        </w:rPr>
        <w:t>value</w:t>
      </w:r>
      <w:r>
        <w:rPr>
          <w:spacing w:val="-1"/>
          <w:sz w:val="18"/>
        </w:rPr>
        <w:t xml:space="preserve"> </w:t>
      </w:r>
      <w:r>
        <w:rPr>
          <w:sz w:val="18"/>
        </w:rPr>
        <w:t>through</w:t>
      </w:r>
      <w:r>
        <w:rPr>
          <w:spacing w:val="-3"/>
          <w:sz w:val="18"/>
        </w:rPr>
        <w:t xml:space="preserve"> </w:t>
      </w:r>
      <w:r>
        <w:rPr>
          <w:sz w:val="18"/>
        </w:rPr>
        <w:t>profit</w:t>
      </w:r>
      <w:r>
        <w:rPr>
          <w:spacing w:val="-1"/>
          <w:sz w:val="18"/>
        </w:rPr>
        <w:t xml:space="preserve"> </w:t>
      </w:r>
      <w:r>
        <w:rPr>
          <w:sz w:val="18"/>
        </w:rPr>
        <w:t>or</w:t>
      </w:r>
      <w:r>
        <w:rPr>
          <w:spacing w:val="-3"/>
          <w:sz w:val="18"/>
        </w:rPr>
        <w:t xml:space="preserve"> </w:t>
      </w:r>
      <w:r>
        <w:rPr>
          <w:sz w:val="18"/>
        </w:rPr>
        <w:t>loss.</w:t>
      </w:r>
      <w:r>
        <w:rPr>
          <w:spacing w:val="-3"/>
          <w:sz w:val="18"/>
        </w:rPr>
        <w:t xml:space="preserve"> </w:t>
      </w:r>
      <w:r>
        <w:rPr>
          <w:sz w:val="18"/>
        </w:rPr>
        <w:t>The</w:t>
      </w:r>
      <w:r>
        <w:rPr>
          <w:spacing w:val="-3"/>
          <w:sz w:val="18"/>
        </w:rPr>
        <w:t xml:space="preserve"> </w:t>
      </w:r>
      <w:r>
        <w:rPr>
          <w:sz w:val="18"/>
        </w:rPr>
        <w:t>investments</w:t>
      </w:r>
      <w:r>
        <w:rPr>
          <w:spacing w:val="-3"/>
          <w:sz w:val="18"/>
        </w:rPr>
        <w:t xml:space="preserve"> </w:t>
      </w:r>
      <w:r>
        <w:rPr>
          <w:sz w:val="18"/>
        </w:rPr>
        <w:t>are</w:t>
      </w:r>
      <w:r>
        <w:rPr>
          <w:spacing w:val="-3"/>
          <w:sz w:val="18"/>
        </w:rPr>
        <w:t xml:space="preserve"> </w:t>
      </w:r>
      <w:r>
        <w:rPr>
          <w:sz w:val="18"/>
        </w:rPr>
        <w:t>managed</w:t>
      </w:r>
      <w:r>
        <w:rPr>
          <w:spacing w:val="-1"/>
          <w:sz w:val="18"/>
        </w:rPr>
        <w:t xml:space="preserve"> </w:t>
      </w:r>
      <w:r>
        <w:rPr>
          <w:sz w:val="18"/>
        </w:rPr>
        <w:t>and</w:t>
      </w:r>
      <w:r>
        <w:rPr>
          <w:spacing w:val="-3"/>
          <w:sz w:val="18"/>
        </w:rPr>
        <w:t xml:space="preserve"> </w:t>
      </w:r>
      <w:r>
        <w:rPr>
          <w:sz w:val="18"/>
        </w:rPr>
        <w:t>their</w:t>
      </w:r>
      <w:r>
        <w:rPr>
          <w:spacing w:val="-3"/>
          <w:sz w:val="18"/>
        </w:rPr>
        <w:t xml:space="preserve"> </w:t>
      </w:r>
      <w:r>
        <w:rPr>
          <w:sz w:val="18"/>
        </w:rPr>
        <w:t>performances are evaluated on a fair value basis, in accordance with a documented investment strategy.</w:t>
      </w:r>
    </w:p>
    <w:p w14:paraId="2462C0A8" w14:textId="77777777" w:rsidR="00AC6F3C" w:rsidRDefault="00570E88">
      <w:pPr>
        <w:spacing w:before="121"/>
        <w:ind w:left="980" w:hanging="1"/>
        <w:rPr>
          <w:sz w:val="18"/>
        </w:rPr>
      </w:pPr>
      <w:r>
        <w:rPr>
          <w:sz w:val="18"/>
        </w:rPr>
        <w:t>The portfolio</w:t>
      </w:r>
      <w:r>
        <w:rPr>
          <w:spacing w:val="-3"/>
          <w:sz w:val="18"/>
        </w:rPr>
        <w:t xml:space="preserve"> </w:t>
      </w:r>
      <w:r>
        <w:rPr>
          <w:sz w:val="18"/>
        </w:rPr>
        <w:t>of</w:t>
      </w:r>
      <w:r>
        <w:rPr>
          <w:spacing w:val="-1"/>
          <w:sz w:val="18"/>
        </w:rPr>
        <w:t xml:space="preserve"> </w:t>
      </w:r>
      <w:r>
        <w:rPr>
          <w:sz w:val="18"/>
        </w:rPr>
        <w:t>investments held</w:t>
      </w:r>
      <w:r>
        <w:rPr>
          <w:spacing w:val="-3"/>
          <w:sz w:val="18"/>
        </w:rPr>
        <w:t xml:space="preserve"> </w:t>
      </w:r>
      <w:r>
        <w:rPr>
          <w:sz w:val="18"/>
        </w:rPr>
        <w:t>consists</w:t>
      </w:r>
      <w:r>
        <w:rPr>
          <w:spacing w:val="-2"/>
          <w:sz w:val="18"/>
        </w:rPr>
        <w:t xml:space="preserve"> </w:t>
      </w:r>
      <w:r>
        <w:rPr>
          <w:sz w:val="18"/>
        </w:rPr>
        <w:t>of</w:t>
      </w:r>
      <w:r>
        <w:rPr>
          <w:spacing w:val="-1"/>
          <w:sz w:val="18"/>
        </w:rPr>
        <w:t xml:space="preserve"> </w:t>
      </w:r>
      <w:r>
        <w:rPr>
          <w:sz w:val="18"/>
        </w:rPr>
        <w:t>collective</w:t>
      </w:r>
      <w:r>
        <w:rPr>
          <w:spacing w:val="-3"/>
          <w:sz w:val="18"/>
        </w:rPr>
        <w:t xml:space="preserve"> </w:t>
      </w:r>
      <w:r>
        <w:rPr>
          <w:sz w:val="18"/>
        </w:rPr>
        <w:t>investment</w:t>
      </w:r>
      <w:r>
        <w:rPr>
          <w:spacing w:val="-3"/>
          <w:sz w:val="18"/>
        </w:rPr>
        <w:t xml:space="preserve"> </w:t>
      </w:r>
      <w:r>
        <w:rPr>
          <w:sz w:val="18"/>
        </w:rPr>
        <w:t>schemes.</w:t>
      </w:r>
      <w:r>
        <w:rPr>
          <w:spacing w:val="40"/>
          <w:sz w:val="18"/>
        </w:rPr>
        <w:t xml:space="preserve"> </w:t>
      </w:r>
      <w:r>
        <w:rPr>
          <w:sz w:val="18"/>
        </w:rPr>
        <w:t>The fair</w:t>
      </w:r>
      <w:r>
        <w:rPr>
          <w:spacing w:val="-3"/>
          <w:sz w:val="18"/>
        </w:rPr>
        <w:t xml:space="preserve"> </w:t>
      </w:r>
      <w:r>
        <w:rPr>
          <w:sz w:val="18"/>
        </w:rPr>
        <w:t>value</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investments</w:t>
      </w:r>
      <w:r>
        <w:rPr>
          <w:spacing w:val="-2"/>
          <w:sz w:val="18"/>
        </w:rPr>
        <w:t xml:space="preserve"> </w:t>
      </w:r>
      <w:r>
        <w:rPr>
          <w:sz w:val="18"/>
        </w:rPr>
        <w:t>is determined using net asset value of the collective investment schemes.</w:t>
      </w:r>
    </w:p>
    <w:p w14:paraId="7B85C538" w14:textId="77777777" w:rsidR="00AC6F3C" w:rsidRDefault="00AC6F3C">
      <w:pPr>
        <w:pStyle w:val="BodyText"/>
      </w:pPr>
    </w:p>
    <w:p w14:paraId="55EBED87" w14:textId="77777777" w:rsidR="00AC6F3C" w:rsidRDefault="00AC6F3C">
      <w:pPr>
        <w:pStyle w:val="BodyText"/>
        <w:spacing w:before="10" w:after="1"/>
        <w:rPr>
          <w:sz w:val="18"/>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6D1CE1A3" w14:textId="77777777">
        <w:trPr>
          <w:trHeight w:val="545"/>
        </w:trPr>
        <w:tc>
          <w:tcPr>
            <w:tcW w:w="8715" w:type="dxa"/>
            <w:gridSpan w:val="3"/>
            <w:shd w:val="clear" w:color="auto" w:fill="BEBEBE"/>
          </w:tcPr>
          <w:p w14:paraId="57043B5E" w14:textId="77777777" w:rsidR="00AC6F3C" w:rsidRDefault="00570E88">
            <w:pPr>
              <w:pStyle w:val="TableParagraph"/>
              <w:tabs>
                <w:tab w:val="left" w:pos="1647"/>
              </w:tabs>
              <w:spacing w:before="32"/>
              <w:ind w:right="21"/>
              <w:jc w:val="right"/>
              <w:rPr>
                <w:b/>
                <w:sz w:val="17"/>
              </w:rPr>
            </w:pPr>
            <w:r>
              <w:rPr>
                <w:b/>
                <w:spacing w:val="-4"/>
                <w:w w:val="105"/>
                <w:sz w:val="17"/>
              </w:rPr>
              <w:t>2023</w:t>
            </w:r>
            <w:r>
              <w:rPr>
                <w:b/>
                <w:sz w:val="17"/>
              </w:rPr>
              <w:tab/>
            </w:r>
            <w:r>
              <w:rPr>
                <w:b/>
                <w:spacing w:val="-4"/>
                <w:w w:val="105"/>
                <w:sz w:val="17"/>
              </w:rPr>
              <w:t>2022</w:t>
            </w:r>
          </w:p>
          <w:p w14:paraId="5866717E" w14:textId="77777777" w:rsidR="00AC6F3C" w:rsidRDefault="00570E88">
            <w:pPr>
              <w:pStyle w:val="TableParagraph"/>
              <w:tabs>
                <w:tab w:val="left" w:pos="1647"/>
              </w:tabs>
              <w:spacing w:before="84"/>
              <w:ind w:right="21"/>
              <w:jc w:val="right"/>
              <w:rPr>
                <w:b/>
                <w:sz w:val="17"/>
              </w:rPr>
            </w:pPr>
            <w:r>
              <w:rPr>
                <w:b/>
                <w:spacing w:val="-2"/>
                <w:w w:val="105"/>
                <w:sz w:val="17"/>
              </w:rPr>
              <w:t>$'000</w:t>
            </w:r>
            <w:r>
              <w:rPr>
                <w:b/>
                <w:sz w:val="17"/>
              </w:rPr>
              <w:tab/>
            </w:r>
            <w:r>
              <w:rPr>
                <w:b/>
                <w:spacing w:val="-2"/>
                <w:w w:val="105"/>
                <w:sz w:val="17"/>
              </w:rPr>
              <w:t>$'000</w:t>
            </w:r>
          </w:p>
        </w:tc>
      </w:tr>
      <w:tr w:rsidR="00AC6F3C" w14:paraId="09843F1F" w14:textId="77777777">
        <w:trPr>
          <w:trHeight w:val="265"/>
        </w:trPr>
        <w:tc>
          <w:tcPr>
            <w:tcW w:w="5413" w:type="dxa"/>
            <w:tcBorders>
              <w:right w:val="nil"/>
            </w:tcBorders>
          </w:tcPr>
          <w:p w14:paraId="08091584" w14:textId="77777777" w:rsidR="00AC6F3C" w:rsidRDefault="00570E88">
            <w:pPr>
              <w:pStyle w:val="TableParagraph"/>
              <w:spacing w:before="46"/>
              <w:ind w:left="37"/>
              <w:rPr>
                <w:sz w:val="17"/>
              </w:rPr>
            </w:pPr>
            <w:r>
              <w:rPr>
                <w:w w:val="105"/>
                <w:sz w:val="17"/>
              </w:rPr>
              <w:t>Investment</w:t>
            </w:r>
            <w:r>
              <w:rPr>
                <w:spacing w:val="2"/>
                <w:w w:val="105"/>
                <w:sz w:val="17"/>
              </w:rPr>
              <w:t xml:space="preserve"> </w:t>
            </w:r>
            <w:r>
              <w:rPr>
                <w:w w:val="105"/>
                <w:sz w:val="17"/>
              </w:rPr>
              <w:t>in</w:t>
            </w:r>
            <w:r>
              <w:rPr>
                <w:spacing w:val="16"/>
                <w:w w:val="105"/>
                <w:sz w:val="17"/>
              </w:rPr>
              <w:t xml:space="preserve"> </w:t>
            </w:r>
            <w:r>
              <w:rPr>
                <w:w w:val="105"/>
                <w:sz w:val="17"/>
              </w:rPr>
              <w:t>collective</w:t>
            </w:r>
            <w:r>
              <w:rPr>
                <w:spacing w:val="16"/>
                <w:w w:val="105"/>
                <w:sz w:val="17"/>
              </w:rPr>
              <w:t xml:space="preserve"> </w:t>
            </w:r>
            <w:r>
              <w:rPr>
                <w:w w:val="105"/>
                <w:sz w:val="17"/>
              </w:rPr>
              <w:t>investment</w:t>
            </w:r>
            <w:r>
              <w:rPr>
                <w:spacing w:val="2"/>
                <w:w w:val="105"/>
                <w:sz w:val="17"/>
              </w:rPr>
              <w:t xml:space="preserve"> </w:t>
            </w:r>
            <w:r>
              <w:rPr>
                <w:spacing w:val="-2"/>
                <w:w w:val="105"/>
                <w:sz w:val="17"/>
              </w:rPr>
              <w:t>schemes</w:t>
            </w:r>
          </w:p>
        </w:tc>
        <w:tc>
          <w:tcPr>
            <w:tcW w:w="1662" w:type="dxa"/>
            <w:tcBorders>
              <w:left w:val="nil"/>
              <w:right w:val="nil"/>
            </w:tcBorders>
            <w:shd w:val="clear" w:color="auto" w:fill="F1F1F1"/>
          </w:tcPr>
          <w:p w14:paraId="5F8B20A0" w14:textId="77777777" w:rsidR="00AC6F3C" w:rsidRDefault="00570E88">
            <w:pPr>
              <w:pStyle w:val="TableParagraph"/>
              <w:spacing w:before="46"/>
              <w:ind w:left="1055"/>
              <w:rPr>
                <w:sz w:val="17"/>
              </w:rPr>
            </w:pPr>
            <w:r>
              <w:rPr>
                <w:spacing w:val="-2"/>
                <w:w w:val="105"/>
                <w:sz w:val="17"/>
              </w:rPr>
              <w:t>55,745</w:t>
            </w:r>
          </w:p>
        </w:tc>
        <w:tc>
          <w:tcPr>
            <w:tcW w:w="1640" w:type="dxa"/>
            <w:tcBorders>
              <w:left w:val="nil"/>
            </w:tcBorders>
          </w:tcPr>
          <w:p w14:paraId="776F7263" w14:textId="77777777" w:rsidR="00AC6F3C" w:rsidRDefault="00570E88">
            <w:pPr>
              <w:pStyle w:val="TableParagraph"/>
              <w:spacing w:before="46"/>
              <w:ind w:left="1040"/>
              <w:rPr>
                <w:sz w:val="17"/>
              </w:rPr>
            </w:pPr>
            <w:r>
              <w:rPr>
                <w:spacing w:val="-2"/>
                <w:w w:val="105"/>
                <w:sz w:val="17"/>
              </w:rPr>
              <w:t>53,438</w:t>
            </w:r>
          </w:p>
        </w:tc>
      </w:tr>
    </w:tbl>
    <w:p w14:paraId="3176452E" w14:textId="77777777" w:rsidR="00AC6F3C" w:rsidRDefault="00AC6F3C">
      <w:pPr>
        <w:rPr>
          <w:sz w:val="17"/>
        </w:rPr>
        <w:sectPr w:rsidR="00AC6F3C">
          <w:pgSz w:w="11910" w:h="16840"/>
          <w:pgMar w:top="2080" w:right="1160" w:bottom="520" w:left="460" w:header="1297" w:footer="336" w:gutter="0"/>
          <w:cols w:space="720"/>
        </w:sectPr>
      </w:pPr>
    </w:p>
    <w:p w14:paraId="2148C30A" w14:textId="77777777" w:rsidR="00AC6F3C" w:rsidRDefault="00AC6F3C">
      <w:pPr>
        <w:pStyle w:val="BodyText"/>
        <w:spacing w:before="2"/>
        <w:rPr>
          <w:sz w:val="14"/>
        </w:rPr>
      </w:pPr>
    </w:p>
    <w:p w14:paraId="7F6F1B7D" w14:textId="77777777" w:rsidR="00AC6F3C" w:rsidRDefault="00570E88">
      <w:pPr>
        <w:tabs>
          <w:tab w:val="left" w:pos="1831"/>
        </w:tabs>
        <w:spacing w:before="88"/>
        <w:ind w:left="979"/>
        <w:rPr>
          <w:b/>
          <w:sz w:val="32"/>
        </w:rPr>
      </w:pPr>
      <w:r>
        <w:rPr>
          <w:b/>
          <w:spacing w:val="-5"/>
          <w:sz w:val="32"/>
        </w:rPr>
        <w:t>C4</w:t>
      </w:r>
      <w:r>
        <w:rPr>
          <w:b/>
          <w:sz w:val="32"/>
        </w:rPr>
        <w:tab/>
        <w:t>INCOME</w:t>
      </w:r>
      <w:r>
        <w:rPr>
          <w:b/>
          <w:spacing w:val="-9"/>
          <w:sz w:val="32"/>
        </w:rPr>
        <w:t xml:space="preserve"> </w:t>
      </w:r>
      <w:r>
        <w:rPr>
          <w:b/>
          <w:sz w:val="32"/>
        </w:rPr>
        <w:t>IN</w:t>
      </w:r>
      <w:r>
        <w:rPr>
          <w:b/>
          <w:spacing w:val="-8"/>
          <w:sz w:val="32"/>
        </w:rPr>
        <w:t xml:space="preserve"> </w:t>
      </w:r>
      <w:r>
        <w:rPr>
          <w:b/>
          <w:spacing w:val="-2"/>
          <w:sz w:val="32"/>
        </w:rPr>
        <w:t>ADVANCE</w:t>
      </w:r>
    </w:p>
    <w:p w14:paraId="647E87D7" w14:textId="77777777" w:rsidR="00AC6F3C" w:rsidRDefault="00570E88">
      <w:pPr>
        <w:spacing w:before="205"/>
        <w:ind w:left="979" w:right="468"/>
        <w:rPr>
          <w:sz w:val="18"/>
        </w:rPr>
      </w:pPr>
      <w:r>
        <w:rPr>
          <w:sz w:val="18"/>
        </w:rPr>
        <w:t>Income</w:t>
      </w:r>
      <w:r>
        <w:rPr>
          <w:spacing w:val="-4"/>
          <w:sz w:val="18"/>
        </w:rPr>
        <w:t xml:space="preserve"> </w:t>
      </w:r>
      <w:r>
        <w:rPr>
          <w:sz w:val="18"/>
        </w:rPr>
        <w:t>in</w:t>
      </w:r>
      <w:r>
        <w:rPr>
          <w:spacing w:val="-1"/>
          <w:sz w:val="18"/>
        </w:rPr>
        <w:t xml:space="preserve"> </w:t>
      </w:r>
      <w:r>
        <w:rPr>
          <w:sz w:val="18"/>
        </w:rPr>
        <w:t>advance</w:t>
      </w:r>
      <w:r>
        <w:rPr>
          <w:spacing w:val="-4"/>
          <w:sz w:val="18"/>
        </w:rPr>
        <w:t xml:space="preserve"> </w:t>
      </w:r>
      <w:r>
        <w:rPr>
          <w:sz w:val="18"/>
        </w:rPr>
        <w:t>relates</w:t>
      </w:r>
      <w:r>
        <w:rPr>
          <w:spacing w:val="-3"/>
          <w:sz w:val="18"/>
        </w:rPr>
        <w:t xml:space="preserve"> </w:t>
      </w:r>
      <w:r>
        <w:rPr>
          <w:sz w:val="18"/>
        </w:rPr>
        <w:t>to</w:t>
      </w:r>
      <w:r>
        <w:rPr>
          <w:spacing w:val="-4"/>
          <w:sz w:val="18"/>
        </w:rPr>
        <w:t xml:space="preserve"> </w:t>
      </w:r>
      <w:r>
        <w:rPr>
          <w:sz w:val="18"/>
        </w:rPr>
        <w:t>insurance</w:t>
      </w:r>
      <w:r>
        <w:rPr>
          <w:spacing w:val="-4"/>
          <w:sz w:val="18"/>
        </w:rPr>
        <w:t xml:space="preserve"> </w:t>
      </w:r>
      <w:r>
        <w:rPr>
          <w:sz w:val="18"/>
        </w:rPr>
        <w:t>levies</w:t>
      </w:r>
      <w:r>
        <w:rPr>
          <w:spacing w:val="-1"/>
          <w:sz w:val="18"/>
        </w:rPr>
        <w:t xml:space="preserve"> </w:t>
      </w:r>
      <w:r>
        <w:rPr>
          <w:sz w:val="18"/>
        </w:rPr>
        <w:t>collected</w:t>
      </w:r>
      <w:r>
        <w:rPr>
          <w:spacing w:val="-1"/>
          <w:sz w:val="18"/>
        </w:rPr>
        <w:t xml:space="preserve"> </w:t>
      </w:r>
      <w:r>
        <w:rPr>
          <w:sz w:val="18"/>
        </w:rPr>
        <w:t>from</w:t>
      </w:r>
      <w:r>
        <w:rPr>
          <w:spacing w:val="-3"/>
          <w:sz w:val="18"/>
        </w:rPr>
        <w:t xml:space="preserve"> </w:t>
      </w:r>
      <w:r>
        <w:rPr>
          <w:sz w:val="18"/>
        </w:rPr>
        <w:t>the</w:t>
      </w:r>
      <w:r>
        <w:rPr>
          <w:spacing w:val="-1"/>
          <w:sz w:val="18"/>
        </w:rPr>
        <w:t xml:space="preserve"> </w:t>
      </w:r>
      <w:r>
        <w:rPr>
          <w:sz w:val="18"/>
        </w:rPr>
        <w:t>profession</w:t>
      </w:r>
      <w:r>
        <w:rPr>
          <w:spacing w:val="-1"/>
          <w:sz w:val="18"/>
        </w:rPr>
        <w:t xml:space="preserve"> </w:t>
      </w:r>
      <w:r>
        <w:rPr>
          <w:sz w:val="18"/>
        </w:rPr>
        <w:t>during</w:t>
      </w:r>
      <w:r>
        <w:rPr>
          <w:spacing w:val="-1"/>
          <w:sz w:val="18"/>
        </w:rPr>
        <w:t xml:space="preserve"> </w:t>
      </w:r>
      <w:r>
        <w:rPr>
          <w:sz w:val="18"/>
        </w:rPr>
        <w:t>the</w:t>
      </w:r>
      <w:r>
        <w:rPr>
          <w:spacing w:val="-1"/>
          <w:sz w:val="18"/>
        </w:rPr>
        <w:t xml:space="preserve"> </w:t>
      </w:r>
      <w:r>
        <w:rPr>
          <w:sz w:val="18"/>
        </w:rPr>
        <w:t>renewals</w:t>
      </w:r>
      <w:r>
        <w:rPr>
          <w:spacing w:val="-3"/>
          <w:sz w:val="18"/>
        </w:rPr>
        <w:t xml:space="preserve"> </w:t>
      </w:r>
      <w:r>
        <w:rPr>
          <w:sz w:val="18"/>
        </w:rPr>
        <w:t>cycle</w:t>
      </w:r>
      <w:r>
        <w:rPr>
          <w:spacing w:val="-4"/>
          <w:sz w:val="18"/>
        </w:rPr>
        <w:t xml:space="preserve"> </w:t>
      </w:r>
      <w:r>
        <w:rPr>
          <w:sz w:val="18"/>
        </w:rPr>
        <w:t>in</w:t>
      </w:r>
      <w:r>
        <w:rPr>
          <w:spacing w:val="-4"/>
          <w:sz w:val="18"/>
        </w:rPr>
        <w:t xml:space="preserve"> </w:t>
      </w:r>
      <w:r>
        <w:rPr>
          <w:sz w:val="18"/>
        </w:rPr>
        <w:t>May</w:t>
      </w:r>
      <w:r>
        <w:rPr>
          <w:spacing w:val="-4"/>
          <w:sz w:val="18"/>
        </w:rPr>
        <w:t xml:space="preserve"> </w:t>
      </w:r>
      <w:r>
        <w:rPr>
          <w:sz w:val="18"/>
        </w:rPr>
        <w:t>in relation to the upcoming insurance year.</w:t>
      </w:r>
      <w:r>
        <w:rPr>
          <w:spacing w:val="40"/>
          <w:sz w:val="18"/>
        </w:rPr>
        <w:t xml:space="preserve"> </w:t>
      </w:r>
      <w:r>
        <w:rPr>
          <w:sz w:val="18"/>
        </w:rPr>
        <w:t>Current year levies in advance relate to collections for the insurance year 1 July 2023 to 30 June 2024.</w:t>
      </w:r>
    </w:p>
    <w:p w14:paraId="652E1FA4" w14:textId="77777777" w:rsidR="00AC6F3C" w:rsidRDefault="00AC6F3C">
      <w:pPr>
        <w:pStyle w:val="BodyText"/>
        <w:spacing w:before="1" w:after="1"/>
        <w:rPr>
          <w:sz w:val="18"/>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00E223A1" w14:textId="77777777">
        <w:trPr>
          <w:trHeight w:val="545"/>
        </w:trPr>
        <w:tc>
          <w:tcPr>
            <w:tcW w:w="8715" w:type="dxa"/>
            <w:gridSpan w:val="3"/>
            <w:shd w:val="clear" w:color="auto" w:fill="BEBEBE"/>
          </w:tcPr>
          <w:p w14:paraId="3580BCEE" w14:textId="77777777" w:rsidR="00AC6F3C" w:rsidRDefault="00570E88">
            <w:pPr>
              <w:pStyle w:val="TableParagraph"/>
              <w:tabs>
                <w:tab w:val="left" w:pos="1647"/>
              </w:tabs>
              <w:spacing w:before="32"/>
              <w:ind w:right="21"/>
              <w:jc w:val="right"/>
              <w:rPr>
                <w:b/>
                <w:sz w:val="17"/>
              </w:rPr>
            </w:pPr>
            <w:r>
              <w:rPr>
                <w:b/>
                <w:spacing w:val="-4"/>
                <w:w w:val="105"/>
                <w:sz w:val="17"/>
              </w:rPr>
              <w:t>2023</w:t>
            </w:r>
            <w:r>
              <w:rPr>
                <w:b/>
                <w:sz w:val="17"/>
              </w:rPr>
              <w:tab/>
            </w:r>
            <w:r>
              <w:rPr>
                <w:b/>
                <w:spacing w:val="-4"/>
                <w:w w:val="105"/>
                <w:sz w:val="17"/>
              </w:rPr>
              <w:t>2022</w:t>
            </w:r>
          </w:p>
          <w:p w14:paraId="26DCD4F3" w14:textId="77777777" w:rsidR="00AC6F3C" w:rsidRDefault="00570E88">
            <w:pPr>
              <w:pStyle w:val="TableParagraph"/>
              <w:tabs>
                <w:tab w:val="left" w:pos="1647"/>
              </w:tabs>
              <w:spacing w:before="84"/>
              <w:ind w:right="21"/>
              <w:jc w:val="right"/>
              <w:rPr>
                <w:b/>
                <w:sz w:val="17"/>
              </w:rPr>
            </w:pPr>
            <w:r>
              <w:rPr>
                <w:b/>
                <w:spacing w:val="-2"/>
                <w:w w:val="105"/>
                <w:sz w:val="17"/>
              </w:rPr>
              <w:t>$'000</w:t>
            </w:r>
            <w:r>
              <w:rPr>
                <w:b/>
                <w:sz w:val="17"/>
              </w:rPr>
              <w:tab/>
            </w:r>
            <w:r>
              <w:rPr>
                <w:b/>
                <w:spacing w:val="-2"/>
                <w:w w:val="105"/>
                <w:sz w:val="17"/>
              </w:rPr>
              <w:t>$'000</w:t>
            </w:r>
          </w:p>
        </w:tc>
      </w:tr>
      <w:tr w:rsidR="00AC6F3C" w14:paraId="2C963893" w14:textId="77777777">
        <w:trPr>
          <w:trHeight w:val="265"/>
        </w:trPr>
        <w:tc>
          <w:tcPr>
            <w:tcW w:w="5413" w:type="dxa"/>
            <w:tcBorders>
              <w:right w:val="nil"/>
            </w:tcBorders>
          </w:tcPr>
          <w:p w14:paraId="7E7D978C" w14:textId="77777777" w:rsidR="00AC6F3C" w:rsidRDefault="00570E88">
            <w:pPr>
              <w:pStyle w:val="TableParagraph"/>
              <w:spacing w:before="46"/>
              <w:ind w:left="37"/>
              <w:rPr>
                <w:sz w:val="17"/>
              </w:rPr>
            </w:pPr>
            <w:r>
              <w:rPr>
                <w:w w:val="105"/>
                <w:sz w:val="17"/>
              </w:rPr>
              <w:t>Levies</w:t>
            </w:r>
            <w:r>
              <w:rPr>
                <w:spacing w:val="13"/>
                <w:w w:val="105"/>
                <w:sz w:val="17"/>
              </w:rPr>
              <w:t xml:space="preserve"> </w:t>
            </w:r>
            <w:r>
              <w:rPr>
                <w:w w:val="105"/>
                <w:sz w:val="17"/>
              </w:rPr>
              <w:t>received</w:t>
            </w:r>
            <w:r>
              <w:rPr>
                <w:spacing w:val="3"/>
                <w:w w:val="105"/>
                <w:sz w:val="17"/>
              </w:rPr>
              <w:t xml:space="preserve"> </w:t>
            </w:r>
            <w:r>
              <w:rPr>
                <w:w w:val="105"/>
                <w:sz w:val="17"/>
              </w:rPr>
              <w:t>in</w:t>
            </w:r>
            <w:r>
              <w:rPr>
                <w:spacing w:val="3"/>
                <w:w w:val="105"/>
                <w:sz w:val="17"/>
              </w:rPr>
              <w:t xml:space="preserve"> </w:t>
            </w:r>
            <w:r>
              <w:rPr>
                <w:w w:val="105"/>
                <w:sz w:val="17"/>
              </w:rPr>
              <w:t>advance</w:t>
            </w:r>
            <w:r>
              <w:rPr>
                <w:spacing w:val="2"/>
                <w:w w:val="105"/>
                <w:sz w:val="17"/>
              </w:rPr>
              <w:t xml:space="preserve"> </w:t>
            </w:r>
            <w:r>
              <w:rPr>
                <w:w w:val="105"/>
                <w:sz w:val="17"/>
              </w:rPr>
              <w:t>for</w:t>
            </w:r>
            <w:r>
              <w:rPr>
                <w:spacing w:val="-2"/>
                <w:w w:val="105"/>
                <w:sz w:val="17"/>
              </w:rPr>
              <w:t xml:space="preserve"> </w:t>
            </w:r>
            <w:r>
              <w:rPr>
                <w:w w:val="105"/>
                <w:sz w:val="17"/>
              </w:rPr>
              <w:t>next</w:t>
            </w:r>
            <w:r>
              <w:rPr>
                <w:spacing w:val="-8"/>
                <w:w w:val="105"/>
                <w:sz w:val="17"/>
              </w:rPr>
              <w:t xml:space="preserve"> </w:t>
            </w:r>
            <w:r>
              <w:rPr>
                <w:w w:val="105"/>
                <w:sz w:val="17"/>
              </w:rPr>
              <w:t>financial</w:t>
            </w:r>
            <w:r>
              <w:rPr>
                <w:spacing w:val="3"/>
                <w:w w:val="105"/>
                <w:sz w:val="17"/>
              </w:rPr>
              <w:t xml:space="preserve"> </w:t>
            </w:r>
            <w:r>
              <w:rPr>
                <w:spacing w:val="-4"/>
                <w:w w:val="105"/>
                <w:sz w:val="17"/>
              </w:rPr>
              <w:t>year</w:t>
            </w:r>
          </w:p>
        </w:tc>
        <w:tc>
          <w:tcPr>
            <w:tcW w:w="1662" w:type="dxa"/>
            <w:tcBorders>
              <w:left w:val="nil"/>
              <w:right w:val="nil"/>
            </w:tcBorders>
            <w:shd w:val="clear" w:color="auto" w:fill="F1F1F1"/>
          </w:tcPr>
          <w:p w14:paraId="332BE1AE" w14:textId="77777777" w:rsidR="00AC6F3C" w:rsidRDefault="00570E88">
            <w:pPr>
              <w:pStyle w:val="TableParagraph"/>
              <w:spacing w:before="46"/>
              <w:ind w:left="1055"/>
              <w:rPr>
                <w:sz w:val="17"/>
              </w:rPr>
            </w:pPr>
            <w:r>
              <w:rPr>
                <w:spacing w:val="-2"/>
                <w:w w:val="105"/>
                <w:sz w:val="17"/>
              </w:rPr>
              <w:t>28,176</w:t>
            </w:r>
          </w:p>
        </w:tc>
        <w:tc>
          <w:tcPr>
            <w:tcW w:w="1640" w:type="dxa"/>
            <w:tcBorders>
              <w:left w:val="nil"/>
            </w:tcBorders>
          </w:tcPr>
          <w:p w14:paraId="357D8CFB" w14:textId="77777777" w:rsidR="00AC6F3C" w:rsidRDefault="00570E88">
            <w:pPr>
              <w:pStyle w:val="TableParagraph"/>
              <w:spacing w:before="46"/>
              <w:ind w:left="1040"/>
              <w:rPr>
                <w:sz w:val="17"/>
              </w:rPr>
            </w:pPr>
            <w:r>
              <w:rPr>
                <w:spacing w:val="-2"/>
                <w:w w:val="105"/>
                <w:sz w:val="17"/>
              </w:rPr>
              <w:t>27,370</w:t>
            </w:r>
          </w:p>
        </w:tc>
      </w:tr>
    </w:tbl>
    <w:p w14:paraId="1A052C82" w14:textId="77777777" w:rsidR="00AC6F3C" w:rsidRDefault="00AC6F3C">
      <w:pPr>
        <w:pStyle w:val="BodyText"/>
        <w:spacing w:before="1"/>
        <w:rPr>
          <w:sz w:val="21"/>
        </w:rPr>
      </w:pPr>
    </w:p>
    <w:p w14:paraId="5389272E" w14:textId="77777777" w:rsidR="00AC6F3C" w:rsidRDefault="00570E88">
      <w:pPr>
        <w:tabs>
          <w:tab w:val="left" w:pos="1700"/>
        </w:tabs>
        <w:ind w:left="979"/>
        <w:rPr>
          <w:b/>
          <w:sz w:val="28"/>
        </w:rPr>
      </w:pPr>
      <w:r>
        <w:rPr>
          <w:b/>
          <w:spacing w:val="-5"/>
          <w:sz w:val="28"/>
        </w:rPr>
        <w:t>C5</w:t>
      </w:r>
      <w:r>
        <w:rPr>
          <w:b/>
          <w:sz w:val="28"/>
        </w:rPr>
        <w:tab/>
      </w:r>
      <w:r>
        <w:rPr>
          <w:b/>
          <w:spacing w:val="-2"/>
          <w:sz w:val="28"/>
        </w:rPr>
        <w:t>PAYABLES</w:t>
      </w:r>
    </w:p>
    <w:p w14:paraId="4FB0F324" w14:textId="77777777" w:rsidR="00AC6F3C" w:rsidRDefault="00570E88">
      <w:pPr>
        <w:spacing w:before="242"/>
        <w:ind w:left="979"/>
        <w:rPr>
          <w:sz w:val="18"/>
        </w:rPr>
      </w:pPr>
      <w:r>
        <w:rPr>
          <w:sz w:val="18"/>
        </w:rPr>
        <w:t>Trade</w:t>
      </w:r>
      <w:r>
        <w:rPr>
          <w:spacing w:val="-3"/>
          <w:sz w:val="18"/>
        </w:rPr>
        <w:t xml:space="preserve"> </w:t>
      </w:r>
      <w:r>
        <w:rPr>
          <w:sz w:val="18"/>
        </w:rPr>
        <w:t>creditors are</w:t>
      </w:r>
      <w:r>
        <w:rPr>
          <w:spacing w:val="-3"/>
          <w:sz w:val="18"/>
        </w:rPr>
        <w:t xml:space="preserve"> </w:t>
      </w:r>
      <w:proofErr w:type="spellStart"/>
      <w:r>
        <w:rPr>
          <w:sz w:val="18"/>
        </w:rPr>
        <w:t>recognised</w:t>
      </w:r>
      <w:proofErr w:type="spellEnd"/>
      <w:r>
        <w:rPr>
          <w:spacing w:val="-3"/>
          <w:sz w:val="18"/>
        </w:rPr>
        <w:t xml:space="preserve"> </w:t>
      </w:r>
      <w:r>
        <w:rPr>
          <w:sz w:val="18"/>
        </w:rPr>
        <w:t>on receipt</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goods</w:t>
      </w:r>
      <w:r>
        <w:rPr>
          <w:spacing w:val="-2"/>
          <w:sz w:val="18"/>
        </w:rPr>
        <w:t xml:space="preserve"> </w:t>
      </w:r>
      <w:r>
        <w:rPr>
          <w:sz w:val="18"/>
        </w:rPr>
        <w:t>or</w:t>
      </w:r>
      <w:r>
        <w:rPr>
          <w:spacing w:val="-1"/>
          <w:sz w:val="18"/>
        </w:rPr>
        <w:t xml:space="preserve"> </w:t>
      </w:r>
      <w:r>
        <w:rPr>
          <w:sz w:val="18"/>
        </w:rPr>
        <w:t>services</w:t>
      </w:r>
      <w:r>
        <w:rPr>
          <w:spacing w:val="-2"/>
          <w:sz w:val="18"/>
        </w:rPr>
        <w:t xml:space="preserve"> </w:t>
      </w:r>
      <w:r>
        <w:rPr>
          <w:sz w:val="18"/>
        </w:rPr>
        <w:t>and</w:t>
      </w:r>
      <w:r>
        <w:rPr>
          <w:spacing w:val="-3"/>
          <w:sz w:val="18"/>
        </w:rPr>
        <w:t xml:space="preserve"> </w:t>
      </w:r>
      <w:r>
        <w:rPr>
          <w:sz w:val="18"/>
        </w:rPr>
        <w:t>are</w:t>
      </w:r>
      <w:r>
        <w:rPr>
          <w:spacing w:val="-3"/>
          <w:sz w:val="18"/>
        </w:rPr>
        <w:t xml:space="preserve"> </w:t>
      </w:r>
      <w:r>
        <w:rPr>
          <w:sz w:val="18"/>
        </w:rPr>
        <w:t>carried at</w:t>
      </w:r>
      <w:r>
        <w:rPr>
          <w:spacing w:val="-3"/>
          <w:sz w:val="18"/>
        </w:rPr>
        <w:t xml:space="preserve"> </w:t>
      </w:r>
      <w:r>
        <w:rPr>
          <w:sz w:val="18"/>
        </w:rPr>
        <w:t>actual</w:t>
      </w:r>
      <w:r>
        <w:rPr>
          <w:spacing w:val="-5"/>
          <w:sz w:val="18"/>
        </w:rPr>
        <w:t xml:space="preserve"> </w:t>
      </w:r>
      <w:r>
        <w:rPr>
          <w:sz w:val="18"/>
        </w:rPr>
        <w:t>amounts,</w:t>
      </w:r>
      <w:r>
        <w:rPr>
          <w:spacing w:val="-3"/>
          <w:sz w:val="18"/>
        </w:rPr>
        <w:t xml:space="preserve"> </w:t>
      </w:r>
      <w:r>
        <w:rPr>
          <w:sz w:val="18"/>
        </w:rPr>
        <w:t>gross</w:t>
      </w:r>
      <w:r>
        <w:rPr>
          <w:spacing w:val="-2"/>
          <w:sz w:val="18"/>
        </w:rPr>
        <w:t xml:space="preserve"> </w:t>
      </w:r>
      <w:r>
        <w:rPr>
          <w:sz w:val="18"/>
        </w:rPr>
        <w:t>of applicable trade and other discounts.</w:t>
      </w:r>
      <w:r>
        <w:rPr>
          <w:spacing w:val="40"/>
          <w:sz w:val="18"/>
        </w:rPr>
        <w:t xml:space="preserve"> </w:t>
      </w:r>
      <w:r>
        <w:rPr>
          <w:sz w:val="18"/>
        </w:rPr>
        <w:t>Amounts are unsecured and are generally settled on 30 day terms.</w:t>
      </w:r>
    </w:p>
    <w:p w14:paraId="526C8757" w14:textId="77777777" w:rsidR="00AC6F3C" w:rsidRDefault="00AC6F3C">
      <w:pPr>
        <w:pStyle w:val="BodyText"/>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5E46650B" w14:textId="77777777">
        <w:trPr>
          <w:trHeight w:val="549"/>
        </w:trPr>
        <w:tc>
          <w:tcPr>
            <w:tcW w:w="8715" w:type="dxa"/>
            <w:gridSpan w:val="3"/>
            <w:shd w:val="clear" w:color="auto" w:fill="BEBEBE"/>
          </w:tcPr>
          <w:p w14:paraId="2890F796"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5C770D4F"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44D48439" w14:textId="77777777">
        <w:trPr>
          <w:trHeight w:val="286"/>
        </w:trPr>
        <w:tc>
          <w:tcPr>
            <w:tcW w:w="5413" w:type="dxa"/>
            <w:tcBorders>
              <w:bottom w:val="nil"/>
              <w:right w:val="nil"/>
            </w:tcBorders>
          </w:tcPr>
          <w:p w14:paraId="4D9F2C90" w14:textId="77777777" w:rsidR="00AC6F3C" w:rsidRDefault="00570E88">
            <w:pPr>
              <w:pStyle w:val="TableParagraph"/>
              <w:spacing w:before="39"/>
              <w:ind w:left="37"/>
              <w:rPr>
                <w:sz w:val="18"/>
              </w:rPr>
            </w:pPr>
            <w:r>
              <w:rPr>
                <w:sz w:val="18"/>
              </w:rPr>
              <w:t>Amounts</w:t>
            </w:r>
            <w:r>
              <w:rPr>
                <w:spacing w:val="5"/>
                <w:sz w:val="18"/>
              </w:rPr>
              <w:t xml:space="preserve"> </w:t>
            </w:r>
            <w:r>
              <w:rPr>
                <w:sz w:val="18"/>
              </w:rPr>
              <w:t>payable</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pacing w:val="-2"/>
                <w:sz w:val="18"/>
              </w:rPr>
              <w:t>Society</w:t>
            </w:r>
          </w:p>
        </w:tc>
        <w:tc>
          <w:tcPr>
            <w:tcW w:w="1662" w:type="dxa"/>
            <w:tcBorders>
              <w:left w:val="nil"/>
              <w:bottom w:val="nil"/>
              <w:right w:val="nil"/>
            </w:tcBorders>
            <w:shd w:val="clear" w:color="auto" w:fill="F1F1F1"/>
          </w:tcPr>
          <w:p w14:paraId="6E7D7AC8" w14:textId="77777777" w:rsidR="00AC6F3C" w:rsidRDefault="00570E88">
            <w:pPr>
              <w:pStyle w:val="TableParagraph"/>
              <w:spacing w:before="39"/>
              <w:ind w:right="35"/>
              <w:jc w:val="right"/>
              <w:rPr>
                <w:sz w:val="18"/>
              </w:rPr>
            </w:pPr>
            <w:r>
              <w:rPr>
                <w:w w:val="99"/>
                <w:sz w:val="18"/>
              </w:rPr>
              <w:t>-</w:t>
            </w:r>
          </w:p>
        </w:tc>
        <w:tc>
          <w:tcPr>
            <w:tcW w:w="1640" w:type="dxa"/>
            <w:tcBorders>
              <w:left w:val="nil"/>
              <w:bottom w:val="nil"/>
            </w:tcBorders>
          </w:tcPr>
          <w:p w14:paraId="5EDC4F21" w14:textId="77777777" w:rsidR="00AC6F3C" w:rsidRDefault="00570E88">
            <w:pPr>
              <w:pStyle w:val="TableParagraph"/>
              <w:spacing w:before="39"/>
              <w:ind w:right="25"/>
              <w:jc w:val="right"/>
              <w:rPr>
                <w:sz w:val="18"/>
              </w:rPr>
            </w:pPr>
            <w:r>
              <w:rPr>
                <w:w w:val="99"/>
                <w:sz w:val="18"/>
              </w:rPr>
              <w:t>1</w:t>
            </w:r>
          </w:p>
        </w:tc>
      </w:tr>
      <w:tr w:rsidR="00AC6F3C" w14:paraId="5293B858" w14:textId="77777777">
        <w:trPr>
          <w:trHeight w:val="262"/>
        </w:trPr>
        <w:tc>
          <w:tcPr>
            <w:tcW w:w="5413" w:type="dxa"/>
            <w:tcBorders>
              <w:top w:val="nil"/>
              <w:right w:val="nil"/>
            </w:tcBorders>
          </w:tcPr>
          <w:p w14:paraId="27E15361" w14:textId="77777777" w:rsidR="00AC6F3C" w:rsidRDefault="00570E88">
            <w:pPr>
              <w:pStyle w:val="TableParagraph"/>
              <w:spacing w:before="34"/>
              <w:ind w:left="37"/>
              <w:rPr>
                <w:sz w:val="18"/>
              </w:rPr>
            </w:pPr>
            <w:r>
              <w:rPr>
                <w:sz w:val="18"/>
              </w:rPr>
              <w:t>Other</w:t>
            </w:r>
            <w:r>
              <w:rPr>
                <w:spacing w:val="-6"/>
                <w:sz w:val="18"/>
              </w:rPr>
              <w:t xml:space="preserve"> </w:t>
            </w:r>
            <w:r>
              <w:rPr>
                <w:sz w:val="18"/>
              </w:rPr>
              <w:t>payables</w:t>
            </w:r>
            <w:r>
              <w:rPr>
                <w:spacing w:val="9"/>
                <w:sz w:val="18"/>
              </w:rPr>
              <w:t xml:space="preserve"> </w:t>
            </w:r>
            <w:r>
              <w:rPr>
                <w:sz w:val="18"/>
              </w:rPr>
              <w:t xml:space="preserve">and </w:t>
            </w:r>
            <w:r>
              <w:rPr>
                <w:spacing w:val="-2"/>
                <w:sz w:val="18"/>
              </w:rPr>
              <w:t>accruals</w:t>
            </w:r>
          </w:p>
        </w:tc>
        <w:tc>
          <w:tcPr>
            <w:tcW w:w="1662" w:type="dxa"/>
            <w:tcBorders>
              <w:top w:val="nil"/>
              <w:left w:val="nil"/>
              <w:right w:val="nil"/>
            </w:tcBorders>
            <w:shd w:val="clear" w:color="auto" w:fill="F1F1F1"/>
          </w:tcPr>
          <w:p w14:paraId="0A486D75" w14:textId="77777777" w:rsidR="00AC6F3C" w:rsidRDefault="00570E88">
            <w:pPr>
              <w:pStyle w:val="TableParagraph"/>
              <w:spacing w:before="34"/>
              <w:ind w:right="35"/>
              <w:jc w:val="right"/>
              <w:rPr>
                <w:sz w:val="18"/>
              </w:rPr>
            </w:pPr>
            <w:r>
              <w:rPr>
                <w:spacing w:val="-5"/>
                <w:sz w:val="18"/>
              </w:rPr>
              <w:t>46</w:t>
            </w:r>
          </w:p>
        </w:tc>
        <w:tc>
          <w:tcPr>
            <w:tcW w:w="1640" w:type="dxa"/>
            <w:tcBorders>
              <w:top w:val="nil"/>
              <w:left w:val="nil"/>
            </w:tcBorders>
          </w:tcPr>
          <w:p w14:paraId="179BE458" w14:textId="77777777" w:rsidR="00AC6F3C" w:rsidRDefault="00570E88">
            <w:pPr>
              <w:pStyle w:val="TableParagraph"/>
              <w:spacing w:before="34"/>
              <w:ind w:right="21"/>
              <w:jc w:val="right"/>
              <w:rPr>
                <w:sz w:val="18"/>
              </w:rPr>
            </w:pPr>
            <w:r>
              <w:rPr>
                <w:spacing w:val="-5"/>
                <w:sz w:val="18"/>
              </w:rPr>
              <w:t>39</w:t>
            </w:r>
          </w:p>
        </w:tc>
      </w:tr>
      <w:tr w:rsidR="00AC6F3C" w14:paraId="20860933" w14:textId="77777777">
        <w:trPr>
          <w:trHeight w:val="267"/>
        </w:trPr>
        <w:tc>
          <w:tcPr>
            <w:tcW w:w="5413" w:type="dxa"/>
            <w:tcBorders>
              <w:right w:val="nil"/>
            </w:tcBorders>
            <w:shd w:val="clear" w:color="auto" w:fill="BEBEBE"/>
          </w:tcPr>
          <w:p w14:paraId="0813E08A" w14:textId="77777777" w:rsidR="00AC6F3C" w:rsidRDefault="00570E88">
            <w:pPr>
              <w:pStyle w:val="TableParagraph"/>
              <w:spacing w:before="53" w:line="193" w:lineRule="exact"/>
              <w:ind w:left="37"/>
              <w:rPr>
                <w:b/>
                <w:sz w:val="18"/>
              </w:rPr>
            </w:pPr>
            <w:r>
              <w:rPr>
                <w:b/>
                <w:spacing w:val="-4"/>
                <w:sz w:val="18"/>
              </w:rPr>
              <w:t xml:space="preserve">Total </w:t>
            </w:r>
            <w:r>
              <w:rPr>
                <w:b/>
                <w:spacing w:val="-2"/>
                <w:sz w:val="18"/>
              </w:rPr>
              <w:t>payables</w:t>
            </w:r>
          </w:p>
        </w:tc>
        <w:tc>
          <w:tcPr>
            <w:tcW w:w="1662" w:type="dxa"/>
            <w:tcBorders>
              <w:left w:val="nil"/>
              <w:right w:val="nil"/>
            </w:tcBorders>
            <w:shd w:val="clear" w:color="auto" w:fill="BEBEBE"/>
          </w:tcPr>
          <w:p w14:paraId="7D99B611" w14:textId="77777777" w:rsidR="00AC6F3C" w:rsidRDefault="00570E88">
            <w:pPr>
              <w:pStyle w:val="TableParagraph"/>
              <w:spacing w:before="53" w:line="193" w:lineRule="exact"/>
              <w:ind w:right="35"/>
              <w:jc w:val="right"/>
              <w:rPr>
                <w:b/>
                <w:sz w:val="18"/>
              </w:rPr>
            </w:pPr>
            <w:r>
              <w:rPr>
                <w:b/>
                <w:spacing w:val="-5"/>
                <w:sz w:val="18"/>
              </w:rPr>
              <w:t>46</w:t>
            </w:r>
          </w:p>
        </w:tc>
        <w:tc>
          <w:tcPr>
            <w:tcW w:w="1640" w:type="dxa"/>
            <w:tcBorders>
              <w:left w:val="nil"/>
            </w:tcBorders>
            <w:shd w:val="clear" w:color="auto" w:fill="BEBEBE"/>
          </w:tcPr>
          <w:p w14:paraId="0CEAA343" w14:textId="77777777" w:rsidR="00AC6F3C" w:rsidRDefault="00570E88">
            <w:pPr>
              <w:pStyle w:val="TableParagraph"/>
              <w:spacing w:before="53" w:line="193" w:lineRule="exact"/>
              <w:ind w:right="21"/>
              <w:jc w:val="right"/>
              <w:rPr>
                <w:b/>
                <w:sz w:val="18"/>
              </w:rPr>
            </w:pPr>
            <w:r>
              <w:rPr>
                <w:b/>
                <w:spacing w:val="-5"/>
                <w:sz w:val="18"/>
              </w:rPr>
              <w:t>40</w:t>
            </w:r>
          </w:p>
        </w:tc>
      </w:tr>
    </w:tbl>
    <w:p w14:paraId="511BA46C" w14:textId="77777777" w:rsidR="00AC6F3C" w:rsidRDefault="00AC6F3C">
      <w:pPr>
        <w:pStyle w:val="BodyText"/>
        <w:spacing w:before="3"/>
        <w:rPr>
          <w:sz w:val="21"/>
        </w:rPr>
      </w:pPr>
    </w:p>
    <w:p w14:paraId="2C7F943C" w14:textId="77777777" w:rsidR="00AC6F3C" w:rsidRDefault="00570E88">
      <w:pPr>
        <w:tabs>
          <w:tab w:val="left" w:pos="1700"/>
        </w:tabs>
        <w:ind w:left="979"/>
        <w:rPr>
          <w:b/>
          <w:sz w:val="28"/>
        </w:rPr>
      </w:pPr>
      <w:r>
        <w:rPr>
          <w:b/>
          <w:spacing w:val="-5"/>
          <w:sz w:val="28"/>
        </w:rPr>
        <w:t>D1</w:t>
      </w:r>
      <w:r>
        <w:rPr>
          <w:b/>
          <w:sz w:val="28"/>
        </w:rPr>
        <w:tab/>
      </w:r>
      <w:r>
        <w:rPr>
          <w:b/>
          <w:spacing w:val="-2"/>
          <w:sz w:val="28"/>
        </w:rPr>
        <w:t>CRITICAL</w:t>
      </w:r>
      <w:r>
        <w:rPr>
          <w:b/>
          <w:spacing w:val="-18"/>
          <w:sz w:val="28"/>
        </w:rPr>
        <w:t xml:space="preserve"> </w:t>
      </w:r>
      <w:r>
        <w:rPr>
          <w:b/>
          <w:spacing w:val="-2"/>
          <w:sz w:val="28"/>
        </w:rPr>
        <w:t>ACCOUNTING</w:t>
      </w:r>
      <w:r>
        <w:rPr>
          <w:b/>
          <w:spacing w:val="3"/>
          <w:sz w:val="28"/>
        </w:rPr>
        <w:t xml:space="preserve"> </w:t>
      </w:r>
      <w:r>
        <w:rPr>
          <w:b/>
          <w:spacing w:val="-2"/>
          <w:sz w:val="28"/>
        </w:rPr>
        <w:t>ESTIMATES</w:t>
      </w:r>
      <w:r>
        <w:rPr>
          <w:b/>
          <w:spacing w:val="-9"/>
          <w:sz w:val="28"/>
        </w:rPr>
        <w:t xml:space="preserve"> </w:t>
      </w:r>
      <w:r>
        <w:rPr>
          <w:b/>
          <w:spacing w:val="-2"/>
          <w:sz w:val="28"/>
        </w:rPr>
        <w:t>AND</w:t>
      </w:r>
      <w:r>
        <w:rPr>
          <w:b/>
          <w:spacing w:val="2"/>
          <w:sz w:val="28"/>
        </w:rPr>
        <w:t xml:space="preserve"> </w:t>
      </w:r>
      <w:r>
        <w:rPr>
          <w:b/>
          <w:spacing w:val="-2"/>
          <w:sz w:val="28"/>
        </w:rPr>
        <w:t>JUDGEMENTS</w:t>
      </w:r>
    </w:p>
    <w:p w14:paraId="356682D6" w14:textId="77777777" w:rsidR="00AC6F3C" w:rsidRDefault="00570E88">
      <w:pPr>
        <w:spacing w:before="240"/>
        <w:ind w:left="979" w:right="468"/>
        <w:rPr>
          <w:sz w:val="18"/>
        </w:rPr>
      </w:pPr>
      <w:r>
        <w:rPr>
          <w:sz w:val="18"/>
        </w:rPr>
        <w:t>The</w:t>
      </w:r>
      <w:r>
        <w:rPr>
          <w:spacing w:val="-1"/>
          <w:sz w:val="18"/>
        </w:rPr>
        <w:t xml:space="preserve"> </w:t>
      </w:r>
      <w:r>
        <w:rPr>
          <w:sz w:val="18"/>
        </w:rPr>
        <w:t>Fund</w:t>
      </w:r>
      <w:r>
        <w:rPr>
          <w:spacing w:val="-1"/>
          <w:sz w:val="18"/>
        </w:rPr>
        <w:t xml:space="preserve"> </w:t>
      </w:r>
      <w:r>
        <w:rPr>
          <w:sz w:val="18"/>
        </w:rPr>
        <w:t>has</w:t>
      </w:r>
      <w:r>
        <w:rPr>
          <w:spacing w:val="-3"/>
          <w:sz w:val="18"/>
        </w:rPr>
        <w:t xml:space="preserve"> </w:t>
      </w:r>
      <w:r>
        <w:rPr>
          <w:sz w:val="18"/>
        </w:rPr>
        <w:t>made</w:t>
      </w:r>
      <w:r>
        <w:rPr>
          <w:spacing w:val="-1"/>
          <w:sz w:val="18"/>
        </w:rPr>
        <w:t xml:space="preserve"> </w:t>
      </w:r>
      <w:r>
        <w:rPr>
          <w:sz w:val="18"/>
        </w:rPr>
        <w:t>no</w:t>
      </w:r>
      <w:r>
        <w:rPr>
          <w:spacing w:val="-4"/>
          <w:sz w:val="18"/>
        </w:rPr>
        <w:t xml:space="preserve"> </w:t>
      </w:r>
      <w:r>
        <w:rPr>
          <w:sz w:val="18"/>
        </w:rPr>
        <w:t>judgements</w:t>
      </w:r>
      <w:r>
        <w:rPr>
          <w:spacing w:val="-1"/>
          <w:sz w:val="18"/>
        </w:rPr>
        <w:t xml:space="preserve"> </w:t>
      </w:r>
      <w:r>
        <w:rPr>
          <w:sz w:val="18"/>
        </w:rPr>
        <w:t>or</w:t>
      </w:r>
      <w:r>
        <w:rPr>
          <w:spacing w:val="-4"/>
          <w:sz w:val="18"/>
        </w:rPr>
        <w:t xml:space="preserve"> </w:t>
      </w:r>
      <w:r>
        <w:rPr>
          <w:sz w:val="18"/>
        </w:rPr>
        <w:t>assumptions</w:t>
      </w:r>
      <w:r>
        <w:rPr>
          <w:spacing w:val="-1"/>
          <w:sz w:val="18"/>
        </w:rPr>
        <w:t xml:space="preserve"> </w:t>
      </w:r>
      <w:r>
        <w:rPr>
          <w:sz w:val="18"/>
        </w:rPr>
        <w:t>which</w:t>
      </w:r>
      <w:r>
        <w:rPr>
          <w:spacing w:val="-4"/>
          <w:sz w:val="18"/>
        </w:rPr>
        <w:t xml:space="preserve"> </w:t>
      </w:r>
      <w:r>
        <w:rPr>
          <w:sz w:val="18"/>
        </w:rPr>
        <w:t>may</w:t>
      </w:r>
      <w:r>
        <w:rPr>
          <w:spacing w:val="-3"/>
          <w:sz w:val="18"/>
        </w:rPr>
        <w:t xml:space="preserve"> </w:t>
      </w:r>
      <w:r>
        <w:rPr>
          <w:sz w:val="18"/>
        </w:rPr>
        <w:t>cause</w:t>
      </w:r>
      <w:r>
        <w:rPr>
          <w:spacing w:val="-4"/>
          <w:sz w:val="18"/>
        </w:rPr>
        <w:t xml:space="preserve"> </w:t>
      </w:r>
      <w:r>
        <w:rPr>
          <w:sz w:val="18"/>
        </w:rPr>
        <w:t>a</w:t>
      </w:r>
      <w:r>
        <w:rPr>
          <w:spacing w:val="-1"/>
          <w:sz w:val="18"/>
        </w:rPr>
        <w:t xml:space="preserve"> </w:t>
      </w:r>
      <w:r>
        <w:rPr>
          <w:sz w:val="18"/>
        </w:rPr>
        <w:t>material</w:t>
      </w:r>
      <w:r>
        <w:rPr>
          <w:spacing w:val="-4"/>
          <w:sz w:val="18"/>
        </w:rPr>
        <w:t xml:space="preserve"> </w:t>
      </w:r>
      <w:r>
        <w:rPr>
          <w:sz w:val="18"/>
        </w:rPr>
        <w:t>adjustment</w:t>
      </w:r>
      <w:r>
        <w:rPr>
          <w:spacing w:val="-2"/>
          <w:sz w:val="18"/>
        </w:rPr>
        <w:t xml:space="preserve"> </w:t>
      </w:r>
      <w:r>
        <w:rPr>
          <w:sz w:val="18"/>
        </w:rPr>
        <w:t>to</w:t>
      </w:r>
      <w:r>
        <w:rPr>
          <w:spacing w:val="-4"/>
          <w:sz w:val="18"/>
        </w:rPr>
        <w:t xml:space="preserve"> </w:t>
      </w:r>
      <w:r>
        <w:rPr>
          <w:sz w:val="18"/>
        </w:rPr>
        <w:t>the</w:t>
      </w:r>
      <w:r>
        <w:rPr>
          <w:spacing w:val="-4"/>
          <w:sz w:val="18"/>
        </w:rPr>
        <w:t xml:space="preserve"> </w:t>
      </w:r>
      <w:r>
        <w:rPr>
          <w:sz w:val="18"/>
        </w:rPr>
        <w:t>carrying amounts of assets and liabilities within the next reporting period.</w:t>
      </w:r>
    </w:p>
    <w:p w14:paraId="38B618B2" w14:textId="77777777" w:rsidR="00AC6F3C" w:rsidRDefault="00AC6F3C">
      <w:pPr>
        <w:pStyle w:val="BodyText"/>
      </w:pPr>
    </w:p>
    <w:p w14:paraId="3CDE2D0C" w14:textId="77777777" w:rsidR="00AC6F3C" w:rsidRDefault="00AC6F3C">
      <w:pPr>
        <w:pStyle w:val="BodyText"/>
        <w:spacing w:before="10"/>
        <w:rPr>
          <w:sz w:val="18"/>
        </w:rPr>
      </w:pPr>
    </w:p>
    <w:p w14:paraId="3272EAAB" w14:textId="77777777" w:rsidR="00AC6F3C" w:rsidRDefault="00570E88">
      <w:pPr>
        <w:tabs>
          <w:tab w:val="left" w:pos="1700"/>
        </w:tabs>
        <w:ind w:left="1700" w:right="1975" w:hanging="721"/>
        <w:rPr>
          <w:b/>
          <w:sz w:val="28"/>
        </w:rPr>
      </w:pPr>
      <w:r>
        <w:rPr>
          <w:b/>
          <w:spacing w:val="-6"/>
          <w:sz w:val="28"/>
        </w:rPr>
        <w:t>D2</w:t>
      </w:r>
      <w:r>
        <w:rPr>
          <w:b/>
          <w:sz w:val="28"/>
        </w:rPr>
        <w:tab/>
        <w:t>FINANCIAL</w:t>
      </w:r>
      <w:r>
        <w:rPr>
          <w:b/>
          <w:spacing w:val="-14"/>
          <w:sz w:val="28"/>
        </w:rPr>
        <w:t xml:space="preserve"> </w:t>
      </w:r>
      <w:r>
        <w:rPr>
          <w:b/>
          <w:sz w:val="28"/>
        </w:rPr>
        <w:t>INSTRUMENTS</w:t>
      </w:r>
      <w:r>
        <w:rPr>
          <w:b/>
          <w:spacing w:val="-18"/>
          <w:sz w:val="28"/>
        </w:rPr>
        <w:t xml:space="preserve"> </w:t>
      </w:r>
      <w:r>
        <w:rPr>
          <w:b/>
          <w:sz w:val="28"/>
        </w:rPr>
        <w:t>AND</w:t>
      </w:r>
      <w:r>
        <w:rPr>
          <w:b/>
          <w:spacing w:val="-8"/>
          <w:sz w:val="28"/>
        </w:rPr>
        <w:t xml:space="preserve"> </w:t>
      </w:r>
      <w:r>
        <w:rPr>
          <w:b/>
          <w:sz w:val="28"/>
        </w:rPr>
        <w:t>FINANCIAL</w:t>
      </w:r>
      <w:r>
        <w:rPr>
          <w:b/>
          <w:spacing w:val="-14"/>
          <w:sz w:val="28"/>
        </w:rPr>
        <w:t xml:space="preserve"> </w:t>
      </w:r>
      <w:r>
        <w:rPr>
          <w:b/>
          <w:sz w:val="28"/>
        </w:rPr>
        <w:t xml:space="preserve">RISK </w:t>
      </w:r>
      <w:r>
        <w:rPr>
          <w:b/>
          <w:spacing w:val="-2"/>
          <w:sz w:val="28"/>
        </w:rPr>
        <w:t>MANAGEMENT</w:t>
      </w:r>
    </w:p>
    <w:p w14:paraId="7DA17CA2" w14:textId="77777777" w:rsidR="00AC6F3C" w:rsidRDefault="00570E88">
      <w:pPr>
        <w:spacing w:before="240"/>
        <w:ind w:left="979"/>
        <w:rPr>
          <w:b/>
          <w:sz w:val="18"/>
        </w:rPr>
      </w:pPr>
      <w:r>
        <w:rPr>
          <w:b/>
          <w:sz w:val="18"/>
        </w:rPr>
        <w:t>Recognition</w:t>
      </w:r>
      <w:r>
        <w:rPr>
          <w:b/>
          <w:spacing w:val="-3"/>
          <w:sz w:val="18"/>
        </w:rPr>
        <w:t xml:space="preserve"> </w:t>
      </w:r>
      <w:r>
        <w:rPr>
          <w:b/>
          <w:sz w:val="18"/>
        </w:rPr>
        <w:t>of</w:t>
      </w:r>
      <w:r>
        <w:rPr>
          <w:b/>
          <w:spacing w:val="-2"/>
          <w:sz w:val="18"/>
        </w:rPr>
        <w:t xml:space="preserve"> </w:t>
      </w:r>
      <w:r>
        <w:rPr>
          <w:b/>
          <w:sz w:val="18"/>
        </w:rPr>
        <w:t>Financial</w:t>
      </w:r>
      <w:r>
        <w:rPr>
          <w:b/>
          <w:spacing w:val="-2"/>
          <w:sz w:val="18"/>
        </w:rPr>
        <w:t xml:space="preserve"> Instruments</w:t>
      </w:r>
    </w:p>
    <w:p w14:paraId="37373CE0" w14:textId="77777777" w:rsidR="00AC6F3C" w:rsidRDefault="00AC6F3C">
      <w:pPr>
        <w:pStyle w:val="BodyText"/>
        <w:spacing w:before="10"/>
        <w:rPr>
          <w:b/>
          <w:sz w:val="17"/>
        </w:rPr>
      </w:pPr>
    </w:p>
    <w:p w14:paraId="5D27381D" w14:textId="77777777" w:rsidR="00AC6F3C" w:rsidRDefault="00570E88">
      <w:pPr>
        <w:ind w:left="980" w:right="468"/>
        <w:rPr>
          <w:sz w:val="18"/>
        </w:rPr>
      </w:pPr>
      <w:r>
        <w:rPr>
          <w:sz w:val="18"/>
        </w:rPr>
        <w:t>Financial</w:t>
      </w:r>
      <w:r>
        <w:rPr>
          <w:spacing w:val="-1"/>
          <w:sz w:val="18"/>
        </w:rPr>
        <w:t xml:space="preserve"> </w:t>
      </w:r>
      <w:r>
        <w:rPr>
          <w:sz w:val="18"/>
        </w:rPr>
        <w:t>assets</w:t>
      </w:r>
      <w:r>
        <w:rPr>
          <w:spacing w:val="-3"/>
          <w:sz w:val="18"/>
        </w:rPr>
        <w:t xml:space="preserve"> </w:t>
      </w:r>
      <w:r>
        <w:rPr>
          <w:sz w:val="18"/>
        </w:rPr>
        <w:t>and</w:t>
      </w:r>
      <w:r>
        <w:rPr>
          <w:spacing w:val="-4"/>
          <w:sz w:val="18"/>
        </w:rPr>
        <w:t xml:space="preserve"> </w:t>
      </w:r>
      <w:r>
        <w:rPr>
          <w:sz w:val="18"/>
        </w:rPr>
        <w:t>financial</w:t>
      </w:r>
      <w:r>
        <w:rPr>
          <w:spacing w:val="-4"/>
          <w:sz w:val="18"/>
        </w:rPr>
        <w:t xml:space="preserve"> </w:t>
      </w:r>
      <w:r>
        <w:rPr>
          <w:sz w:val="18"/>
        </w:rPr>
        <w:t>liabilities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1"/>
          <w:sz w:val="18"/>
        </w:rPr>
        <w:t xml:space="preserve"> </w:t>
      </w:r>
      <w:r>
        <w:rPr>
          <w:sz w:val="18"/>
        </w:rPr>
        <w:t>when</w:t>
      </w:r>
      <w:r>
        <w:rPr>
          <w:spacing w:val="-1"/>
          <w:sz w:val="18"/>
        </w:rPr>
        <w:t xml:space="preserve"> </w:t>
      </w:r>
      <w:r>
        <w:rPr>
          <w:sz w:val="18"/>
        </w:rPr>
        <w:t>the</w:t>
      </w:r>
      <w:r>
        <w:rPr>
          <w:spacing w:val="-1"/>
          <w:sz w:val="18"/>
        </w:rPr>
        <w:t xml:space="preserve"> </w:t>
      </w:r>
      <w:r>
        <w:rPr>
          <w:sz w:val="18"/>
        </w:rPr>
        <w:t>Fund becomes party to the contractual provisions of the financial instrument.</w:t>
      </w:r>
    </w:p>
    <w:p w14:paraId="44A0891A" w14:textId="77777777" w:rsidR="00AC6F3C" w:rsidRDefault="00AC6F3C">
      <w:pPr>
        <w:pStyle w:val="BodyText"/>
        <w:rPr>
          <w:sz w:val="21"/>
        </w:rPr>
      </w:pPr>
    </w:p>
    <w:p w14:paraId="5DB878BE" w14:textId="77777777" w:rsidR="00AC6F3C" w:rsidRDefault="00570E88">
      <w:pPr>
        <w:ind w:left="980"/>
        <w:rPr>
          <w:b/>
          <w:sz w:val="18"/>
        </w:rPr>
      </w:pPr>
      <w:r>
        <w:rPr>
          <w:b/>
          <w:sz w:val="18"/>
        </w:rPr>
        <w:t>Classification</w:t>
      </w:r>
      <w:r>
        <w:rPr>
          <w:b/>
          <w:spacing w:val="-5"/>
          <w:sz w:val="18"/>
        </w:rPr>
        <w:t xml:space="preserve"> </w:t>
      </w:r>
      <w:r>
        <w:rPr>
          <w:b/>
          <w:sz w:val="18"/>
        </w:rPr>
        <w:t>of</w:t>
      </w:r>
      <w:r>
        <w:rPr>
          <w:b/>
          <w:spacing w:val="-3"/>
          <w:sz w:val="18"/>
        </w:rPr>
        <w:t xml:space="preserve"> </w:t>
      </w:r>
      <w:r>
        <w:rPr>
          <w:b/>
          <w:sz w:val="18"/>
        </w:rPr>
        <w:t>Financial</w:t>
      </w:r>
      <w:r>
        <w:rPr>
          <w:b/>
          <w:spacing w:val="-2"/>
          <w:sz w:val="18"/>
        </w:rPr>
        <w:t xml:space="preserve"> Instruments</w:t>
      </w:r>
    </w:p>
    <w:p w14:paraId="08FD0A1C" w14:textId="77777777" w:rsidR="00AC6F3C" w:rsidRDefault="00AC6F3C">
      <w:pPr>
        <w:pStyle w:val="BodyText"/>
        <w:spacing w:before="10"/>
        <w:rPr>
          <w:b/>
          <w:sz w:val="17"/>
        </w:rPr>
      </w:pPr>
    </w:p>
    <w:p w14:paraId="6E799C07" w14:textId="77777777" w:rsidR="00AC6F3C" w:rsidRDefault="00570E88">
      <w:pPr>
        <w:ind w:left="980"/>
        <w:rPr>
          <w:sz w:val="18"/>
        </w:rPr>
      </w:pPr>
      <w:r>
        <w:rPr>
          <w:sz w:val="18"/>
        </w:rPr>
        <w:t>Financial</w:t>
      </w:r>
      <w:r>
        <w:rPr>
          <w:spacing w:val="-3"/>
          <w:sz w:val="18"/>
        </w:rPr>
        <w:t xml:space="preserve"> </w:t>
      </w:r>
      <w:r>
        <w:rPr>
          <w:sz w:val="18"/>
        </w:rPr>
        <w:t>instruments</w:t>
      </w:r>
      <w:r>
        <w:rPr>
          <w:spacing w:val="-3"/>
          <w:sz w:val="18"/>
        </w:rPr>
        <w:t xml:space="preserve"> </w:t>
      </w:r>
      <w:r>
        <w:rPr>
          <w:sz w:val="18"/>
        </w:rPr>
        <w:t>are</w:t>
      </w:r>
      <w:r>
        <w:rPr>
          <w:spacing w:val="-5"/>
          <w:sz w:val="18"/>
        </w:rPr>
        <w:t xml:space="preserve"> </w:t>
      </w:r>
      <w:r>
        <w:rPr>
          <w:sz w:val="18"/>
        </w:rPr>
        <w:t>classified</w:t>
      </w:r>
      <w:r>
        <w:rPr>
          <w:spacing w:val="-2"/>
          <w:sz w:val="18"/>
        </w:rPr>
        <w:t xml:space="preserve"> </w:t>
      </w:r>
      <w:r>
        <w:rPr>
          <w:sz w:val="18"/>
        </w:rPr>
        <w:t>as</w:t>
      </w:r>
      <w:r>
        <w:rPr>
          <w:spacing w:val="-2"/>
          <w:sz w:val="18"/>
        </w:rPr>
        <w:t xml:space="preserve"> follows:</w:t>
      </w:r>
    </w:p>
    <w:p w14:paraId="4A6399CD" w14:textId="77777777" w:rsidR="00AC6F3C" w:rsidRDefault="00570E88">
      <w:pPr>
        <w:pStyle w:val="ListParagraph"/>
        <w:numPr>
          <w:ilvl w:val="0"/>
          <w:numId w:val="17"/>
        </w:numPr>
        <w:tabs>
          <w:tab w:val="left" w:pos="1339"/>
        </w:tabs>
        <w:spacing w:before="122"/>
        <w:rPr>
          <w:sz w:val="18"/>
        </w:rPr>
      </w:pPr>
      <w:r>
        <w:rPr>
          <w:sz w:val="18"/>
        </w:rPr>
        <w:t>Cash</w:t>
      </w:r>
      <w:r>
        <w:rPr>
          <w:spacing w:val="-2"/>
          <w:sz w:val="18"/>
        </w:rPr>
        <w:t xml:space="preserve"> </w:t>
      </w:r>
      <w:r>
        <w:rPr>
          <w:sz w:val="18"/>
        </w:rPr>
        <w:t>and</w:t>
      </w:r>
      <w:r>
        <w:rPr>
          <w:spacing w:val="-4"/>
          <w:sz w:val="18"/>
        </w:rPr>
        <w:t xml:space="preserve"> </w:t>
      </w:r>
      <w:r>
        <w:rPr>
          <w:sz w:val="18"/>
        </w:rPr>
        <w:t>cash</w:t>
      </w:r>
      <w:r>
        <w:rPr>
          <w:spacing w:val="-1"/>
          <w:sz w:val="18"/>
        </w:rPr>
        <w:t xml:space="preserve"> </w:t>
      </w:r>
      <w:r>
        <w:rPr>
          <w:sz w:val="18"/>
        </w:rPr>
        <w:t>equivalents</w:t>
      </w:r>
      <w:r>
        <w:rPr>
          <w:spacing w:val="-4"/>
          <w:sz w:val="18"/>
        </w:rPr>
        <w:t xml:space="preserve"> </w:t>
      </w:r>
      <w:r>
        <w:rPr>
          <w:sz w:val="18"/>
        </w:rPr>
        <w:t>(see</w:t>
      </w:r>
      <w:r>
        <w:rPr>
          <w:spacing w:val="-1"/>
          <w:sz w:val="18"/>
        </w:rPr>
        <w:t xml:space="preserve"> </w:t>
      </w:r>
      <w:r>
        <w:rPr>
          <w:sz w:val="18"/>
        </w:rPr>
        <w:t>note</w:t>
      </w:r>
      <w:r>
        <w:rPr>
          <w:spacing w:val="-1"/>
          <w:sz w:val="18"/>
        </w:rPr>
        <w:t xml:space="preserve"> </w:t>
      </w:r>
      <w:r>
        <w:rPr>
          <w:spacing w:val="-5"/>
          <w:sz w:val="18"/>
        </w:rPr>
        <w:t>C1)</w:t>
      </w:r>
    </w:p>
    <w:p w14:paraId="6A101E9E" w14:textId="77777777" w:rsidR="00AC6F3C" w:rsidRDefault="00570E88">
      <w:pPr>
        <w:pStyle w:val="ListParagraph"/>
        <w:numPr>
          <w:ilvl w:val="0"/>
          <w:numId w:val="17"/>
        </w:numPr>
        <w:tabs>
          <w:tab w:val="left" w:pos="1337"/>
        </w:tabs>
        <w:spacing w:before="29"/>
        <w:ind w:left="1337" w:hanging="358"/>
        <w:rPr>
          <w:sz w:val="18"/>
        </w:rPr>
      </w:pPr>
      <w:r>
        <w:rPr>
          <w:sz w:val="18"/>
        </w:rPr>
        <w:t>Receivables</w:t>
      </w:r>
      <w:r>
        <w:rPr>
          <w:spacing w:val="-3"/>
          <w:sz w:val="18"/>
        </w:rPr>
        <w:t xml:space="preserve"> </w:t>
      </w:r>
      <w:r>
        <w:rPr>
          <w:sz w:val="18"/>
        </w:rPr>
        <w:t>–</w:t>
      </w:r>
      <w:r>
        <w:rPr>
          <w:spacing w:val="-1"/>
          <w:sz w:val="18"/>
        </w:rPr>
        <w:t xml:space="preserve"> </w:t>
      </w:r>
      <w:r>
        <w:rPr>
          <w:sz w:val="18"/>
        </w:rPr>
        <w:t>held</w:t>
      </w:r>
      <w:r>
        <w:rPr>
          <w:spacing w:val="-4"/>
          <w:sz w:val="18"/>
        </w:rPr>
        <w:t xml:space="preserve"> </w:t>
      </w:r>
      <w:r>
        <w:rPr>
          <w:sz w:val="18"/>
        </w:rPr>
        <w:t>at</w:t>
      </w:r>
      <w:r>
        <w:rPr>
          <w:spacing w:val="-2"/>
          <w:sz w:val="18"/>
        </w:rPr>
        <w:t xml:space="preserve"> </w:t>
      </w:r>
      <w:proofErr w:type="spellStart"/>
      <w:r>
        <w:rPr>
          <w:sz w:val="18"/>
        </w:rPr>
        <w:t>amortised</w:t>
      </w:r>
      <w:proofErr w:type="spellEnd"/>
      <w:r>
        <w:rPr>
          <w:spacing w:val="-1"/>
          <w:sz w:val="18"/>
        </w:rPr>
        <w:t xml:space="preserve"> </w:t>
      </w:r>
      <w:r>
        <w:rPr>
          <w:sz w:val="18"/>
        </w:rPr>
        <w:t>cost</w:t>
      </w:r>
      <w:r>
        <w:rPr>
          <w:spacing w:val="-2"/>
          <w:sz w:val="18"/>
        </w:rPr>
        <w:t xml:space="preserve"> </w:t>
      </w:r>
      <w:r>
        <w:rPr>
          <w:sz w:val="18"/>
        </w:rPr>
        <w:t>(see</w:t>
      </w:r>
      <w:r>
        <w:rPr>
          <w:spacing w:val="-4"/>
          <w:sz w:val="18"/>
        </w:rPr>
        <w:t xml:space="preserve"> </w:t>
      </w:r>
      <w:r>
        <w:rPr>
          <w:sz w:val="18"/>
        </w:rPr>
        <w:t xml:space="preserve">note </w:t>
      </w:r>
      <w:r>
        <w:rPr>
          <w:spacing w:val="-5"/>
          <w:sz w:val="18"/>
        </w:rPr>
        <w:t>C2)</w:t>
      </w:r>
    </w:p>
    <w:p w14:paraId="077388BD" w14:textId="77777777" w:rsidR="00AC6F3C" w:rsidRDefault="00570E88">
      <w:pPr>
        <w:pStyle w:val="ListParagraph"/>
        <w:numPr>
          <w:ilvl w:val="0"/>
          <w:numId w:val="17"/>
        </w:numPr>
        <w:tabs>
          <w:tab w:val="left" w:pos="1337"/>
        </w:tabs>
        <w:spacing w:before="29"/>
        <w:ind w:left="1337" w:hanging="358"/>
        <w:rPr>
          <w:sz w:val="18"/>
        </w:rPr>
      </w:pPr>
      <w:r>
        <w:rPr>
          <w:sz w:val="18"/>
        </w:rPr>
        <w:t>Investments</w:t>
      </w:r>
      <w:r>
        <w:rPr>
          <w:spacing w:val="-2"/>
          <w:sz w:val="18"/>
        </w:rPr>
        <w:t xml:space="preserve"> </w:t>
      </w:r>
      <w:r>
        <w:rPr>
          <w:sz w:val="18"/>
        </w:rPr>
        <w:t>–</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through</w:t>
      </w:r>
      <w:r>
        <w:rPr>
          <w:spacing w:val="-2"/>
          <w:sz w:val="18"/>
        </w:rPr>
        <w:t xml:space="preserve"> </w:t>
      </w:r>
      <w:r>
        <w:rPr>
          <w:sz w:val="18"/>
        </w:rPr>
        <w:t>profit</w:t>
      </w:r>
      <w:r>
        <w:rPr>
          <w:spacing w:val="-2"/>
          <w:sz w:val="18"/>
        </w:rPr>
        <w:t xml:space="preserve"> </w:t>
      </w:r>
      <w:r>
        <w:rPr>
          <w:sz w:val="18"/>
        </w:rPr>
        <w:t>or</w:t>
      </w:r>
      <w:r>
        <w:rPr>
          <w:spacing w:val="-3"/>
          <w:sz w:val="18"/>
        </w:rPr>
        <w:t xml:space="preserve"> </w:t>
      </w:r>
      <w:r>
        <w:rPr>
          <w:sz w:val="18"/>
        </w:rPr>
        <w:t>loss</w:t>
      </w:r>
      <w:r>
        <w:rPr>
          <w:spacing w:val="-2"/>
          <w:sz w:val="18"/>
        </w:rPr>
        <w:t xml:space="preserve"> </w:t>
      </w:r>
      <w:r>
        <w:rPr>
          <w:sz w:val="18"/>
        </w:rPr>
        <w:t>(see</w:t>
      </w:r>
      <w:r>
        <w:rPr>
          <w:spacing w:val="-3"/>
          <w:sz w:val="18"/>
        </w:rPr>
        <w:t xml:space="preserve"> </w:t>
      </w:r>
      <w:r>
        <w:rPr>
          <w:sz w:val="18"/>
        </w:rPr>
        <w:t>note</w:t>
      </w:r>
      <w:r>
        <w:rPr>
          <w:spacing w:val="-1"/>
          <w:sz w:val="18"/>
        </w:rPr>
        <w:t xml:space="preserve"> </w:t>
      </w:r>
      <w:r>
        <w:rPr>
          <w:spacing w:val="-5"/>
          <w:sz w:val="18"/>
        </w:rPr>
        <w:t>C3)</w:t>
      </w:r>
    </w:p>
    <w:p w14:paraId="76517F5E" w14:textId="77777777" w:rsidR="00AC6F3C" w:rsidRDefault="00570E88">
      <w:pPr>
        <w:pStyle w:val="ListParagraph"/>
        <w:numPr>
          <w:ilvl w:val="0"/>
          <w:numId w:val="17"/>
        </w:numPr>
        <w:tabs>
          <w:tab w:val="left" w:pos="1339"/>
        </w:tabs>
        <w:spacing w:before="29"/>
        <w:rPr>
          <w:sz w:val="18"/>
        </w:rPr>
      </w:pPr>
      <w:r>
        <w:rPr>
          <w:sz w:val="18"/>
        </w:rPr>
        <w:t>Payables</w:t>
      </w:r>
      <w:r>
        <w:rPr>
          <w:spacing w:val="-3"/>
          <w:sz w:val="18"/>
        </w:rPr>
        <w:t xml:space="preserve"> </w:t>
      </w:r>
      <w:r>
        <w:rPr>
          <w:sz w:val="18"/>
        </w:rPr>
        <w:t>– held</w:t>
      </w:r>
      <w:r>
        <w:rPr>
          <w:spacing w:val="-3"/>
          <w:sz w:val="18"/>
        </w:rPr>
        <w:t xml:space="preserve"> </w:t>
      </w:r>
      <w:r>
        <w:rPr>
          <w:sz w:val="18"/>
        </w:rPr>
        <w:t>at</w:t>
      </w:r>
      <w:r>
        <w:rPr>
          <w:spacing w:val="-1"/>
          <w:sz w:val="18"/>
        </w:rPr>
        <w:t xml:space="preserve"> </w:t>
      </w:r>
      <w:proofErr w:type="spellStart"/>
      <w:r>
        <w:rPr>
          <w:sz w:val="18"/>
        </w:rPr>
        <w:t>amortised</w:t>
      </w:r>
      <w:proofErr w:type="spellEnd"/>
      <w:r>
        <w:rPr>
          <w:spacing w:val="-3"/>
          <w:sz w:val="18"/>
        </w:rPr>
        <w:t xml:space="preserve"> </w:t>
      </w:r>
      <w:r>
        <w:rPr>
          <w:sz w:val="18"/>
        </w:rPr>
        <w:t>cost</w:t>
      </w:r>
      <w:r>
        <w:rPr>
          <w:spacing w:val="-3"/>
          <w:sz w:val="18"/>
        </w:rPr>
        <w:t xml:space="preserve"> </w:t>
      </w:r>
      <w:r>
        <w:rPr>
          <w:sz w:val="18"/>
        </w:rPr>
        <w:t>(see notes</w:t>
      </w:r>
      <w:r>
        <w:rPr>
          <w:spacing w:val="-2"/>
          <w:sz w:val="18"/>
        </w:rPr>
        <w:t xml:space="preserve"> </w:t>
      </w:r>
      <w:r>
        <w:rPr>
          <w:spacing w:val="-5"/>
          <w:sz w:val="18"/>
        </w:rPr>
        <w:t>C5)</w:t>
      </w:r>
    </w:p>
    <w:p w14:paraId="2F9028A5" w14:textId="77777777" w:rsidR="00AC6F3C" w:rsidRDefault="00AC6F3C">
      <w:pPr>
        <w:pStyle w:val="BodyText"/>
        <w:spacing w:before="7"/>
        <w:rPr>
          <w:sz w:val="23"/>
        </w:rPr>
      </w:pPr>
    </w:p>
    <w:p w14:paraId="48740035" w14:textId="77777777" w:rsidR="00AC6F3C" w:rsidRDefault="00570E88">
      <w:pPr>
        <w:ind w:left="979"/>
        <w:rPr>
          <w:sz w:val="18"/>
        </w:rPr>
      </w:pPr>
      <w:r>
        <w:rPr>
          <w:sz w:val="18"/>
        </w:rPr>
        <w:t>The</w:t>
      </w:r>
      <w:r>
        <w:rPr>
          <w:spacing w:val="-1"/>
          <w:sz w:val="18"/>
        </w:rPr>
        <w:t xml:space="preserve"> </w:t>
      </w:r>
      <w:r>
        <w:rPr>
          <w:sz w:val="18"/>
        </w:rPr>
        <w:t>Fund</w:t>
      </w:r>
      <w:r>
        <w:rPr>
          <w:spacing w:val="-1"/>
          <w:sz w:val="18"/>
        </w:rPr>
        <w:t xml:space="preserve"> </w:t>
      </w:r>
      <w:r>
        <w:rPr>
          <w:sz w:val="18"/>
        </w:rPr>
        <w:t>does</w:t>
      </w:r>
      <w:r>
        <w:rPr>
          <w:spacing w:val="-3"/>
          <w:sz w:val="18"/>
        </w:rPr>
        <w:t xml:space="preserve"> </w:t>
      </w:r>
      <w:r>
        <w:rPr>
          <w:sz w:val="18"/>
        </w:rPr>
        <w:t>not</w:t>
      </w:r>
      <w:r>
        <w:rPr>
          <w:spacing w:val="-4"/>
          <w:sz w:val="18"/>
        </w:rPr>
        <w:t xml:space="preserve"> </w:t>
      </w:r>
      <w:r>
        <w:rPr>
          <w:sz w:val="18"/>
        </w:rPr>
        <w:t>enter</w:t>
      </w:r>
      <w:r>
        <w:rPr>
          <w:spacing w:val="-2"/>
          <w:sz w:val="18"/>
        </w:rPr>
        <w:t xml:space="preserve"> </w:t>
      </w:r>
      <w:r>
        <w:rPr>
          <w:sz w:val="18"/>
        </w:rPr>
        <w:t>into</w:t>
      </w:r>
      <w:r>
        <w:rPr>
          <w:spacing w:val="-1"/>
          <w:sz w:val="18"/>
        </w:rPr>
        <w:t xml:space="preserve"> </w:t>
      </w:r>
      <w:r>
        <w:rPr>
          <w:sz w:val="18"/>
        </w:rPr>
        <w:t>transactions</w:t>
      </w:r>
      <w:r>
        <w:rPr>
          <w:spacing w:val="-3"/>
          <w:sz w:val="18"/>
        </w:rPr>
        <w:t xml:space="preserve"> </w:t>
      </w:r>
      <w:r>
        <w:rPr>
          <w:sz w:val="18"/>
        </w:rPr>
        <w:t>for</w:t>
      </w:r>
      <w:r>
        <w:rPr>
          <w:spacing w:val="-4"/>
          <w:sz w:val="18"/>
        </w:rPr>
        <w:t xml:space="preserve"> </w:t>
      </w:r>
      <w:r>
        <w:rPr>
          <w:sz w:val="18"/>
        </w:rPr>
        <w:t>speculative</w:t>
      </w:r>
      <w:r>
        <w:rPr>
          <w:spacing w:val="-1"/>
          <w:sz w:val="18"/>
        </w:rPr>
        <w:t xml:space="preserve"> </w:t>
      </w:r>
      <w:r>
        <w:rPr>
          <w:sz w:val="18"/>
        </w:rPr>
        <w:t>purposes,</w:t>
      </w:r>
      <w:r>
        <w:rPr>
          <w:spacing w:val="-2"/>
          <w:sz w:val="18"/>
        </w:rPr>
        <w:t xml:space="preserve"> </w:t>
      </w:r>
      <w:r>
        <w:rPr>
          <w:sz w:val="18"/>
        </w:rPr>
        <w:t>nor</w:t>
      </w:r>
      <w:r>
        <w:rPr>
          <w:spacing w:val="-2"/>
          <w:sz w:val="18"/>
        </w:rPr>
        <w:t xml:space="preserve"> </w:t>
      </w:r>
      <w:r>
        <w:rPr>
          <w:sz w:val="18"/>
        </w:rPr>
        <w:t>for</w:t>
      </w:r>
      <w:r>
        <w:rPr>
          <w:spacing w:val="-3"/>
          <w:sz w:val="18"/>
        </w:rPr>
        <w:t xml:space="preserve"> </w:t>
      </w:r>
      <w:r>
        <w:rPr>
          <w:spacing w:val="-2"/>
          <w:sz w:val="18"/>
        </w:rPr>
        <w:t>hedging.</w:t>
      </w:r>
    </w:p>
    <w:p w14:paraId="2538C8EC" w14:textId="77777777" w:rsidR="00AC6F3C" w:rsidRDefault="00570E88">
      <w:pPr>
        <w:spacing w:before="119"/>
        <w:ind w:left="979"/>
        <w:rPr>
          <w:b/>
          <w:sz w:val="20"/>
        </w:rPr>
      </w:pPr>
      <w:r>
        <w:rPr>
          <w:b/>
          <w:sz w:val="20"/>
        </w:rPr>
        <w:t>Financial</w:t>
      </w:r>
      <w:r>
        <w:rPr>
          <w:b/>
          <w:spacing w:val="-13"/>
          <w:sz w:val="20"/>
        </w:rPr>
        <w:t xml:space="preserve"> </w:t>
      </w:r>
      <w:r>
        <w:rPr>
          <w:b/>
          <w:spacing w:val="-4"/>
          <w:sz w:val="20"/>
        </w:rPr>
        <w:t>risk</w:t>
      </w:r>
    </w:p>
    <w:p w14:paraId="0E80CD25" w14:textId="77777777" w:rsidR="00AC6F3C" w:rsidRDefault="00570E88">
      <w:pPr>
        <w:spacing w:before="120"/>
        <w:ind w:left="979" w:right="234"/>
        <w:rPr>
          <w:sz w:val="18"/>
        </w:rPr>
      </w:pPr>
      <w:r>
        <w:rPr>
          <w:sz w:val="18"/>
        </w:rPr>
        <w:t>The</w:t>
      </w:r>
      <w:r>
        <w:rPr>
          <w:spacing w:val="-1"/>
          <w:sz w:val="18"/>
        </w:rPr>
        <w:t xml:space="preserve"> </w:t>
      </w:r>
      <w:r>
        <w:rPr>
          <w:sz w:val="18"/>
        </w:rPr>
        <w:t>Fund’s</w:t>
      </w:r>
      <w:r>
        <w:rPr>
          <w:spacing w:val="-1"/>
          <w:sz w:val="18"/>
        </w:rPr>
        <w:t xml:space="preserve"> </w:t>
      </w:r>
      <w:r>
        <w:rPr>
          <w:sz w:val="18"/>
        </w:rPr>
        <w:t>activities</w:t>
      </w:r>
      <w:r>
        <w:rPr>
          <w:spacing w:val="-3"/>
          <w:sz w:val="18"/>
        </w:rPr>
        <w:t xml:space="preserve"> </w:t>
      </w:r>
      <w:r>
        <w:rPr>
          <w:sz w:val="18"/>
        </w:rPr>
        <w:t>expose</w:t>
      </w:r>
      <w:r>
        <w:rPr>
          <w:spacing w:val="-1"/>
          <w:sz w:val="18"/>
        </w:rPr>
        <w:t xml:space="preserve"> </w:t>
      </w:r>
      <w:r>
        <w:rPr>
          <w:sz w:val="18"/>
        </w:rPr>
        <w:t>it</w:t>
      </w:r>
      <w:r>
        <w:rPr>
          <w:spacing w:val="-4"/>
          <w:sz w:val="18"/>
        </w:rPr>
        <w:t xml:space="preserve"> </w:t>
      </w:r>
      <w:r>
        <w:rPr>
          <w:sz w:val="18"/>
        </w:rPr>
        <w:t>to</w:t>
      </w:r>
      <w:r>
        <w:rPr>
          <w:spacing w:val="-1"/>
          <w:sz w:val="18"/>
        </w:rPr>
        <w:t xml:space="preserve"> </w:t>
      </w:r>
      <w:r>
        <w:rPr>
          <w:sz w:val="18"/>
        </w:rPr>
        <w:t>a</w:t>
      </w:r>
      <w:r>
        <w:rPr>
          <w:spacing w:val="-4"/>
          <w:sz w:val="18"/>
        </w:rPr>
        <w:t xml:space="preserve"> </w:t>
      </w:r>
      <w:r>
        <w:rPr>
          <w:sz w:val="18"/>
        </w:rPr>
        <w:t>variety</w:t>
      </w:r>
      <w:r>
        <w:rPr>
          <w:spacing w:val="-3"/>
          <w:sz w:val="18"/>
        </w:rPr>
        <w:t xml:space="preserve"> </w:t>
      </w:r>
      <w:r>
        <w:rPr>
          <w:sz w:val="18"/>
        </w:rPr>
        <w:t>of</w:t>
      </w:r>
      <w:r>
        <w:rPr>
          <w:spacing w:val="-2"/>
          <w:sz w:val="18"/>
        </w:rPr>
        <w:t xml:space="preserve"> </w:t>
      </w:r>
      <w:r>
        <w:rPr>
          <w:sz w:val="18"/>
        </w:rPr>
        <w:t>financial</w:t>
      </w:r>
      <w:r>
        <w:rPr>
          <w:spacing w:val="-1"/>
          <w:sz w:val="18"/>
        </w:rPr>
        <w:t xml:space="preserve"> </w:t>
      </w:r>
      <w:r>
        <w:rPr>
          <w:sz w:val="18"/>
        </w:rPr>
        <w:t>risks:</w:t>
      </w:r>
      <w:r>
        <w:rPr>
          <w:spacing w:val="-4"/>
          <w:sz w:val="18"/>
        </w:rPr>
        <w:t xml:space="preserve"> </w:t>
      </w:r>
      <w:r>
        <w:rPr>
          <w:sz w:val="18"/>
        </w:rPr>
        <w:t>market</w:t>
      </w:r>
      <w:r>
        <w:rPr>
          <w:spacing w:val="-2"/>
          <w:sz w:val="18"/>
        </w:rPr>
        <w:t xml:space="preserve"> </w:t>
      </w:r>
      <w:r>
        <w:rPr>
          <w:sz w:val="18"/>
        </w:rPr>
        <w:t>risk</w:t>
      </w:r>
      <w:r>
        <w:rPr>
          <w:spacing w:val="-1"/>
          <w:sz w:val="18"/>
        </w:rPr>
        <w:t xml:space="preserve"> </w:t>
      </w:r>
      <w:r>
        <w:rPr>
          <w:sz w:val="18"/>
        </w:rPr>
        <w:t>(currency</w:t>
      </w:r>
      <w:r>
        <w:rPr>
          <w:spacing w:val="-1"/>
          <w:sz w:val="18"/>
        </w:rPr>
        <w:t xml:space="preserve"> </w:t>
      </w:r>
      <w:r>
        <w:rPr>
          <w:sz w:val="18"/>
        </w:rPr>
        <w:t>risk,</w:t>
      </w:r>
      <w:r>
        <w:rPr>
          <w:spacing w:val="-2"/>
          <w:sz w:val="18"/>
        </w:rPr>
        <w:t xml:space="preserve"> </w:t>
      </w:r>
      <w:r>
        <w:rPr>
          <w:sz w:val="18"/>
        </w:rPr>
        <w:t>price</w:t>
      </w:r>
      <w:r>
        <w:rPr>
          <w:spacing w:val="-1"/>
          <w:sz w:val="18"/>
        </w:rPr>
        <w:t xml:space="preserve"> </w:t>
      </w:r>
      <w:r>
        <w:rPr>
          <w:sz w:val="18"/>
        </w:rPr>
        <w:t>and</w:t>
      </w:r>
      <w:r>
        <w:rPr>
          <w:spacing w:val="-4"/>
          <w:sz w:val="18"/>
        </w:rPr>
        <w:t xml:space="preserve"> </w:t>
      </w:r>
      <w:r>
        <w:rPr>
          <w:sz w:val="18"/>
        </w:rPr>
        <w:t>interest</w:t>
      </w:r>
      <w:r>
        <w:rPr>
          <w:spacing w:val="-4"/>
          <w:sz w:val="18"/>
        </w:rPr>
        <w:t xml:space="preserve"> </w:t>
      </w:r>
      <w:r>
        <w:rPr>
          <w:sz w:val="18"/>
        </w:rPr>
        <w:t>rate</w:t>
      </w:r>
      <w:r>
        <w:rPr>
          <w:spacing w:val="-4"/>
          <w:sz w:val="18"/>
        </w:rPr>
        <w:t xml:space="preserve"> </w:t>
      </w:r>
      <w:r>
        <w:rPr>
          <w:sz w:val="18"/>
        </w:rPr>
        <w:t>risk) and liquidity risk.</w:t>
      </w:r>
    </w:p>
    <w:p w14:paraId="7E4ABBE3" w14:textId="77777777" w:rsidR="00AC6F3C" w:rsidRDefault="00AC6F3C">
      <w:pPr>
        <w:rPr>
          <w:sz w:val="18"/>
        </w:rPr>
        <w:sectPr w:rsidR="00AC6F3C">
          <w:pgSz w:w="11910" w:h="16840"/>
          <w:pgMar w:top="2080" w:right="1160" w:bottom="520" w:left="460" w:header="1297" w:footer="336" w:gutter="0"/>
          <w:cols w:space="720"/>
        </w:sectPr>
      </w:pPr>
    </w:p>
    <w:p w14:paraId="1416DD31" w14:textId="77777777" w:rsidR="00AC6F3C" w:rsidRDefault="00AC6F3C">
      <w:pPr>
        <w:pStyle w:val="BodyText"/>
        <w:spacing w:before="9"/>
        <w:rPr>
          <w:sz w:val="13"/>
        </w:rPr>
      </w:pPr>
    </w:p>
    <w:p w14:paraId="4C305FAA" w14:textId="77777777" w:rsidR="00AC6F3C" w:rsidRDefault="00570E88">
      <w:pPr>
        <w:tabs>
          <w:tab w:val="left" w:pos="1700"/>
        </w:tabs>
        <w:spacing w:before="92" w:line="322" w:lineRule="exact"/>
        <w:ind w:left="979"/>
        <w:rPr>
          <w:b/>
          <w:sz w:val="28"/>
        </w:rPr>
      </w:pPr>
      <w:r>
        <w:rPr>
          <w:b/>
          <w:spacing w:val="-5"/>
          <w:sz w:val="28"/>
        </w:rPr>
        <w:t>D2</w:t>
      </w:r>
      <w:r>
        <w:rPr>
          <w:b/>
          <w:sz w:val="28"/>
        </w:rPr>
        <w:tab/>
        <w:t>FINANCIAL</w:t>
      </w:r>
      <w:r>
        <w:rPr>
          <w:b/>
          <w:spacing w:val="-15"/>
          <w:sz w:val="28"/>
        </w:rPr>
        <w:t xml:space="preserve"> </w:t>
      </w:r>
      <w:r>
        <w:rPr>
          <w:b/>
          <w:sz w:val="28"/>
        </w:rPr>
        <w:t>INSTRUMENTS</w:t>
      </w:r>
      <w:r>
        <w:rPr>
          <w:b/>
          <w:spacing w:val="-19"/>
          <w:sz w:val="28"/>
        </w:rPr>
        <w:t xml:space="preserve"> </w:t>
      </w:r>
      <w:r>
        <w:rPr>
          <w:b/>
          <w:sz w:val="28"/>
        </w:rPr>
        <w:t>AND</w:t>
      </w:r>
      <w:r>
        <w:rPr>
          <w:b/>
          <w:spacing w:val="-9"/>
          <w:sz w:val="28"/>
        </w:rPr>
        <w:t xml:space="preserve"> </w:t>
      </w:r>
      <w:r>
        <w:rPr>
          <w:b/>
          <w:sz w:val="28"/>
        </w:rPr>
        <w:t>FINANCIAL</w:t>
      </w:r>
      <w:r>
        <w:rPr>
          <w:b/>
          <w:spacing w:val="-14"/>
          <w:sz w:val="28"/>
        </w:rPr>
        <w:t xml:space="preserve"> </w:t>
      </w:r>
      <w:r>
        <w:rPr>
          <w:b/>
          <w:spacing w:val="-4"/>
          <w:sz w:val="28"/>
        </w:rPr>
        <w:t>RISK</w:t>
      </w:r>
    </w:p>
    <w:p w14:paraId="76D2E5CE" w14:textId="77777777" w:rsidR="00AC6F3C" w:rsidRDefault="00570E88">
      <w:pPr>
        <w:spacing w:line="322" w:lineRule="exact"/>
        <w:ind w:left="1700"/>
        <w:rPr>
          <w:b/>
          <w:sz w:val="28"/>
        </w:rPr>
      </w:pPr>
      <w:r>
        <w:rPr>
          <w:b/>
          <w:sz w:val="28"/>
        </w:rPr>
        <w:t>MANAGEMENT</w:t>
      </w:r>
      <w:r>
        <w:rPr>
          <w:b/>
          <w:spacing w:val="-14"/>
          <w:sz w:val="28"/>
        </w:rPr>
        <w:t xml:space="preserve"> </w:t>
      </w:r>
      <w:r>
        <w:rPr>
          <w:b/>
          <w:spacing w:val="-2"/>
          <w:sz w:val="28"/>
        </w:rPr>
        <w:t>(continued)</w:t>
      </w:r>
    </w:p>
    <w:p w14:paraId="13C70301" w14:textId="77777777" w:rsidR="00AC6F3C" w:rsidRDefault="00570E88">
      <w:pPr>
        <w:spacing w:before="240"/>
        <w:ind w:left="979"/>
        <w:rPr>
          <w:b/>
          <w:sz w:val="20"/>
        </w:rPr>
      </w:pPr>
      <w:r>
        <w:rPr>
          <w:b/>
          <w:sz w:val="20"/>
        </w:rPr>
        <w:t>Currency</w:t>
      </w:r>
      <w:r>
        <w:rPr>
          <w:b/>
          <w:spacing w:val="-9"/>
          <w:sz w:val="20"/>
        </w:rPr>
        <w:t xml:space="preserve"> </w:t>
      </w:r>
      <w:r>
        <w:rPr>
          <w:b/>
          <w:spacing w:val="-4"/>
          <w:sz w:val="20"/>
        </w:rPr>
        <w:t>risk</w:t>
      </w:r>
    </w:p>
    <w:p w14:paraId="54CAF7E2" w14:textId="77777777" w:rsidR="00AC6F3C" w:rsidRDefault="00570E88">
      <w:pPr>
        <w:spacing w:before="120"/>
        <w:ind w:left="979"/>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not</w:t>
      </w:r>
      <w:r>
        <w:rPr>
          <w:spacing w:val="-2"/>
          <w:sz w:val="18"/>
        </w:rPr>
        <w:t xml:space="preserve"> </w:t>
      </w:r>
      <w:r>
        <w:rPr>
          <w:sz w:val="18"/>
        </w:rPr>
        <w:t>exposed</w:t>
      </w:r>
      <w:r>
        <w:rPr>
          <w:spacing w:val="-4"/>
          <w:sz w:val="18"/>
        </w:rPr>
        <w:t xml:space="preserve"> </w:t>
      </w:r>
      <w:r>
        <w:rPr>
          <w:sz w:val="18"/>
        </w:rPr>
        <w:t>to</w:t>
      </w:r>
      <w:r>
        <w:rPr>
          <w:spacing w:val="-4"/>
          <w:sz w:val="18"/>
        </w:rPr>
        <w:t xml:space="preserve"> </w:t>
      </w:r>
      <w:r>
        <w:rPr>
          <w:sz w:val="18"/>
        </w:rPr>
        <w:t>significant</w:t>
      </w:r>
      <w:r>
        <w:rPr>
          <w:spacing w:val="-2"/>
          <w:sz w:val="18"/>
        </w:rPr>
        <w:t xml:space="preserve"> </w:t>
      </w:r>
      <w:r>
        <w:rPr>
          <w:sz w:val="18"/>
        </w:rPr>
        <w:t>foreign</w:t>
      </w:r>
      <w:r>
        <w:rPr>
          <w:spacing w:val="-4"/>
          <w:sz w:val="18"/>
        </w:rPr>
        <w:t xml:space="preserve"> </w:t>
      </w:r>
      <w:r>
        <w:rPr>
          <w:sz w:val="18"/>
        </w:rPr>
        <w:t>currency</w:t>
      </w:r>
      <w:r>
        <w:rPr>
          <w:spacing w:val="-1"/>
          <w:sz w:val="18"/>
        </w:rPr>
        <w:t xml:space="preserve"> </w:t>
      </w:r>
      <w:r>
        <w:rPr>
          <w:sz w:val="18"/>
        </w:rPr>
        <w:t>risk</w:t>
      </w:r>
      <w:r>
        <w:rPr>
          <w:spacing w:val="-3"/>
          <w:sz w:val="18"/>
        </w:rPr>
        <w:t xml:space="preserve"> </w:t>
      </w:r>
      <w:r>
        <w:rPr>
          <w:sz w:val="18"/>
        </w:rPr>
        <w:t>as</w:t>
      </w:r>
      <w:r>
        <w:rPr>
          <w:spacing w:val="-1"/>
          <w:sz w:val="18"/>
        </w:rPr>
        <w:t xml:space="preserve"> </w:t>
      </w:r>
      <w:r>
        <w:rPr>
          <w:sz w:val="18"/>
        </w:rPr>
        <w:t>the</w:t>
      </w:r>
      <w:r>
        <w:rPr>
          <w:spacing w:val="-1"/>
          <w:sz w:val="18"/>
        </w:rPr>
        <w:t xml:space="preserve"> </w:t>
      </w:r>
      <w:r>
        <w:rPr>
          <w:sz w:val="18"/>
        </w:rPr>
        <w:t>majority</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Fund’s</w:t>
      </w:r>
      <w:r>
        <w:rPr>
          <w:spacing w:val="-1"/>
          <w:sz w:val="18"/>
        </w:rPr>
        <w:t xml:space="preserve"> </w:t>
      </w:r>
      <w:r>
        <w:rPr>
          <w:sz w:val="18"/>
        </w:rPr>
        <w:t>transactions,</w:t>
      </w:r>
      <w:r>
        <w:rPr>
          <w:spacing w:val="-2"/>
          <w:sz w:val="18"/>
        </w:rPr>
        <w:t xml:space="preserve"> </w:t>
      </w:r>
      <w:r>
        <w:rPr>
          <w:sz w:val="18"/>
        </w:rPr>
        <w:t>assets</w:t>
      </w:r>
      <w:r>
        <w:rPr>
          <w:spacing w:val="-1"/>
          <w:sz w:val="18"/>
        </w:rPr>
        <w:t xml:space="preserve"> </w:t>
      </w:r>
      <w:r>
        <w:rPr>
          <w:sz w:val="18"/>
        </w:rPr>
        <w:t>and liabilities are denominated in Australian dollars.</w:t>
      </w:r>
    </w:p>
    <w:p w14:paraId="09946DA0" w14:textId="77777777" w:rsidR="00AC6F3C" w:rsidRDefault="00570E88">
      <w:pPr>
        <w:spacing w:before="119"/>
        <w:ind w:left="979"/>
        <w:rPr>
          <w:sz w:val="18"/>
        </w:rPr>
      </w:pPr>
      <w:r>
        <w:rPr>
          <w:sz w:val="18"/>
        </w:rPr>
        <w:t>The</w:t>
      </w:r>
      <w:r>
        <w:rPr>
          <w:spacing w:val="-2"/>
          <w:sz w:val="18"/>
        </w:rPr>
        <w:t xml:space="preserve"> </w:t>
      </w:r>
      <w:r>
        <w:rPr>
          <w:sz w:val="18"/>
        </w:rPr>
        <w:t>Fund</w:t>
      </w:r>
      <w:r>
        <w:rPr>
          <w:spacing w:val="-2"/>
          <w:sz w:val="18"/>
        </w:rPr>
        <w:t xml:space="preserve"> </w:t>
      </w:r>
      <w:r>
        <w:rPr>
          <w:sz w:val="18"/>
        </w:rPr>
        <w:t>outsources</w:t>
      </w:r>
      <w:r>
        <w:rPr>
          <w:spacing w:val="-4"/>
          <w:sz w:val="18"/>
        </w:rPr>
        <w:t xml:space="preserve"> </w:t>
      </w:r>
      <w:r>
        <w:rPr>
          <w:sz w:val="18"/>
        </w:rPr>
        <w:t>its</w:t>
      </w:r>
      <w:r>
        <w:rPr>
          <w:spacing w:val="-4"/>
          <w:sz w:val="18"/>
        </w:rPr>
        <w:t xml:space="preserve"> </w:t>
      </w:r>
      <w:r>
        <w:rPr>
          <w:sz w:val="18"/>
        </w:rPr>
        <w:t>investment</w:t>
      </w:r>
      <w:r>
        <w:rPr>
          <w:spacing w:val="-5"/>
          <w:sz w:val="18"/>
        </w:rPr>
        <w:t xml:space="preserve"> </w:t>
      </w:r>
      <w:r>
        <w:rPr>
          <w:sz w:val="18"/>
        </w:rPr>
        <w:t>activities</w:t>
      </w:r>
      <w:r>
        <w:rPr>
          <w:spacing w:val="-2"/>
          <w:sz w:val="18"/>
        </w:rPr>
        <w:t xml:space="preserve"> </w:t>
      </w:r>
      <w:r>
        <w:rPr>
          <w:sz w:val="18"/>
        </w:rPr>
        <w:t>to</w:t>
      </w:r>
      <w:r>
        <w:rPr>
          <w:spacing w:val="-5"/>
          <w:sz w:val="18"/>
        </w:rPr>
        <w:t xml:space="preserve"> </w:t>
      </w:r>
      <w:r>
        <w:rPr>
          <w:sz w:val="18"/>
        </w:rPr>
        <w:t>respected</w:t>
      </w:r>
      <w:r>
        <w:rPr>
          <w:spacing w:val="-2"/>
          <w:sz w:val="18"/>
        </w:rPr>
        <w:t xml:space="preserve"> </w:t>
      </w:r>
      <w:r>
        <w:rPr>
          <w:sz w:val="18"/>
        </w:rPr>
        <w:t>fund</w:t>
      </w:r>
      <w:r>
        <w:rPr>
          <w:spacing w:val="-2"/>
          <w:sz w:val="18"/>
        </w:rPr>
        <w:t xml:space="preserve"> </w:t>
      </w:r>
      <w:r>
        <w:rPr>
          <w:sz w:val="18"/>
        </w:rPr>
        <w:t>managers</w:t>
      </w:r>
      <w:r>
        <w:rPr>
          <w:spacing w:val="-2"/>
          <w:sz w:val="18"/>
        </w:rPr>
        <w:t xml:space="preserve"> </w:t>
      </w:r>
      <w:r>
        <w:rPr>
          <w:sz w:val="18"/>
        </w:rPr>
        <w:t>who</w:t>
      </w:r>
      <w:r>
        <w:rPr>
          <w:spacing w:val="-2"/>
          <w:sz w:val="18"/>
        </w:rPr>
        <w:t xml:space="preserve"> </w:t>
      </w:r>
      <w:r>
        <w:rPr>
          <w:sz w:val="18"/>
        </w:rPr>
        <w:t>use</w:t>
      </w:r>
      <w:r>
        <w:rPr>
          <w:spacing w:val="-2"/>
          <w:sz w:val="18"/>
        </w:rPr>
        <w:t xml:space="preserve"> </w:t>
      </w:r>
      <w:r>
        <w:rPr>
          <w:sz w:val="18"/>
        </w:rPr>
        <w:t>defined</w:t>
      </w:r>
      <w:r>
        <w:rPr>
          <w:spacing w:val="-5"/>
          <w:sz w:val="18"/>
        </w:rPr>
        <w:t xml:space="preserve"> </w:t>
      </w:r>
      <w:r>
        <w:rPr>
          <w:sz w:val="18"/>
        </w:rPr>
        <w:t>risk</w:t>
      </w:r>
      <w:r>
        <w:rPr>
          <w:spacing w:val="-2"/>
          <w:sz w:val="18"/>
        </w:rPr>
        <w:t xml:space="preserve"> </w:t>
      </w:r>
      <w:r>
        <w:rPr>
          <w:sz w:val="18"/>
        </w:rPr>
        <w:t>management techniques as part of the fund’s investment mandate.</w:t>
      </w:r>
    </w:p>
    <w:p w14:paraId="1E3E4268" w14:textId="77777777" w:rsidR="00AC6F3C" w:rsidRDefault="00AC6F3C">
      <w:pPr>
        <w:pStyle w:val="BodyText"/>
        <w:spacing w:before="11"/>
      </w:pPr>
    </w:p>
    <w:p w14:paraId="55865ADC" w14:textId="77777777" w:rsidR="00AC6F3C" w:rsidRDefault="00570E88">
      <w:pPr>
        <w:ind w:left="979" w:right="468"/>
        <w:rPr>
          <w:sz w:val="18"/>
        </w:rPr>
      </w:pPr>
      <w:r>
        <w:rPr>
          <w:sz w:val="18"/>
        </w:rPr>
        <w:t>Management</w:t>
      </w:r>
      <w:r>
        <w:rPr>
          <w:spacing w:val="-3"/>
          <w:sz w:val="18"/>
        </w:rPr>
        <w:t xml:space="preserve"> </w:t>
      </w:r>
      <w:r>
        <w:rPr>
          <w:sz w:val="18"/>
        </w:rPr>
        <w:t>regularly</w:t>
      </w:r>
      <w:r>
        <w:rPr>
          <w:spacing w:val="-2"/>
          <w:sz w:val="18"/>
        </w:rPr>
        <w:t xml:space="preserve"> </w:t>
      </w:r>
      <w:r>
        <w:rPr>
          <w:sz w:val="18"/>
        </w:rPr>
        <w:t>reviews</w:t>
      </w:r>
      <w:r>
        <w:rPr>
          <w:spacing w:val="-4"/>
          <w:sz w:val="18"/>
        </w:rPr>
        <w:t xml:space="preserve"> </w:t>
      </w:r>
      <w:r>
        <w:rPr>
          <w:sz w:val="18"/>
        </w:rPr>
        <w:t>the</w:t>
      </w:r>
      <w:r>
        <w:rPr>
          <w:spacing w:val="-2"/>
          <w:sz w:val="18"/>
        </w:rPr>
        <w:t xml:space="preserve"> </w:t>
      </w:r>
      <w:r>
        <w:rPr>
          <w:sz w:val="18"/>
        </w:rPr>
        <w:t>performance</w:t>
      </w:r>
      <w:r>
        <w:rPr>
          <w:spacing w:val="-2"/>
          <w:sz w:val="18"/>
        </w:rPr>
        <w:t xml:space="preserve"> </w:t>
      </w:r>
      <w:r>
        <w:rPr>
          <w:sz w:val="18"/>
        </w:rPr>
        <w:t>and</w:t>
      </w:r>
      <w:r>
        <w:rPr>
          <w:spacing w:val="-2"/>
          <w:sz w:val="18"/>
        </w:rPr>
        <w:t xml:space="preserve"> </w:t>
      </w:r>
      <w:r>
        <w:rPr>
          <w:sz w:val="18"/>
        </w:rPr>
        <w:t>ensures</w:t>
      </w:r>
      <w:r>
        <w:rPr>
          <w:spacing w:val="-4"/>
          <w:sz w:val="18"/>
        </w:rPr>
        <w:t xml:space="preserve"> </w:t>
      </w:r>
      <w:r>
        <w:rPr>
          <w:sz w:val="18"/>
        </w:rPr>
        <w:t>all</w:t>
      </w:r>
      <w:r>
        <w:rPr>
          <w:spacing w:val="-2"/>
          <w:sz w:val="18"/>
        </w:rPr>
        <w:t xml:space="preserve"> </w:t>
      </w:r>
      <w:r>
        <w:rPr>
          <w:sz w:val="18"/>
        </w:rPr>
        <w:t>investments</w:t>
      </w:r>
      <w:r>
        <w:rPr>
          <w:spacing w:val="-2"/>
          <w:sz w:val="18"/>
        </w:rPr>
        <w:t xml:space="preserve"> </w:t>
      </w:r>
      <w:r>
        <w:rPr>
          <w:sz w:val="18"/>
        </w:rPr>
        <w:t>held</w:t>
      </w:r>
      <w:r>
        <w:rPr>
          <w:spacing w:val="-5"/>
          <w:sz w:val="18"/>
        </w:rPr>
        <w:t xml:space="preserve"> </w:t>
      </w:r>
      <w:r>
        <w:rPr>
          <w:sz w:val="18"/>
        </w:rPr>
        <w:t>are</w:t>
      </w:r>
      <w:r>
        <w:rPr>
          <w:spacing w:val="-2"/>
          <w:sz w:val="18"/>
        </w:rPr>
        <w:t xml:space="preserve"> </w:t>
      </w:r>
      <w:r>
        <w:rPr>
          <w:sz w:val="18"/>
        </w:rPr>
        <w:t>within</w:t>
      </w:r>
      <w:r>
        <w:rPr>
          <w:spacing w:val="-7"/>
          <w:sz w:val="18"/>
        </w:rPr>
        <w:t xml:space="preserve"> </w:t>
      </w:r>
      <w:r>
        <w:rPr>
          <w:sz w:val="18"/>
        </w:rPr>
        <w:t>the</w:t>
      </w:r>
      <w:r>
        <w:rPr>
          <w:spacing w:val="-2"/>
          <w:sz w:val="18"/>
        </w:rPr>
        <w:t xml:space="preserve"> </w:t>
      </w:r>
      <w:r>
        <w:rPr>
          <w:sz w:val="18"/>
        </w:rPr>
        <w:t xml:space="preserve">approved </w:t>
      </w:r>
      <w:r>
        <w:rPr>
          <w:spacing w:val="-2"/>
          <w:sz w:val="18"/>
        </w:rPr>
        <w:t>mandate.</w:t>
      </w:r>
    </w:p>
    <w:p w14:paraId="1E5883EA" w14:textId="77777777" w:rsidR="00AC6F3C" w:rsidRDefault="00570E88">
      <w:pPr>
        <w:spacing w:before="119"/>
        <w:ind w:left="979"/>
        <w:rPr>
          <w:sz w:val="18"/>
        </w:rPr>
      </w:pPr>
      <w:r>
        <w:rPr>
          <w:sz w:val="18"/>
        </w:rPr>
        <w:t>All</w:t>
      </w:r>
      <w:r>
        <w:rPr>
          <w:spacing w:val="-5"/>
          <w:sz w:val="18"/>
        </w:rPr>
        <w:t xml:space="preserve"> </w:t>
      </w:r>
      <w:r>
        <w:rPr>
          <w:sz w:val="18"/>
        </w:rPr>
        <w:t>investments</w:t>
      </w:r>
      <w:r>
        <w:rPr>
          <w:spacing w:val="-2"/>
          <w:sz w:val="18"/>
        </w:rPr>
        <w:t xml:space="preserve"> </w:t>
      </w:r>
      <w:r>
        <w:rPr>
          <w:sz w:val="18"/>
        </w:rPr>
        <w:t>in</w:t>
      </w:r>
      <w:r>
        <w:rPr>
          <w:spacing w:val="-5"/>
          <w:sz w:val="18"/>
        </w:rPr>
        <w:t xml:space="preserve"> </w:t>
      </w:r>
      <w:r>
        <w:rPr>
          <w:sz w:val="18"/>
        </w:rPr>
        <w:t>income</w:t>
      </w:r>
      <w:r>
        <w:rPr>
          <w:spacing w:val="-2"/>
          <w:sz w:val="18"/>
        </w:rPr>
        <w:t xml:space="preserve"> </w:t>
      </w:r>
      <w:r>
        <w:rPr>
          <w:sz w:val="18"/>
        </w:rPr>
        <w:t>securities</w:t>
      </w:r>
      <w:r>
        <w:rPr>
          <w:spacing w:val="-2"/>
          <w:sz w:val="18"/>
        </w:rPr>
        <w:t xml:space="preserve"> </w:t>
      </w:r>
      <w:r>
        <w:rPr>
          <w:sz w:val="18"/>
        </w:rPr>
        <w:t>are</w:t>
      </w:r>
      <w:r>
        <w:rPr>
          <w:spacing w:val="-2"/>
          <w:sz w:val="18"/>
        </w:rPr>
        <w:t xml:space="preserve"> </w:t>
      </w:r>
      <w:r>
        <w:rPr>
          <w:sz w:val="18"/>
        </w:rPr>
        <w:t>predominantly</w:t>
      </w:r>
      <w:r>
        <w:rPr>
          <w:spacing w:val="-2"/>
          <w:sz w:val="18"/>
        </w:rPr>
        <w:t xml:space="preserve"> </w:t>
      </w:r>
      <w:r>
        <w:rPr>
          <w:sz w:val="18"/>
        </w:rPr>
        <w:t>hedged</w:t>
      </w:r>
      <w:r>
        <w:rPr>
          <w:spacing w:val="-2"/>
          <w:sz w:val="18"/>
        </w:rPr>
        <w:t xml:space="preserve"> </w:t>
      </w:r>
      <w:r>
        <w:rPr>
          <w:sz w:val="18"/>
        </w:rPr>
        <w:t>where</w:t>
      </w:r>
      <w:r>
        <w:rPr>
          <w:spacing w:val="-5"/>
          <w:sz w:val="18"/>
        </w:rPr>
        <w:t xml:space="preserve"> </w:t>
      </w:r>
      <w:r>
        <w:rPr>
          <w:sz w:val="18"/>
        </w:rPr>
        <w:t>a</w:t>
      </w:r>
      <w:r>
        <w:rPr>
          <w:spacing w:val="-5"/>
          <w:sz w:val="18"/>
        </w:rPr>
        <w:t xml:space="preserve"> </w:t>
      </w:r>
      <w:r>
        <w:rPr>
          <w:sz w:val="18"/>
        </w:rPr>
        <w:t>currency</w:t>
      </w:r>
      <w:r>
        <w:rPr>
          <w:spacing w:val="-4"/>
          <w:sz w:val="18"/>
        </w:rPr>
        <w:t xml:space="preserve"> </w:t>
      </w:r>
      <w:r>
        <w:rPr>
          <w:sz w:val="18"/>
        </w:rPr>
        <w:t>exposure</w:t>
      </w:r>
      <w:r>
        <w:rPr>
          <w:spacing w:val="-4"/>
          <w:sz w:val="18"/>
        </w:rPr>
        <w:t xml:space="preserve"> </w:t>
      </w:r>
      <w:r>
        <w:rPr>
          <w:spacing w:val="-2"/>
          <w:sz w:val="18"/>
        </w:rPr>
        <w:t>exists.</w:t>
      </w:r>
    </w:p>
    <w:p w14:paraId="44C96141" w14:textId="77777777" w:rsidR="00AC6F3C" w:rsidRDefault="00570E88">
      <w:pPr>
        <w:spacing w:before="119"/>
        <w:ind w:left="979" w:right="468"/>
        <w:rPr>
          <w:sz w:val="18"/>
        </w:rPr>
      </w:pPr>
      <w:r>
        <w:rPr>
          <w:sz w:val="18"/>
        </w:rPr>
        <w:t>As part of the Fund’s investment mandate, it may hold units in funds which hold unhedged international securities.</w:t>
      </w:r>
      <w:r>
        <w:rPr>
          <w:spacing w:val="40"/>
          <w:sz w:val="18"/>
        </w:rPr>
        <w:t xml:space="preserve"> </w:t>
      </w:r>
      <w:r>
        <w:rPr>
          <w:sz w:val="18"/>
        </w:rPr>
        <w:t>Any</w:t>
      </w:r>
      <w:r>
        <w:rPr>
          <w:spacing w:val="-3"/>
          <w:sz w:val="18"/>
        </w:rPr>
        <w:t xml:space="preserve"> </w:t>
      </w:r>
      <w:r>
        <w:rPr>
          <w:sz w:val="18"/>
        </w:rPr>
        <w:t>unhedged</w:t>
      </w:r>
      <w:r>
        <w:rPr>
          <w:spacing w:val="-1"/>
          <w:sz w:val="18"/>
        </w:rPr>
        <w:t xml:space="preserve"> </w:t>
      </w:r>
      <w:r>
        <w:rPr>
          <w:sz w:val="18"/>
        </w:rPr>
        <w:t>position</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4"/>
          <w:sz w:val="18"/>
        </w:rPr>
        <w:t xml:space="preserve"> </w:t>
      </w:r>
      <w:r>
        <w:rPr>
          <w:sz w:val="18"/>
        </w:rPr>
        <w:t>the</w:t>
      </w:r>
      <w:r>
        <w:rPr>
          <w:spacing w:val="-1"/>
          <w:sz w:val="18"/>
        </w:rPr>
        <w:t xml:space="preserve"> </w:t>
      </w:r>
      <w:r>
        <w:rPr>
          <w:sz w:val="18"/>
        </w:rPr>
        <w:t>strategic</w:t>
      </w:r>
      <w:r>
        <w:rPr>
          <w:spacing w:val="-3"/>
          <w:sz w:val="18"/>
        </w:rPr>
        <w:t xml:space="preserve"> </w:t>
      </w:r>
      <w:r>
        <w:rPr>
          <w:sz w:val="18"/>
        </w:rPr>
        <w:t>asset</w:t>
      </w:r>
      <w:r>
        <w:rPr>
          <w:spacing w:val="-4"/>
          <w:sz w:val="18"/>
        </w:rPr>
        <w:t xml:space="preserve"> </w:t>
      </w:r>
      <w:r>
        <w:rPr>
          <w:sz w:val="18"/>
        </w:rPr>
        <w:t>allocation,</w:t>
      </w:r>
      <w:r>
        <w:rPr>
          <w:spacing w:val="-4"/>
          <w:sz w:val="18"/>
        </w:rPr>
        <w:t xml:space="preserve"> </w:t>
      </w:r>
      <w:r>
        <w:rPr>
          <w:sz w:val="18"/>
        </w:rPr>
        <w:t>and</w:t>
      </w:r>
      <w:r>
        <w:rPr>
          <w:spacing w:val="-1"/>
          <w:sz w:val="18"/>
        </w:rPr>
        <w:t xml:space="preserve"> </w:t>
      </w:r>
      <w:r>
        <w:rPr>
          <w:sz w:val="18"/>
        </w:rPr>
        <w:t>is</w:t>
      </w:r>
      <w:r>
        <w:rPr>
          <w:spacing w:val="-3"/>
          <w:sz w:val="18"/>
        </w:rPr>
        <w:t xml:space="preserve"> </w:t>
      </w:r>
      <w:r>
        <w:rPr>
          <w:sz w:val="18"/>
        </w:rPr>
        <w:t>monitored regularly by management.</w:t>
      </w:r>
    </w:p>
    <w:p w14:paraId="7CA4CBC2" w14:textId="77777777" w:rsidR="00AC6F3C" w:rsidRDefault="00AC6F3C">
      <w:pPr>
        <w:pStyle w:val="BodyText"/>
        <w:rPr>
          <w:sz w:val="21"/>
        </w:rPr>
      </w:pPr>
    </w:p>
    <w:p w14:paraId="5929C6D0" w14:textId="77777777" w:rsidR="00AC6F3C" w:rsidRDefault="00570E88">
      <w:pPr>
        <w:ind w:left="979"/>
        <w:rPr>
          <w:b/>
          <w:sz w:val="20"/>
        </w:rPr>
      </w:pPr>
      <w:r>
        <w:rPr>
          <w:b/>
          <w:sz w:val="20"/>
        </w:rPr>
        <w:t>Price</w:t>
      </w:r>
      <w:r>
        <w:rPr>
          <w:b/>
          <w:spacing w:val="-8"/>
          <w:sz w:val="20"/>
        </w:rPr>
        <w:t xml:space="preserve"> </w:t>
      </w:r>
      <w:r>
        <w:rPr>
          <w:b/>
          <w:sz w:val="20"/>
        </w:rPr>
        <w:t>and</w:t>
      </w:r>
      <w:r>
        <w:rPr>
          <w:b/>
          <w:spacing w:val="-4"/>
          <w:sz w:val="20"/>
        </w:rPr>
        <w:t xml:space="preserve"> </w:t>
      </w:r>
      <w:r>
        <w:rPr>
          <w:b/>
          <w:sz w:val="20"/>
        </w:rPr>
        <w:t>interest</w:t>
      </w:r>
      <w:r>
        <w:rPr>
          <w:b/>
          <w:spacing w:val="-6"/>
          <w:sz w:val="20"/>
        </w:rPr>
        <w:t xml:space="preserve"> </w:t>
      </w:r>
      <w:r>
        <w:rPr>
          <w:b/>
          <w:sz w:val="20"/>
        </w:rPr>
        <w:t>rate</w:t>
      </w:r>
      <w:r>
        <w:rPr>
          <w:b/>
          <w:spacing w:val="-6"/>
          <w:sz w:val="20"/>
        </w:rPr>
        <w:t xml:space="preserve"> </w:t>
      </w:r>
      <w:r>
        <w:rPr>
          <w:b/>
          <w:spacing w:val="-4"/>
          <w:sz w:val="20"/>
        </w:rPr>
        <w:t>risk</w:t>
      </w:r>
    </w:p>
    <w:p w14:paraId="32BD04C9" w14:textId="77777777" w:rsidR="00AC6F3C" w:rsidRDefault="00570E88">
      <w:pPr>
        <w:spacing w:before="120"/>
        <w:ind w:left="979"/>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exposed</w:t>
      </w:r>
      <w:r>
        <w:rPr>
          <w:spacing w:val="-1"/>
          <w:sz w:val="18"/>
        </w:rPr>
        <w:t xml:space="preserve"> </w:t>
      </w:r>
      <w:r>
        <w:rPr>
          <w:sz w:val="18"/>
        </w:rPr>
        <w:t>to</w:t>
      </w:r>
      <w:r>
        <w:rPr>
          <w:spacing w:val="-4"/>
          <w:sz w:val="18"/>
        </w:rPr>
        <w:t xml:space="preserve"> </w:t>
      </w:r>
      <w:r>
        <w:rPr>
          <w:sz w:val="18"/>
        </w:rPr>
        <w:t>equity</w:t>
      </w:r>
      <w:r>
        <w:rPr>
          <w:spacing w:val="-3"/>
          <w:sz w:val="18"/>
        </w:rPr>
        <w:t xml:space="preserve"> </w:t>
      </w:r>
      <w:r>
        <w:rPr>
          <w:sz w:val="18"/>
        </w:rPr>
        <w:t>securities</w:t>
      </w:r>
      <w:r>
        <w:rPr>
          <w:spacing w:val="-3"/>
          <w:sz w:val="18"/>
        </w:rPr>
        <w:t xml:space="preserve"> </w:t>
      </w:r>
      <w:r>
        <w:rPr>
          <w:sz w:val="18"/>
        </w:rPr>
        <w:t>price</w:t>
      </w:r>
      <w:r>
        <w:rPr>
          <w:spacing w:val="-1"/>
          <w:sz w:val="18"/>
        </w:rPr>
        <w:t xml:space="preserve"> </w:t>
      </w:r>
      <w:r>
        <w:rPr>
          <w:sz w:val="18"/>
        </w:rPr>
        <w:t>risk</w:t>
      </w:r>
      <w:r>
        <w:rPr>
          <w:spacing w:val="-3"/>
          <w:sz w:val="18"/>
        </w:rPr>
        <w:t xml:space="preserve"> </w:t>
      </w:r>
      <w:r>
        <w:rPr>
          <w:sz w:val="18"/>
        </w:rPr>
        <w:t>arising</w:t>
      </w:r>
      <w:r>
        <w:rPr>
          <w:spacing w:val="-1"/>
          <w:sz w:val="18"/>
        </w:rPr>
        <w:t xml:space="preserve"> </w:t>
      </w:r>
      <w:r>
        <w:rPr>
          <w:sz w:val="18"/>
        </w:rPr>
        <w:t>from</w:t>
      </w:r>
      <w:r>
        <w:rPr>
          <w:spacing w:val="-1"/>
          <w:sz w:val="18"/>
        </w:rPr>
        <w:t xml:space="preserve"> </w:t>
      </w:r>
      <w:r>
        <w:rPr>
          <w:sz w:val="18"/>
        </w:rPr>
        <w:t>the</w:t>
      </w:r>
      <w:r>
        <w:rPr>
          <w:spacing w:val="-4"/>
          <w:sz w:val="18"/>
        </w:rPr>
        <w:t xml:space="preserve"> </w:t>
      </w:r>
      <w:r>
        <w:rPr>
          <w:sz w:val="18"/>
        </w:rPr>
        <w:t>investments.</w:t>
      </w:r>
      <w:r>
        <w:rPr>
          <w:spacing w:val="40"/>
          <w:sz w:val="18"/>
        </w:rPr>
        <w:t xml:space="preserve"> </w:t>
      </w:r>
      <w:r>
        <w:rPr>
          <w:sz w:val="18"/>
        </w:rPr>
        <w:t>These</w:t>
      </w:r>
      <w:r>
        <w:rPr>
          <w:spacing w:val="-4"/>
          <w:sz w:val="18"/>
        </w:rPr>
        <w:t xml:space="preserve"> </w:t>
      </w:r>
      <w:r>
        <w:rPr>
          <w:sz w:val="18"/>
        </w:rPr>
        <w:t>securities</w:t>
      </w:r>
      <w:r>
        <w:rPr>
          <w:spacing w:val="-1"/>
          <w:sz w:val="18"/>
        </w:rPr>
        <w:t xml:space="preserve"> </w:t>
      </w:r>
      <w:r>
        <w:rPr>
          <w:sz w:val="18"/>
        </w:rPr>
        <w:t>are</w:t>
      </w:r>
      <w:r>
        <w:rPr>
          <w:spacing w:val="-1"/>
          <w:sz w:val="18"/>
        </w:rPr>
        <w:t xml:space="preserve"> </w:t>
      </w:r>
      <w:r>
        <w:rPr>
          <w:sz w:val="18"/>
        </w:rPr>
        <w:t>held</w:t>
      </w:r>
      <w:r>
        <w:rPr>
          <w:spacing w:val="-1"/>
          <w:sz w:val="18"/>
        </w:rPr>
        <w:t xml:space="preserve"> </w:t>
      </w:r>
      <w:r>
        <w:rPr>
          <w:sz w:val="18"/>
        </w:rPr>
        <w:t>with Australian fund managers.</w:t>
      </w:r>
    </w:p>
    <w:p w14:paraId="186D6A17" w14:textId="77777777" w:rsidR="00AC6F3C" w:rsidRDefault="00570E88">
      <w:pPr>
        <w:spacing w:before="118"/>
        <w:ind w:left="979" w:right="468"/>
        <w:rPr>
          <w:sz w:val="18"/>
        </w:rPr>
      </w:pPr>
      <w:r>
        <w:rPr>
          <w:sz w:val="18"/>
        </w:rPr>
        <w:t>The</w:t>
      </w:r>
      <w:r>
        <w:rPr>
          <w:spacing w:val="-1"/>
          <w:sz w:val="18"/>
        </w:rPr>
        <w:t xml:space="preserve"> </w:t>
      </w:r>
      <w:r>
        <w:rPr>
          <w:sz w:val="18"/>
        </w:rPr>
        <w:t>Fund</w:t>
      </w:r>
      <w:r>
        <w:rPr>
          <w:spacing w:val="-4"/>
          <w:sz w:val="18"/>
        </w:rPr>
        <w:t xml:space="preserve"> </w:t>
      </w:r>
      <w:r>
        <w:rPr>
          <w:sz w:val="18"/>
        </w:rPr>
        <w:t>seeks</w:t>
      </w:r>
      <w:r>
        <w:rPr>
          <w:spacing w:val="-1"/>
          <w:sz w:val="18"/>
        </w:rPr>
        <w:t xml:space="preserve"> </w:t>
      </w:r>
      <w:r>
        <w:rPr>
          <w:sz w:val="18"/>
        </w:rPr>
        <w:t>to</w:t>
      </w:r>
      <w:r>
        <w:rPr>
          <w:spacing w:val="-1"/>
          <w:sz w:val="18"/>
        </w:rPr>
        <w:t xml:space="preserve"> </w:t>
      </w:r>
      <w:r>
        <w:rPr>
          <w:sz w:val="18"/>
        </w:rPr>
        <w:t>reduce</w:t>
      </w:r>
      <w:r>
        <w:rPr>
          <w:spacing w:val="-1"/>
          <w:sz w:val="18"/>
        </w:rPr>
        <w:t xml:space="preserve"> </w:t>
      </w:r>
      <w:r>
        <w:rPr>
          <w:sz w:val="18"/>
        </w:rPr>
        <w:t>risk</w:t>
      </w:r>
      <w:r>
        <w:rPr>
          <w:spacing w:val="-3"/>
          <w:sz w:val="18"/>
        </w:rPr>
        <w:t xml:space="preserve"> </w:t>
      </w:r>
      <w:r>
        <w:rPr>
          <w:sz w:val="18"/>
        </w:rPr>
        <w:t>by</w:t>
      </w:r>
      <w:r>
        <w:rPr>
          <w:spacing w:val="-1"/>
          <w:sz w:val="18"/>
        </w:rPr>
        <w:t xml:space="preserve"> </w:t>
      </w:r>
      <w:r>
        <w:rPr>
          <w:sz w:val="18"/>
        </w:rPr>
        <w:t>diversifying</w:t>
      </w:r>
      <w:r>
        <w:rPr>
          <w:spacing w:val="-1"/>
          <w:sz w:val="18"/>
        </w:rPr>
        <w:t xml:space="preserve"> </w:t>
      </w:r>
      <w:r>
        <w:rPr>
          <w:sz w:val="18"/>
        </w:rPr>
        <w:t>across</w:t>
      </w:r>
      <w:r>
        <w:rPr>
          <w:spacing w:val="-3"/>
          <w:sz w:val="18"/>
        </w:rPr>
        <w:t xml:space="preserve"> </w:t>
      </w:r>
      <w:r>
        <w:rPr>
          <w:sz w:val="18"/>
        </w:rPr>
        <w:t>a</w:t>
      </w:r>
      <w:r>
        <w:rPr>
          <w:spacing w:val="-1"/>
          <w:sz w:val="18"/>
        </w:rPr>
        <w:t xml:space="preserve"> </w:t>
      </w:r>
      <w:r>
        <w:rPr>
          <w:sz w:val="18"/>
        </w:rPr>
        <w:t>range</w:t>
      </w:r>
      <w:r>
        <w:rPr>
          <w:spacing w:val="-4"/>
          <w:sz w:val="18"/>
        </w:rPr>
        <w:t xml:space="preserve"> </w:t>
      </w:r>
      <w:r>
        <w:rPr>
          <w:sz w:val="18"/>
        </w:rPr>
        <w:t>of</w:t>
      </w:r>
      <w:r>
        <w:rPr>
          <w:spacing w:val="-2"/>
          <w:sz w:val="18"/>
        </w:rPr>
        <w:t xml:space="preserve"> </w:t>
      </w:r>
      <w:r>
        <w:rPr>
          <w:sz w:val="18"/>
        </w:rPr>
        <w:t>securities,</w:t>
      </w:r>
      <w:r>
        <w:rPr>
          <w:spacing w:val="-4"/>
          <w:sz w:val="18"/>
        </w:rPr>
        <w:t xml:space="preserve"> </w:t>
      </w:r>
      <w:r>
        <w:rPr>
          <w:sz w:val="18"/>
        </w:rPr>
        <w:t>maturities</w:t>
      </w:r>
      <w:r>
        <w:rPr>
          <w:spacing w:val="-3"/>
          <w:sz w:val="18"/>
        </w:rPr>
        <w:t xml:space="preserve"> </w:t>
      </w:r>
      <w:r>
        <w:rPr>
          <w:sz w:val="18"/>
        </w:rPr>
        <w:t>and</w:t>
      </w:r>
      <w:r>
        <w:rPr>
          <w:spacing w:val="-4"/>
          <w:sz w:val="18"/>
        </w:rPr>
        <w:t xml:space="preserve"> </w:t>
      </w:r>
      <w:r>
        <w:rPr>
          <w:sz w:val="18"/>
        </w:rPr>
        <w:t>counterparties. Investment of funds are subject to risk control limits and constraints as follows:</w:t>
      </w:r>
    </w:p>
    <w:p w14:paraId="388BAA61" w14:textId="77777777" w:rsidR="00AC6F3C" w:rsidRDefault="00AC6F3C">
      <w:pPr>
        <w:pStyle w:val="BodyText"/>
        <w:rPr>
          <w:sz w:val="21"/>
        </w:rPr>
      </w:pPr>
    </w:p>
    <w:p w14:paraId="611423A7" w14:textId="77777777" w:rsidR="00AC6F3C" w:rsidRDefault="00570E88">
      <w:pPr>
        <w:ind w:left="979"/>
        <w:rPr>
          <w:b/>
          <w:sz w:val="18"/>
        </w:rPr>
      </w:pPr>
      <w:r>
        <w:rPr>
          <w:b/>
          <w:sz w:val="18"/>
        </w:rPr>
        <w:t>Duration</w:t>
      </w:r>
      <w:r>
        <w:rPr>
          <w:b/>
          <w:spacing w:val="-3"/>
          <w:sz w:val="18"/>
        </w:rPr>
        <w:t xml:space="preserve"> </w:t>
      </w:r>
      <w:r>
        <w:rPr>
          <w:b/>
          <w:sz w:val="18"/>
        </w:rPr>
        <w:t>and</w:t>
      </w:r>
      <w:r>
        <w:rPr>
          <w:b/>
          <w:spacing w:val="-5"/>
          <w:sz w:val="18"/>
        </w:rPr>
        <w:t xml:space="preserve"> </w:t>
      </w:r>
      <w:r>
        <w:rPr>
          <w:b/>
          <w:sz w:val="18"/>
        </w:rPr>
        <w:t>tracking</w:t>
      </w:r>
      <w:r>
        <w:rPr>
          <w:b/>
          <w:spacing w:val="-3"/>
          <w:sz w:val="18"/>
        </w:rPr>
        <w:t xml:space="preserve"> </w:t>
      </w:r>
      <w:r>
        <w:rPr>
          <w:b/>
          <w:sz w:val="18"/>
        </w:rPr>
        <w:t>error</w:t>
      </w:r>
      <w:r>
        <w:rPr>
          <w:b/>
          <w:spacing w:val="-3"/>
          <w:sz w:val="18"/>
        </w:rPr>
        <w:t xml:space="preserve"> </w:t>
      </w:r>
      <w:r>
        <w:rPr>
          <w:b/>
          <w:sz w:val="18"/>
        </w:rPr>
        <w:t>limits</w:t>
      </w:r>
      <w:r>
        <w:rPr>
          <w:b/>
          <w:spacing w:val="-2"/>
          <w:sz w:val="18"/>
        </w:rPr>
        <w:t xml:space="preserve"> </w:t>
      </w:r>
      <w:r>
        <w:rPr>
          <w:b/>
          <w:sz w:val="18"/>
        </w:rPr>
        <w:t>(interest</w:t>
      </w:r>
      <w:r>
        <w:rPr>
          <w:b/>
          <w:spacing w:val="-3"/>
          <w:sz w:val="18"/>
        </w:rPr>
        <w:t xml:space="preserve"> </w:t>
      </w:r>
      <w:r>
        <w:rPr>
          <w:b/>
          <w:sz w:val="18"/>
        </w:rPr>
        <w:t>rate</w:t>
      </w:r>
      <w:r>
        <w:rPr>
          <w:b/>
          <w:spacing w:val="-1"/>
          <w:sz w:val="18"/>
        </w:rPr>
        <w:t xml:space="preserve"> </w:t>
      </w:r>
      <w:r>
        <w:rPr>
          <w:b/>
          <w:spacing w:val="-2"/>
          <w:sz w:val="18"/>
        </w:rPr>
        <w:t>management)</w:t>
      </w:r>
    </w:p>
    <w:p w14:paraId="5CA8A465" w14:textId="77777777" w:rsidR="00AC6F3C" w:rsidRDefault="00570E88">
      <w:pPr>
        <w:pStyle w:val="ListParagraph"/>
        <w:numPr>
          <w:ilvl w:val="1"/>
          <w:numId w:val="17"/>
        </w:numPr>
        <w:tabs>
          <w:tab w:val="left" w:pos="1692"/>
        </w:tabs>
        <w:spacing w:before="119"/>
        <w:ind w:right="585"/>
        <w:rPr>
          <w:sz w:val="18"/>
        </w:rPr>
      </w:pPr>
      <w:r>
        <w:rPr>
          <w:sz w:val="18"/>
        </w:rPr>
        <w:t>The</w:t>
      </w:r>
      <w:r>
        <w:rPr>
          <w:spacing w:val="-1"/>
          <w:sz w:val="18"/>
        </w:rPr>
        <w:t xml:space="preserve"> </w:t>
      </w:r>
      <w:r>
        <w:rPr>
          <w:sz w:val="18"/>
        </w:rPr>
        <w:t>Modified</w:t>
      </w:r>
      <w:r>
        <w:rPr>
          <w:spacing w:val="-4"/>
          <w:sz w:val="18"/>
        </w:rPr>
        <w:t xml:space="preserve"> </w:t>
      </w:r>
      <w:r>
        <w:rPr>
          <w:sz w:val="18"/>
        </w:rPr>
        <w:t>Duration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funds</w:t>
      </w:r>
      <w:r>
        <w:rPr>
          <w:spacing w:val="-3"/>
          <w:sz w:val="18"/>
        </w:rPr>
        <w:t xml:space="preserve"> </w:t>
      </w:r>
      <w:r>
        <w:rPr>
          <w:sz w:val="18"/>
        </w:rPr>
        <w:t>is</w:t>
      </w:r>
      <w:r>
        <w:rPr>
          <w:spacing w:val="-4"/>
          <w:sz w:val="18"/>
        </w:rPr>
        <w:t xml:space="preserve"> </w:t>
      </w:r>
      <w:r>
        <w:rPr>
          <w:sz w:val="18"/>
        </w:rPr>
        <w:t>constrained</w:t>
      </w:r>
      <w:r>
        <w:rPr>
          <w:spacing w:val="-1"/>
          <w:sz w:val="18"/>
        </w:rPr>
        <w:t xml:space="preserve"> </w:t>
      </w:r>
      <w:r>
        <w:rPr>
          <w:sz w:val="18"/>
        </w:rPr>
        <w:t>within</w:t>
      </w:r>
      <w:r>
        <w:rPr>
          <w:spacing w:val="-4"/>
          <w:sz w:val="18"/>
        </w:rPr>
        <w:t xml:space="preserve"> </w:t>
      </w:r>
      <w:r>
        <w:rPr>
          <w:sz w:val="18"/>
        </w:rPr>
        <w:t>a</w:t>
      </w:r>
      <w:r>
        <w:rPr>
          <w:spacing w:val="-1"/>
          <w:sz w:val="18"/>
        </w:rPr>
        <w:t xml:space="preserve"> </w:t>
      </w:r>
      <w:r>
        <w:rPr>
          <w:sz w:val="18"/>
        </w:rPr>
        <w:t>specified</w:t>
      </w:r>
      <w:r>
        <w:rPr>
          <w:spacing w:val="-4"/>
          <w:sz w:val="18"/>
        </w:rPr>
        <w:t xml:space="preserve"> </w:t>
      </w:r>
      <w:r>
        <w:rPr>
          <w:sz w:val="18"/>
        </w:rPr>
        <w:t>period</w:t>
      </w:r>
      <w:r>
        <w:rPr>
          <w:spacing w:val="-1"/>
          <w:sz w:val="18"/>
        </w:rPr>
        <w:t xml:space="preserve"> </w:t>
      </w:r>
      <w:r>
        <w:rPr>
          <w:sz w:val="18"/>
        </w:rPr>
        <w:t>either</w:t>
      </w:r>
      <w:r>
        <w:rPr>
          <w:spacing w:val="-4"/>
          <w:sz w:val="18"/>
        </w:rPr>
        <w:t xml:space="preserve"> </w:t>
      </w:r>
      <w:r>
        <w:rPr>
          <w:sz w:val="18"/>
        </w:rPr>
        <w:t>side</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Modified Duration of the Benchmark.</w:t>
      </w:r>
    </w:p>
    <w:p w14:paraId="4CB791A7" w14:textId="77777777" w:rsidR="00AC6F3C" w:rsidRDefault="00570E88">
      <w:pPr>
        <w:pStyle w:val="ListParagraph"/>
        <w:numPr>
          <w:ilvl w:val="1"/>
          <w:numId w:val="17"/>
        </w:numPr>
        <w:tabs>
          <w:tab w:val="left" w:pos="1692"/>
        </w:tabs>
        <w:spacing w:before="120"/>
        <w:ind w:right="744"/>
        <w:rPr>
          <w:sz w:val="18"/>
        </w:rPr>
      </w:pPr>
      <w:r>
        <w:rPr>
          <w:sz w:val="18"/>
        </w:rPr>
        <w:t>Rolling</w:t>
      </w:r>
      <w:r>
        <w:rPr>
          <w:spacing w:val="-1"/>
          <w:sz w:val="18"/>
        </w:rPr>
        <w:t xml:space="preserve"> </w:t>
      </w:r>
      <w:r>
        <w:rPr>
          <w:sz w:val="18"/>
        </w:rPr>
        <w:t>year</w:t>
      </w:r>
      <w:r>
        <w:rPr>
          <w:spacing w:val="-2"/>
          <w:sz w:val="18"/>
        </w:rPr>
        <w:t xml:space="preserve"> </w:t>
      </w:r>
      <w:r>
        <w:rPr>
          <w:sz w:val="18"/>
        </w:rPr>
        <w:t>ex</w:t>
      </w:r>
      <w:r>
        <w:rPr>
          <w:spacing w:val="-1"/>
          <w:sz w:val="18"/>
        </w:rPr>
        <w:t xml:space="preserve"> </w:t>
      </w:r>
      <w:r>
        <w:rPr>
          <w:sz w:val="18"/>
        </w:rPr>
        <w:t>post</w:t>
      </w:r>
      <w:r>
        <w:rPr>
          <w:spacing w:val="-4"/>
          <w:sz w:val="18"/>
        </w:rPr>
        <w:t xml:space="preserve"> </w:t>
      </w:r>
      <w:r>
        <w:rPr>
          <w:sz w:val="18"/>
        </w:rPr>
        <w:t>tracking</w:t>
      </w:r>
      <w:r>
        <w:rPr>
          <w:spacing w:val="-1"/>
          <w:sz w:val="18"/>
        </w:rPr>
        <w:t xml:space="preserve"> </w:t>
      </w:r>
      <w:r>
        <w:rPr>
          <w:sz w:val="18"/>
        </w:rPr>
        <w:t>error</w:t>
      </w:r>
      <w:r>
        <w:rPr>
          <w:spacing w:val="-2"/>
          <w:sz w:val="18"/>
        </w:rPr>
        <w:t xml:space="preserve"> </w:t>
      </w:r>
      <w:r>
        <w:rPr>
          <w:sz w:val="18"/>
        </w:rPr>
        <w:t>will</w:t>
      </w:r>
      <w:r>
        <w:rPr>
          <w:spacing w:val="-4"/>
          <w:sz w:val="18"/>
        </w:rPr>
        <w:t xml:space="preserve"> </w:t>
      </w:r>
      <w:r>
        <w:rPr>
          <w:sz w:val="18"/>
        </w:rPr>
        <w:t>be</w:t>
      </w:r>
      <w:r>
        <w:rPr>
          <w:spacing w:val="-4"/>
          <w:sz w:val="18"/>
        </w:rPr>
        <w:t xml:space="preserve"> </w:t>
      </w:r>
      <w:r>
        <w:rPr>
          <w:sz w:val="18"/>
        </w:rPr>
        <w:t>limited</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specified</w:t>
      </w:r>
      <w:r>
        <w:rPr>
          <w:spacing w:val="-1"/>
          <w:sz w:val="18"/>
        </w:rPr>
        <w:t xml:space="preserve"> </w:t>
      </w:r>
      <w:r>
        <w:rPr>
          <w:sz w:val="18"/>
        </w:rPr>
        <w:t>number</w:t>
      </w:r>
      <w:r>
        <w:rPr>
          <w:spacing w:val="-4"/>
          <w:sz w:val="18"/>
        </w:rPr>
        <w:t xml:space="preserve"> </w:t>
      </w:r>
      <w:r>
        <w:rPr>
          <w:sz w:val="18"/>
        </w:rPr>
        <w:t>of</w:t>
      </w:r>
      <w:r>
        <w:rPr>
          <w:spacing w:val="-2"/>
          <w:sz w:val="18"/>
        </w:rPr>
        <w:t xml:space="preserve"> </w:t>
      </w:r>
      <w:r>
        <w:rPr>
          <w:sz w:val="18"/>
        </w:rPr>
        <w:t>basis</w:t>
      </w:r>
      <w:r>
        <w:rPr>
          <w:spacing w:val="-1"/>
          <w:sz w:val="18"/>
        </w:rPr>
        <w:t xml:space="preserve"> </w:t>
      </w:r>
      <w:r>
        <w:rPr>
          <w:sz w:val="18"/>
        </w:rPr>
        <w:t>points.</w:t>
      </w:r>
      <w:r>
        <w:rPr>
          <w:spacing w:val="-2"/>
          <w:sz w:val="18"/>
        </w:rPr>
        <w:t xml:space="preserve"> </w:t>
      </w:r>
      <w:r>
        <w:rPr>
          <w:sz w:val="18"/>
        </w:rPr>
        <w:t>The</w:t>
      </w:r>
      <w:r>
        <w:rPr>
          <w:spacing w:val="-4"/>
          <w:sz w:val="18"/>
        </w:rPr>
        <w:t xml:space="preserve"> </w:t>
      </w:r>
      <w:r>
        <w:rPr>
          <w:sz w:val="18"/>
        </w:rPr>
        <w:t>ex-ante tracking error of the funds is not expected to exceed a specified number of basis points.</w:t>
      </w:r>
    </w:p>
    <w:p w14:paraId="395BA124" w14:textId="77777777" w:rsidR="00AC6F3C" w:rsidRDefault="00AC6F3C">
      <w:pPr>
        <w:pStyle w:val="BodyText"/>
        <w:spacing w:before="7"/>
      </w:pPr>
    </w:p>
    <w:p w14:paraId="0B41A405" w14:textId="77777777" w:rsidR="00AC6F3C" w:rsidRDefault="00570E88">
      <w:pPr>
        <w:ind w:left="979"/>
        <w:rPr>
          <w:b/>
          <w:sz w:val="18"/>
        </w:rPr>
      </w:pPr>
      <w:r>
        <w:rPr>
          <w:b/>
          <w:sz w:val="18"/>
        </w:rPr>
        <w:t>Sector</w:t>
      </w:r>
      <w:r>
        <w:rPr>
          <w:b/>
          <w:spacing w:val="-6"/>
          <w:sz w:val="18"/>
        </w:rPr>
        <w:t xml:space="preserve"> </w:t>
      </w:r>
      <w:r>
        <w:rPr>
          <w:b/>
          <w:sz w:val="18"/>
        </w:rPr>
        <w:t>Exposure</w:t>
      </w:r>
      <w:r>
        <w:rPr>
          <w:b/>
          <w:spacing w:val="-1"/>
          <w:sz w:val="18"/>
        </w:rPr>
        <w:t xml:space="preserve"> </w:t>
      </w:r>
      <w:r>
        <w:rPr>
          <w:b/>
          <w:spacing w:val="-4"/>
          <w:sz w:val="18"/>
        </w:rPr>
        <w:t>Bands</w:t>
      </w:r>
    </w:p>
    <w:p w14:paraId="703E014C" w14:textId="77777777" w:rsidR="00AC6F3C" w:rsidRDefault="00570E88">
      <w:pPr>
        <w:pStyle w:val="ListParagraph"/>
        <w:numPr>
          <w:ilvl w:val="1"/>
          <w:numId w:val="17"/>
        </w:numPr>
        <w:tabs>
          <w:tab w:val="left" w:pos="1692"/>
        </w:tabs>
        <w:spacing w:before="122"/>
        <w:ind w:right="592"/>
        <w:rPr>
          <w:sz w:val="18"/>
        </w:rPr>
      </w:pPr>
      <w:r>
        <w:rPr>
          <w:sz w:val="18"/>
        </w:rPr>
        <w:t>The</w:t>
      </w:r>
      <w:r>
        <w:rPr>
          <w:spacing w:val="-2"/>
          <w:sz w:val="18"/>
        </w:rPr>
        <w:t xml:space="preserve"> </w:t>
      </w:r>
      <w:r>
        <w:rPr>
          <w:sz w:val="18"/>
        </w:rPr>
        <w:t>weighting</w:t>
      </w:r>
      <w:r>
        <w:rPr>
          <w:spacing w:val="-2"/>
          <w:sz w:val="18"/>
        </w:rPr>
        <w:t xml:space="preserve"> </w:t>
      </w:r>
      <w:r>
        <w:rPr>
          <w:sz w:val="18"/>
        </w:rPr>
        <w:t>of</w:t>
      </w:r>
      <w:r>
        <w:rPr>
          <w:spacing w:val="-2"/>
          <w:sz w:val="18"/>
        </w:rPr>
        <w:t xml:space="preserve"> </w:t>
      </w:r>
      <w:r>
        <w:rPr>
          <w:sz w:val="18"/>
        </w:rPr>
        <w:t>each</w:t>
      </w:r>
      <w:r>
        <w:rPr>
          <w:spacing w:val="-4"/>
          <w:sz w:val="18"/>
        </w:rPr>
        <w:t xml:space="preserve"> </w:t>
      </w:r>
      <w:r>
        <w:rPr>
          <w:sz w:val="18"/>
        </w:rPr>
        <w:t>sector</w:t>
      </w:r>
      <w:r>
        <w:rPr>
          <w:spacing w:val="-2"/>
          <w:sz w:val="18"/>
        </w:rPr>
        <w:t xml:space="preserve"> </w:t>
      </w:r>
      <w:r>
        <w:rPr>
          <w:sz w:val="18"/>
        </w:rPr>
        <w:t>(e.g.</w:t>
      </w:r>
      <w:r>
        <w:rPr>
          <w:spacing w:val="-2"/>
          <w:sz w:val="18"/>
        </w:rPr>
        <w:t xml:space="preserve"> </w:t>
      </w:r>
      <w:r>
        <w:rPr>
          <w:sz w:val="18"/>
        </w:rPr>
        <w:t>domestic,</w:t>
      </w:r>
      <w:r>
        <w:rPr>
          <w:spacing w:val="-4"/>
          <w:sz w:val="18"/>
        </w:rPr>
        <w:t xml:space="preserve"> </w:t>
      </w:r>
      <w:r>
        <w:rPr>
          <w:sz w:val="18"/>
        </w:rPr>
        <w:t>international</w:t>
      </w:r>
      <w:r>
        <w:rPr>
          <w:spacing w:val="-2"/>
          <w:sz w:val="18"/>
        </w:rPr>
        <w:t xml:space="preserve"> </w:t>
      </w:r>
      <w:r>
        <w:rPr>
          <w:sz w:val="18"/>
        </w:rPr>
        <w:t>–</w:t>
      </w:r>
      <w:r>
        <w:rPr>
          <w:spacing w:val="-2"/>
          <w:sz w:val="18"/>
        </w:rPr>
        <w:t xml:space="preserve"> </w:t>
      </w:r>
      <w:r>
        <w:rPr>
          <w:sz w:val="18"/>
        </w:rPr>
        <w:t>government,</w:t>
      </w:r>
      <w:r>
        <w:rPr>
          <w:spacing w:val="-2"/>
          <w:sz w:val="18"/>
        </w:rPr>
        <w:t xml:space="preserve"> </w:t>
      </w:r>
      <w:r>
        <w:rPr>
          <w:sz w:val="18"/>
        </w:rPr>
        <w:t>non-government)</w:t>
      </w:r>
      <w:r>
        <w:rPr>
          <w:spacing w:val="-4"/>
          <w:sz w:val="18"/>
        </w:rPr>
        <w:t xml:space="preserve"> </w:t>
      </w:r>
      <w:r>
        <w:rPr>
          <w:sz w:val="18"/>
        </w:rPr>
        <w:t>within</w:t>
      </w:r>
      <w:r>
        <w:rPr>
          <w:spacing w:val="-4"/>
          <w:sz w:val="18"/>
        </w:rPr>
        <w:t xml:space="preserve"> </w:t>
      </w:r>
      <w:r>
        <w:rPr>
          <w:sz w:val="18"/>
        </w:rPr>
        <w:t>the funds will be maintained in specified limits as per the investment policy.</w:t>
      </w:r>
    </w:p>
    <w:p w14:paraId="15C4A444" w14:textId="77777777" w:rsidR="00AC6F3C" w:rsidRDefault="00AC6F3C">
      <w:pPr>
        <w:pStyle w:val="BodyText"/>
        <w:spacing w:before="7"/>
      </w:pPr>
    </w:p>
    <w:p w14:paraId="33DE8EA9" w14:textId="77777777" w:rsidR="00AC6F3C" w:rsidRDefault="00570E88">
      <w:pPr>
        <w:ind w:left="979"/>
        <w:rPr>
          <w:b/>
          <w:sz w:val="18"/>
        </w:rPr>
      </w:pPr>
      <w:r>
        <w:rPr>
          <w:b/>
          <w:sz w:val="18"/>
        </w:rPr>
        <w:t>Credit</w:t>
      </w:r>
      <w:r>
        <w:rPr>
          <w:b/>
          <w:spacing w:val="-2"/>
          <w:sz w:val="18"/>
        </w:rPr>
        <w:t xml:space="preserve"> limits</w:t>
      </w:r>
    </w:p>
    <w:p w14:paraId="7C13A795" w14:textId="77777777" w:rsidR="00AC6F3C" w:rsidRDefault="00570E88">
      <w:pPr>
        <w:pStyle w:val="ListParagraph"/>
        <w:numPr>
          <w:ilvl w:val="1"/>
          <w:numId w:val="17"/>
        </w:numPr>
        <w:tabs>
          <w:tab w:val="left" w:pos="1692"/>
        </w:tabs>
        <w:spacing w:before="119"/>
        <w:ind w:hanging="355"/>
        <w:rPr>
          <w:sz w:val="18"/>
        </w:rPr>
      </w:pPr>
      <w:r>
        <w:rPr>
          <w:sz w:val="18"/>
        </w:rPr>
        <w:t>The</w:t>
      </w:r>
      <w:r>
        <w:rPr>
          <w:spacing w:val="-3"/>
          <w:sz w:val="18"/>
        </w:rPr>
        <w:t xml:space="preserve"> </w:t>
      </w:r>
      <w:r>
        <w:rPr>
          <w:sz w:val="18"/>
        </w:rPr>
        <w:t>funds</w:t>
      </w:r>
      <w:r>
        <w:rPr>
          <w:spacing w:val="-3"/>
          <w:sz w:val="18"/>
        </w:rPr>
        <w:t xml:space="preserve"> </w:t>
      </w:r>
      <w:r>
        <w:rPr>
          <w:sz w:val="18"/>
        </w:rPr>
        <w:t>will</w:t>
      </w:r>
      <w:r>
        <w:rPr>
          <w:spacing w:val="-3"/>
          <w:sz w:val="18"/>
        </w:rPr>
        <w:t xml:space="preserve"> </w:t>
      </w:r>
      <w:r>
        <w:rPr>
          <w:sz w:val="18"/>
        </w:rPr>
        <w:t>be</w:t>
      </w:r>
      <w:r>
        <w:rPr>
          <w:spacing w:val="-4"/>
          <w:sz w:val="18"/>
        </w:rPr>
        <w:t xml:space="preserve"> </w:t>
      </w:r>
      <w:r>
        <w:rPr>
          <w:sz w:val="18"/>
        </w:rPr>
        <w:t>invested in</w:t>
      </w:r>
      <w:r>
        <w:rPr>
          <w:spacing w:val="-1"/>
          <w:sz w:val="18"/>
        </w:rPr>
        <w:t xml:space="preserve"> </w:t>
      </w:r>
      <w:r>
        <w:rPr>
          <w:sz w:val="18"/>
        </w:rPr>
        <w:t>a</w:t>
      </w:r>
      <w:r>
        <w:rPr>
          <w:spacing w:val="-3"/>
          <w:sz w:val="18"/>
        </w:rPr>
        <w:t xml:space="preserve"> </w:t>
      </w:r>
      <w:r>
        <w:rPr>
          <w:sz w:val="18"/>
        </w:rPr>
        <w:t>broad</w:t>
      </w:r>
      <w:r>
        <w:rPr>
          <w:spacing w:val="-4"/>
          <w:sz w:val="18"/>
        </w:rPr>
        <w:t xml:space="preserve"> </w:t>
      </w:r>
      <w:r>
        <w:rPr>
          <w:sz w:val="18"/>
        </w:rPr>
        <w:t>and</w:t>
      </w:r>
      <w:r>
        <w:rPr>
          <w:spacing w:val="-4"/>
          <w:sz w:val="18"/>
        </w:rPr>
        <w:t xml:space="preserve"> </w:t>
      </w:r>
      <w:r>
        <w:rPr>
          <w:sz w:val="18"/>
        </w:rPr>
        <w:t>diversified range</w:t>
      </w:r>
      <w:r>
        <w:rPr>
          <w:spacing w:val="-4"/>
          <w:sz w:val="18"/>
        </w:rPr>
        <w:t xml:space="preserve"> </w:t>
      </w:r>
      <w:r>
        <w:rPr>
          <w:sz w:val="18"/>
        </w:rPr>
        <w:t>of</w:t>
      </w:r>
      <w:r>
        <w:rPr>
          <w:spacing w:val="-3"/>
          <w:sz w:val="18"/>
        </w:rPr>
        <w:t xml:space="preserve"> </w:t>
      </w:r>
      <w:r>
        <w:rPr>
          <w:sz w:val="18"/>
        </w:rPr>
        <w:t>securities</w:t>
      </w:r>
      <w:r>
        <w:rPr>
          <w:spacing w:val="-3"/>
          <w:sz w:val="18"/>
        </w:rPr>
        <w:t xml:space="preserve"> </w:t>
      </w:r>
      <w:r>
        <w:rPr>
          <w:sz w:val="18"/>
        </w:rPr>
        <w:t>across the</w:t>
      </w:r>
      <w:r>
        <w:rPr>
          <w:spacing w:val="-1"/>
          <w:sz w:val="18"/>
        </w:rPr>
        <w:t xml:space="preserve"> </w:t>
      </w:r>
      <w:r>
        <w:rPr>
          <w:sz w:val="18"/>
        </w:rPr>
        <w:t>credit</w:t>
      </w:r>
      <w:r>
        <w:rPr>
          <w:spacing w:val="-3"/>
          <w:sz w:val="18"/>
        </w:rPr>
        <w:t xml:space="preserve"> </w:t>
      </w:r>
      <w:r>
        <w:rPr>
          <w:spacing w:val="-2"/>
          <w:sz w:val="18"/>
        </w:rPr>
        <w:t>spectrum.</w:t>
      </w:r>
    </w:p>
    <w:p w14:paraId="1910F631" w14:textId="77777777" w:rsidR="00AC6F3C" w:rsidRDefault="00AC6F3C">
      <w:pPr>
        <w:pStyle w:val="BodyText"/>
        <w:spacing w:before="11"/>
      </w:pPr>
    </w:p>
    <w:p w14:paraId="3AC18167" w14:textId="77777777" w:rsidR="00AC6F3C" w:rsidRDefault="00570E88">
      <w:pPr>
        <w:ind w:left="979"/>
        <w:rPr>
          <w:b/>
          <w:sz w:val="18"/>
        </w:rPr>
      </w:pPr>
      <w:r>
        <w:rPr>
          <w:b/>
          <w:sz w:val="18"/>
        </w:rPr>
        <w:t>Credit</w:t>
      </w:r>
      <w:r>
        <w:rPr>
          <w:b/>
          <w:spacing w:val="-3"/>
          <w:sz w:val="18"/>
        </w:rPr>
        <w:t xml:space="preserve"> </w:t>
      </w:r>
      <w:r>
        <w:rPr>
          <w:b/>
          <w:sz w:val="18"/>
        </w:rPr>
        <w:t>risk</w:t>
      </w:r>
      <w:r>
        <w:rPr>
          <w:b/>
          <w:spacing w:val="-2"/>
          <w:sz w:val="18"/>
        </w:rPr>
        <w:t xml:space="preserve"> </w:t>
      </w:r>
      <w:r>
        <w:rPr>
          <w:b/>
          <w:sz w:val="18"/>
        </w:rPr>
        <w:t>limits</w:t>
      </w:r>
      <w:r>
        <w:rPr>
          <w:b/>
          <w:spacing w:val="-2"/>
          <w:sz w:val="18"/>
        </w:rPr>
        <w:t xml:space="preserve"> </w:t>
      </w:r>
      <w:r>
        <w:rPr>
          <w:b/>
          <w:sz w:val="18"/>
        </w:rPr>
        <w:t>for</w:t>
      </w:r>
      <w:r>
        <w:rPr>
          <w:b/>
          <w:spacing w:val="-3"/>
          <w:sz w:val="18"/>
        </w:rPr>
        <w:t xml:space="preserve"> </w:t>
      </w:r>
      <w:r>
        <w:rPr>
          <w:b/>
          <w:sz w:val="18"/>
        </w:rPr>
        <w:t>individual</w:t>
      </w:r>
      <w:r>
        <w:rPr>
          <w:b/>
          <w:spacing w:val="-3"/>
          <w:sz w:val="18"/>
        </w:rPr>
        <w:t xml:space="preserve"> </w:t>
      </w:r>
      <w:r>
        <w:rPr>
          <w:b/>
          <w:sz w:val="18"/>
        </w:rPr>
        <w:t>security</w:t>
      </w:r>
      <w:r>
        <w:rPr>
          <w:b/>
          <w:spacing w:val="-1"/>
          <w:sz w:val="18"/>
        </w:rPr>
        <w:t xml:space="preserve"> </w:t>
      </w:r>
      <w:r>
        <w:rPr>
          <w:b/>
          <w:spacing w:val="-2"/>
          <w:sz w:val="18"/>
        </w:rPr>
        <w:t>investments</w:t>
      </w:r>
    </w:p>
    <w:p w14:paraId="2C8E30D3" w14:textId="77777777" w:rsidR="00AC6F3C" w:rsidRDefault="00570E88">
      <w:pPr>
        <w:pStyle w:val="ListParagraph"/>
        <w:numPr>
          <w:ilvl w:val="1"/>
          <w:numId w:val="17"/>
        </w:numPr>
        <w:tabs>
          <w:tab w:val="left" w:pos="1692"/>
        </w:tabs>
        <w:spacing w:before="119"/>
        <w:ind w:right="576"/>
        <w:rPr>
          <w:sz w:val="18"/>
        </w:rPr>
      </w:pPr>
      <w:r>
        <w:rPr>
          <w:sz w:val="18"/>
        </w:rPr>
        <w:t>Individual</w:t>
      </w:r>
      <w:r>
        <w:rPr>
          <w:spacing w:val="-4"/>
          <w:sz w:val="18"/>
        </w:rPr>
        <w:t xml:space="preserve"> </w:t>
      </w:r>
      <w:r>
        <w:rPr>
          <w:sz w:val="18"/>
        </w:rPr>
        <w:t>security</w:t>
      </w:r>
      <w:r>
        <w:rPr>
          <w:spacing w:val="-1"/>
          <w:sz w:val="18"/>
        </w:rPr>
        <w:t xml:space="preserve"> </w:t>
      </w:r>
      <w:r>
        <w:rPr>
          <w:sz w:val="18"/>
        </w:rPr>
        <w:t>limits</w:t>
      </w:r>
      <w:r>
        <w:rPr>
          <w:spacing w:val="-3"/>
          <w:sz w:val="18"/>
        </w:rPr>
        <w:t xml:space="preserve"> </w:t>
      </w:r>
      <w:r>
        <w:rPr>
          <w:sz w:val="18"/>
        </w:rPr>
        <w:t>apply</w:t>
      </w:r>
      <w:r>
        <w:rPr>
          <w:spacing w:val="-3"/>
          <w:sz w:val="18"/>
        </w:rPr>
        <w:t xml:space="preserve"> </w:t>
      </w:r>
      <w:r>
        <w:rPr>
          <w:sz w:val="18"/>
        </w:rPr>
        <w:t>for</w:t>
      </w:r>
      <w:r>
        <w:rPr>
          <w:spacing w:val="-2"/>
          <w:sz w:val="18"/>
        </w:rPr>
        <w:t xml:space="preserve"> </w:t>
      </w:r>
      <w:r>
        <w:rPr>
          <w:sz w:val="18"/>
        </w:rPr>
        <w:t>direct</w:t>
      </w:r>
      <w:r>
        <w:rPr>
          <w:spacing w:val="-4"/>
          <w:sz w:val="18"/>
        </w:rPr>
        <w:t xml:space="preserve"> </w:t>
      </w:r>
      <w:r>
        <w:rPr>
          <w:sz w:val="18"/>
        </w:rPr>
        <w:t>physical</w:t>
      </w:r>
      <w:r>
        <w:rPr>
          <w:spacing w:val="-4"/>
          <w:sz w:val="18"/>
        </w:rPr>
        <w:t xml:space="preserve"> </w:t>
      </w:r>
      <w:r>
        <w:rPr>
          <w:sz w:val="18"/>
        </w:rPr>
        <w:t>holdings</w:t>
      </w:r>
      <w:r>
        <w:rPr>
          <w:spacing w:val="-3"/>
          <w:sz w:val="18"/>
        </w:rPr>
        <w:t xml:space="preserve"> </w:t>
      </w:r>
      <w:r>
        <w:rPr>
          <w:sz w:val="18"/>
        </w:rPr>
        <w:t>based</w:t>
      </w:r>
      <w:r>
        <w:rPr>
          <w:spacing w:val="-4"/>
          <w:sz w:val="18"/>
        </w:rPr>
        <w:t xml:space="preserve"> </w:t>
      </w:r>
      <w:r>
        <w:rPr>
          <w:sz w:val="18"/>
        </w:rPr>
        <w:t>on</w:t>
      </w:r>
      <w:r>
        <w:rPr>
          <w:spacing w:val="-2"/>
          <w:sz w:val="18"/>
        </w:rPr>
        <w:t xml:space="preserve"> </w:t>
      </w:r>
      <w:r>
        <w:rPr>
          <w:sz w:val="18"/>
        </w:rPr>
        <w:t>their</w:t>
      </w:r>
      <w:r>
        <w:rPr>
          <w:spacing w:val="-4"/>
          <w:sz w:val="18"/>
        </w:rPr>
        <w:t xml:space="preserve"> </w:t>
      </w:r>
      <w:r>
        <w:rPr>
          <w:sz w:val="18"/>
        </w:rPr>
        <w:t>credit</w:t>
      </w:r>
      <w:r>
        <w:rPr>
          <w:spacing w:val="-2"/>
          <w:sz w:val="18"/>
        </w:rPr>
        <w:t xml:space="preserve"> </w:t>
      </w:r>
      <w:r>
        <w:rPr>
          <w:sz w:val="18"/>
        </w:rPr>
        <w:t>rating</w:t>
      </w:r>
      <w:r>
        <w:rPr>
          <w:spacing w:val="-4"/>
          <w:sz w:val="18"/>
        </w:rPr>
        <w:t xml:space="preserve"> </w:t>
      </w:r>
      <w:r>
        <w:rPr>
          <w:sz w:val="18"/>
        </w:rPr>
        <w:t>and</w:t>
      </w:r>
      <w:r>
        <w:rPr>
          <w:spacing w:val="-4"/>
          <w:sz w:val="18"/>
        </w:rPr>
        <w:t xml:space="preserve"> </w:t>
      </w:r>
      <w:r>
        <w:rPr>
          <w:sz w:val="18"/>
        </w:rPr>
        <w:t>inclusion</w:t>
      </w:r>
      <w:r>
        <w:rPr>
          <w:spacing w:val="-1"/>
          <w:sz w:val="18"/>
        </w:rPr>
        <w:t xml:space="preserve"> </w:t>
      </w:r>
      <w:r>
        <w:rPr>
          <w:sz w:val="18"/>
        </w:rPr>
        <w:t>in the benchmark.</w:t>
      </w:r>
    </w:p>
    <w:p w14:paraId="65F3D169" w14:textId="77777777" w:rsidR="00AC6F3C" w:rsidRDefault="00AC6F3C">
      <w:pPr>
        <w:pStyle w:val="BodyText"/>
        <w:spacing w:before="7"/>
      </w:pPr>
    </w:p>
    <w:p w14:paraId="55B5A347" w14:textId="77777777" w:rsidR="00AC6F3C" w:rsidRDefault="00570E88">
      <w:pPr>
        <w:ind w:left="979"/>
        <w:rPr>
          <w:sz w:val="18"/>
        </w:rPr>
      </w:pPr>
      <w:r>
        <w:rPr>
          <w:sz w:val="18"/>
        </w:rPr>
        <w:t>Management</w:t>
      </w:r>
      <w:r>
        <w:rPr>
          <w:spacing w:val="-3"/>
          <w:sz w:val="18"/>
        </w:rPr>
        <w:t xml:space="preserve"> </w:t>
      </w:r>
      <w:r>
        <w:rPr>
          <w:sz w:val="18"/>
        </w:rPr>
        <w:t>regularly</w:t>
      </w:r>
      <w:r>
        <w:rPr>
          <w:spacing w:val="-2"/>
          <w:sz w:val="18"/>
        </w:rPr>
        <w:t xml:space="preserve"> </w:t>
      </w:r>
      <w:r>
        <w:rPr>
          <w:sz w:val="18"/>
        </w:rPr>
        <w:t>review</w:t>
      </w:r>
      <w:r>
        <w:rPr>
          <w:spacing w:val="-6"/>
          <w:sz w:val="18"/>
        </w:rPr>
        <w:t xml:space="preserve"> </w:t>
      </w:r>
      <w:r>
        <w:rPr>
          <w:sz w:val="18"/>
        </w:rPr>
        <w:t>the</w:t>
      </w:r>
      <w:r>
        <w:rPr>
          <w:spacing w:val="-2"/>
          <w:sz w:val="18"/>
        </w:rPr>
        <w:t xml:space="preserve"> </w:t>
      </w:r>
      <w:r>
        <w:rPr>
          <w:sz w:val="18"/>
        </w:rPr>
        <w:t>performance</w:t>
      </w:r>
      <w:r>
        <w:rPr>
          <w:spacing w:val="-2"/>
          <w:sz w:val="18"/>
        </w:rPr>
        <w:t xml:space="preserve"> </w:t>
      </w:r>
      <w:r>
        <w:rPr>
          <w:sz w:val="18"/>
        </w:rPr>
        <w:t>and</w:t>
      </w:r>
      <w:r>
        <w:rPr>
          <w:spacing w:val="-2"/>
          <w:sz w:val="18"/>
        </w:rPr>
        <w:t xml:space="preserve"> </w:t>
      </w:r>
      <w:r>
        <w:rPr>
          <w:sz w:val="18"/>
        </w:rPr>
        <w:t>ensure</w:t>
      </w:r>
      <w:r>
        <w:rPr>
          <w:spacing w:val="-2"/>
          <w:sz w:val="18"/>
        </w:rPr>
        <w:t xml:space="preserve"> </w:t>
      </w:r>
      <w:r>
        <w:rPr>
          <w:sz w:val="18"/>
        </w:rPr>
        <w:t>all</w:t>
      </w:r>
      <w:r>
        <w:rPr>
          <w:spacing w:val="-2"/>
          <w:sz w:val="18"/>
        </w:rPr>
        <w:t xml:space="preserve"> </w:t>
      </w:r>
      <w:r>
        <w:rPr>
          <w:sz w:val="18"/>
        </w:rPr>
        <w:t>investments</w:t>
      </w:r>
      <w:r>
        <w:rPr>
          <w:spacing w:val="-4"/>
          <w:sz w:val="18"/>
        </w:rPr>
        <w:t xml:space="preserve"> </w:t>
      </w:r>
      <w:r>
        <w:rPr>
          <w:sz w:val="18"/>
        </w:rPr>
        <w:t>held</w:t>
      </w:r>
      <w:r>
        <w:rPr>
          <w:spacing w:val="-2"/>
          <w:sz w:val="18"/>
        </w:rPr>
        <w:t xml:space="preserve"> </w:t>
      </w:r>
      <w:r>
        <w:rPr>
          <w:sz w:val="18"/>
        </w:rPr>
        <w:t>are</w:t>
      </w:r>
      <w:r>
        <w:rPr>
          <w:spacing w:val="-5"/>
          <w:sz w:val="18"/>
        </w:rPr>
        <w:t xml:space="preserve"> </w:t>
      </w:r>
      <w:r>
        <w:rPr>
          <w:sz w:val="18"/>
        </w:rPr>
        <w:t>within</w:t>
      </w:r>
      <w:r>
        <w:rPr>
          <w:spacing w:val="-2"/>
          <w:sz w:val="18"/>
        </w:rPr>
        <w:t xml:space="preserve"> </w:t>
      </w:r>
      <w:r>
        <w:rPr>
          <w:sz w:val="18"/>
        </w:rPr>
        <w:t>the</w:t>
      </w:r>
      <w:r>
        <w:rPr>
          <w:spacing w:val="-2"/>
          <w:sz w:val="18"/>
        </w:rPr>
        <w:t xml:space="preserve"> </w:t>
      </w:r>
      <w:r>
        <w:rPr>
          <w:sz w:val="18"/>
        </w:rPr>
        <w:t>approved</w:t>
      </w:r>
      <w:r>
        <w:rPr>
          <w:spacing w:val="-4"/>
          <w:sz w:val="18"/>
        </w:rPr>
        <w:t xml:space="preserve"> </w:t>
      </w:r>
      <w:r>
        <w:rPr>
          <w:spacing w:val="-2"/>
          <w:sz w:val="18"/>
        </w:rPr>
        <w:t>mandate.</w:t>
      </w:r>
    </w:p>
    <w:p w14:paraId="3445B77B" w14:textId="77777777" w:rsidR="00AC6F3C" w:rsidRDefault="00AC6F3C">
      <w:pPr>
        <w:pStyle w:val="BodyText"/>
        <w:spacing w:before="10"/>
      </w:pPr>
    </w:p>
    <w:p w14:paraId="719CB79B" w14:textId="77777777" w:rsidR="00AC6F3C" w:rsidRDefault="00570E88">
      <w:pPr>
        <w:ind w:left="979"/>
        <w:rPr>
          <w:b/>
          <w:sz w:val="20"/>
        </w:rPr>
      </w:pPr>
      <w:r>
        <w:rPr>
          <w:b/>
          <w:spacing w:val="-2"/>
          <w:sz w:val="20"/>
        </w:rPr>
        <w:t>Sensitivity</w:t>
      </w:r>
      <w:r>
        <w:rPr>
          <w:b/>
          <w:spacing w:val="5"/>
          <w:sz w:val="20"/>
        </w:rPr>
        <w:t xml:space="preserve"> </w:t>
      </w:r>
      <w:r>
        <w:rPr>
          <w:b/>
          <w:spacing w:val="-2"/>
          <w:sz w:val="20"/>
        </w:rPr>
        <w:t>analysis</w:t>
      </w:r>
    </w:p>
    <w:p w14:paraId="243CB1EB" w14:textId="77777777" w:rsidR="00AC6F3C" w:rsidRDefault="00AC6F3C">
      <w:pPr>
        <w:pStyle w:val="BodyText"/>
        <w:spacing w:before="10"/>
        <w:rPr>
          <w:b/>
        </w:rPr>
      </w:pPr>
    </w:p>
    <w:p w14:paraId="47823A8B" w14:textId="77777777" w:rsidR="00AC6F3C" w:rsidRDefault="00570E88">
      <w:pPr>
        <w:ind w:left="980" w:right="467" w:hanging="1"/>
        <w:jc w:val="both"/>
        <w:rPr>
          <w:sz w:val="18"/>
        </w:rPr>
      </w:pPr>
      <w:r>
        <w:rPr>
          <w:sz w:val="18"/>
        </w:rPr>
        <w:t>Financial</w:t>
      </w:r>
      <w:r>
        <w:rPr>
          <w:spacing w:val="-1"/>
          <w:sz w:val="18"/>
        </w:rPr>
        <w:t xml:space="preserve"> </w:t>
      </w:r>
      <w:r>
        <w:rPr>
          <w:sz w:val="18"/>
        </w:rPr>
        <w:t>assets</w:t>
      </w:r>
      <w:r>
        <w:rPr>
          <w:spacing w:val="-3"/>
          <w:sz w:val="18"/>
        </w:rPr>
        <w:t xml:space="preserve"> </w:t>
      </w:r>
      <w:r>
        <w:rPr>
          <w:sz w:val="18"/>
        </w:rPr>
        <w:t>at</w:t>
      </w:r>
      <w:r>
        <w:rPr>
          <w:spacing w:val="-2"/>
          <w:sz w:val="18"/>
        </w:rPr>
        <w:t xml:space="preserve"> </w:t>
      </w:r>
      <w:r>
        <w:rPr>
          <w:sz w:val="18"/>
        </w:rPr>
        <w:t>fair</w:t>
      </w:r>
      <w:r>
        <w:rPr>
          <w:spacing w:val="-2"/>
          <w:sz w:val="18"/>
        </w:rPr>
        <w:t xml:space="preserve"> </w:t>
      </w:r>
      <w:r>
        <w:rPr>
          <w:sz w:val="18"/>
        </w:rPr>
        <w:t>value</w:t>
      </w:r>
      <w:r>
        <w:rPr>
          <w:spacing w:val="-1"/>
          <w:sz w:val="18"/>
        </w:rPr>
        <w:t xml:space="preserve"> </w:t>
      </w:r>
      <w:r>
        <w:rPr>
          <w:sz w:val="18"/>
        </w:rPr>
        <w:t>through</w:t>
      </w:r>
      <w:r>
        <w:rPr>
          <w:spacing w:val="-4"/>
          <w:sz w:val="18"/>
        </w:rPr>
        <w:t xml:space="preserve"> </w:t>
      </w:r>
      <w:r>
        <w:rPr>
          <w:sz w:val="18"/>
        </w:rPr>
        <w:t>profit</w:t>
      </w:r>
      <w:r>
        <w:rPr>
          <w:spacing w:val="-2"/>
          <w:sz w:val="18"/>
        </w:rPr>
        <w:t xml:space="preserve"> </w:t>
      </w:r>
      <w:r>
        <w:rPr>
          <w:sz w:val="18"/>
        </w:rPr>
        <w:t>or</w:t>
      </w:r>
      <w:r>
        <w:rPr>
          <w:spacing w:val="-4"/>
          <w:sz w:val="18"/>
        </w:rPr>
        <w:t xml:space="preserve"> </w:t>
      </w:r>
      <w:r>
        <w:rPr>
          <w:sz w:val="18"/>
        </w:rPr>
        <w:t>loss</w:t>
      </w:r>
      <w:r>
        <w:rPr>
          <w:spacing w:val="-4"/>
          <w:sz w:val="18"/>
        </w:rPr>
        <w:t xml:space="preserve"> </w:t>
      </w:r>
      <w:r>
        <w:rPr>
          <w:sz w:val="18"/>
        </w:rPr>
        <w:t>have</w:t>
      </w:r>
      <w:r>
        <w:rPr>
          <w:spacing w:val="-1"/>
          <w:sz w:val="18"/>
        </w:rPr>
        <w:t xml:space="preserve"> </w:t>
      </w:r>
      <w:r>
        <w:rPr>
          <w:sz w:val="18"/>
        </w:rPr>
        <w:t>had</w:t>
      </w:r>
      <w:r>
        <w:rPr>
          <w:spacing w:val="-4"/>
          <w:sz w:val="18"/>
        </w:rPr>
        <w:t xml:space="preserve"> </w:t>
      </w:r>
      <w:r>
        <w:rPr>
          <w:sz w:val="18"/>
        </w:rPr>
        <w:t>the</w:t>
      </w:r>
      <w:r>
        <w:rPr>
          <w:spacing w:val="-1"/>
          <w:sz w:val="18"/>
        </w:rPr>
        <w:t xml:space="preserve"> </w:t>
      </w:r>
      <w:r>
        <w:rPr>
          <w:sz w:val="18"/>
        </w:rPr>
        <w:t>following</w:t>
      </w:r>
      <w:r>
        <w:rPr>
          <w:spacing w:val="-4"/>
          <w:sz w:val="18"/>
        </w:rPr>
        <w:t xml:space="preserve"> </w:t>
      </w:r>
      <w:r>
        <w:rPr>
          <w:sz w:val="18"/>
        </w:rPr>
        <w:t>sensitivity</w:t>
      </w:r>
      <w:r>
        <w:rPr>
          <w:spacing w:val="-3"/>
          <w:sz w:val="18"/>
        </w:rPr>
        <w:t xml:space="preserve"> </w:t>
      </w:r>
      <w:r>
        <w:rPr>
          <w:sz w:val="18"/>
        </w:rPr>
        <w:t>analysis</w:t>
      </w:r>
      <w:r>
        <w:rPr>
          <w:spacing w:val="-1"/>
          <w:sz w:val="18"/>
        </w:rPr>
        <w:t xml:space="preserve"> </w:t>
      </w:r>
      <w:r>
        <w:rPr>
          <w:sz w:val="18"/>
        </w:rPr>
        <w:t>applied,</w:t>
      </w:r>
      <w:r>
        <w:rPr>
          <w:spacing w:val="-2"/>
          <w:sz w:val="18"/>
        </w:rPr>
        <w:t xml:space="preserve"> </w:t>
      </w:r>
      <w:r>
        <w:rPr>
          <w:sz w:val="18"/>
        </w:rPr>
        <w:t>which</w:t>
      </w:r>
      <w:r>
        <w:rPr>
          <w:spacing w:val="-4"/>
          <w:sz w:val="18"/>
        </w:rPr>
        <w:t xml:space="preserve"> </w:t>
      </w:r>
      <w:r>
        <w:rPr>
          <w:sz w:val="18"/>
        </w:rPr>
        <w:t>are based</w:t>
      </w:r>
      <w:r>
        <w:rPr>
          <w:spacing w:val="-2"/>
          <w:sz w:val="18"/>
        </w:rPr>
        <w:t xml:space="preserve"> </w:t>
      </w:r>
      <w:r>
        <w:rPr>
          <w:sz w:val="18"/>
        </w:rPr>
        <w:t>on</w:t>
      </w:r>
      <w:r>
        <w:rPr>
          <w:spacing w:val="-4"/>
          <w:sz w:val="18"/>
        </w:rPr>
        <w:t xml:space="preserve"> </w:t>
      </w:r>
      <w:r>
        <w:rPr>
          <w:sz w:val="18"/>
        </w:rPr>
        <w:t>the</w:t>
      </w:r>
      <w:r>
        <w:rPr>
          <w:spacing w:val="-2"/>
          <w:sz w:val="18"/>
        </w:rPr>
        <w:t xml:space="preserve"> </w:t>
      </w:r>
      <w:r>
        <w:rPr>
          <w:sz w:val="18"/>
        </w:rPr>
        <w:t>Australian</w:t>
      </w:r>
      <w:r>
        <w:rPr>
          <w:spacing w:val="-2"/>
          <w:sz w:val="18"/>
        </w:rPr>
        <w:t xml:space="preserve"> </w:t>
      </w:r>
      <w:r>
        <w:rPr>
          <w:sz w:val="18"/>
        </w:rPr>
        <w:t>Prudential</w:t>
      </w:r>
      <w:r>
        <w:rPr>
          <w:spacing w:val="-4"/>
          <w:sz w:val="18"/>
        </w:rPr>
        <w:t xml:space="preserve"> </w:t>
      </w:r>
      <w:r>
        <w:rPr>
          <w:sz w:val="18"/>
        </w:rPr>
        <w:t>Regulatory</w:t>
      </w:r>
      <w:r>
        <w:rPr>
          <w:spacing w:val="-2"/>
          <w:sz w:val="18"/>
        </w:rPr>
        <w:t xml:space="preserve"> </w:t>
      </w:r>
      <w:r>
        <w:rPr>
          <w:sz w:val="18"/>
        </w:rPr>
        <w:t>Authority’s</w:t>
      </w:r>
      <w:r>
        <w:rPr>
          <w:spacing w:val="-2"/>
          <w:sz w:val="18"/>
        </w:rPr>
        <w:t xml:space="preserve"> </w:t>
      </w:r>
      <w:r>
        <w:rPr>
          <w:sz w:val="18"/>
        </w:rPr>
        <w:t>(APRA)</w:t>
      </w:r>
      <w:r>
        <w:rPr>
          <w:spacing w:val="-2"/>
          <w:sz w:val="18"/>
        </w:rPr>
        <w:t xml:space="preserve"> </w:t>
      </w:r>
      <w:r>
        <w:rPr>
          <w:sz w:val="18"/>
        </w:rPr>
        <w:t>General</w:t>
      </w:r>
      <w:r>
        <w:rPr>
          <w:spacing w:val="-2"/>
          <w:sz w:val="18"/>
        </w:rPr>
        <w:t xml:space="preserve"> </w:t>
      </w:r>
      <w:r>
        <w:rPr>
          <w:sz w:val="18"/>
        </w:rPr>
        <w:t>Insurance</w:t>
      </w:r>
      <w:r>
        <w:rPr>
          <w:spacing w:val="-2"/>
          <w:sz w:val="18"/>
        </w:rPr>
        <w:t xml:space="preserve"> </w:t>
      </w:r>
      <w:r>
        <w:rPr>
          <w:sz w:val="18"/>
        </w:rPr>
        <w:t>Prudential</w:t>
      </w:r>
      <w:r>
        <w:rPr>
          <w:spacing w:val="-2"/>
          <w:sz w:val="18"/>
        </w:rPr>
        <w:t xml:space="preserve"> </w:t>
      </w:r>
      <w:r>
        <w:rPr>
          <w:sz w:val="18"/>
        </w:rPr>
        <w:t>Standard</w:t>
      </w:r>
      <w:r>
        <w:rPr>
          <w:spacing w:val="-4"/>
          <w:sz w:val="18"/>
        </w:rPr>
        <w:t xml:space="preserve"> </w:t>
      </w:r>
      <w:r>
        <w:rPr>
          <w:sz w:val="18"/>
        </w:rPr>
        <w:t xml:space="preserve">GPS </w:t>
      </w:r>
      <w:r>
        <w:rPr>
          <w:spacing w:val="-4"/>
          <w:sz w:val="18"/>
        </w:rPr>
        <w:t>114.</w:t>
      </w:r>
    </w:p>
    <w:p w14:paraId="6A0CCCD9" w14:textId="77777777" w:rsidR="00AC6F3C" w:rsidRDefault="00AC6F3C">
      <w:pPr>
        <w:pStyle w:val="BodyText"/>
        <w:spacing w:before="10"/>
      </w:pPr>
    </w:p>
    <w:p w14:paraId="081B7F52" w14:textId="77777777" w:rsidR="00AC6F3C" w:rsidRDefault="00570E88">
      <w:pPr>
        <w:spacing w:before="1"/>
        <w:ind w:left="980"/>
        <w:jc w:val="both"/>
        <w:rPr>
          <w:b/>
          <w:i/>
          <w:sz w:val="18"/>
        </w:rPr>
      </w:pPr>
      <w:r>
        <w:rPr>
          <w:b/>
          <w:i/>
          <w:sz w:val="18"/>
        </w:rPr>
        <w:t>Interest</w:t>
      </w:r>
      <w:r>
        <w:rPr>
          <w:b/>
          <w:i/>
          <w:spacing w:val="-3"/>
          <w:sz w:val="18"/>
        </w:rPr>
        <w:t xml:space="preserve"> </w:t>
      </w:r>
      <w:r>
        <w:rPr>
          <w:b/>
          <w:i/>
          <w:sz w:val="18"/>
        </w:rPr>
        <w:t>rate</w:t>
      </w:r>
      <w:r>
        <w:rPr>
          <w:b/>
          <w:i/>
          <w:spacing w:val="-1"/>
          <w:sz w:val="18"/>
        </w:rPr>
        <w:t xml:space="preserve"> </w:t>
      </w:r>
      <w:r>
        <w:rPr>
          <w:b/>
          <w:i/>
          <w:spacing w:val="-2"/>
          <w:sz w:val="18"/>
        </w:rPr>
        <w:t>sensitivity</w:t>
      </w:r>
    </w:p>
    <w:p w14:paraId="21F02224" w14:textId="77777777" w:rsidR="00AC6F3C" w:rsidRDefault="00AC6F3C">
      <w:pPr>
        <w:pStyle w:val="BodyText"/>
        <w:spacing w:before="9"/>
        <w:rPr>
          <w:b/>
          <w:i/>
        </w:rPr>
      </w:pPr>
    </w:p>
    <w:p w14:paraId="145A7F25" w14:textId="77777777" w:rsidR="00AC6F3C" w:rsidRDefault="00570E88">
      <w:pPr>
        <w:ind w:left="980" w:right="385"/>
        <w:jc w:val="both"/>
        <w:rPr>
          <w:sz w:val="18"/>
        </w:rPr>
      </w:pPr>
      <w:r>
        <w:rPr>
          <w:sz w:val="18"/>
        </w:rPr>
        <w:t>Interest rate sensitivity measures the changes on the capital base from changes in real interest rates.</w:t>
      </w:r>
      <w:r>
        <w:rPr>
          <w:spacing w:val="40"/>
          <w:sz w:val="18"/>
        </w:rPr>
        <w:t xml:space="preserve"> </w:t>
      </w:r>
      <w:r>
        <w:rPr>
          <w:sz w:val="18"/>
        </w:rPr>
        <w:t>The sensitivity</w:t>
      </w:r>
      <w:r>
        <w:rPr>
          <w:spacing w:val="-1"/>
          <w:sz w:val="18"/>
        </w:rPr>
        <w:t xml:space="preserve"> </w:t>
      </w:r>
      <w:r>
        <w:rPr>
          <w:sz w:val="18"/>
        </w:rPr>
        <w:t>has</w:t>
      </w:r>
      <w:r>
        <w:rPr>
          <w:spacing w:val="-3"/>
          <w:sz w:val="18"/>
        </w:rPr>
        <w:t xml:space="preserve"> </w:t>
      </w:r>
      <w:r>
        <w:rPr>
          <w:sz w:val="18"/>
        </w:rPr>
        <w:t>been</w:t>
      </w:r>
      <w:r>
        <w:rPr>
          <w:spacing w:val="-4"/>
          <w:sz w:val="18"/>
        </w:rPr>
        <w:t xml:space="preserve"> </w:t>
      </w:r>
      <w:r>
        <w:rPr>
          <w:sz w:val="18"/>
        </w:rPr>
        <w:t>determined</w:t>
      </w:r>
      <w:r>
        <w:rPr>
          <w:spacing w:val="-1"/>
          <w:sz w:val="18"/>
        </w:rPr>
        <w:t xml:space="preserve"> </w:t>
      </w:r>
      <w:r>
        <w:rPr>
          <w:sz w:val="18"/>
        </w:rPr>
        <w:t>by</w:t>
      </w:r>
      <w:r>
        <w:rPr>
          <w:spacing w:val="-3"/>
          <w:sz w:val="18"/>
        </w:rPr>
        <w:t xml:space="preserve"> </w:t>
      </w:r>
      <w:r>
        <w:rPr>
          <w:sz w:val="18"/>
        </w:rPr>
        <w:t>multiplying</w:t>
      </w:r>
      <w:r>
        <w:rPr>
          <w:spacing w:val="-1"/>
          <w:sz w:val="18"/>
        </w:rPr>
        <w:t xml:space="preserve"> </w:t>
      </w:r>
      <w:r>
        <w:rPr>
          <w:sz w:val="18"/>
        </w:rPr>
        <w:t>the</w:t>
      </w:r>
      <w:r>
        <w:rPr>
          <w:spacing w:val="-1"/>
          <w:sz w:val="18"/>
        </w:rPr>
        <w:t xml:space="preserve"> </w:t>
      </w:r>
      <w:r>
        <w:rPr>
          <w:sz w:val="18"/>
        </w:rPr>
        <w:t>nominal</w:t>
      </w:r>
      <w:r>
        <w:rPr>
          <w:spacing w:val="-4"/>
          <w:sz w:val="18"/>
        </w:rPr>
        <w:t xml:space="preserve"> </w:t>
      </w:r>
      <w:r>
        <w:rPr>
          <w:sz w:val="18"/>
        </w:rPr>
        <w:t>risk-free</w:t>
      </w:r>
      <w:r>
        <w:rPr>
          <w:spacing w:val="-1"/>
          <w:sz w:val="18"/>
        </w:rPr>
        <w:t xml:space="preserve"> </w:t>
      </w:r>
      <w:r>
        <w:rPr>
          <w:sz w:val="18"/>
        </w:rPr>
        <w:t>interest</w:t>
      </w:r>
      <w:r>
        <w:rPr>
          <w:spacing w:val="-2"/>
          <w:sz w:val="18"/>
        </w:rPr>
        <w:t xml:space="preserve"> </w:t>
      </w:r>
      <w:r>
        <w:rPr>
          <w:sz w:val="18"/>
        </w:rPr>
        <w:t>rate</w:t>
      </w:r>
      <w:r>
        <w:rPr>
          <w:spacing w:val="-1"/>
          <w:sz w:val="18"/>
        </w:rPr>
        <w:t xml:space="preserve"> </w:t>
      </w:r>
      <w:r>
        <w:rPr>
          <w:sz w:val="18"/>
        </w:rPr>
        <w:t>by</w:t>
      </w:r>
      <w:r>
        <w:rPr>
          <w:spacing w:val="-1"/>
          <w:sz w:val="18"/>
        </w:rPr>
        <w:t xml:space="preserve"> </w:t>
      </w:r>
      <w:r>
        <w:rPr>
          <w:sz w:val="18"/>
        </w:rPr>
        <w:t>-0.20</w:t>
      </w:r>
      <w:r>
        <w:rPr>
          <w:spacing w:val="-1"/>
          <w:sz w:val="18"/>
        </w:rPr>
        <w:t xml:space="preserve"> </w:t>
      </w:r>
      <w:r>
        <w:rPr>
          <w:sz w:val="18"/>
        </w:rPr>
        <w:t>(downward</w:t>
      </w:r>
      <w:r>
        <w:rPr>
          <w:spacing w:val="-4"/>
          <w:sz w:val="18"/>
        </w:rPr>
        <w:t xml:space="preserve"> </w:t>
      </w:r>
      <w:r>
        <w:rPr>
          <w:sz w:val="18"/>
        </w:rPr>
        <w:t>stress)</w:t>
      </w:r>
      <w:r>
        <w:rPr>
          <w:spacing w:val="-4"/>
          <w:sz w:val="18"/>
        </w:rPr>
        <w:t xml:space="preserve"> </w:t>
      </w:r>
      <w:r>
        <w:rPr>
          <w:sz w:val="18"/>
        </w:rPr>
        <w:t>and</w:t>
      </w:r>
    </w:p>
    <w:p w14:paraId="6ECC6D87" w14:textId="77777777" w:rsidR="00AC6F3C" w:rsidRDefault="00570E88">
      <w:pPr>
        <w:spacing w:before="1"/>
        <w:ind w:left="980"/>
        <w:rPr>
          <w:sz w:val="18"/>
        </w:rPr>
      </w:pPr>
      <w:r>
        <w:rPr>
          <w:sz w:val="18"/>
        </w:rPr>
        <w:t>0.25</w:t>
      </w:r>
      <w:r>
        <w:rPr>
          <w:spacing w:val="-2"/>
          <w:sz w:val="18"/>
        </w:rPr>
        <w:t xml:space="preserve"> </w:t>
      </w:r>
      <w:r>
        <w:rPr>
          <w:sz w:val="18"/>
        </w:rPr>
        <w:t>(upward</w:t>
      </w:r>
      <w:r>
        <w:rPr>
          <w:spacing w:val="-4"/>
          <w:sz w:val="18"/>
        </w:rPr>
        <w:t xml:space="preserve"> </w:t>
      </w:r>
      <w:r>
        <w:rPr>
          <w:sz w:val="18"/>
        </w:rPr>
        <w:t>stress),</w:t>
      </w:r>
      <w:r>
        <w:rPr>
          <w:spacing w:val="-2"/>
          <w:sz w:val="18"/>
        </w:rPr>
        <w:t xml:space="preserve"> </w:t>
      </w:r>
      <w:r>
        <w:rPr>
          <w:sz w:val="18"/>
        </w:rPr>
        <w:t>with</w:t>
      </w:r>
      <w:r>
        <w:rPr>
          <w:spacing w:val="-4"/>
          <w:sz w:val="18"/>
        </w:rPr>
        <w:t xml:space="preserve"> </w:t>
      </w:r>
      <w:r>
        <w:rPr>
          <w:sz w:val="18"/>
        </w:rPr>
        <w:t>a</w:t>
      </w:r>
      <w:r>
        <w:rPr>
          <w:spacing w:val="-1"/>
          <w:sz w:val="18"/>
        </w:rPr>
        <w:t xml:space="preserve"> </w:t>
      </w:r>
      <w:r>
        <w:rPr>
          <w:sz w:val="18"/>
        </w:rPr>
        <w:t>maximum</w:t>
      </w:r>
      <w:r>
        <w:rPr>
          <w:spacing w:val="-3"/>
          <w:sz w:val="18"/>
        </w:rPr>
        <w:t xml:space="preserve"> </w:t>
      </w:r>
      <w:r>
        <w:rPr>
          <w:sz w:val="18"/>
        </w:rPr>
        <w:t>stress</w:t>
      </w:r>
      <w:r>
        <w:rPr>
          <w:spacing w:val="-1"/>
          <w:sz w:val="18"/>
        </w:rPr>
        <w:t xml:space="preserve"> </w:t>
      </w:r>
      <w:r>
        <w:rPr>
          <w:sz w:val="18"/>
        </w:rPr>
        <w:t>adjustment</w:t>
      </w:r>
      <w:r>
        <w:rPr>
          <w:spacing w:val="-2"/>
          <w:sz w:val="18"/>
        </w:rPr>
        <w:t xml:space="preserve"> </w:t>
      </w:r>
      <w:r>
        <w:rPr>
          <w:sz w:val="18"/>
        </w:rPr>
        <w:t>of</w:t>
      </w:r>
      <w:r>
        <w:rPr>
          <w:spacing w:val="-4"/>
          <w:sz w:val="18"/>
        </w:rPr>
        <w:t xml:space="preserve"> </w:t>
      </w:r>
      <w:r>
        <w:rPr>
          <w:sz w:val="18"/>
        </w:rPr>
        <w:t>200</w:t>
      </w:r>
      <w:r>
        <w:rPr>
          <w:spacing w:val="-1"/>
          <w:sz w:val="18"/>
        </w:rPr>
        <w:t xml:space="preserve"> </w:t>
      </w:r>
      <w:r>
        <w:rPr>
          <w:sz w:val="18"/>
        </w:rPr>
        <w:t>basis</w:t>
      </w:r>
      <w:r>
        <w:rPr>
          <w:spacing w:val="-1"/>
          <w:sz w:val="18"/>
        </w:rPr>
        <w:t xml:space="preserve"> </w:t>
      </w:r>
      <w:r>
        <w:rPr>
          <w:sz w:val="18"/>
        </w:rPr>
        <w:t>points</w:t>
      </w:r>
      <w:r>
        <w:rPr>
          <w:spacing w:val="-1"/>
          <w:sz w:val="18"/>
        </w:rPr>
        <w:t xml:space="preserve"> </w:t>
      </w:r>
      <w:r>
        <w:rPr>
          <w:sz w:val="18"/>
        </w:rPr>
        <w:t>in</w:t>
      </w:r>
      <w:r>
        <w:rPr>
          <w:spacing w:val="-4"/>
          <w:sz w:val="18"/>
        </w:rPr>
        <w:t xml:space="preserve"> </w:t>
      </w:r>
      <w:r>
        <w:rPr>
          <w:sz w:val="18"/>
        </w:rPr>
        <w:t>either</w:t>
      </w:r>
      <w:r>
        <w:rPr>
          <w:spacing w:val="-2"/>
          <w:sz w:val="18"/>
        </w:rPr>
        <w:t xml:space="preserve"> direction.</w:t>
      </w:r>
    </w:p>
    <w:p w14:paraId="3392D200" w14:textId="77777777" w:rsidR="00AC6F3C" w:rsidRDefault="00AC6F3C">
      <w:pPr>
        <w:rPr>
          <w:sz w:val="18"/>
        </w:rPr>
        <w:sectPr w:rsidR="00AC6F3C">
          <w:pgSz w:w="11910" w:h="16840"/>
          <w:pgMar w:top="2080" w:right="1160" w:bottom="520" w:left="460" w:header="1297" w:footer="336" w:gutter="0"/>
          <w:cols w:space="720"/>
        </w:sectPr>
      </w:pPr>
    </w:p>
    <w:p w14:paraId="228F0A84" w14:textId="77777777" w:rsidR="00AC6F3C" w:rsidRDefault="00AC6F3C">
      <w:pPr>
        <w:pStyle w:val="BodyText"/>
        <w:spacing w:before="9"/>
        <w:rPr>
          <w:sz w:val="13"/>
        </w:rPr>
      </w:pPr>
    </w:p>
    <w:p w14:paraId="64932C7D" w14:textId="77777777" w:rsidR="00AC6F3C" w:rsidRDefault="00570E88">
      <w:pPr>
        <w:tabs>
          <w:tab w:val="left" w:pos="1700"/>
        </w:tabs>
        <w:spacing w:before="92" w:line="322" w:lineRule="exact"/>
        <w:ind w:left="979"/>
        <w:rPr>
          <w:b/>
          <w:sz w:val="28"/>
        </w:rPr>
      </w:pPr>
      <w:r>
        <w:rPr>
          <w:b/>
          <w:spacing w:val="-5"/>
          <w:sz w:val="28"/>
        </w:rPr>
        <w:t>D2</w:t>
      </w:r>
      <w:r>
        <w:rPr>
          <w:b/>
          <w:sz w:val="28"/>
        </w:rPr>
        <w:tab/>
        <w:t>FINANCIAL</w:t>
      </w:r>
      <w:r>
        <w:rPr>
          <w:b/>
          <w:spacing w:val="-15"/>
          <w:sz w:val="28"/>
        </w:rPr>
        <w:t xml:space="preserve"> </w:t>
      </w:r>
      <w:r>
        <w:rPr>
          <w:b/>
          <w:sz w:val="28"/>
        </w:rPr>
        <w:t>INSTRUMENTS</w:t>
      </w:r>
      <w:r>
        <w:rPr>
          <w:b/>
          <w:spacing w:val="-19"/>
          <w:sz w:val="28"/>
        </w:rPr>
        <w:t xml:space="preserve"> </w:t>
      </w:r>
      <w:r>
        <w:rPr>
          <w:b/>
          <w:sz w:val="28"/>
        </w:rPr>
        <w:t>AND</w:t>
      </w:r>
      <w:r>
        <w:rPr>
          <w:b/>
          <w:spacing w:val="-10"/>
          <w:sz w:val="28"/>
        </w:rPr>
        <w:t xml:space="preserve"> </w:t>
      </w:r>
      <w:r>
        <w:rPr>
          <w:b/>
          <w:sz w:val="28"/>
        </w:rPr>
        <w:t>FINANCIAL</w:t>
      </w:r>
      <w:r>
        <w:rPr>
          <w:b/>
          <w:spacing w:val="-14"/>
          <w:sz w:val="28"/>
        </w:rPr>
        <w:t xml:space="preserve"> </w:t>
      </w:r>
      <w:r>
        <w:rPr>
          <w:b/>
          <w:spacing w:val="-4"/>
          <w:sz w:val="28"/>
        </w:rPr>
        <w:t>RISK</w:t>
      </w:r>
    </w:p>
    <w:p w14:paraId="7D1E9CA3" w14:textId="77777777" w:rsidR="00AC6F3C" w:rsidRDefault="00570E88">
      <w:pPr>
        <w:spacing w:line="322" w:lineRule="exact"/>
        <w:ind w:left="1700"/>
        <w:rPr>
          <w:b/>
          <w:sz w:val="28"/>
        </w:rPr>
      </w:pPr>
      <w:r>
        <w:rPr>
          <w:b/>
          <w:sz w:val="28"/>
        </w:rPr>
        <w:t>MANAGEMENT</w:t>
      </w:r>
      <w:r>
        <w:rPr>
          <w:b/>
          <w:spacing w:val="-14"/>
          <w:sz w:val="28"/>
        </w:rPr>
        <w:t xml:space="preserve"> </w:t>
      </w:r>
      <w:r>
        <w:rPr>
          <w:b/>
          <w:spacing w:val="-2"/>
          <w:sz w:val="28"/>
        </w:rPr>
        <w:t>(continued)</w:t>
      </w:r>
    </w:p>
    <w:p w14:paraId="1A6C0244" w14:textId="77777777" w:rsidR="00AC6F3C" w:rsidRDefault="00570E88">
      <w:pPr>
        <w:spacing w:before="240"/>
        <w:ind w:left="979"/>
        <w:rPr>
          <w:b/>
          <w:sz w:val="20"/>
        </w:rPr>
      </w:pPr>
      <w:r>
        <w:rPr>
          <w:b/>
          <w:sz w:val="20"/>
        </w:rPr>
        <w:t>Sensitivity</w:t>
      </w:r>
      <w:r>
        <w:rPr>
          <w:b/>
          <w:spacing w:val="-9"/>
          <w:sz w:val="20"/>
        </w:rPr>
        <w:t xml:space="preserve"> </w:t>
      </w:r>
      <w:r>
        <w:rPr>
          <w:b/>
          <w:sz w:val="20"/>
        </w:rPr>
        <w:t>analysis</w:t>
      </w:r>
      <w:r>
        <w:rPr>
          <w:b/>
          <w:spacing w:val="-9"/>
          <w:sz w:val="20"/>
        </w:rPr>
        <w:t xml:space="preserve"> </w:t>
      </w:r>
      <w:r>
        <w:rPr>
          <w:b/>
          <w:sz w:val="20"/>
        </w:rPr>
        <w:t>–</w:t>
      </w:r>
      <w:r>
        <w:rPr>
          <w:b/>
          <w:spacing w:val="-7"/>
          <w:sz w:val="20"/>
        </w:rPr>
        <w:t xml:space="preserve"> </w:t>
      </w:r>
      <w:r>
        <w:rPr>
          <w:b/>
          <w:spacing w:val="-2"/>
          <w:sz w:val="20"/>
        </w:rPr>
        <w:t>continued</w:t>
      </w:r>
    </w:p>
    <w:p w14:paraId="3C9FB7A8" w14:textId="77777777" w:rsidR="00AC6F3C" w:rsidRDefault="00AC6F3C">
      <w:pPr>
        <w:pStyle w:val="BodyText"/>
        <w:spacing w:before="10"/>
        <w:rPr>
          <w:b/>
        </w:rPr>
      </w:pPr>
    </w:p>
    <w:p w14:paraId="56557069" w14:textId="77777777" w:rsidR="00AC6F3C" w:rsidRDefault="00570E88">
      <w:pPr>
        <w:ind w:left="979"/>
        <w:rPr>
          <w:b/>
          <w:i/>
          <w:sz w:val="18"/>
        </w:rPr>
      </w:pPr>
      <w:r>
        <w:rPr>
          <w:b/>
          <w:i/>
          <w:sz w:val="18"/>
        </w:rPr>
        <w:t>Inflation</w:t>
      </w:r>
      <w:r>
        <w:rPr>
          <w:b/>
          <w:i/>
          <w:spacing w:val="-3"/>
          <w:sz w:val="18"/>
        </w:rPr>
        <w:t xml:space="preserve"> </w:t>
      </w:r>
      <w:r>
        <w:rPr>
          <w:b/>
          <w:i/>
          <w:sz w:val="18"/>
        </w:rPr>
        <w:t>risk</w:t>
      </w:r>
      <w:r>
        <w:rPr>
          <w:b/>
          <w:i/>
          <w:spacing w:val="-2"/>
          <w:sz w:val="18"/>
        </w:rPr>
        <w:t xml:space="preserve"> sensitivity</w:t>
      </w:r>
    </w:p>
    <w:p w14:paraId="26C657D1" w14:textId="77777777" w:rsidR="00AC6F3C" w:rsidRDefault="00AC6F3C">
      <w:pPr>
        <w:pStyle w:val="BodyText"/>
        <w:spacing w:before="9"/>
        <w:rPr>
          <w:b/>
          <w:i/>
        </w:rPr>
      </w:pPr>
    </w:p>
    <w:p w14:paraId="2223C771" w14:textId="77777777" w:rsidR="00AC6F3C" w:rsidRDefault="00570E88">
      <w:pPr>
        <w:spacing w:before="1"/>
        <w:ind w:left="979" w:right="256"/>
        <w:rPr>
          <w:sz w:val="18"/>
        </w:rPr>
      </w:pPr>
      <w:r>
        <w:rPr>
          <w:sz w:val="18"/>
        </w:rPr>
        <w:t>Expected inflation sensitivity measures the changes on the capital base from changes to expensed consumer price</w:t>
      </w:r>
      <w:r>
        <w:rPr>
          <w:spacing w:val="-4"/>
          <w:sz w:val="18"/>
        </w:rPr>
        <w:t xml:space="preserve"> </w:t>
      </w:r>
      <w:r>
        <w:rPr>
          <w:sz w:val="18"/>
        </w:rPr>
        <w:t>index</w:t>
      </w:r>
      <w:r>
        <w:rPr>
          <w:spacing w:val="-3"/>
          <w:sz w:val="18"/>
        </w:rPr>
        <w:t xml:space="preserve"> </w:t>
      </w:r>
      <w:r>
        <w:rPr>
          <w:sz w:val="18"/>
        </w:rPr>
        <w:t>inflation</w:t>
      </w:r>
      <w:r>
        <w:rPr>
          <w:spacing w:val="-2"/>
          <w:sz w:val="18"/>
        </w:rPr>
        <w:t xml:space="preserve"> </w:t>
      </w:r>
      <w:r>
        <w:rPr>
          <w:sz w:val="18"/>
        </w:rPr>
        <w:t>rates.</w:t>
      </w:r>
      <w:r>
        <w:rPr>
          <w:spacing w:val="-4"/>
          <w:sz w:val="18"/>
        </w:rPr>
        <w:t xml:space="preserve"> </w:t>
      </w:r>
      <w:r>
        <w:rPr>
          <w:sz w:val="18"/>
        </w:rPr>
        <w:t>The</w:t>
      </w:r>
      <w:r>
        <w:rPr>
          <w:spacing w:val="-6"/>
          <w:sz w:val="18"/>
        </w:rPr>
        <w:t xml:space="preserve"> </w:t>
      </w:r>
      <w:r>
        <w:rPr>
          <w:sz w:val="18"/>
        </w:rPr>
        <w:t>sensitivity</w:t>
      </w:r>
      <w:r>
        <w:rPr>
          <w:spacing w:val="-1"/>
          <w:sz w:val="18"/>
        </w:rPr>
        <w:t xml:space="preserve"> </w:t>
      </w:r>
      <w:r>
        <w:rPr>
          <w:sz w:val="18"/>
        </w:rPr>
        <w:t>has</w:t>
      </w:r>
      <w:r>
        <w:rPr>
          <w:spacing w:val="-3"/>
          <w:sz w:val="18"/>
        </w:rPr>
        <w:t xml:space="preserve"> </w:t>
      </w:r>
      <w:r>
        <w:rPr>
          <w:sz w:val="18"/>
        </w:rPr>
        <w:t>been</w:t>
      </w:r>
      <w:r>
        <w:rPr>
          <w:spacing w:val="-4"/>
          <w:sz w:val="18"/>
        </w:rPr>
        <w:t xml:space="preserve"> </w:t>
      </w:r>
      <w:r>
        <w:rPr>
          <w:sz w:val="18"/>
        </w:rPr>
        <w:t>determined</w:t>
      </w:r>
      <w:r>
        <w:rPr>
          <w:spacing w:val="-1"/>
          <w:sz w:val="18"/>
        </w:rPr>
        <w:t xml:space="preserve"> </w:t>
      </w:r>
      <w:r>
        <w:rPr>
          <w:sz w:val="18"/>
        </w:rPr>
        <w:t>by</w:t>
      </w:r>
      <w:r>
        <w:rPr>
          <w:spacing w:val="-3"/>
          <w:sz w:val="18"/>
        </w:rPr>
        <w:t xml:space="preserve"> </w:t>
      </w:r>
      <w:r>
        <w:rPr>
          <w:sz w:val="18"/>
        </w:rPr>
        <w:t>adjusting</w:t>
      </w:r>
      <w:r>
        <w:rPr>
          <w:spacing w:val="-1"/>
          <w:sz w:val="18"/>
        </w:rPr>
        <w:t xml:space="preserve"> </w:t>
      </w:r>
      <w:r>
        <w:rPr>
          <w:sz w:val="18"/>
        </w:rPr>
        <w:t>the</w:t>
      </w:r>
      <w:r>
        <w:rPr>
          <w:spacing w:val="-1"/>
          <w:sz w:val="18"/>
        </w:rPr>
        <w:t xml:space="preserve"> </w:t>
      </w:r>
      <w:r>
        <w:rPr>
          <w:sz w:val="18"/>
        </w:rPr>
        <w:t>expected</w:t>
      </w:r>
      <w:r>
        <w:rPr>
          <w:spacing w:val="-1"/>
          <w:sz w:val="18"/>
        </w:rPr>
        <w:t xml:space="preserve"> </w:t>
      </w:r>
      <w:r>
        <w:rPr>
          <w:sz w:val="18"/>
        </w:rPr>
        <w:t>inflation</w:t>
      </w:r>
      <w:r>
        <w:rPr>
          <w:spacing w:val="-1"/>
          <w:sz w:val="18"/>
        </w:rPr>
        <w:t xml:space="preserve"> </w:t>
      </w:r>
      <w:r>
        <w:rPr>
          <w:sz w:val="18"/>
        </w:rPr>
        <w:t>rates</w:t>
      </w:r>
      <w:r>
        <w:rPr>
          <w:spacing w:val="-3"/>
          <w:sz w:val="18"/>
        </w:rPr>
        <w:t xml:space="preserve"> </w:t>
      </w:r>
      <w:r>
        <w:rPr>
          <w:sz w:val="18"/>
        </w:rPr>
        <w:t>by</w:t>
      </w:r>
      <w:r>
        <w:rPr>
          <w:spacing w:val="-1"/>
          <w:sz w:val="18"/>
        </w:rPr>
        <w:t xml:space="preserve"> </w:t>
      </w:r>
      <w:r>
        <w:rPr>
          <w:sz w:val="18"/>
        </w:rPr>
        <w:t>adding 125 basis points (upward movement) and subtracting 100 basis points (downward movement).</w:t>
      </w:r>
    </w:p>
    <w:p w14:paraId="51A6FDB6" w14:textId="77777777" w:rsidR="00AC6F3C" w:rsidRDefault="00AC6F3C">
      <w:pPr>
        <w:pStyle w:val="BodyText"/>
        <w:spacing w:before="10"/>
      </w:pPr>
    </w:p>
    <w:p w14:paraId="0E6009C9" w14:textId="77777777" w:rsidR="00AC6F3C" w:rsidRDefault="00570E88">
      <w:pPr>
        <w:ind w:left="980"/>
        <w:rPr>
          <w:b/>
          <w:i/>
          <w:sz w:val="18"/>
        </w:rPr>
      </w:pPr>
      <w:r>
        <w:rPr>
          <w:b/>
          <w:i/>
          <w:sz w:val="18"/>
        </w:rPr>
        <w:t>Currency</w:t>
      </w:r>
      <w:r>
        <w:rPr>
          <w:b/>
          <w:i/>
          <w:spacing w:val="-2"/>
          <w:sz w:val="18"/>
        </w:rPr>
        <w:t xml:space="preserve"> sensitivity</w:t>
      </w:r>
    </w:p>
    <w:p w14:paraId="15640F42" w14:textId="77777777" w:rsidR="00AC6F3C" w:rsidRDefault="00AC6F3C">
      <w:pPr>
        <w:pStyle w:val="BodyText"/>
        <w:spacing w:before="9"/>
        <w:rPr>
          <w:b/>
          <w:i/>
        </w:rPr>
      </w:pPr>
    </w:p>
    <w:p w14:paraId="3AAA0309" w14:textId="77777777" w:rsidR="00AC6F3C" w:rsidRDefault="00570E88">
      <w:pPr>
        <w:spacing w:before="1"/>
        <w:ind w:left="980" w:right="468"/>
        <w:rPr>
          <w:sz w:val="18"/>
        </w:rPr>
      </w:pPr>
      <w:r>
        <w:rPr>
          <w:sz w:val="18"/>
        </w:rPr>
        <w:t>Currency sensitivity measures the changes in the capital base due to changes in foreign currency exchange rates.</w:t>
      </w:r>
      <w:r>
        <w:rPr>
          <w:spacing w:val="40"/>
          <w:sz w:val="18"/>
        </w:rPr>
        <w:t xml:space="preserve"> </w:t>
      </w:r>
      <w:r>
        <w:rPr>
          <w:sz w:val="18"/>
        </w:rPr>
        <w:t>The</w:t>
      </w:r>
      <w:r>
        <w:rPr>
          <w:spacing w:val="-3"/>
          <w:sz w:val="18"/>
        </w:rPr>
        <w:t xml:space="preserve"> </w:t>
      </w:r>
      <w:r>
        <w:rPr>
          <w:sz w:val="18"/>
        </w:rPr>
        <w:t>sensitivity has been determined</w:t>
      </w:r>
      <w:r>
        <w:rPr>
          <w:spacing w:val="-3"/>
          <w:sz w:val="18"/>
        </w:rPr>
        <w:t xml:space="preserve"> </w:t>
      </w:r>
      <w:r>
        <w:rPr>
          <w:sz w:val="18"/>
        </w:rPr>
        <w:t>by</w:t>
      </w:r>
      <w:r>
        <w:rPr>
          <w:spacing w:val="-2"/>
          <w:sz w:val="18"/>
        </w:rPr>
        <w:t xml:space="preserve"> </w:t>
      </w:r>
      <w:r>
        <w:rPr>
          <w:sz w:val="18"/>
        </w:rPr>
        <w:t>applying a</w:t>
      </w:r>
      <w:r>
        <w:rPr>
          <w:spacing w:val="-3"/>
          <w:sz w:val="18"/>
        </w:rPr>
        <w:t xml:space="preserve"> </w:t>
      </w:r>
      <w:r>
        <w:rPr>
          <w:sz w:val="18"/>
        </w:rPr>
        <w:t>25% increase and 25%</w:t>
      </w:r>
      <w:r>
        <w:rPr>
          <w:spacing w:val="-1"/>
          <w:sz w:val="18"/>
        </w:rPr>
        <w:t xml:space="preserve"> </w:t>
      </w:r>
      <w:r>
        <w:rPr>
          <w:sz w:val="18"/>
        </w:rPr>
        <w:t>decrease</w:t>
      </w:r>
      <w:r>
        <w:rPr>
          <w:spacing w:val="-3"/>
          <w:sz w:val="18"/>
        </w:rPr>
        <w:t xml:space="preserve"> </w:t>
      </w:r>
      <w:r>
        <w:rPr>
          <w:sz w:val="18"/>
        </w:rPr>
        <w:t>in exchange rates. An</w:t>
      </w:r>
      <w:r>
        <w:rPr>
          <w:spacing w:val="-1"/>
          <w:sz w:val="18"/>
        </w:rPr>
        <w:t xml:space="preserve"> </w:t>
      </w:r>
      <w:r>
        <w:rPr>
          <w:sz w:val="18"/>
        </w:rPr>
        <w:t>increase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Australian</w:t>
      </w:r>
      <w:r>
        <w:rPr>
          <w:spacing w:val="-4"/>
          <w:sz w:val="18"/>
        </w:rPr>
        <w:t xml:space="preserve"> </w:t>
      </w:r>
      <w:r>
        <w:rPr>
          <w:sz w:val="18"/>
        </w:rPr>
        <w:t>Dollar</w:t>
      </w:r>
      <w:r>
        <w:rPr>
          <w:spacing w:val="-4"/>
          <w:sz w:val="18"/>
        </w:rPr>
        <w:t xml:space="preserve"> </w:t>
      </w:r>
      <w:r>
        <w:rPr>
          <w:sz w:val="18"/>
        </w:rPr>
        <w:t>is</w:t>
      </w:r>
      <w:r>
        <w:rPr>
          <w:spacing w:val="-3"/>
          <w:sz w:val="18"/>
        </w:rPr>
        <w:t xml:space="preserve"> </w:t>
      </w:r>
      <w:r>
        <w:rPr>
          <w:sz w:val="18"/>
        </w:rPr>
        <w:t>divided</w:t>
      </w:r>
      <w:r>
        <w:rPr>
          <w:spacing w:val="-1"/>
          <w:sz w:val="18"/>
        </w:rPr>
        <w:t xml:space="preserve"> </w:t>
      </w:r>
      <w:r>
        <w:rPr>
          <w:sz w:val="18"/>
        </w:rPr>
        <w:t>by</w:t>
      </w:r>
      <w:r>
        <w:rPr>
          <w:spacing w:val="-1"/>
          <w:sz w:val="18"/>
        </w:rPr>
        <w:t xml:space="preserve"> </w:t>
      </w:r>
      <w:r>
        <w:rPr>
          <w:sz w:val="18"/>
        </w:rPr>
        <w:t>1.25</w:t>
      </w:r>
      <w:r>
        <w:rPr>
          <w:spacing w:val="-1"/>
          <w:sz w:val="18"/>
        </w:rPr>
        <w:t xml:space="preserve"> </w:t>
      </w:r>
      <w:r>
        <w:rPr>
          <w:sz w:val="18"/>
        </w:rPr>
        <w:t>(or</w:t>
      </w:r>
      <w:r>
        <w:rPr>
          <w:spacing w:val="-4"/>
          <w:sz w:val="18"/>
        </w:rPr>
        <w:t xml:space="preserve"> </w:t>
      </w:r>
      <w:r>
        <w:rPr>
          <w:sz w:val="18"/>
        </w:rPr>
        <w:t>multiplied</w:t>
      </w:r>
      <w:r>
        <w:rPr>
          <w:spacing w:val="-1"/>
          <w:sz w:val="18"/>
        </w:rPr>
        <w:t xml:space="preserve"> </w:t>
      </w:r>
      <w:r>
        <w:rPr>
          <w:sz w:val="18"/>
        </w:rPr>
        <w:t>by</w:t>
      </w:r>
      <w:r>
        <w:rPr>
          <w:spacing w:val="-1"/>
          <w:sz w:val="18"/>
        </w:rPr>
        <w:t xml:space="preserve"> </w:t>
      </w:r>
      <w:r>
        <w:rPr>
          <w:sz w:val="18"/>
        </w:rPr>
        <w:t>0.8)</w:t>
      </w:r>
      <w:r>
        <w:rPr>
          <w:spacing w:val="-2"/>
          <w:sz w:val="18"/>
        </w:rPr>
        <w:t xml:space="preserve"> </w:t>
      </w:r>
      <w:r>
        <w:rPr>
          <w:sz w:val="18"/>
        </w:rPr>
        <w:t>while</w:t>
      </w:r>
      <w:r>
        <w:rPr>
          <w:spacing w:val="-1"/>
          <w:sz w:val="18"/>
        </w:rPr>
        <w:t xml:space="preserve"> </w:t>
      </w:r>
      <w:r>
        <w:rPr>
          <w:sz w:val="18"/>
        </w:rPr>
        <w:t>a</w:t>
      </w:r>
      <w:r>
        <w:rPr>
          <w:spacing w:val="-4"/>
          <w:sz w:val="18"/>
        </w:rPr>
        <w:t xml:space="preserve"> </w:t>
      </w:r>
      <w:r>
        <w:rPr>
          <w:sz w:val="18"/>
        </w:rPr>
        <w:t>decrease</w:t>
      </w:r>
      <w:r>
        <w:rPr>
          <w:spacing w:val="-1"/>
          <w:sz w:val="18"/>
        </w:rPr>
        <w:t xml:space="preserve"> </w:t>
      </w:r>
      <w:r>
        <w:rPr>
          <w:sz w:val="18"/>
        </w:rPr>
        <w:t>is</w:t>
      </w:r>
      <w:r>
        <w:rPr>
          <w:spacing w:val="-1"/>
          <w:sz w:val="18"/>
        </w:rPr>
        <w:t xml:space="preserve"> </w:t>
      </w:r>
      <w:r>
        <w:rPr>
          <w:sz w:val="18"/>
        </w:rPr>
        <w:t>divided</w:t>
      </w:r>
      <w:r>
        <w:rPr>
          <w:spacing w:val="-4"/>
          <w:sz w:val="18"/>
        </w:rPr>
        <w:t xml:space="preserve"> </w:t>
      </w:r>
      <w:r>
        <w:rPr>
          <w:sz w:val="18"/>
        </w:rPr>
        <w:t>by</w:t>
      </w:r>
      <w:r>
        <w:rPr>
          <w:spacing w:val="-3"/>
          <w:sz w:val="18"/>
        </w:rPr>
        <w:t xml:space="preserve"> </w:t>
      </w:r>
      <w:r>
        <w:rPr>
          <w:sz w:val="18"/>
        </w:rPr>
        <w:t>0.75 (or multiplied by 1.333).</w:t>
      </w:r>
    </w:p>
    <w:p w14:paraId="2743429E" w14:textId="77777777" w:rsidR="00AC6F3C" w:rsidRDefault="00AC6F3C">
      <w:pPr>
        <w:pStyle w:val="BodyText"/>
        <w:spacing w:before="9"/>
      </w:pPr>
    </w:p>
    <w:p w14:paraId="5A5F72C6" w14:textId="77777777" w:rsidR="00AC6F3C" w:rsidRDefault="00570E88">
      <w:pPr>
        <w:spacing w:before="1"/>
        <w:ind w:left="980"/>
        <w:rPr>
          <w:b/>
          <w:i/>
          <w:sz w:val="18"/>
        </w:rPr>
      </w:pPr>
      <w:r>
        <w:rPr>
          <w:b/>
          <w:i/>
          <w:sz w:val="18"/>
        </w:rPr>
        <w:t>Equity</w:t>
      </w:r>
      <w:r>
        <w:rPr>
          <w:b/>
          <w:i/>
          <w:spacing w:val="1"/>
          <w:sz w:val="18"/>
        </w:rPr>
        <w:t xml:space="preserve"> </w:t>
      </w:r>
      <w:r>
        <w:rPr>
          <w:b/>
          <w:i/>
          <w:spacing w:val="-2"/>
          <w:sz w:val="18"/>
        </w:rPr>
        <w:t>sensitivity</w:t>
      </w:r>
    </w:p>
    <w:p w14:paraId="1AC30BCB" w14:textId="77777777" w:rsidR="00AC6F3C" w:rsidRDefault="00AC6F3C">
      <w:pPr>
        <w:pStyle w:val="BodyText"/>
        <w:spacing w:before="9"/>
        <w:rPr>
          <w:b/>
          <w:i/>
        </w:rPr>
      </w:pPr>
    </w:p>
    <w:p w14:paraId="47A839DF" w14:textId="77777777" w:rsidR="00AC6F3C" w:rsidRDefault="00570E88">
      <w:pPr>
        <w:ind w:left="980"/>
        <w:rPr>
          <w:sz w:val="18"/>
        </w:rPr>
      </w:pPr>
      <w:r>
        <w:rPr>
          <w:sz w:val="18"/>
        </w:rPr>
        <w:t>Equity sensitivity measures the change on the capital base of a fall in equity and other asset values.</w:t>
      </w:r>
      <w:r>
        <w:rPr>
          <w:spacing w:val="40"/>
          <w:sz w:val="18"/>
        </w:rPr>
        <w:t xml:space="preserve"> </w:t>
      </w:r>
      <w:r>
        <w:rPr>
          <w:sz w:val="18"/>
        </w:rPr>
        <w:t>For listed equities,</w:t>
      </w:r>
      <w:r>
        <w:rPr>
          <w:spacing w:val="-2"/>
          <w:sz w:val="18"/>
        </w:rPr>
        <w:t xml:space="preserve"> </w:t>
      </w:r>
      <w:r>
        <w:rPr>
          <w:sz w:val="18"/>
        </w:rPr>
        <w:t>the</w:t>
      </w:r>
      <w:r>
        <w:rPr>
          <w:spacing w:val="-1"/>
          <w:sz w:val="18"/>
        </w:rPr>
        <w:t xml:space="preserve"> </w:t>
      </w:r>
      <w:r>
        <w:rPr>
          <w:sz w:val="18"/>
        </w:rPr>
        <w:t>fall</w:t>
      </w:r>
      <w:r>
        <w:rPr>
          <w:spacing w:val="-1"/>
          <w:sz w:val="18"/>
        </w:rPr>
        <w:t xml:space="preserve"> </w:t>
      </w:r>
      <w:r>
        <w:rPr>
          <w:sz w:val="18"/>
        </w:rPr>
        <w:t>is</w:t>
      </w:r>
      <w:r>
        <w:rPr>
          <w:spacing w:val="-1"/>
          <w:sz w:val="18"/>
        </w:rPr>
        <w:t xml:space="preserve"> </w:t>
      </w:r>
      <w:r>
        <w:rPr>
          <w:sz w:val="18"/>
        </w:rPr>
        <w:t>determined</w:t>
      </w:r>
      <w:r>
        <w:rPr>
          <w:spacing w:val="-4"/>
          <w:sz w:val="18"/>
        </w:rPr>
        <w:t xml:space="preserve"> </w:t>
      </w:r>
      <w:r>
        <w:rPr>
          <w:sz w:val="18"/>
        </w:rPr>
        <w:t>by</w:t>
      </w:r>
      <w:r>
        <w:rPr>
          <w:spacing w:val="-1"/>
          <w:sz w:val="18"/>
        </w:rPr>
        <w:t xml:space="preserve"> </w:t>
      </w:r>
      <w:r>
        <w:rPr>
          <w:sz w:val="18"/>
        </w:rPr>
        <w:t>increasing</w:t>
      </w:r>
      <w:r>
        <w:rPr>
          <w:spacing w:val="-1"/>
          <w:sz w:val="18"/>
        </w:rPr>
        <w:t xml:space="preserve"> </w:t>
      </w:r>
      <w:r>
        <w:rPr>
          <w:sz w:val="18"/>
        </w:rPr>
        <w:t>the</w:t>
      </w:r>
      <w:r>
        <w:rPr>
          <w:spacing w:val="-1"/>
          <w:sz w:val="18"/>
        </w:rPr>
        <w:t xml:space="preserve"> </w:t>
      </w:r>
      <w:r>
        <w:rPr>
          <w:sz w:val="18"/>
        </w:rPr>
        <w:t>dividend</w:t>
      </w:r>
      <w:r>
        <w:rPr>
          <w:spacing w:val="-1"/>
          <w:sz w:val="18"/>
        </w:rPr>
        <w:t xml:space="preserve"> </w:t>
      </w:r>
      <w:r>
        <w:rPr>
          <w:sz w:val="18"/>
        </w:rPr>
        <w:t>yield</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ASX</w:t>
      </w:r>
      <w:r>
        <w:rPr>
          <w:spacing w:val="-2"/>
          <w:sz w:val="18"/>
        </w:rPr>
        <w:t xml:space="preserve"> </w:t>
      </w:r>
      <w:r>
        <w:rPr>
          <w:sz w:val="18"/>
        </w:rPr>
        <w:t>200</w:t>
      </w:r>
      <w:r>
        <w:rPr>
          <w:spacing w:val="-1"/>
          <w:sz w:val="18"/>
        </w:rPr>
        <w:t xml:space="preserve"> </w:t>
      </w:r>
      <w:r>
        <w:rPr>
          <w:sz w:val="18"/>
        </w:rPr>
        <w:t>index</w:t>
      </w:r>
      <w:r>
        <w:rPr>
          <w:spacing w:val="-1"/>
          <w:sz w:val="18"/>
        </w:rPr>
        <w:t xml:space="preserve"> </w:t>
      </w:r>
      <w:r>
        <w:rPr>
          <w:sz w:val="18"/>
        </w:rPr>
        <w:t>by</w:t>
      </w:r>
      <w:r>
        <w:rPr>
          <w:spacing w:val="-1"/>
          <w:sz w:val="18"/>
        </w:rPr>
        <w:t xml:space="preserve"> </w:t>
      </w:r>
      <w:r>
        <w:rPr>
          <w:sz w:val="18"/>
        </w:rPr>
        <w:t>2.5</w:t>
      </w:r>
      <w:r>
        <w:rPr>
          <w:spacing w:val="-4"/>
          <w:sz w:val="18"/>
        </w:rPr>
        <w:t xml:space="preserve"> </w:t>
      </w:r>
      <w:r>
        <w:rPr>
          <w:sz w:val="18"/>
        </w:rPr>
        <w:t>percent.</w:t>
      </w:r>
      <w:r>
        <w:rPr>
          <w:spacing w:val="40"/>
          <w:sz w:val="18"/>
        </w:rPr>
        <w:t xml:space="preserve"> </w:t>
      </w:r>
      <w:r>
        <w:rPr>
          <w:sz w:val="18"/>
        </w:rPr>
        <w:t>For</w:t>
      </w:r>
      <w:r>
        <w:rPr>
          <w:spacing w:val="-2"/>
          <w:sz w:val="18"/>
        </w:rPr>
        <w:t xml:space="preserve"> </w:t>
      </w:r>
      <w:r>
        <w:rPr>
          <w:sz w:val="18"/>
        </w:rPr>
        <w:t>unlisted equities, the fall is determined by increasing the dividend yield on the ASX 200 index by 3.0 percent.</w:t>
      </w:r>
    </w:p>
    <w:p w14:paraId="1BC0F2A9" w14:textId="77777777" w:rsidR="00AC6F3C" w:rsidRDefault="00570E88">
      <w:pPr>
        <w:spacing w:before="120"/>
        <w:ind w:left="980"/>
        <w:rPr>
          <w:b/>
          <w:i/>
          <w:sz w:val="18"/>
        </w:rPr>
      </w:pPr>
      <w:r>
        <w:rPr>
          <w:b/>
          <w:i/>
          <w:sz w:val="18"/>
        </w:rPr>
        <w:t>Property</w:t>
      </w:r>
      <w:r>
        <w:rPr>
          <w:b/>
          <w:i/>
          <w:spacing w:val="-4"/>
          <w:sz w:val="18"/>
        </w:rPr>
        <w:t xml:space="preserve"> </w:t>
      </w:r>
      <w:r>
        <w:rPr>
          <w:b/>
          <w:i/>
          <w:spacing w:val="-2"/>
          <w:sz w:val="18"/>
        </w:rPr>
        <w:t>stress</w:t>
      </w:r>
    </w:p>
    <w:p w14:paraId="5429FE48" w14:textId="77777777" w:rsidR="00AC6F3C" w:rsidRDefault="00AC6F3C">
      <w:pPr>
        <w:pStyle w:val="BodyText"/>
        <w:spacing w:before="10"/>
        <w:rPr>
          <w:b/>
          <w:i/>
        </w:rPr>
      </w:pPr>
    </w:p>
    <w:p w14:paraId="6A0CF588" w14:textId="77777777" w:rsidR="00AC6F3C" w:rsidRDefault="00570E88">
      <w:pPr>
        <w:ind w:left="980" w:right="256"/>
        <w:rPr>
          <w:sz w:val="18"/>
        </w:rPr>
      </w:pPr>
      <w:r>
        <w:rPr>
          <w:sz w:val="18"/>
        </w:rPr>
        <w:t>Property</w:t>
      </w:r>
      <w:r>
        <w:rPr>
          <w:spacing w:val="-1"/>
          <w:sz w:val="18"/>
        </w:rPr>
        <w:t xml:space="preserve"> </w:t>
      </w:r>
      <w:r>
        <w:rPr>
          <w:sz w:val="18"/>
        </w:rPr>
        <w:t>sensitivity</w:t>
      </w:r>
      <w:r>
        <w:rPr>
          <w:spacing w:val="-1"/>
          <w:sz w:val="18"/>
        </w:rPr>
        <w:t xml:space="preserve"> </w:t>
      </w:r>
      <w:r>
        <w:rPr>
          <w:sz w:val="18"/>
        </w:rPr>
        <w:t>measures</w:t>
      </w:r>
      <w:r>
        <w:rPr>
          <w:spacing w:val="-3"/>
          <w:sz w:val="18"/>
        </w:rPr>
        <w:t xml:space="preserve"> </w:t>
      </w:r>
      <w:r>
        <w:rPr>
          <w:sz w:val="18"/>
        </w:rPr>
        <w:t>the</w:t>
      </w:r>
      <w:r>
        <w:rPr>
          <w:spacing w:val="-1"/>
          <w:sz w:val="18"/>
        </w:rPr>
        <w:t xml:space="preserve"> </w:t>
      </w:r>
      <w:r>
        <w:rPr>
          <w:sz w:val="18"/>
        </w:rPr>
        <w:t>change</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capital</w:t>
      </w:r>
      <w:r>
        <w:rPr>
          <w:spacing w:val="-1"/>
          <w:sz w:val="18"/>
        </w:rPr>
        <w:t xml:space="preserve"> </w:t>
      </w:r>
      <w:r>
        <w:rPr>
          <w:sz w:val="18"/>
        </w:rPr>
        <w:t>base</w:t>
      </w:r>
      <w:r>
        <w:rPr>
          <w:spacing w:val="-4"/>
          <w:sz w:val="18"/>
        </w:rPr>
        <w:t xml:space="preserve"> </w:t>
      </w:r>
      <w:r>
        <w:rPr>
          <w:sz w:val="18"/>
        </w:rPr>
        <w:t>of</w:t>
      </w:r>
      <w:r>
        <w:rPr>
          <w:spacing w:val="-2"/>
          <w:sz w:val="18"/>
        </w:rPr>
        <w:t xml:space="preserve"> </w:t>
      </w:r>
      <w:r>
        <w:rPr>
          <w:sz w:val="18"/>
        </w:rPr>
        <w:t>a</w:t>
      </w:r>
      <w:r>
        <w:rPr>
          <w:spacing w:val="-1"/>
          <w:sz w:val="18"/>
        </w:rPr>
        <w:t xml:space="preserve"> </w:t>
      </w:r>
      <w:r>
        <w:rPr>
          <w:sz w:val="18"/>
        </w:rPr>
        <w:t>fall</w:t>
      </w:r>
      <w:r>
        <w:rPr>
          <w:spacing w:val="-4"/>
          <w:sz w:val="18"/>
        </w:rPr>
        <w:t xml:space="preserve"> </w:t>
      </w:r>
      <w:r>
        <w:rPr>
          <w:sz w:val="18"/>
        </w:rPr>
        <w:t>in</w:t>
      </w:r>
      <w:r>
        <w:rPr>
          <w:spacing w:val="-1"/>
          <w:sz w:val="18"/>
        </w:rPr>
        <w:t xml:space="preserve"> </w:t>
      </w:r>
      <w:r>
        <w:rPr>
          <w:sz w:val="18"/>
        </w:rPr>
        <w:t>property</w:t>
      </w:r>
      <w:r>
        <w:rPr>
          <w:spacing w:val="-1"/>
          <w:sz w:val="18"/>
        </w:rPr>
        <w:t xml:space="preserve"> </w:t>
      </w:r>
      <w:r>
        <w:rPr>
          <w:sz w:val="18"/>
        </w:rPr>
        <w:t>and</w:t>
      </w:r>
      <w:r>
        <w:rPr>
          <w:spacing w:val="-1"/>
          <w:sz w:val="18"/>
        </w:rPr>
        <w:t xml:space="preserve"> </w:t>
      </w:r>
      <w:r>
        <w:rPr>
          <w:sz w:val="18"/>
        </w:rPr>
        <w:t>infrastructure</w:t>
      </w:r>
      <w:r>
        <w:rPr>
          <w:spacing w:val="-1"/>
          <w:sz w:val="18"/>
        </w:rPr>
        <w:t xml:space="preserve"> </w:t>
      </w:r>
      <w:r>
        <w:rPr>
          <w:sz w:val="18"/>
        </w:rPr>
        <w:t>asset</w:t>
      </w:r>
      <w:r>
        <w:rPr>
          <w:spacing w:val="-4"/>
          <w:sz w:val="18"/>
        </w:rPr>
        <w:t xml:space="preserve"> </w:t>
      </w:r>
      <w:r>
        <w:rPr>
          <w:sz w:val="18"/>
        </w:rPr>
        <w:t>values. The fall is determined by increasing the rental yield (for property assets) or earnings yield (for infrastructure assets) by 2.75 percent.</w:t>
      </w:r>
    </w:p>
    <w:p w14:paraId="0E345965" w14:textId="77777777" w:rsidR="00AC6F3C" w:rsidRDefault="00570E88">
      <w:pPr>
        <w:spacing w:before="120"/>
        <w:ind w:left="980"/>
        <w:rPr>
          <w:b/>
          <w:i/>
          <w:sz w:val="18"/>
        </w:rPr>
      </w:pPr>
      <w:r>
        <w:rPr>
          <w:b/>
          <w:i/>
          <w:sz w:val="18"/>
        </w:rPr>
        <w:t>Credit</w:t>
      </w:r>
      <w:r>
        <w:rPr>
          <w:b/>
          <w:i/>
          <w:spacing w:val="-2"/>
          <w:sz w:val="18"/>
        </w:rPr>
        <w:t xml:space="preserve"> </w:t>
      </w:r>
      <w:r>
        <w:rPr>
          <w:b/>
          <w:i/>
          <w:sz w:val="18"/>
        </w:rPr>
        <w:t>spread</w:t>
      </w:r>
      <w:r>
        <w:rPr>
          <w:b/>
          <w:i/>
          <w:spacing w:val="-3"/>
          <w:sz w:val="18"/>
        </w:rPr>
        <w:t xml:space="preserve"> </w:t>
      </w:r>
      <w:r>
        <w:rPr>
          <w:b/>
          <w:i/>
          <w:spacing w:val="-2"/>
          <w:sz w:val="18"/>
        </w:rPr>
        <w:t>stress</w:t>
      </w:r>
    </w:p>
    <w:p w14:paraId="09563C41" w14:textId="77777777" w:rsidR="00AC6F3C" w:rsidRDefault="00AC6F3C">
      <w:pPr>
        <w:pStyle w:val="BodyText"/>
        <w:spacing w:before="10"/>
        <w:rPr>
          <w:b/>
          <w:i/>
        </w:rPr>
      </w:pPr>
    </w:p>
    <w:p w14:paraId="4C5244CE" w14:textId="77777777" w:rsidR="00AC6F3C" w:rsidRDefault="00570E88">
      <w:pPr>
        <w:ind w:left="980" w:right="234"/>
        <w:rPr>
          <w:sz w:val="18"/>
        </w:rPr>
      </w:pPr>
      <w:r>
        <w:rPr>
          <w:sz w:val="18"/>
        </w:rPr>
        <w:t>Credit</w:t>
      </w:r>
      <w:r>
        <w:rPr>
          <w:spacing w:val="-4"/>
          <w:sz w:val="18"/>
        </w:rPr>
        <w:t xml:space="preserve"> </w:t>
      </w:r>
      <w:r>
        <w:rPr>
          <w:sz w:val="18"/>
        </w:rPr>
        <w:t>spread</w:t>
      </w:r>
      <w:r>
        <w:rPr>
          <w:spacing w:val="-1"/>
          <w:sz w:val="18"/>
        </w:rPr>
        <w:t xml:space="preserve"> </w:t>
      </w:r>
      <w:r>
        <w:rPr>
          <w:sz w:val="18"/>
        </w:rPr>
        <w:t>sensitivity</w:t>
      </w:r>
      <w:r>
        <w:rPr>
          <w:spacing w:val="-1"/>
          <w:sz w:val="18"/>
        </w:rPr>
        <w:t xml:space="preserve"> </w:t>
      </w:r>
      <w:r>
        <w:rPr>
          <w:sz w:val="18"/>
        </w:rPr>
        <w:t>measures</w:t>
      </w:r>
      <w:r>
        <w:rPr>
          <w:spacing w:val="-1"/>
          <w:sz w:val="18"/>
        </w:rPr>
        <w:t xml:space="preserve"> </w:t>
      </w:r>
      <w:r>
        <w:rPr>
          <w:sz w:val="18"/>
        </w:rPr>
        <w:t>the</w:t>
      </w:r>
      <w:r>
        <w:rPr>
          <w:spacing w:val="-4"/>
          <w:sz w:val="18"/>
        </w:rPr>
        <w:t xml:space="preserve"> </w:t>
      </w:r>
      <w:r>
        <w:rPr>
          <w:sz w:val="18"/>
        </w:rPr>
        <w:t>change</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capital</w:t>
      </w:r>
      <w:r>
        <w:rPr>
          <w:spacing w:val="-4"/>
          <w:sz w:val="18"/>
        </w:rPr>
        <w:t xml:space="preserve"> </w:t>
      </w:r>
      <w:r>
        <w:rPr>
          <w:sz w:val="18"/>
        </w:rPr>
        <w:t>base</w:t>
      </w:r>
      <w:r>
        <w:rPr>
          <w:spacing w:val="-1"/>
          <w:sz w:val="18"/>
        </w:rPr>
        <w:t xml:space="preserve"> </w:t>
      </w:r>
      <w:r>
        <w:rPr>
          <w:sz w:val="18"/>
        </w:rPr>
        <w:t>of</w:t>
      </w:r>
      <w:r>
        <w:rPr>
          <w:spacing w:val="-4"/>
          <w:sz w:val="18"/>
        </w:rPr>
        <w:t xml:space="preserve"> </w:t>
      </w:r>
      <w:r>
        <w:rPr>
          <w:sz w:val="18"/>
        </w:rPr>
        <w:t>an</w:t>
      </w:r>
      <w:r>
        <w:rPr>
          <w:spacing w:val="-2"/>
          <w:sz w:val="18"/>
        </w:rPr>
        <w:t xml:space="preserve"> </w:t>
      </w:r>
      <w:r>
        <w:rPr>
          <w:sz w:val="18"/>
        </w:rPr>
        <w:t>increase</w:t>
      </w:r>
      <w:r>
        <w:rPr>
          <w:spacing w:val="-1"/>
          <w:sz w:val="18"/>
        </w:rPr>
        <w:t xml:space="preserve"> </w:t>
      </w:r>
      <w:r>
        <w:rPr>
          <w:sz w:val="18"/>
        </w:rPr>
        <w:t>in</w:t>
      </w:r>
      <w:r>
        <w:rPr>
          <w:spacing w:val="-4"/>
          <w:sz w:val="18"/>
        </w:rPr>
        <w:t xml:space="preserve"> </w:t>
      </w:r>
      <w:r>
        <w:rPr>
          <w:sz w:val="18"/>
        </w:rPr>
        <w:t>credit</w:t>
      </w:r>
      <w:r>
        <w:rPr>
          <w:spacing w:val="-4"/>
          <w:sz w:val="18"/>
        </w:rPr>
        <w:t xml:space="preserve"> </w:t>
      </w:r>
      <w:r>
        <w:rPr>
          <w:sz w:val="18"/>
        </w:rPr>
        <w:t>spreads</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risk</w:t>
      </w:r>
      <w:r>
        <w:rPr>
          <w:spacing w:val="-3"/>
          <w:sz w:val="18"/>
        </w:rPr>
        <w:t xml:space="preserve"> </w:t>
      </w:r>
      <w:r>
        <w:rPr>
          <w:sz w:val="18"/>
        </w:rPr>
        <w:t>of default.</w:t>
      </w:r>
      <w:r>
        <w:rPr>
          <w:spacing w:val="40"/>
          <w:sz w:val="18"/>
        </w:rPr>
        <w:t xml:space="preserve"> </w:t>
      </w:r>
      <w:r>
        <w:rPr>
          <w:sz w:val="18"/>
        </w:rPr>
        <w:t>The sensitivity has been determined by adding a spread (based on APRA credit spread and default factors) to the current yield on the asset and multiplying the reduced value of the asset by (1 – default factor).</w:t>
      </w:r>
    </w:p>
    <w:p w14:paraId="0B267FB6" w14:textId="77777777" w:rsidR="00AC6F3C" w:rsidRDefault="00570E88">
      <w:pPr>
        <w:spacing w:before="120"/>
        <w:ind w:left="980" w:right="468"/>
        <w:rPr>
          <w:sz w:val="18"/>
        </w:rPr>
      </w:pPr>
      <w:r>
        <w:rPr>
          <w:sz w:val="18"/>
        </w:rPr>
        <w:t>The</w:t>
      </w:r>
      <w:r>
        <w:rPr>
          <w:spacing w:val="-1"/>
          <w:sz w:val="18"/>
        </w:rPr>
        <w:t xml:space="preserve"> </w:t>
      </w:r>
      <w:r>
        <w:rPr>
          <w:sz w:val="18"/>
        </w:rPr>
        <w:t>below</w:t>
      </w:r>
      <w:r>
        <w:rPr>
          <w:spacing w:val="-2"/>
          <w:sz w:val="18"/>
        </w:rPr>
        <w:t xml:space="preserve"> </w:t>
      </w:r>
      <w:r>
        <w:rPr>
          <w:sz w:val="18"/>
        </w:rPr>
        <w:t>details</w:t>
      </w:r>
      <w:r>
        <w:rPr>
          <w:spacing w:val="-3"/>
          <w:sz w:val="18"/>
        </w:rPr>
        <w:t xml:space="preserve"> </w:t>
      </w:r>
      <w:r>
        <w:rPr>
          <w:sz w:val="18"/>
        </w:rPr>
        <w:t>the</w:t>
      </w:r>
      <w:r>
        <w:rPr>
          <w:spacing w:val="-4"/>
          <w:sz w:val="18"/>
        </w:rPr>
        <w:t xml:space="preserve"> </w:t>
      </w:r>
      <w:r>
        <w:rPr>
          <w:sz w:val="18"/>
        </w:rPr>
        <w:t>impact</w:t>
      </w:r>
      <w:r>
        <w:rPr>
          <w:spacing w:val="-4"/>
          <w:sz w:val="18"/>
        </w:rPr>
        <w:t xml:space="preserve"> </w:t>
      </w:r>
      <w:r>
        <w:rPr>
          <w:sz w:val="18"/>
        </w:rPr>
        <w:t>to</w:t>
      </w:r>
      <w:r>
        <w:rPr>
          <w:spacing w:val="-1"/>
          <w:sz w:val="18"/>
        </w:rPr>
        <w:t xml:space="preserve"> </w:t>
      </w:r>
      <w:r>
        <w:rPr>
          <w:sz w:val="18"/>
        </w:rPr>
        <w:t>investments</w:t>
      </w:r>
      <w:r>
        <w:rPr>
          <w:spacing w:val="-4"/>
          <w:sz w:val="18"/>
        </w:rPr>
        <w:t xml:space="preserve"> </w:t>
      </w:r>
      <w:r>
        <w:rPr>
          <w:sz w:val="18"/>
        </w:rPr>
        <w:t>at</w:t>
      </w:r>
      <w:r>
        <w:rPr>
          <w:spacing w:val="-2"/>
          <w:sz w:val="18"/>
        </w:rPr>
        <w:t xml:space="preserve"> </w:t>
      </w:r>
      <w:r>
        <w:rPr>
          <w:sz w:val="18"/>
        </w:rPr>
        <w:t>fair</w:t>
      </w:r>
      <w:r>
        <w:rPr>
          <w:spacing w:val="-2"/>
          <w:sz w:val="18"/>
        </w:rPr>
        <w:t xml:space="preserve"> </w:t>
      </w:r>
      <w:r>
        <w:rPr>
          <w:sz w:val="18"/>
        </w:rPr>
        <w:t>value</w:t>
      </w:r>
      <w:r>
        <w:rPr>
          <w:spacing w:val="-1"/>
          <w:sz w:val="18"/>
        </w:rPr>
        <w:t xml:space="preserve"> </w:t>
      </w:r>
      <w:r>
        <w:rPr>
          <w:sz w:val="18"/>
        </w:rPr>
        <w:t>through</w:t>
      </w:r>
      <w:r>
        <w:rPr>
          <w:spacing w:val="-1"/>
          <w:sz w:val="18"/>
        </w:rPr>
        <w:t xml:space="preserve"> </w:t>
      </w:r>
      <w:r>
        <w:rPr>
          <w:sz w:val="18"/>
        </w:rPr>
        <w:t>profit</w:t>
      </w:r>
      <w:r>
        <w:rPr>
          <w:spacing w:val="-4"/>
          <w:sz w:val="18"/>
        </w:rPr>
        <w:t xml:space="preserve"> </w:t>
      </w:r>
      <w:r>
        <w:rPr>
          <w:sz w:val="18"/>
        </w:rPr>
        <w:t>or</w:t>
      </w:r>
      <w:r>
        <w:rPr>
          <w:spacing w:val="-2"/>
          <w:sz w:val="18"/>
        </w:rPr>
        <w:t xml:space="preserve"> </w:t>
      </w:r>
      <w:r>
        <w:rPr>
          <w:sz w:val="18"/>
        </w:rPr>
        <w:t>loss</w:t>
      </w:r>
      <w:r>
        <w:rPr>
          <w:spacing w:val="-1"/>
          <w:sz w:val="18"/>
        </w:rPr>
        <w:t xml:space="preserve"> </w:t>
      </w:r>
      <w:r>
        <w:rPr>
          <w:sz w:val="18"/>
        </w:rPr>
        <w:t>before</w:t>
      </w:r>
      <w:r>
        <w:rPr>
          <w:spacing w:val="-1"/>
          <w:sz w:val="18"/>
        </w:rPr>
        <w:t xml:space="preserve"> </w:t>
      </w:r>
      <w:r>
        <w:rPr>
          <w:sz w:val="18"/>
        </w:rPr>
        <w:t>tax</w:t>
      </w:r>
      <w:r>
        <w:rPr>
          <w:spacing w:val="-3"/>
          <w:sz w:val="18"/>
        </w:rPr>
        <w:t xml:space="preserve"> </w:t>
      </w:r>
      <w:r>
        <w:rPr>
          <w:sz w:val="18"/>
        </w:rPr>
        <w:t>and</w:t>
      </w:r>
      <w:r>
        <w:rPr>
          <w:spacing w:val="-1"/>
          <w:sz w:val="18"/>
        </w:rPr>
        <w:t xml:space="preserve"> </w:t>
      </w:r>
      <w:r>
        <w:rPr>
          <w:sz w:val="18"/>
        </w:rPr>
        <w:t>before</w:t>
      </w:r>
      <w:r>
        <w:rPr>
          <w:spacing w:val="-1"/>
          <w:sz w:val="18"/>
        </w:rPr>
        <w:t xml:space="preserve"> </w:t>
      </w:r>
      <w:r>
        <w:rPr>
          <w:sz w:val="18"/>
        </w:rPr>
        <w:t>any aggregation benefits.</w:t>
      </w:r>
    </w:p>
    <w:p w14:paraId="5EFE19AB" w14:textId="77777777" w:rsidR="00AC6F3C" w:rsidRDefault="00AC6F3C">
      <w:pPr>
        <w:pStyle w:val="BodyText"/>
        <w:spacing w:before="10"/>
      </w:pPr>
    </w:p>
    <w:tbl>
      <w:tblPr>
        <w:tblW w:w="0" w:type="auto"/>
        <w:tblInd w:w="994" w:type="dxa"/>
        <w:tblLayout w:type="fixed"/>
        <w:tblCellMar>
          <w:left w:w="0" w:type="dxa"/>
          <w:right w:w="0" w:type="dxa"/>
        </w:tblCellMar>
        <w:tblLook w:val="01E0" w:firstRow="1" w:lastRow="1" w:firstColumn="1" w:lastColumn="1" w:noHBand="0" w:noVBand="0"/>
      </w:tblPr>
      <w:tblGrid>
        <w:gridCol w:w="2404"/>
        <w:gridCol w:w="2947"/>
      </w:tblGrid>
      <w:tr w:rsidR="00AC6F3C" w14:paraId="682252A9" w14:textId="77777777">
        <w:trPr>
          <w:trHeight w:val="522"/>
        </w:trPr>
        <w:tc>
          <w:tcPr>
            <w:tcW w:w="5351" w:type="dxa"/>
            <w:gridSpan w:val="2"/>
            <w:tcBorders>
              <w:top w:val="single" w:sz="6" w:space="0" w:color="000000"/>
              <w:left w:val="single" w:sz="6" w:space="0" w:color="000000"/>
              <w:bottom w:val="single" w:sz="6" w:space="0" w:color="000000"/>
              <w:right w:val="single" w:sz="6" w:space="0" w:color="000000"/>
            </w:tcBorders>
            <w:shd w:val="clear" w:color="auto" w:fill="BEBEBE"/>
          </w:tcPr>
          <w:p w14:paraId="552BA9EF" w14:textId="77777777" w:rsidR="00AC6F3C" w:rsidRDefault="00570E88">
            <w:pPr>
              <w:pStyle w:val="TableParagraph"/>
              <w:tabs>
                <w:tab w:val="left" w:pos="905"/>
              </w:tabs>
              <w:spacing w:before="24"/>
              <w:ind w:right="18"/>
              <w:jc w:val="right"/>
              <w:rPr>
                <w:b/>
                <w:sz w:val="17"/>
              </w:rPr>
            </w:pPr>
            <w:r>
              <w:rPr>
                <w:b/>
                <w:spacing w:val="-4"/>
                <w:sz w:val="17"/>
              </w:rPr>
              <w:t>2023</w:t>
            </w:r>
            <w:r>
              <w:rPr>
                <w:b/>
                <w:sz w:val="17"/>
              </w:rPr>
              <w:tab/>
            </w:r>
            <w:r>
              <w:rPr>
                <w:b/>
                <w:spacing w:val="-4"/>
                <w:sz w:val="17"/>
              </w:rPr>
              <w:t>2022</w:t>
            </w:r>
          </w:p>
          <w:p w14:paraId="0723167C" w14:textId="77777777" w:rsidR="00AC6F3C" w:rsidRDefault="00570E88">
            <w:pPr>
              <w:pStyle w:val="TableParagraph"/>
              <w:tabs>
                <w:tab w:val="left" w:pos="905"/>
              </w:tabs>
              <w:spacing w:before="73"/>
              <w:ind w:right="18"/>
              <w:jc w:val="right"/>
              <w:rPr>
                <w:b/>
                <w:sz w:val="17"/>
              </w:rPr>
            </w:pPr>
            <w:r>
              <w:rPr>
                <w:b/>
                <w:spacing w:val="-2"/>
                <w:sz w:val="17"/>
              </w:rPr>
              <w:t>$'000</w:t>
            </w:r>
            <w:r>
              <w:rPr>
                <w:b/>
                <w:sz w:val="17"/>
              </w:rPr>
              <w:tab/>
            </w:r>
            <w:r>
              <w:rPr>
                <w:b/>
                <w:spacing w:val="-2"/>
                <w:sz w:val="17"/>
              </w:rPr>
              <w:t>$'000</w:t>
            </w:r>
          </w:p>
        </w:tc>
      </w:tr>
      <w:tr w:rsidR="00AC6F3C" w14:paraId="24AE0D11" w14:textId="77777777">
        <w:trPr>
          <w:trHeight w:val="287"/>
        </w:trPr>
        <w:tc>
          <w:tcPr>
            <w:tcW w:w="2404" w:type="dxa"/>
            <w:tcBorders>
              <w:top w:val="single" w:sz="6" w:space="0" w:color="000000"/>
              <w:left w:val="single" w:sz="6" w:space="0" w:color="000000"/>
            </w:tcBorders>
          </w:tcPr>
          <w:p w14:paraId="07C9FF68" w14:textId="77777777" w:rsidR="00AC6F3C" w:rsidRDefault="00570E88">
            <w:pPr>
              <w:pStyle w:val="TableParagraph"/>
              <w:spacing w:before="52"/>
              <w:ind w:left="34"/>
              <w:rPr>
                <w:b/>
                <w:sz w:val="17"/>
              </w:rPr>
            </w:pPr>
            <w:r>
              <w:rPr>
                <w:b/>
                <w:sz w:val="17"/>
              </w:rPr>
              <w:t>Stress</w:t>
            </w:r>
            <w:r>
              <w:rPr>
                <w:b/>
                <w:spacing w:val="4"/>
                <w:sz w:val="17"/>
              </w:rPr>
              <w:t xml:space="preserve"> </w:t>
            </w:r>
            <w:r>
              <w:rPr>
                <w:b/>
                <w:spacing w:val="-4"/>
                <w:sz w:val="17"/>
              </w:rPr>
              <w:t>Test</w:t>
            </w:r>
          </w:p>
        </w:tc>
        <w:tc>
          <w:tcPr>
            <w:tcW w:w="2947" w:type="dxa"/>
            <w:tcBorders>
              <w:top w:val="single" w:sz="6" w:space="0" w:color="000000"/>
              <w:right w:val="single" w:sz="6" w:space="0" w:color="000000"/>
            </w:tcBorders>
          </w:tcPr>
          <w:p w14:paraId="6B57DC5F" w14:textId="77777777" w:rsidR="00AC6F3C" w:rsidRDefault="00570E88">
            <w:pPr>
              <w:pStyle w:val="TableParagraph"/>
              <w:spacing w:before="24"/>
              <w:ind w:left="1432"/>
              <w:rPr>
                <w:b/>
                <w:sz w:val="17"/>
              </w:rPr>
            </w:pPr>
            <w:r>
              <w:rPr>
                <w:noProof/>
              </w:rPr>
              <mc:AlternateContent>
                <mc:Choice Requires="wpg">
                  <w:drawing>
                    <wp:anchor distT="0" distB="0" distL="0" distR="0" simplePos="0" relativeHeight="472940544" behindDoc="1" locked="0" layoutInCell="1" allowOverlap="1" wp14:anchorId="1D1DA01E" wp14:editId="149457EC">
                      <wp:simplePos x="0" y="0"/>
                      <wp:positionH relativeFrom="column">
                        <wp:posOffset>716312</wp:posOffset>
                      </wp:positionH>
                      <wp:positionV relativeFrom="paragraph">
                        <wp:posOffset>161416</wp:posOffset>
                      </wp:positionV>
                      <wp:extent cx="584835" cy="521334"/>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21334"/>
                                <a:chOff x="0" y="0"/>
                                <a:chExt cx="584835" cy="521334"/>
                              </a:xfrm>
                            </wpg:grpSpPr>
                            <wps:wsp>
                              <wps:cNvPr id="799" name="Graphic 799"/>
                              <wps:cNvSpPr/>
                              <wps:spPr>
                                <a:xfrm>
                                  <a:off x="-5" y="9"/>
                                  <a:ext cx="584835" cy="521334"/>
                                </a:xfrm>
                                <a:custGeom>
                                  <a:avLst/>
                                  <a:gdLst/>
                                  <a:ahLst/>
                                  <a:cxnLst/>
                                  <a:rect l="l" t="t" r="r" b="b"/>
                                  <a:pathLst>
                                    <a:path w="584835" h="521334">
                                      <a:moveTo>
                                        <a:pt x="584314" y="341363"/>
                                      </a:moveTo>
                                      <a:lnTo>
                                        <a:pt x="584301" y="179666"/>
                                      </a:lnTo>
                                      <a:lnTo>
                                        <a:pt x="584301" y="170662"/>
                                      </a:lnTo>
                                      <a:lnTo>
                                        <a:pt x="584301" y="0"/>
                                      </a:lnTo>
                                      <a:lnTo>
                                        <a:pt x="0" y="0"/>
                                      </a:lnTo>
                                      <a:lnTo>
                                        <a:pt x="0" y="170662"/>
                                      </a:lnTo>
                                      <a:lnTo>
                                        <a:pt x="0" y="179666"/>
                                      </a:lnTo>
                                      <a:lnTo>
                                        <a:pt x="0" y="350342"/>
                                      </a:lnTo>
                                      <a:lnTo>
                                        <a:pt x="12" y="521017"/>
                                      </a:lnTo>
                                      <a:lnTo>
                                        <a:pt x="584314" y="521017"/>
                                      </a:lnTo>
                                      <a:lnTo>
                                        <a:pt x="584314" y="341363"/>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6A9CCFCA" id="Group 798" o:spid="_x0000_s1026" style="position:absolute;margin-left:56.4pt;margin-top:12.7pt;width:46.05pt;height:41.05pt;z-index:-30375936;mso-wrap-distance-left:0;mso-wrap-distance-right:0" coordsize="584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">
                      <v:shape id="Graphic 799" o:spid="_x0000_s1027" style="position:absolute;width:5848;height:5213;visibility:visible;mso-wrap-style:square;v-text-anchor:top" coordsize="5848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" path="m584314,341363r-13,-161697l584301,170662,584301,,,,,170662r,9004l,350342,12,521017r584302,l584314,341363xe" fillcolor="#f1f1f1" stroked="f">
                        <v:path arrowok="t"/>
                      </v:shape>
                    </v:group>
                  </w:pict>
                </mc:Fallback>
              </mc:AlternateContent>
            </w:r>
            <w:r>
              <w:rPr>
                <w:b/>
                <w:spacing w:val="-2"/>
                <w:sz w:val="17"/>
              </w:rPr>
              <w:t>Upward</w:t>
            </w:r>
            <w:r>
              <w:rPr>
                <w:b/>
                <w:spacing w:val="-3"/>
                <w:sz w:val="17"/>
              </w:rPr>
              <w:t xml:space="preserve"> </w:t>
            </w:r>
            <w:r>
              <w:rPr>
                <w:b/>
                <w:spacing w:val="-2"/>
                <w:sz w:val="17"/>
              </w:rPr>
              <w:t>impact</w:t>
            </w:r>
          </w:p>
        </w:tc>
      </w:tr>
      <w:tr w:rsidR="00AC6F3C" w14:paraId="5BC53822" w14:textId="77777777">
        <w:trPr>
          <w:trHeight w:val="268"/>
        </w:trPr>
        <w:tc>
          <w:tcPr>
            <w:tcW w:w="2404" w:type="dxa"/>
            <w:tcBorders>
              <w:left w:val="single" w:sz="6" w:space="0" w:color="000000"/>
            </w:tcBorders>
          </w:tcPr>
          <w:p w14:paraId="44381606" w14:textId="77777777" w:rsidR="00AC6F3C" w:rsidRDefault="00570E88">
            <w:pPr>
              <w:pStyle w:val="TableParagraph"/>
              <w:spacing w:before="33"/>
              <w:ind w:left="34"/>
              <w:rPr>
                <w:sz w:val="17"/>
              </w:rPr>
            </w:pPr>
            <w:r>
              <w:rPr>
                <w:sz w:val="17"/>
              </w:rPr>
              <w:t xml:space="preserve">Interest </w:t>
            </w:r>
            <w:r>
              <w:rPr>
                <w:spacing w:val="-4"/>
                <w:sz w:val="17"/>
              </w:rPr>
              <w:t>rate</w:t>
            </w:r>
          </w:p>
        </w:tc>
        <w:tc>
          <w:tcPr>
            <w:tcW w:w="2947" w:type="dxa"/>
            <w:tcBorders>
              <w:right w:val="single" w:sz="6" w:space="0" w:color="000000"/>
            </w:tcBorders>
          </w:tcPr>
          <w:p w14:paraId="36B1BDA5" w14:textId="77777777" w:rsidR="00AC6F3C" w:rsidRDefault="00570E88">
            <w:pPr>
              <w:pStyle w:val="TableParagraph"/>
              <w:tabs>
                <w:tab w:val="left" w:pos="905"/>
              </w:tabs>
              <w:spacing w:before="33"/>
              <w:ind w:right="14"/>
              <w:jc w:val="right"/>
              <w:rPr>
                <w:sz w:val="17"/>
              </w:rPr>
            </w:pPr>
            <w:r>
              <w:rPr>
                <w:spacing w:val="-2"/>
                <w:sz w:val="17"/>
              </w:rPr>
              <w:t>(777)</w:t>
            </w:r>
            <w:r>
              <w:rPr>
                <w:sz w:val="17"/>
              </w:rPr>
              <w:tab/>
            </w:r>
            <w:r>
              <w:rPr>
                <w:spacing w:val="-2"/>
                <w:sz w:val="17"/>
              </w:rPr>
              <w:t>(469)</w:t>
            </w:r>
          </w:p>
        </w:tc>
      </w:tr>
      <w:tr w:rsidR="00AC6F3C" w14:paraId="64E03EEF" w14:textId="77777777">
        <w:trPr>
          <w:trHeight w:val="268"/>
        </w:trPr>
        <w:tc>
          <w:tcPr>
            <w:tcW w:w="2404" w:type="dxa"/>
            <w:tcBorders>
              <w:left w:val="single" w:sz="6" w:space="0" w:color="000000"/>
            </w:tcBorders>
          </w:tcPr>
          <w:p w14:paraId="38075E59" w14:textId="77777777" w:rsidR="00AC6F3C" w:rsidRDefault="00570E88">
            <w:pPr>
              <w:pStyle w:val="TableParagraph"/>
              <w:spacing w:before="33"/>
              <w:ind w:left="34"/>
              <w:rPr>
                <w:sz w:val="17"/>
              </w:rPr>
            </w:pPr>
            <w:r>
              <w:rPr>
                <w:spacing w:val="-2"/>
                <w:sz w:val="17"/>
              </w:rPr>
              <w:t>Inflation</w:t>
            </w:r>
          </w:p>
        </w:tc>
        <w:tc>
          <w:tcPr>
            <w:tcW w:w="2947" w:type="dxa"/>
            <w:tcBorders>
              <w:right w:val="single" w:sz="6" w:space="0" w:color="000000"/>
            </w:tcBorders>
          </w:tcPr>
          <w:p w14:paraId="0DBB48B0" w14:textId="77777777" w:rsidR="00AC6F3C" w:rsidRDefault="00570E88">
            <w:pPr>
              <w:pStyle w:val="TableParagraph"/>
              <w:tabs>
                <w:tab w:val="left" w:pos="905"/>
              </w:tabs>
              <w:spacing w:before="33"/>
              <w:ind w:right="14"/>
              <w:jc w:val="right"/>
              <w:rPr>
                <w:sz w:val="17"/>
              </w:rPr>
            </w:pPr>
            <w:r>
              <w:rPr>
                <w:spacing w:val="-2"/>
                <w:sz w:val="17"/>
              </w:rPr>
              <w:t>(872)</w:t>
            </w:r>
            <w:r>
              <w:rPr>
                <w:sz w:val="17"/>
              </w:rPr>
              <w:tab/>
            </w:r>
            <w:r>
              <w:rPr>
                <w:spacing w:val="-2"/>
                <w:sz w:val="17"/>
              </w:rPr>
              <w:t>(973)</w:t>
            </w:r>
          </w:p>
        </w:tc>
      </w:tr>
      <w:tr w:rsidR="00AC6F3C" w14:paraId="0859EE34" w14:textId="77777777">
        <w:trPr>
          <w:trHeight w:val="389"/>
        </w:trPr>
        <w:tc>
          <w:tcPr>
            <w:tcW w:w="2404" w:type="dxa"/>
            <w:tcBorders>
              <w:left w:val="single" w:sz="6" w:space="0" w:color="000000"/>
            </w:tcBorders>
          </w:tcPr>
          <w:p w14:paraId="09DB3D1B" w14:textId="77777777" w:rsidR="00AC6F3C" w:rsidRDefault="00570E88">
            <w:pPr>
              <w:pStyle w:val="TableParagraph"/>
              <w:spacing w:before="33"/>
              <w:ind w:left="34"/>
              <w:rPr>
                <w:sz w:val="17"/>
              </w:rPr>
            </w:pPr>
            <w:r>
              <w:rPr>
                <w:spacing w:val="-2"/>
                <w:sz w:val="17"/>
              </w:rPr>
              <w:t>Currency</w:t>
            </w:r>
          </w:p>
        </w:tc>
        <w:tc>
          <w:tcPr>
            <w:tcW w:w="2947" w:type="dxa"/>
            <w:tcBorders>
              <w:right w:val="single" w:sz="6" w:space="0" w:color="000000"/>
            </w:tcBorders>
          </w:tcPr>
          <w:p w14:paraId="3AC3E5F6" w14:textId="77777777" w:rsidR="00AC6F3C" w:rsidRDefault="00570E88">
            <w:pPr>
              <w:pStyle w:val="TableParagraph"/>
              <w:tabs>
                <w:tab w:val="left" w:pos="905"/>
              </w:tabs>
              <w:spacing w:before="33"/>
              <w:ind w:right="14"/>
              <w:jc w:val="right"/>
              <w:rPr>
                <w:sz w:val="17"/>
              </w:rPr>
            </w:pPr>
            <w:r>
              <w:rPr>
                <w:spacing w:val="-2"/>
                <w:sz w:val="17"/>
              </w:rPr>
              <w:t>(1,203)</w:t>
            </w:r>
            <w:r>
              <w:rPr>
                <w:sz w:val="17"/>
              </w:rPr>
              <w:tab/>
            </w:r>
            <w:r>
              <w:rPr>
                <w:spacing w:val="-2"/>
                <w:sz w:val="17"/>
              </w:rPr>
              <w:t>(1,161)</w:t>
            </w:r>
          </w:p>
        </w:tc>
      </w:tr>
      <w:tr w:rsidR="00AC6F3C" w14:paraId="24E03CEF" w14:textId="77777777">
        <w:trPr>
          <w:trHeight w:val="403"/>
        </w:trPr>
        <w:tc>
          <w:tcPr>
            <w:tcW w:w="2404" w:type="dxa"/>
            <w:tcBorders>
              <w:left w:val="single" w:sz="6" w:space="0" w:color="000000"/>
            </w:tcBorders>
          </w:tcPr>
          <w:p w14:paraId="7D140094" w14:textId="77777777" w:rsidR="00AC6F3C" w:rsidRDefault="00AC6F3C">
            <w:pPr>
              <w:pStyle w:val="TableParagraph"/>
              <w:rPr>
                <w:rFonts w:ascii="Times New Roman"/>
                <w:sz w:val="18"/>
              </w:rPr>
            </w:pPr>
          </w:p>
        </w:tc>
        <w:tc>
          <w:tcPr>
            <w:tcW w:w="2947" w:type="dxa"/>
            <w:tcBorders>
              <w:right w:val="single" w:sz="6" w:space="0" w:color="000000"/>
            </w:tcBorders>
          </w:tcPr>
          <w:p w14:paraId="036716BF" w14:textId="77777777" w:rsidR="00AC6F3C" w:rsidRDefault="00570E88">
            <w:pPr>
              <w:pStyle w:val="TableParagraph"/>
              <w:spacing w:before="154"/>
              <w:ind w:left="1319"/>
              <w:rPr>
                <w:b/>
                <w:sz w:val="17"/>
              </w:rPr>
            </w:pPr>
            <w:r>
              <w:rPr>
                <w:noProof/>
              </w:rPr>
              <mc:AlternateContent>
                <mc:Choice Requires="wpg">
                  <w:drawing>
                    <wp:anchor distT="0" distB="0" distL="0" distR="0" simplePos="0" relativeHeight="472941056" behindDoc="1" locked="0" layoutInCell="1" allowOverlap="1" wp14:anchorId="19FDB4FB" wp14:editId="3514B629">
                      <wp:simplePos x="0" y="0"/>
                      <wp:positionH relativeFrom="column">
                        <wp:posOffset>716325</wp:posOffset>
                      </wp:positionH>
                      <wp:positionV relativeFrom="paragraph">
                        <wp:posOffset>243962</wp:posOffset>
                      </wp:positionV>
                      <wp:extent cx="584835" cy="521334"/>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21334"/>
                                <a:chOff x="0" y="0"/>
                                <a:chExt cx="584835" cy="521334"/>
                              </a:xfrm>
                            </wpg:grpSpPr>
                            <wps:wsp>
                              <wps:cNvPr id="801" name="Graphic 801"/>
                              <wps:cNvSpPr/>
                              <wps:spPr>
                                <a:xfrm>
                                  <a:off x="-5" y="9"/>
                                  <a:ext cx="584835" cy="521334"/>
                                </a:xfrm>
                                <a:custGeom>
                                  <a:avLst/>
                                  <a:gdLst/>
                                  <a:ahLst/>
                                  <a:cxnLst/>
                                  <a:rect l="l" t="t" r="r" b="b"/>
                                  <a:pathLst>
                                    <a:path w="584835" h="521334">
                                      <a:moveTo>
                                        <a:pt x="584301" y="0"/>
                                      </a:moveTo>
                                      <a:lnTo>
                                        <a:pt x="0" y="0"/>
                                      </a:lnTo>
                                      <a:lnTo>
                                        <a:pt x="0" y="170662"/>
                                      </a:lnTo>
                                      <a:lnTo>
                                        <a:pt x="0" y="179654"/>
                                      </a:lnTo>
                                      <a:lnTo>
                                        <a:pt x="0" y="341350"/>
                                      </a:lnTo>
                                      <a:lnTo>
                                        <a:pt x="0" y="350354"/>
                                      </a:lnTo>
                                      <a:lnTo>
                                        <a:pt x="0" y="521017"/>
                                      </a:lnTo>
                                      <a:lnTo>
                                        <a:pt x="584301" y="521017"/>
                                      </a:lnTo>
                                      <a:lnTo>
                                        <a:pt x="584301" y="350354"/>
                                      </a:lnTo>
                                      <a:lnTo>
                                        <a:pt x="584301" y="341350"/>
                                      </a:lnTo>
                                      <a:lnTo>
                                        <a:pt x="584301" y="179654"/>
                                      </a:lnTo>
                                      <a:lnTo>
                                        <a:pt x="584301" y="170662"/>
                                      </a:lnTo>
                                      <a:lnTo>
                                        <a:pt x="584301"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740CC447" id="Group 800" o:spid="_x0000_s1026" style="position:absolute;margin-left:56.4pt;margin-top:19.2pt;width:46.05pt;height:41.05pt;z-index:-30375424;mso-wrap-distance-left:0;mso-wrap-distance-right:0" coordsize="584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">
                      <v:shape id="Graphic 801" o:spid="_x0000_s1027" style="position:absolute;width:5848;height:5213;visibility:visible;mso-wrap-style:square;v-text-anchor:top" coordsize="5848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" path="m584301,l,,,170662r,8992l,341350r,9004l,521017r584301,l584301,350354r,-9004l584301,179654r,-8992l584301,xe" fillcolor="#f1f1f1" stroked="f">
                        <v:path arrowok="t"/>
                      </v:shape>
                    </v:group>
                  </w:pict>
                </mc:Fallback>
              </mc:AlternateContent>
            </w:r>
            <w:r>
              <w:rPr>
                <w:b/>
                <w:spacing w:val="-2"/>
                <w:sz w:val="17"/>
              </w:rPr>
              <w:t>Downward</w:t>
            </w:r>
            <w:r>
              <w:rPr>
                <w:b/>
                <w:spacing w:val="3"/>
                <w:sz w:val="17"/>
              </w:rPr>
              <w:t xml:space="preserve"> </w:t>
            </w:r>
            <w:r>
              <w:rPr>
                <w:b/>
                <w:spacing w:val="-2"/>
                <w:sz w:val="17"/>
              </w:rPr>
              <w:t>impact</w:t>
            </w:r>
          </w:p>
        </w:tc>
      </w:tr>
      <w:tr w:rsidR="00AC6F3C" w14:paraId="629721FB" w14:textId="77777777">
        <w:trPr>
          <w:trHeight w:val="282"/>
        </w:trPr>
        <w:tc>
          <w:tcPr>
            <w:tcW w:w="2404" w:type="dxa"/>
            <w:tcBorders>
              <w:left w:val="single" w:sz="6" w:space="0" w:color="000000"/>
            </w:tcBorders>
          </w:tcPr>
          <w:p w14:paraId="498E625B" w14:textId="77777777" w:rsidR="00AC6F3C" w:rsidRDefault="00570E88">
            <w:pPr>
              <w:pStyle w:val="TableParagraph"/>
              <w:spacing w:before="48"/>
              <w:ind w:left="34"/>
              <w:rPr>
                <w:sz w:val="17"/>
              </w:rPr>
            </w:pPr>
            <w:r>
              <w:rPr>
                <w:sz w:val="17"/>
              </w:rPr>
              <w:t xml:space="preserve">Interest </w:t>
            </w:r>
            <w:r>
              <w:rPr>
                <w:spacing w:val="-4"/>
                <w:sz w:val="17"/>
              </w:rPr>
              <w:t>rate</w:t>
            </w:r>
          </w:p>
        </w:tc>
        <w:tc>
          <w:tcPr>
            <w:tcW w:w="2947" w:type="dxa"/>
            <w:tcBorders>
              <w:right w:val="single" w:sz="6" w:space="0" w:color="000000"/>
            </w:tcBorders>
          </w:tcPr>
          <w:p w14:paraId="76602C79" w14:textId="77777777" w:rsidR="00AC6F3C" w:rsidRDefault="00570E88">
            <w:pPr>
              <w:pStyle w:val="TableParagraph"/>
              <w:tabs>
                <w:tab w:val="left" w:pos="905"/>
              </w:tabs>
              <w:spacing w:before="48"/>
              <w:ind w:right="19"/>
              <w:jc w:val="right"/>
              <w:rPr>
                <w:sz w:val="17"/>
              </w:rPr>
            </w:pPr>
            <w:r>
              <w:rPr>
                <w:spacing w:val="-5"/>
                <w:sz w:val="17"/>
              </w:rPr>
              <w:t>626</w:t>
            </w:r>
            <w:r>
              <w:rPr>
                <w:sz w:val="17"/>
              </w:rPr>
              <w:tab/>
            </w:r>
            <w:r>
              <w:rPr>
                <w:spacing w:val="-5"/>
                <w:sz w:val="17"/>
              </w:rPr>
              <w:t>397</w:t>
            </w:r>
          </w:p>
        </w:tc>
      </w:tr>
      <w:tr w:rsidR="00AC6F3C" w14:paraId="1F3CA887" w14:textId="77777777">
        <w:trPr>
          <w:trHeight w:val="268"/>
        </w:trPr>
        <w:tc>
          <w:tcPr>
            <w:tcW w:w="2404" w:type="dxa"/>
            <w:tcBorders>
              <w:left w:val="single" w:sz="6" w:space="0" w:color="000000"/>
            </w:tcBorders>
          </w:tcPr>
          <w:p w14:paraId="5AFF761F" w14:textId="77777777" w:rsidR="00AC6F3C" w:rsidRDefault="00570E88">
            <w:pPr>
              <w:pStyle w:val="TableParagraph"/>
              <w:spacing w:before="33"/>
              <w:ind w:left="34"/>
              <w:rPr>
                <w:sz w:val="17"/>
              </w:rPr>
            </w:pPr>
            <w:r>
              <w:rPr>
                <w:spacing w:val="-2"/>
                <w:sz w:val="17"/>
              </w:rPr>
              <w:t>Inflation</w:t>
            </w:r>
          </w:p>
        </w:tc>
        <w:tc>
          <w:tcPr>
            <w:tcW w:w="2947" w:type="dxa"/>
            <w:tcBorders>
              <w:right w:val="single" w:sz="6" w:space="0" w:color="000000"/>
            </w:tcBorders>
          </w:tcPr>
          <w:p w14:paraId="1563583C" w14:textId="77777777" w:rsidR="00AC6F3C" w:rsidRDefault="00570E88">
            <w:pPr>
              <w:pStyle w:val="TableParagraph"/>
              <w:tabs>
                <w:tab w:val="left" w:pos="905"/>
              </w:tabs>
              <w:spacing w:before="33"/>
              <w:ind w:right="19"/>
              <w:jc w:val="right"/>
              <w:rPr>
                <w:sz w:val="17"/>
              </w:rPr>
            </w:pPr>
            <w:r>
              <w:rPr>
                <w:spacing w:val="-5"/>
                <w:sz w:val="17"/>
              </w:rPr>
              <w:t>700</w:t>
            </w:r>
            <w:r>
              <w:rPr>
                <w:sz w:val="17"/>
              </w:rPr>
              <w:tab/>
            </w:r>
            <w:r>
              <w:rPr>
                <w:spacing w:val="-5"/>
                <w:sz w:val="17"/>
              </w:rPr>
              <w:t>840</w:t>
            </w:r>
          </w:p>
        </w:tc>
      </w:tr>
      <w:tr w:rsidR="00AC6F3C" w14:paraId="02521805" w14:textId="77777777">
        <w:trPr>
          <w:trHeight w:val="389"/>
        </w:trPr>
        <w:tc>
          <w:tcPr>
            <w:tcW w:w="2404" w:type="dxa"/>
            <w:tcBorders>
              <w:left w:val="single" w:sz="6" w:space="0" w:color="000000"/>
            </w:tcBorders>
          </w:tcPr>
          <w:p w14:paraId="7519F564" w14:textId="77777777" w:rsidR="00AC6F3C" w:rsidRDefault="00570E88">
            <w:pPr>
              <w:pStyle w:val="TableParagraph"/>
              <w:spacing w:before="33"/>
              <w:ind w:left="34"/>
              <w:rPr>
                <w:sz w:val="17"/>
              </w:rPr>
            </w:pPr>
            <w:r>
              <w:rPr>
                <w:spacing w:val="-2"/>
                <w:sz w:val="17"/>
              </w:rPr>
              <w:t>Currency</w:t>
            </w:r>
          </w:p>
        </w:tc>
        <w:tc>
          <w:tcPr>
            <w:tcW w:w="2947" w:type="dxa"/>
            <w:tcBorders>
              <w:right w:val="single" w:sz="6" w:space="0" w:color="000000"/>
            </w:tcBorders>
          </w:tcPr>
          <w:p w14:paraId="7FE7FFED" w14:textId="77777777" w:rsidR="00AC6F3C" w:rsidRDefault="00570E88">
            <w:pPr>
              <w:pStyle w:val="TableParagraph"/>
              <w:tabs>
                <w:tab w:val="left" w:pos="905"/>
              </w:tabs>
              <w:spacing w:before="33"/>
              <w:ind w:right="19"/>
              <w:jc w:val="right"/>
              <w:rPr>
                <w:sz w:val="17"/>
              </w:rPr>
            </w:pPr>
            <w:r>
              <w:rPr>
                <w:spacing w:val="-5"/>
                <w:sz w:val="17"/>
              </w:rPr>
              <w:t>(2)</w:t>
            </w:r>
            <w:r>
              <w:rPr>
                <w:sz w:val="17"/>
              </w:rPr>
              <w:tab/>
            </w:r>
            <w:r>
              <w:rPr>
                <w:spacing w:val="-5"/>
                <w:sz w:val="17"/>
              </w:rPr>
              <w:t>(7)</w:t>
            </w:r>
          </w:p>
        </w:tc>
      </w:tr>
      <w:tr w:rsidR="00AC6F3C" w14:paraId="19E988CA" w14:textId="77777777">
        <w:trPr>
          <w:trHeight w:val="417"/>
        </w:trPr>
        <w:tc>
          <w:tcPr>
            <w:tcW w:w="2404" w:type="dxa"/>
            <w:tcBorders>
              <w:left w:val="single" w:sz="6" w:space="0" w:color="000000"/>
            </w:tcBorders>
          </w:tcPr>
          <w:p w14:paraId="2270211B" w14:textId="77777777" w:rsidR="00AC6F3C" w:rsidRDefault="00AC6F3C">
            <w:pPr>
              <w:pStyle w:val="TableParagraph"/>
              <w:spacing w:before="9"/>
              <w:rPr>
                <w:sz w:val="15"/>
              </w:rPr>
            </w:pPr>
          </w:p>
          <w:p w14:paraId="42B2BF82" w14:textId="77777777" w:rsidR="00AC6F3C" w:rsidRDefault="00570E88">
            <w:pPr>
              <w:pStyle w:val="TableParagraph"/>
              <w:ind w:left="34"/>
              <w:rPr>
                <w:b/>
                <w:sz w:val="17"/>
              </w:rPr>
            </w:pPr>
            <w:r>
              <w:rPr>
                <w:b/>
                <w:sz w:val="17"/>
              </w:rPr>
              <w:t>Stress</w:t>
            </w:r>
            <w:r>
              <w:rPr>
                <w:b/>
                <w:spacing w:val="4"/>
                <w:sz w:val="17"/>
              </w:rPr>
              <w:t xml:space="preserve"> </w:t>
            </w:r>
            <w:r>
              <w:rPr>
                <w:b/>
                <w:spacing w:val="-4"/>
                <w:sz w:val="17"/>
              </w:rPr>
              <w:t>Test</w:t>
            </w:r>
          </w:p>
        </w:tc>
        <w:tc>
          <w:tcPr>
            <w:tcW w:w="2947" w:type="dxa"/>
            <w:tcBorders>
              <w:right w:val="single" w:sz="6" w:space="0" w:color="000000"/>
            </w:tcBorders>
          </w:tcPr>
          <w:p w14:paraId="5E69BFA2" w14:textId="77777777" w:rsidR="00AC6F3C" w:rsidRDefault="00570E88">
            <w:pPr>
              <w:pStyle w:val="TableParagraph"/>
              <w:spacing w:before="154"/>
              <w:ind w:left="1772"/>
              <w:rPr>
                <w:b/>
                <w:sz w:val="17"/>
              </w:rPr>
            </w:pPr>
            <w:r>
              <w:rPr>
                <w:b/>
                <w:spacing w:val="-2"/>
                <w:sz w:val="17"/>
              </w:rPr>
              <w:t>Impact</w:t>
            </w:r>
          </w:p>
        </w:tc>
      </w:tr>
      <w:tr w:rsidR="00AC6F3C" w14:paraId="7DC763D8" w14:textId="77777777">
        <w:trPr>
          <w:trHeight w:val="268"/>
        </w:trPr>
        <w:tc>
          <w:tcPr>
            <w:tcW w:w="2404" w:type="dxa"/>
            <w:tcBorders>
              <w:left w:val="single" w:sz="6" w:space="0" w:color="000000"/>
            </w:tcBorders>
          </w:tcPr>
          <w:p w14:paraId="2F31662E" w14:textId="77777777" w:rsidR="00AC6F3C" w:rsidRDefault="00570E88">
            <w:pPr>
              <w:pStyle w:val="TableParagraph"/>
              <w:spacing w:before="33"/>
              <w:ind w:left="34"/>
              <w:rPr>
                <w:sz w:val="17"/>
              </w:rPr>
            </w:pPr>
            <w:r>
              <w:rPr>
                <w:spacing w:val="-2"/>
                <w:sz w:val="17"/>
              </w:rPr>
              <w:t>Equity</w:t>
            </w:r>
          </w:p>
        </w:tc>
        <w:tc>
          <w:tcPr>
            <w:tcW w:w="2947" w:type="dxa"/>
            <w:tcBorders>
              <w:right w:val="single" w:sz="6" w:space="0" w:color="000000"/>
            </w:tcBorders>
          </w:tcPr>
          <w:p w14:paraId="1529C06A" w14:textId="77777777" w:rsidR="00AC6F3C" w:rsidRDefault="00570E88">
            <w:pPr>
              <w:pStyle w:val="TableParagraph"/>
              <w:tabs>
                <w:tab w:val="left" w:pos="1019"/>
              </w:tabs>
              <w:spacing w:before="33"/>
              <w:ind w:right="19"/>
              <w:jc w:val="right"/>
              <w:rPr>
                <w:sz w:val="17"/>
              </w:rPr>
            </w:pPr>
            <w:r>
              <w:rPr>
                <w:noProof/>
              </w:rPr>
              <mc:AlternateContent>
                <mc:Choice Requires="wpg">
                  <w:drawing>
                    <wp:anchor distT="0" distB="0" distL="0" distR="0" simplePos="0" relativeHeight="472941568" behindDoc="1" locked="0" layoutInCell="1" allowOverlap="1" wp14:anchorId="769D067A" wp14:editId="010E7062">
                      <wp:simplePos x="0" y="0"/>
                      <wp:positionH relativeFrom="column">
                        <wp:posOffset>716325</wp:posOffset>
                      </wp:positionH>
                      <wp:positionV relativeFrom="paragraph">
                        <wp:posOffset>-21348</wp:posOffset>
                      </wp:positionV>
                      <wp:extent cx="584835" cy="521334"/>
                      <wp:effectExtent l="0" t="0" r="0" b="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21334"/>
                                <a:chOff x="0" y="0"/>
                                <a:chExt cx="584835" cy="521334"/>
                              </a:xfrm>
                            </wpg:grpSpPr>
                            <wps:wsp>
                              <wps:cNvPr id="803" name="Graphic 803"/>
                              <wps:cNvSpPr/>
                              <wps:spPr>
                                <a:xfrm>
                                  <a:off x="-5" y="9"/>
                                  <a:ext cx="584835" cy="521334"/>
                                </a:xfrm>
                                <a:custGeom>
                                  <a:avLst/>
                                  <a:gdLst/>
                                  <a:ahLst/>
                                  <a:cxnLst/>
                                  <a:rect l="l" t="t" r="r" b="b"/>
                                  <a:pathLst>
                                    <a:path w="584835" h="521334">
                                      <a:moveTo>
                                        <a:pt x="584301" y="0"/>
                                      </a:moveTo>
                                      <a:lnTo>
                                        <a:pt x="0" y="0"/>
                                      </a:lnTo>
                                      <a:lnTo>
                                        <a:pt x="0" y="170675"/>
                                      </a:lnTo>
                                      <a:lnTo>
                                        <a:pt x="0" y="179654"/>
                                      </a:lnTo>
                                      <a:lnTo>
                                        <a:pt x="0" y="341363"/>
                                      </a:lnTo>
                                      <a:lnTo>
                                        <a:pt x="0" y="350354"/>
                                      </a:lnTo>
                                      <a:lnTo>
                                        <a:pt x="0" y="521017"/>
                                      </a:lnTo>
                                      <a:lnTo>
                                        <a:pt x="584301" y="521017"/>
                                      </a:lnTo>
                                      <a:lnTo>
                                        <a:pt x="584301" y="350354"/>
                                      </a:lnTo>
                                      <a:lnTo>
                                        <a:pt x="584301" y="341363"/>
                                      </a:lnTo>
                                      <a:lnTo>
                                        <a:pt x="584301" y="179654"/>
                                      </a:lnTo>
                                      <a:lnTo>
                                        <a:pt x="584301" y="170675"/>
                                      </a:lnTo>
                                      <a:lnTo>
                                        <a:pt x="584301"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4DC5D25C" id="Group 802" o:spid="_x0000_s1026" style="position:absolute;margin-left:56.4pt;margin-top:-1.7pt;width:46.05pt;height:41.05pt;z-index:-30374912;mso-wrap-distance-left:0;mso-wrap-distance-right:0" coordsize="584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">
                      <v:shape id="Graphic 803" o:spid="_x0000_s1027" style="position:absolute;width:5848;height:5213;visibility:visible;mso-wrap-style:square;v-text-anchor:top" coordsize="5848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" path="m584301,l,,,170675r,8979l,341363r,8991l,521017r584301,l584301,350354r,-8991l584301,179654r,-8979l584301,xe" fillcolor="#f1f1f1" stroked="f">
                        <v:path arrowok="t"/>
                      </v:shape>
                    </v:group>
                  </w:pict>
                </mc:Fallback>
              </mc:AlternateContent>
            </w:r>
            <w:r>
              <w:rPr>
                <w:spacing w:val="-2"/>
                <w:sz w:val="17"/>
              </w:rPr>
              <w:t>(8,199)</w:t>
            </w:r>
            <w:r>
              <w:rPr>
                <w:sz w:val="17"/>
              </w:rPr>
              <w:tab/>
            </w:r>
            <w:r>
              <w:rPr>
                <w:spacing w:val="-2"/>
                <w:sz w:val="17"/>
              </w:rPr>
              <w:t>8,195</w:t>
            </w:r>
          </w:p>
        </w:tc>
      </w:tr>
      <w:tr w:rsidR="00AC6F3C" w14:paraId="171B9EE8" w14:textId="77777777">
        <w:trPr>
          <w:trHeight w:val="268"/>
        </w:trPr>
        <w:tc>
          <w:tcPr>
            <w:tcW w:w="2404" w:type="dxa"/>
            <w:tcBorders>
              <w:left w:val="single" w:sz="6" w:space="0" w:color="000000"/>
            </w:tcBorders>
          </w:tcPr>
          <w:p w14:paraId="654E3E4B" w14:textId="77777777" w:rsidR="00AC6F3C" w:rsidRDefault="00570E88">
            <w:pPr>
              <w:pStyle w:val="TableParagraph"/>
              <w:spacing w:before="33"/>
              <w:ind w:left="34"/>
              <w:rPr>
                <w:sz w:val="17"/>
              </w:rPr>
            </w:pPr>
            <w:r>
              <w:rPr>
                <w:spacing w:val="-2"/>
                <w:sz w:val="17"/>
              </w:rPr>
              <w:t>Property</w:t>
            </w:r>
          </w:p>
        </w:tc>
        <w:tc>
          <w:tcPr>
            <w:tcW w:w="2947" w:type="dxa"/>
            <w:tcBorders>
              <w:right w:val="single" w:sz="6" w:space="0" w:color="000000"/>
            </w:tcBorders>
          </w:tcPr>
          <w:p w14:paraId="05B8A196" w14:textId="77777777" w:rsidR="00AC6F3C" w:rsidRDefault="00570E88">
            <w:pPr>
              <w:pStyle w:val="TableParagraph"/>
              <w:tabs>
                <w:tab w:val="left" w:pos="1019"/>
              </w:tabs>
              <w:spacing w:before="33"/>
              <w:ind w:right="19"/>
              <w:jc w:val="right"/>
              <w:rPr>
                <w:sz w:val="17"/>
              </w:rPr>
            </w:pPr>
            <w:r>
              <w:rPr>
                <w:spacing w:val="-2"/>
                <w:sz w:val="17"/>
              </w:rPr>
              <w:t>(902)</w:t>
            </w:r>
            <w:r>
              <w:rPr>
                <w:sz w:val="17"/>
              </w:rPr>
              <w:tab/>
            </w:r>
            <w:r>
              <w:rPr>
                <w:spacing w:val="-5"/>
                <w:sz w:val="17"/>
              </w:rPr>
              <w:t>868</w:t>
            </w:r>
          </w:p>
        </w:tc>
      </w:tr>
      <w:tr w:rsidR="00AC6F3C" w14:paraId="5EB2E1CC" w14:textId="77777777">
        <w:trPr>
          <w:trHeight w:val="235"/>
        </w:trPr>
        <w:tc>
          <w:tcPr>
            <w:tcW w:w="2404" w:type="dxa"/>
            <w:tcBorders>
              <w:left w:val="single" w:sz="6" w:space="0" w:color="000000"/>
              <w:bottom w:val="single" w:sz="6" w:space="0" w:color="000000"/>
            </w:tcBorders>
          </w:tcPr>
          <w:p w14:paraId="19ABF297" w14:textId="77777777" w:rsidR="00AC6F3C" w:rsidRDefault="00570E88">
            <w:pPr>
              <w:pStyle w:val="TableParagraph"/>
              <w:spacing w:before="33" w:line="182" w:lineRule="exact"/>
              <w:ind w:left="34"/>
              <w:rPr>
                <w:sz w:val="17"/>
              </w:rPr>
            </w:pPr>
            <w:r>
              <w:rPr>
                <w:sz w:val="17"/>
              </w:rPr>
              <w:t>Credit</w:t>
            </w:r>
            <w:r>
              <w:rPr>
                <w:spacing w:val="1"/>
                <w:sz w:val="17"/>
              </w:rPr>
              <w:t xml:space="preserve"> </w:t>
            </w:r>
            <w:r>
              <w:rPr>
                <w:spacing w:val="-2"/>
                <w:sz w:val="17"/>
              </w:rPr>
              <w:t>spread</w:t>
            </w:r>
          </w:p>
        </w:tc>
        <w:tc>
          <w:tcPr>
            <w:tcW w:w="2947" w:type="dxa"/>
            <w:tcBorders>
              <w:bottom w:val="single" w:sz="6" w:space="0" w:color="000000"/>
              <w:right w:val="single" w:sz="6" w:space="0" w:color="000000"/>
            </w:tcBorders>
          </w:tcPr>
          <w:p w14:paraId="74864931" w14:textId="77777777" w:rsidR="00AC6F3C" w:rsidRDefault="00570E88">
            <w:pPr>
              <w:pStyle w:val="TableParagraph"/>
              <w:tabs>
                <w:tab w:val="left" w:pos="905"/>
              </w:tabs>
              <w:spacing w:before="33" w:line="182" w:lineRule="exact"/>
              <w:ind w:right="14"/>
              <w:jc w:val="right"/>
              <w:rPr>
                <w:sz w:val="17"/>
              </w:rPr>
            </w:pPr>
            <w:r>
              <w:rPr>
                <w:spacing w:val="-2"/>
                <w:sz w:val="17"/>
              </w:rPr>
              <w:t>(1,184)</w:t>
            </w:r>
            <w:r>
              <w:rPr>
                <w:sz w:val="17"/>
              </w:rPr>
              <w:tab/>
            </w:r>
            <w:r>
              <w:rPr>
                <w:spacing w:val="-2"/>
                <w:sz w:val="17"/>
              </w:rPr>
              <w:t>(1,877)</w:t>
            </w:r>
          </w:p>
        </w:tc>
      </w:tr>
    </w:tbl>
    <w:p w14:paraId="0F8D38D6" w14:textId="77777777" w:rsidR="00AC6F3C" w:rsidRDefault="00AC6F3C">
      <w:pPr>
        <w:spacing w:line="182" w:lineRule="exact"/>
        <w:jc w:val="right"/>
        <w:rPr>
          <w:sz w:val="17"/>
        </w:rPr>
        <w:sectPr w:rsidR="00AC6F3C">
          <w:pgSz w:w="11910" w:h="16840"/>
          <w:pgMar w:top="2080" w:right="1160" w:bottom="520" w:left="460" w:header="1297" w:footer="336" w:gutter="0"/>
          <w:cols w:space="720"/>
        </w:sectPr>
      </w:pPr>
    </w:p>
    <w:p w14:paraId="37CA2888" w14:textId="77777777" w:rsidR="00AC6F3C" w:rsidRDefault="00AC6F3C">
      <w:pPr>
        <w:pStyle w:val="BodyText"/>
        <w:spacing w:before="2"/>
        <w:rPr>
          <w:sz w:val="14"/>
        </w:rPr>
      </w:pPr>
    </w:p>
    <w:p w14:paraId="6181CB7C" w14:textId="77777777" w:rsidR="00AC6F3C" w:rsidRDefault="00570E88">
      <w:pPr>
        <w:tabs>
          <w:tab w:val="left" w:pos="1831"/>
        </w:tabs>
        <w:spacing w:before="88" w:line="367" w:lineRule="exact"/>
        <w:ind w:left="979"/>
        <w:rPr>
          <w:b/>
          <w:sz w:val="32"/>
        </w:rPr>
      </w:pPr>
      <w:r>
        <w:rPr>
          <w:b/>
          <w:spacing w:val="-5"/>
          <w:sz w:val="32"/>
        </w:rPr>
        <w:t>D2</w:t>
      </w:r>
      <w:r>
        <w:rPr>
          <w:b/>
          <w:sz w:val="32"/>
        </w:rPr>
        <w:tab/>
        <w:t>FINANCIAL</w:t>
      </w:r>
      <w:r>
        <w:rPr>
          <w:b/>
          <w:spacing w:val="-16"/>
          <w:sz w:val="32"/>
        </w:rPr>
        <w:t xml:space="preserve"> </w:t>
      </w:r>
      <w:r>
        <w:rPr>
          <w:b/>
          <w:sz w:val="32"/>
        </w:rPr>
        <w:t>INSTRUMENTS</w:t>
      </w:r>
      <w:r>
        <w:rPr>
          <w:b/>
          <w:spacing w:val="-17"/>
          <w:sz w:val="32"/>
        </w:rPr>
        <w:t xml:space="preserve"> </w:t>
      </w:r>
      <w:r>
        <w:rPr>
          <w:b/>
          <w:sz w:val="32"/>
        </w:rPr>
        <w:t>AND</w:t>
      </w:r>
      <w:r>
        <w:rPr>
          <w:b/>
          <w:spacing w:val="-17"/>
          <w:sz w:val="32"/>
        </w:rPr>
        <w:t xml:space="preserve"> </w:t>
      </w:r>
      <w:r>
        <w:rPr>
          <w:b/>
          <w:sz w:val="32"/>
        </w:rPr>
        <w:t>FINANCIAL</w:t>
      </w:r>
      <w:r>
        <w:rPr>
          <w:b/>
          <w:spacing w:val="-17"/>
          <w:sz w:val="32"/>
        </w:rPr>
        <w:t xml:space="preserve"> </w:t>
      </w:r>
      <w:r>
        <w:rPr>
          <w:b/>
          <w:spacing w:val="-4"/>
          <w:sz w:val="32"/>
        </w:rPr>
        <w:t>RISK</w:t>
      </w:r>
    </w:p>
    <w:p w14:paraId="4B684B55" w14:textId="77777777" w:rsidR="00AC6F3C" w:rsidRDefault="00570E88">
      <w:pPr>
        <w:spacing w:line="367" w:lineRule="exact"/>
        <w:ind w:left="979"/>
        <w:rPr>
          <w:b/>
          <w:sz w:val="32"/>
        </w:rPr>
      </w:pPr>
      <w:r>
        <w:rPr>
          <w:b/>
          <w:spacing w:val="-2"/>
          <w:sz w:val="32"/>
        </w:rPr>
        <w:t>MANAGEMENT</w:t>
      </w:r>
      <w:r>
        <w:rPr>
          <w:b/>
          <w:spacing w:val="-5"/>
          <w:sz w:val="32"/>
        </w:rPr>
        <w:t xml:space="preserve"> </w:t>
      </w:r>
      <w:r>
        <w:rPr>
          <w:b/>
          <w:spacing w:val="-2"/>
          <w:sz w:val="32"/>
        </w:rPr>
        <w:t>(continued)</w:t>
      </w:r>
    </w:p>
    <w:p w14:paraId="7B1EDC4F" w14:textId="77777777" w:rsidR="00AC6F3C" w:rsidRDefault="00570E88">
      <w:pPr>
        <w:spacing w:before="239"/>
        <w:ind w:left="979"/>
        <w:rPr>
          <w:b/>
          <w:sz w:val="20"/>
        </w:rPr>
      </w:pPr>
      <w:r>
        <w:rPr>
          <w:b/>
          <w:sz w:val="20"/>
        </w:rPr>
        <w:t>Liquidity</w:t>
      </w:r>
      <w:r>
        <w:rPr>
          <w:b/>
          <w:spacing w:val="-13"/>
          <w:sz w:val="20"/>
        </w:rPr>
        <w:t xml:space="preserve"> </w:t>
      </w:r>
      <w:r>
        <w:rPr>
          <w:b/>
          <w:spacing w:val="-4"/>
          <w:sz w:val="20"/>
        </w:rPr>
        <w:t>risk</w:t>
      </w:r>
    </w:p>
    <w:p w14:paraId="69F6BA22" w14:textId="77777777" w:rsidR="00AC6F3C" w:rsidRDefault="00570E88">
      <w:pPr>
        <w:spacing w:before="120"/>
        <w:ind w:left="979" w:right="468"/>
        <w:rPr>
          <w:sz w:val="18"/>
        </w:rPr>
      </w:pPr>
      <w:r>
        <w:rPr>
          <w:sz w:val="18"/>
        </w:rPr>
        <w:t>In the management of liquidity risks, the Fund monitors and maintains a level of cash and cash equivalents deemed adequate by management to finance the Fund’s operations and mitigate the effects of fluctuations in cash</w:t>
      </w:r>
      <w:r>
        <w:rPr>
          <w:spacing w:val="-1"/>
          <w:sz w:val="18"/>
        </w:rPr>
        <w:t xml:space="preserve"> </w:t>
      </w:r>
      <w:r>
        <w:rPr>
          <w:sz w:val="18"/>
        </w:rPr>
        <w:t>flows.</w:t>
      </w:r>
      <w:r>
        <w:rPr>
          <w:spacing w:val="40"/>
          <w:sz w:val="18"/>
        </w:rPr>
        <w:t xml:space="preserve"> </w:t>
      </w:r>
      <w:r>
        <w:rPr>
          <w:sz w:val="18"/>
        </w:rPr>
        <w:t>The</w:t>
      </w:r>
      <w:r>
        <w:rPr>
          <w:spacing w:val="-1"/>
          <w:sz w:val="18"/>
        </w:rPr>
        <w:t xml:space="preserve"> </w:t>
      </w:r>
      <w:r>
        <w:rPr>
          <w:sz w:val="18"/>
        </w:rPr>
        <w:t>Fund</w:t>
      </w:r>
      <w:r>
        <w:rPr>
          <w:spacing w:val="-3"/>
          <w:sz w:val="18"/>
        </w:rPr>
        <w:t xml:space="preserve"> </w:t>
      </w:r>
      <w:r>
        <w:rPr>
          <w:sz w:val="18"/>
        </w:rPr>
        <w:t>also</w:t>
      </w:r>
      <w:r>
        <w:rPr>
          <w:spacing w:val="-1"/>
          <w:sz w:val="18"/>
        </w:rPr>
        <w:t xml:space="preserve"> </w:t>
      </w:r>
      <w:r>
        <w:rPr>
          <w:sz w:val="18"/>
        </w:rPr>
        <w:t>constantly</w:t>
      </w:r>
      <w:r>
        <w:rPr>
          <w:spacing w:val="-1"/>
          <w:sz w:val="18"/>
        </w:rPr>
        <w:t xml:space="preserve"> </w:t>
      </w:r>
      <w:r>
        <w:rPr>
          <w:sz w:val="18"/>
        </w:rPr>
        <w:t>reviews</w:t>
      </w:r>
      <w:r>
        <w:rPr>
          <w:spacing w:val="-3"/>
          <w:sz w:val="18"/>
        </w:rPr>
        <w:t xml:space="preserve"> </w:t>
      </w:r>
      <w:r>
        <w:rPr>
          <w:sz w:val="18"/>
        </w:rPr>
        <w:t>its</w:t>
      </w:r>
      <w:r>
        <w:rPr>
          <w:spacing w:val="-1"/>
          <w:sz w:val="18"/>
        </w:rPr>
        <w:t xml:space="preserve"> </w:t>
      </w:r>
      <w:r>
        <w:rPr>
          <w:sz w:val="18"/>
        </w:rPr>
        <w:t>investment</w:t>
      </w:r>
      <w:r>
        <w:rPr>
          <w:spacing w:val="-3"/>
          <w:sz w:val="18"/>
        </w:rPr>
        <w:t xml:space="preserve"> </w:t>
      </w:r>
      <w:r>
        <w:rPr>
          <w:sz w:val="18"/>
        </w:rPr>
        <w:t>to</w:t>
      </w:r>
      <w:r>
        <w:rPr>
          <w:spacing w:val="-2"/>
          <w:sz w:val="18"/>
        </w:rPr>
        <w:t xml:space="preserve"> </w:t>
      </w:r>
      <w:r>
        <w:rPr>
          <w:sz w:val="18"/>
        </w:rPr>
        <w:t>ensure</w:t>
      </w:r>
      <w:r>
        <w:rPr>
          <w:spacing w:val="-3"/>
          <w:sz w:val="18"/>
        </w:rPr>
        <w:t xml:space="preserve"> </w:t>
      </w:r>
      <w:r>
        <w:rPr>
          <w:sz w:val="18"/>
        </w:rPr>
        <w:t>that</w:t>
      </w:r>
      <w:r>
        <w:rPr>
          <w:spacing w:val="-3"/>
          <w:sz w:val="18"/>
        </w:rPr>
        <w:t xml:space="preserve"> </w:t>
      </w:r>
      <w:r>
        <w:rPr>
          <w:sz w:val="18"/>
        </w:rPr>
        <w:t>there</w:t>
      </w:r>
      <w:r>
        <w:rPr>
          <w:spacing w:val="-1"/>
          <w:sz w:val="18"/>
        </w:rPr>
        <w:t xml:space="preserve"> </w:t>
      </w:r>
      <w:r>
        <w:rPr>
          <w:sz w:val="18"/>
        </w:rPr>
        <w:t>are</w:t>
      </w:r>
      <w:r>
        <w:rPr>
          <w:spacing w:val="-3"/>
          <w:sz w:val="18"/>
        </w:rPr>
        <w:t xml:space="preserve"> </w:t>
      </w:r>
      <w:r>
        <w:rPr>
          <w:sz w:val="18"/>
        </w:rPr>
        <w:t>sufficient</w:t>
      </w:r>
      <w:r>
        <w:rPr>
          <w:spacing w:val="-2"/>
          <w:sz w:val="18"/>
        </w:rPr>
        <w:t xml:space="preserve"> </w:t>
      </w:r>
      <w:r>
        <w:rPr>
          <w:sz w:val="18"/>
        </w:rPr>
        <w:t>cash</w:t>
      </w:r>
      <w:r>
        <w:rPr>
          <w:spacing w:val="-3"/>
          <w:sz w:val="18"/>
        </w:rPr>
        <w:t xml:space="preserve"> </w:t>
      </w:r>
      <w:r>
        <w:rPr>
          <w:sz w:val="18"/>
        </w:rPr>
        <w:t>and</w:t>
      </w:r>
      <w:r>
        <w:rPr>
          <w:spacing w:val="-3"/>
          <w:sz w:val="18"/>
        </w:rPr>
        <w:t xml:space="preserve"> </w:t>
      </w:r>
      <w:r>
        <w:rPr>
          <w:sz w:val="18"/>
        </w:rPr>
        <w:t>liquid deposits to meet its estimated outflows.</w:t>
      </w:r>
    </w:p>
    <w:p w14:paraId="394F98DF" w14:textId="77777777" w:rsidR="00AC6F3C" w:rsidRDefault="00570E88">
      <w:pPr>
        <w:spacing w:before="120"/>
        <w:ind w:left="979" w:right="234"/>
        <w:rPr>
          <w:sz w:val="18"/>
        </w:rPr>
      </w:pPr>
      <w:r>
        <w:rPr>
          <w:sz w:val="18"/>
        </w:rPr>
        <w:t>The Fund manages its expected cash flow requirements using the latest actuarial valuations detailing projected cash</w:t>
      </w:r>
      <w:r>
        <w:rPr>
          <w:spacing w:val="-2"/>
          <w:sz w:val="18"/>
        </w:rPr>
        <w:t xml:space="preserve"> </w:t>
      </w:r>
      <w:r>
        <w:rPr>
          <w:sz w:val="18"/>
        </w:rPr>
        <w:t>flows.</w:t>
      </w:r>
      <w:r>
        <w:rPr>
          <w:spacing w:val="40"/>
          <w:sz w:val="18"/>
        </w:rPr>
        <w:t xml:space="preserve"> </w:t>
      </w:r>
      <w:r>
        <w:rPr>
          <w:sz w:val="18"/>
        </w:rPr>
        <w:t>These</w:t>
      </w:r>
      <w:r>
        <w:rPr>
          <w:spacing w:val="-2"/>
          <w:sz w:val="18"/>
        </w:rPr>
        <w:t xml:space="preserve"> </w:t>
      </w:r>
      <w:r>
        <w:rPr>
          <w:sz w:val="18"/>
        </w:rPr>
        <w:t>are</w:t>
      </w:r>
      <w:r>
        <w:rPr>
          <w:spacing w:val="-2"/>
          <w:sz w:val="18"/>
        </w:rPr>
        <w:t xml:space="preserve"> </w:t>
      </w:r>
      <w:r>
        <w:rPr>
          <w:sz w:val="18"/>
        </w:rPr>
        <w:t>monitored</w:t>
      </w:r>
      <w:r>
        <w:rPr>
          <w:spacing w:val="-2"/>
          <w:sz w:val="18"/>
        </w:rPr>
        <w:t xml:space="preserve"> </w:t>
      </w:r>
      <w:r>
        <w:rPr>
          <w:sz w:val="18"/>
        </w:rPr>
        <w:t>in</w:t>
      </w:r>
      <w:r>
        <w:rPr>
          <w:spacing w:val="-5"/>
          <w:sz w:val="18"/>
        </w:rPr>
        <w:t xml:space="preserve"> </w:t>
      </w:r>
      <w:r>
        <w:rPr>
          <w:sz w:val="18"/>
        </w:rPr>
        <w:t>conjunction</w:t>
      </w:r>
      <w:r>
        <w:rPr>
          <w:spacing w:val="-2"/>
          <w:sz w:val="18"/>
        </w:rPr>
        <w:t xml:space="preserve"> </w:t>
      </w:r>
      <w:r>
        <w:rPr>
          <w:sz w:val="18"/>
        </w:rPr>
        <w:t>with</w:t>
      </w:r>
      <w:r>
        <w:rPr>
          <w:spacing w:val="-2"/>
          <w:sz w:val="18"/>
        </w:rPr>
        <w:t xml:space="preserve"> </w:t>
      </w:r>
      <w:r>
        <w:rPr>
          <w:sz w:val="18"/>
        </w:rPr>
        <w:t>available</w:t>
      </w:r>
      <w:r>
        <w:rPr>
          <w:spacing w:val="-2"/>
          <w:sz w:val="18"/>
        </w:rPr>
        <w:t xml:space="preserve"> </w:t>
      </w:r>
      <w:r>
        <w:rPr>
          <w:sz w:val="18"/>
        </w:rPr>
        <w:t>cash</w:t>
      </w:r>
      <w:r>
        <w:rPr>
          <w:spacing w:val="-2"/>
          <w:sz w:val="18"/>
        </w:rPr>
        <w:t xml:space="preserve"> </w:t>
      </w:r>
      <w:r>
        <w:rPr>
          <w:sz w:val="18"/>
        </w:rPr>
        <w:t>and</w:t>
      </w:r>
      <w:r>
        <w:rPr>
          <w:spacing w:val="-5"/>
          <w:sz w:val="18"/>
        </w:rPr>
        <w:t xml:space="preserve"> </w:t>
      </w:r>
      <w:r>
        <w:rPr>
          <w:sz w:val="18"/>
        </w:rPr>
        <w:t>investments</w:t>
      </w:r>
      <w:r>
        <w:rPr>
          <w:spacing w:val="-2"/>
          <w:sz w:val="18"/>
        </w:rPr>
        <w:t xml:space="preserve"> </w:t>
      </w:r>
      <w:r>
        <w:rPr>
          <w:sz w:val="18"/>
        </w:rPr>
        <w:t>readily</w:t>
      </w:r>
      <w:r>
        <w:rPr>
          <w:spacing w:val="-2"/>
          <w:sz w:val="18"/>
        </w:rPr>
        <w:t xml:space="preserve"> </w:t>
      </w:r>
      <w:r>
        <w:rPr>
          <w:sz w:val="18"/>
        </w:rPr>
        <w:t>convertible</w:t>
      </w:r>
      <w:r>
        <w:rPr>
          <w:spacing w:val="-2"/>
          <w:sz w:val="18"/>
        </w:rPr>
        <w:t xml:space="preserve"> </w:t>
      </w:r>
      <w:r>
        <w:rPr>
          <w:sz w:val="18"/>
        </w:rPr>
        <w:t>to</w:t>
      </w:r>
      <w:r>
        <w:rPr>
          <w:spacing w:val="-2"/>
          <w:sz w:val="18"/>
        </w:rPr>
        <w:t xml:space="preserve"> </w:t>
      </w:r>
      <w:r>
        <w:rPr>
          <w:sz w:val="18"/>
        </w:rPr>
        <w:t>cash.</w:t>
      </w:r>
    </w:p>
    <w:p w14:paraId="3DA879C7" w14:textId="77777777" w:rsidR="00AC6F3C" w:rsidRDefault="00570E88">
      <w:pPr>
        <w:spacing w:before="122"/>
        <w:ind w:left="979"/>
        <w:rPr>
          <w:sz w:val="18"/>
        </w:rPr>
      </w:pPr>
      <w:r>
        <w:rPr>
          <w:sz w:val="18"/>
        </w:rPr>
        <w:t>As</w:t>
      </w:r>
      <w:r>
        <w:rPr>
          <w:spacing w:val="-2"/>
          <w:sz w:val="18"/>
        </w:rPr>
        <w:t xml:space="preserve"> </w:t>
      </w:r>
      <w:r>
        <w:rPr>
          <w:sz w:val="18"/>
        </w:rPr>
        <w:t>at</w:t>
      </w:r>
      <w:r>
        <w:rPr>
          <w:spacing w:val="-2"/>
          <w:sz w:val="18"/>
        </w:rPr>
        <w:t xml:space="preserve"> </w:t>
      </w:r>
      <w:r>
        <w:rPr>
          <w:sz w:val="18"/>
        </w:rPr>
        <w:t>reporting</w:t>
      </w:r>
      <w:r>
        <w:rPr>
          <w:spacing w:val="-4"/>
          <w:sz w:val="18"/>
        </w:rPr>
        <w:t xml:space="preserve"> </w:t>
      </w:r>
      <w:r>
        <w:rPr>
          <w:sz w:val="18"/>
        </w:rPr>
        <w:t>date,</w:t>
      </w:r>
      <w:r>
        <w:rPr>
          <w:spacing w:val="-3"/>
          <w:sz w:val="18"/>
        </w:rPr>
        <w:t xml:space="preserve"> </w:t>
      </w:r>
      <w:r>
        <w:rPr>
          <w:sz w:val="18"/>
        </w:rPr>
        <w:t>the</w:t>
      </w:r>
      <w:r>
        <w:rPr>
          <w:spacing w:val="-4"/>
          <w:sz w:val="18"/>
        </w:rPr>
        <w:t xml:space="preserve"> </w:t>
      </w:r>
      <w:r>
        <w:rPr>
          <w:sz w:val="18"/>
        </w:rPr>
        <w:t>Fund’s</w:t>
      </w:r>
      <w:r>
        <w:rPr>
          <w:spacing w:val="-1"/>
          <w:sz w:val="18"/>
        </w:rPr>
        <w:t xml:space="preserve"> </w:t>
      </w:r>
      <w:r>
        <w:rPr>
          <w:sz w:val="18"/>
        </w:rPr>
        <w:t>financial</w:t>
      </w:r>
      <w:r>
        <w:rPr>
          <w:spacing w:val="-5"/>
          <w:sz w:val="18"/>
        </w:rPr>
        <w:t xml:space="preserve"> </w:t>
      </w:r>
      <w:r>
        <w:rPr>
          <w:sz w:val="18"/>
        </w:rPr>
        <w:t>liabilities</w:t>
      </w:r>
      <w:r>
        <w:rPr>
          <w:spacing w:val="-3"/>
          <w:sz w:val="18"/>
        </w:rPr>
        <w:t xml:space="preserve"> </w:t>
      </w:r>
      <w:r>
        <w:rPr>
          <w:sz w:val="18"/>
        </w:rPr>
        <w:t>are</w:t>
      </w:r>
      <w:r>
        <w:rPr>
          <w:spacing w:val="-1"/>
          <w:sz w:val="18"/>
        </w:rPr>
        <w:t xml:space="preserve"> </w:t>
      </w:r>
      <w:r>
        <w:rPr>
          <w:sz w:val="18"/>
        </w:rPr>
        <w:t>all</w:t>
      </w:r>
      <w:r>
        <w:rPr>
          <w:spacing w:val="-4"/>
          <w:sz w:val="18"/>
        </w:rPr>
        <w:t xml:space="preserve"> </w:t>
      </w:r>
      <w:r>
        <w:rPr>
          <w:spacing w:val="-2"/>
          <w:sz w:val="18"/>
        </w:rPr>
        <w:t>current.</w:t>
      </w:r>
    </w:p>
    <w:p w14:paraId="0354AE2C" w14:textId="77777777" w:rsidR="00AC6F3C" w:rsidRDefault="00AC6F3C">
      <w:pPr>
        <w:pStyle w:val="BodyText"/>
      </w:pPr>
    </w:p>
    <w:p w14:paraId="62AA9085" w14:textId="77777777" w:rsidR="00AC6F3C" w:rsidRDefault="00AC6F3C">
      <w:pPr>
        <w:pStyle w:val="BodyText"/>
        <w:spacing w:before="8"/>
        <w:rPr>
          <w:sz w:val="18"/>
        </w:rPr>
      </w:pPr>
    </w:p>
    <w:p w14:paraId="4477238C" w14:textId="77777777" w:rsidR="00AC6F3C" w:rsidRDefault="00570E88">
      <w:pPr>
        <w:tabs>
          <w:tab w:val="left" w:pos="1700"/>
        </w:tabs>
        <w:ind w:left="1700" w:right="734" w:hanging="721"/>
        <w:rPr>
          <w:b/>
          <w:sz w:val="28"/>
        </w:rPr>
      </w:pPr>
      <w:r>
        <w:rPr>
          <w:b/>
          <w:spacing w:val="-6"/>
          <w:sz w:val="28"/>
        </w:rPr>
        <w:t>D3</w:t>
      </w:r>
      <w:r>
        <w:rPr>
          <w:b/>
          <w:sz w:val="28"/>
        </w:rPr>
        <w:tab/>
        <w:t>CONTINGENT</w:t>
      </w:r>
      <w:r>
        <w:rPr>
          <w:b/>
          <w:spacing w:val="-7"/>
          <w:sz w:val="28"/>
        </w:rPr>
        <w:t xml:space="preserve"> </w:t>
      </w:r>
      <w:r>
        <w:rPr>
          <w:b/>
          <w:sz w:val="28"/>
        </w:rPr>
        <w:t>LIABILITIES</w:t>
      </w:r>
      <w:r>
        <w:rPr>
          <w:b/>
          <w:spacing w:val="-18"/>
          <w:sz w:val="28"/>
        </w:rPr>
        <w:t xml:space="preserve"> </w:t>
      </w:r>
      <w:r>
        <w:rPr>
          <w:b/>
          <w:sz w:val="28"/>
        </w:rPr>
        <w:t>AND</w:t>
      </w:r>
      <w:r>
        <w:rPr>
          <w:b/>
          <w:spacing w:val="-7"/>
          <w:sz w:val="28"/>
        </w:rPr>
        <w:t xml:space="preserve"> </w:t>
      </w:r>
      <w:r>
        <w:rPr>
          <w:b/>
          <w:sz w:val="28"/>
        </w:rPr>
        <w:t>EVENTS</w:t>
      </w:r>
      <w:r>
        <w:rPr>
          <w:b/>
          <w:spacing w:val="-17"/>
          <w:sz w:val="28"/>
        </w:rPr>
        <w:t xml:space="preserve"> </w:t>
      </w:r>
      <w:r>
        <w:rPr>
          <w:b/>
          <w:sz w:val="28"/>
        </w:rPr>
        <w:t>AFTER</w:t>
      </w:r>
      <w:r>
        <w:rPr>
          <w:b/>
          <w:spacing w:val="-7"/>
          <w:sz w:val="28"/>
        </w:rPr>
        <w:t xml:space="preserve"> </w:t>
      </w:r>
      <w:r>
        <w:rPr>
          <w:b/>
          <w:sz w:val="28"/>
        </w:rPr>
        <w:t xml:space="preserve">BALANCE </w:t>
      </w:r>
      <w:r>
        <w:rPr>
          <w:b/>
          <w:spacing w:val="-4"/>
          <w:sz w:val="28"/>
        </w:rPr>
        <w:t>DATE</w:t>
      </w:r>
    </w:p>
    <w:p w14:paraId="299B8B8D" w14:textId="77777777" w:rsidR="00AC6F3C" w:rsidRDefault="00570E88">
      <w:pPr>
        <w:spacing w:before="119"/>
        <w:ind w:left="979" w:right="647"/>
        <w:jc w:val="both"/>
        <w:rPr>
          <w:sz w:val="18"/>
        </w:rPr>
      </w:pPr>
      <w:r>
        <w:rPr>
          <w:sz w:val="18"/>
        </w:rPr>
        <w:t>Under</w:t>
      </w:r>
      <w:r>
        <w:rPr>
          <w:spacing w:val="-2"/>
          <w:sz w:val="18"/>
        </w:rPr>
        <w:t xml:space="preserve"> </w:t>
      </w:r>
      <w:r>
        <w:rPr>
          <w:sz w:val="18"/>
        </w:rPr>
        <w:t>the</w:t>
      </w:r>
      <w:r>
        <w:rPr>
          <w:spacing w:val="-1"/>
          <w:sz w:val="18"/>
        </w:rPr>
        <w:t xml:space="preserve"> </w:t>
      </w:r>
      <w:r>
        <w:rPr>
          <w:sz w:val="18"/>
        </w:rPr>
        <w:t>present</w:t>
      </w:r>
      <w:r>
        <w:rPr>
          <w:spacing w:val="-2"/>
          <w:sz w:val="18"/>
        </w:rPr>
        <w:t xml:space="preserve"> </w:t>
      </w:r>
      <w:r>
        <w:rPr>
          <w:sz w:val="18"/>
        </w:rPr>
        <w:t>insurance</w:t>
      </w:r>
      <w:r>
        <w:rPr>
          <w:spacing w:val="-1"/>
          <w:sz w:val="18"/>
        </w:rPr>
        <w:t xml:space="preserve"> </w:t>
      </w:r>
      <w:r>
        <w:rPr>
          <w:sz w:val="18"/>
        </w:rPr>
        <w:t>agreements</w:t>
      </w:r>
      <w:r>
        <w:rPr>
          <w:spacing w:val="-1"/>
          <w:sz w:val="18"/>
        </w:rPr>
        <w:t xml:space="preserve"> </w:t>
      </w:r>
      <w:r>
        <w:rPr>
          <w:sz w:val="18"/>
        </w:rPr>
        <w:t>the</w:t>
      </w:r>
      <w:r>
        <w:rPr>
          <w:spacing w:val="-1"/>
          <w:sz w:val="18"/>
        </w:rPr>
        <w:t xml:space="preserve"> </w:t>
      </w:r>
      <w:r>
        <w:rPr>
          <w:sz w:val="18"/>
        </w:rPr>
        <w:t>total</w:t>
      </w:r>
      <w:r>
        <w:rPr>
          <w:spacing w:val="-1"/>
          <w:sz w:val="18"/>
        </w:rPr>
        <w:t xml:space="preserve"> </w:t>
      </w:r>
      <w:r>
        <w:rPr>
          <w:sz w:val="18"/>
        </w:rPr>
        <w:t>liability</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Fund</w:t>
      </w:r>
      <w:r>
        <w:rPr>
          <w:spacing w:val="-1"/>
          <w:sz w:val="18"/>
        </w:rPr>
        <w:t xml:space="preserve"> </w:t>
      </w:r>
      <w:r>
        <w:rPr>
          <w:sz w:val="18"/>
        </w:rPr>
        <w:t>for</w:t>
      </w:r>
      <w:r>
        <w:rPr>
          <w:spacing w:val="-4"/>
          <w:sz w:val="18"/>
        </w:rPr>
        <w:t xml:space="preserve"> </w:t>
      </w:r>
      <w:r>
        <w:rPr>
          <w:sz w:val="18"/>
        </w:rPr>
        <w:t>the</w:t>
      </w:r>
      <w:r>
        <w:rPr>
          <w:spacing w:val="-1"/>
          <w:sz w:val="18"/>
        </w:rPr>
        <w:t xml:space="preserve"> </w:t>
      </w:r>
      <w:r>
        <w:rPr>
          <w:sz w:val="18"/>
        </w:rPr>
        <w:t>respective</w:t>
      </w:r>
      <w:r>
        <w:rPr>
          <w:spacing w:val="-1"/>
          <w:sz w:val="18"/>
        </w:rPr>
        <w:t xml:space="preserve"> </w:t>
      </w:r>
      <w:r>
        <w:rPr>
          <w:sz w:val="18"/>
        </w:rPr>
        <w:t>years</w:t>
      </w:r>
      <w:r>
        <w:rPr>
          <w:spacing w:val="-1"/>
          <w:sz w:val="18"/>
        </w:rPr>
        <w:t xml:space="preserve"> </w:t>
      </w:r>
      <w:r>
        <w:rPr>
          <w:sz w:val="18"/>
        </w:rPr>
        <w:t>of</w:t>
      </w:r>
      <w:r>
        <w:rPr>
          <w:spacing w:val="-4"/>
          <w:sz w:val="18"/>
        </w:rPr>
        <w:t xml:space="preserve"> </w:t>
      </w:r>
      <w:r>
        <w:rPr>
          <w:sz w:val="18"/>
        </w:rPr>
        <w:t>insurance</w:t>
      </w:r>
      <w:r>
        <w:rPr>
          <w:spacing w:val="-4"/>
          <w:sz w:val="18"/>
        </w:rPr>
        <w:t xml:space="preserve"> </w:t>
      </w:r>
      <w:r>
        <w:rPr>
          <w:sz w:val="18"/>
        </w:rPr>
        <w:t>is limited</w:t>
      </w:r>
      <w:r>
        <w:rPr>
          <w:spacing w:val="-1"/>
          <w:sz w:val="18"/>
        </w:rPr>
        <w:t xml:space="preserve"> </w:t>
      </w:r>
      <w:r>
        <w:rPr>
          <w:sz w:val="18"/>
        </w:rPr>
        <w:t>to $100,000 (1987-1994) and</w:t>
      </w:r>
      <w:r>
        <w:rPr>
          <w:spacing w:val="-1"/>
          <w:sz w:val="18"/>
        </w:rPr>
        <w:t xml:space="preserve"> </w:t>
      </w:r>
      <w:r>
        <w:rPr>
          <w:sz w:val="18"/>
        </w:rPr>
        <w:t>$500,000 (1995) per individual claim and this amount</w:t>
      </w:r>
      <w:r>
        <w:rPr>
          <w:spacing w:val="-1"/>
          <w:sz w:val="18"/>
        </w:rPr>
        <w:t xml:space="preserve"> </w:t>
      </w:r>
      <w:r>
        <w:rPr>
          <w:sz w:val="18"/>
        </w:rPr>
        <w:t>is reduced</w:t>
      </w:r>
      <w:r>
        <w:rPr>
          <w:spacing w:val="-1"/>
          <w:sz w:val="18"/>
        </w:rPr>
        <w:t xml:space="preserve"> </w:t>
      </w:r>
      <w:r>
        <w:rPr>
          <w:sz w:val="18"/>
        </w:rPr>
        <w:t>by the amount</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solicitors’</w:t>
      </w:r>
      <w:r>
        <w:rPr>
          <w:spacing w:val="-3"/>
          <w:sz w:val="18"/>
        </w:rPr>
        <w:t xml:space="preserve"> </w:t>
      </w:r>
      <w:r>
        <w:rPr>
          <w:sz w:val="18"/>
        </w:rPr>
        <w:t>deductible.</w:t>
      </w:r>
      <w:r>
        <w:rPr>
          <w:spacing w:val="40"/>
          <w:sz w:val="18"/>
        </w:rPr>
        <w:t xml:space="preserve"> </w:t>
      </w:r>
      <w:r>
        <w:rPr>
          <w:sz w:val="18"/>
        </w:rPr>
        <w:t>Also</w:t>
      </w:r>
      <w:r>
        <w:rPr>
          <w:spacing w:val="-1"/>
          <w:sz w:val="18"/>
        </w:rPr>
        <w:t xml:space="preserve"> </w:t>
      </w:r>
      <w:r>
        <w:rPr>
          <w:sz w:val="18"/>
        </w:rPr>
        <w:t>an</w:t>
      </w:r>
      <w:r>
        <w:rPr>
          <w:spacing w:val="-1"/>
          <w:sz w:val="18"/>
        </w:rPr>
        <w:t xml:space="preserve"> </w:t>
      </w:r>
      <w:r>
        <w:rPr>
          <w:sz w:val="18"/>
        </w:rPr>
        <w:t>aggregate</w:t>
      </w:r>
      <w:r>
        <w:rPr>
          <w:spacing w:val="-3"/>
          <w:sz w:val="18"/>
        </w:rPr>
        <w:t xml:space="preserve"> </w:t>
      </w:r>
      <w:r>
        <w:rPr>
          <w:sz w:val="18"/>
        </w:rPr>
        <w:t>limit</w:t>
      </w:r>
      <w:r>
        <w:rPr>
          <w:spacing w:val="-3"/>
          <w:sz w:val="18"/>
        </w:rPr>
        <w:t xml:space="preserve"> </w:t>
      </w:r>
      <w:r>
        <w:rPr>
          <w:sz w:val="18"/>
        </w:rPr>
        <w:t>per</w:t>
      </w:r>
      <w:r>
        <w:rPr>
          <w:spacing w:val="-2"/>
          <w:sz w:val="18"/>
        </w:rPr>
        <w:t xml:space="preserve"> </w:t>
      </w:r>
      <w:r>
        <w:rPr>
          <w:sz w:val="18"/>
        </w:rPr>
        <w:t>respective</w:t>
      </w:r>
      <w:r>
        <w:rPr>
          <w:spacing w:val="-3"/>
          <w:sz w:val="18"/>
        </w:rPr>
        <w:t xml:space="preserve"> </w:t>
      </w:r>
      <w:r>
        <w:rPr>
          <w:sz w:val="18"/>
        </w:rPr>
        <w:t>year</w:t>
      </w:r>
      <w:r>
        <w:rPr>
          <w:spacing w:val="-3"/>
          <w:sz w:val="18"/>
        </w:rPr>
        <w:t xml:space="preserve"> </w:t>
      </w:r>
      <w:r>
        <w:rPr>
          <w:sz w:val="18"/>
        </w:rPr>
        <w:t>of</w:t>
      </w:r>
      <w:r>
        <w:rPr>
          <w:spacing w:val="-2"/>
          <w:sz w:val="18"/>
        </w:rPr>
        <w:t xml:space="preserve"> </w:t>
      </w:r>
      <w:r>
        <w:rPr>
          <w:sz w:val="18"/>
        </w:rPr>
        <w:t>insurance</w:t>
      </w:r>
      <w:r>
        <w:rPr>
          <w:spacing w:val="-1"/>
          <w:sz w:val="18"/>
        </w:rPr>
        <w:t xml:space="preserve"> </w:t>
      </w:r>
      <w:r>
        <w:rPr>
          <w:sz w:val="18"/>
        </w:rPr>
        <w:t>applies</w:t>
      </w:r>
      <w:r>
        <w:rPr>
          <w:spacing w:val="-2"/>
          <w:sz w:val="18"/>
        </w:rPr>
        <w:t xml:space="preserve"> </w:t>
      </w:r>
      <w:r>
        <w:rPr>
          <w:sz w:val="18"/>
        </w:rPr>
        <w:t>and</w:t>
      </w:r>
      <w:r>
        <w:rPr>
          <w:spacing w:val="-3"/>
          <w:sz w:val="18"/>
        </w:rPr>
        <w:t xml:space="preserve"> </w:t>
      </w:r>
      <w:r>
        <w:rPr>
          <w:sz w:val="18"/>
        </w:rPr>
        <w:t>this limits the total liability of the Fund.</w:t>
      </w:r>
      <w:r>
        <w:rPr>
          <w:spacing w:val="40"/>
          <w:sz w:val="18"/>
        </w:rPr>
        <w:t xml:space="preserve"> </w:t>
      </w:r>
      <w:r>
        <w:rPr>
          <w:sz w:val="18"/>
        </w:rPr>
        <w:t>As at 30 June 2023, there are no claims against the Fund.</w:t>
      </w:r>
    </w:p>
    <w:p w14:paraId="4F4563F5" w14:textId="77777777" w:rsidR="00AC6F3C" w:rsidRDefault="00570E88">
      <w:pPr>
        <w:spacing w:before="120"/>
        <w:ind w:left="980"/>
        <w:rPr>
          <w:sz w:val="18"/>
        </w:rPr>
      </w:pPr>
      <w:r>
        <w:rPr>
          <w:sz w:val="18"/>
        </w:rPr>
        <w:t>From</w:t>
      </w:r>
      <w:r>
        <w:rPr>
          <w:spacing w:val="-4"/>
          <w:sz w:val="18"/>
        </w:rPr>
        <w:t xml:space="preserve"> </w:t>
      </w:r>
      <w:r>
        <w:rPr>
          <w:sz w:val="18"/>
        </w:rPr>
        <w:t>1</w:t>
      </w:r>
      <w:r>
        <w:rPr>
          <w:spacing w:val="-4"/>
          <w:sz w:val="18"/>
        </w:rPr>
        <w:t xml:space="preserve"> </w:t>
      </w:r>
      <w:r>
        <w:rPr>
          <w:sz w:val="18"/>
        </w:rPr>
        <w:t>July</w:t>
      </w:r>
      <w:r>
        <w:rPr>
          <w:spacing w:val="-3"/>
          <w:sz w:val="18"/>
        </w:rPr>
        <w:t xml:space="preserve"> </w:t>
      </w:r>
      <w:r>
        <w:rPr>
          <w:sz w:val="18"/>
        </w:rPr>
        <w:t>2001,</w:t>
      </w:r>
      <w:r>
        <w:rPr>
          <w:spacing w:val="-2"/>
          <w:sz w:val="18"/>
        </w:rPr>
        <w:t xml:space="preserve"> </w:t>
      </w:r>
      <w:r>
        <w:rPr>
          <w:sz w:val="18"/>
        </w:rPr>
        <w:t>the</w:t>
      </w:r>
      <w:r>
        <w:rPr>
          <w:spacing w:val="-2"/>
          <w:sz w:val="18"/>
        </w:rPr>
        <w:t xml:space="preserve"> </w:t>
      </w:r>
      <w:r>
        <w:rPr>
          <w:sz w:val="18"/>
        </w:rPr>
        <w:t>Fund</w:t>
      </w:r>
      <w:r>
        <w:rPr>
          <w:spacing w:val="-1"/>
          <w:sz w:val="18"/>
        </w:rPr>
        <w:t xml:space="preserve"> </w:t>
      </w:r>
      <w:r>
        <w:rPr>
          <w:sz w:val="18"/>
        </w:rPr>
        <w:t>has</w:t>
      </w:r>
      <w:r>
        <w:rPr>
          <w:spacing w:val="-1"/>
          <w:sz w:val="18"/>
        </w:rPr>
        <w:t xml:space="preserve"> </w:t>
      </w:r>
      <w:r>
        <w:rPr>
          <w:sz w:val="18"/>
        </w:rPr>
        <w:t>a</w:t>
      </w:r>
      <w:r>
        <w:rPr>
          <w:spacing w:val="-2"/>
          <w:sz w:val="18"/>
        </w:rPr>
        <w:t xml:space="preserve"> </w:t>
      </w:r>
      <w:r>
        <w:rPr>
          <w:sz w:val="18"/>
        </w:rPr>
        <w:t>policy</w:t>
      </w:r>
      <w:r>
        <w:rPr>
          <w:spacing w:val="-3"/>
          <w:sz w:val="18"/>
        </w:rPr>
        <w:t xml:space="preserve"> </w:t>
      </w:r>
      <w:r>
        <w:rPr>
          <w:sz w:val="18"/>
        </w:rPr>
        <w:t>with</w:t>
      </w:r>
      <w:r>
        <w:rPr>
          <w:spacing w:val="-4"/>
          <w:sz w:val="18"/>
        </w:rPr>
        <w:t xml:space="preserve"> </w:t>
      </w:r>
      <w:r>
        <w:rPr>
          <w:sz w:val="18"/>
        </w:rPr>
        <w:t>Lexon</w:t>
      </w:r>
      <w:r>
        <w:rPr>
          <w:spacing w:val="-1"/>
          <w:sz w:val="18"/>
        </w:rPr>
        <w:t xml:space="preserve"> </w:t>
      </w:r>
      <w:r>
        <w:rPr>
          <w:sz w:val="18"/>
        </w:rPr>
        <w:t>Insurance</w:t>
      </w:r>
      <w:r>
        <w:rPr>
          <w:spacing w:val="-2"/>
          <w:sz w:val="18"/>
        </w:rPr>
        <w:t xml:space="preserve"> </w:t>
      </w:r>
      <w:r>
        <w:rPr>
          <w:sz w:val="18"/>
        </w:rPr>
        <w:t>Pte</w:t>
      </w:r>
      <w:r>
        <w:rPr>
          <w:spacing w:val="-1"/>
          <w:sz w:val="18"/>
        </w:rPr>
        <w:t xml:space="preserve"> </w:t>
      </w:r>
      <w:r>
        <w:rPr>
          <w:sz w:val="18"/>
        </w:rPr>
        <w:t>Ltd</w:t>
      </w:r>
      <w:r>
        <w:rPr>
          <w:spacing w:val="-1"/>
          <w:sz w:val="18"/>
        </w:rPr>
        <w:t xml:space="preserve"> </w:t>
      </w:r>
      <w:r>
        <w:rPr>
          <w:sz w:val="18"/>
        </w:rPr>
        <w:t>(Lexon)</w:t>
      </w:r>
      <w:r>
        <w:rPr>
          <w:spacing w:val="-3"/>
          <w:sz w:val="18"/>
        </w:rPr>
        <w:t xml:space="preserve"> </w:t>
      </w:r>
      <w:r>
        <w:rPr>
          <w:sz w:val="18"/>
        </w:rPr>
        <w:t>which</w:t>
      </w:r>
      <w:r>
        <w:rPr>
          <w:spacing w:val="-4"/>
          <w:sz w:val="18"/>
        </w:rPr>
        <w:t xml:space="preserve"> </w:t>
      </w:r>
      <w:r>
        <w:rPr>
          <w:sz w:val="18"/>
        </w:rPr>
        <w:t>capped</w:t>
      </w:r>
      <w:r>
        <w:rPr>
          <w:spacing w:val="-1"/>
          <w:sz w:val="18"/>
        </w:rPr>
        <w:t xml:space="preserve"> </w:t>
      </w:r>
      <w:r>
        <w:rPr>
          <w:sz w:val="18"/>
        </w:rPr>
        <w:t>its</w:t>
      </w:r>
      <w:r>
        <w:rPr>
          <w:spacing w:val="-3"/>
          <w:sz w:val="18"/>
        </w:rPr>
        <w:t xml:space="preserve"> </w:t>
      </w:r>
      <w:r>
        <w:rPr>
          <w:sz w:val="18"/>
        </w:rPr>
        <w:t>liability</w:t>
      </w:r>
      <w:r>
        <w:rPr>
          <w:spacing w:val="-1"/>
          <w:sz w:val="18"/>
        </w:rPr>
        <w:t xml:space="preserve"> </w:t>
      </w:r>
      <w:r>
        <w:rPr>
          <w:spacing w:val="-5"/>
          <w:sz w:val="18"/>
        </w:rPr>
        <w:t>at</w:t>
      </w:r>
    </w:p>
    <w:p w14:paraId="34188FA3" w14:textId="77777777" w:rsidR="00AC6F3C" w:rsidRDefault="00570E88">
      <w:pPr>
        <w:spacing w:before="2"/>
        <w:ind w:left="980" w:right="468"/>
        <w:rPr>
          <w:sz w:val="18"/>
        </w:rPr>
      </w:pPr>
      <w:r>
        <w:rPr>
          <w:sz w:val="18"/>
        </w:rPr>
        <w:t>$5,000,000 for future claim payments up to and including the 1995-1996 insurance year.</w:t>
      </w:r>
      <w:r>
        <w:rPr>
          <w:spacing w:val="40"/>
          <w:sz w:val="18"/>
        </w:rPr>
        <w:t xml:space="preserve"> </w:t>
      </w:r>
      <w:r>
        <w:rPr>
          <w:sz w:val="18"/>
        </w:rPr>
        <w:t>The Fund ceased to provide</w:t>
      </w:r>
      <w:r>
        <w:rPr>
          <w:spacing w:val="-4"/>
          <w:sz w:val="18"/>
        </w:rPr>
        <w:t xml:space="preserve"> </w:t>
      </w:r>
      <w:r>
        <w:rPr>
          <w:sz w:val="18"/>
        </w:rPr>
        <w:t>cover</w:t>
      </w:r>
      <w:r>
        <w:rPr>
          <w:spacing w:val="-2"/>
          <w:sz w:val="18"/>
        </w:rPr>
        <w:t xml:space="preserve"> </w:t>
      </w:r>
      <w:r>
        <w:rPr>
          <w:sz w:val="18"/>
        </w:rPr>
        <w:t>following</w:t>
      </w:r>
      <w:r>
        <w:rPr>
          <w:spacing w:val="-1"/>
          <w:sz w:val="18"/>
        </w:rPr>
        <w:t xml:space="preserve"> </w:t>
      </w:r>
      <w:r>
        <w:rPr>
          <w:sz w:val="18"/>
        </w:rPr>
        <w:t>the</w:t>
      </w:r>
      <w:r>
        <w:rPr>
          <w:spacing w:val="-1"/>
          <w:sz w:val="18"/>
        </w:rPr>
        <w:t xml:space="preserve"> </w:t>
      </w:r>
      <w:r>
        <w:rPr>
          <w:sz w:val="18"/>
        </w:rPr>
        <w:t>end</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1995-1996</w:t>
      </w:r>
      <w:r>
        <w:rPr>
          <w:spacing w:val="-4"/>
          <w:sz w:val="18"/>
        </w:rPr>
        <w:t xml:space="preserve"> </w:t>
      </w:r>
      <w:r>
        <w:rPr>
          <w:sz w:val="18"/>
        </w:rPr>
        <w:t>insurance</w:t>
      </w:r>
      <w:r>
        <w:rPr>
          <w:spacing w:val="-4"/>
          <w:sz w:val="18"/>
        </w:rPr>
        <w:t xml:space="preserve"> </w:t>
      </w:r>
      <w:r>
        <w:rPr>
          <w:sz w:val="18"/>
        </w:rPr>
        <w:t>year.</w:t>
      </w:r>
      <w:r>
        <w:rPr>
          <w:spacing w:val="40"/>
          <w:sz w:val="18"/>
        </w:rPr>
        <w:t xml:space="preserve"> </w:t>
      </w:r>
      <w:r>
        <w:rPr>
          <w:sz w:val="18"/>
        </w:rPr>
        <w:t>Given</w:t>
      </w:r>
      <w:r>
        <w:rPr>
          <w:spacing w:val="-1"/>
          <w:sz w:val="18"/>
        </w:rPr>
        <w:t xml:space="preserve"> </w:t>
      </w:r>
      <w:r>
        <w:rPr>
          <w:sz w:val="18"/>
        </w:rPr>
        <w:t>the</w:t>
      </w:r>
      <w:r>
        <w:rPr>
          <w:spacing w:val="-1"/>
          <w:sz w:val="18"/>
        </w:rPr>
        <w:t xml:space="preserve"> </w:t>
      </w:r>
      <w:r>
        <w:rPr>
          <w:sz w:val="18"/>
        </w:rPr>
        <w:t>length</w:t>
      </w:r>
      <w:r>
        <w:rPr>
          <w:spacing w:val="-4"/>
          <w:sz w:val="18"/>
        </w:rPr>
        <w:t xml:space="preserve"> </w:t>
      </w:r>
      <w:r>
        <w:rPr>
          <w:sz w:val="18"/>
        </w:rPr>
        <w:t>of</w:t>
      </w:r>
      <w:r>
        <w:rPr>
          <w:spacing w:val="-2"/>
          <w:sz w:val="18"/>
        </w:rPr>
        <w:t xml:space="preserve"> </w:t>
      </w:r>
      <w:r>
        <w:rPr>
          <w:sz w:val="18"/>
        </w:rPr>
        <w:t>time</w:t>
      </w:r>
      <w:r>
        <w:rPr>
          <w:spacing w:val="-6"/>
          <w:sz w:val="18"/>
        </w:rPr>
        <w:t xml:space="preserve"> </w:t>
      </w:r>
      <w:r>
        <w:rPr>
          <w:sz w:val="18"/>
        </w:rPr>
        <w:t>it</w:t>
      </w:r>
      <w:r>
        <w:rPr>
          <w:spacing w:val="-2"/>
          <w:sz w:val="18"/>
        </w:rPr>
        <w:t xml:space="preserve"> </w:t>
      </w:r>
      <w:r>
        <w:rPr>
          <w:sz w:val="18"/>
        </w:rPr>
        <w:t>is</w:t>
      </w:r>
      <w:r>
        <w:rPr>
          <w:spacing w:val="-4"/>
          <w:sz w:val="18"/>
        </w:rPr>
        <w:t xml:space="preserve"> </w:t>
      </w:r>
      <w:r>
        <w:rPr>
          <w:sz w:val="18"/>
        </w:rPr>
        <w:t>unlikely</w:t>
      </w:r>
      <w:r>
        <w:rPr>
          <w:spacing w:val="-1"/>
          <w:sz w:val="18"/>
        </w:rPr>
        <w:t xml:space="preserve"> </w:t>
      </w:r>
      <w:r>
        <w:rPr>
          <w:sz w:val="18"/>
        </w:rPr>
        <w:t>that</w:t>
      </w:r>
      <w:r>
        <w:rPr>
          <w:spacing w:val="-2"/>
          <w:sz w:val="18"/>
        </w:rPr>
        <w:t xml:space="preserve"> </w:t>
      </w:r>
      <w:r>
        <w:rPr>
          <w:sz w:val="18"/>
        </w:rPr>
        <w:t>any further claims against the Fund will arise.</w:t>
      </w:r>
    </w:p>
    <w:p w14:paraId="2D4B2DB1" w14:textId="77777777" w:rsidR="00AC6F3C" w:rsidRDefault="00570E88">
      <w:pPr>
        <w:spacing w:before="118"/>
        <w:ind w:left="980" w:right="322" w:hanging="1"/>
        <w:rPr>
          <w:sz w:val="18"/>
        </w:rPr>
      </w:pPr>
      <w:r>
        <w:rPr>
          <w:sz w:val="18"/>
        </w:rPr>
        <w:t>Based on actuarial advice in respect of the position of the Fund as at 30 June 2023 (</w:t>
      </w:r>
      <w:proofErr w:type="spellStart"/>
      <w:r>
        <w:rPr>
          <w:sz w:val="18"/>
        </w:rPr>
        <w:t>Finity</w:t>
      </w:r>
      <w:proofErr w:type="spellEnd"/>
      <w:r>
        <w:rPr>
          <w:sz w:val="18"/>
        </w:rPr>
        <w:t xml:space="preserve"> – August 2023), the insurance</w:t>
      </w:r>
      <w:r>
        <w:rPr>
          <w:spacing w:val="-1"/>
          <w:sz w:val="18"/>
        </w:rPr>
        <w:t xml:space="preserve"> </w:t>
      </w:r>
      <w:r>
        <w:rPr>
          <w:sz w:val="18"/>
        </w:rPr>
        <w:t>in</w:t>
      </w:r>
      <w:r>
        <w:rPr>
          <w:spacing w:val="-1"/>
          <w:sz w:val="18"/>
        </w:rPr>
        <w:t xml:space="preserve"> </w:t>
      </w:r>
      <w:r>
        <w:rPr>
          <w:sz w:val="18"/>
        </w:rPr>
        <w:t>place</w:t>
      </w:r>
      <w:r>
        <w:rPr>
          <w:spacing w:val="-4"/>
          <w:sz w:val="18"/>
        </w:rPr>
        <w:t xml:space="preserve"> </w:t>
      </w:r>
      <w:r>
        <w:rPr>
          <w:sz w:val="18"/>
        </w:rPr>
        <w:t>with</w:t>
      </w:r>
      <w:r>
        <w:rPr>
          <w:spacing w:val="-1"/>
          <w:sz w:val="18"/>
        </w:rPr>
        <w:t xml:space="preserve"> </w:t>
      </w:r>
      <w:r>
        <w:rPr>
          <w:sz w:val="18"/>
        </w:rPr>
        <w:t>regard</w:t>
      </w:r>
      <w:r>
        <w:rPr>
          <w:spacing w:val="-4"/>
          <w:sz w:val="18"/>
        </w:rPr>
        <w:t xml:space="preserve"> </w:t>
      </w:r>
      <w:r>
        <w:rPr>
          <w:sz w:val="18"/>
        </w:rPr>
        <w:t>to</w:t>
      </w:r>
      <w:r>
        <w:rPr>
          <w:spacing w:val="-1"/>
          <w:sz w:val="18"/>
        </w:rPr>
        <w:t xml:space="preserve"> </w:t>
      </w:r>
      <w:r>
        <w:rPr>
          <w:sz w:val="18"/>
        </w:rPr>
        <w:t>the</w:t>
      </w:r>
      <w:r>
        <w:rPr>
          <w:spacing w:val="-4"/>
          <w:sz w:val="18"/>
        </w:rPr>
        <w:t xml:space="preserve"> </w:t>
      </w:r>
      <w:r>
        <w:rPr>
          <w:sz w:val="18"/>
        </w:rPr>
        <w:t>limits</w:t>
      </w:r>
      <w:r>
        <w:rPr>
          <w:spacing w:val="-1"/>
          <w:sz w:val="18"/>
        </w:rPr>
        <w:t xml:space="preserve"> </w:t>
      </w:r>
      <w:r>
        <w:rPr>
          <w:sz w:val="18"/>
        </w:rPr>
        <w:t>per</w:t>
      </w:r>
      <w:r>
        <w:rPr>
          <w:spacing w:val="-4"/>
          <w:sz w:val="18"/>
        </w:rPr>
        <w:t xml:space="preserve"> </w:t>
      </w:r>
      <w:r>
        <w:rPr>
          <w:sz w:val="18"/>
        </w:rPr>
        <w:t>file,</w:t>
      </w:r>
      <w:r>
        <w:rPr>
          <w:spacing w:val="-2"/>
          <w:sz w:val="18"/>
        </w:rPr>
        <w:t xml:space="preserve"> </w:t>
      </w:r>
      <w:r>
        <w:rPr>
          <w:sz w:val="18"/>
        </w:rPr>
        <w:t>and</w:t>
      </w:r>
      <w:r>
        <w:rPr>
          <w:spacing w:val="-1"/>
          <w:sz w:val="18"/>
        </w:rPr>
        <w:t xml:space="preserve"> </w:t>
      </w:r>
      <w:r>
        <w:rPr>
          <w:sz w:val="18"/>
        </w:rPr>
        <w:t>the</w:t>
      </w:r>
      <w:r>
        <w:rPr>
          <w:spacing w:val="-1"/>
          <w:sz w:val="18"/>
        </w:rPr>
        <w:t xml:space="preserve"> </w:t>
      </w:r>
      <w:r>
        <w:rPr>
          <w:sz w:val="18"/>
        </w:rPr>
        <w:t>overall</w:t>
      </w:r>
      <w:r>
        <w:rPr>
          <w:spacing w:val="-4"/>
          <w:sz w:val="18"/>
        </w:rPr>
        <w:t xml:space="preserve"> </w:t>
      </w:r>
      <w:r>
        <w:rPr>
          <w:sz w:val="18"/>
        </w:rPr>
        <w:t>Fund’s</w:t>
      </w:r>
      <w:r>
        <w:rPr>
          <w:spacing w:val="-3"/>
          <w:sz w:val="18"/>
        </w:rPr>
        <w:t xml:space="preserve"> </w:t>
      </w:r>
      <w:r>
        <w:rPr>
          <w:sz w:val="18"/>
        </w:rPr>
        <w:t>aggregate</w:t>
      </w:r>
      <w:r>
        <w:rPr>
          <w:spacing w:val="-1"/>
          <w:sz w:val="18"/>
        </w:rPr>
        <w:t xml:space="preserve"> </w:t>
      </w:r>
      <w:r>
        <w:rPr>
          <w:sz w:val="18"/>
        </w:rPr>
        <w:t>limit</w:t>
      </w:r>
      <w:r>
        <w:rPr>
          <w:spacing w:val="-4"/>
          <w:sz w:val="18"/>
        </w:rPr>
        <w:t xml:space="preserve"> </w:t>
      </w:r>
      <w:r>
        <w:rPr>
          <w:sz w:val="18"/>
        </w:rPr>
        <w:t>as</w:t>
      </w:r>
      <w:r>
        <w:rPr>
          <w:spacing w:val="-5"/>
          <w:sz w:val="18"/>
        </w:rPr>
        <w:t xml:space="preserve"> </w:t>
      </w:r>
      <w:r>
        <w:rPr>
          <w:sz w:val="18"/>
        </w:rPr>
        <w:t>at</w:t>
      </w:r>
      <w:r>
        <w:rPr>
          <w:spacing w:val="-2"/>
          <w:sz w:val="18"/>
        </w:rPr>
        <w:t xml:space="preserve"> </w:t>
      </w:r>
      <w:r>
        <w:rPr>
          <w:sz w:val="18"/>
        </w:rPr>
        <w:t>30</w:t>
      </w:r>
      <w:r>
        <w:rPr>
          <w:spacing w:val="-4"/>
          <w:sz w:val="18"/>
        </w:rPr>
        <w:t xml:space="preserve"> </w:t>
      </w:r>
      <w:r>
        <w:rPr>
          <w:sz w:val="18"/>
        </w:rPr>
        <w:t>June</w:t>
      </w:r>
      <w:r>
        <w:rPr>
          <w:spacing w:val="-1"/>
          <w:sz w:val="18"/>
        </w:rPr>
        <w:t xml:space="preserve"> </w:t>
      </w:r>
      <w:r>
        <w:rPr>
          <w:sz w:val="18"/>
        </w:rPr>
        <w:t>2023,</w:t>
      </w:r>
      <w:r>
        <w:rPr>
          <w:spacing w:val="-2"/>
          <w:sz w:val="18"/>
        </w:rPr>
        <w:t xml:space="preserve"> </w:t>
      </w:r>
      <w:r>
        <w:rPr>
          <w:sz w:val="18"/>
        </w:rPr>
        <w:t xml:space="preserve">the Society is of the opinion that the funds on hand together with future investment income and deductibles, and in conjunction with Stop Loss cover with Lexon will ensure that all future claims will be met as and when they fall </w:t>
      </w:r>
      <w:r>
        <w:rPr>
          <w:spacing w:val="-4"/>
          <w:sz w:val="18"/>
        </w:rPr>
        <w:t>due.</w:t>
      </w:r>
    </w:p>
    <w:p w14:paraId="3824B219" w14:textId="77777777" w:rsidR="00AC6F3C" w:rsidRDefault="00570E88">
      <w:pPr>
        <w:spacing w:before="120"/>
        <w:ind w:left="980"/>
        <w:jc w:val="both"/>
        <w:rPr>
          <w:sz w:val="18"/>
        </w:rPr>
      </w:pPr>
      <w:r>
        <w:rPr>
          <w:sz w:val="18"/>
        </w:rPr>
        <w:t>There</w:t>
      </w:r>
      <w:r>
        <w:rPr>
          <w:spacing w:val="-7"/>
          <w:sz w:val="18"/>
        </w:rPr>
        <w:t xml:space="preserve"> </w:t>
      </w:r>
      <w:r>
        <w:rPr>
          <w:sz w:val="18"/>
        </w:rPr>
        <w:t>are</w:t>
      </w:r>
      <w:r>
        <w:rPr>
          <w:spacing w:val="-1"/>
          <w:sz w:val="18"/>
        </w:rPr>
        <w:t xml:space="preserve"> </w:t>
      </w:r>
      <w:r>
        <w:rPr>
          <w:sz w:val="18"/>
        </w:rPr>
        <w:t>no</w:t>
      </w:r>
      <w:r>
        <w:rPr>
          <w:spacing w:val="-2"/>
          <w:sz w:val="18"/>
        </w:rPr>
        <w:t xml:space="preserve"> </w:t>
      </w:r>
      <w:r>
        <w:rPr>
          <w:sz w:val="18"/>
        </w:rPr>
        <w:t>events</w:t>
      </w:r>
      <w:r>
        <w:rPr>
          <w:spacing w:val="-1"/>
          <w:sz w:val="18"/>
        </w:rPr>
        <w:t xml:space="preserve"> </w:t>
      </w:r>
      <w:r>
        <w:rPr>
          <w:sz w:val="18"/>
        </w:rPr>
        <w:t>subsequent</w:t>
      </w:r>
      <w:r>
        <w:rPr>
          <w:spacing w:val="-3"/>
          <w:sz w:val="18"/>
        </w:rPr>
        <w:t xml:space="preserve"> </w:t>
      </w:r>
      <w:r>
        <w:rPr>
          <w:sz w:val="18"/>
        </w:rPr>
        <w:t>to</w:t>
      </w:r>
      <w:r>
        <w:rPr>
          <w:spacing w:val="-1"/>
          <w:sz w:val="18"/>
        </w:rPr>
        <w:t xml:space="preserve"> </w:t>
      </w:r>
      <w:r>
        <w:rPr>
          <w:sz w:val="18"/>
        </w:rPr>
        <w:t>reporting</w:t>
      </w:r>
      <w:r>
        <w:rPr>
          <w:spacing w:val="-5"/>
          <w:sz w:val="18"/>
        </w:rPr>
        <w:t xml:space="preserve"> </w:t>
      </w:r>
      <w:r>
        <w:rPr>
          <w:sz w:val="18"/>
        </w:rPr>
        <w:t>date</w:t>
      </w:r>
      <w:r>
        <w:rPr>
          <w:spacing w:val="-4"/>
          <w:sz w:val="18"/>
        </w:rPr>
        <w:t xml:space="preserve"> </w:t>
      </w:r>
      <w:r>
        <w:rPr>
          <w:sz w:val="18"/>
        </w:rPr>
        <w:t>requiring</w:t>
      </w:r>
      <w:r>
        <w:rPr>
          <w:spacing w:val="-2"/>
          <w:sz w:val="18"/>
        </w:rPr>
        <w:t xml:space="preserve"> </w:t>
      </w:r>
      <w:r>
        <w:rPr>
          <w:sz w:val="18"/>
        </w:rPr>
        <w:t>disclosure</w:t>
      </w:r>
      <w:r>
        <w:rPr>
          <w:spacing w:val="-1"/>
          <w:sz w:val="18"/>
        </w:rPr>
        <w:t xml:space="preserve"> </w:t>
      </w:r>
      <w:r>
        <w:rPr>
          <w:sz w:val="18"/>
        </w:rPr>
        <w:t>in</w:t>
      </w:r>
      <w:r>
        <w:rPr>
          <w:spacing w:val="-5"/>
          <w:sz w:val="18"/>
        </w:rPr>
        <w:t xml:space="preserve"> </w:t>
      </w:r>
      <w:r>
        <w:rPr>
          <w:sz w:val="18"/>
        </w:rPr>
        <w:t>the</w:t>
      </w:r>
      <w:r>
        <w:rPr>
          <w:spacing w:val="-4"/>
          <w:sz w:val="18"/>
        </w:rPr>
        <w:t xml:space="preserve"> </w:t>
      </w:r>
      <w:r>
        <w:rPr>
          <w:sz w:val="18"/>
        </w:rPr>
        <w:t>financial</w:t>
      </w:r>
      <w:r>
        <w:rPr>
          <w:spacing w:val="-4"/>
          <w:sz w:val="18"/>
        </w:rPr>
        <w:t xml:space="preserve"> </w:t>
      </w:r>
      <w:r>
        <w:rPr>
          <w:spacing w:val="-2"/>
          <w:sz w:val="18"/>
        </w:rPr>
        <w:t>report.</w:t>
      </w:r>
    </w:p>
    <w:p w14:paraId="72D137E7" w14:textId="77777777" w:rsidR="00AC6F3C" w:rsidRDefault="00AC6F3C">
      <w:pPr>
        <w:jc w:val="both"/>
        <w:rPr>
          <w:sz w:val="18"/>
        </w:rPr>
        <w:sectPr w:rsidR="00AC6F3C">
          <w:pgSz w:w="11910" w:h="16840"/>
          <w:pgMar w:top="2080" w:right="1160" w:bottom="520" w:left="460" w:header="1297" w:footer="336" w:gutter="0"/>
          <w:cols w:space="720"/>
        </w:sectPr>
      </w:pPr>
    </w:p>
    <w:p w14:paraId="5F5A9C6A" w14:textId="77777777" w:rsidR="00AC6F3C" w:rsidRDefault="00AC6F3C">
      <w:pPr>
        <w:pStyle w:val="BodyText"/>
        <w:spacing w:before="9"/>
        <w:rPr>
          <w:sz w:val="13"/>
        </w:rPr>
      </w:pPr>
    </w:p>
    <w:p w14:paraId="322F8652" w14:textId="77777777" w:rsidR="00AC6F3C" w:rsidRDefault="00570E88">
      <w:pPr>
        <w:tabs>
          <w:tab w:val="left" w:pos="1831"/>
        </w:tabs>
        <w:spacing w:before="92"/>
        <w:ind w:left="979"/>
        <w:rPr>
          <w:b/>
          <w:sz w:val="28"/>
        </w:rPr>
      </w:pPr>
      <w:r>
        <w:rPr>
          <w:b/>
          <w:spacing w:val="-5"/>
          <w:sz w:val="28"/>
        </w:rPr>
        <w:t>E1</w:t>
      </w:r>
      <w:r>
        <w:rPr>
          <w:b/>
          <w:sz w:val="28"/>
        </w:rPr>
        <w:tab/>
        <w:t>RELATED</w:t>
      </w:r>
      <w:r>
        <w:rPr>
          <w:b/>
          <w:spacing w:val="-5"/>
          <w:sz w:val="28"/>
        </w:rPr>
        <w:t xml:space="preserve"> </w:t>
      </w:r>
      <w:r>
        <w:rPr>
          <w:b/>
          <w:sz w:val="28"/>
        </w:rPr>
        <w:t>PARTY</w:t>
      </w:r>
      <w:r>
        <w:rPr>
          <w:b/>
          <w:spacing w:val="-8"/>
          <w:sz w:val="28"/>
        </w:rPr>
        <w:t xml:space="preserve"> </w:t>
      </w:r>
      <w:r>
        <w:rPr>
          <w:b/>
          <w:spacing w:val="-2"/>
          <w:sz w:val="28"/>
        </w:rPr>
        <w:t>TRANSACTIONS</w:t>
      </w:r>
    </w:p>
    <w:p w14:paraId="6440BC46" w14:textId="77777777" w:rsidR="00AC6F3C" w:rsidRDefault="00570E88">
      <w:pPr>
        <w:spacing w:before="240"/>
        <w:ind w:left="979" w:right="468"/>
        <w:rPr>
          <w:sz w:val="18"/>
        </w:rPr>
      </w:pPr>
      <w:r>
        <w:rPr>
          <w:sz w:val="18"/>
        </w:rPr>
        <w:t>The</w:t>
      </w:r>
      <w:r>
        <w:rPr>
          <w:spacing w:val="-1"/>
          <w:sz w:val="18"/>
        </w:rPr>
        <w:t xml:space="preserve"> </w:t>
      </w:r>
      <w:r>
        <w:rPr>
          <w:sz w:val="18"/>
        </w:rPr>
        <w:t>following</w:t>
      </w:r>
      <w:r>
        <w:rPr>
          <w:spacing w:val="-4"/>
          <w:sz w:val="18"/>
        </w:rPr>
        <w:t xml:space="preserve"> </w:t>
      </w:r>
      <w:r>
        <w:rPr>
          <w:sz w:val="18"/>
        </w:rPr>
        <w:t>significant</w:t>
      </w:r>
      <w:r>
        <w:rPr>
          <w:spacing w:val="-2"/>
          <w:sz w:val="18"/>
        </w:rPr>
        <w:t xml:space="preserve"> </w:t>
      </w:r>
      <w:r>
        <w:rPr>
          <w:sz w:val="18"/>
        </w:rPr>
        <w:t>transactions</w:t>
      </w:r>
      <w:r>
        <w:rPr>
          <w:spacing w:val="-3"/>
          <w:sz w:val="18"/>
        </w:rPr>
        <w:t xml:space="preserve"> </w:t>
      </w:r>
      <w:r>
        <w:rPr>
          <w:sz w:val="18"/>
        </w:rPr>
        <w:t>took</w:t>
      </w:r>
      <w:r>
        <w:rPr>
          <w:spacing w:val="-1"/>
          <w:sz w:val="18"/>
        </w:rPr>
        <w:t xml:space="preserve"> </w:t>
      </w:r>
      <w:r>
        <w:rPr>
          <w:sz w:val="18"/>
        </w:rPr>
        <w:t>place</w:t>
      </w:r>
      <w:r>
        <w:rPr>
          <w:spacing w:val="-1"/>
          <w:sz w:val="18"/>
        </w:rPr>
        <w:t xml:space="preserve"> </w:t>
      </w:r>
      <w:r>
        <w:rPr>
          <w:sz w:val="18"/>
        </w:rPr>
        <w:t>between</w:t>
      </w:r>
      <w:r>
        <w:rPr>
          <w:spacing w:val="-1"/>
          <w:sz w:val="18"/>
        </w:rPr>
        <w:t xml:space="preserve"> </w:t>
      </w:r>
      <w:r>
        <w:rPr>
          <w:sz w:val="18"/>
        </w:rPr>
        <w:t>the</w:t>
      </w:r>
      <w:r>
        <w:rPr>
          <w:spacing w:val="-1"/>
          <w:sz w:val="18"/>
        </w:rPr>
        <w:t xml:space="preserve"> </w:t>
      </w:r>
      <w:r>
        <w:rPr>
          <w:sz w:val="18"/>
        </w:rPr>
        <w:t>Fund</w:t>
      </w:r>
      <w:r>
        <w:rPr>
          <w:spacing w:val="-4"/>
          <w:sz w:val="18"/>
        </w:rPr>
        <w:t xml:space="preserve"> </w:t>
      </w:r>
      <w:r>
        <w:rPr>
          <w:sz w:val="18"/>
        </w:rPr>
        <w:t>and</w:t>
      </w:r>
      <w:r>
        <w:rPr>
          <w:spacing w:val="-1"/>
          <w:sz w:val="18"/>
        </w:rPr>
        <w:t xml:space="preserve"> </w:t>
      </w:r>
      <w:r>
        <w:rPr>
          <w:sz w:val="18"/>
        </w:rPr>
        <w:t>its</w:t>
      </w:r>
      <w:r>
        <w:rPr>
          <w:spacing w:val="-1"/>
          <w:sz w:val="18"/>
        </w:rPr>
        <w:t xml:space="preserve"> </w:t>
      </w:r>
      <w:r>
        <w:rPr>
          <w:sz w:val="18"/>
        </w:rPr>
        <w:t>related</w:t>
      </w:r>
      <w:r>
        <w:rPr>
          <w:spacing w:val="-4"/>
          <w:sz w:val="18"/>
        </w:rPr>
        <w:t xml:space="preserve"> </w:t>
      </w:r>
      <w:r>
        <w:rPr>
          <w:sz w:val="18"/>
        </w:rPr>
        <w:t>parties</w:t>
      </w:r>
      <w:r>
        <w:rPr>
          <w:spacing w:val="-3"/>
          <w:sz w:val="18"/>
        </w:rPr>
        <w:t xml:space="preserve"> </w:t>
      </w:r>
      <w:r>
        <w:rPr>
          <w:sz w:val="18"/>
        </w:rPr>
        <w:t>during</w:t>
      </w:r>
      <w:r>
        <w:rPr>
          <w:spacing w:val="-4"/>
          <w:sz w:val="18"/>
        </w:rPr>
        <w:t xml:space="preserve"> </w:t>
      </w:r>
      <w:r>
        <w:rPr>
          <w:sz w:val="18"/>
        </w:rPr>
        <w:t>the</w:t>
      </w:r>
      <w:r>
        <w:rPr>
          <w:spacing w:val="-4"/>
          <w:sz w:val="18"/>
        </w:rPr>
        <w:t xml:space="preserve"> </w:t>
      </w:r>
      <w:r>
        <w:rPr>
          <w:sz w:val="18"/>
        </w:rPr>
        <w:t>financial period on commercial terms agreed by the parties concerned.</w:t>
      </w:r>
    </w:p>
    <w:p w14:paraId="2283A405" w14:textId="77777777" w:rsidR="00AC6F3C" w:rsidRDefault="00AC6F3C">
      <w:pPr>
        <w:pStyle w:val="BodyText"/>
      </w:pPr>
    </w:p>
    <w:tbl>
      <w:tblPr>
        <w:tblW w:w="0" w:type="auto"/>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09"/>
        <w:gridCol w:w="1162"/>
        <w:gridCol w:w="1144"/>
      </w:tblGrid>
      <w:tr w:rsidR="00AC6F3C" w14:paraId="492775FA" w14:textId="77777777">
        <w:trPr>
          <w:trHeight w:val="531"/>
        </w:trPr>
        <w:tc>
          <w:tcPr>
            <w:tcW w:w="8915" w:type="dxa"/>
            <w:gridSpan w:val="3"/>
            <w:shd w:val="clear" w:color="auto" w:fill="BEBEBE"/>
          </w:tcPr>
          <w:p w14:paraId="2F381E72" w14:textId="77777777" w:rsidR="00AC6F3C" w:rsidRDefault="00570E88">
            <w:pPr>
              <w:pStyle w:val="TableParagraph"/>
              <w:tabs>
                <w:tab w:val="left" w:pos="1150"/>
              </w:tabs>
              <w:spacing w:before="20"/>
              <w:ind w:right="13"/>
              <w:jc w:val="right"/>
              <w:rPr>
                <w:b/>
                <w:sz w:val="18"/>
              </w:rPr>
            </w:pPr>
            <w:r>
              <w:rPr>
                <w:b/>
                <w:spacing w:val="-4"/>
                <w:sz w:val="18"/>
              </w:rPr>
              <w:t>2023</w:t>
            </w:r>
            <w:r>
              <w:rPr>
                <w:b/>
                <w:sz w:val="18"/>
              </w:rPr>
              <w:tab/>
            </w:r>
            <w:r>
              <w:rPr>
                <w:b/>
                <w:spacing w:val="-4"/>
                <w:sz w:val="18"/>
              </w:rPr>
              <w:t>2022</w:t>
            </w:r>
          </w:p>
          <w:p w14:paraId="16F4D1F6" w14:textId="77777777" w:rsidR="00AC6F3C" w:rsidRDefault="00570E88">
            <w:pPr>
              <w:pStyle w:val="TableParagraph"/>
              <w:tabs>
                <w:tab w:val="left" w:pos="1150"/>
              </w:tabs>
              <w:spacing w:before="66"/>
              <w:ind w:right="13"/>
              <w:jc w:val="right"/>
              <w:rPr>
                <w:b/>
                <w:sz w:val="18"/>
              </w:rPr>
            </w:pPr>
            <w:r>
              <w:rPr>
                <w:b/>
                <w:spacing w:val="-2"/>
                <w:sz w:val="18"/>
              </w:rPr>
              <w:t>$'000</w:t>
            </w:r>
            <w:r>
              <w:rPr>
                <w:b/>
                <w:sz w:val="18"/>
              </w:rPr>
              <w:tab/>
            </w:r>
            <w:r>
              <w:rPr>
                <w:b/>
                <w:spacing w:val="-2"/>
                <w:sz w:val="18"/>
              </w:rPr>
              <w:t>$'000</w:t>
            </w:r>
          </w:p>
        </w:tc>
      </w:tr>
      <w:tr w:rsidR="00AC6F3C" w14:paraId="44981B12" w14:textId="77777777">
        <w:trPr>
          <w:trHeight w:val="572"/>
        </w:trPr>
        <w:tc>
          <w:tcPr>
            <w:tcW w:w="6609" w:type="dxa"/>
            <w:tcBorders>
              <w:bottom w:val="nil"/>
              <w:right w:val="nil"/>
            </w:tcBorders>
          </w:tcPr>
          <w:p w14:paraId="09E5C6B9" w14:textId="77777777" w:rsidR="00AC6F3C" w:rsidRDefault="00AC6F3C">
            <w:pPr>
              <w:pStyle w:val="TableParagraph"/>
              <w:spacing w:before="7"/>
              <w:rPr>
                <w:sz w:val="28"/>
              </w:rPr>
            </w:pPr>
          </w:p>
          <w:p w14:paraId="4F0564F3" w14:textId="77777777" w:rsidR="00AC6F3C" w:rsidRDefault="00570E88">
            <w:pPr>
              <w:pStyle w:val="TableParagraph"/>
              <w:ind w:left="28"/>
              <w:rPr>
                <w:sz w:val="18"/>
              </w:rPr>
            </w:pPr>
            <w:r>
              <w:rPr>
                <w:spacing w:val="-4"/>
                <w:sz w:val="18"/>
              </w:rPr>
              <w:t>Management</w:t>
            </w:r>
            <w:r>
              <w:rPr>
                <w:spacing w:val="-8"/>
                <w:sz w:val="18"/>
              </w:rPr>
              <w:t xml:space="preserve"> </w:t>
            </w:r>
            <w:r>
              <w:rPr>
                <w:spacing w:val="-4"/>
                <w:sz w:val="18"/>
              </w:rPr>
              <w:t>fees</w:t>
            </w:r>
            <w:r>
              <w:rPr>
                <w:spacing w:val="1"/>
                <w:sz w:val="18"/>
              </w:rPr>
              <w:t xml:space="preserve"> </w:t>
            </w:r>
            <w:r>
              <w:rPr>
                <w:spacing w:val="-4"/>
                <w:sz w:val="18"/>
              </w:rPr>
              <w:t>paid</w:t>
            </w:r>
            <w:r>
              <w:rPr>
                <w:spacing w:val="-8"/>
                <w:sz w:val="18"/>
              </w:rPr>
              <w:t xml:space="preserve"> </w:t>
            </w:r>
            <w:r>
              <w:rPr>
                <w:spacing w:val="-4"/>
                <w:sz w:val="18"/>
              </w:rPr>
              <w:t>to</w:t>
            </w:r>
            <w:r>
              <w:rPr>
                <w:spacing w:val="-9"/>
                <w:sz w:val="18"/>
              </w:rPr>
              <w:t xml:space="preserve"> </w:t>
            </w:r>
            <w:r>
              <w:rPr>
                <w:spacing w:val="-4"/>
                <w:sz w:val="18"/>
              </w:rPr>
              <w:t>Queensland</w:t>
            </w:r>
            <w:r>
              <w:rPr>
                <w:spacing w:val="-8"/>
                <w:sz w:val="18"/>
              </w:rPr>
              <w:t xml:space="preserve"> </w:t>
            </w:r>
            <w:r>
              <w:rPr>
                <w:spacing w:val="-4"/>
                <w:sz w:val="18"/>
              </w:rPr>
              <w:t>Law</w:t>
            </w:r>
            <w:r>
              <w:rPr>
                <w:spacing w:val="-3"/>
                <w:sz w:val="18"/>
              </w:rPr>
              <w:t xml:space="preserve"> </w:t>
            </w:r>
            <w:r>
              <w:rPr>
                <w:spacing w:val="-4"/>
                <w:sz w:val="18"/>
              </w:rPr>
              <w:t>Society</w:t>
            </w:r>
          </w:p>
        </w:tc>
        <w:tc>
          <w:tcPr>
            <w:tcW w:w="1162" w:type="dxa"/>
            <w:tcBorders>
              <w:left w:val="nil"/>
              <w:bottom w:val="nil"/>
              <w:right w:val="nil"/>
            </w:tcBorders>
            <w:shd w:val="clear" w:color="auto" w:fill="F1F1F1"/>
          </w:tcPr>
          <w:p w14:paraId="1CFE8B88" w14:textId="77777777" w:rsidR="00AC6F3C" w:rsidRDefault="00AC6F3C">
            <w:pPr>
              <w:pStyle w:val="TableParagraph"/>
              <w:spacing w:before="7"/>
              <w:rPr>
                <w:sz w:val="28"/>
              </w:rPr>
            </w:pPr>
          </w:p>
          <w:p w14:paraId="6C3B9E4B" w14:textId="77777777" w:rsidR="00AC6F3C" w:rsidRDefault="00570E88">
            <w:pPr>
              <w:pStyle w:val="TableParagraph"/>
              <w:ind w:right="27"/>
              <w:jc w:val="right"/>
              <w:rPr>
                <w:sz w:val="18"/>
              </w:rPr>
            </w:pPr>
            <w:r>
              <w:rPr>
                <w:spacing w:val="-5"/>
                <w:sz w:val="18"/>
              </w:rPr>
              <w:t>46</w:t>
            </w:r>
          </w:p>
        </w:tc>
        <w:tc>
          <w:tcPr>
            <w:tcW w:w="1144" w:type="dxa"/>
            <w:tcBorders>
              <w:left w:val="nil"/>
              <w:bottom w:val="nil"/>
            </w:tcBorders>
          </w:tcPr>
          <w:p w14:paraId="4634A4CC" w14:textId="77777777" w:rsidR="00AC6F3C" w:rsidRDefault="00AC6F3C">
            <w:pPr>
              <w:pStyle w:val="TableParagraph"/>
              <w:spacing w:before="7"/>
              <w:rPr>
                <w:sz w:val="28"/>
              </w:rPr>
            </w:pPr>
          </w:p>
          <w:p w14:paraId="6CA30232" w14:textId="77777777" w:rsidR="00AC6F3C" w:rsidRDefault="00570E88">
            <w:pPr>
              <w:pStyle w:val="TableParagraph"/>
              <w:ind w:right="13"/>
              <w:jc w:val="right"/>
              <w:rPr>
                <w:sz w:val="18"/>
              </w:rPr>
            </w:pPr>
            <w:r>
              <w:rPr>
                <w:spacing w:val="-5"/>
                <w:sz w:val="18"/>
              </w:rPr>
              <w:t>45</w:t>
            </w:r>
          </w:p>
        </w:tc>
      </w:tr>
      <w:tr w:rsidR="00AC6F3C" w14:paraId="4A5F342A" w14:textId="77777777">
        <w:trPr>
          <w:trHeight w:val="232"/>
        </w:trPr>
        <w:tc>
          <w:tcPr>
            <w:tcW w:w="6609" w:type="dxa"/>
            <w:tcBorders>
              <w:top w:val="nil"/>
              <w:right w:val="nil"/>
            </w:tcBorders>
          </w:tcPr>
          <w:p w14:paraId="1A535264" w14:textId="77777777" w:rsidR="00AC6F3C" w:rsidRDefault="00570E88">
            <w:pPr>
              <w:pStyle w:val="TableParagraph"/>
              <w:spacing w:before="29" w:line="183" w:lineRule="exact"/>
              <w:ind w:left="28"/>
              <w:rPr>
                <w:sz w:val="18"/>
              </w:rPr>
            </w:pPr>
            <w:r>
              <w:rPr>
                <w:spacing w:val="-4"/>
                <w:sz w:val="18"/>
              </w:rPr>
              <w:t>Grants</w:t>
            </w:r>
            <w:r>
              <w:rPr>
                <w:spacing w:val="4"/>
                <w:sz w:val="18"/>
              </w:rPr>
              <w:t xml:space="preserve"> </w:t>
            </w:r>
            <w:r>
              <w:rPr>
                <w:spacing w:val="-4"/>
                <w:sz w:val="18"/>
              </w:rPr>
              <w:t>paid</w:t>
            </w:r>
            <w:r>
              <w:rPr>
                <w:spacing w:val="-7"/>
                <w:sz w:val="18"/>
              </w:rPr>
              <w:t xml:space="preserve"> </w:t>
            </w:r>
            <w:r>
              <w:rPr>
                <w:spacing w:val="-4"/>
                <w:sz w:val="18"/>
              </w:rPr>
              <w:t>to</w:t>
            </w:r>
            <w:r>
              <w:rPr>
                <w:spacing w:val="-6"/>
                <w:sz w:val="18"/>
              </w:rPr>
              <w:t xml:space="preserve"> </w:t>
            </w:r>
            <w:r>
              <w:rPr>
                <w:spacing w:val="-4"/>
                <w:sz w:val="18"/>
              </w:rPr>
              <w:t>Queensland</w:t>
            </w:r>
            <w:r>
              <w:rPr>
                <w:spacing w:val="-6"/>
                <w:sz w:val="18"/>
              </w:rPr>
              <w:t xml:space="preserve"> </w:t>
            </w:r>
            <w:r>
              <w:rPr>
                <w:spacing w:val="-4"/>
                <w:sz w:val="18"/>
              </w:rPr>
              <w:t>Law</w:t>
            </w:r>
            <w:r>
              <w:rPr>
                <w:sz w:val="18"/>
              </w:rPr>
              <w:t xml:space="preserve"> </w:t>
            </w:r>
            <w:r>
              <w:rPr>
                <w:spacing w:val="-4"/>
                <w:sz w:val="18"/>
              </w:rPr>
              <w:t>Society</w:t>
            </w:r>
          </w:p>
        </w:tc>
        <w:tc>
          <w:tcPr>
            <w:tcW w:w="1162" w:type="dxa"/>
            <w:tcBorders>
              <w:top w:val="nil"/>
              <w:left w:val="nil"/>
              <w:right w:val="nil"/>
            </w:tcBorders>
            <w:shd w:val="clear" w:color="auto" w:fill="F1F1F1"/>
          </w:tcPr>
          <w:p w14:paraId="098C796F" w14:textId="77777777" w:rsidR="00AC6F3C" w:rsidRDefault="00570E88">
            <w:pPr>
              <w:pStyle w:val="TableParagraph"/>
              <w:spacing w:before="29" w:line="183" w:lineRule="exact"/>
              <w:ind w:right="27"/>
              <w:jc w:val="right"/>
              <w:rPr>
                <w:sz w:val="18"/>
              </w:rPr>
            </w:pPr>
            <w:r>
              <w:rPr>
                <w:spacing w:val="-5"/>
                <w:sz w:val="18"/>
              </w:rPr>
              <w:t>992</w:t>
            </w:r>
          </w:p>
        </w:tc>
        <w:tc>
          <w:tcPr>
            <w:tcW w:w="1144" w:type="dxa"/>
            <w:tcBorders>
              <w:top w:val="nil"/>
              <w:left w:val="nil"/>
            </w:tcBorders>
          </w:tcPr>
          <w:p w14:paraId="6D1B4627" w14:textId="77777777" w:rsidR="00AC6F3C" w:rsidRDefault="00570E88">
            <w:pPr>
              <w:pStyle w:val="TableParagraph"/>
              <w:spacing w:before="29" w:line="183" w:lineRule="exact"/>
              <w:ind w:right="13"/>
              <w:jc w:val="right"/>
              <w:rPr>
                <w:sz w:val="18"/>
              </w:rPr>
            </w:pPr>
            <w:r>
              <w:rPr>
                <w:spacing w:val="-5"/>
                <w:sz w:val="18"/>
              </w:rPr>
              <w:t>992</w:t>
            </w:r>
          </w:p>
        </w:tc>
      </w:tr>
      <w:tr w:rsidR="00AC6F3C" w14:paraId="46208C97" w14:textId="77777777">
        <w:trPr>
          <w:trHeight w:val="258"/>
        </w:trPr>
        <w:tc>
          <w:tcPr>
            <w:tcW w:w="6609" w:type="dxa"/>
            <w:tcBorders>
              <w:right w:val="nil"/>
            </w:tcBorders>
            <w:shd w:val="clear" w:color="auto" w:fill="BEBEBE"/>
          </w:tcPr>
          <w:p w14:paraId="4160FB9C" w14:textId="77777777" w:rsidR="00AC6F3C" w:rsidRDefault="00570E88">
            <w:pPr>
              <w:pStyle w:val="TableParagraph"/>
              <w:spacing w:before="43" w:line="195" w:lineRule="exact"/>
              <w:ind w:left="28"/>
              <w:rPr>
                <w:b/>
                <w:sz w:val="18"/>
              </w:rPr>
            </w:pPr>
            <w:r>
              <w:rPr>
                <w:b/>
                <w:sz w:val="18"/>
              </w:rPr>
              <w:t>Total</w:t>
            </w:r>
            <w:r>
              <w:rPr>
                <w:b/>
                <w:spacing w:val="-11"/>
                <w:sz w:val="18"/>
              </w:rPr>
              <w:t xml:space="preserve"> </w:t>
            </w:r>
            <w:r>
              <w:rPr>
                <w:b/>
                <w:sz w:val="18"/>
              </w:rPr>
              <w:t>related</w:t>
            </w:r>
            <w:r>
              <w:rPr>
                <w:b/>
                <w:spacing w:val="-7"/>
                <w:sz w:val="18"/>
              </w:rPr>
              <w:t xml:space="preserve"> </w:t>
            </w:r>
            <w:r>
              <w:rPr>
                <w:b/>
                <w:sz w:val="18"/>
              </w:rPr>
              <w:t>party</w:t>
            </w:r>
            <w:r>
              <w:rPr>
                <w:b/>
                <w:spacing w:val="-19"/>
                <w:sz w:val="18"/>
              </w:rPr>
              <w:t xml:space="preserve"> </w:t>
            </w:r>
            <w:r>
              <w:rPr>
                <w:b/>
                <w:spacing w:val="-2"/>
                <w:sz w:val="18"/>
              </w:rPr>
              <w:t>transactions</w:t>
            </w:r>
          </w:p>
        </w:tc>
        <w:tc>
          <w:tcPr>
            <w:tcW w:w="1162" w:type="dxa"/>
            <w:tcBorders>
              <w:left w:val="nil"/>
              <w:right w:val="nil"/>
            </w:tcBorders>
            <w:shd w:val="clear" w:color="auto" w:fill="BEBEBE"/>
          </w:tcPr>
          <w:p w14:paraId="40A16D08" w14:textId="77777777" w:rsidR="00AC6F3C" w:rsidRDefault="00570E88">
            <w:pPr>
              <w:pStyle w:val="TableParagraph"/>
              <w:spacing w:before="43" w:line="195" w:lineRule="exact"/>
              <w:ind w:right="27"/>
              <w:jc w:val="right"/>
              <w:rPr>
                <w:b/>
                <w:sz w:val="18"/>
              </w:rPr>
            </w:pPr>
            <w:r>
              <w:rPr>
                <w:b/>
                <w:spacing w:val="-2"/>
                <w:sz w:val="18"/>
              </w:rPr>
              <w:t>1,038</w:t>
            </w:r>
          </w:p>
        </w:tc>
        <w:tc>
          <w:tcPr>
            <w:tcW w:w="1144" w:type="dxa"/>
            <w:tcBorders>
              <w:left w:val="nil"/>
            </w:tcBorders>
            <w:shd w:val="clear" w:color="auto" w:fill="BEBEBE"/>
          </w:tcPr>
          <w:p w14:paraId="0BE0B230" w14:textId="77777777" w:rsidR="00AC6F3C" w:rsidRDefault="00570E88">
            <w:pPr>
              <w:pStyle w:val="TableParagraph"/>
              <w:spacing w:before="43" w:line="195" w:lineRule="exact"/>
              <w:ind w:right="13"/>
              <w:jc w:val="right"/>
              <w:rPr>
                <w:b/>
                <w:sz w:val="18"/>
              </w:rPr>
            </w:pPr>
            <w:r>
              <w:rPr>
                <w:b/>
                <w:spacing w:val="-2"/>
                <w:sz w:val="18"/>
              </w:rPr>
              <w:t>1,037</w:t>
            </w:r>
          </w:p>
        </w:tc>
      </w:tr>
    </w:tbl>
    <w:p w14:paraId="69BE5CB0" w14:textId="77777777" w:rsidR="00AC6F3C" w:rsidRDefault="00AC6F3C">
      <w:pPr>
        <w:pStyle w:val="BodyText"/>
      </w:pPr>
    </w:p>
    <w:p w14:paraId="46F6B1FD" w14:textId="77777777" w:rsidR="00AC6F3C" w:rsidRDefault="00570E88">
      <w:pPr>
        <w:tabs>
          <w:tab w:val="left" w:pos="1687"/>
        </w:tabs>
        <w:spacing w:before="117"/>
        <w:ind w:left="1687" w:right="1622" w:hanging="708"/>
        <w:rPr>
          <w:b/>
          <w:sz w:val="28"/>
        </w:rPr>
      </w:pPr>
      <w:r>
        <w:rPr>
          <w:b/>
          <w:spacing w:val="-6"/>
          <w:sz w:val="28"/>
        </w:rPr>
        <w:t>E2</w:t>
      </w:r>
      <w:r>
        <w:rPr>
          <w:b/>
          <w:sz w:val="28"/>
        </w:rPr>
        <w:tab/>
        <w:t>FIRST YEAR APPLICATION OF NEW ACCOUNTING STANDARDS</w:t>
      </w:r>
      <w:r>
        <w:rPr>
          <w:b/>
          <w:spacing w:val="-11"/>
          <w:sz w:val="28"/>
        </w:rPr>
        <w:t xml:space="preserve"> </w:t>
      </w:r>
      <w:r>
        <w:rPr>
          <w:b/>
          <w:sz w:val="28"/>
        </w:rPr>
        <w:t>OR</w:t>
      </w:r>
      <w:r>
        <w:rPr>
          <w:b/>
          <w:spacing w:val="-11"/>
          <w:sz w:val="28"/>
        </w:rPr>
        <w:t xml:space="preserve"> </w:t>
      </w:r>
      <w:r>
        <w:rPr>
          <w:b/>
          <w:sz w:val="28"/>
        </w:rPr>
        <w:t>CHANGE</w:t>
      </w:r>
      <w:r>
        <w:rPr>
          <w:b/>
          <w:spacing w:val="-10"/>
          <w:sz w:val="28"/>
        </w:rPr>
        <w:t xml:space="preserve"> </w:t>
      </w:r>
      <w:r>
        <w:rPr>
          <w:b/>
          <w:sz w:val="28"/>
        </w:rPr>
        <w:t>IN</w:t>
      </w:r>
      <w:r>
        <w:rPr>
          <w:b/>
          <w:spacing w:val="-20"/>
          <w:sz w:val="28"/>
        </w:rPr>
        <w:t xml:space="preserve"> </w:t>
      </w:r>
      <w:r>
        <w:rPr>
          <w:b/>
          <w:sz w:val="28"/>
        </w:rPr>
        <w:t>ACCOUNTING</w:t>
      </w:r>
      <w:r>
        <w:rPr>
          <w:b/>
          <w:spacing w:val="-10"/>
          <w:sz w:val="28"/>
        </w:rPr>
        <w:t xml:space="preserve"> </w:t>
      </w:r>
      <w:r>
        <w:rPr>
          <w:b/>
          <w:sz w:val="28"/>
        </w:rPr>
        <w:t>POLICY</w:t>
      </w:r>
    </w:p>
    <w:p w14:paraId="01171FE4" w14:textId="77777777" w:rsidR="00AC6F3C" w:rsidRDefault="00570E88">
      <w:pPr>
        <w:spacing w:before="208"/>
        <w:ind w:left="979"/>
        <w:rPr>
          <w:b/>
          <w:sz w:val="18"/>
        </w:rPr>
      </w:pPr>
      <w:r>
        <w:rPr>
          <w:b/>
          <w:color w:val="231F20"/>
          <w:sz w:val="18"/>
        </w:rPr>
        <w:t>Changes</w:t>
      </w:r>
      <w:r>
        <w:rPr>
          <w:b/>
          <w:color w:val="231F20"/>
          <w:spacing w:val="-4"/>
          <w:sz w:val="18"/>
        </w:rPr>
        <w:t xml:space="preserve"> </w:t>
      </w:r>
      <w:r>
        <w:rPr>
          <w:b/>
          <w:color w:val="231F20"/>
          <w:sz w:val="18"/>
        </w:rPr>
        <w:t>in</w:t>
      </w:r>
      <w:r>
        <w:rPr>
          <w:b/>
          <w:color w:val="231F20"/>
          <w:spacing w:val="-2"/>
          <w:sz w:val="18"/>
        </w:rPr>
        <w:t xml:space="preserve"> </w:t>
      </w:r>
      <w:r>
        <w:rPr>
          <w:b/>
          <w:color w:val="231F20"/>
          <w:sz w:val="18"/>
        </w:rPr>
        <w:t>accounting</w:t>
      </w:r>
      <w:r>
        <w:rPr>
          <w:b/>
          <w:color w:val="231F20"/>
          <w:spacing w:val="-1"/>
          <w:sz w:val="18"/>
        </w:rPr>
        <w:t xml:space="preserve"> </w:t>
      </w:r>
      <w:r>
        <w:rPr>
          <w:b/>
          <w:color w:val="231F20"/>
          <w:spacing w:val="-2"/>
          <w:sz w:val="18"/>
        </w:rPr>
        <w:t>policy</w:t>
      </w:r>
    </w:p>
    <w:p w14:paraId="6F2F0D4C" w14:textId="77777777" w:rsidR="00AC6F3C" w:rsidRDefault="00AC6F3C">
      <w:pPr>
        <w:pStyle w:val="BodyText"/>
        <w:spacing w:before="10"/>
        <w:rPr>
          <w:b/>
          <w:sz w:val="17"/>
        </w:rPr>
      </w:pPr>
    </w:p>
    <w:p w14:paraId="7B1E0189" w14:textId="77777777" w:rsidR="00AC6F3C" w:rsidRDefault="00570E88">
      <w:pPr>
        <w:ind w:left="979"/>
        <w:rPr>
          <w:sz w:val="18"/>
        </w:rPr>
      </w:pPr>
      <w:r>
        <w:rPr>
          <w:color w:val="231F20"/>
          <w:sz w:val="18"/>
        </w:rPr>
        <w:t>The</w:t>
      </w:r>
      <w:r>
        <w:rPr>
          <w:color w:val="231F20"/>
          <w:spacing w:val="-2"/>
          <w:sz w:val="18"/>
        </w:rPr>
        <w:t xml:space="preserve"> </w:t>
      </w:r>
      <w:r>
        <w:rPr>
          <w:color w:val="231F20"/>
          <w:sz w:val="18"/>
        </w:rPr>
        <w:t>Fund</w:t>
      </w:r>
      <w:r>
        <w:rPr>
          <w:color w:val="231F20"/>
          <w:spacing w:val="-2"/>
          <w:sz w:val="18"/>
        </w:rPr>
        <w:t xml:space="preserve"> </w:t>
      </w:r>
      <w:r>
        <w:rPr>
          <w:color w:val="231F20"/>
          <w:sz w:val="18"/>
        </w:rPr>
        <w:t>did</w:t>
      </w:r>
      <w:r>
        <w:rPr>
          <w:color w:val="231F20"/>
          <w:spacing w:val="-2"/>
          <w:sz w:val="18"/>
        </w:rPr>
        <w:t xml:space="preserve"> </w:t>
      </w:r>
      <w:r>
        <w:rPr>
          <w:color w:val="231F20"/>
          <w:sz w:val="18"/>
        </w:rPr>
        <w:t>not</w:t>
      </w:r>
      <w:r>
        <w:rPr>
          <w:color w:val="231F20"/>
          <w:spacing w:val="-4"/>
          <w:sz w:val="18"/>
        </w:rPr>
        <w:t xml:space="preserve"> </w:t>
      </w:r>
      <w:r>
        <w:rPr>
          <w:color w:val="231F20"/>
          <w:sz w:val="18"/>
        </w:rPr>
        <w:t>voluntarily</w:t>
      </w:r>
      <w:r>
        <w:rPr>
          <w:color w:val="231F20"/>
          <w:spacing w:val="-4"/>
          <w:sz w:val="18"/>
        </w:rPr>
        <w:t xml:space="preserve"> </w:t>
      </w:r>
      <w:r>
        <w:rPr>
          <w:color w:val="231F20"/>
          <w:sz w:val="18"/>
        </w:rPr>
        <w:t>change</w:t>
      </w:r>
      <w:r>
        <w:rPr>
          <w:color w:val="231F20"/>
          <w:spacing w:val="-4"/>
          <w:sz w:val="18"/>
        </w:rPr>
        <w:t xml:space="preserve"> </w:t>
      </w:r>
      <w:r>
        <w:rPr>
          <w:color w:val="231F20"/>
          <w:sz w:val="18"/>
        </w:rPr>
        <w:t>any</w:t>
      </w:r>
      <w:r>
        <w:rPr>
          <w:color w:val="231F20"/>
          <w:spacing w:val="-2"/>
          <w:sz w:val="18"/>
        </w:rPr>
        <w:t xml:space="preserve"> </w:t>
      </w:r>
      <w:r>
        <w:rPr>
          <w:color w:val="231F20"/>
          <w:sz w:val="18"/>
        </w:rPr>
        <w:t>of</w:t>
      </w:r>
      <w:r>
        <w:rPr>
          <w:color w:val="231F20"/>
          <w:spacing w:val="-5"/>
          <w:sz w:val="18"/>
        </w:rPr>
        <w:t xml:space="preserve"> </w:t>
      </w:r>
      <w:r>
        <w:rPr>
          <w:color w:val="231F20"/>
          <w:sz w:val="18"/>
        </w:rPr>
        <w:t>its</w:t>
      </w:r>
      <w:r>
        <w:rPr>
          <w:color w:val="231F20"/>
          <w:spacing w:val="-3"/>
          <w:sz w:val="18"/>
        </w:rPr>
        <w:t xml:space="preserve"> </w:t>
      </w:r>
      <w:r>
        <w:rPr>
          <w:color w:val="231F20"/>
          <w:sz w:val="18"/>
        </w:rPr>
        <w:t>accounting</w:t>
      </w:r>
      <w:r>
        <w:rPr>
          <w:color w:val="231F20"/>
          <w:spacing w:val="-2"/>
          <w:sz w:val="18"/>
        </w:rPr>
        <w:t xml:space="preserve"> </w:t>
      </w:r>
      <w:r>
        <w:rPr>
          <w:color w:val="231F20"/>
          <w:sz w:val="18"/>
        </w:rPr>
        <w:t>policies</w:t>
      </w:r>
      <w:r>
        <w:rPr>
          <w:color w:val="231F20"/>
          <w:spacing w:val="-4"/>
          <w:sz w:val="18"/>
        </w:rPr>
        <w:t xml:space="preserve"> </w:t>
      </w:r>
      <w:r>
        <w:rPr>
          <w:color w:val="231F20"/>
          <w:sz w:val="18"/>
        </w:rPr>
        <w:t>during</w:t>
      </w:r>
      <w:r>
        <w:rPr>
          <w:color w:val="231F20"/>
          <w:spacing w:val="-1"/>
          <w:sz w:val="18"/>
        </w:rPr>
        <w:t xml:space="preserve"> </w:t>
      </w:r>
      <w:r>
        <w:rPr>
          <w:color w:val="231F20"/>
          <w:sz w:val="18"/>
        </w:rPr>
        <w:t>2022-</w:t>
      </w:r>
      <w:r>
        <w:rPr>
          <w:color w:val="231F20"/>
          <w:spacing w:val="-5"/>
          <w:sz w:val="18"/>
        </w:rPr>
        <w:t>23.</w:t>
      </w:r>
    </w:p>
    <w:p w14:paraId="492DE3EC" w14:textId="77777777" w:rsidR="00AC6F3C" w:rsidRDefault="00AC6F3C">
      <w:pPr>
        <w:pStyle w:val="BodyText"/>
        <w:spacing w:before="1"/>
        <w:rPr>
          <w:sz w:val="18"/>
        </w:rPr>
      </w:pPr>
    </w:p>
    <w:p w14:paraId="008DB805" w14:textId="77777777" w:rsidR="00AC6F3C" w:rsidRDefault="00570E88">
      <w:pPr>
        <w:ind w:left="979"/>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4"/>
          <w:sz w:val="18"/>
        </w:rPr>
        <w:t xml:space="preserve"> </w:t>
      </w:r>
      <w:r>
        <w:rPr>
          <w:b/>
          <w:color w:val="231F20"/>
          <w:sz w:val="18"/>
        </w:rPr>
        <w:t>early</w:t>
      </w:r>
      <w:r>
        <w:rPr>
          <w:b/>
          <w:color w:val="231F20"/>
          <w:spacing w:val="-4"/>
          <w:sz w:val="18"/>
        </w:rPr>
        <w:t xml:space="preserve"> </w:t>
      </w:r>
      <w:r>
        <w:rPr>
          <w:b/>
          <w:color w:val="231F20"/>
          <w:spacing w:val="-2"/>
          <w:sz w:val="18"/>
        </w:rPr>
        <w:t>adopted</w:t>
      </w:r>
    </w:p>
    <w:p w14:paraId="57D93EC7" w14:textId="77777777" w:rsidR="00AC6F3C" w:rsidRDefault="00AC6F3C">
      <w:pPr>
        <w:pStyle w:val="BodyText"/>
        <w:spacing w:before="11"/>
        <w:rPr>
          <w:b/>
          <w:sz w:val="17"/>
        </w:rPr>
      </w:pPr>
    </w:p>
    <w:p w14:paraId="444A4384" w14:textId="77777777" w:rsidR="00AC6F3C" w:rsidRDefault="00570E88">
      <w:pPr>
        <w:ind w:left="979"/>
        <w:rPr>
          <w:sz w:val="18"/>
        </w:rPr>
      </w:pPr>
      <w:r>
        <w:rPr>
          <w:color w:val="231F20"/>
          <w:sz w:val="18"/>
        </w:rPr>
        <w:t>No</w:t>
      </w:r>
      <w:r>
        <w:rPr>
          <w:color w:val="231F20"/>
          <w:spacing w:val="-3"/>
          <w:sz w:val="18"/>
        </w:rPr>
        <w:t xml:space="preserve"> </w:t>
      </w:r>
      <w:r>
        <w:rPr>
          <w:color w:val="231F20"/>
          <w:sz w:val="18"/>
        </w:rPr>
        <w:t>Australian</w:t>
      </w:r>
      <w:r>
        <w:rPr>
          <w:color w:val="231F20"/>
          <w:spacing w:val="-3"/>
          <w:sz w:val="18"/>
        </w:rPr>
        <w:t xml:space="preserve"> </w:t>
      </w:r>
      <w:r>
        <w:rPr>
          <w:color w:val="231F20"/>
          <w:sz w:val="18"/>
        </w:rPr>
        <w:t>Accounting</w:t>
      </w:r>
      <w:r>
        <w:rPr>
          <w:color w:val="231F20"/>
          <w:spacing w:val="-3"/>
          <w:sz w:val="18"/>
        </w:rPr>
        <w:t xml:space="preserve"> </w:t>
      </w:r>
      <w:r>
        <w:rPr>
          <w:color w:val="231F20"/>
          <w:sz w:val="18"/>
        </w:rPr>
        <w:t>Standards</w:t>
      </w:r>
      <w:r>
        <w:rPr>
          <w:color w:val="231F20"/>
          <w:spacing w:val="-4"/>
          <w:sz w:val="18"/>
        </w:rPr>
        <w:t xml:space="preserve"> </w:t>
      </w:r>
      <w:r>
        <w:rPr>
          <w:color w:val="231F20"/>
          <w:sz w:val="18"/>
        </w:rPr>
        <w:t>have</w:t>
      </w:r>
      <w:r>
        <w:rPr>
          <w:color w:val="231F20"/>
          <w:spacing w:val="-3"/>
          <w:sz w:val="18"/>
        </w:rPr>
        <w:t xml:space="preserve"> </w:t>
      </w:r>
      <w:r>
        <w:rPr>
          <w:color w:val="231F20"/>
          <w:sz w:val="18"/>
        </w:rPr>
        <w:t>been</w:t>
      </w:r>
      <w:r>
        <w:rPr>
          <w:color w:val="231F20"/>
          <w:spacing w:val="-5"/>
          <w:sz w:val="18"/>
        </w:rPr>
        <w:t xml:space="preserve"> </w:t>
      </w:r>
      <w:r>
        <w:rPr>
          <w:color w:val="231F20"/>
          <w:sz w:val="18"/>
        </w:rPr>
        <w:t>early</w:t>
      </w:r>
      <w:r>
        <w:rPr>
          <w:color w:val="231F20"/>
          <w:spacing w:val="-3"/>
          <w:sz w:val="18"/>
        </w:rPr>
        <w:t xml:space="preserve"> </w:t>
      </w:r>
      <w:r>
        <w:rPr>
          <w:color w:val="231F20"/>
          <w:sz w:val="18"/>
        </w:rPr>
        <w:t>adopted</w:t>
      </w:r>
      <w:r>
        <w:rPr>
          <w:color w:val="231F20"/>
          <w:spacing w:val="-3"/>
          <w:sz w:val="18"/>
        </w:rPr>
        <w:t xml:space="preserve"> </w:t>
      </w:r>
      <w:r>
        <w:rPr>
          <w:color w:val="231F20"/>
          <w:sz w:val="18"/>
        </w:rPr>
        <w:t>for</w:t>
      </w:r>
      <w:r>
        <w:rPr>
          <w:color w:val="231F20"/>
          <w:spacing w:val="-3"/>
          <w:sz w:val="18"/>
        </w:rPr>
        <w:t xml:space="preserve"> </w:t>
      </w:r>
      <w:r>
        <w:rPr>
          <w:color w:val="231F20"/>
          <w:sz w:val="18"/>
        </w:rPr>
        <w:t>2022-</w:t>
      </w:r>
      <w:r>
        <w:rPr>
          <w:color w:val="231F20"/>
          <w:spacing w:val="-5"/>
          <w:sz w:val="18"/>
        </w:rPr>
        <w:t>23.</w:t>
      </w:r>
    </w:p>
    <w:p w14:paraId="700D017B" w14:textId="77777777" w:rsidR="00AC6F3C" w:rsidRDefault="00AC6F3C">
      <w:pPr>
        <w:pStyle w:val="BodyText"/>
        <w:spacing w:before="1"/>
        <w:rPr>
          <w:sz w:val="18"/>
        </w:rPr>
      </w:pPr>
    </w:p>
    <w:p w14:paraId="3DFEC66B" w14:textId="77777777" w:rsidR="00AC6F3C" w:rsidRDefault="00570E88">
      <w:pPr>
        <w:ind w:left="980"/>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3"/>
          <w:sz w:val="18"/>
        </w:rPr>
        <w:t xml:space="preserve"> </w:t>
      </w:r>
      <w:r>
        <w:rPr>
          <w:b/>
          <w:color w:val="231F20"/>
          <w:sz w:val="18"/>
        </w:rPr>
        <w:t>applied</w:t>
      </w:r>
      <w:r>
        <w:rPr>
          <w:b/>
          <w:color w:val="231F20"/>
          <w:spacing w:val="-2"/>
          <w:sz w:val="18"/>
        </w:rPr>
        <w:t xml:space="preserve"> </w:t>
      </w:r>
      <w:r>
        <w:rPr>
          <w:b/>
          <w:color w:val="231F20"/>
          <w:sz w:val="18"/>
        </w:rPr>
        <w:t>for</w:t>
      </w:r>
      <w:r>
        <w:rPr>
          <w:b/>
          <w:color w:val="231F20"/>
          <w:spacing w:val="-3"/>
          <w:sz w:val="18"/>
        </w:rPr>
        <w:t xml:space="preserve"> </w:t>
      </w:r>
      <w:r>
        <w:rPr>
          <w:b/>
          <w:color w:val="231F20"/>
          <w:sz w:val="18"/>
        </w:rPr>
        <w:t>the</w:t>
      </w:r>
      <w:r>
        <w:rPr>
          <w:b/>
          <w:color w:val="231F20"/>
          <w:spacing w:val="-1"/>
          <w:sz w:val="18"/>
        </w:rPr>
        <w:t xml:space="preserve"> </w:t>
      </w:r>
      <w:r>
        <w:rPr>
          <w:b/>
          <w:color w:val="231F20"/>
          <w:sz w:val="18"/>
        </w:rPr>
        <w:t>first</w:t>
      </w:r>
      <w:r>
        <w:rPr>
          <w:b/>
          <w:color w:val="231F20"/>
          <w:spacing w:val="-2"/>
          <w:sz w:val="18"/>
        </w:rPr>
        <w:t xml:space="preserve"> </w:t>
      </w:r>
      <w:r>
        <w:rPr>
          <w:b/>
          <w:color w:val="231F20"/>
          <w:spacing w:val="-4"/>
          <w:sz w:val="18"/>
        </w:rPr>
        <w:t>time</w:t>
      </w:r>
    </w:p>
    <w:p w14:paraId="720EBEB9" w14:textId="77777777" w:rsidR="00AC6F3C" w:rsidRDefault="00AC6F3C">
      <w:pPr>
        <w:pStyle w:val="BodyText"/>
        <w:spacing w:before="10"/>
        <w:rPr>
          <w:b/>
          <w:sz w:val="17"/>
        </w:rPr>
      </w:pPr>
    </w:p>
    <w:p w14:paraId="3AB7C6D4" w14:textId="77777777" w:rsidR="00AC6F3C" w:rsidRDefault="00570E88">
      <w:pPr>
        <w:ind w:left="980" w:right="375"/>
        <w:rPr>
          <w:sz w:val="18"/>
        </w:rPr>
      </w:pPr>
      <w:r>
        <w:rPr>
          <w:color w:val="231F20"/>
          <w:sz w:val="18"/>
        </w:rPr>
        <w:t>No</w:t>
      </w:r>
      <w:r>
        <w:rPr>
          <w:color w:val="231F20"/>
          <w:spacing w:val="-1"/>
          <w:sz w:val="18"/>
        </w:rPr>
        <w:t xml:space="preserve"> </w:t>
      </w:r>
      <w:r>
        <w:rPr>
          <w:color w:val="231F20"/>
          <w:sz w:val="18"/>
        </w:rPr>
        <w:t>Australian</w:t>
      </w:r>
      <w:r>
        <w:rPr>
          <w:color w:val="231F20"/>
          <w:spacing w:val="-1"/>
          <w:sz w:val="18"/>
        </w:rPr>
        <w:t xml:space="preserve"> </w:t>
      </w:r>
      <w:r>
        <w:rPr>
          <w:color w:val="231F20"/>
          <w:sz w:val="18"/>
        </w:rPr>
        <w:t>accounting</w:t>
      </w:r>
      <w:r>
        <w:rPr>
          <w:color w:val="231F20"/>
          <w:spacing w:val="-4"/>
          <w:sz w:val="18"/>
        </w:rPr>
        <w:t xml:space="preserve"> </w:t>
      </w:r>
      <w:r>
        <w:rPr>
          <w:color w:val="231F20"/>
          <w:sz w:val="18"/>
        </w:rPr>
        <w:t>standards</w:t>
      </w:r>
      <w:r>
        <w:rPr>
          <w:color w:val="231F20"/>
          <w:spacing w:val="-3"/>
          <w:sz w:val="18"/>
        </w:rPr>
        <w:t xml:space="preserve"> </w:t>
      </w:r>
      <w:r>
        <w:rPr>
          <w:color w:val="231F20"/>
          <w:sz w:val="18"/>
        </w:rPr>
        <w:t>or</w:t>
      </w:r>
      <w:r>
        <w:rPr>
          <w:color w:val="231F20"/>
          <w:spacing w:val="-2"/>
          <w:sz w:val="18"/>
        </w:rPr>
        <w:t xml:space="preserve"> </w:t>
      </w:r>
      <w:r>
        <w:rPr>
          <w:color w:val="231F20"/>
          <w:sz w:val="18"/>
        </w:rPr>
        <w:t>interpretations</w:t>
      </w:r>
      <w:r>
        <w:rPr>
          <w:color w:val="231F20"/>
          <w:spacing w:val="-1"/>
          <w:sz w:val="18"/>
        </w:rPr>
        <w:t xml:space="preserve"> </w:t>
      </w:r>
      <w:r>
        <w:rPr>
          <w:color w:val="231F20"/>
          <w:sz w:val="18"/>
        </w:rPr>
        <w:t>that</w:t>
      </w:r>
      <w:r>
        <w:rPr>
          <w:color w:val="231F20"/>
          <w:spacing w:val="-2"/>
          <w:sz w:val="18"/>
        </w:rPr>
        <w:t xml:space="preserve"> </w:t>
      </w:r>
      <w:r>
        <w:rPr>
          <w:color w:val="231F20"/>
          <w:sz w:val="18"/>
        </w:rPr>
        <w:t>apply</w:t>
      </w:r>
      <w:r>
        <w:rPr>
          <w:color w:val="231F20"/>
          <w:spacing w:val="-1"/>
          <w:sz w:val="18"/>
        </w:rPr>
        <w:t xml:space="preserve"> </w:t>
      </w:r>
      <w:r>
        <w:rPr>
          <w:color w:val="231F20"/>
          <w:sz w:val="18"/>
        </w:rPr>
        <w:t>for</w:t>
      </w:r>
      <w:r>
        <w:rPr>
          <w:color w:val="231F20"/>
          <w:spacing w:val="-2"/>
          <w:sz w:val="18"/>
        </w:rPr>
        <w:t xml:space="preserve"> </w:t>
      </w:r>
      <w:r>
        <w:rPr>
          <w:color w:val="231F20"/>
          <w:sz w:val="18"/>
        </w:rPr>
        <w:t>the</w:t>
      </w:r>
      <w:r>
        <w:rPr>
          <w:color w:val="231F20"/>
          <w:spacing w:val="-1"/>
          <w:sz w:val="18"/>
        </w:rPr>
        <w:t xml:space="preserve"> </w:t>
      </w:r>
      <w:r>
        <w:rPr>
          <w:color w:val="231F20"/>
          <w:sz w:val="18"/>
        </w:rPr>
        <w:t>first</w:t>
      </w:r>
      <w:r>
        <w:rPr>
          <w:color w:val="231F20"/>
          <w:spacing w:val="-2"/>
          <w:sz w:val="18"/>
        </w:rPr>
        <w:t xml:space="preserve"> </w:t>
      </w:r>
      <w:r>
        <w:rPr>
          <w:color w:val="231F20"/>
          <w:sz w:val="18"/>
        </w:rPr>
        <w:t>time</w:t>
      </w:r>
      <w:r>
        <w:rPr>
          <w:color w:val="231F20"/>
          <w:spacing w:val="-4"/>
          <w:sz w:val="18"/>
        </w:rPr>
        <w:t xml:space="preserve"> </w:t>
      </w:r>
      <w:r>
        <w:rPr>
          <w:color w:val="231F20"/>
          <w:sz w:val="18"/>
        </w:rPr>
        <w:t>during</w:t>
      </w:r>
      <w:r>
        <w:rPr>
          <w:color w:val="231F20"/>
          <w:spacing w:val="-4"/>
          <w:sz w:val="18"/>
        </w:rPr>
        <w:t xml:space="preserve"> </w:t>
      </w:r>
      <w:r>
        <w:rPr>
          <w:color w:val="231F20"/>
          <w:sz w:val="18"/>
        </w:rPr>
        <w:t>2022-23</w:t>
      </w:r>
      <w:r>
        <w:rPr>
          <w:color w:val="231F20"/>
          <w:spacing w:val="-1"/>
          <w:sz w:val="18"/>
        </w:rPr>
        <w:t xml:space="preserve"> </w:t>
      </w:r>
      <w:r>
        <w:rPr>
          <w:color w:val="231F20"/>
          <w:sz w:val="18"/>
        </w:rPr>
        <w:t>had</w:t>
      </w:r>
      <w:r>
        <w:rPr>
          <w:color w:val="231F20"/>
          <w:spacing w:val="-1"/>
          <w:sz w:val="18"/>
        </w:rPr>
        <w:t xml:space="preserve"> </w:t>
      </w:r>
      <w:r>
        <w:rPr>
          <w:color w:val="231F20"/>
          <w:sz w:val="18"/>
        </w:rPr>
        <w:t>any</w:t>
      </w:r>
      <w:r>
        <w:rPr>
          <w:color w:val="231F20"/>
          <w:spacing w:val="-3"/>
          <w:sz w:val="18"/>
        </w:rPr>
        <w:t xml:space="preserve"> </w:t>
      </w:r>
      <w:r>
        <w:rPr>
          <w:color w:val="231F20"/>
          <w:sz w:val="18"/>
        </w:rPr>
        <w:t>impact on the Fund.</w:t>
      </w:r>
    </w:p>
    <w:p w14:paraId="3753842A" w14:textId="77777777" w:rsidR="00AC6F3C" w:rsidRDefault="00AC6F3C">
      <w:pPr>
        <w:pStyle w:val="BodyText"/>
      </w:pPr>
    </w:p>
    <w:p w14:paraId="1A020E3C" w14:textId="77777777" w:rsidR="00AC6F3C" w:rsidRDefault="00AC6F3C">
      <w:pPr>
        <w:pStyle w:val="BodyText"/>
        <w:spacing w:before="9"/>
        <w:rPr>
          <w:sz w:val="17"/>
        </w:rPr>
      </w:pPr>
    </w:p>
    <w:p w14:paraId="5BE8D881" w14:textId="77777777" w:rsidR="00AC6F3C" w:rsidRDefault="00570E88">
      <w:pPr>
        <w:tabs>
          <w:tab w:val="left" w:pos="1699"/>
        </w:tabs>
        <w:spacing w:before="1"/>
        <w:ind w:left="979"/>
        <w:rPr>
          <w:b/>
          <w:sz w:val="28"/>
        </w:rPr>
      </w:pPr>
      <w:r>
        <w:rPr>
          <w:b/>
          <w:spacing w:val="-5"/>
          <w:sz w:val="28"/>
        </w:rPr>
        <w:t>E3</w:t>
      </w:r>
      <w:r>
        <w:rPr>
          <w:b/>
          <w:sz w:val="28"/>
        </w:rPr>
        <w:tab/>
      </w:r>
      <w:r>
        <w:rPr>
          <w:b/>
          <w:spacing w:val="-2"/>
          <w:sz w:val="28"/>
        </w:rPr>
        <w:t>TAXATION</w:t>
      </w:r>
    </w:p>
    <w:p w14:paraId="0EC6BC5C" w14:textId="77777777" w:rsidR="00AC6F3C" w:rsidRDefault="00570E88">
      <w:pPr>
        <w:spacing w:before="239"/>
        <w:ind w:left="979"/>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exempt</w:t>
      </w:r>
      <w:r>
        <w:rPr>
          <w:spacing w:val="-2"/>
          <w:sz w:val="18"/>
        </w:rPr>
        <w:t xml:space="preserve"> </w:t>
      </w:r>
      <w:r>
        <w:rPr>
          <w:sz w:val="18"/>
        </w:rPr>
        <w:t>from</w:t>
      </w:r>
      <w:r>
        <w:rPr>
          <w:spacing w:val="-3"/>
          <w:sz w:val="18"/>
        </w:rPr>
        <w:t xml:space="preserve"> </w:t>
      </w:r>
      <w:r>
        <w:rPr>
          <w:sz w:val="18"/>
        </w:rPr>
        <w:t>income</w:t>
      </w:r>
      <w:r>
        <w:rPr>
          <w:spacing w:val="-1"/>
          <w:sz w:val="18"/>
        </w:rPr>
        <w:t xml:space="preserve"> </w:t>
      </w:r>
      <w:r>
        <w:rPr>
          <w:sz w:val="18"/>
        </w:rPr>
        <w:t>tax</w:t>
      </w:r>
      <w:r>
        <w:rPr>
          <w:spacing w:val="-1"/>
          <w:sz w:val="18"/>
        </w:rPr>
        <w:t xml:space="preserve"> </w:t>
      </w:r>
      <w:r>
        <w:rPr>
          <w:sz w:val="18"/>
        </w:rPr>
        <w:t>by</w:t>
      </w:r>
      <w:r>
        <w:rPr>
          <w:spacing w:val="-3"/>
          <w:sz w:val="18"/>
        </w:rPr>
        <w:t xml:space="preserve"> </w:t>
      </w:r>
      <w:r>
        <w:rPr>
          <w:sz w:val="18"/>
        </w:rPr>
        <w:t>virtue</w:t>
      </w:r>
      <w:r>
        <w:rPr>
          <w:spacing w:val="-1"/>
          <w:sz w:val="18"/>
        </w:rPr>
        <w:t xml:space="preserve"> </w:t>
      </w:r>
      <w:r>
        <w:rPr>
          <w:sz w:val="18"/>
        </w:rPr>
        <w:t>of</w:t>
      </w:r>
      <w:r>
        <w:rPr>
          <w:spacing w:val="-4"/>
          <w:sz w:val="18"/>
        </w:rPr>
        <w:t xml:space="preserve"> </w:t>
      </w:r>
      <w:r>
        <w:rPr>
          <w:sz w:val="18"/>
        </w:rPr>
        <w:t>section</w:t>
      </w:r>
      <w:r>
        <w:rPr>
          <w:spacing w:val="-1"/>
          <w:sz w:val="18"/>
        </w:rPr>
        <w:t xml:space="preserve"> </w:t>
      </w:r>
      <w:r>
        <w:rPr>
          <w:sz w:val="18"/>
        </w:rPr>
        <w:t>50-25</w:t>
      </w:r>
      <w:r>
        <w:rPr>
          <w:spacing w:val="-1"/>
          <w:sz w:val="18"/>
        </w:rPr>
        <w:t xml:space="preserve"> </w:t>
      </w:r>
      <w:r>
        <w:rPr>
          <w:sz w:val="18"/>
        </w:rPr>
        <w:t>of</w:t>
      </w:r>
      <w:r>
        <w:rPr>
          <w:spacing w:val="-2"/>
          <w:sz w:val="18"/>
        </w:rPr>
        <w:t xml:space="preserve"> </w:t>
      </w:r>
      <w:r>
        <w:rPr>
          <w:sz w:val="18"/>
        </w:rPr>
        <w:t>the</w:t>
      </w:r>
      <w:r>
        <w:rPr>
          <w:spacing w:val="-1"/>
          <w:sz w:val="18"/>
        </w:rPr>
        <w:t xml:space="preserve"> </w:t>
      </w:r>
      <w:r>
        <w:rPr>
          <w:i/>
          <w:sz w:val="18"/>
        </w:rPr>
        <w:t>Income</w:t>
      </w:r>
      <w:r>
        <w:rPr>
          <w:i/>
          <w:spacing w:val="-4"/>
          <w:sz w:val="18"/>
        </w:rPr>
        <w:t xml:space="preserve"> </w:t>
      </w:r>
      <w:r>
        <w:rPr>
          <w:i/>
          <w:sz w:val="18"/>
        </w:rPr>
        <w:t>Tax</w:t>
      </w:r>
      <w:r>
        <w:rPr>
          <w:i/>
          <w:spacing w:val="-3"/>
          <w:sz w:val="18"/>
        </w:rPr>
        <w:t xml:space="preserve"> </w:t>
      </w:r>
      <w:r>
        <w:rPr>
          <w:i/>
          <w:sz w:val="18"/>
        </w:rPr>
        <w:t>Assessment</w:t>
      </w:r>
      <w:r>
        <w:rPr>
          <w:i/>
          <w:spacing w:val="-2"/>
          <w:sz w:val="18"/>
        </w:rPr>
        <w:t xml:space="preserve"> </w:t>
      </w:r>
      <w:r>
        <w:rPr>
          <w:i/>
          <w:sz w:val="18"/>
        </w:rPr>
        <w:t>Act</w:t>
      </w:r>
      <w:r>
        <w:rPr>
          <w:i/>
          <w:spacing w:val="-2"/>
          <w:sz w:val="18"/>
        </w:rPr>
        <w:t xml:space="preserve"> </w:t>
      </w:r>
      <w:r>
        <w:rPr>
          <w:i/>
          <w:sz w:val="18"/>
        </w:rPr>
        <w:t>1997</w:t>
      </w:r>
      <w:r>
        <w:rPr>
          <w:i/>
          <w:spacing w:val="-4"/>
          <w:sz w:val="18"/>
        </w:rPr>
        <w:t xml:space="preserve"> </w:t>
      </w:r>
      <w:r>
        <w:rPr>
          <w:sz w:val="18"/>
        </w:rPr>
        <w:t>with</w:t>
      </w:r>
      <w:r>
        <w:rPr>
          <w:spacing w:val="-1"/>
          <w:sz w:val="18"/>
        </w:rPr>
        <w:t xml:space="preserve"> </w:t>
      </w:r>
      <w:r>
        <w:rPr>
          <w:sz w:val="18"/>
        </w:rPr>
        <w:t>the exception of Fringe Benefits Tax (FBT) and Goods and Services Tax (GST).</w:t>
      </w:r>
    </w:p>
    <w:p w14:paraId="7934D3AF" w14:textId="77777777" w:rsidR="00AC6F3C" w:rsidRDefault="00AC6F3C">
      <w:pPr>
        <w:pStyle w:val="BodyText"/>
        <w:rPr>
          <w:sz w:val="21"/>
        </w:rPr>
      </w:pPr>
    </w:p>
    <w:p w14:paraId="7AA9DE9A" w14:textId="77777777" w:rsidR="00AC6F3C" w:rsidRDefault="00570E88">
      <w:pPr>
        <w:ind w:left="979" w:right="468"/>
        <w:rPr>
          <w:sz w:val="18"/>
        </w:rPr>
      </w:pPr>
      <w:r>
        <w:rPr>
          <w:sz w:val="18"/>
        </w:rPr>
        <w:t xml:space="preserve">Revenues, expenses and assets are </w:t>
      </w:r>
      <w:proofErr w:type="spellStart"/>
      <w:r>
        <w:rPr>
          <w:sz w:val="18"/>
        </w:rPr>
        <w:t>recognised</w:t>
      </w:r>
      <w:proofErr w:type="spellEnd"/>
      <w:r>
        <w:rPr>
          <w:sz w:val="18"/>
        </w:rPr>
        <w:t xml:space="preserve"> net of the amount of GST, except where the amount of GST incurred is not recoverable from the Australian Taxation Office (ATO).</w:t>
      </w:r>
      <w:r>
        <w:rPr>
          <w:spacing w:val="40"/>
          <w:sz w:val="18"/>
        </w:rPr>
        <w:t xml:space="preserve"> </w:t>
      </w:r>
      <w:r>
        <w:rPr>
          <w:sz w:val="18"/>
        </w:rPr>
        <w:t xml:space="preserve">In these circumstances, the GST is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cost</w:t>
      </w:r>
      <w:r>
        <w:rPr>
          <w:spacing w:val="-4"/>
          <w:sz w:val="18"/>
        </w:rPr>
        <w:t xml:space="preserve"> </w:t>
      </w:r>
      <w:r>
        <w:rPr>
          <w:sz w:val="18"/>
        </w:rPr>
        <w:t>of</w:t>
      </w:r>
      <w:r>
        <w:rPr>
          <w:spacing w:val="-2"/>
          <w:sz w:val="18"/>
        </w:rPr>
        <w:t xml:space="preserve"> </w:t>
      </w:r>
      <w:r>
        <w:rPr>
          <w:sz w:val="18"/>
        </w:rPr>
        <w:t>acquisition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asset</w:t>
      </w:r>
      <w:r>
        <w:rPr>
          <w:spacing w:val="-2"/>
          <w:sz w:val="18"/>
        </w:rPr>
        <w:t xml:space="preserve"> </w:t>
      </w:r>
      <w:r>
        <w:rPr>
          <w:sz w:val="18"/>
        </w:rPr>
        <w:t>or</w:t>
      </w:r>
      <w:r>
        <w:rPr>
          <w:spacing w:val="-2"/>
          <w:sz w:val="18"/>
        </w:rPr>
        <w:t xml:space="preserve"> </w:t>
      </w:r>
      <w:r>
        <w:rPr>
          <w:sz w:val="18"/>
        </w:rPr>
        <w:t>as</w:t>
      </w:r>
      <w:r>
        <w:rPr>
          <w:spacing w:val="-1"/>
          <w:sz w:val="18"/>
        </w:rPr>
        <w:t xml:space="preserve"> </w:t>
      </w:r>
      <w:r>
        <w:rPr>
          <w:sz w:val="18"/>
        </w:rPr>
        <w:t>part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expense.</w:t>
      </w:r>
      <w:r>
        <w:rPr>
          <w:spacing w:val="40"/>
          <w:sz w:val="18"/>
        </w:rPr>
        <w:t xml:space="preserve"> </w:t>
      </w:r>
      <w:r>
        <w:rPr>
          <w:sz w:val="18"/>
        </w:rPr>
        <w:t>Receivables</w:t>
      </w:r>
      <w:r>
        <w:rPr>
          <w:spacing w:val="-1"/>
          <w:sz w:val="18"/>
        </w:rPr>
        <w:t xml:space="preserve"> </w:t>
      </w:r>
      <w:r>
        <w:rPr>
          <w:sz w:val="18"/>
        </w:rPr>
        <w:t>and</w:t>
      </w:r>
      <w:r>
        <w:rPr>
          <w:spacing w:val="-1"/>
          <w:sz w:val="18"/>
        </w:rPr>
        <w:t xml:space="preserve"> </w:t>
      </w:r>
      <w:r>
        <w:rPr>
          <w:sz w:val="18"/>
        </w:rPr>
        <w:t>payables are stated with the amount of GST included.</w:t>
      </w:r>
    </w:p>
    <w:p w14:paraId="61CDA7DD" w14:textId="77777777" w:rsidR="00AC6F3C" w:rsidRDefault="00AC6F3C">
      <w:pPr>
        <w:pStyle w:val="BodyText"/>
        <w:spacing w:before="10"/>
      </w:pPr>
    </w:p>
    <w:p w14:paraId="29ADB51C" w14:textId="77777777" w:rsidR="00AC6F3C" w:rsidRDefault="00570E88">
      <w:pPr>
        <w:ind w:left="979"/>
        <w:rPr>
          <w:sz w:val="18"/>
        </w:rPr>
      </w:pPr>
      <w:r>
        <w:rPr>
          <w:sz w:val="18"/>
        </w:rPr>
        <w:t>The</w:t>
      </w:r>
      <w:r>
        <w:rPr>
          <w:spacing w:val="-1"/>
          <w:sz w:val="18"/>
        </w:rPr>
        <w:t xml:space="preserve"> </w:t>
      </w:r>
      <w:r>
        <w:rPr>
          <w:sz w:val="18"/>
        </w:rPr>
        <w:t>net</w:t>
      </w:r>
      <w:r>
        <w:rPr>
          <w:spacing w:val="-2"/>
          <w:sz w:val="18"/>
        </w:rPr>
        <w:t xml:space="preserve"> </w:t>
      </w:r>
      <w:r>
        <w:rPr>
          <w:sz w:val="18"/>
        </w:rPr>
        <w:t>amount</w:t>
      </w:r>
      <w:r>
        <w:rPr>
          <w:spacing w:val="-2"/>
          <w:sz w:val="18"/>
        </w:rPr>
        <w:t xml:space="preserve"> </w:t>
      </w:r>
      <w:r>
        <w:rPr>
          <w:sz w:val="18"/>
        </w:rPr>
        <w:t>of</w:t>
      </w:r>
      <w:r>
        <w:rPr>
          <w:spacing w:val="-2"/>
          <w:sz w:val="18"/>
        </w:rPr>
        <w:t xml:space="preserve"> </w:t>
      </w:r>
      <w:r>
        <w:rPr>
          <w:sz w:val="18"/>
        </w:rPr>
        <w:t>GST</w:t>
      </w:r>
      <w:r>
        <w:rPr>
          <w:spacing w:val="-2"/>
          <w:sz w:val="18"/>
        </w:rPr>
        <w:t xml:space="preserve"> </w:t>
      </w:r>
      <w:r>
        <w:rPr>
          <w:sz w:val="18"/>
        </w:rPr>
        <w:t>recoverable</w:t>
      </w:r>
      <w:r>
        <w:rPr>
          <w:spacing w:val="-4"/>
          <w:sz w:val="18"/>
        </w:rPr>
        <w:t xml:space="preserve"> </w:t>
      </w:r>
      <w:r>
        <w:rPr>
          <w:sz w:val="18"/>
        </w:rPr>
        <w:t>from,</w:t>
      </w:r>
      <w:r>
        <w:rPr>
          <w:spacing w:val="-2"/>
          <w:sz w:val="18"/>
        </w:rPr>
        <w:t xml:space="preserve"> </w:t>
      </w:r>
      <w:r>
        <w:rPr>
          <w:sz w:val="18"/>
        </w:rPr>
        <w:t>or</w:t>
      </w:r>
      <w:r>
        <w:rPr>
          <w:spacing w:val="-4"/>
          <w:sz w:val="18"/>
        </w:rPr>
        <w:t xml:space="preserve"> </w:t>
      </w:r>
      <w:r>
        <w:rPr>
          <w:sz w:val="18"/>
        </w:rPr>
        <w:t>payable</w:t>
      </w:r>
      <w:r>
        <w:rPr>
          <w:spacing w:val="-1"/>
          <w:sz w:val="18"/>
        </w:rPr>
        <w:t xml:space="preserve"> </w:t>
      </w:r>
      <w:r>
        <w:rPr>
          <w:sz w:val="18"/>
        </w:rPr>
        <w:t>to,</w:t>
      </w:r>
      <w:r>
        <w:rPr>
          <w:spacing w:val="-4"/>
          <w:sz w:val="18"/>
        </w:rPr>
        <w:t xml:space="preserve"> </w:t>
      </w:r>
      <w:r>
        <w:rPr>
          <w:sz w:val="18"/>
        </w:rPr>
        <w:t>the</w:t>
      </w:r>
      <w:r>
        <w:rPr>
          <w:spacing w:val="-6"/>
          <w:sz w:val="18"/>
        </w:rPr>
        <w:t xml:space="preserve"> </w:t>
      </w:r>
      <w:r>
        <w:rPr>
          <w:sz w:val="18"/>
        </w:rPr>
        <w:t>ATO</w:t>
      </w:r>
      <w:r>
        <w:rPr>
          <w:spacing w:val="-3"/>
          <w:sz w:val="18"/>
        </w:rPr>
        <w:t xml:space="preserve"> </w:t>
      </w:r>
      <w:r>
        <w:rPr>
          <w:sz w:val="18"/>
        </w:rPr>
        <w:t>is</w:t>
      </w:r>
      <w:r>
        <w:rPr>
          <w:spacing w:val="-1"/>
          <w:sz w:val="18"/>
        </w:rPr>
        <w:t xml:space="preserve"> </w:t>
      </w:r>
      <w:r>
        <w:rPr>
          <w:sz w:val="18"/>
        </w:rPr>
        <w:t>included</w:t>
      </w:r>
      <w:r>
        <w:rPr>
          <w:spacing w:val="-1"/>
          <w:sz w:val="18"/>
        </w:rPr>
        <w:t xml:space="preserve"> </w:t>
      </w:r>
      <w:r>
        <w:rPr>
          <w:sz w:val="18"/>
        </w:rPr>
        <w:t>as</w:t>
      </w:r>
      <w:r>
        <w:rPr>
          <w:spacing w:val="-1"/>
          <w:sz w:val="18"/>
        </w:rPr>
        <w:t xml:space="preserve"> </w:t>
      </w:r>
      <w:r>
        <w:rPr>
          <w:sz w:val="18"/>
        </w:rPr>
        <w:t>a</w:t>
      </w:r>
      <w:r>
        <w:rPr>
          <w:spacing w:val="-4"/>
          <w:sz w:val="18"/>
        </w:rPr>
        <w:t xml:space="preserve"> </w:t>
      </w:r>
      <w:r>
        <w:rPr>
          <w:sz w:val="18"/>
        </w:rPr>
        <w:t>current</w:t>
      </w:r>
      <w:r>
        <w:rPr>
          <w:spacing w:val="-2"/>
          <w:sz w:val="18"/>
        </w:rPr>
        <w:t xml:space="preserve"> </w:t>
      </w:r>
      <w:r>
        <w:rPr>
          <w:sz w:val="18"/>
        </w:rPr>
        <w:t>asset</w:t>
      </w:r>
      <w:r>
        <w:rPr>
          <w:spacing w:val="-4"/>
          <w:sz w:val="18"/>
        </w:rPr>
        <w:t xml:space="preserve"> </w:t>
      </w:r>
      <w:r>
        <w:rPr>
          <w:sz w:val="18"/>
        </w:rPr>
        <w:t>or</w:t>
      </w:r>
      <w:r>
        <w:rPr>
          <w:spacing w:val="-2"/>
          <w:sz w:val="18"/>
        </w:rPr>
        <w:t xml:space="preserve"> </w:t>
      </w:r>
      <w:r>
        <w:rPr>
          <w:sz w:val="18"/>
        </w:rPr>
        <w:t>liability</w:t>
      </w:r>
      <w:r>
        <w:rPr>
          <w:spacing w:val="-1"/>
          <w:sz w:val="18"/>
        </w:rPr>
        <w:t xml:space="preserve"> </w:t>
      </w:r>
      <w:r>
        <w:rPr>
          <w:sz w:val="18"/>
        </w:rPr>
        <w:t>in</w:t>
      </w:r>
      <w:r>
        <w:rPr>
          <w:spacing w:val="-1"/>
          <w:sz w:val="18"/>
        </w:rPr>
        <w:t xml:space="preserve"> </w:t>
      </w:r>
      <w:r>
        <w:rPr>
          <w:sz w:val="18"/>
        </w:rPr>
        <w:t>the statement of financial position.</w:t>
      </w:r>
    </w:p>
    <w:p w14:paraId="0809B543" w14:textId="77777777" w:rsidR="00AC6F3C" w:rsidRDefault="00AC6F3C">
      <w:pPr>
        <w:pStyle w:val="BodyText"/>
        <w:spacing w:before="9"/>
      </w:pPr>
    </w:p>
    <w:p w14:paraId="777B86C1" w14:textId="77777777" w:rsidR="00AC6F3C" w:rsidRDefault="00570E88">
      <w:pPr>
        <w:ind w:left="979" w:right="468"/>
        <w:rPr>
          <w:sz w:val="18"/>
        </w:rPr>
      </w:pPr>
      <w:r>
        <w:rPr>
          <w:sz w:val="18"/>
        </w:rPr>
        <w:t>Cash</w:t>
      </w:r>
      <w:r>
        <w:rPr>
          <w:spacing w:val="-1"/>
          <w:sz w:val="18"/>
        </w:rPr>
        <w:t xml:space="preserve"> </w:t>
      </w:r>
      <w:r>
        <w:rPr>
          <w:sz w:val="18"/>
        </w:rPr>
        <w:t>flows</w:t>
      </w:r>
      <w:r>
        <w:rPr>
          <w:spacing w:val="-3"/>
          <w:sz w:val="18"/>
        </w:rPr>
        <w:t xml:space="preserve"> </w:t>
      </w:r>
      <w:r>
        <w:rPr>
          <w:sz w:val="18"/>
        </w:rPr>
        <w:t>are</w:t>
      </w:r>
      <w:r>
        <w:rPr>
          <w:spacing w:val="-1"/>
          <w:sz w:val="18"/>
        </w:rPr>
        <w:t xml:space="preserve"> </w:t>
      </w:r>
      <w:r>
        <w:rPr>
          <w:sz w:val="18"/>
        </w:rPr>
        <w:t>included</w:t>
      </w:r>
      <w:r>
        <w:rPr>
          <w:spacing w:val="-1"/>
          <w:sz w:val="18"/>
        </w:rPr>
        <w:t xml:space="preserve"> </w:t>
      </w:r>
      <w:r>
        <w:rPr>
          <w:sz w:val="18"/>
        </w:rPr>
        <w:t>in</w:t>
      </w:r>
      <w:r>
        <w:rPr>
          <w:spacing w:val="-4"/>
          <w:sz w:val="18"/>
        </w:rPr>
        <w:t xml:space="preserve"> </w:t>
      </w:r>
      <w:r>
        <w:rPr>
          <w:sz w:val="18"/>
        </w:rPr>
        <w:t>the</w:t>
      </w:r>
      <w:r>
        <w:rPr>
          <w:spacing w:val="-6"/>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3"/>
          <w:sz w:val="18"/>
        </w:rPr>
        <w:t xml:space="preserve"> </w:t>
      </w:r>
      <w:r>
        <w:rPr>
          <w:sz w:val="18"/>
        </w:rPr>
        <w:t>on</w:t>
      </w:r>
      <w:r>
        <w:rPr>
          <w:spacing w:val="-1"/>
          <w:sz w:val="18"/>
        </w:rPr>
        <w:t xml:space="preserve"> </w:t>
      </w:r>
      <w:r>
        <w:rPr>
          <w:sz w:val="18"/>
        </w:rPr>
        <w:t>a</w:t>
      </w:r>
      <w:r>
        <w:rPr>
          <w:spacing w:val="-4"/>
          <w:sz w:val="18"/>
        </w:rPr>
        <w:t xml:space="preserve"> </w:t>
      </w:r>
      <w:r>
        <w:rPr>
          <w:sz w:val="18"/>
        </w:rPr>
        <w:t>gross</w:t>
      </w:r>
      <w:r>
        <w:rPr>
          <w:spacing w:val="-1"/>
          <w:sz w:val="18"/>
        </w:rPr>
        <w:t xml:space="preserve"> </w:t>
      </w:r>
      <w:r>
        <w:rPr>
          <w:sz w:val="18"/>
        </w:rPr>
        <w:t>basis.</w:t>
      </w:r>
      <w:r>
        <w:rPr>
          <w:spacing w:val="40"/>
          <w:sz w:val="18"/>
        </w:rPr>
        <w:t xml:space="preserve"> </w:t>
      </w:r>
      <w:r>
        <w:rPr>
          <w:sz w:val="18"/>
        </w:rPr>
        <w:t>The</w:t>
      </w:r>
      <w:r>
        <w:rPr>
          <w:spacing w:val="-1"/>
          <w:sz w:val="18"/>
        </w:rPr>
        <w:t xml:space="preserve"> </w:t>
      </w:r>
      <w:r>
        <w:rPr>
          <w:sz w:val="18"/>
        </w:rPr>
        <w:t>GST</w:t>
      </w:r>
      <w:r>
        <w:rPr>
          <w:spacing w:val="-4"/>
          <w:sz w:val="18"/>
        </w:rPr>
        <w:t xml:space="preserve"> </w:t>
      </w:r>
      <w:r>
        <w:rPr>
          <w:sz w:val="18"/>
        </w:rPr>
        <w:t>components</w:t>
      </w:r>
      <w:r>
        <w:rPr>
          <w:spacing w:val="-1"/>
          <w:sz w:val="18"/>
        </w:rPr>
        <w:t xml:space="preserve"> </w:t>
      </w:r>
      <w:r>
        <w:rPr>
          <w:sz w:val="18"/>
        </w:rPr>
        <w:t>of</w:t>
      </w:r>
      <w:r>
        <w:rPr>
          <w:spacing w:val="-4"/>
          <w:sz w:val="18"/>
        </w:rPr>
        <w:t xml:space="preserve"> </w:t>
      </w:r>
      <w:r>
        <w:rPr>
          <w:sz w:val="18"/>
        </w:rPr>
        <w:t>cash</w:t>
      </w:r>
      <w:r>
        <w:rPr>
          <w:spacing w:val="-1"/>
          <w:sz w:val="18"/>
        </w:rPr>
        <w:t xml:space="preserve"> </w:t>
      </w:r>
      <w:r>
        <w:rPr>
          <w:sz w:val="18"/>
        </w:rPr>
        <w:t>flows arising from investing activities and financing activities which are recoverable from, or payable to, the ATO are classified as operating cash flows.</w:t>
      </w:r>
    </w:p>
    <w:p w14:paraId="58ED9BE3" w14:textId="77777777" w:rsidR="00AC6F3C" w:rsidRDefault="00AC6F3C">
      <w:pPr>
        <w:rPr>
          <w:sz w:val="18"/>
        </w:rPr>
        <w:sectPr w:rsidR="00AC6F3C">
          <w:pgSz w:w="11910" w:h="16840"/>
          <w:pgMar w:top="2080" w:right="1160" w:bottom="520" w:left="460" w:header="1297" w:footer="336" w:gutter="0"/>
          <w:cols w:space="720"/>
        </w:sectPr>
      </w:pPr>
    </w:p>
    <w:p w14:paraId="2E824462" w14:textId="77777777" w:rsidR="00AC6F3C" w:rsidRDefault="00570E88">
      <w:pPr>
        <w:spacing w:before="1"/>
        <w:ind w:left="979"/>
        <w:rPr>
          <w:b/>
          <w:sz w:val="26"/>
        </w:rPr>
      </w:pPr>
      <w:r>
        <w:rPr>
          <w:b/>
          <w:spacing w:val="-2"/>
          <w:sz w:val="26"/>
        </w:rPr>
        <w:lastRenderedPageBreak/>
        <w:t>Management</w:t>
      </w:r>
      <w:r>
        <w:rPr>
          <w:b/>
          <w:spacing w:val="1"/>
          <w:sz w:val="26"/>
        </w:rPr>
        <w:t xml:space="preserve"> </w:t>
      </w:r>
      <w:r>
        <w:rPr>
          <w:b/>
          <w:spacing w:val="-2"/>
          <w:sz w:val="26"/>
        </w:rPr>
        <w:t>Certificate</w:t>
      </w:r>
    </w:p>
    <w:p w14:paraId="5686332D" w14:textId="77777777" w:rsidR="00AC6F3C" w:rsidRDefault="00570E88">
      <w:pPr>
        <w:spacing w:before="1"/>
        <w:ind w:left="979"/>
        <w:rPr>
          <w:b/>
          <w:sz w:val="26"/>
        </w:rPr>
      </w:pPr>
      <w:r>
        <w:rPr>
          <w:b/>
          <w:sz w:val="26"/>
        </w:rPr>
        <w:t>for</w:t>
      </w:r>
      <w:r>
        <w:rPr>
          <w:b/>
          <w:spacing w:val="-7"/>
          <w:sz w:val="26"/>
        </w:rPr>
        <w:t xml:space="preserve"> </w:t>
      </w:r>
      <w:r>
        <w:rPr>
          <w:b/>
          <w:sz w:val="26"/>
        </w:rPr>
        <w:t>the</w:t>
      </w:r>
      <w:r>
        <w:rPr>
          <w:b/>
          <w:spacing w:val="-7"/>
          <w:sz w:val="26"/>
        </w:rPr>
        <w:t xml:space="preserve"> </w:t>
      </w:r>
      <w:r>
        <w:rPr>
          <w:b/>
          <w:sz w:val="26"/>
        </w:rPr>
        <w:t>year</w:t>
      </w:r>
      <w:r>
        <w:rPr>
          <w:b/>
          <w:spacing w:val="-7"/>
          <w:sz w:val="26"/>
        </w:rPr>
        <w:t xml:space="preserve"> </w:t>
      </w:r>
      <w:r>
        <w:rPr>
          <w:b/>
          <w:sz w:val="26"/>
        </w:rPr>
        <w:t>ended</w:t>
      </w:r>
      <w:r>
        <w:rPr>
          <w:b/>
          <w:spacing w:val="-4"/>
          <w:sz w:val="26"/>
        </w:rPr>
        <w:t xml:space="preserve"> </w:t>
      </w:r>
      <w:r>
        <w:rPr>
          <w:b/>
          <w:sz w:val="26"/>
        </w:rPr>
        <w:t>30</w:t>
      </w:r>
      <w:r>
        <w:rPr>
          <w:b/>
          <w:spacing w:val="-7"/>
          <w:sz w:val="26"/>
        </w:rPr>
        <w:t xml:space="preserve"> </w:t>
      </w:r>
      <w:r>
        <w:rPr>
          <w:b/>
          <w:sz w:val="26"/>
        </w:rPr>
        <w:t>June</w:t>
      </w:r>
      <w:r>
        <w:rPr>
          <w:b/>
          <w:spacing w:val="-4"/>
          <w:sz w:val="26"/>
        </w:rPr>
        <w:t xml:space="preserve"> 2023</w:t>
      </w:r>
    </w:p>
    <w:p w14:paraId="75661B70" w14:textId="77777777" w:rsidR="00AC6F3C" w:rsidRDefault="00570E88">
      <w:pPr>
        <w:pStyle w:val="BodyText"/>
        <w:spacing w:before="6"/>
        <w:rPr>
          <w:b/>
          <w:sz w:val="18"/>
        </w:rPr>
      </w:pPr>
      <w:r>
        <w:rPr>
          <w:noProof/>
        </w:rPr>
        <mc:AlternateContent>
          <mc:Choice Requires="wps">
            <w:drawing>
              <wp:anchor distT="0" distB="0" distL="0" distR="0" simplePos="0" relativeHeight="487696384" behindDoc="1" locked="0" layoutInCell="1" allowOverlap="1" wp14:anchorId="21FA0F09" wp14:editId="111F7EED">
                <wp:simplePos x="0" y="0"/>
                <wp:positionH relativeFrom="page">
                  <wp:posOffset>896045</wp:posOffset>
                </wp:positionH>
                <wp:positionV relativeFrom="paragraph">
                  <wp:posOffset>150985</wp:posOffset>
                </wp:positionV>
                <wp:extent cx="5768340" cy="635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23A18" id="Graphic 806" o:spid="_x0000_s1026" style="position:absolute;margin-left:70.55pt;margin-top:11.9pt;width:454.2pt;height:.5pt;z-index:-1562009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" path="m5767909,6094l,6094,,,5767909,r,6094xe" fillcolor="black" stroked="f">
                <v:path arrowok="t"/>
                <w10:wrap type="topAndBottom" anchorx="page"/>
              </v:shape>
            </w:pict>
          </mc:Fallback>
        </mc:AlternateContent>
      </w:r>
    </w:p>
    <w:p w14:paraId="69378C93" w14:textId="77777777" w:rsidR="00AC6F3C" w:rsidRDefault="00AC6F3C">
      <w:pPr>
        <w:pStyle w:val="BodyText"/>
        <w:spacing w:before="7"/>
        <w:rPr>
          <w:b/>
          <w:sz w:val="13"/>
        </w:rPr>
      </w:pPr>
    </w:p>
    <w:p w14:paraId="1318CB08" w14:textId="77777777" w:rsidR="00AC6F3C" w:rsidRDefault="00570E88">
      <w:pPr>
        <w:spacing w:before="94"/>
        <w:ind w:left="979" w:right="234"/>
        <w:rPr>
          <w:sz w:val="18"/>
        </w:rPr>
      </w:pPr>
      <w:r>
        <w:rPr>
          <w:sz w:val="18"/>
        </w:rPr>
        <w:t xml:space="preserve">These general purpose financial statements have been prepared pursuant to section 62(1) of the </w:t>
      </w:r>
      <w:r>
        <w:rPr>
          <w:i/>
          <w:sz w:val="18"/>
        </w:rPr>
        <w:t>Financial Accountability</w:t>
      </w:r>
      <w:r>
        <w:rPr>
          <w:i/>
          <w:spacing w:val="-1"/>
          <w:sz w:val="18"/>
        </w:rPr>
        <w:t xml:space="preserve"> </w:t>
      </w:r>
      <w:r>
        <w:rPr>
          <w:i/>
          <w:sz w:val="18"/>
        </w:rPr>
        <w:t>Act</w:t>
      </w:r>
      <w:r>
        <w:rPr>
          <w:i/>
          <w:spacing w:val="-2"/>
          <w:sz w:val="18"/>
        </w:rPr>
        <w:t xml:space="preserve"> </w:t>
      </w:r>
      <w:r>
        <w:rPr>
          <w:i/>
          <w:sz w:val="18"/>
        </w:rPr>
        <w:t>2009</w:t>
      </w:r>
      <w:r>
        <w:rPr>
          <w:i/>
          <w:spacing w:val="-2"/>
          <w:sz w:val="18"/>
        </w:rPr>
        <w:t xml:space="preserve"> </w:t>
      </w:r>
      <w:r>
        <w:rPr>
          <w:sz w:val="18"/>
        </w:rPr>
        <w:t>(the</w:t>
      </w:r>
      <w:r>
        <w:rPr>
          <w:spacing w:val="-1"/>
          <w:sz w:val="18"/>
        </w:rPr>
        <w:t xml:space="preserve"> </w:t>
      </w:r>
      <w:r>
        <w:rPr>
          <w:sz w:val="18"/>
        </w:rPr>
        <w:t>Act),</w:t>
      </w:r>
      <w:r>
        <w:rPr>
          <w:spacing w:val="-2"/>
          <w:sz w:val="18"/>
        </w:rPr>
        <w:t xml:space="preserve"> </w:t>
      </w:r>
      <w:r>
        <w:rPr>
          <w:sz w:val="18"/>
        </w:rPr>
        <w:t>section</w:t>
      </w:r>
      <w:r>
        <w:rPr>
          <w:spacing w:val="-4"/>
          <w:sz w:val="18"/>
        </w:rPr>
        <w:t xml:space="preserve"> </w:t>
      </w:r>
      <w:r>
        <w:rPr>
          <w:sz w:val="18"/>
        </w:rPr>
        <w:t>39</w:t>
      </w:r>
      <w:r>
        <w:rPr>
          <w:spacing w:val="-4"/>
          <w:sz w:val="18"/>
        </w:rPr>
        <w:t xml:space="preserve"> </w:t>
      </w:r>
      <w:r>
        <w:rPr>
          <w:sz w:val="18"/>
        </w:rPr>
        <w:t>of</w:t>
      </w:r>
      <w:r>
        <w:rPr>
          <w:spacing w:val="-2"/>
          <w:sz w:val="18"/>
        </w:rPr>
        <w:t xml:space="preserve"> </w:t>
      </w:r>
      <w:r>
        <w:rPr>
          <w:sz w:val="18"/>
        </w:rPr>
        <w:t>the</w:t>
      </w:r>
      <w:r>
        <w:rPr>
          <w:spacing w:val="-1"/>
          <w:sz w:val="18"/>
        </w:rPr>
        <w:t xml:space="preserve"> </w:t>
      </w:r>
      <w:r>
        <w:rPr>
          <w:i/>
          <w:sz w:val="18"/>
        </w:rPr>
        <w:t>Financial</w:t>
      </w:r>
      <w:r>
        <w:rPr>
          <w:i/>
          <w:spacing w:val="-4"/>
          <w:sz w:val="18"/>
        </w:rPr>
        <w:t xml:space="preserve"> </w:t>
      </w:r>
      <w:r>
        <w:rPr>
          <w:i/>
          <w:sz w:val="18"/>
        </w:rPr>
        <w:t>and</w:t>
      </w:r>
      <w:r>
        <w:rPr>
          <w:i/>
          <w:spacing w:val="-1"/>
          <w:sz w:val="18"/>
        </w:rPr>
        <w:t xml:space="preserve"> </w:t>
      </w:r>
      <w:r>
        <w:rPr>
          <w:i/>
          <w:sz w:val="18"/>
        </w:rPr>
        <w:t>Performance</w:t>
      </w:r>
      <w:r>
        <w:rPr>
          <w:i/>
          <w:spacing w:val="-1"/>
          <w:sz w:val="18"/>
        </w:rPr>
        <w:t xml:space="preserve"> </w:t>
      </w:r>
      <w:r>
        <w:rPr>
          <w:i/>
          <w:sz w:val="18"/>
        </w:rPr>
        <w:t>Management</w:t>
      </w:r>
      <w:r>
        <w:rPr>
          <w:i/>
          <w:spacing w:val="-2"/>
          <w:sz w:val="18"/>
        </w:rPr>
        <w:t xml:space="preserve"> </w:t>
      </w:r>
      <w:r>
        <w:rPr>
          <w:i/>
          <w:sz w:val="18"/>
        </w:rPr>
        <w:t>Standard</w:t>
      </w:r>
      <w:r>
        <w:rPr>
          <w:i/>
          <w:spacing w:val="-1"/>
          <w:sz w:val="18"/>
        </w:rPr>
        <w:t xml:space="preserve"> </w:t>
      </w:r>
      <w:r>
        <w:rPr>
          <w:i/>
          <w:sz w:val="18"/>
        </w:rPr>
        <w:t>2019</w:t>
      </w:r>
      <w:r>
        <w:rPr>
          <w:i/>
          <w:spacing w:val="-4"/>
          <w:sz w:val="18"/>
        </w:rPr>
        <w:t xml:space="preserve"> </w:t>
      </w:r>
      <w:r>
        <w:rPr>
          <w:sz w:val="18"/>
        </w:rPr>
        <w:t>and other prescribed requirements.</w:t>
      </w:r>
      <w:r>
        <w:rPr>
          <w:spacing w:val="40"/>
          <w:sz w:val="18"/>
        </w:rPr>
        <w:t xml:space="preserve"> </w:t>
      </w:r>
      <w:r>
        <w:rPr>
          <w:sz w:val="18"/>
        </w:rPr>
        <w:t>In accordance with section 62(1)(b) of the Act we certify that in our opinion:</w:t>
      </w:r>
    </w:p>
    <w:p w14:paraId="3931AD66" w14:textId="77777777" w:rsidR="00AC6F3C" w:rsidRDefault="00AC6F3C">
      <w:pPr>
        <w:pStyle w:val="BodyText"/>
        <w:spacing w:before="8"/>
      </w:pPr>
    </w:p>
    <w:p w14:paraId="41D60470" w14:textId="77777777" w:rsidR="00AC6F3C" w:rsidRDefault="00570E88">
      <w:pPr>
        <w:pStyle w:val="ListParagraph"/>
        <w:numPr>
          <w:ilvl w:val="0"/>
          <w:numId w:val="16"/>
        </w:numPr>
        <w:tabs>
          <w:tab w:val="left" w:pos="1699"/>
        </w:tabs>
        <w:spacing w:before="1"/>
        <w:ind w:right="959"/>
        <w:rPr>
          <w:sz w:val="18"/>
        </w:rPr>
      </w:pPr>
      <w:r>
        <w:rPr>
          <w:sz w:val="18"/>
        </w:rPr>
        <w:t>the</w:t>
      </w:r>
      <w:r>
        <w:rPr>
          <w:spacing w:val="-2"/>
          <w:sz w:val="18"/>
        </w:rPr>
        <w:t xml:space="preserve"> </w:t>
      </w:r>
      <w:r>
        <w:rPr>
          <w:sz w:val="18"/>
        </w:rPr>
        <w:t>prescribed</w:t>
      </w:r>
      <w:r>
        <w:rPr>
          <w:spacing w:val="-2"/>
          <w:sz w:val="18"/>
        </w:rPr>
        <w:t xml:space="preserve"> </w:t>
      </w:r>
      <w:r>
        <w:rPr>
          <w:sz w:val="18"/>
        </w:rPr>
        <w:t>requirements</w:t>
      </w:r>
      <w:r>
        <w:rPr>
          <w:spacing w:val="-4"/>
          <w:sz w:val="18"/>
        </w:rPr>
        <w:t xml:space="preserve"> </w:t>
      </w:r>
      <w:r>
        <w:rPr>
          <w:sz w:val="18"/>
        </w:rPr>
        <w:t>in</w:t>
      </w:r>
      <w:r>
        <w:rPr>
          <w:spacing w:val="-5"/>
          <w:sz w:val="18"/>
        </w:rPr>
        <w:t xml:space="preserve"> </w:t>
      </w:r>
      <w:r>
        <w:rPr>
          <w:sz w:val="18"/>
        </w:rPr>
        <w:t>respect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establishment</w:t>
      </w:r>
      <w:r>
        <w:rPr>
          <w:spacing w:val="-5"/>
          <w:sz w:val="18"/>
        </w:rPr>
        <w:t xml:space="preserve"> </w:t>
      </w:r>
      <w:r>
        <w:rPr>
          <w:sz w:val="18"/>
        </w:rPr>
        <w:t>and</w:t>
      </w:r>
      <w:r>
        <w:rPr>
          <w:spacing w:val="-2"/>
          <w:sz w:val="18"/>
        </w:rPr>
        <w:t xml:space="preserve"> </w:t>
      </w:r>
      <w:r>
        <w:rPr>
          <w:sz w:val="18"/>
        </w:rPr>
        <w:t>keeping</w:t>
      </w:r>
      <w:r>
        <w:rPr>
          <w:spacing w:val="-2"/>
          <w:sz w:val="18"/>
        </w:rPr>
        <w:t xml:space="preserve"> </w:t>
      </w:r>
      <w:r>
        <w:rPr>
          <w:sz w:val="18"/>
        </w:rPr>
        <w:t>of</w:t>
      </w:r>
      <w:r>
        <w:rPr>
          <w:spacing w:val="-3"/>
          <w:sz w:val="18"/>
        </w:rPr>
        <w:t xml:space="preserve"> </w:t>
      </w:r>
      <w:r>
        <w:rPr>
          <w:sz w:val="18"/>
        </w:rPr>
        <w:t>accounts</w:t>
      </w:r>
      <w:r>
        <w:rPr>
          <w:spacing w:val="-2"/>
          <w:sz w:val="18"/>
        </w:rPr>
        <w:t xml:space="preserve"> </w:t>
      </w:r>
      <w:r>
        <w:rPr>
          <w:sz w:val="18"/>
        </w:rPr>
        <w:t>have</w:t>
      </w:r>
      <w:r>
        <w:rPr>
          <w:spacing w:val="-5"/>
          <w:sz w:val="18"/>
        </w:rPr>
        <w:t xml:space="preserve"> </w:t>
      </w:r>
      <w:r>
        <w:rPr>
          <w:sz w:val="18"/>
        </w:rPr>
        <w:t>been complied with in all material respects;</w:t>
      </w:r>
      <w:r>
        <w:rPr>
          <w:spacing w:val="40"/>
          <w:sz w:val="18"/>
        </w:rPr>
        <w:t xml:space="preserve"> </w:t>
      </w:r>
      <w:r>
        <w:rPr>
          <w:sz w:val="18"/>
        </w:rPr>
        <w:t>and</w:t>
      </w:r>
    </w:p>
    <w:p w14:paraId="4A75031F" w14:textId="77777777" w:rsidR="00AC6F3C" w:rsidRDefault="00AC6F3C">
      <w:pPr>
        <w:pStyle w:val="BodyText"/>
        <w:spacing w:before="10"/>
      </w:pPr>
    </w:p>
    <w:p w14:paraId="06058C37" w14:textId="77777777" w:rsidR="00AC6F3C" w:rsidRDefault="00570E88">
      <w:pPr>
        <w:pStyle w:val="ListParagraph"/>
        <w:numPr>
          <w:ilvl w:val="0"/>
          <w:numId w:val="16"/>
        </w:numPr>
        <w:tabs>
          <w:tab w:val="left" w:pos="1699"/>
        </w:tabs>
        <w:spacing w:before="1"/>
        <w:ind w:right="465"/>
        <w:rPr>
          <w:sz w:val="18"/>
        </w:rPr>
      </w:pPr>
      <w:r>
        <w:rPr>
          <w:sz w:val="18"/>
        </w:rPr>
        <w:t>the financial statements have</w:t>
      </w:r>
      <w:r>
        <w:rPr>
          <w:spacing w:val="-2"/>
          <w:sz w:val="18"/>
        </w:rPr>
        <w:t xml:space="preserve"> </w:t>
      </w:r>
      <w:r>
        <w:rPr>
          <w:sz w:val="18"/>
        </w:rPr>
        <w:t>been</w:t>
      </w:r>
      <w:r>
        <w:rPr>
          <w:spacing w:val="-2"/>
          <w:sz w:val="18"/>
        </w:rPr>
        <w:t xml:space="preserve"> </w:t>
      </w:r>
      <w:r>
        <w:rPr>
          <w:sz w:val="18"/>
        </w:rPr>
        <w:t>drawn up so as to</w:t>
      </w:r>
      <w:r>
        <w:rPr>
          <w:spacing w:val="-2"/>
          <w:sz w:val="18"/>
        </w:rPr>
        <w:t xml:space="preserve"> </w:t>
      </w:r>
      <w:r>
        <w:rPr>
          <w:sz w:val="18"/>
        </w:rPr>
        <w:t>present a true and fair view,</w:t>
      </w:r>
      <w:r>
        <w:rPr>
          <w:spacing w:val="-2"/>
          <w:sz w:val="18"/>
        </w:rPr>
        <w:t xml:space="preserve"> </w:t>
      </w:r>
      <w:r>
        <w:rPr>
          <w:sz w:val="18"/>
        </w:rPr>
        <w:t>in accordance with the</w:t>
      </w:r>
      <w:r>
        <w:rPr>
          <w:spacing w:val="-2"/>
          <w:sz w:val="18"/>
        </w:rPr>
        <w:t xml:space="preserve"> </w:t>
      </w:r>
      <w:r>
        <w:rPr>
          <w:sz w:val="18"/>
        </w:rPr>
        <w:t>prescribed</w:t>
      </w:r>
      <w:r>
        <w:rPr>
          <w:spacing w:val="-2"/>
          <w:sz w:val="18"/>
        </w:rPr>
        <w:t xml:space="preserve"> </w:t>
      </w:r>
      <w:r>
        <w:rPr>
          <w:sz w:val="18"/>
        </w:rPr>
        <w:t>accounting</w:t>
      </w:r>
      <w:r>
        <w:rPr>
          <w:spacing w:val="-5"/>
          <w:sz w:val="18"/>
        </w:rPr>
        <w:t xml:space="preserve"> </w:t>
      </w:r>
      <w:r>
        <w:rPr>
          <w:sz w:val="18"/>
        </w:rPr>
        <w:t>standards,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transactions</w:t>
      </w:r>
      <w:r>
        <w:rPr>
          <w:spacing w:val="-2"/>
          <w:sz w:val="18"/>
        </w:rPr>
        <w:t xml:space="preserve"> </w:t>
      </w:r>
      <w:r>
        <w:rPr>
          <w:sz w:val="18"/>
        </w:rPr>
        <w:t>of</w:t>
      </w:r>
      <w:r>
        <w:rPr>
          <w:spacing w:val="-5"/>
          <w:sz w:val="18"/>
        </w:rPr>
        <w:t xml:space="preserve"> </w:t>
      </w:r>
      <w:r>
        <w:rPr>
          <w:sz w:val="18"/>
        </w:rPr>
        <w:t>the</w:t>
      </w:r>
      <w:r>
        <w:rPr>
          <w:spacing w:val="-2"/>
          <w:sz w:val="18"/>
        </w:rPr>
        <w:t xml:space="preserve"> </w:t>
      </w:r>
      <w:r>
        <w:rPr>
          <w:sz w:val="18"/>
        </w:rPr>
        <w:t>Law</w:t>
      </w:r>
      <w:r>
        <w:rPr>
          <w:spacing w:val="-3"/>
          <w:sz w:val="18"/>
        </w:rPr>
        <w:t xml:space="preserve"> </w:t>
      </w:r>
      <w:r>
        <w:rPr>
          <w:sz w:val="18"/>
        </w:rPr>
        <w:t>Claims</w:t>
      </w:r>
      <w:r>
        <w:rPr>
          <w:spacing w:val="-2"/>
          <w:sz w:val="18"/>
        </w:rPr>
        <w:t xml:space="preserve"> </w:t>
      </w:r>
      <w:r>
        <w:rPr>
          <w:sz w:val="18"/>
        </w:rPr>
        <w:t>Levy</w:t>
      </w:r>
      <w:r>
        <w:rPr>
          <w:spacing w:val="-2"/>
          <w:sz w:val="18"/>
        </w:rPr>
        <w:t xml:space="preserve"> </w:t>
      </w:r>
      <w:r>
        <w:rPr>
          <w:sz w:val="18"/>
        </w:rPr>
        <w:t>Fund</w:t>
      </w:r>
      <w:r>
        <w:rPr>
          <w:spacing w:val="-2"/>
          <w:sz w:val="18"/>
        </w:rPr>
        <w:t xml:space="preserve"> </w:t>
      </w:r>
      <w:r>
        <w:rPr>
          <w:sz w:val="18"/>
        </w:rPr>
        <w:t>for</w:t>
      </w:r>
      <w:r>
        <w:rPr>
          <w:spacing w:val="-5"/>
          <w:sz w:val="18"/>
        </w:rPr>
        <w:t xml:space="preserve"> </w:t>
      </w:r>
      <w:r>
        <w:rPr>
          <w:sz w:val="18"/>
        </w:rPr>
        <w:t>the</w:t>
      </w:r>
      <w:r>
        <w:rPr>
          <w:spacing w:val="-2"/>
          <w:sz w:val="18"/>
        </w:rPr>
        <w:t xml:space="preserve"> </w:t>
      </w:r>
      <w:r>
        <w:rPr>
          <w:sz w:val="18"/>
        </w:rPr>
        <w:t>financial year ended 30 June 2023 and of the financial position of the Fund as at the end of that year.</w:t>
      </w:r>
    </w:p>
    <w:p w14:paraId="1DE0C631" w14:textId="77777777" w:rsidR="00AC6F3C" w:rsidRDefault="00AC6F3C">
      <w:pPr>
        <w:pStyle w:val="BodyText"/>
        <w:spacing w:before="10"/>
      </w:pPr>
    </w:p>
    <w:p w14:paraId="531FFFB8" w14:textId="149F5734" w:rsidR="00AC6F3C" w:rsidRDefault="00570E88">
      <w:pPr>
        <w:ind w:left="979" w:right="468" w:hanging="1"/>
        <w:rPr>
          <w:sz w:val="18"/>
        </w:rPr>
      </w:pPr>
      <w:r>
        <w:rPr>
          <w:sz w:val="18"/>
        </w:rPr>
        <w:t>We</w:t>
      </w:r>
      <w:r>
        <w:rPr>
          <w:spacing w:val="-2"/>
          <w:sz w:val="18"/>
        </w:rPr>
        <w:t xml:space="preserve"> </w:t>
      </w:r>
      <w:r>
        <w:rPr>
          <w:sz w:val="18"/>
        </w:rPr>
        <w:t>acknowledge</w:t>
      </w:r>
      <w:r>
        <w:rPr>
          <w:spacing w:val="-2"/>
          <w:sz w:val="18"/>
        </w:rPr>
        <w:t xml:space="preserve"> </w:t>
      </w:r>
      <w:r>
        <w:rPr>
          <w:sz w:val="18"/>
        </w:rPr>
        <w:t>responsibility</w:t>
      </w:r>
      <w:r>
        <w:rPr>
          <w:spacing w:val="-2"/>
          <w:sz w:val="18"/>
        </w:rPr>
        <w:t xml:space="preserve"> </w:t>
      </w:r>
      <w:r>
        <w:rPr>
          <w:sz w:val="18"/>
        </w:rPr>
        <w:t>under</w:t>
      </w:r>
      <w:r>
        <w:rPr>
          <w:spacing w:val="-3"/>
          <w:sz w:val="18"/>
        </w:rPr>
        <w:t xml:space="preserve"> </w:t>
      </w:r>
      <w:r>
        <w:rPr>
          <w:sz w:val="18"/>
        </w:rPr>
        <w:t>section</w:t>
      </w:r>
      <w:r>
        <w:rPr>
          <w:spacing w:val="-5"/>
          <w:sz w:val="18"/>
        </w:rPr>
        <w:t xml:space="preserve"> </w:t>
      </w:r>
      <w:r>
        <w:rPr>
          <w:sz w:val="18"/>
        </w:rPr>
        <w:t>7</w:t>
      </w:r>
      <w:r>
        <w:rPr>
          <w:spacing w:val="-2"/>
          <w:sz w:val="18"/>
        </w:rPr>
        <w:t xml:space="preserve"> </w:t>
      </w:r>
      <w:r>
        <w:rPr>
          <w:sz w:val="18"/>
        </w:rPr>
        <w:t>and</w:t>
      </w:r>
      <w:r>
        <w:rPr>
          <w:spacing w:val="-2"/>
          <w:sz w:val="18"/>
        </w:rPr>
        <w:t xml:space="preserve"> </w:t>
      </w:r>
      <w:r>
        <w:rPr>
          <w:sz w:val="18"/>
        </w:rPr>
        <w:t>section</w:t>
      </w:r>
      <w:r>
        <w:rPr>
          <w:spacing w:val="-5"/>
          <w:sz w:val="18"/>
        </w:rPr>
        <w:t xml:space="preserve"> </w:t>
      </w:r>
      <w:r>
        <w:rPr>
          <w:sz w:val="18"/>
        </w:rPr>
        <w:t>11</w:t>
      </w:r>
      <w:r>
        <w:rPr>
          <w:spacing w:val="-2"/>
          <w:sz w:val="18"/>
        </w:rPr>
        <w:t xml:space="preserve"> </w:t>
      </w:r>
      <w:r>
        <w:rPr>
          <w:sz w:val="18"/>
        </w:rPr>
        <w:t>of</w:t>
      </w:r>
      <w:r>
        <w:rPr>
          <w:spacing w:val="-3"/>
          <w:sz w:val="18"/>
        </w:rPr>
        <w:t xml:space="preserve"> </w:t>
      </w:r>
      <w:r>
        <w:rPr>
          <w:sz w:val="18"/>
        </w:rPr>
        <w:t>the</w:t>
      </w:r>
      <w:r>
        <w:rPr>
          <w:spacing w:val="-2"/>
          <w:sz w:val="18"/>
        </w:rPr>
        <w:t xml:space="preserve"> </w:t>
      </w:r>
      <w:r>
        <w:rPr>
          <w:i/>
          <w:sz w:val="18"/>
        </w:rPr>
        <w:t>Financial</w:t>
      </w:r>
      <w:r>
        <w:rPr>
          <w:i/>
          <w:spacing w:val="-5"/>
          <w:sz w:val="18"/>
        </w:rPr>
        <w:t xml:space="preserve"> </w:t>
      </w:r>
      <w:r>
        <w:rPr>
          <w:i/>
          <w:sz w:val="18"/>
        </w:rPr>
        <w:t>and</w:t>
      </w:r>
      <w:r>
        <w:rPr>
          <w:i/>
          <w:spacing w:val="-2"/>
          <w:sz w:val="18"/>
        </w:rPr>
        <w:t xml:space="preserve"> </w:t>
      </w:r>
      <w:r>
        <w:rPr>
          <w:i/>
          <w:sz w:val="18"/>
        </w:rPr>
        <w:t>Performance</w:t>
      </w:r>
      <w:r>
        <w:rPr>
          <w:i/>
          <w:spacing w:val="-2"/>
          <w:sz w:val="18"/>
        </w:rPr>
        <w:t xml:space="preserve"> </w:t>
      </w:r>
      <w:r>
        <w:rPr>
          <w:i/>
          <w:sz w:val="18"/>
        </w:rPr>
        <w:t xml:space="preserve">Management Standard 2019 </w:t>
      </w:r>
      <w:r>
        <w:rPr>
          <w:sz w:val="18"/>
        </w:rPr>
        <w:t>for</w:t>
      </w:r>
      <w:r>
        <w:rPr>
          <w:spacing w:val="-1"/>
          <w:sz w:val="18"/>
        </w:rPr>
        <w:t xml:space="preserve"> </w:t>
      </w:r>
      <w:r>
        <w:rPr>
          <w:sz w:val="18"/>
        </w:rPr>
        <w:t>the</w:t>
      </w:r>
      <w:r>
        <w:rPr>
          <w:spacing w:val="-3"/>
          <w:sz w:val="18"/>
        </w:rPr>
        <w:t xml:space="preserve"> </w:t>
      </w:r>
      <w:r>
        <w:rPr>
          <w:sz w:val="18"/>
        </w:rPr>
        <w:t>establishment</w:t>
      </w:r>
      <w:r>
        <w:rPr>
          <w:spacing w:val="-1"/>
          <w:sz w:val="18"/>
        </w:rPr>
        <w:t xml:space="preserve"> </w:t>
      </w:r>
      <w:r>
        <w:rPr>
          <w:sz w:val="18"/>
        </w:rPr>
        <w:t>and maintenance,</w:t>
      </w:r>
      <w:r>
        <w:rPr>
          <w:spacing w:val="-3"/>
          <w:sz w:val="18"/>
        </w:rPr>
        <w:t xml:space="preserve"> </w:t>
      </w:r>
      <w:r>
        <w:rPr>
          <w:sz w:val="18"/>
        </w:rPr>
        <w:t>in</w:t>
      </w:r>
      <w:r>
        <w:rPr>
          <w:spacing w:val="-3"/>
          <w:sz w:val="18"/>
        </w:rPr>
        <w:t xml:space="preserve"> </w:t>
      </w:r>
      <w:r>
        <w:rPr>
          <w:sz w:val="18"/>
        </w:rPr>
        <w:t>all</w:t>
      </w:r>
      <w:r>
        <w:rPr>
          <w:spacing w:val="-3"/>
          <w:sz w:val="18"/>
        </w:rPr>
        <w:t xml:space="preserve"> </w:t>
      </w:r>
      <w:r>
        <w:rPr>
          <w:sz w:val="18"/>
        </w:rPr>
        <w:t>material respects,</w:t>
      </w:r>
      <w:r>
        <w:rPr>
          <w:spacing w:val="-3"/>
          <w:sz w:val="18"/>
        </w:rPr>
        <w:t xml:space="preserve"> </w:t>
      </w:r>
      <w:r>
        <w:rPr>
          <w:sz w:val="18"/>
        </w:rPr>
        <w:t>of</w:t>
      </w:r>
      <w:r>
        <w:rPr>
          <w:spacing w:val="-1"/>
          <w:sz w:val="18"/>
        </w:rPr>
        <w:t xml:space="preserve"> </w:t>
      </w:r>
      <w:r>
        <w:rPr>
          <w:sz w:val="18"/>
        </w:rPr>
        <w:t>an</w:t>
      </w:r>
      <w:r>
        <w:rPr>
          <w:spacing w:val="-3"/>
          <w:sz w:val="18"/>
        </w:rPr>
        <w:t xml:space="preserve"> </w:t>
      </w:r>
      <w:r>
        <w:rPr>
          <w:sz w:val="18"/>
        </w:rPr>
        <w:t>appropriate</w:t>
      </w:r>
      <w:r>
        <w:rPr>
          <w:spacing w:val="-3"/>
          <w:sz w:val="18"/>
        </w:rPr>
        <w:t xml:space="preserve"> </w:t>
      </w:r>
      <w:r>
        <w:rPr>
          <w:sz w:val="18"/>
        </w:rPr>
        <w:t>and</w:t>
      </w:r>
      <w:r>
        <w:rPr>
          <w:spacing w:val="-3"/>
          <w:sz w:val="18"/>
        </w:rPr>
        <w:t xml:space="preserve"> </w:t>
      </w:r>
      <w:r>
        <w:rPr>
          <w:sz w:val="18"/>
        </w:rPr>
        <w:t>effective system of internal controls and risk management processes with respect to financial reporting throughout the reporting period.</w:t>
      </w:r>
    </w:p>
    <w:p w14:paraId="0DA21F59" w14:textId="77777777" w:rsidR="00AC6F3C" w:rsidRDefault="00AC6F3C">
      <w:pPr>
        <w:pStyle w:val="BodyText"/>
      </w:pPr>
    </w:p>
    <w:p w14:paraId="1F994338" w14:textId="77777777" w:rsidR="00AC6F3C" w:rsidRDefault="00AC6F3C">
      <w:pPr>
        <w:pStyle w:val="BodyText"/>
      </w:pPr>
    </w:p>
    <w:p w14:paraId="55B4836C" w14:textId="77777777" w:rsidR="00AC6F3C" w:rsidRDefault="00AC6F3C">
      <w:pPr>
        <w:pStyle w:val="BodyText"/>
      </w:pPr>
    </w:p>
    <w:p w14:paraId="0922BC66" w14:textId="77777777" w:rsidR="00AC6F3C" w:rsidRDefault="00AC6F3C">
      <w:pPr>
        <w:pStyle w:val="BodyText"/>
      </w:pPr>
    </w:p>
    <w:p w14:paraId="14A259B1" w14:textId="77777777" w:rsidR="00AC6F3C" w:rsidRDefault="00AC6F3C">
      <w:pPr>
        <w:pStyle w:val="BodyText"/>
      </w:pPr>
    </w:p>
    <w:p w14:paraId="33579D77" w14:textId="77777777" w:rsidR="00AC6F3C" w:rsidRDefault="00570E88">
      <w:pPr>
        <w:pStyle w:val="BodyText"/>
        <w:spacing w:before="8"/>
        <w:rPr>
          <w:sz w:val="26"/>
        </w:rPr>
      </w:pPr>
      <w:r>
        <w:rPr>
          <w:noProof/>
        </w:rPr>
        <mc:AlternateContent>
          <mc:Choice Requires="wps">
            <w:drawing>
              <wp:anchor distT="0" distB="0" distL="0" distR="0" simplePos="0" relativeHeight="487696896" behindDoc="1" locked="0" layoutInCell="1" allowOverlap="1" wp14:anchorId="00F5FE53" wp14:editId="782A570B">
                <wp:simplePos x="0" y="0"/>
                <wp:positionH relativeFrom="page">
                  <wp:posOffset>914331</wp:posOffset>
                </wp:positionH>
                <wp:positionV relativeFrom="paragraph">
                  <wp:posOffset>210692</wp:posOffset>
                </wp:positionV>
                <wp:extent cx="1970405" cy="635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6350"/>
                        </a:xfrm>
                        <a:custGeom>
                          <a:avLst/>
                          <a:gdLst/>
                          <a:ahLst/>
                          <a:cxnLst/>
                          <a:rect l="l" t="t" r="r" b="b"/>
                          <a:pathLst>
                            <a:path w="1970405" h="6350">
                              <a:moveTo>
                                <a:pt x="1970384" y="6094"/>
                              </a:moveTo>
                              <a:lnTo>
                                <a:pt x="0" y="6094"/>
                              </a:lnTo>
                              <a:lnTo>
                                <a:pt x="0" y="0"/>
                              </a:lnTo>
                              <a:lnTo>
                                <a:pt x="1970384" y="0"/>
                              </a:lnTo>
                              <a:lnTo>
                                <a:pt x="1970384"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D378F" id="Graphic 808" o:spid="_x0000_s1026" style="position:absolute;margin-left:1in;margin-top:16.6pt;width:155.15pt;height:.5pt;z-index:-15619584;visibility:visible;mso-wrap-style:square;mso-wrap-distance-left:0;mso-wrap-distance-top:0;mso-wrap-distance-right:0;mso-wrap-distance-bottom:0;mso-position-horizontal:absolute;mso-position-horizontal-relative:page;mso-position-vertical:absolute;mso-position-vertical-relative:text;v-text-anchor:top" coordsize="197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" path="m1970384,6094l,6094,,,1970384,r,6094xe" fillcolor="black" stroked="f">
                <v:path arrowok="t"/>
                <w10:wrap type="topAndBottom" anchorx="page"/>
              </v:shape>
            </w:pict>
          </mc:Fallback>
        </mc:AlternateContent>
      </w:r>
      <w:r>
        <w:rPr>
          <w:noProof/>
        </w:rPr>
        <mc:AlternateContent>
          <mc:Choice Requires="wps">
            <w:drawing>
              <wp:anchor distT="0" distB="0" distL="0" distR="0" simplePos="0" relativeHeight="487697408" behindDoc="1" locked="0" layoutInCell="1" allowOverlap="1" wp14:anchorId="0B5A373D" wp14:editId="1F05CFF1">
                <wp:simplePos x="0" y="0"/>
                <wp:positionH relativeFrom="page">
                  <wp:posOffset>3952961</wp:posOffset>
                </wp:positionH>
                <wp:positionV relativeFrom="paragraph">
                  <wp:posOffset>210692</wp:posOffset>
                </wp:positionV>
                <wp:extent cx="1889760" cy="635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6350"/>
                        </a:xfrm>
                        <a:custGeom>
                          <a:avLst/>
                          <a:gdLst/>
                          <a:ahLst/>
                          <a:cxnLst/>
                          <a:rect l="l" t="t" r="r" b="b"/>
                          <a:pathLst>
                            <a:path w="1889760" h="6350">
                              <a:moveTo>
                                <a:pt x="1889618" y="6094"/>
                              </a:moveTo>
                              <a:lnTo>
                                <a:pt x="0" y="6094"/>
                              </a:lnTo>
                              <a:lnTo>
                                <a:pt x="0" y="0"/>
                              </a:lnTo>
                              <a:lnTo>
                                <a:pt x="1889618" y="0"/>
                              </a:lnTo>
                              <a:lnTo>
                                <a:pt x="188961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E3FD6" id="Graphic 809" o:spid="_x0000_s1026" style="position:absolute;margin-left:311.25pt;margin-top:16.6pt;width:148.8pt;height:.5pt;z-index:-15619072;visibility:visible;mso-wrap-style:square;mso-wrap-distance-left:0;mso-wrap-distance-top:0;mso-wrap-distance-right:0;mso-wrap-distance-bottom:0;mso-position-horizontal:absolute;mso-position-horizontal-relative:page;mso-position-vertical:absolute;mso-position-vertical-relative:text;v-text-anchor:top" coordsize="188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" path="m1889618,6094l,6094,,,1889618,r,6094xe" fillcolor="black" stroked="f">
                <v:path arrowok="t"/>
                <w10:wrap type="topAndBottom" anchorx="page"/>
              </v:shape>
            </w:pict>
          </mc:Fallback>
        </mc:AlternateContent>
      </w:r>
    </w:p>
    <w:p w14:paraId="4340A09E" w14:textId="77777777" w:rsidR="00AC6F3C" w:rsidRDefault="00570E88">
      <w:pPr>
        <w:pStyle w:val="BodyText"/>
        <w:ind w:left="1087"/>
      </w:pPr>
      <w:r>
        <w:rPr>
          <w:noProof/>
        </w:rPr>
        <mc:AlternateContent>
          <mc:Choice Requires="wpg">
            <w:drawing>
              <wp:inline distT="0" distB="0" distL="0" distR="0" wp14:anchorId="3D070D8B" wp14:editId="529F61CA">
                <wp:extent cx="4317365" cy="653415"/>
                <wp:effectExtent l="0" t="0" r="0" b="3809"/>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653415"/>
                          <a:chOff x="0" y="0"/>
                          <a:chExt cx="4317365" cy="653415"/>
                        </a:xfrm>
                      </wpg:grpSpPr>
                      <wps:wsp>
                        <wps:cNvPr id="811" name="Textbox 811"/>
                        <wps:cNvSpPr txBox="1"/>
                        <wps:spPr>
                          <a:xfrm>
                            <a:off x="0" y="0"/>
                            <a:ext cx="1278890" cy="391795"/>
                          </a:xfrm>
                          <a:prstGeom prst="rect">
                            <a:avLst/>
                          </a:prstGeom>
                        </wps:spPr>
                        <wps:txbx>
                          <w:txbxContent>
                            <w:p w14:paraId="222F60C2" w14:textId="77777777" w:rsidR="00AC6F3C" w:rsidRDefault="00570E88">
                              <w:pPr>
                                <w:spacing w:line="201" w:lineRule="exact"/>
                                <w:rPr>
                                  <w:sz w:val="18"/>
                                </w:rPr>
                              </w:pPr>
                              <w:r>
                                <w:rPr>
                                  <w:spacing w:val="-2"/>
                                  <w:sz w:val="18"/>
                                </w:rPr>
                                <w:t>President</w:t>
                              </w:r>
                            </w:p>
                            <w:p w14:paraId="0E9FA43B" w14:textId="77777777" w:rsidR="00AC6F3C" w:rsidRDefault="00570E88">
                              <w:pPr>
                                <w:spacing w:line="207" w:lineRule="exact"/>
                                <w:rPr>
                                  <w:sz w:val="18"/>
                                </w:rPr>
                              </w:pPr>
                              <w:r>
                                <w:rPr>
                                  <w:sz w:val="18"/>
                                </w:rPr>
                                <w:t>Queensland</w:t>
                              </w:r>
                              <w:r>
                                <w:rPr>
                                  <w:spacing w:val="-4"/>
                                  <w:sz w:val="18"/>
                                </w:rPr>
                                <w:t xml:space="preserve"> </w:t>
                              </w:r>
                              <w:r>
                                <w:rPr>
                                  <w:sz w:val="18"/>
                                </w:rPr>
                                <w:t>Law</w:t>
                              </w:r>
                              <w:r>
                                <w:rPr>
                                  <w:spacing w:val="-1"/>
                                  <w:sz w:val="18"/>
                                </w:rPr>
                                <w:t xml:space="preserve"> </w:t>
                              </w:r>
                              <w:r>
                                <w:rPr>
                                  <w:spacing w:val="-2"/>
                                  <w:sz w:val="18"/>
                                </w:rPr>
                                <w:t>Society</w:t>
                              </w:r>
                            </w:p>
                            <w:p w14:paraId="1D6C364A" w14:textId="77777777" w:rsidR="00AC6F3C" w:rsidRDefault="00570E88">
                              <w:pPr>
                                <w:spacing w:before="1"/>
                                <w:rPr>
                                  <w:sz w:val="18"/>
                                </w:rPr>
                              </w:pPr>
                              <w:r>
                                <w:rPr>
                                  <w:sz w:val="18"/>
                                </w:rPr>
                                <w:t xml:space="preserve">Chloé </w:t>
                              </w:r>
                              <w:r>
                                <w:rPr>
                                  <w:spacing w:val="-2"/>
                                  <w:sz w:val="18"/>
                                </w:rPr>
                                <w:t>Kopilović</w:t>
                              </w:r>
                            </w:p>
                          </w:txbxContent>
                        </wps:txbx>
                        <wps:bodyPr wrap="square" lIns="0" tIns="0" rIns="0" bIns="0" rtlCol="0">
                          <a:noAutofit/>
                        </wps:bodyPr>
                      </wps:wsp>
                      <wps:wsp>
                        <wps:cNvPr id="812" name="Textbox 812"/>
                        <wps:cNvSpPr txBox="1"/>
                        <wps:spPr>
                          <a:xfrm>
                            <a:off x="3038630" y="0"/>
                            <a:ext cx="1278890" cy="391795"/>
                          </a:xfrm>
                          <a:prstGeom prst="rect">
                            <a:avLst/>
                          </a:prstGeom>
                        </wps:spPr>
                        <wps:txbx>
                          <w:txbxContent>
                            <w:p w14:paraId="4532E4B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wps:txbx>
                        <wps:bodyPr wrap="square" lIns="0" tIns="0" rIns="0" bIns="0" rtlCol="0">
                          <a:noAutofit/>
                        </wps:bodyPr>
                      </wps:wsp>
                      <wps:wsp>
                        <wps:cNvPr id="813" name="Textbox 813"/>
                        <wps:cNvSpPr txBox="1"/>
                        <wps:spPr>
                          <a:xfrm>
                            <a:off x="0" y="525686"/>
                            <a:ext cx="814069" cy="128270"/>
                          </a:xfrm>
                          <a:prstGeom prst="rect">
                            <a:avLst/>
                          </a:prstGeom>
                        </wps:spPr>
                        <wps:txbx>
                          <w:txbxContent>
                            <w:p w14:paraId="63AFC50C"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s:wsp>
                        <wps:cNvPr id="814" name="Textbox 814"/>
                        <wps:cNvSpPr txBox="1"/>
                        <wps:spPr>
                          <a:xfrm>
                            <a:off x="3038630" y="525686"/>
                            <a:ext cx="813435" cy="128270"/>
                          </a:xfrm>
                          <a:prstGeom prst="rect">
                            <a:avLst/>
                          </a:prstGeom>
                        </wps:spPr>
                        <wps:txbx>
                          <w:txbxContent>
                            <w:p w14:paraId="20D68D31" w14:textId="77777777" w:rsidR="00AC6F3C" w:rsidRDefault="00570E88">
                              <w:pPr>
                                <w:spacing w:line="201" w:lineRule="exact"/>
                                <w:rPr>
                                  <w:sz w:val="18"/>
                                </w:rPr>
                              </w:pPr>
                              <w:r>
                                <w:rPr>
                                  <w:sz w:val="18"/>
                                </w:rPr>
                                <w:t>30</w:t>
                              </w:r>
                              <w:r>
                                <w:rPr>
                                  <w:spacing w:val="-1"/>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g:wgp>
                  </a:graphicData>
                </a:graphic>
              </wp:inline>
            </w:drawing>
          </mc:Choice>
          <mc:Fallback>
            <w:pict>
              <v:group w14:anchorId="3D070D8B" id="Group 810" o:spid="_x0000_s1035" style="width:339.95pt;height:51.45pt;mso-position-horizontal-relative:char;mso-position-vertical-relative:line" coordsize="43173,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">
                <v:shape id="Textbox 811" o:spid="_x0000_s1036" type="#_x0000_t202" style="position:absolute;width:1278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222F60C2" w14:textId="77777777" w:rsidR="00AC6F3C" w:rsidRDefault="00570E88">
                        <w:pPr>
                          <w:spacing w:line="201" w:lineRule="exact"/>
                          <w:rPr>
                            <w:sz w:val="18"/>
                          </w:rPr>
                        </w:pPr>
                        <w:r>
                          <w:rPr>
                            <w:spacing w:val="-2"/>
                            <w:sz w:val="18"/>
                          </w:rPr>
                          <w:t>President</w:t>
                        </w:r>
                      </w:p>
                      <w:p w14:paraId="0E9FA43B" w14:textId="77777777" w:rsidR="00AC6F3C" w:rsidRDefault="00570E88">
                        <w:pPr>
                          <w:spacing w:line="207" w:lineRule="exact"/>
                          <w:rPr>
                            <w:sz w:val="18"/>
                          </w:rPr>
                        </w:pPr>
                        <w:r>
                          <w:rPr>
                            <w:sz w:val="18"/>
                          </w:rPr>
                          <w:t>Queensland</w:t>
                        </w:r>
                        <w:r>
                          <w:rPr>
                            <w:spacing w:val="-4"/>
                            <w:sz w:val="18"/>
                          </w:rPr>
                          <w:t xml:space="preserve"> </w:t>
                        </w:r>
                        <w:r>
                          <w:rPr>
                            <w:sz w:val="18"/>
                          </w:rPr>
                          <w:t>Law</w:t>
                        </w:r>
                        <w:r>
                          <w:rPr>
                            <w:spacing w:val="-1"/>
                            <w:sz w:val="18"/>
                          </w:rPr>
                          <w:t xml:space="preserve"> </w:t>
                        </w:r>
                        <w:r>
                          <w:rPr>
                            <w:spacing w:val="-2"/>
                            <w:sz w:val="18"/>
                          </w:rPr>
                          <w:t>Society</w:t>
                        </w:r>
                      </w:p>
                      <w:p w14:paraId="1D6C364A" w14:textId="77777777" w:rsidR="00AC6F3C" w:rsidRDefault="00570E88">
                        <w:pPr>
                          <w:spacing w:before="1"/>
                          <w:rPr>
                            <w:sz w:val="18"/>
                          </w:rPr>
                        </w:pPr>
                        <w:r>
                          <w:rPr>
                            <w:sz w:val="18"/>
                          </w:rPr>
                          <w:t xml:space="preserve">Chloé </w:t>
                        </w:r>
                        <w:r>
                          <w:rPr>
                            <w:spacing w:val="-2"/>
                            <w:sz w:val="18"/>
                          </w:rPr>
                          <w:t>Kopilović</w:t>
                        </w:r>
                      </w:p>
                    </w:txbxContent>
                  </v:textbox>
                </v:shape>
                <v:shape id="Textbox 812" o:spid="_x0000_s1037" type="#_x0000_t202" style="position:absolute;left:30386;width:1278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4532E4B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v:textbox>
                </v:shape>
                <v:shape id="Textbox 813" o:spid="_x0000_s1038" type="#_x0000_t202" style="position:absolute;top:5256;width:8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63AFC50C"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v:textbox>
                </v:shape>
                <v:shape id="Textbox 814" o:spid="_x0000_s1039" type="#_x0000_t202" style="position:absolute;left:30386;top:5256;width:813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20D68D31" w14:textId="77777777" w:rsidR="00AC6F3C" w:rsidRDefault="00570E88">
                        <w:pPr>
                          <w:spacing w:line="201" w:lineRule="exact"/>
                          <w:rPr>
                            <w:sz w:val="18"/>
                          </w:rPr>
                        </w:pPr>
                        <w:r>
                          <w:rPr>
                            <w:sz w:val="18"/>
                          </w:rPr>
                          <w:t>30</w:t>
                        </w:r>
                        <w:r>
                          <w:rPr>
                            <w:spacing w:val="-1"/>
                            <w:sz w:val="18"/>
                          </w:rPr>
                          <w:t xml:space="preserve"> </w:t>
                        </w:r>
                        <w:r>
                          <w:rPr>
                            <w:sz w:val="18"/>
                          </w:rPr>
                          <w:t>August</w:t>
                        </w:r>
                        <w:r>
                          <w:rPr>
                            <w:spacing w:val="-2"/>
                            <w:sz w:val="18"/>
                          </w:rPr>
                          <w:t xml:space="preserve"> </w:t>
                        </w:r>
                        <w:r>
                          <w:rPr>
                            <w:spacing w:val="-4"/>
                            <w:sz w:val="18"/>
                          </w:rPr>
                          <w:t>2023</w:t>
                        </w:r>
                      </w:p>
                    </w:txbxContent>
                  </v:textbox>
                </v:shape>
                <w10:anchorlock/>
              </v:group>
            </w:pict>
          </mc:Fallback>
        </mc:AlternateContent>
      </w:r>
    </w:p>
    <w:p w14:paraId="215EA4B1" w14:textId="77777777" w:rsidR="00AC6F3C" w:rsidRDefault="00AC6F3C">
      <w:pPr>
        <w:sectPr w:rsidR="00AC6F3C">
          <w:headerReference w:type="default" r:id="rId225"/>
          <w:footerReference w:type="default" r:id="rId226"/>
          <w:pgSz w:w="11910" w:h="16840"/>
          <w:pgMar w:top="1660" w:right="1160" w:bottom="520" w:left="460" w:header="1388" w:footer="336" w:gutter="0"/>
          <w:cols w:space="720"/>
        </w:sectPr>
      </w:pPr>
    </w:p>
    <w:p w14:paraId="46E0E53B" w14:textId="77777777" w:rsidR="00AC6F3C" w:rsidRDefault="00AC6F3C">
      <w:pPr>
        <w:pStyle w:val="BodyText"/>
      </w:pPr>
    </w:p>
    <w:p w14:paraId="3CC6D47D" w14:textId="77777777" w:rsidR="00AC6F3C" w:rsidRDefault="00AC6F3C">
      <w:pPr>
        <w:pStyle w:val="BodyText"/>
        <w:spacing w:before="7"/>
        <w:rPr>
          <w:sz w:val="26"/>
        </w:rPr>
      </w:pPr>
    </w:p>
    <w:p w14:paraId="32D280E6" w14:textId="77777777" w:rsidR="00AC6F3C" w:rsidRDefault="00570E88">
      <w:pPr>
        <w:spacing w:before="90"/>
        <w:ind w:left="815"/>
        <w:rPr>
          <w:b/>
          <w:sz w:val="32"/>
        </w:rPr>
      </w:pPr>
      <w:r>
        <w:rPr>
          <w:b/>
          <w:sz w:val="32"/>
        </w:rPr>
        <w:t>INDEPENDENT</w:t>
      </w:r>
      <w:r>
        <w:rPr>
          <w:b/>
          <w:spacing w:val="-17"/>
          <w:sz w:val="32"/>
        </w:rPr>
        <w:t xml:space="preserve"> </w:t>
      </w:r>
      <w:r>
        <w:rPr>
          <w:b/>
          <w:sz w:val="32"/>
        </w:rPr>
        <w:t>AUDITOR’S</w:t>
      </w:r>
      <w:r>
        <w:rPr>
          <w:b/>
          <w:spacing w:val="-4"/>
          <w:sz w:val="32"/>
        </w:rPr>
        <w:t xml:space="preserve"> </w:t>
      </w:r>
      <w:r>
        <w:rPr>
          <w:b/>
          <w:spacing w:val="-2"/>
          <w:sz w:val="32"/>
        </w:rPr>
        <w:t>REPORT</w:t>
      </w:r>
    </w:p>
    <w:p w14:paraId="50A7C7F4" w14:textId="77777777" w:rsidR="00AC6F3C" w:rsidRDefault="00570E88">
      <w:pPr>
        <w:pStyle w:val="BodyText"/>
        <w:spacing w:before="155"/>
        <w:ind w:left="815"/>
      </w:pPr>
      <w:r>
        <w:t>To</w:t>
      </w:r>
      <w:r>
        <w:rPr>
          <w:spacing w:val="-5"/>
        </w:rPr>
        <w:t xml:space="preserve"> </w:t>
      </w:r>
      <w:r>
        <w:t>the</w:t>
      </w:r>
      <w:r>
        <w:rPr>
          <w:spacing w:val="-5"/>
        </w:rPr>
        <w:t xml:space="preserve"> </w:t>
      </w:r>
      <w:r>
        <w:t>Council</w:t>
      </w:r>
      <w:r>
        <w:rPr>
          <w:spacing w:val="-5"/>
        </w:rPr>
        <w:t xml:space="preserve"> </w:t>
      </w:r>
      <w:r>
        <w:t>of</w:t>
      </w:r>
      <w:r>
        <w:rPr>
          <w:spacing w:val="-4"/>
        </w:rPr>
        <w:t xml:space="preserve"> </w:t>
      </w:r>
      <w:r>
        <w:t>Law</w:t>
      </w:r>
      <w:r>
        <w:rPr>
          <w:spacing w:val="-5"/>
        </w:rPr>
        <w:t xml:space="preserve"> </w:t>
      </w:r>
      <w:r>
        <w:t>Claims</w:t>
      </w:r>
      <w:r>
        <w:rPr>
          <w:spacing w:val="-5"/>
        </w:rPr>
        <w:t xml:space="preserve"> </w:t>
      </w:r>
      <w:r>
        <w:t>Levy</w:t>
      </w:r>
      <w:r>
        <w:rPr>
          <w:spacing w:val="-4"/>
        </w:rPr>
        <w:t xml:space="preserve"> Fund</w:t>
      </w:r>
    </w:p>
    <w:p w14:paraId="4FAEB1A8" w14:textId="77777777" w:rsidR="00AC6F3C" w:rsidRDefault="00AC6F3C">
      <w:pPr>
        <w:pStyle w:val="BodyText"/>
        <w:spacing w:before="9"/>
        <w:rPr>
          <w:sz w:val="31"/>
        </w:rPr>
      </w:pPr>
    </w:p>
    <w:p w14:paraId="7BE267F3" w14:textId="77777777" w:rsidR="00AC6F3C" w:rsidRDefault="00570E88">
      <w:pPr>
        <w:ind w:left="815"/>
        <w:rPr>
          <w:b/>
          <w:sz w:val="26"/>
        </w:rPr>
      </w:pPr>
      <w:r>
        <w:rPr>
          <w:b/>
          <w:sz w:val="26"/>
        </w:rPr>
        <w:t>Report</w:t>
      </w:r>
      <w:r>
        <w:rPr>
          <w:b/>
          <w:spacing w:val="-1"/>
          <w:sz w:val="26"/>
        </w:rPr>
        <w:t xml:space="preserve"> </w:t>
      </w:r>
      <w:r>
        <w:rPr>
          <w:b/>
          <w:sz w:val="26"/>
        </w:rPr>
        <w:t>on</w:t>
      </w:r>
      <w:r>
        <w:rPr>
          <w:b/>
          <w:spacing w:val="-1"/>
          <w:sz w:val="26"/>
        </w:rPr>
        <w:t xml:space="preserve"> </w:t>
      </w:r>
      <w:r>
        <w:rPr>
          <w:b/>
          <w:sz w:val="26"/>
        </w:rPr>
        <w:t>the audit</w:t>
      </w:r>
      <w:r>
        <w:rPr>
          <w:b/>
          <w:spacing w:val="-1"/>
          <w:sz w:val="26"/>
        </w:rPr>
        <w:t xml:space="preserve"> </w:t>
      </w:r>
      <w:r>
        <w:rPr>
          <w:b/>
          <w:sz w:val="26"/>
        </w:rPr>
        <w:t>of the</w:t>
      </w:r>
      <w:r>
        <w:rPr>
          <w:b/>
          <w:spacing w:val="-1"/>
          <w:sz w:val="26"/>
        </w:rPr>
        <w:t xml:space="preserve"> </w:t>
      </w:r>
      <w:r>
        <w:rPr>
          <w:b/>
          <w:sz w:val="26"/>
        </w:rPr>
        <w:t xml:space="preserve">financial </w:t>
      </w:r>
      <w:r>
        <w:rPr>
          <w:b/>
          <w:spacing w:val="-2"/>
          <w:sz w:val="26"/>
        </w:rPr>
        <w:t>report</w:t>
      </w:r>
    </w:p>
    <w:p w14:paraId="37BAC106" w14:textId="77777777" w:rsidR="00AC6F3C" w:rsidRDefault="00AC6F3C">
      <w:pPr>
        <w:pStyle w:val="BodyText"/>
        <w:spacing w:before="5"/>
        <w:rPr>
          <w:b/>
          <w:sz w:val="22"/>
        </w:rPr>
      </w:pPr>
    </w:p>
    <w:p w14:paraId="128BE4D0" w14:textId="77777777" w:rsidR="00AC6F3C" w:rsidRDefault="00570E88">
      <w:pPr>
        <w:pStyle w:val="Heading9"/>
      </w:pPr>
      <w:r>
        <w:rPr>
          <w:spacing w:val="-2"/>
        </w:rPr>
        <w:t>Opinion</w:t>
      </w:r>
    </w:p>
    <w:p w14:paraId="1BD5CD0A" w14:textId="77777777" w:rsidR="00AC6F3C" w:rsidRDefault="00570E88">
      <w:pPr>
        <w:pStyle w:val="BodyText"/>
        <w:spacing w:before="176" w:line="249" w:lineRule="auto"/>
        <w:ind w:left="815" w:right="1424"/>
      </w:pPr>
      <w:r>
        <w:t>I</w:t>
      </w:r>
      <w:r>
        <w:rPr>
          <w:spacing w:val="-3"/>
        </w:rPr>
        <w:t xml:space="preserve"> </w:t>
      </w:r>
      <w:r>
        <w:t>have</w:t>
      </w:r>
      <w:r>
        <w:rPr>
          <w:spacing w:val="-3"/>
        </w:rPr>
        <w:t xml:space="preserve"> </w:t>
      </w:r>
      <w:r>
        <w:t>audited</w:t>
      </w:r>
      <w:r>
        <w:rPr>
          <w:spacing w:val="-3"/>
        </w:rPr>
        <w:t xml:space="preserve"> </w:t>
      </w:r>
      <w:r>
        <w:t>the</w:t>
      </w:r>
      <w:r>
        <w:rPr>
          <w:spacing w:val="-3"/>
        </w:rPr>
        <w:t xml:space="preserve"> </w:t>
      </w:r>
      <w:r>
        <w:t>accompanying</w:t>
      </w:r>
      <w:r>
        <w:rPr>
          <w:spacing w:val="-3"/>
        </w:rPr>
        <w:t xml:space="preserve"> </w:t>
      </w:r>
      <w:r>
        <w:t>financial</w:t>
      </w:r>
      <w:r>
        <w:rPr>
          <w:spacing w:val="-3"/>
        </w:rPr>
        <w:t xml:space="preserve"> </w:t>
      </w:r>
      <w:r>
        <w:t>report</w:t>
      </w:r>
      <w:r>
        <w:rPr>
          <w:spacing w:val="-3"/>
        </w:rPr>
        <w:t xml:space="preserve"> </w:t>
      </w:r>
      <w:r>
        <w:t>of</w:t>
      </w:r>
      <w:r>
        <w:rPr>
          <w:spacing w:val="-3"/>
        </w:rPr>
        <w:t xml:space="preserve"> </w:t>
      </w:r>
      <w:r>
        <w:t>Law</w:t>
      </w:r>
      <w:r>
        <w:rPr>
          <w:spacing w:val="-3"/>
        </w:rPr>
        <w:t xml:space="preserve"> </w:t>
      </w:r>
      <w:r>
        <w:t>Claims</w:t>
      </w:r>
      <w:r>
        <w:rPr>
          <w:spacing w:val="-3"/>
        </w:rPr>
        <w:t xml:space="preserve"> </w:t>
      </w:r>
      <w:r>
        <w:t>Levy</w:t>
      </w:r>
      <w:r>
        <w:rPr>
          <w:spacing w:val="-3"/>
        </w:rPr>
        <w:t xml:space="preserve"> </w:t>
      </w:r>
      <w:r>
        <w:t>Fund.</w:t>
      </w:r>
      <w:r>
        <w:rPr>
          <w:spacing w:val="-3"/>
        </w:rPr>
        <w:t xml:space="preserve"> </w:t>
      </w:r>
      <w:r>
        <w:t>In</w:t>
      </w:r>
      <w:r>
        <w:rPr>
          <w:spacing w:val="-3"/>
        </w:rPr>
        <w:t xml:space="preserve"> </w:t>
      </w:r>
      <w:r>
        <w:t>my</w:t>
      </w:r>
      <w:r>
        <w:rPr>
          <w:spacing w:val="-3"/>
        </w:rPr>
        <w:t xml:space="preserve"> </w:t>
      </w:r>
      <w:r>
        <w:t>opinion, the financial report:</w:t>
      </w:r>
    </w:p>
    <w:p w14:paraId="7427CB6D" w14:textId="77777777" w:rsidR="00AC6F3C" w:rsidRDefault="00570E88">
      <w:pPr>
        <w:pStyle w:val="ListParagraph"/>
        <w:numPr>
          <w:ilvl w:val="0"/>
          <w:numId w:val="15"/>
        </w:numPr>
        <w:tabs>
          <w:tab w:val="left" w:pos="1269"/>
        </w:tabs>
        <w:spacing w:before="171" w:line="249" w:lineRule="auto"/>
        <w:ind w:right="1580"/>
        <w:rPr>
          <w:sz w:val="20"/>
        </w:rPr>
      </w:pPr>
      <w:r>
        <w:rPr>
          <w:sz w:val="20"/>
        </w:rPr>
        <w:t>gives</w:t>
      </w:r>
      <w:r>
        <w:rPr>
          <w:spacing w:val="-3"/>
          <w:sz w:val="20"/>
        </w:rPr>
        <w:t xml:space="preserve"> </w:t>
      </w:r>
      <w:r>
        <w:rPr>
          <w:sz w:val="20"/>
        </w:rPr>
        <w:t>a</w:t>
      </w:r>
      <w:r>
        <w:rPr>
          <w:spacing w:val="-3"/>
          <w:sz w:val="20"/>
        </w:rPr>
        <w:t xml:space="preserve"> </w:t>
      </w:r>
      <w:r>
        <w:rPr>
          <w:sz w:val="20"/>
        </w:rPr>
        <w:t>true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view</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entity’s</w:t>
      </w:r>
      <w:r>
        <w:rPr>
          <w:spacing w:val="-3"/>
          <w:sz w:val="20"/>
        </w:rPr>
        <w:t xml:space="preserve"> </w:t>
      </w:r>
      <w:r>
        <w:rPr>
          <w:sz w:val="20"/>
        </w:rPr>
        <w:t>financial</w:t>
      </w:r>
      <w:r>
        <w:rPr>
          <w:spacing w:val="-3"/>
          <w:sz w:val="20"/>
        </w:rPr>
        <w:t xml:space="preserve"> </w:t>
      </w:r>
      <w:r>
        <w:rPr>
          <w:sz w:val="20"/>
        </w:rPr>
        <w:t>position</w:t>
      </w:r>
      <w:r>
        <w:rPr>
          <w:spacing w:val="-3"/>
          <w:sz w:val="20"/>
        </w:rPr>
        <w:t xml:space="preserve"> </w:t>
      </w:r>
      <w:r>
        <w:rPr>
          <w:sz w:val="20"/>
        </w:rPr>
        <w:t>as</w:t>
      </w:r>
      <w:r>
        <w:rPr>
          <w:spacing w:val="-3"/>
          <w:sz w:val="20"/>
        </w:rPr>
        <w:t xml:space="preserve"> </w:t>
      </w:r>
      <w:r>
        <w:rPr>
          <w:sz w:val="20"/>
        </w:rPr>
        <w:t>at</w:t>
      </w:r>
      <w:r>
        <w:rPr>
          <w:spacing w:val="-3"/>
          <w:sz w:val="20"/>
        </w:rPr>
        <w:t xml:space="preserve"> </w:t>
      </w:r>
      <w:r>
        <w:rPr>
          <w:sz w:val="20"/>
        </w:rPr>
        <w:t>30</w:t>
      </w:r>
      <w:r>
        <w:rPr>
          <w:spacing w:val="-3"/>
          <w:sz w:val="20"/>
        </w:rPr>
        <w:t xml:space="preserve"> </w:t>
      </w:r>
      <w:r>
        <w:rPr>
          <w:sz w:val="20"/>
        </w:rPr>
        <w:t>June</w:t>
      </w:r>
      <w:r>
        <w:rPr>
          <w:spacing w:val="-3"/>
          <w:sz w:val="20"/>
        </w:rPr>
        <w:t xml:space="preserve"> </w:t>
      </w:r>
      <w:r>
        <w:rPr>
          <w:sz w:val="20"/>
        </w:rPr>
        <w:t>2023,</w:t>
      </w:r>
      <w:r>
        <w:rPr>
          <w:spacing w:val="-3"/>
          <w:sz w:val="20"/>
        </w:rPr>
        <w:t xml:space="preserve"> </w:t>
      </w:r>
      <w:r>
        <w:rPr>
          <w:sz w:val="20"/>
        </w:rPr>
        <w:t>and</w:t>
      </w:r>
      <w:r>
        <w:rPr>
          <w:spacing w:val="-3"/>
          <w:sz w:val="20"/>
        </w:rPr>
        <w:t xml:space="preserve"> </w:t>
      </w:r>
      <w:r>
        <w:rPr>
          <w:sz w:val="20"/>
        </w:rPr>
        <w:t>its financial performance and cash flows for the year then ended</w:t>
      </w:r>
    </w:p>
    <w:p w14:paraId="35B409C9" w14:textId="77777777" w:rsidR="00AC6F3C" w:rsidRDefault="00570E88">
      <w:pPr>
        <w:pStyle w:val="ListParagraph"/>
        <w:numPr>
          <w:ilvl w:val="0"/>
          <w:numId w:val="15"/>
        </w:numPr>
        <w:tabs>
          <w:tab w:val="left" w:pos="1269"/>
        </w:tabs>
        <w:spacing w:before="172" w:line="249" w:lineRule="auto"/>
        <w:ind w:right="1670"/>
        <w:rPr>
          <w:sz w:val="20"/>
        </w:rPr>
      </w:pPr>
      <w:r>
        <w:rPr>
          <w:sz w:val="20"/>
        </w:rPr>
        <w:t>complies</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i/>
          <w:sz w:val="20"/>
        </w:rPr>
        <w:t>Financial</w:t>
      </w:r>
      <w:r>
        <w:rPr>
          <w:i/>
          <w:spacing w:val="-11"/>
          <w:sz w:val="20"/>
        </w:rPr>
        <w:t xml:space="preserve"> </w:t>
      </w:r>
      <w:r>
        <w:rPr>
          <w:i/>
          <w:sz w:val="20"/>
        </w:rPr>
        <w:t>Accountability</w:t>
      </w:r>
      <w:r>
        <w:rPr>
          <w:i/>
          <w:spacing w:val="-11"/>
          <w:sz w:val="20"/>
        </w:rPr>
        <w:t xml:space="preserve"> </w:t>
      </w:r>
      <w:r>
        <w:rPr>
          <w:i/>
          <w:sz w:val="20"/>
        </w:rPr>
        <w:t>Act</w:t>
      </w:r>
      <w:r>
        <w:rPr>
          <w:i/>
          <w:spacing w:val="-5"/>
          <w:sz w:val="20"/>
        </w:rPr>
        <w:t xml:space="preserve"> </w:t>
      </w:r>
      <w:r>
        <w:rPr>
          <w:i/>
          <w:sz w:val="20"/>
        </w:rPr>
        <w:t>2009</w:t>
      </w:r>
      <w:r>
        <w:rPr>
          <w:sz w:val="20"/>
        </w:rPr>
        <w:t>,</w:t>
      </w:r>
      <w:r>
        <w:rPr>
          <w:spacing w:val="-4"/>
          <w:sz w:val="20"/>
        </w:rPr>
        <w:t xml:space="preserve"> </w:t>
      </w:r>
      <w:r>
        <w:rPr>
          <w:sz w:val="20"/>
        </w:rPr>
        <w:t>the</w:t>
      </w:r>
      <w:r>
        <w:rPr>
          <w:spacing w:val="-4"/>
          <w:sz w:val="20"/>
        </w:rPr>
        <w:t xml:space="preserve"> </w:t>
      </w:r>
      <w:r>
        <w:rPr>
          <w:sz w:val="20"/>
        </w:rPr>
        <w:t>Financial</w:t>
      </w:r>
      <w:r>
        <w:rPr>
          <w:spacing w:val="-4"/>
          <w:sz w:val="20"/>
        </w:rPr>
        <w:t xml:space="preserve"> </w:t>
      </w:r>
      <w:r>
        <w:rPr>
          <w:sz w:val="20"/>
        </w:rPr>
        <w:t>and</w:t>
      </w:r>
      <w:r>
        <w:rPr>
          <w:spacing w:val="-4"/>
          <w:sz w:val="20"/>
        </w:rPr>
        <w:t xml:space="preserve"> </w:t>
      </w:r>
      <w:r>
        <w:rPr>
          <w:sz w:val="20"/>
        </w:rPr>
        <w:t>Performance Management Standard 2019 and Australian Accounting Standards.</w:t>
      </w:r>
    </w:p>
    <w:p w14:paraId="56E84128" w14:textId="77777777" w:rsidR="00AC6F3C" w:rsidRDefault="00570E88">
      <w:pPr>
        <w:pStyle w:val="BodyText"/>
        <w:spacing w:before="172" w:line="249" w:lineRule="auto"/>
        <w:ind w:left="815" w:right="990"/>
      </w:pPr>
      <w:r>
        <w:t>The financial report comprises the statement of financial position as at 30 June 2023, the statement of comprehensive income, statement of changes in equity and statement of cash flows</w:t>
      </w:r>
      <w:r>
        <w:rPr>
          <w:spacing w:val="-3"/>
        </w:rPr>
        <w:t xml:space="preserve"> </w:t>
      </w:r>
      <w:r>
        <w:t>for</w:t>
      </w:r>
      <w:r>
        <w:rPr>
          <w:spacing w:val="-3"/>
        </w:rPr>
        <w:t xml:space="preserve"> </w:t>
      </w:r>
      <w:r>
        <w:t>the</w:t>
      </w:r>
      <w:r>
        <w:rPr>
          <w:spacing w:val="-3"/>
        </w:rPr>
        <w:t xml:space="preserve"> </w:t>
      </w:r>
      <w:r>
        <w:t>year</w:t>
      </w:r>
      <w:r>
        <w:rPr>
          <w:spacing w:val="-3"/>
        </w:rPr>
        <w:t xml:space="preserve"> </w:t>
      </w:r>
      <w:r>
        <w:t>then</w:t>
      </w:r>
      <w:r>
        <w:rPr>
          <w:spacing w:val="-3"/>
        </w:rPr>
        <w:t xml:space="preserve"> </w:t>
      </w:r>
      <w:r>
        <w:t>ended,</w:t>
      </w:r>
      <w:r>
        <w:rPr>
          <w:spacing w:val="-3"/>
        </w:rPr>
        <w:t xml:space="preserve"> </w:t>
      </w:r>
      <w:r>
        <w:t>notes</w:t>
      </w:r>
      <w:r>
        <w:rPr>
          <w:spacing w:val="-3"/>
        </w:rPr>
        <w:t xml:space="preserve"> </w:t>
      </w:r>
      <w:r>
        <w:t>to</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including</w:t>
      </w:r>
      <w:r>
        <w:rPr>
          <w:spacing w:val="-3"/>
        </w:rPr>
        <w:t xml:space="preserve"> </w:t>
      </w:r>
      <w:r>
        <w:t>material</w:t>
      </w:r>
      <w:r>
        <w:rPr>
          <w:spacing w:val="-3"/>
        </w:rPr>
        <w:t xml:space="preserve"> </w:t>
      </w:r>
      <w:r>
        <w:t>accounting policy information, and the management certificate.</w:t>
      </w:r>
    </w:p>
    <w:p w14:paraId="27186CE8" w14:textId="77777777" w:rsidR="00AC6F3C" w:rsidRDefault="00AC6F3C">
      <w:pPr>
        <w:pStyle w:val="BodyText"/>
        <w:spacing w:before="10"/>
        <w:rPr>
          <w:sz w:val="22"/>
        </w:rPr>
      </w:pPr>
    </w:p>
    <w:p w14:paraId="6F16BDCB" w14:textId="77777777" w:rsidR="00AC6F3C" w:rsidRDefault="00570E88">
      <w:pPr>
        <w:pStyle w:val="Heading9"/>
        <w:spacing w:before="1"/>
      </w:pPr>
      <w:r>
        <w:t>Basis</w:t>
      </w:r>
      <w:r>
        <w:rPr>
          <w:spacing w:val="-3"/>
        </w:rPr>
        <w:t xml:space="preserve"> </w:t>
      </w:r>
      <w:r>
        <w:t>for</w:t>
      </w:r>
      <w:r>
        <w:rPr>
          <w:spacing w:val="-3"/>
        </w:rPr>
        <w:t xml:space="preserve"> </w:t>
      </w:r>
      <w:r>
        <w:rPr>
          <w:spacing w:val="-2"/>
        </w:rPr>
        <w:t>opinion</w:t>
      </w:r>
    </w:p>
    <w:p w14:paraId="567C19D1" w14:textId="77777777" w:rsidR="00AC6F3C" w:rsidRDefault="00570E88">
      <w:pPr>
        <w:spacing w:before="175" w:line="249" w:lineRule="auto"/>
        <w:ind w:left="815" w:right="1183"/>
        <w:rPr>
          <w:sz w:val="20"/>
        </w:rPr>
      </w:pPr>
      <w:r>
        <w:rPr>
          <w:sz w:val="20"/>
        </w:rPr>
        <w:t xml:space="preserve">I conducted my audit in accordance with the </w:t>
      </w:r>
      <w:r>
        <w:rPr>
          <w:i/>
          <w:sz w:val="20"/>
        </w:rPr>
        <w:t>Auditor-General Auditing Standards</w:t>
      </w:r>
      <w:r>
        <w:rPr>
          <w:sz w:val="20"/>
        </w:rPr>
        <w:t>, which incorporate the</w:t>
      </w:r>
      <w:r>
        <w:rPr>
          <w:spacing w:val="-8"/>
          <w:sz w:val="20"/>
        </w:rPr>
        <w:t xml:space="preserve"> </w:t>
      </w:r>
      <w:r>
        <w:rPr>
          <w:sz w:val="20"/>
        </w:rPr>
        <w:t>Australian</w:t>
      </w:r>
      <w:r>
        <w:rPr>
          <w:spacing w:val="-8"/>
          <w:sz w:val="20"/>
        </w:rPr>
        <w:t xml:space="preserve"> </w:t>
      </w:r>
      <w:r>
        <w:rPr>
          <w:sz w:val="20"/>
        </w:rPr>
        <w:t>Auditing Standards. My responsibilities under those standards are further</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i/>
          <w:sz w:val="20"/>
        </w:rPr>
        <w:t>Auditor’s</w:t>
      </w:r>
      <w:r>
        <w:rPr>
          <w:i/>
          <w:spacing w:val="-3"/>
          <w:sz w:val="20"/>
        </w:rPr>
        <w:t xml:space="preserve"> </w:t>
      </w:r>
      <w:r>
        <w:rPr>
          <w:i/>
          <w:sz w:val="20"/>
        </w:rPr>
        <w:t>Responsibilities</w:t>
      </w:r>
      <w:r>
        <w:rPr>
          <w:i/>
          <w:spacing w:val="-3"/>
          <w:sz w:val="20"/>
        </w:rPr>
        <w:t xml:space="preserve"> </w:t>
      </w:r>
      <w:r>
        <w:rPr>
          <w:i/>
          <w:sz w:val="20"/>
        </w:rPr>
        <w:t>for</w:t>
      </w:r>
      <w:r>
        <w:rPr>
          <w:i/>
          <w:spacing w:val="-3"/>
          <w:sz w:val="20"/>
        </w:rPr>
        <w:t xml:space="preserve"> </w:t>
      </w:r>
      <w:r>
        <w:rPr>
          <w:i/>
          <w:sz w:val="20"/>
        </w:rPr>
        <w:t>the</w:t>
      </w:r>
      <w:r>
        <w:rPr>
          <w:i/>
          <w:spacing w:val="-10"/>
          <w:sz w:val="20"/>
        </w:rPr>
        <w:t xml:space="preserve"> </w:t>
      </w:r>
      <w:r>
        <w:rPr>
          <w:i/>
          <w:sz w:val="20"/>
        </w:rPr>
        <w:t>Audit</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Financial</w:t>
      </w:r>
      <w:r>
        <w:rPr>
          <w:i/>
          <w:spacing w:val="-3"/>
          <w:sz w:val="20"/>
        </w:rPr>
        <w:t xml:space="preserve"> </w:t>
      </w:r>
      <w:r>
        <w:rPr>
          <w:i/>
          <w:sz w:val="20"/>
        </w:rPr>
        <w:t>Report</w:t>
      </w:r>
      <w:r>
        <w:rPr>
          <w:i/>
          <w:spacing w:val="-4"/>
          <w:sz w:val="20"/>
        </w:rPr>
        <w:t xml:space="preserve"> </w:t>
      </w:r>
      <w:r>
        <w:rPr>
          <w:sz w:val="20"/>
        </w:rPr>
        <w:t>section of my report.</w:t>
      </w:r>
    </w:p>
    <w:p w14:paraId="71F7578A" w14:textId="77777777" w:rsidR="00AC6F3C" w:rsidRDefault="00570E88">
      <w:pPr>
        <w:pStyle w:val="BodyText"/>
        <w:spacing w:before="174" w:line="249" w:lineRule="auto"/>
        <w:ind w:left="815" w:right="990"/>
      </w:pPr>
      <w:r>
        <w:t>I</w:t>
      </w:r>
      <w:r>
        <w:rPr>
          <w:spacing w:val="-3"/>
        </w:rPr>
        <w:t xml:space="preserve"> </w:t>
      </w:r>
      <w:r>
        <w:t>am</w:t>
      </w:r>
      <w:r>
        <w:rPr>
          <w:spacing w:val="-3"/>
        </w:rPr>
        <w:t xml:space="preserve"> </w:t>
      </w:r>
      <w:r>
        <w:t>independent</w:t>
      </w:r>
      <w:r>
        <w:rPr>
          <w:spacing w:val="-3"/>
        </w:rPr>
        <w:t xml:space="preserve"> </w:t>
      </w:r>
      <w:r>
        <w:t>of</w:t>
      </w:r>
      <w:r>
        <w:rPr>
          <w:spacing w:val="-3"/>
        </w:rPr>
        <w:t xml:space="preserve"> </w:t>
      </w:r>
      <w:r>
        <w:t>the</w:t>
      </w:r>
      <w:r>
        <w:rPr>
          <w:spacing w:val="-3"/>
        </w:rPr>
        <w:t xml:space="preserve"> </w:t>
      </w:r>
      <w:r>
        <w:t>entity</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ethical</w:t>
      </w:r>
      <w:r>
        <w:rPr>
          <w:spacing w:val="-3"/>
        </w:rPr>
        <w:t xml:space="preserve"> </w:t>
      </w:r>
      <w:r>
        <w:t>requirements</w:t>
      </w:r>
      <w:r>
        <w:rPr>
          <w:spacing w:val="-3"/>
        </w:rPr>
        <w:t xml:space="preserve"> </w:t>
      </w:r>
      <w:r>
        <w:t>of</w:t>
      </w:r>
      <w:r>
        <w:rPr>
          <w:spacing w:val="-3"/>
        </w:rPr>
        <w:t xml:space="preserve"> </w:t>
      </w:r>
      <w:r>
        <w:t>the</w:t>
      </w:r>
      <w:r>
        <w:rPr>
          <w:spacing w:val="-14"/>
        </w:rPr>
        <w:t xml:space="preserve"> </w:t>
      </w:r>
      <w:r>
        <w:t>Accounting Professional and Ethical Standards Board’s</w:t>
      </w:r>
      <w:r>
        <w:rPr>
          <w:spacing w:val="-5"/>
        </w:rPr>
        <w:t xml:space="preserve"> </w:t>
      </w:r>
      <w:r>
        <w:t xml:space="preserve">APES 110 </w:t>
      </w:r>
      <w:r>
        <w:rPr>
          <w:i/>
        </w:rPr>
        <w:t xml:space="preserve">Code of Ethics for Professional Accountants </w:t>
      </w:r>
      <w:r>
        <w:t>(the Code) that are relevant to my audit of the financial report in</w:t>
      </w:r>
      <w:r>
        <w:rPr>
          <w:spacing w:val="-4"/>
        </w:rPr>
        <w:t xml:space="preserve"> </w:t>
      </w:r>
      <w:r>
        <w:t>Australia.</w:t>
      </w:r>
    </w:p>
    <w:p w14:paraId="38E64990" w14:textId="77777777" w:rsidR="00AC6F3C" w:rsidRDefault="00570E88">
      <w:pPr>
        <w:pStyle w:val="BodyText"/>
        <w:spacing w:before="2"/>
        <w:ind w:left="815"/>
      </w:pPr>
      <w:r>
        <w:t>I</w:t>
      </w:r>
      <w:r>
        <w:rPr>
          <w:spacing w:val="-5"/>
        </w:rPr>
        <w:t xml:space="preserve"> </w:t>
      </w:r>
      <w:r>
        <w:t>have</w:t>
      </w:r>
      <w:r>
        <w:rPr>
          <w:spacing w:val="-3"/>
        </w:rPr>
        <w:t xml:space="preserve"> </w:t>
      </w:r>
      <w:r>
        <w:t>also</w:t>
      </w:r>
      <w:r>
        <w:rPr>
          <w:spacing w:val="-3"/>
        </w:rPr>
        <w:t xml:space="preserve"> </w:t>
      </w:r>
      <w:r>
        <w:t>fulfilled</w:t>
      </w:r>
      <w:r>
        <w:rPr>
          <w:spacing w:val="-3"/>
        </w:rPr>
        <w:t xml:space="preserve"> </w:t>
      </w:r>
      <w:r>
        <w:t>my</w:t>
      </w:r>
      <w:r>
        <w:rPr>
          <w:spacing w:val="-3"/>
        </w:rPr>
        <w:t xml:space="preserve"> </w:t>
      </w:r>
      <w:r>
        <w:t>other</w:t>
      </w:r>
      <w:r>
        <w:rPr>
          <w:spacing w:val="-3"/>
        </w:rPr>
        <w:t xml:space="preserve"> </w:t>
      </w:r>
      <w:r>
        <w:t>ethical</w:t>
      </w:r>
      <w:r>
        <w:rPr>
          <w:spacing w:val="-2"/>
        </w:rPr>
        <w:t xml:space="preserve"> </w:t>
      </w:r>
      <w:r>
        <w:t>responsibilities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Code</w:t>
      </w:r>
      <w:r>
        <w:rPr>
          <w:spacing w:val="-3"/>
        </w:rPr>
        <w:t xml:space="preserve"> </w:t>
      </w:r>
      <w:r>
        <w:t>and</w:t>
      </w:r>
      <w:r>
        <w:rPr>
          <w:spacing w:val="-2"/>
        </w:rPr>
        <w:t xml:space="preserve"> </w:t>
      </w:r>
      <w:r>
        <w:rPr>
          <w:spacing w:val="-5"/>
        </w:rPr>
        <w:t>the</w:t>
      </w:r>
    </w:p>
    <w:p w14:paraId="75A0D9AC" w14:textId="77777777" w:rsidR="00AC6F3C" w:rsidRDefault="00570E88">
      <w:pPr>
        <w:spacing w:before="10"/>
        <w:ind w:left="815"/>
        <w:rPr>
          <w:sz w:val="20"/>
        </w:rPr>
      </w:pPr>
      <w:r>
        <w:rPr>
          <w:i/>
          <w:sz w:val="20"/>
        </w:rPr>
        <w:t>Auditor-General</w:t>
      </w:r>
      <w:r>
        <w:rPr>
          <w:i/>
          <w:spacing w:val="-14"/>
          <w:sz w:val="20"/>
        </w:rPr>
        <w:t xml:space="preserve"> </w:t>
      </w:r>
      <w:r>
        <w:rPr>
          <w:i/>
          <w:sz w:val="20"/>
        </w:rPr>
        <w:t>Auditing</w:t>
      </w:r>
      <w:r>
        <w:rPr>
          <w:i/>
          <w:spacing w:val="-12"/>
          <w:sz w:val="20"/>
        </w:rPr>
        <w:t xml:space="preserve"> </w:t>
      </w:r>
      <w:r>
        <w:rPr>
          <w:i/>
          <w:spacing w:val="-2"/>
          <w:sz w:val="20"/>
        </w:rPr>
        <w:t>Standards</w:t>
      </w:r>
      <w:r>
        <w:rPr>
          <w:spacing w:val="-2"/>
          <w:sz w:val="20"/>
        </w:rPr>
        <w:t>.</w:t>
      </w:r>
    </w:p>
    <w:p w14:paraId="36CB9CD0" w14:textId="77777777" w:rsidR="00AC6F3C" w:rsidRDefault="00570E88">
      <w:pPr>
        <w:pStyle w:val="BodyText"/>
        <w:spacing w:before="180" w:line="249" w:lineRule="auto"/>
        <w:ind w:left="815" w:right="1424"/>
      </w:pPr>
      <w:r>
        <w:t>I</w:t>
      </w:r>
      <w:r>
        <w:rPr>
          <w:spacing w:val="-3"/>
        </w:rPr>
        <w:t xml:space="preserve"> </w:t>
      </w:r>
      <w:r>
        <w:t>believe</w:t>
      </w:r>
      <w:r>
        <w:rPr>
          <w:spacing w:val="-3"/>
        </w:rPr>
        <w:t xml:space="preserve"> </w:t>
      </w:r>
      <w:r>
        <w:t>that</w:t>
      </w:r>
      <w:r>
        <w:rPr>
          <w:spacing w:val="-3"/>
        </w:rPr>
        <w:t xml:space="preserve"> </w:t>
      </w:r>
      <w:r>
        <w:t>the</w:t>
      </w:r>
      <w:r>
        <w:rPr>
          <w:spacing w:val="-3"/>
        </w:rPr>
        <w:t xml:space="preserve"> </w:t>
      </w:r>
      <w:r>
        <w:t>audit</w:t>
      </w:r>
      <w:r>
        <w:rPr>
          <w:spacing w:val="-3"/>
        </w:rPr>
        <w:t xml:space="preserve"> </w:t>
      </w:r>
      <w:r>
        <w:t>evidence</w:t>
      </w:r>
      <w:r>
        <w:rPr>
          <w:spacing w:val="-3"/>
        </w:rPr>
        <w:t xml:space="preserve"> </w:t>
      </w:r>
      <w:r>
        <w:t>I</w:t>
      </w:r>
      <w:r>
        <w:rPr>
          <w:spacing w:val="-3"/>
        </w:rPr>
        <w:t xml:space="preserve"> </w:t>
      </w:r>
      <w:r>
        <w:t>have</w:t>
      </w:r>
      <w:r>
        <w:rPr>
          <w:spacing w:val="-3"/>
        </w:rPr>
        <w:t xml:space="preserve"> </w:t>
      </w:r>
      <w:r>
        <w:t>obtained</w:t>
      </w:r>
      <w:r>
        <w:rPr>
          <w:spacing w:val="-3"/>
        </w:rPr>
        <w:t xml:space="preserve"> </w:t>
      </w:r>
      <w:r>
        <w:t>is</w:t>
      </w:r>
      <w:r>
        <w:rPr>
          <w:spacing w:val="-3"/>
        </w:rPr>
        <w:t xml:space="preserve"> </w:t>
      </w:r>
      <w:r>
        <w:t>sufficient</w:t>
      </w:r>
      <w:r>
        <w:rPr>
          <w:spacing w:val="-3"/>
        </w:rPr>
        <w:t xml:space="preserve"> </w:t>
      </w:r>
      <w:r>
        <w:t>and</w:t>
      </w:r>
      <w:r>
        <w:rPr>
          <w:spacing w:val="-3"/>
        </w:rPr>
        <w:t xml:space="preserve"> </w:t>
      </w:r>
      <w:r>
        <w:t>appropriate</w:t>
      </w:r>
      <w:r>
        <w:rPr>
          <w:spacing w:val="-3"/>
        </w:rPr>
        <w:t xml:space="preserve"> </w:t>
      </w:r>
      <w:r>
        <w:t>to</w:t>
      </w:r>
      <w:r>
        <w:rPr>
          <w:spacing w:val="-3"/>
        </w:rPr>
        <w:t xml:space="preserve"> </w:t>
      </w:r>
      <w:r>
        <w:t>provide</w:t>
      </w:r>
      <w:r>
        <w:rPr>
          <w:spacing w:val="-3"/>
        </w:rPr>
        <w:t xml:space="preserve"> </w:t>
      </w:r>
      <w:r>
        <w:t>a basis for my opinion.</w:t>
      </w:r>
    </w:p>
    <w:p w14:paraId="3C4B9ED2" w14:textId="77777777" w:rsidR="00AC6F3C" w:rsidRDefault="00AC6F3C">
      <w:pPr>
        <w:pStyle w:val="BodyText"/>
        <w:spacing w:before="9"/>
        <w:rPr>
          <w:sz w:val="22"/>
        </w:rPr>
      </w:pPr>
    </w:p>
    <w:p w14:paraId="3C18AE2A" w14:textId="77777777" w:rsidR="00AC6F3C" w:rsidRDefault="00570E88">
      <w:pPr>
        <w:pStyle w:val="Heading9"/>
      </w:pPr>
      <w:r>
        <w:t>Responsibilities</w:t>
      </w:r>
      <w:r>
        <w:rPr>
          <w:spacing w:val="-4"/>
        </w:rPr>
        <w:t xml:space="preserve"> </w:t>
      </w:r>
      <w:r>
        <w:t>of</w:t>
      </w:r>
      <w:r>
        <w:rPr>
          <w:spacing w:val="-4"/>
        </w:rPr>
        <w:t xml:space="preserve"> </w:t>
      </w:r>
      <w:r>
        <w:t>the</w:t>
      </w:r>
      <w:r>
        <w:rPr>
          <w:spacing w:val="-4"/>
        </w:rPr>
        <w:t xml:space="preserve"> </w:t>
      </w:r>
      <w:r>
        <w:t>entity</w:t>
      </w:r>
      <w:r>
        <w:rPr>
          <w:spacing w:val="-3"/>
        </w:rPr>
        <w:t xml:space="preserve"> </w:t>
      </w:r>
      <w:r>
        <w:t>for</w:t>
      </w:r>
      <w:r>
        <w:rPr>
          <w:spacing w:val="-4"/>
        </w:rPr>
        <w:t xml:space="preserve"> </w:t>
      </w:r>
      <w:r>
        <w:t>the</w:t>
      </w:r>
      <w:r>
        <w:rPr>
          <w:spacing w:val="-4"/>
        </w:rPr>
        <w:t xml:space="preserve"> </w:t>
      </w:r>
      <w:r>
        <w:t>financial</w:t>
      </w:r>
      <w:r>
        <w:rPr>
          <w:spacing w:val="-3"/>
        </w:rPr>
        <w:t xml:space="preserve"> </w:t>
      </w:r>
      <w:r>
        <w:rPr>
          <w:spacing w:val="-2"/>
        </w:rPr>
        <w:t>report</w:t>
      </w:r>
    </w:p>
    <w:p w14:paraId="19DE4CDD" w14:textId="77777777" w:rsidR="00AC6F3C" w:rsidRDefault="00570E88">
      <w:pPr>
        <w:pStyle w:val="BodyText"/>
        <w:spacing w:before="176" w:line="249" w:lineRule="auto"/>
        <w:ind w:left="815" w:right="1683"/>
      </w:pPr>
      <w:r>
        <w:t>The Council is responsible for the preparation of the financial report that gives a true</w:t>
      </w:r>
      <w:r>
        <w:rPr>
          <w:spacing w:val="40"/>
        </w:rPr>
        <w:t xml:space="preserve"> </w:t>
      </w:r>
      <w:r>
        <w:t>and</w:t>
      </w:r>
      <w:r>
        <w:rPr>
          <w:spacing w:val="-2"/>
        </w:rPr>
        <w:t xml:space="preserve"> </w:t>
      </w:r>
      <w:r>
        <w:t>fair</w:t>
      </w:r>
      <w:r>
        <w:rPr>
          <w:spacing w:val="-2"/>
        </w:rPr>
        <w:t xml:space="preserve"> </w:t>
      </w:r>
      <w:r>
        <w:t>view</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rPr>
          <w:i/>
        </w:rPr>
        <w:t>Financial</w:t>
      </w:r>
      <w:r>
        <w:rPr>
          <w:i/>
          <w:spacing w:val="-10"/>
        </w:rPr>
        <w:t xml:space="preserve"> </w:t>
      </w:r>
      <w:r>
        <w:rPr>
          <w:i/>
        </w:rPr>
        <w:t>Accountability</w:t>
      </w:r>
      <w:r>
        <w:rPr>
          <w:i/>
          <w:spacing w:val="-10"/>
        </w:rPr>
        <w:t xml:space="preserve"> </w:t>
      </w:r>
      <w:r>
        <w:rPr>
          <w:i/>
        </w:rPr>
        <w:t>Act</w:t>
      </w:r>
      <w:r>
        <w:rPr>
          <w:i/>
          <w:spacing w:val="-2"/>
        </w:rPr>
        <w:t xml:space="preserve"> </w:t>
      </w:r>
      <w:r>
        <w:rPr>
          <w:i/>
        </w:rPr>
        <w:t>2009</w:t>
      </w:r>
      <w:r>
        <w:t>,</w:t>
      </w:r>
      <w:r>
        <w:rPr>
          <w:spacing w:val="-2"/>
        </w:rPr>
        <w:t xml:space="preserve"> </w:t>
      </w:r>
      <w:r>
        <w:t>the</w:t>
      </w:r>
      <w:r>
        <w:rPr>
          <w:spacing w:val="-2"/>
        </w:rPr>
        <w:t xml:space="preserve"> </w:t>
      </w:r>
      <w:r>
        <w:t>Financial</w:t>
      </w:r>
      <w:r>
        <w:rPr>
          <w:spacing w:val="-2"/>
        </w:rPr>
        <w:t xml:space="preserve"> </w:t>
      </w:r>
      <w:r>
        <w:t>and Performance</w:t>
      </w:r>
      <w:r>
        <w:rPr>
          <w:spacing w:val="-9"/>
        </w:rPr>
        <w:t xml:space="preserve"> </w:t>
      </w:r>
      <w:r>
        <w:t>Management</w:t>
      </w:r>
      <w:r>
        <w:rPr>
          <w:spacing w:val="-5"/>
        </w:rPr>
        <w:t xml:space="preserve"> </w:t>
      </w:r>
      <w:r>
        <w:t>Standard</w:t>
      </w:r>
      <w:r>
        <w:rPr>
          <w:spacing w:val="-5"/>
        </w:rPr>
        <w:t xml:space="preserve"> </w:t>
      </w:r>
      <w:r>
        <w:t>2019</w:t>
      </w:r>
      <w:r>
        <w:rPr>
          <w:spacing w:val="-5"/>
        </w:rPr>
        <w:t xml:space="preserve"> </w:t>
      </w:r>
      <w:r>
        <w:t>and</w:t>
      </w:r>
      <w:r>
        <w:rPr>
          <w:spacing w:val="-14"/>
        </w:rPr>
        <w:t xml:space="preserve"> </w:t>
      </w:r>
      <w:r>
        <w:t>Australian</w:t>
      </w:r>
      <w:r>
        <w:rPr>
          <w:spacing w:val="-14"/>
        </w:rPr>
        <w:t xml:space="preserve"> </w:t>
      </w:r>
      <w:r>
        <w:t>Accounting</w:t>
      </w:r>
      <w:r>
        <w:rPr>
          <w:spacing w:val="-5"/>
        </w:rPr>
        <w:t xml:space="preserve"> </w:t>
      </w:r>
      <w:r>
        <w:t>Standards,</w:t>
      </w:r>
      <w:r>
        <w:rPr>
          <w:spacing w:val="-5"/>
        </w:rPr>
        <w:t xml:space="preserve"> </w:t>
      </w:r>
      <w:r>
        <w:t>and</w:t>
      </w:r>
      <w:r>
        <w:rPr>
          <w:spacing w:val="-4"/>
        </w:rPr>
        <w:t xml:space="preserve"> </w:t>
      </w:r>
      <w:r>
        <w:rPr>
          <w:spacing w:val="-5"/>
        </w:rPr>
        <w:t>for</w:t>
      </w:r>
    </w:p>
    <w:p w14:paraId="00377854" w14:textId="77777777" w:rsidR="00AC6F3C" w:rsidRDefault="00570E88">
      <w:pPr>
        <w:pStyle w:val="BodyText"/>
        <w:spacing w:before="3" w:line="249" w:lineRule="auto"/>
        <w:ind w:left="815" w:right="990"/>
      </w:pPr>
      <w:r>
        <w:t>such</w:t>
      </w:r>
      <w:r>
        <w:rPr>
          <w:spacing w:val="-3"/>
        </w:rPr>
        <w:t xml:space="preserve"> </w:t>
      </w:r>
      <w:r>
        <w:t>internal</w:t>
      </w:r>
      <w:r>
        <w:rPr>
          <w:spacing w:val="-3"/>
        </w:rPr>
        <w:t xml:space="preserve"> </w:t>
      </w:r>
      <w:r>
        <w:t>control</w:t>
      </w:r>
      <w:r>
        <w:rPr>
          <w:spacing w:val="-3"/>
        </w:rPr>
        <w:t xml:space="preserve"> </w:t>
      </w:r>
      <w:r>
        <w:t>as</w:t>
      </w:r>
      <w:r>
        <w:rPr>
          <w:spacing w:val="-3"/>
        </w:rPr>
        <w:t xml:space="preserve"> </w:t>
      </w:r>
      <w:r>
        <w:t>the</w:t>
      </w:r>
      <w:r>
        <w:rPr>
          <w:spacing w:val="-3"/>
        </w:rPr>
        <w:t xml:space="preserve"> </w:t>
      </w:r>
      <w:r>
        <w:t>Council</w:t>
      </w:r>
      <w:r>
        <w:rPr>
          <w:spacing w:val="-3"/>
        </w:rPr>
        <w:t xml:space="preserve"> </w:t>
      </w:r>
      <w:r>
        <w:t>determines</w:t>
      </w:r>
      <w:r>
        <w:rPr>
          <w:spacing w:val="-3"/>
        </w:rPr>
        <w:t xml:space="preserve"> </w:t>
      </w:r>
      <w:r>
        <w:t>is</w:t>
      </w:r>
      <w:r>
        <w:rPr>
          <w:spacing w:val="-3"/>
        </w:rPr>
        <w:t xml:space="preserve"> </w:t>
      </w:r>
      <w:r>
        <w:t>necessary</w:t>
      </w:r>
      <w:r>
        <w:rPr>
          <w:spacing w:val="-3"/>
        </w:rPr>
        <w:t xml:space="preserve"> </w:t>
      </w:r>
      <w:r>
        <w:t>to</w:t>
      </w:r>
      <w:r>
        <w:rPr>
          <w:spacing w:val="-3"/>
        </w:rPr>
        <w:t xml:space="preserve"> </w:t>
      </w:r>
      <w:r>
        <w:t>enable</w:t>
      </w:r>
      <w:r>
        <w:rPr>
          <w:spacing w:val="-3"/>
        </w:rPr>
        <w:t xml:space="preserve"> </w:t>
      </w:r>
      <w:r>
        <w:t>the</w:t>
      </w:r>
      <w:r>
        <w:rPr>
          <w:spacing w:val="-3"/>
        </w:rPr>
        <w:t xml:space="preserve"> </w:t>
      </w:r>
      <w:r>
        <w:t>preparation</w:t>
      </w:r>
      <w:r>
        <w:rPr>
          <w:spacing w:val="-3"/>
        </w:rPr>
        <w:t xml:space="preserve"> </w:t>
      </w:r>
      <w:r>
        <w:t>of</w:t>
      </w:r>
      <w:r>
        <w:rPr>
          <w:spacing w:val="-3"/>
        </w:rPr>
        <w:t xml:space="preserve"> </w:t>
      </w:r>
      <w:r>
        <w:t>the financial report that is free from material misstatement, whether due to fraud or error.</w:t>
      </w:r>
    </w:p>
    <w:p w14:paraId="6B0FF146" w14:textId="77777777" w:rsidR="00AC6F3C" w:rsidRDefault="00570E88">
      <w:pPr>
        <w:pStyle w:val="BodyText"/>
        <w:spacing w:before="171" w:line="249" w:lineRule="auto"/>
        <w:ind w:left="815" w:right="1543"/>
      </w:pPr>
      <w:r>
        <w:t>The Council is also responsible for assessing the entity’s ability to continue as a going concern,</w:t>
      </w:r>
      <w:r>
        <w:rPr>
          <w:spacing w:val="-3"/>
        </w:rPr>
        <w:t xml:space="preserve"> </w:t>
      </w:r>
      <w:r>
        <w:t>disclosing,</w:t>
      </w:r>
      <w:r>
        <w:rPr>
          <w:spacing w:val="-3"/>
        </w:rPr>
        <w:t xml:space="preserve"> </w:t>
      </w:r>
      <w:r>
        <w:t>as</w:t>
      </w:r>
      <w:r>
        <w:rPr>
          <w:spacing w:val="-3"/>
        </w:rPr>
        <w:t xml:space="preserve"> </w:t>
      </w:r>
      <w:r>
        <w:t>applicable,</w:t>
      </w:r>
      <w:r>
        <w:rPr>
          <w:spacing w:val="-3"/>
        </w:rPr>
        <w:t xml:space="preserve"> </w:t>
      </w:r>
      <w:r>
        <w:t>matters</w:t>
      </w:r>
      <w:r>
        <w:rPr>
          <w:spacing w:val="-3"/>
        </w:rPr>
        <w:t xml:space="preserve"> </w:t>
      </w:r>
      <w:r>
        <w:t>relating</w:t>
      </w:r>
      <w:r>
        <w:rPr>
          <w:spacing w:val="-3"/>
        </w:rPr>
        <w:t xml:space="preserve"> </w:t>
      </w:r>
      <w:r>
        <w:t>to</w:t>
      </w:r>
      <w:r>
        <w:rPr>
          <w:spacing w:val="-3"/>
        </w:rPr>
        <w:t xml:space="preserve"> </w:t>
      </w:r>
      <w:r>
        <w:t>going</w:t>
      </w:r>
      <w:r>
        <w:rPr>
          <w:spacing w:val="-3"/>
        </w:rPr>
        <w:t xml:space="preserve"> </w:t>
      </w:r>
      <w:r>
        <w:t>concern</w:t>
      </w:r>
      <w:r>
        <w:rPr>
          <w:spacing w:val="-3"/>
        </w:rPr>
        <w:t xml:space="preserve"> </w:t>
      </w:r>
      <w:r>
        <w:t>and</w:t>
      </w:r>
      <w:r>
        <w:rPr>
          <w:spacing w:val="-3"/>
        </w:rPr>
        <w:t xml:space="preserve"> </w:t>
      </w:r>
      <w:r>
        <w:t>using</w:t>
      </w:r>
      <w:r>
        <w:rPr>
          <w:spacing w:val="-3"/>
        </w:rPr>
        <w:t xml:space="preserve"> </w:t>
      </w:r>
      <w:r>
        <w:t>the</w:t>
      </w:r>
      <w:r>
        <w:rPr>
          <w:spacing w:val="-3"/>
        </w:rPr>
        <w:t xml:space="preserve"> </w:t>
      </w:r>
      <w:r>
        <w:t>going concern basis of accounting unless it is intended to abolish the entity or to otherwise cease operations.</w:t>
      </w:r>
    </w:p>
    <w:p w14:paraId="5DA80490" w14:textId="77777777" w:rsidR="00AC6F3C" w:rsidRDefault="00AC6F3C">
      <w:pPr>
        <w:spacing w:line="249" w:lineRule="auto"/>
        <w:sectPr w:rsidR="00AC6F3C">
          <w:headerReference w:type="default" r:id="rId227"/>
          <w:footerReference w:type="default" r:id="rId228"/>
          <w:pgSz w:w="11910" w:h="16840"/>
          <w:pgMar w:top="2460" w:right="1160" w:bottom="520" w:left="460" w:header="1524" w:footer="336" w:gutter="0"/>
          <w:cols w:space="720"/>
        </w:sectPr>
      </w:pPr>
    </w:p>
    <w:p w14:paraId="11C3F363" w14:textId="77777777" w:rsidR="00AC6F3C" w:rsidRDefault="00AC6F3C">
      <w:pPr>
        <w:pStyle w:val="BodyText"/>
      </w:pPr>
    </w:p>
    <w:p w14:paraId="255CE619" w14:textId="77777777" w:rsidR="00AC6F3C" w:rsidRDefault="00AC6F3C">
      <w:pPr>
        <w:pStyle w:val="BodyText"/>
        <w:spacing w:before="2"/>
        <w:rPr>
          <w:sz w:val="28"/>
        </w:rPr>
      </w:pPr>
    </w:p>
    <w:p w14:paraId="77F40B58" w14:textId="77777777" w:rsidR="00AC6F3C" w:rsidRDefault="00570E88">
      <w:pPr>
        <w:pStyle w:val="Heading9"/>
        <w:spacing w:before="93"/>
      </w:pPr>
      <w:r>
        <w:t>Auditor’s</w:t>
      </w:r>
      <w:r>
        <w:rPr>
          <w:spacing w:val="-4"/>
        </w:rPr>
        <w:t xml:space="preserve"> </w:t>
      </w:r>
      <w:r>
        <w:t>responsibilities</w:t>
      </w:r>
      <w:r>
        <w:rPr>
          <w:spacing w:val="-3"/>
        </w:rPr>
        <w:t xml:space="preserve"> </w:t>
      </w:r>
      <w:r>
        <w:t>for</w:t>
      </w:r>
      <w:r>
        <w:rPr>
          <w:spacing w:val="-4"/>
        </w:rPr>
        <w:t xml:space="preserve"> </w:t>
      </w:r>
      <w:r>
        <w:t>the</w:t>
      </w:r>
      <w:r>
        <w:rPr>
          <w:spacing w:val="-3"/>
        </w:rPr>
        <w:t xml:space="preserve"> </w:t>
      </w:r>
      <w:r>
        <w:t>audit</w:t>
      </w:r>
      <w:r>
        <w:rPr>
          <w:spacing w:val="-4"/>
        </w:rPr>
        <w:t xml:space="preserve"> </w:t>
      </w:r>
      <w:r>
        <w:t>of</w:t>
      </w:r>
      <w:r>
        <w:rPr>
          <w:spacing w:val="-3"/>
        </w:rPr>
        <w:t xml:space="preserve"> </w:t>
      </w:r>
      <w:r>
        <w:t>the</w:t>
      </w:r>
      <w:r>
        <w:rPr>
          <w:spacing w:val="-4"/>
        </w:rPr>
        <w:t xml:space="preserve"> </w:t>
      </w:r>
      <w:r>
        <w:t>financial</w:t>
      </w:r>
      <w:r>
        <w:rPr>
          <w:spacing w:val="-3"/>
        </w:rPr>
        <w:t xml:space="preserve"> </w:t>
      </w:r>
      <w:r>
        <w:rPr>
          <w:spacing w:val="-2"/>
        </w:rPr>
        <w:t>report</w:t>
      </w:r>
    </w:p>
    <w:p w14:paraId="68642CFF" w14:textId="77777777" w:rsidR="00AC6F3C" w:rsidRDefault="00570E88">
      <w:pPr>
        <w:pStyle w:val="BodyText"/>
        <w:spacing w:before="176" w:line="249" w:lineRule="auto"/>
        <w:ind w:left="815" w:right="1183"/>
      </w:pPr>
      <w:r>
        <w:t>My objectives are to obtain reasonable assurance about whether the financial report as a whole is free from material misstatement, whether due to fraud or error, and to issue an auditor’s</w:t>
      </w:r>
      <w:r>
        <w:rPr>
          <w:spacing w:val="-3"/>
        </w:rPr>
        <w:t xml:space="preserve"> </w:t>
      </w:r>
      <w:r>
        <w:t>report</w:t>
      </w:r>
      <w:r>
        <w:rPr>
          <w:spacing w:val="-3"/>
        </w:rPr>
        <w:t xml:space="preserve"> </w:t>
      </w:r>
      <w:r>
        <w:t>that</w:t>
      </w:r>
      <w:r>
        <w:rPr>
          <w:spacing w:val="-3"/>
        </w:rPr>
        <w:t xml:space="preserve"> </w:t>
      </w:r>
      <w:r>
        <w:t>includes</w:t>
      </w:r>
      <w:r>
        <w:rPr>
          <w:spacing w:val="-3"/>
        </w:rPr>
        <w:t xml:space="preserve"> </w:t>
      </w:r>
      <w:r>
        <w:t>my</w:t>
      </w:r>
      <w:r>
        <w:rPr>
          <w:spacing w:val="-3"/>
        </w:rPr>
        <w:t xml:space="preserve"> </w:t>
      </w:r>
      <w:r>
        <w:t>opinion.</w:t>
      </w:r>
      <w:r>
        <w:rPr>
          <w:spacing w:val="-3"/>
        </w:rPr>
        <w:t xml:space="preserve"> </w:t>
      </w:r>
      <w:r>
        <w:t>Reasonable</w:t>
      </w:r>
      <w:r>
        <w:rPr>
          <w:spacing w:val="-3"/>
        </w:rPr>
        <w:t xml:space="preserve"> </w:t>
      </w:r>
      <w:r>
        <w:t>assurance</w:t>
      </w:r>
      <w:r>
        <w:rPr>
          <w:spacing w:val="-3"/>
        </w:rPr>
        <w:t xml:space="preserve"> </w:t>
      </w:r>
      <w:r>
        <w:t>is</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assurance, but is not a guarantee that an audit conducted in accordance with the</w:t>
      </w:r>
      <w:r>
        <w:rPr>
          <w:spacing w:val="-5"/>
        </w:rPr>
        <w:t xml:space="preserve"> </w:t>
      </w:r>
      <w:r>
        <w:t>Australian</w:t>
      </w:r>
      <w:r>
        <w:rPr>
          <w:spacing w:val="-5"/>
        </w:rPr>
        <w:t xml:space="preserve"> </w:t>
      </w:r>
      <w:r>
        <w:t>Auditing Standards</w:t>
      </w:r>
      <w:r>
        <w:rPr>
          <w:spacing w:val="-3"/>
        </w:rPr>
        <w:t xml:space="preserve"> </w:t>
      </w:r>
      <w:r>
        <w:t>will</w:t>
      </w:r>
      <w:r>
        <w:rPr>
          <w:spacing w:val="-3"/>
        </w:rPr>
        <w:t xml:space="preserve"> </w:t>
      </w:r>
      <w:r>
        <w:t>always</w:t>
      </w:r>
      <w:r>
        <w:rPr>
          <w:spacing w:val="-3"/>
        </w:rPr>
        <w:t xml:space="preserve"> </w:t>
      </w:r>
      <w:r>
        <w:t>detect</w:t>
      </w:r>
      <w:r>
        <w:rPr>
          <w:spacing w:val="-3"/>
        </w:rPr>
        <w:t xml:space="preserve"> </w:t>
      </w:r>
      <w:r>
        <w:t>a</w:t>
      </w:r>
      <w:r>
        <w:rPr>
          <w:spacing w:val="-3"/>
        </w:rPr>
        <w:t xml:space="preserve"> </w:t>
      </w:r>
      <w:r>
        <w:t>material</w:t>
      </w:r>
      <w:r>
        <w:rPr>
          <w:spacing w:val="-3"/>
        </w:rPr>
        <w:t xml:space="preserve"> </w:t>
      </w:r>
      <w:r>
        <w:t>misstatement</w:t>
      </w:r>
      <w:r>
        <w:rPr>
          <w:spacing w:val="-3"/>
        </w:rPr>
        <w:t xml:space="preserve"> </w:t>
      </w:r>
      <w:r>
        <w:t>when</w:t>
      </w:r>
      <w:r>
        <w:rPr>
          <w:spacing w:val="-3"/>
        </w:rPr>
        <w:t xml:space="preserve"> </w:t>
      </w:r>
      <w:r>
        <w:t>it</w:t>
      </w:r>
      <w:r>
        <w:rPr>
          <w:spacing w:val="-3"/>
        </w:rPr>
        <w:t xml:space="preserve"> </w:t>
      </w:r>
      <w:r>
        <w:t>exists.</w:t>
      </w:r>
      <w:r>
        <w:rPr>
          <w:spacing w:val="-3"/>
        </w:rPr>
        <w:t xml:space="preserve"> </w:t>
      </w:r>
      <w:r>
        <w:t>Misstatements</w:t>
      </w:r>
      <w:r>
        <w:rPr>
          <w:spacing w:val="-3"/>
        </w:rPr>
        <w:t xml:space="preserve"> </w:t>
      </w:r>
      <w:r>
        <w:t>can</w:t>
      </w:r>
      <w:r>
        <w:rPr>
          <w:spacing w:val="-3"/>
        </w:rPr>
        <w:t xml:space="preserve"> </w:t>
      </w:r>
      <w:r>
        <w:t>arise from fraud or error and are considered material if, individually or in aggregate, they could reasonably be expected to influence the economic decisions of users taken on the basis of this financial report.</w:t>
      </w:r>
    </w:p>
    <w:p w14:paraId="661F208E" w14:textId="77777777" w:rsidR="00AC6F3C" w:rsidRDefault="00570E88">
      <w:pPr>
        <w:pStyle w:val="BodyText"/>
        <w:spacing w:before="176" w:line="249" w:lineRule="auto"/>
        <w:ind w:left="815" w:right="1424"/>
      </w:pPr>
      <w:r>
        <w:t>As part of an audit in accordance with the</w:t>
      </w:r>
      <w:r>
        <w:rPr>
          <w:spacing w:val="-4"/>
        </w:rPr>
        <w:t xml:space="preserve"> </w:t>
      </w:r>
      <w:r>
        <w:t>Australian</w:t>
      </w:r>
      <w:r>
        <w:rPr>
          <w:spacing w:val="-4"/>
        </w:rPr>
        <w:t xml:space="preserve"> </w:t>
      </w:r>
      <w:r>
        <w:t>Auditing Standards, I exercise professional</w:t>
      </w:r>
      <w:r>
        <w:rPr>
          <w:spacing w:val="-4"/>
        </w:rPr>
        <w:t xml:space="preserve"> </w:t>
      </w:r>
      <w:r>
        <w:t>judgement</w:t>
      </w:r>
      <w:r>
        <w:rPr>
          <w:spacing w:val="-4"/>
        </w:rPr>
        <w:t xml:space="preserve"> </w:t>
      </w:r>
      <w:r>
        <w:t>and</w:t>
      </w:r>
      <w:r>
        <w:rPr>
          <w:spacing w:val="-4"/>
        </w:rPr>
        <w:t xml:space="preserve"> </w:t>
      </w:r>
      <w:r>
        <w:t>maintain</w:t>
      </w:r>
      <w:r>
        <w:rPr>
          <w:spacing w:val="-4"/>
        </w:rPr>
        <w:t xml:space="preserve"> </w:t>
      </w:r>
      <w:r>
        <w:t>professional</w:t>
      </w:r>
      <w:r>
        <w:rPr>
          <w:spacing w:val="-4"/>
        </w:rPr>
        <w:t xml:space="preserve"> </w:t>
      </w:r>
      <w:proofErr w:type="spellStart"/>
      <w:r>
        <w:t>scepticism</w:t>
      </w:r>
      <w:proofErr w:type="spellEnd"/>
      <w:r>
        <w:rPr>
          <w:spacing w:val="-4"/>
        </w:rPr>
        <w:t xml:space="preserve"> </w:t>
      </w:r>
      <w:r>
        <w:t>throughout</w:t>
      </w:r>
      <w:r>
        <w:rPr>
          <w:spacing w:val="-4"/>
        </w:rPr>
        <w:t xml:space="preserve"> </w:t>
      </w:r>
      <w:r>
        <w:t>the</w:t>
      </w:r>
      <w:r>
        <w:rPr>
          <w:spacing w:val="-4"/>
        </w:rPr>
        <w:t xml:space="preserve"> </w:t>
      </w:r>
      <w:r>
        <w:t>audit.</w:t>
      </w:r>
      <w:r>
        <w:rPr>
          <w:spacing w:val="-4"/>
        </w:rPr>
        <w:t xml:space="preserve"> </w:t>
      </w:r>
      <w:r>
        <w:t>I</w:t>
      </w:r>
      <w:r>
        <w:rPr>
          <w:spacing w:val="-4"/>
        </w:rPr>
        <w:t xml:space="preserve"> </w:t>
      </w:r>
      <w:r>
        <w:t>also:</w:t>
      </w:r>
    </w:p>
    <w:p w14:paraId="5330D355" w14:textId="77777777" w:rsidR="00AC6F3C" w:rsidRDefault="00570E88">
      <w:pPr>
        <w:pStyle w:val="ListParagraph"/>
        <w:numPr>
          <w:ilvl w:val="0"/>
          <w:numId w:val="14"/>
        </w:numPr>
        <w:tabs>
          <w:tab w:val="left" w:pos="1269"/>
        </w:tabs>
        <w:spacing w:before="172" w:line="249" w:lineRule="auto"/>
        <w:ind w:right="1358"/>
        <w:rPr>
          <w:sz w:val="20"/>
        </w:rPr>
      </w:pPr>
      <w:r>
        <w:rPr>
          <w:sz w:val="20"/>
        </w:rPr>
        <w:t>Identify and assess the risks of material misstatement of the financial report, whether due to fraud or error, design and perform audit procedures responsive to those risks, and obtain audit evidence that is sufficient and appropriate to provide a basis for my opinion.</w:t>
      </w:r>
      <w:r>
        <w:rPr>
          <w:spacing w:val="-7"/>
          <w:sz w:val="20"/>
        </w:rPr>
        <w:t xml:space="preserve"> </w:t>
      </w:r>
      <w:r>
        <w:rPr>
          <w:sz w:val="20"/>
        </w:rPr>
        <w:t>The</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not</w:t>
      </w:r>
      <w:r>
        <w:rPr>
          <w:spacing w:val="-3"/>
          <w:sz w:val="20"/>
        </w:rPr>
        <w:t xml:space="preserve"> </w:t>
      </w:r>
      <w:r>
        <w:rPr>
          <w:sz w:val="20"/>
        </w:rPr>
        <w:t>detecting</w:t>
      </w:r>
      <w:r>
        <w:rPr>
          <w:spacing w:val="-3"/>
          <w:sz w:val="20"/>
        </w:rPr>
        <w:t xml:space="preserve"> </w:t>
      </w:r>
      <w:r>
        <w:rPr>
          <w:sz w:val="20"/>
        </w:rPr>
        <w:t>a</w:t>
      </w:r>
      <w:r>
        <w:rPr>
          <w:spacing w:val="-3"/>
          <w:sz w:val="20"/>
        </w:rPr>
        <w:t xml:space="preserve"> </w:t>
      </w:r>
      <w:r>
        <w:rPr>
          <w:sz w:val="20"/>
        </w:rPr>
        <w:t>material</w:t>
      </w:r>
      <w:r>
        <w:rPr>
          <w:spacing w:val="-3"/>
          <w:sz w:val="20"/>
        </w:rPr>
        <w:t xml:space="preserve"> </w:t>
      </w:r>
      <w:r>
        <w:rPr>
          <w:sz w:val="20"/>
        </w:rPr>
        <w:t>misstatement</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fraud</w:t>
      </w:r>
      <w:r>
        <w:rPr>
          <w:spacing w:val="-3"/>
          <w:sz w:val="20"/>
        </w:rPr>
        <w:t xml:space="preserve"> </w:t>
      </w:r>
      <w:r>
        <w:rPr>
          <w:sz w:val="20"/>
        </w:rPr>
        <w:t>is</w:t>
      </w:r>
      <w:r>
        <w:rPr>
          <w:spacing w:val="-3"/>
          <w:sz w:val="20"/>
        </w:rPr>
        <w:t xml:space="preserve"> </w:t>
      </w:r>
      <w:r>
        <w:rPr>
          <w:sz w:val="20"/>
        </w:rPr>
        <w:t>higher than for one resulting from error, as fraud may involve collusion, forgery, intentional omissions, misrepresentations, or the override of internal control.</w:t>
      </w:r>
    </w:p>
    <w:p w14:paraId="1328455D" w14:textId="77777777" w:rsidR="00AC6F3C" w:rsidRDefault="00570E88">
      <w:pPr>
        <w:pStyle w:val="ListParagraph"/>
        <w:numPr>
          <w:ilvl w:val="0"/>
          <w:numId w:val="14"/>
        </w:numPr>
        <w:tabs>
          <w:tab w:val="left" w:pos="1269"/>
        </w:tabs>
        <w:spacing w:before="175" w:line="249" w:lineRule="auto"/>
        <w:ind w:right="1284"/>
        <w:rPr>
          <w:sz w:val="20"/>
        </w:rPr>
      </w:pPr>
      <w:r>
        <w:rPr>
          <w:sz w:val="20"/>
        </w:rPr>
        <w:t>Obtain an understanding of internal control relevant to the audit in order to design audit procedures that are appropriate in the circumstances. This is not done for the purpose of</w:t>
      </w:r>
      <w:r>
        <w:rPr>
          <w:spacing w:val="-3"/>
          <w:sz w:val="20"/>
        </w:rPr>
        <w:t xml:space="preserve"> </w:t>
      </w:r>
      <w:r>
        <w:rPr>
          <w:sz w:val="20"/>
        </w:rPr>
        <w:t>forming</w:t>
      </w:r>
      <w:r>
        <w:rPr>
          <w:spacing w:val="-3"/>
          <w:sz w:val="20"/>
        </w:rPr>
        <w:t xml:space="preserve"> </w:t>
      </w:r>
      <w:r>
        <w:rPr>
          <w:sz w:val="20"/>
        </w:rPr>
        <w:t>an</w:t>
      </w:r>
      <w:r>
        <w:rPr>
          <w:spacing w:val="-3"/>
          <w:sz w:val="20"/>
        </w:rPr>
        <w:t xml:space="preserve"> </w:t>
      </w:r>
      <w:r>
        <w:rPr>
          <w:sz w:val="20"/>
        </w:rPr>
        <w:t>opinion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effectiveness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entity’s</w:t>
      </w:r>
      <w:r>
        <w:rPr>
          <w:spacing w:val="-3"/>
          <w:sz w:val="20"/>
        </w:rPr>
        <w:t xml:space="preserve"> </w:t>
      </w:r>
      <w:r>
        <w:rPr>
          <w:sz w:val="20"/>
        </w:rPr>
        <w:t>internal</w:t>
      </w:r>
      <w:r>
        <w:rPr>
          <w:spacing w:val="-3"/>
          <w:sz w:val="20"/>
        </w:rPr>
        <w:t xml:space="preserve"> </w:t>
      </w:r>
      <w:r>
        <w:rPr>
          <w:sz w:val="20"/>
        </w:rPr>
        <w:t>controls,</w:t>
      </w:r>
      <w:r>
        <w:rPr>
          <w:spacing w:val="-3"/>
          <w:sz w:val="20"/>
        </w:rPr>
        <w:t xml:space="preserve"> </w:t>
      </w:r>
      <w:r>
        <w:rPr>
          <w:sz w:val="20"/>
        </w:rPr>
        <w:t>but</w:t>
      </w:r>
      <w:r>
        <w:rPr>
          <w:spacing w:val="-3"/>
          <w:sz w:val="20"/>
        </w:rPr>
        <w:t xml:space="preserve"> </w:t>
      </w:r>
      <w:r>
        <w:rPr>
          <w:sz w:val="20"/>
        </w:rPr>
        <w:t>allows</w:t>
      </w:r>
      <w:r>
        <w:rPr>
          <w:spacing w:val="-3"/>
          <w:sz w:val="20"/>
        </w:rPr>
        <w:t xml:space="preserve"> </w:t>
      </w:r>
      <w:r>
        <w:rPr>
          <w:sz w:val="20"/>
        </w:rPr>
        <w:t>me to form an opinion on compliance with prescribed requirements.</w:t>
      </w:r>
    </w:p>
    <w:p w14:paraId="0AF9C054" w14:textId="77777777" w:rsidR="00AC6F3C" w:rsidRDefault="00570E88">
      <w:pPr>
        <w:pStyle w:val="ListParagraph"/>
        <w:numPr>
          <w:ilvl w:val="0"/>
          <w:numId w:val="14"/>
        </w:numPr>
        <w:tabs>
          <w:tab w:val="left" w:pos="1269"/>
        </w:tabs>
        <w:spacing w:before="173" w:line="249" w:lineRule="auto"/>
        <w:ind w:right="1577"/>
        <w:rPr>
          <w:sz w:val="20"/>
        </w:rPr>
      </w:pPr>
      <w:r>
        <w:rPr>
          <w:sz w:val="20"/>
        </w:rPr>
        <w:t>Evaluate</w:t>
      </w:r>
      <w:r>
        <w:rPr>
          <w:spacing w:val="-4"/>
          <w:sz w:val="20"/>
        </w:rPr>
        <w:t xml:space="preserve"> </w:t>
      </w:r>
      <w:r>
        <w:rPr>
          <w:sz w:val="20"/>
        </w:rPr>
        <w:t>the</w:t>
      </w:r>
      <w:r>
        <w:rPr>
          <w:spacing w:val="-4"/>
          <w:sz w:val="20"/>
        </w:rPr>
        <w:t xml:space="preserve"> </w:t>
      </w:r>
      <w:r>
        <w:rPr>
          <w:sz w:val="20"/>
        </w:rPr>
        <w:t>appropriateness</w:t>
      </w:r>
      <w:r>
        <w:rPr>
          <w:spacing w:val="-4"/>
          <w:sz w:val="20"/>
        </w:rPr>
        <w:t xml:space="preserve"> </w:t>
      </w:r>
      <w:r>
        <w:rPr>
          <w:sz w:val="20"/>
        </w:rPr>
        <w:t>of</w:t>
      </w:r>
      <w:r>
        <w:rPr>
          <w:spacing w:val="-4"/>
          <w:sz w:val="20"/>
        </w:rPr>
        <w:t xml:space="preserve"> </w:t>
      </w:r>
      <w:r>
        <w:rPr>
          <w:sz w:val="20"/>
        </w:rPr>
        <w:t>material</w:t>
      </w:r>
      <w:r>
        <w:rPr>
          <w:spacing w:val="-4"/>
          <w:sz w:val="20"/>
        </w:rPr>
        <w:t xml:space="preserve"> </w:t>
      </w:r>
      <w:r>
        <w:rPr>
          <w:sz w:val="20"/>
        </w:rPr>
        <w:t>accounting</w:t>
      </w:r>
      <w:r>
        <w:rPr>
          <w:spacing w:val="-4"/>
          <w:sz w:val="20"/>
        </w:rPr>
        <w:t xml:space="preserve"> </w:t>
      </w:r>
      <w:r>
        <w:rPr>
          <w:sz w:val="20"/>
        </w:rPr>
        <w:t>policy</w:t>
      </w:r>
      <w:r>
        <w:rPr>
          <w:spacing w:val="-4"/>
          <w:sz w:val="20"/>
        </w:rPr>
        <w:t xml:space="preserve"> </w:t>
      </w:r>
      <w:r>
        <w:rPr>
          <w:sz w:val="20"/>
        </w:rPr>
        <w:t>information</w:t>
      </w:r>
      <w:r>
        <w:rPr>
          <w:spacing w:val="-4"/>
          <w:sz w:val="20"/>
        </w:rPr>
        <w:t xml:space="preserve"> </w:t>
      </w:r>
      <w:r>
        <w:rPr>
          <w:sz w:val="20"/>
        </w:rPr>
        <w:t>used</w:t>
      </w:r>
      <w:r>
        <w:rPr>
          <w:spacing w:val="-4"/>
          <w:sz w:val="20"/>
        </w:rPr>
        <w:t xml:space="preserve"> </w:t>
      </w:r>
      <w:r>
        <w:rPr>
          <w:sz w:val="20"/>
        </w:rPr>
        <w:t>and</w:t>
      </w:r>
      <w:r>
        <w:rPr>
          <w:spacing w:val="-4"/>
          <w:sz w:val="20"/>
        </w:rPr>
        <w:t xml:space="preserve"> </w:t>
      </w:r>
      <w:r>
        <w:rPr>
          <w:sz w:val="20"/>
        </w:rPr>
        <w:t>the reasonableness</w:t>
      </w:r>
      <w:r>
        <w:rPr>
          <w:spacing w:val="-3"/>
          <w:sz w:val="20"/>
        </w:rPr>
        <w:t xml:space="preserve"> </w:t>
      </w:r>
      <w:r>
        <w:rPr>
          <w:sz w:val="20"/>
        </w:rPr>
        <w:t>of</w:t>
      </w:r>
      <w:r>
        <w:rPr>
          <w:spacing w:val="-3"/>
          <w:sz w:val="20"/>
        </w:rPr>
        <w:t xml:space="preserve"> </w:t>
      </w:r>
      <w:r>
        <w:rPr>
          <w:sz w:val="20"/>
        </w:rPr>
        <w:t>accounting</w:t>
      </w:r>
      <w:r>
        <w:rPr>
          <w:spacing w:val="-3"/>
          <w:sz w:val="20"/>
        </w:rPr>
        <w:t xml:space="preserve"> </w:t>
      </w:r>
      <w:r>
        <w:rPr>
          <w:sz w:val="20"/>
        </w:rPr>
        <w:t>estimates</w:t>
      </w:r>
      <w:r>
        <w:rPr>
          <w:spacing w:val="-3"/>
          <w:sz w:val="20"/>
        </w:rPr>
        <w:t xml:space="preserve"> </w:t>
      </w:r>
      <w:r>
        <w:rPr>
          <w:sz w:val="20"/>
        </w:rPr>
        <w:t>and</w:t>
      </w:r>
      <w:r>
        <w:rPr>
          <w:spacing w:val="-3"/>
          <w:sz w:val="20"/>
        </w:rPr>
        <w:t xml:space="preserve"> </w:t>
      </w:r>
      <w:r>
        <w:rPr>
          <w:sz w:val="20"/>
        </w:rPr>
        <w:t>related</w:t>
      </w:r>
      <w:r>
        <w:rPr>
          <w:spacing w:val="-3"/>
          <w:sz w:val="20"/>
        </w:rPr>
        <w:t xml:space="preserve"> </w:t>
      </w:r>
      <w:r>
        <w:rPr>
          <w:sz w:val="20"/>
        </w:rPr>
        <w:t>disclosures</w:t>
      </w:r>
      <w:r>
        <w:rPr>
          <w:spacing w:val="-3"/>
          <w:sz w:val="20"/>
        </w:rPr>
        <w:t xml:space="preserve"> </w:t>
      </w:r>
      <w:r>
        <w:rPr>
          <w:sz w:val="20"/>
        </w:rPr>
        <w:t>made</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entity.</w:t>
      </w:r>
    </w:p>
    <w:p w14:paraId="2A540B31" w14:textId="77777777" w:rsidR="00AC6F3C" w:rsidRDefault="00570E88">
      <w:pPr>
        <w:pStyle w:val="ListParagraph"/>
        <w:numPr>
          <w:ilvl w:val="0"/>
          <w:numId w:val="14"/>
        </w:numPr>
        <w:tabs>
          <w:tab w:val="left" w:pos="1269"/>
        </w:tabs>
        <w:spacing w:before="172" w:line="249" w:lineRule="auto"/>
        <w:ind w:right="1431"/>
        <w:rPr>
          <w:sz w:val="20"/>
        </w:rPr>
      </w:pPr>
      <w:r>
        <w:rPr>
          <w:sz w:val="20"/>
        </w:rPr>
        <w:t>Conclude on the appropriateness of the entity’s use of the going concern basis of accounting</w:t>
      </w:r>
      <w:r>
        <w:rPr>
          <w:spacing w:val="-4"/>
          <w:sz w:val="20"/>
        </w:rPr>
        <w:t xml:space="preserve"> </w:t>
      </w:r>
      <w:r>
        <w:rPr>
          <w:sz w:val="20"/>
        </w:rPr>
        <w:t>and,</w:t>
      </w:r>
      <w:r>
        <w:rPr>
          <w:spacing w:val="-4"/>
          <w:sz w:val="20"/>
        </w:rPr>
        <w:t xml:space="preserve"> </w:t>
      </w:r>
      <w:r>
        <w:rPr>
          <w:sz w:val="20"/>
        </w:rPr>
        <w:t>based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audit</w:t>
      </w:r>
      <w:r>
        <w:rPr>
          <w:spacing w:val="-4"/>
          <w:sz w:val="20"/>
        </w:rPr>
        <w:t xml:space="preserve"> </w:t>
      </w:r>
      <w:r>
        <w:rPr>
          <w:sz w:val="20"/>
        </w:rPr>
        <w:t>evidence</w:t>
      </w:r>
      <w:r>
        <w:rPr>
          <w:spacing w:val="-4"/>
          <w:sz w:val="20"/>
        </w:rPr>
        <w:t xml:space="preserve"> </w:t>
      </w:r>
      <w:r>
        <w:rPr>
          <w:sz w:val="20"/>
        </w:rPr>
        <w:t>obtained,</w:t>
      </w:r>
      <w:r>
        <w:rPr>
          <w:spacing w:val="-4"/>
          <w:sz w:val="20"/>
        </w:rPr>
        <w:t xml:space="preserve"> </w:t>
      </w:r>
      <w:r>
        <w:rPr>
          <w:sz w:val="20"/>
        </w:rPr>
        <w:t>whether</w:t>
      </w:r>
      <w:r>
        <w:rPr>
          <w:spacing w:val="-4"/>
          <w:sz w:val="20"/>
        </w:rPr>
        <w:t xml:space="preserve"> </w:t>
      </w:r>
      <w:r>
        <w:rPr>
          <w:sz w:val="20"/>
        </w:rPr>
        <w:t>a</w:t>
      </w:r>
      <w:r>
        <w:rPr>
          <w:spacing w:val="-4"/>
          <w:sz w:val="20"/>
        </w:rPr>
        <w:t xml:space="preserve"> </w:t>
      </w:r>
      <w:r>
        <w:rPr>
          <w:sz w:val="20"/>
        </w:rPr>
        <w:t>material</w:t>
      </w:r>
      <w:r>
        <w:rPr>
          <w:spacing w:val="-4"/>
          <w:sz w:val="20"/>
        </w:rPr>
        <w:t xml:space="preserve"> </w:t>
      </w:r>
      <w:r>
        <w:rPr>
          <w:sz w:val="20"/>
        </w:rPr>
        <w:t>uncertainty exists related to events or conditions that may cast significant doubt on the entity’s ability to continue as a going concern. If I conclude that a material uncertainty exists,</w:t>
      </w:r>
    </w:p>
    <w:p w14:paraId="753E24E0" w14:textId="77777777" w:rsidR="00AC6F3C" w:rsidRDefault="00570E88">
      <w:pPr>
        <w:pStyle w:val="BodyText"/>
        <w:spacing w:before="3" w:line="249" w:lineRule="auto"/>
        <w:ind w:left="1269" w:right="1543"/>
      </w:pPr>
      <w:r>
        <w:t>I</w:t>
      </w:r>
      <w:r>
        <w:rPr>
          <w:spacing w:val="-2"/>
        </w:rPr>
        <w:t xml:space="preserve"> </w:t>
      </w:r>
      <w:r>
        <w:t>am</w:t>
      </w:r>
      <w:r>
        <w:rPr>
          <w:spacing w:val="-2"/>
        </w:rPr>
        <w:t xml:space="preserve"> </w:t>
      </w:r>
      <w:r>
        <w:t>required</w:t>
      </w:r>
      <w:r>
        <w:rPr>
          <w:spacing w:val="-2"/>
        </w:rPr>
        <w:t xml:space="preserve"> </w:t>
      </w:r>
      <w:r>
        <w:t>to</w:t>
      </w:r>
      <w:r>
        <w:rPr>
          <w:spacing w:val="-2"/>
        </w:rPr>
        <w:t xml:space="preserve"> </w:t>
      </w:r>
      <w:r>
        <w:t>draw</w:t>
      </w:r>
      <w:r>
        <w:rPr>
          <w:spacing w:val="-2"/>
        </w:rPr>
        <w:t xml:space="preserve"> </w:t>
      </w:r>
      <w:r>
        <w:t>attention</w:t>
      </w:r>
      <w:r>
        <w:rPr>
          <w:spacing w:val="-2"/>
        </w:rPr>
        <w:t xml:space="preserve"> </w:t>
      </w:r>
      <w:r>
        <w:t>in</w:t>
      </w:r>
      <w:r>
        <w:rPr>
          <w:spacing w:val="-2"/>
        </w:rPr>
        <w:t xml:space="preserve"> </w:t>
      </w:r>
      <w:r>
        <w:t>my</w:t>
      </w:r>
      <w:r>
        <w:rPr>
          <w:spacing w:val="-2"/>
        </w:rPr>
        <w:t xml:space="preserve"> </w:t>
      </w:r>
      <w:r>
        <w:t>auditor’s</w:t>
      </w:r>
      <w:r>
        <w:rPr>
          <w:spacing w:val="-2"/>
        </w:rPr>
        <w:t xml:space="preserve"> </w:t>
      </w:r>
      <w:r>
        <w:t>report</w:t>
      </w:r>
      <w:r>
        <w:rPr>
          <w:spacing w:val="-2"/>
        </w:rPr>
        <w:t xml:space="preserve"> </w:t>
      </w:r>
      <w:r>
        <w:t>to</w:t>
      </w:r>
      <w:r>
        <w:rPr>
          <w:spacing w:val="-2"/>
        </w:rPr>
        <w:t xml:space="preserve"> </w:t>
      </w:r>
      <w:r>
        <w:t>the</w:t>
      </w:r>
      <w:r>
        <w:rPr>
          <w:spacing w:val="-2"/>
        </w:rPr>
        <w:t xml:space="preserve"> </w:t>
      </w:r>
      <w:r>
        <w:t>related</w:t>
      </w:r>
      <w:r>
        <w:rPr>
          <w:spacing w:val="-2"/>
        </w:rPr>
        <w:t xml:space="preserve"> </w:t>
      </w:r>
      <w:r>
        <w:t>disclosures</w:t>
      </w:r>
      <w:r>
        <w:rPr>
          <w:spacing w:val="-2"/>
        </w:rPr>
        <w:t xml:space="preserve"> </w:t>
      </w:r>
      <w:r>
        <w:t>in</w:t>
      </w:r>
      <w:r>
        <w:rPr>
          <w:spacing w:val="-2"/>
        </w:rPr>
        <w:t xml:space="preserve"> </w:t>
      </w:r>
      <w:r>
        <w:t>the financial report or, if such disclosures are inadequate, to modify my opinion. I base my conclusions on the audit evidence obtained up to the date of my auditor’s report. However, future events or conditions may cause the entity to cease to continue as a going concern.</w:t>
      </w:r>
    </w:p>
    <w:p w14:paraId="6C19898D" w14:textId="77777777" w:rsidR="00AC6F3C" w:rsidRDefault="00570E88">
      <w:pPr>
        <w:pStyle w:val="ListParagraph"/>
        <w:numPr>
          <w:ilvl w:val="0"/>
          <w:numId w:val="14"/>
        </w:numPr>
        <w:tabs>
          <w:tab w:val="left" w:pos="1267"/>
          <w:tab w:val="left" w:pos="1269"/>
        </w:tabs>
        <w:spacing w:before="174" w:line="249" w:lineRule="auto"/>
        <w:ind w:right="1287"/>
        <w:jc w:val="both"/>
        <w:rPr>
          <w:sz w:val="20"/>
        </w:rPr>
      </w:pPr>
      <w:r>
        <w:rPr>
          <w:sz w:val="20"/>
        </w:rPr>
        <w:t>Evaluate</w:t>
      </w:r>
      <w:r>
        <w:rPr>
          <w:spacing w:val="-3"/>
          <w:sz w:val="20"/>
        </w:rPr>
        <w:t xml:space="preserve"> </w:t>
      </w:r>
      <w:r>
        <w:rPr>
          <w:sz w:val="20"/>
        </w:rPr>
        <w:t>the</w:t>
      </w:r>
      <w:r>
        <w:rPr>
          <w:spacing w:val="-3"/>
          <w:sz w:val="20"/>
        </w:rPr>
        <w:t xml:space="preserve"> </w:t>
      </w:r>
      <w:r>
        <w:rPr>
          <w:sz w:val="20"/>
        </w:rPr>
        <w:t>overall</w:t>
      </w:r>
      <w:r>
        <w:rPr>
          <w:spacing w:val="-3"/>
          <w:sz w:val="20"/>
        </w:rPr>
        <w:t xml:space="preserve"> </w:t>
      </w:r>
      <w:r>
        <w:rPr>
          <w:sz w:val="20"/>
        </w:rPr>
        <w:t>presentation,</w:t>
      </w:r>
      <w:r>
        <w:rPr>
          <w:spacing w:val="-3"/>
          <w:sz w:val="20"/>
        </w:rPr>
        <w:t xml:space="preserve"> </w:t>
      </w:r>
      <w:r>
        <w:rPr>
          <w:sz w:val="20"/>
        </w:rPr>
        <w:t>structure</w:t>
      </w:r>
      <w:r>
        <w:rPr>
          <w:spacing w:val="-3"/>
          <w:sz w:val="20"/>
        </w:rPr>
        <w:t xml:space="preserve"> </w:t>
      </w:r>
      <w:r>
        <w:rPr>
          <w:sz w:val="20"/>
        </w:rPr>
        <w:t>and</w:t>
      </w:r>
      <w:r>
        <w:rPr>
          <w:spacing w:val="-3"/>
          <w:sz w:val="20"/>
        </w:rPr>
        <w:t xml:space="preserve"> </w:t>
      </w:r>
      <w:r>
        <w:rPr>
          <w:sz w:val="20"/>
        </w:rPr>
        <w:t>content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w:t>
      </w:r>
      <w:r>
        <w:rPr>
          <w:spacing w:val="-3"/>
          <w:sz w:val="20"/>
        </w:rPr>
        <w:t xml:space="preserve"> </w:t>
      </w:r>
      <w:r>
        <w:rPr>
          <w:sz w:val="20"/>
        </w:rPr>
        <w:t>including the disclosures, and whether the financial report represents the underlying transactions and events in a manner that achieves fair presentation.</w:t>
      </w:r>
    </w:p>
    <w:p w14:paraId="2ABEE0E2" w14:textId="77777777" w:rsidR="00AC6F3C" w:rsidRDefault="00570E88">
      <w:pPr>
        <w:pStyle w:val="BodyText"/>
        <w:spacing w:before="173" w:line="249" w:lineRule="auto"/>
        <w:ind w:left="815" w:right="1424"/>
      </w:pPr>
      <w:r>
        <w:t>I</w:t>
      </w:r>
      <w:r>
        <w:rPr>
          <w:spacing w:val="-3"/>
        </w:rPr>
        <w:t xml:space="preserve"> </w:t>
      </w:r>
      <w:r>
        <w:t>communicate</w:t>
      </w:r>
      <w:r>
        <w:rPr>
          <w:spacing w:val="-3"/>
        </w:rPr>
        <w:t xml:space="preserve"> </w:t>
      </w:r>
      <w:r>
        <w:t>with</w:t>
      </w:r>
      <w:r>
        <w:rPr>
          <w:spacing w:val="-3"/>
        </w:rPr>
        <w:t xml:space="preserve"> </w:t>
      </w:r>
      <w:r>
        <w:t>the</w:t>
      </w:r>
      <w:r>
        <w:rPr>
          <w:spacing w:val="-3"/>
        </w:rPr>
        <w:t xml:space="preserve"> </w:t>
      </w:r>
      <w:r>
        <w:t>Council</w:t>
      </w:r>
      <w:r>
        <w:rPr>
          <w:spacing w:val="-3"/>
        </w:rPr>
        <w:t xml:space="preserve"> </w:t>
      </w:r>
      <w:r>
        <w:t>regarding,</w:t>
      </w:r>
      <w:r>
        <w:rPr>
          <w:spacing w:val="-3"/>
        </w:rPr>
        <w:t xml:space="preserve"> </w:t>
      </w:r>
      <w:r>
        <w:t>among</w:t>
      </w:r>
      <w:r>
        <w:rPr>
          <w:spacing w:val="-3"/>
        </w:rPr>
        <w:t xml:space="preserve"> </w:t>
      </w:r>
      <w:r>
        <w:t>other</w:t>
      </w:r>
      <w:r>
        <w:rPr>
          <w:spacing w:val="-3"/>
        </w:rPr>
        <w:t xml:space="preserve"> </w:t>
      </w:r>
      <w:r>
        <w:t>matters,</w:t>
      </w:r>
      <w:r>
        <w:rPr>
          <w:spacing w:val="-3"/>
        </w:rPr>
        <w:t xml:space="preserve"> </w:t>
      </w:r>
      <w:r>
        <w:t>the</w:t>
      </w:r>
      <w:r>
        <w:rPr>
          <w:spacing w:val="-3"/>
        </w:rPr>
        <w:t xml:space="preserve"> </w:t>
      </w:r>
      <w:r>
        <w:t>planned</w:t>
      </w:r>
      <w:r>
        <w:rPr>
          <w:spacing w:val="-3"/>
        </w:rPr>
        <w:t xml:space="preserve"> </w:t>
      </w:r>
      <w:r>
        <w:t>scope</w:t>
      </w:r>
      <w:r>
        <w:rPr>
          <w:spacing w:val="-3"/>
        </w:rPr>
        <w:t xml:space="preserve"> </w:t>
      </w:r>
      <w:r>
        <w:t>and timing of the audit and significant audit findings, including any significant deficiencies in internal control that I identify during my audit.</w:t>
      </w:r>
    </w:p>
    <w:p w14:paraId="77C5FEE9" w14:textId="77777777" w:rsidR="00AC6F3C" w:rsidRDefault="00AC6F3C">
      <w:pPr>
        <w:spacing w:line="249" w:lineRule="auto"/>
        <w:sectPr w:rsidR="00AC6F3C">
          <w:pgSz w:w="11910" w:h="16840"/>
          <w:pgMar w:top="2460" w:right="1160" w:bottom="520" w:left="460" w:header="1524" w:footer="336" w:gutter="0"/>
          <w:cols w:space="720"/>
        </w:sectPr>
      </w:pPr>
    </w:p>
    <w:p w14:paraId="01D1356C" w14:textId="77777777" w:rsidR="00AC6F3C" w:rsidRDefault="00AC6F3C">
      <w:pPr>
        <w:pStyle w:val="BodyText"/>
      </w:pPr>
    </w:p>
    <w:p w14:paraId="51FB1E9D" w14:textId="77777777" w:rsidR="00AC6F3C" w:rsidRDefault="00AC6F3C">
      <w:pPr>
        <w:pStyle w:val="BodyText"/>
        <w:spacing w:before="6"/>
        <w:rPr>
          <w:sz w:val="27"/>
        </w:rPr>
      </w:pPr>
    </w:p>
    <w:p w14:paraId="29D25796" w14:textId="77777777" w:rsidR="00AC6F3C" w:rsidRDefault="00570E88">
      <w:pPr>
        <w:spacing w:before="92"/>
        <w:ind w:left="815"/>
        <w:rPr>
          <w:b/>
          <w:sz w:val="26"/>
        </w:rPr>
      </w:pPr>
      <w:r>
        <w:rPr>
          <w:b/>
          <w:sz w:val="26"/>
        </w:rPr>
        <w:t>Report</w:t>
      </w:r>
      <w:r>
        <w:rPr>
          <w:b/>
          <w:spacing w:val="-3"/>
          <w:sz w:val="26"/>
        </w:rPr>
        <w:t xml:space="preserve"> </w:t>
      </w:r>
      <w:r>
        <w:rPr>
          <w:b/>
          <w:sz w:val="26"/>
        </w:rPr>
        <w:t>on</w:t>
      </w:r>
      <w:r>
        <w:rPr>
          <w:b/>
          <w:spacing w:val="-2"/>
          <w:sz w:val="26"/>
        </w:rPr>
        <w:t xml:space="preserve"> </w:t>
      </w:r>
      <w:r>
        <w:rPr>
          <w:b/>
          <w:sz w:val="26"/>
        </w:rPr>
        <w:t>other</w:t>
      </w:r>
      <w:r>
        <w:rPr>
          <w:b/>
          <w:spacing w:val="-2"/>
          <w:sz w:val="26"/>
        </w:rPr>
        <w:t xml:space="preserve"> </w:t>
      </w:r>
      <w:r>
        <w:rPr>
          <w:b/>
          <w:sz w:val="26"/>
        </w:rPr>
        <w:t>legal</w:t>
      </w:r>
      <w:r>
        <w:rPr>
          <w:b/>
          <w:spacing w:val="-2"/>
          <w:sz w:val="26"/>
        </w:rPr>
        <w:t xml:space="preserve"> </w:t>
      </w:r>
      <w:r>
        <w:rPr>
          <w:b/>
          <w:sz w:val="26"/>
        </w:rPr>
        <w:t>and</w:t>
      </w:r>
      <w:r>
        <w:rPr>
          <w:b/>
          <w:spacing w:val="-2"/>
          <w:sz w:val="26"/>
        </w:rPr>
        <w:t xml:space="preserve"> </w:t>
      </w:r>
      <w:r>
        <w:rPr>
          <w:b/>
          <w:sz w:val="26"/>
        </w:rPr>
        <w:t>regulatory</w:t>
      </w:r>
      <w:r>
        <w:rPr>
          <w:b/>
          <w:spacing w:val="-2"/>
          <w:sz w:val="26"/>
        </w:rPr>
        <w:t xml:space="preserve"> requirements</w:t>
      </w:r>
    </w:p>
    <w:p w14:paraId="0576EB37" w14:textId="77777777" w:rsidR="00AC6F3C" w:rsidRDefault="00AC6F3C">
      <w:pPr>
        <w:pStyle w:val="BodyText"/>
        <w:spacing w:before="5"/>
        <w:rPr>
          <w:b/>
          <w:sz w:val="22"/>
        </w:rPr>
      </w:pPr>
    </w:p>
    <w:p w14:paraId="3E2A48AA" w14:textId="77777777" w:rsidR="00AC6F3C" w:rsidRDefault="00570E88">
      <w:pPr>
        <w:pStyle w:val="Heading9"/>
      </w:pPr>
      <w:r>
        <w:rPr>
          <w:spacing w:val="-2"/>
        </w:rPr>
        <w:t>Statement</w:t>
      </w:r>
    </w:p>
    <w:p w14:paraId="7732779F" w14:textId="77777777" w:rsidR="00AC6F3C" w:rsidRDefault="00570E88">
      <w:pPr>
        <w:spacing w:before="176"/>
        <w:ind w:left="815"/>
        <w:rPr>
          <w:sz w:val="20"/>
        </w:rPr>
      </w:pPr>
      <w:r>
        <w:rPr>
          <w:sz w:val="20"/>
        </w:rPr>
        <w:t>In</w:t>
      </w:r>
      <w:r>
        <w:rPr>
          <w:spacing w:val="-3"/>
          <w:sz w:val="20"/>
        </w:rPr>
        <w:t xml:space="preserve"> </w:t>
      </w:r>
      <w:r>
        <w:rPr>
          <w:sz w:val="20"/>
        </w:rPr>
        <w:t>accordance</w:t>
      </w:r>
      <w:r>
        <w:rPr>
          <w:spacing w:val="-3"/>
          <w:sz w:val="20"/>
        </w:rPr>
        <w:t xml:space="preserve"> </w:t>
      </w:r>
      <w:r>
        <w:rPr>
          <w:sz w:val="20"/>
        </w:rPr>
        <w:t>with</w:t>
      </w:r>
      <w:r>
        <w:rPr>
          <w:spacing w:val="-3"/>
          <w:sz w:val="20"/>
        </w:rPr>
        <w:t xml:space="preserve"> </w:t>
      </w:r>
      <w:r>
        <w:rPr>
          <w:sz w:val="20"/>
        </w:rPr>
        <w:t>s.40</w:t>
      </w:r>
      <w:r>
        <w:rPr>
          <w:spacing w:val="-3"/>
          <w:sz w:val="20"/>
        </w:rPr>
        <w:t xml:space="preserve"> </w:t>
      </w:r>
      <w:r>
        <w:rPr>
          <w:sz w:val="20"/>
        </w:rPr>
        <w:t>of</w:t>
      </w:r>
      <w:r>
        <w:rPr>
          <w:spacing w:val="-3"/>
          <w:sz w:val="20"/>
        </w:rPr>
        <w:t xml:space="preserve"> </w:t>
      </w:r>
      <w:r>
        <w:rPr>
          <w:sz w:val="20"/>
        </w:rPr>
        <w:t>the</w:t>
      </w:r>
      <w:r>
        <w:rPr>
          <w:spacing w:val="-2"/>
          <w:sz w:val="20"/>
        </w:rPr>
        <w:t xml:space="preserve"> </w:t>
      </w:r>
      <w:r>
        <w:rPr>
          <w:i/>
          <w:sz w:val="20"/>
        </w:rPr>
        <w:t>Auditor-General</w:t>
      </w:r>
      <w:r>
        <w:rPr>
          <w:i/>
          <w:spacing w:val="-11"/>
          <w:sz w:val="20"/>
        </w:rPr>
        <w:t xml:space="preserve"> </w:t>
      </w:r>
      <w:r>
        <w:rPr>
          <w:i/>
          <w:sz w:val="20"/>
        </w:rPr>
        <w:t>Act</w:t>
      </w:r>
      <w:r>
        <w:rPr>
          <w:i/>
          <w:spacing w:val="-3"/>
          <w:sz w:val="20"/>
        </w:rPr>
        <w:t xml:space="preserve"> </w:t>
      </w:r>
      <w:r>
        <w:rPr>
          <w:i/>
          <w:sz w:val="20"/>
        </w:rPr>
        <w:t>2009</w:t>
      </w:r>
      <w:r>
        <w:rPr>
          <w:sz w:val="20"/>
        </w:rPr>
        <w:t>,</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year</w:t>
      </w:r>
      <w:r>
        <w:rPr>
          <w:spacing w:val="-3"/>
          <w:sz w:val="20"/>
        </w:rPr>
        <w:t xml:space="preserve"> </w:t>
      </w:r>
      <w:r>
        <w:rPr>
          <w:sz w:val="20"/>
        </w:rPr>
        <w:t>ended</w:t>
      </w:r>
      <w:r>
        <w:rPr>
          <w:spacing w:val="-3"/>
          <w:sz w:val="20"/>
        </w:rPr>
        <w:t xml:space="preserve"> </w:t>
      </w:r>
      <w:r>
        <w:rPr>
          <w:sz w:val="20"/>
        </w:rPr>
        <w:t>30</w:t>
      </w:r>
      <w:r>
        <w:rPr>
          <w:spacing w:val="-3"/>
          <w:sz w:val="20"/>
        </w:rPr>
        <w:t xml:space="preserve"> </w:t>
      </w:r>
      <w:r>
        <w:rPr>
          <w:sz w:val="20"/>
        </w:rPr>
        <w:t>June</w:t>
      </w:r>
      <w:r>
        <w:rPr>
          <w:spacing w:val="-2"/>
          <w:sz w:val="20"/>
        </w:rPr>
        <w:t xml:space="preserve"> 2023:</w:t>
      </w:r>
    </w:p>
    <w:p w14:paraId="6624151B" w14:textId="77777777" w:rsidR="00AC6F3C" w:rsidRDefault="00570E88">
      <w:pPr>
        <w:pStyle w:val="ListParagraph"/>
        <w:numPr>
          <w:ilvl w:val="0"/>
          <w:numId w:val="13"/>
        </w:numPr>
        <w:tabs>
          <w:tab w:val="left" w:pos="1269"/>
        </w:tabs>
        <w:rPr>
          <w:sz w:val="20"/>
        </w:rPr>
      </w:pPr>
      <w:r>
        <w:rPr>
          <w:sz w:val="20"/>
        </w:rPr>
        <w:t>I</w:t>
      </w:r>
      <w:r>
        <w:rPr>
          <w:spacing w:val="-3"/>
          <w:sz w:val="20"/>
        </w:rPr>
        <w:t xml:space="preserve"> </w:t>
      </w:r>
      <w:r>
        <w:rPr>
          <w:sz w:val="20"/>
        </w:rPr>
        <w:t>received</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information</w:t>
      </w:r>
      <w:r>
        <w:rPr>
          <w:spacing w:val="-3"/>
          <w:sz w:val="20"/>
        </w:rPr>
        <w:t xml:space="preserve"> </w:t>
      </w:r>
      <w:r>
        <w:rPr>
          <w:sz w:val="20"/>
        </w:rPr>
        <w:t>and</w:t>
      </w:r>
      <w:r>
        <w:rPr>
          <w:spacing w:val="-3"/>
          <w:sz w:val="20"/>
        </w:rPr>
        <w:t xml:space="preserve"> </w:t>
      </w:r>
      <w:r>
        <w:rPr>
          <w:sz w:val="20"/>
        </w:rPr>
        <w:t>explanations</w:t>
      </w:r>
      <w:r>
        <w:rPr>
          <w:spacing w:val="-3"/>
          <w:sz w:val="20"/>
        </w:rPr>
        <w:t xml:space="preserve"> </w:t>
      </w:r>
      <w:r>
        <w:rPr>
          <w:sz w:val="20"/>
        </w:rPr>
        <w:t>I</w:t>
      </w:r>
      <w:r>
        <w:rPr>
          <w:spacing w:val="-2"/>
          <w:sz w:val="20"/>
        </w:rPr>
        <w:t xml:space="preserve"> required.</w:t>
      </w:r>
    </w:p>
    <w:p w14:paraId="114AA0E0" w14:textId="77777777" w:rsidR="00AC6F3C" w:rsidRDefault="00570E88">
      <w:pPr>
        <w:pStyle w:val="ListParagraph"/>
        <w:numPr>
          <w:ilvl w:val="0"/>
          <w:numId w:val="13"/>
        </w:numPr>
        <w:tabs>
          <w:tab w:val="left" w:pos="1269"/>
        </w:tabs>
        <w:spacing w:line="249" w:lineRule="auto"/>
        <w:ind w:right="1246"/>
        <w:rPr>
          <w:sz w:val="20"/>
        </w:rPr>
      </w:pPr>
      <w:r>
        <w:rPr>
          <w:sz w:val="20"/>
        </w:rPr>
        <w:t>I</w:t>
      </w:r>
      <w:r>
        <w:rPr>
          <w:spacing w:val="-4"/>
          <w:sz w:val="20"/>
        </w:rPr>
        <w:t xml:space="preserve"> </w:t>
      </w:r>
      <w:r>
        <w:rPr>
          <w:sz w:val="20"/>
        </w:rPr>
        <w:t>consider</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prescribed</w:t>
      </w:r>
      <w:r>
        <w:rPr>
          <w:spacing w:val="-4"/>
          <w:sz w:val="20"/>
        </w:rPr>
        <w:t xml:space="preserve"> </w:t>
      </w:r>
      <w:r>
        <w:rPr>
          <w:sz w:val="20"/>
        </w:rPr>
        <w:t>requirements</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establishment</w:t>
      </w:r>
      <w:r>
        <w:rPr>
          <w:spacing w:val="-4"/>
          <w:sz w:val="20"/>
        </w:rPr>
        <w:t xml:space="preserve"> </w:t>
      </w:r>
      <w:r>
        <w:rPr>
          <w:sz w:val="20"/>
        </w:rPr>
        <w:t>and</w:t>
      </w:r>
      <w:r>
        <w:rPr>
          <w:spacing w:val="-4"/>
          <w:sz w:val="20"/>
        </w:rPr>
        <w:t xml:space="preserve"> </w:t>
      </w:r>
      <w:r>
        <w:rPr>
          <w:sz w:val="20"/>
        </w:rPr>
        <w:t>keeping of accounts were complied with in all material respects.</w:t>
      </w:r>
    </w:p>
    <w:p w14:paraId="770A72B6" w14:textId="77777777" w:rsidR="00AC6F3C" w:rsidRDefault="00AC6F3C">
      <w:pPr>
        <w:pStyle w:val="BodyText"/>
        <w:spacing w:before="9"/>
        <w:rPr>
          <w:sz w:val="22"/>
        </w:rPr>
      </w:pPr>
    </w:p>
    <w:p w14:paraId="66DF98F1" w14:textId="77777777" w:rsidR="00AC6F3C" w:rsidRDefault="00570E88">
      <w:pPr>
        <w:pStyle w:val="Heading9"/>
      </w:pPr>
      <w:r>
        <w:t>Prescribed</w:t>
      </w:r>
      <w:r>
        <w:rPr>
          <w:spacing w:val="-6"/>
        </w:rPr>
        <w:t xml:space="preserve"> </w:t>
      </w:r>
      <w:r>
        <w:t>requirements</w:t>
      </w:r>
      <w:r>
        <w:rPr>
          <w:spacing w:val="-5"/>
        </w:rPr>
        <w:t xml:space="preserve"> </w:t>
      </w:r>
      <w:r>
        <w:rPr>
          <w:spacing w:val="-2"/>
        </w:rPr>
        <w:t>scope</w:t>
      </w:r>
    </w:p>
    <w:p w14:paraId="2AFB33E3" w14:textId="77777777" w:rsidR="00AC6F3C" w:rsidRDefault="00570E88">
      <w:pPr>
        <w:pStyle w:val="BodyText"/>
        <w:spacing w:before="176" w:line="249" w:lineRule="auto"/>
        <w:ind w:left="815" w:right="1424"/>
      </w:pPr>
      <w:r>
        <w:t>The</w:t>
      </w:r>
      <w:r>
        <w:rPr>
          <w:spacing w:val="-3"/>
        </w:rPr>
        <w:t xml:space="preserve"> </w:t>
      </w:r>
      <w:r>
        <w:t>prescribed</w:t>
      </w:r>
      <w:r>
        <w:rPr>
          <w:spacing w:val="-3"/>
        </w:rPr>
        <w:t xml:space="preserve"> </w:t>
      </w:r>
      <w:r>
        <w:t>requirements</w:t>
      </w:r>
      <w:r>
        <w:rPr>
          <w:spacing w:val="-3"/>
        </w:rPr>
        <w:t xml:space="preserve"> </w:t>
      </w:r>
      <w:r>
        <w:t>for</w:t>
      </w:r>
      <w:r>
        <w:rPr>
          <w:spacing w:val="-3"/>
        </w:rPr>
        <w:t xml:space="preserve"> </w:t>
      </w:r>
      <w:r>
        <w:t>the</w:t>
      </w:r>
      <w:r>
        <w:rPr>
          <w:spacing w:val="-3"/>
        </w:rPr>
        <w:t xml:space="preserve"> </w:t>
      </w:r>
      <w:r>
        <w:t>establishment</w:t>
      </w:r>
      <w:r>
        <w:rPr>
          <w:spacing w:val="-3"/>
        </w:rPr>
        <w:t xml:space="preserve"> </w:t>
      </w:r>
      <w:r>
        <w:t>and</w:t>
      </w:r>
      <w:r>
        <w:rPr>
          <w:spacing w:val="-3"/>
        </w:rPr>
        <w:t xml:space="preserve"> </w:t>
      </w:r>
      <w:r>
        <w:t>keeping</w:t>
      </w:r>
      <w:r>
        <w:rPr>
          <w:spacing w:val="-3"/>
        </w:rPr>
        <w:t xml:space="preserve"> </w:t>
      </w:r>
      <w:r>
        <w:t>of</w:t>
      </w:r>
      <w:r>
        <w:rPr>
          <w:spacing w:val="-3"/>
        </w:rPr>
        <w:t xml:space="preserve"> </w:t>
      </w:r>
      <w:r>
        <w:t>accounts</w:t>
      </w:r>
      <w:r>
        <w:rPr>
          <w:spacing w:val="-3"/>
        </w:rPr>
        <w:t xml:space="preserve"> </w:t>
      </w:r>
      <w:r>
        <w:t>are</w:t>
      </w:r>
      <w:r>
        <w:rPr>
          <w:spacing w:val="-3"/>
        </w:rPr>
        <w:t xml:space="preserve"> </w:t>
      </w:r>
      <w:r>
        <w:t xml:space="preserve">contained in the </w:t>
      </w:r>
      <w:r>
        <w:rPr>
          <w:i/>
        </w:rPr>
        <w:t>Financial</w:t>
      </w:r>
      <w:r>
        <w:rPr>
          <w:i/>
          <w:spacing w:val="-7"/>
        </w:rPr>
        <w:t xml:space="preserve"> </w:t>
      </w:r>
      <w:r>
        <w:rPr>
          <w:i/>
        </w:rPr>
        <w:t>Accountability</w:t>
      </w:r>
      <w:r>
        <w:rPr>
          <w:i/>
          <w:spacing w:val="-7"/>
        </w:rPr>
        <w:t xml:space="preserve"> </w:t>
      </w:r>
      <w:r>
        <w:rPr>
          <w:i/>
        </w:rPr>
        <w:t>Act 2009</w:t>
      </w:r>
      <w:r>
        <w:t>, any other</w:t>
      </w:r>
      <w:r>
        <w:rPr>
          <w:spacing w:val="-11"/>
        </w:rPr>
        <w:t xml:space="preserve"> </w:t>
      </w:r>
      <w:r>
        <w:t>Act and the Financial and Performance Management Standard 2019. The applicable requirements include those for keeping financial records that correctly record and explain the entity’s transactions and account balances to enable the preparation of a true and fair financial report.</w:t>
      </w:r>
    </w:p>
    <w:p w14:paraId="0202593F" w14:textId="77777777" w:rsidR="00AC6F3C" w:rsidRDefault="00AC6F3C">
      <w:pPr>
        <w:pStyle w:val="BodyText"/>
      </w:pPr>
    </w:p>
    <w:p w14:paraId="2F2667D5" w14:textId="77777777" w:rsidR="00AC6F3C" w:rsidRDefault="00AC6F3C">
      <w:pPr>
        <w:pStyle w:val="BodyText"/>
      </w:pPr>
    </w:p>
    <w:p w14:paraId="6F6A14B8" w14:textId="77777777" w:rsidR="00AC6F3C" w:rsidRDefault="00AC6F3C">
      <w:pPr>
        <w:sectPr w:rsidR="00AC6F3C">
          <w:pgSz w:w="11910" w:h="16840"/>
          <w:pgMar w:top="2460" w:right="1160" w:bottom="520" w:left="460" w:header="1524" w:footer="336" w:gutter="0"/>
          <w:cols w:space="720"/>
        </w:sectPr>
      </w:pPr>
    </w:p>
    <w:p w14:paraId="53A9CC7B" w14:textId="77777777" w:rsidR="00AC6F3C" w:rsidRDefault="00AC6F3C">
      <w:pPr>
        <w:pStyle w:val="BodyText"/>
        <w:rPr>
          <w:sz w:val="7"/>
        </w:rPr>
      </w:pPr>
    </w:p>
    <w:p w14:paraId="34166B6B" w14:textId="7BF20348" w:rsidR="00AC6F3C" w:rsidRDefault="00AC6F3C">
      <w:pPr>
        <w:pStyle w:val="BodyText"/>
        <w:ind w:left="845" w:right="-15"/>
      </w:pPr>
    </w:p>
    <w:p w14:paraId="5B23AE74" w14:textId="77777777" w:rsidR="00AC6F3C" w:rsidRDefault="00AC6F3C">
      <w:pPr>
        <w:pStyle w:val="BodyText"/>
        <w:spacing w:before="5"/>
        <w:rPr>
          <w:sz w:val="27"/>
        </w:rPr>
      </w:pPr>
    </w:p>
    <w:p w14:paraId="02E87608" w14:textId="77777777" w:rsidR="00AC6F3C" w:rsidRDefault="00570E88">
      <w:pPr>
        <w:pStyle w:val="BodyText"/>
        <w:ind w:left="895"/>
      </w:pPr>
      <w:r>
        <w:t>Michelle</w:t>
      </w:r>
      <w:r>
        <w:rPr>
          <w:spacing w:val="-7"/>
        </w:rPr>
        <w:t xml:space="preserve"> </w:t>
      </w:r>
      <w:r>
        <w:rPr>
          <w:spacing w:val="-2"/>
        </w:rPr>
        <w:t>Reardon</w:t>
      </w:r>
    </w:p>
    <w:p w14:paraId="2B04B4E0" w14:textId="77777777" w:rsidR="00AC6F3C" w:rsidRDefault="00570E88">
      <w:pPr>
        <w:pStyle w:val="BodyText"/>
        <w:spacing w:before="10"/>
        <w:ind w:left="895"/>
      </w:pPr>
      <w:r>
        <w:t>as</w:t>
      </w:r>
      <w:r>
        <w:rPr>
          <w:spacing w:val="-6"/>
        </w:rPr>
        <w:t xml:space="preserve"> </w:t>
      </w:r>
      <w:r>
        <w:t>delegate</w:t>
      </w:r>
      <w:r>
        <w:rPr>
          <w:spacing w:val="-4"/>
        </w:rPr>
        <w:t xml:space="preserve"> </w:t>
      </w:r>
      <w:r>
        <w:t>of</w:t>
      </w:r>
      <w:r>
        <w:rPr>
          <w:spacing w:val="-5"/>
        </w:rPr>
        <w:t xml:space="preserve"> </w:t>
      </w:r>
      <w:r>
        <w:t>the</w:t>
      </w:r>
      <w:r>
        <w:rPr>
          <w:spacing w:val="-13"/>
        </w:rPr>
        <w:t xml:space="preserve"> </w:t>
      </w:r>
      <w:r>
        <w:t>Auditor-</w:t>
      </w:r>
      <w:r>
        <w:rPr>
          <w:spacing w:val="-2"/>
        </w:rPr>
        <w:t>General</w:t>
      </w:r>
    </w:p>
    <w:p w14:paraId="6E9BB00B" w14:textId="77777777" w:rsidR="00AC6F3C" w:rsidRDefault="00570E88">
      <w:pPr>
        <w:rPr>
          <w:sz w:val="21"/>
        </w:rPr>
      </w:pPr>
      <w:r>
        <w:br w:type="column"/>
      </w:r>
    </w:p>
    <w:p w14:paraId="65BD8F74" w14:textId="77777777" w:rsidR="00AC6F3C" w:rsidRDefault="00570E88">
      <w:pPr>
        <w:pStyle w:val="BodyText"/>
        <w:spacing w:before="1"/>
        <w:ind w:right="193"/>
        <w:jc w:val="right"/>
      </w:pPr>
      <w:r>
        <w:t>31</w:t>
      </w:r>
      <w:r>
        <w:rPr>
          <w:spacing w:val="-12"/>
        </w:rPr>
        <w:t xml:space="preserve"> </w:t>
      </w:r>
      <w:r>
        <w:t xml:space="preserve">August </w:t>
      </w:r>
      <w:r>
        <w:rPr>
          <w:spacing w:val="-4"/>
        </w:rPr>
        <w:t>2023</w:t>
      </w:r>
    </w:p>
    <w:p w14:paraId="34353FEA" w14:textId="77777777" w:rsidR="00AC6F3C" w:rsidRDefault="00AC6F3C">
      <w:pPr>
        <w:pStyle w:val="BodyText"/>
        <w:rPr>
          <w:sz w:val="22"/>
        </w:rPr>
      </w:pPr>
    </w:p>
    <w:p w14:paraId="79E1C7A0" w14:textId="77777777" w:rsidR="00AC6F3C" w:rsidRDefault="00AC6F3C">
      <w:pPr>
        <w:pStyle w:val="BodyText"/>
        <w:rPr>
          <w:sz w:val="22"/>
        </w:rPr>
      </w:pPr>
    </w:p>
    <w:p w14:paraId="65B43A3C" w14:textId="77777777" w:rsidR="00AC6F3C" w:rsidRDefault="00AC6F3C">
      <w:pPr>
        <w:pStyle w:val="BodyText"/>
        <w:spacing w:before="6"/>
        <w:rPr>
          <w:sz w:val="17"/>
        </w:rPr>
      </w:pPr>
    </w:p>
    <w:p w14:paraId="4E2B0C67" w14:textId="77777777" w:rsidR="00AC6F3C" w:rsidRDefault="00570E88">
      <w:pPr>
        <w:pStyle w:val="BodyText"/>
        <w:ind w:right="193"/>
        <w:jc w:val="right"/>
      </w:pPr>
      <w:r>
        <w:t>Queensland</w:t>
      </w:r>
      <w:r>
        <w:rPr>
          <w:spacing w:val="-14"/>
        </w:rPr>
        <w:t xml:space="preserve"> </w:t>
      </w:r>
      <w:r>
        <w:t>Audit</w:t>
      </w:r>
      <w:r>
        <w:rPr>
          <w:spacing w:val="-6"/>
        </w:rPr>
        <w:t xml:space="preserve"> </w:t>
      </w:r>
      <w:r>
        <w:rPr>
          <w:spacing w:val="-2"/>
        </w:rPr>
        <w:t>Office</w:t>
      </w:r>
    </w:p>
    <w:p w14:paraId="6487A7E1" w14:textId="77777777" w:rsidR="00AC6F3C" w:rsidRDefault="00570E88">
      <w:pPr>
        <w:pStyle w:val="BodyText"/>
        <w:spacing w:before="10"/>
        <w:ind w:right="193"/>
        <w:jc w:val="right"/>
      </w:pPr>
      <w:r>
        <w:rPr>
          <w:spacing w:val="-2"/>
        </w:rPr>
        <w:t>Brisbane</w:t>
      </w:r>
    </w:p>
    <w:p w14:paraId="4340421F" w14:textId="77777777" w:rsidR="00AC6F3C" w:rsidRDefault="00AC6F3C">
      <w:pPr>
        <w:jc w:val="right"/>
        <w:sectPr w:rsidR="00AC6F3C">
          <w:type w:val="continuous"/>
          <w:pgSz w:w="11910" w:h="16840"/>
          <w:pgMar w:top="1920" w:right="1160" w:bottom="280" w:left="460" w:header="1524" w:footer="336" w:gutter="0"/>
          <w:cols w:num="2" w:space="720" w:equalWidth="0">
            <w:col w:w="3982" w:space="3110"/>
            <w:col w:w="3198"/>
          </w:cols>
        </w:sectPr>
      </w:pPr>
    </w:p>
    <w:p w14:paraId="133581DF" w14:textId="77777777" w:rsidR="00AC6F3C" w:rsidRDefault="00AC6F3C">
      <w:pPr>
        <w:pStyle w:val="BodyText"/>
      </w:pPr>
    </w:p>
    <w:p w14:paraId="06C3FCFD" w14:textId="77777777" w:rsidR="00AC6F3C" w:rsidRDefault="00AC6F3C">
      <w:pPr>
        <w:pStyle w:val="BodyText"/>
      </w:pPr>
    </w:p>
    <w:p w14:paraId="27CD397F" w14:textId="77777777" w:rsidR="00AC6F3C" w:rsidRDefault="00AC6F3C">
      <w:pPr>
        <w:pStyle w:val="BodyText"/>
      </w:pPr>
    </w:p>
    <w:p w14:paraId="072390D6" w14:textId="77777777" w:rsidR="00AC6F3C" w:rsidRDefault="00AC6F3C">
      <w:pPr>
        <w:pStyle w:val="BodyText"/>
      </w:pPr>
    </w:p>
    <w:p w14:paraId="7A781118" w14:textId="77777777" w:rsidR="00AC6F3C" w:rsidRDefault="00AC6F3C">
      <w:pPr>
        <w:pStyle w:val="BodyText"/>
      </w:pPr>
    </w:p>
    <w:p w14:paraId="6B34BE20" w14:textId="77777777" w:rsidR="00AC6F3C" w:rsidRDefault="00AC6F3C">
      <w:pPr>
        <w:pStyle w:val="BodyText"/>
      </w:pPr>
    </w:p>
    <w:p w14:paraId="616ECDEE" w14:textId="77777777" w:rsidR="00AC6F3C" w:rsidRDefault="00AC6F3C">
      <w:pPr>
        <w:pStyle w:val="BodyText"/>
      </w:pPr>
    </w:p>
    <w:p w14:paraId="72DF0A7C" w14:textId="77777777" w:rsidR="00AC6F3C" w:rsidRDefault="00AC6F3C">
      <w:pPr>
        <w:pStyle w:val="BodyText"/>
      </w:pPr>
    </w:p>
    <w:p w14:paraId="71A22DE1" w14:textId="77777777" w:rsidR="00AC6F3C" w:rsidRDefault="00AC6F3C">
      <w:pPr>
        <w:pStyle w:val="BodyText"/>
      </w:pPr>
    </w:p>
    <w:p w14:paraId="75C7143C" w14:textId="77777777" w:rsidR="00AC6F3C" w:rsidRDefault="00AC6F3C">
      <w:pPr>
        <w:pStyle w:val="BodyText"/>
      </w:pPr>
    </w:p>
    <w:p w14:paraId="7160399B" w14:textId="77777777" w:rsidR="00AC6F3C" w:rsidRDefault="00AC6F3C">
      <w:pPr>
        <w:pStyle w:val="BodyText"/>
      </w:pPr>
    </w:p>
    <w:p w14:paraId="138EDA3C" w14:textId="77777777" w:rsidR="00AC6F3C" w:rsidRDefault="00AC6F3C">
      <w:pPr>
        <w:pStyle w:val="BodyText"/>
      </w:pPr>
    </w:p>
    <w:p w14:paraId="6A56EB10" w14:textId="77777777" w:rsidR="00AC6F3C" w:rsidRDefault="00AC6F3C">
      <w:pPr>
        <w:pStyle w:val="BodyText"/>
      </w:pPr>
    </w:p>
    <w:p w14:paraId="2384B8A7" w14:textId="77777777" w:rsidR="00AC6F3C" w:rsidRDefault="00AC6F3C">
      <w:pPr>
        <w:pStyle w:val="BodyText"/>
      </w:pPr>
    </w:p>
    <w:p w14:paraId="35ACB177" w14:textId="77777777" w:rsidR="00AC6F3C" w:rsidRDefault="00AC6F3C">
      <w:pPr>
        <w:pStyle w:val="BodyText"/>
      </w:pPr>
    </w:p>
    <w:p w14:paraId="3D20F10E" w14:textId="77777777" w:rsidR="00AC6F3C" w:rsidRDefault="00AC6F3C">
      <w:pPr>
        <w:pStyle w:val="BodyText"/>
      </w:pPr>
    </w:p>
    <w:p w14:paraId="33CC8339" w14:textId="77777777" w:rsidR="00AC6F3C" w:rsidRDefault="00AC6F3C">
      <w:pPr>
        <w:pStyle w:val="BodyText"/>
      </w:pPr>
    </w:p>
    <w:p w14:paraId="47D2F314" w14:textId="77777777" w:rsidR="00AC6F3C" w:rsidRDefault="00AC6F3C">
      <w:pPr>
        <w:pStyle w:val="BodyText"/>
        <w:spacing w:before="11"/>
        <w:rPr>
          <w:sz w:val="18"/>
        </w:rPr>
      </w:pPr>
    </w:p>
    <w:p w14:paraId="02C42A26" w14:textId="77777777" w:rsidR="00AC6F3C" w:rsidRDefault="00570E88">
      <w:pPr>
        <w:spacing w:before="81"/>
        <w:ind w:left="979" w:right="2361"/>
        <w:rPr>
          <w:b/>
          <w:sz w:val="56"/>
        </w:rPr>
      </w:pPr>
      <w:bookmarkStart w:id="92" w:name="_bookmark35"/>
      <w:bookmarkEnd w:id="92"/>
      <w:r>
        <w:rPr>
          <w:b/>
          <w:sz w:val="56"/>
        </w:rPr>
        <w:t>QLS SOLICITOR SUPPORT</w:t>
      </w:r>
      <w:r>
        <w:rPr>
          <w:b/>
          <w:spacing w:val="-39"/>
          <w:sz w:val="56"/>
        </w:rPr>
        <w:t xml:space="preserve"> </w:t>
      </w:r>
      <w:r>
        <w:rPr>
          <w:b/>
          <w:sz w:val="56"/>
        </w:rPr>
        <w:t>PTY</w:t>
      </w:r>
      <w:r>
        <w:rPr>
          <w:b/>
          <w:spacing w:val="-39"/>
          <w:sz w:val="56"/>
        </w:rPr>
        <w:t xml:space="preserve"> </w:t>
      </w:r>
      <w:r>
        <w:rPr>
          <w:b/>
          <w:sz w:val="56"/>
        </w:rPr>
        <w:t>LTD</w:t>
      </w:r>
    </w:p>
    <w:p w14:paraId="3A91AC27" w14:textId="77777777" w:rsidR="00AC6F3C" w:rsidRDefault="00570E88">
      <w:pPr>
        <w:spacing w:before="240" w:line="505" w:lineRule="exact"/>
        <w:ind w:left="979"/>
        <w:rPr>
          <w:sz w:val="44"/>
        </w:rPr>
      </w:pPr>
      <w:r>
        <w:rPr>
          <w:spacing w:val="-2"/>
          <w:sz w:val="44"/>
        </w:rPr>
        <w:t>Financial</w:t>
      </w:r>
      <w:r>
        <w:rPr>
          <w:spacing w:val="-28"/>
          <w:sz w:val="44"/>
        </w:rPr>
        <w:t xml:space="preserve"> </w:t>
      </w:r>
      <w:r>
        <w:rPr>
          <w:spacing w:val="-2"/>
          <w:sz w:val="44"/>
        </w:rPr>
        <w:t>Report</w:t>
      </w:r>
    </w:p>
    <w:p w14:paraId="01861E6E" w14:textId="77777777" w:rsidR="00AC6F3C" w:rsidRDefault="00570E88">
      <w:pPr>
        <w:spacing w:line="505" w:lineRule="exact"/>
        <w:ind w:left="979"/>
        <w:rPr>
          <w:sz w:val="44"/>
        </w:rPr>
      </w:pPr>
      <w:r>
        <w:rPr>
          <w:sz w:val="44"/>
        </w:rPr>
        <w:t>For</w:t>
      </w:r>
      <w:r>
        <w:rPr>
          <w:spacing w:val="-20"/>
          <w:sz w:val="44"/>
        </w:rPr>
        <w:t xml:space="preserve"> </w:t>
      </w:r>
      <w:r>
        <w:rPr>
          <w:sz w:val="44"/>
        </w:rPr>
        <w:t>the</w:t>
      </w:r>
      <w:r>
        <w:rPr>
          <w:spacing w:val="-22"/>
          <w:sz w:val="44"/>
        </w:rPr>
        <w:t xml:space="preserve"> </w:t>
      </w:r>
      <w:r>
        <w:rPr>
          <w:sz w:val="44"/>
        </w:rPr>
        <w:t>year</w:t>
      </w:r>
      <w:r>
        <w:rPr>
          <w:spacing w:val="-21"/>
          <w:sz w:val="44"/>
        </w:rPr>
        <w:t xml:space="preserve"> </w:t>
      </w:r>
      <w:r>
        <w:rPr>
          <w:sz w:val="44"/>
        </w:rPr>
        <w:t>ended</w:t>
      </w:r>
      <w:r>
        <w:rPr>
          <w:spacing w:val="-21"/>
          <w:sz w:val="44"/>
        </w:rPr>
        <w:t xml:space="preserve"> </w:t>
      </w:r>
      <w:r>
        <w:rPr>
          <w:sz w:val="44"/>
        </w:rPr>
        <w:t>30</w:t>
      </w:r>
      <w:r>
        <w:rPr>
          <w:spacing w:val="-22"/>
          <w:sz w:val="44"/>
        </w:rPr>
        <w:t xml:space="preserve"> </w:t>
      </w:r>
      <w:r>
        <w:rPr>
          <w:sz w:val="44"/>
        </w:rPr>
        <w:t>June</w:t>
      </w:r>
      <w:r>
        <w:rPr>
          <w:spacing w:val="-19"/>
          <w:sz w:val="44"/>
        </w:rPr>
        <w:t xml:space="preserve"> </w:t>
      </w:r>
      <w:r>
        <w:rPr>
          <w:spacing w:val="-4"/>
          <w:sz w:val="44"/>
        </w:rPr>
        <w:t>2023</w:t>
      </w:r>
    </w:p>
    <w:p w14:paraId="114A064E" w14:textId="77777777" w:rsidR="00AC6F3C" w:rsidRDefault="00AC6F3C">
      <w:pPr>
        <w:spacing w:line="505" w:lineRule="exact"/>
        <w:rPr>
          <w:sz w:val="44"/>
        </w:rPr>
        <w:sectPr w:rsidR="00AC6F3C">
          <w:headerReference w:type="default" r:id="rId229"/>
          <w:footerReference w:type="default" r:id="rId230"/>
          <w:pgSz w:w="11910" w:h="16840"/>
          <w:pgMar w:top="1920" w:right="1160" w:bottom="520" w:left="460" w:header="0" w:footer="336" w:gutter="0"/>
          <w:cols w:space="720"/>
        </w:sectPr>
      </w:pPr>
    </w:p>
    <w:p w14:paraId="5FE0957C" w14:textId="77777777" w:rsidR="00AC6F3C" w:rsidRDefault="00570E88">
      <w:pPr>
        <w:ind w:left="979"/>
      </w:pPr>
      <w:r>
        <w:lastRenderedPageBreak/>
        <w:t>Financial</w:t>
      </w:r>
      <w:r>
        <w:rPr>
          <w:spacing w:val="-9"/>
        </w:rPr>
        <w:t xml:space="preserve"> </w:t>
      </w:r>
      <w:r>
        <w:rPr>
          <w:spacing w:val="-2"/>
        </w:rPr>
        <w:t>Report</w:t>
      </w:r>
    </w:p>
    <w:p w14:paraId="45D38F66" w14:textId="77777777" w:rsidR="00AC6F3C" w:rsidRDefault="00570E88">
      <w:pPr>
        <w:pStyle w:val="BodyText"/>
        <w:spacing w:before="8"/>
        <w:rPr>
          <w:sz w:val="18"/>
        </w:rPr>
      </w:pPr>
      <w:r>
        <w:rPr>
          <w:noProof/>
        </w:rPr>
        <mc:AlternateContent>
          <mc:Choice Requires="wps">
            <w:drawing>
              <wp:anchor distT="0" distB="0" distL="0" distR="0" simplePos="0" relativeHeight="487698944" behindDoc="1" locked="0" layoutInCell="1" allowOverlap="1" wp14:anchorId="3BD84147" wp14:editId="724D049A">
                <wp:simplePos x="0" y="0"/>
                <wp:positionH relativeFrom="page">
                  <wp:posOffset>896045</wp:posOffset>
                </wp:positionH>
                <wp:positionV relativeFrom="paragraph">
                  <wp:posOffset>151894</wp:posOffset>
                </wp:positionV>
                <wp:extent cx="5699760" cy="635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6350"/>
                        </a:xfrm>
                        <a:custGeom>
                          <a:avLst/>
                          <a:gdLst/>
                          <a:ahLst/>
                          <a:cxnLst/>
                          <a:rect l="l" t="t" r="r" b="b"/>
                          <a:pathLst>
                            <a:path w="5699760" h="6350">
                              <a:moveTo>
                                <a:pt x="5699334" y="6094"/>
                              </a:moveTo>
                              <a:lnTo>
                                <a:pt x="0" y="6094"/>
                              </a:lnTo>
                              <a:lnTo>
                                <a:pt x="0" y="0"/>
                              </a:lnTo>
                              <a:lnTo>
                                <a:pt x="5699334" y="0"/>
                              </a:lnTo>
                              <a:lnTo>
                                <a:pt x="5699334"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2670A" id="Graphic 821" o:spid="_x0000_s1026" style="position:absolute;margin-left:70.55pt;margin-top:11.95pt;width:448.8pt;height:.5pt;z-index:-15617536;visibility:visible;mso-wrap-style:square;mso-wrap-distance-left:0;mso-wrap-distance-top:0;mso-wrap-distance-right:0;mso-wrap-distance-bottom:0;mso-position-horizontal:absolute;mso-position-horizontal-relative:page;mso-position-vertical:absolute;mso-position-vertical-relative:text;v-text-anchor:top" coordsize="569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" path="m5699334,6094l,6094,,,5699334,r,6094xe" fillcolor="black" stroked="f">
                <v:path arrowok="t"/>
                <w10:wrap type="topAndBottom" anchorx="page"/>
              </v:shape>
            </w:pict>
          </mc:Fallback>
        </mc:AlternateContent>
      </w:r>
    </w:p>
    <w:p w14:paraId="60311A03" w14:textId="77777777" w:rsidR="00AC6F3C" w:rsidRDefault="00AC6F3C">
      <w:pPr>
        <w:pStyle w:val="BodyText"/>
      </w:pPr>
    </w:p>
    <w:p w14:paraId="56BFDCC0" w14:textId="77777777" w:rsidR="00AC6F3C" w:rsidRDefault="00AC6F3C">
      <w:pPr>
        <w:pStyle w:val="BodyText"/>
      </w:pPr>
    </w:p>
    <w:p w14:paraId="19848EAA" w14:textId="77777777" w:rsidR="00AC6F3C" w:rsidRDefault="00AC6F3C">
      <w:pPr>
        <w:pStyle w:val="BodyText"/>
      </w:pPr>
    </w:p>
    <w:p w14:paraId="0D61CC3A" w14:textId="77777777" w:rsidR="00AC6F3C" w:rsidRDefault="00570E88">
      <w:pPr>
        <w:pStyle w:val="BodyText"/>
        <w:spacing w:before="4"/>
        <w:rPr>
          <w:sz w:val="22"/>
        </w:rPr>
      </w:pPr>
      <w:r>
        <w:rPr>
          <w:noProof/>
        </w:rPr>
        <mc:AlternateContent>
          <mc:Choice Requires="wps">
            <w:drawing>
              <wp:anchor distT="0" distB="0" distL="0" distR="0" simplePos="0" relativeHeight="487699456" behindDoc="1" locked="0" layoutInCell="1" allowOverlap="1" wp14:anchorId="0FB6708C" wp14:editId="65087436">
                <wp:simplePos x="0" y="0"/>
                <wp:positionH relativeFrom="page">
                  <wp:posOffset>896045</wp:posOffset>
                </wp:positionH>
                <wp:positionV relativeFrom="paragraph">
                  <wp:posOffset>178997</wp:posOffset>
                </wp:positionV>
                <wp:extent cx="5699760" cy="1270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0"/>
                        </a:xfrm>
                        <a:custGeom>
                          <a:avLst/>
                          <a:gdLst/>
                          <a:ahLst/>
                          <a:cxnLst/>
                          <a:rect l="l" t="t" r="r" b="b"/>
                          <a:pathLst>
                            <a:path w="5699760" h="12700">
                              <a:moveTo>
                                <a:pt x="5699334" y="12189"/>
                              </a:moveTo>
                              <a:lnTo>
                                <a:pt x="0" y="12189"/>
                              </a:lnTo>
                              <a:lnTo>
                                <a:pt x="0" y="0"/>
                              </a:lnTo>
                              <a:lnTo>
                                <a:pt x="5699334" y="0"/>
                              </a:lnTo>
                              <a:lnTo>
                                <a:pt x="5699334" y="121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5051B" id="Graphic 822" o:spid="_x0000_s1026" style="position:absolute;margin-left:70.55pt;margin-top:14.1pt;width:448.8pt;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56997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" path="m5699334,12189l,12189,,,5699334,r,12189xe" fillcolor="black" stroked="f">
                <v:path arrowok="t"/>
                <w10:wrap type="topAndBottom" anchorx="page"/>
              </v:shape>
            </w:pict>
          </mc:Fallback>
        </mc:AlternateContent>
      </w:r>
    </w:p>
    <w:p w14:paraId="7BE496F2" w14:textId="77777777" w:rsidR="00AC6F3C" w:rsidRDefault="00570E88">
      <w:pPr>
        <w:spacing w:before="99"/>
        <w:ind w:left="979"/>
        <w:rPr>
          <w:b/>
          <w:sz w:val="36"/>
        </w:rPr>
      </w:pPr>
      <w:r>
        <w:rPr>
          <w:b/>
          <w:sz w:val="36"/>
        </w:rPr>
        <w:t>Table</w:t>
      </w:r>
      <w:r>
        <w:rPr>
          <w:b/>
          <w:spacing w:val="-4"/>
          <w:sz w:val="36"/>
        </w:rPr>
        <w:t xml:space="preserve"> </w:t>
      </w:r>
      <w:r>
        <w:rPr>
          <w:b/>
          <w:sz w:val="36"/>
        </w:rPr>
        <w:t xml:space="preserve">of </w:t>
      </w:r>
      <w:r>
        <w:rPr>
          <w:b/>
          <w:spacing w:val="-2"/>
          <w:sz w:val="36"/>
        </w:rPr>
        <w:t>contents</w:t>
      </w:r>
    </w:p>
    <w:p w14:paraId="0B7FC5DE" w14:textId="77777777" w:rsidR="00AC6F3C" w:rsidRDefault="00AC6F3C">
      <w:pPr>
        <w:pStyle w:val="BodyText"/>
        <w:rPr>
          <w:b/>
        </w:rPr>
      </w:pPr>
    </w:p>
    <w:p w14:paraId="3FD6842E" w14:textId="77777777" w:rsidR="00AC6F3C" w:rsidRDefault="00AC6F3C">
      <w:pPr>
        <w:pStyle w:val="BodyText"/>
        <w:spacing w:before="5"/>
        <w:rPr>
          <w:b/>
          <w:sz w:val="24"/>
        </w:rPr>
      </w:pPr>
    </w:p>
    <w:p w14:paraId="2399AAD6" w14:textId="77777777" w:rsidR="00AC6F3C" w:rsidRDefault="00570E88">
      <w:pPr>
        <w:pStyle w:val="BodyText"/>
        <w:spacing w:line="20" w:lineRule="exact"/>
        <w:ind w:left="979"/>
        <w:rPr>
          <w:sz w:val="2"/>
        </w:rPr>
      </w:pPr>
      <w:r>
        <w:rPr>
          <w:noProof/>
          <w:sz w:val="2"/>
        </w:rPr>
        <mc:AlternateContent>
          <mc:Choice Requires="wpg">
            <w:drawing>
              <wp:inline distT="0" distB="0" distL="0" distR="0" wp14:anchorId="105F3527" wp14:editId="2F86E479">
                <wp:extent cx="5731510" cy="6350"/>
                <wp:effectExtent l="0" t="0" r="0" b="0"/>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6350"/>
                          <a:chOff x="0" y="0"/>
                          <a:chExt cx="5731510" cy="6350"/>
                        </a:xfrm>
                      </wpg:grpSpPr>
                      <wps:wsp>
                        <wps:cNvPr id="824" name="Graphic 824"/>
                        <wps:cNvSpPr/>
                        <wps:spPr>
                          <a:xfrm>
                            <a:off x="-7" y="7"/>
                            <a:ext cx="5731510" cy="6350"/>
                          </a:xfrm>
                          <a:custGeom>
                            <a:avLst/>
                            <a:gdLst/>
                            <a:ahLst/>
                            <a:cxnLst/>
                            <a:rect l="l" t="t" r="r" b="b"/>
                            <a:pathLst>
                              <a:path w="5731510" h="6350">
                                <a:moveTo>
                                  <a:pt x="5731345" y="0"/>
                                </a:moveTo>
                                <a:lnTo>
                                  <a:pt x="5731345" y="0"/>
                                </a:lnTo>
                                <a:lnTo>
                                  <a:pt x="0" y="0"/>
                                </a:lnTo>
                                <a:lnTo>
                                  <a:pt x="0" y="6108"/>
                                </a:lnTo>
                                <a:lnTo>
                                  <a:pt x="5731345" y="6108"/>
                                </a:lnTo>
                                <a:lnTo>
                                  <a:pt x="57313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993DB0" id="Group 823" o:spid="_x0000_s1026" style="width:451.3pt;height:.5pt;mso-position-horizontal-relative:char;mso-position-vertical-relative:line" coordsize="573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">
                <v:shape id="Graphic 824" o:spid="_x0000_s1027" style="position:absolute;width:57315;height:63;visibility:visible;mso-wrap-style:square;v-text-anchor:top" coordsize="5731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" path="m5731345,r,l,,,6108r5731345,l5731345,xe" fillcolor="black" stroked="f">
                  <v:path arrowok="t"/>
                </v:shape>
                <w10:anchorlock/>
              </v:group>
            </w:pict>
          </mc:Fallback>
        </mc:AlternateContent>
      </w:r>
    </w:p>
    <w:p w14:paraId="593B8A37" w14:textId="77777777" w:rsidR="00AC6F3C" w:rsidRDefault="00AC6F3C">
      <w:pPr>
        <w:spacing w:line="20" w:lineRule="exact"/>
        <w:rPr>
          <w:sz w:val="2"/>
        </w:rPr>
        <w:sectPr w:rsidR="00AC6F3C">
          <w:headerReference w:type="default" r:id="rId231"/>
          <w:footerReference w:type="default" r:id="rId232"/>
          <w:pgSz w:w="11910" w:h="16840"/>
          <w:pgMar w:top="1520" w:right="1160" w:bottom="520" w:left="460" w:header="1250" w:footer="336" w:gutter="0"/>
          <w:cols w:space="720"/>
        </w:sectPr>
      </w:pPr>
    </w:p>
    <w:p w14:paraId="5C323BD7" w14:textId="77777777" w:rsidR="00AC6F3C" w:rsidRDefault="00570E88">
      <w:pPr>
        <w:spacing w:before="46"/>
        <w:ind w:left="1087" w:right="188"/>
        <w:rPr>
          <w:b/>
          <w:sz w:val="18"/>
        </w:rPr>
      </w:pPr>
      <w:r>
        <w:rPr>
          <w:noProof/>
        </w:rPr>
        <mc:AlternateContent>
          <mc:Choice Requires="wps">
            <w:drawing>
              <wp:anchor distT="0" distB="0" distL="0" distR="0" simplePos="0" relativeHeight="15844864" behindDoc="0" locked="0" layoutInCell="1" allowOverlap="1" wp14:anchorId="64F7BE7C" wp14:editId="0F5394A9">
                <wp:simplePos x="0" y="0"/>
                <wp:positionH relativeFrom="page">
                  <wp:posOffset>914323</wp:posOffset>
                </wp:positionH>
                <wp:positionV relativeFrom="paragraph">
                  <wp:posOffset>329927</wp:posOffset>
                </wp:positionV>
                <wp:extent cx="5731510" cy="635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6350"/>
                        </a:xfrm>
                        <a:custGeom>
                          <a:avLst/>
                          <a:gdLst/>
                          <a:ahLst/>
                          <a:cxnLst/>
                          <a:rect l="l" t="t" r="r" b="b"/>
                          <a:pathLst>
                            <a:path w="5731510" h="6350">
                              <a:moveTo>
                                <a:pt x="5731345" y="0"/>
                              </a:moveTo>
                              <a:lnTo>
                                <a:pt x="5731345" y="0"/>
                              </a:lnTo>
                              <a:lnTo>
                                <a:pt x="0" y="0"/>
                              </a:lnTo>
                              <a:lnTo>
                                <a:pt x="0" y="6121"/>
                              </a:lnTo>
                              <a:lnTo>
                                <a:pt x="5731345" y="6121"/>
                              </a:lnTo>
                              <a:lnTo>
                                <a:pt x="5731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0278D" id="Graphic 825" o:spid="_x0000_s1026" style="position:absolute;margin-left:1in;margin-top:26pt;width:451.3pt;height:.5pt;z-index:15844864;visibility:visible;mso-wrap-style:square;mso-wrap-distance-left:0;mso-wrap-distance-top:0;mso-wrap-distance-right:0;mso-wrap-distance-bottom:0;mso-position-horizontal:absolute;mso-position-horizontal-relative:page;mso-position-vertical:absolute;mso-position-vertical-relative:text;v-text-anchor:top" coordsize="5731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" path="m5731345,r,l,,,6121r5731345,l5731345,xe" fillcolor="black" stroked="f">
                <v:path arrowok="t"/>
                <w10:wrap anchorx="page"/>
              </v:shape>
            </w:pict>
          </mc:Fallback>
        </mc:AlternateContent>
      </w:r>
      <w:r>
        <w:rPr>
          <w:b/>
          <w:spacing w:val="-4"/>
          <w:sz w:val="18"/>
        </w:rPr>
        <w:t xml:space="preserve">Directors’ </w:t>
      </w:r>
      <w:r>
        <w:rPr>
          <w:b/>
          <w:spacing w:val="-2"/>
          <w:sz w:val="18"/>
        </w:rPr>
        <w:t>Report</w:t>
      </w:r>
    </w:p>
    <w:p w14:paraId="0E2E9B79" w14:textId="77777777" w:rsidR="00AC6F3C" w:rsidRDefault="00570E88">
      <w:pPr>
        <w:spacing w:before="126"/>
        <w:ind w:left="1087"/>
        <w:rPr>
          <w:b/>
          <w:sz w:val="18"/>
        </w:rPr>
      </w:pPr>
      <w:r>
        <w:rPr>
          <w:noProof/>
        </w:rPr>
        <mc:AlternateContent>
          <mc:Choice Requires="wps">
            <w:drawing>
              <wp:anchor distT="0" distB="0" distL="0" distR="0" simplePos="0" relativeHeight="15845376" behindDoc="0" locked="0" layoutInCell="1" allowOverlap="1" wp14:anchorId="147AC34E" wp14:editId="44A34BBF">
                <wp:simplePos x="0" y="0"/>
                <wp:positionH relativeFrom="page">
                  <wp:posOffset>914323</wp:posOffset>
                </wp:positionH>
                <wp:positionV relativeFrom="paragraph">
                  <wp:posOffset>379213</wp:posOffset>
                </wp:positionV>
                <wp:extent cx="5731510" cy="635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6350"/>
                        </a:xfrm>
                        <a:custGeom>
                          <a:avLst/>
                          <a:gdLst/>
                          <a:ahLst/>
                          <a:cxnLst/>
                          <a:rect l="l" t="t" r="r" b="b"/>
                          <a:pathLst>
                            <a:path w="5731510" h="6350">
                              <a:moveTo>
                                <a:pt x="5731345" y="0"/>
                              </a:moveTo>
                              <a:lnTo>
                                <a:pt x="5731345" y="0"/>
                              </a:lnTo>
                              <a:lnTo>
                                <a:pt x="0" y="0"/>
                              </a:lnTo>
                              <a:lnTo>
                                <a:pt x="0" y="6096"/>
                              </a:lnTo>
                              <a:lnTo>
                                <a:pt x="5731345" y="6096"/>
                              </a:lnTo>
                              <a:lnTo>
                                <a:pt x="5731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FB616" id="Graphic 826" o:spid="_x0000_s1026" style="position:absolute;margin-left:1in;margin-top:29.85pt;width:451.3pt;height:.5pt;z-index:15845376;visibility:visible;mso-wrap-style:square;mso-wrap-distance-left:0;mso-wrap-distance-top:0;mso-wrap-distance-right:0;mso-wrap-distance-bottom:0;mso-position-horizontal:absolute;mso-position-horizontal-relative:page;mso-position-vertical:absolute;mso-position-vertical-relative:text;v-text-anchor:top" coordsize="5731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" path="m5731345,r,l,,,6096r5731345,l5731345,xe" fillcolor="black" stroked="f">
                <v:path arrowok="t"/>
                <w10:wrap anchorx="page"/>
              </v:shape>
            </w:pict>
          </mc:Fallback>
        </mc:AlternateContent>
      </w:r>
      <w:r>
        <w:rPr>
          <w:b/>
          <w:spacing w:val="-2"/>
          <w:sz w:val="18"/>
        </w:rPr>
        <w:t xml:space="preserve">Auditor’s </w:t>
      </w:r>
      <w:r>
        <w:rPr>
          <w:b/>
          <w:spacing w:val="-4"/>
          <w:sz w:val="18"/>
        </w:rPr>
        <w:t>Declaration</w:t>
      </w:r>
    </w:p>
    <w:p w14:paraId="2D0F27CE" w14:textId="77777777" w:rsidR="00AC6F3C" w:rsidRDefault="00570E88">
      <w:pPr>
        <w:spacing w:before="124"/>
        <w:ind w:left="1087" w:right="58"/>
        <w:rPr>
          <w:b/>
          <w:sz w:val="18"/>
        </w:rPr>
      </w:pPr>
      <w:r>
        <w:rPr>
          <w:b/>
          <w:spacing w:val="-2"/>
          <w:sz w:val="18"/>
        </w:rPr>
        <w:t xml:space="preserve">Financial </w:t>
      </w:r>
      <w:r>
        <w:rPr>
          <w:b/>
          <w:spacing w:val="-4"/>
          <w:sz w:val="18"/>
        </w:rPr>
        <w:t>Statements</w:t>
      </w:r>
    </w:p>
    <w:p w14:paraId="3976E22D" w14:textId="77777777" w:rsidR="00AC6F3C" w:rsidRDefault="00AC6F3C">
      <w:pPr>
        <w:pStyle w:val="BodyText"/>
        <w:rPr>
          <w:b/>
        </w:rPr>
      </w:pPr>
    </w:p>
    <w:p w14:paraId="20CFB81C" w14:textId="77777777" w:rsidR="00AC6F3C" w:rsidRDefault="00AC6F3C">
      <w:pPr>
        <w:pStyle w:val="BodyText"/>
        <w:rPr>
          <w:b/>
        </w:rPr>
      </w:pPr>
    </w:p>
    <w:p w14:paraId="5BD6C2E4" w14:textId="77777777" w:rsidR="00AC6F3C" w:rsidRDefault="00AC6F3C">
      <w:pPr>
        <w:pStyle w:val="BodyText"/>
        <w:rPr>
          <w:b/>
        </w:rPr>
      </w:pPr>
    </w:p>
    <w:p w14:paraId="58FF91EC" w14:textId="77777777" w:rsidR="00AC6F3C" w:rsidRDefault="00AC6F3C">
      <w:pPr>
        <w:pStyle w:val="BodyText"/>
        <w:spacing w:before="11"/>
        <w:rPr>
          <w:b/>
          <w:sz w:val="18"/>
        </w:rPr>
      </w:pPr>
    </w:p>
    <w:p w14:paraId="5F8DF68E" w14:textId="77777777" w:rsidR="00AC6F3C" w:rsidRDefault="00570E88">
      <w:pPr>
        <w:ind w:left="1087"/>
        <w:rPr>
          <w:b/>
          <w:sz w:val="18"/>
        </w:rPr>
      </w:pPr>
      <w:r>
        <w:rPr>
          <w:noProof/>
        </w:rPr>
        <mc:AlternateContent>
          <mc:Choice Requires="wps">
            <w:drawing>
              <wp:anchor distT="0" distB="0" distL="0" distR="0" simplePos="0" relativeHeight="15845888" behindDoc="0" locked="0" layoutInCell="1" allowOverlap="1" wp14:anchorId="479DB202" wp14:editId="07C2C57B">
                <wp:simplePos x="0" y="0"/>
                <wp:positionH relativeFrom="page">
                  <wp:posOffset>914323</wp:posOffset>
                </wp:positionH>
                <wp:positionV relativeFrom="paragraph">
                  <wp:posOffset>-42113</wp:posOffset>
                </wp:positionV>
                <wp:extent cx="5731510" cy="635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6350"/>
                        </a:xfrm>
                        <a:custGeom>
                          <a:avLst/>
                          <a:gdLst/>
                          <a:ahLst/>
                          <a:cxnLst/>
                          <a:rect l="l" t="t" r="r" b="b"/>
                          <a:pathLst>
                            <a:path w="5731510" h="6350">
                              <a:moveTo>
                                <a:pt x="5731345" y="0"/>
                              </a:moveTo>
                              <a:lnTo>
                                <a:pt x="5731345" y="0"/>
                              </a:lnTo>
                              <a:lnTo>
                                <a:pt x="0" y="0"/>
                              </a:lnTo>
                              <a:lnTo>
                                <a:pt x="0" y="6096"/>
                              </a:lnTo>
                              <a:lnTo>
                                <a:pt x="5731345" y="6096"/>
                              </a:lnTo>
                              <a:lnTo>
                                <a:pt x="5731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EB5BDF" id="Graphic 827" o:spid="_x0000_s1026" style="position:absolute;margin-left:1in;margin-top:-3.3pt;width:451.3pt;height:.5pt;z-index:15845888;visibility:visible;mso-wrap-style:square;mso-wrap-distance-left:0;mso-wrap-distance-top:0;mso-wrap-distance-right:0;mso-wrap-distance-bottom:0;mso-position-horizontal:absolute;mso-position-horizontal-relative:page;mso-position-vertical:absolute;mso-position-vertical-relative:text;v-text-anchor:top" coordsize="5731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" path="m5731345,r,l,,,6096r5731345,l5731345,xe" fillcolor="black" stroked="f">
                <v:path arrowok="t"/>
                <w10:wrap anchorx="page"/>
              </v:shape>
            </w:pict>
          </mc:Fallback>
        </mc:AlternateContent>
      </w:r>
      <w:r>
        <w:rPr>
          <w:b/>
          <w:spacing w:val="-4"/>
          <w:sz w:val="18"/>
        </w:rPr>
        <w:t>Notes</w:t>
      </w:r>
      <w:r>
        <w:rPr>
          <w:b/>
          <w:spacing w:val="-11"/>
          <w:sz w:val="18"/>
        </w:rPr>
        <w:t xml:space="preserve"> </w:t>
      </w:r>
      <w:r>
        <w:rPr>
          <w:b/>
          <w:spacing w:val="-4"/>
          <w:sz w:val="18"/>
        </w:rPr>
        <w:t>to</w:t>
      </w:r>
      <w:r>
        <w:rPr>
          <w:b/>
          <w:spacing w:val="-8"/>
          <w:sz w:val="18"/>
        </w:rPr>
        <w:t xml:space="preserve"> </w:t>
      </w:r>
      <w:r>
        <w:rPr>
          <w:b/>
          <w:spacing w:val="-4"/>
          <w:sz w:val="18"/>
        </w:rPr>
        <w:t xml:space="preserve">the </w:t>
      </w:r>
      <w:r>
        <w:rPr>
          <w:b/>
          <w:spacing w:val="-2"/>
          <w:sz w:val="18"/>
        </w:rPr>
        <w:t>Financial Statements</w:t>
      </w:r>
    </w:p>
    <w:p w14:paraId="64388E09" w14:textId="77777777" w:rsidR="00AC6F3C" w:rsidRDefault="00570E88">
      <w:pPr>
        <w:tabs>
          <w:tab w:val="left" w:pos="6685"/>
        </w:tabs>
        <w:spacing w:before="46"/>
        <w:ind w:right="369"/>
        <w:jc w:val="right"/>
        <w:rPr>
          <w:b/>
          <w:sz w:val="18"/>
        </w:rPr>
      </w:pPr>
      <w:r>
        <w:br w:type="column"/>
      </w:r>
      <w:r>
        <w:rPr>
          <w:b/>
          <w:spacing w:val="-4"/>
          <w:sz w:val="18"/>
        </w:rPr>
        <w:t>Directors’</w:t>
      </w:r>
      <w:r>
        <w:rPr>
          <w:b/>
          <w:spacing w:val="5"/>
          <w:sz w:val="18"/>
        </w:rPr>
        <w:t xml:space="preserve"> </w:t>
      </w:r>
      <w:r>
        <w:rPr>
          <w:b/>
          <w:spacing w:val="-2"/>
          <w:sz w:val="18"/>
        </w:rPr>
        <w:t>Report</w:t>
      </w:r>
      <w:r>
        <w:rPr>
          <w:b/>
          <w:sz w:val="18"/>
        </w:rPr>
        <w:tab/>
      </w:r>
      <w:r>
        <w:rPr>
          <w:b/>
          <w:spacing w:val="-4"/>
          <w:sz w:val="18"/>
        </w:rPr>
        <w:t>Page</w:t>
      </w:r>
      <w:r>
        <w:rPr>
          <w:b/>
          <w:spacing w:val="-5"/>
          <w:sz w:val="18"/>
        </w:rPr>
        <w:t xml:space="preserve"> 184</w:t>
      </w:r>
    </w:p>
    <w:p w14:paraId="68ADD10C" w14:textId="77777777" w:rsidR="00AC6F3C" w:rsidRDefault="00AC6F3C">
      <w:pPr>
        <w:pStyle w:val="BodyText"/>
        <w:spacing w:before="11"/>
        <w:rPr>
          <w:b/>
          <w:sz w:val="28"/>
        </w:rPr>
      </w:pPr>
    </w:p>
    <w:p w14:paraId="6F39BB22" w14:textId="77777777" w:rsidR="00AC6F3C" w:rsidRDefault="00570E88">
      <w:pPr>
        <w:tabs>
          <w:tab w:val="left" w:pos="6685"/>
        </w:tabs>
        <w:ind w:right="369"/>
        <w:jc w:val="right"/>
        <w:rPr>
          <w:b/>
          <w:sz w:val="18"/>
        </w:rPr>
      </w:pPr>
      <w:r>
        <w:rPr>
          <w:b/>
          <w:spacing w:val="-4"/>
          <w:sz w:val="18"/>
        </w:rPr>
        <w:t>Auditor’s</w:t>
      </w:r>
      <w:r>
        <w:rPr>
          <w:b/>
          <w:spacing w:val="4"/>
          <w:sz w:val="18"/>
        </w:rPr>
        <w:t xml:space="preserve"> </w:t>
      </w:r>
      <w:r>
        <w:rPr>
          <w:b/>
          <w:spacing w:val="-4"/>
          <w:sz w:val="18"/>
        </w:rPr>
        <w:t>Independence</w:t>
      </w:r>
      <w:r>
        <w:rPr>
          <w:b/>
          <w:spacing w:val="4"/>
          <w:sz w:val="18"/>
        </w:rPr>
        <w:t xml:space="preserve"> </w:t>
      </w:r>
      <w:r>
        <w:rPr>
          <w:b/>
          <w:spacing w:val="-4"/>
          <w:sz w:val="18"/>
        </w:rPr>
        <w:t>Declaration</w:t>
      </w:r>
      <w:r>
        <w:rPr>
          <w:b/>
          <w:sz w:val="18"/>
        </w:rPr>
        <w:tab/>
      </w:r>
      <w:r>
        <w:rPr>
          <w:b/>
          <w:spacing w:val="-4"/>
          <w:sz w:val="18"/>
        </w:rPr>
        <w:t>Page</w:t>
      </w:r>
      <w:r>
        <w:rPr>
          <w:b/>
          <w:spacing w:val="-5"/>
          <w:sz w:val="18"/>
        </w:rPr>
        <w:t xml:space="preserve"> 186</w:t>
      </w:r>
    </w:p>
    <w:p w14:paraId="14CCF845" w14:textId="77777777" w:rsidR="00AC6F3C" w:rsidRDefault="00AC6F3C">
      <w:pPr>
        <w:pStyle w:val="BodyText"/>
        <w:spacing w:before="8"/>
        <w:rPr>
          <w:b/>
          <w:sz w:val="28"/>
        </w:rPr>
      </w:pPr>
    </w:p>
    <w:p w14:paraId="165D3EB8" w14:textId="77777777" w:rsidR="00AC6F3C" w:rsidRDefault="00570E88">
      <w:pPr>
        <w:tabs>
          <w:tab w:val="left" w:pos="6685"/>
        </w:tabs>
        <w:spacing w:before="1"/>
        <w:ind w:right="369"/>
        <w:jc w:val="right"/>
        <w:rPr>
          <w:b/>
          <w:sz w:val="18"/>
        </w:rPr>
      </w:pPr>
      <w:r>
        <w:rPr>
          <w:b/>
          <w:spacing w:val="-4"/>
          <w:sz w:val="18"/>
        </w:rPr>
        <w:t>Statement</w:t>
      </w:r>
      <w:r>
        <w:rPr>
          <w:b/>
          <w:spacing w:val="1"/>
          <w:sz w:val="18"/>
        </w:rPr>
        <w:t xml:space="preserve"> </w:t>
      </w:r>
      <w:r>
        <w:rPr>
          <w:b/>
          <w:spacing w:val="-4"/>
          <w:sz w:val="18"/>
        </w:rPr>
        <w:t>of</w:t>
      </w:r>
      <w:r>
        <w:rPr>
          <w:b/>
          <w:spacing w:val="2"/>
          <w:sz w:val="18"/>
        </w:rPr>
        <w:t xml:space="preserve"> </w:t>
      </w:r>
      <w:r>
        <w:rPr>
          <w:b/>
          <w:spacing w:val="-4"/>
          <w:sz w:val="18"/>
        </w:rPr>
        <w:t>Comprehensive</w:t>
      </w:r>
      <w:r>
        <w:rPr>
          <w:b/>
          <w:sz w:val="18"/>
        </w:rPr>
        <w:t xml:space="preserve"> </w:t>
      </w:r>
      <w:r>
        <w:rPr>
          <w:b/>
          <w:spacing w:val="-4"/>
          <w:sz w:val="18"/>
        </w:rPr>
        <w:t>Income</w:t>
      </w:r>
      <w:r>
        <w:rPr>
          <w:b/>
          <w:sz w:val="18"/>
        </w:rPr>
        <w:tab/>
      </w:r>
      <w:r>
        <w:rPr>
          <w:b/>
          <w:spacing w:val="-4"/>
          <w:sz w:val="18"/>
        </w:rPr>
        <w:t>Page</w:t>
      </w:r>
      <w:r>
        <w:rPr>
          <w:b/>
          <w:spacing w:val="-5"/>
          <w:sz w:val="18"/>
        </w:rPr>
        <w:t xml:space="preserve"> 187</w:t>
      </w:r>
    </w:p>
    <w:p w14:paraId="123BCF8B" w14:textId="77777777" w:rsidR="00AC6F3C" w:rsidRDefault="00AC6F3C">
      <w:pPr>
        <w:pStyle w:val="BodyText"/>
        <w:rPr>
          <w:b/>
          <w:sz w:val="5"/>
        </w:rPr>
      </w:pPr>
    </w:p>
    <w:p w14:paraId="1B95D1E7"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561EAF7D" wp14:editId="723F23E7">
                <wp:extent cx="4853940" cy="6350"/>
                <wp:effectExtent l="0" t="0" r="0" b="0"/>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29" name="Graphic 829"/>
                        <wps:cNvSpPr/>
                        <wps:spPr>
                          <a:xfrm>
                            <a:off x="-5" y="1"/>
                            <a:ext cx="4853940" cy="6350"/>
                          </a:xfrm>
                          <a:custGeom>
                            <a:avLst/>
                            <a:gdLst/>
                            <a:ahLst/>
                            <a:cxnLst/>
                            <a:rect l="l" t="t" r="r" b="b"/>
                            <a:pathLst>
                              <a:path w="4853940" h="6350">
                                <a:moveTo>
                                  <a:pt x="4853584" y="0"/>
                                </a:moveTo>
                                <a:lnTo>
                                  <a:pt x="4079443" y="0"/>
                                </a:lnTo>
                                <a:lnTo>
                                  <a:pt x="4073347" y="0"/>
                                </a:lnTo>
                                <a:lnTo>
                                  <a:pt x="0" y="0"/>
                                </a:lnTo>
                                <a:lnTo>
                                  <a:pt x="0" y="6096"/>
                                </a:lnTo>
                                <a:lnTo>
                                  <a:pt x="4073347" y="6096"/>
                                </a:lnTo>
                                <a:lnTo>
                                  <a:pt x="4079443" y="6096"/>
                                </a:lnTo>
                                <a:lnTo>
                                  <a:pt x="4853584" y="6096"/>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87915C" id="Group 828"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">
                <v:shape id="Graphic 829"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" path="m4853584,l4079443,r-6096,l,,,6096r4073347,l4079443,6096r774141,l4853584,xe" fillcolor="black" stroked="f">
                  <v:path arrowok="t"/>
                </v:shape>
                <w10:anchorlock/>
              </v:group>
            </w:pict>
          </mc:Fallback>
        </mc:AlternateContent>
      </w:r>
    </w:p>
    <w:p w14:paraId="5DA24C8E" w14:textId="77777777" w:rsidR="00AC6F3C" w:rsidRDefault="00570E88">
      <w:pPr>
        <w:tabs>
          <w:tab w:val="left" w:pos="6685"/>
        </w:tabs>
        <w:spacing w:before="46"/>
        <w:ind w:right="369"/>
        <w:jc w:val="right"/>
        <w:rPr>
          <w:b/>
          <w:sz w:val="18"/>
        </w:rPr>
      </w:pPr>
      <w:r>
        <w:rPr>
          <w:b/>
          <w:spacing w:val="-4"/>
          <w:sz w:val="18"/>
        </w:rPr>
        <w:t>Statement</w:t>
      </w:r>
      <w:r>
        <w:rPr>
          <w:b/>
          <w:spacing w:val="2"/>
          <w:sz w:val="18"/>
        </w:rPr>
        <w:t xml:space="preserve"> </w:t>
      </w:r>
      <w:r>
        <w:rPr>
          <w:b/>
          <w:spacing w:val="-4"/>
          <w:sz w:val="18"/>
        </w:rPr>
        <w:t>of</w:t>
      </w:r>
      <w:r>
        <w:rPr>
          <w:b/>
          <w:spacing w:val="1"/>
          <w:sz w:val="18"/>
        </w:rPr>
        <w:t xml:space="preserve"> </w:t>
      </w:r>
      <w:r>
        <w:rPr>
          <w:b/>
          <w:spacing w:val="-4"/>
          <w:sz w:val="18"/>
        </w:rPr>
        <w:t>Financial</w:t>
      </w:r>
      <w:r>
        <w:rPr>
          <w:b/>
          <w:spacing w:val="1"/>
          <w:sz w:val="18"/>
        </w:rPr>
        <w:t xml:space="preserve"> </w:t>
      </w:r>
      <w:r>
        <w:rPr>
          <w:b/>
          <w:spacing w:val="-4"/>
          <w:sz w:val="18"/>
        </w:rPr>
        <w:t>Position</w:t>
      </w:r>
      <w:r>
        <w:rPr>
          <w:b/>
          <w:sz w:val="18"/>
        </w:rPr>
        <w:tab/>
      </w:r>
      <w:r>
        <w:rPr>
          <w:b/>
          <w:spacing w:val="-4"/>
          <w:sz w:val="18"/>
        </w:rPr>
        <w:t>Page</w:t>
      </w:r>
      <w:r>
        <w:rPr>
          <w:b/>
          <w:spacing w:val="-5"/>
          <w:sz w:val="18"/>
        </w:rPr>
        <w:t xml:space="preserve"> 188</w:t>
      </w:r>
    </w:p>
    <w:p w14:paraId="365FC1EC" w14:textId="77777777" w:rsidR="00AC6F3C" w:rsidRDefault="00AC6F3C">
      <w:pPr>
        <w:pStyle w:val="BodyText"/>
        <w:rPr>
          <w:b/>
          <w:sz w:val="5"/>
        </w:rPr>
      </w:pPr>
    </w:p>
    <w:p w14:paraId="129F4883"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7B51386B" wp14:editId="75EE6976">
                <wp:extent cx="4853940" cy="6350"/>
                <wp:effectExtent l="0" t="0" r="0" b="0"/>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31" name="Graphic 831"/>
                        <wps:cNvSpPr/>
                        <wps:spPr>
                          <a:xfrm>
                            <a:off x="-5" y="1"/>
                            <a:ext cx="4853940" cy="6350"/>
                          </a:xfrm>
                          <a:custGeom>
                            <a:avLst/>
                            <a:gdLst/>
                            <a:ahLst/>
                            <a:cxnLst/>
                            <a:rect l="l" t="t" r="r" b="b"/>
                            <a:pathLst>
                              <a:path w="4853940" h="6350">
                                <a:moveTo>
                                  <a:pt x="4853584" y="0"/>
                                </a:moveTo>
                                <a:lnTo>
                                  <a:pt x="4079443" y="0"/>
                                </a:lnTo>
                                <a:lnTo>
                                  <a:pt x="4073347" y="0"/>
                                </a:lnTo>
                                <a:lnTo>
                                  <a:pt x="0" y="0"/>
                                </a:lnTo>
                                <a:lnTo>
                                  <a:pt x="0" y="6096"/>
                                </a:lnTo>
                                <a:lnTo>
                                  <a:pt x="4073347" y="6096"/>
                                </a:lnTo>
                                <a:lnTo>
                                  <a:pt x="4079443" y="6096"/>
                                </a:lnTo>
                                <a:lnTo>
                                  <a:pt x="4853584" y="6096"/>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F279E2" id="Group 830"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">
                <v:shape id="Graphic 831"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" path="m4853584,l4079443,r-6096,l,,,6096r4073347,l4079443,6096r774141,l4853584,xe" fillcolor="black" stroked="f">
                  <v:path arrowok="t"/>
                </v:shape>
                <w10:anchorlock/>
              </v:group>
            </w:pict>
          </mc:Fallback>
        </mc:AlternateContent>
      </w:r>
    </w:p>
    <w:p w14:paraId="03AD91E6" w14:textId="77777777" w:rsidR="00AC6F3C" w:rsidRDefault="00570E88">
      <w:pPr>
        <w:tabs>
          <w:tab w:val="left" w:pos="6685"/>
        </w:tabs>
        <w:spacing w:before="44"/>
        <w:ind w:right="369"/>
        <w:jc w:val="right"/>
        <w:rPr>
          <w:b/>
          <w:sz w:val="18"/>
        </w:rPr>
      </w:pPr>
      <w:r>
        <w:rPr>
          <w:b/>
          <w:spacing w:val="-2"/>
          <w:sz w:val="18"/>
        </w:rPr>
        <w:t>Statement</w:t>
      </w:r>
      <w:r>
        <w:rPr>
          <w:b/>
          <w:spacing w:val="-11"/>
          <w:sz w:val="18"/>
        </w:rPr>
        <w:t xml:space="preserve"> </w:t>
      </w:r>
      <w:r>
        <w:rPr>
          <w:b/>
          <w:spacing w:val="-2"/>
          <w:sz w:val="18"/>
        </w:rPr>
        <w:t>of</w:t>
      </w:r>
      <w:r>
        <w:rPr>
          <w:b/>
          <w:spacing w:val="-9"/>
          <w:sz w:val="18"/>
        </w:rPr>
        <w:t xml:space="preserve"> </w:t>
      </w:r>
      <w:r>
        <w:rPr>
          <w:b/>
          <w:spacing w:val="-2"/>
          <w:sz w:val="18"/>
        </w:rPr>
        <w:t>Changes</w:t>
      </w:r>
      <w:r>
        <w:rPr>
          <w:b/>
          <w:spacing w:val="-11"/>
          <w:sz w:val="18"/>
        </w:rPr>
        <w:t xml:space="preserve"> </w:t>
      </w:r>
      <w:r>
        <w:rPr>
          <w:b/>
          <w:spacing w:val="-2"/>
          <w:sz w:val="18"/>
        </w:rPr>
        <w:t>in</w:t>
      </w:r>
      <w:r>
        <w:rPr>
          <w:b/>
          <w:spacing w:val="-10"/>
          <w:sz w:val="18"/>
        </w:rPr>
        <w:t xml:space="preserve"> </w:t>
      </w:r>
      <w:r>
        <w:rPr>
          <w:b/>
          <w:spacing w:val="-2"/>
          <w:sz w:val="18"/>
        </w:rPr>
        <w:t>Equity</w:t>
      </w:r>
      <w:r>
        <w:rPr>
          <w:b/>
          <w:sz w:val="18"/>
        </w:rPr>
        <w:tab/>
      </w:r>
      <w:r>
        <w:rPr>
          <w:b/>
          <w:spacing w:val="-4"/>
          <w:sz w:val="18"/>
        </w:rPr>
        <w:t>Page</w:t>
      </w:r>
      <w:r>
        <w:rPr>
          <w:b/>
          <w:spacing w:val="-5"/>
          <w:sz w:val="18"/>
        </w:rPr>
        <w:t xml:space="preserve"> 189</w:t>
      </w:r>
    </w:p>
    <w:p w14:paraId="34C2E2E5" w14:textId="77777777" w:rsidR="00AC6F3C" w:rsidRDefault="00AC6F3C">
      <w:pPr>
        <w:pStyle w:val="BodyText"/>
        <w:spacing w:before="1"/>
        <w:rPr>
          <w:b/>
          <w:sz w:val="5"/>
        </w:rPr>
      </w:pPr>
    </w:p>
    <w:p w14:paraId="338749D4"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5650D92A" wp14:editId="76A7FF7D">
                <wp:extent cx="4853940" cy="6350"/>
                <wp:effectExtent l="0" t="0" r="0" b="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33" name="Graphic 833"/>
                        <wps:cNvSpPr/>
                        <wps:spPr>
                          <a:xfrm>
                            <a:off x="-5" y="0"/>
                            <a:ext cx="4853940" cy="6350"/>
                          </a:xfrm>
                          <a:custGeom>
                            <a:avLst/>
                            <a:gdLst/>
                            <a:ahLst/>
                            <a:cxnLst/>
                            <a:rect l="l" t="t" r="r" b="b"/>
                            <a:pathLst>
                              <a:path w="4853940" h="6350">
                                <a:moveTo>
                                  <a:pt x="4853584" y="0"/>
                                </a:moveTo>
                                <a:lnTo>
                                  <a:pt x="4079443" y="0"/>
                                </a:lnTo>
                                <a:lnTo>
                                  <a:pt x="4073347" y="0"/>
                                </a:lnTo>
                                <a:lnTo>
                                  <a:pt x="0" y="0"/>
                                </a:lnTo>
                                <a:lnTo>
                                  <a:pt x="0" y="6096"/>
                                </a:lnTo>
                                <a:lnTo>
                                  <a:pt x="4073347" y="6096"/>
                                </a:lnTo>
                                <a:lnTo>
                                  <a:pt x="4079443" y="6096"/>
                                </a:lnTo>
                                <a:lnTo>
                                  <a:pt x="4853584" y="6096"/>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32D433" id="Group 832"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">
                <v:shape id="Graphic 833"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" path="m4853584,l4079443,r-6096,l,,,6096r4073347,l4079443,6096r774141,l4853584,xe" fillcolor="black" stroked="f">
                  <v:path arrowok="t"/>
                </v:shape>
                <w10:anchorlock/>
              </v:group>
            </w:pict>
          </mc:Fallback>
        </mc:AlternateContent>
      </w:r>
    </w:p>
    <w:p w14:paraId="68280D4D" w14:textId="77777777" w:rsidR="00AC6F3C" w:rsidRDefault="00570E88">
      <w:pPr>
        <w:tabs>
          <w:tab w:val="left" w:pos="6685"/>
        </w:tabs>
        <w:spacing w:before="46"/>
        <w:ind w:right="374"/>
        <w:jc w:val="right"/>
        <w:rPr>
          <w:b/>
          <w:sz w:val="18"/>
        </w:rPr>
      </w:pPr>
      <w:r>
        <w:rPr>
          <w:b/>
          <w:spacing w:val="-4"/>
          <w:sz w:val="18"/>
        </w:rPr>
        <w:t>Statement</w:t>
      </w:r>
      <w:r>
        <w:rPr>
          <w:b/>
          <w:spacing w:val="-2"/>
          <w:sz w:val="18"/>
        </w:rPr>
        <w:t xml:space="preserve"> </w:t>
      </w:r>
      <w:r>
        <w:rPr>
          <w:b/>
          <w:spacing w:val="-4"/>
          <w:sz w:val="18"/>
        </w:rPr>
        <w:t>of</w:t>
      </w:r>
      <w:r>
        <w:rPr>
          <w:b/>
          <w:sz w:val="18"/>
        </w:rPr>
        <w:t xml:space="preserve"> </w:t>
      </w:r>
      <w:r>
        <w:rPr>
          <w:b/>
          <w:spacing w:val="-4"/>
          <w:sz w:val="18"/>
        </w:rPr>
        <w:t>Cash</w:t>
      </w:r>
      <w:r>
        <w:rPr>
          <w:b/>
          <w:spacing w:val="-2"/>
          <w:sz w:val="18"/>
        </w:rPr>
        <w:t xml:space="preserve"> </w:t>
      </w:r>
      <w:r>
        <w:rPr>
          <w:b/>
          <w:spacing w:val="-4"/>
          <w:sz w:val="18"/>
        </w:rPr>
        <w:t>Flows</w:t>
      </w:r>
      <w:r>
        <w:rPr>
          <w:b/>
          <w:sz w:val="18"/>
        </w:rPr>
        <w:tab/>
      </w:r>
      <w:r>
        <w:rPr>
          <w:b/>
          <w:spacing w:val="-4"/>
          <w:sz w:val="18"/>
        </w:rPr>
        <w:t>Page</w:t>
      </w:r>
      <w:r>
        <w:rPr>
          <w:b/>
          <w:spacing w:val="-5"/>
          <w:sz w:val="18"/>
        </w:rPr>
        <w:t xml:space="preserve"> 190</w:t>
      </w:r>
    </w:p>
    <w:p w14:paraId="63932128" w14:textId="77777777" w:rsidR="00AC6F3C" w:rsidRDefault="00570E88">
      <w:pPr>
        <w:tabs>
          <w:tab w:val="left" w:pos="1132"/>
          <w:tab w:val="left" w:pos="6659"/>
        </w:tabs>
        <w:spacing w:before="124"/>
        <w:ind w:right="372"/>
        <w:jc w:val="right"/>
        <w:rPr>
          <w:b/>
          <w:sz w:val="18"/>
        </w:rPr>
      </w:pPr>
      <w:r>
        <w:rPr>
          <w:b/>
          <w:spacing w:val="-5"/>
          <w:sz w:val="18"/>
        </w:rPr>
        <w:t>A1.</w:t>
      </w:r>
      <w:r>
        <w:rPr>
          <w:b/>
          <w:sz w:val="18"/>
        </w:rPr>
        <w:tab/>
        <w:t>Basis</w:t>
      </w:r>
      <w:r>
        <w:rPr>
          <w:b/>
          <w:spacing w:val="-2"/>
          <w:sz w:val="18"/>
        </w:rPr>
        <w:t xml:space="preserve"> </w:t>
      </w:r>
      <w:r>
        <w:rPr>
          <w:b/>
          <w:sz w:val="18"/>
        </w:rPr>
        <w:t>of</w:t>
      </w:r>
      <w:r>
        <w:rPr>
          <w:b/>
          <w:spacing w:val="-4"/>
          <w:sz w:val="18"/>
        </w:rPr>
        <w:t xml:space="preserve"> </w:t>
      </w:r>
      <w:r>
        <w:rPr>
          <w:b/>
          <w:sz w:val="18"/>
        </w:rPr>
        <w:t>Financial</w:t>
      </w:r>
      <w:r>
        <w:rPr>
          <w:b/>
          <w:spacing w:val="-2"/>
          <w:sz w:val="18"/>
        </w:rPr>
        <w:t xml:space="preserve"> </w:t>
      </w:r>
      <w:r>
        <w:rPr>
          <w:b/>
          <w:sz w:val="18"/>
        </w:rPr>
        <w:t>Statement</w:t>
      </w:r>
      <w:r>
        <w:rPr>
          <w:b/>
          <w:spacing w:val="-4"/>
          <w:sz w:val="18"/>
        </w:rPr>
        <w:t xml:space="preserve"> </w:t>
      </w:r>
      <w:r>
        <w:rPr>
          <w:b/>
          <w:spacing w:val="-2"/>
          <w:sz w:val="18"/>
        </w:rPr>
        <w:t>Preparation</w:t>
      </w:r>
      <w:r>
        <w:rPr>
          <w:b/>
          <w:sz w:val="18"/>
        </w:rPr>
        <w:tab/>
        <w:t>Page</w:t>
      </w:r>
      <w:r>
        <w:rPr>
          <w:b/>
          <w:spacing w:val="-5"/>
          <w:sz w:val="18"/>
        </w:rPr>
        <w:t xml:space="preserve"> 191</w:t>
      </w:r>
    </w:p>
    <w:p w14:paraId="1E6BE1BC" w14:textId="77777777" w:rsidR="00AC6F3C" w:rsidRDefault="00AC6F3C">
      <w:pPr>
        <w:pStyle w:val="BodyText"/>
        <w:rPr>
          <w:b/>
          <w:sz w:val="5"/>
        </w:rPr>
      </w:pPr>
    </w:p>
    <w:p w14:paraId="2BBFB9D9"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26015972" wp14:editId="1CD127C8">
                <wp:extent cx="4853940" cy="6350"/>
                <wp:effectExtent l="0" t="0" r="0" b="0"/>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35" name="Graphic 835"/>
                        <wps:cNvSpPr/>
                        <wps:spPr>
                          <a:xfrm>
                            <a:off x="-5" y="11"/>
                            <a:ext cx="4853940" cy="6350"/>
                          </a:xfrm>
                          <a:custGeom>
                            <a:avLst/>
                            <a:gdLst/>
                            <a:ahLst/>
                            <a:cxnLst/>
                            <a:rect l="l" t="t" r="r" b="b"/>
                            <a:pathLst>
                              <a:path w="4853940" h="6350">
                                <a:moveTo>
                                  <a:pt x="4853584" y="0"/>
                                </a:moveTo>
                                <a:lnTo>
                                  <a:pt x="4853584" y="0"/>
                                </a:lnTo>
                                <a:lnTo>
                                  <a:pt x="0" y="0"/>
                                </a:lnTo>
                                <a:lnTo>
                                  <a:pt x="0" y="6083"/>
                                </a:lnTo>
                                <a:lnTo>
                                  <a:pt x="4853584" y="6083"/>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34D2EC" id="Group 834"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">
                <v:shape id="Graphic 835"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" path="m4853584,r,l,,,6083r4853584,l4853584,xe" fillcolor="black" stroked="f">
                  <v:path arrowok="t"/>
                </v:shape>
                <w10:anchorlock/>
              </v:group>
            </w:pict>
          </mc:Fallback>
        </mc:AlternateContent>
      </w:r>
    </w:p>
    <w:p w14:paraId="7549776C" w14:textId="77777777" w:rsidR="00AC6F3C" w:rsidRDefault="00570E88">
      <w:pPr>
        <w:tabs>
          <w:tab w:val="left" w:pos="5560"/>
        </w:tabs>
        <w:spacing w:before="47"/>
        <w:ind w:right="364"/>
        <w:jc w:val="right"/>
        <w:rPr>
          <w:sz w:val="18"/>
        </w:rPr>
      </w:pPr>
      <w:r>
        <w:rPr>
          <w:sz w:val="18"/>
        </w:rPr>
        <w:t>A1-1</w:t>
      </w:r>
      <w:r>
        <w:rPr>
          <w:spacing w:val="60"/>
          <w:sz w:val="18"/>
        </w:rPr>
        <w:t xml:space="preserve"> </w:t>
      </w:r>
      <w:r>
        <w:rPr>
          <w:sz w:val="18"/>
        </w:rPr>
        <w:t>General</w:t>
      </w:r>
      <w:r>
        <w:rPr>
          <w:spacing w:val="-12"/>
          <w:sz w:val="18"/>
        </w:rPr>
        <w:t xml:space="preserve"> </w:t>
      </w:r>
      <w:r>
        <w:rPr>
          <w:spacing w:val="-2"/>
          <w:sz w:val="18"/>
        </w:rPr>
        <w:t>Information</w:t>
      </w:r>
      <w:r>
        <w:rPr>
          <w:sz w:val="18"/>
        </w:rPr>
        <w:tab/>
      </w:r>
      <w:r>
        <w:rPr>
          <w:spacing w:val="-4"/>
          <w:sz w:val="18"/>
        </w:rPr>
        <w:t>Page</w:t>
      </w:r>
      <w:r>
        <w:rPr>
          <w:spacing w:val="-5"/>
          <w:sz w:val="18"/>
        </w:rPr>
        <w:t xml:space="preserve"> 191</w:t>
      </w:r>
    </w:p>
    <w:p w14:paraId="1E774FEA" w14:textId="77777777" w:rsidR="00AC6F3C" w:rsidRDefault="00AC6F3C">
      <w:pPr>
        <w:pStyle w:val="BodyText"/>
        <w:rPr>
          <w:sz w:val="5"/>
        </w:rPr>
      </w:pPr>
    </w:p>
    <w:p w14:paraId="62418A37"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1EEFF46E" wp14:editId="7680F274">
                <wp:extent cx="4853940" cy="6350"/>
                <wp:effectExtent l="0" t="0" r="0" b="0"/>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37" name="Graphic 837"/>
                        <wps:cNvSpPr/>
                        <wps:spPr>
                          <a:xfrm>
                            <a:off x="-5" y="11"/>
                            <a:ext cx="4853940" cy="6350"/>
                          </a:xfrm>
                          <a:custGeom>
                            <a:avLst/>
                            <a:gdLst/>
                            <a:ahLst/>
                            <a:cxnLst/>
                            <a:rect l="l" t="t" r="r" b="b"/>
                            <a:pathLst>
                              <a:path w="4853940" h="6350">
                                <a:moveTo>
                                  <a:pt x="4853584" y="0"/>
                                </a:moveTo>
                                <a:lnTo>
                                  <a:pt x="4853584" y="0"/>
                                </a:lnTo>
                                <a:lnTo>
                                  <a:pt x="0" y="0"/>
                                </a:lnTo>
                                <a:lnTo>
                                  <a:pt x="0" y="6083"/>
                                </a:lnTo>
                                <a:lnTo>
                                  <a:pt x="4853584" y="6083"/>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8163BD" id="Group 836"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">
                <v:shape id="Graphic 837"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" path="m4853584,r,l,,,6083r4853584,l4853584,xe" fillcolor="black" stroked="f">
                  <v:path arrowok="t"/>
                </v:shape>
                <w10:anchorlock/>
              </v:group>
            </w:pict>
          </mc:Fallback>
        </mc:AlternateContent>
      </w:r>
    </w:p>
    <w:p w14:paraId="07604164" w14:textId="77777777" w:rsidR="00AC6F3C" w:rsidRDefault="00570E88">
      <w:pPr>
        <w:tabs>
          <w:tab w:val="left" w:pos="5560"/>
        </w:tabs>
        <w:spacing w:before="47"/>
        <w:ind w:right="364"/>
        <w:jc w:val="right"/>
        <w:rPr>
          <w:sz w:val="18"/>
        </w:rPr>
      </w:pPr>
      <w:r>
        <w:rPr>
          <w:spacing w:val="-2"/>
          <w:sz w:val="18"/>
        </w:rPr>
        <w:t>A1-2</w:t>
      </w:r>
      <w:r>
        <w:rPr>
          <w:spacing w:val="73"/>
          <w:sz w:val="18"/>
        </w:rPr>
        <w:t xml:space="preserve"> </w:t>
      </w:r>
      <w:r>
        <w:rPr>
          <w:spacing w:val="-2"/>
          <w:sz w:val="18"/>
        </w:rPr>
        <w:t>Compliance</w:t>
      </w:r>
      <w:r>
        <w:rPr>
          <w:spacing w:val="-10"/>
          <w:sz w:val="18"/>
        </w:rPr>
        <w:t xml:space="preserve"> </w:t>
      </w:r>
      <w:r>
        <w:rPr>
          <w:spacing w:val="-2"/>
          <w:sz w:val="18"/>
        </w:rPr>
        <w:t>with</w:t>
      </w:r>
      <w:r>
        <w:rPr>
          <w:spacing w:val="-11"/>
          <w:sz w:val="18"/>
        </w:rPr>
        <w:t xml:space="preserve"> </w:t>
      </w:r>
      <w:r>
        <w:rPr>
          <w:spacing w:val="-2"/>
          <w:sz w:val="18"/>
        </w:rPr>
        <w:t>Prescribed</w:t>
      </w:r>
      <w:r>
        <w:rPr>
          <w:spacing w:val="-8"/>
          <w:sz w:val="18"/>
        </w:rPr>
        <w:t xml:space="preserve"> </w:t>
      </w:r>
      <w:r>
        <w:rPr>
          <w:spacing w:val="-2"/>
          <w:sz w:val="18"/>
        </w:rPr>
        <w:t>Requirements</w:t>
      </w:r>
      <w:r>
        <w:rPr>
          <w:sz w:val="18"/>
        </w:rPr>
        <w:tab/>
      </w:r>
      <w:r>
        <w:rPr>
          <w:spacing w:val="-4"/>
          <w:sz w:val="18"/>
        </w:rPr>
        <w:t>Page</w:t>
      </w:r>
      <w:r>
        <w:rPr>
          <w:spacing w:val="-5"/>
          <w:sz w:val="18"/>
        </w:rPr>
        <w:t xml:space="preserve"> 191</w:t>
      </w:r>
    </w:p>
    <w:p w14:paraId="12B951E7" w14:textId="77777777" w:rsidR="00AC6F3C" w:rsidRDefault="00AC6F3C">
      <w:pPr>
        <w:pStyle w:val="BodyText"/>
        <w:rPr>
          <w:sz w:val="5"/>
        </w:rPr>
      </w:pPr>
    </w:p>
    <w:p w14:paraId="6A87C3B6"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4BE24BD1" wp14:editId="43837E8C">
                <wp:extent cx="4853940" cy="6350"/>
                <wp:effectExtent l="0" t="0" r="0" b="0"/>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39" name="Graphic 839"/>
                        <wps:cNvSpPr/>
                        <wps:spPr>
                          <a:xfrm>
                            <a:off x="-5" y="10"/>
                            <a:ext cx="4853940" cy="6350"/>
                          </a:xfrm>
                          <a:custGeom>
                            <a:avLst/>
                            <a:gdLst/>
                            <a:ahLst/>
                            <a:cxnLst/>
                            <a:rect l="l" t="t" r="r" b="b"/>
                            <a:pathLst>
                              <a:path w="4853940" h="6350">
                                <a:moveTo>
                                  <a:pt x="4853584" y="0"/>
                                </a:moveTo>
                                <a:lnTo>
                                  <a:pt x="4853584" y="0"/>
                                </a:lnTo>
                                <a:lnTo>
                                  <a:pt x="0" y="0"/>
                                </a:lnTo>
                                <a:lnTo>
                                  <a:pt x="0" y="6096"/>
                                </a:lnTo>
                                <a:lnTo>
                                  <a:pt x="4853584" y="6096"/>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7C63B1" id="Group 838"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">
                <v:shape id="Graphic 839"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" path="m4853584,r,l,,,6096r4853584,l4853584,xe" fillcolor="black" stroked="f">
                  <v:path arrowok="t"/>
                </v:shape>
                <w10:anchorlock/>
              </v:group>
            </w:pict>
          </mc:Fallback>
        </mc:AlternateContent>
      </w:r>
    </w:p>
    <w:p w14:paraId="756C112E" w14:textId="77777777" w:rsidR="00AC6F3C" w:rsidRDefault="00570E88">
      <w:pPr>
        <w:tabs>
          <w:tab w:val="left" w:pos="5560"/>
        </w:tabs>
        <w:spacing w:before="46"/>
        <w:ind w:right="364"/>
        <w:jc w:val="right"/>
        <w:rPr>
          <w:sz w:val="18"/>
        </w:rPr>
      </w:pPr>
      <w:r>
        <w:rPr>
          <w:sz w:val="18"/>
        </w:rPr>
        <w:t>A1-3</w:t>
      </w:r>
      <w:r>
        <w:rPr>
          <w:spacing w:val="79"/>
          <w:sz w:val="18"/>
        </w:rPr>
        <w:t xml:space="preserve"> </w:t>
      </w:r>
      <w:r>
        <w:rPr>
          <w:spacing w:val="-2"/>
          <w:sz w:val="18"/>
        </w:rPr>
        <w:t>Presentation</w:t>
      </w:r>
      <w:r>
        <w:rPr>
          <w:sz w:val="18"/>
        </w:rPr>
        <w:tab/>
      </w:r>
      <w:r>
        <w:rPr>
          <w:spacing w:val="-4"/>
          <w:sz w:val="18"/>
        </w:rPr>
        <w:t>Page</w:t>
      </w:r>
      <w:r>
        <w:rPr>
          <w:spacing w:val="-5"/>
          <w:sz w:val="18"/>
        </w:rPr>
        <w:t xml:space="preserve"> 191</w:t>
      </w:r>
    </w:p>
    <w:p w14:paraId="4DDBF969" w14:textId="77777777" w:rsidR="00AC6F3C" w:rsidRDefault="00AC6F3C">
      <w:pPr>
        <w:pStyle w:val="BodyText"/>
        <w:rPr>
          <w:sz w:val="5"/>
        </w:rPr>
      </w:pPr>
    </w:p>
    <w:p w14:paraId="0AFC19F9" w14:textId="77777777" w:rsidR="00AC6F3C" w:rsidRDefault="00570E88">
      <w:pPr>
        <w:pStyle w:val="BodyText"/>
        <w:spacing w:line="20" w:lineRule="exact"/>
        <w:ind w:left="227"/>
        <w:rPr>
          <w:sz w:val="2"/>
        </w:rPr>
      </w:pPr>
      <w:r>
        <w:rPr>
          <w:noProof/>
          <w:sz w:val="2"/>
        </w:rPr>
        <mc:AlternateContent>
          <mc:Choice Requires="wpg">
            <w:drawing>
              <wp:inline distT="0" distB="0" distL="0" distR="0" wp14:anchorId="269A90BC" wp14:editId="12AF47E7">
                <wp:extent cx="4853940" cy="6350"/>
                <wp:effectExtent l="0" t="0" r="0" b="0"/>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6350"/>
                          <a:chOff x="0" y="0"/>
                          <a:chExt cx="4853940" cy="6350"/>
                        </a:xfrm>
                      </wpg:grpSpPr>
                      <wps:wsp>
                        <wps:cNvPr id="841" name="Graphic 841"/>
                        <wps:cNvSpPr/>
                        <wps:spPr>
                          <a:xfrm>
                            <a:off x="-5" y="10"/>
                            <a:ext cx="4853940" cy="6350"/>
                          </a:xfrm>
                          <a:custGeom>
                            <a:avLst/>
                            <a:gdLst/>
                            <a:ahLst/>
                            <a:cxnLst/>
                            <a:rect l="l" t="t" r="r" b="b"/>
                            <a:pathLst>
                              <a:path w="4853940" h="6350">
                                <a:moveTo>
                                  <a:pt x="4853584" y="0"/>
                                </a:moveTo>
                                <a:lnTo>
                                  <a:pt x="4853584" y="0"/>
                                </a:lnTo>
                                <a:lnTo>
                                  <a:pt x="0" y="0"/>
                                </a:lnTo>
                                <a:lnTo>
                                  <a:pt x="0" y="6096"/>
                                </a:lnTo>
                                <a:lnTo>
                                  <a:pt x="4853584" y="6096"/>
                                </a:lnTo>
                                <a:lnTo>
                                  <a:pt x="4853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1C9A1F" id="Group 840" o:spid="_x0000_s1026" style="width:382.2pt;height:.5pt;mso-position-horizontal-relative:char;mso-position-vertical-relative:line" coordsize="48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">
                <v:shape id="Graphic 841" o:spid="_x0000_s1027" style="position:absolute;width:48539;height:63;visibility:visible;mso-wrap-style:square;v-text-anchor:top" coordsize="4853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" path="m4853584,r,l,,,6096r4853584,l4853584,xe" fillcolor="black" stroked="f">
                  <v:path arrowok="t"/>
                </v:shape>
                <w10:anchorlock/>
              </v:group>
            </w:pict>
          </mc:Fallback>
        </mc:AlternateContent>
      </w:r>
    </w:p>
    <w:p w14:paraId="047D1D5C" w14:textId="77777777" w:rsidR="00AC6F3C" w:rsidRDefault="00570E88">
      <w:pPr>
        <w:tabs>
          <w:tab w:val="left" w:pos="5560"/>
        </w:tabs>
        <w:spacing w:before="47"/>
        <w:ind w:right="364"/>
        <w:jc w:val="right"/>
        <w:rPr>
          <w:sz w:val="18"/>
        </w:rPr>
      </w:pPr>
      <w:r>
        <w:rPr>
          <w:sz w:val="18"/>
        </w:rPr>
        <w:t>A1-4</w:t>
      </w:r>
      <w:r>
        <w:rPr>
          <w:spacing w:val="72"/>
          <w:sz w:val="18"/>
        </w:rPr>
        <w:t xml:space="preserve"> </w:t>
      </w:r>
      <w:r>
        <w:rPr>
          <w:sz w:val="18"/>
        </w:rPr>
        <w:t>Basis</w:t>
      </w:r>
      <w:r>
        <w:rPr>
          <w:spacing w:val="-11"/>
          <w:sz w:val="18"/>
        </w:rPr>
        <w:t xml:space="preserve"> </w:t>
      </w:r>
      <w:r>
        <w:rPr>
          <w:sz w:val="18"/>
        </w:rPr>
        <w:t>of</w:t>
      </w:r>
      <w:r>
        <w:rPr>
          <w:spacing w:val="-12"/>
          <w:sz w:val="18"/>
        </w:rPr>
        <w:t xml:space="preserve"> </w:t>
      </w:r>
      <w:r>
        <w:rPr>
          <w:spacing w:val="-2"/>
          <w:sz w:val="18"/>
        </w:rPr>
        <w:t>Measurement</w:t>
      </w:r>
      <w:r>
        <w:rPr>
          <w:sz w:val="18"/>
        </w:rPr>
        <w:tab/>
      </w:r>
      <w:r>
        <w:rPr>
          <w:spacing w:val="-4"/>
          <w:sz w:val="18"/>
        </w:rPr>
        <w:t>Page</w:t>
      </w:r>
      <w:r>
        <w:rPr>
          <w:spacing w:val="-5"/>
          <w:sz w:val="18"/>
        </w:rPr>
        <w:t xml:space="preserve"> 191</w:t>
      </w:r>
    </w:p>
    <w:p w14:paraId="4EDBF2DE" w14:textId="77777777" w:rsidR="00AC6F3C" w:rsidRDefault="00AC6F3C">
      <w:pPr>
        <w:jc w:val="right"/>
        <w:rPr>
          <w:sz w:val="18"/>
        </w:rPr>
        <w:sectPr w:rsidR="00AC6F3C">
          <w:type w:val="continuous"/>
          <w:pgSz w:w="11910" w:h="16840"/>
          <w:pgMar w:top="1920" w:right="1160" w:bottom="280" w:left="460" w:header="1250" w:footer="336" w:gutter="0"/>
          <w:cols w:num="2" w:space="720" w:equalWidth="0">
            <w:col w:w="2096" w:space="40"/>
            <w:col w:w="8154"/>
          </w:cols>
        </w:sectPr>
      </w:pPr>
    </w:p>
    <w:p w14:paraId="6700FB13" w14:textId="77777777" w:rsidR="00AC6F3C" w:rsidRDefault="00AC6F3C">
      <w:pPr>
        <w:pStyle w:val="BodyText"/>
        <w:spacing w:before="5"/>
        <w:rPr>
          <w:sz w:val="5"/>
        </w:rPr>
      </w:pPr>
    </w:p>
    <w:tbl>
      <w:tblPr>
        <w:tblW w:w="0" w:type="auto"/>
        <w:tblInd w:w="958" w:type="dxa"/>
        <w:tblLayout w:type="fixed"/>
        <w:tblCellMar>
          <w:left w:w="0" w:type="dxa"/>
          <w:right w:w="0" w:type="dxa"/>
        </w:tblCellMar>
        <w:tblLook w:val="01E0" w:firstRow="1" w:lastRow="1" w:firstColumn="1" w:lastColumn="1" w:noHBand="0" w:noVBand="0"/>
      </w:tblPr>
      <w:tblGrid>
        <w:gridCol w:w="1411"/>
        <w:gridCol w:w="814"/>
        <w:gridCol w:w="5553"/>
        <w:gridCol w:w="1276"/>
      </w:tblGrid>
      <w:tr w:rsidR="00AC6F3C" w14:paraId="5E01D479" w14:textId="77777777">
        <w:trPr>
          <w:trHeight w:val="321"/>
        </w:trPr>
        <w:tc>
          <w:tcPr>
            <w:tcW w:w="1411" w:type="dxa"/>
            <w:vMerge w:val="restart"/>
            <w:tcBorders>
              <w:bottom w:val="single" w:sz="4" w:space="0" w:color="000000"/>
            </w:tcBorders>
          </w:tcPr>
          <w:p w14:paraId="2BACEC3C" w14:textId="77777777" w:rsidR="00AC6F3C" w:rsidRDefault="00AC6F3C">
            <w:pPr>
              <w:pStyle w:val="TableParagraph"/>
              <w:rPr>
                <w:rFonts w:ascii="Times New Roman"/>
                <w:sz w:val="18"/>
              </w:rPr>
            </w:pPr>
          </w:p>
        </w:tc>
        <w:tc>
          <w:tcPr>
            <w:tcW w:w="814" w:type="dxa"/>
            <w:tcBorders>
              <w:top w:val="single" w:sz="4" w:space="0" w:color="000000"/>
              <w:bottom w:val="single" w:sz="4" w:space="0" w:color="000000"/>
            </w:tcBorders>
          </w:tcPr>
          <w:p w14:paraId="23EF7597" w14:textId="77777777" w:rsidR="00AC6F3C" w:rsidRDefault="00570E88">
            <w:pPr>
              <w:pStyle w:val="TableParagraph"/>
              <w:spacing w:before="56"/>
              <w:ind w:left="108"/>
              <w:rPr>
                <w:b/>
                <w:sz w:val="18"/>
              </w:rPr>
            </w:pPr>
            <w:r>
              <w:rPr>
                <w:b/>
                <w:spacing w:val="-5"/>
                <w:sz w:val="18"/>
              </w:rPr>
              <w:t>A2.</w:t>
            </w:r>
          </w:p>
        </w:tc>
        <w:tc>
          <w:tcPr>
            <w:tcW w:w="5553" w:type="dxa"/>
            <w:tcBorders>
              <w:top w:val="single" w:sz="4" w:space="0" w:color="000000"/>
              <w:bottom w:val="single" w:sz="4" w:space="0" w:color="000000"/>
            </w:tcBorders>
          </w:tcPr>
          <w:p w14:paraId="347EF9BF" w14:textId="77777777" w:rsidR="00AC6F3C" w:rsidRDefault="00570E88">
            <w:pPr>
              <w:pStyle w:val="TableParagraph"/>
              <w:spacing w:before="56"/>
              <w:ind w:left="426"/>
              <w:rPr>
                <w:b/>
                <w:sz w:val="18"/>
              </w:rPr>
            </w:pPr>
            <w:r>
              <w:rPr>
                <w:b/>
                <w:sz w:val="18"/>
              </w:rPr>
              <w:t>QSS’s</w:t>
            </w:r>
            <w:r>
              <w:rPr>
                <w:b/>
                <w:spacing w:val="-2"/>
                <w:sz w:val="18"/>
              </w:rPr>
              <w:t xml:space="preserve"> Objectives</w:t>
            </w:r>
          </w:p>
        </w:tc>
        <w:tc>
          <w:tcPr>
            <w:tcW w:w="1276" w:type="dxa"/>
            <w:tcBorders>
              <w:top w:val="single" w:sz="4" w:space="0" w:color="000000"/>
              <w:bottom w:val="single" w:sz="4" w:space="0" w:color="000000"/>
            </w:tcBorders>
          </w:tcPr>
          <w:p w14:paraId="063FF0B4" w14:textId="77777777" w:rsidR="00AC6F3C" w:rsidRDefault="00570E88">
            <w:pPr>
              <w:pStyle w:val="TableParagraph"/>
              <w:spacing w:before="56"/>
              <w:ind w:right="84"/>
              <w:jc w:val="right"/>
              <w:rPr>
                <w:b/>
                <w:sz w:val="18"/>
              </w:rPr>
            </w:pPr>
            <w:r>
              <w:rPr>
                <w:b/>
                <w:spacing w:val="-4"/>
                <w:sz w:val="18"/>
              </w:rPr>
              <w:t>Page</w:t>
            </w:r>
            <w:r>
              <w:rPr>
                <w:b/>
                <w:spacing w:val="-3"/>
                <w:sz w:val="18"/>
              </w:rPr>
              <w:t xml:space="preserve"> </w:t>
            </w:r>
            <w:r>
              <w:rPr>
                <w:b/>
                <w:spacing w:val="-5"/>
                <w:sz w:val="18"/>
              </w:rPr>
              <w:t>191</w:t>
            </w:r>
          </w:p>
        </w:tc>
      </w:tr>
      <w:tr w:rsidR="00AC6F3C" w14:paraId="136F3102" w14:textId="77777777">
        <w:trPr>
          <w:trHeight w:val="321"/>
        </w:trPr>
        <w:tc>
          <w:tcPr>
            <w:tcW w:w="1411" w:type="dxa"/>
            <w:vMerge/>
            <w:tcBorders>
              <w:top w:val="nil"/>
              <w:bottom w:val="single" w:sz="4" w:space="0" w:color="000000"/>
            </w:tcBorders>
          </w:tcPr>
          <w:p w14:paraId="074110CF" w14:textId="77777777" w:rsidR="00AC6F3C" w:rsidRDefault="00AC6F3C">
            <w:pPr>
              <w:rPr>
                <w:sz w:val="2"/>
                <w:szCs w:val="2"/>
              </w:rPr>
            </w:pPr>
          </w:p>
        </w:tc>
        <w:tc>
          <w:tcPr>
            <w:tcW w:w="814" w:type="dxa"/>
            <w:tcBorders>
              <w:top w:val="single" w:sz="4" w:space="0" w:color="000000"/>
              <w:bottom w:val="single" w:sz="4" w:space="0" w:color="000000"/>
            </w:tcBorders>
          </w:tcPr>
          <w:p w14:paraId="662E896C" w14:textId="77777777" w:rsidR="00AC6F3C" w:rsidRDefault="00570E88">
            <w:pPr>
              <w:pStyle w:val="TableParagraph"/>
              <w:spacing w:before="56"/>
              <w:ind w:left="108"/>
              <w:rPr>
                <w:b/>
                <w:sz w:val="18"/>
              </w:rPr>
            </w:pPr>
            <w:r>
              <w:rPr>
                <w:b/>
                <w:spacing w:val="-5"/>
                <w:sz w:val="18"/>
              </w:rPr>
              <w:t>A3.</w:t>
            </w:r>
          </w:p>
        </w:tc>
        <w:tc>
          <w:tcPr>
            <w:tcW w:w="5553" w:type="dxa"/>
            <w:tcBorders>
              <w:top w:val="single" w:sz="4" w:space="0" w:color="000000"/>
              <w:bottom w:val="single" w:sz="4" w:space="0" w:color="000000"/>
            </w:tcBorders>
          </w:tcPr>
          <w:p w14:paraId="225AE53A" w14:textId="77777777" w:rsidR="00AC6F3C" w:rsidRDefault="00570E88">
            <w:pPr>
              <w:pStyle w:val="TableParagraph"/>
              <w:spacing w:before="56"/>
              <w:ind w:left="426"/>
              <w:rPr>
                <w:b/>
                <w:sz w:val="18"/>
              </w:rPr>
            </w:pPr>
            <w:proofErr w:type="spellStart"/>
            <w:r>
              <w:rPr>
                <w:b/>
                <w:sz w:val="18"/>
              </w:rPr>
              <w:t>Authorisation</w:t>
            </w:r>
            <w:proofErr w:type="spellEnd"/>
            <w:r>
              <w:rPr>
                <w:b/>
                <w:spacing w:val="-5"/>
                <w:sz w:val="18"/>
              </w:rPr>
              <w:t xml:space="preserve"> </w:t>
            </w:r>
            <w:r>
              <w:rPr>
                <w:b/>
                <w:sz w:val="18"/>
              </w:rPr>
              <w:t>of</w:t>
            </w:r>
            <w:r>
              <w:rPr>
                <w:b/>
                <w:spacing w:val="-3"/>
                <w:sz w:val="18"/>
              </w:rPr>
              <w:t xml:space="preserve"> </w:t>
            </w:r>
            <w:r>
              <w:rPr>
                <w:b/>
                <w:sz w:val="18"/>
              </w:rPr>
              <w:t>Financial</w:t>
            </w:r>
            <w:r>
              <w:rPr>
                <w:b/>
                <w:spacing w:val="-3"/>
                <w:sz w:val="18"/>
              </w:rPr>
              <w:t xml:space="preserve"> </w:t>
            </w:r>
            <w:r>
              <w:rPr>
                <w:b/>
                <w:sz w:val="18"/>
              </w:rPr>
              <w:t>Statements</w:t>
            </w:r>
            <w:r>
              <w:rPr>
                <w:b/>
                <w:spacing w:val="-3"/>
                <w:sz w:val="18"/>
              </w:rPr>
              <w:t xml:space="preserve"> </w:t>
            </w:r>
            <w:r>
              <w:rPr>
                <w:b/>
                <w:sz w:val="18"/>
              </w:rPr>
              <w:t>for</w:t>
            </w:r>
            <w:r>
              <w:rPr>
                <w:b/>
                <w:spacing w:val="-3"/>
                <w:sz w:val="18"/>
              </w:rPr>
              <w:t xml:space="preserve"> </w:t>
            </w:r>
            <w:r>
              <w:rPr>
                <w:b/>
                <w:spacing w:val="-2"/>
                <w:sz w:val="18"/>
              </w:rPr>
              <w:t>Issue</w:t>
            </w:r>
          </w:p>
        </w:tc>
        <w:tc>
          <w:tcPr>
            <w:tcW w:w="1276" w:type="dxa"/>
            <w:tcBorders>
              <w:top w:val="single" w:sz="4" w:space="0" w:color="000000"/>
              <w:bottom w:val="single" w:sz="4" w:space="0" w:color="000000"/>
            </w:tcBorders>
          </w:tcPr>
          <w:p w14:paraId="1418B89E" w14:textId="77777777" w:rsidR="00AC6F3C" w:rsidRDefault="00570E88">
            <w:pPr>
              <w:pStyle w:val="TableParagraph"/>
              <w:spacing w:before="56"/>
              <w:ind w:right="84"/>
              <w:jc w:val="right"/>
              <w:rPr>
                <w:b/>
                <w:sz w:val="18"/>
              </w:rPr>
            </w:pPr>
            <w:r>
              <w:rPr>
                <w:b/>
                <w:spacing w:val="-4"/>
                <w:sz w:val="18"/>
              </w:rPr>
              <w:t>Page</w:t>
            </w:r>
            <w:r>
              <w:rPr>
                <w:b/>
                <w:spacing w:val="-3"/>
                <w:sz w:val="18"/>
              </w:rPr>
              <w:t xml:space="preserve"> </w:t>
            </w:r>
            <w:r>
              <w:rPr>
                <w:b/>
                <w:spacing w:val="-5"/>
                <w:sz w:val="18"/>
              </w:rPr>
              <w:t>191</w:t>
            </w:r>
          </w:p>
        </w:tc>
      </w:tr>
      <w:tr w:rsidR="00AC6F3C" w14:paraId="5F66AB34" w14:textId="77777777">
        <w:trPr>
          <w:trHeight w:val="321"/>
        </w:trPr>
        <w:tc>
          <w:tcPr>
            <w:tcW w:w="1411" w:type="dxa"/>
            <w:vMerge/>
            <w:tcBorders>
              <w:top w:val="nil"/>
              <w:bottom w:val="single" w:sz="4" w:space="0" w:color="000000"/>
            </w:tcBorders>
          </w:tcPr>
          <w:p w14:paraId="2BB7E8A1" w14:textId="77777777" w:rsidR="00AC6F3C" w:rsidRDefault="00AC6F3C">
            <w:pPr>
              <w:rPr>
                <w:sz w:val="2"/>
                <w:szCs w:val="2"/>
              </w:rPr>
            </w:pPr>
          </w:p>
        </w:tc>
        <w:tc>
          <w:tcPr>
            <w:tcW w:w="814" w:type="dxa"/>
            <w:tcBorders>
              <w:top w:val="single" w:sz="4" w:space="0" w:color="000000"/>
              <w:bottom w:val="single" w:sz="4" w:space="0" w:color="000000"/>
            </w:tcBorders>
          </w:tcPr>
          <w:p w14:paraId="4964263B" w14:textId="77777777" w:rsidR="00AC6F3C" w:rsidRDefault="00570E88">
            <w:pPr>
              <w:pStyle w:val="TableParagraph"/>
              <w:spacing w:before="56"/>
              <w:ind w:left="108"/>
              <w:rPr>
                <w:b/>
                <w:sz w:val="18"/>
              </w:rPr>
            </w:pPr>
            <w:r>
              <w:rPr>
                <w:b/>
                <w:spacing w:val="-5"/>
                <w:sz w:val="18"/>
              </w:rPr>
              <w:t>B1.</w:t>
            </w:r>
          </w:p>
        </w:tc>
        <w:tc>
          <w:tcPr>
            <w:tcW w:w="5553" w:type="dxa"/>
            <w:tcBorders>
              <w:top w:val="single" w:sz="4" w:space="0" w:color="000000"/>
              <w:bottom w:val="single" w:sz="4" w:space="0" w:color="000000"/>
            </w:tcBorders>
          </w:tcPr>
          <w:p w14:paraId="221B72B0" w14:textId="77777777" w:rsidR="00AC6F3C" w:rsidRDefault="00570E88">
            <w:pPr>
              <w:pStyle w:val="TableParagraph"/>
              <w:spacing w:before="56"/>
              <w:ind w:left="426"/>
              <w:rPr>
                <w:b/>
                <w:sz w:val="18"/>
              </w:rPr>
            </w:pPr>
            <w:r>
              <w:rPr>
                <w:b/>
                <w:spacing w:val="-2"/>
                <w:sz w:val="18"/>
              </w:rPr>
              <w:t>Revenue</w:t>
            </w:r>
          </w:p>
        </w:tc>
        <w:tc>
          <w:tcPr>
            <w:tcW w:w="1276" w:type="dxa"/>
            <w:tcBorders>
              <w:top w:val="single" w:sz="4" w:space="0" w:color="000000"/>
              <w:bottom w:val="single" w:sz="4" w:space="0" w:color="000000"/>
            </w:tcBorders>
          </w:tcPr>
          <w:p w14:paraId="120B87D5"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192</w:t>
            </w:r>
          </w:p>
        </w:tc>
      </w:tr>
      <w:tr w:rsidR="00AC6F3C" w14:paraId="3AE68948" w14:textId="77777777">
        <w:trPr>
          <w:trHeight w:val="321"/>
        </w:trPr>
        <w:tc>
          <w:tcPr>
            <w:tcW w:w="1411" w:type="dxa"/>
            <w:vMerge/>
            <w:tcBorders>
              <w:top w:val="nil"/>
              <w:bottom w:val="single" w:sz="4" w:space="0" w:color="000000"/>
            </w:tcBorders>
          </w:tcPr>
          <w:p w14:paraId="00C2C5E8" w14:textId="77777777" w:rsidR="00AC6F3C" w:rsidRDefault="00AC6F3C">
            <w:pPr>
              <w:rPr>
                <w:sz w:val="2"/>
                <w:szCs w:val="2"/>
              </w:rPr>
            </w:pPr>
          </w:p>
        </w:tc>
        <w:tc>
          <w:tcPr>
            <w:tcW w:w="814" w:type="dxa"/>
            <w:tcBorders>
              <w:top w:val="single" w:sz="4" w:space="0" w:color="000000"/>
              <w:bottom w:val="single" w:sz="4" w:space="0" w:color="000000"/>
            </w:tcBorders>
          </w:tcPr>
          <w:p w14:paraId="4B2F0ADB" w14:textId="77777777" w:rsidR="00AC6F3C" w:rsidRDefault="00570E88">
            <w:pPr>
              <w:pStyle w:val="TableParagraph"/>
              <w:spacing w:before="56"/>
              <w:ind w:left="108"/>
              <w:rPr>
                <w:b/>
                <w:sz w:val="18"/>
              </w:rPr>
            </w:pPr>
            <w:r>
              <w:rPr>
                <w:b/>
                <w:spacing w:val="-5"/>
                <w:sz w:val="18"/>
              </w:rPr>
              <w:t>B2.</w:t>
            </w:r>
          </w:p>
        </w:tc>
        <w:tc>
          <w:tcPr>
            <w:tcW w:w="5553" w:type="dxa"/>
            <w:tcBorders>
              <w:top w:val="single" w:sz="4" w:space="0" w:color="000000"/>
              <w:bottom w:val="single" w:sz="4" w:space="0" w:color="000000"/>
            </w:tcBorders>
          </w:tcPr>
          <w:p w14:paraId="66C04887" w14:textId="77777777" w:rsidR="00AC6F3C" w:rsidRDefault="00570E88">
            <w:pPr>
              <w:pStyle w:val="TableParagraph"/>
              <w:spacing w:before="56"/>
              <w:ind w:left="426"/>
              <w:rPr>
                <w:b/>
                <w:sz w:val="18"/>
              </w:rPr>
            </w:pPr>
            <w:r>
              <w:rPr>
                <w:b/>
                <w:spacing w:val="-2"/>
                <w:sz w:val="18"/>
              </w:rPr>
              <w:t>Expenses</w:t>
            </w:r>
          </w:p>
        </w:tc>
        <w:tc>
          <w:tcPr>
            <w:tcW w:w="1276" w:type="dxa"/>
            <w:tcBorders>
              <w:top w:val="single" w:sz="4" w:space="0" w:color="000000"/>
              <w:bottom w:val="single" w:sz="4" w:space="0" w:color="000000"/>
            </w:tcBorders>
          </w:tcPr>
          <w:p w14:paraId="79AB4798"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192</w:t>
            </w:r>
          </w:p>
        </w:tc>
      </w:tr>
      <w:tr w:rsidR="00AC6F3C" w14:paraId="2FA5C7C6" w14:textId="77777777">
        <w:trPr>
          <w:trHeight w:val="321"/>
        </w:trPr>
        <w:tc>
          <w:tcPr>
            <w:tcW w:w="1411" w:type="dxa"/>
            <w:vMerge/>
            <w:tcBorders>
              <w:top w:val="nil"/>
              <w:bottom w:val="single" w:sz="4" w:space="0" w:color="000000"/>
            </w:tcBorders>
          </w:tcPr>
          <w:p w14:paraId="392D5AC2" w14:textId="77777777" w:rsidR="00AC6F3C" w:rsidRDefault="00AC6F3C">
            <w:pPr>
              <w:rPr>
                <w:sz w:val="2"/>
                <w:szCs w:val="2"/>
              </w:rPr>
            </w:pPr>
          </w:p>
        </w:tc>
        <w:tc>
          <w:tcPr>
            <w:tcW w:w="814" w:type="dxa"/>
            <w:tcBorders>
              <w:top w:val="single" w:sz="4" w:space="0" w:color="000000"/>
              <w:bottom w:val="single" w:sz="4" w:space="0" w:color="000000"/>
            </w:tcBorders>
          </w:tcPr>
          <w:p w14:paraId="1BFFA8E2" w14:textId="77777777" w:rsidR="00AC6F3C" w:rsidRDefault="00AC6F3C">
            <w:pPr>
              <w:pStyle w:val="TableParagraph"/>
              <w:rPr>
                <w:rFonts w:ascii="Times New Roman"/>
                <w:sz w:val="18"/>
              </w:rPr>
            </w:pPr>
          </w:p>
        </w:tc>
        <w:tc>
          <w:tcPr>
            <w:tcW w:w="5553" w:type="dxa"/>
            <w:tcBorders>
              <w:top w:val="single" w:sz="4" w:space="0" w:color="000000"/>
              <w:bottom w:val="single" w:sz="4" w:space="0" w:color="000000"/>
            </w:tcBorders>
          </w:tcPr>
          <w:p w14:paraId="39FEA8DD" w14:textId="77777777" w:rsidR="00AC6F3C" w:rsidRDefault="00570E88">
            <w:pPr>
              <w:pStyle w:val="TableParagraph"/>
              <w:spacing w:before="56"/>
              <w:ind w:left="426"/>
              <w:rPr>
                <w:sz w:val="18"/>
              </w:rPr>
            </w:pPr>
            <w:r>
              <w:rPr>
                <w:sz w:val="18"/>
              </w:rPr>
              <w:t>B2-1</w:t>
            </w:r>
            <w:r>
              <w:rPr>
                <w:spacing w:val="40"/>
                <w:sz w:val="18"/>
              </w:rPr>
              <w:t xml:space="preserve"> </w:t>
            </w:r>
            <w:r>
              <w:rPr>
                <w:sz w:val="18"/>
              </w:rPr>
              <w:t>Administration</w:t>
            </w:r>
            <w:r>
              <w:rPr>
                <w:spacing w:val="-12"/>
                <w:sz w:val="18"/>
              </w:rPr>
              <w:t xml:space="preserve"> </w:t>
            </w:r>
            <w:r>
              <w:rPr>
                <w:spacing w:val="-2"/>
                <w:sz w:val="18"/>
              </w:rPr>
              <w:t>Expenses</w:t>
            </w:r>
          </w:p>
        </w:tc>
        <w:tc>
          <w:tcPr>
            <w:tcW w:w="1276" w:type="dxa"/>
            <w:tcBorders>
              <w:top w:val="single" w:sz="4" w:space="0" w:color="000000"/>
              <w:bottom w:val="single" w:sz="4" w:space="0" w:color="000000"/>
            </w:tcBorders>
          </w:tcPr>
          <w:p w14:paraId="79A0FA0D" w14:textId="77777777" w:rsidR="00AC6F3C" w:rsidRDefault="00570E88">
            <w:pPr>
              <w:pStyle w:val="TableParagraph"/>
              <w:spacing w:before="56"/>
              <w:ind w:right="82"/>
              <w:jc w:val="right"/>
              <w:rPr>
                <w:sz w:val="18"/>
              </w:rPr>
            </w:pPr>
            <w:r>
              <w:rPr>
                <w:spacing w:val="-4"/>
                <w:sz w:val="18"/>
              </w:rPr>
              <w:t>Page</w:t>
            </w:r>
            <w:r>
              <w:rPr>
                <w:spacing w:val="-3"/>
                <w:sz w:val="18"/>
              </w:rPr>
              <w:t xml:space="preserve"> </w:t>
            </w:r>
            <w:r>
              <w:rPr>
                <w:spacing w:val="-5"/>
                <w:sz w:val="18"/>
              </w:rPr>
              <w:t>192</w:t>
            </w:r>
          </w:p>
        </w:tc>
      </w:tr>
      <w:tr w:rsidR="00AC6F3C" w14:paraId="0256163C" w14:textId="77777777">
        <w:trPr>
          <w:trHeight w:val="318"/>
        </w:trPr>
        <w:tc>
          <w:tcPr>
            <w:tcW w:w="1411" w:type="dxa"/>
            <w:vMerge/>
            <w:tcBorders>
              <w:top w:val="nil"/>
              <w:bottom w:val="single" w:sz="4" w:space="0" w:color="000000"/>
            </w:tcBorders>
          </w:tcPr>
          <w:p w14:paraId="05EDC4EF" w14:textId="77777777" w:rsidR="00AC6F3C" w:rsidRDefault="00AC6F3C">
            <w:pPr>
              <w:rPr>
                <w:sz w:val="2"/>
                <w:szCs w:val="2"/>
              </w:rPr>
            </w:pPr>
          </w:p>
        </w:tc>
        <w:tc>
          <w:tcPr>
            <w:tcW w:w="814" w:type="dxa"/>
            <w:tcBorders>
              <w:top w:val="single" w:sz="4" w:space="0" w:color="000000"/>
              <w:bottom w:val="single" w:sz="4" w:space="0" w:color="000000"/>
            </w:tcBorders>
          </w:tcPr>
          <w:p w14:paraId="0DA8BBAD" w14:textId="77777777" w:rsidR="00AC6F3C" w:rsidRDefault="00AC6F3C">
            <w:pPr>
              <w:pStyle w:val="TableParagraph"/>
              <w:rPr>
                <w:rFonts w:ascii="Times New Roman"/>
                <w:sz w:val="18"/>
              </w:rPr>
            </w:pPr>
          </w:p>
        </w:tc>
        <w:tc>
          <w:tcPr>
            <w:tcW w:w="5553" w:type="dxa"/>
            <w:tcBorders>
              <w:top w:val="single" w:sz="4" w:space="0" w:color="000000"/>
              <w:bottom w:val="single" w:sz="4" w:space="0" w:color="000000"/>
            </w:tcBorders>
          </w:tcPr>
          <w:p w14:paraId="1D348DD4" w14:textId="77777777" w:rsidR="00AC6F3C" w:rsidRDefault="00570E88">
            <w:pPr>
              <w:pStyle w:val="TableParagraph"/>
              <w:spacing w:before="54"/>
              <w:ind w:left="426"/>
              <w:rPr>
                <w:sz w:val="18"/>
              </w:rPr>
            </w:pPr>
            <w:r>
              <w:rPr>
                <w:sz w:val="18"/>
              </w:rPr>
              <w:t>B2-2</w:t>
            </w:r>
            <w:r>
              <w:rPr>
                <w:spacing w:val="60"/>
                <w:sz w:val="18"/>
              </w:rPr>
              <w:t xml:space="preserve"> </w:t>
            </w:r>
            <w:r>
              <w:rPr>
                <w:sz w:val="18"/>
              </w:rPr>
              <w:t>Employee</w:t>
            </w:r>
            <w:r>
              <w:rPr>
                <w:spacing w:val="-12"/>
                <w:sz w:val="18"/>
              </w:rPr>
              <w:t xml:space="preserve"> </w:t>
            </w:r>
            <w:r>
              <w:rPr>
                <w:spacing w:val="-2"/>
                <w:sz w:val="18"/>
              </w:rPr>
              <w:t>Expenses</w:t>
            </w:r>
          </w:p>
        </w:tc>
        <w:tc>
          <w:tcPr>
            <w:tcW w:w="1276" w:type="dxa"/>
            <w:tcBorders>
              <w:top w:val="single" w:sz="4" w:space="0" w:color="000000"/>
              <w:bottom w:val="single" w:sz="4" w:space="0" w:color="000000"/>
            </w:tcBorders>
          </w:tcPr>
          <w:p w14:paraId="0431B76A" w14:textId="77777777" w:rsidR="00AC6F3C" w:rsidRDefault="00570E88">
            <w:pPr>
              <w:pStyle w:val="TableParagraph"/>
              <w:spacing w:before="54"/>
              <w:ind w:right="82"/>
              <w:jc w:val="right"/>
              <w:rPr>
                <w:sz w:val="18"/>
              </w:rPr>
            </w:pPr>
            <w:r>
              <w:rPr>
                <w:spacing w:val="-4"/>
                <w:sz w:val="18"/>
              </w:rPr>
              <w:t>Page</w:t>
            </w:r>
            <w:r>
              <w:rPr>
                <w:spacing w:val="-3"/>
                <w:sz w:val="18"/>
              </w:rPr>
              <w:t xml:space="preserve"> </w:t>
            </w:r>
            <w:r>
              <w:rPr>
                <w:spacing w:val="-5"/>
                <w:sz w:val="18"/>
              </w:rPr>
              <w:t>192</w:t>
            </w:r>
          </w:p>
        </w:tc>
      </w:tr>
      <w:tr w:rsidR="00AC6F3C" w14:paraId="4D34E60E" w14:textId="77777777">
        <w:trPr>
          <w:trHeight w:val="529"/>
        </w:trPr>
        <w:tc>
          <w:tcPr>
            <w:tcW w:w="1411" w:type="dxa"/>
            <w:vMerge/>
            <w:tcBorders>
              <w:top w:val="nil"/>
              <w:bottom w:val="single" w:sz="4" w:space="0" w:color="000000"/>
            </w:tcBorders>
          </w:tcPr>
          <w:p w14:paraId="3B9F9C2B" w14:textId="77777777" w:rsidR="00AC6F3C" w:rsidRDefault="00AC6F3C">
            <w:pPr>
              <w:rPr>
                <w:sz w:val="2"/>
                <w:szCs w:val="2"/>
              </w:rPr>
            </w:pPr>
          </w:p>
        </w:tc>
        <w:tc>
          <w:tcPr>
            <w:tcW w:w="814" w:type="dxa"/>
            <w:tcBorders>
              <w:top w:val="single" w:sz="4" w:space="0" w:color="000000"/>
              <w:bottom w:val="single" w:sz="4" w:space="0" w:color="000000"/>
            </w:tcBorders>
          </w:tcPr>
          <w:p w14:paraId="7536E314" w14:textId="77777777" w:rsidR="00AC6F3C" w:rsidRDefault="00AC6F3C">
            <w:pPr>
              <w:pStyle w:val="TableParagraph"/>
              <w:rPr>
                <w:rFonts w:ascii="Times New Roman"/>
                <w:sz w:val="18"/>
              </w:rPr>
            </w:pPr>
          </w:p>
        </w:tc>
        <w:tc>
          <w:tcPr>
            <w:tcW w:w="5553" w:type="dxa"/>
            <w:tcBorders>
              <w:top w:val="single" w:sz="4" w:space="0" w:color="000000"/>
              <w:bottom w:val="single" w:sz="4" w:space="0" w:color="000000"/>
            </w:tcBorders>
          </w:tcPr>
          <w:p w14:paraId="55B275B8" w14:textId="77777777" w:rsidR="00AC6F3C" w:rsidRDefault="00570E88">
            <w:pPr>
              <w:pStyle w:val="TableParagraph"/>
              <w:spacing w:before="56"/>
              <w:ind w:left="426"/>
              <w:rPr>
                <w:sz w:val="18"/>
              </w:rPr>
            </w:pPr>
            <w:r>
              <w:rPr>
                <w:spacing w:val="-2"/>
                <w:sz w:val="18"/>
              </w:rPr>
              <w:t>B2-3</w:t>
            </w:r>
            <w:r>
              <w:rPr>
                <w:spacing w:val="59"/>
                <w:sz w:val="18"/>
              </w:rPr>
              <w:t xml:space="preserve"> </w:t>
            </w:r>
            <w:r>
              <w:rPr>
                <w:spacing w:val="-2"/>
                <w:sz w:val="18"/>
              </w:rPr>
              <w:t>Management</w:t>
            </w:r>
            <w:r>
              <w:rPr>
                <w:spacing w:val="-11"/>
                <w:sz w:val="18"/>
              </w:rPr>
              <w:t xml:space="preserve"> </w:t>
            </w:r>
            <w:r>
              <w:rPr>
                <w:spacing w:val="-2"/>
                <w:sz w:val="18"/>
              </w:rPr>
              <w:t>Fees</w:t>
            </w:r>
            <w:r>
              <w:rPr>
                <w:spacing w:val="-10"/>
                <w:sz w:val="18"/>
              </w:rPr>
              <w:t xml:space="preserve"> </w:t>
            </w:r>
            <w:r>
              <w:rPr>
                <w:spacing w:val="-2"/>
                <w:sz w:val="18"/>
              </w:rPr>
              <w:t>Paid</w:t>
            </w:r>
            <w:r>
              <w:rPr>
                <w:spacing w:val="-11"/>
                <w:sz w:val="18"/>
              </w:rPr>
              <w:t xml:space="preserve"> </w:t>
            </w:r>
            <w:r>
              <w:rPr>
                <w:spacing w:val="-2"/>
                <w:sz w:val="18"/>
              </w:rPr>
              <w:t>to</w:t>
            </w:r>
            <w:r>
              <w:rPr>
                <w:spacing w:val="-9"/>
                <w:sz w:val="18"/>
              </w:rPr>
              <w:t xml:space="preserve"> </w:t>
            </w:r>
            <w:r>
              <w:rPr>
                <w:spacing w:val="-2"/>
                <w:sz w:val="18"/>
              </w:rPr>
              <w:t>Queensland</w:t>
            </w:r>
            <w:r>
              <w:rPr>
                <w:spacing w:val="-11"/>
                <w:sz w:val="18"/>
              </w:rPr>
              <w:t xml:space="preserve"> </w:t>
            </w:r>
            <w:r>
              <w:rPr>
                <w:spacing w:val="-2"/>
                <w:sz w:val="18"/>
              </w:rPr>
              <w:t>Law</w:t>
            </w:r>
            <w:r>
              <w:rPr>
                <w:spacing w:val="-10"/>
                <w:sz w:val="18"/>
              </w:rPr>
              <w:t xml:space="preserve"> </w:t>
            </w:r>
            <w:r>
              <w:rPr>
                <w:spacing w:val="-2"/>
                <w:sz w:val="18"/>
              </w:rPr>
              <w:t>Society Incorporated</w:t>
            </w:r>
          </w:p>
        </w:tc>
        <w:tc>
          <w:tcPr>
            <w:tcW w:w="1276" w:type="dxa"/>
            <w:tcBorders>
              <w:top w:val="single" w:sz="4" w:space="0" w:color="000000"/>
              <w:bottom w:val="single" w:sz="4" w:space="0" w:color="000000"/>
            </w:tcBorders>
          </w:tcPr>
          <w:p w14:paraId="3A5AECA2" w14:textId="77777777" w:rsidR="00AC6F3C" w:rsidRDefault="00570E88">
            <w:pPr>
              <w:pStyle w:val="TableParagraph"/>
              <w:spacing w:before="56"/>
              <w:ind w:right="82"/>
              <w:jc w:val="right"/>
              <w:rPr>
                <w:sz w:val="18"/>
              </w:rPr>
            </w:pPr>
            <w:r>
              <w:rPr>
                <w:spacing w:val="-4"/>
                <w:sz w:val="18"/>
              </w:rPr>
              <w:t>Page</w:t>
            </w:r>
            <w:r>
              <w:rPr>
                <w:spacing w:val="-3"/>
                <w:sz w:val="18"/>
              </w:rPr>
              <w:t xml:space="preserve"> </w:t>
            </w:r>
            <w:r>
              <w:rPr>
                <w:spacing w:val="-5"/>
                <w:sz w:val="18"/>
              </w:rPr>
              <w:t>193</w:t>
            </w:r>
          </w:p>
        </w:tc>
      </w:tr>
      <w:tr w:rsidR="00AC6F3C" w14:paraId="76587833" w14:textId="77777777">
        <w:trPr>
          <w:trHeight w:val="318"/>
        </w:trPr>
        <w:tc>
          <w:tcPr>
            <w:tcW w:w="1411" w:type="dxa"/>
            <w:vMerge/>
            <w:tcBorders>
              <w:top w:val="nil"/>
              <w:bottom w:val="single" w:sz="4" w:space="0" w:color="000000"/>
            </w:tcBorders>
          </w:tcPr>
          <w:p w14:paraId="016A93D0" w14:textId="77777777" w:rsidR="00AC6F3C" w:rsidRDefault="00AC6F3C">
            <w:pPr>
              <w:rPr>
                <w:sz w:val="2"/>
                <w:szCs w:val="2"/>
              </w:rPr>
            </w:pPr>
          </w:p>
        </w:tc>
        <w:tc>
          <w:tcPr>
            <w:tcW w:w="814" w:type="dxa"/>
            <w:tcBorders>
              <w:top w:val="single" w:sz="4" w:space="0" w:color="000000"/>
              <w:bottom w:val="single" w:sz="4" w:space="0" w:color="000000"/>
            </w:tcBorders>
          </w:tcPr>
          <w:p w14:paraId="70B5352D" w14:textId="77777777" w:rsidR="00AC6F3C" w:rsidRDefault="00570E88">
            <w:pPr>
              <w:pStyle w:val="TableParagraph"/>
              <w:spacing w:before="54"/>
              <w:ind w:left="108"/>
              <w:rPr>
                <w:b/>
                <w:sz w:val="18"/>
              </w:rPr>
            </w:pPr>
            <w:r>
              <w:rPr>
                <w:b/>
                <w:spacing w:val="-5"/>
                <w:sz w:val="18"/>
              </w:rPr>
              <w:t>C1.</w:t>
            </w:r>
          </w:p>
        </w:tc>
        <w:tc>
          <w:tcPr>
            <w:tcW w:w="5553" w:type="dxa"/>
            <w:tcBorders>
              <w:top w:val="single" w:sz="4" w:space="0" w:color="000000"/>
              <w:bottom w:val="single" w:sz="4" w:space="0" w:color="000000"/>
            </w:tcBorders>
          </w:tcPr>
          <w:p w14:paraId="72C5FC67" w14:textId="77777777" w:rsidR="00AC6F3C" w:rsidRDefault="00570E88">
            <w:pPr>
              <w:pStyle w:val="TableParagraph"/>
              <w:spacing w:before="54"/>
              <w:ind w:left="426"/>
              <w:rPr>
                <w:b/>
                <w:sz w:val="18"/>
              </w:rPr>
            </w:pPr>
            <w:r>
              <w:rPr>
                <w:b/>
                <w:sz w:val="18"/>
              </w:rPr>
              <w:t>Cash</w:t>
            </w:r>
            <w:r>
              <w:rPr>
                <w:b/>
                <w:spacing w:val="-1"/>
                <w:sz w:val="18"/>
              </w:rPr>
              <w:t xml:space="preserve"> </w:t>
            </w:r>
            <w:r>
              <w:rPr>
                <w:b/>
                <w:sz w:val="18"/>
              </w:rPr>
              <w:t>and</w:t>
            </w:r>
            <w:r>
              <w:rPr>
                <w:b/>
                <w:spacing w:val="-3"/>
                <w:sz w:val="18"/>
              </w:rPr>
              <w:t xml:space="preserve"> </w:t>
            </w:r>
            <w:r>
              <w:rPr>
                <w:b/>
                <w:sz w:val="18"/>
              </w:rPr>
              <w:t xml:space="preserve">Cash </w:t>
            </w:r>
            <w:r>
              <w:rPr>
                <w:b/>
                <w:spacing w:val="-2"/>
                <w:sz w:val="18"/>
              </w:rPr>
              <w:t>Equivalents</w:t>
            </w:r>
          </w:p>
        </w:tc>
        <w:tc>
          <w:tcPr>
            <w:tcW w:w="1276" w:type="dxa"/>
            <w:tcBorders>
              <w:top w:val="single" w:sz="4" w:space="0" w:color="000000"/>
              <w:bottom w:val="single" w:sz="4" w:space="0" w:color="000000"/>
            </w:tcBorders>
          </w:tcPr>
          <w:p w14:paraId="3070E6F1" w14:textId="77777777" w:rsidR="00AC6F3C" w:rsidRDefault="00570E88">
            <w:pPr>
              <w:pStyle w:val="TableParagraph"/>
              <w:spacing w:before="54"/>
              <w:ind w:right="82"/>
              <w:jc w:val="right"/>
              <w:rPr>
                <w:b/>
                <w:sz w:val="18"/>
              </w:rPr>
            </w:pPr>
            <w:r>
              <w:rPr>
                <w:b/>
                <w:spacing w:val="-4"/>
                <w:sz w:val="18"/>
              </w:rPr>
              <w:t>Page</w:t>
            </w:r>
            <w:r>
              <w:rPr>
                <w:b/>
                <w:spacing w:val="-3"/>
                <w:sz w:val="18"/>
              </w:rPr>
              <w:t xml:space="preserve"> </w:t>
            </w:r>
            <w:r>
              <w:rPr>
                <w:b/>
                <w:spacing w:val="-5"/>
                <w:sz w:val="18"/>
              </w:rPr>
              <w:t>193</w:t>
            </w:r>
          </w:p>
        </w:tc>
      </w:tr>
      <w:tr w:rsidR="00AC6F3C" w14:paraId="3D878375" w14:textId="77777777">
        <w:trPr>
          <w:trHeight w:val="321"/>
        </w:trPr>
        <w:tc>
          <w:tcPr>
            <w:tcW w:w="1411" w:type="dxa"/>
            <w:vMerge/>
            <w:tcBorders>
              <w:top w:val="nil"/>
              <w:bottom w:val="single" w:sz="4" w:space="0" w:color="000000"/>
            </w:tcBorders>
          </w:tcPr>
          <w:p w14:paraId="3B0835C3" w14:textId="77777777" w:rsidR="00AC6F3C" w:rsidRDefault="00AC6F3C">
            <w:pPr>
              <w:rPr>
                <w:sz w:val="2"/>
                <w:szCs w:val="2"/>
              </w:rPr>
            </w:pPr>
          </w:p>
        </w:tc>
        <w:tc>
          <w:tcPr>
            <w:tcW w:w="814" w:type="dxa"/>
            <w:tcBorders>
              <w:top w:val="single" w:sz="4" w:space="0" w:color="000000"/>
              <w:bottom w:val="single" w:sz="4" w:space="0" w:color="000000"/>
            </w:tcBorders>
          </w:tcPr>
          <w:p w14:paraId="45034FC8" w14:textId="77777777" w:rsidR="00AC6F3C" w:rsidRDefault="00570E88">
            <w:pPr>
              <w:pStyle w:val="TableParagraph"/>
              <w:spacing w:before="56"/>
              <w:ind w:left="108"/>
              <w:rPr>
                <w:b/>
                <w:sz w:val="18"/>
              </w:rPr>
            </w:pPr>
            <w:r>
              <w:rPr>
                <w:b/>
                <w:spacing w:val="-5"/>
                <w:sz w:val="18"/>
              </w:rPr>
              <w:t>C2.</w:t>
            </w:r>
          </w:p>
        </w:tc>
        <w:tc>
          <w:tcPr>
            <w:tcW w:w="5553" w:type="dxa"/>
            <w:tcBorders>
              <w:top w:val="single" w:sz="4" w:space="0" w:color="000000"/>
              <w:bottom w:val="single" w:sz="4" w:space="0" w:color="000000"/>
            </w:tcBorders>
          </w:tcPr>
          <w:p w14:paraId="2B18929C" w14:textId="77777777" w:rsidR="00AC6F3C" w:rsidRDefault="00570E88">
            <w:pPr>
              <w:pStyle w:val="TableParagraph"/>
              <w:spacing w:before="56"/>
              <w:ind w:left="426"/>
              <w:rPr>
                <w:b/>
                <w:sz w:val="18"/>
              </w:rPr>
            </w:pPr>
            <w:r>
              <w:rPr>
                <w:b/>
                <w:sz w:val="18"/>
              </w:rPr>
              <w:t>Financial</w:t>
            </w:r>
            <w:r>
              <w:rPr>
                <w:b/>
                <w:spacing w:val="-2"/>
                <w:sz w:val="18"/>
              </w:rPr>
              <w:t xml:space="preserve"> Instruments</w:t>
            </w:r>
          </w:p>
        </w:tc>
        <w:tc>
          <w:tcPr>
            <w:tcW w:w="1276" w:type="dxa"/>
            <w:tcBorders>
              <w:top w:val="single" w:sz="4" w:space="0" w:color="000000"/>
              <w:bottom w:val="single" w:sz="4" w:space="0" w:color="000000"/>
            </w:tcBorders>
          </w:tcPr>
          <w:p w14:paraId="68BD342D"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193</w:t>
            </w:r>
          </w:p>
        </w:tc>
      </w:tr>
      <w:tr w:rsidR="00AC6F3C" w14:paraId="5A5C875E" w14:textId="77777777">
        <w:trPr>
          <w:trHeight w:val="321"/>
        </w:trPr>
        <w:tc>
          <w:tcPr>
            <w:tcW w:w="1411" w:type="dxa"/>
            <w:vMerge/>
            <w:tcBorders>
              <w:top w:val="nil"/>
              <w:bottom w:val="single" w:sz="4" w:space="0" w:color="000000"/>
            </w:tcBorders>
          </w:tcPr>
          <w:p w14:paraId="12CAE291" w14:textId="77777777" w:rsidR="00AC6F3C" w:rsidRDefault="00AC6F3C">
            <w:pPr>
              <w:rPr>
                <w:sz w:val="2"/>
                <w:szCs w:val="2"/>
              </w:rPr>
            </w:pPr>
          </w:p>
        </w:tc>
        <w:tc>
          <w:tcPr>
            <w:tcW w:w="814" w:type="dxa"/>
            <w:tcBorders>
              <w:top w:val="single" w:sz="4" w:space="0" w:color="000000"/>
              <w:bottom w:val="single" w:sz="4" w:space="0" w:color="000000"/>
            </w:tcBorders>
          </w:tcPr>
          <w:p w14:paraId="0C629DF6" w14:textId="77777777" w:rsidR="00AC6F3C" w:rsidRDefault="00570E88">
            <w:pPr>
              <w:pStyle w:val="TableParagraph"/>
              <w:spacing w:before="56"/>
              <w:ind w:left="108"/>
              <w:rPr>
                <w:b/>
                <w:sz w:val="18"/>
              </w:rPr>
            </w:pPr>
            <w:r>
              <w:rPr>
                <w:b/>
                <w:spacing w:val="-5"/>
                <w:sz w:val="18"/>
              </w:rPr>
              <w:t>C3.</w:t>
            </w:r>
          </w:p>
        </w:tc>
        <w:tc>
          <w:tcPr>
            <w:tcW w:w="5553" w:type="dxa"/>
            <w:tcBorders>
              <w:top w:val="single" w:sz="4" w:space="0" w:color="000000"/>
              <w:bottom w:val="single" w:sz="4" w:space="0" w:color="000000"/>
            </w:tcBorders>
          </w:tcPr>
          <w:p w14:paraId="3E528C35" w14:textId="77777777" w:rsidR="00AC6F3C" w:rsidRDefault="00570E88">
            <w:pPr>
              <w:pStyle w:val="TableParagraph"/>
              <w:spacing w:before="56"/>
              <w:ind w:left="426"/>
              <w:rPr>
                <w:b/>
                <w:sz w:val="18"/>
              </w:rPr>
            </w:pPr>
            <w:r>
              <w:rPr>
                <w:b/>
                <w:spacing w:val="-2"/>
                <w:sz w:val="18"/>
              </w:rPr>
              <w:t>Receivables</w:t>
            </w:r>
          </w:p>
        </w:tc>
        <w:tc>
          <w:tcPr>
            <w:tcW w:w="1276" w:type="dxa"/>
            <w:tcBorders>
              <w:top w:val="single" w:sz="4" w:space="0" w:color="000000"/>
              <w:bottom w:val="single" w:sz="4" w:space="0" w:color="000000"/>
            </w:tcBorders>
          </w:tcPr>
          <w:p w14:paraId="7FD99CAD"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194</w:t>
            </w:r>
          </w:p>
        </w:tc>
      </w:tr>
      <w:tr w:rsidR="00AC6F3C" w14:paraId="21AF3B5D" w14:textId="77777777">
        <w:trPr>
          <w:trHeight w:val="321"/>
        </w:trPr>
        <w:tc>
          <w:tcPr>
            <w:tcW w:w="1411" w:type="dxa"/>
            <w:vMerge/>
            <w:tcBorders>
              <w:top w:val="nil"/>
              <w:bottom w:val="single" w:sz="4" w:space="0" w:color="000000"/>
            </w:tcBorders>
          </w:tcPr>
          <w:p w14:paraId="2AC1F7FE" w14:textId="77777777" w:rsidR="00AC6F3C" w:rsidRDefault="00AC6F3C">
            <w:pPr>
              <w:rPr>
                <w:sz w:val="2"/>
                <w:szCs w:val="2"/>
              </w:rPr>
            </w:pPr>
          </w:p>
        </w:tc>
        <w:tc>
          <w:tcPr>
            <w:tcW w:w="814" w:type="dxa"/>
            <w:tcBorders>
              <w:top w:val="single" w:sz="4" w:space="0" w:color="000000"/>
              <w:bottom w:val="single" w:sz="4" w:space="0" w:color="000000"/>
            </w:tcBorders>
          </w:tcPr>
          <w:p w14:paraId="6E5392C1" w14:textId="77777777" w:rsidR="00AC6F3C" w:rsidRDefault="00570E88">
            <w:pPr>
              <w:pStyle w:val="TableParagraph"/>
              <w:spacing w:before="56"/>
              <w:ind w:left="108"/>
              <w:rPr>
                <w:b/>
                <w:sz w:val="18"/>
              </w:rPr>
            </w:pPr>
            <w:r>
              <w:rPr>
                <w:b/>
                <w:spacing w:val="-5"/>
                <w:sz w:val="18"/>
              </w:rPr>
              <w:t>C4.</w:t>
            </w:r>
          </w:p>
        </w:tc>
        <w:tc>
          <w:tcPr>
            <w:tcW w:w="5553" w:type="dxa"/>
            <w:tcBorders>
              <w:top w:val="single" w:sz="4" w:space="0" w:color="000000"/>
              <w:bottom w:val="single" w:sz="4" w:space="0" w:color="000000"/>
            </w:tcBorders>
          </w:tcPr>
          <w:p w14:paraId="1731DAE5" w14:textId="77777777" w:rsidR="00AC6F3C" w:rsidRDefault="00570E88">
            <w:pPr>
              <w:pStyle w:val="TableParagraph"/>
              <w:spacing w:before="56"/>
              <w:ind w:left="426"/>
              <w:rPr>
                <w:b/>
                <w:sz w:val="18"/>
              </w:rPr>
            </w:pPr>
            <w:r>
              <w:rPr>
                <w:b/>
                <w:spacing w:val="-2"/>
                <w:sz w:val="18"/>
              </w:rPr>
              <w:t>Payables</w:t>
            </w:r>
          </w:p>
        </w:tc>
        <w:tc>
          <w:tcPr>
            <w:tcW w:w="1276" w:type="dxa"/>
            <w:tcBorders>
              <w:top w:val="single" w:sz="4" w:space="0" w:color="000000"/>
              <w:bottom w:val="single" w:sz="4" w:space="0" w:color="000000"/>
            </w:tcBorders>
          </w:tcPr>
          <w:p w14:paraId="6EA74281"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194</w:t>
            </w:r>
          </w:p>
        </w:tc>
      </w:tr>
      <w:tr w:rsidR="00AC6F3C" w14:paraId="7837E759" w14:textId="77777777">
        <w:trPr>
          <w:trHeight w:val="321"/>
        </w:trPr>
        <w:tc>
          <w:tcPr>
            <w:tcW w:w="1411" w:type="dxa"/>
            <w:vMerge/>
            <w:tcBorders>
              <w:top w:val="nil"/>
              <w:bottom w:val="single" w:sz="4" w:space="0" w:color="000000"/>
            </w:tcBorders>
          </w:tcPr>
          <w:p w14:paraId="5A8512DC" w14:textId="77777777" w:rsidR="00AC6F3C" w:rsidRDefault="00AC6F3C">
            <w:pPr>
              <w:rPr>
                <w:sz w:val="2"/>
                <w:szCs w:val="2"/>
              </w:rPr>
            </w:pPr>
          </w:p>
        </w:tc>
        <w:tc>
          <w:tcPr>
            <w:tcW w:w="814" w:type="dxa"/>
            <w:tcBorders>
              <w:top w:val="single" w:sz="4" w:space="0" w:color="000000"/>
              <w:bottom w:val="single" w:sz="4" w:space="0" w:color="000000"/>
            </w:tcBorders>
          </w:tcPr>
          <w:p w14:paraId="3E3164FA" w14:textId="77777777" w:rsidR="00AC6F3C" w:rsidRDefault="00570E88">
            <w:pPr>
              <w:pStyle w:val="TableParagraph"/>
              <w:spacing w:before="56"/>
              <w:ind w:left="108"/>
              <w:rPr>
                <w:b/>
                <w:sz w:val="18"/>
              </w:rPr>
            </w:pPr>
            <w:r>
              <w:rPr>
                <w:b/>
                <w:spacing w:val="-5"/>
                <w:sz w:val="18"/>
              </w:rPr>
              <w:t>D1.</w:t>
            </w:r>
          </w:p>
        </w:tc>
        <w:tc>
          <w:tcPr>
            <w:tcW w:w="5553" w:type="dxa"/>
            <w:tcBorders>
              <w:top w:val="single" w:sz="4" w:space="0" w:color="000000"/>
              <w:bottom w:val="single" w:sz="4" w:space="0" w:color="000000"/>
            </w:tcBorders>
          </w:tcPr>
          <w:p w14:paraId="07FBA99C" w14:textId="77777777" w:rsidR="00AC6F3C" w:rsidRDefault="00570E88">
            <w:pPr>
              <w:pStyle w:val="TableParagraph"/>
              <w:spacing w:before="56"/>
              <w:ind w:left="426"/>
              <w:rPr>
                <w:b/>
                <w:sz w:val="18"/>
              </w:rPr>
            </w:pPr>
            <w:r>
              <w:rPr>
                <w:b/>
                <w:sz w:val="18"/>
              </w:rPr>
              <w:t>Contingent</w:t>
            </w:r>
            <w:r>
              <w:rPr>
                <w:b/>
                <w:spacing w:val="-4"/>
                <w:sz w:val="18"/>
              </w:rPr>
              <w:t xml:space="preserve"> </w:t>
            </w:r>
            <w:r>
              <w:rPr>
                <w:b/>
                <w:sz w:val="18"/>
              </w:rPr>
              <w:t>Liabilities</w:t>
            </w:r>
            <w:r>
              <w:rPr>
                <w:b/>
                <w:spacing w:val="-3"/>
                <w:sz w:val="18"/>
              </w:rPr>
              <w:t xml:space="preserve"> </w:t>
            </w:r>
            <w:r>
              <w:rPr>
                <w:b/>
                <w:sz w:val="18"/>
              </w:rPr>
              <w:t>and</w:t>
            </w:r>
            <w:r>
              <w:rPr>
                <w:b/>
                <w:spacing w:val="-2"/>
                <w:sz w:val="18"/>
              </w:rPr>
              <w:t xml:space="preserve"> </w:t>
            </w:r>
            <w:r>
              <w:rPr>
                <w:b/>
                <w:sz w:val="18"/>
              </w:rPr>
              <w:t>Events</w:t>
            </w:r>
            <w:r>
              <w:rPr>
                <w:b/>
                <w:spacing w:val="-3"/>
                <w:sz w:val="18"/>
              </w:rPr>
              <w:t xml:space="preserve"> </w:t>
            </w:r>
            <w:r>
              <w:rPr>
                <w:b/>
                <w:sz w:val="18"/>
              </w:rPr>
              <w:t>after</w:t>
            </w:r>
            <w:r>
              <w:rPr>
                <w:b/>
                <w:spacing w:val="-3"/>
                <w:sz w:val="18"/>
              </w:rPr>
              <w:t xml:space="preserve"> </w:t>
            </w:r>
            <w:r>
              <w:rPr>
                <w:b/>
                <w:sz w:val="18"/>
              </w:rPr>
              <w:t xml:space="preserve">Balance </w:t>
            </w:r>
            <w:r>
              <w:rPr>
                <w:b/>
                <w:spacing w:val="-4"/>
                <w:sz w:val="18"/>
              </w:rPr>
              <w:t>Date</w:t>
            </w:r>
          </w:p>
        </w:tc>
        <w:tc>
          <w:tcPr>
            <w:tcW w:w="1276" w:type="dxa"/>
            <w:tcBorders>
              <w:top w:val="single" w:sz="4" w:space="0" w:color="000000"/>
              <w:bottom w:val="single" w:sz="4" w:space="0" w:color="000000"/>
            </w:tcBorders>
          </w:tcPr>
          <w:p w14:paraId="5CA67088"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194</w:t>
            </w:r>
          </w:p>
        </w:tc>
      </w:tr>
      <w:tr w:rsidR="00AC6F3C" w14:paraId="6F880B99" w14:textId="77777777">
        <w:trPr>
          <w:trHeight w:val="321"/>
        </w:trPr>
        <w:tc>
          <w:tcPr>
            <w:tcW w:w="1411" w:type="dxa"/>
            <w:vMerge/>
            <w:tcBorders>
              <w:top w:val="nil"/>
              <w:bottom w:val="single" w:sz="4" w:space="0" w:color="000000"/>
            </w:tcBorders>
          </w:tcPr>
          <w:p w14:paraId="13B32849" w14:textId="77777777" w:rsidR="00AC6F3C" w:rsidRDefault="00AC6F3C">
            <w:pPr>
              <w:rPr>
                <w:sz w:val="2"/>
                <w:szCs w:val="2"/>
              </w:rPr>
            </w:pPr>
          </w:p>
        </w:tc>
        <w:tc>
          <w:tcPr>
            <w:tcW w:w="814" w:type="dxa"/>
            <w:tcBorders>
              <w:top w:val="single" w:sz="4" w:space="0" w:color="000000"/>
              <w:bottom w:val="single" w:sz="4" w:space="0" w:color="000000"/>
            </w:tcBorders>
          </w:tcPr>
          <w:p w14:paraId="5B1D422C" w14:textId="77777777" w:rsidR="00AC6F3C" w:rsidRDefault="00570E88">
            <w:pPr>
              <w:pStyle w:val="TableParagraph"/>
              <w:spacing w:before="56"/>
              <w:ind w:left="108"/>
              <w:rPr>
                <w:b/>
                <w:sz w:val="18"/>
              </w:rPr>
            </w:pPr>
            <w:r>
              <w:rPr>
                <w:b/>
                <w:spacing w:val="-5"/>
                <w:sz w:val="18"/>
              </w:rPr>
              <w:t>E1.</w:t>
            </w:r>
          </w:p>
        </w:tc>
        <w:tc>
          <w:tcPr>
            <w:tcW w:w="5553" w:type="dxa"/>
            <w:tcBorders>
              <w:top w:val="single" w:sz="4" w:space="0" w:color="000000"/>
              <w:bottom w:val="single" w:sz="4" w:space="0" w:color="000000"/>
            </w:tcBorders>
          </w:tcPr>
          <w:p w14:paraId="0C808108" w14:textId="77777777" w:rsidR="00AC6F3C" w:rsidRDefault="00570E88">
            <w:pPr>
              <w:pStyle w:val="TableParagraph"/>
              <w:spacing w:before="56"/>
              <w:ind w:left="426"/>
              <w:rPr>
                <w:b/>
                <w:sz w:val="18"/>
              </w:rPr>
            </w:pPr>
            <w:r>
              <w:rPr>
                <w:b/>
                <w:sz w:val="18"/>
              </w:rPr>
              <w:t>Key</w:t>
            </w:r>
            <w:r>
              <w:rPr>
                <w:b/>
                <w:spacing w:val="-2"/>
                <w:sz w:val="18"/>
              </w:rPr>
              <w:t xml:space="preserve"> </w:t>
            </w:r>
            <w:r>
              <w:rPr>
                <w:b/>
                <w:sz w:val="18"/>
              </w:rPr>
              <w:t>Management</w:t>
            </w:r>
            <w:r>
              <w:rPr>
                <w:b/>
                <w:spacing w:val="-3"/>
                <w:sz w:val="18"/>
              </w:rPr>
              <w:t xml:space="preserve"> </w:t>
            </w:r>
            <w:r>
              <w:rPr>
                <w:b/>
                <w:sz w:val="18"/>
              </w:rPr>
              <w:t>Personnel</w:t>
            </w:r>
            <w:r>
              <w:rPr>
                <w:b/>
                <w:spacing w:val="-5"/>
                <w:sz w:val="18"/>
              </w:rPr>
              <w:t xml:space="preserve"> </w:t>
            </w:r>
            <w:r>
              <w:rPr>
                <w:b/>
                <w:sz w:val="18"/>
              </w:rPr>
              <w:t>(KMP)</w:t>
            </w:r>
            <w:r>
              <w:rPr>
                <w:b/>
                <w:spacing w:val="-2"/>
                <w:sz w:val="18"/>
              </w:rPr>
              <w:t xml:space="preserve"> Disclosures</w:t>
            </w:r>
          </w:p>
        </w:tc>
        <w:tc>
          <w:tcPr>
            <w:tcW w:w="1276" w:type="dxa"/>
            <w:tcBorders>
              <w:top w:val="single" w:sz="4" w:space="0" w:color="000000"/>
              <w:bottom w:val="single" w:sz="4" w:space="0" w:color="000000"/>
            </w:tcBorders>
          </w:tcPr>
          <w:p w14:paraId="38E2CABA"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195</w:t>
            </w:r>
          </w:p>
        </w:tc>
      </w:tr>
      <w:tr w:rsidR="00AC6F3C" w14:paraId="33DFAA8B" w14:textId="77777777">
        <w:trPr>
          <w:trHeight w:val="321"/>
        </w:trPr>
        <w:tc>
          <w:tcPr>
            <w:tcW w:w="1411" w:type="dxa"/>
            <w:vMerge/>
            <w:tcBorders>
              <w:top w:val="nil"/>
              <w:bottom w:val="single" w:sz="4" w:space="0" w:color="000000"/>
            </w:tcBorders>
          </w:tcPr>
          <w:p w14:paraId="5131D81A" w14:textId="77777777" w:rsidR="00AC6F3C" w:rsidRDefault="00AC6F3C">
            <w:pPr>
              <w:rPr>
                <w:sz w:val="2"/>
                <w:szCs w:val="2"/>
              </w:rPr>
            </w:pPr>
          </w:p>
        </w:tc>
        <w:tc>
          <w:tcPr>
            <w:tcW w:w="814" w:type="dxa"/>
            <w:tcBorders>
              <w:top w:val="single" w:sz="4" w:space="0" w:color="000000"/>
              <w:bottom w:val="single" w:sz="4" w:space="0" w:color="000000"/>
            </w:tcBorders>
          </w:tcPr>
          <w:p w14:paraId="003C5077" w14:textId="77777777" w:rsidR="00AC6F3C" w:rsidRDefault="00570E88">
            <w:pPr>
              <w:pStyle w:val="TableParagraph"/>
              <w:spacing w:before="56"/>
              <w:ind w:left="108"/>
              <w:rPr>
                <w:b/>
                <w:sz w:val="18"/>
              </w:rPr>
            </w:pPr>
            <w:r>
              <w:rPr>
                <w:b/>
                <w:spacing w:val="-5"/>
                <w:sz w:val="18"/>
              </w:rPr>
              <w:t>E2.</w:t>
            </w:r>
          </w:p>
        </w:tc>
        <w:tc>
          <w:tcPr>
            <w:tcW w:w="5553" w:type="dxa"/>
            <w:tcBorders>
              <w:top w:val="single" w:sz="4" w:space="0" w:color="000000"/>
              <w:bottom w:val="single" w:sz="4" w:space="0" w:color="000000"/>
            </w:tcBorders>
          </w:tcPr>
          <w:p w14:paraId="24E791BD" w14:textId="77777777" w:rsidR="00AC6F3C" w:rsidRDefault="00570E88">
            <w:pPr>
              <w:pStyle w:val="TableParagraph"/>
              <w:spacing w:before="56"/>
              <w:ind w:left="426"/>
              <w:rPr>
                <w:b/>
                <w:sz w:val="18"/>
              </w:rPr>
            </w:pPr>
            <w:r>
              <w:rPr>
                <w:b/>
                <w:sz w:val="18"/>
              </w:rPr>
              <w:t>Related</w:t>
            </w:r>
            <w:r>
              <w:rPr>
                <w:b/>
                <w:spacing w:val="-3"/>
                <w:sz w:val="18"/>
              </w:rPr>
              <w:t xml:space="preserve"> </w:t>
            </w:r>
            <w:r>
              <w:rPr>
                <w:b/>
                <w:sz w:val="18"/>
              </w:rPr>
              <w:t>Party</w:t>
            </w:r>
            <w:r>
              <w:rPr>
                <w:b/>
                <w:spacing w:val="-2"/>
                <w:sz w:val="18"/>
              </w:rPr>
              <w:t xml:space="preserve"> Transactions</w:t>
            </w:r>
          </w:p>
        </w:tc>
        <w:tc>
          <w:tcPr>
            <w:tcW w:w="1276" w:type="dxa"/>
            <w:tcBorders>
              <w:top w:val="single" w:sz="4" w:space="0" w:color="000000"/>
              <w:bottom w:val="single" w:sz="4" w:space="0" w:color="000000"/>
            </w:tcBorders>
          </w:tcPr>
          <w:p w14:paraId="62CED574"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195</w:t>
            </w:r>
          </w:p>
        </w:tc>
      </w:tr>
      <w:tr w:rsidR="00AC6F3C" w14:paraId="388FEB71" w14:textId="77777777">
        <w:trPr>
          <w:trHeight w:val="321"/>
        </w:trPr>
        <w:tc>
          <w:tcPr>
            <w:tcW w:w="1411" w:type="dxa"/>
            <w:vMerge/>
            <w:tcBorders>
              <w:top w:val="nil"/>
              <w:bottom w:val="single" w:sz="4" w:space="0" w:color="000000"/>
            </w:tcBorders>
          </w:tcPr>
          <w:p w14:paraId="269E6373" w14:textId="77777777" w:rsidR="00AC6F3C" w:rsidRDefault="00AC6F3C">
            <w:pPr>
              <w:rPr>
                <w:sz w:val="2"/>
                <w:szCs w:val="2"/>
              </w:rPr>
            </w:pPr>
          </w:p>
        </w:tc>
        <w:tc>
          <w:tcPr>
            <w:tcW w:w="814" w:type="dxa"/>
            <w:tcBorders>
              <w:top w:val="single" w:sz="4" w:space="0" w:color="000000"/>
              <w:bottom w:val="single" w:sz="4" w:space="0" w:color="000000"/>
            </w:tcBorders>
          </w:tcPr>
          <w:p w14:paraId="2559FB29" w14:textId="77777777" w:rsidR="00AC6F3C" w:rsidRDefault="00570E88">
            <w:pPr>
              <w:pStyle w:val="TableParagraph"/>
              <w:spacing w:before="56"/>
              <w:ind w:left="108"/>
              <w:rPr>
                <w:b/>
                <w:sz w:val="18"/>
              </w:rPr>
            </w:pPr>
            <w:r>
              <w:rPr>
                <w:b/>
                <w:spacing w:val="-5"/>
                <w:sz w:val="18"/>
              </w:rPr>
              <w:t>E3.</w:t>
            </w:r>
          </w:p>
        </w:tc>
        <w:tc>
          <w:tcPr>
            <w:tcW w:w="5553" w:type="dxa"/>
            <w:tcBorders>
              <w:top w:val="single" w:sz="4" w:space="0" w:color="000000"/>
              <w:bottom w:val="single" w:sz="4" w:space="0" w:color="000000"/>
            </w:tcBorders>
          </w:tcPr>
          <w:p w14:paraId="08051935" w14:textId="77777777" w:rsidR="00AC6F3C" w:rsidRDefault="00570E88">
            <w:pPr>
              <w:pStyle w:val="TableParagraph"/>
              <w:spacing w:before="56"/>
              <w:ind w:left="426"/>
              <w:rPr>
                <w:b/>
                <w:sz w:val="18"/>
              </w:rPr>
            </w:pPr>
            <w:r>
              <w:rPr>
                <w:b/>
                <w:spacing w:val="-2"/>
                <w:sz w:val="18"/>
              </w:rPr>
              <w:t>Taxation</w:t>
            </w:r>
          </w:p>
        </w:tc>
        <w:tc>
          <w:tcPr>
            <w:tcW w:w="1276" w:type="dxa"/>
            <w:tcBorders>
              <w:top w:val="single" w:sz="4" w:space="0" w:color="000000"/>
              <w:bottom w:val="single" w:sz="4" w:space="0" w:color="000000"/>
            </w:tcBorders>
          </w:tcPr>
          <w:p w14:paraId="46A4BA67"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196</w:t>
            </w:r>
          </w:p>
        </w:tc>
      </w:tr>
      <w:tr w:rsidR="00AC6F3C" w14:paraId="3EB2DCF9" w14:textId="77777777">
        <w:trPr>
          <w:trHeight w:val="527"/>
        </w:trPr>
        <w:tc>
          <w:tcPr>
            <w:tcW w:w="1411" w:type="dxa"/>
            <w:vMerge/>
            <w:tcBorders>
              <w:top w:val="nil"/>
              <w:bottom w:val="single" w:sz="4" w:space="0" w:color="000000"/>
            </w:tcBorders>
          </w:tcPr>
          <w:p w14:paraId="044828B8" w14:textId="77777777" w:rsidR="00AC6F3C" w:rsidRDefault="00AC6F3C">
            <w:pPr>
              <w:rPr>
                <w:sz w:val="2"/>
                <w:szCs w:val="2"/>
              </w:rPr>
            </w:pPr>
          </w:p>
        </w:tc>
        <w:tc>
          <w:tcPr>
            <w:tcW w:w="814" w:type="dxa"/>
            <w:tcBorders>
              <w:top w:val="single" w:sz="4" w:space="0" w:color="000000"/>
              <w:bottom w:val="single" w:sz="4" w:space="0" w:color="000000"/>
            </w:tcBorders>
          </w:tcPr>
          <w:p w14:paraId="5F4EC613" w14:textId="77777777" w:rsidR="00AC6F3C" w:rsidRDefault="00570E88">
            <w:pPr>
              <w:pStyle w:val="TableParagraph"/>
              <w:spacing w:before="56"/>
              <w:ind w:left="108"/>
              <w:rPr>
                <w:b/>
                <w:sz w:val="18"/>
              </w:rPr>
            </w:pPr>
            <w:r>
              <w:rPr>
                <w:b/>
                <w:spacing w:val="-5"/>
                <w:sz w:val="18"/>
              </w:rPr>
              <w:t>E4.</w:t>
            </w:r>
          </w:p>
        </w:tc>
        <w:tc>
          <w:tcPr>
            <w:tcW w:w="5553" w:type="dxa"/>
            <w:tcBorders>
              <w:top w:val="single" w:sz="4" w:space="0" w:color="000000"/>
              <w:bottom w:val="single" w:sz="4" w:space="0" w:color="000000"/>
            </w:tcBorders>
          </w:tcPr>
          <w:p w14:paraId="6C11BFAF" w14:textId="77777777" w:rsidR="00AC6F3C" w:rsidRDefault="00570E88">
            <w:pPr>
              <w:pStyle w:val="TableParagraph"/>
              <w:spacing w:before="56"/>
              <w:ind w:left="426"/>
              <w:rPr>
                <w:b/>
                <w:sz w:val="18"/>
              </w:rPr>
            </w:pPr>
            <w:r>
              <w:rPr>
                <w:b/>
                <w:sz w:val="18"/>
              </w:rPr>
              <w:t>First</w:t>
            </w:r>
            <w:r>
              <w:rPr>
                <w:b/>
                <w:spacing w:val="-6"/>
                <w:sz w:val="18"/>
              </w:rPr>
              <w:t xml:space="preserve"> </w:t>
            </w:r>
            <w:r>
              <w:rPr>
                <w:b/>
                <w:sz w:val="18"/>
              </w:rPr>
              <w:t>Year</w:t>
            </w:r>
            <w:r>
              <w:rPr>
                <w:b/>
                <w:spacing w:val="-6"/>
                <w:sz w:val="18"/>
              </w:rPr>
              <w:t xml:space="preserve"> </w:t>
            </w:r>
            <w:r>
              <w:rPr>
                <w:b/>
                <w:sz w:val="18"/>
              </w:rPr>
              <w:t>Application</w:t>
            </w:r>
            <w:r>
              <w:rPr>
                <w:b/>
                <w:spacing w:val="-6"/>
                <w:sz w:val="18"/>
              </w:rPr>
              <w:t xml:space="preserve"> </w:t>
            </w:r>
            <w:r>
              <w:rPr>
                <w:b/>
                <w:sz w:val="18"/>
              </w:rPr>
              <w:t>of</w:t>
            </w:r>
            <w:r>
              <w:rPr>
                <w:b/>
                <w:spacing w:val="-6"/>
                <w:sz w:val="18"/>
              </w:rPr>
              <w:t xml:space="preserve"> </w:t>
            </w:r>
            <w:r>
              <w:rPr>
                <w:b/>
                <w:sz w:val="18"/>
              </w:rPr>
              <w:t>New</w:t>
            </w:r>
            <w:r>
              <w:rPr>
                <w:b/>
                <w:spacing w:val="-5"/>
                <w:sz w:val="18"/>
              </w:rPr>
              <w:t xml:space="preserve"> </w:t>
            </w:r>
            <w:r>
              <w:rPr>
                <w:b/>
                <w:sz w:val="18"/>
              </w:rPr>
              <w:t>Accounting</w:t>
            </w:r>
            <w:r>
              <w:rPr>
                <w:b/>
                <w:spacing w:val="-6"/>
                <w:sz w:val="18"/>
              </w:rPr>
              <w:t xml:space="preserve"> </w:t>
            </w:r>
            <w:r>
              <w:rPr>
                <w:b/>
                <w:sz w:val="18"/>
              </w:rPr>
              <w:t>Standards</w:t>
            </w:r>
            <w:r>
              <w:rPr>
                <w:b/>
                <w:spacing w:val="-5"/>
                <w:sz w:val="18"/>
              </w:rPr>
              <w:t xml:space="preserve"> </w:t>
            </w:r>
            <w:r>
              <w:rPr>
                <w:b/>
                <w:sz w:val="18"/>
              </w:rPr>
              <w:t>or Change in Accounting Policy</w:t>
            </w:r>
          </w:p>
        </w:tc>
        <w:tc>
          <w:tcPr>
            <w:tcW w:w="1276" w:type="dxa"/>
            <w:tcBorders>
              <w:top w:val="single" w:sz="4" w:space="0" w:color="000000"/>
              <w:bottom w:val="single" w:sz="4" w:space="0" w:color="000000"/>
            </w:tcBorders>
          </w:tcPr>
          <w:p w14:paraId="7FF39548" w14:textId="77777777" w:rsidR="00AC6F3C" w:rsidRDefault="00570E88">
            <w:pPr>
              <w:pStyle w:val="TableParagraph"/>
              <w:spacing w:before="56"/>
              <w:ind w:right="82"/>
              <w:jc w:val="right"/>
              <w:rPr>
                <w:b/>
                <w:sz w:val="18"/>
              </w:rPr>
            </w:pPr>
            <w:r>
              <w:rPr>
                <w:b/>
                <w:spacing w:val="-4"/>
                <w:sz w:val="18"/>
              </w:rPr>
              <w:t>Page</w:t>
            </w:r>
            <w:r>
              <w:rPr>
                <w:b/>
                <w:spacing w:val="-3"/>
                <w:sz w:val="18"/>
              </w:rPr>
              <w:t xml:space="preserve"> </w:t>
            </w:r>
            <w:r>
              <w:rPr>
                <w:b/>
                <w:spacing w:val="-5"/>
                <w:sz w:val="18"/>
              </w:rPr>
              <w:t>196</w:t>
            </w:r>
          </w:p>
        </w:tc>
      </w:tr>
      <w:tr w:rsidR="00AC6F3C" w14:paraId="114901E8" w14:textId="77777777">
        <w:trPr>
          <w:trHeight w:val="321"/>
        </w:trPr>
        <w:tc>
          <w:tcPr>
            <w:tcW w:w="1411" w:type="dxa"/>
          </w:tcPr>
          <w:p w14:paraId="6ED412FF" w14:textId="77777777" w:rsidR="00AC6F3C" w:rsidRDefault="00570E88">
            <w:pPr>
              <w:pStyle w:val="TableParagraph"/>
              <w:spacing w:before="51"/>
              <w:ind w:left="136"/>
              <w:rPr>
                <w:b/>
                <w:sz w:val="18"/>
              </w:rPr>
            </w:pPr>
            <w:r>
              <w:rPr>
                <w:b/>
                <w:spacing w:val="-2"/>
                <w:sz w:val="18"/>
              </w:rPr>
              <w:t>Certification</w:t>
            </w:r>
          </w:p>
        </w:tc>
        <w:tc>
          <w:tcPr>
            <w:tcW w:w="6367" w:type="dxa"/>
            <w:gridSpan w:val="2"/>
            <w:tcBorders>
              <w:bottom w:val="single" w:sz="4" w:space="0" w:color="000000"/>
            </w:tcBorders>
          </w:tcPr>
          <w:p w14:paraId="58E9B8F8" w14:textId="77777777" w:rsidR="00AC6F3C" w:rsidRDefault="00570E88">
            <w:pPr>
              <w:pStyle w:val="TableParagraph"/>
              <w:spacing w:before="51"/>
              <w:ind w:left="108"/>
              <w:rPr>
                <w:b/>
                <w:sz w:val="18"/>
              </w:rPr>
            </w:pPr>
            <w:r>
              <w:rPr>
                <w:b/>
                <w:spacing w:val="-4"/>
                <w:sz w:val="18"/>
              </w:rPr>
              <w:t>Directors’</w:t>
            </w:r>
            <w:r>
              <w:rPr>
                <w:b/>
                <w:spacing w:val="4"/>
                <w:sz w:val="18"/>
              </w:rPr>
              <w:t xml:space="preserve"> </w:t>
            </w:r>
            <w:r>
              <w:rPr>
                <w:b/>
                <w:spacing w:val="-2"/>
                <w:sz w:val="18"/>
              </w:rPr>
              <w:t>Declaration</w:t>
            </w:r>
          </w:p>
        </w:tc>
        <w:tc>
          <w:tcPr>
            <w:tcW w:w="1276" w:type="dxa"/>
            <w:tcBorders>
              <w:bottom w:val="single" w:sz="4" w:space="0" w:color="000000"/>
            </w:tcBorders>
          </w:tcPr>
          <w:p w14:paraId="1969F782" w14:textId="77777777" w:rsidR="00AC6F3C" w:rsidRDefault="00570E88">
            <w:pPr>
              <w:pStyle w:val="TableParagraph"/>
              <w:spacing w:before="51"/>
              <w:ind w:right="89"/>
              <w:jc w:val="right"/>
              <w:rPr>
                <w:b/>
                <w:sz w:val="18"/>
              </w:rPr>
            </w:pPr>
            <w:r>
              <w:rPr>
                <w:b/>
                <w:spacing w:val="-4"/>
                <w:sz w:val="18"/>
              </w:rPr>
              <w:t>Page</w:t>
            </w:r>
            <w:r>
              <w:rPr>
                <w:b/>
                <w:spacing w:val="-3"/>
                <w:sz w:val="18"/>
              </w:rPr>
              <w:t xml:space="preserve"> </w:t>
            </w:r>
            <w:r>
              <w:rPr>
                <w:b/>
                <w:spacing w:val="-5"/>
                <w:sz w:val="18"/>
              </w:rPr>
              <w:t>197</w:t>
            </w:r>
          </w:p>
        </w:tc>
      </w:tr>
      <w:tr w:rsidR="00AC6F3C" w14:paraId="605242D6" w14:textId="77777777">
        <w:trPr>
          <w:trHeight w:val="321"/>
        </w:trPr>
        <w:tc>
          <w:tcPr>
            <w:tcW w:w="1411" w:type="dxa"/>
            <w:tcBorders>
              <w:bottom w:val="single" w:sz="4" w:space="0" w:color="000000"/>
            </w:tcBorders>
          </w:tcPr>
          <w:p w14:paraId="38DAE64A" w14:textId="77777777" w:rsidR="00AC6F3C" w:rsidRDefault="00AC6F3C">
            <w:pPr>
              <w:pStyle w:val="TableParagraph"/>
              <w:rPr>
                <w:rFonts w:ascii="Times New Roman"/>
                <w:sz w:val="18"/>
              </w:rPr>
            </w:pPr>
          </w:p>
        </w:tc>
        <w:tc>
          <w:tcPr>
            <w:tcW w:w="6367" w:type="dxa"/>
            <w:gridSpan w:val="2"/>
            <w:tcBorders>
              <w:top w:val="single" w:sz="4" w:space="0" w:color="000000"/>
              <w:bottom w:val="single" w:sz="4" w:space="0" w:color="000000"/>
            </w:tcBorders>
          </w:tcPr>
          <w:p w14:paraId="40C189E3" w14:textId="77777777" w:rsidR="00AC6F3C" w:rsidRDefault="00570E88">
            <w:pPr>
              <w:pStyle w:val="TableParagraph"/>
              <w:spacing w:before="56"/>
              <w:ind w:left="108"/>
              <w:rPr>
                <w:b/>
                <w:sz w:val="18"/>
              </w:rPr>
            </w:pPr>
            <w:r>
              <w:rPr>
                <w:b/>
                <w:spacing w:val="-4"/>
                <w:sz w:val="18"/>
              </w:rPr>
              <w:t>Independent</w:t>
            </w:r>
            <w:r>
              <w:rPr>
                <w:b/>
                <w:spacing w:val="5"/>
                <w:sz w:val="18"/>
              </w:rPr>
              <w:t xml:space="preserve"> </w:t>
            </w:r>
            <w:r>
              <w:rPr>
                <w:b/>
                <w:spacing w:val="-4"/>
                <w:sz w:val="18"/>
              </w:rPr>
              <w:t>Auditor’s</w:t>
            </w:r>
            <w:r>
              <w:rPr>
                <w:b/>
                <w:spacing w:val="3"/>
                <w:sz w:val="18"/>
              </w:rPr>
              <w:t xml:space="preserve"> </w:t>
            </w:r>
            <w:r>
              <w:rPr>
                <w:b/>
                <w:spacing w:val="-4"/>
                <w:sz w:val="18"/>
              </w:rPr>
              <w:t>Report</w:t>
            </w:r>
          </w:p>
        </w:tc>
        <w:tc>
          <w:tcPr>
            <w:tcW w:w="1276" w:type="dxa"/>
            <w:tcBorders>
              <w:top w:val="single" w:sz="4" w:space="0" w:color="000000"/>
              <w:bottom w:val="single" w:sz="4" w:space="0" w:color="000000"/>
            </w:tcBorders>
          </w:tcPr>
          <w:p w14:paraId="5BD39D9C" w14:textId="77777777" w:rsidR="00AC6F3C" w:rsidRDefault="00570E88">
            <w:pPr>
              <w:pStyle w:val="TableParagraph"/>
              <w:spacing w:before="56"/>
              <w:ind w:right="89"/>
              <w:jc w:val="right"/>
              <w:rPr>
                <w:b/>
                <w:sz w:val="18"/>
              </w:rPr>
            </w:pPr>
            <w:r>
              <w:rPr>
                <w:b/>
                <w:spacing w:val="-4"/>
                <w:sz w:val="18"/>
              </w:rPr>
              <w:t>Page</w:t>
            </w:r>
            <w:r>
              <w:rPr>
                <w:b/>
                <w:spacing w:val="-3"/>
                <w:sz w:val="18"/>
              </w:rPr>
              <w:t xml:space="preserve"> </w:t>
            </w:r>
            <w:r>
              <w:rPr>
                <w:b/>
                <w:spacing w:val="-5"/>
                <w:sz w:val="18"/>
              </w:rPr>
              <w:t>198</w:t>
            </w:r>
          </w:p>
        </w:tc>
      </w:tr>
    </w:tbl>
    <w:p w14:paraId="4EDAEB6D" w14:textId="77777777" w:rsidR="00AC6F3C" w:rsidRDefault="00AC6F3C">
      <w:pPr>
        <w:jc w:val="right"/>
        <w:rPr>
          <w:sz w:val="18"/>
        </w:rPr>
        <w:sectPr w:rsidR="00AC6F3C">
          <w:type w:val="continuous"/>
          <w:pgSz w:w="11910" w:h="16840"/>
          <w:pgMar w:top="1920" w:right="1160" w:bottom="280" w:left="460" w:header="1250" w:footer="336" w:gutter="0"/>
          <w:cols w:space="720"/>
        </w:sectPr>
      </w:pPr>
    </w:p>
    <w:p w14:paraId="3F868CB7" w14:textId="77777777" w:rsidR="00AC6F3C" w:rsidRDefault="00AC6F3C">
      <w:pPr>
        <w:pStyle w:val="BodyText"/>
      </w:pPr>
    </w:p>
    <w:p w14:paraId="27D11356" w14:textId="77777777" w:rsidR="00AC6F3C" w:rsidRDefault="00AC6F3C">
      <w:pPr>
        <w:pStyle w:val="BodyText"/>
        <w:spacing w:before="7"/>
        <w:rPr>
          <w:sz w:val="21"/>
        </w:rPr>
      </w:pPr>
    </w:p>
    <w:p w14:paraId="1ADF8F54" w14:textId="77777777" w:rsidR="00AC6F3C" w:rsidRDefault="00570E88">
      <w:pPr>
        <w:ind w:left="979" w:right="234"/>
        <w:rPr>
          <w:sz w:val="18"/>
        </w:rPr>
      </w:pPr>
      <w:r>
        <w:rPr>
          <w:sz w:val="18"/>
        </w:rPr>
        <w:t>The</w:t>
      </w:r>
      <w:r>
        <w:rPr>
          <w:spacing w:val="-1"/>
          <w:sz w:val="18"/>
        </w:rPr>
        <w:t xml:space="preserve"> </w:t>
      </w:r>
      <w:r>
        <w:rPr>
          <w:sz w:val="18"/>
        </w:rPr>
        <w:t>directors</w:t>
      </w:r>
      <w:r>
        <w:rPr>
          <w:spacing w:val="-3"/>
          <w:sz w:val="18"/>
        </w:rPr>
        <w:t xml:space="preserve"> </w:t>
      </w:r>
      <w:r>
        <w:rPr>
          <w:sz w:val="18"/>
        </w:rPr>
        <w:t>present</w:t>
      </w:r>
      <w:r>
        <w:rPr>
          <w:spacing w:val="-4"/>
          <w:sz w:val="18"/>
        </w:rPr>
        <w:t xml:space="preserve"> </w:t>
      </w:r>
      <w:r>
        <w:rPr>
          <w:sz w:val="18"/>
        </w:rPr>
        <w:t>their</w:t>
      </w:r>
      <w:r>
        <w:rPr>
          <w:spacing w:val="-2"/>
          <w:sz w:val="18"/>
        </w:rPr>
        <w:t xml:space="preserve"> </w:t>
      </w:r>
      <w:r>
        <w:rPr>
          <w:sz w:val="18"/>
        </w:rPr>
        <w:t>report,</w:t>
      </w:r>
      <w:r>
        <w:rPr>
          <w:spacing w:val="-2"/>
          <w:sz w:val="18"/>
        </w:rPr>
        <w:t xml:space="preserve"> </w:t>
      </w:r>
      <w:r>
        <w:rPr>
          <w:sz w:val="18"/>
        </w:rPr>
        <w:t>together</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financial</w:t>
      </w:r>
      <w:r>
        <w:rPr>
          <w:spacing w:val="-4"/>
          <w:sz w:val="18"/>
        </w:rPr>
        <w:t xml:space="preserve"> </w:t>
      </w:r>
      <w:r>
        <w:rPr>
          <w:sz w:val="18"/>
        </w:rPr>
        <w:t>statements,</w:t>
      </w:r>
      <w:r>
        <w:rPr>
          <w:spacing w:val="-4"/>
          <w:sz w:val="18"/>
        </w:rPr>
        <w:t xml:space="preserve"> </w:t>
      </w:r>
      <w:r>
        <w:rPr>
          <w:sz w:val="18"/>
        </w:rPr>
        <w:t>on</w:t>
      </w:r>
      <w:r>
        <w:rPr>
          <w:spacing w:val="-1"/>
          <w:sz w:val="18"/>
        </w:rPr>
        <w:t xml:space="preserve"> </w:t>
      </w:r>
      <w:r>
        <w:rPr>
          <w:sz w:val="18"/>
        </w:rPr>
        <w:t>QLS</w:t>
      </w:r>
      <w:r>
        <w:rPr>
          <w:spacing w:val="-2"/>
          <w:sz w:val="18"/>
        </w:rPr>
        <w:t xml:space="preserve"> </w:t>
      </w:r>
      <w:r>
        <w:rPr>
          <w:sz w:val="18"/>
        </w:rPr>
        <w:t>Solicitor</w:t>
      </w:r>
      <w:r>
        <w:rPr>
          <w:spacing w:val="-4"/>
          <w:sz w:val="18"/>
        </w:rPr>
        <w:t xml:space="preserve"> </w:t>
      </w:r>
      <w:r>
        <w:rPr>
          <w:sz w:val="18"/>
        </w:rPr>
        <w:t>Support</w:t>
      </w:r>
      <w:r>
        <w:rPr>
          <w:spacing w:val="-2"/>
          <w:sz w:val="18"/>
        </w:rPr>
        <w:t xml:space="preserve"> </w:t>
      </w:r>
      <w:r>
        <w:rPr>
          <w:sz w:val="18"/>
        </w:rPr>
        <w:t>Pty</w:t>
      </w:r>
      <w:r>
        <w:rPr>
          <w:spacing w:val="-3"/>
          <w:sz w:val="18"/>
        </w:rPr>
        <w:t xml:space="preserve"> </w:t>
      </w:r>
      <w:r>
        <w:rPr>
          <w:sz w:val="18"/>
        </w:rPr>
        <w:t>Ltd</w:t>
      </w:r>
      <w:r>
        <w:rPr>
          <w:spacing w:val="-1"/>
          <w:sz w:val="18"/>
        </w:rPr>
        <w:t xml:space="preserve"> </w:t>
      </w:r>
      <w:r>
        <w:rPr>
          <w:sz w:val="18"/>
        </w:rPr>
        <w:t>(QSS) for the year ended 30 June 2023.</w:t>
      </w:r>
    </w:p>
    <w:p w14:paraId="0D8A4F21" w14:textId="77777777" w:rsidR="00AC6F3C" w:rsidRDefault="00AC6F3C">
      <w:pPr>
        <w:pStyle w:val="BodyText"/>
        <w:spacing w:before="6"/>
        <w:rPr>
          <w:sz w:val="21"/>
        </w:rPr>
      </w:pPr>
    </w:p>
    <w:tbl>
      <w:tblPr>
        <w:tblW w:w="0" w:type="auto"/>
        <w:tblInd w:w="958" w:type="dxa"/>
        <w:tblLayout w:type="fixed"/>
        <w:tblCellMar>
          <w:left w:w="0" w:type="dxa"/>
          <w:right w:w="0" w:type="dxa"/>
        </w:tblCellMar>
        <w:tblLook w:val="01E0" w:firstRow="1" w:lastRow="1" w:firstColumn="1" w:lastColumn="1" w:noHBand="0" w:noVBand="0"/>
      </w:tblPr>
      <w:tblGrid>
        <w:gridCol w:w="2193"/>
        <w:gridCol w:w="2356"/>
        <w:gridCol w:w="2155"/>
        <w:gridCol w:w="2380"/>
      </w:tblGrid>
      <w:tr w:rsidR="00AC6F3C" w14:paraId="6504ADA1" w14:textId="77777777">
        <w:trPr>
          <w:trHeight w:val="441"/>
        </w:trPr>
        <w:tc>
          <w:tcPr>
            <w:tcW w:w="2193" w:type="dxa"/>
          </w:tcPr>
          <w:p w14:paraId="0E0A4EA7" w14:textId="77777777" w:rsidR="00AC6F3C" w:rsidRDefault="00570E88">
            <w:pPr>
              <w:pStyle w:val="TableParagraph"/>
              <w:spacing w:line="201" w:lineRule="exact"/>
              <w:ind w:left="28"/>
              <w:rPr>
                <w:b/>
                <w:sz w:val="18"/>
              </w:rPr>
            </w:pPr>
            <w:r>
              <w:rPr>
                <w:b/>
                <w:spacing w:val="-2"/>
                <w:sz w:val="18"/>
              </w:rPr>
              <w:t>Directors</w:t>
            </w:r>
          </w:p>
        </w:tc>
        <w:tc>
          <w:tcPr>
            <w:tcW w:w="6891" w:type="dxa"/>
            <w:gridSpan w:val="3"/>
          </w:tcPr>
          <w:p w14:paraId="3C780FD8" w14:textId="77777777" w:rsidR="00AC6F3C" w:rsidRDefault="00AC6F3C">
            <w:pPr>
              <w:pStyle w:val="TableParagraph"/>
              <w:rPr>
                <w:rFonts w:ascii="Times New Roman"/>
                <w:sz w:val="18"/>
              </w:rPr>
            </w:pPr>
          </w:p>
        </w:tc>
      </w:tr>
      <w:tr w:rsidR="00AC6F3C" w14:paraId="6ACDB2E4" w14:textId="77777777">
        <w:trPr>
          <w:trHeight w:val="844"/>
        </w:trPr>
        <w:tc>
          <w:tcPr>
            <w:tcW w:w="2193" w:type="dxa"/>
            <w:tcBorders>
              <w:bottom w:val="single" w:sz="4" w:space="0" w:color="000000"/>
            </w:tcBorders>
            <w:shd w:val="clear" w:color="auto" w:fill="BEBEBE"/>
          </w:tcPr>
          <w:p w14:paraId="7F85E35C" w14:textId="77777777" w:rsidR="00AC6F3C" w:rsidRDefault="00570E88">
            <w:pPr>
              <w:pStyle w:val="TableParagraph"/>
              <w:spacing w:before="92"/>
              <w:ind w:left="146"/>
              <w:rPr>
                <w:b/>
                <w:sz w:val="18"/>
              </w:rPr>
            </w:pPr>
            <w:r>
              <w:rPr>
                <w:b/>
                <w:spacing w:val="-2"/>
                <w:sz w:val="18"/>
              </w:rPr>
              <w:t>Position</w:t>
            </w:r>
          </w:p>
          <w:p w14:paraId="4E703383" w14:textId="77777777" w:rsidR="00AC6F3C" w:rsidRDefault="00AC6F3C">
            <w:pPr>
              <w:pStyle w:val="TableParagraph"/>
              <w:spacing w:before="9"/>
              <w:rPr>
                <w:sz w:val="18"/>
              </w:rPr>
            </w:pPr>
          </w:p>
          <w:p w14:paraId="4175026E" w14:textId="77777777" w:rsidR="00AC6F3C" w:rsidRDefault="00570E88">
            <w:pPr>
              <w:pStyle w:val="TableParagraph"/>
              <w:ind w:left="146"/>
              <w:rPr>
                <w:sz w:val="18"/>
              </w:rPr>
            </w:pPr>
            <w:r>
              <w:rPr>
                <w:sz w:val="18"/>
              </w:rPr>
              <w:t>Chairperson</w:t>
            </w:r>
            <w:r>
              <w:rPr>
                <w:spacing w:val="-4"/>
                <w:sz w:val="18"/>
              </w:rPr>
              <w:t xml:space="preserve"> </w:t>
            </w:r>
            <w:r>
              <w:rPr>
                <w:sz w:val="18"/>
              </w:rPr>
              <w:t>&amp;</w:t>
            </w:r>
            <w:r>
              <w:rPr>
                <w:spacing w:val="-1"/>
                <w:sz w:val="18"/>
              </w:rPr>
              <w:t xml:space="preserve"> </w:t>
            </w:r>
            <w:r>
              <w:rPr>
                <w:spacing w:val="-2"/>
                <w:sz w:val="18"/>
              </w:rPr>
              <w:t>Director</w:t>
            </w:r>
          </w:p>
        </w:tc>
        <w:tc>
          <w:tcPr>
            <w:tcW w:w="2356" w:type="dxa"/>
            <w:tcBorders>
              <w:bottom w:val="single" w:sz="4" w:space="0" w:color="000000"/>
            </w:tcBorders>
            <w:shd w:val="clear" w:color="auto" w:fill="BEBEBE"/>
          </w:tcPr>
          <w:p w14:paraId="40EB07A2" w14:textId="77777777" w:rsidR="00AC6F3C" w:rsidRDefault="00570E88">
            <w:pPr>
              <w:pStyle w:val="TableParagraph"/>
              <w:spacing w:before="92"/>
              <w:ind w:left="211"/>
              <w:rPr>
                <w:b/>
                <w:sz w:val="18"/>
              </w:rPr>
            </w:pPr>
            <w:r>
              <w:rPr>
                <w:b/>
                <w:spacing w:val="-2"/>
                <w:sz w:val="18"/>
              </w:rPr>
              <w:t>Person</w:t>
            </w:r>
          </w:p>
          <w:p w14:paraId="1390AB3E" w14:textId="77777777" w:rsidR="00AC6F3C" w:rsidRDefault="00AC6F3C">
            <w:pPr>
              <w:pStyle w:val="TableParagraph"/>
              <w:spacing w:before="9"/>
              <w:rPr>
                <w:sz w:val="18"/>
              </w:rPr>
            </w:pPr>
          </w:p>
          <w:p w14:paraId="300637C0" w14:textId="77777777" w:rsidR="00AC6F3C" w:rsidRDefault="00570E88">
            <w:pPr>
              <w:pStyle w:val="TableParagraph"/>
              <w:ind w:left="211"/>
              <w:rPr>
                <w:sz w:val="18"/>
              </w:rPr>
            </w:pPr>
            <w:proofErr w:type="spellStart"/>
            <w:r>
              <w:rPr>
                <w:sz w:val="18"/>
              </w:rPr>
              <w:t>Mr</w:t>
            </w:r>
            <w:proofErr w:type="spellEnd"/>
            <w:r>
              <w:rPr>
                <w:spacing w:val="-1"/>
                <w:sz w:val="18"/>
              </w:rPr>
              <w:t xml:space="preserve"> </w:t>
            </w:r>
            <w:r>
              <w:rPr>
                <w:sz w:val="18"/>
              </w:rPr>
              <w:t xml:space="preserve">Stafford </w:t>
            </w:r>
            <w:r>
              <w:rPr>
                <w:spacing w:val="-2"/>
                <w:sz w:val="18"/>
              </w:rPr>
              <w:t>Shepherd</w:t>
            </w:r>
          </w:p>
        </w:tc>
        <w:tc>
          <w:tcPr>
            <w:tcW w:w="2155" w:type="dxa"/>
            <w:tcBorders>
              <w:bottom w:val="single" w:sz="4" w:space="0" w:color="000000"/>
            </w:tcBorders>
            <w:shd w:val="clear" w:color="auto" w:fill="BEBEBE"/>
          </w:tcPr>
          <w:p w14:paraId="79958C80" w14:textId="77777777" w:rsidR="00AC6F3C" w:rsidRDefault="00570E88">
            <w:pPr>
              <w:pStyle w:val="TableParagraph"/>
              <w:spacing w:before="92"/>
              <w:ind w:left="412" w:right="600"/>
              <w:jc w:val="center"/>
              <w:rPr>
                <w:b/>
                <w:sz w:val="18"/>
              </w:rPr>
            </w:pPr>
            <w:r>
              <w:rPr>
                <w:b/>
                <w:sz w:val="18"/>
              </w:rPr>
              <w:t>Start</w:t>
            </w:r>
            <w:r>
              <w:rPr>
                <w:b/>
                <w:spacing w:val="-2"/>
                <w:sz w:val="18"/>
              </w:rPr>
              <w:t xml:space="preserve"> </w:t>
            </w:r>
            <w:r>
              <w:rPr>
                <w:b/>
                <w:sz w:val="18"/>
              </w:rPr>
              <w:t>of</w:t>
            </w:r>
            <w:r>
              <w:rPr>
                <w:b/>
                <w:spacing w:val="-1"/>
                <w:sz w:val="18"/>
              </w:rPr>
              <w:t xml:space="preserve"> </w:t>
            </w:r>
            <w:r>
              <w:rPr>
                <w:b/>
                <w:spacing w:val="-4"/>
                <w:sz w:val="18"/>
              </w:rPr>
              <w:t>Term</w:t>
            </w:r>
          </w:p>
          <w:p w14:paraId="793BFCD6" w14:textId="77777777" w:rsidR="00AC6F3C" w:rsidRDefault="00AC6F3C">
            <w:pPr>
              <w:pStyle w:val="TableParagraph"/>
              <w:spacing w:before="9"/>
              <w:rPr>
                <w:sz w:val="18"/>
              </w:rPr>
            </w:pPr>
          </w:p>
          <w:p w14:paraId="0D5FA524" w14:textId="77777777" w:rsidR="00AC6F3C" w:rsidRDefault="00570E88">
            <w:pPr>
              <w:pStyle w:val="TableParagraph"/>
              <w:ind w:left="412" w:right="600"/>
              <w:jc w:val="center"/>
              <w:rPr>
                <w:sz w:val="18"/>
              </w:rPr>
            </w:pPr>
            <w:r>
              <w:rPr>
                <w:spacing w:val="-2"/>
                <w:sz w:val="18"/>
              </w:rPr>
              <w:t>10/09/2019</w:t>
            </w:r>
          </w:p>
        </w:tc>
        <w:tc>
          <w:tcPr>
            <w:tcW w:w="2380" w:type="dxa"/>
            <w:tcBorders>
              <w:bottom w:val="single" w:sz="4" w:space="0" w:color="000000"/>
            </w:tcBorders>
            <w:shd w:val="clear" w:color="auto" w:fill="BEBEBE"/>
          </w:tcPr>
          <w:p w14:paraId="294F123F" w14:textId="77777777" w:rsidR="00AC6F3C" w:rsidRDefault="00570E88">
            <w:pPr>
              <w:pStyle w:val="TableParagraph"/>
              <w:spacing w:before="92"/>
              <w:ind w:left="602" w:right="705"/>
              <w:jc w:val="center"/>
              <w:rPr>
                <w:b/>
                <w:sz w:val="18"/>
              </w:rPr>
            </w:pPr>
            <w:r>
              <w:rPr>
                <w:b/>
                <w:sz w:val="18"/>
              </w:rPr>
              <w:t>End</w:t>
            </w:r>
            <w:r>
              <w:rPr>
                <w:b/>
                <w:spacing w:val="-2"/>
                <w:sz w:val="18"/>
              </w:rPr>
              <w:t xml:space="preserve"> </w:t>
            </w:r>
            <w:r>
              <w:rPr>
                <w:b/>
                <w:sz w:val="18"/>
              </w:rPr>
              <w:t xml:space="preserve">of </w:t>
            </w:r>
            <w:r>
              <w:rPr>
                <w:b/>
                <w:spacing w:val="-4"/>
                <w:sz w:val="18"/>
              </w:rPr>
              <w:t>Term</w:t>
            </w:r>
          </w:p>
          <w:p w14:paraId="597BCF41" w14:textId="77777777" w:rsidR="00AC6F3C" w:rsidRDefault="00AC6F3C">
            <w:pPr>
              <w:pStyle w:val="TableParagraph"/>
              <w:spacing w:before="9"/>
              <w:rPr>
                <w:sz w:val="18"/>
              </w:rPr>
            </w:pPr>
          </w:p>
          <w:p w14:paraId="7DCADEAE" w14:textId="77777777" w:rsidR="00AC6F3C" w:rsidRDefault="00570E88">
            <w:pPr>
              <w:pStyle w:val="TableParagraph"/>
              <w:ind w:left="602" w:right="704"/>
              <w:jc w:val="center"/>
              <w:rPr>
                <w:sz w:val="18"/>
              </w:rPr>
            </w:pPr>
            <w:r>
              <w:rPr>
                <w:spacing w:val="-2"/>
                <w:sz w:val="18"/>
              </w:rPr>
              <w:t>Current</w:t>
            </w:r>
          </w:p>
        </w:tc>
      </w:tr>
      <w:tr w:rsidR="00AC6F3C" w14:paraId="18D87CD6" w14:textId="77777777">
        <w:trPr>
          <w:trHeight w:val="445"/>
        </w:trPr>
        <w:tc>
          <w:tcPr>
            <w:tcW w:w="2193" w:type="dxa"/>
            <w:tcBorders>
              <w:top w:val="single" w:sz="4" w:space="0" w:color="000000"/>
              <w:bottom w:val="single" w:sz="4" w:space="0" w:color="000000"/>
            </w:tcBorders>
          </w:tcPr>
          <w:p w14:paraId="7054D46E" w14:textId="77777777" w:rsidR="00AC6F3C" w:rsidRDefault="00570E88">
            <w:pPr>
              <w:pStyle w:val="TableParagraph"/>
              <w:spacing w:before="119"/>
              <w:ind w:left="146"/>
              <w:rPr>
                <w:sz w:val="18"/>
              </w:rPr>
            </w:pPr>
            <w:r>
              <w:rPr>
                <w:spacing w:val="-2"/>
                <w:sz w:val="18"/>
              </w:rPr>
              <w:t>Director</w:t>
            </w:r>
          </w:p>
        </w:tc>
        <w:tc>
          <w:tcPr>
            <w:tcW w:w="2356" w:type="dxa"/>
            <w:tcBorders>
              <w:top w:val="single" w:sz="4" w:space="0" w:color="000000"/>
              <w:bottom w:val="single" w:sz="4" w:space="0" w:color="000000"/>
            </w:tcBorders>
          </w:tcPr>
          <w:p w14:paraId="016666B1" w14:textId="77777777" w:rsidR="00AC6F3C" w:rsidRDefault="00570E88">
            <w:pPr>
              <w:pStyle w:val="TableParagraph"/>
              <w:spacing w:before="119"/>
              <w:ind w:left="211"/>
              <w:rPr>
                <w:sz w:val="18"/>
              </w:rPr>
            </w:pPr>
            <w:proofErr w:type="spellStart"/>
            <w:r>
              <w:rPr>
                <w:sz w:val="18"/>
              </w:rPr>
              <w:t>Mr</w:t>
            </w:r>
            <w:proofErr w:type="spellEnd"/>
            <w:r>
              <w:rPr>
                <w:spacing w:val="-3"/>
                <w:sz w:val="18"/>
              </w:rPr>
              <w:t xml:space="preserve"> </w:t>
            </w:r>
            <w:r>
              <w:rPr>
                <w:sz w:val="18"/>
              </w:rPr>
              <w:t xml:space="preserve">Matthew </w:t>
            </w:r>
            <w:r>
              <w:rPr>
                <w:spacing w:val="-4"/>
                <w:sz w:val="18"/>
              </w:rPr>
              <w:t>Dunn</w:t>
            </w:r>
          </w:p>
        </w:tc>
        <w:tc>
          <w:tcPr>
            <w:tcW w:w="2155" w:type="dxa"/>
            <w:tcBorders>
              <w:top w:val="single" w:sz="4" w:space="0" w:color="000000"/>
              <w:bottom w:val="single" w:sz="4" w:space="0" w:color="000000"/>
            </w:tcBorders>
          </w:tcPr>
          <w:p w14:paraId="507E48FA" w14:textId="77777777" w:rsidR="00AC6F3C" w:rsidRDefault="00570E88">
            <w:pPr>
              <w:pStyle w:val="TableParagraph"/>
              <w:spacing w:before="119"/>
              <w:ind w:left="531"/>
              <w:rPr>
                <w:sz w:val="18"/>
              </w:rPr>
            </w:pPr>
            <w:r>
              <w:rPr>
                <w:spacing w:val="-2"/>
                <w:sz w:val="18"/>
              </w:rPr>
              <w:t>10/09/2019</w:t>
            </w:r>
          </w:p>
        </w:tc>
        <w:tc>
          <w:tcPr>
            <w:tcW w:w="2380" w:type="dxa"/>
            <w:tcBorders>
              <w:top w:val="single" w:sz="4" w:space="0" w:color="000000"/>
              <w:bottom w:val="single" w:sz="4" w:space="0" w:color="000000"/>
            </w:tcBorders>
          </w:tcPr>
          <w:p w14:paraId="17C26CE6" w14:textId="77777777" w:rsidR="00AC6F3C" w:rsidRDefault="00570E88">
            <w:pPr>
              <w:pStyle w:val="TableParagraph"/>
              <w:spacing w:before="119"/>
              <w:ind w:left="836"/>
              <w:rPr>
                <w:sz w:val="18"/>
              </w:rPr>
            </w:pPr>
            <w:r>
              <w:rPr>
                <w:spacing w:val="-2"/>
                <w:sz w:val="18"/>
              </w:rPr>
              <w:t>Current</w:t>
            </w:r>
          </w:p>
        </w:tc>
      </w:tr>
      <w:tr w:rsidR="00AC6F3C" w14:paraId="250E2522" w14:textId="77777777">
        <w:trPr>
          <w:trHeight w:val="445"/>
        </w:trPr>
        <w:tc>
          <w:tcPr>
            <w:tcW w:w="2193" w:type="dxa"/>
            <w:tcBorders>
              <w:top w:val="single" w:sz="4" w:space="0" w:color="000000"/>
              <w:bottom w:val="single" w:sz="4" w:space="0" w:color="000000"/>
            </w:tcBorders>
          </w:tcPr>
          <w:p w14:paraId="4439E9F2" w14:textId="77777777" w:rsidR="00AC6F3C" w:rsidRDefault="00570E88">
            <w:pPr>
              <w:pStyle w:val="TableParagraph"/>
              <w:spacing w:before="119"/>
              <w:ind w:left="146"/>
              <w:rPr>
                <w:sz w:val="18"/>
              </w:rPr>
            </w:pPr>
            <w:r>
              <w:rPr>
                <w:spacing w:val="-2"/>
                <w:sz w:val="18"/>
              </w:rPr>
              <w:t>Director</w:t>
            </w:r>
          </w:p>
        </w:tc>
        <w:tc>
          <w:tcPr>
            <w:tcW w:w="2356" w:type="dxa"/>
            <w:tcBorders>
              <w:top w:val="single" w:sz="4" w:space="0" w:color="000000"/>
              <w:bottom w:val="single" w:sz="4" w:space="0" w:color="000000"/>
            </w:tcBorders>
          </w:tcPr>
          <w:p w14:paraId="7CD0B856" w14:textId="77777777" w:rsidR="00AC6F3C" w:rsidRDefault="00570E88">
            <w:pPr>
              <w:pStyle w:val="TableParagraph"/>
              <w:spacing w:before="119"/>
              <w:ind w:left="211"/>
              <w:rPr>
                <w:sz w:val="18"/>
              </w:rPr>
            </w:pPr>
            <w:proofErr w:type="spellStart"/>
            <w:r>
              <w:rPr>
                <w:sz w:val="18"/>
              </w:rPr>
              <w:t>Ms</w:t>
            </w:r>
            <w:proofErr w:type="spellEnd"/>
            <w:r>
              <w:rPr>
                <w:spacing w:val="1"/>
                <w:sz w:val="18"/>
              </w:rPr>
              <w:t xml:space="preserve"> </w:t>
            </w:r>
            <w:r>
              <w:rPr>
                <w:sz w:val="18"/>
              </w:rPr>
              <w:t>Grace</w:t>
            </w:r>
            <w:r>
              <w:rPr>
                <w:spacing w:val="-2"/>
                <w:sz w:val="18"/>
              </w:rPr>
              <w:t xml:space="preserve"> </w:t>
            </w:r>
            <w:r>
              <w:rPr>
                <w:sz w:val="18"/>
              </w:rPr>
              <w:t>van</w:t>
            </w:r>
            <w:r>
              <w:rPr>
                <w:spacing w:val="1"/>
                <w:sz w:val="18"/>
              </w:rPr>
              <w:t xml:space="preserve"> </w:t>
            </w:r>
            <w:r>
              <w:rPr>
                <w:spacing w:val="-2"/>
                <w:sz w:val="18"/>
              </w:rPr>
              <w:t>Baarle</w:t>
            </w:r>
          </w:p>
        </w:tc>
        <w:tc>
          <w:tcPr>
            <w:tcW w:w="2155" w:type="dxa"/>
            <w:tcBorders>
              <w:top w:val="single" w:sz="4" w:space="0" w:color="000000"/>
              <w:bottom w:val="single" w:sz="4" w:space="0" w:color="000000"/>
            </w:tcBorders>
          </w:tcPr>
          <w:p w14:paraId="6E3CA9C2" w14:textId="77777777" w:rsidR="00AC6F3C" w:rsidRDefault="00570E88">
            <w:pPr>
              <w:pStyle w:val="TableParagraph"/>
              <w:spacing w:before="119"/>
              <w:ind w:left="531"/>
              <w:rPr>
                <w:sz w:val="18"/>
              </w:rPr>
            </w:pPr>
            <w:r>
              <w:rPr>
                <w:spacing w:val="-2"/>
                <w:sz w:val="18"/>
              </w:rPr>
              <w:t>17/06/2021</w:t>
            </w:r>
          </w:p>
        </w:tc>
        <w:tc>
          <w:tcPr>
            <w:tcW w:w="2380" w:type="dxa"/>
            <w:tcBorders>
              <w:top w:val="single" w:sz="4" w:space="0" w:color="000000"/>
              <w:bottom w:val="single" w:sz="4" w:space="0" w:color="000000"/>
            </w:tcBorders>
          </w:tcPr>
          <w:p w14:paraId="284974AF" w14:textId="77777777" w:rsidR="00AC6F3C" w:rsidRDefault="00570E88">
            <w:pPr>
              <w:pStyle w:val="TableParagraph"/>
              <w:spacing w:before="119"/>
              <w:ind w:left="836"/>
              <w:rPr>
                <w:sz w:val="18"/>
              </w:rPr>
            </w:pPr>
            <w:r>
              <w:rPr>
                <w:spacing w:val="-2"/>
                <w:sz w:val="18"/>
              </w:rPr>
              <w:t>Current</w:t>
            </w:r>
          </w:p>
        </w:tc>
      </w:tr>
      <w:tr w:rsidR="00AC6F3C" w14:paraId="2ECB54F8" w14:textId="77777777">
        <w:trPr>
          <w:trHeight w:val="448"/>
        </w:trPr>
        <w:tc>
          <w:tcPr>
            <w:tcW w:w="2193" w:type="dxa"/>
            <w:tcBorders>
              <w:top w:val="single" w:sz="4" w:space="0" w:color="000000"/>
              <w:bottom w:val="single" w:sz="4" w:space="0" w:color="000000"/>
            </w:tcBorders>
          </w:tcPr>
          <w:p w14:paraId="2AB34EBD" w14:textId="77777777" w:rsidR="00AC6F3C" w:rsidRDefault="00570E88">
            <w:pPr>
              <w:pStyle w:val="TableParagraph"/>
              <w:spacing w:before="121"/>
              <w:ind w:left="146"/>
              <w:rPr>
                <w:sz w:val="18"/>
              </w:rPr>
            </w:pPr>
            <w:r>
              <w:rPr>
                <w:spacing w:val="-2"/>
                <w:sz w:val="18"/>
              </w:rPr>
              <w:t>Director</w:t>
            </w:r>
          </w:p>
        </w:tc>
        <w:tc>
          <w:tcPr>
            <w:tcW w:w="2356" w:type="dxa"/>
            <w:tcBorders>
              <w:top w:val="single" w:sz="4" w:space="0" w:color="000000"/>
              <w:bottom w:val="single" w:sz="4" w:space="0" w:color="000000"/>
            </w:tcBorders>
          </w:tcPr>
          <w:p w14:paraId="3BE063C7" w14:textId="77777777" w:rsidR="00AC6F3C" w:rsidRDefault="00570E88">
            <w:pPr>
              <w:pStyle w:val="TableParagraph"/>
              <w:spacing w:before="121"/>
              <w:ind w:left="211"/>
              <w:rPr>
                <w:sz w:val="18"/>
              </w:rPr>
            </w:pPr>
            <w:proofErr w:type="spellStart"/>
            <w:r>
              <w:rPr>
                <w:sz w:val="18"/>
              </w:rPr>
              <w:t>Mr</w:t>
            </w:r>
            <w:proofErr w:type="spellEnd"/>
            <w:r>
              <w:rPr>
                <w:spacing w:val="-2"/>
                <w:sz w:val="18"/>
              </w:rPr>
              <w:t xml:space="preserve"> </w:t>
            </w:r>
            <w:r>
              <w:rPr>
                <w:sz w:val="18"/>
              </w:rPr>
              <w:t>Peter</w:t>
            </w:r>
            <w:r>
              <w:rPr>
                <w:spacing w:val="-2"/>
                <w:sz w:val="18"/>
              </w:rPr>
              <w:t xml:space="preserve"> Gamin</w:t>
            </w:r>
          </w:p>
        </w:tc>
        <w:tc>
          <w:tcPr>
            <w:tcW w:w="2155" w:type="dxa"/>
            <w:tcBorders>
              <w:top w:val="single" w:sz="4" w:space="0" w:color="000000"/>
              <w:bottom w:val="single" w:sz="4" w:space="0" w:color="000000"/>
            </w:tcBorders>
          </w:tcPr>
          <w:p w14:paraId="2A60AF32" w14:textId="77777777" w:rsidR="00AC6F3C" w:rsidRDefault="00570E88">
            <w:pPr>
              <w:pStyle w:val="TableParagraph"/>
              <w:spacing w:before="121"/>
              <w:ind w:left="531"/>
              <w:rPr>
                <w:sz w:val="18"/>
              </w:rPr>
            </w:pPr>
            <w:r>
              <w:rPr>
                <w:spacing w:val="-2"/>
                <w:sz w:val="18"/>
              </w:rPr>
              <w:t>26/08/2021</w:t>
            </w:r>
          </w:p>
        </w:tc>
        <w:tc>
          <w:tcPr>
            <w:tcW w:w="2380" w:type="dxa"/>
            <w:tcBorders>
              <w:top w:val="single" w:sz="4" w:space="0" w:color="000000"/>
              <w:bottom w:val="single" w:sz="4" w:space="0" w:color="000000"/>
            </w:tcBorders>
          </w:tcPr>
          <w:p w14:paraId="5A2DEC33" w14:textId="77777777" w:rsidR="00AC6F3C" w:rsidRDefault="00570E88">
            <w:pPr>
              <w:pStyle w:val="TableParagraph"/>
              <w:spacing w:before="121"/>
              <w:ind w:left="836"/>
              <w:rPr>
                <w:sz w:val="18"/>
              </w:rPr>
            </w:pPr>
            <w:r>
              <w:rPr>
                <w:spacing w:val="-2"/>
                <w:sz w:val="18"/>
              </w:rPr>
              <w:t>Current</w:t>
            </w:r>
          </w:p>
        </w:tc>
      </w:tr>
      <w:tr w:rsidR="00AC6F3C" w14:paraId="5E13ADAF" w14:textId="77777777">
        <w:trPr>
          <w:trHeight w:val="445"/>
        </w:trPr>
        <w:tc>
          <w:tcPr>
            <w:tcW w:w="2193" w:type="dxa"/>
            <w:tcBorders>
              <w:top w:val="single" w:sz="4" w:space="0" w:color="000000"/>
              <w:bottom w:val="single" w:sz="4" w:space="0" w:color="000000"/>
            </w:tcBorders>
          </w:tcPr>
          <w:p w14:paraId="49876BE9" w14:textId="77777777" w:rsidR="00AC6F3C" w:rsidRDefault="00570E88">
            <w:pPr>
              <w:pStyle w:val="TableParagraph"/>
              <w:spacing w:before="119"/>
              <w:ind w:left="146"/>
              <w:rPr>
                <w:sz w:val="18"/>
              </w:rPr>
            </w:pPr>
            <w:r>
              <w:rPr>
                <w:spacing w:val="-2"/>
                <w:sz w:val="18"/>
              </w:rPr>
              <w:t>Director</w:t>
            </w:r>
          </w:p>
        </w:tc>
        <w:tc>
          <w:tcPr>
            <w:tcW w:w="2356" w:type="dxa"/>
            <w:tcBorders>
              <w:top w:val="single" w:sz="4" w:space="0" w:color="000000"/>
              <w:bottom w:val="single" w:sz="4" w:space="0" w:color="000000"/>
            </w:tcBorders>
          </w:tcPr>
          <w:p w14:paraId="6B439DDD" w14:textId="77777777" w:rsidR="00AC6F3C" w:rsidRDefault="00570E88">
            <w:pPr>
              <w:pStyle w:val="TableParagraph"/>
              <w:spacing w:before="119"/>
              <w:ind w:left="211"/>
              <w:rPr>
                <w:sz w:val="18"/>
              </w:rPr>
            </w:pPr>
            <w:proofErr w:type="spellStart"/>
            <w:r>
              <w:rPr>
                <w:sz w:val="18"/>
              </w:rPr>
              <w:t>Mr</w:t>
            </w:r>
            <w:proofErr w:type="spellEnd"/>
            <w:r>
              <w:rPr>
                <w:spacing w:val="-1"/>
                <w:sz w:val="18"/>
              </w:rPr>
              <w:t xml:space="preserve"> </w:t>
            </w:r>
            <w:r>
              <w:rPr>
                <w:sz w:val="18"/>
              </w:rPr>
              <w:t>Mark</w:t>
            </w:r>
            <w:r>
              <w:rPr>
                <w:spacing w:val="1"/>
                <w:sz w:val="18"/>
              </w:rPr>
              <w:t xml:space="preserve"> </w:t>
            </w:r>
            <w:r>
              <w:rPr>
                <w:spacing w:val="-2"/>
                <w:sz w:val="18"/>
              </w:rPr>
              <w:t>Illidge</w:t>
            </w:r>
          </w:p>
        </w:tc>
        <w:tc>
          <w:tcPr>
            <w:tcW w:w="2155" w:type="dxa"/>
            <w:tcBorders>
              <w:top w:val="single" w:sz="4" w:space="0" w:color="000000"/>
              <w:bottom w:val="single" w:sz="4" w:space="0" w:color="000000"/>
            </w:tcBorders>
          </w:tcPr>
          <w:p w14:paraId="1C0C076C" w14:textId="77777777" w:rsidR="00AC6F3C" w:rsidRDefault="00570E88">
            <w:pPr>
              <w:pStyle w:val="TableParagraph"/>
              <w:spacing w:before="119"/>
              <w:ind w:left="531"/>
              <w:rPr>
                <w:sz w:val="18"/>
              </w:rPr>
            </w:pPr>
            <w:r>
              <w:rPr>
                <w:spacing w:val="-2"/>
                <w:sz w:val="18"/>
              </w:rPr>
              <w:t>01/07/2023</w:t>
            </w:r>
          </w:p>
        </w:tc>
        <w:tc>
          <w:tcPr>
            <w:tcW w:w="2380" w:type="dxa"/>
            <w:tcBorders>
              <w:top w:val="single" w:sz="4" w:space="0" w:color="000000"/>
              <w:bottom w:val="single" w:sz="4" w:space="0" w:color="000000"/>
            </w:tcBorders>
          </w:tcPr>
          <w:p w14:paraId="14856F83" w14:textId="77777777" w:rsidR="00AC6F3C" w:rsidRDefault="00570E88">
            <w:pPr>
              <w:pStyle w:val="TableParagraph"/>
              <w:spacing w:before="119"/>
              <w:ind w:left="836"/>
              <w:rPr>
                <w:sz w:val="18"/>
              </w:rPr>
            </w:pPr>
            <w:r>
              <w:rPr>
                <w:spacing w:val="-2"/>
                <w:sz w:val="18"/>
              </w:rPr>
              <w:t>Current</w:t>
            </w:r>
          </w:p>
        </w:tc>
      </w:tr>
      <w:tr w:rsidR="00AC6F3C" w14:paraId="277EA2BA" w14:textId="77777777">
        <w:trPr>
          <w:trHeight w:val="448"/>
        </w:trPr>
        <w:tc>
          <w:tcPr>
            <w:tcW w:w="2193" w:type="dxa"/>
            <w:tcBorders>
              <w:top w:val="single" w:sz="4" w:space="0" w:color="000000"/>
              <w:bottom w:val="single" w:sz="4" w:space="0" w:color="000000"/>
            </w:tcBorders>
          </w:tcPr>
          <w:p w14:paraId="33FAFC26" w14:textId="77777777" w:rsidR="00AC6F3C" w:rsidRDefault="00570E88">
            <w:pPr>
              <w:pStyle w:val="TableParagraph"/>
              <w:spacing w:before="119"/>
              <w:ind w:left="146"/>
              <w:rPr>
                <w:sz w:val="18"/>
              </w:rPr>
            </w:pPr>
            <w:r>
              <w:rPr>
                <w:spacing w:val="-2"/>
                <w:sz w:val="18"/>
              </w:rPr>
              <w:t>Director</w:t>
            </w:r>
          </w:p>
        </w:tc>
        <w:tc>
          <w:tcPr>
            <w:tcW w:w="2356" w:type="dxa"/>
            <w:tcBorders>
              <w:top w:val="single" w:sz="4" w:space="0" w:color="000000"/>
              <w:bottom w:val="single" w:sz="4" w:space="0" w:color="000000"/>
            </w:tcBorders>
          </w:tcPr>
          <w:p w14:paraId="3EA81506" w14:textId="77777777" w:rsidR="00AC6F3C" w:rsidRDefault="00570E88">
            <w:pPr>
              <w:pStyle w:val="TableParagraph"/>
              <w:spacing w:before="119"/>
              <w:ind w:left="211"/>
              <w:rPr>
                <w:sz w:val="18"/>
              </w:rPr>
            </w:pPr>
            <w:proofErr w:type="spellStart"/>
            <w:r>
              <w:rPr>
                <w:sz w:val="18"/>
              </w:rPr>
              <w:t>Ms</w:t>
            </w:r>
            <w:proofErr w:type="spellEnd"/>
            <w:r>
              <w:rPr>
                <w:spacing w:val="-3"/>
                <w:sz w:val="18"/>
              </w:rPr>
              <w:t xml:space="preserve"> </w:t>
            </w:r>
            <w:r>
              <w:rPr>
                <w:sz w:val="18"/>
              </w:rPr>
              <w:t>Judy</w:t>
            </w:r>
            <w:r>
              <w:rPr>
                <w:spacing w:val="1"/>
                <w:sz w:val="18"/>
              </w:rPr>
              <w:t xml:space="preserve"> </w:t>
            </w:r>
            <w:r>
              <w:rPr>
                <w:spacing w:val="-2"/>
                <w:sz w:val="18"/>
              </w:rPr>
              <w:t>Hayward</w:t>
            </w:r>
          </w:p>
        </w:tc>
        <w:tc>
          <w:tcPr>
            <w:tcW w:w="2155" w:type="dxa"/>
            <w:tcBorders>
              <w:top w:val="single" w:sz="4" w:space="0" w:color="000000"/>
              <w:bottom w:val="single" w:sz="4" w:space="0" w:color="000000"/>
            </w:tcBorders>
          </w:tcPr>
          <w:p w14:paraId="513B4B24" w14:textId="77777777" w:rsidR="00AC6F3C" w:rsidRDefault="00570E88">
            <w:pPr>
              <w:pStyle w:val="TableParagraph"/>
              <w:spacing w:before="119"/>
              <w:ind w:left="531"/>
              <w:rPr>
                <w:sz w:val="18"/>
              </w:rPr>
            </w:pPr>
            <w:r>
              <w:rPr>
                <w:spacing w:val="-2"/>
                <w:sz w:val="18"/>
              </w:rPr>
              <w:t>01/07/2023</w:t>
            </w:r>
          </w:p>
        </w:tc>
        <w:tc>
          <w:tcPr>
            <w:tcW w:w="2380" w:type="dxa"/>
            <w:tcBorders>
              <w:top w:val="single" w:sz="4" w:space="0" w:color="000000"/>
              <w:bottom w:val="single" w:sz="4" w:space="0" w:color="000000"/>
            </w:tcBorders>
          </w:tcPr>
          <w:p w14:paraId="6ABE7440" w14:textId="77777777" w:rsidR="00AC6F3C" w:rsidRDefault="00570E88">
            <w:pPr>
              <w:pStyle w:val="TableParagraph"/>
              <w:spacing w:before="119"/>
              <w:ind w:left="836"/>
              <w:rPr>
                <w:sz w:val="18"/>
              </w:rPr>
            </w:pPr>
            <w:r>
              <w:rPr>
                <w:spacing w:val="-2"/>
                <w:sz w:val="18"/>
              </w:rPr>
              <w:t>Current</w:t>
            </w:r>
          </w:p>
        </w:tc>
      </w:tr>
    </w:tbl>
    <w:p w14:paraId="40358D7E" w14:textId="77777777" w:rsidR="00AC6F3C" w:rsidRDefault="00AC6F3C">
      <w:pPr>
        <w:pStyle w:val="BodyText"/>
        <w:spacing w:before="1"/>
        <w:rPr>
          <w:sz w:val="21"/>
        </w:rPr>
      </w:pPr>
    </w:p>
    <w:p w14:paraId="6181DF08" w14:textId="77777777" w:rsidR="00AC6F3C" w:rsidRDefault="00570E88">
      <w:pPr>
        <w:ind w:left="979"/>
        <w:rPr>
          <w:b/>
          <w:sz w:val="18"/>
        </w:rPr>
      </w:pPr>
      <w:r>
        <w:rPr>
          <w:b/>
          <w:sz w:val="18"/>
        </w:rPr>
        <w:t>Principal</w:t>
      </w:r>
      <w:r>
        <w:rPr>
          <w:b/>
          <w:spacing w:val="-4"/>
          <w:sz w:val="18"/>
        </w:rPr>
        <w:t xml:space="preserve"> </w:t>
      </w:r>
      <w:r>
        <w:rPr>
          <w:b/>
          <w:spacing w:val="-2"/>
          <w:sz w:val="18"/>
        </w:rPr>
        <w:t>activities</w:t>
      </w:r>
    </w:p>
    <w:p w14:paraId="4E5621F4" w14:textId="77777777" w:rsidR="00AC6F3C" w:rsidRDefault="00AC6F3C">
      <w:pPr>
        <w:pStyle w:val="BodyText"/>
        <w:spacing w:before="9"/>
        <w:rPr>
          <w:b/>
        </w:rPr>
      </w:pPr>
    </w:p>
    <w:p w14:paraId="596164A2" w14:textId="77777777" w:rsidR="00AC6F3C" w:rsidRDefault="00570E88">
      <w:pPr>
        <w:spacing w:before="1"/>
        <w:ind w:left="979" w:right="468"/>
        <w:rPr>
          <w:sz w:val="18"/>
        </w:rPr>
      </w:pPr>
      <w:r>
        <w:rPr>
          <w:sz w:val="18"/>
        </w:rPr>
        <w:t>QSS</w:t>
      </w:r>
      <w:r>
        <w:rPr>
          <w:spacing w:val="-2"/>
          <w:sz w:val="18"/>
        </w:rPr>
        <w:t xml:space="preserve"> </w:t>
      </w:r>
      <w:r>
        <w:rPr>
          <w:sz w:val="18"/>
        </w:rPr>
        <w:t>provides</w:t>
      </w:r>
      <w:r>
        <w:rPr>
          <w:spacing w:val="-3"/>
          <w:sz w:val="18"/>
        </w:rPr>
        <w:t xml:space="preserve"> </w:t>
      </w:r>
      <w:r>
        <w:rPr>
          <w:sz w:val="18"/>
        </w:rPr>
        <w:t>full</w:t>
      </w:r>
      <w:r>
        <w:rPr>
          <w:spacing w:val="-1"/>
          <w:sz w:val="18"/>
        </w:rPr>
        <w:t xml:space="preserve"> </w:t>
      </w:r>
      <w:r>
        <w:rPr>
          <w:sz w:val="18"/>
        </w:rPr>
        <w:t>members</w:t>
      </w:r>
      <w:r>
        <w:rPr>
          <w:spacing w:val="-3"/>
          <w:sz w:val="18"/>
        </w:rPr>
        <w:t xml:space="preserve"> </w:t>
      </w:r>
      <w:r>
        <w:rPr>
          <w:sz w:val="18"/>
        </w:rPr>
        <w:t>of</w:t>
      </w:r>
      <w:r>
        <w:rPr>
          <w:spacing w:val="-4"/>
          <w:sz w:val="18"/>
        </w:rPr>
        <w:t xml:space="preserve"> </w:t>
      </w:r>
      <w:r>
        <w:rPr>
          <w:sz w:val="18"/>
        </w:rPr>
        <w:t>the</w:t>
      </w:r>
      <w:r>
        <w:rPr>
          <w:spacing w:val="-1"/>
          <w:sz w:val="18"/>
        </w:rPr>
        <w:t xml:space="preserve"> </w:t>
      </w:r>
      <w:r>
        <w:rPr>
          <w:sz w:val="18"/>
        </w:rPr>
        <w:t>Queensland</w:t>
      </w:r>
      <w:r>
        <w:rPr>
          <w:spacing w:val="-4"/>
          <w:sz w:val="18"/>
        </w:rPr>
        <w:t xml:space="preserve"> </w:t>
      </w:r>
      <w:r>
        <w:rPr>
          <w:sz w:val="18"/>
        </w:rPr>
        <w:t>Law</w:t>
      </w:r>
      <w:r>
        <w:rPr>
          <w:spacing w:val="-2"/>
          <w:sz w:val="18"/>
        </w:rPr>
        <w:t xml:space="preserve"> </w:t>
      </w:r>
      <w:r>
        <w:rPr>
          <w:sz w:val="18"/>
        </w:rPr>
        <w:t>Society</w:t>
      </w:r>
      <w:r>
        <w:rPr>
          <w:spacing w:val="-1"/>
          <w:sz w:val="18"/>
        </w:rPr>
        <w:t xml:space="preserve"> </w:t>
      </w:r>
      <w:r>
        <w:rPr>
          <w:sz w:val="18"/>
        </w:rPr>
        <w:t>(QLS)</w:t>
      </w:r>
      <w:r>
        <w:rPr>
          <w:spacing w:val="-2"/>
          <w:sz w:val="18"/>
        </w:rPr>
        <w:t xml:space="preserve"> </w:t>
      </w:r>
      <w:r>
        <w:rPr>
          <w:sz w:val="18"/>
        </w:rPr>
        <w:t>with</w:t>
      </w:r>
      <w:r>
        <w:rPr>
          <w:spacing w:val="-1"/>
          <w:sz w:val="18"/>
        </w:rPr>
        <w:t xml:space="preserve"> </w:t>
      </w:r>
      <w:r>
        <w:rPr>
          <w:sz w:val="18"/>
        </w:rPr>
        <w:t>practice</w:t>
      </w:r>
      <w:r>
        <w:rPr>
          <w:spacing w:val="-4"/>
          <w:sz w:val="18"/>
        </w:rPr>
        <w:t xml:space="preserve"> </w:t>
      </w:r>
      <w:r>
        <w:rPr>
          <w:sz w:val="18"/>
        </w:rPr>
        <w:t>and</w:t>
      </w:r>
      <w:r>
        <w:rPr>
          <w:spacing w:val="-4"/>
          <w:sz w:val="18"/>
        </w:rPr>
        <w:t xml:space="preserve"> </w:t>
      </w:r>
      <w:r>
        <w:rPr>
          <w:sz w:val="18"/>
        </w:rPr>
        <w:t>ethical</w:t>
      </w:r>
      <w:r>
        <w:rPr>
          <w:spacing w:val="-4"/>
          <w:sz w:val="18"/>
        </w:rPr>
        <w:t xml:space="preserve"> </w:t>
      </w:r>
      <w:r>
        <w:rPr>
          <w:sz w:val="18"/>
        </w:rPr>
        <w:t>guidance,</w:t>
      </w:r>
      <w:r>
        <w:rPr>
          <w:spacing w:val="-2"/>
          <w:sz w:val="18"/>
        </w:rPr>
        <w:t xml:space="preserve"> </w:t>
      </w:r>
      <w:r>
        <w:rPr>
          <w:sz w:val="18"/>
        </w:rPr>
        <w:t>support and counsel.</w:t>
      </w:r>
      <w:r>
        <w:rPr>
          <w:spacing w:val="40"/>
          <w:sz w:val="18"/>
        </w:rPr>
        <w:t xml:space="preserve"> </w:t>
      </w:r>
      <w:r>
        <w:rPr>
          <w:sz w:val="18"/>
        </w:rPr>
        <w:t xml:space="preserve">QSS does not give guidance or counsel on issues relating to entitlement to practice, </w:t>
      </w:r>
      <w:proofErr w:type="spellStart"/>
      <w:r>
        <w:rPr>
          <w:sz w:val="18"/>
        </w:rPr>
        <w:t>practising</w:t>
      </w:r>
      <w:proofErr w:type="spellEnd"/>
      <w:r>
        <w:rPr>
          <w:sz w:val="18"/>
        </w:rPr>
        <w:t xml:space="preserve"> certificates or the conditions which may be imposed on </w:t>
      </w:r>
      <w:proofErr w:type="spellStart"/>
      <w:r>
        <w:rPr>
          <w:sz w:val="18"/>
        </w:rPr>
        <w:t>practising</w:t>
      </w:r>
      <w:proofErr w:type="spellEnd"/>
      <w:r>
        <w:rPr>
          <w:sz w:val="18"/>
        </w:rPr>
        <w:t xml:space="preserve"> certificates.</w:t>
      </w:r>
    </w:p>
    <w:p w14:paraId="085E7046" w14:textId="77777777" w:rsidR="00AC6F3C" w:rsidRDefault="00AC6F3C">
      <w:pPr>
        <w:pStyle w:val="BodyText"/>
        <w:spacing w:before="10"/>
      </w:pPr>
    </w:p>
    <w:p w14:paraId="2A05E39B" w14:textId="77777777" w:rsidR="00AC6F3C" w:rsidRDefault="00570E88">
      <w:pPr>
        <w:spacing w:line="207" w:lineRule="exact"/>
        <w:ind w:left="979"/>
        <w:rPr>
          <w:sz w:val="18"/>
        </w:rPr>
      </w:pPr>
      <w:r>
        <w:rPr>
          <w:sz w:val="18"/>
        </w:rPr>
        <w:t>QSS</w:t>
      </w:r>
      <w:r>
        <w:rPr>
          <w:spacing w:val="-2"/>
          <w:sz w:val="18"/>
        </w:rPr>
        <w:t xml:space="preserve"> </w:t>
      </w:r>
      <w:r>
        <w:rPr>
          <w:sz w:val="18"/>
        </w:rPr>
        <w:t>provides</w:t>
      </w:r>
      <w:r>
        <w:rPr>
          <w:spacing w:val="-3"/>
          <w:sz w:val="18"/>
        </w:rPr>
        <w:t xml:space="preserve"> </w:t>
      </w:r>
      <w:r>
        <w:rPr>
          <w:sz w:val="18"/>
        </w:rPr>
        <w:t>guidance</w:t>
      </w:r>
      <w:r>
        <w:rPr>
          <w:spacing w:val="-1"/>
          <w:sz w:val="18"/>
        </w:rPr>
        <w:t xml:space="preserve"> </w:t>
      </w:r>
      <w:r>
        <w:rPr>
          <w:spacing w:val="-5"/>
          <w:sz w:val="18"/>
        </w:rPr>
        <w:t>on:</w:t>
      </w:r>
    </w:p>
    <w:p w14:paraId="3EF9714C" w14:textId="77777777" w:rsidR="00AC6F3C" w:rsidRDefault="00570E88">
      <w:pPr>
        <w:pStyle w:val="ListParagraph"/>
        <w:numPr>
          <w:ilvl w:val="0"/>
          <w:numId w:val="12"/>
        </w:numPr>
        <w:tabs>
          <w:tab w:val="left" w:pos="1699"/>
        </w:tabs>
        <w:spacing w:before="0" w:line="219" w:lineRule="exact"/>
        <w:rPr>
          <w:sz w:val="18"/>
        </w:rPr>
      </w:pPr>
      <w:r>
        <w:rPr>
          <w:i/>
          <w:sz w:val="18"/>
        </w:rPr>
        <w:t>Australian</w:t>
      </w:r>
      <w:r>
        <w:rPr>
          <w:i/>
          <w:spacing w:val="-5"/>
          <w:sz w:val="18"/>
        </w:rPr>
        <w:t xml:space="preserve"> </w:t>
      </w:r>
      <w:r>
        <w:rPr>
          <w:i/>
          <w:sz w:val="18"/>
        </w:rPr>
        <w:t>Solicitors</w:t>
      </w:r>
      <w:r>
        <w:rPr>
          <w:i/>
          <w:spacing w:val="-3"/>
          <w:sz w:val="18"/>
        </w:rPr>
        <w:t xml:space="preserve"> </w:t>
      </w:r>
      <w:r>
        <w:rPr>
          <w:i/>
          <w:sz w:val="18"/>
        </w:rPr>
        <w:t>Conduct</w:t>
      </w:r>
      <w:r>
        <w:rPr>
          <w:i/>
          <w:spacing w:val="-4"/>
          <w:sz w:val="18"/>
        </w:rPr>
        <w:t xml:space="preserve"> </w:t>
      </w:r>
      <w:r>
        <w:rPr>
          <w:i/>
          <w:sz w:val="18"/>
        </w:rPr>
        <w:t>Roles</w:t>
      </w:r>
      <w:r>
        <w:rPr>
          <w:i/>
          <w:spacing w:val="-3"/>
          <w:sz w:val="18"/>
        </w:rPr>
        <w:t xml:space="preserve"> </w:t>
      </w:r>
      <w:r>
        <w:rPr>
          <w:i/>
          <w:sz w:val="18"/>
        </w:rPr>
        <w:t>2012</w:t>
      </w:r>
      <w:r>
        <w:rPr>
          <w:i/>
          <w:spacing w:val="-2"/>
          <w:sz w:val="18"/>
        </w:rPr>
        <w:t xml:space="preserve"> </w:t>
      </w:r>
      <w:r>
        <w:rPr>
          <w:spacing w:val="-2"/>
          <w:sz w:val="18"/>
        </w:rPr>
        <w:t>(Qld)</w:t>
      </w:r>
    </w:p>
    <w:p w14:paraId="027C4F19" w14:textId="77777777" w:rsidR="00AC6F3C" w:rsidRDefault="00570E88">
      <w:pPr>
        <w:pStyle w:val="ListParagraph"/>
        <w:numPr>
          <w:ilvl w:val="0"/>
          <w:numId w:val="12"/>
        </w:numPr>
        <w:tabs>
          <w:tab w:val="left" w:pos="1699"/>
        </w:tabs>
        <w:spacing w:before="0" w:line="219" w:lineRule="exact"/>
        <w:rPr>
          <w:sz w:val="18"/>
        </w:rPr>
      </w:pPr>
      <w:r>
        <w:rPr>
          <w:sz w:val="18"/>
        </w:rPr>
        <w:t>practice</w:t>
      </w:r>
      <w:r>
        <w:rPr>
          <w:spacing w:val="-2"/>
          <w:sz w:val="18"/>
        </w:rPr>
        <w:t xml:space="preserve"> management</w:t>
      </w:r>
    </w:p>
    <w:p w14:paraId="75F3276E" w14:textId="77777777" w:rsidR="00AC6F3C" w:rsidRDefault="00570E88">
      <w:pPr>
        <w:pStyle w:val="ListParagraph"/>
        <w:numPr>
          <w:ilvl w:val="0"/>
          <w:numId w:val="12"/>
        </w:numPr>
        <w:tabs>
          <w:tab w:val="left" w:pos="1699"/>
        </w:tabs>
        <w:spacing w:before="0" w:line="219" w:lineRule="exact"/>
        <w:rPr>
          <w:sz w:val="18"/>
        </w:rPr>
      </w:pPr>
      <w:r>
        <w:rPr>
          <w:sz w:val="18"/>
        </w:rPr>
        <w:t>practice</w:t>
      </w:r>
      <w:r>
        <w:rPr>
          <w:spacing w:val="-6"/>
          <w:sz w:val="18"/>
        </w:rPr>
        <w:t xml:space="preserve"> </w:t>
      </w:r>
      <w:r>
        <w:rPr>
          <w:sz w:val="18"/>
        </w:rPr>
        <w:t>and</w:t>
      </w:r>
      <w:r>
        <w:rPr>
          <w:spacing w:val="-3"/>
          <w:sz w:val="18"/>
        </w:rPr>
        <w:t xml:space="preserve"> </w:t>
      </w:r>
      <w:r>
        <w:rPr>
          <w:sz w:val="18"/>
        </w:rPr>
        <w:t xml:space="preserve">ethics </w:t>
      </w:r>
      <w:r>
        <w:rPr>
          <w:spacing w:val="-2"/>
          <w:sz w:val="18"/>
        </w:rPr>
        <w:t>issues</w:t>
      </w:r>
    </w:p>
    <w:p w14:paraId="0C3C8D65" w14:textId="77777777" w:rsidR="00AC6F3C" w:rsidRDefault="00570E88">
      <w:pPr>
        <w:pStyle w:val="ListParagraph"/>
        <w:numPr>
          <w:ilvl w:val="0"/>
          <w:numId w:val="12"/>
        </w:numPr>
        <w:tabs>
          <w:tab w:val="left" w:pos="1699"/>
        </w:tabs>
        <w:spacing w:before="0" w:line="218" w:lineRule="exact"/>
        <w:rPr>
          <w:sz w:val="18"/>
        </w:rPr>
      </w:pPr>
      <w:r>
        <w:rPr>
          <w:sz w:val="18"/>
        </w:rPr>
        <w:t>client</w:t>
      </w:r>
      <w:r>
        <w:rPr>
          <w:spacing w:val="-4"/>
          <w:sz w:val="18"/>
        </w:rPr>
        <w:t xml:space="preserve"> </w:t>
      </w:r>
      <w:r>
        <w:rPr>
          <w:sz w:val="18"/>
        </w:rPr>
        <w:t>identification</w:t>
      </w:r>
      <w:r>
        <w:rPr>
          <w:spacing w:val="-5"/>
          <w:sz w:val="18"/>
        </w:rPr>
        <w:t xml:space="preserve"> </w:t>
      </w:r>
      <w:r>
        <w:rPr>
          <w:sz w:val="18"/>
        </w:rPr>
        <w:t>and</w:t>
      </w:r>
      <w:r>
        <w:rPr>
          <w:spacing w:val="-4"/>
          <w:sz w:val="18"/>
        </w:rPr>
        <w:t xml:space="preserve"> </w:t>
      </w:r>
      <w:r>
        <w:rPr>
          <w:spacing w:val="-2"/>
          <w:sz w:val="18"/>
        </w:rPr>
        <w:t>verification</w:t>
      </w:r>
    </w:p>
    <w:p w14:paraId="0A090B6D" w14:textId="77777777" w:rsidR="00AC6F3C" w:rsidRDefault="00570E88">
      <w:pPr>
        <w:pStyle w:val="ListParagraph"/>
        <w:numPr>
          <w:ilvl w:val="0"/>
          <w:numId w:val="12"/>
        </w:numPr>
        <w:tabs>
          <w:tab w:val="left" w:pos="1699"/>
        </w:tabs>
        <w:spacing w:before="0" w:line="218" w:lineRule="exact"/>
        <w:rPr>
          <w:sz w:val="18"/>
        </w:rPr>
      </w:pPr>
      <w:r>
        <w:rPr>
          <w:sz w:val="18"/>
        </w:rPr>
        <w:t>client</w:t>
      </w:r>
      <w:r>
        <w:rPr>
          <w:spacing w:val="-5"/>
          <w:sz w:val="18"/>
        </w:rPr>
        <w:t xml:space="preserve"> </w:t>
      </w:r>
      <w:r>
        <w:rPr>
          <w:sz w:val="18"/>
        </w:rPr>
        <w:t>relationships</w:t>
      </w:r>
      <w:r>
        <w:rPr>
          <w:spacing w:val="-3"/>
          <w:sz w:val="18"/>
        </w:rPr>
        <w:t xml:space="preserve"> </w:t>
      </w:r>
      <w:r>
        <w:rPr>
          <w:sz w:val="18"/>
        </w:rPr>
        <w:t>and</w:t>
      </w:r>
      <w:r>
        <w:rPr>
          <w:spacing w:val="-5"/>
          <w:sz w:val="18"/>
        </w:rPr>
        <w:t xml:space="preserve"> </w:t>
      </w:r>
      <w:r>
        <w:rPr>
          <w:sz w:val="18"/>
        </w:rPr>
        <w:t>solicitor/solicitor</w:t>
      </w:r>
      <w:r>
        <w:rPr>
          <w:spacing w:val="-4"/>
          <w:sz w:val="18"/>
        </w:rPr>
        <w:t xml:space="preserve"> </w:t>
      </w:r>
      <w:r>
        <w:rPr>
          <w:spacing w:val="-2"/>
          <w:sz w:val="18"/>
        </w:rPr>
        <w:t>relationships</w:t>
      </w:r>
    </w:p>
    <w:p w14:paraId="1807FCC3" w14:textId="77777777" w:rsidR="00AC6F3C" w:rsidRDefault="00570E88">
      <w:pPr>
        <w:pStyle w:val="ListParagraph"/>
        <w:numPr>
          <w:ilvl w:val="0"/>
          <w:numId w:val="12"/>
        </w:numPr>
        <w:tabs>
          <w:tab w:val="left" w:pos="1699"/>
        </w:tabs>
        <w:spacing w:before="0" w:line="219" w:lineRule="exact"/>
        <w:rPr>
          <w:sz w:val="18"/>
        </w:rPr>
      </w:pPr>
      <w:r>
        <w:rPr>
          <w:sz w:val="18"/>
        </w:rPr>
        <w:t>cybersecurity</w:t>
      </w:r>
      <w:r>
        <w:rPr>
          <w:spacing w:val="-4"/>
          <w:sz w:val="18"/>
        </w:rPr>
        <w:t xml:space="preserve"> </w:t>
      </w:r>
      <w:r>
        <w:rPr>
          <w:spacing w:val="-2"/>
          <w:sz w:val="18"/>
        </w:rPr>
        <w:t>issues.</w:t>
      </w:r>
    </w:p>
    <w:p w14:paraId="0578861B" w14:textId="77777777" w:rsidR="00AC6F3C" w:rsidRDefault="00AC6F3C">
      <w:pPr>
        <w:pStyle w:val="BodyText"/>
        <w:spacing w:before="11"/>
      </w:pPr>
    </w:p>
    <w:p w14:paraId="7BBD754C" w14:textId="77777777" w:rsidR="00AC6F3C" w:rsidRDefault="00570E88">
      <w:pPr>
        <w:ind w:left="979"/>
        <w:rPr>
          <w:b/>
          <w:sz w:val="18"/>
        </w:rPr>
      </w:pPr>
      <w:r>
        <w:rPr>
          <w:b/>
          <w:spacing w:val="-2"/>
          <w:sz w:val="18"/>
        </w:rPr>
        <w:t>Dividends</w:t>
      </w:r>
    </w:p>
    <w:p w14:paraId="2E49ED5B" w14:textId="77777777" w:rsidR="00AC6F3C" w:rsidRDefault="00AC6F3C">
      <w:pPr>
        <w:pStyle w:val="BodyText"/>
        <w:spacing w:before="9"/>
        <w:rPr>
          <w:b/>
        </w:rPr>
      </w:pPr>
    </w:p>
    <w:p w14:paraId="65238290" w14:textId="77777777" w:rsidR="00AC6F3C" w:rsidRDefault="00570E88">
      <w:pPr>
        <w:ind w:left="979"/>
        <w:rPr>
          <w:sz w:val="18"/>
        </w:rPr>
      </w:pPr>
      <w:r>
        <w:rPr>
          <w:sz w:val="18"/>
        </w:rPr>
        <w:t>No</w:t>
      </w:r>
      <w:r>
        <w:rPr>
          <w:spacing w:val="-2"/>
          <w:sz w:val="18"/>
        </w:rPr>
        <w:t xml:space="preserve"> </w:t>
      </w:r>
      <w:r>
        <w:rPr>
          <w:sz w:val="18"/>
        </w:rPr>
        <w:t>dividends</w:t>
      </w:r>
      <w:r>
        <w:rPr>
          <w:spacing w:val="-3"/>
          <w:sz w:val="18"/>
        </w:rPr>
        <w:t xml:space="preserve"> </w:t>
      </w:r>
      <w:r>
        <w:rPr>
          <w:sz w:val="18"/>
        </w:rPr>
        <w:t>were</w:t>
      </w:r>
      <w:r>
        <w:rPr>
          <w:spacing w:val="-1"/>
          <w:sz w:val="18"/>
        </w:rPr>
        <w:t xml:space="preserve"> </w:t>
      </w:r>
      <w:r>
        <w:rPr>
          <w:sz w:val="18"/>
        </w:rPr>
        <w:t>paid</w:t>
      </w:r>
      <w:r>
        <w:rPr>
          <w:spacing w:val="-4"/>
          <w:sz w:val="18"/>
        </w:rPr>
        <w:t xml:space="preserve"> </w:t>
      </w:r>
      <w:r>
        <w:rPr>
          <w:sz w:val="18"/>
        </w:rPr>
        <w:t>during</w:t>
      </w:r>
      <w:r>
        <w:rPr>
          <w:spacing w:val="-4"/>
          <w:sz w:val="18"/>
        </w:rPr>
        <w:t xml:space="preserve"> </w:t>
      </w:r>
      <w:r>
        <w:rPr>
          <w:sz w:val="18"/>
        </w:rPr>
        <w:t>the</w:t>
      </w:r>
      <w:r>
        <w:rPr>
          <w:spacing w:val="-1"/>
          <w:sz w:val="18"/>
        </w:rPr>
        <w:t xml:space="preserve"> </w:t>
      </w:r>
      <w:r>
        <w:rPr>
          <w:sz w:val="18"/>
        </w:rPr>
        <w:t>financial</w:t>
      </w:r>
      <w:r>
        <w:rPr>
          <w:spacing w:val="-4"/>
          <w:sz w:val="18"/>
        </w:rPr>
        <w:t xml:space="preserve"> </w:t>
      </w:r>
      <w:r>
        <w:rPr>
          <w:spacing w:val="-2"/>
          <w:sz w:val="18"/>
        </w:rPr>
        <w:t>year.</w:t>
      </w:r>
    </w:p>
    <w:p w14:paraId="1E54CB98" w14:textId="77777777" w:rsidR="00AC6F3C" w:rsidRDefault="00AC6F3C">
      <w:pPr>
        <w:pStyle w:val="BodyText"/>
        <w:spacing w:before="9"/>
      </w:pPr>
    </w:p>
    <w:p w14:paraId="361354AB" w14:textId="77777777" w:rsidR="00AC6F3C" w:rsidRDefault="00570E88">
      <w:pPr>
        <w:ind w:left="979"/>
        <w:rPr>
          <w:b/>
          <w:sz w:val="18"/>
        </w:rPr>
      </w:pPr>
      <w:r>
        <w:rPr>
          <w:b/>
          <w:sz w:val="18"/>
        </w:rPr>
        <w:t>Review</w:t>
      </w:r>
      <w:r>
        <w:rPr>
          <w:b/>
          <w:spacing w:val="-1"/>
          <w:sz w:val="18"/>
        </w:rPr>
        <w:t xml:space="preserve"> </w:t>
      </w:r>
      <w:r>
        <w:rPr>
          <w:b/>
          <w:sz w:val="18"/>
        </w:rPr>
        <w:t>of</w:t>
      </w:r>
      <w:r>
        <w:rPr>
          <w:b/>
          <w:spacing w:val="-1"/>
          <w:sz w:val="18"/>
        </w:rPr>
        <w:t xml:space="preserve"> </w:t>
      </w:r>
      <w:r>
        <w:rPr>
          <w:b/>
          <w:spacing w:val="-2"/>
          <w:sz w:val="18"/>
        </w:rPr>
        <w:t>Operations</w:t>
      </w:r>
    </w:p>
    <w:p w14:paraId="1EA404C8" w14:textId="77777777" w:rsidR="00AC6F3C" w:rsidRDefault="00AC6F3C">
      <w:pPr>
        <w:pStyle w:val="BodyText"/>
        <w:spacing w:before="10"/>
        <w:rPr>
          <w:b/>
        </w:rPr>
      </w:pPr>
    </w:p>
    <w:p w14:paraId="15582C46" w14:textId="77777777" w:rsidR="00AC6F3C" w:rsidRDefault="00570E88">
      <w:pPr>
        <w:ind w:left="979"/>
        <w:rPr>
          <w:sz w:val="18"/>
        </w:rPr>
      </w:pPr>
      <w:r>
        <w:rPr>
          <w:sz w:val="18"/>
        </w:rPr>
        <w:t>The</w:t>
      </w:r>
      <w:r>
        <w:rPr>
          <w:spacing w:val="-1"/>
          <w:sz w:val="18"/>
        </w:rPr>
        <w:t xml:space="preserve"> </w:t>
      </w:r>
      <w:r>
        <w:rPr>
          <w:sz w:val="18"/>
        </w:rPr>
        <w:t>profit</w:t>
      </w:r>
      <w:r>
        <w:rPr>
          <w:spacing w:val="-2"/>
          <w:sz w:val="18"/>
        </w:rPr>
        <w:t xml:space="preserve"> </w:t>
      </w:r>
      <w:r>
        <w:rPr>
          <w:sz w:val="18"/>
        </w:rPr>
        <w:t>for</w:t>
      </w:r>
      <w:r>
        <w:rPr>
          <w:spacing w:val="-2"/>
          <w:sz w:val="18"/>
        </w:rPr>
        <w:t xml:space="preserve"> </w:t>
      </w:r>
      <w:r>
        <w:rPr>
          <w:sz w:val="18"/>
        </w:rPr>
        <w:t>QSS</w:t>
      </w:r>
      <w:r>
        <w:rPr>
          <w:spacing w:val="-1"/>
          <w:sz w:val="18"/>
        </w:rPr>
        <w:t xml:space="preserve"> </w:t>
      </w:r>
      <w:r>
        <w:rPr>
          <w:sz w:val="18"/>
        </w:rPr>
        <w:t>after</w:t>
      </w:r>
      <w:r>
        <w:rPr>
          <w:spacing w:val="-2"/>
          <w:sz w:val="18"/>
        </w:rPr>
        <w:t xml:space="preserve"> </w:t>
      </w:r>
      <w:r>
        <w:rPr>
          <w:sz w:val="18"/>
        </w:rPr>
        <w:t>providing</w:t>
      </w:r>
      <w:r>
        <w:rPr>
          <w:spacing w:val="-1"/>
          <w:sz w:val="18"/>
        </w:rPr>
        <w:t xml:space="preserve"> </w:t>
      </w:r>
      <w:r>
        <w:rPr>
          <w:sz w:val="18"/>
        </w:rPr>
        <w:t>for</w:t>
      </w:r>
      <w:r>
        <w:rPr>
          <w:spacing w:val="-4"/>
          <w:sz w:val="18"/>
        </w:rPr>
        <w:t xml:space="preserve"> </w:t>
      </w:r>
      <w:r>
        <w:rPr>
          <w:sz w:val="18"/>
        </w:rPr>
        <w:t>income tax</w:t>
      </w:r>
      <w:r>
        <w:rPr>
          <w:spacing w:val="-1"/>
          <w:sz w:val="18"/>
        </w:rPr>
        <w:t xml:space="preserve"> </w:t>
      </w:r>
      <w:r>
        <w:rPr>
          <w:sz w:val="18"/>
        </w:rPr>
        <w:t>amounted</w:t>
      </w:r>
      <w:r>
        <w:rPr>
          <w:spacing w:val="-4"/>
          <w:sz w:val="18"/>
        </w:rPr>
        <w:t xml:space="preserve"> </w:t>
      </w:r>
      <w:r>
        <w:rPr>
          <w:sz w:val="18"/>
        </w:rPr>
        <w:t>to</w:t>
      </w:r>
      <w:r>
        <w:rPr>
          <w:spacing w:val="-4"/>
          <w:sz w:val="18"/>
        </w:rPr>
        <w:t xml:space="preserve"> </w:t>
      </w:r>
      <w:r>
        <w:rPr>
          <w:sz w:val="18"/>
        </w:rPr>
        <w:t>$0 (30</w:t>
      </w:r>
      <w:r>
        <w:rPr>
          <w:spacing w:val="-4"/>
          <w:sz w:val="18"/>
        </w:rPr>
        <w:t xml:space="preserve"> </w:t>
      </w:r>
      <w:r>
        <w:rPr>
          <w:sz w:val="18"/>
        </w:rPr>
        <w:t>June</w:t>
      </w:r>
      <w:r>
        <w:rPr>
          <w:spacing w:val="-1"/>
          <w:sz w:val="18"/>
        </w:rPr>
        <w:t xml:space="preserve"> </w:t>
      </w:r>
      <w:r>
        <w:rPr>
          <w:sz w:val="18"/>
        </w:rPr>
        <w:t>2022:</w:t>
      </w:r>
      <w:r>
        <w:rPr>
          <w:spacing w:val="-3"/>
          <w:sz w:val="18"/>
        </w:rPr>
        <w:t xml:space="preserve"> </w:t>
      </w:r>
      <w:r>
        <w:rPr>
          <w:spacing w:val="-4"/>
          <w:sz w:val="18"/>
        </w:rPr>
        <w:t>$0).</w:t>
      </w:r>
    </w:p>
    <w:p w14:paraId="72A73512" w14:textId="77777777" w:rsidR="00AC6F3C" w:rsidRDefault="00AC6F3C">
      <w:pPr>
        <w:pStyle w:val="BodyText"/>
        <w:rPr>
          <w:sz w:val="21"/>
        </w:rPr>
      </w:pPr>
    </w:p>
    <w:p w14:paraId="13ABE3DC" w14:textId="77777777" w:rsidR="00AC6F3C" w:rsidRDefault="00570E88">
      <w:pPr>
        <w:ind w:left="979"/>
        <w:rPr>
          <w:b/>
          <w:sz w:val="18"/>
        </w:rPr>
      </w:pPr>
      <w:r>
        <w:rPr>
          <w:b/>
          <w:sz w:val="18"/>
        </w:rPr>
        <w:t>Significant</w:t>
      </w:r>
      <w:r>
        <w:rPr>
          <w:b/>
          <w:spacing w:val="-2"/>
          <w:sz w:val="18"/>
        </w:rPr>
        <w:t xml:space="preserve"> </w:t>
      </w:r>
      <w:r>
        <w:rPr>
          <w:b/>
          <w:sz w:val="18"/>
        </w:rPr>
        <w:t>changes</w:t>
      </w:r>
      <w:r>
        <w:rPr>
          <w:b/>
          <w:spacing w:val="-4"/>
          <w:sz w:val="18"/>
        </w:rPr>
        <w:t xml:space="preserve"> </w:t>
      </w:r>
      <w:r>
        <w:rPr>
          <w:b/>
          <w:sz w:val="18"/>
        </w:rPr>
        <w:t>in</w:t>
      </w:r>
      <w:r>
        <w:rPr>
          <w:b/>
          <w:spacing w:val="-1"/>
          <w:sz w:val="18"/>
        </w:rPr>
        <w:t xml:space="preserve"> </w:t>
      </w:r>
      <w:r>
        <w:rPr>
          <w:b/>
          <w:sz w:val="18"/>
        </w:rPr>
        <w:t>the</w:t>
      </w:r>
      <w:r>
        <w:rPr>
          <w:b/>
          <w:spacing w:val="-1"/>
          <w:sz w:val="18"/>
        </w:rPr>
        <w:t xml:space="preserve"> </w:t>
      </w:r>
      <w:r>
        <w:rPr>
          <w:b/>
          <w:sz w:val="18"/>
        </w:rPr>
        <w:t>state</w:t>
      </w:r>
      <w:r>
        <w:rPr>
          <w:b/>
          <w:spacing w:val="-1"/>
          <w:sz w:val="18"/>
        </w:rPr>
        <w:t xml:space="preserve"> </w:t>
      </w:r>
      <w:r>
        <w:rPr>
          <w:b/>
          <w:sz w:val="18"/>
        </w:rPr>
        <w:t>of</w:t>
      </w:r>
      <w:r>
        <w:rPr>
          <w:b/>
          <w:spacing w:val="-1"/>
          <w:sz w:val="18"/>
        </w:rPr>
        <w:t xml:space="preserve"> </w:t>
      </w:r>
      <w:r>
        <w:rPr>
          <w:b/>
          <w:spacing w:val="-2"/>
          <w:sz w:val="18"/>
        </w:rPr>
        <w:t>affairs</w:t>
      </w:r>
    </w:p>
    <w:p w14:paraId="44512D30" w14:textId="77777777" w:rsidR="00AC6F3C" w:rsidRDefault="00AC6F3C">
      <w:pPr>
        <w:pStyle w:val="BodyText"/>
        <w:spacing w:before="9"/>
        <w:rPr>
          <w:b/>
        </w:rPr>
      </w:pPr>
    </w:p>
    <w:p w14:paraId="793F621A" w14:textId="77777777" w:rsidR="00AC6F3C" w:rsidRDefault="00570E88">
      <w:pPr>
        <w:ind w:left="979"/>
        <w:rPr>
          <w:sz w:val="18"/>
        </w:rPr>
      </w:pPr>
      <w:r>
        <w:rPr>
          <w:sz w:val="18"/>
        </w:rPr>
        <w:t>There</w:t>
      </w:r>
      <w:r>
        <w:rPr>
          <w:spacing w:val="-3"/>
          <w:sz w:val="18"/>
        </w:rPr>
        <w:t xml:space="preserve"> </w:t>
      </w:r>
      <w:r>
        <w:rPr>
          <w:sz w:val="18"/>
        </w:rPr>
        <w:t>were</w:t>
      </w:r>
      <w:r>
        <w:rPr>
          <w:spacing w:val="-1"/>
          <w:sz w:val="18"/>
        </w:rPr>
        <w:t xml:space="preserve"> </w:t>
      </w:r>
      <w:r>
        <w:rPr>
          <w:sz w:val="18"/>
        </w:rPr>
        <w:t>no</w:t>
      </w:r>
      <w:r>
        <w:rPr>
          <w:spacing w:val="-4"/>
          <w:sz w:val="18"/>
        </w:rPr>
        <w:t xml:space="preserve"> </w:t>
      </w:r>
      <w:r>
        <w:rPr>
          <w:sz w:val="18"/>
        </w:rPr>
        <w:t>significant</w:t>
      </w:r>
      <w:r>
        <w:rPr>
          <w:spacing w:val="-4"/>
          <w:sz w:val="18"/>
        </w:rPr>
        <w:t xml:space="preserve"> </w:t>
      </w:r>
      <w:r>
        <w:rPr>
          <w:sz w:val="18"/>
        </w:rPr>
        <w:t>changes</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state</w:t>
      </w:r>
      <w:r>
        <w:rPr>
          <w:spacing w:val="-3"/>
          <w:sz w:val="18"/>
        </w:rPr>
        <w:t xml:space="preserve"> </w:t>
      </w:r>
      <w:r>
        <w:rPr>
          <w:sz w:val="18"/>
        </w:rPr>
        <w:t>of</w:t>
      </w:r>
      <w:r>
        <w:rPr>
          <w:spacing w:val="-2"/>
          <w:sz w:val="18"/>
        </w:rPr>
        <w:t xml:space="preserve"> </w:t>
      </w:r>
      <w:r>
        <w:rPr>
          <w:sz w:val="18"/>
        </w:rPr>
        <w:t>affairs</w:t>
      </w:r>
      <w:r>
        <w:rPr>
          <w:spacing w:val="-1"/>
          <w:sz w:val="18"/>
        </w:rPr>
        <w:t xml:space="preserve"> </w:t>
      </w:r>
      <w:r>
        <w:rPr>
          <w:sz w:val="18"/>
        </w:rPr>
        <w:t>of</w:t>
      </w:r>
      <w:r>
        <w:rPr>
          <w:spacing w:val="-4"/>
          <w:sz w:val="18"/>
        </w:rPr>
        <w:t xml:space="preserve"> </w:t>
      </w:r>
      <w:r>
        <w:rPr>
          <w:sz w:val="18"/>
        </w:rPr>
        <w:t>QSS</w:t>
      </w:r>
      <w:r>
        <w:rPr>
          <w:spacing w:val="-2"/>
          <w:sz w:val="18"/>
        </w:rPr>
        <w:t xml:space="preserve"> </w:t>
      </w:r>
      <w:r>
        <w:rPr>
          <w:sz w:val="18"/>
        </w:rPr>
        <w:t>during</w:t>
      </w:r>
      <w:r>
        <w:rPr>
          <w:spacing w:val="-1"/>
          <w:sz w:val="18"/>
        </w:rPr>
        <w:t xml:space="preserve"> </w:t>
      </w:r>
      <w:r>
        <w:rPr>
          <w:sz w:val="18"/>
        </w:rPr>
        <w:t>the</w:t>
      </w:r>
      <w:r>
        <w:rPr>
          <w:spacing w:val="-4"/>
          <w:sz w:val="18"/>
        </w:rPr>
        <w:t xml:space="preserve"> </w:t>
      </w:r>
      <w:r>
        <w:rPr>
          <w:sz w:val="18"/>
        </w:rPr>
        <w:t>financial</w:t>
      </w:r>
      <w:r>
        <w:rPr>
          <w:spacing w:val="-3"/>
          <w:sz w:val="18"/>
        </w:rPr>
        <w:t xml:space="preserve"> </w:t>
      </w:r>
      <w:r>
        <w:rPr>
          <w:spacing w:val="-2"/>
          <w:sz w:val="18"/>
        </w:rPr>
        <w:t>year.</w:t>
      </w:r>
    </w:p>
    <w:p w14:paraId="0FA36D38" w14:textId="77777777" w:rsidR="00AC6F3C" w:rsidRDefault="00AC6F3C">
      <w:pPr>
        <w:pStyle w:val="BodyText"/>
        <w:spacing w:before="10"/>
      </w:pPr>
    </w:p>
    <w:p w14:paraId="0BA1B4DE" w14:textId="77777777" w:rsidR="00AC6F3C" w:rsidRDefault="00570E88">
      <w:pPr>
        <w:ind w:left="979"/>
        <w:rPr>
          <w:b/>
          <w:sz w:val="18"/>
        </w:rPr>
      </w:pPr>
      <w:r>
        <w:rPr>
          <w:b/>
          <w:sz w:val="18"/>
        </w:rPr>
        <w:t>Matters</w:t>
      </w:r>
      <w:r>
        <w:rPr>
          <w:b/>
          <w:spacing w:val="-3"/>
          <w:sz w:val="18"/>
        </w:rPr>
        <w:t xml:space="preserve"> </w:t>
      </w:r>
      <w:r>
        <w:rPr>
          <w:b/>
          <w:sz w:val="18"/>
        </w:rPr>
        <w:t>subsequent</w:t>
      </w:r>
      <w:r>
        <w:rPr>
          <w:b/>
          <w:spacing w:val="-3"/>
          <w:sz w:val="18"/>
        </w:rPr>
        <w:t xml:space="preserve"> </w:t>
      </w:r>
      <w:r>
        <w:rPr>
          <w:b/>
          <w:sz w:val="18"/>
        </w:rPr>
        <w:t>to</w:t>
      </w:r>
      <w:r>
        <w:rPr>
          <w:b/>
          <w:spacing w:val="-1"/>
          <w:sz w:val="18"/>
        </w:rPr>
        <w:t xml:space="preserve"> </w:t>
      </w:r>
      <w:r>
        <w:rPr>
          <w:b/>
          <w:sz w:val="18"/>
        </w:rPr>
        <w:t>the</w:t>
      </w:r>
      <w:r>
        <w:rPr>
          <w:b/>
          <w:spacing w:val="-2"/>
          <w:sz w:val="18"/>
        </w:rPr>
        <w:t xml:space="preserve"> </w:t>
      </w:r>
      <w:r>
        <w:rPr>
          <w:b/>
          <w:sz w:val="18"/>
        </w:rPr>
        <w:t>end</w:t>
      </w:r>
      <w:r>
        <w:rPr>
          <w:b/>
          <w:spacing w:val="-1"/>
          <w:sz w:val="18"/>
        </w:rPr>
        <w:t xml:space="preserve"> </w:t>
      </w:r>
      <w:r>
        <w:rPr>
          <w:b/>
          <w:sz w:val="18"/>
        </w:rPr>
        <w:t>of</w:t>
      </w:r>
      <w:r>
        <w:rPr>
          <w:b/>
          <w:spacing w:val="-1"/>
          <w:sz w:val="18"/>
        </w:rPr>
        <w:t xml:space="preserve"> </w:t>
      </w:r>
      <w:r>
        <w:rPr>
          <w:b/>
          <w:sz w:val="18"/>
        </w:rPr>
        <w:t>the</w:t>
      </w:r>
      <w:r>
        <w:rPr>
          <w:b/>
          <w:spacing w:val="-3"/>
          <w:sz w:val="18"/>
        </w:rPr>
        <w:t xml:space="preserve"> </w:t>
      </w:r>
      <w:r>
        <w:rPr>
          <w:b/>
          <w:sz w:val="18"/>
        </w:rPr>
        <w:t>financial</w:t>
      </w:r>
      <w:r>
        <w:rPr>
          <w:b/>
          <w:spacing w:val="-2"/>
          <w:sz w:val="18"/>
        </w:rPr>
        <w:t xml:space="preserve"> </w:t>
      </w:r>
      <w:r>
        <w:rPr>
          <w:b/>
          <w:spacing w:val="-4"/>
          <w:sz w:val="18"/>
        </w:rPr>
        <w:t>year</w:t>
      </w:r>
    </w:p>
    <w:p w14:paraId="55A472FA" w14:textId="77777777" w:rsidR="00AC6F3C" w:rsidRDefault="00AC6F3C">
      <w:pPr>
        <w:pStyle w:val="BodyText"/>
        <w:spacing w:before="9"/>
        <w:rPr>
          <w:b/>
        </w:rPr>
      </w:pPr>
    </w:p>
    <w:p w14:paraId="20DBC1DB" w14:textId="77777777" w:rsidR="00AC6F3C" w:rsidRDefault="00570E88">
      <w:pPr>
        <w:ind w:left="980" w:right="234" w:hanging="1"/>
        <w:rPr>
          <w:sz w:val="18"/>
        </w:rPr>
      </w:pPr>
      <w:r>
        <w:rPr>
          <w:sz w:val="18"/>
        </w:rPr>
        <w:t>No</w:t>
      </w:r>
      <w:r>
        <w:rPr>
          <w:spacing w:val="-1"/>
          <w:sz w:val="18"/>
        </w:rPr>
        <w:t xml:space="preserve"> </w:t>
      </w:r>
      <w:r>
        <w:rPr>
          <w:sz w:val="18"/>
        </w:rPr>
        <w:t>matters</w:t>
      </w:r>
      <w:r>
        <w:rPr>
          <w:spacing w:val="-3"/>
          <w:sz w:val="18"/>
        </w:rPr>
        <w:t xml:space="preserve"> </w:t>
      </w:r>
      <w:r>
        <w:rPr>
          <w:sz w:val="18"/>
        </w:rPr>
        <w:t>or</w:t>
      </w:r>
      <w:r>
        <w:rPr>
          <w:spacing w:val="-2"/>
          <w:sz w:val="18"/>
        </w:rPr>
        <w:t xml:space="preserve"> </w:t>
      </w:r>
      <w:r>
        <w:rPr>
          <w:sz w:val="18"/>
        </w:rPr>
        <w:t>circumstances</w:t>
      </w:r>
      <w:r>
        <w:rPr>
          <w:spacing w:val="-1"/>
          <w:sz w:val="18"/>
        </w:rPr>
        <w:t xml:space="preserve"> </w:t>
      </w:r>
      <w:r>
        <w:rPr>
          <w:sz w:val="18"/>
        </w:rPr>
        <w:t>have</w:t>
      </w:r>
      <w:r>
        <w:rPr>
          <w:spacing w:val="-4"/>
          <w:sz w:val="18"/>
        </w:rPr>
        <w:t xml:space="preserve"> </w:t>
      </w:r>
      <w:r>
        <w:rPr>
          <w:sz w:val="18"/>
        </w:rPr>
        <w:t>arisen</w:t>
      </w:r>
      <w:r>
        <w:rPr>
          <w:spacing w:val="-4"/>
          <w:sz w:val="18"/>
        </w:rPr>
        <w:t xml:space="preserve"> </w:t>
      </w:r>
      <w:r>
        <w:rPr>
          <w:sz w:val="18"/>
        </w:rPr>
        <w:t>since</w:t>
      </w:r>
      <w:r>
        <w:rPr>
          <w:spacing w:val="-1"/>
          <w:sz w:val="18"/>
        </w:rPr>
        <w:t xml:space="preserve"> </w:t>
      </w:r>
      <w:r>
        <w:rPr>
          <w:sz w:val="18"/>
        </w:rPr>
        <w:t>30</w:t>
      </w:r>
      <w:r>
        <w:rPr>
          <w:spacing w:val="-1"/>
          <w:sz w:val="18"/>
        </w:rPr>
        <w:t xml:space="preserve"> </w:t>
      </w:r>
      <w:r>
        <w:rPr>
          <w:sz w:val="18"/>
        </w:rPr>
        <w:t>June</w:t>
      </w:r>
      <w:r>
        <w:rPr>
          <w:spacing w:val="-4"/>
          <w:sz w:val="18"/>
        </w:rPr>
        <w:t xml:space="preserve"> </w:t>
      </w:r>
      <w:r>
        <w:rPr>
          <w:sz w:val="18"/>
        </w:rPr>
        <w:t>2023</w:t>
      </w:r>
      <w:r>
        <w:rPr>
          <w:spacing w:val="-4"/>
          <w:sz w:val="18"/>
        </w:rPr>
        <w:t xml:space="preserve"> </w:t>
      </w:r>
      <w:r>
        <w:rPr>
          <w:sz w:val="18"/>
        </w:rPr>
        <w:t>that</w:t>
      </w:r>
      <w:r>
        <w:rPr>
          <w:spacing w:val="-2"/>
          <w:sz w:val="18"/>
        </w:rPr>
        <w:t xml:space="preserve"> </w:t>
      </w:r>
      <w:r>
        <w:rPr>
          <w:sz w:val="18"/>
        </w:rPr>
        <w:t>has</w:t>
      </w:r>
      <w:r>
        <w:rPr>
          <w:spacing w:val="-3"/>
          <w:sz w:val="18"/>
        </w:rPr>
        <w:t xml:space="preserve"> </w:t>
      </w:r>
      <w:r>
        <w:rPr>
          <w:sz w:val="18"/>
        </w:rPr>
        <w:t>significantly</w:t>
      </w:r>
      <w:r>
        <w:rPr>
          <w:spacing w:val="-1"/>
          <w:sz w:val="18"/>
        </w:rPr>
        <w:t xml:space="preserve"> </w:t>
      </w:r>
      <w:r>
        <w:rPr>
          <w:sz w:val="18"/>
        </w:rPr>
        <w:t>affected,</w:t>
      </w:r>
      <w:r>
        <w:rPr>
          <w:spacing w:val="-4"/>
          <w:sz w:val="18"/>
        </w:rPr>
        <w:t xml:space="preserve"> </w:t>
      </w:r>
      <w:r>
        <w:rPr>
          <w:sz w:val="18"/>
        </w:rPr>
        <w:t>or</w:t>
      </w:r>
      <w:r>
        <w:rPr>
          <w:spacing w:val="-2"/>
          <w:sz w:val="18"/>
        </w:rPr>
        <w:t xml:space="preserve"> </w:t>
      </w:r>
      <w:r>
        <w:rPr>
          <w:sz w:val="18"/>
        </w:rPr>
        <w:t>may</w:t>
      </w:r>
      <w:r>
        <w:rPr>
          <w:spacing w:val="-3"/>
          <w:sz w:val="18"/>
        </w:rPr>
        <w:t xml:space="preserve"> </w:t>
      </w:r>
      <w:r>
        <w:rPr>
          <w:sz w:val="18"/>
        </w:rPr>
        <w:t>significantly affect QSS’ operations, results or the state of affairs in future financial years.</w:t>
      </w:r>
    </w:p>
    <w:p w14:paraId="29A8AAA7" w14:textId="77777777" w:rsidR="00AC6F3C" w:rsidRDefault="00AC6F3C">
      <w:pPr>
        <w:pStyle w:val="BodyText"/>
        <w:rPr>
          <w:sz w:val="21"/>
        </w:rPr>
      </w:pPr>
    </w:p>
    <w:p w14:paraId="46A79612" w14:textId="77777777" w:rsidR="00AC6F3C" w:rsidRDefault="00570E88">
      <w:pPr>
        <w:ind w:left="980"/>
        <w:rPr>
          <w:b/>
          <w:sz w:val="18"/>
        </w:rPr>
      </w:pPr>
      <w:r>
        <w:rPr>
          <w:b/>
          <w:sz w:val="18"/>
        </w:rPr>
        <w:t>Environmental</w:t>
      </w:r>
      <w:r>
        <w:rPr>
          <w:b/>
          <w:spacing w:val="-4"/>
          <w:sz w:val="18"/>
        </w:rPr>
        <w:t xml:space="preserve"> </w:t>
      </w:r>
      <w:r>
        <w:rPr>
          <w:b/>
          <w:spacing w:val="-2"/>
          <w:sz w:val="18"/>
        </w:rPr>
        <w:t>regulation</w:t>
      </w:r>
    </w:p>
    <w:p w14:paraId="2634FC5E" w14:textId="77777777" w:rsidR="00AC6F3C" w:rsidRDefault="00AC6F3C">
      <w:pPr>
        <w:pStyle w:val="BodyText"/>
        <w:spacing w:before="9"/>
        <w:rPr>
          <w:b/>
        </w:rPr>
      </w:pPr>
    </w:p>
    <w:p w14:paraId="59C27518" w14:textId="77777777" w:rsidR="00AC6F3C" w:rsidRDefault="00570E88">
      <w:pPr>
        <w:ind w:left="980" w:right="234"/>
        <w:rPr>
          <w:sz w:val="18"/>
        </w:rPr>
      </w:pPr>
      <w:r>
        <w:rPr>
          <w:sz w:val="18"/>
        </w:rPr>
        <w:t>The</w:t>
      </w:r>
      <w:r>
        <w:rPr>
          <w:spacing w:val="-1"/>
          <w:sz w:val="18"/>
        </w:rPr>
        <w:t xml:space="preserve"> </w:t>
      </w:r>
      <w:r>
        <w:rPr>
          <w:sz w:val="18"/>
        </w:rPr>
        <w:t>consolidated</w:t>
      </w:r>
      <w:r>
        <w:rPr>
          <w:spacing w:val="-1"/>
          <w:sz w:val="18"/>
        </w:rPr>
        <w:t xml:space="preserve"> </w:t>
      </w:r>
      <w:r>
        <w:rPr>
          <w:sz w:val="18"/>
        </w:rPr>
        <w:t>entity</w:t>
      </w:r>
      <w:r>
        <w:rPr>
          <w:spacing w:val="-1"/>
          <w:sz w:val="18"/>
        </w:rPr>
        <w:t xml:space="preserve"> </w:t>
      </w:r>
      <w:r>
        <w:rPr>
          <w:sz w:val="18"/>
        </w:rPr>
        <w:t>is</w:t>
      </w:r>
      <w:r>
        <w:rPr>
          <w:spacing w:val="-1"/>
          <w:sz w:val="18"/>
        </w:rPr>
        <w:t xml:space="preserve"> </w:t>
      </w:r>
      <w:r>
        <w:rPr>
          <w:sz w:val="18"/>
        </w:rPr>
        <w:t>not</w:t>
      </w:r>
      <w:r>
        <w:rPr>
          <w:spacing w:val="-4"/>
          <w:sz w:val="18"/>
        </w:rPr>
        <w:t xml:space="preserve"> </w:t>
      </w:r>
      <w:r>
        <w:rPr>
          <w:sz w:val="18"/>
        </w:rPr>
        <w:t>subject</w:t>
      </w:r>
      <w:r>
        <w:rPr>
          <w:spacing w:val="-4"/>
          <w:sz w:val="18"/>
        </w:rPr>
        <w:t xml:space="preserve"> </w:t>
      </w:r>
      <w:r>
        <w:rPr>
          <w:sz w:val="18"/>
        </w:rPr>
        <w:t>to</w:t>
      </w:r>
      <w:r>
        <w:rPr>
          <w:spacing w:val="-1"/>
          <w:sz w:val="18"/>
        </w:rPr>
        <w:t xml:space="preserve"> </w:t>
      </w:r>
      <w:r>
        <w:rPr>
          <w:sz w:val="18"/>
        </w:rPr>
        <w:t>any</w:t>
      </w:r>
      <w:r>
        <w:rPr>
          <w:spacing w:val="-3"/>
          <w:sz w:val="18"/>
        </w:rPr>
        <w:t xml:space="preserve"> </w:t>
      </w:r>
      <w:r>
        <w:rPr>
          <w:sz w:val="18"/>
        </w:rPr>
        <w:t>significant</w:t>
      </w:r>
      <w:r>
        <w:rPr>
          <w:spacing w:val="-2"/>
          <w:sz w:val="18"/>
        </w:rPr>
        <w:t xml:space="preserve"> </w:t>
      </w:r>
      <w:r>
        <w:rPr>
          <w:sz w:val="18"/>
        </w:rPr>
        <w:t>environmental</w:t>
      </w:r>
      <w:r>
        <w:rPr>
          <w:spacing w:val="-4"/>
          <w:sz w:val="18"/>
        </w:rPr>
        <w:t xml:space="preserve"> </w:t>
      </w:r>
      <w:r>
        <w:rPr>
          <w:sz w:val="18"/>
        </w:rPr>
        <w:t>regulation</w:t>
      </w:r>
      <w:r>
        <w:rPr>
          <w:spacing w:val="-4"/>
          <w:sz w:val="18"/>
        </w:rPr>
        <w:t xml:space="preserve"> </w:t>
      </w:r>
      <w:r>
        <w:rPr>
          <w:sz w:val="18"/>
        </w:rPr>
        <w:t>under</w:t>
      </w:r>
      <w:r>
        <w:rPr>
          <w:spacing w:val="-4"/>
          <w:sz w:val="18"/>
        </w:rPr>
        <w:t xml:space="preserve"> </w:t>
      </w:r>
      <w:r>
        <w:rPr>
          <w:sz w:val="18"/>
        </w:rPr>
        <w:t>Australian</w:t>
      </w:r>
      <w:r>
        <w:rPr>
          <w:spacing w:val="-1"/>
          <w:sz w:val="18"/>
        </w:rPr>
        <w:t xml:space="preserve"> </w:t>
      </w:r>
      <w:r>
        <w:rPr>
          <w:sz w:val="18"/>
        </w:rPr>
        <w:t>Commonwealth or State law.</w:t>
      </w:r>
    </w:p>
    <w:p w14:paraId="1412F67C" w14:textId="77777777" w:rsidR="00AC6F3C" w:rsidRDefault="00AC6F3C">
      <w:pPr>
        <w:rPr>
          <w:sz w:val="18"/>
        </w:rPr>
        <w:sectPr w:rsidR="00AC6F3C">
          <w:headerReference w:type="default" r:id="rId233"/>
          <w:footerReference w:type="default" r:id="rId234"/>
          <w:pgSz w:w="11910" w:h="16840"/>
          <w:pgMar w:top="2040" w:right="1160" w:bottom="520" w:left="460" w:header="1250" w:footer="336" w:gutter="0"/>
          <w:cols w:space="720"/>
        </w:sectPr>
      </w:pPr>
    </w:p>
    <w:p w14:paraId="3686A194" w14:textId="77777777" w:rsidR="00AC6F3C" w:rsidRDefault="00AC6F3C">
      <w:pPr>
        <w:pStyle w:val="BodyText"/>
      </w:pPr>
    </w:p>
    <w:p w14:paraId="65F17CE3" w14:textId="77777777" w:rsidR="00AC6F3C" w:rsidRDefault="00AC6F3C">
      <w:pPr>
        <w:pStyle w:val="BodyText"/>
        <w:spacing w:before="5"/>
        <w:rPr>
          <w:sz w:val="22"/>
        </w:rPr>
      </w:pPr>
    </w:p>
    <w:p w14:paraId="7C50ED4C" w14:textId="77777777" w:rsidR="00AC6F3C" w:rsidRDefault="00570E88">
      <w:pPr>
        <w:ind w:left="979"/>
        <w:rPr>
          <w:b/>
          <w:sz w:val="18"/>
        </w:rPr>
      </w:pPr>
      <w:r>
        <w:rPr>
          <w:b/>
          <w:sz w:val="18"/>
        </w:rPr>
        <w:t>Shares</w:t>
      </w:r>
      <w:r>
        <w:rPr>
          <w:b/>
          <w:spacing w:val="-2"/>
          <w:sz w:val="18"/>
        </w:rPr>
        <w:t xml:space="preserve"> </w:t>
      </w:r>
      <w:r>
        <w:rPr>
          <w:b/>
          <w:sz w:val="18"/>
        </w:rPr>
        <w:t>under</w:t>
      </w:r>
      <w:r>
        <w:rPr>
          <w:b/>
          <w:spacing w:val="-2"/>
          <w:sz w:val="18"/>
        </w:rPr>
        <w:t xml:space="preserve"> option</w:t>
      </w:r>
    </w:p>
    <w:p w14:paraId="47AC7ED6" w14:textId="77777777" w:rsidR="00AC6F3C" w:rsidRDefault="00AC6F3C">
      <w:pPr>
        <w:pStyle w:val="BodyText"/>
        <w:rPr>
          <w:b/>
          <w:sz w:val="21"/>
        </w:rPr>
      </w:pPr>
    </w:p>
    <w:p w14:paraId="3F8AA5E5" w14:textId="77777777" w:rsidR="00AC6F3C" w:rsidRDefault="00570E88">
      <w:pPr>
        <w:spacing w:before="1"/>
        <w:ind w:left="979"/>
        <w:rPr>
          <w:sz w:val="18"/>
        </w:rPr>
      </w:pPr>
      <w:r>
        <w:rPr>
          <w:sz w:val="18"/>
        </w:rPr>
        <w:t>There</w:t>
      </w:r>
      <w:r>
        <w:rPr>
          <w:spacing w:val="-2"/>
          <w:sz w:val="18"/>
        </w:rPr>
        <w:t xml:space="preserve"> </w:t>
      </w:r>
      <w:r>
        <w:rPr>
          <w:sz w:val="18"/>
        </w:rPr>
        <w:t>were</w:t>
      </w:r>
      <w:r>
        <w:rPr>
          <w:spacing w:val="-1"/>
          <w:sz w:val="18"/>
        </w:rPr>
        <w:t xml:space="preserve"> </w:t>
      </w:r>
      <w:r>
        <w:rPr>
          <w:sz w:val="18"/>
        </w:rPr>
        <w:t>no</w:t>
      </w:r>
      <w:r>
        <w:rPr>
          <w:spacing w:val="-4"/>
          <w:sz w:val="18"/>
        </w:rPr>
        <w:t xml:space="preserve"> </w:t>
      </w:r>
      <w:r>
        <w:rPr>
          <w:sz w:val="18"/>
        </w:rPr>
        <w:t>unissued</w:t>
      </w:r>
      <w:r>
        <w:rPr>
          <w:spacing w:val="-3"/>
          <w:sz w:val="18"/>
        </w:rPr>
        <w:t xml:space="preserve"> </w:t>
      </w:r>
      <w:r>
        <w:rPr>
          <w:sz w:val="18"/>
        </w:rPr>
        <w:t>ordinary</w:t>
      </w:r>
      <w:r>
        <w:rPr>
          <w:spacing w:val="-2"/>
          <w:sz w:val="18"/>
        </w:rPr>
        <w:t xml:space="preserve"> </w:t>
      </w:r>
      <w:r>
        <w:rPr>
          <w:sz w:val="18"/>
        </w:rPr>
        <w:t>shares</w:t>
      </w:r>
      <w:r>
        <w:rPr>
          <w:spacing w:val="-1"/>
          <w:sz w:val="18"/>
        </w:rPr>
        <w:t xml:space="preserve"> </w:t>
      </w:r>
      <w:r>
        <w:rPr>
          <w:sz w:val="18"/>
        </w:rPr>
        <w:t>of</w:t>
      </w:r>
      <w:r>
        <w:rPr>
          <w:spacing w:val="-3"/>
          <w:sz w:val="18"/>
        </w:rPr>
        <w:t xml:space="preserve"> </w:t>
      </w:r>
      <w:r>
        <w:rPr>
          <w:sz w:val="18"/>
        </w:rPr>
        <w:t>QSS</w:t>
      </w:r>
      <w:r>
        <w:rPr>
          <w:spacing w:val="-3"/>
          <w:sz w:val="18"/>
        </w:rPr>
        <w:t xml:space="preserve"> </w:t>
      </w:r>
      <w:r>
        <w:rPr>
          <w:sz w:val="18"/>
        </w:rPr>
        <w:t>under</w:t>
      </w:r>
      <w:r>
        <w:rPr>
          <w:spacing w:val="-2"/>
          <w:sz w:val="18"/>
        </w:rPr>
        <w:t xml:space="preserve"> </w:t>
      </w:r>
      <w:r>
        <w:rPr>
          <w:sz w:val="18"/>
        </w:rPr>
        <w:t>option</w:t>
      </w:r>
      <w:r>
        <w:rPr>
          <w:spacing w:val="-1"/>
          <w:sz w:val="18"/>
        </w:rPr>
        <w:t xml:space="preserve"> </w:t>
      </w:r>
      <w:r>
        <w:rPr>
          <w:sz w:val="18"/>
        </w:rPr>
        <w:t>outstanding</w:t>
      </w:r>
      <w:r>
        <w:rPr>
          <w:spacing w:val="-1"/>
          <w:sz w:val="18"/>
        </w:rPr>
        <w:t xml:space="preserve"> </w:t>
      </w:r>
      <w:r>
        <w:rPr>
          <w:sz w:val="18"/>
        </w:rPr>
        <w:t>at</w:t>
      </w:r>
      <w:r>
        <w:rPr>
          <w:spacing w:val="-4"/>
          <w:sz w:val="18"/>
        </w:rPr>
        <w:t xml:space="preserve"> </w:t>
      </w:r>
      <w:r>
        <w:rPr>
          <w:sz w:val="18"/>
        </w:rPr>
        <w:t>the</w:t>
      </w:r>
      <w:r>
        <w:rPr>
          <w:spacing w:val="-3"/>
          <w:sz w:val="18"/>
        </w:rPr>
        <w:t xml:space="preserve"> </w:t>
      </w:r>
      <w:r>
        <w:rPr>
          <w:sz w:val="18"/>
        </w:rPr>
        <w:t>date</w:t>
      </w:r>
      <w:r>
        <w:rPr>
          <w:spacing w:val="-4"/>
          <w:sz w:val="18"/>
        </w:rPr>
        <w:t xml:space="preserve"> </w:t>
      </w:r>
      <w:r>
        <w:rPr>
          <w:sz w:val="18"/>
        </w:rPr>
        <w:t>of</w:t>
      </w:r>
      <w:r>
        <w:rPr>
          <w:spacing w:val="-2"/>
          <w:sz w:val="18"/>
        </w:rPr>
        <w:t xml:space="preserve"> </w:t>
      </w:r>
      <w:r>
        <w:rPr>
          <w:sz w:val="18"/>
        </w:rPr>
        <w:t>this</w:t>
      </w:r>
      <w:r>
        <w:rPr>
          <w:spacing w:val="-1"/>
          <w:sz w:val="18"/>
        </w:rPr>
        <w:t xml:space="preserve"> </w:t>
      </w:r>
      <w:r>
        <w:rPr>
          <w:spacing w:val="-2"/>
          <w:sz w:val="18"/>
        </w:rPr>
        <w:t>report.</w:t>
      </w:r>
    </w:p>
    <w:p w14:paraId="450B06FA" w14:textId="77777777" w:rsidR="00AC6F3C" w:rsidRDefault="00AC6F3C">
      <w:pPr>
        <w:pStyle w:val="BodyText"/>
        <w:spacing w:before="9"/>
      </w:pPr>
    </w:p>
    <w:p w14:paraId="531774EB" w14:textId="77777777" w:rsidR="00AC6F3C" w:rsidRDefault="00570E88">
      <w:pPr>
        <w:ind w:left="979"/>
        <w:rPr>
          <w:b/>
          <w:sz w:val="18"/>
        </w:rPr>
      </w:pPr>
      <w:r>
        <w:rPr>
          <w:b/>
          <w:sz w:val="18"/>
        </w:rPr>
        <w:t>Shares</w:t>
      </w:r>
      <w:r>
        <w:rPr>
          <w:b/>
          <w:spacing w:val="-2"/>
          <w:sz w:val="18"/>
        </w:rPr>
        <w:t xml:space="preserve"> </w:t>
      </w:r>
      <w:r>
        <w:rPr>
          <w:b/>
          <w:sz w:val="18"/>
        </w:rPr>
        <w:t>issued</w:t>
      </w:r>
      <w:r>
        <w:rPr>
          <w:b/>
          <w:spacing w:val="-3"/>
          <w:sz w:val="18"/>
        </w:rPr>
        <w:t xml:space="preserve"> </w:t>
      </w:r>
      <w:r>
        <w:rPr>
          <w:b/>
          <w:sz w:val="18"/>
        </w:rPr>
        <w:t>on</w:t>
      </w:r>
      <w:r>
        <w:rPr>
          <w:b/>
          <w:spacing w:val="-2"/>
          <w:sz w:val="18"/>
        </w:rPr>
        <w:t xml:space="preserve"> </w:t>
      </w:r>
      <w:r>
        <w:rPr>
          <w:b/>
          <w:sz w:val="18"/>
        </w:rPr>
        <w:t>the</w:t>
      </w:r>
      <w:r>
        <w:rPr>
          <w:b/>
          <w:spacing w:val="-1"/>
          <w:sz w:val="18"/>
        </w:rPr>
        <w:t xml:space="preserve"> </w:t>
      </w:r>
      <w:r>
        <w:rPr>
          <w:b/>
          <w:sz w:val="18"/>
        </w:rPr>
        <w:t>exercise</w:t>
      </w:r>
      <w:r>
        <w:rPr>
          <w:b/>
          <w:spacing w:val="-1"/>
          <w:sz w:val="18"/>
        </w:rPr>
        <w:t xml:space="preserve"> </w:t>
      </w:r>
      <w:r>
        <w:rPr>
          <w:b/>
          <w:sz w:val="18"/>
        </w:rPr>
        <w:t>of</w:t>
      </w:r>
      <w:r>
        <w:rPr>
          <w:b/>
          <w:spacing w:val="-2"/>
          <w:sz w:val="18"/>
        </w:rPr>
        <w:t xml:space="preserve"> options</w:t>
      </w:r>
    </w:p>
    <w:p w14:paraId="45ED3BE1" w14:textId="77777777" w:rsidR="00AC6F3C" w:rsidRDefault="00AC6F3C">
      <w:pPr>
        <w:pStyle w:val="BodyText"/>
        <w:spacing w:before="9"/>
        <w:rPr>
          <w:b/>
        </w:rPr>
      </w:pPr>
    </w:p>
    <w:p w14:paraId="391EFEC8" w14:textId="77777777" w:rsidR="00AC6F3C" w:rsidRDefault="00570E88">
      <w:pPr>
        <w:ind w:left="979" w:right="468"/>
        <w:rPr>
          <w:sz w:val="18"/>
        </w:rPr>
      </w:pPr>
      <w:r>
        <w:rPr>
          <w:sz w:val="18"/>
        </w:rPr>
        <w:t>There</w:t>
      </w:r>
      <w:r>
        <w:rPr>
          <w:spacing w:val="-1"/>
          <w:sz w:val="18"/>
        </w:rPr>
        <w:t xml:space="preserve"> </w:t>
      </w:r>
      <w:r>
        <w:rPr>
          <w:sz w:val="18"/>
        </w:rPr>
        <w:t>were</w:t>
      </w:r>
      <w:r>
        <w:rPr>
          <w:spacing w:val="-1"/>
          <w:sz w:val="18"/>
        </w:rPr>
        <w:t xml:space="preserve"> </w:t>
      </w:r>
      <w:r>
        <w:rPr>
          <w:sz w:val="18"/>
        </w:rPr>
        <w:t>no</w:t>
      </w:r>
      <w:r>
        <w:rPr>
          <w:spacing w:val="-4"/>
          <w:sz w:val="18"/>
        </w:rPr>
        <w:t xml:space="preserve"> </w:t>
      </w:r>
      <w:r>
        <w:rPr>
          <w:sz w:val="18"/>
        </w:rPr>
        <w:t>ordinary</w:t>
      </w:r>
      <w:r>
        <w:rPr>
          <w:spacing w:val="-1"/>
          <w:sz w:val="18"/>
        </w:rPr>
        <w:t xml:space="preserve"> </w:t>
      </w:r>
      <w:r>
        <w:rPr>
          <w:sz w:val="18"/>
        </w:rPr>
        <w:t>shares</w:t>
      </w:r>
      <w:r>
        <w:rPr>
          <w:spacing w:val="-3"/>
          <w:sz w:val="18"/>
        </w:rPr>
        <w:t xml:space="preserve"> </w:t>
      </w:r>
      <w:r>
        <w:rPr>
          <w:sz w:val="18"/>
        </w:rPr>
        <w:t>of</w:t>
      </w:r>
      <w:r>
        <w:rPr>
          <w:spacing w:val="-2"/>
          <w:sz w:val="18"/>
        </w:rPr>
        <w:t xml:space="preserve"> </w:t>
      </w:r>
      <w:r>
        <w:rPr>
          <w:sz w:val="18"/>
        </w:rPr>
        <w:t>QSS</w:t>
      </w:r>
      <w:r>
        <w:rPr>
          <w:spacing w:val="-2"/>
          <w:sz w:val="18"/>
        </w:rPr>
        <w:t xml:space="preserve"> </w:t>
      </w:r>
      <w:r>
        <w:rPr>
          <w:sz w:val="18"/>
        </w:rPr>
        <w:t>issued</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exercise</w:t>
      </w:r>
      <w:r>
        <w:rPr>
          <w:spacing w:val="-1"/>
          <w:sz w:val="18"/>
        </w:rPr>
        <w:t xml:space="preserve"> </w:t>
      </w:r>
      <w:r>
        <w:rPr>
          <w:sz w:val="18"/>
        </w:rPr>
        <w:t>of</w:t>
      </w:r>
      <w:r>
        <w:rPr>
          <w:spacing w:val="-2"/>
          <w:sz w:val="18"/>
        </w:rPr>
        <w:t xml:space="preserve"> </w:t>
      </w:r>
      <w:r>
        <w:rPr>
          <w:sz w:val="18"/>
        </w:rPr>
        <w:t>options</w:t>
      </w:r>
      <w:r>
        <w:rPr>
          <w:spacing w:val="-3"/>
          <w:sz w:val="18"/>
        </w:rPr>
        <w:t xml:space="preserve"> </w:t>
      </w:r>
      <w:r>
        <w:rPr>
          <w:sz w:val="18"/>
        </w:rPr>
        <w:t>during</w:t>
      </w:r>
      <w:r>
        <w:rPr>
          <w:spacing w:val="-1"/>
          <w:sz w:val="18"/>
        </w:rPr>
        <w:t xml:space="preserve"> </w:t>
      </w:r>
      <w:r>
        <w:rPr>
          <w:sz w:val="18"/>
        </w:rPr>
        <w:t>the</w:t>
      </w:r>
      <w:r>
        <w:rPr>
          <w:spacing w:val="-1"/>
          <w:sz w:val="18"/>
        </w:rPr>
        <w:t xml:space="preserve"> </w:t>
      </w:r>
      <w:r>
        <w:rPr>
          <w:sz w:val="18"/>
        </w:rPr>
        <w:t>year</w:t>
      </w:r>
      <w:r>
        <w:rPr>
          <w:spacing w:val="-2"/>
          <w:sz w:val="18"/>
        </w:rPr>
        <w:t xml:space="preserve"> </w:t>
      </w:r>
      <w:r>
        <w:rPr>
          <w:sz w:val="18"/>
        </w:rPr>
        <w:t>ended</w:t>
      </w:r>
      <w:r>
        <w:rPr>
          <w:spacing w:val="-1"/>
          <w:sz w:val="18"/>
        </w:rPr>
        <w:t xml:space="preserve"> </w:t>
      </w:r>
      <w:r>
        <w:rPr>
          <w:sz w:val="18"/>
        </w:rPr>
        <w:t>30</w:t>
      </w:r>
      <w:r>
        <w:rPr>
          <w:spacing w:val="-1"/>
          <w:sz w:val="18"/>
        </w:rPr>
        <w:t xml:space="preserve"> </w:t>
      </w:r>
      <w:r>
        <w:rPr>
          <w:sz w:val="18"/>
        </w:rPr>
        <w:t>June</w:t>
      </w:r>
      <w:r>
        <w:rPr>
          <w:spacing w:val="-4"/>
          <w:sz w:val="18"/>
        </w:rPr>
        <w:t xml:space="preserve"> </w:t>
      </w:r>
      <w:r>
        <w:rPr>
          <w:sz w:val="18"/>
        </w:rPr>
        <w:t>2023 and up to the date of this report.</w:t>
      </w:r>
    </w:p>
    <w:p w14:paraId="7521028A" w14:textId="77777777" w:rsidR="00AC6F3C" w:rsidRDefault="00AC6F3C">
      <w:pPr>
        <w:pStyle w:val="BodyText"/>
        <w:rPr>
          <w:sz w:val="21"/>
        </w:rPr>
      </w:pPr>
    </w:p>
    <w:p w14:paraId="0E6B57B4" w14:textId="77777777" w:rsidR="00AC6F3C" w:rsidRDefault="00570E88">
      <w:pPr>
        <w:ind w:left="979"/>
        <w:rPr>
          <w:b/>
          <w:sz w:val="18"/>
        </w:rPr>
      </w:pPr>
      <w:r>
        <w:rPr>
          <w:b/>
          <w:sz w:val="18"/>
        </w:rPr>
        <w:t>Indemnity</w:t>
      </w:r>
      <w:r>
        <w:rPr>
          <w:b/>
          <w:spacing w:val="-2"/>
          <w:sz w:val="18"/>
        </w:rPr>
        <w:t xml:space="preserve"> </w:t>
      </w:r>
      <w:r>
        <w:rPr>
          <w:b/>
          <w:sz w:val="18"/>
        </w:rPr>
        <w:t>and</w:t>
      </w:r>
      <w:r>
        <w:rPr>
          <w:b/>
          <w:spacing w:val="-2"/>
          <w:sz w:val="18"/>
        </w:rPr>
        <w:t xml:space="preserve"> </w:t>
      </w:r>
      <w:r>
        <w:rPr>
          <w:b/>
          <w:sz w:val="18"/>
        </w:rPr>
        <w:t>insurance</w:t>
      </w:r>
      <w:r>
        <w:rPr>
          <w:b/>
          <w:spacing w:val="-4"/>
          <w:sz w:val="18"/>
        </w:rPr>
        <w:t xml:space="preserve"> </w:t>
      </w:r>
      <w:r>
        <w:rPr>
          <w:b/>
          <w:sz w:val="18"/>
        </w:rPr>
        <w:t>of</w:t>
      </w:r>
      <w:r>
        <w:rPr>
          <w:b/>
          <w:spacing w:val="-3"/>
          <w:sz w:val="18"/>
        </w:rPr>
        <w:t xml:space="preserve"> </w:t>
      </w:r>
      <w:r>
        <w:rPr>
          <w:b/>
          <w:spacing w:val="-2"/>
          <w:sz w:val="18"/>
        </w:rPr>
        <w:t>officers</w:t>
      </w:r>
    </w:p>
    <w:p w14:paraId="471059B3" w14:textId="77777777" w:rsidR="00AC6F3C" w:rsidRDefault="00AC6F3C">
      <w:pPr>
        <w:pStyle w:val="BodyText"/>
        <w:spacing w:before="9"/>
        <w:rPr>
          <w:b/>
        </w:rPr>
      </w:pPr>
    </w:p>
    <w:p w14:paraId="594E028A" w14:textId="77777777" w:rsidR="00AC6F3C" w:rsidRDefault="00570E88">
      <w:pPr>
        <w:ind w:left="979" w:right="468"/>
        <w:rPr>
          <w:sz w:val="18"/>
        </w:rPr>
      </w:pPr>
      <w:r>
        <w:rPr>
          <w:sz w:val="18"/>
        </w:rPr>
        <w:t>The company has indemnified the directors and executives of QSS for costs incurred, in their capacity as a director</w:t>
      </w:r>
      <w:r>
        <w:rPr>
          <w:spacing w:val="-1"/>
          <w:sz w:val="18"/>
        </w:rPr>
        <w:t xml:space="preserve"> </w:t>
      </w:r>
      <w:r>
        <w:rPr>
          <w:sz w:val="18"/>
        </w:rPr>
        <w:t>or</w:t>
      </w:r>
      <w:r>
        <w:rPr>
          <w:spacing w:val="-3"/>
          <w:sz w:val="18"/>
        </w:rPr>
        <w:t xml:space="preserve"> </w:t>
      </w:r>
      <w:r>
        <w:rPr>
          <w:sz w:val="18"/>
        </w:rPr>
        <w:t>executive,</w:t>
      </w:r>
      <w:r>
        <w:rPr>
          <w:spacing w:val="-1"/>
          <w:sz w:val="18"/>
        </w:rPr>
        <w:t xml:space="preserve"> </w:t>
      </w:r>
      <w:r>
        <w:rPr>
          <w:sz w:val="18"/>
        </w:rPr>
        <w:t>for</w:t>
      </w:r>
      <w:r>
        <w:rPr>
          <w:spacing w:val="-3"/>
          <w:sz w:val="18"/>
        </w:rPr>
        <w:t xml:space="preserve"> </w:t>
      </w:r>
      <w:r>
        <w:rPr>
          <w:sz w:val="18"/>
        </w:rPr>
        <w:t>which</w:t>
      </w:r>
      <w:r>
        <w:rPr>
          <w:spacing w:val="-3"/>
          <w:sz w:val="18"/>
        </w:rPr>
        <w:t xml:space="preserve"> </w:t>
      </w:r>
      <w:r>
        <w:rPr>
          <w:sz w:val="18"/>
        </w:rPr>
        <w:t>they</w:t>
      </w:r>
      <w:r>
        <w:rPr>
          <w:spacing w:val="-2"/>
          <w:sz w:val="18"/>
        </w:rPr>
        <w:t xml:space="preserve"> </w:t>
      </w:r>
      <w:r>
        <w:rPr>
          <w:sz w:val="18"/>
        </w:rPr>
        <w:t>may</w:t>
      </w:r>
      <w:r>
        <w:rPr>
          <w:spacing w:val="-1"/>
          <w:sz w:val="18"/>
        </w:rPr>
        <w:t xml:space="preserve"> </w:t>
      </w:r>
      <w:r>
        <w:rPr>
          <w:sz w:val="18"/>
        </w:rPr>
        <w:t>be</w:t>
      </w:r>
      <w:r>
        <w:rPr>
          <w:spacing w:val="-1"/>
          <w:sz w:val="18"/>
        </w:rPr>
        <w:t xml:space="preserve"> </w:t>
      </w:r>
      <w:r>
        <w:rPr>
          <w:sz w:val="18"/>
        </w:rPr>
        <w:t>held</w:t>
      </w:r>
      <w:r>
        <w:rPr>
          <w:spacing w:val="-1"/>
          <w:sz w:val="18"/>
        </w:rPr>
        <w:t xml:space="preserve"> </w:t>
      </w:r>
      <w:r>
        <w:rPr>
          <w:sz w:val="18"/>
        </w:rPr>
        <w:t>personally</w:t>
      </w:r>
      <w:r>
        <w:rPr>
          <w:spacing w:val="-2"/>
          <w:sz w:val="18"/>
        </w:rPr>
        <w:t xml:space="preserve"> </w:t>
      </w:r>
      <w:r>
        <w:rPr>
          <w:sz w:val="18"/>
        </w:rPr>
        <w:t>liable,</w:t>
      </w:r>
      <w:r>
        <w:rPr>
          <w:spacing w:val="-3"/>
          <w:sz w:val="18"/>
        </w:rPr>
        <w:t xml:space="preserve"> </w:t>
      </w:r>
      <w:r>
        <w:rPr>
          <w:sz w:val="18"/>
        </w:rPr>
        <w:t>except</w:t>
      </w:r>
      <w:r>
        <w:rPr>
          <w:spacing w:val="-1"/>
          <w:sz w:val="18"/>
        </w:rPr>
        <w:t xml:space="preserve"> </w:t>
      </w:r>
      <w:r>
        <w:rPr>
          <w:sz w:val="18"/>
        </w:rPr>
        <w:t>where</w:t>
      </w:r>
      <w:r>
        <w:rPr>
          <w:spacing w:val="-3"/>
          <w:sz w:val="18"/>
        </w:rPr>
        <w:t xml:space="preserve"> </w:t>
      </w:r>
      <w:r>
        <w:rPr>
          <w:sz w:val="18"/>
        </w:rPr>
        <w:t>there</w:t>
      </w:r>
      <w:r>
        <w:rPr>
          <w:spacing w:val="-1"/>
          <w:sz w:val="18"/>
        </w:rPr>
        <w:t xml:space="preserve"> </w:t>
      </w:r>
      <w:r>
        <w:rPr>
          <w:sz w:val="18"/>
        </w:rPr>
        <w:t>is</w:t>
      </w:r>
      <w:r>
        <w:rPr>
          <w:spacing w:val="-1"/>
          <w:sz w:val="18"/>
        </w:rPr>
        <w:t xml:space="preserve"> </w:t>
      </w:r>
      <w:r>
        <w:rPr>
          <w:sz w:val="18"/>
        </w:rPr>
        <w:t>a</w:t>
      </w:r>
      <w:r>
        <w:rPr>
          <w:spacing w:val="-3"/>
          <w:sz w:val="18"/>
        </w:rPr>
        <w:t xml:space="preserve"> </w:t>
      </w:r>
      <w:r>
        <w:rPr>
          <w:sz w:val="18"/>
        </w:rPr>
        <w:t>lack</w:t>
      </w:r>
      <w:r>
        <w:rPr>
          <w:spacing w:val="-2"/>
          <w:sz w:val="18"/>
        </w:rPr>
        <w:t xml:space="preserve"> </w:t>
      </w:r>
      <w:r>
        <w:rPr>
          <w:sz w:val="18"/>
        </w:rPr>
        <w:t>of</w:t>
      </w:r>
      <w:r>
        <w:rPr>
          <w:spacing w:val="-1"/>
          <w:sz w:val="18"/>
        </w:rPr>
        <w:t xml:space="preserve"> </w:t>
      </w:r>
      <w:r>
        <w:rPr>
          <w:sz w:val="18"/>
        </w:rPr>
        <w:t>good</w:t>
      </w:r>
      <w:r>
        <w:rPr>
          <w:spacing w:val="-3"/>
          <w:sz w:val="18"/>
        </w:rPr>
        <w:t xml:space="preserve"> </w:t>
      </w:r>
      <w:r>
        <w:rPr>
          <w:sz w:val="18"/>
        </w:rPr>
        <w:t>faith.</w:t>
      </w:r>
    </w:p>
    <w:p w14:paraId="20C45229" w14:textId="77777777" w:rsidR="00AC6F3C" w:rsidRDefault="00AC6F3C">
      <w:pPr>
        <w:pStyle w:val="BodyText"/>
        <w:spacing w:before="9"/>
      </w:pPr>
    </w:p>
    <w:p w14:paraId="2690A332" w14:textId="77777777" w:rsidR="00AC6F3C" w:rsidRDefault="00570E88">
      <w:pPr>
        <w:ind w:left="979"/>
        <w:rPr>
          <w:b/>
          <w:sz w:val="18"/>
        </w:rPr>
      </w:pPr>
      <w:r>
        <w:rPr>
          <w:b/>
          <w:sz w:val="18"/>
        </w:rPr>
        <w:t>Indemnity</w:t>
      </w:r>
      <w:r>
        <w:rPr>
          <w:b/>
          <w:spacing w:val="-2"/>
          <w:sz w:val="18"/>
        </w:rPr>
        <w:t xml:space="preserve"> </w:t>
      </w:r>
      <w:r>
        <w:rPr>
          <w:b/>
          <w:sz w:val="18"/>
        </w:rPr>
        <w:t>and</w:t>
      </w:r>
      <w:r>
        <w:rPr>
          <w:b/>
          <w:spacing w:val="-2"/>
          <w:sz w:val="18"/>
        </w:rPr>
        <w:t xml:space="preserve"> </w:t>
      </w:r>
      <w:r>
        <w:rPr>
          <w:b/>
          <w:sz w:val="18"/>
        </w:rPr>
        <w:t>insurance</w:t>
      </w:r>
      <w:r>
        <w:rPr>
          <w:b/>
          <w:spacing w:val="-4"/>
          <w:sz w:val="18"/>
        </w:rPr>
        <w:t xml:space="preserve"> </w:t>
      </w:r>
      <w:r>
        <w:rPr>
          <w:b/>
          <w:sz w:val="18"/>
        </w:rPr>
        <w:t>of</w:t>
      </w:r>
      <w:r>
        <w:rPr>
          <w:b/>
          <w:spacing w:val="-3"/>
          <w:sz w:val="18"/>
        </w:rPr>
        <w:t xml:space="preserve"> </w:t>
      </w:r>
      <w:r>
        <w:rPr>
          <w:b/>
          <w:spacing w:val="-2"/>
          <w:sz w:val="18"/>
        </w:rPr>
        <w:t>auditor</w:t>
      </w:r>
    </w:p>
    <w:p w14:paraId="15D186C4" w14:textId="77777777" w:rsidR="00AC6F3C" w:rsidRDefault="00AC6F3C">
      <w:pPr>
        <w:pStyle w:val="BodyText"/>
        <w:spacing w:before="9"/>
        <w:rPr>
          <w:b/>
        </w:rPr>
      </w:pPr>
    </w:p>
    <w:p w14:paraId="222BB943" w14:textId="77777777" w:rsidR="00AC6F3C" w:rsidRDefault="00570E88">
      <w:pPr>
        <w:ind w:left="979" w:right="468"/>
        <w:rPr>
          <w:sz w:val="18"/>
        </w:rPr>
      </w:pPr>
      <w:r>
        <w:rPr>
          <w:sz w:val="18"/>
        </w:rPr>
        <w:t>The</w:t>
      </w:r>
      <w:r>
        <w:rPr>
          <w:spacing w:val="-1"/>
          <w:sz w:val="18"/>
        </w:rPr>
        <w:t xml:space="preserve"> </w:t>
      </w:r>
      <w:r>
        <w:rPr>
          <w:sz w:val="18"/>
        </w:rPr>
        <w:t>company</w:t>
      </w:r>
      <w:r>
        <w:rPr>
          <w:spacing w:val="-1"/>
          <w:sz w:val="18"/>
        </w:rPr>
        <w:t xml:space="preserve"> </w:t>
      </w:r>
      <w:r>
        <w:rPr>
          <w:sz w:val="18"/>
        </w:rPr>
        <w:t>has</w:t>
      </w:r>
      <w:r>
        <w:rPr>
          <w:spacing w:val="-1"/>
          <w:sz w:val="18"/>
        </w:rPr>
        <w:t xml:space="preserve"> </w:t>
      </w:r>
      <w:r>
        <w:rPr>
          <w:sz w:val="18"/>
        </w:rPr>
        <w:t>not,</w:t>
      </w:r>
      <w:r>
        <w:rPr>
          <w:spacing w:val="-2"/>
          <w:sz w:val="18"/>
        </w:rPr>
        <w:t xml:space="preserve"> </w:t>
      </w:r>
      <w:r>
        <w:rPr>
          <w:sz w:val="18"/>
        </w:rPr>
        <w:t>during</w:t>
      </w:r>
      <w:r>
        <w:rPr>
          <w:spacing w:val="-4"/>
          <w:sz w:val="18"/>
        </w:rPr>
        <w:t xml:space="preserve"> </w:t>
      </w:r>
      <w:r>
        <w:rPr>
          <w:sz w:val="18"/>
        </w:rPr>
        <w:t>or</w:t>
      </w:r>
      <w:r>
        <w:rPr>
          <w:spacing w:val="-2"/>
          <w:sz w:val="18"/>
        </w:rPr>
        <w:t xml:space="preserve"> </w:t>
      </w:r>
      <w:r>
        <w:rPr>
          <w:sz w:val="18"/>
        </w:rPr>
        <w:t>since</w:t>
      </w:r>
      <w:r>
        <w:rPr>
          <w:spacing w:val="-4"/>
          <w:sz w:val="18"/>
        </w:rPr>
        <w:t xml:space="preserve"> </w:t>
      </w:r>
      <w:r>
        <w:rPr>
          <w:sz w:val="18"/>
        </w:rPr>
        <w:t>the</w:t>
      </w:r>
      <w:r>
        <w:rPr>
          <w:spacing w:val="-4"/>
          <w:sz w:val="18"/>
        </w:rPr>
        <w:t xml:space="preserve"> </w:t>
      </w:r>
      <w:r>
        <w:rPr>
          <w:sz w:val="18"/>
        </w:rPr>
        <w:t>end</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financial</w:t>
      </w:r>
      <w:r>
        <w:rPr>
          <w:spacing w:val="-1"/>
          <w:sz w:val="18"/>
        </w:rPr>
        <w:t xml:space="preserve"> </w:t>
      </w:r>
      <w:r>
        <w:rPr>
          <w:sz w:val="18"/>
        </w:rPr>
        <w:t>year,</w:t>
      </w:r>
      <w:r>
        <w:rPr>
          <w:spacing w:val="-2"/>
          <w:sz w:val="18"/>
        </w:rPr>
        <w:t xml:space="preserve"> </w:t>
      </w:r>
      <w:r>
        <w:rPr>
          <w:sz w:val="18"/>
        </w:rPr>
        <w:t>indemnified</w:t>
      </w:r>
      <w:r>
        <w:rPr>
          <w:spacing w:val="-4"/>
          <w:sz w:val="18"/>
        </w:rPr>
        <w:t xml:space="preserve"> </w:t>
      </w:r>
      <w:r>
        <w:rPr>
          <w:sz w:val="18"/>
        </w:rPr>
        <w:t>or</w:t>
      </w:r>
      <w:r>
        <w:rPr>
          <w:spacing w:val="-2"/>
          <w:sz w:val="18"/>
        </w:rPr>
        <w:t xml:space="preserve"> </w:t>
      </w:r>
      <w:r>
        <w:rPr>
          <w:sz w:val="18"/>
        </w:rPr>
        <w:t>agreed</w:t>
      </w:r>
      <w:r>
        <w:rPr>
          <w:spacing w:val="-4"/>
          <w:sz w:val="18"/>
        </w:rPr>
        <w:t xml:space="preserve"> </w:t>
      </w:r>
      <w:r>
        <w:rPr>
          <w:sz w:val="18"/>
        </w:rPr>
        <w:t>to</w:t>
      </w:r>
      <w:r>
        <w:rPr>
          <w:spacing w:val="-1"/>
          <w:sz w:val="18"/>
        </w:rPr>
        <w:t xml:space="preserve"> </w:t>
      </w:r>
      <w:r>
        <w:rPr>
          <w:sz w:val="18"/>
        </w:rPr>
        <w:t>indemnify</w:t>
      </w:r>
      <w:r>
        <w:rPr>
          <w:spacing w:val="-3"/>
          <w:sz w:val="18"/>
        </w:rPr>
        <w:t xml:space="preserve"> </w:t>
      </w:r>
      <w:r>
        <w:rPr>
          <w:sz w:val="18"/>
        </w:rPr>
        <w:t>the auditor of the company or any related entity against a liability incurred by the auditor.</w:t>
      </w:r>
    </w:p>
    <w:p w14:paraId="026F11B1" w14:textId="77777777" w:rsidR="00AC6F3C" w:rsidRDefault="00AC6F3C">
      <w:pPr>
        <w:pStyle w:val="BodyText"/>
        <w:rPr>
          <w:sz w:val="21"/>
        </w:rPr>
      </w:pPr>
    </w:p>
    <w:p w14:paraId="7A065850" w14:textId="77777777" w:rsidR="00AC6F3C" w:rsidRDefault="00570E88">
      <w:pPr>
        <w:ind w:left="979"/>
        <w:rPr>
          <w:sz w:val="18"/>
        </w:rPr>
      </w:pPr>
      <w:r>
        <w:rPr>
          <w:sz w:val="18"/>
        </w:rPr>
        <w:t>During the financial</w:t>
      </w:r>
      <w:r>
        <w:rPr>
          <w:spacing w:val="-3"/>
          <w:sz w:val="18"/>
        </w:rPr>
        <w:t xml:space="preserve"> </w:t>
      </w:r>
      <w:r>
        <w:rPr>
          <w:sz w:val="18"/>
        </w:rPr>
        <w:t>year,</w:t>
      </w:r>
      <w:r>
        <w:rPr>
          <w:spacing w:val="-3"/>
          <w:sz w:val="18"/>
        </w:rPr>
        <w:t xml:space="preserve"> </w:t>
      </w:r>
      <w:r>
        <w:rPr>
          <w:sz w:val="18"/>
        </w:rPr>
        <w:t>the</w:t>
      </w:r>
      <w:r>
        <w:rPr>
          <w:spacing w:val="-3"/>
          <w:sz w:val="18"/>
        </w:rPr>
        <w:t xml:space="preserve"> </w:t>
      </w:r>
      <w:r>
        <w:rPr>
          <w:sz w:val="18"/>
        </w:rPr>
        <w:t>company</w:t>
      </w:r>
      <w:r>
        <w:rPr>
          <w:spacing w:val="-2"/>
          <w:sz w:val="18"/>
        </w:rPr>
        <w:t xml:space="preserve"> </w:t>
      </w:r>
      <w:r>
        <w:rPr>
          <w:sz w:val="18"/>
        </w:rPr>
        <w:t>has</w:t>
      </w:r>
      <w:r>
        <w:rPr>
          <w:spacing w:val="-2"/>
          <w:sz w:val="18"/>
        </w:rPr>
        <w:t xml:space="preserve"> </w:t>
      </w:r>
      <w:r>
        <w:rPr>
          <w:sz w:val="18"/>
        </w:rPr>
        <w:t>not</w:t>
      </w:r>
      <w:r>
        <w:rPr>
          <w:spacing w:val="-3"/>
          <w:sz w:val="18"/>
        </w:rPr>
        <w:t xml:space="preserve"> </w:t>
      </w:r>
      <w:r>
        <w:rPr>
          <w:sz w:val="18"/>
        </w:rPr>
        <w:t>paid</w:t>
      </w:r>
      <w:r>
        <w:rPr>
          <w:spacing w:val="-1"/>
          <w:sz w:val="18"/>
        </w:rPr>
        <w:t xml:space="preserve"> </w:t>
      </w:r>
      <w:r>
        <w:rPr>
          <w:sz w:val="18"/>
        </w:rPr>
        <w:t>a</w:t>
      </w:r>
      <w:r>
        <w:rPr>
          <w:spacing w:val="-3"/>
          <w:sz w:val="18"/>
        </w:rPr>
        <w:t xml:space="preserve"> </w:t>
      </w:r>
      <w:r>
        <w:rPr>
          <w:sz w:val="18"/>
        </w:rPr>
        <w:t>premium in respect</w:t>
      </w:r>
      <w:r>
        <w:rPr>
          <w:spacing w:val="-3"/>
          <w:sz w:val="18"/>
        </w:rPr>
        <w:t xml:space="preserve"> </w:t>
      </w:r>
      <w:r>
        <w:rPr>
          <w:sz w:val="18"/>
        </w:rPr>
        <w:t>of</w:t>
      </w:r>
      <w:r>
        <w:rPr>
          <w:spacing w:val="-3"/>
          <w:sz w:val="18"/>
        </w:rPr>
        <w:t xml:space="preserve"> </w:t>
      </w:r>
      <w:r>
        <w:rPr>
          <w:sz w:val="18"/>
        </w:rPr>
        <w:t>a contract</w:t>
      </w:r>
      <w:r>
        <w:rPr>
          <w:spacing w:val="-1"/>
          <w:sz w:val="18"/>
        </w:rPr>
        <w:t xml:space="preserve"> </w:t>
      </w:r>
      <w:r>
        <w:rPr>
          <w:sz w:val="18"/>
        </w:rPr>
        <w:t>to insure the auditor</w:t>
      </w:r>
      <w:r>
        <w:rPr>
          <w:spacing w:val="-1"/>
          <w:sz w:val="18"/>
        </w:rPr>
        <w:t xml:space="preserve"> </w:t>
      </w:r>
      <w:r>
        <w:rPr>
          <w:sz w:val="18"/>
        </w:rPr>
        <w:t>of</w:t>
      </w:r>
      <w:r>
        <w:rPr>
          <w:spacing w:val="-4"/>
          <w:sz w:val="18"/>
        </w:rPr>
        <w:t xml:space="preserve"> </w:t>
      </w:r>
      <w:r>
        <w:rPr>
          <w:sz w:val="18"/>
        </w:rPr>
        <w:t>the company or any related entity.</w:t>
      </w:r>
    </w:p>
    <w:p w14:paraId="6076EAED" w14:textId="77777777" w:rsidR="00AC6F3C" w:rsidRDefault="00AC6F3C">
      <w:pPr>
        <w:pStyle w:val="BodyText"/>
        <w:spacing w:before="9"/>
      </w:pPr>
    </w:p>
    <w:p w14:paraId="4D1F6C39" w14:textId="77777777" w:rsidR="00AC6F3C" w:rsidRDefault="00570E88">
      <w:pPr>
        <w:ind w:left="979"/>
        <w:rPr>
          <w:b/>
          <w:sz w:val="18"/>
        </w:rPr>
      </w:pPr>
      <w:r>
        <w:rPr>
          <w:b/>
          <w:sz w:val="18"/>
        </w:rPr>
        <w:t>Proceedings</w:t>
      </w:r>
      <w:r>
        <w:rPr>
          <w:b/>
          <w:spacing w:val="-3"/>
          <w:sz w:val="18"/>
        </w:rPr>
        <w:t xml:space="preserve"> </w:t>
      </w:r>
      <w:r>
        <w:rPr>
          <w:b/>
          <w:sz w:val="18"/>
        </w:rPr>
        <w:t>on</w:t>
      </w:r>
      <w:r>
        <w:rPr>
          <w:b/>
          <w:spacing w:val="-4"/>
          <w:sz w:val="18"/>
        </w:rPr>
        <w:t xml:space="preserve"> </w:t>
      </w:r>
      <w:r>
        <w:rPr>
          <w:b/>
          <w:sz w:val="18"/>
        </w:rPr>
        <w:t>behalf</w:t>
      </w:r>
      <w:r>
        <w:rPr>
          <w:b/>
          <w:spacing w:val="-1"/>
          <w:sz w:val="18"/>
        </w:rPr>
        <w:t xml:space="preserve"> </w:t>
      </w:r>
      <w:r>
        <w:rPr>
          <w:b/>
          <w:sz w:val="18"/>
        </w:rPr>
        <w:t>of</w:t>
      </w:r>
      <w:r>
        <w:rPr>
          <w:b/>
          <w:spacing w:val="-2"/>
          <w:sz w:val="18"/>
        </w:rPr>
        <w:t xml:space="preserve"> </w:t>
      </w:r>
      <w:r>
        <w:rPr>
          <w:b/>
          <w:sz w:val="18"/>
        </w:rPr>
        <w:t xml:space="preserve">the </w:t>
      </w:r>
      <w:r>
        <w:rPr>
          <w:b/>
          <w:spacing w:val="-2"/>
          <w:sz w:val="18"/>
        </w:rPr>
        <w:t>company</w:t>
      </w:r>
    </w:p>
    <w:p w14:paraId="4987B6A6" w14:textId="77777777" w:rsidR="00AC6F3C" w:rsidRDefault="00AC6F3C">
      <w:pPr>
        <w:pStyle w:val="BodyText"/>
        <w:rPr>
          <w:b/>
          <w:sz w:val="21"/>
        </w:rPr>
      </w:pPr>
    </w:p>
    <w:p w14:paraId="7676E661" w14:textId="77777777" w:rsidR="00AC6F3C" w:rsidRDefault="00570E88">
      <w:pPr>
        <w:ind w:left="979" w:right="320"/>
        <w:rPr>
          <w:sz w:val="18"/>
        </w:rPr>
      </w:pPr>
      <w:r>
        <w:rPr>
          <w:sz w:val="18"/>
        </w:rPr>
        <w:t xml:space="preserve">No person has applied to the Court under section 237 of the </w:t>
      </w:r>
      <w:r>
        <w:rPr>
          <w:i/>
          <w:sz w:val="18"/>
        </w:rPr>
        <w:t xml:space="preserve">Corporations Act 2001 </w:t>
      </w:r>
      <w:r>
        <w:rPr>
          <w:sz w:val="18"/>
        </w:rPr>
        <w:t>for leave to bring</w:t>
      </w:r>
      <w:r>
        <w:rPr>
          <w:spacing w:val="40"/>
          <w:sz w:val="18"/>
        </w:rPr>
        <w:t xml:space="preserve"> </w:t>
      </w:r>
      <w:r>
        <w:rPr>
          <w:sz w:val="18"/>
        </w:rPr>
        <w:t>proceedings</w:t>
      </w:r>
      <w:r>
        <w:rPr>
          <w:spacing w:val="-3"/>
          <w:sz w:val="18"/>
        </w:rPr>
        <w:t xml:space="preserve"> </w:t>
      </w:r>
      <w:r>
        <w:rPr>
          <w:sz w:val="18"/>
        </w:rPr>
        <w:t>on</w:t>
      </w:r>
      <w:r>
        <w:rPr>
          <w:spacing w:val="-3"/>
          <w:sz w:val="18"/>
        </w:rPr>
        <w:t xml:space="preserve"> </w:t>
      </w:r>
      <w:r>
        <w:rPr>
          <w:sz w:val="18"/>
        </w:rPr>
        <w:t>behalf</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company,</w:t>
      </w:r>
      <w:r>
        <w:rPr>
          <w:spacing w:val="-3"/>
          <w:sz w:val="18"/>
        </w:rPr>
        <w:t xml:space="preserve"> </w:t>
      </w:r>
      <w:r>
        <w:rPr>
          <w:sz w:val="18"/>
        </w:rPr>
        <w:t>or</w:t>
      </w:r>
      <w:r>
        <w:rPr>
          <w:spacing w:val="-2"/>
          <w:sz w:val="18"/>
        </w:rPr>
        <w:t xml:space="preserve"> </w:t>
      </w:r>
      <w:r>
        <w:rPr>
          <w:sz w:val="18"/>
        </w:rPr>
        <w:t>to</w:t>
      </w:r>
      <w:r>
        <w:rPr>
          <w:spacing w:val="-3"/>
          <w:sz w:val="18"/>
        </w:rPr>
        <w:t xml:space="preserve"> </w:t>
      </w:r>
      <w:r>
        <w:rPr>
          <w:sz w:val="18"/>
        </w:rPr>
        <w:t>intervene</w:t>
      </w:r>
      <w:r>
        <w:rPr>
          <w:spacing w:val="-1"/>
          <w:sz w:val="18"/>
        </w:rPr>
        <w:t xml:space="preserve"> </w:t>
      </w:r>
      <w:r>
        <w:rPr>
          <w:sz w:val="18"/>
        </w:rPr>
        <w:t>in</w:t>
      </w:r>
      <w:r>
        <w:rPr>
          <w:spacing w:val="-1"/>
          <w:sz w:val="18"/>
        </w:rPr>
        <w:t xml:space="preserve"> </w:t>
      </w:r>
      <w:r>
        <w:rPr>
          <w:sz w:val="18"/>
        </w:rPr>
        <w:t>any</w:t>
      </w:r>
      <w:r>
        <w:rPr>
          <w:spacing w:val="-3"/>
          <w:sz w:val="18"/>
        </w:rPr>
        <w:t xml:space="preserve"> </w:t>
      </w:r>
      <w:r>
        <w:rPr>
          <w:sz w:val="18"/>
        </w:rPr>
        <w:t>proceedings</w:t>
      </w:r>
      <w:r>
        <w:rPr>
          <w:spacing w:val="-1"/>
          <w:sz w:val="18"/>
        </w:rPr>
        <w:t xml:space="preserve"> </w:t>
      </w:r>
      <w:r>
        <w:rPr>
          <w:sz w:val="18"/>
        </w:rPr>
        <w:t>to</w:t>
      </w:r>
      <w:r>
        <w:rPr>
          <w:spacing w:val="-1"/>
          <w:sz w:val="18"/>
        </w:rPr>
        <w:t xml:space="preserve"> </w:t>
      </w:r>
      <w:r>
        <w:rPr>
          <w:sz w:val="18"/>
        </w:rPr>
        <w:t>which</w:t>
      </w:r>
      <w:r>
        <w:rPr>
          <w:spacing w:val="-1"/>
          <w:sz w:val="18"/>
        </w:rPr>
        <w:t xml:space="preserve"> </w:t>
      </w:r>
      <w:r>
        <w:rPr>
          <w:sz w:val="18"/>
        </w:rPr>
        <w:t>the</w:t>
      </w:r>
      <w:r>
        <w:rPr>
          <w:spacing w:val="-3"/>
          <w:sz w:val="18"/>
        </w:rPr>
        <w:t xml:space="preserve"> </w:t>
      </w:r>
      <w:r>
        <w:rPr>
          <w:sz w:val="18"/>
        </w:rPr>
        <w:t>company</w:t>
      </w:r>
      <w:r>
        <w:rPr>
          <w:spacing w:val="-3"/>
          <w:sz w:val="18"/>
        </w:rPr>
        <w:t xml:space="preserve"> </w:t>
      </w:r>
      <w:r>
        <w:rPr>
          <w:sz w:val="18"/>
        </w:rPr>
        <w:t>is</w:t>
      </w:r>
      <w:r>
        <w:rPr>
          <w:spacing w:val="-3"/>
          <w:sz w:val="18"/>
        </w:rPr>
        <w:t xml:space="preserve"> </w:t>
      </w:r>
      <w:r>
        <w:rPr>
          <w:sz w:val="18"/>
        </w:rPr>
        <w:t>a</w:t>
      </w:r>
      <w:r>
        <w:rPr>
          <w:spacing w:val="-1"/>
          <w:sz w:val="18"/>
        </w:rPr>
        <w:t xml:space="preserve"> </w:t>
      </w:r>
      <w:r>
        <w:rPr>
          <w:sz w:val="18"/>
        </w:rPr>
        <w:t>party</w:t>
      </w:r>
      <w:r>
        <w:rPr>
          <w:spacing w:val="-3"/>
          <w:sz w:val="18"/>
        </w:rPr>
        <w:t xml:space="preserve"> </w:t>
      </w:r>
      <w:r>
        <w:rPr>
          <w:sz w:val="18"/>
        </w:rPr>
        <w:t>for</w:t>
      </w:r>
      <w:r>
        <w:rPr>
          <w:spacing w:val="-2"/>
          <w:sz w:val="18"/>
        </w:rPr>
        <w:t xml:space="preserve"> </w:t>
      </w:r>
      <w:r>
        <w:rPr>
          <w:sz w:val="18"/>
        </w:rPr>
        <w:t>the purpose of taking responsibility on behalf of the company for all or part of those proceedings.</w:t>
      </w:r>
    </w:p>
    <w:p w14:paraId="4A70FC8B" w14:textId="77777777" w:rsidR="00AC6F3C" w:rsidRDefault="00AC6F3C">
      <w:pPr>
        <w:pStyle w:val="BodyText"/>
        <w:spacing w:before="8"/>
      </w:pPr>
    </w:p>
    <w:p w14:paraId="6B952A26" w14:textId="77777777" w:rsidR="00AC6F3C" w:rsidRDefault="00570E88">
      <w:pPr>
        <w:ind w:left="979"/>
        <w:rPr>
          <w:b/>
          <w:sz w:val="18"/>
        </w:rPr>
      </w:pPr>
      <w:r>
        <w:rPr>
          <w:b/>
          <w:sz w:val="18"/>
        </w:rPr>
        <w:t>Rounding</w:t>
      </w:r>
      <w:r>
        <w:rPr>
          <w:b/>
          <w:spacing w:val="-1"/>
          <w:sz w:val="18"/>
        </w:rPr>
        <w:t xml:space="preserve"> </w:t>
      </w:r>
      <w:r>
        <w:rPr>
          <w:b/>
          <w:sz w:val="18"/>
        </w:rPr>
        <w:t>of</w:t>
      </w:r>
      <w:r>
        <w:rPr>
          <w:b/>
          <w:spacing w:val="-2"/>
          <w:sz w:val="18"/>
        </w:rPr>
        <w:t xml:space="preserve"> amounts</w:t>
      </w:r>
    </w:p>
    <w:p w14:paraId="547EE2D9" w14:textId="77777777" w:rsidR="00AC6F3C" w:rsidRDefault="00AC6F3C">
      <w:pPr>
        <w:pStyle w:val="BodyText"/>
        <w:rPr>
          <w:b/>
          <w:sz w:val="21"/>
        </w:rPr>
      </w:pPr>
    </w:p>
    <w:p w14:paraId="22D1802A" w14:textId="77777777" w:rsidR="00AC6F3C" w:rsidRDefault="00570E88">
      <w:pPr>
        <w:spacing w:before="1"/>
        <w:ind w:left="980" w:right="468" w:hanging="1"/>
        <w:rPr>
          <w:sz w:val="18"/>
        </w:rPr>
      </w:pPr>
      <w:r>
        <w:rPr>
          <w:sz w:val="18"/>
        </w:rPr>
        <w:t>The</w:t>
      </w:r>
      <w:r>
        <w:rPr>
          <w:spacing w:val="-1"/>
          <w:sz w:val="18"/>
        </w:rPr>
        <w:t xml:space="preserve"> </w:t>
      </w:r>
      <w:r>
        <w:rPr>
          <w:sz w:val="18"/>
        </w:rPr>
        <w:t>company</w:t>
      </w:r>
      <w:r>
        <w:rPr>
          <w:spacing w:val="-1"/>
          <w:sz w:val="18"/>
        </w:rPr>
        <w:t xml:space="preserve"> </w:t>
      </w:r>
      <w:r>
        <w:rPr>
          <w:sz w:val="18"/>
        </w:rPr>
        <w:t>is</w:t>
      </w:r>
      <w:r>
        <w:rPr>
          <w:spacing w:val="-1"/>
          <w:sz w:val="18"/>
        </w:rPr>
        <w:t xml:space="preserve"> </w:t>
      </w:r>
      <w:r>
        <w:rPr>
          <w:sz w:val="18"/>
        </w:rPr>
        <w:t>of</w:t>
      </w:r>
      <w:r>
        <w:rPr>
          <w:spacing w:val="-4"/>
          <w:sz w:val="18"/>
        </w:rPr>
        <w:t xml:space="preserve"> </w:t>
      </w:r>
      <w:r>
        <w:rPr>
          <w:sz w:val="18"/>
        </w:rPr>
        <w:t>a</w:t>
      </w:r>
      <w:r>
        <w:rPr>
          <w:spacing w:val="-1"/>
          <w:sz w:val="18"/>
        </w:rPr>
        <w:t xml:space="preserve"> </w:t>
      </w:r>
      <w:r>
        <w:rPr>
          <w:sz w:val="18"/>
        </w:rPr>
        <w:t>kind</w:t>
      </w:r>
      <w:r>
        <w:rPr>
          <w:spacing w:val="-1"/>
          <w:sz w:val="18"/>
        </w:rPr>
        <w:t xml:space="preserve"> </w:t>
      </w:r>
      <w:r>
        <w:rPr>
          <w:sz w:val="18"/>
        </w:rPr>
        <w:t>referred</w:t>
      </w:r>
      <w:r>
        <w:rPr>
          <w:spacing w:val="-1"/>
          <w:sz w:val="18"/>
        </w:rPr>
        <w:t xml:space="preserve"> </w:t>
      </w:r>
      <w:r>
        <w:rPr>
          <w:sz w:val="18"/>
        </w:rPr>
        <w:t>to</w:t>
      </w:r>
      <w:r>
        <w:rPr>
          <w:spacing w:val="-4"/>
          <w:sz w:val="18"/>
        </w:rPr>
        <w:t xml:space="preserve"> </w:t>
      </w:r>
      <w:r>
        <w:rPr>
          <w:sz w:val="18"/>
        </w:rPr>
        <w:t>in</w:t>
      </w:r>
      <w:r>
        <w:rPr>
          <w:spacing w:val="-1"/>
          <w:sz w:val="18"/>
        </w:rPr>
        <w:t xml:space="preserve"> </w:t>
      </w:r>
      <w:r>
        <w:rPr>
          <w:sz w:val="18"/>
        </w:rPr>
        <w:t>Corporations</w:t>
      </w:r>
      <w:r>
        <w:rPr>
          <w:spacing w:val="-1"/>
          <w:sz w:val="18"/>
        </w:rPr>
        <w:t xml:space="preserve"> </w:t>
      </w:r>
      <w:r>
        <w:rPr>
          <w:sz w:val="18"/>
        </w:rPr>
        <w:t>Instrument</w:t>
      </w:r>
      <w:r>
        <w:rPr>
          <w:spacing w:val="-2"/>
          <w:sz w:val="18"/>
        </w:rPr>
        <w:t xml:space="preserve"> </w:t>
      </w:r>
      <w:r>
        <w:rPr>
          <w:sz w:val="18"/>
        </w:rPr>
        <w:t>2016/191,</w:t>
      </w:r>
      <w:r>
        <w:rPr>
          <w:spacing w:val="-4"/>
          <w:sz w:val="18"/>
        </w:rPr>
        <w:t xml:space="preserve"> </w:t>
      </w:r>
      <w:r>
        <w:rPr>
          <w:sz w:val="18"/>
        </w:rPr>
        <w:t>issued</w:t>
      </w:r>
      <w:r>
        <w:rPr>
          <w:spacing w:val="-1"/>
          <w:sz w:val="18"/>
        </w:rPr>
        <w:t xml:space="preserve"> </w:t>
      </w:r>
      <w:r>
        <w:rPr>
          <w:sz w:val="18"/>
        </w:rPr>
        <w:t>by</w:t>
      </w:r>
      <w:r>
        <w:rPr>
          <w:spacing w:val="-1"/>
          <w:sz w:val="18"/>
        </w:rPr>
        <w:t xml:space="preserve"> </w:t>
      </w:r>
      <w:r>
        <w:rPr>
          <w:sz w:val="18"/>
        </w:rPr>
        <w:t>the</w:t>
      </w:r>
      <w:r>
        <w:rPr>
          <w:spacing w:val="-4"/>
          <w:sz w:val="18"/>
        </w:rPr>
        <w:t xml:space="preserve"> </w:t>
      </w:r>
      <w:r>
        <w:rPr>
          <w:sz w:val="18"/>
        </w:rPr>
        <w:t>Australian</w:t>
      </w:r>
      <w:r>
        <w:rPr>
          <w:spacing w:val="-4"/>
          <w:sz w:val="18"/>
        </w:rPr>
        <w:t xml:space="preserve"> </w:t>
      </w:r>
      <w:r>
        <w:rPr>
          <w:sz w:val="18"/>
        </w:rPr>
        <w:t>Securities and Investments Commission, relating to 'rounding-off'. Amounts in this report have been rounded off in accordance with that Corporations Instrument to the nearest dollar.</w:t>
      </w:r>
    </w:p>
    <w:p w14:paraId="5A2EA339" w14:textId="77777777" w:rsidR="00AC6F3C" w:rsidRDefault="00AC6F3C">
      <w:pPr>
        <w:pStyle w:val="BodyText"/>
        <w:spacing w:before="8"/>
      </w:pPr>
    </w:p>
    <w:p w14:paraId="4A38A4FD" w14:textId="77777777" w:rsidR="00AC6F3C" w:rsidRDefault="00570E88">
      <w:pPr>
        <w:ind w:left="980"/>
        <w:rPr>
          <w:b/>
          <w:sz w:val="18"/>
        </w:rPr>
      </w:pPr>
      <w:r>
        <w:rPr>
          <w:b/>
          <w:sz w:val="18"/>
        </w:rPr>
        <w:t>Auditor's</w:t>
      </w:r>
      <w:r>
        <w:rPr>
          <w:b/>
          <w:spacing w:val="-3"/>
          <w:sz w:val="18"/>
        </w:rPr>
        <w:t xml:space="preserve"> </w:t>
      </w:r>
      <w:r>
        <w:rPr>
          <w:b/>
          <w:sz w:val="18"/>
        </w:rPr>
        <w:t>independence</w:t>
      </w:r>
      <w:r>
        <w:rPr>
          <w:b/>
          <w:spacing w:val="-3"/>
          <w:sz w:val="18"/>
        </w:rPr>
        <w:t xml:space="preserve"> </w:t>
      </w:r>
      <w:r>
        <w:rPr>
          <w:b/>
          <w:spacing w:val="-2"/>
          <w:sz w:val="18"/>
        </w:rPr>
        <w:t>declaration</w:t>
      </w:r>
    </w:p>
    <w:p w14:paraId="7A1E4B3C" w14:textId="77777777" w:rsidR="00AC6F3C" w:rsidRDefault="00AC6F3C">
      <w:pPr>
        <w:pStyle w:val="BodyText"/>
        <w:rPr>
          <w:b/>
          <w:sz w:val="21"/>
        </w:rPr>
      </w:pPr>
    </w:p>
    <w:p w14:paraId="77392804" w14:textId="77777777" w:rsidR="00AC6F3C" w:rsidRDefault="00570E88">
      <w:pPr>
        <w:ind w:left="980" w:right="234"/>
        <w:rPr>
          <w:sz w:val="18"/>
        </w:rPr>
      </w:pPr>
      <w:r>
        <w:rPr>
          <w:sz w:val="18"/>
        </w:rPr>
        <w:t>A</w:t>
      </w:r>
      <w:r>
        <w:rPr>
          <w:spacing w:val="-2"/>
          <w:sz w:val="18"/>
        </w:rPr>
        <w:t xml:space="preserve"> </w:t>
      </w:r>
      <w:r>
        <w:rPr>
          <w:sz w:val="18"/>
        </w:rPr>
        <w:t>copy</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auditor's</w:t>
      </w:r>
      <w:r>
        <w:rPr>
          <w:spacing w:val="-3"/>
          <w:sz w:val="18"/>
        </w:rPr>
        <w:t xml:space="preserve"> </w:t>
      </w:r>
      <w:r>
        <w:rPr>
          <w:sz w:val="18"/>
        </w:rPr>
        <w:t>independence</w:t>
      </w:r>
      <w:r>
        <w:rPr>
          <w:spacing w:val="-1"/>
          <w:sz w:val="18"/>
        </w:rPr>
        <w:t xml:space="preserve"> </w:t>
      </w:r>
      <w:r>
        <w:rPr>
          <w:sz w:val="18"/>
        </w:rPr>
        <w:t>declaration</w:t>
      </w:r>
      <w:r>
        <w:rPr>
          <w:spacing w:val="-4"/>
          <w:sz w:val="18"/>
        </w:rPr>
        <w:t xml:space="preserve"> </w:t>
      </w:r>
      <w:r>
        <w:rPr>
          <w:sz w:val="18"/>
        </w:rPr>
        <w:t>as</w:t>
      </w:r>
      <w:r>
        <w:rPr>
          <w:spacing w:val="-1"/>
          <w:sz w:val="18"/>
        </w:rPr>
        <w:t xml:space="preserve"> </w:t>
      </w:r>
      <w:r>
        <w:rPr>
          <w:sz w:val="18"/>
        </w:rPr>
        <w:t>required</w:t>
      </w:r>
      <w:r>
        <w:rPr>
          <w:spacing w:val="-1"/>
          <w:sz w:val="18"/>
        </w:rPr>
        <w:t xml:space="preserve"> </w:t>
      </w:r>
      <w:r>
        <w:rPr>
          <w:sz w:val="18"/>
        </w:rPr>
        <w:t>under</w:t>
      </w:r>
      <w:r>
        <w:rPr>
          <w:spacing w:val="-2"/>
          <w:sz w:val="18"/>
        </w:rPr>
        <w:t xml:space="preserve"> </w:t>
      </w:r>
      <w:r>
        <w:rPr>
          <w:sz w:val="18"/>
        </w:rPr>
        <w:t>section</w:t>
      </w:r>
      <w:r>
        <w:rPr>
          <w:spacing w:val="-4"/>
          <w:sz w:val="18"/>
        </w:rPr>
        <w:t xml:space="preserve"> </w:t>
      </w:r>
      <w:r>
        <w:rPr>
          <w:sz w:val="18"/>
        </w:rPr>
        <w:t>307C</w:t>
      </w:r>
      <w:r>
        <w:rPr>
          <w:spacing w:val="-2"/>
          <w:sz w:val="18"/>
        </w:rPr>
        <w:t xml:space="preserve"> </w:t>
      </w:r>
      <w:r>
        <w:rPr>
          <w:sz w:val="18"/>
        </w:rPr>
        <w:t>of</w:t>
      </w:r>
      <w:r>
        <w:rPr>
          <w:spacing w:val="-2"/>
          <w:sz w:val="18"/>
        </w:rPr>
        <w:t xml:space="preserve"> </w:t>
      </w:r>
      <w:r>
        <w:rPr>
          <w:sz w:val="18"/>
        </w:rPr>
        <w:t>the</w:t>
      </w:r>
      <w:r>
        <w:rPr>
          <w:spacing w:val="-4"/>
          <w:sz w:val="18"/>
        </w:rPr>
        <w:t xml:space="preserve"> </w:t>
      </w:r>
      <w:r>
        <w:rPr>
          <w:i/>
          <w:sz w:val="18"/>
        </w:rPr>
        <w:t>Corporations</w:t>
      </w:r>
      <w:r>
        <w:rPr>
          <w:i/>
          <w:spacing w:val="-1"/>
          <w:sz w:val="18"/>
        </w:rPr>
        <w:t xml:space="preserve"> </w:t>
      </w:r>
      <w:r>
        <w:rPr>
          <w:i/>
          <w:sz w:val="18"/>
        </w:rPr>
        <w:t>Act</w:t>
      </w:r>
      <w:r>
        <w:rPr>
          <w:i/>
          <w:spacing w:val="-2"/>
          <w:sz w:val="18"/>
        </w:rPr>
        <w:t xml:space="preserve"> </w:t>
      </w:r>
      <w:r>
        <w:rPr>
          <w:i/>
          <w:sz w:val="18"/>
        </w:rPr>
        <w:t>2001</w:t>
      </w:r>
      <w:r>
        <w:rPr>
          <w:i/>
          <w:spacing w:val="-2"/>
          <w:sz w:val="18"/>
        </w:rPr>
        <w:t xml:space="preserve"> </w:t>
      </w:r>
      <w:r>
        <w:rPr>
          <w:sz w:val="18"/>
        </w:rPr>
        <w:t>is set out immediately after this directors' report.</w:t>
      </w:r>
    </w:p>
    <w:p w14:paraId="66C11EF5" w14:textId="77777777" w:rsidR="00AC6F3C" w:rsidRDefault="00AC6F3C">
      <w:pPr>
        <w:pStyle w:val="BodyText"/>
        <w:spacing w:before="9"/>
      </w:pPr>
    </w:p>
    <w:p w14:paraId="19CD8070" w14:textId="77777777" w:rsidR="00AC6F3C" w:rsidRDefault="00570E88">
      <w:pPr>
        <w:ind w:left="980" w:right="234"/>
        <w:rPr>
          <w:sz w:val="18"/>
        </w:rPr>
      </w:pPr>
      <w:r>
        <w:rPr>
          <w:sz w:val="18"/>
        </w:rPr>
        <w:t>This</w:t>
      </w:r>
      <w:r>
        <w:rPr>
          <w:spacing w:val="-2"/>
          <w:sz w:val="18"/>
        </w:rPr>
        <w:t xml:space="preserve"> </w:t>
      </w:r>
      <w:r>
        <w:rPr>
          <w:sz w:val="18"/>
        </w:rPr>
        <w:t>report</w:t>
      </w:r>
      <w:r>
        <w:rPr>
          <w:spacing w:val="-2"/>
          <w:sz w:val="18"/>
        </w:rPr>
        <w:t xml:space="preserve"> </w:t>
      </w:r>
      <w:r>
        <w:rPr>
          <w:sz w:val="18"/>
        </w:rPr>
        <w:t>is</w:t>
      </w:r>
      <w:r>
        <w:rPr>
          <w:spacing w:val="-2"/>
          <w:sz w:val="18"/>
        </w:rPr>
        <w:t xml:space="preserve"> </w:t>
      </w:r>
      <w:r>
        <w:rPr>
          <w:sz w:val="18"/>
        </w:rPr>
        <w:t>made</w:t>
      </w:r>
      <w:r>
        <w:rPr>
          <w:spacing w:val="-4"/>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resolution</w:t>
      </w:r>
      <w:r>
        <w:rPr>
          <w:spacing w:val="-4"/>
          <w:sz w:val="18"/>
        </w:rPr>
        <w:t xml:space="preserve"> </w:t>
      </w:r>
      <w:r>
        <w:rPr>
          <w:sz w:val="18"/>
        </w:rPr>
        <w:t>of</w:t>
      </w:r>
      <w:r>
        <w:rPr>
          <w:spacing w:val="-2"/>
          <w:sz w:val="18"/>
        </w:rPr>
        <w:t xml:space="preserve"> </w:t>
      </w:r>
      <w:r>
        <w:rPr>
          <w:sz w:val="18"/>
        </w:rPr>
        <w:t>directors,</w:t>
      </w:r>
      <w:r>
        <w:rPr>
          <w:spacing w:val="-2"/>
          <w:sz w:val="18"/>
        </w:rPr>
        <w:t xml:space="preserve"> </w:t>
      </w:r>
      <w:r>
        <w:rPr>
          <w:sz w:val="18"/>
        </w:rPr>
        <w:t>pursuant</w:t>
      </w:r>
      <w:r>
        <w:rPr>
          <w:spacing w:val="-2"/>
          <w:sz w:val="18"/>
        </w:rPr>
        <w:t xml:space="preserve"> </w:t>
      </w:r>
      <w:r>
        <w:rPr>
          <w:sz w:val="18"/>
        </w:rPr>
        <w:t>to</w:t>
      </w:r>
      <w:r>
        <w:rPr>
          <w:spacing w:val="-2"/>
          <w:sz w:val="18"/>
        </w:rPr>
        <w:t xml:space="preserve"> </w:t>
      </w:r>
      <w:r>
        <w:rPr>
          <w:sz w:val="18"/>
        </w:rPr>
        <w:t>section</w:t>
      </w:r>
      <w:r>
        <w:rPr>
          <w:spacing w:val="-4"/>
          <w:sz w:val="18"/>
        </w:rPr>
        <w:t xml:space="preserve"> </w:t>
      </w:r>
      <w:r>
        <w:rPr>
          <w:sz w:val="18"/>
        </w:rPr>
        <w:t>298(2)(a)</w:t>
      </w:r>
      <w:r>
        <w:rPr>
          <w:spacing w:val="-2"/>
          <w:sz w:val="18"/>
        </w:rPr>
        <w:t xml:space="preserve"> </w:t>
      </w:r>
      <w:r>
        <w:rPr>
          <w:sz w:val="18"/>
        </w:rPr>
        <w:t>of</w:t>
      </w:r>
      <w:r>
        <w:rPr>
          <w:spacing w:val="-2"/>
          <w:sz w:val="18"/>
        </w:rPr>
        <w:t xml:space="preserve"> </w:t>
      </w:r>
      <w:r>
        <w:rPr>
          <w:sz w:val="18"/>
        </w:rPr>
        <w:t>the</w:t>
      </w:r>
      <w:r>
        <w:rPr>
          <w:spacing w:val="-2"/>
          <w:sz w:val="18"/>
        </w:rPr>
        <w:t xml:space="preserve"> </w:t>
      </w:r>
      <w:r>
        <w:rPr>
          <w:i/>
          <w:sz w:val="18"/>
        </w:rPr>
        <w:t>Corporations Act 2001</w:t>
      </w:r>
      <w:r>
        <w:rPr>
          <w:sz w:val="18"/>
        </w:rPr>
        <w:t>.</w:t>
      </w:r>
    </w:p>
    <w:p w14:paraId="7BC4FD95" w14:textId="77777777" w:rsidR="00AC6F3C" w:rsidRDefault="00AC6F3C">
      <w:pPr>
        <w:pStyle w:val="BodyText"/>
        <w:spacing w:before="11"/>
      </w:pPr>
    </w:p>
    <w:p w14:paraId="4F414679" w14:textId="77777777" w:rsidR="00AC6F3C" w:rsidRDefault="00570E88">
      <w:pPr>
        <w:ind w:left="980"/>
        <w:rPr>
          <w:sz w:val="18"/>
        </w:rPr>
      </w:pPr>
      <w:r>
        <w:rPr>
          <w:sz w:val="18"/>
        </w:rPr>
        <w:t>On behalf</w:t>
      </w:r>
      <w:r>
        <w:rPr>
          <w:spacing w:val="-1"/>
          <w:sz w:val="18"/>
        </w:rPr>
        <w:t xml:space="preserve"> </w:t>
      </w:r>
      <w:r>
        <w:rPr>
          <w:sz w:val="18"/>
        </w:rPr>
        <w:t>of</w:t>
      </w:r>
      <w:r>
        <w:rPr>
          <w:spacing w:val="-3"/>
          <w:sz w:val="18"/>
        </w:rPr>
        <w:t xml:space="preserve"> </w:t>
      </w:r>
      <w:r>
        <w:rPr>
          <w:sz w:val="18"/>
        </w:rPr>
        <w:t>the</w:t>
      </w:r>
      <w:r>
        <w:rPr>
          <w:spacing w:val="-2"/>
          <w:sz w:val="18"/>
        </w:rPr>
        <w:t xml:space="preserve"> directors</w:t>
      </w:r>
    </w:p>
    <w:p w14:paraId="163967DA" w14:textId="3FE120A2" w:rsidR="00AC6F3C" w:rsidRDefault="00AC6F3C">
      <w:pPr>
        <w:pStyle w:val="BodyText"/>
        <w:spacing w:before="1"/>
        <w:rPr>
          <w:sz w:val="23"/>
        </w:rPr>
      </w:pPr>
    </w:p>
    <w:p w14:paraId="3351CC25" w14:textId="77777777" w:rsidR="00AC6F3C" w:rsidRDefault="00AC6F3C">
      <w:pPr>
        <w:pStyle w:val="BodyText"/>
      </w:pPr>
    </w:p>
    <w:p w14:paraId="641178E3" w14:textId="77777777" w:rsidR="00AC6F3C" w:rsidRDefault="00570E88">
      <w:pPr>
        <w:pStyle w:val="BodyText"/>
        <w:spacing w:before="4"/>
        <w:rPr>
          <w:sz w:val="23"/>
        </w:rPr>
      </w:pPr>
      <w:r>
        <w:rPr>
          <w:noProof/>
        </w:rPr>
        <mc:AlternateContent>
          <mc:Choice Requires="wps">
            <w:drawing>
              <wp:anchor distT="0" distB="0" distL="0" distR="0" simplePos="0" relativeHeight="487706112" behindDoc="1" locked="0" layoutInCell="1" allowOverlap="1" wp14:anchorId="5F1ABBC2" wp14:editId="1FA1DE2A">
                <wp:simplePos x="0" y="0"/>
                <wp:positionH relativeFrom="page">
                  <wp:posOffset>914331</wp:posOffset>
                </wp:positionH>
                <wp:positionV relativeFrom="paragraph">
                  <wp:posOffset>186211</wp:posOffset>
                </wp:positionV>
                <wp:extent cx="1970405" cy="6350"/>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6350"/>
                        </a:xfrm>
                        <a:custGeom>
                          <a:avLst/>
                          <a:gdLst/>
                          <a:ahLst/>
                          <a:cxnLst/>
                          <a:rect l="l" t="t" r="r" b="b"/>
                          <a:pathLst>
                            <a:path w="1970405" h="6350">
                              <a:moveTo>
                                <a:pt x="1970384" y="6107"/>
                              </a:moveTo>
                              <a:lnTo>
                                <a:pt x="0" y="6107"/>
                              </a:lnTo>
                              <a:lnTo>
                                <a:pt x="0" y="0"/>
                              </a:lnTo>
                              <a:lnTo>
                                <a:pt x="1970384" y="0"/>
                              </a:lnTo>
                              <a:lnTo>
                                <a:pt x="1970384" y="61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1C257" id="Graphic 846" o:spid="_x0000_s1026" style="position:absolute;margin-left:1in;margin-top:14.65pt;width:155.15pt;height:.5pt;z-index:-15610368;visibility:visible;mso-wrap-style:square;mso-wrap-distance-left:0;mso-wrap-distance-top:0;mso-wrap-distance-right:0;mso-wrap-distance-bottom:0;mso-position-horizontal:absolute;mso-position-horizontal-relative:page;mso-position-vertical:absolute;mso-position-vertical-relative:text;v-text-anchor:top" coordsize="197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" path="m1970384,6107l,6107,,,1970384,r,6107xe" fillcolor="black" stroked="f">
                <v:path arrowok="t"/>
                <w10:wrap type="topAndBottom" anchorx="page"/>
              </v:shape>
            </w:pict>
          </mc:Fallback>
        </mc:AlternateContent>
      </w:r>
    </w:p>
    <w:p w14:paraId="0D578751" w14:textId="77777777" w:rsidR="00AC6F3C" w:rsidRDefault="00570E88">
      <w:pPr>
        <w:ind w:left="1087" w:right="6788"/>
        <w:rPr>
          <w:sz w:val="18"/>
        </w:rPr>
      </w:pPr>
      <w:r>
        <w:rPr>
          <w:sz w:val="18"/>
        </w:rPr>
        <w:t>Chairperson</w:t>
      </w:r>
      <w:r>
        <w:rPr>
          <w:spacing w:val="-15"/>
          <w:sz w:val="18"/>
        </w:rPr>
        <w:t xml:space="preserve"> </w:t>
      </w:r>
      <w:r>
        <w:rPr>
          <w:sz w:val="18"/>
        </w:rPr>
        <w:t>&amp;</w:t>
      </w:r>
      <w:r>
        <w:rPr>
          <w:spacing w:val="-12"/>
          <w:sz w:val="18"/>
        </w:rPr>
        <w:t xml:space="preserve"> </w:t>
      </w:r>
      <w:r>
        <w:rPr>
          <w:sz w:val="18"/>
        </w:rPr>
        <w:t>Director Stafford Shepherd</w:t>
      </w:r>
    </w:p>
    <w:p w14:paraId="71EEE2A6" w14:textId="77777777" w:rsidR="00AC6F3C" w:rsidRDefault="00AC6F3C">
      <w:pPr>
        <w:pStyle w:val="BodyText"/>
        <w:spacing w:before="7"/>
      </w:pPr>
    </w:p>
    <w:p w14:paraId="7479EB4B" w14:textId="77777777" w:rsidR="00AC6F3C" w:rsidRDefault="00570E88">
      <w:pPr>
        <w:spacing w:before="1"/>
        <w:ind w:left="1080"/>
        <w:rPr>
          <w:sz w:val="18"/>
        </w:rPr>
      </w:pPr>
      <w:r>
        <w:rPr>
          <w:sz w:val="18"/>
        </w:rPr>
        <w:t>30</w:t>
      </w:r>
      <w:r>
        <w:rPr>
          <w:spacing w:val="-4"/>
          <w:sz w:val="18"/>
        </w:rPr>
        <w:t xml:space="preserve"> </w:t>
      </w:r>
      <w:r>
        <w:rPr>
          <w:sz w:val="18"/>
        </w:rPr>
        <w:t>August</w:t>
      </w:r>
      <w:r>
        <w:rPr>
          <w:spacing w:val="-2"/>
          <w:sz w:val="18"/>
        </w:rPr>
        <w:t xml:space="preserve"> </w:t>
      </w:r>
      <w:r>
        <w:rPr>
          <w:spacing w:val="-4"/>
          <w:sz w:val="18"/>
        </w:rPr>
        <w:t>2023</w:t>
      </w:r>
    </w:p>
    <w:p w14:paraId="04449928" w14:textId="77777777" w:rsidR="00AC6F3C" w:rsidRDefault="00AC6F3C">
      <w:pPr>
        <w:rPr>
          <w:sz w:val="18"/>
        </w:rPr>
        <w:sectPr w:rsidR="00AC6F3C">
          <w:pgSz w:w="11910" w:h="16840"/>
          <w:pgMar w:top="2040" w:right="1160" w:bottom="520" w:left="460" w:header="1250" w:footer="336" w:gutter="0"/>
          <w:cols w:space="720"/>
        </w:sectPr>
      </w:pPr>
    </w:p>
    <w:p w14:paraId="56B43F37" w14:textId="77777777" w:rsidR="00AC6F3C" w:rsidRDefault="00570E88">
      <w:pPr>
        <w:pStyle w:val="BodyText"/>
        <w:ind w:left="805"/>
      </w:pPr>
      <w:r>
        <w:rPr>
          <w:noProof/>
        </w:rPr>
        <w:lastRenderedPageBreak/>
        <w:drawing>
          <wp:inline distT="0" distB="0" distL="0" distR="0" wp14:anchorId="1FD4BF2F" wp14:editId="3FB74451">
            <wp:extent cx="1627912" cy="597217"/>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235" cstate="print"/>
                    <a:stretch>
                      <a:fillRect/>
                    </a:stretch>
                  </pic:blipFill>
                  <pic:spPr>
                    <a:xfrm>
                      <a:off x="0" y="0"/>
                      <a:ext cx="1627912" cy="597217"/>
                    </a:xfrm>
                    <a:prstGeom prst="rect">
                      <a:avLst/>
                    </a:prstGeom>
                  </pic:spPr>
                </pic:pic>
              </a:graphicData>
            </a:graphic>
          </wp:inline>
        </w:drawing>
      </w:r>
    </w:p>
    <w:p w14:paraId="5BE9F6D9" w14:textId="77777777" w:rsidR="00AC6F3C" w:rsidRDefault="00AC6F3C">
      <w:pPr>
        <w:pStyle w:val="BodyText"/>
      </w:pPr>
    </w:p>
    <w:p w14:paraId="39AFC2D1" w14:textId="77777777" w:rsidR="00AC6F3C" w:rsidRDefault="00AC6F3C">
      <w:pPr>
        <w:pStyle w:val="BodyText"/>
        <w:spacing w:before="6"/>
        <w:rPr>
          <w:sz w:val="27"/>
        </w:rPr>
      </w:pPr>
    </w:p>
    <w:p w14:paraId="26D1998E" w14:textId="77777777" w:rsidR="00AC6F3C" w:rsidRDefault="00570E88">
      <w:pPr>
        <w:spacing w:before="89"/>
        <w:ind w:left="815"/>
        <w:rPr>
          <w:b/>
          <w:sz w:val="32"/>
        </w:rPr>
      </w:pPr>
      <w:r>
        <w:rPr>
          <w:b/>
          <w:sz w:val="32"/>
        </w:rPr>
        <w:t>AUDITOR’S</w:t>
      </w:r>
      <w:r>
        <w:rPr>
          <w:b/>
          <w:spacing w:val="-5"/>
          <w:sz w:val="32"/>
        </w:rPr>
        <w:t xml:space="preserve"> </w:t>
      </w:r>
      <w:r>
        <w:rPr>
          <w:b/>
          <w:sz w:val="32"/>
        </w:rPr>
        <w:t>INDEPENDENCE</w:t>
      </w:r>
      <w:r>
        <w:rPr>
          <w:b/>
          <w:spacing w:val="-3"/>
          <w:sz w:val="32"/>
        </w:rPr>
        <w:t xml:space="preserve"> </w:t>
      </w:r>
      <w:r>
        <w:rPr>
          <w:b/>
          <w:spacing w:val="-2"/>
          <w:sz w:val="32"/>
        </w:rPr>
        <w:t>DECLARATION</w:t>
      </w:r>
    </w:p>
    <w:p w14:paraId="51FC96F4" w14:textId="77777777" w:rsidR="00AC6F3C" w:rsidRDefault="00570E88">
      <w:pPr>
        <w:pStyle w:val="BodyText"/>
        <w:spacing w:before="155"/>
        <w:ind w:left="815"/>
      </w:pPr>
      <w:r>
        <w:t>To</w:t>
      </w:r>
      <w:r>
        <w:rPr>
          <w:spacing w:val="-4"/>
        </w:rPr>
        <w:t xml:space="preserve"> </w:t>
      </w:r>
      <w:r>
        <w:t>the</w:t>
      </w:r>
      <w:r>
        <w:rPr>
          <w:spacing w:val="-3"/>
        </w:rPr>
        <w:t xml:space="preserve"> </w:t>
      </w:r>
      <w:r>
        <w:t>Directors</w:t>
      </w:r>
      <w:r>
        <w:rPr>
          <w:spacing w:val="-3"/>
        </w:rPr>
        <w:t xml:space="preserve"> </w:t>
      </w:r>
      <w:r>
        <w:t>of</w:t>
      </w:r>
      <w:r>
        <w:rPr>
          <w:spacing w:val="-3"/>
        </w:rPr>
        <w:t xml:space="preserve"> </w:t>
      </w:r>
      <w:r>
        <w:t>QLS</w:t>
      </w:r>
      <w:r>
        <w:rPr>
          <w:spacing w:val="-3"/>
        </w:rPr>
        <w:t xml:space="preserve"> </w:t>
      </w:r>
      <w:r>
        <w:t>Solicitor</w:t>
      </w:r>
      <w:r>
        <w:rPr>
          <w:spacing w:val="-3"/>
        </w:rPr>
        <w:t xml:space="preserve"> </w:t>
      </w:r>
      <w:r>
        <w:t>Support</w:t>
      </w:r>
      <w:r>
        <w:rPr>
          <w:spacing w:val="-3"/>
        </w:rPr>
        <w:t xml:space="preserve"> </w:t>
      </w:r>
      <w:r>
        <w:t>Pty</w:t>
      </w:r>
      <w:r>
        <w:rPr>
          <w:spacing w:val="-3"/>
        </w:rPr>
        <w:t xml:space="preserve"> </w:t>
      </w:r>
      <w:r>
        <w:rPr>
          <w:spacing w:val="-5"/>
        </w:rPr>
        <w:t>Ltd</w:t>
      </w:r>
    </w:p>
    <w:p w14:paraId="6237FB96" w14:textId="77777777" w:rsidR="00AC6F3C" w:rsidRDefault="00570E88">
      <w:pPr>
        <w:pStyle w:val="BodyText"/>
        <w:spacing w:before="180"/>
        <w:ind w:left="815"/>
      </w:pPr>
      <w:r>
        <w:t>This</w:t>
      </w:r>
      <w:r>
        <w:rPr>
          <w:spacing w:val="-6"/>
        </w:rPr>
        <w:t xml:space="preserve"> </w:t>
      </w:r>
      <w:r>
        <w:t>auditor’s</w:t>
      </w:r>
      <w:r>
        <w:rPr>
          <w:spacing w:val="-3"/>
        </w:rPr>
        <w:t xml:space="preserve"> </w:t>
      </w:r>
      <w:r>
        <w:t>independence</w:t>
      </w:r>
      <w:r>
        <w:rPr>
          <w:spacing w:val="-3"/>
        </w:rPr>
        <w:t xml:space="preserve"> </w:t>
      </w:r>
      <w:r>
        <w:t>declaration</w:t>
      </w:r>
      <w:r>
        <w:rPr>
          <w:spacing w:val="-3"/>
        </w:rPr>
        <w:t xml:space="preserve"> </w:t>
      </w:r>
      <w:r>
        <w:t>has</w:t>
      </w:r>
      <w:r>
        <w:rPr>
          <w:spacing w:val="-3"/>
        </w:rPr>
        <w:t xml:space="preserve"> </w:t>
      </w:r>
      <w:r>
        <w:t>been</w:t>
      </w:r>
      <w:r>
        <w:rPr>
          <w:spacing w:val="-3"/>
        </w:rPr>
        <w:t xml:space="preserve"> </w:t>
      </w:r>
      <w:r>
        <w:t>provided</w:t>
      </w:r>
      <w:r>
        <w:rPr>
          <w:spacing w:val="-3"/>
        </w:rPr>
        <w:t xml:space="preserve"> </w:t>
      </w:r>
      <w:r>
        <w:t>pursuant</w:t>
      </w:r>
      <w:r>
        <w:rPr>
          <w:spacing w:val="-3"/>
        </w:rPr>
        <w:t xml:space="preserve"> </w:t>
      </w:r>
      <w:r>
        <w:t>to</w:t>
      </w:r>
      <w:r>
        <w:rPr>
          <w:spacing w:val="-3"/>
        </w:rPr>
        <w:t xml:space="preserve"> </w:t>
      </w:r>
      <w:r>
        <w:t>s.307C</w:t>
      </w:r>
      <w:r>
        <w:rPr>
          <w:spacing w:val="-3"/>
        </w:rPr>
        <w:t xml:space="preserve"> </w:t>
      </w:r>
      <w:r>
        <w:t>of</w:t>
      </w:r>
      <w:r>
        <w:rPr>
          <w:spacing w:val="-3"/>
        </w:rPr>
        <w:t xml:space="preserve"> </w:t>
      </w:r>
      <w:r>
        <w:rPr>
          <w:spacing w:val="-5"/>
        </w:rPr>
        <w:t>the</w:t>
      </w:r>
    </w:p>
    <w:p w14:paraId="18BB8761" w14:textId="77777777" w:rsidR="00AC6F3C" w:rsidRDefault="00570E88">
      <w:pPr>
        <w:spacing w:before="10"/>
        <w:ind w:left="815"/>
        <w:rPr>
          <w:sz w:val="20"/>
        </w:rPr>
      </w:pPr>
      <w:r>
        <w:rPr>
          <w:i/>
          <w:sz w:val="20"/>
        </w:rPr>
        <w:t>Corporations</w:t>
      </w:r>
      <w:r>
        <w:rPr>
          <w:i/>
          <w:spacing w:val="-8"/>
          <w:sz w:val="20"/>
        </w:rPr>
        <w:t xml:space="preserve"> </w:t>
      </w:r>
      <w:r>
        <w:rPr>
          <w:i/>
          <w:sz w:val="20"/>
        </w:rPr>
        <w:t xml:space="preserve">Act </w:t>
      </w:r>
      <w:r>
        <w:rPr>
          <w:i/>
          <w:spacing w:val="-2"/>
          <w:sz w:val="20"/>
        </w:rPr>
        <w:t>2001</w:t>
      </w:r>
      <w:r>
        <w:rPr>
          <w:spacing w:val="-2"/>
          <w:sz w:val="20"/>
        </w:rPr>
        <w:t>.</w:t>
      </w:r>
    </w:p>
    <w:p w14:paraId="6D455E91" w14:textId="77777777" w:rsidR="00AC6F3C" w:rsidRDefault="00AC6F3C">
      <w:pPr>
        <w:pStyle w:val="BodyText"/>
        <w:spacing w:before="6"/>
        <w:rPr>
          <w:sz w:val="23"/>
        </w:rPr>
      </w:pPr>
    </w:p>
    <w:p w14:paraId="1949C1B6" w14:textId="77777777" w:rsidR="00AC6F3C" w:rsidRDefault="00570E88">
      <w:pPr>
        <w:pStyle w:val="Heading9"/>
      </w:pPr>
      <w:r>
        <w:t>Independence</w:t>
      </w:r>
      <w:r>
        <w:rPr>
          <w:spacing w:val="-11"/>
        </w:rPr>
        <w:t xml:space="preserve"> </w:t>
      </w:r>
      <w:r>
        <w:rPr>
          <w:spacing w:val="-2"/>
        </w:rPr>
        <w:t>declaration</w:t>
      </w:r>
    </w:p>
    <w:p w14:paraId="3D991F49" w14:textId="77777777" w:rsidR="00AC6F3C" w:rsidRDefault="00570E88">
      <w:pPr>
        <w:pStyle w:val="BodyText"/>
        <w:spacing w:before="176" w:line="249" w:lineRule="auto"/>
        <w:ind w:left="815" w:right="1543"/>
      </w:pPr>
      <w:r>
        <w:t>As</w:t>
      </w:r>
      <w:r>
        <w:rPr>
          <w:spacing w:val="-3"/>
        </w:rPr>
        <w:t xml:space="preserve"> </w:t>
      </w:r>
      <w:r>
        <w:t>lead</w:t>
      </w:r>
      <w:r>
        <w:rPr>
          <w:spacing w:val="-3"/>
        </w:rPr>
        <w:t xml:space="preserve"> </w:t>
      </w:r>
      <w:r>
        <w:t>auditor</w:t>
      </w:r>
      <w:r>
        <w:rPr>
          <w:spacing w:val="-3"/>
        </w:rPr>
        <w:t xml:space="preserve"> </w:t>
      </w:r>
      <w:r>
        <w:t>for</w:t>
      </w:r>
      <w:r>
        <w:rPr>
          <w:spacing w:val="-3"/>
        </w:rPr>
        <w:t xml:space="preserve"> </w:t>
      </w:r>
      <w:r>
        <w:t>the</w:t>
      </w:r>
      <w:r>
        <w:rPr>
          <w:spacing w:val="-3"/>
        </w:rPr>
        <w:t xml:space="preserve"> </w:t>
      </w:r>
      <w:r>
        <w:t>audit</w:t>
      </w:r>
      <w:r>
        <w:rPr>
          <w:spacing w:val="-3"/>
        </w:rPr>
        <w:t xml:space="preserve"> </w:t>
      </w:r>
      <w:r>
        <w:t>of</w:t>
      </w:r>
      <w:r>
        <w:rPr>
          <w:spacing w:val="-3"/>
        </w:rPr>
        <w:t xml:space="preserve"> </w:t>
      </w:r>
      <w:r>
        <w:t>QLS</w:t>
      </w:r>
      <w:r>
        <w:rPr>
          <w:spacing w:val="-3"/>
        </w:rPr>
        <w:t xml:space="preserve"> </w:t>
      </w:r>
      <w:r>
        <w:t>Solicitor</w:t>
      </w:r>
      <w:r>
        <w:rPr>
          <w:spacing w:val="-3"/>
        </w:rPr>
        <w:t xml:space="preserve"> </w:t>
      </w:r>
      <w:r>
        <w:t>Support</w:t>
      </w:r>
      <w:r>
        <w:rPr>
          <w:spacing w:val="-3"/>
        </w:rPr>
        <w:t xml:space="preserve"> </w:t>
      </w:r>
      <w:r>
        <w:t>Pty</w:t>
      </w:r>
      <w:r>
        <w:rPr>
          <w:spacing w:val="-3"/>
        </w:rPr>
        <w:t xml:space="preserve"> </w:t>
      </w:r>
      <w:r>
        <w:t>Ltd</w:t>
      </w:r>
      <w:r>
        <w:rPr>
          <w:spacing w:val="-3"/>
        </w:rPr>
        <w:t xml:space="preserve"> </w:t>
      </w:r>
      <w:r>
        <w:t>for</w:t>
      </w:r>
      <w:r>
        <w:rPr>
          <w:spacing w:val="-3"/>
        </w:rPr>
        <w:t xml:space="preserve"> </w:t>
      </w:r>
      <w:r>
        <w:t>the</w:t>
      </w:r>
      <w:r>
        <w:rPr>
          <w:spacing w:val="-3"/>
        </w:rPr>
        <w:t xml:space="preserve"> </w:t>
      </w:r>
      <w:r>
        <w:t>financial</w:t>
      </w:r>
      <w:r>
        <w:rPr>
          <w:spacing w:val="-3"/>
        </w:rPr>
        <w:t xml:space="preserve"> </w:t>
      </w:r>
      <w:r>
        <w:t>year</w:t>
      </w:r>
      <w:r>
        <w:rPr>
          <w:spacing w:val="-3"/>
        </w:rPr>
        <w:t xml:space="preserve"> </w:t>
      </w:r>
      <w:r>
        <w:t>ended 30 June 2023, I declare that, to the best of my knowledge and belief, there have been:</w:t>
      </w:r>
    </w:p>
    <w:p w14:paraId="365207E4" w14:textId="77777777" w:rsidR="00AC6F3C" w:rsidRDefault="00570E88">
      <w:pPr>
        <w:pStyle w:val="ListParagraph"/>
        <w:numPr>
          <w:ilvl w:val="0"/>
          <w:numId w:val="11"/>
        </w:numPr>
        <w:tabs>
          <w:tab w:val="left" w:pos="1269"/>
        </w:tabs>
        <w:spacing w:before="172" w:line="249" w:lineRule="auto"/>
        <w:ind w:right="1586"/>
        <w:rPr>
          <w:sz w:val="20"/>
        </w:rPr>
      </w:pPr>
      <w:r>
        <w:rPr>
          <w:sz w:val="20"/>
        </w:rPr>
        <w:t>no</w:t>
      </w:r>
      <w:r>
        <w:rPr>
          <w:spacing w:val="-4"/>
          <w:sz w:val="20"/>
        </w:rPr>
        <w:t xml:space="preserve"> </w:t>
      </w:r>
      <w:r>
        <w:rPr>
          <w:sz w:val="20"/>
        </w:rPr>
        <w:t>contraventions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auditor</w:t>
      </w:r>
      <w:r>
        <w:rPr>
          <w:spacing w:val="-4"/>
          <w:sz w:val="20"/>
        </w:rPr>
        <w:t xml:space="preserve"> </w:t>
      </w:r>
      <w:r>
        <w:rPr>
          <w:sz w:val="20"/>
        </w:rPr>
        <w:t>independence</w:t>
      </w:r>
      <w:r>
        <w:rPr>
          <w:spacing w:val="-4"/>
          <w:sz w:val="20"/>
        </w:rPr>
        <w:t xml:space="preserve"> </w:t>
      </w:r>
      <w:r>
        <w:rPr>
          <w:sz w:val="20"/>
        </w:rPr>
        <w:t>requirements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Corporations</w:t>
      </w:r>
      <w:r>
        <w:rPr>
          <w:spacing w:val="-14"/>
          <w:sz w:val="20"/>
        </w:rPr>
        <w:t xml:space="preserve"> </w:t>
      </w:r>
      <w:r>
        <w:rPr>
          <w:sz w:val="20"/>
        </w:rPr>
        <w:t>Act 2001 in relation to the audit</w:t>
      </w:r>
    </w:p>
    <w:p w14:paraId="04057D8A" w14:textId="77777777" w:rsidR="00AC6F3C" w:rsidRDefault="00570E88">
      <w:pPr>
        <w:pStyle w:val="ListParagraph"/>
        <w:numPr>
          <w:ilvl w:val="0"/>
          <w:numId w:val="11"/>
        </w:numPr>
        <w:tabs>
          <w:tab w:val="left" w:pos="1269"/>
        </w:tabs>
        <w:spacing w:before="171"/>
        <w:rPr>
          <w:sz w:val="20"/>
        </w:rPr>
      </w:pPr>
      <w:r>
        <w:rPr>
          <w:sz w:val="20"/>
        </w:rPr>
        <w:t>no</w:t>
      </w:r>
      <w:r>
        <w:rPr>
          <w:spacing w:val="-5"/>
          <w:sz w:val="20"/>
        </w:rPr>
        <w:t xml:space="preserve"> </w:t>
      </w:r>
      <w:r>
        <w:rPr>
          <w:sz w:val="20"/>
        </w:rPr>
        <w:t>contraventions</w:t>
      </w:r>
      <w:r>
        <w:rPr>
          <w:spacing w:val="-3"/>
          <w:sz w:val="20"/>
        </w:rPr>
        <w:t xml:space="preserve"> </w:t>
      </w:r>
      <w:r>
        <w:rPr>
          <w:sz w:val="20"/>
        </w:rPr>
        <w:t>of</w:t>
      </w:r>
      <w:r>
        <w:rPr>
          <w:spacing w:val="-2"/>
          <w:sz w:val="20"/>
        </w:rPr>
        <w:t xml:space="preserve"> </w:t>
      </w:r>
      <w:r>
        <w:rPr>
          <w:sz w:val="20"/>
        </w:rPr>
        <w:t>any</w:t>
      </w:r>
      <w:r>
        <w:rPr>
          <w:spacing w:val="-3"/>
          <w:sz w:val="20"/>
        </w:rPr>
        <w:t xml:space="preserve"> </w:t>
      </w:r>
      <w:r>
        <w:rPr>
          <w:sz w:val="20"/>
        </w:rPr>
        <w:t>applicable</w:t>
      </w:r>
      <w:r>
        <w:rPr>
          <w:spacing w:val="-3"/>
          <w:sz w:val="20"/>
        </w:rPr>
        <w:t xml:space="preserve"> </w:t>
      </w:r>
      <w:r>
        <w:rPr>
          <w:sz w:val="20"/>
        </w:rPr>
        <w:t>code</w:t>
      </w:r>
      <w:r>
        <w:rPr>
          <w:spacing w:val="-2"/>
          <w:sz w:val="20"/>
        </w:rPr>
        <w:t xml:space="preserve"> </w:t>
      </w:r>
      <w:r>
        <w:rPr>
          <w:sz w:val="20"/>
        </w:rPr>
        <w:t>of</w:t>
      </w:r>
      <w:r>
        <w:rPr>
          <w:spacing w:val="-3"/>
          <w:sz w:val="20"/>
        </w:rPr>
        <w:t xml:space="preserve"> </w:t>
      </w:r>
      <w:r>
        <w:rPr>
          <w:sz w:val="20"/>
        </w:rPr>
        <w:t>professional</w:t>
      </w:r>
      <w:r>
        <w:rPr>
          <w:spacing w:val="-2"/>
          <w:sz w:val="20"/>
        </w:rPr>
        <w:t xml:space="preserve"> </w:t>
      </w:r>
      <w:r>
        <w:rPr>
          <w:sz w:val="20"/>
        </w:rPr>
        <w:t>conduct</w:t>
      </w:r>
      <w:r>
        <w:rPr>
          <w:spacing w:val="-3"/>
          <w:sz w:val="20"/>
        </w:rPr>
        <w:t xml:space="preserve"> </w:t>
      </w:r>
      <w:r>
        <w:rPr>
          <w:sz w:val="20"/>
        </w:rPr>
        <w:t>in</w:t>
      </w:r>
      <w:r>
        <w:rPr>
          <w:spacing w:val="-3"/>
          <w:sz w:val="20"/>
        </w:rPr>
        <w:t xml:space="preserve"> </w:t>
      </w:r>
      <w:r>
        <w:rPr>
          <w:sz w:val="20"/>
        </w:rPr>
        <w:t>relation</w:t>
      </w:r>
      <w:r>
        <w:rPr>
          <w:spacing w:val="-2"/>
          <w:sz w:val="20"/>
        </w:rPr>
        <w:t xml:space="preserve"> </w:t>
      </w:r>
      <w:r>
        <w:rPr>
          <w:sz w:val="20"/>
        </w:rPr>
        <w:t>to</w:t>
      </w:r>
      <w:r>
        <w:rPr>
          <w:spacing w:val="-3"/>
          <w:sz w:val="20"/>
        </w:rPr>
        <w:t xml:space="preserve"> </w:t>
      </w:r>
      <w:r>
        <w:rPr>
          <w:sz w:val="20"/>
        </w:rPr>
        <w:t>the</w:t>
      </w:r>
      <w:r>
        <w:rPr>
          <w:spacing w:val="-2"/>
          <w:sz w:val="20"/>
        </w:rPr>
        <w:t xml:space="preserve"> audit.</w:t>
      </w:r>
    </w:p>
    <w:p w14:paraId="61ADC417" w14:textId="77777777" w:rsidR="00AC6F3C" w:rsidRDefault="00AC6F3C">
      <w:pPr>
        <w:pStyle w:val="BodyText"/>
      </w:pPr>
    </w:p>
    <w:p w14:paraId="62487F98" w14:textId="77777777" w:rsidR="00AC6F3C" w:rsidRDefault="00AC6F3C">
      <w:pPr>
        <w:pStyle w:val="BodyText"/>
      </w:pPr>
    </w:p>
    <w:p w14:paraId="1253D0E0" w14:textId="77777777" w:rsidR="00AC6F3C" w:rsidRDefault="00AC6F3C">
      <w:pPr>
        <w:pStyle w:val="BodyText"/>
      </w:pPr>
    </w:p>
    <w:p w14:paraId="3480CF02" w14:textId="77777777" w:rsidR="00AC6F3C" w:rsidRDefault="00AC6F3C">
      <w:pPr>
        <w:pStyle w:val="BodyText"/>
      </w:pPr>
    </w:p>
    <w:p w14:paraId="4C924AF4" w14:textId="77777777" w:rsidR="00AC6F3C" w:rsidRDefault="00AC6F3C">
      <w:pPr>
        <w:pStyle w:val="BodyText"/>
        <w:spacing w:before="9"/>
        <w:rPr>
          <w:sz w:val="17"/>
        </w:rPr>
      </w:pPr>
    </w:p>
    <w:p w14:paraId="23525A91" w14:textId="77777777" w:rsidR="00AC6F3C" w:rsidRDefault="00AC6F3C">
      <w:pPr>
        <w:rPr>
          <w:sz w:val="17"/>
        </w:rPr>
        <w:sectPr w:rsidR="00AC6F3C">
          <w:headerReference w:type="default" r:id="rId236"/>
          <w:footerReference w:type="default" r:id="rId237"/>
          <w:pgSz w:w="11910" w:h="16840"/>
          <w:pgMar w:top="1500" w:right="1160" w:bottom="520" w:left="460" w:header="0" w:footer="336" w:gutter="0"/>
          <w:cols w:space="720"/>
        </w:sectPr>
      </w:pPr>
    </w:p>
    <w:p w14:paraId="2969440B" w14:textId="0E74D992" w:rsidR="00AC6F3C" w:rsidRDefault="00AC6F3C">
      <w:pPr>
        <w:pStyle w:val="BodyText"/>
        <w:ind w:left="935" w:right="-15"/>
      </w:pPr>
    </w:p>
    <w:p w14:paraId="46642BE5" w14:textId="77777777" w:rsidR="00AC6F3C" w:rsidRDefault="00AC6F3C">
      <w:pPr>
        <w:pStyle w:val="BodyText"/>
        <w:rPr>
          <w:sz w:val="22"/>
        </w:rPr>
      </w:pPr>
    </w:p>
    <w:p w14:paraId="0BF4B820" w14:textId="77777777" w:rsidR="00AC6F3C" w:rsidRDefault="00570E88">
      <w:pPr>
        <w:pStyle w:val="BodyText"/>
        <w:spacing w:before="181"/>
        <w:ind w:left="895"/>
      </w:pPr>
      <w:r>
        <w:t>Michelle</w:t>
      </w:r>
      <w:r>
        <w:rPr>
          <w:spacing w:val="-7"/>
        </w:rPr>
        <w:t xml:space="preserve"> </w:t>
      </w:r>
      <w:r>
        <w:rPr>
          <w:spacing w:val="-2"/>
        </w:rPr>
        <w:t>Reardon</w:t>
      </w:r>
    </w:p>
    <w:p w14:paraId="4648657D" w14:textId="77777777" w:rsidR="00AC6F3C" w:rsidRDefault="00570E88">
      <w:pPr>
        <w:pStyle w:val="BodyText"/>
        <w:spacing w:before="10" w:line="249" w:lineRule="auto"/>
        <w:ind w:left="895"/>
      </w:pPr>
      <w:r>
        <w:t>as</w:t>
      </w:r>
      <w:r>
        <w:rPr>
          <w:spacing w:val="-14"/>
        </w:rPr>
        <w:t xml:space="preserve"> </w:t>
      </w:r>
      <w:r>
        <w:t>delegate</w:t>
      </w:r>
      <w:r>
        <w:rPr>
          <w:spacing w:val="-10"/>
        </w:rPr>
        <w:t xml:space="preserve"> </w:t>
      </w:r>
      <w:r>
        <w:t>of</w:t>
      </w:r>
      <w:r>
        <w:rPr>
          <w:spacing w:val="-10"/>
        </w:rPr>
        <w:t xml:space="preserve"> </w:t>
      </w:r>
      <w:r>
        <w:t>the</w:t>
      </w:r>
      <w:r>
        <w:rPr>
          <w:spacing w:val="-14"/>
        </w:rPr>
        <w:t xml:space="preserve"> </w:t>
      </w:r>
      <w:r>
        <w:t xml:space="preserve">Auditor- </w:t>
      </w:r>
      <w:r>
        <w:rPr>
          <w:spacing w:val="-2"/>
        </w:rPr>
        <w:t>General</w:t>
      </w:r>
    </w:p>
    <w:p w14:paraId="626A3949" w14:textId="77777777" w:rsidR="00AC6F3C" w:rsidRDefault="00570E88">
      <w:pPr>
        <w:pStyle w:val="BodyText"/>
        <w:spacing w:before="94"/>
        <w:ind w:right="193"/>
        <w:jc w:val="right"/>
      </w:pPr>
      <w:r>
        <w:br w:type="column"/>
      </w:r>
      <w:r>
        <w:t>29</w:t>
      </w:r>
      <w:r>
        <w:rPr>
          <w:spacing w:val="-12"/>
        </w:rPr>
        <w:t xml:space="preserve"> </w:t>
      </w:r>
      <w:r>
        <w:t xml:space="preserve">August </w:t>
      </w:r>
      <w:r>
        <w:rPr>
          <w:spacing w:val="-4"/>
        </w:rPr>
        <w:t>2023</w:t>
      </w:r>
    </w:p>
    <w:p w14:paraId="20248D4C" w14:textId="77777777" w:rsidR="00AC6F3C" w:rsidRDefault="00AC6F3C">
      <w:pPr>
        <w:pStyle w:val="BodyText"/>
        <w:rPr>
          <w:sz w:val="22"/>
        </w:rPr>
      </w:pPr>
    </w:p>
    <w:p w14:paraId="354D660A" w14:textId="77777777" w:rsidR="00AC6F3C" w:rsidRDefault="00AC6F3C">
      <w:pPr>
        <w:pStyle w:val="BodyText"/>
        <w:rPr>
          <w:sz w:val="22"/>
        </w:rPr>
      </w:pPr>
    </w:p>
    <w:p w14:paraId="755067C5" w14:textId="77777777" w:rsidR="00AC6F3C" w:rsidRDefault="00570E88">
      <w:pPr>
        <w:pStyle w:val="BodyText"/>
        <w:spacing w:before="132"/>
        <w:ind w:right="193"/>
        <w:jc w:val="right"/>
      </w:pPr>
      <w:r>
        <w:t>Queensland</w:t>
      </w:r>
      <w:r>
        <w:rPr>
          <w:spacing w:val="-14"/>
        </w:rPr>
        <w:t xml:space="preserve"> </w:t>
      </w:r>
      <w:r>
        <w:t>Audit</w:t>
      </w:r>
      <w:r>
        <w:rPr>
          <w:spacing w:val="-6"/>
        </w:rPr>
        <w:t xml:space="preserve"> </w:t>
      </w:r>
      <w:r>
        <w:rPr>
          <w:spacing w:val="-2"/>
        </w:rPr>
        <w:t>Office</w:t>
      </w:r>
    </w:p>
    <w:p w14:paraId="28A9DE1D" w14:textId="77777777" w:rsidR="00AC6F3C" w:rsidRDefault="00570E88">
      <w:pPr>
        <w:pStyle w:val="BodyText"/>
        <w:spacing w:before="10"/>
        <w:ind w:right="193"/>
        <w:jc w:val="right"/>
      </w:pPr>
      <w:r>
        <w:rPr>
          <w:spacing w:val="-2"/>
        </w:rPr>
        <w:t>Brisbane</w:t>
      </w:r>
    </w:p>
    <w:p w14:paraId="17BAC798" w14:textId="77777777" w:rsidR="00AC6F3C" w:rsidRDefault="00AC6F3C">
      <w:pPr>
        <w:jc w:val="right"/>
        <w:sectPr w:rsidR="00AC6F3C">
          <w:type w:val="continuous"/>
          <w:pgSz w:w="11910" w:h="16840"/>
          <w:pgMar w:top="1920" w:right="1160" w:bottom="280" w:left="460" w:header="0" w:footer="336" w:gutter="0"/>
          <w:cols w:num="2" w:space="720" w:equalWidth="0">
            <w:col w:w="3331" w:space="3712"/>
            <w:col w:w="3247"/>
          </w:cols>
        </w:sectPr>
      </w:pPr>
    </w:p>
    <w:p w14:paraId="7387C983" w14:textId="77777777" w:rsidR="00AC6F3C" w:rsidRDefault="00570E88">
      <w:pPr>
        <w:ind w:left="979"/>
      </w:pPr>
      <w:r>
        <w:lastRenderedPageBreak/>
        <w:t>Statement</w:t>
      </w:r>
      <w:r>
        <w:rPr>
          <w:spacing w:val="-6"/>
        </w:rPr>
        <w:t xml:space="preserve"> </w:t>
      </w:r>
      <w:r>
        <w:t>of</w:t>
      </w:r>
      <w:r>
        <w:rPr>
          <w:spacing w:val="-3"/>
        </w:rPr>
        <w:t xml:space="preserve"> </w:t>
      </w:r>
      <w:r>
        <w:t>Comprehensive</w:t>
      </w:r>
      <w:r>
        <w:rPr>
          <w:spacing w:val="-4"/>
        </w:rPr>
        <w:t xml:space="preserve"> </w:t>
      </w:r>
      <w:r>
        <w:t>Income</w:t>
      </w:r>
      <w:r>
        <w:rPr>
          <w:spacing w:val="-5"/>
        </w:rPr>
        <w:t xml:space="preserve"> </w:t>
      </w:r>
      <w:r>
        <w:t>for</w:t>
      </w:r>
      <w:r>
        <w:rPr>
          <w:spacing w:val="-6"/>
        </w:rPr>
        <w:t xml:space="preserve"> </w:t>
      </w:r>
      <w:r>
        <w:t>the</w:t>
      </w:r>
      <w:r>
        <w:rPr>
          <w:spacing w:val="-4"/>
        </w:rPr>
        <w:t xml:space="preserve"> </w:t>
      </w:r>
      <w:r>
        <w:t>year</w:t>
      </w:r>
      <w:r>
        <w:rPr>
          <w:spacing w:val="-1"/>
        </w:rPr>
        <w:t xml:space="preserve"> </w:t>
      </w:r>
      <w:r>
        <w:t>ended</w:t>
      </w:r>
      <w:r>
        <w:rPr>
          <w:spacing w:val="-6"/>
        </w:rPr>
        <w:t xml:space="preserve"> </w:t>
      </w:r>
      <w:r>
        <w:t>30</w:t>
      </w:r>
      <w:r>
        <w:rPr>
          <w:spacing w:val="-3"/>
        </w:rPr>
        <w:t xml:space="preserve"> </w:t>
      </w:r>
      <w:r>
        <w:t>June</w:t>
      </w:r>
      <w:r>
        <w:rPr>
          <w:spacing w:val="-5"/>
        </w:rPr>
        <w:t xml:space="preserve"> </w:t>
      </w:r>
      <w:r>
        <w:rPr>
          <w:spacing w:val="-4"/>
        </w:rPr>
        <w:t>2023</w:t>
      </w:r>
    </w:p>
    <w:p w14:paraId="3B4AA8BE" w14:textId="77777777" w:rsidR="00AC6F3C" w:rsidRDefault="00570E88">
      <w:pPr>
        <w:pStyle w:val="BodyText"/>
        <w:spacing w:before="8"/>
        <w:rPr>
          <w:sz w:val="18"/>
        </w:rPr>
      </w:pPr>
      <w:r>
        <w:rPr>
          <w:noProof/>
        </w:rPr>
        <mc:AlternateContent>
          <mc:Choice Requires="wps">
            <w:drawing>
              <wp:anchor distT="0" distB="0" distL="0" distR="0" simplePos="0" relativeHeight="487706624" behindDoc="1" locked="0" layoutInCell="1" allowOverlap="1" wp14:anchorId="647F6983" wp14:editId="06FFA8E6">
                <wp:simplePos x="0" y="0"/>
                <wp:positionH relativeFrom="page">
                  <wp:posOffset>896045</wp:posOffset>
                </wp:positionH>
                <wp:positionV relativeFrom="paragraph">
                  <wp:posOffset>151894</wp:posOffset>
                </wp:positionV>
                <wp:extent cx="5768340" cy="635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2410A3" id="Graphic 852" o:spid="_x0000_s1026" style="position:absolute;margin-left:70.55pt;margin-top:11.95pt;width:454.2pt;height:.5pt;z-index:-1560985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" path="m5767909,6094l,6094,,,5767909,r,6094xe" fillcolor="black" stroked="f">
                <v:path arrowok="t"/>
                <w10:wrap type="topAndBottom" anchorx="page"/>
              </v:shape>
            </w:pict>
          </mc:Fallback>
        </mc:AlternateContent>
      </w:r>
    </w:p>
    <w:p w14:paraId="3A384822" w14:textId="77777777" w:rsidR="00AC6F3C" w:rsidRDefault="00AC6F3C">
      <w:pPr>
        <w:pStyle w:val="BodyText"/>
      </w:pPr>
    </w:p>
    <w:p w14:paraId="1C34024A" w14:textId="77777777" w:rsidR="00AC6F3C" w:rsidRDefault="00AC6F3C">
      <w:pPr>
        <w:pStyle w:val="BodyText"/>
      </w:pPr>
    </w:p>
    <w:p w14:paraId="1248A4BB" w14:textId="77777777" w:rsidR="00AC6F3C" w:rsidRDefault="00AC6F3C">
      <w:pPr>
        <w:pStyle w:val="BodyText"/>
        <w:spacing w:before="7"/>
        <w:rPr>
          <w:sz w:val="22"/>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93"/>
        <w:gridCol w:w="1492"/>
        <w:gridCol w:w="1661"/>
        <w:gridCol w:w="1639"/>
      </w:tblGrid>
      <w:tr w:rsidR="00AC6F3C" w14:paraId="0ACAF5C3" w14:textId="77777777">
        <w:trPr>
          <w:trHeight w:val="582"/>
        </w:trPr>
        <w:tc>
          <w:tcPr>
            <w:tcW w:w="5485" w:type="dxa"/>
            <w:gridSpan w:val="2"/>
            <w:tcBorders>
              <w:right w:val="nil"/>
            </w:tcBorders>
            <w:shd w:val="clear" w:color="auto" w:fill="BEBEBE"/>
          </w:tcPr>
          <w:p w14:paraId="07E4573B" w14:textId="77777777" w:rsidR="00AC6F3C" w:rsidRDefault="00AC6F3C">
            <w:pPr>
              <w:pStyle w:val="TableParagraph"/>
              <w:spacing w:before="5"/>
              <w:rPr>
                <w:sz w:val="29"/>
              </w:rPr>
            </w:pPr>
          </w:p>
          <w:p w14:paraId="5DF315E0" w14:textId="77777777" w:rsidR="00AC6F3C" w:rsidRDefault="00570E88">
            <w:pPr>
              <w:pStyle w:val="TableParagraph"/>
              <w:spacing w:before="1"/>
              <w:ind w:right="624"/>
              <w:jc w:val="right"/>
              <w:rPr>
                <w:b/>
                <w:sz w:val="18"/>
              </w:rPr>
            </w:pPr>
            <w:r>
              <w:rPr>
                <w:b/>
                <w:spacing w:val="-4"/>
                <w:sz w:val="18"/>
              </w:rPr>
              <w:t>Note</w:t>
            </w:r>
          </w:p>
        </w:tc>
        <w:tc>
          <w:tcPr>
            <w:tcW w:w="3300" w:type="dxa"/>
            <w:gridSpan w:val="2"/>
            <w:tcBorders>
              <w:left w:val="nil"/>
            </w:tcBorders>
            <w:shd w:val="clear" w:color="auto" w:fill="BEBEBE"/>
          </w:tcPr>
          <w:p w14:paraId="519B08FE" w14:textId="77777777" w:rsidR="00AC6F3C" w:rsidRDefault="00570E88">
            <w:pPr>
              <w:pStyle w:val="TableParagraph"/>
              <w:tabs>
                <w:tab w:val="left" w:pos="1646"/>
              </w:tabs>
              <w:spacing w:before="40"/>
              <w:ind w:right="22"/>
              <w:jc w:val="right"/>
              <w:rPr>
                <w:b/>
                <w:sz w:val="18"/>
              </w:rPr>
            </w:pPr>
            <w:r>
              <w:rPr>
                <w:b/>
                <w:spacing w:val="-4"/>
                <w:sz w:val="18"/>
              </w:rPr>
              <w:t>2023</w:t>
            </w:r>
            <w:r>
              <w:rPr>
                <w:b/>
                <w:sz w:val="18"/>
              </w:rPr>
              <w:tab/>
            </w:r>
            <w:r>
              <w:rPr>
                <w:b/>
                <w:spacing w:val="-4"/>
                <w:sz w:val="18"/>
              </w:rPr>
              <w:t>2022</w:t>
            </w:r>
          </w:p>
          <w:p w14:paraId="43B4D137" w14:textId="77777777" w:rsidR="00AC6F3C" w:rsidRDefault="00570E88">
            <w:pPr>
              <w:pStyle w:val="TableParagraph"/>
              <w:tabs>
                <w:tab w:val="left" w:pos="1646"/>
              </w:tabs>
              <w:spacing w:before="92"/>
              <w:ind w:right="25"/>
              <w:jc w:val="right"/>
              <w:rPr>
                <w:b/>
                <w:sz w:val="18"/>
              </w:rPr>
            </w:pPr>
            <w:r>
              <w:rPr>
                <w:b/>
                <w:spacing w:val="-10"/>
                <w:sz w:val="18"/>
              </w:rPr>
              <w:t>$</w:t>
            </w:r>
            <w:r>
              <w:rPr>
                <w:b/>
                <w:sz w:val="18"/>
              </w:rPr>
              <w:tab/>
            </w:r>
            <w:r>
              <w:rPr>
                <w:b/>
                <w:spacing w:val="-10"/>
                <w:sz w:val="18"/>
              </w:rPr>
              <w:t>$</w:t>
            </w:r>
          </w:p>
        </w:tc>
      </w:tr>
      <w:tr w:rsidR="00AC6F3C" w14:paraId="6B0ED3CE" w14:textId="77777777">
        <w:trPr>
          <w:trHeight w:val="582"/>
        </w:trPr>
        <w:tc>
          <w:tcPr>
            <w:tcW w:w="3993" w:type="dxa"/>
            <w:tcBorders>
              <w:right w:val="nil"/>
            </w:tcBorders>
          </w:tcPr>
          <w:p w14:paraId="2742F7F5" w14:textId="77777777" w:rsidR="00AC6F3C" w:rsidRDefault="00570E88">
            <w:pPr>
              <w:pStyle w:val="TableParagraph"/>
              <w:spacing w:before="40"/>
              <w:ind w:left="37"/>
              <w:rPr>
                <w:b/>
                <w:sz w:val="18"/>
              </w:rPr>
            </w:pPr>
            <w:r>
              <w:rPr>
                <w:b/>
                <w:spacing w:val="-2"/>
                <w:sz w:val="18"/>
              </w:rPr>
              <w:t>Revenue</w:t>
            </w:r>
          </w:p>
          <w:p w14:paraId="4F2F3BBC" w14:textId="77777777" w:rsidR="00AC6F3C" w:rsidRDefault="00570E88">
            <w:pPr>
              <w:pStyle w:val="TableParagraph"/>
              <w:spacing w:before="92"/>
              <w:ind w:left="37"/>
              <w:rPr>
                <w:sz w:val="18"/>
              </w:rPr>
            </w:pPr>
            <w:r>
              <w:rPr>
                <w:sz w:val="18"/>
              </w:rPr>
              <w:t>Grant</w:t>
            </w:r>
            <w:r>
              <w:rPr>
                <w:spacing w:val="-13"/>
                <w:sz w:val="18"/>
              </w:rPr>
              <w:t xml:space="preserve"> </w:t>
            </w:r>
            <w:r>
              <w:rPr>
                <w:spacing w:val="-2"/>
                <w:sz w:val="18"/>
              </w:rPr>
              <w:t>Funding</w:t>
            </w:r>
          </w:p>
        </w:tc>
        <w:tc>
          <w:tcPr>
            <w:tcW w:w="1492" w:type="dxa"/>
            <w:tcBorders>
              <w:left w:val="nil"/>
              <w:right w:val="nil"/>
            </w:tcBorders>
          </w:tcPr>
          <w:p w14:paraId="62136AF2" w14:textId="77777777" w:rsidR="00AC6F3C" w:rsidRDefault="00AC6F3C">
            <w:pPr>
              <w:pStyle w:val="TableParagraph"/>
              <w:spacing w:before="5"/>
              <w:rPr>
                <w:sz w:val="29"/>
              </w:rPr>
            </w:pPr>
          </w:p>
          <w:p w14:paraId="1DFAA2FA" w14:textId="77777777" w:rsidR="00AC6F3C" w:rsidRDefault="00570E88">
            <w:pPr>
              <w:pStyle w:val="TableParagraph"/>
              <w:spacing w:before="1"/>
              <w:ind w:left="472" w:right="599"/>
              <w:jc w:val="center"/>
              <w:rPr>
                <w:sz w:val="18"/>
              </w:rPr>
            </w:pPr>
            <w:r>
              <w:rPr>
                <w:spacing w:val="-5"/>
                <w:sz w:val="18"/>
              </w:rPr>
              <w:t>B1</w:t>
            </w:r>
          </w:p>
        </w:tc>
        <w:tc>
          <w:tcPr>
            <w:tcW w:w="1661" w:type="dxa"/>
            <w:tcBorders>
              <w:left w:val="nil"/>
              <w:right w:val="nil"/>
            </w:tcBorders>
            <w:shd w:val="clear" w:color="auto" w:fill="F1F1F1"/>
          </w:tcPr>
          <w:p w14:paraId="334B1B3A" w14:textId="77777777" w:rsidR="00AC6F3C" w:rsidRDefault="00AC6F3C">
            <w:pPr>
              <w:pStyle w:val="TableParagraph"/>
              <w:spacing w:before="5"/>
              <w:rPr>
                <w:sz w:val="29"/>
              </w:rPr>
            </w:pPr>
          </w:p>
          <w:p w14:paraId="636041B5" w14:textId="77777777" w:rsidR="00AC6F3C" w:rsidRDefault="00570E88">
            <w:pPr>
              <w:pStyle w:val="TableParagraph"/>
              <w:spacing w:before="1"/>
              <w:ind w:right="35"/>
              <w:jc w:val="right"/>
              <w:rPr>
                <w:sz w:val="18"/>
              </w:rPr>
            </w:pPr>
            <w:r>
              <w:rPr>
                <w:spacing w:val="-2"/>
                <w:sz w:val="18"/>
              </w:rPr>
              <w:t>1,434,538</w:t>
            </w:r>
          </w:p>
        </w:tc>
        <w:tc>
          <w:tcPr>
            <w:tcW w:w="1639" w:type="dxa"/>
            <w:tcBorders>
              <w:left w:val="nil"/>
            </w:tcBorders>
          </w:tcPr>
          <w:p w14:paraId="7EC59B16" w14:textId="77777777" w:rsidR="00AC6F3C" w:rsidRDefault="00AC6F3C">
            <w:pPr>
              <w:pStyle w:val="TableParagraph"/>
              <w:spacing w:before="5"/>
              <w:rPr>
                <w:sz w:val="29"/>
              </w:rPr>
            </w:pPr>
          </w:p>
          <w:p w14:paraId="7DDB8F21" w14:textId="77777777" w:rsidR="00AC6F3C" w:rsidRDefault="00570E88">
            <w:pPr>
              <w:pStyle w:val="TableParagraph"/>
              <w:spacing w:before="1"/>
              <w:ind w:right="20"/>
              <w:jc w:val="right"/>
              <w:rPr>
                <w:sz w:val="18"/>
              </w:rPr>
            </w:pPr>
            <w:r>
              <w:rPr>
                <w:spacing w:val="-2"/>
                <w:sz w:val="18"/>
              </w:rPr>
              <w:t>1,488,188</w:t>
            </w:r>
          </w:p>
        </w:tc>
      </w:tr>
      <w:tr w:rsidR="00AC6F3C" w14:paraId="1004A4A6" w14:textId="77777777">
        <w:trPr>
          <w:trHeight w:val="283"/>
        </w:trPr>
        <w:tc>
          <w:tcPr>
            <w:tcW w:w="3993" w:type="dxa"/>
            <w:tcBorders>
              <w:right w:val="nil"/>
            </w:tcBorders>
            <w:shd w:val="clear" w:color="auto" w:fill="BEBEBE"/>
          </w:tcPr>
          <w:p w14:paraId="32E0788D" w14:textId="77777777" w:rsidR="00AC6F3C" w:rsidRDefault="00570E88">
            <w:pPr>
              <w:pStyle w:val="TableParagraph"/>
              <w:spacing w:before="40"/>
              <w:ind w:left="37"/>
              <w:rPr>
                <w:b/>
                <w:sz w:val="18"/>
              </w:rPr>
            </w:pPr>
            <w:r>
              <w:rPr>
                <w:b/>
                <w:spacing w:val="-4"/>
                <w:sz w:val="18"/>
              </w:rPr>
              <w:t xml:space="preserve">Total </w:t>
            </w:r>
            <w:r>
              <w:rPr>
                <w:b/>
                <w:spacing w:val="-2"/>
                <w:sz w:val="18"/>
              </w:rPr>
              <w:t>revenue</w:t>
            </w:r>
          </w:p>
        </w:tc>
        <w:tc>
          <w:tcPr>
            <w:tcW w:w="1492" w:type="dxa"/>
            <w:tcBorders>
              <w:left w:val="nil"/>
              <w:right w:val="nil"/>
            </w:tcBorders>
            <w:shd w:val="clear" w:color="auto" w:fill="BEBEBE"/>
          </w:tcPr>
          <w:p w14:paraId="687D96A8" w14:textId="77777777" w:rsidR="00AC6F3C" w:rsidRDefault="00AC6F3C">
            <w:pPr>
              <w:pStyle w:val="TableParagraph"/>
              <w:rPr>
                <w:rFonts w:ascii="Times New Roman"/>
                <w:sz w:val="18"/>
              </w:rPr>
            </w:pPr>
          </w:p>
        </w:tc>
        <w:tc>
          <w:tcPr>
            <w:tcW w:w="1661" w:type="dxa"/>
            <w:tcBorders>
              <w:left w:val="nil"/>
              <w:right w:val="nil"/>
            </w:tcBorders>
            <w:shd w:val="clear" w:color="auto" w:fill="BEBEBE"/>
          </w:tcPr>
          <w:p w14:paraId="35099847" w14:textId="77777777" w:rsidR="00AC6F3C" w:rsidRDefault="00570E88">
            <w:pPr>
              <w:pStyle w:val="TableParagraph"/>
              <w:spacing w:before="40"/>
              <w:ind w:right="35"/>
              <w:jc w:val="right"/>
              <w:rPr>
                <w:b/>
                <w:sz w:val="18"/>
              </w:rPr>
            </w:pPr>
            <w:r>
              <w:rPr>
                <w:b/>
                <w:spacing w:val="-2"/>
                <w:sz w:val="18"/>
              </w:rPr>
              <w:t>1,434,538</w:t>
            </w:r>
          </w:p>
        </w:tc>
        <w:tc>
          <w:tcPr>
            <w:tcW w:w="1639" w:type="dxa"/>
            <w:tcBorders>
              <w:left w:val="nil"/>
            </w:tcBorders>
            <w:shd w:val="clear" w:color="auto" w:fill="BEBEBE"/>
          </w:tcPr>
          <w:p w14:paraId="4C23AF30" w14:textId="77777777" w:rsidR="00AC6F3C" w:rsidRDefault="00570E88">
            <w:pPr>
              <w:pStyle w:val="TableParagraph"/>
              <w:spacing w:before="40"/>
              <w:ind w:right="21"/>
              <w:jc w:val="right"/>
              <w:rPr>
                <w:b/>
                <w:sz w:val="18"/>
              </w:rPr>
            </w:pPr>
            <w:r>
              <w:rPr>
                <w:b/>
                <w:spacing w:val="-2"/>
                <w:sz w:val="18"/>
              </w:rPr>
              <w:t>1,488,188</w:t>
            </w:r>
          </w:p>
        </w:tc>
      </w:tr>
      <w:tr w:rsidR="00AC6F3C" w14:paraId="29A6FA4F" w14:textId="77777777">
        <w:trPr>
          <w:trHeight w:val="595"/>
        </w:trPr>
        <w:tc>
          <w:tcPr>
            <w:tcW w:w="3993" w:type="dxa"/>
            <w:tcBorders>
              <w:bottom w:val="nil"/>
              <w:right w:val="nil"/>
            </w:tcBorders>
          </w:tcPr>
          <w:p w14:paraId="1D2D3079" w14:textId="77777777" w:rsidR="00AC6F3C" w:rsidRDefault="00AC6F3C">
            <w:pPr>
              <w:pStyle w:val="TableParagraph"/>
              <w:spacing w:before="5"/>
              <w:rPr>
                <w:sz w:val="29"/>
              </w:rPr>
            </w:pPr>
          </w:p>
          <w:p w14:paraId="69A96653" w14:textId="77777777" w:rsidR="00AC6F3C" w:rsidRDefault="00570E88">
            <w:pPr>
              <w:pStyle w:val="TableParagraph"/>
              <w:spacing w:before="1"/>
              <w:ind w:left="37"/>
              <w:rPr>
                <w:b/>
                <w:sz w:val="18"/>
              </w:rPr>
            </w:pPr>
            <w:r>
              <w:rPr>
                <w:b/>
                <w:spacing w:val="-2"/>
                <w:sz w:val="18"/>
              </w:rPr>
              <w:t>Expenses</w:t>
            </w:r>
          </w:p>
        </w:tc>
        <w:tc>
          <w:tcPr>
            <w:tcW w:w="1492" w:type="dxa"/>
            <w:tcBorders>
              <w:left w:val="nil"/>
              <w:bottom w:val="nil"/>
              <w:right w:val="nil"/>
            </w:tcBorders>
          </w:tcPr>
          <w:p w14:paraId="22C76C39" w14:textId="77777777" w:rsidR="00AC6F3C" w:rsidRDefault="00AC6F3C">
            <w:pPr>
              <w:pStyle w:val="TableParagraph"/>
              <w:rPr>
                <w:rFonts w:ascii="Times New Roman"/>
                <w:sz w:val="18"/>
              </w:rPr>
            </w:pPr>
          </w:p>
        </w:tc>
        <w:tc>
          <w:tcPr>
            <w:tcW w:w="1661" w:type="dxa"/>
            <w:tcBorders>
              <w:left w:val="nil"/>
              <w:bottom w:val="nil"/>
              <w:right w:val="nil"/>
            </w:tcBorders>
            <w:shd w:val="clear" w:color="auto" w:fill="F1F1F1"/>
          </w:tcPr>
          <w:p w14:paraId="578F9A07" w14:textId="77777777" w:rsidR="00AC6F3C" w:rsidRDefault="00AC6F3C">
            <w:pPr>
              <w:pStyle w:val="TableParagraph"/>
              <w:rPr>
                <w:rFonts w:ascii="Times New Roman"/>
                <w:sz w:val="18"/>
              </w:rPr>
            </w:pPr>
          </w:p>
        </w:tc>
        <w:tc>
          <w:tcPr>
            <w:tcW w:w="1639" w:type="dxa"/>
            <w:tcBorders>
              <w:left w:val="nil"/>
              <w:bottom w:val="nil"/>
            </w:tcBorders>
          </w:tcPr>
          <w:p w14:paraId="3B14D7C8" w14:textId="77777777" w:rsidR="00AC6F3C" w:rsidRDefault="00AC6F3C">
            <w:pPr>
              <w:pStyle w:val="TableParagraph"/>
              <w:rPr>
                <w:rFonts w:ascii="Times New Roman"/>
                <w:sz w:val="18"/>
              </w:rPr>
            </w:pPr>
          </w:p>
        </w:tc>
      </w:tr>
      <w:tr w:rsidR="00AC6F3C" w14:paraId="0AEFC8BC" w14:textId="77777777">
        <w:trPr>
          <w:trHeight w:val="298"/>
        </w:trPr>
        <w:tc>
          <w:tcPr>
            <w:tcW w:w="3993" w:type="dxa"/>
            <w:tcBorders>
              <w:top w:val="nil"/>
              <w:bottom w:val="nil"/>
              <w:right w:val="nil"/>
            </w:tcBorders>
          </w:tcPr>
          <w:p w14:paraId="05DD7CB3" w14:textId="77777777" w:rsidR="00AC6F3C" w:rsidRDefault="00570E88">
            <w:pPr>
              <w:pStyle w:val="TableParagraph"/>
              <w:spacing w:before="42"/>
              <w:ind w:left="37"/>
              <w:rPr>
                <w:sz w:val="18"/>
              </w:rPr>
            </w:pPr>
            <w:r>
              <w:rPr>
                <w:sz w:val="18"/>
              </w:rPr>
              <w:t>Administration</w:t>
            </w:r>
            <w:r>
              <w:rPr>
                <w:spacing w:val="21"/>
                <w:sz w:val="18"/>
              </w:rPr>
              <w:t xml:space="preserve"> </w:t>
            </w:r>
            <w:r>
              <w:rPr>
                <w:spacing w:val="-2"/>
                <w:sz w:val="18"/>
              </w:rPr>
              <w:t>expenses</w:t>
            </w:r>
          </w:p>
        </w:tc>
        <w:tc>
          <w:tcPr>
            <w:tcW w:w="1492" w:type="dxa"/>
            <w:tcBorders>
              <w:top w:val="nil"/>
              <w:left w:val="nil"/>
              <w:bottom w:val="nil"/>
              <w:right w:val="nil"/>
            </w:tcBorders>
          </w:tcPr>
          <w:p w14:paraId="1D0583E5" w14:textId="77777777" w:rsidR="00AC6F3C" w:rsidRDefault="00570E88">
            <w:pPr>
              <w:pStyle w:val="TableParagraph"/>
              <w:spacing w:before="42"/>
              <w:ind w:left="487" w:right="599"/>
              <w:jc w:val="center"/>
              <w:rPr>
                <w:sz w:val="18"/>
              </w:rPr>
            </w:pPr>
            <w:r>
              <w:rPr>
                <w:spacing w:val="-2"/>
                <w:sz w:val="18"/>
              </w:rPr>
              <w:t>B2-</w:t>
            </w:r>
            <w:r>
              <w:rPr>
                <w:spacing w:val="-10"/>
                <w:sz w:val="18"/>
              </w:rPr>
              <w:t>1</w:t>
            </w:r>
          </w:p>
        </w:tc>
        <w:tc>
          <w:tcPr>
            <w:tcW w:w="1661" w:type="dxa"/>
            <w:tcBorders>
              <w:top w:val="nil"/>
              <w:left w:val="nil"/>
              <w:bottom w:val="nil"/>
              <w:right w:val="nil"/>
            </w:tcBorders>
            <w:shd w:val="clear" w:color="auto" w:fill="F1F1F1"/>
          </w:tcPr>
          <w:p w14:paraId="77A1A9C0" w14:textId="77777777" w:rsidR="00AC6F3C" w:rsidRDefault="00570E88">
            <w:pPr>
              <w:pStyle w:val="TableParagraph"/>
              <w:spacing w:before="42"/>
              <w:ind w:right="35"/>
              <w:jc w:val="right"/>
              <w:rPr>
                <w:sz w:val="18"/>
              </w:rPr>
            </w:pPr>
            <w:r>
              <w:rPr>
                <w:spacing w:val="-2"/>
                <w:sz w:val="18"/>
              </w:rPr>
              <w:t>33,393</w:t>
            </w:r>
          </w:p>
        </w:tc>
        <w:tc>
          <w:tcPr>
            <w:tcW w:w="1639" w:type="dxa"/>
            <w:tcBorders>
              <w:top w:val="nil"/>
              <w:left w:val="nil"/>
              <w:bottom w:val="nil"/>
            </w:tcBorders>
          </w:tcPr>
          <w:p w14:paraId="0FFA287C" w14:textId="77777777" w:rsidR="00AC6F3C" w:rsidRDefault="00570E88">
            <w:pPr>
              <w:pStyle w:val="TableParagraph"/>
              <w:spacing w:before="42"/>
              <w:ind w:right="20"/>
              <w:jc w:val="right"/>
              <w:rPr>
                <w:sz w:val="18"/>
              </w:rPr>
            </w:pPr>
            <w:r>
              <w:rPr>
                <w:spacing w:val="-2"/>
                <w:sz w:val="18"/>
              </w:rPr>
              <w:t>36,039</w:t>
            </w:r>
          </w:p>
        </w:tc>
      </w:tr>
      <w:tr w:rsidR="00AC6F3C" w14:paraId="720B3AC9" w14:textId="77777777">
        <w:trPr>
          <w:trHeight w:val="298"/>
        </w:trPr>
        <w:tc>
          <w:tcPr>
            <w:tcW w:w="3993" w:type="dxa"/>
            <w:tcBorders>
              <w:top w:val="nil"/>
              <w:bottom w:val="nil"/>
              <w:right w:val="nil"/>
            </w:tcBorders>
          </w:tcPr>
          <w:p w14:paraId="2BF483CE" w14:textId="77777777" w:rsidR="00AC6F3C" w:rsidRDefault="00570E88">
            <w:pPr>
              <w:pStyle w:val="TableParagraph"/>
              <w:spacing w:before="42"/>
              <w:ind w:left="37"/>
              <w:rPr>
                <w:sz w:val="18"/>
              </w:rPr>
            </w:pPr>
            <w:r>
              <w:rPr>
                <w:sz w:val="18"/>
              </w:rPr>
              <w:t>Employee</w:t>
            </w:r>
            <w:r>
              <w:rPr>
                <w:spacing w:val="5"/>
                <w:sz w:val="18"/>
              </w:rPr>
              <w:t xml:space="preserve"> </w:t>
            </w:r>
            <w:r>
              <w:rPr>
                <w:spacing w:val="-2"/>
                <w:sz w:val="18"/>
              </w:rPr>
              <w:t>expenses</w:t>
            </w:r>
          </w:p>
        </w:tc>
        <w:tc>
          <w:tcPr>
            <w:tcW w:w="1492" w:type="dxa"/>
            <w:tcBorders>
              <w:top w:val="nil"/>
              <w:left w:val="nil"/>
              <w:bottom w:val="nil"/>
              <w:right w:val="nil"/>
            </w:tcBorders>
          </w:tcPr>
          <w:p w14:paraId="5E712F74" w14:textId="77777777" w:rsidR="00AC6F3C" w:rsidRDefault="00570E88">
            <w:pPr>
              <w:pStyle w:val="TableParagraph"/>
              <w:spacing w:before="42"/>
              <w:ind w:left="487" w:right="599"/>
              <w:jc w:val="center"/>
              <w:rPr>
                <w:sz w:val="18"/>
              </w:rPr>
            </w:pPr>
            <w:r>
              <w:rPr>
                <w:spacing w:val="-2"/>
                <w:sz w:val="18"/>
              </w:rPr>
              <w:t>B2-</w:t>
            </w:r>
            <w:r>
              <w:rPr>
                <w:spacing w:val="-10"/>
                <w:sz w:val="18"/>
              </w:rPr>
              <w:t>2</w:t>
            </w:r>
          </w:p>
        </w:tc>
        <w:tc>
          <w:tcPr>
            <w:tcW w:w="1661" w:type="dxa"/>
            <w:tcBorders>
              <w:top w:val="nil"/>
              <w:left w:val="nil"/>
              <w:bottom w:val="nil"/>
              <w:right w:val="nil"/>
            </w:tcBorders>
            <w:shd w:val="clear" w:color="auto" w:fill="F1F1F1"/>
          </w:tcPr>
          <w:p w14:paraId="37366921" w14:textId="77777777" w:rsidR="00AC6F3C" w:rsidRDefault="00570E88">
            <w:pPr>
              <w:pStyle w:val="TableParagraph"/>
              <w:spacing w:before="42"/>
              <w:ind w:right="35"/>
              <w:jc w:val="right"/>
              <w:rPr>
                <w:sz w:val="18"/>
              </w:rPr>
            </w:pPr>
            <w:r>
              <w:rPr>
                <w:spacing w:val="-2"/>
                <w:sz w:val="18"/>
              </w:rPr>
              <w:t>518,856</w:t>
            </w:r>
          </w:p>
        </w:tc>
        <w:tc>
          <w:tcPr>
            <w:tcW w:w="1639" w:type="dxa"/>
            <w:tcBorders>
              <w:top w:val="nil"/>
              <w:left w:val="nil"/>
              <w:bottom w:val="nil"/>
            </w:tcBorders>
          </w:tcPr>
          <w:p w14:paraId="3D6BF7B9" w14:textId="77777777" w:rsidR="00AC6F3C" w:rsidRDefault="00570E88">
            <w:pPr>
              <w:pStyle w:val="TableParagraph"/>
              <w:spacing w:before="42"/>
              <w:ind w:right="21"/>
              <w:jc w:val="right"/>
              <w:rPr>
                <w:sz w:val="18"/>
              </w:rPr>
            </w:pPr>
            <w:r>
              <w:rPr>
                <w:spacing w:val="-2"/>
                <w:sz w:val="18"/>
              </w:rPr>
              <w:t>600,285</w:t>
            </w:r>
          </w:p>
        </w:tc>
      </w:tr>
      <w:tr w:rsidR="00AC6F3C" w14:paraId="2BEF2B70" w14:textId="77777777">
        <w:trPr>
          <w:trHeight w:val="286"/>
        </w:trPr>
        <w:tc>
          <w:tcPr>
            <w:tcW w:w="3993" w:type="dxa"/>
            <w:tcBorders>
              <w:top w:val="nil"/>
              <w:right w:val="nil"/>
            </w:tcBorders>
          </w:tcPr>
          <w:p w14:paraId="33DB3545" w14:textId="77777777" w:rsidR="00AC6F3C" w:rsidRDefault="00570E88">
            <w:pPr>
              <w:pStyle w:val="TableParagraph"/>
              <w:spacing w:before="42"/>
              <w:ind w:left="37"/>
              <w:rPr>
                <w:sz w:val="18"/>
              </w:rPr>
            </w:pPr>
            <w:r>
              <w:rPr>
                <w:sz w:val="18"/>
              </w:rPr>
              <w:t>Management</w:t>
            </w:r>
            <w:r>
              <w:rPr>
                <w:spacing w:val="6"/>
                <w:sz w:val="18"/>
              </w:rPr>
              <w:t xml:space="preserve"> </w:t>
            </w:r>
            <w:r>
              <w:rPr>
                <w:spacing w:val="-4"/>
                <w:sz w:val="18"/>
              </w:rPr>
              <w:t>Fees</w:t>
            </w:r>
          </w:p>
        </w:tc>
        <w:tc>
          <w:tcPr>
            <w:tcW w:w="1492" w:type="dxa"/>
            <w:tcBorders>
              <w:top w:val="nil"/>
              <w:left w:val="nil"/>
              <w:right w:val="nil"/>
            </w:tcBorders>
          </w:tcPr>
          <w:p w14:paraId="7B976278" w14:textId="77777777" w:rsidR="00AC6F3C" w:rsidRDefault="00570E88">
            <w:pPr>
              <w:pStyle w:val="TableParagraph"/>
              <w:spacing w:before="42"/>
              <w:ind w:left="487" w:right="599"/>
              <w:jc w:val="center"/>
              <w:rPr>
                <w:sz w:val="18"/>
              </w:rPr>
            </w:pPr>
            <w:r>
              <w:rPr>
                <w:spacing w:val="-2"/>
                <w:sz w:val="18"/>
              </w:rPr>
              <w:t>B2-</w:t>
            </w:r>
            <w:r>
              <w:rPr>
                <w:spacing w:val="-10"/>
                <w:sz w:val="18"/>
              </w:rPr>
              <w:t>3</w:t>
            </w:r>
          </w:p>
        </w:tc>
        <w:tc>
          <w:tcPr>
            <w:tcW w:w="1661" w:type="dxa"/>
            <w:tcBorders>
              <w:top w:val="nil"/>
              <w:left w:val="nil"/>
              <w:right w:val="nil"/>
            </w:tcBorders>
            <w:shd w:val="clear" w:color="auto" w:fill="F1F1F1"/>
          </w:tcPr>
          <w:p w14:paraId="79A97D97" w14:textId="77777777" w:rsidR="00AC6F3C" w:rsidRDefault="00570E88">
            <w:pPr>
              <w:pStyle w:val="TableParagraph"/>
              <w:spacing w:before="42"/>
              <w:ind w:right="35"/>
              <w:jc w:val="right"/>
              <w:rPr>
                <w:sz w:val="18"/>
              </w:rPr>
            </w:pPr>
            <w:r>
              <w:rPr>
                <w:spacing w:val="-2"/>
                <w:sz w:val="18"/>
              </w:rPr>
              <w:t>882,289</w:t>
            </w:r>
          </w:p>
        </w:tc>
        <w:tc>
          <w:tcPr>
            <w:tcW w:w="1639" w:type="dxa"/>
            <w:tcBorders>
              <w:top w:val="nil"/>
              <w:left w:val="nil"/>
            </w:tcBorders>
          </w:tcPr>
          <w:p w14:paraId="76440E8D" w14:textId="77777777" w:rsidR="00AC6F3C" w:rsidRDefault="00570E88">
            <w:pPr>
              <w:pStyle w:val="TableParagraph"/>
              <w:spacing w:before="42"/>
              <w:ind w:right="21"/>
              <w:jc w:val="right"/>
              <w:rPr>
                <w:sz w:val="18"/>
              </w:rPr>
            </w:pPr>
            <w:r>
              <w:rPr>
                <w:spacing w:val="-2"/>
                <w:sz w:val="18"/>
              </w:rPr>
              <w:t>851,864</w:t>
            </w:r>
          </w:p>
        </w:tc>
      </w:tr>
      <w:tr w:rsidR="00AC6F3C" w14:paraId="5656371F" w14:textId="77777777">
        <w:trPr>
          <w:trHeight w:val="283"/>
        </w:trPr>
        <w:tc>
          <w:tcPr>
            <w:tcW w:w="3993" w:type="dxa"/>
            <w:tcBorders>
              <w:right w:val="nil"/>
            </w:tcBorders>
            <w:shd w:val="clear" w:color="auto" w:fill="BEBEBE"/>
          </w:tcPr>
          <w:p w14:paraId="1162370A" w14:textId="77777777" w:rsidR="00AC6F3C" w:rsidRDefault="00570E88">
            <w:pPr>
              <w:pStyle w:val="TableParagraph"/>
              <w:spacing w:before="40"/>
              <w:ind w:left="37"/>
              <w:rPr>
                <w:b/>
                <w:sz w:val="18"/>
              </w:rPr>
            </w:pPr>
            <w:r>
              <w:rPr>
                <w:b/>
                <w:spacing w:val="-4"/>
                <w:sz w:val="18"/>
              </w:rPr>
              <w:t>Total</w:t>
            </w:r>
            <w:r>
              <w:rPr>
                <w:b/>
                <w:spacing w:val="-2"/>
                <w:sz w:val="18"/>
              </w:rPr>
              <w:t xml:space="preserve"> expenses</w:t>
            </w:r>
          </w:p>
        </w:tc>
        <w:tc>
          <w:tcPr>
            <w:tcW w:w="1492" w:type="dxa"/>
            <w:tcBorders>
              <w:left w:val="nil"/>
              <w:right w:val="nil"/>
            </w:tcBorders>
            <w:shd w:val="clear" w:color="auto" w:fill="BEBEBE"/>
          </w:tcPr>
          <w:p w14:paraId="7FE63BD1" w14:textId="77777777" w:rsidR="00AC6F3C" w:rsidRDefault="00AC6F3C">
            <w:pPr>
              <w:pStyle w:val="TableParagraph"/>
              <w:rPr>
                <w:rFonts w:ascii="Times New Roman"/>
                <w:sz w:val="18"/>
              </w:rPr>
            </w:pPr>
          </w:p>
        </w:tc>
        <w:tc>
          <w:tcPr>
            <w:tcW w:w="1661" w:type="dxa"/>
            <w:tcBorders>
              <w:left w:val="nil"/>
              <w:right w:val="nil"/>
            </w:tcBorders>
            <w:shd w:val="clear" w:color="auto" w:fill="BEBEBE"/>
          </w:tcPr>
          <w:p w14:paraId="3E91C22D" w14:textId="77777777" w:rsidR="00AC6F3C" w:rsidRDefault="00570E88">
            <w:pPr>
              <w:pStyle w:val="TableParagraph"/>
              <w:spacing w:before="40"/>
              <w:ind w:right="35"/>
              <w:jc w:val="right"/>
              <w:rPr>
                <w:b/>
                <w:sz w:val="18"/>
              </w:rPr>
            </w:pPr>
            <w:r>
              <w:rPr>
                <w:b/>
                <w:spacing w:val="-2"/>
                <w:sz w:val="18"/>
              </w:rPr>
              <w:t>1,434,538</w:t>
            </w:r>
          </w:p>
        </w:tc>
        <w:tc>
          <w:tcPr>
            <w:tcW w:w="1639" w:type="dxa"/>
            <w:tcBorders>
              <w:left w:val="nil"/>
            </w:tcBorders>
            <w:shd w:val="clear" w:color="auto" w:fill="BEBEBE"/>
          </w:tcPr>
          <w:p w14:paraId="78D31EEC" w14:textId="77777777" w:rsidR="00AC6F3C" w:rsidRDefault="00570E88">
            <w:pPr>
              <w:pStyle w:val="TableParagraph"/>
              <w:spacing w:before="40"/>
              <w:ind w:right="21"/>
              <w:jc w:val="right"/>
              <w:rPr>
                <w:b/>
                <w:sz w:val="18"/>
              </w:rPr>
            </w:pPr>
            <w:r>
              <w:rPr>
                <w:b/>
                <w:spacing w:val="-2"/>
                <w:sz w:val="18"/>
              </w:rPr>
              <w:t>1,488,188</w:t>
            </w:r>
          </w:p>
        </w:tc>
      </w:tr>
      <w:tr w:rsidR="00AC6F3C" w14:paraId="5AA77989" w14:textId="77777777">
        <w:trPr>
          <w:trHeight w:val="283"/>
        </w:trPr>
        <w:tc>
          <w:tcPr>
            <w:tcW w:w="5485" w:type="dxa"/>
            <w:gridSpan w:val="2"/>
            <w:tcBorders>
              <w:right w:val="nil"/>
            </w:tcBorders>
          </w:tcPr>
          <w:p w14:paraId="448D95F9" w14:textId="77777777" w:rsidR="00AC6F3C" w:rsidRDefault="00AC6F3C">
            <w:pPr>
              <w:pStyle w:val="TableParagraph"/>
              <w:rPr>
                <w:rFonts w:ascii="Times New Roman"/>
                <w:sz w:val="18"/>
              </w:rPr>
            </w:pPr>
          </w:p>
        </w:tc>
        <w:tc>
          <w:tcPr>
            <w:tcW w:w="1661" w:type="dxa"/>
            <w:tcBorders>
              <w:left w:val="nil"/>
              <w:right w:val="nil"/>
            </w:tcBorders>
            <w:shd w:val="clear" w:color="auto" w:fill="F1F1F1"/>
          </w:tcPr>
          <w:p w14:paraId="06BF5903" w14:textId="77777777" w:rsidR="00AC6F3C" w:rsidRDefault="00AC6F3C">
            <w:pPr>
              <w:pStyle w:val="TableParagraph"/>
              <w:rPr>
                <w:rFonts w:ascii="Times New Roman"/>
                <w:sz w:val="18"/>
              </w:rPr>
            </w:pPr>
          </w:p>
        </w:tc>
        <w:tc>
          <w:tcPr>
            <w:tcW w:w="1639" w:type="dxa"/>
            <w:tcBorders>
              <w:left w:val="nil"/>
            </w:tcBorders>
          </w:tcPr>
          <w:p w14:paraId="75C67C9D" w14:textId="77777777" w:rsidR="00AC6F3C" w:rsidRDefault="00AC6F3C">
            <w:pPr>
              <w:pStyle w:val="TableParagraph"/>
              <w:rPr>
                <w:rFonts w:ascii="Times New Roman"/>
                <w:sz w:val="18"/>
              </w:rPr>
            </w:pPr>
          </w:p>
        </w:tc>
      </w:tr>
      <w:tr w:rsidR="00AC6F3C" w14:paraId="6A126B91" w14:textId="77777777">
        <w:trPr>
          <w:trHeight w:val="283"/>
        </w:trPr>
        <w:tc>
          <w:tcPr>
            <w:tcW w:w="3993" w:type="dxa"/>
            <w:tcBorders>
              <w:right w:val="nil"/>
            </w:tcBorders>
            <w:shd w:val="clear" w:color="auto" w:fill="BEBEBE"/>
          </w:tcPr>
          <w:p w14:paraId="65EE6930" w14:textId="77777777" w:rsidR="00AC6F3C" w:rsidRDefault="00570E88">
            <w:pPr>
              <w:pStyle w:val="TableParagraph"/>
              <w:spacing w:before="40"/>
              <w:ind w:left="37"/>
              <w:rPr>
                <w:b/>
                <w:sz w:val="18"/>
              </w:rPr>
            </w:pPr>
            <w:r>
              <w:rPr>
                <w:b/>
                <w:spacing w:val="-2"/>
                <w:sz w:val="18"/>
              </w:rPr>
              <w:t>Profit</w:t>
            </w:r>
            <w:r>
              <w:rPr>
                <w:b/>
                <w:spacing w:val="-4"/>
                <w:sz w:val="18"/>
              </w:rPr>
              <w:t xml:space="preserve"> </w:t>
            </w:r>
            <w:r>
              <w:rPr>
                <w:b/>
                <w:spacing w:val="-2"/>
                <w:sz w:val="18"/>
              </w:rPr>
              <w:t>before</w:t>
            </w:r>
            <w:r>
              <w:rPr>
                <w:b/>
                <w:spacing w:val="1"/>
                <w:sz w:val="18"/>
              </w:rPr>
              <w:t xml:space="preserve"> </w:t>
            </w:r>
            <w:r>
              <w:rPr>
                <w:b/>
                <w:spacing w:val="-5"/>
                <w:sz w:val="18"/>
              </w:rPr>
              <w:t>tax</w:t>
            </w:r>
          </w:p>
        </w:tc>
        <w:tc>
          <w:tcPr>
            <w:tcW w:w="1492" w:type="dxa"/>
            <w:tcBorders>
              <w:left w:val="nil"/>
              <w:right w:val="nil"/>
            </w:tcBorders>
            <w:shd w:val="clear" w:color="auto" w:fill="BEBEBE"/>
          </w:tcPr>
          <w:p w14:paraId="06465046" w14:textId="77777777" w:rsidR="00AC6F3C" w:rsidRDefault="00AC6F3C">
            <w:pPr>
              <w:pStyle w:val="TableParagraph"/>
              <w:rPr>
                <w:rFonts w:ascii="Times New Roman"/>
                <w:sz w:val="18"/>
              </w:rPr>
            </w:pPr>
          </w:p>
        </w:tc>
        <w:tc>
          <w:tcPr>
            <w:tcW w:w="1661" w:type="dxa"/>
            <w:tcBorders>
              <w:left w:val="nil"/>
              <w:right w:val="nil"/>
            </w:tcBorders>
            <w:shd w:val="clear" w:color="auto" w:fill="BEBEBE"/>
          </w:tcPr>
          <w:p w14:paraId="52824E3E" w14:textId="77777777" w:rsidR="00AC6F3C" w:rsidRDefault="00570E88">
            <w:pPr>
              <w:pStyle w:val="TableParagraph"/>
              <w:spacing w:before="40"/>
              <w:ind w:right="35"/>
              <w:jc w:val="right"/>
              <w:rPr>
                <w:b/>
                <w:sz w:val="18"/>
              </w:rPr>
            </w:pPr>
            <w:r>
              <w:rPr>
                <w:b/>
                <w:w w:val="99"/>
                <w:sz w:val="18"/>
              </w:rPr>
              <w:t>-</w:t>
            </w:r>
          </w:p>
        </w:tc>
        <w:tc>
          <w:tcPr>
            <w:tcW w:w="1639" w:type="dxa"/>
            <w:tcBorders>
              <w:left w:val="nil"/>
            </w:tcBorders>
            <w:shd w:val="clear" w:color="auto" w:fill="BEBEBE"/>
          </w:tcPr>
          <w:p w14:paraId="6C007EEE" w14:textId="77777777" w:rsidR="00AC6F3C" w:rsidRDefault="00570E88">
            <w:pPr>
              <w:pStyle w:val="TableParagraph"/>
              <w:spacing w:before="40"/>
              <w:ind w:right="20"/>
              <w:jc w:val="right"/>
              <w:rPr>
                <w:b/>
                <w:sz w:val="18"/>
              </w:rPr>
            </w:pPr>
            <w:r>
              <w:rPr>
                <w:b/>
                <w:w w:val="99"/>
                <w:sz w:val="18"/>
              </w:rPr>
              <w:t>-</w:t>
            </w:r>
          </w:p>
        </w:tc>
      </w:tr>
      <w:tr w:rsidR="00AC6F3C" w14:paraId="5822B2BC" w14:textId="77777777">
        <w:trPr>
          <w:trHeight w:val="582"/>
        </w:trPr>
        <w:tc>
          <w:tcPr>
            <w:tcW w:w="5485" w:type="dxa"/>
            <w:gridSpan w:val="2"/>
            <w:tcBorders>
              <w:right w:val="nil"/>
            </w:tcBorders>
          </w:tcPr>
          <w:p w14:paraId="5FB5844C" w14:textId="77777777" w:rsidR="00AC6F3C" w:rsidRDefault="00AC6F3C">
            <w:pPr>
              <w:pStyle w:val="TableParagraph"/>
              <w:spacing w:before="5"/>
              <w:rPr>
                <w:sz w:val="29"/>
              </w:rPr>
            </w:pPr>
          </w:p>
          <w:p w14:paraId="51A143A8" w14:textId="77777777" w:rsidR="00AC6F3C" w:rsidRDefault="00570E88">
            <w:pPr>
              <w:pStyle w:val="TableParagraph"/>
              <w:spacing w:before="1"/>
              <w:ind w:left="37"/>
              <w:rPr>
                <w:sz w:val="18"/>
              </w:rPr>
            </w:pPr>
            <w:r>
              <w:rPr>
                <w:sz w:val="18"/>
              </w:rPr>
              <w:t>Income</w:t>
            </w:r>
            <w:r>
              <w:rPr>
                <w:spacing w:val="11"/>
                <w:sz w:val="18"/>
              </w:rPr>
              <w:t xml:space="preserve"> </w:t>
            </w:r>
            <w:r>
              <w:rPr>
                <w:spacing w:val="-5"/>
                <w:sz w:val="18"/>
              </w:rPr>
              <w:t>tax</w:t>
            </w:r>
          </w:p>
        </w:tc>
        <w:tc>
          <w:tcPr>
            <w:tcW w:w="1661" w:type="dxa"/>
            <w:tcBorders>
              <w:left w:val="nil"/>
              <w:right w:val="nil"/>
            </w:tcBorders>
            <w:shd w:val="clear" w:color="auto" w:fill="F1F1F1"/>
          </w:tcPr>
          <w:p w14:paraId="32AD5B06" w14:textId="77777777" w:rsidR="00AC6F3C" w:rsidRDefault="00AC6F3C">
            <w:pPr>
              <w:pStyle w:val="TableParagraph"/>
              <w:spacing w:before="5"/>
              <w:rPr>
                <w:sz w:val="29"/>
              </w:rPr>
            </w:pPr>
          </w:p>
          <w:p w14:paraId="3F89CA99" w14:textId="77777777" w:rsidR="00AC6F3C" w:rsidRDefault="00570E88">
            <w:pPr>
              <w:pStyle w:val="TableParagraph"/>
              <w:spacing w:before="1"/>
              <w:ind w:right="35"/>
              <w:jc w:val="right"/>
              <w:rPr>
                <w:b/>
                <w:sz w:val="18"/>
              </w:rPr>
            </w:pPr>
            <w:r>
              <w:rPr>
                <w:b/>
                <w:w w:val="99"/>
                <w:sz w:val="18"/>
              </w:rPr>
              <w:t>-</w:t>
            </w:r>
          </w:p>
        </w:tc>
        <w:tc>
          <w:tcPr>
            <w:tcW w:w="1639" w:type="dxa"/>
            <w:tcBorders>
              <w:left w:val="nil"/>
            </w:tcBorders>
          </w:tcPr>
          <w:p w14:paraId="242E2C1F" w14:textId="77777777" w:rsidR="00AC6F3C" w:rsidRDefault="00AC6F3C">
            <w:pPr>
              <w:pStyle w:val="TableParagraph"/>
              <w:spacing w:before="5"/>
              <w:rPr>
                <w:sz w:val="29"/>
              </w:rPr>
            </w:pPr>
          </w:p>
          <w:p w14:paraId="1A5F6141" w14:textId="77777777" w:rsidR="00AC6F3C" w:rsidRDefault="00570E88">
            <w:pPr>
              <w:pStyle w:val="TableParagraph"/>
              <w:spacing w:before="1"/>
              <w:ind w:right="20"/>
              <w:jc w:val="right"/>
              <w:rPr>
                <w:b/>
                <w:sz w:val="18"/>
              </w:rPr>
            </w:pPr>
            <w:r>
              <w:rPr>
                <w:b/>
                <w:w w:val="99"/>
                <w:sz w:val="18"/>
              </w:rPr>
              <w:t>-</w:t>
            </w:r>
          </w:p>
        </w:tc>
      </w:tr>
      <w:tr w:rsidR="00AC6F3C" w14:paraId="20B63880" w14:textId="77777777">
        <w:trPr>
          <w:trHeight w:val="283"/>
        </w:trPr>
        <w:tc>
          <w:tcPr>
            <w:tcW w:w="3993" w:type="dxa"/>
            <w:tcBorders>
              <w:right w:val="nil"/>
            </w:tcBorders>
            <w:shd w:val="clear" w:color="auto" w:fill="BEBEBE"/>
          </w:tcPr>
          <w:p w14:paraId="462FB202" w14:textId="77777777" w:rsidR="00AC6F3C" w:rsidRDefault="00570E88">
            <w:pPr>
              <w:pStyle w:val="TableParagraph"/>
              <w:spacing w:before="40"/>
              <w:ind w:left="37"/>
              <w:rPr>
                <w:b/>
                <w:sz w:val="18"/>
              </w:rPr>
            </w:pPr>
            <w:r>
              <w:rPr>
                <w:b/>
                <w:sz w:val="18"/>
              </w:rPr>
              <w:t>Profit</w:t>
            </w:r>
            <w:r>
              <w:rPr>
                <w:b/>
                <w:spacing w:val="-11"/>
                <w:sz w:val="18"/>
              </w:rPr>
              <w:t xml:space="preserve"> </w:t>
            </w:r>
            <w:r>
              <w:rPr>
                <w:b/>
                <w:sz w:val="18"/>
              </w:rPr>
              <w:t>after</w:t>
            </w:r>
            <w:r>
              <w:rPr>
                <w:b/>
                <w:spacing w:val="-6"/>
                <w:sz w:val="18"/>
              </w:rPr>
              <w:t xml:space="preserve"> </w:t>
            </w:r>
            <w:r>
              <w:rPr>
                <w:b/>
                <w:spacing w:val="-5"/>
                <w:sz w:val="18"/>
              </w:rPr>
              <w:t>tax</w:t>
            </w:r>
          </w:p>
        </w:tc>
        <w:tc>
          <w:tcPr>
            <w:tcW w:w="1492" w:type="dxa"/>
            <w:tcBorders>
              <w:left w:val="nil"/>
              <w:right w:val="nil"/>
            </w:tcBorders>
            <w:shd w:val="clear" w:color="auto" w:fill="BEBEBE"/>
          </w:tcPr>
          <w:p w14:paraId="2ECCDD28" w14:textId="77777777" w:rsidR="00AC6F3C" w:rsidRDefault="00AC6F3C">
            <w:pPr>
              <w:pStyle w:val="TableParagraph"/>
              <w:rPr>
                <w:rFonts w:ascii="Times New Roman"/>
                <w:sz w:val="18"/>
              </w:rPr>
            </w:pPr>
          </w:p>
        </w:tc>
        <w:tc>
          <w:tcPr>
            <w:tcW w:w="1661" w:type="dxa"/>
            <w:tcBorders>
              <w:left w:val="nil"/>
              <w:right w:val="nil"/>
            </w:tcBorders>
            <w:shd w:val="clear" w:color="auto" w:fill="BEBEBE"/>
          </w:tcPr>
          <w:p w14:paraId="044D06A0" w14:textId="77777777" w:rsidR="00AC6F3C" w:rsidRDefault="00570E88">
            <w:pPr>
              <w:pStyle w:val="TableParagraph"/>
              <w:spacing w:before="40"/>
              <w:ind w:right="35"/>
              <w:jc w:val="right"/>
              <w:rPr>
                <w:b/>
                <w:sz w:val="18"/>
              </w:rPr>
            </w:pPr>
            <w:r>
              <w:rPr>
                <w:b/>
                <w:w w:val="99"/>
                <w:sz w:val="18"/>
              </w:rPr>
              <w:t>-</w:t>
            </w:r>
          </w:p>
        </w:tc>
        <w:tc>
          <w:tcPr>
            <w:tcW w:w="1639" w:type="dxa"/>
            <w:tcBorders>
              <w:left w:val="nil"/>
            </w:tcBorders>
            <w:shd w:val="clear" w:color="auto" w:fill="BEBEBE"/>
          </w:tcPr>
          <w:p w14:paraId="1A03D95B" w14:textId="77777777" w:rsidR="00AC6F3C" w:rsidRDefault="00570E88">
            <w:pPr>
              <w:pStyle w:val="TableParagraph"/>
              <w:spacing w:before="40"/>
              <w:ind w:right="20"/>
              <w:jc w:val="right"/>
              <w:rPr>
                <w:b/>
                <w:sz w:val="18"/>
              </w:rPr>
            </w:pPr>
            <w:r>
              <w:rPr>
                <w:b/>
                <w:w w:val="99"/>
                <w:sz w:val="18"/>
              </w:rPr>
              <w:t>-</w:t>
            </w:r>
          </w:p>
        </w:tc>
      </w:tr>
      <w:tr w:rsidR="00AC6F3C" w14:paraId="2F68E258" w14:textId="77777777">
        <w:trPr>
          <w:trHeight w:val="582"/>
        </w:trPr>
        <w:tc>
          <w:tcPr>
            <w:tcW w:w="5485" w:type="dxa"/>
            <w:gridSpan w:val="2"/>
            <w:tcBorders>
              <w:right w:val="nil"/>
            </w:tcBorders>
          </w:tcPr>
          <w:p w14:paraId="09A24212" w14:textId="77777777" w:rsidR="00AC6F3C" w:rsidRDefault="00AC6F3C">
            <w:pPr>
              <w:pStyle w:val="TableParagraph"/>
              <w:spacing w:before="5"/>
              <w:rPr>
                <w:sz w:val="29"/>
              </w:rPr>
            </w:pPr>
          </w:p>
          <w:p w14:paraId="30CD6F87" w14:textId="77777777" w:rsidR="00AC6F3C" w:rsidRDefault="00570E88">
            <w:pPr>
              <w:pStyle w:val="TableParagraph"/>
              <w:spacing w:before="1"/>
              <w:ind w:left="37"/>
              <w:rPr>
                <w:sz w:val="18"/>
              </w:rPr>
            </w:pPr>
            <w:r>
              <w:rPr>
                <w:sz w:val="18"/>
              </w:rPr>
              <w:t>Other</w:t>
            </w:r>
            <w:r>
              <w:rPr>
                <w:spacing w:val="5"/>
                <w:sz w:val="18"/>
              </w:rPr>
              <w:t xml:space="preserve"> </w:t>
            </w:r>
            <w:r>
              <w:rPr>
                <w:sz w:val="18"/>
              </w:rPr>
              <w:t>comprehensive</w:t>
            </w:r>
            <w:r>
              <w:rPr>
                <w:spacing w:val="12"/>
                <w:sz w:val="18"/>
              </w:rPr>
              <w:t xml:space="preserve"> </w:t>
            </w:r>
            <w:r>
              <w:rPr>
                <w:spacing w:val="-2"/>
                <w:sz w:val="18"/>
              </w:rPr>
              <w:t>income</w:t>
            </w:r>
          </w:p>
        </w:tc>
        <w:tc>
          <w:tcPr>
            <w:tcW w:w="1661" w:type="dxa"/>
            <w:tcBorders>
              <w:left w:val="nil"/>
              <w:right w:val="nil"/>
            </w:tcBorders>
            <w:shd w:val="clear" w:color="auto" w:fill="F1F1F1"/>
          </w:tcPr>
          <w:p w14:paraId="543C505B" w14:textId="77777777" w:rsidR="00AC6F3C" w:rsidRDefault="00AC6F3C">
            <w:pPr>
              <w:pStyle w:val="TableParagraph"/>
              <w:spacing w:before="5"/>
              <w:rPr>
                <w:sz w:val="29"/>
              </w:rPr>
            </w:pPr>
          </w:p>
          <w:p w14:paraId="28E38362" w14:textId="77777777" w:rsidR="00AC6F3C" w:rsidRDefault="00570E88">
            <w:pPr>
              <w:pStyle w:val="TableParagraph"/>
              <w:spacing w:before="1"/>
              <w:ind w:right="35"/>
              <w:jc w:val="right"/>
              <w:rPr>
                <w:b/>
                <w:sz w:val="18"/>
              </w:rPr>
            </w:pPr>
            <w:r>
              <w:rPr>
                <w:b/>
                <w:w w:val="99"/>
                <w:sz w:val="18"/>
              </w:rPr>
              <w:t>-</w:t>
            </w:r>
          </w:p>
        </w:tc>
        <w:tc>
          <w:tcPr>
            <w:tcW w:w="1639" w:type="dxa"/>
            <w:tcBorders>
              <w:left w:val="nil"/>
            </w:tcBorders>
          </w:tcPr>
          <w:p w14:paraId="3B3415A7" w14:textId="77777777" w:rsidR="00AC6F3C" w:rsidRDefault="00AC6F3C">
            <w:pPr>
              <w:pStyle w:val="TableParagraph"/>
              <w:spacing w:before="5"/>
              <w:rPr>
                <w:sz w:val="29"/>
              </w:rPr>
            </w:pPr>
          </w:p>
          <w:p w14:paraId="582F7358" w14:textId="77777777" w:rsidR="00AC6F3C" w:rsidRDefault="00570E88">
            <w:pPr>
              <w:pStyle w:val="TableParagraph"/>
              <w:spacing w:before="1"/>
              <w:ind w:right="20"/>
              <w:jc w:val="right"/>
              <w:rPr>
                <w:b/>
                <w:sz w:val="18"/>
              </w:rPr>
            </w:pPr>
            <w:r>
              <w:rPr>
                <w:b/>
                <w:w w:val="99"/>
                <w:sz w:val="18"/>
              </w:rPr>
              <w:t>-</w:t>
            </w:r>
          </w:p>
        </w:tc>
      </w:tr>
      <w:tr w:rsidR="00AC6F3C" w14:paraId="63E870D2" w14:textId="77777777">
        <w:trPr>
          <w:trHeight w:val="283"/>
        </w:trPr>
        <w:tc>
          <w:tcPr>
            <w:tcW w:w="3993" w:type="dxa"/>
            <w:tcBorders>
              <w:right w:val="nil"/>
            </w:tcBorders>
            <w:shd w:val="clear" w:color="auto" w:fill="BEBEBE"/>
          </w:tcPr>
          <w:p w14:paraId="65C0089B" w14:textId="77777777" w:rsidR="00AC6F3C" w:rsidRDefault="00570E88">
            <w:pPr>
              <w:pStyle w:val="TableParagraph"/>
              <w:spacing w:before="40"/>
              <w:ind w:left="37"/>
              <w:rPr>
                <w:b/>
                <w:sz w:val="18"/>
              </w:rPr>
            </w:pPr>
            <w:r>
              <w:rPr>
                <w:b/>
                <w:spacing w:val="-2"/>
                <w:sz w:val="18"/>
              </w:rPr>
              <w:t>Total</w:t>
            </w:r>
            <w:r>
              <w:rPr>
                <w:b/>
                <w:spacing w:val="-11"/>
                <w:sz w:val="18"/>
              </w:rPr>
              <w:t xml:space="preserve"> </w:t>
            </w:r>
            <w:r>
              <w:rPr>
                <w:b/>
                <w:spacing w:val="-2"/>
                <w:sz w:val="18"/>
              </w:rPr>
              <w:t>comprehensive</w:t>
            </w:r>
            <w:r>
              <w:rPr>
                <w:b/>
                <w:spacing w:val="-3"/>
                <w:sz w:val="18"/>
              </w:rPr>
              <w:t xml:space="preserve"> </w:t>
            </w:r>
            <w:r>
              <w:rPr>
                <w:b/>
                <w:spacing w:val="-2"/>
                <w:sz w:val="18"/>
              </w:rPr>
              <w:t>income for the</w:t>
            </w:r>
            <w:r>
              <w:rPr>
                <w:b/>
                <w:spacing w:val="-1"/>
                <w:sz w:val="18"/>
              </w:rPr>
              <w:t xml:space="preserve"> </w:t>
            </w:r>
            <w:r>
              <w:rPr>
                <w:b/>
                <w:spacing w:val="-4"/>
                <w:sz w:val="18"/>
              </w:rPr>
              <w:t>year</w:t>
            </w:r>
          </w:p>
        </w:tc>
        <w:tc>
          <w:tcPr>
            <w:tcW w:w="1492" w:type="dxa"/>
            <w:tcBorders>
              <w:left w:val="nil"/>
              <w:right w:val="nil"/>
            </w:tcBorders>
            <w:shd w:val="clear" w:color="auto" w:fill="BEBEBE"/>
          </w:tcPr>
          <w:p w14:paraId="13171CD2" w14:textId="77777777" w:rsidR="00AC6F3C" w:rsidRDefault="00AC6F3C">
            <w:pPr>
              <w:pStyle w:val="TableParagraph"/>
              <w:rPr>
                <w:rFonts w:ascii="Times New Roman"/>
                <w:sz w:val="18"/>
              </w:rPr>
            </w:pPr>
          </w:p>
        </w:tc>
        <w:tc>
          <w:tcPr>
            <w:tcW w:w="1661" w:type="dxa"/>
            <w:tcBorders>
              <w:left w:val="nil"/>
              <w:right w:val="nil"/>
            </w:tcBorders>
            <w:shd w:val="clear" w:color="auto" w:fill="BEBEBE"/>
          </w:tcPr>
          <w:p w14:paraId="78B95716" w14:textId="77777777" w:rsidR="00AC6F3C" w:rsidRDefault="00570E88">
            <w:pPr>
              <w:pStyle w:val="TableParagraph"/>
              <w:spacing w:before="40"/>
              <w:ind w:right="35"/>
              <w:jc w:val="right"/>
              <w:rPr>
                <w:b/>
                <w:sz w:val="18"/>
              </w:rPr>
            </w:pPr>
            <w:r>
              <w:rPr>
                <w:b/>
                <w:w w:val="99"/>
                <w:sz w:val="18"/>
              </w:rPr>
              <w:t>-</w:t>
            </w:r>
          </w:p>
        </w:tc>
        <w:tc>
          <w:tcPr>
            <w:tcW w:w="1639" w:type="dxa"/>
            <w:tcBorders>
              <w:left w:val="nil"/>
            </w:tcBorders>
            <w:shd w:val="clear" w:color="auto" w:fill="BEBEBE"/>
          </w:tcPr>
          <w:p w14:paraId="794EED09" w14:textId="77777777" w:rsidR="00AC6F3C" w:rsidRDefault="00570E88">
            <w:pPr>
              <w:pStyle w:val="TableParagraph"/>
              <w:spacing w:before="40"/>
              <w:ind w:right="20"/>
              <w:jc w:val="right"/>
              <w:rPr>
                <w:b/>
                <w:sz w:val="18"/>
              </w:rPr>
            </w:pPr>
            <w:r>
              <w:rPr>
                <w:b/>
                <w:w w:val="99"/>
                <w:sz w:val="18"/>
              </w:rPr>
              <w:t>-</w:t>
            </w:r>
          </w:p>
        </w:tc>
      </w:tr>
    </w:tbl>
    <w:p w14:paraId="673D208C" w14:textId="77777777" w:rsidR="00AC6F3C" w:rsidRDefault="00AC6F3C">
      <w:pPr>
        <w:pStyle w:val="BodyText"/>
      </w:pPr>
    </w:p>
    <w:p w14:paraId="2F168928" w14:textId="77777777" w:rsidR="00AC6F3C" w:rsidRDefault="00AC6F3C">
      <w:pPr>
        <w:pStyle w:val="BodyText"/>
      </w:pPr>
    </w:p>
    <w:p w14:paraId="0E988566" w14:textId="77777777" w:rsidR="00AC6F3C" w:rsidRDefault="00AC6F3C">
      <w:pPr>
        <w:pStyle w:val="BodyText"/>
      </w:pPr>
    </w:p>
    <w:p w14:paraId="0C424092" w14:textId="77777777" w:rsidR="00AC6F3C" w:rsidRDefault="00AC6F3C">
      <w:pPr>
        <w:pStyle w:val="BodyText"/>
      </w:pPr>
    </w:p>
    <w:p w14:paraId="64B3E273" w14:textId="77777777" w:rsidR="00AC6F3C" w:rsidRDefault="00AC6F3C">
      <w:pPr>
        <w:pStyle w:val="BodyText"/>
      </w:pPr>
    </w:p>
    <w:p w14:paraId="64034592" w14:textId="77777777" w:rsidR="00AC6F3C" w:rsidRDefault="00AC6F3C">
      <w:pPr>
        <w:pStyle w:val="BodyText"/>
      </w:pPr>
    </w:p>
    <w:p w14:paraId="6C90CC2D" w14:textId="77777777" w:rsidR="00AC6F3C" w:rsidRDefault="00AC6F3C">
      <w:pPr>
        <w:pStyle w:val="BodyText"/>
      </w:pPr>
    </w:p>
    <w:p w14:paraId="09F5C7E5" w14:textId="77777777" w:rsidR="00AC6F3C" w:rsidRDefault="00AC6F3C">
      <w:pPr>
        <w:pStyle w:val="BodyText"/>
      </w:pPr>
    </w:p>
    <w:p w14:paraId="3502653F" w14:textId="77777777" w:rsidR="00AC6F3C" w:rsidRDefault="00AC6F3C">
      <w:pPr>
        <w:pStyle w:val="BodyText"/>
      </w:pPr>
    </w:p>
    <w:p w14:paraId="37F2FF8C" w14:textId="77777777" w:rsidR="00AC6F3C" w:rsidRDefault="00AC6F3C">
      <w:pPr>
        <w:pStyle w:val="BodyText"/>
      </w:pPr>
    </w:p>
    <w:p w14:paraId="004279A7" w14:textId="77777777" w:rsidR="00AC6F3C" w:rsidRDefault="00AC6F3C">
      <w:pPr>
        <w:pStyle w:val="BodyText"/>
      </w:pPr>
    </w:p>
    <w:p w14:paraId="11419C57" w14:textId="77777777" w:rsidR="00AC6F3C" w:rsidRDefault="00AC6F3C">
      <w:pPr>
        <w:pStyle w:val="BodyText"/>
      </w:pPr>
    </w:p>
    <w:p w14:paraId="1D177094" w14:textId="77777777" w:rsidR="00AC6F3C" w:rsidRDefault="00AC6F3C">
      <w:pPr>
        <w:pStyle w:val="BodyText"/>
      </w:pPr>
    </w:p>
    <w:p w14:paraId="27469DBD" w14:textId="77777777" w:rsidR="00AC6F3C" w:rsidRDefault="00AC6F3C">
      <w:pPr>
        <w:pStyle w:val="BodyText"/>
      </w:pPr>
    </w:p>
    <w:p w14:paraId="5B1E1BA6" w14:textId="77777777" w:rsidR="00AC6F3C" w:rsidRDefault="00AC6F3C">
      <w:pPr>
        <w:pStyle w:val="BodyText"/>
      </w:pPr>
    </w:p>
    <w:p w14:paraId="2D178DCA" w14:textId="77777777" w:rsidR="00AC6F3C" w:rsidRDefault="00AC6F3C">
      <w:pPr>
        <w:pStyle w:val="BodyText"/>
      </w:pPr>
    </w:p>
    <w:p w14:paraId="7BA75A17" w14:textId="77777777" w:rsidR="00AC6F3C" w:rsidRDefault="00AC6F3C">
      <w:pPr>
        <w:pStyle w:val="BodyText"/>
      </w:pPr>
    </w:p>
    <w:p w14:paraId="5E383125" w14:textId="77777777" w:rsidR="00AC6F3C" w:rsidRDefault="00AC6F3C">
      <w:pPr>
        <w:pStyle w:val="BodyText"/>
      </w:pPr>
    </w:p>
    <w:p w14:paraId="2CC23DF9" w14:textId="77777777" w:rsidR="00AC6F3C" w:rsidRDefault="00AC6F3C">
      <w:pPr>
        <w:pStyle w:val="BodyText"/>
      </w:pPr>
    </w:p>
    <w:p w14:paraId="32D031A8" w14:textId="77777777" w:rsidR="00AC6F3C" w:rsidRDefault="00AC6F3C">
      <w:pPr>
        <w:pStyle w:val="BodyText"/>
      </w:pPr>
    </w:p>
    <w:p w14:paraId="780DB658" w14:textId="77777777" w:rsidR="00AC6F3C" w:rsidRDefault="00AC6F3C">
      <w:pPr>
        <w:pStyle w:val="BodyText"/>
      </w:pPr>
    </w:p>
    <w:p w14:paraId="411956A3" w14:textId="77777777" w:rsidR="00AC6F3C" w:rsidRDefault="00AC6F3C">
      <w:pPr>
        <w:pStyle w:val="BodyText"/>
      </w:pPr>
    </w:p>
    <w:p w14:paraId="041D910C" w14:textId="77777777" w:rsidR="00AC6F3C" w:rsidRDefault="00AC6F3C">
      <w:pPr>
        <w:pStyle w:val="BodyText"/>
      </w:pPr>
    </w:p>
    <w:p w14:paraId="7D522710" w14:textId="77777777" w:rsidR="00AC6F3C" w:rsidRDefault="00AC6F3C">
      <w:pPr>
        <w:pStyle w:val="BodyText"/>
      </w:pPr>
    </w:p>
    <w:p w14:paraId="53B1895F" w14:textId="77777777" w:rsidR="00AC6F3C" w:rsidRDefault="00AC6F3C">
      <w:pPr>
        <w:pStyle w:val="BodyText"/>
      </w:pPr>
    </w:p>
    <w:p w14:paraId="5CEFE564" w14:textId="77777777" w:rsidR="00AC6F3C" w:rsidRDefault="00AC6F3C">
      <w:pPr>
        <w:pStyle w:val="BodyText"/>
        <w:spacing w:before="3"/>
        <w:rPr>
          <w:sz w:val="21"/>
        </w:rPr>
      </w:pPr>
    </w:p>
    <w:p w14:paraId="7A400C09" w14:textId="77777777" w:rsidR="00AC6F3C" w:rsidRDefault="00570E88">
      <w:pPr>
        <w:ind w:left="931"/>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061AA5E4" w14:textId="77777777" w:rsidR="00AC6F3C" w:rsidRDefault="00AC6F3C">
      <w:pPr>
        <w:rPr>
          <w:sz w:val="18"/>
        </w:rPr>
        <w:sectPr w:rsidR="00AC6F3C">
          <w:headerReference w:type="default" r:id="rId238"/>
          <w:footerReference w:type="default" r:id="rId239"/>
          <w:pgSz w:w="11910" w:h="16840"/>
          <w:pgMar w:top="1520" w:right="1160" w:bottom="520" w:left="460" w:header="1250" w:footer="336" w:gutter="0"/>
          <w:cols w:space="720"/>
        </w:sectPr>
      </w:pPr>
    </w:p>
    <w:p w14:paraId="475ACF9A" w14:textId="77777777" w:rsidR="00AC6F3C" w:rsidRDefault="00570E88">
      <w:pPr>
        <w:ind w:left="979"/>
      </w:pPr>
      <w:r>
        <w:lastRenderedPageBreak/>
        <w:t>Statement</w:t>
      </w:r>
      <w:r>
        <w:rPr>
          <w:spacing w:val="-4"/>
        </w:rPr>
        <w:t xml:space="preserve"> </w:t>
      </w:r>
      <w:r>
        <w:t>of</w:t>
      </w:r>
      <w:r>
        <w:rPr>
          <w:spacing w:val="-4"/>
        </w:rPr>
        <w:t xml:space="preserve"> </w:t>
      </w:r>
      <w:r>
        <w:t>Financial</w:t>
      </w:r>
      <w:r>
        <w:rPr>
          <w:spacing w:val="-3"/>
        </w:rPr>
        <w:t xml:space="preserve"> </w:t>
      </w:r>
      <w:r>
        <w:t>Position</w:t>
      </w:r>
      <w:r>
        <w:rPr>
          <w:spacing w:val="-4"/>
        </w:rPr>
        <w:t xml:space="preserve"> </w:t>
      </w:r>
      <w:r>
        <w:t>as</w:t>
      </w:r>
      <w:r>
        <w:rPr>
          <w:spacing w:val="-2"/>
        </w:rPr>
        <w:t xml:space="preserve"> </w:t>
      </w:r>
      <w:r>
        <w:t>at</w:t>
      </w:r>
      <w:r>
        <w:rPr>
          <w:spacing w:val="-2"/>
        </w:rPr>
        <w:t xml:space="preserve"> </w:t>
      </w:r>
      <w:r>
        <w:t>30</w:t>
      </w:r>
      <w:r>
        <w:rPr>
          <w:spacing w:val="-5"/>
        </w:rPr>
        <w:t xml:space="preserve"> </w:t>
      </w:r>
      <w:r>
        <w:t>June</w:t>
      </w:r>
      <w:r>
        <w:rPr>
          <w:spacing w:val="-5"/>
        </w:rPr>
        <w:t xml:space="preserve"> </w:t>
      </w:r>
      <w:r>
        <w:rPr>
          <w:spacing w:val="-4"/>
        </w:rPr>
        <w:t>2023</w:t>
      </w:r>
    </w:p>
    <w:p w14:paraId="01DB347F" w14:textId="77777777" w:rsidR="00AC6F3C" w:rsidRDefault="00570E88">
      <w:pPr>
        <w:pStyle w:val="BodyText"/>
        <w:spacing w:before="8"/>
        <w:rPr>
          <w:sz w:val="18"/>
        </w:rPr>
      </w:pPr>
      <w:r>
        <w:rPr>
          <w:noProof/>
        </w:rPr>
        <mc:AlternateContent>
          <mc:Choice Requires="wps">
            <w:drawing>
              <wp:anchor distT="0" distB="0" distL="0" distR="0" simplePos="0" relativeHeight="487707136" behindDoc="1" locked="0" layoutInCell="1" allowOverlap="1" wp14:anchorId="18FF3F06" wp14:editId="132176E4">
                <wp:simplePos x="0" y="0"/>
                <wp:positionH relativeFrom="page">
                  <wp:posOffset>896045</wp:posOffset>
                </wp:positionH>
                <wp:positionV relativeFrom="paragraph">
                  <wp:posOffset>151894</wp:posOffset>
                </wp:positionV>
                <wp:extent cx="5768340" cy="635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D7705" id="Graphic 853" o:spid="_x0000_s1026" style="position:absolute;margin-left:70.55pt;margin-top:11.95pt;width:454.2pt;height:.5pt;z-index:-1560934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" path="m5767909,6094l,6094,,,5767909,r,6094xe" fillcolor="black" stroked="f">
                <v:path arrowok="t"/>
                <w10:wrap type="topAndBottom" anchorx="page"/>
              </v:shape>
            </w:pict>
          </mc:Fallback>
        </mc:AlternateContent>
      </w:r>
    </w:p>
    <w:p w14:paraId="51798EAE" w14:textId="77777777" w:rsidR="00AC6F3C" w:rsidRDefault="00AC6F3C">
      <w:pPr>
        <w:pStyle w:val="BodyText"/>
      </w:pPr>
    </w:p>
    <w:p w14:paraId="3F6378F0" w14:textId="77777777" w:rsidR="00AC6F3C" w:rsidRDefault="00AC6F3C">
      <w:pPr>
        <w:pStyle w:val="BodyText"/>
      </w:pPr>
    </w:p>
    <w:p w14:paraId="662363DB" w14:textId="77777777" w:rsidR="00AC6F3C" w:rsidRDefault="00AC6F3C">
      <w:pPr>
        <w:pStyle w:val="BodyText"/>
        <w:spacing w:before="8"/>
        <w:rPr>
          <w:sz w:val="21"/>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4"/>
        <w:gridCol w:w="2074"/>
        <w:gridCol w:w="1662"/>
        <w:gridCol w:w="1640"/>
      </w:tblGrid>
      <w:tr w:rsidR="00AC6F3C" w14:paraId="137A2BD1" w14:textId="77777777">
        <w:trPr>
          <w:trHeight w:val="568"/>
        </w:trPr>
        <w:tc>
          <w:tcPr>
            <w:tcW w:w="5488" w:type="dxa"/>
            <w:gridSpan w:val="2"/>
            <w:tcBorders>
              <w:right w:val="nil"/>
            </w:tcBorders>
            <w:shd w:val="clear" w:color="auto" w:fill="BEBEBE"/>
          </w:tcPr>
          <w:p w14:paraId="76BAAC23" w14:textId="77777777" w:rsidR="00AC6F3C" w:rsidRDefault="00AC6F3C">
            <w:pPr>
              <w:pStyle w:val="TableParagraph"/>
              <w:spacing w:before="2"/>
              <w:rPr>
                <w:sz w:val="28"/>
              </w:rPr>
            </w:pPr>
          </w:p>
          <w:p w14:paraId="726AA3E9" w14:textId="77777777" w:rsidR="00AC6F3C" w:rsidRDefault="00570E88">
            <w:pPr>
              <w:pStyle w:val="TableParagraph"/>
              <w:spacing w:before="1"/>
              <w:ind w:right="514"/>
              <w:jc w:val="right"/>
              <w:rPr>
                <w:b/>
                <w:sz w:val="18"/>
              </w:rPr>
            </w:pPr>
            <w:r>
              <w:rPr>
                <w:b/>
                <w:spacing w:val="-2"/>
                <w:sz w:val="18"/>
              </w:rPr>
              <w:t>NOTES</w:t>
            </w:r>
          </w:p>
        </w:tc>
        <w:tc>
          <w:tcPr>
            <w:tcW w:w="3302" w:type="dxa"/>
            <w:gridSpan w:val="2"/>
            <w:tcBorders>
              <w:left w:val="nil"/>
            </w:tcBorders>
            <w:shd w:val="clear" w:color="auto" w:fill="BEBEBE"/>
          </w:tcPr>
          <w:p w14:paraId="001F22C0" w14:textId="77777777" w:rsidR="00AC6F3C" w:rsidRDefault="00570E88">
            <w:pPr>
              <w:pStyle w:val="TableParagraph"/>
              <w:tabs>
                <w:tab w:val="left" w:pos="1647"/>
              </w:tabs>
              <w:spacing w:before="40"/>
              <w:ind w:right="21"/>
              <w:jc w:val="right"/>
              <w:rPr>
                <w:b/>
                <w:sz w:val="18"/>
              </w:rPr>
            </w:pPr>
            <w:r>
              <w:rPr>
                <w:b/>
                <w:spacing w:val="-4"/>
                <w:sz w:val="18"/>
              </w:rPr>
              <w:t>2023</w:t>
            </w:r>
            <w:r>
              <w:rPr>
                <w:b/>
                <w:sz w:val="18"/>
              </w:rPr>
              <w:tab/>
            </w:r>
            <w:r>
              <w:rPr>
                <w:b/>
                <w:spacing w:val="-4"/>
                <w:sz w:val="18"/>
              </w:rPr>
              <w:t>2022</w:t>
            </w:r>
          </w:p>
          <w:p w14:paraId="4584D207" w14:textId="77777777" w:rsidR="00AC6F3C" w:rsidRDefault="00570E88">
            <w:pPr>
              <w:pStyle w:val="TableParagraph"/>
              <w:tabs>
                <w:tab w:val="left" w:pos="1647"/>
              </w:tabs>
              <w:spacing w:before="78"/>
              <w:ind w:right="25"/>
              <w:jc w:val="right"/>
              <w:rPr>
                <w:b/>
                <w:sz w:val="18"/>
              </w:rPr>
            </w:pPr>
            <w:r>
              <w:rPr>
                <w:b/>
                <w:spacing w:val="-10"/>
                <w:sz w:val="18"/>
              </w:rPr>
              <w:t>$</w:t>
            </w:r>
            <w:r>
              <w:rPr>
                <w:b/>
                <w:sz w:val="18"/>
              </w:rPr>
              <w:tab/>
            </w:r>
            <w:r>
              <w:rPr>
                <w:b/>
                <w:spacing w:val="-10"/>
                <w:sz w:val="18"/>
              </w:rPr>
              <w:t>$</w:t>
            </w:r>
          </w:p>
        </w:tc>
      </w:tr>
      <w:tr w:rsidR="00AC6F3C" w14:paraId="1DE24D4A" w14:textId="77777777">
        <w:trPr>
          <w:trHeight w:val="274"/>
        </w:trPr>
        <w:tc>
          <w:tcPr>
            <w:tcW w:w="3414" w:type="dxa"/>
            <w:tcBorders>
              <w:bottom w:val="nil"/>
              <w:right w:val="nil"/>
            </w:tcBorders>
          </w:tcPr>
          <w:p w14:paraId="50EFA78C" w14:textId="77777777" w:rsidR="00AC6F3C" w:rsidRDefault="00570E88">
            <w:pPr>
              <w:pStyle w:val="TableParagraph"/>
              <w:spacing w:before="25"/>
              <w:ind w:left="37"/>
              <w:rPr>
                <w:b/>
                <w:sz w:val="18"/>
              </w:rPr>
            </w:pPr>
            <w:r>
              <w:rPr>
                <w:b/>
                <w:spacing w:val="-2"/>
                <w:sz w:val="18"/>
              </w:rPr>
              <w:t>Current</w:t>
            </w:r>
            <w:r>
              <w:rPr>
                <w:b/>
                <w:spacing w:val="-7"/>
                <w:sz w:val="18"/>
              </w:rPr>
              <w:t xml:space="preserve"> </w:t>
            </w:r>
            <w:r>
              <w:rPr>
                <w:b/>
                <w:spacing w:val="-2"/>
                <w:sz w:val="18"/>
              </w:rPr>
              <w:t>assets</w:t>
            </w:r>
          </w:p>
        </w:tc>
        <w:tc>
          <w:tcPr>
            <w:tcW w:w="2074" w:type="dxa"/>
            <w:tcBorders>
              <w:left w:val="nil"/>
              <w:bottom w:val="nil"/>
              <w:right w:val="nil"/>
            </w:tcBorders>
          </w:tcPr>
          <w:p w14:paraId="14FB8FA9" w14:textId="77777777" w:rsidR="00AC6F3C" w:rsidRDefault="00AC6F3C">
            <w:pPr>
              <w:pStyle w:val="TableParagraph"/>
              <w:rPr>
                <w:rFonts w:ascii="Times New Roman"/>
                <w:sz w:val="18"/>
              </w:rPr>
            </w:pPr>
          </w:p>
        </w:tc>
        <w:tc>
          <w:tcPr>
            <w:tcW w:w="1662" w:type="dxa"/>
            <w:tcBorders>
              <w:left w:val="nil"/>
              <w:bottom w:val="nil"/>
              <w:right w:val="nil"/>
            </w:tcBorders>
            <w:shd w:val="clear" w:color="auto" w:fill="F1F1F1"/>
          </w:tcPr>
          <w:p w14:paraId="11C30C28" w14:textId="77777777" w:rsidR="00AC6F3C" w:rsidRDefault="00AC6F3C">
            <w:pPr>
              <w:pStyle w:val="TableParagraph"/>
              <w:rPr>
                <w:rFonts w:ascii="Times New Roman"/>
                <w:sz w:val="18"/>
              </w:rPr>
            </w:pPr>
          </w:p>
        </w:tc>
        <w:tc>
          <w:tcPr>
            <w:tcW w:w="1640" w:type="dxa"/>
            <w:tcBorders>
              <w:left w:val="nil"/>
              <w:bottom w:val="nil"/>
            </w:tcBorders>
          </w:tcPr>
          <w:p w14:paraId="02B61222" w14:textId="77777777" w:rsidR="00AC6F3C" w:rsidRDefault="00AC6F3C">
            <w:pPr>
              <w:pStyle w:val="TableParagraph"/>
              <w:rPr>
                <w:rFonts w:ascii="Times New Roman"/>
                <w:sz w:val="18"/>
              </w:rPr>
            </w:pPr>
          </w:p>
        </w:tc>
      </w:tr>
      <w:tr w:rsidR="00AC6F3C" w14:paraId="20025D22" w14:textId="77777777">
        <w:trPr>
          <w:trHeight w:val="291"/>
        </w:trPr>
        <w:tc>
          <w:tcPr>
            <w:tcW w:w="3414" w:type="dxa"/>
            <w:tcBorders>
              <w:top w:val="nil"/>
              <w:bottom w:val="nil"/>
              <w:right w:val="nil"/>
            </w:tcBorders>
          </w:tcPr>
          <w:p w14:paraId="0DBBC670" w14:textId="77777777" w:rsidR="00AC6F3C" w:rsidRDefault="00570E88">
            <w:pPr>
              <w:pStyle w:val="TableParagraph"/>
              <w:spacing w:before="35"/>
              <w:ind w:left="37"/>
              <w:rPr>
                <w:sz w:val="18"/>
              </w:rPr>
            </w:pPr>
            <w:r>
              <w:rPr>
                <w:sz w:val="18"/>
              </w:rPr>
              <w:t>Cash</w:t>
            </w:r>
            <w:r>
              <w:rPr>
                <w:spacing w:val="9"/>
                <w:sz w:val="18"/>
              </w:rPr>
              <w:t xml:space="preserve"> </w:t>
            </w:r>
            <w:r>
              <w:rPr>
                <w:sz w:val="18"/>
              </w:rPr>
              <w:t>and</w:t>
            </w:r>
            <w:r>
              <w:rPr>
                <w:spacing w:val="12"/>
                <w:sz w:val="18"/>
              </w:rPr>
              <w:t xml:space="preserve"> </w:t>
            </w:r>
            <w:r>
              <w:rPr>
                <w:sz w:val="18"/>
              </w:rPr>
              <w:t>cash</w:t>
            </w:r>
            <w:r>
              <w:rPr>
                <w:spacing w:val="12"/>
                <w:sz w:val="18"/>
              </w:rPr>
              <w:t xml:space="preserve"> </w:t>
            </w:r>
            <w:r>
              <w:rPr>
                <w:spacing w:val="-2"/>
                <w:sz w:val="18"/>
              </w:rPr>
              <w:t>equivalents</w:t>
            </w:r>
          </w:p>
        </w:tc>
        <w:tc>
          <w:tcPr>
            <w:tcW w:w="2074" w:type="dxa"/>
            <w:tcBorders>
              <w:top w:val="nil"/>
              <w:left w:val="nil"/>
              <w:bottom w:val="nil"/>
              <w:right w:val="nil"/>
            </w:tcBorders>
          </w:tcPr>
          <w:p w14:paraId="77B863CB" w14:textId="77777777" w:rsidR="00AC6F3C" w:rsidRDefault="00570E88">
            <w:pPr>
              <w:pStyle w:val="TableParagraph"/>
              <w:spacing w:before="35"/>
              <w:ind w:right="679"/>
              <w:jc w:val="right"/>
              <w:rPr>
                <w:sz w:val="18"/>
              </w:rPr>
            </w:pPr>
            <w:r>
              <w:rPr>
                <w:spacing w:val="-5"/>
                <w:sz w:val="18"/>
              </w:rPr>
              <w:t>C1</w:t>
            </w:r>
          </w:p>
        </w:tc>
        <w:tc>
          <w:tcPr>
            <w:tcW w:w="1662" w:type="dxa"/>
            <w:tcBorders>
              <w:top w:val="nil"/>
              <w:left w:val="nil"/>
              <w:bottom w:val="nil"/>
              <w:right w:val="nil"/>
            </w:tcBorders>
            <w:shd w:val="clear" w:color="auto" w:fill="F1F1F1"/>
          </w:tcPr>
          <w:p w14:paraId="77D949EB" w14:textId="77777777" w:rsidR="00AC6F3C" w:rsidRDefault="00570E88">
            <w:pPr>
              <w:pStyle w:val="TableParagraph"/>
              <w:spacing w:before="35"/>
              <w:ind w:right="35"/>
              <w:jc w:val="right"/>
              <w:rPr>
                <w:sz w:val="18"/>
              </w:rPr>
            </w:pPr>
            <w:r>
              <w:rPr>
                <w:spacing w:val="-2"/>
                <w:sz w:val="18"/>
              </w:rPr>
              <w:t>5,510</w:t>
            </w:r>
          </w:p>
        </w:tc>
        <w:tc>
          <w:tcPr>
            <w:tcW w:w="1640" w:type="dxa"/>
            <w:tcBorders>
              <w:top w:val="nil"/>
              <w:left w:val="nil"/>
              <w:bottom w:val="nil"/>
            </w:tcBorders>
          </w:tcPr>
          <w:p w14:paraId="65F5C138" w14:textId="77777777" w:rsidR="00AC6F3C" w:rsidRDefault="00570E88">
            <w:pPr>
              <w:pStyle w:val="TableParagraph"/>
              <w:spacing w:before="35"/>
              <w:ind w:right="20"/>
              <w:jc w:val="right"/>
              <w:rPr>
                <w:sz w:val="18"/>
              </w:rPr>
            </w:pPr>
            <w:r>
              <w:rPr>
                <w:spacing w:val="-2"/>
                <w:sz w:val="18"/>
              </w:rPr>
              <w:t>5,630</w:t>
            </w:r>
          </w:p>
        </w:tc>
      </w:tr>
      <w:tr w:rsidR="00AC6F3C" w14:paraId="7DD5AF28" w14:textId="77777777">
        <w:trPr>
          <w:trHeight w:val="286"/>
        </w:trPr>
        <w:tc>
          <w:tcPr>
            <w:tcW w:w="3414" w:type="dxa"/>
            <w:tcBorders>
              <w:top w:val="nil"/>
              <w:right w:val="nil"/>
            </w:tcBorders>
          </w:tcPr>
          <w:p w14:paraId="15BBA863" w14:textId="77777777" w:rsidR="00AC6F3C" w:rsidRDefault="00570E88">
            <w:pPr>
              <w:pStyle w:val="TableParagraph"/>
              <w:spacing w:before="43"/>
              <w:ind w:left="37"/>
              <w:rPr>
                <w:sz w:val="18"/>
              </w:rPr>
            </w:pPr>
            <w:r>
              <w:rPr>
                <w:spacing w:val="-2"/>
                <w:sz w:val="18"/>
              </w:rPr>
              <w:t>Prepayments</w:t>
            </w:r>
          </w:p>
        </w:tc>
        <w:tc>
          <w:tcPr>
            <w:tcW w:w="2074" w:type="dxa"/>
            <w:tcBorders>
              <w:top w:val="nil"/>
              <w:left w:val="nil"/>
              <w:right w:val="nil"/>
            </w:tcBorders>
          </w:tcPr>
          <w:p w14:paraId="5B3798EF" w14:textId="77777777" w:rsidR="00AC6F3C" w:rsidRDefault="00570E88">
            <w:pPr>
              <w:pStyle w:val="TableParagraph"/>
              <w:spacing w:before="43"/>
              <w:ind w:right="679"/>
              <w:jc w:val="right"/>
              <w:rPr>
                <w:sz w:val="18"/>
              </w:rPr>
            </w:pPr>
            <w:r>
              <w:rPr>
                <w:spacing w:val="-5"/>
                <w:sz w:val="18"/>
              </w:rPr>
              <w:t>C3</w:t>
            </w:r>
          </w:p>
        </w:tc>
        <w:tc>
          <w:tcPr>
            <w:tcW w:w="1662" w:type="dxa"/>
            <w:tcBorders>
              <w:top w:val="nil"/>
              <w:left w:val="nil"/>
              <w:right w:val="nil"/>
            </w:tcBorders>
            <w:shd w:val="clear" w:color="auto" w:fill="F1F1F1"/>
          </w:tcPr>
          <w:p w14:paraId="7EF2E0C9" w14:textId="77777777" w:rsidR="00AC6F3C" w:rsidRDefault="00570E88">
            <w:pPr>
              <w:pStyle w:val="TableParagraph"/>
              <w:spacing w:before="43"/>
              <w:ind w:right="35"/>
              <w:jc w:val="right"/>
              <w:rPr>
                <w:sz w:val="18"/>
              </w:rPr>
            </w:pPr>
            <w:r>
              <w:rPr>
                <w:spacing w:val="-2"/>
                <w:sz w:val="18"/>
              </w:rPr>
              <w:t>34,089</w:t>
            </w:r>
          </w:p>
        </w:tc>
        <w:tc>
          <w:tcPr>
            <w:tcW w:w="1640" w:type="dxa"/>
            <w:tcBorders>
              <w:top w:val="nil"/>
              <w:left w:val="nil"/>
            </w:tcBorders>
          </w:tcPr>
          <w:p w14:paraId="46A688AA" w14:textId="77777777" w:rsidR="00AC6F3C" w:rsidRDefault="00570E88">
            <w:pPr>
              <w:pStyle w:val="TableParagraph"/>
              <w:spacing w:before="43"/>
              <w:ind w:right="20"/>
              <w:jc w:val="right"/>
              <w:rPr>
                <w:sz w:val="18"/>
              </w:rPr>
            </w:pPr>
            <w:r>
              <w:rPr>
                <w:spacing w:val="-2"/>
                <w:sz w:val="18"/>
              </w:rPr>
              <w:t>25,497</w:t>
            </w:r>
          </w:p>
        </w:tc>
      </w:tr>
      <w:tr w:rsidR="00AC6F3C" w14:paraId="3AAD9B41" w14:textId="77777777">
        <w:trPr>
          <w:trHeight w:val="269"/>
        </w:trPr>
        <w:tc>
          <w:tcPr>
            <w:tcW w:w="3414" w:type="dxa"/>
            <w:tcBorders>
              <w:right w:val="nil"/>
            </w:tcBorders>
            <w:shd w:val="clear" w:color="auto" w:fill="BEBEBE"/>
          </w:tcPr>
          <w:p w14:paraId="09AD83BA" w14:textId="77777777" w:rsidR="00AC6F3C" w:rsidRDefault="00570E88">
            <w:pPr>
              <w:pStyle w:val="TableParagraph"/>
              <w:spacing w:before="25"/>
              <w:ind w:left="37"/>
              <w:rPr>
                <w:b/>
                <w:sz w:val="18"/>
              </w:rPr>
            </w:pPr>
            <w:r>
              <w:rPr>
                <w:b/>
                <w:spacing w:val="-2"/>
                <w:sz w:val="18"/>
              </w:rPr>
              <w:t>Total</w:t>
            </w:r>
            <w:r>
              <w:rPr>
                <w:b/>
                <w:spacing w:val="-5"/>
                <w:sz w:val="18"/>
              </w:rPr>
              <w:t xml:space="preserve"> </w:t>
            </w:r>
            <w:r>
              <w:rPr>
                <w:b/>
                <w:spacing w:val="-2"/>
                <w:sz w:val="18"/>
              </w:rPr>
              <w:t>current</w:t>
            </w:r>
            <w:r>
              <w:rPr>
                <w:b/>
                <w:spacing w:val="1"/>
                <w:sz w:val="18"/>
              </w:rPr>
              <w:t xml:space="preserve"> </w:t>
            </w:r>
            <w:r>
              <w:rPr>
                <w:b/>
                <w:spacing w:val="-2"/>
                <w:sz w:val="18"/>
              </w:rPr>
              <w:t>assets</w:t>
            </w:r>
          </w:p>
        </w:tc>
        <w:tc>
          <w:tcPr>
            <w:tcW w:w="2074" w:type="dxa"/>
            <w:tcBorders>
              <w:left w:val="nil"/>
              <w:right w:val="nil"/>
            </w:tcBorders>
            <w:shd w:val="clear" w:color="auto" w:fill="BEBEBE"/>
          </w:tcPr>
          <w:p w14:paraId="60A32327"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6D886BED" w14:textId="77777777" w:rsidR="00AC6F3C" w:rsidRDefault="00570E88">
            <w:pPr>
              <w:pStyle w:val="TableParagraph"/>
              <w:spacing w:before="25"/>
              <w:ind w:right="35"/>
              <w:jc w:val="right"/>
              <w:rPr>
                <w:b/>
                <w:sz w:val="18"/>
              </w:rPr>
            </w:pPr>
            <w:r>
              <w:rPr>
                <w:b/>
                <w:spacing w:val="-2"/>
                <w:sz w:val="18"/>
              </w:rPr>
              <w:t>39,599</w:t>
            </w:r>
          </w:p>
        </w:tc>
        <w:tc>
          <w:tcPr>
            <w:tcW w:w="1640" w:type="dxa"/>
            <w:tcBorders>
              <w:left w:val="nil"/>
            </w:tcBorders>
            <w:shd w:val="clear" w:color="auto" w:fill="BEBEBE"/>
          </w:tcPr>
          <w:p w14:paraId="25A15E5B" w14:textId="77777777" w:rsidR="00AC6F3C" w:rsidRDefault="00570E88">
            <w:pPr>
              <w:pStyle w:val="TableParagraph"/>
              <w:spacing w:before="25"/>
              <w:ind w:right="20"/>
              <w:jc w:val="right"/>
              <w:rPr>
                <w:b/>
                <w:sz w:val="18"/>
              </w:rPr>
            </w:pPr>
            <w:r>
              <w:rPr>
                <w:b/>
                <w:spacing w:val="-2"/>
                <w:sz w:val="18"/>
              </w:rPr>
              <w:t>31,127</w:t>
            </w:r>
          </w:p>
        </w:tc>
      </w:tr>
      <w:tr w:rsidR="00AC6F3C" w14:paraId="204B06D6" w14:textId="77777777">
        <w:trPr>
          <w:trHeight w:val="269"/>
        </w:trPr>
        <w:tc>
          <w:tcPr>
            <w:tcW w:w="5488" w:type="dxa"/>
            <w:gridSpan w:val="2"/>
            <w:tcBorders>
              <w:right w:val="nil"/>
            </w:tcBorders>
          </w:tcPr>
          <w:p w14:paraId="3129F06B"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30F9109D" w14:textId="77777777" w:rsidR="00AC6F3C" w:rsidRDefault="00AC6F3C">
            <w:pPr>
              <w:pStyle w:val="TableParagraph"/>
              <w:rPr>
                <w:rFonts w:ascii="Times New Roman"/>
                <w:sz w:val="18"/>
              </w:rPr>
            </w:pPr>
          </w:p>
        </w:tc>
        <w:tc>
          <w:tcPr>
            <w:tcW w:w="1640" w:type="dxa"/>
            <w:tcBorders>
              <w:left w:val="nil"/>
            </w:tcBorders>
          </w:tcPr>
          <w:p w14:paraId="5DFF2569" w14:textId="77777777" w:rsidR="00AC6F3C" w:rsidRDefault="00AC6F3C">
            <w:pPr>
              <w:pStyle w:val="TableParagraph"/>
              <w:rPr>
                <w:rFonts w:ascii="Times New Roman"/>
                <w:sz w:val="18"/>
              </w:rPr>
            </w:pPr>
          </w:p>
        </w:tc>
      </w:tr>
      <w:tr w:rsidR="00AC6F3C" w14:paraId="74B46060" w14:textId="77777777">
        <w:trPr>
          <w:trHeight w:val="269"/>
        </w:trPr>
        <w:tc>
          <w:tcPr>
            <w:tcW w:w="3414" w:type="dxa"/>
            <w:tcBorders>
              <w:right w:val="nil"/>
            </w:tcBorders>
            <w:shd w:val="clear" w:color="auto" w:fill="BEBEBE"/>
          </w:tcPr>
          <w:p w14:paraId="79520379" w14:textId="77777777" w:rsidR="00AC6F3C" w:rsidRDefault="00570E88">
            <w:pPr>
              <w:pStyle w:val="TableParagraph"/>
              <w:spacing w:before="25"/>
              <w:ind w:left="37"/>
              <w:rPr>
                <w:b/>
                <w:sz w:val="18"/>
              </w:rPr>
            </w:pPr>
            <w:r>
              <w:rPr>
                <w:b/>
                <w:spacing w:val="-4"/>
                <w:sz w:val="18"/>
              </w:rPr>
              <w:t>Total</w:t>
            </w:r>
            <w:r>
              <w:rPr>
                <w:b/>
                <w:spacing w:val="-2"/>
                <w:sz w:val="18"/>
              </w:rPr>
              <w:t xml:space="preserve"> assets</w:t>
            </w:r>
          </w:p>
        </w:tc>
        <w:tc>
          <w:tcPr>
            <w:tcW w:w="2074" w:type="dxa"/>
            <w:tcBorders>
              <w:left w:val="nil"/>
              <w:right w:val="nil"/>
            </w:tcBorders>
            <w:shd w:val="clear" w:color="auto" w:fill="BEBEBE"/>
          </w:tcPr>
          <w:p w14:paraId="5A5C40F3"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20349E32" w14:textId="77777777" w:rsidR="00AC6F3C" w:rsidRDefault="00570E88">
            <w:pPr>
              <w:pStyle w:val="TableParagraph"/>
              <w:spacing w:before="25"/>
              <w:ind w:right="35"/>
              <w:jc w:val="right"/>
              <w:rPr>
                <w:b/>
                <w:sz w:val="18"/>
              </w:rPr>
            </w:pPr>
            <w:r>
              <w:rPr>
                <w:b/>
                <w:spacing w:val="-2"/>
                <w:sz w:val="18"/>
              </w:rPr>
              <w:t>39,599</w:t>
            </w:r>
          </w:p>
        </w:tc>
        <w:tc>
          <w:tcPr>
            <w:tcW w:w="1640" w:type="dxa"/>
            <w:tcBorders>
              <w:left w:val="nil"/>
            </w:tcBorders>
            <w:shd w:val="clear" w:color="auto" w:fill="BEBEBE"/>
          </w:tcPr>
          <w:p w14:paraId="1DA59791" w14:textId="77777777" w:rsidR="00AC6F3C" w:rsidRDefault="00570E88">
            <w:pPr>
              <w:pStyle w:val="TableParagraph"/>
              <w:spacing w:before="25"/>
              <w:ind w:right="20"/>
              <w:jc w:val="right"/>
              <w:rPr>
                <w:b/>
                <w:sz w:val="18"/>
              </w:rPr>
            </w:pPr>
            <w:r>
              <w:rPr>
                <w:b/>
                <w:spacing w:val="-2"/>
                <w:sz w:val="18"/>
              </w:rPr>
              <w:t>31,127</w:t>
            </w:r>
          </w:p>
        </w:tc>
      </w:tr>
      <w:tr w:rsidR="00AC6F3C" w14:paraId="0DC55571" w14:textId="77777777">
        <w:trPr>
          <w:trHeight w:val="837"/>
        </w:trPr>
        <w:tc>
          <w:tcPr>
            <w:tcW w:w="3414" w:type="dxa"/>
            <w:tcBorders>
              <w:right w:val="nil"/>
            </w:tcBorders>
          </w:tcPr>
          <w:p w14:paraId="46E246C0" w14:textId="77777777" w:rsidR="00AC6F3C" w:rsidRDefault="00AC6F3C">
            <w:pPr>
              <w:pStyle w:val="TableParagraph"/>
              <w:spacing w:before="10"/>
              <w:rPr>
                <w:sz w:val="26"/>
              </w:rPr>
            </w:pPr>
          </w:p>
          <w:p w14:paraId="71C10199" w14:textId="77777777" w:rsidR="00AC6F3C" w:rsidRDefault="00570E88">
            <w:pPr>
              <w:pStyle w:val="TableParagraph"/>
              <w:spacing w:before="1"/>
              <w:ind w:left="37"/>
              <w:rPr>
                <w:b/>
                <w:sz w:val="18"/>
              </w:rPr>
            </w:pPr>
            <w:r>
              <w:rPr>
                <w:b/>
                <w:spacing w:val="-2"/>
                <w:sz w:val="18"/>
              </w:rPr>
              <w:t>Current</w:t>
            </w:r>
            <w:r>
              <w:rPr>
                <w:b/>
                <w:spacing w:val="-9"/>
                <w:sz w:val="18"/>
              </w:rPr>
              <w:t xml:space="preserve"> </w:t>
            </w:r>
            <w:r>
              <w:rPr>
                <w:b/>
                <w:spacing w:val="-2"/>
                <w:sz w:val="18"/>
              </w:rPr>
              <w:t>liabilities</w:t>
            </w:r>
          </w:p>
          <w:p w14:paraId="14674039" w14:textId="77777777" w:rsidR="00AC6F3C" w:rsidRDefault="00570E88">
            <w:pPr>
              <w:pStyle w:val="TableParagraph"/>
              <w:spacing w:before="77"/>
              <w:ind w:left="37"/>
              <w:rPr>
                <w:sz w:val="18"/>
              </w:rPr>
            </w:pPr>
            <w:r>
              <w:rPr>
                <w:spacing w:val="-2"/>
                <w:sz w:val="18"/>
              </w:rPr>
              <w:t>Payables</w:t>
            </w:r>
          </w:p>
        </w:tc>
        <w:tc>
          <w:tcPr>
            <w:tcW w:w="2074" w:type="dxa"/>
            <w:tcBorders>
              <w:left w:val="nil"/>
              <w:right w:val="nil"/>
            </w:tcBorders>
          </w:tcPr>
          <w:p w14:paraId="58178513" w14:textId="77777777" w:rsidR="00AC6F3C" w:rsidRDefault="00AC6F3C">
            <w:pPr>
              <w:pStyle w:val="TableParagraph"/>
              <w:rPr>
                <w:sz w:val="20"/>
              </w:rPr>
            </w:pPr>
          </w:p>
          <w:p w14:paraId="195916DA" w14:textId="77777777" w:rsidR="00AC6F3C" w:rsidRDefault="00AC6F3C">
            <w:pPr>
              <w:pStyle w:val="TableParagraph"/>
              <w:rPr>
                <w:sz w:val="20"/>
              </w:rPr>
            </w:pPr>
          </w:p>
          <w:p w14:paraId="09CE60B9" w14:textId="77777777" w:rsidR="00AC6F3C" w:rsidRDefault="00570E88">
            <w:pPr>
              <w:pStyle w:val="TableParagraph"/>
              <w:spacing w:before="134"/>
              <w:ind w:right="679"/>
              <w:jc w:val="right"/>
              <w:rPr>
                <w:sz w:val="18"/>
              </w:rPr>
            </w:pPr>
            <w:r>
              <w:rPr>
                <w:spacing w:val="-5"/>
                <w:sz w:val="18"/>
              </w:rPr>
              <w:t>C4</w:t>
            </w:r>
          </w:p>
        </w:tc>
        <w:tc>
          <w:tcPr>
            <w:tcW w:w="1662" w:type="dxa"/>
            <w:tcBorders>
              <w:left w:val="nil"/>
              <w:right w:val="nil"/>
            </w:tcBorders>
            <w:shd w:val="clear" w:color="auto" w:fill="F1F1F1"/>
          </w:tcPr>
          <w:p w14:paraId="4D613D2C" w14:textId="77777777" w:rsidR="00AC6F3C" w:rsidRDefault="00AC6F3C">
            <w:pPr>
              <w:pStyle w:val="TableParagraph"/>
              <w:rPr>
                <w:sz w:val="20"/>
              </w:rPr>
            </w:pPr>
          </w:p>
          <w:p w14:paraId="2674A205" w14:textId="77777777" w:rsidR="00AC6F3C" w:rsidRDefault="00AC6F3C">
            <w:pPr>
              <w:pStyle w:val="TableParagraph"/>
              <w:rPr>
                <w:sz w:val="20"/>
              </w:rPr>
            </w:pPr>
          </w:p>
          <w:p w14:paraId="637855E8" w14:textId="77777777" w:rsidR="00AC6F3C" w:rsidRDefault="00570E88">
            <w:pPr>
              <w:pStyle w:val="TableParagraph"/>
              <w:spacing w:before="134"/>
              <w:ind w:right="35"/>
              <w:jc w:val="right"/>
              <w:rPr>
                <w:sz w:val="18"/>
              </w:rPr>
            </w:pPr>
            <w:r>
              <w:rPr>
                <w:spacing w:val="-2"/>
                <w:sz w:val="18"/>
              </w:rPr>
              <w:t>39,479</w:t>
            </w:r>
          </w:p>
        </w:tc>
        <w:tc>
          <w:tcPr>
            <w:tcW w:w="1640" w:type="dxa"/>
            <w:tcBorders>
              <w:left w:val="nil"/>
            </w:tcBorders>
          </w:tcPr>
          <w:p w14:paraId="1A84990C" w14:textId="77777777" w:rsidR="00AC6F3C" w:rsidRDefault="00AC6F3C">
            <w:pPr>
              <w:pStyle w:val="TableParagraph"/>
              <w:rPr>
                <w:sz w:val="20"/>
              </w:rPr>
            </w:pPr>
          </w:p>
          <w:p w14:paraId="6BF02D2F" w14:textId="77777777" w:rsidR="00AC6F3C" w:rsidRDefault="00AC6F3C">
            <w:pPr>
              <w:pStyle w:val="TableParagraph"/>
              <w:rPr>
                <w:sz w:val="20"/>
              </w:rPr>
            </w:pPr>
          </w:p>
          <w:p w14:paraId="78025D61" w14:textId="77777777" w:rsidR="00AC6F3C" w:rsidRDefault="00570E88">
            <w:pPr>
              <w:pStyle w:val="TableParagraph"/>
              <w:spacing w:before="134"/>
              <w:ind w:right="20"/>
              <w:jc w:val="right"/>
              <w:rPr>
                <w:sz w:val="18"/>
              </w:rPr>
            </w:pPr>
            <w:r>
              <w:rPr>
                <w:spacing w:val="-2"/>
                <w:sz w:val="18"/>
              </w:rPr>
              <w:t>31,007</w:t>
            </w:r>
          </w:p>
        </w:tc>
      </w:tr>
      <w:tr w:rsidR="00AC6F3C" w14:paraId="15FD8F3F" w14:textId="77777777">
        <w:trPr>
          <w:trHeight w:val="269"/>
        </w:trPr>
        <w:tc>
          <w:tcPr>
            <w:tcW w:w="3414" w:type="dxa"/>
            <w:tcBorders>
              <w:right w:val="nil"/>
            </w:tcBorders>
            <w:shd w:val="clear" w:color="auto" w:fill="BEBEBE"/>
          </w:tcPr>
          <w:p w14:paraId="666B859F" w14:textId="77777777" w:rsidR="00AC6F3C" w:rsidRDefault="00570E88">
            <w:pPr>
              <w:pStyle w:val="TableParagraph"/>
              <w:spacing w:before="25"/>
              <w:ind w:left="37"/>
              <w:rPr>
                <w:b/>
                <w:sz w:val="18"/>
              </w:rPr>
            </w:pPr>
            <w:r>
              <w:rPr>
                <w:b/>
                <w:spacing w:val="-2"/>
                <w:sz w:val="18"/>
              </w:rPr>
              <w:t>Total</w:t>
            </w:r>
            <w:r>
              <w:rPr>
                <w:b/>
                <w:spacing w:val="-7"/>
                <w:sz w:val="18"/>
              </w:rPr>
              <w:t xml:space="preserve"> </w:t>
            </w:r>
            <w:r>
              <w:rPr>
                <w:b/>
                <w:spacing w:val="-2"/>
                <w:sz w:val="18"/>
              </w:rPr>
              <w:t>current</w:t>
            </w:r>
            <w:r>
              <w:rPr>
                <w:b/>
                <w:spacing w:val="-1"/>
                <w:sz w:val="18"/>
              </w:rPr>
              <w:t xml:space="preserve"> </w:t>
            </w:r>
            <w:r>
              <w:rPr>
                <w:b/>
                <w:spacing w:val="-2"/>
                <w:sz w:val="18"/>
              </w:rPr>
              <w:t>liabilities</w:t>
            </w:r>
          </w:p>
        </w:tc>
        <w:tc>
          <w:tcPr>
            <w:tcW w:w="2074" w:type="dxa"/>
            <w:tcBorders>
              <w:left w:val="nil"/>
              <w:right w:val="nil"/>
            </w:tcBorders>
            <w:shd w:val="clear" w:color="auto" w:fill="BEBEBE"/>
          </w:tcPr>
          <w:p w14:paraId="45F22018"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74C611CE" w14:textId="77777777" w:rsidR="00AC6F3C" w:rsidRDefault="00570E88">
            <w:pPr>
              <w:pStyle w:val="TableParagraph"/>
              <w:spacing w:before="25"/>
              <w:ind w:right="35"/>
              <w:jc w:val="right"/>
              <w:rPr>
                <w:b/>
                <w:sz w:val="18"/>
              </w:rPr>
            </w:pPr>
            <w:r>
              <w:rPr>
                <w:b/>
                <w:spacing w:val="-2"/>
                <w:sz w:val="18"/>
              </w:rPr>
              <w:t>39,479</w:t>
            </w:r>
          </w:p>
        </w:tc>
        <w:tc>
          <w:tcPr>
            <w:tcW w:w="1640" w:type="dxa"/>
            <w:tcBorders>
              <w:left w:val="nil"/>
            </w:tcBorders>
            <w:shd w:val="clear" w:color="auto" w:fill="BEBEBE"/>
          </w:tcPr>
          <w:p w14:paraId="6DA60AE9" w14:textId="77777777" w:rsidR="00AC6F3C" w:rsidRDefault="00570E88">
            <w:pPr>
              <w:pStyle w:val="TableParagraph"/>
              <w:spacing w:before="25"/>
              <w:ind w:right="20"/>
              <w:jc w:val="right"/>
              <w:rPr>
                <w:b/>
                <w:sz w:val="18"/>
              </w:rPr>
            </w:pPr>
            <w:r>
              <w:rPr>
                <w:b/>
                <w:spacing w:val="-2"/>
                <w:sz w:val="18"/>
              </w:rPr>
              <w:t>31,007</w:t>
            </w:r>
          </w:p>
        </w:tc>
      </w:tr>
      <w:tr w:rsidR="00AC6F3C" w14:paraId="4F06D6DE" w14:textId="77777777">
        <w:trPr>
          <w:trHeight w:val="269"/>
        </w:trPr>
        <w:tc>
          <w:tcPr>
            <w:tcW w:w="5488" w:type="dxa"/>
            <w:gridSpan w:val="2"/>
            <w:tcBorders>
              <w:right w:val="nil"/>
            </w:tcBorders>
          </w:tcPr>
          <w:p w14:paraId="3B6D2E71"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669B749F" w14:textId="77777777" w:rsidR="00AC6F3C" w:rsidRDefault="00AC6F3C">
            <w:pPr>
              <w:pStyle w:val="TableParagraph"/>
              <w:rPr>
                <w:rFonts w:ascii="Times New Roman"/>
                <w:sz w:val="18"/>
              </w:rPr>
            </w:pPr>
          </w:p>
        </w:tc>
        <w:tc>
          <w:tcPr>
            <w:tcW w:w="1640" w:type="dxa"/>
            <w:tcBorders>
              <w:left w:val="nil"/>
            </w:tcBorders>
          </w:tcPr>
          <w:p w14:paraId="74D5F437" w14:textId="77777777" w:rsidR="00AC6F3C" w:rsidRDefault="00AC6F3C">
            <w:pPr>
              <w:pStyle w:val="TableParagraph"/>
              <w:rPr>
                <w:rFonts w:ascii="Times New Roman"/>
                <w:sz w:val="18"/>
              </w:rPr>
            </w:pPr>
          </w:p>
        </w:tc>
      </w:tr>
      <w:tr w:rsidR="00AC6F3C" w14:paraId="0B7667A6" w14:textId="77777777">
        <w:trPr>
          <w:trHeight w:val="269"/>
        </w:trPr>
        <w:tc>
          <w:tcPr>
            <w:tcW w:w="3414" w:type="dxa"/>
            <w:tcBorders>
              <w:right w:val="nil"/>
            </w:tcBorders>
            <w:shd w:val="clear" w:color="auto" w:fill="BEBEBE"/>
          </w:tcPr>
          <w:p w14:paraId="546DEA46" w14:textId="77777777" w:rsidR="00AC6F3C" w:rsidRDefault="00570E88">
            <w:pPr>
              <w:pStyle w:val="TableParagraph"/>
              <w:spacing w:before="25"/>
              <w:ind w:left="37"/>
              <w:rPr>
                <w:b/>
                <w:sz w:val="18"/>
              </w:rPr>
            </w:pPr>
            <w:r>
              <w:rPr>
                <w:b/>
                <w:spacing w:val="-4"/>
                <w:sz w:val="18"/>
              </w:rPr>
              <w:t xml:space="preserve">Total </w:t>
            </w:r>
            <w:r>
              <w:rPr>
                <w:b/>
                <w:spacing w:val="-2"/>
                <w:sz w:val="18"/>
              </w:rPr>
              <w:t>liabilities</w:t>
            </w:r>
          </w:p>
        </w:tc>
        <w:tc>
          <w:tcPr>
            <w:tcW w:w="2074" w:type="dxa"/>
            <w:tcBorders>
              <w:left w:val="nil"/>
              <w:right w:val="nil"/>
            </w:tcBorders>
            <w:shd w:val="clear" w:color="auto" w:fill="BEBEBE"/>
          </w:tcPr>
          <w:p w14:paraId="17C1614A"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70BE0FE6" w14:textId="77777777" w:rsidR="00AC6F3C" w:rsidRDefault="00570E88">
            <w:pPr>
              <w:pStyle w:val="TableParagraph"/>
              <w:spacing w:before="25"/>
              <w:ind w:right="35"/>
              <w:jc w:val="right"/>
              <w:rPr>
                <w:b/>
                <w:sz w:val="18"/>
              </w:rPr>
            </w:pPr>
            <w:r>
              <w:rPr>
                <w:b/>
                <w:spacing w:val="-2"/>
                <w:sz w:val="18"/>
              </w:rPr>
              <w:t>39,479</w:t>
            </w:r>
          </w:p>
        </w:tc>
        <w:tc>
          <w:tcPr>
            <w:tcW w:w="1640" w:type="dxa"/>
            <w:tcBorders>
              <w:left w:val="nil"/>
            </w:tcBorders>
            <w:shd w:val="clear" w:color="auto" w:fill="BEBEBE"/>
          </w:tcPr>
          <w:p w14:paraId="4674D75A" w14:textId="77777777" w:rsidR="00AC6F3C" w:rsidRDefault="00570E88">
            <w:pPr>
              <w:pStyle w:val="TableParagraph"/>
              <w:spacing w:before="25"/>
              <w:ind w:right="20"/>
              <w:jc w:val="right"/>
              <w:rPr>
                <w:b/>
                <w:sz w:val="18"/>
              </w:rPr>
            </w:pPr>
            <w:r>
              <w:rPr>
                <w:b/>
                <w:spacing w:val="-2"/>
                <w:sz w:val="18"/>
              </w:rPr>
              <w:t>31,007</w:t>
            </w:r>
          </w:p>
        </w:tc>
      </w:tr>
      <w:tr w:rsidR="00AC6F3C" w14:paraId="066611D8" w14:textId="77777777">
        <w:trPr>
          <w:trHeight w:val="269"/>
        </w:trPr>
        <w:tc>
          <w:tcPr>
            <w:tcW w:w="5488" w:type="dxa"/>
            <w:gridSpan w:val="2"/>
            <w:tcBorders>
              <w:right w:val="nil"/>
            </w:tcBorders>
          </w:tcPr>
          <w:p w14:paraId="5872F783" w14:textId="77777777" w:rsidR="00AC6F3C" w:rsidRDefault="00AC6F3C">
            <w:pPr>
              <w:pStyle w:val="TableParagraph"/>
              <w:rPr>
                <w:rFonts w:ascii="Times New Roman"/>
                <w:sz w:val="18"/>
              </w:rPr>
            </w:pPr>
          </w:p>
        </w:tc>
        <w:tc>
          <w:tcPr>
            <w:tcW w:w="1662" w:type="dxa"/>
            <w:tcBorders>
              <w:left w:val="nil"/>
              <w:right w:val="nil"/>
            </w:tcBorders>
            <w:shd w:val="clear" w:color="auto" w:fill="F1F1F1"/>
          </w:tcPr>
          <w:p w14:paraId="4D8E3CDF" w14:textId="77777777" w:rsidR="00AC6F3C" w:rsidRDefault="00AC6F3C">
            <w:pPr>
              <w:pStyle w:val="TableParagraph"/>
              <w:rPr>
                <w:rFonts w:ascii="Times New Roman"/>
                <w:sz w:val="18"/>
              </w:rPr>
            </w:pPr>
          </w:p>
        </w:tc>
        <w:tc>
          <w:tcPr>
            <w:tcW w:w="1640" w:type="dxa"/>
            <w:tcBorders>
              <w:left w:val="nil"/>
            </w:tcBorders>
          </w:tcPr>
          <w:p w14:paraId="64C22082" w14:textId="77777777" w:rsidR="00AC6F3C" w:rsidRDefault="00AC6F3C">
            <w:pPr>
              <w:pStyle w:val="TableParagraph"/>
              <w:rPr>
                <w:rFonts w:ascii="Times New Roman"/>
                <w:sz w:val="18"/>
              </w:rPr>
            </w:pPr>
          </w:p>
        </w:tc>
      </w:tr>
      <w:tr w:rsidR="00AC6F3C" w14:paraId="25AAADD1" w14:textId="77777777">
        <w:trPr>
          <w:trHeight w:val="269"/>
        </w:trPr>
        <w:tc>
          <w:tcPr>
            <w:tcW w:w="3414" w:type="dxa"/>
            <w:tcBorders>
              <w:right w:val="nil"/>
            </w:tcBorders>
            <w:shd w:val="clear" w:color="auto" w:fill="BEBEBE"/>
          </w:tcPr>
          <w:p w14:paraId="14C72D30" w14:textId="77777777" w:rsidR="00AC6F3C" w:rsidRDefault="00570E88">
            <w:pPr>
              <w:pStyle w:val="TableParagraph"/>
              <w:spacing w:before="25"/>
              <w:ind w:left="37"/>
              <w:rPr>
                <w:b/>
                <w:sz w:val="18"/>
              </w:rPr>
            </w:pPr>
            <w:r>
              <w:rPr>
                <w:b/>
                <w:spacing w:val="-2"/>
                <w:sz w:val="18"/>
              </w:rPr>
              <w:t>Net</w:t>
            </w:r>
            <w:r>
              <w:rPr>
                <w:b/>
                <w:spacing w:val="-9"/>
                <w:sz w:val="18"/>
              </w:rPr>
              <w:t xml:space="preserve"> </w:t>
            </w:r>
            <w:r>
              <w:rPr>
                <w:b/>
                <w:spacing w:val="-2"/>
                <w:sz w:val="18"/>
              </w:rPr>
              <w:t>assets</w:t>
            </w:r>
          </w:p>
        </w:tc>
        <w:tc>
          <w:tcPr>
            <w:tcW w:w="2074" w:type="dxa"/>
            <w:tcBorders>
              <w:left w:val="nil"/>
              <w:right w:val="nil"/>
            </w:tcBorders>
            <w:shd w:val="clear" w:color="auto" w:fill="BEBEBE"/>
          </w:tcPr>
          <w:p w14:paraId="381D5A3D"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591B9ACB" w14:textId="77777777" w:rsidR="00AC6F3C" w:rsidRDefault="00570E88">
            <w:pPr>
              <w:pStyle w:val="TableParagraph"/>
              <w:spacing w:before="25"/>
              <w:ind w:right="35"/>
              <w:jc w:val="right"/>
              <w:rPr>
                <w:b/>
                <w:sz w:val="18"/>
              </w:rPr>
            </w:pPr>
            <w:r>
              <w:rPr>
                <w:b/>
                <w:spacing w:val="-5"/>
                <w:sz w:val="18"/>
              </w:rPr>
              <w:t>120</w:t>
            </w:r>
          </w:p>
        </w:tc>
        <w:tc>
          <w:tcPr>
            <w:tcW w:w="1640" w:type="dxa"/>
            <w:tcBorders>
              <w:left w:val="nil"/>
            </w:tcBorders>
            <w:shd w:val="clear" w:color="auto" w:fill="BEBEBE"/>
          </w:tcPr>
          <w:p w14:paraId="130E4646" w14:textId="77777777" w:rsidR="00AC6F3C" w:rsidRDefault="00570E88">
            <w:pPr>
              <w:pStyle w:val="TableParagraph"/>
              <w:spacing w:before="25"/>
              <w:ind w:right="21"/>
              <w:jc w:val="right"/>
              <w:rPr>
                <w:b/>
                <w:sz w:val="18"/>
              </w:rPr>
            </w:pPr>
            <w:r>
              <w:rPr>
                <w:b/>
                <w:spacing w:val="-5"/>
                <w:sz w:val="18"/>
              </w:rPr>
              <w:t>120</w:t>
            </w:r>
          </w:p>
        </w:tc>
      </w:tr>
      <w:tr w:rsidR="00AC6F3C" w14:paraId="3A31742B" w14:textId="77777777">
        <w:trPr>
          <w:trHeight w:val="558"/>
        </w:trPr>
        <w:tc>
          <w:tcPr>
            <w:tcW w:w="5488" w:type="dxa"/>
            <w:gridSpan w:val="2"/>
            <w:tcBorders>
              <w:bottom w:val="nil"/>
              <w:right w:val="nil"/>
            </w:tcBorders>
          </w:tcPr>
          <w:p w14:paraId="1FDB0238" w14:textId="77777777" w:rsidR="00AC6F3C" w:rsidRDefault="00AC6F3C">
            <w:pPr>
              <w:pStyle w:val="TableParagraph"/>
              <w:spacing w:before="10"/>
              <w:rPr>
                <w:sz w:val="26"/>
              </w:rPr>
            </w:pPr>
          </w:p>
          <w:p w14:paraId="2FF0E946" w14:textId="77777777" w:rsidR="00AC6F3C" w:rsidRDefault="00570E88">
            <w:pPr>
              <w:pStyle w:val="TableParagraph"/>
              <w:spacing w:before="1"/>
              <w:ind w:left="37"/>
              <w:rPr>
                <w:b/>
                <w:sz w:val="18"/>
              </w:rPr>
            </w:pPr>
            <w:r>
              <w:rPr>
                <w:b/>
                <w:spacing w:val="-2"/>
                <w:sz w:val="18"/>
              </w:rPr>
              <w:t>Equity</w:t>
            </w:r>
          </w:p>
        </w:tc>
        <w:tc>
          <w:tcPr>
            <w:tcW w:w="1662" w:type="dxa"/>
            <w:tcBorders>
              <w:left w:val="nil"/>
              <w:bottom w:val="nil"/>
              <w:right w:val="nil"/>
            </w:tcBorders>
            <w:shd w:val="clear" w:color="auto" w:fill="F1F1F1"/>
          </w:tcPr>
          <w:p w14:paraId="4831EE7B" w14:textId="77777777" w:rsidR="00AC6F3C" w:rsidRDefault="00AC6F3C">
            <w:pPr>
              <w:pStyle w:val="TableParagraph"/>
              <w:rPr>
                <w:rFonts w:ascii="Times New Roman"/>
                <w:sz w:val="18"/>
              </w:rPr>
            </w:pPr>
          </w:p>
        </w:tc>
        <w:tc>
          <w:tcPr>
            <w:tcW w:w="1640" w:type="dxa"/>
            <w:tcBorders>
              <w:left w:val="nil"/>
              <w:bottom w:val="nil"/>
            </w:tcBorders>
          </w:tcPr>
          <w:p w14:paraId="3E96CC89" w14:textId="77777777" w:rsidR="00AC6F3C" w:rsidRDefault="00AC6F3C">
            <w:pPr>
              <w:pStyle w:val="TableParagraph"/>
              <w:rPr>
                <w:rFonts w:ascii="Times New Roman"/>
                <w:sz w:val="18"/>
              </w:rPr>
            </w:pPr>
          </w:p>
        </w:tc>
      </w:tr>
      <w:tr w:rsidR="00AC6F3C" w14:paraId="6A9B9E90" w14:textId="77777777">
        <w:trPr>
          <w:trHeight w:val="284"/>
        </w:trPr>
        <w:tc>
          <w:tcPr>
            <w:tcW w:w="5488" w:type="dxa"/>
            <w:gridSpan w:val="2"/>
            <w:tcBorders>
              <w:top w:val="nil"/>
              <w:bottom w:val="nil"/>
              <w:right w:val="nil"/>
            </w:tcBorders>
          </w:tcPr>
          <w:p w14:paraId="16426BA4" w14:textId="77777777" w:rsidR="00AC6F3C" w:rsidRDefault="00570E88">
            <w:pPr>
              <w:pStyle w:val="TableParagraph"/>
              <w:spacing w:before="35"/>
              <w:ind w:left="37"/>
              <w:rPr>
                <w:sz w:val="18"/>
              </w:rPr>
            </w:pPr>
            <w:r>
              <w:rPr>
                <w:sz w:val="18"/>
              </w:rPr>
              <w:t>Share</w:t>
            </w:r>
            <w:r>
              <w:rPr>
                <w:spacing w:val="1"/>
                <w:sz w:val="18"/>
              </w:rPr>
              <w:t xml:space="preserve"> </w:t>
            </w:r>
            <w:r>
              <w:rPr>
                <w:spacing w:val="-2"/>
                <w:sz w:val="18"/>
              </w:rPr>
              <w:t>capital</w:t>
            </w:r>
          </w:p>
        </w:tc>
        <w:tc>
          <w:tcPr>
            <w:tcW w:w="1662" w:type="dxa"/>
            <w:tcBorders>
              <w:top w:val="nil"/>
              <w:left w:val="nil"/>
              <w:bottom w:val="nil"/>
              <w:right w:val="nil"/>
            </w:tcBorders>
            <w:shd w:val="clear" w:color="auto" w:fill="F1F1F1"/>
          </w:tcPr>
          <w:p w14:paraId="0D283A23" w14:textId="77777777" w:rsidR="00AC6F3C" w:rsidRDefault="00570E88">
            <w:pPr>
              <w:pStyle w:val="TableParagraph"/>
              <w:spacing w:before="35"/>
              <w:ind w:right="35"/>
              <w:jc w:val="right"/>
              <w:rPr>
                <w:sz w:val="18"/>
              </w:rPr>
            </w:pPr>
            <w:r>
              <w:rPr>
                <w:spacing w:val="-5"/>
                <w:sz w:val="18"/>
              </w:rPr>
              <w:t>120</w:t>
            </w:r>
          </w:p>
        </w:tc>
        <w:tc>
          <w:tcPr>
            <w:tcW w:w="1640" w:type="dxa"/>
            <w:tcBorders>
              <w:top w:val="nil"/>
              <w:left w:val="nil"/>
              <w:bottom w:val="nil"/>
            </w:tcBorders>
          </w:tcPr>
          <w:p w14:paraId="5B4B1619" w14:textId="77777777" w:rsidR="00AC6F3C" w:rsidRDefault="00570E88">
            <w:pPr>
              <w:pStyle w:val="TableParagraph"/>
              <w:spacing w:before="35"/>
              <w:ind w:right="21"/>
              <w:jc w:val="right"/>
              <w:rPr>
                <w:sz w:val="18"/>
              </w:rPr>
            </w:pPr>
            <w:r>
              <w:rPr>
                <w:spacing w:val="-5"/>
                <w:sz w:val="18"/>
              </w:rPr>
              <w:t>120</w:t>
            </w:r>
          </w:p>
        </w:tc>
      </w:tr>
      <w:tr w:rsidR="00AC6F3C" w14:paraId="5AAC28E0" w14:textId="77777777">
        <w:trPr>
          <w:trHeight w:val="279"/>
        </w:trPr>
        <w:tc>
          <w:tcPr>
            <w:tcW w:w="5488" w:type="dxa"/>
            <w:gridSpan w:val="2"/>
            <w:tcBorders>
              <w:top w:val="nil"/>
              <w:right w:val="nil"/>
            </w:tcBorders>
          </w:tcPr>
          <w:p w14:paraId="6F1EE036" w14:textId="77777777" w:rsidR="00AC6F3C" w:rsidRDefault="00570E88">
            <w:pPr>
              <w:pStyle w:val="TableParagraph"/>
              <w:spacing w:before="35"/>
              <w:ind w:left="37"/>
              <w:rPr>
                <w:sz w:val="18"/>
              </w:rPr>
            </w:pPr>
            <w:r>
              <w:rPr>
                <w:sz w:val="18"/>
              </w:rPr>
              <w:t>Accumulated</w:t>
            </w:r>
            <w:r>
              <w:rPr>
                <w:spacing w:val="3"/>
                <w:sz w:val="18"/>
              </w:rPr>
              <w:t xml:space="preserve"> </w:t>
            </w:r>
            <w:r>
              <w:rPr>
                <w:spacing w:val="-2"/>
                <w:sz w:val="18"/>
              </w:rPr>
              <w:t>surplus</w:t>
            </w:r>
          </w:p>
        </w:tc>
        <w:tc>
          <w:tcPr>
            <w:tcW w:w="1662" w:type="dxa"/>
            <w:tcBorders>
              <w:top w:val="nil"/>
              <w:left w:val="nil"/>
              <w:right w:val="nil"/>
            </w:tcBorders>
            <w:shd w:val="clear" w:color="auto" w:fill="F1F1F1"/>
          </w:tcPr>
          <w:p w14:paraId="0E8C7906" w14:textId="77777777" w:rsidR="00AC6F3C" w:rsidRDefault="00570E88">
            <w:pPr>
              <w:pStyle w:val="TableParagraph"/>
              <w:spacing w:before="35"/>
              <w:ind w:right="35"/>
              <w:jc w:val="right"/>
              <w:rPr>
                <w:sz w:val="18"/>
              </w:rPr>
            </w:pPr>
            <w:r>
              <w:rPr>
                <w:w w:val="99"/>
                <w:sz w:val="18"/>
              </w:rPr>
              <w:t>-</w:t>
            </w:r>
          </w:p>
        </w:tc>
        <w:tc>
          <w:tcPr>
            <w:tcW w:w="1640" w:type="dxa"/>
            <w:tcBorders>
              <w:top w:val="nil"/>
              <w:left w:val="nil"/>
            </w:tcBorders>
          </w:tcPr>
          <w:p w14:paraId="3E0B82F8" w14:textId="77777777" w:rsidR="00AC6F3C" w:rsidRDefault="00570E88">
            <w:pPr>
              <w:pStyle w:val="TableParagraph"/>
              <w:spacing w:before="35"/>
              <w:ind w:right="20"/>
              <w:jc w:val="right"/>
              <w:rPr>
                <w:sz w:val="18"/>
              </w:rPr>
            </w:pPr>
            <w:r>
              <w:rPr>
                <w:w w:val="99"/>
                <w:sz w:val="18"/>
              </w:rPr>
              <w:t>-</w:t>
            </w:r>
          </w:p>
        </w:tc>
      </w:tr>
      <w:tr w:rsidR="00AC6F3C" w14:paraId="1B7F5E8F" w14:textId="77777777">
        <w:trPr>
          <w:trHeight w:val="269"/>
        </w:trPr>
        <w:tc>
          <w:tcPr>
            <w:tcW w:w="3414" w:type="dxa"/>
            <w:tcBorders>
              <w:right w:val="nil"/>
            </w:tcBorders>
            <w:shd w:val="clear" w:color="auto" w:fill="BEBEBE"/>
          </w:tcPr>
          <w:p w14:paraId="19A90FD7" w14:textId="77777777" w:rsidR="00AC6F3C" w:rsidRDefault="00570E88">
            <w:pPr>
              <w:pStyle w:val="TableParagraph"/>
              <w:spacing w:before="25"/>
              <w:ind w:left="37"/>
              <w:rPr>
                <w:b/>
                <w:sz w:val="18"/>
              </w:rPr>
            </w:pPr>
            <w:r>
              <w:rPr>
                <w:b/>
                <w:spacing w:val="-4"/>
                <w:sz w:val="18"/>
              </w:rPr>
              <w:t xml:space="preserve">Total </w:t>
            </w:r>
            <w:r>
              <w:rPr>
                <w:b/>
                <w:spacing w:val="-2"/>
                <w:sz w:val="18"/>
              </w:rPr>
              <w:t>equity</w:t>
            </w:r>
          </w:p>
        </w:tc>
        <w:tc>
          <w:tcPr>
            <w:tcW w:w="2074" w:type="dxa"/>
            <w:tcBorders>
              <w:left w:val="nil"/>
              <w:right w:val="nil"/>
            </w:tcBorders>
            <w:shd w:val="clear" w:color="auto" w:fill="BEBEBE"/>
          </w:tcPr>
          <w:p w14:paraId="05D16541" w14:textId="77777777" w:rsidR="00AC6F3C" w:rsidRDefault="00AC6F3C">
            <w:pPr>
              <w:pStyle w:val="TableParagraph"/>
              <w:rPr>
                <w:rFonts w:ascii="Times New Roman"/>
                <w:sz w:val="18"/>
              </w:rPr>
            </w:pPr>
          </w:p>
        </w:tc>
        <w:tc>
          <w:tcPr>
            <w:tcW w:w="1662" w:type="dxa"/>
            <w:tcBorders>
              <w:left w:val="nil"/>
              <w:right w:val="nil"/>
            </w:tcBorders>
            <w:shd w:val="clear" w:color="auto" w:fill="BEBEBE"/>
          </w:tcPr>
          <w:p w14:paraId="4D26204A" w14:textId="77777777" w:rsidR="00AC6F3C" w:rsidRDefault="00570E88">
            <w:pPr>
              <w:pStyle w:val="TableParagraph"/>
              <w:spacing w:before="25"/>
              <w:ind w:right="35"/>
              <w:jc w:val="right"/>
              <w:rPr>
                <w:b/>
                <w:sz w:val="18"/>
              </w:rPr>
            </w:pPr>
            <w:r>
              <w:rPr>
                <w:b/>
                <w:spacing w:val="-5"/>
                <w:sz w:val="18"/>
              </w:rPr>
              <w:t>120</w:t>
            </w:r>
          </w:p>
        </w:tc>
        <w:tc>
          <w:tcPr>
            <w:tcW w:w="1640" w:type="dxa"/>
            <w:tcBorders>
              <w:left w:val="nil"/>
            </w:tcBorders>
            <w:shd w:val="clear" w:color="auto" w:fill="BEBEBE"/>
          </w:tcPr>
          <w:p w14:paraId="4AB1A121" w14:textId="77777777" w:rsidR="00AC6F3C" w:rsidRDefault="00570E88">
            <w:pPr>
              <w:pStyle w:val="TableParagraph"/>
              <w:spacing w:before="25"/>
              <w:ind w:right="21"/>
              <w:jc w:val="right"/>
              <w:rPr>
                <w:b/>
                <w:sz w:val="18"/>
              </w:rPr>
            </w:pPr>
            <w:r>
              <w:rPr>
                <w:b/>
                <w:spacing w:val="-5"/>
                <w:sz w:val="18"/>
              </w:rPr>
              <w:t>120</w:t>
            </w:r>
          </w:p>
        </w:tc>
      </w:tr>
    </w:tbl>
    <w:p w14:paraId="005B5930" w14:textId="77777777" w:rsidR="00AC6F3C" w:rsidRDefault="00AC6F3C">
      <w:pPr>
        <w:pStyle w:val="BodyText"/>
      </w:pPr>
    </w:p>
    <w:p w14:paraId="4B79339E" w14:textId="77777777" w:rsidR="00AC6F3C" w:rsidRDefault="00AC6F3C">
      <w:pPr>
        <w:pStyle w:val="BodyText"/>
      </w:pPr>
    </w:p>
    <w:p w14:paraId="03BE228C" w14:textId="77777777" w:rsidR="00AC6F3C" w:rsidRDefault="00AC6F3C">
      <w:pPr>
        <w:pStyle w:val="BodyText"/>
      </w:pPr>
    </w:p>
    <w:p w14:paraId="3040172C" w14:textId="77777777" w:rsidR="00AC6F3C" w:rsidRDefault="00AC6F3C">
      <w:pPr>
        <w:pStyle w:val="BodyText"/>
      </w:pPr>
    </w:p>
    <w:p w14:paraId="25C5C34F" w14:textId="77777777" w:rsidR="00AC6F3C" w:rsidRDefault="00AC6F3C">
      <w:pPr>
        <w:pStyle w:val="BodyText"/>
      </w:pPr>
    </w:p>
    <w:p w14:paraId="2EE27CC0" w14:textId="77777777" w:rsidR="00AC6F3C" w:rsidRDefault="00AC6F3C">
      <w:pPr>
        <w:pStyle w:val="BodyText"/>
      </w:pPr>
    </w:p>
    <w:p w14:paraId="41D89D6E" w14:textId="77777777" w:rsidR="00AC6F3C" w:rsidRDefault="00AC6F3C">
      <w:pPr>
        <w:pStyle w:val="BodyText"/>
      </w:pPr>
    </w:p>
    <w:p w14:paraId="2E1C49F9" w14:textId="77777777" w:rsidR="00AC6F3C" w:rsidRDefault="00AC6F3C">
      <w:pPr>
        <w:pStyle w:val="BodyText"/>
      </w:pPr>
    </w:p>
    <w:p w14:paraId="0E4E941A" w14:textId="77777777" w:rsidR="00AC6F3C" w:rsidRDefault="00AC6F3C">
      <w:pPr>
        <w:pStyle w:val="BodyText"/>
      </w:pPr>
    </w:p>
    <w:p w14:paraId="77945739" w14:textId="77777777" w:rsidR="00AC6F3C" w:rsidRDefault="00AC6F3C">
      <w:pPr>
        <w:pStyle w:val="BodyText"/>
      </w:pPr>
    </w:p>
    <w:p w14:paraId="10E3253D" w14:textId="77777777" w:rsidR="00AC6F3C" w:rsidRDefault="00AC6F3C">
      <w:pPr>
        <w:pStyle w:val="BodyText"/>
      </w:pPr>
    </w:p>
    <w:p w14:paraId="75184EA1" w14:textId="77777777" w:rsidR="00AC6F3C" w:rsidRDefault="00AC6F3C">
      <w:pPr>
        <w:pStyle w:val="BodyText"/>
      </w:pPr>
    </w:p>
    <w:p w14:paraId="408D5C8A" w14:textId="77777777" w:rsidR="00AC6F3C" w:rsidRDefault="00AC6F3C">
      <w:pPr>
        <w:pStyle w:val="BodyText"/>
      </w:pPr>
    </w:p>
    <w:p w14:paraId="0A240343" w14:textId="77777777" w:rsidR="00AC6F3C" w:rsidRDefault="00AC6F3C">
      <w:pPr>
        <w:pStyle w:val="BodyText"/>
      </w:pPr>
    </w:p>
    <w:p w14:paraId="229DCEC0" w14:textId="77777777" w:rsidR="00AC6F3C" w:rsidRDefault="00AC6F3C">
      <w:pPr>
        <w:pStyle w:val="BodyText"/>
      </w:pPr>
    </w:p>
    <w:p w14:paraId="1B115213" w14:textId="77777777" w:rsidR="00AC6F3C" w:rsidRDefault="00AC6F3C">
      <w:pPr>
        <w:pStyle w:val="BodyText"/>
      </w:pPr>
    </w:p>
    <w:p w14:paraId="028670D5" w14:textId="77777777" w:rsidR="00AC6F3C" w:rsidRDefault="00AC6F3C">
      <w:pPr>
        <w:pStyle w:val="BodyText"/>
      </w:pPr>
    </w:p>
    <w:p w14:paraId="7AA34B41" w14:textId="77777777" w:rsidR="00AC6F3C" w:rsidRDefault="00AC6F3C">
      <w:pPr>
        <w:pStyle w:val="BodyText"/>
      </w:pPr>
    </w:p>
    <w:p w14:paraId="658AFF70" w14:textId="77777777" w:rsidR="00AC6F3C" w:rsidRDefault="00AC6F3C">
      <w:pPr>
        <w:pStyle w:val="BodyText"/>
      </w:pPr>
    </w:p>
    <w:p w14:paraId="20766227" w14:textId="77777777" w:rsidR="00AC6F3C" w:rsidRDefault="00AC6F3C">
      <w:pPr>
        <w:pStyle w:val="BodyText"/>
      </w:pPr>
    </w:p>
    <w:p w14:paraId="78A02C4F" w14:textId="77777777" w:rsidR="00AC6F3C" w:rsidRDefault="00AC6F3C">
      <w:pPr>
        <w:pStyle w:val="BodyText"/>
      </w:pPr>
    </w:p>
    <w:p w14:paraId="33D0D11B" w14:textId="77777777" w:rsidR="00AC6F3C" w:rsidRDefault="00AC6F3C">
      <w:pPr>
        <w:pStyle w:val="BodyText"/>
      </w:pPr>
    </w:p>
    <w:p w14:paraId="6CF2BCC4" w14:textId="77777777" w:rsidR="00AC6F3C" w:rsidRDefault="00AC6F3C">
      <w:pPr>
        <w:pStyle w:val="BodyText"/>
      </w:pPr>
    </w:p>
    <w:p w14:paraId="3740A1BE" w14:textId="77777777" w:rsidR="00AC6F3C" w:rsidRDefault="00AC6F3C">
      <w:pPr>
        <w:pStyle w:val="BodyText"/>
      </w:pPr>
    </w:p>
    <w:p w14:paraId="4589B749" w14:textId="77777777" w:rsidR="00AC6F3C" w:rsidRDefault="00AC6F3C">
      <w:pPr>
        <w:pStyle w:val="BodyText"/>
        <w:rPr>
          <w:sz w:val="27"/>
        </w:rPr>
      </w:pPr>
    </w:p>
    <w:p w14:paraId="4F494D60" w14:textId="77777777" w:rsidR="00AC6F3C" w:rsidRDefault="00570E88">
      <w:pPr>
        <w:spacing w:before="94"/>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4A2A3E41" w14:textId="77777777" w:rsidR="00AC6F3C" w:rsidRDefault="00AC6F3C">
      <w:pPr>
        <w:rPr>
          <w:sz w:val="18"/>
        </w:rPr>
        <w:sectPr w:rsidR="00AC6F3C">
          <w:pgSz w:w="11910" w:h="16840"/>
          <w:pgMar w:top="1520" w:right="1160" w:bottom="520" w:left="460" w:header="1250" w:footer="336" w:gutter="0"/>
          <w:cols w:space="720"/>
        </w:sectPr>
      </w:pPr>
    </w:p>
    <w:p w14:paraId="51A33069" w14:textId="77777777" w:rsidR="00AC6F3C" w:rsidRDefault="00570E88">
      <w:pPr>
        <w:ind w:left="979"/>
      </w:pPr>
      <w:r>
        <w:lastRenderedPageBreak/>
        <w:t>Statement</w:t>
      </w:r>
      <w:r>
        <w:rPr>
          <w:spacing w:val="-5"/>
        </w:rPr>
        <w:t xml:space="preserve"> </w:t>
      </w:r>
      <w:r>
        <w:t>of</w:t>
      </w:r>
      <w:r>
        <w:rPr>
          <w:spacing w:val="-3"/>
        </w:rPr>
        <w:t xml:space="preserve"> </w:t>
      </w:r>
      <w:r>
        <w:t>Changes</w:t>
      </w:r>
      <w:r>
        <w:rPr>
          <w:spacing w:val="-2"/>
        </w:rPr>
        <w:t xml:space="preserve"> </w:t>
      </w:r>
      <w:r>
        <w:t>in</w:t>
      </w:r>
      <w:r>
        <w:rPr>
          <w:spacing w:val="-5"/>
        </w:rPr>
        <w:t xml:space="preserve"> </w:t>
      </w:r>
      <w:r>
        <w:t>Equity</w:t>
      </w:r>
      <w:r>
        <w:rPr>
          <w:spacing w:val="-5"/>
        </w:rPr>
        <w:t xml:space="preserve"> </w:t>
      </w:r>
      <w:r>
        <w:t>for</w:t>
      </w:r>
      <w:r>
        <w:rPr>
          <w:spacing w:val="-4"/>
        </w:rPr>
        <w:t xml:space="preserve"> </w:t>
      </w:r>
      <w:r>
        <w:t>the</w:t>
      </w:r>
      <w:r>
        <w:rPr>
          <w:spacing w:val="-5"/>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p w14:paraId="7C84FC17" w14:textId="77777777" w:rsidR="00AC6F3C" w:rsidRDefault="00570E88">
      <w:pPr>
        <w:pStyle w:val="BodyText"/>
        <w:spacing w:before="8"/>
        <w:rPr>
          <w:sz w:val="18"/>
        </w:rPr>
      </w:pPr>
      <w:r>
        <w:rPr>
          <w:noProof/>
        </w:rPr>
        <mc:AlternateContent>
          <mc:Choice Requires="wps">
            <w:drawing>
              <wp:anchor distT="0" distB="0" distL="0" distR="0" simplePos="0" relativeHeight="487707648" behindDoc="1" locked="0" layoutInCell="1" allowOverlap="1" wp14:anchorId="05DAB4AA" wp14:editId="32519B33">
                <wp:simplePos x="0" y="0"/>
                <wp:positionH relativeFrom="page">
                  <wp:posOffset>896045</wp:posOffset>
                </wp:positionH>
                <wp:positionV relativeFrom="paragraph">
                  <wp:posOffset>151894</wp:posOffset>
                </wp:positionV>
                <wp:extent cx="5768340" cy="635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A746B" id="Graphic 854" o:spid="_x0000_s1026" style="position:absolute;margin-left:70.55pt;margin-top:11.95pt;width:454.2pt;height:.5pt;z-index:-1560883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" path="m5767909,6094l,6094,,,5767909,r,6094xe" fillcolor="black" stroked="f">
                <v:path arrowok="t"/>
                <w10:wrap type="topAndBottom" anchorx="page"/>
              </v:shape>
            </w:pict>
          </mc:Fallback>
        </mc:AlternateContent>
      </w:r>
    </w:p>
    <w:p w14:paraId="14C7F74B" w14:textId="77777777" w:rsidR="00AC6F3C" w:rsidRDefault="00AC6F3C">
      <w:pPr>
        <w:pStyle w:val="BodyText"/>
      </w:pPr>
    </w:p>
    <w:p w14:paraId="5666B251" w14:textId="77777777" w:rsidR="00AC6F3C" w:rsidRDefault="00AC6F3C">
      <w:pPr>
        <w:pStyle w:val="BodyText"/>
        <w:spacing w:before="8"/>
        <w:rPr>
          <w:sz w:val="21"/>
        </w:rPr>
      </w:pPr>
    </w:p>
    <w:tbl>
      <w:tblPr>
        <w:tblW w:w="0" w:type="auto"/>
        <w:tblInd w:w="994" w:type="dxa"/>
        <w:tblLayout w:type="fixed"/>
        <w:tblCellMar>
          <w:left w:w="0" w:type="dxa"/>
          <w:right w:w="0" w:type="dxa"/>
        </w:tblCellMar>
        <w:tblLook w:val="01E0" w:firstRow="1" w:lastRow="1" w:firstColumn="1" w:lastColumn="1" w:noHBand="0" w:noVBand="0"/>
      </w:tblPr>
      <w:tblGrid>
        <w:gridCol w:w="5485"/>
        <w:gridCol w:w="1661"/>
        <w:gridCol w:w="1639"/>
      </w:tblGrid>
      <w:tr w:rsidR="00AC6F3C" w14:paraId="140DB00F" w14:textId="77777777">
        <w:trPr>
          <w:trHeight w:val="583"/>
        </w:trPr>
        <w:tc>
          <w:tcPr>
            <w:tcW w:w="8785" w:type="dxa"/>
            <w:gridSpan w:val="3"/>
            <w:tcBorders>
              <w:top w:val="single" w:sz="6" w:space="0" w:color="000000"/>
              <w:left w:val="single" w:sz="6" w:space="0" w:color="000000"/>
              <w:bottom w:val="single" w:sz="6" w:space="0" w:color="000000"/>
              <w:right w:val="single" w:sz="6" w:space="0" w:color="000000"/>
            </w:tcBorders>
            <w:shd w:val="clear" w:color="auto" w:fill="BEBEBE"/>
          </w:tcPr>
          <w:p w14:paraId="3CD39E80" w14:textId="77777777" w:rsidR="00AC6F3C" w:rsidRDefault="00570E88">
            <w:pPr>
              <w:pStyle w:val="TableParagraph"/>
              <w:tabs>
                <w:tab w:val="left" w:pos="1646"/>
              </w:tabs>
              <w:spacing w:before="40"/>
              <w:ind w:right="22"/>
              <w:jc w:val="right"/>
              <w:rPr>
                <w:b/>
                <w:sz w:val="18"/>
              </w:rPr>
            </w:pPr>
            <w:r>
              <w:rPr>
                <w:b/>
                <w:spacing w:val="-4"/>
                <w:sz w:val="18"/>
              </w:rPr>
              <w:t>2023</w:t>
            </w:r>
            <w:r>
              <w:rPr>
                <w:b/>
                <w:sz w:val="18"/>
              </w:rPr>
              <w:tab/>
            </w:r>
            <w:r>
              <w:rPr>
                <w:b/>
                <w:spacing w:val="-4"/>
                <w:sz w:val="18"/>
              </w:rPr>
              <w:t>2022</w:t>
            </w:r>
          </w:p>
          <w:p w14:paraId="1D745C82" w14:textId="77777777" w:rsidR="00AC6F3C" w:rsidRDefault="00570E88">
            <w:pPr>
              <w:pStyle w:val="TableParagraph"/>
              <w:tabs>
                <w:tab w:val="left" w:pos="1646"/>
              </w:tabs>
              <w:spacing w:before="93"/>
              <w:ind w:right="25"/>
              <w:jc w:val="right"/>
              <w:rPr>
                <w:b/>
                <w:sz w:val="18"/>
              </w:rPr>
            </w:pPr>
            <w:r>
              <w:rPr>
                <w:b/>
                <w:spacing w:val="-10"/>
                <w:sz w:val="18"/>
              </w:rPr>
              <w:t>$</w:t>
            </w:r>
            <w:r>
              <w:rPr>
                <w:b/>
                <w:sz w:val="18"/>
              </w:rPr>
              <w:tab/>
            </w:r>
            <w:r>
              <w:rPr>
                <w:b/>
                <w:spacing w:val="-10"/>
                <w:sz w:val="18"/>
              </w:rPr>
              <w:t>$</w:t>
            </w:r>
          </w:p>
        </w:tc>
      </w:tr>
      <w:tr w:rsidR="00AC6F3C" w14:paraId="6A438B8E" w14:textId="77777777">
        <w:trPr>
          <w:trHeight w:val="446"/>
        </w:trPr>
        <w:tc>
          <w:tcPr>
            <w:tcW w:w="5485" w:type="dxa"/>
            <w:tcBorders>
              <w:top w:val="single" w:sz="6" w:space="0" w:color="000000"/>
              <w:left w:val="single" w:sz="6" w:space="0" w:color="000000"/>
            </w:tcBorders>
          </w:tcPr>
          <w:p w14:paraId="6C27F834" w14:textId="77777777" w:rsidR="00AC6F3C" w:rsidRDefault="00570E88">
            <w:pPr>
              <w:pStyle w:val="TableParagraph"/>
              <w:spacing w:before="40"/>
              <w:ind w:left="37"/>
              <w:rPr>
                <w:b/>
                <w:sz w:val="18"/>
              </w:rPr>
            </w:pPr>
            <w:r>
              <w:rPr>
                <w:b/>
                <w:sz w:val="18"/>
              </w:rPr>
              <w:t>Share</w:t>
            </w:r>
            <w:r>
              <w:rPr>
                <w:b/>
                <w:spacing w:val="-6"/>
                <w:sz w:val="18"/>
              </w:rPr>
              <w:t xml:space="preserve"> </w:t>
            </w:r>
            <w:r>
              <w:rPr>
                <w:b/>
                <w:spacing w:val="-2"/>
                <w:sz w:val="18"/>
              </w:rPr>
              <w:t>Capital</w:t>
            </w:r>
          </w:p>
        </w:tc>
        <w:tc>
          <w:tcPr>
            <w:tcW w:w="1661" w:type="dxa"/>
            <w:tcBorders>
              <w:top w:val="single" w:sz="6" w:space="0" w:color="000000"/>
            </w:tcBorders>
            <w:shd w:val="clear" w:color="auto" w:fill="F1F1F1"/>
          </w:tcPr>
          <w:p w14:paraId="5469CB0A" w14:textId="77777777" w:rsidR="00AC6F3C" w:rsidRDefault="00AC6F3C">
            <w:pPr>
              <w:pStyle w:val="TableParagraph"/>
              <w:rPr>
                <w:rFonts w:ascii="Times New Roman"/>
                <w:sz w:val="18"/>
              </w:rPr>
            </w:pPr>
          </w:p>
        </w:tc>
        <w:tc>
          <w:tcPr>
            <w:tcW w:w="1639" w:type="dxa"/>
            <w:tcBorders>
              <w:top w:val="single" w:sz="6" w:space="0" w:color="000000"/>
              <w:right w:val="single" w:sz="6" w:space="0" w:color="000000"/>
            </w:tcBorders>
          </w:tcPr>
          <w:p w14:paraId="799F2B0D" w14:textId="77777777" w:rsidR="00AC6F3C" w:rsidRDefault="00AC6F3C">
            <w:pPr>
              <w:pStyle w:val="TableParagraph"/>
              <w:rPr>
                <w:rFonts w:ascii="Times New Roman"/>
                <w:sz w:val="18"/>
              </w:rPr>
            </w:pPr>
          </w:p>
        </w:tc>
      </w:tr>
      <w:tr w:rsidR="00AC6F3C" w14:paraId="60F85EB1" w14:textId="77777777">
        <w:trPr>
          <w:trHeight w:val="598"/>
        </w:trPr>
        <w:tc>
          <w:tcPr>
            <w:tcW w:w="5485" w:type="dxa"/>
            <w:tcBorders>
              <w:left w:val="single" w:sz="6" w:space="0" w:color="000000"/>
            </w:tcBorders>
          </w:tcPr>
          <w:p w14:paraId="3C4DADEA" w14:textId="77777777" w:rsidR="00AC6F3C" w:rsidRDefault="00AC6F3C">
            <w:pPr>
              <w:pStyle w:val="TableParagraph"/>
              <w:spacing w:before="8"/>
              <w:rPr>
                <w:sz w:val="16"/>
              </w:rPr>
            </w:pPr>
          </w:p>
          <w:p w14:paraId="0B15AFFF" w14:textId="77777777" w:rsidR="00AC6F3C" w:rsidRDefault="00570E88">
            <w:pPr>
              <w:pStyle w:val="TableParagraph"/>
              <w:spacing w:before="1"/>
              <w:ind w:left="37"/>
              <w:rPr>
                <w:b/>
                <w:sz w:val="18"/>
              </w:rPr>
            </w:pPr>
            <w:r>
              <w:rPr>
                <w:b/>
                <w:sz w:val="18"/>
              </w:rPr>
              <w:t>Balance</w:t>
            </w:r>
            <w:r>
              <w:rPr>
                <w:b/>
                <w:spacing w:val="-6"/>
                <w:sz w:val="18"/>
              </w:rPr>
              <w:t xml:space="preserve"> </w:t>
            </w:r>
            <w:r>
              <w:rPr>
                <w:b/>
                <w:sz w:val="18"/>
              </w:rPr>
              <w:t>at</w:t>
            </w:r>
            <w:r>
              <w:rPr>
                <w:b/>
                <w:spacing w:val="-10"/>
                <w:sz w:val="18"/>
              </w:rPr>
              <w:t xml:space="preserve"> </w:t>
            </w:r>
            <w:r>
              <w:rPr>
                <w:b/>
                <w:sz w:val="18"/>
              </w:rPr>
              <w:t>1</w:t>
            </w:r>
            <w:r>
              <w:rPr>
                <w:b/>
                <w:spacing w:val="-6"/>
                <w:sz w:val="18"/>
              </w:rPr>
              <w:t xml:space="preserve"> </w:t>
            </w:r>
            <w:r>
              <w:rPr>
                <w:b/>
                <w:spacing w:val="-4"/>
                <w:sz w:val="18"/>
              </w:rPr>
              <w:t>July</w:t>
            </w:r>
          </w:p>
        </w:tc>
        <w:tc>
          <w:tcPr>
            <w:tcW w:w="1661" w:type="dxa"/>
            <w:shd w:val="clear" w:color="auto" w:fill="F1F1F1"/>
          </w:tcPr>
          <w:p w14:paraId="5A0D6FC6" w14:textId="77777777" w:rsidR="00AC6F3C" w:rsidRDefault="00AC6F3C">
            <w:pPr>
              <w:pStyle w:val="TableParagraph"/>
              <w:spacing w:before="8"/>
              <w:rPr>
                <w:sz w:val="16"/>
              </w:rPr>
            </w:pPr>
          </w:p>
          <w:p w14:paraId="5085EA3A" w14:textId="77777777" w:rsidR="00AC6F3C" w:rsidRDefault="00570E88">
            <w:pPr>
              <w:pStyle w:val="TableParagraph"/>
              <w:spacing w:before="1"/>
              <w:ind w:right="35"/>
              <w:jc w:val="right"/>
              <w:rPr>
                <w:sz w:val="18"/>
              </w:rPr>
            </w:pPr>
            <w:r>
              <w:rPr>
                <w:spacing w:val="-5"/>
                <w:sz w:val="18"/>
              </w:rPr>
              <w:t>120</w:t>
            </w:r>
          </w:p>
        </w:tc>
        <w:tc>
          <w:tcPr>
            <w:tcW w:w="1639" w:type="dxa"/>
            <w:tcBorders>
              <w:right w:val="single" w:sz="6" w:space="0" w:color="000000"/>
            </w:tcBorders>
          </w:tcPr>
          <w:p w14:paraId="3C77911B" w14:textId="77777777" w:rsidR="00AC6F3C" w:rsidRDefault="00AC6F3C">
            <w:pPr>
              <w:pStyle w:val="TableParagraph"/>
              <w:spacing w:before="8"/>
              <w:rPr>
                <w:sz w:val="16"/>
              </w:rPr>
            </w:pPr>
          </w:p>
          <w:p w14:paraId="52069113" w14:textId="77777777" w:rsidR="00AC6F3C" w:rsidRDefault="00570E88">
            <w:pPr>
              <w:pStyle w:val="TableParagraph"/>
              <w:spacing w:before="1"/>
              <w:ind w:right="21"/>
              <w:jc w:val="right"/>
              <w:rPr>
                <w:sz w:val="18"/>
              </w:rPr>
            </w:pPr>
            <w:r>
              <w:rPr>
                <w:spacing w:val="-5"/>
                <w:sz w:val="18"/>
              </w:rPr>
              <w:t>120</w:t>
            </w:r>
          </w:p>
        </w:tc>
      </w:tr>
      <w:tr w:rsidR="00AC6F3C" w14:paraId="2C98D57A" w14:textId="77777777">
        <w:trPr>
          <w:trHeight w:val="735"/>
        </w:trPr>
        <w:tc>
          <w:tcPr>
            <w:tcW w:w="5485" w:type="dxa"/>
            <w:tcBorders>
              <w:left w:val="single" w:sz="6" w:space="0" w:color="000000"/>
              <w:bottom w:val="single" w:sz="6" w:space="0" w:color="000000"/>
            </w:tcBorders>
          </w:tcPr>
          <w:p w14:paraId="33558F82" w14:textId="77777777" w:rsidR="00AC6F3C" w:rsidRDefault="00AC6F3C">
            <w:pPr>
              <w:pStyle w:val="TableParagraph"/>
              <w:spacing w:before="8"/>
              <w:rPr>
                <w:sz w:val="16"/>
              </w:rPr>
            </w:pPr>
          </w:p>
          <w:p w14:paraId="746F3495" w14:textId="77777777" w:rsidR="00AC6F3C" w:rsidRDefault="00570E88">
            <w:pPr>
              <w:pStyle w:val="TableParagraph"/>
              <w:spacing w:before="1"/>
              <w:ind w:left="37"/>
              <w:rPr>
                <w:sz w:val="18"/>
              </w:rPr>
            </w:pPr>
            <w:r>
              <w:rPr>
                <w:sz w:val="18"/>
              </w:rPr>
              <w:t>Share</w:t>
            </w:r>
            <w:r>
              <w:rPr>
                <w:spacing w:val="1"/>
                <w:sz w:val="18"/>
              </w:rPr>
              <w:t xml:space="preserve"> </w:t>
            </w:r>
            <w:r>
              <w:rPr>
                <w:sz w:val="18"/>
              </w:rPr>
              <w:t>capital</w:t>
            </w:r>
            <w:r>
              <w:rPr>
                <w:spacing w:val="4"/>
                <w:sz w:val="18"/>
              </w:rPr>
              <w:t xml:space="preserve"> </w:t>
            </w:r>
            <w:r>
              <w:rPr>
                <w:spacing w:val="-2"/>
                <w:sz w:val="18"/>
              </w:rPr>
              <w:t>issued</w:t>
            </w:r>
          </w:p>
        </w:tc>
        <w:tc>
          <w:tcPr>
            <w:tcW w:w="1661" w:type="dxa"/>
            <w:tcBorders>
              <w:bottom w:val="single" w:sz="6" w:space="0" w:color="000000"/>
            </w:tcBorders>
            <w:shd w:val="clear" w:color="auto" w:fill="F1F1F1"/>
          </w:tcPr>
          <w:p w14:paraId="69412778" w14:textId="77777777" w:rsidR="00AC6F3C" w:rsidRDefault="00AC6F3C">
            <w:pPr>
              <w:pStyle w:val="TableParagraph"/>
              <w:spacing w:before="8"/>
              <w:rPr>
                <w:sz w:val="16"/>
              </w:rPr>
            </w:pPr>
          </w:p>
          <w:p w14:paraId="039423CE" w14:textId="77777777" w:rsidR="00AC6F3C" w:rsidRDefault="00570E88">
            <w:pPr>
              <w:pStyle w:val="TableParagraph"/>
              <w:spacing w:before="1"/>
              <w:ind w:right="35"/>
              <w:jc w:val="right"/>
              <w:rPr>
                <w:sz w:val="18"/>
              </w:rPr>
            </w:pPr>
            <w:r>
              <w:rPr>
                <w:w w:val="99"/>
                <w:sz w:val="18"/>
              </w:rPr>
              <w:t>-</w:t>
            </w:r>
          </w:p>
        </w:tc>
        <w:tc>
          <w:tcPr>
            <w:tcW w:w="1639" w:type="dxa"/>
            <w:tcBorders>
              <w:bottom w:val="single" w:sz="6" w:space="0" w:color="000000"/>
              <w:right w:val="single" w:sz="6" w:space="0" w:color="000000"/>
            </w:tcBorders>
          </w:tcPr>
          <w:p w14:paraId="652E36F4" w14:textId="77777777" w:rsidR="00AC6F3C" w:rsidRDefault="00AC6F3C">
            <w:pPr>
              <w:pStyle w:val="TableParagraph"/>
              <w:spacing w:before="8"/>
              <w:rPr>
                <w:sz w:val="16"/>
              </w:rPr>
            </w:pPr>
          </w:p>
          <w:p w14:paraId="38FF136C" w14:textId="77777777" w:rsidR="00AC6F3C" w:rsidRDefault="00570E88">
            <w:pPr>
              <w:pStyle w:val="TableParagraph"/>
              <w:spacing w:before="1"/>
              <w:ind w:right="20"/>
              <w:jc w:val="right"/>
              <w:rPr>
                <w:sz w:val="18"/>
              </w:rPr>
            </w:pPr>
            <w:r>
              <w:rPr>
                <w:w w:val="99"/>
                <w:sz w:val="18"/>
              </w:rPr>
              <w:t>-</w:t>
            </w:r>
          </w:p>
        </w:tc>
      </w:tr>
      <w:tr w:rsidR="00AC6F3C" w14:paraId="34A30AF5" w14:textId="77777777">
        <w:trPr>
          <w:trHeight w:val="284"/>
        </w:trPr>
        <w:tc>
          <w:tcPr>
            <w:tcW w:w="5485" w:type="dxa"/>
            <w:tcBorders>
              <w:top w:val="single" w:sz="6" w:space="0" w:color="000000"/>
              <w:left w:val="single" w:sz="6" w:space="0" w:color="000000"/>
              <w:bottom w:val="single" w:sz="6" w:space="0" w:color="000000"/>
            </w:tcBorders>
            <w:shd w:val="clear" w:color="auto" w:fill="BEBEBE"/>
          </w:tcPr>
          <w:p w14:paraId="7E42687B" w14:textId="77777777" w:rsidR="00AC6F3C" w:rsidRDefault="00570E88">
            <w:pPr>
              <w:pStyle w:val="TableParagraph"/>
              <w:spacing w:before="40"/>
              <w:ind w:left="37"/>
              <w:rPr>
                <w:b/>
                <w:sz w:val="18"/>
              </w:rPr>
            </w:pPr>
            <w:r>
              <w:rPr>
                <w:b/>
                <w:sz w:val="18"/>
              </w:rPr>
              <w:t>Balance</w:t>
            </w:r>
            <w:r>
              <w:rPr>
                <w:b/>
                <w:spacing w:val="-5"/>
                <w:sz w:val="18"/>
              </w:rPr>
              <w:t xml:space="preserve"> </w:t>
            </w:r>
            <w:r>
              <w:rPr>
                <w:b/>
                <w:sz w:val="18"/>
              </w:rPr>
              <w:t>at</w:t>
            </w:r>
            <w:r>
              <w:rPr>
                <w:b/>
                <w:spacing w:val="-9"/>
                <w:sz w:val="18"/>
              </w:rPr>
              <w:t xml:space="preserve"> </w:t>
            </w:r>
            <w:r>
              <w:rPr>
                <w:b/>
                <w:sz w:val="18"/>
              </w:rPr>
              <w:t>30</w:t>
            </w:r>
            <w:r>
              <w:rPr>
                <w:b/>
                <w:spacing w:val="-5"/>
                <w:sz w:val="18"/>
              </w:rPr>
              <w:t xml:space="preserve"> </w:t>
            </w:r>
            <w:r>
              <w:rPr>
                <w:b/>
                <w:spacing w:val="-4"/>
                <w:sz w:val="18"/>
              </w:rPr>
              <w:t>June</w:t>
            </w:r>
          </w:p>
        </w:tc>
        <w:tc>
          <w:tcPr>
            <w:tcW w:w="1661" w:type="dxa"/>
            <w:tcBorders>
              <w:top w:val="single" w:sz="6" w:space="0" w:color="000000"/>
              <w:bottom w:val="single" w:sz="6" w:space="0" w:color="000000"/>
            </w:tcBorders>
            <w:shd w:val="clear" w:color="auto" w:fill="BEBEBE"/>
          </w:tcPr>
          <w:p w14:paraId="54AF3B9B" w14:textId="77777777" w:rsidR="00AC6F3C" w:rsidRDefault="00570E88">
            <w:pPr>
              <w:pStyle w:val="TableParagraph"/>
              <w:spacing w:before="40"/>
              <w:ind w:right="35"/>
              <w:jc w:val="right"/>
              <w:rPr>
                <w:b/>
                <w:sz w:val="18"/>
              </w:rPr>
            </w:pPr>
            <w:r>
              <w:rPr>
                <w:b/>
                <w:spacing w:val="-5"/>
                <w:sz w:val="18"/>
              </w:rPr>
              <w:t>120</w:t>
            </w:r>
          </w:p>
        </w:tc>
        <w:tc>
          <w:tcPr>
            <w:tcW w:w="1639" w:type="dxa"/>
            <w:tcBorders>
              <w:top w:val="single" w:sz="6" w:space="0" w:color="000000"/>
              <w:bottom w:val="single" w:sz="6" w:space="0" w:color="000000"/>
              <w:right w:val="single" w:sz="6" w:space="0" w:color="000000"/>
            </w:tcBorders>
            <w:shd w:val="clear" w:color="auto" w:fill="BEBEBE"/>
          </w:tcPr>
          <w:p w14:paraId="618E8C23" w14:textId="77777777" w:rsidR="00AC6F3C" w:rsidRDefault="00570E88">
            <w:pPr>
              <w:pStyle w:val="TableParagraph"/>
              <w:spacing w:before="40"/>
              <w:ind w:right="21"/>
              <w:jc w:val="right"/>
              <w:rPr>
                <w:b/>
                <w:sz w:val="18"/>
              </w:rPr>
            </w:pPr>
            <w:r>
              <w:rPr>
                <w:b/>
                <w:spacing w:val="-5"/>
                <w:sz w:val="18"/>
              </w:rPr>
              <w:t>120</w:t>
            </w:r>
          </w:p>
        </w:tc>
      </w:tr>
      <w:tr w:rsidR="00AC6F3C" w14:paraId="105EA3F6" w14:textId="77777777">
        <w:trPr>
          <w:trHeight w:val="446"/>
        </w:trPr>
        <w:tc>
          <w:tcPr>
            <w:tcW w:w="5485" w:type="dxa"/>
            <w:tcBorders>
              <w:top w:val="single" w:sz="6" w:space="0" w:color="000000"/>
              <w:left w:val="single" w:sz="6" w:space="0" w:color="000000"/>
            </w:tcBorders>
          </w:tcPr>
          <w:p w14:paraId="6DE83696" w14:textId="77777777" w:rsidR="00AC6F3C" w:rsidRDefault="00570E88">
            <w:pPr>
              <w:pStyle w:val="TableParagraph"/>
              <w:spacing w:before="40"/>
              <w:ind w:left="37"/>
              <w:rPr>
                <w:b/>
                <w:sz w:val="18"/>
              </w:rPr>
            </w:pPr>
            <w:r>
              <w:rPr>
                <w:b/>
                <w:spacing w:val="-2"/>
                <w:sz w:val="18"/>
              </w:rPr>
              <w:t>Accumulated</w:t>
            </w:r>
            <w:r>
              <w:rPr>
                <w:b/>
                <w:spacing w:val="-9"/>
                <w:sz w:val="18"/>
              </w:rPr>
              <w:t xml:space="preserve"> </w:t>
            </w:r>
            <w:r>
              <w:rPr>
                <w:b/>
                <w:spacing w:val="-2"/>
                <w:sz w:val="18"/>
              </w:rPr>
              <w:t>Surplus</w:t>
            </w:r>
          </w:p>
        </w:tc>
        <w:tc>
          <w:tcPr>
            <w:tcW w:w="1661" w:type="dxa"/>
            <w:tcBorders>
              <w:top w:val="single" w:sz="6" w:space="0" w:color="000000"/>
            </w:tcBorders>
            <w:shd w:val="clear" w:color="auto" w:fill="F1F1F1"/>
          </w:tcPr>
          <w:p w14:paraId="008313AE" w14:textId="77777777" w:rsidR="00AC6F3C" w:rsidRDefault="00AC6F3C">
            <w:pPr>
              <w:pStyle w:val="TableParagraph"/>
              <w:rPr>
                <w:rFonts w:ascii="Times New Roman"/>
                <w:sz w:val="18"/>
              </w:rPr>
            </w:pPr>
          </w:p>
        </w:tc>
        <w:tc>
          <w:tcPr>
            <w:tcW w:w="1639" w:type="dxa"/>
            <w:tcBorders>
              <w:top w:val="single" w:sz="6" w:space="0" w:color="000000"/>
              <w:right w:val="single" w:sz="6" w:space="0" w:color="000000"/>
            </w:tcBorders>
          </w:tcPr>
          <w:p w14:paraId="3F969F00" w14:textId="77777777" w:rsidR="00AC6F3C" w:rsidRDefault="00AC6F3C">
            <w:pPr>
              <w:pStyle w:val="TableParagraph"/>
              <w:rPr>
                <w:rFonts w:ascii="Times New Roman"/>
                <w:sz w:val="18"/>
              </w:rPr>
            </w:pPr>
          </w:p>
        </w:tc>
      </w:tr>
      <w:tr w:rsidR="00AC6F3C" w14:paraId="28D1675F" w14:textId="77777777">
        <w:trPr>
          <w:trHeight w:val="598"/>
        </w:trPr>
        <w:tc>
          <w:tcPr>
            <w:tcW w:w="5485" w:type="dxa"/>
            <w:tcBorders>
              <w:left w:val="single" w:sz="6" w:space="0" w:color="000000"/>
            </w:tcBorders>
          </w:tcPr>
          <w:p w14:paraId="19C4D4F5" w14:textId="77777777" w:rsidR="00AC6F3C" w:rsidRDefault="00AC6F3C">
            <w:pPr>
              <w:pStyle w:val="TableParagraph"/>
              <w:spacing w:before="8"/>
              <w:rPr>
                <w:sz w:val="16"/>
              </w:rPr>
            </w:pPr>
          </w:p>
          <w:p w14:paraId="2F2A8483" w14:textId="77777777" w:rsidR="00AC6F3C" w:rsidRDefault="00570E88">
            <w:pPr>
              <w:pStyle w:val="TableParagraph"/>
              <w:spacing w:before="1"/>
              <w:ind w:left="37"/>
              <w:rPr>
                <w:b/>
                <w:sz w:val="18"/>
              </w:rPr>
            </w:pPr>
            <w:r>
              <w:rPr>
                <w:b/>
                <w:sz w:val="18"/>
              </w:rPr>
              <w:t>Balance</w:t>
            </w:r>
            <w:r>
              <w:rPr>
                <w:b/>
                <w:spacing w:val="-6"/>
                <w:sz w:val="18"/>
              </w:rPr>
              <w:t xml:space="preserve"> </w:t>
            </w:r>
            <w:r>
              <w:rPr>
                <w:b/>
                <w:sz w:val="18"/>
              </w:rPr>
              <w:t>at</w:t>
            </w:r>
            <w:r>
              <w:rPr>
                <w:b/>
                <w:spacing w:val="-10"/>
                <w:sz w:val="18"/>
              </w:rPr>
              <w:t xml:space="preserve"> </w:t>
            </w:r>
            <w:r>
              <w:rPr>
                <w:b/>
                <w:sz w:val="18"/>
              </w:rPr>
              <w:t>1</w:t>
            </w:r>
            <w:r>
              <w:rPr>
                <w:b/>
                <w:spacing w:val="-6"/>
                <w:sz w:val="18"/>
              </w:rPr>
              <w:t xml:space="preserve"> </w:t>
            </w:r>
            <w:r>
              <w:rPr>
                <w:b/>
                <w:spacing w:val="-4"/>
                <w:sz w:val="18"/>
              </w:rPr>
              <w:t>July</w:t>
            </w:r>
          </w:p>
        </w:tc>
        <w:tc>
          <w:tcPr>
            <w:tcW w:w="1661" w:type="dxa"/>
            <w:shd w:val="clear" w:color="auto" w:fill="F1F1F1"/>
          </w:tcPr>
          <w:p w14:paraId="0D2A5056" w14:textId="77777777" w:rsidR="00AC6F3C" w:rsidRDefault="00AC6F3C">
            <w:pPr>
              <w:pStyle w:val="TableParagraph"/>
              <w:spacing w:before="8"/>
              <w:rPr>
                <w:sz w:val="16"/>
              </w:rPr>
            </w:pPr>
          </w:p>
          <w:p w14:paraId="2B58B64E" w14:textId="77777777" w:rsidR="00AC6F3C" w:rsidRDefault="00570E88">
            <w:pPr>
              <w:pStyle w:val="TableParagraph"/>
              <w:spacing w:before="1"/>
              <w:ind w:right="35"/>
              <w:jc w:val="right"/>
              <w:rPr>
                <w:sz w:val="18"/>
              </w:rPr>
            </w:pPr>
            <w:r>
              <w:rPr>
                <w:w w:val="99"/>
                <w:sz w:val="18"/>
              </w:rPr>
              <w:t>-</w:t>
            </w:r>
          </w:p>
        </w:tc>
        <w:tc>
          <w:tcPr>
            <w:tcW w:w="1639" w:type="dxa"/>
            <w:tcBorders>
              <w:right w:val="single" w:sz="6" w:space="0" w:color="000000"/>
            </w:tcBorders>
          </w:tcPr>
          <w:p w14:paraId="0556979F" w14:textId="77777777" w:rsidR="00AC6F3C" w:rsidRDefault="00AC6F3C">
            <w:pPr>
              <w:pStyle w:val="TableParagraph"/>
              <w:spacing w:before="8"/>
              <w:rPr>
                <w:sz w:val="16"/>
              </w:rPr>
            </w:pPr>
          </w:p>
          <w:p w14:paraId="66035499" w14:textId="77777777" w:rsidR="00AC6F3C" w:rsidRDefault="00570E88">
            <w:pPr>
              <w:pStyle w:val="TableParagraph"/>
              <w:spacing w:before="1"/>
              <w:ind w:right="20"/>
              <w:jc w:val="right"/>
              <w:rPr>
                <w:b/>
                <w:sz w:val="18"/>
              </w:rPr>
            </w:pPr>
            <w:r>
              <w:rPr>
                <w:b/>
                <w:w w:val="99"/>
                <w:sz w:val="18"/>
              </w:rPr>
              <w:t>-</w:t>
            </w:r>
          </w:p>
        </w:tc>
      </w:tr>
      <w:tr w:rsidR="00AC6F3C" w14:paraId="2C84F5C9" w14:textId="77777777">
        <w:trPr>
          <w:trHeight w:val="735"/>
        </w:trPr>
        <w:tc>
          <w:tcPr>
            <w:tcW w:w="5485" w:type="dxa"/>
            <w:tcBorders>
              <w:left w:val="single" w:sz="6" w:space="0" w:color="000000"/>
              <w:bottom w:val="single" w:sz="6" w:space="0" w:color="000000"/>
            </w:tcBorders>
          </w:tcPr>
          <w:p w14:paraId="04776FAC" w14:textId="77777777" w:rsidR="00AC6F3C" w:rsidRDefault="00AC6F3C">
            <w:pPr>
              <w:pStyle w:val="TableParagraph"/>
              <w:spacing w:before="8"/>
              <w:rPr>
                <w:sz w:val="16"/>
              </w:rPr>
            </w:pPr>
          </w:p>
          <w:p w14:paraId="7503C9E3" w14:textId="77777777" w:rsidR="00AC6F3C" w:rsidRDefault="00570E88">
            <w:pPr>
              <w:pStyle w:val="TableParagraph"/>
              <w:spacing w:before="1"/>
              <w:ind w:left="37"/>
              <w:rPr>
                <w:sz w:val="18"/>
              </w:rPr>
            </w:pPr>
            <w:r>
              <w:rPr>
                <w:sz w:val="18"/>
              </w:rPr>
              <w:t>Total</w:t>
            </w:r>
            <w:r>
              <w:rPr>
                <w:spacing w:val="7"/>
                <w:sz w:val="18"/>
              </w:rPr>
              <w:t xml:space="preserve"> </w:t>
            </w:r>
            <w:r>
              <w:rPr>
                <w:sz w:val="18"/>
              </w:rPr>
              <w:t>comprehensive</w:t>
            </w:r>
            <w:r>
              <w:rPr>
                <w:spacing w:val="7"/>
                <w:sz w:val="18"/>
              </w:rPr>
              <w:t xml:space="preserve"> </w:t>
            </w:r>
            <w:r>
              <w:rPr>
                <w:sz w:val="18"/>
              </w:rPr>
              <w:t>income</w:t>
            </w:r>
            <w:r>
              <w:rPr>
                <w:spacing w:val="7"/>
                <w:sz w:val="18"/>
              </w:rPr>
              <w:t xml:space="preserve"> </w:t>
            </w:r>
            <w:r>
              <w:rPr>
                <w:sz w:val="18"/>
              </w:rPr>
              <w:t>for</w:t>
            </w:r>
            <w:r>
              <w:rPr>
                <w:spacing w:val="2"/>
                <w:sz w:val="18"/>
              </w:rPr>
              <w:t xml:space="preserve"> </w:t>
            </w:r>
            <w:r>
              <w:rPr>
                <w:sz w:val="18"/>
              </w:rPr>
              <w:t>the</w:t>
            </w:r>
            <w:r>
              <w:rPr>
                <w:spacing w:val="7"/>
                <w:sz w:val="18"/>
              </w:rPr>
              <w:t xml:space="preserve"> </w:t>
            </w:r>
            <w:r>
              <w:rPr>
                <w:spacing w:val="-4"/>
                <w:sz w:val="18"/>
              </w:rPr>
              <w:t>year</w:t>
            </w:r>
          </w:p>
        </w:tc>
        <w:tc>
          <w:tcPr>
            <w:tcW w:w="1661" w:type="dxa"/>
            <w:tcBorders>
              <w:bottom w:val="single" w:sz="6" w:space="0" w:color="000000"/>
            </w:tcBorders>
            <w:shd w:val="clear" w:color="auto" w:fill="F1F1F1"/>
          </w:tcPr>
          <w:p w14:paraId="2D64F058" w14:textId="77777777" w:rsidR="00AC6F3C" w:rsidRDefault="00AC6F3C">
            <w:pPr>
              <w:pStyle w:val="TableParagraph"/>
              <w:spacing w:before="8"/>
              <w:rPr>
                <w:sz w:val="16"/>
              </w:rPr>
            </w:pPr>
          </w:p>
          <w:p w14:paraId="14652295" w14:textId="77777777" w:rsidR="00AC6F3C" w:rsidRDefault="00570E88">
            <w:pPr>
              <w:pStyle w:val="TableParagraph"/>
              <w:spacing w:before="1"/>
              <w:ind w:right="35"/>
              <w:jc w:val="right"/>
              <w:rPr>
                <w:sz w:val="18"/>
              </w:rPr>
            </w:pPr>
            <w:r>
              <w:rPr>
                <w:w w:val="99"/>
                <w:sz w:val="18"/>
              </w:rPr>
              <w:t>-</w:t>
            </w:r>
          </w:p>
        </w:tc>
        <w:tc>
          <w:tcPr>
            <w:tcW w:w="1639" w:type="dxa"/>
            <w:tcBorders>
              <w:bottom w:val="single" w:sz="6" w:space="0" w:color="000000"/>
              <w:right w:val="single" w:sz="6" w:space="0" w:color="000000"/>
            </w:tcBorders>
          </w:tcPr>
          <w:p w14:paraId="06EC73F7" w14:textId="77777777" w:rsidR="00AC6F3C" w:rsidRDefault="00AC6F3C">
            <w:pPr>
              <w:pStyle w:val="TableParagraph"/>
              <w:spacing w:before="8"/>
              <w:rPr>
                <w:sz w:val="16"/>
              </w:rPr>
            </w:pPr>
          </w:p>
          <w:p w14:paraId="3829894C" w14:textId="77777777" w:rsidR="00AC6F3C" w:rsidRDefault="00570E88">
            <w:pPr>
              <w:pStyle w:val="TableParagraph"/>
              <w:spacing w:before="1"/>
              <w:ind w:right="20"/>
              <w:jc w:val="right"/>
              <w:rPr>
                <w:sz w:val="18"/>
              </w:rPr>
            </w:pPr>
            <w:r>
              <w:rPr>
                <w:w w:val="99"/>
                <w:sz w:val="18"/>
              </w:rPr>
              <w:t>-</w:t>
            </w:r>
          </w:p>
        </w:tc>
      </w:tr>
      <w:tr w:rsidR="00AC6F3C" w14:paraId="6C996639" w14:textId="77777777">
        <w:trPr>
          <w:trHeight w:val="284"/>
        </w:trPr>
        <w:tc>
          <w:tcPr>
            <w:tcW w:w="5485" w:type="dxa"/>
            <w:tcBorders>
              <w:top w:val="single" w:sz="6" w:space="0" w:color="000000"/>
              <w:left w:val="single" w:sz="6" w:space="0" w:color="000000"/>
              <w:bottom w:val="single" w:sz="6" w:space="0" w:color="000000"/>
            </w:tcBorders>
            <w:shd w:val="clear" w:color="auto" w:fill="BEBEBE"/>
          </w:tcPr>
          <w:p w14:paraId="03D5FD4F" w14:textId="77777777" w:rsidR="00AC6F3C" w:rsidRDefault="00570E88">
            <w:pPr>
              <w:pStyle w:val="TableParagraph"/>
              <w:spacing w:before="40"/>
              <w:ind w:left="37"/>
              <w:rPr>
                <w:b/>
                <w:sz w:val="18"/>
              </w:rPr>
            </w:pPr>
            <w:r>
              <w:rPr>
                <w:b/>
                <w:sz w:val="18"/>
              </w:rPr>
              <w:t>Balance</w:t>
            </w:r>
            <w:r>
              <w:rPr>
                <w:b/>
                <w:spacing w:val="-5"/>
                <w:sz w:val="18"/>
              </w:rPr>
              <w:t xml:space="preserve"> </w:t>
            </w:r>
            <w:r>
              <w:rPr>
                <w:b/>
                <w:sz w:val="18"/>
              </w:rPr>
              <w:t>at</w:t>
            </w:r>
            <w:r>
              <w:rPr>
                <w:b/>
                <w:spacing w:val="-9"/>
                <w:sz w:val="18"/>
              </w:rPr>
              <w:t xml:space="preserve"> </w:t>
            </w:r>
            <w:r>
              <w:rPr>
                <w:b/>
                <w:sz w:val="18"/>
              </w:rPr>
              <w:t>30</w:t>
            </w:r>
            <w:r>
              <w:rPr>
                <w:b/>
                <w:spacing w:val="-5"/>
                <w:sz w:val="18"/>
              </w:rPr>
              <w:t xml:space="preserve"> </w:t>
            </w:r>
            <w:r>
              <w:rPr>
                <w:b/>
                <w:spacing w:val="-4"/>
                <w:sz w:val="18"/>
              </w:rPr>
              <w:t>June</w:t>
            </w:r>
          </w:p>
        </w:tc>
        <w:tc>
          <w:tcPr>
            <w:tcW w:w="1661" w:type="dxa"/>
            <w:tcBorders>
              <w:top w:val="single" w:sz="6" w:space="0" w:color="000000"/>
              <w:bottom w:val="single" w:sz="6" w:space="0" w:color="000000"/>
            </w:tcBorders>
            <w:shd w:val="clear" w:color="auto" w:fill="BEBEBE"/>
          </w:tcPr>
          <w:p w14:paraId="436378A5" w14:textId="77777777" w:rsidR="00AC6F3C" w:rsidRDefault="00570E88">
            <w:pPr>
              <w:pStyle w:val="TableParagraph"/>
              <w:spacing w:before="40"/>
              <w:ind w:right="35"/>
              <w:jc w:val="right"/>
              <w:rPr>
                <w:b/>
                <w:sz w:val="18"/>
              </w:rPr>
            </w:pPr>
            <w:r>
              <w:rPr>
                <w:b/>
                <w:w w:val="99"/>
                <w:sz w:val="18"/>
              </w:rPr>
              <w:t>-</w:t>
            </w:r>
          </w:p>
        </w:tc>
        <w:tc>
          <w:tcPr>
            <w:tcW w:w="1639" w:type="dxa"/>
            <w:tcBorders>
              <w:top w:val="single" w:sz="6" w:space="0" w:color="000000"/>
              <w:bottom w:val="single" w:sz="6" w:space="0" w:color="000000"/>
              <w:right w:val="single" w:sz="6" w:space="0" w:color="000000"/>
            </w:tcBorders>
            <w:shd w:val="clear" w:color="auto" w:fill="BEBEBE"/>
          </w:tcPr>
          <w:p w14:paraId="5A182D94" w14:textId="77777777" w:rsidR="00AC6F3C" w:rsidRDefault="00570E88">
            <w:pPr>
              <w:pStyle w:val="TableParagraph"/>
              <w:spacing w:before="40"/>
              <w:ind w:right="20"/>
              <w:jc w:val="right"/>
              <w:rPr>
                <w:b/>
                <w:sz w:val="18"/>
              </w:rPr>
            </w:pPr>
            <w:r>
              <w:rPr>
                <w:b/>
                <w:w w:val="99"/>
                <w:sz w:val="18"/>
              </w:rPr>
              <w:t>-</w:t>
            </w:r>
          </w:p>
        </w:tc>
      </w:tr>
    </w:tbl>
    <w:p w14:paraId="53F38248" w14:textId="77777777" w:rsidR="00AC6F3C" w:rsidRDefault="00AC6F3C">
      <w:pPr>
        <w:pStyle w:val="BodyText"/>
      </w:pPr>
    </w:p>
    <w:p w14:paraId="3FD9DB73" w14:textId="77777777" w:rsidR="00AC6F3C" w:rsidRDefault="00AC6F3C">
      <w:pPr>
        <w:pStyle w:val="BodyText"/>
      </w:pPr>
    </w:p>
    <w:p w14:paraId="23C495B5" w14:textId="77777777" w:rsidR="00AC6F3C" w:rsidRDefault="00AC6F3C">
      <w:pPr>
        <w:pStyle w:val="BodyText"/>
      </w:pPr>
    </w:p>
    <w:p w14:paraId="47B00CCE" w14:textId="77777777" w:rsidR="00AC6F3C" w:rsidRDefault="00AC6F3C">
      <w:pPr>
        <w:pStyle w:val="BodyText"/>
      </w:pPr>
    </w:p>
    <w:p w14:paraId="47E822B0" w14:textId="77777777" w:rsidR="00AC6F3C" w:rsidRDefault="00AC6F3C">
      <w:pPr>
        <w:pStyle w:val="BodyText"/>
      </w:pPr>
    </w:p>
    <w:p w14:paraId="2F878A56" w14:textId="77777777" w:rsidR="00AC6F3C" w:rsidRDefault="00AC6F3C">
      <w:pPr>
        <w:pStyle w:val="BodyText"/>
      </w:pPr>
    </w:p>
    <w:p w14:paraId="7DD2DB42" w14:textId="77777777" w:rsidR="00AC6F3C" w:rsidRDefault="00AC6F3C">
      <w:pPr>
        <w:pStyle w:val="BodyText"/>
      </w:pPr>
    </w:p>
    <w:p w14:paraId="1D3260E6" w14:textId="77777777" w:rsidR="00AC6F3C" w:rsidRDefault="00AC6F3C">
      <w:pPr>
        <w:pStyle w:val="BodyText"/>
      </w:pPr>
    </w:p>
    <w:p w14:paraId="30BC1D04" w14:textId="77777777" w:rsidR="00AC6F3C" w:rsidRDefault="00AC6F3C">
      <w:pPr>
        <w:pStyle w:val="BodyText"/>
      </w:pPr>
    </w:p>
    <w:p w14:paraId="3BB1E48A" w14:textId="77777777" w:rsidR="00AC6F3C" w:rsidRDefault="00AC6F3C">
      <w:pPr>
        <w:pStyle w:val="BodyText"/>
      </w:pPr>
    </w:p>
    <w:p w14:paraId="329963EA" w14:textId="77777777" w:rsidR="00AC6F3C" w:rsidRDefault="00AC6F3C">
      <w:pPr>
        <w:pStyle w:val="BodyText"/>
      </w:pPr>
    </w:p>
    <w:p w14:paraId="419AE36C" w14:textId="77777777" w:rsidR="00AC6F3C" w:rsidRDefault="00AC6F3C">
      <w:pPr>
        <w:pStyle w:val="BodyText"/>
      </w:pPr>
    </w:p>
    <w:p w14:paraId="6E1370C9" w14:textId="77777777" w:rsidR="00AC6F3C" w:rsidRDefault="00AC6F3C">
      <w:pPr>
        <w:pStyle w:val="BodyText"/>
      </w:pPr>
    </w:p>
    <w:p w14:paraId="7ADAC4F4" w14:textId="77777777" w:rsidR="00AC6F3C" w:rsidRDefault="00AC6F3C">
      <w:pPr>
        <w:pStyle w:val="BodyText"/>
      </w:pPr>
    </w:p>
    <w:p w14:paraId="35C2C13F" w14:textId="77777777" w:rsidR="00AC6F3C" w:rsidRDefault="00AC6F3C">
      <w:pPr>
        <w:pStyle w:val="BodyText"/>
      </w:pPr>
    </w:p>
    <w:p w14:paraId="0B7C6A6D" w14:textId="77777777" w:rsidR="00AC6F3C" w:rsidRDefault="00AC6F3C">
      <w:pPr>
        <w:pStyle w:val="BodyText"/>
      </w:pPr>
    </w:p>
    <w:p w14:paraId="3F0B9796" w14:textId="77777777" w:rsidR="00AC6F3C" w:rsidRDefault="00AC6F3C">
      <w:pPr>
        <w:pStyle w:val="BodyText"/>
      </w:pPr>
    </w:p>
    <w:p w14:paraId="3AC333FA" w14:textId="77777777" w:rsidR="00AC6F3C" w:rsidRDefault="00AC6F3C">
      <w:pPr>
        <w:pStyle w:val="BodyText"/>
      </w:pPr>
    </w:p>
    <w:p w14:paraId="6DADD988" w14:textId="77777777" w:rsidR="00AC6F3C" w:rsidRDefault="00AC6F3C">
      <w:pPr>
        <w:pStyle w:val="BodyText"/>
      </w:pPr>
    </w:p>
    <w:p w14:paraId="417F1CD5" w14:textId="77777777" w:rsidR="00AC6F3C" w:rsidRDefault="00AC6F3C">
      <w:pPr>
        <w:pStyle w:val="BodyText"/>
      </w:pPr>
    </w:p>
    <w:p w14:paraId="4481FCE8" w14:textId="77777777" w:rsidR="00AC6F3C" w:rsidRDefault="00AC6F3C">
      <w:pPr>
        <w:pStyle w:val="BodyText"/>
      </w:pPr>
    </w:p>
    <w:p w14:paraId="49D02ED7" w14:textId="77777777" w:rsidR="00AC6F3C" w:rsidRDefault="00AC6F3C">
      <w:pPr>
        <w:pStyle w:val="BodyText"/>
      </w:pPr>
    </w:p>
    <w:p w14:paraId="52A1D0C9" w14:textId="77777777" w:rsidR="00AC6F3C" w:rsidRDefault="00AC6F3C">
      <w:pPr>
        <w:pStyle w:val="BodyText"/>
      </w:pPr>
    </w:p>
    <w:p w14:paraId="24D39154" w14:textId="77777777" w:rsidR="00AC6F3C" w:rsidRDefault="00AC6F3C">
      <w:pPr>
        <w:pStyle w:val="BodyText"/>
      </w:pPr>
    </w:p>
    <w:p w14:paraId="637B02FA" w14:textId="77777777" w:rsidR="00AC6F3C" w:rsidRDefault="00AC6F3C">
      <w:pPr>
        <w:pStyle w:val="BodyText"/>
      </w:pPr>
    </w:p>
    <w:p w14:paraId="012E2B42" w14:textId="77777777" w:rsidR="00AC6F3C" w:rsidRDefault="00AC6F3C">
      <w:pPr>
        <w:pStyle w:val="BodyText"/>
      </w:pPr>
    </w:p>
    <w:p w14:paraId="633E2ECF" w14:textId="77777777" w:rsidR="00AC6F3C" w:rsidRDefault="00AC6F3C">
      <w:pPr>
        <w:pStyle w:val="BodyText"/>
      </w:pPr>
    </w:p>
    <w:p w14:paraId="63969F01" w14:textId="77777777" w:rsidR="00AC6F3C" w:rsidRDefault="00AC6F3C">
      <w:pPr>
        <w:pStyle w:val="BodyText"/>
      </w:pPr>
    </w:p>
    <w:p w14:paraId="245ECC92" w14:textId="77777777" w:rsidR="00AC6F3C" w:rsidRDefault="00AC6F3C">
      <w:pPr>
        <w:pStyle w:val="BodyText"/>
      </w:pPr>
    </w:p>
    <w:p w14:paraId="63DAC365" w14:textId="77777777" w:rsidR="00AC6F3C" w:rsidRDefault="00AC6F3C">
      <w:pPr>
        <w:pStyle w:val="BodyText"/>
      </w:pPr>
    </w:p>
    <w:p w14:paraId="5A86E909" w14:textId="77777777" w:rsidR="00AC6F3C" w:rsidRDefault="00AC6F3C">
      <w:pPr>
        <w:pStyle w:val="BodyText"/>
        <w:spacing w:before="6"/>
        <w:rPr>
          <w:sz w:val="22"/>
        </w:rPr>
      </w:pPr>
    </w:p>
    <w:p w14:paraId="04A6D4F7" w14:textId="77777777" w:rsidR="00AC6F3C" w:rsidRDefault="00570E88">
      <w:pPr>
        <w:spacing w:before="1"/>
        <w:ind w:left="931"/>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0F44C147" w14:textId="77777777" w:rsidR="00AC6F3C" w:rsidRDefault="00AC6F3C">
      <w:pPr>
        <w:rPr>
          <w:sz w:val="18"/>
        </w:rPr>
        <w:sectPr w:rsidR="00AC6F3C">
          <w:pgSz w:w="11910" w:h="16840"/>
          <w:pgMar w:top="1520" w:right="1160" w:bottom="520" w:left="460" w:header="1250" w:footer="336" w:gutter="0"/>
          <w:cols w:space="720"/>
        </w:sectPr>
      </w:pPr>
    </w:p>
    <w:p w14:paraId="5BB78773" w14:textId="77777777" w:rsidR="00AC6F3C" w:rsidRDefault="00570E88">
      <w:pPr>
        <w:ind w:left="979"/>
      </w:pPr>
      <w:r>
        <w:lastRenderedPageBreak/>
        <w:t>Statement</w:t>
      </w:r>
      <w:r>
        <w:rPr>
          <w:spacing w:val="-6"/>
        </w:rPr>
        <w:t xml:space="preserve"> </w:t>
      </w:r>
      <w:r>
        <w:t>of</w:t>
      </w:r>
      <w:r>
        <w:rPr>
          <w:spacing w:val="-3"/>
        </w:rPr>
        <w:t xml:space="preserve"> </w:t>
      </w:r>
      <w:r>
        <w:t>Cash</w:t>
      </w:r>
      <w:r>
        <w:rPr>
          <w:spacing w:val="-4"/>
        </w:rPr>
        <w:t xml:space="preserve"> </w:t>
      </w:r>
      <w:r>
        <w:t>Flows</w:t>
      </w:r>
      <w:r>
        <w:rPr>
          <w:spacing w:val="-2"/>
        </w:rPr>
        <w:t xml:space="preserve"> </w:t>
      </w:r>
      <w:r>
        <w:t>for</w:t>
      </w:r>
      <w:r>
        <w:rPr>
          <w:spacing w:val="-5"/>
        </w:rPr>
        <w:t xml:space="preserve"> </w:t>
      </w:r>
      <w:r>
        <w:t>the</w:t>
      </w:r>
      <w:r>
        <w:rPr>
          <w:spacing w:val="-3"/>
        </w:rPr>
        <w:t xml:space="preserve"> </w:t>
      </w:r>
      <w:r>
        <w:t>year</w:t>
      </w:r>
      <w:r>
        <w:rPr>
          <w:spacing w:val="-4"/>
        </w:rPr>
        <w:t xml:space="preserve"> </w:t>
      </w:r>
      <w:r>
        <w:t>ended</w:t>
      </w:r>
      <w:r>
        <w:rPr>
          <w:spacing w:val="-4"/>
        </w:rPr>
        <w:t xml:space="preserve"> </w:t>
      </w:r>
      <w:r>
        <w:t>30</w:t>
      </w:r>
      <w:r>
        <w:rPr>
          <w:spacing w:val="-5"/>
        </w:rPr>
        <w:t xml:space="preserve"> </w:t>
      </w:r>
      <w:r>
        <w:t>June</w:t>
      </w:r>
      <w:r>
        <w:rPr>
          <w:spacing w:val="-3"/>
        </w:rPr>
        <w:t xml:space="preserve"> </w:t>
      </w:r>
      <w:r>
        <w:rPr>
          <w:spacing w:val="-4"/>
        </w:rPr>
        <w:t>2023</w:t>
      </w:r>
    </w:p>
    <w:p w14:paraId="2AD42BA2" w14:textId="77777777" w:rsidR="00AC6F3C" w:rsidRDefault="00570E88">
      <w:pPr>
        <w:pStyle w:val="BodyText"/>
        <w:spacing w:before="8"/>
        <w:rPr>
          <w:sz w:val="18"/>
        </w:rPr>
      </w:pPr>
      <w:r>
        <w:rPr>
          <w:noProof/>
        </w:rPr>
        <mc:AlternateContent>
          <mc:Choice Requires="wps">
            <w:drawing>
              <wp:anchor distT="0" distB="0" distL="0" distR="0" simplePos="0" relativeHeight="487708160" behindDoc="1" locked="0" layoutInCell="1" allowOverlap="1" wp14:anchorId="7FBBCB44" wp14:editId="6271E471">
                <wp:simplePos x="0" y="0"/>
                <wp:positionH relativeFrom="page">
                  <wp:posOffset>896045</wp:posOffset>
                </wp:positionH>
                <wp:positionV relativeFrom="paragraph">
                  <wp:posOffset>151894</wp:posOffset>
                </wp:positionV>
                <wp:extent cx="5768340" cy="6350"/>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5604A" id="Graphic 855" o:spid="_x0000_s1026" style="position:absolute;margin-left:70.55pt;margin-top:11.95pt;width:454.2pt;height:.5pt;z-index:-1560832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" path="m5767909,6094l,6094,,,5767909,r,6094xe" fillcolor="black" stroked="f">
                <v:path arrowok="t"/>
                <w10:wrap type="topAndBottom" anchorx="page"/>
              </v:shape>
            </w:pict>
          </mc:Fallback>
        </mc:AlternateContent>
      </w:r>
    </w:p>
    <w:p w14:paraId="289AAC10" w14:textId="77777777" w:rsidR="00AC6F3C" w:rsidRDefault="00AC6F3C">
      <w:pPr>
        <w:pStyle w:val="BodyText"/>
      </w:pPr>
    </w:p>
    <w:p w14:paraId="50C79CDB" w14:textId="77777777" w:rsidR="00AC6F3C" w:rsidRDefault="00AC6F3C">
      <w:pPr>
        <w:pStyle w:val="BodyText"/>
        <w:spacing w:before="8"/>
        <w:rPr>
          <w:sz w:val="21"/>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70"/>
        <w:gridCol w:w="1215"/>
        <w:gridCol w:w="1078"/>
        <w:gridCol w:w="1056"/>
      </w:tblGrid>
      <w:tr w:rsidR="00AC6F3C" w14:paraId="3C0AEE75" w14:textId="77777777">
        <w:trPr>
          <w:trHeight w:val="1076"/>
        </w:trPr>
        <w:tc>
          <w:tcPr>
            <w:tcW w:w="8819" w:type="dxa"/>
            <w:gridSpan w:val="4"/>
            <w:shd w:val="clear" w:color="auto" w:fill="BEBEBE"/>
          </w:tcPr>
          <w:p w14:paraId="14D95C7F" w14:textId="77777777" w:rsidR="00AC6F3C" w:rsidRDefault="00570E88">
            <w:pPr>
              <w:pStyle w:val="TableParagraph"/>
              <w:tabs>
                <w:tab w:val="left" w:pos="1063"/>
              </w:tabs>
              <w:spacing w:before="40"/>
              <w:ind w:right="20"/>
              <w:jc w:val="right"/>
              <w:rPr>
                <w:b/>
                <w:sz w:val="18"/>
              </w:rPr>
            </w:pPr>
            <w:r>
              <w:rPr>
                <w:b/>
                <w:spacing w:val="-4"/>
                <w:sz w:val="18"/>
              </w:rPr>
              <w:t>2023</w:t>
            </w:r>
            <w:r>
              <w:rPr>
                <w:b/>
                <w:sz w:val="18"/>
              </w:rPr>
              <w:tab/>
            </w:r>
            <w:r>
              <w:rPr>
                <w:b/>
                <w:spacing w:val="-4"/>
                <w:sz w:val="18"/>
              </w:rPr>
              <w:t>2022</w:t>
            </w:r>
          </w:p>
          <w:p w14:paraId="71BE2CEE" w14:textId="77777777" w:rsidR="00AC6F3C" w:rsidRDefault="00570E88">
            <w:pPr>
              <w:pStyle w:val="TableParagraph"/>
              <w:tabs>
                <w:tab w:val="left" w:pos="1063"/>
              </w:tabs>
              <w:spacing w:before="92"/>
              <w:ind w:right="24"/>
              <w:jc w:val="right"/>
              <w:rPr>
                <w:b/>
                <w:sz w:val="18"/>
              </w:rPr>
            </w:pPr>
            <w:r>
              <w:rPr>
                <w:b/>
                <w:spacing w:val="-10"/>
                <w:sz w:val="18"/>
              </w:rPr>
              <w:t>$</w:t>
            </w:r>
            <w:r>
              <w:rPr>
                <w:b/>
                <w:sz w:val="18"/>
              </w:rPr>
              <w:tab/>
            </w:r>
            <w:r>
              <w:rPr>
                <w:b/>
                <w:spacing w:val="-10"/>
                <w:sz w:val="18"/>
              </w:rPr>
              <w:t>$</w:t>
            </w:r>
          </w:p>
          <w:p w14:paraId="27CE9A87" w14:textId="77777777" w:rsidR="00AC6F3C" w:rsidRDefault="00570E88">
            <w:pPr>
              <w:pStyle w:val="TableParagraph"/>
              <w:tabs>
                <w:tab w:val="left" w:pos="7089"/>
                <w:tab w:val="left" w:pos="7943"/>
                <w:tab w:val="left" w:pos="8153"/>
              </w:tabs>
              <w:spacing w:before="14" w:line="240" w:lineRule="atLeast"/>
              <w:ind w:left="6880" w:right="15" w:hanging="1019"/>
              <w:jc w:val="right"/>
              <w:rPr>
                <w:sz w:val="18"/>
              </w:rPr>
            </w:pPr>
            <w:r>
              <w:rPr>
                <w:b/>
                <w:spacing w:val="-2"/>
                <w:position w:val="1"/>
                <w:sz w:val="18"/>
              </w:rPr>
              <w:t>NOTES</w:t>
            </w:r>
            <w:r>
              <w:rPr>
                <w:b/>
                <w:position w:val="1"/>
                <w:sz w:val="18"/>
              </w:rPr>
              <w:tab/>
            </w:r>
            <w:r>
              <w:rPr>
                <w:b/>
                <w:position w:val="1"/>
                <w:sz w:val="18"/>
              </w:rPr>
              <w:tab/>
            </w:r>
            <w:r>
              <w:rPr>
                <w:spacing w:val="-2"/>
                <w:sz w:val="18"/>
              </w:rPr>
              <w:t>Inflows/</w:t>
            </w:r>
            <w:r>
              <w:rPr>
                <w:sz w:val="18"/>
              </w:rPr>
              <w:tab/>
            </w:r>
            <w:r>
              <w:rPr>
                <w:sz w:val="18"/>
              </w:rPr>
              <w:tab/>
            </w:r>
            <w:r>
              <w:rPr>
                <w:spacing w:val="-2"/>
                <w:sz w:val="18"/>
              </w:rPr>
              <w:t>Inflows/ (Outflows)</w:t>
            </w:r>
            <w:r>
              <w:rPr>
                <w:sz w:val="18"/>
              </w:rPr>
              <w:tab/>
            </w:r>
            <w:r>
              <w:rPr>
                <w:spacing w:val="-2"/>
                <w:sz w:val="18"/>
              </w:rPr>
              <w:t>(Outflows)</w:t>
            </w:r>
          </w:p>
        </w:tc>
      </w:tr>
      <w:tr w:rsidR="00AC6F3C" w14:paraId="218798EA" w14:textId="77777777">
        <w:trPr>
          <w:trHeight w:val="296"/>
        </w:trPr>
        <w:tc>
          <w:tcPr>
            <w:tcW w:w="6685" w:type="dxa"/>
            <w:gridSpan w:val="2"/>
            <w:tcBorders>
              <w:bottom w:val="nil"/>
              <w:right w:val="nil"/>
            </w:tcBorders>
          </w:tcPr>
          <w:p w14:paraId="0A6AC7F0" w14:textId="77777777" w:rsidR="00AC6F3C" w:rsidRDefault="00570E88">
            <w:pPr>
              <w:pStyle w:val="TableParagraph"/>
              <w:spacing w:before="40"/>
              <w:ind w:left="37"/>
              <w:rPr>
                <w:b/>
                <w:sz w:val="18"/>
              </w:rPr>
            </w:pPr>
            <w:r>
              <w:rPr>
                <w:b/>
                <w:spacing w:val="-2"/>
                <w:sz w:val="18"/>
              </w:rPr>
              <w:t>Cash</w:t>
            </w:r>
            <w:r>
              <w:rPr>
                <w:b/>
                <w:spacing w:val="-9"/>
                <w:sz w:val="18"/>
              </w:rPr>
              <w:t xml:space="preserve"> </w:t>
            </w:r>
            <w:r>
              <w:rPr>
                <w:b/>
                <w:spacing w:val="-2"/>
                <w:sz w:val="18"/>
              </w:rPr>
              <w:t>flows</w:t>
            </w:r>
            <w:r>
              <w:rPr>
                <w:b/>
                <w:spacing w:val="2"/>
                <w:sz w:val="18"/>
              </w:rPr>
              <w:t xml:space="preserve"> </w:t>
            </w:r>
            <w:r>
              <w:rPr>
                <w:b/>
                <w:spacing w:val="-2"/>
                <w:sz w:val="18"/>
              </w:rPr>
              <w:t>from</w:t>
            </w:r>
            <w:r>
              <w:rPr>
                <w:b/>
                <w:spacing w:val="2"/>
                <w:sz w:val="18"/>
              </w:rPr>
              <w:t xml:space="preserve"> </w:t>
            </w:r>
            <w:r>
              <w:rPr>
                <w:b/>
                <w:spacing w:val="-2"/>
                <w:sz w:val="18"/>
              </w:rPr>
              <w:t>operating</w:t>
            </w:r>
            <w:r>
              <w:rPr>
                <w:b/>
                <w:spacing w:val="-9"/>
                <w:sz w:val="18"/>
              </w:rPr>
              <w:t xml:space="preserve"> </w:t>
            </w:r>
            <w:r>
              <w:rPr>
                <w:b/>
                <w:spacing w:val="-2"/>
                <w:sz w:val="18"/>
              </w:rPr>
              <w:t>activities</w:t>
            </w:r>
          </w:p>
        </w:tc>
        <w:tc>
          <w:tcPr>
            <w:tcW w:w="1078" w:type="dxa"/>
            <w:tcBorders>
              <w:left w:val="nil"/>
              <w:bottom w:val="nil"/>
              <w:right w:val="nil"/>
            </w:tcBorders>
            <w:shd w:val="clear" w:color="auto" w:fill="F1F1F1"/>
          </w:tcPr>
          <w:p w14:paraId="3D84F5F7" w14:textId="77777777" w:rsidR="00AC6F3C" w:rsidRDefault="00AC6F3C">
            <w:pPr>
              <w:pStyle w:val="TableParagraph"/>
              <w:rPr>
                <w:rFonts w:ascii="Times New Roman"/>
                <w:sz w:val="18"/>
              </w:rPr>
            </w:pPr>
          </w:p>
        </w:tc>
        <w:tc>
          <w:tcPr>
            <w:tcW w:w="1056" w:type="dxa"/>
            <w:tcBorders>
              <w:left w:val="nil"/>
              <w:bottom w:val="nil"/>
            </w:tcBorders>
          </w:tcPr>
          <w:p w14:paraId="30DCCBEA" w14:textId="77777777" w:rsidR="00AC6F3C" w:rsidRDefault="00AC6F3C">
            <w:pPr>
              <w:pStyle w:val="TableParagraph"/>
              <w:rPr>
                <w:rFonts w:ascii="Times New Roman"/>
                <w:sz w:val="18"/>
              </w:rPr>
            </w:pPr>
          </w:p>
        </w:tc>
      </w:tr>
      <w:tr w:rsidR="00AC6F3C" w14:paraId="3B0E269E" w14:textId="77777777">
        <w:trPr>
          <w:trHeight w:val="299"/>
        </w:trPr>
        <w:tc>
          <w:tcPr>
            <w:tcW w:w="6685" w:type="dxa"/>
            <w:gridSpan w:val="2"/>
            <w:tcBorders>
              <w:top w:val="nil"/>
              <w:bottom w:val="nil"/>
              <w:right w:val="nil"/>
            </w:tcBorders>
          </w:tcPr>
          <w:p w14:paraId="6A0218BB" w14:textId="77777777" w:rsidR="00AC6F3C" w:rsidRDefault="00570E88">
            <w:pPr>
              <w:pStyle w:val="TableParagraph"/>
              <w:spacing w:before="43"/>
              <w:ind w:left="37"/>
              <w:rPr>
                <w:sz w:val="18"/>
              </w:rPr>
            </w:pPr>
            <w:r>
              <w:rPr>
                <w:sz w:val="18"/>
              </w:rPr>
              <w:t>Grant</w:t>
            </w:r>
            <w:r>
              <w:rPr>
                <w:spacing w:val="-13"/>
                <w:sz w:val="18"/>
              </w:rPr>
              <w:t xml:space="preserve"> </w:t>
            </w:r>
            <w:r>
              <w:rPr>
                <w:spacing w:val="-2"/>
                <w:sz w:val="18"/>
              </w:rPr>
              <w:t>funding</w:t>
            </w:r>
          </w:p>
        </w:tc>
        <w:tc>
          <w:tcPr>
            <w:tcW w:w="1078" w:type="dxa"/>
            <w:tcBorders>
              <w:top w:val="nil"/>
              <w:left w:val="nil"/>
              <w:bottom w:val="nil"/>
              <w:right w:val="nil"/>
            </w:tcBorders>
            <w:shd w:val="clear" w:color="auto" w:fill="F1F1F1"/>
          </w:tcPr>
          <w:p w14:paraId="6D7BA1F6" w14:textId="77777777" w:rsidR="00AC6F3C" w:rsidRDefault="00570E88">
            <w:pPr>
              <w:pStyle w:val="TableParagraph"/>
              <w:spacing w:before="43"/>
              <w:ind w:right="34"/>
              <w:jc w:val="right"/>
              <w:rPr>
                <w:sz w:val="18"/>
              </w:rPr>
            </w:pPr>
            <w:r>
              <w:rPr>
                <w:spacing w:val="-2"/>
                <w:sz w:val="18"/>
              </w:rPr>
              <w:t>1,433,017</w:t>
            </w:r>
          </w:p>
        </w:tc>
        <w:tc>
          <w:tcPr>
            <w:tcW w:w="1056" w:type="dxa"/>
            <w:tcBorders>
              <w:top w:val="nil"/>
              <w:left w:val="nil"/>
              <w:bottom w:val="nil"/>
            </w:tcBorders>
          </w:tcPr>
          <w:p w14:paraId="3B014704" w14:textId="77777777" w:rsidR="00AC6F3C" w:rsidRDefault="00570E88">
            <w:pPr>
              <w:pStyle w:val="TableParagraph"/>
              <w:spacing w:before="43"/>
              <w:ind w:right="20"/>
              <w:jc w:val="right"/>
              <w:rPr>
                <w:sz w:val="18"/>
              </w:rPr>
            </w:pPr>
            <w:r>
              <w:rPr>
                <w:spacing w:val="-2"/>
                <w:sz w:val="18"/>
              </w:rPr>
              <w:t>1,491,394</w:t>
            </w:r>
          </w:p>
        </w:tc>
      </w:tr>
      <w:tr w:rsidR="00AC6F3C" w14:paraId="5A5B7E53" w14:textId="77777777">
        <w:trPr>
          <w:trHeight w:val="286"/>
        </w:trPr>
        <w:tc>
          <w:tcPr>
            <w:tcW w:w="6685" w:type="dxa"/>
            <w:gridSpan w:val="2"/>
            <w:tcBorders>
              <w:top w:val="nil"/>
              <w:right w:val="nil"/>
            </w:tcBorders>
          </w:tcPr>
          <w:p w14:paraId="28EC3DC9" w14:textId="77777777" w:rsidR="00AC6F3C" w:rsidRDefault="00570E88">
            <w:pPr>
              <w:pStyle w:val="TableParagraph"/>
              <w:spacing w:before="43"/>
              <w:ind w:left="37"/>
              <w:rPr>
                <w:sz w:val="18"/>
              </w:rPr>
            </w:pPr>
            <w:r>
              <w:rPr>
                <w:sz w:val="18"/>
              </w:rPr>
              <w:t>Administration,</w:t>
            </w:r>
            <w:r>
              <w:rPr>
                <w:spacing w:val="-2"/>
                <w:sz w:val="18"/>
              </w:rPr>
              <w:t xml:space="preserve"> </w:t>
            </w:r>
            <w:r>
              <w:rPr>
                <w:sz w:val="18"/>
              </w:rPr>
              <w:t>employee</w:t>
            </w:r>
            <w:r>
              <w:rPr>
                <w:spacing w:val="11"/>
                <w:sz w:val="18"/>
              </w:rPr>
              <w:t xml:space="preserve"> </w:t>
            </w:r>
            <w:r>
              <w:rPr>
                <w:sz w:val="18"/>
              </w:rPr>
              <w:t>expenses</w:t>
            </w:r>
            <w:r>
              <w:rPr>
                <w:spacing w:val="23"/>
                <w:sz w:val="18"/>
              </w:rPr>
              <w:t xml:space="preserve"> </w:t>
            </w:r>
            <w:r>
              <w:rPr>
                <w:sz w:val="18"/>
              </w:rPr>
              <w:t>and</w:t>
            </w:r>
            <w:r>
              <w:rPr>
                <w:spacing w:val="11"/>
                <w:sz w:val="18"/>
              </w:rPr>
              <w:t xml:space="preserve"> </w:t>
            </w:r>
            <w:r>
              <w:rPr>
                <w:sz w:val="18"/>
              </w:rPr>
              <w:t>other</w:t>
            </w:r>
            <w:r>
              <w:rPr>
                <w:spacing w:val="5"/>
                <w:sz w:val="18"/>
              </w:rPr>
              <w:t xml:space="preserve"> </w:t>
            </w:r>
            <w:r>
              <w:rPr>
                <w:spacing w:val="-2"/>
                <w:sz w:val="18"/>
              </w:rPr>
              <w:t>payments</w:t>
            </w:r>
          </w:p>
        </w:tc>
        <w:tc>
          <w:tcPr>
            <w:tcW w:w="1078" w:type="dxa"/>
            <w:tcBorders>
              <w:top w:val="nil"/>
              <w:left w:val="nil"/>
              <w:right w:val="nil"/>
            </w:tcBorders>
            <w:shd w:val="clear" w:color="auto" w:fill="F1F1F1"/>
          </w:tcPr>
          <w:p w14:paraId="0A0B1F51" w14:textId="77777777" w:rsidR="00AC6F3C" w:rsidRDefault="00570E88">
            <w:pPr>
              <w:pStyle w:val="TableParagraph"/>
              <w:spacing w:before="43"/>
              <w:ind w:right="29"/>
              <w:jc w:val="right"/>
              <w:rPr>
                <w:sz w:val="18"/>
              </w:rPr>
            </w:pPr>
            <w:r>
              <w:rPr>
                <w:spacing w:val="-2"/>
                <w:sz w:val="18"/>
              </w:rPr>
              <w:t>(1,433,137)</w:t>
            </w:r>
          </w:p>
        </w:tc>
        <w:tc>
          <w:tcPr>
            <w:tcW w:w="1056" w:type="dxa"/>
            <w:tcBorders>
              <w:top w:val="nil"/>
              <w:left w:val="nil"/>
            </w:tcBorders>
          </w:tcPr>
          <w:p w14:paraId="67BD0AFD" w14:textId="77777777" w:rsidR="00AC6F3C" w:rsidRDefault="00570E88">
            <w:pPr>
              <w:pStyle w:val="TableParagraph"/>
              <w:spacing w:before="43"/>
              <w:ind w:right="15"/>
              <w:jc w:val="right"/>
              <w:rPr>
                <w:sz w:val="18"/>
              </w:rPr>
            </w:pPr>
            <w:r>
              <w:rPr>
                <w:spacing w:val="-2"/>
                <w:sz w:val="18"/>
              </w:rPr>
              <w:t>(1,487,778)</w:t>
            </w:r>
          </w:p>
        </w:tc>
      </w:tr>
      <w:tr w:rsidR="00AC6F3C" w14:paraId="51AA595D" w14:textId="77777777">
        <w:trPr>
          <w:trHeight w:val="284"/>
        </w:trPr>
        <w:tc>
          <w:tcPr>
            <w:tcW w:w="5470" w:type="dxa"/>
            <w:tcBorders>
              <w:right w:val="nil"/>
            </w:tcBorders>
            <w:shd w:val="clear" w:color="auto" w:fill="BEBEBE"/>
          </w:tcPr>
          <w:p w14:paraId="030A1E02" w14:textId="77777777" w:rsidR="00AC6F3C" w:rsidRDefault="00570E88">
            <w:pPr>
              <w:pStyle w:val="TableParagraph"/>
              <w:spacing w:before="40"/>
              <w:ind w:left="37"/>
              <w:rPr>
                <w:b/>
                <w:sz w:val="18"/>
              </w:rPr>
            </w:pPr>
            <w:r>
              <w:rPr>
                <w:b/>
                <w:spacing w:val="-2"/>
                <w:sz w:val="18"/>
              </w:rPr>
              <w:t>Net</w:t>
            </w:r>
            <w:r>
              <w:rPr>
                <w:b/>
                <w:spacing w:val="-1"/>
                <w:sz w:val="18"/>
              </w:rPr>
              <w:t xml:space="preserve"> </w:t>
            </w:r>
            <w:r>
              <w:rPr>
                <w:b/>
                <w:spacing w:val="-2"/>
                <w:sz w:val="18"/>
              </w:rPr>
              <w:t>cash</w:t>
            </w:r>
            <w:r>
              <w:rPr>
                <w:b/>
                <w:spacing w:val="-5"/>
                <w:sz w:val="18"/>
              </w:rPr>
              <w:t xml:space="preserve"> </w:t>
            </w:r>
            <w:r>
              <w:rPr>
                <w:b/>
                <w:spacing w:val="-2"/>
                <w:sz w:val="18"/>
              </w:rPr>
              <w:t>generated</w:t>
            </w:r>
            <w:r>
              <w:rPr>
                <w:b/>
                <w:spacing w:val="-6"/>
                <w:sz w:val="18"/>
              </w:rPr>
              <w:t xml:space="preserve"> </w:t>
            </w:r>
            <w:r>
              <w:rPr>
                <w:b/>
                <w:spacing w:val="-2"/>
                <w:sz w:val="18"/>
              </w:rPr>
              <w:t>from/(used</w:t>
            </w:r>
            <w:r>
              <w:rPr>
                <w:b/>
                <w:spacing w:val="-6"/>
                <w:sz w:val="18"/>
              </w:rPr>
              <w:t xml:space="preserve"> </w:t>
            </w:r>
            <w:r>
              <w:rPr>
                <w:b/>
                <w:spacing w:val="-2"/>
                <w:sz w:val="18"/>
              </w:rPr>
              <w:t>by)</w:t>
            </w:r>
            <w:r>
              <w:rPr>
                <w:b/>
                <w:sz w:val="18"/>
              </w:rPr>
              <w:t xml:space="preserve"> </w:t>
            </w:r>
            <w:r>
              <w:rPr>
                <w:b/>
                <w:spacing w:val="-2"/>
                <w:sz w:val="18"/>
              </w:rPr>
              <w:t>operating</w:t>
            </w:r>
            <w:r>
              <w:rPr>
                <w:b/>
                <w:spacing w:val="-5"/>
                <w:sz w:val="18"/>
              </w:rPr>
              <w:t xml:space="preserve"> </w:t>
            </w:r>
            <w:r>
              <w:rPr>
                <w:b/>
                <w:spacing w:val="-2"/>
                <w:sz w:val="18"/>
              </w:rPr>
              <w:t>activities</w:t>
            </w:r>
          </w:p>
        </w:tc>
        <w:tc>
          <w:tcPr>
            <w:tcW w:w="1215" w:type="dxa"/>
            <w:tcBorders>
              <w:left w:val="nil"/>
              <w:right w:val="nil"/>
            </w:tcBorders>
            <w:shd w:val="clear" w:color="auto" w:fill="BEBEBE"/>
          </w:tcPr>
          <w:p w14:paraId="362DDCC3" w14:textId="77777777" w:rsidR="00AC6F3C" w:rsidRDefault="00570E88">
            <w:pPr>
              <w:pStyle w:val="TableParagraph"/>
              <w:spacing w:before="40"/>
              <w:ind w:right="393"/>
              <w:jc w:val="right"/>
              <w:rPr>
                <w:sz w:val="18"/>
              </w:rPr>
            </w:pPr>
            <w:r>
              <w:rPr>
                <w:spacing w:val="-5"/>
                <w:sz w:val="18"/>
              </w:rPr>
              <w:t>C1</w:t>
            </w:r>
          </w:p>
        </w:tc>
        <w:tc>
          <w:tcPr>
            <w:tcW w:w="1078" w:type="dxa"/>
            <w:tcBorders>
              <w:left w:val="nil"/>
              <w:right w:val="nil"/>
            </w:tcBorders>
            <w:shd w:val="clear" w:color="auto" w:fill="BEBEBE"/>
          </w:tcPr>
          <w:p w14:paraId="187AFADD" w14:textId="77777777" w:rsidR="00AC6F3C" w:rsidRDefault="00570E88">
            <w:pPr>
              <w:pStyle w:val="TableParagraph"/>
              <w:spacing w:before="40"/>
              <w:ind w:right="29"/>
              <w:jc w:val="right"/>
              <w:rPr>
                <w:b/>
                <w:sz w:val="18"/>
              </w:rPr>
            </w:pPr>
            <w:r>
              <w:rPr>
                <w:b/>
                <w:spacing w:val="-2"/>
                <w:sz w:val="18"/>
              </w:rPr>
              <w:t>(120)</w:t>
            </w:r>
          </w:p>
        </w:tc>
        <w:tc>
          <w:tcPr>
            <w:tcW w:w="1056" w:type="dxa"/>
            <w:tcBorders>
              <w:left w:val="nil"/>
            </w:tcBorders>
            <w:shd w:val="clear" w:color="auto" w:fill="BEBEBE"/>
          </w:tcPr>
          <w:p w14:paraId="40F6A87B" w14:textId="77777777" w:rsidR="00AC6F3C" w:rsidRDefault="00570E88">
            <w:pPr>
              <w:pStyle w:val="TableParagraph"/>
              <w:spacing w:before="40"/>
              <w:ind w:right="20"/>
              <w:jc w:val="right"/>
              <w:rPr>
                <w:b/>
                <w:sz w:val="18"/>
              </w:rPr>
            </w:pPr>
            <w:r>
              <w:rPr>
                <w:b/>
                <w:spacing w:val="-2"/>
                <w:sz w:val="18"/>
              </w:rPr>
              <w:t>3,616</w:t>
            </w:r>
          </w:p>
        </w:tc>
      </w:tr>
      <w:tr w:rsidR="00AC6F3C" w14:paraId="312B6A78" w14:textId="77777777">
        <w:trPr>
          <w:trHeight w:val="882"/>
        </w:trPr>
        <w:tc>
          <w:tcPr>
            <w:tcW w:w="6685" w:type="dxa"/>
            <w:gridSpan w:val="2"/>
            <w:tcBorders>
              <w:right w:val="nil"/>
            </w:tcBorders>
          </w:tcPr>
          <w:p w14:paraId="0F332718" w14:textId="77777777" w:rsidR="00AC6F3C" w:rsidRDefault="00AC6F3C">
            <w:pPr>
              <w:pStyle w:val="TableParagraph"/>
              <w:spacing w:before="6"/>
              <w:rPr>
                <w:sz w:val="29"/>
              </w:rPr>
            </w:pPr>
          </w:p>
          <w:p w14:paraId="386F832F" w14:textId="77777777" w:rsidR="00AC6F3C" w:rsidRDefault="00570E88">
            <w:pPr>
              <w:pStyle w:val="TableParagraph"/>
              <w:ind w:left="37"/>
              <w:rPr>
                <w:b/>
                <w:sz w:val="18"/>
              </w:rPr>
            </w:pPr>
            <w:r>
              <w:rPr>
                <w:b/>
                <w:spacing w:val="-2"/>
                <w:sz w:val="18"/>
              </w:rPr>
              <w:t>Cash</w:t>
            </w:r>
            <w:r>
              <w:rPr>
                <w:b/>
                <w:spacing w:val="-13"/>
                <w:sz w:val="18"/>
              </w:rPr>
              <w:t xml:space="preserve"> </w:t>
            </w:r>
            <w:r>
              <w:rPr>
                <w:b/>
                <w:spacing w:val="-2"/>
                <w:sz w:val="18"/>
              </w:rPr>
              <w:t>flows</w:t>
            </w:r>
            <w:r>
              <w:rPr>
                <w:b/>
                <w:spacing w:val="-3"/>
                <w:sz w:val="18"/>
              </w:rPr>
              <w:t xml:space="preserve"> </w:t>
            </w:r>
            <w:r>
              <w:rPr>
                <w:b/>
                <w:spacing w:val="-2"/>
                <w:sz w:val="18"/>
              </w:rPr>
              <w:t>from</w:t>
            </w:r>
            <w:r>
              <w:rPr>
                <w:b/>
                <w:spacing w:val="-1"/>
                <w:sz w:val="18"/>
              </w:rPr>
              <w:t xml:space="preserve"> </w:t>
            </w:r>
            <w:r>
              <w:rPr>
                <w:b/>
                <w:spacing w:val="-2"/>
                <w:sz w:val="18"/>
              </w:rPr>
              <w:t>financing</w:t>
            </w:r>
            <w:r>
              <w:rPr>
                <w:b/>
                <w:spacing w:val="-11"/>
                <w:sz w:val="18"/>
              </w:rPr>
              <w:t xml:space="preserve"> </w:t>
            </w:r>
            <w:r>
              <w:rPr>
                <w:b/>
                <w:spacing w:val="-2"/>
                <w:sz w:val="18"/>
              </w:rPr>
              <w:t>activities</w:t>
            </w:r>
          </w:p>
          <w:p w14:paraId="29087625" w14:textId="77777777" w:rsidR="00AC6F3C" w:rsidRDefault="00570E88">
            <w:pPr>
              <w:pStyle w:val="TableParagraph"/>
              <w:spacing w:before="92"/>
              <w:ind w:left="37"/>
              <w:rPr>
                <w:sz w:val="18"/>
              </w:rPr>
            </w:pPr>
            <w:r>
              <w:rPr>
                <w:sz w:val="18"/>
              </w:rPr>
              <w:t>Share</w:t>
            </w:r>
            <w:r>
              <w:rPr>
                <w:spacing w:val="1"/>
                <w:sz w:val="18"/>
              </w:rPr>
              <w:t xml:space="preserve"> </w:t>
            </w:r>
            <w:r>
              <w:rPr>
                <w:sz w:val="18"/>
              </w:rPr>
              <w:t>capital</w:t>
            </w:r>
            <w:r>
              <w:rPr>
                <w:spacing w:val="4"/>
                <w:sz w:val="18"/>
              </w:rPr>
              <w:t xml:space="preserve"> </w:t>
            </w:r>
            <w:r>
              <w:rPr>
                <w:spacing w:val="-2"/>
                <w:sz w:val="18"/>
              </w:rPr>
              <w:t>issued</w:t>
            </w:r>
          </w:p>
        </w:tc>
        <w:tc>
          <w:tcPr>
            <w:tcW w:w="1078" w:type="dxa"/>
            <w:tcBorders>
              <w:left w:val="nil"/>
              <w:right w:val="nil"/>
            </w:tcBorders>
            <w:shd w:val="clear" w:color="auto" w:fill="F1F1F1"/>
          </w:tcPr>
          <w:p w14:paraId="44A93BA3" w14:textId="77777777" w:rsidR="00AC6F3C" w:rsidRDefault="00AC6F3C">
            <w:pPr>
              <w:pStyle w:val="TableParagraph"/>
              <w:rPr>
                <w:sz w:val="20"/>
              </w:rPr>
            </w:pPr>
          </w:p>
          <w:p w14:paraId="2B61C005" w14:textId="77777777" w:rsidR="00AC6F3C" w:rsidRDefault="00AC6F3C">
            <w:pPr>
              <w:pStyle w:val="TableParagraph"/>
              <w:rPr>
                <w:sz w:val="20"/>
              </w:rPr>
            </w:pPr>
          </w:p>
          <w:p w14:paraId="6010578E" w14:textId="77777777" w:rsidR="00AC6F3C" w:rsidRDefault="00570E88">
            <w:pPr>
              <w:pStyle w:val="TableParagraph"/>
              <w:spacing w:before="178"/>
              <w:ind w:right="34"/>
              <w:jc w:val="right"/>
              <w:rPr>
                <w:b/>
                <w:sz w:val="18"/>
              </w:rPr>
            </w:pPr>
            <w:r>
              <w:rPr>
                <w:b/>
                <w:w w:val="99"/>
                <w:sz w:val="18"/>
              </w:rPr>
              <w:t>-</w:t>
            </w:r>
          </w:p>
        </w:tc>
        <w:tc>
          <w:tcPr>
            <w:tcW w:w="1056" w:type="dxa"/>
            <w:tcBorders>
              <w:left w:val="nil"/>
            </w:tcBorders>
          </w:tcPr>
          <w:p w14:paraId="6DFBD752" w14:textId="77777777" w:rsidR="00AC6F3C" w:rsidRDefault="00AC6F3C">
            <w:pPr>
              <w:pStyle w:val="TableParagraph"/>
              <w:rPr>
                <w:sz w:val="20"/>
              </w:rPr>
            </w:pPr>
          </w:p>
          <w:p w14:paraId="718064D7" w14:textId="77777777" w:rsidR="00AC6F3C" w:rsidRDefault="00AC6F3C">
            <w:pPr>
              <w:pStyle w:val="TableParagraph"/>
              <w:rPr>
                <w:sz w:val="20"/>
              </w:rPr>
            </w:pPr>
          </w:p>
          <w:p w14:paraId="65A97647" w14:textId="77777777" w:rsidR="00AC6F3C" w:rsidRDefault="00570E88">
            <w:pPr>
              <w:pStyle w:val="TableParagraph"/>
              <w:spacing w:before="178"/>
              <w:ind w:right="19"/>
              <w:jc w:val="right"/>
              <w:rPr>
                <w:b/>
                <w:sz w:val="18"/>
              </w:rPr>
            </w:pPr>
            <w:r>
              <w:rPr>
                <w:b/>
                <w:w w:val="99"/>
                <w:sz w:val="18"/>
              </w:rPr>
              <w:t>-</w:t>
            </w:r>
          </w:p>
        </w:tc>
      </w:tr>
      <w:tr w:rsidR="00AC6F3C" w14:paraId="22FE8175" w14:textId="77777777">
        <w:trPr>
          <w:trHeight w:val="284"/>
        </w:trPr>
        <w:tc>
          <w:tcPr>
            <w:tcW w:w="5470" w:type="dxa"/>
            <w:tcBorders>
              <w:right w:val="nil"/>
            </w:tcBorders>
            <w:shd w:val="clear" w:color="auto" w:fill="BEBEBE"/>
          </w:tcPr>
          <w:p w14:paraId="69A04DEA" w14:textId="77777777" w:rsidR="00AC6F3C" w:rsidRDefault="00570E88">
            <w:pPr>
              <w:pStyle w:val="TableParagraph"/>
              <w:spacing w:before="40"/>
              <w:ind w:left="37"/>
              <w:rPr>
                <w:b/>
                <w:sz w:val="18"/>
              </w:rPr>
            </w:pPr>
            <w:r>
              <w:rPr>
                <w:b/>
                <w:spacing w:val="-2"/>
                <w:sz w:val="18"/>
              </w:rPr>
              <w:t>Net</w:t>
            </w:r>
            <w:r>
              <w:rPr>
                <w:b/>
                <w:spacing w:val="-7"/>
                <w:sz w:val="18"/>
              </w:rPr>
              <w:t xml:space="preserve"> </w:t>
            </w:r>
            <w:r>
              <w:rPr>
                <w:b/>
                <w:spacing w:val="-2"/>
                <w:sz w:val="18"/>
              </w:rPr>
              <w:t>cash</w:t>
            </w:r>
            <w:r>
              <w:rPr>
                <w:b/>
                <w:spacing w:val="-10"/>
                <w:sz w:val="18"/>
              </w:rPr>
              <w:t xml:space="preserve"> </w:t>
            </w:r>
            <w:r>
              <w:rPr>
                <w:b/>
                <w:spacing w:val="-2"/>
                <w:sz w:val="18"/>
              </w:rPr>
              <w:t>from</w:t>
            </w:r>
            <w:r>
              <w:rPr>
                <w:b/>
                <w:sz w:val="18"/>
              </w:rPr>
              <w:t xml:space="preserve"> </w:t>
            </w:r>
            <w:r>
              <w:rPr>
                <w:b/>
                <w:spacing w:val="-2"/>
                <w:sz w:val="18"/>
              </w:rPr>
              <w:t>financing</w:t>
            </w:r>
            <w:r>
              <w:rPr>
                <w:b/>
                <w:spacing w:val="-9"/>
                <w:sz w:val="18"/>
              </w:rPr>
              <w:t xml:space="preserve"> </w:t>
            </w:r>
            <w:r>
              <w:rPr>
                <w:b/>
                <w:spacing w:val="-2"/>
                <w:sz w:val="18"/>
              </w:rPr>
              <w:t>activities</w:t>
            </w:r>
          </w:p>
        </w:tc>
        <w:tc>
          <w:tcPr>
            <w:tcW w:w="1215" w:type="dxa"/>
            <w:tcBorders>
              <w:left w:val="nil"/>
              <w:right w:val="nil"/>
            </w:tcBorders>
            <w:shd w:val="clear" w:color="auto" w:fill="BEBEBE"/>
          </w:tcPr>
          <w:p w14:paraId="45D9FF6C" w14:textId="77777777" w:rsidR="00AC6F3C" w:rsidRDefault="00AC6F3C">
            <w:pPr>
              <w:pStyle w:val="TableParagraph"/>
              <w:rPr>
                <w:rFonts w:ascii="Times New Roman"/>
                <w:sz w:val="18"/>
              </w:rPr>
            </w:pPr>
          </w:p>
        </w:tc>
        <w:tc>
          <w:tcPr>
            <w:tcW w:w="1078" w:type="dxa"/>
            <w:tcBorders>
              <w:left w:val="nil"/>
              <w:right w:val="nil"/>
            </w:tcBorders>
            <w:shd w:val="clear" w:color="auto" w:fill="BEBEBE"/>
          </w:tcPr>
          <w:p w14:paraId="57289DE9" w14:textId="77777777" w:rsidR="00AC6F3C" w:rsidRDefault="00570E88">
            <w:pPr>
              <w:pStyle w:val="TableParagraph"/>
              <w:spacing w:before="40"/>
              <w:ind w:right="34"/>
              <w:jc w:val="right"/>
              <w:rPr>
                <w:b/>
                <w:sz w:val="18"/>
              </w:rPr>
            </w:pPr>
            <w:r>
              <w:rPr>
                <w:b/>
                <w:w w:val="99"/>
                <w:sz w:val="18"/>
              </w:rPr>
              <w:t>-</w:t>
            </w:r>
          </w:p>
        </w:tc>
        <w:tc>
          <w:tcPr>
            <w:tcW w:w="1056" w:type="dxa"/>
            <w:tcBorders>
              <w:left w:val="nil"/>
            </w:tcBorders>
            <w:shd w:val="clear" w:color="auto" w:fill="BEBEBE"/>
          </w:tcPr>
          <w:p w14:paraId="4C3EDF04" w14:textId="77777777" w:rsidR="00AC6F3C" w:rsidRDefault="00570E88">
            <w:pPr>
              <w:pStyle w:val="TableParagraph"/>
              <w:spacing w:before="40"/>
              <w:ind w:right="19"/>
              <w:jc w:val="right"/>
              <w:rPr>
                <w:b/>
                <w:sz w:val="18"/>
              </w:rPr>
            </w:pPr>
            <w:r>
              <w:rPr>
                <w:b/>
                <w:w w:val="99"/>
                <w:sz w:val="18"/>
              </w:rPr>
              <w:t>-</w:t>
            </w:r>
          </w:p>
        </w:tc>
      </w:tr>
      <w:tr w:rsidR="00AC6F3C" w14:paraId="17F0AC1A" w14:textId="77777777">
        <w:trPr>
          <w:trHeight w:val="737"/>
        </w:trPr>
        <w:tc>
          <w:tcPr>
            <w:tcW w:w="6685" w:type="dxa"/>
            <w:gridSpan w:val="2"/>
            <w:tcBorders>
              <w:bottom w:val="nil"/>
              <w:right w:val="nil"/>
            </w:tcBorders>
          </w:tcPr>
          <w:p w14:paraId="18B939A7" w14:textId="77777777" w:rsidR="00AC6F3C" w:rsidRDefault="00AC6F3C">
            <w:pPr>
              <w:pStyle w:val="TableParagraph"/>
              <w:spacing w:before="6"/>
              <w:rPr>
                <w:sz w:val="29"/>
              </w:rPr>
            </w:pPr>
          </w:p>
          <w:p w14:paraId="14E56E79" w14:textId="77777777" w:rsidR="00AC6F3C" w:rsidRDefault="00570E88">
            <w:pPr>
              <w:pStyle w:val="TableParagraph"/>
              <w:ind w:left="37"/>
              <w:rPr>
                <w:b/>
                <w:sz w:val="18"/>
              </w:rPr>
            </w:pPr>
            <w:r>
              <w:rPr>
                <w:b/>
                <w:spacing w:val="-2"/>
                <w:sz w:val="18"/>
              </w:rPr>
              <w:t>Net</w:t>
            </w:r>
            <w:r>
              <w:rPr>
                <w:b/>
                <w:spacing w:val="-1"/>
                <w:sz w:val="18"/>
              </w:rPr>
              <w:t xml:space="preserve"> </w:t>
            </w:r>
            <w:r>
              <w:rPr>
                <w:b/>
                <w:spacing w:val="-2"/>
                <w:sz w:val="18"/>
              </w:rPr>
              <w:t>increase</w:t>
            </w:r>
            <w:r>
              <w:rPr>
                <w:b/>
                <w:spacing w:val="4"/>
                <w:sz w:val="18"/>
              </w:rPr>
              <w:t xml:space="preserve"> </w:t>
            </w:r>
            <w:r>
              <w:rPr>
                <w:b/>
                <w:spacing w:val="-2"/>
                <w:sz w:val="18"/>
              </w:rPr>
              <w:t>in</w:t>
            </w:r>
            <w:r>
              <w:rPr>
                <w:b/>
                <w:spacing w:val="-6"/>
                <w:sz w:val="18"/>
              </w:rPr>
              <w:t xml:space="preserve"> </w:t>
            </w:r>
            <w:r>
              <w:rPr>
                <w:b/>
                <w:spacing w:val="-2"/>
                <w:sz w:val="18"/>
              </w:rPr>
              <w:t>cash</w:t>
            </w:r>
            <w:r>
              <w:rPr>
                <w:b/>
                <w:spacing w:val="-7"/>
                <w:sz w:val="18"/>
              </w:rPr>
              <w:t xml:space="preserve"> </w:t>
            </w:r>
            <w:r>
              <w:rPr>
                <w:b/>
                <w:spacing w:val="-2"/>
                <w:sz w:val="18"/>
              </w:rPr>
              <w:t>and</w:t>
            </w:r>
            <w:r>
              <w:rPr>
                <w:b/>
                <w:spacing w:val="-7"/>
                <w:sz w:val="18"/>
              </w:rPr>
              <w:t xml:space="preserve"> </w:t>
            </w:r>
            <w:r>
              <w:rPr>
                <w:b/>
                <w:spacing w:val="-2"/>
                <w:sz w:val="18"/>
              </w:rPr>
              <w:t>cash</w:t>
            </w:r>
            <w:r>
              <w:rPr>
                <w:b/>
                <w:spacing w:val="-6"/>
                <w:sz w:val="18"/>
              </w:rPr>
              <w:t xml:space="preserve"> </w:t>
            </w:r>
            <w:r>
              <w:rPr>
                <w:b/>
                <w:spacing w:val="-2"/>
                <w:sz w:val="18"/>
              </w:rPr>
              <w:t>equivalents</w:t>
            </w:r>
            <w:r>
              <w:rPr>
                <w:b/>
                <w:spacing w:val="4"/>
                <w:sz w:val="18"/>
              </w:rPr>
              <w:t xml:space="preserve"> </w:t>
            </w:r>
            <w:r>
              <w:rPr>
                <w:b/>
                <w:spacing w:val="-4"/>
                <w:sz w:val="18"/>
              </w:rPr>
              <w:t>held</w:t>
            </w:r>
          </w:p>
        </w:tc>
        <w:tc>
          <w:tcPr>
            <w:tcW w:w="1078" w:type="dxa"/>
            <w:tcBorders>
              <w:left w:val="nil"/>
              <w:bottom w:val="nil"/>
              <w:right w:val="nil"/>
            </w:tcBorders>
            <w:shd w:val="clear" w:color="auto" w:fill="F1F1F1"/>
          </w:tcPr>
          <w:p w14:paraId="40CBD147" w14:textId="77777777" w:rsidR="00AC6F3C" w:rsidRDefault="00AC6F3C">
            <w:pPr>
              <w:pStyle w:val="TableParagraph"/>
              <w:spacing w:before="6"/>
              <w:rPr>
                <w:sz w:val="29"/>
              </w:rPr>
            </w:pPr>
          </w:p>
          <w:p w14:paraId="662868E8" w14:textId="77777777" w:rsidR="00AC6F3C" w:rsidRDefault="00570E88">
            <w:pPr>
              <w:pStyle w:val="TableParagraph"/>
              <w:ind w:right="29"/>
              <w:jc w:val="right"/>
              <w:rPr>
                <w:sz w:val="18"/>
              </w:rPr>
            </w:pPr>
            <w:r>
              <w:rPr>
                <w:spacing w:val="-2"/>
                <w:sz w:val="18"/>
              </w:rPr>
              <w:t>(120)</w:t>
            </w:r>
          </w:p>
        </w:tc>
        <w:tc>
          <w:tcPr>
            <w:tcW w:w="1056" w:type="dxa"/>
            <w:tcBorders>
              <w:left w:val="nil"/>
              <w:bottom w:val="nil"/>
            </w:tcBorders>
          </w:tcPr>
          <w:p w14:paraId="374D7D80" w14:textId="77777777" w:rsidR="00AC6F3C" w:rsidRDefault="00AC6F3C">
            <w:pPr>
              <w:pStyle w:val="TableParagraph"/>
              <w:spacing w:before="6"/>
              <w:rPr>
                <w:sz w:val="29"/>
              </w:rPr>
            </w:pPr>
          </w:p>
          <w:p w14:paraId="32D45C96" w14:textId="77777777" w:rsidR="00AC6F3C" w:rsidRDefault="00570E88">
            <w:pPr>
              <w:pStyle w:val="TableParagraph"/>
              <w:ind w:right="20"/>
              <w:jc w:val="right"/>
              <w:rPr>
                <w:b/>
                <w:sz w:val="18"/>
              </w:rPr>
            </w:pPr>
            <w:r>
              <w:rPr>
                <w:b/>
                <w:spacing w:val="-2"/>
                <w:sz w:val="18"/>
              </w:rPr>
              <w:t>3,616</w:t>
            </w:r>
          </w:p>
        </w:tc>
      </w:tr>
      <w:tr w:rsidR="00AC6F3C" w14:paraId="27483808" w14:textId="77777777">
        <w:trPr>
          <w:trHeight w:val="428"/>
        </w:trPr>
        <w:tc>
          <w:tcPr>
            <w:tcW w:w="6685" w:type="dxa"/>
            <w:gridSpan w:val="2"/>
            <w:tcBorders>
              <w:top w:val="nil"/>
              <w:right w:val="nil"/>
            </w:tcBorders>
          </w:tcPr>
          <w:p w14:paraId="07073179" w14:textId="77777777" w:rsidR="00AC6F3C" w:rsidRDefault="00AC6F3C">
            <w:pPr>
              <w:pStyle w:val="TableParagraph"/>
              <w:rPr>
                <w:sz w:val="16"/>
              </w:rPr>
            </w:pPr>
          </w:p>
          <w:p w14:paraId="3A01A222" w14:textId="77777777" w:rsidR="00AC6F3C" w:rsidRDefault="00570E88">
            <w:pPr>
              <w:pStyle w:val="TableParagraph"/>
              <w:spacing w:before="1"/>
              <w:ind w:left="37"/>
              <w:rPr>
                <w:b/>
                <w:sz w:val="18"/>
              </w:rPr>
            </w:pPr>
            <w:r>
              <w:rPr>
                <w:b/>
                <w:spacing w:val="-2"/>
                <w:sz w:val="18"/>
              </w:rPr>
              <w:t>Cash</w:t>
            </w:r>
            <w:r>
              <w:rPr>
                <w:b/>
                <w:spacing w:val="-11"/>
                <w:sz w:val="18"/>
              </w:rPr>
              <w:t xml:space="preserve"> </w:t>
            </w:r>
            <w:r>
              <w:rPr>
                <w:b/>
                <w:spacing w:val="-2"/>
                <w:sz w:val="18"/>
              </w:rPr>
              <w:t>and</w:t>
            </w:r>
            <w:r>
              <w:rPr>
                <w:b/>
                <w:spacing w:val="-11"/>
                <w:sz w:val="18"/>
              </w:rPr>
              <w:t xml:space="preserve"> </w:t>
            </w:r>
            <w:r>
              <w:rPr>
                <w:b/>
                <w:spacing w:val="-2"/>
                <w:sz w:val="18"/>
              </w:rPr>
              <w:t>cash</w:t>
            </w:r>
            <w:r>
              <w:rPr>
                <w:b/>
                <w:spacing w:val="-11"/>
                <w:sz w:val="18"/>
              </w:rPr>
              <w:t xml:space="preserve"> </w:t>
            </w:r>
            <w:r>
              <w:rPr>
                <w:b/>
                <w:spacing w:val="-2"/>
                <w:sz w:val="18"/>
              </w:rPr>
              <w:t>equivalents</w:t>
            </w:r>
            <w:r>
              <w:rPr>
                <w:b/>
                <w:spacing w:val="-8"/>
                <w:sz w:val="18"/>
              </w:rPr>
              <w:t xml:space="preserve"> </w:t>
            </w:r>
            <w:r>
              <w:rPr>
                <w:b/>
                <w:spacing w:val="-2"/>
                <w:sz w:val="18"/>
              </w:rPr>
              <w:t>at</w:t>
            </w:r>
            <w:r>
              <w:rPr>
                <w:b/>
                <w:spacing w:val="-8"/>
                <w:sz w:val="18"/>
              </w:rPr>
              <w:t xml:space="preserve"> </w:t>
            </w:r>
            <w:r>
              <w:rPr>
                <w:b/>
                <w:spacing w:val="-2"/>
                <w:sz w:val="18"/>
              </w:rPr>
              <w:t>the beginning</w:t>
            </w:r>
            <w:r>
              <w:rPr>
                <w:b/>
                <w:spacing w:val="-11"/>
                <w:sz w:val="18"/>
              </w:rPr>
              <w:t xml:space="preserve"> </w:t>
            </w:r>
            <w:r>
              <w:rPr>
                <w:b/>
                <w:spacing w:val="-2"/>
                <w:sz w:val="18"/>
              </w:rPr>
              <w:t>of</w:t>
            </w:r>
            <w:r>
              <w:rPr>
                <w:b/>
                <w:spacing w:val="-7"/>
                <w:sz w:val="18"/>
              </w:rPr>
              <w:t xml:space="preserve"> </w:t>
            </w:r>
            <w:r>
              <w:rPr>
                <w:b/>
                <w:spacing w:val="-2"/>
                <w:sz w:val="18"/>
              </w:rPr>
              <w:t>the</w:t>
            </w:r>
            <w:r>
              <w:rPr>
                <w:b/>
                <w:spacing w:val="-3"/>
                <w:sz w:val="18"/>
              </w:rPr>
              <w:t xml:space="preserve"> </w:t>
            </w:r>
            <w:r>
              <w:rPr>
                <w:b/>
                <w:spacing w:val="-2"/>
                <w:sz w:val="18"/>
              </w:rPr>
              <w:t>financial</w:t>
            </w:r>
            <w:r>
              <w:rPr>
                <w:b/>
                <w:spacing w:val="-11"/>
                <w:sz w:val="18"/>
              </w:rPr>
              <w:t xml:space="preserve"> </w:t>
            </w:r>
            <w:r>
              <w:rPr>
                <w:b/>
                <w:spacing w:val="-4"/>
                <w:sz w:val="18"/>
              </w:rPr>
              <w:t>year</w:t>
            </w:r>
          </w:p>
        </w:tc>
        <w:tc>
          <w:tcPr>
            <w:tcW w:w="1078" w:type="dxa"/>
            <w:tcBorders>
              <w:top w:val="nil"/>
              <w:left w:val="nil"/>
              <w:right w:val="nil"/>
            </w:tcBorders>
            <w:shd w:val="clear" w:color="auto" w:fill="F1F1F1"/>
          </w:tcPr>
          <w:p w14:paraId="6BB5CE83" w14:textId="77777777" w:rsidR="00AC6F3C" w:rsidRDefault="00AC6F3C">
            <w:pPr>
              <w:pStyle w:val="TableParagraph"/>
              <w:rPr>
                <w:sz w:val="16"/>
              </w:rPr>
            </w:pPr>
          </w:p>
          <w:p w14:paraId="38C06177" w14:textId="77777777" w:rsidR="00AC6F3C" w:rsidRDefault="00570E88">
            <w:pPr>
              <w:pStyle w:val="TableParagraph"/>
              <w:spacing w:before="1"/>
              <w:ind w:right="34"/>
              <w:jc w:val="right"/>
              <w:rPr>
                <w:b/>
                <w:sz w:val="18"/>
              </w:rPr>
            </w:pPr>
            <w:r>
              <w:rPr>
                <w:b/>
                <w:spacing w:val="-2"/>
                <w:sz w:val="18"/>
              </w:rPr>
              <w:t>5,630</w:t>
            </w:r>
          </w:p>
        </w:tc>
        <w:tc>
          <w:tcPr>
            <w:tcW w:w="1056" w:type="dxa"/>
            <w:tcBorders>
              <w:top w:val="nil"/>
              <w:left w:val="nil"/>
            </w:tcBorders>
          </w:tcPr>
          <w:p w14:paraId="4767DF08" w14:textId="77777777" w:rsidR="00AC6F3C" w:rsidRDefault="00AC6F3C">
            <w:pPr>
              <w:pStyle w:val="TableParagraph"/>
              <w:rPr>
                <w:sz w:val="16"/>
              </w:rPr>
            </w:pPr>
          </w:p>
          <w:p w14:paraId="76E416B6" w14:textId="77777777" w:rsidR="00AC6F3C" w:rsidRDefault="00570E88">
            <w:pPr>
              <w:pStyle w:val="TableParagraph"/>
              <w:spacing w:before="1"/>
              <w:ind w:right="20"/>
              <w:jc w:val="right"/>
              <w:rPr>
                <w:b/>
                <w:sz w:val="18"/>
              </w:rPr>
            </w:pPr>
            <w:r>
              <w:rPr>
                <w:b/>
                <w:spacing w:val="-2"/>
                <w:sz w:val="18"/>
              </w:rPr>
              <w:t>2,014</w:t>
            </w:r>
          </w:p>
        </w:tc>
      </w:tr>
      <w:tr w:rsidR="00AC6F3C" w14:paraId="344C4781" w14:textId="77777777">
        <w:trPr>
          <w:trHeight w:val="269"/>
        </w:trPr>
        <w:tc>
          <w:tcPr>
            <w:tcW w:w="5470" w:type="dxa"/>
            <w:tcBorders>
              <w:right w:val="nil"/>
            </w:tcBorders>
            <w:shd w:val="clear" w:color="auto" w:fill="BEBEBE"/>
          </w:tcPr>
          <w:p w14:paraId="189A64BF" w14:textId="77777777" w:rsidR="00AC6F3C" w:rsidRDefault="00570E88">
            <w:pPr>
              <w:pStyle w:val="TableParagraph"/>
              <w:spacing w:before="25"/>
              <w:ind w:left="37"/>
              <w:rPr>
                <w:b/>
                <w:sz w:val="18"/>
              </w:rPr>
            </w:pPr>
            <w:r>
              <w:rPr>
                <w:b/>
                <w:spacing w:val="-2"/>
                <w:sz w:val="18"/>
              </w:rPr>
              <w:t>Cash</w:t>
            </w:r>
            <w:r>
              <w:rPr>
                <w:b/>
                <w:spacing w:val="-10"/>
                <w:sz w:val="18"/>
              </w:rPr>
              <w:t xml:space="preserve"> </w:t>
            </w:r>
            <w:r>
              <w:rPr>
                <w:b/>
                <w:spacing w:val="-2"/>
                <w:sz w:val="18"/>
              </w:rPr>
              <w:t>and</w:t>
            </w:r>
            <w:r>
              <w:rPr>
                <w:b/>
                <w:spacing w:val="-10"/>
                <w:sz w:val="18"/>
              </w:rPr>
              <w:t xml:space="preserve"> </w:t>
            </w:r>
            <w:r>
              <w:rPr>
                <w:b/>
                <w:spacing w:val="-2"/>
                <w:sz w:val="18"/>
              </w:rPr>
              <w:t>cash</w:t>
            </w:r>
            <w:r>
              <w:rPr>
                <w:b/>
                <w:spacing w:val="-10"/>
                <w:sz w:val="18"/>
              </w:rPr>
              <w:t xml:space="preserve"> </w:t>
            </w:r>
            <w:r>
              <w:rPr>
                <w:b/>
                <w:spacing w:val="-2"/>
                <w:sz w:val="18"/>
              </w:rPr>
              <w:t>equivalents</w:t>
            </w:r>
            <w:r>
              <w:rPr>
                <w:b/>
                <w:sz w:val="18"/>
              </w:rPr>
              <w:t xml:space="preserve"> </w:t>
            </w:r>
            <w:r>
              <w:rPr>
                <w:b/>
                <w:spacing w:val="-2"/>
                <w:sz w:val="18"/>
              </w:rPr>
              <w:t>at</w:t>
            </w:r>
            <w:r>
              <w:rPr>
                <w:b/>
                <w:spacing w:val="-5"/>
                <w:sz w:val="18"/>
              </w:rPr>
              <w:t xml:space="preserve"> </w:t>
            </w:r>
            <w:r>
              <w:rPr>
                <w:b/>
                <w:spacing w:val="-2"/>
                <w:sz w:val="18"/>
              </w:rPr>
              <w:t>the</w:t>
            </w:r>
            <w:r>
              <w:rPr>
                <w:b/>
                <w:spacing w:val="1"/>
                <w:sz w:val="18"/>
              </w:rPr>
              <w:t xml:space="preserve"> </w:t>
            </w:r>
            <w:r>
              <w:rPr>
                <w:b/>
                <w:spacing w:val="-2"/>
                <w:sz w:val="18"/>
              </w:rPr>
              <w:t>end</w:t>
            </w:r>
            <w:r>
              <w:rPr>
                <w:b/>
                <w:spacing w:val="-10"/>
                <w:sz w:val="18"/>
              </w:rPr>
              <w:t xml:space="preserve"> </w:t>
            </w:r>
            <w:r>
              <w:rPr>
                <w:b/>
                <w:spacing w:val="-2"/>
                <w:sz w:val="18"/>
              </w:rPr>
              <w:t>of</w:t>
            </w:r>
            <w:r>
              <w:rPr>
                <w:b/>
                <w:spacing w:val="-5"/>
                <w:sz w:val="18"/>
              </w:rPr>
              <w:t xml:space="preserve"> </w:t>
            </w:r>
            <w:r>
              <w:rPr>
                <w:b/>
                <w:spacing w:val="-2"/>
                <w:sz w:val="18"/>
              </w:rPr>
              <w:t>the</w:t>
            </w:r>
            <w:r>
              <w:rPr>
                <w:b/>
                <w:spacing w:val="1"/>
                <w:sz w:val="18"/>
              </w:rPr>
              <w:t xml:space="preserve"> </w:t>
            </w:r>
            <w:r>
              <w:rPr>
                <w:b/>
                <w:spacing w:val="-2"/>
                <w:sz w:val="18"/>
              </w:rPr>
              <w:t>financial</w:t>
            </w:r>
            <w:r>
              <w:rPr>
                <w:b/>
                <w:spacing w:val="-10"/>
                <w:sz w:val="18"/>
              </w:rPr>
              <w:t xml:space="preserve"> </w:t>
            </w:r>
            <w:r>
              <w:rPr>
                <w:b/>
                <w:spacing w:val="-4"/>
                <w:sz w:val="18"/>
              </w:rPr>
              <w:t>year</w:t>
            </w:r>
          </w:p>
        </w:tc>
        <w:tc>
          <w:tcPr>
            <w:tcW w:w="1215" w:type="dxa"/>
            <w:tcBorders>
              <w:left w:val="nil"/>
              <w:right w:val="nil"/>
            </w:tcBorders>
            <w:shd w:val="clear" w:color="auto" w:fill="BEBEBE"/>
          </w:tcPr>
          <w:p w14:paraId="7617C50E" w14:textId="77777777" w:rsidR="00AC6F3C" w:rsidRDefault="00570E88">
            <w:pPr>
              <w:pStyle w:val="TableParagraph"/>
              <w:spacing w:before="25"/>
              <w:ind w:right="423"/>
              <w:jc w:val="right"/>
              <w:rPr>
                <w:b/>
                <w:sz w:val="18"/>
              </w:rPr>
            </w:pPr>
            <w:r>
              <w:rPr>
                <w:b/>
                <w:spacing w:val="-5"/>
                <w:sz w:val="18"/>
              </w:rPr>
              <w:t>C1</w:t>
            </w:r>
          </w:p>
        </w:tc>
        <w:tc>
          <w:tcPr>
            <w:tcW w:w="1078" w:type="dxa"/>
            <w:tcBorders>
              <w:left w:val="nil"/>
              <w:right w:val="nil"/>
            </w:tcBorders>
            <w:shd w:val="clear" w:color="auto" w:fill="BEBEBE"/>
          </w:tcPr>
          <w:p w14:paraId="08EFA9D8" w14:textId="77777777" w:rsidR="00AC6F3C" w:rsidRDefault="00570E88">
            <w:pPr>
              <w:pStyle w:val="TableParagraph"/>
              <w:spacing w:before="25"/>
              <w:ind w:right="34"/>
              <w:jc w:val="right"/>
              <w:rPr>
                <w:b/>
                <w:sz w:val="18"/>
              </w:rPr>
            </w:pPr>
            <w:r>
              <w:rPr>
                <w:b/>
                <w:spacing w:val="-2"/>
                <w:sz w:val="18"/>
              </w:rPr>
              <w:t>5,510</w:t>
            </w:r>
          </w:p>
        </w:tc>
        <w:tc>
          <w:tcPr>
            <w:tcW w:w="1056" w:type="dxa"/>
            <w:tcBorders>
              <w:left w:val="nil"/>
            </w:tcBorders>
            <w:shd w:val="clear" w:color="auto" w:fill="BEBEBE"/>
          </w:tcPr>
          <w:p w14:paraId="6D536B67" w14:textId="77777777" w:rsidR="00AC6F3C" w:rsidRDefault="00570E88">
            <w:pPr>
              <w:pStyle w:val="TableParagraph"/>
              <w:spacing w:before="25"/>
              <w:ind w:right="20"/>
              <w:jc w:val="right"/>
              <w:rPr>
                <w:b/>
                <w:sz w:val="18"/>
              </w:rPr>
            </w:pPr>
            <w:r>
              <w:rPr>
                <w:b/>
                <w:spacing w:val="-2"/>
                <w:sz w:val="18"/>
              </w:rPr>
              <w:t>5,630</w:t>
            </w:r>
          </w:p>
        </w:tc>
      </w:tr>
    </w:tbl>
    <w:p w14:paraId="6D5FE7B8" w14:textId="77777777" w:rsidR="00AC6F3C" w:rsidRDefault="00AC6F3C">
      <w:pPr>
        <w:pStyle w:val="BodyText"/>
      </w:pPr>
    </w:p>
    <w:p w14:paraId="13495F1B" w14:textId="77777777" w:rsidR="00AC6F3C" w:rsidRDefault="00AC6F3C">
      <w:pPr>
        <w:pStyle w:val="BodyText"/>
      </w:pPr>
    </w:p>
    <w:p w14:paraId="00D23999" w14:textId="77777777" w:rsidR="00AC6F3C" w:rsidRDefault="00AC6F3C">
      <w:pPr>
        <w:pStyle w:val="BodyText"/>
      </w:pPr>
    </w:p>
    <w:p w14:paraId="1BF84B32" w14:textId="77777777" w:rsidR="00AC6F3C" w:rsidRDefault="00AC6F3C">
      <w:pPr>
        <w:pStyle w:val="BodyText"/>
      </w:pPr>
    </w:p>
    <w:p w14:paraId="1F6981E0" w14:textId="77777777" w:rsidR="00AC6F3C" w:rsidRDefault="00AC6F3C">
      <w:pPr>
        <w:pStyle w:val="BodyText"/>
      </w:pPr>
    </w:p>
    <w:p w14:paraId="2DA84302" w14:textId="77777777" w:rsidR="00AC6F3C" w:rsidRDefault="00AC6F3C">
      <w:pPr>
        <w:pStyle w:val="BodyText"/>
      </w:pPr>
    </w:p>
    <w:p w14:paraId="2B1F70A4" w14:textId="77777777" w:rsidR="00AC6F3C" w:rsidRDefault="00AC6F3C">
      <w:pPr>
        <w:pStyle w:val="BodyText"/>
      </w:pPr>
    </w:p>
    <w:p w14:paraId="70311BA7" w14:textId="77777777" w:rsidR="00AC6F3C" w:rsidRDefault="00AC6F3C">
      <w:pPr>
        <w:pStyle w:val="BodyText"/>
      </w:pPr>
    </w:p>
    <w:p w14:paraId="26FED695" w14:textId="77777777" w:rsidR="00AC6F3C" w:rsidRDefault="00AC6F3C">
      <w:pPr>
        <w:pStyle w:val="BodyText"/>
      </w:pPr>
    </w:p>
    <w:p w14:paraId="197AEC92" w14:textId="77777777" w:rsidR="00AC6F3C" w:rsidRDefault="00AC6F3C">
      <w:pPr>
        <w:pStyle w:val="BodyText"/>
      </w:pPr>
    </w:p>
    <w:p w14:paraId="1BD259BC" w14:textId="77777777" w:rsidR="00AC6F3C" w:rsidRDefault="00AC6F3C">
      <w:pPr>
        <w:pStyle w:val="BodyText"/>
      </w:pPr>
    </w:p>
    <w:p w14:paraId="6FC939B7" w14:textId="77777777" w:rsidR="00AC6F3C" w:rsidRDefault="00AC6F3C">
      <w:pPr>
        <w:pStyle w:val="BodyText"/>
      </w:pPr>
    </w:p>
    <w:p w14:paraId="15B81912" w14:textId="77777777" w:rsidR="00AC6F3C" w:rsidRDefault="00AC6F3C">
      <w:pPr>
        <w:pStyle w:val="BodyText"/>
      </w:pPr>
    </w:p>
    <w:p w14:paraId="52A6771E" w14:textId="77777777" w:rsidR="00AC6F3C" w:rsidRDefault="00AC6F3C">
      <w:pPr>
        <w:pStyle w:val="BodyText"/>
      </w:pPr>
    </w:p>
    <w:p w14:paraId="5734A0D9" w14:textId="77777777" w:rsidR="00AC6F3C" w:rsidRDefault="00AC6F3C">
      <w:pPr>
        <w:pStyle w:val="BodyText"/>
      </w:pPr>
    </w:p>
    <w:p w14:paraId="190B94B4" w14:textId="77777777" w:rsidR="00AC6F3C" w:rsidRDefault="00AC6F3C">
      <w:pPr>
        <w:pStyle w:val="BodyText"/>
      </w:pPr>
    </w:p>
    <w:p w14:paraId="6C547822" w14:textId="77777777" w:rsidR="00AC6F3C" w:rsidRDefault="00AC6F3C">
      <w:pPr>
        <w:pStyle w:val="BodyText"/>
      </w:pPr>
    </w:p>
    <w:p w14:paraId="7F9199C6" w14:textId="77777777" w:rsidR="00AC6F3C" w:rsidRDefault="00AC6F3C">
      <w:pPr>
        <w:pStyle w:val="BodyText"/>
      </w:pPr>
    </w:p>
    <w:p w14:paraId="0FC530A7" w14:textId="77777777" w:rsidR="00AC6F3C" w:rsidRDefault="00AC6F3C">
      <w:pPr>
        <w:pStyle w:val="BodyText"/>
      </w:pPr>
    </w:p>
    <w:p w14:paraId="1AE8238D" w14:textId="77777777" w:rsidR="00AC6F3C" w:rsidRDefault="00AC6F3C">
      <w:pPr>
        <w:pStyle w:val="BodyText"/>
      </w:pPr>
    </w:p>
    <w:p w14:paraId="56A8AA7E" w14:textId="77777777" w:rsidR="00AC6F3C" w:rsidRDefault="00AC6F3C">
      <w:pPr>
        <w:pStyle w:val="BodyText"/>
      </w:pPr>
    </w:p>
    <w:p w14:paraId="1FA18E8C" w14:textId="77777777" w:rsidR="00AC6F3C" w:rsidRDefault="00AC6F3C">
      <w:pPr>
        <w:pStyle w:val="BodyText"/>
      </w:pPr>
    </w:p>
    <w:p w14:paraId="13E6647B" w14:textId="77777777" w:rsidR="00AC6F3C" w:rsidRDefault="00AC6F3C">
      <w:pPr>
        <w:pStyle w:val="BodyText"/>
      </w:pPr>
    </w:p>
    <w:p w14:paraId="08A99170" w14:textId="77777777" w:rsidR="00AC6F3C" w:rsidRDefault="00AC6F3C">
      <w:pPr>
        <w:pStyle w:val="BodyText"/>
      </w:pPr>
    </w:p>
    <w:p w14:paraId="6C3D257D" w14:textId="77777777" w:rsidR="00AC6F3C" w:rsidRDefault="00AC6F3C">
      <w:pPr>
        <w:pStyle w:val="BodyText"/>
      </w:pPr>
    </w:p>
    <w:p w14:paraId="00D42845" w14:textId="77777777" w:rsidR="00AC6F3C" w:rsidRDefault="00AC6F3C">
      <w:pPr>
        <w:pStyle w:val="BodyText"/>
      </w:pPr>
    </w:p>
    <w:p w14:paraId="66199C48" w14:textId="77777777" w:rsidR="00AC6F3C" w:rsidRDefault="00AC6F3C">
      <w:pPr>
        <w:pStyle w:val="BodyText"/>
      </w:pPr>
    </w:p>
    <w:p w14:paraId="7F8D5F5A" w14:textId="77777777" w:rsidR="00AC6F3C" w:rsidRDefault="00AC6F3C">
      <w:pPr>
        <w:pStyle w:val="BodyText"/>
      </w:pPr>
    </w:p>
    <w:p w14:paraId="6D900C42" w14:textId="77777777" w:rsidR="00AC6F3C" w:rsidRDefault="00AC6F3C">
      <w:pPr>
        <w:pStyle w:val="BodyText"/>
      </w:pPr>
    </w:p>
    <w:p w14:paraId="4A3336E3" w14:textId="77777777" w:rsidR="00AC6F3C" w:rsidRDefault="00AC6F3C">
      <w:pPr>
        <w:pStyle w:val="BodyText"/>
        <w:spacing w:before="3"/>
        <w:rPr>
          <w:sz w:val="19"/>
        </w:rPr>
      </w:pPr>
    </w:p>
    <w:p w14:paraId="29CD867F" w14:textId="77777777" w:rsidR="00AC6F3C" w:rsidRDefault="00570E88">
      <w:pPr>
        <w:spacing w:before="94"/>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4CAD7C6B" w14:textId="77777777" w:rsidR="00AC6F3C" w:rsidRDefault="00AC6F3C">
      <w:pPr>
        <w:rPr>
          <w:sz w:val="18"/>
        </w:rPr>
        <w:sectPr w:rsidR="00AC6F3C">
          <w:pgSz w:w="11910" w:h="16840"/>
          <w:pgMar w:top="1520" w:right="1160" w:bottom="520" w:left="460" w:header="1250" w:footer="336" w:gutter="0"/>
          <w:cols w:space="720"/>
        </w:sectPr>
      </w:pPr>
    </w:p>
    <w:p w14:paraId="368AFD3F" w14:textId="77777777" w:rsidR="00AC6F3C" w:rsidRDefault="00AC6F3C">
      <w:pPr>
        <w:pStyle w:val="BodyText"/>
        <w:spacing w:before="7"/>
        <w:rPr>
          <w:sz w:val="13"/>
        </w:rPr>
      </w:pPr>
    </w:p>
    <w:p w14:paraId="0D2234B4" w14:textId="77777777" w:rsidR="00AC6F3C" w:rsidRDefault="00570E88">
      <w:pPr>
        <w:tabs>
          <w:tab w:val="left" w:pos="1700"/>
        </w:tabs>
        <w:spacing w:before="92"/>
        <w:ind w:left="979"/>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744C968F" w14:textId="77777777" w:rsidR="00AC6F3C" w:rsidRDefault="00570E88">
      <w:pPr>
        <w:pStyle w:val="Heading6"/>
        <w:ind w:left="979"/>
      </w:pPr>
      <w:r>
        <w:t>A1-1</w:t>
      </w:r>
      <w:r>
        <w:rPr>
          <w:spacing w:val="25"/>
        </w:rPr>
        <w:t xml:space="preserve">  </w:t>
      </w:r>
      <w:r>
        <w:t>GENERAL</w:t>
      </w:r>
      <w:r>
        <w:rPr>
          <w:spacing w:val="-1"/>
        </w:rPr>
        <w:t xml:space="preserve"> </w:t>
      </w:r>
      <w:r>
        <w:rPr>
          <w:spacing w:val="-2"/>
        </w:rPr>
        <w:t>INFORMATION</w:t>
      </w:r>
    </w:p>
    <w:p w14:paraId="3938DC7E" w14:textId="77777777" w:rsidR="00AC6F3C" w:rsidRDefault="00AC6F3C">
      <w:pPr>
        <w:pStyle w:val="BodyText"/>
        <w:spacing w:before="8"/>
        <w:rPr>
          <w:b/>
        </w:rPr>
      </w:pPr>
    </w:p>
    <w:p w14:paraId="556FA105" w14:textId="77777777" w:rsidR="00AC6F3C" w:rsidRDefault="00570E88">
      <w:pPr>
        <w:ind w:left="980" w:hanging="1"/>
        <w:rPr>
          <w:sz w:val="18"/>
        </w:rPr>
      </w:pPr>
      <w:r>
        <w:rPr>
          <w:sz w:val="18"/>
        </w:rPr>
        <w:t>QLS</w:t>
      </w:r>
      <w:r>
        <w:rPr>
          <w:spacing w:val="-2"/>
          <w:sz w:val="18"/>
        </w:rPr>
        <w:t xml:space="preserve"> </w:t>
      </w:r>
      <w:r>
        <w:rPr>
          <w:sz w:val="18"/>
        </w:rPr>
        <w:t>Solicitor</w:t>
      </w:r>
      <w:r>
        <w:rPr>
          <w:spacing w:val="-2"/>
          <w:sz w:val="18"/>
        </w:rPr>
        <w:t xml:space="preserve"> </w:t>
      </w:r>
      <w:r>
        <w:rPr>
          <w:sz w:val="18"/>
        </w:rPr>
        <w:t>Support</w:t>
      </w:r>
      <w:r>
        <w:rPr>
          <w:spacing w:val="-2"/>
          <w:sz w:val="18"/>
        </w:rPr>
        <w:t xml:space="preserve"> </w:t>
      </w:r>
      <w:r>
        <w:rPr>
          <w:sz w:val="18"/>
        </w:rPr>
        <w:t>Pty</w:t>
      </w:r>
      <w:r>
        <w:rPr>
          <w:spacing w:val="-1"/>
          <w:sz w:val="18"/>
        </w:rPr>
        <w:t xml:space="preserve"> </w:t>
      </w:r>
      <w:r>
        <w:rPr>
          <w:sz w:val="18"/>
        </w:rPr>
        <w:t>Ltd</w:t>
      </w:r>
      <w:r>
        <w:rPr>
          <w:spacing w:val="-3"/>
          <w:sz w:val="18"/>
        </w:rPr>
        <w:t xml:space="preserve"> </w:t>
      </w:r>
      <w:r>
        <w:rPr>
          <w:sz w:val="18"/>
        </w:rPr>
        <w:t>(QSS)</w:t>
      </w:r>
      <w:r>
        <w:rPr>
          <w:spacing w:val="-2"/>
          <w:sz w:val="18"/>
        </w:rPr>
        <w:t xml:space="preserve"> </w:t>
      </w:r>
      <w:r>
        <w:rPr>
          <w:sz w:val="18"/>
        </w:rPr>
        <w:t>was</w:t>
      </w:r>
      <w:r>
        <w:rPr>
          <w:spacing w:val="-1"/>
          <w:sz w:val="18"/>
        </w:rPr>
        <w:t xml:space="preserve"> </w:t>
      </w:r>
      <w:r>
        <w:rPr>
          <w:sz w:val="18"/>
        </w:rPr>
        <w:t>incorporated</w:t>
      </w:r>
      <w:r>
        <w:rPr>
          <w:spacing w:val="-1"/>
          <w:sz w:val="18"/>
        </w:rPr>
        <w:t xml:space="preserve"> </w:t>
      </w:r>
      <w:r>
        <w:rPr>
          <w:sz w:val="18"/>
        </w:rPr>
        <w:t>on</w:t>
      </w:r>
      <w:r>
        <w:rPr>
          <w:spacing w:val="-3"/>
          <w:sz w:val="18"/>
        </w:rPr>
        <w:t xml:space="preserve"> </w:t>
      </w:r>
      <w:r>
        <w:rPr>
          <w:sz w:val="18"/>
        </w:rPr>
        <w:t>10</w:t>
      </w:r>
      <w:r>
        <w:rPr>
          <w:spacing w:val="-3"/>
          <w:sz w:val="18"/>
        </w:rPr>
        <w:t xml:space="preserve"> </w:t>
      </w:r>
      <w:r>
        <w:rPr>
          <w:sz w:val="18"/>
        </w:rPr>
        <w:t>September</w:t>
      </w:r>
      <w:r>
        <w:rPr>
          <w:spacing w:val="-3"/>
          <w:sz w:val="18"/>
        </w:rPr>
        <w:t xml:space="preserve"> </w:t>
      </w:r>
      <w:r>
        <w:rPr>
          <w:sz w:val="18"/>
        </w:rPr>
        <w:t>2019</w:t>
      </w:r>
      <w:r>
        <w:rPr>
          <w:spacing w:val="-3"/>
          <w:sz w:val="18"/>
        </w:rPr>
        <w:t xml:space="preserve"> </w:t>
      </w:r>
      <w:r>
        <w:rPr>
          <w:sz w:val="18"/>
        </w:rPr>
        <w:t>and</w:t>
      </w:r>
      <w:r>
        <w:rPr>
          <w:spacing w:val="-3"/>
          <w:sz w:val="18"/>
        </w:rPr>
        <w:t xml:space="preserve"> </w:t>
      </w:r>
      <w:r>
        <w:rPr>
          <w:sz w:val="18"/>
        </w:rPr>
        <w:t>commenced</w:t>
      </w:r>
      <w:r>
        <w:rPr>
          <w:spacing w:val="-3"/>
          <w:sz w:val="18"/>
        </w:rPr>
        <w:t xml:space="preserve"> </w:t>
      </w:r>
      <w:r>
        <w:rPr>
          <w:sz w:val="18"/>
        </w:rPr>
        <w:t>operating</w:t>
      </w:r>
      <w:r>
        <w:rPr>
          <w:spacing w:val="-3"/>
          <w:sz w:val="18"/>
        </w:rPr>
        <w:t xml:space="preserve"> </w:t>
      </w:r>
      <w:r>
        <w:rPr>
          <w:sz w:val="18"/>
        </w:rPr>
        <w:t>on</w:t>
      </w:r>
      <w:r>
        <w:rPr>
          <w:spacing w:val="-3"/>
          <w:sz w:val="18"/>
        </w:rPr>
        <w:t xml:space="preserve"> </w:t>
      </w:r>
      <w:r>
        <w:rPr>
          <w:sz w:val="18"/>
        </w:rPr>
        <w:t>1 October 2019. QSS provides full members of QLS with practice and ethical guidance, support and counsel.</w:t>
      </w:r>
    </w:p>
    <w:p w14:paraId="36810F17" w14:textId="77777777" w:rsidR="00AC6F3C" w:rsidRDefault="00AC6F3C">
      <w:pPr>
        <w:pStyle w:val="BodyText"/>
        <w:rPr>
          <w:sz w:val="21"/>
        </w:rPr>
      </w:pPr>
    </w:p>
    <w:p w14:paraId="102CA9C5" w14:textId="77777777" w:rsidR="00AC6F3C" w:rsidRDefault="00570E88">
      <w:pPr>
        <w:ind w:left="980"/>
        <w:rPr>
          <w:sz w:val="18"/>
        </w:rPr>
      </w:pPr>
      <w:r>
        <w:rPr>
          <w:sz w:val="18"/>
        </w:rPr>
        <w:t>The</w:t>
      </w:r>
      <w:r>
        <w:rPr>
          <w:spacing w:val="-2"/>
          <w:sz w:val="18"/>
        </w:rPr>
        <w:t xml:space="preserve"> </w:t>
      </w:r>
      <w:r>
        <w:rPr>
          <w:sz w:val="18"/>
        </w:rPr>
        <w:t>principal</w:t>
      </w:r>
      <w:r>
        <w:rPr>
          <w:spacing w:val="-2"/>
          <w:sz w:val="18"/>
        </w:rPr>
        <w:t xml:space="preserve"> </w:t>
      </w:r>
      <w:r>
        <w:rPr>
          <w:sz w:val="18"/>
        </w:rPr>
        <w:t>place</w:t>
      </w:r>
      <w:r>
        <w:rPr>
          <w:spacing w:val="-4"/>
          <w:sz w:val="18"/>
        </w:rPr>
        <w:t xml:space="preserve"> </w:t>
      </w:r>
      <w:r>
        <w:rPr>
          <w:sz w:val="18"/>
        </w:rPr>
        <w:t>of</w:t>
      </w:r>
      <w:r>
        <w:rPr>
          <w:spacing w:val="-3"/>
          <w:sz w:val="18"/>
        </w:rPr>
        <w:t xml:space="preserve"> </w:t>
      </w:r>
      <w:r>
        <w:rPr>
          <w:sz w:val="18"/>
        </w:rPr>
        <w:t>business</w:t>
      </w:r>
      <w:r>
        <w:rPr>
          <w:spacing w:val="-2"/>
          <w:sz w:val="18"/>
        </w:rPr>
        <w:t xml:space="preserve"> </w:t>
      </w:r>
      <w:r>
        <w:rPr>
          <w:sz w:val="18"/>
        </w:rPr>
        <w:t>of</w:t>
      </w:r>
      <w:r>
        <w:rPr>
          <w:spacing w:val="-2"/>
          <w:sz w:val="18"/>
        </w:rPr>
        <w:t xml:space="preserve"> </w:t>
      </w:r>
      <w:r>
        <w:rPr>
          <w:sz w:val="18"/>
        </w:rPr>
        <w:t>QSS</w:t>
      </w:r>
      <w:r>
        <w:rPr>
          <w:spacing w:val="-3"/>
          <w:sz w:val="18"/>
        </w:rPr>
        <w:t xml:space="preserve"> </w:t>
      </w:r>
      <w:r>
        <w:rPr>
          <w:sz w:val="18"/>
        </w:rPr>
        <w:t>is</w:t>
      </w:r>
      <w:r>
        <w:rPr>
          <w:spacing w:val="-1"/>
          <w:sz w:val="18"/>
        </w:rPr>
        <w:t xml:space="preserve"> </w:t>
      </w:r>
      <w:r>
        <w:rPr>
          <w:sz w:val="18"/>
        </w:rPr>
        <w:t>179</w:t>
      </w:r>
      <w:r>
        <w:rPr>
          <w:spacing w:val="-2"/>
          <w:sz w:val="18"/>
        </w:rPr>
        <w:t xml:space="preserve"> </w:t>
      </w:r>
      <w:r>
        <w:rPr>
          <w:sz w:val="18"/>
        </w:rPr>
        <w:t>Ann</w:t>
      </w:r>
      <w:r>
        <w:rPr>
          <w:spacing w:val="-2"/>
          <w:sz w:val="18"/>
        </w:rPr>
        <w:t xml:space="preserve"> </w:t>
      </w:r>
      <w:r>
        <w:rPr>
          <w:sz w:val="18"/>
        </w:rPr>
        <w:t>Street,</w:t>
      </w:r>
      <w:r>
        <w:rPr>
          <w:spacing w:val="-2"/>
          <w:sz w:val="18"/>
        </w:rPr>
        <w:t xml:space="preserve"> </w:t>
      </w:r>
      <w:r>
        <w:rPr>
          <w:sz w:val="18"/>
        </w:rPr>
        <w:t>Brisbane</w:t>
      </w:r>
      <w:r>
        <w:rPr>
          <w:spacing w:val="-2"/>
          <w:sz w:val="18"/>
        </w:rPr>
        <w:t xml:space="preserve"> </w:t>
      </w:r>
      <w:r>
        <w:rPr>
          <w:sz w:val="18"/>
        </w:rPr>
        <w:t>QLD</w:t>
      </w:r>
      <w:r>
        <w:rPr>
          <w:spacing w:val="-2"/>
          <w:sz w:val="18"/>
        </w:rPr>
        <w:t xml:space="preserve"> 4000.</w:t>
      </w:r>
    </w:p>
    <w:p w14:paraId="1C7997D3" w14:textId="77777777" w:rsidR="00AC6F3C" w:rsidRDefault="00AC6F3C">
      <w:pPr>
        <w:pStyle w:val="BodyText"/>
        <w:spacing w:before="9"/>
      </w:pPr>
    </w:p>
    <w:p w14:paraId="7FC24866" w14:textId="77777777" w:rsidR="00AC6F3C" w:rsidRDefault="00570E88">
      <w:pPr>
        <w:ind w:left="980"/>
        <w:rPr>
          <w:sz w:val="18"/>
        </w:rPr>
      </w:pPr>
      <w:r>
        <w:rPr>
          <w:sz w:val="18"/>
        </w:rPr>
        <w:t>QSS</w:t>
      </w:r>
      <w:r>
        <w:rPr>
          <w:spacing w:val="-1"/>
          <w:sz w:val="18"/>
        </w:rPr>
        <w:t xml:space="preserve"> </w:t>
      </w:r>
      <w:r>
        <w:rPr>
          <w:sz w:val="18"/>
        </w:rPr>
        <w:t>is an</w:t>
      </w:r>
      <w:r>
        <w:rPr>
          <w:spacing w:val="-3"/>
          <w:sz w:val="18"/>
        </w:rPr>
        <w:t xml:space="preserve"> </w:t>
      </w:r>
      <w:r>
        <w:rPr>
          <w:sz w:val="18"/>
        </w:rPr>
        <w:t>incorporated legal</w:t>
      </w:r>
      <w:r>
        <w:rPr>
          <w:spacing w:val="-3"/>
          <w:sz w:val="18"/>
        </w:rPr>
        <w:t xml:space="preserve"> </w:t>
      </w:r>
      <w:r>
        <w:rPr>
          <w:sz w:val="18"/>
        </w:rPr>
        <w:t>practice</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i/>
          <w:sz w:val="18"/>
        </w:rPr>
        <w:t>Legal Profession</w:t>
      </w:r>
      <w:r>
        <w:rPr>
          <w:i/>
          <w:spacing w:val="-3"/>
          <w:sz w:val="18"/>
        </w:rPr>
        <w:t xml:space="preserve"> </w:t>
      </w:r>
      <w:r>
        <w:rPr>
          <w:i/>
          <w:sz w:val="18"/>
        </w:rPr>
        <w:t>Act</w:t>
      </w:r>
      <w:r>
        <w:rPr>
          <w:i/>
          <w:spacing w:val="-3"/>
          <w:sz w:val="18"/>
        </w:rPr>
        <w:t xml:space="preserve"> </w:t>
      </w:r>
      <w:r>
        <w:rPr>
          <w:sz w:val="18"/>
        </w:rPr>
        <w:t>2007</w:t>
      </w:r>
      <w:r>
        <w:rPr>
          <w:spacing w:val="-3"/>
          <w:sz w:val="18"/>
        </w:rPr>
        <w:t xml:space="preserve"> </w:t>
      </w:r>
      <w:r>
        <w:rPr>
          <w:sz w:val="18"/>
        </w:rPr>
        <w:t>and is a wholly</w:t>
      </w:r>
      <w:r>
        <w:rPr>
          <w:spacing w:val="-2"/>
          <w:sz w:val="18"/>
        </w:rPr>
        <w:t xml:space="preserve"> </w:t>
      </w:r>
      <w:r>
        <w:rPr>
          <w:sz w:val="18"/>
        </w:rPr>
        <w:t>owned</w:t>
      </w:r>
      <w:r>
        <w:rPr>
          <w:spacing w:val="-3"/>
          <w:sz w:val="18"/>
        </w:rPr>
        <w:t xml:space="preserve"> </w:t>
      </w:r>
      <w:r>
        <w:rPr>
          <w:sz w:val="18"/>
        </w:rPr>
        <w:t>subsidiary</w:t>
      </w:r>
      <w:r>
        <w:rPr>
          <w:spacing w:val="-2"/>
          <w:sz w:val="18"/>
        </w:rPr>
        <w:t xml:space="preserve"> </w:t>
      </w:r>
      <w:r>
        <w:rPr>
          <w:sz w:val="18"/>
        </w:rPr>
        <w:t>of Queensland Law Society Incorporated (the Society).</w:t>
      </w:r>
    </w:p>
    <w:p w14:paraId="5B606D96" w14:textId="77777777" w:rsidR="00AC6F3C" w:rsidRDefault="00AC6F3C">
      <w:pPr>
        <w:pStyle w:val="BodyText"/>
        <w:spacing w:before="10"/>
      </w:pPr>
    </w:p>
    <w:p w14:paraId="1D58E923" w14:textId="77777777" w:rsidR="00AC6F3C" w:rsidRDefault="00570E88">
      <w:pPr>
        <w:pStyle w:val="Heading6"/>
        <w:spacing w:before="0"/>
        <w:ind w:left="979"/>
      </w:pPr>
      <w:r>
        <w:t>A1-2</w:t>
      </w:r>
      <w:r>
        <w:rPr>
          <w:spacing w:val="26"/>
        </w:rPr>
        <w:t xml:space="preserve">  </w:t>
      </w:r>
      <w:r>
        <w:t>BASIS OF</w:t>
      </w:r>
      <w:r>
        <w:rPr>
          <w:spacing w:val="-1"/>
        </w:rPr>
        <w:t xml:space="preserve"> </w:t>
      </w:r>
      <w:r>
        <w:rPr>
          <w:spacing w:val="-2"/>
        </w:rPr>
        <w:t>PREPARATION</w:t>
      </w:r>
    </w:p>
    <w:p w14:paraId="76F4AECA" w14:textId="77777777" w:rsidR="00AC6F3C" w:rsidRDefault="00AC6F3C">
      <w:pPr>
        <w:pStyle w:val="BodyText"/>
        <w:spacing w:before="9"/>
        <w:rPr>
          <w:b/>
        </w:rPr>
      </w:pPr>
    </w:p>
    <w:p w14:paraId="23E27BBD" w14:textId="77777777" w:rsidR="00AC6F3C" w:rsidRDefault="00570E88">
      <w:pPr>
        <w:ind w:left="979"/>
        <w:rPr>
          <w:sz w:val="18"/>
        </w:rPr>
      </w:pPr>
      <w:r>
        <w:rPr>
          <w:sz w:val="18"/>
        </w:rPr>
        <w:t>This financial report is a general purpose financial report, which has been prepared in accordance with the requirements</w:t>
      </w:r>
      <w:r>
        <w:rPr>
          <w:spacing w:val="-4"/>
          <w:sz w:val="18"/>
        </w:rPr>
        <w:t xml:space="preserve"> </w:t>
      </w:r>
      <w:r>
        <w:rPr>
          <w:sz w:val="18"/>
        </w:rPr>
        <w:t>of</w:t>
      </w:r>
      <w:r>
        <w:rPr>
          <w:spacing w:val="-3"/>
          <w:sz w:val="18"/>
        </w:rPr>
        <w:t xml:space="preserve"> </w:t>
      </w:r>
      <w:r>
        <w:rPr>
          <w:sz w:val="18"/>
        </w:rPr>
        <w:t>the</w:t>
      </w:r>
      <w:r>
        <w:rPr>
          <w:spacing w:val="-3"/>
          <w:sz w:val="18"/>
        </w:rPr>
        <w:t xml:space="preserve"> </w:t>
      </w:r>
      <w:r>
        <w:rPr>
          <w:i/>
          <w:sz w:val="18"/>
        </w:rPr>
        <w:t>Corporations</w:t>
      </w:r>
      <w:r>
        <w:rPr>
          <w:i/>
          <w:spacing w:val="-2"/>
          <w:sz w:val="18"/>
        </w:rPr>
        <w:t xml:space="preserve"> </w:t>
      </w:r>
      <w:r>
        <w:rPr>
          <w:i/>
          <w:sz w:val="18"/>
        </w:rPr>
        <w:t>Act</w:t>
      </w:r>
      <w:r>
        <w:rPr>
          <w:i/>
          <w:spacing w:val="-3"/>
          <w:sz w:val="18"/>
        </w:rPr>
        <w:t xml:space="preserve"> </w:t>
      </w:r>
      <w:r>
        <w:rPr>
          <w:i/>
          <w:sz w:val="18"/>
        </w:rPr>
        <w:t>2001</w:t>
      </w:r>
      <w:r>
        <w:rPr>
          <w:i/>
          <w:spacing w:val="-2"/>
          <w:sz w:val="18"/>
        </w:rPr>
        <w:t xml:space="preserve"> </w:t>
      </w:r>
      <w:r>
        <w:rPr>
          <w:sz w:val="18"/>
        </w:rPr>
        <w:t>and</w:t>
      </w:r>
      <w:r>
        <w:rPr>
          <w:spacing w:val="-2"/>
          <w:sz w:val="18"/>
        </w:rPr>
        <w:t xml:space="preserve"> </w:t>
      </w:r>
      <w:r>
        <w:rPr>
          <w:sz w:val="18"/>
        </w:rPr>
        <w:t>Australian</w:t>
      </w:r>
      <w:r>
        <w:rPr>
          <w:spacing w:val="-2"/>
          <w:sz w:val="18"/>
        </w:rPr>
        <w:t xml:space="preserve"> </w:t>
      </w:r>
      <w:r>
        <w:rPr>
          <w:sz w:val="18"/>
        </w:rPr>
        <w:t>Accounting</w:t>
      </w:r>
      <w:r>
        <w:rPr>
          <w:spacing w:val="-5"/>
          <w:sz w:val="18"/>
        </w:rPr>
        <w:t xml:space="preserve"> </w:t>
      </w:r>
      <w:r>
        <w:rPr>
          <w:sz w:val="18"/>
        </w:rPr>
        <w:t>Standards</w:t>
      </w:r>
      <w:r>
        <w:rPr>
          <w:spacing w:val="-2"/>
          <w:sz w:val="18"/>
        </w:rPr>
        <w:t xml:space="preserve"> </w:t>
      </w:r>
      <w:r>
        <w:rPr>
          <w:sz w:val="18"/>
        </w:rPr>
        <w:t>–</w:t>
      </w:r>
      <w:r>
        <w:rPr>
          <w:spacing w:val="-3"/>
          <w:sz w:val="18"/>
        </w:rPr>
        <w:t xml:space="preserve"> </w:t>
      </w:r>
      <w:r>
        <w:rPr>
          <w:sz w:val="18"/>
        </w:rPr>
        <w:t>Simplified</w:t>
      </w:r>
      <w:r>
        <w:rPr>
          <w:spacing w:val="-2"/>
          <w:sz w:val="18"/>
        </w:rPr>
        <w:t xml:space="preserve"> </w:t>
      </w:r>
      <w:r>
        <w:rPr>
          <w:sz w:val="18"/>
        </w:rPr>
        <w:t>Disclosures.</w:t>
      </w:r>
      <w:r>
        <w:rPr>
          <w:spacing w:val="-3"/>
          <w:sz w:val="18"/>
        </w:rPr>
        <w:t xml:space="preserve"> </w:t>
      </w:r>
      <w:r>
        <w:rPr>
          <w:sz w:val="18"/>
        </w:rPr>
        <w:t>The financial statements comply with the recognition and measurement requirements of all Australian Accounting Standards and Interpretations applicable to not-for-profit entities, and the presentation requirements in those standards as modified by AASB 1060.</w:t>
      </w:r>
    </w:p>
    <w:p w14:paraId="42B1BAFB" w14:textId="77777777" w:rsidR="00AC6F3C" w:rsidRDefault="00AC6F3C">
      <w:pPr>
        <w:pStyle w:val="BodyText"/>
        <w:spacing w:before="10"/>
      </w:pPr>
    </w:p>
    <w:p w14:paraId="375F074D" w14:textId="77777777" w:rsidR="00AC6F3C" w:rsidRDefault="00570E88">
      <w:pPr>
        <w:pStyle w:val="Heading6"/>
        <w:spacing w:before="1"/>
        <w:ind w:left="979"/>
      </w:pPr>
      <w:r>
        <w:t>A1-3</w:t>
      </w:r>
      <w:r>
        <w:rPr>
          <w:spacing w:val="26"/>
        </w:rPr>
        <w:t xml:space="preserve">  </w:t>
      </w:r>
      <w:r>
        <w:rPr>
          <w:spacing w:val="-2"/>
        </w:rPr>
        <w:t>PRESENTATION</w:t>
      </w:r>
    </w:p>
    <w:p w14:paraId="53A7DFD3" w14:textId="77777777" w:rsidR="00AC6F3C" w:rsidRDefault="00AC6F3C">
      <w:pPr>
        <w:pStyle w:val="BodyText"/>
        <w:spacing w:before="9"/>
        <w:rPr>
          <w:b/>
        </w:rPr>
      </w:pPr>
    </w:p>
    <w:p w14:paraId="6A428D19" w14:textId="77777777" w:rsidR="00AC6F3C" w:rsidRDefault="00570E88">
      <w:pPr>
        <w:ind w:left="979"/>
        <w:rPr>
          <w:b/>
          <w:sz w:val="20"/>
        </w:rPr>
      </w:pPr>
      <w:r>
        <w:rPr>
          <w:b/>
          <w:sz w:val="20"/>
        </w:rPr>
        <w:t>Currency</w:t>
      </w:r>
      <w:r>
        <w:rPr>
          <w:b/>
          <w:spacing w:val="-8"/>
          <w:sz w:val="20"/>
        </w:rPr>
        <w:t xml:space="preserve"> </w:t>
      </w:r>
      <w:r>
        <w:rPr>
          <w:b/>
          <w:sz w:val="20"/>
        </w:rPr>
        <w:t>and</w:t>
      </w:r>
      <w:r>
        <w:rPr>
          <w:b/>
          <w:spacing w:val="-6"/>
          <w:sz w:val="20"/>
        </w:rPr>
        <w:t xml:space="preserve"> </w:t>
      </w:r>
      <w:r>
        <w:rPr>
          <w:b/>
          <w:spacing w:val="-2"/>
          <w:sz w:val="20"/>
        </w:rPr>
        <w:t>rounding</w:t>
      </w:r>
    </w:p>
    <w:p w14:paraId="162BE40E" w14:textId="77777777" w:rsidR="00AC6F3C" w:rsidRDefault="00AC6F3C">
      <w:pPr>
        <w:pStyle w:val="BodyText"/>
        <w:spacing w:before="9"/>
        <w:rPr>
          <w:b/>
        </w:rPr>
      </w:pPr>
    </w:p>
    <w:p w14:paraId="2CD8BD1C" w14:textId="77777777" w:rsidR="00AC6F3C" w:rsidRDefault="00570E88">
      <w:pPr>
        <w:spacing w:before="1"/>
        <w:ind w:left="979"/>
        <w:rPr>
          <w:sz w:val="18"/>
        </w:rPr>
      </w:pPr>
      <w:r>
        <w:rPr>
          <w:sz w:val="18"/>
        </w:rPr>
        <w:t>Amounts</w:t>
      </w:r>
      <w:r>
        <w:rPr>
          <w:spacing w:val="-6"/>
          <w:sz w:val="18"/>
        </w:rPr>
        <w:t xml:space="preserve"> </w:t>
      </w:r>
      <w:r>
        <w:rPr>
          <w:sz w:val="18"/>
        </w:rPr>
        <w:t>included</w:t>
      </w:r>
      <w:r>
        <w:rPr>
          <w:spacing w:val="-1"/>
          <w:sz w:val="18"/>
        </w:rPr>
        <w:t xml:space="preserve"> </w:t>
      </w:r>
      <w:r>
        <w:rPr>
          <w:sz w:val="18"/>
        </w:rPr>
        <w:t>in</w:t>
      </w:r>
      <w:r>
        <w:rPr>
          <w:spacing w:val="-1"/>
          <w:sz w:val="18"/>
        </w:rPr>
        <w:t xml:space="preserve"> </w:t>
      </w:r>
      <w:r>
        <w:rPr>
          <w:sz w:val="18"/>
        </w:rPr>
        <w:t>the</w:t>
      </w:r>
      <w:r>
        <w:rPr>
          <w:spacing w:val="-4"/>
          <w:sz w:val="18"/>
        </w:rPr>
        <w:t xml:space="preserve"> </w:t>
      </w:r>
      <w:r>
        <w:rPr>
          <w:sz w:val="18"/>
        </w:rPr>
        <w:t>financial</w:t>
      </w:r>
      <w:r>
        <w:rPr>
          <w:spacing w:val="-4"/>
          <w:sz w:val="18"/>
        </w:rPr>
        <w:t xml:space="preserve"> </w:t>
      </w:r>
      <w:r>
        <w:rPr>
          <w:sz w:val="18"/>
        </w:rPr>
        <w:t>statements</w:t>
      </w:r>
      <w:r>
        <w:rPr>
          <w:spacing w:val="-4"/>
          <w:sz w:val="18"/>
        </w:rPr>
        <w:t xml:space="preserve"> </w:t>
      </w:r>
      <w:r>
        <w:rPr>
          <w:sz w:val="18"/>
        </w:rPr>
        <w:t>are</w:t>
      </w:r>
      <w:r>
        <w:rPr>
          <w:spacing w:val="-4"/>
          <w:sz w:val="18"/>
        </w:rPr>
        <w:t xml:space="preserve"> </w:t>
      </w:r>
      <w:r>
        <w:rPr>
          <w:sz w:val="18"/>
        </w:rPr>
        <w:t>in</w:t>
      </w:r>
      <w:r>
        <w:rPr>
          <w:spacing w:val="-1"/>
          <w:sz w:val="18"/>
        </w:rPr>
        <w:t xml:space="preserve"> </w:t>
      </w:r>
      <w:r>
        <w:rPr>
          <w:sz w:val="18"/>
        </w:rPr>
        <w:t>Australian</w:t>
      </w:r>
      <w:r>
        <w:rPr>
          <w:spacing w:val="-1"/>
          <w:sz w:val="18"/>
        </w:rPr>
        <w:t xml:space="preserve"> </w:t>
      </w:r>
      <w:r>
        <w:rPr>
          <w:sz w:val="18"/>
        </w:rPr>
        <w:t>dollars</w:t>
      </w:r>
      <w:r>
        <w:rPr>
          <w:spacing w:val="-4"/>
          <w:sz w:val="18"/>
        </w:rPr>
        <w:t xml:space="preserve"> </w:t>
      </w:r>
      <w:r>
        <w:rPr>
          <w:sz w:val="18"/>
        </w:rPr>
        <w:t>and</w:t>
      </w:r>
      <w:r>
        <w:rPr>
          <w:spacing w:val="-2"/>
          <w:sz w:val="18"/>
        </w:rPr>
        <w:t xml:space="preserve"> </w:t>
      </w:r>
      <w:r>
        <w:rPr>
          <w:sz w:val="18"/>
        </w:rPr>
        <w:t>rounded</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nearest</w:t>
      </w:r>
      <w:r>
        <w:rPr>
          <w:spacing w:val="-2"/>
          <w:sz w:val="18"/>
        </w:rPr>
        <w:t xml:space="preserve"> dollar.</w:t>
      </w:r>
    </w:p>
    <w:p w14:paraId="11DBB4B7" w14:textId="77777777" w:rsidR="00AC6F3C" w:rsidRDefault="00AC6F3C">
      <w:pPr>
        <w:pStyle w:val="BodyText"/>
        <w:spacing w:before="9"/>
      </w:pPr>
    </w:p>
    <w:p w14:paraId="34B08648" w14:textId="77777777" w:rsidR="00AC6F3C" w:rsidRDefault="00570E88">
      <w:pPr>
        <w:ind w:left="979"/>
        <w:rPr>
          <w:b/>
          <w:sz w:val="20"/>
        </w:rPr>
      </w:pPr>
      <w:r>
        <w:rPr>
          <w:b/>
          <w:spacing w:val="-2"/>
          <w:sz w:val="20"/>
        </w:rPr>
        <w:t>Comparatives</w:t>
      </w:r>
    </w:p>
    <w:p w14:paraId="731C3BAA" w14:textId="77777777" w:rsidR="00AC6F3C" w:rsidRDefault="00AC6F3C">
      <w:pPr>
        <w:pStyle w:val="BodyText"/>
        <w:spacing w:before="10"/>
        <w:rPr>
          <w:b/>
        </w:rPr>
      </w:pPr>
    </w:p>
    <w:p w14:paraId="1D29DBDA" w14:textId="77777777" w:rsidR="00AC6F3C" w:rsidRDefault="00570E88">
      <w:pPr>
        <w:ind w:left="979"/>
        <w:rPr>
          <w:sz w:val="18"/>
        </w:rPr>
      </w:pPr>
      <w:r>
        <w:rPr>
          <w:sz w:val="18"/>
        </w:rPr>
        <w:t>Comparative</w:t>
      </w:r>
      <w:r>
        <w:rPr>
          <w:spacing w:val="-4"/>
          <w:sz w:val="18"/>
        </w:rPr>
        <w:t xml:space="preserve"> </w:t>
      </w:r>
      <w:r>
        <w:rPr>
          <w:sz w:val="18"/>
        </w:rPr>
        <w:t>information</w:t>
      </w:r>
      <w:r>
        <w:rPr>
          <w:spacing w:val="-3"/>
          <w:sz w:val="18"/>
        </w:rPr>
        <w:t xml:space="preserve"> </w:t>
      </w:r>
      <w:r>
        <w:rPr>
          <w:sz w:val="18"/>
        </w:rPr>
        <w:t>reflects</w:t>
      </w:r>
      <w:r>
        <w:rPr>
          <w:spacing w:val="-4"/>
          <w:sz w:val="18"/>
        </w:rPr>
        <w:t xml:space="preserve"> </w:t>
      </w:r>
      <w:r>
        <w:rPr>
          <w:sz w:val="18"/>
        </w:rPr>
        <w:t>the</w:t>
      </w:r>
      <w:r>
        <w:rPr>
          <w:spacing w:val="-3"/>
          <w:sz w:val="18"/>
        </w:rPr>
        <w:t xml:space="preserve"> </w:t>
      </w:r>
      <w:r>
        <w:rPr>
          <w:sz w:val="18"/>
        </w:rPr>
        <w:t>audited</w:t>
      </w:r>
      <w:r>
        <w:rPr>
          <w:spacing w:val="-4"/>
          <w:sz w:val="18"/>
        </w:rPr>
        <w:t xml:space="preserve"> </w:t>
      </w:r>
      <w:r>
        <w:rPr>
          <w:sz w:val="18"/>
        </w:rPr>
        <w:t>2021-22</w:t>
      </w:r>
      <w:r>
        <w:rPr>
          <w:spacing w:val="-4"/>
          <w:sz w:val="18"/>
        </w:rPr>
        <w:t xml:space="preserve"> </w:t>
      </w:r>
      <w:r>
        <w:rPr>
          <w:sz w:val="18"/>
        </w:rPr>
        <w:t>financial</w:t>
      </w:r>
      <w:r>
        <w:rPr>
          <w:spacing w:val="-3"/>
          <w:sz w:val="18"/>
        </w:rPr>
        <w:t xml:space="preserve"> </w:t>
      </w:r>
      <w:r>
        <w:rPr>
          <w:spacing w:val="-2"/>
          <w:sz w:val="18"/>
        </w:rPr>
        <w:t>statements.</w:t>
      </w:r>
    </w:p>
    <w:p w14:paraId="69E3EDAB" w14:textId="77777777" w:rsidR="00AC6F3C" w:rsidRDefault="00AC6F3C">
      <w:pPr>
        <w:pStyle w:val="BodyText"/>
        <w:spacing w:before="10"/>
      </w:pPr>
    </w:p>
    <w:p w14:paraId="6821B127" w14:textId="77777777" w:rsidR="00AC6F3C" w:rsidRDefault="00570E88">
      <w:pPr>
        <w:ind w:left="979"/>
        <w:rPr>
          <w:b/>
          <w:sz w:val="20"/>
        </w:rPr>
      </w:pPr>
      <w:r>
        <w:rPr>
          <w:b/>
          <w:spacing w:val="-2"/>
          <w:sz w:val="20"/>
        </w:rPr>
        <w:t>Current/non-current</w:t>
      </w:r>
      <w:r>
        <w:rPr>
          <w:b/>
          <w:spacing w:val="13"/>
          <w:sz w:val="20"/>
        </w:rPr>
        <w:t xml:space="preserve"> </w:t>
      </w:r>
      <w:r>
        <w:rPr>
          <w:b/>
          <w:spacing w:val="-2"/>
          <w:sz w:val="20"/>
        </w:rPr>
        <w:t>classification</w:t>
      </w:r>
    </w:p>
    <w:p w14:paraId="6F9624EB" w14:textId="77777777" w:rsidR="00AC6F3C" w:rsidRDefault="00AC6F3C">
      <w:pPr>
        <w:pStyle w:val="BodyText"/>
        <w:spacing w:before="10"/>
        <w:rPr>
          <w:b/>
        </w:rPr>
      </w:pPr>
    </w:p>
    <w:p w14:paraId="6E133FF5" w14:textId="77777777" w:rsidR="00AC6F3C" w:rsidRDefault="00570E88">
      <w:pPr>
        <w:ind w:left="979" w:right="337"/>
        <w:rPr>
          <w:sz w:val="18"/>
        </w:rPr>
      </w:pPr>
      <w:r>
        <w:rPr>
          <w:sz w:val="18"/>
        </w:rPr>
        <w:t xml:space="preserve">Assets are classified as 'current' where their carrying amount is expected to be </w:t>
      </w:r>
      <w:proofErr w:type="spellStart"/>
      <w:r>
        <w:rPr>
          <w:sz w:val="18"/>
        </w:rPr>
        <w:t>realised</w:t>
      </w:r>
      <w:proofErr w:type="spellEnd"/>
      <w:r>
        <w:rPr>
          <w:sz w:val="18"/>
        </w:rPr>
        <w:t xml:space="preserve"> within 12 months after the</w:t>
      </w:r>
      <w:r>
        <w:rPr>
          <w:spacing w:val="-1"/>
          <w:sz w:val="18"/>
        </w:rPr>
        <w:t xml:space="preserve"> </w:t>
      </w:r>
      <w:r>
        <w:rPr>
          <w:sz w:val="18"/>
        </w:rPr>
        <w:t>reporting</w:t>
      </w:r>
      <w:r>
        <w:rPr>
          <w:spacing w:val="-1"/>
          <w:sz w:val="18"/>
        </w:rPr>
        <w:t xml:space="preserve"> </w:t>
      </w:r>
      <w:r>
        <w:rPr>
          <w:sz w:val="18"/>
        </w:rPr>
        <w:t>date.</w:t>
      </w:r>
      <w:r>
        <w:rPr>
          <w:spacing w:val="-4"/>
          <w:sz w:val="18"/>
        </w:rPr>
        <w:t xml:space="preserve"> </w:t>
      </w:r>
      <w:r>
        <w:rPr>
          <w:sz w:val="18"/>
        </w:rPr>
        <w:t>Liabilities</w:t>
      </w:r>
      <w:r>
        <w:rPr>
          <w:spacing w:val="-1"/>
          <w:sz w:val="18"/>
        </w:rPr>
        <w:t xml:space="preserve"> </w:t>
      </w:r>
      <w:r>
        <w:rPr>
          <w:sz w:val="18"/>
        </w:rPr>
        <w:t>are</w:t>
      </w:r>
      <w:r>
        <w:rPr>
          <w:spacing w:val="-1"/>
          <w:sz w:val="18"/>
        </w:rPr>
        <w:t xml:space="preserve"> </w:t>
      </w:r>
      <w:r>
        <w:rPr>
          <w:sz w:val="18"/>
        </w:rPr>
        <w:t>classified</w:t>
      </w:r>
      <w:r>
        <w:rPr>
          <w:spacing w:val="-1"/>
          <w:sz w:val="18"/>
        </w:rPr>
        <w:t xml:space="preserve"> </w:t>
      </w:r>
      <w:r>
        <w:rPr>
          <w:sz w:val="18"/>
        </w:rPr>
        <w:t>as</w:t>
      </w:r>
      <w:r>
        <w:rPr>
          <w:spacing w:val="-1"/>
          <w:sz w:val="18"/>
        </w:rPr>
        <w:t xml:space="preserve"> </w:t>
      </w:r>
      <w:r>
        <w:rPr>
          <w:sz w:val="18"/>
        </w:rPr>
        <w:t>'current'</w:t>
      </w:r>
      <w:r>
        <w:rPr>
          <w:spacing w:val="-3"/>
          <w:sz w:val="18"/>
        </w:rPr>
        <w:t xml:space="preserve"> </w:t>
      </w:r>
      <w:r>
        <w:rPr>
          <w:sz w:val="18"/>
        </w:rPr>
        <w:t>when</w:t>
      </w:r>
      <w:r>
        <w:rPr>
          <w:spacing w:val="-1"/>
          <w:sz w:val="18"/>
        </w:rPr>
        <w:t xml:space="preserve"> </w:t>
      </w:r>
      <w:r>
        <w:rPr>
          <w:sz w:val="18"/>
        </w:rPr>
        <w:t>they</w:t>
      </w:r>
      <w:r>
        <w:rPr>
          <w:spacing w:val="-3"/>
          <w:sz w:val="18"/>
        </w:rPr>
        <w:t xml:space="preserve"> </w:t>
      </w:r>
      <w:r>
        <w:rPr>
          <w:sz w:val="18"/>
        </w:rPr>
        <w:t>are</w:t>
      </w:r>
      <w:r>
        <w:rPr>
          <w:spacing w:val="-1"/>
          <w:sz w:val="18"/>
        </w:rPr>
        <w:t xml:space="preserve"> </w:t>
      </w:r>
      <w:r>
        <w:rPr>
          <w:sz w:val="18"/>
        </w:rPr>
        <w:t>due</w:t>
      </w:r>
      <w:r>
        <w:rPr>
          <w:spacing w:val="-1"/>
          <w:sz w:val="18"/>
        </w:rPr>
        <w:t xml:space="preserve"> </w:t>
      </w:r>
      <w:r>
        <w:rPr>
          <w:sz w:val="18"/>
        </w:rPr>
        <w:t>to</w:t>
      </w:r>
      <w:r>
        <w:rPr>
          <w:spacing w:val="-4"/>
          <w:sz w:val="18"/>
        </w:rPr>
        <w:t xml:space="preserve"> </w:t>
      </w:r>
      <w:r>
        <w:rPr>
          <w:sz w:val="18"/>
        </w:rPr>
        <w:t>be</w:t>
      </w:r>
      <w:r>
        <w:rPr>
          <w:spacing w:val="-4"/>
          <w:sz w:val="18"/>
        </w:rPr>
        <w:t xml:space="preserve"> </w:t>
      </w:r>
      <w:r>
        <w:rPr>
          <w:sz w:val="18"/>
        </w:rPr>
        <w:t>settled</w:t>
      </w:r>
      <w:r>
        <w:rPr>
          <w:spacing w:val="-4"/>
          <w:sz w:val="18"/>
        </w:rPr>
        <w:t xml:space="preserve"> </w:t>
      </w:r>
      <w:r>
        <w:rPr>
          <w:sz w:val="18"/>
        </w:rPr>
        <w:t>within</w:t>
      </w:r>
      <w:r>
        <w:rPr>
          <w:spacing w:val="-1"/>
          <w:sz w:val="18"/>
        </w:rPr>
        <w:t xml:space="preserve"> </w:t>
      </w:r>
      <w:r>
        <w:rPr>
          <w:sz w:val="18"/>
        </w:rPr>
        <w:t>12</w:t>
      </w:r>
      <w:r>
        <w:rPr>
          <w:spacing w:val="-4"/>
          <w:sz w:val="18"/>
        </w:rPr>
        <w:t xml:space="preserve"> </w:t>
      </w:r>
      <w:r>
        <w:rPr>
          <w:sz w:val="18"/>
        </w:rPr>
        <w:t>months</w:t>
      </w:r>
      <w:r>
        <w:rPr>
          <w:spacing w:val="-3"/>
          <w:sz w:val="18"/>
        </w:rPr>
        <w:t xml:space="preserve"> </w:t>
      </w:r>
      <w:r>
        <w:rPr>
          <w:sz w:val="18"/>
        </w:rPr>
        <w:t>after</w:t>
      </w:r>
      <w:r>
        <w:rPr>
          <w:spacing w:val="-4"/>
          <w:sz w:val="18"/>
        </w:rPr>
        <w:t xml:space="preserve"> </w:t>
      </w:r>
      <w:r>
        <w:rPr>
          <w:sz w:val="18"/>
        </w:rPr>
        <w:t>the reporting date, or the foundation does not have an unconditional right to defer settlement to beyond 12 months after the reporting date. All other assets and liabilities are classified as non-current.</w:t>
      </w:r>
    </w:p>
    <w:p w14:paraId="73898C1E" w14:textId="77777777" w:rsidR="00AC6F3C" w:rsidRDefault="00AC6F3C">
      <w:pPr>
        <w:pStyle w:val="BodyText"/>
        <w:rPr>
          <w:sz w:val="21"/>
        </w:rPr>
      </w:pPr>
    </w:p>
    <w:p w14:paraId="7ED14D4F" w14:textId="77777777" w:rsidR="00AC6F3C" w:rsidRDefault="00570E88">
      <w:pPr>
        <w:pStyle w:val="Heading6"/>
        <w:spacing w:before="0"/>
        <w:ind w:left="979"/>
      </w:pPr>
      <w:r>
        <w:t>A1-4</w:t>
      </w:r>
      <w:r>
        <w:rPr>
          <w:spacing w:val="26"/>
        </w:rPr>
        <w:t xml:space="preserve">  </w:t>
      </w:r>
      <w:r>
        <w:t>BASIS OF</w:t>
      </w:r>
      <w:r>
        <w:rPr>
          <w:spacing w:val="-1"/>
        </w:rPr>
        <w:t xml:space="preserve"> </w:t>
      </w:r>
      <w:r>
        <w:rPr>
          <w:spacing w:val="-2"/>
        </w:rPr>
        <w:t>MEASUREMENT</w:t>
      </w:r>
    </w:p>
    <w:p w14:paraId="3E8FDDFD" w14:textId="77777777" w:rsidR="00AC6F3C" w:rsidRDefault="00AC6F3C">
      <w:pPr>
        <w:pStyle w:val="BodyText"/>
        <w:spacing w:before="8"/>
        <w:rPr>
          <w:b/>
        </w:rPr>
      </w:pPr>
    </w:p>
    <w:p w14:paraId="30440A5A" w14:textId="77777777" w:rsidR="00AC6F3C" w:rsidRDefault="00570E88">
      <w:pPr>
        <w:ind w:left="979"/>
        <w:rPr>
          <w:sz w:val="18"/>
        </w:rPr>
      </w:pPr>
      <w:r>
        <w:rPr>
          <w:sz w:val="18"/>
        </w:rPr>
        <w:t>Historical</w:t>
      </w:r>
      <w:r>
        <w:rPr>
          <w:spacing w:val="-3"/>
          <w:sz w:val="18"/>
        </w:rPr>
        <w:t xml:space="preserve"> </w:t>
      </w:r>
      <w:r>
        <w:rPr>
          <w:sz w:val="18"/>
        </w:rPr>
        <w:t>cost</w:t>
      </w:r>
      <w:r>
        <w:rPr>
          <w:spacing w:val="-4"/>
          <w:sz w:val="18"/>
        </w:rPr>
        <w:t xml:space="preserve"> </w:t>
      </w:r>
      <w:r>
        <w:rPr>
          <w:sz w:val="18"/>
        </w:rPr>
        <w:t>is</w:t>
      </w:r>
      <w:r>
        <w:rPr>
          <w:spacing w:val="-3"/>
          <w:sz w:val="18"/>
        </w:rPr>
        <w:t xml:space="preserve"> </w:t>
      </w:r>
      <w:r>
        <w:rPr>
          <w:sz w:val="18"/>
        </w:rPr>
        <w:t>used</w:t>
      </w:r>
      <w:r>
        <w:rPr>
          <w:spacing w:val="-1"/>
          <w:sz w:val="18"/>
        </w:rPr>
        <w:t xml:space="preserve"> </w:t>
      </w:r>
      <w:r>
        <w:rPr>
          <w:sz w:val="18"/>
        </w:rPr>
        <w:t>as</w:t>
      </w:r>
      <w:r>
        <w:rPr>
          <w:spacing w:val="-1"/>
          <w:sz w:val="18"/>
        </w:rPr>
        <w:t xml:space="preserve"> </w:t>
      </w:r>
      <w:r>
        <w:rPr>
          <w:sz w:val="18"/>
        </w:rPr>
        <w:t>the</w:t>
      </w:r>
      <w:r>
        <w:rPr>
          <w:spacing w:val="-4"/>
          <w:sz w:val="18"/>
        </w:rPr>
        <w:t xml:space="preserve"> </w:t>
      </w:r>
      <w:r>
        <w:rPr>
          <w:sz w:val="18"/>
        </w:rPr>
        <w:t>measurement</w:t>
      </w:r>
      <w:r>
        <w:rPr>
          <w:spacing w:val="-4"/>
          <w:sz w:val="18"/>
        </w:rPr>
        <w:t xml:space="preserve"> </w:t>
      </w:r>
      <w:r>
        <w:rPr>
          <w:sz w:val="18"/>
        </w:rPr>
        <w:t>basis</w:t>
      </w:r>
      <w:r>
        <w:rPr>
          <w:spacing w:val="-3"/>
          <w:sz w:val="18"/>
        </w:rPr>
        <w:t xml:space="preserve"> </w:t>
      </w:r>
      <w:r>
        <w:rPr>
          <w:sz w:val="18"/>
        </w:rPr>
        <w:t>in</w:t>
      </w:r>
      <w:r>
        <w:rPr>
          <w:spacing w:val="-4"/>
          <w:sz w:val="18"/>
        </w:rPr>
        <w:t xml:space="preserve"> </w:t>
      </w:r>
      <w:r>
        <w:rPr>
          <w:sz w:val="18"/>
        </w:rPr>
        <w:t>this</w:t>
      </w:r>
      <w:r>
        <w:rPr>
          <w:spacing w:val="-1"/>
          <w:sz w:val="18"/>
        </w:rPr>
        <w:t xml:space="preserve"> </w:t>
      </w:r>
      <w:r>
        <w:rPr>
          <w:sz w:val="18"/>
        </w:rPr>
        <w:t>financial</w:t>
      </w:r>
      <w:r>
        <w:rPr>
          <w:spacing w:val="-1"/>
          <w:sz w:val="18"/>
        </w:rPr>
        <w:t xml:space="preserve"> </w:t>
      </w:r>
      <w:r>
        <w:rPr>
          <w:sz w:val="18"/>
        </w:rPr>
        <w:t>report</w:t>
      </w:r>
      <w:r>
        <w:rPr>
          <w:spacing w:val="-2"/>
          <w:sz w:val="18"/>
        </w:rPr>
        <w:t xml:space="preserve"> </w:t>
      </w:r>
      <w:r>
        <w:rPr>
          <w:sz w:val="18"/>
        </w:rPr>
        <w:t>except</w:t>
      </w:r>
      <w:r>
        <w:rPr>
          <w:spacing w:val="-2"/>
          <w:sz w:val="18"/>
        </w:rPr>
        <w:t xml:space="preserve"> </w:t>
      </w:r>
      <w:r>
        <w:rPr>
          <w:sz w:val="18"/>
        </w:rPr>
        <w:t>where</w:t>
      </w:r>
      <w:r>
        <w:rPr>
          <w:spacing w:val="-4"/>
          <w:sz w:val="18"/>
        </w:rPr>
        <w:t xml:space="preserve"> </w:t>
      </w:r>
      <w:r>
        <w:rPr>
          <w:sz w:val="18"/>
        </w:rPr>
        <w:t>stated</w:t>
      </w:r>
      <w:r>
        <w:rPr>
          <w:spacing w:val="-1"/>
          <w:sz w:val="18"/>
        </w:rPr>
        <w:t xml:space="preserve"> </w:t>
      </w:r>
      <w:r>
        <w:rPr>
          <w:spacing w:val="-2"/>
          <w:sz w:val="18"/>
        </w:rPr>
        <w:t>otherwise.</w:t>
      </w:r>
    </w:p>
    <w:p w14:paraId="3D4DF790" w14:textId="77777777" w:rsidR="00AC6F3C" w:rsidRDefault="00AC6F3C">
      <w:pPr>
        <w:pStyle w:val="BodyText"/>
        <w:rPr>
          <w:sz w:val="21"/>
        </w:rPr>
      </w:pPr>
    </w:p>
    <w:p w14:paraId="731F131F" w14:textId="77777777" w:rsidR="00AC6F3C" w:rsidRDefault="00570E88">
      <w:pPr>
        <w:spacing w:before="1"/>
        <w:ind w:left="980" w:right="234"/>
        <w:rPr>
          <w:sz w:val="18"/>
        </w:rPr>
      </w:pPr>
      <w:r>
        <w:rPr>
          <w:sz w:val="18"/>
        </w:rPr>
        <w:t>QSS is a for profit</w:t>
      </w:r>
      <w:r>
        <w:rPr>
          <w:spacing w:val="-1"/>
          <w:sz w:val="18"/>
        </w:rPr>
        <w:t xml:space="preserve"> </w:t>
      </w:r>
      <w:r>
        <w:rPr>
          <w:sz w:val="18"/>
        </w:rPr>
        <w:t>private</w:t>
      </w:r>
      <w:r>
        <w:rPr>
          <w:spacing w:val="-1"/>
          <w:sz w:val="18"/>
        </w:rPr>
        <w:t xml:space="preserve"> </w:t>
      </w:r>
      <w:r>
        <w:rPr>
          <w:sz w:val="18"/>
        </w:rPr>
        <w:t>company and</w:t>
      </w:r>
      <w:r>
        <w:rPr>
          <w:spacing w:val="-1"/>
          <w:sz w:val="18"/>
        </w:rPr>
        <w:t xml:space="preserve"> </w:t>
      </w:r>
      <w:r>
        <w:rPr>
          <w:sz w:val="18"/>
        </w:rPr>
        <w:t>these general purpose financial statements are prepared</w:t>
      </w:r>
      <w:r>
        <w:rPr>
          <w:spacing w:val="-1"/>
          <w:sz w:val="18"/>
        </w:rPr>
        <w:t xml:space="preserve"> </w:t>
      </w:r>
      <w:r>
        <w:rPr>
          <w:sz w:val="18"/>
        </w:rPr>
        <w:t>on an accrual basis</w:t>
      </w:r>
      <w:r>
        <w:rPr>
          <w:spacing w:val="-1"/>
          <w:sz w:val="18"/>
        </w:rPr>
        <w:t xml:space="preserve"> </w:t>
      </w:r>
      <w:r>
        <w:rPr>
          <w:sz w:val="18"/>
        </w:rPr>
        <w:t>(except</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1"/>
          <w:sz w:val="18"/>
        </w:rPr>
        <w:t xml:space="preserve"> </w:t>
      </w:r>
      <w:r>
        <w:rPr>
          <w:sz w:val="18"/>
        </w:rPr>
        <w:t>which</w:t>
      </w:r>
      <w:r>
        <w:rPr>
          <w:spacing w:val="-1"/>
          <w:sz w:val="18"/>
        </w:rPr>
        <w:t xml:space="preserve"> </w:t>
      </w:r>
      <w:r>
        <w:rPr>
          <w:sz w:val="18"/>
        </w:rPr>
        <w:t>is</w:t>
      </w:r>
      <w:r>
        <w:rPr>
          <w:spacing w:val="-1"/>
          <w:sz w:val="18"/>
        </w:rPr>
        <w:t xml:space="preserve"> </w:t>
      </w:r>
      <w:r>
        <w:rPr>
          <w:sz w:val="18"/>
        </w:rPr>
        <w:t>prepared</w:t>
      </w:r>
      <w:r>
        <w:rPr>
          <w:spacing w:val="-1"/>
          <w:sz w:val="18"/>
        </w:rPr>
        <w:t xml:space="preserve"> </w:t>
      </w:r>
      <w:r>
        <w:rPr>
          <w:sz w:val="18"/>
        </w:rPr>
        <w:t>on</w:t>
      </w:r>
      <w:r>
        <w:rPr>
          <w:spacing w:val="-4"/>
          <w:sz w:val="18"/>
        </w:rPr>
        <w:t xml:space="preserve"> </w:t>
      </w:r>
      <w:r>
        <w:rPr>
          <w:sz w:val="18"/>
        </w:rPr>
        <w:t>a</w:t>
      </w:r>
      <w:r>
        <w:rPr>
          <w:spacing w:val="-1"/>
          <w:sz w:val="18"/>
        </w:rPr>
        <w:t xml:space="preserve"> </w:t>
      </w:r>
      <w:r>
        <w:rPr>
          <w:sz w:val="18"/>
        </w:rPr>
        <w:t>cash</w:t>
      </w:r>
      <w:r>
        <w:rPr>
          <w:spacing w:val="-4"/>
          <w:sz w:val="18"/>
        </w:rPr>
        <w:t xml:space="preserve"> </w:t>
      </w:r>
      <w:r>
        <w:rPr>
          <w:sz w:val="18"/>
        </w:rPr>
        <w:t>basis)</w:t>
      </w:r>
      <w:r>
        <w:rPr>
          <w:spacing w:val="-2"/>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1"/>
          <w:sz w:val="18"/>
        </w:rPr>
        <w:t xml:space="preserve"> </w:t>
      </w:r>
      <w:r>
        <w:rPr>
          <w:sz w:val="18"/>
        </w:rPr>
        <w:t>Australian Accounting Standards and Interpretations applicable to for profit private entities.</w:t>
      </w:r>
    </w:p>
    <w:p w14:paraId="0A2D74DD" w14:textId="77777777" w:rsidR="00AC6F3C" w:rsidRDefault="00AC6F3C">
      <w:pPr>
        <w:pStyle w:val="BodyText"/>
        <w:spacing w:before="7"/>
      </w:pPr>
    </w:p>
    <w:p w14:paraId="0CE90BA5" w14:textId="77777777" w:rsidR="00AC6F3C" w:rsidRDefault="00570E88">
      <w:pPr>
        <w:tabs>
          <w:tab w:val="left" w:pos="1687"/>
        </w:tabs>
        <w:spacing w:before="1"/>
        <w:ind w:left="979"/>
        <w:rPr>
          <w:b/>
          <w:sz w:val="28"/>
        </w:rPr>
      </w:pPr>
      <w:r>
        <w:rPr>
          <w:b/>
          <w:spacing w:val="-5"/>
          <w:sz w:val="28"/>
        </w:rPr>
        <w:t>A2</w:t>
      </w:r>
      <w:r>
        <w:rPr>
          <w:b/>
          <w:sz w:val="28"/>
        </w:rPr>
        <w:tab/>
        <w:t>QSS’S</w:t>
      </w:r>
      <w:r>
        <w:rPr>
          <w:b/>
          <w:spacing w:val="-1"/>
          <w:sz w:val="28"/>
        </w:rPr>
        <w:t xml:space="preserve"> </w:t>
      </w:r>
      <w:r>
        <w:rPr>
          <w:b/>
          <w:spacing w:val="-2"/>
          <w:sz w:val="28"/>
        </w:rPr>
        <w:t>OBJECTIVES</w:t>
      </w:r>
    </w:p>
    <w:p w14:paraId="637065BF" w14:textId="77777777" w:rsidR="00AC6F3C" w:rsidRDefault="00570E88">
      <w:pPr>
        <w:spacing w:before="239"/>
        <w:ind w:left="979" w:right="468"/>
        <w:rPr>
          <w:sz w:val="18"/>
        </w:rPr>
      </w:pPr>
      <w:r>
        <w:rPr>
          <w:sz w:val="18"/>
        </w:rPr>
        <w:t>QSS’s</w:t>
      </w:r>
      <w:r>
        <w:rPr>
          <w:spacing w:val="-1"/>
          <w:sz w:val="18"/>
        </w:rPr>
        <w:t xml:space="preserve"> </w:t>
      </w:r>
      <w:r>
        <w:rPr>
          <w:sz w:val="18"/>
        </w:rPr>
        <w:t>objectives</w:t>
      </w:r>
      <w:r>
        <w:rPr>
          <w:spacing w:val="-3"/>
          <w:sz w:val="18"/>
        </w:rPr>
        <w:t xml:space="preserve"> </w:t>
      </w:r>
      <w:r>
        <w:rPr>
          <w:sz w:val="18"/>
        </w:rPr>
        <w:t>are</w:t>
      </w:r>
      <w:r>
        <w:rPr>
          <w:spacing w:val="-1"/>
          <w:sz w:val="18"/>
        </w:rPr>
        <w:t xml:space="preserve"> </w:t>
      </w:r>
      <w:r>
        <w:rPr>
          <w:sz w:val="18"/>
        </w:rPr>
        <w:t>to</w:t>
      </w:r>
      <w:r>
        <w:rPr>
          <w:spacing w:val="-4"/>
          <w:sz w:val="18"/>
        </w:rPr>
        <w:t xml:space="preserve"> </w:t>
      </w:r>
      <w:r>
        <w:rPr>
          <w:sz w:val="18"/>
        </w:rPr>
        <w:t>provide</w:t>
      </w:r>
      <w:r>
        <w:rPr>
          <w:spacing w:val="-1"/>
          <w:sz w:val="18"/>
        </w:rPr>
        <w:t xml:space="preserve"> </w:t>
      </w:r>
      <w:r>
        <w:rPr>
          <w:sz w:val="18"/>
        </w:rPr>
        <w:t>legal</w:t>
      </w:r>
      <w:r>
        <w:rPr>
          <w:spacing w:val="-4"/>
          <w:sz w:val="18"/>
        </w:rPr>
        <w:t xml:space="preserve"> </w:t>
      </w:r>
      <w:r>
        <w:rPr>
          <w:sz w:val="18"/>
        </w:rPr>
        <w:t>services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delivery</w:t>
      </w:r>
      <w:r>
        <w:rPr>
          <w:spacing w:val="-1"/>
          <w:sz w:val="18"/>
        </w:rPr>
        <w:t xml:space="preserve"> </w:t>
      </w:r>
      <w:r>
        <w:rPr>
          <w:sz w:val="18"/>
        </w:rPr>
        <w:t>of</w:t>
      </w:r>
      <w:r>
        <w:rPr>
          <w:spacing w:val="-4"/>
          <w:sz w:val="18"/>
        </w:rPr>
        <w:t xml:space="preserve"> </w:t>
      </w:r>
      <w:r>
        <w:rPr>
          <w:sz w:val="18"/>
        </w:rPr>
        <w:t>guidance,</w:t>
      </w:r>
      <w:r>
        <w:rPr>
          <w:spacing w:val="-4"/>
          <w:sz w:val="18"/>
        </w:rPr>
        <w:t xml:space="preserve"> </w:t>
      </w:r>
      <w:r>
        <w:rPr>
          <w:sz w:val="18"/>
        </w:rPr>
        <w:t>support</w:t>
      </w:r>
      <w:r>
        <w:rPr>
          <w:spacing w:val="-2"/>
          <w:sz w:val="18"/>
        </w:rPr>
        <w:t xml:space="preserve"> </w:t>
      </w:r>
      <w:r>
        <w:rPr>
          <w:sz w:val="18"/>
        </w:rPr>
        <w:t>and</w:t>
      </w:r>
      <w:r>
        <w:rPr>
          <w:spacing w:val="-4"/>
          <w:sz w:val="18"/>
        </w:rPr>
        <w:t xml:space="preserve"> </w:t>
      </w:r>
      <w:r>
        <w:rPr>
          <w:sz w:val="18"/>
        </w:rPr>
        <w:t>counsel</w:t>
      </w:r>
      <w:r>
        <w:rPr>
          <w:spacing w:val="-1"/>
          <w:sz w:val="18"/>
        </w:rPr>
        <w:t xml:space="preserve"> </w:t>
      </w:r>
      <w:r>
        <w:rPr>
          <w:sz w:val="18"/>
        </w:rPr>
        <w:t>to</w:t>
      </w:r>
      <w:r>
        <w:rPr>
          <w:spacing w:val="-4"/>
          <w:sz w:val="18"/>
        </w:rPr>
        <w:t xml:space="preserve"> </w:t>
      </w:r>
      <w:r>
        <w:rPr>
          <w:sz w:val="18"/>
        </w:rPr>
        <w:t>members</w:t>
      </w:r>
      <w:r>
        <w:rPr>
          <w:spacing w:val="-1"/>
          <w:sz w:val="18"/>
        </w:rPr>
        <w:t xml:space="preserve"> </w:t>
      </w:r>
      <w:r>
        <w:rPr>
          <w:sz w:val="18"/>
        </w:rPr>
        <w:t>of the Society and other legal practitioners on ethical and legal practice management issues.</w:t>
      </w:r>
      <w:r>
        <w:rPr>
          <w:spacing w:val="40"/>
          <w:sz w:val="18"/>
        </w:rPr>
        <w:t xml:space="preserve"> </w:t>
      </w:r>
      <w:r>
        <w:rPr>
          <w:sz w:val="18"/>
        </w:rPr>
        <w:t>They also provide education and publications on legal ethics to the legal profession and practice management members of the Society and other legal practitioners.</w:t>
      </w:r>
    </w:p>
    <w:p w14:paraId="69FC420D" w14:textId="77777777" w:rsidR="00AC6F3C" w:rsidRDefault="00AC6F3C">
      <w:pPr>
        <w:pStyle w:val="BodyText"/>
        <w:spacing w:before="10"/>
      </w:pPr>
    </w:p>
    <w:p w14:paraId="0D7EDB9F" w14:textId="77777777" w:rsidR="00AC6F3C" w:rsidRDefault="00570E88">
      <w:pPr>
        <w:tabs>
          <w:tab w:val="left" w:pos="1687"/>
        </w:tabs>
        <w:ind w:left="979"/>
        <w:rPr>
          <w:b/>
          <w:sz w:val="28"/>
        </w:rPr>
      </w:pPr>
      <w:r>
        <w:rPr>
          <w:b/>
          <w:spacing w:val="-5"/>
          <w:sz w:val="28"/>
        </w:rPr>
        <w:t>A3</w:t>
      </w:r>
      <w:r>
        <w:rPr>
          <w:b/>
          <w:sz w:val="28"/>
        </w:rPr>
        <w:tab/>
      </w:r>
      <w:r>
        <w:rPr>
          <w:b/>
          <w:spacing w:val="-2"/>
          <w:sz w:val="28"/>
        </w:rPr>
        <w:t>AUTHORISATION</w:t>
      </w:r>
      <w:r>
        <w:rPr>
          <w:b/>
          <w:spacing w:val="-11"/>
          <w:sz w:val="28"/>
        </w:rPr>
        <w:t xml:space="preserve"> </w:t>
      </w:r>
      <w:r>
        <w:rPr>
          <w:b/>
          <w:spacing w:val="-2"/>
          <w:sz w:val="28"/>
        </w:rPr>
        <w:t>OF</w:t>
      </w:r>
      <w:r>
        <w:rPr>
          <w:b/>
          <w:spacing w:val="-5"/>
          <w:sz w:val="28"/>
        </w:rPr>
        <w:t xml:space="preserve"> </w:t>
      </w:r>
      <w:r>
        <w:rPr>
          <w:b/>
          <w:spacing w:val="-2"/>
          <w:sz w:val="28"/>
        </w:rPr>
        <w:t>FINANCIAL</w:t>
      </w:r>
      <w:r>
        <w:rPr>
          <w:b/>
          <w:spacing w:val="-10"/>
          <w:sz w:val="28"/>
        </w:rPr>
        <w:t xml:space="preserve"> </w:t>
      </w:r>
      <w:r>
        <w:rPr>
          <w:b/>
          <w:spacing w:val="-2"/>
          <w:sz w:val="28"/>
        </w:rPr>
        <w:t>STATEMENTS</w:t>
      </w:r>
      <w:r>
        <w:rPr>
          <w:b/>
          <w:spacing w:val="-4"/>
          <w:sz w:val="28"/>
        </w:rPr>
        <w:t xml:space="preserve"> </w:t>
      </w:r>
      <w:r>
        <w:rPr>
          <w:b/>
          <w:spacing w:val="-2"/>
          <w:sz w:val="28"/>
        </w:rPr>
        <w:t>FOR</w:t>
      </w:r>
      <w:r>
        <w:rPr>
          <w:b/>
          <w:spacing w:val="-5"/>
          <w:sz w:val="28"/>
        </w:rPr>
        <w:t xml:space="preserve"> </w:t>
      </w:r>
      <w:r>
        <w:rPr>
          <w:b/>
          <w:spacing w:val="-2"/>
          <w:sz w:val="28"/>
        </w:rPr>
        <w:t>ISSUE</w:t>
      </w:r>
    </w:p>
    <w:p w14:paraId="56BC0FA5" w14:textId="77777777" w:rsidR="00AC6F3C" w:rsidRDefault="00570E88">
      <w:pPr>
        <w:spacing w:before="242"/>
        <w:ind w:left="979"/>
        <w:rPr>
          <w:sz w:val="18"/>
        </w:rPr>
      </w:pPr>
      <w:r>
        <w:rPr>
          <w:sz w:val="18"/>
        </w:rPr>
        <w:t>The</w:t>
      </w:r>
      <w:r>
        <w:rPr>
          <w:spacing w:val="-1"/>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are</w:t>
      </w:r>
      <w:r>
        <w:rPr>
          <w:spacing w:val="-1"/>
          <w:sz w:val="18"/>
        </w:rPr>
        <w:t xml:space="preserve"> </w:t>
      </w:r>
      <w:proofErr w:type="spellStart"/>
      <w:r>
        <w:rPr>
          <w:sz w:val="18"/>
        </w:rPr>
        <w:t>authorised</w:t>
      </w:r>
      <w:proofErr w:type="spellEnd"/>
      <w:r>
        <w:rPr>
          <w:spacing w:val="-4"/>
          <w:sz w:val="18"/>
        </w:rPr>
        <w:t xml:space="preserve"> </w:t>
      </w:r>
      <w:r>
        <w:rPr>
          <w:sz w:val="18"/>
        </w:rPr>
        <w:t>for</w:t>
      </w:r>
      <w:r>
        <w:rPr>
          <w:spacing w:val="-4"/>
          <w:sz w:val="18"/>
        </w:rPr>
        <w:t xml:space="preserve"> </w:t>
      </w:r>
      <w:r>
        <w:rPr>
          <w:sz w:val="18"/>
        </w:rPr>
        <w:t>issue</w:t>
      </w:r>
      <w:r>
        <w:rPr>
          <w:spacing w:val="-4"/>
          <w:sz w:val="18"/>
        </w:rPr>
        <w:t xml:space="preserve"> </w:t>
      </w:r>
      <w:r>
        <w:rPr>
          <w:sz w:val="18"/>
        </w:rPr>
        <w:t>by</w:t>
      </w:r>
      <w:r>
        <w:rPr>
          <w:spacing w:val="-1"/>
          <w:sz w:val="18"/>
        </w:rPr>
        <w:t xml:space="preserve"> </w:t>
      </w:r>
      <w:r>
        <w:rPr>
          <w:sz w:val="18"/>
        </w:rPr>
        <w:t>QSS’s</w:t>
      </w:r>
      <w:r>
        <w:rPr>
          <w:spacing w:val="-1"/>
          <w:sz w:val="18"/>
        </w:rPr>
        <w:t xml:space="preserve"> </w:t>
      </w:r>
      <w:r>
        <w:rPr>
          <w:sz w:val="18"/>
        </w:rPr>
        <w:t>Chairperson</w:t>
      </w:r>
      <w:r>
        <w:rPr>
          <w:spacing w:val="-2"/>
          <w:sz w:val="18"/>
        </w:rPr>
        <w:t xml:space="preserve"> </w:t>
      </w:r>
      <w:r>
        <w:rPr>
          <w:sz w:val="18"/>
        </w:rPr>
        <w:t>at</w:t>
      </w:r>
      <w:r>
        <w:rPr>
          <w:spacing w:val="-4"/>
          <w:sz w:val="18"/>
        </w:rPr>
        <w:t xml:space="preserve"> </w:t>
      </w:r>
      <w:r>
        <w:rPr>
          <w:sz w:val="18"/>
        </w:rPr>
        <w:t>the</w:t>
      </w:r>
      <w:r>
        <w:rPr>
          <w:spacing w:val="-4"/>
          <w:sz w:val="18"/>
        </w:rPr>
        <w:t xml:space="preserve"> </w:t>
      </w:r>
      <w:r>
        <w:rPr>
          <w:sz w:val="18"/>
        </w:rPr>
        <w:t>date</w:t>
      </w:r>
      <w:r>
        <w:rPr>
          <w:spacing w:val="-4"/>
          <w:sz w:val="18"/>
        </w:rPr>
        <w:t xml:space="preserve"> </w:t>
      </w:r>
      <w:r>
        <w:rPr>
          <w:sz w:val="18"/>
        </w:rPr>
        <w:t>of</w:t>
      </w:r>
      <w:r>
        <w:rPr>
          <w:spacing w:val="-4"/>
          <w:sz w:val="18"/>
        </w:rPr>
        <w:t xml:space="preserve"> </w:t>
      </w:r>
      <w:r>
        <w:rPr>
          <w:sz w:val="18"/>
        </w:rPr>
        <w:t>signing</w:t>
      </w:r>
      <w:r>
        <w:rPr>
          <w:spacing w:val="-1"/>
          <w:sz w:val="18"/>
        </w:rPr>
        <w:t xml:space="preserve"> </w:t>
      </w:r>
      <w:r>
        <w:rPr>
          <w:sz w:val="18"/>
        </w:rPr>
        <w:t>the</w:t>
      </w:r>
      <w:r>
        <w:rPr>
          <w:spacing w:val="-4"/>
          <w:sz w:val="18"/>
        </w:rPr>
        <w:t xml:space="preserve"> </w:t>
      </w:r>
      <w:r>
        <w:rPr>
          <w:sz w:val="18"/>
        </w:rPr>
        <w:t xml:space="preserve">Directors’ </w:t>
      </w:r>
      <w:r>
        <w:rPr>
          <w:spacing w:val="-2"/>
          <w:sz w:val="18"/>
        </w:rPr>
        <w:t>Declaration.</w:t>
      </w:r>
    </w:p>
    <w:p w14:paraId="07B0FF37" w14:textId="77777777" w:rsidR="00AC6F3C" w:rsidRDefault="00AC6F3C">
      <w:pPr>
        <w:rPr>
          <w:sz w:val="18"/>
        </w:rPr>
        <w:sectPr w:rsidR="00AC6F3C">
          <w:headerReference w:type="default" r:id="rId240"/>
          <w:footerReference w:type="default" r:id="rId241"/>
          <w:pgSz w:w="11910" w:h="16840"/>
          <w:pgMar w:top="2020" w:right="1160" w:bottom="520" w:left="460" w:header="1228" w:footer="336" w:gutter="0"/>
          <w:cols w:space="720"/>
        </w:sectPr>
      </w:pPr>
    </w:p>
    <w:p w14:paraId="2C3BA564" w14:textId="77777777" w:rsidR="00AC6F3C" w:rsidRDefault="00AC6F3C">
      <w:pPr>
        <w:pStyle w:val="BodyText"/>
        <w:spacing w:before="7"/>
        <w:rPr>
          <w:sz w:val="13"/>
        </w:rPr>
      </w:pPr>
    </w:p>
    <w:p w14:paraId="0744C0F4" w14:textId="77777777" w:rsidR="00AC6F3C" w:rsidRDefault="00570E88">
      <w:pPr>
        <w:tabs>
          <w:tab w:val="left" w:pos="1687"/>
        </w:tabs>
        <w:spacing w:before="92"/>
        <w:ind w:left="979"/>
        <w:rPr>
          <w:b/>
          <w:sz w:val="28"/>
        </w:rPr>
      </w:pPr>
      <w:r>
        <w:rPr>
          <w:b/>
          <w:spacing w:val="-5"/>
          <w:sz w:val="28"/>
        </w:rPr>
        <w:t>B1</w:t>
      </w:r>
      <w:r>
        <w:rPr>
          <w:b/>
          <w:sz w:val="28"/>
        </w:rPr>
        <w:tab/>
      </w:r>
      <w:r>
        <w:rPr>
          <w:b/>
          <w:spacing w:val="-2"/>
          <w:sz w:val="28"/>
        </w:rPr>
        <w:t>REVENUE</w:t>
      </w:r>
    </w:p>
    <w:p w14:paraId="73AAF906" w14:textId="77777777" w:rsidR="00AC6F3C" w:rsidRDefault="00570E88">
      <w:pPr>
        <w:spacing w:before="239"/>
        <w:ind w:left="979" w:right="468"/>
        <w:rPr>
          <w:sz w:val="18"/>
        </w:rPr>
      </w:pPr>
      <w:r>
        <w:rPr>
          <w:sz w:val="18"/>
        </w:rPr>
        <w:t>QSS</w:t>
      </w:r>
      <w:r>
        <w:rPr>
          <w:spacing w:val="-2"/>
          <w:sz w:val="18"/>
        </w:rPr>
        <w:t xml:space="preserve"> </w:t>
      </w:r>
      <w:r>
        <w:rPr>
          <w:sz w:val="18"/>
        </w:rPr>
        <w:t>receives</w:t>
      </w:r>
      <w:r>
        <w:rPr>
          <w:spacing w:val="-3"/>
          <w:sz w:val="18"/>
        </w:rPr>
        <w:t xml:space="preserve"> </w:t>
      </w:r>
      <w:r>
        <w:rPr>
          <w:sz w:val="18"/>
        </w:rPr>
        <w:t>grant</w:t>
      </w:r>
      <w:r>
        <w:rPr>
          <w:spacing w:val="-2"/>
          <w:sz w:val="18"/>
        </w:rPr>
        <w:t xml:space="preserve"> </w:t>
      </w:r>
      <w:r>
        <w:rPr>
          <w:sz w:val="18"/>
        </w:rPr>
        <w:t>funding</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Society</w:t>
      </w:r>
      <w:r>
        <w:rPr>
          <w:spacing w:val="-1"/>
          <w:sz w:val="18"/>
        </w:rPr>
        <w:t xml:space="preserve"> </w:t>
      </w:r>
      <w:r>
        <w:rPr>
          <w:sz w:val="18"/>
        </w:rPr>
        <w:t>to</w:t>
      </w:r>
      <w:r>
        <w:rPr>
          <w:spacing w:val="-4"/>
          <w:sz w:val="18"/>
        </w:rPr>
        <w:t xml:space="preserve"> </w:t>
      </w:r>
      <w:r>
        <w:rPr>
          <w:sz w:val="18"/>
        </w:rPr>
        <w:t>contribute</w:t>
      </w:r>
      <w:r>
        <w:rPr>
          <w:spacing w:val="-4"/>
          <w:sz w:val="18"/>
        </w:rPr>
        <w:t xml:space="preserve"> </w:t>
      </w:r>
      <w:r>
        <w:rPr>
          <w:sz w:val="18"/>
        </w:rPr>
        <w:t>toward</w:t>
      </w:r>
      <w:r>
        <w:rPr>
          <w:spacing w:val="-1"/>
          <w:sz w:val="18"/>
        </w:rPr>
        <w:t xml:space="preserve"> </w:t>
      </w:r>
      <w:r>
        <w:rPr>
          <w:sz w:val="18"/>
        </w:rPr>
        <w:t>the</w:t>
      </w:r>
      <w:r>
        <w:rPr>
          <w:spacing w:val="-4"/>
          <w:sz w:val="18"/>
        </w:rPr>
        <w:t xml:space="preserve"> </w:t>
      </w:r>
      <w:r>
        <w:rPr>
          <w:sz w:val="18"/>
        </w:rPr>
        <w:t>cost</w:t>
      </w:r>
      <w:r>
        <w:rPr>
          <w:spacing w:val="-2"/>
          <w:sz w:val="18"/>
        </w:rPr>
        <w:t xml:space="preserve"> </w:t>
      </w:r>
      <w:r>
        <w:rPr>
          <w:sz w:val="18"/>
        </w:rPr>
        <w:t>of</w:t>
      </w:r>
      <w:r>
        <w:rPr>
          <w:spacing w:val="-2"/>
          <w:sz w:val="18"/>
        </w:rPr>
        <w:t xml:space="preserve"> </w:t>
      </w:r>
      <w:r>
        <w:rPr>
          <w:sz w:val="18"/>
        </w:rPr>
        <w:t>operating.</w:t>
      </w:r>
      <w:r>
        <w:rPr>
          <w:spacing w:val="40"/>
          <w:sz w:val="18"/>
        </w:rPr>
        <w:t xml:space="preserve"> </w:t>
      </w:r>
      <w:r>
        <w:rPr>
          <w:sz w:val="18"/>
        </w:rPr>
        <w:t>In</w:t>
      </w:r>
      <w:r>
        <w:rPr>
          <w:spacing w:val="-4"/>
          <w:sz w:val="18"/>
        </w:rPr>
        <w:t xml:space="preserve"> </w:t>
      </w:r>
      <w:r>
        <w:rPr>
          <w:sz w:val="18"/>
        </w:rPr>
        <w:t>accordance</w:t>
      </w:r>
      <w:r>
        <w:rPr>
          <w:spacing w:val="-1"/>
          <w:sz w:val="18"/>
        </w:rPr>
        <w:t xml:space="preserve"> </w:t>
      </w:r>
      <w:r>
        <w:rPr>
          <w:sz w:val="18"/>
        </w:rPr>
        <w:t xml:space="preserve">with AASB 1058, grants are </w:t>
      </w:r>
      <w:proofErr w:type="spellStart"/>
      <w:r>
        <w:rPr>
          <w:sz w:val="18"/>
        </w:rPr>
        <w:t>recognised</w:t>
      </w:r>
      <w:proofErr w:type="spellEnd"/>
      <w:r>
        <w:rPr>
          <w:sz w:val="18"/>
        </w:rPr>
        <w:t xml:space="preserve"> as revenue within the period they are received as they do not contain sufficiently specific performance obligations.</w:t>
      </w:r>
    </w:p>
    <w:p w14:paraId="012057B7" w14:textId="77777777" w:rsidR="00AC6F3C" w:rsidRDefault="00AC6F3C">
      <w:pPr>
        <w:pStyle w:val="BodyText"/>
        <w:rPr>
          <w:sz w:val="21"/>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0"/>
        <w:gridCol w:w="1661"/>
        <w:gridCol w:w="1639"/>
      </w:tblGrid>
      <w:tr w:rsidR="00AC6F3C" w14:paraId="47EB19D3" w14:textId="77777777">
        <w:trPr>
          <w:trHeight w:val="579"/>
        </w:trPr>
        <w:tc>
          <w:tcPr>
            <w:tcW w:w="8710" w:type="dxa"/>
            <w:gridSpan w:val="3"/>
            <w:shd w:val="clear" w:color="auto" w:fill="BEBEBE"/>
          </w:tcPr>
          <w:p w14:paraId="50D1B6C2" w14:textId="77777777" w:rsidR="00AC6F3C" w:rsidRDefault="00570E88">
            <w:pPr>
              <w:pStyle w:val="TableParagraph"/>
              <w:tabs>
                <w:tab w:val="left" w:pos="1646"/>
              </w:tabs>
              <w:spacing w:before="39"/>
              <w:ind w:right="21"/>
              <w:jc w:val="right"/>
              <w:rPr>
                <w:b/>
                <w:sz w:val="18"/>
              </w:rPr>
            </w:pPr>
            <w:r>
              <w:rPr>
                <w:b/>
                <w:spacing w:val="-4"/>
                <w:sz w:val="18"/>
              </w:rPr>
              <w:t>2023</w:t>
            </w:r>
            <w:r>
              <w:rPr>
                <w:b/>
                <w:sz w:val="18"/>
              </w:rPr>
              <w:tab/>
            </w:r>
            <w:r>
              <w:rPr>
                <w:b/>
                <w:spacing w:val="-4"/>
                <w:sz w:val="18"/>
              </w:rPr>
              <w:t>2022</w:t>
            </w:r>
          </w:p>
          <w:p w14:paraId="185D21EC" w14:textId="77777777" w:rsidR="00AC6F3C" w:rsidRDefault="00570E88">
            <w:pPr>
              <w:pStyle w:val="TableParagraph"/>
              <w:tabs>
                <w:tab w:val="left" w:pos="1646"/>
              </w:tabs>
              <w:spacing w:before="90"/>
              <w:ind w:right="25"/>
              <w:jc w:val="right"/>
              <w:rPr>
                <w:b/>
                <w:sz w:val="18"/>
              </w:rPr>
            </w:pPr>
            <w:r>
              <w:rPr>
                <w:b/>
                <w:spacing w:val="-10"/>
                <w:sz w:val="18"/>
              </w:rPr>
              <w:t>$</w:t>
            </w:r>
            <w:r>
              <w:rPr>
                <w:b/>
                <w:sz w:val="18"/>
              </w:rPr>
              <w:tab/>
            </w:r>
            <w:r>
              <w:rPr>
                <w:b/>
                <w:spacing w:val="-10"/>
                <w:sz w:val="18"/>
              </w:rPr>
              <w:t>$</w:t>
            </w:r>
          </w:p>
        </w:tc>
      </w:tr>
      <w:tr w:rsidR="00AC6F3C" w14:paraId="7D18B4EA" w14:textId="77777777">
        <w:trPr>
          <w:trHeight w:val="579"/>
        </w:trPr>
        <w:tc>
          <w:tcPr>
            <w:tcW w:w="5410" w:type="dxa"/>
            <w:tcBorders>
              <w:right w:val="nil"/>
            </w:tcBorders>
          </w:tcPr>
          <w:p w14:paraId="214A8B3F" w14:textId="77777777" w:rsidR="00AC6F3C" w:rsidRDefault="00570E88">
            <w:pPr>
              <w:pStyle w:val="TableParagraph"/>
              <w:spacing w:before="39"/>
              <w:ind w:left="37"/>
              <w:rPr>
                <w:b/>
                <w:sz w:val="18"/>
              </w:rPr>
            </w:pPr>
            <w:r>
              <w:rPr>
                <w:b/>
                <w:spacing w:val="-5"/>
                <w:sz w:val="18"/>
              </w:rPr>
              <w:t>Grant</w:t>
            </w:r>
            <w:r>
              <w:rPr>
                <w:b/>
                <w:spacing w:val="-4"/>
                <w:sz w:val="18"/>
              </w:rPr>
              <w:t xml:space="preserve"> </w:t>
            </w:r>
            <w:r>
              <w:rPr>
                <w:b/>
                <w:spacing w:val="-2"/>
                <w:sz w:val="18"/>
              </w:rPr>
              <w:t>funding</w:t>
            </w:r>
          </w:p>
          <w:p w14:paraId="43CCB053" w14:textId="77777777" w:rsidR="00AC6F3C" w:rsidRDefault="00570E88">
            <w:pPr>
              <w:pStyle w:val="TableParagraph"/>
              <w:spacing w:before="90"/>
              <w:ind w:left="37"/>
              <w:rPr>
                <w:sz w:val="18"/>
              </w:rPr>
            </w:pPr>
            <w:r>
              <w:rPr>
                <w:sz w:val="18"/>
              </w:rPr>
              <w:t>Grant</w:t>
            </w:r>
            <w:r>
              <w:rPr>
                <w:spacing w:val="-13"/>
                <w:sz w:val="18"/>
              </w:rPr>
              <w:t xml:space="preserve"> </w:t>
            </w:r>
            <w:r>
              <w:rPr>
                <w:spacing w:val="-2"/>
                <w:sz w:val="18"/>
              </w:rPr>
              <w:t>funding</w:t>
            </w:r>
          </w:p>
        </w:tc>
        <w:tc>
          <w:tcPr>
            <w:tcW w:w="1661" w:type="dxa"/>
            <w:tcBorders>
              <w:left w:val="nil"/>
              <w:right w:val="nil"/>
            </w:tcBorders>
            <w:shd w:val="clear" w:color="auto" w:fill="F1F1F1"/>
          </w:tcPr>
          <w:p w14:paraId="1E954216" w14:textId="77777777" w:rsidR="00AC6F3C" w:rsidRDefault="00AC6F3C">
            <w:pPr>
              <w:pStyle w:val="TableParagraph"/>
              <w:spacing w:before="2"/>
              <w:rPr>
                <w:sz w:val="29"/>
              </w:rPr>
            </w:pPr>
          </w:p>
          <w:p w14:paraId="5F1508FA" w14:textId="77777777" w:rsidR="00AC6F3C" w:rsidRDefault="00570E88">
            <w:pPr>
              <w:pStyle w:val="TableParagraph"/>
              <w:ind w:left="800"/>
              <w:rPr>
                <w:sz w:val="18"/>
              </w:rPr>
            </w:pPr>
            <w:r>
              <w:rPr>
                <w:spacing w:val="-2"/>
                <w:sz w:val="18"/>
              </w:rPr>
              <w:t>1,434,538</w:t>
            </w:r>
          </w:p>
        </w:tc>
        <w:tc>
          <w:tcPr>
            <w:tcW w:w="1639" w:type="dxa"/>
            <w:tcBorders>
              <w:left w:val="nil"/>
            </w:tcBorders>
          </w:tcPr>
          <w:p w14:paraId="4506477F" w14:textId="77777777" w:rsidR="00AC6F3C" w:rsidRDefault="00AC6F3C">
            <w:pPr>
              <w:pStyle w:val="TableParagraph"/>
              <w:spacing w:before="2"/>
              <w:rPr>
                <w:sz w:val="29"/>
              </w:rPr>
            </w:pPr>
          </w:p>
          <w:p w14:paraId="1CF1A376" w14:textId="77777777" w:rsidR="00AC6F3C" w:rsidRDefault="00570E88">
            <w:pPr>
              <w:pStyle w:val="TableParagraph"/>
              <w:ind w:left="785"/>
              <w:rPr>
                <w:sz w:val="18"/>
              </w:rPr>
            </w:pPr>
            <w:r>
              <w:rPr>
                <w:spacing w:val="-2"/>
                <w:sz w:val="18"/>
              </w:rPr>
              <w:t>1,488,188</w:t>
            </w:r>
          </w:p>
        </w:tc>
      </w:tr>
      <w:tr w:rsidR="00AC6F3C" w14:paraId="5D3B22E1" w14:textId="77777777">
        <w:trPr>
          <w:trHeight w:val="282"/>
        </w:trPr>
        <w:tc>
          <w:tcPr>
            <w:tcW w:w="8710" w:type="dxa"/>
            <w:gridSpan w:val="3"/>
            <w:shd w:val="clear" w:color="auto" w:fill="BEBEBE"/>
          </w:tcPr>
          <w:p w14:paraId="37E1670D" w14:textId="77777777" w:rsidR="00AC6F3C" w:rsidRDefault="00570E88">
            <w:pPr>
              <w:pStyle w:val="TableParagraph"/>
              <w:tabs>
                <w:tab w:val="left" w:pos="6202"/>
                <w:tab w:val="left" w:pos="7848"/>
              </w:tabs>
              <w:spacing w:before="39"/>
              <w:ind w:left="37"/>
              <w:rPr>
                <w:b/>
                <w:sz w:val="18"/>
              </w:rPr>
            </w:pPr>
            <w:r>
              <w:rPr>
                <w:b/>
                <w:spacing w:val="-4"/>
                <w:sz w:val="18"/>
              </w:rPr>
              <w:t xml:space="preserve">Total </w:t>
            </w:r>
            <w:r>
              <w:rPr>
                <w:b/>
                <w:spacing w:val="-2"/>
                <w:sz w:val="18"/>
              </w:rPr>
              <w:t>revenue</w:t>
            </w:r>
            <w:r>
              <w:rPr>
                <w:b/>
                <w:sz w:val="18"/>
              </w:rPr>
              <w:tab/>
            </w:r>
            <w:r>
              <w:rPr>
                <w:b/>
                <w:spacing w:val="-2"/>
                <w:sz w:val="18"/>
              </w:rPr>
              <w:t>1,434,538</w:t>
            </w:r>
            <w:r>
              <w:rPr>
                <w:b/>
                <w:sz w:val="18"/>
              </w:rPr>
              <w:tab/>
            </w:r>
            <w:r>
              <w:rPr>
                <w:b/>
                <w:spacing w:val="-2"/>
                <w:sz w:val="18"/>
              </w:rPr>
              <w:t>1,488,188</w:t>
            </w:r>
          </w:p>
        </w:tc>
      </w:tr>
    </w:tbl>
    <w:p w14:paraId="40B604AE" w14:textId="77777777" w:rsidR="00AC6F3C" w:rsidRDefault="00AC6F3C">
      <w:pPr>
        <w:pStyle w:val="BodyText"/>
        <w:spacing w:before="3"/>
        <w:rPr>
          <w:sz w:val="23"/>
        </w:rPr>
      </w:pPr>
    </w:p>
    <w:p w14:paraId="21DE531E" w14:textId="77777777" w:rsidR="00AC6F3C" w:rsidRDefault="00570E88">
      <w:pPr>
        <w:tabs>
          <w:tab w:val="left" w:pos="1687"/>
        </w:tabs>
        <w:ind w:left="979"/>
        <w:rPr>
          <w:b/>
          <w:sz w:val="28"/>
        </w:rPr>
      </w:pPr>
      <w:r>
        <w:rPr>
          <w:b/>
          <w:spacing w:val="-5"/>
          <w:sz w:val="28"/>
        </w:rPr>
        <w:t>B2</w:t>
      </w:r>
      <w:r>
        <w:rPr>
          <w:b/>
          <w:sz w:val="28"/>
        </w:rPr>
        <w:tab/>
      </w:r>
      <w:r>
        <w:rPr>
          <w:b/>
          <w:spacing w:val="-2"/>
          <w:sz w:val="28"/>
        </w:rPr>
        <w:t>EXPENSES</w:t>
      </w:r>
    </w:p>
    <w:p w14:paraId="69275972" w14:textId="77777777" w:rsidR="00AC6F3C" w:rsidRDefault="00570E88">
      <w:pPr>
        <w:pStyle w:val="Heading6"/>
        <w:tabs>
          <w:tab w:val="left" w:pos="1831"/>
        </w:tabs>
        <w:ind w:left="979"/>
      </w:pPr>
      <w:r>
        <w:rPr>
          <w:spacing w:val="-2"/>
        </w:rPr>
        <w:t>B2-</w:t>
      </w:r>
      <w:r>
        <w:rPr>
          <w:spacing w:val="-10"/>
        </w:rPr>
        <w:t>1</w:t>
      </w:r>
      <w:r>
        <w:tab/>
        <w:t>ADMINISTRATION</w:t>
      </w:r>
      <w:r>
        <w:rPr>
          <w:spacing w:val="-4"/>
        </w:rPr>
        <w:t xml:space="preserve"> </w:t>
      </w:r>
      <w:r>
        <w:rPr>
          <w:spacing w:val="-2"/>
        </w:rPr>
        <w:t>EXPENSES</w:t>
      </w:r>
    </w:p>
    <w:p w14:paraId="259F696B" w14:textId="77777777" w:rsidR="00AC6F3C" w:rsidRDefault="00AC6F3C">
      <w:pPr>
        <w:pStyle w:val="BodyText"/>
        <w:spacing w:before="11"/>
        <w:rPr>
          <w:b/>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310ABD85" w14:textId="77777777">
        <w:trPr>
          <w:trHeight w:val="581"/>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6F9C0323" w14:textId="77777777" w:rsidR="00AC6F3C" w:rsidRDefault="00570E88">
            <w:pPr>
              <w:pStyle w:val="TableParagraph"/>
              <w:tabs>
                <w:tab w:val="left" w:pos="1647"/>
              </w:tabs>
              <w:spacing w:before="39"/>
              <w:ind w:right="21"/>
              <w:jc w:val="right"/>
              <w:rPr>
                <w:b/>
                <w:sz w:val="18"/>
              </w:rPr>
            </w:pPr>
            <w:r>
              <w:rPr>
                <w:b/>
                <w:spacing w:val="-4"/>
                <w:sz w:val="18"/>
              </w:rPr>
              <w:t>2023</w:t>
            </w:r>
            <w:r>
              <w:rPr>
                <w:b/>
                <w:sz w:val="18"/>
              </w:rPr>
              <w:tab/>
            </w:r>
            <w:r>
              <w:rPr>
                <w:b/>
                <w:spacing w:val="-4"/>
                <w:sz w:val="18"/>
              </w:rPr>
              <w:t>2022</w:t>
            </w:r>
          </w:p>
          <w:p w14:paraId="4F314AAD" w14:textId="77777777" w:rsidR="00AC6F3C" w:rsidRDefault="00570E88">
            <w:pPr>
              <w:pStyle w:val="TableParagraph"/>
              <w:tabs>
                <w:tab w:val="left" w:pos="1647"/>
              </w:tabs>
              <w:spacing w:before="92"/>
              <w:ind w:right="25"/>
              <w:jc w:val="right"/>
              <w:rPr>
                <w:b/>
                <w:sz w:val="18"/>
              </w:rPr>
            </w:pPr>
            <w:r>
              <w:rPr>
                <w:b/>
                <w:spacing w:val="-10"/>
                <w:sz w:val="18"/>
              </w:rPr>
              <w:t>$</w:t>
            </w:r>
            <w:r>
              <w:rPr>
                <w:b/>
                <w:sz w:val="18"/>
              </w:rPr>
              <w:tab/>
            </w:r>
            <w:r>
              <w:rPr>
                <w:b/>
                <w:spacing w:val="-10"/>
                <w:sz w:val="18"/>
              </w:rPr>
              <w:t>$</w:t>
            </w:r>
          </w:p>
        </w:tc>
      </w:tr>
      <w:tr w:rsidR="00AC6F3C" w14:paraId="1490B6F8" w14:textId="77777777">
        <w:trPr>
          <w:trHeight w:val="295"/>
        </w:trPr>
        <w:tc>
          <w:tcPr>
            <w:tcW w:w="5413" w:type="dxa"/>
            <w:tcBorders>
              <w:top w:val="single" w:sz="6" w:space="0" w:color="000000"/>
              <w:left w:val="single" w:sz="6" w:space="0" w:color="000000"/>
            </w:tcBorders>
          </w:tcPr>
          <w:p w14:paraId="041555A9" w14:textId="77777777" w:rsidR="00AC6F3C" w:rsidRDefault="00570E88">
            <w:pPr>
              <w:pStyle w:val="TableParagraph"/>
              <w:spacing w:before="39"/>
              <w:ind w:left="37"/>
              <w:rPr>
                <w:sz w:val="18"/>
              </w:rPr>
            </w:pPr>
            <w:r>
              <w:rPr>
                <w:spacing w:val="-2"/>
                <w:sz w:val="18"/>
              </w:rPr>
              <w:t>Insurance</w:t>
            </w:r>
          </w:p>
        </w:tc>
        <w:tc>
          <w:tcPr>
            <w:tcW w:w="1662" w:type="dxa"/>
            <w:tcBorders>
              <w:top w:val="single" w:sz="6" w:space="0" w:color="000000"/>
            </w:tcBorders>
            <w:shd w:val="clear" w:color="auto" w:fill="F1F1F1"/>
          </w:tcPr>
          <w:p w14:paraId="4183ECAA" w14:textId="77777777" w:rsidR="00AC6F3C" w:rsidRDefault="00570E88">
            <w:pPr>
              <w:pStyle w:val="TableParagraph"/>
              <w:spacing w:before="39"/>
              <w:ind w:right="35"/>
              <w:jc w:val="right"/>
              <w:rPr>
                <w:sz w:val="18"/>
              </w:rPr>
            </w:pPr>
            <w:r>
              <w:rPr>
                <w:spacing w:val="-2"/>
                <w:sz w:val="18"/>
              </w:rPr>
              <w:t>19,515</w:t>
            </w:r>
          </w:p>
        </w:tc>
        <w:tc>
          <w:tcPr>
            <w:tcW w:w="1640" w:type="dxa"/>
            <w:tcBorders>
              <w:top w:val="single" w:sz="6" w:space="0" w:color="000000"/>
              <w:right w:val="single" w:sz="6" w:space="0" w:color="000000"/>
            </w:tcBorders>
          </w:tcPr>
          <w:p w14:paraId="7D1B1F67" w14:textId="77777777" w:rsidR="00AC6F3C" w:rsidRDefault="00570E88">
            <w:pPr>
              <w:pStyle w:val="TableParagraph"/>
              <w:spacing w:before="39"/>
              <w:ind w:right="21"/>
              <w:jc w:val="right"/>
              <w:rPr>
                <w:sz w:val="18"/>
              </w:rPr>
            </w:pPr>
            <w:r>
              <w:rPr>
                <w:spacing w:val="-2"/>
                <w:sz w:val="18"/>
              </w:rPr>
              <w:t>21,652</w:t>
            </w:r>
          </w:p>
        </w:tc>
      </w:tr>
      <w:tr w:rsidR="00AC6F3C" w14:paraId="3171371D" w14:textId="77777777">
        <w:trPr>
          <w:trHeight w:val="298"/>
        </w:trPr>
        <w:tc>
          <w:tcPr>
            <w:tcW w:w="5413" w:type="dxa"/>
            <w:tcBorders>
              <w:left w:val="single" w:sz="6" w:space="0" w:color="000000"/>
            </w:tcBorders>
          </w:tcPr>
          <w:p w14:paraId="0EC80803" w14:textId="77777777" w:rsidR="00AC6F3C" w:rsidRDefault="00570E88">
            <w:pPr>
              <w:pStyle w:val="TableParagraph"/>
              <w:spacing w:before="42"/>
              <w:ind w:left="37"/>
              <w:rPr>
                <w:sz w:val="18"/>
              </w:rPr>
            </w:pPr>
            <w:r>
              <w:rPr>
                <w:sz w:val="18"/>
              </w:rPr>
              <w:t>Audit</w:t>
            </w:r>
            <w:r>
              <w:rPr>
                <w:spacing w:val="-9"/>
                <w:sz w:val="18"/>
              </w:rPr>
              <w:t xml:space="preserve"> </w:t>
            </w:r>
            <w:r>
              <w:rPr>
                <w:sz w:val="18"/>
              </w:rPr>
              <w:t>fees</w:t>
            </w:r>
            <w:r>
              <w:rPr>
                <w:spacing w:val="13"/>
                <w:sz w:val="18"/>
              </w:rPr>
              <w:t xml:space="preserve"> </w:t>
            </w:r>
            <w:r>
              <w:rPr>
                <w:sz w:val="18"/>
              </w:rPr>
              <w:t>paid</w:t>
            </w:r>
            <w:r>
              <w:rPr>
                <w:spacing w:val="2"/>
                <w:sz w:val="18"/>
              </w:rPr>
              <w:t xml:space="preserve"> </w:t>
            </w:r>
            <w:r>
              <w:rPr>
                <w:sz w:val="18"/>
              </w:rPr>
              <w:t>to</w:t>
            </w:r>
            <w:r>
              <w:rPr>
                <w:spacing w:val="2"/>
                <w:sz w:val="18"/>
              </w:rPr>
              <w:t xml:space="preserve"> </w:t>
            </w:r>
            <w:r>
              <w:rPr>
                <w:sz w:val="18"/>
              </w:rPr>
              <w:t>Queensland</w:t>
            </w:r>
            <w:r>
              <w:rPr>
                <w:spacing w:val="2"/>
                <w:sz w:val="18"/>
              </w:rPr>
              <w:t xml:space="preserve"> </w:t>
            </w:r>
            <w:r>
              <w:rPr>
                <w:sz w:val="18"/>
              </w:rPr>
              <w:t>Audit</w:t>
            </w:r>
            <w:r>
              <w:rPr>
                <w:spacing w:val="-9"/>
                <w:sz w:val="18"/>
              </w:rPr>
              <w:t xml:space="preserve"> </w:t>
            </w:r>
            <w:r>
              <w:rPr>
                <w:spacing w:val="-2"/>
                <w:sz w:val="18"/>
              </w:rPr>
              <w:t>Office</w:t>
            </w:r>
          </w:p>
        </w:tc>
        <w:tc>
          <w:tcPr>
            <w:tcW w:w="1662" w:type="dxa"/>
            <w:shd w:val="clear" w:color="auto" w:fill="F1F1F1"/>
          </w:tcPr>
          <w:p w14:paraId="2AE80C3F" w14:textId="77777777" w:rsidR="00AC6F3C" w:rsidRDefault="00570E88">
            <w:pPr>
              <w:pStyle w:val="TableParagraph"/>
              <w:spacing w:before="42"/>
              <w:ind w:right="35"/>
              <w:jc w:val="right"/>
              <w:rPr>
                <w:sz w:val="18"/>
              </w:rPr>
            </w:pPr>
            <w:r>
              <w:rPr>
                <w:spacing w:val="-2"/>
                <w:sz w:val="18"/>
              </w:rPr>
              <w:t>7,800</w:t>
            </w:r>
          </w:p>
        </w:tc>
        <w:tc>
          <w:tcPr>
            <w:tcW w:w="1640" w:type="dxa"/>
            <w:tcBorders>
              <w:right w:val="single" w:sz="6" w:space="0" w:color="000000"/>
            </w:tcBorders>
          </w:tcPr>
          <w:p w14:paraId="232A865C" w14:textId="77777777" w:rsidR="00AC6F3C" w:rsidRDefault="00570E88">
            <w:pPr>
              <w:pStyle w:val="TableParagraph"/>
              <w:spacing w:before="42"/>
              <w:ind w:right="21"/>
              <w:jc w:val="right"/>
              <w:rPr>
                <w:sz w:val="18"/>
              </w:rPr>
            </w:pPr>
            <w:r>
              <w:rPr>
                <w:spacing w:val="-2"/>
                <w:sz w:val="18"/>
              </w:rPr>
              <w:t>5,500</w:t>
            </w:r>
          </w:p>
        </w:tc>
      </w:tr>
      <w:tr w:rsidR="00AC6F3C" w14:paraId="1E23FFB2" w14:textId="77777777">
        <w:trPr>
          <w:trHeight w:val="298"/>
        </w:trPr>
        <w:tc>
          <w:tcPr>
            <w:tcW w:w="5413" w:type="dxa"/>
            <w:tcBorders>
              <w:left w:val="single" w:sz="6" w:space="0" w:color="000000"/>
            </w:tcBorders>
          </w:tcPr>
          <w:p w14:paraId="5F5C1625" w14:textId="77777777" w:rsidR="00AC6F3C" w:rsidRDefault="00570E88">
            <w:pPr>
              <w:pStyle w:val="TableParagraph"/>
              <w:spacing w:before="42"/>
              <w:ind w:left="37"/>
              <w:rPr>
                <w:sz w:val="18"/>
              </w:rPr>
            </w:pPr>
            <w:r>
              <w:rPr>
                <w:sz w:val="18"/>
              </w:rPr>
              <w:t>Travel</w:t>
            </w:r>
            <w:r>
              <w:rPr>
                <w:spacing w:val="-9"/>
                <w:sz w:val="18"/>
              </w:rPr>
              <w:t xml:space="preserve"> </w:t>
            </w:r>
            <w:r>
              <w:rPr>
                <w:sz w:val="18"/>
              </w:rPr>
              <w:t>and</w:t>
            </w:r>
            <w:r>
              <w:rPr>
                <w:spacing w:val="-7"/>
                <w:sz w:val="18"/>
              </w:rPr>
              <w:t xml:space="preserve"> </w:t>
            </w:r>
            <w:proofErr w:type="spellStart"/>
            <w:r>
              <w:rPr>
                <w:spacing w:val="-2"/>
                <w:sz w:val="18"/>
              </w:rPr>
              <w:t>accommlodation</w:t>
            </w:r>
            <w:proofErr w:type="spellEnd"/>
          </w:p>
        </w:tc>
        <w:tc>
          <w:tcPr>
            <w:tcW w:w="1662" w:type="dxa"/>
            <w:shd w:val="clear" w:color="auto" w:fill="F1F1F1"/>
          </w:tcPr>
          <w:p w14:paraId="6ACA75A3" w14:textId="77777777" w:rsidR="00AC6F3C" w:rsidRDefault="00570E88">
            <w:pPr>
              <w:pStyle w:val="TableParagraph"/>
              <w:spacing w:before="42"/>
              <w:ind w:right="35"/>
              <w:jc w:val="right"/>
              <w:rPr>
                <w:sz w:val="18"/>
              </w:rPr>
            </w:pPr>
            <w:r>
              <w:rPr>
                <w:spacing w:val="-2"/>
                <w:sz w:val="18"/>
              </w:rPr>
              <w:t>5,597</w:t>
            </w:r>
          </w:p>
        </w:tc>
        <w:tc>
          <w:tcPr>
            <w:tcW w:w="1640" w:type="dxa"/>
            <w:tcBorders>
              <w:right w:val="single" w:sz="6" w:space="0" w:color="000000"/>
            </w:tcBorders>
          </w:tcPr>
          <w:p w14:paraId="740FD324" w14:textId="77777777" w:rsidR="00AC6F3C" w:rsidRDefault="00570E88">
            <w:pPr>
              <w:pStyle w:val="TableParagraph"/>
              <w:spacing w:before="42"/>
              <w:ind w:right="21"/>
              <w:jc w:val="right"/>
              <w:rPr>
                <w:sz w:val="18"/>
              </w:rPr>
            </w:pPr>
            <w:r>
              <w:rPr>
                <w:spacing w:val="-2"/>
                <w:sz w:val="18"/>
              </w:rPr>
              <w:t>5,589</w:t>
            </w:r>
          </w:p>
        </w:tc>
      </w:tr>
      <w:tr w:rsidR="00AC6F3C" w14:paraId="537247B1" w14:textId="77777777">
        <w:trPr>
          <w:trHeight w:val="298"/>
        </w:trPr>
        <w:tc>
          <w:tcPr>
            <w:tcW w:w="5413" w:type="dxa"/>
            <w:tcBorders>
              <w:left w:val="single" w:sz="6" w:space="0" w:color="000000"/>
            </w:tcBorders>
          </w:tcPr>
          <w:p w14:paraId="66150DA1" w14:textId="77777777" w:rsidR="00AC6F3C" w:rsidRDefault="00570E88">
            <w:pPr>
              <w:pStyle w:val="TableParagraph"/>
              <w:spacing w:before="42"/>
              <w:ind w:left="37"/>
              <w:rPr>
                <w:sz w:val="18"/>
              </w:rPr>
            </w:pPr>
            <w:r>
              <w:rPr>
                <w:sz w:val="18"/>
              </w:rPr>
              <w:t>Other</w:t>
            </w:r>
            <w:r>
              <w:rPr>
                <w:spacing w:val="11"/>
                <w:sz w:val="18"/>
              </w:rPr>
              <w:t xml:space="preserve"> </w:t>
            </w:r>
            <w:r>
              <w:rPr>
                <w:sz w:val="18"/>
              </w:rPr>
              <w:t>administration</w:t>
            </w:r>
            <w:r>
              <w:rPr>
                <w:spacing w:val="18"/>
                <w:sz w:val="18"/>
              </w:rPr>
              <w:t xml:space="preserve"> </w:t>
            </w:r>
            <w:r>
              <w:rPr>
                <w:spacing w:val="-2"/>
                <w:sz w:val="18"/>
              </w:rPr>
              <w:t>expenses</w:t>
            </w:r>
          </w:p>
        </w:tc>
        <w:tc>
          <w:tcPr>
            <w:tcW w:w="1662" w:type="dxa"/>
            <w:shd w:val="clear" w:color="auto" w:fill="F1F1F1"/>
          </w:tcPr>
          <w:p w14:paraId="50B8BBA5" w14:textId="77777777" w:rsidR="00AC6F3C" w:rsidRDefault="00570E88">
            <w:pPr>
              <w:pStyle w:val="TableParagraph"/>
              <w:spacing w:before="42"/>
              <w:ind w:right="35"/>
              <w:jc w:val="right"/>
              <w:rPr>
                <w:sz w:val="18"/>
              </w:rPr>
            </w:pPr>
            <w:r>
              <w:rPr>
                <w:spacing w:val="-5"/>
                <w:sz w:val="18"/>
              </w:rPr>
              <w:t>455</w:t>
            </w:r>
          </w:p>
        </w:tc>
        <w:tc>
          <w:tcPr>
            <w:tcW w:w="1640" w:type="dxa"/>
            <w:tcBorders>
              <w:right w:val="single" w:sz="6" w:space="0" w:color="000000"/>
            </w:tcBorders>
          </w:tcPr>
          <w:p w14:paraId="5A0380D5" w14:textId="77777777" w:rsidR="00AC6F3C" w:rsidRDefault="00570E88">
            <w:pPr>
              <w:pStyle w:val="TableParagraph"/>
              <w:spacing w:before="42"/>
              <w:ind w:right="21"/>
              <w:jc w:val="right"/>
              <w:rPr>
                <w:sz w:val="18"/>
              </w:rPr>
            </w:pPr>
            <w:r>
              <w:rPr>
                <w:spacing w:val="-2"/>
                <w:sz w:val="18"/>
              </w:rPr>
              <w:t>1,607</w:t>
            </w:r>
          </w:p>
        </w:tc>
      </w:tr>
      <w:tr w:rsidR="00AC6F3C" w14:paraId="18341C99" w14:textId="77777777">
        <w:trPr>
          <w:trHeight w:val="285"/>
        </w:trPr>
        <w:tc>
          <w:tcPr>
            <w:tcW w:w="5413" w:type="dxa"/>
            <w:tcBorders>
              <w:left w:val="single" w:sz="6" w:space="0" w:color="000000"/>
              <w:bottom w:val="single" w:sz="6" w:space="0" w:color="000000"/>
            </w:tcBorders>
          </w:tcPr>
          <w:p w14:paraId="623522BF" w14:textId="77777777" w:rsidR="00AC6F3C" w:rsidRDefault="00570E88">
            <w:pPr>
              <w:pStyle w:val="TableParagraph"/>
              <w:spacing w:before="42"/>
              <w:ind w:left="37"/>
              <w:rPr>
                <w:sz w:val="18"/>
              </w:rPr>
            </w:pPr>
            <w:r>
              <w:rPr>
                <w:sz w:val="18"/>
              </w:rPr>
              <w:t>Professional</w:t>
            </w:r>
            <w:r>
              <w:rPr>
                <w:spacing w:val="22"/>
                <w:sz w:val="18"/>
              </w:rPr>
              <w:t xml:space="preserve"> </w:t>
            </w:r>
            <w:r>
              <w:rPr>
                <w:sz w:val="18"/>
              </w:rPr>
              <w:t>and</w:t>
            </w:r>
            <w:r>
              <w:rPr>
                <w:spacing w:val="22"/>
                <w:sz w:val="18"/>
              </w:rPr>
              <w:t xml:space="preserve"> </w:t>
            </w:r>
            <w:r>
              <w:rPr>
                <w:sz w:val="18"/>
              </w:rPr>
              <w:t>consulting</w:t>
            </w:r>
            <w:r>
              <w:rPr>
                <w:spacing w:val="22"/>
                <w:sz w:val="18"/>
              </w:rPr>
              <w:t xml:space="preserve"> </w:t>
            </w:r>
            <w:r>
              <w:rPr>
                <w:spacing w:val="-4"/>
                <w:sz w:val="18"/>
              </w:rPr>
              <w:t>fees</w:t>
            </w:r>
          </w:p>
        </w:tc>
        <w:tc>
          <w:tcPr>
            <w:tcW w:w="1662" w:type="dxa"/>
            <w:tcBorders>
              <w:bottom w:val="single" w:sz="6" w:space="0" w:color="000000"/>
            </w:tcBorders>
            <w:shd w:val="clear" w:color="auto" w:fill="F1F1F1"/>
          </w:tcPr>
          <w:p w14:paraId="2B82E43C" w14:textId="77777777" w:rsidR="00AC6F3C" w:rsidRDefault="00570E88">
            <w:pPr>
              <w:pStyle w:val="TableParagraph"/>
              <w:spacing w:before="42"/>
              <w:ind w:right="35"/>
              <w:jc w:val="right"/>
              <w:rPr>
                <w:sz w:val="18"/>
              </w:rPr>
            </w:pPr>
            <w:r>
              <w:rPr>
                <w:spacing w:val="-5"/>
                <w:sz w:val="18"/>
              </w:rPr>
              <w:t>26</w:t>
            </w:r>
          </w:p>
        </w:tc>
        <w:tc>
          <w:tcPr>
            <w:tcW w:w="1640" w:type="dxa"/>
            <w:tcBorders>
              <w:bottom w:val="single" w:sz="6" w:space="0" w:color="000000"/>
              <w:right w:val="single" w:sz="6" w:space="0" w:color="000000"/>
            </w:tcBorders>
          </w:tcPr>
          <w:p w14:paraId="577AAC62" w14:textId="77777777" w:rsidR="00AC6F3C" w:rsidRDefault="00570E88">
            <w:pPr>
              <w:pStyle w:val="TableParagraph"/>
              <w:spacing w:before="42"/>
              <w:ind w:right="21"/>
              <w:jc w:val="right"/>
              <w:rPr>
                <w:sz w:val="18"/>
              </w:rPr>
            </w:pPr>
            <w:r>
              <w:rPr>
                <w:spacing w:val="-2"/>
                <w:sz w:val="18"/>
              </w:rPr>
              <w:t>1,691</w:t>
            </w:r>
          </w:p>
        </w:tc>
      </w:tr>
      <w:tr w:rsidR="00AC6F3C" w14:paraId="4FC12BF9" w14:textId="77777777">
        <w:trPr>
          <w:trHeight w:val="283"/>
        </w:trPr>
        <w:tc>
          <w:tcPr>
            <w:tcW w:w="5413" w:type="dxa"/>
            <w:tcBorders>
              <w:top w:val="single" w:sz="6" w:space="0" w:color="000000"/>
              <w:left w:val="single" w:sz="6" w:space="0" w:color="000000"/>
              <w:bottom w:val="single" w:sz="6" w:space="0" w:color="000000"/>
            </w:tcBorders>
            <w:shd w:val="clear" w:color="auto" w:fill="BEBEBE"/>
          </w:tcPr>
          <w:p w14:paraId="2239C9C3" w14:textId="77777777" w:rsidR="00AC6F3C" w:rsidRDefault="00570E88">
            <w:pPr>
              <w:pStyle w:val="TableParagraph"/>
              <w:spacing w:before="39"/>
              <w:ind w:left="37"/>
              <w:rPr>
                <w:b/>
                <w:sz w:val="18"/>
              </w:rPr>
            </w:pPr>
            <w:r>
              <w:rPr>
                <w:b/>
                <w:spacing w:val="-2"/>
                <w:sz w:val="18"/>
              </w:rPr>
              <w:t>Total</w:t>
            </w:r>
            <w:r>
              <w:rPr>
                <w:b/>
                <w:spacing w:val="-9"/>
                <w:sz w:val="18"/>
              </w:rPr>
              <w:t xml:space="preserve"> </w:t>
            </w:r>
            <w:r>
              <w:rPr>
                <w:b/>
                <w:spacing w:val="-2"/>
                <w:sz w:val="18"/>
              </w:rPr>
              <w:t>administration</w:t>
            </w:r>
            <w:r>
              <w:rPr>
                <w:b/>
                <w:spacing w:val="-8"/>
                <w:sz w:val="18"/>
              </w:rPr>
              <w:t xml:space="preserve"> </w:t>
            </w:r>
            <w:r>
              <w:rPr>
                <w:b/>
                <w:spacing w:val="-2"/>
                <w:sz w:val="18"/>
              </w:rPr>
              <w:t>expenses</w:t>
            </w:r>
          </w:p>
        </w:tc>
        <w:tc>
          <w:tcPr>
            <w:tcW w:w="1662" w:type="dxa"/>
            <w:tcBorders>
              <w:top w:val="single" w:sz="6" w:space="0" w:color="000000"/>
              <w:bottom w:val="single" w:sz="6" w:space="0" w:color="000000"/>
            </w:tcBorders>
            <w:shd w:val="clear" w:color="auto" w:fill="BEBEBE"/>
          </w:tcPr>
          <w:p w14:paraId="1DFE0FD0" w14:textId="77777777" w:rsidR="00AC6F3C" w:rsidRDefault="00570E88">
            <w:pPr>
              <w:pStyle w:val="TableParagraph"/>
              <w:spacing w:before="39"/>
              <w:ind w:right="35"/>
              <w:jc w:val="right"/>
              <w:rPr>
                <w:b/>
                <w:sz w:val="18"/>
              </w:rPr>
            </w:pPr>
            <w:r>
              <w:rPr>
                <w:b/>
                <w:spacing w:val="-2"/>
                <w:sz w:val="18"/>
              </w:rPr>
              <w:t>33,393</w:t>
            </w:r>
          </w:p>
        </w:tc>
        <w:tc>
          <w:tcPr>
            <w:tcW w:w="1640" w:type="dxa"/>
            <w:tcBorders>
              <w:top w:val="single" w:sz="6" w:space="0" w:color="000000"/>
              <w:bottom w:val="single" w:sz="6" w:space="0" w:color="000000"/>
              <w:right w:val="single" w:sz="6" w:space="0" w:color="000000"/>
            </w:tcBorders>
            <w:shd w:val="clear" w:color="auto" w:fill="BEBEBE"/>
          </w:tcPr>
          <w:p w14:paraId="36B16D76" w14:textId="77777777" w:rsidR="00AC6F3C" w:rsidRDefault="00570E88">
            <w:pPr>
              <w:pStyle w:val="TableParagraph"/>
              <w:spacing w:before="39"/>
              <w:ind w:right="21"/>
              <w:jc w:val="right"/>
              <w:rPr>
                <w:b/>
                <w:sz w:val="18"/>
              </w:rPr>
            </w:pPr>
            <w:r>
              <w:rPr>
                <w:b/>
                <w:spacing w:val="-2"/>
                <w:sz w:val="18"/>
              </w:rPr>
              <w:t>36,039</w:t>
            </w:r>
          </w:p>
        </w:tc>
      </w:tr>
    </w:tbl>
    <w:p w14:paraId="40C0BCB5" w14:textId="77777777" w:rsidR="00AC6F3C" w:rsidRDefault="00AC6F3C">
      <w:pPr>
        <w:pStyle w:val="BodyText"/>
        <w:spacing w:before="6"/>
        <w:rPr>
          <w:b/>
          <w:sz w:val="23"/>
        </w:rPr>
      </w:pPr>
    </w:p>
    <w:p w14:paraId="3D145002" w14:textId="77777777" w:rsidR="00AC6F3C" w:rsidRDefault="00570E88">
      <w:pPr>
        <w:ind w:left="979"/>
        <w:rPr>
          <w:sz w:val="18"/>
        </w:rPr>
      </w:pPr>
      <w:r>
        <w:rPr>
          <w:sz w:val="18"/>
        </w:rPr>
        <w:t>Total</w:t>
      </w:r>
      <w:r>
        <w:rPr>
          <w:spacing w:val="-1"/>
          <w:sz w:val="18"/>
        </w:rPr>
        <w:t xml:space="preserve"> </w:t>
      </w:r>
      <w:r>
        <w:rPr>
          <w:sz w:val="18"/>
        </w:rPr>
        <w:t>audit fees paid and payable to the</w:t>
      </w:r>
      <w:r>
        <w:rPr>
          <w:spacing w:val="-1"/>
          <w:sz w:val="18"/>
        </w:rPr>
        <w:t xml:space="preserve"> </w:t>
      </w:r>
      <w:r>
        <w:rPr>
          <w:sz w:val="18"/>
        </w:rPr>
        <w:t>Queensland Audit Office</w:t>
      </w:r>
      <w:r>
        <w:rPr>
          <w:spacing w:val="-1"/>
          <w:sz w:val="18"/>
        </w:rPr>
        <w:t xml:space="preserve"> </w:t>
      </w:r>
      <w:r>
        <w:rPr>
          <w:sz w:val="18"/>
        </w:rPr>
        <w:t>to perform the audit</w:t>
      </w:r>
      <w:r>
        <w:rPr>
          <w:spacing w:val="-1"/>
          <w:sz w:val="18"/>
        </w:rPr>
        <w:t xml:space="preserve"> </w:t>
      </w:r>
      <w:r>
        <w:rPr>
          <w:sz w:val="18"/>
        </w:rPr>
        <w:t>of the</w:t>
      </w:r>
      <w:r>
        <w:rPr>
          <w:spacing w:val="-1"/>
          <w:sz w:val="18"/>
        </w:rPr>
        <w:t xml:space="preserve"> </w:t>
      </w:r>
      <w:r>
        <w:rPr>
          <w:sz w:val="18"/>
        </w:rPr>
        <w:t>Fund’s financial statements</w:t>
      </w:r>
      <w:r>
        <w:rPr>
          <w:spacing w:val="-1"/>
          <w:sz w:val="18"/>
        </w:rPr>
        <w:t xml:space="preserve"> </w:t>
      </w:r>
      <w:r>
        <w:rPr>
          <w:sz w:val="18"/>
        </w:rPr>
        <w:t>for</w:t>
      </w:r>
      <w:r>
        <w:rPr>
          <w:spacing w:val="-2"/>
          <w:sz w:val="18"/>
        </w:rPr>
        <w:t xml:space="preserve"> </w:t>
      </w:r>
      <w:r>
        <w:rPr>
          <w:sz w:val="18"/>
        </w:rPr>
        <w:t>2022-23</w:t>
      </w:r>
      <w:r>
        <w:rPr>
          <w:spacing w:val="-1"/>
          <w:sz w:val="18"/>
        </w:rPr>
        <w:t xml:space="preserve"> </w:t>
      </w:r>
      <w:r>
        <w:rPr>
          <w:sz w:val="18"/>
        </w:rPr>
        <w:t>are</w:t>
      </w:r>
      <w:r>
        <w:rPr>
          <w:spacing w:val="-4"/>
          <w:sz w:val="18"/>
        </w:rPr>
        <w:t xml:space="preserve"> </w:t>
      </w:r>
      <w:r>
        <w:rPr>
          <w:sz w:val="18"/>
        </w:rPr>
        <w:t>$6,900</w:t>
      </w:r>
      <w:r>
        <w:rPr>
          <w:spacing w:val="-1"/>
          <w:sz w:val="18"/>
        </w:rPr>
        <w:t xml:space="preserve"> </w:t>
      </w:r>
      <w:r>
        <w:rPr>
          <w:sz w:val="18"/>
        </w:rPr>
        <w:t>(2022:</w:t>
      </w:r>
      <w:r>
        <w:rPr>
          <w:spacing w:val="-2"/>
          <w:sz w:val="18"/>
        </w:rPr>
        <w:t xml:space="preserve"> </w:t>
      </w:r>
      <w:r>
        <w:rPr>
          <w:sz w:val="18"/>
        </w:rPr>
        <w:t>$5,500).</w:t>
      </w:r>
      <w:r>
        <w:rPr>
          <w:spacing w:val="40"/>
          <w:sz w:val="18"/>
        </w:rPr>
        <w:t xml:space="preserve"> </w:t>
      </w:r>
      <w:r>
        <w:rPr>
          <w:sz w:val="18"/>
        </w:rPr>
        <w:t>There</w:t>
      </w:r>
      <w:r>
        <w:rPr>
          <w:spacing w:val="-1"/>
          <w:sz w:val="18"/>
        </w:rPr>
        <w:t xml:space="preserve"> </w:t>
      </w:r>
      <w:r>
        <w:rPr>
          <w:sz w:val="18"/>
        </w:rPr>
        <w:t>are</w:t>
      </w:r>
      <w:r>
        <w:rPr>
          <w:spacing w:val="-1"/>
          <w:sz w:val="18"/>
        </w:rPr>
        <w:t xml:space="preserve"> </w:t>
      </w:r>
      <w:r>
        <w:rPr>
          <w:sz w:val="18"/>
        </w:rPr>
        <w:t>no</w:t>
      </w:r>
      <w:r>
        <w:rPr>
          <w:spacing w:val="-1"/>
          <w:sz w:val="18"/>
        </w:rPr>
        <w:t xml:space="preserve"> </w:t>
      </w:r>
      <w:r>
        <w:rPr>
          <w:sz w:val="18"/>
        </w:rPr>
        <w:t>non-audit</w:t>
      </w:r>
      <w:r>
        <w:rPr>
          <w:spacing w:val="-4"/>
          <w:sz w:val="18"/>
        </w:rPr>
        <w:t xml:space="preserve"> </w:t>
      </w:r>
      <w:r>
        <w:rPr>
          <w:sz w:val="18"/>
        </w:rPr>
        <w:t>services</w:t>
      </w:r>
      <w:r>
        <w:rPr>
          <w:spacing w:val="-3"/>
          <w:sz w:val="18"/>
        </w:rPr>
        <w:t xml:space="preserve"> </w:t>
      </w:r>
      <w:r>
        <w:rPr>
          <w:sz w:val="18"/>
        </w:rPr>
        <w:t>included</w:t>
      </w:r>
      <w:r>
        <w:rPr>
          <w:spacing w:val="-1"/>
          <w:sz w:val="18"/>
        </w:rPr>
        <w:t xml:space="preserve"> </w:t>
      </w:r>
      <w:r>
        <w:rPr>
          <w:sz w:val="18"/>
        </w:rPr>
        <w:t>in</w:t>
      </w:r>
      <w:r>
        <w:rPr>
          <w:spacing w:val="-4"/>
          <w:sz w:val="18"/>
        </w:rPr>
        <w:t xml:space="preserve"> </w:t>
      </w:r>
      <w:r>
        <w:rPr>
          <w:sz w:val="18"/>
        </w:rPr>
        <w:t>this</w:t>
      </w:r>
      <w:r>
        <w:rPr>
          <w:spacing w:val="-1"/>
          <w:sz w:val="18"/>
        </w:rPr>
        <w:t xml:space="preserve"> </w:t>
      </w:r>
      <w:r>
        <w:rPr>
          <w:sz w:val="18"/>
        </w:rPr>
        <w:t>amount.</w:t>
      </w:r>
    </w:p>
    <w:p w14:paraId="4F4E37EA" w14:textId="77777777" w:rsidR="00AC6F3C" w:rsidRDefault="00AC6F3C">
      <w:pPr>
        <w:pStyle w:val="BodyText"/>
        <w:spacing w:before="10"/>
      </w:pPr>
    </w:p>
    <w:p w14:paraId="06C3E806" w14:textId="77777777" w:rsidR="00AC6F3C" w:rsidRDefault="00570E88">
      <w:pPr>
        <w:pStyle w:val="Heading6"/>
        <w:tabs>
          <w:tab w:val="left" w:pos="1831"/>
        </w:tabs>
        <w:spacing w:before="0"/>
        <w:ind w:left="979"/>
      </w:pPr>
      <w:r>
        <w:rPr>
          <w:spacing w:val="-2"/>
        </w:rPr>
        <w:t>B2-</w:t>
      </w:r>
      <w:r>
        <w:rPr>
          <w:spacing w:val="-10"/>
        </w:rPr>
        <w:t>2</w:t>
      </w:r>
      <w:r>
        <w:tab/>
        <w:t>EMPLOYEE</w:t>
      </w:r>
      <w:r>
        <w:rPr>
          <w:spacing w:val="-4"/>
        </w:rPr>
        <w:t xml:space="preserve"> </w:t>
      </w:r>
      <w:r>
        <w:rPr>
          <w:spacing w:val="-2"/>
        </w:rPr>
        <w:t>EXPENSES</w:t>
      </w:r>
    </w:p>
    <w:p w14:paraId="24A8E3C1" w14:textId="77777777" w:rsidR="00AC6F3C" w:rsidRDefault="00AC6F3C">
      <w:pPr>
        <w:pStyle w:val="BodyText"/>
        <w:spacing w:before="10" w:after="1"/>
        <w:rPr>
          <w:b/>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3795A9A2" w14:textId="77777777">
        <w:trPr>
          <w:trHeight w:val="581"/>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7E363814" w14:textId="77777777" w:rsidR="00AC6F3C" w:rsidRDefault="00570E88">
            <w:pPr>
              <w:pStyle w:val="TableParagraph"/>
              <w:tabs>
                <w:tab w:val="left" w:pos="1647"/>
              </w:tabs>
              <w:spacing w:before="39"/>
              <w:ind w:right="21"/>
              <w:jc w:val="right"/>
              <w:rPr>
                <w:b/>
                <w:sz w:val="18"/>
              </w:rPr>
            </w:pPr>
            <w:r>
              <w:rPr>
                <w:b/>
                <w:spacing w:val="-4"/>
                <w:sz w:val="18"/>
              </w:rPr>
              <w:t>2023</w:t>
            </w:r>
            <w:r>
              <w:rPr>
                <w:b/>
                <w:sz w:val="18"/>
              </w:rPr>
              <w:tab/>
            </w:r>
            <w:r>
              <w:rPr>
                <w:b/>
                <w:spacing w:val="-4"/>
                <w:sz w:val="18"/>
              </w:rPr>
              <w:t>2022</w:t>
            </w:r>
          </w:p>
          <w:p w14:paraId="011256B9" w14:textId="77777777" w:rsidR="00AC6F3C" w:rsidRDefault="00570E88">
            <w:pPr>
              <w:pStyle w:val="TableParagraph"/>
              <w:tabs>
                <w:tab w:val="left" w:pos="1647"/>
              </w:tabs>
              <w:spacing w:before="92"/>
              <w:ind w:right="25"/>
              <w:jc w:val="right"/>
              <w:rPr>
                <w:b/>
                <w:sz w:val="18"/>
              </w:rPr>
            </w:pPr>
            <w:r>
              <w:rPr>
                <w:b/>
                <w:spacing w:val="-10"/>
                <w:sz w:val="18"/>
              </w:rPr>
              <w:t>$</w:t>
            </w:r>
            <w:r>
              <w:rPr>
                <w:b/>
                <w:sz w:val="18"/>
              </w:rPr>
              <w:tab/>
            </w:r>
            <w:r>
              <w:rPr>
                <w:b/>
                <w:spacing w:val="-10"/>
                <w:sz w:val="18"/>
              </w:rPr>
              <w:t>$</w:t>
            </w:r>
          </w:p>
        </w:tc>
      </w:tr>
      <w:tr w:rsidR="00AC6F3C" w14:paraId="59DA92AC" w14:textId="77777777">
        <w:trPr>
          <w:trHeight w:val="295"/>
        </w:trPr>
        <w:tc>
          <w:tcPr>
            <w:tcW w:w="5413" w:type="dxa"/>
            <w:tcBorders>
              <w:top w:val="single" w:sz="6" w:space="0" w:color="000000"/>
              <w:left w:val="single" w:sz="6" w:space="0" w:color="000000"/>
            </w:tcBorders>
          </w:tcPr>
          <w:p w14:paraId="03998F10" w14:textId="77777777" w:rsidR="00AC6F3C" w:rsidRDefault="00570E88">
            <w:pPr>
              <w:pStyle w:val="TableParagraph"/>
              <w:spacing w:before="39"/>
              <w:ind w:left="37"/>
              <w:rPr>
                <w:sz w:val="18"/>
              </w:rPr>
            </w:pPr>
            <w:r>
              <w:rPr>
                <w:sz w:val="18"/>
              </w:rPr>
              <w:t>Wages</w:t>
            </w:r>
            <w:r>
              <w:rPr>
                <w:spacing w:val="12"/>
                <w:sz w:val="18"/>
              </w:rPr>
              <w:t xml:space="preserve"> </w:t>
            </w:r>
            <w:r>
              <w:rPr>
                <w:sz w:val="18"/>
              </w:rPr>
              <w:t>and</w:t>
            </w:r>
            <w:r>
              <w:rPr>
                <w:spacing w:val="2"/>
                <w:sz w:val="18"/>
              </w:rPr>
              <w:t xml:space="preserve"> </w:t>
            </w:r>
            <w:r>
              <w:rPr>
                <w:spacing w:val="-2"/>
                <w:sz w:val="18"/>
              </w:rPr>
              <w:t>salaries</w:t>
            </w:r>
          </w:p>
        </w:tc>
        <w:tc>
          <w:tcPr>
            <w:tcW w:w="1662" w:type="dxa"/>
            <w:tcBorders>
              <w:top w:val="single" w:sz="6" w:space="0" w:color="000000"/>
            </w:tcBorders>
            <w:shd w:val="clear" w:color="auto" w:fill="F1F1F1"/>
          </w:tcPr>
          <w:p w14:paraId="35120446" w14:textId="77777777" w:rsidR="00AC6F3C" w:rsidRDefault="00570E88">
            <w:pPr>
              <w:pStyle w:val="TableParagraph"/>
              <w:spacing w:before="39"/>
              <w:ind w:right="35"/>
              <w:jc w:val="right"/>
              <w:rPr>
                <w:sz w:val="18"/>
              </w:rPr>
            </w:pPr>
            <w:r>
              <w:rPr>
                <w:spacing w:val="-2"/>
                <w:sz w:val="18"/>
              </w:rPr>
              <w:t>478,991</w:t>
            </w:r>
          </w:p>
        </w:tc>
        <w:tc>
          <w:tcPr>
            <w:tcW w:w="1640" w:type="dxa"/>
            <w:tcBorders>
              <w:top w:val="single" w:sz="6" w:space="0" w:color="000000"/>
              <w:right w:val="single" w:sz="6" w:space="0" w:color="000000"/>
            </w:tcBorders>
          </w:tcPr>
          <w:p w14:paraId="0F3AB265" w14:textId="77777777" w:rsidR="00AC6F3C" w:rsidRDefault="00570E88">
            <w:pPr>
              <w:pStyle w:val="TableParagraph"/>
              <w:spacing w:before="39"/>
              <w:ind w:right="21"/>
              <w:jc w:val="right"/>
              <w:rPr>
                <w:sz w:val="18"/>
              </w:rPr>
            </w:pPr>
            <w:r>
              <w:rPr>
                <w:spacing w:val="-2"/>
                <w:sz w:val="18"/>
              </w:rPr>
              <w:t>521,128</w:t>
            </w:r>
          </w:p>
        </w:tc>
      </w:tr>
      <w:tr w:rsidR="00AC6F3C" w14:paraId="6D580AF1" w14:textId="77777777">
        <w:trPr>
          <w:trHeight w:val="298"/>
        </w:trPr>
        <w:tc>
          <w:tcPr>
            <w:tcW w:w="5413" w:type="dxa"/>
            <w:tcBorders>
              <w:left w:val="single" w:sz="6" w:space="0" w:color="000000"/>
            </w:tcBorders>
          </w:tcPr>
          <w:p w14:paraId="3139C35A" w14:textId="77777777" w:rsidR="00AC6F3C" w:rsidRDefault="00570E88">
            <w:pPr>
              <w:pStyle w:val="TableParagraph"/>
              <w:spacing w:before="42"/>
              <w:ind w:left="37"/>
              <w:rPr>
                <w:sz w:val="18"/>
              </w:rPr>
            </w:pPr>
            <w:r>
              <w:rPr>
                <w:sz w:val="18"/>
              </w:rPr>
              <w:t>Employer</w:t>
            </w:r>
            <w:r>
              <w:rPr>
                <w:spacing w:val="15"/>
                <w:sz w:val="18"/>
              </w:rPr>
              <w:t xml:space="preserve"> </w:t>
            </w:r>
            <w:r>
              <w:rPr>
                <w:sz w:val="18"/>
              </w:rPr>
              <w:t>superannuation</w:t>
            </w:r>
            <w:r>
              <w:rPr>
                <w:spacing w:val="23"/>
                <w:sz w:val="18"/>
              </w:rPr>
              <w:t xml:space="preserve"> </w:t>
            </w:r>
            <w:r>
              <w:rPr>
                <w:spacing w:val="-2"/>
                <w:sz w:val="18"/>
              </w:rPr>
              <w:t>contributions</w:t>
            </w:r>
          </w:p>
        </w:tc>
        <w:tc>
          <w:tcPr>
            <w:tcW w:w="1662" w:type="dxa"/>
            <w:shd w:val="clear" w:color="auto" w:fill="F1F1F1"/>
          </w:tcPr>
          <w:p w14:paraId="100818A2" w14:textId="77777777" w:rsidR="00AC6F3C" w:rsidRDefault="00570E88">
            <w:pPr>
              <w:pStyle w:val="TableParagraph"/>
              <w:spacing w:before="42"/>
              <w:ind w:right="35"/>
              <w:jc w:val="right"/>
              <w:rPr>
                <w:sz w:val="18"/>
              </w:rPr>
            </w:pPr>
            <w:r>
              <w:rPr>
                <w:spacing w:val="-2"/>
                <w:sz w:val="18"/>
              </w:rPr>
              <w:t>51,225</w:t>
            </w:r>
          </w:p>
        </w:tc>
        <w:tc>
          <w:tcPr>
            <w:tcW w:w="1640" w:type="dxa"/>
            <w:tcBorders>
              <w:right w:val="single" w:sz="6" w:space="0" w:color="000000"/>
            </w:tcBorders>
          </w:tcPr>
          <w:p w14:paraId="21A5B687" w14:textId="77777777" w:rsidR="00AC6F3C" w:rsidRDefault="00570E88">
            <w:pPr>
              <w:pStyle w:val="TableParagraph"/>
              <w:spacing w:before="42"/>
              <w:ind w:right="21"/>
              <w:jc w:val="right"/>
              <w:rPr>
                <w:sz w:val="18"/>
              </w:rPr>
            </w:pPr>
            <w:r>
              <w:rPr>
                <w:spacing w:val="-2"/>
                <w:sz w:val="18"/>
              </w:rPr>
              <w:t>51,096</w:t>
            </w:r>
          </w:p>
        </w:tc>
      </w:tr>
      <w:tr w:rsidR="00AC6F3C" w14:paraId="0074C96D" w14:textId="77777777">
        <w:trPr>
          <w:trHeight w:val="298"/>
        </w:trPr>
        <w:tc>
          <w:tcPr>
            <w:tcW w:w="5413" w:type="dxa"/>
            <w:tcBorders>
              <w:left w:val="single" w:sz="6" w:space="0" w:color="000000"/>
            </w:tcBorders>
          </w:tcPr>
          <w:p w14:paraId="65A8BEB4" w14:textId="77777777" w:rsidR="00AC6F3C" w:rsidRDefault="00570E88">
            <w:pPr>
              <w:pStyle w:val="TableParagraph"/>
              <w:spacing w:before="42"/>
              <w:ind w:left="37"/>
              <w:rPr>
                <w:sz w:val="18"/>
              </w:rPr>
            </w:pPr>
            <w:r>
              <w:rPr>
                <w:sz w:val="18"/>
              </w:rPr>
              <w:t>Payroll</w:t>
            </w:r>
            <w:r>
              <w:rPr>
                <w:spacing w:val="-10"/>
                <w:sz w:val="18"/>
              </w:rPr>
              <w:t xml:space="preserve"> </w:t>
            </w:r>
            <w:r>
              <w:rPr>
                <w:spacing w:val="-5"/>
                <w:sz w:val="18"/>
              </w:rPr>
              <w:t>tax</w:t>
            </w:r>
          </w:p>
        </w:tc>
        <w:tc>
          <w:tcPr>
            <w:tcW w:w="1662" w:type="dxa"/>
            <w:shd w:val="clear" w:color="auto" w:fill="F1F1F1"/>
          </w:tcPr>
          <w:p w14:paraId="15A8E2AC" w14:textId="77777777" w:rsidR="00AC6F3C" w:rsidRDefault="00570E88">
            <w:pPr>
              <w:pStyle w:val="TableParagraph"/>
              <w:spacing w:before="42"/>
              <w:ind w:right="35"/>
              <w:jc w:val="right"/>
              <w:rPr>
                <w:sz w:val="18"/>
              </w:rPr>
            </w:pPr>
            <w:r>
              <w:rPr>
                <w:spacing w:val="-2"/>
                <w:sz w:val="18"/>
              </w:rPr>
              <w:t>24,514</w:t>
            </w:r>
          </w:p>
        </w:tc>
        <w:tc>
          <w:tcPr>
            <w:tcW w:w="1640" w:type="dxa"/>
            <w:tcBorders>
              <w:right w:val="single" w:sz="6" w:space="0" w:color="000000"/>
            </w:tcBorders>
          </w:tcPr>
          <w:p w14:paraId="0B0CADD0" w14:textId="77777777" w:rsidR="00AC6F3C" w:rsidRDefault="00570E88">
            <w:pPr>
              <w:pStyle w:val="TableParagraph"/>
              <w:spacing w:before="42"/>
              <w:ind w:right="21"/>
              <w:jc w:val="right"/>
              <w:rPr>
                <w:sz w:val="18"/>
              </w:rPr>
            </w:pPr>
            <w:r>
              <w:rPr>
                <w:spacing w:val="-2"/>
                <w:sz w:val="18"/>
              </w:rPr>
              <w:t>27,546</w:t>
            </w:r>
          </w:p>
        </w:tc>
      </w:tr>
      <w:tr w:rsidR="00AC6F3C" w14:paraId="6F66FE94" w14:textId="77777777">
        <w:trPr>
          <w:trHeight w:val="298"/>
        </w:trPr>
        <w:tc>
          <w:tcPr>
            <w:tcW w:w="5413" w:type="dxa"/>
            <w:tcBorders>
              <w:left w:val="single" w:sz="6" w:space="0" w:color="000000"/>
            </w:tcBorders>
          </w:tcPr>
          <w:p w14:paraId="1B600B4E" w14:textId="77777777" w:rsidR="00AC6F3C" w:rsidRDefault="00570E88">
            <w:pPr>
              <w:pStyle w:val="TableParagraph"/>
              <w:spacing w:before="42"/>
              <w:ind w:left="37"/>
              <w:rPr>
                <w:sz w:val="18"/>
              </w:rPr>
            </w:pPr>
            <w:r>
              <w:rPr>
                <w:sz w:val="18"/>
              </w:rPr>
              <w:t>Workers</w:t>
            </w:r>
            <w:r>
              <w:rPr>
                <w:spacing w:val="32"/>
                <w:sz w:val="18"/>
              </w:rPr>
              <w:t xml:space="preserve"> </w:t>
            </w:r>
            <w:proofErr w:type="spellStart"/>
            <w:r>
              <w:rPr>
                <w:sz w:val="18"/>
              </w:rPr>
              <w:t>complensation</w:t>
            </w:r>
            <w:proofErr w:type="spellEnd"/>
            <w:r>
              <w:rPr>
                <w:spacing w:val="18"/>
                <w:sz w:val="18"/>
              </w:rPr>
              <w:t xml:space="preserve"> </w:t>
            </w:r>
            <w:r>
              <w:rPr>
                <w:spacing w:val="-2"/>
                <w:sz w:val="18"/>
              </w:rPr>
              <w:t>premiums</w:t>
            </w:r>
          </w:p>
        </w:tc>
        <w:tc>
          <w:tcPr>
            <w:tcW w:w="1662" w:type="dxa"/>
            <w:shd w:val="clear" w:color="auto" w:fill="F1F1F1"/>
          </w:tcPr>
          <w:p w14:paraId="4E9E655C" w14:textId="77777777" w:rsidR="00AC6F3C" w:rsidRDefault="00570E88">
            <w:pPr>
              <w:pStyle w:val="TableParagraph"/>
              <w:spacing w:before="42"/>
              <w:ind w:right="35"/>
              <w:jc w:val="right"/>
              <w:rPr>
                <w:sz w:val="18"/>
              </w:rPr>
            </w:pPr>
            <w:r>
              <w:rPr>
                <w:spacing w:val="-2"/>
                <w:sz w:val="18"/>
              </w:rPr>
              <w:t>1,851</w:t>
            </w:r>
          </w:p>
        </w:tc>
        <w:tc>
          <w:tcPr>
            <w:tcW w:w="1640" w:type="dxa"/>
            <w:tcBorders>
              <w:right w:val="single" w:sz="6" w:space="0" w:color="000000"/>
            </w:tcBorders>
          </w:tcPr>
          <w:p w14:paraId="2DA35E57" w14:textId="77777777" w:rsidR="00AC6F3C" w:rsidRDefault="00570E88">
            <w:pPr>
              <w:pStyle w:val="TableParagraph"/>
              <w:spacing w:before="42"/>
              <w:ind w:right="21"/>
              <w:jc w:val="right"/>
              <w:rPr>
                <w:sz w:val="18"/>
              </w:rPr>
            </w:pPr>
            <w:r>
              <w:rPr>
                <w:spacing w:val="-2"/>
                <w:sz w:val="18"/>
              </w:rPr>
              <w:t>1,562</w:t>
            </w:r>
          </w:p>
        </w:tc>
      </w:tr>
      <w:tr w:rsidR="00AC6F3C" w14:paraId="4CAC5027" w14:textId="77777777">
        <w:trPr>
          <w:trHeight w:val="285"/>
        </w:trPr>
        <w:tc>
          <w:tcPr>
            <w:tcW w:w="5413" w:type="dxa"/>
            <w:tcBorders>
              <w:left w:val="single" w:sz="6" w:space="0" w:color="000000"/>
              <w:bottom w:val="single" w:sz="6" w:space="0" w:color="000000"/>
            </w:tcBorders>
          </w:tcPr>
          <w:p w14:paraId="5D415ED6" w14:textId="77777777" w:rsidR="00AC6F3C" w:rsidRDefault="00570E88">
            <w:pPr>
              <w:pStyle w:val="TableParagraph"/>
              <w:spacing w:before="42"/>
              <w:ind w:left="37"/>
              <w:rPr>
                <w:sz w:val="18"/>
              </w:rPr>
            </w:pPr>
            <w:r>
              <w:rPr>
                <w:sz w:val="18"/>
              </w:rPr>
              <w:t>Movement</w:t>
            </w:r>
            <w:r>
              <w:rPr>
                <w:spacing w:val="-9"/>
                <w:sz w:val="18"/>
              </w:rPr>
              <w:t xml:space="preserve"> </w:t>
            </w:r>
            <w:r>
              <w:rPr>
                <w:sz w:val="18"/>
              </w:rPr>
              <w:t>in</w:t>
            </w:r>
            <w:r>
              <w:rPr>
                <w:spacing w:val="2"/>
                <w:sz w:val="18"/>
              </w:rPr>
              <w:t xml:space="preserve"> </w:t>
            </w:r>
            <w:r>
              <w:rPr>
                <w:sz w:val="18"/>
              </w:rPr>
              <w:t>annual</w:t>
            </w:r>
            <w:r>
              <w:rPr>
                <w:spacing w:val="2"/>
                <w:sz w:val="18"/>
              </w:rPr>
              <w:t xml:space="preserve"> </w:t>
            </w:r>
            <w:r>
              <w:rPr>
                <w:sz w:val="18"/>
              </w:rPr>
              <w:t>and</w:t>
            </w:r>
            <w:r>
              <w:rPr>
                <w:spacing w:val="2"/>
                <w:sz w:val="18"/>
              </w:rPr>
              <w:t xml:space="preserve"> </w:t>
            </w:r>
            <w:r>
              <w:rPr>
                <w:sz w:val="18"/>
              </w:rPr>
              <w:t>long</w:t>
            </w:r>
            <w:r>
              <w:rPr>
                <w:spacing w:val="3"/>
                <w:sz w:val="18"/>
              </w:rPr>
              <w:t xml:space="preserve"> </w:t>
            </w:r>
            <w:r>
              <w:rPr>
                <w:sz w:val="18"/>
              </w:rPr>
              <w:t>service</w:t>
            </w:r>
            <w:r>
              <w:rPr>
                <w:spacing w:val="2"/>
                <w:sz w:val="18"/>
              </w:rPr>
              <w:t xml:space="preserve"> </w:t>
            </w:r>
            <w:r>
              <w:rPr>
                <w:sz w:val="18"/>
              </w:rPr>
              <w:t>leave</w:t>
            </w:r>
            <w:r>
              <w:rPr>
                <w:spacing w:val="2"/>
                <w:sz w:val="18"/>
              </w:rPr>
              <w:t xml:space="preserve"> </w:t>
            </w:r>
            <w:r>
              <w:rPr>
                <w:spacing w:val="-2"/>
                <w:sz w:val="18"/>
              </w:rPr>
              <w:t>provision</w:t>
            </w:r>
          </w:p>
        </w:tc>
        <w:tc>
          <w:tcPr>
            <w:tcW w:w="1662" w:type="dxa"/>
            <w:tcBorders>
              <w:bottom w:val="single" w:sz="6" w:space="0" w:color="000000"/>
            </w:tcBorders>
            <w:shd w:val="clear" w:color="auto" w:fill="F1F1F1"/>
          </w:tcPr>
          <w:p w14:paraId="2FE02750" w14:textId="77777777" w:rsidR="00AC6F3C" w:rsidRDefault="00570E88">
            <w:pPr>
              <w:pStyle w:val="TableParagraph"/>
              <w:spacing w:before="42"/>
              <w:ind w:right="30"/>
              <w:jc w:val="right"/>
              <w:rPr>
                <w:sz w:val="18"/>
              </w:rPr>
            </w:pPr>
            <w:r>
              <w:rPr>
                <w:spacing w:val="-2"/>
                <w:sz w:val="18"/>
              </w:rPr>
              <w:t>(37,725)</w:t>
            </w:r>
          </w:p>
        </w:tc>
        <w:tc>
          <w:tcPr>
            <w:tcW w:w="1640" w:type="dxa"/>
            <w:tcBorders>
              <w:bottom w:val="single" w:sz="6" w:space="0" w:color="000000"/>
              <w:right w:val="single" w:sz="6" w:space="0" w:color="000000"/>
            </w:tcBorders>
          </w:tcPr>
          <w:p w14:paraId="4550ED4C" w14:textId="77777777" w:rsidR="00AC6F3C" w:rsidRDefault="00570E88">
            <w:pPr>
              <w:pStyle w:val="TableParagraph"/>
              <w:spacing w:before="42"/>
              <w:ind w:right="16"/>
              <w:jc w:val="right"/>
              <w:rPr>
                <w:sz w:val="18"/>
              </w:rPr>
            </w:pPr>
            <w:r>
              <w:rPr>
                <w:spacing w:val="-2"/>
                <w:sz w:val="18"/>
              </w:rPr>
              <w:t>(1,047)</w:t>
            </w:r>
          </w:p>
        </w:tc>
      </w:tr>
      <w:tr w:rsidR="00AC6F3C" w14:paraId="32E87C97" w14:textId="77777777">
        <w:trPr>
          <w:trHeight w:val="283"/>
        </w:trPr>
        <w:tc>
          <w:tcPr>
            <w:tcW w:w="5413" w:type="dxa"/>
            <w:tcBorders>
              <w:top w:val="single" w:sz="6" w:space="0" w:color="000000"/>
              <w:left w:val="single" w:sz="6" w:space="0" w:color="000000"/>
              <w:bottom w:val="single" w:sz="6" w:space="0" w:color="000000"/>
            </w:tcBorders>
            <w:shd w:val="clear" w:color="auto" w:fill="BEBEBE"/>
          </w:tcPr>
          <w:p w14:paraId="098BD651" w14:textId="77777777" w:rsidR="00AC6F3C" w:rsidRDefault="00570E88">
            <w:pPr>
              <w:pStyle w:val="TableParagraph"/>
              <w:spacing w:before="39"/>
              <w:ind w:left="37"/>
              <w:rPr>
                <w:b/>
                <w:sz w:val="18"/>
              </w:rPr>
            </w:pPr>
            <w:r>
              <w:rPr>
                <w:b/>
                <w:spacing w:val="-2"/>
                <w:sz w:val="18"/>
              </w:rPr>
              <w:t>Total</w:t>
            </w:r>
            <w:r>
              <w:rPr>
                <w:b/>
                <w:spacing w:val="-11"/>
                <w:sz w:val="18"/>
              </w:rPr>
              <w:t xml:space="preserve"> </w:t>
            </w:r>
            <w:r>
              <w:rPr>
                <w:b/>
                <w:spacing w:val="-2"/>
                <w:sz w:val="18"/>
              </w:rPr>
              <w:t>employee</w:t>
            </w:r>
            <w:r>
              <w:rPr>
                <w:b/>
                <w:spacing w:val="-8"/>
                <w:sz w:val="18"/>
              </w:rPr>
              <w:t xml:space="preserve"> </w:t>
            </w:r>
            <w:r>
              <w:rPr>
                <w:b/>
                <w:spacing w:val="-2"/>
                <w:sz w:val="18"/>
              </w:rPr>
              <w:t>expenses</w:t>
            </w:r>
          </w:p>
        </w:tc>
        <w:tc>
          <w:tcPr>
            <w:tcW w:w="1662" w:type="dxa"/>
            <w:tcBorders>
              <w:top w:val="single" w:sz="6" w:space="0" w:color="000000"/>
              <w:bottom w:val="single" w:sz="6" w:space="0" w:color="000000"/>
            </w:tcBorders>
            <w:shd w:val="clear" w:color="auto" w:fill="BEBEBE"/>
          </w:tcPr>
          <w:p w14:paraId="54A9955A" w14:textId="77777777" w:rsidR="00AC6F3C" w:rsidRDefault="00570E88">
            <w:pPr>
              <w:pStyle w:val="TableParagraph"/>
              <w:spacing w:before="39"/>
              <w:ind w:right="35"/>
              <w:jc w:val="right"/>
              <w:rPr>
                <w:b/>
                <w:sz w:val="18"/>
              </w:rPr>
            </w:pPr>
            <w:r>
              <w:rPr>
                <w:b/>
                <w:spacing w:val="-2"/>
                <w:sz w:val="18"/>
              </w:rPr>
              <w:t>518,856</w:t>
            </w:r>
          </w:p>
        </w:tc>
        <w:tc>
          <w:tcPr>
            <w:tcW w:w="1640" w:type="dxa"/>
            <w:tcBorders>
              <w:top w:val="single" w:sz="6" w:space="0" w:color="000000"/>
              <w:bottom w:val="single" w:sz="6" w:space="0" w:color="000000"/>
              <w:right w:val="single" w:sz="6" w:space="0" w:color="000000"/>
            </w:tcBorders>
            <w:shd w:val="clear" w:color="auto" w:fill="BEBEBE"/>
          </w:tcPr>
          <w:p w14:paraId="08D372D1" w14:textId="77777777" w:rsidR="00AC6F3C" w:rsidRDefault="00570E88">
            <w:pPr>
              <w:pStyle w:val="TableParagraph"/>
              <w:spacing w:before="39"/>
              <w:ind w:right="21"/>
              <w:jc w:val="right"/>
              <w:rPr>
                <w:b/>
                <w:sz w:val="18"/>
              </w:rPr>
            </w:pPr>
            <w:r>
              <w:rPr>
                <w:b/>
                <w:spacing w:val="-2"/>
                <w:sz w:val="18"/>
              </w:rPr>
              <w:t>600,285</w:t>
            </w:r>
          </w:p>
        </w:tc>
      </w:tr>
    </w:tbl>
    <w:p w14:paraId="1C007D55" w14:textId="77777777" w:rsidR="00AC6F3C" w:rsidRDefault="00570E88">
      <w:pPr>
        <w:spacing w:before="151"/>
        <w:ind w:left="979"/>
        <w:rPr>
          <w:b/>
          <w:sz w:val="18"/>
        </w:rPr>
      </w:pPr>
      <w:r>
        <w:rPr>
          <w:b/>
          <w:sz w:val="18"/>
        </w:rPr>
        <w:t>Accounting</w:t>
      </w:r>
      <w:r>
        <w:rPr>
          <w:b/>
          <w:spacing w:val="-2"/>
          <w:sz w:val="18"/>
        </w:rPr>
        <w:t xml:space="preserve"> </w:t>
      </w:r>
      <w:r>
        <w:rPr>
          <w:b/>
          <w:sz w:val="18"/>
        </w:rPr>
        <w:t>policy –</w:t>
      </w:r>
      <w:r>
        <w:rPr>
          <w:b/>
          <w:spacing w:val="-3"/>
          <w:sz w:val="18"/>
        </w:rPr>
        <w:t xml:space="preserve"> </w:t>
      </w:r>
      <w:r>
        <w:rPr>
          <w:b/>
          <w:sz w:val="18"/>
        </w:rPr>
        <w:t>wages</w:t>
      </w:r>
      <w:r>
        <w:rPr>
          <w:b/>
          <w:spacing w:val="-3"/>
          <w:sz w:val="18"/>
        </w:rPr>
        <w:t xml:space="preserve"> </w:t>
      </w:r>
      <w:r>
        <w:rPr>
          <w:b/>
          <w:sz w:val="18"/>
        </w:rPr>
        <w:t>and</w:t>
      </w:r>
      <w:r>
        <w:rPr>
          <w:b/>
          <w:spacing w:val="-1"/>
          <w:sz w:val="18"/>
        </w:rPr>
        <w:t xml:space="preserve"> </w:t>
      </w:r>
      <w:r>
        <w:rPr>
          <w:b/>
          <w:spacing w:val="-2"/>
          <w:sz w:val="18"/>
        </w:rPr>
        <w:t>salaries</w:t>
      </w:r>
    </w:p>
    <w:p w14:paraId="59D4DC80" w14:textId="77777777" w:rsidR="00AC6F3C" w:rsidRDefault="00570E88">
      <w:pPr>
        <w:spacing w:before="119"/>
        <w:ind w:left="979" w:right="468"/>
        <w:rPr>
          <w:sz w:val="18"/>
        </w:rPr>
      </w:pPr>
      <w:r>
        <w:rPr>
          <w:sz w:val="18"/>
        </w:rPr>
        <w:t xml:space="preserve">Wages and salaries due but unpaid at reporting date are </w:t>
      </w:r>
      <w:proofErr w:type="spellStart"/>
      <w:r>
        <w:rPr>
          <w:sz w:val="18"/>
        </w:rPr>
        <w:t>recognised</w:t>
      </w:r>
      <w:proofErr w:type="spellEnd"/>
      <w:r>
        <w:rPr>
          <w:sz w:val="18"/>
        </w:rPr>
        <w:t xml:space="preserve"> in the Statement of Financial Position at current</w:t>
      </w:r>
      <w:r>
        <w:rPr>
          <w:spacing w:val="-2"/>
          <w:sz w:val="18"/>
        </w:rPr>
        <w:t xml:space="preserve"> </w:t>
      </w:r>
      <w:r>
        <w:rPr>
          <w:sz w:val="18"/>
        </w:rPr>
        <w:t>salary</w:t>
      </w:r>
      <w:r>
        <w:rPr>
          <w:spacing w:val="-1"/>
          <w:sz w:val="18"/>
        </w:rPr>
        <w:t xml:space="preserve"> </w:t>
      </w:r>
      <w:r>
        <w:rPr>
          <w:sz w:val="18"/>
        </w:rPr>
        <w:t>rates.</w:t>
      </w:r>
      <w:r>
        <w:rPr>
          <w:spacing w:val="-2"/>
          <w:sz w:val="18"/>
        </w:rPr>
        <w:t xml:space="preserve"> </w:t>
      </w:r>
      <w:r>
        <w:rPr>
          <w:sz w:val="18"/>
        </w:rPr>
        <w:t>As</w:t>
      </w:r>
      <w:r>
        <w:rPr>
          <w:spacing w:val="-1"/>
          <w:sz w:val="18"/>
        </w:rPr>
        <w:t xml:space="preserve"> </w:t>
      </w:r>
      <w:r>
        <w:rPr>
          <w:sz w:val="18"/>
        </w:rPr>
        <w:t>QSS</w:t>
      </w:r>
      <w:r>
        <w:rPr>
          <w:spacing w:val="-2"/>
          <w:sz w:val="18"/>
        </w:rPr>
        <w:t xml:space="preserve"> </w:t>
      </w:r>
      <w:r>
        <w:rPr>
          <w:sz w:val="18"/>
        </w:rPr>
        <w:t>expects</w:t>
      </w:r>
      <w:r>
        <w:rPr>
          <w:spacing w:val="-3"/>
          <w:sz w:val="18"/>
        </w:rPr>
        <w:t xml:space="preserve"> </w:t>
      </w:r>
      <w:r>
        <w:rPr>
          <w:sz w:val="18"/>
        </w:rPr>
        <w:t>such</w:t>
      </w:r>
      <w:r>
        <w:rPr>
          <w:spacing w:val="-1"/>
          <w:sz w:val="18"/>
        </w:rPr>
        <w:t xml:space="preserve"> </w:t>
      </w:r>
      <w:r>
        <w:rPr>
          <w:sz w:val="18"/>
        </w:rPr>
        <w:t>liabilities</w:t>
      </w:r>
      <w:r>
        <w:rPr>
          <w:spacing w:val="-1"/>
          <w:sz w:val="18"/>
        </w:rPr>
        <w:t xml:space="preserve"> </w:t>
      </w:r>
      <w:r>
        <w:rPr>
          <w:sz w:val="18"/>
        </w:rPr>
        <w:t>to</w:t>
      </w:r>
      <w:r>
        <w:rPr>
          <w:spacing w:val="-4"/>
          <w:sz w:val="18"/>
        </w:rPr>
        <w:t xml:space="preserve"> </w:t>
      </w:r>
      <w:r>
        <w:rPr>
          <w:sz w:val="18"/>
        </w:rPr>
        <w:t>be</w:t>
      </w:r>
      <w:r>
        <w:rPr>
          <w:spacing w:val="-1"/>
          <w:sz w:val="18"/>
        </w:rPr>
        <w:t xml:space="preserve"> </w:t>
      </w:r>
      <w:r>
        <w:rPr>
          <w:sz w:val="18"/>
        </w:rPr>
        <w:t>wholly</w:t>
      </w:r>
      <w:r>
        <w:rPr>
          <w:spacing w:val="-3"/>
          <w:sz w:val="18"/>
        </w:rPr>
        <w:t xml:space="preserve"> </w:t>
      </w:r>
      <w:r>
        <w:rPr>
          <w:sz w:val="18"/>
        </w:rPr>
        <w:t>settled</w:t>
      </w:r>
      <w:r>
        <w:rPr>
          <w:spacing w:val="-1"/>
          <w:sz w:val="18"/>
        </w:rPr>
        <w:t xml:space="preserve"> </w:t>
      </w:r>
      <w:r>
        <w:rPr>
          <w:sz w:val="18"/>
        </w:rPr>
        <w:t>within</w:t>
      </w:r>
      <w:r>
        <w:rPr>
          <w:spacing w:val="-1"/>
          <w:sz w:val="18"/>
        </w:rPr>
        <w:t xml:space="preserve"> </w:t>
      </w:r>
      <w:r>
        <w:rPr>
          <w:sz w:val="18"/>
        </w:rPr>
        <w:t>12</w:t>
      </w:r>
      <w:r>
        <w:rPr>
          <w:spacing w:val="-1"/>
          <w:sz w:val="18"/>
        </w:rPr>
        <w:t xml:space="preserve"> </w:t>
      </w:r>
      <w:r>
        <w:rPr>
          <w:sz w:val="18"/>
        </w:rPr>
        <w:t>months</w:t>
      </w:r>
      <w:r>
        <w:rPr>
          <w:spacing w:val="-1"/>
          <w:sz w:val="18"/>
        </w:rPr>
        <w:t xml:space="preserve"> </w:t>
      </w:r>
      <w:r>
        <w:rPr>
          <w:sz w:val="18"/>
        </w:rPr>
        <w:t>of</w:t>
      </w:r>
      <w:r>
        <w:rPr>
          <w:spacing w:val="-4"/>
          <w:sz w:val="18"/>
        </w:rPr>
        <w:t xml:space="preserve"> </w:t>
      </w:r>
      <w:r>
        <w:rPr>
          <w:sz w:val="18"/>
        </w:rPr>
        <w:t>reporting</w:t>
      </w:r>
      <w:r>
        <w:rPr>
          <w:spacing w:val="-4"/>
          <w:sz w:val="18"/>
        </w:rPr>
        <w:t xml:space="preserve"> </w:t>
      </w:r>
      <w:r>
        <w:rPr>
          <w:sz w:val="18"/>
        </w:rPr>
        <w:t>date,</w:t>
      </w:r>
      <w:r>
        <w:rPr>
          <w:spacing w:val="-4"/>
          <w:sz w:val="18"/>
        </w:rPr>
        <w:t xml:space="preserve"> </w:t>
      </w:r>
      <w:r>
        <w:rPr>
          <w:sz w:val="18"/>
        </w:rPr>
        <w:t xml:space="preserve">the liabilities are </w:t>
      </w:r>
      <w:proofErr w:type="spellStart"/>
      <w:r>
        <w:rPr>
          <w:sz w:val="18"/>
        </w:rPr>
        <w:t>recognised</w:t>
      </w:r>
      <w:proofErr w:type="spellEnd"/>
      <w:r>
        <w:rPr>
          <w:sz w:val="18"/>
        </w:rPr>
        <w:t xml:space="preserve"> at undiscounted amounts.</w:t>
      </w:r>
    </w:p>
    <w:p w14:paraId="561C044C" w14:textId="77777777" w:rsidR="00AC6F3C" w:rsidRDefault="00570E88">
      <w:pPr>
        <w:spacing w:before="120"/>
        <w:ind w:left="979"/>
        <w:rPr>
          <w:b/>
          <w:sz w:val="18"/>
        </w:rPr>
      </w:pPr>
      <w:r>
        <w:rPr>
          <w:b/>
          <w:sz w:val="18"/>
        </w:rPr>
        <w:t>Accounting</w:t>
      </w:r>
      <w:r>
        <w:rPr>
          <w:b/>
          <w:spacing w:val="-4"/>
          <w:sz w:val="18"/>
        </w:rPr>
        <w:t xml:space="preserve"> </w:t>
      </w:r>
      <w:r>
        <w:rPr>
          <w:b/>
          <w:sz w:val="18"/>
        </w:rPr>
        <w:t>policy</w:t>
      </w:r>
      <w:r>
        <w:rPr>
          <w:b/>
          <w:spacing w:val="-2"/>
          <w:sz w:val="18"/>
        </w:rPr>
        <w:t xml:space="preserve"> </w:t>
      </w:r>
      <w:r>
        <w:rPr>
          <w:b/>
          <w:sz w:val="18"/>
        </w:rPr>
        <w:t>–</w:t>
      </w:r>
      <w:r>
        <w:rPr>
          <w:b/>
          <w:spacing w:val="-2"/>
          <w:sz w:val="18"/>
        </w:rPr>
        <w:t xml:space="preserve"> superannuation</w:t>
      </w:r>
    </w:p>
    <w:p w14:paraId="0BDDC3BC" w14:textId="77777777" w:rsidR="00AC6F3C" w:rsidRDefault="00570E88">
      <w:pPr>
        <w:spacing w:before="120"/>
        <w:ind w:left="979" w:right="375"/>
        <w:rPr>
          <w:sz w:val="18"/>
        </w:rPr>
      </w:pPr>
      <w:r>
        <w:rPr>
          <w:sz w:val="18"/>
        </w:rPr>
        <w:t>Superannuation</w:t>
      </w:r>
      <w:r>
        <w:rPr>
          <w:spacing w:val="-4"/>
          <w:sz w:val="18"/>
        </w:rPr>
        <w:t xml:space="preserve"> </w:t>
      </w:r>
      <w:r>
        <w:rPr>
          <w:sz w:val="18"/>
        </w:rPr>
        <w:t>contributions</w:t>
      </w:r>
      <w:r>
        <w:rPr>
          <w:spacing w:val="-3"/>
          <w:sz w:val="18"/>
        </w:rPr>
        <w:t xml:space="preserve"> </w:t>
      </w:r>
      <w:r>
        <w:rPr>
          <w:sz w:val="18"/>
        </w:rPr>
        <w:t>are</w:t>
      </w:r>
      <w:r>
        <w:rPr>
          <w:spacing w:val="-1"/>
          <w:sz w:val="18"/>
        </w:rPr>
        <w:t xml:space="preserve"> </w:t>
      </w:r>
      <w:r>
        <w:rPr>
          <w:sz w:val="18"/>
        </w:rPr>
        <w:t>made</w:t>
      </w:r>
      <w:r>
        <w:rPr>
          <w:spacing w:val="-1"/>
          <w:sz w:val="18"/>
        </w:rPr>
        <w:t xml:space="preserve"> </w:t>
      </w:r>
      <w:r>
        <w:rPr>
          <w:sz w:val="18"/>
        </w:rPr>
        <w:t>to</w:t>
      </w:r>
      <w:r>
        <w:rPr>
          <w:spacing w:val="-1"/>
          <w:sz w:val="18"/>
        </w:rPr>
        <w:t xml:space="preserve"> </w:t>
      </w:r>
      <w:r>
        <w:rPr>
          <w:sz w:val="18"/>
        </w:rPr>
        <w:t>eligible</w:t>
      </w:r>
      <w:r>
        <w:rPr>
          <w:spacing w:val="-4"/>
          <w:sz w:val="18"/>
        </w:rPr>
        <w:t xml:space="preserve"> </w:t>
      </w:r>
      <w:r>
        <w:rPr>
          <w:sz w:val="18"/>
        </w:rPr>
        <w:t>complying</w:t>
      </w:r>
      <w:r>
        <w:rPr>
          <w:spacing w:val="-4"/>
          <w:sz w:val="18"/>
        </w:rPr>
        <w:t xml:space="preserve"> </w:t>
      </w:r>
      <w:r>
        <w:rPr>
          <w:sz w:val="18"/>
        </w:rPr>
        <w:t>superannuation</w:t>
      </w:r>
      <w:r>
        <w:rPr>
          <w:spacing w:val="-1"/>
          <w:sz w:val="18"/>
        </w:rPr>
        <w:t xml:space="preserve"> </w:t>
      </w:r>
      <w:r>
        <w:rPr>
          <w:sz w:val="18"/>
        </w:rPr>
        <w:t>funds</w:t>
      </w:r>
      <w:r>
        <w:rPr>
          <w:spacing w:val="-1"/>
          <w:sz w:val="18"/>
        </w:rPr>
        <w:t xml:space="preserve"> </w:t>
      </w:r>
      <w:r>
        <w:rPr>
          <w:sz w:val="18"/>
        </w:rPr>
        <w:t>based</w:t>
      </w:r>
      <w:r>
        <w:rPr>
          <w:spacing w:val="-4"/>
          <w:sz w:val="18"/>
        </w:rPr>
        <w:t xml:space="preserve"> </w:t>
      </w:r>
      <w:r>
        <w:rPr>
          <w:sz w:val="18"/>
        </w:rPr>
        <w:t>on</w:t>
      </w:r>
      <w:r>
        <w:rPr>
          <w:spacing w:val="-1"/>
          <w:sz w:val="18"/>
        </w:rPr>
        <w:t xml:space="preserve"> </w:t>
      </w:r>
      <w:r>
        <w:rPr>
          <w:sz w:val="18"/>
        </w:rPr>
        <w:t>the</w:t>
      </w:r>
      <w:r>
        <w:rPr>
          <w:spacing w:val="-4"/>
          <w:sz w:val="18"/>
        </w:rPr>
        <w:t xml:space="preserve"> </w:t>
      </w:r>
      <w:r>
        <w:rPr>
          <w:sz w:val="18"/>
        </w:rPr>
        <w:t>rates</w:t>
      </w:r>
      <w:r>
        <w:rPr>
          <w:spacing w:val="-3"/>
          <w:sz w:val="18"/>
        </w:rPr>
        <w:t xml:space="preserve"> </w:t>
      </w:r>
      <w:r>
        <w:rPr>
          <w:sz w:val="18"/>
        </w:rPr>
        <w:t>specified in the relevant conditions of employment. Contributions are expensed when they are paid or become payable following completion of the employee’s service each pay period. Any contributions due but unpaid at reporting date</w:t>
      </w:r>
      <w:r>
        <w:rPr>
          <w:spacing w:val="-1"/>
          <w:sz w:val="18"/>
        </w:rPr>
        <w:t xml:space="preserve"> </w:t>
      </w:r>
      <w:r>
        <w:rPr>
          <w:sz w:val="18"/>
        </w:rPr>
        <w:t>are</w:t>
      </w:r>
      <w:r>
        <w:rPr>
          <w:spacing w:val="-1"/>
          <w:sz w:val="18"/>
        </w:rPr>
        <w:t xml:space="preserve"> </w:t>
      </w:r>
      <w:proofErr w:type="spellStart"/>
      <w:r>
        <w:rPr>
          <w:sz w:val="18"/>
        </w:rPr>
        <w:t>recognised</w:t>
      </w:r>
      <w:proofErr w:type="spellEnd"/>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Statement</w:t>
      </w:r>
      <w:r>
        <w:rPr>
          <w:spacing w:val="-2"/>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4"/>
          <w:sz w:val="18"/>
        </w:rPr>
        <w:t xml:space="preserve"> </w:t>
      </w:r>
      <w:r>
        <w:rPr>
          <w:sz w:val="18"/>
        </w:rPr>
        <w:t>at</w:t>
      </w:r>
      <w:r>
        <w:rPr>
          <w:spacing w:val="-4"/>
          <w:sz w:val="18"/>
        </w:rPr>
        <w:t xml:space="preserve"> </w:t>
      </w:r>
      <w:r>
        <w:rPr>
          <w:sz w:val="18"/>
        </w:rPr>
        <w:t>current</w:t>
      </w:r>
      <w:r>
        <w:rPr>
          <w:spacing w:val="-2"/>
          <w:sz w:val="18"/>
        </w:rPr>
        <w:t xml:space="preserve"> </w:t>
      </w:r>
      <w:r>
        <w:rPr>
          <w:sz w:val="18"/>
        </w:rPr>
        <w:t>rates.</w:t>
      </w:r>
      <w:r>
        <w:rPr>
          <w:spacing w:val="-2"/>
          <w:sz w:val="18"/>
        </w:rPr>
        <w:t xml:space="preserve"> </w:t>
      </w:r>
      <w:r>
        <w:rPr>
          <w:sz w:val="18"/>
        </w:rPr>
        <w:t>As</w:t>
      </w:r>
      <w:r>
        <w:rPr>
          <w:spacing w:val="-1"/>
          <w:sz w:val="18"/>
        </w:rPr>
        <w:t xml:space="preserve"> </w:t>
      </w:r>
      <w:r>
        <w:rPr>
          <w:sz w:val="18"/>
        </w:rPr>
        <w:t>QSS</w:t>
      </w:r>
      <w:r>
        <w:rPr>
          <w:spacing w:val="-2"/>
          <w:sz w:val="18"/>
        </w:rPr>
        <w:t xml:space="preserve"> </w:t>
      </w:r>
      <w:r>
        <w:rPr>
          <w:sz w:val="18"/>
        </w:rPr>
        <w:t>expects</w:t>
      </w:r>
      <w:r>
        <w:rPr>
          <w:spacing w:val="-3"/>
          <w:sz w:val="18"/>
        </w:rPr>
        <w:t xml:space="preserve"> </w:t>
      </w:r>
      <w:r>
        <w:rPr>
          <w:sz w:val="18"/>
        </w:rPr>
        <w:t>such</w:t>
      </w:r>
      <w:r>
        <w:rPr>
          <w:spacing w:val="-1"/>
          <w:sz w:val="18"/>
        </w:rPr>
        <w:t xml:space="preserve"> </w:t>
      </w:r>
      <w:r>
        <w:rPr>
          <w:sz w:val="18"/>
        </w:rPr>
        <w:t>liabilities</w:t>
      </w:r>
      <w:r>
        <w:rPr>
          <w:spacing w:val="-3"/>
          <w:sz w:val="18"/>
        </w:rPr>
        <w:t xml:space="preserve"> </w:t>
      </w:r>
      <w:r>
        <w:rPr>
          <w:sz w:val="18"/>
        </w:rPr>
        <w:t>to</w:t>
      </w:r>
      <w:r>
        <w:rPr>
          <w:spacing w:val="-1"/>
          <w:sz w:val="18"/>
        </w:rPr>
        <w:t xml:space="preserve"> </w:t>
      </w:r>
      <w:r>
        <w:rPr>
          <w:sz w:val="18"/>
        </w:rPr>
        <w:t xml:space="preserve">be wholly settled within 12 months of reporting date, the liabilities are </w:t>
      </w:r>
      <w:proofErr w:type="spellStart"/>
      <w:r>
        <w:rPr>
          <w:sz w:val="18"/>
        </w:rPr>
        <w:t>recognised</w:t>
      </w:r>
      <w:proofErr w:type="spellEnd"/>
      <w:r>
        <w:rPr>
          <w:sz w:val="18"/>
        </w:rPr>
        <w:t xml:space="preserve"> at undiscounted amounts.</w:t>
      </w:r>
    </w:p>
    <w:p w14:paraId="55AABAE5" w14:textId="77777777" w:rsidR="00AC6F3C" w:rsidRDefault="00AC6F3C">
      <w:pPr>
        <w:pStyle w:val="BodyText"/>
        <w:spacing w:before="9"/>
      </w:pPr>
    </w:p>
    <w:p w14:paraId="11D0B47E" w14:textId="77777777" w:rsidR="00AC6F3C" w:rsidRDefault="00570E88">
      <w:pPr>
        <w:ind w:left="979"/>
        <w:rPr>
          <w:sz w:val="18"/>
        </w:rPr>
      </w:pPr>
      <w:r>
        <w:rPr>
          <w:sz w:val="18"/>
        </w:rPr>
        <w:t>Key</w:t>
      </w:r>
      <w:r>
        <w:rPr>
          <w:spacing w:val="-3"/>
          <w:sz w:val="18"/>
        </w:rPr>
        <w:t xml:space="preserve"> </w:t>
      </w:r>
      <w:r>
        <w:rPr>
          <w:sz w:val="18"/>
        </w:rPr>
        <w:t>management</w:t>
      </w:r>
      <w:r>
        <w:rPr>
          <w:spacing w:val="-5"/>
          <w:sz w:val="18"/>
        </w:rPr>
        <w:t xml:space="preserve"> </w:t>
      </w:r>
      <w:r>
        <w:rPr>
          <w:sz w:val="18"/>
        </w:rPr>
        <w:t>personnel</w:t>
      </w:r>
      <w:r>
        <w:rPr>
          <w:spacing w:val="-3"/>
          <w:sz w:val="18"/>
        </w:rPr>
        <w:t xml:space="preserve"> </w:t>
      </w:r>
      <w:r>
        <w:rPr>
          <w:sz w:val="18"/>
        </w:rPr>
        <w:t>and</w:t>
      </w:r>
      <w:r>
        <w:rPr>
          <w:spacing w:val="-2"/>
          <w:sz w:val="18"/>
        </w:rPr>
        <w:t xml:space="preserve"> </w:t>
      </w:r>
      <w:r>
        <w:rPr>
          <w:sz w:val="18"/>
        </w:rPr>
        <w:t>remuneration</w:t>
      </w:r>
      <w:r>
        <w:rPr>
          <w:spacing w:val="-2"/>
          <w:sz w:val="18"/>
        </w:rPr>
        <w:t xml:space="preserve"> </w:t>
      </w:r>
      <w:r>
        <w:rPr>
          <w:sz w:val="18"/>
        </w:rPr>
        <w:t>disclosures</w:t>
      </w:r>
      <w:r>
        <w:rPr>
          <w:spacing w:val="-3"/>
          <w:sz w:val="18"/>
        </w:rPr>
        <w:t xml:space="preserve"> </w:t>
      </w:r>
      <w:r>
        <w:rPr>
          <w:sz w:val="18"/>
        </w:rPr>
        <w:t>are</w:t>
      </w:r>
      <w:r>
        <w:rPr>
          <w:spacing w:val="-2"/>
          <w:sz w:val="18"/>
        </w:rPr>
        <w:t xml:space="preserve"> </w:t>
      </w:r>
      <w:r>
        <w:rPr>
          <w:sz w:val="18"/>
        </w:rPr>
        <w:t>detailed</w:t>
      </w:r>
      <w:r>
        <w:rPr>
          <w:spacing w:val="-3"/>
          <w:sz w:val="18"/>
        </w:rPr>
        <w:t xml:space="preserve"> </w:t>
      </w:r>
      <w:r>
        <w:rPr>
          <w:sz w:val="18"/>
        </w:rPr>
        <w:t>in</w:t>
      </w:r>
      <w:r>
        <w:rPr>
          <w:spacing w:val="-2"/>
          <w:sz w:val="18"/>
        </w:rPr>
        <w:t xml:space="preserve"> </w:t>
      </w:r>
      <w:r>
        <w:rPr>
          <w:sz w:val="18"/>
        </w:rPr>
        <w:t>Note</w:t>
      </w:r>
      <w:r>
        <w:rPr>
          <w:spacing w:val="-2"/>
          <w:sz w:val="18"/>
        </w:rPr>
        <w:t xml:space="preserve"> </w:t>
      </w:r>
      <w:r>
        <w:rPr>
          <w:spacing w:val="-5"/>
          <w:sz w:val="18"/>
        </w:rPr>
        <w:t>E1.</w:t>
      </w:r>
    </w:p>
    <w:p w14:paraId="0EA8FC53" w14:textId="77777777" w:rsidR="00AC6F3C" w:rsidRDefault="00AC6F3C">
      <w:pPr>
        <w:rPr>
          <w:sz w:val="18"/>
        </w:rPr>
        <w:sectPr w:rsidR="00AC6F3C">
          <w:pgSz w:w="11910" w:h="16840"/>
          <w:pgMar w:top="2020" w:right="1160" w:bottom="520" w:left="460" w:header="1228" w:footer="336" w:gutter="0"/>
          <w:cols w:space="720"/>
        </w:sectPr>
      </w:pPr>
    </w:p>
    <w:p w14:paraId="03E4B8A0" w14:textId="77777777" w:rsidR="00AC6F3C" w:rsidRDefault="00AC6F3C">
      <w:pPr>
        <w:pStyle w:val="BodyText"/>
        <w:spacing w:before="8"/>
        <w:rPr>
          <w:sz w:val="13"/>
        </w:rPr>
      </w:pPr>
    </w:p>
    <w:p w14:paraId="788B75A3" w14:textId="77777777" w:rsidR="00AC6F3C" w:rsidRDefault="00570E88">
      <w:pPr>
        <w:pStyle w:val="Heading6"/>
        <w:tabs>
          <w:tab w:val="left" w:pos="1723"/>
        </w:tabs>
        <w:spacing w:before="92"/>
        <w:ind w:left="1723" w:right="1050" w:hanging="744"/>
      </w:pPr>
      <w:r>
        <w:rPr>
          <w:spacing w:val="-4"/>
        </w:rPr>
        <w:t>B2-3</w:t>
      </w:r>
      <w:r>
        <w:tab/>
        <w:t>MANAGEMENT</w:t>
      </w:r>
      <w:r>
        <w:rPr>
          <w:spacing w:val="-3"/>
        </w:rPr>
        <w:t xml:space="preserve"> </w:t>
      </w:r>
      <w:r>
        <w:t>FEES</w:t>
      </w:r>
      <w:r>
        <w:rPr>
          <w:spacing w:val="-6"/>
        </w:rPr>
        <w:t xml:space="preserve"> </w:t>
      </w:r>
      <w:r>
        <w:t>PAID</w:t>
      </w:r>
      <w:r>
        <w:rPr>
          <w:spacing w:val="-5"/>
        </w:rPr>
        <w:t xml:space="preserve"> </w:t>
      </w:r>
      <w:r>
        <w:t>TO</w:t>
      </w:r>
      <w:r>
        <w:rPr>
          <w:spacing w:val="-6"/>
        </w:rPr>
        <w:t xml:space="preserve"> </w:t>
      </w:r>
      <w:r>
        <w:t>THE</w:t>
      </w:r>
      <w:r>
        <w:rPr>
          <w:spacing w:val="-4"/>
        </w:rPr>
        <w:t xml:space="preserve"> </w:t>
      </w:r>
      <w:r>
        <w:t>QUEENSLAND</w:t>
      </w:r>
      <w:r>
        <w:rPr>
          <w:spacing w:val="-5"/>
        </w:rPr>
        <w:t xml:space="preserve"> </w:t>
      </w:r>
      <w:r>
        <w:t>LAW</w:t>
      </w:r>
      <w:r>
        <w:rPr>
          <w:spacing w:val="-5"/>
        </w:rPr>
        <w:t xml:space="preserve"> </w:t>
      </w:r>
      <w:r>
        <w:t xml:space="preserve">SOCIETY </w:t>
      </w:r>
      <w:r>
        <w:rPr>
          <w:spacing w:val="-2"/>
        </w:rPr>
        <w:t>INCORPORATED</w:t>
      </w:r>
    </w:p>
    <w:p w14:paraId="192CF22B" w14:textId="77777777" w:rsidR="00AC6F3C" w:rsidRDefault="00AC6F3C">
      <w:pPr>
        <w:pStyle w:val="BodyText"/>
        <w:spacing w:before="9"/>
        <w:rPr>
          <w:b/>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0"/>
        <w:gridCol w:w="1661"/>
        <w:gridCol w:w="1639"/>
      </w:tblGrid>
      <w:tr w:rsidR="00AC6F3C" w14:paraId="07B08FB9" w14:textId="77777777">
        <w:trPr>
          <w:trHeight w:val="577"/>
        </w:trPr>
        <w:tc>
          <w:tcPr>
            <w:tcW w:w="8710" w:type="dxa"/>
            <w:gridSpan w:val="3"/>
            <w:shd w:val="clear" w:color="auto" w:fill="BEBEBE"/>
          </w:tcPr>
          <w:p w14:paraId="6C530A26" w14:textId="77777777" w:rsidR="00AC6F3C" w:rsidRDefault="00570E88">
            <w:pPr>
              <w:pStyle w:val="TableParagraph"/>
              <w:tabs>
                <w:tab w:val="left" w:pos="1646"/>
              </w:tabs>
              <w:spacing w:before="48"/>
              <w:ind w:right="21"/>
              <w:jc w:val="right"/>
              <w:rPr>
                <w:b/>
                <w:sz w:val="17"/>
              </w:rPr>
            </w:pPr>
            <w:r>
              <w:rPr>
                <w:b/>
                <w:spacing w:val="-4"/>
                <w:w w:val="105"/>
                <w:sz w:val="17"/>
              </w:rPr>
              <w:t>2023</w:t>
            </w:r>
            <w:r>
              <w:rPr>
                <w:b/>
                <w:sz w:val="17"/>
              </w:rPr>
              <w:tab/>
            </w:r>
            <w:r>
              <w:rPr>
                <w:b/>
                <w:spacing w:val="-4"/>
                <w:w w:val="105"/>
                <w:sz w:val="17"/>
              </w:rPr>
              <w:t>2022</w:t>
            </w:r>
          </w:p>
          <w:p w14:paraId="48B94C4A" w14:textId="77777777" w:rsidR="00AC6F3C" w:rsidRDefault="00570E88">
            <w:pPr>
              <w:pStyle w:val="TableParagraph"/>
              <w:tabs>
                <w:tab w:val="left" w:pos="1646"/>
              </w:tabs>
              <w:spacing w:before="100"/>
              <w:ind w:right="25"/>
              <w:jc w:val="right"/>
              <w:rPr>
                <w:b/>
                <w:sz w:val="17"/>
              </w:rPr>
            </w:pPr>
            <w:r>
              <w:rPr>
                <w:b/>
                <w:spacing w:val="-10"/>
                <w:w w:val="105"/>
                <w:sz w:val="17"/>
              </w:rPr>
              <w:t>$</w:t>
            </w:r>
            <w:r>
              <w:rPr>
                <w:b/>
                <w:sz w:val="17"/>
              </w:rPr>
              <w:tab/>
            </w:r>
            <w:r>
              <w:rPr>
                <w:b/>
                <w:spacing w:val="-12"/>
                <w:w w:val="105"/>
                <w:sz w:val="17"/>
              </w:rPr>
              <w:t>$</w:t>
            </w:r>
          </w:p>
        </w:tc>
      </w:tr>
      <w:tr w:rsidR="00AC6F3C" w14:paraId="44D7477E" w14:textId="77777777">
        <w:trPr>
          <w:trHeight w:val="281"/>
        </w:trPr>
        <w:tc>
          <w:tcPr>
            <w:tcW w:w="5410" w:type="dxa"/>
            <w:tcBorders>
              <w:right w:val="nil"/>
            </w:tcBorders>
          </w:tcPr>
          <w:p w14:paraId="1B8661B5" w14:textId="77777777" w:rsidR="00AC6F3C" w:rsidRDefault="00570E88">
            <w:pPr>
              <w:pStyle w:val="TableParagraph"/>
              <w:spacing w:before="48"/>
              <w:ind w:left="37"/>
              <w:rPr>
                <w:sz w:val="17"/>
              </w:rPr>
            </w:pPr>
            <w:r>
              <w:rPr>
                <w:w w:val="105"/>
                <w:sz w:val="17"/>
              </w:rPr>
              <w:t>Management</w:t>
            </w:r>
            <w:r>
              <w:rPr>
                <w:spacing w:val="17"/>
                <w:w w:val="105"/>
                <w:sz w:val="17"/>
              </w:rPr>
              <w:t xml:space="preserve"> </w:t>
            </w:r>
            <w:r>
              <w:rPr>
                <w:spacing w:val="-4"/>
                <w:w w:val="105"/>
                <w:sz w:val="17"/>
              </w:rPr>
              <w:t>fees</w:t>
            </w:r>
          </w:p>
        </w:tc>
        <w:tc>
          <w:tcPr>
            <w:tcW w:w="1661" w:type="dxa"/>
            <w:tcBorders>
              <w:left w:val="nil"/>
              <w:right w:val="nil"/>
            </w:tcBorders>
            <w:shd w:val="clear" w:color="auto" w:fill="F1F1F1"/>
          </w:tcPr>
          <w:p w14:paraId="0D5F2AC2" w14:textId="77777777" w:rsidR="00AC6F3C" w:rsidRDefault="00570E88">
            <w:pPr>
              <w:pStyle w:val="TableParagraph"/>
              <w:spacing w:before="48"/>
              <w:ind w:left="950"/>
              <w:rPr>
                <w:sz w:val="17"/>
              </w:rPr>
            </w:pPr>
            <w:r>
              <w:rPr>
                <w:spacing w:val="-2"/>
                <w:w w:val="105"/>
                <w:sz w:val="17"/>
              </w:rPr>
              <w:t>882,289</w:t>
            </w:r>
          </w:p>
        </w:tc>
        <w:tc>
          <w:tcPr>
            <w:tcW w:w="1639" w:type="dxa"/>
            <w:tcBorders>
              <w:left w:val="nil"/>
            </w:tcBorders>
          </w:tcPr>
          <w:p w14:paraId="16F80B54" w14:textId="77777777" w:rsidR="00AC6F3C" w:rsidRDefault="00570E88">
            <w:pPr>
              <w:pStyle w:val="TableParagraph"/>
              <w:spacing w:before="48"/>
              <w:ind w:left="935"/>
              <w:rPr>
                <w:sz w:val="17"/>
              </w:rPr>
            </w:pPr>
            <w:r>
              <w:rPr>
                <w:spacing w:val="-2"/>
                <w:w w:val="105"/>
                <w:sz w:val="17"/>
              </w:rPr>
              <w:t>851,864</w:t>
            </w:r>
          </w:p>
        </w:tc>
      </w:tr>
      <w:tr w:rsidR="00AC6F3C" w14:paraId="21C21C7E" w14:textId="77777777">
        <w:trPr>
          <w:trHeight w:val="281"/>
        </w:trPr>
        <w:tc>
          <w:tcPr>
            <w:tcW w:w="8710" w:type="dxa"/>
            <w:gridSpan w:val="3"/>
            <w:shd w:val="clear" w:color="auto" w:fill="BEBEBE"/>
          </w:tcPr>
          <w:p w14:paraId="11DE8C89" w14:textId="77777777" w:rsidR="00AC6F3C" w:rsidRDefault="00570E88">
            <w:pPr>
              <w:pStyle w:val="TableParagraph"/>
              <w:tabs>
                <w:tab w:val="left" w:pos="6352"/>
                <w:tab w:val="left" w:pos="7998"/>
              </w:tabs>
              <w:spacing w:before="48"/>
              <w:ind w:left="37"/>
              <w:rPr>
                <w:b/>
                <w:sz w:val="17"/>
              </w:rPr>
            </w:pPr>
            <w:r>
              <w:rPr>
                <w:b/>
                <w:w w:val="105"/>
                <w:sz w:val="17"/>
              </w:rPr>
              <w:t>Total</w:t>
            </w:r>
            <w:r>
              <w:rPr>
                <w:b/>
                <w:spacing w:val="-13"/>
                <w:w w:val="105"/>
                <w:sz w:val="17"/>
              </w:rPr>
              <w:t xml:space="preserve"> </w:t>
            </w:r>
            <w:r>
              <w:rPr>
                <w:b/>
                <w:w w:val="105"/>
                <w:sz w:val="17"/>
              </w:rPr>
              <w:t>management</w:t>
            </w:r>
            <w:r>
              <w:rPr>
                <w:b/>
                <w:spacing w:val="-10"/>
                <w:w w:val="105"/>
                <w:sz w:val="17"/>
              </w:rPr>
              <w:t xml:space="preserve"> </w:t>
            </w:r>
            <w:r>
              <w:rPr>
                <w:b/>
                <w:w w:val="105"/>
                <w:sz w:val="17"/>
              </w:rPr>
              <w:t>fees</w:t>
            </w:r>
            <w:r>
              <w:rPr>
                <w:b/>
                <w:spacing w:val="-3"/>
                <w:w w:val="105"/>
                <w:sz w:val="17"/>
              </w:rPr>
              <w:t xml:space="preserve"> </w:t>
            </w:r>
            <w:r>
              <w:rPr>
                <w:b/>
                <w:w w:val="105"/>
                <w:sz w:val="17"/>
              </w:rPr>
              <w:t>paid</w:t>
            </w:r>
            <w:r>
              <w:rPr>
                <w:b/>
                <w:spacing w:val="-12"/>
                <w:w w:val="105"/>
                <w:sz w:val="17"/>
              </w:rPr>
              <w:t xml:space="preserve"> </w:t>
            </w:r>
            <w:r>
              <w:rPr>
                <w:b/>
                <w:w w:val="105"/>
                <w:sz w:val="17"/>
              </w:rPr>
              <w:t>to</w:t>
            </w:r>
            <w:r>
              <w:rPr>
                <w:b/>
                <w:spacing w:val="-13"/>
                <w:w w:val="105"/>
                <w:sz w:val="17"/>
              </w:rPr>
              <w:t xml:space="preserve"> </w:t>
            </w:r>
            <w:r>
              <w:rPr>
                <w:b/>
                <w:w w:val="105"/>
                <w:sz w:val="17"/>
              </w:rPr>
              <w:t>the</w:t>
            </w:r>
            <w:r>
              <w:rPr>
                <w:b/>
                <w:spacing w:val="-3"/>
                <w:w w:val="105"/>
                <w:sz w:val="17"/>
              </w:rPr>
              <w:t xml:space="preserve"> </w:t>
            </w:r>
            <w:r>
              <w:rPr>
                <w:b/>
                <w:w w:val="105"/>
                <w:sz w:val="17"/>
              </w:rPr>
              <w:t>Queensland</w:t>
            </w:r>
            <w:r>
              <w:rPr>
                <w:b/>
                <w:spacing w:val="-13"/>
                <w:w w:val="105"/>
                <w:sz w:val="17"/>
              </w:rPr>
              <w:t xml:space="preserve"> </w:t>
            </w:r>
            <w:r>
              <w:rPr>
                <w:b/>
                <w:w w:val="105"/>
                <w:sz w:val="17"/>
              </w:rPr>
              <w:t>Law</w:t>
            </w:r>
            <w:r>
              <w:rPr>
                <w:b/>
                <w:spacing w:val="2"/>
                <w:w w:val="105"/>
                <w:sz w:val="17"/>
              </w:rPr>
              <w:t xml:space="preserve"> </w:t>
            </w:r>
            <w:r>
              <w:rPr>
                <w:b/>
                <w:spacing w:val="-2"/>
                <w:w w:val="105"/>
                <w:sz w:val="17"/>
              </w:rPr>
              <w:t>Society</w:t>
            </w:r>
            <w:r>
              <w:rPr>
                <w:b/>
                <w:sz w:val="17"/>
              </w:rPr>
              <w:tab/>
            </w:r>
            <w:r>
              <w:rPr>
                <w:b/>
                <w:spacing w:val="-2"/>
                <w:w w:val="105"/>
                <w:sz w:val="17"/>
              </w:rPr>
              <w:t>882,289</w:t>
            </w:r>
            <w:r>
              <w:rPr>
                <w:b/>
                <w:sz w:val="17"/>
              </w:rPr>
              <w:tab/>
            </w:r>
            <w:r>
              <w:rPr>
                <w:b/>
                <w:spacing w:val="-2"/>
                <w:w w:val="105"/>
                <w:sz w:val="17"/>
              </w:rPr>
              <w:t>851,864</w:t>
            </w:r>
          </w:p>
        </w:tc>
      </w:tr>
    </w:tbl>
    <w:p w14:paraId="2ECBD482" w14:textId="77777777" w:rsidR="00AC6F3C" w:rsidRDefault="00AC6F3C">
      <w:pPr>
        <w:pStyle w:val="BodyText"/>
        <w:spacing w:before="4"/>
        <w:rPr>
          <w:b/>
          <w:sz w:val="23"/>
        </w:rPr>
      </w:pPr>
    </w:p>
    <w:p w14:paraId="5CA444AF" w14:textId="77777777" w:rsidR="00AC6F3C" w:rsidRDefault="00570E88">
      <w:pPr>
        <w:ind w:left="979"/>
        <w:rPr>
          <w:sz w:val="18"/>
        </w:rPr>
      </w:pPr>
      <w:r>
        <w:rPr>
          <w:sz w:val="18"/>
        </w:rPr>
        <w:t>QSS</w:t>
      </w:r>
      <w:r>
        <w:rPr>
          <w:spacing w:val="-3"/>
          <w:sz w:val="18"/>
        </w:rPr>
        <w:t xml:space="preserve"> </w:t>
      </w:r>
      <w:r>
        <w:rPr>
          <w:sz w:val="18"/>
        </w:rPr>
        <w:t>pays</w:t>
      </w:r>
      <w:r>
        <w:rPr>
          <w:spacing w:val="-3"/>
          <w:sz w:val="18"/>
        </w:rPr>
        <w:t xml:space="preserve"> </w:t>
      </w:r>
      <w:r>
        <w:rPr>
          <w:sz w:val="18"/>
        </w:rPr>
        <w:t>management</w:t>
      </w:r>
      <w:r>
        <w:rPr>
          <w:spacing w:val="-3"/>
          <w:sz w:val="18"/>
        </w:rPr>
        <w:t xml:space="preserve"> </w:t>
      </w:r>
      <w:r>
        <w:rPr>
          <w:sz w:val="18"/>
        </w:rPr>
        <w:t>fees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Queensland</w:t>
      </w:r>
      <w:r>
        <w:rPr>
          <w:spacing w:val="-2"/>
          <w:sz w:val="18"/>
        </w:rPr>
        <w:t xml:space="preserve"> </w:t>
      </w:r>
      <w:r>
        <w:rPr>
          <w:sz w:val="18"/>
        </w:rPr>
        <w:t>Law</w:t>
      </w:r>
      <w:r>
        <w:rPr>
          <w:spacing w:val="-3"/>
          <w:sz w:val="18"/>
        </w:rPr>
        <w:t xml:space="preserve"> </w:t>
      </w:r>
      <w:r>
        <w:rPr>
          <w:sz w:val="18"/>
        </w:rPr>
        <w:t>Society</w:t>
      </w:r>
      <w:r>
        <w:rPr>
          <w:spacing w:val="-3"/>
          <w:sz w:val="18"/>
        </w:rPr>
        <w:t xml:space="preserve"> </w:t>
      </w:r>
      <w:r>
        <w:rPr>
          <w:sz w:val="18"/>
        </w:rPr>
        <w:t>Incorporated</w:t>
      </w:r>
      <w:r>
        <w:rPr>
          <w:spacing w:val="-2"/>
          <w:sz w:val="18"/>
        </w:rPr>
        <w:t xml:space="preserve"> </w:t>
      </w:r>
      <w:r>
        <w:rPr>
          <w:sz w:val="18"/>
        </w:rPr>
        <w:t>for</w:t>
      </w:r>
      <w:r>
        <w:rPr>
          <w:spacing w:val="-3"/>
          <w:sz w:val="18"/>
        </w:rPr>
        <w:t xml:space="preserve"> </w:t>
      </w:r>
      <w:r>
        <w:rPr>
          <w:sz w:val="18"/>
        </w:rPr>
        <w:t>services</w:t>
      </w:r>
      <w:r>
        <w:rPr>
          <w:spacing w:val="-2"/>
          <w:sz w:val="18"/>
        </w:rPr>
        <w:t xml:space="preserve"> </w:t>
      </w:r>
      <w:r>
        <w:rPr>
          <w:sz w:val="18"/>
        </w:rPr>
        <w:t>and</w:t>
      </w:r>
      <w:r>
        <w:rPr>
          <w:spacing w:val="-4"/>
          <w:sz w:val="18"/>
        </w:rPr>
        <w:t xml:space="preserve"> </w:t>
      </w:r>
      <w:r>
        <w:rPr>
          <w:sz w:val="18"/>
        </w:rPr>
        <w:t>resources</w:t>
      </w:r>
      <w:r>
        <w:rPr>
          <w:spacing w:val="-2"/>
          <w:sz w:val="18"/>
        </w:rPr>
        <w:t xml:space="preserve"> </w:t>
      </w:r>
      <w:r>
        <w:rPr>
          <w:sz w:val="18"/>
        </w:rPr>
        <w:t>used</w:t>
      </w:r>
      <w:r>
        <w:rPr>
          <w:spacing w:val="-4"/>
          <w:sz w:val="18"/>
        </w:rPr>
        <w:t xml:space="preserve"> </w:t>
      </w:r>
      <w:r>
        <w:rPr>
          <w:sz w:val="18"/>
        </w:rPr>
        <w:t>in</w:t>
      </w:r>
      <w:r>
        <w:rPr>
          <w:spacing w:val="-2"/>
          <w:sz w:val="18"/>
        </w:rPr>
        <w:t xml:space="preserve"> </w:t>
      </w:r>
      <w:r>
        <w:rPr>
          <w:sz w:val="18"/>
        </w:rPr>
        <w:t>the management and operating of the QSS business.</w:t>
      </w:r>
    </w:p>
    <w:p w14:paraId="24EBD607" w14:textId="77777777" w:rsidR="00AC6F3C" w:rsidRDefault="00AC6F3C">
      <w:pPr>
        <w:pStyle w:val="BodyText"/>
        <w:spacing w:before="11"/>
      </w:pPr>
    </w:p>
    <w:p w14:paraId="067E85F7" w14:textId="77777777" w:rsidR="00AC6F3C" w:rsidRDefault="00570E88">
      <w:pPr>
        <w:tabs>
          <w:tab w:val="left" w:pos="1687"/>
        </w:tabs>
        <w:ind w:left="979"/>
        <w:rPr>
          <w:b/>
          <w:sz w:val="28"/>
        </w:rPr>
      </w:pPr>
      <w:r>
        <w:rPr>
          <w:b/>
          <w:spacing w:val="-5"/>
          <w:sz w:val="28"/>
        </w:rPr>
        <w:t>C1</w:t>
      </w:r>
      <w:r>
        <w:rPr>
          <w:b/>
          <w:sz w:val="28"/>
        </w:rPr>
        <w:tab/>
        <w:t>CASH</w:t>
      </w:r>
      <w:r>
        <w:rPr>
          <w:b/>
          <w:spacing w:val="-3"/>
          <w:sz w:val="28"/>
        </w:rPr>
        <w:t xml:space="preserve"> </w:t>
      </w:r>
      <w:r>
        <w:rPr>
          <w:b/>
          <w:sz w:val="28"/>
        </w:rPr>
        <w:t>AND</w:t>
      </w:r>
      <w:r>
        <w:rPr>
          <w:b/>
          <w:spacing w:val="-6"/>
          <w:sz w:val="28"/>
        </w:rPr>
        <w:t xml:space="preserve"> </w:t>
      </w:r>
      <w:r>
        <w:rPr>
          <w:b/>
          <w:sz w:val="28"/>
        </w:rPr>
        <w:t>CASH</w:t>
      </w:r>
      <w:r>
        <w:rPr>
          <w:b/>
          <w:spacing w:val="-5"/>
          <w:sz w:val="28"/>
        </w:rPr>
        <w:t xml:space="preserve"> </w:t>
      </w:r>
      <w:r>
        <w:rPr>
          <w:b/>
          <w:spacing w:val="-2"/>
          <w:sz w:val="28"/>
        </w:rPr>
        <w:t>EQUIVALENTS</w:t>
      </w:r>
    </w:p>
    <w:p w14:paraId="3EE609C8" w14:textId="77777777" w:rsidR="00AC6F3C" w:rsidRDefault="00570E88">
      <w:pPr>
        <w:spacing w:before="240"/>
        <w:ind w:left="979" w:right="468"/>
        <w:rPr>
          <w:sz w:val="18"/>
        </w:rPr>
      </w:pPr>
      <w:r>
        <w:rPr>
          <w:sz w:val="18"/>
        </w:rPr>
        <w:t>For</w:t>
      </w:r>
      <w:r>
        <w:rPr>
          <w:spacing w:val="-2"/>
          <w:sz w:val="18"/>
        </w:rPr>
        <w:t xml:space="preserve"> </w:t>
      </w:r>
      <w:r>
        <w:rPr>
          <w:sz w:val="18"/>
        </w:rPr>
        <w:t>the</w:t>
      </w:r>
      <w:r>
        <w:rPr>
          <w:spacing w:val="-4"/>
          <w:sz w:val="18"/>
        </w:rPr>
        <w:t xml:space="preserve"> </w:t>
      </w:r>
      <w:r>
        <w:rPr>
          <w:sz w:val="18"/>
        </w:rPr>
        <w:t>purposes</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4"/>
          <w:sz w:val="18"/>
        </w:rPr>
        <w:t xml:space="preserve"> </w:t>
      </w:r>
      <w:r>
        <w:rPr>
          <w:sz w:val="18"/>
        </w:rPr>
        <w:t>and</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4"/>
          <w:sz w:val="18"/>
        </w:rPr>
        <w:t xml:space="preserve"> </w:t>
      </w:r>
      <w:r>
        <w:rPr>
          <w:sz w:val="18"/>
        </w:rPr>
        <w:t>cash</w:t>
      </w:r>
      <w:r>
        <w:rPr>
          <w:spacing w:val="-1"/>
          <w:sz w:val="18"/>
        </w:rPr>
        <w:t xml:space="preserve"> </w:t>
      </w:r>
      <w:r>
        <w:rPr>
          <w:sz w:val="18"/>
        </w:rPr>
        <w:t>assets</w:t>
      </w:r>
      <w:r>
        <w:rPr>
          <w:spacing w:val="-1"/>
          <w:sz w:val="18"/>
        </w:rPr>
        <w:t xml:space="preserve"> </w:t>
      </w:r>
      <w:r>
        <w:rPr>
          <w:sz w:val="18"/>
        </w:rPr>
        <w:t>include</w:t>
      </w:r>
      <w:r>
        <w:rPr>
          <w:spacing w:val="-4"/>
          <w:sz w:val="18"/>
        </w:rPr>
        <w:t xml:space="preserve"> </w:t>
      </w:r>
      <w:r>
        <w:rPr>
          <w:sz w:val="18"/>
        </w:rPr>
        <w:t>all cash and cheques receipted and banked at 30 June as well as deposits on call with financial institutions.</w:t>
      </w:r>
    </w:p>
    <w:p w14:paraId="1A120836" w14:textId="77777777" w:rsidR="00AC6F3C" w:rsidRDefault="00AC6F3C">
      <w:pPr>
        <w:pStyle w:val="BodyText"/>
        <w:spacing w:before="10" w:after="1"/>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0"/>
        <w:gridCol w:w="1661"/>
        <w:gridCol w:w="1639"/>
      </w:tblGrid>
      <w:tr w:rsidR="00AC6F3C" w14:paraId="2BBFFFB8" w14:textId="77777777">
        <w:trPr>
          <w:trHeight w:val="577"/>
        </w:trPr>
        <w:tc>
          <w:tcPr>
            <w:tcW w:w="8710" w:type="dxa"/>
            <w:gridSpan w:val="3"/>
            <w:shd w:val="clear" w:color="auto" w:fill="BEBEBE"/>
          </w:tcPr>
          <w:p w14:paraId="40D1CF31" w14:textId="77777777" w:rsidR="00AC6F3C" w:rsidRDefault="00570E88">
            <w:pPr>
              <w:pStyle w:val="TableParagraph"/>
              <w:tabs>
                <w:tab w:val="left" w:pos="1646"/>
              </w:tabs>
              <w:spacing w:before="48"/>
              <w:ind w:right="21"/>
              <w:jc w:val="right"/>
              <w:rPr>
                <w:b/>
                <w:sz w:val="17"/>
              </w:rPr>
            </w:pPr>
            <w:r>
              <w:rPr>
                <w:b/>
                <w:spacing w:val="-4"/>
                <w:w w:val="105"/>
                <w:sz w:val="17"/>
              </w:rPr>
              <w:t>2023</w:t>
            </w:r>
            <w:r>
              <w:rPr>
                <w:b/>
                <w:sz w:val="17"/>
              </w:rPr>
              <w:tab/>
            </w:r>
            <w:r>
              <w:rPr>
                <w:b/>
                <w:spacing w:val="-4"/>
                <w:w w:val="105"/>
                <w:sz w:val="17"/>
              </w:rPr>
              <w:t>2022</w:t>
            </w:r>
          </w:p>
          <w:p w14:paraId="4C0660E5" w14:textId="77777777" w:rsidR="00AC6F3C" w:rsidRDefault="00570E88">
            <w:pPr>
              <w:pStyle w:val="TableParagraph"/>
              <w:tabs>
                <w:tab w:val="left" w:pos="1646"/>
              </w:tabs>
              <w:spacing w:before="100"/>
              <w:ind w:right="25"/>
              <w:jc w:val="right"/>
              <w:rPr>
                <w:b/>
                <w:sz w:val="17"/>
              </w:rPr>
            </w:pPr>
            <w:r>
              <w:rPr>
                <w:b/>
                <w:spacing w:val="-10"/>
                <w:w w:val="105"/>
                <w:sz w:val="17"/>
              </w:rPr>
              <w:t>$</w:t>
            </w:r>
            <w:r>
              <w:rPr>
                <w:b/>
                <w:sz w:val="17"/>
              </w:rPr>
              <w:tab/>
            </w:r>
            <w:r>
              <w:rPr>
                <w:b/>
                <w:spacing w:val="-12"/>
                <w:w w:val="105"/>
                <w:sz w:val="17"/>
              </w:rPr>
              <w:t>$</w:t>
            </w:r>
          </w:p>
        </w:tc>
      </w:tr>
      <w:tr w:rsidR="00AC6F3C" w14:paraId="58B43F40" w14:textId="77777777">
        <w:trPr>
          <w:trHeight w:val="281"/>
        </w:trPr>
        <w:tc>
          <w:tcPr>
            <w:tcW w:w="5410" w:type="dxa"/>
            <w:tcBorders>
              <w:right w:val="nil"/>
            </w:tcBorders>
          </w:tcPr>
          <w:p w14:paraId="7FC1F71A" w14:textId="77777777" w:rsidR="00AC6F3C" w:rsidRDefault="00570E88">
            <w:pPr>
              <w:pStyle w:val="TableParagraph"/>
              <w:spacing w:before="48"/>
              <w:ind w:left="37"/>
              <w:rPr>
                <w:sz w:val="17"/>
              </w:rPr>
            </w:pPr>
            <w:r>
              <w:rPr>
                <w:w w:val="105"/>
                <w:sz w:val="17"/>
              </w:rPr>
              <w:t>Cash</w:t>
            </w:r>
            <w:r>
              <w:rPr>
                <w:spacing w:val="13"/>
                <w:w w:val="105"/>
                <w:sz w:val="17"/>
              </w:rPr>
              <w:t xml:space="preserve"> </w:t>
            </w:r>
            <w:r>
              <w:rPr>
                <w:w w:val="105"/>
                <w:sz w:val="17"/>
              </w:rPr>
              <w:t>on</w:t>
            </w:r>
            <w:r>
              <w:rPr>
                <w:spacing w:val="13"/>
                <w:w w:val="105"/>
                <w:sz w:val="17"/>
              </w:rPr>
              <w:t xml:space="preserve"> </w:t>
            </w:r>
            <w:r>
              <w:rPr>
                <w:spacing w:val="-4"/>
                <w:w w:val="105"/>
                <w:sz w:val="17"/>
              </w:rPr>
              <w:t>hand</w:t>
            </w:r>
          </w:p>
        </w:tc>
        <w:tc>
          <w:tcPr>
            <w:tcW w:w="1661" w:type="dxa"/>
            <w:tcBorders>
              <w:left w:val="nil"/>
              <w:right w:val="nil"/>
            </w:tcBorders>
            <w:shd w:val="clear" w:color="auto" w:fill="F1F1F1"/>
          </w:tcPr>
          <w:p w14:paraId="4F31A8AA" w14:textId="77777777" w:rsidR="00AC6F3C" w:rsidRDefault="00570E88">
            <w:pPr>
              <w:pStyle w:val="TableParagraph"/>
              <w:spacing w:before="48"/>
              <w:ind w:right="35"/>
              <w:jc w:val="right"/>
              <w:rPr>
                <w:sz w:val="17"/>
              </w:rPr>
            </w:pPr>
            <w:r>
              <w:rPr>
                <w:spacing w:val="-4"/>
                <w:w w:val="105"/>
                <w:sz w:val="17"/>
              </w:rPr>
              <w:t>5,510</w:t>
            </w:r>
          </w:p>
        </w:tc>
        <w:tc>
          <w:tcPr>
            <w:tcW w:w="1639" w:type="dxa"/>
            <w:tcBorders>
              <w:left w:val="nil"/>
            </w:tcBorders>
          </w:tcPr>
          <w:p w14:paraId="3F20644A" w14:textId="77777777" w:rsidR="00AC6F3C" w:rsidRDefault="00570E88">
            <w:pPr>
              <w:pStyle w:val="TableParagraph"/>
              <w:spacing w:before="48"/>
              <w:ind w:right="21"/>
              <w:jc w:val="right"/>
              <w:rPr>
                <w:sz w:val="17"/>
              </w:rPr>
            </w:pPr>
            <w:r>
              <w:rPr>
                <w:spacing w:val="-4"/>
                <w:w w:val="105"/>
                <w:sz w:val="17"/>
              </w:rPr>
              <w:t>5,630</w:t>
            </w:r>
          </w:p>
        </w:tc>
      </w:tr>
      <w:tr w:rsidR="00AC6F3C" w14:paraId="030DE51D" w14:textId="77777777">
        <w:trPr>
          <w:trHeight w:val="281"/>
        </w:trPr>
        <w:tc>
          <w:tcPr>
            <w:tcW w:w="8710" w:type="dxa"/>
            <w:gridSpan w:val="3"/>
            <w:shd w:val="clear" w:color="auto" w:fill="BEBEBE"/>
          </w:tcPr>
          <w:p w14:paraId="15EB6853" w14:textId="77777777" w:rsidR="00AC6F3C" w:rsidRDefault="00570E88">
            <w:pPr>
              <w:pStyle w:val="TableParagraph"/>
              <w:tabs>
                <w:tab w:val="left" w:pos="6561"/>
                <w:tab w:val="left" w:pos="8208"/>
              </w:tabs>
              <w:spacing w:before="48"/>
              <w:ind w:left="37"/>
              <w:rPr>
                <w:b/>
                <w:sz w:val="17"/>
              </w:rPr>
            </w:pPr>
            <w:r>
              <w:rPr>
                <w:b/>
                <w:w w:val="105"/>
                <w:sz w:val="17"/>
              </w:rPr>
              <w:t>Total</w:t>
            </w:r>
            <w:r>
              <w:rPr>
                <w:b/>
                <w:spacing w:val="-7"/>
                <w:w w:val="105"/>
                <w:sz w:val="17"/>
              </w:rPr>
              <w:t xml:space="preserve"> </w:t>
            </w:r>
            <w:r>
              <w:rPr>
                <w:b/>
                <w:w w:val="105"/>
                <w:sz w:val="17"/>
              </w:rPr>
              <w:t>cash</w:t>
            </w:r>
            <w:r>
              <w:rPr>
                <w:b/>
                <w:spacing w:val="-6"/>
                <w:w w:val="105"/>
                <w:sz w:val="17"/>
              </w:rPr>
              <w:t xml:space="preserve"> </w:t>
            </w:r>
            <w:r>
              <w:rPr>
                <w:b/>
                <w:w w:val="105"/>
                <w:sz w:val="17"/>
              </w:rPr>
              <w:t>and</w:t>
            </w:r>
            <w:r>
              <w:rPr>
                <w:b/>
                <w:spacing w:val="-6"/>
                <w:w w:val="105"/>
                <w:sz w:val="17"/>
              </w:rPr>
              <w:t xml:space="preserve"> </w:t>
            </w:r>
            <w:r>
              <w:rPr>
                <w:b/>
                <w:w w:val="105"/>
                <w:sz w:val="17"/>
              </w:rPr>
              <w:t>cash</w:t>
            </w:r>
            <w:r>
              <w:rPr>
                <w:b/>
                <w:spacing w:val="-6"/>
                <w:w w:val="105"/>
                <w:sz w:val="17"/>
              </w:rPr>
              <w:t xml:space="preserve"> </w:t>
            </w:r>
            <w:r>
              <w:rPr>
                <w:b/>
                <w:spacing w:val="-2"/>
                <w:w w:val="105"/>
                <w:sz w:val="17"/>
              </w:rPr>
              <w:t>equivalents</w:t>
            </w:r>
            <w:r>
              <w:rPr>
                <w:b/>
                <w:sz w:val="17"/>
              </w:rPr>
              <w:tab/>
            </w:r>
            <w:r>
              <w:rPr>
                <w:b/>
                <w:spacing w:val="-2"/>
                <w:w w:val="105"/>
                <w:sz w:val="17"/>
              </w:rPr>
              <w:t>5,510</w:t>
            </w:r>
            <w:r>
              <w:rPr>
                <w:b/>
                <w:sz w:val="17"/>
              </w:rPr>
              <w:tab/>
            </w:r>
            <w:r>
              <w:rPr>
                <w:b/>
                <w:spacing w:val="-4"/>
                <w:w w:val="105"/>
                <w:sz w:val="17"/>
              </w:rPr>
              <w:t>5,630</w:t>
            </w:r>
          </w:p>
        </w:tc>
      </w:tr>
    </w:tbl>
    <w:p w14:paraId="471B3C69" w14:textId="77777777" w:rsidR="00AC6F3C" w:rsidRDefault="00AC6F3C">
      <w:pPr>
        <w:pStyle w:val="BodyText"/>
        <w:spacing w:before="5"/>
        <w:rPr>
          <w:sz w:val="23"/>
        </w:rPr>
      </w:pPr>
    </w:p>
    <w:p w14:paraId="7AE96ECC" w14:textId="77777777" w:rsidR="00AC6F3C" w:rsidRDefault="00570E88">
      <w:pPr>
        <w:tabs>
          <w:tab w:val="left" w:pos="1831"/>
        </w:tabs>
        <w:ind w:left="979"/>
        <w:rPr>
          <w:b/>
          <w:sz w:val="28"/>
        </w:rPr>
      </w:pPr>
      <w:r>
        <w:rPr>
          <w:b/>
          <w:spacing w:val="-5"/>
          <w:sz w:val="28"/>
        </w:rPr>
        <w:t>C2</w:t>
      </w:r>
      <w:r>
        <w:rPr>
          <w:b/>
          <w:sz w:val="28"/>
        </w:rPr>
        <w:tab/>
        <w:t>FINANCIAL</w:t>
      </w:r>
      <w:r>
        <w:rPr>
          <w:b/>
          <w:spacing w:val="-6"/>
          <w:sz w:val="28"/>
        </w:rPr>
        <w:t xml:space="preserve"> </w:t>
      </w:r>
      <w:r>
        <w:rPr>
          <w:b/>
          <w:spacing w:val="-2"/>
          <w:sz w:val="28"/>
        </w:rPr>
        <w:t>INSTRUMENTS</w:t>
      </w:r>
    </w:p>
    <w:p w14:paraId="684C731B" w14:textId="77777777" w:rsidR="00AC6F3C" w:rsidRDefault="00570E88">
      <w:pPr>
        <w:spacing w:before="120"/>
        <w:ind w:left="979"/>
        <w:rPr>
          <w:b/>
          <w:sz w:val="18"/>
        </w:rPr>
      </w:pPr>
      <w:r>
        <w:rPr>
          <w:b/>
          <w:spacing w:val="-2"/>
          <w:sz w:val="18"/>
        </w:rPr>
        <w:t>Recognition</w:t>
      </w:r>
    </w:p>
    <w:p w14:paraId="57E8BB55" w14:textId="77777777" w:rsidR="00AC6F3C" w:rsidRDefault="00570E88">
      <w:pPr>
        <w:spacing w:before="160"/>
        <w:ind w:left="979" w:right="468"/>
        <w:rPr>
          <w:sz w:val="18"/>
        </w:rPr>
      </w:pPr>
      <w:r>
        <w:rPr>
          <w:sz w:val="18"/>
        </w:rPr>
        <w:t>Financial</w:t>
      </w:r>
      <w:r>
        <w:rPr>
          <w:spacing w:val="-1"/>
          <w:sz w:val="18"/>
        </w:rPr>
        <w:t xml:space="preserve"> </w:t>
      </w:r>
      <w:r>
        <w:rPr>
          <w:sz w:val="18"/>
        </w:rPr>
        <w:t>assets</w:t>
      </w:r>
      <w:r>
        <w:rPr>
          <w:spacing w:val="-3"/>
          <w:sz w:val="18"/>
        </w:rPr>
        <w:t xml:space="preserve"> </w:t>
      </w:r>
      <w:r>
        <w:rPr>
          <w:sz w:val="18"/>
        </w:rPr>
        <w:t>and</w:t>
      </w:r>
      <w:r>
        <w:rPr>
          <w:spacing w:val="-4"/>
          <w:sz w:val="18"/>
        </w:rPr>
        <w:t xml:space="preserve"> </w:t>
      </w:r>
      <w:r>
        <w:rPr>
          <w:sz w:val="18"/>
        </w:rPr>
        <w:t>financial</w:t>
      </w:r>
      <w:r>
        <w:rPr>
          <w:spacing w:val="-4"/>
          <w:sz w:val="18"/>
        </w:rPr>
        <w:t xml:space="preserve"> </w:t>
      </w:r>
      <w:r>
        <w:rPr>
          <w:sz w:val="18"/>
        </w:rPr>
        <w:t>liabilities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1"/>
          <w:sz w:val="18"/>
        </w:rPr>
        <w:t xml:space="preserve"> </w:t>
      </w:r>
      <w:r>
        <w:rPr>
          <w:sz w:val="18"/>
        </w:rPr>
        <w:t>when</w:t>
      </w:r>
      <w:r>
        <w:rPr>
          <w:spacing w:val="-2"/>
          <w:sz w:val="18"/>
        </w:rPr>
        <w:t xml:space="preserve"> </w:t>
      </w:r>
      <w:r>
        <w:rPr>
          <w:sz w:val="18"/>
        </w:rPr>
        <w:t>QSS becomes party to a contractual provision of a financial instrument.</w:t>
      </w:r>
    </w:p>
    <w:p w14:paraId="166794A2" w14:textId="77777777" w:rsidR="00AC6F3C" w:rsidRDefault="00570E88">
      <w:pPr>
        <w:spacing w:before="121"/>
        <w:ind w:left="979"/>
        <w:rPr>
          <w:b/>
          <w:sz w:val="18"/>
        </w:rPr>
      </w:pPr>
      <w:r>
        <w:rPr>
          <w:b/>
          <w:spacing w:val="-2"/>
          <w:sz w:val="18"/>
        </w:rPr>
        <w:t>Classification</w:t>
      </w:r>
    </w:p>
    <w:p w14:paraId="1EBDBBC8" w14:textId="77777777" w:rsidR="00AC6F3C" w:rsidRDefault="00570E88">
      <w:pPr>
        <w:spacing w:before="160"/>
        <w:ind w:left="979"/>
        <w:rPr>
          <w:sz w:val="18"/>
        </w:rPr>
      </w:pPr>
      <w:r>
        <w:rPr>
          <w:sz w:val="18"/>
        </w:rPr>
        <w:t>Financial</w:t>
      </w:r>
      <w:r>
        <w:rPr>
          <w:spacing w:val="-2"/>
          <w:sz w:val="18"/>
        </w:rPr>
        <w:t xml:space="preserve"> </w:t>
      </w:r>
      <w:r>
        <w:rPr>
          <w:sz w:val="18"/>
        </w:rPr>
        <w:t>instruments</w:t>
      </w:r>
      <w:r>
        <w:rPr>
          <w:spacing w:val="-4"/>
          <w:sz w:val="18"/>
        </w:rPr>
        <w:t xml:space="preserve"> </w:t>
      </w:r>
      <w:r>
        <w:rPr>
          <w:sz w:val="18"/>
        </w:rPr>
        <w:t>are</w:t>
      </w:r>
      <w:r>
        <w:rPr>
          <w:spacing w:val="-5"/>
          <w:sz w:val="18"/>
        </w:rPr>
        <w:t xml:space="preserve"> </w:t>
      </w:r>
      <w:r>
        <w:rPr>
          <w:sz w:val="18"/>
        </w:rPr>
        <w:t>classified</w:t>
      </w:r>
      <w:r>
        <w:rPr>
          <w:spacing w:val="-2"/>
          <w:sz w:val="18"/>
        </w:rPr>
        <w:t xml:space="preserve"> </w:t>
      </w:r>
      <w:r>
        <w:rPr>
          <w:sz w:val="18"/>
        </w:rPr>
        <w:t>as</w:t>
      </w:r>
      <w:r>
        <w:rPr>
          <w:spacing w:val="-1"/>
          <w:sz w:val="18"/>
        </w:rPr>
        <w:t xml:space="preserve"> </w:t>
      </w:r>
      <w:r>
        <w:rPr>
          <w:spacing w:val="-2"/>
          <w:sz w:val="18"/>
        </w:rPr>
        <w:t>follows:</w:t>
      </w:r>
    </w:p>
    <w:p w14:paraId="6FD9B295" w14:textId="77777777" w:rsidR="00AC6F3C" w:rsidRDefault="00570E88">
      <w:pPr>
        <w:pStyle w:val="ListParagraph"/>
        <w:numPr>
          <w:ilvl w:val="0"/>
          <w:numId w:val="10"/>
        </w:numPr>
        <w:tabs>
          <w:tab w:val="left" w:pos="1337"/>
        </w:tabs>
        <w:spacing w:before="62" w:line="219" w:lineRule="exact"/>
        <w:rPr>
          <w:sz w:val="18"/>
        </w:rPr>
      </w:pPr>
      <w:r>
        <w:rPr>
          <w:sz w:val="18"/>
        </w:rPr>
        <w:t>Receivables</w:t>
      </w:r>
      <w:r>
        <w:rPr>
          <w:spacing w:val="-3"/>
          <w:sz w:val="18"/>
        </w:rPr>
        <w:t xml:space="preserve"> </w:t>
      </w:r>
      <w:r>
        <w:rPr>
          <w:sz w:val="18"/>
        </w:rPr>
        <w:t>–</w:t>
      </w:r>
      <w:r>
        <w:rPr>
          <w:spacing w:val="-2"/>
          <w:sz w:val="18"/>
        </w:rPr>
        <w:t xml:space="preserve"> </w:t>
      </w:r>
      <w:r>
        <w:rPr>
          <w:sz w:val="18"/>
        </w:rPr>
        <w:t>held</w:t>
      </w:r>
      <w:r>
        <w:rPr>
          <w:spacing w:val="-3"/>
          <w:sz w:val="18"/>
        </w:rPr>
        <w:t xml:space="preserve"> </w:t>
      </w:r>
      <w:r>
        <w:rPr>
          <w:sz w:val="18"/>
        </w:rPr>
        <w:t>at</w:t>
      </w:r>
      <w:r>
        <w:rPr>
          <w:spacing w:val="-2"/>
          <w:sz w:val="18"/>
        </w:rPr>
        <w:t xml:space="preserve"> </w:t>
      </w:r>
      <w:proofErr w:type="spellStart"/>
      <w:r>
        <w:rPr>
          <w:sz w:val="18"/>
        </w:rPr>
        <w:t>amortised</w:t>
      </w:r>
      <w:proofErr w:type="spellEnd"/>
      <w:r>
        <w:rPr>
          <w:spacing w:val="-1"/>
          <w:sz w:val="18"/>
        </w:rPr>
        <w:t xml:space="preserve"> </w:t>
      </w:r>
      <w:r>
        <w:rPr>
          <w:spacing w:val="-4"/>
          <w:sz w:val="18"/>
        </w:rPr>
        <w:t>cost</w:t>
      </w:r>
    </w:p>
    <w:p w14:paraId="0DA4F08C" w14:textId="77777777" w:rsidR="00AC6F3C" w:rsidRDefault="00570E88">
      <w:pPr>
        <w:pStyle w:val="ListParagraph"/>
        <w:numPr>
          <w:ilvl w:val="0"/>
          <w:numId w:val="10"/>
        </w:numPr>
        <w:tabs>
          <w:tab w:val="left" w:pos="1337"/>
        </w:tabs>
        <w:spacing w:before="0" w:line="218" w:lineRule="exact"/>
        <w:rPr>
          <w:sz w:val="18"/>
        </w:rPr>
      </w:pPr>
      <w:r>
        <w:rPr>
          <w:sz w:val="18"/>
        </w:rPr>
        <w:t>Payables</w:t>
      </w:r>
      <w:r>
        <w:rPr>
          <w:spacing w:val="-3"/>
          <w:sz w:val="18"/>
        </w:rPr>
        <w:t xml:space="preserve"> </w:t>
      </w:r>
      <w:r>
        <w:rPr>
          <w:sz w:val="18"/>
        </w:rPr>
        <w:t>–</w:t>
      </w:r>
      <w:r>
        <w:rPr>
          <w:spacing w:val="-1"/>
          <w:sz w:val="18"/>
        </w:rPr>
        <w:t xml:space="preserve"> </w:t>
      </w:r>
      <w:r>
        <w:rPr>
          <w:sz w:val="18"/>
        </w:rPr>
        <w:t>held</w:t>
      </w:r>
      <w:r>
        <w:rPr>
          <w:spacing w:val="-3"/>
          <w:sz w:val="18"/>
        </w:rPr>
        <w:t xml:space="preserve"> </w:t>
      </w:r>
      <w:r>
        <w:rPr>
          <w:sz w:val="18"/>
        </w:rPr>
        <w:t>at</w:t>
      </w:r>
      <w:r>
        <w:rPr>
          <w:spacing w:val="-2"/>
          <w:sz w:val="18"/>
        </w:rPr>
        <w:t xml:space="preserve"> </w:t>
      </w:r>
      <w:proofErr w:type="spellStart"/>
      <w:r>
        <w:rPr>
          <w:sz w:val="18"/>
        </w:rPr>
        <w:t>amortised</w:t>
      </w:r>
      <w:proofErr w:type="spellEnd"/>
      <w:r>
        <w:rPr>
          <w:spacing w:val="-3"/>
          <w:sz w:val="18"/>
        </w:rPr>
        <w:t xml:space="preserve"> </w:t>
      </w:r>
      <w:r>
        <w:rPr>
          <w:spacing w:val="-4"/>
          <w:sz w:val="18"/>
        </w:rPr>
        <w:t>cost</w:t>
      </w:r>
    </w:p>
    <w:p w14:paraId="0BACEC6D" w14:textId="77777777" w:rsidR="00AC6F3C" w:rsidRDefault="00570E88">
      <w:pPr>
        <w:pStyle w:val="ListParagraph"/>
        <w:numPr>
          <w:ilvl w:val="0"/>
          <w:numId w:val="10"/>
        </w:numPr>
        <w:tabs>
          <w:tab w:val="left" w:pos="1336"/>
        </w:tabs>
        <w:spacing w:before="0" w:line="219" w:lineRule="exact"/>
        <w:ind w:left="1336" w:hanging="357"/>
        <w:rPr>
          <w:sz w:val="18"/>
        </w:rPr>
      </w:pPr>
      <w:r>
        <w:rPr>
          <w:sz w:val="18"/>
        </w:rPr>
        <w:t>Cash</w:t>
      </w:r>
      <w:r>
        <w:rPr>
          <w:spacing w:val="-1"/>
          <w:sz w:val="18"/>
        </w:rPr>
        <w:t xml:space="preserve"> </w:t>
      </w:r>
      <w:r>
        <w:rPr>
          <w:sz w:val="18"/>
        </w:rPr>
        <w:t>and</w:t>
      </w:r>
      <w:r>
        <w:rPr>
          <w:spacing w:val="-2"/>
          <w:sz w:val="18"/>
        </w:rPr>
        <w:t xml:space="preserve"> </w:t>
      </w:r>
      <w:r>
        <w:rPr>
          <w:sz w:val="18"/>
        </w:rPr>
        <w:t xml:space="preserve">cash </w:t>
      </w:r>
      <w:r>
        <w:rPr>
          <w:spacing w:val="-2"/>
          <w:sz w:val="18"/>
        </w:rPr>
        <w:t>equivalents</w:t>
      </w:r>
    </w:p>
    <w:p w14:paraId="03F6C29B" w14:textId="77777777" w:rsidR="00AC6F3C" w:rsidRDefault="00AC6F3C">
      <w:pPr>
        <w:pStyle w:val="BodyText"/>
        <w:spacing w:before="8"/>
      </w:pPr>
    </w:p>
    <w:p w14:paraId="2C945FD8" w14:textId="77777777" w:rsidR="00AC6F3C" w:rsidRDefault="00570E88">
      <w:pPr>
        <w:ind w:left="979"/>
        <w:rPr>
          <w:sz w:val="18"/>
        </w:rPr>
      </w:pPr>
      <w:r>
        <w:rPr>
          <w:sz w:val="18"/>
        </w:rPr>
        <w:t>QSS</w:t>
      </w:r>
      <w:r>
        <w:rPr>
          <w:spacing w:val="-2"/>
          <w:sz w:val="18"/>
        </w:rPr>
        <w:t xml:space="preserve"> </w:t>
      </w:r>
      <w:r>
        <w:rPr>
          <w:sz w:val="18"/>
        </w:rPr>
        <w:t>does</w:t>
      </w:r>
      <w:r>
        <w:rPr>
          <w:spacing w:val="-3"/>
          <w:sz w:val="18"/>
        </w:rPr>
        <w:t xml:space="preserve"> </w:t>
      </w:r>
      <w:r>
        <w:rPr>
          <w:sz w:val="18"/>
        </w:rPr>
        <w:t>not</w:t>
      </w:r>
      <w:r>
        <w:rPr>
          <w:spacing w:val="-1"/>
          <w:sz w:val="18"/>
        </w:rPr>
        <w:t xml:space="preserve"> </w:t>
      </w:r>
      <w:r>
        <w:rPr>
          <w:sz w:val="18"/>
        </w:rPr>
        <w:t>hold</w:t>
      </w:r>
      <w:r>
        <w:rPr>
          <w:spacing w:val="-4"/>
          <w:sz w:val="18"/>
        </w:rPr>
        <w:t xml:space="preserve"> </w:t>
      </w:r>
      <w:r>
        <w:rPr>
          <w:sz w:val="18"/>
        </w:rPr>
        <w:t>any other</w:t>
      </w:r>
      <w:r>
        <w:rPr>
          <w:spacing w:val="-2"/>
          <w:sz w:val="18"/>
        </w:rPr>
        <w:t xml:space="preserve"> </w:t>
      </w:r>
      <w:r>
        <w:rPr>
          <w:sz w:val="18"/>
        </w:rPr>
        <w:t>financial</w:t>
      </w:r>
      <w:r>
        <w:rPr>
          <w:spacing w:val="-3"/>
          <w:sz w:val="18"/>
        </w:rPr>
        <w:t xml:space="preserve"> </w:t>
      </w:r>
      <w:r>
        <w:rPr>
          <w:spacing w:val="-2"/>
          <w:sz w:val="18"/>
        </w:rPr>
        <w:t>instruments.</w:t>
      </w:r>
    </w:p>
    <w:p w14:paraId="532DA966" w14:textId="77777777" w:rsidR="00AC6F3C" w:rsidRDefault="00AC6F3C">
      <w:pPr>
        <w:pStyle w:val="BodyText"/>
      </w:pPr>
    </w:p>
    <w:p w14:paraId="19C89648" w14:textId="77777777" w:rsidR="00AC6F3C" w:rsidRDefault="00AC6F3C">
      <w:pPr>
        <w:pStyle w:val="BodyText"/>
        <w:spacing w:before="11"/>
        <w:rPr>
          <w:sz w:val="18"/>
        </w:rPr>
      </w:pPr>
    </w:p>
    <w:p w14:paraId="3F3A1508" w14:textId="77777777" w:rsidR="00AC6F3C" w:rsidRDefault="00570E88">
      <w:pPr>
        <w:ind w:left="979"/>
        <w:rPr>
          <w:b/>
          <w:sz w:val="18"/>
        </w:rPr>
      </w:pPr>
      <w:r>
        <w:rPr>
          <w:b/>
          <w:sz w:val="18"/>
        </w:rPr>
        <w:t>Liquidity</w:t>
      </w:r>
      <w:r>
        <w:rPr>
          <w:b/>
          <w:spacing w:val="-2"/>
          <w:sz w:val="18"/>
        </w:rPr>
        <w:t xml:space="preserve"> </w:t>
      </w:r>
      <w:r>
        <w:rPr>
          <w:b/>
          <w:spacing w:val="-4"/>
          <w:sz w:val="18"/>
        </w:rPr>
        <w:t>risk</w:t>
      </w:r>
    </w:p>
    <w:p w14:paraId="3245BBAF" w14:textId="77777777" w:rsidR="00AC6F3C" w:rsidRDefault="00570E88">
      <w:pPr>
        <w:spacing w:before="160"/>
        <w:ind w:left="979"/>
        <w:rPr>
          <w:sz w:val="18"/>
        </w:rPr>
      </w:pPr>
      <w:r>
        <w:rPr>
          <w:sz w:val="18"/>
        </w:rPr>
        <w:t>In</w:t>
      </w:r>
      <w:r>
        <w:rPr>
          <w:spacing w:val="-1"/>
          <w:sz w:val="18"/>
        </w:rPr>
        <w:t xml:space="preserve"> </w:t>
      </w:r>
      <w:r>
        <w:rPr>
          <w:sz w:val="18"/>
        </w:rPr>
        <w:t>the</w:t>
      </w:r>
      <w:r>
        <w:rPr>
          <w:spacing w:val="-3"/>
          <w:sz w:val="18"/>
        </w:rPr>
        <w:t xml:space="preserve"> </w:t>
      </w:r>
      <w:r>
        <w:rPr>
          <w:sz w:val="18"/>
        </w:rPr>
        <w:t>management</w:t>
      </w:r>
      <w:r>
        <w:rPr>
          <w:spacing w:val="-2"/>
          <w:sz w:val="18"/>
        </w:rPr>
        <w:t xml:space="preserve"> </w:t>
      </w:r>
      <w:r>
        <w:rPr>
          <w:sz w:val="18"/>
        </w:rPr>
        <w:t>of</w:t>
      </w:r>
      <w:r>
        <w:rPr>
          <w:spacing w:val="-3"/>
          <w:sz w:val="18"/>
        </w:rPr>
        <w:t xml:space="preserve"> </w:t>
      </w:r>
      <w:r>
        <w:rPr>
          <w:sz w:val="18"/>
        </w:rPr>
        <w:t>liquidity</w:t>
      </w:r>
      <w:r>
        <w:rPr>
          <w:spacing w:val="-2"/>
          <w:sz w:val="18"/>
        </w:rPr>
        <w:t xml:space="preserve"> </w:t>
      </w:r>
      <w:r>
        <w:rPr>
          <w:sz w:val="18"/>
        </w:rPr>
        <w:t>risks,</w:t>
      </w:r>
      <w:r>
        <w:rPr>
          <w:spacing w:val="-2"/>
          <w:sz w:val="18"/>
        </w:rPr>
        <w:t xml:space="preserve"> </w:t>
      </w:r>
      <w:r>
        <w:rPr>
          <w:sz w:val="18"/>
        </w:rPr>
        <w:t>QSS</w:t>
      </w:r>
      <w:r>
        <w:rPr>
          <w:spacing w:val="-2"/>
          <w:sz w:val="18"/>
        </w:rPr>
        <w:t xml:space="preserve"> </w:t>
      </w:r>
      <w:r>
        <w:rPr>
          <w:sz w:val="18"/>
        </w:rPr>
        <w:t>monitors</w:t>
      </w:r>
      <w:r>
        <w:rPr>
          <w:spacing w:val="-2"/>
          <w:sz w:val="18"/>
        </w:rPr>
        <w:t xml:space="preserve"> </w:t>
      </w:r>
      <w:r>
        <w:rPr>
          <w:sz w:val="18"/>
        </w:rPr>
        <w:t>and</w:t>
      </w:r>
      <w:r>
        <w:rPr>
          <w:spacing w:val="-3"/>
          <w:sz w:val="18"/>
        </w:rPr>
        <w:t xml:space="preserve"> </w:t>
      </w:r>
      <w:r>
        <w:rPr>
          <w:sz w:val="18"/>
        </w:rPr>
        <w:t>maintains</w:t>
      </w:r>
      <w:r>
        <w:rPr>
          <w:spacing w:val="-2"/>
          <w:sz w:val="18"/>
        </w:rPr>
        <w:t xml:space="preserve"> </w:t>
      </w:r>
      <w:r>
        <w:rPr>
          <w:sz w:val="18"/>
        </w:rPr>
        <w:t>a</w:t>
      </w:r>
      <w:r>
        <w:rPr>
          <w:spacing w:val="-1"/>
          <w:sz w:val="18"/>
        </w:rPr>
        <w:t xml:space="preserve"> </w:t>
      </w:r>
      <w:r>
        <w:rPr>
          <w:sz w:val="18"/>
        </w:rPr>
        <w:t>level</w:t>
      </w:r>
      <w:r>
        <w:rPr>
          <w:spacing w:val="-1"/>
          <w:sz w:val="18"/>
        </w:rPr>
        <w:t xml:space="preserve"> </w:t>
      </w:r>
      <w:r>
        <w:rPr>
          <w:sz w:val="18"/>
        </w:rPr>
        <w:t>of</w:t>
      </w:r>
      <w:r>
        <w:rPr>
          <w:spacing w:val="-3"/>
          <w:sz w:val="18"/>
        </w:rPr>
        <w:t xml:space="preserve"> </w:t>
      </w:r>
      <w:r>
        <w:rPr>
          <w:sz w:val="18"/>
        </w:rPr>
        <w:t>cash</w:t>
      </w:r>
      <w:r>
        <w:rPr>
          <w:spacing w:val="-3"/>
          <w:sz w:val="18"/>
        </w:rPr>
        <w:t xml:space="preserve"> </w:t>
      </w:r>
      <w:r>
        <w:rPr>
          <w:sz w:val="18"/>
        </w:rPr>
        <w:t>and</w:t>
      </w:r>
      <w:r>
        <w:rPr>
          <w:spacing w:val="-3"/>
          <w:sz w:val="18"/>
        </w:rPr>
        <w:t xml:space="preserve"> </w:t>
      </w:r>
      <w:r>
        <w:rPr>
          <w:sz w:val="18"/>
        </w:rPr>
        <w:t>cash</w:t>
      </w:r>
      <w:r>
        <w:rPr>
          <w:spacing w:val="-3"/>
          <w:sz w:val="18"/>
        </w:rPr>
        <w:t xml:space="preserve"> </w:t>
      </w:r>
      <w:r>
        <w:rPr>
          <w:sz w:val="18"/>
        </w:rPr>
        <w:t>equivalents</w:t>
      </w:r>
      <w:r>
        <w:rPr>
          <w:spacing w:val="-1"/>
          <w:sz w:val="18"/>
        </w:rPr>
        <w:t xml:space="preserve"> </w:t>
      </w:r>
      <w:r>
        <w:rPr>
          <w:sz w:val="18"/>
        </w:rPr>
        <w:t>deemed adequate by management to finance QSS’s operations and mitigate effects of fluctuations in cash flows.</w:t>
      </w:r>
    </w:p>
    <w:p w14:paraId="383DF201" w14:textId="77777777" w:rsidR="00AC6F3C" w:rsidRDefault="00AC6F3C">
      <w:pPr>
        <w:pStyle w:val="BodyText"/>
        <w:spacing w:before="1"/>
        <w:rPr>
          <w:sz w:val="18"/>
        </w:rPr>
      </w:pPr>
    </w:p>
    <w:p w14:paraId="3B79EA81" w14:textId="77777777" w:rsidR="00AC6F3C" w:rsidRDefault="00570E88">
      <w:pPr>
        <w:ind w:left="980"/>
        <w:rPr>
          <w:sz w:val="18"/>
        </w:rPr>
      </w:pPr>
      <w:r>
        <w:rPr>
          <w:sz w:val="18"/>
        </w:rPr>
        <w:t>QSS</w:t>
      </w:r>
      <w:r>
        <w:rPr>
          <w:spacing w:val="-3"/>
          <w:sz w:val="18"/>
        </w:rPr>
        <w:t xml:space="preserve"> </w:t>
      </w:r>
      <w:r>
        <w:rPr>
          <w:sz w:val="18"/>
        </w:rPr>
        <w:t>manages</w:t>
      </w:r>
      <w:r>
        <w:rPr>
          <w:spacing w:val="-2"/>
          <w:sz w:val="18"/>
        </w:rPr>
        <w:t xml:space="preserve"> </w:t>
      </w:r>
      <w:r>
        <w:rPr>
          <w:sz w:val="18"/>
        </w:rPr>
        <w:t>its</w:t>
      </w:r>
      <w:r>
        <w:rPr>
          <w:spacing w:val="-3"/>
          <w:sz w:val="18"/>
        </w:rPr>
        <w:t xml:space="preserve"> </w:t>
      </w:r>
      <w:r>
        <w:rPr>
          <w:sz w:val="18"/>
        </w:rPr>
        <w:t>expected</w:t>
      </w:r>
      <w:r>
        <w:rPr>
          <w:spacing w:val="-4"/>
          <w:sz w:val="18"/>
        </w:rPr>
        <w:t xml:space="preserve"> </w:t>
      </w:r>
      <w:r>
        <w:rPr>
          <w:sz w:val="18"/>
        </w:rPr>
        <w:t>cash</w:t>
      </w:r>
      <w:r>
        <w:rPr>
          <w:spacing w:val="-1"/>
          <w:sz w:val="18"/>
        </w:rPr>
        <w:t xml:space="preserve"> </w:t>
      </w:r>
      <w:r>
        <w:rPr>
          <w:sz w:val="18"/>
        </w:rPr>
        <w:t>flow</w:t>
      </w:r>
      <w:r>
        <w:rPr>
          <w:spacing w:val="-3"/>
          <w:sz w:val="18"/>
        </w:rPr>
        <w:t xml:space="preserve"> </w:t>
      </w:r>
      <w:r>
        <w:rPr>
          <w:sz w:val="18"/>
        </w:rPr>
        <w:t>requirements</w:t>
      </w:r>
      <w:r>
        <w:rPr>
          <w:spacing w:val="-1"/>
          <w:sz w:val="18"/>
        </w:rPr>
        <w:t xml:space="preserve"> </w:t>
      </w:r>
      <w:r>
        <w:rPr>
          <w:sz w:val="18"/>
        </w:rPr>
        <w:t>against</w:t>
      </w:r>
      <w:r>
        <w:rPr>
          <w:spacing w:val="-4"/>
          <w:sz w:val="18"/>
        </w:rPr>
        <w:t xml:space="preserve"> </w:t>
      </w:r>
      <w:r>
        <w:rPr>
          <w:sz w:val="18"/>
        </w:rPr>
        <w:t>the</w:t>
      </w:r>
      <w:r>
        <w:rPr>
          <w:spacing w:val="-1"/>
          <w:sz w:val="18"/>
        </w:rPr>
        <w:t xml:space="preserve"> </w:t>
      </w:r>
      <w:r>
        <w:rPr>
          <w:spacing w:val="-2"/>
          <w:sz w:val="18"/>
        </w:rPr>
        <w:t>budget.</w:t>
      </w:r>
    </w:p>
    <w:p w14:paraId="4F261E0B" w14:textId="77777777" w:rsidR="00AC6F3C" w:rsidRDefault="00AC6F3C">
      <w:pPr>
        <w:rPr>
          <w:sz w:val="18"/>
        </w:rPr>
        <w:sectPr w:rsidR="00AC6F3C">
          <w:pgSz w:w="11910" w:h="16840"/>
          <w:pgMar w:top="2020" w:right="1160" w:bottom="520" w:left="460" w:header="1228" w:footer="336" w:gutter="0"/>
          <w:cols w:space="720"/>
        </w:sectPr>
      </w:pPr>
    </w:p>
    <w:p w14:paraId="045B7B45" w14:textId="77777777" w:rsidR="00AC6F3C" w:rsidRDefault="00AC6F3C">
      <w:pPr>
        <w:pStyle w:val="BodyText"/>
        <w:spacing w:before="7"/>
        <w:rPr>
          <w:sz w:val="13"/>
        </w:rPr>
      </w:pPr>
    </w:p>
    <w:p w14:paraId="4494AF6D" w14:textId="77777777" w:rsidR="00AC6F3C" w:rsidRDefault="00570E88">
      <w:pPr>
        <w:tabs>
          <w:tab w:val="left" w:pos="1687"/>
        </w:tabs>
        <w:spacing w:before="92"/>
        <w:ind w:left="979"/>
        <w:rPr>
          <w:b/>
          <w:sz w:val="28"/>
        </w:rPr>
      </w:pPr>
      <w:r>
        <w:rPr>
          <w:b/>
          <w:spacing w:val="-5"/>
          <w:sz w:val="28"/>
        </w:rPr>
        <w:t>C3</w:t>
      </w:r>
      <w:r>
        <w:rPr>
          <w:b/>
          <w:sz w:val="28"/>
        </w:rPr>
        <w:tab/>
      </w:r>
      <w:r>
        <w:rPr>
          <w:b/>
          <w:spacing w:val="-2"/>
          <w:sz w:val="28"/>
        </w:rPr>
        <w:t>RECEIVABLES</w:t>
      </w:r>
    </w:p>
    <w:p w14:paraId="171ACCA1" w14:textId="77777777" w:rsidR="00AC6F3C" w:rsidRDefault="00570E88">
      <w:pPr>
        <w:spacing w:before="206"/>
        <w:ind w:left="980" w:right="234" w:hanging="1"/>
        <w:rPr>
          <w:sz w:val="18"/>
        </w:rPr>
      </w:pPr>
      <w:r>
        <w:rPr>
          <w:sz w:val="18"/>
        </w:rPr>
        <w:t>All</w:t>
      </w:r>
      <w:r>
        <w:rPr>
          <w:spacing w:val="-1"/>
          <w:sz w:val="18"/>
        </w:rPr>
        <w:t xml:space="preserve"> </w:t>
      </w:r>
      <w:r>
        <w:rPr>
          <w:sz w:val="18"/>
        </w:rPr>
        <w:t>receivables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6"/>
          <w:sz w:val="18"/>
        </w:rPr>
        <w:t xml:space="preserve"> </w:t>
      </w:r>
      <w:r>
        <w:rPr>
          <w:sz w:val="18"/>
        </w:rPr>
        <w:t>on</w:t>
      </w:r>
      <w:r>
        <w:rPr>
          <w:spacing w:val="-1"/>
          <w:sz w:val="18"/>
        </w:rPr>
        <w:t xml:space="preserve"> </w:t>
      </w:r>
      <w:r>
        <w:rPr>
          <w:sz w:val="18"/>
        </w:rPr>
        <w:t>an</w:t>
      </w:r>
      <w:r>
        <w:rPr>
          <w:spacing w:val="-4"/>
          <w:sz w:val="18"/>
        </w:rPr>
        <w:t xml:space="preserve"> </w:t>
      </w:r>
      <w:r>
        <w:rPr>
          <w:sz w:val="18"/>
        </w:rPr>
        <w:t>accrual</w:t>
      </w:r>
      <w:r>
        <w:rPr>
          <w:spacing w:val="-1"/>
          <w:sz w:val="18"/>
        </w:rPr>
        <w:t xml:space="preserve"> </w:t>
      </w:r>
      <w:r>
        <w:rPr>
          <w:sz w:val="18"/>
        </w:rPr>
        <w:t>basis</w:t>
      </w:r>
      <w:r>
        <w:rPr>
          <w:spacing w:val="-1"/>
          <w:sz w:val="18"/>
        </w:rPr>
        <w:t xml:space="preserve"> </w:t>
      </w:r>
      <w:r>
        <w:rPr>
          <w:sz w:val="18"/>
        </w:rPr>
        <w:t>and</w:t>
      </w:r>
      <w:r>
        <w:rPr>
          <w:spacing w:val="-1"/>
          <w:sz w:val="18"/>
        </w:rPr>
        <w:t xml:space="preserve"> </w:t>
      </w:r>
      <w:r>
        <w:rPr>
          <w:sz w:val="18"/>
        </w:rPr>
        <w:t>are</w:t>
      </w:r>
      <w:r>
        <w:rPr>
          <w:spacing w:val="-1"/>
          <w:sz w:val="18"/>
        </w:rPr>
        <w:t xml:space="preserve"> </w:t>
      </w:r>
      <w:r>
        <w:rPr>
          <w:sz w:val="18"/>
        </w:rPr>
        <w:t>carried</w:t>
      </w:r>
      <w:r>
        <w:rPr>
          <w:spacing w:val="-1"/>
          <w:sz w:val="18"/>
        </w:rPr>
        <w:t xml:space="preserve"> </w:t>
      </w:r>
      <w:r>
        <w:rPr>
          <w:sz w:val="18"/>
        </w:rPr>
        <w:t>at</w:t>
      </w:r>
      <w:r>
        <w:rPr>
          <w:spacing w:val="-2"/>
          <w:sz w:val="18"/>
        </w:rPr>
        <w:t xml:space="preserve"> </w:t>
      </w:r>
      <w:r>
        <w:rPr>
          <w:sz w:val="18"/>
        </w:rPr>
        <w:t>actual</w:t>
      </w:r>
      <w:r>
        <w:rPr>
          <w:spacing w:val="-1"/>
          <w:sz w:val="18"/>
        </w:rPr>
        <w:t xml:space="preserve"> </w:t>
      </w:r>
      <w:r>
        <w:rPr>
          <w:sz w:val="18"/>
        </w:rPr>
        <w:t>amounts.</w:t>
      </w:r>
      <w:r>
        <w:rPr>
          <w:spacing w:val="40"/>
          <w:sz w:val="18"/>
        </w:rPr>
        <w:t xml:space="preserve"> </w:t>
      </w:r>
      <w:r>
        <w:rPr>
          <w:sz w:val="18"/>
        </w:rPr>
        <w:t>Receivables</w:t>
      </w:r>
      <w:r>
        <w:rPr>
          <w:spacing w:val="-3"/>
          <w:sz w:val="18"/>
        </w:rPr>
        <w:t xml:space="preserve"> </w:t>
      </w:r>
      <w:r>
        <w:rPr>
          <w:sz w:val="18"/>
        </w:rPr>
        <w:t>are</w:t>
      </w:r>
      <w:r>
        <w:rPr>
          <w:spacing w:val="-4"/>
          <w:sz w:val="18"/>
        </w:rPr>
        <w:t xml:space="preserve"> </w:t>
      </w:r>
      <w:r>
        <w:rPr>
          <w:sz w:val="18"/>
        </w:rPr>
        <w:t xml:space="preserve">measured at </w:t>
      </w:r>
      <w:proofErr w:type="spellStart"/>
      <w:r>
        <w:rPr>
          <w:sz w:val="18"/>
        </w:rPr>
        <w:t>amortised</w:t>
      </w:r>
      <w:proofErr w:type="spellEnd"/>
      <w:r>
        <w:rPr>
          <w:sz w:val="18"/>
        </w:rPr>
        <w:t xml:space="preserve"> cost which approximates their fair value at reporting date.</w:t>
      </w:r>
    </w:p>
    <w:p w14:paraId="7A2902C5" w14:textId="77777777" w:rsidR="00AC6F3C" w:rsidRDefault="00AC6F3C">
      <w:pPr>
        <w:pStyle w:val="BodyText"/>
        <w:spacing w:before="1"/>
        <w:rPr>
          <w:sz w:val="18"/>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4CDD6630" w14:textId="77777777">
        <w:trPr>
          <w:trHeight w:val="577"/>
        </w:trPr>
        <w:tc>
          <w:tcPr>
            <w:tcW w:w="8715" w:type="dxa"/>
            <w:gridSpan w:val="3"/>
            <w:shd w:val="clear" w:color="auto" w:fill="BEBEBE"/>
          </w:tcPr>
          <w:p w14:paraId="125C27F2" w14:textId="77777777" w:rsidR="00AC6F3C" w:rsidRDefault="00570E88">
            <w:pPr>
              <w:pStyle w:val="TableParagraph"/>
              <w:tabs>
                <w:tab w:val="left" w:pos="1647"/>
              </w:tabs>
              <w:spacing w:before="48"/>
              <w:ind w:right="21"/>
              <w:jc w:val="right"/>
              <w:rPr>
                <w:b/>
                <w:sz w:val="17"/>
              </w:rPr>
            </w:pPr>
            <w:r>
              <w:rPr>
                <w:b/>
                <w:spacing w:val="-4"/>
                <w:w w:val="105"/>
                <w:sz w:val="17"/>
              </w:rPr>
              <w:t>2023</w:t>
            </w:r>
            <w:r>
              <w:rPr>
                <w:b/>
                <w:sz w:val="17"/>
              </w:rPr>
              <w:tab/>
            </w:r>
            <w:r>
              <w:rPr>
                <w:b/>
                <w:spacing w:val="-4"/>
                <w:w w:val="105"/>
                <w:sz w:val="17"/>
              </w:rPr>
              <w:t>2022</w:t>
            </w:r>
          </w:p>
          <w:p w14:paraId="74752370" w14:textId="77777777" w:rsidR="00AC6F3C" w:rsidRDefault="00570E88">
            <w:pPr>
              <w:pStyle w:val="TableParagraph"/>
              <w:tabs>
                <w:tab w:val="left" w:pos="1647"/>
              </w:tabs>
              <w:spacing w:before="100"/>
              <w:ind w:right="25"/>
              <w:jc w:val="right"/>
              <w:rPr>
                <w:b/>
                <w:sz w:val="17"/>
              </w:rPr>
            </w:pPr>
            <w:r>
              <w:rPr>
                <w:b/>
                <w:spacing w:val="-10"/>
                <w:w w:val="105"/>
                <w:sz w:val="17"/>
              </w:rPr>
              <w:t>$</w:t>
            </w:r>
            <w:r>
              <w:rPr>
                <w:b/>
                <w:sz w:val="17"/>
              </w:rPr>
              <w:tab/>
            </w:r>
            <w:r>
              <w:rPr>
                <w:b/>
                <w:spacing w:val="-12"/>
                <w:w w:val="105"/>
                <w:sz w:val="17"/>
              </w:rPr>
              <w:t>$</w:t>
            </w:r>
          </w:p>
        </w:tc>
      </w:tr>
      <w:tr w:rsidR="00AC6F3C" w14:paraId="6C9DE445" w14:textId="77777777">
        <w:trPr>
          <w:trHeight w:val="281"/>
        </w:trPr>
        <w:tc>
          <w:tcPr>
            <w:tcW w:w="5413" w:type="dxa"/>
            <w:tcBorders>
              <w:right w:val="nil"/>
            </w:tcBorders>
          </w:tcPr>
          <w:p w14:paraId="64A62BDB" w14:textId="77777777" w:rsidR="00AC6F3C" w:rsidRDefault="00570E88">
            <w:pPr>
              <w:pStyle w:val="TableParagraph"/>
              <w:spacing w:before="48"/>
              <w:ind w:left="37"/>
              <w:rPr>
                <w:sz w:val="17"/>
              </w:rPr>
            </w:pPr>
            <w:r>
              <w:rPr>
                <w:spacing w:val="-2"/>
                <w:w w:val="105"/>
                <w:sz w:val="17"/>
              </w:rPr>
              <w:t>Prepayments</w:t>
            </w:r>
          </w:p>
        </w:tc>
        <w:tc>
          <w:tcPr>
            <w:tcW w:w="1662" w:type="dxa"/>
            <w:tcBorders>
              <w:left w:val="nil"/>
              <w:right w:val="nil"/>
            </w:tcBorders>
            <w:shd w:val="clear" w:color="auto" w:fill="F1F1F1"/>
          </w:tcPr>
          <w:p w14:paraId="55ED6A64" w14:textId="77777777" w:rsidR="00AC6F3C" w:rsidRDefault="00570E88">
            <w:pPr>
              <w:pStyle w:val="TableParagraph"/>
              <w:spacing w:before="48"/>
              <w:ind w:left="1055"/>
              <w:rPr>
                <w:sz w:val="17"/>
              </w:rPr>
            </w:pPr>
            <w:r>
              <w:rPr>
                <w:spacing w:val="-2"/>
                <w:w w:val="105"/>
                <w:sz w:val="17"/>
              </w:rPr>
              <w:t>34,089</w:t>
            </w:r>
          </w:p>
        </w:tc>
        <w:tc>
          <w:tcPr>
            <w:tcW w:w="1640" w:type="dxa"/>
            <w:tcBorders>
              <w:left w:val="nil"/>
            </w:tcBorders>
          </w:tcPr>
          <w:p w14:paraId="10176582" w14:textId="77777777" w:rsidR="00AC6F3C" w:rsidRDefault="00570E88">
            <w:pPr>
              <w:pStyle w:val="TableParagraph"/>
              <w:spacing w:before="48"/>
              <w:ind w:left="1040"/>
              <w:rPr>
                <w:sz w:val="17"/>
              </w:rPr>
            </w:pPr>
            <w:r>
              <w:rPr>
                <w:spacing w:val="-2"/>
                <w:w w:val="105"/>
                <w:sz w:val="17"/>
              </w:rPr>
              <w:t>25,497</w:t>
            </w:r>
          </w:p>
        </w:tc>
      </w:tr>
      <w:tr w:rsidR="00AC6F3C" w14:paraId="5E04509B" w14:textId="77777777">
        <w:trPr>
          <w:trHeight w:val="281"/>
        </w:trPr>
        <w:tc>
          <w:tcPr>
            <w:tcW w:w="8715" w:type="dxa"/>
            <w:gridSpan w:val="3"/>
            <w:shd w:val="clear" w:color="auto" w:fill="BEBEBE"/>
          </w:tcPr>
          <w:p w14:paraId="004B262E" w14:textId="77777777" w:rsidR="00AC6F3C" w:rsidRDefault="00570E88">
            <w:pPr>
              <w:pStyle w:val="TableParagraph"/>
              <w:tabs>
                <w:tab w:val="left" w:pos="6460"/>
                <w:tab w:val="left" w:pos="8108"/>
              </w:tabs>
              <w:spacing w:before="48"/>
              <w:ind w:left="37"/>
              <w:rPr>
                <w:b/>
                <w:sz w:val="17"/>
              </w:rPr>
            </w:pPr>
            <w:r>
              <w:rPr>
                <w:b/>
                <w:spacing w:val="-2"/>
                <w:w w:val="105"/>
                <w:sz w:val="17"/>
              </w:rPr>
              <w:t>Total</w:t>
            </w:r>
            <w:r>
              <w:rPr>
                <w:b/>
                <w:spacing w:val="-7"/>
                <w:w w:val="105"/>
                <w:sz w:val="17"/>
              </w:rPr>
              <w:t xml:space="preserve"> </w:t>
            </w:r>
            <w:r>
              <w:rPr>
                <w:b/>
                <w:spacing w:val="-2"/>
                <w:w w:val="105"/>
                <w:sz w:val="17"/>
              </w:rPr>
              <w:t>receivables</w:t>
            </w:r>
            <w:r>
              <w:rPr>
                <w:b/>
                <w:sz w:val="17"/>
              </w:rPr>
              <w:tab/>
            </w:r>
            <w:r>
              <w:rPr>
                <w:b/>
                <w:spacing w:val="-2"/>
                <w:w w:val="105"/>
                <w:sz w:val="17"/>
              </w:rPr>
              <w:t>34,089</w:t>
            </w:r>
            <w:r>
              <w:rPr>
                <w:b/>
                <w:sz w:val="17"/>
              </w:rPr>
              <w:tab/>
            </w:r>
            <w:r>
              <w:rPr>
                <w:b/>
                <w:spacing w:val="-2"/>
                <w:w w:val="105"/>
                <w:sz w:val="17"/>
              </w:rPr>
              <w:t>25,497</w:t>
            </w:r>
          </w:p>
        </w:tc>
      </w:tr>
    </w:tbl>
    <w:p w14:paraId="6695365B" w14:textId="77777777" w:rsidR="00AC6F3C" w:rsidRDefault="00AC6F3C">
      <w:pPr>
        <w:pStyle w:val="BodyText"/>
        <w:spacing w:before="6"/>
        <w:rPr>
          <w:sz w:val="23"/>
        </w:rPr>
      </w:pPr>
    </w:p>
    <w:p w14:paraId="05532671" w14:textId="77777777" w:rsidR="00AC6F3C" w:rsidRDefault="00570E88">
      <w:pPr>
        <w:tabs>
          <w:tab w:val="left" w:pos="1687"/>
        </w:tabs>
        <w:ind w:left="979"/>
        <w:rPr>
          <w:b/>
          <w:sz w:val="28"/>
        </w:rPr>
      </w:pPr>
      <w:r>
        <w:rPr>
          <w:b/>
          <w:spacing w:val="-5"/>
          <w:sz w:val="28"/>
        </w:rPr>
        <w:t>C4</w:t>
      </w:r>
      <w:r>
        <w:rPr>
          <w:b/>
          <w:sz w:val="28"/>
        </w:rPr>
        <w:tab/>
      </w:r>
      <w:r>
        <w:rPr>
          <w:b/>
          <w:spacing w:val="-2"/>
          <w:sz w:val="28"/>
        </w:rPr>
        <w:t>PAYABLES</w:t>
      </w:r>
    </w:p>
    <w:p w14:paraId="61F6674F" w14:textId="77777777" w:rsidR="00AC6F3C" w:rsidRDefault="00570E88">
      <w:pPr>
        <w:spacing w:before="240"/>
        <w:ind w:left="979" w:right="468"/>
        <w:rPr>
          <w:sz w:val="18"/>
        </w:rPr>
      </w:pPr>
      <w:r>
        <w:rPr>
          <w:sz w:val="18"/>
        </w:rPr>
        <w:t>Trade</w:t>
      </w:r>
      <w:r>
        <w:rPr>
          <w:spacing w:val="-4"/>
          <w:sz w:val="18"/>
        </w:rPr>
        <w:t xml:space="preserve"> </w:t>
      </w:r>
      <w:r>
        <w:rPr>
          <w:sz w:val="18"/>
        </w:rPr>
        <w:t>creditors</w:t>
      </w:r>
      <w:r>
        <w:rPr>
          <w:spacing w:val="-1"/>
          <w:sz w:val="18"/>
        </w:rPr>
        <w:t xml:space="preserve"> </w:t>
      </w:r>
      <w:r>
        <w:rPr>
          <w:sz w:val="18"/>
        </w:rPr>
        <w:t>are</w:t>
      </w:r>
      <w:r>
        <w:rPr>
          <w:spacing w:val="-4"/>
          <w:sz w:val="18"/>
        </w:rPr>
        <w:t xml:space="preserve"> </w:t>
      </w:r>
      <w:proofErr w:type="spellStart"/>
      <w:r>
        <w:rPr>
          <w:sz w:val="18"/>
        </w:rPr>
        <w:t>recognised</w:t>
      </w:r>
      <w:proofErr w:type="spellEnd"/>
      <w:r>
        <w:rPr>
          <w:spacing w:val="-4"/>
          <w:sz w:val="18"/>
        </w:rPr>
        <w:t xml:space="preserve"> </w:t>
      </w:r>
      <w:r>
        <w:rPr>
          <w:sz w:val="18"/>
        </w:rPr>
        <w:t>on</w:t>
      </w:r>
      <w:r>
        <w:rPr>
          <w:spacing w:val="-1"/>
          <w:sz w:val="18"/>
        </w:rPr>
        <w:t xml:space="preserve"> </w:t>
      </w:r>
      <w:r>
        <w:rPr>
          <w:sz w:val="18"/>
        </w:rPr>
        <w:t>receipt</w:t>
      </w:r>
      <w:r>
        <w:rPr>
          <w:spacing w:val="-2"/>
          <w:sz w:val="18"/>
        </w:rPr>
        <w:t xml:space="preserve"> </w:t>
      </w:r>
      <w:r>
        <w:rPr>
          <w:sz w:val="18"/>
        </w:rPr>
        <w:t>of</w:t>
      </w:r>
      <w:r>
        <w:rPr>
          <w:spacing w:val="-4"/>
          <w:sz w:val="18"/>
        </w:rPr>
        <w:t xml:space="preserve"> </w:t>
      </w:r>
      <w:r>
        <w:rPr>
          <w:sz w:val="18"/>
        </w:rPr>
        <w:t>goods</w:t>
      </w:r>
      <w:r>
        <w:rPr>
          <w:spacing w:val="-3"/>
          <w:sz w:val="18"/>
        </w:rPr>
        <w:t xml:space="preserve"> </w:t>
      </w:r>
      <w:r>
        <w:rPr>
          <w:sz w:val="18"/>
        </w:rPr>
        <w:t>or</w:t>
      </w:r>
      <w:r>
        <w:rPr>
          <w:spacing w:val="-2"/>
          <w:sz w:val="18"/>
        </w:rPr>
        <w:t xml:space="preserve"> </w:t>
      </w:r>
      <w:r>
        <w:rPr>
          <w:sz w:val="18"/>
        </w:rPr>
        <w:t>services</w:t>
      </w:r>
      <w:r>
        <w:rPr>
          <w:spacing w:val="-1"/>
          <w:sz w:val="18"/>
        </w:rPr>
        <w:t xml:space="preserve"> </w:t>
      </w:r>
      <w:r>
        <w:rPr>
          <w:sz w:val="18"/>
        </w:rPr>
        <w:t>and</w:t>
      </w:r>
      <w:r>
        <w:rPr>
          <w:spacing w:val="-1"/>
          <w:sz w:val="18"/>
        </w:rPr>
        <w:t xml:space="preserve"> </w:t>
      </w:r>
      <w:r>
        <w:rPr>
          <w:sz w:val="18"/>
        </w:rPr>
        <w:t>are</w:t>
      </w:r>
      <w:r>
        <w:rPr>
          <w:spacing w:val="-4"/>
          <w:sz w:val="18"/>
        </w:rPr>
        <w:t xml:space="preserve"> </w:t>
      </w:r>
      <w:r>
        <w:rPr>
          <w:sz w:val="18"/>
        </w:rPr>
        <w:t>carried</w:t>
      </w:r>
      <w:r>
        <w:rPr>
          <w:spacing w:val="-4"/>
          <w:sz w:val="18"/>
        </w:rPr>
        <w:t xml:space="preserve"> </w:t>
      </w:r>
      <w:r>
        <w:rPr>
          <w:sz w:val="18"/>
        </w:rPr>
        <w:t>at</w:t>
      </w:r>
      <w:r>
        <w:rPr>
          <w:spacing w:val="-2"/>
          <w:sz w:val="18"/>
        </w:rPr>
        <w:t xml:space="preserve"> </w:t>
      </w:r>
      <w:r>
        <w:rPr>
          <w:sz w:val="18"/>
        </w:rPr>
        <w:t>actual</w:t>
      </w:r>
      <w:r>
        <w:rPr>
          <w:spacing w:val="-1"/>
          <w:sz w:val="18"/>
        </w:rPr>
        <w:t xml:space="preserve"> </w:t>
      </w:r>
      <w:r>
        <w:rPr>
          <w:sz w:val="18"/>
        </w:rPr>
        <w:t>amounts,</w:t>
      </w:r>
      <w:r>
        <w:rPr>
          <w:spacing w:val="-2"/>
          <w:sz w:val="18"/>
        </w:rPr>
        <w:t xml:space="preserve"> </w:t>
      </w:r>
      <w:r>
        <w:rPr>
          <w:sz w:val="18"/>
        </w:rPr>
        <w:t>gross</w:t>
      </w:r>
      <w:r>
        <w:rPr>
          <w:spacing w:val="-3"/>
          <w:sz w:val="18"/>
        </w:rPr>
        <w:t xml:space="preserve"> </w:t>
      </w:r>
      <w:r>
        <w:rPr>
          <w:sz w:val="18"/>
        </w:rPr>
        <w:t>of applicable trade and other discounts.</w:t>
      </w:r>
      <w:r>
        <w:rPr>
          <w:spacing w:val="40"/>
          <w:sz w:val="18"/>
        </w:rPr>
        <w:t xml:space="preserve"> </w:t>
      </w:r>
      <w:r>
        <w:rPr>
          <w:sz w:val="18"/>
        </w:rPr>
        <w:t>Amounts are unsecured and are generally settled on 30 day terms.</w:t>
      </w:r>
    </w:p>
    <w:p w14:paraId="44E62C9F" w14:textId="77777777" w:rsidR="00AC6F3C" w:rsidRDefault="00AC6F3C">
      <w:pPr>
        <w:pStyle w:val="BodyText"/>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0EE50388" w14:textId="77777777">
        <w:trPr>
          <w:trHeight w:val="577"/>
        </w:trPr>
        <w:tc>
          <w:tcPr>
            <w:tcW w:w="8715" w:type="dxa"/>
            <w:gridSpan w:val="3"/>
            <w:shd w:val="clear" w:color="auto" w:fill="BEBEBE"/>
          </w:tcPr>
          <w:p w14:paraId="4D4AB151" w14:textId="77777777" w:rsidR="00AC6F3C" w:rsidRDefault="00570E88">
            <w:pPr>
              <w:pStyle w:val="TableParagraph"/>
              <w:tabs>
                <w:tab w:val="left" w:pos="1647"/>
              </w:tabs>
              <w:spacing w:before="48"/>
              <w:ind w:right="21"/>
              <w:jc w:val="right"/>
              <w:rPr>
                <w:b/>
                <w:sz w:val="17"/>
              </w:rPr>
            </w:pPr>
            <w:r>
              <w:rPr>
                <w:b/>
                <w:spacing w:val="-4"/>
                <w:w w:val="105"/>
                <w:sz w:val="17"/>
              </w:rPr>
              <w:t>2023</w:t>
            </w:r>
            <w:r>
              <w:rPr>
                <w:b/>
                <w:sz w:val="17"/>
              </w:rPr>
              <w:tab/>
            </w:r>
            <w:r>
              <w:rPr>
                <w:b/>
                <w:spacing w:val="-4"/>
                <w:w w:val="105"/>
                <w:sz w:val="17"/>
              </w:rPr>
              <w:t>2022</w:t>
            </w:r>
          </w:p>
          <w:p w14:paraId="45815D4C" w14:textId="77777777" w:rsidR="00AC6F3C" w:rsidRDefault="00570E88">
            <w:pPr>
              <w:pStyle w:val="TableParagraph"/>
              <w:tabs>
                <w:tab w:val="left" w:pos="1647"/>
              </w:tabs>
              <w:spacing w:before="100"/>
              <w:ind w:right="25"/>
              <w:jc w:val="right"/>
              <w:rPr>
                <w:b/>
                <w:sz w:val="17"/>
              </w:rPr>
            </w:pPr>
            <w:r>
              <w:rPr>
                <w:b/>
                <w:spacing w:val="-10"/>
                <w:w w:val="105"/>
                <w:sz w:val="17"/>
              </w:rPr>
              <w:t>$</w:t>
            </w:r>
            <w:r>
              <w:rPr>
                <w:b/>
                <w:sz w:val="17"/>
              </w:rPr>
              <w:tab/>
            </w:r>
            <w:r>
              <w:rPr>
                <w:b/>
                <w:spacing w:val="-12"/>
                <w:w w:val="105"/>
                <w:sz w:val="17"/>
              </w:rPr>
              <w:t>$</w:t>
            </w:r>
          </w:p>
        </w:tc>
      </w:tr>
      <w:tr w:rsidR="00AC6F3C" w14:paraId="3C461F32" w14:textId="77777777">
        <w:trPr>
          <w:trHeight w:val="281"/>
        </w:trPr>
        <w:tc>
          <w:tcPr>
            <w:tcW w:w="5413" w:type="dxa"/>
            <w:tcBorders>
              <w:right w:val="nil"/>
            </w:tcBorders>
          </w:tcPr>
          <w:p w14:paraId="02C5207F" w14:textId="77777777" w:rsidR="00AC6F3C" w:rsidRDefault="00570E88">
            <w:pPr>
              <w:pStyle w:val="TableParagraph"/>
              <w:spacing w:before="48"/>
              <w:ind w:left="37"/>
              <w:rPr>
                <w:sz w:val="17"/>
              </w:rPr>
            </w:pPr>
            <w:r>
              <w:rPr>
                <w:spacing w:val="-2"/>
                <w:w w:val="105"/>
                <w:sz w:val="17"/>
              </w:rPr>
              <w:t>Payables</w:t>
            </w:r>
          </w:p>
        </w:tc>
        <w:tc>
          <w:tcPr>
            <w:tcW w:w="1662" w:type="dxa"/>
            <w:tcBorders>
              <w:left w:val="nil"/>
              <w:right w:val="nil"/>
            </w:tcBorders>
            <w:shd w:val="clear" w:color="auto" w:fill="F1F1F1"/>
          </w:tcPr>
          <w:p w14:paraId="5F7C626E" w14:textId="77777777" w:rsidR="00AC6F3C" w:rsidRDefault="00570E88">
            <w:pPr>
              <w:pStyle w:val="TableParagraph"/>
              <w:spacing w:before="48"/>
              <w:ind w:left="1055"/>
              <w:rPr>
                <w:sz w:val="17"/>
              </w:rPr>
            </w:pPr>
            <w:r>
              <w:rPr>
                <w:spacing w:val="-2"/>
                <w:w w:val="105"/>
                <w:sz w:val="17"/>
              </w:rPr>
              <w:t>39,479</w:t>
            </w:r>
          </w:p>
        </w:tc>
        <w:tc>
          <w:tcPr>
            <w:tcW w:w="1640" w:type="dxa"/>
            <w:tcBorders>
              <w:left w:val="nil"/>
            </w:tcBorders>
          </w:tcPr>
          <w:p w14:paraId="41D8FBF1" w14:textId="77777777" w:rsidR="00AC6F3C" w:rsidRDefault="00570E88">
            <w:pPr>
              <w:pStyle w:val="TableParagraph"/>
              <w:spacing w:before="48"/>
              <w:ind w:left="1040"/>
              <w:rPr>
                <w:sz w:val="17"/>
              </w:rPr>
            </w:pPr>
            <w:r>
              <w:rPr>
                <w:spacing w:val="-2"/>
                <w:w w:val="105"/>
                <w:sz w:val="17"/>
              </w:rPr>
              <w:t>31,007</w:t>
            </w:r>
          </w:p>
        </w:tc>
      </w:tr>
      <w:tr w:rsidR="00AC6F3C" w14:paraId="3174CFE3" w14:textId="77777777">
        <w:trPr>
          <w:trHeight w:val="281"/>
        </w:trPr>
        <w:tc>
          <w:tcPr>
            <w:tcW w:w="8715" w:type="dxa"/>
            <w:gridSpan w:val="3"/>
            <w:shd w:val="clear" w:color="auto" w:fill="BEBEBE"/>
          </w:tcPr>
          <w:p w14:paraId="6927A86A" w14:textId="77777777" w:rsidR="00AC6F3C" w:rsidRDefault="00570E88">
            <w:pPr>
              <w:pStyle w:val="TableParagraph"/>
              <w:tabs>
                <w:tab w:val="left" w:pos="6460"/>
                <w:tab w:val="left" w:pos="8108"/>
              </w:tabs>
              <w:spacing w:before="48"/>
              <w:ind w:left="37"/>
              <w:rPr>
                <w:b/>
                <w:sz w:val="17"/>
              </w:rPr>
            </w:pPr>
            <w:r>
              <w:rPr>
                <w:b/>
                <w:spacing w:val="-2"/>
                <w:w w:val="105"/>
                <w:sz w:val="17"/>
              </w:rPr>
              <w:t>Total</w:t>
            </w:r>
            <w:r>
              <w:rPr>
                <w:b/>
                <w:spacing w:val="-9"/>
                <w:w w:val="105"/>
                <w:sz w:val="17"/>
              </w:rPr>
              <w:t xml:space="preserve"> </w:t>
            </w:r>
            <w:r>
              <w:rPr>
                <w:b/>
                <w:spacing w:val="-2"/>
                <w:w w:val="105"/>
                <w:sz w:val="17"/>
              </w:rPr>
              <w:t>payables</w:t>
            </w:r>
            <w:r>
              <w:rPr>
                <w:b/>
                <w:sz w:val="17"/>
              </w:rPr>
              <w:tab/>
            </w:r>
            <w:r>
              <w:rPr>
                <w:b/>
                <w:spacing w:val="-2"/>
                <w:w w:val="105"/>
                <w:sz w:val="17"/>
              </w:rPr>
              <w:t>39,479</w:t>
            </w:r>
            <w:r>
              <w:rPr>
                <w:b/>
                <w:sz w:val="17"/>
              </w:rPr>
              <w:tab/>
            </w:r>
            <w:r>
              <w:rPr>
                <w:b/>
                <w:spacing w:val="-2"/>
                <w:w w:val="105"/>
                <w:sz w:val="17"/>
              </w:rPr>
              <w:t>31,007</w:t>
            </w:r>
          </w:p>
        </w:tc>
      </w:tr>
    </w:tbl>
    <w:p w14:paraId="69580816" w14:textId="77777777" w:rsidR="00AC6F3C" w:rsidRDefault="00AC6F3C">
      <w:pPr>
        <w:pStyle w:val="BodyText"/>
      </w:pPr>
    </w:p>
    <w:p w14:paraId="713B1EEA" w14:textId="77777777" w:rsidR="00AC6F3C" w:rsidRDefault="00AC6F3C">
      <w:pPr>
        <w:pStyle w:val="BodyText"/>
        <w:spacing w:before="5"/>
        <w:rPr>
          <w:sz w:val="21"/>
        </w:rPr>
      </w:pPr>
    </w:p>
    <w:p w14:paraId="041DD892" w14:textId="77777777" w:rsidR="00AC6F3C" w:rsidRDefault="00570E88">
      <w:pPr>
        <w:tabs>
          <w:tab w:val="left" w:pos="1687"/>
        </w:tabs>
        <w:spacing w:before="1"/>
        <w:ind w:left="1687" w:right="718" w:hanging="708"/>
        <w:rPr>
          <w:b/>
          <w:sz w:val="28"/>
        </w:rPr>
      </w:pPr>
      <w:r>
        <w:rPr>
          <w:b/>
          <w:spacing w:val="-6"/>
          <w:sz w:val="28"/>
        </w:rPr>
        <w:t>D1</w:t>
      </w:r>
      <w:r>
        <w:rPr>
          <w:b/>
          <w:sz w:val="28"/>
        </w:rPr>
        <w:tab/>
        <w:t>CONTINGENT</w:t>
      </w:r>
      <w:r>
        <w:rPr>
          <w:b/>
          <w:spacing w:val="-5"/>
          <w:sz w:val="28"/>
        </w:rPr>
        <w:t xml:space="preserve"> </w:t>
      </w:r>
      <w:r>
        <w:rPr>
          <w:b/>
          <w:sz w:val="28"/>
        </w:rPr>
        <w:t>LIABILITIES</w:t>
      </w:r>
      <w:r>
        <w:rPr>
          <w:b/>
          <w:spacing w:val="-7"/>
          <w:sz w:val="28"/>
        </w:rPr>
        <w:t xml:space="preserve"> </w:t>
      </w:r>
      <w:r>
        <w:rPr>
          <w:b/>
          <w:sz w:val="28"/>
        </w:rPr>
        <w:t>AND</w:t>
      </w:r>
      <w:r>
        <w:rPr>
          <w:b/>
          <w:spacing w:val="-6"/>
          <w:sz w:val="28"/>
        </w:rPr>
        <w:t xml:space="preserve"> </w:t>
      </w:r>
      <w:r>
        <w:rPr>
          <w:b/>
          <w:sz w:val="28"/>
        </w:rPr>
        <w:t>EVENTS</w:t>
      </w:r>
      <w:r>
        <w:rPr>
          <w:b/>
          <w:spacing w:val="-4"/>
          <w:sz w:val="28"/>
        </w:rPr>
        <w:t xml:space="preserve"> </w:t>
      </w:r>
      <w:r>
        <w:rPr>
          <w:b/>
          <w:sz w:val="28"/>
        </w:rPr>
        <w:t>AFTER</w:t>
      </w:r>
      <w:r>
        <w:rPr>
          <w:b/>
          <w:spacing w:val="-5"/>
          <w:sz w:val="28"/>
        </w:rPr>
        <w:t xml:space="preserve"> </w:t>
      </w:r>
      <w:r>
        <w:rPr>
          <w:b/>
          <w:sz w:val="28"/>
        </w:rPr>
        <w:t xml:space="preserve">BALANCE </w:t>
      </w:r>
      <w:r>
        <w:rPr>
          <w:b/>
          <w:spacing w:val="-4"/>
          <w:sz w:val="28"/>
        </w:rPr>
        <w:t>DATE</w:t>
      </w:r>
    </w:p>
    <w:p w14:paraId="0809F956" w14:textId="77777777" w:rsidR="00AC6F3C" w:rsidRDefault="00570E88">
      <w:pPr>
        <w:spacing w:before="239"/>
        <w:ind w:left="979" w:right="468"/>
        <w:rPr>
          <w:sz w:val="18"/>
        </w:rPr>
      </w:pPr>
      <w:r>
        <w:rPr>
          <w:sz w:val="18"/>
        </w:rPr>
        <w:t>There were no known contingent liabilities at 30 June 2023 (2022: Nil).</w:t>
      </w:r>
      <w:r>
        <w:rPr>
          <w:spacing w:val="40"/>
          <w:sz w:val="18"/>
        </w:rPr>
        <w:t xml:space="preserve"> </w:t>
      </w:r>
      <w:r>
        <w:rPr>
          <w:sz w:val="18"/>
        </w:rPr>
        <w:t>There are no events subsequent to reporting</w:t>
      </w:r>
      <w:r>
        <w:rPr>
          <w:spacing w:val="-1"/>
          <w:sz w:val="18"/>
        </w:rPr>
        <w:t xml:space="preserve"> </w:t>
      </w:r>
      <w:r>
        <w:rPr>
          <w:sz w:val="18"/>
        </w:rPr>
        <w:t>date</w:t>
      </w:r>
      <w:r>
        <w:rPr>
          <w:spacing w:val="-1"/>
          <w:sz w:val="18"/>
        </w:rPr>
        <w:t xml:space="preserve"> </w:t>
      </w:r>
      <w:r>
        <w:rPr>
          <w:sz w:val="18"/>
        </w:rPr>
        <w:t>requiring</w:t>
      </w:r>
      <w:r>
        <w:rPr>
          <w:spacing w:val="-4"/>
          <w:sz w:val="18"/>
        </w:rPr>
        <w:t xml:space="preserve"> </w:t>
      </w:r>
      <w:r>
        <w:rPr>
          <w:sz w:val="18"/>
        </w:rPr>
        <w:t>disclosure</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financial</w:t>
      </w:r>
      <w:r>
        <w:rPr>
          <w:spacing w:val="-1"/>
          <w:sz w:val="18"/>
        </w:rPr>
        <w:t xml:space="preserve"> </w:t>
      </w:r>
      <w:r>
        <w:rPr>
          <w:sz w:val="18"/>
        </w:rPr>
        <w:t>report</w:t>
      </w:r>
      <w:r>
        <w:rPr>
          <w:spacing w:val="-2"/>
          <w:sz w:val="18"/>
        </w:rPr>
        <w:t xml:space="preserve"> </w:t>
      </w:r>
      <w:r>
        <w:rPr>
          <w:sz w:val="18"/>
        </w:rPr>
        <w:t>other</w:t>
      </w:r>
      <w:r>
        <w:rPr>
          <w:spacing w:val="-2"/>
          <w:sz w:val="18"/>
        </w:rPr>
        <w:t xml:space="preserve"> </w:t>
      </w:r>
      <w:r>
        <w:rPr>
          <w:sz w:val="18"/>
        </w:rPr>
        <w:t>than</w:t>
      </w:r>
      <w:r>
        <w:rPr>
          <w:spacing w:val="-4"/>
          <w:sz w:val="18"/>
        </w:rPr>
        <w:t xml:space="preserve"> </w:t>
      </w:r>
      <w:r>
        <w:rPr>
          <w:sz w:val="18"/>
        </w:rPr>
        <w:t>the</w:t>
      </w:r>
      <w:r>
        <w:rPr>
          <w:spacing w:val="-4"/>
          <w:sz w:val="18"/>
        </w:rPr>
        <w:t xml:space="preserve"> </w:t>
      </w:r>
      <w:r>
        <w:rPr>
          <w:sz w:val="18"/>
        </w:rPr>
        <w:t>appointment</w:t>
      </w:r>
      <w:r>
        <w:rPr>
          <w:spacing w:val="-2"/>
          <w:sz w:val="18"/>
        </w:rPr>
        <w:t xml:space="preserve"> </w:t>
      </w:r>
      <w:r>
        <w:rPr>
          <w:sz w:val="18"/>
        </w:rPr>
        <w:t>of</w:t>
      </w:r>
      <w:r>
        <w:rPr>
          <w:spacing w:val="-4"/>
          <w:sz w:val="18"/>
        </w:rPr>
        <w:t xml:space="preserve"> </w:t>
      </w:r>
      <w:r>
        <w:rPr>
          <w:sz w:val="18"/>
        </w:rPr>
        <w:t>Mark</w:t>
      </w:r>
      <w:r>
        <w:rPr>
          <w:spacing w:val="-1"/>
          <w:sz w:val="18"/>
        </w:rPr>
        <w:t xml:space="preserve"> </w:t>
      </w:r>
      <w:r>
        <w:rPr>
          <w:sz w:val="18"/>
        </w:rPr>
        <w:t>Illidge</w:t>
      </w:r>
      <w:r>
        <w:rPr>
          <w:spacing w:val="-1"/>
          <w:sz w:val="18"/>
        </w:rPr>
        <w:t xml:space="preserve"> </w:t>
      </w:r>
      <w:r>
        <w:rPr>
          <w:sz w:val="18"/>
        </w:rPr>
        <w:t>and</w:t>
      </w:r>
      <w:r>
        <w:rPr>
          <w:spacing w:val="-1"/>
          <w:sz w:val="18"/>
        </w:rPr>
        <w:t xml:space="preserve"> </w:t>
      </w:r>
      <w:r>
        <w:rPr>
          <w:sz w:val="18"/>
        </w:rPr>
        <w:t>Judy Hayward as directors.</w:t>
      </w:r>
    </w:p>
    <w:p w14:paraId="01AF16BD" w14:textId="77777777" w:rsidR="00AC6F3C" w:rsidRDefault="00AC6F3C">
      <w:pPr>
        <w:rPr>
          <w:sz w:val="18"/>
        </w:rPr>
        <w:sectPr w:rsidR="00AC6F3C">
          <w:pgSz w:w="11910" w:h="16840"/>
          <w:pgMar w:top="2020" w:right="1160" w:bottom="520" w:left="460" w:header="1228" w:footer="336" w:gutter="0"/>
          <w:cols w:space="720"/>
        </w:sectPr>
      </w:pPr>
    </w:p>
    <w:p w14:paraId="3507F081" w14:textId="77777777" w:rsidR="00AC6F3C" w:rsidRDefault="00AC6F3C">
      <w:pPr>
        <w:pStyle w:val="BodyText"/>
        <w:spacing w:before="7"/>
        <w:rPr>
          <w:sz w:val="13"/>
        </w:rPr>
      </w:pPr>
    </w:p>
    <w:p w14:paraId="0CA26647" w14:textId="77777777" w:rsidR="00AC6F3C" w:rsidRDefault="00570E88">
      <w:pPr>
        <w:tabs>
          <w:tab w:val="left" w:pos="1687"/>
        </w:tabs>
        <w:spacing w:before="92"/>
        <w:ind w:left="979"/>
        <w:rPr>
          <w:b/>
          <w:sz w:val="28"/>
        </w:rPr>
      </w:pPr>
      <w:r>
        <w:rPr>
          <w:b/>
          <w:spacing w:val="-5"/>
          <w:sz w:val="28"/>
        </w:rPr>
        <w:t>E1</w:t>
      </w:r>
      <w:r>
        <w:rPr>
          <w:b/>
          <w:sz w:val="28"/>
        </w:rPr>
        <w:tab/>
        <w:t>KEY</w:t>
      </w:r>
      <w:r>
        <w:rPr>
          <w:b/>
          <w:spacing w:val="-10"/>
          <w:sz w:val="28"/>
        </w:rPr>
        <w:t xml:space="preserve"> </w:t>
      </w:r>
      <w:r>
        <w:rPr>
          <w:b/>
          <w:sz w:val="28"/>
        </w:rPr>
        <w:t>MANAGEMENT</w:t>
      </w:r>
      <w:r>
        <w:rPr>
          <w:b/>
          <w:spacing w:val="-7"/>
          <w:sz w:val="28"/>
        </w:rPr>
        <w:t xml:space="preserve"> </w:t>
      </w:r>
      <w:r>
        <w:rPr>
          <w:b/>
          <w:sz w:val="28"/>
        </w:rPr>
        <w:t>PERSONNEL</w:t>
      </w:r>
      <w:r>
        <w:rPr>
          <w:b/>
          <w:spacing w:val="-8"/>
          <w:sz w:val="28"/>
        </w:rPr>
        <w:t xml:space="preserve"> </w:t>
      </w:r>
      <w:r>
        <w:rPr>
          <w:b/>
          <w:spacing w:val="-2"/>
          <w:sz w:val="28"/>
        </w:rPr>
        <w:t>DISCLOSURES</w:t>
      </w:r>
    </w:p>
    <w:p w14:paraId="4D3A5B01" w14:textId="77777777" w:rsidR="00AC6F3C" w:rsidRDefault="00570E88">
      <w:pPr>
        <w:spacing w:before="239"/>
        <w:ind w:left="979"/>
        <w:rPr>
          <w:sz w:val="18"/>
        </w:rPr>
      </w:pPr>
      <w:r>
        <w:rPr>
          <w:sz w:val="18"/>
        </w:rPr>
        <w:t>Key</w:t>
      </w:r>
      <w:r>
        <w:rPr>
          <w:spacing w:val="-2"/>
          <w:sz w:val="18"/>
        </w:rPr>
        <w:t xml:space="preserve"> </w:t>
      </w:r>
      <w:r>
        <w:rPr>
          <w:sz w:val="18"/>
        </w:rPr>
        <w:t>management</w:t>
      </w:r>
      <w:r>
        <w:rPr>
          <w:spacing w:val="-5"/>
          <w:sz w:val="18"/>
        </w:rPr>
        <w:t xml:space="preserve"> </w:t>
      </w:r>
      <w:r>
        <w:rPr>
          <w:sz w:val="18"/>
        </w:rPr>
        <w:t>personnel</w:t>
      </w:r>
      <w:r>
        <w:rPr>
          <w:spacing w:val="-2"/>
          <w:sz w:val="18"/>
        </w:rPr>
        <w:t xml:space="preserve"> </w:t>
      </w:r>
      <w:r>
        <w:rPr>
          <w:sz w:val="18"/>
        </w:rPr>
        <w:t>and</w:t>
      </w:r>
      <w:r>
        <w:rPr>
          <w:spacing w:val="-2"/>
          <w:sz w:val="18"/>
        </w:rPr>
        <w:t xml:space="preserve"> </w:t>
      </w:r>
      <w:r>
        <w:rPr>
          <w:sz w:val="18"/>
        </w:rPr>
        <w:t>remuneration</w:t>
      </w:r>
      <w:r>
        <w:rPr>
          <w:spacing w:val="-2"/>
          <w:sz w:val="18"/>
        </w:rPr>
        <w:t xml:space="preserve"> </w:t>
      </w:r>
      <w:r>
        <w:rPr>
          <w:sz w:val="18"/>
        </w:rPr>
        <w:t>disclosures</w:t>
      </w:r>
      <w:r>
        <w:rPr>
          <w:spacing w:val="-2"/>
          <w:sz w:val="18"/>
        </w:rPr>
        <w:t xml:space="preserve"> </w:t>
      </w:r>
      <w:r>
        <w:rPr>
          <w:sz w:val="18"/>
        </w:rPr>
        <w:t>are</w:t>
      </w:r>
      <w:r>
        <w:rPr>
          <w:spacing w:val="-2"/>
          <w:sz w:val="18"/>
        </w:rPr>
        <w:t xml:space="preserve"> </w:t>
      </w:r>
      <w:r>
        <w:rPr>
          <w:sz w:val="18"/>
        </w:rPr>
        <w:t>made</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i/>
          <w:sz w:val="18"/>
        </w:rPr>
        <w:t>AASB</w:t>
      </w:r>
      <w:r>
        <w:rPr>
          <w:i/>
          <w:spacing w:val="-3"/>
          <w:sz w:val="18"/>
        </w:rPr>
        <w:t xml:space="preserve"> </w:t>
      </w:r>
      <w:r>
        <w:rPr>
          <w:i/>
          <w:sz w:val="18"/>
        </w:rPr>
        <w:t>1060</w:t>
      </w:r>
      <w:r>
        <w:rPr>
          <w:i/>
          <w:spacing w:val="-2"/>
          <w:sz w:val="18"/>
        </w:rPr>
        <w:t xml:space="preserve"> </w:t>
      </w:r>
      <w:r>
        <w:rPr>
          <w:i/>
          <w:sz w:val="18"/>
        </w:rPr>
        <w:t>General Purpose Financial Statements – Simplified Disclosures for For-Profit and Not-for-Profit Tier 2 Entities</w:t>
      </w:r>
      <w:r>
        <w:rPr>
          <w:sz w:val="18"/>
        </w:rPr>
        <w:t>.</w:t>
      </w:r>
    </w:p>
    <w:p w14:paraId="52C20B74" w14:textId="77777777" w:rsidR="00AC6F3C" w:rsidRDefault="00AC6F3C">
      <w:pPr>
        <w:pStyle w:val="BodyText"/>
        <w:rPr>
          <w:sz w:val="21"/>
        </w:rPr>
      </w:pPr>
    </w:p>
    <w:p w14:paraId="793E5607" w14:textId="77777777" w:rsidR="00AC6F3C" w:rsidRDefault="00570E88">
      <w:pPr>
        <w:ind w:left="979" w:right="375"/>
        <w:rPr>
          <w:sz w:val="18"/>
        </w:rPr>
      </w:pPr>
      <w:r>
        <w:rPr>
          <w:sz w:val="18"/>
        </w:rPr>
        <w:t>The</w:t>
      </w:r>
      <w:r>
        <w:rPr>
          <w:spacing w:val="-1"/>
          <w:sz w:val="18"/>
        </w:rPr>
        <w:t xml:space="preserve"> </w:t>
      </w:r>
      <w:r>
        <w:rPr>
          <w:sz w:val="18"/>
        </w:rPr>
        <w:t>following</w:t>
      </w:r>
      <w:r>
        <w:rPr>
          <w:spacing w:val="-4"/>
          <w:sz w:val="18"/>
        </w:rPr>
        <w:t xml:space="preserve"> </w:t>
      </w:r>
      <w:r>
        <w:rPr>
          <w:sz w:val="18"/>
        </w:rPr>
        <w:t>details</w:t>
      </w:r>
      <w:r>
        <w:rPr>
          <w:spacing w:val="-3"/>
          <w:sz w:val="18"/>
        </w:rPr>
        <w:t xml:space="preserve"> </w:t>
      </w:r>
      <w:r>
        <w:rPr>
          <w:sz w:val="18"/>
        </w:rPr>
        <w:t>for</w:t>
      </w:r>
      <w:r>
        <w:rPr>
          <w:spacing w:val="-4"/>
          <w:sz w:val="18"/>
        </w:rPr>
        <w:t xml:space="preserve"> </w:t>
      </w:r>
      <w:r>
        <w:rPr>
          <w:sz w:val="18"/>
        </w:rPr>
        <w:t>key</w:t>
      </w:r>
      <w:r>
        <w:rPr>
          <w:spacing w:val="-3"/>
          <w:sz w:val="18"/>
        </w:rPr>
        <w:t xml:space="preserve"> </w:t>
      </w:r>
      <w:r>
        <w:rPr>
          <w:sz w:val="18"/>
        </w:rPr>
        <w:t>management</w:t>
      </w:r>
      <w:r>
        <w:rPr>
          <w:spacing w:val="-2"/>
          <w:sz w:val="18"/>
        </w:rPr>
        <w:t xml:space="preserve"> </w:t>
      </w:r>
      <w:r>
        <w:rPr>
          <w:sz w:val="18"/>
        </w:rPr>
        <w:t>personnel</w:t>
      </w:r>
      <w:r>
        <w:rPr>
          <w:spacing w:val="-4"/>
          <w:sz w:val="18"/>
        </w:rPr>
        <w:t xml:space="preserve"> </w:t>
      </w:r>
      <w:r>
        <w:rPr>
          <w:sz w:val="18"/>
        </w:rPr>
        <w:t>include</w:t>
      </w:r>
      <w:r>
        <w:rPr>
          <w:spacing w:val="-4"/>
          <w:sz w:val="18"/>
        </w:rPr>
        <w:t xml:space="preserve"> </w:t>
      </w:r>
      <w:r>
        <w:rPr>
          <w:sz w:val="18"/>
        </w:rPr>
        <w:t>those</w:t>
      </w:r>
      <w:r>
        <w:rPr>
          <w:spacing w:val="-1"/>
          <w:sz w:val="18"/>
        </w:rPr>
        <w:t xml:space="preserve"> </w:t>
      </w:r>
      <w:r>
        <w:rPr>
          <w:sz w:val="18"/>
        </w:rPr>
        <w:t>positions</w:t>
      </w:r>
      <w:r>
        <w:rPr>
          <w:spacing w:val="-1"/>
          <w:sz w:val="18"/>
        </w:rPr>
        <w:t xml:space="preserve"> </w:t>
      </w:r>
      <w:r>
        <w:rPr>
          <w:sz w:val="18"/>
        </w:rPr>
        <w:t>that</w:t>
      </w:r>
      <w:r>
        <w:rPr>
          <w:spacing w:val="-2"/>
          <w:sz w:val="18"/>
        </w:rPr>
        <w:t xml:space="preserve"> </w:t>
      </w:r>
      <w:r>
        <w:rPr>
          <w:sz w:val="18"/>
        </w:rPr>
        <w:t>had</w:t>
      </w:r>
      <w:r>
        <w:rPr>
          <w:spacing w:val="-1"/>
          <w:sz w:val="18"/>
        </w:rPr>
        <w:t xml:space="preserve"> </w:t>
      </w:r>
      <w:r>
        <w:rPr>
          <w:sz w:val="18"/>
        </w:rPr>
        <w:t>authority</w:t>
      </w:r>
      <w:r>
        <w:rPr>
          <w:spacing w:val="-1"/>
          <w:sz w:val="18"/>
        </w:rPr>
        <w:t xml:space="preserve"> </w:t>
      </w:r>
      <w:r>
        <w:rPr>
          <w:sz w:val="18"/>
        </w:rPr>
        <w:t>and</w:t>
      </w:r>
      <w:r>
        <w:rPr>
          <w:spacing w:val="-1"/>
          <w:sz w:val="18"/>
        </w:rPr>
        <w:t xml:space="preserve"> </w:t>
      </w:r>
      <w:r>
        <w:rPr>
          <w:sz w:val="18"/>
        </w:rPr>
        <w:t>responsibility for planning, directing and controlling the activities of the Board during 2022-23.</w:t>
      </w:r>
      <w:r>
        <w:rPr>
          <w:spacing w:val="40"/>
          <w:sz w:val="18"/>
        </w:rPr>
        <w:t xml:space="preserve"> </w:t>
      </w:r>
      <w:r>
        <w:rPr>
          <w:sz w:val="18"/>
        </w:rPr>
        <w:t>The role of Chair is supported by the appointed board members.</w:t>
      </w:r>
    </w:p>
    <w:p w14:paraId="6777322B" w14:textId="77777777" w:rsidR="00AC6F3C" w:rsidRDefault="00AC6F3C">
      <w:pPr>
        <w:pStyle w:val="BodyText"/>
        <w:spacing w:before="10"/>
        <w:rPr>
          <w:sz w:val="17"/>
        </w:rPr>
      </w:pPr>
    </w:p>
    <w:tbl>
      <w:tblPr>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7"/>
        <w:gridCol w:w="6052"/>
      </w:tblGrid>
      <w:tr w:rsidR="00AC6F3C" w14:paraId="521D89E2" w14:textId="77777777">
        <w:trPr>
          <w:trHeight w:val="688"/>
        </w:trPr>
        <w:tc>
          <w:tcPr>
            <w:tcW w:w="2997" w:type="dxa"/>
            <w:shd w:val="clear" w:color="auto" w:fill="BEBEBE"/>
          </w:tcPr>
          <w:p w14:paraId="62CC7D8D" w14:textId="77777777" w:rsidR="00AC6F3C" w:rsidRDefault="00AC6F3C">
            <w:pPr>
              <w:pStyle w:val="TableParagraph"/>
              <w:spacing w:before="11"/>
              <w:rPr>
                <w:sz w:val="20"/>
              </w:rPr>
            </w:pPr>
          </w:p>
          <w:p w14:paraId="59F97392" w14:textId="77777777" w:rsidR="00AC6F3C" w:rsidRDefault="00570E88">
            <w:pPr>
              <w:pStyle w:val="TableParagraph"/>
              <w:ind w:left="107"/>
              <w:rPr>
                <w:b/>
                <w:sz w:val="18"/>
              </w:rPr>
            </w:pPr>
            <w:r>
              <w:rPr>
                <w:b/>
                <w:spacing w:val="-2"/>
                <w:sz w:val="18"/>
              </w:rPr>
              <w:t>Position</w:t>
            </w:r>
          </w:p>
        </w:tc>
        <w:tc>
          <w:tcPr>
            <w:tcW w:w="6052" w:type="dxa"/>
            <w:shd w:val="clear" w:color="auto" w:fill="BEBEBE"/>
          </w:tcPr>
          <w:p w14:paraId="51D390B7" w14:textId="77777777" w:rsidR="00AC6F3C" w:rsidRDefault="00AC6F3C">
            <w:pPr>
              <w:pStyle w:val="TableParagraph"/>
              <w:spacing w:before="11"/>
              <w:rPr>
                <w:sz w:val="20"/>
              </w:rPr>
            </w:pPr>
          </w:p>
          <w:p w14:paraId="3C638CCE" w14:textId="77777777" w:rsidR="00AC6F3C" w:rsidRDefault="00570E88">
            <w:pPr>
              <w:pStyle w:val="TableParagraph"/>
              <w:ind w:left="108"/>
              <w:rPr>
                <w:b/>
                <w:sz w:val="18"/>
              </w:rPr>
            </w:pPr>
            <w:r>
              <w:rPr>
                <w:b/>
                <w:sz w:val="18"/>
              </w:rPr>
              <w:t>Position</w:t>
            </w:r>
            <w:r>
              <w:rPr>
                <w:b/>
                <w:spacing w:val="-1"/>
                <w:sz w:val="18"/>
              </w:rPr>
              <w:t xml:space="preserve"> </w:t>
            </w:r>
            <w:r>
              <w:rPr>
                <w:b/>
                <w:spacing w:val="-2"/>
                <w:sz w:val="18"/>
              </w:rPr>
              <w:t>Responsibility</w:t>
            </w:r>
          </w:p>
        </w:tc>
      </w:tr>
      <w:tr w:rsidR="00AC6F3C" w14:paraId="58922DC8" w14:textId="77777777">
        <w:trPr>
          <w:trHeight w:val="1482"/>
        </w:trPr>
        <w:tc>
          <w:tcPr>
            <w:tcW w:w="2997" w:type="dxa"/>
          </w:tcPr>
          <w:p w14:paraId="523F9524" w14:textId="77777777" w:rsidR="00AC6F3C" w:rsidRDefault="00570E88">
            <w:pPr>
              <w:pStyle w:val="TableParagraph"/>
              <w:spacing w:before="119"/>
              <w:ind w:left="107"/>
              <w:rPr>
                <w:b/>
                <w:sz w:val="18"/>
              </w:rPr>
            </w:pPr>
            <w:r>
              <w:rPr>
                <w:b/>
                <w:spacing w:val="-2"/>
                <w:sz w:val="18"/>
              </w:rPr>
              <w:t>Chairperson</w:t>
            </w:r>
          </w:p>
        </w:tc>
        <w:tc>
          <w:tcPr>
            <w:tcW w:w="6052" w:type="dxa"/>
          </w:tcPr>
          <w:p w14:paraId="6C497173" w14:textId="77777777" w:rsidR="00AC6F3C" w:rsidRDefault="00570E88">
            <w:pPr>
              <w:pStyle w:val="TableParagraph"/>
              <w:spacing w:before="119"/>
              <w:ind w:left="108" w:right="33" w:hanging="1"/>
              <w:rPr>
                <w:sz w:val="18"/>
              </w:rPr>
            </w:pPr>
            <w:r>
              <w:rPr>
                <w:sz w:val="18"/>
              </w:rPr>
              <w:t xml:space="preserve">Responsible for chairing QSS Board meetings, chairing an QSS Shareholder meetings, overseeing functions performed by board members, leading the board, </w:t>
            </w:r>
            <w:proofErr w:type="spellStart"/>
            <w:r>
              <w:rPr>
                <w:sz w:val="18"/>
              </w:rPr>
              <w:t>authorising</w:t>
            </w:r>
            <w:proofErr w:type="spellEnd"/>
            <w:r>
              <w:rPr>
                <w:sz w:val="18"/>
              </w:rPr>
              <w:t xml:space="preserve"> operational matters and complying</w:t>
            </w:r>
            <w:r>
              <w:rPr>
                <w:spacing w:val="-3"/>
                <w:sz w:val="18"/>
              </w:rPr>
              <w:t xml:space="preserve"> </w:t>
            </w:r>
            <w:r>
              <w:rPr>
                <w:sz w:val="18"/>
              </w:rPr>
              <w:t>with</w:t>
            </w:r>
            <w:r>
              <w:rPr>
                <w:spacing w:val="-6"/>
                <w:sz w:val="18"/>
              </w:rPr>
              <w:t xml:space="preserve"> </w:t>
            </w:r>
            <w:r>
              <w:rPr>
                <w:sz w:val="18"/>
              </w:rPr>
              <w:t>its</w:t>
            </w:r>
            <w:r>
              <w:rPr>
                <w:spacing w:val="-5"/>
                <w:sz w:val="18"/>
              </w:rPr>
              <w:t xml:space="preserve"> </w:t>
            </w:r>
            <w:r>
              <w:rPr>
                <w:sz w:val="18"/>
              </w:rPr>
              <w:t>obligations</w:t>
            </w:r>
            <w:r>
              <w:rPr>
                <w:spacing w:val="-5"/>
                <w:sz w:val="18"/>
              </w:rPr>
              <w:t xml:space="preserve"> </w:t>
            </w:r>
            <w:r>
              <w:rPr>
                <w:sz w:val="18"/>
              </w:rPr>
              <w:t>under</w:t>
            </w:r>
            <w:r>
              <w:rPr>
                <w:spacing w:val="-4"/>
                <w:sz w:val="18"/>
              </w:rPr>
              <w:t xml:space="preserve"> </w:t>
            </w:r>
            <w:r>
              <w:rPr>
                <w:sz w:val="18"/>
              </w:rPr>
              <w:t>the</w:t>
            </w:r>
            <w:r>
              <w:rPr>
                <w:spacing w:val="-4"/>
                <w:sz w:val="18"/>
              </w:rPr>
              <w:t xml:space="preserve"> </w:t>
            </w:r>
            <w:r>
              <w:rPr>
                <w:i/>
                <w:sz w:val="18"/>
              </w:rPr>
              <w:t>Corporations</w:t>
            </w:r>
            <w:r>
              <w:rPr>
                <w:i/>
                <w:spacing w:val="-3"/>
                <w:sz w:val="18"/>
              </w:rPr>
              <w:t xml:space="preserve"> </w:t>
            </w:r>
            <w:r>
              <w:rPr>
                <w:i/>
                <w:sz w:val="18"/>
              </w:rPr>
              <w:t>Act</w:t>
            </w:r>
            <w:r>
              <w:rPr>
                <w:i/>
                <w:spacing w:val="-4"/>
                <w:sz w:val="18"/>
              </w:rPr>
              <w:t xml:space="preserve"> </w:t>
            </w:r>
            <w:r>
              <w:rPr>
                <w:i/>
                <w:sz w:val="18"/>
              </w:rPr>
              <w:t>2001</w:t>
            </w:r>
            <w:r>
              <w:rPr>
                <w:i/>
                <w:spacing w:val="-3"/>
                <w:sz w:val="18"/>
              </w:rPr>
              <w:t xml:space="preserve"> </w:t>
            </w:r>
            <w:r>
              <w:rPr>
                <w:sz w:val="18"/>
              </w:rPr>
              <w:t>(</w:t>
            </w:r>
            <w:proofErr w:type="spellStart"/>
            <w:r>
              <w:rPr>
                <w:sz w:val="18"/>
              </w:rPr>
              <w:t>Cth</w:t>
            </w:r>
            <w:proofErr w:type="spellEnd"/>
            <w:r>
              <w:rPr>
                <w:sz w:val="18"/>
              </w:rPr>
              <w:t>)</w:t>
            </w:r>
            <w:r>
              <w:rPr>
                <w:spacing w:val="-6"/>
                <w:sz w:val="18"/>
              </w:rPr>
              <w:t xml:space="preserve"> </w:t>
            </w:r>
            <w:r>
              <w:rPr>
                <w:sz w:val="18"/>
              </w:rPr>
              <w:t xml:space="preserve">and as an Incorporated Legal Practice (ILP) director under the </w:t>
            </w:r>
            <w:r>
              <w:rPr>
                <w:i/>
                <w:sz w:val="18"/>
              </w:rPr>
              <w:t xml:space="preserve">Legal Professional Act 2007 </w:t>
            </w:r>
            <w:r>
              <w:rPr>
                <w:sz w:val="18"/>
              </w:rPr>
              <w:t>(Qld).</w:t>
            </w:r>
          </w:p>
        </w:tc>
      </w:tr>
      <w:tr w:rsidR="00AC6F3C" w14:paraId="17B8070D" w14:textId="77777777">
        <w:trPr>
          <w:trHeight w:val="1273"/>
        </w:trPr>
        <w:tc>
          <w:tcPr>
            <w:tcW w:w="2997" w:type="dxa"/>
          </w:tcPr>
          <w:p w14:paraId="7AF325CC" w14:textId="77777777" w:rsidR="00AC6F3C" w:rsidRDefault="00570E88">
            <w:pPr>
              <w:pStyle w:val="TableParagraph"/>
              <w:spacing w:before="119"/>
              <w:ind w:left="107"/>
              <w:rPr>
                <w:b/>
                <w:sz w:val="18"/>
              </w:rPr>
            </w:pPr>
            <w:r>
              <w:rPr>
                <w:b/>
                <w:spacing w:val="-2"/>
                <w:sz w:val="18"/>
              </w:rPr>
              <w:t>Director</w:t>
            </w:r>
          </w:p>
        </w:tc>
        <w:tc>
          <w:tcPr>
            <w:tcW w:w="6052" w:type="dxa"/>
          </w:tcPr>
          <w:p w14:paraId="5CFE02A3" w14:textId="77777777" w:rsidR="00AC6F3C" w:rsidRDefault="00570E88">
            <w:pPr>
              <w:pStyle w:val="TableParagraph"/>
              <w:spacing w:before="119"/>
              <w:ind w:left="108" w:right="55"/>
              <w:rPr>
                <w:sz w:val="18"/>
              </w:rPr>
            </w:pPr>
            <w:r>
              <w:rPr>
                <w:sz w:val="18"/>
              </w:rPr>
              <w:t>Responsible for governing QSS to ensure it is appropriately run – including overseeing proper financial accounts, insurance and risk, providing strategic guidance, decision making with due care and consideration</w:t>
            </w:r>
            <w:r>
              <w:rPr>
                <w:spacing w:val="-5"/>
                <w:sz w:val="18"/>
              </w:rPr>
              <w:t xml:space="preserve"> </w:t>
            </w:r>
            <w:r>
              <w:rPr>
                <w:sz w:val="18"/>
              </w:rPr>
              <w:t>and</w:t>
            </w:r>
            <w:r>
              <w:rPr>
                <w:spacing w:val="-7"/>
                <w:sz w:val="18"/>
              </w:rPr>
              <w:t xml:space="preserve"> </w:t>
            </w:r>
            <w:r>
              <w:rPr>
                <w:sz w:val="18"/>
              </w:rPr>
              <w:t>complying</w:t>
            </w:r>
            <w:r>
              <w:rPr>
                <w:spacing w:val="-9"/>
                <w:sz w:val="18"/>
              </w:rPr>
              <w:t xml:space="preserve"> </w:t>
            </w:r>
            <w:r>
              <w:rPr>
                <w:sz w:val="18"/>
              </w:rPr>
              <w:t>with</w:t>
            </w:r>
            <w:r>
              <w:rPr>
                <w:spacing w:val="-4"/>
                <w:sz w:val="18"/>
              </w:rPr>
              <w:t xml:space="preserve"> </w:t>
            </w:r>
            <w:r>
              <w:rPr>
                <w:sz w:val="18"/>
              </w:rPr>
              <w:t>its</w:t>
            </w:r>
            <w:r>
              <w:rPr>
                <w:spacing w:val="-4"/>
                <w:sz w:val="18"/>
              </w:rPr>
              <w:t xml:space="preserve"> </w:t>
            </w:r>
            <w:r>
              <w:rPr>
                <w:sz w:val="18"/>
              </w:rPr>
              <w:t>obligations</w:t>
            </w:r>
            <w:r>
              <w:rPr>
                <w:spacing w:val="-6"/>
                <w:sz w:val="18"/>
              </w:rPr>
              <w:t xml:space="preserve"> </w:t>
            </w:r>
            <w:r>
              <w:rPr>
                <w:sz w:val="18"/>
              </w:rPr>
              <w:t>under</w:t>
            </w:r>
            <w:r>
              <w:rPr>
                <w:spacing w:val="-5"/>
                <w:sz w:val="18"/>
              </w:rPr>
              <w:t xml:space="preserve"> </w:t>
            </w:r>
            <w:r>
              <w:rPr>
                <w:sz w:val="18"/>
              </w:rPr>
              <w:t>the</w:t>
            </w:r>
            <w:r>
              <w:rPr>
                <w:spacing w:val="-5"/>
                <w:sz w:val="18"/>
              </w:rPr>
              <w:t xml:space="preserve"> </w:t>
            </w:r>
            <w:r>
              <w:rPr>
                <w:i/>
                <w:sz w:val="18"/>
              </w:rPr>
              <w:t xml:space="preserve">Corporations Act 2001 </w:t>
            </w:r>
            <w:r>
              <w:rPr>
                <w:sz w:val="18"/>
              </w:rPr>
              <w:t>(</w:t>
            </w:r>
            <w:proofErr w:type="spellStart"/>
            <w:r>
              <w:rPr>
                <w:sz w:val="18"/>
              </w:rPr>
              <w:t>Cth</w:t>
            </w:r>
            <w:proofErr w:type="spellEnd"/>
            <w:r>
              <w:rPr>
                <w:sz w:val="18"/>
              </w:rPr>
              <w:t>).</w:t>
            </w:r>
          </w:p>
        </w:tc>
      </w:tr>
    </w:tbl>
    <w:p w14:paraId="09F33D6A" w14:textId="77777777" w:rsidR="00AC6F3C" w:rsidRDefault="00AC6F3C">
      <w:pPr>
        <w:pStyle w:val="BodyText"/>
        <w:spacing w:before="1"/>
      </w:pPr>
    </w:p>
    <w:tbl>
      <w:tblPr>
        <w:tblW w:w="0" w:type="auto"/>
        <w:tblInd w:w="989" w:type="dxa"/>
        <w:tblLayout w:type="fixed"/>
        <w:tblCellMar>
          <w:left w:w="0" w:type="dxa"/>
          <w:right w:w="0" w:type="dxa"/>
        </w:tblCellMar>
        <w:tblLook w:val="01E0" w:firstRow="1" w:lastRow="1" w:firstColumn="1" w:lastColumn="1" w:noHBand="0" w:noVBand="0"/>
      </w:tblPr>
      <w:tblGrid>
        <w:gridCol w:w="2161"/>
        <w:gridCol w:w="2356"/>
        <w:gridCol w:w="2155"/>
        <w:gridCol w:w="2342"/>
      </w:tblGrid>
      <w:tr w:rsidR="00AC6F3C" w14:paraId="28688EF9" w14:textId="77777777">
        <w:trPr>
          <w:trHeight w:val="395"/>
        </w:trPr>
        <w:tc>
          <w:tcPr>
            <w:tcW w:w="2161" w:type="dxa"/>
            <w:shd w:val="clear" w:color="auto" w:fill="BEBEBE"/>
          </w:tcPr>
          <w:p w14:paraId="5387CE1E" w14:textId="77777777" w:rsidR="00AC6F3C" w:rsidRDefault="00570E88">
            <w:pPr>
              <w:pStyle w:val="TableParagraph"/>
              <w:spacing w:before="92"/>
              <w:ind w:left="115"/>
              <w:rPr>
                <w:b/>
                <w:sz w:val="18"/>
              </w:rPr>
            </w:pPr>
            <w:r>
              <w:rPr>
                <w:b/>
                <w:spacing w:val="-2"/>
                <w:sz w:val="18"/>
              </w:rPr>
              <w:t>Position</w:t>
            </w:r>
          </w:p>
        </w:tc>
        <w:tc>
          <w:tcPr>
            <w:tcW w:w="2356" w:type="dxa"/>
            <w:shd w:val="clear" w:color="auto" w:fill="BEBEBE"/>
          </w:tcPr>
          <w:p w14:paraId="1BFB4119" w14:textId="77777777" w:rsidR="00AC6F3C" w:rsidRDefault="00570E88">
            <w:pPr>
              <w:pStyle w:val="TableParagraph"/>
              <w:spacing w:before="92"/>
              <w:ind w:left="212"/>
              <w:rPr>
                <w:b/>
                <w:sz w:val="18"/>
              </w:rPr>
            </w:pPr>
            <w:r>
              <w:rPr>
                <w:b/>
                <w:spacing w:val="-2"/>
                <w:sz w:val="18"/>
              </w:rPr>
              <w:t>Person</w:t>
            </w:r>
          </w:p>
        </w:tc>
        <w:tc>
          <w:tcPr>
            <w:tcW w:w="2155" w:type="dxa"/>
            <w:shd w:val="clear" w:color="auto" w:fill="BEBEBE"/>
          </w:tcPr>
          <w:p w14:paraId="10FD1AA6" w14:textId="77777777" w:rsidR="00AC6F3C" w:rsidRDefault="00570E88">
            <w:pPr>
              <w:pStyle w:val="TableParagraph"/>
              <w:spacing w:before="92"/>
              <w:ind w:left="412" w:right="599"/>
              <w:jc w:val="center"/>
              <w:rPr>
                <w:b/>
                <w:sz w:val="18"/>
              </w:rPr>
            </w:pPr>
            <w:r>
              <w:rPr>
                <w:b/>
                <w:sz w:val="18"/>
              </w:rPr>
              <w:t>Start</w:t>
            </w:r>
            <w:r>
              <w:rPr>
                <w:b/>
                <w:spacing w:val="-2"/>
                <w:sz w:val="18"/>
              </w:rPr>
              <w:t xml:space="preserve"> </w:t>
            </w:r>
            <w:r>
              <w:rPr>
                <w:b/>
                <w:sz w:val="18"/>
              </w:rPr>
              <w:t>of</w:t>
            </w:r>
            <w:r>
              <w:rPr>
                <w:b/>
                <w:spacing w:val="-1"/>
                <w:sz w:val="18"/>
              </w:rPr>
              <w:t xml:space="preserve"> </w:t>
            </w:r>
            <w:r>
              <w:rPr>
                <w:b/>
                <w:spacing w:val="-4"/>
                <w:sz w:val="18"/>
              </w:rPr>
              <w:t>Term</w:t>
            </w:r>
          </w:p>
        </w:tc>
        <w:tc>
          <w:tcPr>
            <w:tcW w:w="2342" w:type="dxa"/>
            <w:shd w:val="clear" w:color="auto" w:fill="BEBEBE"/>
          </w:tcPr>
          <w:p w14:paraId="58F41F7B" w14:textId="77777777" w:rsidR="00AC6F3C" w:rsidRDefault="00570E88">
            <w:pPr>
              <w:pStyle w:val="TableParagraph"/>
              <w:spacing w:before="92"/>
              <w:ind w:left="602" w:right="666"/>
              <w:jc w:val="center"/>
              <w:rPr>
                <w:b/>
                <w:sz w:val="18"/>
              </w:rPr>
            </w:pPr>
            <w:r>
              <w:rPr>
                <w:b/>
                <w:sz w:val="18"/>
              </w:rPr>
              <w:t>End</w:t>
            </w:r>
            <w:r>
              <w:rPr>
                <w:b/>
                <w:spacing w:val="-2"/>
                <w:sz w:val="18"/>
              </w:rPr>
              <w:t xml:space="preserve"> </w:t>
            </w:r>
            <w:r>
              <w:rPr>
                <w:b/>
                <w:sz w:val="18"/>
              </w:rPr>
              <w:t xml:space="preserve">of </w:t>
            </w:r>
            <w:r>
              <w:rPr>
                <w:b/>
                <w:spacing w:val="-4"/>
                <w:sz w:val="18"/>
              </w:rPr>
              <w:t>Term</w:t>
            </w:r>
          </w:p>
        </w:tc>
      </w:tr>
      <w:tr w:rsidR="00AC6F3C" w14:paraId="6A0F8DC1" w14:textId="77777777">
        <w:trPr>
          <w:trHeight w:val="448"/>
        </w:trPr>
        <w:tc>
          <w:tcPr>
            <w:tcW w:w="2161" w:type="dxa"/>
            <w:tcBorders>
              <w:bottom w:val="single" w:sz="4" w:space="0" w:color="000000"/>
            </w:tcBorders>
          </w:tcPr>
          <w:p w14:paraId="4E419F67" w14:textId="77777777" w:rsidR="00AC6F3C" w:rsidRDefault="00570E88">
            <w:pPr>
              <w:pStyle w:val="TableParagraph"/>
              <w:spacing w:before="119"/>
              <w:ind w:left="115"/>
              <w:rPr>
                <w:sz w:val="18"/>
              </w:rPr>
            </w:pPr>
            <w:r>
              <w:rPr>
                <w:sz w:val="18"/>
              </w:rPr>
              <w:t>Chairperson</w:t>
            </w:r>
            <w:r>
              <w:rPr>
                <w:spacing w:val="-4"/>
                <w:sz w:val="18"/>
              </w:rPr>
              <w:t xml:space="preserve"> </w:t>
            </w:r>
            <w:r>
              <w:rPr>
                <w:sz w:val="18"/>
              </w:rPr>
              <w:t>&amp;</w:t>
            </w:r>
            <w:r>
              <w:rPr>
                <w:spacing w:val="-1"/>
                <w:sz w:val="18"/>
              </w:rPr>
              <w:t xml:space="preserve"> </w:t>
            </w:r>
            <w:r>
              <w:rPr>
                <w:spacing w:val="-2"/>
                <w:sz w:val="18"/>
              </w:rPr>
              <w:t>Director</w:t>
            </w:r>
          </w:p>
        </w:tc>
        <w:tc>
          <w:tcPr>
            <w:tcW w:w="2356" w:type="dxa"/>
            <w:tcBorders>
              <w:bottom w:val="single" w:sz="4" w:space="0" w:color="000000"/>
            </w:tcBorders>
          </w:tcPr>
          <w:p w14:paraId="468D0E0E" w14:textId="77777777" w:rsidR="00AC6F3C" w:rsidRDefault="00570E88">
            <w:pPr>
              <w:pStyle w:val="TableParagraph"/>
              <w:spacing w:before="119"/>
              <w:ind w:left="212"/>
              <w:rPr>
                <w:sz w:val="18"/>
              </w:rPr>
            </w:pPr>
            <w:proofErr w:type="spellStart"/>
            <w:r>
              <w:rPr>
                <w:sz w:val="18"/>
              </w:rPr>
              <w:t>Mr</w:t>
            </w:r>
            <w:proofErr w:type="spellEnd"/>
            <w:r>
              <w:rPr>
                <w:spacing w:val="-1"/>
                <w:sz w:val="18"/>
              </w:rPr>
              <w:t xml:space="preserve"> </w:t>
            </w:r>
            <w:r>
              <w:rPr>
                <w:sz w:val="18"/>
              </w:rPr>
              <w:t xml:space="preserve">Stafford </w:t>
            </w:r>
            <w:r>
              <w:rPr>
                <w:spacing w:val="-2"/>
                <w:sz w:val="18"/>
              </w:rPr>
              <w:t>Shepherd</w:t>
            </w:r>
          </w:p>
        </w:tc>
        <w:tc>
          <w:tcPr>
            <w:tcW w:w="2155" w:type="dxa"/>
            <w:tcBorders>
              <w:bottom w:val="single" w:sz="4" w:space="0" w:color="000000"/>
            </w:tcBorders>
          </w:tcPr>
          <w:p w14:paraId="2C610E8C" w14:textId="77777777" w:rsidR="00AC6F3C" w:rsidRDefault="00570E88">
            <w:pPr>
              <w:pStyle w:val="TableParagraph"/>
              <w:spacing w:before="119"/>
              <w:ind w:left="412" w:right="598"/>
              <w:jc w:val="center"/>
              <w:rPr>
                <w:sz w:val="18"/>
              </w:rPr>
            </w:pPr>
            <w:r>
              <w:rPr>
                <w:spacing w:val="-2"/>
                <w:sz w:val="18"/>
              </w:rPr>
              <w:t>10/09/2019</w:t>
            </w:r>
          </w:p>
        </w:tc>
        <w:tc>
          <w:tcPr>
            <w:tcW w:w="2342" w:type="dxa"/>
            <w:tcBorders>
              <w:bottom w:val="single" w:sz="4" w:space="0" w:color="000000"/>
            </w:tcBorders>
          </w:tcPr>
          <w:p w14:paraId="2277D412" w14:textId="77777777" w:rsidR="00AC6F3C" w:rsidRDefault="00570E88">
            <w:pPr>
              <w:pStyle w:val="TableParagraph"/>
              <w:spacing w:before="119"/>
              <w:ind w:left="602" w:right="665"/>
              <w:jc w:val="center"/>
              <w:rPr>
                <w:sz w:val="18"/>
              </w:rPr>
            </w:pPr>
            <w:r>
              <w:rPr>
                <w:spacing w:val="-2"/>
                <w:sz w:val="18"/>
              </w:rPr>
              <w:t>Current</w:t>
            </w:r>
          </w:p>
        </w:tc>
      </w:tr>
      <w:tr w:rsidR="00AC6F3C" w14:paraId="354B88DD" w14:textId="77777777">
        <w:trPr>
          <w:trHeight w:val="445"/>
        </w:trPr>
        <w:tc>
          <w:tcPr>
            <w:tcW w:w="2161" w:type="dxa"/>
            <w:tcBorders>
              <w:top w:val="single" w:sz="4" w:space="0" w:color="000000"/>
              <w:bottom w:val="single" w:sz="4" w:space="0" w:color="000000"/>
            </w:tcBorders>
          </w:tcPr>
          <w:p w14:paraId="71BE0F6F" w14:textId="77777777" w:rsidR="00AC6F3C" w:rsidRDefault="00570E88">
            <w:pPr>
              <w:pStyle w:val="TableParagraph"/>
              <w:spacing w:before="119"/>
              <w:ind w:left="115"/>
              <w:rPr>
                <w:sz w:val="18"/>
              </w:rPr>
            </w:pPr>
            <w:r>
              <w:rPr>
                <w:spacing w:val="-2"/>
                <w:sz w:val="18"/>
              </w:rPr>
              <w:t>Director</w:t>
            </w:r>
          </w:p>
        </w:tc>
        <w:tc>
          <w:tcPr>
            <w:tcW w:w="2356" w:type="dxa"/>
            <w:tcBorders>
              <w:top w:val="single" w:sz="4" w:space="0" w:color="000000"/>
              <w:bottom w:val="single" w:sz="4" w:space="0" w:color="000000"/>
            </w:tcBorders>
          </w:tcPr>
          <w:p w14:paraId="23630BDD" w14:textId="77777777" w:rsidR="00AC6F3C" w:rsidRDefault="00570E88">
            <w:pPr>
              <w:pStyle w:val="TableParagraph"/>
              <w:spacing w:before="119"/>
              <w:ind w:left="212"/>
              <w:rPr>
                <w:sz w:val="18"/>
              </w:rPr>
            </w:pPr>
            <w:proofErr w:type="spellStart"/>
            <w:r>
              <w:rPr>
                <w:sz w:val="18"/>
              </w:rPr>
              <w:t>Mr</w:t>
            </w:r>
            <w:proofErr w:type="spellEnd"/>
            <w:r>
              <w:rPr>
                <w:spacing w:val="-3"/>
                <w:sz w:val="18"/>
              </w:rPr>
              <w:t xml:space="preserve"> </w:t>
            </w:r>
            <w:r>
              <w:rPr>
                <w:sz w:val="18"/>
              </w:rPr>
              <w:t xml:space="preserve">Matthew </w:t>
            </w:r>
            <w:r>
              <w:rPr>
                <w:spacing w:val="-4"/>
                <w:sz w:val="18"/>
              </w:rPr>
              <w:t>Dunn</w:t>
            </w:r>
          </w:p>
        </w:tc>
        <w:tc>
          <w:tcPr>
            <w:tcW w:w="2155" w:type="dxa"/>
            <w:tcBorders>
              <w:top w:val="single" w:sz="4" w:space="0" w:color="000000"/>
              <w:bottom w:val="single" w:sz="4" w:space="0" w:color="000000"/>
            </w:tcBorders>
          </w:tcPr>
          <w:p w14:paraId="29CADE8D" w14:textId="77777777" w:rsidR="00AC6F3C" w:rsidRDefault="00570E88">
            <w:pPr>
              <w:pStyle w:val="TableParagraph"/>
              <w:spacing w:before="119"/>
              <w:ind w:left="412" w:right="598"/>
              <w:jc w:val="center"/>
              <w:rPr>
                <w:sz w:val="18"/>
              </w:rPr>
            </w:pPr>
            <w:r>
              <w:rPr>
                <w:spacing w:val="-2"/>
                <w:sz w:val="18"/>
              </w:rPr>
              <w:t>10/09/2019</w:t>
            </w:r>
          </w:p>
        </w:tc>
        <w:tc>
          <w:tcPr>
            <w:tcW w:w="2342" w:type="dxa"/>
            <w:tcBorders>
              <w:top w:val="single" w:sz="4" w:space="0" w:color="000000"/>
              <w:bottom w:val="single" w:sz="4" w:space="0" w:color="000000"/>
            </w:tcBorders>
          </w:tcPr>
          <w:p w14:paraId="66C882B7" w14:textId="77777777" w:rsidR="00AC6F3C" w:rsidRDefault="00570E88">
            <w:pPr>
              <w:pStyle w:val="TableParagraph"/>
              <w:spacing w:before="119"/>
              <w:ind w:left="602" w:right="665"/>
              <w:jc w:val="center"/>
              <w:rPr>
                <w:sz w:val="18"/>
              </w:rPr>
            </w:pPr>
            <w:r>
              <w:rPr>
                <w:spacing w:val="-2"/>
                <w:sz w:val="18"/>
              </w:rPr>
              <w:t>Current</w:t>
            </w:r>
          </w:p>
        </w:tc>
      </w:tr>
      <w:tr w:rsidR="00AC6F3C" w14:paraId="6DC3C453" w14:textId="77777777">
        <w:trPr>
          <w:trHeight w:val="445"/>
        </w:trPr>
        <w:tc>
          <w:tcPr>
            <w:tcW w:w="2161" w:type="dxa"/>
            <w:tcBorders>
              <w:top w:val="single" w:sz="4" w:space="0" w:color="000000"/>
              <w:bottom w:val="single" w:sz="4" w:space="0" w:color="000000"/>
            </w:tcBorders>
          </w:tcPr>
          <w:p w14:paraId="2DCE4CB8" w14:textId="77777777" w:rsidR="00AC6F3C" w:rsidRDefault="00570E88">
            <w:pPr>
              <w:pStyle w:val="TableParagraph"/>
              <w:spacing w:before="119"/>
              <w:ind w:left="115"/>
              <w:rPr>
                <w:sz w:val="18"/>
              </w:rPr>
            </w:pPr>
            <w:r>
              <w:rPr>
                <w:spacing w:val="-2"/>
                <w:sz w:val="18"/>
              </w:rPr>
              <w:t>Director</w:t>
            </w:r>
          </w:p>
        </w:tc>
        <w:tc>
          <w:tcPr>
            <w:tcW w:w="2356" w:type="dxa"/>
            <w:tcBorders>
              <w:top w:val="single" w:sz="4" w:space="0" w:color="000000"/>
              <w:bottom w:val="single" w:sz="4" w:space="0" w:color="000000"/>
            </w:tcBorders>
          </w:tcPr>
          <w:p w14:paraId="5E61FECA" w14:textId="77777777" w:rsidR="00AC6F3C" w:rsidRDefault="00570E88">
            <w:pPr>
              <w:pStyle w:val="TableParagraph"/>
              <w:spacing w:before="119"/>
              <w:ind w:left="212"/>
              <w:rPr>
                <w:sz w:val="18"/>
              </w:rPr>
            </w:pPr>
            <w:proofErr w:type="spellStart"/>
            <w:r>
              <w:rPr>
                <w:sz w:val="18"/>
              </w:rPr>
              <w:t>Ms</w:t>
            </w:r>
            <w:proofErr w:type="spellEnd"/>
            <w:r>
              <w:rPr>
                <w:spacing w:val="1"/>
                <w:sz w:val="18"/>
              </w:rPr>
              <w:t xml:space="preserve"> </w:t>
            </w:r>
            <w:r>
              <w:rPr>
                <w:sz w:val="18"/>
              </w:rPr>
              <w:t>Grace</w:t>
            </w:r>
            <w:r>
              <w:rPr>
                <w:spacing w:val="-2"/>
                <w:sz w:val="18"/>
              </w:rPr>
              <w:t xml:space="preserve"> </w:t>
            </w:r>
            <w:r>
              <w:rPr>
                <w:sz w:val="18"/>
              </w:rPr>
              <w:t>van</w:t>
            </w:r>
            <w:r>
              <w:rPr>
                <w:spacing w:val="1"/>
                <w:sz w:val="18"/>
              </w:rPr>
              <w:t xml:space="preserve"> </w:t>
            </w:r>
            <w:r>
              <w:rPr>
                <w:spacing w:val="-2"/>
                <w:sz w:val="18"/>
              </w:rPr>
              <w:t>Baarle</w:t>
            </w:r>
          </w:p>
        </w:tc>
        <w:tc>
          <w:tcPr>
            <w:tcW w:w="2155" w:type="dxa"/>
            <w:tcBorders>
              <w:top w:val="single" w:sz="4" w:space="0" w:color="000000"/>
              <w:bottom w:val="single" w:sz="4" w:space="0" w:color="000000"/>
            </w:tcBorders>
          </w:tcPr>
          <w:p w14:paraId="70788450" w14:textId="77777777" w:rsidR="00AC6F3C" w:rsidRDefault="00570E88">
            <w:pPr>
              <w:pStyle w:val="TableParagraph"/>
              <w:spacing w:before="119"/>
              <w:ind w:left="412" w:right="598"/>
              <w:jc w:val="center"/>
              <w:rPr>
                <w:sz w:val="18"/>
              </w:rPr>
            </w:pPr>
            <w:r>
              <w:rPr>
                <w:spacing w:val="-2"/>
                <w:sz w:val="18"/>
              </w:rPr>
              <w:t>17/06/2021</w:t>
            </w:r>
          </w:p>
        </w:tc>
        <w:tc>
          <w:tcPr>
            <w:tcW w:w="2342" w:type="dxa"/>
            <w:tcBorders>
              <w:top w:val="single" w:sz="4" w:space="0" w:color="000000"/>
              <w:bottom w:val="single" w:sz="4" w:space="0" w:color="000000"/>
            </w:tcBorders>
          </w:tcPr>
          <w:p w14:paraId="5A78F7B5" w14:textId="77777777" w:rsidR="00AC6F3C" w:rsidRDefault="00570E88">
            <w:pPr>
              <w:pStyle w:val="TableParagraph"/>
              <w:spacing w:before="119"/>
              <w:ind w:left="602" w:right="664"/>
              <w:jc w:val="center"/>
              <w:rPr>
                <w:sz w:val="18"/>
              </w:rPr>
            </w:pPr>
            <w:r>
              <w:rPr>
                <w:spacing w:val="-2"/>
                <w:sz w:val="18"/>
              </w:rPr>
              <w:t>Current</w:t>
            </w:r>
          </w:p>
        </w:tc>
      </w:tr>
      <w:tr w:rsidR="00AC6F3C" w14:paraId="6F5CA813" w14:textId="77777777">
        <w:trPr>
          <w:trHeight w:val="448"/>
        </w:trPr>
        <w:tc>
          <w:tcPr>
            <w:tcW w:w="2161" w:type="dxa"/>
            <w:tcBorders>
              <w:top w:val="single" w:sz="4" w:space="0" w:color="000000"/>
              <w:bottom w:val="single" w:sz="4" w:space="0" w:color="000000"/>
            </w:tcBorders>
          </w:tcPr>
          <w:p w14:paraId="0A4FA1BC" w14:textId="77777777" w:rsidR="00AC6F3C" w:rsidRDefault="00570E88">
            <w:pPr>
              <w:pStyle w:val="TableParagraph"/>
              <w:spacing w:before="121"/>
              <w:ind w:left="115"/>
              <w:rPr>
                <w:sz w:val="18"/>
              </w:rPr>
            </w:pPr>
            <w:r>
              <w:rPr>
                <w:spacing w:val="-2"/>
                <w:sz w:val="18"/>
              </w:rPr>
              <w:t>Director</w:t>
            </w:r>
          </w:p>
        </w:tc>
        <w:tc>
          <w:tcPr>
            <w:tcW w:w="2356" w:type="dxa"/>
            <w:tcBorders>
              <w:top w:val="single" w:sz="4" w:space="0" w:color="000000"/>
              <w:bottom w:val="single" w:sz="4" w:space="0" w:color="000000"/>
            </w:tcBorders>
          </w:tcPr>
          <w:p w14:paraId="2BFC6D42" w14:textId="77777777" w:rsidR="00AC6F3C" w:rsidRDefault="00570E88">
            <w:pPr>
              <w:pStyle w:val="TableParagraph"/>
              <w:spacing w:before="121"/>
              <w:ind w:left="212"/>
              <w:rPr>
                <w:sz w:val="18"/>
              </w:rPr>
            </w:pPr>
            <w:proofErr w:type="spellStart"/>
            <w:r>
              <w:rPr>
                <w:sz w:val="18"/>
              </w:rPr>
              <w:t>Mr</w:t>
            </w:r>
            <w:proofErr w:type="spellEnd"/>
            <w:r>
              <w:rPr>
                <w:spacing w:val="-2"/>
                <w:sz w:val="18"/>
              </w:rPr>
              <w:t xml:space="preserve"> </w:t>
            </w:r>
            <w:r>
              <w:rPr>
                <w:sz w:val="18"/>
              </w:rPr>
              <w:t>Peter</w:t>
            </w:r>
            <w:r>
              <w:rPr>
                <w:spacing w:val="-2"/>
                <w:sz w:val="18"/>
              </w:rPr>
              <w:t xml:space="preserve"> Gamin</w:t>
            </w:r>
          </w:p>
        </w:tc>
        <w:tc>
          <w:tcPr>
            <w:tcW w:w="2155" w:type="dxa"/>
            <w:tcBorders>
              <w:top w:val="single" w:sz="4" w:space="0" w:color="000000"/>
              <w:bottom w:val="single" w:sz="4" w:space="0" w:color="000000"/>
            </w:tcBorders>
          </w:tcPr>
          <w:p w14:paraId="0DF84D27" w14:textId="77777777" w:rsidR="00AC6F3C" w:rsidRDefault="00570E88">
            <w:pPr>
              <w:pStyle w:val="TableParagraph"/>
              <w:spacing w:before="121"/>
              <w:ind w:left="412" w:right="598"/>
              <w:jc w:val="center"/>
              <w:rPr>
                <w:sz w:val="18"/>
              </w:rPr>
            </w:pPr>
            <w:r>
              <w:rPr>
                <w:spacing w:val="-2"/>
                <w:sz w:val="18"/>
              </w:rPr>
              <w:t>26/08/2021</w:t>
            </w:r>
          </w:p>
        </w:tc>
        <w:tc>
          <w:tcPr>
            <w:tcW w:w="2342" w:type="dxa"/>
            <w:tcBorders>
              <w:top w:val="single" w:sz="4" w:space="0" w:color="000000"/>
              <w:bottom w:val="single" w:sz="4" w:space="0" w:color="000000"/>
            </w:tcBorders>
          </w:tcPr>
          <w:p w14:paraId="09B49249" w14:textId="77777777" w:rsidR="00AC6F3C" w:rsidRDefault="00570E88">
            <w:pPr>
              <w:pStyle w:val="TableParagraph"/>
              <w:spacing w:before="121"/>
              <w:ind w:left="602" w:right="665"/>
              <w:jc w:val="center"/>
              <w:rPr>
                <w:sz w:val="18"/>
              </w:rPr>
            </w:pPr>
            <w:r>
              <w:rPr>
                <w:spacing w:val="-2"/>
                <w:sz w:val="18"/>
              </w:rPr>
              <w:t>Current</w:t>
            </w:r>
          </w:p>
        </w:tc>
      </w:tr>
    </w:tbl>
    <w:p w14:paraId="50A8CB86" w14:textId="77777777" w:rsidR="00AC6F3C" w:rsidRDefault="00AC6F3C">
      <w:pPr>
        <w:pStyle w:val="BodyText"/>
        <w:spacing w:before="1"/>
        <w:rPr>
          <w:sz w:val="21"/>
        </w:rPr>
      </w:pPr>
    </w:p>
    <w:p w14:paraId="7694BFCC" w14:textId="77777777" w:rsidR="00AC6F3C" w:rsidRDefault="00570E88">
      <w:pPr>
        <w:ind w:left="979"/>
        <w:rPr>
          <w:b/>
          <w:sz w:val="20"/>
        </w:rPr>
      </w:pPr>
      <w:r>
        <w:rPr>
          <w:b/>
          <w:sz w:val="20"/>
        </w:rPr>
        <w:t>KMP</w:t>
      </w:r>
      <w:r>
        <w:rPr>
          <w:b/>
          <w:spacing w:val="-10"/>
          <w:sz w:val="20"/>
        </w:rPr>
        <w:t xml:space="preserve"> </w:t>
      </w:r>
      <w:r>
        <w:rPr>
          <w:b/>
          <w:sz w:val="20"/>
        </w:rPr>
        <w:t>Remuneration</w:t>
      </w:r>
      <w:r>
        <w:rPr>
          <w:b/>
          <w:spacing w:val="-10"/>
          <w:sz w:val="20"/>
        </w:rPr>
        <w:t xml:space="preserve"> </w:t>
      </w:r>
      <w:r>
        <w:rPr>
          <w:b/>
          <w:spacing w:val="-2"/>
          <w:sz w:val="20"/>
        </w:rPr>
        <w:t>Policy</w:t>
      </w:r>
    </w:p>
    <w:p w14:paraId="438EF96F" w14:textId="77777777" w:rsidR="00AC6F3C" w:rsidRDefault="00AC6F3C">
      <w:pPr>
        <w:pStyle w:val="BodyText"/>
        <w:spacing w:before="10"/>
        <w:rPr>
          <w:b/>
        </w:rPr>
      </w:pPr>
    </w:p>
    <w:p w14:paraId="5F03E8C5" w14:textId="77777777" w:rsidR="00AC6F3C" w:rsidRDefault="00570E88">
      <w:pPr>
        <w:ind w:left="979" w:right="234"/>
        <w:rPr>
          <w:sz w:val="18"/>
        </w:rPr>
      </w:pPr>
      <w:r>
        <w:rPr>
          <w:sz w:val="18"/>
        </w:rPr>
        <w:t>The board</w:t>
      </w:r>
      <w:r>
        <w:rPr>
          <w:spacing w:val="-3"/>
          <w:sz w:val="18"/>
        </w:rPr>
        <w:t xml:space="preserve"> </w:t>
      </w:r>
      <w:r>
        <w:rPr>
          <w:sz w:val="18"/>
        </w:rPr>
        <w:t>of</w:t>
      </w:r>
      <w:r>
        <w:rPr>
          <w:spacing w:val="-1"/>
          <w:sz w:val="18"/>
        </w:rPr>
        <w:t xml:space="preserve"> </w:t>
      </w:r>
      <w:r>
        <w:rPr>
          <w:sz w:val="18"/>
        </w:rPr>
        <w:t>directors</w:t>
      </w:r>
      <w:r>
        <w:rPr>
          <w:spacing w:val="-2"/>
          <w:sz w:val="18"/>
        </w:rPr>
        <w:t xml:space="preserve"> </w:t>
      </w:r>
      <w:r>
        <w:rPr>
          <w:sz w:val="18"/>
        </w:rPr>
        <w:t>of</w:t>
      </w:r>
      <w:r>
        <w:rPr>
          <w:spacing w:val="-1"/>
          <w:sz w:val="18"/>
        </w:rPr>
        <w:t xml:space="preserve"> </w:t>
      </w:r>
      <w:r>
        <w:rPr>
          <w:sz w:val="18"/>
        </w:rPr>
        <w:t>QSS</w:t>
      </w:r>
      <w:r>
        <w:rPr>
          <w:spacing w:val="-4"/>
          <w:sz w:val="18"/>
        </w:rPr>
        <w:t xml:space="preserve"> </w:t>
      </w:r>
      <w:r>
        <w:rPr>
          <w:sz w:val="18"/>
        </w:rPr>
        <w:t>is constituted</w:t>
      </w:r>
      <w:r>
        <w:rPr>
          <w:spacing w:val="-3"/>
          <w:sz w:val="18"/>
        </w:rPr>
        <w:t xml:space="preserve"> </w:t>
      </w:r>
      <w:r>
        <w:rPr>
          <w:sz w:val="18"/>
        </w:rPr>
        <w:t>by four</w:t>
      </w:r>
      <w:r>
        <w:rPr>
          <w:spacing w:val="-1"/>
          <w:sz w:val="18"/>
        </w:rPr>
        <w:t xml:space="preserve"> </w:t>
      </w:r>
      <w:r>
        <w:rPr>
          <w:sz w:val="18"/>
        </w:rPr>
        <w:t>(voluntary)</w:t>
      </w:r>
      <w:r>
        <w:rPr>
          <w:spacing w:val="-1"/>
          <w:sz w:val="18"/>
        </w:rPr>
        <w:t xml:space="preserve"> </w:t>
      </w:r>
      <w:r>
        <w:rPr>
          <w:sz w:val="18"/>
        </w:rPr>
        <w:t>directors</w:t>
      </w:r>
      <w:r>
        <w:rPr>
          <w:spacing w:val="-2"/>
          <w:sz w:val="18"/>
        </w:rPr>
        <w:t xml:space="preserve"> </w:t>
      </w:r>
      <w:r>
        <w:rPr>
          <w:sz w:val="18"/>
        </w:rPr>
        <w:t>under</w:t>
      </w:r>
      <w:r>
        <w:rPr>
          <w:spacing w:val="-4"/>
          <w:sz w:val="18"/>
        </w:rPr>
        <w:t xml:space="preserve"> </w:t>
      </w:r>
      <w:r>
        <w:rPr>
          <w:sz w:val="18"/>
        </w:rPr>
        <w:t>clause 50</w:t>
      </w:r>
      <w:r>
        <w:rPr>
          <w:spacing w:val="-3"/>
          <w:sz w:val="18"/>
        </w:rPr>
        <w:t xml:space="preserve"> </w:t>
      </w:r>
      <w:r>
        <w:rPr>
          <w:sz w:val="18"/>
        </w:rPr>
        <w:t>of</w:t>
      </w:r>
      <w:r>
        <w:rPr>
          <w:spacing w:val="-3"/>
          <w:sz w:val="18"/>
        </w:rPr>
        <w:t xml:space="preserve"> </w:t>
      </w:r>
      <w:r>
        <w:rPr>
          <w:sz w:val="18"/>
        </w:rPr>
        <w:t>its Constitution.</w:t>
      </w:r>
      <w:r>
        <w:rPr>
          <w:spacing w:val="-3"/>
          <w:sz w:val="18"/>
        </w:rPr>
        <w:t xml:space="preserve"> </w:t>
      </w:r>
      <w:r>
        <w:rPr>
          <w:sz w:val="18"/>
        </w:rPr>
        <w:t>On 1 July 2023 an additional two directors were appointed.</w:t>
      </w:r>
    </w:p>
    <w:p w14:paraId="3405B86A" w14:textId="77777777" w:rsidR="00AC6F3C" w:rsidRDefault="00AC6F3C">
      <w:pPr>
        <w:pStyle w:val="BodyText"/>
        <w:spacing w:before="1"/>
        <w:rPr>
          <w:sz w:val="18"/>
        </w:rPr>
      </w:pPr>
    </w:p>
    <w:p w14:paraId="5A809518" w14:textId="77777777" w:rsidR="00AC6F3C" w:rsidRDefault="00570E88">
      <w:pPr>
        <w:ind w:left="980"/>
        <w:rPr>
          <w:sz w:val="18"/>
        </w:rPr>
      </w:pPr>
      <w:r>
        <w:rPr>
          <w:sz w:val="18"/>
        </w:rPr>
        <w:t>The</w:t>
      </w:r>
      <w:r>
        <w:rPr>
          <w:spacing w:val="-2"/>
          <w:sz w:val="18"/>
        </w:rPr>
        <w:t xml:space="preserve"> </w:t>
      </w:r>
      <w:r>
        <w:rPr>
          <w:sz w:val="18"/>
        </w:rPr>
        <w:t>directors</w:t>
      </w:r>
      <w:r>
        <w:rPr>
          <w:spacing w:val="-3"/>
          <w:sz w:val="18"/>
        </w:rPr>
        <w:t xml:space="preserve"> </w:t>
      </w:r>
      <w:r>
        <w:rPr>
          <w:sz w:val="18"/>
        </w:rPr>
        <w:t>are</w:t>
      </w:r>
      <w:r>
        <w:rPr>
          <w:spacing w:val="-3"/>
          <w:sz w:val="18"/>
        </w:rPr>
        <w:t xml:space="preserve"> </w:t>
      </w:r>
      <w:r>
        <w:rPr>
          <w:sz w:val="18"/>
        </w:rPr>
        <w:t>not</w:t>
      </w:r>
      <w:r>
        <w:rPr>
          <w:spacing w:val="-2"/>
          <w:sz w:val="18"/>
        </w:rPr>
        <w:t xml:space="preserve"> </w:t>
      </w:r>
      <w:r>
        <w:rPr>
          <w:sz w:val="18"/>
        </w:rPr>
        <w:t>remunerated</w:t>
      </w:r>
      <w:r>
        <w:rPr>
          <w:spacing w:val="-1"/>
          <w:sz w:val="18"/>
        </w:rPr>
        <w:t xml:space="preserve"> </w:t>
      </w:r>
      <w:r>
        <w:rPr>
          <w:sz w:val="18"/>
        </w:rPr>
        <w:t>for</w:t>
      </w:r>
      <w:r>
        <w:rPr>
          <w:spacing w:val="-3"/>
          <w:sz w:val="18"/>
        </w:rPr>
        <w:t xml:space="preserve"> </w:t>
      </w:r>
      <w:r>
        <w:rPr>
          <w:sz w:val="18"/>
        </w:rPr>
        <w:t>their</w:t>
      </w:r>
      <w:r>
        <w:rPr>
          <w:spacing w:val="-4"/>
          <w:sz w:val="18"/>
        </w:rPr>
        <w:t xml:space="preserve"> </w:t>
      </w:r>
      <w:r>
        <w:rPr>
          <w:sz w:val="18"/>
        </w:rPr>
        <w:t>services</w:t>
      </w:r>
      <w:r>
        <w:rPr>
          <w:spacing w:val="-1"/>
          <w:sz w:val="18"/>
        </w:rPr>
        <w:t xml:space="preserve"> </w:t>
      </w:r>
      <w:r>
        <w:rPr>
          <w:sz w:val="18"/>
        </w:rPr>
        <w:t>to</w:t>
      </w:r>
      <w:r>
        <w:rPr>
          <w:spacing w:val="-1"/>
          <w:sz w:val="18"/>
        </w:rPr>
        <w:t xml:space="preserve"> </w:t>
      </w:r>
      <w:r>
        <w:rPr>
          <w:spacing w:val="-4"/>
          <w:sz w:val="18"/>
        </w:rPr>
        <w:t>QSS.</w:t>
      </w:r>
    </w:p>
    <w:p w14:paraId="11E4AAB7" w14:textId="77777777" w:rsidR="00AC6F3C" w:rsidRDefault="00AC6F3C">
      <w:pPr>
        <w:pStyle w:val="BodyText"/>
        <w:spacing w:before="9"/>
        <w:rPr>
          <w:sz w:val="17"/>
        </w:rPr>
      </w:pPr>
    </w:p>
    <w:p w14:paraId="0C75DEAA" w14:textId="77777777" w:rsidR="00AC6F3C" w:rsidRDefault="00570E88">
      <w:pPr>
        <w:tabs>
          <w:tab w:val="left" w:pos="1831"/>
        </w:tabs>
        <w:spacing w:before="1"/>
        <w:ind w:left="979"/>
        <w:rPr>
          <w:b/>
          <w:sz w:val="28"/>
        </w:rPr>
      </w:pPr>
      <w:r>
        <w:rPr>
          <w:b/>
          <w:spacing w:val="-5"/>
          <w:sz w:val="28"/>
        </w:rPr>
        <w:t>E2</w:t>
      </w:r>
      <w:r>
        <w:rPr>
          <w:b/>
          <w:sz w:val="28"/>
        </w:rPr>
        <w:tab/>
        <w:t>RELATED</w:t>
      </w:r>
      <w:r>
        <w:rPr>
          <w:b/>
          <w:spacing w:val="-5"/>
          <w:sz w:val="28"/>
        </w:rPr>
        <w:t xml:space="preserve"> </w:t>
      </w:r>
      <w:r>
        <w:rPr>
          <w:b/>
          <w:sz w:val="28"/>
        </w:rPr>
        <w:t>PARTY</w:t>
      </w:r>
      <w:r>
        <w:rPr>
          <w:b/>
          <w:spacing w:val="-8"/>
          <w:sz w:val="28"/>
        </w:rPr>
        <w:t xml:space="preserve"> </w:t>
      </w:r>
      <w:r>
        <w:rPr>
          <w:b/>
          <w:spacing w:val="-2"/>
          <w:sz w:val="28"/>
        </w:rPr>
        <w:t>TRANSACTIONS</w:t>
      </w:r>
    </w:p>
    <w:p w14:paraId="20EBCB5E" w14:textId="77777777" w:rsidR="00AC6F3C" w:rsidRDefault="00570E88">
      <w:pPr>
        <w:spacing w:before="239"/>
        <w:ind w:left="979"/>
        <w:rPr>
          <w:sz w:val="18"/>
        </w:rPr>
      </w:pPr>
      <w:r>
        <w:rPr>
          <w:sz w:val="18"/>
        </w:rPr>
        <w:t>The</w:t>
      </w:r>
      <w:r>
        <w:rPr>
          <w:spacing w:val="-2"/>
          <w:sz w:val="18"/>
        </w:rPr>
        <w:t xml:space="preserve"> </w:t>
      </w:r>
      <w:r>
        <w:rPr>
          <w:sz w:val="18"/>
        </w:rPr>
        <w:t>following</w:t>
      </w:r>
      <w:r>
        <w:rPr>
          <w:spacing w:val="-5"/>
          <w:sz w:val="18"/>
        </w:rPr>
        <w:t xml:space="preserve"> </w:t>
      </w:r>
      <w:r>
        <w:rPr>
          <w:sz w:val="18"/>
        </w:rPr>
        <w:t>significant</w:t>
      </w:r>
      <w:r>
        <w:rPr>
          <w:spacing w:val="-3"/>
          <w:sz w:val="18"/>
        </w:rPr>
        <w:t xml:space="preserve"> </w:t>
      </w:r>
      <w:r>
        <w:rPr>
          <w:sz w:val="18"/>
        </w:rPr>
        <w:t>transactions</w:t>
      </w:r>
      <w:r>
        <w:rPr>
          <w:spacing w:val="-4"/>
          <w:sz w:val="18"/>
        </w:rPr>
        <w:t xml:space="preserve"> </w:t>
      </w:r>
      <w:r>
        <w:rPr>
          <w:sz w:val="18"/>
        </w:rPr>
        <w:t>took</w:t>
      </w:r>
      <w:r>
        <w:rPr>
          <w:spacing w:val="-2"/>
          <w:sz w:val="18"/>
        </w:rPr>
        <w:t xml:space="preserve"> </w:t>
      </w:r>
      <w:r>
        <w:rPr>
          <w:sz w:val="18"/>
        </w:rPr>
        <w:t>place</w:t>
      </w:r>
      <w:r>
        <w:rPr>
          <w:spacing w:val="-2"/>
          <w:sz w:val="18"/>
        </w:rPr>
        <w:t xml:space="preserve"> </w:t>
      </w:r>
      <w:r>
        <w:rPr>
          <w:sz w:val="18"/>
        </w:rPr>
        <w:t>between</w:t>
      </w:r>
      <w:r>
        <w:rPr>
          <w:spacing w:val="-2"/>
          <w:sz w:val="18"/>
        </w:rPr>
        <w:t xml:space="preserve"> </w:t>
      </w:r>
      <w:r>
        <w:rPr>
          <w:sz w:val="18"/>
        </w:rPr>
        <w:t>QSS</w:t>
      </w:r>
      <w:r>
        <w:rPr>
          <w:spacing w:val="-4"/>
          <w:sz w:val="18"/>
        </w:rPr>
        <w:t xml:space="preserve"> </w:t>
      </w:r>
      <w:r>
        <w:rPr>
          <w:sz w:val="18"/>
        </w:rPr>
        <w:t>and</w:t>
      </w:r>
      <w:r>
        <w:rPr>
          <w:spacing w:val="-2"/>
          <w:sz w:val="18"/>
        </w:rPr>
        <w:t xml:space="preserve"> </w:t>
      </w:r>
      <w:r>
        <w:rPr>
          <w:sz w:val="18"/>
        </w:rPr>
        <w:t>related</w:t>
      </w:r>
      <w:r>
        <w:rPr>
          <w:spacing w:val="-2"/>
          <w:sz w:val="18"/>
        </w:rPr>
        <w:t xml:space="preserve"> </w:t>
      </w:r>
      <w:r>
        <w:rPr>
          <w:sz w:val="18"/>
        </w:rPr>
        <w:t>parties</w:t>
      </w:r>
      <w:r>
        <w:rPr>
          <w:spacing w:val="-2"/>
          <w:sz w:val="18"/>
        </w:rPr>
        <w:t xml:space="preserve"> </w:t>
      </w:r>
      <w:r>
        <w:rPr>
          <w:sz w:val="18"/>
        </w:rPr>
        <w:t>during</w:t>
      </w:r>
      <w:r>
        <w:rPr>
          <w:spacing w:val="-5"/>
          <w:sz w:val="18"/>
        </w:rPr>
        <w:t xml:space="preserve"> </w:t>
      </w:r>
      <w:r>
        <w:rPr>
          <w:sz w:val="18"/>
        </w:rPr>
        <w:t>the</w:t>
      </w:r>
      <w:r>
        <w:rPr>
          <w:spacing w:val="-2"/>
          <w:sz w:val="18"/>
        </w:rPr>
        <w:t xml:space="preserve"> </w:t>
      </w:r>
      <w:r>
        <w:rPr>
          <w:sz w:val="18"/>
        </w:rPr>
        <w:t>financial</w:t>
      </w:r>
      <w:r>
        <w:rPr>
          <w:spacing w:val="-2"/>
          <w:sz w:val="18"/>
        </w:rPr>
        <w:t xml:space="preserve"> </w:t>
      </w:r>
      <w:r>
        <w:rPr>
          <w:sz w:val="18"/>
        </w:rPr>
        <w:t>period</w:t>
      </w:r>
      <w:r>
        <w:rPr>
          <w:spacing w:val="-5"/>
          <w:sz w:val="18"/>
        </w:rPr>
        <w:t xml:space="preserve"> </w:t>
      </w:r>
      <w:r>
        <w:rPr>
          <w:sz w:val="18"/>
        </w:rPr>
        <w:t>on commercial terms agreed between the parties concerned.</w:t>
      </w:r>
    </w:p>
    <w:p w14:paraId="10E5A40D" w14:textId="77777777" w:rsidR="00AC6F3C" w:rsidRDefault="00AC6F3C">
      <w:pPr>
        <w:pStyle w:val="BodyText"/>
        <w:spacing w:before="1"/>
      </w:pPr>
    </w:p>
    <w:tbl>
      <w:tblPr>
        <w:tblW w:w="0" w:type="auto"/>
        <w:tblInd w:w="994" w:type="dxa"/>
        <w:tblLayout w:type="fixed"/>
        <w:tblCellMar>
          <w:left w:w="0" w:type="dxa"/>
          <w:right w:w="0" w:type="dxa"/>
        </w:tblCellMar>
        <w:tblLook w:val="01E0" w:firstRow="1" w:lastRow="1" w:firstColumn="1" w:lastColumn="1" w:noHBand="0" w:noVBand="0"/>
      </w:tblPr>
      <w:tblGrid>
        <w:gridCol w:w="5410"/>
        <w:gridCol w:w="1661"/>
        <w:gridCol w:w="1639"/>
      </w:tblGrid>
      <w:tr w:rsidR="00AC6F3C" w14:paraId="506090F0" w14:textId="77777777">
        <w:trPr>
          <w:trHeight w:val="577"/>
        </w:trPr>
        <w:tc>
          <w:tcPr>
            <w:tcW w:w="8710" w:type="dxa"/>
            <w:gridSpan w:val="3"/>
            <w:tcBorders>
              <w:top w:val="single" w:sz="6" w:space="0" w:color="000000"/>
              <w:left w:val="single" w:sz="6" w:space="0" w:color="000000"/>
              <w:bottom w:val="single" w:sz="6" w:space="0" w:color="000000"/>
              <w:right w:val="single" w:sz="6" w:space="0" w:color="000000"/>
            </w:tcBorders>
            <w:shd w:val="clear" w:color="auto" w:fill="BEBEBE"/>
          </w:tcPr>
          <w:p w14:paraId="54D34476" w14:textId="77777777" w:rsidR="00AC6F3C" w:rsidRDefault="00570E88">
            <w:pPr>
              <w:pStyle w:val="TableParagraph"/>
              <w:tabs>
                <w:tab w:val="left" w:pos="1646"/>
              </w:tabs>
              <w:spacing w:before="48"/>
              <w:ind w:right="21"/>
              <w:jc w:val="right"/>
              <w:rPr>
                <w:b/>
                <w:sz w:val="17"/>
              </w:rPr>
            </w:pPr>
            <w:r>
              <w:rPr>
                <w:b/>
                <w:spacing w:val="-4"/>
                <w:w w:val="105"/>
                <w:sz w:val="17"/>
              </w:rPr>
              <w:t>2023</w:t>
            </w:r>
            <w:r>
              <w:rPr>
                <w:b/>
                <w:sz w:val="17"/>
              </w:rPr>
              <w:tab/>
            </w:r>
            <w:r>
              <w:rPr>
                <w:b/>
                <w:spacing w:val="-4"/>
                <w:w w:val="105"/>
                <w:sz w:val="17"/>
              </w:rPr>
              <w:t>2022</w:t>
            </w:r>
          </w:p>
          <w:p w14:paraId="47F6567B" w14:textId="77777777" w:rsidR="00AC6F3C" w:rsidRDefault="00570E88">
            <w:pPr>
              <w:pStyle w:val="TableParagraph"/>
              <w:tabs>
                <w:tab w:val="left" w:pos="1646"/>
              </w:tabs>
              <w:spacing w:before="100"/>
              <w:ind w:right="25"/>
              <w:jc w:val="right"/>
              <w:rPr>
                <w:b/>
                <w:sz w:val="17"/>
              </w:rPr>
            </w:pPr>
            <w:r>
              <w:rPr>
                <w:b/>
                <w:spacing w:val="-10"/>
                <w:w w:val="105"/>
                <w:sz w:val="17"/>
              </w:rPr>
              <w:t>$</w:t>
            </w:r>
            <w:r>
              <w:rPr>
                <w:b/>
                <w:sz w:val="17"/>
              </w:rPr>
              <w:tab/>
            </w:r>
            <w:r>
              <w:rPr>
                <w:b/>
                <w:spacing w:val="-12"/>
                <w:w w:val="105"/>
                <w:sz w:val="17"/>
              </w:rPr>
              <w:t>$</w:t>
            </w:r>
          </w:p>
        </w:tc>
      </w:tr>
      <w:tr w:rsidR="00AC6F3C" w14:paraId="5256FC63" w14:textId="77777777">
        <w:trPr>
          <w:trHeight w:val="293"/>
        </w:trPr>
        <w:tc>
          <w:tcPr>
            <w:tcW w:w="5410" w:type="dxa"/>
            <w:tcBorders>
              <w:top w:val="single" w:sz="6" w:space="0" w:color="000000"/>
              <w:left w:val="single" w:sz="6" w:space="0" w:color="000000"/>
            </w:tcBorders>
          </w:tcPr>
          <w:p w14:paraId="23A52261" w14:textId="77777777" w:rsidR="00AC6F3C" w:rsidRDefault="00570E88">
            <w:pPr>
              <w:pStyle w:val="TableParagraph"/>
              <w:spacing w:before="48"/>
              <w:ind w:left="37"/>
              <w:rPr>
                <w:sz w:val="17"/>
              </w:rPr>
            </w:pPr>
            <w:r>
              <w:rPr>
                <w:w w:val="105"/>
                <w:sz w:val="17"/>
              </w:rPr>
              <w:t>Grant</w:t>
            </w:r>
            <w:r>
              <w:rPr>
                <w:spacing w:val="-4"/>
                <w:w w:val="105"/>
                <w:sz w:val="17"/>
              </w:rPr>
              <w:t xml:space="preserve"> </w:t>
            </w:r>
            <w:r>
              <w:rPr>
                <w:w w:val="105"/>
                <w:sz w:val="17"/>
              </w:rPr>
              <w:t>funding</w:t>
            </w:r>
            <w:r>
              <w:rPr>
                <w:spacing w:val="8"/>
                <w:w w:val="105"/>
                <w:sz w:val="17"/>
              </w:rPr>
              <w:t xml:space="preserve"> </w:t>
            </w:r>
            <w:r>
              <w:rPr>
                <w:w w:val="105"/>
                <w:sz w:val="17"/>
              </w:rPr>
              <w:t>paid</w:t>
            </w:r>
            <w:r>
              <w:rPr>
                <w:spacing w:val="9"/>
                <w:w w:val="105"/>
                <w:sz w:val="17"/>
              </w:rPr>
              <w:t xml:space="preserve"> </w:t>
            </w:r>
            <w:r>
              <w:rPr>
                <w:w w:val="105"/>
                <w:sz w:val="17"/>
              </w:rPr>
              <w:t>by</w:t>
            </w:r>
            <w:r>
              <w:rPr>
                <w:spacing w:val="-16"/>
                <w:w w:val="105"/>
                <w:sz w:val="17"/>
              </w:rPr>
              <w:t xml:space="preserve"> </w:t>
            </w:r>
            <w:r>
              <w:rPr>
                <w:w w:val="105"/>
                <w:sz w:val="17"/>
              </w:rPr>
              <w:t>parent</w:t>
            </w:r>
            <w:r>
              <w:rPr>
                <w:spacing w:val="-3"/>
                <w:w w:val="105"/>
                <w:sz w:val="17"/>
              </w:rPr>
              <w:t xml:space="preserve"> </w:t>
            </w:r>
            <w:r>
              <w:rPr>
                <w:w w:val="105"/>
                <w:sz w:val="17"/>
              </w:rPr>
              <w:t>entity</w:t>
            </w:r>
            <w:r>
              <w:rPr>
                <w:spacing w:val="-15"/>
                <w:w w:val="105"/>
                <w:sz w:val="17"/>
              </w:rPr>
              <w:t xml:space="preserve"> </w:t>
            </w:r>
            <w:r>
              <w:rPr>
                <w:w w:val="105"/>
                <w:sz w:val="17"/>
              </w:rPr>
              <w:t>to</w:t>
            </w:r>
            <w:r>
              <w:rPr>
                <w:spacing w:val="8"/>
                <w:w w:val="105"/>
                <w:sz w:val="17"/>
              </w:rPr>
              <w:t xml:space="preserve"> </w:t>
            </w:r>
            <w:r>
              <w:rPr>
                <w:spacing w:val="-5"/>
                <w:w w:val="105"/>
                <w:sz w:val="17"/>
              </w:rPr>
              <w:t>QSS</w:t>
            </w:r>
          </w:p>
        </w:tc>
        <w:tc>
          <w:tcPr>
            <w:tcW w:w="1661" w:type="dxa"/>
            <w:tcBorders>
              <w:top w:val="single" w:sz="6" w:space="0" w:color="000000"/>
            </w:tcBorders>
            <w:shd w:val="clear" w:color="auto" w:fill="F1F1F1"/>
          </w:tcPr>
          <w:p w14:paraId="112498E4" w14:textId="77777777" w:rsidR="00AC6F3C" w:rsidRDefault="00570E88">
            <w:pPr>
              <w:pStyle w:val="TableParagraph"/>
              <w:spacing w:before="48"/>
              <w:ind w:right="35"/>
              <w:jc w:val="right"/>
              <w:rPr>
                <w:sz w:val="17"/>
              </w:rPr>
            </w:pPr>
            <w:r>
              <w:rPr>
                <w:spacing w:val="-2"/>
                <w:w w:val="105"/>
                <w:sz w:val="17"/>
              </w:rPr>
              <w:t>1,434,538</w:t>
            </w:r>
          </w:p>
        </w:tc>
        <w:tc>
          <w:tcPr>
            <w:tcW w:w="1639" w:type="dxa"/>
            <w:tcBorders>
              <w:top w:val="single" w:sz="6" w:space="0" w:color="000000"/>
              <w:right w:val="single" w:sz="6" w:space="0" w:color="000000"/>
            </w:tcBorders>
          </w:tcPr>
          <w:p w14:paraId="440A1867" w14:textId="77777777" w:rsidR="00AC6F3C" w:rsidRDefault="00570E88">
            <w:pPr>
              <w:pStyle w:val="TableParagraph"/>
              <w:spacing w:before="48"/>
              <w:ind w:right="21"/>
              <w:jc w:val="right"/>
              <w:rPr>
                <w:sz w:val="17"/>
              </w:rPr>
            </w:pPr>
            <w:r>
              <w:rPr>
                <w:spacing w:val="-2"/>
                <w:w w:val="105"/>
                <w:sz w:val="17"/>
              </w:rPr>
              <w:t>1,488,188</w:t>
            </w:r>
          </w:p>
        </w:tc>
      </w:tr>
      <w:tr w:rsidR="00AC6F3C" w14:paraId="254734AC" w14:textId="77777777">
        <w:trPr>
          <w:trHeight w:val="283"/>
        </w:trPr>
        <w:tc>
          <w:tcPr>
            <w:tcW w:w="5410" w:type="dxa"/>
            <w:tcBorders>
              <w:left w:val="single" w:sz="6" w:space="0" w:color="000000"/>
              <w:bottom w:val="single" w:sz="6" w:space="0" w:color="000000"/>
            </w:tcBorders>
          </w:tcPr>
          <w:p w14:paraId="6E1D3B0D" w14:textId="77777777" w:rsidR="00AC6F3C" w:rsidRDefault="00570E88">
            <w:pPr>
              <w:pStyle w:val="TableParagraph"/>
              <w:spacing w:before="50"/>
              <w:ind w:left="37"/>
              <w:rPr>
                <w:sz w:val="17"/>
              </w:rPr>
            </w:pPr>
            <w:r>
              <w:rPr>
                <w:w w:val="105"/>
                <w:sz w:val="17"/>
              </w:rPr>
              <w:t>Management fees</w:t>
            </w:r>
            <w:r>
              <w:rPr>
                <w:spacing w:val="27"/>
                <w:w w:val="105"/>
                <w:sz w:val="17"/>
              </w:rPr>
              <w:t xml:space="preserve"> </w:t>
            </w:r>
            <w:r>
              <w:rPr>
                <w:w w:val="105"/>
                <w:sz w:val="17"/>
              </w:rPr>
              <w:t>paid</w:t>
            </w:r>
            <w:r>
              <w:rPr>
                <w:spacing w:val="14"/>
                <w:w w:val="105"/>
                <w:sz w:val="17"/>
              </w:rPr>
              <w:t xml:space="preserve"> </w:t>
            </w:r>
            <w:r>
              <w:rPr>
                <w:w w:val="105"/>
                <w:sz w:val="17"/>
              </w:rPr>
              <w:t>to</w:t>
            </w:r>
            <w:r>
              <w:rPr>
                <w:spacing w:val="14"/>
                <w:w w:val="105"/>
                <w:sz w:val="17"/>
              </w:rPr>
              <w:t xml:space="preserve"> </w:t>
            </w:r>
            <w:r>
              <w:rPr>
                <w:w w:val="105"/>
                <w:sz w:val="17"/>
              </w:rPr>
              <w:t>Queensland</w:t>
            </w:r>
            <w:r>
              <w:rPr>
                <w:spacing w:val="14"/>
                <w:w w:val="105"/>
                <w:sz w:val="17"/>
              </w:rPr>
              <w:t xml:space="preserve"> </w:t>
            </w:r>
            <w:r>
              <w:rPr>
                <w:w w:val="105"/>
                <w:sz w:val="17"/>
              </w:rPr>
              <w:t>Law</w:t>
            </w:r>
            <w:r>
              <w:rPr>
                <w:spacing w:val="13"/>
                <w:w w:val="105"/>
                <w:sz w:val="17"/>
              </w:rPr>
              <w:t xml:space="preserve"> </w:t>
            </w:r>
            <w:r>
              <w:rPr>
                <w:spacing w:val="-2"/>
                <w:w w:val="105"/>
                <w:sz w:val="17"/>
              </w:rPr>
              <w:t>Society</w:t>
            </w:r>
          </w:p>
        </w:tc>
        <w:tc>
          <w:tcPr>
            <w:tcW w:w="1661" w:type="dxa"/>
            <w:tcBorders>
              <w:bottom w:val="single" w:sz="6" w:space="0" w:color="000000"/>
            </w:tcBorders>
            <w:shd w:val="clear" w:color="auto" w:fill="F1F1F1"/>
          </w:tcPr>
          <w:p w14:paraId="726F60CC" w14:textId="77777777" w:rsidR="00AC6F3C" w:rsidRDefault="00570E88">
            <w:pPr>
              <w:pStyle w:val="TableParagraph"/>
              <w:spacing w:before="50"/>
              <w:ind w:right="35"/>
              <w:jc w:val="right"/>
              <w:rPr>
                <w:sz w:val="17"/>
              </w:rPr>
            </w:pPr>
            <w:r>
              <w:rPr>
                <w:spacing w:val="-2"/>
                <w:w w:val="105"/>
                <w:sz w:val="17"/>
              </w:rPr>
              <w:t>882,289</w:t>
            </w:r>
          </w:p>
        </w:tc>
        <w:tc>
          <w:tcPr>
            <w:tcW w:w="1639" w:type="dxa"/>
            <w:tcBorders>
              <w:bottom w:val="single" w:sz="6" w:space="0" w:color="000000"/>
              <w:right w:val="single" w:sz="6" w:space="0" w:color="000000"/>
            </w:tcBorders>
          </w:tcPr>
          <w:p w14:paraId="35E174B6" w14:textId="77777777" w:rsidR="00AC6F3C" w:rsidRDefault="00570E88">
            <w:pPr>
              <w:pStyle w:val="TableParagraph"/>
              <w:spacing w:before="50"/>
              <w:ind w:right="21"/>
              <w:jc w:val="right"/>
              <w:rPr>
                <w:sz w:val="17"/>
              </w:rPr>
            </w:pPr>
            <w:r>
              <w:rPr>
                <w:spacing w:val="-2"/>
                <w:w w:val="105"/>
                <w:sz w:val="17"/>
              </w:rPr>
              <w:t>851,864</w:t>
            </w:r>
          </w:p>
        </w:tc>
      </w:tr>
    </w:tbl>
    <w:p w14:paraId="37BC7A0F" w14:textId="77777777" w:rsidR="00AC6F3C" w:rsidRDefault="00AC6F3C">
      <w:pPr>
        <w:jc w:val="right"/>
        <w:rPr>
          <w:sz w:val="17"/>
        </w:rPr>
        <w:sectPr w:rsidR="00AC6F3C">
          <w:pgSz w:w="11910" w:h="16840"/>
          <w:pgMar w:top="2020" w:right="1160" w:bottom="520" w:left="460" w:header="1228" w:footer="336" w:gutter="0"/>
          <w:cols w:space="720"/>
        </w:sectPr>
      </w:pPr>
    </w:p>
    <w:p w14:paraId="54A3678A" w14:textId="77777777" w:rsidR="00AC6F3C" w:rsidRDefault="00AC6F3C">
      <w:pPr>
        <w:pStyle w:val="BodyText"/>
        <w:spacing w:before="7"/>
        <w:rPr>
          <w:sz w:val="13"/>
        </w:rPr>
      </w:pPr>
    </w:p>
    <w:p w14:paraId="1BC80E06" w14:textId="77777777" w:rsidR="00AC6F3C" w:rsidRDefault="00570E88">
      <w:pPr>
        <w:tabs>
          <w:tab w:val="left" w:pos="1831"/>
        </w:tabs>
        <w:spacing w:before="92"/>
        <w:ind w:left="979"/>
        <w:rPr>
          <w:b/>
          <w:sz w:val="28"/>
        </w:rPr>
      </w:pPr>
      <w:r>
        <w:rPr>
          <w:b/>
          <w:spacing w:val="-5"/>
          <w:sz w:val="28"/>
        </w:rPr>
        <w:t>E3</w:t>
      </w:r>
      <w:r>
        <w:rPr>
          <w:b/>
          <w:sz w:val="28"/>
        </w:rPr>
        <w:tab/>
      </w:r>
      <w:r>
        <w:rPr>
          <w:b/>
          <w:spacing w:val="-2"/>
          <w:sz w:val="28"/>
        </w:rPr>
        <w:t>TAXATION</w:t>
      </w:r>
    </w:p>
    <w:p w14:paraId="64CEBD71" w14:textId="77777777" w:rsidR="00AC6F3C" w:rsidRDefault="00570E88">
      <w:pPr>
        <w:spacing w:before="239"/>
        <w:ind w:left="979"/>
        <w:rPr>
          <w:sz w:val="18"/>
        </w:rPr>
      </w:pPr>
      <w:r>
        <w:rPr>
          <w:sz w:val="18"/>
        </w:rPr>
        <w:t>QSS</w:t>
      </w:r>
      <w:r>
        <w:rPr>
          <w:spacing w:val="-2"/>
          <w:sz w:val="18"/>
        </w:rPr>
        <w:t xml:space="preserve"> </w:t>
      </w:r>
      <w:r>
        <w:rPr>
          <w:sz w:val="18"/>
        </w:rPr>
        <w:t>is a</w:t>
      </w:r>
      <w:r>
        <w:rPr>
          <w:spacing w:val="-1"/>
          <w:sz w:val="18"/>
        </w:rPr>
        <w:t xml:space="preserve"> </w:t>
      </w:r>
      <w:r>
        <w:rPr>
          <w:sz w:val="18"/>
        </w:rPr>
        <w:t>taxable</w:t>
      </w:r>
      <w:r>
        <w:rPr>
          <w:spacing w:val="-3"/>
          <w:sz w:val="18"/>
        </w:rPr>
        <w:t xml:space="preserve"> </w:t>
      </w:r>
      <w:r>
        <w:rPr>
          <w:sz w:val="18"/>
        </w:rPr>
        <w:t>entity</w:t>
      </w:r>
      <w:r>
        <w:rPr>
          <w:spacing w:val="-2"/>
          <w:sz w:val="18"/>
        </w:rPr>
        <w:t xml:space="preserve"> </w:t>
      </w:r>
      <w:r>
        <w:rPr>
          <w:sz w:val="18"/>
        </w:rPr>
        <w:t>and</w:t>
      </w:r>
      <w:r>
        <w:rPr>
          <w:spacing w:val="-4"/>
          <w:sz w:val="18"/>
        </w:rPr>
        <w:t xml:space="preserve"> </w:t>
      </w:r>
      <w:r>
        <w:rPr>
          <w:sz w:val="18"/>
        </w:rPr>
        <w:t>therefore</w:t>
      </w:r>
      <w:r>
        <w:rPr>
          <w:spacing w:val="-3"/>
          <w:sz w:val="18"/>
        </w:rPr>
        <w:t xml:space="preserve"> </w:t>
      </w:r>
      <w:r>
        <w:rPr>
          <w:sz w:val="18"/>
        </w:rPr>
        <w:t>subject</w:t>
      </w:r>
      <w:r>
        <w:rPr>
          <w:spacing w:val="-2"/>
          <w:sz w:val="18"/>
        </w:rPr>
        <w:t xml:space="preserve"> </w:t>
      </w:r>
      <w:r>
        <w:rPr>
          <w:sz w:val="18"/>
        </w:rPr>
        <w:t>to</w:t>
      </w:r>
      <w:r>
        <w:rPr>
          <w:spacing w:val="-3"/>
          <w:sz w:val="18"/>
        </w:rPr>
        <w:t xml:space="preserve"> </w:t>
      </w:r>
      <w:r>
        <w:rPr>
          <w:sz w:val="18"/>
        </w:rPr>
        <w:t>tax on</w:t>
      </w:r>
      <w:r>
        <w:rPr>
          <w:spacing w:val="-4"/>
          <w:sz w:val="18"/>
        </w:rPr>
        <w:t xml:space="preserve"> </w:t>
      </w:r>
      <w:r>
        <w:rPr>
          <w:sz w:val="18"/>
        </w:rPr>
        <w:t xml:space="preserve">any taxable </w:t>
      </w:r>
      <w:r>
        <w:rPr>
          <w:spacing w:val="-2"/>
          <w:sz w:val="18"/>
        </w:rPr>
        <w:t>income.</w:t>
      </w:r>
    </w:p>
    <w:p w14:paraId="6A4679E8" w14:textId="77777777" w:rsidR="00AC6F3C" w:rsidRDefault="00AC6F3C">
      <w:pPr>
        <w:pStyle w:val="BodyText"/>
        <w:spacing w:before="10"/>
      </w:pPr>
    </w:p>
    <w:p w14:paraId="2CBF9BAA" w14:textId="77777777" w:rsidR="00AC6F3C" w:rsidRDefault="00570E88">
      <w:pPr>
        <w:ind w:left="979" w:right="468"/>
        <w:rPr>
          <w:sz w:val="18"/>
        </w:rPr>
      </w:pPr>
      <w:r>
        <w:rPr>
          <w:sz w:val="18"/>
        </w:rPr>
        <w:t xml:space="preserve">Revenues, expenses and assets are </w:t>
      </w:r>
      <w:proofErr w:type="spellStart"/>
      <w:r>
        <w:rPr>
          <w:sz w:val="18"/>
        </w:rPr>
        <w:t>recognised</w:t>
      </w:r>
      <w:proofErr w:type="spellEnd"/>
      <w:r>
        <w:rPr>
          <w:sz w:val="18"/>
        </w:rPr>
        <w:t xml:space="preserve"> net of the amount of GST, except where the amount of GST incurred is not recoverable from the Australian Taxation Office (ATO).</w:t>
      </w:r>
      <w:r>
        <w:rPr>
          <w:spacing w:val="40"/>
          <w:sz w:val="18"/>
        </w:rPr>
        <w:t xml:space="preserve"> </w:t>
      </w:r>
      <w:r>
        <w:rPr>
          <w:sz w:val="18"/>
        </w:rPr>
        <w:t xml:space="preserve">In these circumstances, the GST is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cost</w:t>
      </w:r>
      <w:r>
        <w:rPr>
          <w:spacing w:val="-4"/>
          <w:sz w:val="18"/>
        </w:rPr>
        <w:t xml:space="preserve"> </w:t>
      </w:r>
      <w:r>
        <w:rPr>
          <w:sz w:val="18"/>
        </w:rPr>
        <w:t>of</w:t>
      </w:r>
      <w:r>
        <w:rPr>
          <w:spacing w:val="-2"/>
          <w:sz w:val="18"/>
        </w:rPr>
        <w:t xml:space="preserve"> </w:t>
      </w:r>
      <w:r>
        <w:rPr>
          <w:sz w:val="18"/>
        </w:rPr>
        <w:t>acquisition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asset</w:t>
      </w:r>
      <w:r>
        <w:rPr>
          <w:spacing w:val="-2"/>
          <w:sz w:val="18"/>
        </w:rPr>
        <w:t xml:space="preserve"> </w:t>
      </w:r>
      <w:r>
        <w:rPr>
          <w:sz w:val="18"/>
        </w:rPr>
        <w:t>or</w:t>
      </w:r>
      <w:r>
        <w:rPr>
          <w:spacing w:val="-2"/>
          <w:sz w:val="18"/>
        </w:rPr>
        <w:t xml:space="preserve"> </w:t>
      </w:r>
      <w:r>
        <w:rPr>
          <w:sz w:val="18"/>
        </w:rPr>
        <w:t>as</w:t>
      </w:r>
      <w:r>
        <w:rPr>
          <w:spacing w:val="-1"/>
          <w:sz w:val="18"/>
        </w:rPr>
        <w:t xml:space="preserve"> </w:t>
      </w:r>
      <w:r>
        <w:rPr>
          <w:sz w:val="18"/>
        </w:rPr>
        <w:t>part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expense.</w:t>
      </w:r>
      <w:r>
        <w:rPr>
          <w:spacing w:val="40"/>
          <w:sz w:val="18"/>
        </w:rPr>
        <w:t xml:space="preserve"> </w:t>
      </w:r>
      <w:r>
        <w:rPr>
          <w:sz w:val="18"/>
        </w:rPr>
        <w:t>Receivables</w:t>
      </w:r>
      <w:r>
        <w:rPr>
          <w:spacing w:val="-1"/>
          <w:sz w:val="18"/>
        </w:rPr>
        <w:t xml:space="preserve"> </w:t>
      </w:r>
      <w:r>
        <w:rPr>
          <w:sz w:val="18"/>
        </w:rPr>
        <w:t>and</w:t>
      </w:r>
      <w:r>
        <w:rPr>
          <w:spacing w:val="-1"/>
          <w:sz w:val="18"/>
        </w:rPr>
        <w:t xml:space="preserve"> </w:t>
      </w:r>
      <w:r>
        <w:rPr>
          <w:sz w:val="18"/>
        </w:rPr>
        <w:t>payables are stated with the amount of GST included.</w:t>
      </w:r>
    </w:p>
    <w:p w14:paraId="4DC38F31" w14:textId="77777777" w:rsidR="00AC6F3C" w:rsidRDefault="00AC6F3C">
      <w:pPr>
        <w:pStyle w:val="BodyText"/>
        <w:spacing w:before="10"/>
      </w:pPr>
    </w:p>
    <w:p w14:paraId="62591ABF" w14:textId="77777777" w:rsidR="00AC6F3C" w:rsidRDefault="00570E88">
      <w:pPr>
        <w:ind w:left="979"/>
        <w:rPr>
          <w:sz w:val="18"/>
        </w:rPr>
      </w:pPr>
      <w:r>
        <w:rPr>
          <w:sz w:val="18"/>
        </w:rPr>
        <w:t>The</w:t>
      </w:r>
      <w:r>
        <w:rPr>
          <w:spacing w:val="-1"/>
          <w:sz w:val="18"/>
        </w:rPr>
        <w:t xml:space="preserve"> </w:t>
      </w:r>
      <w:r>
        <w:rPr>
          <w:sz w:val="18"/>
        </w:rPr>
        <w:t>net</w:t>
      </w:r>
      <w:r>
        <w:rPr>
          <w:spacing w:val="-2"/>
          <w:sz w:val="18"/>
        </w:rPr>
        <w:t xml:space="preserve"> </w:t>
      </w:r>
      <w:r>
        <w:rPr>
          <w:sz w:val="18"/>
        </w:rPr>
        <w:t>amount</w:t>
      </w:r>
      <w:r>
        <w:rPr>
          <w:spacing w:val="-2"/>
          <w:sz w:val="18"/>
        </w:rPr>
        <w:t xml:space="preserve"> </w:t>
      </w:r>
      <w:r>
        <w:rPr>
          <w:sz w:val="18"/>
        </w:rPr>
        <w:t>of</w:t>
      </w:r>
      <w:r>
        <w:rPr>
          <w:spacing w:val="-2"/>
          <w:sz w:val="18"/>
        </w:rPr>
        <w:t xml:space="preserve"> </w:t>
      </w:r>
      <w:r>
        <w:rPr>
          <w:sz w:val="18"/>
        </w:rPr>
        <w:t>GST</w:t>
      </w:r>
      <w:r>
        <w:rPr>
          <w:spacing w:val="-2"/>
          <w:sz w:val="18"/>
        </w:rPr>
        <w:t xml:space="preserve"> </w:t>
      </w:r>
      <w:r>
        <w:rPr>
          <w:sz w:val="18"/>
        </w:rPr>
        <w:t>recoverable</w:t>
      </w:r>
      <w:r>
        <w:rPr>
          <w:spacing w:val="-4"/>
          <w:sz w:val="18"/>
        </w:rPr>
        <w:t xml:space="preserve"> </w:t>
      </w:r>
      <w:r>
        <w:rPr>
          <w:sz w:val="18"/>
        </w:rPr>
        <w:t>from,</w:t>
      </w:r>
      <w:r>
        <w:rPr>
          <w:spacing w:val="-2"/>
          <w:sz w:val="18"/>
        </w:rPr>
        <w:t xml:space="preserve"> </w:t>
      </w:r>
      <w:r>
        <w:rPr>
          <w:sz w:val="18"/>
        </w:rPr>
        <w:t>or</w:t>
      </w:r>
      <w:r>
        <w:rPr>
          <w:spacing w:val="-4"/>
          <w:sz w:val="18"/>
        </w:rPr>
        <w:t xml:space="preserve"> </w:t>
      </w:r>
      <w:r>
        <w:rPr>
          <w:sz w:val="18"/>
        </w:rPr>
        <w:t>payable</w:t>
      </w:r>
      <w:r>
        <w:rPr>
          <w:spacing w:val="-1"/>
          <w:sz w:val="18"/>
        </w:rPr>
        <w:t xml:space="preserve"> </w:t>
      </w:r>
      <w:r>
        <w:rPr>
          <w:sz w:val="18"/>
        </w:rPr>
        <w:t>to,</w:t>
      </w:r>
      <w:r>
        <w:rPr>
          <w:spacing w:val="-4"/>
          <w:sz w:val="18"/>
        </w:rPr>
        <w:t xml:space="preserve"> </w:t>
      </w:r>
      <w:r>
        <w:rPr>
          <w:sz w:val="18"/>
        </w:rPr>
        <w:t>the</w:t>
      </w:r>
      <w:r>
        <w:rPr>
          <w:spacing w:val="-6"/>
          <w:sz w:val="18"/>
        </w:rPr>
        <w:t xml:space="preserve"> </w:t>
      </w:r>
      <w:r>
        <w:rPr>
          <w:sz w:val="18"/>
        </w:rPr>
        <w:t>ATO</w:t>
      </w:r>
      <w:r>
        <w:rPr>
          <w:spacing w:val="-3"/>
          <w:sz w:val="18"/>
        </w:rPr>
        <w:t xml:space="preserve"> </w:t>
      </w:r>
      <w:r>
        <w:rPr>
          <w:sz w:val="18"/>
        </w:rPr>
        <w:t>is</w:t>
      </w:r>
      <w:r>
        <w:rPr>
          <w:spacing w:val="-1"/>
          <w:sz w:val="18"/>
        </w:rPr>
        <w:t xml:space="preserve"> </w:t>
      </w:r>
      <w:r>
        <w:rPr>
          <w:sz w:val="18"/>
        </w:rPr>
        <w:t>included</w:t>
      </w:r>
      <w:r>
        <w:rPr>
          <w:spacing w:val="-1"/>
          <w:sz w:val="18"/>
        </w:rPr>
        <w:t xml:space="preserve"> </w:t>
      </w:r>
      <w:r>
        <w:rPr>
          <w:sz w:val="18"/>
        </w:rPr>
        <w:t>as</w:t>
      </w:r>
      <w:r>
        <w:rPr>
          <w:spacing w:val="-1"/>
          <w:sz w:val="18"/>
        </w:rPr>
        <w:t xml:space="preserve"> </w:t>
      </w:r>
      <w:r>
        <w:rPr>
          <w:sz w:val="18"/>
        </w:rPr>
        <w:t>a</w:t>
      </w:r>
      <w:r>
        <w:rPr>
          <w:spacing w:val="-4"/>
          <w:sz w:val="18"/>
        </w:rPr>
        <w:t xml:space="preserve"> </w:t>
      </w:r>
      <w:r>
        <w:rPr>
          <w:sz w:val="18"/>
        </w:rPr>
        <w:t>current</w:t>
      </w:r>
      <w:r>
        <w:rPr>
          <w:spacing w:val="-2"/>
          <w:sz w:val="18"/>
        </w:rPr>
        <w:t xml:space="preserve"> </w:t>
      </w:r>
      <w:r>
        <w:rPr>
          <w:sz w:val="18"/>
        </w:rPr>
        <w:t>asset</w:t>
      </w:r>
      <w:r>
        <w:rPr>
          <w:spacing w:val="-4"/>
          <w:sz w:val="18"/>
        </w:rPr>
        <w:t xml:space="preserve"> </w:t>
      </w:r>
      <w:r>
        <w:rPr>
          <w:sz w:val="18"/>
        </w:rPr>
        <w:t>or</w:t>
      </w:r>
      <w:r>
        <w:rPr>
          <w:spacing w:val="-2"/>
          <w:sz w:val="18"/>
        </w:rPr>
        <w:t xml:space="preserve"> </w:t>
      </w:r>
      <w:r>
        <w:rPr>
          <w:sz w:val="18"/>
        </w:rPr>
        <w:t>liability</w:t>
      </w:r>
      <w:r>
        <w:rPr>
          <w:spacing w:val="-1"/>
          <w:sz w:val="18"/>
        </w:rPr>
        <w:t xml:space="preserve"> </w:t>
      </w:r>
      <w:r>
        <w:rPr>
          <w:sz w:val="18"/>
        </w:rPr>
        <w:t>in</w:t>
      </w:r>
      <w:r>
        <w:rPr>
          <w:spacing w:val="-1"/>
          <w:sz w:val="18"/>
        </w:rPr>
        <w:t xml:space="preserve"> </w:t>
      </w:r>
      <w:r>
        <w:rPr>
          <w:sz w:val="18"/>
        </w:rPr>
        <w:t>the statement of financial position.</w:t>
      </w:r>
    </w:p>
    <w:p w14:paraId="0F640A53" w14:textId="77777777" w:rsidR="00AC6F3C" w:rsidRDefault="00AC6F3C">
      <w:pPr>
        <w:pStyle w:val="BodyText"/>
        <w:spacing w:before="11"/>
      </w:pPr>
    </w:p>
    <w:p w14:paraId="0BECCC13" w14:textId="77777777" w:rsidR="00AC6F3C" w:rsidRDefault="00570E88">
      <w:pPr>
        <w:ind w:left="980" w:right="468"/>
        <w:rPr>
          <w:sz w:val="18"/>
        </w:rPr>
      </w:pPr>
      <w:r>
        <w:rPr>
          <w:sz w:val="18"/>
        </w:rPr>
        <w:t>Cash</w:t>
      </w:r>
      <w:r>
        <w:rPr>
          <w:spacing w:val="-1"/>
          <w:sz w:val="18"/>
        </w:rPr>
        <w:t xml:space="preserve"> </w:t>
      </w:r>
      <w:r>
        <w:rPr>
          <w:sz w:val="18"/>
        </w:rPr>
        <w:t>flows</w:t>
      </w:r>
      <w:r>
        <w:rPr>
          <w:spacing w:val="-3"/>
          <w:sz w:val="18"/>
        </w:rPr>
        <w:t xml:space="preserve"> </w:t>
      </w:r>
      <w:r>
        <w:rPr>
          <w:sz w:val="18"/>
        </w:rPr>
        <w:t>are</w:t>
      </w:r>
      <w:r>
        <w:rPr>
          <w:spacing w:val="-1"/>
          <w:sz w:val="18"/>
        </w:rPr>
        <w:t xml:space="preserve"> </w:t>
      </w:r>
      <w:r>
        <w:rPr>
          <w:sz w:val="18"/>
        </w:rPr>
        <w:t>included</w:t>
      </w:r>
      <w:r>
        <w:rPr>
          <w:spacing w:val="-1"/>
          <w:sz w:val="18"/>
        </w:rPr>
        <w:t xml:space="preserve"> </w:t>
      </w:r>
      <w:r>
        <w:rPr>
          <w:sz w:val="18"/>
        </w:rPr>
        <w:t>in</w:t>
      </w:r>
      <w:r>
        <w:rPr>
          <w:spacing w:val="-4"/>
          <w:sz w:val="18"/>
        </w:rPr>
        <w:t xml:space="preserve"> </w:t>
      </w:r>
      <w:r>
        <w:rPr>
          <w:sz w:val="18"/>
        </w:rPr>
        <w:t>the</w:t>
      </w:r>
      <w:r>
        <w:rPr>
          <w:spacing w:val="-6"/>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3"/>
          <w:sz w:val="18"/>
        </w:rPr>
        <w:t xml:space="preserve"> </w:t>
      </w:r>
      <w:r>
        <w:rPr>
          <w:sz w:val="18"/>
        </w:rPr>
        <w:t>on</w:t>
      </w:r>
      <w:r>
        <w:rPr>
          <w:spacing w:val="-1"/>
          <w:sz w:val="18"/>
        </w:rPr>
        <w:t xml:space="preserve"> </w:t>
      </w:r>
      <w:r>
        <w:rPr>
          <w:sz w:val="18"/>
        </w:rPr>
        <w:t>a</w:t>
      </w:r>
      <w:r>
        <w:rPr>
          <w:spacing w:val="-4"/>
          <w:sz w:val="18"/>
        </w:rPr>
        <w:t xml:space="preserve"> </w:t>
      </w:r>
      <w:r>
        <w:rPr>
          <w:sz w:val="18"/>
        </w:rPr>
        <w:t>gross</w:t>
      </w:r>
      <w:r>
        <w:rPr>
          <w:spacing w:val="-1"/>
          <w:sz w:val="18"/>
        </w:rPr>
        <w:t xml:space="preserve"> </w:t>
      </w:r>
      <w:r>
        <w:rPr>
          <w:sz w:val="18"/>
        </w:rPr>
        <w:t>basis.</w:t>
      </w:r>
      <w:r>
        <w:rPr>
          <w:spacing w:val="40"/>
          <w:sz w:val="18"/>
        </w:rPr>
        <w:t xml:space="preserve"> </w:t>
      </w:r>
      <w:r>
        <w:rPr>
          <w:sz w:val="18"/>
        </w:rPr>
        <w:t>The</w:t>
      </w:r>
      <w:r>
        <w:rPr>
          <w:spacing w:val="-1"/>
          <w:sz w:val="18"/>
        </w:rPr>
        <w:t xml:space="preserve"> </w:t>
      </w:r>
      <w:r>
        <w:rPr>
          <w:sz w:val="18"/>
        </w:rPr>
        <w:t>GST</w:t>
      </w:r>
      <w:r>
        <w:rPr>
          <w:spacing w:val="-4"/>
          <w:sz w:val="18"/>
        </w:rPr>
        <w:t xml:space="preserve"> </w:t>
      </w:r>
      <w:r>
        <w:rPr>
          <w:sz w:val="18"/>
        </w:rPr>
        <w:t>components</w:t>
      </w:r>
      <w:r>
        <w:rPr>
          <w:spacing w:val="-1"/>
          <w:sz w:val="18"/>
        </w:rPr>
        <w:t xml:space="preserve"> </w:t>
      </w:r>
      <w:r>
        <w:rPr>
          <w:sz w:val="18"/>
        </w:rPr>
        <w:t>of</w:t>
      </w:r>
      <w:r>
        <w:rPr>
          <w:spacing w:val="-4"/>
          <w:sz w:val="18"/>
        </w:rPr>
        <w:t xml:space="preserve"> </w:t>
      </w:r>
      <w:r>
        <w:rPr>
          <w:sz w:val="18"/>
        </w:rPr>
        <w:t>cash</w:t>
      </w:r>
      <w:r>
        <w:rPr>
          <w:spacing w:val="-1"/>
          <w:sz w:val="18"/>
        </w:rPr>
        <w:t xml:space="preserve"> </w:t>
      </w:r>
      <w:r>
        <w:rPr>
          <w:sz w:val="18"/>
        </w:rPr>
        <w:t>flows arising from investing activities and financing activities which are recoverable from, or payable to, the ATO are classified as operating cash flows.</w:t>
      </w:r>
    </w:p>
    <w:p w14:paraId="165DB80A" w14:textId="77777777" w:rsidR="00AC6F3C" w:rsidRDefault="00AC6F3C">
      <w:pPr>
        <w:pStyle w:val="BodyText"/>
      </w:pPr>
    </w:p>
    <w:p w14:paraId="246A27E2" w14:textId="77777777" w:rsidR="00AC6F3C" w:rsidRDefault="00AC6F3C">
      <w:pPr>
        <w:pStyle w:val="BodyText"/>
        <w:spacing w:before="9"/>
        <w:rPr>
          <w:sz w:val="18"/>
        </w:rPr>
      </w:pPr>
    </w:p>
    <w:p w14:paraId="1788D12F" w14:textId="77777777" w:rsidR="00AC6F3C" w:rsidRDefault="00570E88">
      <w:pPr>
        <w:tabs>
          <w:tab w:val="left" w:pos="1687"/>
        </w:tabs>
        <w:spacing w:before="1"/>
        <w:ind w:left="1687" w:right="1622" w:hanging="708"/>
        <w:rPr>
          <w:b/>
          <w:sz w:val="28"/>
        </w:rPr>
      </w:pPr>
      <w:r>
        <w:rPr>
          <w:b/>
          <w:spacing w:val="-6"/>
          <w:sz w:val="28"/>
        </w:rPr>
        <w:t>E4</w:t>
      </w:r>
      <w:r>
        <w:rPr>
          <w:b/>
          <w:sz w:val="28"/>
        </w:rPr>
        <w:tab/>
        <w:t>FIRST YEAR APPLICATION OF NEW ACCOUNTING STANDARDS</w:t>
      </w:r>
      <w:r>
        <w:rPr>
          <w:b/>
          <w:spacing w:val="-11"/>
          <w:sz w:val="28"/>
        </w:rPr>
        <w:t xml:space="preserve"> </w:t>
      </w:r>
      <w:r>
        <w:rPr>
          <w:b/>
          <w:sz w:val="28"/>
        </w:rPr>
        <w:t>OR</w:t>
      </w:r>
      <w:r>
        <w:rPr>
          <w:b/>
          <w:spacing w:val="-11"/>
          <w:sz w:val="28"/>
        </w:rPr>
        <w:t xml:space="preserve"> </w:t>
      </w:r>
      <w:r>
        <w:rPr>
          <w:b/>
          <w:sz w:val="28"/>
        </w:rPr>
        <w:t>CHANGE</w:t>
      </w:r>
      <w:r>
        <w:rPr>
          <w:b/>
          <w:spacing w:val="-10"/>
          <w:sz w:val="28"/>
        </w:rPr>
        <w:t xml:space="preserve"> </w:t>
      </w:r>
      <w:r>
        <w:rPr>
          <w:b/>
          <w:sz w:val="28"/>
        </w:rPr>
        <w:t>IN</w:t>
      </w:r>
      <w:r>
        <w:rPr>
          <w:b/>
          <w:spacing w:val="-20"/>
          <w:sz w:val="28"/>
        </w:rPr>
        <w:t xml:space="preserve"> </w:t>
      </w:r>
      <w:r>
        <w:rPr>
          <w:b/>
          <w:sz w:val="28"/>
        </w:rPr>
        <w:t>ACCOUNTING</w:t>
      </w:r>
      <w:r>
        <w:rPr>
          <w:b/>
          <w:spacing w:val="-9"/>
          <w:sz w:val="28"/>
        </w:rPr>
        <w:t xml:space="preserve"> </w:t>
      </w:r>
      <w:r>
        <w:rPr>
          <w:b/>
          <w:sz w:val="28"/>
        </w:rPr>
        <w:t>POLICY</w:t>
      </w:r>
    </w:p>
    <w:p w14:paraId="76CDC7DF" w14:textId="77777777" w:rsidR="00AC6F3C" w:rsidRDefault="00570E88">
      <w:pPr>
        <w:spacing w:before="205"/>
        <w:ind w:left="979"/>
        <w:rPr>
          <w:b/>
          <w:sz w:val="18"/>
        </w:rPr>
      </w:pPr>
      <w:r>
        <w:rPr>
          <w:b/>
          <w:color w:val="231F20"/>
          <w:sz w:val="18"/>
        </w:rPr>
        <w:t>Changes</w:t>
      </w:r>
      <w:r>
        <w:rPr>
          <w:b/>
          <w:color w:val="231F20"/>
          <w:spacing w:val="-4"/>
          <w:sz w:val="18"/>
        </w:rPr>
        <w:t xml:space="preserve"> </w:t>
      </w:r>
      <w:r>
        <w:rPr>
          <w:b/>
          <w:color w:val="231F20"/>
          <w:sz w:val="18"/>
        </w:rPr>
        <w:t>in</w:t>
      </w:r>
      <w:r>
        <w:rPr>
          <w:b/>
          <w:color w:val="231F20"/>
          <w:spacing w:val="-2"/>
          <w:sz w:val="18"/>
        </w:rPr>
        <w:t xml:space="preserve"> </w:t>
      </w:r>
      <w:r>
        <w:rPr>
          <w:b/>
          <w:color w:val="231F20"/>
          <w:sz w:val="18"/>
        </w:rPr>
        <w:t>accounting</w:t>
      </w:r>
      <w:r>
        <w:rPr>
          <w:b/>
          <w:color w:val="231F20"/>
          <w:spacing w:val="-1"/>
          <w:sz w:val="18"/>
        </w:rPr>
        <w:t xml:space="preserve"> </w:t>
      </w:r>
      <w:r>
        <w:rPr>
          <w:b/>
          <w:color w:val="231F20"/>
          <w:spacing w:val="-2"/>
          <w:sz w:val="18"/>
        </w:rPr>
        <w:t>policy</w:t>
      </w:r>
    </w:p>
    <w:p w14:paraId="4F79A102" w14:textId="77777777" w:rsidR="00AC6F3C" w:rsidRDefault="00AC6F3C">
      <w:pPr>
        <w:pStyle w:val="BodyText"/>
        <w:spacing w:before="1"/>
        <w:rPr>
          <w:b/>
          <w:sz w:val="18"/>
        </w:rPr>
      </w:pPr>
    </w:p>
    <w:p w14:paraId="0822B241" w14:textId="77777777" w:rsidR="00AC6F3C" w:rsidRDefault="00570E88">
      <w:pPr>
        <w:spacing w:before="1"/>
        <w:ind w:left="979"/>
        <w:rPr>
          <w:sz w:val="18"/>
        </w:rPr>
      </w:pPr>
      <w:r>
        <w:rPr>
          <w:color w:val="231F20"/>
          <w:sz w:val="18"/>
        </w:rPr>
        <w:t>QSS</w:t>
      </w:r>
      <w:r>
        <w:rPr>
          <w:color w:val="231F20"/>
          <w:spacing w:val="-3"/>
          <w:sz w:val="18"/>
        </w:rPr>
        <w:t xml:space="preserve"> </w:t>
      </w:r>
      <w:r>
        <w:rPr>
          <w:color w:val="231F20"/>
          <w:sz w:val="18"/>
        </w:rPr>
        <w:t>did</w:t>
      </w:r>
      <w:r>
        <w:rPr>
          <w:color w:val="231F20"/>
          <w:spacing w:val="-2"/>
          <w:sz w:val="18"/>
        </w:rPr>
        <w:t xml:space="preserve"> </w:t>
      </w:r>
      <w:r>
        <w:rPr>
          <w:color w:val="231F20"/>
          <w:sz w:val="18"/>
        </w:rPr>
        <w:t>not</w:t>
      </w:r>
      <w:r>
        <w:rPr>
          <w:color w:val="231F20"/>
          <w:spacing w:val="-2"/>
          <w:sz w:val="18"/>
        </w:rPr>
        <w:t xml:space="preserve"> </w:t>
      </w:r>
      <w:r>
        <w:rPr>
          <w:color w:val="231F20"/>
          <w:sz w:val="18"/>
        </w:rPr>
        <w:t>voluntarily</w:t>
      </w:r>
      <w:r>
        <w:rPr>
          <w:color w:val="231F20"/>
          <w:spacing w:val="-4"/>
          <w:sz w:val="18"/>
        </w:rPr>
        <w:t xml:space="preserve"> </w:t>
      </w:r>
      <w:r>
        <w:rPr>
          <w:color w:val="231F20"/>
          <w:sz w:val="18"/>
        </w:rPr>
        <w:t>change</w:t>
      </w:r>
      <w:r>
        <w:rPr>
          <w:color w:val="231F20"/>
          <w:spacing w:val="-2"/>
          <w:sz w:val="18"/>
        </w:rPr>
        <w:t xml:space="preserve"> </w:t>
      </w:r>
      <w:r>
        <w:rPr>
          <w:color w:val="231F20"/>
          <w:sz w:val="18"/>
        </w:rPr>
        <w:t>any</w:t>
      </w:r>
      <w:r>
        <w:rPr>
          <w:color w:val="231F20"/>
          <w:spacing w:val="-1"/>
          <w:sz w:val="18"/>
        </w:rPr>
        <w:t xml:space="preserve"> </w:t>
      </w:r>
      <w:r>
        <w:rPr>
          <w:color w:val="231F20"/>
          <w:sz w:val="18"/>
        </w:rPr>
        <w:t>of</w:t>
      </w:r>
      <w:r>
        <w:rPr>
          <w:color w:val="231F20"/>
          <w:spacing w:val="-5"/>
          <w:sz w:val="18"/>
        </w:rPr>
        <w:t xml:space="preserve"> </w:t>
      </w:r>
      <w:r>
        <w:rPr>
          <w:color w:val="231F20"/>
          <w:sz w:val="18"/>
        </w:rPr>
        <w:t>its</w:t>
      </w:r>
      <w:r>
        <w:rPr>
          <w:color w:val="231F20"/>
          <w:spacing w:val="-4"/>
          <w:sz w:val="18"/>
        </w:rPr>
        <w:t xml:space="preserve"> </w:t>
      </w:r>
      <w:r>
        <w:rPr>
          <w:color w:val="231F20"/>
          <w:sz w:val="18"/>
        </w:rPr>
        <w:t>accounting</w:t>
      </w:r>
      <w:r>
        <w:rPr>
          <w:color w:val="231F20"/>
          <w:spacing w:val="-1"/>
          <w:sz w:val="18"/>
        </w:rPr>
        <w:t xml:space="preserve"> </w:t>
      </w:r>
      <w:r>
        <w:rPr>
          <w:color w:val="231F20"/>
          <w:sz w:val="18"/>
        </w:rPr>
        <w:t>policies</w:t>
      </w:r>
      <w:r>
        <w:rPr>
          <w:color w:val="231F20"/>
          <w:spacing w:val="-4"/>
          <w:sz w:val="18"/>
        </w:rPr>
        <w:t xml:space="preserve"> </w:t>
      </w:r>
      <w:r>
        <w:rPr>
          <w:color w:val="231F20"/>
          <w:sz w:val="18"/>
        </w:rPr>
        <w:t>during</w:t>
      </w:r>
      <w:r>
        <w:rPr>
          <w:color w:val="231F20"/>
          <w:spacing w:val="-1"/>
          <w:sz w:val="18"/>
        </w:rPr>
        <w:t xml:space="preserve"> </w:t>
      </w:r>
      <w:r>
        <w:rPr>
          <w:color w:val="231F20"/>
          <w:sz w:val="18"/>
        </w:rPr>
        <w:t>2022-</w:t>
      </w:r>
      <w:r>
        <w:rPr>
          <w:color w:val="231F20"/>
          <w:spacing w:val="-5"/>
          <w:sz w:val="18"/>
        </w:rPr>
        <w:t>23.</w:t>
      </w:r>
    </w:p>
    <w:p w14:paraId="361D2A00" w14:textId="77777777" w:rsidR="00AC6F3C" w:rsidRDefault="00AC6F3C">
      <w:pPr>
        <w:pStyle w:val="BodyText"/>
        <w:spacing w:before="10"/>
        <w:rPr>
          <w:sz w:val="17"/>
        </w:rPr>
      </w:pPr>
    </w:p>
    <w:p w14:paraId="17E1194B" w14:textId="77777777" w:rsidR="00AC6F3C" w:rsidRDefault="00570E88">
      <w:pPr>
        <w:ind w:left="980"/>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3"/>
          <w:sz w:val="18"/>
        </w:rPr>
        <w:t xml:space="preserve"> </w:t>
      </w:r>
      <w:r>
        <w:rPr>
          <w:b/>
          <w:color w:val="231F20"/>
          <w:sz w:val="18"/>
        </w:rPr>
        <w:t>applied</w:t>
      </w:r>
      <w:r>
        <w:rPr>
          <w:b/>
          <w:color w:val="231F20"/>
          <w:spacing w:val="-2"/>
          <w:sz w:val="18"/>
        </w:rPr>
        <w:t xml:space="preserve"> </w:t>
      </w:r>
      <w:r>
        <w:rPr>
          <w:b/>
          <w:color w:val="231F20"/>
          <w:sz w:val="18"/>
        </w:rPr>
        <w:t>for</w:t>
      </w:r>
      <w:r>
        <w:rPr>
          <w:b/>
          <w:color w:val="231F20"/>
          <w:spacing w:val="-3"/>
          <w:sz w:val="18"/>
        </w:rPr>
        <w:t xml:space="preserve"> </w:t>
      </w:r>
      <w:r>
        <w:rPr>
          <w:b/>
          <w:color w:val="231F20"/>
          <w:sz w:val="18"/>
        </w:rPr>
        <w:t>the</w:t>
      </w:r>
      <w:r>
        <w:rPr>
          <w:b/>
          <w:color w:val="231F20"/>
          <w:spacing w:val="-1"/>
          <w:sz w:val="18"/>
        </w:rPr>
        <w:t xml:space="preserve"> </w:t>
      </w:r>
      <w:r>
        <w:rPr>
          <w:b/>
          <w:color w:val="231F20"/>
          <w:sz w:val="18"/>
        </w:rPr>
        <w:t>first</w:t>
      </w:r>
      <w:r>
        <w:rPr>
          <w:b/>
          <w:color w:val="231F20"/>
          <w:spacing w:val="-2"/>
          <w:sz w:val="18"/>
        </w:rPr>
        <w:t xml:space="preserve"> </w:t>
      </w:r>
      <w:r>
        <w:rPr>
          <w:b/>
          <w:color w:val="231F20"/>
          <w:spacing w:val="-4"/>
          <w:sz w:val="18"/>
        </w:rPr>
        <w:t>time</w:t>
      </w:r>
    </w:p>
    <w:p w14:paraId="31941D2D" w14:textId="77777777" w:rsidR="00AC6F3C" w:rsidRDefault="00AC6F3C">
      <w:pPr>
        <w:pStyle w:val="BodyText"/>
        <w:spacing w:before="1"/>
        <w:rPr>
          <w:b/>
          <w:sz w:val="18"/>
        </w:rPr>
      </w:pPr>
    </w:p>
    <w:p w14:paraId="1A301367" w14:textId="77777777" w:rsidR="00AC6F3C" w:rsidRDefault="00570E88">
      <w:pPr>
        <w:ind w:left="980" w:right="375"/>
        <w:rPr>
          <w:sz w:val="18"/>
        </w:rPr>
      </w:pPr>
      <w:r>
        <w:rPr>
          <w:color w:val="231F20"/>
          <w:sz w:val="18"/>
        </w:rPr>
        <w:t>No</w:t>
      </w:r>
      <w:r>
        <w:rPr>
          <w:color w:val="231F20"/>
          <w:spacing w:val="-1"/>
          <w:sz w:val="18"/>
        </w:rPr>
        <w:t xml:space="preserve"> </w:t>
      </w:r>
      <w:r>
        <w:rPr>
          <w:color w:val="231F20"/>
          <w:sz w:val="18"/>
        </w:rPr>
        <w:t>Australian</w:t>
      </w:r>
      <w:r>
        <w:rPr>
          <w:color w:val="231F20"/>
          <w:spacing w:val="-1"/>
          <w:sz w:val="18"/>
        </w:rPr>
        <w:t xml:space="preserve"> </w:t>
      </w:r>
      <w:r>
        <w:rPr>
          <w:color w:val="231F20"/>
          <w:sz w:val="18"/>
        </w:rPr>
        <w:t>accounting</w:t>
      </w:r>
      <w:r>
        <w:rPr>
          <w:color w:val="231F20"/>
          <w:spacing w:val="-4"/>
          <w:sz w:val="18"/>
        </w:rPr>
        <w:t xml:space="preserve"> </w:t>
      </w:r>
      <w:r>
        <w:rPr>
          <w:color w:val="231F20"/>
          <w:sz w:val="18"/>
        </w:rPr>
        <w:t>standards</w:t>
      </w:r>
      <w:r>
        <w:rPr>
          <w:color w:val="231F20"/>
          <w:spacing w:val="-3"/>
          <w:sz w:val="18"/>
        </w:rPr>
        <w:t xml:space="preserve"> </w:t>
      </w:r>
      <w:r>
        <w:rPr>
          <w:color w:val="231F20"/>
          <w:sz w:val="18"/>
        </w:rPr>
        <w:t>or</w:t>
      </w:r>
      <w:r>
        <w:rPr>
          <w:color w:val="231F20"/>
          <w:spacing w:val="-2"/>
          <w:sz w:val="18"/>
        </w:rPr>
        <w:t xml:space="preserve"> </w:t>
      </w:r>
      <w:r>
        <w:rPr>
          <w:color w:val="231F20"/>
          <w:sz w:val="18"/>
        </w:rPr>
        <w:t>interpretations</w:t>
      </w:r>
      <w:r>
        <w:rPr>
          <w:color w:val="231F20"/>
          <w:spacing w:val="-1"/>
          <w:sz w:val="18"/>
        </w:rPr>
        <w:t xml:space="preserve"> </w:t>
      </w:r>
      <w:r>
        <w:rPr>
          <w:color w:val="231F20"/>
          <w:sz w:val="18"/>
        </w:rPr>
        <w:t>that</w:t>
      </w:r>
      <w:r>
        <w:rPr>
          <w:color w:val="231F20"/>
          <w:spacing w:val="-2"/>
          <w:sz w:val="18"/>
        </w:rPr>
        <w:t xml:space="preserve"> </w:t>
      </w:r>
      <w:r>
        <w:rPr>
          <w:color w:val="231F20"/>
          <w:sz w:val="18"/>
        </w:rPr>
        <w:t>apply</w:t>
      </w:r>
      <w:r>
        <w:rPr>
          <w:color w:val="231F20"/>
          <w:spacing w:val="-1"/>
          <w:sz w:val="18"/>
        </w:rPr>
        <w:t xml:space="preserve"> </w:t>
      </w:r>
      <w:r>
        <w:rPr>
          <w:color w:val="231F20"/>
          <w:sz w:val="18"/>
        </w:rPr>
        <w:t>for</w:t>
      </w:r>
      <w:r>
        <w:rPr>
          <w:color w:val="231F20"/>
          <w:spacing w:val="-2"/>
          <w:sz w:val="18"/>
        </w:rPr>
        <w:t xml:space="preserve"> </w:t>
      </w:r>
      <w:r>
        <w:rPr>
          <w:color w:val="231F20"/>
          <w:sz w:val="18"/>
        </w:rPr>
        <w:t>the</w:t>
      </w:r>
      <w:r>
        <w:rPr>
          <w:color w:val="231F20"/>
          <w:spacing w:val="-1"/>
          <w:sz w:val="18"/>
        </w:rPr>
        <w:t xml:space="preserve"> </w:t>
      </w:r>
      <w:r>
        <w:rPr>
          <w:color w:val="231F20"/>
          <w:sz w:val="18"/>
        </w:rPr>
        <w:t>first</w:t>
      </w:r>
      <w:r>
        <w:rPr>
          <w:color w:val="231F20"/>
          <w:spacing w:val="-2"/>
          <w:sz w:val="18"/>
        </w:rPr>
        <w:t xml:space="preserve"> </w:t>
      </w:r>
      <w:r>
        <w:rPr>
          <w:color w:val="231F20"/>
          <w:sz w:val="18"/>
        </w:rPr>
        <w:t>time</w:t>
      </w:r>
      <w:r>
        <w:rPr>
          <w:color w:val="231F20"/>
          <w:spacing w:val="-4"/>
          <w:sz w:val="18"/>
        </w:rPr>
        <w:t xml:space="preserve"> </w:t>
      </w:r>
      <w:r>
        <w:rPr>
          <w:color w:val="231F20"/>
          <w:sz w:val="18"/>
        </w:rPr>
        <w:t>during</w:t>
      </w:r>
      <w:r>
        <w:rPr>
          <w:color w:val="231F20"/>
          <w:spacing w:val="-4"/>
          <w:sz w:val="18"/>
        </w:rPr>
        <w:t xml:space="preserve"> </w:t>
      </w:r>
      <w:r>
        <w:rPr>
          <w:color w:val="231F20"/>
          <w:sz w:val="18"/>
        </w:rPr>
        <w:t>2022-23</w:t>
      </w:r>
      <w:r>
        <w:rPr>
          <w:color w:val="231F20"/>
          <w:spacing w:val="-1"/>
          <w:sz w:val="18"/>
        </w:rPr>
        <w:t xml:space="preserve"> </w:t>
      </w:r>
      <w:r>
        <w:rPr>
          <w:color w:val="231F20"/>
          <w:sz w:val="18"/>
        </w:rPr>
        <w:t>had</w:t>
      </w:r>
      <w:r>
        <w:rPr>
          <w:color w:val="231F20"/>
          <w:spacing w:val="-1"/>
          <w:sz w:val="18"/>
        </w:rPr>
        <w:t xml:space="preserve"> </w:t>
      </w:r>
      <w:r>
        <w:rPr>
          <w:color w:val="231F20"/>
          <w:sz w:val="18"/>
        </w:rPr>
        <w:t>any</w:t>
      </w:r>
      <w:r>
        <w:rPr>
          <w:color w:val="231F20"/>
          <w:spacing w:val="-3"/>
          <w:sz w:val="18"/>
        </w:rPr>
        <w:t xml:space="preserve"> </w:t>
      </w:r>
      <w:r>
        <w:rPr>
          <w:color w:val="231F20"/>
          <w:sz w:val="18"/>
        </w:rPr>
        <w:t>impact on QSS.</w:t>
      </w:r>
    </w:p>
    <w:p w14:paraId="416517E8" w14:textId="77777777" w:rsidR="00AC6F3C" w:rsidRDefault="00AC6F3C">
      <w:pPr>
        <w:rPr>
          <w:sz w:val="18"/>
        </w:rPr>
        <w:sectPr w:rsidR="00AC6F3C">
          <w:pgSz w:w="11910" w:h="16840"/>
          <w:pgMar w:top="2020" w:right="1160" w:bottom="520" w:left="460" w:header="1228" w:footer="336" w:gutter="0"/>
          <w:cols w:space="720"/>
        </w:sectPr>
      </w:pPr>
    </w:p>
    <w:p w14:paraId="5E52EFAE" w14:textId="77777777" w:rsidR="00AC6F3C" w:rsidRDefault="00570E88">
      <w:pPr>
        <w:ind w:left="979"/>
      </w:pPr>
      <w:r>
        <w:lastRenderedPageBreak/>
        <w:t>Directors’</w:t>
      </w:r>
      <w:r>
        <w:rPr>
          <w:spacing w:val="-4"/>
        </w:rPr>
        <w:t xml:space="preserve"> </w:t>
      </w:r>
      <w:r>
        <w:t>Declaration</w:t>
      </w:r>
      <w:r>
        <w:rPr>
          <w:spacing w:val="-5"/>
        </w:rPr>
        <w:t xml:space="preserve"> </w:t>
      </w:r>
      <w:r>
        <w:t>for</w:t>
      </w:r>
      <w:r>
        <w:rPr>
          <w:spacing w:val="-4"/>
        </w:rPr>
        <w:t xml:space="preserve"> </w:t>
      </w:r>
      <w:r>
        <w:t>the</w:t>
      </w:r>
      <w:r>
        <w:rPr>
          <w:spacing w:val="-5"/>
        </w:rPr>
        <w:t xml:space="preserve"> </w:t>
      </w:r>
      <w:r>
        <w:t>year</w:t>
      </w:r>
      <w:r>
        <w:rPr>
          <w:spacing w:val="-4"/>
        </w:rPr>
        <w:t xml:space="preserve"> </w:t>
      </w:r>
      <w:r>
        <w:t>ended</w:t>
      </w:r>
      <w:r>
        <w:rPr>
          <w:spacing w:val="-3"/>
        </w:rPr>
        <w:t xml:space="preserve"> </w:t>
      </w:r>
      <w:r>
        <w:t>30</w:t>
      </w:r>
      <w:r>
        <w:rPr>
          <w:spacing w:val="-5"/>
        </w:rPr>
        <w:t xml:space="preserve"> </w:t>
      </w:r>
      <w:r>
        <w:t>June</w:t>
      </w:r>
      <w:r>
        <w:rPr>
          <w:spacing w:val="-7"/>
        </w:rPr>
        <w:t xml:space="preserve"> </w:t>
      </w:r>
      <w:r>
        <w:rPr>
          <w:spacing w:val="-4"/>
        </w:rPr>
        <w:t>2023</w:t>
      </w:r>
    </w:p>
    <w:p w14:paraId="2EC1BC3B" w14:textId="77777777" w:rsidR="00AC6F3C" w:rsidRDefault="00570E88">
      <w:pPr>
        <w:pStyle w:val="BodyText"/>
        <w:spacing w:before="10"/>
        <w:rPr>
          <w:sz w:val="18"/>
        </w:rPr>
      </w:pPr>
      <w:r>
        <w:rPr>
          <w:noProof/>
        </w:rPr>
        <mc:AlternateContent>
          <mc:Choice Requires="wps">
            <w:drawing>
              <wp:anchor distT="0" distB="0" distL="0" distR="0" simplePos="0" relativeHeight="487708672" behindDoc="1" locked="0" layoutInCell="1" allowOverlap="1" wp14:anchorId="46559CE4" wp14:editId="5D70A880">
                <wp:simplePos x="0" y="0"/>
                <wp:positionH relativeFrom="page">
                  <wp:posOffset>896045</wp:posOffset>
                </wp:positionH>
                <wp:positionV relativeFrom="paragraph">
                  <wp:posOffset>153443</wp:posOffset>
                </wp:positionV>
                <wp:extent cx="5768340" cy="635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A4D7C" id="Graphic 861" o:spid="_x0000_s1026" style="position:absolute;margin-left:70.55pt;margin-top:12.1pt;width:454.2pt;height:.5pt;z-index:-1560780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" path="m5767909,6094l,6094,,,5767909,r,6094xe" fillcolor="black" stroked="f">
                <v:path arrowok="t"/>
                <w10:wrap type="topAndBottom" anchorx="page"/>
              </v:shape>
            </w:pict>
          </mc:Fallback>
        </mc:AlternateContent>
      </w:r>
    </w:p>
    <w:p w14:paraId="595EEAFD" w14:textId="77777777" w:rsidR="00AC6F3C" w:rsidRDefault="00AC6F3C">
      <w:pPr>
        <w:pStyle w:val="BodyText"/>
      </w:pPr>
    </w:p>
    <w:p w14:paraId="2969D7A9" w14:textId="77777777" w:rsidR="00AC6F3C" w:rsidRDefault="00AC6F3C">
      <w:pPr>
        <w:pStyle w:val="BodyText"/>
        <w:spacing w:before="5"/>
        <w:rPr>
          <w:sz w:val="22"/>
        </w:rPr>
      </w:pPr>
    </w:p>
    <w:p w14:paraId="5C832983" w14:textId="77777777" w:rsidR="00AC6F3C" w:rsidRDefault="00570E88">
      <w:pPr>
        <w:ind w:left="979"/>
        <w:rPr>
          <w:sz w:val="18"/>
        </w:rPr>
      </w:pPr>
      <w:r>
        <w:rPr>
          <w:sz w:val="18"/>
        </w:rPr>
        <w:t>In</w:t>
      </w:r>
      <w:r>
        <w:rPr>
          <w:spacing w:val="-1"/>
          <w:sz w:val="18"/>
        </w:rPr>
        <w:t xml:space="preserve"> </w:t>
      </w:r>
      <w:r>
        <w:rPr>
          <w:sz w:val="18"/>
        </w:rPr>
        <w:t>the</w:t>
      </w:r>
      <w:r>
        <w:rPr>
          <w:spacing w:val="-3"/>
          <w:sz w:val="18"/>
        </w:rPr>
        <w:t xml:space="preserve"> </w:t>
      </w:r>
      <w:r>
        <w:rPr>
          <w:sz w:val="18"/>
        </w:rPr>
        <w:t>directors’</w:t>
      </w:r>
      <w:r>
        <w:rPr>
          <w:spacing w:val="-2"/>
          <w:sz w:val="18"/>
        </w:rPr>
        <w:t xml:space="preserve"> opinion:</w:t>
      </w:r>
    </w:p>
    <w:p w14:paraId="2EDC6C7E" w14:textId="77777777" w:rsidR="00AC6F3C" w:rsidRDefault="00AC6F3C">
      <w:pPr>
        <w:pStyle w:val="BodyText"/>
        <w:spacing w:before="9"/>
      </w:pPr>
    </w:p>
    <w:p w14:paraId="593AF8CF" w14:textId="77777777" w:rsidR="00AC6F3C" w:rsidRDefault="00570E88">
      <w:pPr>
        <w:pStyle w:val="ListParagraph"/>
        <w:numPr>
          <w:ilvl w:val="0"/>
          <w:numId w:val="9"/>
        </w:numPr>
        <w:tabs>
          <w:tab w:val="left" w:pos="1340"/>
        </w:tabs>
        <w:spacing w:before="1"/>
        <w:ind w:right="626" w:hanging="361"/>
        <w:rPr>
          <w:sz w:val="18"/>
        </w:rPr>
      </w:pPr>
      <w:r>
        <w:rPr>
          <w:sz w:val="18"/>
        </w:rPr>
        <w:t xml:space="preserve">the attached financial statements and notes comply with the </w:t>
      </w:r>
      <w:r>
        <w:rPr>
          <w:i/>
          <w:sz w:val="18"/>
        </w:rPr>
        <w:t>Corporations Act 2001</w:t>
      </w:r>
      <w:r>
        <w:rPr>
          <w:sz w:val="18"/>
        </w:rPr>
        <w:t>, the Australian Accounting</w:t>
      </w:r>
      <w:r>
        <w:rPr>
          <w:spacing w:val="-2"/>
          <w:sz w:val="18"/>
        </w:rPr>
        <w:t xml:space="preserve"> </w:t>
      </w:r>
      <w:r>
        <w:rPr>
          <w:sz w:val="18"/>
        </w:rPr>
        <w:t>Standards</w:t>
      </w:r>
      <w:r>
        <w:rPr>
          <w:spacing w:val="-4"/>
          <w:sz w:val="18"/>
        </w:rPr>
        <w:t xml:space="preserve"> </w:t>
      </w:r>
      <w:r>
        <w:rPr>
          <w:sz w:val="18"/>
        </w:rPr>
        <w:t>–</w:t>
      </w:r>
      <w:r>
        <w:rPr>
          <w:spacing w:val="-2"/>
          <w:sz w:val="18"/>
        </w:rPr>
        <w:t xml:space="preserve"> </w:t>
      </w:r>
      <w:r>
        <w:rPr>
          <w:sz w:val="18"/>
        </w:rPr>
        <w:t>Simplified</w:t>
      </w:r>
      <w:r>
        <w:rPr>
          <w:spacing w:val="-2"/>
          <w:sz w:val="18"/>
        </w:rPr>
        <w:t xml:space="preserve"> </w:t>
      </w:r>
      <w:r>
        <w:rPr>
          <w:sz w:val="18"/>
        </w:rPr>
        <w:t>Disclosures,</w:t>
      </w:r>
      <w:r>
        <w:rPr>
          <w:spacing w:val="-3"/>
          <w:sz w:val="18"/>
        </w:rPr>
        <w:t xml:space="preserve"> </w:t>
      </w:r>
      <w:r>
        <w:rPr>
          <w:sz w:val="18"/>
        </w:rPr>
        <w:t>the</w:t>
      </w:r>
      <w:r>
        <w:rPr>
          <w:spacing w:val="-2"/>
          <w:sz w:val="18"/>
        </w:rPr>
        <w:t xml:space="preserve"> </w:t>
      </w:r>
      <w:r>
        <w:rPr>
          <w:sz w:val="18"/>
        </w:rPr>
        <w:t>Corporations</w:t>
      </w:r>
      <w:r>
        <w:rPr>
          <w:spacing w:val="-2"/>
          <w:sz w:val="18"/>
        </w:rPr>
        <w:t xml:space="preserve"> </w:t>
      </w:r>
      <w:r>
        <w:rPr>
          <w:sz w:val="18"/>
        </w:rPr>
        <w:t>Regulations</w:t>
      </w:r>
      <w:r>
        <w:rPr>
          <w:spacing w:val="-4"/>
          <w:sz w:val="18"/>
        </w:rPr>
        <w:t xml:space="preserve"> </w:t>
      </w:r>
      <w:r>
        <w:rPr>
          <w:sz w:val="18"/>
        </w:rPr>
        <w:t>2001</w:t>
      </w:r>
      <w:r>
        <w:rPr>
          <w:spacing w:val="-5"/>
          <w:sz w:val="18"/>
        </w:rPr>
        <w:t xml:space="preserve"> </w:t>
      </w:r>
      <w:r>
        <w:rPr>
          <w:sz w:val="18"/>
        </w:rPr>
        <w:t>and</w:t>
      </w:r>
      <w:r>
        <w:rPr>
          <w:spacing w:val="-5"/>
          <w:sz w:val="18"/>
        </w:rPr>
        <w:t xml:space="preserve"> </w:t>
      </w:r>
      <w:r>
        <w:rPr>
          <w:sz w:val="18"/>
        </w:rPr>
        <w:t>other</w:t>
      </w:r>
      <w:r>
        <w:rPr>
          <w:spacing w:val="-3"/>
          <w:sz w:val="18"/>
        </w:rPr>
        <w:t xml:space="preserve"> </w:t>
      </w:r>
      <w:r>
        <w:rPr>
          <w:sz w:val="18"/>
        </w:rPr>
        <w:t>mandatory professional reporting requirements;</w:t>
      </w:r>
    </w:p>
    <w:p w14:paraId="466811A3" w14:textId="77777777" w:rsidR="00AC6F3C" w:rsidRDefault="00AC6F3C">
      <w:pPr>
        <w:pStyle w:val="BodyText"/>
        <w:spacing w:before="9"/>
      </w:pPr>
    </w:p>
    <w:p w14:paraId="21797E65" w14:textId="77777777" w:rsidR="00AC6F3C" w:rsidRDefault="00570E88">
      <w:pPr>
        <w:pStyle w:val="ListParagraph"/>
        <w:numPr>
          <w:ilvl w:val="0"/>
          <w:numId w:val="9"/>
        </w:numPr>
        <w:tabs>
          <w:tab w:val="left" w:pos="1340"/>
        </w:tabs>
        <w:spacing w:before="0"/>
        <w:ind w:right="284"/>
        <w:rPr>
          <w:sz w:val="18"/>
        </w:rPr>
      </w:pPr>
      <w:r>
        <w:rPr>
          <w:sz w:val="18"/>
        </w:rPr>
        <w:t>the</w:t>
      </w:r>
      <w:r>
        <w:rPr>
          <w:spacing w:val="-1"/>
          <w:sz w:val="18"/>
        </w:rPr>
        <w:t xml:space="preserve"> </w:t>
      </w:r>
      <w:r>
        <w:rPr>
          <w:sz w:val="18"/>
        </w:rPr>
        <w:t>attached</w:t>
      </w:r>
      <w:r>
        <w:rPr>
          <w:spacing w:val="-1"/>
          <w:sz w:val="18"/>
        </w:rPr>
        <w:t xml:space="preserve"> </w:t>
      </w:r>
      <w:r>
        <w:rPr>
          <w:sz w:val="18"/>
        </w:rPr>
        <w:t>financial</w:t>
      </w:r>
      <w:r>
        <w:rPr>
          <w:spacing w:val="-4"/>
          <w:sz w:val="18"/>
        </w:rPr>
        <w:t xml:space="preserve"> </w:t>
      </w:r>
      <w:r>
        <w:rPr>
          <w:sz w:val="18"/>
        </w:rPr>
        <w:t>statements</w:t>
      </w:r>
      <w:r>
        <w:rPr>
          <w:spacing w:val="-1"/>
          <w:sz w:val="18"/>
        </w:rPr>
        <w:t xml:space="preserve"> </w:t>
      </w:r>
      <w:r>
        <w:rPr>
          <w:sz w:val="18"/>
        </w:rPr>
        <w:t>and</w:t>
      </w:r>
      <w:r>
        <w:rPr>
          <w:spacing w:val="-1"/>
          <w:sz w:val="18"/>
        </w:rPr>
        <w:t xml:space="preserve"> </w:t>
      </w:r>
      <w:r>
        <w:rPr>
          <w:sz w:val="18"/>
        </w:rPr>
        <w:t>notes</w:t>
      </w:r>
      <w:r>
        <w:rPr>
          <w:spacing w:val="-1"/>
          <w:sz w:val="18"/>
        </w:rPr>
        <w:t xml:space="preserve"> </w:t>
      </w:r>
      <w:r>
        <w:rPr>
          <w:sz w:val="18"/>
        </w:rPr>
        <w:t>give</w:t>
      </w:r>
      <w:r>
        <w:rPr>
          <w:spacing w:val="-4"/>
          <w:sz w:val="18"/>
        </w:rPr>
        <w:t xml:space="preserve"> </w:t>
      </w:r>
      <w:r>
        <w:rPr>
          <w:sz w:val="18"/>
        </w:rPr>
        <w:t>a</w:t>
      </w:r>
      <w:r>
        <w:rPr>
          <w:spacing w:val="-1"/>
          <w:sz w:val="18"/>
        </w:rPr>
        <w:t xml:space="preserve"> </w:t>
      </w:r>
      <w:r>
        <w:rPr>
          <w:sz w:val="18"/>
        </w:rPr>
        <w:t>true</w:t>
      </w:r>
      <w:r>
        <w:rPr>
          <w:spacing w:val="-1"/>
          <w:sz w:val="18"/>
        </w:rPr>
        <w:t xml:space="preserve"> </w:t>
      </w:r>
      <w:r>
        <w:rPr>
          <w:sz w:val="18"/>
        </w:rPr>
        <w:t>and</w:t>
      </w:r>
      <w:r>
        <w:rPr>
          <w:spacing w:val="-1"/>
          <w:sz w:val="18"/>
        </w:rPr>
        <w:t xml:space="preserve"> </w:t>
      </w:r>
      <w:r>
        <w:rPr>
          <w:sz w:val="18"/>
        </w:rPr>
        <w:t>fair</w:t>
      </w:r>
      <w:r>
        <w:rPr>
          <w:spacing w:val="-2"/>
          <w:sz w:val="18"/>
        </w:rPr>
        <w:t xml:space="preserve"> </w:t>
      </w:r>
      <w:r>
        <w:rPr>
          <w:sz w:val="18"/>
        </w:rPr>
        <w:t>view</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company’s</w:t>
      </w:r>
      <w:r>
        <w:rPr>
          <w:spacing w:val="-1"/>
          <w:sz w:val="18"/>
        </w:rPr>
        <w:t xml:space="preserve"> </w:t>
      </w:r>
      <w:r>
        <w:rPr>
          <w:sz w:val="18"/>
        </w:rPr>
        <w:t>financial</w:t>
      </w:r>
      <w:r>
        <w:rPr>
          <w:spacing w:val="-1"/>
          <w:sz w:val="18"/>
        </w:rPr>
        <w:t xml:space="preserve"> </w:t>
      </w:r>
      <w:r>
        <w:rPr>
          <w:sz w:val="18"/>
        </w:rPr>
        <w:t>position</w:t>
      </w:r>
      <w:r>
        <w:rPr>
          <w:spacing w:val="-4"/>
          <w:sz w:val="18"/>
        </w:rPr>
        <w:t xml:space="preserve"> </w:t>
      </w:r>
      <w:r>
        <w:rPr>
          <w:sz w:val="18"/>
        </w:rPr>
        <w:t>as</w:t>
      </w:r>
      <w:r>
        <w:rPr>
          <w:spacing w:val="-3"/>
          <w:sz w:val="18"/>
        </w:rPr>
        <w:t xml:space="preserve"> </w:t>
      </w:r>
      <w:r>
        <w:rPr>
          <w:sz w:val="18"/>
        </w:rPr>
        <w:t>at 30 June 2023 and of its performance for the financial year ended on that date; and</w:t>
      </w:r>
    </w:p>
    <w:p w14:paraId="4CF2BCE9" w14:textId="77777777" w:rsidR="00AC6F3C" w:rsidRDefault="00AC6F3C">
      <w:pPr>
        <w:pStyle w:val="BodyText"/>
        <w:spacing w:before="7"/>
      </w:pPr>
    </w:p>
    <w:p w14:paraId="174616C8" w14:textId="77777777" w:rsidR="00AC6F3C" w:rsidRDefault="00570E88">
      <w:pPr>
        <w:pStyle w:val="ListParagraph"/>
        <w:numPr>
          <w:ilvl w:val="0"/>
          <w:numId w:val="9"/>
        </w:numPr>
        <w:tabs>
          <w:tab w:val="left" w:pos="1340"/>
        </w:tabs>
        <w:spacing w:before="0"/>
        <w:ind w:right="667"/>
        <w:rPr>
          <w:sz w:val="18"/>
        </w:rPr>
      </w:pPr>
      <w:r>
        <w:rPr>
          <w:sz w:val="18"/>
        </w:rPr>
        <w:t>there</w:t>
      </w:r>
      <w:r>
        <w:rPr>
          <w:spacing w:val="-1"/>
          <w:sz w:val="18"/>
        </w:rPr>
        <w:t xml:space="preserve"> </w:t>
      </w:r>
      <w:r>
        <w:rPr>
          <w:sz w:val="18"/>
        </w:rPr>
        <w:t>are</w:t>
      </w:r>
      <w:r>
        <w:rPr>
          <w:spacing w:val="-1"/>
          <w:sz w:val="18"/>
        </w:rPr>
        <w:t xml:space="preserve"> </w:t>
      </w:r>
      <w:r>
        <w:rPr>
          <w:sz w:val="18"/>
        </w:rPr>
        <w:t>reasonable</w:t>
      </w:r>
      <w:r>
        <w:rPr>
          <w:spacing w:val="-1"/>
          <w:sz w:val="18"/>
        </w:rPr>
        <w:t xml:space="preserve"> </w:t>
      </w:r>
      <w:r>
        <w:rPr>
          <w:sz w:val="18"/>
        </w:rPr>
        <w:t>grounds</w:t>
      </w:r>
      <w:r>
        <w:rPr>
          <w:spacing w:val="-3"/>
          <w:sz w:val="18"/>
        </w:rPr>
        <w:t xml:space="preserve"> </w:t>
      </w:r>
      <w:r>
        <w:rPr>
          <w:sz w:val="18"/>
        </w:rPr>
        <w:t>to</w:t>
      </w:r>
      <w:r>
        <w:rPr>
          <w:spacing w:val="-1"/>
          <w:sz w:val="18"/>
        </w:rPr>
        <w:t xml:space="preserve"> </w:t>
      </w:r>
      <w:r>
        <w:rPr>
          <w:sz w:val="18"/>
        </w:rPr>
        <w:t>believe</w:t>
      </w:r>
      <w:r>
        <w:rPr>
          <w:spacing w:val="-1"/>
          <w:sz w:val="18"/>
        </w:rPr>
        <w:t xml:space="preserve"> </w:t>
      </w:r>
      <w:r>
        <w:rPr>
          <w:sz w:val="18"/>
        </w:rPr>
        <w:t>that</w:t>
      </w:r>
      <w:r>
        <w:rPr>
          <w:spacing w:val="-2"/>
          <w:sz w:val="18"/>
        </w:rPr>
        <w:t xml:space="preserve"> </w:t>
      </w:r>
      <w:r>
        <w:rPr>
          <w:sz w:val="18"/>
        </w:rPr>
        <w:t>the</w:t>
      </w:r>
      <w:r>
        <w:rPr>
          <w:spacing w:val="-4"/>
          <w:sz w:val="18"/>
        </w:rPr>
        <w:t xml:space="preserve"> </w:t>
      </w:r>
      <w:r>
        <w:rPr>
          <w:sz w:val="18"/>
        </w:rPr>
        <w:t>company</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able</w:t>
      </w:r>
      <w:r>
        <w:rPr>
          <w:spacing w:val="-1"/>
          <w:sz w:val="18"/>
        </w:rPr>
        <w:t xml:space="preserve"> </w:t>
      </w:r>
      <w:r>
        <w:rPr>
          <w:sz w:val="18"/>
        </w:rPr>
        <w:t>to</w:t>
      </w:r>
      <w:r>
        <w:rPr>
          <w:spacing w:val="-4"/>
          <w:sz w:val="18"/>
        </w:rPr>
        <w:t xml:space="preserve"> </w:t>
      </w:r>
      <w:r>
        <w:rPr>
          <w:sz w:val="18"/>
        </w:rPr>
        <w:t>pay</w:t>
      </w:r>
      <w:r>
        <w:rPr>
          <w:spacing w:val="-1"/>
          <w:sz w:val="18"/>
        </w:rPr>
        <w:t xml:space="preserve"> </w:t>
      </w:r>
      <w:r>
        <w:rPr>
          <w:sz w:val="18"/>
        </w:rPr>
        <w:t>its</w:t>
      </w:r>
      <w:r>
        <w:rPr>
          <w:spacing w:val="-1"/>
          <w:sz w:val="18"/>
        </w:rPr>
        <w:t xml:space="preserve"> </w:t>
      </w:r>
      <w:r>
        <w:rPr>
          <w:sz w:val="18"/>
        </w:rPr>
        <w:t>debts</w:t>
      </w:r>
      <w:r>
        <w:rPr>
          <w:spacing w:val="-3"/>
          <w:sz w:val="18"/>
        </w:rPr>
        <w:t xml:space="preserve"> </w:t>
      </w:r>
      <w:r>
        <w:rPr>
          <w:sz w:val="18"/>
        </w:rPr>
        <w:t>as</w:t>
      </w:r>
      <w:r>
        <w:rPr>
          <w:spacing w:val="-3"/>
          <w:sz w:val="18"/>
        </w:rPr>
        <w:t xml:space="preserve"> </w:t>
      </w:r>
      <w:r>
        <w:rPr>
          <w:sz w:val="18"/>
        </w:rPr>
        <w:t>and</w:t>
      </w:r>
      <w:r>
        <w:rPr>
          <w:spacing w:val="-1"/>
          <w:sz w:val="18"/>
        </w:rPr>
        <w:t xml:space="preserve"> </w:t>
      </w:r>
      <w:r>
        <w:rPr>
          <w:sz w:val="18"/>
        </w:rPr>
        <w:t>when</w:t>
      </w:r>
      <w:r>
        <w:rPr>
          <w:spacing w:val="-4"/>
          <w:sz w:val="18"/>
        </w:rPr>
        <w:t xml:space="preserve"> </w:t>
      </w:r>
      <w:r>
        <w:rPr>
          <w:sz w:val="18"/>
        </w:rPr>
        <w:t>they become due and payable.</w:t>
      </w:r>
    </w:p>
    <w:p w14:paraId="76E4ABDA" w14:textId="77777777" w:rsidR="00AC6F3C" w:rsidRDefault="00AC6F3C">
      <w:pPr>
        <w:pStyle w:val="BodyText"/>
        <w:spacing w:before="10"/>
      </w:pPr>
    </w:p>
    <w:p w14:paraId="3DA1C90D" w14:textId="77777777" w:rsidR="00AC6F3C" w:rsidRDefault="00570E88">
      <w:pPr>
        <w:ind w:left="980" w:right="468"/>
        <w:rPr>
          <w:sz w:val="18"/>
        </w:rPr>
      </w:pPr>
      <w:r>
        <w:rPr>
          <w:sz w:val="18"/>
        </w:rPr>
        <w:t>Signed</w:t>
      </w:r>
      <w:r>
        <w:rPr>
          <w:spacing w:val="-4"/>
          <w:sz w:val="18"/>
        </w:rPr>
        <w:t xml:space="preserve"> </w:t>
      </w:r>
      <w:r>
        <w:rPr>
          <w:sz w:val="18"/>
        </w:rPr>
        <w:t>in</w:t>
      </w:r>
      <w:r>
        <w:rPr>
          <w:spacing w:val="-4"/>
          <w:sz w:val="18"/>
        </w:rPr>
        <w:t xml:space="preserve"> </w:t>
      </w:r>
      <w:r>
        <w:rPr>
          <w:sz w:val="18"/>
        </w:rPr>
        <w:t>accordance</w:t>
      </w:r>
      <w:r>
        <w:rPr>
          <w:spacing w:val="-1"/>
          <w:sz w:val="18"/>
        </w:rPr>
        <w:t xml:space="preserve"> </w:t>
      </w:r>
      <w:r>
        <w:rPr>
          <w:sz w:val="18"/>
        </w:rPr>
        <w:t>with</w:t>
      </w:r>
      <w:r>
        <w:rPr>
          <w:spacing w:val="-4"/>
          <w:sz w:val="18"/>
        </w:rPr>
        <w:t xml:space="preserve"> </w:t>
      </w:r>
      <w:r>
        <w:rPr>
          <w:sz w:val="18"/>
        </w:rPr>
        <w:t>a</w:t>
      </w:r>
      <w:r>
        <w:rPr>
          <w:spacing w:val="-1"/>
          <w:sz w:val="18"/>
        </w:rPr>
        <w:t xml:space="preserve"> </w:t>
      </w:r>
      <w:r>
        <w:rPr>
          <w:sz w:val="18"/>
        </w:rPr>
        <w:t>resolution</w:t>
      </w:r>
      <w:r>
        <w:rPr>
          <w:spacing w:val="-1"/>
          <w:sz w:val="18"/>
        </w:rPr>
        <w:t xml:space="preserve"> </w:t>
      </w:r>
      <w:r>
        <w:rPr>
          <w:sz w:val="18"/>
        </w:rPr>
        <w:t>of</w:t>
      </w:r>
      <w:r>
        <w:rPr>
          <w:spacing w:val="-4"/>
          <w:sz w:val="18"/>
        </w:rPr>
        <w:t xml:space="preserve"> </w:t>
      </w:r>
      <w:r>
        <w:rPr>
          <w:sz w:val="18"/>
        </w:rPr>
        <w:t>directors</w:t>
      </w:r>
      <w:r>
        <w:rPr>
          <w:spacing w:val="-3"/>
          <w:sz w:val="18"/>
        </w:rPr>
        <w:t xml:space="preserve"> </w:t>
      </w:r>
      <w:r>
        <w:rPr>
          <w:sz w:val="18"/>
        </w:rPr>
        <w:t>made</w:t>
      </w:r>
      <w:r>
        <w:rPr>
          <w:spacing w:val="-4"/>
          <w:sz w:val="18"/>
        </w:rPr>
        <w:t xml:space="preserve"> </w:t>
      </w:r>
      <w:r>
        <w:rPr>
          <w:sz w:val="18"/>
        </w:rPr>
        <w:t>pursuant</w:t>
      </w:r>
      <w:r>
        <w:rPr>
          <w:spacing w:val="-2"/>
          <w:sz w:val="18"/>
        </w:rPr>
        <w:t xml:space="preserve"> </w:t>
      </w:r>
      <w:r>
        <w:rPr>
          <w:sz w:val="18"/>
        </w:rPr>
        <w:t>to</w:t>
      </w:r>
      <w:r>
        <w:rPr>
          <w:spacing w:val="-4"/>
          <w:sz w:val="18"/>
        </w:rPr>
        <w:t xml:space="preserve"> </w:t>
      </w:r>
      <w:r>
        <w:rPr>
          <w:sz w:val="18"/>
        </w:rPr>
        <w:t>section</w:t>
      </w:r>
      <w:r>
        <w:rPr>
          <w:spacing w:val="-1"/>
          <w:sz w:val="18"/>
        </w:rPr>
        <w:t xml:space="preserve"> </w:t>
      </w:r>
      <w:r>
        <w:rPr>
          <w:sz w:val="18"/>
        </w:rPr>
        <w:t>295(5)(a)</w:t>
      </w:r>
      <w:r>
        <w:rPr>
          <w:spacing w:val="-4"/>
          <w:sz w:val="18"/>
        </w:rPr>
        <w:t xml:space="preserve"> </w:t>
      </w:r>
      <w:r>
        <w:rPr>
          <w:sz w:val="18"/>
        </w:rPr>
        <w:t>of</w:t>
      </w:r>
      <w:r>
        <w:rPr>
          <w:spacing w:val="-2"/>
          <w:sz w:val="18"/>
        </w:rPr>
        <w:t xml:space="preserve"> </w:t>
      </w:r>
      <w:r>
        <w:rPr>
          <w:sz w:val="18"/>
        </w:rPr>
        <w:t>the</w:t>
      </w:r>
      <w:r>
        <w:rPr>
          <w:spacing w:val="-1"/>
          <w:sz w:val="18"/>
        </w:rPr>
        <w:t xml:space="preserve"> </w:t>
      </w:r>
      <w:r>
        <w:rPr>
          <w:i/>
          <w:sz w:val="18"/>
        </w:rPr>
        <w:t>Corporations</w:t>
      </w:r>
      <w:r>
        <w:rPr>
          <w:i/>
          <w:spacing w:val="-1"/>
          <w:sz w:val="18"/>
        </w:rPr>
        <w:t xml:space="preserve"> </w:t>
      </w:r>
      <w:r>
        <w:rPr>
          <w:i/>
          <w:sz w:val="18"/>
        </w:rPr>
        <w:t xml:space="preserve">Act </w:t>
      </w:r>
      <w:r>
        <w:rPr>
          <w:i/>
          <w:spacing w:val="-2"/>
          <w:sz w:val="18"/>
        </w:rPr>
        <w:t>2001</w:t>
      </w:r>
      <w:r>
        <w:rPr>
          <w:spacing w:val="-2"/>
          <w:sz w:val="18"/>
        </w:rPr>
        <w:t>.</w:t>
      </w:r>
    </w:p>
    <w:p w14:paraId="02AABF22" w14:textId="77777777" w:rsidR="00AC6F3C" w:rsidRDefault="00AC6F3C">
      <w:pPr>
        <w:pStyle w:val="BodyText"/>
        <w:spacing w:before="8"/>
      </w:pPr>
    </w:p>
    <w:p w14:paraId="6B7332CC" w14:textId="77777777" w:rsidR="00AC6F3C" w:rsidRDefault="00570E88">
      <w:pPr>
        <w:spacing w:before="1"/>
        <w:ind w:left="980"/>
        <w:rPr>
          <w:sz w:val="18"/>
        </w:rPr>
      </w:pPr>
      <w:r>
        <w:rPr>
          <w:sz w:val="18"/>
        </w:rPr>
        <w:t>On behalf</w:t>
      </w:r>
      <w:r>
        <w:rPr>
          <w:spacing w:val="-1"/>
          <w:sz w:val="18"/>
        </w:rPr>
        <w:t xml:space="preserve"> </w:t>
      </w:r>
      <w:r>
        <w:rPr>
          <w:sz w:val="18"/>
        </w:rPr>
        <w:t>of</w:t>
      </w:r>
      <w:r>
        <w:rPr>
          <w:spacing w:val="-3"/>
          <w:sz w:val="18"/>
        </w:rPr>
        <w:t xml:space="preserve"> </w:t>
      </w:r>
      <w:r>
        <w:rPr>
          <w:sz w:val="18"/>
        </w:rPr>
        <w:t>the</w:t>
      </w:r>
      <w:r>
        <w:rPr>
          <w:spacing w:val="-2"/>
          <w:sz w:val="18"/>
        </w:rPr>
        <w:t xml:space="preserve"> directors</w:t>
      </w:r>
    </w:p>
    <w:p w14:paraId="3D70A5D6" w14:textId="77777777" w:rsidR="00AC6F3C" w:rsidRDefault="00AC6F3C">
      <w:pPr>
        <w:pStyle w:val="BodyText"/>
      </w:pPr>
    </w:p>
    <w:p w14:paraId="2596D889" w14:textId="77777777" w:rsidR="00AC6F3C" w:rsidRDefault="00AC6F3C">
      <w:pPr>
        <w:pStyle w:val="BodyText"/>
      </w:pPr>
    </w:p>
    <w:p w14:paraId="26FDD8C9" w14:textId="77777777" w:rsidR="00AC6F3C" w:rsidRDefault="00AC6F3C">
      <w:pPr>
        <w:pStyle w:val="BodyText"/>
      </w:pPr>
    </w:p>
    <w:p w14:paraId="737268C3" w14:textId="77777777" w:rsidR="00AC6F3C" w:rsidRDefault="00AC6F3C">
      <w:pPr>
        <w:pStyle w:val="BodyText"/>
      </w:pPr>
    </w:p>
    <w:p w14:paraId="072A0791" w14:textId="77777777" w:rsidR="00AC6F3C" w:rsidRDefault="00AC6F3C">
      <w:pPr>
        <w:pStyle w:val="BodyText"/>
      </w:pPr>
    </w:p>
    <w:p w14:paraId="7270E990" w14:textId="53CD81EF" w:rsidR="00AC6F3C" w:rsidRDefault="00570E88">
      <w:pPr>
        <w:pStyle w:val="BodyText"/>
        <w:spacing w:before="4"/>
        <w:rPr>
          <w:sz w:val="14"/>
        </w:rPr>
      </w:pPr>
      <w:r>
        <w:rPr>
          <w:noProof/>
        </w:rPr>
        <mc:AlternateContent>
          <mc:Choice Requires="wps">
            <w:drawing>
              <wp:anchor distT="0" distB="0" distL="0" distR="0" simplePos="0" relativeHeight="487710208" behindDoc="1" locked="0" layoutInCell="1" allowOverlap="1" wp14:anchorId="4C1C9AA9" wp14:editId="0DFE8592">
                <wp:simplePos x="0" y="0"/>
                <wp:positionH relativeFrom="page">
                  <wp:posOffset>914331</wp:posOffset>
                </wp:positionH>
                <wp:positionV relativeFrom="paragraph">
                  <wp:posOffset>1089024</wp:posOffset>
                </wp:positionV>
                <wp:extent cx="1970405" cy="6350"/>
                <wp:effectExtent l="0" t="0" r="0" b="0"/>
                <wp:wrapTopAndBottom/>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6350"/>
                        </a:xfrm>
                        <a:custGeom>
                          <a:avLst/>
                          <a:gdLst/>
                          <a:ahLst/>
                          <a:cxnLst/>
                          <a:rect l="l" t="t" r="r" b="b"/>
                          <a:pathLst>
                            <a:path w="1970405" h="6350">
                              <a:moveTo>
                                <a:pt x="1970384" y="6094"/>
                              </a:moveTo>
                              <a:lnTo>
                                <a:pt x="0" y="6094"/>
                              </a:lnTo>
                              <a:lnTo>
                                <a:pt x="0" y="0"/>
                              </a:lnTo>
                              <a:lnTo>
                                <a:pt x="1970384" y="0"/>
                              </a:lnTo>
                              <a:lnTo>
                                <a:pt x="1970384"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68F16" id="Graphic 864" o:spid="_x0000_s1026" style="position:absolute;margin-left:1in;margin-top:85.75pt;width:155.15pt;height:.5pt;z-index:-15606272;visibility:visible;mso-wrap-style:square;mso-wrap-distance-left:0;mso-wrap-distance-top:0;mso-wrap-distance-right:0;mso-wrap-distance-bottom:0;mso-position-horizontal:absolute;mso-position-horizontal-relative:page;mso-position-vertical:absolute;mso-position-vertical-relative:text;v-text-anchor:top" coordsize="197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" path="m1970384,6094l,6094,,,1970384,r,6094xe" fillcolor="black" stroked="f">
                <v:path arrowok="t"/>
                <w10:wrap type="topAndBottom" anchorx="page"/>
              </v:shape>
            </w:pict>
          </mc:Fallback>
        </mc:AlternateContent>
      </w:r>
      <w:r>
        <w:rPr>
          <w:noProof/>
        </w:rPr>
        <mc:AlternateContent>
          <mc:Choice Requires="wps">
            <w:drawing>
              <wp:anchor distT="0" distB="0" distL="0" distR="0" simplePos="0" relativeHeight="487710720" behindDoc="1" locked="0" layoutInCell="1" allowOverlap="1" wp14:anchorId="6A13A398" wp14:editId="0E77F06A">
                <wp:simplePos x="0" y="0"/>
                <wp:positionH relativeFrom="page">
                  <wp:posOffset>3952961</wp:posOffset>
                </wp:positionH>
                <wp:positionV relativeFrom="paragraph">
                  <wp:posOffset>1089024</wp:posOffset>
                </wp:positionV>
                <wp:extent cx="1889760" cy="635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6350"/>
                        </a:xfrm>
                        <a:custGeom>
                          <a:avLst/>
                          <a:gdLst/>
                          <a:ahLst/>
                          <a:cxnLst/>
                          <a:rect l="l" t="t" r="r" b="b"/>
                          <a:pathLst>
                            <a:path w="1889760" h="6350">
                              <a:moveTo>
                                <a:pt x="1889618" y="6094"/>
                              </a:moveTo>
                              <a:lnTo>
                                <a:pt x="0" y="6094"/>
                              </a:lnTo>
                              <a:lnTo>
                                <a:pt x="0" y="0"/>
                              </a:lnTo>
                              <a:lnTo>
                                <a:pt x="1889618" y="0"/>
                              </a:lnTo>
                              <a:lnTo>
                                <a:pt x="1889618"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39C7F" id="Graphic 865" o:spid="_x0000_s1026" style="position:absolute;margin-left:311.25pt;margin-top:85.75pt;width:148.8pt;height:.5pt;z-index:-15605760;visibility:visible;mso-wrap-style:square;mso-wrap-distance-left:0;mso-wrap-distance-top:0;mso-wrap-distance-right:0;mso-wrap-distance-bottom:0;mso-position-horizontal:absolute;mso-position-horizontal-relative:page;mso-position-vertical:absolute;mso-position-vertical-relative:text;v-text-anchor:top" coordsize="188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" path="m1889618,6094l,6094,,,1889618,r,6094xe" fillcolor="black" stroked="f">
                <v:path arrowok="t"/>
                <w10:wrap type="topAndBottom" anchorx="page"/>
              </v:shape>
            </w:pict>
          </mc:Fallback>
        </mc:AlternateContent>
      </w:r>
    </w:p>
    <w:p w14:paraId="70BD39BD" w14:textId="77777777" w:rsidR="00AC6F3C" w:rsidRDefault="00AC6F3C">
      <w:pPr>
        <w:pStyle w:val="BodyText"/>
        <w:spacing w:before="3"/>
        <w:rPr>
          <w:sz w:val="26"/>
        </w:rPr>
      </w:pPr>
    </w:p>
    <w:p w14:paraId="265CEE64" w14:textId="77777777" w:rsidR="00AC6F3C" w:rsidRDefault="00570E88">
      <w:pPr>
        <w:tabs>
          <w:tab w:val="left" w:pos="5873"/>
        </w:tabs>
        <w:spacing w:line="205" w:lineRule="exact"/>
        <w:ind w:left="1087"/>
        <w:rPr>
          <w:sz w:val="18"/>
        </w:rPr>
      </w:pPr>
      <w:r>
        <w:rPr>
          <w:sz w:val="18"/>
        </w:rPr>
        <w:t>Chairperson</w:t>
      </w:r>
      <w:r>
        <w:rPr>
          <w:spacing w:val="-4"/>
          <w:sz w:val="18"/>
        </w:rPr>
        <w:t xml:space="preserve"> </w:t>
      </w:r>
      <w:r>
        <w:rPr>
          <w:sz w:val="18"/>
        </w:rPr>
        <w:t>&amp;</w:t>
      </w:r>
      <w:r>
        <w:rPr>
          <w:spacing w:val="-1"/>
          <w:sz w:val="18"/>
        </w:rPr>
        <w:t xml:space="preserve"> </w:t>
      </w:r>
      <w:r>
        <w:rPr>
          <w:spacing w:val="-2"/>
          <w:sz w:val="18"/>
        </w:rPr>
        <w:t>Director</w:t>
      </w:r>
      <w:r>
        <w:rPr>
          <w:sz w:val="18"/>
        </w:rPr>
        <w:tab/>
      </w:r>
      <w:r>
        <w:rPr>
          <w:spacing w:val="-2"/>
          <w:sz w:val="18"/>
        </w:rPr>
        <w:t>Director</w:t>
      </w:r>
    </w:p>
    <w:p w14:paraId="56322700" w14:textId="77777777" w:rsidR="00AC6F3C" w:rsidRDefault="00570E88">
      <w:pPr>
        <w:tabs>
          <w:tab w:val="left" w:pos="5873"/>
        </w:tabs>
        <w:spacing w:line="231" w:lineRule="exact"/>
        <w:ind w:left="1087"/>
        <w:rPr>
          <w:sz w:val="20"/>
        </w:rPr>
      </w:pPr>
      <w:r>
        <w:rPr>
          <w:position w:val="2"/>
          <w:sz w:val="18"/>
        </w:rPr>
        <w:t xml:space="preserve">Stafford </w:t>
      </w:r>
      <w:r>
        <w:rPr>
          <w:spacing w:val="-2"/>
          <w:position w:val="2"/>
          <w:sz w:val="18"/>
        </w:rPr>
        <w:t>Shepherd</w:t>
      </w:r>
      <w:r>
        <w:rPr>
          <w:position w:val="2"/>
          <w:sz w:val="18"/>
        </w:rPr>
        <w:tab/>
      </w:r>
      <w:r>
        <w:rPr>
          <w:sz w:val="20"/>
        </w:rPr>
        <w:t>Peter</w:t>
      </w:r>
      <w:r>
        <w:rPr>
          <w:spacing w:val="-9"/>
          <w:sz w:val="20"/>
        </w:rPr>
        <w:t xml:space="preserve"> </w:t>
      </w:r>
      <w:r>
        <w:rPr>
          <w:spacing w:val="-2"/>
          <w:sz w:val="20"/>
        </w:rPr>
        <w:t>Gamin</w:t>
      </w:r>
    </w:p>
    <w:p w14:paraId="5D0F1F70" w14:textId="77777777" w:rsidR="00AC6F3C" w:rsidRDefault="00AC6F3C">
      <w:pPr>
        <w:pStyle w:val="BodyText"/>
      </w:pPr>
    </w:p>
    <w:p w14:paraId="2835EFDE" w14:textId="77777777" w:rsidR="00AC6F3C" w:rsidRDefault="00570E88">
      <w:pPr>
        <w:tabs>
          <w:tab w:val="left" w:pos="5873"/>
        </w:tabs>
        <w:ind w:left="1087"/>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r>
        <w:rPr>
          <w:sz w:val="18"/>
        </w:rPr>
        <w:tab/>
        <w:t>30</w:t>
      </w:r>
      <w:r>
        <w:rPr>
          <w:spacing w:val="-1"/>
          <w:sz w:val="18"/>
        </w:rPr>
        <w:t xml:space="preserve"> </w:t>
      </w:r>
      <w:r>
        <w:rPr>
          <w:sz w:val="18"/>
        </w:rPr>
        <w:t>August</w:t>
      </w:r>
      <w:r>
        <w:rPr>
          <w:spacing w:val="-2"/>
          <w:sz w:val="18"/>
        </w:rPr>
        <w:t xml:space="preserve"> </w:t>
      </w:r>
      <w:r>
        <w:rPr>
          <w:spacing w:val="-4"/>
          <w:sz w:val="18"/>
        </w:rPr>
        <w:t>2023</w:t>
      </w:r>
    </w:p>
    <w:p w14:paraId="383FEBDE" w14:textId="77777777" w:rsidR="00AC6F3C" w:rsidRDefault="00AC6F3C">
      <w:pPr>
        <w:rPr>
          <w:sz w:val="18"/>
        </w:rPr>
        <w:sectPr w:rsidR="00AC6F3C">
          <w:headerReference w:type="default" r:id="rId242"/>
          <w:footerReference w:type="default" r:id="rId243"/>
          <w:pgSz w:w="11910" w:h="16840"/>
          <w:pgMar w:top="1500" w:right="1160" w:bottom="520" w:left="460" w:header="1228" w:footer="336" w:gutter="0"/>
          <w:cols w:space="720"/>
        </w:sectPr>
      </w:pPr>
    </w:p>
    <w:p w14:paraId="074883C9" w14:textId="77777777" w:rsidR="00AC6F3C" w:rsidRDefault="00AC6F3C">
      <w:pPr>
        <w:pStyle w:val="BodyText"/>
      </w:pPr>
    </w:p>
    <w:p w14:paraId="03F46B39" w14:textId="77777777" w:rsidR="00AC6F3C" w:rsidRDefault="00AC6F3C">
      <w:pPr>
        <w:pStyle w:val="BodyText"/>
        <w:spacing w:before="7"/>
        <w:rPr>
          <w:sz w:val="26"/>
        </w:rPr>
      </w:pPr>
    </w:p>
    <w:p w14:paraId="52C21BD5" w14:textId="77777777" w:rsidR="00AC6F3C" w:rsidRDefault="00570E88">
      <w:pPr>
        <w:spacing w:before="90"/>
        <w:ind w:left="815"/>
        <w:rPr>
          <w:b/>
          <w:sz w:val="32"/>
        </w:rPr>
      </w:pPr>
      <w:r>
        <w:rPr>
          <w:b/>
          <w:sz w:val="32"/>
        </w:rPr>
        <w:t>INDEPENDENT</w:t>
      </w:r>
      <w:r>
        <w:rPr>
          <w:b/>
          <w:spacing w:val="-17"/>
          <w:sz w:val="32"/>
        </w:rPr>
        <w:t xml:space="preserve"> </w:t>
      </w:r>
      <w:r>
        <w:rPr>
          <w:b/>
          <w:sz w:val="32"/>
        </w:rPr>
        <w:t>AUDITOR’S</w:t>
      </w:r>
      <w:r>
        <w:rPr>
          <w:b/>
          <w:spacing w:val="-4"/>
          <w:sz w:val="32"/>
        </w:rPr>
        <w:t xml:space="preserve"> </w:t>
      </w:r>
      <w:r>
        <w:rPr>
          <w:b/>
          <w:spacing w:val="-2"/>
          <w:sz w:val="32"/>
        </w:rPr>
        <w:t>REPORT</w:t>
      </w:r>
    </w:p>
    <w:p w14:paraId="7BB2A812" w14:textId="77777777" w:rsidR="00AC6F3C" w:rsidRDefault="00570E88">
      <w:pPr>
        <w:pStyle w:val="BodyText"/>
        <w:spacing w:before="155"/>
        <w:ind w:left="815"/>
      </w:pPr>
      <w:r>
        <w:t>To</w:t>
      </w:r>
      <w:r>
        <w:rPr>
          <w:spacing w:val="-4"/>
        </w:rPr>
        <w:t xml:space="preserve"> </w:t>
      </w:r>
      <w:r>
        <w:t>the</w:t>
      </w:r>
      <w:r>
        <w:rPr>
          <w:spacing w:val="-3"/>
        </w:rPr>
        <w:t xml:space="preserve"> </w:t>
      </w:r>
      <w:r>
        <w:t>Members</w:t>
      </w:r>
      <w:r>
        <w:rPr>
          <w:spacing w:val="-3"/>
        </w:rPr>
        <w:t xml:space="preserve"> </w:t>
      </w:r>
      <w:r>
        <w:t>of</w:t>
      </w:r>
      <w:r>
        <w:rPr>
          <w:spacing w:val="-3"/>
        </w:rPr>
        <w:t xml:space="preserve"> </w:t>
      </w:r>
      <w:r>
        <w:t>QLS</w:t>
      </w:r>
      <w:r>
        <w:rPr>
          <w:spacing w:val="-3"/>
        </w:rPr>
        <w:t xml:space="preserve"> </w:t>
      </w:r>
      <w:r>
        <w:t>Solicitor</w:t>
      </w:r>
      <w:r>
        <w:rPr>
          <w:spacing w:val="-3"/>
        </w:rPr>
        <w:t xml:space="preserve"> </w:t>
      </w:r>
      <w:r>
        <w:t>Support</w:t>
      </w:r>
      <w:r>
        <w:rPr>
          <w:spacing w:val="-3"/>
        </w:rPr>
        <w:t xml:space="preserve"> </w:t>
      </w:r>
      <w:r>
        <w:t>Pty</w:t>
      </w:r>
      <w:r>
        <w:rPr>
          <w:spacing w:val="-3"/>
        </w:rPr>
        <w:t xml:space="preserve"> </w:t>
      </w:r>
      <w:r>
        <w:rPr>
          <w:spacing w:val="-5"/>
        </w:rPr>
        <w:t>Ltd</w:t>
      </w:r>
    </w:p>
    <w:p w14:paraId="0FE6B7BF" w14:textId="77777777" w:rsidR="00AC6F3C" w:rsidRDefault="00AC6F3C">
      <w:pPr>
        <w:pStyle w:val="BodyText"/>
        <w:spacing w:before="9"/>
        <w:rPr>
          <w:sz w:val="31"/>
        </w:rPr>
      </w:pPr>
    </w:p>
    <w:p w14:paraId="2123E1F2" w14:textId="77777777" w:rsidR="00AC6F3C" w:rsidRDefault="00570E88">
      <w:pPr>
        <w:ind w:left="815"/>
        <w:rPr>
          <w:b/>
          <w:sz w:val="26"/>
        </w:rPr>
      </w:pPr>
      <w:r>
        <w:rPr>
          <w:b/>
          <w:sz w:val="26"/>
        </w:rPr>
        <w:t>Report</w:t>
      </w:r>
      <w:r>
        <w:rPr>
          <w:b/>
          <w:spacing w:val="-1"/>
          <w:sz w:val="26"/>
        </w:rPr>
        <w:t xml:space="preserve"> </w:t>
      </w:r>
      <w:r>
        <w:rPr>
          <w:b/>
          <w:sz w:val="26"/>
        </w:rPr>
        <w:t>on</w:t>
      </w:r>
      <w:r>
        <w:rPr>
          <w:b/>
          <w:spacing w:val="-1"/>
          <w:sz w:val="26"/>
        </w:rPr>
        <w:t xml:space="preserve"> </w:t>
      </w:r>
      <w:r>
        <w:rPr>
          <w:b/>
          <w:sz w:val="26"/>
        </w:rPr>
        <w:t>the audit</w:t>
      </w:r>
      <w:r>
        <w:rPr>
          <w:b/>
          <w:spacing w:val="-1"/>
          <w:sz w:val="26"/>
        </w:rPr>
        <w:t xml:space="preserve"> </w:t>
      </w:r>
      <w:r>
        <w:rPr>
          <w:b/>
          <w:sz w:val="26"/>
        </w:rPr>
        <w:t>of the</w:t>
      </w:r>
      <w:r>
        <w:rPr>
          <w:b/>
          <w:spacing w:val="-1"/>
          <w:sz w:val="26"/>
        </w:rPr>
        <w:t xml:space="preserve"> </w:t>
      </w:r>
      <w:r>
        <w:rPr>
          <w:b/>
          <w:sz w:val="26"/>
        </w:rPr>
        <w:t xml:space="preserve">financial </w:t>
      </w:r>
      <w:r>
        <w:rPr>
          <w:b/>
          <w:spacing w:val="-2"/>
          <w:sz w:val="26"/>
        </w:rPr>
        <w:t>report</w:t>
      </w:r>
    </w:p>
    <w:p w14:paraId="789FC64B" w14:textId="77777777" w:rsidR="00AC6F3C" w:rsidRDefault="00AC6F3C">
      <w:pPr>
        <w:pStyle w:val="BodyText"/>
        <w:spacing w:before="5"/>
        <w:rPr>
          <w:b/>
          <w:sz w:val="22"/>
        </w:rPr>
      </w:pPr>
    </w:p>
    <w:p w14:paraId="24873318" w14:textId="77777777" w:rsidR="00AC6F3C" w:rsidRDefault="00570E88">
      <w:pPr>
        <w:pStyle w:val="Heading9"/>
      </w:pPr>
      <w:r>
        <w:rPr>
          <w:spacing w:val="-2"/>
        </w:rPr>
        <w:t>Opinion</w:t>
      </w:r>
    </w:p>
    <w:p w14:paraId="71BFDF55" w14:textId="77777777" w:rsidR="00AC6F3C" w:rsidRDefault="00570E88">
      <w:pPr>
        <w:pStyle w:val="BodyText"/>
        <w:spacing w:before="176" w:line="427" w:lineRule="auto"/>
        <w:ind w:left="815" w:right="2213"/>
      </w:pPr>
      <w:r>
        <w:t>I</w:t>
      </w:r>
      <w:r>
        <w:rPr>
          <w:spacing w:val="-3"/>
        </w:rPr>
        <w:t xml:space="preserve"> </w:t>
      </w:r>
      <w:r>
        <w:t>have</w:t>
      </w:r>
      <w:r>
        <w:rPr>
          <w:spacing w:val="-3"/>
        </w:rPr>
        <w:t xml:space="preserve"> </w:t>
      </w:r>
      <w:r>
        <w:t>audited</w:t>
      </w:r>
      <w:r>
        <w:rPr>
          <w:spacing w:val="-3"/>
        </w:rPr>
        <w:t xml:space="preserve"> </w:t>
      </w:r>
      <w:r>
        <w:t>the</w:t>
      </w:r>
      <w:r>
        <w:rPr>
          <w:spacing w:val="-3"/>
        </w:rPr>
        <w:t xml:space="preserve"> </w:t>
      </w:r>
      <w:r>
        <w:t>accompanying</w:t>
      </w:r>
      <w:r>
        <w:rPr>
          <w:spacing w:val="-3"/>
        </w:rPr>
        <w:t xml:space="preserve"> </w:t>
      </w:r>
      <w:r>
        <w:t>financial</w:t>
      </w:r>
      <w:r>
        <w:rPr>
          <w:spacing w:val="-3"/>
        </w:rPr>
        <w:t xml:space="preserve"> </w:t>
      </w:r>
      <w:r>
        <w:t>report</w:t>
      </w:r>
      <w:r>
        <w:rPr>
          <w:spacing w:val="-3"/>
        </w:rPr>
        <w:t xml:space="preserve"> </w:t>
      </w:r>
      <w:r>
        <w:t>of</w:t>
      </w:r>
      <w:r>
        <w:rPr>
          <w:spacing w:val="-3"/>
        </w:rPr>
        <w:t xml:space="preserve"> </w:t>
      </w:r>
      <w:r>
        <w:t>QLS</w:t>
      </w:r>
      <w:r>
        <w:rPr>
          <w:spacing w:val="-3"/>
        </w:rPr>
        <w:t xml:space="preserve"> </w:t>
      </w:r>
      <w:r>
        <w:t>Solicitor</w:t>
      </w:r>
      <w:r>
        <w:rPr>
          <w:spacing w:val="-3"/>
        </w:rPr>
        <w:t xml:space="preserve"> </w:t>
      </w:r>
      <w:r>
        <w:t>Support</w:t>
      </w:r>
      <w:r>
        <w:rPr>
          <w:spacing w:val="-3"/>
        </w:rPr>
        <w:t xml:space="preserve"> </w:t>
      </w:r>
      <w:r>
        <w:t>Pty</w:t>
      </w:r>
      <w:r>
        <w:rPr>
          <w:spacing w:val="-3"/>
        </w:rPr>
        <w:t xml:space="preserve"> </w:t>
      </w:r>
      <w:r>
        <w:t>Ltd. In my opinion, the financial report:</w:t>
      </w:r>
    </w:p>
    <w:p w14:paraId="68E7A1E2" w14:textId="77777777" w:rsidR="00AC6F3C" w:rsidRDefault="00570E88">
      <w:pPr>
        <w:pStyle w:val="ListParagraph"/>
        <w:numPr>
          <w:ilvl w:val="0"/>
          <w:numId w:val="8"/>
        </w:numPr>
        <w:tabs>
          <w:tab w:val="left" w:pos="1269"/>
        </w:tabs>
        <w:spacing w:before="1" w:line="249" w:lineRule="auto"/>
        <w:ind w:right="1247"/>
        <w:rPr>
          <w:sz w:val="20"/>
        </w:rPr>
      </w:pPr>
      <w:r>
        <w:rPr>
          <w:sz w:val="20"/>
        </w:rPr>
        <w:t>gives</w:t>
      </w:r>
      <w:r>
        <w:rPr>
          <w:spacing w:val="-3"/>
          <w:sz w:val="20"/>
        </w:rPr>
        <w:t xml:space="preserve"> </w:t>
      </w:r>
      <w:r>
        <w:rPr>
          <w:sz w:val="20"/>
        </w:rPr>
        <w:t>a</w:t>
      </w:r>
      <w:r>
        <w:rPr>
          <w:spacing w:val="-3"/>
          <w:sz w:val="20"/>
        </w:rPr>
        <w:t xml:space="preserve"> </w:t>
      </w:r>
      <w:r>
        <w:rPr>
          <w:sz w:val="20"/>
        </w:rPr>
        <w:t>true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view</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company’s</w:t>
      </w:r>
      <w:r>
        <w:rPr>
          <w:spacing w:val="-3"/>
          <w:sz w:val="20"/>
        </w:rPr>
        <w:t xml:space="preserve"> </w:t>
      </w:r>
      <w:r>
        <w:rPr>
          <w:sz w:val="20"/>
        </w:rPr>
        <w:t>financial</w:t>
      </w:r>
      <w:r>
        <w:rPr>
          <w:spacing w:val="-3"/>
          <w:sz w:val="20"/>
        </w:rPr>
        <w:t xml:space="preserve"> </w:t>
      </w:r>
      <w:r>
        <w:rPr>
          <w:sz w:val="20"/>
        </w:rPr>
        <w:t>position</w:t>
      </w:r>
      <w:r>
        <w:rPr>
          <w:spacing w:val="-3"/>
          <w:sz w:val="20"/>
        </w:rPr>
        <w:t xml:space="preserve"> </w:t>
      </w:r>
      <w:r>
        <w:rPr>
          <w:sz w:val="20"/>
        </w:rPr>
        <w:t>as</w:t>
      </w:r>
      <w:r>
        <w:rPr>
          <w:spacing w:val="-3"/>
          <w:sz w:val="20"/>
        </w:rPr>
        <w:t xml:space="preserve"> </w:t>
      </w:r>
      <w:r>
        <w:rPr>
          <w:sz w:val="20"/>
        </w:rPr>
        <w:t>at</w:t>
      </w:r>
      <w:r>
        <w:rPr>
          <w:spacing w:val="-3"/>
          <w:sz w:val="20"/>
        </w:rPr>
        <w:t xml:space="preserve"> </w:t>
      </w:r>
      <w:r>
        <w:rPr>
          <w:sz w:val="20"/>
        </w:rPr>
        <w:t>30</w:t>
      </w:r>
      <w:r>
        <w:rPr>
          <w:spacing w:val="-3"/>
          <w:sz w:val="20"/>
        </w:rPr>
        <w:t xml:space="preserve"> </w:t>
      </w:r>
      <w:r>
        <w:rPr>
          <w:sz w:val="20"/>
        </w:rPr>
        <w:t>June</w:t>
      </w:r>
      <w:r>
        <w:rPr>
          <w:spacing w:val="-3"/>
          <w:sz w:val="20"/>
        </w:rPr>
        <w:t xml:space="preserve"> </w:t>
      </w:r>
      <w:r>
        <w:rPr>
          <w:sz w:val="20"/>
        </w:rPr>
        <w:t>2023,</w:t>
      </w:r>
      <w:r>
        <w:rPr>
          <w:spacing w:val="-3"/>
          <w:sz w:val="20"/>
        </w:rPr>
        <w:t xml:space="preserve"> </w:t>
      </w:r>
      <w:r>
        <w:rPr>
          <w:sz w:val="20"/>
        </w:rPr>
        <w:t>and</w:t>
      </w:r>
      <w:r>
        <w:rPr>
          <w:spacing w:val="-3"/>
          <w:sz w:val="20"/>
        </w:rPr>
        <w:t xml:space="preserve"> </w:t>
      </w:r>
      <w:r>
        <w:rPr>
          <w:sz w:val="20"/>
        </w:rPr>
        <w:t>its financial performance and cash flows for the year then ended</w:t>
      </w:r>
    </w:p>
    <w:p w14:paraId="193A4B6C" w14:textId="77777777" w:rsidR="00AC6F3C" w:rsidRDefault="00570E88">
      <w:pPr>
        <w:pStyle w:val="ListParagraph"/>
        <w:numPr>
          <w:ilvl w:val="0"/>
          <w:numId w:val="8"/>
        </w:numPr>
        <w:tabs>
          <w:tab w:val="left" w:pos="1269"/>
        </w:tabs>
        <w:spacing w:before="172"/>
        <w:rPr>
          <w:sz w:val="20"/>
        </w:rPr>
      </w:pPr>
      <w:r>
        <w:rPr>
          <w:sz w:val="20"/>
        </w:rPr>
        <w:t>complies</w:t>
      </w:r>
      <w:r>
        <w:rPr>
          <w:spacing w:val="-5"/>
          <w:sz w:val="20"/>
        </w:rPr>
        <w:t xml:space="preserve"> </w:t>
      </w:r>
      <w:r>
        <w:rPr>
          <w:sz w:val="20"/>
        </w:rPr>
        <w:t>with</w:t>
      </w:r>
      <w:r>
        <w:rPr>
          <w:spacing w:val="-14"/>
          <w:sz w:val="20"/>
        </w:rPr>
        <w:t xml:space="preserve"> </w:t>
      </w:r>
      <w:r>
        <w:rPr>
          <w:sz w:val="20"/>
        </w:rPr>
        <w:t>Australian</w:t>
      </w:r>
      <w:r>
        <w:rPr>
          <w:spacing w:val="-14"/>
          <w:sz w:val="20"/>
        </w:rPr>
        <w:t xml:space="preserve"> </w:t>
      </w:r>
      <w:r>
        <w:rPr>
          <w:sz w:val="20"/>
        </w:rPr>
        <w:t>Accounting</w:t>
      </w:r>
      <w:r>
        <w:rPr>
          <w:spacing w:val="-4"/>
          <w:sz w:val="20"/>
        </w:rPr>
        <w:t xml:space="preserve"> </w:t>
      </w:r>
      <w:r>
        <w:rPr>
          <w:sz w:val="20"/>
        </w:rPr>
        <w:t>Standards</w:t>
      </w:r>
      <w:r>
        <w:rPr>
          <w:spacing w:val="-4"/>
          <w:sz w:val="20"/>
        </w:rPr>
        <w:t xml:space="preserve"> </w:t>
      </w:r>
      <w:r>
        <w:rPr>
          <w:sz w:val="20"/>
        </w:rPr>
        <w:t>–</w:t>
      </w:r>
      <w:r>
        <w:rPr>
          <w:spacing w:val="-4"/>
          <w:sz w:val="20"/>
        </w:rPr>
        <w:t xml:space="preserve"> </w:t>
      </w:r>
      <w:r>
        <w:rPr>
          <w:sz w:val="20"/>
        </w:rPr>
        <w:t>Simplified</w:t>
      </w:r>
      <w:r>
        <w:rPr>
          <w:spacing w:val="-4"/>
          <w:sz w:val="20"/>
        </w:rPr>
        <w:t xml:space="preserve"> </w:t>
      </w:r>
      <w:r>
        <w:rPr>
          <w:spacing w:val="-2"/>
          <w:sz w:val="20"/>
        </w:rPr>
        <w:t>Disclosures.</w:t>
      </w:r>
    </w:p>
    <w:p w14:paraId="6C6C2C6C" w14:textId="77777777" w:rsidR="00AC6F3C" w:rsidRDefault="00570E88">
      <w:pPr>
        <w:pStyle w:val="BodyText"/>
        <w:spacing w:before="180" w:line="249" w:lineRule="auto"/>
        <w:ind w:left="815" w:right="990"/>
      </w:pPr>
      <w:r>
        <w:t>The financial report comprises the statement of financial position as at 30 June 2023, the statement of comprehensive income, statement of changes in equity and statement of cash flows</w:t>
      </w:r>
      <w:r>
        <w:rPr>
          <w:spacing w:val="-3"/>
        </w:rPr>
        <w:t xml:space="preserve"> </w:t>
      </w:r>
      <w:r>
        <w:t>for</w:t>
      </w:r>
      <w:r>
        <w:rPr>
          <w:spacing w:val="-3"/>
        </w:rPr>
        <w:t xml:space="preserve"> </w:t>
      </w:r>
      <w:r>
        <w:t>the</w:t>
      </w:r>
      <w:r>
        <w:rPr>
          <w:spacing w:val="-3"/>
        </w:rPr>
        <w:t xml:space="preserve"> </w:t>
      </w:r>
      <w:r>
        <w:t>year</w:t>
      </w:r>
      <w:r>
        <w:rPr>
          <w:spacing w:val="-3"/>
        </w:rPr>
        <w:t xml:space="preserve"> </w:t>
      </w:r>
      <w:r>
        <w:t>then</w:t>
      </w:r>
      <w:r>
        <w:rPr>
          <w:spacing w:val="-3"/>
        </w:rPr>
        <w:t xml:space="preserve"> </w:t>
      </w:r>
      <w:r>
        <w:t>ended,</w:t>
      </w:r>
      <w:r>
        <w:rPr>
          <w:spacing w:val="-3"/>
        </w:rPr>
        <w:t xml:space="preserve"> </w:t>
      </w:r>
      <w:r>
        <w:t>notes</w:t>
      </w:r>
      <w:r>
        <w:rPr>
          <w:spacing w:val="-3"/>
        </w:rPr>
        <w:t xml:space="preserve"> </w:t>
      </w:r>
      <w:r>
        <w:t>to</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including</w:t>
      </w:r>
      <w:r>
        <w:rPr>
          <w:spacing w:val="-3"/>
        </w:rPr>
        <w:t xml:space="preserve"> </w:t>
      </w:r>
      <w:r>
        <w:t>material</w:t>
      </w:r>
      <w:r>
        <w:rPr>
          <w:spacing w:val="-3"/>
        </w:rPr>
        <w:t xml:space="preserve"> </w:t>
      </w:r>
      <w:r>
        <w:t>accounting policy information, and the directors’ declaration.</w:t>
      </w:r>
    </w:p>
    <w:p w14:paraId="0CF1224D" w14:textId="77777777" w:rsidR="00AC6F3C" w:rsidRDefault="00AC6F3C">
      <w:pPr>
        <w:pStyle w:val="BodyText"/>
        <w:spacing w:before="10"/>
        <w:rPr>
          <w:sz w:val="22"/>
        </w:rPr>
      </w:pPr>
    </w:p>
    <w:p w14:paraId="19BD8937" w14:textId="77777777" w:rsidR="00AC6F3C" w:rsidRDefault="00570E88">
      <w:pPr>
        <w:pStyle w:val="Heading9"/>
        <w:spacing w:before="1"/>
      </w:pPr>
      <w:r>
        <w:t>Basis</w:t>
      </w:r>
      <w:r>
        <w:rPr>
          <w:spacing w:val="-3"/>
        </w:rPr>
        <w:t xml:space="preserve"> </w:t>
      </w:r>
      <w:r>
        <w:t>for</w:t>
      </w:r>
      <w:r>
        <w:rPr>
          <w:spacing w:val="-3"/>
        </w:rPr>
        <w:t xml:space="preserve"> </w:t>
      </w:r>
      <w:r>
        <w:rPr>
          <w:spacing w:val="-2"/>
        </w:rPr>
        <w:t>opinion</w:t>
      </w:r>
    </w:p>
    <w:p w14:paraId="1745C106" w14:textId="77777777" w:rsidR="00AC6F3C" w:rsidRDefault="00570E88">
      <w:pPr>
        <w:spacing w:before="175" w:line="249" w:lineRule="auto"/>
        <w:ind w:left="815" w:right="1183"/>
        <w:rPr>
          <w:sz w:val="20"/>
        </w:rPr>
      </w:pPr>
      <w:r>
        <w:rPr>
          <w:sz w:val="20"/>
        </w:rPr>
        <w:t xml:space="preserve">I conducted my audit in accordance with the </w:t>
      </w:r>
      <w:r>
        <w:rPr>
          <w:i/>
          <w:sz w:val="20"/>
        </w:rPr>
        <w:t>Auditor-General Auditing Standards</w:t>
      </w:r>
      <w:r>
        <w:rPr>
          <w:sz w:val="20"/>
        </w:rPr>
        <w:t>, which incorporate the</w:t>
      </w:r>
      <w:r>
        <w:rPr>
          <w:spacing w:val="-8"/>
          <w:sz w:val="20"/>
        </w:rPr>
        <w:t xml:space="preserve"> </w:t>
      </w:r>
      <w:r>
        <w:rPr>
          <w:sz w:val="20"/>
        </w:rPr>
        <w:t>Australian</w:t>
      </w:r>
      <w:r>
        <w:rPr>
          <w:spacing w:val="-8"/>
          <w:sz w:val="20"/>
        </w:rPr>
        <w:t xml:space="preserve"> </w:t>
      </w:r>
      <w:r>
        <w:rPr>
          <w:sz w:val="20"/>
        </w:rPr>
        <w:t>Auditing Standards. My responsibilities under those standards are further</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i/>
          <w:sz w:val="20"/>
        </w:rPr>
        <w:t>Auditor’s</w:t>
      </w:r>
      <w:r>
        <w:rPr>
          <w:i/>
          <w:spacing w:val="-3"/>
          <w:sz w:val="20"/>
        </w:rPr>
        <w:t xml:space="preserve"> </w:t>
      </w:r>
      <w:r>
        <w:rPr>
          <w:i/>
          <w:sz w:val="20"/>
        </w:rPr>
        <w:t>Responsibilities</w:t>
      </w:r>
      <w:r>
        <w:rPr>
          <w:i/>
          <w:spacing w:val="-3"/>
          <w:sz w:val="20"/>
        </w:rPr>
        <w:t xml:space="preserve"> </w:t>
      </w:r>
      <w:r>
        <w:rPr>
          <w:i/>
          <w:sz w:val="20"/>
        </w:rPr>
        <w:t>for</w:t>
      </w:r>
      <w:r>
        <w:rPr>
          <w:i/>
          <w:spacing w:val="-3"/>
          <w:sz w:val="20"/>
        </w:rPr>
        <w:t xml:space="preserve"> </w:t>
      </w:r>
      <w:r>
        <w:rPr>
          <w:i/>
          <w:sz w:val="20"/>
        </w:rPr>
        <w:t>the</w:t>
      </w:r>
      <w:r>
        <w:rPr>
          <w:i/>
          <w:spacing w:val="-10"/>
          <w:sz w:val="20"/>
        </w:rPr>
        <w:t xml:space="preserve"> </w:t>
      </w:r>
      <w:r>
        <w:rPr>
          <w:i/>
          <w:sz w:val="20"/>
        </w:rPr>
        <w:t>Audit</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Financial</w:t>
      </w:r>
      <w:r>
        <w:rPr>
          <w:i/>
          <w:spacing w:val="-3"/>
          <w:sz w:val="20"/>
        </w:rPr>
        <w:t xml:space="preserve"> </w:t>
      </w:r>
      <w:r>
        <w:rPr>
          <w:i/>
          <w:sz w:val="20"/>
        </w:rPr>
        <w:t>Report</w:t>
      </w:r>
      <w:r>
        <w:rPr>
          <w:i/>
          <w:spacing w:val="-4"/>
          <w:sz w:val="20"/>
        </w:rPr>
        <w:t xml:space="preserve"> </w:t>
      </w:r>
      <w:r>
        <w:rPr>
          <w:sz w:val="20"/>
        </w:rPr>
        <w:t>section of my report.</w:t>
      </w:r>
    </w:p>
    <w:p w14:paraId="6A0AC5F0" w14:textId="77777777" w:rsidR="00AC6F3C" w:rsidRDefault="00570E88">
      <w:pPr>
        <w:pStyle w:val="BodyText"/>
        <w:spacing w:before="174" w:line="249" w:lineRule="auto"/>
        <w:ind w:left="815" w:right="1424"/>
      </w:pPr>
      <w:r>
        <w:t>I am independent of the company in accordance with the ethical requirements of the Accounting Professional and Ethical Standards Board’s</w:t>
      </w:r>
      <w:r>
        <w:rPr>
          <w:spacing w:val="-5"/>
        </w:rPr>
        <w:t xml:space="preserve"> </w:t>
      </w:r>
      <w:r>
        <w:t xml:space="preserve">APES 110 </w:t>
      </w:r>
      <w:r>
        <w:rPr>
          <w:i/>
        </w:rPr>
        <w:t>Code of Ethics for Professional</w:t>
      </w:r>
      <w:r>
        <w:rPr>
          <w:i/>
          <w:spacing w:val="-4"/>
        </w:rPr>
        <w:t xml:space="preserve"> </w:t>
      </w:r>
      <w:r>
        <w:rPr>
          <w:i/>
        </w:rPr>
        <w:t xml:space="preserve">Accountants </w:t>
      </w:r>
      <w:r>
        <w:t xml:space="preserve">(the Code) that are relevant to my audit of the financial report in Australia. I have also fulfilled my other ethical responsibilities in accordance with the Code and the </w:t>
      </w:r>
      <w:r>
        <w:rPr>
          <w:i/>
        </w:rPr>
        <w:t>Auditor-General Auditing Standards</w:t>
      </w:r>
      <w:r>
        <w:t>. I am also independent of the company in accordance</w:t>
      </w:r>
      <w:r>
        <w:rPr>
          <w:spacing w:val="-3"/>
        </w:rPr>
        <w:t xml:space="preserve"> </w:t>
      </w:r>
      <w:r>
        <w:t>with</w:t>
      </w:r>
      <w:r>
        <w:rPr>
          <w:spacing w:val="-3"/>
        </w:rPr>
        <w:t xml:space="preserve"> </w:t>
      </w:r>
      <w:r>
        <w:t>the</w:t>
      </w:r>
      <w:r>
        <w:rPr>
          <w:spacing w:val="-3"/>
        </w:rPr>
        <w:t xml:space="preserve"> </w:t>
      </w:r>
      <w:r>
        <w:t>auditor</w:t>
      </w:r>
      <w:r>
        <w:rPr>
          <w:spacing w:val="-3"/>
        </w:rPr>
        <w:t xml:space="preserve"> </w:t>
      </w:r>
      <w:r>
        <w:t>independence</w:t>
      </w:r>
      <w:r>
        <w:rPr>
          <w:spacing w:val="-3"/>
        </w:rPr>
        <w:t xml:space="preserve"> </w:t>
      </w:r>
      <w:r>
        <w:t>requirements</w:t>
      </w:r>
      <w:r>
        <w:rPr>
          <w:spacing w:val="-3"/>
        </w:rPr>
        <w:t xml:space="preserve"> </w:t>
      </w:r>
      <w:r>
        <w:t>of</w:t>
      </w:r>
      <w:r>
        <w:rPr>
          <w:spacing w:val="-3"/>
        </w:rPr>
        <w:t xml:space="preserve"> </w:t>
      </w:r>
      <w:r>
        <w:t>the</w:t>
      </w:r>
      <w:r>
        <w:rPr>
          <w:spacing w:val="-3"/>
        </w:rPr>
        <w:t xml:space="preserve"> </w:t>
      </w:r>
      <w:r>
        <w:rPr>
          <w:i/>
        </w:rPr>
        <w:t>Corporations</w:t>
      </w:r>
      <w:r>
        <w:rPr>
          <w:i/>
          <w:spacing w:val="-11"/>
        </w:rPr>
        <w:t xml:space="preserve"> </w:t>
      </w:r>
      <w:r>
        <w:rPr>
          <w:i/>
        </w:rPr>
        <w:t>Act</w:t>
      </w:r>
      <w:r>
        <w:rPr>
          <w:i/>
          <w:spacing w:val="-3"/>
        </w:rPr>
        <w:t xml:space="preserve"> </w:t>
      </w:r>
      <w:r>
        <w:rPr>
          <w:i/>
        </w:rPr>
        <w:t>2001</w:t>
      </w:r>
      <w:r>
        <w:t>,</w:t>
      </w:r>
      <w:r>
        <w:rPr>
          <w:spacing w:val="-3"/>
        </w:rPr>
        <w:t xml:space="preserve"> </w:t>
      </w:r>
      <w:r>
        <w:t xml:space="preserve">and confirm that the independence declaration required by the </w:t>
      </w:r>
      <w:r>
        <w:rPr>
          <w:i/>
        </w:rPr>
        <w:t>Corporations Act 2001</w:t>
      </w:r>
      <w:r>
        <w:t>, which has been given to the directors of the company, would be in the same terms if given to the directors as at the time of this auditor’s report.</w:t>
      </w:r>
    </w:p>
    <w:p w14:paraId="3A588252" w14:textId="77777777" w:rsidR="00AC6F3C" w:rsidRDefault="00570E88">
      <w:pPr>
        <w:pStyle w:val="BodyText"/>
        <w:spacing w:before="177" w:line="249" w:lineRule="auto"/>
        <w:ind w:left="815" w:right="1424"/>
      </w:pPr>
      <w:r>
        <w:t>I</w:t>
      </w:r>
      <w:r>
        <w:rPr>
          <w:spacing w:val="-3"/>
        </w:rPr>
        <w:t xml:space="preserve"> </w:t>
      </w:r>
      <w:r>
        <w:t>believe</w:t>
      </w:r>
      <w:r>
        <w:rPr>
          <w:spacing w:val="-3"/>
        </w:rPr>
        <w:t xml:space="preserve"> </w:t>
      </w:r>
      <w:r>
        <w:t>that</w:t>
      </w:r>
      <w:r>
        <w:rPr>
          <w:spacing w:val="-3"/>
        </w:rPr>
        <w:t xml:space="preserve"> </w:t>
      </w:r>
      <w:r>
        <w:t>the</w:t>
      </w:r>
      <w:r>
        <w:rPr>
          <w:spacing w:val="-3"/>
        </w:rPr>
        <w:t xml:space="preserve"> </w:t>
      </w:r>
      <w:r>
        <w:t>audit</w:t>
      </w:r>
      <w:r>
        <w:rPr>
          <w:spacing w:val="-3"/>
        </w:rPr>
        <w:t xml:space="preserve"> </w:t>
      </w:r>
      <w:r>
        <w:t>evidence</w:t>
      </w:r>
      <w:r>
        <w:rPr>
          <w:spacing w:val="-3"/>
        </w:rPr>
        <w:t xml:space="preserve"> </w:t>
      </w:r>
      <w:r>
        <w:t>I</w:t>
      </w:r>
      <w:r>
        <w:rPr>
          <w:spacing w:val="-3"/>
        </w:rPr>
        <w:t xml:space="preserve"> </w:t>
      </w:r>
      <w:r>
        <w:t>have</w:t>
      </w:r>
      <w:r>
        <w:rPr>
          <w:spacing w:val="-3"/>
        </w:rPr>
        <w:t xml:space="preserve"> </w:t>
      </w:r>
      <w:r>
        <w:t>obtained</w:t>
      </w:r>
      <w:r>
        <w:rPr>
          <w:spacing w:val="-3"/>
        </w:rPr>
        <w:t xml:space="preserve"> </w:t>
      </w:r>
      <w:r>
        <w:t>is</w:t>
      </w:r>
      <w:r>
        <w:rPr>
          <w:spacing w:val="-3"/>
        </w:rPr>
        <w:t xml:space="preserve"> </w:t>
      </w:r>
      <w:r>
        <w:t>sufficient</w:t>
      </w:r>
      <w:r>
        <w:rPr>
          <w:spacing w:val="-3"/>
        </w:rPr>
        <w:t xml:space="preserve"> </w:t>
      </w:r>
      <w:r>
        <w:t>and</w:t>
      </w:r>
      <w:r>
        <w:rPr>
          <w:spacing w:val="-3"/>
        </w:rPr>
        <w:t xml:space="preserve"> </w:t>
      </w:r>
      <w:r>
        <w:t>appropriate</w:t>
      </w:r>
      <w:r>
        <w:rPr>
          <w:spacing w:val="-3"/>
        </w:rPr>
        <w:t xml:space="preserve"> </w:t>
      </w:r>
      <w:r>
        <w:t>to</w:t>
      </w:r>
      <w:r>
        <w:rPr>
          <w:spacing w:val="-3"/>
        </w:rPr>
        <w:t xml:space="preserve"> </w:t>
      </w:r>
      <w:r>
        <w:t>provide</w:t>
      </w:r>
      <w:r>
        <w:rPr>
          <w:spacing w:val="-3"/>
        </w:rPr>
        <w:t xml:space="preserve"> </w:t>
      </w:r>
      <w:r>
        <w:t>a basis for my opinion.</w:t>
      </w:r>
    </w:p>
    <w:p w14:paraId="708C6079" w14:textId="77777777" w:rsidR="00AC6F3C" w:rsidRDefault="00AC6F3C">
      <w:pPr>
        <w:pStyle w:val="BodyText"/>
        <w:spacing w:before="9"/>
        <w:rPr>
          <w:sz w:val="22"/>
        </w:rPr>
      </w:pPr>
    </w:p>
    <w:p w14:paraId="545DF63F" w14:textId="77777777" w:rsidR="00AC6F3C" w:rsidRDefault="00570E88">
      <w:pPr>
        <w:pStyle w:val="Heading9"/>
      </w:pPr>
      <w:r>
        <w:t>Other</w:t>
      </w:r>
      <w:r>
        <w:rPr>
          <w:spacing w:val="-4"/>
        </w:rPr>
        <w:t xml:space="preserve"> </w:t>
      </w:r>
      <w:r>
        <w:rPr>
          <w:spacing w:val="-2"/>
        </w:rPr>
        <w:t>information</w:t>
      </w:r>
    </w:p>
    <w:p w14:paraId="33BCA521" w14:textId="77777777" w:rsidR="00AC6F3C" w:rsidRDefault="00570E88">
      <w:pPr>
        <w:pStyle w:val="BodyText"/>
        <w:spacing w:before="176" w:line="249" w:lineRule="auto"/>
        <w:ind w:left="815" w:right="1424"/>
      </w:pPr>
      <w:r>
        <w:t>Other</w:t>
      </w:r>
      <w:r>
        <w:rPr>
          <w:spacing w:val="-3"/>
        </w:rPr>
        <w:t xml:space="preserve"> </w:t>
      </w:r>
      <w:r>
        <w:t>information</w:t>
      </w:r>
      <w:r>
        <w:rPr>
          <w:spacing w:val="-3"/>
        </w:rPr>
        <w:t xml:space="preserve"> </w:t>
      </w:r>
      <w:r>
        <w:t>comprises</w:t>
      </w:r>
      <w:r>
        <w:rPr>
          <w:spacing w:val="-3"/>
        </w:rPr>
        <w:t xml:space="preserve"> </w:t>
      </w:r>
      <w:r>
        <w:t>the</w:t>
      </w:r>
      <w:r>
        <w:rPr>
          <w:spacing w:val="-3"/>
        </w:rPr>
        <w:t xml:space="preserve"> </w:t>
      </w:r>
      <w:r>
        <w:t>information</w:t>
      </w:r>
      <w:r>
        <w:rPr>
          <w:spacing w:val="-3"/>
        </w:rPr>
        <w:t xml:space="preserve"> </w:t>
      </w:r>
      <w:r>
        <w:t>included</w:t>
      </w:r>
      <w:r>
        <w:rPr>
          <w:spacing w:val="-3"/>
        </w:rPr>
        <w:t xml:space="preserve"> </w:t>
      </w:r>
      <w:r>
        <w:t>in</w:t>
      </w:r>
      <w:r>
        <w:rPr>
          <w:spacing w:val="-3"/>
        </w:rPr>
        <w:t xml:space="preserve"> </w:t>
      </w:r>
      <w:r>
        <w:t>the</w:t>
      </w:r>
      <w:r>
        <w:rPr>
          <w:spacing w:val="-3"/>
        </w:rPr>
        <w:t xml:space="preserve"> </w:t>
      </w:r>
      <w:r>
        <w:t>directors’</w:t>
      </w:r>
      <w:r>
        <w:rPr>
          <w:spacing w:val="-10"/>
        </w:rPr>
        <w:t xml:space="preserve"> </w:t>
      </w:r>
      <w:r>
        <w:t>report</w:t>
      </w:r>
      <w:r>
        <w:rPr>
          <w:spacing w:val="-3"/>
        </w:rPr>
        <w:t xml:space="preserve"> </w:t>
      </w:r>
      <w:r>
        <w:t>for</w:t>
      </w:r>
      <w:r>
        <w:rPr>
          <w:spacing w:val="-3"/>
        </w:rPr>
        <w:t xml:space="preserve"> </w:t>
      </w:r>
      <w:r>
        <w:t>the</w:t>
      </w:r>
      <w:r>
        <w:rPr>
          <w:spacing w:val="-3"/>
        </w:rPr>
        <w:t xml:space="preserve"> </w:t>
      </w:r>
      <w:r>
        <w:t xml:space="preserve">year ended 30 June 2023, but does not include the financial report and my auditor’s report </w:t>
      </w:r>
      <w:r>
        <w:rPr>
          <w:spacing w:val="-2"/>
        </w:rPr>
        <w:t>thereon.</w:t>
      </w:r>
    </w:p>
    <w:p w14:paraId="6717BF73" w14:textId="77777777" w:rsidR="00AC6F3C" w:rsidRDefault="00570E88">
      <w:pPr>
        <w:pStyle w:val="BodyText"/>
        <w:spacing w:before="173"/>
        <w:ind w:left="815"/>
      </w:pPr>
      <w:r>
        <w:t>The</w:t>
      </w:r>
      <w:r>
        <w:rPr>
          <w:spacing w:val="-3"/>
        </w:rPr>
        <w:t xml:space="preserve"> </w:t>
      </w:r>
      <w:r>
        <w:t>directors</w:t>
      </w:r>
      <w:r>
        <w:rPr>
          <w:spacing w:val="-2"/>
        </w:rPr>
        <w:t xml:space="preserve"> </w:t>
      </w:r>
      <w:r>
        <w:t>are</w:t>
      </w:r>
      <w:r>
        <w:rPr>
          <w:spacing w:val="-2"/>
        </w:rPr>
        <w:t xml:space="preserve"> </w:t>
      </w:r>
      <w:r>
        <w:t>responsible</w:t>
      </w:r>
      <w:r>
        <w:rPr>
          <w:spacing w:val="-3"/>
        </w:rPr>
        <w:t xml:space="preserve"> </w:t>
      </w:r>
      <w:r>
        <w:t>for</w:t>
      </w:r>
      <w:r>
        <w:rPr>
          <w:spacing w:val="-2"/>
        </w:rPr>
        <w:t xml:space="preserve"> </w:t>
      </w:r>
      <w:r>
        <w:t>the</w:t>
      </w:r>
      <w:r>
        <w:rPr>
          <w:spacing w:val="-2"/>
        </w:rPr>
        <w:t xml:space="preserve"> </w:t>
      </w:r>
      <w:r>
        <w:t>other</w:t>
      </w:r>
      <w:r>
        <w:rPr>
          <w:spacing w:val="-2"/>
        </w:rPr>
        <w:t xml:space="preserve"> information.</w:t>
      </w:r>
    </w:p>
    <w:p w14:paraId="15187E2A" w14:textId="77777777" w:rsidR="00AC6F3C" w:rsidRDefault="00570E88">
      <w:pPr>
        <w:pStyle w:val="BodyText"/>
        <w:spacing w:before="180" w:line="249" w:lineRule="auto"/>
        <w:ind w:left="815" w:right="1424"/>
      </w:pPr>
      <w:r>
        <w:t>My</w:t>
      </w:r>
      <w:r>
        <w:rPr>
          <w:spacing w:val="-3"/>
        </w:rPr>
        <w:t xml:space="preserve"> </w:t>
      </w:r>
      <w:r>
        <w:t>opinion</w:t>
      </w:r>
      <w:r>
        <w:rPr>
          <w:spacing w:val="-3"/>
        </w:rPr>
        <w:t xml:space="preserve"> </w:t>
      </w:r>
      <w:r>
        <w:t>on</w:t>
      </w:r>
      <w:r>
        <w:rPr>
          <w:spacing w:val="-3"/>
        </w:rPr>
        <w:t xml:space="preserve"> </w:t>
      </w:r>
      <w:r>
        <w:t>the</w:t>
      </w:r>
      <w:r>
        <w:rPr>
          <w:spacing w:val="-3"/>
        </w:rPr>
        <w:t xml:space="preserve"> </w:t>
      </w:r>
      <w:r>
        <w:t>financial</w:t>
      </w:r>
      <w:r>
        <w:rPr>
          <w:spacing w:val="-3"/>
        </w:rPr>
        <w:t xml:space="preserve"> </w:t>
      </w:r>
      <w:r>
        <w:t>report</w:t>
      </w:r>
      <w:r>
        <w:rPr>
          <w:spacing w:val="-3"/>
        </w:rPr>
        <w:t xml:space="preserve"> </w:t>
      </w:r>
      <w:r>
        <w:t>does</w:t>
      </w:r>
      <w:r>
        <w:rPr>
          <w:spacing w:val="-3"/>
        </w:rPr>
        <w:t xml:space="preserve"> </w:t>
      </w:r>
      <w:r>
        <w:t>not</w:t>
      </w:r>
      <w:r>
        <w:rPr>
          <w:spacing w:val="-3"/>
        </w:rPr>
        <w:t xml:space="preserve"> </w:t>
      </w:r>
      <w:r>
        <w:t>cover</w:t>
      </w:r>
      <w:r>
        <w:rPr>
          <w:spacing w:val="-3"/>
        </w:rPr>
        <w:t xml:space="preserve"> </w:t>
      </w:r>
      <w:r>
        <w:t>the</w:t>
      </w:r>
      <w:r>
        <w:rPr>
          <w:spacing w:val="-3"/>
        </w:rPr>
        <w:t xml:space="preserve"> </w:t>
      </w:r>
      <w:r>
        <w:t>other</w:t>
      </w:r>
      <w:r>
        <w:rPr>
          <w:spacing w:val="-3"/>
        </w:rPr>
        <w:t xml:space="preserve"> </w:t>
      </w:r>
      <w:r>
        <w:t>information</w:t>
      </w:r>
      <w:r>
        <w:rPr>
          <w:spacing w:val="-3"/>
        </w:rPr>
        <w:t xml:space="preserve"> </w:t>
      </w:r>
      <w:r>
        <w:t>and</w:t>
      </w:r>
      <w:r>
        <w:rPr>
          <w:spacing w:val="-3"/>
        </w:rPr>
        <w:t xml:space="preserve"> </w:t>
      </w:r>
      <w:r>
        <w:t>accordingly</w:t>
      </w:r>
      <w:r>
        <w:rPr>
          <w:spacing w:val="-3"/>
        </w:rPr>
        <w:t xml:space="preserve"> </w:t>
      </w:r>
      <w:r>
        <w:t>I</w:t>
      </w:r>
      <w:r>
        <w:rPr>
          <w:spacing w:val="-3"/>
        </w:rPr>
        <w:t xml:space="preserve"> </w:t>
      </w:r>
      <w:r>
        <w:t>do not express any form of assurance conclusion thereon.</w:t>
      </w:r>
    </w:p>
    <w:p w14:paraId="67ACCD80" w14:textId="77777777" w:rsidR="00AC6F3C" w:rsidRDefault="00AC6F3C">
      <w:pPr>
        <w:spacing w:line="249" w:lineRule="auto"/>
        <w:sectPr w:rsidR="00AC6F3C">
          <w:headerReference w:type="default" r:id="rId244"/>
          <w:footerReference w:type="default" r:id="rId245"/>
          <w:pgSz w:w="11910" w:h="16840"/>
          <w:pgMar w:top="2460" w:right="1160" w:bottom="520" w:left="460" w:header="1524" w:footer="336" w:gutter="0"/>
          <w:cols w:space="720"/>
        </w:sectPr>
      </w:pPr>
    </w:p>
    <w:p w14:paraId="6B5482D6" w14:textId="77777777" w:rsidR="00AC6F3C" w:rsidRDefault="00AC6F3C">
      <w:pPr>
        <w:pStyle w:val="BodyText"/>
      </w:pPr>
    </w:p>
    <w:p w14:paraId="242C35B1" w14:textId="77777777" w:rsidR="00AC6F3C" w:rsidRDefault="00AC6F3C">
      <w:pPr>
        <w:pStyle w:val="BodyText"/>
        <w:spacing w:before="6"/>
        <w:rPr>
          <w:sz w:val="28"/>
        </w:rPr>
      </w:pPr>
    </w:p>
    <w:p w14:paraId="4F149B25" w14:textId="77777777" w:rsidR="00AC6F3C" w:rsidRDefault="00570E88">
      <w:pPr>
        <w:pStyle w:val="BodyText"/>
        <w:spacing w:before="93" w:line="249" w:lineRule="auto"/>
        <w:ind w:left="815" w:right="990"/>
      </w:pPr>
      <w:r>
        <w:t>In connection with my audit of the financial report, my responsibility is to read the other information</w:t>
      </w:r>
      <w:r>
        <w:rPr>
          <w:spacing w:val="-3"/>
        </w:rPr>
        <w:t xml:space="preserve"> </w:t>
      </w:r>
      <w:r>
        <w:t>and,</w:t>
      </w:r>
      <w:r>
        <w:rPr>
          <w:spacing w:val="-3"/>
        </w:rPr>
        <w:t xml:space="preserve"> </w:t>
      </w:r>
      <w:r>
        <w:t>in</w:t>
      </w:r>
      <w:r>
        <w:rPr>
          <w:spacing w:val="-3"/>
        </w:rPr>
        <w:t xml:space="preserve"> </w:t>
      </w:r>
      <w:r>
        <w:t>doing</w:t>
      </w:r>
      <w:r>
        <w:rPr>
          <w:spacing w:val="-3"/>
        </w:rPr>
        <w:t xml:space="preserve"> </w:t>
      </w:r>
      <w:r>
        <w:t>so,</w:t>
      </w:r>
      <w:r>
        <w:rPr>
          <w:spacing w:val="-3"/>
        </w:rPr>
        <w:t xml:space="preserve"> </w:t>
      </w:r>
      <w:r>
        <w:t>consider</w:t>
      </w:r>
      <w:r>
        <w:rPr>
          <w:spacing w:val="-3"/>
        </w:rPr>
        <w:t xml:space="preserve"> </w:t>
      </w:r>
      <w:r>
        <w:t>whether</w:t>
      </w:r>
      <w:r>
        <w:rPr>
          <w:spacing w:val="-3"/>
        </w:rPr>
        <w:t xml:space="preserve"> </w:t>
      </w:r>
      <w:r>
        <w:t>the</w:t>
      </w:r>
      <w:r>
        <w:rPr>
          <w:spacing w:val="-3"/>
        </w:rPr>
        <w:t xml:space="preserve"> </w:t>
      </w:r>
      <w:r>
        <w:t>other</w:t>
      </w:r>
      <w:r>
        <w:rPr>
          <w:spacing w:val="-3"/>
        </w:rPr>
        <w:t xml:space="preserve"> </w:t>
      </w:r>
      <w:r>
        <w:t>information</w:t>
      </w:r>
      <w:r>
        <w:rPr>
          <w:spacing w:val="-3"/>
        </w:rPr>
        <w:t xml:space="preserve"> </w:t>
      </w:r>
      <w:r>
        <w:t>is</w:t>
      </w:r>
      <w:r>
        <w:rPr>
          <w:spacing w:val="-3"/>
        </w:rPr>
        <w:t xml:space="preserve"> </w:t>
      </w:r>
      <w:r>
        <w:t>materially</w:t>
      </w:r>
      <w:r>
        <w:rPr>
          <w:spacing w:val="-3"/>
        </w:rPr>
        <w:t xml:space="preserve"> </w:t>
      </w:r>
      <w:r>
        <w:t>inconsistent with the financial report or my knowledge obtained in the audit or otherwise appears to be materially misstated.</w:t>
      </w:r>
    </w:p>
    <w:p w14:paraId="6490BE18" w14:textId="77777777" w:rsidR="00AC6F3C" w:rsidRDefault="00570E88">
      <w:pPr>
        <w:pStyle w:val="BodyText"/>
        <w:spacing w:before="174" w:line="249" w:lineRule="auto"/>
        <w:ind w:left="815" w:right="1238"/>
      </w:pPr>
      <w:r>
        <w:t>If, based on the work I have performed, I conclude that there is a material misstatement of this</w:t>
      </w:r>
      <w:r>
        <w:rPr>
          <w:spacing w:val="-2"/>
        </w:rPr>
        <w:t xml:space="preserve"> </w:t>
      </w:r>
      <w:r>
        <w:t>other</w:t>
      </w:r>
      <w:r>
        <w:rPr>
          <w:spacing w:val="-2"/>
        </w:rPr>
        <w:t xml:space="preserve"> </w:t>
      </w:r>
      <w:r>
        <w:t>information,</w:t>
      </w:r>
      <w:r>
        <w:rPr>
          <w:spacing w:val="-2"/>
        </w:rPr>
        <w:t xml:space="preserve"> </w:t>
      </w:r>
      <w:r>
        <w:t>I</w:t>
      </w:r>
      <w:r>
        <w:rPr>
          <w:spacing w:val="-2"/>
        </w:rPr>
        <w:t xml:space="preserve"> </w:t>
      </w:r>
      <w:r>
        <w:t>am</w:t>
      </w:r>
      <w:r>
        <w:rPr>
          <w:spacing w:val="-2"/>
        </w:rPr>
        <w:t xml:space="preserve"> </w:t>
      </w:r>
      <w:r>
        <w:t>required</w:t>
      </w:r>
      <w:r>
        <w:rPr>
          <w:spacing w:val="-2"/>
        </w:rPr>
        <w:t xml:space="preserve"> </w:t>
      </w:r>
      <w:r>
        <w:t>to</w:t>
      </w:r>
      <w:r>
        <w:rPr>
          <w:spacing w:val="-2"/>
        </w:rPr>
        <w:t xml:space="preserve"> </w:t>
      </w:r>
      <w:r>
        <w:t>report</w:t>
      </w:r>
      <w:r>
        <w:rPr>
          <w:spacing w:val="-2"/>
        </w:rPr>
        <w:t xml:space="preserve"> </w:t>
      </w:r>
      <w:r>
        <w:t>that</w:t>
      </w:r>
      <w:r>
        <w:rPr>
          <w:spacing w:val="-2"/>
        </w:rPr>
        <w:t xml:space="preserve"> </w:t>
      </w:r>
      <w:r>
        <w:t>fact.</w:t>
      </w:r>
      <w:r>
        <w:rPr>
          <w:spacing w:val="-2"/>
        </w:rPr>
        <w:t xml:space="preserve"> </w:t>
      </w:r>
      <w:r>
        <w:t>I</w:t>
      </w:r>
      <w:r>
        <w:rPr>
          <w:spacing w:val="-2"/>
        </w:rPr>
        <w:t xml:space="preserve"> </w:t>
      </w:r>
      <w:r>
        <w:t>have</w:t>
      </w:r>
      <w:r>
        <w:rPr>
          <w:spacing w:val="-2"/>
        </w:rPr>
        <w:t xml:space="preserve"> </w:t>
      </w:r>
      <w:r>
        <w:t>nothing</w:t>
      </w:r>
      <w:r>
        <w:rPr>
          <w:spacing w:val="-2"/>
        </w:rPr>
        <w:t xml:space="preserve"> </w:t>
      </w:r>
      <w:r>
        <w:t>to</w:t>
      </w:r>
      <w:r>
        <w:rPr>
          <w:spacing w:val="-2"/>
        </w:rPr>
        <w:t xml:space="preserve"> </w:t>
      </w:r>
      <w:r>
        <w:t>report</w:t>
      </w:r>
      <w:r>
        <w:rPr>
          <w:spacing w:val="-2"/>
        </w:rPr>
        <w:t xml:space="preserve"> </w:t>
      </w:r>
      <w:r>
        <w:t>in</w:t>
      </w:r>
      <w:r>
        <w:rPr>
          <w:spacing w:val="-2"/>
        </w:rPr>
        <w:t xml:space="preserve"> </w:t>
      </w:r>
      <w:r>
        <w:t>this</w:t>
      </w:r>
      <w:r>
        <w:rPr>
          <w:spacing w:val="-2"/>
        </w:rPr>
        <w:t xml:space="preserve"> </w:t>
      </w:r>
      <w:r>
        <w:t>regard.</w:t>
      </w:r>
    </w:p>
    <w:p w14:paraId="1FD98EE4" w14:textId="77777777" w:rsidR="00AC6F3C" w:rsidRDefault="00AC6F3C">
      <w:pPr>
        <w:pStyle w:val="BodyText"/>
        <w:spacing w:before="8"/>
        <w:rPr>
          <w:sz w:val="22"/>
        </w:rPr>
      </w:pPr>
    </w:p>
    <w:p w14:paraId="784B7114" w14:textId="77777777" w:rsidR="00AC6F3C" w:rsidRDefault="00570E88">
      <w:pPr>
        <w:pStyle w:val="Heading9"/>
        <w:spacing w:before="1"/>
      </w:pPr>
      <w:r>
        <w:t>Responsibilities</w:t>
      </w:r>
      <w:r>
        <w:rPr>
          <w:spacing w:val="-4"/>
        </w:rPr>
        <w:t xml:space="preserve"> </w:t>
      </w:r>
      <w:r>
        <w:t>of</w:t>
      </w:r>
      <w:r>
        <w:rPr>
          <w:spacing w:val="-4"/>
        </w:rPr>
        <w:t xml:space="preserve"> </w:t>
      </w:r>
      <w:r>
        <w:t>the</w:t>
      </w:r>
      <w:r>
        <w:rPr>
          <w:spacing w:val="-4"/>
        </w:rPr>
        <w:t xml:space="preserve"> </w:t>
      </w:r>
      <w:r>
        <w:t>company</w:t>
      </w:r>
      <w:r>
        <w:rPr>
          <w:spacing w:val="-4"/>
        </w:rPr>
        <w:t xml:space="preserve"> </w:t>
      </w:r>
      <w:r>
        <w:t>for</w:t>
      </w:r>
      <w:r>
        <w:rPr>
          <w:spacing w:val="-4"/>
        </w:rPr>
        <w:t xml:space="preserve"> </w:t>
      </w:r>
      <w:r>
        <w:t>the</w:t>
      </w:r>
      <w:r>
        <w:rPr>
          <w:spacing w:val="-4"/>
        </w:rPr>
        <w:t xml:space="preserve"> </w:t>
      </w:r>
      <w:r>
        <w:t>financial</w:t>
      </w:r>
      <w:r>
        <w:rPr>
          <w:spacing w:val="-3"/>
        </w:rPr>
        <w:t xml:space="preserve"> </w:t>
      </w:r>
      <w:r>
        <w:rPr>
          <w:spacing w:val="-2"/>
        </w:rPr>
        <w:t>report</w:t>
      </w:r>
    </w:p>
    <w:p w14:paraId="013E0B93" w14:textId="77777777" w:rsidR="00AC6F3C" w:rsidRDefault="00570E88">
      <w:pPr>
        <w:pStyle w:val="BodyText"/>
        <w:spacing w:before="176" w:line="249" w:lineRule="auto"/>
        <w:ind w:left="815" w:right="1424"/>
      </w:pPr>
      <w:r>
        <w:t>The company’s directors are responsible for the preparation of the financial report that gives</w:t>
      </w:r>
      <w:r>
        <w:rPr>
          <w:spacing w:val="-3"/>
        </w:rPr>
        <w:t xml:space="preserve"> </w:t>
      </w:r>
      <w:r>
        <w:t>a</w:t>
      </w:r>
      <w:r>
        <w:rPr>
          <w:spacing w:val="-3"/>
        </w:rPr>
        <w:t xml:space="preserve"> </w:t>
      </w:r>
      <w:r>
        <w:t>true</w:t>
      </w:r>
      <w:r>
        <w:rPr>
          <w:spacing w:val="-3"/>
        </w:rPr>
        <w:t xml:space="preserve"> </w:t>
      </w:r>
      <w:r>
        <w:t>and</w:t>
      </w:r>
      <w:r>
        <w:rPr>
          <w:spacing w:val="-3"/>
        </w:rPr>
        <w:t xml:space="preserve"> </w:t>
      </w:r>
      <w:r>
        <w:t>fair</w:t>
      </w:r>
      <w:r>
        <w:rPr>
          <w:spacing w:val="-3"/>
        </w:rPr>
        <w:t xml:space="preserve"> </w:t>
      </w:r>
      <w:r>
        <w:t>view</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rPr>
          <w:i/>
        </w:rPr>
        <w:t>Corporations</w:t>
      </w:r>
      <w:r>
        <w:rPr>
          <w:i/>
          <w:spacing w:val="-10"/>
        </w:rPr>
        <w:t xml:space="preserve"> </w:t>
      </w:r>
      <w:r>
        <w:rPr>
          <w:i/>
        </w:rPr>
        <w:t>Act</w:t>
      </w:r>
      <w:r>
        <w:rPr>
          <w:i/>
          <w:spacing w:val="-3"/>
        </w:rPr>
        <w:t xml:space="preserve"> </w:t>
      </w:r>
      <w:r>
        <w:rPr>
          <w:i/>
        </w:rPr>
        <w:t>2001</w:t>
      </w:r>
      <w:r>
        <w:t>,</w:t>
      </w:r>
      <w:r>
        <w:rPr>
          <w:spacing w:val="-3"/>
        </w:rPr>
        <w:t xml:space="preserve"> </w:t>
      </w:r>
      <w:r>
        <w:t>the</w:t>
      </w:r>
      <w:r>
        <w:rPr>
          <w:spacing w:val="-3"/>
        </w:rPr>
        <w:t xml:space="preserve"> </w:t>
      </w:r>
      <w:r>
        <w:t>Corporations Regulations 2001 and</w:t>
      </w:r>
      <w:r>
        <w:rPr>
          <w:spacing w:val="-7"/>
        </w:rPr>
        <w:t xml:space="preserve"> </w:t>
      </w:r>
      <w:r>
        <w:t>Australian</w:t>
      </w:r>
      <w:r>
        <w:rPr>
          <w:spacing w:val="-7"/>
        </w:rPr>
        <w:t xml:space="preserve"> </w:t>
      </w:r>
      <w:r>
        <w:t>Accounting Standards – Simplified Disclosures, and for such internal control as the company’s directors determine is necessary to enable the preparation of the financial report that is free from material misstatement, whether due to fraud or error.</w:t>
      </w:r>
    </w:p>
    <w:p w14:paraId="444EAAE4" w14:textId="77777777" w:rsidR="00AC6F3C" w:rsidRDefault="00570E88">
      <w:pPr>
        <w:pStyle w:val="BodyText"/>
        <w:spacing w:before="174" w:line="249" w:lineRule="auto"/>
        <w:ind w:left="815" w:right="1278"/>
      </w:pPr>
      <w:r>
        <w:t>The</w:t>
      </w:r>
      <w:r>
        <w:rPr>
          <w:spacing w:val="-4"/>
        </w:rPr>
        <w:t xml:space="preserve"> </w:t>
      </w:r>
      <w:r>
        <w:t>company’s</w:t>
      </w:r>
      <w:r>
        <w:rPr>
          <w:spacing w:val="-4"/>
        </w:rPr>
        <w:t xml:space="preserve"> </w:t>
      </w:r>
      <w:r>
        <w:t>directors</w:t>
      </w:r>
      <w:r>
        <w:rPr>
          <w:spacing w:val="-4"/>
        </w:rPr>
        <w:t xml:space="preserve"> </w:t>
      </w:r>
      <w:r>
        <w:t>are</w:t>
      </w:r>
      <w:r>
        <w:rPr>
          <w:spacing w:val="-4"/>
        </w:rPr>
        <w:t xml:space="preserve"> </w:t>
      </w:r>
      <w:r>
        <w:t>also</w:t>
      </w:r>
      <w:r>
        <w:rPr>
          <w:spacing w:val="-4"/>
        </w:rPr>
        <w:t xml:space="preserve"> </w:t>
      </w:r>
      <w:r>
        <w:t>responsible</w:t>
      </w:r>
      <w:r>
        <w:rPr>
          <w:spacing w:val="-4"/>
        </w:rPr>
        <w:t xml:space="preserve"> </w:t>
      </w:r>
      <w:r>
        <w:t>for</w:t>
      </w:r>
      <w:r>
        <w:rPr>
          <w:spacing w:val="-4"/>
        </w:rPr>
        <w:t xml:space="preserve"> </w:t>
      </w:r>
      <w:r>
        <w:t>assessing</w:t>
      </w:r>
      <w:r>
        <w:rPr>
          <w:spacing w:val="-4"/>
        </w:rPr>
        <w:t xml:space="preserve"> </w:t>
      </w:r>
      <w:r>
        <w:t>the</w:t>
      </w:r>
      <w:r>
        <w:rPr>
          <w:spacing w:val="-4"/>
        </w:rPr>
        <w:t xml:space="preserve"> </w:t>
      </w:r>
      <w:r>
        <w:t>company’s</w:t>
      </w:r>
      <w:r>
        <w:rPr>
          <w:spacing w:val="-4"/>
        </w:rPr>
        <w:t xml:space="preserve"> </w:t>
      </w:r>
      <w:r>
        <w:t>ability</w:t>
      </w:r>
      <w:r>
        <w:rPr>
          <w:spacing w:val="-4"/>
        </w:rPr>
        <w:t xml:space="preserve"> </w:t>
      </w:r>
      <w:r>
        <w:t>to</w:t>
      </w:r>
      <w:r>
        <w:rPr>
          <w:spacing w:val="-4"/>
        </w:rPr>
        <w:t xml:space="preserve"> </w:t>
      </w:r>
      <w:r>
        <w:t>continue as a going concern, disclosing, as applicable, matters relating to going concern and using</w:t>
      </w:r>
      <w:r>
        <w:rPr>
          <w:spacing w:val="40"/>
        </w:rPr>
        <w:t xml:space="preserve"> </w:t>
      </w:r>
      <w:r>
        <w:t>the going concern basis of accounting unless it is intended to abolish the company or to otherwise cease operations.</w:t>
      </w:r>
    </w:p>
    <w:p w14:paraId="18FED847" w14:textId="77777777" w:rsidR="00AC6F3C" w:rsidRDefault="00AC6F3C">
      <w:pPr>
        <w:pStyle w:val="BodyText"/>
        <w:spacing w:before="11"/>
        <w:rPr>
          <w:sz w:val="22"/>
        </w:rPr>
      </w:pPr>
    </w:p>
    <w:p w14:paraId="03BBECDF" w14:textId="77777777" w:rsidR="00AC6F3C" w:rsidRDefault="00570E88">
      <w:pPr>
        <w:pStyle w:val="Heading9"/>
      </w:pPr>
      <w:r>
        <w:t>Auditor’s</w:t>
      </w:r>
      <w:r>
        <w:rPr>
          <w:spacing w:val="-4"/>
        </w:rPr>
        <w:t xml:space="preserve"> </w:t>
      </w:r>
      <w:r>
        <w:t>responsibilities</w:t>
      </w:r>
      <w:r>
        <w:rPr>
          <w:spacing w:val="-3"/>
        </w:rPr>
        <w:t xml:space="preserve"> </w:t>
      </w:r>
      <w:r>
        <w:t>for</w:t>
      </w:r>
      <w:r>
        <w:rPr>
          <w:spacing w:val="-4"/>
        </w:rPr>
        <w:t xml:space="preserve"> </w:t>
      </w:r>
      <w:r>
        <w:t>the</w:t>
      </w:r>
      <w:r>
        <w:rPr>
          <w:spacing w:val="-3"/>
        </w:rPr>
        <w:t xml:space="preserve"> </w:t>
      </w:r>
      <w:r>
        <w:t>audit</w:t>
      </w:r>
      <w:r>
        <w:rPr>
          <w:spacing w:val="-4"/>
        </w:rPr>
        <w:t xml:space="preserve"> </w:t>
      </w:r>
      <w:r>
        <w:t>of</w:t>
      </w:r>
      <w:r>
        <w:rPr>
          <w:spacing w:val="-3"/>
        </w:rPr>
        <w:t xml:space="preserve"> </w:t>
      </w:r>
      <w:r>
        <w:t>the</w:t>
      </w:r>
      <w:r>
        <w:rPr>
          <w:spacing w:val="-4"/>
        </w:rPr>
        <w:t xml:space="preserve"> </w:t>
      </w:r>
      <w:r>
        <w:t>financial</w:t>
      </w:r>
      <w:r>
        <w:rPr>
          <w:spacing w:val="-3"/>
        </w:rPr>
        <w:t xml:space="preserve"> </w:t>
      </w:r>
      <w:r>
        <w:rPr>
          <w:spacing w:val="-2"/>
        </w:rPr>
        <w:t>report</w:t>
      </w:r>
    </w:p>
    <w:p w14:paraId="5B7AC8A7" w14:textId="77777777" w:rsidR="00AC6F3C" w:rsidRDefault="00570E88">
      <w:pPr>
        <w:pStyle w:val="BodyText"/>
        <w:spacing w:before="176" w:line="249" w:lineRule="auto"/>
        <w:ind w:left="815" w:right="1183"/>
      </w:pPr>
      <w:r>
        <w:t>My objectives are to obtain reasonable assurance about whether the financial report as a whole is free from material misstatement, whether due to fraud or error, and to issue an auditor’s</w:t>
      </w:r>
      <w:r>
        <w:rPr>
          <w:spacing w:val="-3"/>
        </w:rPr>
        <w:t xml:space="preserve"> </w:t>
      </w:r>
      <w:r>
        <w:t>report</w:t>
      </w:r>
      <w:r>
        <w:rPr>
          <w:spacing w:val="-3"/>
        </w:rPr>
        <w:t xml:space="preserve"> </w:t>
      </w:r>
      <w:r>
        <w:t>that</w:t>
      </w:r>
      <w:r>
        <w:rPr>
          <w:spacing w:val="-3"/>
        </w:rPr>
        <w:t xml:space="preserve"> </w:t>
      </w:r>
      <w:r>
        <w:t>includes</w:t>
      </w:r>
      <w:r>
        <w:rPr>
          <w:spacing w:val="-3"/>
        </w:rPr>
        <w:t xml:space="preserve"> </w:t>
      </w:r>
      <w:r>
        <w:t>my</w:t>
      </w:r>
      <w:r>
        <w:rPr>
          <w:spacing w:val="-3"/>
        </w:rPr>
        <w:t xml:space="preserve"> </w:t>
      </w:r>
      <w:r>
        <w:t>opinion.</w:t>
      </w:r>
      <w:r>
        <w:rPr>
          <w:spacing w:val="-3"/>
        </w:rPr>
        <w:t xml:space="preserve"> </w:t>
      </w:r>
      <w:r>
        <w:t>Reasonable</w:t>
      </w:r>
      <w:r>
        <w:rPr>
          <w:spacing w:val="-3"/>
        </w:rPr>
        <w:t xml:space="preserve"> </w:t>
      </w:r>
      <w:r>
        <w:t>assurance</w:t>
      </w:r>
      <w:r>
        <w:rPr>
          <w:spacing w:val="-3"/>
        </w:rPr>
        <w:t xml:space="preserve"> </w:t>
      </w:r>
      <w:r>
        <w:t>is</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assurance, but is not a guarantee that an audit conducted in accordance with the</w:t>
      </w:r>
      <w:r>
        <w:rPr>
          <w:spacing w:val="-5"/>
        </w:rPr>
        <w:t xml:space="preserve"> </w:t>
      </w:r>
      <w:r>
        <w:t>Australian</w:t>
      </w:r>
      <w:r>
        <w:rPr>
          <w:spacing w:val="-5"/>
        </w:rPr>
        <w:t xml:space="preserve"> </w:t>
      </w:r>
      <w:r>
        <w:t>Auditing Standards</w:t>
      </w:r>
      <w:r>
        <w:rPr>
          <w:spacing w:val="-3"/>
        </w:rPr>
        <w:t xml:space="preserve"> </w:t>
      </w:r>
      <w:r>
        <w:t>will</w:t>
      </w:r>
      <w:r>
        <w:rPr>
          <w:spacing w:val="-3"/>
        </w:rPr>
        <w:t xml:space="preserve"> </w:t>
      </w:r>
      <w:r>
        <w:t>always</w:t>
      </w:r>
      <w:r>
        <w:rPr>
          <w:spacing w:val="-3"/>
        </w:rPr>
        <w:t xml:space="preserve"> </w:t>
      </w:r>
      <w:r>
        <w:t>detect</w:t>
      </w:r>
      <w:r>
        <w:rPr>
          <w:spacing w:val="-3"/>
        </w:rPr>
        <w:t xml:space="preserve"> </w:t>
      </w:r>
      <w:r>
        <w:t>a</w:t>
      </w:r>
      <w:r>
        <w:rPr>
          <w:spacing w:val="-3"/>
        </w:rPr>
        <w:t xml:space="preserve"> </w:t>
      </w:r>
      <w:r>
        <w:t>material</w:t>
      </w:r>
      <w:r>
        <w:rPr>
          <w:spacing w:val="-3"/>
        </w:rPr>
        <w:t xml:space="preserve"> </w:t>
      </w:r>
      <w:r>
        <w:t>misstatement</w:t>
      </w:r>
      <w:r>
        <w:rPr>
          <w:spacing w:val="-3"/>
        </w:rPr>
        <w:t xml:space="preserve"> </w:t>
      </w:r>
      <w:r>
        <w:t>when</w:t>
      </w:r>
      <w:r>
        <w:rPr>
          <w:spacing w:val="-3"/>
        </w:rPr>
        <w:t xml:space="preserve"> </w:t>
      </w:r>
      <w:r>
        <w:t>it</w:t>
      </w:r>
      <w:r>
        <w:rPr>
          <w:spacing w:val="-3"/>
        </w:rPr>
        <w:t xml:space="preserve"> </w:t>
      </w:r>
      <w:r>
        <w:t>exists.</w:t>
      </w:r>
      <w:r>
        <w:rPr>
          <w:spacing w:val="-3"/>
        </w:rPr>
        <w:t xml:space="preserve"> </w:t>
      </w:r>
      <w:r>
        <w:t>Misstatements</w:t>
      </w:r>
      <w:r>
        <w:rPr>
          <w:spacing w:val="-3"/>
        </w:rPr>
        <w:t xml:space="preserve"> </w:t>
      </w:r>
      <w:r>
        <w:t>can</w:t>
      </w:r>
      <w:r>
        <w:rPr>
          <w:spacing w:val="-3"/>
        </w:rPr>
        <w:t xml:space="preserve"> </w:t>
      </w:r>
      <w:r>
        <w:t>arise from fraud or error and are considered material if, individually or in aggregate, they could reasonably be expected to influence the economic decisions of users taken on the basis of this financial report.</w:t>
      </w:r>
    </w:p>
    <w:p w14:paraId="10709DDD" w14:textId="77777777" w:rsidR="00AC6F3C" w:rsidRDefault="00570E88">
      <w:pPr>
        <w:pStyle w:val="BodyText"/>
        <w:spacing w:before="177" w:line="249" w:lineRule="auto"/>
        <w:ind w:left="815" w:right="1424"/>
      </w:pPr>
      <w:r>
        <w:t>As part of an audit in accordance with the</w:t>
      </w:r>
      <w:r>
        <w:rPr>
          <w:spacing w:val="-4"/>
        </w:rPr>
        <w:t xml:space="preserve"> </w:t>
      </w:r>
      <w:r>
        <w:t>Australian</w:t>
      </w:r>
      <w:r>
        <w:rPr>
          <w:spacing w:val="-4"/>
        </w:rPr>
        <w:t xml:space="preserve"> </w:t>
      </w:r>
      <w:r>
        <w:t>Auditing Standards, I exercise professional</w:t>
      </w:r>
      <w:r>
        <w:rPr>
          <w:spacing w:val="-4"/>
        </w:rPr>
        <w:t xml:space="preserve"> </w:t>
      </w:r>
      <w:r>
        <w:t>judgement</w:t>
      </w:r>
      <w:r>
        <w:rPr>
          <w:spacing w:val="-4"/>
        </w:rPr>
        <w:t xml:space="preserve"> </w:t>
      </w:r>
      <w:r>
        <w:t>and</w:t>
      </w:r>
      <w:r>
        <w:rPr>
          <w:spacing w:val="-4"/>
        </w:rPr>
        <w:t xml:space="preserve"> </w:t>
      </w:r>
      <w:r>
        <w:t>maintain</w:t>
      </w:r>
      <w:r>
        <w:rPr>
          <w:spacing w:val="-4"/>
        </w:rPr>
        <w:t xml:space="preserve"> </w:t>
      </w:r>
      <w:r>
        <w:t>professional</w:t>
      </w:r>
      <w:r>
        <w:rPr>
          <w:spacing w:val="-4"/>
        </w:rPr>
        <w:t xml:space="preserve"> </w:t>
      </w:r>
      <w:proofErr w:type="spellStart"/>
      <w:r>
        <w:t>scepticism</w:t>
      </w:r>
      <w:proofErr w:type="spellEnd"/>
      <w:r>
        <w:rPr>
          <w:spacing w:val="-4"/>
        </w:rPr>
        <w:t xml:space="preserve"> </w:t>
      </w:r>
      <w:r>
        <w:t>throughout</w:t>
      </w:r>
      <w:r>
        <w:rPr>
          <w:spacing w:val="-4"/>
        </w:rPr>
        <w:t xml:space="preserve"> </w:t>
      </w:r>
      <w:r>
        <w:t>the</w:t>
      </w:r>
      <w:r>
        <w:rPr>
          <w:spacing w:val="-4"/>
        </w:rPr>
        <w:t xml:space="preserve"> </w:t>
      </w:r>
      <w:r>
        <w:t>audit.</w:t>
      </w:r>
      <w:r>
        <w:rPr>
          <w:spacing w:val="-4"/>
        </w:rPr>
        <w:t xml:space="preserve"> </w:t>
      </w:r>
      <w:r>
        <w:t>I</w:t>
      </w:r>
      <w:r>
        <w:rPr>
          <w:spacing w:val="-4"/>
        </w:rPr>
        <w:t xml:space="preserve"> </w:t>
      </w:r>
      <w:r>
        <w:t>also:</w:t>
      </w:r>
    </w:p>
    <w:p w14:paraId="4B64F00A" w14:textId="77777777" w:rsidR="00AC6F3C" w:rsidRDefault="00570E88">
      <w:pPr>
        <w:pStyle w:val="ListParagraph"/>
        <w:numPr>
          <w:ilvl w:val="0"/>
          <w:numId w:val="7"/>
        </w:numPr>
        <w:tabs>
          <w:tab w:val="left" w:pos="1269"/>
        </w:tabs>
        <w:spacing w:before="171" w:line="249" w:lineRule="auto"/>
        <w:ind w:right="1358"/>
        <w:rPr>
          <w:sz w:val="20"/>
        </w:rPr>
      </w:pPr>
      <w:r>
        <w:rPr>
          <w:sz w:val="20"/>
        </w:rPr>
        <w:t>Identify and assess the risks of material misstatement of the financial report, whether due to fraud or error, design and perform audit procedures responsive to those risks, and obtain audit evidence that is sufficient and appropriate to provide a basis for my opinion.</w:t>
      </w:r>
      <w:r>
        <w:rPr>
          <w:spacing w:val="-7"/>
          <w:sz w:val="20"/>
        </w:rPr>
        <w:t xml:space="preserve"> </w:t>
      </w:r>
      <w:r>
        <w:rPr>
          <w:sz w:val="20"/>
        </w:rPr>
        <w:t>The</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not</w:t>
      </w:r>
      <w:r>
        <w:rPr>
          <w:spacing w:val="-3"/>
          <w:sz w:val="20"/>
        </w:rPr>
        <w:t xml:space="preserve"> </w:t>
      </w:r>
      <w:r>
        <w:rPr>
          <w:sz w:val="20"/>
        </w:rPr>
        <w:t>detecting</w:t>
      </w:r>
      <w:r>
        <w:rPr>
          <w:spacing w:val="-3"/>
          <w:sz w:val="20"/>
        </w:rPr>
        <w:t xml:space="preserve"> </w:t>
      </w:r>
      <w:r>
        <w:rPr>
          <w:sz w:val="20"/>
        </w:rPr>
        <w:t>a</w:t>
      </w:r>
      <w:r>
        <w:rPr>
          <w:spacing w:val="-3"/>
          <w:sz w:val="20"/>
        </w:rPr>
        <w:t xml:space="preserve"> </w:t>
      </w:r>
      <w:r>
        <w:rPr>
          <w:sz w:val="20"/>
        </w:rPr>
        <w:t>material</w:t>
      </w:r>
      <w:r>
        <w:rPr>
          <w:spacing w:val="-3"/>
          <w:sz w:val="20"/>
        </w:rPr>
        <w:t xml:space="preserve"> </w:t>
      </w:r>
      <w:r>
        <w:rPr>
          <w:sz w:val="20"/>
        </w:rPr>
        <w:t>misstatement</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fraud</w:t>
      </w:r>
      <w:r>
        <w:rPr>
          <w:spacing w:val="-3"/>
          <w:sz w:val="20"/>
        </w:rPr>
        <w:t xml:space="preserve"> </w:t>
      </w:r>
      <w:r>
        <w:rPr>
          <w:sz w:val="20"/>
        </w:rPr>
        <w:t>is</w:t>
      </w:r>
      <w:r>
        <w:rPr>
          <w:spacing w:val="-3"/>
          <w:sz w:val="20"/>
        </w:rPr>
        <w:t xml:space="preserve"> </w:t>
      </w:r>
      <w:r>
        <w:rPr>
          <w:sz w:val="20"/>
        </w:rPr>
        <w:t>higher than for one resulting from error, as fraud may involve collusion, forgery, intentional omissions, misrepresentations, or the override of internal control.</w:t>
      </w:r>
    </w:p>
    <w:p w14:paraId="7A5997C8" w14:textId="77777777" w:rsidR="00AC6F3C" w:rsidRDefault="00570E88">
      <w:pPr>
        <w:pStyle w:val="ListParagraph"/>
        <w:numPr>
          <w:ilvl w:val="0"/>
          <w:numId w:val="7"/>
        </w:numPr>
        <w:tabs>
          <w:tab w:val="left" w:pos="1267"/>
          <w:tab w:val="left" w:pos="1269"/>
        </w:tabs>
        <w:spacing w:before="175" w:line="249" w:lineRule="auto"/>
        <w:ind w:right="1331"/>
        <w:jc w:val="both"/>
        <w:rPr>
          <w:sz w:val="20"/>
        </w:rPr>
      </w:pPr>
      <w:r>
        <w:rPr>
          <w:sz w:val="20"/>
        </w:rPr>
        <w:t>Obtain</w:t>
      </w:r>
      <w:r>
        <w:rPr>
          <w:spacing w:val="-3"/>
          <w:sz w:val="20"/>
        </w:rPr>
        <w:t xml:space="preserve"> </w:t>
      </w:r>
      <w:r>
        <w:rPr>
          <w:sz w:val="20"/>
        </w:rPr>
        <w:t>an</w:t>
      </w:r>
      <w:r>
        <w:rPr>
          <w:spacing w:val="-3"/>
          <w:sz w:val="20"/>
        </w:rPr>
        <w:t xml:space="preserve"> </w:t>
      </w:r>
      <w:r>
        <w:rPr>
          <w:sz w:val="20"/>
        </w:rPr>
        <w:t>understanding</w:t>
      </w:r>
      <w:r>
        <w:rPr>
          <w:spacing w:val="-3"/>
          <w:sz w:val="20"/>
        </w:rPr>
        <w:t xml:space="preserve"> </w:t>
      </w:r>
      <w:r>
        <w:rPr>
          <w:sz w:val="20"/>
        </w:rPr>
        <w:t>of</w:t>
      </w:r>
      <w:r>
        <w:rPr>
          <w:spacing w:val="-3"/>
          <w:sz w:val="20"/>
        </w:rPr>
        <w:t xml:space="preserve"> </w:t>
      </w:r>
      <w:r>
        <w:rPr>
          <w:sz w:val="20"/>
        </w:rPr>
        <w:t>internal</w:t>
      </w:r>
      <w:r>
        <w:rPr>
          <w:spacing w:val="-3"/>
          <w:sz w:val="20"/>
        </w:rPr>
        <w:t xml:space="preserve"> </w:t>
      </w:r>
      <w:r>
        <w:rPr>
          <w:sz w:val="20"/>
        </w:rPr>
        <w:t>control</w:t>
      </w:r>
      <w:r>
        <w:rPr>
          <w:spacing w:val="-3"/>
          <w:sz w:val="20"/>
        </w:rPr>
        <w:t xml:space="preserve"> </w:t>
      </w:r>
      <w:r>
        <w:rPr>
          <w:sz w:val="20"/>
        </w:rPr>
        <w:t>relevant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audit</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design</w:t>
      </w:r>
      <w:r>
        <w:rPr>
          <w:spacing w:val="-3"/>
          <w:sz w:val="20"/>
        </w:rPr>
        <w:t xml:space="preserve"> </w:t>
      </w:r>
      <w:r>
        <w:rPr>
          <w:sz w:val="20"/>
        </w:rPr>
        <w:t>audit procedures</w:t>
      </w:r>
      <w:r>
        <w:rPr>
          <w:spacing w:val="-2"/>
          <w:sz w:val="20"/>
        </w:rPr>
        <w:t xml:space="preserve"> </w:t>
      </w:r>
      <w:r>
        <w:rPr>
          <w:sz w:val="20"/>
        </w:rPr>
        <w:t>that</w:t>
      </w:r>
      <w:r>
        <w:rPr>
          <w:spacing w:val="-2"/>
          <w:sz w:val="20"/>
        </w:rPr>
        <w:t xml:space="preserve"> </w:t>
      </w:r>
      <w:r>
        <w:rPr>
          <w:sz w:val="20"/>
        </w:rPr>
        <w:t>are</w:t>
      </w:r>
      <w:r>
        <w:rPr>
          <w:spacing w:val="-2"/>
          <w:sz w:val="20"/>
        </w:rPr>
        <w:t xml:space="preserve"> </w:t>
      </w:r>
      <w:r>
        <w:rPr>
          <w:sz w:val="20"/>
        </w:rPr>
        <w:t>appropriate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circumstances,</w:t>
      </w:r>
      <w:r>
        <w:rPr>
          <w:spacing w:val="-2"/>
          <w:sz w:val="20"/>
        </w:rPr>
        <w:t xml:space="preserve"> </w:t>
      </w:r>
      <w:r>
        <w:rPr>
          <w:sz w:val="20"/>
        </w:rPr>
        <w:t>but</w:t>
      </w:r>
      <w:r>
        <w:rPr>
          <w:spacing w:val="-2"/>
          <w:sz w:val="20"/>
        </w:rPr>
        <w:t xml:space="preserve"> </w:t>
      </w:r>
      <w:r>
        <w:rPr>
          <w:sz w:val="20"/>
        </w:rPr>
        <w:t>not</w:t>
      </w:r>
      <w:r>
        <w:rPr>
          <w:spacing w:val="-2"/>
          <w:sz w:val="20"/>
        </w:rPr>
        <w:t xml:space="preserve"> </w:t>
      </w:r>
      <w:r>
        <w:rPr>
          <w:sz w:val="20"/>
        </w:rPr>
        <w:t>for</w:t>
      </w:r>
      <w:r>
        <w:rPr>
          <w:spacing w:val="-2"/>
          <w:sz w:val="20"/>
        </w:rPr>
        <w:t xml:space="preserve"> </w:t>
      </w:r>
      <w:r>
        <w:rPr>
          <w:sz w:val="20"/>
        </w:rPr>
        <w:t>forming</w:t>
      </w:r>
      <w:r>
        <w:rPr>
          <w:spacing w:val="-2"/>
          <w:sz w:val="20"/>
        </w:rPr>
        <w:t xml:space="preserve"> </w:t>
      </w:r>
      <w:r>
        <w:rPr>
          <w:sz w:val="20"/>
        </w:rPr>
        <w:t>an</w:t>
      </w:r>
      <w:r>
        <w:rPr>
          <w:spacing w:val="-2"/>
          <w:sz w:val="20"/>
        </w:rPr>
        <w:t xml:space="preserve"> </w:t>
      </w:r>
      <w:r>
        <w:rPr>
          <w:sz w:val="20"/>
        </w:rPr>
        <w:t>opinion</w:t>
      </w:r>
      <w:r>
        <w:rPr>
          <w:spacing w:val="-2"/>
          <w:sz w:val="20"/>
        </w:rPr>
        <w:t xml:space="preserve"> </w:t>
      </w:r>
      <w:r>
        <w:rPr>
          <w:sz w:val="20"/>
        </w:rPr>
        <w:t>on the effectiveness of the company’s internal control</w:t>
      </w:r>
    </w:p>
    <w:p w14:paraId="5A20BFED" w14:textId="77777777" w:rsidR="00AC6F3C" w:rsidRDefault="00570E88">
      <w:pPr>
        <w:pStyle w:val="ListParagraph"/>
        <w:numPr>
          <w:ilvl w:val="0"/>
          <w:numId w:val="7"/>
        </w:numPr>
        <w:tabs>
          <w:tab w:val="left" w:pos="1267"/>
          <w:tab w:val="left" w:pos="1269"/>
        </w:tabs>
        <w:spacing w:before="173" w:line="249" w:lineRule="auto"/>
        <w:ind w:right="1269"/>
        <w:jc w:val="both"/>
        <w:rPr>
          <w:sz w:val="20"/>
        </w:rPr>
      </w:pPr>
      <w:r>
        <w:rPr>
          <w:sz w:val="20"/>
        </w:rPr>
        <w:t>Evaluate the appropriateness of material accounting policy information used and the reasonableness</w:t>
      </w:r>
      <w:r>
        <w:rPr>
          <w:spacing w:val="-5"/>
          <w:sz w:val="20"/>
        </w:rPr>
        <w:t xml:space="preserve"> </w:t>
      </w:r>
      <w:r>
        <w:rPr>
          <w:sz w:val="20"/>
        </w:rPr>
        <w:t>of</w:t>
      </w:r>
      <w:r>
        <w:rPr>
          <w:spacing w:val="-5"/>
          <w:sz w:val="20"/>
        </w:rPr>
        <w:t xml:space="preserve"> </w:t>
      </w:r>
      <w:r>
        <w:rPr>
          <w:sz w:val="20"/>
        </w:rPr>
        <w:t>accounting</w:t>
      </w:r>
      <w:r>
        <w:rPr>
          <w:spacing w:val="-5"/>
          <w:sz w:val="20"/>
        </w:rPr>
        <w:t xml:space="preserve"> </w:t>
      </w:r>
      <w:r>
        <w:rPr>
          <w:sz w:val="20"/>
        </w:rPr>
        <w:t>estimates</w:t>
      </w:r>
      <w:r>
        <w:rPr>
          <w:spacing w:val="-5"/>
          <w:sz w:val="20"/>
        </w:rPr>
        <w:t xml:space="preserve"> </w:t>
      </w:r>
      <w:r>
        <w:rPr>
          <w:sz w:val="20"/>
        </w:rPr>
        <w:t>and</w:t>
      </w:r>
      <w:r>
        <w:rPr>
          <w:spacing w:val="-5"/>
          <w:sz w:val="20"/>
        </w:rPr>
        <w:t xml:space="preserve"> </w:t>
      </w:r>
      <w:r>
        <w:rPr>
          <w:sz w:val="20"/>
        </w:rPr>
        <w:t>related</w:t>
      </w:r>
      <w:r>
        <w:rPr>
          <w:spacing w:val="-5"/>
          <w:sz w:val="20"/>
        </w:rPr>
        <w:t xml:space="preserve"> </w:t>
      </w:r>
      <w:r>
        <w:rPr>
          <w:sz w:val="20"/>
        </w:rPr>
        <w:t>disclosures</w:t>
      </w:r>
      <w:r>
        <w:rPr>
          <w:spacing w:val="-5"/>
          <w:sz w:val="20"/>
        </w:rPr>
        <w:t xml:space="preserve"> </w:t>
      </w:r>
      <w:r>
        <w:rPr>
          <w:sz w:val="20"/>
        </w:rPr>
        <w:t>made</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company.</w:t>
      </w:r>
    </w:p>
    <w:p w14:paraId="356FD312" w14:textId="77777777" w:rsidR="00AC6F3C" w:rsidRDefault="00AC6F3C">
      <w:pPr>
        <w:spacing w:line="249" w:lineRule="auto"/>
        <w:jc w:val="both"/>
        <w:rPr>
          <w:sz w:val="20"/>
        </w:rPr>
        <w:sectPr w:rsidR="00AC6F3C">
          <w:pgSz w:w="11910" w:h="16840"/>
          <w:pgMar w:top="2460" w:right="1160" w:bottom="520" w:left="460" w:header="1524" w:footer="336" w:gutter="0"/>
          <w:cols w:space="720"/>
        </w:sectPr>
      </w:pPr>
    </w:p>
    <w:p w14:paraId="1E012991" w14:textId="77777777" w:rsidR="00AC6F3C" w:rsidRDefault="00AC6F3C">
      <w:pPr>
        <w:pStyle w:val="BodyText"/>
      </w:pPr>
    </w:p>
    <w:p w14:paraId="2DA452DA" w14:textId="77777777" w:rsidR="00AC6F3C" w:rsidRDefault="00AC6F3C">
      <w:pPr>
        <w:pStyle w:val="BodyText"/>
        <w:spacing w:before="6"/>
        <w:rPr>
          <w:sz w:val="28"/>
        </w:rPr>
      </w:pPr>
    </w:p>
    <w:p w14:paraId="140B515C" w14:textId="77777777" w:rsidR="00AC6F3C" w:rsidRDefault="00570E88">
      <w:pPr>
        <w:pStyle w:val="ListParagraph"/>
        <w:numPr>
          <w:ilvl w:val="0"/>
          <w:numId w:val="7"/>
        </w:numPr>
        <w:tabs>
          <w:tab w:val="left" w:pos="1269"/>
        </w:tabs>
        <w:spacing w:before="93" w:line="249" w:lineRule="auto"/>
        <w:ind w:right="1413"/>
        <w:rPr>
          <w:sz w:val="20"/>
        </w:rPr>
      </w:pPr>
      <w:r>
        <w:rPr>
          <w:sz w:val="20"/>
        </w:rPr>
        <w:t>Conclude on the appropriateness of the company’s use of the going concern basis of accounting</w:t>
      </w:r>
      <w:r>
        <w:rPr>
          <w:spacing w:val="-2"/>
          <w:sz w:val="20"/>
        </w:rPr>
        <w:t xml:space="preserve"> </w:t>
      </w:r>
      <w:r>
        <w:rPr>
          <w:sz w:val="20"/>
        </w:rPr>
        <w:t>and,</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audit</w:t>
      </w:r>
      <w:r>
        <w:rPr>
          <w:spacing w:val="-2"/>
          <w:sz w:val="20"/>
        </w:rPr>
        <w:t xml:space="preserve"> </w:t>
      </w:r>
      <w:r>
        <w:rPr>
          <w:sz w:val="20"/>
        </w:rPr>
        <w:t>evidence</w:t>
      </w:r>
      <w:r>
        <w:rPr>
          <w:spacing w:val="-2"/>
          <w:sz w:val="20"/>
        </w:rPr>
        <w:t xml:space="preserve"> </w:t>
      </w:r>
      <w:r>
        <w:rPr>
          <w:sz w:val="20"/>
        </w:rPr>
        <w:t>obtained,</w:t>
      </w:r>
      <w:r>
        <w:rPr>
          <w:spacing w:val="-2"/>
          <w:sz w:val="20"/>
        </w:rPr>
        <w:t xml:space="preserve"> </w:t>
      </w:r>
      <w:r>
        <w:rPr>
          <w:sz w:val="20"/>
        </w:rPr>
        <w:t>whether</w:t>
      </w:r>
      <w:r>
        <w:rPr>
          <w:spacing w:val="-2"/>
          <w:sz w:val="20"/>
        </w:rPr>
        <w:t xml:space="preserve"> </w:t>
      </w:r>
      <w:r>
        <w:rPr>
          <w:sz w:val="20"/>
        </w:rPr>
        <w:t>a</w:t>
      </w:r>
      <w:r>
        <w:rPr>
          <w:spacing w:val="-2"/>
          <w:sz w:val="20"/>
        </w:rPr>
        <w:t xml:space="preserve"> </w:t>
      </w:r>
      <w:r>
        <w:rPr>
          <w:sz w:val="20"/>
        </w:rPr>
        <w:t>material</w:t>
      </w:r>
      <w:r>
        <w:rPr>
          <w:spacing w:val="-2"/>
          <w:sz w:val="20"/>
        </w:rPr>
        <w:t xml:space="preserve"> </w:t>
      </w:r>
      <w:r>
        <w:rPr>
          <w:sz w:val="20"/>
        </w:rPr>
        <w:t>uncertainty exists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events</w:t>
      </w:r>
      <w:r>
        <w:rPr>
          <w:spacing w:val="-3"/>
          <w:sz w:val="20"/>
        </w:rPr>
        <w:t xml:space="preserve"> </w:t>
      </w:r>
      <w:r>
        <w:rPr>
          <w:sz w:val="20"/>
        </w:rPr>
        <w:t>or</w:t>
      </w:r>
      <w:r>
        <w:rPr>
          <w:spacing w:val="-3"/>
          <w:sz w:val="20"/>
        </w:rPr>
        <w:t xml:space="preserve"> </w:t>
      </w:r>
      <w:r>
        <w:rPr>
          <w:sz w:val="20"/>
        </w:rPr>
        <w:t>conditions</w:t>
      </w:r>
      <w:r>
        <w:rPr>
          <w:spacing w:val="-3"/>
          <w:sz w:val="20"/>
        </w:rPr>
        <w:t xml:space="preserve"> </w:t>
      </w:r>
      <w:r>
        <w:rPr>
          <w:sz w:val="20"/>
        </w:rPr>
        <w:t>that</w:t>
      </w:r>
      <w:r>
        <w:rPr>
          <w:spacing w:val="-3"/>
          <w:sz w:val="20"/>
        </w:rPr>
        <w:t xml:space="preserve"> </w:t>
      </w:r>
      <w:r>
        <w:rPr>
          <w:sz w:val="20"/>
        </w:rPr>
        <w:t>may</w:t>
      </w:r>
      <w:r>
        <w:rPr>
          <w:spacing w:val="-3"/>
          <w:sz w:val="20"/>
        </w:rPr>
        <w:t xml:space="preserve"> </w:t>
      </w:r>
      <w:r>
        <w:rPr>
          <w:sz w:val="20"/>
        </w:rPr>
        <w:t>cast</w:t>
      </w:r>
      <w:r>
        <w:rPr>
          <w:spacing w:val="-3"/>
          <w:sz w:val="20"/>
        </w:rPr>
        <w:t xml:space="preserve"> </w:t>
      </w:r>
      <w:r>
        <w:rPr>
          <w:sz w:val="20"/>
        </w:rPr>
        <w:t>significant</w:t>
      </w:r>
      <w:r>
        <w:rPr>
          <w:spacing w:val="-3"/>
          <w:sz w:val="20"/>
        </w:rPr>
        <w:t xml:space="preserve"> </w:t>
      </w:r>
      <w:r>
        <w:rPr>
          <w:sz w:val="20"/>
        </w:rPr>
        <w:t>doubt</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company’s ability to continue as a going concern. If I conclude that a material uncertainty exists,</w:t>
      </w:r>
    </w:p>
    <w:p w14:paraId="113CF9EF" w14:textId="77777777" w:rsidR="00AC6F3C" w:rsidRDefault="00570E88">
      <w:pPr>
        <w:pStyle w:val="BodyText"/>
        <w:spacing w:before="4" w:line="249" w:lineRule="auto"/>
        <w:ind w:left="1269" w:right="1543"/>
      </w:pPr>
      <w:r>
        <w:t>I</w:t>
      </w:r>
      <w:r>
        <w:rPr>
          <w:spacing w:val="-2"/>
        </w:rPr>
        <w:t xml:space="preserve"> </w:t>
      </w:r>
      <w:r>
        <w:t>am</w:t>
      </w:r>
      <w:r>
        <w:rPr>
          <w:spacing w:val="-2"/>
        </w:rPr>
        <w:t xml:space="preserve"> </w:t>
      </w:r>
      <w:r>
        <w:t>required</w:t>
      </w:r>
      <w:r>
        <w:rPr>
          <w:spacing w:val="-2"/>
        </w:rPr>
        <w:t xml:space="preserve"> </w:t>
      </w:r>
      <w:r>
        <w:t>to</w:t>
      </w:r>
      <w:r>
        <w:rPr>
          <w:spacing w:val="-2"/>
        </w:rPr>
        <w:t xml:space="preserve"> </w:t>
      </w:r>
      <w:r>
        <w:t>draw</w:t>
      </w:r>
      <w:r>
        <w:rPr>
          <w:spacing w:val="-2"/>
        </w:rPr>
        <w:t xml:space="preserve"> </w:t>
      </w:r>
      <w:r>
        <w:t>attention</w:t>
      </w:r>
      <w:r>
        <w:rPr>
          <w:spacing w:val="-2"/>
        </w:rPr>
        <w:t xml:space="preserve"> </w:t>
      </w:r>
      <w:r>
        <w:t>in</w:t>
      </w:r>
      <w:r>
        <w:rPr>
          <w:spacing w:val="-2"/>
        </w:rPr>
        <w:t xml:space="preserve"> </w:t>
      </w:r>
      <w:r>
        <w:t>my</w:t>
      </w:r>
      <w:r>
        <w:rPr>
          <w:spacing w:val="-2"/>
        </w:rPr>
        <w:t xml:space="preserve"> </w:t>
      </w:r>
      <w:r>
        <w:t>auditor’s</w:t>
      </w:r>
      <w:r>
        <w:rPr>
          <w:spacing w:val="-2"/>
        </w:rPr>
        <w:t xml:space="preserve"> </w:t>
      </w:r>
      <w:r>
        <w:t>report</w:t>
      </w:r>
      <w:r>
        <w:rPr>
          <w:spacing w:val="-2"/>
        </w:rPr>
        <w:t xml:space="preserve"> </w:t>
      </w:r>
      <w:r>
        <w:t>to</w:t>
      </w:r>
      <w:r>
        <w:rPr>
          <w:spacing w:val="-2"/>
        </w:rPr>
        <w:t xml:space="preserve"> </w:t>
      </w:r>
      <w:r>
        <w:t>the</w:t>
      </w:r>
      <w:r>
        <w:rPr>
          <w:spacing w:val="-2"/>
        </w:rPr>
        <w:t xml:space="preserve"> </w:t>
      </w:r>
      <w:r>
        <w:t>related</w:t>
      </w:r>
      <w:r>
        <w:rPr>
          <w:spacing w:val="-2"/>
        </w:rPr>
        <w:t xml:space="preserve"> </w:t>
      </w:r>
      <w:r>
        <w:t>disclosures</w:t>
      </w:r>
      <w:r>
        <w:rPr>
          <w:spacing w:val="-2"/>
        </w:rPr>
        <w:t xml:space="preserve"> </w:t>
      </w:r>
      <w:r>
        <w:t>in</w:t>
      </w:r>
      <w:r>
        <w:rPr>
          <w:spacing w:val="-2"/>
        </w:rPr>
        <w:t xml:space="preserve"> </w:t>
      </w:r>
      <w:r>
        <w:t>the financial report or, if such disclosures are inadequate, to modify my opinion. I base my conclusions on the audit evidence obtained up to the date of my auditor’s report.</w:t>
      </w:r>
    </w:p>
    <w:p w14:paraId="6B4D128C" w14:textId="77777777" w:rsidR="00AC6F3C" w:rsidRDefault="00570E88">
      <w:pPr>
        <w:pStyle w:val="BodyText"/>
        <w:spacing w:before="2"/>
        <w:ind w:left="1269"/>
      </w:pPr>
      <w:r>
        <w:t>However,</w:t>
      </w:r>
      <w:r>
        <w:rPr>
          <w:spacing w:val="-5"/>
        </w:rPr>
        <w:t xml:space="preserve"> </w:t>
      </w:r>
      <w:r>
        <w:t>future</w:t>
      </w:r>
      <w:r>
        <w:rPr>
          <w:spacing w:val="-2"/>
        </w:rPr>
        <w:t xml:space="preserve"> </w:t>
      </w:r>
      <w:r>
        <w:t>events</w:t>
      </w:r>
      <w:r>
        <w:rPr>
          <w:spacing w:val="-3"/>
        </w:rPr>
        <w:t xml:space="preserve"> </w:t>
      </w:r>
      <w:r>
        <w:t>or</w:t>
      </w:r>
      <w:r>
        <w:rPr>
          <w:spacing w:val="-2"/>
        </w:rPr>
        <w:t xml:space="preserve"> </w:t>
      </w:r>
      <w:r>
        <w:t>conditions</w:t>
      </w:r>
      <w:r>
        <w:rPr>
          <w:spacing w:val="-3"/>
        </w:rPr>
        <w:t xml:space="preserve"> </w:t>
      </w:r>
      <w:r>
        <w:t>may</w:t>
      </w:r>
      <w:r>
        <w:rPr>
          <w:spacing w:val="-2"/>
        </w:rPr>
        <w:t xml:space="preserve"> </w:t>
      </w:r>
      <w:r>
        <w:t>cause</w:t>
      </w:r>
      <w:r>
        <w:rPr>
          <w:spacing w:val="-3"/>
        </w:rPr>
        <w:t xml:space="preserve"> </w:t>
      </w:r>
      <w:r>
        <w:t>the</w:t>
      </w:r>
      <w:r>
        <w:rPr>
          <w:spacing w:val="-2"/>
        </w:rPr>
        <w:t xml:space="preserve"> </w:t>
      </w:r>
      <w:r>
        <w:t>company</w:t>
      </w:r>
      <w:r>
        <w:rPr>
          <w:spacing w:val="-3"/>
        </w:rPr>
        <w:t xml:space="preserve"> </w:t>
      </w:r>
      <w:r>
        <w:t>to</w:t>
      </w:r>
      <w:r>
        <w:rPr>
          <w:spacing w:val="-2"/>
        </w:rPr>
        <w:t xml:space="preserve"> </w:t>
      </w:r>
      <w:r>
        <w:t>cease</w:t>
      </w:r>
      <w:r>
        <w:rPr>
          <w:spacing w:val="-3"/>
        </w:rPr>
        <w:t xml:space="preserve"> </w:t>
      </w:r>
      <w:r>
        <w:t>to</w:t>
      </w:r>
      <w:r>
        <w:rPr>
          <w:spacing w:val="-2"/>
        </w:rPr>
        <w:t xml:space="preserve"> </w:t>
      </w:r>
      <w:r>
        <w:t>continue</w:t>
      </w:r>
      <w:r>
        <w:rPr>
          <w:spacing w:val="-3"/>
        </w:rPr>
        <w:t xml:space="preserve"> </w:t>
      </w:r>
      <w:r>
        <w:t>as</w:t>
      </w:r>
      <w:r>
        <w:rPr>
          <w:spacing w:val="-2"/>
        </w:rPr>
        <w:t xml:space="preserve"> </w:t>
      </w:r>
      <w:r>
        <w:rPr>
          <w:spacing w:val="-10"/>
        </w:rPr>
        <w:t>a</w:t>
      </w:r>
    </w:p>
    <w:p w14:paraId="06CD8511" w14:textId="77777777" w:rsidR="00AC6F3C" w:rsidRDefault="00570E88">
      <w:pPr>
        <w:pStyle w:val="BodyText"/>
        <w:spacing w:before="10"/>
        <w:ind w:left="1269"/>
      </w:pPr>
      <w:r>
        <w:t>going</w:t>
      </w:r>
      <w:r>
        <w:rPr>
          <w:spacing w:val="-6"/>
        </w:rPr>
        <w:t xml:space="preserve"> </w:t>
      </w:r>
      <w:r>
        <w:rPr>
          <w:spacing w:val="-2"/>
        </w:rPr>
        <w:t>concern.</w:t>
      </w:r>
    </w:p>
    <w:p w14:paraId="15768890" w14:textId="77777777" w:rsidR="00AC6F3C" w:rsidRDefault="00570E88">
      <w:pPr>
        <w:pStyle w:val="ListParagraph"/>
        <w:numPr>
          <w:ilvl w:val="0"/>
          <w:numId w:val="7"/>
        </w:numPr>
        <w:tabs>
          <w:tab w:val="left" w:pos="1267"/>
          <w:tab w:val="left" w:pos="1269"/>
        </w:tabs>
        <w:spacing w:line="249" w:lineRule="auto"/>
        <w:ind w:right="1287"/>
        <w:jc w:val="both"/>
        <w:rPr>
          <w:sz w:val="20"/>
        </w:rPr>
      </w:pPr>
      <w:r>
        <w:rPr>
          <w:sz w:val="20"/>
        </w:rPr>
        <w:t>Evaluate</w:t>
      </w:r>
      <w:r>
        <w:rPr>
          <w:spacing w:val="-3"/>
          <w:sz w:val="20"/>
        </w:rPr>
        <w:t xml:space="preserve"> </w:t>
      </w:r>
      <w:r>
        <w:rPr>
          <w:sz w:val="20"/>
        </w:rPr>
        <w:t>the</w:t>
      </w:r>
      <w:r>
        <w:rPr>
          <w:spacing w:val="-3"/>
          <w:sz w:val="20"/>
        </w:rPr>
        <w:t xml:space="preserve"> </w:t>
      </w:r>
      <w:r>
        <w:rPr>
          <w:sz w:val="20"/>
        </w:rPr>
        <w:t>overall</w:t>
      </w:r>
      <w:r>
        <w:rPr>
          <w:spacing w:val="-3"/>
          <w:sz w:val="20"/>
        </w:rPr>
        <w:t xml:space="preserve"> </w:t>
      </w:r>
      <w:r>
        <w:rPr>
          <w:sz w:val="20"/>
        </w:rPr>
        <w:t>presentation,</w:t>
      </w:r>
      <w:r>
        <w:rPr>
          <w:spacing w:val="-3"/>
          <w:sz w:val="20"/>
        </w:rPr>
        <w:t xml:space="preserve"> </w:t>
      </w:r>
      <w:r>
        <w:rPr>
          <w:sz w:val="20"/>
        </w:rPr>
        <w:t>structure</w:t>
      </w:r>
      <w:r>
        <w:rPr>
          <w:spacing w:val="-3"/>
          <w:sz w:val="20"/>
        </w:rPr>
        <w:t xml:space="preserve"> </w:t>
      </w:r>
      <w:r>
        <w:rPr>
          <w:sz w:val="20"/>
        </w:rPr>
        <w:t>and</w:t>
      </w:r>
      <w:r>
        <w:rPr>
          <w:spacing w:val="-3"/>
          <w:sz w:val="20"/>
        </w:rPr>
        <w:t xml:space="preserve"> </w:t>
      </w:r>
      <w:r>
        <w:rPr>
          <w:sz w:val="20"/>
        </w:rPr>
        <w:t>content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w:t>
      </w:r>
      <w:r>
        <w:rPr>
          <w:spacing w:val="-3"/>
          <w:sz w:val="20"/>
        </w:rPr>
        <w:t xml:space="preserve"> </w:t>
      </w:r>
      <w:r>
        <w:rPr>
          <w:sz w:val="20"/>
        </w:rPr>
        <w:t>including the disclosures, and whether the financial report represents the underlying transactions and events in a manner that achieves fair presentation.</w:t>
      </w:r>
    </w:p>
    <w:p w14:paraId="7F61B64E" w14:textId="77777777" w:rsidR="00AC6F3C" w:rsidRDefault="00570E88">
      <w:pPr>
        <w:pStyle w:val="BodyText"/>
        <w:spacing w:before="173" w:line="249" w:lineRule="auto"/>
        <w:ind w:left="815" w:right="1424"/>
      </w:pPr>
      <w:r>
        <w:t>I</w:t>
      </w:r>
      <w:r>
        <w:rPr>
          <w:spacing w:val="-4"/>
        </w:rPr>
        <w:t xml:space="preserve"> </w:t>
      </w:r>
      <w:r>
        <w:t>communicate</w:t>
      </w:r>
      <w:r>
        <w:rPr>
          <w:spacing w:val="-4"/>
        </w:rPr>
        <w:t xml:space="preserve"> </w:t>
      </w:r>
      <w:r>
        <w:t>with</w:t>
      </w:r>
      <w:r>
        <w:rPr>
          <w:spacing w:val="-4"/>
        </w:rPr>
        <w:t xml:space="preserve"> </w:t>
      </w:r>
      <w:r>
        <w:t>the</w:t>
      </w:r>
      <w:r>
        <w:rPr>
          <w:spacing w:val="-4"/>
        </w:rPr>
        <w:t xml:space="preserve"> </w:t>
      </w:r>
      <w:r>
        <w:t>company’s</w:t>
      </w:r>
      <w:r>
        <w:rPr>
          <w:spacing w:val="-4"/>
        </w:rPr>
        <w:t xml:space="preserve"> </w:t>
      </w:r>
      <w:r>
        <w:t>directors</w:t>
      </w:r>
      <w:r>
        <w:rPr>
          <w:spacing w:val="-4"/>
        </w:rPr>
        <w:t xml:space="preserve"> </w:t>
      </w:r>
      <w:r>
        <w:t>regarding,</w:t>
      </w:r>
      <w:r>
        <w:rPr>
          <w:spacing w:val="-4"/>
        </w:rPr>
        <w:t xml:space="preserve"> </w:t>
      </w:r>
      <w:r>
        <w:t>among</w:t>
      </w:r>
      <w:r>
        <w:rPr>
          <w:spacing w:val="-4"/>
        </w:rPr>
        <w:t xml:space="preserve"> </w:t>
      </w:r>
      <w:r>
        <w:t>other</w:t>
      </w:r>
      <w:r>
        <w:rPr>
          <w:spacing w:val="-4"/>
        </w:rPr>
        <w:t xml:space="preserve"> </w:t>
      </w:r>
      <w:r>
        <w:t>matters,</w:t>
      </w:r>
      <w:r>
        <w:rPr>
          <w:spacing w:val="-4"/>
        </w:rPr>
        <w:t xml:space="preserve"> </w:t>
      </w:r>
      <w:r>
        <w:t>the</w:t>
      </w:r>
      <w:r>
        <w:rPr>
          <w:spacing w:val="-4"/>
        </w:rPr>
        <w:t xml:space="preserve"> </w:t>
      </w:r>
      <w:r>
        <w:t>planned scope and timing of the audit and significant audit findings, including any significant deficiencies in internal control that I identify during my audit.</w:t>
      </w:r>
    </w:p>
    <w:p w14:paraId="629BBECD" w14:textId="77777777" w:rsidR="00AC6F3C" w:rsidRDefault="00AC6F3C">
      <w:pPr>
        <w:pStyle w:val="BodyText"/>
      </w:pPr>
    </w:p>
    <w:p w14:paraId="0BF3B10B" w14:textId="77777777" w:rsidR="00AC6F3C" w:rsidRDefault="00AC6F3C">
      <w:pPr>
        <w:pStyle w:val="BodyText"/>
      </w:pPr>
    </w:p>
    <w:p w14:paraId="1EDB9C0F" w14:textId="77777777" w:rsidR="00AC6F3C" w:rsidRDefault="00AC6F3C">
      <w:pPr>
        <w:sectPr w:rsidR="00AC6F3C">
          <w:pgSz w:w="11910" w:h="16840"/>
          <w:pgMar w:top="2460" w:right="1160" w:bottom="520" w:left="460" w:header="1524" w:footer="336" w:gutter="0"/>
          <w:cols w:space="720"/>
        </w:sectPr>
      </w:pPr>
    </w:p>
    <w:p w14:paraId="69FEB39A" w14:textId="77777777" w:rsidR="00AC6F3C" w:rsidRDefault="00AC6F3C">
      <w:pPr>
        <w:pStyle w:val="BodyText"/>
        <w:spacing w:before="10"/>
        <w:rPr>
          <w:sz w:val="6"/>
        </w:rPr>
      </w:pPr>
    </w:p>
    <w:p w14:paraId="6B3D1813" w14:textId="730773C9" w:rsidR="00AC6F3C" w:rsidRDefault="00AC6F3C">
      <w:pPr>
        <w:pStyle w:val="BodyText"/>
        <w:ind w:left="845" w:right="-15"/>
      </w:pPr>
    </w:p>
    <w:p w14:paraId="21D177C8" w14:textId="77777777" w:rsidR="00AC6F3C" w:rsidRDefault="00AC6F3C">
      <w:pPr>
        <w:pStyle w:val="BodyText"/>
        <w:spacing w:before="5"/>
        <w:rPr>
          <w:sz w:val="27"/>
        </w:rPr>
      </w:pPr>
    </w:p>
    <w:p w14:paraId="7BECF644" w14:textId="77777777" w:rsidR="00AC6F3C" w:rsidRDefault="00570E88">
      <w:pPr>
        <w:pStyle w:val="BodyText"/>
        <w:ind w:left="895"/>
      </w:pPr>
      <w:r>
        <w:t>Michelle</w:t>
      </w:r>
      <w:r>
        <w:rPr>
          <w:spacing w:val="-7"/>
        </w:rPr>
        <w:t xml:space="preserve"> </w:t>
      </w:r>
      <w:r>
        <w:rPr>
          <w:spacing w:val="-2"/>
        </w:rPr>
        <w:t>Reardon</w:t>
      </w:r>
    </w:p>
    <w:p w14:paraId="4CB07AE6" w14:textId="77777777" w:rsidR="00AC6F3C" w:rsidRDefault="00570E88">
      <w:pPr>
        <w:pStyle w:val="BodyText"/>
        <w:spacing w:before="10"/>
        <w:ind w:left="895"/>
      </w:pPr>
      <w:r>
        <w:t>as</w:t>
      </w:r>
      <w:r>
        <w:rPr>
          <w:spacing w:val="-6"/>
        </w:rPr>
        <w:t xml:space="preserve"> </w:t>
      </w:r>
      <w:r>
        <w:t>delegate</w:t>
      </w:r>
      <w:r>
        <w:rPr>
          <w:spacing w:val="-4"/>
        </w:rPr>
        <w:t xml:space="preserve"> </w:t>
      </w:r>
      <w:r>
        <w:t>of</w:t>
      </w:r>
      <w:r>
        <w:rPr>
          <w:spacing w:val="-5"/>
        </w:rPr>
        <w:t xml:space="preserve"> </w:t>
      </w:r>
      <w:r>
        <w:t>the</w:t>
      </w:r>
      <w:r>
        <w:rPr>
          <w:spacing w:val="-13"/>
        </w:rPr>
        <w:t xml:space="preserve"> </w:t>
      </w:r>
      <w:r>
        <w:t>Auditor-</w:t>
      </w:r>
      <w:r>
        <w:rPr>
          <w:spacing w:val="-2"/>
        </w:rPr>
        <w:t>General</w:t>
      </w:r>
    </w:p>
    <w:p w14:paraId="2967AE7C" w14:textId="77777777" w:rsidR="00AC6F3C" w:rsidRDefault="00570E88">
      <w:pPr>
        <w:spacing w:before="10"/>
        <w:rPr>
          <w:sz w:val="20"/>
        </w:rPr>
      </w:pPr>
      <w:r>
        <w:br w:type="column"/>
      </w:r>
    </w:p>
    <w:p w14:paraId="099D983A" w14:textId="77777777" w:rsidR="00AC6F3C" w:rsidRDefault="00570E88">
      <w:pPr>
        <w:pStyle w:val="BodyText"/>
        <w:ind w:right="193"/>
        <w:jc w:val="right"/>
      </w:pPr>
      <w:r>
        <w:t>31</w:t>
      </w:r>
      <w:r>
        <w:rPr>
          <w:spacing w:val="-12"/>
        </w:rPr>
        <w:t xml:space="preserve"> </w:t>
      </w:r>
      <w:r>
        <w:t xml:space="preserve">August </w:t>
      </w:r>
      <w:r>
        <w:rPr>
          <w:spacing w:val="-4"/>
        </w:rPr>
        <w:t>2023</w:t>
      </w:r>
    </w:p>
    <w:p w14:paraId="7DE59FFD" w14:textId="77777777" w:rsidR="00AC6F3C" w:rsidRDefault="00AC6F3C">
      <w:pPr>
        <w:pStyle w:val="BodyText"/>
        <w:rPr>
          <w:sz w:val="22"/>
        </w:rPr>
      </w:pPr>
    </w:p>
    <w:p w14:paraId="6D37B294" w14:textId="77777777" w:rsidR="00AC6F3C" w:rsidRDefault="00AC6F3C">
      <w:pPr>
        <w:pStyle w:val="BodyText"/>
        <w:rPr>
          <w:sz w:val="22"/>
        </w:rPr>
      </w:pPr>
    </w:p>
    <w:p w14:paraId="0CCAD9C5" w14:textId="77777777" w:rsidR="00AC6F3C" w:rsidRDefault="00AC6F3C">
      <w:pPr>
        <w:pStyle w:val="BodyText"/>
        <w:spacing w:before="7"/>
        <w:rPr>
          <w:sz w:val="17"/>
        </w:rPr>
      </w:pPr>
    </w:p>
    <w:p w14:paraId="5D1113BC" w14:textId="77777777" w:rsidR="00AC6F3C" w:rsidRDefault="00570E88">
      <w:pPr>
        <w:pStyle w:val="BodyText"/>
        <w:ind w:right="193"/>
        <w:jc w:val="right"/>
      </w:pPr>
      <w:r>
        <w:t>Queensland</w:t>
      </w:r>
      <w:r>
        <w:rPr>
          <w:spacing w:val="-14"/>
        </w:rPr>
        <w:t xml:space="preserve"> </w:t>
      </w:r>
      <w:r>
        <w:t>Audit</w:t>
      </w:r>
      <w:r>
        <w:rPr>
          <w:spacing w:val="-6"/>
        </w:rPr>
        <w:t xml:space="preserve"> </w:t>
      </w:r>
      <w:r>
        <w:rPr>
          <w:spacing w:val="-2"/>
        </w:rPr>
        <w:t>Office</w:t>
      </w:r>
    </w:p>
    <w:p w14:paraId="732F03D6" w14:textId="77777777" w:rsidR="00AC6F3C" w:rsidRDefault="00570E88">
      <w:pPr>
        <w:pStyle w:val="BodyText"/>
        <w:spacing w:before="10"/>
        <w:ind w:right="193"/>
        <w:jc w:val="right"/>
      </w:pPr>
      <w:r>
        <w:rPr>
          <w:spacing w:val="-2"/>
        </w:rPr>
        <w:t>Brisbane</w:t>
      </w:r>
    </w:p>
    <w:p w14:paraId="6DB32233" w14:textId="77777777" w:rsidR="00AC6F3C" w:rsidRDefault="00AC6F3C">
      <w:pPr>
        <w:jc w:val="right"/>
        <w:sectPr w:rsidR="00AC6F3C">
          <w:type w:val="continuous"/>
          <w:pgSz w:w="11910" w:h="16840"/>
          <w:pgMar w:top="1920" w:right="1160" w:bottom="280" w:left="460" w:header="1524" w:footer="336" w:gutter="0"/>
          <w:cols w:num="2" w:space="720" w:equalWidth="0">
            <w:col w:w="3982" w:space="3110"/>
            <w:col w:w="3198"/>
          </w:cols>
        </w:sectPr>
      </w:pPr>
    </w:p>
    <w:p w14:paraId="0C33E94E" w14:textId="77777777" w:rsidR="00AC6F3C" w:rsidRDefault="00AC6F3C">
      <w:pPr>
        <w:pStyle w:val="BodyText"/>
      </w:pPr>
    </w:p>
    <w:p w14:paraId="3E8A02AB" w14:textId="77777777" w:rsidR="00AC6F3C" w:rsidRDefault="00AC6F3C">
      <w:pPr>
        <w:pStyle w:val="BodyText"/>
      </w:pPr>
    </w:p>
    <w:p w14:paraId="4F952FD7" w14:textId="77777777" w:rsidR="00AC6F3C" w:rsidRDefault="00AC6F3C">
      <w:pPr>
        <w:pStyle w:val="BodyText"/>
      </w:pPr>
    </w:p>
    <w:p w14:paraId="29591D27" w14:textId="77777777" w:rsidR="00AC6F3C" w:rsidRDefault="00AC6F3C">
      <w:pPr>
        <w:pStyle w:val="BodyText"/>
      </w:pPr>
    </w:p>
    <w:p w14:paraId="5AC03709" w14:textId="77777777" w:rsidR="00AC6F3C" w:rsidRDefault="00AC6F3C">
      <w:pPr>
        <w:pStyle w:val="BodyText"/>
      </w:pPr>
    </w:p>
    <w:p w14:paraId="1B0C3441" w14:textId="77777777" w:rsidR="00AC6F3C" w:rsidRDefault="00AC6F3C">
      <w:pPr>
        <w:pStyle w:val="BodyText"/>
      </w:pPr>
    </w:p>
    <w:p w14:paraId="3E3D6F3D" w14:textId="77777777" w:rsidR="00AC6F3C" w:rsidRDefault="00AC6F3C">
      <w:pPr>
        <w:pStyle w:val="BodyText"/>
      </w:pPr>
    </w:p>
    <w:p w14:paraId="55E157E4" w14:textId="77777777" w:rsidR="00AC6F3C" w:rsidRDefault="00AC6F3C">
      <w:pPr>
        <w:pStyle w:val="BodyText"/>
      </w:pPr>
    </w:p>
    <w:p w14:paraId="40F5B2C6" w14:textId="77777777" w:rsidR="00AC6F3C" w:rsidRDefault="00AC6F3C">
      <w:pPr>
        <w:pStyle w:val="BodyText"/>
      </w:pPr>
    </w:p>
    <w:p w14:paraId="2CD833D1" w14:textId="77777777" w:rsidR="00AC6F3C" w:rsidRDefault="00AC6F3C">
      <w:pPr>
        <w:pStyle w:val="BodyText"/>
      </w:pPr>
    </w:p>
    <w:p w14:paraId="7D48A340" w14:textId="77777777" w:rsidR="00AC6F3C" w:rsidRDefault="00AC6F3C">
      <w:pPr>
        <w:pStyle w:val="BodyText"/>
      </w:pPr>
    </w:p>
    <w:p w14:paraId="66ABD5A5" w14:textId="77777777" w:rsidR="00AC6F3C" w:rsidRDefault="00AC6F3C">
      <w:pPr>
        <w:pStyle w:val="BodyText"/>
      </w:pPr>
    </w:p>
    <w:p w14:paraId="692FFD78" w14:textId="77777777" w:rsidR="00AC6F3C" w:rsidRDefault="00AC6F3C">
      <w:pPr>
        <w:pStyle w:val="BodyText"/>
      </w:pPr>
    </w:p>
    <w:p w14:paraId="711BDF53" w14:textId="77777777" w:rsidR="00AC6F3C" w:rsidRDefault="00AC6F3C">
      <w:pPr>
        <w:pStyle w:val="BodyText"/>
      </w:pPr>
    </w:p>
    <w:p w14:paraId="55536139" w14:textId="77777777" w:rsidR="00AC6F3C" w:rsidRDefault="00AC6F3C">
      <w:pPr>
        <w:pStyle w:val="BodyText"/>
      </w:pPr>
    </w:p>
    <w:p w14:paraId="7AC59B19" w14:textId="77777777" w:rsidR="00AC6F3C" w:rsidRDefault="00AC6F3C">
      <w:pPr>
        <w:pStyle w:val="BodyText"/>
      </w:pPr>
    </w:p>
    <w:p w14:paraId="09DC14A8" w14:textId="77777777" w:rsidR="00AC6F3C" w:rsidRDefault="00AC6F3C">
      <w:pPr>
        <w:pStyle w:val="BodyText"/>
      </w:pPr>
    </w:p>
    <w:p w14:paraId="5B112D33" w14:textId="77777777" w:rsidR="00AC6F3C" w:rsidRDefault="00AC6F3C">
      <w:pPr>
        <w:pStyle w:val="BodyText"/>
        <w:spacing w:before="5"/>
        <w:rPr>
          <w:sz w:val="16"/>
        </w:rPr>
      </w:pPr>
    </w:p>
    <w:p w14:paraId="3CFFD1E6" w14:textId="77777777" w:rsidR="00AC6F3C" w:rsidRDefault="00570E88">
      <w:pPr>
        <w:spacing w:before="81"/>
        <w:ind w:left="979" w:right="1466"/>
        <w:rPr>
          <w:b/>
          <w:sz w:val="56"/>
        </w:rPr>
      </w:pPr>
      <w:bookmarkStart w:id="93" w:name="_bookmark36"/>
      <w:bookmarkEnd w:id="93"/>
      <w:r>
        <w:rPr>
          <w:b/>
          <w:sz w:val="56"/>
        </w:rPr>
        <w:t>LEGAL PRACTITIONERS’ FIDELITY</w:t>
      </w:r>
      <w:r>
        <w:rPr>
          <w:b/>
          <w:spacing w:val="-39"/>
          <w:sz w:val="56"/>
        </w:rPr>
        <w:t xml:space="preserve"> </w:t>
      </w:r>
      <w:r>
        <w:rPr>
          <w:b/>
          <w:sz w:val="56"/>
        </w:rPr>
        <w:t>GUARANTEE</w:t>
      </w:r>
      <w:r>
        <w:rPr>
          <w:b/>
          <w:spacing w:val="-39"/>
          <w:sz w:val="56"/>
        </w:rPr>
        <w:t xml:space="preserve"> </w:t>
      </w:r>
      <w:r>
        <w:rPr>
          <w:b/>
          <w:sz w:val="56"/>
        </w:rPr>
        <w:t>FUND</w:t>
      </w:r>
    </w:p>
    <w:p w14:paraId="3D242C43" w14:textId="77777777" w:rsidR="00AC6F3C" w:rsidRDefault="00570E88">
      <w:pPr>
        <w:spacing w:before="238"/>
        <w:ind w:left="979"/>
        <w:rPr>
          <w:sz w:val="44"/>
        </w:rPr>
      </w:pPr>
      <w:r>
        <w:rPr>
          <w:spacing w:val="-2"/>
          <w:sz w:val="44"/>
        </w:rPr>
        <w:t>Financial</w:t>
      </w:r>
      <w:r>
        <w:rPr>
          <w:spacing w:val="-28"/>
          <w:sz w:val="44"/>
        </w:rPr>
        <w:t xml:space="preserve"> </w:t>
      </w:r>
      <w:r>
        <w:rPr>
          <w:spacing w:val="-2"/>
          <w:sz w:val="44"/>
        </w:rPr>
        <w:t>Report</w:t>
      </w:r>
    </w:p>
    <w:p w14:paraId="2FC2D9A9" w14:textId="77777777" w:rsidR="00AC6F3C" w:rsidRDefault="00570E88">
      <w:pPr>
        <w:ind w:left="979"/>
        <w:rPr>
          <w:sz w:val="44"/>
        </w:rPr>
      </w:pPr>
      <w:r>
        <w:rPr>
          <w:sz w:val="44"/>
        </w:rPr>
        <w:t>For</w:t>
      </w:r>
      <w:r>
        <w:rPr>
          <w:spacing w:val="-20"/>
          <w:sz w:val="44"/>
        </w:rPr>
        <w:t xml:space="preserve"> </w:t>
      </w:r>
      <w:r>
        <w:rPr>
          <w:sz w:val="44"/>
        </w:rPr>
        <w:t>the</w:t>
      </w:r>
      <w:r>
        <w:rPr>
          <w:spacing w:val="-22"/>
          <w:sz w:val="44"/>
        </w:rPr>
        <w:t xml:space="preserve"> </w:t>
      </w:r>
      <w:r>
        <w:rPr>
          <w:sz w:val="44"/>
        </w:rPr>
        <w:t>year</w:t>
      </w:r>
      <w:r>
        <w:rPr>
          <w:spacing w:val="-21"/>
          <w:sz w:val="44"/>
        </w:rPr>
        <w:t xml:space="preserve"> </w:t>
      </w:r>
      <w:r>
        <w:rPr>
          <w:sz w:val="44"/>
        </w:rPr>
        <w:t>ended</w:t>
      </w:r>
      <w:r>
        <w:rPr>
          <w:spacing w:val="-21"/>
          <w:sz w:val="44"/>
        </w:rPr>
        <w:t xml:space="preserve"> </w:t>
      </w:r>
      <w:r>
        <w:rPr>
          <w:sz w:val="44"/>
        </w:rPr>
        <w:t>30</w:t>
      </w:r>
      <w:r>
        <w:rPr>
          <w:spacing w:val="-22"/>
          <w:sz w:val="44"/>
        </w:rPr>
        <w:t xml:space="preserve"> </w:t>
      </w:r>
      <w:r>
        <w:rPr>
          <w:sz w:val="44"/>
        </w:rPr>
        <w:t>June</w:t>
      </w:r>
      <w:r>
        <w:rPr>
          <w:spacing w:val="-19"/>
          <w:sz w:val="44"/>
        </w:rPr>
        <w:t xml:space="preserve"> </w:t>
      </w:r>
      <w:r>
        <w:rPr>
          <w:spacing w:val="-4"/>
          <w:sz w:val="44"/>
        </w:rPr>
        <w:t>2023</w:t>
      </w:r>
    </w:p>
    <w:p w14:paraId="612501A2" w14:textId="77777777" w:rsidR="00AC6F3C" w:rsidRDefault="00AC6F3C">
      <w:pPr>
        <w:rPr>
          <w:sz w:val="44"/>
        </w:rPr>
        <w:sectPr w:rsidR="00AC6F3C">
          <w:headerReference w:type="default" r:id="rId246"/>
          <w:footerReference w:type="default" r:id="rId247"/>
          <w:pgSz w:w="11910" w:h="16840"/>
          <w:pgMar w:top="1920" w:right="1160" w:bottom="520" w:left="460" w:header="0" w:footer="336" w:gutter="0"/>
          <w:cols w:space="720"/>
        </w:sectPr>
      </w:pPr>
    </w:p>
    <w:p w14:paraId="63BC8A80" w14:textId="77777777" w:rsidR="00AC6F3C" w:rsidRDefault="00570E88">
      <w:pPr>
        <w:ind w:left="979"/>
      </w:pPr>
      <w:r>
        <w:lastRenderedPageBreak/>
        <w:t>Financial</w:t>
      </w:r>
      <w:r>
        <w:rPr>
          <w:spacing w:val="-9"/>
        </w:rPr>
        <w:t xml:space="preserve"> </w:t>
      </w:r>
      <w:r>
        <w:rPr>
          <w:spacing w:val="-2"/>
        </w:rPr>
        <w:t>Report</w:t>
      </w:r>
    </w:p>
    <w:p w14:paraId="531A4ADB" w14:textId="77777777" w:rsidR="00AC6F3C" w:rsidRDefault="00570E88">
      <w:pPr>
        <w:pStyle w:val="BodyText"/>
        <w:spacing w:before="8"/>
        <w:rPr>
          <w:sz w:val="18"/>
        </w:rPr>
      </w:pPr>
      <w:r>
        <w:rPr>
          <w:noProof/>
        </w:rPr>
        <mc:AlternateContent>
          <mc:Choice Requires="wps">
            <w:drawing>
              <wp:anchor distT="0" distB="0" distL="0" distR="0" simplePos="0" relativeHeight="487711232" behindDoc="1" locked="0" layoutInCell="1" allowOverlap="1" wp14:anchorId="6C5E68CC" wp14:editId="7CE74DCC">
                <wp:simplePos x="0" y="0"/>
                <wp:positionH relativeFrom="page">
                  <wp:posOffset>896045</wp:posOffset>
                </wp:positionH>
                <wp:positionV relativeFrom="paragraph">
                  <wp:posOffset>151896</wp:posOffset>
                </wp:positionV>
                <wp:extent cx="5768340" cy="6350"/>
                <wp:effectExtent l="0" t="0" r="0" b="0"/>
                <wp:wrapTopAndBottom/>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03BD0" id="Graphic 872" o:spid="_x0000_s1026" style="position:absolute;margin-left:70.55pt;margin-top:11.95pt;width:454.2pt;height:.5pt;z-index:-1560524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" path="m5767909,6094l,6094,,,5767909,r,6094xe" fillcolor="black" stroked="f">
                <v:path arrowok="t"/>
                <w10:wrap type="topAndBottom" anchorx="page"/>
              </v:shape>
            </w:pict>
          </mc:Fallback>
        </mc:AlternateContent>
      </w:r>
    </w:p>
    <w:p w14:paraId="32B6A527" w14:textId="77777777" w:rsidR="00AC6F3C" w:rsidRDefault="00AC6F3C">
      <w:pPr>
        <w:pStyle w:val="BodyText"/>
      </w:pPr>
    </w:p>
    <w:p w14:paraId="23EA8ABB" w14:textId="77777777" w:rsidR="00AC6F3C" w:rsidRDefault="00AC6F3C">
      <w:pPr>
        <w:pStyle w:val="BodyText"/>
      </w:pPr>
    </w:p>
    <w:p w14:paraId="77D8FF4C" w14:textId="77777777" w:rsidR="00AC6F3C" w:rsidRDefault="00AC6F3C">
      <w:pPr>
        <w:pStyle w:val="BodyText"/>
      </w:pPr>
    </w:p>
    <w:p w14:paraId="5AC6FEDE" w14:textId="77777777" w:rsidR="00AC6F3C" w:rsidRDefault="00570E88">
      <w:pPr>
        <w:pStyle w:val="BodyText"/>
        <w:spacing w:before="7"/>
        <w:rPr>
          <w:sz w:val="22"/>
        </w:rPr>
      </w:pPr>
      <w:r>
        <w:rPr>
          <w:noProof/>
        </w:rPr>
        <mc:AlternateContent>
          <mc:Choice Requires="wps">
            <w:drawing>
              <wp:anchor distT="0" distB="0" distL="0" distR="0" simplePos="0" relativeHeight="487711744" behindDoc="1" locked="0" layoutInCell="1" allowOverlap="1" wp14:anchorId="50A07655" wp14:editId="36E87205">
                <wp:simplePos x="0" y="0"/>
                <wp:positionH relativeFrom="page">
                  <wp:posOffset>896045</wp:posOffset>
                </wp:positionH>
                <wp:positionV relativeFrom="paragraph">
                  <wp:posOffset>180533</wp:posOffset>
                </wp:positionV>
                <wp:extent cx="5768340" cy="1270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12700"/>
                        </a:xfrm>
                        <a:custGeom>
                          <a:avLst/>
                          <a:gdLst/>
                          <a:ahLst/>
                          <a:cxnLst/>
                          <a:rect l="l" t="t" r="r" b="b"/>
                          <a:pathLst>
                            <a:path w="5768340" h="12700">
                              <a:moveTo>
                                <a:pt x="5767909" y="12164"/>
                              </a:moveTo>
                              <a:lnTo>
                                <a:pt x="0" y="12164"/>
                              </a:lnTo>
                              <a:lnTo>
                                <a:pt x="0" y="0"/>
                              </a:lnTo>
                              <a:lnTo>
                                <a:pt x="5767909" y="0"/>
                              </a:lnTo>
                              <a:lnTo>
                                <a:pt x="5767909" y="12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2F708" id="Graphic 873" o:spid="_x0000_s1026" style="position:absolute;margin-left:70.55pt;margin-top:14.2pt;width:454.2pt;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57683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" path="m5767909,12164l,12164,,,5767909,r,12164xe" fillcolor="black" stroked="f">
                <v:path arrowok="t"/>
                <w10:wrap type="topAndBottom" anchorx="page"/>
              </v:shape>
            </w:pict>
          </mc:Fallback>
        </mc:AlternateContent>
      </w:r>
    </w:p>
    <w:p w14:paraId="1F2C7905" w14:textId="77777777" w:rsidR="00AC6F3C" w:rsidRDefault="00570E88">
      <w:pPr>
        <w:spacing w:before="99"/>
        <w:ind w:left="979"/>
        <w:rPr>
          <w:b/>
          <w:sz w:val="36"/>
        </w:rPr>
      </w:pPr>
      <w:r>
        <w:rPr>
          <w:b/>
          <w:sz w:val="36"/>
        </w:rPr>
        <w:t>Table</w:t>
      </w:r>
      <w:r>
        <w:rPr>
          <w:b/>
          <w:spacing w:val="-4"/>
          <w:sz w:val="36"/>
        </w:rPr>
        <w:t xml:space="preserve"> </w:t>
      </w:r>
      <w:r>
        <w:rPr>
          <w:b/>
          <w:sz w:val="36"/>
        </w:rPr>
        <w:t xml:space="preserve">of </w:t>
      </w:r>
      <w:r>
        <w:rPr>
          <w:b/>
          <w:spacing w:val="-2"/>
          <w:sz w:val="36"/>
        </w:rPr>
        <w:t>contents</w:t>
      </w:r>
    </w:p>
    <w:p w14:paraId="082B7DA7" w14:textId="77777777" w:rsidR="00AC6F3C" w:rsidRDefault="00AC6F3C">
      <w:pPr>
        <w:pStyle w:val="BodyText"/>
        <w:rPr>
          <w:b/>
        </w:rPr>
      </w:pPr>
    </w:p>
    <w:p w14:paraId="07801210" w14:textId="77777777" w:rsidR="00AC6F3C" w:rsidRDefault="00AC6F3C">
      <w:pPr>
        <w:pStyle w:val="BodyText"/>
        <w:spacing w:before="5"/>
        <w:rPr>
          <w:b/>
          <w:sz w:val="24"/>
        </w:rPr>
      </w:pPr>
    </w:p>
    <w:p w14:paraId="5741B199" w14:textId="77777777" w:rsidR="00AC6F3C" w:rsidRDefault="00570E88">
      <w:pPr>
        <w:pStyle w:val="BodyText"/>
        <w:spacing w:line="20" w:lineRule="exact"/>
        <w:ind w:left="979"/>
        <w:rPr>
          <w:sz w:val="2"/>
        </w:rPr>
      </w:pPr>
      <w:r>
        <w:rPr>
          <w:noProof/>
          <w:sz w:val="2"/>
        </w:rPr>
        <mc:AlternateContent>
          <mc:Choice Requires="wpg">
            <w:drawing>
              <wp:inline distT="0" distB="0" distL="0" distR="0" wp14:anchorId="0E6B0D2D" wp14:editId="3BE52547">
                <wp:extent cx="5760720" cy="6350"/>
                <wp:effectExtent l="0" t="0" r="0" b="0"/>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350"/>
                          <a:chOff x="0" y="0"/>
                          <a:chExt cx="5760720" cy="6350"/>
                        </a:xfrm>
                      </wpg:grpSpPr>
                      <wps:wsp>
                        <wps:cNvPr id="875" name="Graphic 875"/>
                        <wps:cNvSpPr/>
                        <wps:spPr>
                          <a:xfrm>
                            <a:off x="-7" y="5"/>
                            <a:ext cx="5760720" cy="6350"/>
                          </a:xfrm>
                          <a:custGeom>
                            <a:avLst/>
                            <a:gdLst/>
                            <a:ahLst/>
                            <a:cxnLst/>
                            <a:rect l="l" t="t" r="r" b="b"/>
                            <a:pathLst>
                              <a:path w="5760720" h="6350">
                                <a:moveTo>
                                  <a:pt x="5760288" y="0"/>
                                </a:moveTo>
                                <a:lnTo>
                                  <a:pt x="5760288" y="0"/>
                                </a:lnTo>
                                <a:lnTo>
                                  <a:pt x="0" y="0"/>
                                </a:lnTo>
                                <a:lnTo>
                                  <a:pt x="0" y="6096"/>
                                </a:lnTo>
                                <a:lnTo>
                                  <a:pt x="5760288" y="6096"/>
                                </a:lnTo>
                                <a:lnTo>
                                  <a:pt x="57602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4F0D80" id="Group 874" o:spid="_x0000_s1026" style="width:453.6pt;height:.5pt;mso-position-horizontal-relative:char;mso-position-vertical-relative:line" coordsize="576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">
                <v:shape id="Graphic 875" o:spid="_x0000_s1027" style="position:absolute;width:57607;height:63;visibility:visible;mso-wrap-style:square;v-text-anchor:top" coordsize="5760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" path="m5760288,r,l,,,6096r5760288,l5760288,xe" fillcolor="black" stroked="f">
                  <v:path arrowok="t"/>
                </v:shape>
                <w10:anchorlock/>
              </v:group>
            </w:pict>
          </mc:Fallback>
        </mc:AlternateContent>
      </w:r>
    </w:p>
    <w:p w14:paraId="0E4726DB" w14:textId="77777777" w:rsidR="00AC6F3C" w:rsidRDefault="00AC6F3C">
      <w:pPr>
        <w:spacing w:line="20" w:lineRule="exact"/>
        <w:rPr>
          <w:sz w:val="2"/>
        </w:rPr>
        <w:sectPr w:rsidR="00AC6F3C">
          <w:headerReference w:type="default" r:id="rId248"/>
          <w:footerReference w:type="default" r:id="rId249"/>
          <w:pgSz w:w="11910" w:h="16840"/>
          <w:pgMar w:top="1580" w:right="1160" w:bottom="520" w:left="460" w:header="1297" w:footer="336" w:gutter="0"/>
          <w:cols w:space="720"/>
        </w:sectPr>
      </w:pPr>
    </w:p>
    <w:p w14:paraId="5AAA6517" w14:textId="77777777" w:rsidR="00AC6F3C" w:rsidRDefault="00570E88">
      <w:pPr>
        <w:spacing w:before="46"/>
        <w:ind w:left="1087" w:right="58"/>
        <w:rPr>
          <w:b/>
          <w:sz w:val="18"/>
        </w:rPr>
      </w:pPr>
      <w:r>
        <w:rPr>
          <w:b/>
          <w:spacing w:val="-2"/>
          <w:sz w:val="18"/>
        </w:rPr>
        <w:t xml:space="preserve">Financial </w:t>
      </w:r>
      <w:r>
        <w:rPr>
          <w:b/>
          <w:spacing w:val="-4"/>
          <w:sz w:val="18"/>
        </w:rPr>
        <w:t>Statements</w:t>
      </w:r>
    </w:p>
    <w:p w14:paraId="55F512C6" w14:textId="77777777" w:rsidR="00AC6F3C" w:rsidRDefault="00AC6F3C">
      <w:pPr>
        <w:pStyle w:val="BodyText"/>
        <w:rPr>
          <w:b/>
        </w:rPr>
      </w:pPr>
    </w:p>
    <w:p w14:paraId="35DE1397" w14:textId="77777777" w:rsidR="00AC6F3C" w:rsidRDefault="00AC6F3C">
      <w:pPr>
        <w:pStyle w:val="BodyText"/>
        <w:rPr>
          <w:b/>
        </w:rPr>
      </w:pPr>
    </w:p>
    <w:p w14:paraId="23A263A5" w14:textId="77777777" w:rsidR="00AC6F3C" w:rsidRDefault="00AC6F3C">
      <w:pPr>
        <w:pStyle w:val="BodyText"/>
        <w:rPr>
          <w:b/>
        </w:rPr>
      </w:pPr>
    </w:p>
    <w:p w14:paraId="27D577FA" w14:textId="77777777" w:rsidR="00AC6F3C" w:rsidRDefault="00AC6F3C">
      <w:pPr>
        <w:pStyle w:val="BodyText"/>
        <w:rPr>
          <w:b/>
          <w:sz w:val="19"/>
        </w:rPr>
      </w:pPr>
    </w:p>
    <w:p w14:paraId="43686CCA" w14:textId="77777777" w:rsidR="00AC6F3C" w:rsidRDefault="00570E88">
      <w:pPr>
        <w:ind w:left="1087"/>
        <w:rPr>
          <w:b/>
          <w:sz w:val="18"/>
        </w:rPr>
      </w:pPr>
      <w:r>
        <w:rPr>
          <w:noProof/>
        </w:rPr>
        <mc:AlternateContent>
          <mc:Choice Requires="wps">
            <w:drawing>
              <wp:anchor distT="0" distB="0" distL="0" distR="0" simplePos="0" relativeHeight="15857152" behindDoc="0" locked="0" layoutInCell="1" allowOverlap="1" wp14:anchorId="60D3FBE5" wp14:editId="3F7357A2">
                <wp:simplePos x="0" y="0"/>
                <wp:positionH relativeFrom="page">
                  <wp:posOffset>914323</wp:posOffset>
                </wp:positionH>
                <wp:positionV relativeFrom="paragraph">
                  <wp:posOffset>-42124</wp:posOffset>
                </wp:positionV>
                <wp:extent cx="5760720" cy="635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350"/>
                        </a:xfrm>
                        <a:custGeom>
                          <a:avLst/>
                          <a:gdLst/>
                          <a:ahLst/>
                          <a:cxnLst/>
                          <a:rect l="l" t="t" r="r" b="b"/>
                          <a:pathLst>
                            <a:path w="5760720" h="6350">
                              <a:moveTo>
                                <a:pt x="5760288" y="0"/>
                              </a:moveTo>
                              <a:lnTo>
                                <a:pt x="5760288" y="0"/>
                              </a:lnTo>
                              <a:lnTo>
                                <a:pt x="0" y="0"/>
                              </a:lnTo>
                              <a:lnTo>
                                <a:pt x="0" y="6121"/>
                              </a:lnTo>
                              <a:lnTo>
                                <a:pt x="5760288" y="6121"/>
                              </a:lnTo>
                              <a:lnTo>
                                <a:pt x="5760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05A42" id="Graphic 876" o:spid="_x0000_s1026" style="position:absolute;margin-left:1in;margin-top:-3.3pt;width:453.6pt;height:.5pt;z-index:15857152;visibility:visible;mso-wrap-style:square;mso-wrap-distance-left:0;mso-wrap-distance-top:0;mso-wrap-distance-right:0;mso-wrap-distance-bottom:0;mso-position-horizontal:absolute;mso-position-horizontal-relative:page;mso-position-vertical:absolute;mso-position-vertical-relative:text;v-text-anchor:top" coordsize="576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" path="m5760288,r,l,,,6121r5760288,l5760288,xe" fillcolor="black" stroked="f">
                <v:path arrowok="t"/>
                <w10:wrap anchorx="page"/>
              </v:shape>
            </w:pict>
          </mc:Fallback>
        </mc:AlternateContent>
      </w:r>
      <w:r>
        <w:rPr>
          <w:b/>
          <w:spacing w:val="-4"/>
          <w:sz w:val="18"/>
        </w:rPr>
        <w:t>Notes</w:t>
      </w:r>
      <w:r>
        <w:rPr>
          <w:b/>
          <w:spacing w:val="-11"/>
          <w:sz w:val="18"/>
        </w:rPr>
        <w:t xml:space="preserve"> </w:t>
      </w:r>
      <w:r>
        <w:rPr>
          <w:b/>
          <w:spacing w:val="-4"/>
          <w:sz w:val="18"/>
        </w:rPr>
        <w:t>to</w:t>
      </w:r>
      <w:r>
        <w:rPr>
          <w:b/>
          <w:spacing w:val="-8"/>
          <w:sz w:val="18"/>
        </w:rPr>
        <w:t xml:space="preserve"> </w:t>
      </w:r>
      <w:r>
        <w:rPr>
          <w:b/>
          <w:spacing w:val="-4"/>
          <w:sz w:val="18"/>
        </w:rPr>
        <w:t xml:space="preserve">the </w:t>
      </w:r>
      <w:r>
        <w:rPr>
          <w:b/>
          <w:spacing w:val="-2"/>
          <w:sz w:val="18"/>
        </w:rPr>
        <w:t>Financial Statements</w:t>
      </w:r>
    </w:p>
    <w:p w14:paraId="1822595A" w14:textId="77777777" w:rsidR="00AC6F3C" w:rsidRDefault="00570E88">
      <w:pPr>
        <w:tabs>
          <w:tab w:val="left" w:pos="6517"/>
        </w:tabs>
        <w:spacing w:before="46"/>
        <w:ind w:right="357"/>
        <w:jc w:val="right"/>
        <w:rPr>
          <w:b/>
          <w:sz w:val="18"/>
        </w:rPr>
      </w:pPr>
      <w:r>
        <w:br w:type="column"/>
      </w:r>
      <w:r>
        <w:rPr>
          <w:b/>
          <w:spacing w:val="-4"/>
          <w:sz w:val="18"/>
        </w:rPr>
        <w:t>Statement</w:t>
      </w:r>
      <w:r>
        <w:rPr>
          <w:b/>
          <w:spacing w:val="1"/>
          <w:sz w:val="18"/>
        </w:rPr>
        <w:t xml:space="preserve"> </w:t>
      </w:r>
      <w:r>
        <w:rPr>
          <w:b/>
          <w:spacing w:val="-4"/>
          <w:sz w:val="18"/>
        </w:rPr>
        <w:t>of</w:t>
      </w:r>
      <w:r>
        <w:rPr>
          <w:b/>
          <w:spacing w:val="2"/>
          <w:sz w:val="18"/>
        </w:rPr>
        <w:t xml:space="preserve"> </w:t>
      </w:r>
      <w:r>
        <w:rPr>
          <w:b/>
          <w:spacing w:val="-4"/>
          <w:sz w:val="18"/>
        </w:rPr>
        <w:t>Comprehensive</w:t>
      </w:r>
      <w:r>
        <w:rPr>
          <w:b/>
          <w:sz w:val="18"/>
        </w:rPr>
        <w:t xml:space="preserve"> </w:t>
      </w:r>
      <w:r>
        <w:rPr>
          <w:b/>
          <w:spacing w:val="-4"/>
          <w:sz w:val="18"/>
        </w:rPr>
        <w:t>Income</w:t>
      </w:r>
      <w:r>
        <w:rPr>
          <w:b/>
          <w:sz w:val="18"/>
        </w:rPr>
        <w:tab/>
      </w:r>
      <w:r>
        <w:rPr>
          <w:b/>
          <w:spacing w:val="-2"/>
          <w:sz w:val="18"/>
        </w:rPr>
        <w:t>Page</w:t>
      </w:r>
      <w:r>
        <w:rPr>
          <w:b/>
          <w:spacing w:val="-11"/>
          <w:sz w:val="18"/>
        </w:rPr>
        <w:t xml:space="preserve"> </w:t>
      </w:r>
      <w:r>
        <w:rPr>
          <w:b/>
          <w:spacing w:val="-5"/>
          <w:sz w:val="18"/>
        </w:rPr>
        <w:t>203</w:t>
      </w:r>
    </w:p>
    <w:p w14:paraId="78CA8E9C" w14:textId="77777777" w:rsidR="00AC6F3C" w:rsidRDefault="00AC6F3C">
      <w:pPr>
        <w:pStyle w:val="BodyText"/>
        <w:rPr>
          <w:b/>
          <w:sz w:val="5"/>
        </w:rPr>
      </w:pPr>
    </w:p>
    <w:p w14:paraId="0DCDEA5D"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46F5BAB7" wp14:editId="5C08E8A7">
                <wp:extent cx="4770120" cy="6350"/>
                <wp:effectExtent l="0" t="0" r="0" b="0"/>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78" name="Graphic 878"/>
                        <wps:cNvSpPr/>
                        <wps:spPr>
                          <a:xfrm>
                            <a:off x="-10" y="5"/>
                            <a:ext cx="4770120" cy="6350"/>
                          </a:xfrm>
                          <a:custGeom>
                            <a:avLst/>
                            <a:gdLst/>
                            <a:ahLst/>
                            <a:cxnLst/>
                            <a:rect l="l" t="t" r="r" b="b"/>
                            <a:pathLst>
                              <a:path w="4770120" h="6350">
                                <a:moveTo>
                                  <a:pt x="4140390" y="0"/>
                                </a:moveTo>
                                <a:lnTo>
                                  <a:pt x="0" y="0"/>
                                </a:lnTo>
                                <a:lnTo>
                                  <a:pt x="0" y="6096"/>
                                </a:lnTo>
                                <a:lnTo>
                                  <a:pt x="4140390" y="6096"/>
                                </a:lnTo>
                                <a:lnTo>
                                  <a:pt x="4140390" y="0"/>
                                </a:lnTo>
                                <a:close/>
                              </a:path>
                              <a:path w="4770120" h="6350">
                                <a:moveTo>
                                  <a:pt x="4769764" y="0"/>
                                </a:moveTo>
                                <a:lnTo>
                                  <a:pt x="4146524" y="0"/>
                                </a:lnTo>
                                <a:lnTo>
                                  <a:pt x="4140403" y="0"/>
                                </a:lnTo>
                                <a:lnTo>
                                  <a:pt x="4140403" y="6096"/>
                                </a:lnTo>
                                <a:lnTo>
                                  <a:pt x="4146499" y="6096"/>
                                </a:lnTo>
                                <a:lnTo>
                                  <a:pt x="4769764" y="6096"/>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E8209E" id="Group 877"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">
                <v:shape id="Graphic 878"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" path="m4140390,l,,,6096r4140390,l4140390,xem4769764,l4146524,r-6121,l4140403,6096r6096,l4769764,6096r,-6096xe" fillcolor="black" stroked="f">
                  <v:path arrowok="t"/>
                </v:shape>
                <w10:anchorlock/>
              </v:group>
            </w:pict>
          </mc:Fallback>
        </mc:AlternateContent>
      </w:r>
    </w:p>
    <w:p w14:paraId="2FA4B6A5" w14:textId="77777777" w:rsidR="00AC6F3C" w:rsidRDefault="00570E88">
      <w:pPr>
        <w:tabs>
          <w:tab w:val="left" w:pos="6517"/>
        </w:tabs>
        <w:spacing w:before="47"/>
        <w:ind w:right="357"/>
        <w:jc w:val="right"/>
        <w:rPr>
          <w:b/>
          <w:sz w:val="18"/>
        </w:rPr>
      </w:pPr>
      <w:r>
        <w:rPr>
          <w:b/>
          <w:spacing w:val="-4"/>
          <w:sz w:val="18"/>
        </w:rPr>
        <w:t>Statement</w:t>
      </w:r>
      <w:r>
        <w:rPr>
          <w:b/>
          <w:spacing w:val="2"/>
          <w:sz w:val="18"/>
        </w:rPr>
        <w:t xml:space="preserve"> </w:t>
      </w:r>
      <w:r>
        <w:rPr>
          <w:b/>
          <w:spacing w:val="-4"/>
          <w:sz w:val="18"/>
        </w:rPr>
        <w:t>of</w:t>
      </w:r>
      <w:r>
        <w:rPr>
          <w:b/>
          <w:spacing w:val="1"/>
          <w:sz w:val="18"/>
        </w:rPr>
        <w:t xml:space="preserve"> </w:t>
      </w:r>
      <w:r>
        <w:rPr>
          <w:b/>
          <w:spacing w:val="-4"/>
          <w:sz w:val="18"/>
        </w:rPr>
        <w:t>Financial</w:t>
      </w:r>
      <w:r>
        <w:rPr>
          <w:b/>
          <w:spacing w:val="1"/>
          <w:sz w:val="18"/>
        </w:rPr>
        <w:t xml:space="preserve"> </w:t>
      </w:r>
      <w:r>
        <w:rPr>
          <w:b/>
          <w:spacing w:val="-4"/>
          <w:sz w:val="18"/>
        </w:rPr>
        <w:t>Position</w:t>
      </w:r>
      <w:r>
        <w:rPr>
          <w:b/>
          <w:sz w:val="18"/>
        </w:rPr>
        <w:tab/>
      </w:r>
      <w:r>
        <w:rPr>
          <w:b/>
          <w:spacing w:val="-2"/>
          <w:sz w:val="18"/>
        </w:rPr>
        <w:t>Page</w:t>
      </w:r>
      <w:r>
        <w:rPr>
          <w:b/>
          <w:spacing w:val="-11"/>
          <w:sz w:val="18"/>
        </w:rPr>
        <w:t xml:space="preserve"> </w:t>
      </w:r>
      <w:r>
        <w:rPr>
          <w:b/>
          <w:spacing w:val="-5"/>
          <w:sz w:val="18"/>
        </w:rPr>
        <w:t>204</w:t>
      </w:r>
    </w:p>
    <w:p w14:paraId="5CFFAF02" w14:textId="77777777" w:rsidR="00AC6F3C" w:rsidRDefault="00AC6F3C">
      <w:pPr>
        <w:pStyle w:val="BodyText"/>
        <w:rPr>
          <w:b/>
          <w:sz w:val="5"/>
        </w:rPr>
      </w:pPr>
    </w:p>
    <w:p w14:paraId="57E9BC1D"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5CD23744" wp14:editId="079F1B6D">
                <wp:extent cx="4770120" cy="6350"/>
                <wp:effectExtent l="0" t="0" r="0" b="0"/>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80" name="Graphic 880"/>
                        <wps:cNvSpPr/>
                        <wps:spPr>
                          <a:xfrm>
                            <a:off x="-10" y="4"/>
                            <a:ext cx="4770120" cy="6350"/>
                          </a:xfrm>
                          <a:custGeom>
                            <a:avLst/>
                            <a:gdLst/>
                            <a:ahLst/>
                            <a:cxnLst/>
                            <a:rect l="l" t="t" r="r" b="b"/>
                            <a:pathLst>
                              <a:path w="4770120" h="6350">
                                <a:moveTo>
                                  <a:pt x="4140390" y="0"/>
                                </a:moveTo>
                                <a:lnTo>
                                  <a:pt x="0" y="0"/>
                                </a:lnTo>
                                <a:lnTo>
                                  <a:pt x="0" y="6096"/>
                                </a:lnTo>
                                <a:lnTo>
                                  <a:pt x="4140390" y="6096"/>
                                </a:lnTo>
                                <a:lnTo>
                                  <a:pt x="4140390" y="0"/>
                                </a:lnTo>
                                <a:close/>
                              </a:path>
                              <a:path w="4770120" h="6350">
                                <a:moveTo>
                                  <a:pt x="4769764" y="0"/>
                                </a:moveTo>
                                <a:lnTo>
                                  <a:pt x="4146524" y="0"/>
                                </a:lnTo>
                                <a:lnTo>
                                  <a:pt x="4140403" y="0"/>
                                </a:lnTo>
                                <a:lnTo>
                                  <a:pt x="4140403" y="6096"/>
                                </a:lnTo>
                                <a:lnTo>
                                  <a:pt x="4146499" y="6096"/>
                                </a:lnTo>
                                <a:lnTo>
                                  <a:pt x="4769764" y="6096"/>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C07FCB" id="Group 879"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">
                <v:shape id="Graphic 880"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" path="m4140390,l,,,6096r4140390,l4140390,xem4769764,l4146524,r-6121,l4140403,6096r6096,l4769764,6096r,-6096xe" fillcolor="black" stroked="f">
                  <v:path arrowok="t"/>
                </v:shape>
                <w10:anchorlock/>
              </v:group>
            </w:pict>
          </mc:Fallback>
        </mc:AlternateContent>
      </w:r>
    </w:p>
    <w:p w14:paraId="3CE27CF3" w14:textId="77777777" w:rsidR="00AC6F3C" w:rsidRDefault="00570E88">
      <w:pPr>
        <w:tabs>
          <w:tab w:val="left" w:pos="6517"/>
        </w:tabs>
        <w:spacing w:before="46"/>
        <w:ind w:right="357"/>
        <w:jc w:val="right"/>
        <w:rPr>
          <w:b/>
          <w:sz w:val="18"/>
        </w:rPr>
      </w:pPr>
      <w:r>
        <w:rPr>
          <w:b/>
          <w:spacing w:val="-2"/>
          <w:sz w:val="18"/>
        </w:rPr>
        <w:t>Statement</w:t>
      </w:r>
      <w:r>
        <w:rPr>
          <w:b/>
          <w:spacing w:val="-10"/>
          <w:sz w:val="18"/>
        </w:rPr>
        <w:t xml:space="preserve"> </w:t>
      </w:r>
      <w:r>
        <w:rPr>
          <w:b/>
          <w:spacing w:val="-2"/>
          <w:sz w:val="18"/>
        </w:rPr>
        <w:t>of</w:t>
      </w:r>
      <w:r>
        <w:rPr>
          <w:b/>
          <w:spacing w:val="-9"/>
          <w:sz w:val="18"/>
        </w:rPr>
        <w:t xml:space="preserve"> </w:t>
      </w:r>
      <w:r>
        <w:rPr>
          <w:b/>
          <w:spacing w:val="-2"/>
          <w:sz w:val="18"/>
        </w:rPr>
        <w:t>Changes</w:t>
      </w:r>
      <w:r>
        <w:rPr>
          <w:b/>
          <w:spacing w:val="-11"/>
          <w:sz w:val="18"/>
        </w:rPr>
        <w:t xml:space="preserve"> </w:t>
      </w:r>
      <w:r>
        <w:rPr>
          <w:b/>
          <w:spacing w:val="-2"/>
          <w:sz w:val="18"/>
        </w:rPr>
        <w:t>in</w:t>
      </w:r>
      <w:r>
        <w:rPr>
          <w:b/>
          <w:spacing w:val="-10"/>
          <w:sz w:val="18"/>
        </w:rPr>
        <w:t xml:space="preserve"> </w:t>
      </w:r>
      <w:r>
        <w:rPr>
          <w:b/>
          <w:spacing w:val="-2"/>
          <w:sz w:val="18"/>
        </w:rPr>
        <w:t>Equity</w:t>
      </w:r>
      <w:r>
        <w:rPr>
          <w:b/>
          <w:sz w:val="18"/>
        </w:rPr>
        <w:tab/>
      </w:r>
      <w:r>
        <w:rPr>
          <w:b/>
          <w:spacing w:val="-2"/>
          <w:sz w:val="18"/>
        </w:rPr>
        <w:t>Page</w:t>
      </w:r>
      <w:r>
        <w:rPr>
          <w:b/>
          <w:spacing w:val="-11"/>
          <w:sz w:val="18"/>
        </w:rPr>
        <w:t xml:space="preserve"> </w:t>
      </w:r>
      <w:r>
        <w:rPr>
          <w:b/>
          <w:spacing w:val="-5"/>
          <w:sz w:val="18"/>
        </w:rPr>
        <w:t>205</w:t>
      </w:r>
    </w:p>
    <w:p w14:paraId="57E05D01" w14:textId="77777777" w:rsidR="00AC6F3C" w:rsidRDefault="00AC6F3C">
      <w:pPr>
        <w:pStyle w:val="BodyText"/>
        <w:spacing w:before="10"/>
        <w:rPr>
          <w:b/>
          <w:sz w:val="4"/>
        </w:rPr>
      </w:pPr>
    </w:p>
    <w:p w14:paraId="555CCA53"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7DEBD167" wp14:editId="5ACD4E15">
                <wp:extent cx="4770120" cy="6350"/>
                <wp:effectExtent l="0" t="0" r="0" b="0"/>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82" name="Graphic 882"/>
                        <wps:cNvSpPr/>
                        <wps:spPr>
                          <a:xfrm>
                            <a:off x="-10" y="3"/>
                            <a:ext cx="4770120" cy="6350"/>
                          </a:xfrm>
                          <a:custGeom>
                            <a:avLst/>
                            <a:gdLst/>
                            <a:ahLst/>
                            <a:cxnLst/>
                            <a:rect l="l" t="t" r="r" b="b"/>
                            <a:pathLst>
                              <a:path w="4770120" h="6350">
                                <a:moveTo>
                                  <a:pt x="4140390" y="0"/>
                                </a:moveTo>
                                <a:lnTo>
                                  <a:pt x="0" y="0"/>
                                </a:lnTo>
                                <a:lnTo>
                                  <a:pt x="0" y="6121"/>
                                </a:lnTo>
                                <a:lnTo>
                                  <a:pt x="4140390" y="6121"/>
                                </a:lnTo>
                                <a:lnTo>
                                  <a:pt x="4140390" y="0"/>
                                </a:lnTo>
                                <a:close/>
                              </a:path>
                              <a:path w="4770120" h="6350">
                                <a:moveTo>
                                  <a:pt x="4769764" y="0"/>
                                </a:moveTo>
                                <a:lnTo>
                                  <a:pt x="4146524" y="0"/>
                                </a:lnTo>
                                <a:lnTo>
                                  <a:pt x="4140403" y="0"/>
                                </a:lnTo>
                                <a:lnTo>
                                  <a:pt x="4140403" y="6121"/>
                                </a:lnTo>
                                <a:lnTo>
                                  <a:pt x="4146499"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FC233B" id="Group 881"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">
                <v:shape id="Graphic 882"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" path="m4140390,l,,,6121r4140390,l4140390,xem4769764,l4146524,r-6121,l4140403,6121r6096,l4769764,6121r,-6121xe" fillcolor="black" stroked="f">
                  <v:path arrowok="t"/>
                </v:shape>
                <w10:anchorlock/>
              </v:group>
            </w:pict>
          </mc:Fallback>
        </mc:AlternateContent>
      </w:r>
    </w:p>
    <w:p w14:paraId="63CABF9F" w14:textId="77777777" w:rsidR="00AC6F3C" w:rsidRDefault="00570E88">
      <w:pPr>
        <w:tabs>
          <w:tab w:val="left" w:pos="6517"/>
        </w:tabs>
        <w:spacing w:before="46"/>
        <w:ind w:right="357"/>
        <w:jc w:val="right"/>
        <w:rPr>
          <w:b/>
          <w:sz w:val="18"/>
        </w:rPr>
      </w:pPr>
      <w:r>
        <w:rPr>
          <w:b/>
          <w:spacing w:val="-4"/>
          <w:sz w:val="18"/>
        </w:rPr>
        <w:t>Statement</w:t>
      </w:r>
      <w:r>
        <w:rPr>
          <w:b/>
          <w:spacing w:val="-2"/>
          <w:sz w:val="18"/>
        </w:rPr>
        <w:t xml:space="preserve"> </w:t>
      </w:r>
      <w:r>
        <w:rPr>
          <w:b/>
          <w:spacing w:val="-4"/>
          <w:sz w:val="18"/>
        </w:rPr>
        <w:t>of</w:t>
      </w:r>
      <w:r>
        <w:rPr>
          <w:b/>
          <w:sz w:val="18"/>
        </w:rPr>
        <w:t xml:space="preserve"> </w:t>
      </w:r>
      <w:r>
        <w:rPr>
          <w:b/>
          <w:spacing w:val="-4"/>
          <w:sz w:val="18"/>
        </w:rPr>
        <w:t>Cash</w:t>
      </w:r>
      <w:r>
        <w:rPr>
          <w:b/>
          <w:spacing w:val="-2"/>
          <w:sz w:val="18"/>
        </w:rPr>
        <w:t xml:space="preserve"> </w:t>
      </w:r>
      <w:r>
        <w:rPr>
          <w:b/>
          <w:spacing w:val="-4"/>
          <w:sz w:val="18"/>
        </w:rPr>
        <w:t>Flows</w:t>
      </w:r>
      <w:r>
        <w:rPr>
          <w:b/>
          <w:sz w:val="18"/>
        </w:rPr>
        <w:tab/>
      </w:r>
      <w:r>
        <w:rPr>
          <w:b/>
          <w:spacing w:val="-2"/>
          <w:sz w:val="18"/>
        </w:rPr>
        <w:t>Page</w:t>
      </w:r>
      <w:r>
        <w:rPr>
          <w:b/>
          <w:spacing w:val="-11"/>
          <w:sz w:val="18"/>
        </w:rPr>
        <w:t xml:space="preserve"> </w:t>
      </w:r>
      <w:r>
        <w:rPr>
          <w:b/>
          <w:spacing w:val="-5"/>
          <w:sz w:val="18"/>
        </w:rPr>
        <w:t>206</w:t>
      </w:r>
    </w:p>
    <w:p w14:paraId="74261F0F" w14:textId="77777777" w:rsidR="00AC6F3C" w:rsidRDefault="00570E88">
      <w:pPr>
        <w:tabs>
          <w:tab w:val="left" w:pos="1401"/>
          <w:tab w:val="left" w:pos="6517"/>
        </w:tabs>
        <w:spacing w:before="124"/>
        <w:ind w:right="357"/>
        <w:jc w:val="right"/>
        <w:rPr>
          <w:b/>
          <w:sz w:val="18"/>
        </w:rPr>
      </w:pPr>
      <w:r>
        <w:rPr>
          <w:b/>
          <w:spacing w:val="-5"/>
          <w:sz w:val="18"/>
        </w:rPr>
        <w:t>A1.</w:t>
      </w:r>
      <w:r>
        <w:rPr>
          <w:b/>
          <w:sz w:val="18"/>
        </w:rPr>
        <w:tab/>
      </w:r>
      <w:r>
        <w:rPr>
          <w:b/>
          <w:spacing w:val="-4"/>
          <w:sz w:val="18"/>
        </w:rPr>
        <w:t>Basis</w:t>
      </w:r>
      <w:r>
        <w:rPr>
          <w:b/>
          <w:spacing w:val="-1"/>
          <w:sz w:val="18"/>
        </w:rPr>
        <w:t xml:space="preserve"> </w:t>
      </w:r>
      <w:r>
        <w:rPr>
          <w:b/>
          <w:spacing w:val="-4"/>
          <w:sz w:val="18"/>
        </w:rPr>
        <w:t>of</w:t>
      </w:r>
      <w:r>
        <w:rPr>
          <w:b/>
          <w:spacing w:val="-1"/>
          <w:sz w:val="18"/>
        </w:rPr>
        <w:t xml:space="preserve"> </w:t>
      </w:r>
      <w:r>
        <w:rPr>
          <w:b/>
          <w:spacing w:val="-4"/>
          <w:sz w:val="18"/>
        </w:rPr>
        <w:t>Financial</w:t>
      </w:r>
      <w:r>
        <w:rPr>
          <w:b/>
          <w:spacing w:val="2"/>
          <w:sz w:val="18"/>
        </w:rPr>
        <w:t xml:space="preserve"> </w:t>
      </w:r>
      <w:r>
        <w:rPr>
          <w:b/>
          <w:spacing w:val="-4"/>
          <w:sz w:val="18"/>
        </w:rPr>
        <w:t>Statement</w:t>
      </w:r>
      <w:r>
        <w:rPr>
          <w:b/>
          <w:sz w:val="18"/>
        </w:rPr>
        <w:t xml:space="preserve"> </w:t>
      </w:r>
      <w:r>
        <w:rPr>
          <w:b/>
          <w:spacing w:val="-4"/>
          <w:sz w:val="18"/>
        </w:rPr>
        <w:t>Preparation</w:t>
      </w:r>
      <w:r>
        <w:rPr>
          <w:b/>
          <w:sz w:val="18"/>
        </w:rPr>
        <w:tab/>
      </w:r>
      <w:r>
        <w:rPr>
          <w:b/>
          <w:spacing w:val="-2"/>
          <w:sz w:val="18"/>
        </w:rPr>
        <w:t>Page</w:t>
      </w:r>
      <w:r>
        <w:rPr>
          <w:b/>
          <w:spacing w:val="-11"/>
          <w:sz w:val="18"/>
        </w:rPr>
        <w:t xml:space="preserve"> </w:t>
      </w:r>
      <w:r>
        <w:rPr>
          <w:b/>
          <w:spacing w:val="-5"/>
          <w:sz w:val="18"/>
        </w:rPr>
        <w:t>207</w:t>
      </w:r>
    </w:p>
    <w:p w14:paraId="75827CA8" w14:textId="77777777" w:rsidR="00AC6F3C" w:rsidRDefault="00AC6F3C">
      <w:pPr>
        <w:pStyle w:val="BodyText"/>
        <w:rPr>
          <w:b/>
          <w:sz w:val="5"/>
        </w:rPr>
      </w:pPr>
    </w:p>
    <w:p w14:paraId="29F51CC3"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11396A9A" wp14:editId="62BB49CB">
                <wp:extent cx="4770120" cy="6350"/>
                <wp:effectExtent l="0" t="0" r="0" b="0"/>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84" name="Graphic 884"/>
                        <wps:cNvSpPr/>
                        <wps:spPr>
                          <a:xfrm>
                            <a:off x="-10" y="2"/>
                            <a:ext cx="4770120" cy="6350"/>
                          </a:xfrm>
                          <a:custGeom>
                            <a:avLst/>
                            <a:gdLst/>
                            <a:ahLst/>
                            <a:cxnLst/>
                            <a:rect l="l" t="t" r="r" b="b"/>
                            <a:pathLst>
                              <a:path w="4770120" h="6350">
                                <a:moveTo>
                                  <a:pt x="899083" y="0"/>
                                </a:moveTo>
                                <a:lnTo>
                                  <a:pt x="0" y="0"/>
                                </a:lnTo>
                                <a:lnTo>
                                  <a:pt x="0" y="6121"/>
                                </a:lnTo>
                                <a:lnTo>
                                  <a:pt x="899083" y="6121"/>
                                </a:lnTo>
                                <a:lnTo>
                                  <a:pt x="899083" y="0"/>
                                </a:lnTo>
                                <a:close/>
                              </a:path>
                              <a:path w="4770120" h="6350">
                                <a:moveTo>
                                  <a:pt x="4140377" y="0"/>
                                </a:moveTo>
                                <a:lnTo>
                                  <a:pt x="905217" y="0"/>
                                </a:lnTo>
                                <a:lnTo>
                                  <a:pt x="899096" y="0"/>
                                </a:lnTo>
                                <a:lnTo>
                                  <a:pt x="899096" y="6121"/>
                                </a:lnTo>
                                <a:lnTo>
                                  <a:pt x="905192" y="6121"/>
                                </a:lnTo>
                                <a:lnTo>
                                  <a:pt x="4140377" y="6121"/>
                                </a:lnTo>
                                <a:lnTo>
                                  <a:pt x="4140377" y="0"/>
                                </a:lnTo>
                                <a:close/>
                              </a:path>
                              <a:path w="4770120" h="6350">
                                <a:moveTo>
                                  <a:pt x="4769764" y="0"/>
                                </a:moveTo>
                                <a:lnTo>
                                  <a:pt x="4146524" y="0"/>
                                </a:lnTo>
                                <a:lnTo>
                                  <a:pt x="4140403" y="0"/>
                                </a:lnTo>
                                <a:lnTo>
                                  <a:pt x="4140403" y="6121"/>
                                </a:lnTo>
                                <a:lnTo>
                                  <a:pt x="4146499"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8E9F65" id="Group 883"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">
                <v:shape id="Graphic 884"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" path="m899083,l,,,6121r899083,l899083,xem4140377,l905217,r-6121,l899096,6121r6096,l4140377,6121r,-6121xem4769764,l4146524,r-6121,l4140403,6121r6096,l4769764,6121r,-6121xe" fillcolor="black" stroked="f">
                  <v:path arrowok="t"/>
                </v:shape>
                <w10:anchorlock/>
              </v:group>
            </w:pict>
          </mc:Fallback>
        </mc:AlternateContent>
      </w:r>
    </w:p>
    <w:p w14:paraId="3B5D35B0" w14:textId="77777777" w:rsidR="00AC6F3C" w:rsidRDefault="00570E88">
      <w:pPr>
        <w:tabs>
          <w:tab w:val="left" w:pos="5101"/>
        </w:tabs>
        <w:spacing w:before="47"/>
        <w:ind w:right="367"/>
        <w:jc w:val="right"/>
        <w:rPr>
          <w:sz w:val="18"/>
        </w:rPr>
      </w:pPr>
      <w:r>
        <w:rPr>
          <w:sz w:val="18"/>
        </w:rPr>
        <w:t>A1-1</w:t>
      </w:r>
      <w:r>
        <w:rPr>
          <w:spacing w:val="60"/>
          <w:sz w:val="18"/>
        </w:rPr>
        <w:t xml:space="preserve"> </w:t>
      </w:r>
      <w:r>
        <w:rPr>
          <w:sz w:val="18"/>
        </w:rPr>
        <w:t>General</w:t>
      </w:r>
      <w:r>
        <w:rPr>
          <w:spacing w:val="-12"/>
          <w:sz w:val="18"/>
        </w:rPr>
        <w:t xml:space="preserve"> </w:t>
      </w:r>
      <w:r>
        <w:rPr>
          <w:spacing w:val="-2"/>
          <w:sz w:val="18"/>
        </w:rPr>
        <w:t>Information</w:t>
      </w:r>
      <w:r>
        <w:rPr>
          <w:sz w:val="18"/>
        </w:rPr>
        <w:tab/>
      </w:r>
      <w:r>
        <w:rPr>
          <w:spacing w:val="-2"/>
          <w:sz w:val="18"/>
        </w:rPr>
        <w:t>Page</w:t>
      </w:r>
      <w:r>
        <w:rPr>
          <w:spacing w:val="-11"/>
          <w:sz w:val="18"/>
        </w:rPr>
        <w:t xml:space="preserve"> </w:t>
      </w:r>
      <w:r>
        <w:rPr>
          <w:spacing w:val="-5"/>
          <w:sz w:val="18"/>
        </w:rPr>
        <w:t>207</w:t>
      </w:r>
    </w:p>
    <w:p w14:paraId="01E17A68" w14:textId="77777777" w:rsidR="00AC6F3C" w:rsidRDefault="00AC6F3C">
      <w:pPr>
        <w:pStyle w:val="BodyText"/>
        <w:rPr>
          <w:sz w:val="5"/>
        </w:rPr>
      </w:pPr>
    </w:p>
    <w:p w14:paraId="4221969D"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460AE542" wp14:editId="2B0A0020">
                <wp:extent cx="4770120" cy="6350"/>
                <wp:effectExtent l="0" t="0" r="0" b="0"/>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86" name="Graphic 886"/>
                        <wps:cNvSpPr/>
                        <wps:spPr>
                          <a:xfrm>
                            <a:off x="-10" y="1"/>
                            <a:ext cx="4770120" cy="6350"/>
                          </a:xfrm>
                          <a:custGeom>
                            <a:avLst/>
                            <a:gdLst/>
                            <a:ahLst/>
                            <a:cxnLst/>
                            <a:rect l="l" t="t" r="r" b="b"/>
                            <a:pathLst>
                              <a:path w="4770120" h="6350">
                                <a:moveTo>
                                  <a:pt x="899083" y="0"/>
                                </a:moveTo>
                                <a:lnTo>
                                  <a:pt x="0" y="0"/>
                                </a:lnTo>
                                <a:lnTo>
                                  <a:pt x="0" y="6121"/>
                                </a:lnTo>
                                <a:lnTo>
                                  <a:pt x="899083" y="6121"/>
                                </a:lnTo>
                                <a:lnTo>
                                  <a:pt x="899083" y="0"/>
                                </a:lnTo>
                                <a:close/>
                              </a:path>
                              <a:path w="4770120" h="6350">
                                <a:moveTo>
                                  <a:pt x="4140377" y="0"/>
                                </a:moveTo>
                                <a:lnTo>
                                  <a:pt x="905217" y="0"/>
                                </a:lnTo>
                                <a:lnTo>
                                  <a:pt x="899096" y="0"/>
                                </a:lnTo>
                                <a:lnTo>
                                  <a:pt x="899096" y="6121"/>
                                </a:lnTo>
                                <a:lnTo>
                                  <a:pt x="905192" y="6121"/>
                                </a:lnTo>
                                <a:lnTo>
                                  <a:pt x="4140377" y="6121"/>
                                </a:lnTo>
                                <a:lnTo>
                                  <a:pt x="4140377" y="0"/>
                                </a:lnTo>
                                <a:close/>
                              </a:path>
                              <a:path w="4770120" h="6350">
                                <a:moveTo>
                                  <a:pt x="4769764" y="0"/>
                                </a:moveTo>
                                <a:lnTo>
                                  <a:pt x="4146524" y="0"/>
                                </a:lnTo>
                                <a:lnTo>
                                  <a:pt x="4140403" y="0"/>
                                </a:lnTo>
                                <a:lnTo>
                                  <a:pt x="4140403" y="6121"/>
                                </a:lnTo>
                                <a:lnTo>
                                  <a:pt x="4146499"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D4C3BD" id="Group 885"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">
                <v:shape id="Graphic 886"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" path="m899083,l,,,6121r899083,l899083,xem4140377,l905217,r-6121,l899096,6121r6096,l4140377,6121r,-6121xem4769764,l4146524,r-6121,l4140403,6121r6096,l4769764,6121r,-6121xe" fillcolor="black" stroked="f">
                  <v:path arrowok="t"/>
                </v:shape>
                <w10:anchorlock/>
              </v:group>
            </w:pict>
          </mc:Fallback>
        </mc:AlternateContent>
      </w:r>
    </w:p>
    <w:p w14:paraId="1D9BCCAC" w14:textId="77777777" w:rsidR="00AC6F3C" w:rsidRDefault="00570E88">
      <w:pPr>
        <w:tabs>
          <w:tab w:val="left" w:pos="5101"/>
        </w:tabs>
        <w:spacing w:before="47"/>
        <w:ind w:right="367"/>
        <w:jc w:val="right"/>
        <w:rPr>
          <w:sz w:val="18"/>
        </w:rPr>
      </w:pPr>
      <w:r>
        <w:rPr>
          <w:spacing w:val="-2"/>
          <w:sz w:val="18"/>
        </w:rPr>
        <w:t>A1-2</w:t>
      </w:r>
      <w:r>
        <w:rPr>
          <w:spacing w:val="73"/>
          <w:sz w:val="18"/>
        </w:rPr>
        <w:t xml:space="preserve"> </w:t>
      </w:r>
      <w:r>
        <w:rPr>
          <w:spacing w:val="-2"/>
          <w:sz w:val="18"/>
        </w:rPr>
        <w:t>Compliance</w:t>
      </w:r>
      <w:r>
        <w:rPr>
          <w:spacing w:val="-10"/>
          <w:sz w:val="18"/>
        </w:rPr>
        <w:t xml:space="preserve"> </w:t>
      </w:r>
      <w:r>
        <w:rPr>
          <w:spacing w:val="-2"/>
          <w:sz w:val="18"/>
        </w:rPr>
        <w:t>with</w:t>
      </w:r>
      <w:r>
        <w:rPr>
          <w:spacing w:val="-11"/>
          <w:sz w:val="18"/>
        </w:rPr>
        <w:t xml:space="preserve"> </w:t>
      </w:r>
      <w:r>
        <w:rPr>
          <w:spacing w:val="-2"/>
          <w:sz w:val="18"/>
        </w:rPr>
        <w:t>Prescribed</w:t>
      </w:r>
      <w:r>
        <w:rPr>
          <w:spacing w:val="-8"/>
          <w:sz w:val="18"/>
        </w:rPr>
        <w:t xml:space="preserve"> </w:t>
      </w:r>
      <w:r>
        <w:rPr>
          <w:spacing w:val="-2"/>
          <w:sz w:val="18"/>
        </w:rPr>
        <w:t>Requirements</w:t>
      </w:r>
      <w:r>
        <w:rPr>
          <w:sz w:val="18"/>
        </w:rPr>
        <w:tab/>
      </w:r>
      <w:r>
        <w:rPr>
          <w:spacing w:val="-2"/>
          <w:sz w:val="18"/>
        </w:rPr>
        <w:t>Page</w:t>
      </w:r>
      <w:r>
        <w:rPr>
          <w:spacing w:val="-11"/>
          <w:sz w:val="18"/>
        </w:rPr>
        <w:t xml:space="preserve"> </w:t>
      </w:r>
      <w:r>
        <w:rPr>
          <w:spacing w:val="-5"/>
          <w:sz w:val="18"/>
        </w:rPr>
        <w:t>207</w:t>
      </w:r>
    </w:p>
    <w:p w14:paraId="7D079F79" w14:textId="77777777" w:rsidR="00AC6F3C" w:rsidRDefault="00AC6F3C">
      <w:pPr>
        <w:pStyle w:val="BodyText"/>
        <w:rPr>
          <w:sz w:val="5"/>
        </w:rPr>
      </w:pPr>
    </w:p>
    <w:p w14:paraId="287DDF9E"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39B39BB9" wp14:editId="3A69E8B7">
                <wp:extent cx="4770120" cy="6350"/>
                <wp:effectExtent l="0" t="0" r="0" b="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88" name="Graphic 888"/>
                        <wps:cNvSpPr/>
                        <wps:spPr>
                          <a:xfrm>
                            <a:off x="-10" y="1"/>
                            <a:ext cx="4770120" cy="6350"/>
                          </a:xfrm>
                          <a:custGeom>
                            <a:avLst/>
                            <a:gdLst/>
                            <a:ahLst/>
                            <a:cxnLst/>
                            <a:rect l="l" t="t" r="r" b="b"/>
                            <a:pathLst>
                              <a:path w="4770120" h="6350">
                                <a:moveTo>
                                  <a:pt x="899083" y="0"/>
                                </a:moveTo>
                                <a:lnTo>
                                  <a:pt x="0" y="0"/>
                                </a:lnTo>
                                <a:lnTo>
                                  <a:pt x="0" y="6121"/>
                                </a:lnTo>
                                <a:lnTo>
                                  <a:pt x="899083" y="6121"/>
                                </a:lnTo>
                                <a:lnTo>
                                  <a:pt x="899083" y="0"/>
                                </a:lnTo>
                                <a:close/>
                              </a:path>
                              <a:path w="4770120" h="6350">
                                <a:moveTo>
                                  <a:pt x="4140377" y="0"/>
                                </a:moveTo>
                                <a:lnTo>
                                  <a:pt x="905217" y="0"/>
                                </a:lnTo>
                                <a:lnTo>
                                  <a:pt x="899096" y="0"/>
                                </a:lnTo>
                                <a:lnTo>
                                  <a:pt x="899096" y="6121"/>
                                </a:lnTo>
                                <a:lnTo>
                                  <a:pt x="905192" y="6121"/>
                                </a:lnTo>
                                <a:lnTo>
                                  <a:pt x="4140377" y="6121"/>
                                </a:lnTo>
                                <a:lnTo>
                                  <a:pt x="4140377" y="0"/>
                                </a:lnTo>
                                <a:close/>
                              </a:path>
                              <a:path w="4770120" h="6350">
                                <a:moveTo>
                                  <a:pt x="4769764" y="0"/>
                                </a:moveTo>
                                <a:lnTo>
                                  <a:pt x="4146524" y="0"/>
                                </a:lnTo>
                                <a:lnTo>
                                  <a:pt x="4140403" y="0"/>
                                </a:lnTo>
                                <a:lnTo>
                                  <a:pt x="4140403" y="6121"/>
                                </a:lnTo>
                                <a:lnTo>
                                  <a:pt x="4146499"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7C6AE7" id="Group 887"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">
                <v:shape id="Graphic 888"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" path="m899083,l,,,6121r899083,l899083,xem4140377,l905217,r-6121,l899096,6121r6096,l4140377,6121r,-6121xem4769764,l4146524,r-6121,l4140403,6121r6096,l4769764,6121r,-6121xe" fillcolor="black" stroked="f">
                  <v:path arrowok="t"/>
                </v:shape>
                <w10:anchorlock/>
              </v:group>
            </w:pict>
          </mc:Fallback>
        </mc:AlternateContent>
      </w:r>
    </w:p>
    <w:p w14:paraId="7FF87135" w14:textId="77777777" w:rsidR="00AC6F3C" w:rsidRDefault="00570E88">
      <w:pPr>
        <w:tabs>
          <w:tab w:val="left" w:pos="5101"/>
        </w:tabs>
        <w:spacing w:before="46"/>
        <w:ind w:right="367"/>
        <w:jc w:val="right"/>
        <w:rPr>
          <w:sz w:val="18"/>
        </w:rPr>
      </w:pPr>
      <w:r>
        <w:rPr>
          <w:sz w:val="18"/>
        </w:rPr>
        <w:t>A1-3</w:t>
      </w:r>
      <w:r>
        <w:rPr>
          <w:spacing w:val="80"/>
          <w:sz w:val="18"/>
        </w:rPr>
        <w:t xml:space="preserve"> </w:t>
      </w:r>
      <w:r>
        <w:rPr>
          <w:spacing w:val="-2"/>
          <w:sz w:val="18"/>
        </w:rPr>
        <w:t>Presentation</w:t>
      </w:r>
      <w:r>
        <w:rPr>
          <w:sz w:val="18"/>
        </w:rPr>
        <w:tab/>
      </w:r>
      <w:r>
        <w:rPr>
          <w:spacing w:val="-2"/>
          <w:sz w:val="18"/>
        </w:rPr>
        <w:t>Page</w:t>
      </w:r>
      <w:r>
        <w:rPr>
          <w:spacing w:val="-11"/>
          <w:sz w:val="18"/>
        </w:rPr>
        <w:t xml:space="preserve"> </w:t>
      </w:r>
      <w:r>
        <w:rPr>
          <w:spacing w:val="-5"/>
          <w:sz w:val="18"/>
        </w:rPr>
        <w:t>207</w:t>
      </w:r>
    </w:p>
    <w:p w14:paraId="791C0306" w14:textId="77777777" w:rsidR="00AC6F3C" w:rsidRDefault="00AC6F3C">
      <w:pPr>
        <w:pStyle w:val="BodyText"/>
        <w:rPr>
          <w:sz w:val="5"/>
        </w:rPr>
      </w:pPr>
    </w:p>
    <w:p w14:paraId="42ACF849" w14:textId="77777777" w:rsidR="00AC6F3C" w:rsidRDefault="00570E88">
      <w:pPr>
        <w:pStyle w:val="BodyText"/>
        <w:spacing w:line="20" w:lineRule="exact"/>
        <w:ind w:left="404"/>
        <w:rPr>
          <w:sz w:val="2"/>
        </w:rPr>
      </w:pPr>
      <w:r>
        <w:rPr>
          <w:noProof/>
          <w:sz w:val="2"/>
        </w:rPr>
        <mc:AlternateContent>
          <mc:Choice Requires="wpg">
            <w:drawing>
              <wp:inline distT="0" distB="0" distL="0" distR="0" wp14:anchorId="0C118C86" wp14:editId="1848B491">
                <wp:extent cx="4770120" cy="6350"/>
                <wp:effectExtent l="0" t="0" r="0" b="0"/>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890" name="Graphic 890"/>
                        <wps:cNvSpPr/>
                        <wps:spPr>
                          <a:xfrm>
                            <a:off x="-10" y="0"/>
                            <a:ext cx="4770120" cy="6350"/>
                          </a:xfrm>
                          <a:custGeom>
                            <a:avLst/>
                            <a:gdLst/>
                            <a:ahLst/>
                            <a:cxnLst/>
                            <a:rect l="l" t="t" r="r" b="b"/>
                            <a:pathLst>
                              <a:path w="4770120" h="6350">
                                <a:moveTo>
                                  <a:pt x="899083" y="0"/>
                                </a:moveTo>
                                <a:lnTo>
                                  <a:pt x="0" y="0"/>
                                </a:lnTo>
                                <a:lnTo>
                                  <a:pt x="0" y="6121"/>
                                </a:lnTo>
                                <a:lnTo>
                                  <a:pt x="899083" y="6121"/>
                                </a:lnTo>
                                <a:lnTo>
                                  <a:pt x="899083" y="0"/>
                                </a:lnTo>
                                <a:close/>
                              </a:path>
                              <a:path w="4770120" h="6350">
                                <a:moveTo>
                                  <a:pt x="4140377" y="0"/>
                                </a:moveTo>
                                <a:lnTo>
                                  <a:pt x="905217" y="0"/>
                                </a:lnTo>
                                <a:lnTo>
                                  <a:pt x="899096" y="0"/>
                                </a:lnTo>
                                <a:lnTo>
                                  <a:pt x="899096" y="6121"/>
                                </a:lnTo>
                                <a:lnTo>
                                  <a:pt x="905192" y="6121"/>
                                </a:lnTo>
                                <a:lnTo>
                                  <a:pt x="4140377" y="6121"/>
                                </a:lnTo>
                                <a:lnTo>
                                  <a:pt x="4140377" y="0"/>
                                </a:lnTo>
                                <a:close/>
                              </a:path>
                              <a:path w="4770120" h="6350">
                                <a:moveTo>
                                  <a:pt x="4769764" y="0"/>
                                </a:moveTo>
                                <a:lnTo>
                                  <a:pt x="4146524" y="0"/>
                                </a:lnTo>
                                <a:lnTo>
                                  <a:pt x="4140403" y="0"/>
                                </a:lnTo>
                                <a:lnTo>
                                  <a:pt x="4140403" y="6121"/>
                                </a:lnTo>
                                <a:lnTo>
                                  <a:pt x="4146499" y="6121"/>
                                </a:lnTo>
                                <a:lnTo>
                                  <a:pt x="4769764" y="6121"/>
                                </a:lnTo>
                                <a:lnTo>
                                  <a:pt x="4769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61D21B" id="Group 889"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">
                <v:shape id="Graphic 890"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" path="m899083,l,,,6121r899083,l899083,xem4140377,l905217,r-6121,l899096,6121r6096,l4140377,6121r,-6121xem4769764,l4146524,r-6121,l4140403,6121r6096,l4769764,6121r,-6121xe" fillcolor="black" stroked="f">
                  <v:path arrowok="t"/>
                </v:shape>
                <w10:anchorlock/>
              </v:group>
            </w:pict>
          </mc:Fallback>
        </mc:AlternateContent>
      </w:r>
    </w:p>
    <w:p w14:paraId="00BDF326" w14:textId="77777777" w:rsidR="00AC6F3C" w:rsidRDefault="00570E88">
      <w:pPr>
        <w:tabs>
          <w:tab w:val="left" w:pos="5101"/>
        </w:tabs>
        <w:spacing w:before="47"/>
        <w:ind w:right="367"/>
        <w:jc w:val="right"/>
        <w:rPr>
          <w:sz w:val="18"/>
        </w:rPr>
      </w:pPr>
      <w:r>
        <w:rPr>
          <w:sz w:val="18"/>
        </w:rPr>
        <w:t>A1-4</w:t>
      </w:r>
      <w:r>
        <w:rPr>
          <w:spacing w:val="72"/>
          <w:sz w:val="18"/>
        </w:rPr>
        <w:t xml:space="preserve"> </w:t>
      </w:r>
      <w:r>
        <w:rPr>
          <w:sz w:val="18"/>
        </w:rPr>
        <w:t>Basis</w:t>
      </w:r>
      <w:r>
        <w:rPr>
          <w:spacing w:val="-11"/>
          <w:sz w:val="18"/>
        </w:rPr>
        <w:t xml:space="preserve"> </w:t>
      </w:r>
      <w:r>
        <w:rPr>
          <w:sz w:val="18"/>
        </w:rPr>
        <w:t>of</w:t>
      </w:r>
      <w:r>
        <w:rPr>
          <w:spacing w:val="-12"/>
          <w:sz w:val="18"/>
        </w:rPr>
        <w:t xml:space="preserve"> </w:t>
      </w:r>
      <w:r>
        <w:rPr>
          <w:spacing w:val="-2"/>
          <w:sz w:val="18"/>
        </w:rPr>
        <w:t>Measurement</w:t>
      </w:r>
      <w:r>
        <w:rPr>
          <w:sz w:val="18"/>
        </w:rPr>
        <w:tab/>
      </w:r>
      <w:r>
        <w:rPr>
          <w:spacing w:val="-2"/>
          <w:sz w:val="18"/>
        </w:rPr>
        <w:t>Page</w:t>
      </w:r>
      <w:r>
        <w:rPr>
          <w:spacing w:val="-11"/>
          <w:sz w:val="18"/>
        </w:rPr>
        <w:t xml:space="preserve"> </w:t>
      </w:r>
      <w:r>
        <w:rPr>
          <w:spacing w:val="-5"/>
          <w:sz w:val="18"/>
        </w:rPr>
        <w:t>207</w:t>
      </w:r>
    </w:p>
    <w:p w14:paraId="12259821" w14:textId="77777777" w:rsidR="00AC6F3C" w:rsidRDefault="00AC6F3C">
      <w:pPr>
        <w:jc w:val="right"/>
        <w:rPr>
          <w:sz w:val="18"/>
        </w:rPr>
        <w:sectPr w:rsidR="00AC6F3C">
          <w:type w:val="continuous"/>
          <w:pgSz w:w="11910" w:h="16840"/>
          <w:pgMar w:top="1920" w:right="1160" w:bottom="280" w:left="460" w:header="1297" w:footer="336" w:gutter="0"/>
          <w:cols w:num="2" w:space="720" w:equalWidth="0">
            <w:col w:w="2096" w:space="40"/>
            <w:col w:w="8154"/>
          </w:cols>
        </w:sectPr>
      </w:pPr>
    </w:p>
    <w:p w14:paraId="4749DA9E" w14:textId="77777777" w:rsidR="00AC6F3C" w:rsidRDefault="00AC6F3C">
      <w:pPr>
        <w:pStyle w:val="BodyText"/>
        <w:spacing w:before="5"/>
        <w:rPr>
          <w:sz w:val="5"/>
        </w:rPr>
      </w:pPr>
    </w:p>
    <w:tbl>
      <w:tblPr>
        <w:tblW w:w="0" w:type="auto"/>
        <w:tblInd w:w="958" w:type="dxa"/>
        <w:tblLayout w:type="fixed"/>
        <w:tblCellMar>
          <w:left w:w="0" w:type="dxa"/>
          <w:right w:w="0" w:type="dxa"/>
        </w:tblCellMar>
        <w:tblLook w:val="01E0" w:firstRow="1" w:lastRow="1" w:firstColumn="1" w:lastColumn="1" w:noHBand="0" w:noVBand="0"/>
      </w:tblPr>
      <w:tblGrid>
        <w:gridCol w:w="1589"/>
        <w:gridCol w:w="954"/>
        <w:gridCol w:w="5529"/>
        <w:gridCol w:w="1029"/>
      </w:tblGrid>
      <w:tr w:rsidR="00AC6F3C" w14:paraId="2E6D408D" w14:textId="77777777">
        <w:trPr>
          <w:trHeight w:val="321"/>
        </w:trPr>
        <w:tc>
          <w:tcPr>
            <w:tcW w:w="1589" w:type="dxa"/>
            <w:vMerge w:val="restart"/>
            <w:tcBorders>
              <w:bottom w:val="single" w:sz="4" w:space="0" w:color="000000"/>
            </w:tcBorders>
          </w:tcPr>
          <w:p w14:paraId="7754C051" w14:textId="77777777" w:rsidR="00AC6F3C" w:rsidRDefault="00AC6F3C">
            <w:pPr>
              <w:pStyle w:val="TableParagraph"/>
              <w:rPr>
                <w:rFonts w:ascii="Times New Roman"/>
                <w:sz w:val="18"/>
              </w:rPr>
            </w:pPr>
          </w:p>
        </w:tc>
        <w:tc>
          <w:tcPr>
            <w:tcW w:w="954" w:type="dxa"/>
            <w:tcBorders>
              <w:top w:val="single" w:sz="4" w:space="0" w:color="000000"/>
              <w:bottom w:val="single" w:sz="4" w:space="0" w:color="000000"/>
            </w:tcBorders>
          </w:tcPr>
          <w:p w14:paraId="0962CE94" w14:textId="77777777" w:rsidR="00AC6F3C" w:rsidRDefault="00570E88">
            <w:pPr>
              <w:pStyle w:val="TableParagraph"/>
              <w:spacing w:before="56"/>
              <w:ind w:left="107"/>
              <w:rPr>
                <w:b/>
                <w:sz w:val="18"/>
              </w:rPr>
            </w:pPr>
            <w:r>
              <w:rPr>
                <w:b/>
                <w:spacing w:val="-5"/>
                <w:sz w:val="18"/>
              </w:rPr>
              <w:t>A2.</w:t>
            </w:r>
          </w:p>
        </w:tc>
        <w:tc>
          <w:tcPr>
            <w:tcW w:w="5529" w:type="dxa"/>
            <w:tcBorders>
              <w:top w:val="single" w:sz="4" w:space="0" w:color="000000"/>
              <w:bottom w:val="single" w:sz="4" w:space="0" w:color="000000"/>
            </w:tcBorders>
          </w:tcPr>
          <w:p w14:paraId="2E9BADA7" w14:textId="77777777" w:rsidR="00AC6F3C" w:rsidRDefault="00570E88">
            <w:pPr>
              <w:pStyle w:val="TableParagraph"/>
              <w:spacing w:before="56"/>
              <w:ind w:left="569"/>
              <w:rPr>
                <w:b/>
                <w:sz w:val="18"/>
              </w:rPr>
            </w:pPr>
            <w:r>
              <w:rPr>
                <w:b/>
                <w:spacing w:val="-2"/>
                <w:sz w:val="18"/>
              </w:rPr>
              <w:t>The</w:t>
            </w:r>
            <w:r>
              <w:rPr>
                <w:b/>
                <w:spacing w:val="-8"/>
                <w:sz w:val="18"/>
              </w:rPr>
              <w:t xml:space="preserve"> </w:t>
            </w:r>
            <w:r>
              <w:rPr>
                <w:b/>
                <w:spacing w:val="-2"/>
                <w:sz w:val="18"/>
              </w:rPr>
              <w:t>Fund’s</w:t>
            </w:r>
            <w:r>
              <w:rPr>
                <w:b/>
                <w:spacing w:val="-8"/>
                <w:sz w:val="18"/>
              </w:rPr>
              <w:t xml:space="preserve"> </w:t>
            </w:r>
            <w:r>
              <w:rPr>
                <w:b/>
                <w:spacing w:val="-2"/>
                <w:sz w:val="18"/>
              </w:rPr>
              <w:t>Objectives</w:t>
            </w:r>
          </w:p>
        </w:tc>
        <w:tc>
          <w:tcPr>
            <w:tcW w:w="1029" w:type="dxa"/>
            <w:tcBorders>
              <w:top w:val="single" w:sz="4" w:space="0" w:color="000000"/>
              <w:bottom w:val="single" w:sz="4" w:space="0" w:color="000000"/>
            </w:tcBorders>
          </w:tcPr>
          <w:p w14:paraId="2561A7C0"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208</w:t>
            </w:r>
          </w:p>
        </w:tc>
      </w:tr>
      <w:tr w:rsidR="00AC6F3C" w14:paraId="3F6BE169" w14:textId="77777777">
        <w:trPr>
          <w:trHeight w:val="321"/>
        </w:trPr>
        <w:tc>
          <w:tcPr>
            <w:tcW w:w="1589" w:type="dxa"/>
            <w:vMerge/>
            <w:tcBorders>
              <w:top w:val="nil"/>
              <w:bottom w:val="single" w:sz="4" w:space="0" w:color="000000"/>
            </w:tcBorders>
          </w:tcPr>
          <w:p w14:paraId="305225DC" w14:textId="77777777" w:rsidR="00AC6F3C" w:rsidRDefault="00AC6F3C">
            <w:pPr>
              <w:rPr>
                <w:sz w:val="2"/>
                <w:szCs w:val="2"/>
              </w:rPr>
            </w:pPr>
          </w:p>
        </w:tc>
        <w:tc>
          <w:tcPr>
            <w:tcW w:w="954" w:type="dxa"/>
            <w:tcBorders>
              <w:top w:val="single" w:sz="4" w:space="0" w:color="000000"/>
              <w:bottom w:val="single" w:sz="4" w:space="0" w:color="000000"/>
            </w:tcBorders>
          </w:tcPr>
          <w:p w14:paraId="5A832B15" w14:textId="77777777" w:rsidR="00AC6F3C" w:rsidRDefault="00570E88">
            <w:pPr>
              <w:pStyle w:val="TableParagraph"/>
              <w:spacing w:before="56"/>
              <w:ind w:left="107"/>
              <w:rPr>
                <w:b/>
                <w:sz w:val="18"/>
              </w:rPr>
            </w:pPr>
            <w:r>
              <w:rPr>
                <w:b/>
                <w:spacing w:val="-5"/>
                <w:sz w:val="18"/>
              </w:rPr>
              <w:t>A3.</w:t>
            </w:r>
          </w:p>
        </w:tc>
        <w:tc>
          <w:tcPr>
            <w:tcW w:w="5529" w:type="dxa"/>
            <w:tcBorders>
              <w:top w:val="single" w:sz="4" w:space="0" w:color="000000"/>
              <w:bottom w:val="single" w:sz="4" w:space="0" w:color="000000"/>
            </w:tcBorders>
          </w:tcPr>
          <w:p w14:paraId="7518AD60" w14:textId="77777777" w:rsidR="00AC6F3C" w:rsidRDefault="00570E88">
            <w:pPr>
              <w:pStyle w:val="TableParagraph"/>
              <w:spacing w:before="56"/>
              <w:ind w:left="569"/>
              <w:rPr>
                <w:b/>
                <w:sz w:val="18"/>
              </w:rPr>
            </w:pPr>
            <w:proofErr w:type="spellStart"/>
            <w:r>
              <w:rPr>
                <w:b/>
                <w:spacing w:val="-4"/>
                <w:sz w:val="18"/>
              </w:rPr>
              <w:t>Authorisation</w:t>
            </w:r>
            <w:proofErr w:type="spellEnd"/>
            <w:r>
              <w:rPr>
                <w:b/>
                <w:spacing w:val="1"/>
                <w:sz w:val="18"/>
              </w:rPr>
              <w:t xml:space="preserve"> </w:t>
            </w:r>
            <w:r>
              <w:rPr>
                <w:b/>
                <w:spacing w:val="-4"/>
                <w:sz w:val="18"/>
              </w:rPr>
              <w:t>of</w:t>
            </w:r>
            <w:r>
              <w:rPr>
                <w:b/>
                <w:spacing w:val="2"/>
                <w:sz w:val="18"/>
              </w:rPr>
              <w:t xml:space="preserve"> </w:t>
            </w:r>
            <w:r>
              <w:rPr>
                <w:b/>
                <w:spacing w:val="-4"/>
                <w:sz w:val="18"/>
              </w:rPr>
              <w:t>Financial</w:t>
            </w:r>
            <w:r>
              <w:rPr>
                <w:b/>
                <w:spacing w:val="1"/>
                <w:sz w:val="18"/>
              </w:rPr>
              <w:t xml:space="preserve"> </w:t>
            </w:r>
            <w:r>
              <w:rPr>
                <w:b/>
                <w:spacing w:val="-4"/>
                <w:sz w:val="18"/>
              </w:rPr>
              <w:t>Statements</w:t>
            </w:r>
            <w:r>
              <w:rPr>
                <w:b/>
                <w:spacing w:val="5"/>
                <w:sz w:val="18"/>
              </w:rPr>
              <w:t xml:space="preserve"> </w:t>
            </w:r>
            <w:r>
              <w:rPr>
                <w:b/>
                <w:spacing w:val="-4"/>
                <w:sz w:val="18"/>
              </w:rPr>
              <w:t>for</w:t>
            </w:r>
            <w:r>
              <w:rPr>
                <w:b/>
                <w:spacing w:val="1"/>
                <w:sz w:val="18"/>
              </w:rPr>
              <w:t xml:space="preserve"> </w:t>
            </w:r>
            <w:r>
              <w:rPr>
                <w:b/>
                <w:spacing w:val="-4"/>
                <w:sz w:val="18"/>
              </w:rPr>
              <w:t>Issue</w:t>
            </w:r>
          </w:p>
        </w:tc>
        <w:tc>
          <w:tcPr>
            <w:tcW w:w="1029" w:type="dxa"/>
            <w:tcBorders>
              <w:top w:val="single" w:sz="4" w:space="0" w:color="000000"/>
              <w:bottom w:val="single" w:sz="4" w:space="0" w:color="000000"/>
            </w:tcBorders>
          </w:tcPr>
          <w:p w14:paraId="4EC03987"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208</w:t>
            </w:r>
          </w:p>
        </w:tc>
      </w:tr>
      <w:tr w:rsidR="00AC6F3C" w14:paraId="2371EF52" w14:textId="77777777">
        <w:trPr>
          <w:trHeight w:val="321"/>
        </w:trPr>
        <w:tc>
          <w:tcPr>
            <w:tcW w:w="1589" w:type="dxa"/>
            <w:vMerge/>
            <w:tcBorders>
              <w:top w:val="nil"/>
              <w:bottom w:val="single" w:sz="4" w:space="0" w:color="000000"/>
            </w:tcBorders>
          </w:tcPr>
          <w:p w14:paraId="28B34C2B" w14:textId="77777777" w:rsidR="00AC6F3C" w:rsidRDefault="00AC6F3C">
            <w:pPr>
              <w:rPr>
                <w:sz w:val="2"/>
                <w:szCs w:val="2"/>
              </w:rPr>
            </w:pPr>
          </w:p>
        </w:tc>
        <w:tc>
          <w:tcPr>
            <w:tcW w:w="954" w:type="dxa"/>
            <w:tcBorders>
              <w:top w:val="single" w:sz="4" w:space="0" w:color="000000"/>
              <w:bottom w:val="single" w:sz="4" w:space="0" w:color="000000"/>
            </w:tcBorders>
          </w:tcPr>
          <w:p w14:paraId="017DCAFE" w14:textId="77777777" w:rsidR="00AC6F3C" w:rsidRDefault="00570E88">
            <w:pPr>
              <w:pStyle w:val="TableParagraph"/>
              <w:spacing w:before="56"/>
              <w:ind w:left="107"/>
              <w:rPr>
                <w:b/>
                <w:sz w:val="18"/>
              </w:rPr>
            </w:pPr>
            <w:r>
              <w:rPr>
                <w:b/>
                <w:spacing w:val="-5"/>
                <w:sz w:val="18"/>
              </w:rPr>
              <w:t>B1.</w:t>
            </w:r>
          </w:p>
        </w:tc>
        <w:tc>
          <w:tcPr>
            <w:tcW w:w="5529" w:type="dxa"/>
            <w:tcBorders>
              <w:top w:val="single" w:sz="4" w:space="0" w:color="000000"/>
              <w:bottom w:val="single" w:sz="4" w:space="0" w:color="000000"/>
            </w:tcBorders>
          </w:tcPr>
          <w:p w14:paraId="51E11CAF" w14:textId="77777777" w:rsidR="00AC6F3C" w:rsidRDefault="00570E88">
            <w:pPr>
              <w:pStyle w:val="TableParagraph"/>
              <w:spacing w:before="56"/>
              <w:ind w:left="569"/>
              <w:rPr>
                <w:b/>
                <w:sz w:val="18"/>
              </w:rPr>
            </w:pPr>
            <w:r>
              <w:rPr>
                <w:b/>
                <w:spacing w:val="-2"/>
                <w:sz w:val="18"/>
              </w:rPr>
              <w:t>Revenue</w:t>
            </w:r>
          </w:p>
        </w:tc>
        <w:tc>
          <w:tcPr>
            <w:tcW w:w="1029" w:type="dxa"/>
            <w:tcBorders>
              <w:top w:val="single" w:sz="4" w:space="0" w:color="000000"/>
              <w:bottom w:val="single" w:sz="4" w:space="0" w:color="000000"/>
            </w:tcBorders>
          </w:tcPr>
          <w:p w14:paraId="44163812"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209</w:t>
            </w:r>
          </w:p>
        </w:tc>
      </w:tr>
      <w:tr w:rsidR="00AC6F3C" w14:paraId="76C986E2" w14:textId="77777777">
        <w:trPr>
          <w:trHeight w:val="321"/>
        </w:trPr>
        <w:tc>
          <w:tcPr>
            <w:tcW w:w="1589" w:type="dxa"/>
            <w:vMerge/>
            <w:tcBorders>
              <w:top w:val="nil"/>
              <w:bottom w:val="single" w:sz="4" w:space="0" w:color="000000"/>
            </w:tcBorders>
          </w:tcPr>
          <w:p w14:paraId="64F6DC07" w14:textId="77777777" w:rsidR="00AC6F3C" w:rsidRDefault="00AC6F3C">
            <w:pPr>
              <w:rPr>
                <w:sz w:val="2"/>
                <w:szCs w:val="2"/>
              </w:rPr>
            </w:pPr>
          </w:p>
        </w:tc>
        <w:tc>
          <w:tcPr>
            <w:tcW w:w="954" w:type="dxa"/>
            <w:tcBorders>
              <w:top w:val="single" w:sz="4" w:space="0" w:color="000000"/>
              <w:bottom w:val="single" w:sz="4" w:space="0" w:color="000000"/>
            </w:tcBorders>
          </w:tcPr>
          <w:p w14:paraId="6D63DE11" w14:textId="77777777" w:rsidR="00AC6F3C" w:rsidRDefault="00AC6F3C">
            <w:pPr>
              <w:pStyle w:val="TableParagraph"/>
              <w:rPr>
                <w:rFonts w:ascii="Times New Roman"/>
                <w:sz w:val="18"/>
              </w:rPr>
            </w:pPr>
          </w:p>
        </w:tc>
        <w:tc>
          <w:tcPr>
            <w:tcW w:w="5529" w:type="dxa"/>
            <w:tcBorders>
              <w:top w:val="single" w:sz="4" w:space="0" w:color="000000"/>
              <w:bottom w:val="single" w:sz="4" w:space="0" w:color="000000"/>
            </w:tcBorders>
          </w:tcPr>
          <w:p w14:paraId="2B4B371A" w14:textId="77777777" w:rsidR="00AC6F3C" w:rsidRDefault="00570E88">
            <w:pPr>
              <w:pStyle w:val="TableParagraph"/>
              <w:spacing w:before="56"/>
              <w:ind w:left="569"/>
              <w:rPr>
                <w:sz w:val="18"/>
              </w:rPr>
            </w:pPr>
            <w:r>
              <w:rPr>
                <w:sz w:val="18"/>
              </w:rPr>
              <w:t>B1-1</w:t>
            </w:r>
            <w:r>
              <w:rPr>
                <w:spacing w:val="68"/>
                <w:w w:val="150"/>
                <w:sz w:val="18"/>
              </w:rPr>
              <w:t xml:space="preserve"> </w:t>
            </w:r>
            <w:r>
              <w:rPr>
                <w:sz w:val="18"/>
              </w:rPr>
              <w:t>Practitioner</w:t>
            </w:r>
            <w:r>
              <w:rPr>
                <w:spacing w:val="-1"/>
                <w:sz w:val="18"/>
              </w:rPr>
              <w:t xml:space="preserve"> </w:t>
            </w:r>
            <w:r>
              <w:rPr>
                <w:spacing w:val="-2"/>
                <w:sz w:val="18"/>
              </w:rPr>
              <w:t>Levies</w:t>
            </w:r>
          </w:p>
        </w:tc>
        <w:tc>
          <w:tcPr>
            <w:tcW w:w="1029" w:type="dxa"/>
            <w:tcBorders>
              <w:top w:val="single" w:sz="4" w:space="0" w:color="000000"/>
              <w:bottom w:val="single" w:sz="4" w:space="0" w:color="000000"/>
            </w:tcBorders>
          </w:tcPr>
          <w:p w14:paraId="7F8D9CE9" w14:textId="77777777" w:rsidR="00AC6F3C" w:rsidRDefault="00570E88">
            <w:pPr>
              <w:pStyle w:val="TableParagraph"/>
              <w:spacing w:before="56"/>
              <w:ind w:left="119" w:right="113"/>
              <w:jc w:val="center"/>
              <w:rPr>
                <w:sz w:val="18"/>
              </w:rPr>
            </w:pPr>
            <w:r>
              <w:rPr>
                <w:spacing w:val="-2"/>
                <w:sz w:val="18"/>
              </w:rPr>
              <w:t>Page</w:t>
            </w:r>
            <w:r>
              <w:rPr>
                <w:spacing w:val="-11"/>
                <w:sz w:val="18"/>
              </w:rPr>
              <w:t xml:space="preserve"> </w:t>
            </w:r>
            <w:r>
              <w:rPr>
                <w:spacing w:val="-5"/>
                <w:sz w:val="18"/>
              </w:rPr>
              <w:t>209</w:t>
            </w:r>
          </w:p>
        </w:tc>
      </w:tr>
      <w:tr w:rsidR="00AC6F3C" w14:paraId="54C00B82" w14:textId="77777777">
        <w:trPr>
          <w:trHeight w:val="321"/>
        </w:trPr>
        <w:tc>
          <w:tcPr>
            <w:tcW w:w="1589" w:type="dxa"/>
            <w:vMerge/>
            <w:tcBorders>
              <w:top w:val="nil"/>
              <w:bottom w:val="single" w:sz="4" w:space="0" w:color="000000"/>
            </w:tcBorders>
          </w:tcPr>
          <w:p w14:paraId="2C489034" w14:textId="77777777" w:rsidR="00AC6F3C" w:rsidRDefault="00AC6F3C">
            <w:pPr>
              <w:rPr>
                <w:sz w:val="2"/>
                <w:szCs w:val="2"/>
              </w:rPr>
            </w:pPr>
          </w:p>
        </w:tc>
        <w:tc>
          <w:tcPr>
            <w:tcW w:w="954" w:type="dxa"/>
            <w:tcBorders>
              <w:top w:val="single" w:sz="4" w:space="0" w:color="000000"/>
              <w:bottom w:val="single" w:sz="4" w:space="0" w:color="000000"/>
            </w:tcBorders>
          </w:tcPr>
          <w:p w14:paraId="76D0D75B" w14:textId="77777777" w:rsidR="00AC6F3C" w:rsidRDefault="00AC6F3C">
            <w:pPr>
              <w:pStyle w:val="TableParagraph"/>
              <w:rPr>
                <w:rFonts w:ascii="Times New Roman"/>
                <w:sz w:val="18"/>
              </w:rPr>
            </w:pPr>
          </w:p>
        </w:tc>
        <w:tc>
          <w:tcPr>
            <w:tcW w:w="5529" w:type="dxa"/>
            <w:tcBorders>
              <w:top w:val="single" w:sz="4" w:space="0" w:color="000000"/>
              <w:bottom w:val="single" w:sz="4" w:space="0" w:color="000000"/>
            </w:tcBorders>
          </w:tcPr>
          <w:p w14:paraId="44E2AE4D" w14:textId="77777777" w:rsidR="00AC6F3C" w:rsidRDefault="00570E88">
            <w:pPr>
              <w:pStyle w:val="TableParagraph"/>
              <w:spacing w:before="56"/>
              <w:ind w:left="569"/>
              <w:rPr>
                <w:sz w:val="18"/>
              </w:rPr>
            </w:pPr>
            <w:r>
              <w:rPr>
                <w:sz w:val="18"/>
              </w:rPr>
              <w:t>B1-2</w:t>
            </w:r>
            <w:r>
              <w:rPr>
                <w:spacing w:val="70"/>
                <w:w w:val="150"/>
                <w:sz w:val="18"/>
              </w:rPr>
              <w:t xml:space="preserve"> </w:t>
            </w:r>
            <w:r>
              <w:rPr>
                <w:sz w:val="18"/>
              </w:rPr>
              <w:t>Investment</w:t>
            </w:r>
            <w:r>
              <w:rPr>
                <w:spacing w:val="-3"/>
                <w:sz w:val="18"/>
              </w:rPr>
              <w:t xml:space="preserve"> </w:t>
            </w:r>
            <w:r>
              <w:rPr>
                <w:spacing w:val="-2"/>
                <w:sz w:val="18"/>
              </w:rPr>
              <w:t>Income</w:t>
            </w:r>
          </w:p>
        </w:tc>
        <w:tc>
          <w:tcPr>
            <w:tcW w:w="1029" w:type="dxa"/>
            <w:tcBorders>
              <w:top w:val="single" w:sz="4" w:space="0" w:color="000000"/>
              <w:bottom w:val="single" w:sz="4" w:space="0" w:color="000000"/>
            </w:tcBorders>
          </w:tcPr>
          <w:p w14:paraId="47459DB5" w14:textId="77777777" w:rsidR="00AC6F3C" w:rsidRDefault="00570E88">
            <w:pPr>
              <w:pStyle w:val="TableParagraph"/>
              <w:spacing w:before="56"/>
              <w:ind w:left="119" w:right="113"/>
              <w:jc w:val="center"/>
              <w:rPr>
                <w:sz w:val="18"/>
              </w:rPr>
            </w:pPr>
            <w:r>
              <w:rPr>
                <w:spacing w:val="-2"/>
                <w:sz w:val="18"/>
              </w:rPr>
              <w:t>Page</w:t>
            </w:r>
            <w:r>
              <w:rPr>
                <w:spacing w:val="-11"/>
                <w:sz w:val="18"/>
              </w:rPr>
              <w:t xml:space="preserve"> </w:t>
            </w:r>
            <w:r>
              <w:rPr>
                <w:spacing w:val="-5"/>
                <w:sz w:val="18"/>
              </w:rPr>
              <w:t>209</w:t>
            </w:r>
          </w:p>
        </w:tc>
      </w:tr>
      <w:tr w:rsidR="00AC6F3C" w14:paraId="57DF1597" w14:textId="77777777">
        <w:trPr>
          <w:trHeight w:val="318"/>
        </w:trPr>
        <w:tc>
          <w:tcPr>
            <w:tcW w:w="1589" w:type="dxa"/>
            <w:vMerge/>
            <w:tcBorders>
              <w:top w:val="nil"/>
              <w:bottom w:val="single" w:sz="4" w:space="0" w:color="000000"/>
            </w:tcBorders>
          </w:tcPr>
          <w:p w14:paraId="66866380" w14:textId="77777777" w:rsidR="00AC6F3C" w:rsidRDefault="00AC6F3C">
            <w:pPr>
              <w:rPr>
                <w:sz w:val="2"/>
                <w:szCs w:val="2"/>
              </w:rPr>
            </w:pPr>
          </w:p>
        </w:tc>
        <w:tc>
          <w:tcPr>
            <w:tcW w:w="954" w:type="dxa"/>
            <w:tcBorders>
              <w:top w:val="single" w:sz="4" w:space="0" w:color="000000"/>
              <w:bottom w:val="single" w:sz="4" w:space="0" w:color="000000"/>
            </w:tcBorders>
          </w:tcPr>
          <w:p w14:paraId="4CA40735" w14:textId="77777777" w:rsidR="00AC6F3C" w:rsidRDefault="00AC6F3C">
            <w:pPr>
              <w:pStyle w:val="TableParagraph"/>
              <w:rPr>
                <w:rFonts w:ascii="Times New Roman"/>
                <w:sz w:val="18"/>
              </w:rPr>
            </w:pPr>
          </w:p>
        </w:tc>
        <w:tc>
          <w:tcPr>
            <w:tcW w:w="5529" w:type="dxa"/>
            <w:tcBorders>
              <w:top w:val="single" w:sz="4" w:space="0" w:color="000000"/>
              <w:bottom w:val="single" w:sz="4" w:space="0" w:color="000000"/>
            </w:tcBorders>
          </w:tcPr>
          <w:p w14:paraId="4BB550B3" w14:textId="77777777" w:rsidR="00AC6F3C" w:rsidRDefault="00570E88">
            <w:pPr>
              <w:pStyle w:val="TableParagraph"/>
              <w:spacing w:before="54"/>
              <w:ind w:left="569"/>
              <w:rPr>
                <w:sz w:val="18"/>
              </w:rPr>
            </w:pPr>
            <w:r>
              <w:rPr>
                <w:sz w:val="18"/>
              </w:rPr>
              <w:t>B1-3</w:t>
            </w:r>
            <w:r>
              <w:rPr>
                <w:spacing w:val="41"/>
                <w:sz w:val="18"/>
              </w:rPr>
              <w:t xml:space="preserve"> </w:t>
            </w:r>
            <w:r>
              <w:rPr>
                <w:sz w:val="18"/>
              </w:rPr>
              <w:t>Gains/(Losses)</w:t>
            </w:r>
            <w:r>
              <w:rPr>
                <w:spacing w:val="-13"/>
                <w:sz w:val="18"/>
              </w:rPr>
              <w:t xml:space="preserve"> </w:t>
            </w:r>
            <w:r>
              <w:rPr>
                <w:sz w:val="18"/>
              </w:rPr>
              <w:t>on</w:t>
            </w:r>
            <w:r>
              <w:rPr>
                <w:spacing w:val="-12"/>
                <w:sz w:val="18"/>
              </w:rPr>
              <w:t xml:space="preserve"> </w:t>
            </w:r>
            <w:r>
              <w:rPr>
                <w:spacing w:val="-2"/>
                <w:sz w:val="18"/>
              </w:rPr>
              <w:t>Investments</w:t>
            </w:r>
          </w:p>
        </w:tc>
        <w:tc>
          <w:tcPr>
            <w:tcW w:w="1029" w:type="dxa"/>
            <w:tcBorders>
              <w:top w:val="single" w:sz="4" w:space="0" w:color="000000"/>
              <w:bottom w:val="single" w:sz="4" w:space="0" w:color="000000"/>
            </w:tcBorders>
          </w:tcPr>
          <w:p w14:paraId="05E5B1B5" w14:textId="77777777" w:rsidR="00AC6F3C" w:rsidRDefault="00570E88">
            <w:pPr>
              <w:pStyle w:val="TableParagraph"/>
              <w:spacing w:before="54"/>
              <w:ind w:left="119" w:right="113"/>
              <w:jc w:val="center"/>
              <w:rPr>
                <w:sz w:val="18"/>
              </w:rPr>
            </w:pPr>
            <w:r>
              <w:rPr>
                <w:spacing w:val="-2"/>
                <w:sz w:val="18"/>
              </w:rPr>
              <w:t>Page</w:t>
            </w:r>
            <w:r>
              <w:rPr>
                <w:spacing w:val="-11"/>
                <w:sz w:val="18"/>
              </w:rPr>
              <w:t xml:space="preserve"> </w:t>
            </w:r>
            <w:r>
              <w:rPr>
                <w:spacing w:val="-5"/>
                <w:sz w:val="18"/>
              </w:rPr>
              <w:t>209</w:t>
            </w:r>
          </w:p>
        </w:tc>
      </w:tr>
      <w:tr w:rsidR="00AC6F3C" w14:paraId="4CF902E9" w14:textId="77777777">
        <w:trPr>
          <w:trHeight w:val="321"/>
        </w:trPr>
        <w:tc>
          <w:tcPr>
            <w:tcW w:w="1589" w:type="dxa"/>
            <w:vMerge/>
            <w:tcBorders>
              <w:top w:val="nil"/>
              <w:bottom w:val="single" w:sz="4" w:space="0" w:color="000000"/>
            </w:tcBorders>
          </w:tcPr>
          <w:p w14:paraId="244C1B79" w14:textId="77777777" w:rsidR="00AC6F3C" w:rsidRDefault="00AC6F3C">
            <w:pPr>
              <w:rPr>
                <w:sz w:val="2"/>
                <w:szCs w:val="2"/>
              </w:rPr>
            </w:pPr>
          </w:p>
        </w:tc>
        <w:tc>
          <w:tcPr>
            <w:tcW w:w="954" w:type="dxa"/>
            <w:tcBorders>
              <w:top w:val="single" w:sz="4" w:space="0" w:color="000000"/>
              <w:bottom w:val="single" w:sz="4" w:space="0" w:color="000000"/>
            </w:tcBorders>
          </w:tcPr>
          <w:p w14:paraId="16C6ADBA" w14:textId="77777777" w:rsidR="00AC6F3C" w:rsidRDefault="00570E88">
            <w:pPr>
              <w:pStyle w:val="TableParagraph"/>
              <w:spacing w:before="56"/>
              <w:ind w:left="107"/>
              <w:rPr>
                <w:b/>
                <w:sz w:val="18"/>
              </w:rPr>
            </w:pPr>
            <w:r>
              <w:rPr>
                <w:b/>
                <w:spacing w:val="-5"/>
                <w:sz w:val="18"/>
              </w:rPr>
              <w:t>B2.</w:t>
            </w:r>
          </w:p>
        </w:tc>
        <w:tc>
          <w:tcPr>
            <w:tcW w:w="5529" w:type="dxa"/>
            <w:tcBorders>
              <w:top w:val="single" w:sz="4" w:space="0" w:color="000000"/>
              <w:bottom w:val="single" w:sz="4" w:space="0" w:color="000000"/>
            </w:tcBorders>
          </w:tcPr>
          <w:p w14:paraId="5F0377F5" w14:textId="77777777" w:rsidR="00AC6F3C" w:rsidRDefault="00570E88">
            <w:pPr>
              <w:pStyle w:val="TableParagraph"/>
              <w:spacing w:before="56"/>
              <w:ind w:left="569"/>
              <w:rPr>
                <w:b/>
                <w:sz w:val="18"/>
              </w:rPr>
            </w:pPr>
            <w:r>
              <w:rPr>
                <w:b/>
                <w:spacing w:val="-2"/>
                <w:sz w:val="18"/>
              </w:rPr>
              <w:t>Expenses</w:t>
            </w:r>
          </w:p>
        </w:tc>
        <w:tc>
          <w:tcPr>
            <w:tcW w:w="1029" w:type="dxa"/>
            <w:tcBorders>
              <w:top w:val="single" w:sz="4" w:space="0" w:color="000000"/>
              <w:bottom w:val="single" w:sz="4" w:space="0" w:color="000000"/>
            </w:tcBorders>
          </w:tcPr>
          <w:p w14:paraId="231DE578" w14:textId="77777777" w:rsidR="00AC6F3C" w:rsidRDefault="00570E88">
            <w:pPr>
              <w:pStyle w:val="TableParagraph"/>
              <w:spacing w:before="56"/>
              <w:ind w:left="124" w:right="113"/>
              <w:jc w:val="center"/>
              <w:rPr>
                <w:b/>
                <w:sz w:val="18"/>
              </w:rPr>
            </w:pPr>
            <w:r>
              <w:rPr>
                <w:b/>
                <w:spacing w:val="-2"/>
                <w:sz w:val="18"/>
              </w:rPr>
              <w:t>Page</w:t>
            </w:r>
            <w:r>
              <w:rPr>
                <w:b/>
                <w:spacing w:val="-11"/>
                <w:sz w:val="18"/>
              </w:rPr>
              <w:t xml:space="preserve"> </w:t>
            </w:r>
            <w:r>
              <w:rPr>
                <w:b/>
                <w:spacing w:val="-5"/>
                <w:sz w:val="18"/>
              </w:rPr>
              <w:t>210</w:t>
            </w:r>
          </w:p>
        </w:tc>
      </w:tr>
      <w:tr w:rsidR="00AC6F3C" w14:paraId="444C252A" w14:textId="77777777">
        <w:trPr>
          <w:trHeight w:val="321"/>
        </w:trPr>
        <w:tc>
          <w:tcPr>
            <w:tcW w:w="1589" w:type="dxa"/>
            <w:vMerge/>
            <w:tcBorders>
              <w:top w:val="nil"/>
              <w:bottom w:val="single" w:sz="4" w:space="0" w:color="000000"/>
            </w:tcBorders>
          </w:tcPr>
          <w:p w14:paraId="07F18814" w14:textId="77777777" w:rsidR="00AC6F3C" w:rsidRDefault="00AC6F3C">
            <w:pPr>
              <w:rPr>
                <w:sz w:val="2"/>
                <w:szCs w:val="2"/>
              </w:rPr>
            </w:pPr>
          </w:p>
        </w:tc>
        <w:tc>
          <w:tcPr>
            <w:tcW w:w="954" w:type="dxa"/>
            <w:tcBorders>
              <w:top w:val="single" w:sz="4" w:space="0" w:color="000000"/>
              <w:bottom w:val="single" w:sz="4" w:space="0" w:color="000000"/>
            </w:tcBorders>
          </w:tcPr>
          <w:p w14:paraId="57FE1C2A" w14:textId="77777777" w:rsidR="00AC6F3C" w:rsidRDefault="00AC6F3C">
            <w:pPr>
              <w:pStyle w:val="TableParagraph"/>
              <w:rPr>
                <w:rFonts w:ascii="Times New Roman"/>
                <w:sz w:val="18"/>
              </w:rPr>
            </w:pPr>
          </w:p>
        </w:tc>
        <w:tc>
          <w:tcPr>
            <w:tcW w:w="5529" w:type="dxa"/>
            <w:tcBorders>
              <w:top w:val="single" w:sz="4" w:space="0" w:color="000000"/>
              <w:bottom w:val="single" w:sz="4" w:space="0" w:color="000000"/>
            </w:tcBorders>
          </w:tcPr>
          <w:p w14:paraId="4A8B5A3D" w14:textId="77777777" w:rsidR="00AC6F3C" w:rsidRDefault="00570E88">
            <w:pPr>
              <w:pStyle w:val="TableParagraph"/>
              <w:spacing w:before="56"/>
              <w:ind w:left="569"/>
              <w:rPr>
                <w:sz w:val="18"/>
              </w:rPr>
            </w:pPr>
            <w:r>
              <w:rPr>
                <w:spacing w:val="-2"/>
                <w:sz w:val="18"/>
              </w:rPr>
              <w:t>B2-1</w:t>
            </w:r>
            <w:r>
              <w:rPr>
                <w:spacing w:val="73"/>
                <w:sz w:val="18"/>
              </w:rPr>
              <w:t xml:space="preserve"> </w:t>
            </w:r>
            <w:r>
              <w:rPr>
                <w:spacing w:val="-2"/>
                <w:sz w:val="18"/>
              </w:rPr>
              <w:t>Administration</w:t>
            </w:r>
            <w:r>
              <w:rPr>
                <w:spacing w:val="-10"/>
                <w:sz w:val="18"/>
              </w:rPr>
              <w:t xml:space="preserve"> </w:t>
            </w:r>
            <w:r>
              <w:rPr>
                <w:spacing w:val="-2"/>
                <w:sz w:val="18"/>
              </w:rPr>
              <w:t>Expenses</w:t>
            </w:r>
          </w:p>
        </w:tc>
        <w:tc>
          <w:tcPr>
            <w:tcW w:w="1029" w:type="dxa"/>
            <w:tcBorders>
              <w:top w:val="single" w:sz="4" w:space="0" w:color="000000"/>
              <w:bottom w:val="single" w:sz="4" w:space="0" w:color="000000"/>
            </w:tcBorders>
          </w:tcPr>
          <w:p w14:paraId="5F11ADF9" w14:textId="77777777" w:rsidR="00AC6F3C" w:rsidRDefault="00570E88">
            <w:pPr>
              <w:pStyle w:val="TableParagraph"/>
              <w:spacing w:before="56"/>
              <w:ind w:left="115" w:right="113"/>
              <w:jc w:val="center"/>
              <w:rPr>
                <w:sz w:val="18"/>
              </w:rPr>
            </w:pPr>
            <w:r>
              <w:rPr>
                <w:spacing w:val="-2"/>
                <w:sz w:val="18"/>
              </w:rPr>
              <w:t>Page</w:t>
            </w:r>
            <w:r>
              <w:rPr>
                <w:spacing w:val="-11"/>
                <w:sz w:val="18"/>
              </w:rPr>
              <w:t xml:space="preserve"> </w:t>
            </w:r>
            <w:r>
              <w:rPr>
                <w:spacing w:val="-5"/>
                <w:sz w:val="18"/>
              </w:rPr>
              <w:t>210</w:t>
            </w:r>
          </w:p>
        </w:tc>
      </w:tr>
      <w:tr w:rsidR="00AC6F3C" w14:paraId="485CF413" w14:textId="77777777">
        <w:trPr>
          <w:trHeight w:val="321"/>
        </w:trPr>
        <w:tc>
          <w:tcPr>
            <w:tcW w:w="1589" w:type="dxa"/>
            <w:vMerge/>
            <w:tcBorders>
              <w:top w:val="nil"/>
              <w:bottom w:val="single" w:sz="4" w:space="0" w:color="000000"/>
            </w:tcBorders>
          </w:tcPr>
          <w:p w14:paraId="383A91D4" w14:textId="77777777" w:rsidR="00AC6F3C" w:rsidRDefault="00AC6F3C">
            <w:pPr>
              <w:rPr>
                <w:sz w:val="2"/>
                <w:szCs w:val="2"/>
              </w:rPr>
            </w:pPr>
          </w:p>
        </w:tc>
        <w:tc>
          <w:tcPr>
            <w:tcW w:w="954" w:type="dxa"/>
            <w:tcBorders>
              <w:top w:val="single" w:sz="4" w:space="0" w:color="000000"/>
              <w:bottom w:val="single" w:sz="4" w:space="0" w:color="000000"/>
            </w:tcBorders>
          </w:tcPr>
          <w:p w14:paraId="39F93620" w14:textId="77777777" w:rsidR="00AC6F3C" w:rsidRDefault="00AC6F3C">
            <w:pPr>
              <w:pStyle w:val="TableParagraph"/>
              <w:rPr>
                <w:rFonts w:ascii="Times New Roman"/>
                <w:sz w:val="18"/>
              </w:rPr>
            </w:pPr>
          </w:p>
        </w:tc>
        <w:tc>
          <w:tcPr>
            <w:tcW w:w="5529" w:type="dxa"/>
            <w:tcBorders>
              <w:top w:val="single" w:sz="4" w:space="0" w:color="000000"/>
              <w:bottom w:val="single" w:sz="4" w:space="0" w:color="000000"/>
            </w:tcBorders>
          </w:tcPr>
          <w:p w14:paraId="289E47BD" w14:textId="77777777" w:rsidR="00AC6F3C" w:rsidRDefault="00570E88">
            <w:pPr>
              <w:pStyle w:val="TableParagraph"/>
              <w:spacing w:before="56"/>
              <w:ind w:left="569"/>
              <w:rPr>
                <w:sz w:val="18"/>
              </w:rPr>
            </w:pPr>
            <w:r>
              <w:rPr>
                <w:spacing w:val="-2"/>
                <w:sz w:val="18"/>
              </w:rPr>
              <w:t>B2-2</w:t>
            </w:r>
            <w:r>
              <w:rPr>
                <w:spacing w:val="76"/>
                <w:sz w:val="18"/>
              </w:rPr>
              <w:t xml:space="preserve"> </w:t>
            </w:r>
            <w:r>
              <w:rPr>
                <w:spacing w:val="-2"/>
                <w:sz w:val="18"/>
              </w:rPr>
              <w:t>Management</w:t>
            </w:r>
            <w:r>
              <w:rPr>
                <w:spacing w:val="-10"/>
                <w:sz w:val="18"/>
              </w:rPr>
              <w:t xml:space="preserve"> </w:t>
            </w:r>
            <w:r>
              <w:rPr>
                <w:spacing w:val="-2"/>
                <w:sz w:val="18"/>
              </w:rPr>
              <w:t>Fees</w:t>
            </w:r>
            <w:r>
              <w:rPr>
                <w:spacing w:val="-9"/>
                <w:sz w:val="18"/>
              </w:rPr>
              <w:t xml:space="preserve"> </w:t>
            </w:r>
            <w:r>
              <w:rPr>
                <w:spacing w:val="-2"/>
                <w:sz w:val="18"/>
              </w:rPr>
              <w:t>Paid</w:t>
            </w:r>
            <w:r>
              <w:rPr>
                <w:spacing w:val="-10"/>
                <w:sz w:val="18"/>
              </w:rPr>
              <w:t xml:space="preserve"> </w:t>
            </w:r>
            <w:r>
              <w:rPr>
                <w:spacing w:val="-2"/>
                <w:sz w:val="18"/>
              </w:rPr>
              <w:t>to</w:t>
            </w:r>
            <w:r>
              <w:rPr>
                <w:spacing w:val="-7"/>
                <w:sz w:val="18"/>
              </w:rPr>
              <w:t xml:space="preserve"> </w:t>
            </w:r>
            <w:r>
              <w:rPr>
                <w:spacing w:val="-2"/>
                <w:sz w:val="18"/>
              </w:rPr>
              <w:t>the</w:t>
            </w:r>
            <w:r>
              <w:rPr>
                <w:spacing w:val="-10"/>
                <w:sz w:val="18"/>
              </w:rPr>
              <w:t xml:space="preserve"> </w:t>
            </w:r>
            <w:r>
              <w:rPr>
                <w:spacing w:val="-2"/>
                <w:sz w:val="18"/>
              </w:rPr>
              <w:t>Queensland</w:t>
            </w:r>
            <w:r>
              <w:rPr>
                <w:spacing w:val="-10"/>
                <w:sz w:val="18"/>
              </w:rPr>
              <w:t xml:space="preserve"> </w:t>
            </w:r>
            <w:r>
              <w:rPr>
                <w:spacing w:val="-2"/>
                <w:sz w:val="18"/>
              </w:rPr>
              <w:t>Law</w:t>
            </w:r>
            <w:r>
              <w:rPr>
                <w:spacing w:val="-10"/>
                <w:sz w:val="18"/>
              </w:rPr>
              <w:t xml:space="preserve"> </w:t>
            </w:r>
            <w:r>
              <w:rPr>
                <w:spacing w:val="-2"/>
                <w:sz w:val="18"/>
              </w:rPr>
              <w:t>Society</w:t>
            </w:r>
          </w:p>
        </w:tc>
        <w:tc>
          <w:tcPr>
            <w:tcW w:w="1029" w:type="dxa"/>
            <w:tcBorders>
              <w:top w:val="single" w:sz="4" w:space="0" w:color="000000"/>
              <w:bottom w:val="single" w:sz="4" w:space="0" w:color="000000"/>
            </w:tcBorders>
          </w:tcPr>
          <w:p w14:paraId="5B32D688" w14:textId="77777777" w:rsidR="00AC6F3C" w:rsidRDefault="00570E88">
            <w:pPr>
              <w:pStyle w:val="TableParagraph"/>
              <w:spacing w:before="56"/>
              <w:ind w:left="115" w:right="113"/>
              <w:jc w:val="center"/>
              <w:rPr>
                <w:sz w:val="18"/>
              </w:rPr>
            </w:pPr>
            <w:r>
              <w:rPr>
                <w:spacing w:val="-2"/>
                <w:sz w:val="18"/>
              </w:rPr>
              <w:t>Page</w:t>
            </w:r>
            <w:r>
              <w:rPr>
                <w:spacing w:val="-11"/>
                <w:sz w:val="18"/>
              </w:rPr>
              <w:t xml:space="preserve"> </w:t>
            </w:r>
            <w:r>
              <w:rPr>
                <w:spacing w:val="-5"/>
                <w:sz w:val="18"/>
              </w:rPr>
              <w:t>210</w:t>
            </w:r>
          </w:p>
        </w:tc>
      </w:tr>
      <w:tr w:rsidR="00AC6F3C" w14:paraId="06BAEFCA" w14:textId="77777777">
        <w:trPr>
          <w:trHeight w:val="321"/>
        </w:trPr>
        <w:tc>
          <w:tcPr>
            <w:tcW w:w="1589" w:type="dxa"/>
            <w:vMerge/>
            <w:tcBorders>
              <w:top w:val="nil"/>
              <w:bottom w:val="single" w:sz="4" w:space="0" w:color="000000"/>
            </w:tcBorders>
          </w:tcPr>
          <w:p w14:paraId="310C607C" w14:textId="77777777" w:rsidR="00AC6F3C" w:rsidRDefault="00AC6F3C">
            <w:pPr>
              <w:rPr>
                <w:sz w:val="2"/>
                <w:szCs w:val="2"/>
              </w:rPr>
            </w:pPr>
          </w:p>
        </w:tc>
        <w:tc>
          <w:tcPr>
            <w:tcW w:w="954" w:type="dxa"/>
            <w:tcBorders>
              <w:top w:val="single" w:sz="4" w:space="0" w:color="000000"/>
              <w:bottom w:val="single" w:sz="4" w:space="0" w:color="000000"/>
            </w:tcBorders>
          </w:tcPr>
          <w:p w14:paraId="42DE37E2" w14:textId="77777777" w:rsidR="00AC6F3C" w:rsidRDefault="00570E88">
            <w:pPr>
              <w:pStyle w:val="TableParagraph"/>
              <w:spacing w:before="56"/>
              <w:ind w:left="107"/>
              <w:rPr>
                <w:b/>
                <w:sz w:val="18"/>
              </w:rPr>
            </w:pPr>
            <w:r>
              <w:rPr>
                <w:b/>
                <w:spacing w:val="-5"/>
                <w:sz w:val="18"/>
              </w:rPr>
              <w:t>C1.</w:t>
            </w:r>
          </w:p>
        </w:tc>
        <w:tc>
          <w:tcPr>
            <w:tcW w:w="5529" w:type="dxa"/>
            <w:tcBorders>
              <w:top w:val="single" w:sz="4" w:space="0" w:color="000000"/>
              <w:bottom w:val="single" w:sz="4" w:space="0" w:color="000000"/>
            </w:tcBorders>
          </w:tcPr>
          <w:p w14:paraId="6212B3D7" w14:textId="77777777" w:rsidR="00AC6F3C" w:rsidRDefault="00570E88">
            <w:pPr>
              <w:pStyle w:val="TableParagraph"/>
              <w:spacing w:before="56"/>
              <w:ind w:left="569"/>
              <w:rPr>
                <w:b/>
                <w:sz w:val="18"/>
              </w:rPr>
            </w:pPr>
            <w:r>
              <w:rPr>
                <w:b/>
                <w:spacing w:val="-2"/>
                <w:sz w:val="18"/>
              </w:rPr>
              <w:t>Cash</w:t>
            </w:r>
            <w:r>
              <w:rPr>
                <w:b/>
                <w:spacing w:val="-8"/>
                <w:sz w:val="18"/>
              </w:rPr>
              <w:t xml:space="preserve"> </w:t>
            </w:r>
            <w:r>
              <w:rPr>
                <w:b/>
                <w:spacing w:val="-2"/>
                <w:sz w:val="18"/>
              </w:rPr>
              <w:t>and</w:t>
            </w:r>
            <w:r>
              <w:rPr>
                <w:b/>
                <w:spacing w:val="-8"/>
                <w:sz w:val="18"/>
              </w:rPr>
              <w:t xml:space="preserve"> </w:t>
            </w:r>
            <w:r>
              <w:rPr>
                <w:b/>
                <w:spacing w:val="-2"/>
                <w:sz w:val="18"/>
              </w:rPr>
              <w:t>Cash</w:t>
            </w:r>
            <w:r>
              <w:rPr>
                <w:b/>
                <w:spacing w:val="-7"/>
                <w:sz w:val="18"/>
              </w:rPr>
              <w:t xml:space="preserve"> </w:t>
            </w:r>
            <w:r>
              <w:rPr>
                <w:b/>
                <w:spacing w:val="-2"/>
                <w:sz w:val="18"/>
              </w:rPr>
              <w:t>Equivalents</w:t>
            </w:r>
          </w:p>
        </w:tc>
        <w:tc>
          <w:tcPr>
            <w:tcW w:w="1029" w:type="dxa"/>
            <w:tcBorders>
              <w:top w:val="single" w:sz="4" w:space="0" w:color="000000"/>
              <w:bottom w:val="single" w:sz="4" w:space="0" w:color="000000"/>
            </w:tcBorders>
          </w:tcPr>
          <w:p w14:paraId="028A17AD" w14:textId="77777777" w:rsidR="00AC6F3C" w:rsidRDefault="00570E88">
            <w:pPr>
              <w:pStyle w:val="TableParagraph"/>
              <w:spacing w:before="56"/>
              <w:ind w:left="124" w:right="113"/>
              <w:jc w:val="center"/>
              <w:rPr>
                <w:b/>
                <w:sz w:val="18"/>
              </w:rPr>
            </w:pPr>
            <w:r>
              <w:rPr>
                <w:b/>
                <w:spacing w:val="-2"/>
                <w:sz w:val="18"/>
              </w:rPr>
              <w:t>Page</w:t>
            </w:r>
            <w:r>
              <w:rPr>
                <w:b/>
                <w:spacing w:val="-11"/>
                <w:sz w:val="18"/>
              </w:rPr>
              <w:t xml:space="preserve"> </w:t>
            </w:r>
            <w:r>
              <w:rPr>
                <w:b/>
                <w:spacing w:val="-5"/>
                <w:sz w:val="18"/>
              </w:rPr>
              <w:t>210</w:t>
            </w:r>
          </w:p>
        </w:tc>
      </w:tr>
      <w:tr w:rsidR="00AC6F3C" w14:paraId="3BB071A4" w14:textId="77777777">
        <w:trPr>
          <w:trHeight w:val="321"/>
        </w:trPr>
        <w:tc>
          <w:tcPr>
            <w:tcW w:w="1589" w:type="dxa"/>
            <w:vMerge/>
            <w:tcBorders>
              <w:top w:val="nil"/>
              <w:bottom w:val="single" w:sz="4" w:space="0" w:color="000000"/>
            </w:tcBorders>
          </w:tcPr>
          <w:p w14:paraId="4C8DC4BE" w14:textId="77777777" w:rsidR="00AC6F3C" w:rsidRDefault="00AC6F3C">
            <w:pPr>
              <w:rPr>
                <w:sz w:val="2"/>
                <w:szCs w:val="2"/>
              </w:rPr>
            </w:pPr>
          </w:p>
        </w:tc>
        <w:tc>
          <w:tcPr>
            <w:tcW w:w="954" w:type="dxa"/>
            <w:tcBorders>
              <w:top w:val="single" w:sz="4" w:space="0" w:color="000000"/>
              <w:bottom w:val="single" w:sz="4" w:space="0" w:color="000000"/>
            </w:tcBorders>
          </w:tcPr>
          <w:p w14:paraId="75C18BDF" w14:textId="77777777" w:rsidR="00AC6F3C" w:rsidRDefault="00570E88">
            <w:pPr>
              <w:pStyle w:val="TableParagraph"/>
              <w:spacing w:before="56"/>
              <w:ind w:left="107"/>
              <w:rPr>
                <w:b/>
                <w:sz w:val="18"/>
              </w:rPr>
            </w:pPr>
            <w:r>
              <w:rPr>
                <w:b/>
                <w:spacing w:val="-5"/>
                <w:sz w:val="18"/>
              </w:rPr>
              <w:t>C2.</w:t>
            </w:r>
          </w:p>
        </w:tc>
        <w:tc>
          <w:tcPr>
            <w:tcW w:w="5529" w:type="dxa"/>
            <w:tcBorders>
              <w:top w:val="single" w:sz="4" w:space="0" w:color="000000"/>
              <w:bottom w:val="single" w:sz="4" w:space="0" w:color="000000"/>
            </w:tcBorders>
          </w:tcPr>
          <w:p w14:paraId="1D1FD948" w14:textId="77777777" w:rsidR="00AC6F3C" w:rsidRDefault="00570E88">
            <w:pPr>
              <w:pStyle w:val="TableParagraph"/>
              <w:spacing w:before="56"/>
              <w:ind w:left="569"/>
              <w:rPr>
                <w:b/>
                <w:sz w:val="18"/>
              </w:rPr>
            </w:pPr>
            <w:r>
              <w:rPr>
                <w:b/>
                <w:spacing w:val="-2"/>
                <w:sz w:val="18"/>
              </w:rPr>
              <w:t>Receivables</w:t>
            </w:r>
          </w:p>
        </w:tc>
        <w:tc>
          <w:tcPr>
            <w:tcW w:w="1029" w:type="dxa"/>
            <w:tcBorders>
              <w:top w:val="single" w:sz="4" w:space="0" w:color="000000"/>
              <w:bottom w:val="single" w:sz="4" w:space="0" w:color="000000"/>
            </w:tcBorders>
          </w:tcPr>
          <w:p w14:paraId="69DF6EF4"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211</w:t>
            </w:r>
          </w:p>
        </w:tc>
      </w:tr>
      <w:tr w:rsidR="00AC6F3C" w14:paraId="1523281B" w14:textId="77777777">
        <w:trPr>
          <w:trHeight w:val="321"/>
        </w:trPr>
        <w:tc>
          <w:tcPr>
            <w:tcW w:w="1589" w:type="dxa"/>
            <w:vMerge/>
            <w:tcBorders>
              <w:top w:val="nil"/>
              <w:bottom w:val="single" w:sz="4" w:space="0" w:color="000000"/>
            </w:tcBorders>
          </w:tcPr>
          <w:p w14:paraId="7B0462BD" w14:textId="77777777" w:rsidR="00AC6F3C" w:rsidRDefault="00AC6F3C">
            <w:pPr>
              <w:rPr>
                <w:sz w:val="2"/>
                <w:szCs w:val="2"/>
              </w:rPr>
            </w:pPr>
          </w:p>
        </w:tc>
        <w:tc>
          <w:tcPr>
            <w:tcW w:w="954" w:type="dxa"/>
            <w:tcBorders>
              <w:top w:val="single" w:sz="4" w:space="0" w:color="000000"/>
              <w:bottom w:val="single" w:sz="4" w:space="0" w:color="000000"/>
            </w:tcBorders>
          </w:tcPr>
          <w:p w14:paraId="724CD568" w14:textId="77777777" w:rsidR="00AC6F3C" w:rsidRDefault="00570E88">
            <w:pPr>
              <w:pStyle w:val="TableParagraph"/>
              <w:spacing w:before="56"/>
              <w:ind w:left="107"/>
              <w:rPr>
                <w:b/>
                <w:sz w:val="18"/>
              </w:rPr>
            </w:pPr>
            <w:r>
              <w:rPr>
                <w:b/>
                <w:spacing w:val="-5"/>
                <w:sz w:val="18"/>
              </w:rPr>
              <w:t>C3.</w:t>
            </w:r>
          </w:p>
        </w:tc>
        <w:tc>
          <w:tcPr>
            <w:tcW w:w="5529" w:type="dxa"/>
            <w:tcBorders>
              <w:top w:val="single" w:sz="4" w:space="0" w:color="000000"/>
              <w:bottom w:val="single" w:sz="4" w:space="0" w:color="000000"/>
            </w:tcBorders>
          </w:tcPr>
          <w:p w14:paraId="08A3F497" w14:textId="77777777" w:rsidR="00AC6F3C" w:rsidRDefault="00570E88">
            <w:pPr>
              <w:pStyle w:val="TableParagraph"/>
              <w:spacing w:before="56"/>
              <w:ind w:left="569"/>
              <w:rPr>
                <w:b/>
                <w:sz w:val="18"/>
              </w:rPr>
            </w:pPr>
            <w:r>
              <w:rPr>
                <w:b/>
                <w:spacing w:val="-2"/>
                <w:sz w:val="18"/>
              </w:rPr>
              <w:t>Investments</w:t>
            </w:r>
          </w:p>
        </w:tc>
        <w:tc>
          <w:tcPr>
            <w:tcW w:w="1029" w:type="dxa"/>
            <w:tcBorders>
              <w:top w:val="single" w:sz="4" w:space="0" w:color="000000"/>
              <w:bottom w:val="single" w:sz="4" w:space="0" w:color="000000"/>
            </w:tcBorders>
          </w:tcPr>
          <w:p w14:paraId="14EAF76F"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211</w:t>
            </w:r>
          </w:p>
        </w:tc>
      </w:tr>
      <w:tr w:rsidR="00AC6F3C" w14:paraId="1D7222E9" w14:textId="77777777">
        <w:trPr>
          <w:trHeight w:val="321"/>
        </w:trPr>
        <w:tc>
          <w:tcPr>
            <w:tcW w:w="1589" w:type="dxa"/>
            <w:vMerge/>
            <w:tcBorders>
              <w:top w:val="nil"/>
              <w:bottom w:val="single" w:sz="4" w:space="0" w:color="000000"/>
            </w:tcBorders>
          </w:tcPr>
          <w:p w14:paraId="00C651EE" w14:textId="77777777" w:rsidR="00AC6F3C" w:rsidRDefault="00AC6F3C">
            <w:pPr>
              <w:rPr>
                <w:sz w:val="2"/>
                <w:szCs w:val="2"/>
              </w:rPr>
            </w:pPr>
          </w:p>
        </w:tc>
        <w:tc>
          <w:tcPr>
            <w:tcW w:w="954" w:type="dxa"/>
            <w:tcBorders>
              <w:top w:val="single" w:sz="4" w:space="0" w:color="000000"/>
              <w:bottom w:val="single" w:sz="4" w:space="0" w:color="000000"/>
            </w:tcBorders>
          </w:tcPr>
          <w:p w14:paraId="5341BAD4" w14:textId="77777777" w:rsidR="00AC6F3C" w:rsidRDefault="00570E88">
            <w:pPr>
              <w:pStyle w:val="TableParagraph"/>
              <w:spacing w:before="56"/>
              <w:ind w:left="107"/>
              <w:rPr>
                <w:b/>
                <w:sz w:val="18"/>
              </w:rPr>
            </w:pPr>
            <w:r>
              <w:rPr>
                <w:b/>
                <w:spacing w:val="-5"/>
                <w:sz w:val="18"/>
              </w:rPr>
              <w:t>C4.</w:t>
            </w:r>
          </w:p>
        </w:tc>
        <w:tc>
          <w:tcPr>
            <w:tcW w:w="5529" w:type="dxa"/>
            <w:tcBorders>
              <w:top w:val="single" w:sz="4" w:space="0" w:color="000000"/>
              <w:bottom w:val="single" w:sz="4" w:space="0" w:color="000000"/>
            </w:tcBorders>
          </w:tcPr>
          <w:p w14:paraId="1BA926AB" w14:textId="77777777" w:rsidR="00AC6F3C" w:rsidRDefault="00570E88">
            <w:pPr>
              <w:pStyle w:val="TableParagraph"/>
              <w:spacing w:before="56"/>
              <w:ind w:left="569"/>
              <w:rPr>
                <w:b/>
                <w:sz w:val="18"/>
              </w:rPr>
            </w:pPr>
            <w:r>
              <w:rPr>
                <w:b/>
                <w:spacing w:val="-2"/>
                <w:sz w:val="18"/>
              </w:rPr>
              <w:t>Payables</w:t>
            </w:r>
          </w:p>
        </w:tc>
        <w:tc>
          <w:tcPr>
            <w:tcW w:w="1029" w:type="dxa"/>
            <w:tcBorders>
              <w:top w:val="single" w:sz="4" w:space="0" w:color="000000"/>
              <w:bottom w:val="single" w:sz="4" w:space="0" w:color="000000"/>
            </w:tcBorders>
          </w:tcPr>
          <w:p w14:paraId="433D3048"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212</w:t>
            </w:r>
          </w:p>
        </w:tc>
      </w:tr>
      <w:tr w:rsidR="00AC6F3C" w14:paraId="0477BE77" w14:textId="77777777">
        <w:trPr>
          <w:trHeight w:val="321"/>
        </w:trPr>
        <w:tc>
          <w:tcPr>
            <w:tcW w:w="1589" w:type="dxa"/>
            <w:vMerge/>
            <w:tcBorders>
              <w:top w:val="nil"/>
              <w:bottom w:val="single" w:sz="4" w:space="0" w:color="000000"/>
            </w:tcBorders>
          </w:tcPr>
          <w:p w14:paraId="3EB1F593" w14:textId="77777777" w:rsidR="00AC6F3C" w:rsidRDefault="00AC6F3C">
            <w:pPr>
              <w:rPr>
                <w:sz w:val="2"/>
                <w:szCs w:val="2"/>
              </w:rPr>
            </w:pPr>
          </w:p>
        </w:tc>
        <w:tc>
          <w:tcPr>
            <w:tcW w:w="954" w:type="dxa"/>
            <w:tcBorders>
              <w:top w:val="single" w:sz="4" w:space="0" w:color="000000"/>
              <w:bottom w:val="single" w:sz="4" w:space="0" w:color="000000"/>
            </w:tcBorders>
          </w:tcPr>
          <w:p w14:paraId="4C26D355" w14:textId="77777777" w:rsidR="00AC6F3C" w:rsidRDefault="00570E88">
            <w:pPr>
              <w:pStyle w:val="TableParagraph"/>
              <w:spacing w:before="56"/>
              <w:ind w:left="107"/>
              <w:rPr>
                <w:b/>
                <w:sz w:val="18"/>
              </w:rPr>
            </w:pPr>
            <w:r>
              <w:rPr>
                <w:b/>
                <w:spacing w:val="-5"/>
                <w:sz w:val="18"/>
              </w:rPr>
              <w:t>C5.</w:t>
            </w:r>
          </w:p>
        </w:tc>
        <w:tc>
          <w:tcPr>
            <w:tcW w:w="5529" w:type="dxa"/>
            <w:tcBorders>
              <w:top w:val="single" w:sz="4" w:space="0" w:color="000000"/>
              <w:bottom w:val="single" w:sz="4" w:space="0" w:color="000000"/>
            </w:tcBorders>
          </w:tcPr>
          <w:p w14:paraId="08862FEF" w14:textId="77777777" w:rsidR="00AC6F3C" w:rsidRDefault="00570E88">
            <w:pPr>
              <w:pStyle w:val="TableParagraph"/>
              <w:spacing w:before="56"/>
              <w:ind w:left="569"/>
              <w:rPr>
                <w:b/>
                <w:sz w:val="18"/>
              </w:rPr>
            </w:pPr>
            <w:r>
              <w:rPr>
                <w:b/>
                <w:spacing w:val="-2"/>
                <w:sz w:val="18"/>
              </w:rPr>
              <w:t>Income</w:t>
            </w:r>
            <w:r>
              <w:rPr>
                <w:b/>
                <w:spacing w:val="-8"/>
                <w:sz w:val="18"/>
              </w:rPr>
              <w:t xml:space="preserve"> </w:t>
            </w:r>
            <w:r>
              <w:rPr>
                <w:b/>
                <w:spacing w:val="-2"/>
                <w:sz w:val="18"/>
              </w:rPr>
              <w:t>in</w:t>
            </w:r>
            <w:r>
              <w:rPr>
                <w:b/>
                <w:spacing w:val="-8"/>
                <w:sz w:val="18"/>
              </w:rPr>
              <w:t xml:space="preserve"> </w:t>
            </w:r>
            <w:r>
              <w:rPr>
                <w:b/>
                <w:spacing w:val="-2"/>
                <w:sz w:val="18"/>
              </w:rPr>
              <w:t>Advance</w:t>
            </w:r>
          </w:p>
        </w:tc>
        <w:tc>
          <w:tcPr>
            <w:tcW w:w="1029" w:type="dxa"/>
            <w:tcBorders>
              <w:top w:val="single" w:sz="4" w:space="0" w:color="000000"/>
              <w:bottom w:val="single" w:sz="4" w:space="0" w:color="000000"/>
            </w:tcBorders>
          </w:tcPr>
          <w:p w14:paraId="1EE9A550"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213</w:t>
            </w:r>
          </w:p>
        </w:tc>
      </w:tr>
      <w:tr w:rsidR="00AC6F3C" w14:paraId="5C73F7E8" w14:textId="77777777">
        <w:trPr>
          <w:trHeight w:val="321"/>
        </w:trPr>
        <w:tc>
          <w:tcPr>
            <w:tcW w:w="1589" w:type="dxa"/>
            <w:vMerge/>
            <w:tcBorders>
              <w:top w:val="nil"/>
              <w:bottom w:val="single" w:sz="4" w:space="0" w:color="000000"/>
            </w:tcBorders>
          </w:tcPr>
          <w:p w14:paraId="00D28AE4" w14:textId="77777777" w:rsidR="00AC6F3C" w:rsidRDefault="00AC6F3C">
            <w:pPr>
              <w:rPr>
                <w:sz w:val="2"/>
                <w:szCs w:val="2"/>
              </w:rPr>
            </w:pPr>
          </w:p>
        </w:tc>
        <w:tc>
          <w:tcPr>
            <w:tcW w:w="954" w:type="dxa"/>
            <w:tcBorders>
              <w:top w:val="single" w:sz="4" w:space="0" w:color="000000"/>
              <w:bottom w:val="single" w:sz="4" w:space="0" w:color="000000"/>
            </w:tcBorders>
          </w:tcPr>
          <w:p w14:paraId="2826EE06" w14:textId="77777777" w:rsidR="00AC6F3C" w:rsidRDefault="00570E88">
            <w:pPr>
              <w:pStyle w:val="TableParagraph"/>
              <w:spacing w:before="56"/>
              <w:ind w:left="107"/>
              <w:rPr>
                <w:b/>
                <w:sz w:val="18"/>
              </w:rPr>
            </w:pPr>
            <w:r>
              <w:rPr>
                <w:b/>
                <w:spacing w:val="-5"/>
                <w:sz w:val="18"/>
              </w:rPr>
              <w:t>C6.</w:t>
            </w:r>
          </w:p>
        </w:tc>
        <w:tc>
          <w:tcPr>
            <w:tcW w:w="5529" w:type="dxa"/>
            <w:tcBorders>
              <w:top w:val="single" w:sz="4" w:space="0" w:color="000000"/>
              <w:bottom w:val="single" w:sz="4" w:space="0" w:color="000000"/>
            </w:tcBorders>
          </w:tcPr>
          <w:p w14:paraId="78862190" w14:textId="77777777" w:rsidR="00AC6F3C" w:rsidRDefault="00570E88">
            <w:pPr>
              <w:pStyle w:val="TableParagraph"/>
              <w:spacing w:before="56"/>
              <w:ind w:left="569"/>
              <w:rPr>
                <w:b/>
                <w:sz w:val="18"/>
              </w:rPr>
            </w:pPr>
            <w:r>
              <w:rPr>
                <w:b/>
                <w:spacing w:val="-4"/>
                <w:sz w:val="18"/>
              </w:rPr>
              <w:t>Provision</w:t>
            </w:r>
            <w:r>
              <w:rPr>
                <w:b/>
                <w:spacing w:val="-2"/>
                <w:sz w:val="18"/>
              </w:rPr>
              <w:t xml:space="preserve"> </w:t>
            </w:r>
            <w:r>
              <w:rPr>
                <w:b/>
                <w:spacing w:val="-4"/>
                <w:sz w:val="18"/>
              </w:rPr>
              <w:t>for</w:t>
            </w:r>
            <w:r>
              <w:rPr>
                <w:b/>
                <w:spacing w:val="3"/>
                <w:sz w:val="18"/>
              </w:rPr>
              <w:t xml:space="preserve"> </w:t>
            </w:r>
            <w:r>
              <w:rPr>
                <w:b/>
                <w:spacing w:val="-4"/>
                <w:sz w:val="18"/>
              </w:rPr>
              <w:t>Notified</w:t>
            </w:r>
            <w:r>
              <w:rPr>
                <w:b/>
                <w:spacing w:val="4"/>
                <w:sz w:val="18"/>
              </w:rPr>
              <w:t xml:space="preserve"> </w:t>
            </w:r>
            <w:r>
              <w:rPr>
                <w:b/>
                <w:spacing w:val="-4"/>
                <w:sz w:val="18"/>
              </w:rPr>
              <w:t>Claims</w:t>
            </w:r>
          </w:p>
        </w:tc>
        <w:tc>
          <w:tcPr>
            <w:tcW w:w="1029" w:type="dxa"/>
            <w:tcBorders>
              <w:top w:val="single" w:sz="4" w:space="0" w:color="000000"/>
              <w:bottom w:val="single" w:sz="4" w:space="0" w:color="000000"/>
            </w:tcBorders>
          </w:tcPr>
          <w:p w14:paraId="4CC27E4C"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213</w:t>
            </w:r>
          </w:p>
        </w:tc>
      </w:tr>
      <w:tr w:rsidR="00AC6F3C" w14:paraId="24F15AE1" w14:textId="77777777">
        <w:trPr>
          <w:trHeight w:val="321"/>
        </w:trPr>
        <w:tc>
          <w:tcPr>
            <w:tcW w:w="1589" w:type="dxa"/>
            <w:vMerge/>
            <w:tcBorders>
              <w:top w:val="nil"/>
              <w:bottom w:val="single" w:sz="4" w:space="0" w:color="000000"/>
            </w:tcBorders>
          </w:tcPr>
          <w:p w14:paraId="67FA785D" w14:textId="77777777" w:rsidR="00AC6F3C" w:rsidRDefault="00AC6F3C">
            <w:pPr>
              <w:rPr>
                <w:sz w:val="2"/>
                <w:szCs w:val="2"/>
              </w:rPr>
            </w:pPr>
          </w:p>
        </w:tc>
        <w:tc>
          <w:tcPr>
            <w:tcW w:w="954" w:type="dxa"/>
            <w:tcBorders>
              <w:top w:val="single" w:sz="4" w:space="0" w:color="000000"/>
              <w:bottom w:val="single" w:sz="4" w:space="0" w:color="000000"/>
            </w:tcBorders>
          </w:tcPr>
          <w:p w14:paraId="0EE87602" w14:textId="77777777" w:rsidR="00AC6F3C" w:rsidRDefault="00570E88">
            <w:pPr>
              <w:pStyle w:val="TableParagraph"/>
              <w:spacing w:before="56"/>
              <w:ind w:left="107"/>
              <w:rPr>
                <w:b/>
                <w:sz w:val="18"/>
              </w:rPr>
            </w:pPr>
            <w:r>
              <w:rPr>
                <w:b/>
                <w:spacing w:val="-5"/>
                <w:sz w:val="18"/>
              </w:rPr>
              <w:t>D1.</w:t>
            </w:r>
          </w:p>
        </w:tc>
        <w:tc>
          <w:tcPr>
            <w:tcW w:w="5529" w:type="dxa"/>
            <w:tcBorders>
              <w:top w:val="single" w:sz="4" w:space="0" w:color="000000"/>
              <w:bottom w:val="single" w:sz="4" w:space="0" w:color="000000"/>
            </w:tcBorders>
          </w:tcPr>
          <w:p w14:paraId="0703E5A0" w14:textId="77777777" w:rsidR="00AC6F3C" w:rsidRDefault="00570E88">
            <w:pPr>
              <w:pStyle w:val="TableParagraph"/>
              <w:spacing w:before="56"/>
              <w:ind w:left="569"/>
              <w:rPr>
                <w:b/>
                <w:sz w:val="18"/>
              </w:rPr>
            </w:pPr>
            <w:r>
              <w:rPr>
                <w:b/>
                <w:spacing w:val="-4"/>
                <w:sz w:val="18"/>
              </w:rPr>
              <w:t>Critical</w:t>
            </w:r>
            <w:r>
              <w:rPr>
                <w:b/>
                <w:spacing w:val="3"/>
                <w:sz w:val="18"/>
              </w:rPr>
              <w:t xml:space="preserve"> </w:t>
            </w:r>
            <w:r>
              <w:rPr>
                <w:b/>
                <w:spacing w:val="-4"/>
                <w:sz w:val="18"/>
              </w:rPr>
              <w:t>Accounting</w:t>
            </w:r>
            <w:r>
              <w:rPr>
                <w:b/>
                <w:sz w:val="18"/>
              </w:rPr>
              <w:t xml:space="preserve"> </w:t>
            </w:r>
            <w:r>
              <w:rPr>
                <w:b/>
                <w:spacing w:val="-4"/>
                <w:sz w:val="18"/>
              </w:rPr>
              <w:t>Estimates</w:t>
            </w:r>
            <w:r>
              <w:rPr>
                <w:b/>
                <w:spacing w:val="3"/>
                <w:sz w:val="18"/>
              </w:rPr>
              <w:t xml:space="preserve"> </w:t>
            </w:r>
            <w:r>
              <w:rPr>
                <w:b/>
                <w:spacing w:val="-4"/>
                <w:sz w:val="18"/>
              </w:rPr>
              <w:t>and</w:t>
            </w:r>
            <w:r>
              <w:rPr>
                <w:b/>
                <w:sz w:val="18"/>
              </w:rPr>
              <w:t xml:space="preserve"> </w:t>
            </w:r>
            <w:r>
              <w:rPr>
                <w:b/>
                <w:spacing w:val="-4"/>
                <w:sz w:val="18"/>
              </w:rPr>
              <w:t>Judgements</w:t>
            </w:r>
          </w:p>
        </w:tc>
        <w:tc>
          <w:tcPr>
            <w:tcW w:w="1029" w:type="dxa"/>
            <w:tcBorders>
              <w:top w:val="single" w:sz="4" w:space="0" w:color="000000"/>
              <w:bottom w:val="single" w:sz="4" w:space="0" w:color="000000"/>
            </w:tcBorders>
          </w:tcPr>
          <w:p w14:paraId="3B8CD5C3"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213</w:t>
            </w:r>
          </w:p>
        </w:tc>
      </w:tr>
      <w:tr w:rsidR="00AC6F3C" w14:paraId="13E35310" w14:textId="77777777">
        <w:trPr>
          <w:trHeight w:val="318"/>
        </w:trPr>
        <w:tc>
          <w:tcPr>
            <w:tcW w:w="1589" w:type="dxa"/>
            <w:vMerge/>
            <w:tcBorders>
              <w:top w:val="nil"/>
              <w:bottom w:val="single" w:sz="4" w:space="0" w:color="000000"/>
            </w:tcBorders>
          </w:tcPr>
          <w:p w14:paraId="5A3836B0" w14:textId="77777777" w:rsidR="00AC6F3C" w:rsidRDefault="00AC6F3C">
            <w:pPr>
              <w:rPr>
                <w:sz w:val="2"/>
                <w:szCs w:val="2"/>
              </w:rPr>
            </w:pPr>
          </w:p>
        </w:tc>
        <w:tc>
          <w:tcPr>
            <w:tcW w:w="954" w:type="dxa"/>
            <w:tcBorders>
              <w:top w:val="single" w:sz="4" w:space="0" w:color="000000"/>
              <w:bottom w:val="single" w:sz="4" w:space="0" w:color="000000"/>
            </w:tcBorders>
          </w:tcPr>
          <w:p w14:paraId="3996ECAF" w14:textId="77777777" w:rsidR="00AC6F3C" w:rsidRDefault="00570E88">
            <w:pPr>
              <w:pStyle w:val="TableParagraph"/>
              <w:spacing w:before="54"/>
              <w:ind w:left="107"/>
              <w:rPr>
                <w:b/>
                <w:sz w:val="18"/>
              </w:rPr>
            </w:pPr>
            <w:r>
              <w:rPr>
                <w:b/>
                <w:spacing w:val="-5"/>
                <w:sz w:val="18"/>
              </w:rPr>
              <w:t>D2.</w:t>
            </w:r>
          </w:p>
        </w:tc>
        <w:tc>
          <w:tcPr>
            <w:tcW w:w="5529" w:type="dxa"/>
            <w:tcBorders>
              <w:top w:val="single" w:sz="4" w:space="0" w:color="000000"/>
              <w:bottom w:val="single" w:sz="4" w:space="0" w:color="000000"/>
            </w:tcBorders>
          </w:tcPr>
          <w:p w14:paraId="6E02BAE1" w14:textId="77777777" w:rsidR="00AC6F3C" w:rsidRDefault="00570E88">
            <w:pPr>
              <w:pStyle w:val="TableParagraph"/>
              <w:spacing w:before="54"/>
              <w:ind w:left="569"/>
              <w:rPr>
                <w:b/>
                <w:sz w:val="18"/>
              </w:rPr>
            </w:pPr>
            <w:r>
              <w:rPr>
                <w:b/>
                <w:spacing w:val="-4"/>
                <w:sz w:val="18"/>
              </w:rPr>
              <w:t>Financial</w:t>
            </w:r>
            <w:r>
              <w:rPr>
                <w:b/>
                <w:spacing w:val="1"/>
                <w:sz w:val="18"/>
              </w:rPr>
              <w:t xml:space="preserve"> </w:t>
            </w:r>
            <w:r>
              <w:rPr>
                <w:b/>
                <w:spacing w:val="-4"/>
                <w:sz w:val="18"/>
              </w:rPr>
              <w:t>Instruments</w:t>
            </w:r>
            <w:r>
              <w:rPr>
                <w:b/>
                <w:spacing w:val="2"/>
                <w:sz w:val="18"/>
              </w:rPr>
              <w:t xml:space="preserve"> </w:t>
            </w:r>
            <w:r>
              <w:rPr>
                <w:b/>
                <w:spacing w:val="-4"/>
                <w:sz w:val="18"/>
              </w:rPr>
              <w:t>and</w:t>
            </w:r>
            <w:r>
              <w:rPr>
                <w:b/>
                <w:spacing w:val="1"/>
                <w:sz w:val="18"/>
              </w:rPr>
              <w:t xml:space="preserve"> </w:t>
            </w:r>
            <w:r>
              <w:rPr>
                <w:b/>
                <w:spacing w:val="-4"/>
                <w:sz w:val="18"/>
              </w:rPr>
              <w:t>Financial</w:t>
            </w:r>
            <w:r>
              <w:rPr>
                <w:b/>
                <w:spacing w:val="1"/>
                <w:sz w:val="18"/>
              </w:rPr>
              <w:t xml:space="preserve"> </w:t>
            </w:r>
            <w:r>
              <w:rPr>
                <w:b/>
                <w:spacing w:val="-4"/>
                <w:sz w:val="18"/>
              </w:rPr>
              <w:t>Risk</w:t>
            </w:r>
            <w:r>
              <w:rPr>
                <w:b/>
                <w:spacing w:val="2"/>
                <w:sz w:val="18"/>
              </w:rPr>
              <w:t xml:space="preserve"> </w:t>
            </w:r>
            <w:r>
              <w:rPr>
                <w:b/>
                <w:spacing w:val="-4"/>
                <w:sz w:val="18"/>
              </w:rPr>
              <w:t>Management</w:t>
            </w:r>
          </w:p>
        </w:tc>
        <w:tc>
          <w:tcPr>
            <w:tcW w:w="1029" w:type="dxa"/>
            <w:tcBorders>
              <w:top w:val="single" w:sz="4" w:space="0" w:color="000000"/>
              <w:bottom w:val="single" w:sz="4" w:space="0" w:color="000000"/>
            </w:tcBorders>
          </w:tcPr>
          <w:p w14:paraId="79C84A9D" w14:textId="77777777" w:rsidR="00AC6F3C" w:rsidRDefault="00570E88">
            <w:pPr>
              <w:pStyle w:val="TableParagraph"/>
              <w:spacing w:before="54"/>
              <w:ind w:left="126" w:right="110"/>
              <w:jc w:val="center"/>
              <w:rPr>
                <w:b/>
                <w:sz w:val="18"/>
              </w:rPr>
            </w:pPr>
            <w:r>
              <w:rPr>
                <w:b/>
                <w:spacing w:val="-2"/>
                <w:sz w:val="18"/>
              </w:rPr>
              <w:t>Page</w:t>
            </w:r>
            <w:r>
              <w:rPr>
                <w:b/>
                <w:spacing w:val="-11"/>
                <w:sz w:val="18"/>
              </w:rPr>
              <w:t xml:space="preserve"> </w:t>
            </w:r>
            <w:r>
              <w:rPr>
                <w:b/>
                <w:spacing w:val="-5"/>
                <w:sz w:val="18"/>
              </w:rPr>
              <w:t>214</w:t>
            </w:r>
          </w:p>
        </w:tc>
      </w:tr>
      <w:tr w:rsidR="00AC6F3C" w14:paraId="1D06A98B" w14:textId="77777777">
        <w:trPr>
          <w:trHeight w:val="321"/>
        </w:trPr>
        <w:tc>
          <w:tcPr>
            <w:tcW w:w="1589" w:type="dxa"/>
            <w:vMerge/>
            <w:tcBorders>
              <w:top w:val="nil"/>
              <w:bottom w:val="single" w:sz="4" w:space="0" w:color="000000"/>
            </w:tcBorders>
          </w:tcPr>
          <w:p w14:paraId="12F64131" w14:textId="77777777" w:rsidR="00AC6F3C" w:rsidRDefault="00AC6F3C">
            <w:pPr>
              <w:rPr>
                <w:sz w:val="2"/>
                <w:szCs w:val="2"/>
              </w:rPr>
            </w:pPr>
          </w:p>
        </w:tc>
        <w:tc>
          <w:tcPr>
            <w:tcW w:w="954" w:type="dxa"/>
            <w:tcBorders>
              <w:top w:val="single" w:sz="4" w:space="0" w:color="000000"/>
              <w:bottom w:val="single" w:sz="4" w:space="0" w:color="000000"/>
            </w:tcBorders>
          </w:tcPr>
          <w:p w14:paraId="0C2FA702" w14:textId="77777777" w:rsidR="00AC6F3C" w:rsidRDefault="00570E88">
            <w:pPr>
              <w:pStyle w:val="TableParagraph"/>
              <w:spacing w:before="56"/>
              <w:ind w:left="107"/>
              <w:rPr>
                <w:b/>
                <w:sz w:val="18"/>
              </w:rPr>
            </w:pPr>
            <w:r>
              <w:rPr>
                <w:b/>
                <w:spacing w:val="-5"/>
                <w:sz w:val="18"/>
              </w:rPr>
              <w:t>D3.</w:t>
            </w:r>
          </w:p>
        </w:tc>
        <w:tc>
          <w:tcPr>
            <w:tcW w:w="5529" w:type="dxa"/>
            <w:tcBorders>
              <w:top w:val="single" w:sz="4" w:space="0" w:color="000000"/>
              <w:bottom w:val="single" w:sz="4" w:space="0" w:color="000000"/>
            </w:tcBorders>
          </w:tcPr>
          <w:p w14:paraId="1B269FAA" w14:textId="77777777" w:rsidR="00AC6F3C" w:rsidRDefault="00570E88">
            <w:pPr>
              <w:pStyle w:val="TableParagraph"/>
              <w:spacing w:before="56"/>
              <w:ind w:left="569"/>
              <w:rPr>
                <w:b/>
                <w:sz w:val="18"/>
              </w:rPr>
            </w:pPr>
            <w:r>
              <w:rPr>
                <w:b/>
                <w:spacing w:val="-4"/>
                <w:sz w:val="18"/>
              </w:rPr>
              <w:t>Contingent</w:t>
            </w:r>
            <w:r>
              <w:rPr>
                <w:b/>
                <w:sz w:val="18"/>
              </w:rPr>
              <w:t xml:space="preserve"> </w:t>
            </w:r>
            <w:r>
              <w:rPr>
                <w:b/>
                <w:spacing w:val="-4"/>
                <w:sz w:val="18"/>
              </w:rPr>
              <w:t>Liabilities</w:t>
            </w:r>
            <w:r>
              <w:rPr>
                <w:b/>
                <w:sz w:val="18"/>
              </w:rPr>
              <w:t xml:space="preserve"> </w:t>
            </w:r>
            <w:r>
              <w:rPr>
                <w:b/>
                <w:spacing w:val="-4"/>
                <w:sz w:val="18"/>
              </w:rPr>
              <w:t>and</w:t>
            </w:r>
            <w:r>
              <w:rPr>
                <w:b/>
                <w:spacing w:val="4"/>
                <w:sz w:val="18"/>
              </w:rPr>
              <w:t xml:space="preserve"> </w:t>
            </w:r>
            <w:r>
              <w:rPr>
                <w:b/>
                <w:spacing w:val="-4"/>
                <w:sz w:val="18"/>
              </w:rPr>
              <w:t>Events</w:t>
            </w:r>
            <w:r>
              <w:rPr>
                <w:b/>
                <w:spacing w:val="4"/>
                <w:sz w:val="18"/>
              </w:rPr>
              <w:t xml:space="preserve"> </w:t>
            </w:r>
            <w:r>
              <w:rPr>
                <w:b/>
                <w:spacing w:val="-4"/>
                <w:sz w:val="18"/>
              </w:rPr>
              <w:t>After</w:t>
            </w:r>
            <w:r>
              <w:rPr>
                <w:b/>
                <w:sz w:val="18"/>
              </w:rPr>
              <w:t xml:space="preserve"> </w:t>
            </w:r>
            <w:r>
              <w:rPr>
                <w:b/>
                <w:spacing w:val="-4"/>
                <w:sz w:val="18"/>
              </w:rPr>
              <w:t>Balance</w:t>
            </w:r>
            <w:r>
              <w:rPr>
                <w:b/>
                <w:spacing w:val="4"/>
                <w:sz w:val="18"/>
              </w:rPr>
              <w:t xml:space="preserve"> </w:t>
            </w:r>
            <w:r>
              <w:rPr>
                <w:b/>
                <w:spacing w:val="-4"/>
                <w:sz w:val="18"/>
              </w:rPr>
              <w:t>Date</w:t>
            </w:r>
          </w:p>
        </w:tc>
        <w:tc>
          <w:tcPr>
            <w:tcW w:w="1029" w:type="dxa"/>
            <w:tcBorders>
              <w:top w:val="single" w:sz="4" w:space="0" w:color="000000"/>
              <w:bottom w:val="single" w:sz="4" w:space="0" w:color="000000"/>
            </w:tcBorders>
          </w:tcPr>
          <w:p w14:paraId="33C80F7B"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215</w:t>
            </w:r>
          </w:p>
        </w:tc>
      </w:tr>
      <w:tr w:rsidR="00AC6F3C" w14:paraId="49833E83" w14:textId="77777777">
        <w:trPr>
          <w:trHeight w:val="321"/>
        </w:trPr>
        <w:tc>
          <w:tcPr>
            <w:tcW w:w="1589" w:type="dxa"/>
            <w:vMerge/>
            <w:tcBorders>
              <w:top w:val="nil"/>
              <w:bottom w:val="single" w:sz="4" w:space="0" w:color="000000"/>
            </w:tcBorders>
          </w:tcPr>
          <w:p w14:paraId="23A2F464" w14:textId="77777777" w:rsidR="00AC6F3C" w:rsidRDefault="00AC6F3C">
            <w:pPr>
              <w:rPr>
                <w:sz w:val="2"/>
                <w:szCs w:val="2"/>
              </w:rPr>
            </w:pPr>
          </w:p>
        </w:tc>
        <w:tc>
          <w:tcPr>
            <w:tcW w:w="954" w:type="dxa"/>
            <w:tcBorders>
              <w:top w:val="single" w:sz="4" w:space="0" w:color="000000"/>
              <w:bottom w:val="single" w:sz="4" w:space="0" w:color="000000"/>
            </w:tcBorders>
          </w:tcPr>
          <w:p w14:paraId="3D867153" w14:textId="77777777" w:rsidR="00AC6F3C" w:rsidRDefault="00570E88">
            <w:pPr>
              <w:pStyle w:val="TableParagraph"/>
              <w:spacing w:before="56"/>
              <w:ind w:left="107"/>
              <w:rPr>
                <w:b/>
                <w:sz w:val="18"/>
              </w:rPr>
            </w:pPr>
            <w:r>
              <w:rPr>
                <w:b/>
                <w:spacing w:val="-5"/>
                <w:sz w:val="18"/>
              </w:rPr>
              <w:t>E1.</w:t>
            </w:r>
          </w:p>
        </w:tc>
        <w:tc>
          <w:tcPr>
            <w:tcW w:w="5529" w:type="dxa"/>
            <w:tcBorders>
              <w:top w:val="single" w:sz="4" w:space="0" w:color="000000"/>
              <w:bottom w:val="single" w:sz="4" w:space="0" w:color="000000"/>
            </w:tcBorders>
          </w:tcPr>
          <w:p w14:paraId="69B6648D" w14:textId="77777777" w:rsidR="00AC6F3C" w:rsidRDefault="00570E88">
            <w:pPr>
              <w:pStyle w:val="TableParagraph"/>
              <w:spacing w:before="56"/>
              <w:ind w:left="569"/>
              <w:rPr>
                <w:b/>
                <w:sz w:val="18"/>
              </w:rPr>
            </w:pPr>
            <w:r>
              <w:rPr>
                <w:b/>
                <w:spacing w:val="-4"/>
                <w:sz w:val="18"/>
              </w:rPr>
              <w:t>Related</w:t>
            </w:r>
            <w:r>
              <w:rPr>
                <w:b/>
                <w:sz w:val="18"/>
              </w:rPr>
              <w:t xml:space="preserve"> </w:t>
            </w:r>
            <w:r>
              <w:rPr>
                <w:b/>
                <w:spacing w:val="-4"/>
                <w:sz w:val="18"/>
              </w:rPr>
              <w:t>Party</w:t>
            </w:r>
            <w:r>
              <w:rPr>
                <w:b/>
                <w:sz w:val="18"/>
              </w:rPr>
              <w:t xml:space="preserve"> </w:t>
            </w:r>
            <w:r>
              <w:rPr>
                <w:b/>
                <w:spacing w:val="-4"/>
                <w:sz w:val="18"/>
              </w:rPr>
              <w:t>Transactions</w:t>
            </w:r>
          </w:p>
        </w:tc>
        <w:tc>
          <w:tcPr>
            <w:tcW w:w="1029" w:type="dxa"/>
            <w:tcBorders>
              <w:top w:val="single" w:sz="4" w:space="0" w:color="000000"/>
              <w:bottom w:val="single" w:sz="4" w:space="0" w:color="000000"/>
            </w:tcBorders>
          </w:tcPr>
          <w:p w14:paraId="153C688A"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215</w:t>
            </w:r>
          </w:p>
        </w:tc>
      </w:tr>
      <w:tr w:rsidR="00AC6F3C" w14:paraId="09D2F57A" w14:textId="77777777">
        <w:trPr>
          <w:trHeight w:val="527"/>
        </w:trPr>
        <w:tc>
          <w:tcPr>
            <w:tcW w:w="1589" w:type="dxa"/>
            <w:vMerge/>
            <w:tcBorders>
              <w:top w:val="nil"/>
              <w:bottom w:val="single" w:sz="4" w:space="0" w:color="000000"/>
            </w:tcBorders>
          </w:tcPr>
          <w:p w14:paraId="4B021343" w14:textId="77777777" w:rsidR="00AC6F3C" w:rsidRDefault="00AC6F3C">
            <w:pPr>
              <w:rPr>
                <w:sz w:val="2"/>
                <w:szCs w:val="2"/>
              </w:rPr>
            </w:pPr>
          </w:p>
        </w:tc>
        <w:tc>
          <w:tcPr>
            <w:tcW w:w="954" w:type="dxa"/>
            <w:tcBorders>
              <w:top w:val="single" w:sz="4" w:space="0" w:color="000000"/>
              <w:bottom w:val="single" w:sz="4" w:space="0" w:color="000000"/>
            </w:tcBorders>
          </w:tcPr>
          <w:p w14:paraId="29A9CBDB" w14:textId="77777777" w:rsidR="00AC6F3C" w:rsidRDefault="00570E88">
            <w:pPr>
              <w:pStyle w:val="TableParagraph"/>
              <w:spacing w:before="56"/>
              <w:ind w:left="107"/>
              <w:rPr>
                <w:b/>
                <w:sz w:val="18"/>
              </w:rPr>
            </w:pPr>
            <w:r>
              <w:rPr>
                <w:b/>
                <w:spacing w:val="-5"/>
                <w:sz w:val="18"/>
              </w:rPr>
              <w:t>E2.</w:t>
            </w:r>
          </w:p>
        </w:tc>
        <w:tc>
          <w:tcPr>
            <w:tcW w:w="5529" w:type="dxa"/>
            <w:tcBorders>
              <w:top w:val="single" w:sz="4" w:space="0" w:color="000000"/>
              <w:bottom w:val="single" w:sz="4" w:space="0" w:color="000000"/>
            </w:tcBorders>
          </w:tcPr>
          <w:p w14:paraId="71FE5437" w14:textId="77777777" w:rsidR="00AC6F3C" w:rsidRDefault="00570E88">
            <w:pPr>
              <w:pStyle w:val="TableParagraph"/>
              <w:spacing w:before="56"/>
              <w:ind w:left="569" w:right="405"/>
              <w:rPr>
                <w:b/>
                <w:sz w:val="18"/>
              </w:rPr>
            </w:pPr>
            <w:r>
              <w:rPr>
                <w:b/>
                <w:spacing w:val="-2"/>
                <w:sz w:val="18"/>
              </w:rPr>
              <w:t>First</w:t>
            </w:r>
            <w:r>
              <w:rPr>
                <w:b/>
                <w:spacing w:val="-11"/>
                <w:sz w:val="18"/>
              </w:rPr>
              <w:t xml:space="preserve"> </w:t>
            </w:r>
            <w:r>
              <w:rPr>
                <w:b/>
                <w:spacing w:val="-2"/>
                <w:sz w:val="18"/>
              </w:rPr>
              <w:t>Year</w:t>
            </w:r>
            <w:r>
              <w:rPr>
                <w:b/>
                <w:spacing w:val="-10"/>
                <w:sz w:val="18"/>
              </w:rPr>
              <w:t xml:space="preserve"> </w:t>
            </w:r>
            <w:r>
              <w:rPr>
                <w:b/>
                <w:spacing w:val="-2"/>
                <w:sz w:val="18"/>
              </w:rPr>
              <w:t>Application</w:t>
            </w:r>
            <w:r>
              <w:rPr>
                <w:b/>
                <w:spacing w:val="-11"/>
                <w:sz w:val="18"/>
              </w:rPr>
              <w:t xml:space="preserve"> </w:t>
            </w:r>
            <w:r>
              <w:rPr>
                <w:b/>
                <w:spacing w:val="-2"/>
                <w:sz w:val="18"/>
              </w:rPr>
              <w:t>of</w:t>
            </w:r>
            <w:r>
              <w:rPr>
                <w:b/>
                <w:spacing w:val="-10"/>
                <w:sz w:val="18"/>
              </w:rPr>
              <w:t xml:space="preserve"> </w:t>
            </w:r>
            <w:r>
              <w:rPr>
                <w:b/>
                <w:spacing w:val="-2"/>
                <w:sz w:val="18"/>
              </w:rPr>
              <w:t>New</w:t>
            </w:r>
            <w:r>
              <w:rPr>
                <w:b/>
                <w:spacing w:val="-11"/>
                <w:sz w:val="18"/>
              </w:rPr>
              <w:t xml:space="preserve"> </w:t>
            </w:r>
            <w:r>
              <w:rPr>
                <w:b/>
                <w:spacing w:val="-2"/>
                <w:sz w:val="18"/>
              </w:rPr>
              <w:t>Accounting</w:t>
            </w:r>
            <w:r>
              <w:rPr>
                <w:b/>
                <w:spacing w:val="-11"/>
                <w:sz w:val="18"/>
              </w:rPr>
              <w:t xml:space="preserve"> </w:t>
            </w:r>
            <w:r>
              <w:rPr>
                <w:b/>
                <w:spacing w:val="-2"/>
                <w:sz w:val="18"/>
              </w:rPr>
              <w:t>Standards</w:t>
            </w:r>
            <w:r>
              <w:rPr>
                <w:b/>
                <w:spacing w:val="-10"/>
                <w:sz w:val="18"/>
              </w:rPr>
              <w:t xml:space="preserve"> </w:t>
            </w:r>
            <w:r>
              <w:rPr>
                <w:b/>
                <w:spacing w:val="-2"/>
                <w:sz w:val="18"/>
              </w:rPr>
              <w:t xml:space="preserve">or </w:t>
            </w:r>
            <w:r>
              <w:rPr>
                <w:b/>
                <w:sz w:val="18"/>
              </w:rPr>
              <w:t>Change in Accounting Policy</w:t>
            </w:r>
          </w:p>
        </w:tc>
        <w:tc>
          <w:tcPr>
            <w:tcW w:w="1029" w:type="dxa"/>
            <w:tcBorders>
              <w:top w:val="single" w:sz="4" w:space="0" w:color="000000"/>
              <w:bottom w:val="single" w:sz="4" w:space="0" w:color="000000"/>
            </w:tcBorders>
          </w:tcPr>
          <w:p w14:paraId="44F1C302"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216</w:t>
            </w:r>
          </w:p>
        </w:tc>
      </w:tr>
      <w:tr w:rsidR="00AC6F3C" w14:paraId="7497603C" w14:textId="77777777">
        <w:trPr>
          <w:trHeight w:val="321"/>
        </w:trPr>
        <w:tc>
          <w:tcPr>
            <w:tcW w:w="1589" w:type="dxa"/>
            <w:vMerge/>
            <w:tcBorders>
              <w:top w:val="nil"/>
              <w:bottom w:val="single" w:sz="4" w:space="0" w:color="000000"/>
            </w:tcBorders>
          </w:tcPr>
          <w:p w14:paraId="7D200350" w14:textId="77777777" w:rsidR="00AC6F3C" w:rsidRDefault="00AC6F3C">
            <w:pPr>
              <w:rPr>
                <w:sz w:val="2"/>
                <w:szCs w:val="2"/>
              </w:rPr>
            </w:pPr>
          </w:p>
        </w:tc>
        <w:tc>
          <w:tcPr>
            <w:tcW w:w="954" w:type="dxa"/>
            <w:tcBorders>
              <w:top w:val="single" w:sz="4" w:space="0" w:color="000000"/>
              <w:bottom w:val="single" w:sz="4" w:space="0" w:color="000000"/>
            </w:tcBorders>
          </w:tcPr>
          <w:p w14:paraId="502C0487" w14:textId="77777777" w:rsidR="00AC6F3C" w:rsidRDefault="00570E88">
            <w:pPr>
              <w:pStyle w:val="TableParagraph"/>
              <w:spacing w:before="56"/>
              <w:ind w:left="107"/>
              <w:rPr>
                <w:b/>
                <w:sz w:val="18"/>
              </w:rPr>
            </w:pPr>
            <w:r>
              <w:rPr>
                <w:b/>
                <w:spacing w:val="-5"/>
                <w:sz w:val="18"/>
              </w:rPr>
              <w:t>E3.</w:t>
            </w:r>
          </w:p>
        </w:tc>
        <w:tc>
          <w:tcPr>
            <w:tcW w:w="5529" w:type="dxa"/>
            <w:tcBorders>
              <w:top w:val="single" w:sz="4" w:space="0" w:color="000000"/>
              <w:bottom w:val="single" w:sz="4" w:space="0" w:color="000000"/>
            </w:tcBorders>
          </w:tcPr>
          <w:p w14:paraId="43B6A19C" w14:textId="77777777" w:rsidR="00AC6F3C" w:rsidRDefault="00570E88">
            <w:pPr>
              <w:pStyle w:val="TableParagraph"/>
              <w:spacing w:before="56"/>
              <w:ind w:left="569"/>
              <w:rPr>
                <w:b/>
                <w:sz w:val="18"/>
              </w:rPr>
            </w:pPr>
            <w:r>
              <w:rPr>
                <w:b/>
                <w:spacing w:val="-2"/>
                <w:sz w:val="18"/>
              </w:rPr>
              <w:t>Taxation</w:t>
            </w:r>
          </w:p>
        </w:tc>
        <w:tc>
          <w:tcPr>
            <w:tcW w:w="1029" w:type="dxa"/>
            <w:tcBorders>
              <w:top w:val="single" w:sz="4" w:space="0" w:color="000000"/>
              <w:bottom w:val="single" w:sz="4" w:space="0" w:color="000000"/>
            </w:tcBorders>
          </w:tcPr>
          <w:p w14:paraId="5062AD18"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217</w:t>
            </w:r>
          </w:p>
        </w:tc>
      </w:tr>
      <w:tr w:rsidR="00AC6F3C" w14:paraId="52976CF0" w14:textId="77777777">
        <w:trPr>
          <w:trHeight w:val="321"/>
        </w:trPr>
        <w:tc>
          <w:tcPr>
            <w:tcW w:w="1589" w:type="dxa"/>
          </w:tcPr>
          <w:p w14:paraId="6E53DAED" w14:textId="77777777" w:rsidR="00AC6F3C" w:rsidRDefault="00570E88">
            <w:pPr>
              <w:pStyle w:val="TableParagraph"/>
              <w:spacing w:before="51"/>
              <w:ind w:left="136"/>
              <w:rPr>
                <w:b/>
                <w:sz w:val="18"/>
              </w:rPr>
            </w:pPr>
            <w:r>
              <w:rPr>
                <w:b/>
                <w:spacing w:val="-2"/>
                <w:sz w:val="18"/>
              </w:rPr>
              <w:t>Certification</w:t>
            </w:r>
          </w:p>
        </w:tc>
        <w:tc>
          <w:tcPr>
            <w:tcW w:w="6483" w:type="dxa"/>
            <w:gridSpan w:val="2"/>
            <w:tcBorders>
              <w:bottom w:val="single" w:sz="4" w:space="0" w:color="000000"/>
            </w:tcBorders>
          </w:tcPr>
          <w:p w14:paraId="22029D20" w14:textId="77777777" w:rsidR="00AC6F3C" w:rsidRDefault="00570E88">
            <w:pPr>
              <w:pStyle w:val="TableParagraph"/>
              <w:spacing w:before="51"/>
              <w:ind w:left="107"/>
              <w:rPr>
                <w:b/>
                <w:sz w:val="18"/>
              </w:rPr>
            </w:pPr>
            <w:r>
              <w:rPr>
                <w:b/>
                <w:spacing w:val="-4"/>
                <w:sz w:val="18"/>
              </w:rPr>
              <w:t>Management</w:t>
            </w:r>
            <w:r>
              <w:rPr>
                <w:b/>
                <w:spacing w:val="3"/>
                <w:sz w:val="18"/>
              </w:rPr>
              <w:t xml:space="preserve"> </w:t>
            </w:r>
            <w:r>
              <w:rPr>
                <w:b/>
                <w:spacing w:val="-2"/>
                <w:sz w:val="18"/>
              </w:rPr>
              <w:t>Certificate</w:t>
            </w:r>
          </w:p>
        </w:tc>
        <w:tc>
          <w:tcPr>
            <w:tcW w:w="1029" w:type="dxa"/>
            <w:tcBorders>
              <w:bottom w:val="single" w:sz="4" w:space="0" w:color="000000"/>
            </w:tcBorders>
          </w:tcPr>
          <w:p w14:paraId="5952A52C" w14:textId="77777777" w:rsidR="00AC6F3C" w:rsidRDefault="00570E88">
            <w:pPr>
              <w:pStyle w:val="TableParagraph"/>
              <w:spacing w:before="51"/>
              <w:ind w:left="126" w:right="110"/>
              <w:jc w:val="center"/>
              <w:rPr>
                <w:b/>
                <w:sz w:val="18"/>
              </w:rPr>
            </w:pPr>
            <w:r>
              <w:rPr>
                <w:b/>
                <w:spacing w:val="-2"/>
                <w:sz w:val="18"/>
              </w:rPr>
              <w:t>Page</w:t>
            </w:r>
            <w:r>
              <w:rPr>
                <w:b/>
                <w:spacing w:val="-11"/>
                <w:sz w:val="18"/>
              </w:rPr>
              <w:t xml:space="preserve"> </w:t>
            </w:r>
            <w:r>
              <w:rPr>
                <w:b/>
                <w:spacing w:val="-5"/>
                <w:sz w:val="18"/>
              </w:rPr>
              <w:t>218</w:t>
            </w:r>
          </w:p>
        </w:tc>
      </w:tr>
      <w:tr w:rsidR="00AC6F3C" w14:paraId="016074DA" w14:textId="77777777">
        <w:trPr>
          <w:trHeight w:val="321"/>
        </w:trPr>
        <w:tc>
          <w:tcPr>
            <w:tcW w:w="1589" w:type="dxa"/>
            <w:tcBorders>
              <w:bottom w:val="single" w:sz="4" w:space="0" w:color="000000"/>
            </w:tcBorders>
          </w:tcPr>
          <w:p w14:paraId="163B18DE" w14:textId="77777777" w:rsidR="00AC6F3C" w:rsidRDefault="00AC6F3C">
            <w:pPr>
              <w:pStyle w:val="TableParagraph"/>
              <w:rPr>
                <w:rFonts w:ascii="Times New Roman"/>
                <w:sz w:val="18"/>
              </w:rPr>
            </w:pPr>
          </w:p>
        </w:tc>
        <w:tc>
          <w:tcPr>
            <w:tcW w:w="6483" w:type="dxa"/>
            <w:gridSpan w:val="2"/>
            <w:tcBorders>
              <w:top w:val="single" w:sz="4" w:space="0" w:color="000000"/>
              <w:bottom w:val="single" w:sz="4" w:space="0" w:color="000000"/>
            </w:tcBorders>
          </w:tcPr>
          <w:p w14:paraId="7435C2C7" w14:textId="77777777" w:rsidR="00AC6F3C" w:rsidRDefault="00570E88">
            <w:pPr>
              <w:pStyle w:val="TableParagraph"/>
              <w:spacing w:before="56"/>
              <w:ind w:left="107"/>
              <w:rPr>
                <w:b/>
                <w:sz w:val="18"/>
              </w:rPr>
            </w:pPr>
            <w:r>
              <w:rPr>
                <w:b/>
                <w:spacing w:val="-4"/>
                <w:sz w:val="18"/>
              </w:rPr>
              <w:t>Independent</w:t>
            </w:r>
            <w:r>
              <w:rPr>
                <w:b/>
                <w:spacing w:val="5"/>
                <w:sz w:val="18"/>
              </w:rPr>
              <w:t xml:space="preserve"> </w:t>
            </w:r>
            <w:r>
              <w:rPr>
                <w:b/>
                <w:spacing w:val="-4"/>
                <w:sz w:val="18"/>
              </w:rPr>
              <w:t>Auditor’s</w:t>
            </w:r>
            <w:r>
              <w:rPr>
                <w:b/>
                <w:spacing w:val="3"/>
                <w:sz w:val="18"/>
              </w:rPr>
              <w:t xml:space="preserve"> </w:t>
            </w:r>
            <w:r>
              <w:rPr>
                <w:b/>
                <w:spacing w:val="-4"/>
                <w:sz w:val="18"/>
              </w:rPr>
              <w:t>Report</w:t>
            </w:r>
          </w:p>
        </w:tc>
        <w:tc>
          <w:tcPr>
            <w:tcW w:w="1029" w:type="dxa"/>
            <w:tcBorders>
              <w:top w:val="single" w:sz="4" w:space="0" w:color="000000"/>
              <w:bottom w:val="single" w:sz="4" w:space="0" w:color="000000"/>
            </w:tcBorders>
          </w:tcPr>
          <w:p w14:paraId="4D7E4D18" w14:textId="77777777" w:rsidR="00AC6F3C" w:rsidRDefault="00570E88">
            <w:pPr>
              <w:pStyle w:val="TableParagraph"/>
              <w:spacing w:before="56"/>
              <w:ind w:left="126" w:right="110"/>
              <w:jc w:val="center"/>
              <w:rPr>
                <w:b/>
                <w:sz w:val="18"/>
              </w:rPr>
            </w:pPr>
            <w:r>
              <w:rPr>
                <w:b/>
                <w:spacing w:val="-2"/>
                <w:sz w:val="18"/>
              </w:rPr>
              <w:t>Page</w:t>
            </w:r>
            <w:r>
              <w:rPr>
                <w:b/>
                <w:spacing w:val="-11"/>
                <w:sz w:val="18"/>
              </w:rPr>
              <w:t xml:space="preserve"> </w:t>
            </w:r>
            <w:r>
              <w:rPr>
                <w:b/>
                <w:spacing w:val="-5"/>
                <w:sz w:val="18"/>
              </w:rPr>
              <w:t>219</w:t>
            </w:r>
          </w:p>
        </w:tc>
      </w:tr>
    </w:tbl>
    <w:p w14:paraId="6C6F8E95" w14:textId="77777777" w:rsidR="00AC6F3C" w:rsidRDefault="00AC6F3C">
      <w:pPr>
        <w:jc w:val="center"/>
        <w:rPr>
          <w:sz w:val="18"/>
        </w:rPr>
        <w:sectPr w:rsidR="00AC6F3C">
          <w:type w:val="continuous"/>
          <w:pgSz w:w="11910" w:h="16840"/>
          <w:pgMar w:top="1920" w:right="1160" w:bottom="280" w:left="460" w:header="1297" w:footer="336" w:gutter="0"/>
          <w:cols w:space="720"/>
        </w:sectPr>
      </w:pPr>
    </w:p>
    <w:p w14:paraId="0EBDDD99" w14:textId="77777777" w:rsidR="00AC6F3C" w:rsidRDefault="00570E88">
      <w:pPr>
        <w:ind w:left="979"/>
      </w:pPr>
      <w:r>
        <w:lastRenderedPageBreak/>
        <w:t>Statement</w:t>
      </w:r>
      <w:r>
        <w:rPr>
          <w:spacing w:val="-6"/>
        </w:rPr>
        <w:t xml:space="preserve"> </w:t>
      </w:r>
      <w:r>
        <w:t>of</w:t>
      </w:r>
      <w:r>
        <w:rPr>
          <w:spacing w:val="-3"/>
        </w:rPr>
        <w:t xml:space="preserve"> </w:t>
      </w:r>
      <w:r>
        <w:t>Comprehensive</w:t>
      </w:r>
      <w:r>
        <w:rPr>
          <w:spacing w:val="-4"/>
        </w:rPr>
        <w:t xml:space="preserve"> </w:t>
      </w:r>
      <w:r>
        <w:t>Income</w:t>
      </w:r>
      <w:r>
        <w:rPr>
          <w:spacing w:val="-5"/>
        </w:rPr>
        <w:t xml:space="preserve"> </w:t>
      </w:r>
      <w:r>
        <w:t>for</w:t>
      </w:r>
      <w:r>
        <w:rPr>
          <w:spacing w:val="-6"/>
        </w:rPr>
        <w:t xml:space="preserve"> </w:t>
      </w:r>
      <w:r>
        <w:t>the</w:t>
      </w:r>
      <w:r>
        <w:rPr>
          <w:spacing w:val="-4"/>
        </w:rPr>
        <w:t xml:space="preserve"> </w:t>
      </w:r>
      <w:r>
        <w:t>year</w:t>
      </w:r>
      <w:r>
        <w:rPr>
          <w:spacing w:val="-1"/>
        </w:rPr>
        <w:t xml:space="preserve"> </w:t>
      </w:r>
      <w:r>
        <w:t>ended</w:t>
      </w:r>
      <w:r>
        <w:rPr>
          <w:spacing w:val="-6"/>
        </w:rPr>
        <w:t xml:space="preserve"> </w:t>
      </w:r>
      <w:r>
        <w:t>30</w:t>
      </w:r>
      <w:r>
        <w:rPr>
          <w:spacing w:val="-3"/>
        </w:rPr>
        <w:t xml:space="preserve"> </w:t>
      </w:r>
      <w:r>
        <w:t>June</w:t>
      </w:r>
      <w:r>
        <w:rPr>
          <w:spacing w:val="-5"/>
        </w:rPr>
        <w:t xml:space="preserve"> </w:t>
      </w:r>
      <w:r>
        <w:rPr>
          <w:spacing w:val="-4"/>
        </w:rPr>
        <w:t>2023</w:t>
      </w:r>
    </w:p>
    <w:p w14:paraId="24EAF227" w14:textId="77777777" w:rsidR="00AC6F3C" w:rsidRDefault="00570E88">
      <w:pPr>
        <w:pStyle w:val="BodyText"/>
        <w:spacing w:before="1"/>
        <w:rPr>
          <w:sz w:val="29"/>
        </w:rPr>
      </w:pPr>
      <w:r>
        <w:rPr>
          <w:noProof/>
        </w:rPr>
        <mc:AlternateContent>
          <mc:Choice Requires="wps">
            <w:drawing>
              <wp:anchor distT="0" distB="0" distL="0" distR="0" simplePos="0" relativeHeight="487716864" behindDoc="1" locked="0" layoutInCell="1" allowOverlap="1" wp14:anchorId="3843E7E2" wp14:editId="20238E56">
                <wp:simplePos x="0" y="0"/>
                <wp:positionH relativeFrom="page">
                  <wp:posOffset>896045</wp:posOffset>
                </wp:positionH>
                <wp:positionV relativeFrom="paragraph">
                  <wp:posOffset>228083</wp:posOffset>
                </wp:positionV>
                <wp:extent cx="5768340" cy="6350"/>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4B78B" id="Graphic 891" o:spid="_x0000_s1026" style="position:absolute;margin-left:70.55pt;margin-top:17.95pt;width:454.2pt;height:.5pt;z-index:-1559961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" path="m5767909,6094l,6094,,,5767909,r,6094xe" fillcolor="black" stroked="f">
                <v:path arrowok="t"/>
                <w10:wrap type="topAndBottom" anchorx="page"/>
              </v:shape>
            </w:pict>
          </mc:Fallback>
        </mc:AlternateContent>
      </w:r>
    </w:p>
    <w:p w14:paraId="64588527" w14:textId="77777777" w:rsidR="00AC6F3C" w:rsidRDefault="00AC6F3C">
      <w:pPr>
        <w:pStyle w:val="BodyText"/>
      </w:pPr>
    </w:p>
    <w:p w14:paraId="32F911D8" w14:textId="77777777" w:rsidR="00AC6F3C" w:rsidRDefault="00AC6F3C">
      <w:pPr>
        <w:pStyle w:val="BodyText"/>
      </w:pPr>
    </w:p>
    <w:p w14:paraId="182E5BCB" w14:textId="77777777" w:rsidR="00AC6F3C" w:rsidRDefault="00AC6F3C">
      <w:pPr>
        <w:pStyle w:val="BodyText"/>
        <w:spacing w:before="1"/>
        <w:rPr>
          <w:sz w:val="12"/>
        </w:rPr>
      </w:pPr>
    </w:p>
    <w:tbl>
      <w:tblPr>
        <w:tblW w:w="0" w:type="auto"/>
        <w:tblInd w:w="994" w:type="dxa"/>
        <w:tblLayout w:type="fixed"/>
        <w:tblCellMar>
          <w:left w:w="0" w:type="dxa"/>
          <w:right w:w="0" w:type="dxa"/>
        </w:tblCellMar>
        <w:tblLook w:val="01E0" w:firstRow="1" w:lastRow="1" w:firstColumn="1" w:lastColumn="1" w:noHBand="0" w:noVBand="0"/>
      </w:tblPr>
      <w:tblGrid>
        <w:gridCol w:w="4843"/>
        <w:gridCol w:w="1184"/>
        <w:gridCol w:w="1363"/>
        <w:gridCol w:w="1341"/>
      </w:tblGrid>
      <w:tr w:rsidR="00AC6F3C" w14:paraId="3C0764DB" w14:textId="77777777">
        <w:trPr>
          <w:trHeight w:val="553"/>
        </w:trPr>
        <w:tc>
          <w:tcPr>
            <w:tcW w:w="6027" w:type="dxa"/>
            <w:gridSpan w:val="2"/>
            <w:tcBorders>
              <w:top w:val="single" w:sz="6" w:space="0" w:color="000000"/>
              <w:left w:val="single" w:sz="6" w:space="0" w:color="000000"/>
              <w:bottom w:val="single" w:sz="6" w:space="0" w:color="000000"/>
            </w:tcBorders>
            <w:shd w:val="clear" w:color="auto" w:fill="BEBEBE"/>
          </w:tcPr>
          <w:p w14:paraId="458449CC" w14:textId="77777777" w:rsidR="00AC6F3C" w:rsidRDefault="00AC6F3C">
            <w:pPr>
              <w:pStyle w:val="TableParagraph"/>
              <w:spacing w:before="10"/>
              <w:rPr>
                <w:sz w:val="26"/>
              </w:rPr>
            </w:pPr>
          </w:p>
          <w:p w14:paraId="7F0FE2C9" w14:textId="77777777" w:rsidR="00AC6F3C" w:rsidRDefault="00570E88">
            <w:pPr>
              <w:pStyle w:val="TableParagraph"/>
              <w:spacing w:before="1"/>
              <w:ind w:right="414"/>
              <w:jc w:val="right"/>
              <w:rPr>
                <w:b/>
                <w:sz w:val="18"/>
              </w:rPr>
            </w:pPr>
            <w:r>
              <w:rPr>
                <w:b/>
                <w:spacing w:val="-2"/>
                <w:sz w:val="18"/>
              </w:rPr>
              <w:t>Notes</w:t>
            </w:r>
          </w:p>
        </w:tc>
        <w:tc>
          <w:tcPr>
            <w:tcW w:w="1363" w:type="dxa"/>
            <w:tcBorders>
              <w:top w:val="single" w:sz="6" w:space="0" w:color="000000"/>
              <w:bottom w:val="single" w:sz="6" w:space="0" w:color="000000"/>
            </w:tcBorders>
            <w:shd w:val="clear" w:color="auto" w:fill="BEBEBE"/>
          </w:tcPr>
          <w:p w14:paraId="1F7C2465" w14:textId="77777777" w:rsidR="00AC6F3C" w:rsidRDefault="00570E88">
            <w:pPr>
              <w:pStyle w:val="TableParagraph"/>
              <w:spacing w:before="25"/>
              <w:ind w:left="905"/>
              <w:rPr>
                <w:b/>
                <w:sz w:val="18"/>
              </w:rPr>
            </w:pPr>
            <w:r>
              <w:rPr>
                <w:b/>
                <w:spacing w:val="-4"/>
                <w:sz w:val="18"/>
              </w:rPr>
              <w:t>2023</w:t>
            </w:r>
          </w:p>
          <w:p w14:paraId="788CF567" w14:textId="77777777" w:rsidR="00AC6F3C" w:rsidRDefault="00570E88">
            <w:pPr>
              <w:pStyle w:val="TableParagraph"/>
              <w:spacing w:before="107" w:line="194" w:lineRule="exact"/>
              <w:ind w:left="860"/>
              <w:rPr>
                <w:b/>
                <w:sz w:val="18"/>
              </w:rPr>
            </w:pPr>
            <w:r>
              <w:rPr>
                <w:b/>
                <w:spacing w:val="-2"/>
                <w:sz w:val="18"/>
              </w:rPr>
              <w:t>$'000</w:t>
            </w:r>
          </w:p>
        </w:tc>
        <w:tc>
          <w:tcPr>
            <w:tcW w:w="1341" w:type="dxa"/>
            <w:tcBorders>
              <w:top w:val="single" w:sz="6" w:space="0" w:color="000000"/>
              <w:bottom w:val="single" w:sz="6" w:space="0" w:color="000000"/>
              <w:right w:val="single" w:sz="6" w:space="0" w:color="000000"/>
            </w:tcBorders>
            <w:shd w:val="clear" w:color="auto" w:fill="BEBEBE"/>
          </w:tcPr>
          <w:p w14:paraId="52AF71E5" w14:textId="77777777" w:rsidR="00AC6F3C" w:rsidRDefault="00570E88">
            <w:pPr>
              <w:pStyle w:val="TableParagraph"/>
              <w:spacing w:before="25"/>
              <w:ind w:left="889"/>
              <w:rPr>
                <w:b/>
                <w:sz w:val="18"/>
              </w:rPr>
            </w:pPr>
            <w:r>
              <w:rPr>
                <w:b/>
                <w:spacing w:val="-4"/>
                <w:sz w:val="18"/>
              </w:rPr>
              <w:t>2022</w:t>
            </w:r>
          </w:p>
          <w:p w14:paraId="2FB1333D" w14:textId="77777777" w:rsidR="00AC6F3C" w:rsidRDefault="00570E88">
            <w:pPr>
              <w:pStyle w:val="TableParagraph"/>
              <w:spacing w:before="107" w:line="194" w:lineRule="exact"/>
              <w:ind w:left="845"/>
              <w:rPr>
                <w:b/>
                <w:sz w:val="18"/>
              </w:rPr>
            </w:pPr>
            <w:r>
              <w:rPr>
                <w:b/>
                <w:spacing w:val="-2"/>
                <w:sz w:val="18"/>
              </w:rPr>
              <w:t>$'000</w:t>
            </w:r>
          </w:p>
        </w:tc>
      </w:tr>
      <w:tr w:rsidR="00AC6F3C" w14:paraId="0C126F84" w14:textId="77777777">
        <w:trPr>
          <w:trHeight w:val="304"/>
        </w:trPr>
        <w:tc>
          <w:tcPr>
            <w:tcW w:w="4843" w:type="dxa"/>
            <w:tcBorders>
              <w:top w:val="single" w:sz="6" w:space="0" w:color="000000"/>
              <w:left w:val="single" w:sz="6" w:space="0" w:color="000000"/>
            </w:tcBorders>
          </w:tcPr>
          <w:p w14:paraId="02B4FA28" w14:textId="77777777" w:rsidR="00AC6F3C" w:rsidRDefault="00570E88">
            <w:pPr>
              <w:pStyle w:val="TableParagraph"/>
              <w:spacing w:before="55"/>
              <w:ind w:left="37"/>
              <w:rPr>
                <w:b/>
                <w:sz w:val="18"/>
              </w:rPr>
            </w:pPr>
            <w:r>
              <w:rPr>
                <w:b/>
                <w:spacing w:val="-2"/>
                <w:sz w:val="18"/>
              </w:rPr>
              <w:t>Revenue</w:t>
            </w:r>
          </w:p>
        </w:tc>
        <w:tc>
          <w:tcPr>
            <w:tcW w:w="1184" w:type="dxa"/>
            <w:tcBorders>
              <w:top w:val="single" w:sz="6" w:space="0" w:color="000000"/>
            </w:tcBorders>
          </w:tcPr>
          <w:p w14:paraId="73ED86C7" w14:textId="77777777" w:rsidR="00AC6F3C" w:rsidRDefault="00AC6F3C">
            <w:pPr>
              <w:pStyle w:val="TableParagraph"/>
              <w:rPr>
                <w:rFonts w:ascii="Times New Roman"/>
                <w:sz w:val="18"/>
              </w:rPr>
            </w:pPr>
          </w:p>
        </w:tc>
        <w:tc>
          <w:tcPr>
            <w:tcW w:w="1363" w:type="dxa"/>
            <w:tcBorders>
              <w:top w:val="single" w:sz="6" w:space="0" w:color="000000"/>
            </w:tcBorders>
            <w:shd w:val="clear" w:color="auto" w:fill="F1F1F1"/>
          </w:tcPr>
          <w:p w14:paraId="7A586D9D" w14:textId="77777777" w:rsidR="00AC6F3C" w:rsidRDefault="00AC6F3C">
            <w:pPr>
              <w:pStyle w:val="TableParagraph"/>
              <w:rPr>
                <w:rFonts w:ascii="Times New Roman"/>
                <w:sz w:val="18"/>
              </w:rPr>
            </w:pPr>
          </w:p>
        </w:tc>
        <w:tc>
          <w:tcPr>
            <w:tcW w:w="1341" w:type="dxa"/>
            <w:tcBorders>
              <w:top w:val="single" w:sz="6" w:space="0" w:color="000000"/>
              <w:right w:val="single" w:sz="6" w:space="0" w:color="000000"/>
            </w:tcBorders>
          </w:tcPr>
          <w:p w14:paraId="2D721167" w14:textId="77777777" w:rsidR="00AC6F3C" w:rsidRDefault="00AC6F3C">
            <w:pPr>
              <w:pStyle w:val="TableParagraph"/>
              <w:rPr>
                <w:rFonts w:ascii="Times New Roman"/>
                <w:sz w:val="18"/>
              </w:rPr>
            </w:pPr>
          </w:p>
        </w:tc>
      </w:tr>
      <w:tr w:rsidR="00AC6F3C" w14:paraId="48346287" w14:textId="77777777">
        <w:trPr>
          <w:trHeight w:val="284"/>
        </w:trPr>
        <w:tc>
          <w:tcPr>
            <w:tcW w:w="4843" w:type="dxa"/>
            <w:tcBorders>
              <w:left w:val="single" w:sz="6" w:space="0" w:color="000000"/>
            </w:tcBorders>
          </w:tcPr>
          <w:p w14:paraId="3A4CDF4A" w14:textId="77777777" w:rsidR="00AC6F3C" w:rsidRDefault="00570E88">
            <w:pPr>
              <w:pStyle w:val="TableParagraph"/>
              <w:spacing w:before="35"/>
              <w:ind w:left="37"/>
              <w:rPr>
                <w:sz w:val="18"/>
              </w:rPr>
            </w:pPr>
            <w:r>
              <w:rPr>
                <w:sz w:val="18"/>
              </w:rPr>
              <w:t>Practitioner</w:t>
            </w:r>
            <w:r>
              <w:rPr>
                <w:spacing w:val="-1"/>
                <w:sz w:val="18"/>
              </w:rPr>
              <w:t xml:space="preserve"> </w:t>
            </w:r>
            <w:r>
              <w:rPr>
                <w:spacing w:val="-2"/>
                <w:sz w:val="18"/>
              </w:rPr>
              <w:t>levies</w:t>
            </w:r>
          </w:p>
        </w:tc>
        <w:tc>
          <w:tcPr>
            <w:tcW w:w="1184" w:type="dxa"/>
          </w:tcPr>
          <w:p w14:paraId="321EE689" w14:textId="77777777" w:rsidR="00AC6F3C" w:rsidRDefault="00570E88">
            <w:pPr>
              <w:pStyle w:val="TableParagraph"/>
              <w:spacing w:before="35"/>
              <w:ind w:left="328" w:right="450"/>
              <w:jc w:val="center"/>
              <w:rPr>
                <w:sz w:val="18"/>
              </w:rPr>
            </w:pPr>
            <w:r>
              <w:rPr>
                <w:spacing w:val="-2"/>
                <w:sz w:val="18"/>
              </w:rPr>
              <w:t>B1-</w:t>
            </w:r>
            <w:r>
              <w:rPr>
                <w:spacing w:val="-10"/>
                <w:sz w:val="18"/>
              </w:rPr>
              <w:t>1</w:t>
            </w:r>
          </w:p>
        </w:tc>
        <w:tc>
          <w:tcPr>
            <w:tcW w:w="1363" w:type="dxa"/>
            <w:shd w:val="clear" w:color="auto" w:fill="F1F1F1"/>
          </w:tcPr>
          <w:p w14:paraId="667EE8A3" w14:textId="77777777" w:rsidR="00AC6F3C" w:rsidRDefault="00570E88">
            <w:pPr>
              <w:pStyle w:val="TableParagraph"/>
              <w:spacing w:before="35"/>
              <w:ind w:right="36"/>
              <w:jc w:val="right"/>
              <w:rPr>
                <w:sz w:val="18"/>
              </w:rPr>
            </w:pPr>
            <w:r>
              <w:rPr>
                <w:spacing w:val="-5"/>
                <w:sz w:val="18"/>
              </w:rPr>
              <w:t>549</w:t>
            </w:r>
          </w:p>
        </w:tc>
        <w:tc>
          <w:tcPr>
            <w:tcW w:w="1341" w:type="dxa"/>
            <w:tcBorders>
              <w:right w:val="single" w:sz="6" w:space="0" w:color="000000"/>
            </w:tcBorders>
          </w:tcPr>
          <w:p w14:paraId="2DAFB15F" w14:textId="77777777" w:rsidR="00AC6F3C" w:rsidRDefault="00570E88">
            <w:pPr>
              <w:pStyle w:val="TableParagraph"/>
              <w:spacing w:before="35"/>
              <w:ind w:right="22"/>
              <w:jc w:val="right"/>
              <w:rPr>
                <w:sz w:val="18"/>
              </w:rPr>
            </w:pPr>
            <w:r>
              <w:rPr>
                <w:spacing w:val="-5"/>
                <w:sz w:val="18"/>
              </w:rPr>
              <w:t>347</w:t>
            </w:r>
          </w:p>
        </w:tc>
      </w:tr>
      <w:tr w:rsidR="00AC6F3C" w14:paraId="7399275A" w14:textId="77777777">
        <w:trPr>
          <w:trHeight w:val="284"/>
        </w:trPr>
        <w:tc>
          <w:tcPr>
            <w:tcW w:w="4843" w:type="dxa"/>
            <w:tcBorders>
              <w:left w:val="single" w:sz="6" w:space="0" w:color="000000"/>
            </w:tcBorders>
          </w:tcPr>
          <w:p w14:paraId="1CB4A6CB" w14:textId="77777777" w:rsidR="00AC6F3C" w:rsidRDefault="00570E88">
            <w:pPr>
              <w:pStyle w:val="TableParagraph"/>
              <w:spacing w:before="35"/>
              <w:ind w:left="37"/>
              <w:rPr>
                <w:sz w:val="18"/>
              </w:rPr>
            </w:pPr>
            <w:r>
              <w:rPr>
                <w:sz w:val="18"/>
              </w:rPr>
              <w:t xml:space="preserve">Investment </w:t>
            </w:r>
            <w:r>
              <w:rPr>
                <w:spacing w:val="-2"/>
                <w:sz w:val="18"/>
              </w:rPr>
              <w:t>income</w:t>
            </w:r>
          </w:p>
        </w:tc>
        <w:tc>
          <w:tcPr>
            <w:tcW w:w="1184" w:type="dxa"/>
          </w:tcPr>
          <w:p w14:paraId="596F73BD" w14:textId="77777777" w:rsidR="00AC6F3C" w:rsidRDefault="00570E88">
            <w:pPr>
              <w:pStyle w:val="TableParagraph"/>
              <w:spacing w:before="35"/>
              <w:ind w:left="328" w:right="450"/>
              <w:jc w:val="center"/>
              <w:rPr>
                <w:sz w:val="18"/>
              </w:rPr>
            </w:pPr>
            <w:r>
              <w:rPr>
                <w:spacing w:val="-2"/>
                <w:sz w:val="18"/>
              </w:rPr>
              <w:t>B1-</w:t>
            </w:r>
            <w:r>
              <w:rPr>
                <w:spacing w:val="-10"/>
                <w:sz w:val="18"/>
              </w:rPr>
              <w:t>2</w:t>
            </w:r>
          </w:p>
        </w:tc>
        <w:tc>
          <w:tcPr>
            <w:tcW w:w="1363" w:type="dxa"/>
            <w:shd w:val="clear" w:color="auto" w:fill="F1F1F1"/>
          </w:tcPr>
          <w:p w14:paraId="23B80A21" w14:textId="77777777" w:rsidR="00AC6F3C" w:rsidRDefault="00570E88">
            <w:pPr>
              <w:pStyle w:val="TableParagraph"/>
              <w:spacing w:before="35"/>
              <w:ind w:right="36"/>
              <w:jc w:val="right"/>
              <w:rPr>
                <w:sz w:val="18"/>
              </w:rPr>
            </w:pPr>
            <w:r>
              <w:rPr>
                <w:spacing w:val="-5"/>
                <w:sz w:val="18"/>
              </w:rPr>
              <w:t>509</w:t>
            </w:r>
          </w:p>
        </w:tc>
        <w:tc>
          <w:tcPr>
            <w:tcW w:w="1341" w:type="dxa"/>
            <w:tcBorders>
              <w:right w:val="single" w:sz="6" w:space="0" w:color="000000"/>
            </w:tcBorders>
          </w:tcPr>
          <w:p w14:paraId="6669601D" w14:textId="77777777" w:rsidR="00AC6F3C" w:rsidRDefault="00570E88">
            <w:pPr>
              <w:pStyle w:val="TableParagraph"/>
              <w:spacing w:before="35"/>
              <w:ind w:right="22"/>
              <w:jc w:val="right"/>
              <w:rPr>
                <w:sz w:val="18"/>
              </w:rPr>
            </w:pPr>
            <w:r>
              <w:rPr>
                <w:spacing w:val="-2"/>
                <w:sz w:val="18"/>
              </w:rPr>
              <w:t>1,090</w:t>
            </w:r>
          </w:p>
        </w:tc>
      </w:tr>
      <w:tr w:rsidR="00AC6F3C" w14:paraId="5F424629" w14:textId="77777777">
        <w:trPr>
          <w:trHeight w:val="284"/>
        </w:trPr>
        <w:tc>
          <w:tcPr>
            <w:tcW w:w="4843" w:type="dxa"/>
            <w:tcBorders>
              <w:left w:val="single" w:sz="6" w:space="0" w:color="000000"/>
            </w:tcBorders>
          </w:tcPr>
          <w:p w14:paraId="55879A56" w14:textId="77777777" w:rsidR="00AC6F3C" w:rsidRDefault="00570E88">
            <w:pPr>
              <w:pStyle w:val="TableParagraph"/>
              <w:spacing w:before="35"/>
              <w:ind w:left="37"/>
              <w:rPr>
                <w:sz w:val="18"/>
              </w:rPr>
            </w:pPr>
            <w:proofErr w:type="spellStart"/>
            <w:r>
              <w:rPr>
                <w:sz w:val="18"/>
              </w:rPr>
              <w:t>Realised</w:t>
            </w:r>
            <w:proofErr w:type="spellEnd"/>
            <w:r>
              <w:rPr>
                <w:spacing w:val="35"/>
                <w:sz w:val="18"/>
              </w:rPr>
              <w:t xml:space="preserve"> </w:t>
            </w:r>
            <w:r>
              <w:rPr>
                <w:sz w:val="18"/>
              </w:rPr>
              <w:t>gains/(losses)</w:t>
            </w:r>
            <w:r>
              <w:rPr>
                <w:spacing w:val="27"/>
                <w:sz w:val="18"/>
              </w:rPr>
              <w:t xml:space="preserve"> </w:t>
            </w:r>
            <w:r>
              <w:rPr>
                <w:sz w:val="18"/>
              </w:rPr>
              <w:t>on</w:t>
            </w:r>
            <w:r>
              <w:rPr>
                <w:spacing w:val="35"/>
                <w:sz w:val="18"/>
              </w:rPr>
              <w:t xml:space="preserve"> </w:t>
            </w:r>
            <w:r>
              <w:rPr>
                <w:spacing w:val="-2"/>
                <w:sz w:val="18"/>
              </w:rPr>
              <w:t>investments</w:t>
            </w:r>
          </w:p>
        </w:tc>
        <w:tc>
          <w:tcPr>
            <w:tcW w:w="1184" w:type="dxa"/>
          </w:tcPr>
          <w:p w14:paraId="4E38ABC9" w14:textId="77777777" w:rsidR="00AC6F3C" w:rsidRDefault="00570E88">
            <w:pPr>
              <w:pStyle w:val="TableParagraph"/>
              <w:spacing w:before="35"/>
              <w:ind w:left="328" w:right="450"/>
              <w:jc w:val="center"/>
              <w:rPr>
                <w:sz w:val="18"/>
              </w:rPr>
            </w:pPr>
            <w:r>
              <w:rPr>
                <w:spacing w:val="-2"/>
                <w:sz w:val="18"/>
              </w:rPr>
              <w:t>B1-</w:t>
            </w:r>
            <w:r>
              <w:rPr>
                <w:spacing w:val="-10"/>
                <w:sz w:val="18"/>
              </w:rPr>
              <w:t>3</w:t>
            </w:r>
          </w:p>
        </w:tc>
        <w:tc>
          <w:tcPr>
            <w:tcW w:w="1363" w:type="dxa"/>
            <w:shd w:val="clear" w:color="auto" w:fill="F1F1F1"/>
          </w:tcPr>
          <w:p w14:paraId="6F230FFD" w14:textId="77777777" w:rsidR="00AC6F3C" w:rsidRDefault="00570E88">
            <w:pPr>
              <w:pStyle w:val="TableParagraph"/>
              <w:spacing w:before="35"/>
              <w:ind w:right="36"/>
              <w:jc w:val="right"/>
              <w:rPr>
                <w:sz w:val="18"/>
              </w:rPr>
            </w:pPr>
            <w:r>
              <w:rPr>
                <w:spacing w:val="-5"/>
                <w:sz w:val="18"/>
              </w:rPr>
              <w:t>69</w:t>
            </w:r>
          </w:p>
        </w:tc>
        <w:tc>
          <w:tcPr>
            <w:tcW w:w="1341" w:type="dxa"/>
            <w:tcBorders>
              <w:right w:val="single" w:sz="6" w:space="0" w:color="000000"/>
            </w:tcBorders>
          </w:tcPr>
          <w:p w14:paraId="2F29522D" w14:textId="77777777" w:rsidR="00AC6F3C" w:rsidRDefault="00570E88">
            <w:pPr>
              <w:pStyle w:val="TableParagraph"/>
              <w:spacing w:before="35"/>
              <w:ind w:right="17"/>
              <w:jc w:val="right"/>
              <w:rPr>
                <w:sz w:val="18"/>
              </w:rPr>
            </w:pPr>
            <w:r>
              <w:rPr>
                <w:spacing w:val="-2"/>
                <w:sz w:val="18"/>
              </w:rPr>
              <w:t>(2,387)</w:t>
            </w:r>
          </w:p>
        </w:tc>
      </w:tr>
      <w:tr w:rsidR="00AC6F3C" w14:paraId="75265C81" w14:textId="77777777">
        <w:trPr>
          <w:trHeight w:val="249"/>
        </w:trPr>
        <w:tc>
          <w:tcPr>
            <w:tcW w:w="4843" w:type="dxa"/>
            <w:tcBorders>
              <w:left w:val="single" w:sz="6" w:space="0" w:color="000000"/>
              <w:bottom w:val="single" w:sz="6" w:space="0" w:color="000000"/>
            </w:tcBorders>
          </w:tcPr>
          <w:p w14:paraId="0C8A8D7B" w14:textId="77777777" w:rsidR="00AC6F3C" w:rsidRDefault="00570E88">
            <w:pPr>
              <w:pStyle w:val="TableParagraph"/>
              <w:spacing w:before="35" w:line="194" w:lineRule="exact"/>
              <w:ind w:left="37"/>
              <w:rPr>
                <w:sz w:val="18"/>
              </w:rPr>
            </w:pPr>
            <w:r>
              <w:rPr>
                <w:sz w:val="18"/>
              </w:rPr>
              <w:t>Fair</w:t>
            </w:r>
            <w:r>
              <w:rPr>
                <w:spacing w:val="9"/>
                <w:sz w:val="18"/>
              </w:rPr>
              <w:t xml:space="preserve"> </w:t>
            </w:r>
            <w:r>
              <w:rPr>
                <w:sz w:val="18"/>
              </w:rPr>
              <w:t>value</w:t>
            </w:r>
            <w:r>
              <w:rPr>
                <w:spacing w:val="17"/>
                <w:sz w:val="18"/>
              </w:rPr>
              <w:t xml:space="preserve"> </w:t>
            </w:r>
            <w:r>
              <w:rPr>
                <w:sz w:val="18"/>
              </w:rPr>
              <w:t>gains/(losses)</w:t>
            </w:r>
            <w:r>
              <w:rPr>
                <w:spacing w:val="9"/>
                <w:sz w:val="18"/>
              </w:rPr>
              <w:t xml:space="preserve"> </w:t>
            </w:r>
            <w:r>
              <w:rPr>
                <w:sz w:val="18"/>
              </w:rPr>
              <w:t>on</w:t>
            </w:r>
            <w:r>
              <w:rPr>
                <w:spacing w:val="17"/>
                <w:sz w:val="18"/>
              </w:rPr>
              <w:t xml:space="preserve"> </w:t>
            </w:r>
            <w:r>
              <w:rPr>
                <w:spacing w:val="-2"/>
                <w:sz w:val="18"/>
              </w:rPr>
              <w:t>investments</w:t>
            </w:r>
          </w:p>
        </w:tc>
        <w:tc>
          <w:tcPr>
            <w:tcW w:w="1184" w:type="dxa"/>
            <w:tcBorders>
              <w:bottom w:val="single" w:sz="6" w:space="0" w:color="000000"/>
            </w:tcBorders>
          </w:tcPr>
          <w:p w14:paraId="3A626174" w14:textId="77777777" w:rsidR="00AC6F3C" w:rsidRDefault="00570E88">
            <w:pPr>
              <w:pStyle w:val="TableParagraph"/>
              <w:spacing w:before="35" w:line="194" w:lineRule="exact"/>
              <w:ind w:left="328" w:right="450"/>
              <w:jc w:val="center"/>
              <w:rPr>
                <w:sz w:val="18"/>
              </w:rPr>
            </w:pPr>
            <w:r>
              <w:rPr>
                <w:spacing w:val="-2"/>
                <w:sz w:val="18"/>
              </w:rPr>
              <w:t>B1-</w:t>
            </w:r>
            <w:r>
              <w:rPr>
                <w:spacing w:val="-10"/>
                <w:sz w:val="18"/>
              </w:rPr>
              <w:t>3</w:t>
            </w:r>
          </w:p>
        </w:tc>
        <w:tc>
          <w:tcPr>
            <w:tcW w:w="1363" w:type="dxa"/>
            <w:tcBorders>
              <w:bottom w:val="single" w:sz="6" w:space="0" w:color="000000"/>
            </w:tcBorders>
            <w:shd w:val="clear" w:color="auto" w:fill="F1F1F1"/>
          </w:tcPr>
          <w:p w14:paraId="6B417AB3" w14:textId="77777777" w:rsidR="00AC6F3C" w:rsidRDefault="00570E88">
            <w:pPr>
              <w:pStyle w:val="TableParagraph"/>
              <w:spacing w:before="35" w:line="194" w:lineRule="exact"/>
              <w:ind w:right="36"/>
              <w:jc w:val="right"/>
              <w:rPr>
                <w:sz w:val="18"/>
              </w:rPr>
            </w:pPr>
            <w:r>
              <w:rPr>
                <w:spacing w:val="-5"/>
                <w:sz w:val="18"/>
              </w:rPr>
              <w:t>974</w:t>
            </w:r>
          </w:p>
        </w:tc>
        <w:tc>
          <w:tcPr>
            <w:tcW w:w="1341" w:type="dxa"/>
            <w:tcBorders>
              <w:bottom w:val="single" w:sz="6" w:space="0" w:color="000000"/>
              <w:right w:val="single" w:sz="6" w:space="0" w:color="000000"/>
            </w:tcBorders>
          </w:tcPr>
          <w:p w14:paraId="4A0D23E1" w14:textId="77777777" w:rsidR="00AC6F3C" w:rsidRDefault="00570E88">
            <w:pPr>
              <w:pStyle w:val="TableParagraph"/>
              <w:spacing w:before="35" w:line="194" w:lineRule="exact"/>
              <w:ind w:right="17"/>
              <w:jc w:val="right"/>
              <w:rPr>
                <w:sz w:val="18"/>
              </w:rPr>
            </w:pPr>
            <w:r>
              <w:rPr>
                <w:spacing w:val="-2"/>
                <w:sz w:val="18"/>
              </w:rPr>
              <w:t>(169)</w:t>
            </w:r>
          </w:p>
        </w:tc>
      </w:tr>
      <w:tr w:rsidR="00AC6F3C" w14:paraId="11F35B23" w14:textId="77777777">
        <w:trPr>
          <w:trHeight w:val="269"/>
        </w:trPr>
        <w:tc>
          <w:tcPr>
            <w:tcW w:w="4843" w:type="dxa"/>
            <w:tcBorders>
              <w:top w:val="single" w:sz="6" w:space="0" w:color="000000"/>
              <w:left w:val="single" w:sz="6" w:space="0" w:color="000000"/>
              <w:bottom w:val="single" w:sz="6" w:space="0" w:color="000000"/>
            </w:tcBorders>
            <w:shd w:val="clear" w:color="auto" w:fill="BEBEBE"/>
          </w:tcPr>
          <w:p w14:paraId="5BB7C509" w14:textId="77777777" w:rsidR="00AC6F3C" w:rsidRDefault="00570E88">
            <w:pPr>
              <w:pStyle w:val="TableParagraph"/>
              <w:spacing w:before="55" w:line="194" w:lineRule="exact"/>
              <w:ind w:left="37"/>
              <w:rPr>
                <w:b/>
                <w:sz w:val="18"/>
              </w:rPr>
            </w:pPr>
            <w:r>
              <w:rPr>
                <w:b/>
                <w:spacing w:val="-4"/>
                <w:sz w:val="18"/>
              </w:rPr>
              <w:t xml:space="preserve">Total </w:t>
            </w:r>
            <w:r>
              <w:rPr>
                <w:b/>
                <w:spacing w:val="-2"/>
                <w:sz w:val="18"/>
              </w:rPr>
              <w:t>revenue</w:t>
            </w:r>
          </w:p>
        </w:tc>
        <w:tc>
          <w:tcPr>
            <w:tcW w:w="1184" w:type="dxa"/>
            <w:tcBorders>
              <w:top w:val="single" w:sz="6" w:space="0" w:color="000000"/>
              <w:bottom w:val="single" w:sz="6" w:space="0" w:color="000000"/>
            </w:tcBorders>
            <w:shd w:val="clear" w:color="auto" w:fill="BEBEBE"/>
          </w:tcPr>
          <w:p w14:paraId="340ED3FF" w14:textId="77777777" w:rsidR="00AC6F3C" w:rsidRDefault="00AC6F3C">
            <w:pPr>
              <w:pStyle w:val="TableParagraph"/>
              <w:rPr>
                <w:rFonts w:ascii="Times New Roman"/>
                <w:sz w:val="18"/>
              </w:rPr>
            </w:pPr>
          </w:p>
        </w:tc>
        <w:tc>
          <w:tcPr>
            <w:tcW w:w="1363" w:type="dxa"/>
            <w:tcBorders>
              <w:top w:val="single" w:sz="6" w:space="0" w:color="000000"/>
              <w:bottom w:val="single" w:sz="6" w:space="0" w:color="000000"/>
            </w:tcBorders>
            <w:shd w:val="clear" w:color="auto" w:fill="BEBEBE"/>
          </w:tcPr>
          <w:p w14:paraId="37E79C6D" w14:textId="77777777" w:rsidR="00AC6F3C" w:rsidRDefault="00570E88">
            <w:pPr>
              <w:pStyle w:val="TableParagraph"/>
              <w:spacing w:before="55" w:line="194" w:lineRule="exact"/>
              <w:ind w:right="36"/>
              <w:jc w:val="right"/>
              <w:rPr>
                <w:b/>
                <w:sz w:val="18"/>
              </w:rPr>
            </w:pPr>
            <w:r>
              <w:rPr>
                <w:b/>
                <w:spacing w:val="-2"/>
                <w:sz w:val="18"/>
              </w:rPr>
              <w:t>2,101</w:t>
            </w:r>
          </w:p>
        </w:tc>
        <w:tc>
          <w:tcPr>
            <w:tcW w:w="1341" w:type="dxa"/>
            <w:tcBorders>
              <w:top w:val="single" w:sz="6" w:space="0" w:color="000000"/>
              <w:bottom w:val="single" w:sz="6" w:space="0" w:color="000000"/>
              <w:right w:val="single" w:sz="6" w:space="0" w:color="000000"/>
            </w:tcBorders>
            <w:shd w:val="clear" w:color="auto" w:fill="BEBEBE"/>
          </w:tcPr>
          <w:p w14:paraId="4B68E3AE" w14:textId="77777777" w:rsidR="00AC6F3C" w:rsidRDefault="00570E88">
            <w:pPr>
              <w:pStyle w:val="TableParagraph"/>
              <w:spacing w:before="55" w:line="194" w:lineRule="exact"/>
              <w:ind w:right="18"/>
              <w:jc w:val="right"/>
              <w:rPr>
                <w:b/>
                <w:sz w:val="18"/>
              </w:rPr>
            </w:pPr>
            <w:r>
              <w:rPr>
                <w:b/>
                <w:spacing w:val="-2"/>
                <w:sz w:val="18"/>
              </w:rPr>
              <w:t>(1,119)</w:t>
            </w:r>
          </w:p>
        </w:tc>
      </w:tr>
      <w:tr w:rsidR="00AC6F3C" w14:paraId="4DFE0B22" w14:textId="77777777">
        <w:trPr>
          <w:trHeight w:val="588"/>
        </w:trPr>
        <w:tc>
          <w:tcPr>
            <w:tcW w:w="4843" w:type="dxa"/>
            <w:tcBorders>
              <w:top w:val="single" w:sz="6" w:space="0" w:color="000000"/>
              <w:left w:val="single" w:sz="6" w:space="0" w:color="000000"/>
            </w:tcBorders>
          </w:tcPr>
          <w:p w14:paraId="3FFC07C9" w14:textId="77777777" w:rsidR="00AC6F3C" w:rsidRDefault="00AC6F3C">
            <w:pPr>
              <w:pStyle w:val="TableParagraph"/>
              <w:spacing w:before="6"/>
              <w:rPr>
                <w:sz w:val="29"/>
              </w:rPr>
            </w:pPr>
          </w:p>
          <w:p w14:paraId="42C37B18" w14:textId="77777777" w:rsidR="00AC6F3C" w:rsidRDefault="00570E88">
            <w:pPr>
              <w:pStyle w:val="TableParagraph"/>
              <w:ind w:left="36"/>
              <w:rPr>
                <w:b/>
                <w:sz w:val="18"/>
              </w:rPr>
            </w:pPr>
            <w:r>
              <w:rPr>
                <w:b/>
                <w:spacing w:val="-2"/>
                <w:sz w:val="18"/>
              </w:rPr>
              <w:t>Expenses</w:t>
            </w:r>
          </w:p>
        </w:tc>
        <w:tc>
          <w:tcPr>
            <w:tcW w:w="1184" w:type="dxa"/>
            <w:tcBorders>
              <w:top w:val="single" w:sz="6" w:space="0" w:color="000000"/>
            </w:tcBorders>
          </w:tcPr>
          <w:p w14:paraId="60560FB9" w14:textId="77777777" w:rsidR="00AC6F3C" w:rsidRDefault="00AC6F3C">
            <w:pPr>
              <w:pStyle w:val="TableParagraph"/>
              <w:rPr>
                <w:rFonts w:ascii="Times New Roman"/>
                <w:sz w:val="18"/>
              </w:rPr>
            </w:pPr>
          </w:p>
        </w:tc>
        <w:tc>
          <w:tcPr>
            <w:tcW w:w="1363" w:type="dxa"/>
            <w:tcBorders>
              <w:top w:val="single" w:sz="6" w:space="0" w:color="000000"/>
            </w:tcBorders>
            <w:shd w:val="clear" w:color="auto" w:fill="F1F1F1"/>
          </w:tcPr>
          <w:p w14:paraId="60A61B66" w14:textId="77777777" w:rsidR="00AC6F3C" w:rsidRDefault="00AC6F3C">
            <w:pPr>
              <w:pStyle w:val="TableParagraph"/>
              <w:rPr>
                <w:rFonts w:ascii="Times New Roman"/>
                <w:sz w:val="18"/>
              </w:rPr>
            </w:pPr>
          </w:p>
        </w:tc>
        <w:tc>
          <w:tcPr>
            <w:tcW w:w="1341" w:type="dxa"/>
            <w:tcBorders>
              <w:top w:val="single" w:sz="6" w:space="0" w:color="000000"/>
              <w:right w:val="single" w:sz="6" w:space="0" w:color="000000"/>
            </w:tcBorders>
          </w:tcPr>
          <w:p w14:paraId="5F76072C" w14:textId="77777777" w:rsidR="00AC6F3C" w:rsidRDefault="00AC6F3C">
            <w:pPr>
              <w:pStyle w:val="TableParagraph"/>
              <w:rPr>
                <w:rFonts w:ascii="Times New Roman"/>
                <w:sz w:val="18"/>
              </w:rPr>
            </w:pPr>
          </w:p>
        </w:tc>
      </w:tr>
      <w:tr w:rsidR="00AC6F3C" w14:paraId="05DFE37B" w14:textId="77777777">
        <w:trPr>
          <w:trHeight w:val="284"/>
        </w:trPr>
        <w:tc>
          <w:tcPr>
            <w:tcW w:w="4843" w:type="dxa"/>
            <w:tcBorders>
              <w:left w:val="single" w:sz="6" w:space="0" w:color="000000"/>
            </w:tcBorders>
          </w:tcPr>
          <w:p w14:paraId="25FE03A0" w14:textId="77777777" w:rsidR="00AC6F3C" w:rsidRDefault="00570E88">
            <w:pPr>
              <w:pStyle w:val="TableParagraph"/>
              <w:spacing w:before="35"/>
              <w:ind w:left="36"/>
              <w:rPr>
                <w:sz w:val="18"/>
              </w:rPr>
            </w:pPr>
            <w:r>
              <w:rPr>
                <w:sz w:val="18"/>
              </w:rPr>
              <w:t>Administration</w:t>
            </w:r>
            <w:r>
              <w:rPr>
                <w:spacing w:val="21"/>
                <w:sz w:val="18"/>
              </w:rPr>
              <w:t xml:space="preserve"> </w:t>
            </w:r>
            <w:r>
              <w:rPr>
                <w:spacing w:val="-2"/>
                <w:sz w:val="18"/>
              </w:rPr>
              <w:t>expenses</w:t>
            </w:r>
          </w:p>
        </w:tc>
        <w:tc>
          <w:tcPr>
            <w:tcW w:w="1184" w:type="dxa"/>
          </w:tcPr>
          <w:p w14:paraId="1CDDD6A9" w14:textId="77777777" w:rsidR="00AC6F3C" w:rsidRDefault="00570E88">
            <w:pPr>
              <w:pStyle w:val="TableParagraph"/>
              <w:spacing w:before="35"/>
              <w:ind w:left="327" w:right="450"/>
              <w:jc w:val="center"/>
              <w:rPr>
                <w:sz w:val="18"/>
              </w:rPr>
            </w:pPr>
            <w:r>
              <w:rPr>
                <w:spacing w:val="-2"/>
                <w:sz w:val="18"/>
              </w:rPr>
              <w:t>B2-</w:t>
            </w:r>
            <w:r>
              <w:rPr>
                <w:spacing w:val="-10"/>
                <w:sz w:val="18"/>
              </w:rPr>
              <w:t>1</w:t>
            </w:r>
          </w:p>
        </w:tc>
        <w:tc>
          <w:tcPr>
            <w:tcW w:w="1363" w:type="dxa"/>
            <w:shd w:val="clear" w:color="auto" w:fill="F1F1F1"/>
          </w:tcPr>
          <w:p w14:paraId="0580DA74" w14:textId="77777777" w:rsidR="00AC6F3C" w:rsidRDefault="00570E88">
            <w:pPr>
              <w:pStyle w:val="TableParagraph"/>
              <w:spacing w:before="35"/>
              <w:ind w:right="37"/>
              <w:jc w:val="right"/>
              <w:rPr>
                <w:sz w:val="18"/>
              </w:rPr>
            </w:pPr>
            <w:r>
              <w:rPr>
                <w:spacing w:val="-5"/>
                <w:sz w:val="18"/>
              </w:rPr>
              <w:t>301</w:t>
            </w:r>
          </w:p>
        </w:tc>
        <w:tc>
          <w:tcPr>
            <w:tcW w:w="1341" w:type="dxa"/>
            <w:tcBorders>
              <w:right w:val="single" w:sz="6" w:space="0" w:color="000000"/>
            </w:tcBorders>
          </w:tcPr>
          <w:p w14:paraId="3B494B70" w14:textId="77777777" w:rsidR="00AC6F3C" w:rsidRDefault="00570E88">
            <w:pPr>
              <w:pStyle w:val="TableParagraph"/>
              <w:spacing w:before="35"/>
              <w:ind w:right="23"/>
              <w:jc w:val="right"/>
              <w:rPr>
                <w:sz w:val="18"/>
              </w:rPr>
            </w:pPr>
            <w:r>
              <w:rPr>
                <w:spacing w:val="-5"/>
                <w:sz w:val="18"/>
              </w:rPr>
              <w:t>330</w:t>
            </w:r>
          </w:p>
        </w:tc>
      </w:tr>
      <w:tr w:rsidR="00AC6F3C" w14:paraId="10AA1872" w14:textId="77777777">
        <w:trPr>
          <w:trHeight w:val="276"/>
        </w:trPr>
        <w:tc>
          <w:tcPr>
            <w:tcW w:w="4843" w:type="dxa"/>
            <w:tcBorders>
              <w:left w:val="single" w:sz="6" w:space="0" w:color="000000"/>
            </w:tcBorders>
          </w:tcPr>
          <w:p w14:paraId="79268659" w14:textId="77777777" w:rsidR="00AC6F3C" w:rsidRDefault="00570E88">
            <w:pPr>
              <w:pStyle w:val="TableParagraph"/>
              <w:spacing w:before="35"/>
              <w:ind w:left="36"/>
              <w:rPr>
                <w:sz w:val="18"/>
              </w:rPr>
            </w:pPr>
            <w:r>
              <w:rPr>
                <w:sz w:val="18"/>
              </w:rPr>
              <w:t>Notified</w:t>
            </w:r>
            <w:r>
              <w:rPr>
                <w:spacing w:val="9"/>
                <w:sz w:val="18"/>
              </w:rPr>
              <w:t xml:space="preserve"> </w:t>
            </w:r>
            <w:r>
              <w:rPr>
                <w:sz w:val="18"/>
              </w:rPr>
              <w:t>claims</w:t>
            </w:r>
            <w:r>
              <w:rPr>
                <w:spacing w:val="21"/>
                <w:sz w:val="18"/>
              </w:rPr>
              <w:t xml:space="preserve"> </w:t>
            </w:r>
            <w:r>
              <w:rPr>
                <w:sz w:val="18"/>
              </w:rPr>
              <w:t>(net</w:t>
            </w:r>
            <w:r>
              <w:rPr>
                <w:spacing w:val="-3"/>
                <w:sz w:val="18"/>
              </w:rPr>
              <w:t xml:space="preserve"> </w:t>
            </w:r>
            <w:r>
              <w:rPr>
                <w:sz w:val="18"/>
              </w:rPr>
              <w:t>of</w:t>
            </w:r>
            <w:r>
              <w:rPr>
                <w:spacing w:val="-3"/>
                <w:sz w:val="18"/>
              </w:rPr>
              <w:t xml:space="preserve"> </w:t>
            </w:r>
            <w:r>
              <w:rPr>
                <w:spacing w:val="-2"/>
                <w:sz w:val="18"/>
              </w:rPr>
              <w:t>reversals)</w:t>
            </w:r>
          </w:p>
        </w:tc>
        <w:tc>
          <w:tcPr>
            <w:tcW w:w="1184" w:type="dxa"/>
          </w:tcPr>
          <w:p w14:paraId="55FD0C07" w14:textId="77777777" w:rsidR="00AC6F3C" w:rsidRDefault="00570E88">
            <w:pPr>
              <w:pStyle w:val="TableParagraph"/>
              <w:spacing w:before="35"/>
              <w:ind w:left="328" w:right="446"/>
              <w:jc w:val="center"/>
              <w:rPr>
                <w:sz w:val="18"/>
              </w:rPr>
            </w:pPr>
            <w:r>
              <w:rPr>
                <w:spacing w:val="-5"/>
                <w:sz w:val="18"/>
              </w:rPr>
              <w:t>C6</w:t>
            </w:r>
          </w:p>
        </w:tc>
        <w:tc>
          <w:tcPr>
            <w:tcW w:w="1363" w:type="dxa"/>
            <w:shd w:val="clear" w:color="auto" w:fill="F1F1F1"/>
          </w:tcPr>
          <w:p w14:paraId="67C34095" w14:textId="77777777" w:rsidR="00AC6F3C" w:rsidRDefault="00570E88">
            <w:pPr>
              <w:pStyle w:val="TableParagraph"/>
              <w:spacing w:before="35"/>
              <w:ind w:right="37"/>
              <w:jc w:val="right"/>
              <w:rPr>
                <w:sz w:val="18"/>
              </w:rPr>
            </w:pPr>
            <w:r>
              <w:rPr>
                <w:spacing w:val="-5"/>
                <w:sz w:val="18"/>
              </w:rPr>
              <w:t>973</w:t>
            </w:r>
          </w:p>
        </w:tc>
        <w:tc>
          <w:tcPr>
            <w:tcW w:w="1341" w:type="dxa"/>
            <w:tcBorders>
              <w:right w:val="single" w:sz="6" w:space="0" w:color="000000"/>
            </w:tcBorders>
          </w:tcPr>
          <w:p w14:paraId="48917E61" w14:textId="77777777" w:rsidR="00AC6F3C" w:rsidRDefault="00570E88">
            <w:pPr>
              <w:pStyle w:val="TableParagraph"/>
              <w:spacing w:before="35"/>
              <w:ind w:right="23"/>
              <w:jc w:val="right"/>
              <w:rPr>
                <w:sz w:val="18"/>
              </w:rPr>
            </w:pPr>
            <w:r>
              <w:rPr>
                <w:spacing w:val="-2"/>
                <w:sz w:val="18"/>
              </w:rPr>
              <w:t>3,388</w:t>
            </w:r>
          </w:p>
        </w:tc>
      </w:tr>
      <w:tr w:rsidR="00AC6F3C" w14:paraId="77FE6707" w14:textId="77777777">
        <w:trPr>
          <w:trHeight w:val="284"/>
        </w:trPr>
        <w:tc>
          <w:tcPr>
            <w:tcW w:w="4843" w:type="dxa"/>
            <w:tcBorders>
              <w:left w:val="single" w:sz="6" w:space="0" w:color="000000"/>
            </w:tcBorders>
          </w:tcPr>
          <w:p w14:paraId="687892A5" w14:textId="77777777" w:rsidR="00AC6F3C" w:rsidRDefault="00570E88">
            <w:pPr>
              <w:pStyle w:val="TableParagraph"/>
              <w:spacing w:before="28"/>
              <w:ind w:left="36"/>
              <w:rPr>
                <w:sz w:val="18"/>
              </w:rPr>
            </w:pPr>
            <w:r>
              <w:rPr>
                <w:sz w:val="18"/>
              </w:rPr>
              <w:t xml:space="preserve">Investment </w:t>
            </w:r>
            <w:r>
              <w:rPr>
                <w:spacing w:val="-4"/>
                <w:sz w:val="18"/>
              </w:rPr>
              <w:t>fees</w:t>
            </w:r>
          </w:p>
        </w:tc>
        <w:tc>
          <w:tcPr>
            <w:tcW w:w="1184" w:type="dxa"/>
          </w:tcPr>
          <w:p w14:paraId="749EBDD9" w14:textId="77777777" w:rsidR="00AC6F3C" w:rsidRDefault="00AC6F3C">
            <w:pPr>
              <w:pStyle w:val="TableParagraph"/>
              <w:rPr>
                <w:rFonts w:ascii="Times New Roman"/>
                <w:sz w:val="18"/>
              </w:rPr>
            </w:pPr>
          </w:p>
        </w:tc>
        <w:tc>
          <w:tcPr>
            <w:tcW w:w="1363" w:type="dxa"/>
            <w:shd w:val="clear" w:color="auto" w:fill="F1F1F1"/>
          </w:tcPr>
          <w:p w14:paraId="08E61BFB" w14:textId="77777777" w:rsidR="00AC6F3C" w:rsidRDefault="00570E88">
            <w:pPr>
              <w:pStyle w:val="TableParagraph"/>
              <w:spacing w:before="28"/>
              <w:ind w:right="38"/>
              <w:jc w:val="right"/>
              <w:rPr>
                <w:sz w:val="18"/>
              </w:rPr>
            </w:pPr>
            <w:r>
              <w:rPr>
                <w:spacing w:val="-5"/>
                <w:sz w:val="18"/>
              </w:rPr>
              <w:t>88</w:t>
            </w:r>
          </w:p>
        </w:tc>
        <w:tc>
          <w:tcPr>
            <w:tcW w:w="1341" w:type="dxa"/>
            <w:tcBorders>
              <w:right w:val="single" w:sz="6" w:space="0" w:color="000000"/>
            </w:tcBorders>
          </w:tcPr>
          <w:p w14:paraId="7ECC2041" w14:textId="77777777" w:rsidR="00AC6F3C" w:rsidRDefault="00570E88">
            <w:pPr>
              <w:pStyle w:val="TableParagraph"/>
              <w:spacing w:before="28"/>
              <w:ind w:right="22"/>
              <w:jc w:val="right"/>
              <w:rPr>
                <w:sz w:val="18"/>
              </w:rPr>
            </w:pPr>
            <w:r>
              <w:rPr>
                <w:spacing w:val="-5"/>
                <w:sz w:val="18"/>
              </w:rPr>
              <w:t>52</w:t>
            </w:r>
          </w:p>
        </w:tc>
      </w:tr>
      <w:tr w:rsidR="00AC6F3C" w14:paraId="5DC2D9F7" w14:textId="77777777">
        <w:trPr>
          <w:trHeight w:val="257"/>
        </w:trPr>
        <w:tc>
          <w:tcPr>
            <w:tcW w:w="4843" w:type="dxa"/>
            <w:tcBorders>
              <w:left w:val="single" w:sz="6" w:space="0" w:color="000000"/>
              <w:bottom w:val="single" w:sz="6" w:space="0" w:color="000000"/>
            </w:tcBorders>
          </w:tcPr>
          <w:p w14:paraId="75C37CD6" w14:textId="77777777" w:rsidR="00AC6F3C" w:rsidRDefault="00570E88">
            <w:pPr>
              <w:pStyle w:val="TableParagraph"/>
              <w:spacing w:before="43" w:line="194" w:lineRule="exact"/>
              <w:ind w:left="36"/>
              <w:rPr>
                <w:sz w:val="18"/>
              </w:rPr>
            </w:pPr>
            <w:r>
              <w:rPr>
                <w:sz w:val="18"/>
              </w:rPr>
              <w:t>Management</w:t>
            </w:r>
            <w:r>
              <w:rPr>
                <w:spacing w:val="-6"/>
                <w:sz w:val="18"/>
              </w:rPr>
              <w:t xml:space="preserve"> </w:t>
            </w:r>
            <w:r>
              <w:rPr>
                <w:sz w:val="18"/>
              </w:rPr>
              <w:t>fees</w:t>
            </w:r>
            <w:r>
              <w:rPr>
                <w:spacing w:val="18"/>
                <w:sz w:val="18"/>
              </w:rPr>
              <w:t xml:space="preserve"> </w:t>
            </w:r>
            <w:r>
              <w:rPr>
                <w:sz w:val="18"/>
              </w:rPr>
              <w:t>paid</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Queensland</w:t>
            </w:r>
            <w:r>
              <w:rPr>
                <w:spacing w:val="6"/>
                <w:sz w:val="18"/>
              </w:rPr>
              <w:t xml:space="preserve"> </w:t>
            </w:r>
            <w:r>
              <w:rPr>
                <w:sz w:val="18"/>
              </w:rPr>
              <w:t>Law</w:t>
            </w:r>
            <w:r>
              <w:rPr>
                <w:spacing w:val="6"/>
                <w:sz w:val="18"/>
              </w:rPr>
              <w:t xml:space="preserve"> </w:t>
            </w:r>
            <w:r>
              <w:rPr>
                <w:spacing w:val="-2"/>
                <w:sz w:val="18"/>
              </w:rPr>
              <w:t>Society</w:t>
            </w:r>
          </w:p>
        </w:tc>
        <w:tc>
          <w:tcPr>
            <w:tcW w:w="1184" w:type="dxa"/>
            <w:tcBorders>
              <w:bottom w:val="single" w:sz="6" w:space="0" w:color="000000"/>
            </w:tcBorders>
          </w:tcPr>
          <w:p w14:paraId="67992356" w14:textId="77777777" w:rsidR="00AC6F3C" w:rsidRDefault="00570E88">
            <w:pPr>
              <w:pStyle w:val="TableParagraph"/>
              <w:spacing w:before="43" w:line="194" w:lineRule="exact"/>
              <w:ind w:left="327" w:right="450"/>
              <w:jc w:val="center"/>
              <w:rPr>
                <w:sz w:val="18"/>
              </w:rPr>
            </w:pPr>
            <w:r>
              <w:rPr>
                <w:spacing w:val="-2"/>
                <w:sz w:val="18"/>
              </w:rPr>
              <w:t>B2-</w:t>
            </w:r>
            <w:r>
              <w:rPr>
                <w:spacing w:val="-10"/>
                <w:sz w:val="18"/>
              </w:rPr>
              <w:t>2</w:t>
            </w:r>
          </w:p>
        </w:tc>
        <w:tc>
          <w:tcPr>
            <w:tcW w:w="1363" w:type="dxa"/>
            <w:tcBorders>
              <w:bottom w:val="single" w:sz="6" w:space="0" w:color="000000"/>
            </w:tcBorders>
            <w:shd w:val="clear" w:color="auto" w:fill="F1F1F1"/>
          </w:tcPr>
          <w:p w14:paraId="78ED9559" w14:textId="77777777" w:rsidR="00AC6F3C" w:rsidRDefault="00570E88">
            <w:pPr>
              <w:pStyle w:val="TableParagraph"/>
              <w:spacing w:before="43" w:line="194" w:lineRule="exact"/>
              <w:ind w:right="37"/>
              <w:jc w:val="right"/>
              <w:rPr>
                <w:sz w:val="18"/>
              </w:rPr>
            </w:pPr>
            <w:r>
              <w:rPr>
                <w:spacing w:val="-5"/>
                <w:sz w:val="18"/>
              </w:rPr>
              <w:t>877</w:t>
            </w:r>
          </w:p>
        </w:tc>
        <w:tc>
          <w:tcPr>
            <w:tcW w:w="1341" w:type="dxa"/>
            <w:tcBorders>
              <w:bottom w:val="single" w:sz="6" w:space="0" w:color="000000"/>
              <w:right w:val="single" w:sz="6" w:space="0" w:color="000000"/>
            </w:tcBorders>
          </w:tcPr>
          <w:p w14:paraId="4D8761E1" w14:textId="77777777" w:rsidR="00AC6F3C" w:rsidRDefault="00570E88">
            <w:pPr>
              <w:pStyle w:val="TableParagraph"/>
              <w:spacing w:before="43" w:line="194" w:lineRule="exact"/>
              <w:ind w:right="23"/>
              <w:jc w:val="right"/>
              <w:rPr>
                <w:sz w:val="18"/>
              </w:rPr>
            </w:pPr>
            <w:r>
              <w:rPr>
                <w:spacing w:val="-5"/>
                <w:sz w:val="18"/>
              </w:rPr>
              <w:t>843</w:t>
            </w:r>
          </w:p>
        </w:tc>
      </w:tr>
      <w:tr w:rsidR="00AC6F3C" w14:paraId="33B99DCD" w14:textId="77777777">
        <w:trPr>
          <w:trHeight w:val="269"/>
        </w:trPr>
        <w:tc>
          <w:tcPr>
            <w:tcW w:w="4843" w:type="dxa"/>
            <w:tcBorders>
              <w:top w:val="single" w:sz="6" w:space="0" w:color="000000"/>
              <w:left w:val="single" w:sz="6" w:space="0" w:color="000000"/>
              <w:bottom w:val="single" w:sz="6" w:space="0" w:color="000000"/>
            </w:tcBorders>
            <w:shd w:val="clear" w:color="auto" w:fill="BEBEBE"/>
          </w:tcPr>
          <w:p w14:paraId="1730C1C8" w14:textId="77777777" w:rsidR="00AC6F3C" w:rsidRDefault="00570E88">
            <w:pPr>
              <w:pStyle w:val="TableParagraph"/>
              <w:spacing w:before="55" w:line="194" w:lineRule="exact"/>
              <w:ind w:left="36"/>
              <w:rPr>
                <w:b/>
                <w:sz w:val="18"/>
              </w:rPr>
            </w:pPr>
            <w:r>
              <w:rPr>
                <w:b/>
                <w:spacing w:val="-4"/>
                <w:sz w:val="18"/>
              </w:rPr>
              <w:t>Total</w:t>
            </w:r>
            <w:r>
              <w:rPr>
                <w:b/>
                <w:spacing w:val="-2"/>
                <w:sz w:val="18"/>
              </w:rPr>
              <w:t xml:space="preserve"> expenses</w:t>
            </w:r>
          </w:p>
        </w:tc>
        <w:tc>
          <w:tcPr>
            <w:tcW w:w="1184" w:type="dxa"/>
            <w:tcBorders>
              <w:top w:val="single" w:sz="6" w:space="0" w:color="000000"/>
              <w:bottom w:val="single" w:sz="6" w:space="0" w:color="000000"/>
            </w:tcBorders>
            <w:shd w:val="clear" w:color="auto" w:fill="BEBEBE"/>
          </w:tcPr>
          <w:p w14:paraId="4486E275" w14:textId="77777777" w:rsidR="00AC6F3C" w:rsidRDefault="00AC6F3C">
            <w:pPr>
              <w:pStyle w:val="TableParagraph"/>
              <w:rPr>
                <w:rFonts w:ascii="Times New Roman"/>
                <w:sz w:val="18"/>
              </w:rPr>
            </w:pPr>
          </w:p>
        </w:tc>
        <w:tc>
          <w:tcPr>
            <w:tcW w:w="1363" w:type="dxa"/>
            <w:tcBorders>
              <w:top w:val="single" w:sz="6" w:space="0" w:color="000000"/>
              <w:bottom w:val="single" w:sz="6" w:space="0" w:color="000000"/>
            </w:tcBorders>
            <w:shd w:val="clear" w:color="auto" w:fill="BEBEBE"/>
          </w:tcPr>
          <w:p w14:paraId="05AA8351" w14:textId="77777777" w:rsidR="00AC6F3C" w:rsidRDefault="00570E88">
            <w:pPr>
              <w:pStyle w:val="TableParagraph"/>
              <w:spacing w:before="55" w:line="194" w:lineRule="exact"/>
              <w:ind w:right="37"/>
              <w:jc w:val="right"/>
              <w:rPr>
                <w:b/>
                <w:sz w:val="18"/>
              </w:rPr>
            </w:pPr>
            <w:r>
              <w:rPr>
                <w:b/>
                <w:spacing w:val="-2"/>
                <w:sz w:val="18"/>
              </w:rPr>
              <w:t>2,239</w:t>
            </w:r>
          </w:p>
        </w:tc>
        <w:tc>
          <w:tcPr>
            <w:tcW w:w="1341" w:type="dxa"/>
            <w:tcBorders>
              <w:top w:val="single" w:sz="6" w:space="0" w:color="000000"/>
              <w:bottom w:val="single" w:sz="6" w:space="0" w:color="000000"/>
              <w:right w:val="single" w:sz="6" w:space="0" w:color="000000"/>
            </w:tcBorders>
            <w:shd w:val="clear" w:color="auto" w:fill="BEBEBE"/>
          </w:tcPr>
          <w:p w14:paraId="797C619C" w14:textId="77777777" w:rsidR="00AC6F3C" w:rsidRDefault="00570E88">
            <w:pPr>
              <w:pStyle w:val="TableParagraph"/>
              <w:spacing w:before="55" w:line="194" w:lineRule="exact"/>
              <w:ind w:right="23"/>
              <w:jc w:val="right"/>
              <w:rPr>
                <w:b/>
                <w:sz w:val="18"/>
              </w:rPr>
            </w:pPr>
            <w:r>
              <w:rPr>
                <w:b/>
                <w:spacing w:val="-2"/>
                <w:sz w:val="18"/>
              </w:rPr>
              <w:t>4,613</w:t>
            </w:r>
          </w:p>
        </w:tc>
      </w:tr>
      <w:tr w:rsidR="00AC6F3C" w14:paraId="3560DB5A" w14:textId="77777777">
        <w:trPr>
          <w:trHeight w:val="269"/>
        </w:trPr>
        <w:tc>
          <w:tcPr>
            <w:tcW w:w="6027" w:type="dxa"/>
            <w:gridSpan w:val="2"/>
            <w:tcBorders>
              <w:top w:val="single" w:sz="6" w:space="0" w:color="000000"/>
              <w:left w:val="single" w:sz="6" w:space="0" w:color="000000"/>
              <w:bottom w:val="single" w:sz="6" w:space="0" w:color="000000"/>
            </w:tcBorders>
          </w:tcPr>
          <w:p w14:paraId="72E78C53" w14:textId="77777777" w:rsidR="00AC6F3C" w:rsidRDefault="00AC6F3C">
            <w:pPr>
              <w:pStyle w:val="TableParagraph"/>
              <w:rPr>
                <w:rFonts w:ascii="Times New Roman"/>
                <w:sz w:val="18"/>
              </w:rPr>
            </w:pPr>
          </w:p>
        </w:tc>
        <w:tc>
          <w:tcPr>
            <w:tcW w:w="1363" w:type="dxa"/>
            <w:tcBorders>
              <w:top w:val="single" w:sz="6" w:space="0" w:color="000000"/>
              <w:bottom w:val="single" w:sz="6" w:space="0" w:color="000000"/>
            </w:tcBorders>
            <w:shd w:val="clear" w:color="auto" w:fill="F1F1F1"/>
          </w:tcPr>
          <w:p w14:paraId="37FF379A" w14:textId="77777777" w:rsidR="00AC6F3C" w:rsidRDefault="00AC6F3C">
            <w:pPr>
              <w:pStyle w:val="TableParagraph"/>
              <w:rPr>
                <w:rFonts w:ascii="Times New Roman"/>
                <w:sz w:val="18"/>
              </w:rPr>
            </w:pPr>
          </w:p>
        </w:tc>
        <w:tc>
          <w:tcPr>
            <w:tcW w:w="1341" w:type="dxa"/>
            <w:tcBorders>
              <w:top w:val="single" w:sz="6" w:space="0" w:color="000000"/>
              <w:bottom w:val="single" w:sz="6" w:space="0" w:color="000000"/>
              <w:right w:val="single" w:sz="6" w:space="0" w:color="000000"/>
            </w:tcBorders>
          </w:tcPr>
          <w:p w14:paraId="5504D4B4" w14:textId="77777777" w:rsidR="00AC6F3C" w:rsidRDefault="00AC6F3C">
            <w:pPr>
              <w:pStyle w:val="TableParagraph"/>
              <w:rPr>
                <w:rFonts w:ascii="Times New Roman"/>
                <w:sz w:val="18"/>
              </w:rPr>
            </w:pPr>
          </w:p>
        </w:tc>
      </w:tr>
      <w:tr w:rsidR="00AC6F3C" w14:paraId="3924EA7B" w14:textId="77777777">
        <w:trPr>
          <w:trHeight w:val="269"/>
        </w:trPr>
        <w:tc>
          <w:tcPr>
            <w:tcW w:w="4843" w:type="dxa"/>
            <w:tcBorders>
              <w:top w:val="single" w:sz="6" w:space="0" w:color="000000"/>
              <w:left w:val="single" w:sz="6" w:space="0" w:color="000000"/>
              <w:bottom w:val="single" w:sz="6" w:space="0" w:color="000000"/>
            </w:tcBorders>
            <w:shd w:val="clear" w:color="auto" w:fill="BEBEBE"/>
          </w:tcPr>
          <w:p w14:paraId="5FCBDCFE" w14:textId="77777777" w:rsidR="00AC6F3C" w:rsidRDefault="00570E88">
            <w:pPr>
              <w:pStyle w:val="TableParagraph"/>
              <w:spacing w:before="55" w:line="194" w:lineRule="exact"/>
              <w:ind w:left="36"/>
              <w:rPr>
                <w:b/>
                <w:sz w:val="18"/>
              </w:rPr>
            </w:pPr>
            <w:r>
              <w:rPr>
                <w:b/>
                <w:spacing w:val="-2"/>
                <w:sz w:val="18"/>
              </w:rPr>
              <w:t>Operating</w:t>
            </w:r>
            <w:r>
              <w:rPr>
                <w:b/>
                <w:spacing w:val="-11"/>
                <w:sz w:val="18"/>
              </w:rPr>
              <w:t xml:space="preserve"> </w:t>
            </w:r>
            <w:r>
              <w:rPr>
                <w:b/>
                <w:spacing w:val="-2"/>
                <w:sz w:val="18"/>
              </w:rPr>
              <w:t>result</w:t>
            </w:r>
            <w:r>
              <w:rPr>
                <w:b/>
                <w:spacing w:val="-6"/>
                <w:sz w:val="18"/>
              </w:rPr>
              <w:t xml:space="preserve"> </w:t>
            </w:r>
            <w:r>
              <w:rPr>
                <w:b/>
                <w:spacing w:val="-2"/>
                <w:sz w:val="18"/>
              </w:rPr>
              <w:t>for</w:t>
            </w:r>
            <w:r>
              <w:rPr>
                <w:b/>
                <w:sz w:val="18"/>
              </w:rPr>
              <w:t xml:space="preserve"> </w:t>
            </w:r>
            <w:r>
              <w:rPr>
                <w:b/>
                <w:spacing w:val="-2"/>
                <w:sz w:val="18"/>
              </w:rPr>
              <w:t>the</w:t>
            </w:r>
            <w:r>
              <w:rPr>
                <w:b/>
                <w:spacing w:val="-1"/>
                <w:sz w:val="18"/>
              </w:rPr>
              <w:t xml:space="preserve"> </w:t>
            </w:r>
            <w:r>
              <w:rPr>
                <w:b/>
                <w:spacing w:val="-4"/>
                <w:sz w:val="18"/>
              </w:rPr>
              <w:t>year</w:t>
            </w:r>
          </w:p>
        </w:tc>
        <w:tc>
          <w:tcPr>
            <w:tcW w:w="1184" w:type="dxa"/>
            <w:tcBorders>
              <w:top w:val="single" w:sz="6" w:space="0" w:color="000000"/>
              <w:bottom w:val="single" w:sz="6" w:space="0" w:color="000000"/>
            </w:tcBorders>
            <w:shd w:val="clear" w:color="auto" w:fill="BEBEBE"/>
          </w:tcPr>
          <w:p w14:paraId="2AE9D930" w14:textId="77777777" w:rsidR="00AC6F3C" w:rsidRDefault="00AC6F3C">
            <w:pPr>
              <w:pStyle w:val="TableParagraph"/>
              <w:rPr>
                <w:rFonts w:ascii="Times New Roman"/>
                <w:sz w:val="18"/>
              </w:rPr>
            </w:pPr>
          </w:p>
        </w:tc>
        <w:tc>
          <w:tcPr>
            <w:tcW w:w="1363" w:type="dxa"/>
            <w:tcBorders>
              <w:top w:val="single" w:sz="6" w:space="0" w:color="000000"/>
              <w:bottom w:val="single" w:sz="6" w:space="0" w:color="000000"/>
            </w:tcBorders>
            <w:shd w:val="clear" w:color="auto" w:fill="BEBEBE"/>
          </w:tcPr>
          <w:p w14:paraId="683DC2E7" w14:textId="77777777" w:rsidR="00AC6F3C" w:rsidRDefault="00570E88">
            <w:pPr>
              <w:pStyle w:val="TableParagraph"/>
              <w:spacing w:before="55" w:line="194" w:lineRule="exact"/>
              <w:ind w:right="32"/>
              <w:jc w:val="right"/>
              <w:rPr>
                <w:b/>
                <w:sz w:val="18"/>
              </w:rPr>
            </w:pPr>
            <w:r>
              <w:rPr>
                <w:b/>
                <w:spacing w:val="-2"/>
                <w:sz w:val="18"/>
              </w:rPr>
              <w:t>(138)</w:t>
            </w:r>
          </w:p>
        </w:tc>
        <w:tc>
          <w:tcPr>
            <w:tcW w:w="1341" w:type="dxa"/>
            <w:tcBorders>
              <w:top w:val="single" w:sz="6" w:space="0" w:color="000000"/>
              <w:bottom w:val="single" w:sz="6" w:space="0" w:color="000000"/>
              <w:right w:val="single" w:sz="6" w:space="0" w:color="000000"/>
            </w:tcBorders>
            <w:shd w:val="clear" w:color="auto" w:fill="BEBEBE"/>
          </w:tcPr>
          <w:p w14:paraId="246B082A" w14:textId="77777777" w:rsidR="00AC6F3C" w:rsidRDefault="00570E88">
            <w:pPr>
              <w:pStyle w:val="TableParagraph"/>
              <w:spacing w:before="55" w:line="194" w:lineRule="exact"/>
              <w:ind w:right="18"/>
              <w:jc w:val="right"/>
              <w:rPr>
                <w:b/>
                <w:sz w:val="18"/>
              </w:rPr>
            </w:pPr>
            <w:r>
              <w:rPr>
                <w:b/>
                <w:spacing w:val="-2"/>
                <w:sz w:val="18"/>
              </w:rPr>
              <w:t>(5,732)</w:t>
            </w:r>
          </w:p>
        </w:tc>
      </w:tr>
      <w:tr w:rsidR="00AC6F3C" w14:paraId="103AE4FC" w14:textId="77777777">
        <w:trPr>
          <w:trHeight w:val="553"/>
        </w:trPr>
        <w:tc>
          <w:tcPr>
            <w:tcW w:w="6027" w:type="dxa"/>
            <w:gridSpan w:val="2"/>
            <w:tcBorders>
              <w:top w:val="single" w:sz="6" w:space="0" w:color="000000"/>
              <w:left w:val="single" w:sz="6" w:space="0" w:color="000000"/>
              <w:bottom w:val="single" w:sz="6" w:space="0" w:color="000000"/>
            </w:tcBorders>
          </w:tcPr>
          <w:p w14:paraId="58444580" w14:textId="77777777" w:rsidR="00AC6F3C" w:rsidRDefault="00AC6F3C">
            <w:pPr>
              <w:pStyle w:val="TableParagraph"/>
              <w:spacing w:before="5"/>
              <w:rPr>
                <w:sz w:val="29"/>
              </w:rPr>
            </w:pPr>
          </w:p>
          <w:p w14:paraId="4E2B3104" w14:textId="77777777" w:rsidR="00AC6F3C" w:rsidRDefault="00570E88">
            <w:pPr>
              <w:pStyle w:val="TableParagraph"/>
              <w:spacing w:before="1" w:line="194" w:lineRule="exact"/>
              <w:ind w:left="36"/>
              <w:rPr>
                <w:sz w:val="18"/>
              </w:rPr>
            </w:pPr>
            <w:r>
              <w:rPr>
                <w:sz w:val="18"/>
              </w:rPr>
              <w:t>Other</w:t>
            </w:r>
            <w:r>
              <w:rPr>
                <w:spacing w:val="5"/>
                <w:sz w:val="18"/>
              </w:rPr>
              <w:t xml:space="preserve"> </w:t>
            </w:r>
            <w:r>
              <w:rPr>
                <w:sz w:val="18"/>
              </w:rPr>
              <w:t>comprehensive</w:t>
            </w:r>
            <w:r>
              <w:rPr>
                <w:spacing w:val="12"/>
                <w:sz w:val="18"/>
              </w:rPr>
              <w:t xml:space="preserve"> </w:t>
            </w:r>
            <w:r>
              <w:rPr>
                <w:spacing w:val="-2"/>
                <w:sz w:val="18"/>
              </w:rPr>
              <w:t>income</w:t>
            </w:r>
          </w:p>
        </w:tc>
        <w:tc>
          <w:tcPr>
            <w:tcW w:w="1363" w:type="dxa"/>
            <w:tcBorders>
              <w:top w:val="single" w:sz="6" w:space="0" w:color="000000"/>
              <w:bottom w:val="single" w:sz="6" w:space="0" w:color="000000"/>
            </w:tcBorders>
            <w:shd w:val="clear" w:color="auto" w:fill="F1F1F1"/>
          </w:tcPr>
          <w:p w14:paraId="6A044768" w14:textId="77777777" w:rsidR="00AC6F3C" w:rsidRDefault="00AC6F3C">
            <w:pPr>
              <w:pStyle w:val="TableParagraph"/>
              <w:spacing w:before="5"/>
              <w:rPr>
                <w:sz w:val="29"/>
              </w:rPr>
            </w:pPr>
          </w:p>
          <w:p w14:paraId="413462A2" w14:textId="77777777" w:rsidR="00AC6F3C" w:rsidRDefault="00570E88">
            <w:pPr>
              <w:pStyle w:val="TableParagraph"/>
              <w:spacing w:before="1" w:line="194" w:lineRule="exact"/>
              <w:ind w:right="37"/>
              <w:jc w:val="right"/>
              <w:rPr>
                <w:sz w:val="18"/>
              </w:rPr>
            </w:pPr>
            <w:r>
              <w:rPr>
                <w:w w:val="99"/>
                <w:sz w:val="18"/>
              </w:rPr>
              <w:t>-</w:t>
            </w:r>
          </w:p>
        </w:tc>
        <w:tc>
          <w:tcPr>
            <w:tcW w:w="1341" w:type="dxa"/>
            <w:tcBorders>
              <w:top w:val="single" w:sz="6" w:space="0" w:color="000000"/>
              <w:bottom w:val="single" w:sz="6" w:space="0" w:color="000000"/>
              <w:right w:val="single" w:sz="6" w:space="0" w:color="000000"/>
            </w:tcBorders>
          </w:tcPr>
          <w:p w14:paraId="11B8B260" w14:textId="77777777" w:rsidR="00AC6F3C" w:rsidRDefault="00AC6F3C">
            <w:pPr>
              <w:pStyle w:val="TableParagraph"/>
              <w:spacing w:before="5"/>
              <w:rPr>
                <w:sz w:val="29"/>
              </w:rPr>
            </w:pPr>
          </w:p>
          <w:p w14:paraId="759FD853" w14:textId="77777777" w:rsidR="00AC6F3C" w:rsidRDefault="00570E88">
            <w:pPr>
              <w:pStyle w:val="TableParagraph"/>
              <w:spacing w:before="1" w:line="194" w:lineRule="exact"/>
              <w:ind w:right="23"/>
              <w:jc w:val="right"/>
              <w:rPr>
                <w:sz w:val="18"/>
              </w:rPr>
            </w:pPr>
            <w:r>
              <w:rPr>
                <w:w w:val="99"/>
                <w:sz w:val="18"/>
              </w:rPr>
              <w:t>-</w:t>
            </w:r>
          </w:p>
        </w:tc>
      </w:tr>
      <w:tr w:rsidR="00AC6F3C" w14:paraId="02A9D134" w14:textId="77777777">
        <w:trPr>
          <w:trHeight w:val="269"/>
        </w:trPr>
        <w:tc>
          <w:tcPr>
            <w:tcW w:w="4843" w:type="dxa"/>
            <w:tcBorders>
              <w:top w:val="single" w:sz="6" w:space="0" w:color="000000"/>
              <w:left w:val="single" w:sz="6" w:space="0" w:color="000000"/>
              <w:bottom w:val="single" w:sz="6" w:space="0" w:color="000000"/>
            </w:tcBorders>
            <w:shd w:val="clear" w:color="auto" w:fill="BEBEBE"/>
          </w:tcPr>
          <w:p w14:paraId="3E6F62B3" w14:textId="77777777" w:rsidR="00AC6F3C" w:rsidRDefault="00570E88">
            <w:pPr>
              <w:pStyle w:val="TableParagraph"/>
              <w:spacing w:before="55" w:line="194" w:lineRule="exact"/>
              <w:ind w:left="36"/>
              <w:rPr>
                <w:b/>
                <w:sz w:val="18"/>
              </w:rPr>
            </w:pPr>
            <w:r>
              <w:rPr>
                <w:b/>
                <w:spacing w:val="-2"/>
                <w:sz w:val="18"/>
              </w:rPr>
              <w:t>Total</w:t>
            </w:r>
            <w:r>
              <w:rPr>
                <w:b/>
                <w:spacing w:val="-11"/>
                <w:sz w:val="18"/>
              </w:rPr>
              <w:t xml:space="preserve"> </w:t>
            </w:r>
            <w:r>
              <w:rPr>
                <w:b/>
                <w:spacing w:val="-2"/>
                <w:sz w:val="18"/>
              </w:rPr>
              <w:t>comprehensive</w:t>
            </w:r>
            <w:r>
              <w:rPr>
                <w:b/>
                <w:spacing w:val="-3"/>
                <w:sz w:val="18"/>
              </w:rPr>
              <w:t xml:space="preserve"> </w:t>
            </w:r>
            <w:r>
              <w:rPr>
                <w:b/>
                <w:spacing w:val="-2"/>
                <w:sz w:val="18"/>
              </w:rPr>
              <w:t>income for the</w:t>
            </w:r>
            <w:r>
              <w:rPr>
                <w:b/>
                <w:spacing w:val="-1"/>
                <w:sz w:val="18"/>
              </w:rPr>
              <w:t xml:space="preserve"> </w:t>
            </w:r>
            <w:r>
              <w:rPr>
                <w:b/>
                <w:spacing w:val="-4"/>
                <w:sz w:val="18"/>
              </w:rPr>
              <w:t>year</w:t>
            </w:r>
          </w:p>
        </w:tc>
        <w:tc>
          <w:tcPr>
            <w:tcW w:w="1184" w:type="dxa"/>
            <w:tcBorders>
              <w:top w:val="single" w:sz="6" w:space="0" w:color="000000"/>
              <w:bottom w:val="single" w:sz="6" w:space="0" w:color="000000"/>
            </w:tcBorders>
            <w:shd w:val="clear" w:color="auto" w:fill="BEBEBE"/>
          </w:tcPr>
          <w:p w14:paraId="522A4DFC" w14:textId="77777777" w:rsidR="00AC6F3C" w:rsidRDefault="00AC6F3C">
            <w:pPr>
              <w:pStyle w:val="TableParagraph"/>
              <w:rPr>
                <w:rFonts w:ascii="Times New Roman"/>
                <w:sz w:val="18"/>
              </w:rPr>
            </w:pPr>
          </w:p>
        </w:tc>
        <w:tc>
          <w:tcPr>
            <w:tcW w:w="1363" w:type="dxa"/>
            <w:tcBorders>
              <w:top w:val="single" w:sz="6" w:space="0" w:color="000000"/>
              <w:bottom w:val="single" w:sz="6" w:space="0" w:color="000000"/>
            </w:tcBorders>
            <w:shd w:val="clear" w:color="auto" w:fill="BEBEBE"/>
          </w:tcPr>
          <w:p w14:paraId="3BFE9809" w14:textId="77777777" w:rsidR="00AC6F3C" w:rsidRDefault="00570E88">
            <w:pPr>
              <w:pStyle w:val="TableParagraph"/>
              <w:spacing w:before="55" w:line="194" w:lineRule="exact"/>
              <w:ind w:right="32"/>
              <w:jc w:val="right"/>
              <w:rPr>
                <w:b/>
                <w:sz w:val="18"/>
              </w:rPr>
            </w:pPr>
            <w:r>
              <w:rPr>
                <w:b/>
                <w:spacing w:val="-2"/>
                <w:sz w:val="18"/>
              </w:rPr>
              <w:t>(138)</w:t>
            </w:r>
          </w:p>
        </w:tc>
        <w:tc>
          <w:tcPr>
            <w:tcW w:w="1341" w:type="dxa"/>
            <w:tcBorders>
              <w:top w:val="single" w:sz="6" w:space="0" w:color="000000"/>
              <w:bottom w:val="single" w:sz="6" w:space="0" w:color="000000"/>
              <w:right w:val="single" w:sz="6" w:space="0" w:color="000000"/>
            </w:tcBorders>
            <w:shd w:val="clear" w:color="auto" w:fill="BEBEBE"/>
          </w:tcPr>
          <w:p w14:paraId="311B62CB" w14:textId="77777777" w:rsidR="00AC6F3C" w:rsidRDefault="00570E88">
            <w:pPr>
              <w:pStyle w:val="TableParagraph"/>
              <w:spacing w:before="55" w:line="194" w:lineRule="exact"/>
              <w:ind w:right="18"/>
              <w:jc w:val="right"/>
              <w:rPr>
                <w:b/>
                <w:sz w:val="18"/>
              </w:rPr>
            </w:pPr>
            <w:r>
              <w:rPr>
                <w:b/>
                <w:spacing w:val="-2"/>
                <w:sz w:val="18"/>
              </w:rPr>
              <w:t>(5,732)</w:t>
            </w:r>
          </w:p>
        </w:tc>
      </w:tr>
    </w:tbl>
    <w:p w14:paraId="47CB67FF" w14:textId="77777777" w:rsidR="00AC6F3C" w:rsidRDefault="00AC6F3C">
      <w:pPr>
        <w:pStyle w:val="BodyText"/>
      </w:pPr>
    </w:p>
    <w:p w14:paraId="61616CA4" w14:textId="77777777" w:rsidR="00AC6F3C" w:rsidRDefault="00AC6F3C">
      <w:pPr>
        <w:pStyle w:val="BodyText"/>
      </w:pPr>
    </w:p>
    <w:p w14:paraId="7191B999" w14:textId="77777777" w:rsidR="00AC6F3C" w:rsidRDefault="00AC6F3C">
      <w:pPr>
        <w:pStyle w:val="BodyText"/>
      </w:pPr>
    </w:p>
    <w:p w14:paraId="7E8A239B" w14:textId="77777777" w:rsidR="00AC6F3C" w:rsidRDefault="00AC6F3C">
      <w:pPr>
        <w:pStyle w:val="BodyText"/>
      </w:pPr>
    </w:p>
    <w:p w14:paraId="1484E96C" w14:textId="77777777" w:rsidR="00AC6F3C" w:rsidRDefault="00AC6F3C">
      <w:pPr>
        <w:pStyle w:val="BodyText"/>
      </w:pPr>
    </w:p>
    <w:p w14:paraId="49FB8E4E" w14:textId="77777777" w:rsidR="00AC6F3C" w:rsidRDefault="00AC6F3C">
      <w:pPr>
        <w:pStyle w:val="BodyText"/>
      </w:pPr>
    </w:p>
    <w:p w14:paraId="528F1768" w14:textId="77777777" w:rsidR="00AC6F3C" w:rsidRDefault="00AC6F3C">
      <w:pPr>
        <w:pStyle w:val="BodyText"/>
      </w:pPr>
    </w:p>
    <w:p w14:paraId="5681DF26" w14:textId="77777777" w:rsidR="00AC6F3C" w:rsidRDefault="00AC6F3C">
      <w:pPr>
        <w:pStyle w:val="BodyText"/>
      </w:pPr>
    </w:p>
    <w:p w14:paraId="4F5AA3FF" w14:textId="77777777" w:rsidR="00AC6F3C" w:rsidRDefault="00AC6F3C">
      <w:pPr>
        <w:pStyle w:val="BodyText"/>
      </w:pPr>
    </w:p>
    <w:p w14:paraId="63525CC1" w14:textId="77777777" w:rsidR="00AC6F3C" w:rsidRDefault="00AC6F3C">
      <w:pPr>
        <w:pStyle w:val="BodyText"/>
      </w:pPr>
    </w:p>
    <w:p w14:paraId="69BD4043" w14:textId="77777777" w:rsidR="00AC6F3C" w:rsidRDefault="00AC6F3C">
      <w:pPr>
        <w:pStyle w:val="BodyText"/>
      </w:pPr>
    </w:p>
    <w:p w14:paraId="1C57369D" w14:textId="77777777" w:rsidR="00AC6F3C" w:rsidRDefault="00AC6F3C">
      <w:pPr>
        <w:pStyle w:val="BodyText"/>
      </w:pPr>
    </w:p>
    <w:p w14:paraId="58D6EA91" w14:textId="77777777" w:rsidR="00AC6F3C" w:rsidRDefault="00AC6F3C">
      <w:pPr>
        <w:pStyle w:val="BodyText"/>
      </w:pPr>
    </w:p>
    <w:p w14:paraId="47F1AC18" w14:textId="77777777" w:rsidR="00AC6F3C" w:rsidRDefault="00AC6F3C">
      <w:pPr>
        <w:pStyle w:val="BodyText"/>
      </w:pPr>
    </w:p>
    <w:p w14:paraId="1D63F262" w14:textId="77777777" w:rsidR="00AC6F3C" w:rsidRDefault="00AC6F3C">
      <w:pPr>
        <w:pStyle w:val="BodyText"/>
      </w:pPr>
    </w:p>
    <w:p w14:paraId="1E564F07" w14:textId="77777777" w:rsidR="00AC6F3C" w:rsidRDefault="00AC6F3C">
      <w:pPr>
        <w:pStyle w:val="BodyText"/>
      </w:pPr>
    </w:p>
    <w:p w14:paraId="70228693" w14:textId="77777777" w:rsidR="00AC6F3C" w:rsidRDefault="00AC6F3C">
      <w:pPr>
        <w:pStyle w:val="BodyText"/>
      </w:pPr>
    </w:p>
    <w:p w14:paraId="779196BB" w14:textId="77777777" w:rsidR="00AC6F3C" w:rsidRDefault="00AC6F3C">
      <w:pPr>
        <w:pStyle w:val="BodyText"/>
      </w:pPr>
    </w:p>
    <w:p w14:paraId="27508257" w14:textId="77777777" w:rsidR="00AC6F3C" w:rsidRDefault="00AC6F3C">
      <w:pPr>
        <w:pStyle w:val="BodyText"/>
      </w:pPr>
    </w:p>
    <w:p w14:paraId="56A50790" w14:textId="77777777" w:rsidR="00AC6F3C" w:rsidRDefault="00AC6F3C">
      <w:pPr>
        <w:pStyle w:val="BodyText"/>
      </w:pPr>
    </w:p>
    <w:p w14:paraId="142015DA" w14:textId="77777777" w:rsidR="00AC6F3C" w:rsidRDefault="00AC6F3C">
      <w:pPr>
        <w:pStyle w:val="BodyText"/>
      </w:pPr>
    </w:p>
    <w:p w14:paraId="2DF30D4F" w14:textId="77777777" w:rsidR="00AC6F3C" w:rsidRDefault="00AC6F3C">
      <w:pPr>
        <w:pStyle w:val="BodyText"/>
      </w:pPr>
    </w:p>
    <w:p w14:paraId="6052639E" w14:textId="77777777" w:rsidR="00AC6F3C" w:rsidRDefault="00AC6F3C">
      <w:pPr>
        <w:pStyle w:val="BodyText"/>
      </w:pPr>
    </w:p>
    <w:p w14:paraId="53C48F05" w14:textId="77777777" w:rsidR="00AC6F3C" w:rsidRDefault="00AC6F3C">
      <w:pPr>
        <w:pStyle w:val="BodyText"/>
      </w:pPr>
    </w:p>
    <w:p w14:paraId="36AF9EDD" w14:textId="77777777" w:rsidR="00AC6F3C" w:rsidRDefault="00AC6F3C">
      <w:pPr>
        <w:pStyle w:val="BodyText"/>
      </w:pPr>
    </w:p>
    <w:p w14:paraId="0A6E5B48" w14:textId="77777777" w:rsidR="00AC6F3C" w:rsidRDefault="00AC6F3C">
      <w:pPr>
        <w:pStyle w:val="BodyText"/>
      </w:pPr>
    </w:p>
    <w:p w14:paraId="46B08836" w14:textId="77777777" w:rsidR="00AC6F3C" w:rsidRDefault="00AC6F3C">
      <w:pPr>
        <w:pStyle w:val="BodyText"/>
      </w:pPr>
    </w:p>
    <w:p w14:paraId="7D665C26" w14:textId="77777777" w:rsidR="00AC6F3C" w:rsidRDefault="00AC6F3C">
      <w:pPr>
        <w:pStyle w:val="BodyText"/>
        <w:spacing w:before="5"/>
        <w:rPr>
          <w:sz w:val="21"/>
        </w:rPr>
      </w:pPr>
    </w:p>
    <w:p w14:paraId="5AEA2A85" w14:textId="77777777" w:rsidR="00AC6F3C" w:rsidRDefault="00570E88">
      <w:pPr>
        <w:spacing w:before="94"/>
        <w:ind w:left="100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646E0EF3" w14:textId="77777777" w:rsidR="00AC6F3C" w:rsidRDefault="00AC6F3C">
      <w:pPr>
        <w:rPr>
          <w:sz w:val="18"/>
        </w:rPr>
        <w:sectPr w:rsidR="00AC6F3C">
          <w:pgSz w:w="11910" w:h="16840"/>
          <w:pgMar w:top="1580" w:right="1160" w:bottom="520" w:left="460" w:header="1297" w:footer="336" w:gutter="0"/>
          <w:cols w:space="720"/>
        </w:sectPr>
      </w:pPr>
    </w:p>
    <w:p w14:paraId="6D4069EC" w14:textId="77777777" w:rsidR="00AC6F3C" w:rsidRDefault="00570E88">
      <w:pPr>
        <w:ind w:left="979"/>
      </w:pPr>
      <w:r>
        <w:lastRenderedPageBreak/>
        <w:t>Statement</w:t>
      </w:r>
      <w:r>
        <w:rPr>
          <w:spacing w:val="-4"/>
        </w:rPr>
        <w:t xml:space="preserve"> </w:t>
      </w:r>
      <w:r>
        <w:t>of</w:t>
      </w:r>
      <w:r>
        <w:rPr>
          <w:spacing w:val="-4"/>
        </w:rPr>
        <w:t xml:space="preserve"> </w:t>
      </w:r>
      <w:r>
        <w:t>Financial</w:t>
      </w:r>
      <w:r>
        <w:rPr>
          <w:spacing w:val="-3"/>
        </w:rPr>
        <w:t xml:space="preserve"> </w:t>
      </w:r>
      <w:r>
        <w:t>Position</w:t>
      </w:r>
      <w:r>
        <w:rPr>
          <w:spacing w:val="-4"/>
        </w:rPr>
        <w:t xml:space="preserve"> </w:t>
      </w:r>
      <w:r>
        <w:t>as</w:t>
      </w:r>
      <w:r>
        <w:rPr>
          <w:spacing w:val="-2"/>
        </w:rPr>
        <w:t xml:space="preserve"> </w:t>
      </w:r>
      <w:r>
        <w:t>at</w:t>
      </w:r>
      <w:r>
        <w:rPr>
          <w:spacing w:val="-2"/>
        </w:rPr>
        <w:t xml:space="preserve"> </w:t>
      </w:r>
      <w:r>
        <w:t>30</w:t>
      </w:r>
      <w:r>
        <w:rPr>
          <w:spacing w:val="-5"/>
        </w:rPr>
        <w:t xml:space="preserve"> </w:t>
      </w:r>
      <w:r>
        <w:t>June</w:t>
      </w:r>
      <w:r>
        <w:rPr>
          <w:spacing w:val="-5"/>
        </w:rPr>
        <w:t xml:space="preserve"> </w:t>
      </w:r>
      <w:r>
        <w:rPr>
          <w:spacing w:val="-4"/>
        </w:rPr>
        <w:t>2023</w:t>
      </w:r>
    </w:p>
    <w:p w14:paraId="5B2C8748" w14:textId="77777777" w:rsidR="00AC6F3C" w:rsidRDefault="00570E88">
      <w:pPr>
        <w:pStyle w:val="BodyText"/>
        <w:spacing w:before="1"/>
        <w:rPr>
          <w:sz w:val="29"/>
        </w:rPr>
      </w:pPr>
      <w:r>
        <w:rPr>
          <w:noProof/>
        </w:rPr>
        <mc:AlternateContent>
          <mc:Choice Requires="wps">
            <w:drawing>
              <wp:anchor distT="0" distB="0" distL="0" distR="0" simplePos="0" relativeHeight="487717376" behindDoc="1" locked="0" layoutInCell="1" allowOverlap="1" wp14:anchorId="0F184CCA" wp14:editId="3246A92A">
                <wp:simplePos x="0" y="0"/>
                <wp:positionH relativeFrom="page">
                  <wp:posOffset>896045</wp:posOffset>
                </wp:positionH>
                <wp:positionV relativeFrom="paragraph">
                  <wp:posOffset>228083</wp:posOffset>
                </wp:positionV>
                <wp:extent cx="5768340" cy="6350"/>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47551" id="Graphic 892" o:spid="_x0000_s1026" style="position:absolute;margin-left:70.55pt;margin-top:17.95pt;width:454.2pt;height:.5pt;z-index:-1559910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" path="m5767909,6094l,6094,,,5767909,r,6094xe" fillcolor="black" stroked="f">
                <v:path arrowok="t"/>
                <w10:wrap type="topAndBottom" anchorx="page"/>
              </v:shape>
            </w:pict>
          </mc:Fallback>
        </mc:AlternateContent>
      </w:r>
    </w:p>
    <w:p w14:paraId="564EBB6F" w14:textId="77777777" w:rsidR="00AC6F3C" w:rsidRDefault="00AC6F3C">
      <w:pPr>
        <w:pStyle w:val="BodyText"/>
      </w:pPr>
    </w:p>
    <w:p w14:paraId="257968D8" w14:textId="77777777" w:rsidR="00AC6F3C" w:rsidRDefault="00AC6F3C">
      <w:pPr>
        <w:pStyle w:val="BodyText"/>
        <w:spacing w:before="1"/>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65"/>
        <w:gridCol w:w="2261"/>
        <w:gridCol w:w="1362"/>
        <w:gridCol w:w="1340"/>
      </w:tblGrid>
      <w:tr w:rsidR="00AC6F3C" w14:paraId="1D11FD63" w14:textId="77777777">
        <w:trPr>
          <w:trHeight w:val="553"/>
        </w:trPr>
        <w:tc>
          <w:tcPr>
            <w:tcW w:w="6026" w:type="dxa"/>
            <w:gridSpan w:val="2"/>
            <w:tcBorders>
              <w:right w:val="nil"/>
            </w:tcBorders>
            <w:shd w:val="clear" w:color="auto" w:fill="BEBEBE"/>
          </w:tcPr>
          <w:p w14:paraId="3DB7DFF0" w14:textId="77777777" w:rsidR="00AC6F3C" w:rsidRDefault="00AC6F3C">
            <w:pPr>
              <w:pStyle w:val="TableParagraph"/>
              <w:spacing w:before="11"/>
              <w:rPr>
                <w:sz w:val="26"/>
              </w:rPr>
            </w:pPr>
          </w:p>
          <w:p w14:paraId="5216E03D" w14:textId="77777777" w:rsidR="00AC6F3C" w:rsidRDefault="00570E88">
            <w:pPr>
              <w:pStyle w:val="TableParagraph"/>
              <w:ind w:right="413"/>
              <w:jc w:val="right"/>
              <w:rPr>
                <w:b/>
                <w:sz w:val="18"/>
              </w:rPr>
            </w:pPr>
            <w:r>
              <w:rPr>
                <w:b/>
                <w:spacing w:val="-2"/>
                <w:sz w:val="18"/>
              </w:rPr>
              <w:t>Notes</w:t>
            </w:r>
          </w:p>
        </w:tc>
        <w:tc>
          <w:tcPr>
            <w:tcW w:w="1362" w:type="dxa"/>
            <w:tcBorders>
              <w:left w:val="nil"/>
              <w:right w:val="nil"/>
            </w:tcBorders>
            <w:shd w:val="clear" w:color="auto" w:fill="BEBEBE"/>
          </w:tcPr>
          <w:p w14:paraId="52A56D22" w14:textId="77777777" w:rsidR="00AC6F3C" w:rsidRDefault="00570E88">
            <w:pPr>
              <w:pStyle w:val="TableParagraph"/>
              <w:spacing w:before="25"/>
              <w:ind w:left="906"/>
              <w:rPr>
                <w:b/>
                <w:sz w:val="18"/>
              </w:rPr>
            </w:pPr>
            <w:r>
              <w:rPr>
                <w:b/>
                <w:spacing w:val="-4"/>
                <w:sz w:val="18"/>
              </w:rPr>
              <w:t>2023</w:t>
            </w:r>
          </w:p>
          <w:p w14:paraId="2F589D8D" w14:textId="77777777" w:rsidR="00AC6F3C" w:rsidRDefault="00570E88">
            <w:pPr>
              <w:pStyle w:val="TableParagraph"/>
              <w:spacing w:before="108" w:line="194" w:lineRule="exact"/>
              <w:ind w:left="861"/>
              <w:rPr>
                <w:b/>
                <w:sz w:val="18"/>
              </w:rPr>
            </w:pPr>
            <w:r>
              <w:rPr>
                <w:b/>
                <w:spacing w:val="-2"/>
                <w:sz w:val="18"/>
              </w:rPr>
              <w:t>$'000</w:t>
            </w:r>
          </w:p>
        </w:tc>
        <w:tc>
          <w:tcPr>
            <w:tcW w:w="1340" w:type="dxa"/>
            <w:tcBorders>
              <w:left w:val="nil"/>
            </w:tcBorders>
            <w:shd w:val="clear" w:color="auto" w:fill="BEBEBE"/>
          </w:tcPr>
          <w:p w14:paraId="75A0E8C9" w14:textId="77777777" w:rsidR="00AC6F3C" w:rsidRDefault="00570E88">
            <w:pPr>
              <w:pStyle w:val="TableParagraph"/>
              <w:spacing w:before="25"/>
              <w:ind w:left="891"/>
              <w:rPr>
                <w:b/>
                <w:sz w:val="18"/>
              </w:rPr>
            </w:pPr>
            <w:r>
              <w:rPr>
                <w:b/>
                <w:spacing w:val="-4"/>
                <w:sz w:val="18"/>
              </w:rPr>
              <w:t>2022</w:t>
            </w:r>
          </w:p>
          <w:p w14:paraId="390F5A8F" w14:textId="77777777" w:rsidR="00AC6F3C" w:rsidRDefault="00570E88">
            <w:pPr>
              <w:pStyle w:val="TableParagraph"/>
              <w:spacing w:before="108" w:line="194" w:lineRule="exact"/>
              <w:ind w:left="847"/>
              <w:rPr>
                <w:b/>
                <w:sz w:val="18"/>
              </w:rPr>
            </w:pPr>
            <w:r>
              <w:rPr>
                <w:b/>
                <w:spacing w:val="-2"/>
                <w:sz w:val="18"/>
              </w:rPr>
              <w:t>$'000</w:t>
            </w:r>
          </w:p>
        </w:tc>
      </w:tr>
      <w:tr w:rsidR="00AC6F3C" w14:paraId="7D008AC5" w14:textId="77777777">
        <w:trPr>
          <w:trHeight w:val="838"/>
        </w:trPr>
        <w:tc>
          <w:tcPr>
            <w:tcW w:w="3765" w:type="dxa"/>
            <w:tcBorders>
              <w:right w:val="nil"/>
            </w:tcBorders>
          </w:tcPr>
          <w:p w14:paraId="563285D9" w14:textId="77777777" w:rsidR="00AC6F3C" w:rsidRDefault="00570E88">
            <w:pPr>
              <w:pStyle w:val="TableParagraph"/>
              <w:spacing w:before="55"/>
              <w:ind w:left="37"/>
              <w:rPr>
                <w:b/>
                <w:sz w:val="18"/>
              </w:rPr>
            </w:pPr>
            <w:r>
              <w:rPr>
                <w:b/>
                <w:spacing w:val="-2"/>
                <w:sz w:val="18"/>
              </w:rPr>
              <w:t>Current</w:t>
            </w:r>
            <w:r>
              <w:rPr>
                <w:b/>
                <w:spacing w:val="-7"/>
                <w:sz w:val="18"/>
              </w:rPr>
              <w:t xml:space="preserve"> </w:t>
            </w:r>
            <w:r>
              <w:rPr>
                <w:b/>
                <w:spacing w:val="-2"/>
                <w:sz w:val="18"/>
              </w:rPr>
              <w:t>assets</w:t>
            </w:r>
          </w:p>
          <w:p w14:paraId="6B45A93A" w14:textId="77777777" w:rsidR="00AC6F3C" w:rsidRDefault="00570E88">
            <w:pPr>
              <w:pStyle w:val="TableParagraph"/>
              <w:spacing w:line="280" w:lineRule="atLeast"/>
              <w:ind w:left="37" w:right="620"/>
              <w:rPr>
                <w:sz w:val="18"/>
              </w:rPr>
            </w:pPr>
            <w:r>
              <w:rPr>
                <w:sz w:val="18"/>
              </w:rPr>
              <w:t xml:space="preserve">Cash and cash equivalents </w:t>
            </w:r>
            <w:r>
              <w:rPr>
                <w:spacing w:val="-2"/>
                <w:sz w:val="18"/>
              </w:rPr>
              <w:t>Receivables</w:t>
            </w:r>
          </w:p>
        </w:tc>
        <w:tc>
          <w:tcPr>
            <w:tcW w:w="2261" w:type="dxa"/>
            <w:tcBorders>
              <w:left w:val="nil"/>
              <w:right w:val="nil"/>
            </w:tcBorders>
          </w:tcPr>
          <w:p w14:paraId="6A79F647" w14:textId="77777777" w:rsidR="00AC6F3C" w:rsidRDefault="00AC6F3C">
            <w:pPr>
              <w:pStyle w:val="TableParagraph"/>
              <w:spacing w:before="5"/>
            </w:pPr>
          </w:p>
          <w:p w14:paraId="63E9E452" w14:textId="77777777" w:rsidR="00AC6F3C" w:rsidRDefault="00570E88">
            <w:pPr>
              <w:pStyle w:val="TableParagraph"/>
              <w:spacing w:line="280" w:lineRule="atLeast"/>
              <w:ind w:left="1490" w:right="352"/>
              <w:rPr>
                <w:sz w:val="18"/>
              </w:rPr>
            </w:pPr>
            <w:r>
              <w:rPr>
                <w:spacing w:val="-6"/>
                <w:sz w:val="18"/>
              </w:rPr>
              <w:t xml:space="preserve">C1 </w:t>
            </w:r>
            <w:r>
              <w:rPr>
                <w:spacing w:val="-5"/>
                <w:sz w:val="18"/>
              </w:rPr>
              <w:t>C2</w:t>
            </w:r>
          </w:p>
        </w:tc>
        <w:tc>
          <w:tcPr>
            <w:tcW w:w="1362" w:type="dxa"/>
            <w:tcBorders>
              <w:left w:val="nil"/>
              <w:right w:val="nil"/>
            </w:tcBorders>
            <w:shd w:val="clear" w:color="auto" w:fill="F1F1F1"/>
          </w:tcPr>
          <w:p w14:paraId="1EE91886" w14:textId="77777777" w:rsidR="00AC6F3C" w:rsidRDefault="00AC6F3C">
            <w:pPr>
              <w:pStyle w:val="TableParagraph"/>
              <w:spacing w:before="6"/>
              <w:rPr>
                <w:sz w:val="29"/>
              </w:rPr>
            </w:pPr>
          </w:p>
          <w:p w14:paraId="6F5E9462" w14:textId="77777777" w:rsidR="00AC6F3C" w:rsidRDefault="00570E88">
            <w:pPr>
              <w:pStyle w:val="TableParagraph"/>
              <w:ind w:left="861"/>
              <w:rPr>
                <w:sz w:val="18"/>
              </w:rPr>
            </w:pPr>
            <w:r>
              <w:rPr>
                <w:spacing w:val="-2"/>
                <w:sz w:val="18"/>
              </w:rPr>
              <w:t>1,133</w:t>
            </w:r>
          </w:p>
          <w:p w14:paraId="1A6F6D4A" w14:textId="77777777" w:rsidR="00AC6F3C" w:rsidRDefault="00570E88">
            <w:pPr>
              <w:pStyle w:val="TableParagraph"/>
              <w:spacing w:before="77" w:line="194" w:lineRule="exact"/>
              <w:ind w:left="861"/>
              <w:rPr>
                <w:sz w:val="18"/>
              </w:rPr>
            </w:pPr>
            <w:r>
              <w:rPr>
                <w:spacing w:val="-2"/>
                <w:sz w:val="18"/>
              </w:rPr>
              <w:t>3,121</w:t>
            </w:r>
          </w:p>
        </w:tc>
        <w:tc>
          <w:tcPr>
            <w:tcW w:w="1340" w:type="dxa"/>
            <w:tcBorders>
              <w:left w:val="nil"/>
            </w:tcBorders>
          </w:tcPr>
          <w:p w14:paraId="3FC062C2" w14:textId="77777777" w:rsidR="00AC6F3C" w:rsidRDefault="00AC6F3C">
            <w:pPr>
              <w:pStyle w:val="TableParagraph"/>
              <w:spacing w:before="6"/>
              <w:rPr>
                <w:sz w:val="29"/>
              </w:rPr>
            </w:pPr>
          </w:p>
          <w:p w14:paraId="52999321" w14:textId="77777777" w:rsidR="00AC6F3C" w:rsidRDefault="00570E88">
            <w:pPr>
              <w:pStyle w:val="TableParagraph"/>
              <w:ind w:right="19"/>
              <w:jc w:val="right"/>
              <w:rPr>
                <w:sz w:val="18"/>
              </w:rPr>
            </w:pPr>
            <w:r>
              <w:rPr>
                <w:spacing w:val="-2"/>
                <w:sz w:val="18"/>
              </w:rPr>
              <w:t>1,109</w:t>
            </w:r>
          </w:p>
          <w:p w14:paraId="68AE2CFB" w14:textId="77777777" w:rsidR="00AC6F3C" w:rsidRDefault="00570E88">
            <w:pPr>
              <w:pStyle w:val="TableParagraph"/>
              <w:spacing w:before="77" w:line="194" w:lineRule="exact"/>
              <w:ind w:right="19"/>
              <w:jc w:val="right"/>
              <w:rPr>
                <w:sz w:val="18"/>
              </w:rPr>
            </w:pPr>
            <w:r>
              <w:rPr>
                <w:spacing w:val="-5"/>
                <w:sz w:val="18"/>
              </w:rPr>
              <w:t>378</w:t>
            </w:r>
          </w:p>
        </w:tc>
      </w:tr>
      <w:tr w:rsidR="00AC6F3C" w14:paraId="4940031B" w14:textId="77777777">
        <w:trPr>
          <w:trHeight w:val="269"/>
        </w:trPr>
        <w:tc>
          <w:tcPr>
            <w:tcW w:w="3765" w:type="dxa"/>
            <w:tcBorders>
              <w:right w:val="nil"/>
            </w:tcBorders>
            <w:shd w:val="clear" w:color="auto" w:fill="BEBEBE"/>
          </w:tcPr>
          <w:p w14:paraId="18D8B5DC" w14:textId="77777777" w:rsidR="00AC6F3C" w:rsidRDefault="00570E88">
            <w:pPr>
              <w:pStyle w:val="TableParagraph"/>
              <w:spacing w:before="55" w:line="194" w:lineRule="exact"/>
              <w:ind w:left="37"/>
              <w:rPr>
                <w:b/>
                <w:sz w:val="18"/>
              </w:rPr>
            </w:pPr>
            <w:r>
              <w:rPr>
                <w:b/>
                <w:spacing w:val="-2"/>
                <w:sz w:val="18"/>
              </w:rPr>
              <w:t>Total</w:t>
            </w:r>
            <w:r>
              <w:rPr>
                <w:b/>
                <w:spacing w:val="-5"/>
                <w:sz w:val="18"/>
              </w:rPr>
              <w:t xml:space="preserve"> </w:t>
            </w:r>
            <w:r>
              <w:rPr>
                <w:b/>
                <w:spacing w:val="-2"/>
                <w:sz w:val="18"/>
              </w:rPr>
              <w:t>current</w:t>
            </w:r>
            <w:r>
              <w:rPr>
                <w:b/>
                <w:spacing w:val="1"/>
                <w:sz w:val="18"/>
              </w:rPr>
              <w:t xml:space="preserve"> </w:t>
            </w:r>
            <w:r>
              <w:rPr>
                <w:b/>
                <w:spacing w:val="-2"/>
                <w:sz w:val="18"/>
              </w:rPr>
              <w:t>assets</w:t>
            </w:r>
          </w:p>
        </w:tc>
        <w:tc>
          <w:tcPr>
            <w:tcW w:w="2261" w:type="dxa"/>
            <w:tcBorders>
              <w:left w:val="nil"/>
              <w:right w:val="nil"/>
            </w:tcBorders>
            <w:shd w:val="clear" w:color="auto" w:fill="BEBEBE"/>
          </w:tcPr>
          <w:p w14:paraId="4CC56A00"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4C805ADD" w14:textId="77777777" w:rsidR="00AC6F3C" w:rsidRDefault="00570E88">
            <w:pPr>
              <w:pStyle w:val="TableParagraph"/>
              <w:spacing w:before="55" w:line="194" w:lineRule="exact"/>
              <w:ind w:right="34"/>
              <w:jc w:val="right"/>
              <w:rPr>
                <w:b/>
                <w:sz w:val="18"/>
              </w:rPr>
            </w:pPr>
            <w:r>
              <w:rPr>
                <w:b/>
                <w:spacing w:val="-2"/>
                <w:sz w:val="18"/>
              </w:rPr>
              <w:t>4,254</w:t>
            </w:r>
          </w:p>
        </w:tc>
        <w:tc>
          <w:tcPr>
            <w:tcW w:w="1340" w:type="dxa"/>
            <w:tcBorders>
              <w:left w:val="nil"/>
            </w:tcBorders>
            <w:shd w:val="clear" w:color="auto" w:fill="BEBEBE"/>
          </w:tcPr>
          <w:p w14:paraId="732ABA75" w14:textId="77777777" w:rsidR="00AC6F3C" w:rsidRDefault="00570E88">
            <w:pPr>
              <w:pStyle w:val="TableParagraph"/>
              <w:spacing w:before="55" w:line="194" w:lineRule="exact"/>
              <w:ind w:right="19"/>
              <w:jc w:val="right"/>
              <w:rPr>
                <w:b/>
                <w:sz w:val="18"/>
              </w:rPr>
            </w:pPr>
            <w:r>
              <w:rPr>
                <w:b/>
                <w:spacing w:val="-2"/>
                <w:sz w:val="18"/>
              </w:rPr>
              <w:t>1,487</w:t>
            </w:r>
          </w:p>
        </w:tc>
      </w:tr>
      <w:tr w:rsidR="00AC6F3C" w14:paraId="6782E93D" w14:textId="77777777">
        <w:trPr>
          <w:trHeight w:val="838"/>
        </w:trPr>
        <w:tc>
          <w:tcPr>
            <w:tcW w:w="3765" w:type="dxa"/>
            <w:tcBorders>
              <w:right w:val="nil"/>
            </w:tcBorders>
          </w:tcPr>
          <w:p w14:paraId="37C3EC2A" w14:textId="77777777" w:rsidR="00AC6F3C" w:rsidRDefault="00AC6F3C">
            <w:pPr>
              <w:pStyle w:val="TableParagraph"/>
              <w:spacing w:before="6"/>
              <w:rPr>
                <w:sz w:val="29"/>
              </w:rPr>
            </w:pPr>
          </w:p>
          <w:p w14:paraId="7247DA6D" w14:textId="77777777" w:rsidR="00AC6F3C" w:rsidRDefault="00570E88">
            <w:pPr>
              <w:pStyle w:val="TableParagraph"/>
              <w:ind w:left="37"/>
              <w:rPr>
                <w:b/>
                <w:sz w:val="18"/>
              </w:rPr>
            </w:pPr>
            <w:r>
              <w:rPr>
                <w:b/>
                <w:spacing w:val="-2"/>
                <w:sz w:val="18"/>
              </w:rPr>
              <w:t>Non-current</w:t>
            </w:r>
            <w:r>
              <w:rPr>
                <w:b/>
                <w:spacing w:val="-9"/>
                <w:sz w:val="18"/>
              </w:rPr>
              <w:t xml:space="preserve"> </w:t>
            </w:r>
            <w:r>
              <w:rPr>
                <w:b/>
                <w:spacing w:val="-2"/>
                <w:sz w:val="18"/>
              </w:rPr>
              <w:t>assets</w:t>
            </w:r>
          </w:p>
          <w:p w14:paraId="49937943" w14:textId="77777777" w:rsidR="00AC6F3C" w:rsidRDefault="00570E88">
            <w:pPr>
              <w:pStyle w:val="TableParagraph"/>
              <w:spacing w:before="77" w:line="194" w:lineRule="exact"/>
              <w:ind w:left="37"/>
              <w:rPr>
                <w:sz w:val="18"/>
              </w:rPr>
            </w:pPr>
            <w:r>
              <w:rPr>
                <w:spacing w:val="-2"/>
                <w:sz w:val="18"/>
              </w:rPr>
              <w:t>Investments</w:t>
            </w:r>
          </w:p>
        </w:tc>
        <w:tc>
          <w:tcPr>
            <w:tcW w:w="2261" w:type="dxa"/>
            <w:tcBorders>
              <w:left w:val="nil"/>
              <w:right w:val="nil"/>
            </w:tcBorders>
          </w:tcPr>
          <w:p w14:paraId="399FEE4F" w14:textId="77777777" w:rsidR="00AC6F3C" w:rsidRDefault="00AC6F3C">
            <w:pPr>
              <w:pStyle w:val="TableParagraph"/>
              <w:rPr>
                <w:sz w:val="20"/>
              </w:rPr>
            </w:pPr>
          </w:p>
          <w:p w14:paraId="478626EA" w14:textId="77777777" w:rsidR="00AC6F3C" w:rsidRDefault="00AC6F3C">
            <w:pPr>
              <w:pStyle w:val="TableParagraph"/>
              <w:rPr>
                <w:sz w:val="20"/>
              </w:rPr>
            </w:pPr>
          </w:p>
          <w:p w14:paraId="008FAD2A" w14:textId="77777777" w:rsidR="00AC6F3C" w:rsidRDefault="00570E88">
            <w:pPr>
              <w:pStyle w:val="TableParagraph"/>
              <w:spacing w:before="164" w:line="194" w:lineRule="exact"/>
              <w:ind w:left="1490"/>
              <w:rPr>
                <w:sz w:val="18"/>
              </w:rPr>
            </w:pPr>
            <w:r>
              <w:rPr>
                <w:spacing w:val="-5"/>
                <w:sz w:val="18"/>
              </w:rPr>
              <w:t>C3</w:t>
            </w:r>
          </w:p>
        </w:tc>
        <w:tc>
          <w:tcPr>
            <w:tcW w:w="1362" w:type="dxa"/>
            <w:tcBorders>
              <w:left w:val="nil"/>
              <w:right w:val="nil"/>
            </w:tcBorders>
            <w:shd w:val="clear" w:color="auto" w:fill="F1F1F1"/>
          </w:tcPr>
          <w:p w14:paraId="22F2C2AE" w14:textId="77777777" w:rsidR="00AC6F3C" w:rsidRDefault="00AC6F3C">
            <w:pPr>
              <w:pStyle w:val="TableParagraph"/>
              <w:rPr>
                <w:sz w:val="20"/>
              </w:rPr>
            </w:pPr>
          </w:p>
          <w:p w14:paraId="56235D4F" w14:textId="77777777" w:rsidR="00AC6F3C" w:rsidRDefault="00AC6F3C">
            <w:pPr>
              <w:pStyle w:val="TableParagraph"/>
              <w:rPr>
                <w:sz w:val="20"/>
              </w:rPr>
            </w:pPr>
          </w:p>
          <w:p w14:paraId="25BF8BB6" w14:textId="77777777" w:rsidR="00AC6F3C" w:rsidRDefault="00570E88">
            <w:pPr>
              <w:pStyle w:val="TableParagraph"/>
              <w:spacing w:before="164" w:line="194" w:lineRule="exact"/>
              <w:ind w:right="34"/>
              <w:jc w:val="right"/>
              <w:rPr>
                <w:sz w:val="18"/>
              </w:rPr>
            </w:pPr>
            <w:r>
              <w:rPr>
                <w:spacing w:val="-2"/>
                <w:sz w:val="18"/>
              </w:rPr>
              <w:t>19,854</w:t>
            </w:r>
          </w:p>
        </w:tc>
        <w:tc>
          <w:tcPr>
            <w:tcW w:w="1340" w:type="dxa"/>
            <w:tcBorders>
              <w:left w:val="nil"/>
            </w:tcBorders>
          </w:tcPr>
          <w:p w14:paraId="405F8568" w14:textId="77777777" w:rsidR="00AC6F3C" w:rsidRDefault="00AC6F3C">
            <w:pPr>
              <w:pStyle w:val="TableParagraph"/>
              <w:rPr>
                <w:sz w:val="20"/>
              </w:rPr>
            </w:pPr>
          </w:p>
          <w:p w14:paraId="2B8DBAC7" w14:textId="77777777" w:rsidR="00AC6F3C" w:rsidRDefault="00AC6F3C">
            <w:pPr>
              <w:pStyle w:val="TableParagraph"/>
              <w:rPr>
                <w:sz w:val="20"/>
              </w:rPr>
            </w:pPr>
          </w:p>
          <w:p w14:paraId="77432F85" w14:textId="77777777" w:rsidR="00AC6F3C" w:rsidRDefault="00570E88">
            <w:pPr>
              <w:pStyle w:val="TableParagraph"/>
              <w:spacing w:before="164" w:line="194" w:lineRule="exact"/>
              <w:ind w:right="19"/>
              <w:jc w:val="right"/>
              <w:rPr>
                <w:sz w:val="18"/>
              </w:rPr>
            </w:pPr>
            <w:r>
              <w:rPr>
                <w:spacing w:val="-2"/>
                <w:sz w:val="18"/>
              </w:rPr>
              <w:t>21,831</w:t>
            </w:r>
          </w:p>
        </w:tc>
      </w:tr>
      <w:tr w:rsidR="00AC6F3C" w14:paraId="195F12C4" w14:textId="77777777">
        <w:trPr>
          <w:trHeight w:val="269"/>
        </w:trPr>
        <w:tc>
          <w:tcPr>
            <w:tcW w:w="3765" w:type="dxa"/>
            <w:tcBorders>
              <w:right w:val="nil"/>
            </w:tcBorders>
            <w:shd w:val="clear" w:color="auto" w:fill="BEBEBE"/>
          </w:tcPr>
          <w:p w14:paraId="243AC6F7" w14:textId="77777777" w:rsidR="00AC6F3C" w:rsidRDefault="00570E88">
            <w:pPr>
              <w:pStyle w:val="TableParagraph"/>
              <w:spacing w:before="55" w:line="194" w:lineRule="exact"/>
              <w:ind w:left="37"/>
              <w:rPr>
                <w:b/>
                <w:sz w:val="18"/>
              </w:rPr>
            </w:pPr>
            <w:r>
              <w:rPr>
                <w:b/>
                <w:spacing w:val="-2"/>
                <w:sz w:val="18"/>
              </w:rPr>
              <w:t>Total</w:t>
            </w:r>
            <w:r>
              <w:rPr>
                <w:b/>
                <w:spacing w:val="-10"/>
                <w:sz w:val="18"/>
              </w:rPr>
              <w:t xml:space="preserve"> </w:t>
            </w:r>
            <w:r>
              <w:rPr>
                <w:b/>
                <w:spacing w:val="-2"/>
                <w:sz w:val="18"/>
              </w:rPr>
              <w:t>non-current</w:t>
            </w:r>
            <w:r>
              <w:rPr>
                <w:b/>
                <w:spacing w:val="-5"/>
                <w:sz w:val="18"/>
              </w:rPr>
              <w:t xml:space="preserve"> </w:t>
            </w:r>
            <w:r>
              <w:rPr>
                <w:b/>
                <w:spacing w:val="-2"/>
                <w:sz w:val="18"/>
              </w:rPr>
              <w:t>assets</w:t>
            </w:r>
          </w:p>
        </w:tc>
        <w:tc>
          <w:tcPr>
            <w:tcW w:w="2261" w:type="dxa"/>
            <w:tcBorders>
              <w:left w:val="nil"/>
              <w:right w:val="nil"/>
            </w:tcBorders>
            <w:shd w:val="clear" w:color="auto" w:fill="BEBEBE"/>
          </w:tcPr>
          <w:p w14:paraId="7DEFCA98"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733C1364" w14:textId="77777777" w:rsidR="00AC6F3C" w:rsidRDefault="00570E88">
            <w:pPr>
              <w:pStyle w:val="TableParagraph"/>
              <w:spacing w:before="55" w:line="194" w:lineRule="exact"/>
              <w:ind w:right="34"/>
              <w:jc w:val="right"/>
              <w:rPr>
                <w:b/>
                <w:sz w:val="18"/>
              </w:rPr>
            </w:pPr>
            <w:r>
              <w:rPr>
                <w:b/>
                <w:spacing w:val="-2"/>
                <w:sz w:val="18"/>
              </w:rPr>
              <w:t>19,854</w:t>
            </w:r>
          </w:p>
        </w:tc>
        <w:tc>
          <w:tcPr>
            <w:tcW w:w="1340" w:type="dxa"/>
            <w:tcBorders>
              <w:left w:val="nil"/>
              <w:right w:val="nil"/>
            </w:tcBorders>
            <w:shd w:val="clear" w:color="auto" w:fill="BEBEBE"/>
          </w:tcPr>
          <w:p w14:paraId="62C0CC00" w14:textId="77777777" w:rsidR="00AC6F3C" w:rsidRDefault="00570E88">
            <w:pPr>
              <w:pStyle w:val="TableParagraph"/>
              <w:spacing w:before="55" w:line="194" w:lineRule="exact"/>
              <w:ind w:right="27"/>
              <w:jc w:val="right"/>
              <w:rPr>
                <w:b/>
                <w:sz w:val="18"/>
              </w:rPr>
            </w:pPr>
            <w:r>
              <w:rPr>
                <w:b/>
                <w:spacing w:val="-2"/>
                <w:sz w:val="18"/>
              </w:rPr>
              <w:t>21,831</w:t>
            </w:r>
          </w:p>
        </w:tc>
      </w:tr>
      <w:tr w:rsidR="00AC6F3C" w14:paraId="58AC2087" w14:textId="77777777">
        <w:trPr>
          <w:trHeight w:val="269"/>
        </w:trPr>
        <w:tc>
          <w:tcPr>
            <w:tcW w:w="6026" w:type="dxa"/>
            <w:gridSpan w:val="2"/>
            <w:tcBorders>
              <w:right w:val="nil"/>
            </w:tcBorders>
          </w:tcPr>
          <w:p w14:paraId="6F5F98DB" w14:textId="77777777" w:rsidR="00AC6F3C" w:rsidRDefault="00AC6F3C">
            <w:pPr>
              <w:pStyle w:val="TableParagraph"/>
              <w:rPr>
                <w:rFonts w:ascii="Times New Roman"/>
                <w:sz w:val="18"/>
              </w:rPr>
            </w:pPr>
          </w:p>
        </w:tc>
        <w:tc>
          <w:tcPr>
            <w:tcW w:w="1362" w:type="dxa"/>
            <w:tcBorders>
              <w:left w:val="nil"/>
              <w:right w:val="nil"/>
            </w:tcBorders>
            <w:shd w:val="clear" w:color="auto" w:fill="F1F1F1"/>
          </w:tcPr>
          <w:p w14:paraId="4177F77B" w14:textId="77777777" w:rsidR="00AC6F3C" w:rsidRDefault="00AC6F3C">
            <w:pPr>
              <w:pStyle w:val="TableParagraph"/>
              <w:rPr>
                <w:rFonts w:ascii="Times New Roman"/>
                <w:sz w:val="18"/>
              </w:rPr>
            </w:pPr>
          </w:p>
        </w:tc>
        <w:tc>
          <w:tcPr>
            <w:tcW w:w="1340" w:type="dxa"/>
            <w:tcBorders>
              <w:left w:val="nil"/>
            </w:tcBorders>
          </w:tcPr>
          <w:p w14:paraId="325DEF25" w14:textId="77777777" w:rsidR="00AC6F3C" w:rsidRDefault="00AC6F3C">
            <w:pPr>
              <w:pStyle w:val="TableParagraph"/>
              <w:rPr>
                <w:rFonts w:ascii="Times New Roman"/>
                <w:sz w:val="18"/>
              </w:rPr>
            </w:pPr>
          </w:p>
        </w:tc>
      </w:tr>
      <w:tr w:rsidR="00AC6F3C" w14:paraId="5072F630" w14:textId="77777777">
        <w:trPr>
          <w:trHeight w:val="269"/>
        </w:trPr>
        <w:tc>
          <w:tcPr>
            <w:tcW w:w="3765" w:type="dxa"/>
            <w:tcBorders>
              <w:right w:val="nil"/>
            </w:tcBorders>
            <w:shd w:val="clear" w:color="auto" w:fill="BEBEBE"/>
          </w:tcPr>
          <w:p w14:paraId="5E68BCD3" w14:textId="77777777" w:rsidR="00AC6F3C" w:rsidRDefault="00570E88">
            <w:pPr>
              <w:pStyle w:val="TableParagraph"/>
              <w:spacing w:before="55" w:line="194" w:lineRule="exact"/>
              <w:ind w:left="37"/>
              <w:rPr>
                <w:b/>
                <w:sz w:val="18"/>
              </w:rPr>
            </w:pPr>
            <w:r>
              <w:rPr>
                <w:b/>
                <w:spacing w:val="-4"/>
                <w:sz w:val="18"/>
              </w:rPr>
              <w:t>Total</w:t>
            </w:r>
            <w:r>
              <w:rPr>
                <w:b/>
                <w:spacing w:val="-2"/>
                <w:sz w:val="18"/>
              </w:rPr>
              <w:t xml:space="preserve"> assets</w:t>
            </w:r>
          </w:p>
        </w:tc>
        <w:tc>
          <w:tcPr>
            <w:tcW w:w="2261" w:type="dxa"/>
            <w:tcBorders>
              <w:left w:val="nil"/>
              <w:right w:val="nil"/>
            </w:tcBorders>
            <w:shd w:val="clear" w:color="auto" w:fill="BEBEBE"/>
          </w:tcPr>
          <w:p w14:paraId="7320C610"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4B5B44BB" w14:textId="77777777" w:rsidR="00AC6F3C" w:rsidRDefault="00570E88">
            <w:pPr>
              <w:pStyle w:val="TableParagraph"/>
              <w:spacing w:before="55" w:line="194" w:lineRule="exact"/>
              <w:ind w:right="34"/>
              <w:jc w:val="right"/>
              <w:rPr>
                <w:b/>
                <w:sz w:val="18"/>
              </w:rPr>
            </w:pPr>
            <w:r>
              <w:rPr>
                <w:b/>
                <w:spacing w:val="-2"/>
                <w:sz w:val="18"/>
              </w:rPr>
              <w:t>24,108</w:t>
            </w:r>
          </w:p>
        </w:tc>
        <w:tc>
          <w:tcPr>
            <w:tcW w:w="1340" w:type="dxa"/>
            <w:tcBorders>
              <w:left w:val="nil"/>
              <w:right w:val="nil"/>
            </w:tcBorders>
            <w:shd w:val="clear" w:color="auto" w:fill="BEBEBE"/>
          </w:tcPr>
          <w:p w14:paraId="07688996" w14:textId="77777777" w:rsidR="00AC6F3C" w:rsidRDefault="00570E88">
            <w:pPr>
              <w:pStyle w:val="TableParagraph"/>
              <w:spacing w:before="55" w:line="194" w:lineRule="exact"/>
              <w:ind w:right="27"/>
              <w:jc w:val="right"/>
              <w:rPr>
                <w:b/>
                <w:sz w:val="18"/>
              </w:rPr>
            </w:pPr>
            <w:r>
              <w:rPr>
                <w:b/>
                <w:spacing w:val="-2"/>
                <w:sz w:val="18"/>
              </w:rPr>
              <w:t>23,318</w:t>
            </w:r>
          </w:p>
        </w:tc>
      </w:tr>
      <w:tr w:rsidR="00AC6F3C" w14:paraId="5F1C2291" w14:textId="77777777">
        <w:trPr>
          <w:trHeight w:val="1406"/>
        </w:trPr>
        <w:tc>
          <w:tcPr>
            <w:tcW w:w="3765" w:type="dxa"/>
            <w:tcBorders>
              <w:right w:val="nil"/>
            </w:tcBorders>
          </w:tcPr>
          <w:p w14:paraId="655B8034" w14:textId="77777777" w:rsidR="00AC6F3C" w:rsidRDefault="00AC6F3C">
            <w:pPr>
              <w:pStyle w:val="TableParagraph"/>
              <w:spacing w:before="6"/>
              <w:rPr>
                <w:sz w:val="29"/>
              </w:rPr>
            </w:pPr>
          </w:p>
          <w:p w14:paraId="025232E5" w14:textId="77777777" w:rsidR="00AC6F3C" w:rsidRDefault="00570E88">
            <w:pPr>
              <w:pStyle w:val="TableParagraph"/>
              <w:ind w:left="37"/>
              <w:rPr>
                <w:b/>
                <w:sz w:val="18"/>
              </w:rPr>
            </w:pPr>
            <w:r>
              <w:rPr>
                <w:b/>
                <w:spacing w:val="-2"/>
                <w:sz w:val="18"/>
              </w:rPr>
              <w:t>Current</w:t>
            </w:r>
            <w:r>
              <w:rPr>
                <w:b/>
                <w:spacing w:val="-9"/>
                <w:sz w:val="18"/>
              </w:rPr>
              <w:t xml:space="preserve"> </w:t>
            </w:r>
            <w:r>
              <w:rPr>
                <w:b/>
                <w:spacing w:val="-2"/>
                <w:sz w:val="18"/>
              </w:rPr>
              <w:t>liabilities</w:t>
            </w:r>
          </w:p>
          <w:p w14:paraId="2677332A" w14:textId="77777777" w:rsidR="00AC6F3C" w:rsidRDefault="00570E88">
            <w:pPr>
              <w:pStyle w:val="TableParagraph"/>
              <w:spacing w:before="77"/>
              <w:ind w:left="37"/>
              <w:rPr>
                <w:sz w:val="18"/>
              </w:rPr>
            </w:pPr>
            <w:r>
              <w:rPr>
                <w:spacing w:val="-2"/>
                <w:sz w:val="18"/>
              </w:rPr>
              <w:t>Payables</w:t>
            </w:r>
          </w:p>
          <w:p w14:paraId="45F2A009" w14:textId="77777777" w:rsidR="00AC6F3C" w:rsidRDefault="00570E88">
            <w:pPr>
              <w:pStyle w:val="TableParagraph"/>
              <w:spacing w:before="78"/>
              <w:ind w:left="37"/>
              <w:rPr>
                <w:sz w:val="18"/>
              </w:rPr>
            </w:pPr>
            <w:r>
              <w:rPr>
                <w:sz w:val="18"/>
              </w:rPr>
              <w:t>Income</w:t>
            </w:r>
            <w:r>
              <w:rPr>
                <w:spacing w:val="6"/>
                <w:sz w:val="18"/>
              </w:rPr>
              <w:t xml:space="preserve"> </w:t>
            </w:r>
            <w:r>
              <w:rPr>
                <w:sz w:val="18"/>
              </w:rPr>
              <w:t>in</w:t>
            </w:r>
            <w:r>
              <w:rPr>
                <w:spacing w:val="7"/>
                <w:sz w:val="18"/>
              </w:rPr>
              <w:t xml:space="preserve"> </w:t>
            </w:r>
            <w:r>
              <w:rPr>
                <w:spacing w:val="-2"/>
                <w:sz w:val="18"/>
              </w:rPr>
              <w:t>advance</w:t>
            </w:r>
          </w:p>
          <w:p w14:paraId="07F25895" w14:textId="77777777" w:rsidR="00AC6F3C" w:rsidRDefault="00570E88">
            <w:pPr>
              <w:pStyle w:val="TableParagraph"/>
              <w:spacing w:before="77" w:line="194" w:lineRule="exact"/>
              <w:ind w:left="37"/>
              <w:rPr>
                <w:sz w:val="18"/>
              </w:rPr>
            </w:pPr>
            <w:r>
              <w:rPr>
                <w:sz w:val="18"/>
              </w:rPr>
              <w:t>Provision</w:t>
            </w:r>
            <w:r>
              <w:rPr>
                <w:spacing w:val="2"/>
                <w:sz w:val="18"/>
              </w:rPr>
              <w:t xml:space="preserve"> </w:t>
            </w:r>
            <w:r>
              <w:rPr>
                <w:sz w:val="18"/>
              </w:rPr>
              <w:t>for</w:t>
            </w:r>
            <w:r>
              <w:rPr>
                <w:spacing w:val="-2"/>
                <w:sz w:val="18"/>
              </w:rPr>
              <w:t xml:space="preserve"> </w:t>
            </w:r>
            <w:r>
              <w:rPr>
                <w:sz w:val="18"/>
              </w:rPr>
              <w:t>notified</w:t>
            </w:r>
            <w:r>
              <w:rPr>
                <w:spacing w:val="2"/>
                <w:sz w:val="18"/>
              </w:rPr>
              <w:t xml:space="preserve"> </w:t>
            </w:r>
            <w:r>
              <w:rPr>
                <w:spacing w:val="-2"/>
                <w:sz w:val="18"/>
              </w:rPr>
              <w:t>claims</w:t>
            </w:r>
          </w:p>
        </w:tc>
        <w:tc>
          <w:tcPr>
            <w:tcW w:w="2261" w:type="dxa"/>
            <w:tcBorders>
              <w:left w:val="nil"/>
              <w:right w:val="nil"/>
            </w:tcBorders>
          </w:tcPr>
          <w:p w14:paraId="773D0166" w14:textId="77777777" w:rsidR="00AC6F3C" w:rsidRDefault="00AC6F3C">
            <w:pPr>
              <w:pStyle w:val="TableParagraph"/>
              <w:rPr>
                <w:sz w:val="20"/>
              </w:rPr>
            </w:pPr>
          </w:p>
          <w:p w14:paraId="7A6BABE0" w14:textId="77777777" w:rsidR="00AC6F3C" w:rsidRDefault="00AC6F3C">
            <w:pPr>
              <w:pStyle w:val="TableParagraph"/>
              <w:spacing w:before="6"/>
              <w:rPr>
                <w:sz w:val="27"/>
              </w:rPr>
            </w:pPr>
          </w:p>
          <w:p w14:paraId="0FAD9A1A" w14:textId="77777777" w:rsidR="00AC6F3C" w:rsidRDefault="00570E88">
            <w:pPr>
              <w:pStyle w:val="TableParagraph"/>
              <w:spacing w:line="280" w:lineRule="atLeast"/>
              <w:ind w:left="1490" w:right="529"/>
              <w:jc w:val="both"/>
              <w:rPr>
                <w:sz w:val="18"/>
              </w:rPr>
            </w:pPr>
            <w:r>
              <w:rPr>
                <w:spacing w:val="-6"/>
                <w:sz w:val="18"/>
              </w:rPr>
              <w:t xml:space="preserve">C4 C5 </w:t>
            </w:r>
            <w:r>
              <w:rPr>
                <w:spacing w:val="-5"/>
                <w:sz w:val="18"/>
              </w:rPr>
              <w:t>C6</w:t>
            </w:r>
          </w:p>
        </w:tc>
        <w:tc>
          <w:tcPr>
            <w:tcW w:w="1362" w:type="dxa"/>
            <w:tcBorders>
              <w:left w:val="nil"/>
              <w:right w:val="nil"/>
            </w:tcBorders>
            <w:shd w:val="clear" w:color="auto" w:fill="F1F1F1"/>
          </w:tcPr>
          <w:p w14:paraId="11FD9650" w14:textId="77777777" w:rsidR="00AC6F3C" w:rsidRDefault="00AC6F3C">
            <w:pPr>
              <w:pStyle w:val="TableParagraph"/>
              <w:rPr>
                <w:sz w:val="20"/>
              </w:rPr>
            </w:pPr>
          </w:p>
          <w:p w14:paraId="487C3DC0" w14:textId="77777777" w:rsidR="00AC6F3C" w:rsidRDefault="00AC6F3C">
            <w:pPr>
              <w:pStyle w:val="TableParagraph"/>
              <w:rPr>
                <w:sz w:val="20"/>
              </w:rPr>
            </w:pPr>
          </w:p>
          <w:p w14:paraId="6159BB8D" w14:textId="77777777" w:rsidR="00AC6F3C" w:rsidRDefault="00570E88">
            <w:pPr>
              <w:pStyle w:val="TableParagraph"/>
              <w:spacing w:before="164"/>
              <w:ind w:right="34"/>
              <w:jc w:val="right"/>
              <w:rPr>
                <w:sz w:val="18"/>
              </w:rPr>
            </w:pPr>
            <w:r>
              <w:rPr>
                <w:spacing w:val="-5"/>
                <w:sz w:val="18"/>
              </w:rPr>
              <w:t>69</w:t>
            </w:r>
          </w:p>
          <w:p w14:paraId="4A7CF108" w14:textId="77777777" w:rsidR="00AC6F3C" w:rsidRDefault="00570E88">
            <w:pPr>
              <w:pStyle w:val="TableParagraph"/>
              <w:spacing w:before="77"/>
              <w:ind w:right="34"/>
              <w:jc w:val="right"/>
              <w:rPr>
                <w:sz w:val="18"/>
              </w:rPr>
            </w:pPr>
            <w:r>
              <w:rPr>
                <w:spacing w:val="-2"/>
                <w:sz w:val="18"/>
              </w:rPr>
              <w:t>3,202</w:t>
            </w:r>
          </w:p>
          <w:p w14:paraId="36378D75" w14:textId="77777777" w:rsidR="00AC6F3C" w:rsidRDefault="00570E88">
            <w:pPr>
              <w:pStyle w:val="TableParagraph"/>
              <w:spacing w:before="78" w:line="194" w:lineRule="exact"/>
              <w:ind w:right="34"/>
              <w:jc w:val="right"/>
              <w:rPr>
                <w:sz w:val="18"/>
              </w:rPr>
            </w:pPr>
            <w:r>
              <w:rPr>
                <w:spacing w:val="-2"/>
                <w:sz w:val="18"/>
              </w:rPr>
              <w:t>1,903</w:t>
            </w:r>
          </w:p>
        </w:tc>
        <w:tc>
          <w:tcPr>
            <w:tcW w:w="1340" w:type="dxa"/>
            <w:tcBorders>
              <w:left w:val="nil"/>
            </w:tcBorders>
          </w:tcPr>
          <w:p w14:paraId="0C3A9B46" w14:textId="77777777" w:rsidR="00AC6F3C" w:rsidRDefault="00AC6F3C">
            <w:pPr>
              <w:pStyle w:val="TableParagraph"/>
              <w:rPr>
                <w:sz w:val="20"/>
              </w:rPr>
            </w:pPr>
          </w:p>
          <w:p w14:paraId="3F6370C5" w14:textId="77777777" w:rsidR="00AC6F3C" w:rsidRDefault="00AC6F3C">
            <w:pPr>
              <w:pStyle w:val="TableParagraph"/>
              <w:rPr>
                <w:sz w:val="20"/>
              </w:rPr>
            </w:pPr>
          </w:p>
          <w:p w14:paraId="64EA1313" w14:textId="77777777" w:rsidR="00AC6F3C" w:rsidRDefault="00570E88">
            <w:pPr>
              <w:pStyle w:val="TableParagraph"/>
              <w:spacing w:before="164"/>
              <w:ind w:right="19"/>
              <w:jc w:val="right"/>
              <w:rPr>
                <w:sz w:val="18"/>
              </w:rPr>
            </w:pPr>
            <w:r>
              <w:rPr>
                <w:spacing w:val="-5"/>
                <w:sz w:val="18"/>
              </w:rPr>
              <w:t>43</w:t>
            </w:r>
          </w:p>
          <w:p w14:paraId="02EAB41F" w14:textId="77777777" w:rsidR="00AC6F3C" w:rsidRDefault="00570E88">
            <w:pPr>
              <w:pStyle w:val="TableParagraph"/>
              <w:spacing w:before="77"/>
              <w:ind w:right="19"/>
              <w:jc w:val="right"/>
              <w:rPr>
                <w:sz w:val="18"/>
              </w:rPr>
            </w:pPr>
            <w:r>
              <w:rPr>
                <w:spacing w:val="-5"/>
                <w:sz w:val="18"/>
              </w:rPr>
              <w:t>426</w:t>
            </w:r>
          </w:p>
          <w:p w14:paraId="010CB22D" w14:textId="77777777" w:rsidR="00AC6F3C" w:rsidRDefault="00570E88">
            <w:pPr>
              <w:pStyle w:val="TableParagraph"/>
              <w:spacing w:before="78" w:line="194" w:lineRule="exact"/>
              <w:ind w:right="19"/>
              <w:jc w:val="right"/>
              <w:rPr>
                <w:sz w:val="18"/>
              </w:rPr>
            </w:pPr>
            <w:r>
              <w:rPr>
                <w:spacing w:val="-2"/>
                <w:sz w:val="18"/>
              </w:rPr>
              <w:t>3,777</w:t>
            </w:r>
          </w:p>
        </w:tc>
      </w:tr>
      <w:tr w:rsidR="00AC6F3C" w14:paraId="1071EB6E" w14:textId="77777777">
        <w:trPr>
          <w:trHeight w:val="269"/>
        </w:trPr>
        <w:tc>
          <w:tcPr>
            <w:tcW w:w="3765" w:type="dxa"/>
            <w:tcBorders>
              <w:right w:val="nil"/>
            </w:tcBorders>
            <w:shd w:val="clear" w:color="auto" w:fill="BEBEBE"/>
          </w:tcPr>
          <w:p w14:paraId="55670AAE" w14:textId="77777777" w:rsidR="00AC6F3C" w:rsidRDefault="00570E88">
            <w:pPr>
              <w:pStyle w:val="TableParagraph"/>
              <w:spacing w:before="55" w:line="194" w:lineRule="exact"/>
              <w:ind w:left="37"/>
              <w:rPr>
                <w:b/>
                <w:sz w:val="18"/>
              </w:rPr>
            </w:pPr>
            <w:r>
              <w:rPr>
                <w:b/>
                <w:spacing w:val="-2"/>
                <w:sz w:val="18"/>
              </w:rPr>
              <w:t>Total</w:t>
            </w:r>
            <w:r>
              <w:rPr>
                <w:b/>
                <w:spacing w:val="-7"/>
                <w:sz w:val="18"/>
              </w:rPr>
              <w:t xml:space="preserve"> </w:t>
            </w:r>
            <w:r>
              <w:rPr>
                <w:b/>
                <w:spacing w:val="-2"/>
                <w:sz w:val="18"/>
              </w:rPr>
              <w:t>current</w:t>
            </w:r>
            <w:r>
              <w:rPr>
                <w:b/>
                <w:spacing w:val="-1"/>
                <w:sz w:val="18"/>
              </w:rPr>
              <w:t xml:space="preserve"> </w:t>
            </w:r>
            <w:r>
              <w:rPr>
                <w:b/>
                <w:spacing w:val="-2"/>
                <w:sz w:val="18"/>
              </w:rPr>
              <w:t>liabilities</w:t>
            </w:r>
          </w:p>
        </w:tc>
        <w:tc>
          <w:tcPr>
            <w:tcW w:w="2261" w:type="dxa"/>
            <w:tcBorders>
              <w:left w:val="nil"/>
              <w:right w:val="nil"/>
            </w:tcBorders>
            <w:shd w:val="clear" w:color="auto" w:fill="BEBEBE"/>
          </w:tcPr>
          <w:p w14:paraId="6D11A587"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59081098" w14:textId="77777777" w:rsidR="00AC6F3C" w:rsidRDefault="00570E88">
            <w:pPr>
              <w:pStyle w:val="TableParagraph"/>
              <w:spacing w:before="55" w:line="194" w:lineRule="exact"/>
              <w:ind w:right="34"/>
              <w:jc w:val="right"/>
              <w:rPr>
                <w:b/>
                <w:sz w:val="18"/>
              </w:rPr>
            </w:pPr>
            <w:r>
              <w:rPr>
                <w:b/>
                <w:spacing w:val="-2"/>
                <w:sz w:val="18"/>
              </w:rPr>
              <w:t>5,174</w:t>
            </w:r>
          </w:p>
        </w:tc>
        <w:tc>
          <w:tcPr>
            <w:tcW w:w="1340" w:type="dxa"/>
            <w:tcBorders>
              <w:left w:val="nil"/>
            </w:tcBorders>
            <w:shd w:val="clear" w:color="auto" w:fill="BEBEBE"/>
          </w:tcPr>
          <w:p w14:paraId="25718E6E" w14:textId="77777777" w:rsidR="00AC6F3C" w:rsidRDefault="00570E88">
            <w:pPr>
              <w:pStyle w:val="TableParagraph"/>
              <w:spacing w:before="55" w:line="194" w:lineRule="exact"/>
              <w:ind w:right="19"/>
              <w:jc w:val="right"/>
              <w:rPr>
                <w:b/>
                <w:sz w:val="18"/>
              </w:rPr>
            </w:pPr>
            <w:r>
              <w:rPr>
                <w:b/>
                <w:spacing w:val="-2"/>
                <w:sz w:val="18"/>
              </w:rPr>
              <w:t>4,246</w:t>
            </w:r>
          </w:p>
        </w:tc>
      </w:tr>
      <w:tr w:rsidR="00AC6F3C" w14:paraId="5A311737" w14:textId="77777777">
        <w:trPr>
          <w:trHeight w:val="269"/>
        </w:trPr>
        <w:tc>
          <w:tcPr>
            <w:tcW w:w="6026" w:type="dxa"/>
            <w:gridSpan w:val="2"/>
            <w:tcBorders>
              <w:right w:val="nil"/>
            </w:tcBorders>
          </w:tcPr>
          <w:p w14:paraId="7D6189CA" w14:textId="77777777" w:rsidR="00AC6F3C" w:rsidRDefault="00AC6F3C">
            <w:pPr>
              <w:pStyle w:val="TableParagraph"/>
              <w:rPr>
                <w:rFonts w:ascii="Times New Roman"/>
                <w:sz w:val="18"/>
              </w:rPr>
            </w:pPr>
          </w:p>
        </w:tc>
        <w:tc>
          <w:tcPr>
            <w:tcW w:w="1362" w:type="dxa"/>
            <w:tcBorders>
              <w:left w:val="nil"/>
              <w:right w:val="nil"/>
            </w:tcBorders>
            <w:shd w:val="clear" w:color="auto" w:fill="F1F1F1"/>
          </w:tcPr>
          <w:p w14:paraId="21EFF861" w14:textId="77777777" w:rsidR="00AC6F3C" w:rsidRDefault="00AC6F3C">
            <w:pPr>
              <w:pStyle w:val="TableParagraph"/>
              <w:rPr>
                <w:rFonts w:ascii="Times New Roman"/>
                <w:sz w:val="18"/>
              </w:rPr>
            </w:pPr>
          </w:p>
        </w:tc>
        <w:tc>
          <w:tcPr>
            <w:tcW w:w="1340" w:type="dxa"/>
            <w:tcBorders>
              <w:left w:val="nil"/>
            </w:tcBorders>
          </w:tcPr>
          <w:p w14:paraId="0E186D98" w14:textId="77777777" w:rsidR="00AC6F3C" w:rsidRDefault="00AC6F3C">
            <w:pPr>
              <w:pStyle w:val="TableParagraph"/>
              <w:rPr>
                <w:rFonts w:ascii="Times New Roman"/>
                <w:sz w:val="18"/>
              </w:rPr>
            </w:pPr>
          </w:p>
        </w:tc>
      </w:tr>
      <w:tr w:rsidR="00AC6F3C" w14:paraId="47043165" w14:textId="77777777">
        <w:trPr>
          <w:trHeight w:val="269"/>
        </w:trPr>
        <w:tc>
          <w:tcPr>
            <w:tcW w:w="3765" w:type="dxa"/>
            <w:tcBorders>
              <w:right w:val="nil"/>
            </w:tcBorders>
            <w:shd w:val="clear" w:color="auto" w:fill="BEBEBE"/>
          </w:tcPr>
          <w:p w14:paraId="28547F42" w14:textId="77777777" w:rsidR="00AC6F3C" w:rsidRDefault="00570E88">
            <w:pPr>
              <w:pStyle w:val="TableParagraph"/>
              <w:spacing w:before="55" w:line="194" w:lineRule="exact"/>
              <w:ind w:left="37"/>
              <w:rPr>
                <w:b/>
                <w:sz w:val="18"/>
              </w:rPr>
            </w:pPr>
            <w:r>
              <w:rPr>
                <w:b/>
                <w:spacing w:val="-4"/>
                <w:sz w:val="18"/>
              </w:rPr>
              <w:t xml:space="preserve">Total </w:t>
            </w:r>
            <w:r>
              <w:rPr>
                <w:b/>
                <w:spacing w:val="-2"/>
                <w:sz w:val="18"/>
              </w:rPr>
              <w:t>liabilities</w:t>
            </w:r>
          </w:p>
        </w:tc>
        <w:tc>
          <w:tcPr>
            <w:tcW w:w="2261" w:type="dxa"/>
            <w:tcBorders>
              <w:left w:val="nil"/>
              <w:right w:val="nil"/>
            </w:tcBorders>
            <w:shd w:val="clear" w:color="auto" w:fill="BEBEBE"/>
          </w:tcPr>
          <w:p w14:paraId="4CA2DE7E"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1F3E679C" w14:textId="77777777" w:rsidR="00AC6F3C" w:rsidRDefault="00570E88">
            <w:pPr>
              <w:pStyle w:val="TableParagraph"/>
              <w:spacing w:before="55" w:line="194" w:lineRule="exact"/>
              <w:ind w:right="34"/>
              <w:jc w:val="right"/>
              <w:rPr>
                <w:b/>
                <w:sz w:val="18"/>
              </w:rPr>
            </w:pPr>
            <w:r>
              <w:rPr>
                <w:b/>
                <w:spacing w:val="-2"/>
                <w:sz w:val="18"/>
              </w:rPr>
              <w:t>5,174</w:t>
            </w:r>
          </w:p>
        </w:tc>
        <w:tc>
          <w:tcPr>
            <w:tcW w:w="1340" w:type="dxa"/>
            <w:tcBorders>
              <w:left w:val="nil"/>
            </w:tcBorders>
            <w:shd w:val="clear" w:color="auto" w:fill="BEBEBE"/>
          </w:tcPr>
          <w:p w14:paraId="38198B5D" w14:textId="77777777" w:rsidR="00AC6F3C" w:rsidRDefault="00570E88">
            <w:pPr>
              <w:pStyle w:val="TableParagraph"/>
              <w:spacing w:before="55" w:line="194" w:lineRule="exact"/>
              <w:ind w:right="19"/>
              <w:jc w:val="right"/>
              <w:rPr>
                <w:b/>
                <w:sz w:val="18"/>
              </w:rPr>
            </w:pPr>
            <w:r>
              <w:rPr>
                <w:b/>
                <w:spacing w:val="-2"/>
                <w:sz w:val="18"/>
              </w:rPr>
              <w:t>4,246</w:t>
            </w:r>
          </w:p>
        </w:tc>
      </w:tr>
      <w:tr w:rsidR="00AC6F3C" w14:paraId="31472CEF" w14:textId="77777777">
        <w:trPr>
          <w:trHeight w:val="269"/>
        </w:trPr>
        <w:tc>
          <w:tcPr>
            <w:tcW w:w="6026" w:type="dxa"/>
            <w:gridSpan w:val="2"/>
            <w:tcBorders>
              <w:right w:val="nil"/>
            </w:tcBorders>
          </w:tcPr>
          <w:p w14:paraId="06E7DBE4" w14:textId="77777777" w:rsidR="00AC6F3C" w:rsidRDefault="00AC6F3C">
            <w:pPr>
              <w:pStyle w:val="TableParagraph"/>
              <w:rPr>
                <w:rFonts w:ascii="Times New Roman"/>
                <w:sz w:val="18"/>
              </w:rPr>
            </w:pPr>
          </w:p>
        </w:tc>
        <w:tc>
          <w:tcPr>
            <w:tcW w:w="1362" w:type="dxa"/>
            <w:tcBorders>
              <w:left w:val="nil"/>
              <w:right w:val="nil"/>
            </w:tcBorders>
            <w:shd w:val="clear" w:color="auto" w:fill="F1F1F1"/>
          </w:tcPr>
          <w:p w14:paraId="07EB7866" w14:textId="77777777" w:rsidR="00AC6F3C" w:rsidRDefault="00AC6F3C">
            <w:pPr>
              <w:pStyle w:val="TableParagraph"/>
              <w:rPr>
                <w:rFonts w:ascii="Times New Roman"/>
                <w:sz w:val="18"/>
              </w:rPr>
            </w:pPr>
          </w:p>
        </w:tc>
        <w:tc>
          <w:tcPr>
            <w:tcW w:w="1340" w:type="dxa"/>
            <w:tcBorders>
              <w:left w:val="nil"/>
            </w:tcBorders>
          </w:tcPr>
          <w:p w14:paraId="6F7687DD" w14:textId="77777777" w:rsidR="00AC6F3C" w:rsidRDefault="00AC6F3C">
            <w:pPr>
              <w:pStyle w:val="TableParagraph"/>
              <w:rPr>
                <w:rFonts w:ascii="Times New Roman"/>
                <w:sz w:val="18"/>
              </w:rPr>
            </w:pPr>
          </w:p>
        </w:tc>
      </w:tr>
      <w:tr w:rsidR="00AC6F3C" w14:paraId="37AC06F1" w14:textId="77777777">
        <w:trPr>
          <w:trHeight w:val="269"/>
        </w:trPr>
        <w:tc>
          <w:tcPr>
            <w:tcW w:w="3765" w:type="dxa"/>
            <w:tcBorders>
              <w:right w:val="nil"/>
            </w:tcBorders>
            <w:shd w:val="clear" w:color="auto" w:fill="BEBEBE"/>
          </w:tcPr>
          <w:p w14:paraId="1293AC36" w14:textId="77777777" w:rsidR="00AC6F3C" w:rsidRDefault="00570E88">
            <w:pPr>
              <w:pStyle w:val="TableParagraph"/>
              <w:spacing w:before="55" w:line="194" w:lineRule="exact"/>
              <w:ind w:left="37"/>
              <w:rPr>
                <w:b/>
                <w:sz w:val="18"/>
              </w:rPr>
            </w:pPr>
            <w:r>
              <w:rPr>
                <w:b/>
                <w:spacing w:val="-2"/>
                <w:sz w:val="18"/>
              </w:rPr>
              <w:t>Net</w:t>
            </w:r>
            <w:r>
              <w:rPr>
                <w:b/>
                <w:spacing w:val="-9"/>
                <w:sz w:val="18"/>
              </w:rPr>
              <w:t xml:space="preserve"> </w:t>
            </w:r>
            <w:r>
              <w:rPr>
                <w:b/>
                <w:spacing w:val="-2"/>
                <w:sz w:val="18"/>
              </w:rPr>
              <w:t>assets</w:t>
            </w:r>
          </w:p>
        </w:tc>
        <w:tc>
          <w:tcPr>
            <w:tcW w:w="2261" w:type="dxa"/>
            <w:tcBorders>
              <w:left w:val="nil"/>
              <w:right w:val="nil"/>
            </w:tcBorders>
            <w:shd w:val="clear" w:color="auto" w:fill="BEBEBE"/>
          </w:tcPr>
          <w:p w14:paraId="46424FDC"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78FE8642" w14:textId="77777777" w:rsidR="00AC6F3C" w:rsidRDefault="00570E88">
            <w:pPr>
              <w:pStyle w:val="TableParagraph"/>
              <w:spacing w:before="55" w:line="194" w:lineRule="exact"/>
              <w:ind w:right="34"/>
              <w:jc w:val="right"/>
              <w:rPr>
                <w:b/>
                <w:sz w:val="18"/>
              </w:rPr>
            </w:pPr>
            <w:r>
              <w:rPr>
                <w:b/>
                <w:spacing w:val="-2"/>
                <w:sz w:val="18"/>
              </w:rPr>
              <w:t>18,934</w:t>
            </w:r>
          </w:p>
        </w:tc>
        <w:tc>
          <w:tcPr>
            <w:tcW w:w="1340" w:type="dxa"/>
            <w:tcBorders>
              <w:left w:val="nil"/>
            </w:tcBorders>
            <w:shd w:val="clear" w:color="auto" w:fill="BEBEBE"/>
          </w:tcPr>
          <w:p w14:paraId="57717BED" w14:textId="77777777" w:rsidR="00AC6F3C" w:rsidRDefault="00570E88">
            <w:pPr>
              <w:pStyle w:val="TableParagraph"/>
              <w:spacing w:before="55" w:line="194" w:lineRule="exact"/>
              <w:ind w:right="19"/>
              <w:jc w:val="right"/>
              <w:rPr>
                <w:b/>
                <w:sz w:val="18"/>
              </w:rPr>
            </w:pPr>
            <w:r>
              <w:rPr>
                <w:b/>
                <w:spacing w:val="-2"/>
                <w:sz w:val="18"/>
              </w:rPr>
              <w:t>19,072</w:t>
            </w:r>
          </w:p>
        </w:tc>
      </w:tr>
      <w:tr w:rsidR="00AC6F3C" w14:paraId="00F378A8" w14:textId="77777777">
        <w:trPr>
          <w:trHeight w:val="838"/>
        </w:trPr>
        <w:tc>
          <w:tcPr>
            <w:tcW w:w="6026" w:type="dxa"/>
            <w:gridSpan w:val="2"/>
            <w:tcBorders>
              <w:right w:val="nil"/>
            </w:tcBorders>
          </w:tcPr>
          <w:p w14:paraId="5D932F34" w14:textId="77777777" w:rsidR="00AC6F3C" w:rsidRDefault="00AC6F3C">
            <w:pPr>
              <w:pStyle w:val="TableParagraph"/>
              <w:spacing w:before="6"/>
              <w:rPr>
                <w:sz w:val="29"/>
              </w:rPr>
            </w:pPr>
          </w:p>
          <w:p w14:paraId="7286CE0E" w14:textId="77777777" w:rsidR="00AC6F3C" w:rsidRDefault="00570E88">
            <w:pPr>
              <w:pStyle w:val="TableParagraph"/>
              <w:ind w:left="37"/>
              <w:rPr>
                <w:b/>
                <w:sz w:val="18"/>
              </w:rPr>
            </w:pPr>
            <w:r>
              <w:rPr>
                <w:b/>
                <w:spacing w:val="-2"/>
                <w:sz w:val="18"/>
              </w:rPr>
              <w:t>Equity</w:t>
            </w:r>
          </w:p>
          <w:p w14:paraId="389BEC11" w14:textId="77777777" w:rsidR="00AC6F3C" w:rsidRDefault="00570E88">
            <w:pPr>
              <w:pStyle w:val="TableParagraph"/>
              <w:spacing w:before="77" w:line="194" w:lineRule="exact"/>
              <w:ind w:left="37"/>
              <w:rPr>
                <w:sz w:val="18"/>
              </w:rPr>
            </w:pPr>
            <w:r>
              <w:rPr>
                <w:sz w:val="18"/>
              </w:rPr>
              <w:t>Accumulated</w:t>
            </w:r>
            <w:r>
              <w:rPr>
                <w:spacing w:val="3"/>
                <w:sz w:val="18"/>
              </w:rPr>
              <w:t xml:space="preserve"> </w:t>
            </w:r>
            <w:r>
              <w:rPr>
                <w:spacing w:val="-2"/>
                <w:sz w:val="18"/>
              </w:rPr>
              <w:t>surplus</w:t>
            </w:r>
          </w:p>
        </w:tc>
        <w:tc>
          <w:tcPr>
            <w:tcW w:w="1362" w:type="dxa"/>
            <w:tcBorders>
              <w:left w:val="nil"/>
              <w:right w:val="nil"/>
            </w:tcBorders>
            <w:shd w:val="clear" w:color="auto" w:fill="F1F1F1"/>
          </w:tcPr>
          <w:p w14:paraId="50BC211D" w14:textId="77777777" w:rsidR="00AC6F3C" w:rsidRDefault="00AC6F3C">
            <w:pPr>
              <w:pStyle w:val="TableParagraph"/>
              <w:rPr>
                <w:sz w:val="20"/>
              </w:rPr>
            </w:pPr>
          </w:p>
          <w:p w14:paraId="5C4F46AD" w14:textId="77777777" w:rsidR="00AC6F3C" w:rsidRDefault="00AC6F3C">
            <w:pPr>
              <w:pStyle w:val="TableParagraph"/>
              <w:rPr>
                <w:sz w:val="20"/>
              </w:rPr>
            </w:pPr>
          </w:p>
          <w:p w14:paraId="68573F53" w14:textId="77777777" w:rsidR="00AC6F3C" w:rsidRDefault="00570E88">
            <w:pPr>
              <w:pStyle w:val="TableParagraph"/>
              <w:spacing w:before="164" w:line="194" w:lineRule="exact"/>
              <w:ind w:right="34"/>
              <w:jc w:val="right"/>
              <w:rPr>
                <w:sz w:val="18"/>
              </w:rPr>
            </w:pPr>
            <w:r>
              <w:rPr>
                <w:spacing w:val="-2"/>
                <w:sz w:val="18"/>
              </w:rPr>
              <w:t>18,934</w:t>
            </w:r>
          </w:p>
        </w:tc>
        <w:tc>
          <w:tcPr>
            <w:tcW w:w="1340" w:type="dxa"/>
            <w:tcBorders>
              <w:left w:val="nil"/>
            </w:tcBorders>
          </w:tcPr>
          <w:p w14:paraId="7625433E" w14:textId="77777777" w:rsidR="00AC6F3C" w:rsidRDefault="00AC6F3C">
            <w:pPr>
              <w:pStyle w:val="TableParagraph"/>
              <w:rPr>
                <w:sz w:val="20"/>
              </w:rPr>
            </w:pPr>
          </w:p>
          <w:p w14:paraId="0E91978A" w14:textId="77777777" w:rsidR="00AC6F3C" w:rsidRDefault="00AC6F3C">
            <w:pPr>
              <w:pStyle w:val="TableParagraph"/>
              <w:rPr>
                <w:sz w:val="20"/>
              </w:rPr>
            </w:pPr>
          </w:p>
          <w:p w14:paraId="026F3FE9" w14:textId="77777777" w:rsidR="00AC6F3C" w:rsidRDefault="00570E88">
            <w:pPr>
              <w:pStyle w:val="TableParagraph"/>
              <w:spacing w:before="164" w:line="194" w:lineRule="exact"/>
              <w:ind w:right="19"/>
              <w:jc w:val="right"/>
              <w:rPr>
                <w:sz w:val="18"/>
              </w:rPr>
            </w:pPr>
            <w:r>
              <w:rPr>
                <w:spacing w:val="-2"/>
                <w:sz w:val="18"/>
              </w:rPr>
              <w:t>19,072</w:t>
            </w:r>
          </w:p>
        </w:tc>
      </w:tr>
      <w:tr w:rsidR="00AC6F3C" w14:paraId="3287C3E2" w14:textId="77777777">
        <w:trPr>
          <w:trHeight w:val="269"/>
        </w:trPr>
        <w:tc>
          <w:tcPr>
            <w:tcW w:w="3765" w:type="dxa"/>
            <w:tcBorders>
              <w:right w:val="nil"/>
            </w:tcBorders>
            <w:shd w:val="clear" w:color="auto" w:fill="BEBEBE"/>
          </w:tcPr>
          <w:p w14:paraId="1768828D" w14:textId="77777777" w:rsidR="00AC6F3C" w:rsidRDefault="00570E88">
            <w:pPr>
              <w:pStyle w:val="TableParagraph"/>
              <w:spacing w:before="55" w:line="194" w:lineRule="exact"/>
              <w:ind w:left="37"/>
              <w:rPr>
                <w:b/>
                <w:sz w:val="18"/>
              </w:rPr>
            </w:pPr>
            <w:r>
              <w:rPr>
                <w:b/>
                <w:spacing w:val="-4"/>
                <w:sz w:val="18"/>
              </w:rPr>
              <w:t xml:space="preserve">Total </w:t>
            </w:r>
            <w:r>
              <w:rPr>
                <w:b/>
                <w:spacing w:val="-2"/>
                <w:sz w:val="18"/>
              </w:rPr>
              <w:t>equity</w:t>
            </w:r>
          </w:p>
        </w:tc>
        <w:tc>
          <w:tcPr>
            <w:tcW w:w="2261" w:type="dxa"/>
            <w:tcBorders>
              <w:left w:val="nil"/>
              <w:right w:val="nil"/>
            </w:tcBorders>
            <w:shd w:val="clear" w:color="auto" w:fill="BEBEBE"/>
          </w:tcPr>
          <w:p w14:paraId="1F652A91" w14:textId="77777777" w:rsidR="00AC6F3C" w:rsidRDefault="00AC6F3C">
            <w:pPr>
              <w:pStyle w:val="TableParagraph"/>
              <w:rPr>
                <w:rFonts w:ascii="Times New Roman"/>
                <w:sz w:val="18"/>
              </w:rPr>
            </w:pPr>
          </w:p>
        </w:tc>
        <w:tc>
          <w:tcPr>
            <w:tcW w:w="1362" w:type="dxa"/>
            <w:tcBorders>
              <w:left w:val="nil"/>
              <w:right w:val="nil"/>
            </w:tcBorders>
            <w:shd w:val="clear" w:color="auto" w:fill="BEBEBE"/>
          </w:tcPr>
          <w:p w14:paraId="071ED11B" w14:textId="77777777" w:rsidR="00AC6F3C" w:rsidRDefault="00570E88">
            <w:pPr>
              <w:pStyle w:val="TableParagraph"/>
              <w:spacing w:before="55" w:line="194" w:lineRule="exact"/>
              <w:ind w:right="34"/>
              <w:jc w:val="right"/>
              <w:rPr>
                <w:b/>
                <w:sz w:val="18"/>
              </w:rPr>
            </w:pPr>
            <w:r>
              <w:rPr>
                <w:b/>
                <w:spacing w:val="-2"/>
                <w:sz w:val="18"/>
              </w:rPr>
              <w:t>18,934</w:t>
            </w:r>
          </w:p>
        </w:tc>
        <w:tc>
          <w:tcPr>
            <w:tcW w:w="1340" w:type="dxa"/>
            <w:tcBorders>
              <w:left w:val="nil"/>
            </w:tcBorders>
            <w:shd w:val="clear" w:color="auto" w:fill="BEBEBE"/>
          </w:tcPr>
          <w:p w14:paraId="4448A8FD" w14:textId="77777777" w:rsidR="00AC6F3C" w:rsidRDefault="00570E88">
            <w:pPr>
              <w:pStyle w:val="TableParagraph"/>
              <w:spacing w:before="55" w:line="194" w:lineRule="exact"/>
              <w:ind w:right="19"/>
              <w:jc w:val="right"/>
              <w:rPr>
                <w:b/>
                <w:sz w:val="18"/>
              </w:rPr>
            </w:pPr>
            <w:r>
              <w:rPr>
                <w:b/>
                <w:spacing w:val="-2"/>
                <w:sz w:val="18"/>
              </w:rPr>
              <w:t>19,072</w:t>
            </w:r>
          </w:p>
        </w:tc>
      </w:tr>
    </w:tbl>
    <w:p w14:paraId="1D728401" w14:textId="77777777" w:rsidR="00AC6F3C" w:rsidRDefault="00AC6F3C">
      <w:pPr>
        <w:pStyle w:val="BodyText"/>
      </w:pPr>
    </w:p>
    <w:p w14:paraId="4D3ED81B" w14:textId="77777777" w:rsidR="00AC6F3C" w:rsidRDefault="00AC6F3C">
      <w:pPr>
        <w:pStyle w:val="BodyText"/>
      </w:pPr>
    </w:p>
    <w:p w14:paraId="7EF5510E" w14:textId="77777777" w:rsidR="00AC6F3C" w:rsidRDefault="00AC6F3C">
      <w:pPr>
        <w:pStyle w:val="BodyText"/>
      </w:pPr>
    </w:p>
    <w:p w14:paraId="243390B5" w14:textId="77777777" w:rsidR="00AC6F3C" w:rsidRDefault="00AC6F3C">
      <w:pPr>
        <w:pStyle w:val="BodyText"/>
      </w:pPr>
    </w:p>
    <w:p w14:paraId="694324BA" w14:textId="77777777" w:rsidR="00AC6F3C" w:rsidRDefault="00AC6F3C">
      <w:pPr>
        <w:pStyle w:val="BodyText"/>
      </w:pPr>
    </w:p>
    <w:p w14:paraId="4FE4DD85" w14:textId="77777777" w:rsidR="00AC6F3C" w:rsidRDefault="00AC6F3C">
      <w:pPr>
        <w:pStyle w:val="BodyText"/>
      </w:pPr>
    </w:p>
    <w:p w14:paraId="1A130B04" w14:textId="77777777" w:rsidR="00AC6F3C" w:rsidRDefault="00AC6F3C">
      <w:pPr>
        <w:pStyle w:val="BodyText"/>
      </w:pPr>
    </w:p>
    <w:p w14:paraId="679A47CE" w14:textId="77777777" w:rsidR="00AC6F3C" w:rsidRDefault="00AC6F3C">
      <w:pPr>
        <w:pStyle w:val="BodyText"/>
      </w:pPr>
    </w:p>
    <w:p w14:paraId="24C1A23F" w14:textId="77777777" w:rsidR="00AC6F3C" w:rsidRDefault="00AC6F3C">
      <w:pPr>
        <w:pStyle w:val="BodyText"/>
      </w:pPr>
    </w:p>
    <w:p w14:paraId="337A20C1" w14:textId="77777777" w:rsidR="00AC6F3C" w:rsidRDefault="00AC6F3C">
      <w:pPr>
        <w:pStyle w:val="BodyText"/>
      </w:pPr>
    </w:p>
    <w:p w14:paraId="6F476C18" w14:textId="77777777" w:rsidR="00AC6F3C" w:rsidRDefault="00AC6F3C">
      <w:pPr>
        <w:pStyle w:val="BodyText"/>
      </w:pPr>
    </w:p>
    <w:p w14:paraId="220AC8B6" w14:textId="77777777" w:rsidR="00AC6F3C" w:rsidRDefault="00AC6F3C">
      <w:pPr>
        <w:pStyle w:val="BodyText"/>
      </w:pPr>
    </w:p>
    <w:p w14:paraId="12C2A87D" w14:textId="77777777" w:rsidR="00AC6F3C" w:rsidRDefault="00AC6F3C">
      <w:pPr>
        <w:pStyle w:val="BodyText"/>
      </w:pPr>
    </w:p>
    <w:p w14:paraId="50C689FE" w14:textId="77777777" w:rsidR="00AC6F3C" w:rsidRDefault="00AC6F3C">
      <w:pPr>
        <w:pStyle w:val="BodyText"/>
      </w:pPr>
    </w:p>
    <w:p w14:paraId="6BA8B328" w14:textId="77777777" w:rsidR="00AC6F3C" w:rsidRDefault="00AC6F3C">
      <w:pPr>
        <w:pStyle w:val="BodyText"/>
      </w:pPr>
    </w:p>
    <w:p w14:paraId="41EDF639" w14:textId="77777777" w:rsidR="00AC6F3C" w:rsidRDefault="00AC6F3C">
      <w:pPr>
        <w:pStyle w:val="BodyText"/>
      </w:pPr>
    </w:p>
    <w:p w14:paraId="610BC9BD" w14:textId="77777777" w:rsidR="00AC6F3C" w:rsidRDefault="00AC6F3C">
      <w:pPr>
        <w:pStyle w:val="BodyText"/>
      </w:pPr>
    </w:p>
    <w:p w14:paraId="1C473A1E" w14:textId="77777777" w:rsidR="00AC6F3C" w:rsidRDefault="00AC6F3C">
      <w:pPr>
        <w:pStyle w:val="BodyText"/>
      </w:pPr>
    </w:p>
    <w:p w14:paraId="738D5E4C" w14:textId="77777777" w:rsidR="00AC6F3C" w:rsidRDefault="00AC6F3C">
      <w:pPr>
        <w:pStyle w:val="BodyText"/>
      </w:pPr>
    </w:p>
    <w:p w14:paraId="11677BCE" w14:textId="77777777" w:rsidR="00AC6F3C" w:rsidRDefault="00AC6F3C">
      <w:pPr>
        <w:pStyle w:val="BodyText"/>
      </w:pPr>
    </w:p>
    <w:p w14:paraId="4A053A6B" w14:textId="77777777" w:rsidR="00AC6F3C" w:rsidRDefault="00AC6F3C">
      <w:pPr>
        <w:pStyle w:val="BodyText"/>
        <w:spacing w:before="10"/>
        <w:rPr>
          <w:sz w:val="19"/>
        </w:rPr>
      </w:pPr>
    </w:p>
    <w:p w14:paraId="459EF7A2" w14:textId="77777777" w:rsidR="00AC6F3C" w:rsidRDefault="00570E88">
      <w:pPr>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7E8ED6BE" w14:textId="77777777" w:rsidR="00AC6F3C" w:rsidRDefault="00AC6F3C">
      <w:pPr>
        <w:rPr>
          <w:sz w:val="18"/>
        </w:rPr>
        <w:sectPr w:rsidR="00AC6F3C">
          <w:pgSz w:w="11910" w:h="16840"/>
          <w:pgMar w:top="1580" w:right="1160" w:bottom="520" w:left="460" w:header="1297" w:footer="336" w:gutter="0"/>
          <w:cols w:space="720"/>
        </w:sectPr>
      </w:pPr>
    </w:p>
    <w:p w14:paraId="48D12F82" w14:textId="77777777" w:rsidR="00AC6F3C" w:rsidRDefault="00570E88">
      <w:pPr>
        <w:ind w:left="979"/>
      </w:pPr>
      <w:r>
        <w:lastRenderedPageBreak/>
        <w:t>Statement</w:t>
      </w:r>
      <w:r>
        <w:rPr>
          <w:spacing w:val="-5"/>
        </w:rPr>
        <w:t xml:space="preserve"> </w:t>
      </w:r>
      <w:r>
        <w:t>of</w:t>
      </w:r>
      <w:r>
        <w:rPr>
          <w:spacing w:val="-3"/>
        </w:rPr>
        <w:t xml:space="preserve"> </w:t>
      </w:r>
      <w:r>
        <w:t>Changes</w:t>
      </w:r>
      <w:r>
        <w:rPr>
          <w:spacing w:val="-2"/>
        </w:rPr>
        <w:t xml:space="preserve"> </w:t>
      </w:r>
      <w:r>
        <w:t>in</w:t>
      </w:r>
      <w:r>
        <w:rPr>
          <w:spacing w:val="-5"/>
        </w:rPr>
        <w:t xml:space="preserve"> </w:t>
      </w:r>
      <w:r>
        <w:t>Equity</w:t>
      </w:r>
      <w:r>
        <w:rPr>
          <w:spacing w:val="-5"/>
        </w:rPr>
        <w:t xml:space="preserve"> </w:t>
      </w:r>
      <w:r>
        <w:t>for</w:t>
      </w:r>
      <w:r>
        <w:rPr>
          <w:spacing w:val="-4"/>
        </w:rPr>
        <w:t xml:space="preserve"> </w:t>
      </w:r>
      <w:r>
        <w:t>the</w:t>
      </w:r>
      <w:r>
        <w:rPr>
          <w:spacing w:val="-5"/>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p w14:paraId="1C186B11" w14:textId="77777777" w:rsidR="00AC6F3C" w:rsidRDefault="00570E88">
      <w:pPr>
        <w:pStyle w:val="BodyText"/>
        <w:spacing w:before="1"/>
        <w:rPr>
          <w:sz w:val="29"/>
        </w:rPr>
      </w:pPr>
      <w:r>
        <w:rPr>
          <w:noProof/>
        </w:rPr>
        <mc:AlternateContent>
          <mc:Choice Requires="wps">
            <w:drawing>
              <wp:anchor distT="0" distB="0" distL="0" distR="0" simplePos="0" relativeHeight="487717888" behindDoc="1" locked="0" layoutInCell="1" allowOverlap="1" wp14:anchorId="5BD48A8C" wp14:editId="03D3F1FB">
                <wp:simplePos x="0" y="0"/>
                <wp:positionH relativeFrom="page">
                  <wp:posOffset>896045</wp:posOffset>
                </wp:positionH>
                <wp:positionV relativeFrom="paragraph">
                  <wp:posOffset>228083</wp:posOffset>
                </wp:positionV>
                <wp:extent cx="5768340" cy="6350"/>
                <wp:effectExtent l="0" t="0" r="0" b="0"/>
                <wp:wrapTopAndBottom/>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263CC" id="Graphic 893" o:spid="_x0000_s1026" style="position:absolute;margin-left:70.55pt;margin-top:17.95pt;width:454.2pt;height:.5pt;z-index:-1559859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" path="m5767909,6094l,6094,,,5767909,r,6094xe" fillcolor="black" stroked="f">
                <v:path arrowok="t"/>
                <w10:wrap type="topAndBottom" anchorx="page"/>
              </v:shape>
            </w:pict>
          </mc:Fallback>
        </mc:AlternateContent>
      </w:r>
    </w:p>
    <w:p w14:paraId="6FD020AC" w14:textId="77777777" w:rsidR="00AC6F3C" w:rsidRDefault="00AC6F3C">
      <w:pPr>
        <w:pStyle w:val="BodyText"/>
      </w:pPr>
    </w:p>
    <w:p w14:paraId="1E825ADA" w14:textId="77777777" w:rsidR="00AC6F3C" w:rsidRDefault="00AC6F3C">
      <w:pPr>
        <w:pStyle w:val="BodyText"/>
      </w:pPr>
    </w:p>
    <w:p w14:paraId="09E4141F" w14:textId="77777777" w:rsidR="00AC6F3C" w:rsidRDefault="00AC6F3C">
      <w:pPr>
        <w:pStyle w:val="BodyText"/>
        <w:spacing w:before="1"/>
        <w:rPr>
          <w:sz w:val="12"/>
        </w:rPr>
      </w:pPr>
    </w:p>
    <w:tbl>
      <w:tblPr>
        <w:tblW w:w="0" w:type="auto"/>
        <w:tblInd w:w="994" w:type="dxa"/>
        <w:tblLayout w:type="fixed"/>
        <w:tblCellMar>
          <w:left w:w="0" w:type="dxa"/>
          <w:right w:w="0" w:type="dxa"/>
        </w:tblCellMar>
        <w:tblLook w:val="01E0" w:firstRow="1" w:lastRow="1" w:firstColumn="1" w:lastColumn="1" w:noHBand="0" w:noVBand="0"/>
      </w:tblPr>
      <w:tblGrid>
        <w:gridCol w:w="6027"/>
        <w:gridCol w:w="1363"/>
        <w:gridCol w:w="1341"/>
      </w:tblGrid>
      <w:tr w:rsidR="00AC6F3C" w14:paraId="1A22584A" w14:textId="77777777">
        <w:trPr>
          <w:trHeight w:val="581"/>
        </w:trPr>
        <w:tc>
          <w:tcPr>
            <w:tcW w:w="8731" w:type="dxa"/>
            <w:gridSpan w:val="3"/>
            <w:tcBorders>
              <w:top w:val="single" w:sz="6" w:space="0" w:color="000000"/>
              <w:left w:val="single" w:sz="6" w:space="0" w:color="000000"/>
              <w:bottom w:val="single" w:sz="6" w:space="0" w:color="000000"/>
              <w:right w:val="single" w:sz="6" w:space="0" w:color="000000"/>
            </w:tcBorders>
            <w:shd w:val="clear" w:color="auto" w:fill="BEBEBE"/>
          </w:tcPr>
          <w:p w14:paraId="0DE4A236" w14:textId="77777777" w:rsidR="00AC6F3C" w:rsidRDefault="00570E88">
            <w:pPr>
              <w:pStyle w:val="TableParagraph"/>
              <w:tabs>
                <w:tab w:val="left" w:pos="1347"/>
              </w:tabs>
              <w:spacing w:before="40"/>
              <w:ind w:right="22"/>
              <w:jc w:val="right"/>
              <w:rPr>
                <w:b/>
                <w:sz w:val="18"/>
              </w:rPr>
            </w:pPr>
            <w:r>
              <w:rPr>
                <w:b/>
                <w:spacing w:val="-4"/>
                <w:sz w:val="18"/>
              </w:rPr>
              <w:t>2023</w:t>
            </w:r>
            <w:r>
              <w:rPr>
                <w:b/>
                <w:sz w:val="18"/>
              </w:rPr>
              <w:tab/>
            </w:r>
            <w:r>
              <w:rPr>
                <w:b/>
                <w:spacing w:val="-4"/>
                <w:sz w:val="18"/>
              </w:rPr>
              <w:t>2022</w:t>
            </w:r>
          </w:p>
          <w:p w14:paraId="172FA6E5" w14:textId="77777777" w:rsidR="00AC6F3C" w:rsidRDefault="00570E88">
            <w:pPr>
              <w:pStyle w:val="TableParagraph"/>
              <w:tabs>
                <w:tab w:val="left" w:pos="1347"/>
              </w:tabs>
              <w:spacing w:before="91"/>
              <w:ind w:right="22"/>
              <w:jc w:val="right"/>
              <w:rPr>
                <w:b/>
                <w:sz w:val="18"/>
              </w:rPr>
            </w:pPr>
            <w:r>
              <w:rPr>
                <w:b/>
                <w:spacing w:val="-2"/>
                <w:sz w:val="18"/>
              </w:rPr>
              <w:t>$'000</w:t>
            </w:r>
            <w:r>
              <w:rPr>
                <w:b/>
                <w:sz w:val="18"/>
              </w:rPr>
              <w:tab/>
            </w:r>
            <w:r>
              <w:rPr>
                <w:b/>
                <w:spacing w:val="-4"/>
                <w:sz w:val="18"/>
              </w:rPr>
              <w:t>$'000</w:t>
            </w:r>
          </w:p>
        </w:tc>
      </w:tr>
      <w:tr w:rsidR="00AC6F3C" w14:paraId="699BB1FA" w14:textId="77777777">
        <w:trPr>
          <w:trHeight w:val="444"/>
        </w:trPr>
        <w:tc>
          <w:tcPr>
            <w:tcW w:w="6027" w:type="dxa"/>
            <w:tcBorders>
              <w:top w:val="single" w:sz="6" w:space="0" w:color="000000"/>
              <w:left w:val="single" w:sz="6" w:space="0" w:color="000000"/>
            </w:tcBorders>
          </w:tcPr>
          <w:p w14:paraId="32A1D218" w14:textId="77777777" w:rsidR="00AC6F3C" w:rsidRDefault="00570E88">
            <w:pPr>
              <w:pStyle w:val="TableParagraph"/>
              <w:spacing w:before="54"/>
              <w:ind w:left="37"/>
              <w:rPr>
                <w:b/>
                <w:sz w:val="18"/>
              </w:rPr>
            </w:pPr>
            <w:r>
              <w:rPr>
                <w:b/>
                <w:spacing w:val="-2"/>
                <w:sz w:val="18"/>
              </w:rPr>
              <w:t>Accumulated</w:t>
            </w:r>
            <w:r>
              <w:rPr>
                <w:b/>
                <w:spacing w:val="-9"/>
                <w:sz w:val="18"/>
              </w:rPr>
              <w:t xml:space="preserve"> </w:t>
            </w:r>
            <w:r>
              <w:rPr>
                <w:b/>
                <w:spacing w:val="-2"/>
                <w:sz w:val="18"/>
              </w:rPr>
              <w:t>surplus</w:t>
            </w:r>
          </w:p>
        </w:tc>
        <w:tc>
          <w:tcPr>
            <w:tcW w:w="1363" w:type="dxa"/>
            <w:tcBorders>
              <w:top w:val="single" w:sz="6" w:space="0" w:color="000000"/>
            </w:tcBorders>
            <w:shd w:val="clear" w:color="auto" w:fill="F1F1F1"/>
          </w:tcPr>
          <w:p w14:paraId="0505B9F0" w14:textId="77777777" w:rsidR="00AC6F3C" w:rsidRDefault="00AC6F3C">
            <w:pPr>
              <w:pStyle w:val="TableParagraph"/>
              <w:rPr>
                <w:rFonts w:ascii="Times New Roman"/>
                <w:sz w:val="18"/>
              </w:rPr>
            </w:pPr>
          </w:p>
        </w:tc>
        <w:tc>
          <w:tcPr>
            <w:tcW w:w="1341" w:type="dxa"/>
            <w:tcBorders>
              <w:top w:val="single" w:sz="6" w:space="0" w:color="000000"/>
              <w:right w:val="single" w:sz="6" w:space="0" w:color="000000"/>
            </w:tcBorders>
          </w:tcPr>
          <w:p w14:paraId="47BAF026" w14:textId="77777777" w:rsidR="00AC6F3C" w:rsidRDefault="00AC6F3C">
            <w:pPr>
              <w:pStyle w:val="TableParagraph"/>
              <w:rPr>
                <w:rFonts w:ascii="Times New Roman"/>
                <w:sz w:val="18"/>
              </w:rPr>
            </w:pPr>
          </w:p>
        </w:tc>
      </w:tr>
      <w:tr w:rsidR="00AC6F3C" w14:paraId="690B5CCD" w14:textId="77777777">
        <w:trPr>
          <w:trHeight w:val="566"/>
        </w:trPr>
        <w:tc>
          <w:tcPr>
            <w:tcW w:w="6027" w:type="dxa"/>
            <w:tcBorders>
              <w:left w:val="single" w:sz="6" w:space="0" w:color="000000"/>
            </w:tcBorders>
          </w:tcPr>
          <w:p w14:paraId="1507AB4D" w14:textId="77777777" w:rsidR="00AC6F3C" w:rsidRDefault="00570E88">
            <w:pPr>
              <w:pStyle w:val="TableParagraph"/>
              <w:spacing w:before="176"/>
              <w:ind w:left="37"/>
              <w:rPr>
                <w:b/>
                <w:sz w:val="18"/>
              </w:rPr>
            </w:pPr>
            <w:r>
              <w:rPr>
                <w:b/>
                <w:sz w:val="18"/>
              </w:rPr>
              <w:t>Balance</w:t>
            </w:r>
            <w:r>
              <w:rPr>
                <w:b/>
                <w:spacing w:val="-6"/>
                <w:sz w:val="18"/>
              </w:rPr>
              <w:t xml:space="preserve"> </w:t>
            </w:r>
            <w:r>
              <w:rPr>
                <w:b/>
                <w:sz w:val="18"/>
              </w:rPr>
              <w:t>at</w:t>
            </w:r>
            <w:r>
              <w:rPr>
                <w:b/>
                <w:spacing w:val="-10"/>
                <w:sz w:val="18"/>
              </w:rPr>
              <w:t xml:space="preserve"> </w:t>
            </w:r>
            <w:r>
              <w:rPr>
                <w:b/>
                <w:sz w:val="18"/>
              </w:rPr>
              <w:t>1</w:t>
            </w:r>
            <w:r>
              <w:rPr>
                <w:b/>
                <w:spacing w:val="-6"/>
                <w:sz w:val="18"/>
              </w:rPr>
              <w:t xml:space="preserve"> </w:t>
            </w:r>
            <w:r>
              <w:rPr>
                <w:b/>
                <w:spacing w:val="-4"/>
                <w:sz w:val="18"/>
              </w:rPr>
              <w:t>July</w:t>
            </w:r>
          </w:p>
        </w:tc>
        <w:tc>
          <w:tcPr>
            <w:tcW w:w="1363" w:type="dxa"/>
            <w:shd w:val="clear" w:color="auto" w:fill="F1F1F1"/>
          </w:tcPr>
          <w:p w14:paraId="62435687" w14:textId="77777777" w:rsidR="00AC6F3C" w:rsidRDefault="00570E88">
            <w:pPr>
              <w:pStyle w:val="TableParagraph"/>
              <w:spacing w:before="176"/>
              <w:ind w:right="36"/>
              <w:jc w:val="right"/>
              <w:rPr>
                <w:sz w:val="18"/>
              </w:rPr>
            </w:pPr>
            <w:r>
              <w:rPr>
                <w:spacing w:val="-2"/>
                <w:sz w:val="18"/>
              </w:rPr>
              <w:t>19,072</w:t>
            </w:r>
          </w:p>
        </w:tc>
        <w:tc>
          <w:tcPr>
            <w:tcW w:w="1341" w:type="dxa"/>
            <w:tcBorders>
              <w:right w:val="single" w:sz="6" w:space="0" w:color="000000"/>
            </w:tcBorders>
          </w:tcPr>
          <w:p w14:paraId="4C5B63AA" w14:textId="77777777" w:rsidR="00AC6F3C" w:rsidRDefault="00570E88">
            <w:pPr>
              <w:pStyle w:val="TableParagraph"/>
              <w:spacing w:before="176"/>
              <w:ind w:right="22"/>
              <w:jc w:val="right"/>
              <w:rPr>
                <w:sz w:val="18"/>
              </w:rPr>
            </w:pPr>
            <w:r>
              <w:rPr>
                <w:spacing w:val="-2"/>
                <w:sz w:val="18"/>
              </w:rPr>
              <w:t>24,804</w:t>
            </w:r>
          </w:p>
        </w:tc>
      </w:tr>
      <w:tr w:rsidR="00AC6F3C" w14:paraId="2FDC335A" w14:textId="77777777">
        <w:trPr>
          <w:trHeight w:val="673"/>
        </w:trPr>
        <w:tc>
          <w:tcPr>
            <w:tcW w:w="6027" w:type="dxa"/>
            <w:tcBorders>
              <w:left w:val="single" w:sz="6" w:space="0" w:color="000000"/>
              <w:bottom w:val="single" w:sz="6" w:space="0" w:color="000000"/>
            </w:tcBorders>
          </w:tcPr>
          <w:p w14:paraId="73F421D3" w14:textId="77777777" w:rsidR="00AC6F3C" w:rsidRDefault="00570E88">
            <w:pPr>
              <w:pStyle w:val="TableParagraph"/>
              <w:spacing w:before="176"/>
              <w:ind w:left="37"/>
              <w:rPr>
                <w:sz w:val="18"/>
              </w:rPr>
            </w:pPr>
            <w:r>
              <w:rPr>
                <w:sz w:val="18"/>
              </w:rPr>
              <w:t>Total</w:t>
            </w:r>
            <w:r>
              <w:rPr>
                <w:spacing w:val="7"/>
                <w:sz w:val="18"/>
              </w:rPr>
              <w:t xml:space="preserve"> </w:t>
            </w:r>
            <w:r>
              <w:rPr>
                <w:sz w:val="18"/>
              </w:rPr>
              <w:t>comprehensive</w:t>
            </w:r>
            <w:r>
              <w:rPr>
                <w:spacing w:val="7"/>
                <w:sz w:val="18"/>
              </w:rPr>
              <w:t xml:space="preserve"> </w:t>
            </w:r>
            <w:r>
              <w:rPr>
                <w:sz w:val="18"/>
              </w:rPr>
              <w:t>income</w:t>
            </w:r>
            <w:r>
              <w:rPr>
                <w:spacing w:val="7"/>
                <w:sz w:val="18"/>
              </w:rPr>
              <w:t xml:space="preserve"> </w:t>
            </w:r>
            <w:r>
              <w:rPr>
                <w:sz w:val="18"/>
              </w:rPr>
              <w:t>for</w:t>
            </w:r>
            <w:r>
              <w:rPr>
                <w:spacing w:val="2"/>
                <w:sz w:val="18"/>
              </w:rPr>
              <w:t xml:space="preserve"> </w:t>
            </w:r>
            <w:r>
              <w:rPr>
                <w:sz w:val="18"/>
              </w:rPr>
              <w:t>the</w:t>
            </w:r>
            <w:r>
              <w:rPr>
                <w:spacing w:val="7"/>
                <w:sz w:val="18"/>
              </w:rPr>
              <w:t xml:space="preserve"> </w:t>
            </w:r>
            <w:r>
              <w:rPr>
                <w:spacing w:val="-4"/>
                <w:sz w:val="18"/>
              </w:rPr>
              <w:t>year</w:t>
            </w:r>
          </w:p>
        </w:tc>
        <w:tc>
          <w:tcPr>
            <w:tcW w:w="1363" w:type="dxa"/>
            <w:tcBorders>
              <w:bottom w:val="single" w:sz="6" w:space="0" w:color="000000"/>
            </w:tcBorders>
            <w:shd w:val="clear" w:color="auto" w:fill="F1F1F1"/>
          </w:tcPr>
          <w:p w14:paraId="77C2976E" w14:textId="77777777" w:rsidR="00AC6F3C" w:rsidRDefault="00570E88">
            <w:pPr>
              <w:pStyle w:val="TableParagraph"/>
              <w:spacing w:before="176"/>
              <w:ind w:right="31"/>
              <w:jc w:val="right"/>
              <w:rPr>
                <w:sz w:val="18"/>
              </w:rPr>
            </w:pPr>
            <w:r>
              <w:rPr>
                <w:spacing w:val="-2"/>
                <w:sz w:val="18"/>
              </w:rPr>
              <w:t>(138)</w:t>
            </w:r>
          </w:p>
        </w:tc>
        <w:tc>
          <w:tcPr>
            <w:tcW w:w="1341" w:type="dxa"/>
            <w:tcBorders>
              <w:bottom w:val="single" w:sz="6" w:space="0" w:color="000000"/>
              <w:right w:val="single" w:sz="6" w:space="0" w:color="000000"/>
            </w:tcBorders>
          </w:tcPr>
          <w:p w14:paraId="7F3859DB" w14:textId="77777777" w:rsidR="00AC6F3C" w:rsidRDefault="00570E88">
            <w:pPr>
              <w:pStyle w:val="TableParagraph"/>
              <w:spacing w:before="176"/>
              <w:ind w:right="17"/>
              <w:jc w:val="right"/>
              <w:rPr>
                <w:sz w:val="18"/>
              </w:rPr>
            </w:pPr>
            <w:r>
              <w:rPr>
                <w:spacing w:val="-2"/>
                <w:sz w:val="18"/>
              </w:rPr>
              <w:t>(5,732)</w:t>
            </w:r>
          </w:p>
        </w:tc>
      </w:tr>
      <w:tr w:rsidR="00AC6F3C" w14:paraId="25620F18" w14:textId="77777777">
        <w:trPr>
          <w:trHeight w:val="268"/>
        </w:trPr>
        <w:tc>
          <w:tcPr>
            <w:tcW w:w="6027" w:type="dxa"/>
            <w:tcBorders>
              <w:top w:val="single" w:sz="6" w:space="0" w:color="000000"/>
              <w:left w:val="single" w:sz="6" w:space="0" w:color="000000"/>
              <w:bottom w:val="single" w:sz="6" w:space="0" w:color="000000"/>
            </w:tcBorders>
            <w:shd w:val="clear" w:color="auto" w:fill="BEBEBE"/>
          </w:tcPr>
          <w:p w14:paraId="2DAAC2DC" w14:textId="77777777" w:rsidR="00AC6F3C" w:rsidRDefault="00570E88">
            <w:pPr>
              <w:pStyle w:val="TableParagraph"/>
              <w:spacing w:before="55" w:line="193" w:lineRule="exact"/>
              <w:ind w:left="37"/>
              <w:rPr>
                <w:b/>
                <w:sz w:val="18"/>
              </w:rPr>
            </w:pPr>
            <w:r>
              <w:rPr>
                <w:b/>
                <w:sz w:val="18"/>
              </w:rPr>
              <w:t>Balance</w:t>
            </w:r>
            <w:r>
              <w:rPr>
                <w:b/>
                <w:spacing w:val="-5"/>
                <w:sz w:val="18"/>
              </w:rPr>
              <w:t xml:space="preserve"> </w:t>
            </w:r>
            <w:r>
              <w:rPr>
                <w:b/>
                <w:sz w:val="18"/>
              </w:rPr>
              <w:t>at</w:t>
            </w:r>
            <w:r>
              <w:rPr>
                <w:b/>
                <w:spacing w:val="-9"/>
                <w:sz w:val="18"/>
              </w:rPr>
              <w:t xml:space="preserve"> </w:t>
            </w:r>
            <w:r>
              <w:rPr>
                <w:b/>
                <w:sz w:val="18"/>
              </w:rPr>
              <w:t>30</w:t>
            </w:r>
            <w:r>
              <w:rPr>
                <w:b/>
                <w:spacing w:val="-5"/>
                <w:sz w:val="18"/>
              </w:rPr>
              <w:t xml:space="preserve"> </w:t>
            </w:r>
            <w:r>
              <w:rPr>
                <w:b/>
                <w:spacing w:val="-4"/>
                <w:sz w:val="18"/>
              </w:rPr>
              <w:t>June</w:t>
            </w:r>
          </w:p>
        </w:tc>
        <w:tc>
          <w:tcPr>
            <w:tcW w:w="1363" w:type="dxa"/>
            <w:tcBorders>
              <w:top w:val="single" w:sz="6" w:space="0" w:color="000000"/>
              <w:bottom w:val="single" w:sz="6" w:space="0" w:color="000000"/>
            </w:tcBorders>
            <w:shd w:val="clear" w:color="auto" w:fill="BEBEBE"/>
          </w:tcPr>
          <w:p w14:paraId="0B02507C" w14:textId="77777777" w:rsidR="00AC6F3C" w:rsidRDefault="00570E88">
            <w:pPr>
              <w:pStyle w:val="TableParagraph"/>
              <w:spacing w:before="55" w:line="193" w:lineRule="exact"/>
              <w:ind w:right="36"/>
              <w:jc w:val="right"/>
              <w:rPr>
                <w:b/>
                <w:sz w:val="18"/>
              </w:rPr>
            </w:pPr>
            <w:r>
              <w:rPr>
                <w:b/>
                <w:spacing w:val="-2"/>
                <w:sz w:val="18"/>
              </w:rPr>
              <w:t>18,934</w:t>
            </w:r>
          </w:p>
        </w:tc>
        <w:tc>
          <w:tcPr>
            <w:tcW w:w="1341" w:type="dxa"/>
            <w:tcBorders>
              <w:top w:val="single" w:sz="6" w:space="0" w:color="000000"/>
              <w:bottom w:val="single" w:sz="6" w:space="0" w:color="000000"/>
              <w:right w:val="single" w:sz="6" w:space="0" w:color="000000"/>
            </w:tcBorders>
            <w:shd w:val="clear" w:color="auto" w:fill="BEBEBE"/>
          </w:tcPr>
          <w:p w14:paraId="72D6615D" w14:textId="77777777" w:rsidR="00AC6F3C" w:rsidRDefault="00570E88">
            <w:pPr>
              <w:pStyle w:val="TableParagraph"/>
              <w:spacing w:before="55" w:line="193" w:lineRule="exact"/>
              <w:ind w:right="22"/>
              <w:jc w:val="right"/>
              <w:rPr>
                <w:b/>
                <w:sz w:val="18"/>
              </w:rPr>
            </w:pPr>
            <w:r>
              <w:rPr>
                <w:b/>
                <w:spacing w:val="-2"/>
                <w:sz w:val="18"/>
              </w:rPr>
              <w:t>19,072</w:t>
            </w:r>
          </w:p>
        </w:tc>
      </w:tr>
    </w:tbl>
    <w:p w14:paraId="3DE9CB2F" w14:textId="77777777" w:rsidR="00AC6F3C" w:rsidRDefault="00AC6F3C">
      <w:pPr>
        <w:pStyle w:val="BodyText"/>
      </w:pPr>
    </w:p>
    <w:p w14:paraId="4D249E25" w14:textId="77777777" w:rsidR="00AC6F3C" w:rsidRDefault="00AC6F3C">
      <w:pPr>
        <w:pStyle w:val="BodyText"/>
      </w:pPr>
    </w:p>
    <w:p w14:paraId="10D3C3A4" w14:textId="77777777" w:rsidR="00AC6F3C" w:rsidRDefault="00AC6F3C">
      <w:pPr>
        <w:pStyle w:val="BodyText"/>
      </w:pPr>
    </w:p>
    <w:p w14:paraId="27052805" w14:textId="77777777" w:rsidR="00AC6F3C" w:rsidRDefault="00AC6F3C">
      <w:pPr>
        <w:pStyle w:val="BodyText"/>
      </w:pPr>
    </w:p>
    <w:p w14:paraId="0BDD1F90" w14:textId="77777777" w:rsidR="00AC6F3C" w:rsidRDefault="00AC6F3C">
      <w:pPr>
        <w:pStyle w:val="BodyText"/>
      </w:pPr>
    </w:p>
    <w:p w14:paraId="3D107F53" w14:textId="77777777" w:rsidR="00AC6F3C" w:rsidRDefault="00AC6F3C">
      <w:pPr>
        <w:pStyle w:val="BodyText"/>
      </w:pPr>
    </w:p>
    <w:p w14:paraId="3CF16CD8" w14:textId="77777777" w:rsidR="00AC6F3C" w:rsidRDefault="00AC6F3C">
      <w:pPr>
        <w:pStyle w:val="BodyText"/>
      </w:pPr>
    </w:p>
    <w:p w14:paraId="14E95E35" w14:textId="77777777" w:rsidR="00AC6F3C" w:rsidRDefault="00AC6F3C">
      <w:pPr>
        <w:pStyle w:val="BodyText"/>
      </w:pPr>
    </w:p>
    <w:p w14:paraId="57CFD285" w14:textId="77777777" w:rsidR="00AC6F3C" w:rsidRDefault="00AC6F3C">
      <w:pPr>
        <w:pStyle w:val="BodyText"/>
      </w:pPr>
    </w:p>
    <w:p w14:paraId="5ACC2C27" w14:textId="77777777" w:rsidR="00AC6F3C" w:rsidRDefault="00AC6F3C">
      <w:pPr>
        <w:pStyle w:val="BodyText"/>
      </w:pPr>
    </w:p>
    <w:p w14:paraId="65C6CD53" w14:textId="77777777" w:rsidR="00AC6F3C" w:rsidRDefault="00AC6F3C">
      <w:pPr>
        <w:pStyle w:val="BodyText"/>
      </w:pPr>
    </w:p>
    <w:p w14:paraId="16BFDE58" w14:textId="77777777" w:rsidR="00AC6F3C" w:rsidRDefault="00AC6F3C">
      <w:pPr>
        <w:pStyle w:val="BodyText"/>
      </w:pPr>
    </w:p>
    <w:p w14:paraId="59C18CBD" w14:textId="77777777" w:rsidR="00AC6F3C" w:rsidRDefault="00AC6F3C">
      <w:pPr>
        <w:pStyle w:val="BodyText"/>
      </w:pPr>
    </w:p>
    <w:p w14:paraId="71412665" w14:textId="77777777" w:rsidR="00AC6F3C" w:rsidRDefault="00AC6F3C">
      <w:pPr>
        <w:pStyle w:val="BodyText"/>
      </w:pPr>
    </w:p>
    <w:p w14:paraId="6B6AD492" w14:textId="77777777" w:rsidR="00AC6F3C" w:rsidRDefault="00AC6F3C">
      <w:pPr>
        <w:pStyle w:val="BodyText"/>
      </w:pPr>
    </w:p>
    <w:p w14:paraId="7C69C3D2" w14:textId="77777777" w:rsidR="00AC6F3C" w:rsidRDefault="00AC6F3C">
      <w:pPr>
        <w:pStyle w:val="BodyText"/>
      </w:pPr>
    </w:p>
    <w:p w14:paraId="008A46F4" w14:textId="77777777" w:rsidR="00AC6F3C" w:rsidRDefault="00AC6F3C">
      <w:pPr>
        <w:pStyle w:val="BodyText"/>
      </w:pPr>
    </w:p>
    <w:p w14:paraId="53D0B543" w14:textId="77777777" w:rsidR="00AC6F3C" w:rsidRDefault="00AC6F3C">
      <w:pPr>
        <w:pStyle w:val="BodyText"/>
      </w:pPr>
    </w:p>
    <w:p w14:paraId="08C6B525" w14:textId="77777777" w:rsidR="00AC6F3C" w:rsidRDefault="00AC6F3C">
      <w:pPr>
        <w:pStyle w:val="BodyText"/>
      </w:pPr>
    </w:p>
    <w:p w14:paraId="4A1FF74D" w14:textId="77777777" w:rsidR="00AC6F3C" w:rsidRDefault="00AC6F3C">
      <w:pPr>
        <w:pStyle w:val="BodyText"/>
      </w:pPr>
    </w:p>
    <w:p w14:paraId="475F1AEA" w14:textId="77777777" w:rsidR="00AC6F3C" w:rsidRDefault="00AC6F3C">
      <w:pPr>
        <w:pStyle w:val="BodyText"/>
      </w:pPr>
    </w:p>
    <w:p w14:paraId="269869F6" w14:textId="77777777" w:rsidR="00AC6F3C" w:rsidRDefault="00AC6F3C">
      <w:pPr>
        <w:pStyle w:val="BodyText"/>
      </w:pPr>
    </w:p>
    <w:p w14:paraId="4025CBDF" w14:textId="77777777" w:rsidR="00AC6F3C" w:rsidRDefault="00AC6F3C">
      <w:pPr>
        <w:pStyle w:val="BodyText"/>
      </w:pPr>
    </w:p>
    <w:p w14:paraId="050B0B1F" w14:textId="77777777" w:rsidR="00AC6F3C" w:rsidRDefault="00AC6F3C">
      <w:pPr>
        <w:pStyle w:val="BodyText"/>
      </w:pPr>
    </w:p>
    <w:p w14:paraId="13B66753" w14:textId="77777777" w:rsidR="00AC6F3C" w:rsidRDefault="00AC6F3C">
      <w:pPr>
        <w:pStyle w:val="BodyText"/>
      </w:pPr>
    </w:p>
    <w:p w14:paraId="57A6A46E" w14:textId="77777777" w:rsidR="00AC6F3C" w:rsidRDefault="00AC6F3C">
      <w:pPr>
        <w:pStyle w:val="BodyText"/>
      </w:pPr>
    </w:p>
    <w:p w14:paraId="2EFF0287" w14:textId="77777777" w:rsidR="00AC6F3C" w:rsidRDefault="00AC6F3C">
      <w:pPr>
        <w:pStyle w:val="BodyText"/>
      </w:pPr>
    </w:p>
    <w:p w14:paraId="0810C478" w14:textId="77777777" w:rsidR="00AC6F3C" w:rsidRDefault="00AC6F3C">
      <w:pPr>
        <w:pStyle w:val="BodyText"/>
      </w:pPr>
    </w:p>
    <w:p w14:paraId="064DF7C1" w14:textId="77777777" w:rsidR="00AC6F3C" w:rsidRDefault="00AC6F3C">
      <w:pPr>
        <w:pStyle w:val="BodyText"/>
      </w:pPr>
    </w:p>
    <w:p w14:paraId="78265784" w14:textId="77777777" w:rsidR="00AC6F3C" w:rsidRDefault="00AC6F3C">
      <w:pPr>
        <w:pStyle w:val="BodyText"/>
      </w:pPr>
    </w:p>
    <w:p w14:paraId="71F849D4" w14:textId="77777777" w:rsidR="00AC6F3C" w:rsidRDefault="00AC6F3C">
      <w:pPr>
        <w:pStyle w:val="BodyText"/>
      </w:pPr>
    </w:p>
    <w:p w14:paraId="5D3532FD" w14:textId="77777777" w:rsidR="00AC6F3C" w:rsidRDefault="00AC6F3C">
      <w:pPr>
        <w:pStyle w:val="BodyText"/>
      </w:pPr>
    </w:p>
    <w:p w14:paraId="5CF2002E" w14:textId="77777777" w:rsidR="00AC6F3C" w:rsidRDefault="00AC6F3C">
      <w:pPr>
        <w:pStyle w:val="BodyText"/>
      </w:pPr>
    </w:p>
    <w:p w14:paraId="4AFDD09B" w14:textId="77777777" w:rsidR="00AC6F3C" w:rsidRDefault="00AC6F3C">
      <w:pPr>
        <w:pStyle w:val="BodyText"/>
      </w:pPr>
    </w:p>
    <w:p w14:paraId="0638B9BB" w14:textId="77777777" w:rsidR="00AC6F3C" w:rsidRDefault="00AC6F3C">
      <w:pPr>
        <w:pStyle w:val="BodyText"/>
      </w:pPr>
    </w:p>
    <w:p w14:paraId="4939F23B" w14:textId="77777777" w:rsidR="00AC6F3C" w:rsidRDefault="00AC6F3C">
      <w:pPr>
        <w:pStyle w:val="BodyText"/>
      </w:pPr>
    </w:p>
    <w:p w14:paraId="4F0E9D38" w14:textId="77777777" w:rsidR="00AC6F3C" w:rsidRDefault="00AC6F3C">
      <w:pPr>
        <w:pStyle w:val="BodyText"/>
      </w:pPr>
    </w:p>
    <w:p w14:paraId="7EB25ABC" w14:textId="77777777" w:rsidR="00AC6F3C" w:rsidRDefault="00AC6F3C">
      <w:pPr>
        <w:pStyle w:val="BodyText"/>
      </w:pPr>
    </w:p>
    <w:p w14:paraId="1B4FE5FF" w14:textId="77777777" w:rsidR="00AC6F3C" w:rsidRDefault="00AC6F3C">
      <w:pPr>
        <w:pStyle w:val="BodyText"/>
      </w:pPr>
    </w:p>
    <w:p w14:paraId="63371950" w14:textId="77777777" w:rsidR="00AC6F3C" w:rsidRDefault="00AC6F3C">
      <w:pPr>
        <w:pStyle w:val="BodyText"/>
      </w:pPr>
    </w:p>
    <w:p w14:paraId="53D2FC4F" w14:textId="77777777" w:rsidR="00AC6F3C" w:rsidRDefault="00AC6F3C">
      <w:pPr>
        <w:pStyle w:val="BodyText"/>
        <w:spacing w:before="2"/>
        <w:rPr>
          <w:sz w:val="18"/>
        </w:rPr>
      </w:pPr>
    </w:p>
    <w:p w14:paraId="60265244" w14:textId="77777777" w:rsidR="00AC6F3C" w:rsidRDefault="00570E88">
      <w:pPr>
        <w:ind w:left="991"/>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392EE64D" w14:textId="77777777" w:rsidR="00AC6F3C" w:rsidRDefault="00AC6F3C">
      <w:pPr>
        <w:rPr>
          <w:sz w:val="18"/>
        </w:rPr>
        <w:sectPr w:rsidR="00AC6F3C">
          <w:pgSz w:w="11910" w:h="16840"/>
          <w:pgMar w:top="1580" w:right="1160" w:bottom="520" w:left="460" w:header="1297" w:footer="336" w:gutter="0"/>
          <w:cols w:space="720"/>
        </w:sectPr>
      </w:pPr>
    </w:p>
    <w:p w14:paraId="5745EB84" w14:textId="77777777" w:rsidR="00AC6F3C" w:rsidRDefault="00570E88">
      <w:pPr>
        <w:ind w:left="979"/>
      </w:pPr>
      <w:r>
        <w:lastRenderedPageBreak/>
        <w:t>Statement</w:t>
      </w:r>
      <w:r>
        <w:rPr>
          <w:spacing w:val="-6"/>
        </w:rPr>
        <w:t xml:space="preserve"> </w:t>
      </w:r>
      <w:r>
        <w:t>of</w:t>
      </w:r>
      <w:r>
        <w:rPr>
          <w:spacing w:val="-3"/>
        </w:rPr>
        <w:t xml:space="preserve"> </w:t>
      </w:r>
      <w:r>
        <w:t>Cash</w:t>
      </w:r>
      <w:r>
        <w:rPr>
          <w:spacing w:val="-4"/>
        </w:rPr>
        <w:t xml:space="preserve"> </w:t>
      </w:r>
      <w:r>
        <w:t>Flows</w:t>
      </w:r>
      <w:r>
        <w:rPr>
          <w:spacing w:val="-2"/>
        </w:rPr>
        <w:t xml:space="preserve"> </w:t>
      </w:r>
      <w:r>
        <w:t>for</w:t>
      </w:r>
      <w:r>
        <w:rPr>
          <w:spacing w:val="-5"/>
        </w:rPr>
        <w:t xml:space="preserve"> </w:t>
      </w:r>
      <w:r>
        <w:t>the</w:t>
      </w:r>
      <w:r>
        <w:rPr>
          <w:spacing w:val="-3"/>
        </w:rPr>
        <w:t xml:space="preserve"> </w:t>
      </w:r>
      <w:r>
        <w:t>year</w:t>
      </w:r>
      <w:r>
        <w:rPr>
          <w:spacing w:val="-4"/>
        </w:rPr>
        <w:t xml:space="preserve"> </w:t>
      </w:r>
      <w:r>
        <w:t>ended</w:t>
      </w:r>
      <w:r>
        <w:rPr>
          <w:spacing w:val="-4"/>
        </w:rPr>
        <w:t xml:space="preserve"> </w:t>
      </w:r>
      <w:r>
        <w:t>30</w:t>
      </w:r>
      <w:r>
        <w:rPr>
          <w:spacing w:val="-5"/>
        </w:rPr>
        <w:t xml:space="preserve"> </w:t>
      </w:r>
      <w:r>
        <w:t>June</w:t>
      </w:r>
      <w:r>
        <w:rPr>
          <w:spacing w:val="-3"/>
        </w:rPr>
        <w:t xml:space="preserve"> </w:t>
      </w:r>
      <w:r>
        <w:rPr>
          <w:spacing w:val="-4"/>
        </w:rPr>
        <w:t>2023</w:t>
      </w:r>
    </w:p>
    <w:p w14:paraId="30691519" w14:textId="77777777" w:rsidR="00AC6F3C" w:rsidRDefault="00570E88">
      <w:pPr>
        <w:pStyle w:val="BodyText"/>
        <w:spacing w:before="1"/>
        <w:rPr>
          <w:sz w:val="29"/>
        </w:rPr>
      </w:pPr>
      <w:r>
        <w:rPr>
          <w:noProof/>
        </w:rPr>
        <mc:AlternateContent>
          <mc:Choice Requires="wps">
            <w:drawing>
              <wp:anchor distT="0" distB="0" distL="0" distR="0" simplePos="0" relativeHeight="487718400" behindDoc="1" locked="0" layoutInCell="1" allowOverlap="1" wp14:anchorId="74F6EAD8" wp14:editId="3F9C574E">
                <wp:simplePos x="0" y="0"/>
                <wp:positionH relativeFrom="page">
                  <wp:posOffset>896045</wp:posOffset>
                </wp:positionH>
                <wp:positionV relativeFrom="paragraph">
                  <wp:posOffset>228083</wp:posOffset>
                </wp:positionV>
                <wp:extent cx="5768340" cy="635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7D7C1" id="Graphic 894" o:spid="_x0000_s1026" style="position:absolute;margin-left:70.55pt;margin-top:17.95pt;width:454.2pt;height:.5pt;z-index:-1559808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" path="m5767909,6094l,6094,,,5767909,r,6094xe" fillcolor="black" stroked="f">
                <v:path arrowok="t"/>
                <w10:wrap type="topAndBottom" anchorx="page"/>
              </v:shape>
            </w:pict>
          </mc:Fallback>
        </mc:AlternateContent>
      </w:r>
    </w:p>
    <w:p w14:paraId="4A5B3A5F" w14:textId="77777777" w:rsidR="00AC6F3C" w:rsidRDefault="00AC6F3C">
      <w:pPr>
        <w:pStyle w:val="BodyText"/>
      </w:pPr>
    </w:p>
    <w:p w14:paraId="28DB23A2" w14:textId="77777777" w:rsidR="00AC6F3C" w:rsidRDefault="00AC6F3C">
      <w:pPr>
        <w:pStyle w:val="BodyText"/>
      </w:pPr>
    </w:p>
    <w:p w14:paraId="79F2BE83" w14:textId="77777777" w:rsidR="00AC6F3C" w:rsidRDefault="00AC6F3C">
      <w:pPr>
        <w:pStyle w:val="BodyText"/>
        <w:spacing w:before="1"/>
        <w:rPr>
          <w:sz w:val="12"/>
        </w:rPr>
      </w:pPr>
    </w:p>
    <w:tbl>
      <w:tblPr>
        <w:tblW w:w="0" w:type="auto"/>
        <w:tblInd w:w="994" w:type="dxa"/>
        <w:tblLayout w:type="fixed"/>
        <w:tblCellMar>
          <w:left w:w="0" w:type="dxa"/>
          <w:right w:w="0" w:type="dxa"/>
        </w:tblCellMar>
        <w:tblLook w:val="01E0" w:firstRow="1" w:lastRow="1" w:firstColumn="1" w:lastColumn="1" w:noHBand="0" w:noVBand="0"/>
      </w:tblPr>
      <w:tblGrid>
        <w:gridCol w:w="5491"/>
        <w:gridCol w:w="1253"/>
        <w:gridCol w:w="1138"/>
        <w:gridCol w:w="1116"/>
      </w:tblGrid>
      <w:tr w:rsidR="00AC6F3C" w14:paraId="3CD919FC" w14:textId="77777777">
        <w:trPr>
          <w:trHeight w:val="1076"/>
        </w:trPr>
        <w:tc>
          <w:tcPr>
            <w:tcW w:w="6744" w:type="dxa"/>
            <w:gridSpan w:val="2"/>
            <w:tcBorders>
              <w:top w:val="single" w:sz="6" w:space="0" w:color="000000"/>
              <w:left w:val="single" w:sz="6" w:space="0" w:color="000000"/>
              <w:bottom w:val="single" w:sz="6" w:space="0" w:color="000000"/>
            </w:tcBorders>
            <w:shd w:val="clear" w:color="auto" w:fill="BEBEBE"/>
          </w:tcPr>
          <w:p w14:paraId="70839E6C" w14:textId="77777777" w:rsidR="00AC6F3C" w:rsidRDefault="00AC6F3C">
            <w:pPr>
              <w:pStyle w:val="TableParagraph"/>
              <w:rPr>
                <w:sz w:val="20"/>
              </w:rPr>
            </w:pPr>
          </w:p>
          <w:p w14:paraId="046198BD" w14:textId="77777777" w:rsidR="00AC6F3C" w:rsidRDefault="00AC6F3C">
            <w:pPr>
              <w:pStyle w:val="TableParagraph"/>
              <w:rPr>
                <w:sz w:val="20"/>
              </w:rPr>
            </w:pPr>
          </w:p>
          <w:p w14:paraId="2F2D35BF" w14:textId="77777777" w:rsidR="00AC6F3C" w:rsidRDefault="00AC6F3C">
            <w:pPr>
              <w:pStyle w:val="TableParagraph"/>
              <w:rPr>
                <w:sz w:val="20"/>
              </w:rPr>
            </w:pPr>
          </w:p>
          <w:p w14:paraId="7473A4DE" w14:textId="77777777" w:rsidR="00AC6F3C" w:rsidRDefault="00570E88">
            <w:pPr>
              <w:pStyle w:val="TableParagraph"/>
              <w:spacing w:before="157"/>
              <w:ind w:right="310"/>
              <w:jc w:val="right"/>
              <w:rPr>
                <w:b/>
                <w:sz w:val="18"/>
              </w:rPr>
            </w:pPr>
            <w:r>
              <w:rPr>
                <w:b/>
                <w:spacing w:val="-2"/>
                <w:sz w:val="18"/>
              </w:rPr>
              <w:t>Notes</w:t>
            </w:r>
          </w:p>
        </w:tc>
        <w:tc>
          <w:tcPr>
            <w:tcW w:w="1138" w:type="dxa"/>
            <w:tcBorders>
              <w:top w:val="single" w:sz="6" w:space="0" w:color="000000"/>
              <w:bottom w:val="single" w:sz="6" w:space="0" w:color="000000"/>
            </w:tcBorders>
            <w:shd w:val="clear" w:color="auto" w:fill="BEBEBE"/>
          </w:tcPr>
          <w:p w14:paraId="1388D99A" w14:textId="77777777" w:rsidR="00AC6F3C" w:rsidRDefault="00570E88">
            <w:pPr>
              <w:pStyle w:val="TableParagraph"/>
              <w:spacing w:before="40"/>
              <w:ind w:right="36"/>
              <w:jc w:val="right"/>
              <w:rPr>
                <w:b/>
                <w:sz w:val="18"/>
              </w:rPr>
            </w:pPr>
            <w:r>
              <w:rPr>
                <w:b/>
                <w:spacing w:val="-4"/>
                <w:sz w:val="18"/>
              </w:rPr>
              <w:t>2023</w:t>
            </w:r>
          </w:p>
          <w:p w14:paraId="0410B3A7" w14:textId="77777777" w:rsidR="00AC6F3C" w:rsidRDefault="00570E88">
            <w:pPr>
              <w:pStyle w:val="TableParagraph"/>
              <w:spacing w:before="92"/>
              <w:ind w:right="36"/>
              <w:jc w:val="right"/>
              <w:rPr>
                <w:b/>
                <w:sz w:val="18"/>
              </w:rPr>
            </w:pPr>
            <w:r>
              <w:rPr>
                <w:b/>
                <w:spacing w:val="-2"/>
                <w:sz w:val="18"/>
              </w:rPr>
              <w:t>$'000</w:t>
            </w:r>
          </w:p>
          <w:p w14:paraId="0FC8C4D2" w14:textId="77777777" w:rsidR="00AC6F3C" w:rsidRDefault="00570E88">
            <w:pPr>
              <w:pStyle w:val="TableParagraph"/>
              <w:spacing w:before="14" w:line="240" w:lineRule="atLeast"/>
              <w:ind w:left="261" w:right="31" w:firstLine="209"/>
              <w:jc w:val="right"/>
              <w:rPr>
                <w:sz w:val="18"/>
              </w:rPr>
            </w:pPr>
            <w:r>
              <w:rPr>
                <w:spacing w:val="-2"/>
                <w:sz w:val="18"/>
              </w:rPr>
              <w:t>Inflows/ (Outflows)</w:t>
            </w:r>
          </w:p>
        </w:tc>
        <w:tc>
          <w:tcPr>
            <w:tcW w:w="1116" w:type="dxa"/>
            <w:tcBorders>
              <w:top w:val="single" w:sz="6" w:space="0" w:color="000000"/>
              <w:bottom w:val="single" w:sz="6" w:space="0" w:color="000000"/>
              <w:right w:val="single" w:sz="6" w:space="0" w:color="000000"/>
            </w:tcBorders>
            <w:shd w:val="clear" w:color="auto" w:fill="BEBEBE"/>
          </w:tcPr>
          <w:p w14:paraId="243353C7" w14:textId="77777777" w:rsidR="00AC6F3C" w:rsidRDefault="00570E88">
            <w:pPr>
              <w:pStyle w:val="TableParagraph"/>
              <w:spacing w:before="40"/>
              <w:ind w:right="22"/>
              <w:jc w:val="right"/>
              <w:rPr>
                <w:b/>
                <w:sz w:val="18"/>
              </w:rPr>
            </w:pPr>
            <w:r>
              <w:rPr>
                <w:b/>
                <w:spacing w:val="-4"/>
                <w:sz w:val="18"/>
              </w:rPr>
              <w:t>2022</w:t>
            </w:r>
          </w:p>
          <w:p w14:paraId="6021C891" w14:textId="77777777" w:rsidR="00AC6F3C" w:rsidRDefault="00570E88">
            <w:pPr>
              <w:pStyle w:val="TableParagraph"/>
              <w:spacing w:before="92"/>
              <w:ind w:right="22"/>
              <w:jc w:val="right"/>
              <w:rPr>
                <w:b/>
                <w:sz w:val="18"/>
              </w:rPr>
            </w:pPr>
            <w:r>
              <w:rPr>
                <w:b/>
                <w:spacing w:val="-2"/>
                <w:sz w:val="18"/>
              </w:rPr>
              <w:t>$'000</w:t>
            </w:r>
          </w:p>
          <w:p w14:paraId="0B184343" w14:textId="77777777" w:rsidR="00AC6F3C" w:rsidRDefault="00570E88">
            <w:pPr>
              <w:pStyle w:val="TableParagraph"/>
              <w:spacing w:before="14" w:line="240" w:lineRule="atLeast"/>
              <w:ind w:left="245" w:right="17" w:firstLine="209"/>
              <w:jc w:val="right"/>
              <w:rPr>
                <w:sz w:val="18"/>
              </w:rPr>
            </w:pPr>
            <w:r>
              <w:rPr>
                <w:spacing w:val="-2"/>
                <w:sz w:val="18"/>
              </w:rPr>
              <w:t>Inflows/ (Outflows)</w:t>
            </w:r>
          </w:p>
        </w:tc>
      </w:tr>
      <w:tr w:rsidR="00AC6F3C" w14:paraId="08EE3088" w14:textId="77777777">
        <w:trPr>
          <w:trHeight w:val="296"/>
        </w:trPr>
        <w:tc>
          <w:tcPr>
            <w:tcW w:w="6744" w:type="dxa"/>
            <w:gridSpan w:val="2"/>
            <w:tcBorders>
              <w:top w:val="single" w:sz="6" w:space="0" w:color="000000"/>
              <w:left w:val="single" w:sz="6" w:space="0" w:color="000000"/>
            </w:tcBorders>
          </w:tcPr>
          <w:p w14:paraId="6FC6BEAC" w14:textId="77777777" w:rsidR="00AC6F3C" w:rsidRDefault="00570E88">
            <w:pPr>
              <w:pStyle w:val="TableParagraph"/>
              <w:spacing w:before="55"/>
              <w:ind w:left="37"/>
              <w:rPr>
                <w:b/>
                <w:sz w:val="18"/>
              </w:rPr>
            </w:pPr>
            <w:r>
              <w:rPr>
                <w:b/>
                <w:spacing w:val="-2"/>
                <w:sz w:val="18"/>
              </w:rPr>
              <w:t>Cash</w:t>
            </w:r>
            <w:r>
              <w:rPr>
                <w:b/>
                <w:spacing w:val="-10"/>
                <w:sz w:val="18"/>
              </w:rPr>
              <w:t xml:space="preserve"> </w:t>
            </w:r>
            <w:r>
              <w:rPr>
                <w:b/>
                <w:spacing w:val="-2"/>
                <w:sz w:val="18"/>
              </w:rPr>
              <w:t>flows</w:t>
            </w:r>
            <w:r>
              <w:rPr>
                <w:b/>
                <w:spacing w:val="1"/>
                <w:sz w:val="18"/>
              </w:rPr>
              <w:t xml:space="preserve"> </w:t>
            </w:r>
            <w:r>
              <w:rPr>
                <w:b/>
                <w:spacing w:val="-2"/>
                <w:sz w:val="18"/>
              </w:rPr>
              <w:t>from</w:t>
            </w:r>
            <w:r>
              <w:rPr>
                <w:b/>
                <w:spacing w:val="2"/>
                <w:sz w:val="18"/>
              </w:rPr>
              <w:t xml:space="preserve"> </w:t>
            </w:r>
            <w:r>
              <w:rPr>
                <w:b/>
                <w:spacing w:val="-2"/>
                <w:sz w:val="18"/>
              </w:rPr>
              <w:t>operating</w:t>
            </w:r>
            <w:r>
              <w:rPr>
                <w:b/>
                <w:spacing w:val="-10"/>
                <w:sz w:val="18"/>
              </w:rPr>
              <w:t xml:space="preserve"> </w:t>
            </w:r>
            <w:r>
              <w:rPr>
                <w:b/>
                <w:spacing w:val="-2"/>
                <w:sz w:val="18"/>
              </w:rPr>
              <w:t>activities</w:t>
            </w:r>
          </w:p>
        </w:tc>
        <w:tc>
          <w:tcPr>
            <w:tcW w:w="1138" w:type="dxa"/>
            <w:tcBorders>
              <w:top w:val="single" w:sz="6" w:space="0" w:color="000000"/>
            </w:tcBorders>
            <w:shd w:val="clear" w:color="auto" w:fill="F1F1F1"/>
          </w:tcPr>
          <w:p w14:paraId="368DBC6E" w14:textId="77777777" w:rsidR="00AC6F3C" w:rsidRDefault="00AC6F3C">
            <w:pPr>
              <w:pStyle w:val="TableParagraph"/>
              <w:rPr>
                <w:rFonts w:ascii="Times New Roman"/>
                <w:sz w:val="18"/>
              </w:rPr>
            </w:pPr>
          </w:p>
        </w:tc>
        <w:tc>
          <w:tcPr>
            <w:tcW w:w="1116" w:type="dxa"/>
            <w:tcBorders>
              <w:top w:val="single" w:sz="6" w:space="0" w:color="000000"/>
              <w:right w:val="single" w:sz="6" w:space="0" w:color="000000"/>
            </w:tcBorders>
          </w:tcPr>
          <w:p w14:paraId="768289D2" w14:textId="77777777" w:rsidR="00AC6F3C" w:rsidRDefault="00AC6F3C">
            <w:pPr>
              <w:pStyle w:val="TableParagraph"/>
              <w:rPr>
                <w:rFonts w:ascii="Times New Roman"/>
                <w:sz w:val="18"/>
              </w:rPr>
            </w:pPr>
          </w:p>
        </w:tc>
      </w:tr>
      <w:tr w:rsidR="00AC6F3C" w14:paraId="10394A23" w14:textId="77777777">
        <w:trPr>
          <w:trHeight w:val="284"/>
        </w:trPr>
        <w:tc>
          <w:tcPr>
            <w:tcW w:w="6744" w:type="dxa"/>
            <w:gridSpan w:val="2"/>
            <w:tcBorders>
              <w:left w:val="single" w:sz="6" w:space="0" w:color="000000"/>
            </w:tcBorders>
          </w:tcPr>
          <w:p w14:paraId="34C892F8" w14:textId="77777777" w:rsidR="00AC6F3C" w:rsidRDefault="00570E88">
            <w:pPr>
              <w:pStyle w:val="TableParagraph"/>
              <w:spacing w:before="28"/>
              <w:ind w:left="37"/>
              <w:rPr>
                <w:sz w:val="18"/>
              </w:rPr>
            </w:pPr>
            <w:r>
              <w:rPr>
                <w:sz w:val="18"/>
              </w:rPr>
              <w:t>Contributions</w:t>
            </w:r>
            <w:r>
              <w:rPr>
                <w:spacing w:val="21"/>
                <w:sz w:val="18"/>
              </w:rPr>
              <w:t xml:space="preserve"> </w:t>
            </w:r>
            <w:r>
              <w:rPr>
                <w:sz w:val="18"/>
              </w:rPr>
              <w:t>by</w:t>
            </w:r>
            <w:r>
              <w:rPr>
                <w:spacing w:val="-15"/>
                <w:sz w:val="18"/>
              </w:rPr>
              <w:t xml:space="preserve"> </w:t>
            </w:r>
            <w:r>
              <w:rPr>
                <w:sz w:val="18"/>
              </w:rPr>
              <w:t>practitioners</w:t>
            </w:r>
            <w:r>
              <w:rPr>
                <w:spacing w:val="21"/>
                <w:sz w:val="18"/>
              </w:rPr>
              <w:t xml:space="preserve"> </w:t>
            </w:r>
            <w:r>
              <w:rPr>
                <w:sz w:val="18"/>
              </w:rPr>
              <w:t>and</w:t>
            </w:r>
            <w:r>
              <w:rPr>
                <w:spacing w:val="10"/>
                <w:sz w:val="18"/>
              </w:rPr>
              <w:t xml:space="preserve"> </w:t>
            </w:r>
            <w:r>
              <w:rPr>
                <w:sz w:val="18"/>
              </w:rPr>
              <w:t>cost</w:t>
            </w:r>
            <w:r>
              <w:rPr>
                <w:spacing w:val="-3"/>
                <w:sz w:val="18"/>
              </w:rPr>
              <w:t xml:space="preserve"> </w:t>
            </w:r>
            <w:r>
              <w:rPr>
                <w:spacing w:val="-2"/>
                <w:sz w:val="18"/>
              </w:rPr>
              <w:t>recoveries</w:t>
            </w:r>
          </w:p>
        </w:tc>
        <w:tc>
          <w:tcPr>
            <w:tcW w:w="1138" w:type="dxa"/>
            <w:shd w:val="clear" w:color="auto" w:fill="F1F1F1"/>
          </w:tcPr>
          <w:p w14:paraId="0DBB0B77" w14:textId="77777777" w:rsidR="00AC6F3C" w:rsidRDefault="00570E88">
            <w:pPr>
              <w:pStyle w:val="TableParagraph"/>
              <w:spacing w:before="28"/>
              <w:ind w:right="36"/>
              <w:jc w:val="right"/>
              <w:rPr>
                <w:sz w:val="18"/>
              </w:rPr>
            </w:pPr>
            <w:r>
              <w:rPr>
                <w:spacing w:val="-5"/>
                <w:sz w:val="18"/>
              </w:rPr>
              <w:t>583</w:t>
            </w:r>
          </w:p>
        </w:tc>
        <w:tc>
          <w:tcPr>
            <w:tcW w:w="1116" w:type="dxa"/>
            <w:tcBorders>
              <w:right w:val="single" w:sz="6" w:space="0" w:color="000000"/>
            </w:tcBorders>
          </w:tcPr>
          <w:p w14:paraId="5BB37FC3" w14:textId="77777777" w:rsidR="00AC6F3C" w:rsidRDefault="00570E88">
            <w:pPr>
              <w:pStyle w:val="TableParagraph"/>
              <w:spacing w:before="28"/>
              <w:ind w:right="22"/>
              <w:jc w:val="right"/>
              <w:rPr>
                <w:sz w:val="18"/>
              </w:rPr>
            </w:pPr>
            <w:r>
              <w:rPr>
                <w:spacing w:val="-5"/>
                <w:sz w:val="18"/>
              </w:rPr>
              <w:t>151</w:t>
            </w:r>
          </w:p>
        </w:tc>
      </w:tr>
      <w:tr w:rsidR="00AC6F3C" w14:paraId="51E7DAF4" w14:textId="77777777">
        <w:trPr>
          <w:trHeight w:val="291"/>
        </w:trPr>
        <w:tc>
          <w:tcPr>
            <w:tcW w:w="6744" w:type="dxa"/>
            <w:gridSpan w:val="2"/>
            <w:tcBorders>
              <w:left w:val="single" w:sz="6" w:space="0" w:color="000000"/>
            </w:tcBorders>
          </w:tcPr>
          <w:p w14:paraId="00DDE295" w14:textId="77777777" w:rsidR="00AC6F3C" w:rsidRDefault="00570E88">
            <w:pPr>
              <w:pStyle w:val="TableParagraph"/>
              <w:spacing w:before="43"/>
              <w:ind w:left="37"/>
              <w:rPr>
                <w:sz w:val="18"/>
              </w:rPr>
            </w:pPr>
            <w:r>
              <w:rPr>
                <w:sz w:val="18"/>
              </w:rPr>
              <w:t>Claim</w:t>
            </w:r>
            <w:r>
              <w:rPr>
                <w:spacing w:val="26"/>
                <w:sz w:val="18"/>
              </w:rPr>
              <w:t xml:space="preserve"> </w:t>
            </w:r>
            <w:r>
              <w:rPr>
                <w:sz w:val="18"/>
              </w:rPr>
              <w:t>payments</w:t>
            </w:r>
            <w:r>
              <w:rPr>
                <w:spacing w:val="27"/>
                <w:sz w:val="18"/>
              </w:rPr>
              <w:t xml:space="preserve"> </w:t>
            </w:r>
            <w:r>
              <w:rPr>
                <w:sz w:val="18"/>
              </w:rPr>
              <w:t>and</w:t>
            </w:r>
            <w:r>
              <w:rPr>
                <w:spacing w:val="14"/>
                <w:sz w:val="18"/>
              </w:rPr>
              <w:t xml:space="preserve"> </w:t>
            </w:r>
            <w:r>
              <w:rPr>
                <w:sz w:val="18"/>
              </w:rPr>
              <w:t>administration</w:t>
            </w:r>
            <w:r>
              <w:rPr>
                <w:spacing w:val="14"/>
                <w:sz w:val="18"/>
              </w:rPr>
              <w:t xml:space="preserve"> </w:t>
            </w:r>
            <w:r>
              <w:rPr>
                <w:spacing w:val="-2"/>
                <w:sz w:val="18"/>
              </w:rPr>
              <w:t>expenses</w:t>
            </w:r>
          </w:p>
        </w:tc>
        <w:tc>
          <w:tcPr>
            <w:tcW w:w="1138" w:type="dxa"/>
            <w:shd w:val="clear" w:color="auto" w:fill="F1F1F1"/>
          </w:tcPr>
          <w:p w14:paraId="5B4A14A4" w14:textId="77777777" w:rsidR="00AC6F3C" w:rsidRDefault="00570E88">
            <w:pPr>
              <w:pStyle w:val="TableParagraph"/>
              <w:spacing w:before="43"/>
              <w:ind w:right="31"/>
              <w:jc w:val="right"/>
              <w:rPr>
                <w:sz w:val="18"/>
              </w:rPr>
            </w:pPr>
            <w:r>
              <w:rPr>
                <w:spacing w:val="-2"/>
                <w:sz w:val="18"/>
              </w:rPr>
              <w:t>(4,088)</w:t>
            </w:r>
          </w:p>
        </w:tc>
        <w:tc>
          <w:tcPr>
            <w:tcW w:w="1116" w:type="dxa"/>
            <w:tcBorders>
              <w:right w:val="single" w:sz="6" w:space="0" w:color="000000"/>
            </w:tcBorders>
          </w:tcPr>
          <w:p w14:paraId="4406BF5B" w14:textId="77777777" w:rsidR="00AC6F3C" w:rsidRDefault="00570E88">
            <w:pPr>
              <w:pStyle w:val="TableParagraph"/>
              <w:spacing w:before="43"/>
              <w:ind w:right="17"/>
              <w:jc w:val="right"/>
              <w:rPr>
                <w:sz w:val="18"/>
              </w:rPr>
            </w:pPr>
            <w:r>
              <w:rPr>
                <w:spacing w:val="-2"/>
                <w:sz w:val="18"/>
              </w:rPr>
              <w:t>(6,951)</w:t>
            </w:r>
          </w:p>
        </w:tc>
      </w:tr>
      <w:tr w:rsidR="00AC6F3C" w14:paraId="14001D45" w14:textId="77777777">
        <w:trPr>
          <w:trHeight w:val="248"/>
        </w:trPr>
        <w:tc>
          <w:tcPr>
            <w:tcW w:w="6744" w:type="dxa"/>
            <w:gridSpan w:val="2"/>
            <w:tcBorders>
              <w:left w:val="single" w:sz="6" w:space="0" w:color="000000"/>
              <w:bottom w:val="single" w:sz="6" w:space="0" w:color="000000"/>
            </w:tcBorders>
          </w:tcPr>
          <w:p w14:paraId="46C794C3" w14:textId="77777777" w:rsidR="00AC6F3C" w:rsidRDefault="00570E88">
            <w:pPr>
              <w:pStyle w:val="TableParagraph"/>
              <w:spacing w:before="35" w:line="194" w:lineRule="exact"/>
              <w:ind w:left="37"/>
              <w:rPr>
                <w:sz w:val="18"/>
              </w:rPr>
            </w:pPr>
            <w:r>
              <w:rPr>
                <w:sz w:val="18"/>
              </w:rPr>
              <w:t>Interest</w:t>
            </w:r>
            <w:r>
              <w:rPr>
                <w:spacing w:val="-3"/>
                <w:sz w:val="18"/>
              </w:rPr>
              <w:t xml:space="preserve"> </w:t>
            </w:r>
            <w:r>
              <w:rPr>
                <w:spacing w:val="-2"/>
                <w:sz w:val="18"/>
              </w:rPr>
              <w:t>received</w:t>
            </w:r>
          </w:p>
        </w:tc>
        <w:tc>
          <w:tcPr>
            <w:tcW w:w="1138" w:type="dxa"/>
            <w:tcBorders>
              <w:bottom w:val="single" w:sz="6" w:space="0" w:color="000000"/>
            </w:tcBorders>
            <w:shd w:val="clear" w:color="auto" w:fill="F1F1F1"/>
          </w:tcPr>
          <w:p w14:paraId="71A2D9AC" w14:textId="77777777" w:rsidR="00AC6F3C" w:rsidRDefault="00570E88">
            <w:pPr>
              <w:pStyle w:val="TableParagraph"/>
              <w:spacing w:before="35" w:line="194" w:lineRule="exact"/>
              <w:ind w:right="36"/>
              <w:jc w:val="right"/>
              <w:rPr>
                <w:sz w:val="18"/>
              </w:rPr>
            </w:pPr>
            <w:r>
              <w:rPr>
                <w:spacing w:val="-5"/>
                <w:sz w:val="18"/>
              </w:rPr>
              <w:t>28</w:t>
            </w:r>
          </w:p>
        </w:tc>
        <w:tc>
          <w:tcPr>
            <w:tcW w:w="1116" w:type="dxa"/>
            <w:tcBorders>
              <w:bottom w:val="single" w:sz="6" w:space="0" w:color="000000"/>
              <w:right w:val="single" w:sz="6" w:space="0" w:color="000000"/>
            </w:tcBorders>
          </w:tcPr>
          <w:p w14:paraId="0F859DB7" w14:textId="77777777" w:rsidR="00AC6F3C" w:rsidRDefault="00570E88">
            <w:pPr>
              <w:pStyle w:val="TableParagraph"/>
              <w:spacing w:before="35" w:line="194" w:lineRule="exact"/>
              <w:ind w:right="22"/>
              <w:jc w:val="right"/>
              <w:rPr>
                <w:sz w:val="18"/>
              </w:rPr>
            </w:pPr>
            <w:r>
              <w:rPr>
                <w:spacing w:val="-5"/>
                <w:sz w:val="18"/>
              </w:rPr>
              <w:t>10</w:t>
            </w:r>
          </w:p>
        </w:tc>
      </w:tr>
      <w:tr w:rsidR="00AC6F3C" w14:paraId="6CCB066A" w14:textId="77777777">
        <w:trPr>
          <w:trHeight w:val="268"/>
        </w:trPr>
        <w:tc>
          <w:tcPr>
            <w:tcW w:w="5491" w:type="dxa"/>
            <w:tcBorders>
              <w:top w:val="single" w:sz="6" w:space="0" w:color="000000"/>
              <w:left w:val="single" w:sz="6" w:space="0" w:color="000000"/>
              <w:bottom w:val="single" w:sz="6" w:space="0" w:color="000000"/>
            </w:tcBorders>
            <w:shd w:val="clear" w:color="auto" w:fill="BEBEBE"/>
          </w:tcPr>
          <w:p w14:paraId="636FA4D9" w14:textId="77777777" w:rsidR="00AC6F3C" w:rsidRDefault="00570E88">
            <w:pPr>
              <w:pStyle w:val="TableParagraph"/>
              <w:spacing w:before="55" w:line="194" w:lineRule="exact"/>
              <w:ind w:left="37"/>
              <w:rPr>
                <w:b/>
                <w:sz w:val="18"/>
              </w:rPr>
            </w:pPr>
            <w:r>
              <w:rPr>
                <w:b/>
                <w:spacing w:val="-2"/>
                <w:sz w:val="18"/>
              </w:rPr>
              <w:t>Net</w:t>
            </w:r>
            <w:r>
              <w:rPr>
                <w:b/>
                <w:spacing w:val="-4"/>
                <w:sz w:val="18"/>
              </w:rPr>
              <w:t xml:space="preserve"> </w:t>
            </w:r>
            <w:r>
              <w:rPr>
                <w:b/>
                <w:spacing w:val="-2"/>
                <w:sz w:val="18"/>
              </w:rPr>
              <w:t>cash</w:t>
            </w:r>
            <w:r>
              <w:rPr>
                <w:b/>
                <w:spacing w:val="-8"/>
                <w:sz w:val="18"/>
              </w:rPr>
              <w:t xml:space="preserve"> </w:t>
            </w:r>
            <w:r>
              <w:rPr>
                <w:b/>
                <w:spacing w:val="-2"/>
                <w:sz w:val="18"/>
              </w:rPr>
              <w:t>used</w:t>
            </w:r>
            <w:r>
              <w:rPr>
                <w:b/>
                <w:spacing w:val="-7"/>
                <w:sz w:val="18"/>
              </w:rPr>
              <w:t xml:space="preserve"> </w:t>
            </w:r>
            <w:r>
              <w:rPr>
                <w:b/>
                <w:spacing w:val="-2"/>
                <w:sz w:val="18"/>
              </w:rPr>
              <w:t>in</w:t>
            </w:r>
            <w:r>
              <w:rPr>
                <w:b/>
                <w:spacing w:val="-7"/>
                <w:sz w:val="18"/>
              </w:rPr>
              <w:t xml:space="preserve"> </w:t>
            </w:r>
            <w:r>
              <w:rPr>
                <w:b/>
                <w:spacing w:val="-2"/>
                <w:sz w:val="18"/>
              </w:rPr>
              <w:t>operating</w:t>
            </w:r>
            <w:r>
              <w:rPr>
                <w:b/>
                <w:spacing w:val="-7"/>
                <w:sz w:val="18"/>
              </w:rPr>
              <w:t xml:space="preserve"> </w:t>
            </w:r>
            <w:r>
              <w:rPr>
                <w:b/>
                <w:spacing w:val="-2"/>
                <w:sz w:val="18"/>
              </w:rPr>
              <w:t>activities</w:t>
            </w:r>
          </w:p>
        </w:tc>
        <w:tc>
          <w:tcPr>
            <w:tcW w:w="1253" w:type="dxa"/>
            <w:tcBorders>
              <w:top w:val="single" w:sz="6" w:space="0" w:color="000000"/>
              <w:bottom w:val="single" w:sz="6" w:space="0" w:color="000000"/>
            </w:tcBorders>
            <w:shd w:val="clear" w:color="auto" w:fill="BEBEBE"/>
          </w:tcPr>
          <w:p w14:paraId="4D140F4B" w14:textId="77777777" w:rsidR="00AC6F3C" w:rsidRDefault="00570E88">
            <w:pPr>
              <w:pStyle w:val="TableParagraph"/>
              <w:spacing w:before="55" w:line="194" w:lineRule="exact"/>
              <w:ind w:right="439"/>
              <w:jc w:val="right"/>
              <w:rPr>
                <w:b/>
                <w:sz w:val="18"/>
              </w:rPr>
            </w:pPr>
            <w:r>
              <w:rPr>
                <w:b/>
                <w:spacing w:val="-5"/>
                <w:sz w:val="18"/>
              </w:rPr>
              <w:t>C1</w:t>
            </w:r>
          </w:p>
        </w:tc>
        <w:tc>
          <w:tcPr>
            <w:tcW w:w="1138" w:type="dxa"/>
            <w:tcBorders>
              <w:top w:val="single" w:sz="6" w:space="0" w:color="000000"/>
              <w:bottom w:val="single" w:sz="6" w:space="0" w:color="000000"/>
            </w:tcBorders>
            <w:shd w:val="clear" w:color="auto" w:fill="BEBEBE"/>
          </w:tcPr>
          <w:p w14:paraId="159B90C2" w14:textId="77777777" w:rsidR="00AC6F3C" w:rsidRDefault="00570E88">
            <w:pPr>
              <w:pStyle w:val="TableParagraph"/>
              <w:spacing w:before="55" w:line="194" w:lineRule="exact"/>
              <w:ind w:right="31"/>
              <w:jc w:val="right"/>
              <w:rPr>
                <w:b/>
                <w:sz w:val="18"/>
              </w:rPr>
            </w:pPr>
            <w:r>
              <w:rPr>
                <w:b/>
                <w:spacing w:val="-2"/>
                <w:sz w:val="18"/>
              </w:rPr>
              <w:t>(3,477)</w:t>
            </w:r>
          </w:p>
        </w:tc>
        <w:tc>
          <w:tcPr>
            <w:tcW w:w="1116" w:type="dxa"/>
            <w:tcBorders>
              <w:top w:val="single" w:sz="6" w:space="0" w:color="000000"/>
              <w:bottom w:val="single" w:sz="6" w:space="0" w:color="000000"/>
              <w:right w:val="single" w:sz="6" w:space="0" w:color="000000"/>
            </w:tcBorders>
            <w:shd w:val="clear" w:color="auto" w:fill="BEBEBE"/>
          </w:tcPr>
          <w:p w14:paraId="0C0D1428" w14:textId="77777777" w:rsidR="00AC6F3C" w:rsidRDefault="00570E88">
            <w:pPr>
              <w:pStyle w:val="TableParagraph"/>
              <w:spacing w:before="55" w:line="194" w:lineRule="exact"/>
              <w:ind w:right="17"/>
              <w:jc w:val="right"/>
              <w:rPr>
                <w:b/>
                <w:sz w:val="18"/>
              </w:rPr>
            </w:pPr>
            <w:r>
              <w:rPr>
                <w:b/>
                <w:spacing w:val="-2"/>
                <w:sz w:val="18"/>
              </w:rPr>
              <w:t>(6,790)</w:t>
            </w:r>
          </w:p>
        </w:tc>
      </w:tr>
      <w:tr w:rsidR="00AC6F3C" w14:paraId="43E021CD" w14:textId="77777777">
        <w:trPr>
          <w:trHeight w:val="836"/>
        </w:trPr>
        <w:tc>
          <w:tcPr>
            <w:tcW w:w="6744" w:type="dxa"/>
            <w:gridSpan w:val="2"/>
            <w:tcBorders>
              <w:top w:val="single" w:sz="6" w:space="0" w:color="000000"/>
              <w:left w:val="single" w:sz="6" w:space="0" w:color="000000"/>
              <w:bottom w:val="single" w:sz="6" w:space="0" w:color="000000"/>
            </w:tcBorders>
          </w:tcPr>
          <w:p w14:paraId="43C20013" w14:textId="77777777" w:rsidR="00AC6F3C" w:rsidRDefault="00AC6F3C">
            <w:pPr>
              <w:pStyle w:val="TableParagraph"/>
              <w:spacing w:before="5"/>
              <w:rPr>
                <w:sz w:val="29"/>
              </w:rPr>
            </w:pPr>
          </w:p>
          <w:p w14:paraId="0489C494" w14:textId="77777777" w:rsidR="00AC6F3C" w:rsidRDefault="00570E88">
            <w:pPr>
              <w:pStyle w:val="TableParagraph"/>
              <w:spacing w:before="1"/>
              <w:ind w:left="37"/>
              <w:rPr>
                <w:b/>
                <w:sz w:val="18"/>
              </w:rPr>
            </w:pPr>
            <w:r>
              <w:rPr>
                <w:b/>
                <w:spacing w:val="-2"/>
                <w:sz w:val="18"/>
              </w:rPr>
              <w:t>Cash</w:t>
            </w:r>
            <w:r>
              <w:rPr>
                <w:b/>
                <w:spacing w:val="-11"/>
                <w:sz w:val="18"/>
              </w:rPr>
              <w:t xml:space="preserve"> </w:t>
            </w:r>
            <w:r>
              <w:rPr>
                <w:b/>
                <w:spacing w:val="-2"/>
                <w:sz w:val="18"/>
              </w:rPr>
              <w:t>flows</w:t>
            </w:r>
            <w:r>
              <w:rPr>
                <w:b/>
                <w:spacing w:val="-6"/>
                <w:sz w:val="18"/>
              </w:rPr>
              <w:t xml:space="preserve"> </w:t>
            </w:r>
            <w:r>
              <w:rPr>
                <w:b/>
                <w:spacing w:val="-2"/>
                <w:sz w:val="18"/>
              </w:rPr>
              <w:t>from</w:t>
            </w:r>
            <w:r>
              <w:rPr>
                <w:b/>
                <w:spacing w:val="-3"/>
                <w:sz w:val="18"/>
              </w:rPr>
              <w:t xml:space="preserve"> </w:t>
            </w:r>
            <w:r>
              <w:rPr>
                <w:b/>
                <w:spacing w:val="-2"/>
                <w:sz w:val="18"/>
              </w:rPr>
              <w:t>investing</w:t>
            </w:r>
            <w:r>
              <w:rPr>
                <w:b/>
                <w:spacing w:val="-11"/>
                <w:sz w:val="18"/>
              </w:rPr>
              <w:t xml:space="preserve"> </w:t>
            </w:r>
            <w:r>
              <w:rPr>
                <w:b/>
                <w:spacing w:val="-2"/>
                <w:sz w:val="18"/>
              </w:rPr>
              <w:t>activities</w:t>
            </w:r>
          </w:p>
          <w:p w14:paraId="344715EB" w14:textId="77777777" w:rsidR="00AC6F3C" w:rsidRDefault="00570E88">
            <w:pPr>
              <w:pStyle w:val="TableParagraph"/>
              <w:spacing w:before="77" w:line="194" w:lineRule="exact"/>
              <w:ind w:left="37"/>
              <w:rPr>
                <w:sz w:val="18"/>
              </w:rPr>
            </w:pPr>
            <w:r>
              <w:rPr>
                <w:sz w:val="18"/>
              </w:rPr>
              <w:t>Proceeds</w:t>
            </w:r>
            <w:r>
              <w:rPr>
                <w:spacing w:val="10"/>
                <w:sz w:val="18"/>
              </w:rPr>
              <w:t xml:space="preserve"> </w:t>
            </w:r>
            <w:r>
              <w:rPr>
                <w:sz w:val="18"/>
              </w:rPr>
              <w:t>from</w:t>
            </w:r>
            <w:r>
              <w:rPr>
                <w:spacing w:val="10"/>
                <w:sz w:val="18"/>
              </w:rPr>
              <w:t xml:space="preserve"> </w:t>
            </w:r>
            <w:r>
              <w:rPr>
                <w:spacing w:val="-2"/>
                <w:sz w:val="18"/>
              </w:rPr>
              <w:t>investments</w:t>
            </w:r>
          </w:p>
        </w:tc>
        <w:tc>
          <w:tcPr>
            <w:tcW w:w="1138" w:type="dxa"/>
            <w:tcBorders>
              <w:top w:val="single" w:sz="6" w:space="0" w:color="000000"/>
              <w:bottom w:val="single" w:sz="6" w:space="0" w:color="000000"/>
            </w:tcBorders>
            <w:shd w:val="clear" w:color="auto" w:fill="F1F1F1"/>
          </w:tcPr>
          <w:p w14:paraId="26209C09" w14:textId="77777777" w:rsidR="00AC6F3C" w:rsidRDefault="00AC6F3C">
            <w:pPr>
              <w:pStyle w:val="TableParagraph"/>
              <w:rPr>
                <w:sz w:val="20"/>
              </w:rPr>
            </w:pPr>
          </w:p>
          <w:p w14:paraId="4C0EB992" w14:textId="77777777" w:rsidR="00AC6F3C" w:rsidRDefault="00AC6F3C">
            <w:pPr>
              <w:pStyle w:val="TableParagraph"/>
              <w:rPr>
                <w:sz w:val="20"/>
              </w:rPr>
            </w:pPr>
          </w:p>
          <w:p w14:paraId="6BF1E7A2" w14:textId="77777777" w:rsidR="00AC6F3C" w:rsidRDefault="00570E88">
            <w:pPr>
              <w:pStyle w:val="TableParagraph"/>
              <w:spacing w:before="163" w:line="194" w:lineRule="exact"/>
              <w:ind w:right="36"/>
              <w:jc w:val="right"/>
              <w:rPr>
                <w:sz w:val="18"/>
              </w:rPr>
            </w:pPr>
            <w:r>
              <w:rPr>
                <w:spacing w:val="-2"/>
                <w:sz w:val="18"/>
              </w:rPr>
              <w:t>3,501</w:t>
            </w:r>
          </w:p>
        </w:tc>
        <w:tc>
          <w:tcPr>
            <w:tcW w:w="1116" w:type="dxa"/>
            <w:tcBorders>
              <w:top w:val="single" w:sz="6" w:space="0" w:color="000000"/>
              <w:bottom w:val="single" w:sz="6" w:space="0" w:color="000000"/>
              <w:right w:val="single" w:sz="6" w:space="0" w:color="000000"/>
            </w:tcBorders>
          </w:tcPr>
          <w:p w14:paraId="3A502AA3" w14:textId="77777777" w:rsidR="00AC6F3C" w:rsidRDefault="00AC6F3C">
            <w:pPr>
              <w:pStyle w:val="TableParagraph"/>
              <w:rPr>
                <w:sz w:val="20"/>
              </w:rPr>
            </w:pPr>
          </w:p>
          <w:p w14:paraId="30808190" w14:textId="77777777" w:rsidR="00AC6F3C" w:rsidRDefault="00AC6F3C">
            <w:pPr>
              <w:pStyle w:val="TableParagraph"/>
              <w:rPr>
                <w:sz w:val="20"/>
              </w:rPr>
            </w:pPr>
          </w:p>
          <w:p w14:paraId="4CF73CB1" w14:textId="77777777" w:rsidR="00AC6F3C" w:rsidRDefault="00570E88">
            <w:pPr>
              <w:pStyle w:val="TableParagraph"/>
              <w:spacing w:before="163" w:line="194" w:lineRule="exact"/>
              <w:ind w:right="22"/>
              <w:jc w:val="right"/>
              <w:rPr>
                <w:sz w:val="18"/>
              </w:rPr>
            </w:pPr>
            <w:r>
              <w:rPr>
                <w:spacing w:val="-2"/>
                <w:sz w:val="18"/>
              </w:rPr>
              <w:t>2,512</w:t>
            </w:r>
          </w:p>
        </w:tc>
      </w:tr>
      <w:tr w:rsidR="00AC6F3C" w14:paraId="71A7313E" w14:textId="77777777">
        <w:trPr>
          <w:trHeight w:val="268"/>
        </w:trPr>
        <w:tc>
          <w:tcPr>
            <w:tcW w:w="5491" w:type="dxa"/>
            <w:tcBorders>
              <w:top w:val="single" w:sz="6" w:space="0" w:color="000000"/>
              <w:left w:val="single" w:sz="6" w:space="0" w:color="000000"/>
              <w:bottom w:val="single" w:sz="6" w:space="0" w:color="000000"/>
            </w:tcBorders>
            <w:shd w:val="clear" w:color="auto" w:fill="BEBEBE"/>
          </w:tcPr>
          <w:p w14:paraId="087D849A" w14:textId="77777777" w:rsidR="00AC6F3C" w:rsidRDefault="00570E88">
            <w:pPr>
              <w:pStyle w:val="TableParagraph"/>
              <w:spacing w:before="55" w:line="194" w:lineRule="exact"/>
              <w:ind w:left="37"/>
              <w:rPr>
                <w:b/>
                <w:sz w:val="18"/>
              </w:rPr>
            </w:pPr>
            <w:r>
              <w:rPr>
                <w:b/>
                <w:spacing w:val="-2"/>
                <w:sz w:val="18"/>
              </w:rPr>
              <w:t>Net cash</w:t>
            </w:r>
            <w:r>
              <w:rPr>
                <w:b/>
                <w:spacing w:val="-7"/>
                <w:sz w:val="18"/>
              </w:rPr>
              <w:t xml:space="preserve"> </w:t>
            </w:r>
            <w:r>
              <w:rPr>
                <w:b/>
                <w:spacing w:val="-2"/>
                <w:sz w:val="18"/>
              </w:rPr>
              <w:t>generated</w:t>
            </w:r>
            <w:r>
              <w:rPr>
                <w:b/>
                <w:spacing w:val="-6"/>
                <w:sz w:val="18"/>
              </w:rPr>
              <w:t xml:space="preserve"> </w:t>
            </w:r>
            <w:r>
              <w:rPr>
                <w:b/>
                <w:spacing w:val="-2"/>
                <w:sz w:val="18"/>
              </w:rPr>
              <w:t>from</w:t>
            </w:r>
            <w:r>
              <w:rPr>
                <w:b/>
                <w:spacing w:val="4"/>
                <w:sz w:val="18"/>
              </w:rPr>
              <w:t xml:space="preserve"> </w:t>
            </w:r>
            <w:r>
              <w:rPr>
                <w:b/>
                <w:spacing w:val="-2"/>
                <w:sz w:val="18"/>
              </w:rPr>
              <w:t>investing</w:t>
            </w:r>
            <w:r>
              <w:rPr>
                <w:b/>
                <w:spacing w:val="-7"/>
                <w:sz w:val="18"/>
              </w:rPr>
              <w:t xml:space="preserve"> </w:t>
            </w:r>
            <w:r>
              <w:rPr>
                <w:b/>
                <w:spacing w:val="-2"/>
                <w:sz w:val="18"/>
              </w:rPr>
              <w:t>activities</w:t>
            </w:r>
          </w:p>
        </w:tc>
        <w:tc>
          <w:tcPr>
            <w:tcW w:w="1253" w:type="dxa"/>
            <w:tcBorders>
              <w:top w:val="single" w:sz="6" w:space="0" w:color="000000"/>
              <w:bottom w:val="single" w:sz="6" w:space="0" w:color="000000"/>
            </w:tcBorders>
            <w:shd w:val="clear" w:color="auto" w:fill="BEBEBE"/>
          </w:tcPr>
          <w:p w14:paraId="5254B43A" w14:textId="77777777" w:rsidR="00AC6F3C" w:rsidRDefault="00AC6F3C">
            <w:pPr>
              <w:pStyle w:val="TableParagraph"/>
              <w:rPr>
                <w:rFonts w:ascii="Times New Roman"/>
                <w:sz w:val="18"/>
              </w:rPr>
            </w:pPr>
          </w:p>
        </w:tc>
        <w:tc>
          <w:tcPr>
            <w:tcW w:w="1138" w:type="dxa"/>
            <w:tcBorders>
              <w:top w:val="single" w:sz="6" w:space="0" w:color="000000"/>
              <w:bottom w:val="single" w:sz="6" w:space="0" w:color="000000"/>
            </w:tcBorders>
            <w:shd w:val="clear" w:color="auto" w:fill="BEBEBE"/>
          </w:tcPr>
          <w:p w14:paraId="1692FC53" w14:textId="77777777" w:rsidR="00AC6F3C" w:rsidRDefault="00570E88">
            <w:pPr>
              <w:pStyle w:val="TableParagraph"/>
              <w:spacing w:before="55" w:line="194" w:lineRule="exact"/>
              <w:ind w:right="36"/>
              <w:jc w:val="right"/>
              <w:rPr>
                <w:b/>
                <w:sz w:val="18"/>
              </w:rPr>
            </w:pPr>
            <w:r>
              <w:rPr>
                <w:b/>
                <w:spacing w:val="-2"/>
                <w:sz w:val="18"/>
              </w:rPr>
              <w:t>3,501</w:t>
            </w:r>
          </w:p>
        </w:tc>
        <w:tc>
          <w:tcPr>
            <w:tcW w:w="1116" w:type="dxa"/>
            <w:tcBorders>
              <w:top w:val="single" w:sz="6" w:space="0" w:color="000000"/>
              <w:bottom w:val="single" w:sz="6" w:space="0" w:color="000000"/>
              <w:right w:val="single" w:sz="6" w:space="0" w:color="000000"/>
            </w:tcBorders>
            <w:shd w:val="clear" w:color="auto" w:fill="BEBEBE"/>
          </w:tcPr>
          <w:p w14:paraId="1FE6BB2B" w14:textId="77777777" w:rsidR="00AC6F3C" w:rsidRDefault="00570E88">
            <w:pPr>
              <w:pStyle w:val="TableParagraph"/>
              <w:spacing w:before="55" w:line="194" w:lineRule="exact"/>
              <w:ind w:right="22"/>
              <w:jc w:val="right"/>
              <w:rPr>
                <w:b/>
                <w:sz w:val="18"/>
              </w:rPr>
            </w:pPr>
            <w:r>
              <w:rPr>
                <w:b/>
                <w:spacing w:val="-2"/>
                <w:sz w:val="18"/>
              </w:rPr>
              <w:t>2,512</w:t>
            </w:r>
          </w:p>
        </w:tc>
      </w:tr>
      <w:tr w:rsidR="00AC6F3C" w14:paraId="272930DC" w14:textId="77777777">
        <w:trPr>
          <w:trHeight w:val="729"/>
        </w:trPr>
        <w:tc>
          <w:tcPr>
            <w:tcW w:w="6744" w:type="dxa"/>
            <w:gridSpan w:val="2"/>
            <w:tcBorders>
              <w:top w:val="single" w:sz="6" w:space="0" w:color="000000"/>
              <w:left w:val="single" w:sz="6" w:space="0" w:color="000000"/>
            </w:tcBorders>
          </w:tcPr>
          <w:p w14:paraId="36190272" w14:textId="77777777" w:rsidR="00AC6F3C" w:rsidRDefault="00AC6F3C">
            <w:pPr>
              <w:pStyle w:val="TableParagraph"/>
              <w:spacing w:before="5"/>
              <w:rPr>
                <w:sz w:val="29"/>
              </w:rPr>
            </w:pPr>
          </w:p>
          <w:p w14:paraId="787FB10B" w14:textId="77777777" w:rsidR="00AC6F3C" w:rsidRDefault="00570E88">
            <w:pPr>
              <w:pStyle w:val="TableParagraph"/>
              <w:spacing w:before="1"/>
              <w:ind w:left="37"/>
              <w:rPr>
                <w:b/>
                <w:sz w:val="18"/>
              </w:rPr>
            </w:pPr>
            <w:r>
              <w:rPr>
                <w:b/>
                <w:sz w:val="18"/>
              </w:rPr>
              <w:t>Net</w:t>
            </w:r>
            <w:r>
              <w:rPr>
                <w:b/>
                <w:spacing w:val="-13"/>
                <w:sz w:val="18"/>
              </w:rPr>
              <w:t xml:space="preserve"> </w:t>
            </w:r>
            <w:r>
              <w:rPr>
                <w:b/>
                <w:sz w:val="18"/>
              </w:rPr>
              <w:t>increase/(decrease)</w:t>
            </w:r>
            <w:r>
              <w:rPr>
                <w:b/>
                <w:spacing w:val="-12"/>
                <w:sz w:val="18"/>
              </w:rPr>
              <w:t xml:space="preserve"> </w:t>
            </w:r>
            <w:r>
              <w:rPr>
                <w:b/>
                <w:sz w:val="18"/>
              </w:rPr>
              <w:t>in</w:t>
            </w:r>
            <w:r>
              <w:rPr>
                <w:b/>
                <w:spacing w:val="-13"/>
                <w:sz w:val="18"/>
              </w:rPr>
              <w:t xml:space="preserve"> </w:t>
            </w:r>
            <w:r>
              <w:rPr>
                <w:b/>
                <w:sz w:val="18"/>
              </w:rPr>
              <w:t>cash</w:t>
            </w:r>
            <w:r>
              <w:rPr>
                <w:b/>
                <w:spacing w:val="-12"/>
                <w:sz w:val="18"/>
              </w:rPr>
              <w:t xml:space="preserve"> </w:t>
            </w:r>
            <w:r>
              <w:rPr>
                <w:b/>
                <w:sz w:val="18"/>
              </w:rPr>
              <w:t>and</w:t>
            </w:r>
            <w:r>
              <w:rPr>
                <w:b/>
                <w:spacing w:val="-13"/>
                <w:sz w:val="18"/>
              </w:rPr>
              <w:t xml:space="preserve"> </w:t>
            </w:r>
            <w:r>
              <w:rPr>
                <w:b/>
                <w:sz w:val="18"/>
              </w:rPr>
              <w:t>cash</w:t>
            </w:r>
            <w:r>
              <w:rPr>
                <w:b/>
                <w:spacing w:val="-12"/>
                <w:sz w:val="18"/>
              </w:rPr>
              <w:t xml:space="preserve"> </w:t>
            </w:r>
            <w:r>
              <w:rPr>
                <w:b/>
                <w:sz w:val="18"/>
              </w:rPr>
              <w:t>equivalents</w:t>
            </w:r>
            <w:r>
              <w:rPr>
                <w:b/>
                <w:spacing w:val="-5"/>
                <w:sz w:val="18"/>
              </w:rPr>
              <w:t xml:space="preserve"> </w:t>
            </w:r>
            <w:r>
              <w:rPr>
                <w:b/>
                <w:spacing w:val="-4"/>
                <w:sz w:val="18"/>
              </w:rPr>
              <w:t>held</w:t>
            </w:r>
          </w:p>
        </w:tc>
        <w:tc>
          <w:tcPr>
            <w:tcW w:w="1138" w:type="dxa"/>
            <w:tcBorders>
              <w:top w:val="single" w:sz="6" w:space="0" w:color="000000"/>
            </w:tcBorders>
            <w:shd w:val="clear" w:color="auto" w:fill="F1F1F1"/>
          </w:tcPr>
          <w:p w14:paraId="55B7E6D6" w14:textId="77777777" w:rsidR="00AC6F3C" w:rsidRDefault="00AC6F3C">
            <w:pPr>
              <w:pStyle w:val="TableParagraph"/>
              <w:spacing w:before="5"/>
              <w:rPr>
                <w:sz w:val="29"/>
              </w:rPr>
            </w:pPr>
          </w:p>
          <w:p w14:paraId="0B1F72B1" w14:textId="77777777" w:rsidR="00AC6F3C" w:rsidRDefault="00570E88">
            <w:pPr>
              <w:pStyle w:val="TableParagraph"/>
              <w:spacing w:before="1"/>
              <w:ind w:right="36"/>
              <w:jc w:val="right"/>
              <w:rPr>
                <w:sz w:val="18"/>
              </w:rPr>
            </w:pPr>
            <w:r>
              <w:rPr>
                <w:spacing w:val="-5"/>
                <w:sz w:val="18"/>
              </w:rPr>
              <w:t>24</w:t>
            </w:r>
          </w:p>
        </w:tc>
        <w:tc>
          <w:tcPr>
            <w:tcW w:w="1116" w:type="dxa"/>
            <w:tcBorders>
              <w:top w:val="single" w:sz="6" w:space="0" w:color="000000"/>
              <w:right w:val="single" w:sz="6" w:space="0" w:color="000000"/>
            </w:tcBorders>
          </w:tcPr>
          <w:p w14:paraId="507FA6B3" w14:textId="77777777" w:rsidR="00AC6F3C" w:rsidRDefault="00AC6F3C">
            <w:pPr>
              <w:pStyle w:val="TableParagraph"/>
              <w:spacing w:before="5"/>
              <w:rPr>
                <w:sz w:val="29"/>
              </w:rPr>
            </w:pPr>
          </w:p>
          <w:p w14:paraId="4C2AF5EC" w14:textId="77777777" w:rsidR="00AC6F3C" w:rsidRDefault="00570E88">
            <w:pPr>
              <w:pStyle w:val="TableParagraph"/>
              <w:spacing w:before="1"/>
              <w:ind w:right="17"/>
              <w:jc w:val="right"/>
              <w:rPr>
                <w:sz w:val="18"/>
              </w:rPr>
            </w:pPr>
            <w:r>
              <w:rPr>
                <w:spacing w:val="-2"/>
                <w:sz w:val="18"/>
              </w:rPr>
              <w:t>(4,278)</w:t>
            </w:r>
          </w:p>
        </w:tc>
      </w:tr>
      <w:tr w:rsidR="00AC6F3C" w14:paraId="27EDBC72" w14:textId="77777777">
        <w:trPr>
          <w:trHeight w:val="390"/>
        </w:trPr>
        <w:tc>
          <w:tcPr>
            <w:tcW w:w="6744" w:type="dxa"/>
            <w:gridSpan w:val="2"/>
            <w:tcBorders>
              <w:left w:val="single" w:sz="6" w:space="0" w:color="000000"/>
              <w:bottom w:val="single" w:sz="6" w:space="0" w:color="000000"/>
            </w:tcBorders>
          </w:tcPr>
          <w:p w14:paraId="72441E64" w14:textId="77777777" w:rsidR="00AC6F3C" w:rsidRDefault="00570E88">
            <w:pPr>
              <w:pStyle w:val="TableParagraph"/>
              <w:spacing w:before="177" w:line="194" w:lineRule="exact"/>
              <w:ind w:left="37"/>
              <w:rPr>
                <w:b/>
                <w:sz w:val="18"/>
              </w:rPr>
            </w:pPr>
            <w:r>
              <w:rPr>
                <w:b/>
                <w:spacing w:val="-2"/>
                <w:sz w:val="18"/>
              </w:rPr>
              <w:t>Cash</w:t>
            </w:r>
            <w:r>
              <w:rPr>
                <w:b/>
                <w:spacing w:val="-11"/>
                <w:sz w:val="18"/>
              </w:rPr>
              <w:t xml:space="preserve"> </w:t>
            </w:r>
            <w:r>
              <w:rPr>
                <w:b/>
                <w:spacing w:val="-2"/>
                <w:sz w:val="18"/>
              </w:rPr>
              <w:t>and</w:t>
            </w:r>
            <w:r>
              <w:rPr>
                <w:b/>
                <w:spacing w:val="-11"/>
                <w:sz w:val="18"/>
              </w:rPr>
              <w:t xml:space="preserve"> </w:t>
            </w:r>
            <w:r>
              <w:rPr>
                <w:b/>
                <w:spacing w:val="-2"/>
                <w:sz w:val="18"/>
              </w:rPr>
              <w:t>cash</w:t>
            </w:r>
            <w:r>
              <w:rPr>
                <w:b/>
                <w:spacing w:val="-11"/>
                <w:sz w:val="18"/>
              </w:rPr>
              <w:t xml:space="preserve"> </w:t>
            </w:r>
            <w:r>
              <w:rPr>
                <w:b/>
                <w:spacing w:val="-2"/>
                <w:sz w:val="18"/>
              </w:rPr>
              <w:t>equivalents</w:t>
            </w:r>
            <w:r>
              <w:rPr>
                <w:b/>
                <w:spacing w:val="-8"/>
                <w:sz w:val="18"/>
              </w:rPr>
              <w:t xml:space="preserve"> </w:t>
            </w:r>
            <w:r>
              <w:rPr>
                <w:b/>
                <w:spacing w:val="-2"/>
                <w:sz w:val="18"/>
              </w:rPr>
              <w:t>at</w:t>
            </w:r>
            <w:r>
              <w:rPr>
                <w:b/>
                <w:spacing w:val="-8"/>
                <w:sz w:val="18"/>
              </w:rPr>
              <w:t xml:space="preserve"> </w:t>
            </w:r>
            <w:r>
              <w:rPr>
                <w:b/>
                <w:spacing w:val="-2"/>
                <w:sz w:val="18"/>
              </w:rPr>
              <w:t>the beginning</w:t>
            </w:r>
            <w:r>
              <w:rPr>
                <w:b/>
                <w:spacing w:val="-11"/>
                <w:sz w:val="18"/>
              </w:rPr>
              <w:t xml:space="preserve"> </w:t>
            </w:r>
            <w:r>
              <w:rPr>
                <w:b/>
                <w:spacing w:val="-2"/>
                <w:sz w:val="18"/>
              </w:rPr>
              <w:t>of</w:t>
            </w:r>
            <w:r>
              <w:rPr>
                <w:b/>
                <w:spacing w:val="-7"/>
                <w:sz w:val="18"/>
              </w:rPr>
              <w:t xml:space="preserve"> </w:t>
            </w:r>
            <w:r>
              <w:rPr>
                <w:b/>
                <w:spacing w:val="-2"/>
                <w:sz w:val="18"/>
              </w:rPr>
              <w:t>the</w:t>
            </w:r>
            <w:r>
              <w:rPr>
                <w:b/>
                <w:spacing w:val="-3"/>
                <w:sz w:val="18"/>
              </w:rPr>
              <w:t xml:space="preserve"> </w:t>
            </w:r>
            <w:r>
              <w:rPr>
                <w:b/>
                <w:spacing w:val="-2"/>
                <w:sz w:val="18"/>
              </w:rPr>
              <w:t>financial</w:t>
            </w:r>
            <w:r>
              <w:rPr>
                <w:b/>
                <w:spacing w:val="-11"/>
                <w:sz w:val="18"/>
              </w:rPr>
              <w:t xml:space="preserve"> </w:t>
            </w:r>
            <w:r>
              <w:rPr>
                <w:b/>
                <w:spacing w:val="-4"/>
                <w:sz w:val="18"/>
              </w:rPr>
              <w:t>year</w:t>
            </w:r>
          </w:p>
        </w:tc>
        <w:tc>
          <w:tcPr>
            <w:tcW w:w="1138" w:type="dxa"/>
            <w:tcBorders>
              <w:bottom w:val="single" w:sz="6" w:space="0" w:color="000000"/>
            </w:tcBorders>
            <w:shd w:val="clear" w:color="auto" w:fill="F1F1F1"/>
          </w:tcPr>
          <w:p w14:paraId="3A4EE48E" w14:textId="77777777" w:rsidR="00AC6F3C" w:rsidRDefault="00570E88">
            <w:pPr>
              <w:pStyle w:val="TableParagraph"/>
              <w:spacing w:before="177" w:line="194" w:lineRule="exact"/>
              <w:ind w:right="36"/>
              <w:jc w:val="right"/>
              <w:rPr>
                <w:b/>
                <w:sz w:val="18"/>
              </w:rPr>
            </w:pPr>
            <w:r>
              <w:rPr>
                <w:b/>
                <w:spacing w:val="-2"/>
                <w:sz w:val="18"/>
              </w:rPr>
              <w:t>1,109</w:t>
            </w:r>
          </w:p>
        </w:tc>
        <w:tc>
          <w:tcPr>
            <w:tcW w:w="1116" w:type="dxa"/>
            <w:tcBorders>
              <w:bottom w:val="single" w:sz="6" w:space="0" w:color="000000"/>
              <w:right w:val="single" w:sz="6" w:space="0" w:color="000000"/>
            </w:tcBorders>
          </w:tcPr>
          <w:p w14:paraId="7FA2E9BC" w14:textId="77777777" w:rsidR="00AC6F3C" w:rsidRDefault="00570E88">
            <w:pPr>
              <w:pStyle w:val="TableParagraph"/>
              <w:spacing w:before="177" w:line="194" w:lineRule="exact"/>
              <w:ind w:right="22"/>
              <w:jc w:val="right"/>
              <w:rPr>
                <w:b/>
                <w:sz w:val="18"/>
              </w:rPr>
            </w:pPr>
            <w:r>
              <w:rPr>
                <w:b/>
                <w:spacing w:val="-2"/>
                <w:sz w:val="18"/>
              </w:rPr>
              <w:t>5,387</w:t>
            </w:r>
          </w:p>
        </w:tc>
      </w:tr>
      <w:tr w:rsidR="00AC6F3C" w14:paraId="74632688" w14:textId="77777777">
        <w:trPr>
          <w:trHeight w:val="268"/>
        </w:trPr>
        <w:tc>
          <w:tcPr>
            <w:tcW w:w="5491" w:type="dxa"/>
            <w:tcBorders>
              <w:top w:val="single" w:sz="6" w:space="0" w:color="000000"/>
              <w:left w:val="single" w:sz="6" w:space="0" w:color="000000"/>
              <w:bottom w:val="single" w:sz="6" w:space="0" w:color="000000"/>
            </w:tcBorders>
            <w:shd w:val="clear" w:color="auto" w:fill="BEBEBE"/>
          </w:tcPr>
          <w:p w14:paraId="666331A9" w14:textId="77777777" w:rsidR="00AC6F3C" w:rsidRDefault="00570E88">
            <w:pPr>
              <w:pStyle w:val="TableParagraph"/>
              <w:spacing w:before="55" w:line="194" w:lineRule="exact"/>
              <w:ind w:left="37"/>
              <w:rPr>
                <w:b/>
                <w:sz w:val="18"/>
              </w:rPr>
            </w:pPr>
            <w:r>
              <w:rPr>
                <w:b/>
                <w:spacing w:val="-2"/>
                <w:sz w:val="18"/>
              </w:rPr>
              <w:t>Cash</w:t>
            </w:r>
            <w:r>
              <w:rPr>
                <w:b/>
                <w:spacing w:val="-10"/>
                <w:sz w:val="18"/>
              </w:rPr>
              <w:t xml:space="preserve"> </w:t>
            </w:r>
            <w:r>
              <w:rPr>
                <w:b/>
                <w:spacing w:val="-2"/>
                <w:sz w:val="18"/>
              </w:rPr>
              <w:t>and</w:t>
            </w:r>
            <w:r>
              <w:rPr>
                <w:b/>
                <w:spacing w:val="-10"/>
                <w:sz w:val="18"/>
              </w:rPr>
              <w:t xml:space="preserve"> </w:t>
            </w:r>
            <w:r>
              <w:rPr>
                <w:b/>
                <w:spacing w:val="-2"/>
                <w:sz w:val="18"/>
              </w:rPr>
              <w:t>cash</w:t>
            </w:r>
            <w:r>
              <w:rPr>
                <w:b/>
                <w:spacing w:val="-10"/>
                <w:sz w:val="18"/>
              </w:rPr>
              <w:t xml:space="preserve"> </w:t>
            </w:r>
            <w:r>
              <w:rPr>
                <w:b/>
                <w:spacing w:val="-2"/>
                <w:sz w:val="18"/>
              </w:rPr>
              <w:t>equivalents</w:t>
            </w:r>
            <w:r>
              <w:rPr>
                <w:b/>
                <w:sz w:val="18"/>
              </w:rPr>
              <w:t xml:space="preserve"> </w:t>
            </w:r>
            <w:r>
              <w:rPr>
                <w:b/>
                <w:spacing w:val="-2"/>
                <w:sz w:val="18"/>
              </w:rPr>
              <w:t>at</w:t>
            </w:r>
            <w:r>
              <w:rPr>
                <w:b/>
                <w:spacing w:val="-5"/>
                <w:sz w:val="18"/>
              </w:rPr>
              <w:t xml:space="preserve"> </w:t>
            </w:r>
            <w:r>
              <w:rPr>
                <w:b/>
                <w:spacing w:val="-2"/>
                <w:sz w:val="18"/>
              </w:rPr>
              <w:t>the</w:t>
            </w:r>
            <w:r>
              <w:rPr>
                <w:b/>
                <w:spacing w:val="1"/>
                <w:sz w:val="18"/>
              </w:rPr>
              <w:t xml:space="preserve"> </w:t>
            </w:r>
            <w:r>
              <w:rPr>
                <w:b/>
                <w:spacing w:val="-2"/>
                <w:sz w:val="18"/>
              </w:rPr>
              <w:t>end</w:t>
            </w:r>
            <w:r>
              <w:rPr>
                <w:b/>
                <w:spacing w:val="-10"/>
                <w:sz w:val="18"/>
              </w:rPr>
              <w:t xml:space="preserve"> </w:t>
            </w:r>
            <w:r>
              <w:rPr>
                <w:b/>
                <w:spacing w:val="-2"/>
                <w:sz w:val="18"/>
              </w:rPr>
              <w:t>of</w:t>
            </w:r>
            <w:r>
              <w:rPr>
                <w:b/>
                <w:spacing w:val="-5"/>
                <w:sz w:val="18"/>
              </w:rPr>
              <w:t xml:space="preserve"> </w:t>
            </w:r>
            <w:r>
              <w:rPr>
                <w:b/>
                <w:spacing w:val="-2"/>
                <w:sz w:val="18"/>
              </w:rPr>
              <w:t>the</w:t>
            </w:r>
            <w:r>
              <w:rPr>
                <w:b/>
                <w:spacing w:val="1"/>
                <w:sz w:val="18"/>
              </w:rPr>
              <w:t xml:space="preserve"> </w:t>
            </w:r>
            <w:r>
              <w:rPr>
                <w:b/>
                <w:spacing w:val="-2"/>
                <w:sz w:val="18"/>
              </w:rPr>
              <w:t>financial</w:t>
            </w:r>
            <w:r>
              <w:rPr>
                <w:b/>
                <w:spacing w:val="-10"/>
                <w:sz w:val="18"/>
              </w:rPr>
              <w:t xml:space="preserve"> </w:t>
            </w:r>
            <w:r>
              <w:rPr>
                <w:b/>
                <w:spacing w:val="-4"/>
                <w:sz w:val="18"/>
              </w:rPr>
              <w:t>year</w:t>
            </w:r>
          </w:p>
        </w:tc>
        <w:tc>
          <w:tcPr>
            <w:tcW w:w="1253" w:type="dxa"/>
            <w:tcBorders>
              <w:top w:val="single" w:sz="6" w:space="0" w:color="000000"/>
              <w:bottom w:val="single" w:sz="6" w:space="0" w:color="000000"/>
            </w:tcBorders>
            <w:shd w:val="clear" w:color="auto" w:fill="BEBEBE"/>
          </w:tcPr>
          <w:p w14:paraId="06750ED8" w14:textId="77777777" w:rsidR="00AC6F3C" w:rsidRDefault="00570E88">
            <w:pPr>
              <w:pStyle w:val="TableParagraph"/>
              <w:spacing w:before="55" w:line="194" w:lineRule="exact"/>
              <w:ind w:right="439"/>
              <w:jc w:val="right"/>
              <w:rPr>
                <w:b/>
                <w:sz w:val="18"/>
              </w:rPr>
            </w:pPr>
            <w:r>
              <w:rPr>
                <w:b/>
                <w:spacing w:val="-5"/>
                <w:sz w:val="18"/>
              </w:rPr>
              <w:t>C1</w:t>
            </w:r>
          </w:p>
        </w:tc>
        <w:tc>
          <w:tcPr>
            <w:tcW w:w="1138" w:type="dxa"/>
            <w:tcBorders>
              <w:top w:val="single" w:sz="6" w:space="0" w:color="000000"/>
              <w:bottom w:val="single" w:sz="6" w:space="0" w:color="000000"/>
            </w:tcBorders>
            <w:shd w:val="clear" w:color="auto" w:fill="BEBEBE"/>
          </w:tcPr>
          <w:p w14:paraId="53C71DE7" w14:textId="77777777" w:rsidR="00AC6F3C" w:rsidRDefault="00570E88">
            <w:pPr>
              <w:pStyle w:val="TableParagraph"/>
              <w:spacing w:before="55" w:line="194" w:lineRule="exact"/>
              <w:ind w:right="36"/>
              <w:jc w:val="right"/>
              <w:rPr>
                <w:b/>
                <w:sz w:val="18"/>
              </w:rPr>
            </w:pPr>
            <w:r>
              <w:rPr>
                <w:b/>
                <w:spacing w:val="-2"/>
                <w:sz w:val="18"/>
              </w:rPr>
              <w:t>1,133</w:t>
            </w:r>
          </w:p>
        </w:tc>
        <w:tc>
          <w:tcPr>
            <w:tcW w:w="1116" w:type="dxa"/>
            <w:tcBorders>
              <w:top w:val="single" w:sz="6" w:space="0" w:color="000000"/>
              <w:bottom w:val="single" w:sz="6" w:space="0" w:color="000000"/>
              <w:right w:val="single" w:sz="6" w:space="0" w:color="000000"/>
            </w:tcBorders>
            <w:shd w:val="clear" w:color="auto" w:fill="BEBEBE"/>
          </w:tcPr>
          <w:p w14:paraId="18D311EB" w14:textId="77777777" w:rsidR="00AC6F3C" w:rsidRDefault="00570E88">
            <w:pPr>
              <w:pStyle w:val="TableParagraph"/>
              <w:spacing w:before="55" w:line="194" w:lineRule="exact"/>
              <w:ind w:right="22"/>
              <w:jc w:val="right"/>
              <w:rPr>
                <w:b/>
                <w:sz w:val="18"/>
              </w:rPr>
            </w:pPr>
            <w:r>
              <w:rPr>
                <w:b/>
                <w:spacing w:val="-2"/>
                <w:sz w:val="18"/>
              </w:rPr>
              <w:t>1,109</w:t>
            </w:r>
          </w:p>
        </w:tc>
      </w:tr>
    </w:tbl>
    <w:p w14:paraId="1ACA1829" w14:textId="77777777" w:rsidR="00AC6F3C" w:rsidRDefault="00AC6F3C">
      <w:pPr>
        <w:pStyle w:val="BodyText"/>
      </w:pPr>
    </w:p>
    <w:p w14:paraId="560D8DF9" w14:textId="77777777" w:rsidR="00AC6F3C" w:rsidRDefault="00AC6F3C">
      <w:pPr>
        <w:pStyle w:val="BodyText"/>
      </w:pPr>
    </w:p>
    <w:p w14:paraId="610C6252" w14:textId="77777777" w:rsidR="00AC6F3C" w:rsidRDefault="00AC6F3C">
      <w:pPr>
        <w:pStyle w:val="BodyText"/>
      </w:pPr>
    </w:p>
    <w:p w14:paraId="3324CDF7" w14:textId="77777777" w:rsidR="00AC6F3C" w:rsidRDefault="00AC6F3C">
      <w:pPr>
        <w:pStyle w:val="BodyText"/>
      </w:pPr>
    </w:p>
    <w:p w14:paraId="25FE3EF8" w14:textId="77777777" w:rsidR="00AC6F3C" w:rsidRDefault="00AC6F3C">
      <w:pPr>
        <w:pStyle w:val="BodyText"/>
      </w:pPr>
    </w:p>
    <w:p w14:paraId="25C27973" w14:textId="77777777" w:rsidR="00AC6F3C" w:rsidRDefault="00AC6F3C">
      <w:pPr>
        <w:pStyle w:val="BodyText"/>
      </w:pPr>
    </w:p>
    <w:p w14:paraId="30BA03F3" w14:textId="77777777" w:rsidR="00AC6F3C" w:rsidRDefault="00AC6F3C">
      <w:pPr>
        <w:pStyle w:val="BodyText"/>
      </w:pPr>
    </w:p>
    <w:p w14:paraId="6B364C94" w14:textId="77777777" w:rsidR="00AC6F3C" w:rsidRDefault="00AC6F3C">
      <w:pPr>
        <w:pStyle w:val="BodyText"/>
      </w:pPr>
    </w:p>
    <w:p w14:paraId="1D24B8A9" w14:textId="77777777" w:rsidR="00AC6F3C" w:rsidRDefault="00AC6F3C">
      <w:pPr>
        <w:pStyle w:val="BodyText"/>
      </w:pPr>
    </w:p>
    <w:p w14:paraId="24CCFEA4" w14:textId="77777777" w:rsidR="00AC6F3C" w:rsidRDefault="00AC6F3C">
      <w:pPr>
        <w:pStyle w:val="BodyText"/>
      </w:pPr>
    </w:p>
    <w:p w14:paraId="6751ABD9" w14:textId="77777777" w:rsidR="00AC6F3C" w:rsidRDefault="00AC6F3C">
      <w:pPr>
        <w:pStyle w:val="BodyText"/>
      </w:pPr>
    </w:p>
    <w:p w14:paraId="433A8E9B" w14:textId="77777777" w:rsidR="00AC6F3C" w:rsidRDefault="00AC6F3C">
      <w:pPr>
        <w:pStyle w:val="BodyText"/>
      </w:pPr>
    </w:p>
    <w:p w14:paraId="387DA3EE" w14:textId="77777777" w:rsidR="00AC6F3C" w:rsidRDefault="00AC6F3C">
      <w:pPr>
        <w:pStyle w:val="BodyText"/>
      </w:pPr>
    </w:p>
    <w:p w14:paraId="4706B036" w14:textId="77777777" w:rsidR="00AC6F3C" w:rsidRDefault="00AC6F3C">
      <w:pPr>
        <w:pStyle w:val="BodyText"/>
      </w:pPr>
    </w:p>
    <w:p w14:paraId="66A2DDC8" w14:textId="77777777" w:rsidR="00AC6F3C" w:rsidRDefault="00AC6F3C">
      <w:pPr>
        <w:pStyle w:val="BodyText"/>
      </w:pPr>
    </w:p>
    <w:p w14:paraId="11233D84" w14:textId="77777777" w:rsidR="00AC6F3C" w:rsidRDefault="00AC6F3C">
      <w:pPr>
        <w:pStyle w:val="BodyText"/>
      </w:pPr>
    </w:p>
    <w:p w14:paraId="0FFBAE19" w14:textId="77777777" w:rsidR="00AC6F3C" w:rsidRDefault="00AC6F3C">
      <w:pPr>
        <w:pStyle w:val="BodyText"/>
      </w:pPr>
    </w:p>
    <w:p w14:paraId="4552B0F3" w14:textId="77777777" w:rsidR="00AC6F3C" w:rsidRDefault="00AC6F3C">
      <w:pPr>
        <w:pStyle w:val="BodyText"/>
      </w:pPr>
    </w:p>
    <w:p w14:paraId="105B3924" w14:textId="77777777" w:rsidR="00AC6F3C" w:rsidRDefault="00AC6F3C">
      <w:pPr>
        <w:pStyle w:val="BodyText"/>
      </w:pPr>
    </w:p>
    <w:p w14:paraId="16ABCBE9" w14:textId="77777777" w:rsidR="00AC6F3C" w:rsidRDefault="00AC6F3C">
      <w:pPr>
        <w:pStyle w:val="BodyText"/>
      </w:pPr>
    </w:p>
    <w:p w14:paraId="57BA551A" w14:textId="77777777" w:rsidR="00AC6F3C" w:rsidRDefault="00AC6F3C">
      <w:pPr>
        <w:pStyle w:val="BodyText"/>
      </w:pPr>
    </w:p>
    <w:p w14:paraId="225FADC6" w14:textId="77777777" w:rsidR="00AC6F3C" w:rsidRDefault="00AC6F3C">
      <w:pPr>
        <w:pStyle w:val="BodyText"/>
      </w:pPr>
    </w:p>
    <w:p w14:paraId="4B9A4AEA" w14:textId="77777777" w:rsidR="00AC6F3C" w:rsidRDefault="00AC6F3C">
      <w:pPr>
        <w:pStyle w:val="BodyText"/>
      </w:pPr>
    </w:p>
    <w:p w14:paraId="7938BF82" w14:textId="77777777" w:rsidR="00AC6F3C" w:rsidRDefault="00AC6F3C">
      <w:pPr>
        <w:pStyle w:val="BodyText"/>
      </w:pPr>
    </w:p>
    <w:p w14:paraId="1117C987" w14:textId="77777777" w:rsidR="00AC6F3C" w:rsidRDefault="00AC6F3C">
      <w:pPr>
        <w:pStyle w:val="BodyText"/>
      </w:pPr>
    </w:p>
    <w:p w14:paraId="589AF7B7" w14:textId="77777777" w:rsidR="00AC6F3C" w:rsidRDefault="00AC6F3C">
      <w:pPr>
        <w:pStyle w:val="BodyText"/>
      </w:pPr>
    </w:p>
    <w:p w14:paraId="4C1DFFBF" w14:textId="77777777" w:rsidR="00AC6F3C" w:rsidRDefault="00AC6F3C">
      <w:pPr>
        <w:pStyle w:val="BodyText"/>
      </w:pPr>
    </w:p>
    <w:p w14:paraId="35E91B2D" w14:textId="77777777" w:rsidR="00AC6F3C" w:rsidRDefault="00AC6F3C">
      <w:pPr>
        <w:pStyle w:val="BodyText"/>
      </w:pPr>
    </w:p>
    <w:p w14:paraId="4AC4708D" w14:textId="77777777" w:rsidR="00AC6F3C" w:rsidRDefault="00AC6F3C">
      <w:pPr>
        <w:pStyle w:val="BodyText"/>
      </w:pPr>
    </w:p>
    <w:p w14:paraId="6D1EBDF1" w14:textId="77777777" w:rsidR="00AC6F3C" w:rsidRDefault="00AC6F3C">
      <w:pPr>
        <w:pStyle w:val="BodyText"/>
        <w:spacing w:before="9"/>
        <w:rPr>
          <w:sz w:val="23"/>
        </w:rPr>
      </w:pPr>
    </w:p>
    <w:p w14:paraId="4F69B5E5" w14:textId="77777777" w:rsidR="00AC6F3C" w:rsidRDefault="00570E88">
      <w:pPr>
        <w:ind w:left="958"/>
        <w:rPr>
          <w:sz w:val="18"/>
        </w:rPr>
      </w:pPr>
      <w:r>
        <w:rPr>
          <w:sz w:val="18"/>
        </w:rPr>
        <w:t>The</w:t>
      </w:r>
      <w:r>
        <w:rPr>
          <w:spacing w:val="-1"/>
          <w:sz w:val="18"/>
        </w:rPr>
        <w:t xml:space="preserve"> </w:t>
      </w:r>
      <w:r>
        <w:rPr>
          <w:sz w:val="18"/>
        </w:rPr>
        <w:t>accompanying</w:t>
      </w:r>
      <w:r>
        <w:rPr>
          <w:spacing w:val="-4"/>
          <w:sz w:val="18"/>
        </w:rPr>
        <w:t xml:space="preserve"> </w:t>
      </w:r>
      <w:r>
        <w:rPr>
          <w:sz w:val="18"/>
        </w:rPr>
        <w:t>notes</w:t>
      </w:r>
      <w:r>
        <w:rPr>
          <w:spacing w:val="-1"/>
          <w:sz w:val="18"/>
        </w:rPr>
        <w:t xml:space="preserve"> </w:t>
      </w:r>
      <w:r>
        <w:rPr>
          <w:sz w:val="18"/>
        </w:rPr>
        <w:t>form</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statements.</w:t>
      </w:r>
    </w:p>
    <w:p w14:paraId="2573E909" w14:textId="77777777" w:rsidR="00AC6F3C" w:rsidRDefault="00AC6F3C">
      <w:pPr>
        <w:rPr>
          <w:sz w:val="18"/>
        </w:rPr>
        <w:sectPr w:rsidR="00AC6F3C">
          <w:pgSz w:w="11910" w:h="16840"/>
          <w:pgMar w:top="1580" w:right="1160" w:bottom="520" w:left="460" w:header="1297" w:footer="336" w:gutter="0"/>
          <w:cols w:space="720"/>
        </w:sectPr>
      </w:pPr>
    </w:p>
    <w:p w14:paraId="6ABFC5C0" w14:textId="77777777" w:rsidR="00AC6F3C" w:rsidRDefault="00AC6F3C">
      <w:pPr>
        <w:pStyle w:val="BodyText"/>
      </w:pPr>
    </w:p>
    <w:p w14:paraId="5A123B87" w14:textId="77777777" w:rsidR="00AC6F3C" w:rsidRDefault="00AC6F3C">
      <w:pPr>
        <w:pStyle w:val="BodyText"/>
        <w:spacing w:before="4"/>
        <w:rPr>
          <w:sz w:val="11"/>
        </w:rPr>
      </w:pPr>
    </w:p>
    <w:p w14:paraId="08828FA6"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6BCE2878" wp14:editId="5EF37B54">
                <wp:extent cx="5603875" cy="6350"/>
                <wp:effectExtent l="0" t="0" r="0" b="0"/>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898" name="Graphic 898"/>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C7D17B" id="Group 897"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CFHP6QdAIAAPYFAAAOAAAAAAAAAAAA&#10;AAAAAC4CAABkcnMvZTJvRG9jLnhtbFBLAQItABQABgAIAAAAIQC/Y0lo2gAAAAMBAAAPAAAAAAAA&#10;AAAAAAAAAM4EAABkcnMvZG93bnJldi54bWxQSwUGAAAAAAQABADzAAAA1QUAAAAA&#10;">
                <v:shape id="Graphic 898"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" path="m5603329,6120l,6120,,,5603329,r,6120xe" fillcolor="black" stroked="f">
                  <v:path arrowok="t"/>
                </v:shape>
                <w10:anchorlock/>
              </v:group>
            </w:pict>
          </mc:Fallback>
        </mc:AlternateContent>
      </w:r>
    </w:p>
    <w:p w14:paraId="13CD9279" w14:textId="77777777" w:rsidR="00AC6F3C" w:rsidRDefault="00AC6F3C">
      <w:pPr>
        <w:pStyle w:val="BodyText"/>
        <w:rPr>
          <w:sz w:val="11"/>
        </w:rPr>
      </w:pPr>
    </w:p>
    <w:p w14:paraId="5078E427" w14:textId="77777777" w:rsidR="00AC6F3C" w:rsidRDefault="00570E88">
      <w:pPr>
        <w:tabs>
          <w:tab w:val="left" w:pos="1700"/>
        </w:tabs>
        <w:spacing w:before="92"/>
        <w:ind w:left="979"/>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48D58ED9" w14:textId="77777777" w:rsidR="00AC6F3C" w:rsidRDefault="00570E88">
      <w:pPr>
        <w:pStyle w:val="Heading6"/>
        <w:tabs>
          <w:tab w:val="left" w:pos="1831"/>
        </w:tabs>
        <w:ind w:left="979"/>
      </w:pPr>
      <w:r>
        <w:rPr>
          <w:spacing w:val="-2"/>
        </w:rPr>
        <w:t>A1-</w:t>
      </w:r>
      <w:r>
        <w:rPr>
          <w:spacing w:val="-10"/>
        </w:rPr>
        <w:t>1</w:t>
      </w:r>
      <w:r>
        <w:tab/>
        <w:t>GENERAL</w:t>
      </w:r>
      <w:r>
        <w:rPr>
          <w:spacing w:val="-3"/>
        </w:rPr>
        <w:t xml:space="preserve"> </w:t>
      </w:r>
      <w:r>
        <w:rPr>
          <w:spacing w:val="-2"/>
        </w:rPr>
        <w:t>INFORMATION</w:t>
      </w:r>
    </w:p>
    <w:p w14:paraId="43D5FD23" w14:textId="77777777" w:rsidR="00AC6F3C" w:rsidRDefault="00AC6F3C">
      <w:pPr>
        <w:pStyle w:val="BodyText"/>
        <w:spacing w:before="9"/>
        <w:rPr>
          <w:b/>
        </w:rPr>
      </w:pPr>
    </w:p>
    <w:p w14:paraId="035D0D8C" w14:textId="77777777" w:rsidR="00AC6F3C" w:rsidRDefault="00570E88">
      <w:pPr>
        <w:spacing w:line="207" w:lineRule="exact"/>
        <w:ind w:left="979"/>
        <w:rPr>
          <w:i/>
          <w:sz w:val="18"/>
        </w:rPr>
      </w:pPr>
      <w:r>
        <w:rPr>
          <w:sz w:val="18"/>
        </w:rPr>
        <w:t>Queensland</w:t>
      </w:r>
      <w:r>
        <w:rPr>
          <w:spacing w:val="-5"/>
          <w:sz w:val="18"/>
        </w:rPr>
        <w:t xml:space="preserve"> </w:t>
      </w:r>
      <w:r>
        <w:rPr>
          <w:sz w:val="18"/>
        </w:rPr>
        <w:t>Law</w:t>
      </w:r>
      <w:r>
        <w:rPr>
          <w:spacing w:val="-3"/>
          <w:sz w:val="18"/>
        </w:rPr>
        <w:t xml:space="preserve"> </w:t>
      </w:r>
      <w:r>
        <w:rPr>
          <w:sz w:val="18"/>
        </w:rPr>
        <w:t>Society</w:t>
      </w:r>
      <w:r>
        <w:rPr>
          <w:spacing w:val="-4"/>
          <w:sz w:val="18"/>
        </w:rPr>
        <w:t xml:space="preserve"> </w:t>
      </w:r>
      <w:r>
        <w:rPr>
          <w:sz w:val="18"/>
        </w:rPr>
        <w:t>Incorporated</w:t>
      </w:r>
      <w:r>
        <w:rPr>
          <w:spacing w:val="-2"/>
          <w:sz w:val="18"/>
        </w:rPr>
        <w:t xml:space="preserve"> </w:t>
      </w:r>
      <w:r>
        <w:rPr>
          <w:sz w:val="18"/>
        </w:rPr>
        <w:t>(‘the</w:t>
      </w:r>
      <w:r>
        <w:rPr>
          <w:spacing w:val="-2"/>
          <w:sz w:val="18"/>
        </w:rPr>
        <w:t xml:space="preserve"> </w:t>
      </w:r>
      <w:r>
        <w:rPr>
          <w:sz w:val="18"/>
        </w:rPr>
        <w:t>Society’),</w:t>
      </w:r>
      <w:r>
        <w:rPr>
          <w:spacing w:val="-4"/>
          <w:sz w:val="18"/>
        </w:rPr>
        <w:t xml:space="preserve"> </w:t>
      </w:r>
      <w:r>
        <w:rPr>
          <w:sz w:val="18"/>
        </w:rPr>
        <w:t>pursuant</w:t>
      </w:r>
      <w:r>
        <w:rPr>
          <w:spacing w:val="-3"/>
          <w:sz w:val="18"/>
        </w:rPr>
        <w:t xml:space="preserve"> </w:t>
      </w:r>
      <w:r>
        <w:rPr>
          <w:sz w:val="18"/>
        </w:rPr>
        <w:t>to</w:t>
      </w:r>
      <w:r>
        <w:rPr>
          <w:spacing w:val="-4"/>
          <w:sz w:val="18"/>
        </w:rPr>
        <w:t xml:space="preserve"> </w:t>
      </w:r>
      <w:r>
        <w:rPr>
          <w:sz w:val="18"/>
        </w:rPr>
        <w:t>s359</w:t>
      </w:r>
      <w:r>
        <w:rPr>
          <w:spacing w:val="-3"/>
          <w:sz w:val="18"/>
        </w:rPr>
        <w:t xml:space="preserve"> </w:t>
      </w:r>
      <w:r>
        <w:rPr>
          <w:sz w:val="18"/>
        </w:rPr>
        <w:t>of</w:t>
      </w:r>
      <w:r>
        <w:rPr>
          <w:spacing w:val="-3"/>
          <w:sz w:val="18"/>
        </w:rPr>
        <w:t xml:space="preserve"> </w:t>
      </w:r>
      <w:r>
        <w:rPr>
          <w:sz w:val="18"/>
        </w:rPr>
        <w:t>the</w:t>
      </w:r>
      <w:r>
        <w:rPr>
          <w:spacing w:val="-5"/>
          <w:sz w:val="18"/>
        </w:rPr>
        <w:t xml:space="preserve"> </w:t>
      </w:r>
      <w:r>
        <w:rPr>
          <w:i/>
          <w:sz w:val="18"/>
        </w:rPr>
        <w:t>Legal</w:t>
      </w:r>
      <w:r>
        <w:rPr>
          <w:i/>
          <w:spacing w:val="-2"/>
          <w:sz w:val="18"/>
        </w:rPr>
        <w:t xml:space="preserve"> </w:t>
      </w:r>
      <w:r>
        <w:rPr>
          <w:i/>
          <w:sz w:val="18"/>
        </w:rPr>
        <w:t>Profession</w:t>
      </w:r>
      <w:r>
        <w:rPr>
          <w:i/>
          <w:spacing w:val="-2"/>
          <w:sz w:val="18"/>
        </w:rPr>
        <w:t xml:space="preserve"> </w:t>
      </w:r>
      <w:r>
        <w:rPr>
          <w:i/>
          <w:sz w:val="18"/>
        </w:rPr>
        <w:t>Act</w:t>
      </w:r>
      <w:r>
        <w:rPr>
          <w:i/>
          <w:spacing w:val="-3"/>
          <w:sz w:val="18"/>
        </w:rPr>
        <w:t xml:space="preserve"> </w:t>
      </w:r>
      <w:r>
        <w:rPr>
          <w:i/>
          <w:spacing w:val="-4"/>
          <w:sz w:val="18"/>
        </w:rPr>
        <w:t>2007</w:t>
      </w:r>
    </w:p>
    <w:p w14:paraId="23DD6191" w14:textId="77777777" w:rsidR="00AC6F3C" w:rsidRDefault="00570E88">
      <w:pPr>
        <w:spacing w:line="477" w:lineRule="auto"/>
        <w:ind w:left="979" w:right="1975"/>
        <w:rPr>
          <w:sz w:val="18"/>
        </w:rPr>
      </w:pPr>
      <w:r>
        <w:rPr>
          <w:sz w:val="18"/>
        </w:rPr>
        <w:t>(the</w:t>
      </w:r>
      <w:r>
        <w:rPr>
          <w:spacing w:val="-2"/>
          <w:sz w:val="18"/>
        </w:rPr>
        <w:t xml:space="preserve"> </w:t>
      </w:r>
      <w:r>
        <w:rPr>
          <w:sz w:val="18"/>
        </w:rPr>
        <w:t>Act)</w:t>
      </w:r>
      <w:r>
        <w:rPr>
          <w:spacing w:val="-3"/>
          <w:sz w:val="18"/>
        </w:rPr>
        <w:t xml:space="preserve"> </w:t>
      </w:r>
      <w:r>
        <w:rPr>
          <w:sz w:val="18"/>
        </w:rPr>
        <w:t>is</w:t>
      </w:r>
      <w:r>
        <w:rPr>
          <w:spacing w:val="-2"/>
          <w:sz w:val="18"/>
        </w:rPr>
        <w:t xml:space="preserve"> </w:t>
      </w:r>
      <w:r>
        <w:rPr>
          <w:sz w:val="18"/>
        </w:rPr>
        <w:t>required</w:t>
      </w:r>
      <w:r>
        <w:rPr>
          <w:spacing w:val="-2"/>
          <w:sz w:val="18"/>
        </w:rPr>
        <w:t xml:space="preserve"> </w:t>
      </w:r>
      <w:r>
        <w:rPr>
          <w:sz w:val="18"/>
        </w:rPr>
        <w:t>to</w:t>
      </w:r>
      <w:r>
        <w:rPr>
          <w:spacing w:val="-5"/>
          <w:sz w:val="18"/>
        </w:rPr>
        <w:t xml:space="preserve"> </w:t>
      </w:r>
      <w:r>
        <w:rPr>
          <w:sz w:val="18"/>
        </w:rPr>
        <w:t>maintain</w:t>
      </w:r>
      <w:r>
        <w:rPr>
          <w:spacing w:val="-2"/>
          <w:sz w:val="18"/>
        </w:rPr>
        <w:t xml:space="preserve"> </w:t>
      </w:r>
      <w:r>
        <w:rPr>
          <w:sz w:val="18"/>
        </w:rPr>
        <w:t>the</w:t>
      </w:r>
      <w:r>
        <w:rPr>
          <w:spacing w:val="-5"/>
          <w:sz w:val="18"/>
        </w:rPr>
        <w:t xml:space="preserve"> </w:t>
      </w:r>
      <w:r>
        <w:rPr>
          <w:sz w:val="18"/>
        </w:rPr>
        <w:t>Legal</w:t>
      </w:r>
      <w:r>
        <w:rPr>
          <w:spacing w:val="-2"/>
          <w:sz w:val="18"/>
        </w:rPr>
        <w:t xml:space="preserve"> </w:t>
      </w:r>
      <w:r>
        <w:rPr>
          <w:sz w:val="18"/>
        </w:rPr>
        <w:t>Practitioners’</w:t>
      </w:r>
      <w:r>
        <w:rPr>
          <w:spacing w:val="-5"/>
          <w:sz w:val="18"/>
        </w:rPr>
        <w:t xml:space="preserve"> </w:t>
      </w:r>
      <w:r>
        <w:rPr>
          <w:sz w:val="18"/>
        </w:rPr>
        <w:t>Fidelity</w:t>
      </w:r>
      <w:r>
        <w:rPr>
          <w:spacing w:val="-2"/>
          <w:sz w:val="18"/>
        </w:rPr>
        <w:t xml:space="preserve"> </w:t>
      </w:r>
      <w:r>
        <w:rPr>
          <w:sz w:val="18"/>
        </w:rPr>
        <w:t>Guarantee</w:t>
      </w:r>
      <w:r>
        <w:rPr>
          <w:spacing w:val="-2"/>
          <w:sz w:val="18"/>
        </w:rPr>
        <w:t xml:space="preserve"> </w:t>
      </w:r>
      <w:r>
        <w:rPr>
          <w:sz w:val="18"/>
        </w:rPr>
        <w:t>Fund</w:t>
      </w:r>
      <w:r>
        <w:rPr>
          <w:spacing w:val="-2"/>
          <w:sz w:val="18"/>
        </w:rPr>
        <w:t xml:space="preserve"> </w:t>
      </w:r>
      <w:r>
        <w:rPr>
          <w:sz w:val="18"/>
        </w:rPr>
        <w:t>(the</w:t>
      </w:r>
      <w:r>
        <w:rPr>
          <w:spacing w:val="-2"/>
          <w:sz w:val="18"/>
        </w:rPr>
        <w:t xml:space="preserve"> </w:t>
      </w:r>
      <w:r>
        <w:rPr>
          <w:sz w:val="18"/>
        </w:rPr>
        <w:t>Fund). The principal place of the Fund is 179 Ann Street, Brisbane, QLD 4000.</w:t>
      </w:r>
    </w:p>
    <w:p w14:paraId="7EF4C9DE" w14:textId="77777777" w:rsidR="00AC6F3C" w:rsidRDefault="00570E88">
      <w:pPr>
        <w:pStyle w:val="Heading6"/>
        <w:tabs>
          <w:tab w:val="left" w:pos="1831"/>
        </w:tabs>
        <w:spacing w:before="38"/>
        <w:ind w:left="979"/>
      </w:pPr>
      <w:r>
        <w:rPr>
          <w:spacing w:val="-2"/>
        </w:rPr>
        <w:t>A1-</w:t>
      </w:r>
      <w:r>
        <w:rPr>
          <w:spacing w:val="-10"/>
        </w:rPr>
        <w:t>2</w:t>
      </w:r>
      <w:r>
        <w:tab/>
        <w:t>COMPLIANCE</w:t>
      </w:r>
      <w:r>
        <w:rPr>
          <w:spacing w:val="-5"/>
        </w:rPr>
        <w:t xml:space="preserve"> </w:t>
      </w:r>
      <w:r>
        <w:t>WITH</w:t>
      </w:r>
      <w:r>
        <w:rPr>
          <w:spacing w:val="-5"/>
        </w:rPr>
        <w:t xml:space="preserve"> </w:t>
      </w:r>
      <w:r>
        <w:t>PRESCRIBED</w:t>
      </w:r>
      <w:r>
        <w:rPr>
          <w:spacing w:val="-3"/>
        </w:rPr>
        <w:t xml:space="preserve"> </w:t>
      </w:r>
      <w:r>
        <w:rPr>
          <w:spacing w:val="-2"/>
        </w:rPr>
        <w:t>REQUIREMENTS</w:t>
      </w:r>
    </w:p>
    <w:p w14:paraId="0FF153D2" w14:textId="77777777" w:rsidR="00AC6F3C" w:rsidRDefault="00AC6F3C">
      <w:pPr>
        <w:pStyle w:val="BodyText"/>
        <w:spacing w:before="9"/>
        <w:rPr>
          <w:b/>
        </w:rPr>
      </w:pPr>
    </w:p>
    <w:p w14:paraId="382950AB" w14:textId="77777777" w:rsidR="00AC6F3C" w:rsidRDefault="00570E88">
      <w:pPr>
        <w:ind w:left="979" w:right="468"/>
        <w:rPr>
          <w:sz w:val="18"/>
        </w:rPr>
      </w:pPr>
      <w:r>
        <w:rPr>
          <w:sz w:val="18"/>
        </w:rPr>
        <w:t xml:space="preserve">The Fund has prepared these financial statements in compliance with section 39 of the </w:t>
      </w:r>
      <w:r>
        <w:rPr>
          <w:i/>
          <w:sz w:val="18"/>
        </w:rPr>
        <w:t>Financial and Performance</w:t>
      </w:r>
      <w:r>
        <w:rPr>
          <w:i/>
          <w:spacing w:val="-3"/>
          <w:sz w:val="18"/>
        </w:rPr>
        <w:t xml:space="preserve"> </w:t>
      </w:r>
      <w:r>
        <w:rPr>
          <w:i/>
          <w:sz w:val="18"/>
        </w:rPr>
        <w:t>Management</w:t>
      </w:r>
      <w:r>
        <w:rPr>
          <w:i/>
          <w:spacing w:val="-4"/>
          <w:sz w:val="18"/>
        </w:rPr>
        <w:t xml:space="preserve"> </w:t>
      </w:r>
      <w:r>
        <w:rPr>
          <w:i/>
          <w:sz w:val="18"/>
        </w:rPr>
        <w:t>Standard</w:t>
      </w:r>
      <w:r>
        <w:rPr>
          <w:i/>
          <w:spacing w:val="-6"/>
          <w:sz w:val="18"/>
        </w:rPr>
        <w:t xml:space="preserve"> </w:t>
      </w:r>
      <w:r>
        <w:rPr>
          <w:i/>
          <w:sz w:val="18"/>
        </w:rPr>
        <w:t>2019</w:t>
      </w:r>
      <w:r>
        <w:rPr>
          <w:sz w:val="18"/>
        </w:rPr>
        <w:t>.</w:t>
      </w:r>
      <w:r>
        <w:rPr>
          <w:spacing w:val="-4"/>
          <w:sz w:val="18"/>
        </w:rPr>
        <w:t xml:space="preserve"> </w:t>
      </w:r>
      <w:r>
        <w:rPr>
          <w:sz w:val="18"/>
        </w:rPr>
        <w:t>The</w:t>
      </w:r>
      <w:r>
        <w:rPr>
          <w:spacing w:val="-3"/>
          <w:sz w:val="18"/>
        </w:rPr>
        <w:t xml:space="preserve"> </w:t>
      </w:r>
      <w:r>
        <w:rPr>
          <w:sz w:val="18"/>
        </w:rPr>
        <w:t>financial</w:t>
      </w:r>
      <w:r>
        <w:rPr>
          <w:spacing w:val="-3"/>
          <w:sz w:val="18"/>
        </w:rPr>
        <w:t xml:space="preserve"> </w:t>
      </w:r>
      <w:r>
        <w:rPr>
          <w:sz w:val="18"/>
        </w:rPr>
        <w:t>statements</w:t>
      </w:r>
      <w:r>
        <w:rPr>
          <w:spacing w:val="-5"/>
          <w:sz w:val="18"/>
        </w:rPr>
        <w:t xml:space="preserve"> </w:t>
      </w:r>
      <w:r>
        <w:rPr>
          <w:sz w:val="18"/>
        </w:rPr>
        <w:t>comply</w:t>
      </w:r>
      <w:r>
        <w:rPr>
          <w:spacing w:val="-3"/>
          <w:sz w:val="18"/>
        </w:rPr>
        <w:t xml:space="preserve"> </w:t>
      </w:r>
      <w:r>
        <w:rPr>
          <w:sz w:val="18"/>
        </w:rPr>
        <w:t>with</w:t>
      </w:r>
      <w:r>
        <w:rPr>
          <w:spacing w:val="-6"/>
          <w:sz w:val="18"/>
        </w:rPr>
        <w:t xml:space="preserve"> </w:t>
      </w:r>
      <w:r>
        <w:rPr>
          <w:sz w:val="18"/>
        </w:rPr>
        <w:t>Queensland</w:t>
      </w:r>
      <w:r>
        <w:rPr>
          <w:spacing w:val="-3"/>
          <w:sz w:val="18"/>
        </w:rPr>
        <w:t xml:space="preserve"> </w:t>
      </w:r>
      <w:r>
        <w:rPr>
          <w:sz w:val="18"/>
        </w:rPr>
        <w:t>Treasury’s Minimum Reporting Requirements for reporting periods beginning on or after 1 July 2022.</w:t>
      </w:r>
    </w:p>
    <w:p w14:paraId="24087E80" w14:textId="77777777" w:rsidR="00AC6F3C" w:rsidRDefault="00AC6F3C">
      <w:pPr>
        <w:pStyle w:val="BodyText"/>
        <w:spacing w:before="8"/>
      </w:pPr>
    </w:p>
    <w:p w14:paraId="74E9A7D3" w14:textId="77777777" w:rsidR="00AC6F3C" w:rsidRDefault="00570E88">
      <w:pPr>
        <w:ind w:left="980" w:right="632"/>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a</w:t>
      </w:r>
      <w:r>
        <w:rPr>
          <w:spacing w:val="-4"/>
          <w:sz w:val="18"/>
        </w:rPr>
        <w:t xml:space="preserve"> </w:t>
      </w:r>
      <w:r>
        <w:rPr>
          <w:sz w:val="18"/>
        </w:rPr>
        <w:t>not-for-profit</w:t>
      </w:r>
      <w:r>
        <w:rPr>
          <w:spacing w:val="-2"/>
          <w:sz w:val="18"/>
        </w:rPr>
        <w:t xml:space="preserve"> </w:t>
      </w:r>
      <w:r>
        <w:rPr>
          <w:sz w:val="18"/>
        </w:rPr>
        <w:t>entity</w:t>
      </w:r>
      <w:r>
        <w:rPr>
          <w:spacing w:val="-1"/>
          <w:sz w:val="18"/>
        </w:rPr>
        <w:t xml:space="preserve"> </w:t>
      </w:r>
      <w:r>
        <w:rPr>
          <w:sz w:val="18"/>
        </w:rPr>
        <w:t>and</w:t>
      </w:r>
      <w:r>
        <w:rPr>
          <w:spacing w:val="-1"/>
          <w:sz w:val="18"/>
        </w:rPr>
        <w:t xml:space="preserve"> </w:t>
      </w:r>
      <w:r>
        <w:rPr>
          <w:sz w:val="18"/>
        </w:rPr>
        <w:t>these</w:t>
      </w:r>
      <w:r>
        <w:rPr>
          <w:spacing w:val="-1"/>
          <w:sz w:val="18"/>
        </w:rPr>
        <w:t xml:space="preserve"> </w:t>
      </w:r>
      <w:r>
        <w:rPr>
          <w:sz w:val="18"/>
        </w:rPr>
        <w:t>general</w:t>
      </w:r>
      <w:r>
        <w:rPr>
          <w:spacing w:val="-1"/>
          <w:sz w:val="18"/>
        </w:rPr>
        <w:t xml:space="preserve"> </w:t>
      </w:r>
      <w:r>
        <w:rPr>
          <w:sz w:val="18"/>
        </w:rPr>
        <w:t>purpose</w:t>
      </w:r>
      <w:r>
        <w:rPr>
          <w:spacing w:val="-4"/>
          <w:sz w:val="18"/>
        </w:rPr>
        <w:t xml:space="preserve"> </w:t>
      </w:r>
      <w:r>
        <w:rPr>
          <w:sz w:val="18"/>
        </w:rPr>
        <w:t>financial</w:t>
      </w:r>
      <w:r>
        <w:rPr>
          <w:spacing w:val="-1"/>
          <w:sz w:val="18"/>
        </w:rPr>
        <w:t xml:space="preserve"> </w:t>
      </w:r>
      <w:r>
        <w:rPr>
          <w:sz w:val="18"/>
        </w:rPr>
        <w:t>statements</w:t>
      </w:r>
      <w:r>
        <w:rPr>
          <w:spacing w:val="-3"/>
          <w:sz w:val="18"/>
        </w:rPr>
        <w:t xml:space="preserve"> </w:t>
      </w:r>
      <w:r>
        <w:rPr>
          <w:sz w:val="18"/>
        </w:rPr>
        <w:t>are</w:t>
      </w:r>
      <w:r>
        <w:rPr>
          <w:spacing w:val="-1"/>
          <w:sz w:val="18"/>
        </w:rPr>
        <w:t xml:space="preserve"> </w:t>
      </w:r>
      <w:r>
        <w:rPr>
          <w:sz w:val="18"/>
        </w:rPr>
        <w:t>prepared</w:t>
      </w:r>
      <w:r>
        <w:rPr>
          <w:spacing w:val="-1"/>
          <w:sz w:val="18"/>
        </w:rPr>
        <w:t xml:space="preserve"> </w:t>
      </w:r>
      <w:r>
        <w:rPr>
          <w:sz w:val="18"/>
        </w:rPr>
        <w:t>on</w:t>
      </w:r>
      <w:r>
        <w:rPr>
          <w:spacing w:val="-4"/>
          <w:sz w:val="18"/>
        </w:rPr>
        <w:t xml:space="preserve"> </w:t>
      </w:r>
      <w:r>
        <w:rPr>
          <w:sz w:val="18"/>
        </w:rPr>
        <w:t>an</w:t>
      </w:r>
      <w:r>
        <w:rPr>
          <w:spacing w:val="-4"/>
          <w:sz w:val="18"/>
        </w:rPr>
        <w:t xml:space="preserve"> </w:t>
      </w:r>
      <w:r>
        <w:rPr>
          <w:sz w:val="18"/>
        </w:rPr>
        <w:t>accrual basis (except for the Statement of Cash Flows which is prepared on a cash basis) in accordance with Australian Accounting Standards and Interpretations applicable to not-for-profit entities.</w:t>
      </w:r>
    </w:p>
    <w:p w14:paraId="42D833C0" w14:textId="77777777" w:rsidR="00AC6F3C" w:rsidRDefault="00AC6F3C">
      <w:pPr>
        <w:pStyle w:val="BodyText"/>
        <w:rPr>
          <w:sz w:val="21"/>
        </w:rPr>
      </w:pPr>
    </w:p>
    <w:p w14:paraId="7B462E61" w14:textId="77777777" w:rsidR="00AC6F3C" w:rsidRDefault="00570E88">
      <w:pPr>
        <w:pStyle w:val="Heading6"/>
        <w:tabs>
          <w:tab w:val="left" w:pos="1831"/>
        </w:tabs>
        <w:spacing w:before="1"/>
        <w:ind w:left="979"/>
      </w:pPr>
      <w:r>
        <w:rPr>
          <w:spacing w:val="-2"/>
        </w:rPr>
        <w:t>A1-</w:t>
      </w:r>
      <w:r>
        <w:rPr>
          <w:spacing w:val="-10"/>
        </w:rPr>
        <w:t>3</w:t>
      </w:r>
      <w:r>
        <w:tab/>
      </w:r>
      <w:r>
        <w:rPr>
          <w:spacing w:val="-2"/>
        </w:rPr>
        <w:t>PRESENTATION</w:t>
      </w:r>
    </w:p>
    <w:p w14:paraId="4E6E3314" w14:textId="77777777" w:rsidR="00AC6F3C" w:rsidRDefault="00AC6F3C">
      <w:pPr>
        <w:pStyle w:val="BodyText"/>
        <w:spacing w:before="8"/>
        <w:rPr>
          <w:b/>
        </w:rPr>
      </w:pPr>
    </w:p>
    <w:p w14:paraId="74AA5935" w14:textId="77777777" w:rsidR="00AC6F3C" w:rsidRDefault="00570E88">
      <w:pPr>
        <w:spacing w:before="1"/>
        <w:ind w:left="979"/>
        <w:rPr>
          <w:b/>
          <w:sz w:val="20"/>
        </w:rPr>
      </w:pPr>
      <w:r>
        <w:rPr>
          <w:b/>
          <w:sz w:val="20"/>
        </w:rPr>
        <w:t>Currency</w:t>
      </w:r>
      <w:r>
        <w:rPr>
          <w:b/>
          <w:spacing w:val="-8"/>
          <w:sz w:val="20"/>
        </w:rPr>
        <w:t xml:space="preserve"> </w:t>
      </w:r>
      <w:r>
        <w:rPr>
          <w:b/>
          <w:sz w:val="20"/>
        </w:rPr>
        <w:t>and</w:t>
      </w:r>
      <w:r>
        <w:rPr>
          <w:b/>
          <w:spacing w:val="-6"/>
          <w:sz w:val="20"/>
        </w:rPr>
        <w:t xml:space="preserve"> </w:t>
      </w:r>
      <w:r>
        <w:rPr>
          <w:b/>
          <w:spacing w:val="-2"/>
          <w:sz w:val="20"/>
        </w:rPr>
        <w:t>rounding</w:t>
      </w:r>
    </w:p>
    <w:p w14:paraId="462D4961" w14:textId="77777777" w:rsidR="00AC6F3C" w:rsidRDefault="00AC6F3C">
      <w:pPr>
        <w:pStyle w:val="BodyText"/>
        <w:spacing w:before="9"/>
        <w:rPr>
          <w:b/>
        </w:rPr>
      </w:pPr>
    </w:p>
    <w:p w14:paraId="5264E348" w14:textId="77777777" w:rsidR="00AC6F3C" w:rsidRDefault="00570E88">
      <w:pPr>
        <w:spacing w:before="1"/>
        <w:ind w:left="979" w:right="468"/>
        <w:rPr>
          <w:sz w:val="18"/>
        </w:rPr>
      </w:pPr>
      <w:r>
        <w:rPr>
          <w:sz w:val="18"/>
        </w:rPr>
        <w:t>Amounts</w:t>
      </w:r>
      <w:r>
        <w:rPr>
          <w:spacing w:val="-3"/>
          <w:sz w:val="18"/>
        </w:rPr>
        <w:t xml:space="preserve"> </w:t>
      </w:r>
      <w:r>
        <w:rPr>
          <w:sz w:val="18"/>
        </w:rPr>
        <w:t>included</w:t>
      </w:r>
      <w:r>
        <w:rPr>
          <w:spacing w:val="-1"/>
          <w:sz w:val="18"/>
        </w:rPr>
        <w:t xml:space="preserve"> </w:t>
      </w:r>
      <w:r>
        <w:rPr>
          <w:sz w:val="18"/>
        </w:rPr>
        <w:t>in</w:t>
      </w:r>
      <w:r>
        <w:rPr>
          <w:spacing w:val="-1"/>
          <w:sz w:val="18"/>
        </w:rPr>
        <w:t xml:space="preserve"> </w:t>
      </w:r>
      <w:r>
        <w:rPr>
          <w:sz w:val="18"/>
        </w:rPr>
        <w:t>the</w:t>
      </w:r>
      <w:r>
        <w:rPr>
          <w:spacing w:val="-4"/>
          <w:sz w:val="18"/>
        </w:rPr>
        <w:t xml:space="preserve"> </w:t>
      </w:r>
      <w:r>
        <w:rPr>
          <w:sz w:val="18"/>
        </w:rPr>
        <w:t>financial</w:t>
      </w:r>
      <w:r>
        <w:rPr>
          <w:spacing w:val="-4"/>
          <w:sz w:val="18"/>
        </w:rPr>
        <w:t xml:space="preserve"> </w:t>
      </w:r>
      <w:r>
        <w:rPr>
          <w:sz w:val="18"/>
        </w:rPr>
        <w:t>statements</w:t>
      </w:r>
      <w:r>
        <w:rPr>
          <w:spacing w:val="-3"/>
          <w:sz w:val="18"/>
        </w:rPr>
        <w:t xml:space="preserve"> </w:t>
      </w:r>
      <w:r>
        <w:rPr>
          <w:sz w:val="18"/>
        </w:rPr>
        <w:t>are</w:t>
      </w:r>
      <w:r>
        <w:rPr>
          <w:spacing w:val="-4"/>
          <w:sz w:val="18"/>
        </w:rPr>
        <w:t xml:space="preserve"> </w:t>
      </w:r>
      <w:r>
        <w:rPr>
          <w:sz w:val="18"/>
        </w:rPr>
        <w:t>in</w:t>
      </w:r>
      <w:r>
        <w:rPr>
          <w:spacing w:val="-1"/>
          <w:sz w:val="18"/>
        </w:rPr>
        <w:t xml:space="preserve"> </w:t>
      </w:r>
      <w:r>
        <w:rPr>
          <w:sz w:val="18"/>
        </w:rPr>
        <w:t>Australian</w:t>
      </w:r>
      <w:r>
        <w:rPr>
          <w:spacing w:val="-1"/>
          <w:sz w:val="18"/>
        </w:rPr>
        <w:t xml:space="preserve"> </w:t>
      </w:r>
      <w:r>
        <w:rPr>
          <w:sz w:val="18"/>
        </w:rPr>
        <w:t>dollars</w:t>
      </w:r>
      <w:r>
        <w:rPr>
          <w:spacing w:val="-3"/>
          <w:sz w:val="18"/>
        </w:rPr>
        <w:t xml:space="preserve"> </w:t>
      </w:r>
      <w:r>
        <w:rPr>
          <w:sz w:val="18"/>
        </w:rPr>
        <w:t>and</w:t>
      </w:r>
      <w:r>
        <w:rPr>
          <w:spacing w:val="-1"/>
          <w:sz w:val="18"/>
        </w:rPr>
        <w:t xml:space="preserve"> </w:t>
      </w:r>
      <w:r>
        <w:rPr>
          <w:sz w:val="18"/>
        </w:rPr>
        <w:t>rounded</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nearest</w:t>
      </w:r>
      <w:r>
        <w:rPr>
          <w:spacing w:val="-2"/>
          <w:sz w:val="18"/>
        </w:rPr>
        <w:t xml:space="preserve"> </w:t>
      </w:r>
      <w:r>
        <w:rPr>
          <w:sz w:val="18"/>
        </w:rPr>
        <w:t>$1,000</w:t>
      </w:r>
      <w:r>
        <w:rPr>
          <w:spacing w:val="-4"/>
          <w:sz w:val="18"/>
        </w:rPr>
        <w:t xml:space="preserve"> </w:t>
      </w:r>
      <w:r>
        <w:rPr>
          <w:sz w:val="18"/>
        </w:rPr>
        <w:t>or, where that amount is $500 or less, to zero, unless disclosure of the full amount is specifically required.</w:t>
      </w:r>
    </w:p>
    <w:p w14:paraId="03702138" w14:textId="77777777" w:rsidR="00AC6F3C" w:rsidRDefault="00AC6F3C">
      <w:pPr>
        <w:pStyle w:val="BodyText"/>
        <w:spacing w:before="8"/>
      </w:pPr>
    </w:p>
    <w:p w14:paraId="7FB70F92" w14:textId="77777777" w:rsidR="00AC6F3C" w:rsidRDefault="00570E88">
      <w:pPr>
        <w:spacing w:before="1"/>
        <w:ind w:left="979"/>
        <w:rPr>
          <w:b/>
          <w:sz w:val="20"/>
        </w:rPr>
      </w:pPr>
      <w:r>
        <w:rPr>
          <w:b/>
          <w:spacing w:val="-2"/>
          <w:sz w:val="20"/>
        </w:rPr>
        <w:t>Comparatives</w:t>
      </w:r>
    </w:p>
    <w:p w14:paraId="2CDD5704" w14:textId="77777777" w:rsidR="00AC6F3C" w:rsidRDefault="00AC6F3C">
      <w:pPr>
        <w:pStyle w:val="BodyText"/>
        <w:spacing w:before="9"/>
        <w:rPr>
          <w:b/>
        </w:rPr>
      </w:pPr>
    </w:p>
    <w:p w14:paraId="425FFB69" w14:textId="77777777" w:rsidR="00AC6F3C" w:rsidRDefault="00570E88">
      <w:pPr>
        <w:spacing w:before="1"/>
        <w:ind w:left="979"/>
        <w:rPr>
          <w:sz w:val="18"/>
        </w:rPr>
      </w:pPr>
      <w:r>
        <w:rPr>
          <w:sz w:val="18"/>
        </w:rPr>
        <w:t>Comparative</w:t>
      </w:r>
      <w:r>
        <w:rPr>
          <w:spacing w:val="-4"/>
          <w:sz w:val="18"/>
        </w:rPr>
        <w:t xml:space="preserve"> </w:t>
      </w:r>
      <w:r>
        <w:rPr>
          <w:sz w:val="18"/>
        </w:rPr>
        <w:t>information</w:t>
      </w:r>
      <w:r>
        <w:rPr>
          <w:spacing w:val="-4"/>
          <w:sz w:val="18"/>
        </w:rPr>
        <w:t xml:space="preserve"> </w:t>
      </w:r>
      <w:r>
        <w:rPr>
          <w:sz w:val="18"/>
        </w:rPr>
        <w:t>reflects</w:t>
      </w:r>
      <w:r>
        <w:rPr>
          <w:spacing w:val="-3"/>
          <w:sz w:val="18"/>
        </w:rPr>
        <w:t xml:space="preserve"> </w:t>
      </w:r>
      <w:r>
        <w:rPr>
          <w:sz w:val="18"/>
        </w:rPr>
        <w:t>the</w:t>
      </w:r>
      <w:r>
        <w:rPr>
          <w:spacing w:val="-4"/>
          <w:sz w:val="18"/>
        </w:rPr>
        <w:t xml:space="preserve"> </w:t>
      </w:r>
      <w:r>
        <w:rPr>
          <w:sz w:val="18"/>
        </w:rPr>
        <w:t>audited</w:t>
      </w:r>
      <w:r>
        <w:rPr>
          <w:spacing w:val="-3"/>
          <w:sz w:val="18"/>
        </w:rPr>
        <w:t xml:space="preserve"> </w:t>
      </w:r>
      <w:r>
        <w:rPr>
          <w:sz w:val="18"/>
        </w:rPr>
        <w:t>2021-22</w:t>
      </w:r>
      <w:r>
        <w:rPr>
          <w:spacing w:val="-4"/>
          <w:sz w:val="18"/>
        </w:rPr>
        <w:t xml:space="preserve"> </w:t>
      </w:r>
      <w:r>
        <w:rPr>
          <w:sz w:val="18"/>
        </w:rPr>
        <w:t>financial</w:t>
      </w:r>
      <w:r>
        <w:rPr>
          <w:spacing w:val="-3"/>
          <w:sz w:val="18"/>
        </w:rPr>
        <w:t xml:space="preserve"> </w:t>
      </w:r>
      <w:r>
        <w:rPr>
          <w:spacing w:val="-2"/>
          <w:sz w:val="18"/>
        </w:rPr>
        <w:t>statements.</w:t>
      </w:r>
    </w:p>
    <w:p w14:paraId="773CC581" w14:textId="77777777" w:rsidR="00AC6F3C" w:rsidRDefault="00AC6F3C">
      <w:pPr>
        <w:pStyle w:val="BodyText"/>
        <w:spacing w:before="9"/>
      </w:pPr>
    </w:p>
    <w:p w14:paraId="7171E850" w14:textId="77777777" w:rsidR="00AC6F3C" w:rsidRDefault="00570E88">
      <w:pPr>
        <w:ind w:left="979"/>
        <w:rPr>
          <w:b/>
          <w:sz w:val="20"/>
        </w:rPr>
      </w:pPr>
      <w:r>
        <w:rPr>
          <w:b/>
          <w:spacing w:val="-2"/>
          <w:sz w:val="20"/>
        </w:rPr>
        <w:t>Current/non-current</w:t>
      </w:r>
      <w:r>
        <w:rPr>
          <w:b/>
          <w:spacing w:val="13"/>
          <w:sz w:val="20"/>
        </w:rPr>
        <w:t xml:space="preserve"> </w:t>
      </w:r>
      <w:r>
        <w:rPr>
          <w:b/>
          <w:spacing w:val="-2"/>
          <w:sz w:val="20"/>
        </w:rPr>
        <w:t>classification</w:t>
      </w:r>
    </w:p>
    <w:p w14:paraId="39EA280B" w14:textId="77777777" w:rsidR="00AC6F3C" w:rsidRDefault="00AC6F3C">
      <w:pPr>
        <w:pStyle w:val="BodyText"/>
        <w:spacing w:before="10"/>
        <w:rPr>
          <w:b/>
        </w:rPr>
      </w:pPr>
    </w:p>
    <w:p w14:paraId="670F05E3" w14:textId="77777777" w:rsidR="00AC6F3C" w:rsidRDefault="00570E88">
      <w:pPr>
        <w:ind w:left="979" w:right="730"/>
        <w:rPr>
          <w:sz w:val="18"/>
        </w:rPr>
      </w:pPr>
      <w:r>
        <w:rPr>
          <w:sz w:val="18"/>
        </w:rPr>
        <w:t>Assets</w:t>
      </w:r>
      <w:r>
        <w:rPr>
          <w:spacing w:val="-2"/>
          <w:sz w:val="18"/>
        </w:rPr>
        <w:t xml:space="preserve"> </w:t>
      </w:r>
      <w:r>
        <w:rPr>
          <w:sz w:val="18"/>
        </w:rPr>
        <w:t>and</w:t>
      </w:r>
      <w:r>
        <w:rPr>
          <w:spacing w:val="-2"/>
          <w:sz w:val="18"/>
        </w:rPr>
        <w:t xml:space="preserve"> </w:t>
      </w:r>
      <w:r>
        <w:rPr>
          <w:sz w:val="18"/>
        </w:rPr>
        <w:t>liabilities</w:t>
      </w:r>
      <w:r>
        <w:rPr>
          <w:spacing w:val="-2"/>
          <w:sz w:val="18"/>
        </w:rPr>
        <w:t xml:space="preserve"> </w:t>
      </w:r>
      <w:r>
        <w:rPr>
          <w:sz w:val="18"/>
        </w:rPr>
        <w:t>are</w:t>
      </w:r>
      <w:r>
        <w:rPr>
          <w:spacing w:val="-5"/>
          <w:sz w:val="18"/>
        </w:rPr>
        <w:t xml:space="preserve"> </w:t>
      </w:r>
      <w:r>
        <w:rPr>
          <w:sz w:val="18"/>
        </w:rPr>
        <w:t>classified</w:t>
      </w:r>
      <w:r>
        <w:rPr>
          <w:spacing w:val="-5"/>
          <w:sz w:val="18"/>
        </w:rPr>
        <w:t xml:space="preserve"> </w:t>
      </w:r>
      <w:r>
        <w:rPr>
          <w:sz w:val="18"/>
        </w:rPr>
        <w:t>as</w:t>
      </w:r>
      <w:r>
        <w:rPr>
          <w:spacing w:val="-2"/>
          <w:sz w:val="18"/>
        </w:rPr>
        <w:t xml:space="preserve"> </w:t>
      </w:r>
      <w:r>
        <w:rPr>
          <w:sz w:val="18"/>
        </w:rPr>
        <w:t>either</w:t>
      </w:r>
      <w:r>
        <w:rPr>
          <w:spacing w:val="-3"/>
          <w:sz w:val="18"/>
        </w:rPr>
        <w:t xml:space="preserve"> </w:t>
      </w:r>
      <w:r>
        <w:rPr>
          <w:sz w:val="18"/>
        </w:rPr>
        <w:t>‘current’</w:t>
      </w:r>
      <w:r>
        <w:rPr>
          <w:spacing w:val="-2"/>
          <w:sz w:val="18"/>
        </w:rPr>
        <w:t xml:space="preserve"> </w:t>
      </w:r>
      <w:r>
        <w:rPr>
          <w:sz w:val="18"/>
        </w:rPr>
        <w:t>or</w:t>
      </w:r>
      <w:r>
        <w:rPr>
          <w:spacing w:val="-5"/>
          <w:sz w:val="18"/>
        </w:rPr>
        <w:t xml:space="preserve"> </w:t>
      </w:r>
      <w:r>
        <w:rPr>
          <w:sz w:val="18"/>
        </w:rPr>
        <w:t>‘non-current’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Statement</w:t>
      </w:r>
      <w:r>
        <w:rPr>
          <w:spacing w:val="-3"/>
          <w:sz w:val="18"/>
        </w:rPr>
        <w:t xml:space="preserve"> </w:t>
      </w:r>
      <w:r>
        <w:rPr>
          <w:sz w:val="18"/>
        </w:rPr>
        <w:t>of</w:t>
      </w:r>
      <w:r>
        <w:rPr>
          <w:spacing w:val="-5"/>
          <w:sz w:val="18"/>
        </w:rPr>
        <w:t xml:space="preserve"> </w:t>
      </w:r>
      <w:r>
        <w:rPr>
          <w:sz w:val="18"/>
        </w:rPr>
        <w:t>Financial</w:t>
      </w:r>
      <w:r>
        <w:rPr>
          <w:spacing w:val="-2"/>
          <w:sz w:val="18"/>
        </w:rPr>
        <w:t xml:space="preserve"> </w:t>
      </w:r>
      <w:r>
        <w:rPr>
          <w:sz w:val="18"/>
        </w:rPr>
        <w:t>Position and associated notes.</w:t>
      </w:r>
    </w:p>
    <w:p w14:paraId="4661B1C7" w14:textId="77777777" w:rsidR="00AC6F3C" w:rsidRDefault="00AC6F3C">
      <w:pPr>
        <w:pStyle w:val="BodyText"/>
        <w:rPr>
          <w:sz w:val="21"/>
        </w:rPr>
      </w:pPr>
    </w:p>
    <w:p w14:paraId="2CEDF0BE" w14:textId="77777777" w:rsidR="00AC6F3C" w:rsidRDefault="00570E88">
      <w:pPr>
        <w:ind w:left="979" w:right="632"/>
        <w:rPr>
          <w:sz w:val="18"/>
        </w:rPr>
      </w:pPr>
      <w:r>
        <w:rPr>
          <w:sz w:val="18"/>
        </w:rPr>
        <w:t>Assets are classified</w:t>
      </w:r>
      <w:r>
        <w:rPr>
          <w:spacing w:val="-3"/>
          <w:sz w:val="18"/>
        </w:rPr>
        <w:t xml:space="preserve"> </w:t>
      </w:r>
      <w:r>
        <w:rPr>
          <w:sz w:val="18"/>
        </w:rPr>
        <w:t>as</w:t>
      </w:r>
      <w:r>
        <w:rPr>
          <w:spacing w:val="-2"/>
          <w:sz w:val="18"/>
        </w:rPr>
        <w:t xml:space="preserve"> </w:t>
      </w:r>
      <w:r>
        <w:rPr>
          <w:sz w:val="18"/>
        </w:rPr>
        <w:t>‘current’ where their</w:t>
      </w:r>
      <w:r>
        <w:rPr>
          <w:spacing w:val="-3"/>
          <w:sz w:val="18"/>
        </w:rPr>
        <w:t xml:space="preserve"> </w:t>
      </w:r>
      <w:r>
        <w:rPr>
          <w:sz w:val="18"/>
        </w:rPr>
        <w:t>carrying</w:t>
      </w:r>
      <w:r>
        <w:rPr>
          <w:spacing w:val="-3"/>
          <w:sz w:val="18"/>
        </w:rPr>
        <w:t xml:space="preserve"> </w:t>
      </w:r>
      <w:r>
        <w:rPr>
          <w:sz w:val="18"/>
        </w:rPr>
        <w:t>amount</w:t>
      </w:r>
      <w:r>
        <w:rPr>
          <w:spacing w:val="-1"/>
          <w:sz w:val="18"/>
        </w:rPr>
        <w:t xml:space="preserve"> </w:t>
      </w:r>
      <w:r>
        <w:rPr>
          <w:sz w:val="18"/>
        </w:rPr>
        <w:t>is</w:t>
      </w:r>
      <w:r>
        <w:rPr>
          <w:spacing w:val="-2"/>
          <w:sz w:val="18"/>
        </w:rPr>
        <w:t xml:space="preserve"> </w:t>
      </w:r>
      <w:r>
        <w:rPr>
          <w:sz w:val="18"/>
        </w:rPr>
        <w:t xml:space="preserve">expected to be </w:t>
      </w:r>
      <w:proofErr w:type="spellStart"/>
      <w:r>
        <w:rPr>
          <w:sz w:val="18"/>
        </w:rPr>
        <w:t>realised</w:t>
      </w:r>
      <w:proofErr w:type="spellEnd"/>
      <w:r>
        <w:rPr>
          <w:sz w:val="18"/>
        </w:rPr>
        <w:t xml:space="preserve"> within twelve</w:t>
      </w:r>
      <w:r>
        <w:rPr>
          <w:spacing w:val="-3"/>
          <w:sz w:val="18"/>
        </w:rPr>
        <w:t xml:space="preserve"> </w:t>
      </w:r>
      <w:r>
        <w:rPr>
          <w:sz w:val="18"/>
        </w:rPr>
        <w:t>(12) months</w:t>
      </w:r>
      <w:r>
        <w:rPr>
          <w:spacing w:val="-2"/>
          <w:sz w:val="18"/>
        </w:rPr>
        <w:t xml:space="preserve"> </w:t>
      </w:r>
      <w:r>
        <w:rPr>
          <w:sz w:val="18"/>
        </w:rPr>
        <w:t>after</w:t>
      </w:r>
      <w:r>
        <w:rPr>
          <w:spacing w:val="-2"/>
          <w:sz w:val="18"/>
        </w:rPr>
        <w:t xml:space="preserve"> </w:t>
      </w:r>
      <w:r>
        <w:rPr>
          <w:sz w:val="18"/>
        </w:rPr>
        <w:t>the</w:t>
      </w:r>
      <w:r>
        <w:rPr>
          <w:spacing w:val="-2"/>
          <w:sz w:val="18"/>
        </w:rPr>
        <w:t xml:space="preserve"> </w:t>
      </w:r>
      <w:r>
        <w:rPr>
          <w:sz w:val="18"/>
        </w:rPr>
        <w:t>reporting</w:t>
      </w:r>
      <w:r>
        <w:rPr>
          <w:spacing w:val="-4"/>
          <w:sz w:val="18"/>
        </w:rPr>
        <w:t xml:space="preserve"> </w:t>
      </w:r>
      <w:r>
        <w:rPr>
          <w:sz w:val="18"/>
        </w:rPr>
        <w:t>date.</w:t>
      </w:r>
      <w:r>
        <w:rPr>
          <w:spacing w:val="-2"/>
          <w:sz w:val="18"/>
        </w:rPr>
        <w:t xml:space="preserve"> </w:t>
      </w:r>
      <w:r>
        <w:rPr>
          <w:sz w:val="18"/>
        </w:rPr>
        <w:t>Liabilities</w:t>
      </w:r>
      <w:r>
        <w:rPr>
          <w:spacing w:val="-3"/>
          <w:sz w:val="18"/>
        </w:rPr>
        <w:t xml:space="preserve"> </w:t>
      </w:r>
      <w:r>
        <w:rPr>
          <w:sz w:val="18"/>
        </w:rPr>
        <w:t>are</w:t>
      </w:r>
      <w:r>
        <w:rPr>
          <w:spacing w:val="-2"/>
          <w:sz w:val="18"/>
        </w:rPr>
        <w:t xml:space="preserve"> </w:t>
      </w:r>
      <w:r>
        <w:rPr>
          <w:sz w:val="18"/>
        </w:rPr>
        <w:t>classified</w:t>
      </w:r>
      <w:r>
        <w:rPr>
          <w:spacing w:val="-2"/>
          <w:sz w:val="18"/>
        </w:rPr>
        <w:t xml:space="preserve"> </w:t>
      </w:r>
      <w:r>
        <w:rPr>
          <w:sz w:val="18"/>
        </w:rPr>
        <w:t>as</w:t>
      </w:r>
      <w:r>
        <w:rPr>
          <w:spacing w:val="-3"/>
          <w:sz w:val="18"/>
        </w:rPr>
        <w:t xml:space="preserve"> </w:t>
      </w:r>
      <w:r>
        <w:rPr>
          <w:sz w:val="18"/>
        </w:rPr>
        <w:t>‘current’</w:t>
      </w:r>
      <w:r>
        <w:rPr>
          <w:spacing w:val="-2"/>
          <w:sz w:val="18"/>
        </w:rPr>
        <w:t xml:space="preserve"> </w:t>
      </w:r>
      <w:r>
        <w:rPr>
          <w:sz w:val="18"/>
        </w:rPr>
        <w:t>when</w:t>
      </w:r>
      <w:r>
        <w:rPr>
          <w:spacing w:val="-2"/>
          <w:sz w:val="18"/>
        </w:rPr>
        <w:t xml:space="preserve"> </w:t>
      </w:r>
      <w:r>
        <w:rPr>
          <w:sz w:val="18"/>
        </w:rPr>
        <w:t>they</w:t>
      </w:r>
      <w:r>
        <w:rPr>
          <w:spacing w:val="-3"/>
          <w:sz w:val="18"/>
        </w:rPr>
        <w:t xml:space="preserve"> </w:t>
      </w:r>
      <w:r>
        <w:rPr>
          <w:sz w:val="18"/>
        </w:rPr>
        <w:t>are</w:t>
      </w:r>
      <w:r>
        <w:rPr>
          <w:spacing w:val="-2"/>
          <w:sz w:val="18"/>
        </w:rPr>
        <w:t xml:space="preserve"> </w:t>
      </w:r>
      <w:r>
        <w:rPr>
          <w:sz w:val="18"/>
        </w:rPr>
        <w:t>due</w:t>
      </w:r>
      <w:r>
        <w:rPr>
          <w:spacing w:val="-2"/>
          <w:sz w:val="18"/>
        </w:rPr>
        <w:t xml:space="preserve"> </w:t>
      </w:r>
      <w:r>
        <w:rPr>
          <w:sz w:val="18"/>
        </w:rPr>
        <w:t>to</w:t>
      </w:r>
      <w:r>
        <w:rPr>
          <w:spacing w:val="-4"/>
          <w:sz w:val="18"/>
        </w:rPr>
        <w:t xml:space="preserve"> </w:t>
      </w:r>
      <w:r>
        <w:rPr>
          <w:sz w:val="18"/>
        </w:rPr>
        <w:t>be</w:t>
      </w:r>
      <w:r>
        <w:rPr>
          <w:spacing w:val="-2"/>
          <w:sz w:val="18"/>
        </w:rPr>
        <w:t xml:space="preserve"> </w:t>
      </w:r>
      <w:r>
        <w:rPr>
          <w:sz w:val="18"/>
        </w:rPr>
        <w:t>settled</w:t>
      </w:r>
      <w:r>
        <w:rPr>
          <w:spacing w:val="-2"/>
          <w:sz w:val="18"/>
        </w:rPr>
        <w:t xml:space="preserve"> </w:t>
      </w:r>
      <w:r>
        <w:rPr>
          <w:sz w:val="18"/>
        </w:rPr>
        <w:t>within twelve (12) months after the reporting date, or the Fund does not have an unconditional right to defer settlement to beyond twelve (12) months after the reporting date.</w:t>
      </w:r>
    </w:p>
    <w:p w14:paraId="3F396D82" w14:textId="77777777" w:rsidR="00AC6F3C" w:rsidRDefault="00AC6F3C">
      <w:pPr>
        <w:pStyle w:val="BodyText"/>
        <w:spacing w:before="10"/>
      </w:pPr>
    </w:p>
    <w:p w14:paraId="192AEED1" w14:textId="77777777" w:rsidR="00AC6F3C" w:rsidRDefault="00570E88">
      <w:pPr>
        <w:ind w:left="979"/>
        <w:rPr>
          <w:sz w:val="18"/>
        </w:rPr>
      </w:pPr>
      <w:r>
        <w:rPr>
          <w:sz w:val="18"/>
        </w:rPr>
        <w:t>All</w:t>
      </w:r>
      <w:r>
        <w:rPr>
          <w:spacing w:val="-2"/>
          <w:sz w:val="18"/>
        </w:rPr>
        <w:t xml:space="preserve"> </w:t>
      </w:r>
      <w:r>
        <w:rPr>
          <w:sz w:val="18"/>
        </w:rPr>
        <w:t>other</w:t>
      </w:r>
      <w:r>
        <w:rPr>
          <w:spacing w:val="-2"/>
          <w:sz w:val="18"/>
        </w:rPr>
        <w:t xml:space="preserve"> </w:t>
      </w:r>
      <w:r>
        <w:rPr>
          <w:sz w:val="18"/>
        </w:rPr>
        <w:t>assets</w:t>
      </w:r>
      <w:r>
        <w:rPr>
          <w:spacing w:val="-4"/>
          <w:sz w:val="18"/>
        </w:rPr>
        <w:t xml:space="preserve"> </w:t>
      </w:r>
      <w:r>
        <w:rPr>
          <w:sz w:val="18"/>
        </w:rPr>
        <w:t>and</w:t>
      </w:r>
      <w:r>
        <w:rPr>
          <w:spacing w:val="-4"/>
          <w:sz w:val="18"/>
        </w:rPr>
        <w:t xml:space="preserve"> </w:t>
      </w:r>
      <w:r>
        <w:rPr>
          <w:sz w:val="18"/>
        </w:rPr>
        <w:t>liabilities</w:t>
      </w:r>
      <w:r>
        <w:rPr>
          <w:spacing w:val="-3"/>
          <w:sz w:val="18"/>
        </w:rPr>
        <w:t xml:space="preserve"> </w:t>
      </w:r>
      <w:r>
        <w:rPr>
          <w:sz w:val="18"/>
        </w:rPr>
        <w:t>are</w:t>
      </w:r>
      <w:r>
        <w:rPr>
          <w:spacing w:val="-2"/>
          <w:sz w:val="18"/>
        </w:rPr>
        <w:t xml:space="preserve"> </w:t>
      </w:r>
      <w:r>
        <w:rPr>
          <w:sz w:val="18"/>
        </w:rPr>
        <w:t>classified</w:t>
      </w:r>
      <w:r>
        <w:rPr>
          <w:spacing w:val="-4"/>
          <w:sz w:val="18"/>
        </w:rPr>
        <w:t xml:space="preserve"> </w:t>
      </w:r>
      <w:r>
        <w:rPr>
          <w:sz w:val="18"/>
        </w:rPr>
        <w:t>as</w:t>
      </w:r>
      <w:r>
        <w:rPr>
          <w:spacing w:val="-3"/>
          <w:sz w:val="18"/>
        </w:rPr>
        <w:t xml:space="preserve"> </w:t>
      </w:r>
      <w:r>
        <w:rPr>
          <w:sz w:val="18"/>
        </w:rPr>
        <w:t>‘non-</w:t>
      </w:r>
      <w:r>
        <w:rPr>
          <w:spacing w:val="-2"/>
          <w:sz w:val="18"/>
        </w:rPr>
        <w:t>current’.</w:t>
      </w:r>
    </w:p>
    <w:p w14:paraId="1F18928F" w14:textId="77777777" w:rsidR="00AC6F3C" w:rsidRDefault="00AC6F3C">
      <w:pPr>
        <w:pStyle w:val="BodyText"/>
        <w:spacing w:before="10"/>
      </w:pPr>
    </w:p>
    <w:p w14:paraId="0CBB2822" w14:textId="77777777" w:rsidR="00AC6F3C" w:rsidRDefault="00570E88">
      <w:pPr>
        <w:pStyle w:val="Heading6"/>
        <w:tabs>
          <w:tab w:val="left" w:pos="1831"/>
        </w:tabs>
        <w:spacing w:before="1"/>
        <w:ind w:left="979"/>
      </w:pPr>
      <w:r>
        <w:rPr>
          <w:spacing w:val="-2"/>
        </w:rPr>
        <w:t>A1-</w:t>
      </w:r>
      <w:r>
        <w:rPr>
          <w:spacing w:val="-10"/>
        </w:rPr>
        <w:t>4</w:t>
      </w:r>
      <w:r>
        <w:tab/>
        <w:t>BASIS OF</w:t>
      </w:r>
      <w:r>
        <w:rPr>
          <w:spacing w:val="-1"/>
        </w:rPr>
        <w:t xml:space="preserve"> </w:t>
      </w:r>
      <w:r>
        <w:rPr>
          <w:spacing w:val="-2"/>
        </w:rPr>
        <w:t>MEASUREMENT</w:t>
      </w:r>
    </w:p>
    <w:p w14:paraId="02FF4BF7" w14:textId="77777777" w:rsidR="00AC6F3C" w:rsidRDefault="00AC6F3C">
      <w:pPr>
        <w:pStyle w:val="BodyText"/>
        <w:spacing w:before="8"/>
        <w:rPr>
          <w:b/>
        </w:rPr>
      </w:pPr>
    </w:p>
    <w:p w14:paraId="1711EB45" w14:textId="77777777" w:rsidR="00AC6F3C" w:rsidRDefault="00570E88">
      <w:pPr>
        <w:ind w:left="979"/>
        <w:rPr>
          <w:sz w:val="18"/>
        </w:rPr>
      </w:pPr>
      <w:r>
        <w:rPr>
          <w:sz w:val="18"/>
        </w:rPr>
        <w:t>Historical</w:t>
      </w:r>
      <w:r>
        <w:rPr>
          <w:spacing w:val="-3"/>
          <w:sz w:val="18"/>
        </w:rPr>
        <w:t xml:space="preserve"> </w:t>
      </w:r>
      <w:r>
        <w:rPr>
          <w:sz w:val="18"/>
        </w:rPr>
        <w:t>cost</w:t>
      </w:r>
      <w:r>
        <w:rPr>
          <w:spacing w:val="-4"/>
          <w:sz w:val="18"/>
        </w:rPr>
        <w:t xml:space="preserve"> </w:t>
      </w:r>
      <w:r>
        <w:rPr>
          <w:sz w:val="18"/>
        </w:rPr>
        <w:t>is</w:t>
      </w:r>
      <w:r>
        <w:rPr>
          <w:spacing w:val="-3"/>
          <w:sz w:val="18"/>
        </w:rPr>
        <w:t xml:space="preserve"> </w:t>
      </w:r>
      <w:r>
        <w:rPr>
          <w:sz w:val="18"/>
        </w:rPr>
        <w:t>used</w:t>
      </w:r>
      <w:r>
        <w:rPr>
          <w:spacing w:val="-1"/>
          <w:sz w:val="18"/>
        </w:rPr>
        <w:t xml:space="preserve"> </w:t>
      </w:r>
      <w:r>
        <w:rPr>
          <w:sz w:val="18"/>
        </w:rPr>
        <w:t>as</w:t>
      </w:r>
      <w:r>
        <w:rPr>
          <w:spacing w:val="-1"/>
          <w:sz w:val="18"/>
        </w:rPr>
        <w:t xml:space="preserve"> </w:t>
      </w:r>
      <w:r>
        <w:rPr>
          <w:sz w:val="18"/>
        </w:rPr>
        <w:t>the</w:t>
      </w:r>
      <w:r>
        <w:rPr>
          <w:spacing w:val="-4"/>
          <w:sz w:val="18"/>
        </w:rPr>
        <w:t xml:space="preserve"> </w:t>
      </w:r>
      <w:r>
        <w:rPr>
          <w:sz w:val="18"/>
        </w:rPr>
        <w:t>measurement</w:t>
      </w:r>
      <w:r>
        <w:rPr>
          <w:spacing w:val="-4"/>
          <w:sz w:val="18"/>
        </w:rPr>
        <w:t xml:space="preserve"> </w:t>
      </w:r>
      <w:r>
        <w:rPr>
          <w:sz w:val="18"/>
        </w:rPr>
        <w:t>basis</w:t>
      </w:r>
      <w:r>
        <w:rPr>
          <w:spacing w:val="-3"/>
          <w:sz w:val="18"/>
        </w:rPr>
        <w:t xml:space="preserve"> </w:t>
      </w:r>
      <w:r>
        <w:rPr>
          <w:sz w:val="18"/>
        </w:rPr>
        <w:t>in</w:t>
      </w:r>
      <w:r>
        <w:rPr>
          <w:spacing w:val="-4"/>
          <w:sz w:val="18"/>
        </w:rPr>
        <w:t xml:space="preserve"> </w:t>
      </w:r>
      <w:r>
        <w:rPr>
          <w:sz w:val="18"/>
        </w:rPr>
        <w:t>this</w:t>
      </w:r>
      <w:r>
        <w:rPr>
          <w:spacing w:val="-1"/>
          <w:sz w:val="18"/>
        </w:rPr>
        <w:t xml:space="preserve"> </w:t>
      </w:r>
      <w:r>
        <w:rPr>
          <w:sz w:val="18"/>
        </w:rPr>
        <w:t>financial</w:t>
      </w:r>
      <w:r>
        <w:rPr>
          <w:spacing w:val="-1"/>
          <w:sz w:val="18"/>
        </w:rPr>
        <w:t xml:space="preserve"> </w:t>
      </w:r>
      <w:r>
        <w:rPr>
          <w:sz w:val="18"/>
        </w:rPr>
        <w:t>report</w:t>
      </w:r>
      <w:r>
        <w:rPr>
          <w:spacing w:val="-2"/>
          <w:sz w:val="18"/>
        </w:rPr>
        <w:t xml:space="preserve"> </w:t>
      </w:r>
      <w:r>
        <w:rPr>
          <w:sz w:val="18"/>
        </w:rPr>
        <w:t>except</w:t>
      </w:r>
      <w:r>
        <w:rPr>
          <w:spacing w:val="-2"/>
          <w:sz w:val="18"/>
        </w:rPr>
        <w:t xml:space="preserve"> </w:t>
      </w:r>
      <w:r>
        <w:rPr>
          <w:sz w:val="18"/>
        </w:rPr>
        <w:t>where</w:t>
      </w:r>
      <w:r>
        <w:rPr>
          <w:spacing w:val="-4"/>
          <w:sz w:val="18"/>
        </w:rPr>
        <w:t xml:space="preserve"> </w:t>
      </w:r>
      <w:r>
        <w:rPr>
          <w:sz w:val="18"/>
        </w:rPr>
        <w:t>stated</w:t>
      </w:r>
      <w:r>
        <w:rPr>
          <w:spacing w:val="-1"/>
          <w:sz w:val="18"/>
        </w:rPr>
        <w:t xml:space="preserve"> </w:t>
      </w:r>
      <w:r>
        <w:rPr>
          <w:spacing w:val="-2"/>
          <w:sz w:val="18"/>
        </w:rPr>
        <w:t>otherwise.</w:t>
      </w:r>
    </w:p>
    <w:p w14:paraId="257B73D0" w14:textId="77777777" w:rsidR="00AC6F3C" w:rsidRDefault="00AC6F3C">
      <w:pPr>
        <w:pStyle w:val="BodyText"/>
        <w:spacing w:before="10"/>
      </w:pPr>
    </w:p>
    <w:p w14:paraId="0C16B075" w14:textId="77777777" w:rsidR="00AC6F3C" w:rsidRDefault="00570E88">
      <w:pPr>
        <w:ind w:left="979"/>
        <w:rPr>
          <w:b/>
          <w:sz w:val="20"/>
        </w:rPr>
      </w:pPr>
      <w:r>
        <w:rPr>
          <w:b/>
          <w:sz w:val="20"/>
        </w:rPr>
        <w:t>Historical</w:t>
      </w:r>
      <w:r>
        <w:rPr>
          <w:b/>
          <w:spacing w:val="-14"/>
          <w:sz w:val="20"/>
        </w:rPr>
        <w:t xml:space="preserve"> </w:t>
      </w:r>
      <w:r>
        <w:rPr>
          <w:b/>
          <w:spacing w:val="-4"/>
          <w:sz w:val="20"/>
        </w:rPr>
        <w:t>cost</w:t>
      </w:r>
    </w:p>
    <w:p w14:paraId="5D7C2D54" w14:textId="77777777" w:rsidR="00AC6F3C" w:rsidRDefault="00AC6F3C">
      <w:pPr>
        <w:pStyle w:val="BodyText"/>
        <w:spacing w:before="10"/>
        <w:rPr>
          <w:b/>
        </w:rPr>
      </w:pPr>
    </w:p>
    <w:p w14:paraId="7FE3CB86" w14:textId="77777777" w:rsidR="00AC6F3C" w:rsidRDefault="00570E88">
      <w:pPr>
        <w:ind w:left="979" w:right="539"/>
        <w:rPr>
          <w:sz w:val="18"/>
        </w:rPr>
      </w:pPr>
      <w:r>
        <w:rPr>
          <w:sz w:val="18"/>
        </w:rPr>
        <w:t>Under historical cost, assets are recorded at the amount of cash or cash equivalents paid or the fair value of the consideration given to</w:t>
      </w:r>
      <w:r>
        <w:rPr>
          <w:spacing w:val="-3"/>
          <w:sz w:val="18"/>
        </w:rPr>
        <w:t xml:space="preserve"> </w:t>
      </w:r>
      <w:r>
        <w:rPr>
          <w:sz w:val="18"/>
        </w:rPr>
        <w:t>acquire assets</w:t>
      </w:r>
      <w:r>
        <w:rPr>
          <w:spacing w:val="-2"/>
          <w:sz w:val="18"/>
        </w:rPr>
        <w:t xml:space="preserve"> </w:t>
      </w:r>
      <w:r>
        <w:rPr>
          <w:sz w:val="18"/>
        </w:rPr>
        <w:t>at</w:t>
      </w:r>
      <w:r>
        <w:rPr>
          <w:spacing w:val="-1"/>
          <w:sz w:val="18"/>
        </w:rPr>
        <w:t xml:space="preserve"> </w:t>
      </w:r>
      <w:r>
        <w:rPr>
          <w:sz w:val="18"/>
        </w:rPr>
        <w:t>the time</w:t>
      </w:r>
      <w:r>
        <w:rPr>
          <w:spacing w:val="-3"/>
          <w:sz w:val="18"/>
        </w:rPr>
        <w:t xml:space="preserve"> </w:t>
      </w:r>
      <w:r>
        <w:rPr>
          <w:sz w:val="18"/>
        </w:rPr>
        <w:t>of</w:t>
      </w:r>
      <w:r>
        <w:rPr>
          <w:spacing w:val="-1"/>
          <w:sz w:val="18"/>
        </w:rPr>
        <w:t xml:space="preserve"> </w:t>
      </w:r>
      <w:r>
        <w:rPr>
          <w:sz w:val="18"/>
        </w:rPr>
        <w:t>their</w:t>
      </w:r>
      <w:r>
        <w:rPr>
          <w:spacing w:val="-3"/>
          <w:sz w:val="18"/>
        </w:rPr>
        <w:t xml:space="preserve"> </w:t>
      </w:r>
      <w:r>
        <w:rPr>
          <w:sz w:val="18"/>
        </w:rPr>
        <w:t>acquisition.</w:t>
      </w:r>
      <w:r>
        <w:rPr>
          <w:spacing w:val="-1"/>
          <w:sz w:val="18"/>
        </w:rPr>
        <w:t xml:space="preserve"> </w:t>
      </w:r>
      <w:r>
        <w:rPr>
          <w:sz w:val="18"/>
        </w:rPr>
        <w:t>Liabilities</w:t>
      </w:r>
      <w:r>
        <w:rPr>
          <w:spacing w:val="-2"/>
          <w:sz w:val="18"/>
        </w:rPr>
        <w:t xml:space="preserve"> </w:t>
      </w:r>
      <w:r>
        <w:rPr>
          <w:sz w:val="18"/>
        </w:rPr>
        <w:t>are recorded at</w:t>
      </w:r>
      <w:r>
        <w:rPr>
          <w:spacing w:val="-3"/>
          <w:sz w:val="18"/>
        </w:rPr>
        <w:t xml:space="preserve"> </w:t>
      </w:r>
      <w:r>
        <w:rPr>
          <w:sz w:val="18"/>
        </w:rPr>
        <w:t>the</w:t>
      </w:r>
      <w:r>
        <w:rPr>
          <w:spacing w:val="-3"/>
          <w:sz w:val="18"/>
        </w:rPr>
        <w:t xml:space="preserve"> </w:t>
      </w:r>
      <w:r>
        <w:rPr>
          <w:sz w:val="18"/>
        </w:rPr>
        <w:t>amount of</w:t>
      </w:r>
      <w:r>
        <w:rPr>
          <w:spacing w:val="-1"/>
          <w:sz w:val="18"/>
        </w:rPr>
        <w:t xml:space="preserve"> </w:t>
      </w:r>
      <w:r>
        <w:rPr>
          <w:sz w:val="18"/>
        </w:rPr>
        <w:t>proceeds</w:t>
      </w:r>
      <w:r>
        <w:rPr>
          <w:spacing w:val="-1"/>
          <w:sz w:val="18"/>
        </w:rPr>
        <w:t xml:space="preserve"> </w:t>
      </w:r>
      <w:r>
        <w:rPr>
          <w:sz w:val="18"/>
        </w:rPr>
        <w:t>received</w:t>
      </w:r>
      <w:r>
        <w:rPr>
          <w:spacing w:val="-1"/>
          <w:sz w:val="18"/>
        </w:rPr>
        <w:t xml:space="preserve"> </w:t>
      </w:r>
      <w:r>
        <w:rPr>
          <w:sz w:val="18"/>
        </w:rPr>
        <w:t>in</w:t>
      </w:r>
      <w:r>
        <w:rPr>
          <w:spacing w:val="-3"/>
          <w:sz w:val="18"/>
        </w:rPr>
        <w:t xml:space="preserve"> </w:t>
      </w:r>
      <w:r>
        <w:rPr>
          <w:sz w:val="18"/>
        </w:rPr>
        <w:t>exchange</w:t>
      </w:r>
      <w:r>
        <w:rPr>
          <w:spacing w:val="-1"/>
          <w:sz w:val="18"/>
        </w:rPr>
        <w:t xml:space="preserve"> </w:t>
      </w:r>
      <w:r>
        <w:rPr>
          <w:sz w:val="18"/>
        </w:rPr>
        <w:t>for</w:t>
      </w:r>
      <w:r>
        <w:rPr>
          <w:spacing w:val="-3"/>
          <w:sz w:val="18"/>
        </w:rPr>
        <w:t xml:space="preserve"> </w:t>
      </w:r>
      <w:r>
        <w:rPr>
          <w:sz w:val="18"/>
        </w:rPr>
        <w:t>the</w:t>
      </w:r>
      <w:r>
        <w:rPr>
          <w:spacing w:val="-3"/>
          <w:sz w:val="18"/>
        </w:rPr>
        <w:t xml:space="preserve"> </w:t>
      </w:r>
      <w:r>
        <w:rPr>
          <w:sz w:val="18"/>
        </w:rPr>
        <w:t>obligation</w:t>
      </w:r>
      <w:r>
        <w:rPr>
          <w:spacing w:val="-3"/>
          <w:sz w:val="18"/>
        </w:rPr>
        <w:t xml:space="preserve"> </w:t>
      </w:r>
      <w:r>
        <w:rPr>
          <w:sz w:val="18"/>
        </w:rPr>
        <w:t>or</w:t>
      </w:r>
      <w:r>
        <w:rPr>
          <w:spacing w:val="-1"/>
          <w:sz w:val="18"/>
        </w:rPr>
        <w:t xml:space="preserve"> </w:t>
      </w:r>
      <w:r>
        <w:rPr>
          <w:sz w:val="18"/>
        </w:rPr>
        <w:t>at</w:t>
      </w:r>
      <w:r>
        <w:rPr>
          <w:spacing w:val="-3"/>
          <w:sz w:val="18"/>
        </w:rPr>
        <w:t xml:space="preserve"> </w:t>
      </w:r>
      <w:r>
        <w:rPr>
          <w:sz w:val="18"/>
        </w:rPr>
        <w:t>the</w:t>
      </w:r>
      <w:r>
        <w:rPr>
          <w:spacing w:val="-5"/>
          <w:sz w:val="18"/>
        </w:rPr>
        <w:t xml:space="preserve"> </w:t>
      </w:r>
      <w:r>
        <w:rPr>
          <w:sz w:val="18"/>
        </w:rPr>
        <w:t>amounts</w:t>
      </w:r>
      <w:r>
        <w:rPr>
          <w:spacing w:val="-2"/>
          <w:sz w:val="18"/>
        </w:rPr>
        <w:t xml:space="preserve"> </w:t>
      </w:r>
      <w:r>
        <w:rPr>
          <w:sz w:val="18"/>
        </w:rPr>
        <w:t>of</w:t>
      </w:r>
      <w:r>
        <w:rPr>
          <w:spacing w:val="-3"/>
          <w:sz w:val="18"/>
        </w:rPr>
        <w:t xml:space="preserve"> </w:t>
      </w:r>
      <w:r>
        <w:rPr>
          <w:sz w:val="18"/>
        </w:rPr>
        <w:t>cash</w:t>
      </w:r>
      <w:r>
        <w:rPr>
          <w:spacing w:val="-1"/>
          <w:sz w:val="18"/>
        </w:rPr>
        <w:t xml:space="preserve"> </w:t>
      </w:r>
      <w:r>
        <w:rPr>
          <w:sz w:val="18"/>
        </w:rPr>
        <w:t>or</w:t>
      </w:r>
      <w:r>
        <w:rPr>
          <w:spacing w:val="-3"/>
          <w:sz w:val="18"/>
        </w:rPr>
        <w:t xml:space="preserve"> </w:t>
      </w:r>
      <w:r>
        <w:rPr>
          <w:sz w:val="18"/>
        </w:rPr>
        <w:t>cash</w:t>
      </w:r>
      <w:r>
        <w:rPr>
          <w:spacing w:val="-1"/>
          <w:sz w:val="18"/>
        </w:rPr>
        <w:t xml:space="preserve"> </w:t>
      </w:r>
      <w:r>
        <w:rPr>
          <w:sz w:val="18"/>
        </w:rPr>
        <w:t>equivalents</w:t>
      </w:r>
      <w:r>
        <w:rPr>
          <w:spacing w:val="-1"/>
          <w:sz w:val="18"/>
        </w:rPr>
        <w:t xml:space="preserve"> </w:t>
      </w:r>
      <w:r>
        <w:rPr>
          <w:sz w:val="18"/>
        </w:rPr>
        <w:t>expected</w:t>
      </w:r>
      <w:r>
        <w:rPr>
          <w:spacing w:val="-1"/>
          <w:sz w:val="18"/>
        </w:rPr>
        <w:t xml:space="preserve"> </w:t>
      </w:r>
      <w:r>
        <w:rPr>
          <w:sz w:val="18"/>
        </w:rPr>
        <w:t>to be paid to satisfy the liability in the normal course of business.</w:t>
      </w:r>
    </w:p>
    <w:p w14:paraId="6103D5FA" w14:textId="77777777" w:rsidR="00AC6F3C" w:rsidRDefault="00AC6F3C">
      <w:pPr>
        <w:pStyle w:val="BodyText"/>
        <w:spacing w:before="10"/>
      </w:pPr>
    </w:p>
    <w:p w14:paraId="6B34D33A" w14:textId="77777777" w:rsidR="00AC6F3C" w:rsidRDefault="00570E88">
      <w:pPr>
        <w:ind w:left="979"/>
        <w:rPr>
          <w:b/>
          <w:sz w:val="20"/>
        </w:rPr>
      </w:pPr>
      <w:r>
        <w:rPr>
          <w:b/>
          <w:sz w:val="20"/>
        </w:rPr>
        <w:t>Fair</w:t>
      </w:r>
      <w:r>
        <w:rPr>
          <w:b/>
          <w:spacing w:val="-8"/>
          <w:sz w:val="20"/>
        </w:rPr>
        <w:t xml:space="preserve"> </w:t>
      </w:r>
      <w:r>
        <w:rPr>
          <w:b/>
          <w:spacing w:val="-4"/>
          <w:sz w:val="20"/>
        </w:rPr>
        <w:t>value</w:t>
      </w:r>
    </w:p>
    <w:p w14:paraId="64983820" w14:textId="77777777" w:rsidR="00AC6F3C" w:rsidRDefault="00AC6F3C">
      <w:pPr>
        <w:pStyle w:val="BodyText"/>
        <w:spacing w:before="10"/>
        <w:rPr>
          <w:b/>
        </w:rPr>
      </w:pPr>
    </w:p>
    <w:p w14:paraId="3EAE1EBC" w14:textId="77777777" w:rsidR="00AC6F3C" w:rsidRDefault="00570E88">
      <w:pPr>
        <w:ind w:left="979" w:right="468"/>
        <w:rPr>
          <w:sz w:val="18"/>
        </w:rPr>
      </w:pPr>
      <w:r>
        <w:rPr>
          <w:sz w:val="18"/>
        </w:rPr>
        <w:t>Fair value is the price that would be received to sell an asset or paid to transfer a liability in an orderly transaction</w:t>
      </w:r>
      <w:r>
        <w:rPr>
          <w:spacing w:val="-4"/>
          <w:sz w:val="18"/>
        </w:rPr>
        <w:t xml:space="preserve"> </w:t>
      </w:r>
      <w:r>
        <w:rPr>
          <w:sz w:val="18"/>
        </w:rPr>
        <w:t>between</w:t>
      </w:r>
      <w:r>
        <w:rPr>
          <w:spacing w:val="-1"/>
          <w:sz w:val="18"/>
        </w:rPr>
        <w:t xml:space="preserve"> </w:t>
      </w:r>
      <w:r>
        <w:rPr>
          <w:sz w:val="18"/>
        </w:rPr>
        <w:t>market</w:t>
      </w:r>
      <w:r>
        <w:rPr>
          <w:spacing w:val="-2"/>
          <w:sz w:val="18"/>
        </w:rPr>
        <w:t xml:space="preserve"> </w:t>
      </w:r>
      <w:r>
        <w:rPr>
          <w:sz w:val="18"/>
        </w:rPr>
        <w:t>participants</w:t>
      </w:r>
      <w:r>
        <w:rPr>
          <w:spacing w:val="-3"/>
          <w:sz w:val="18"/>
        </w:rPr>
        <w:t xml:space="preserve"> </w:t>
      </w:r>
      <w:r>
        <w:rPr>
          <w:sz w:val="18"/>
        </w:rPr>
        <w:t>at</w:t>
      </w:r>
      <w:r>
        <w:rPr>
          <w:spacing w:val="-2"/>
          <w:sz w:val="18"/>
        </w:rPr>
        <w:t xml:space="preserve"> </w:t>
      </w:r>
      <w:r>
        <w:rPr>
          <w:sz w:val="18"/>
        </w:rPr>
        <w:t>the</w:t>
      </w:r>
      <w:r>
        <w:rPr>
          <w:spacing w:val="-1"/>
          <w:sz w:val="18"/>
        </w:rPr>
        <w:t xml:space="preserve"> </w:t>
      </w:r>
      <w:r>
        <w:rPr>
          <w:sz w:val="18"/>
        </w:rPr>
        <w:t>measurement</w:t>
      </w:r>
      <w:r>
        <w:rPr>
          <w:spacing w:val="-2"/>
          <w:sz w:val="18"/>
        </w:rPr>
        <w:t xml:space="preserve"> </w:t>
      </w:r>
      <w:r>
        <w:rPr>
          <w:sz w:val="18"/>
        </w:rPr>
        <w:t>date</w:t>
      </w:r>
      <w:r>
        <w:rPr>
          <w:spacing w:val="-4"/>
          <w:sz w:val="18"/>
        </w:rPr>
        <w:t xml:space="preserve"> </w:t>
      </w:r>
      <w:r>
        <w:rPr>
          <w:sz w:val="18"/>
        </w:rPr>
        <w:t>under</w:t>
      </w:r>
      <w:r>
        <w:rPr>
          <w:spacing w:val="-2"/>
          <w:sz w:val="18"/>
        </w:rPr>
        <w:t xml:space="preserve"> </w:t>
      </w:r>
      <w:r>
        <w:rPr>
          <w:sz w:val="18"/>
        </w:rPr>
        <w:t>current</w:t>
      </w:r>
      <w:r>
        <w:rPr>
          <w:spacing w:val="-4"/>
          <w:sz w:val="18"/>
        </w:rPr>
        <w:t xml:space="preserve"> </w:t>
      </w:r>
      <w:r>
        <w:rPr>
          <w:sz w:val="18"/>
        </w:rPr>
        <w:t>market</w:t>
      </w:r>
      <w:r>
        <w:rPr>
          <w:spacing w:val="-4"/>
          <w:sz w:val="18"/>
        </w:rPr>
        <w:t xml:space="preserve"> </w:t>
      </w:r>
      <w:r>
        <w:rPr>
          <w:sz w:val="18"/>
        </w:rPr>
        <w:t>conditions</w:t>
      </w:r>
      <w:r>
        <w:rPr>
          <w:spacing w:val="-3"/>
          <w:sz w:val="18"/>
        </w:rPr>
        <w:t xml:space="preserve"> </w:t>
      </w:r>
      <w:r>
        <w:rPr>
          <w:sz w:val="18"/>
        </w:rPr>
        <w:t>(i.e.</w:t>
      </w:r>
      <w:r>
        <w:rPr>
          <w:spacing w:val="-2"/>
          <w:sz w:val="18"/>
        </w:rPr>
        <w:t xml:space="preserve"> </w:t>
      </w:r>
      <w:r>
        <w:rPr>
          <w:sz w:val="18"/>
        </w:rPr>
        <w:t>an</w:t>
      </w:r>
      <w:r>
        <w:rPr>
          <w:spacing w:val="-4"/>
          <w:sz w:val="18"/>
        </w:rPr>
        <w:t xml:space="preserve"> </w:t>
      </w:r>
      <w:r>
        <w:rPr>
          <w:sz w:val="18"/>
        </w:rPr>
        <w:t>exit price) regardless of whether that price is directly derived from observable inputs or estimated using another valuation technique.</w:t>
      </w:r>
    </w:p>
    <w:p w14:paraId="38DDD67B" w14:textId="77777777" w:rsidR="00AC6F3C" w:rsidRDefault="00AC6F3C">
      <w:pPr>
        <w:rPr>
          <w:sz w:val="18"/>
        </w:rPr>
        <w:sectPr w:rsidR="00AC6F3C">
          <w:headerReference w:type="default" r:id="rId250"/>
          <w:footerReference w:type="default" r:id="rId251"/>
          <w:pgSz w:w="11910" w:h="16840"/>
          <w:pgMar w:top="1760" w:right="1160" w:bottom="520" w:left="460" w:header="1228" w:footer="336" w:gutter="0"/>
          <w:cols w:space="720"/>
        </w:sectPr>
      </w:pPr>
    </w:p>
    <w:p w14:paraId="317A11C3" w14:textId="77777777" w:rsidR="00AC6F3C" w:rsidRDefault="00AC6F3C">
      <w:pPr>
        <w:pStyle w:val="BodyText"/>
      </w:pPr>
    </w:p>
    <w:p w14:paraId="330840F4" w14:textId="77777777" w:rsidR="00AC6F3C" w:rsidRDefault="00AC6F3C">
      <w:pPr>
        <w:pStyle w:val="BodyText"/>
        <w:spacing w:before="4"/>
        <w:rPr>
          <w:sz w:val="11"/>
        </w:rPr>
      </w:pPr>
    </w:p>
    <w:p w14:paraId="5EB0A5AF"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3DCF298C" wp14:editId="4F79A624">
                <wp:extent cx="5603875" cy="6350"/>
                <wp:effectExtent l="0" t="0" r="0" b="0"/>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00" name="Graphic 900"/>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482256" id="Group 899"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">
                <v:shape id="Graphic 900"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" path="m5603329,6120l,6120,,,5603329,r,6120xe" fillcolor="black" stroked="f">
                  <v:path arrowok="t"/>
                </v:shape>
                <w10:anchorlock/>
              </v:group>
            </w:pict>
          </mc:Fallback>
        </mc:AlternateContent>
      </w:r>
    </w:p>
    <w:p w14:paraId="39D10AA2" w14:textId="77777777" w:rsidR="00AC6F3C" w:rsidRDefault="00AC6F3C">
      <w:pPr>
        <w:pStyle w:val="BodyText"/>
        <w:rPr>
          <w:sz w:val="29"/>
        </w:rPr>
      </w:pPr>
    </w:p>
    <w:p w14:paraId="2391BD73" w14:textId="77777777" w:rsidR="00AC6F3C" w:rsidRDefault="00570E88">
      <w:pPr>
        <w:tabs>
          <w:tab w:val="left" w:pos="1700"/>
        </w:tabs>
        <w:spacing w:before="91" w:line="322" w:lineRule="exact"/>
        <w:ind w:left="979"/>
        <w:rPr>
          <w:b/>
          <w:sz w:val="28"/>
        </w:rPr>
      </w:pPr>
      <w:r>
        <w:rPr>
          <w:b/>
          <w:spacing w:val="-5"/>
          <w:sz w:val="28"/>
        </w:rPr>
        <w:t>A1</w:t>
      </w:r>
      <w:r>
        <w:rPr>
          <w:b/>
          <w:sz w:val="28"/>
        </w:rPr>
        <w:tab/>
        <w:t>BASIS</w:t>
      </w:r>
      <w:r>
        <w:rPr>
          <w:b/>
          <w:spacing w:val="-20"/>
          <w:sz w:val="28"/>
        </w:rPr>
        <w:t xml:space="preserve"> </w:t>
      </w:r>
      <w:r>
        <w:rPr>
          <w:b/>
          <w:sz w:val="28"/>
        </w:rPr>
        <w:t>OF</w:t>
      </w:r>
      <w:r>
        <w:rPr>
          <w:b/>
          <w:spacing w:val="-19"/>
          <w:sz w:val="28"/>
        </w:rPr>
        <w:t xml:space="preserve"> </w:t>
      </w:r>
      <w:r>
        <w:rPr>
          <w:b/>
          <w:sz w:val="28"/>
        </w:rPr>
        <w:t>FINANCIAL</w:t>
      </w:r>
      <w:r>
        <w:rPr>
          <w:b/>
          <w:spacing w:val="-19"/>
          <w:sz w:val="28"/>
        </w:rPr>
        <w:t xml:space="preserve"> </w:t>
      </w:r>
      <w:r>
        <w:rPr>
          <w:b/>
          <w:sz w:val="28"/>
        </w:rPr>
        <w:t>STATEMENT</w:t>
      </w:r>
      <w:r>
        <w:rPr>
          <w:b/>
          <w:spacing w:val="-19"/>
          <w:sz w:val="28"/>
        </w:rPr>
        <w:t xml:space="preserve"> </w:t>
      </w:r>
      <w:r>
        <w:rPr>
          <w:b/>
          <w:spacing w:val="-2"/>
          <w:sz w:val="28"/>
        </w:rPr>
        <w:t>PREPARATION</w:t>
      </w:r>
    </w:p>
    <w:p w14:paraId="291D9B07" w14:textId="77777777" w:rsidR="00AC6F3C" w:rsidRDefault="00570E88">
      <w:pPr>
        <w:spacing w:line="322" w:lineRule="exact"/>
        <w:ind w:left="1700"/>
        <w:rPr>
          <w:b/>
          <w:sz w:val="28"/>
        </w:rPr>
      </w:pPr>
      <w:r>
        <w:rPr>
          <w:b/>
          <w:spacing w:val="-2"/>
          <w:sz w:val="28"/>
        </w:rPr>
        <w:t>(continued)</w:t>
      </w:r>
    </w:p>
    <w:p w14:paraId="6FD1227F" w14:textId="77777777" w:rsidR="00AC6F3C" w:rsidRDefault="00570E88">
      <w:pPr>
        <w:pStyle w:val="Heading7"/>
        <w:tabs>
          <w:tab w:val="left" w:pos="1831"/>
        </w:tabs>
        <w:spacing w:before="122"/>
        <w:ind w:left="979"/>
      </w:pPr>
      <w:r>
        <w:rPr>
          <w:spacing w:val="-2"/>
        </w:rPr>
        <w:t>A1-</w:t>
      </w:r>
      <w:r>
        <w:rPr>
          <w:spacing w:val="-10"/>
        </w:rPr>
        <w:t>4</w:t>
      </w:r>
      <w:r>
        <w:tab/>
        <w:t>BASIS</w:t>
      </w:r>
      <w:r>
        <w:rPr>
          <w:spacing w:val="-3"/>
        </w:rPr>
        <w:t xml:space="preserve"> </w:t>
      </w:r>
      <w:r>
        <w:t>OF</w:t>
      </w:r>
      <w:r>
        <w:rPr>
          <w:spacing w:val="-3"/>
        </w:rPr>
        <w:t xml:space="preserve"> </w:t>
      </w:r>
      <w:r>
        <w:t>MEASUREMENT</w:t>
      </w:r>
      <w:r>
        <w:rPr>
          <w:spacing w:val="-1"/>
        </w:rPr>
        <w:t xml:space="preserve"> </w:t>
      </w:r>
      <w:r>
        <w:rPr>
          <w:spacing w:val="-2"/>
        </w:rPr>
        <w:t>(continued)</w:t>
      </w:r>
    </w:p>
    <w:p w14:paraId="452562DD" w14:textId="77777777" w:rsidR="00AC6F3C" w:rsidRDefault="00AC6F3C">
      <w:pPr>
        <w:pStyle w:val="BodyText"/>
        <w:spacing w:before="8"/>
        <w:rPr>
          <w:b/>
        </w:rPr>
      </w:pPr>
    </w:p>
    <w:p w14:paraId="464E9486" w14:textId="77777777" w:rsidR="00AC6F3C" w:rsidRDefault="00570E88">
      <w:pPr>
        <w:ind w:left="979"/>
        <w:rPr>
          <w:sz w:val="18"/>
        </w:rPr>
      </w:pPr>
      <w:r>
        <w:rPr>
          <w:sz w:val="18"/>
        </w:rPr>
        <w:t>Fair</w:t>
      </w:r>
      <w:r>
        <w:rPr>
          <w:spacing w:val="-3"/>
          <w:sz w:val="18"/>
        </w:rPr>
        <w:t xml:space="preserve"> </w:t>
      </w:r>
      <w:r>
        <w:rPr>
          <w:sz w:val="18"/>
        </w:rPr>
        <w:t>value</w:t>
      </w:r>
      <w:r>
        <w:rPr>
          <w:spacing w:val="-1"/>
          <w:sz w:val="18"/>
        </w:rPr>
        <w:t xml:space="preserve"> </w:t>
      </w:r>
      <w:r>
        <w:rPr>
          <w:sz w:val="18"/>
        </w:rPr>
        <w:t>is</w:t>
      </w:r>
      <w:r>
        <w:rPr>
          <w:spacing w:val="-1"/>
          <w:sz w:val="18"/>
        </w:rPr>
        <w:t xml:space="preserve"> </w:t>
      </w:r>
      <w:r>
        <w:rPr>
          <w:sz w:val="18"/>
        </w:rPr>
        <w:t>determined</w:t>
      </w:r>
      <w:r>
        <w:rPr>
          <w:spacing w:val="-1"/>
          <w:sz w:val="18"/>
        </w:rPr>
        <w:t xml:space="preserve"> </w:t>
      </w:r>
      <w:r>
        <w:rPr>
          <w:sz w:val="18"/>
        </w:rPr>
        <w:t>using</w:t>
      </w:r>
      <w:r>
        <w:rPr>
          <w:spacing w:val="-6"/>
          <w:sz w:val="18"/>
        </w:rPr>
        <w:t xml:space="preserve"> </w:t>
      </w:r>
      <w:r>
        <w:rPr>
          <w:sz w:val="18"/>
        </w:rPr>
        <w:t>one</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following</w:t>
      </w:r>
      <w:r>
        <w:rPr>
          <w:spacing w:val="-1"/>
          <w:sz w:val="18"/>
        </w:rPr>
        <w:t xml:space="preserve"> </w:t>
      </w:r>
      <w:r>
        <w:rPr>
          <w:sz w:val="18"/>
        </w:rPr>
        <w:t>three</w:t>
      </w:r>
      <w:r>
        <w:rPr>
          <w:spacing w:val="-1"/>
          <w:sz w:val="18"/>
        </w:rPr>
        <w:t xml:space="preserve"> </w:t>
      </w:r>
      <w:r>
        <w:rPr>
          <w:spacing w:val="-2"/>
          <w:sz w:val="18"/>
        </w:rPr>
        <w:t>approaches:</w:t>
      </w:r>
    </w:p>
    <w:p w14:paraId="4FA4A328" w14:textId="77777777" w:rsidR="00AC6F3C" w:rsidRDefault="00AC6F3C">
      <w:pPr>
        <w:pStyle w:val="BodyText"/>
        <w:spacing w:before="9"/>
      </w:pPr>
    </w:p>
    <w:p w14:paraId="7A14247F" w14:textId="77777777" w:rsidR="00AC6F3C" w:rsidRDefault="00570E88">
      <w:pPr>
        <w:pStyle w:val="ListParagraph"/>
        <w:numPr>
          <w:ilvl w:val="0"/>
          <w:numId w:val="6"/>
        </w:numPr>
        <w:tabs>
          <w:tab w:val="left" w:pos="1339"/>
        </w:tabs>
        <w:spacing w:before="1"/>
        <w:ind w:right="556"/>
        <w:rPr>
          <w:sz w:val="18"/>
        </w:rPr>
      </w:pPr>
      <w:r>
        <w:rPr>
          <w:sz w:val="18"/>
        </w:rPr>
        <w:t xml:space="preserve">The </w:t>
      </w:r>
      <w:r>
        <w:rPr>
          <w:i/>
          <w:sz w:val="18"/>
        </w:rPr>
        <w:t xml:space="preserve">market approach </w:t>
      </w:r>
      <w:r>
        <w:rPr>
          <w:sz w:val="18"/>
        </w:rPr>
        <w:t>uses prices and other relevant information generated by market transactions involving</w:t>
      </w:r>
      <w:r>
        <w:rPr>
          <w:spacing w:val="-4"/>
          <w:sz w:val="18"/>
        </w:rPr>
        <w:t xml:space="preserve"> </w:t>
      </w:r>
      <w:r>
        <w:rPr>
          <w:sz w:val="18"/>
        </w:rPr>
        <w:t>identical</w:t>
      </w:r>
      <w:r>
        <w:rPr>
          <w:spacing w:val="-4"/>
          <w:sz w:val="18"/>
        </w:rPr>
        <w:t xml:space="preserve"> </w:t>
      </w:r>
      <w:r>
        <w:rPr>
          <w:sz w:val="18"/>
        </w:rPr>
        <w:t>or</w:t>
      </w:r>
      <w:r>
        <w:rPr>
          <w:spacing w:val="-2"/>
          <w:sz w:val="18"/>
        </w:rPr>
        <w:t xml:space="preserve"> </w:t>
      </w:r>
      <w:r>
        <w:rPr>
          <w:sz w:val="18"/>
        </w:rPr>
        <w:t>comparable</w:t>
      </w:r>
      <w:r>
        <w:rPr>
          <w:spacing w:val="-1"/>
          <w:sz w:val="18"/>
        </w:rPr>
        <w:t xml:space="preserve"> </w:t>
      </w:r>
      <w:r>
        <w:rPr>
          <w:sz w:val="18"/>
        </w:rPr>
        <w:t>(i.e.</w:t>
      </w:r>
      <w:r>
        <w:rPr>
          <w:spacing w:val="-4"/>
          <w:sz w:val="18"/>
        </w:rPr>
        <w:t xml:space="preserve"> </w:t>
      </w:r>
      <w:r>
        <w:rPr>
          <w:sz w:val="18"/>
        </w:rPr>
        <w:t>similar)</w:t>
      </w:r>
      <w:r>
        <w:rPr>
          <w:spacing w:val="-2"/>
          <w:sz w:val="18"/>
        </w:rPr>
        <w:t xml:space="preserve"> </w:t>
      </w:r>
      <w:r>
        <w:rPr>
          <w:sz w:val="18"/>
        </w:rPr>
        <w:t>assets,</w:t>
      </w:r>
      <w:r>
        <w:rPr>
          <w:spacing w:val="-4"/>
          <w:sz w:val="18"/>
        </w:rPr>
        <w:t xml:space="preserve"> </w:t>
      </w:r>
      <w:r>
        <w:rPr>
          <w:sz w:val="18"/>
        </w:rPr>
        <w:t>liabilities</w:t>
      </w:r>
      <w:r>
        <w:rPr>
          <w:spacing w:val="-1"/>
          <w:sz w:val="18"/>
        </w:rPr>
        <w:t xml:space="preserve"> </w:t>
      </w:r>
      <w:r>
        <w:rPr>
          <w:sz w:val="18"/>
        </w:rPr>
        <w:t>or</w:t>
      </w:r>
      <w:r>
        <w:rPr>
          <w:spacing w:val="-4"/>
          <w:sz w:val="18"/>
        </w:rPr>
        <w:t xml:space="preserve"> </w:t>
      </w:r>
      <w:r>
        <w:rPr>
          <w:sz w:val="18"/>
        </w:rPr>
        <w:t>a</w:t>
      </w:r>
      <w:r>
        <w:rPr>
          <w:spacing w:val="-1"/>
          <w:sz w:val="18"/>
        </w:rPr>
        <w:t xml:space="preserve"> </w:t>
      </w:r>
      <w:r>
        <w:rPr>
          <w:sz w:val="18"/>
        </w:rPr>
        <w:t>group</w:t>
      </w:r>
      <w:r>
        <w:rPr>
          <w:spacing w:val="-1"/>
          <w:sz w:val="18"/>
        </w:rPr>
        <w:t xml:space="preserve"> </w:t>
      </w:r>
      <w:r>
        <w:rPr>
          <w:sz w:val="18"/>
        </w:rPr>
        <w:t>of</w:t>
      </w:r>
      <w:r>
        <w:rPr>
          <w:spacing w:val="-2"/>
          <w:sz w:val="18"/>
        </w:rPr>
        <w:t xml:space="preserve"> </w:t>
      </w:r>
      <w:r>
        <w:rPr>
          <w:sz w:val="18"/>
        </w:rPr>
        <w:t>assets</w:t>
      </w:r>
      <w:r>
        <w:rPr>
          <w:spacing w:val="-1"/>
          <w:sz w:val="18"/>
        </w:rPr>
        <w:t xml:space="preserve"> </w:t>
      </w:r>
      <w:r>
        <w:rPr>
          <w:sz w:val="18"/>
        </w:rPr>
        <w:t>and</w:t>
      </w:r>
      <w:r>
        <w:rPr>
          <w:spacing w:val="-4"/>
          <w:sz w:val="18"/>
        </w:rPr>
        <w:t xml:space="preserve"> </w:t>
      </w:r>
      <w:r>
        <w:rPr>
          <w:sz w:val="18"/>
        </w:rPr>
        <w:t>liabilities,</w:t>
      </w:r>
      <w:r>
        <w:rPr>
          <w:spacing w:val="-2"/>
          <w:sz w:val="18"/>
        </w:rPr>
        <w:t xml:space="preserve"> </w:t>
      </w:r>
      <w:r>
        <w:rPr>
          <w:sz w:val="18"/>
        </w:rPr>
        <w:t>such</w:t>
      </w:r>
      <w:r>
        <w:rPr>
          <w:spacing w:val="-4"/>
          <w:sz w:val="18"/>
        </w:rPr>
        <w:t xml:space="preserve"> </w:t>
      </w:r>
      <w:r>
        <w:rPr>
          <w:sz w:val="18"/>
        </w:rPr>
        <w:t>as a business.</w:t>
      </w:r>
    </w:p>
    <w:p w14:paraId="71C91CB6" w14:textId="77777777" w:rsidR="00AC6F3C" w:rsidRDefault="00AC6F3C">
      <w:pPr>
        <w:pStyle w:val="BodyText"/>
        <w:spacing w:before="8"/>
      </w:pPr>
    </w:p>
    <w:p w14:paraId="4B5F66A1" w14:textId="77777777" w:rsidR="00AC6F3C" w:rsidRDefault="00570E88">
      <w:pPr>
        <w:pStyle w:val="ListParagraph"/>
        <w:numPr>
          <w:ilvl w:val="0"/>
          <w:numId w:val="6"/>
        </w:numPr>
        <w:tabs>
          <w:tab w:val="left" w:pos="1339"/>
        </w:tabs>
        <w:spacing w:before="1"/>
        <w:ind w:right="625"/>
        <w:rPr>
          <w:sz w:val="18"/>
        </w:rPr>
      </w:pPr>
      <w:r>
        <w:rPr>
          <w:sz w:val="18"/>
        </w:rPr>
        <w:t>The</w:t>
      </w:r>
      <w:r>
        <w:rPr>
          <w:spacing w:val="-1"/>
          <w:sz w:val="18"/>
        </w:rPr>
        <w:t xml:space="preserve"> </w:t>
      </w:r>
      <w:r>
        <w:rPr>
          <w:i/>
          <w:sz w:val="18"/>
        </w:rPr>
        <w:t>cost</w:t>
      </w:r>
      <w:r>
        <w:rPr>
          <w:i/>
          <w:spacing w:val="-4"/>
          <w:sz w:val="18"/>
        </w:rPr>
        <w:t xml:space="preserve"> </w:t>
      </w:r>
      <w:r>
        <w:rPr>
          <w:i/>
          <w:sz w:val="18"/>
        </w:rPr>
        <w:t>approach</w:t>
      </w:r>
      <w:r>
        <w:rPr>
          <w:i/>
          <w:spacing w:val="-1"/>
          <w:sz w:val="18"/>
        </w:rPr>
        <w:t xml:space="preserve"> </w:t>
      </w:r>
      <w:r>
        <w:rPr>
          <w:sz w:val="18"/>
        </w:rPr>
        <w:t>reflects</w:t>
      </w:r>
      <w:r>
        <w:rPr>
          <w:spacing w:val="-1"/>
          <w:sz w:val="18"/>
        </w:rPr>
        <w:t xml:space="preserve"> </w:t>
      </w:r>
      <w:r>
        <w:rPr>
          <w:sz w:val="18"/>
        </w:rPr>
        <w:t>the</w:t>
      </w:r>
      <w:r>
        <w:rPr>
          <w:spacing w:val="-4"/>
          <w:sz w:val="18"/>
        </w:rPr>
        <w:t xml:space="preserve"> </w:t>
      </w:r>
      <w:r>
        <w:rPr>
          <w:sz w:val="18"/>
        </w:rPr>
        <w:t>amount</w:t>
      </w:r>
      <w:r>
        <w:rPr>
          <w:spacing w:val="-2"/>
          <w:sz w:val="18"/>
        </w:rPr>
        <w:t xml:space="preserve"> </w:t>
      </w:r>
      <w:r>
        <w:rPr>
          <w:sz w:val="18"/>
        </w:rPr>
        <w:t>that</w:t>
      </w:r>
      <w:r>
        <w:rPr>
          <w:spacing w:val="-2"/>
          <w:sz w:val="18"/>
        </w:rPr>
        <w:t xml:space="preserve"> </w:t>
      </w:r>
      <w:r>
        <w:rPr>
          <w:sz w:val="18"/>
        </w:rPr>
        <w:t>would</w:t>
      </w:r>
      <w:r>
        <w:rPr>
          <w:spacing w:val="-4"/>
          <w:sz w:val="18"/>
        </w:rPr>
        <w:t xml:space="preserve"> </w:t>
      </w:r>
      <w:r>
        <w:rPr>
          <w:sz w:val="18"/>
        </w:rPr>
        <w:t>be</w:t>
      </w:r>
      <w:r>
        <w:rPr>
          <w:spacing w:val="-1"/>
          <w:sz w:val="18"/>
        </w:rPr>
        <w:t xml:space="preserve"> </w:t>
      </w:r>
      <w:r>
        <w:rPr>
          <w:sz w:val="18"/>
        </w:rPr>
        <w:t>required</w:t>
      </w:r>
      <w:r>
        <w:rPr>
          <w:spacing w:val="-1"/>
          <w:sz w:val="18"/>
        </w:rPr>
        <w:t xml:space="preserve"> </w:t>
      </w:r>
      <w:r>
        <w:rPr>
          <w:sz w:val="18"/>
        </w:rPr>
        <w:t>currently</w:t>
      </w:r>
      <w:r>
        <w:rPr>
          <w:spacing w:val="-1"/>
          <w:sz w:val="18"/>
        </w:rPr>
        <w:t xml:space="preserve"> </w:t>
      </w:r>
      <w:r>
        <w:rPr>
          <w:sz w:val="18"/>
        </w:rPr>
        <w:t>to</w:t>
      </w:r>
      <w:r>
        <w:rPr>
          <w:spacing w:val="-4"/>
          <w:sz w:val="18"/>
        </w:rPr>
        <w:t xml:space="preserve"> </w:t>
      </w:r>
      <w:r>
        <w:rPr>
          <w:sz w:val="18"/>
        </w:rPr>
        <w:t>replace</w:t>
      </w:r>
      <w:r>
        <w:rPr>
          <w:spacing w:val="-1"/>
          <w:sz w:val="18"/>
        </w:rPr>
        <w:t xml:space="preserve"> </w:t>
      </w:r>
      <w:r>
        <w:rPr>
          <w:sz w:val="18"/>
        </w:rPr>
        <w:t>the</w:t>
      </w:r>
      <w:r>
        <w:rPr>
          <w:spacing w:val="-4"/>
          <w:sz w:val="18"/>
        </w:rPr>
        <w:t xml:space="preserve"> </w:t>
      </w:r>
      <w:r>
        <w:rPr>
          <w:sz w:val="18"/>
        </w:rPr>
        <w:t>service</w:t>
      </w:r>
      <w:r>
        <w:rPr>
          <w:spacing w:val="-1"/>
          <w:sz w:val="18"/>
        </w:rPr>
        <w:t xml:space="preserve"> </w:t>
      </w:r>
      <w:r>
        <w:rPr>
          <w:sz w:val="18"/>
        </w:rPr>
        <w:t>capacity</w:t>
      </w:r>
      <w:r>
        <w:rPr>
          <w:spacing w:val="-1"/>
          <w:sz w:val="18"/>
        </w:rPr>
        <w:t xml:space="preserve"> </w:t>
      </w:r>
      <w:r>
        <w:rPr>
          <w:sz w:val="18"/>
        </w:rPr>
        <w:t>of an asset. This method includes the current replacement costs methodology.</w:t>
      </w:r>
    </w:p>
    <w:p w14:paraId="25F119B6" w14:textId="77777777" w:rsidR="00AC6F3C" w:rsidRDefault="00AC6F3C">
      <w:pPr>
        <w:pStyle w:val="BodyText"/>
        <w:spacing w:before="9"/>
      </w:pPr>
    </w:p>
    <w:p w14:paraId="2D74322F" w14:textId="77777777" w:rsidR="00AC6F3C" w:rsidRDefault="00570E88">
      <w:pPr>
        <w:pStyle w:val="ListParagraph"/>
        <w:numPr>
          <w:ilvl w:val="0"/>
          <w:numId w:val="6"/>
        </w:numPr>
        <w:tabs>
          <w:tab w:val="left" w:pos="1339"/>
        </w:tabs>
        <w:spacing w:before="0"/>
        <w:ind w:right="845"/>
        <w:rPr>
          <w:sz w:val="18"/>
        </w:rPr>
      </w:pPr>
      <w:r>
        <w:rPr>
          <w:sz w:val="18"/>
        </w:rPr>
        <w:t>The</w:t>
      </w:r>
      <w:r>
        <w:rPr>
          <w:spacing w:val="-1"/>
          <w:sz w:val="18"/>
        </w:rPr>
        <w:t xml:space="preserve"> </w:t>
      </w:r>
      <w:r>
        <w:rPr>
          <w:i/>
          <w:sz w:val="18"/>
        </w:rPr>
        <w:t>income</w:t>
      </w:r>
      <w:r>
        <w:rPr>
          <w:i/>
          <w:spacing w:val="-4"/>
          <w:sz w:val="18"/>
        </w:rPr>
        <w:t xml:space="preserve"> </w:t>
      </w:r>
      <w:r>
        <w:rPr>
          <w:i/>
          <w:sz w:val="18"/>
        </w:rPr>
        <w:t>approach</w:t>
      </w:r>
      <w:r>
        <w:rPr>
          <w:i/>
          <w:spacing w:val="-2"/>
          <w:sz w:val="18"/>
        </w:rPr>
        <w:t xml:space="preserve"> </w:t>
      </w:r>
      <w:r>
        <w:rPr>
          <w:sz w:val="18"/>
        </w:rPr>
        <w:t>converts</w:t>
      </w:r>
      <w:r>
        <w:rPr>
          <w:spacing w:val="-1"/>
          <w:sz w:val="18"/>
        </w:rPr>
        <w:t xml:space="preserve"> </w:t>
      </w:r>
      <w:r>
        <w:rPr>
          <w:sz w:val="18"/>
        </w:rPr>
        <w:t>multiple</w:t>
      </w:r>
      <w:r>
        <w:rPr>
          <w:spacing w:val="-4"/>
          <w:sz w:val="18"/>
        </w:rPr>
        <w:t xml:space="preserve"> </w:t>
      </w:r>
      <w:r>
        <w:rPr>
          <w:sz w:val="18"/>
        </w:rPr>
        <w:t>future</w:t>
      </w:r>
      <w:r>
        <w:rPr>
          <w:spacing w:val="-1"/>
          <w:sz w:val="18"/>
        </w:rPr>
        <w:t xml:space="preserve"> </w:t>
      </w:r>
      <w:r>
        <w:rPr>
          <w:sz w:val="18"/>
        </w:rPr>
        <w:t>cash</w:t>
      </w:r>
      <w:r>
        <w:rPr>
          <w:spacing w:val="-4"/>
          <w:sz w:val="18"/>
        </w:rPr>
        <w:t xml:space="preserve"> </w:t>
      </w:r>
      <w:r>
        <w:rPr>
          <w:sz w:val="18"/>
        </w:rPr>
        <w:t>flows</w:t>
      </w:r>
      <w:r>
        <w:rPr>
          <w:spacing w:val="-1"/>
          <w:sz w:val="18"/>
        </w:rPr>
        <w:t xml:space="preserve"> </w:t>
      </w:r>
      <w:r>
        <w:rPr>
          <w:sz w:val="18"/>
        </w:rPr>
        <w:t>amounts</w:t>
      </w:r>
      <w:r>
        <w:rPr>
          <w:spacing w:val="-1"/>
          <w:sz w:val="18"/>
        </w:rPr>
        <w:t xml:space="preserve"> </w:t>
      </w:r>
      <w:r>
        <w:rPr>
          <w:sz w:val="18"/>
        </w:rPr>
        <w:t>to</w:t>
      </w:r>
      <w:r>
        <w:rPr>
          <w:spacing w:val="-1"/>
          <w:sz w:val="18"/>
        </w:rPr>
        <w:t xml:space="preserve"> </w:t>
      </w:r>
      <w:r>
        <w:rPr>
          <w:sz w:val="18"/>
        </w:rPr>
        <w:t>a</w:t>
      </w:r>
      <w:r>
        <w:rPr>
          <w:spacing w:val="-4"/>
          <w:sz w:val="18"/>
        </w:rPr>
        <w:t xml:space="preserve"> </w:t>
      </w:r>
      <w:r>
        <w:rPr>
          <w:sz w:val="18"/>
        </w:rPr>
        <w:t>single</w:t>
      </w:r>
      <w:r>
        <w:rPr>
          <w:spacing w:val="-4"/>
          <w:sz w:val="18"/>
        </w:rPr>
        <w:t xml:space="preserve"> </w:t>
      </w:r>
      <w:r>
        <w:rPr>
          <w:sz w:val="18"/>
        </w:rPr>
        <w:t>current</w:t>
      </w:r>
      <w:r>
        <w:rPr>
          <w:spacing w:val="-2"/>
          <w:sz w:val="18"/>
        </w:rPr>
        <w:t xml:space="preserve"> </w:t>
      </w:r>
      <w:r>
        <w:rPr>
          <w:sz w:val="18"/>
        </w:rPr>
        <w:t>(i.e.</w:t>
      </w:r>
      <w:r>
        <w:rPr>
          <w:spacing w:val="-4"/>
          <w:sz w:val="18"/>
        </w:rPr>
        <w:t xml:space="preserve"> </w:t>
      </w:r>
      <w:r>
        <w:rPr>
          <w:sz w:val="18"/>
        </w:rPr>
        <w:t>discounted) amount. When the income approach is used, the fair value measurement reflects current market expectations about those future amounts.</w:t>
      </w:r>
    </w:p>
    <w:p w14:paraId="5DB61176" w14:textId="77777777" w:rsidR="00AC6F3C" w:rsidRDefault="00AC6F3C">
      <w:pPr>
        <w:pStyle w:val="BodyText"/>
        <w:spacing w:before="7"/>
      </w:pPr>
    </w:p>
    <w:p w14:paraId="2CC8B449" w14:textId="77777777" w:rsidR="00AC6F3C" w:rsidRDefault="00570E88">
      <w:pPr>
        <w:ind w:left="979"/>
        <w:rPr>
          <w:sz w:val="18"/>
        </w:rPr>
      </w:pPr>
      <w:r>
        <w:rPr>
          <w:sz w:val="18"/>
        </w:rPr>
        <w:t>Where</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is</w:t>
      </w:r>
      <w:r>
        <w:rPr>
          <w:spacing w:val="-1"/>
          <w:sz w:val="18"/>
        </w:rPr>
        <w:t xml:space="preserve"> </w:t>
      </w:r>
      <w:r>
        <w:rPr>
          <w:sz w:val="18"/>
        </w:rPr>
        <w:t>used,</w:t>
      </w:r>
      <w:r>
        <w:rPr>
          <w:spacing w:val="-2"/>
          <w:sz w:val="18"/>
        </w:rPr>
        <w:t xml:space="preserve"> </w:t>
      </w:r>
      <w:r>
        <w:rPr>
          <w:sz w:val="18"/>
        </w:rPr>
        <w:t>the</w:t>
      </w:r>
      <w:r>
        <w:rPr>
          <w:spacing w:val="-3"/>
          <w:sz w:val="18"/>
        </w:rPr>
        <w:t xml:space="preserve"> </w:t>
      </w:r>
      <w:r>
        <w:rPr>
          <w:sz w:val="18"/>
        </w:rPr>
        <w:t>fair</w:t>
      </w:r>
      <w:r>
        <w:rPr>
          <w:spacing w:val="-2"/>
          <w:sz w:val="18"/>
        </w:rPr>
        <w:t xml:space="preserve"> </w:t>
      </w:r>
      <w:r>
        <w:rPr>
          <w:sz w:val="18"/>
        </w:rPr>
        <w:t>value</w:t>
      </w:r>
      <w:r>
        <w:rPr>
          <w:spacing w:val="-4"/>
          <w:sz w:val="18"/>
        </w:rPr>
        <w:t xml:space="preserve"> </w:t>
      </w:r>
      <w:r>
        <w:rPr>
          <w:sz w:val="18"/>
        </w:rPr>
        <w:t>approach</w:t>
      </w:r>
      <w:r>
        <w:rPr>
          <w:spacing w:val="-1"/>
          <w:sz w:val="18"/>
        </w:rPr>
        <w:t xml:space="preserve"> </w:t>
      </w:r>
      <w:r>
        <w:rPr>
          <w:sz w:val="18"/>
        </w:rPr>
        <w:t xml:space="preserve">is </w:t>
      </w:r>
      <w:r>
        <w:rPr>
          <w:spacing w:val="-2"/>
          <w:sz w:val="18"/>
        </w:rPr>
        <w:t>disclosed.</w:t>
      </w:r>
    </w:p>
    <w:p w14:paraId="2AB914E2" w14:textId="77777777" w:rsidR="00AC6F3C" w:rsidRDefault="00AC6F3C">
      <w:pPr>
        <w:pStyle w:val="BodyText"/>
        <w:rPr>
          <w:sz w:val="21"/>
        </w:rPr>
      </w:pPr>
    </w:p>
    <w:p w14:paraId="1962FD11" w14:textId="77777777" w:rsidR="00AC6F3C" w:rsidRDefault="00570E88">
      <w:pPr>
        <w:tabs>
          <w:tab w:val="left" w:pos="1687"/>
        </w:tabs>
        <w:ind w:left="979"/>
        <w:rPr>
          <w:b/>
          <w:sz w:val="28"/>
        </w:rPr>
      </w:pPr>
      <w:r>
        <w:rPr>
          <w:b/>
          <w:spacing w:val="-5"/>
          <w:sz w:val="28"/>
        </w:rPr>
        <w:t>A2</w:t>
      </w:r>
      <w:r>
        <w:rPr>
          <w:b/>
          <w:sz w:val="28"/>
        </w:rPr>
        <w:tab/>
        <w:t>THE</w:t>
      </w:r>
      <w:r>
        <w:rPr>
          <w:b/>
          <w:spacing w:val="-5"/>
          <w:sz w:val="28"/>
        </w:rPr>
        <w:t xml:space="preserve"> </w:t>
      </w:r>
      <w:r>
        <w:rPr>
          <w:b/>
          <w:sz w:val="28"/>
        </w:rPr>
        <w:t>FUND’S</w:t>
      </w:r>
      <w:r>
        <w:rPr>
          <w:b/>
          <w:spacing w:val="-4"/>
          <w:sz w:val="28"/>
        </w:rPr>
        <w:t xml:space="preserve"> </w:t>
      </w:r>
      <w:r>
        <w:rPr>
          <w:b/>
          <w:spacing w:val="-2"/>
          <w:sz w:val="28"/>
        </w:rPr>
        <w:t>OBJECTIVES</w:t>
      </w:r>
    </w:p>
    <w:p w14:paraId="05933C49" w14:textId="77777777" w:rsidR="00AC6F3C" w:rsidRDefault="00570E88">
      <w:pPr>
        <w:spacing w:before="240"/>
        <w:ind w:left="979" w:right="468"/>
        <w:rPr>
          <w:sz w:val="18"/>
        </w:rPr>
      </w:pPr>
      <w:r>
        <w:rPr>
          <w:sz w:val="18"/>
        </w:rPr>
        <w:t>The Fund has been established for the purpose of providing a source of compensation for defaults by law practices arising from</w:t>
      </w:r>
      <w:r>
        <w:rPr>
          <w:spacing w:val="-2"/>
          <w:sz w:val="18"/>
        </w:rPr>
        <w:t xml:space="preserve"> </w:t>
      </w:r>
      <w:r>
        <w:rPr>
          <w:sz w:val="18"/>
        </w:rPr>
        <w:t>acts or</w:t>
      </w:r>
      <w:r>
        <w:rPr>
          <w:spacing w:val="-3"/>
          <w:sz w:val="18"/>
        </w:rPr>
        <w:t xml:space="preserve"> </w:t>
      </w:r>
      <w:r>
        <w:rPr>
          <w:sz w:val="18"/>
        </w:rPr>
        <w:t>omissions</w:t>
      </w:r>
      <w:r>
        <w:rPr>
          <w:spacing w:val="-2"/>
          <w:sz w:val="18"/>
        </w:rPr>
        <w:t xml:space="preserve"> </w:t>
      </w:r>
      <w:r>
        <w:rPr>
          <w:sz w:val="18"/>
        </w:rPr>
        <w:t>of</w:t>
      </w:r>
      <w:r>
        <w:rPr>
          <w:spacing w:val="-1"/>
          <w:sz w:val="18"/>
        </w:rPr>
        <w:t xml:space="preserve"> </w:t>
      </w:r>
      <w:r>
        <w:rPr>
          <w:sz w:val="18"/>
        </w:rPr>
        <w:t>associates of</w:t>
      </w:r>
      <w:r>
        <w:rPr>
          <w:spacing w:val="-3"/>
          <w:sz w:val="18"/>
        </w:rPr>
        <w:t xml:space="preserve"> </w:t>
      </w:r>
      <w:r>
        <w:rPr>
          <w:sz w:val="18"/>
        </w:rPr>
        <w:t>the</w:t>
      </w:r>
      <w:r>
        <w:rPr>
          <w:spacing w:val="-3"/>
          <w:sz w:val="18"/>
        </w:rPr>
        <w:t xml:space="preserve"> </w:t>
      </w:r>
      <w:r>
        <w:rPr>
          <w:sz w:val="18"/>
        </w:rPr>
        <w:t>law</w:t>
      </w:r>
      <w:r>
        <w:rPr>
          <w:spacing w:val="-1"/>
          <w:sz w:val="18"/>
        </w:rPr>
        <w:t xml:space="preserve"> </w:t>
      </w:r>
      <w:r>
        <w:rPr>
          <w:sz w:val="18"/>
        </w:rPr>
        <w:t>practices.</w:t>
      </w:r>
      <w:r>
        <w:rPr>
          <w:spacing w:val="40"/>
          <w:sz w:val="18"/>
        </w:rPr>
        <w:t xml:space="preserve"> </w:t>
      </w:r>
      <w:r>
        <w:rPr>
          <w:sz w:val="18"/>
        </w:rPr>
        <w:t>A</w:t>
      </w:r>
      <w:r>
        <w:rPr>
          <w:spacing w:val="-1"/>
          <w:sz w:val="18"/>
        </w:rPr>
        <w:t xml:space="preserve"> </w:t>
      </w:r>
      <w:r>
        <w:rPr>
          <w:sz w:val="18"/>
        </w:rPr>
        <w:t>major</w:t>
      </w:r>
      <w:r>
        <w:rPr>
          <w:spacing w:val="-3"/>
          <w:sz w:val="18"/>
        </w:rPr>
        <w:t xml:space="preserve"> </w:t>
      </w:r>
      <w:r>
        <w:rPr>
          <w:sz w:val="18"/>
        </w:rPr>
        <w:t>source</w:t>
      </w:r>
      <w:r>
        <w:rPr>
          <w:spacing w:val="-3"/>
          <w:sz w:val="18"/>
        </w:rPr>
        <w:t xml:space="preserve"> </w:t>
      </w:r>
      <w:r>
        <w:rPr>
          <w:sz w:val="18"/>
        </w:rPr>
        <w:t>of</w:t>
      </w:r>
      <w:r>
        <w:rPr>
          <w:spacing w:val="-1"/>
          <w:sz w:val="18"/>
        </w:rPr>
        <w:t xml:space="preserve"> </w:t>
      </w:r>
      <w:r>
        <w:rPr>
          <w:sz w:val="18"/>
        </w:rPr>
        <w:t>income for</w:t>
      </w:r>
      <w:r>
        <w:rPr>
          <w:spacing w:val="-3"/>
          <w:sz w:val="18"/>
        </w:rPr>
        <w:t xml:space="preserve"> </w:t>
      </w:r>
      <w:r>
        <w:rPr>
          <w:sz w:val="18"/>
        </w:rPr>
        <w:t>the Fund is levies from legal practitioners.</w:t>
      </w:r>
    </w:p>
    <w:p w14:paraId="7C7C7E74" w14:textId="77777777" w:rsidR="00AC6F3C" w:rsidRDefault="00AC6F3C">
      <w:pPr>
        <w:pStyle w:val="BodyText"/>
        <w:spacing w:before="10"/>
      </w:pPr>
    </w:p>
    <w:p w14:paraId="4F0C2259" w14:textId="77777777" w:rsidR="00AC6F3C" w:rsidRDefault="00570E88">
      <w:pPr>
        <w:tabs>
          <w:tab w:val="left" w:pos="1687"/>
        </w:tabs>
        <w:ind w:left="979"/>
        <w:rPr>
          <w:b/>
          <w:sz w:val="28"/>
        </w:rPr>
      </w:pPr>
      <w:r>
        <w:rPr>
          <w:b/>
          <w:spacing w:val="-5"/>
          <w:sz w:val="28"/>
        </w:rPr>
        <w:t>A3</w:t>
      </w:r>
      <w:r>
        <w:rPr>
          <w:b/>
          <w:sz w:val="28"/>
        </w:rPr>
        <w:tab/>
      </w:r>
      <w:r>
        <w:rPr>
          <w:b/>
          <w:spacing w:val="-2"/>
          <w:sz w:val="28"/>
        </w:rPr>
        <w:t>AUTHORISATION</w:t>
      </w:r>
      <w:r>
        <w:rPr>
          <w:b/>
          <w:spacing w:val="-11"/>
          <w:sz w:val="28"/>
        </w:rPr>
        <w:t xml:space="preserve"> </w:t>
      </w:r>
      <w:r>
        <w:rPr>
          <w:b/>
          <w:spacing w:val="-2"/>
          <w:sz w:val="28"/>
        </w:rPr>
        <w:t>OF</w:t>
      </w:r>
      <w:r>
        <w:rPr>
          <w:b/>
          <w:spacing w:val="-5"/>
          <w:sz w:val="28"/>
        </w:rPr>
        <w:t xml:space="preserve"> </w:t>
      </w:r>
      <w:r>
        <w:rPr>
          <w:b/>
          <w:spacing w:val="-2"/>
          <w:sz w:val="28"/>
        </w:rPr>
        <w:t>FINANCIAL</w:t>
      </w:r>
      <w:r>
        <w:rPr>
          <w:b/>
          <w:spacing w:val="-10"/>
          <w:sz w:val="28"/>
        </w:rPr>
        <w:t xml:space="preserve"> </w:t>
      </w:r>
      <w:r>
        <w:rPr>
          <w:b/>
          <w:spacing w:val="-2"/>
          <w:sz w:val="28"/>
        </w:rPr>
        <w:t>STATEMENTS</w:t>
      </w:r>
      <w:r>
        <w:rPr>
          <w:b/>
          <w:spacing w:val="-4"/>
          <w:sz w:val="28"/>
        </w:rPr>
        <w:t xml:space="preserve"> </w:t>
      </w:r>
      <w:r>
        <w:rPr>
          <w:b/>
          <w:spacing w:val="-2"/>
          <w:sz w:val="28"/>
        </w:rPr>
        <w:t>FOR</w:t>
      </w:r>
      <w:r>
        <w:rPr>
          <w:b/>
          <w:spacing w:val="-5"/>
          <w:sz w:val="28"/>
        </w:rPr>
        <w:t xml:space="preserve"> </w:t>
      </w:r>
      <w:r>
        <w:rPr>
          <w:b/>
          <w:spacing w:val="-2"/>
          <w:sz w:val="28"/>
        </w:rPr>
        <w:t>ISSUE</w:t>
      </w:r>
    </w:p>
    <w:p w14:paraId="1F8E9410" w14:textId="77777777" w:rsidR="00AC6F3C" w:rsidRDefault="00570E88">
      <w:pPr>
        <w:spacing w:before="240"/>
        <w:ind w:left="979" w:right="632"/>
        <w:rPr>
          <w:sz w:val="18"/>
        </w:rPr>
      </w:pPr>
      <w:r>
        <w:rPr>
          <w:sz w:val="18"/>
        </w:rPr>
        <w:t>The</w:t>
      </w:r>
      <w:r>
        <w:rPr>
          <w:spacing w:val="-2"/>
          <w:sz w:val="18"/>
        </w:rPr>
        <w:t xml:space="preserve"> </w:t>
      </w:r>
      <w:r>
        <w:rPr>
          <w:sz w:val="18"/>
        </w:rPr>
        <w:t>financial</w:t>
      </w:r>
      <w:r>
        <w:rPr>
          <w:spacing w:val="-2"/>
          <w:sz w:val="18"/>
        </w:rPr>
        <w:t xml:space="preserve"> </w:t>
      </w:r>
      <w:r>
        <w:rPr>
          <w:sz w:val="18"/>
        </w:rPr>
        <w:t>statements</w:t>
      </w:r>
      <w:r>
        <w:rPr>
          <w:spacing w:val="-2"/>
          <w:sz w:val="18"/>
        </w:rPr>
        <w:t xml:space="preserve"> </w:t>
      </w:r>
      <w:r>
        <w:rPr>
          <w:sz w:val="18"/>
        </w:rPr>
        <w:t>are</w:t>
      </w:r>
      <w:r>
        <w:rPr>
          <w:spacing w:val="-2"/>
          <w:sz w:val="18"/>
        </w:rPr>
        <w:t xml:space="preserve"> </w:t>
      </w:r>
      <w:proofErr w:type="spellStart"/>
      <w:r>
        <w:rPr>
          <w:sz w:val="18"/>
        </w:rPr>
        <w:t>authorised</w:t>
      </w:r>
      <w:proofErr w:type="spellEnd"/>
      <w:r>
        <w:rPr>
          <w:spacing w:val="-4"/>
          <w:sz w:val="18"/>
        </w:rPr>
        <w:t xml:space="preserve"> </w:t>
      </w:r>
      <w:r>
        <w:rPr>
          <w:sz w:val="18"/>
        </w:rPr>
        <w:t>for</w:t>
      </w:r>
      <w:r>
        <w:rPr>
          <w:spacing w:val="-4"/>
          <w:sz w:val="18"/>
        </w:rPr>
        <w:t xml:space="preserve"> </w:t>
      </w:r>
      <w:r>
        <w:rPr>
          <w:sz w:val="18"/>
        </w:rPr>
        <w:t>issue</w:t>
      </w:r>
      <w:r>
        <w:rPr>
          <w:spacing w:val="-4"/>
          <w:sz w:val="18"/>
        </w:rPr>
        <w:t xml:space="preserve"> </w:t>
      </w:r>
      <w:r>
        <w:rPr>
          <w:sz w:val="18"/>
        </w:rPr>
        <w:t>by</w:t>
      </w:r>
      <w:r>
        <w:rPr>
          <w:spacing w:val="-2"/>
          <w:sz w:val="18"/>
        </w:rPr>
        <w:t xml:space="preserve"> </w:t>
      </w:r>
      <w:r>
        <w:rPr>
          <w:sz w:val="18"/>
        </w:rPr>
        <w:t>the</w:t>
      </w:r>
      <w:r>
        <w:rPr>
          <w:spacing w:val="-3"/>
          <w:sz w:val="18"/>
        </w:rPr>
        <w:t xml:space="preserve"> </w:t>
      </w:r>
      <w:r>
        <w:rPr>
          <w:sz w:val="18"/>
        </w:rPr>
        <w:t>Queensland</w:t>
      </w:r>
      <w:r>
        <w:rPr>
          <w:spacing w:val="-4"/>
          <w:sz w:val="18"/>
        </w:rPr>
        <w:t xml:space="preserve"> </w:t>
      </w:r>
      <w:r>
        <w:rPr>
          <w:sz w:val="18"/>
        </w:rPr>
        <w:t>Law</w:t>
      </w:r>
      <w:r>
        <w:rPr>
          <w:spacing w:val="-3"/>
          <w:sz w:val="18"/>
        </w:rPr>
        <w:t xml:space="preserve"> </w:t>
      </w:r>
      <w:r>
        <w:rPr>
          <w:sz w:val="18"/>
        </w:rPr>
        <w:t>Society</w:t>
      </w:r>
      <w:r>
        <w:rPr>
          <w:spacing w:val="-2"/>
          <w:sz w:val="18"/>
        </w:rPr>
        <w:t xml:space="preserve"> </w:t>
      </w:r>
      <w:r>
        <w:rPr>
          <w:sz w:val="18"/>
        </w:rPr>
        <w:t>Incorporated’s</w:t>
      </w:r>
      <w:r>
        <w:rPr>
          <w:spacing w:val="-2"/>
          <w:sz w:val="18"/>
        </w:rPr>
        <w:t xml:space="preserve"> </w:t>
      </w:r>
      <w:r>
        <w:rPr>
          <w:sz w:val="18"/>
        </w:rPr>
        <w:t>President and Chief Executive Officer at the date of signing the Management Certificate.</w:t>
      </w:r>
    </w:p>
    <w:p w14:paraId="3BD2FA96" w14:textId="77777777" w:rsidR="00AC6F3C" w:rsidRDefault="00AC6F3C">
      <w:pPr>
        <w:rPr>
          <w:sz w:val="18"/>
        </w:rPr>
        <w:sectPr w:rsidR="00AC6F3C">
          <w:pgSz w:w="11910" w:h="16840"/>
          <w:pgMar w:top="1760" w:right="1160" w:bottom="520" w:left="460" w:header="1228" w:footer="336" w:gutter="0"/>
          <w:cols w:space="720"/>
        </w:sectPr>
      </w:pPr>
    </w:p>
    <w:p w14:paraId="27E41EFD" w14:textId="77777777" w:rsidR="00AC6F3C" w:rsidRDefault="00AC6F3C">
      <w:pPr>
        <w:pStyle w:val="BodyText"/>
      </w:pPr>
    </w:p>
    <w:p w14:paraId="7585A939" w14:textId="77777777" w:rsidR="00AC6F3C" w:rsidRDefault="00AC6F3C">
      <w:pPr>
        <w:pStyle w:val="BodyText"/>
        <w:spacing w:before="4"/>
        <w:rPr>
          <w:sz w:val="11"/>
        </w:rPr>
      </w:pPr>
    </w:p>
    <w:p w14:paraId="23B9DD54"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08E79B75" wp14:editId="38438BF4">
                <wp:extent cx="5603875" cy="6350"/>
                <wp:effectExtent l="0" t="0" r="0" b="0"/>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02" name="Graphic 902"/>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FAF59A" id="Group 901"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BNAadEdAIAAPYFAAAOAAAAAAAAAAAA&#10;AAAAAC4CAABkcnMvZTJvRG9jLnhtbFBLAQItABQABgAIAAAAIQC/Y0lo2gAAAAMBAAAPAAAAAAAA&#10;AAAAAAAAAM4EAABkcnMvZG93bnJldi54bWxQSwUGAAAAAAQABADzAAAA1QUAAAAA&#10;">
                <v:shape id="Graphic 902"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" path="m5603329,6120l,6120,,,5603329,r,6120xe" fillcolor="black" stroked="f">
                  <v:path arrowok="t"/>
                </v:shape>
                <w10:anchorlock/>
              </v:group>
            </w:pict>
          </mc:Fallback>
        </mc:AlternateContent>
      </w:r>
    </w:p>
    <w:p w14:paraId="2C6CAF77" w14:textId="77777777" w:rsidR="00AC6F3C" w:rsidRDefault="00AC6F3C">
      <w:pPr>
        <w:pStyle w:val="BodyText"/>
        <w:rPr>
          <w:sz w:val="11"/>
        </w:rPr>
      </w:pPr>
    </w:p>
    <w:p w14:paraId="60943ACD" w14:textId="77777777" w:rsidR="00AC6F3C" w:rsidRDefault="00570E88">
      <w:pPr>
        <w:tabs>
          <w:tab w:val="left" w:pos="1687"/>
        </w:tabs>
        <w:spacing w:before="92"/>
        <w:ind w:left="979"/>
        <w:rPr>
          <w:b/>
          <w:sz w:val="28"/>
        </w:rPr>
      </w:pPr>
      <w:r>
        <w:rPr>
          <w:b/>
          <w:spacing w:val="-5"/>
          <w:sz w:val="28"/>
        </w:rPr>
        <w:t>B1</w:t>
      </w:r>
      <w:r>
        <w:rPr>
          <w:b/>
          <w:sz w:val="28"/>
        </w:rPr>
        <w:tab/>
      </w:r>
      <w:r>
        <w:rPr>
          <w:b/>
          <w:spacing w:val="-2"/>
          <w:sz w:val="28"/>
        </w:rPr>
        <w:t>REVENUE</w:t>
      </w:r>
    </w:p>
    <w:p w14:paraId="31A0AAC2" w14:textId="77777777" w:rsidR="00AC6F3C" w:rsidRDefault="00570E88">
      <w:pPr>
        <w:pStyle w:val="Heading6"/>
        <w:tabs>
          <w:tab w:val="left" w:pos="1831"/>
        </w:tabs>
        <w:ind w:left="979"/>
      </w:pPr>
      <w:r>
        <w:rPr>
          <w:spacing w:val="-2"/>
        </w:rPr>
        <w:t>B1-</w:t>
      </w:r>
      <w:r>
        <w:rPr>
          <w:spacing w:val="-10"/>
        </w:rPr>
        <w:t>1</w:t>
      </w:r>
      <w:r>
        <w:tab/>
        <w:t>PRACTITIONER</w:t>
      </w:r>
      <w:r>
        <w:rPr>
          <w:spacing w:val="-2"/>
        </w:rPr>
        <w:t xml:space="preserve"> LEVIES</w:t>
      </w:r>
    </w:p>
    <w:p w14:paraId="7BC3979C" w14:textId="77777777" w:rsidR="00AC6F3C" w:rsidRDefault="00AC6F3C">
      <w:pPr>
        <w:pStyle w:val="BodyText"/>
        <w:spacing w:before="9"/>
        <w:rPr>
          <w:b/>
        </w:rPr>
      </w:pPr>
    </w:p>
    <w:p w14:paraId="199C3249" w14:textId="77777777" w:rsidR="00AC6F3C" w:rsidRDefault="00570E88">
      <w:pPr>
        <w:ind w:left="979" w:right="468"/>
        <w:rPr>
          <w:sz w:val="18"/>
        </w:rPr>
      </w:pPr>
      <w:r>
        <w:rPr>
          <w:sz w:val="18"/>
        </w:rPr>
        <w:t>Revenues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at</w:t>
      </w:r>
      <w:r>
        <w:rPr>
          <w:spacing w:val="-2"/>
          <w:sz w:val="18"/>
        </w:rPr>
        <w:t xml:space="preserve"> </w:t>
      </w:r>
      <w:r>
        <w:rPr>
          <w:sz w:val="18"/>
        </w:rPr>
        <w:t>the</w:t>
      </w:r>
      <w:r>
        <w:rPr>
          <w:spacing w:val="-1"/>
          <w:sz w:val="18"/>
        </w:rPr>
        <w:t xml:space="preserve"> </w:t>
      </w:r>
      <w:r>
        <w:rPr>
          <w:sz w:val="18"/>
        </w:rPr>
        <w:t>consideration</w:t>
      </w:r>
      <w:r>
        <w:rPr>
          <w:spacing w:val="-1"/>
          <w:sz w:val="18"/>
        </w:rPr>
        <w:t xml:space="preserve"> </w:t>
      </w:r>
      <w:r>
        <w:rPr>
          <w:sz w:val="18"/>
        </w:rPr>
        <w:t>received</w:t>
      </w:r>
      <w:r>
        <w:rPr>
          <w:spacing w:val="-1"/>
          <w:sz w:val="18"/>
        </w:rPr>
        <w:t xml:space="preserve"> </w:t>
      </w:r>
      <w:r>
        <w:rPr>
          <w:sz w:val="18"/>
        </w:rPr>
        <w:t>net</w:t>
      </w:r>
      <w:r>
        <w:rPr>
          <w:spacing w:val="-2"/>
          <w:sz w:val="18"/>
        </w:rPr>
        <w:t xml:space="preserve"> </w:t>
      </w:r>
      <w:r>
        <w:rPr>
          <w:sz w:val="18"/>
        </w:rPr>
        <w:t>of</w:t>
      </w:r>
      <w:r>
        <w:rPr>
          <w:spacing w:val="-4"/>
          <w:sz w:val="18"/>
        </w:rPr>
        <w:t xml:space="preserve"> </w:t>
      </w:r>
      <w:r>
        <w:rPr>
          <w:sz w:val="18"/>
        </w:rPr>
        <w:t>any</w:t>
      </w:r>
      <w:r>
        <w:rPr>
          <w:spacing w:val="-3"/>
          <w:sz w:val="18"/>
        </w:rPr>
        <w:t xml:space="preserve"> </w:t>
      </w:r>
      <w:r>
        <w:rPr>
          <w:sz w:val="18"/>
        </w:rPr>
        <w:t>amount</w:t>
      </w:r>
      <w:r>
        <w:rPr>
          <w:spacing w:val="-4"/>
          <w:sz w:val="18"/>
        </w:rPr>
        <w:t xml:space="preserve"> </w:t>
      </w:r>
      <w:r>
        <w:rPr>
          <w:sz w:val="18"/>
        </w:rPr>
        <w:t>of</w:t>
      </w:r>
      <w:r>
        <w:rPr>
          <w:spacing w:val="-2"/>
          <w:sz w:val="18"/>
        </w:rPr>
        <w:t xml:space="preserve"> </w:t>
      </w:r>
      <w:r>
        <w:rPr>
          <w:sz w:val="18"/>
        </w:rPr>
        <w:t>GST</w:t>
      </w:r>
      <w:r>
        <w:rPr>
          <w:spacing w:val="-2"/>
          <w:sz w:val="18"/>
        </w:rPr>
        <w:t xml:space="preserve"> </w:t>
      </w:r>
      <w:r>
        <w:rPr>
          <w:sz w:val="18"/>
        </w:rPr>
        <w:t>payable</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 xml:space="preserve">ATO. Practitioner levies are </w:t>
      </w:r>
      <w:proofErr w:type="spellStart"/>
      <w:r>
        <w:rPr>
          <w:sz w:val="18"/>
        </w:rPr>
        <w:t>recognised</w:t>
      </w:r>
      <w:proofErr w:type="spellEnd"/>
      <w:r>
        <w:rPr>
          <w:sz w:val="18"/>
        </w:rPr>
        <w:t xml:space="preserve"> as revenue in the applicable membership year.</w:t>
      </w:r>
    </w:p>
    <w:p w14:paraId="1841E2AE" w14:textId="77777777" w:rsidR="00AC6F3C" w:rsidRDefault="00AC6F3C">
      <w:pPr>
        <w:pStyle w:val="BodyText"/>
        <w:spacing w:before="10"/>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03D8F18C" w14:textId="77777777">
        <w:trPr>
          <w:trHeight w:val="549"/>
        </w:trPr>
        <w:tc>
          <w:tcPr>
            <w:tcW w:w="8715" w:type="dxa"/>
            <w:gridSpan w:val="3"/>
            <w:shd w:val="clear" w:color="auto" w:fill="BEBEBE"/>
          </w:tcPr>
          <w:p w14:paraId="32A1DD9E"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06BFB6EA"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694E332C" w14:textId="77777777">
        <w:trPr>
          <w:trHeight w:val="286"/>
        </w:trPr>
        <w:tc>
          <w:tcPr>
            <w:tcW w:w="5413" w:type="dxa"/>
            <w:tcBorders>
              <w:bottom w:val="nil"/>
              <w:right w:val="nil"/>
            </w:tcBorders>
          </w:tcPr>
          <w:p w14:paraId="34B746BA" w14:textId="77777777" w:rsidR="00AC6F3C" w:rsidRDefault="00570E88">
            <w:pPr>
              <w:pStyle w:val="TableParagraph"/>
              <w:spacing w:before="39"/>
              <w:ind w:left="37"/>
              <w:rPr>
                <w:sz w:val="18"/>
              </w:rPr>
            </w:pPr>
            <w:r>
              <w:rPr>
                <w:sz w:val="18"/>
              </w:rPr>
              <w:t>Practitioner</w:t>
            </w:r>
            <w:r>
              <w:rPr>
                <w:spacing w:val="-1"/>
                <w:sz w:val="18"/>
              </w:rPr>
              <w:t xml:space="preserve"> </w:t>
            </w:r>
            <w:r>
              <w:rPr>
                <w:spacing w:val="-2"/>
                <w:sz w:val="18"/>
              </w:rPr>
              <w:t>levies</w:t>
            </w:r>
          </w:p>
        </w:tc>
        <w:tc>
          <w:tcPr>
            <w:tcW w:w="1662" w:type="dxa"/>
            <w:tcBorders>
              <w:left w:val="nil"/>
              <w:bottom w:val="nil"/>
              <w:right w:val="nil"/>
            </w:tcBorders>
            <w:shd w:val="clear" w:color="auto" w:fill="F1F1F1"/>
          </w:tcPr>
          <w:p w14:paraId="76211041" w14:textId="77777777" w:rsidR="00AC6F3C" w:rsidRDefault="00570E88">
            <w:pPr>
              <w:pStyle w:val="TableParagraph"/>
              <w:spacing w:before="39"/>
              <w:ind w:right="35"/>
              <w:jc w:val="right"/>
              <w:rPr>
                <w:sz w:val="18"/>
              </w:rPr>
            </w:pPr>
            <w:r>
              <w:rPr>
                <w:spacing w:val="-5"/>
                <w:sz w:val="18"/>
              </w:rPr>
              <w:t>532</w:t>
            </w:r>
          </w:p>
        </w:tc>
        <w:tc>
          <w:tcPr>
            <w:tcW w:w="1640" w:type="dxa"/>
            <w:tcBorders>
              <w:left w:val="nil"/>
              <w:bottom w:val="nil"/>
            </w:tcBorders>
          </w:tcPr>
          <w:p w14:paraId="6D7980C7" w14:textId="77777777" w:rsidR="00AC6F3C" w:rsidRDefault="00570E88">
            <w:pPr>
              <w:pStyle w:val="TableParagraph"/>
              <w:spacing w:before="39"/>
              <w:ind w:right="21"/>
              <w:jc w:val="right"/>
              <w:rPr>
                <w:sz w:val="18"/>
              </w:rPr>
            </w:pPr>
            <w:r>
              <w:rPr>
                <w:spacing w:val="-5"/>
                <w:sz w:val="18"/>
              </w:rPr>
              <w:t>339</w:t>
            </w:r>
          </w:p>
        </w:tc>
      </w:tr>
      <w:tr w:rsidR="00AC6F3C" w14:paraId="44836958" w14:textId="77777777">
        <w:trPr>
          <w:trHeight w:val="262"/>
        </w:trPr>
        <w:tc>
          <w:tcPr>
            <w:tcW w:w="5413" w:type="dxa"/>
            <w:tcBorders>
              <w:top w:val="nil"/>
              <w:right w:val="nil"/>
            </w:tcBorders>
          </w:tcPr>
          <w:p w14:paraId="780E19F0" w14:textId="77777777" w:rsidR="00AC6F3C" w:rsidRDefault="00570E88">
            <w:pPr>
              <w:pStyle w:val="TableParagraph"/>
              <w:spacing w:before="34"/>
              <w:ind w:left="37"/>
              <w:rPr>
                <w:sz w:val="18"/>
              </w:rPr>
            </w:pPr>
            <w:r>
              <w:rPr>
                <w:sz w:val="18"/>
              </w:rPr>
              <w:t>Claim</w:t>
            </w:r>
            <w:r>
              <w:rPr>
                <w:spacing w:val="23"/>
                <w:sz w:val="18"/>
              </w:rPr>
              <w:t xml:space="preserve"> </w:t>
            </w:r>
            <w:r>
              <w:rPr>
                <w:sz w:val="18"/>
              </w:rPr>
              <w:t>payment</w:t>
            </w:r>
            <w:r>
              <w:rPr>
                <w:spacing w:val="-2"/>
                <w:sz w:val="18"/>
              </w:rPr>
              <w:t xml:space="preserve"> recoveries</w:t>
            </w:r>
          </w:p>
        </w:tc>
        <w:tc>
          <w:tcPr>
            <w:tcW w:w="1662" w:type="dxa"/>
            <w:tcBorders>
              <w:top w:val="nil"/>
              <w:left w:val="nil"/>
              <w:right w:val="nil"/>
            </w:tcBorders>
            <w:shd w:val="clear" w:color="auto" w:fill="F1F1F1"/>
          </w:tcPr>
          <w:p w14:paraId="50060F29" w14:textId="77777777" w:rsidR="00AC6F3C" w:rsidRDefault="00570E88">
            <w:pPr>
              <w:pStyle w:val="TableParagraph"/>
              <w:spacing w:before="34"/>
              <w:ind w:right="35"/>
              <w:jc w:val="right"/>
              <w:rPr>
                <w:sz w:val="18"/>
              </w:rPr>
            </w:pPr>
            <w:r>
              <w:rPr>
                <w:spacing w:val="-5"/>
                <w:sz w:val="18"/>
              </w:rPr>
              <w:t>17</w:t>
            </w:r>
          </w:p>
        </w:tc>
        <w:tc>
          <w:tcPr>
            <w:tcW w:w="1640" w:type="dxa"/>
            <w:tcBorders>
              <w:top w:val="nil"/>
              <w:left w:val="nil"/>
            </w:tcBorders>
          </w:tcPr>
          <w:p w14:paraId="13808538" w14:textId="77777777" w:rsidR="00AC6F3C" w:rsidRDefault="00570E88">
            <w:pPr>
              <w:pStyle w:val="TableParagraph"/>
              <w:spacing w:before="34"/>
              <w:ind w:right="25"/>
              <w:jc w:val="right"/>
              <w:rPr>
                <w:sz w:val="18"/>
              </w:rPr>
            </w:pPr>
            <w:r>
              <w:rPr>
                <w:w w:val="99"/>
                <w:sz w:val="18"/>
              </w:rPr>
              <w:t>8</w:t>
            </w:r>
          </w:p>
        </w:tc>
      </w:tr>
      <w:tr w:rsidR="00AC6F3C" w14:paraId="506F4F57" w14:textId="77777777">
        <w:trPr>
          <w:trHeight w:val="267"/>
        </w:trPr>
        <w:tc>
          <w:tcPr>
            <w:tcW w:w="5413" w:type="dxa"/>
            <w:tcBorders>
              <w:right w:val="nil"/>
            </w:tcBorders>
            <w:shd w:val="clear" w:color="auto" w:fill="BEBEBE"/>
          </w:tcPr>
          <w:p w14:paraId="006D310F" w14:textId="77777777" w:rsidR="00AC6F3C" w:rsidRDefault="00570E88">
            <w:pPr>
              <w:pStyle w:val="TableParagraph"/>
              <w:spacing w:before="53" w:line="193" w:lineRule="exact"/>
              <w:ind w:left="37"/>
              <w:rPr>
                <w:b/>
                <w:sz w:val="18"/>
              </w:rPr>
            </w:pPr>
            <w:r>
              <w:rPr>
                <w:b/>
                <w:spacing w:val="-2"/>
                <w:sz w:val="18"/>
              </w:rPr>
              <w:t>Total</w:t>
            </w:r>
            <w:r>
              <w:rPr>
                <w:b/>
                <w:spacing w:val="-11"/>
                <w:sz w:val="18"/>
              </w:rPr>
              <w:t xml:space="preserve"> </w:t>
            </w:r>
            <w:r>
              <w:rPr>
                <w:b/>
                <w:spacing w:val="-2"/>
                <w:sz w:val="18"/>
              </w:rPr>
              <w:t>practitioner</w:t>
            </w:r>
            <w:r>
              <w:rPr>
                <w:b/>
                <w:spacing w:val="-4"/>
                <w:sz w:val="18"/>
              </w:rPr>
              <w:t xml:space="preserve"> </w:t>
            </w:r>
            <w:r>
              <w:rPr>
                <w:b/>
                <w:spacing w:val="-2"/>
                <w:sz w:val="18"/>
              </w:rPr>
              <w:t>levies</w:t>
            </w:r>
          </w:p>
        </w:tc>
        <w:tc>
          <w:tcPr>
            <w:tcW w:w="1662" w:type="dxa"/>
            <w:tcBorders>
              <w:left w:val="nil"/>
              <w:right w:val="nil"/>
            </w:tcBorders>
            <w:shd w:val="clear" w:color="auto" w:fill="BEBEBE"/>
          </w:tcPr>
          <w:p w14:paraId="77FFC8FD" w14:textId="77777777" w:rsidR="00AC6F3C" w:rsidRDefault="00570E88">
            <w:pPr>
              <w:pStyle w:val="TableParagraph"/>
              <w:spacing w:before="53" w:line="193" w:lineRule="exact"/>
              <w:ind w:right="35"/>
              <w:jc w:val="right"/>
              <w:rPr>
                <w:b/>
                <w:sz w:val="18"/>
              </w:rPr>
            </w:pPr>
            <w:r>
              <w:rPr>
                <w:b/>
                <w:spacing w:val="-5"/>
                <w:sz w:val="18"/>
              </w:rPr>
              <w:t>549</w:t>
            </w:r>
          </w:p>
        </w:tc>
        <w:tc>
          <w:tcPr>
            <w:tcW w:w="1640" w:type="dxa"/>
            <w:tcBorders>
              <w:left w:val="nil"/>
            </w:tcBorders>
            <w:shd w:val="clear" w:color="auto" w:fill="BEBEBE"/>
          </w:tcPr>
          <w:p w14:paraId="2ACE8920" w14:textId="77777777" w:rsidR="00AC6F3C" w:rsidRDefault="00570E88">
            <w:pPr>
              <w:pStyle w:val="TableParagraph"/>
              <w:spacing w:before="53" w:line="193" w:lineRule="exact"/>
              <w:ind w:right="20"/>
              <w:jc w:val="right"/>
              <w:rPr>
                <w:b/>
                <w:sz w:val="18"/>
              </w:rPr>
            </w:pPr>
            <w:r>
              <w:rPr>
                <w:b/>
                <w:spacing w:val="-5"/>
                <w:sz w:val="18"/>
              </w:rPr>
              <w:t>347</w:t>
            </w:r>
          </w:p>
        </w:tc>
      </w:tr>
    </w:tbl>
    <w:p w14:paraId="594397B8" w14:textId="77777777" w:rsidR="00AC6F3C" w:rsidRDefault="00AC6F3C">
      <w:pPr>
        <w:pStyle w:val="BodyText"/>
        <w:spacing w:before="2"/>
        <w:rPr>
          <w:sz w:val="22"/>
        </w:rPr>
      </w:pPr>
    </w:p>
    <w:p w14:paraId="112042E4" w14:textId="77777777" w:rsidR="00AC6F3C" w:rsidRDefault="00570E88">
      <w:pPr>
        <w:pStyle w:val="Heading6"/>
        <w:tabs>
          <w:tab w:val="left" w:pos="1831"/>
        </w:tabs>
        <w:spacing w:before="0"/>
        <w:ind w:left="979"/>
      </w:pPr>
      <w:r>
        <w:rPr>
          <w:spacing w:val="-2"/>
        </w:rPr>
        <w:t>B1-</w:t>
      </w:r>
      <w:r>
        <w:rPr>
          <w:spacing w:val="-10"/>
        </w:rPr>
        <w:t>2</w:t>
      </w:r>
      <w:r>
        <w:tab/>
        <w:t>INVESTMENT</w:t>
      </w:r>
      <w:r>
        <w:rPr>
          <w:spacing w:val="-3"/>
        </w:rPr>
        <w:t xml:space="preserve"> </w:t>
      </w:r>
      <w:r>
        <w:rPr>
          <w:spacing w:val="-2"/>
        </w:rPr>
        <w:t>INCOME</w:t>
      </w:r>
    </w:p>
    <w:p w14:paraId="1DB2DE86" w14:textId="77777777" w:rsidR="00AC6F3C" w:rsidRDefault="00AC6F3C">
      <w:pPr>
        <w:pStyle w:val="BodyText"/>
        <w:spacing w:before="9"/>
        <w:rPr>
          <w:b/>
        </w:rPr>
      </w:pPr>
    </w:p>
    <w:p w14:paraId="720F8F45" w14:textId="77777777" w:rsidR="00AC6F3C" w:rsidRDefault="00570E88">
      <w:pPr>
        <w:ind w:left="979"/>
        <w:rPr>
          <w:sz w:val="18"/>
        </w:rPr>
      </w:pPr>
      <w:r>
        <w:rPr>
          <w:sz w:val="18"/>
        </w:rPr>
        <w:t>Distribution</w:t>
      </w:r>
      <w:r>
        <w:rPr>
          <w:spacing w:val="-3"/>
          <w:sz w:val="18"/>
        </w:rPr>
        <w:t xml:space="preserve"> </w:t>
      </w:r>
      <w:r>
        <w:rPr>
          <w:sz w:val="18"/>
        </w:rPr>
        <w:t>from</w:t>
      </w:r>
      <w:r>
        <w:rPr>
          <w:spacing w:val="-2"/>
          <w:sz w:val="18"/>
        </w:rPr>
        <w:t xml:space="preserve"> </w:t>
      </w:r>
      <w:r>
        <w:rPr>
          <w:sz w:val="18"/>
        </w:rPr>
        <w:t>investments</w:t>
      </w:r>
      <w:r>
        <w:rPr>
          <w:spacing w:val="-2"/>
          <w:sz w:val="18"/>
        </w:rPr>
        <w:t xml:space="preserve"> </w:t>
      </w:r>
      <w:r>
        <w:rPr>
          <w:sz w:val="18"/>
        </w:rPr>
        <w:t>income</w:t>
      </w:r>
      <w:r>
        <w:rPr>
          <w:spacing w:val="-2"/>
          <w:sz w:val="18"/>
        </w:rPr>
        <w:t xml:space="preserve"> </w:t>
      </w:r>
      <w:r>
        <w:rPr>
          <w:sz w:val="18"/>
        </w:rPr>
        <w:t>is</w:t>
      </w:r>
      <w:r>
        <w:rPr>
          <w:spacing w:val="-3"/>
          <w:sz w:val="18"/>
        </w:rPr>
        <w:t xml:space="preserve"> </w:t>
      </w:r>
      <w:proofErr w:type="spellStart"/>
      <w:r>
        <w:rPr>
          <w:sz w:val="18"/>
        </w:rPr>
        <w:t>recognised</w:t>
      </w:r>
      <w:proofErr w:type="spellEnd"/>
      <w:r>
        <w:rPr>
          <w:spacing w:val="-2"/>
          <w:sz w:val="18"/>
        </w:rPr>
        <w:t xml:space="preserve"> </w:t>
      </w:r>
      <w:r>
        <w:rPr>
          <w:sz w:val="18"/>
        </w:rPr>
        <w:t>when</w:t>
      </w:r>
      <w:r>
        <w:rPr>
          <w:spacing w:val="-2"/>
          <w:sz w:val="18"/>
        </w:rPr>
        <w:t xml:space="preserve"> </w:t>
      </w:r>
      <w:r>
        <w:rPr>
          <w:sz w:val="18"/>
        </w:rPr>
        <w:t>declared</w:t>
      </w:r>
      <w:r>
        <w:rPr>
          <w:spacing w:val="-2"/>
          <w:sz w:val="18"/>
        </w:rPr>
        <w:t xml:space="preserve"> </w:t>
      </w:r>
      <w:r>
        <w:rPr>
          <w:sz w:val="18"/>
        </w:rPr>
        <w:t>by</w:t>
      </w:r>
      <w:r>
        <w:rPr>
          <w:spacing w:val="-2"/>
          <w:sz w:val="18"/>
        </w:rPr>
        <w:t xml:space="preserve"> </w:t>
      </w:r>
      <w:r>
        <w:rPr>
          <w:sz w:val="18"/>
        </w:rPr>
        <w:t>fund</w:t>
      </w:r>
      <w:r>
        <w:rPr>
          <w:spacing w:val="-5"/>
          <w:sz w:val="18"/>
        </w:rPr>
        <w:t xml:space="preserve"> </w:t>
      </w:r>
      <w:r>
        <w:rPr>
          <w:spacing w:val="-2"/>
          <w:sz w:val="18"/>
        </w:rPr>
        <w:t>managers.</w:t>
      </w:r>
    </w:p>
    <w:p w14:paraId="59F84D0A" w14:textId="77777777" w:rsidR="00AC6F3C" w:rsidRDefault="00AC6F3C">
      <w:pPr>
        <w:pStyle w:val="BodyText"/>
        <w:spacing w:before="9"/>
      </w:pPr>
    </w:p>
    <w:p w14:paraId="25B065F5" w14:textId="77777777" w:rsidR="00AC6F3C" w:rsidRDefault="00570E88">
      <w:pPr>
        <w:ind w:left="979" w:right="468"/>
        <w:rPr>
          <w:sz w:val="18"/>
        </w:rPr>
      </w:pPr>
      <w:r>
        <w:rPr>
          <w:sz w:val="18"/>
        </w:rPr>
        <w:t>Interest</w:t>
      </w:r>
      <w:r>
        <w:rPr>
          <w:spacing w:val="-1"/>
          <w:sz w:val="18"/>
        </w:rPr>
        <w:t xml:space="preserve"> </w:t>
      </w:r>
      <w:r>
        <w:rPr>
          <w:sz w:val="18"/>
        </w:rPr>
        <w:t>income</w:t>
      </w:r>
      <w:r>
        <w:rPr>
          <w:spacing w:val="-3"/>
          <w:sz w:val="18"/>
        </w:rPr>
        <w:t xml:space="preserve"> </w:t>
      </w:r>
      <w:r>
        <w:rPr>
          <w:sz w:val="18"/>
        </w:rPr>
        <w:t xml:space="preserve">is </w:t>
      </w:r>
      <w:proofErr w:type="spellStart"/>
      <w:r>
        <w:rPr>
          <w:sz w:val="18"/>
        </w:rPr>
        <w:t>recognised</w:t>
      </w:r>
      <w:proofErr w:type="spellEnd"/>
      <w:r>
        <w:rPr>
          <w:spacing w:val="-5"/>
          <w:sz w:val="18"/>
        </w:rPr>
        <w:t xml:space="preserve"> </w:t>
      </w:r>
      <w:r>
        <w:rPr>
          <w:sz w:val="18"/>
        </w:rPr>
        <w:t>as it</w:t>
      </w:r>
      <w:r>
        <w:rPr>
          <w:spacing w:val="-3"/>
          <w:sz w:val="18"/>
        </w:rPr>
        <w:t xml:space="preserve"> </w:t>
      </w:r>
      <w:r>
        <w:rPr>
          <w:sz w:val="18"/>
        </w:rPr>
        <w:t>accrues,</w:t>
      </w:r>
      <w:r>
        <w:rPr>
          <w:spacing w:val="-1"/>
          <w:sz w:val="18"/>
        </w:rPr>
        <w:t xml:space="preserve"> </w:t>
      </w:r>
      <w:r>
        <w:rPr>
          <w:sz w:val="18"/>
        </w:rPr>
        <w:t>taking</w:t>
      </w:r>
      <w:r>
        <w:rPr>
          <w:spacing w:val="-3"/>
          <w:sz w:val="18"/>
        </w:rPr>
        <w:t xml:space="preserve"> </w:t>
      </w:r>
      <w:r>
        <w:rPr>
          <w:sz w:val="18"/>
        </w:rPr>
        <w:t>into</w:t>
      </w:r>
      <w:r>
        <w:rPr>
          <w:spacing w:val="-3"/>
          <w:sz w:val="18"/>
        </w:rPr>
        <w:t xml:space="preserve"> </w:t>
      </w:r>
      <w:r>
        <w:rPr>
          <w:sz w:val="18"/>
        </w:rPr>
        <w:t>account</w:t>
      </w:r>
      <w:r>
        <w:rPr>
          <w:spacing w:val="-1"/>
          <w:sz w:val="18"/>
        </w:rPr>
        <w:t xml:space="preserve"> </w:t>
      </w:r>
      <w:r>
        <w:rPr>
          <w:sz w:val="18"/>
        </w:rPr>
        <w:t>the effective</w:t>
      </w:r>
      <w:r>
        <w:rPr>
          <w:spacing w:val="-3"/>
          <w:sz w:val="18"/>
        </w:rPr>
        <w:t xml:space="preserve"> </w:t>
      </w:r>
      <w:r>
        <w:rPr>
          <w:sz w:val="18"/>
        </w:rPr>
        <w:t>yield</w:t>
      </w:r>
      <w:r>
        <w:rPr>
          <w:spacing w:val="-3"/>
          <w:sz w:val="18"/>
        </w:rPr>
        <w:t xml:space="preserve"> </w:t>
      </w:r>
      <w:r>
        <w:rPr>
          <w:sz w:val="18"/>
        </w:rPr>
        <w:t>on the financial</w:t>
      </w:r>
      <w:r>
        <w:rPr>
          <w:spacing w:val="-3"/>
          <w:sz w:val="18"/>
        </w:rPr>
        <w:t xml:space="preserve"> </w:t>
      </w:r>
      <w:r>
        <w:rPr>
          <w:sz w:val="18"/>
        </w:rPr>
        <w:t>asset</w:t>
      </w:r>
      <w:r>
        <w:rPr>
          <w:spacing w:val="-3"/>
          <w:sz w:val="18"/>
        </w:rPr>
        <w:t xml:space="preserve"> </w:t>
      </w:r>
      <w:r>
        <w:rPr>
          <w:sz w:val="18"/>
        </w:rPr>
        <w:t>and</w:t>
      </w:r>
      <w:r>
        <w:rPr>
          <w:spacing w:val="-3"/>
          <w:sz w:val="18"/>
        </w:rPr>
        <w:t xml:space="preserve"> </w:t>
      </w:r>
      <w:r>
        <w:rPr>
          <w:sz w:val="18"/>
        </w:rPr>
        <w:t xml:space="preserve">is also </w:t>
      </w:r>
      <w:proofErr w:type="spellStart"/>
      <w:r>
        <w:rPr>
          <w:sz w:val="18"/>
        </w:rPr>
        <w:t>recognised</w:t>
      </w:r>
      <w:proofErr w:type="spellEnd"/>
      <w:r>
        <w:rPr>
          <w:sz w:val="18"/>
        </w:rPr>
        <w:t xml:space="preserve"> net of bank charges.</w:t>
      </w:r>
    </w:p>
    <w:p w14:paraId="7B441C00" w14:textId="77777777" w:rsidR="00AC6F3C" w:rsidRDefault="00AC6F3C">
      <w:pPr>
        <w:pStyle w:val="BodyText"/>
        <w:spacing w:before="2"/>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7573EE5D" w14:textId="77777777">
        <w:trPr>
          <w:trHeight w:val="549"/>
        </w:trPr>
        <w:tc>
          <w:tcPr>
            <w:tcW w:w="8715" w:type="dxa"/>
            <w:gridSpan w:val="3"/>
            <w:shd w:val="clear" w:color="auto" w:fill="BEBEBE"/>
          </w:tcPr>
          <w:p w14:paraId="7EF32E72"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5249D4C2"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47F9181A" w14:textId="77777777">
        <w:trPr>
          <w:trHeight w:val="286"/>
        </w:trPr>
        <w:tc>
          <w:tcPr>
            <w:tcW w:w="5413" w:type="dxa"/>
            <w:tcBorders>
              <w:bottom w:val="nil"/>
              <w:right w:val="nil"/>
            </w:tcBorders>
          </w:tcPr>
          <w:p w14:paraId="7B8C6875" w14:textId="77777777" w:rsidR="00AC6F3C" w:rsidRDefault="00570E88">
            <w:pPr>
              <w:pStyle w:val="TableParagraph"/>
              <w:spacing w:before="39"/>
              <w:ind w:left="37"/>
              <w:rPr>
                <w:sz w:val="18"/>
              </w:rPr>
            </w:pPr>
            <w:r>
              <w:rPr>
                <w:sz w:val="18"/>
              </w:rPr>
              <w:t>Distributions</w:t>
            </w:r>
            <w:r>
              <w:rPr>
                <w:spacing w:val="21"/>
                <w:sz w:val="18"/>
              </w:rPr>
              <w:t xml:space="preserve"> </w:t>
            </w:r>
            <w:r>
              <w:rPr>
                <w:sz w:val="18"/>
              </w:rPr>
              <w:t>from</w:t>
            </w:r>
            <w:r>
              <w:rPr>
                <w:spacing w:val="22"/>
                <w:sz w:val="18"/>
              </w:rPr>
              <w:t xml:space="preserve"> </w:t>
            </w:r>
            <w:r>
              <w:rPr>
                <w:spacing w:val="-2"/>
                <w:sz w:val="18"/>
              </w:rPr>
              <w:t>investments</w:t>
            </w:r>
          </w:p>
        </w:tc>
        <w:tc>
          <w:tcPr>
            <w:tcW w:w="1662" w:type="dxa"/>
            <w:tcBorders>
              <w:left w:val="nil"/>
              <w:bottom w:val="nil"/>
              <w:right w:val="nil"/>
            </w:tcBorders>
            <w:shd w:val="clear" w:color="auto" w:fill="F1F1F1"/>
          </w:tcPr>
          <w:p w14:paraId="54904850" w14:textId="77777777" w:rsidR="00AC6F3C" w:rsidRDefault="00570E88">
            <w:pPr>
              <w:pStyle w:val="TableParagraph"/>
              <w:spacing w:before="39"/>
              <w:ind w:right="35"/>
              <w:jc w:val="right"/>
              <w:rPr>
                <w:sz w:val="18"/>
              </w:rPr>
            </w:pPr>
            <w:r>
              <w:rPr>
                <w:spacing w:val="-5"/>
                <w:sz w:val="18"/>
              </w:rPr>
              <w:t>481</w:t>
            </w:r>
          </w:p>
        </w:tc>
        <w:tc>
          <w:tcPr>
            <w:tcW w:w="1640" w:type="dxa"/>
            <w:tcBorders>
              <w:left w:val="nil"/>
              <w:bottom w:val="nil"/>
            </w:tcBorders>
          </w:tcPr>
          <w:p w14:paraId="3E330FFC" w14:textId="77777777" w:rsidR="00AC6F3C" w:rsidRDefault="00570E88">
            <w:pPr>
              <w:pStyle w:val="TableParagraph"/>
              <w:spacing w:before="39"/>
              <w:ind w:right="21"/>
              <w:jc w:val="right"/>
              <w:rPr>
                <w:sz w:val="18"/>
              </w:rPr>
            </w:pPr>
            <w:r>
              <w:rPr>
                <w:spacing w:val="-2"/>
                <w:sz w:val="18"/>
              </w:rPr>
              <w:t>1,082</w:t>
            </w:r>
          </w:p>
        </w:tc>
      </w:tr>
      <w:tr w:rsidR="00AC6F3C" w14:paraId="48D92B87" w14:textId="77777777">
        <w:trPr>
          <w:trHeight w:val="262"/>
        </w:trPr>
        <w:tc>
          <w:tcPr>
            <w:tcW w:w="5413" w:type="dxa"/>
            <w:tcBorders>
              <w:top w:val="nil"/>
              <w:right w:val="nil"/>
            </w:tcBorders>
          </w:tcPr>
          <w:p w14:paraId="3A1E8A51" w14:textId="77777777" w:rsidR="00AC6F3C" w:rsidRDefault="00570E88">
            <w:pPr>
              <w:pStyle w:val="TableParagraph"/>
              <w:spacing w:before="34"/>
              <w:ind w:left="37"/>
              <w:rPr>
                <w:sz w:val="18"/>
              </w:rPr>
            </w:pPr>
            <w:r>
              <w:rPr>
                <w:sz w:val="18"/>
              </w:rPr>
              <w:t>Interest</w:t>
            </w:r>
            <w:r>
              <w:rPr>
                <w:spacing w:val="-3"/>
                <w:sz w:val="18"/>
              </w:rPr>
              <w:t xml:space="preserve"> </w:t>
            </w:r>
            <w:r>
              <w:rPr>
                <w:spacing w:val="-2"/>
                <w:sz w:val="18"/>
              </w:rPr>
              <w:t>income</w:t>
            </w:r>
          </w:p>
        </w:tc>
        <w:tc>
          <w:tcPr>
            <w:tcW w:w="1662" w:type="dxa"/>
            <w:tcBorders>
              <w:top w:val="nil"/>
              <w:left w:val="nil"/>
              <w:right w:val="nil"/>
            </w:tcBorders>
            <w:shd w:val="clear" w:color="auto" w:fill="F1F1F1"/>
          </w:tcPr>
          <w:p w14:paraId="40AD1C58" w14:textId="77777777" w:rsidR="00AC6F3C" w:rsidRDefault="00570E88">
            <w:pPr>
              <w:pStyle w:val="TableParagraph"/>
              <w:spacing w:before="34"/>
              <w:ind w:right="35"/>
              <w:jc w:val="right"/>
              <w:rPr>
                <w:sz w:val="18"/>
              </w:rPr>
            </w:pPr>
            <w:r>
              <w:rPr>
                <w:spacing w:val="-5"/>
                <w:sz w:val="18"/>
              </w:rPr>
              <w:t>28</w:t>
            </w:r>
          </w:p>
        </w:tc>
        <w:tc>
          <w:tcPr>
            <w:tcW w:w="1640" w:type="dxa"/>
            <w:tcBorders>
              <w:top w:val="nil"/>
              <w:left w:val="nil"/>
            </w:tcBorders>
          </w:tcPr>
          <w:p w14:paraId="4C252A6B" w14:textId="77777777" w:rsidR="00AC6F3C" w:rsidRDefault="00570E88">
            <w:pPr>
              <w:pStyle w:val="TableParagraph"/>
              <w:spacing w:before="34"/>
              <w:ind w:right="25"/>
              <w:jc w:val="right"/>
              <w:rPr>
                <w:sz w:val="18"/>
              </w:rPr>
            </w:pPr>
            <w:r>
              <w:rPr>
                <w:w w:val="99"/>
                <w:sz w:val="18"/>
              </w:rPr>
              <w:t>8</w:t>
            </w:r>
          </w:p>
        </w:tc>
      </w:tr>
      <w:tr w:rsidR="00AC6F3C" w14:paraId="544D0FF0" w14:textId="77777777">
        <w:trPr>
          <w:trHeight w:val="267"/>
        </w:trPr>
        <w:tc>
          <w:tcPr>
            <w:tcW w:w="5413" w:type="dxa"/>
            <w:tcBorders>
              <w:right w:val="nil"/>
            </w:tcBorders>
            <w:shd w:val="clear" w:color="auto" w:fill="BEBEBE"/>
          </w:tcPr>
          <w:p w14:paraId="4E67C005" w14:textId="77777777" w:rsidR="00AC6F3C" w:rsidRDefault="00570E88">
            <w:pPr>
              <w:pStyle w:val="TableParagraph"/>
              <w:spacing w:before="53" w:line="193" w:lineRule="exact"/>
              <w:ind w:left="37"/>
              <w:rPr>
                <w:b/>
                <w:sz w:val="18"/>
              </w:rPr>
            </w:pPr>
            <w:r>
              <w:rPr>
                <w:b/>
                <w:spacing w:val="-4"/>
                <w:sz w:val="18"/>
              </w:rPr>
              <w:t>Total</w:t>
            </w:r>
            <w:r>
              <w:rPr>
                <w:b/>
                <w:sz w:val="18"/>
              </w:rPr>
              <w:t xml:space="preserve"> </w:t>
            </w:r>
            <w:r>
              <w:rPr>
                <w:b/>
                <w:spacing w:val="-4"/>
                <w:sz w:val="18"/>
              </w:rPr>
              <w:t>investment</w:t>
            </w:r>
            <w:r>
              <w:rPr>
                <w:b/>
                <w:spacing w:val="8"/>
                <w:sz w:val="18"/>
              </w:rPr>
              <w:t xml:space="preserve"> </w:t>
            </w:r>
            <w:r>
              <w:rPr>
                <w:b/>
                <w:spacing w:val="-4"/>
                <w:sz w:val="18"/>
              </w:rPr>
              <w:t>income</w:t>
            </w:r>
          </w:p>
        </w:tc>
        <w:tc>
          <w:tcPr>
            <w:tcW w:w="1662" w:type="dxa"/>
            <w:tcBorders>
              <w:left w:val="nil"/>
              <w:right w:val="nil"/>
            </w:tcBorders>
            <w:shd w:val="clear" w:color="auto" w:fill="BEBEBE"/>
          </w:tcPr>
          <w:p w14:paraId="7D3E61D2" w14:textId="77777777" w:rsidR="00AC6F3C" w:rsidRDefault="00570E88">
            <w:pPr>
              <w:pStyle w:val="TableParagraph"/>
              <w:spacing w:before="53" w:line="193" w:lineRule="exact"/>
              <w:ind w:right="35"/>
              <w:jc w:val="right"/>
              <w:rPr>
                <w:b/>
                <w:sz w:val="18"/>
              </w:rPr>
            </w:pPr>
            <w:r>
              <w:rPr>
                <w:b/>
                <w:spacing w:val="-5"/>
                <w:sz w:val="18"/>
              </w:rPr>
              <w:t>509</w:t>
            </w:r>
          </w:p>
        </w:tc>
        <w:tc>
          <w:tcPr>
            <w:tcW w:w="1640" w:type="dxa"/>
            <w:tcBorders>
              <w:left w:val="nil"/>
            </w:tcBorders>
            <w:shd w:val="clear" w:color="auto" w:fill="BEBEBE"/>
          </w:tcPr>
          <w:p w14:paraId="5D3BA59B" w14:textId="77777777" w:rsidR="00AC6F3C" w:rsidRDefault="00570E88">
            <w:pPr>
              <w:pStyle w:val="TableParagraph"/>
              <w:spacing w:before="53" w:line="193" w:lineRule="exact"/>
              <w:ind w:right="21"/>
              <w:jc w:val="right"/>
              <w:rPr>
                <w:b/>
                <w:sz w:val="18"/>
              </w:rPr>
            </w:pPr>
            <w:r>
              <w:rPr>
                <w:b/>
                <w:spacing w:val="-2"/>
                <w:sz w:val="18"/>
              </w:rPr>
              <w:t>1,090</w:t>
            </w:r>
          </w:p>
        </w:tc>
      </w:tr>
    </w:tbl>
    <w:p w14:paraId="2B6941DB" w14:textId="77777777" w:rsidR="00AC6F3C" w:rsidRDefault="00AC6F3C">
      <w:pPr>
        <w:pStyle w:val="BodyText"/>
        <w:spacing w:before="4"/>
        <w:rPr>
          <w:sz w:val="19"/>
        </w:rPr>
      </w:pPr>
    </w:p>
    <w:p w14:paraId="001035F8" w14:textId="77777777" w:rsidR="00AC6F3C" w:rsidRDefault="00570E88">
      <w:pPr>
        <w:pStyle w:val="Heading6"/>
        <w:tabs>
          <w:tab w:val="left" w:pos="1834"/>
        </w:tabs>
        <w:spacing w:before="0"/>
        <w:ind w:left="979"/>
      </w:pPr>
      <w:r>
        <w:rPr>
          <w:spacing w:val="-2"/>
        </w:rPr>
        <w:t>B1-</w:t>
      </w:r>
      <w:r>
        <w:rPr>
          <w:spacing w:val="-10"/>
        </w:rPr>
        <w:t>3</w:t>
      </w:r>
      <w:r>
        <w:tab/>
        <w:t>GAINS/(LOSSES)</w:t>
      </w:r>
      <w:r>
        <w:rPr>
          <w:spacing w:val="-4"/>
        </w:rPr>
        <w:t xml:space="preserve"> </w:t>
      </w:r>
      <w:r>
        <w:t>ON</w:t>
      </w:r>
      <w:r>
        <w:rPr>
          <w:spacing w:val="-3"/>
        </w:rPr>
        <w:t xml:space="preserve"> </w:t>
      </w:r>
      <w:r>
        <w:rPr>
          <w:spacing w:val="-2"/>
        </w:rPr>
        <w:t>INVESTMENTS</w:t>
      </w:r>
    </w:p>
    <w:p w14:paraId="08F3228B" w14:textId="77777777" w:rsidR="00AC6F3C" w:rsidRDefault="00570E88">
      <w:pPr>
        <w:spacing w:before="119"/>
        <w:ind w:left="979" w:right="632"/>
        <w:rPr>
          <w:sz w:val="18"/>
        </w:rPr>
      </w:pPr>
      <w:proofErr w:type="spellStart"/>
      <w:r>
        <w:rPr>
          <w:sz w:val="18"/>
        </w:rPr>
        <w:t>Realised</w:t>
      </w:r>
      <w:proofErr w:type="spellEnd"/>
      <w:r>
        <w:rPr>
          <w:spacing w:val="-4"/>
          <w:sz w:val="18"/>
        </w:rPr>
        <w:t xml:space="preserve"> </w:t>
      </w:r>
      <w:r>
        <w:rPr>
          <w:sz w:val="18"/>
        </w:rPr>
        <w:t>gains/(losses)</w:t>
      </w:r>
      <w:r>
        <w:rPr>
          <w:spacing w:val="-2"/>
          <w:sz w:val="18"/>
        </w:rPr>
        <w:t xml:space="preserve"> </w:t>
      </w:r>
      <w:r>
        <w:rPr>
          <w:sz w:val="18"/>
        </w:rPr>
        <w:t>represent</w:t>
      </w:r>
      <w:r>
        <w:rPr>
          <w:spacing w:val="-2"/>
          <w:sz w:val="18"/>
        </w:rPr>
        <w:t xml:space="preserve"> </w:t>
      </w:r>
      <w:r>
        <w:rPr>
          <w:sz w:val="18"/>
        </w:rPr>
        <w:t>the</w:t>
      </w:r>
      <w:r>
        <w:rPr>
          <w:spacing w:val="-2"/>
          <w:sz w:val="18"/>
        </w:rPr>
        <w:t xml:space="preserve"> </w:t>
      </w:r>
      <w:r>
        <w:rPr>
          <w:sz w:val="18"/>
        </w:rPr>
        <w:t>net</w:t>
      </w:r>
      <w:r>
        <w:rPr>
          <w:spacing w:val="-2"/>
          <w:sz w:val="18"/>
        </w:rPr>
        <w:t xml:space="preserve"> </w:t>
      </w:r>
      <w:r>
        <w:rPr>
          <w:sz w:val="18"/>
        </w:rPr>
        <w:t>gains/(losses)</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sale</w:t>
      </w:r>
      <w:r>
        <w:rPr>
          <w:spacing w:val="-4"/>
          <w:sz w:val="18"/>
        </w:rPr>
        <w:t xml:space="preserve"> </w:t>
      </w:r>
      <w:r>
        <w:rPr>
          <w:sz w:val="18"/>
        </w:rPr>
        <w:t>of</w:t>
      </w:r>
      <w:r>
        <w:rPr>
          <w:spacing w:val="-2"/>
          <w:sz w:val="18"/>
        </w:rPr>
        <w:t xml:space="preserve"> </w:t>
      </w:r>
      <w:r>
        <w:rPr>
          <w:sz w:val="18"/>
        </w:rPr>
        <w:t>investments</w:t>
      </w:r>
      <w:r>
        <w:rPr>
          <w:spacing w:val="-2"/>
          <w:sz w:val="18"/>
        </w:rPr>
        <w:t xml:space="preserve"> </w:t>
      </w:r>
      <w:r>
        <w:rPr>
          <w:sz w:val="18"/>
        </w:rPr>
        <w:t>and</w:t>
      </w:r>
      <w:r>
        <w:rPr>
          <w:spacing w:val="-2"/>
          <w:sz w:val="18"/>
        </w:rPr>
        <w:t xml:space="preserve"> </w:t>
      </w:r>
      <w:r>
        <w:rPr>
          <w:sz w:val="18"/>
        </w:rPr>
        <w:t>are</w:t>
      </w:r>
      <w:r>
        <w:rPr>
          <w:spacing w:val="-4"/>
          <w:sz w:val="18"/>
        </w:rPr>
        <w:t xml:space="preserve"> </w:t>
      </w:r>
      <w:proofErr w:type="spellStart"/>
      <w:r>
        <w:rPr>
          <w:sz w:val="18"/>
        </w:rPr>
        <w:t>recognised</w:t>
      </w:r>
      <w:proofErr w:type="spellEnd"/>
      <w:r>
        <w:rPr>
          <w:spacing w:val="-2"/>
          <w:sz w:val="18"/>
        </w:rPr>
        <w:t xml:space="preserve"> </w:t>
      </w:r>
      <w:r>
        <w:rPr>
          <w:sz w:val="18"/>
        </w:rPr>
        <w:t xml:space="preserve">when investments are sold during the course of the year. </w:t>
      </w:r>
      <w:proofErr w:type="spellStart"/>
      <w:r>
        <w:rPr>
          <w:sz w:val="18"/>
        </w:rPr>
        <w:t>Unrealised</w:t>
      </w:r>
      <w:proofErr w:type="spellEnd"/>
      <w:r>
        <w:rPr>
          <w:sz w:val="18"/>
        </w:rPr>
        <w:t xml:space="preserve"> gains/(losses) are </w:t>
      </w:r>
      <w:proofErr w:type="spellStart"/>
      <w:r>
        <w:rPr>
          <w:sz w:val="18"/>
        </w:rPr>
        <w:t>recognised</w:t>
      </w:r>
      <w:proofErr w:type="spellEnd"/>
      <w:r>
        <w:rPr>
          <w:sz w:val="18"/>
        </w:rPr>
        <w:t xml:space="preserve"> monthly based on fluctuations in market prices of investments.</w:t>
      </w:r>
    </w:p>
    <w:p w14:paraId="7280F1DB" w14:textId="77777777" w:rsidR="00AC6F3C" w:rsidRDefault="00AC6F3C">
      <w:pPr>
        <w:pStyle w:val="BodyText"/>
        <w:spacing w:before="5" w:after="1"/>
        <w:rPr>
          <w:sz w:val="28"/>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6C4CA2ED" w14:textId="77777777">
        <w:trPr>
          <w:trHeight w:val="549"/>
        </w:trPr>
        <w:tc>
          <w:tcPr>
            <w:tcW w:w="8715" w:type="dxa"/>
            <w:gridSpan w:val="3"/>
            <w:shd w:val="clear" w:color="auto" w:fill="BEBEBE"/>
          </w:tcPr>
          <w:p w14:paraId="57CB515E"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2DFD5FB0"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0ED2A9C1" w14:textId="77777777">
        <w:trPr>
          <w:trHeight w:val="286"/>
        </w:trPr>
        <w:tc>
          <w:tcPr>
            <w:tcW w:w="5413" w:type="dxa"/>
            <w:tcBorders>
              <w:bottom w:val="nil"/>
              <w:right w:val="nil"/>
            </w:tcBorders>
          </w:tcPr>
          <w:p w14:paraId="53133C95" w14:textId="77777777" w:rsidR="00AC6F3C" w:rsidRDefault="00570E88">
            <w:pPr>
              <w:pStyle w:val="TableParagraph"/>
              <w:spacing w:before="39"/>
              <w:ind w:left="37"/>
              <w:rPr>
                <w:sz w:val="18"/>
              </w:rPr>
            </w:pPr>
            <w:proofErr w:type="spellStart"/>
            <w:r>
              <w:rPr>
                <w:sz w:val="18"/>
              </w:rPr>
              <w:t>Realised</w:t>
            </w:r>
            <w:proofErr w:type="spellEnd"/>
            <w:r>
              <w:rPr>
                <w:spacing w:val="31"/>
                <w:sz w:val="18"/>
              </w:rPr>
              <w:t xml:space="preserve"> </w:t>
            </w:r>
            <w:r>
              <w:rPr>
                <w:spacing w:val="-2"/>
                <w:sz w:val="18"/>
              </w:rPr>
              <w:t>gains/(losses)</w:t>
            </w:r>
          </w:p>
        </w:tc>
        <w:tc>
          <w:tcPr>
            <w:tcW w:w="1662" w:type="dxa"/>
            <w:tcBorders>
              <w:left w:val="nil"/>
              <w:bottom w:val="nil"/>
              <w:right w:val="nil"/>
            </w:tcBorders>
            <w:shd w:val="clear" w:color="auto" w:fill="F1F1F1"/>
          </w:tcPr>
          <w:p w14:paraId="2407FBEB" w14:textId="77777777" w:rsidR="00AC6F3C" w:rsidRDefault="00570E88">
            <w:pPr>
              <w:pStyle w:val="TableParagraph"/>
              <w:spacing w:before="39"/>
              <w:ind w:right="35"/>
              <w:jc w:val="right"/>
              <w:rPr>
                <w:sz w:val="18"/>
              </w:rPr>
            </w:pPr>
            <w:r>
              <w:rPr>
                <w:spacing w:val="-5"/>
                <w:sz w:val="18"/>
              </w:rPr>
              <w:t>69</w:t>
            </w:r>
          </w:p>
        </w:tc>
        <w:tc>
          <w:tcPr>
            <w:tcW w:w="1640" w:type="dxa"/>
            <w:tcBorders>
              <w:left w:val="nil"/>
              <w:bottom w:val="nil"/>
            </w:tcBorders>
          </w:tcPr>
          <w:p w14:paraId="61582D67" w14:textId="77777777" w:rsidR="00AC6F3C" w:rsidRDefault="00570E88">
            <w:pPr>
              <w:pStyle w:val="TableParagraph"/>
              <w:spacing w:before="39"/>
              <w:ind w:right="16"/>
              <w:jc w:val="right"/>
              <w:rPr>
                <w:sz w:val="18"/>
              </w:rPr>
            </w:pPr>
            <w:r>
              <w:rPr>
                <w:spacing w:val="-2"/>
                <w:sz w:val="18"/>
              </w:rPr>
              <w:t>(2,387)</w:t>
            </w:r>
          </w:p>
        </w:tc>
      </w:tr>
      <w:tr w:rsidR="00AC6F3C" w14:paraId="29A7757B" w14:textId="77777777">
        <w:trPr>
          <w:trHeight w:val="262"/>
        </w:trPr>
        <w:tc>
          <w:tcPr>
            <w:tcW w:w="5413" w:type="dxa"/>
            <w:tcBorders>
              <w:top w:val="nil"/>
              <w:right w:val="nil"/>
            </w:tcBorders>
          </w:tcPr>
          <w:p w14:paraId="42C702B7" w14:textId="77777777" w:rsidR="00AC6F3C" w:rsidRDefault="00570E88">
            <w:pPr>
              <w:pStyle w:val="TableParagraph"/>
              <w:spacing w:before="34"/>
              <w:ind w:left="37"/>
              <w:rPr>
                <w:sz w:val="18"/>
              </w:rPr>
            </w:pPr>
            <w:proofErr w:type="spellStart"/>
            <w:r>
              <w:rPr>
                <w:sz w:val="18"/>
              </w:rPr>
              <w:t>Unrealised</w:t>
            </w:r>
            <w:proofErr w:type="spellEnd"/>
            <w:r>
              <w:rPr>
                <w:spacing w:val="35"/>
                <w:sz w:val="18"/>
              </w:rPr>
              <w:t xml:space="preserve"> </w:t>
            </w:r>
            <w:r>
              <w:rPr>
                <w:spacing w:val="-2"/>
                <w:sz w:val="18"/>
              </w:rPr>
              <w:t>gains/(losses)</w:t>
            </w:r>
          </w:p>
        </w:tc>
        <w:tc>
          <w:tcPr>
            <w:tcW w:w="1662" w:type="dxa"/>
            <w:tcBorders>
              <w:top w:val="nil"/>
              <w:left w:val="nil"/>
              <w:right w:val="nil"/>
            </w:tcBorders>
            <w:shd w:val="clear" w:color="auto" w:fill="F1F1F1"/>
          </w:tcPr>
          <w:p w14:paraId="67C009C2" w14:textId="77777777" w:rsidR="00AC6F3C" w:rsidRDefault="00570E88">
            <w:pPr>
              <w:pStyle w:val="TableParagraph"/>
              <w:spacing w:before="34"/>
              <w:ind w:right="35"/>
              <w:jc w:val="right"/>
              <w:rPr>
                <w:sz w:val="18"/>
              </w:rPr>
            </w:pPr>
            <w:r>
              <w:rPr>
                <w:spacing w:val="-5"/>
                <w:sz w:val="18"/>
              </w:rPr>
              <w:t>974</w:t>
            </w:r>
          </w:p>
        </w:tc>
        <w:tc>
          <w:tcPr>
            <w:tcW w:w="1640" w:type="dxa"/>
            <w:tcBorders>
              <w:top w:val="nil"/>
              <w:left w:val="nil"/>
            </w:tcBorders>
          </w:tcPr>
          <w:p w14:paraId="4D434B2A" w14:textId="77777777" w:rsidR="00AC6F3C" w:rsidRDefault="00570E88">
            <w:pPr>
              <w:pStyle w:val="TableParagraph"/>
              <w:spacing w:before="34"/>
              <w:ind w:right="16"/>
              <w:jc w:val="right"/>
              <w:rPr>
                <w:sz w:val="18"/>
              </w:rPr>
            </w:pPr>
            <w:r>
              <w:rPr>
                <w:spacing w:val="-2"/>
                <w:sz w:val="18"/>
              </w:rPr>
              <w:t>(169)</w:t>
            </w:r>
          </w:p>
        </w:tc>
      </w:tr>
      <w:tr w:rsidR="00AC6F3C" w14:paraId="64A643B7" w14:textId="77777777">
        <w:trPr>
          <w:trHeight w:val="267"/>
        </w:trPr>
        <w:tc>
          <w:tcPr>
            <w:tcW w:w="5413" w:type="dxa"/>
            <w:tcBorders>
              <w:right w:val="nil"/>
            </w:tcBorders>
            <w:shd w:val="clear" w:color="auto" w:fill="BEBEBE"/>
          </w:tcPr>
          <w:p w14:paraId="1852C6C1" w14:textId="77777777" w:rsidR="00AC6F3C" w:rsidRDefault="00570E88">
            <w:pPr>
              <w:pStyle w:val="TableParagraph"/>
              <w:spacing w:before="53" w:line="193" w:lineRule="exact"/>
              <w:ind w:left="37"/>
              <w:rPr>
                <w:b/>
                <w:sz w:val="18"/>
              </w:rPr>
            </w:pPr>
            <w:r>
              <w:rPr>
                <w:b/>
                <w:spacing w:val="-2"/>
                <w:sz w:val="18"/>
              </w:rPr>
              <w:t>Total</w:t>
            </w:r>
            <w:r>
              <w:rPr>
                <w:b/>
                <w:spacing w:val="-11"/>
                <w:sz w:val="18"/>
              </w:rPr>
              <w:t xml:space="preserve"> </w:t>
            </w:r>
            <w:r>
              <w:rPr>
                <w:b/>
                <w:spacing w:val="-2"/>
                <w:sz w:val="18"/>
              </w:rPr>
              <w:t>gains/(losses)</w:t>
            </w:r>
            <w:r>
              <w:rPr>
                <w:b/>
                <w:spacing w:val="-8"/>
                <w:sz w:val="18"/>
              </w:rPr>
              <w:t xml:space="preserve"> </w:t>
            </w:r>
            <w:r>
              <w:rPr>
                <w:b/>
                <w:spacing w:val="-2"/>
                <w:sz w:val="18"/>
              </w:rPr>
              <w:t>on</w:t>
            </w:r>
            <w:r>
              <w:rPr>
                <w:b/>
                <w:spacing w:val="-11"/>
                <w:sz w:val="18"/>
              </w:rPr>
              <w:t xml:space="preserve"> </w:t>
            </w:r>
            <w:r>
              <w:rPr>
                <w:b/>
                <w:spacing w:val="-2"/>
                <w:sz w:val="18"/>
              </w:rPr>
              <w:t>investments</w:t>
            </w:r>
          </w:p>
        </w:tc>
        <w:tc>
          <w:tcPr>
            <w:tcW w:w="1662" w:type="dxa"/>
            <w:tcBorders>
              <w:left w:val="nil"/>
              <w:right w:val="nil"/>
            </w:tcBorders>
            <w:shd w:val="clear" w:color="auto" w:fill="BEBEBE"/>
          </w:tcPr>
          <w:p w14:paraId="3A9F9023" w14:textId="77777777" w:rsidR="00AC6F3C" w:rsidRDefault="00570E88">
            <w:pPr>
              <w:pStyle w:val="TableParagraph"/>
              <w:spacing w:before="53" w:line="193" w:lineRule="exact"/>
              <w:ind w:right="35"/>
              <w:jc w:val="right"/>
              <w:rPr>
                <w:b/>
                <w:sz w:val="18"/>
              </w:rPr>
            </w:pPr>
            <w:r>
              <w:rPr>
                <w:b/>
                <w:spacing w:val="-2"/>
                <w:sz w:val="18"/>
              </w:rPr>
              <w:t>1,043</w:t>
            </w:r>
          </w:p>
        </w:tc>
        <w:tc>
          <w:tcPr>
            <w:tcW w:w="1640" w:type="dxa"/>
            <w:tcBorders>
              <w:left w:val="nil"/>
            </w:tcBorders>
            <w:shd w:val="clear" w:color="auto" w:fill="BEBEBE"/>
          </w:tcPr>
          <w:p w14:paraId="16696722" w14:textId="77777777" w:rsidR="00AC6F3C" w:rsidRDefault="00570E88">
            <w:pPr>
              <w:pStyle w:val="TableParagraph"/>
              <w:spacing w:before="53" w:line="193" w:lineRule="exact"/>
              <w:ind w:right="16"/>
              <w:jc w:val="right"/>
              <w:rPr>
                <w:b/>
                <w:sz w:val="18"/>
              </w:rPr>
            </w:pPr>
            <w:r>
              <w:rPr>
                <w:b/>
                <w:spacing w:val="-2"/>
                <w:sz w:val="18"/>
              </w:rPr>
              <w:t>(2,556)</w:t>
            </w:r>
          </w:p>
        </w:tc>
      </w:tr>
    </w:tbl>
    <w:p w14:paraId="59809E71" w14:textId="77777777" w:rsidR="00AC6F3C" w:rsidRDefault="00AC6F3C">
      <w:pPr>
        <w:spacing w:line="193" w:lineRule="exact"/>
        <w:jc w:val="right"/>
        <w:rPr>
          <w:sz w:val="18"/>
        </w:rPr>
        <w:sectPr w:rsidR="00AC6F3C">
          <w:pgSz w:w="11910" w:h="16840"/>
          <w:pgMar w:top="1760" w:right="1160" w:bottom="520" w:left="460" w:header="1228" w:footer="336" w:gutter="0"/>
          <w:cols w:space="720"/>
        </w:sectPr>
      </w:pPr>
    </w:p>
    <w:p w14:paraId="364B4286" w14:textId="77777777" w:rsidR="00AC6F3C" w:rsidRDefault="00AC6F3C">
      <w:pPr>
        <w:pStyle w:val="BodyText"/>
      </w:pPr>
    </w:p>
    <w:p w14:paraId="0043D09F" w14:textId="77777777" w:rsidR="00AC6F3C" w:rsidRDefault="00AC6F3C">
      <w:pPr>
        <w:pStyle w:val="BodyText"/>
        <w:spacing w:before="4"/>
        <w:rPr>
          <w:sz w:val="11"/>
        </w:rPr>
      </w:pPr>
    </w:p>
    <w:p w14:paraId="44A7113E"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125CEF2D" wp14:editId="12505B88">
                <wp:extent cx="5603875" cy="6350"/>
                <wp:effectExtent l="0" t="0" r="0" b="0"/>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04" name="Graphic 904"/>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1D066A" id="Group 903"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CZqysddAIAAPYFAAAOAAAAAAAAAAAA&#10;AAAAAC4CAABkcnMvZTJvRG9jLnhtbFBLAQItABQABgAIAAAAIQC/Y0lo2gAAAAMBAAAPAAAAAAAA&#10;AAAAAAAAAM4EAABkcnMvZG93bnJldi54bWxQSwUGAAAAAAQABADzAAAA1QUAAAAA&#10;">
                <v:shape id="Graphic 904"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" path="m5603329,6120l,6120,,,5603329,r,6120xe" fillcolor="black" stroked="f">
                  <v:path arrowok="t"/>
                </v:shape>
                <w10:anchorlock/>
              </v:group>
            </w:pict>
          </mc:Fallback>
        </mc:AlternateContent>
      </w:r>
    </w:p>
    <w:p w14:paraId="584D5B2E" w14:textId="77777777" w:rsidR="00AC6F3C" w:rsidRDefault="00AC6F3C">
      <w:pPr>
        <w:pStyle w:val="BodyText"/>
        <w:rPr>
          <w:sz w:val="11"/>
        </w:rPr>
      </w:pPr>
    </w:p>
    <w:p w14:paraId="2AAFCBE7" w14:textId="77777777" w:rsidR="00AC6F3C" w:rsidRDefault="00570E88">
      <w:pPr>
        <w:tabs>
          <w:tab w:val="left" w:pos="1728"/>
        </w:tabs>
        <w:spacing w:before="92"/>
        <w:ind w:left="979"/>
        <w:rPr>
          <w:b/>
          <w:sz w:val="28"/>
        </w:rPr>
      </w:pPr>
      <w:r>
        <w:rPr>
          <w:b/>
          <w:spacing w:val="-5"/>
          <w:sz w:val="28"/>
        </w:rPr>
        <w:t>B2</w:t>
      </w:r>
      <w:r>
        <w:rPr>
          <w:b/>
          <w:sz w:val="28"/>
        </w:rPr>
        <w:tab/>
      </w:r>
      <w:r>
        <w:rPr>
          <w:b/>
          <w:spacing w:val="-2"/>
          <w:sz w:val="28"/>
        </w:rPr>
        <w:t>EXPENSES</w:t>
      </w:r>
    </w:p>
    <w:p w14:paraId="352E2EBE" w14:textId="77777777" w:rsidR="00AC6F3C" w:rsidRDefault="00AC6F3C">
      <w:pPr>
        <w:pStyle w:val="BodyText"/>
        <w:spacing w:before="5"/>
        <w:rPr>
          <w:b/>
          <w:sz w:val="28"/>
        </w:rPr>
      </w:pPr>
    </w:p>
    <w:p w14:paraId="47C3EFFC" w14:textId="77777777" w:rsidR="00AC6F3C" w:rsidRDefault="00570E88">
      <w:pPr>
        <w:pStyle w:val="Heading6"/>
        <w:tabs>
          <w:tab w:val="left" w:pos="1831"/>
        </w:tabs>
        <w:spacing w:before="1"/>
        <w:ind w:left="979"/>
      </w:pPr>
      <w:r>
        <w:rPr>
          <w:spacing w:val="-2"/>
        </w:rPr>
        <w:t>B2-</w:t>
      </w:r>
      <w:r>
        <w:rPr>
          <w:spacing w:val="-10"/>
        </w:rPr>
        <w:t>1</w:t>
      </w:r>
      <w:r>
        <w:tab/>
        <w:t>ADMINISTRATION</w:t>
      </w:r>
      <w:r>
        <w:rPr>
          <w:spacing w:val="-4"/>
        </w:rPr>
        <w:t xml:space="preserve"> </w:t>
      </w:r>
      <w:r>
        <w:rPr>
          <w:spacing w:val="-2"/>
        </w:rPr>
        <w:t>EXPENSES</w:t>
      </w:r>
    </w:p>
    <w:p w14:paraId="42DA82E5" w14:textId="77777777" w:rsidR="00AC6F3C" w:rsidRDefault="00AC6F3C">
      <w:pPr>
        <w:pStyle w:val="BodyText"/>
        <w:spacing w:before="4"/>
        <w:rPr>
          <w:b/>
          <w:sz w:val="10"/>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4079279E" w14:textId="77777777">
        <w:trPr>
          <w:trHeight w:val="550"/>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53DC57B1"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471D0C99" w14:textId="77777777" w:rsidR="00AC6F3C" w:rsidRDefault="00570E88">
            <w:pPr>
              <w:pStyle w:val="TableParagraph"/>
              <w:tabs>
                <w:tab w:val="left" w:pos="1647"/>
              </w:tabs>
              <w:spacing w:before="76"/>
              <w:ind w:right="21"/>
              <w:jc w:val="right"/>
              <w:rPr>
                <w:b/>
                <w:sz w:val="18"/>
              </w:rPr>
            </w:pPr>
            <w:r>
              <w:rPr>
                <w:b/>
                <w:spacing w:val="-2"/>
                <w:sz w:val="18"/>
              </w:rPr>
              <w:t>$'000</w:t>
            </w:r>
            <w:r>
              <w:rPr>
                <w:b/>
                <w:sz w:val="18"/>
              </w:rPr>
              <w:tab/>
            </w:r>
            <w:r>
              <w:rPr>
                <w:b/>
                <w:spacing w:val="-4"/>
                <w:sz w:val="18"/>
              </w:rPr>
              <w:t>$'000</w:t>
            </w:r>
          </w:p>
        </w:tc>
      </w:tr>
      <w:tr w:rsidR="00AC6F3C" w14:paraId="3729E187" w14:textId="77777777">
        <w:trPr>
          <w:trHeight w:val="287"/>
        </w:trPr>
        <w:tc>
          <w:tcPr>
            <w:tcW w:w="5413" w:type="dxa"/>
            <w:tcBorders>
              <w:top w:val="single" w:sz="6" w:space="0" w:color="000000"/>
              <w:left w:val="single" w:sz="6" w:space="0" w:color="000000"/>
            </w:tcBorders>
          </w:tcPr>
          <w:p w14:paraId="02F1B0AB" w14:textId="77777777" w:rsidR="00AC6F3C" w:rsidRDefault="00570E88">
            <w:pPr>
              <w:pStyle w:val="TableParagraph"/>
              <w:spacing w:before="39"/>
              <w:ind w:left="37"/>
              <w:rPr>
                <w:sz w:val="18"/>
              </w:rPr>
            </w:pPr>
            <w:r>
              <w:rPr>
                <w:sz w:val="18"/>
              </w:rPr>
              <w:t>Employee</w:t>
            </w:r>
            <w:r>
              <w:rPr>
                <w:spacing w:val="5"/>
                <w:sz w:val="18"/>
              </w:rPr>
              <w:t xml:space="preserve"> </w:t>
            </w:r>
            <w:r>
              <w:rPr>
                <w:spacing w:val="-2"/>
                <w:sz w:val="18"/>
              </w:rPr>
              <w:t>expenses</w:t>
            </w:r>
          </w:p>
        </w:tc>
        <w:tc>
          <w:tcPr>
            <w:tcW w:w="1662" w:type="dxa"/>
            <w:tcBorders>
              <w:top w:val="single" w:sz="6" w:space="0" w:color="000000"/>
            </w:tcBorders>
            <w:shd w:val="clear" w:color="auto" w:fill="F1F1F1"/>
          </w:tcPr>
          <w:p w14:paraId="0D13428D" w14:textId="77777777" w:rsidR="00AC6F3C" w:rsidRDefault="00570E88">
            <w:pPr>
              <w:pStyle w:val="TableParagraph"/>
              <w:spacing w:before="39"/>
              <w:ind w:right="35"/>
              <w:jc w:val="right"/>
              <w:rPr>
                <w:sz w:val="18"/>
              </w:rPr>
            </w:pPr>
            <w:r>
              <w:rPr>
                <w:spacing w:val="-5"/>
                <w:sz w:val="18"/>
              </w:rPr>
              <w:t>177</w:t>
            </w:r>
          </w:p>
        </w:tc>
        <w:tc>
          <w:tcPr>
            <w:tcW w:w="1640" w:type="dxa"/>
            <w:tcBorders>
              <w:top w:val="single" w:sz="6" w:space="0" w:color="000000"/>
              <w:right w:val="single" w:sz="6" w:space="0" w:color="000000"/>
            </w:tcBorders>
          </w:tcPr>
          <w:p w14:paraId="36ECD811" w14:textId="77777777" w:rsidR="00AC6F3C" w:rsidRDefault="00570E88">
            <w:pPr>
              <w:pStyle w:val="TableParagraph"/>
              <w:spacing w:before="39"/>
              <w:ind w:right="21"/>
              <w:jc w:val="right"/>
              <w:rPr>
                <w:sz w:val="18"/>
              </w:rPr>
            </w:pPr>
            <w:r>
              <w:rPr>
                <w:spacing w:val="-5"/>
                <w:sz w:val="18"/>
              </w:rPr>
              <w:t>146</w:t>
            </w:r>
          </w:p>
        </w:tc>
      </w:tr>
      <w:tr w:rsidR="00AC6F3C" w14:paraId="09CCFD63" w14:textId="77777777">
        <w:trPr>
          <w:trHeight w:val="282"/>
        </w:trPr>
        <w:tc>
          <w:tcPr>
            <w:tcW w:w="5413" w:type="dxa"/>
            <w:tcBorders>
              <w:left w:val="single" w:sz="6" w:space="0" w:color="000000"/>
            </w:tcBorders>
          </w:tcPr>
          <w:p w14:paraId="5CBDCF09" w14:textId="77777777" w:rsidR="00AC6F3C" w:rsidRDefault="00570E88">
            <w:pPr>
              <w:pStyle w:val="TableParagraph"/>
              <w:spacing w:before="34"/>
              <w:ind w:left="37"/>
              <w:rPr>
                <w:sz w:val="18"/>
              </w:rPr>
            </w:pPr>
            <w:r>
              <w:rPr>
                <w:spacing w:val="-2"/>
                <w:sz w:val="18"/>
              </w:rPr>
              <w:t>Audit</w:t>
            </w:r>
            <w:r>
              <w:rPr>
                <w:spacing w:val="-9"/>
                <w:sz w:val="18"/>
              </w:rPr>
              <w:t xml:space="preserve"> </w:t>
            </w:r>
            <w:r>
              <w:rPr>
                <w:spacing w:val="-4"/>
                <w:sz w:val="18"/>
              </w:rPr>
              <w:t>fees</w:t>
            </w:r>
          </w:p>
        </w:tc>
        <w:tc>
          <w:tcPr>
            <w:tcW w:w="1662" w:type="dxa"/>
            <w:shd w:val="clear" w:color="auto" w:fill="F1F1F1"/>
          </w:tcPr>
          <w:p w14:paraId="78BC61AF" w14:textId="77777777" w:rsidR="00AC6F3C" w:rsidRDefault="00570E88">
            <w:pPr>
              <w:pStyle w:val="TableParagraph"/>
              <w:spacing w:before="34"/>
              <w:ind w:right="35"/>
              <w:jc w:val="right"/>
              <w:rPr>
                <w:sz w:val="18"/>
              </w:rPr>
            </w:pPr>
            <w:r>
              <w:rPr>
                <w:spacing w:val="-5"/>
                <w:sz w:val="18"/>
              </w:rPr>
              <w:t>16</w:t>
            </w:r>
          </w:p>
        </w:tc>
        <w:tc>
          <w:tcPr>
            <w:tcW w:w="1640" w:type="dxa"/>
            <w:tcBorders>
              <w:right w:val="single" w:sz="6" w:space="0" w:color="000000"/>
            </w:tcBorders>
          </w:tcPr>
          <w:p w14:paraId="6DFC7979" w14:textId="77777777" w:rsidR="00AC6F3C" w:rsidRDefault="00570E88">
            <w:pPr>
              <w:pStyle w:val="TableParagraph"/>
              <w:spacing w:before="34"/>
              <w:ind w:right="20"/>
              <w:jc w:val="right"/>
              <w:rPr>
                <w:sz w:val="18"/>
              </w:rPr>
            </w:pPr>
            <w:r>
              <w:rPr>
                <w:spacing w:val="-5"/>
                <w:sz w:val="18"/>
              </w:rPr>
              <w:t>11</w:t>
            </w:r>
          </w:p>
        </w:tc>
      </w:tr>
      <w:tr w:rsidR="00AC6F3C" w14:paraId="11E09F71" w14:textId="77777777">
        <w:trPr>
          <w:trHeight w:val="282"/>
        </w:trPr>
        <w:tc>
          <w:tcPr>
            <w:tcW w:w="5413" w:type="dxa"/>
            <w:tcBorders>
              <w:left w:val="single" w:sz="6" w:space="0" w:color="000000"/>
            </w:tcBorders>
          </w:tcPr>
          <w:p w14:paraId="18217E22" w14:textId="77777777" w:rsidR="00AC6F3C" w:rsidRDefault="00570E88">
            <w:pPr>
              <w:pStyle w:val="TableParagraph"/>
              <w:spacing w:before="34"/>
              <w:ind w:left="37"/>
              <w:rPr>
                <w:sz w:val="18"/>
              </w:rPr>
            </w:pPr>
            <w:r>
              <w:rPr>
                <w:sz w:val="18"/>
              </w:rPr>
              <w:t>Legal</w:t>
            </w:r>
            <w:r>
              <w:rPr>
                <w:spacing w:val="10"/>
                <w:sz w:val="18"/>
              </w:rPr>
              <w:t xml:space="preserve"> </w:t>
            </w:r>
            <w:r>
              <w:rPr>
                <w:spacing w:val="-4"/>
                <w:sz w:val="18"/>
              </w:rPr>
              <w:t>fees</w:t>
            </w:r>
          </w:p>
        </w:tc>
        <w:tc>
          <w:tcPr>
            <w:tcW w:w="1662" w:type="dxa"/>
            <w:shd w:val="clear" w:color="auto" w:fill="F1F1F1"/>
          </w:tcPr>
          <w:p w14:paraId="57F0968C" w14:textId="77777777" w:rsidR="00AC6F3C" w:rsidRDefault="00570E88">
            <w:pPr>
              <w:pStyle w:val="TableParagraph"/>
              <w:spacing w:before="34"/>
              <w:ind w:right="35"/>
              <w:jc w:val="right"/>
              <w:rPr>
                <w:sz w:val="18"/>
              </w:rPr>
            </w:pPr>
            <w:r>
              <w:rPr>
                <w:spacing w:val="-5"/>
                <w:sz w:val="18"/>
              </w:rPr>
              <w:t>104</w:t>
            </w:r>
          </w:p>
        </w:tc>
        <w:tc>
          <w:tcPr>
            <w:tcW w:w="1640" w:type="dxa"/>
            <w:tcBorders>
              <w:right w:val="single" w:sz="6" w:space="0" w:color="000000"/>
            </w:tcBorders>
          </w:tcPr>
          <w:p w14:paraId="43CC5B8A" w14:textId="77777777" w:rsidR="00AC6F3C" w:rsidRDefault="00570E88">
            <w:pPr>
              <w:pStyle w:val="TableParagraph"/>
              <w:spacing w:before="34"/>
              <w:ind w:right="20"/>
              <w:jc w:val="right"/>
              <w:rPr>
                <w:sz w:val="18"/>
              </w:rPr>
            </w:pPr>
            <w:r>
              <w:rPr>
                <w:spacing w:val="-5"/>
                <w:sz w:val="18"/>
              </w:rPr>
              <w:t>150</w:t>
            </w:r>
          </w:p>
        </w:tc>
      </w:tr>
      <w:tr w:rsidR="00AC6F3C" w14:paraId="36128F6C" w14:textId="77777777">
        <w:trPr>
          <w:trHeight w:val="262"/>
        </w:trPr>
        <w:tc>
          <w:tcPr>
            <w:tcW w:w="5413" w:type="dxa"/>
            <w:tcBorders>
              <w:left w:val="single" w:sz="6" w:space="0" w:color="000000"/>
              <w:bottom w:val="single" w:sz="6" w:space="0" w:color="000000"/>
            </w:tcBorders>
          </w:tcPr>
          <w:p w14:paraId="71517183" w14:textId="77777777" w:rsidR="00AC6F3C" w:rsidRDefault="00570E88">
            <w:pPr>
              <w:pStyle w:val="TableParagraph"/>
              <w:spacing w:before="34"/>
              <w:ind w:left="37"/>
              <w:rPr>
                <w:sz w:val="18"/>
              </w:rPr>
            </w:pPr>
            <w:r>
              <w:rPr>
                <w:sz w:val="18"/>
              </w:rPr>
              <w:t>Sundry</w:t>
            </w:r>
            <w:r>
              <w:rPr>
                <w:spacing w:val="-16"/>
                <w:sz w:val="18"/>
              </w:rPr>
              <w:t xml:space="preserve"> </w:t>
            </w:r>
            <w:r>
              <w:rPr>
                <w:spacing w:val="-2"/>
                <w:sz w:val="18"/>
              </w:rPr>
              <w:t>expenses</w:t>
            </w:r>
          </w:p>
        </w:tc>
        <w:tc>
          <w:tcPr>
            <w:tcW w:w="1662" w:type="dxa"/>
            <w:tcBorders>
              <w:bottom w:val="single" w:sz="6" w:space="0" w:color="000000"/>
            </w:tcBorders>
            <w:shd w:val="clear" w:color="auto" w:fill="F1F1F1"/>
          </w:tcPr>
          <w:p w14:paraId="5C7CA905" w14:textId="77777777" w:rsidR="00AC6F3C" w:rsidRDefault="00570E88">
            <w:pPr>
              <w:pStyle w:val="TableParagraph"/>
              <w:spacing w:before="34"/>
              <w:ind w:right="40"/>
              <w:jc w:val="right"/>
              <w:rPr>
                <w:sz w:val="18"/>
              </w:rPr>
            </w:pPr>
            <w:r>
              <w:rPr>
                <w:w w:val="99"/>
                <w:sz w:val="18"/>
              </w:rPr>
              <w:t>4</w:t>
            </w:r>
          </w:p>
        </w:tc>
        <w:tc>
          <w:tcPr>
            <w:tcW w:w="1640" w:type="dxa"/>
            <w:tcBorders>
              <w:bottom w:val="single" w:sz="6" w:space="0" w:color="000000"/>
              <w:right w:val="single" w:sz="6" w:space="0" w:color="000000"/>
            </w:tcBorders>
          </w:tcPr>
          <w:p w14:paraId="356D1D87" w14:textId="77777777" w:rsidR="00AC6F3C" w:rsidRDefault="00570E88">
            <w:pPr>
              <w:pStyle w:val="TableParagraph"/>
              <w:spacing w:before="34"/>
              <w:ind w:right="20"/>
              <w:jc w:val="right"/>
              <w:rPr>
                <w:sz w:val="18"/>
              </w:rPr>
            </w:pPr>
            <w:r>
              <w:rPr>
                <w:spacing w:val="-5"/>
                <w:sz w:val="18"/>
              </w:rPr>
              <w:t>23</w:t>
            </w:r>
          </w:p>
        </w:tc>
      </w:tr>
      <w:tr w:rsidR="00AC6F3C" w14:paraId="210ACF7E" w14:textId="77777777">
        <w:trPr>
          <w:trHeight w:val="267"/>
        </w:trPr>
        <w:tc>
          <w:tcPr>
            <w:tcW w:w="5413" w:type="dxa"/>
            <w:tcBorders>
              <w:top w:val="single" w:sz="6" w:space="0" w:color="000000"/>
              <w:left w:val="single" w:sz="6" w:space="0" w:color="000000"/>
              <w:bottom w:val="single" w:sz="6" w:space="0" w:color="000000"/>
            </w:tcBorders>
            <w:shd w:val="clear" w:color="auto" w:fill="BEBEBE"/>
          </w:tcPr>
          <w:p w14:paraId="0114F1BD" w14:textId="77777777" w:rsidR="00AC6F3C" w:rsidRDefault="00570E88">
            <w:pPr>
              <w:pStyle w:val="TableParagraph"/>
              <w:spacing w:before="54" w:line="194" w:lineRule="exact"/>
              <w:ind w:left="37"/>
              <w:rPr>
                <w:b/>
                <w:sz w:val="18"/>
              </w:rPr>
            </w:pPr>
            <w:r>
              <w:rPr>
                <w:b/>
                <w:spacing w:val="-2"/>
                <w:sz w:val="18"/>
              </w:rPr>
              <w:t>Total</w:t>
            </w:r>
            <w:r>
              <w:rPr>
                <w:b/>
                <w:spacing w:val="-9"/>
                <w:sz w:val="18"/>
              </w:rPr>
              <w:t xml:space="preserve"> </w:t>
            </w:r>
            <w:r>
              <w:rPr>
                <w:b/>
                <w:spacing w:val="-2"/>
                <w:sz w:val="18"/>
              </w:rPr>
              <w:t>administration</w:t>
            </w:r>
            <w:r>
              <w:rPr>
                <w:b/>
                <w:spacing w:val="-8"/>
                <w:sz w:val="18"/>
              </w:rPr>
              <w:t xml:space="preserve"> </w:t>
            </w:r>
            <w:r>
              <w:rPr>
                <w:b/>
                <w:spacing w:val="-2"/>
                <w:sz w:val="18"/>
              </w:rPr>
              <w:t>expenses</w:t>
            </w:r>
          </w:p>
        </w:tc>
        <w:tc>
          <w:tcPr>
            <w:tcW w:w="1662" w:type="dxa"/>
            <w:tcBorders>
              <w:top w:val="single" w:sz="6" w:space="0" w:color="000000"/>
              <w:bottom w:val="single" w:sz="6" w:space="0" w:color="000000"/>
            </w:tcBorders>
            <w:shd w:val="clear" w:color="auto" w:fill="BEBEBE"/>
          </w:tcPr>
          <w:p w14:paraId="1B8A886C" w14:textId="77777777" w:rsidR="00AC6F3C" w:rsidRDefault="00570E88">
            <w:pPr>
              <w:pStyle w:val="TableParagraph"/>
              <w:spacing w:before="54" w:line="194" w:lineRule="exact"/>
              <w:ind w:right="35"/>
              <w:jc w:val="right"/>
              <w:rPr>
                <w:b/>
                <w:sz w:val="18"/>
              </w:rPr>
            </w:pPr>
            <w:r>
              <w:rPr>
                <w:b/>
                <w:spacing w:val="-5"/>
                <w:sz w:val="18"/>
              </w:rPr>
              <w:t>301</w:t>
            </w:r>
          </w:p>
        </w:tc>
        <w:tc>
          <w:tcPr>
            <w:tcW w:w="1640" w:type="dxa"/>
            <w:tcBorders>
              <w:top w:val="single" w:sz="6" w:space="0" w:color="000000"/>
              <w:bottom w:val="single" w:sz="6" w:space="0" w:color="000000"/>
              <w:right w:val="single" w:sz="6" w:space="0" w:color="000000"/>
            </w:tcBorders>
            <w:shd w:val="clear" w:color="auto" w:fill="BEBEBE"/>
          </w:tcPr>
          <w:p w14:paraId="2CA069E2" w14:textId="77777777" w:rsidR="00AC6F3C" w:rsidRDefault="00570E88">
            <w:pPr>
              <w:pStyle w:val="TableParagraph"/>
              <w:spacing w:before="54" w:line="194" w:lineRule="exact"/>
              <w:ind w:right="20"/>
              <w:jc w:val="right"/>
              <w:rPr>
                <w:b/>
                <w:sz w:val="18"/>
              </w:rPr>
            </w:pPr>
            <w:r>
              <w:rPr>
                <w:b/>
                <w:spacing w:val="-5"/>
                <w:sz w:val="18"/>
              </w:rPr>
              <w:t>330</w:t>
            </w:r>
          </w:p>
        </w:tc>
      </w:tr>
    </w:tbl>
    <w:p w14:paraId="36C6E270" w14:textId="77777777" w:rsidR="00AC6F3C" w:rsidRDefault="00570E88">
      <w:pPr>
        <w:spacing w:before="137"/>
        <w:ind w:left="979" w:right="632"/>
        <w:rPr>
          <w:sz w:val="18"/>
        </w:rPr>
      </w:pPr>
      <w:r>
        <w:rPr>
          <w:sz w:val="18"/>
        </w:rPr>
        <w:t>Total</w:t>
      </w:r>
      <w:r>
        <w:rPr>
          <w:spacing w:val="-4"/>
          <w:sz w:val="18"/>
        </w:rPr>
        <w:t xml:space="preserve"> </w:t>
      </w:r>
      <w:r>
        <w:rPr>
          <w:sz w:val="18"/>
        </w:rPr>
        <w:t>audit</w:t>
      </w:r>
      <w:r>
        <w:rPr>
          <w:spacing w:val="-2"/>
          <w:sz w:val="18"/>
        </w:rPr>
        <w:t xml:space="preserve"> </w:t>
      </w:r>
      <w:r>
        <w:rPr>
          <w:sz w:val="18"/>
        </w:rPr>
        <w:t>fees</w:t>
      </w:r>
      <w:r>
        <w:rPr>
          <w:spacing w:val="-3"/>
          <w:sz w:val="18"/>
        </w:rPr>
        <w:t xml:space="preserve"> </w:t>
      </w:r>
      <w:r>
        <w:rPr>
          <w:sz w:val="18"/>
        </w:rPr>
        <w:t>paid</w:t>
      </w:r>
      <w:r>
        <w:rPr>
          <w:spacing w:val="-1"/>
          <w:sz w:val="18"/>
        </w:rPr>
        <w:t xml:space="preserve"> </w:t>
      </w:r>
      <w:r>
        <w:rPr>
          <w:sz w:val="18"/>
        </w:rPr>
        <w:t>and</w:t>
      </w:r>
      <w:r>
        <w:rPr>
          <w:spacing w:val="-1"/>
          <w:sz w:val="18"/>
        </w:rPr>
        <w:t xml:space="preserve"> </w:t>
      </w:r>
      <w:r>
        <w:rPr>
          <w:sz w:val="18"/>
        </w:rPr>
        <w:t>payable</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Queensland</w:t>
      </w:r>
      <w:r>
        <w:rPr>
          <w:spacing w:val="-1"/>
          <w:sz w:val="18"/>
        </w:rPr>
        <w:t xml:space="preserve"> </w:t>
      </w:r>
      <w:r>
        <w:rPr>
          <w:sz w:val="18"/>
        </w:rPr>
        <w:t>Audit</w:t>
      </w:r>
      <w:r>
        <w:rPr>
          <w:spacing w:val="-2"/>
          <w:sz w:val="18"/>
        </w:rPr>
        <w:t xml:space="preserve"> </w:t>
      </w:r>
      <w:r>
        <w:rPr>
          <w:sz w:val="18"/>
        </w:rPr>
        <w:t>Office</w:t>
      </w:r>
      <w:r>
        <w:rPr>
          <w:spacing w:val="-4"/>
          <w:sz w:val="18"/>
        </w:rPr>
        <w:t xml:space="preserve"> </w:t>
      </w:r>
      <w:r>
        <w:rPr>
          <w:sz w:val="18"/>
        </w:rPr>
        <w:t>to</w:t>
      </w:r>
      <w:r>
        <w:rPr>
          <w:spacing w:val="-1"/>
          <w:sz w:val="18"/>
        </w:rPr>
        <w:t xml:space="preserve"> </w:t>
      </w:r>
      <w:r>
        <w:rPr>
          <w:sz w:val="18"/>
        </w:rPr>
        <w:t>perform</w:t>
      </w:r>
      <w:r>
        <w:rPr>
          <w:spacing w:val="-1"/>
          <w:sz w:val="18"/>
        </w:rPr>
        <w:t xml:space="preserve"> </w:t>
      </w:r>
      <w:r>
        <w:rPr>
          <w:sz w:val="18"/>
        </w:rPr>
        <w:t>the</w:t>
      </w:r>
      <w:r>
        <w:rPr>
          <w:spacing w:val="-1"/>
          <w:sz w:val="18"/>
        </w:rPr>
        <w:t xml:space="preserve"> </w:t>
      </w:r>
      <w:r>
        <w:rPr>
          <w:sz w:val="18"/>
        </w:rPr>
        <w:t>audit</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Fund’s</w:t>
      </w:r>
      <w:r>
        <w:rPr>
          <w:spacing w:val="-1"/>
          <w:sz w:val="18"/>
        </w:rPr>
        <w:t xml:space="preserve"> </w:t>
      </w:r>
      <w:r>
        <w:rPr>
          <w:sz w:val="18"/>
        </w:rPr>
        <w:t>financial statements for 2022-23 are $14,300 (2022: $13,100).</w:t>
      </w:r>
      <w:r>
        <w:rPr>
          <w:spacing w:val="40"/>
          <w:sz w:val="18"/>
        </w:rPr>
        <w:t xml:space="preserve"> </w:t>
      </w:r>
      <w:r>
        <w:rPr>
          <w:sz w:val="18"/>
        </w:rPr>
        <w:t xml:space="preserve">There are no non-audit services included in this </w:t>
      </w:r>
      <w:r>
        <w:rPr>
          <w:spacing w:val="-2"/>
          <w:sz w:val="18"/>
        </w:rPr>
        <w:t>amount.</w:t>
      </w:r>
    </w:p>
    <w:p w14:paraId="06E9B3BA" w14:textId="77777777" w:rsidR="00AC6F3C" w:rsidRDefault="00AC6F3C">
      <w:pPr>
        <w:pStyle w:val="BodyText"/>
        <w:spacing w:before="1"/>
        <w:rPr>
          <w:sz w:val="21"/>
        </w:rPr>
      </w:pPr>
    </w:p>
    <w:p w14:paraId="4EA097DF" w14:textId="77777777" w:rsidR="00AC6F3C" w:rsidRDefault="00570E88">
      <w:pPr>
        <w:pStyle w:val="Heading6"/>
        <w:tabs>
          <w:tab w:val="left" w:pos="1831"/>
        </w:tabs>
        <w:spacing w:before="0"/>
        <w:ind w:left="979" w:right="1487"/>
      </w:pPr>
      <w:r>
        <w:rPr>
          <w:spacing w:val="-4"/>
        </w:rPr>
        <w:t>B2-2</w:t>
      </w:r>
      <w:r>
        <w:tab/>
        <w:t>MANAGEMENT</w:t>
      </w:r>
      <w:r>
        <w:rPr>
          <w:spacing w:val="-3"/>
        </w:rPr>
        <w:t xml:space="preserve"> </w:t>
      </w:r>
      <w:r>
        <w:t>FEES</w:t>
      </w:r>
      <w:r>
        <w:rPr>
          <w:spacing w:val="-7"/>
        </w:rPr>
        <w:t xml:space="preserve"> </w:t>
      </w:r>
      <w:r>
        <w:t>PAID</w:t>
      </w:r>
      <w:r>
        <w:rPr>
          <w:spacing w:val="-5"/>
        </w:rPr>
        <w:t xml:space="preserve"> </w:t>
      </w:r>
      <w:r>
        <w:t>TO</w:t>
      </w:r>
      <w:r>
        <w:rPr>
          <w:spacing w:val="-4"/>
        </w:rPr>
        <w:t xml:space="preserve"> </w:t>
      </w:r>
      <w:r>
        <w:t>QUEENSLAND</w:t>
      </w:r>
      <w:r>
        <w:rPr>
          <w:spacing w:val="-5"/>
        </w:rPr>
        <w:t xml:space="preserve"> </w:t>
      </w:r>
      <w:r>
        <w:t>LAW</w:t>
      </w:r>
      <w:r>
        <w:rPr>
          <w:spacing w:val="-6"/>
        </w:rPr>
        <w:t xml:space="preserve"> </w:t>
      </w:r>
      <w:r>
        <w:t xml:space="preserve">SOCIETY </w:t>
      </w:r>
      <w:r>
        <w:rPr>
          <w:spacing w:val="-2"/>
        </w:rPr>
        <w:t>INCORPORATED</w:t>
      </w:r>
    </w:p>
    <w:p w14:paraId="01EF33C9" w14:textId="77777777" w:rsidR="00AC6F3C" w:rsidRDefault="00AC6F3C">
      <w:pPr>
        <w:pStyle w:val="BodyText"/>
        <w:spacing w:before="9" w:after="1"/>
        <w:rPr>
          <w:b/>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16B497CD" w14:textId="77777777">
        <w:trPr>
          <w:trHeight w:val="547"/>
        </w:trPr>
        <w:tc>
          <w:tcPr>
            <w:tcW w:w="8715" w:type="dxa"/>
            <w:gridSpan w:val="3"/>
            <w:shd w:val="clear" w:color="auto" w:fill="BEBEBE"/>
          </w:tcPr>
          <w:p w14:paraId="50A25D77" w14:textId="77777777" w:rsidR="00AC6F3C" w:rsidRDefault="00570E88">
            <w:pPr>
              <w:pStyle w:val="TableParagraph"/>
              <w:tabs>
                <w:tab w:val="left" w:pos="1647"/>
              </w:tabs>
              <w:spacing w:before="33"/>
              <w:ind w:right="21"/>
              <w:jc w:val="right"/>
              <w:rPr>
                <w:b/>
                <w:sz w:val="17"/>
              </w:rPr>
            </w:pPr>
            <w:r>
              <w:rPr>
                <w:b/>
                <w:spacing w:val="-4"/>
                <w:w w:val="105"/>
                <w:sz w:val="17"/>
              </w:rPr>
              <w:t>2023</w:t>
            </w:r>
            <w:r>
              <w:rPr>
                <w:b/>
                <w:sz w:val="17"/>
              </w:rPr>
              <w:tab/>
            </w:r>
            <w:r>
              <w:rPr>
                <w:b/>
                <w:spacing w:val="-4"/>
                <w:w w:val="105"/>
                <w:sz w:val="17"/>
              </w:rPr>
              <w:t>2022</w:t>
            </w:r>
          </w:p>
          <w:p w14:paraId="7FE887F4" w14:textId="77777777" w:rsidR="00AC6F3C" w:rsidRDefault="00570E88">
            <w:pPr>
              <w:pStyle w:val="TableParagraph"/>
              <w:tabs>
                <w:tab w:val="left" w:pos="1647"/>
              </w:tabs>
              <w:spacing w:before="86"/>
              <w:ind w:right="21"/>
              <w:jc w:val="right"/>
              <w:rPr>
                <w:b/>
                <w:sz w:val="17"/>
              </w:rPr>
            </w:pPr>
            <w:r>
              <w:rPr>
                <w:b/>
                <w:spacing w:val="-2"/>
                <w:w w:val="105"/>
                <w:sz w:val="17"/>
              </w:rPr>
              <w:t>$'000</w:t>
            </w:r>
            <w:r>
              <w:rPr>
                <w:b/>
                <w:sz w:val="17"/>
              </w:rPr>
              <w:tab/>
            </w:r>
            <w:r>
              <w:rPr>
                <w:b/>
                <w:spacing w:val="-2"/>
                <w:w w:val="105"/>
                <w:sz w:val="17"/>
              </w:rPr>
              <w:t>$'000</w:t>
            </w:r>
          </w:p>
        </w:tc>
      </w:tr>
      <w:tr w:rsidR="00AC6F3C" w14:paraId="18DA5452" w14:textId="77777777">
        <w:trPr>
          <w:trHeight w:val="266"/>
        </w:trPr>
        <w:tc>
          <w:tcPr>
            <w:tcW w:w="5413" w:type="dxa"/>
            <w:tcBorders>
              <w:right w:val="nil"/>
            </w:tcBorders>
          </w:tcPr>
          <w:p w14:paraId="29304633" w14:textId="77777777" w:rsidR="00AC6F3C" w:rsidRDefault="00570E88">
            <w:pPr>
              <w:pStyle w:val="TableParagraph"/>
              <w:spacing w:before="47"/>
              <w:ind w:left="37"/>
              <w:rPr>
                <w:sz w:val="17"/>
              </w:rPr>
            </w:pPr>
            <w:r>
              <w:rPr>
                <w:w w:val="105"/>
                <w:sz w:val="17"/>
              </w:rPr>
              <w:t>Management</w:t>
            </w:r>
            <w:r>
              <w:rPr>
                <w:spacing w:val="-5"/>
                <w:w w:val="105"/>
                <w:sz w:val="17"/>
              </w:rPr>
              <w:t xml:space="preserve"> </w:t>
            </w:r>
            <w:r>
              <w:rPr>
                <w:w w:val="105"/>
                <w:sz w:val="17"/>
              </w:rPr>
              <w:t>fees</w:t>
            </w:r>
            <w:r>
              <w:rPr>
                <w:spacing w:val="19"/>
                <w:w w:val="105"/>
                <w:sz w:val="17"/>
              </w:rPr>
              <w:t xml:space="preserve"> </w:t>
            </w:r>
            <w:r>
              <w:rPr>
                <w:w w:val="105"/>
                <w:sz w:val="17"/>
              </w:rPr>
              <w:t>paid</w:t>
            </w:r>
            <w:r>
              <w:rPr>
                <w:spacing w:val="7"/>
                <w:w w:val="105"/>
                <w:sz w:val="17"/>
              </w:rPr>
              <w:t xml:space="preserve"> </w:t>
            </w:r>
            <w:r>
              <w:rPr>
                <w:w w:val="105"/>
                <w:sz w:val="17"/>
              </w:rPr>
              <w:t>to</w:t>
            </w:r>
            <w:r>
              <w:rPr>
                <w:spacing w:val="7"/>
                <w:w w:val="105"/>
                <w:sz w:val="17"/>
              </w:rPr>
              <w:t xml:space="preserve"> </w:t>
            </w:r>
            <w:r>
              <w:rPr>
                <w:w w:val="105"/>
                <w:sz w:val="17"/>
              </w:rPr>
              <w:t>the</w:t>
            </w:r>
            <w:r>
              <w:rPr>
                <w:spacing w:val="8"/>
                <w:w w:val="105"/>
                <w:sz w:val="17"/>
              </w:rPr>
              <w:t xml:space="preserve"> </w:t>
            </w:r>
            <w:r>
              <w:rPr>
                <w:spacing w:val="-2"/>
                <w:w w:val="105"/>
                <w:sz w:val="17"/>
              </w:rPr>
              <w:t>Society</w:t>
            </w:r>
          </w:p>
        </w:tc>
        <w:tc>
          <w:tcPr>
            <w:tcW w:w="1662" w:type="dxa"/>
            <w:tcBorders>
              <w:left w:val="nil"/>
              <w:right w:val="nil"/>
            </w:tcBorders>
            <w:shd w:val="clear" w:color="auto" w:fill="F1F1F1"/>
          </w:tcPr>
          <w:p w14:paraId="3C01EB3E" w14:textId="77777777" w:rsidR="00AC6F3C" w:rsidRDefault="00570E88">
            <w:pPr>
              <w:pStyle w:val="TableParagraph"/>
              <w:spacing w:before="47"/>
              <w:ind w:right="35"/>
              <w:jc w:val="right"/>
              <w:rPr>
                <w:sz w:val="17"/>
              </w:rPr>
            </w:pPr>
            <w:r>
              <w:rPr>
                <w:spacing w:val="-5"/>
                <w:w w:val="105"/>
                <w:sz w:val="17"/>
              </w:rPr>
              <w:t>877</w:t>
            </w:r>
          </w:p>
        </w:tc>
        <w:tc>
          <w:tcPr>
            <w:tcW w:w="1640" w:type="dxa"/>
            <w:tcBorders>
              <w:left w:val="nil"/>
            </w:tcBorders>
          </w:tcPr>
          <w:p w14:paraId="30AA85C3" w14:textId="77777777" w:rsidR="00AC6F3C" w:rsidRDefault="00570E88">
            <w:pPr>
              <w:pStyle w:val="TableParagraph"/>
              <w:spacing w:before="47"/>
              <w:ind w:right="21"/>
              <w:jc w:val="right"/>
              <w:rPr>
                <w:sz w:val="17"/>
              </w:rPr>
            </w:pPr>
            <w:r>
              <w:rPr>
                <w:spacing w:val="-5"/>
                <w:w w:val="105"/>
                <w:sz w:val="17"/>
              </w:rPr>
              <w:t>843</w:t>
            </w:r>
          </w:p>
        </w:tc>
      </w:tr>
      <w:tr w:rsidR="00AC6F3C" w14:paraId="0B537AE9" w14:textId="77777777">
        <w:trPr>
          <w:trHeight w:val="266"/>
        </w:trPr>
        <w:tc>
          <w:tcPr>
            <w:tcW w:w="8715" w:type="dxa"/>
            <w:gridSpan w:val="3"/>
            <w:shd w:val="clear" w:color="auto" w:fill="BEBEBE"/>
          </w:tcPr>
          <w:p w14:paraId="0AE19666" w14:textId="77777777" w:rsidR="00AC6F3C" w:rsidRDefault="00570E88">
            <w:pPr>
              <w:pStyle w:val="TableParagraph"/>
              <w:tabs>
                <w:tab w:val="left" w:pos="6715"/>
                <w:tab w:val="right" w:pos="8677"/>
              </w:tabs>
              <w:spacing w:before="62" w:line="184" w:lineRule="exact"/>
              <w:ind w:left="37"/>
              <w:rPr>
                <w:b/>
                <w:sz w:val="17"/>
              </w:rPr>
            </w:pPr>
            <w:r>
              <w:rPr>
                <w:b/>
                <w:sz w:val="17"/>
              </w:rPr>
              <w:t>Total</w:t>
            </w:r>
            <w:r>
              <w:rPr>
                <w:b/>
                <w:spacing w:val="12"/>
                <w:sz w:val="17"/>
              </w:rPr>
              <w:t xml:space="preserve"> </w:t>
            </w:r>
            <w:r>
              <w:rPr>
                <w:b/>
                <w:sz w:val="17"/>
              </w:rPr>
              <w:t>management</w:t>
            </w:r>
            <w:r>
              <w:rPr>
                <w:b/>
                <w:spacing w:val="19"/>
                <w:sz w:val="17"/>
              </w:rPr>
              <w:t xml:space="preserve"> </w:t>
            </w:r>
            <w:r>
              <w:rPr>
                <w:b/>
                <w:sz w:val="17"/>
              </w:rPr>
              <w:t>fees</w:t>
            </w:r>
            <w:r>
              <w:rPr>
                <w:b/>
                <w:spacing w:val="28"/>
                <w:sz w:val="17"/>
              </w:rPr>
              <w:t xml:space="preserve"> </w:t>
            </w:r>
            <w:r>
              <w:rPr>
                <w:b/>
                <w:sz w:val="17"/>
              </w:rPr>
              <w:t>paid</w:t>
            </w:r>
            <w:r>
              <w:rPr>
                <w:b/>
                <w:spacing w:val="12"/>
                <w:sz w:val="17"/>
              </w:rPr>
              <w:t xml:space="preserve"> </w:t>
            </w:r>
            <w:r>
              <w:rPr>
                <w:b/>
                <w:sz w:val="17"/>
              </w:rPr>
              <w:t>to</w:t>
            </w:r>
            <w:r>
              <w:rPr>
                <w:b/>
                <w:spacing w:val="12"/>
                <w:sz w:val="17"/>
              </w:rPr>
              <w:t xml:space="preserve"> </w:t>
            </w:r>
            <w:r>
              <w:rPr>
                <w:b/>
                <w:sz w:val="17"/>
              </w:rPr>
              <w:t>the</w:t>
            </w:r>
            <w:r>
              <w:rPr>
                <w:b/>
                <w:spacing w:val="28"/>
                <w:sz w:val="17"/>
              </w:rPr>
              <w:t xml:space="preserve"> </w:t>
            </w:r>
            <w:r>
              <w:rPr>
                <w:b/>
                <w:sz w:val="17"/>
              </w:rPr>
              <w:t>Queensland</w:t>
            </w:r>
            <w:r>
              <w:rPr>
                <w:b/>
                <w:spacing w:val="12"/>
                <w:sz w:val="17"/>
              </w:rPr>
              <w:t xml:space="preserve"> </w:t>
            </w:r>
            <w:r>
              <w:rPr>
                <w:b/>
                <w:sz w:val="17"/>
              </w:rPr>
              <w:t>Law</w:t>
            </w:r>
            <w:r>
              <w:rPr>
                <w:b/>
                <w:spacing w:val="35"/>
                <w:sz w:val="17"/>
              </w:rPr>
              <w:t xml:space="preserve"> </w:t>
            </w:r>
            <w:r>
              <w:rPr>
                <w:b/>
                <w:spacing w:val="-2"/>
                <w:sz w:val="17"/>
              </w:rPr>
              <w:t>Society</w:t>
            </w:r>
            <w:r>
              <w:rPr>
                <w:b/>
                <w:sz w:val="17"/>
              </w:rPr>
              <w:tab/>
            </w:r>
            <w:r>
              <w:rPr>
                <w:b/>
                <w:spacing w:val="-5"/>
                <w:sz w:val="17"/>
              </w:rPr>
              <w:t>877</w:t>
            </w:r>
            <w:r>
              <w:rPr>
                <w:b/>
                <w:sz w:val="17"/>
              </w:rPr>
              <w:tab/>
            </w:r>
            <w:r>
              <w:rPr>
                <w:b/>
                <w:spacing w:val="-5"/>
                <w:sz w:val="17"/>
              </w:rPr>
              <w:t>843</w:t>
            </w:r>
          </w:p>
        </w:tc>
      </w:tr>
    </w:tbl>
    <w:p w14:paraId="1C9EE46F" w14:textId="77777777" w:rsidR="00AC6F3C" w:rsidRDefault="00AC6F3C">
      <w:pPr>
        <w:pStyle w:val="BodyText"/>
        <w:spacing w:before="6"/>
        <w:rPr>
          <w:b/>
          <w:sz w:val="23"/>
        </w:rPr>
      </w:pPr>
    </w:p>
    <w:p w14:paraId="16AE3B1C" w14:textId="77777777" w:rsidR="00AC6F3C" w:rsidRDefault="00570E88">
      <w:pPr>
        <w:ind w:left="979" w:right="632"/>
        <w:rPr>
          <w:sz w:val="18"/>
        </w:rPr>
      </w:pPr>
      <w:r>
        <w:rPr>
          <w:sz w:val="18"/>
        </w:rPr>
        <w:t>The</w:t>
      </w:r>
      <w:r>
        <w:rPr>
          <w:spacing w:val="-2"/>
          <w:sz w:val="18"/>
        </w:rPr>
        <w:t xml:space="preserve"> </w:t>
      </w:r>
      <w:r>
        <w:rPr>
          <w:sz w:val="18"/>
        </w:rPr>
        <w:t>Fund</w:t>
      </w:r>
      <w:r>
        <w:rPr>
          <w:spacing w:val="-2"/>
          <w:sz w:val="18"/>
        </w:rPr>
        <w:t xml:space="preserve"> </w:t>
      </w:r>
      <w:r>
        <w:rPr>
          <w:sz w:val="18"/>
        </w:rPr>
        <w:t>pays</w:t>
      </w:r>
      <w:r>
        <w:rPr>
          <w:spacing w:val="-2"/>
          <w:sz w:val="18"/>
        </w:rPr>
        <w:t xml:space="preserve"> </w:t>
      </w:r>
      <w:r>
        <w:rPr>
          <w:sz w:val="18"/>
        </w:rPr>
        <w:t>management</w:t>
      </w:r>
      <w:r>
        <w:rPr>
          <w:spacing w:val="-3"/>
          <w:sz w:val="18"/>
        </w:rPr>
        <w:t xml:space="preserve"> </w:t>
      </w:r>
      <w:r>
        <w:rPr>
          <w:sz w:val="18"/>
        </w:rPr>
        <w:t>fees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Queensland</w:t>
      </w:r>
      <w:r>
        <w:rPr>
          <w:spacing w:val="-5"/>
          <w:sz w:val="18"/>
        </w:rPr>
        <w:t xml:space="preserve"> </w:t>
      </w:r>
      <w:r>
        <w:rPr>
          <w:sz w:val="18"/>
        </w:rPr>
        <w:t>Law</w:t>
      </w:r>
      <w:r>
        <w:rPr>
          <w:spacing w:val="-3"/>
          <w:sz w:val="18"/>
        </w:rPr>
        <w:t xml:space="preserve"> </w:t>
      </w:r>
      <w:r>
        <w:rPr>
          <w:sz w:val="18"/>
        </w:rPr>
        <w:t>Society</w:t>
      </w:r>
      <w:r>
        <w:rPr>
          <w:spacing w:val="-2"/>
          <w:sz w:val="18"/>
        </w:rPr>
        <w:t xml:space="preserve"> </w:t>
      </w:r>
      <w:r>
        <w:rPr>
          <w:sz w:val="18"/>
        </w:rPr>
        <w:t>Incorporated</w:t>
      </w:r>
      <w:r>
        <w:rPr>
          <w:spacing w:val="-2"/>
          <w:sz w:val="18"/>
        </w:rPr>
        <w:t xml:space="preserve"> </w:t>
      </w:r>
      <w:r>
        <w:rPr>
          <w:sz w:val="18"/>
        </w:rPr>
        <w:t>for</w:t>
      </w:r>
      <w:r>
        <w:rPr>
          <w:spacing w:val="-3"/>
          <w:sz w:val="18"/>
        </w:rPr>
        <w:t xml:space="preserve"> </w:t>
      </w:r>
      <w:r>
        <w:rPr>
          <w:sz w:val="18"/>
        </w:rPr>
        <w:t>services</w:t>
      </w:r>
      <w:r>
        <w:rPr>
          <w:spacing w:val="-2"/>
          <w:sz w:val="18"/>
        </w:rPr>
        <w:t xml:space="preserve"> </w:t>
      </w:r>
      <w:r>
        <w:rPr>
          <w:sz w:val="18"/>
        </w:rPr>
        <w:t>and</w:t>
      </w:r>
      <w:r>
        <w:rPr>
          <w:spacing w:val="-2"/>
          <w:sz w:val="18"/>
        </w:rPr>
        <w:t xml:space="preserve"> </w:t>
      </w:r>
      <w:r>
        <w:rPr>
          <w:sz w:val="18"/>
        </w:rPr>
        <w:t>resources used in the management and operating of the Fund’s business.</w:t>
      </w:r>
    </w:p>
    <w:p w14:paraId="351E7145" w14:textId="77777777" w:rsidR="00AC6F3C" w:rsidRDefault="00AC6F3C">
      <w:pPr>
        <w:pStyle w:val="BodyText"/>
        <w:spacing w:before="8"/>
      </w:pPr>
    </w:p>
    <w:p w14:paraId="6BEC4492" w14:textId="77777777" w:rsidR="00AC6F3C" w:rsidRDefault="00570E88">
      <w:pPr>
        <w:tabs>
          <w:tab w:val="left" w:pos="1831"/>
        </w:tabs>
        <w:ind w:left="979"/>
        <w:rPr>
          <w:b/>
          <w:sz w:val="28"/>
        </w:rPr>
      </w:pPr>
      <w:r>
        <w:rPr>
          <w:b/>
          <w:spacing w:val="-5"/>
          <w:sz w:val="28"/>
        </w:rPr>
        <w:t>C1</w:t>
      </w:r>
      <w:r>
        <w:rPr>
          <w:b/>
          <w:sz w:val="28"/>
        </w:rPr>
        <w:tab/>
        <w:t>CASH</w:t>
      </w:r>
      <w:r>
        <w:rPr>
          <w:b/>
          <w:spacing w:val="-3"/>
          <w:sz w:val="28"/>
        </w:rPr>
        <w:t xml:space="preserve"> </w:t>
      </w:r>
      <w:r>
        <w:rPr>
          <w:b/>
          <w:sz w:val="28"/>
        </w:rPr>
        <w:t>AND</w:t>
      </w:r>
      <w:r>
        <w:rPr>
          <w:b/>
          <w:spacing w:val="-6"/>
          <w:sz w:val="28"/>
        </w:rPr>
        <w:t xml:space="preserve"> </w:t>
      </w:r>
      <w:r>
        <w:rPr>
          <w:b/>
          <w:sz w:val="28"/>
        </w:rPr>
        <w:t>CASH</w:t>
      </w:r>
      <w:r>
        <w:rPr>
          <w:b/>
          <w:spacing w:val="-5"/>
          <w:sz w:val="28"/>
        </w:rPr>
        <w:t xml:space="preserve"> </w:t>
      </w:r>
      <w:r>
        <w:rPr>
          <w:b/>
          <w:spacing w:val="-2"/>
          <w:sz w:val="28"/>
        </w:rPr>
        <w:t>EQUIVALENTS</w:t>
      </w:r>
    </w:p>
    <w:p w14:paraId="620F9371" w14:textId="77777777" w:rsidR="00AC6F3C" w:rsidRDefault="00570E88">
      <w:pPr>
        <w:spacing w:before="209"/>
        <w:ind w:left="979" w:right="539"/>
        <w:rPr>
          <w:sz w:val="18"/>
        </w:rPr>
      </w:pPr>
      <w:r>
        <w:rPr>
          <w:sz w:val="18"/>
        </w:rPr>
        <w:t>For</w:t>
      </w:r>
      <w:r>
        <w:rPr>
          <w:spacing w:val="-2"/>
          <w:sz w:val="18"/>
        </w:rPr>
        <w:t xml:space="preserve"> </w:t>
      </w:r>
      <w:r>
        <w:rPr>
          <w:sz w:val="18"/>
        </w:rPr>
        <w:t>the</w:t>
      </w:r>
      <w:r>
        <w:rPr>
          <w:spacing w:val="-4"/>
          <w:sz w:val="18"/>
        </w:rPr>
        <w:t xml:space="preserve"> </w:t>
      </w:r>
      <w:r>
        <w:rPr>
          <w:sz w:val="18"/>
        </w:rPr>
        <w:t>purposes</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4"/>
          <w:sz w:val="18"/>
        </w:rPr>
        <w:t xml:space="preserve"> </w:t>
      </w:r>
      <w:r>
        <w:rPr>
          <w:sz w:val="18"/>
        </w:rPr>
        <w:t>and</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Cash</w:t>
      </w:r>
      <w:r>
        <w:rPr>
          <w:spacing w:val="-1"/>
          <w:sz w:val="18"/>
        </w:rPr>
        <w:t xml:space="preserve"> </w:t>
      </w:r>
      <w:r>
        <w:rPr>
          <w:sz w:val="18"/>
        </w:rPr>
        <w:t>Flows,</w:t>
      </w:r>
      <w:r>
        <w:rPr>
          <w:spacing w:val="-4"/>
          <w:sz w:val="18"/>
        </w:rPr>
        <w:t xml:space="preserve"> </w:t>
      </w:r>
      <w:r>
        <w:rPr>
          <w:sz w:val="18"/>
        </w:rPr>
        <w:t>cash</w:t>
      </w:r>
      <w:r>
        <w:rPr>
          <w:spacing w:val="-1"/>
          <w:sz w:val="18"/>
        </w:rPr>
        <w:t xml:space="preserve"> </w:t>
      </w:r>
      <w:r>
        <w:rPr>
          <w:sz w:val="18"/>
        </w:rPr>
        <w:t>assets</w:t>
      </w:r>
      <w:r>
        <w:rPr>
          <w:spacing w:val="-1"/>
          <w:sz w:val="18"/>
        </w:rPr>
        <w:t xml:space="preserve"> </w:t>
      </w:r>
      <w:r>
        <w:rPr>
          <w:sz w:val="18"/>
        </w:rPr>
        <w:t>include</w:t>
      </w:r>
      <w:r>
        <w:rPr>
          <w:spacing w:val="-4"/>
          <w:sz w:val="18"/>
        </w:rPr>
        <w:t xml:space="preserve"> </w:t>
      </w:r>
      <w:r>
        <w:rPr>
          <w:sz w:val="18"/>
        </w:rPr>
        <w:t>all cash and cheques receipted but not banked at 30 June as well as deposits on call with financial institutions. The cash deposit account is an interest-bearing account which is readily convertible to cash on hand at the Fund’s option.</w:t>
      </w:r>
    </w:p>
    <w:p w14:paraId="0A984061" w14:textId="77777777" w:rsidR="00AC6F3C" w:rsidRDefault="00AC6F3C">
      <w:pPr>
        <w:pStyle w:val="BodyText"/>
        <w:spacing w:before="11"/>
        <w:rPr>
          <w:sz w:val="19"/>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6F1137A9" w14:textId="77777777">
        <w:trPr>
          <w:trHeight w:val="549"/>
        </w:trPr>
        <w:tc>
          <w:tcPr>
            <w:tcW w:w="8715" w:type="dxa"/>
            <w:gridSpan w:val="3"/>
            <w:shd w:val="clear" w:color="auto" w:fill="BEBEBE"/>
          </w:tcPr>
          <w:p w14:paraId="0DEA730D"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764C7AD5"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14F29317" w14:textId="77777777">
        <w:trPr>
          <w:trHeight w:val="286"/>
        </w:trPr>
        <w:tc>
          <w:tcPr>
            <w:tcW w:w="5413" w:type="dxa"/>
            <w:tcBorders>
              <w:bottom w:val="nil"/>
              <w:right w:val="nil"/>
            </w:tcBorders>
          </w:tcPr>
          <w:p w14:paraId="02913906" w14:textId="77777777" w:rsidR="00AC6F3C" w:rsidRDefault="00570E88">
            <w:pPr>
              <w:pStyle w:val="TableParagraph"/>
              <w:spacing w:before="39"/>
              <w:ind w:left="37"/>
              <w:rPr>
                <w:sz w:val="18"/>
              </w:rPr>
            </w:pPr>
            <w:r>
              <w:rPr>
                <w:sz w:val="18"/>
              </w:rPr>
              <w:t>Cash</w:t>
            </w:r>
            <w:r>
              <w:rPr>
                <w:spacing w:val="17"/>
                <w:sz w:val="18"/>
              </w:rPr>
              <w:t xml:space="preserve"> </w:t>
            </w:r>
            <w:r>
              <w:rPr>
                <w:spacing w:val="-2"/>
                <w:sz w:val="18"/>
              </w:rPr>
              <w:t>assets</w:t>
            </w:r>
          </w:p>
        </w:tc>
        <w:tc>
          <w:tcPr>
            <w:tcW w:w="1662" w:type="dxa"/>
            <w:tcBorders>
              <w:left w:val="nil"/>
              <w:bottom w:val="nil"/>
              <w:right w:val="nil"/>
            </w:tcBorders>
            <w:shd w:val="clear" w:color="auto" w:fill="F1F1F1"/>
          </w:tcPr>
          <w:p w14:paraId="18453A94" w14:textId="77777777" w:rsidR="00AC6F3C" w:rsidRDefault="00570E88">
            <w:pPr>
              <w:pStyle w:val="TableParagraph"/>
              <w:spacing w:before="39"/>
              <w:ind w:right="35"/>
              <w:jc w:val="right"/>
              <w:rPr>
                <w:sz w:val="18"/>
              </w:rPr>
            </w:pPr>
            <w:r>
              <w:rPr>
                <w:spacing w:val="-5"/>
                <w:sz w:val="18"/>
              </w:rPr>
              <w:t>59</w:t>
            </w:r>
          </w:p>
        </w:tc>
        <w:tc>
          <w:tcPr>
            <w:tcW w:w="1640" w:type="dxa"/>
            <w:tcBorders>
              <w:left w:val="nil"/>
              <w:bottom w:val="nil"/>
            </w:tcBorders>
          </w:tcPr>
          <w:p w14:paraId="32E4F75E" w14:textId="77777777" w:rsidR="00AC6F3C" w:rsidRDefault="00570E88">
            <w:pPr>
              <w:pStyle w:val="TableParagraph"/>
              <w:spacing w:before="39"/>
              <w:ind w:right="21"/>
              <w:jc w:val="right"/>
              <w:rPr>
                <w:sz w:val="18"/>
              </w:rPr>
            </w:pPr>
            <w:r>
              <w:rPr>
                <w:spacing w:val="-5"/>
                <w:sz w:val="18"/>
              </w:rPr>
              <w:t>476</w:t>
            </w:r>
          </w:p>
        </w:tc>
      </w:tr>
      <w:tr w:rsidR="00AC6F3C" w14:paraId="30F1538A" w14:textId="77777777">
        <w:trPr>
          <w:trHeight w:val="262"/>
        </w:trPr>
        <w:tc>
          <w:tcPr>
            <w:tcW w:w="5413" w:type="dxa"/>
            <w:tcBorders>
              <w:top w:val="nil"/>
              <w:right w:val="nil"/>
            </w:tcBorders>
          </w:tcPr>
          <w:p w14:paraId="390186D6" w14:textId="77777777" w:rsidR="00AC6F3C" w:rsidRDefault="00570E88">
            <w:pPr>
              <w:pStyle w:val="TableParagraph"/>
              <w:spacing w:before="34"/>
              <w:ind w:left="37"/>
              <w:rPr>
                <w:sz w:val="18"/>
              </w:rPr>
            </w:pPr>
            <w:r>
              <w:rPr>
                <w:sz w:val="18"/>
              </w:rPr>
              <w:t>Cash</w:t>
            </w:r>
            <w:r>
              <w:rPr>
                <w:spacing w:val="23"/>
                <w:sz w:val="18"/>
              </w:rPr>
              <w:t xml:space="preserve"> </w:t>
            </w:r>
            <w:r>
              <w:rPr>
                <w:sz w:val="18"/>
              </w:rPr>
              <w:t>deposit</w:t>
            </w:r>
            <w:r>
              <w:rPr>
                <w:spacing w:val="10"/>
                <w:sz w:val="18"/>
              </w:rPr>
              <w:t xml:space="preserve"> </w:t>
            </w:r>
            <w:r>
              <w:rPr>
                <w:spacing w:val="-2"/>
                <w:sz w:val="18"/>
              </w:rPr>
              <w:t>account</w:t>
            </w:r>
          </w:p>
        </w:tc>
        <w:tc>
          <w:tcPr>
            <w:tcW w:w="1662" w:type="dxa"/>
            <w:tcBorders>
              <w:top w:val="nil"/>
              <w:left w:val="nil"/>
              <w:right w:val="nil"/>
            </w:tcBorders>
            <w:shd w:val="clear" w:color="auto" w:fill="F1F1F1"/>
          </w:tcPr>
          <w:p w14:paraId="0A9EA367" w14:textId="77777777" w:rsidR="00AC6F3C" w:rsidRDefault="00570E88">
            <w:pPr>
              <w:pStyle w:val="TableParagraph"/>
              <w:spacing w:before="34"/>
              <w:ind w:right="35"/>
              <w:jc w:val="right"/>
              <w:rPr>
                <w:sz w:val="18"/>
              </w:rPr>
            </w:pPr>
            <w:r>
              <w:rPr>
                <w:spacing w:val="-2"/>
                <w:sz w:val="18"/>
              </w:rPr>
              <w:t>1,074</w:t>
            </w:r>
          </w:p>
        </w:tc>
        <w:tc>
          <w:tcPr>
            <w:tcW w:w="1640" w:type="dxa"/>
            <w:tcBorders>
              <w:top w:val="nil"/>
              <w:left w:val="nil"/>
            </w:tcBorders>
          </w:tcPr>
          <w:p w14:paraId="02EF49DD" w14:textId="77777777" w:rsidR="00AC6F3C" w:rsidRDefault="00570E88">
            <w:pPr>
              <w:pStyle w:val="TableParagraph"/>
              <w:spacing w:before="34"/>
              <w:ind w:right="21"/>
              <w:jc w:val="right"/>
              <w:rPr>
                <w:sz w:val="18"/>
              </w:rPr>
            </w:pPr>
            <w:r>
              <w:rPr>
                <w:spacing w:val="-5"/>
                <w:sz w:val="18"/>
              </w:rPr>
              <w:t>633</w:t>
            </w:r>
          </w:p>
        </w:tc>
      </w:tr>
      <w:tr w:rsidR="00AC6F3C" w14:paraId="52916877" w14:textId="77777777">
        <w:trPr>
          <w:trHeight w:val="267"/>
        </w:trPr>
        <w:tc>
          <w:tcPr>
            <w:tcW w:w="5413" w:type="dxa"/>
            <w:tcBorders>
              <w:right w:val="nil"/>
            </w:tcBorders>
            <w:shd w:val="clear" w:color="auto" w:fill="BEBEBE"/>
          </w:tcPr>
          <w:p w14:paraId="351EAE13" w14:textId="77777777" w:rsidR="00AC6F3C" w:rsidRDefault="00570E88">
            <w:pPr>
              <w:pStyle w:val="TableParagraph"/>
              <w:spacing w:before="53" w:line="193" w:lineRule="exact"/>
              <w:ind w:left="37"/>
              <w:rPr>
                <w:b/>
                <w:sz w:val="18"/>
              </w:rPr>
            </w:pPr>
            <w:r>
              <w:rPr>
                <w:b/>
                <w:sz w:val="18"/>
              </w:rPr>
              <w:t>Total</w:t>
            </w:r>
            <w:r>
              <w:rPr>
                <w:b/>
                <w:spacing w:val="-3"/>
                <w:sz w:val="18"/>
              </w:rPr>
              <w:t xml:space="preserve"> </w:t>
            </w:r>
            <w:r>
              <w:rPr>
                <w:b/>
                <w:sz w:val="18"/>
              </w:rPr>
              <w:t>cash</w:t>
            </w:r>
            <w:r>
              <w:rPr>
                <w:b/>
                <w:spacing w:val="-3"/>
                <w:sz w:val="18"/>
              </w:rPr>
              <w:t xml:space="preserve"> </w:t>
            </w:r>
            <w:r>
              <w:rPr>
                <w:b/>
                <w:sz w:val="18"/>
              </w:rPr>
              <w:t>and</w:t>
            </w:r>
            <w:r>
              <w:rPr>
                <w:b/>
                <w:spacing w:val="-2"/>
                <w:sz w:val="18"/>
              </w:rPr>
              <w:t xml:space="preserve"> </w:t>
            </w:r>
            <w:r>
              <w:rPr>
                <w:b/>
                <w:sz w:val="18"/>
              </w:rPr>
              <w:t>cash</w:t>
            </w:r>
            <w:r>
              <w:rPr>
                <w:b/>
                <w:spacing w:val="-3"/>
                <w:sz w:val="18"/>
              </w:rPr>
              <w:t xml:space="preserve"> </w:t>
            </w:r>
            <w:r>
              <w:rPr>
                <w:b/>
                <w:spacing w:val="-2"/>
                <w:sz w:val="18"/>
              </w:rPr>
              <w:t>equivalents</w:t>
            </w:r>
          </w:p>
        </w:tc>
        <w:tc>
          <w:tcPr>
            <w:tcW w:w="1662" w:type="dxa"/>
            <w:tcBorders>
              <w:left w:val="nil"/>
              <w:right w:val="nil"/>
            </w:tcBorders>
            <w:shd w:val="clear" w:color="auto" w:fill="BEBEBE"/>
          </w:tcPr>
          <w:p w14:paraId="7508F0AE" w14:textId="77777777" w:rsidR="00AC6F3C" w:rsidRDefault="00570E88">
            <w:pPr>
              <w:pStyle w:val="TableParagraph"/>
              <w:spacing w:before="53" w:line="193" w:lineRule="exact"/>
              <w:ind w:right="35"/>
              <w:jc w:val="right"/>
              <w:rPr>
                <w:b/>
                <w:sz w:val="18"/>
              </w:rPr>
            </w:pPr>
            <w:r>
              <w:rPr>
                <w:b/>
                <w:spacing w:val="-2"/>
                <w:sz w:val="18"/>
              </w:rPr>
              <w:t>1,133</w:t>
            </w:r>
          </w:p>
        </w:tc>
        <w:tc>
          <w:tcPr>
            <w:tcW w:w="1640" w:type="dxa"/>
            <w:tcBorders>
              <w:left w:val="nil"/>
            </w:tcBorders>
            <w:shd w:val="clear" w:color="auto" w:fill="BEBEBE"/>
          </w:tcPr>
          <w:p w14:paraId="730644FC" w14:textId="77777777" w:rsidR="00AC6F3C" w:rsidRDefault="00570E88">
            <w:pPr>
              <w:pStyle w:val="TableParagraph"/>
              <w:spacing w:before="53" w:line="193" w:lineRule="exact"/>
              <w:ind w:right="21"/>
              <w:jc w:val="right"/>
              <w:rPr>
                <w:b/>
                <w:sz w:val="18"/>
              </w:rPr>
            </w:pPr>
            <w:r>
              <w:rPr>
                <w:b/>
                <w:spacing w:val="-2"/>
                <w:sz w:val="18"/>
              </w:rPr>
              <w:t>1,109</w:t>
            </w:r>
          </w:p>
        </w:tc>
      </w:tr>
    </w:tbl>
    <w:p w14:paraId="2F616CE1" w14:textId="77777777" w:rsidR="00AC6F3C" w:rsidRDefault="00AC6F3C">
      <w:pPr>
        <w:spacing w:line="193" w:lineRule="exact"/>
        <w:jc w:val="right"/>
        <w:rPr>
          <w:sz w:val="18"/>
        </w:rPr>
        <w:sectPr w:rsidR="00AC6F3C">
          <w:pgSz w:w="11910" w:h="16840"/>
          <w:pgMar w:top="1760" w:right="1160" w:bottom="520" w:left="460" w:header="1228" w:footer="336" w:gutter="0"/>
          <w:cols w:space="720"/>
        </w:sectPr>
      </w:pPr>
    </w:p>
    <w:p w14:paraId="479AD0CD" w14:textId="77777777" w:rsidR="00AC6F3C" w:rsidRDefault="00AC6F3C">
      <w:pPr>
        <w:pStyle w:val="BodyText"/>
        <w:spacing w:before="8"/>
        <w:rPr>
          <w:sz w:val="11"/>
        </w:rPr>
      </w:pPr>
    </w:p>
    <w:p w14:paraId="194912E1" w14:textId="77777777" w:rsidR="00AC6F3C" w:rsidRDefault="00570E88">
      <w:pPr>
        <w:spacing w:before="95"/>
        <w:ind w:left="979"/>
        <w:rPr>
          <w:b/>
          <w:sz w:val="18"/>
        </w:rPr>
      </w:pPr>
      <w:r>
        <w:rPr>
          <w:b/>
          <w:sz w:val="18"/>
        </w:rPr>
        <w:t>Reconciliation</w:t>
      </w:r>
      <w:r>
        <w:rPr>
          <w:b/>
          <w:spacing w:val="-6"/>
          <w:sz w:val="18"/>
        </w:rPr>
        <w:t xml:space="preserve"> </w:t>
      </w:r>
      <w:r>
        <w:rPr>
          <w:b/>
          <w:sz w:val="18"/>
        </w:rPr>
        <w:t>of</w:t>
      </w:r>
      <w:r>
        <w:rPr>
          <w:b/>
          <w:spacing w:val="-2"/>
          <w:sz w:val="18"/>
        </w:rPr>
        <w:t xml:space="preserve"> </w:t>
      </w:r>
      <w:r>
        <w:rPr>
          <w:b/>
          <w:sz w:val="18"/>
        </w:rPr>
        <w:t>operating</w:t>
      </w:r>
      <w:r>
        <w:rPr>
          <w:b/>
          <w:spacing w:val="-2"/>
          <w:sz w:val="18"/>
        </w:rPr>
        <w:t xml:space="preserve"> </w:t>
      </w:r>
      <w:r>
        <w:rPr>
          <w:b/>
          <w:sz w:val="18"/>
        </w:rPr>
        <w:t>result</w:t>
      </w:r>
      <w:r>
        <w:rPr>
          <w:b/>
          <w:spacing w:val="-1"/>
          <w:sz w:val="18"/>
        </w:rPr>
        <w:t xml:space="preserve"> </w:t>
      </w:r>
      <w:r>
        <w:rPr>
          <w:b/>
          <w:sz w:val="18"/>
        </w:rPr>
        <w:t>for</w:t>
      </w:r>
      <w:r>
        <w:rPr>
          <w:b/>
          <w:spacing w:val="-3"/>
          <w:sz w:val="18"/>
        </w:rPr>
        <w:t xml:space="preserve"> </w:t>
      </w:r>
      <w:r>
        <w:rPr>
          <w:b/>
          <w:sz w:val="18"/>
        </w:rPr>
        <w:t>the</w:t>
      </w:r>
      <w:r>
        <w:rPr>
          <w:b/>
          <w:spacing w:val="-1"/>
          <w:sz w:val="18"/>
        </w:rPr>
        <w:t xml:space="preserve"> </w:t>
      </w:r>
      <w:r>
        <w:rPr>
          <w:b/>
          <w:sz w:val="18"/>
        </w:rPr>
        <w:t>year</w:t>
      </w:r>
      <w:r>
        <w:rPr>
          <w:b/>
          <w:spacing w:val="-2"/>
          <w:sz w:val="18"/>
        </w:rPr>
        <w:t xml:space="preserve"> </w:t>
      </w:r>
      <w:r>
        <w:rPr>
          <w:b/>
          <w:sz w:val="18"/>
        </w:rPr>
        <w:t>to</w:t>
      </w:r>
      <w:r>
        <w:rPr>
          <w:b/>
          <w:spacing w:val="-2"/>
          <w:sz w:val="18"/>
        </w:rPr>
        <w:t xml:space="preserve"> </w:t>
      </w:r>
      <w:r>
        <w:rPr>
          <w:b/>
          <w:sz w:val="18"/>
        </w:rPr>
        <w:t>net</w:t>
      </w:r>
      <w:r>
        <w:rPr>
          <w:b/>
          <w:spacing w:val="-2"/>
          <w:sz w:val="18"/>
        </w:rPr>
        <w:t xml:space="preserve"> </w:t>
      </w:r>
      <w:r>
        <w:rPr>
          <w:b/>
          <w:sz w:val="18"/>
        </w:rPr>
        <w:t>cash</w:t>
      </w:r>
      <w:r>
        <w:rPr>
          <w:b/>
          <w:spacing w:val="-3"/>
          <w:sz w:val="18"/>
        </w:rPr>
        <w:t xml:space="preserve"> </w:t>
      </w:r>
      <w:r>
        <w:rPr>
          <w:b/>
          <w:sz w:val="18"/>
        </w:rPr>
        <w:t>(used</w:t>
      </w:r>
      <w:r>
        <w:rPr>
          <w:b/>
          <w:spacing w:val="-2"/>
          <w:sz w:val="18"/>
        </w:rPr>
        <w:t xml:space="preserve"> </w:t>
      </w:r>
      <w:r>
        <w:rPr>
          <w:b/>
          <w:sz w:val="18"/>
        </w:rPr>
        <w:t>in)</w:t>
      </w:r>
      <w:r>
        <w:rPr>
          <w:b/>
          <w:spacing w:val="-2"/>
          <w:sz w:val="18"/>
        </w:rPr>
        <w:t xml:space="preserve"> </w:t>
      </w:r>
      <w:r>
        <w:rPr>
          <w:b/>
          <w:sz w:val="18"/>
        </w:rPr>
        <w:t>operating</w:t>
      </w:r>
      <w:r>
        <w:rPr>
          <w:b/>
          <w:spacing w:val="-3"/>
          <w:sz w:val="18"/>
        </w:rPr>
        <w:t xml:space="preserve"> </w:t>
      </w:r>
      <w:r>
        <w:rPr>
          <w:b/>
          <w:spacing w:val="-2"/>
          <w:sz w:val="18"/>
        </w:rPr>
        <w:t>activities</w:t>
      </w:r>
    </w:p>
    <w:p w14:paraId="23660361" w14:textId="77777777" w:rsidR="00AC6F3C" w:rsidRDefault="00AC6F3C">
      <w:pPr>
        <w:pStyle w:val="BodyText"/>
        <w:spacing w:before="11"/>
        <w:rPr>
          <w:b/>
          <w:sz w:val="19"/>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4E6A33FF" w14:textId="77777777">
        <w:trPr>
          <w:trHeight w:val="552"/>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1B9C5836" w14:textId="77777777" w:rsidR="00AC6F3C" w:rsidRDefault="00570E88">
            <w:pPr>
              <w:pStyle w:val="TableParagraph"/>
              <w:tabs>
                <w:tab w:val="left" w:pos="1647"/>
              </w:tabs>
              <w:spacing w:before="25"/>
              <w:ind w:right="21"/>
              <w:jc w:val="right"/>
              <w:rPr>
                <w:b/>
                <w:sz w:val="18"/>
              </w:rPr>
            </w:pPr>
            <w:r>
              <w:rPr>
                <w:b/>
                <w:spacing w:val="-4"/>
                <w:sz w:val="18"/>
              </w:rPr>
              <w:t>2023</w:t>
            </w:r>
            <w:r>
              <w:rPr>
                <w:b/>
                <w:sz w:val="18"/>
              </w:rPr>
              <w:tab/>
            </w:r>
            <w:r>
              <w:rPr>
                <w:b/>
                <w:spacing w:val="-4"/>
                <w:sz w:val="18"/>
              </w:rPr>
              <w:t>2022</w:t>
            </w:r>
          </w:p>
          <w:p w14:paraId="57F0DD64" w14:textId="77777777" w:rsidR="00AC6F3C" w:rsidRDefault="00570E88">
            <w:pPr>
              <w:pStyle w:val="TableParagraph"/>
              <w:tabs>
                <w:tab w:val="left" w:pos="1647"/>
              </w:tabs>
              <w:spacing w:before="77"/>
              <w:ind w:right="21"/>
              <w:jc w:val="right"/>
              <w:rPr>
                <w:b/>
                <w:sz w:val="18"/>
              </w:rPr>
            </w:pPr>
            <w:r>
              <w:rPr>
                <w:b/>
                <w:spacing w:val="-2"/>
                <w:sz w:val="18"/>
              </w:rPr>
              <w:t>$'000</w:t>
            </w:r>
            <w:r>
              <w:rPr>
                <w:b/>
                <w:sz w:val="18"/>
              </w:rPr>
              <w:tab/>
            </w:r>
            <w:r>
              <w:rPr>
                <w:b/>
                <w:spacing w:val="-4"/>
                <w:sz w:val="18"/>
              </w:rPr>
              <w:t>$'000</w:t>
            </w:r>
          </w:p>
        </w:tc>
      </w:tr>
      <w:tr w:rsidR="00AC6F3C" w14:paraId="0D0BEE63" w14:textId="77777777">
        <w:trPr>
          <w:trHeight w:val="415"/>
        </w:trPr>
        <w:tc>
          <w:tcPr>
            <w:tcW w:w="5413" w:type="dxa"/>
            <w:tcBorders>
              <w:top w:val="single" w:sz="6" w:space="0" w:color="000000"/>
              <w:left w:val="single" w:sz="6" w:space="0" w:color="000000"/>
            </w:tcBorders>
          </w:tcPr>
          <w:p w14:paraId="5B59A257" w14:textId="77777777" w:rsidR="00AC6F3C" w:rsidRDefault="00570E88">
            <w:pPr>
              <w:pStyle w:val="TableParagraph"/>
              <w:spacing w:before="25"/>
              <w:ind w:left="37"/>
              <w:rPr>
                <w:sz w:val="18"/>
              </w:rPr>
            </w:pPr>
            <w:r>
              <w:rPr>
                <w:sz w:val="18"/>
              </w:rPr>
              <w:t>Operating</w:t>
            </w:r>
            <w:r>
              <w:rPr>
                <w:spacing w:val="4"/>
                <w:sz w:val="18"/>
              </w:rPr>
              <w:t xml:space="preserve"> </w:t>
            </w:r>
            <w:r>
              <w:rPr>
                <w:sz w:val="18"/>
              </w:rPr>
              <w:t>result</w:t>
            </w:r>
            <w:r>
              <w:rPr>
                <w:spacing w:val="-7"/>
                <w:sz w:val="18"/>
              </w:rPr>
              <w:t xml:space="preserve"> </w:t>
            </w:r>
            <w:r>
              <w:rPr>
                <w:sz w:val="18"/>
              </w:rPr>
              <w:t>for</w:t>
            </w:r>
            <w:r>
              <w:rPr>
                <w:spacing w:val="-2"/>
                <w:sz w:val="18"/>
              </w:rPr>
              <w:t xml:space="preserve"> </w:t>
            </w:r>
            <w:r>
              <w:rPr>
                <w:sz w:val="18"/>
              </w:rPr>
              <w:t>the</w:t>
            </w:r>
            <w:r>
              <w:rPr>
                <w:spacing w:val="5"/>
                <w:sz w:val="18"/>
              </w:rPr>
              <w:t xml:space="preserve"> </w:t>
            </w:r>
            <w:r>
              <w:rPr>
                <w:spacing w:val="-4"/>
                <w:sz w:val="18"/>
              </w:rPr>
              <w:t>year</w:t>
            </w:r>
          </w:p>
        </w:tc>
        <w:tc>
          <w:tcPr>
            <w:tcW w:w="1662" w:type="dxa"/>
            <w:tcBorders>
              <w:top w:val="single" w:sz="6" w:space="0" w:color="000000"/>
            </w:tcBorders>
            <w:shd w:val="clear" w:color="auto" w:fill="F1F1F1"/>
          </w:tcPr>
          <w:p w14:paraId="18B5C23E" w14:textId="77777777" w:rsidR="00AC6F3C" w:rsidRDefault="00570E88">
            <w:pPr>
              <w:pStyle w:val="TableParagraph"/>
              <w:spacing w:before="25"/>
              <w:ind w:right="30"/>
              <w:jc w:val="right"/>
              <w:rPr>
                <w:sz w:val="18"/>
              </w:rPr>
            </w:pPr>
            <w:r>
              <w:rPr>
                <w:spacing w:val="-2"/>
                <w:sz w:val="18"/>
              </w:rPr>
              <w:t>(138)</w:t>
            </w:r>
          </w:p>
        </w:tc>
        <w:tc>
          <w:tcPr>
            <w:tcW w:w="1640" w:type="dxa"/>
            <w:tcBorders>
              <w:top w:val="single" w:sz="6" w:space="0" w:color="000000"/>
              <w:right w:val="single" w:sz="6" w:space="0" w:color="000000"/>
            </w:tcBorders>
          </w:tcPr>
          <w:p w14:paraId="0FE987D0" w14:textId="77777777" w:rsidR="00AC6F3C" w:rsidRDefault="00570E88">
            <w:pPr>
              <w:pStyle w:val="TableParagraph"/>
              <w:spacing w:before="25"/>
              <w:ind w:right="16"/>
              <w:jc w:val="right"/>
              <w:rPr>
                <w:sz w:val="18"/>
              </w:rPr>
            </w:pPr>
            <w:r>
              <w:rPr>
                <w:spacing w:val="-2"/>
                <w:sz w:val="18"/>
              </w:rPr>
              <w:t>(5,732)</w:t>
            </w:r>
          </w:p>
        </w:tc>
      </w:tr>
      <w:tr w:rsidR="00AC6F3C" w14:paraId="48E93243" w14:textId="77777777">
        <w:trPr>
          <w:trHeight w:val="425"/>
        </w:trPr>
        <w:tc>
          <w:tcPr>
            <w:tcW w:w="5413" w:type="dxa"/>
            <w:tcBorders>
              <w:left w:val="single" w:sz="6" w:space="0" w:color="000000"/>
            </w:tcBorders>
          </w:tcPr>
          <w:p w14:paraId="1DC50BCE" w14:textId="77777777" w:rsidR="00AC6F3C" w:rsidRDefault="00570E88">
            <w:pPr>
              <w:pStyle w:val="TableParagraph"/>
              <w:spacing w:before="177"/>
              <w:ind w:left="37"/>
              <w:rPr>
                <w:i/>
                <w:sz w:val="18"/>
              </w:rPr>
            </w:pPr>
            <w:r>
              <w:rPr>
                <w:i/>
                <w:sz w:val="18"/>
              </w:rPr>
              <w:t>Adjustments</w:t>
            </w:r>
            <w:r>
              <w:rPr>
                <w:i/>
                <w:spacing w:val="8"/>
                <w:sz w:val="18"/>
              </w:rPr>
              <w:t xml:space="preserve"> </w:t>
            </w:r>
            <w:r>
              <w:rPr>
                <w:i/>
                <w:spacing w:val="-4"/>
                <w:sz w:val="18"/>
              </w:rPr>
              <w:t>for:</w:t>
            </w:r>
          </w:p>
        </w:tc>
        <w:tc>
          <w:tcPr>
            <w:tcW w:w="1662" w:type="dxa"/>
            <w:shd w:val="clear" w:color="auto" w:fill="F1F1F1"/>
          </w:tcPr>
          <w:p w14:paraId="2B62AE63" w14:textId="77777777" w:rsidR="00AC6F3C" w:rsidRDefault="00AC6F3C">
            <w:pPr>
              <w:pStyle w:val="TableParagraph"/>
              <w:rPr>
                <w:rFonts w:ascii="Times New Roman"/>
                <w:sz w:val="18"/>
              </w:rPr>
            </w:pPr>
          </w:p>
        </w:tc>
        <w:tc>
          <w:tcPr>
            <w:tcW w:w="1640" w:type="dxa"/>
            <w:tcBorders>
              <w:right w:val="single" w:sz="6" w:space="0" w:color="000000"/>
            </w:tcBorders>
          </w:tcPr>
          <w:p w14:paraId="03C8C98F" w14:textId="77777777" w:rsidR="00AC6F3C" w:rsidRDefault="00AC6F3C">
            <w:pPr>
              <w:pStyle w:val="TableParagraph"/>
              <w:rPr>
                <w:rFonts w:ascii="Times New Roman"/>
                <w:sz w:val="18"/>
              </w:rPr>
            </w:pPr>
          </w:p>
        </w:tc>
      </w:tr>
      <w:tr w:rsidR="00AC6F3C" w14:paraId="488774FD" w14:textId="77777777">
        <w:trPr>
          <w:trHeight w:val="283"/>
        </w:trPr>
        <w:tc>
          <w:tcPr>
            <w:tcW w:w="5413" w:type="dxa"/>
            <w:tcBorders>
              <w:left w:val="single" w:sz="6" w:space="0" w:color="000000"/>
            </w:tcBorders>
          </w:tcPr>
          <w:p w14:paraId="353A20D6" w14:textId="77777777" w:rsidR="00AC6F3C" w:rsidRDefault="00570E88">
            <w:pPr>
              <w:pStyle w:val="TableParagraph"/>
              <w:spacing w:before="35"/>
              <w:ind w:left="172"/>
              <w:rPr>
                <w:sz w:val="18"/>
              </w:rPr>
            </w:pPr>
            <w:r>
              <w:rPr>
                <w:sz w:val="18"/>
              </w:rPr>
              <w:t>Net</w:t>
            </w:r>
            <w:r>
              <w:rPr>
                <w:spacing w:val="3"/>
                <w:sz w:val="18"/>
              </w:rPr>
              <w:t xml:space="preserve"> </w:t>
            </w:r>
            <w:r>
              <w:rPr>
                <w:sz w:val="18"/>
              </w:rPr>
              <w:t>investment</w:t>
            </w:r>
            <w:r>
              <w:rPr>
                <w:spacing w:val="3"/>
                <w:sz w:val="18"/>
              </w:rPr>
              <w:t xml:space="preserve"> </w:t>
            </w:r>
            <w:r>
              <w:rPr>
                <w:spacing w:val="-2"/>
                <w:sz w:val="18"/>
              </w:rPr>
              <w:t>income</w:t>
            </w:r>
          </w:p>
        </w:tc>
        <w:tc>
          <w:tcPr>
            <w:tcW w:w="1662" w:type="dxa"/>
            <w:shd w:val="clear" w:color="auto" w:fill="F1F1F1"/>
          </w:tcPr>
          <w:p w14:paraId="120A8C2F" w14:textId="77777777" w:rsidR="00AC6F3C" w:rsidRDefault="00570E88">
            <w:pPr>
              <w:pStyle w:val="TableParagraph"/>
              <w:spacing w:before="35"/>
              <w:ind w:right="30"/>
              <w:jc w:val="right"/>
              <w:rPr>
                <w:sz w:val="18"/>
              </w:rPr>
            </w:pPr>
            <w:r>
              <w:rPr>
                <w:spacing w:val="-2"/>
                <w:sz w:val="18"/>
              </w:rPr>
              <w:t>(1,524)</w:t>
            </w:r>
          </w:p>
        </w:tc>
        <w:tc>
          <w:tcPr>
            <w:tcW w:w="1640" w:type="dxa"/>
            <w:tcBorders>
              <w:right w:val="single" w:sz="6" w:space="0" w:color="000000"/>
            </w:tcBorders>
          </w:tcPr>
          <w:p w14:paraId="39B0A3C4" w14:textId="77777777" w:rsidR="00AC6F3C" w:rsidRDefault="00570E88">
            <w:pPr>
              <w:pStyle w:val="TableParagraph"/>
              <w:spacing w:before="35"/>
              <w:ind w:right="16"/>
              <w:jc w:val="right"/>
              <w:rPr>
                <w:sz w:val="18"/>
              </w:rPr>
            </w:pPr>
            <w:r>
              <w:rPr>
                <w:spacing w:val="-2"/>
                <w:sz w:val="18"/>
              </w:rPr>
              <w:t>(913)</w:t>
            </w:r>
          </w:p>
        </w:tc>
      </w:tr>
      <w:tr w:rsidR="00AC6F3C" w14:paraId="1952BB09" w14:textId="77777777">
        <w:trPr>
          <w:trHeight w:val="298"/>
        </w:trPr>
        <w:tc>
          <w:tcPr>
            <w:tcW w:w="5413" w:type="dxa"/>
            <w:tcBorders>
              <w:left w:val="single" w:sz="6" w:space="0" w:color="000000"/>
            </w:tcBorders>
          </w:tcPr>
          <w:p w14:paraId="0F9FDF23" w14:textId="77777777" w:rsidR="00AC6F3C" w:rsidRDefault="00570E88">
            <w:pPr>
              <w:pStyle w:val="TableParagraph"/>
              <w:spacing w:before="35"/>
              <w:ind w:left="172"/>
              <w:rPr>
                <w:sz w:val="18"/>
              </w:rPr>
            </w:pPr>
            <w:r>
              <w:rPr>
                <w:sz w:val="18"/>
              </w:rPr>
              <w:t>(Gain)/loss</w:t>
            </w:r>
            <w:r>
              <w:rPr>
                <w:spacing w:val="28"/>
                <w:sz w:val="18"/>
              </w:rPr>
              <w:t xml:space="preserve"> </w:t>
            </w:r>
            <w:r>
              <w:rPr>
                <w:sz w:val="18"/>
              </w:rPr>
              <w:t>on</w:t>
            </w:r>
            <w:r>
              <w:rPr>
                <w:spacing w:val="15"/>
                <w:sz w:val="18"/>
              </w:rPr>
              <w:t xml:space="preserve"> </w:t>
            </w:r>
            <w:r>
              <w:rPr>
                <w:sz w:val="18"/>
              </w:rPr>
              <w:t>disposal</w:t>
            </w:r>
            <w:r>
              <w:rPr>
                <w:spacing w:val="15"/>
                <w:sz w:val="18"/>
              </w:rPr>
              <w:t xml:space="preserve"> </w:t>
            </w:r>
            <w:r>
              <w:rPr>
                <w:sz w:val="18"/>
              </w:rPr>
              <w:t>of</w:t>
            </w:r>
            <w:r>
              <w:rPr>
                <w:spacing w:val="2"/>
                <w:sz w:val="18"/>
              </w:rPr>
              <w:t xml:space="preserve"> </w:t>
            </w:r>
            <w:r>
              <w:rPr>
                <w:spacing w:val="-2"/>
                <w:sz w:val="18"/>
              </w:rPr>
              <w:t>investments</w:t>
            </w:r>
          </w:p>
        </w:tc>
        <w:tc>
          <w:tcPr>
            <w:tcW w:w="1662" w:type="dxa"/>
            <w:shd w:val="clear" w:color="auto" w:fill="F1F1F1"/>
          </w:tcPr>
          <w:p w14:paraId="033FF14C" w14:textId="77777777" w:rsidR="00AC6F3C" w:rsidRDefault="00570E88">
            <w:pPr>
              <w:pStyle w:val="TableParagraph"/>
              <w:spacing w:before="35"/>
              <w:ind w:right="35"/>
              <w:jc w:val="right"/>
              <w:rPr>
                <w:sz w:val="18"/>
              </w:rPr>
            </w:pPr>
            <w:r>
              <w:rPr>
                <w:w w:val="99"/>
                <w:sz w:val="18"/>
              </w:rPr>
              <w:t>-</w:t>
            </w:r>
          </w:p>
        </w:tc>
        <w:tc>
          <w:tcPr>
            <w:tcW w:w="1640" w:type="dxa"/>
            <w:tcBorders>
              <w:right w:val="single" w:sz="6" w:space="0" w:color="000000"/>
            </w:tcBorders>
          </w:tcPr>
          <w:p w14:paraId="4718B133" w14:textId="77777777" w:rsidR="00AC6F3C" w:rsidRDefault="00570E88">
            <w:pPr>
              <w:pStyle w:val="TableParagraph"/>
              <w:spacing w:before="35"/>
              <w:ind w:right="21"/>
              <w:jc w:val="right"/>
              <w:rPr>
                <w:sz w:val="18"/>
              </w:rPr>
            </w:pPr>
            <w:r>
              <w:rPr>
                <w:spacing w:val="-2"/>
                <w:sz w:val="18"/>
              </w:rPr>
              <w:t>2,387</w:t>
            </w:r>
          </w:p>
        </w:tc>
      </w:tr>
      <w:tr w:rsidR="00AC6F3C" w14:paraId="570BF03F" w14:textId="77777777">
        <w:trPr>
          <w:trHeight w:val="283"/>
        </w:trPr>
        <w:tc>
          <w:tcPr>
            <w:tcW w:w="5413" w:type="dxa"/>
            <w:tcBorders>
              <w:left w:val="single" w:sz="6" w:space="0" w:color="000000"/>
            </w:tcBorders>
          </w:tcPr>
          <w:p w14:paraId="15DE1A05" w14:textId="77777777" w:rsidR="00AC6F3C" w:rsidRDefault="00570E88">
            <w:pPr>
              <w:pStyle w:val="TableParagraph"/>
              <w:spacing w:before="50"/>
              <w:ind w:left="37"/>
              <w:rPr>
                <w:b/>
                <w:i/>
                <w:sz w:val="18"/>
              </w:rPr>
            </w:pPr>
            <w:r>
              <w:rPr>
                <w:b/>
                <w:i/>
                <w:sz w:val="18"/>
              </w:rPr>
              <w:t>Changes</w:t>
            </w:r>
            <w:r>
              <w:rPr>
                <w:b/>
                <w:i/>
                <w:spacing w:val="-8"/>
                <w:sz w:val="18"/>
              </w:rPr>
              <w:t xml:space="preserve"> </w:t>
            </w:r>
            <w:r>
              <w:rPr>
                <w:b/>
                <w:i/>
                <w:sz w:val="18"/>
              </w:rPr>
              <w:t>in</w:t>
            </w:r>
            <w:r>
              <w:rPr>
                <w:b/>
                <w:i/>
                <w:spacing w:val="-12"/>
                <w:sz w:val="18"/>
              </w:rPr>
              <w:t xml:space="preserve"> </w:t>
            </w:r>
            <w:r>
              <w:rPr>
                <w:b/>
                <w:i/>
                <w:sz w:val="18"/>
              </w:rPr>
              <w:t>assets</w:t>
            </w:r>
            <w:r>
              <w:rPr>
                <w:b/>
                <w:i/>
                <w:spacing w:val="-4"/>
                <w:sz w:val="18"/>
              </w:rPr>
              <w:t xml:space="preserve"> </w:t>
            </w:r>
            <w:r>
              <w:rPr>
                <w:b/>
                <w:i/>
                <w:sz w:val="18"/>
              </w:rPr>
              <w:t>and</w:t>
            </w:r>
            <w:r>
              <w:rPr>
                <w:b/>
                <w:i/>
                <w:spacing w:val="-12"/>
                <w:sz w:val="18"/>
              </w:rPr>
              <w:t xml:space="preserve"> </w:t>
            </w:r>
            <w:r>
              <w:rPr>
                <w:b/>
                <w:i/>
                <w:spacing w:val="-2"/>
                <w:sz w:val="18"/>
              </w:rPr>
              <w:t>liabilities:</w:t>
            </w:r>
          </w:p>
        </w:tc>
        <w:tc>
          <w:tcPr>
            <w:tcW w:w="1662" w:type="dxa"/>
            <w:shd w:val="clear" w:color="auto" w:fill="F1F1F1"/>
          </w:tcPr>
          <w:p w14:paraId="0498EBD1" w14:textId="77777777" w:rsidR="00AC6F3C" w:rsidRDefault="00AC6F3C">
            <w:pPr>
              <w:pStyle w:val="TableParagraph"/>
              <w:rPr>
                <w:rFonts w:ascii="Times New Roman"/>
                <w:sz w:val="18"/>
              </w:rPr>
            </w:pPr>
          </w:p>
        </w:tc>
        <w:tc>
          <w:tcPr>
            <w:tcW w:w="1640" w:type="dxa"/>
            <w:tcBorders>
              <w:right w:val="single" w:sz="6" w:space="0" w:color="000000"/>
            </w:tcBorders>
          </w:tcPr>
          <w:p w14:paraId="799B54AA" w14:textId="77777777" w:rsidR="00AC6F3C" w:rsidRDefault="00AC6F3C">
            <w:pPr>
              <w:pStyle w:val="TableParagraph"/>
              <w:rPr>
                <w:rFonts w:ascii="Times New Roman"/>
                <w:sz w:val="18"/>
              </w:rPr>
            </w:pPr>
          </w:p>
        </w:tc>
      </w:tr>
      <w:tr w:rsidR="00AC6F3C" w14:paraId="1112B7B9" w14:textId="77777777">
        <w:trPr>
          <w:trHeight w:val="268"/>
        </w:trPr>
        <w:tc>
          <w:tcPr>
            <w:tcW w:w="5413" w:type="dxa"/>
            <w:tcBorders>
              <w:left w:val="single" w:sz="6" w:space="0" w:color="000000"/>
            </w:tcBorders>
          </w:tcPr>
          <w:p w14:paraId="000C8FB6" w14:textId="77777777" w:rsidR="00AC6F3C" w:rsidRDefault="00570E88">
            <w:pPr>
              <w:pStyle w:val="TableParagraph"/>
              <w:spacing w:before="20"/>
              <w:ind w:left="172"/>
              <w:rPr>
                <w:sz w:val="18"/>
              </w:rPr>
            </w:pPr>
            <w:r>
              <w:rPr>
                <w:sz w:val="18"/>
              </w:rPr>
              <w:t>(Increase)/decrease</w:t>
            </w:r>
            <w:r>
              <w:rPr>
                <w:spacing w:val="17"/>
                <w:sz w:val="18"/>
              </w:rPr>
              <w:t xml:space="preserve"> </w:t>
            </w:r>
            <w:r>
              <w:rPr>
                <w:sz w:val="18"/>
              </w:rPr>
              <w:t>in</w:t>
            </w:r>
            <w:r>
              <w:rPr>
                <w:spacing w:val="18"/>
                <w:sz w:val="18"/>
              </w:rPr>
              <w:t xml:space="preserve"> </w:t>
            </w:r>
            <w:r>
              <w:rPr>
                <w:spacing w:val="-2"/>
                <w:sz w:val="18"/>
              </w:rPr>
              <w:t>receivables</w:t>
            </w:r>
          </w:p>
        </w:tc>
        <w:tc>
          <w:tcPr>
            <w:tcW w:w="1662" w:type="dxa"/>
            <w:shd w:val="clear" w:color="auto" w:fill="F1F1F1"/>
          </w:tcPr>
          <w:p w14:paraId="7CF1DF07" w14:textId="77777777" w:rsidR="00AC6F3C" w:rsidRDefault="00570E88">
            <w:pPr>
              <w:pStyle w:val="TableParagraph"/>
              <w:spacing w:before="20"/>
              <w:ind w:right="30"/>
              <w:jc w:val="right"/>
              <w:rPr>
                <w:sz w:val="18"/>
              </w:rPr>
            </w:pPr>
            <w:r>
              <w:rPr>
                <w:spacing w:val="-2"/>
                <w:sz w:val="18"/>
              </w:rPr>
              <w:t>(2,743)</w:t>
            </w:r>
          </w:p>
        </w:tc>
        <w:tc>
          <w:tcPr>
            <w:tcW w:w="1640" w:type="dxa"/>
            <w:tcBorders>
              <w:right w:val="single" w:sz="6" w:space="0" w:color="000000"/>
            </w:tcBorders>
          </w:tcPr>
          <w:p w14:paraId="66060C4C" w14:textId="77777777" w:rsidR="00AC6F3C" w:rsidRDefault="00570E88">
            <w:pPr>
              <w:pStyle w:val="TableParagraph"/>
              <w:spacing w:before="20"/>
              <w:ind w:right="16"/>
              <w:jc w:val="right"/>
              <w:rPr>
                <w:sz w:val="18"/>
              </w:rPr>
            </w:pPr>
            <w:r>
              <w:rPr>
                <w:spacing w:val="-2"/>
                <w:sz w:val="18"/>
              </w:rPr>
              <w:t>(314)</w:t>
            </w:r>
          </w:p>
        </w:tc>
      </w:tr>
      <w:tr w:rsidR="00AC6F3C" w14:paraId="31F4BBA9" w14:textId="77777777">
        <w:trPr>
          <w:trHeight w:val="283"/>
        </w:trPr>
        <w:tc>
          <w:tcPr>
            <w:tcW w:w="5413" w:type="dxa"/>
            <w:tcBorders>
              <w:left w:val="single" w:sz="6" w:space="0" w:color="000000"/>
            </w:tcBorders>
          </w:tcPr>
          <w:p w14:paraId="161EEE34" w14:textId="77777777" w:rsidR="00AC6F3C" w:rsidRDefault="00570E88">
            <w:pPr>
              <w:pStyle w:val="TableParagraph"/>
              <w:spacing w:before="35"/>
              <w:ind w:left="172"/>
              <w:rPr>
                <w:sz w:val="18"/>
              </w:rPr>
            </w:pPr>
            <w:r>
              <w:rPr>
                <w:sz w:val="18"/>
              </w:rPr>
              <w:t>Increase/(decrease)</w:t>
            </w:r>
            <w:r>
              <w:rPr>
                <w:spacing w:val="13"/>
                <w:sz w:val="18"/>
              </w:rPr>
              <w:t xml:space="preserve"> </w:t>
            </w:r>
            <w:r>
              <w:rPr>
                <w:sz w:val="18"/>
              </w:rPr>
              <w:t>in</w:t>
            </w:r>
            <w:r>
              <w:rPr>
                <w:spacing w:val="21"/>
                <w:sz w:val="18"/>
              </w:rPr>
              <w:t xml:space="preserve"> </w:t>
            </w:r>
            <w:r>
              <w:rPr>
                <w:spacing w:val="-2"/>
                <w:sz w:val="18"/>
              </w:rPr>
              <w:t>payables</w:t>
            </w:r>
          </w:p>
        </w:tc>
        <w:tc>
          <w:tcPr>
            <w:tcW w:w="1662" w:type="dxa"/>
            <w:shd w:val="clear" w:color="auto" w:fill="F1F1F1"/>
          </w:tcPr>
          <w:p w14:paraId="3BA50AFF" w14:textId="77777777" w:rsidR="00AC6F3C" w:rsidRDefault="00570E88">
            <w:pPr>
              <w:pStyle w:val="TableParagraph"/>
              <w:spacing w:before="35"/>
              <w:ind w:right="35"/>
              <w:jc w:val="right"/>
              <w:rPr>
                <w:sz w:val="18"/>
              </w:rPr>
            </w:pPr>
            <w:r>
              <w:rPr>
                <w:spacing w:val="-5"/>
                <w:sz w:val="18"/>
              </w:rPr>
              <w:t>26</w:t>
            </w:r>
          </w:p>
        </w:tc>
        <w:tc>
          <w:tcPr>
            <w:tcW w:w="1640" w:type="dxa"/>
            <w:tcBorders>
              <w:right w:val="single" w:sz="6" w:space="0" w:color="000000"/>
            </w:tcBorders>
          </w:tcPr>
          <w:p w14:paraId="45A3A4C4" w14:textId="77777777" w:rsidR="00AC6F3C" w:rsidRDefault="00570E88">
            <w:pPr>
              <w:pStyle w:val="TableParagraph"/>
              <w:spacing w:before="35"/>
              <w:ind w:right="16"/>
              <w:jc w:val="right"/>
              <w:rPr>
                <w:sz w:val="18"/>
              </w:rPr>
            </w:pPr>
            <w:r>
              <w:rPr>
                <w:spacing w:val="-4"/>
                <w:sz w:val="18"/>
              </w:rPr>
              <w:t>(70)</w:t>
            </w:r>
          </w:p>
        </w:tc>
      </w:tr>
      <w:tr w:rsidR="00AC6F3C" w14:paraId="14CBF413" w14:textId="77777777">
        <w:trPr>
          <w:trHeight w:val="283"/>
        </w:trPr>
        <w:tc>
          <w:tcPr>
            <w:tcW w:w="5413" w:type="dxa"/>
            <w:tcBorders>
              <w:left w:val="single" w:sz="6" w:space="0" w:color="000000"/>
            </w:tcBorders>
          </w:tcPr>
          <w:p w14:paraId="14D00EAD" w14:textId="77777777" w:rsidR="00AC6F3C" w:rsidRDefault="00570E88">
            <w:pPr>
              <w:pStyle w:val="TableParagraph"/>
              <w:spacing w:before="35"/>
              <w:ind w:left="172"/>
              <w:rPr>
                <w:sz w:val="18"/>
              </w:rPr>
            </w:pPr>
            <w:r>
              <w:rPr>
                <w:sz w:val="18"/>
              </w:rPr>
              <w:t>Increase/(decrease)</w:t>
            </w:r>
            <w:r>
              <w:rPr>
                <w:spacing w:val="9"/>
                <w:sz w:val="18"/>
              </w:rPr>
              <w:t xml:space="preserve"> </w:t>
            </w:r>
            <w:r>
              <w:rPr>
                <w:sz w:val="18"/>
              </w:rPr>
              <w:t>in</w:t>
            </w:r>
            <w:r>
              <w:rPr>
                <w:spacing w:val="16"/>
                <w:sz w:val="18"/>
              </w:rPr>
              <w:t xml:space="preserve"> </w:t>
            </w:r>
            <w:r>
              <w:rPr>
                <w:sz w:val="18"/>
              </w:rPr>
              <w:t>income</w:t>
            </w:r>
            <w:r>
              <w:rPr>
                <w:spacing w:val="17"/>
                <w:sz w:val="18"/>
              </w:rPr>
              <w:t xml:space="preserve"> </w:t>
            </w:r>
            <w:r>
              <w:rPr>
                <w:sz w:val="18"/>
              </w:rPr>
              <w:t>in</w:t>
            </w:r>
            <w:r>
              <w:rPr>
                <w:spacing w:val="16"/>
                <w:sz w:val="18"/>
              </w:rPr>
              <w:t xml:space="preserve"> </w:t>
            </w:r>
            <w:r>
              <w:rPr>
                <w:spacing w:val="-2"/>
                <w:sz w:val="18"/>
              </w:rPr>
              <w:t>advance</w:t>
            </w:r>
          </w:p>
        </w:tc>
        <w:tc>
          <w:tcPr>
            <w:tcW w:w="1662" w:type="dxa"/>
            <w:shd w:val="clear" w:color="auto" w:fill="F1F1F1"/>
          </w:tcPr>
          <w:p w14:paraId="0CCFB2E1" w14:textId="77777777" w:rsidR="00AC6F3C" w:rsidRDefault="00570E88">
            <w:pPr>
              <w:pStyle w:val="TableParagraph"/>
              <w:spacing w:before="35"/>
              <w:ind w:right="35"/>
              <w:jc w:val="right"/>
              <w:rPr>
                <w:sz w:val="18"/>
              </w:rPr>
            </w:pPr>
            <w:r>
              <w:rPr>
                <w:spacing w:val="-2"/>
                <w:sz w:val="18"/>
              </w:rPr>
              <w:t>2,776</w:t>
            </w:r>
          </w:p>
        </w:tc>
        <w:tc>
          <w:tcPr>
            <w:tcW w:w="1640" w:type="dxa"/>
            <w:tcBorders>
              <w:right w:val="single" w:sz="6" w:space="0" w:color="000000"/>
            </w:tcBorders>
          </w:tcPr>
          <w:p w14:paraId="170E25C7" w14:textId="77777777" w:rsidR="00AC6F3C" w:rsidRDefault="00570E88">
            <w:pPr>
              <w:pStyle w:val="TableParagraph"/>
              <w:spacing w:before="35"/>
              <w:ind w:right="21"/>
              <w:jc w:val="right"/>
              <w:rPr>
                <w:sz w:val="18"/>
              </w:rPr>
            </w:pPr>
            <w:r>
              <w:rPr>
                <w:spacing w:val="-5"/>
                <w:sz w:val="18"/>
              </w:rPr>
              <w:t>121</w:t>
            </w:r>
          </w:p>
        </w:tc>
      </w:tr>
      <w:tr w:rsidR="00AC6F3C" w14:paraId="6FA69F1D" w14:textId="77777777">
        <w:trPr>
          <w:trHeight w:val="278"/>
        </w:trPr>
        <w:tc>
          <w:tcPr>
            <w:tcW w:w="5413" w:type="dxa"/>
            <w:tcBorders>
              <w:left w:val="single" w:sz="6" w:space="0" w:color="000000"/>
              <w:bottom w:val="single" w:sz="6" w:space="0" w:color="000000"/>
            </w:tcBorders>
          </w:tcPr>
          <w:p w14:paraId="6F5F39E4" w14:textId="77777777" w:rsidR="00AC6F3C" w:rsidRDefault="00570E88">
            <w:pPr>
              <w:pStyle w:val="TableParagraph"/>
              <w:spacing w:before="35"/>
              <w:ind w:left="172"/>
              <w:rPr>
                <w:sz w:val="18"/>
              </w:rPr>
            </w:pPr>
            <w:r>
              <w:rPr>
                <w:sz w:val="18"/>
              </w:rPr>
              <w:t>increase/(decrease)</w:t>
            </w:r>
            <w:r>
              <w:rPr>
                <w:spacing w:val="6"/>
                <w:sz w:val="18"/>
              </w:rPr>
              <w:t xml:space="preserve"> </w:t>
            </w:r>
            <w:r>
              <w:rPr>
                <w:sz w:val="18"/>
              </w:rPr>
              <w:t>in</w:t>
            </w:r>
            <w:r>
              <w:rPr>
                <w:spacing w:val="14"/>
                <w:sz w:val="18"/>
              </w:rPr>
              <w:t xml:space="preserve"> </w:t>
            </w:r>
            <w:r>
              <w:rPr>
                <w:sz w:val="18"/>
              </w:rPr>
              <w:t>provision</w:t>
            </w:r>
            <w:r>
              <w:rPr>
                <w:spacing w:val="13"/>
                <w:sz w:val="18"/>
              </w:rPr>
              <w:t xml:space="preserve"> </w:t>
            </w:r>
            <w:r>
              <w:rPr>
                <w:sz w:val="18"/>
              </w:rPr>
              <w:t>for</w:t>
            </w:r>
            <w:r>
              <w:rPr>
                <w:spacing w:val="7"/>
                <w:sz w:val="18"/>
              </w:rPr>
              <w:t xml:space="preserve"> </w:t>
            </w:r>
            <w:r>
              <w:rPr>
                <w:sz w:val="18"/>
              </w:rPr>
              <w:t>notified</w:t>
            </w:r>
            <w:r>
              <w:rPr>
                <w:spacing w:val="13"/>
                <w:sz w:val="18"/>
              </w:rPr>
              <w:t xml:space="preserve"> </w:t>
            </w:r>
            <w:r>
              <w:rPr>
                <w:spacing w:val="-2"/>
                <w:sz w:val="18"/>
              </w:rPr>
              <w:t>claims</w:t>
            </w:r>
          </w:p>
        </w:tc>
        <w:tc>
          <w:tcPr>
            <w:tcW w:w="1662" w:type="dxa"/>
            <w:tcBorders>
              <w:bottom w:val="single" w:sz="6" w:space="0" w:color="000000"/>
            </w:tcBorders>
            <w:shd w:val="clear" w:color="auto" w:fill="F1F1F1"/>
          </w:tcPr>
          <w:p w14:paraId="333CDA7D" w14:textId="77777777" w:rsidR="00AC6F3C" w:rsidRDefault="00570E88">
            <w:pPr>
              <w:pStyle w:val="TableParagraph"/>
              <w:spacing w:before="35"/>
              <w:ind w:right="30"/>
              <w:jc w:val="right"/>
              <w:rPr>
                <w:sz w:val="18"/>
              </w:rPr>
            </w:pPr>
            <w:r>
              <w:rPr>
                <w:spacing w:val="-2"/>
                <w:sz w:val="18"/>
              </w:rPr>
              <w:t>(1,874)</w:t>
            </w:r>
          </w:p>
        </w:tc>
        <w:tc>
          <w:tcPr>
            <w:tcW w:w="1640" w:type="dxa"/>
            <w:tcBorders>
              <w:bottom w:val="single" w:sz="6" w:space="0" w:color="000000"/>
              <w:right w:val="single" w:sz="6" w:space="0" w:color="000000"/>
            </w:tcBorders>
          </w:tcPr>
          <w:p w14:paraId="4096AE39" w14:textId="77777777" w:rsidR="00AC6F3C" w:rsidRDefault="00570E88">
            <w:pPr>
              <w:pStyle w:val="TableParagraph"/>
              <w:spacing w:before="35"/>
              <w:ind w:right="16"/>
              <w:jc w:val="right"/>
              <w:rPr>
                <w:sz w:val="18"/>
              </w:rPr>
            </w:pPr>
            <w:r>
              <w:rPr>
                <w:spacing w:val="-2"/>
                <w:sz w:val="18"/>
              </w:rPr>
              <w:t>(2,269)</w:t>
            </w:r>
          </w:p>
        </w:tc>
      </w:tr>
      <w:tr w:rsidR="00AC6F3C" w14:paraId="09A08A66" w14:textId="77777777">
        <w:trPr>
          <w:trHeight w:val="268"/>
        </w:trPr>
        <w:tc>
          <w:tcPr>
            <w:tcW w:w="5413" w:type="dxa"/>
            <w:tcBorders>
              <w:top w:val="single" w:sz="6" w:space="0" w:color="000000"/>
              <w:left w:val="single" w:sz="6" w:space="0" w:color="000000"/>
              <w:bottom w:val="single" w:sz="6" w:space="0" w:color="000000"/>
            </w:tcBorders>
            <w:shd w:val="clear" w:color="auto" w:fill="C8C8C8"/>
          </w:tcPr>
          <w:p w14:paraId="663316A4" w14:textId="77777777" w:rsidR="00AC6F3C" w:rsidRDefault="00570E88">
            <w:pPr>
              <w:pStyle w:val="TableParagraph"/>
              <w:spacing w:before="25"/>
              <w:ind w:left="37"/>
              <w:rPr>
                <w:b/>
                <w:sz w:val="18"/>
              </w:rPr>
            </w:pPr>
            <w:r>
              <w:rPr>
                <w:b/>
                <w:spacing w:val="-2"/>
                <w:sz w:val="18"/>
              </w:rPr>
              <w:t>Net</w:t>
            </w:r>
            <w:r>
              <w:rPr>
                <w:b/>
                <w:spacing w:val="-3"/>
                <w:sz w:val="18"/>
              </w:rPr>
              <w:t xml:space="preserve"> </w:t>
            </w:r>
            <w:r>
              <w:rPr>
                <w:b/>
                <w:spacing w:val="-2"/>
                <w:sz w:val="18"/>
              </w:rPr>
              <w:t>cash</w:t>
            </w:r>
            <w:r>
              <w:rPr>
                <w:b/>
                <w:spacing w:val="-8"/>
                <w:sz w:val="18"/>
              </w:rPr>
              <w:t xml:space="preserve"> </w:t>
            </w:r>
            <w:r>
              <w:rPr>
                <w:b/>
                <w:spacing w:val="-2"/>
                <w:sz w:val="18"/>
              </w:rPr>
              <w:t>(used</w:t>
            </w:r>
            <w:r>
              <w:rPr>
                <w:b/>
                <w:spacing w:val="-7"/>
                <w:sz w:val="18"/>
              </w:rPr>
              <w:t xml:space="preserve"> </w:t>
            </w:r>
            <w:r>
              <w:rPr>
                <w:b/>
                <w:spacing w:val="-2"/>
                <w:sz w:val="18"/>
              </w:rPr>
              <w:t>in)</w:t>
            </w:r>
            <w:r>
              <w:rPr>
                <w:b/>
                <w:spacing w:val="-3"/>
                <w:sz w:val="18"/>
              </w:rPr>
              <w:t xml:space="preserve"> </w:t>
            </w:r>
            <w:r>
              <w:rPr>
                <w:b/>
                <w:spacing w:val="-2"/>
                <w:sz w:val="18"/>
              </w:rPr>
              <w:t>operating</w:t>
            </w:r>
            <w:r>
              <w:rPr>
                <w:b/>
                <w:spacing w:val="-8"/>
                <w:sz w:val="18"/>
              </w:rPr>
              <w:t xml:space="preserve"> </w:t>
            </w:r>
            <w:r>
              <w:rPr>
                <w:b/>
                <w:spacing w:val="-2"/>
                <w:sz w:val="18"/>
              </w:rPr>
              <w:t>activities</w:t>
            </w:r>
          </w:p>
        </w:tc>
        <w:tc>
          <w:tcPr>
            <w:tcW w:w="1662" w:type="dxa"/>
            <w:tcBorders>
              <w:top w:val="single" w:sz="6" w:space="0" w:color="000000"/>
              <w:bottom w:val="single" w:sz="6" w:space="0" w:color="000000"/>
            </w:tcBorders>
            <w:shd w:val="clear" w:color="auto" w:fill="C8C8C8"/>
          </w:tcPr>
          <w:p w14:paraId="50F87C33" w14:textId="77777777" w:rsidR="00AC6F3C" w:rsidRDefault="00570E88">
            <w:pPr>
              <w:pStyle w:val="TableParagraph"/>
              <w:spacing w:before="25"/>
              <w:ind w:right="30"/>
              <w:jc w:val="right"/>
              <w:rPr>
                <w:b/>
                <w:sz w:val="18"/>
              </w:rPr>
            </w:pPr>
            <w:r>
              <w:rPr>
                <w:b/>
                <w:spacing w:val="-2"/>
                <w:sz w:val="18"/>
              </w:rPr>
              <w:t>(3,477)</w:t>
            </w:r>
          </w:p>
        </w:tc>
        <w:tc>
          <w:tcPr>
            <w:tcW w:w="1640" w:type="dxa"/>
            <w:tcBorders>
              <w:top w:val="single" w:sz="6" w:space="0" w:color="000000"/>
              <w:bottom w:val="single" w:sz="6" w:space="0" w:color="000000"/>
              <w:right w:val="single" w:sz="6" w:space="0" w:color="000000"/>
            </w:tcBorders>
            <w:shd w:val="clear" w:color="auto" w:fill="C8C8C8"/>
          </w:tcPr>
          <w:p w14:paraId="67C19C92" w14:textId="77777777" w:rsidR="00AC6F3C" w:rsidRDefault="00570E88">
            <w:pPr>
              <w:pStyle w:val="TableParagraph"/>
              <w:spacing w:before="25"/>
              <w:ind w:right="16"/>
              <w:jc w:val="right"/>
              <w:rPr>
                <w:b/>
                <w:sz w:val="18"/>
              </w:rPr>
            </w:pPr>
            <w:r>
              <w:rPr>
                <w:b/>
                <w:spacing w:val="-2"/>
                <w:sz w:val="18"/>
              </w:rPr>
              <w:t>(6,790)</w:t>
            </w:r>
          </w:p>
        </w:tc>
      </w:tr>
    </w:tbl>
    <w:p w14:paraId="6EEA1A1B" w14:textId="77777777" w:rsidR="00AC6F3C" w:rsidRDefault="00AC6F3C">
      <w:pPr>
        <w:pStyle w:val="BodyText"/>
        <w:spacing w:before="9"/>
        <w:rPr>
          <w:b/>
          <w:sz w:val="21"/>
        </w:rPr>
      </w:pPr>
    </w:p>
    <w:p w14:paraId="25F880B6" w14:textId="77777777" w:rsidR="00AC6F3C" w:rsidRDefault="00570E88">
      <w:pPr>
        <w:tabs>
          <w:tab w:val="left" w:pos="1685"/>
        </w:tabs>
        <w:ind w:left="979"/>
        <w:rPr>
          <w:b/>
          <w:sz w:val="28"/>
        </w:rPr>
      </w:pPr>
      <w:r>
        <w:rPr>
          <w:b/>
          <w:spacing w:val="-5"/>
          <w:sz w:val="28"/>
        </w:rPr>
        <w:t>C2</w:t>
      </w:r>
      <w:r>
        <w:rPr>
          <w:b/>
          <w:sz w:val="28"/>
        </w:rPr>
        <w:tab/>
      </w:r>
      <w:r>
        <w:rPr>
          <w:b/>
          <w:spacing w:val="-2"/>
          <w:sz w:val="28"/>
        </w:rPr>
        <w:t>RECEIVABLES</w:t>
      </w:r>
    </w:p>
    <w:p w14:paraId="496E862E" w14:textId="77777777" w:rsidR="00AC6F3C" w:rsidRDefault="00570E88">
      <w:pPr>
        <w:spacing w:before="242"/>
        <w:ind w:left="979"/>
        <w:rPr>
          <w:sz w:val="18"/>
        </w:rPr>
      </w:pPr>
      <w:r>
        <w:rPr>
          <w:sz w:val="18"/>
        </w:rPr>
        <w:t>Interest</w:t>
      </w:r>
      <w:r>
        <w:rPr>
          <w:spacing w:val="-5"/>
          <w:sz w:val="18"/>
        </w:rPr>
        <w:t xml:space="preserve"> </w:t>
      </w:r>
      <w:r>
        <w:rPr>
          <w:sz w:val="18"/>
        </w:rPr>
        <w:t>receivable</w:t>
      </w:r>
      <w:r>
        <w:rPr>
          <w:spacing w:val="-2"/>
          <w:sz w:val="18"/>
        </w:rPr>
        <w:t xml:space="preserve"> </w:t>
      </w:r>
      <w:r>
        <w:rPr>
          <w:sz w:val="18"/>
        </w:rPr>
        <w:t>represents</w:t>
      </w:r>
      <w:r>
        <w:rPr>
          <w:spacing w:val="-3"/>
          <w:sz w:val="18"/>
        </w:rPr>
        <w:t xml:space="preserve"> </w:t>
      </w:r>
      <w:r>
        <w:rPr>
          <w:sz w:val="18"/>
        </w:rPr>
        <w:t>interest</w:t>
      </w:r>
      <w:r>
        <w:rPr>
          <w:spacing w:val="-3"/>
          <w:sz w:val="18"/>
        </w:rPr>
        <w:t xml:space="preserve"> </w:t>
      </w:r>
      <w:r>
        <w:rPr>
          <w:sz w:val="18"/>
        </w:rPr>
        <w:t>accruals</w:t>
      </w:r>
      <w:r>
        <w:rPr>
          <w:spacing w:val="-1"/>
          <w:sz w:val="18"/>
        </w:rPr>
        <w:t xml:space="preserve"> </w:t>
      </w:r>
      <w:r>
        <w:rPr>
          <w:sz w:val="18"/>
        </w:rPr>
        <w:t>for</w:t>
      </w:r>
      <w:r>
        <w:rPr>
          <w:spacing w:val="-3"/>
          <w:sz w:val="18"/>
        </w:rPr>
        <w:t xml:space="preserve"> </w:t>
      </w:r>
      <w:r>
        <w:rPr>
          <w:sz w:val="18"/>
        </w:rPr>
        <w:t>amounts</w:t>
      </w:r>
      <w:r>
        <w:rPr>
          <w:spacing w:val="-1"/>
          <w:sz w:val="18"/>
        </w:rPr>
        <w:t xml:space="preserve"> </w:t>
      </w:r>
      <w:r>
        <w:rPr>
          <w:sz w:val="18"/>
        </w:rPr>
        <w:t>received</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month</w:t>
      </w:r>
      <w:r>
        <w:rPr>
          <w:spacing w:val="-1"/>
          <w:sz w:val="18"/>
        </w:rPr>
        <w:t xml:space="preserve"> </w:t>
      </w:r>
      <w:r>
        <w:rPr>
          <w:sz w:val="18"/>
        </w:rPr>
        <w:t>after</w:t>
      </w:r>
      <w:r>
        <w:rPr>
          <w:spacing w:val="-3"/>
          <w:sz w:val="18"/>
        </w:rPr>
        <w:t xml:space="preserve"> </w:t>
      </w:r>
      <w:r>
        <w:rPr>
          <w:sz w:val="18"/>
        </w:rPr>
        <w:t>balance</w:t>
      </w:r>
      <w:r>
        <w:rPr>
          <w:spacing w:val="-4"/>
          <w:sz w:val="18"/>
        </w:rPr>
        <w:t xml:space="preserve"> </w:t>
      </w:r>
      <w:r>
        <w:rPr>
          <w:spacing w:val="-2"/>
          <w:sz w:val="18"/>
        </w:rPr>
        <w:t>date.</w:t>
      </w:r>
    </w:p>
    <w:p w14:paraId="301E782A" w14:textId="77777777" w:rsidR="00AC6F3C" w:rsidRDefault="00AC6F3C">
      <w:pPr>
        <w:pStyle w:val="BodyText"/>
        <w:spacing w:before="10"/>
      </w:pPr>
    </w:p>
    <w:p w14:paraId="1BF4BADA" w14:textId="77777777" w:rsidR="00AC6F3C" w:rsidRDefault="00570E88">
      <w:pPr>
        <w:ind w:left="979" w:right="468"/>
        <w:rPr>
          <w:sz w:val="18"/>
        </w:rPr>
      </w:pPr>
      <w:r>
        <w:rPr>
          <w:sz w:val="18"/>
        </w:rPr>
        <w:t>The Fund has brought to account fines and cost recoveries receivable from practitioners.</w:t>
      </w:r>
      <w:r>
        <w:rPr>
          <w:spacing w:val="40"/>
          <w:sz w:val="18"/>
        </w:rPr>
        <w:t xml:space="preserve"> </w:t>
      </w:r>
      <w:r>
        <w:rPr>
          <w:sz w:val="18"/>
        </w:rPr>
        <w:t>These receivables have</w:t>
      </w:r>
      <w:r>
        <w:rPr>
          <w:spacing w:val="-4"/>
          <w:sz w:val="18"/>
        </w:rPr>
        <w:t xml:space="preserve"> </w:t>
      </w:r>
      <w:r>
        <w:rPr>
          <w:sz w:val="18"/>
        </w:rPr>
        <w:t>been</w:t>
      </w:r>
      <w:r>
        <w:rPr>
          <w:spacing w:val="-1"/>
          <w:sz w:val="18"/>
        </w:rPr>
        <w:t xml:space="preserve"> </w:t>
      </w:r>
      <w:proofErr w:type="spellStart"/>
      <w:r>
        <w:rPr>
          <w:sz w:val="18"/>
        </w:rPr>
        <w:t>recognised</w:t>
      </w:r>
      <w:proofErr w:type="spellEnd"/>
      <w:r>
        <w:rPr>
          <w:spacing w:val="-1"/>
          <w:sz w:val="18"/>
        </w:rPr>
        <w:t xml:space="preserve"> </w:t>
      </w:r>
      <w:r>
        <w:rPr>
          <w:sz w:val="18"/>
        </w:rPr>
        <w:t>on</w:t>
      </w:r>
      <w:r>
        <w:rPr>
          <w:spacing w:val="-1"/>
          <w:sz w:val="18"/>
        </w:rPr>
        <w:t xml:space="preserve"> </w:t>
      </w:r>
      <w:r>
        <w:rPr>
          <w:sz w:val="18"/>
        </w:rPr>
        <w:t>an</w:t>
      </w:r>
      <w:r>
        <w:rPr>
          <w:spacing w:val="-4"/>
          <w:sz w:val="18"/>
        </w:rPr>
        <w:t xml:space="preserve"> </w:t>
      </w:r>
      <w:r>
        <w:rPr>
          <w:sz w:val="18"/>
        </w:rPr>
        <w:t>accruals</w:t>
      </w:r>
      <w:r>
        <w:rPr>
          <w:spacing w:val="-3"/>
          <w:sz w:val="18"/>
        </w:rPr>
        <w:t xml:space="preserve"> </w:t>
      </w:r>
      <w:r>
        <w:rPr>
          <w:sz w:val="18"/>
        </w:rPr>
        <w:t>basis</w:t>
      </w:r>
      <w:r>
        <w:rPr>
          <w:spacing w:val="-3"/>
          <w:sz w:val="18"/>
        </w:rPr>
        <w:t xml:space="preserve"> </w:t>
      </w:r>
      <w:r>
        <w:rPr>
          <w:sz w:val="18"/>
        </w:rPr>
        <w:t>and</w:t>
      </w:r>
      <w:r>
        <w:rPr>
          <w:spacing w:val="-4"/>
          <w:sz w:val="18"/>
        </w:rPr>
        <w:t xml:space="preserve"> </w:t>
      </w:r>
      <w:r>
        <w:rPr>
          <w:sz w:val="18"/>
        </w:rPr>
        <w:t>are</w:t>
      </w:r>
      <w:r>
        <w:rPr>
          <w:spacing w:val="-4"/>
          <w:sz w:val="18"/>
        </w:rPr>
        <w:t xml:space="preserve"> </w:t>
      </w:r>
      <w:r>
        <w:rPr>
          <w:sz w:val="18"/>
        </w:rPr>
        <w:t>carried</w:t>
      </w:r>
      <w:r>
        <w:rPr>
          <w:spacing w:val="-4"/>
          <w:sz w:val="18"/>
        </w:rPr>
        <w:t xml:space="preserve"> </w:t>
      </w:r>
      <w:r>
        <w:rPr>
          <w:sz w:val="18"/>
        </w:rPr>
        <w:t>at</w:t>
      </w:r>
      <w:r>
        <w:rPr>
          <w:spacing w:val="-2"/>
          <w:sz w:val="18"/>
        </w:rPr>
        <w:t xml:space="preserve"> </w:t>
      </w:r>
      <w:r>
        <w:rPr>
          <w:sz w:val="18"/>
        </w:rPr>
        <w:t>actual</w:t>
      </w:r>
      <w:r>
        <w:rPr>
          <w:spacing w:val="-4"/>
          <w:sz w:val="18"/>
        </w:rPr>
        <w:t xml:space="preserve"> </w:t>
      </w:r>
      <w:r>
        <w:rPr>
          <w:sz w:val="18"/>
        </w:rPr>
        <w:t>amounts</w:t>
      </w:r>
      <w:r>
        <w:rPr>
          <w:spacing w:val="-1"/>
          <w:sz w:val="18"/>
        </w:rPr>
        <w:t xml:space="preserve"> </w:t>
      </w:r>
      <w:r>
        <w:rPr>
          <w:sz w:val="18"/>
        </w:rPr>
        <w:t>less</w:t>
      </w:r>
      <w:r>
        <w:rPr>
          <w:spacing w:val="-3"/>
          <w:sz w:val="18"/>
        </w:rPr>
        <w:t xml:space="preserve"> </w:t>
      </w:r>
      <w:r>
        <w:rPr>
          <w:sz w:val="18"/>
        </w:rPr>
        <w:t>a</w:t>
      </w:r>
      <w:r>
        <w:rPr>
          <w:spacing w:val="-1"/>
          <w:sz w:val="18"/>
        </w:rPr>
        <w:t xml:space="preserve"> </w:t>
      </w:r>
      <w:r>
        <w:rPr>
          <w:sz w:val="18"/>
        </w:rPr>
        <w:t>provision</w:t>
      </w:r>
      <w:r>
        <w:rPr>
          <w:spacing w:val="-1"/>
          <w:sz w:val="18"/>
        </w:rPr>
        <w:t xml:space="preserve"> </w:t>
      </w:r>
      <w:r>
        <w:rPr>
          <w:sz w:val="18"/>
        </w:rPr>
        <w:t>for</w:t>
      </w:r>
      <w:r>
        <w:rPr>
          <w:spacing w:val="-4"/>
          <w:sz w:val="18"/>
        </w:rPr>
        <w:t xml:space="preserve"> </w:t>
      </w:r>
      <w:r>
        <w:rPr>
          <w:sz w:val="18"/>
        </w:rPr>
        <w:t>impairment.</w:t>
      </w:r>
    </w:p>
    <w:p w14:paraId="16B0FDA3" w14:textId="77777777" w:rsidR="00AC6F3C" w:rsidRDefault="00AC6F3C">
      <w:pPr>
        <w:pStyle w:val="BodyText"/>
        <w:rPr>
          <w:sz w:val="18"/>
        </w:rPr>
      </w:pPr>
    </w:p>
    <w:p w14:paraId="1EFF11C9" w14:textId="77777777" w:rsidR="00AC6F3C" w:rsidRDefault="00570E88">
      <w:pPr>
        <w:spacing w:before="1"/>
        <w:ind w:left="979" w:right="632"/>
        <w:rPr>
          <w:sz w:val="18"/>
        </w:rPr>
      </w:pPr>
      <w:r>
        <w:rPr>
          <w:sz w:val="18"/>
        </w:rPr>
        <w:t>The</w:t>
      </w:r>
      <w:r>
        <w:rPr>
          <w:spacing w:val="-1"/>
          <w:sz w:val="18"/>
        </w:rPr>
        <w:t xml:space="preserve"> </w:t>
      </w:r>
      <w:r>
        <w:rPr>
          <w:sz w:val="18"/>
        </w:rPr>
        <w:t>Fund</w:t>
      </w:r>
      <w:r>
        <w:rPr>
          <w:spacing w:val="-1"/>
          <w:sz w:val="18"/>
        </w:rPr>
        <w:t xml:space="preserve"> </w:t>
      </w:r>
      <w:r>
        <w:rPr>
          <w:sz w:val="18"/>
        </w:rPr>
        <w:t>assesses</w:t>
      </w:r>
      <w:r>
        <w:rPr>
          <w:spacing w:val="-3"/>
          <w:sz w:val="18"/>
        </w:rPr>
        <w:t xml:space="preserve"> </w:t>
      </w:r>
      <w:r>
        <w:rPr>
          <w:sz w:val="18"/>
        </w:rPr>
        <w:t>at</w:t>
      </w:r>
      <w:r>
        <w:rPr>
          <w:spacing w:val="-4"/>
          <w:sz w:val="18"/>
        </w:rPr>
        <w:t xml:space="preserve"> </w:t>
      </w:r>
      <w:r>
        <w:rPr>
          <w:sz w:val="18"/>
        </w:rPr>
        <w:t>each</w:t>
      </w:r>
      <w:r>
        <w:rPr>
          <w:spacing w:val="-1"/>
          <w:sz w:val="18"/>
        </w:rPr>
        <w:t xml:space="preserve"> </w:t>
      </w:r>
      <w:r>
        <w:rPr>
          <w:sz w:val="18"/>
        </w:rPr>
        <w:t>reporting</w:t>
      </w:r>
      <w:r>
        <w:rPr>
          <w:spacing w:val="-1"/>
          <w:sz w:val="18"/>
        </w:rPr>
        <w:t xml:space="preserve"> </w:t>
      </w:r>
      <w:r>
        <w:rPr>
          <w:sz w:val="18"/>
        </w:rPr>
        <w:t>date</w:t>
      </w:r>
      <w:r>
        <w:rPr>
          <w:spacing w:val="-1"/>
          <w:sz w:val="18"/>
        </w:rPr>
        <w:t xml:space="preserve"> </w:t>
      </w:r>
      <w:r>
        <w:rPr>
          <w:sz w:val="18"/>
        </w:rPr>
        <w:t>whether</w:t>
      </w:r>
      <w:r>
        <w:rPr>
          <w:spacing w:val="-2"/>
          <w:sz w:val="18"/>
        </w:rPr>
        <w:t xml:space="preserve"> </w:t>
      </w:r>
      <w:r>
        <w:rPr>
          <w:sz w:val="18"/>
        </w:rPr>
        <w:t>there</w:t>
      </w:r>
      <w:r>
        <w:rPr>
          <w:spacing w:val="-4"/>
          <w:sz w:val="18"/>
        </w:rPr>
        <w:t xml:space="preserve"> </w:t>
      </w:r>
      <w:r>
        <w:rPr>
          <w:sz w:val="18"/>
        </w:rPr>
        <w:t>is</w:t>
      </w:r>
      <w:r>
        <w:rPr>
          <w:spacing w:val="-3"/>
          <w:sz w:val="18"/>
        </w:rPr>
        <w:t xml:space="preserve"> </w:t>
      </w:r>
      <w:r>
        <w:rPr>
          <w:sz w:val="18"/>
        </w:rPr>
        <w:t>objective</w:t>
      </w:r>
      <w:r>
        <w:rPr>
          <w:spacing w:val="-1"/>
          <w:sz w:val="18"/>
        </w:rPr>
        <w:t xml:space="preserve"> </w:t>
      </w:r>
      <w:r>
        <w:rPr>
          <w:sz w:val="18"/>
        </w:rPr>
        <w:t>evidence</w:t>
      </w:r>
      <w:r>
        <w:rPr>
          <w:spacing w:val="-1"/>
          <w:sz w:val="18"/>
        </w:rPr>
        <w:t xml:space="preserve"> </w:t>
      </w:r>
      <w:r>
        <w:rPr>
          <w:sz w:val="18"/>
        </w:rPr>
        <w:t>that</w:t>
      </w:r>
      <w:r>
        <w:rPr>
          <w:spacing w:val="-2"/>
          <w:sz w:val="18"/>
        </w:rPr>
        <w:t xml:space="preserve"> </w:t>
      </w:r>
      <w:r>
        <w:rPr>
          <w:sz w:val="18"/>
        </w:rPr>
        <w:t>these</w:t>
      </w:r>
      <w:r>
        <w:rPr>
          <w:spacing w:val="-4"/>
          <w:sz w:val="18"/>
        </w:rPr>
        <w:t xml:space="preserve"> </w:t>
      </w:r>
      <w:r>
        <w:rPr>
          <w:sz w:val="18"/>
        </w:rPr>
        <w:t>financial</w:t>
      </w:r>
      <w:r>
        <w:rPr>
          <w:spacing w:val="-4"/>
          <w:sz w:val="18"/>
        </w:rPr>
        <w:t xml:space="preserve"> </w:t>
      </w:r>
      <w:r>
        <w:rPr>
          <w:sz w:val="18"/>
        </w:rPr>
        <w:t>assets</w:t>
      </w:r>
      <w:r>
        <w:rPr>
          <w:spacing w:val="-1"/>
          <w:sz w:val="18"/>
        </w:rPr>
        <w:t xml:space="preserve"> </w:t>
      </w:r>
      <w:r>
        <w:rPr>
          <w:sz w:val="18"/>
        </w:rPr>
        <w:t xml:space="preserve">are impaired and </w:t>
      </w:r>
      <w:proofErr w:type="spellStart"/>
      <w:r>
        <w:rPr>
          <w:sz w:val="18"/>
        </w:rPr>
        <w:t>recognises</w:t>
      </w:r>
      <w:proofErr w:type="spellEnd"/>
      <w:r>
        <w:rPr>
          <w:sz w:val="18"/>
        </w:rPr>
        <w:t xml:space="preserve"> an allowance for impairment when such evidence exists.</w:t>
      </w:r>
      <w:r>
        <w:rPr>
          <w:spacing w:val="40"/>
          <w:sz w:val="18"/>
        </w:rPr>
        <w:t xml:space="preserve"> </w:t>
      </w:r>
      <w:r>
        <w:rPr>
          <w:sz w:val="18"/>
        </w:rPr>
        <w:t>A further allowance for impairment is calculated by applying the simplified approach to the calculation of lifetime expected credit losses.</w:t>
      </w:r>
      <w:r>
        <w:rPr>
          <w:spacing w:val="-2"/>
          <w:sz w:val="18"/>
        </w:rPr>
        <w:t xml:space="preserve"> </w:t>
      </w:r>
      <w:r>
        <w:rPr>
          <w:sz w:val="18"/>
        </w:rPr>
        <w:t>The</w:t>
      </w:r>
      <w:r>
        <w:rPr>
          <w:spacing w:val="-4"/>
          <w:sz w:val="18"/>
        </w:rPr>
        <w:t xml:space="preserve"> </w:t>
      </w:r>
      <w:r>
        <w:rPr>
          <w:sz w:val="18"/>
        </w:rPr>
        <w:t>percentage</w:t>
      </w:r>
      <w:r>
        <w:rPr>
          <w:spacing w:val="-4"/>
          <w:sz w:val="18"/>
        </w:rPr>
        <w:t xml:space="preserve"> </w:t>
      </w:r>
      <w:r>
        <w:rPr>
          <w:sz w:val="18"/>
        </w:rPr>
        <w:t>applied</w:t>
      </w:r>
      <w:r>
        <w:rPr>
          <w:spacing w:val="-1"/>
          <w:sz w:val="18"/>
        </w:rPr>
        <w:t xml:space="preserve"> </w:t>
      </w:r>
      <w:r>
        <w:rPr>
          <w:sz w:val="18"/>
        </w:rPr>
        <w:t>is</w:t>
      </w:r>
      <w:r>
        <w:rPr>
          <w:spacing w:val="-3"/>
          <w:sz w:val="18"/>
        </w:rPr>
        <w:t xml:space="preserve"> </w:t>
      </w:r>
      <w:r>
        <w:rPr>
          <w:sz w:val="18"/>
        </w:rPr>
        <w:t>calculated</w:t>
      </w:r>
      <w:r>
        <w:rPr>
          <w:spacing w:val="-1"/>
          <w:sz w:val="18"/>
        </w:rPr>
        <w:t xml:space="preserve"> </w:t>
      </w:r>
      <w:r>
        <w:rPr>
          <w:sz w:val="18"/>
        </w:rPr>
        <w:t>based</w:t>
      </w:r>
      <w:r>
        <w:rPr>
          <w:spacing w:val="-4"/>
          <w:sz w:val="18"/>
        </w:rPr>
        <w:t xml:space="preserve"> </w:t>
      </w:r>
      <w:r>
        <w:rPr>
          <w:sz w:val="18"/>
        </w:rPr>
        <w:t>on</w:t>
      </w:r>
      <w:r>
        <w:rPr>
          <w:spacing w:val="-4"/>
          <w:sz w:val="18"/>
        </w:rPr>
        <w:t xml:space="preserve"> </w:t>
      </w:r>
      <w:r>
        <w:rPr>
          <w:sz w:val="18"/>
        </w:rPr>
        <w:t>historical</w:t>
      </w:r>
      <w:r>
        <w:rPr>
          <w:spacing w:val="-4"/>
          <w:sz w:val="18"/>
        </w:rPr>
        <w:t xml:space="preserve"> </w:t>
      </w:r>
      <w:r>
        <w:rPr>
          <w:sz w:val="18"/>
        </w:rPr>
        <w:t>default</w:t>
      </w:r>
      <w:r>
        <w:rPr>
          <w:spacing w:val="-4"/>
          <w:sz w:val="18"/>
        </w:rPr>
        <w:t xml:space="preserve"> </w:t>
      </w:r>
      <w:r>
        <w:rPr>
          <w:sz w:val="18"/>
        </w:rPr>
        <w:t>rates</w:t>
      </w:r>
      <w:r>
        <w:rPr>
          <w:spacing w:val="-1"/>
          <w:sz w:val="18"/>
        </w:rPr>
        <w:t xml:space="preserve"> </w:t>
      </w:r>
      <w:r>
        <w:rPr>
          <w:sz w:val="18"/>
        </w:rPr>
        <w:t>with</w:t>
      </w:r>
      <w:r>
        <w:rPr>
          <w:spacing w:val="-1"/>
          <w:sz w:val="18"/>
        </w:rPr>
        <w:t xml:space="preserve"> </w:t>
      </w:r>
      <w:r>
        <w:rPr>
          <w:sz w:val="18"/>
        </w:rPr>
        <w:t>a</w:t>
      </w:r>
      <w:r>
        <w:rPr>
          <w:spacing w:val="-1"/>
          <w:sz w:val="18"/>
        </w:rPr>
        <w:t xml:space="preserve"> </w:t>
      </w:r>
      <w:r>
        <w:rPr>
          <w:sz w:val="18"/>
        </w:rPr>
        <w:t>forward-looking</w:t>
      </w:r>
      <w:r>
        <w:rPr>
          <w:spacing w:val="-1"/>
          <w:sz w:val="18"/>
        </w:rPr>
        <w:t xml:space="preserve"> </w:t>
      </w:r>
      <w:r>
        <w:rPr>
          <w:sz w:val="18"/>
        </w:rPr>
        <w:t>estimate adjustment which incorporates various risk factors appropriate for the class of receivable being assessed.</w:t>
      </w:r>
    </w:p>
    <w:p w14:paraId="3A5A0F02" w14:textId="77777777" w:rsidR="00AC6F3C" w:rsidRDefault="00570E88">
      <w:pPr>
        <w:spacing w:line="207" w:lineRule="exact"/>
        <w:ind w:left="979"/>
        <w:rPr>
          <w:sz w:val="18"/>
        </w:rPr>
      </w:pPr>
      <w:r>
        <w:rPr>
          <w:sz w:val="18"/>
        </w:rPr>
        <w:t>The</w:t>
      </w:r>
      <w:r>
        <w:rPr>
          <w:spacing w:val="-1"/>
          <w:sz w:val="18"/>
        </w:rPr>
        <w:t xml:space="preserve"> </w:t>
      </w:r>
      <w:r>
        <w:rPr>
          <w:sz w:val="18"/>
        </w:rPr>
        <w:t>table</w:t>
      </w:r>
      <w:r>
        <w:rPr>
          <w:spacing w:val="-3"/>
          <w:sz w:val="18"/>
        </w:rPr>
        <w:t xml:space="preserve"> </w:t>
      </w:r>
      <w:r>
        <w:rPr>
          <w:sz w:val="18"/>
        </w:rPr>
        <w:t>below</w:t>
      </w:r>
      <w:r>
        <w:rPr>
          <w:spacing w:val="-1"/>
          <w:sz w:val="18"/>
        </w:rPr>
        <w:t xml:space="preserve"> </w:t>
      </w:r>
      <w:r>
        <w:rPr>
          <w:sz w:val="18"/>
        </w:rPr>
        <w:t>is</w:t>
      </w:r>
      <w:r>
        <w:rPr>
          <w:spacing w:val="-3"/>
          <w:sz w:val="18"/>
        </w:rPr>
        <w:t xml:space="preserve"> </w:t>
      </w:r>
      <w:r>
        <w:rPr>
          <w:sz w:val="18"/>
        </w:rPr>
        <w:t>presented net</w:t>
      </w:r>
      <w:r>
        <w:rPr>
          <w:spacing w:val="-1"/>
          <w:sz w:val="18"/>
        </w:rPr>
        <w:t xml:space="preserve"> </w:t>
      </w:r>
      <w:r>
        <w:rPr>
          <w:sz w:val="18"/>
        </w:rPr>
        <w:t>of</w:t>
      </w:r>
      <w:r>
        <w:rPr>
          <w:spacing w:val="-3"/>
          <w:sz w:val="18"/>
        </w:rPr>
        <w:t xml:space="preserve"> </w:t>
      </w:r>
      <w:r>
        <w:rPr>
          <w:spacing w:val="-2"/>
          <w:sz w:val="18"/>
        </w:rPr>
        <w:t>impairment.</w:t>
      </w:r>
    </w:p>
    <w:p w14:paraId="2BFE820A" w14:textId="77777777" w:rsidR="00AC6F3C" w:rsidRDefault="00AC6F3C">
      <w:pPr>
        <w:pStyle w:val="BodyText"/>
        <w:spacing w:before="11"/>
        <w:rPr>
          <w:sz w:val="19"/>
        </w:rPr>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6D0823C3" w14:textId="77777777">
        <w:trPr>
          <w:trHeight w:val="549"/>
        </w:trPr>
        <w:tc>
          <w:tcPr>
            <w:tcW w:w="8715" w:type="dxa"/>
            <w:gridSpan w:val="3"/>
            <w:shd w:val="clear" w:color="auto" w:fill="BEBEBE"/>
          </w:tcPr>
          <w:p w14:paraId="5DCF89F4"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7DEC4B0D" w14:textId="77777777" w:rsidR="00AC6F3C" w:rsidRDefault="00570E88">
            <w:pPr>
              <w:pStyle w:val="TableParagraph"/>
              <w:tabs>
                <w:tab w:val="left" w:pos="1647"/>
              </w:tabs>
              <w:spacing w:before="75"/>
              <w:ind w:right="21"/>
              <w:jc w:val="right"/>
              <w:rPr>
                <w:b/>
                <w:sz w:val="18"/>
              </w:rPr>
            </w:pPr>
            <w:r>
              <w:rPr>
                <w:b/>
                <w:spacing w:val="-2"/>
                <w:sz w:val="18"/>
              </w:rPr>
              <w:t>$'000</w:t>
            </w:r>
            <w:r>
              <w:rPr>
                <w:b/>
                <w:sz w:val="18"/>
              </w:rPr>
              <w:tab/>
            </w:r>
            <w:r>
              <w:rPr>
                <w:b/>
                <w:spacing w:val="-4"/>
                <w:sz w:val="18"/>
              </w:rPr>
              <w:t>$'000</w:t>
            </w:r>
          </w:p>
        </w:tc>
      </w:tr>
      <w:tr w:rsidR="00AC6F3C" w14:paraId="6C5E55AF" w14:textId="77777777">
        <w:trPr>
          <w:trHeight w:val="286"/>
        </w:trPr>
        <w:tc>
          <w:tcPr>
            <w:tcW w:w="5413" w:type="dxa"/>
            <w:tcBorders>
              <w:bottom w:val="nil"/>
              <w:right w:val="nil"/>
            </w:tcBorders>
          </w:tcPr>
          <w:p w14:paraId="6C50DB5C" w14:textId="77777777" w:rsidR="00AC6F3C" w:rsidRDefault="00570E88">
            <w:pPr>
              <w:pStyle w:val="TableParagraph"/>
              <w:spacing w:before="39"/>
              <w:ind w:left="37"/>
              <w:rPr>
                <w:sz w:val="18"/>
              </w:rPr>
            </w:pPr>
            <w:r>
              <w:rPr>
                <w:sz w:val="18"/>
              </w:rPr>
              <w:t>Practitioner</w:t>
            </w:r>
            <w:r>
              <w:rPr>
                <w:spacing w:val="-7"/>
                <w:sz w:val="18"/>
              </w:rPr>
              <w:t xml:space="preserve"> </w:t>
            </w:r>
            <w:r>
              <w:rPr>
                <w:sz w:val="18"/>
              </w:rPr>
              <w:t>levies</w:t>
            </w:r>
            <w:r>
              <w:rPr>
                <w:spacing w:val="9"/>
                <w:sz w:val="18"/>
              </w:rPr>
              <w:t xml:space="preserve"> </w:t>
            </w:r>
            <w:r>
              <w:rPr>
                <w:sz w:val="18"/>
              </w:rPr>
              <w:t>receivable</w:t>
            </w:r>
            <w:r>
              <w:rPr>
                <w:spacing w:val="-1"/>
                <w:sz w:val="18"/>
              </w:rPr>
              <w:t xml:space="preserve"> </w:t>
            </w:r>
            <w:r>
              <w:rPr>
                <w:sz w:val="18"/>
              </w:rPr>
              <w:t>from</w:t>
            </w:r>
            <w:r>
              <w:rPr>
                <w:spacing w:val="9"/>
                <w:sz w:val="18"/>
              </w:rPr>
              <w:t xml:space="preserve"> </w:t>
            </w:r>
            <w:r>
              <w:rPr>
                <w:sz w:val="18"/>
              </w:rPr>
              <w:t>the</w:t>
            </w:r>
            <w:r>
              <w:rPr>
                <w:spacing w:val="-2"/>
                <w:sz w:val="18"/>
              </w:rPr>
              <w:t xml:space="preserve"> Society</w:t>
            </w:r>
          </w:p>
        </w:tc>
        <w:tc>
          <w:tcPr>
            <w:tcW w:w="1662" w:type="dxa"/>
            <w:tcBorders>
              <w:left w:val="nil"/>
              <w:bottom w:val="nil"/>
              <w:right w:val="nil"/>
            </w:tcBorders>
            <w:shd w:val="clear" w:color="auto" w:fill="F1F1F1"/>
          </w:tcPr>
          <w:p w14:paraId="74FC4B6F" w14:textId="77777777" w:rsidR="00AC6F3C" w:rsidRDefault="00570E88">
            <w:pPr>
              <w:pStyle w:val="TableParagraph"/>
              <w:spacing w:before="39"/>
              <w:ind w:right="35"/>
              <w:jc w:val="right"/>
              <w:rPr>
                <w:sz w:val="18"/>
              </w:rPr>
            </w:pPr>
            <w:r>
              <w:rPr>
                <w:spacing w:val="-2"/>
                <w:sz w:val="18"/>
              </w:rPr>
              <w:t>3,119</w:t>
            </w:r>
          </w:p>
        </w:tc>
        <w:tc>
          <w:tcPr>
            <w:tcW w:w="1640" w:type="dxa"/>
            <w:tcBorders>
              <w:left w:val="nil"/>
              <w:bottom w:val="nil"/>
            </w:tcBorders>
          </w:tcPr>
          <w:p w14:paraId="0DE6DAA3" w14:textId="77777777" w:rsidR="00AC6F3C" w:rsidRDefault="00570E88">
            <w:pPr>
              <w:pStyle w:val="TableParagraph"/>
              <w:spacing w:before="39"/>
              <w:ind w:right="21"/>
              <w:jc w:val="right"/>
              <w:rPr>
                <w:sz w:val="18"/>
              </w:rPr>
            </w:pPr>
            <w:r>
              <w:rPr>
                <w:spacing w:val="-5"/>
                <w:sz w:val="18"/>
              </w:rPr>
              <w:t>378</w:t>
            </w:r>
          </w:p>
        </w:tc>
      </w:tr>
      <w:tr w:rsidR="00AC6F3C" w14:paraId="38EC62B0" w14:textId="77777777">
        <w:trPr>
          <w:trHeight w:val="262"/>
        </w:trPr>
        <w:tc>
          <w:tcPr>
            <w:tcW w:w="5413" w:type="dxa"/>
            <w:tcBorders>
              <w:top w:val="nil"/>
              <w:right w:val="nil"/>
            </w:tcBorders>
          </w:tcPr>
          <w:p w14:paraId="7A0A1CCC" w14:textId="77777777" w:rsidR="00AC6F3C" w:rsidRDefault="00570E88">
            <w:pPr>
              <w:pStyle w:val="TableParagraph"/>
              <w:spacing w:before="34"/>
              <w:ind w:left="37"/>
              <w:rPr>
                <w:sz w:val="18"/>
              </w:rPr>
            </w:pPr>
            <w:r>
              <w:rPr>
                <w:spacing w:val="-4"/>
                <w:sz w:val="18"/>
              </w:rPr>
              <w:t>GST</w:t>
            </w:r>
            <w:r>
              <w:rPr>
                <w:spacing w:val="-9"/>
                <w:sz w:val="18"/>
              </w:rPr>
              <w:t xml:space="preserve"> </w:t>
            </w:r>
            <w:r>
              <w:rPr>
                <w:spacing w:val="-2"/>
                <w:sz w:val="18"/>
              </w:rPr>
              <w:t>receivable</w:t>
            </w:r>
          </w:p>
        </w:tc>
        <w:tc>
          <w:tcPr>
            <w:tcW w:w="1662" w:type="dxa"/>
            <w:tcBorders>
              <w:top w:val="nil"/>
              <w:left w:val="nil"/>
              <w:right w:val="nil"/>
            </w:tcBorders>
            <w:shd w:val="clear" w:color="auto" w:fill="F1F1F1"/>
          </w:tcPr>
          <w:p w14:paraId="70FFB29F" w14:textId="77777777" w:rsidR="00AC6F3C" w:rsidRDefault="00570E88">
            <w:pPr>
              <w:pStyle w:val="TableParagraph"/>
              <w:spacing w:before="34"/>
              <w:ind w:right="40"/>
              <w:jc w:val="right"/>
              <w:rPr>
                <w:sz w:val="18"/>
              </w:rPr>
            </w:pPr>
            <w:r>
              <w:rPr>
                <w:w w:val="99"/>
                <w:sz w:val="18"/>
              </w:rPr>
              <w:t>2</w:t>
            </w:r>
          </w:p>
        </w:tc>
        <w:tc>
          <w:tcPr>
            <w:tcW w:w="1640" w:type="dxa"/>
            <w:tcBorders>
              <w:top w:val="nil"/>
              <w:left w:val="nil"/>
            </w:tcBorders>
          </w:tcPr>
          <w:p w14:paraId="1C7468FD" w14:textId="77777777" w:rsidR="00AC6F3C" w:rsidRDefault="00570E88">
            <w:pPr>
              <w:pStyle w:val="TableParagraph"/>
              <w:spacing w:before="34"/>
              <w:ind w:right="21"/>
              <w:jc w:val="right"/>
              <w:rPr>
                <w:sz w:val="18"/>
              </w:rPr>
            </w:pPr>
            <w:r>
              <w:rPr>
                <w:w w:val="99"/>
                <w:sz w:val="18"/>
              </w:rPr>
              <w:t>-</w:t>
            </w:r>
          </w:p>
        </w:tc>
      </w:tr>
      <w:tr w:rsidR="00AC6F3C" w14:paraId="6D5FA03C" w14:textId="77777777">
        <w:trPr>
          <w:trHeight w:val="267"/>
        </w:trPr>
        <w:tc>
          <w:tcPr>
            <w:tcW w:w="5413" w:type="dxa"/>
            <w:tcBorders>
              <w:right w:val="nil"/>
            </w:tcBorders>
            <w:shd w:val="clear" w:color="auto" w:fill="BEBEBE"/>
          </w:tcPr>
          <w:p w14:paraId="5F92DD4A" w14:textId="77777777" w:rsidR="00AC6F3C" w:rsidRDefault="00570E88">
            <w:pPr>
              <w:pStyle w:val="TableParagraph"/>
              <w:spacing w:before="53" w:line="193" w:lineRule="exact"/>
              <w:ind w:left="37"/>
              <w:rPr>
                <w:b/>
                <w:sz w:val="18"/>
              </w:rPr>
            </w:pPr>
            <w:r>
              <w:rPr>
                <w:b/>
                <w:spacing w:val="-4"/>
                <w:sz w:val="18"/>
              </w:rPr>
              <w:t>Total</w:t>
            </w:r>
            <w:r>
              <w:rPr>
                <w:b/>
                <w:spacing w:val="-2"/>
                <w:sz w:val="18"/>
              </w:rPr>
              <w:t xml:space="preserve"> receivables</w:t>
            </w:r>
          </w:p>
        </w:tc>
        <w:tc>
          <w:tcPr>
            <w:tcW w:w="1662" w:type="dxa"/>
            <w:tcBorders>
              <w:left w:val="nil"/>
              <w:right w:val="nil"/>
            </w:tcBorders>
            <w:shd w:val="clear" w:color="auto" w:fill="BEBEBE"/>
          </w:tcPr>
          <w:p w14:paraId="20405A8B" w14:textId="77777777" w:rsidR="00AC6F3C" w:rsidRDefault="00570E88">
            <w:pPr>
              <w:pStyle w:val="TableParagraph"/>
              <w:spacing w:before="53" w:line="193" w:lineRule="exact"/>
              <w:ind w:right="35"/>
              <w:jc w:val="right"/>
              <w:rPr>
                <w:b/>
                <w:sz w:val="18"/>
              </w:rPr>
            </w:pPr>
            <w:r>
              <w:rPr>
                <w:b/>
                <w:spacing w:val="-2"/>
                <w:sz w:val="18"/>
              </w:rPr>
              <w:t>3,121</w:t>
            </w:r>
          </w:p>
        </w:tc>
        <w:tc>
          <w:tcPr>
            <w:tcW w:w="1640" w:type="dxa"/>
            <w:tcBorders>
              <w:left w:val="nil"/>
            </w:tcBorders>
            <w:shd w:val="clear" w:color="auto" w:fill="BEBEBE"/>
          </w:tcPr>
          <w:p w14:paraId="5FDE473C" w14:textId="77777777" w:rsidR="00AC6F3C" w:rsidRDefault="00570E88">
            <w:pPr>
              <w:pStyle w:val="TableParagraph"/>
              <w:spacing w:before="53" w:line="193" w:lineRule="exact"/>
              <w:ind w:right="21"/>
              <w:jc w:val="right"/>
              <w:rPr>
                <w:b/>
                <w:sz w:val="18"/>
              </w:rPr>
            </w:pPr>
            <w:r>
              <w:rPr>
                <w:b/>
                <w:spacing w:val="-5"/>
                <w:sz w:val="18"/>
              </w:rPr>
              <w:t>378</w:t>
            </w:r>
          </w:p>
        </w:tc>
      </w:tr>
    </w:tbl>
    <w:p w14:paraId="08931D07" w14:textId="77777777" w:rsidR="00AC6F3C" w:rsidRDefault="00AC6F3C">
      <w:pPr>
        <w:pStyle w:val="BodyText"/>
        <w:spacing w:before="2"/>
        <w:rPr>
          <w:sz w:val="22"/>
        </w:rPr>
      </w:pPr>
    </w:p>
    <w:p w14:paraId="0ECD5982" w14:textId="77777777" w:rsidR="00AC6F3C" w:rsidRDefault="00570E88">
      <w:pPr>
        <w:tabs>
          <w:tab w:val="left" w:pos="1687"/>
        </w:tabs>
        <w:ind w:left="979"/>
        <w:rPr>
          <w:b/>
          <w:sz w:val="28"/>
        </w:rPr>
      </w:pPr>
      <w:r>
        <w:rPr>
          <w:b/>
          <w:spacing w:val="-5"/>
          <w:sz w:val="28"/>
        </w:rPr>
        <w:t>C3</w:t>
      </w:r>
      <w:r>
        <w:rPr>
          <w:b/>
          <w:sz w:val="28"/>
        </w:rPr>
        <w:tab/>
      </w:r>
      <w:r>
        <w:rPr>
          <w:b/>
          <w:spacing w:val="-2"/>
          <w:sz w:val="28"/>
        </w:rPr>
        <w:t>INVESTMENTS</w:t>
      </w:r>
    </w:p>
    <w:p w14:paraId="76EF7A09" w14:textId="77777777" w:rsidR="00AC6F3C" w:rsidRDefault="00570E88">
      <w:pPr>
        <w:spacing w:before="206"/>
        <w:ind w:left="980" w:right="632" w:hanging="1"/>
        <w:rPr>
          <w:sz w:val="18"/>
        </w:rPr>
      </w:pPr>
      <w:r>
        <w:rPr>
          <w:sz w:val="18"/>
        </w:rPr>
        <w:t>Investments are held at fair value through profit or loss. The investments are managed and their performances</w:t>
      </w:r>
      <w:r>
        <w:rPr>
          <w:spacing w:val="-4"/>
          <w:sz w:val="18"/>
        </w:rPr>
        <w:t xml:space="preserve"> </w:t>
      </w:r>
      <w:r>
        <w:rPr>
          <w:sz w:val="18"/>
        </w:rPr>
        <w:t>are</w:t>
      </w:r>
      <w:r>
        <w:rPr>
          <w:spacing w:val="-5"/>
          <w:sz w:val="18"/>
        </w:rPr>
        <w:t xml:space="preserve"> </w:t>
      </w:r>
      <w:r>
        <w:rPr>
          <w:sz w:val="18"/>
        </w:rPr>
        <w:t>evaluated</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fair</w:t>
      </w:r>
      <w:r>
        <w:rPr>
          <w:spacing w:val="-3"/>
          <w:sz w:val="18"/>
        </w:rPr>
        <w:t xml:space="preserve"> </w:t>
      </w:r>
      <w:r>
        <w:rPr>
          <w:sz w:val="18"/>
        </w:rPr>
        <w:t>value</w:t>
      </w:r>
      <w:r>
        <w:rPr>
          <w:spacing w:val="-2"/>
          <w:sz w:val="18"/>
        </w:rPr>
        <w:t xml:space="preserve"> </w:t>
      </w:r>
      <w:r>
        <w:rPr>
          <w:sz w:val="18"/>
        </w:rPr>
        <w:t>basis,</w:t>
      </w:r>
      <w:r>
        <w:rPr>
          <w:spacing w:val="-3"/>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a</w:t>
      </w:r>
      <w:r>
        <w:rPr>
          <w:spacing w:val="-5"/>
          <w:sz w:val="18"/>
        </w:rPr>
        <w:t xml:space="preserve"> </w:t>
      </w:r>
      <w:r>
        <w:rPr>
          <w:sz w:val="18"/>
        </w:rPr>
        <w:t>documented</w:t>
      </w:r>
      <w:r>
        <w:rPr>
          <w:spacing w:val="-2"/>
          <w:sz w:val="18"/>
        </w:rPr>
        <w:t xml:space="preserve"> </w:t>
      </w:r>
      <w:r>
        <w:rPr>
          <w:sz w:val="18"/>
        </w:rPr>
        <w:t>investment</w:t>
      </w:r>
      <w:r>
        <w:rPr>
          <w:spacing w:val="-5"/>
          <w:sz w:val="18"/>
        </w:rPr>
        <w:t xml:space="preserve"> </w:t>
      </w:r>
      <w:r>
        <w:rPr>
          <w:sz w:val="18"/>
        </w:rPr>
        <w:t>strategy.</w:t>
      </w:r>
    </w:p>
    <w:p w14:paraId="5C2992BE" w14:textId="77777777" w:rsidR="00AC6F3C" w:rsidRDefault="00AC6F3C">
      <w:pPr>
        <w:pStyle w:val="BodyText"/>
        <w:spacing w:before="1"/>
      </w:pPr>
    </w:p>
    <w:p w14:paraId="41EF7D62" w14:textId="77777777" w:rsidR="00AC6F3C" w:rsidRDefault="00570E88">
      <w:pPr>
        <w:ind w:left="980" w:right="539" w:hanging="1"/>
        <w:rPr>
          <w:sz w:val="18"/>
        </w:rPr>
      </w:pPr>
      <w:r>
        <w:rPr>
          <w:sz w:val="18"/>
        </w:rPr>
        <w:t>The portfolio</w:t>
      </w:r>
      <w:r>
        <w:rPr>
          <w:spacing w:val="-3"/>
          <w:sz w:val="18"/>
        </w:rPr>
        <w:t xml:space="preserve"> </w:t>
      </w:r>
      <w:r>
        <w:rPr>
          <w:sz w:val="18"/>
        </w:rPr>
        <w:t>of</w:t>
      </w:r>
      <w:r>
        <w:rPr>
          <w:spacing w:val="-1"/>
          <w:sz w:val="18"/>
        </w:rPr>
        <w:t xml:space="preserve"> </w:t>
      </w:r>
      <w:r>
        <w:rPr>
          <w:sz w:val="18"/>
        </w:rPr>
        <w:t>investments held</w:t>
      </w:r>
      <w:r>
        <w:rPr>
          <w:spacing w:val="-3"/>
          <w:sz w:val="18"/>
        </w:rPr>
        <w:t xml:space="preserve"> </w:t>
      </w:r>
      <w:r>
        <w:rPr>
          <w:sz w:val="18"/>
        </w:rPr>
        <w:t>consists</w:t>
      </w:r>
      <w:r>
        <w:rPr>
          <w:spacing w:val="-2"/>
          <w:sz w:val="18"/>
        </w:rPr>
        <w:t xml:space="preserve"> </w:t>
      </w:r>
      <w:r>
        <w:rPr>
          <w:sz w:val="18"/>
        </w:rPr>
        <w:t>of</w:t>
      </w:r>
      <w:r>
        <w:rPr>
          <w:spacing w:val="-1"/>
          <w:sz w:val="18"/>
        </w:rPr>
        <w:t xml:space="preserve"> </w:t>
      </w:r>
      <w:r>
        <w:rPr>
          <w:sz w:val="18"/>
        </w:rPr>
        <w:t>collective</w:t>
      </w:r>
      <w:r>
        <w:rPr>
          <w:spacing w:val="-3"/>
          <w:sz w:val="18"/>
        </w:rPr>
        <w:t xml:space="preserve"> </w:t>
      </w:r>
      <w:r>
        <w:rPr>
          <w:sz w:val="18"/>
        </w:rPr>
        <w:t>investment</w:t>
      </w:r>
      <w:r>
        <w:rPr>
          <w:spacing w:val="-3"/>
          <w:sz w:val="18"/>
        </w:rPr>
        <w:t xml:space="preserve"> </w:t>
      </w:r>
      <w:r>
        <w:rPr>
          <w:sz w:val="18"/>
        </w:rPr>
        <w:t>schemes.</w:t>
      </w:r>
      <w:r>
        <w:rPr>
          <w:spacing w:val="40"/>
          <w:sz w:val="18"/>
        </w:rPr>
        <w:t xml:space="preserve"> </w:t>
      </w:r>
      <w:r>
        <w:rPr>
          <w:sz w:val="18"/>
        </w:rPr>
        <w:t>The fair</w:t>
      </w:r>
      <w:r>
        <w:rPr>
          <w:spacing w:val="-3"/>
          <w:sz w:val="18"/>
        </w:rPr>
        <w:t xml:space="preserve"> </w:t>
      </w:r>
      <w:r>
        <w:rPr>
          <w:sz w:val="18"/>
        </w:rPr>
        <w:t>value</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investments is determined using net asset value of the collective investment schemes. See Note B1-3 for details of gains/(losses) on investments.</w:t>
      </w:r>
    </w:p>
    <w:p w14:paraId="1BA9E3D5" w14:textId="77777777" w:rsidR="00AC6F3C" w:rsidRDefault="00AC6F3C">
      <w:pPr>
        <w:pStyle w:val="BodyText"/>
        <w:spacing w:before="9"/>
      </w:pPr>
    </w:p>
    <w:p w14:paraId="5F9623F1" w14:textId="77777777" w:rsidR="00AC6F3C" w:rsidRDefault="00570E88">
      <w:pPr>
        <w:ind w:left="979"/>
        <w:rPr>
          <w:b/>
          <w:sz w:val="20"/>
        </w:rPr>
      </w:pPr>
      <w:r>
        <w:rPr>
          <w:b/>
          <w:sz w:val="20"/>
        </w:rPr>
        <w:t>Fair</w:t>
      </w:r>
      <w:r>
        <w:rPr>
          <w:b/>
          <w:spacing w:val="-8"/>
          <w:sz w:val="20"/>
        </w:rPr>
        <w:t xml:space="preserve"> </w:t>
      </w:r>
      <w:r>
        <w:rPr>
          <w:b/>
          <w:sz w:val="20"/>
        </w:rPr>
        <w:t>value</w:t>
      </w:r>
      <w:r>
        <w:rPr>
          <w:b/>
          <w:spacing w:val="-6"/>
          <w:sz w:val="20"/>
        </w:rPr>
        <w:t xml:space="preserve"> </w:t>
      </w:r>
      <w:r>
        <w:rPr>
          <w:b/>
          <w:spacing w:val="-2"/>
          <w:sz w:val="20"/>
        </w:rPr>
        <w:t>measurements</w:t>
      </w:r>
    </w:p>
    <w:p w14:paraId="1DEDABEB" w14:textId="77777777" w:rsidR="00AC6F3C" w:rsidRDefault="00AC6F3C">
      <w:pPr>
        <w:pStyle w:val="BodyText"/>
        <w:spacing w:before="10"/>
        <w:rPr>
          <w:b/>
        </w:rPr>
      </w:pPr>
    </w:p>
    <w:p w14:paraId="41E92845" w14:textId="77777777" w:rsidR="00AC6F3C" w:rsidRDefault="00570E88">
      <w:pPr>
        <w:ind w:left="979" w:right="632"/>
        <w:rPr>
          <w:sz w:val="18"/>
        </w:rPr>
      </w:pPr>
      <w:r>
        <w:rPr>
          <w:sz w:val="18"/>
        </w:rPr>
        <w:t>Observable</w:t>
      </w:r>
      <w:r>
        <w:rPr>
          <w:spacing w:val="-3"/>
          <w:sz w:val="18"/>
        </w:rPr>
        <w:t xml:space="preserve"> </w:t>
      </w:r>
      <w:r>
        <w:rPr>
          <w:sz w:val="18"/>
        </w:rPr>
        <w:t>inputs</w:t>
      </w:r>
      <w:r>
        <w:rPr>
          <w:spacing w:val="-2"/>
          <w:sz w:val="18"/>
        </w:rPr>
        <w:t xml:space="preserve"> </w:t>
      </w:r>
      <w:r>
        <w:rPr>
          <w:sz w:val="18"/>
        </w:rPr>
        <w:t>are</w:t>
      </w:r>
      <w:r>
        <w:rPr>
          <w:spacing w:val="-3"/>
          <w:sz w:val="18"/>
        </w:rPr>
        <w:t xml:space="preserve"> </w:t>
      </w:r>
      <w:r>
        <w:rPr>
          <w:sz w:val="18"/>
        </w:rPr>
        <w:t>publicly</w:t>
      </w:r>
      <w:r>
        <w:rPr>
          <w:spacing w:val="-2"/>
          <w:sz w:val="18"/>
        </w:rPr>
        <w:t xml:space="preserve"> </w:t>
      </w:r>
      <w:r>
        <w:rPr>
          <w:sz w:val="18"/>
        </w:rPr>
        <w:t>available</w:t>
      </w:r>
      <w:r>
        <w:rPr>
          <w:spacing w:val="-3"/>
          <w:sz w:val="18"/>
        </w:rPr>
        <w:t xml:space="preserve"> </w:t>
      </w:r>
      <w:r>
        <w:rPr>
          <w:sz w:val="18"/>
        </w:rPr>
        <w:t>data</w:t>
      </w:r>
      <w:r>
        <w:rPr>
          <w:spacing w:val="-3"/>
          <w:sz w:val="18"/>
        </w:rPr>
        <w:t xml:space="preserve"> </w:t>
      </w:r>
      <w:r>
        <w:rPr>
          <w:sz w:val="18"/>
        </w:rPr>
        <w:t>that</w:t>
      </w:r>
      <w:r>
        <w:rPr>
          <w:spacing w:val="-3"/>
          <w:sz w:val="18"/>
        </w:rPr>
        <w:t xml:space="preserve"> </w:t>
      </w:r>
      <w:r>
        <w:rPr>
          <w:sz w:val="18"/>
        </w:rPr>
        <w:t>are</w:t>
      </w:r>
      <w:r>
        <w:rPr>
          <w:spacing w:val="-1"/>
          <w:sz w:val="18"/>
        </w:rPr>
        <w:t xml:space="preserve"> </w:t>
      </w:r>
      <w:r>
        <w:rPr>
          <w:sz w:val="18"/>
        </w:rPr>
        <w:t>relevant</w:t>
      </w:r>
      <w:r>
        <w:rPr>
          <w:spacing w:val="-1"/>
          <w:sz w:val="18"/>
        </w:rPr>
        <w:t xml:space="preserve"> </w:t>
      </w:r>
      <w:r>
        <w:rPr>
          <w:sz w:val="18"/>
        </w:rPr>
        <w:t>to</w:t>
      </w:r>
      <w:r>
        <w:rPr>
          <w:spacing w:val="-1"/>
          <w:sz w:val="18"/>
        </w:rPr>
        <w:t xml:space="preserve"> </w:t>
      </w:r>
      <w:r>
        <w:rPr>
          <w:sz w:val="18"/>
        </w:rPr>
        <w:t>the</w:t>
      </w:r>
      <w:r>
        <w:rPr>
          <w:spacing w:val="-3"/>
          <w:sz w:val="18"/>
        </w:rPr>
        <w:t xml:space="preserve"> </w:t>
      </w:r>
      <w:r>
        <w:rPr>
          <w:sz w:val="18"/>
        </w:rPr>
        <w:t>characteristics</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assets/liabilities being valued.</w:t>
      </w:r>
    </w:p>
    <w:p w14:paraId="28BAA700" w14:textId="77777777" w:rsidR="00AC6F3C" w:rsidRDefault="00AC6F3C">
      <w:pPr>
        <w:pStyle w:val="BodyText"/>
        <w:spacing w:before="11"/>
      </w:pPr>
    </w:p>
    <w:p w14:paraId="1BA56CDD" w14:textId="77777777" w:rsidR="00AC6F3C" w:rsidRDefault="00570E88">
      <w:pPr>
        <w:ind w:left="979" w:right="468"/>
        <w:rPr>
          <w:sz w:val="18"/>
        </w:rPr>
      </w:pPr>
      <w:r>
        <w:rPr>
          <w:sz w:val="18"/>
        </w:rPr>
        <w:t>Unobservable</w:t>
      </w:r>
      <w:r>
        <w:rPr>
          <w:spacing w:val="-4"/>
          <w:sz w:val="18"/>
        </w:rPr>
        <w:t xml:space="preserve"> </w:t>
      </w:r>
      <w:r>
        <w:rPr>
          <w:sz w:val="18"/>
        </w:rPr>
        <w:t>inputs</w:t>
      </w:r>
      <w:r>
        <w:rPr>
          <w:spacing w:val="-3"/>
          <w:sz w:val="18"/>
        </w:rPr>
        <w:t xml:space="preserve"> </w:t>
      </w:r>
      <w:r>
        <w:rPr>
          <w:sz w:val="18"/>
        </w:rPr>
        <w:t>are</w:t>
      </w:r>
      <w:r>
        <w:rPr>
          <w:spacing w:val="-1"/>
          <w:sz w:val="18"/>
        </w:rPr>
        <w:t xml:space="preserve"> </w:t>
      </w:r>
      <w:r>
        <w:rPr>
          <w:sz w:val="18"/>
        </w:rPr>
        <w:t>data,</w:t>
      </w:r>
      <w:r>
        <w:rPr>
          <w:spacing w:val="-4"/>
          <w:sz w:val="18"/>
        </w:rPr>
        <w:t xml:space="preserve"> </w:t>
      </w:r>
      <w:r>
        <w:rPr>
          <w:sz w:val="18"/>
        </w:rPr>
        <w:t>assumptions</w:t>
      </w:r>
      <w:r>
        <w:rPr>
          <w:spacing w:val="-1"/>
          <w:sz w:val="18"/>
        </w:rPr>
        <w:t xml:space="preserve"> </w:t>
      </w:r>
      <w:r>
        <w:rPr>
          <w:sz w:val="18"/>
        </w:rPr>
        <w:t>and</w:t>
      </w:r>
      <w:r>
        <w:rPr>
          <w:spacing w:val="-1"/>
          <w:sz w:val="18"/>
        </w:rPr>
        <w:t xml:space="preserve"> </w:t>
      </w:r>
      <w:r>
        <w:rPr>
          <w:sz w:val="18"/>
        </w:rPr>
        <w:t>judgements</w:t>
      </w:r>
      <w:r>
        <w:rPr>
          <w:spacing w:val="-3"/>
          <w:sz w:val="18"/>
        </w:rPr>
        <w:t xml:space="preserve"> </w:t>
      </w:r>
      <w:r>
        <w:rPr>
          <w:sz w:val="18"/>
        </w:rPr>
        <w:t>that</w:t>
      </w:r>
      <w:r>
        <w:rPr>
          <w:spacing w:val="-2"/>
          <w:sz w:val="18"/>
        </w:rPr>
        <w:t xml:space="preserve"> </w:t>
      </w:r>
      <w:r>
        <w:rPr>
          <w:sz w:val="18"/>
        </w:rPr>
        <w:t>are</w:t>
      </w:r>
      <w:r>
        <w:rPr>
          <w:spacing w:val="-4"/>
          <w:sz w:val="18"/>
        </w:rPr>
        <w:t xml:space="preserve"> </w:t>
      </w:r>
      <w:r>
        <w:rPr>
          <w:sz w:val="18"/>
        </w:rPr>
        <w:t>not</w:t>
      </w:r>
      <w:r>
        <w:rPr>
          <w:spacing w:val="-4"/>
          <w:sz w:val="18"/>
        </w:rPr>
        <w:t xml:space="preserve"> </w:t>
      </w:r>
      <w:r>
        <w:rPr>
          <w:sz w:val="18"/>
        </w:rPr>
        <w:t>available</w:t>
      </w:r>
      <w:r>
        <w:rPr>
          <w:spacing w:val="-4"/>
          <w:sz w:val="18"/>
        </w:rPr>
        <w:t xml:space="preserve"> </w:t>
      </w:r>
      <w:r>
        <w:rPr>
          <w:sz w:val="18"/>
        </w:rPr>
        <w:t>publicly,</w:t>
      </w:r>
      <w:r>
        <w:rPr>
          <w:spacing w:val="-4"/>
          <w:sz w:val="18"/>
        </w:rPr>
        <w:t xml:space="preserve"> </w:t>
      </w:r>
      <w:r>
        <w:rPr>
          <w:sz w:val="18"/>
        </w:rPr>
        <w:t>but</w:t>
      </w:r>
      <w:r>
        <w:rPr>
          <w:spacing w:val="-2"/>
          <w:sz w:val="18"/>
        </w:rPr>
        <w:t xml:space="preserve"> </w:t>
      </w:r>
      <w:r>
        <w:rPr>
          <w:sz w:val="18"/>
        </w:rPr>
        <w:t>are</w:t>
      </w:r>
      <w:r>
        <w:rPr>
          <w:spacing w:val="-4"/>
          <w:sz w:val="18"/>
        </w:rPr>
        <w:t xml:space="preserve"> </w:t>
      </w:r>
      <w:r>
        <w:rPr>
          <w:sz w:val="18"/>
        </w:rPr>
        <w:t>relevant</w:t>
      </w:r>
      <w:r>
        <w:rPr>
          <w:spacing w:val="-2"/>
          <w:sz w:val="18"/>
        </w:rPr>
        <w:t xml:space="preserve"> </w:t>
      </w:r>
      <w:r>
        <w:rPr>
          <w:sz w:val="18"/>
        </w:rPr>
        <w:t>to the characteristics of the assets/liabilities being valued.</w:t>
      </w:r>
      <w:r>
        <w:rPr>
          <w:spacing w:val="40"/>
          <w:sz w:val="18"/>
        </w:rPr>
        <w:t xml:space="preserve"> </w:t>
      </w:r>
      <w:r>
        <w:rPr>
          <w:sz w:val="18"/>
        </w:rPr>
        <w:t>Significant unobservable inputs used by the Fund include, but are not limited to, subjective adjustments made to observable data to take account of the characteristics of the Fund’s assets/liabilities.</w:t>
      </w:r>
      <w:r>
        <w:rPr>
          <w:spacing w:val="40"/>
          <w:sz w:val="18"/>
        </w:rPr>
        <w:t xml:space="preserve"> </w:t>
      </w:r>
      <w:r>
        <w:rPr>
          <w:sz w:val="18"/>
        </w:rPr>
        <w:t>Unobservable inputs are used to the extent that sufficient relevant and reliable observable inputs are not available for similar assets/liabilities.</w:t>
      </w:r>
    </w:p>
    <w:p w14:paraId="344E272A" w14:textId="77777777" w:rsidR="00AC6F3C" w:rsidRDefault="00AC6F3C">
      <w:pPr>
        <w:rPr>
          <w:sz w:val="18"/>
        </w:rPr>
        <w:sectPr w:rsidR="00AC6F3C">
          <w:headerReference w:type="default" r:id="rId252"/>
          <w:footerReference w:type="default" r:id="rId253"/>
          <w:pgSz w:w="11910" w:h="16840"/>
          <w:pgMar w:top="2140" w:right="1160" w:bottom="520" w:left="460" w:header="1228" w:footer="336" w:gutter="0"/>
          <w:cols w:space="720"/>
        </w:sectPr>
      </w:pPr>
    </w:p>
    <w:p w14:paraId="354137AC" w14:textId="77777777" w:rsidR="00AC6F3C" w:rsidRDefault="00AC6F3C">
      <w:pPr>
        <w:pStyle w:val="BodyText"/>
        <w:spacing w:before="8"/>
        <w:rPr>
          <w:sz w:val="11"/>
        </w:rPr>
      </w:pPr>
    </w:p>
    <w:p w14:paraId="22018AEB" w14:textId="77777777" w:rsidR="00AC6F3C" w:rsidRDefault="00570E88">
      <w:pPr>
        <w:spacing w:before="95"/>
        <w:ind w:left="979"/>
        <w:rPr>
          <w:sz w:val="18"/>
        </w:rPr>
      </w:pPr>
      <w:r>
        <w:rPr>
          <w:sz w:val="18"/>
        </w:rPr>
        <w:t>A</w:t>
      </w:r>
      <w:r>
        <w:rPr>
          <w:spacing w:val="-2"/>
          <w:sz w:val="18"/>
        </w:rPr>
        <w:t xml:space="preserve"> </w:t>
      </w:r>
      <w:r>
        <w:rPr>
          <w:sz w:val="18"/>
        </w:rPr>
        <w:t>fair</w:t>
      </w:r>
      <w:r>
        <w:rPr>
          <w:spacing w:val="-4"/>
          <w:sz w:val="18"/>
        </w:rPr>
        <w:t xml:space="preserve"> </w:t>
      </w:r>
      <w:r>
        <w:rPr>
          <w:sz w:val="18"/>
        </w:rPr>
        <w:t>value</w:t>
      </w:r>
      <w:r>
        <w:rPr>
          <w:spacing w:val="-1"/>
          <w:sz w:val="18"/>
        </w:rPr>
        <w:t xml:space="preserve"> </w:t>
      </w:r>
      <w:r>
        <w:rPr>
          <w:sz w:val="18"/>
        </w:rPr>
        <w:t>measurement</w:t>
      </w:r>
      <w:r>
        <w:rPr>
          <w:spacing w:val="-4"/>
          <w:sz w:val="18"/>
        </w:rPr>
        <w:t xml:space="preserve"> </w:t>
      </w:r>
      <w:r>
        <w:rPr>
          <w:sz w:val="18"/>
        </w:rPr>
        <w:t>of</w:t>
      </w:r>
      <w:r>
        <w:rPr>
          <w:spacing w:val="-2"/>
          <w:sz w:val="18"/>
        </w:rPr>
        <w:t xml:space="preserve"> </w:t>
      </w:r>
      <w:r>
        <w:rPr>
          <w:sz w:val="18"/>
        </w:rPr>
        <w:t>a</w:t>
      </w:r>
      <w:r>
        <w:rPr>
          <w:spacing w:val="-6"/>
          <w:sz w:val="18"/>
        </w:rPr>
        <w:t xml:space="preserve"> </w:t>
      </w:r>
      <w:r>
        <w:rPr>
          <w:sz w:val="18"/>
        </w:rPr>
        <w:t>non-financial</w:t>
      </w:r>
      <w:r>
        <w:rPr>
          <w:spacing w:val="-1"/>
          <w:sz w:val="18"/>
        </w:rPr>
        <w:t xml:space="preserve"> </w:t>
      </w:r>
      <w:r>
        <w:rPr>
          <w:sz w:val="18"/>
        </w:rPr>
        <w:t>asset</w:t>
      </w:r>
      <w:r>
        <w:rPr>
          <w:spacing w:val="-2"/>
          <w:sz w:val="18"/>
        </w:rPr>
        <w:t xml:space="preserve"> </w:t>
      </w:r>
      <w:r>
        <w:rPr>
          <w:sz w:val="18"/>
        </w:rPr>
        <w:t>takes</w:t>
      </w:r>
      <w:r>
        <w:rPr>
          <w:spacing w:val="-3"/>
          <w:sz w:val="18"/>
        </w:rPr>
        <w:t xml:space="preserve"> </w:t>
      </w:r>
      <w:r>
        <w:rPr>
          <w:sz w:val="18"/>
        </w:rPr>
        <w:t>into</w:t>
      </w:r>
      <w:r>
        <w:rPr>
          <w:spacing w:val="-4"/>
          <w:sz w:val="18"/>
        </w:rPr>
        <w:t xml:space="preserve"> </w:t>
      </w:r>
      <w:r>
        <w:rPr>
          <w:sz w:val="18"/>
        </w:rPr>
        <w:t>account</w:t>
      </w:r>
      <w:r>
        <w:rPr>
          <w:spacing w:val="-4"/>
          <w:sz w:val="18"/>
        </w:rPr>
        <w:t xml:space="preserve"> </w:t>
      </w:r>
      <w:r>
        <w:rPr>
          <w:sz w:val="18"/>
        </w:rPr>
        <w:t>a</w:t>
      </w:r>
      <w:r>
        <w:rPr>
          <w:spacing w:val="-1"/>
          <w:sz w:val="18"/>
        </w:rPr>
        <w:t xml:space="preserve"> </w:t>
      </w:r>
      <w:r>
        <w:rPr>
          <w:sz w:val="18"/>
        </w:rPr>
        <w:t>market</w:t>
      </w:r>
      <w:r>
        <w:rPr>
          <w:spacing w:val="-2"/>
          <w:sz w:val="18"/>
        </w:rPr>
        <w:t xml:space="preserve"> </w:t>
      </w:r>
      <w:r>
        <w:rPr>
          <w:sz w:val="18"/>
        </w:rPr>
        <w:t>participant’s</w:t>
      </w:r>
      <w:r>
        <w:rPr>
          <w:spacing w:val="-3"/>
          <w:sz w:val="18"/>
        </w:rPr>
        <w:t xml:space="preserve"> </w:t>
      </w:r>
      <w:r>
        <w:rPr>
          <w:sz w:val="18"/>
        </w:rPr>
        <w:t>ability</w:t>
      </w:r>
      <w:r>
        <w:rPr>
          <w:spacing w:val="-3"/>
          <w:sz w:val="18"/>
        </w:rPr>
        <w:t xml:space="preserve"> </w:t>
      </w:r>
      <w:r>
        <w:rPr>
          <w:sz w:val="18"/>
        </w:rPr>
        <w:t>to</w:t>
      </w:r>
      <w:r>
        <w:rPr>
          <w:spacing w:val="-1"/>
          <w:sz w:val="18"/>
        </w:rPr>
        <w:t xml:space="preserve"> </w:t>
      </w:r>
      <w:r>
        <w:rPr>
          <w:sz w:val="18"/>
        </w:rPr>
        <w:t>generate economic benefits by using the asset in its highest and best use.</w:t>
      </w:r>
    </w:p>
    <w:p w14:paraId="303B0D26" w14:textId="77777777" w:rsidR="00AC6F3C" w:rsidRDefault="00AC6F3C">
      <w:pPr>
        <w:pStyle w:val="BodyText"/>
        <w:spacing w:before="8"/>
      </w:pPr>
    </w:p>
    <w:p w14:paraId="647431FC" w14:textId="77777777" w:rsidR="00AC6F3C" w:rsidRDefault="00570E88">
      <w:pPr>
        <w:ind w:left="979" w:right="539"/>
        <w:rPr>
          <w:sz w:val="18"/>
        </w:rPr>
      </w:pPr>
      <w:r>
        <w:rPr>
          <w:sz w:val="18"/>
        </w:rPr>
        <w:t>All assets and liabilities of the Fund for which fair value is measured or disclosed in the financial statements are</w:t>
      </w:r>
      <w:r>
        <w:rPr>
          <w:spacing w:val="-1"/>
          <w:sz w:val="18"/>
        </w:rPr>
        <w:t xml:space="preserve"> </w:t>
      </w:r>
      <w:proofErr w:type="spellStart"/>
      <w:r>
        <w:rPr>
          <w:sz w:val="18"/>
        </w:rPr>
        <w:t>categorised</w:t>
      </w:r>
      <w:proofErr w:type="spellEnd"/>
      <w:r>
        <w:rPr>
          <w:spacing w:val="-1"/>
          <w:sz w:val="18"/>
        </w:rPr>
        <w:t xml:space="preserve"> </w:t>
      </w:r>
      <w:r>
        <w:rPr>
          <w:sz w:val="18"/>
        </w:rPr>
        <w:t>within</w:t>
      </w:r>
      <w:r>
        <w:rPr>
          <w:spacing w:val="-4"/>
          <w:sz w:val="18"/>
        </w:rPr>
        <w:t xml:space="preserve"> </w:t>
      </w:r>
      <w:r>
        <w:rPr>
          <w:sz w:val="18"/>
        </w:rPr>
        <w:t>the</w:t>
      </w:r>
      <w:r>
        <w:rPr>
          <w:spacing w:val="-4"/>
          <w:sz w:val="18"/>
        </w:rPr>
        <w:t xml:space="preserve"> </w:t>
      </w:r>
      <w:r>
        <w:rPr>
          <w:sz w:val="18"/>
        </w:rPr>
        <w:t>following</w:t>
      </w:r>
      <w:r>
        <w:rPr>
          <w:spacing w:val="-1"/>
          <w:sz w:val="18"/>
        </w:rPr>
        <w:t xml:space="preserve"> </w:t>
      </w:r>
      <w:r>
        <w:rPr>
          <w:sz w:val="18"/>
        </w:rPr>
        <w:t>fair</w:t>
      </w:r>
      <w:r>
        <w:rPr>
          <w:spacing w:val="-2"/>
          <w:sz w:val="18"/>
        </w:rPr>
        <w:t xml:space="preserve"> </w:t>
      </w:r>
      <w:r>
        <w:rPr>
          <w:sz w:val="18"/>
        </w:rPr>
        <w:t>value</w:t>
      </w:r>
      <w:r>
        <w:rPr>
          <w:spacing w:val="-1"/>
          <w:sz w:val="18"/>
        </w:rPr>
        <w:t xml:space="preserve"> </w:t>
      </w:r>
      <w:r>
        <w:rPr>
          <w:sz w:val="18"/>
        </w:rPr>
        <w:t>hierarchy,</w:t>
      </w:r>
      <w:r>
        <w:rPr>
          <w:spacing w:val="-4"/>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data</w:t>
      </w:r>
      <w:r>
        <w:rPr>
          <w:spacing w:val="-4"/>
          <w:sz w:val="18"/>
        </w:rPr>
        <w:t xml:space="preserve"> </w:t>
      </w:r>
      <w:r>
        <w:rPr>
          <w:sz w:val="18"/>
        </w:rPr>
        <w:t>and</w:t>
      </w:r>
      <w:r>
        <w:rPr>
          <w:spacing w:val="-4"/>
          <w:sz w:val="18"/>
        </w:rPr>
        <w:t xml:space="preserve"> </w:t>
      </w:r>
      <w:r>
        <w:rPr>
          <w:sz w:val="18"/>
        </w:rPr>
        <w:t>assumptions</w:t>
      </w:r>
      <w:r>
        <w:rPr>
          <w:spacing w:val="-1"/>
          <w:sz w:val="18"/>
        </w:rPr>
        <w:t xml:space="preserve"> </w:t>
      </w:r>
      <w:r>
        <w:rPr>
          <w:sz w:val="18"/>
        </w:rPr>
        <w:t>used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most recent specific appraisals:</w:t>
      </w:r>
    </w:p>
    <w:p w14:paraId="58AE7FD0" w14:textId="77777777" w:rsidR="00AC6F3C" w:rsidRDefault="00AC6F3C">
      <w:pPr>
        <w:pStyle w:val="BodyText"/>
        <w:spacing w:before="11"/>
      </w:pPr>
    </w:p>
    <w:p w14:paraId="396A44A6" w14:textId="77777777" w:rsidR="00AC6F3C" w:rsidRDefault="00570E88">
      <w:pPr>
        <w:pStyle w:val="ListParagraph"/>
        <w:numPr>
          <w:ilvl w:val="0"/>
          <w:numId w:val="5"/>
        </w:numPr>
        <w:tabs>
          <w:tab w:val="left" w:pos="1263"/>
        </w:tabs>
        <w:spacing w:before="0"/>
        <w:ind w:right="563"/>
        <w:rPr>
          <w:sz w:val="18"/>
        </w:rPr>
      </w:pPr>
      <w:r>
        <w:rPr>
          <w:sz w:val="18"/>
        </w:rPr>
        <w:t>level</w:t>
      </w:r>
      <w:r>
        <w:rPr>
          <w:spacing w:val="-1"/>
          <w:sz w:val="18"/>
        </w:rPr>
        <w:t xml:space="preserve"> </w:t>
      </w:r>
      <w:r>
        <w:rPr>
          <w:sz w:val="18"/>
        </w:rPr>
        <w:t>1</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market</w:t>
      </w:r>
      <w:r>
        <w:rPr>
          <w:spacing w:val="-2"/>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reflect</w:t>
      </w:r>
      <w:r>
        <w:rPr>
          <w:spacing w:val="-2"/>
          <w:sz w:val="18"/>
        </w:rPr>
        <w:t xml:space="preserve"> </w:t>
      </w:r>
      <w:r>
        <w:rPr>
          <w:sz w:val="18"/>
        </w:rPr>
        <w:t>unadjusted</w:t>
      </w:r>
      <w:r>
        <w:rPr>
          <w:spacing w:val="-4"/>
          <w:sz w:val="18"/>
        </w:rPr>
        <w:t xml:space="preserve"> </w:t>
      </w:r>
      <w:r>
        <w:rPr>
          <w:sz w:val="18"/>
        </w:rPr>
        <w:t>quoted</w:t>
      </w:r>
      <w:r>
        <w:rPr>
          <w:spacing w:val="-4"/>
          <w:sz w:val="18"/>
        </w:rPr>
        <w:t xml:space="preserve"> </w:t>
      </w:r>
      <w:r>
        <w:rPr>
          <w:sz w:val="18"/>
        </w:rPr>
        <w:t>market</w:t>
      </w:r>
      <w:r>
        <w:rPr>
          <w:spacing w:val="-4"/>
          <w:sz w:val="18"/>
        </w:rPr>
        <w:t xml:space="preserve"> </w:t>
      </w:r>
      <w:r>
        <w:rPr>
          <w:sz w:val="18"/>
        </w:rPr>
        <w:t>prices</w:t>
      </w:r>
      <w:r>
        <w:rPr>
          <w:spacing w:val="-1"/>
          <w:sz w:val="18"/>
        </w:rPr>
        <w:t xml:space="preserve"> </w:t>
      </w:r>
      <w:r>
        <w:rPr>
          <w:sz w:val="18"/>
        </w:rPr>
        <w:t>in</w:t>
      </w:r>
      <w:r>
        <w:rPr>
          <w:spacing w:val="-1"/>
          <w:sz w:val="18"/>
        </w:rPr>
        <w:t xml:space="preserve"> </w:t>
      </w:r>
      <w:r>
        <w:rPr>
          <w:sz w:val="18"/>
        </w:rPr>
        <w:t>active markets for identical assets and liabilities;</w:t>
      </w:r>
    </w:p>
    <w:p w14:paraId="3CD87856" w14:textId="77777777" w:rsidR="00AC6F3C" w:rsidRDefault="00AC6F3C">
      <w:pPr>
        <w:pStyle w:val="BodyText"/>
        <w:spacing w:before="7"/>
      </w:pPr>
    </w:p>
    <w:p w14:paraId="578D4186" w14:textId="77777777" w:rsidR="00AC6F3C" w:rsidRDefault="00570E88">
      <w:pPr>
        <w:pStyle w:val="ListParagraph"/>
        <w:numPr>
          <w:ilvl w:val="0"/>
          <w:numId w:val="5"/>
        </w:numPr>
        <w:tabs>
          <w:tab w:val="left" w:pos="1263"/>
        </w:tabs>
        <w:spacing w:before="0"/>
        <w:ind w:right="620"/>
        <w:rPr>
          <w:sz w:val="18"/>
        </w:rPr>
      </w:pPr>
      <w:r>
        <w:rPr>
          <w:sz w:val="18"/>
        </w:rPr>
        <w:t>level</w:t>
      </w:r>
      <w:r>
        <w:rPr>
          <w:spacing w:val="-1"/>
          <w:sz w:val="18"/>
        </w:rPr>
        <w:t xml:space="preserve"> </w:t>
      </w:r>
      <w:r>
        <w:rPr>
          <w:sz w:val="18"/>
        </w:rPr>
        <w:t>2</w:t>
      </w:r>
      <w:r>
        <w:rPr>
          <w:spacing w:val="-4"/>
          <w:sz w:val="18"/>
        </w:rPr>
        <w:t xml:space="preserve"> </w:t>
      </w:r>
      <w:r>
        <w:rPr>
          <w:sz w:val="18"/>
        </w:rPr>
        <w:t>–</w:t>
      </w:r>
      <w:r>
        <w:rPr>
          <w:spacing w:val="-1"/>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4"/>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1"/>
          <w:sz w:val="18"/>
        </w:rPr>
        <w:t xml:space="preserve"> </w:t>
      </w:r>
      <w:r>
        <w:rPr>
          <w:sz w:val="18"/>
        </w:rPr>
        <w:t>substantially</w:t>
      </w:r>
      <w:r>
        <w:rPr>
          <w:spacing w:val="-3"/>
          <w:sz w:val="18"/>
        </w:rPr>
        <w:t xml:space="preserve"> </w:t>
      </w:r>
      <w:r>
        <w:rPr>
          <w:sz w:val="18"/>
        </w:rPr>
        <w:t>derived</w:t>
      </w:r>
      <w:r>
        <w:rPr>
          <w:spacing w:val="-4"/>
          <w:sz w:val="18"/>
        </w:rPr>
        <w:t xml:space="preserve"> </w:t>
      </w:r>
      <w:r>
        <w:rPr>
          <w:sz w:val="18"/>
        </w:rPr>
        <w:t>from</w:t>
      </w:r>
      <w:r>
        <w:rPr>
          <w:spacing w:val="-1"/>
          <w:sz w:val="18"/>
        </w:rPr>
        <w:t xml:space="preserve"> </w:t>
      </w:r>
      <w:r>
        <w:rPr>
          <w:sz w:val="18"/>
        </w:rPr>
        <w:t>inputs</w:t>
      </w:r>
      <w:r>
        <w:rPr>
          <w:spacing w:val="-1"/>
          <w:sz w:val="18"/>
        </w:rPr>
        <w:t xml:space="preserve"> </w:t>
      </w:r>
      <w:r>
        <w:rPr>
          <w:sz w:val="18"/>
        </w:rPr>
        <w:t>(other</w:t>
      </w:r>
      <w:r>
        <w:rPr>
          <w:spacing w:val="-2"/>
          <w:sz w:val="18"/>
        </w:rPr>
        <w:t xml:space="preserve"> </w:t>
      </w:r>
      <w:r>
        <w:rPr>
          <w:sz w:val="18"/>
        </w:rPr>
        <w:t>than</w:t>
      </w:r>
      <w:r>
        <w:rPr>
          <w:spacing w:val="-4"/>
          <w:sz w:val="18"/>
        </w:rPr>
        <w:t xml:space="preserve"> </w:t>
      </w:r>
      <w:r>
        <w:rPr>
          <w:sz w:val="18"/>
        </w:rPr>
        <w:t>quoted prices included within level 1) that are observable, either directly or indirectly; and</w:t>
      </w:r>
    </w:p>
    <w:p w14:paraId="61179A0E" w14:textId="77777777" w:rsidR="00AC6F3C" w:rsidRDefault="00AC6F3C">
      <w:pPr>
        <w:pStyle w:val="BodyText"/>
        <w:spacing w:before="10"/>
      </w:pPr>
    </w:p>
    <w:p w14:paraId="617DE5E6" w14:textId="77777777" w:rsidR="00AC6F3C" w:rsidRDefault="00570E88">
      <w:pPr>
        <w:pStyle w:val="ListParagraph"/>
        <w:numPr>
          <w:ilvl w:val="0"/>
          <w:numId w:val="5"/>
        </w:numPr>
        <w:tabs>
          <w:tab w:val="left" w:pos="1262"/>
        </w:tabs>
        <w:spacing w:before="0"/>
        <w:ind w:left="1262" w:hanging="283"/>
        <w:rPr>
          <w:sz w:val="18"/>
        </w:rPr>
      </w:pPr>
      <w:r>
        <w:rPr>
          <w:sz w:val="18"/>
        </w:rPr>
        <w:t>level</w:t>
      </w:r>
      <w:r>
        <w:rPr>
          <w:spacing w:val="-4"/>
          <w:sz w:val="18"/>
        </w:rPr>
        <w:t xml:space="preserve"> </w:t>
      </w:r>
      <w:r>
        <w:rPr>
          <w:sz w:val="18"/>
        </w:rPr>
        <w:t>3</w:t>
      </w:r>
      <w:r>
        <w:rPr>
          <w:spacing w:val="-4"/>
          <w:sz w:val="18"/>
        </w:rPr>
        <w:t xml:space="preserve"> </w:t>
      </w:r>
      <w:r>
        <w:rPr>
          <w:sz w:val="18"/>
        </w:rPr>
        <w:t>–</w:t>
      </w:r>
      <w:r>
        <w:rPr>
          <w:spacing w:val="-2"/>
          <w:sz w:val="18"/>
        </w:rPr>
        <w:t xml:space="preserve"> </w:t>
      </w:r>
      <w:r>
        <w:rPr>
          <w:sz w:val="18"/>
        </w:rPr>
        <w:t>represents</w:t>
      </w:r>
      <w:r>
        <w:rPr>
          <w:spacing w:val="-3"/>
          <w:sz w:val="18"/>
        </w:rPr>
        <w:t xml:space="preserve"> </w:t>
      </w:r>
      <w:r>
        <w:rPr>
          <w:sz w:val="18"/>
        </w:rPr>
        <w:t>fair</w:t>
      </w:r>
      <w:r>
        <w:rPr>
          <w:spacing w:val="-4"/>
          <w:sz w:val="18"/>
        </w:rPr>
        <w:t xml:space="preserve"> </w:t>
      </w:r>
      <w:r>
        <w:rPr>
          <w:sz w:val="18"/>
        </w:rPr>
        <w:t>value</w:t>
      </w:r>
      <w:r>
        <w:rPr>
          <w:spacing w:val="-5"/>
          <w:sz w:val="18"/>
        </w:rPr>
        <w:t xml:space="preserve"> </w:t>
      </w:r>
      <w:r>
        <w:rPr>
          <w:sz w:val="18"/>
        </w:rPr>
        <w:t>measurements</w:t>
      </w:r>
      <w:r>
        <w:rPr>
          <w:spacing w:val="-1"/>
          <w:sz w:val="18"/>
        </w:rPr>
        <w:t xml:space="preserve"> </w:t>
      </w:r>
      <w:r>
        <w:rPr>
          <w:sz w:val="18"/>
        </w:rPr>
        <w:t>that</w:t>
      </w:r>
      <w:r>
        <w:rPr>
          <w:spacing w:val="-2"/>
          <w:sz w:val="18"/>
        </w:rPr>
        <w:t xml:space="preserve"> </w:t>
      </w:r>
      <w:r>
        <w:rPr>
          <w:sz w:val="18"/>
        </w:rPr>
        <w:t>are</w:t>
      </w:r>
      <w:r>
        <w:rPr>
          <w:spacing w:val="-2"/>
          <w:sz w:val="18"/>
        </w:rPr>
        <w:t xml:space="preserve"> </w:t>
      </w:r>
      <w:r>
        <w:rPr>
          <w:sz w:val="18"/>
        </w:rPr>
        <w:t>substantially</w:t>
      </w:r>
      <w:r>
        <w:rPr>
          <w:spacing w:val="-3"/>
          <w:sz w:val="18"/>
        </w:rPr>
        <w:t xml:space="preserve"> </w:t>
      </w:r>
      <w:r>
        <w:rPr>
          <w:sz w:val="18"/>
        </w:rPr>
        <w:t>derived</w:t>
      </w:r>
      <w:r>
        <w:rPr>
          <w:spacing w:val="-5"/>
          <w:sz w:val="18"/>
        </w:rPr>
        <w:t xml:space="preserve"> </w:t>
      </w:r>
      <w:r>
        <w:rPr>
          <w:sz w:val="18"/>
        </w:rPr>
        <w:t>from</w:t>
      </w:r>
      <w:r>
        <w:rPr>
          <w:spacing w:val="-1"/>
          <w:sz w:val="18"/>
        </w:rPr>
        <w:t xml:space="preserve"> </w:t>
      </w:r>
      <w:r>
        <w:rPr>
          <w:sz w:val="18"/>
        </w:rPr>
        <w:t>unobservable</w:t>
      </w:r>
      <w:r>
        <w:rPr>
          <w:spacing w:val="-1"/>
          <w:sz w:val="18"/>
        </w:rPr>
        <w:t xml:space="preserve"> </w:t>
      </w:r>
      <w:r>
        <w:rPr>
          <w:spacing w:val="-2"/>
          <w:sz w:val="18"/>
        </w:rPr>
        <w:t>inputs.</w:t>
      </w:r>
    </w:p>
    <w:p w14:paraId="35E98817" w14:textId="77777777" w:rsidR="00AC6F3C" w:rsidRDefault="00AC6F3C">
      <w:pPr>
        <w:pStyle w:val="BodyText"/>
        <w:spacing w:before="8"/>
      </w:pPr>
    </w:p>
    <w:p w14:paraId="5B16A488" w14:textId="77777777" w:rsidR="00AC6F3C" w:rsidRDefault="00570E88">
      <w:pPr>
        <w:ind w:left="979" w:right="468"/>
        <w:rPr>
          <w:sz w:val="18"/>
        </w:rPr>
      </w:pPr>
      <w:r>
        <w:rPr>
          <w:sz w:val="18"/>
        </w:rPr>
        <w:t>The</w:t>
      </w:r>
      <w:r>
        <w:rPr>
          <w:spacing w:val="-1"/>
          <w:sz w:val="18"/>
        </w:rPr>
        <w:t xml:space="preserve"> </w:t>
      </w:r>
      <w:r>
        <w:rPr>
          <w:sz w:val="18"/>
        </w:rPr>
        <w:t>fair</w:t>
      </w:r>
      <w:r>
        <w:rPr>
          <w:spacing w:val="-2"/>
          <w:sz w:val="18"/>
        </w:rPr>
        <w:t xml:space="preserve"> </w:t>
      </w:r>
      <w:r>
        <w:rPr>
          <w:sz w:val="18"/>
        </w:rPr>
        <w:t>value</w:t>
      </w:r>
      <w:r>
        <w:rPr>
          <w:spacing w:val="-1"/>
          <w:sz w:val="18"/>
        </w:rPr>
        <w:t xml:space="preserve"> </w:t>
      </w:r>
      <w:r>
        <w:rPr>
          <w:sz w:val="18"/>
        </w:rPr>
        <w:t>of</w:t>
      </w:r>
      <w:r>
        <w:rPr>
          <w:spacing w:val="-4"/>
          <w:sz w:val="18"/>
        </w:rPr>
        <w:t xml:space="preserve"> </w:t>
      </w:r>
      <w:r>
        <w:rPr>
          <w:sz w:val="18"/>
        </w:rPr>
        <w:t>investments</w:t>
      </w:r>
      <w:r>
        <w:rPr>
          <w:spacing w:val="-3"/>
          <w:sz w:val="18"/>
        </w:rPr>
        <w:t xml:space="preserve"> </w:t>
      </w:r>
      <w:r>
        <w:rPr>
          <w:sz w:val="18"/>
        </w:rPr>
        <w:t>is</w:t>
      </w:r>
      <w:r>
        <w:rPr>
          <w:spacing w:val="-1"/>
          <w:sz w:val="18"/>
        </w:rPr>
        <w:t xml:space="preserve"> </w:t>
      </w:r>
      <w:r>
        <w:rPr>
          <w:sz w:val="18"/>
        </w:rPr>
        <w:t>determined</w:t>
      </w:r>
      <w:r>
        <w:rPr>
          <w:spacing w:val="-4"/>
          <w:sz w:val="18"/>
        </w:rPr>
        <w:t xml:space="preserve"> </w:t>
      </w:r>
      <w:r>
        <w:rPr>
          <w:sz w:val="18"/>
        </w:rPr>
        <w:t>using</w:t>
      </w:r>
      <w:r>
        <w:rPr>
          <w:spacing w:val="-4"/>
          <w:sz w:val="18"/>
        </w:rPr>
        <w:t xml:space="preserve"> </w:t>
      </w:r>
      <w:r>
        <w:rPr>
          <w:sz w:val="18"/>
        </w:rPr>
        <w:t>the</w:t>
      </w:r>
      <w:r>
        <w:rPr>
          <w:spacing w:val="-4"/>
          <w:sz w:val="18"/>
        </w:rPr>
        <w:t xml:space="preserve"> </w:t>
      </w:r>
      <w:r>
        <w:rPr>
          <w:sz w:val="18"/>
        </w:rPr>
        <w:t>market</w:t>
      </w:r>
      <w:r>
        <w:rPr>
          <w:spacing w:val="-4"/>
          <w:sz w:val="18"/>
        </w:rPr>
        <w:t xml:space="preserve"> </w:t>
      </w:r>
      <w:r>
        <w:rPr>
          <w:sz w:val="18"/>
        </w:rPr>
        <w:t>approach</w:t>
      </w:r>
      <w:r>
        <w:rPr>
          <w:spacing w:val="-4"/>
          <w:sz w:val="18"/>
        </w:rPr>
        <w:t xml:space="preserve"> </w:t>
      </w:r>
      <w:r>
        <w:rPr>
          <w:sz w:val="18"/>
        </w:rPr>
        <w:t>and</w:t>
      </w:r>
      <w:r>
        <w:rPr>
          <w:spacing w:val="-4"/>
          <w:sz w:val="18"/>
        </w:rPr>
        <w:t xml:space="preserve"> </w:t>
      </w:r>
      <w:proofErr w:type="spellStart"/>
      <w:r>
        <w:rPr>
          <w:sz w:val="18"/>
        </w:rPr>
        <w:t>categorised</w:t>
      </w:r>
      <w:proofErr w:type="spellEnd"/>
      <w:r>
        <w:rPr>
          <w:spacing w:val="-1"/>
          <w:sz w:val="18"/>
        </w:rPr>
        <w:t xml:space="preserve"> </w:t>
      </w:r>
      <w:r>
        <w:rPr>
          <w:sz w:val="18"/>
        </w:rPr>
        <w:t>into</w:t>
      </w:r>
      <w:r>
        <w:rPr>
          <w:spacing w:val="-1"/>
          <w:sz w:val="18"/>
        </w:rPr>
        <w:t xml:space="preserve"> </w:t>
      </w:r>
      <w:r>
        <w:rPr>
          <w:sz w:val="18"/>
        </w:rPr>
        <w:t>level</w:t>
      </w:r>
      <w:r>
        <w:rPr>
          <w:spacing w:val="-4"/>
          <w:sz w:val="18"/>
        </w:rPr>
        <w:t xml:space="preserve"> </w:t>
      </w:r>
      <w:r>
        <w:rPr>
          <w:sz w:val="18"/>
        </w:rPr>
        <w:t>2</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fair value hierarchy.</w:t>
      </w:r>
      <w:r>
        <w:rPr>
          <w:spacing w:val="40"/>
          <w:sz w:val="18"/>
        </w:rPr>
        <w:t xml:space="preserve"> </w:t>
      </w:r>
      <w:r>
        <w:rPr>
          <w:sz w:val="18"/>
        </w:rPr>
        <w:t>There were no transfers of assets between fair value hierarchy levels during the period.</w:t>
      </w:r>
    </w:p>
    <w:p w14:paraId="0EB2EEDE" w14:textId="77777777" w:rsidR="00AC6F3C" w:rsidRDefault="00AC6F3C">
      <w:pPr>
        <w:pStyle w:val="BodyText"/>
        <w:spacing w:before="11"/>
      </w:pPr>
    </w:p>
    <w:p w14:paraId="01827EFD" w14:textId="77777777" w:rsidR="00AC6F3C" w:rsidRDefault="00570E88">
      <w:pPr>
        <w:ind w:left="979"/>
        <w:rPr>
          <w:sz w:val="18"/>
        </w:rPr>
      </w:pPr>
      <w:r>
        <w:rPr>
          <w:sz w:val="18"/>
        </w:rPr>
        <w:t>All</w:t>
      </w:r>
      <w:r>
        <w:rPr>
          <w:spacing w:val="-2"/>
          <w:sz w:val="18"/>
        </w:rPr>
        <w:t xml:space="preserve"> </w:t>
      </w:r>
      <w:r>
        <w:rPr>
          <w:sz w:val="18"/>
        </w:rPr>
        <w:t>financial</w:t>
      </w:r>
      <w:r>
        <w:rPr>
          <w:spacing w:val="-2"/>
          <w:sz w:val="18"/>
        </w:rPr>
        <w:t xml:space="preserve"> </w:t>
      </w:r>
      <w:r>
        <w:rPr>
          <w:sz w:val="18"/>
        </w:rPr>
        <w:t>assets</w:t>
      </w:r>
      <w:r>
        <w:rPr>
          <w:spacing w:val="-1"/>
          <w:sz w:val="18"/>
        </w:rPr>
        <w:t xml:space="preserve"> </w:t>
      </w:r>
      <w:r>
        <w:rPr>
          <w:sz w:val="18"/>
        </w:rPr>
        <w:t>at</w:t>
      </w:r>
      <w:r>
        <w:rPr>
          <w:spacing w:val="-3"/>
          <w:sz w:val="18"/>
        </w:rPr>
        <w:t xml:space="preserve"> </w:t>
      </w:r>
      <w:r>
        <w:rPr>
          <w:sz w:val="18"/>
        </w:rPr>
        <w:t>fair</w:t>
      </w:r>
      <w:r>
        <w:rPr>
          <w:spacing w:val="-2"/>
          <w:sz w:val="18"/>
        </w:rPr>
        <w:t xml:space="preserve"> </w:t>
      </w:r>
      <w:r>
        <w:rPr>
          <w:sz w:val="18"/>
        </w:rPr>
        <w:t>value</w:t>
      </w:r>
      <w:r>
        <w:rPr>
          <w:spacing w:val="-2"/>
          <w:sz w:val="18"/>
        </w:rPr>
        <w:t xml:space="preserve"> </w:t>
      </w:r>
      <w:r>
        <w:rPr>
          <w:sz w:val="18"/>
        </w:rPr>
        <w:t>are</w:t>
      </w:r>
      <w:r>
        <w:rPr>
          <w:spacing w:val="-4"/>
          <w:sz w:val="18"/>
        </w:rPr>
        <w:t xml:space="preserve"> </w:t>
      </w:r>
      <w:r>
        <w:rPr>
          <w:sz w:val="18"/>
        </w:rPr>
        <w:t>classified</w:t>
      </w:r>
      <w:r>
        <w:rPr>
          <w:spacing w:val="-1"/>
          <w:sz w:val="18"/>
        </w:rPr>
        <w:t xml:space="preserve"> </w:t>
      </w:r>
      <w:r>
        <w:rPr>
          <w:sz w:val="18"/>
        </w:rPr>
        <w:t>as</w:t>
      </w:r>
      <w:r>
        <w:rPr>
          <w:spacing w:val="-2"/>
          <w:sz w:val="18"/>
        </w:rPr>
        <w:t xml:space="preserve"> </w:t>
      </w:r>
      <w:r>
        <w:rPr>
          <w:sz w:val="18"/>
        </w:rPr>
        <w:t>Level</w:t>
      </w:r>
      <w:r>
        <w:rPr>
          <w:spacing w:val="-1"/>
          <w:sz w:val="18"/>
        </w:rPr>
        <w:t xml:space="preserve"> </w:t>
      </w:r>
      <w:r>
        <w:rPr>
          <w:spacing w:val="-5"/>
          <w:sz w:val="18"/>
        </w:rPr>
        <w:t>2.</w:t>
      </w:r>
    </w:p>
    <w:p w14:paraId="064E5634" w14:textId="77777777" w:rsidR="00AC6F3C" w:rsidRDefault="00AC6F3C">
      <w:pPr>
        <w:pStyle w:val="BodyText"/>
        <w:spacing w:before="9" w:after="1"/>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7F356F00" w14:textId="77777777">
        <w:trPr>
          <w:trHeight w:val="547"/>
        </w:trPr>
        <w:tc>
          <w:tcPr>
            <w:tcW w:w="8715" w:type="dxa"/>
            <w:gridSpan w:val="3"/>
            <w:shd w:val="clear" w:color="auto" w:fill="BEBEBE"/>
          </w:tcPr>
          <w:p w14:paraId="064DB567" w14:textId="77777777" w:rsidR="00AC6F3C" w:rsidRDefault="00570E88">
            <w:pPr>
              <w:pStyle w:val="TableParagraph"/>
              <w:tabs>
                <w:tab w:val="left" w:pos="1647"/>
              </w:tabs>
              <w:spacing w:before="33"/>
              <w:ind w:right="21"/>
              <w:jc w:val="right"/>
              <w:rPr>
                <w:b/>
                <w:sz w:val="17"/>
              </w:rPr>
            </w:pPr>
            <w:r>
              <w:rPr>
                <w:b/>
                <w:spacing w:val="-4"/>
                <w:w w:val="105"/>
                <w:sz w:val="17"/>
              </w:rPr>
              <w:t>2023</w:t>
            </w:r>
            <w:r>
              <w:rPr>
                <w:b/>
                <w:sz w:val="17"/>
              </w:rPr>
              <w:tab/>
            </w:r>
            <w:r>
              <w:rPr>
                <w:b/>
                <w:spacing w:val="-4"/>
                <w:w w:val="105"/>
                <w:sz w:val="17"/>
              </w:rPr>
              <w:t>2022</w:t>
            </w:r>
          </w:p>
          <w:p w14:paraId="6E34EB58" w14:textId="77777777" w:rsidR="00AC6F3C" w:rsidRDefault="00570E88">
            <w:pPr>
              <w:pStyle w:val="TableParagraph"/>
              <w:tabs>
                <w:tab w:val="left" w:pos="1647"/>
              </w:tabs>
              <w:spacing w:before="86"/>
              <w:ind w:right="21"/>
              <w:jc w:val="right"/>
              <w:rPr>
                <w:b/>
                <w:sz w:val="17"/>
              </w:rPr>
            </w:pPr>
            <w:r>
              <w:rPr>
                <w:b/>
                <w:spacing w:val="-2"/>
                <w:w w:val="105"/>
                <w:sz w:val="17"/>
              </w:rPr>
              <w:t>$'000</w:t>
            </w:r>
            <w:r>
              <w:rPr>
                <w:b/>
                <w:sz w:val="17"/>
              </w:rPr>
              <w:tab/>
            </w:r>
            <w:r>
              <w:rPr>
                <w:b/>
                <w:spacing w:val="-2"/>
                <w:w w:val="105"/>
                <w:sz w:val="17"/>
              </w:rPr>
              <w:t>$'000</w:t>
            </w:r>
          </w:p>
        </w:tc>
      </w:tr>
      <w:tr w:rsidR="00AC6F3C" w14:paraId="6F55381F" w14:textId="77777777">
        <w:trPr>
          <w:trHeight w:val="266"/>
        </w:trPr>
        <w:tc>
          <w:tcPr>
            <w:tcW w:w="5413" w:type="dxa"/>
            <w:tcBorders>
              <w:right w:val="nil"/>
            </w:tcBorders>
          </w:tcPr>
          <w:p w14:paraId="3FF04E42" w14:textId="77777777" w:rsidR="00AC6F3C" w:rsidRDefault="00570E88">
            <w:pPr>
              <w:pStyle w:val="TableParagraph"/>
              <w:spacing w:before="47"/>
              <w:ind w:left="37"/>
              <w:rPr>
                <w:sz w:val="17"/>
              </w:rPr>
            </w:pPr>
            <w:r>
              <w:rPr>
                <w:w w:val="105"/>
                <w:sz w:val="17"/>
              </w:rPr>
              <w:t>Investment</w:t>
            </w:r>
            <w:r>
              <w:rPr>
                <w:spacing w:val="6"/>
                <w:w w:val="105"/>
                <w:sz w:val="17"/>
              </w:rPr>
              <w:t xml:space="preserve"> </w:t>
            </w:r>
            <w:r>
              <w:rPr>
                <w:w w:val="105"/>
                <w:sz w:val="17"/>
              </w:rPr>
              <w:t>in</w:t>
            </w:r>
            <w:r>
              <w:rPr>
                <w:spacing w:val="21"/>
                <w:w w:val="105"/>
                <w:sz w:val="17"/>
              </w:rPr>
              <w:t xml:space="preserve"> </w:t>
            </w:r>
            <w:r>
              <w:rPr>
                <w:w w:val="105"/>
                <w:sz w:val="17"/>
              </w:rPr>
              <w:t>managed</w:t>
            </w:r>
            <w:r>
              <w:rPr>
                <w:spacing w:val="21"/>
                <w:w w:val="105"/>
                <w:sz w:val="17"/>
              </w:rPr>
              <w:t xml:space="preserve"> </w:t>
            </w:r>
            <w:r>
              <w:rPr>
                <w:spacing w:val="-2"/>
                <w:w w:val="105"/>
                <w:sz w:val="17"/>
              </w:rPr>
              <w:t>funds</w:t>
            </w:r>
          </w:p>
        </w:tc>
        <w:tc>
          <w:tcPr>
            <w:tcW w:w="1662" w:type="dxa"/>
            <w:tcBorders>
              <w:left w:val="nil"/>
              <w:right w:val="nil"/>
            </w:tcBorders>
            <w:shd w:val="clear" w:color="auto" w:fill="F1F1F1"/>
          </w:tcPr>
          <w:p w14:paraId="00F70C2D" w14:textId="77777777" w:rsidR="00AC6F3C" w:rsidRDefault="00570E88">
            <w:pPr>
              <w:pStyle w:val="TableParagraph"/>
              <w:spacing w:before="47"/>
              <w:ind w:left="1055"/>
              <w:rPr>
                <w:sz w:val="17"/>
              </w:rPr>
            </w:pPr>
            <w:r>
              <w:rPr>
                <w:spacing w:val="-2"/>
                <w:w w:val="105"/>
                <w:sz w:val="17"/>
              </w:rPr>
              <w:t>19,854</w:t>
            </w:r>
          </w:p>
        </w:tc>
        <w:tc>
          <w:tcPr>
            <w:tcW w:w="1640" w:type="dxa"/>
            <w:tcBorders>
              <w:left w:val="nil"/>
            </w:tcBorders>
          </w:tcPr>
          <w:p w14:paraId="209AD7CB" w14:textId="77777777" w:rsidR="00AC6F3C" w:rsidRDefault="00570E88">
            <w:pPr>
              <w:pStyle w:val="TableParagraph"/>
              <w:spacing w:before="47"/>
              <w:ind w:left="1040"/>
              <w:rPr>
                <w:sz w:val="17"/>
              </w:rPr>
            </w:pPr>
            <w:r>
              <w:rPr>
                <w:spacing w:val="-2"/>
                <w:w w:val="105"/>
                <w:sz w:val="17"/>
              </w:rPr>
              <w:t>21,831</w:t>
            </w:r>
          </w:p>
        </w:tc>
      </w:tr>
      <w:tr w:rsidR="00AC6F3C" w14:paraId="2B47FFE0" w14:textId="77777777">
        <w:trPr>
          <w:trHeight w:val="266"/>
        </w:trPr>
        <w:tc>
          <w:tcPr>
            <w:tcW w:w="8715" w:type="dxa"/>
            <w:gridSpan w:val="3"/>
            <w:shd w:val="clear" w:color="auto" w:fill="BEBEBE"/>
          </w:tcPr>
          <w:p w14:paraId="3356FD81" w14:textId="77777777" w:rsidR="00AC6F3C" w:rsidRDefault="00570E88">
            <w:pPr>
              <w:pStyle w:val="TableParagraph"/>
              <w:tabs>
                <w:tab w:val="left" w:pos="6460"/>
                <w:tab w:val="left" w:pos="8108"/>
              </w:tabs>
              <w:spacing w:before="62" w:line="184" w:lineRule="exact"/>
              <w:ind w:left="37"/>
              <w:rPr>
                <w:b/>
                <w:sz w:val="17"/>
              </w:rPr>
            </w:pPr>
            <w:r>
              <w:rPr>
                <w:b/>
                <w:spacing w:val="-2"/>
                <w:w w:val="105"/>
                <w:sz w:val="17"/>
              </w:rPr>
              <w:t>Total</w:t>
            </w:r>
            <w:r>
              <w:rPr>
                <w:b/>
                <w:spacing w:val="-5"/>
                <w:w w:val="105"/>
                <w:sz w:val="17"/>
              </w:rPr>
              <w:t xml:space="preserve"> </w:t>
            </w:r>
            <w:r>
              <w:rPr>
                <w:b/>
                <w:spacing w:val="-2"/>
                <w:w w:val="105"/>
                <w:sz w:val="17"/>
              </w:rPr>
              <w:t>investment</w:t>
            </w:r>
            <w:r>
              <w:rPr>
                <w:b/>
                <w:spacing w:val="2"/>
                <w:w w:val="105"/>
                <w:sz w:val="17"/>
              </w:rPr>
              <w:t xml:space="preserve"> </w:t>
            </w:r>
            <w:r>
              <w:rPr>
                <w:b/>
                <w:spacing w:val="-2"/>
                <w:w w:val="105"/>
                <w:sz w:val="17"/>
              </w:rPr>
              <w:t>in</w:t>
            </w:r>
            <w:r>
              <w:rPr>
                <w:b/>
                <w:spacing w:val="-4"/>
                <w:w w:val="105"/>
                <w:sz w:val="17"/>
              </w:rPr>
              <w:t xml:space="preserve"> </w:t>
            </w:r>
            <w:r>
              <w:rPr>
                <w:b/>
                <w:spacing w:val="-2"/>
                <w:w w:val="105"/>
                <w:sz w:val="17"/>
              </w:rPr>
              <w:t>managed</w:t>
            </w:r>
            <w:r>
              <w:rPr>
                <w:b/>
                <w:spacing w:val="-4"/>
                <w:w w:val="105"/>
                <w:sz w:val="17"/>
              </w:rPr>
              <w:t xml:space="preserve"> </w:t>
            </w:r>
            <w:r>
              <w:rPr>
                <w:b/>
                <w:spacing w:val="-2"/>
                <w:w w:val="105"/>
                <w:sz w:val="17"/>
              </w:rPr>
              <w:t>funds</w:t>
            </w:r>
            <w:r>
              <w:rPr>
                <w:b/>
                <w:sz w:val="17"/>
              </w:rPr>
              <w:tab/>
            </w:r>
            <w:r>
              <w:rPr>
                <w:b/>
                <w:spacing w:val="-2"/>
                <w:w w:val="105"/>
                <w:sz w:val="17"/>
              </w:rPr>
              <w:t>19,854</w:t>
            </w:r>
            <w:r>
              <w:rPr>
                <w:b/>
                <w:sz w:val="17"/>
              </w:rPr>
              <w:tab/>
            </w:r>
            <w:r>
              <w:rPr>
                <w:b/>
                <w:spacing w:val="-2"/>
                <w:w w:val="105"/>
                <w:sz w:val="17"/>
              </w:rPr>
              <w:t>21,831</w:t>
            </w:r>
          </w:p>
        </w:tc>
      </w:tr>
    </w:tbl>
    <w:p w14:paraId="04300F31" w14:textId="77777777" w:rsidR="00AC6F3C" w:rsidRDefault="00AC6F3C">
      <w:pPr>
        <w:pStyle w:val="BodyText"/>
        <w:spacing w:before="4"/>
        <w:rPr>
          <w:sz w:val="23"/>
        </w:rPr>
      </w:pPr>
    </w:p>
    <w:p w14:paraId="42C383F9" w14:textId="77777777" w:rsidR="00AC6F3C" w:rsidRDefault="00570E88">
      <w:pPr>
        <w:tabs>
          <w:tab w:val="left" w:pos="1831"/>
        </w:tabs>
        <w:ind w:left="979"/>
        <w:rPr>
          <w:b/>
          <w:sz w:val="28"/>
        </w:rPr>
      </w:pPr>
      <w:r>
        <w:rPr>
          <w:b/>
          <w:spacing w:val="-5"/>
          <w:sz w:val="28"/>
        </w:rPr>
        <w:t>C4</w:t>
      </w:r>
      <w:r>
        <w:rPr>
          <w:b/>
          <w:sz w:val="28"/>
        </w:rPr>
        <w:tab/>
      </w:r>
      <w:r>
        <w:rPr>
          <w:b/>
          <w:spacing w:val="-2"/>
          <w:sz w:val="28"/>
        </w:rPr>
        <w:t>PAYABLES</w:t>
      </w:r>
    </w:p>
    <w:p w14:paraId="61AAB1A2" w14:textId="77777777" w:rsidR="00AC6F3C" w:rsidRDefault="00570E88">
      <w:pPr>
        <w:spacing w:before="242"/>
        <w:ind w:left="979"/>
        <w:rPr>
          <w:sz w:val="18"/>
        </w:rPr>
      </w:pPr>
      <w:r>
        <w:rPr>
          <w:sz w:val="18"/>
        </w:rPr>
        <w:t>Trade</w:t>
      </w:r>
      <w:r>
        <w:rPr>
          <w:spacing w:val="-3"/>
          <w:sz w:val="18"/>
        </w:rPr>
        <w:t xml:space="preserve"> </w:t>
      </w:r>
      <w:r>
        <w:rPr>
          <w:sz w:val="18"/>
        </w:rPr>
        <w:t>creditors are</w:t>
      </w:r>
      <w:r>
        <w:rPr>
          <w:spacing w:val="-3"/>
          <w:sz w:val="18"/>
        </w:rPr>
        <w:t xml:space="preserve"> </w:t>
      </w:r>
      <w:proofErr w:type="spellStart"/>
      <w:r>
        <w:rPr>
          <w:sz w:val="18"/>
        </w:rPr>
        <w:t>recognised</w:t>
      </w:r>
      <w:proofErr w:type="spellEnd"/>
      <w:r>
        <w:rPr>
          <w:spacing w:val="-3"/>
          <w:sz w:val="18"/>
        </w:rPr>
        <w:t xml:space="preserve"> </w:t>
      </w:r>
      <w:r>
        <w:rPr>
          <w:sz w:val="18"/>
        </w:rPr>
        <w:t>on receipt</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goods</w:t>
      </w:r>
      <w:r>
        <w:rPr>
          <w:spacing w:val="-2"/>
          <w:sz w:val="18"/>
        </w:rPr>
        <w:t xml:space="preserve"> </w:t>
      </w:r>
      <w:r>
        <w:rPr>
          <w:sz w:val="18"/>
        </w:rPr>
        <w:t>or</w:t>
      </w:r>
      <w:r>
        <w:rPr>
          <w:spacing w:val="-1"/>
          <w:sz w:val="18"/>
        </w:rPr>
        <w:t xml:space="preserve"> </w:t>
      </w:r>
      <w:r>
        <w:rPr>
          <w:sz w:val="18"/>
        </w:rPr>
        <w:t>services</w:t>
      </w:r>
      <w:r>
        <w:rPr>
          <w:spacing w:val="-2"/>
          <w:sz w:val="18"/>
        </w:rPr>
        <w:t xml:space="preserve"> </w:t>
      </w:r>
      <w:r>
        <w:rPr>
          <w:sz w:val="18"/>
        </w:rPr>
        <w:t>and</w:t>
      </w:r>
      <w:r>
        <w:rPr>
          <w:spacing w:val="-3"/>
          <w:sz w:val="18"/>
        </w:rPr>
        <w:t xml:space="preserve"> </w:t>
      </w:r>
      <w:r>
        <w:rPr>
          <w:sz w:val="18"/>
        </w:rPr>
        <w:t>are</w:t>
      </w:r>
      <w:r>
        <w:rPr>
          <w:spacing w:val="-3"/>
          <w:sz w:val="18"/>
        </w:rPr>
        <w:t xml:space="preserve"> </w:t>
      </w:r>
      <w:r>
        <w:rPr>
          <w:sz w:val="18"/>
        </w:rPr>
        <w:t>carried at</w:t>
      </w:r>
      <w:r>
        <w:rPr>
          <w:spacing w:val="-3"/>
          <w:sz w:val="18"/>
        </w:rPr>
        <w:t xml:space="preserve"> </w:t>
      </w:r>
      <w:r>
        <w:rPr>
          <w:sz w:val="18"/>
        </w:rPr>
        <w:t>actual</w:t>
      </w:r>
      <w:r>
        <w:rPr>
          <w:spacing w:val="-5"/>
          <w:sz w:val="18"/>
        </w:rPr>
        <w:t xml:space="preserve"> </w:t>
      </w:r>
      <w:r>
        <w:rPr>
          <w:sz w:val="18"/>
        </w:rPr>
        <w:t>amounts,</w:t>
      </w:r>
      <w:r>
        <w:rPr>
          <w:spacing w:val="-3"/>
          <w:sz w:val="18"/>
        </w:rPr>
        <w:t xml:space="preserve"> </w:t>
      </w:r>
      <w:r>
        <w:rPr>
          <w:sz w:val="18"/>
        </w:rPr>
        <w:t>gross</w:t>
      </w:r>
      <w:r>
        <w:rPr>
          <w:spacing w:val="-2"/>
          <w:sz w:val="18"/>
        </w:rPr>
        <w:t xml:space="preserve"> </w:t>
      </w:r>
      <w:r>
        <w:rPr>
          <w:sz w:val="18"/>
        </w:rPr>
        <w:t>of applicable trade and other discounts.</w:t>
      </w:r>
      <w:r>
        <w:rPr>
          <w:spacing w:val="40"/>
          <w:sz w:val="18"/>
        </w:rPr>
        <w:t xml:space="preserve"> </w:t>
      </w:r>
      <w:r>
        <w:rPr>
          <w:sz w:val="18"/>
        </w:rPr>
        <w:t>Amounts are unsecured and are generally settled on 30 day terms.</w:t>
      </w:r>
    </w:p>
    <w:p w14:paraId="6C6D8D4F" w14:textId="77777777" w:rsidR="00AC6F3C" w:rsidRDefault="00AC6F3C">
      <w:pPr>
        <w:pStyle w:val="BodyText"/>
      </w:pPr>
    </w:p>
    <w:p w14:paraId="41D2FA66" w14:textId="77777777" w:rsidR="00AC6F3C" w:rsidRDefault="00AC6F3C">
      <w:pPr>
        <w:pStyle w:val="BodyText"/>
        <w:rPr>
          <w:sz w:val="18"/>
        </w:rPr>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409018EB" w14:textId="77777777">
        <w:trPr>
          <w:trHeight w:val="549"/>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55DCE7B5"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16B1DDA1" w14:textId="77777777" w:rsidR="00AC6F3C" w:rsidRDefault="00570E88">
            <w:pPr>
              <w:pStyle w:val="TableParagraph"/>
              <w:tabs>
                <w:tab w:val="left" w:pos="1647"/>
              </w:tabs>
              <w:spacing w:before="76"/>
              <w:ind w:right="21"/>
              <w:jc w:val="right"/>
              <w:rPr>
                <w:b/>
                <w:sz w:val="18"/>
              </w:rPr>
            </w:pPr>
            <w:r>
              <w:rPr>
                <w:b/>
                <w:spacing w:val="-2"/>
                <w:sz w:val="18"/>
              </w:rPr>
              <w:t>$'000</w:t>
            </w:r>
            <w:r>
              <w:rPr>
                <w:b/>
                <w:sz w:val="18"/>
              </w:rPr>
              <w:tab/>
            </w:r>
            <w:r>
              <w:rPr>
                <w:b/>
                <w:spacing w:val="-4"/>
                <w:sz w:val="18"/>
              </w:rPr>
              <w:t>$'000</w:t>
            </w:r>
          </w:p>
        </w:tc>
      </w:tr>
      <w:tr w:rsidR="00AC6F3C" w14:paraId="2E18C74C" w14:textId="77777777">
        <w:trPr>
          <w:trHeight w:val="287"/>
        </w:trPr>
        <w:tc>
          <w:tcPr>
            <w:tcW w:w="5413" w:type="dxa"/>
            <w:tcBorders>
              <w:top w:val="single" w:sz="6" w:space="0" w:color="000000"/>
              <w:left w:val="single" w:sz="6" w:space="0" w:color="000000"/>
            </w:tcBorders>
          </w:tcPr>
          <w:p w14:paraId="7318C862" w14:textId="77777777" w:rsidR="00AC6F3C" w:rsidRDefault="00570E88">
            <w:pPr>
              <w:pStyle w:val="TableParagraph"/>
              <w:spacing w:before="39"/>
              <w:ind w:left="37"/>
              <w:rPr>
                <w:sz w:val="18"/>
              </w:rPr>
            </w:pPr>
            <w:r>
              <w:rPr>
                <w:sz w:val="18"/>
              </w:rPr>
              <w:t>Payable</w:t>
            </w:r>
            <w:r>
              <w:rPr>
                <w:spacing w:val="-4"/>
                <w:sz w:val="18"/>
              </w:rPr>
              <w:t xml:space="preserve"> </w:t>
            </w:r>
            <w:r>
              <w:rPr>
                <w:sz w:val="18"/>
              </w:rPr>
              <w:t>to</w:t>
            </w:r>
            <w:r>
              <w:rPr>
                <w:spacing w:val="-2"/>
                <w:sz w:val="18"/>
              </w:rPr>
              <w:t xml:space="preserve"> </w:t>
            </w:r>
            <w:r>
              <w:rPr>
                <w:sz w:val="18"/>
              </w:rPr>
              <w:t>the</w:t>
            </w:r>
            <w:r>
              <w:rPr>
                <w:spacing w:val="-3"/>
                <w:sz w:val="18"/>
              </w:rPr>
              <w:t xml:space="preserve"> </w:t>
            </w:r>
            <w:r>
              <w:rPr>
                <w:sz w:val="18"/>
              </w:rPr>
              <w:t>Society</w:t>
            </w:r>
            <w:r>
              <w:rPr>
                <w:spacing w:val="-21"/>
                <w:sz w:val="18"/>
              </w:rPr>
              <w:t xml:space="preserve"> </w:t>
            </w:r>
            <w:r>
              <w:rPr>
                <w:sz w:val="18"/>
              </w:rPr>
              <w:t>for</w:t>
            </w:r>
            <w:r>
              <w:rPr>
                <w:spacing w:val="-7"/>
                <w:sz w:val="18"/>
              </w:rPr>
              <w:t xml:space="preserve"> </w:t>
            </w:r>
            <w:r>
              <w:rPr>
                <w:sz w:val="18"/>
              </w:rPr>
              <w:t>annual</w:t>
            </w:r>
            <w:r>
              <w:rPr>
                <w:spacing w:val="-2"/>
                <w:sz w:val="18"/>
              </w:rPr>
              <w:t xml:space="preserve"> </w:t>
            </w:r>
            <w:r>
              <w:rPr>
                <w:sz w:val="18"/>
              </w:rPr>
              <w:t>leave</w:t>
            </w:r>
            <w:r>
              <w:rPr>
                <w:spacing w:val="-3"/>
                <w:sz w:val="18"/>
              </w:rPr>
              <w:t xml:space="preserve"> </w:t>
            </w:r>
            <w:r>
              <w:rPr>
                <w:spacing w:val="-2"/>
                <w:sz w:val="18"/>
              </w:rPr>
              <w:t>entitlements</w:t>
            </w:r>
          </w:p>
        </w:tc>
        <w:tc>
          <w:tcPr>
            <w:tcW w:w="1662" w:type="dxa"/>
            <w:tcBorders>
              <w:top w:val="single" w:sz="6" w:space="0" w:color="000000"/>
            </w:tcBorders>
            <w:shd w:val="clear" w:color="auto" w:fill="F1F1F1"/>
          </w:tcPr>
          <w:p w14:paraId="18CC4FB7" w14:textId="77777777" w:rsidR="00AC6F3C" w:rsidRDefault="00570E88">
            <w:pPr>
              <w:pStyle w:val="TableParagraph"/>
              <w:spacing w:before="39"/>
              <w:ind w:right="35"/>
              <w:jc w:val="right"/>
              <w:rPr>
                <w:sz w:val="18"/>
              </w:rPr>
            </w:pPr>
            <w:r>
              <w:rPr>
                <w:spacing w:val="-5"/>
                <w:sz w:val="18"/>
              </w:rPr>
              <w:t>14</w:t>
            </w:r>
          </w:p>
        </w:tc>
        <w:tc>
          <w:tcPr>
            <w:tcW w:w="1640" w:type="dxa"/>
            <w:tcBorders>
              <w:top w:val="single" w:sz="6" w:space="0" w:color="000000"/>
              <w:right w:val="single" w:sz="6" w:space="0" w:color="000000"/>
            </w:tcBorders>
          </w:tcPr>
          <w:p w14:paraId="711AD98C" w14:textId="77777777" w:rsidR="00AC6F3C" w:rsidRDefault="00570E88">
            <w:pPr>
              <w:pStyle w:val="TableParagraph"/>
              <w:spacing w:before="39"/>
              <w:ind w:right="25"/>
              <w:jc w:val="right"/>
              <w:rPr>
                <w:sz w:val="18"/>
              </w:rPr>
            </w:pPr>
            <w:r>
              <w:rPr>
                <w:w w:val="99"/>
                <w:sz w:val="18"/>
              </w:rPr>
              <w:t>8</w:t>
            </w:r>
          </w:p>
        </w:tc>
      </w:tr>
      <w:tr w:rsidR="00AC6F3C" w14:paraId="4762CE11" w14:textId="77777777">
        <w:trPr>
          <w:trHeight w:val="282"/>
        </w:trPr>
        <w:tc>
          <w:tcPr>
            <w:tcW w:w="5413" w:type="dxa"/>
            <w:tcBorders>
              <w:left w:val="single" w:sz="6" w:space="0" w:color="000000"/>
            </w:tcBorders>
          </w:tcPr>
          <w:p w14:paraId="07A276C5" w14:textId="77777777" w:rsidR="00AC6F3C" w:rsidRDefault="00570E88">
            <w:pPr>
              <w:pStyle w:val="TableParagraph"/>
              <w:spacing w:before="34"/>
              <w:ind w:left="37"/>
              <w:rPr>
                <w:sz w:val="18"/>
              </w:rPr>
            </w:pPr>
            <w:r>
              <w:rPr>
                <w:sz w:val="18"/>
              </w:rPr>
              <w:t>Payable</w:t>
            </w:r>
            <w:r>
              <w:rPr>
                <w:spacing w:val="-4"/>
                <w:sz w:val="18"/>
              </w:rPr>
              <w:t xml:space="preserve"> </w:t>
            </w:r>
            <w:r>
              <w:rPr>
                <w:sz w:val="18"/>
              </w:rPr>
              <w:t>to</w:t>
            </w:r>
            <w:r>
              <w:rPr>
                <w:spacing w:val="-3"/>
                <w:sz w:val="18"/>
              </w:rPr>
              <w:t xml:space="preserve"> </w:t>
            </w:r>
            <w:r>
              <w:rPr>
                <w:sz w:val="18"/>
              </w:rPr>
              <w:t>the</w:t>
            </w:r>
            <w:r>
              <w:rPr>
                <w:spacing w:val="-2"/>
                <w:sz w:val="18"/>
              </w:rPr>
              <w:t xml:space="preserve"> </w:t>
            </w:r>
            <w:r>
              <w:rPr>
                <w:sz w:val="18"/>
              </w:rPr>
              <w:t>Society</w:t>
            </w:r>
            <w:r>
              <w:rPr>
                <w:spacing w:val="-21"/>
                <w:sz w:val="18"/>
              </w:rPr>
              <w:t xml:space="preserve"> </w:t>
            </w:r>
            <w:r>
              <w:rPr>
                <w:sz w:val="18"/>
              </w:rPr>
              <w:t>for</w:t>
            </w:r>
            <w:r>
              <w:rPr>
                <w:spacing w:val="-8"/>
                <w:sz w:val="18"/>
              </w:rPr>
              <w:t xml:space="preserve"> </w:t>
            </w:r>
            <w:r>
              <w:rPr>
                <w:sz w:val="18"/>
              </w:rPr>
              <w:t>long</w:t>
            </w:r>
            <w:r>
              <w:rPr>
                <w:spacing w:val="-2"/>
                <w:sz w:val="18"/>
              </w:rPr>
              <w:t xml:space="preserve"> </w:t>
            </w:r>
            <w:r>
              <w:rPr>
                <w:sz w:val="18"/>
              </w:rPr>
              <w:t>service</w:t>
            </w:r>
            <w:r>
              <w:rPr>
                <w:spacing w:val="-3"/>
                <w:sz w:val="18"/>
              </w:rPr>
              <w:t xml:space="preserve"> </w:t>
            </w:r>
            <w:r>
              <w:rPr>
                <w:sz w:val="18"/>
              </w:rPr>
              <w:t>leave</w:t>
            </w:r>
            <w:r>
              <w:rPr>
                <w:spacing w:val="-2"/>
                <w:sz w:val="18"/>
              </w:rPr>
              <w:t xml:space="preserve"> entitlements</w:t>
            </w:r>
          </w:p>
        </w:tc>
        <w:tc>
          <w:tcPr>
            <w:tcW w:w="1662" w:type="dxa"/>
            <w:shd w:val="clear" w:color="auto" w:fill="F1F1F1"/>
          </w:tcPr>
          <w:p w14:paraId="7EB313F7" w14:textId="77777777" w:rsidR="00AC6F3C" w:rsidRDefault="00570E88">
            <w:pPr>
              <w:pStyle w:val="TableParagraph"/>
              <w:spacing w:before="34"/>
              <w:ind w:right="40"/>
              <w:jc w:val="right"/>
              <w:rPr>
                <w:sz w:val="18"/>
              </w:rPr>
            </w:pPr>
            <w:r>
              <w:rPr>
                <w:w w:val="99"/>
                <w:sz w:val="18"/>
              </w:rPr>
              <w:t>9</w:t>
            </w:r>
          </w:p>
        </w:tc>
        <w:tc>
          <w:tcPr>
            <w:tcW w:w="1640" w:type="dxa"/>
            <w:tcBorders>
              <w:right w:val="single" w:sz="6" w:space="0" w:color="000000"/>
            </w:tcBorders>
          </w:tcPr>
          <w:p w14:paraId="3711F7F9" w14:textId="77777777" w:rsidR="00AC6F3C" w:rsidRDefault="00570E88">
            <w:pPr>
              <w:pStyle w:val="TableParagraph"/>
              <w:spacing w:before="34"/>
              <w:ind w:right="25"/>
              <w:jc w:val="right"/>
              <w:rPr>
                <w:sz w:val="18"/>
              </w:rPr>
            </w:pPr>
            <w:r>
              <w:rPr>
                <w:w w:val="99"/>
                <w:sz w:val="18"/>
              </w:rPr>
              <w:t>7</w:t>
            </w:r>
          </w:p>
        </w:tc>
      </w:tr>
      <w:tr w:rsidR="00AC6F3C" w14:paraId="1B0E4982" w14:textId="77777777">
        <w:trPr>
          <w:trHeight w:val="262"/>
        </w:trPr>
        <w:tc>
          <w:tcPr>
            <w:tcW w:w="5413" w:type="dxa"/>
            <w:tcBorders>
              <w:left w:val="single" w:sz="6" w:space="0" w:color="000000"/>
              <w:bottom w:val="single" w:sz="6" w:space="0" w:color="000000"/>
            </w:tcBorders>
          </w:tcPr>
          <w:p w14:paraId="34884E60" w14:textId="77777777" w:rsidR="00AC6F3C" w:rsidRDefault="00570E88">
            <w:pPr>
              <w:pStyle w:val="TableParagraph"/>
              <w:spacing w:before="34"/>
              <w:ind w:left="37"/>
              <w:rPr>
                <w:sz w:val="18"/>
              </w:rPr>
            </w:pPr>
            <w:r>
              <w:rPr>
                <w:sz w:val="18"/>
              </w:rPr>
              <w:t>Other</w:t>
            </w:r>
            <w:r>
              <w:rPr>
                <w:spacing w:val="-6"/>
                <w:sz w:val="18"/>
              </w:rPr>
              <w:t xml:space="preserve"> </w:t>
            </w:r>
            <w:r>
              <w:rPr>
                <w:sz w:val="18"/>
              </w:rPr>
              <w:t>payables</w:t>
            </w:r>
            <w:r>
              <w:rPr>
                <w:spacing w:val="9"/>
                <w:sz w:val="18"/>
              </w:rPr>
              <w:t xml:space="preserve"> </w:t>
            </w:r>
            <w:r>
              <w:rPr>
                <w:sz w:val="18"/>
              </w:rPr>
              <w:t xml:space="preserve">and </w:t>
            </w:r>
            <w:r>
              <w:rPr>
                <w:spacing w:val="-2"/>
                <w:sz w:val="18"/>
              </w:rPr>
              <w:t>accruals</w:t>
            </w:r>
          </w:p>
        </w:tc>
        <w:tc>
          <w:tcPr>
            <w:tcW w:w="1662" w:type="dxa"/>
            <w:tcBorders>
              <w:bottom w:val="single" w:sz="6" w:space="0" w:color="000000"/>
            </w:tcBorders>
            <w:shd w:val="clear" w:color="auto" w:fill="F1F1F1"/>
          </w:tcPr>
          <w:p w14:paraId="6C337770" w14:textId="77777777" w:rsidR="00AC6F3C" w:rsidRDefault="00570E88">
            <w:pPr>
              <w:pStyle w:val="TableParagraph"/>
              <w:spacing w:before="34"/>
              <w:ind w:right="35"/>
              <w:jc w:val="right"/>
              <w:rPr>
                <w:sz w:val="18"/>
              </w:rPr>
            </w:pPr>
            <w:r>
              <w:rPr>
                <w:spacing w:val="-5"/>
                <w:sz w:val="18"/>
              </w:rPr>
              <w:t>46</w:t>
            </w:r>
          </w:p>
        </w:tc>
        <w:tc>
          <w:tcPr>
            <w:tcW w:w="1640" w:type="dxa"/>
            <w:tcBorders>
              <w:bottom w:val="single" w:sz="6" w:space="0" w:color="000000"/>
              <w:right w:val="single" w:sz="6" w:space="0" w:color="000000"/>
            </w:tcBorders>
          </w:tcPr>
          <w:p w14:paraId="0D79F73B" w14:textId="77777777" w:rsidR="00AC6F3C" w:rsidRDefault="00570E88">
            <w:pPr>
              <w:pStyle w:val="TableParagraph"/>
              <w:spacing w:before="34"/>
              <w:ind w:right="21"/>
              <w:jc w:val="right"/>
              <w:rPr>
                <w:sz w:val="18"/>
              </w:rPr>
            </w:pPr>
            <w:r>
              <w:rPr>
                <w:spacing w:val="-5"/>
                <w:sz w:val="18"/>
              </w:rPr>
              <w:t>28</w:t>
            </w:r>
          </w:p>
        </w:tc>
      </w:tr>
      <w:tr w:rsidR="00AC6F3C" w14:paraId="3CE482A2" w14:textId="77777777">
        <w:trPr>
          <w:trHeight w:val="267"/>
        </w:trPr>
        <w:tc>
          <w:tcPr>
            <w:tcW w:w="5413" w:type="dxa"/>
            <w:tcBorders>
              <w:top w:val="single" w:sz="6" w:space="0" w:color="000000"/>
              <w:left w:val="single" w:sz="6" w:space="0" w:color="000000"/>
              <w:bottom w:val="single" w:sz="6" w:space="0" w:color="000000"/>
            </w:tcBorders>
            <w:shd w:val="clear" w:color="auto" w:fill="BEBEBE"/>
          </w:tcPr>
          <w:p w14:paraId="0E26C71D" w14:textId="77777777" w:rsidR="00AC6F3C" w:rsidRDefault="00570E88">
            <w:pPr>
              <w:pStyle w:val="TableParagraph"/>
              <w:spacing w:before="54" w:line="193" w:lineRule="exact"/>
              <w:ind w:left="37"/>
              <w:rPr>
                <w:b/>
                <w:sz w:val="18"/>
              </w:rPr>
            </w:pPr>
            <w:r>
              <w:rPr>
                <w:b/>
                <w:spacing w:val="-4"/>
                <w:sz w:val="18"/>
              </w:rPr>
              <w:t xml:space="preserve">Total </w:t>
            </w:r>
            <w:r>
              <w:rPr>
                <w:b/>
                <w:spacing w:val="-2"/>
                <w:sz w:val="18"/>
              </w:rPr>
              <w:t>payables</w:t>
            </w:r>
          </w:p>
        </w:tc>
        <w:tc>
          <w:tcPr>
            <w:tcW w:w="1662" w:type="dxa"/>
            <w:tcBorders>
              <w:top w:val="single" w:sz="6" w:space="0" w:color="000000"/>
              <w:bottom w:val="single" w:sz="6" w:space="0" w:color="000000"/>
            </w:tcBorders>
            <w:shd w:val="clear" w:color="auto" w:fill="BEBEBE"/>
          </w:tcPr>
          <w:p w14:paraId="00B15092" w14:textId="77777777" w:rsidR="00AC6F3C" w:rsidRDefault="00570E88">
            <w:pPr>
              <w:pStyle w:val="TableParagraph"/>
              <w:spacing w:before="54" w:line="193" w:lineRule="exact"/>
              <w:ind w:right="35"/>
              <w:jc w:val="right"/>
              <w:rPr>
                <w:b/>
                <w:sz w:val="18"/>
              </w:rPr>
            </w:pPr>
            <w:r>
              <w:rPr>
                <w:b/>
                <w:spacing w:val="-5"/>
                <w:sz w:val="18"/>
              </w:rPr>
              <w:t>69</w:t>
            </w:r>
          </w:p>
        </w:tc>
        <w:tc>
          <w:tcPr>
            <w:tcW w:w="1640" w:type="dxa"/>
            <w:tcBorders>
              <w:top w:val="single" w:sz="6" w:space="0" w:color="000000"/>
              <w:bottom w:val="single" w:sz="6" w:space="0" w:color="000000"/>
              <w:right w:val="single" w:sz="6" w:space="0" w:color="000000"/>
            </w:tcBorders>
            <w:shd w:val="clear" w:color="auto" w:fill="BEBEBE"/>
          </w:tcPr>
          <w:p w14:paraId="2D6CAAE3" w14:textId="77777777" w:rsidR="00AC6F3C" w:rsidRDefault="00570E88">
            <w:pPr>
              <w:pStyle w:val="TableParagraph"/>
              <w:spacing w:before="54" w:line="193" w:lineRule="exact"/>
              <w:ind w:right="21"/>
              <w:jc w:val="right"/>
              <w:rPr>
                <w:b/>
                <w:sz w:val="18"/>
              </w:rPr>
            </w:pPr>
            <w:r>
              <w:rPr>
                <w:b/>
                <w:spacing w:val="-5"/>
                <w:sz w:val="18"/>
              </w:rPr>
              <w:t>43</w:t>
            </w:r>
          </w:p>
        </w:tc>
      </w:tr>
    </w:tbl>
    <w:p w14:paraId="257460B9" w14:textId="77777777" w:rsidR="00AC6F3C" w:rsidRDefault="00AC6F3C">
      <w:pPr>
        <w:spacing w:line="193" w:lineRule="exact"/>
        <w:jc w:val="right"/>
        <w:rPr>
          <w:sz w:val="18"/>
        </w:rPr>
        <w:sectPr w:rsidR="00AC6F3C">
          <w:pgSz w:w="11910" w:h="16840"/>
          <w:pgMar w:top="2140" w:right="1160" w:bottom="520" w:left="460" w:header="1228" w:footer="336" w:gutter="0"/>
          <w:cols w:space="720"/>
        </w:sectPr>
      </w:pPr>
    </w:p>
    <w:p w14:paraId="7CAF6F85" w14:textId="77777777" w:rsidR="00AC6F3C" w:rsidRDefault="00AC6F3C">
      <w:pPr>
        <w:pStyle w:val="BodyText"/>
      </w:pPr>
    </w:p>
    <w:p w14:paraId="71564B1B" w14:textId="77777777" w:rsidR="00AC6F3C" w:rsidRDefault="00AC6F3C">
      <w:pPr>
        <w:pStyle w:val="BodyText"/>
        <w:spacing w:before="4"/>
        <w:rPr>
          <w:sz w:val="11"/>
        </w:rPr>
      </w:pPr>
    </w:p>
    <w:p w14:paraId="168C4C83"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2FD41D24" wp14:editId="776EB269">
                <wp:extent cx="5603875" cy="6350"/>
                <wp:effectExtent l="0" t="0" r="0" b="0"/>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11" name="Graphic 911"/>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8B8A1F" id="Group 910"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DWkacMdAIAAPYFAAAOAAAAAAAAAAAA&#10;AAAAAC4CAABkcnMvZTJvRG9jLnhtbFBLAQItABQABgAIAAAAIQC/Y0lo2gAAAAMBAAAPAAAAAAAA&#10;AAAAAAAAAM4EAABkcnMvZG93bnJldi54bWxQSwUGAAAAAAQABADzAAAA1QUAAAAA&#10;">
                <v:shape id="Graphic 911"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" path="m5603329,6120l,6120,,,5603329,r,6120xe" fillcolor="black" stroked="f">
                  <v:path arrowok="t"/>
                </v:shape>
                <w10:anchorlock/>
              </v:group>
            </w:pict>
          </mc:Fallback>
        </mc:AlternateContent>
      </w:r>
    </w:p>
    <w:p w14:paraId="1F600141" w14:textId="77777777" w:rsidR="00AC6F3C" w:rsidRDefault="00AC6F3C">
      <w:pPr>
        <w:pStyle w:val="BodyText"/>
        <w:rPr>
          <w:sz w:val="11"/>
        </w:rPr>
      </w:pPr>
    </w:p>
    <w:p w14:paraId="411CCEEA" w14:textId="77777777" w:rsidR="00AC6F3C" w:rsidRDefault="00570E88">
      <w:pPr>
        <w:tabs>
          <w:tab w:val="left" w:pos="1831"/>
        </w:tabs>
        <w:spacing w:before="92"/>
        <w:ind w:left="979"/>
        <w:rPr>
          <w:b/>
          <w:sz w:val="28"/>
        </w:rPr>
      </w:pPr>
      <w:r>
        <w:rPr>
          <w:b/>
          <w:spacing w:val="-5"/>
          <w:sz w:val="28"/>
        </w:rPr>
        <w:t>C5</w:t>
      </w:r>
      <w:r>
        <w:rPr>
          <w:b/>
          <w:sz w:val="28"/>
        </w:rPr>
        <w:tab/>
        <w:t>INCOME</w:t>
      </w:r>
      <w:r>
        <w:rPr>
          <w:b/>
          <w:spacing w:val="-2"/>
          <w:sz w:val="28"/>
        </w:rPr>
        <w:t xml:space="preserve"> </w:t>
      </w:r>
      <w:r>
        <w:rPr>
          <w:b/>
          <w:sz w:val="28"/>
        </w:rPr>
        <w:t>IN</w:t>
      </w:r>
      <w:r>
        <w:rPr>
          <w:b/>
          <w:spacing w:val="-13"/>
          <w:sz w:val="28"/>
        </w:rPr>
        <w:t xml:space="preserve"> </w:t>
      </w:r>
      <w:r>
        <w:rPr>
          <w:b/>
          <w:spacing w:val="-2"/>
          <w:sz w:val="28"/>
        </w:rPr>
        <w:t>ADVANCE</w:t>
      </w:r>
    </w:p>
    <w:p w14:paraId="093AB89C" w14:textId="77777777" w:rsidR="00AC6F3C" w:rsidRDefault="00570E88">
      <w:pPr>
        <w:spacing w:before="240"/>
        <w:ind w:left="980" w:right="539" w:hanging="1"/>
        <w:rPr>
          <w:sz w:val="18"/>
        </w:rPr>
      </w:pPr>
      <w:r>
        <w:rPr>
          <w:sz w:val="18"/>
        </w:rPr>
        <w:t>Income in advance relates to Fidelity Fund levies collected from the profession in relation to the upcoming insurance year.</w:t>
      </w:r>
      <w:r>
        <w:rPr>
          <w:spacing w:val="40"/>
          <w:sz w:val="18"/>
        </w:rPr>
        <w:t xml:space="preserve"> </w:t>
      </w:r>
      <w:r>
        <w:rPr>
          <w:sz w:val="18"/>
        </w:rPr>
        <w:t>Levies are collected by the Society on behalf of the Fund. Current year levies in advance relate</w:t>
      </w:r>
      <w:r>
        <w:rPr>
          <w:spacing w:val="-3"/>
          <w:sz w:val="18"/>
        </w:rPr>
        <w:t xml:space="preserve"> </w:t>
      </w:r>
      <w:r>
        <w:rPr>
          <w:sz w:val="18"/>
        </w:rPr>
        <w:t>to</w:t>
      </w:r>
      <w:r>
        <w:rPr>
          <w:spacing w:val="-3"/>
          <w:sz w:val="18"/>
        </w:rPr>
        <w:t xml:space="preserve"> </w:t>
      </w:r>
      <w:r>
        <w:rPr>
          <w:sz w:val="18"/>
        </w:rPr>
        <w:t>collections in May</w:t>
      </w:r>
      <w:r>
        <w:rPr>
          <w:spacing w:val="-2"/>
          <w:sz w:val="18"/>
        </w:rPr>
        <w:t xml:space="preserve"> </w:t>
      </w:r>
      <w:r>
        <w:rPr>
          <w:sz w:val="18"/>
        </w:rPr>
        <w:t>and June 2023</w:t>
      </w:r>
      <w:r>
        <w:rPr>
          <w:spacing w:val="-3"/>
          <w:sz w:val="18"/>
        </w:rPr>
        <w:t xml:space="preserve"> </w:t>
      </w:r>
      <w:r>
        <w:rPr>
          <w:sz w:val="18"/>
        </w:rPr>
        <w:t>paid</w:t>
      </w:r>
      <w:r>
        <w:rPr>
          <w:spacing w:val="-3"/>
          <w:sz w:val="18"/>
        </w:rPr>
        <w:t xml:space="preserve"> </w:t>
      </w:r>
      <w:r>
        <w:rPr>
          <w:sz w:val="18"/>
        </w:rPr>
        <w:t>to the Fund</w:t>
      </w:r>
      <w:r>
        <w:rPr>
          <w:spacing w:val="-3"/>
          <w:sz w:val="18"/>
        </w:rPr>
        <w:t xml:space="preserve"> </w:t>
      </w:r>
      <w:r>
        <w:rPr>
          <w:sz w:val="18"/>
        </w:rPr>
        <w:t>by the Society for</w:t>
      </w:r>
      <w:r>
        <w:rPr>
          <w:spacing w:val="-3"/>
          <w:sz w:val="18"/>
        </w:rPr>
        <w:t xml:space="preserve"> </w:t>
      </w:r>
      <w:r>
        <w:rPr>
          <w:sz w:val="18"/>
        </w:rPr>
        <w:t>the</w:t>
      </w:r>
      <w:r>
        <w:rPr>
          <w:spacing w:val="-3"/>
          <w:sz w:val="18"/>
        </w:rPr>
        <w:t xml:space="preserve"> </w:t>
      </w:r>
      <w:r>
        <w:rPr>
          <w:sz w:val="18"/>
        </w:rPr>
        <w:t>financial</w:t>
      </w:r>
      <w:r>
        <w:rPr>
          <w:spacing w:val="-5"/>
          <w:sz w:val="18"/>
        </w:rPr>
        <w:t xml:space="preserve"> </w:t>
      </w:r>
      <w:r>
        <w:rPr>
          <w:sz w:val="18"/>
        </w:rPr>
        <w:t>year</w:t>
      </w:r>
      <w:r>
        <w:rPr>
          <w:spacing w:val="-3"/>
          <w:sz w:val="18"/>
        </w:rPr>
        <w:t xml:space="preserve"> </w:t>
      </w:r>
      <w:r>
        <w:rPr>
          <w:sz w:val="18"/>
        </w:rPr>
        <w:t>1 July</w:t>
      </w:r>
      <w:r>
        <w:rPr>
          <w:spacing w:val="-2"/>
          <w:sz w:val="18"/>
        </w:rPr>
        <w:t xml:space="preserve"> </w:t>
      </w:r>
      <w:r>
        <w:rPr>
          <w:sz w:val="18"/>
        </w:rPr>
        <w:t>2023 to 30 June 2024.</w:t>
      </w:r>
    </w:p>
    <w:p w14:paraId="2CC8E4BB" w14:textId="77777777" w:rsidR="00AC6F3C" w:rsidRDefault="00AC6F3C">
      <w:pPr>
        <w:pStyle w:val="BodyText"/>
        <w:spacing w:before="10"/>
      </w:pPr>
    </w:p>
    <w:tbl>
      <w:tblPr>
        <w:tblW w:w="0" w:type="auto"/>
        <w:tblInd w:w="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3"/>
        <w:gridCol w:w="1662"/>
        <w:gridCol w:w="1640"/>
      </w:tblGrid>
      <w:tr w:rsidR="00AC6F3C" w14:paraId="53668445" w14:textId="77777777">
        <w:trPr>
          <w:trHeight w:val="547"/>
        </w:trPr>
        <w:tc>
          <w:tcPr>
            <w:tcW w:w="8715" w:type="dxa"/>
            <w:gridSpan w:val="3"/>
            <w:shd w:val="clear" w:color="auto" w:fill="BEBEBE"/>
          </w:tcPr>
          <w:p w14:paraId="31FBAC48" w14:textId="77777777" w:rsidR="00AC6F3C" w:rsidRDefault="00570E88">
            <w:pPr>
              <w:pStyle w:val="TableParagraph"/>
              <w:tabs>
                <w:tab w:val="left" w:pos="1647"/>
              </w:tabs>
              <w:spacing w:before="33"/>
              <w:ind w:right="21"/>
              <w:jc w:val="right"/>
              <w:rPr>
                <w:b/>
                <w:sz w:val="17"/>
              </w:rPr>
            </w:pPr>
            <w:r>
              <w:rPr>
                <w:b/>
                <w:spacing w:val="-4"/>
                <w:w w:val="105"/>
                <w:sz w:val="17"/>
              </w:rPr>
              <w:t>2023</w:t>
            </w:r>
            <w:r>
              <w:rPr>
                <w:b/>
                <w:sz w:val="17"/>
              </w:rPr>
              <w:tab/>
            </w:r>
            <w:r>
              <w:rPr>
                <w:b/>
                <w:spacing w:val="-4"/>
                <w:w w:val="105"/>
                <w:sz w:val="17"/>
              </w:rPr>
              <w:t>2022</w:t>
            </w:r>
          </w:p>
          <w:p w14:paraId="1F0D1189" w14:textId="77777777" w:rsidR="00AC6F3C" w:rsidRDefault="00570E88">
            <w:pPr>
              <w:pStyle w:val="TableParagraph"/>
              <w:tabs>
                <w:tab w:val="left" w:pos="1647"/>
              </w:tabs>
              <w:spacing w:before="86"/>
              <w:ind w:right="21"/>
              <w:jc w:val="right"/>
              <w:rPr>
                <w:b/>
                <w:sz w:val="17"/>
              </w:rPr>
            </w:pPr>
            <w:r>
              <w:rPr>
                <w:b/>
                <w:spacing w:val="-2"/>
                <w:w w:val="105"/>
                <w:sz w:val="17"/>
              </w:rPr>
              <w:t>$'000</w:t>
            </w:r>
            <w:r>
              <w:rPr>
                <w:b/>
                <w:sz w:val="17"/>
              </w:rPr>
              <w:tab/>
            </w:r>
            <w:r>
              <w:rPr>
                <w:b/>
                <w:spacing w:val="-2"/>
                <w:w w:val="105"/>
                <w:sz w:val="17"/>
              </w:rPr>
              <w:t>$'000</w:t>
            </w:r>
          </w:p>
        </w:tc>
      </w:tr>
      <w:tr w:rsidR="00AC6F3C" w14:paraId="293B6723" w14:textId="77777777">
        <w:trPr>
          <w:trHeight w:val="266"/>
        </w:trPr>
        <w:tc>
          <w:tcPr>
            <w:tcW w:w="5413" w:type="dxa"/>
            <w:tcBorders>
              <w:right w:val="nil"/>
            </w:tcBorders>
          </w:tcPr>
          <w:p w14:paraId="1EED1A31" w14:textId="77777777" w:rsidR="00AC6F3C" w:rsidRDefault="00570E88">
            <w:pPr>
              <w:pStyle w:val="TableParagraph"/>
              <w:spacing w:before="47"/>
              <w:ind w:left="37"/>
              <w:rPr>
                <w:sz w:val="17"/>
              </w:rPr>
            </w:pPr>
            <w:r>
              <w:rPr>
                <w:w w:val="105"/>
                <w:sz w:val="17"/>
              </w:rPr>
              <w:t>Fidelity</w:t>
            </w:r>
            <w:r>
              <w:rPr>
                <w:spacing w:val="-14"/>
                <w:w w:val="105"/>
                <w:sz w:val="17"/>
              </w:rPr>
              <w:t xml:space="preserve"> </w:t>
            </w:r>
            <w:r>
              <w:rPr>
                <w:w w:val="105"/>
                <w:sz w:val="17"/>
              </w:rPr>
              <w:t>Guarantee</w:t>
            </w:r>
            <w:r>
              <w:rPr>
                <w:spacing w:val="11"/>
                <w:w w:val="105"/>
                <w:sz w:val="17"/>
              </w:rPr>
              <w:t xml:space="preserve"> </w:t>
            </w:r>
            <w:r>
              <w:rPr>
                <w:w w:val="105"/>
                <w:sz w:val="17"/>
              </w:rPr>
              <w:t>Fund</w:t>
            </w:r>
            <w:r>
              <w:rPr>
                <w:spacing w:val="11"/>
                <w:w w:val="105"/>
                <w:sz w:val="17"/>
              </w:rPr>
              <w:t xml:space="preserve"> </w:t>
            </w:r>
            <w:r>
              <w:rPr>
                <w:w w:val="105"/>
                <w:sz w:val="17"/>
              </w:rPr>
              <w:t>levies</w:t>
            </w:r>
            <w:r>
              <w:rPr>
                <w:spacing w:val="23"/>
                <w:w w:val="105"/>
                <w:sz w:val="17"/>
              </w:rPr>
              <w:t xml:space="preserve"> </w:t>
            </w:r>
            <w:r>
              <w:rPr>
                <w:w w:val="105"/>
                <w:sz w:val="17"/>
              </w:rPr>
              <w:t>for</w:t>
            </w:r>
            <w:r>
              <w:rPr>
                <w:spacing w:val="4"/>
                <w:w w:val="105"/>
                <w:sz w:val="17"/>
              </w:rPr>
              <w:t xml:space="preserve"> </w:t>
            </w:r>
            <w:r>
              <w:rPr>
                <w:w w:val="105"/>
                <w:sz w:val="17"/>
              </w:rPr>
              <w:t>upcoming</w:t>
            </w:r>
            <w:r>
              <w:rPr>
                <w:spacing w:val="11"/>
                <w:w w:val="105"/>
                <w:sz w:val="17"/>
              </w:rPr>
              <w:t xml:space="preserve"> </w:t>
            </w:r>
            <w:r>
              <w:rPr>
                <w:spacing w:val="-4"/>
                <w:w w:val="105"/>
                <w:sz w:val="17"/>
              </w:rPr>
              <w:t>year</w:t>
            </w:r>
          </w:p>
        </w:tc>
        <w:tc>
          <w:tcPr>
            <w:tcW w:w="1662" w:type="dxa"/>
            <w:tcBorders>
              <w:left w:val="nil"/>
              <w:right w:val="nil"/>
            </w:tcBorders>
            <w:shd w:val="clear" w:color="auto" w:fill="F1F1F1"/>
          </w:tcPr>
          <w:p w14:paraId="09129C73" w14:textId="77777777" w:rsidR="00AC6F3C" w:rsidRDefault="00570E88">
            <w:pPr>
              <w:pStyle w:val="TableParagraph"/>
              <w:spacing w:before="47"/>
              <w:ind w:right="35"/>
              <w:jc w:val="right"/>
              <w:rPr>
                <w:sz w:val="17"/>
              </w:rPr>
            </w:pPr>
            <w:r>
              <w:rPr>
                <w:spacing w:val="-4"/>
                <w:w w:val="105"/>
                <w:sz w:val="17"/>
              </w:rPr>
              <w:t>3,202</w:t>
            </w:r>
          </w:p>
        </w:tc>
        <w:tc>
          <w:tcPr>
            <w:tcW w:w="1640" w:type="dxa"/>
            <w:tcBorders>
              <w:left w:val="nil"/>
            </w:tcBorders>
          </w:tcPr>
          <w:p w14:paraId="2A08A8AB" w14:textId="77777777" w:rsidR="00AC6F3C" w:rsidRDefault="00570E88">
            <w:pPr>
              <w:pStyle w:val="TableParagraph"/>
              <w:spacing w:before="47"/>
              <w:ind w:right="21"/>
              <w:jc w:val="right"/>
              <w:rPr>
                <w:sz w:val="17"/>
              </w:rPr>
            </w:pPr>
            <w:r>
              <w:rPr>
                <w:spacing w:val="-5"/>
                <w:w w:val="105"/>
                <w:sz w:val="17"/>
              </w:rPr>
              <w:t>426</w:t>
            </w:r>
          </w:p>
        </w:tc>
      </w:tr>
      <w:tr w:rsidR="00AC6F3C" w14:paraId="3292202A" w14:textId="77777777">
        <w:trPr>
          <w:trHeight w:val="266"/>
        </w:trPr>
        <w:tc>
          <w:tcPr>
            <w:tcW w:w="8715" w:type="dxa"/>
            <w:gridSpan w:val="3"/>
            <w:shd w:val="clear" w:color="auto" w:fill="BEBEBE"/>
          </w:tcPr>
          <w:p w14:paraId="66F07A56" w14:textId="77777777" w:rsidR="00AC6F3C" w:rsidRDefault="00570E88">
            <w:pPr>
              <w:pStyle w:val="TableParagraph"/>
              <w:tabs>
                <w:tab w:val="left" w:pos="6565"/>
                <w:tab w:val="right" w:pos="8676"/>
              </w:tabs>
              <w:spacing w:before="62" w:line="184" w:lineRule="exact"/>
              <w:ind w:left="37"/>
              <w:rPr>
                <w:b/>
                <w:sz w:val="17"/>
              </w:rPr>
            </w:pPr>
            <w:r>
              <w:rPr>
                <w:b/>
                <w:sz w:val="17"/>
              </w:rPr>
              <w:t>Total</w:t>
            </w:r>
            <w:r>
              <w:rPr>
                <w:b/>
                <w:spacing w:val="2"/>
                <w:sz w:val="17"/>
              </w:rPr>
              <w:t xml:space="preserve"> </w:t>
            </w:r>
            <w:r>
              <w:rPr>
                <w:b/>
                <w:sz w:val="17"/>
              </w:rPr>
              <w:t>income</w:t>
            </w:r>
            <w:r>
              <w:rPr>
                <w:b/>
                <w:spacing w:val="16"/>
                <w:sz w:val="17"/>
              </w:rPr>
              <w:t xml:space="preserve"> </w:t>
            </w:r>
            <w:r>
              <w:rPr>
                <w:b/>
                <w:sz w:val="17"/>
              </w:rPr>
              <w:t>in</w:t>
            </w:r>
            <w:r>
              <w:rPr>
                <w:b/>
                <w:spacing w:val="3"/>
                <w:sz w:val="17"/>
              </w:rPr>
              <w:t xml:space="preserve"> </w:t>
            </w:r>
            <w:r>
              <w:rPr>
                <w:b/>
                <w:spacing w:val="-2"/>
                <w:sz w:val="17"/>
              </w:rPr>
              <w:t>advance</w:t>
            </w:r>
            <w:r>
              <w:rPr>
                <w:b/>
                <w:sz w:val="17"/>
              </w:rPr>
              <w:tab/>
            </w:r>
            <w:r>
              <w:rPr>
                <w:b/>
                <w:spacing w:val="-2"/>
                <w:sz w:val="17"/>
              </w:rPr>
              <w:t>3,202</w:t>
            </w:r>
            <w:r>
              <w:rPr>
                <w:b/>
                <w:sz w:val="17"/>
              </w:rPr>
              <w:tab/>
            </w:r>
            <w:r>
              <w:rPr>
                <w:b/>
                <w:spacing w:val="-5"/>
                <w:sz w:val="17"/>
              </w:rPr>
              <w:t>426</w:t>
            </w:r>
          </w:p>
        </w:tc>
      </w:tr>
    </w:tbl>
    <w:p w14:paraId="2AE8CCD1" w14:textId="77777777" w:rsidR="00AC6F3C" w:rsidRDefault="00AC6F3C">
      <w:pPr>
        <w:pStyle w:val="BodyText"/>
        <w:spacing w:before="4"/>
        <w:rPr>
          <w:sz w:val="23"/>
        </w:rPr>
      </w:pPr>
    </w:p>
    <w:p w14:paraId="4006346F" w14:textId="77777777" w:rsidR="00AC6F3C" w:rsidRDefault="00570E88">
      <w:pPr>
        <w:tabs>
          <w:tab w:val="left" w:pos="1831"/>
        </w:tabs>
        <w:ind w:left="979"/>
        <w:rPr>
          <w:b/>
          <w:sz w:val="28"/>
        </w:rPr>
      </w:pPr>
      <w:r>
        <w:rPr>
          <w:b/>
          <w:spacing w:val="-5"/>
          <w:sz w:val="28"/>
        </w:rPr>
        <w:t>C6</w:t>
      </w:r>
      <w:r>
        <w:rPr>
          <w:b/>
          <w:sz w:val="28"/>
        </w:rPr>
        <w:tab/>
        <w:t>PROVISION</w:t>
      </w:r>
      <w:r>
        <w:rPr>
          <w:b/>
          <w:spacing w:val="-6"/>
          <w:sz w:val="28"/>
        </w:rPr>
        <w:t xml:space="preserve"> </w:t>
      </w:r>
      <w:r>
        <w:rPr>
          <w:b/>
          <w:sz w:val="28"/>
        </w:rPr>
        <w:t>FOR</w:t>
      </w:r>
      <w:r>
        <w:rPr>
          <w:b/>
          <w:spacing w:val="-8"/>
          <w:sz w:val="28"/>
        </w:rPr>
        <w:t xml:space="preserve"> </w:t>
      </w:r>
      <w:r>
        <w:rPr>
          <w:b/>
          <w:sz w:val="28"/>
        </w:rPr>
        <w:t>NOTIFIED</w:t>
      </w:r>
      <w:r>
        <w:rPr>
          <w:b/>
          <w:spacing w:val="-5"/>
          <w:sz w:val="28"/>
        </w:rPr>
        <w:t xml:space="preserve"> </w:t>
      </w:r>
      <w:r>
        <w:rPr>
          <w:b/>
          <w:spacing w:val="-2"/>
          <w:sz w:val="28"/>
        </w:rPr>
        <w:t>CLAIMS</w:t>
      </w:r>
    </w:p>
    <w:p w14:paraId="49165D3E" w14:textId="77777777" w:rsidR="00AC6F3C" w:rsidRDefault="00570E88">
      <w:pPr>
        <w:spacing w:before="240"/>
        <w:ind w:left="979" w:right="632"/>
        <w:rPr>
          <w:sz w:val="18"/>
        </w:rPr>
      </w:pPr>
      <w:r>
        <w:rPr>
          <w:sz w:val="18"/>
        </w:rPr>
        <w:t xml:space="preserve">A provision is </w:t>
      </w:r>
      <w:proofErr w:type="spellStart"/>
      <w:r>
        <w:rPr>
          <w:sz w:val="18"/>
        </w:rPr>
        <w:t>recognised</w:t>
      </w:r>
      <w:proofErr w:type="spellEnd"/>
      <w:r>
        <w:rPr>
          <w:sz w:val="18"/>
        </w:rPr>
        <w:t xml:space="preserve"> when there is a present legal, equitable or constructive obligation as a result of a past</w:t>
      </w:r>
      <w:r>
        <w:rPr>
          <w:spacing w:val="-4"/>
          <w:sz w:val="18"/>
        </w:rPr>
        <w:t xml:space="preserve"> </w:t>
      </w:r>
      <w:r>
        <w:rPr>
          <w:sz w:val="18"/>
        </w:rPr>
        <w:t>event.</w:t>
      </w:r>
      <w:r>
        <w:rPr>
          <w:spacing w:val="-2"/>
          <w:sz w:val="18"/>
        </w:rPr>
        <w:t xml:space="preserve"> </w:t>
      </w:r>
      <w:r>
        <w:rPr>
          <w:sz w:val="18"/>
        </w:rPr>
        <w:t>It</w:t>
      </w:r>
      <w:r>
        <w:rPr>
          <w:spacing w:val="-2"/>
          <w:sz w:val="18"/>
        </w:rPr>
        <w:t xml:space="preserve"> </w:t>
      </w:r>
      <w:r>
        <w:rPr>
          <w:sz w:val="18"/>
        </w:rPr>
        <w:t>is</w:t>
      </w:r>
      <w:r>
        <w:rPr>
          <w:spacing w:val="-1"/>
          <w:sz w:val="18"/>
        </w:rPr>
        <w:t xml:space="preserve"> </w:t>
      </w:r>
      <w:proofErr w:type="spellStart"/>
      <w:r>
        <w:rPr>
          <w:sz w:val="18"/>
        </w:rPr>
        <w:t>recognised</w:t>
      </w:r>
      <w:proofErr w:type="spellEnd"/>
      <w:r>
        <w:rPr>
          <w:spacing w:val="-1"/>
          <w:sz w:val="18"/>
        </w:rPr>
        <w:t xml:space="preserve"> </w:t>
      </w:r>
      <w:r>
        <w:rPr>
          <w:sz w:val="18"/>
        </w:rPr>
        <w:t>at</w:t>
      </w:r>
      <w:r>
        <w:rPr>
          <w:spacing w:val="-4"/>
          <w:sz w:val="18"/>
        </w:rPr>
        <w:t xml:space="preserve"> </w:t>
      </w:r>
      <w:r>
        <w:rPr>
          <w:sz w:val="18"/>
        </w:rPr>
        <w:t>the</w:t>
      </w:r>
      <w:r>
        <w:rPr>
          <w:spacing w:val="-1"/>
          <w:sz w:val="18"/>
        </w:rPr>
        <w:t xml:space="preserve"> </w:t>
      </w:r>
      <w:r>
        <w:rPr>
          <w:sz w:val="18"/>
        </w:rPr>
        <w:t>amount</w:t>
      </w:r>
      <w:r>
        <w:rPr>
          <w:spacing w:val="-2"/>
          <w:sz w:val="18"/>
        </w:rPr>
        <w:t xml:space="preserve"> </w:t>
      </w:r>
      <w:r>
        <w:rPr>
          <w:sz w:val="18"/>
        </w:rPr>
        <w:t>expected</w:t>
      </w:r>
      <w:r>
        <w:rPr>
          <w:spacing w:val="-4"/>
          <w:sz w:val="18"/>
        </w:rPr>
        <w:t xml:space="preserve"> </w:t>
      </w:r>
      <w:r>
        <w:rPr>
          <w:sz w:val="18"/>
        </w:rPr>
        <w:t>at</w:t>
      </w:r>
      <w:r>
        <w:rPr>
          <w:spacing w:val="-2"/>
          <w:sz w:val="18"/>
        </w:rPr>
        <w:t xml:space="preserve"> </w:t>
      </w:r>
      <w:r>
        <w:rPr>
          <w:sz w:val="18"/>
        </w:rPr>
        <w:t>reporting</w:t>
      </w:r>
      <w:r>
        <w:rPr>
          <w:spacing w:val="-1"/>
          <w:sz w:val="18"/>
        </w:rPr>
        <w:t xml:space="preserve"> </w:t>
      </w:r>
      <w:r>
        <w:rPr>
          <w:sz w:val="18"/>
        </w:rPr>
        <w:t>date</w:t>
      </w:r>
      <w:r>
        <w:rPr>
          <w:spacing w:val="-1"/>
          <w:sz w:val="18"/>
        </w:rPr>
        <w:t xml:space="preserve"> </w:t>
      </w:r>
      <w:r>
        <w:rPr>
          <w:sz w:val="18"/>
        </w:rPr>
        <w:t>for</w:t>
      </w:r>
      <w:r>
        <w:rPr>
          <w:spacing w:val="-4"/>
          <w:sz w:val="18"/>
        </w:rPr>
        <w:t xml:space="preserve"> </w:t>
      </w:r>
      <w:r>
        <w:rPr>
          <w:sz w:val="18"/>
        </w:rPr>
        <w:t>which</w:t>
      </w:r>
      <w:r>
        <w:rPr>
          <w:spacing w:val="-1"/>
          <w:sz w:val="18"/>
        </w:rPr>
        <w:t xml:space="preserve"> </w:t>
      </w:r>
      <w:r>
        <w:rPr>
          <w:sz w:val="18"/>
        </w:rPr>
        <w:t>the</w:t>
      </w:r>
      <w:r>
        <w:rPr>
          <w:spacing w:val="-1"/>
          <w:sz w:val="18"/>
        </w:rPr>
        <w:t xml:space="preserve"> </w:t>
      </w:r>
      <w:r>
        <w:rPr>
          <w:sz w:val="18"/>
        </w:rPr>
        <w:t>obligation</w:t>
      </w:r>
      <w:r>
        <w:rPr>
          <w:spacing w:val="-1"/>
          <w:sz w:val="18"/>
        </w:rPr>
        <w:t xml:space="preserve"> </w:t>
      </w:r>
      <w:r>
        <w:rPr>
          <w:sz w:val="18"/>
        </w:rPr>
        <w:t>will</w:t>
      </w:r>
      <w:r>
        <w:rPr>
          <w:spacing w:val="-4"/>
          <w:sz w:val="18"/>
        </w:rPr>
        <w:t xml:space="preserve"> </w:t>
      </w:r>
      <w:r>
        <w:rPr>
          <w:sz w:val="18"/>
        </w:rPr>
        <w:t>be</w:t>
      </w:r>
      <w:r>
        <w:rPr>
          <w:spacing w:val="-4"/>
          <w:sz w:val="18"/>
        </w:rPr>
        <w:t xml:space="preserve"> </w:t>
      </w:r>
      <w:r>
        <w:rPr>
          <w:sz w:val="18"/>
        </w:rPr>
        <w:t>settled</w:t>
      </w:r>
      <w:r>
        <w:rPr>
          <w:spacing w:val="-4"/>
          <w:sz w:val="18"/>
        </w:rPr>
        <w:t xml:space="preserve"> </w:t>
      </w:r>
      <w:r>
        <w:rPr>
          <w:sz w:val="18"/>
        </w:rPr>
        <w:t>in a future period.</w:t>
      </w:r>
    </w:p>
    <w:p w14:paraId="7A03E1F8" w14:textId="77777777" w:rsidR="00AC6F3C" w:rsidRDefault="00AC6F3C">
      <w:pPr>
        <w:pStyle w:val="BodyText"/>
        <w:spacing w:before="11"/>
      </w:pPr>
    </w:p>
    <w:p w14:paraId="0200EE1E" w14:textId="77777777" w:rsidR="00AC6F3C" w:rsidRDefault="00570E88">
      <w:pPr>
        <w:ind w:left="979"/>
        <w:rPr>
          <w:b/>
          <w:sz w:val="18"/>
        </w:rPr>
      </w:pPr>
      <w:r>
        <w:rPr>
          <w:b/>
          <w:sz w:val="18"/>
        </w:rPr>
        <w:t xml:space="preserve">Key </w:t>
      </w:r>
      <w:r>
        <w:rPr>
          <w:b/>
          <w:spacing w:val="-2"/>
          <w:sz w:val="18"/>
        </w:rPr>
        <w:t>estimates</w:t>
      </w:r>
    </w:p>
    <w:p w14:paraId="78BBB4A9" w14:textId="77777777" w:rsidR="00AC6F3C" w:rsidRDefault="00AC6F3C">
      <w:pPr>
        <w:pStyle w:val="BodyText"/>
        <w:spacing w:before="9"/>
        <w:rPr>
          <w:b/>
        </w:rPr>
      </w:pPr>
    </w:p>
    <w:p w14:paraId="540EA757" w14:textId="77777777" w:rsidR="00AC6F3C" w:rsidRDefault="00570E88">
      <w:pPr>
        <w:ind w:left="979" w:right="468"/>
        <w:rPr>
          <w:sz w:val="18"/>
        </w:rPr>
      </w:pPr>
      <w:r>
        <w:rPr>
          <w:sz w:val="18"/>
        </w:rPr>
        <w:t>Notified</w:t>
      </w:r>
      <w:r>
        <w:rPr>
          <w:spacing w:val="-1"/>
          <w:sz w:val="18"/>
        </w:rPr>
        <w:t xml:space="preserve"> </w:t>
      </w:r>
      <w:r>
        <w:rPr>
          <w:sz w:val="18"/>
        </w:rPr>
        <w:t>claims</w:t>
      </w:r>
      <w:r>
        <w:rPr>
          <w:spacing w:val="-1"/>
          <w:sz w:val="18"/>
        </w:rPr>
        <w:t xml:space="preserve"> </w:t>
      </w:r>
      <w:r>
        <w:rPr>
          <w:sz w:val="18"/>
        </w:rPr>
        <w:t>represent</w:t>
      </w:r>
      <w:r>
        <w:rPr>
          <w:spacing w:val="-2"/>
          <w:sz w:val="18"/>
        </w:rPr>
        <w:t xml:space="preserve"> </w:t>
      </w:r>
      <w:r>
        <w:rPr>
          <w:sz w:val="18"/>
        </w:rPr>
        <w:t>the</w:t>
      </w:r>
      <w:r>
        <w:rPr>
          <w:spacing w:val="-4"/>
          <w:sz w:val="18"/>
        </w:rPr>
        <w:t xml:space="preserve"> </w:t>
      </w:r>
      <w:r>
        <w:rPr>
          <w:sz w:val="18"/>
        </w:rPr>
        <w:t>estimated</w:t>
      </w:r>
      <w:r>
        <w:rPr>
          <w:spacing w:val="-1"/>
          <w:sz w:val="18"/>
        </w:rPr>
        <w:t xml:space="preserve"> </w:t>
      </w:r>
      <w:r>
        <w:rPr>
          <w:sz w:val="18"/>
        </w:rPr>
        <w:t>liability</w:t>
      </w:r>
      <w:r>
        <w:rPr>
          <w:spacing w:val="-1"/>
          <w:sz w:val="18"/>
        </w:rPr>
        <w:t xml:space="preserve"> </w:t>
      </w:r>
      <w:r>
        <w:rPr>
          <w:sz w:val="18"/>
        </w:rPr>
        <w:t>in</w:t>
      </w:r>
      <w:r>
        <w:rPr>
          <w:spacing w:val="-4"/>
          <w:sz w:val="18"/>
        </w:rPr>
        <w:t xml:space="preserve"> </w:t>
      </w:r>
      <w:r>
        <w:rPr>
          <w:sz w:val="18"/>
        </w:rPr>
        <w:t>relation</w:t>
      </w:r>
      <w:r>
        <w:rPr>
          <w:spacing w:val="-1"/>
          <w:sz w:val="18"/>
        </w:rPr>
        <w:t xml:space="preserve"> </w:t>
      </w:r>
      <w:r>
        <w:rPr>
          <w:sz w:val="18"/>
        </w:rPr>
        <w:t>to</w:t>
      </w:r>
      <w:r>
        <w:rPr>
          <w:spacing w:val="-4"/>
          <w:sz w:val="18"/>
        </w:rPr>
        <w:t xml:space="preserve"> </w:t>
      </w:r>
      <w:r>
        <w:rPr>
          <w:sz w:val="18"/>
        </w:rPr>
        <w:t>claims</w:t>
      </w:r>
      <w:r>
        <w:rPr>
          <w:spacing w:val="-1"/>
          <w:sz w:val="18"/>
        </w:rPr>
        <w:t xml:space="preserve"> </w:t>
      </w:r>
      <w:r>
        <w:rPr>
          <w:sz w:val="18"/>
        </w:rPr>
        <w:t>which</w:t>
      </w:r>
      <w:r>
        <w:rPr>
          <w:spacing w:val="-4"/>
          <w:sz w:val="18"/>
        </w:rPr>
        <w:t xml:space="preserve"> </w:t>
      </w:r>
      <w:r>
        <w:rPr>
          <w:sz w:val="18"/>
        </w:rPr>
        <w:t>have</w:t>
      </w:r>
      <w:r>
        <w:rPr>
          <w:spacing w:val="-1"/>
          <w:sz w:val="18"/>
        </w:rPr>
        <w:t xml:space="preserve"> </w:t>
      </w:r>
      <w:r>
        <w:rPr>
          <w:sz w:val="18"/>
        </w:rPr>
        <w:t>been</w:t>
      </w:r>
      <w:r>
        <w:rPr>
          <w:spacing w:val="-4"/>
          <w:sz w:val="18"/>
        </w:rPr>
        <w:t xml:space="preserve"> </w:t>
      </w:r>
      <w:r>
        <w:rPr>
          <w:sz w:val="18"/>
        </w:rPr>
        <w:t>notified</w:t>
      </w:r>
      <w:r>
        <w:rPr>
          <w:spacing w:val="-4"/>
          <w:sz w:val="18"/>
        </w:rPr>
        <w:t xml:space="preserve"> </w:t>
      </w:r>
      <w:r>
        <w:rPr>
          <w:sz w:val="18"/>
        </w:rPr>
        <w:t>but</w:t>
      </w:r>
      <w:r>
        <w:rPr>
          <w:spacing w:val="-2"/>
          <w:sz w:val="18"/>
        </w:rPr>
        <w:t xml:space="preserve"> </w:t>
      </w:r>
      <w:r>
        <w:rPr>
          <w:sz w:val="18"/>
        </w:rPr>
        <w:t>not</w:t>
      </w:r>
      <w:r>
        <w:rPr>
          <w:spacing w:val="-2"/>
          <w:sz w:val="18"/>
        </w:rPr>
        <w:t xml:space="preserve"> </w:t>
      </w:r>
      <w:r>
        <w:rPr>
          <w:sz w:val="18"/>
        </w:rPr>
        <w:t>yet admitted as a claim. Claims are brought to account in the year they are notified.</w:t>
      </w:r>
      <w:r>
        <w:rPr>
          <w:spacing w:val="40"/>
          <w:sz w:val="18"/>
        </w:rPr>
        <w:t xml:space="preserve"> </w:t>
      </w:r>
      <w:r>
        <w:rPr>
          <w:sz w:val="18"/>
        </w:rPr>
        <w:t>Refer to note D1.</w:t>
      </w:r>
    </w:p>
    <w:p w14:paraId="51368D65" w14:textId="77777777" w:rsidR="00AC6F3C" w:rsidRDefault="00AC6F3C">
      <w:pPr>
        <w:pStyle w:val="BodyText"/>
        <w:spacing w:before="1" w:after="1"/>
      </w:pPr>
    </w:p>
    <w:tbl>
      <w:tblPr>
        <w:tblW w:w="0" w:type="auto"/>
        <w:tblInd w:w="994" w:type="dxa"/>
        <w:tblLayout w:type="fixed"/>
        <w:tblCellMar>
          <w:left w:w="0" w:type="dxa"/>
          <w:right w:w="0" w:type="dxa"/>
        </w:tblCellMar>
        <w:tblLook w:val="01E0" w:firstRow="1" w:lastRow="1" w:firstColumn="1" w:lastColumn="1" w:noHBand="0" w:noVBand="0"/>
      </w:tblPr>
      <w:tblGrid>
        <w:gridCol w:w="5413"/>
        <w:gridCol w:w="1662"/>
        <w:gridCol w:w="1640"/>
      </w:tblGrid>
      <w:tr w:rsidR="00AC6F3C" w14:paraId="1D50B0FE" w14:textId="77777777">
        <w:trPr>
          <w:trHeight w:val="549"/>
        </w:trPr>
        <w:tc>
          <w:tcPr>
            <w:tcW w:w="8715" w:type="dxa"/>
            <w:gridSpan w:val="3"/>
            <w:tcBorders>
              <w:top w:val="single" w:sz="6" w:space="0" w:color="000000"/>
              <w:left w:val="single" w:sz="6" w:space="0" w:color="000000"/>
              <w:bottom w:val="single" w:sz="6" w:space="0" w:color="000000"/>
              <w:right w:val="single" w:sz="6" w:space="0" w:color="000000"/>
            </w:tcBorders>
            <w:shd w:val="clear" w:color="auto" w:fill="BEBEBE"/>
          </w:tcPr>
          <w:p w14:paraId="34DB3EE6" w14:textId="77777777" w:rsidR="00AC6F3C" w:rsidRDefault="00570E88">
            <w:pPr>
              <w:pStyle w:val="TableParagraph"/>
              <w:tabs>
                <w:tab w:val="left" w:pos="1647"/>
              </w:tabs>
              <w:spacing w:before="24"/>
              <w:ind w:right="21"/>
              <w:jc w:val="right"/>
              <w:rPr>
                <w:b/>
                <w:sz w:val="18"/>
              </w:rPr>
            </w:pPr>
            <w:r>
              <w:rPr>
                <w:b/>
                <w:spacing w:val="-4"/>
                <w:sz w:val="18"/>
              </w:rPr>
              <w:t>2023</w:t>
            </w:r>
            <w:r>
              <w:rPr>
                <w:b/>
                <w:sz w:val="18"/>
              </w:rPr>
              <w:tab/>
            </w:r>
            <w:r>
              <w:rPr>
                <w:b/>
                <w:spacing w:val="-4"/>
                <w:sz w:val="18"/>
              </w:rPr>
              <w:t>2022</w:t>
            </w:r>
          </w:p>
          <w:p w14:paraId="5A08C3E9" w14:textId="77777777" w:rsidR="00AC6F3C" w:rsidRDefault="00570E88">
            <w:pPr>
              <w:pStyle w:val="TableParagraph"/>
              <w:tabs>
                <w:tab w:val="left" w:pos="1647"/>
              </w:tabs>
              <w:spacing w:before="76"/>
              <w:ind w:right="21"/>
              <w:jc w:val="right"/>
              <w:rPr>
                <w:b/>
                <w:sz w:val="18"/>
              </w:rPr>
            </w:pPr>
            <w:r>
              <w:rPr>
                <w:b/>
                <w:spacing w:val="-2"/>
                <w:sz w:val="18"/>
              </w:rPr>
              <w:t>$'000</w:t>
            </w:r>
            <w:r>
              <w:rPr>
                <w:b/>
                <w:sz w:val="18"/>
              </w:rPr>
              <w:tab/>
            </w:r>
            <w:r>
              <w:rPr>
                <w:b/>
                <w:spacing w:val="-4"/>
                <w:sz w:val="18"/>
              </w:rPr>
              <w:t>$'000</w:t>
            </w:r>
          </w:p>
        </w:tc>
      </w:tr>
      <w:tr w:rsidR="00AC6F3C" w14:paraId="398395E9" w14:textId="77777777">
        <w:trPr>
          <w:trHeight w:val="294"/>
        </w:trPr>
        <w:tc>
          <w:tcPr>
            <w:tcW w:w="5413" w:type="dxa"/>
            <w:tcBorders>
              <w:top w:val="single" w:sz="6" w:space="0" w:color="000000"/>
              <w:left w:val="single" w:sz="6" w:space="0" w:color="000000"/>
            </w:tcBorders>
          </w:tcPr>
          <w:p w14:paraId="3BA2B09A" w14:textId="77777777" w:rsidR="00AC6F3C" w:rsidRDefault="00570E88">
            <w:pPr>
              <w:pStyle w:val="TableParagraph"/>
              <w:spacing w:before="54"/>
              <w:ind w:left="37"/>
              <w:rPr>
                <w:sz w:val="18"/>
              </w:rPr>
            </w:pPr>
            <w:r>
              <w:rPr>
                <w:sz w:val="18"/>
              </w:rPr>
              <w:t>Opening</w:t>
            </w:r>
            <w:r>
              <w:rPr>
                <w:spacing w:val="6"/>
                <w:sz w:val="18"/>
              </w:rPr>
              <w:t xml:space="preserve"> </w:t>
            </w:r>
            <w:r>
              <w:rPr>
                <w:sz w:val="18"/>
              </w:rPr>
              <w:t>notified</w:t>
            </w:r>
            <w:r>
              <w:rPr>
                <w:spacing w:val="7"/>
                <w:sz w:val="18"/>
              </w:rPr>
              <w:t xml:space="preserve"> </w:t>
            </w:r>
            <w:r>
              <w:rPr>
                <w:spacing w:val="-2"/>
                <w:sz w:val="18"/>
              </w:rPr>
              <w:t>claims</w:t>
            </w:r>
          </w:p>
        </w:tc>
        <w:tc>
          <w:tcPr>
            <w:tcW w:w="1662" w:type="dxa"/>
            <w:tcBorders>
              <w:top w:val="single" w:sz="6" w:space="0" w:color="000000"/>
            </w:tcBorders>
            <w:shd w:val="clear" w:color="auto" w:fill="F1F1F1"/>
          </w:tcPr>
          <w:p w14:paraId="6B5DE3DA" w14:textId="77777777" w:rsidR="00AC6F3C" w:rsidRDefault="00570E88">
            <w:pPr>
              <w:pStyle w:val="TableParagraph"/>
              <w:spacing w:before="54"/>
              <w:ind w:right="35"/>
              <w:jc w:val="right"/>
              <w:rPr>
                <w:sz w:val="18"/>
              </w:rPr>
            </w:pPr>
            <w:r>
              <w:rPr>
                <w:spacing w:val="-2"/>
                <w:sz w:val="18"/>
              </w:rPr>
              <w:t>3,777</w:t>
            </w:r>
          </w:p>
        </w:tc>
        <w:tc>
          <w:tcPr>
            <w:tcW w:w="1640" w:type="dxa"/>
            <w:tcBorders>
              <w:top w:val="single" w:sz="6" w:space="0" w:color="000000"/>
              <w:right w:val="single" w:sz="6" w:space="0" w:color="000000"/>
            </w:tcBorders>
          </w:tcPr>
          <w:p w14:paraId="0BFB0F38" w14:textId="77777777" w:rsidR="00AC6F3C" w:rsidRDefault="00570E88">
            <w:pPr>
              <w:pStyle w:val="TableParagraph"/>
              <w:spacing w:before="54"/>
              <w:ind w:right="21"/>
              <w:jc w:val="right"/>
              <w:rPr>
                <w:sz w:val="18"/>
              </w:rPr>
            </w:pPr>
            <w:r>
              <w:rPr>
                <w:spacing w:val="-2"/>
                <w:sz w:val="18"/>
              </w:rPr>
              <w:t>6,046</w:t>
            </w:r>
          </w:p>
        </w:tc>
      </w:tr>
      <w:tr w:rsidR="00AC6F3C" w14:paraId="49CFA4C1" w14:textId="77777777">
        <w:trPr>
          <w:trHeight w:val="282"/>
        </w:trPr>
        <w:tc>
          <w:tcPr>
            <w:tcW w:w="5413" w:type="dxa"/>
            <w:tcBorders>
              <w:left w:val="single" w:sz="6" w:space="0" w:color="000000"/>
            </w:tcBorders>
          </w:tcPr>
          <w:p w14:paraId="081AD8D3" w14:textId="77777777" w:rsidR="00AC6F3C" w:rsidRDefault="00570E88">
            <w:pPr>
              <w:pStyle w:val="TableParagraph"/>
              <w:spacing w:before="27"/>
              <w:ind w:left="37"/>
              <w:rPr>
                <w:sz w:val="18"/>
              </w:rPr>
            </w:pPr>
            <w:r>
              <w:rPr>
                <w:sz w:val="18"/>
              </w:rPr>
              <w:t>Add</w:t>
            </w:r>
            <w:r>
              <w:rPr>
                <w:spacing w:val="3"/>
                <w:sz w:val="18"/>
              </w:rPr>
              <w:t xml:space="preserve"> </w:t>
            </w:r>
            <w:r>
              <w:rPr>
                <w:sz w:val="18"/>
              </w:rPr>
              <w:t>notified</w:t>
            </w:r>
            <w:r>
              <w:rPr>
                <w:spacing w:val="4"/>
                <w:sz w:val="18"/>
              </w:rPr>
              <w:t xml:space="preserve"> </w:t>
            </w:r>
            <w:r>
              <w:rPr>
                <w:sz w:val="18"/>
              </w:rPr>
              <w:t>claims</w:t>
            </w:r>
            <w:r>
              <w:rPr>
                <w:spacing w:val="14"/>
                <w:sz w:val="18"/>
              </w:rPr>
              <w:t xml:space="preserve"> </w:t>
            </w:r>
            <w:r>
              <w:rPr>
                <w:sz w:val="18"/>
              </w:rPr>
              <w:t>(net</w:t>
            </w:r>
            <w:r>
              <w:rPr>
                <w:spacing w:val="-7"/>
                <w:sz w:val="18"/>
              </w:rPr>
              <w:t xml:space="preserve"> </w:t>
            </w:r>
            <w:r>
              <w:rPr>
                <w:sz w:val="18"/>
              </w:rPr>
              <w:t>of</w:t>
            </w:r>
            <w:r>
              <w:rPr>
                <w:spacing w:val="-7"/>
                <w:sz w:val="18"/>
              </w:rPr>
              <w:t xml:space="preserve"> </w:t>
            </w:r>
            <w:r>
              <w:rPr>
                <w:spacing w:val="-2"/>
                <w:sz w:val="18"/>
              </w:rPr>
              <w:t>reversals)</w:t>
            </w:r>
          </w:p>
        </w:tc>
        <w:tc>
          <w:tcPr>
            <w:tcW w:w="1662" w:type="dxa"/>
            <w:shd w:val="clear" w:color="auto" w:fill="F1F1F1"/>
          </w:tcPr>
          <w:p w14:paraId="08FCCD94" w14:textId="77777777" w:rsidR="00AC6F3C" w:rsidRDefault="00570E88">
            <w:pPr>
              <w:pStyle w:val="TableParagraph"/>
              <w:spacing w:before="27"/>
              <w:ind w:right="35"/>
              <w:jc w:val="right"/>
              <w:rPr>
                <w:sz w:val="18"/>
              </w:rPr>
            </w:pPr>
            <w:r>
              <w:rPr>
                <w:spacing w:val="-5"/>
                <w:sz w:val="18"/>
              </w:rPr>
              <w:t>973</w:t>
            </w:r>
          </w:p>
        </w:tc>
        <w:tc>
          <w:tcPr>
            <w:tcW w:w="1640" w:type="dxa"/>
            <w:tcBorders>
              <w:right w:val="single" w:sz="6" w:space="0" w:color="000000"/>
            </w:tcBorders>
          </w:tcPr>
          <w:p w14:paraId="65675FB6" w14:textId="77777777" w:rsidR="00AC6F3C" w:rsidRDefault="00570E88">
            <w:pPr>
              <w:pStyle w:val="TableParagraph"/>
              <w:spacing w:before="27"/>
              <w:ind w:right="21"/>
              <w:jc w:val="right"/>
              <w:rPr>
                <w:sz w:val="18"/>
              </w:rPr>
            </w:pPr>
            <w:r>
              <w:rPr>
                <w:spacing w:val="-2"/>
                <w:sz w:val="18"/>
              </w:rPr>
              <w:t>3,388</w:t>
            </w:r>
          </w:p>
        </w:tc>
      </w:tr>
      <w:tr w:rsidR="00AC6F3C" w14:paraId="5D9D1C92" w14:textId="77777777">
        <w:trPr>
          <w:trHeight w:val="255"/>
        </w:trPr>
        <w:tc>
          <w:tcPr>
            <w:tcW w:w="5413" w:type="dxa"/>
            <w:tcBorders>
              <w:left w:val="single" w:sz="6" w:space="0" w:color="000000"/>
              <w:bottom w:val="single" w:sz="6" w:space="0" w:color="000000"/>
            </w:tcBorders>
          </w:tcPr>
          <w:p w14:paraId="3DF05F93" w14:textId="77777777" w:rsidR="00AC6F3C" w:rsidRDefault="00570E88">
            <w:pPr>
              <w:pStyle w:val="TableParagraph"/>
              <w:spacing w:before="41" w:line="193" w:lineRule="exact"/>
              <w:ind w:left="37"/>
              <w:rPr>
                <w:sz w:val="18"/>
              </w:rPr>
            </w:pPr>
            <w:r>
              <w:rPr>
                <w:sz w:val="18"/>
              </w:rPr>
              <w:t>Less</w:t>
            </w:r>
            <w:r>
              <w:rPr>
                <w:spacing w:val="20"/>
                <w:sz w:val="18"/>
              </w:rPr>
              <w:t xml:space="preserve"> </w:t>
            </w:r>
            <w:r>
              <w:rPr>
                <w:sz w:val="18"/>
              </w:rPr>
              <w:t>payment</w:t>
            </w:r>
            <w:r>
              <w:rPr>
                <w:spacing w:val="-4"/>
                <w:sz w:val="18"/>
              </w:rPr>
              <w:t xml:space="preserve"> </w:t>
            </w:r>
            <w:r>
              <w:rPr>
                <w:sz w:val="18"/>
              </w:rPr>
              <w:t>of</w:t>
            </w:r>
            <w:r>
              <w:rPr>
                <w:spacing w:val="-3"/>
                <w:sz w:val="18"/>
              </w:rPr>
              <w:t xml:space="preserve"> </w:t>
            </w:r>
            <w:r>
              <w:rPr>
                <w:sz w:val="18"/>
              </w:rPr>
              <w:t>notified</w:t>
            </w:r>
            <w:r>
              <w:rPr>
                <w:spacing w:val="8"/>
                <w:sz w:val="18"/>
              </w:rPr>
              <w:t xml:space="preserve"> </w:t>
            </w:r>
            <w:r>
              <w:rPr>
                <w:spacing w:val="-2"/>
                <w:sz w:val="18"/>
              </w:rPr>
              <w:t>claims</w:t>
            </w:r>
          </w:p>
        </w:tc>
        <w:tc>
          <w:tcPr>
            <w:tcW w:w="1662" w:type="dxa"/>
            <w:tcBorders>
              <w:bottom w:val="single" w:sz="6" w:space="0" w:color="000000"/>
            </w:tcBorders>
            <w:shd w:val="clear" w:color="auto" w:fill="F1F1F1"/>
          </w:tcPr>
          <w:p w14:paraId="498F4D9D" w14:textId="77777777" w:rsidR="00AC6F3C" w:rsidRDefault="00570E88">
            <w:pPr>
              <w:pStyle w:val="TableParagraph"/>
              <w:spacing w:before="41" w:line="193" w:lineRule="exact"/>
              <w:ind w:right="30"/>
              <w:jc w:val="right"/>
              <w:rPr>
                <w:sz w:val="18"/>
              </w:rPr>
            </w:pPr>
            <w:r>
              <w:rPr>
                <w:spacing w:val="-2"/>
                <w:sz w:val="18"/>
              </w:rPr>
              <w:t>(2,847)</w:t>
            </w:r>
          </w:p>
        </w:tc>
        <w:tc>
          <w:tcPr>
            <w:tcW w:w="1640" w:type="dxa"/>
            <w:tcBorders>
              <w:bottom w:val="single" w:sz="6" w:space="0" w:color="000000"/>
              <w:right w:val="single" w:sz="6" w:space="0" w:color="000000"/>
            </w:tcBorders>
          </w:tcPr>
          <w:p w14:paraId="19A15741" w14:textId="77777777" w:rsidR="00AC6F3C" w:rsidRDefault="00570E88">
            <w:pPr>
              <w:pStyle w:val="TableParagraph"/>
              <w:spacing w:before="41" w:line="193" w:lineRule="exact"/>
              <w:ind w:right="16"/>
              <w:jc w:val="right"/>
              <w:rPr>
                <w:sz w:val="18"/>
              </w:rPr>
            </w:pPr>
            <w:r>
              <w:rPr>
                <w:spacing w:val="-2"/>
                <w:sz w:val="18"/>
              </w:rPr>
              <w:t>(5,657)</w:t>
            </w:r>
          </w:p>
        </w:tc>
      </w:tr>
      <w:tr w:rsidR="00AC6F3C" w14:paraId="26046387" w14:textId="77777777">
        <w:trPr>
          <w:trHeight w:val="267"/>
        </w:trPr>
        <w:tc>
          <w:tcPr>
            <w:tcW w:w="5413" w:type="dxa"/>
            <w:tcBorders>
              <w:top w:val="single" w:sz="6" w:space="0" w:color="000000"/>
              <w:left w:val="single" w:sz="6" w:space="0" w:color="000000"/>
              <w:bottom w:val="single" w:sz="6" w:space="0" w:color="000000"/>
            </w:tcBorders>
            <w:shd w:val="clear" w:color="auto" w:fill="BEBEBE"/>
          </w:tcPr>
          <w:p w14:paraId="6F5E0393" w14:textId="77777777" w:rsidR="00AC6F3C" w:rsidRDefault="00570E88">
            <w:pPr>
              <w:pStyle w:val="TableParagraph"/>
              <w:spacing w:before="39"/>
              <w:ind w:left="37"/>
              <w:rPr>
                <w:b/>
                <w:sz w:val="18"/>
              </w:rPr>
            </w:pPr>
            <w:r>
              <w:rPr>
                <w:b/>
                <w:spacing w:val="-4"/>
                <w:sz w:val="18"/>
              </w:rPr>
              <w:t>Total</w:t>
            </w:r>
            <w:r>
              <w:rPr>
                <w:b/>
                <w:spacing w:val="-8"/>
                <w:sz w:val="18"/>
              </w:rPr>
              <w:t xml:space="preserve"> </w:t>
            </w:r>
            <w:r>
              <w:rPr>
                <w:b/>
                <w:spacing w:val="-4"/>
                <w:sz w:val="18"/>
              </w:rPr>
              <w:t>provision</w:t>
            </w:r>
            <w:r>
              <w:rPr>
                <w:b/>
                <w:spacing w:val="-8"/>
                <w:sz w:val="18"/>
              </w:rPr>
              <w:t xml:space="preserve"> </w:t>
            </w:r>
            <w:r>
              <w:rPr>
                <w:b/>
                <w:spacing w:val="-4"/>
                <w:sz w:val="18"/>
              </w:rPr>
              <w:t>for</w:t>
            </w:r>
            <w:r>
              <w:rPr>
                <w:b/>
                <w:spacing w:val="3"/>
                <w:sz w:val="18"/>
              </w:rPr>
              <w:t xml:space="preserve"> </w:t>
            </w:r>
            <w:r>
              <w:rPr>
                <w:b/>
                <w:spacing w:val="-4"/>
                <w:sz w:val="18"/>
              </w:rPr>
              <w:t>notified</w:t>
            </w:r>
            <w:r>
              <w:rPr>
                <w:b/>
                <w:spacing w:val="-8"/>
                <w:sz w:val="18"/>
              </w:rPr>
              <w:t xml:space="preserve"> </w:t>
            </w:r>
            <w:r>
              <w:rPr>
                <w:b/>
                <w:spacing w:val="-4"/>
                <w:sz w:val="18"/>
              </w:rPr>
              <w:t>claims</w:t>
            </w:r>
          </w:p>
        </w:tc>
        <w:tc>
          <w:tcPr>
            <w:tcW w:w="1662" w:type="dxa"/>
            <w:tcBorders>
              <w:top w:val="single" w:sz="6" w:space="0" w:color="000000"/>
              <w:bottom w:val="single" w:sz="6" w:space="0" w:color="000000"/>
            </w:tcBorders>
            <w:shd w:val="clear" w:color="auto" w:fill="BEBEBE"/>
          </w:tcPr>
          <w:p w14:paraId="04BC05E2" w14:textId="77777777" w:rsidR="00AC6F3C" w:rsidRDefault="00570E88">
            <w:pPr>
              <w:pStyle w:val="TableParagraph"/>
              <w:spacing w:before="39"/>
              <w:ind w:right="35"/>
              <w:jc w:val="right"/>
              <w:rPr>
                <w:b/>
                <w:sz w:val="18"/>
              </w:rPr>
            </w:pPr>
            <w:r>
              <w:rPr>
                <w:b/>
                <w:spacing w:val="-2"/>
                <w:sz w:val="18"/>
              </w:rPr>
              <w:t>1,903</w:t>
            </w:r>
          </w:p>
        </w:tc>
        <w:tc>
          <w:tcPr>
            <w:tcW w:w="1640" w:type="dxa"/>
            <w:tcBorders>
              <w:top w:val="single" w:sz="6" w:space="0" w:color="000000"/>
              <w:bottom w:val="single" w:sz="6" w:space="0" w:color="000000"/>
              <w:right w:val="single" w:sz="6" w:space="0" w:color="000000"/>
            </w:tcBorders>
            <w:shd w:val="clear" w:color="auto" w:fill="BEBEBE"/>
          </w:tcPr>
          <w:p w14:paraId="3C3A5CBC" w14:textId="77777777" w:rsidR="00AC6F3C" w:rsidRDefault="00570E88">
            <w:pPr>
              <w:pStyle w:val="TableParagraph"/>
              <w:spacing w:before="39"/>
              <w:ind w:right="20"/>
              <w:jc w:val="right"/>
              <w:rPr>
                <w:b/>
                <w:sz w:val="18"/>
              </w:rPr>
            </w:pPr>
            <w:r>
              <w:rPr>
                <w:b/>
                <w:spacing w:val="-2"/>
                <w:sz w:val="18"/>
              </w:rPr>
              <w:t>3,777</w:t>
            </w:r>
          </w:p>
        </w:tc>
      </w:tr>
    </w:tbl>
    <w:p w14:paraId="116AF39C" w14:textId="77777777" w:rsidR="00AC6F3C" w:rsidRDefault="00AC6F3C">
      <w:pPr>
        <w:pStyle w:val="BodyText"/>
      </w:pPr>
    </w:p>
    <w:p w14:paraId="4F1058AD" w14:textId="77777777" w:rsidR="00AC6F3C" w:rsidRDefault="00AC6F3C">
      <w:pPr>
        <w:pStyle w:val="BodyText"/>
        <w:spacing w:before="7"/>
        <w:rPr>
          <w:sz w:val="21"/>
        </w:rPr>
      </w:pPr>
    </w:p>
    <w:p w14:paraId="4126B6BF" w14:textId="77777777" w:rsidR="00AC6F3C" w:rsidRDefault="00570E88">
      <w:pPr>
        <w:tabs>
          <w:tab w:val="left" w:pos="1687"/>
        </w:tabs>
        <w:ind w:left="979"/>
        <w:rPr>
          <w:b/>
          <w:sz w:val="28"/>
        </w:rPr>
      </w:pPr>
      <w:r>
        <w:rPr>
          <w:b/>
          <w:spacing w:val="-5"/>
          <w:sz w:val="28"/>
        </w:rPr>
        <w:t>D1</w:t>
      </w:r>
      <w:r>
        <w:rPr>
          <w:b/>
          <w:sz w:val="28"/>
        </w:rPr>
        <w:tab/>
        <w:t>CRITICAL</w:t>
      </w:r>
      <w:r>
        <w:rPr>
          <w:b/>
          <w:spacing w:val="-6"/>
          <w:sz w:val="28"/>
        </w:rPr>
        <w:t xml:space="preserve"> </w:t>
      </w:r>
      <w:r>
        <w:rPr>
          <w:b/>
          <w:sz w:val="28"/>
        </w:rPr>
        <w:t>ACCOUNTING</w:t>
      </w:r>
      <w:r>
        <w:rPr>
          <w:b/>
          <w:spacing w:val="-9"/>
          <w:sz w:val="28"/>
        </w:rPr>
        <w:t xml:space="preserve"> </w:t>
      </w:r>
      <w:r>
        <w:rPr>
          <w:b/>
          <w:sz w:val="28"/>
        </w:rPr>
        <w:t>ESTIMATES</w:t>
      </w:r>
      <w:r>
        <w:rPr>
          <w:b/>
          <w:spacing w:val="-7"/>
          <w:sz w:val="28"/>
        </w:rPr>
        <w:t xml:space="preserve"> </w:t>
      </w:r>
      <w:r>
        <w:rPr>
          <w:b/>
          <w:sz w:val="28"/>
        </w:rPr>
        <w:t>AND</w:t>
      </w:r>
      <w:r>
        <w:rPr>
          <w:b/>
          <w:spacing w:val="-7"/>
          <w:sz w:val="28"/>
        </w:rPr>
        <w:t xml:space="preserve"> </w:t>
      </w:r>
      <w:r>
        <w:rPr>
          <w:b/>
          <w:spacing w:val="-2"/>
          <w:sz w:val="28"/>
        </w:rPr>
        <w:t>JUDGEMENTS</w:t>
      </w:r>
    </w:p>
    <w:p w14:paraId="053D8552" w14:textId="77777777" w:rsidR="00AC6F3C" w:rsidRDefault="00570E88">
      <w:pPr>
        <w:spacing w:before="240"/>
        <w:ind w:left="979" w:right="468"/>
        <w:rPr>
          <w:sz w:val="18"/>
        </w:rPr>
      </w:pPr>
      <w:r>
        <w:rPr>
          <w:sz w:val="18"/>
        </w:rPr>
        <w:t xml:space="preserve">The preparation of the financial report requires the making of estimations and assumptions that affect the </w:t>
      </w:r>
      <w:proofErr w:type="spellStart"/>
      <w:r>
        <w:rPr>
          <w:sz w:val="18"/>
        </w:rPr>
        <w:t>recognised</w:t>
      </w:r>
      <w:proofErr w:type="spellEnd"/>
      <w:r>
        <w:rPr>
          <w:spacing w:val="-4"/>
          <w:sz w:val="18"/>
        </w:rPr>
        <w:t xml:space="preserve"> </w:t>
      </w:r>
      <w:r>
        <w:rPr>
          <w:sz w:val="18"/>
        </w:rPr>
        <w:t>amounts</w:t>
      </w:r>
      <w:r>
        <w:rPr>
          <w:spacing w:val="-1"/>
          <w:sz w:val="18"/>
        </w:rPr>
        <w:t xml:space="preserve"> </w:t>
      </w:r>
      <w:r>
        <w:rPr>
          <w:sz w:val="18"/>
        </w:rPr>
        <w:t>of</w:t>
      </w:r>
      <w:r>
        <w:rPr>
          <w:spacing w:val="-4"/>
          <w:sz w:val="18"/>
        </w:rPr>
        <w:t xml:space="preserve"> </w:t>
      </w:r>
      <w:r>
        <w:rPr>
          <w:sz w:val="18"/>
        </w:rPr>
        <w:t>claims</w:t>
      </w:r>
      <w:r>
        <w:rPr>
          <w:spacing w:val="-3"/>
          <w:sz w:val="18"/>
        </w:rPr>
        <w:t xml:space="preserve"> </w:t>
      </w:r>
      <w:r>
        <w:rPr>
          <w:sz w:val="18"/>
        </w:rPr>
        <w:t>liabilities.</w:t>
      </w:r>
      <w:r>
        <w:rPr>
          <w:spacing w:val="40"/>
          <w:sz w:val="18"/>
        </w:rPr>
        <w:t xml:space="preserve"> </w:t>
      </w:r>
      <w:r>
        <w:rPr>
          <w:sz w:val="18"/>
        </w:rPr>
        <w:t>The</w:t>
      </w:r>
      <w:r>
        <w:rPr>
          <w:spacing w:val="-1"/>
          <w:sz w:val="18"/>
        </w:rPr>
        <w:t xml:space="preserve"> </w:t>
      </w:r>
      <w:r>
        <w:rPr>
          <w:sz w:val="18"/>
        </w:rPr>
        <w:t>estimates</w:t>
      </w:r>
      <w:r>
        <w:rPr>
          <w:spacing w:val="-1"/>
          <w:sz w:val="18"/>
        </w:rPr>
        <w:t xml:space="preserve"> </w:t>
      </w:r>
      <w:r>
        <w:rPr>
          <w:sz w:val="18"/>
        </w:rPr>
        <w:t>and</w:t>
      </w:r>
      <w:r>
        <w:rPr>
          <w:spacing w:val="-4"/>
          <w:sz w:val="18"/>
        </w:rPr>
        <w:t xml:space="preserve"> </w:t>
      </w:r>
      <w:r>
        <w:rPr>
          <w:sz w:val="18"/>
        </w:rPr>
        <w:t>associated</w:t>
      </w:r>
      <w:r>
        <w:rPr>
          <w:spacing w:val="-4"/>
          <w:sz w:val="18"/>
        </w:rPr>
        <w:t xml:space="preserve"> </w:t>
      </w:r>
      <w:r>
        <w:rPr>
          <w:sz w:val="18"/>
        </w:rPr>
        <w:t>assumptions</w:t>
      </w:r>
      <w:r>
        <w:rPr>
          <w:spacing w:val="-1"/>
          <w:sz w:val="18"/>
        </w:rPr>
        <w:t xml:space="preserve"> </w:t>
      </w:r>
      <w:r>
        <w:rPr>
          <w:sz w:val="18"/>
        </w:rPr>
        <w:t>are</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historical experience and various other factors that are believed to be reasonable under the circumstances, including likely assessments of each claim based on facts present.</w:t>
      </w:r>
      <w:r>
        <w:rPr>
          <w:spacing w:val="40"/>
          <w:sz w:val="18"/>
        </w:rPr>
        <w:t xml:space="preserve"> </w:t>
      </w:r>
      <w:r>
        <w:rPr>
          <w:sz w:val="18"/>
        </w:rPr>
        <w:t>Actual results may differ from these estimates.</w:t>
      </w:r>
    </w:p>
    <w:p w14:paraId="24305CA7" w14:textId="77777777" w:rsidR="00AC6F3C" w:rsidRDefault="00AC6F3C">
      <w:pPr>
        <w:pStyle w:val="BodyText"/>
        <w:spacing w:before="10"/>
      </w:pPr>
    </w:p>
    <w:p w14:paraId="6E5F3F8B" w14:textId="77777777" w:rsidR="00AC6F3C" w:rsidRDefault="00570E88">
      <w:pPr>
        <w:ind w:left="980" w:right="730" w:hanging="1"/>
        <w:rPr>
          <w:sz w:val="18"/>
        </w:rPr>
      </w:pPr>
      <w:r>
        <w:rPr>
          <w:sz w:val="18"/>
        </w:rPr>
        <w:t>The estimates and underlying assumptions are reviewed on an ongoing basis.</w:t>
      </w:r>
      <w:r>
        <w:rPr>
          <w:spacing w:val="40"/>
          <w:sz w:val="18"/>
        </w:rPr>
        <w:t xml:space="preserve"> </w:t>
      </w:r>
      <w:r>
        <w:rPr>
          <w:sz w:val="18"/>
        </w:rPr>
        <w:t>Revisions to accounting estimates</w:t>
      </w:r>
      <w:r>
        <w:rPr>
          <w:spacing w:val="-1"/>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period</w:t>
      </w:r>
      <w:r>
        <w:rPr>
          <w:spacing w:val="-1"/>
          <w:sz w:val="18"/>
        </w:rPr>
        <w:t xml:space="preserve"> </w:t>
      </w:r>
      <w:r>
        <w:rPr>
          <w:sz w:val="18"/>
        </w:rPr>
        <w:t>in</w:t>
      </w:r>
      <w:r>
        <w:rPr>
          <w:spacing w:val="-1"/>
          <w:sz w:val="18"/>
        </w:rPr>
        <w:t xml:space="preserve"> </w:t>
      </w:r>
      <w:r>
        <w:rPr>
          <w:sz w:val="18"/>
        </w:rPr>
        <w:t>which</w:t>
      </w:r>
      <w:r>
        <w:rPr>
          <w:spacing w:val="-1"/>
          <w:sz w:val="18"/>
        </w:rPr>
        <w:t xml:space="preserve"> </w:t>
      </w:r>
      <w:r>
        <w:rPr>
          <w:sz w:val="18"/>
        </w:rPr>
        <w:t>the</w:t>
      </w:r>
      <w:r>
        <w:rPr>
          <w:spacing w:val="-1"/>
          <w:sz w:val="18"/>
        </w:rPr>
        <w:t xml:space="preserve"> </w:t>
      </w:r>
      <w:r>
        <w:rPr>
          <w:sz w:val="18"/>
        </w:rPr>
        <w:t>estimate</w:t>
      </w:r>
      <w:r>
        <w:rPr>
          <w:spacing w:val="-4"/>
          <w:sz w:val="18"/>
        </w:rPr>
        <w:t xml:space="preserve"> </w:t>
      </w:r>
      <w:r>
        <w:rPr>
          <w:sz w:val="18"/>
        </w:rPr>
        <w:t>is</w:t>
      </w:r>
      <w:r>
        <w:rPr>
          <w:spacing w:val="-1"/>
          <w:sz w:val="18"/>
        </w:rPr>
        <w:t xml:space="preserve"> </w:t>
      </w:r>
      <w:r>
        <w:rPr>
          <w:sz w:val="18"/>
        </w:rPr>
        <w:t>revised</w:t>
      </w:r>
      <w:r>
        <w:rPr>
          <w:spacing w:val="-4"/>
          <w:sz w:val="18"/>
        </w:rPr>
        <w:t xml:space="preserve"> </w:t>
      </w:r>
      <w:r>
        <w:rPr>
          <w:sz w:val="18"/>
        </w:rPr>
        <w:t>if</w:t>
      </w:r>
      <w:r>
        <w:rPr>
          <w:spacing w:val="-2"/>
          <w:sz w:val="18"/>
        </w:rPr>
        <w:t xml:space="preserve"> </w:t>
      </w:r>
      <w:r>
        <w:rPr>
          <w:sz w:val="18"/>
        </w:rPr>
        <w:t>the</w:t>
      </w:r>
      <w:r>
        <w:rPr>
          <w:spacing w:val="-1"/>
          <w:sz w:val="18"/>
        </w:rPr>
        <w:t xml:space="preserve"> </w:t>
      </w:r>
      <w:r>
        <w:rPr>
          <w:sz w:val="18"/>
        </w:rPr>
        <w:t>revision</w:t>
      </w:r>
      <w:r>
        <w:rPr>
          <w:spacing w:val="-4"/>
          <w:sz w:val="18"/>
        </w:rPr>
        <w:t xml:space="preserve"> </w:t>
      </w:r>
      <w:r>
        <w:rPr>
          <w:sz w:val="18"/>
        </w:rPr>
        <w:t>affects</w:t>
      </w:r>
      <w:r>
        <w:rPr>
          <w:spacing w:val="-3"/>
          <w:sz w:val="18"/>
        </w:rPr>
        <w:t xml:space="preserve"> </w:t>
      </w:r>
      <w:r>
        <w:rPr>
          <w:sz w:val="18"/>
        </w:rPr>
        <w:t>only</w:t>
      </w:r>
      <w:r>
        <w:rPr>
          <w:spacing w:val="-1"/>
          <w:sz w:val="18"/>
        </w:rPr>
        <w:t xml:space="preserve"> </w:t>
      </w:r>
      <w:r>
        <w:rPr>
          <w:sz w:val="18"/>
        </w:rPr>
        <w:t>that</w:t>
      </w:r>
      <w:r>
        <w:rPr>
          <w:spacing w:val="-2"/>
          <w:sz w:val="18"/>
        </w:rPr>
        <w:t xml:space="preserve"> </w:t>
      </w:r>
      <w:r>
        <w:rPr>
          <w:sz w:val="18"/>
        </w:rPr>
        <w:t>period or in the period of the revision and future periods if the revision affects both current and future periods.</w:t>
      </w:r>
    </w:p>
    <w:p w14:paraId="57159F45" w14:textId="77777777" w:rsidR="00AC6F3C" w:rsidRDefault="00AC6F3C">
      <w:pPr>
        <w:pStyle w:val="BodyText"/>
        <w:spacing w:before="10"/>
      </w:pPr>
    </w:p>
    <w:p w14:paraId="738C09EE" w14:textId="77777777" w:rsidR="00AC6F3C" w:rsidRDefault="00570E88">
      <w:pPr>
        <w:ind w:left="980" w:right="632"/>
        <w:rPr>
          <w:sz w:val="18"/>
        </w:rPr>
      </w:pPr>
      <w:r>
        <w:rPr>
          <w:sz w:val="18"/>
        </w:rPr>
        <w:t>Other than provision for notified claims disclosed in Note C6, the entity has made no judgements or assumptions</w:t>
      </w:r>
      <w:r>
        <w:rPr>
          <w:spacing w:val="-2"/>
          <w:sz w:val="18"/>
        </w:rPr>
        <w:t xml:space="preserve"> </w:t>
      </w:r>
      <w:r>
        <w:rPr>
          <w:sz w:val="18"/>
        </w:rPr>
        <w:t>which</w:t>
      </w:r>
      <w:r>
        <w:rPr>
          <w:spacing w:val="-4"/>
          <w:sz w:val="18"/>
        </w:rPr>
        <w:t xml:space="preserve"> </w:t>
      </w:r>
      <w:r>
        <w:rPr>
          <w:sz w:val="18"/>
        </w:rPr>
        <w:t>may</w:t>
      </w:r>
      <w:r>
        <w:rPr>
          <w:spacing w:val="-2"/>
          <w:sz w:val="18"/>
        </w:rPr>
        <w:t xml:space="preserve"> </w:t>
      </w:r>
      <w:r>
        <w:rPr>
          <w:sz w:val="18"/>
        </w:rPr>
        <w:t>cause</w:t>
      </w:r>
      <w:r>
        <w:rPr>
          <w:spacing w:val="-4"/>
          <w:sz w:val="18"/>
        </w:rPr>
        <w:t xml:space="preserve"> </w:t>
      </w:r>
      <w:r>
        <w:rPr>
          <w:sz w:val="18"/>
        </w:rPr>
        <w:t>a</w:t>
      </w:r>
      <w:r>
        <w:rPr>
          <w:spacing w:val="-2"/>
          <w:sz w:val="18"/>
        </w:rPr>
        <w:t xml:space="preserve"> </w:t>
      </w:r>
      <w:r>
        <w:rPr>
          <w:sz w:val="18"/>
        </w:rPr>
        <w:t>material</w:t>
      </w:r>
      <w:r>
        <w:rPr>
          <w:spacing w:val="-2"/>
          <w:sz w:val="18"/>
        </w:rPr>
        <w:t xml:space="preserve"> </w:t>
      </w:r>
      <w:r>
        <w:rPr>
          <w:sz w:val="18"/>
        </w:rPr>
        <w:t>adjustment</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carrying</w:t>
      </w:r>
      <w:r>
        <w:rPr>
          <w:spacing w:val="-2"/>
          <w:sz w:val="18"/>
        </w:rPr>
        <w:t xml:space="preserve"> </w:t>
      </w:r>
      <w:r>
        <w:rPr>
          <w:sz w:val="18"/>
        </w:rPr>
        <w:t>amounts</w:t>
      </w:r>
      <w:r>
        <w:rPr>
          <w:spacing w:val="-3"/>
          <w:sz w:val="18"/>
        </w:rPr>
        <w:t xml:space="preserve"> </w:t>
      </w:r>
      <w:r>
        <w:rPr>
          <w:sz w:val="18"/>
        </w:rPr>
        <w:t>of</w:t>
      </w:r>
      <w:r>
        <w:rPr>
          <w:spacing w:val="-3"/>
          <w:sz w:val="18"/>
        </w:rPr>
        <w:t xml:space="preserve"> </w:t>
      </w:r>
      <w:r>
        <w:rPr>
          <w:sz w:val="18"/>
        </w:rPr>
        <w:t>assets</w:t>
      </w:r>
      <w:r>
        <w:rPr>
          <w:spacing w:val="-3"/>
          <w:sz w:val="18"/>
        </w:rPr>
        <w:t xml:space="preserve"> </w:t>
      </w:r>
      <w:r>
        <w:rPr>
          <w:sz w:val="18"/>
        </w:rPr>
        <w:t>and</w:t>
      </w:r>
      <w:r>
        <w:rPr>
          <w:spacing w:val="-4"/>
          <w:sz w:val="18"/>
        </w:rPr>
        <w:t xml:space="preserve"> </w:t>
      </w:r>
      <w:r>
        <w:rPr>
          <w:sz w:val="18"/>
        </w:rPr>
        <w:t>liabilities</w:t>
      </w:r>
      <w:r>
        <w:rPr>
          <w:spacing w:val="-2"/>
          <w:sz w:val="18"/>
        </w:rPr>
        <w:t xml:space="preserve"> </w:t>
      </w:r>
      <w:r>
        <w:rPr>
          <w:sz w:val="18"/>
        </w:rPr>
        <w:t>within the next reporting period.</w:t>
      </w:r>
    </w:p>
    <w:p w14:paraId="5E65F6EE" w14:textId="77777777" w:rsidR="00AC6F3C" w:rsidRDefault="00AC6F3C">
      <w:pPr>
        <w:rPr>
          <w:sz w:val="18"/>
        </w:rPr>
        <w:sectPr w:rsidR="00AC6F3C">
          <w:headerReference w:type="default" r:id="rId254"/>
          <w:footerReference w:type="default" r:id="rId255"/>
          <w:pgSz w:w="11910" w:h="16840"/>
          <w:pgMar w:top="1760" w:right="1160" w:bottom="520" w:left="460" w:header="1228" w:footer="336" w:gutter="0"/>
          <w:cols w:space="720"/>
        </w:sectPr>
      </w:pPr>
    </w:p>
    <w:p w14:paraId="08BEF1E4" w14:textId="77777777" w:rsidR="00AC6F3C" w:rsidRDefault="00AC6F3C">
      <w:pPr>
        <w:pStyle w:val="BodyText"/>
      </w:pPr>
    </w:p>
    <w:p w14:paraId="20525ABF" w14:textId="77777777" w:rsidR="00AC6F3C" w:rsidRDefault="00AC6F3C">
      <w:pPr>
        <w:pStyle w:val="BodyText"/>
        <w:spacing w:before="4"/>
        <w:rPr>
          <w:sz w:val="11"/>
        </w:rPr>
      </w:pPr>
    </w:p>
    <w:p w14:paraId="12701D98"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6CBF5928" wp14:editId="03CC4CD8">
                <wp:extent cx="5603875" cy="6350"/>
                <wp:effectExtent l="0" t="0" r="0" b="0"/>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13" name="Graphic 913"/>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5169A5" id="Group 912"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Cl9QyNdAIAAPYFAAAOAAAAAAAAAAAA&#10;AAAAAC4CAABkcnMvZTJvRG9jLnhtbFBLAQItABQABgAIAAAAIQC/Y0lo2gAAAAMBAAAPAAAAAAAA&#10;AAAAAAAAAM4EAABkcnMvZG93bnJldi54bWxQSwUGAAAAAAQABADzAAAA1QUAAAAA&#10;">
                <v:shape id="Graphic 913"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" path="m5603329,6120l,6120,,,5603329,r,6120xe" fillcolor="black" stroked="f">
                  <v:path arrowok="t"/>
                </v:shape>
                <w10:anchorlock/>
              </v:group>
            </w:pict>
          </mc:Fallback>
        </mc:AlternateContent>
      </w:r>
    </w:p>
    <w:p w14:paraId="722BF947" w14:textId="77777777" w:rsidR="00AC6F3C" w:rsidRDefault="00AC6F3C">
      <w:pPr>
        <w:pStyle w:val="BodyText"/>
        <w:rPr>
          <w:sz w:val="11"/>
        </w:rPr>
      </w:pPr>
    </w:p>
    <w:p w14:paraId="1C070751" w14:textId="77777777" w:rsidR="00AC6F3C" w:rsidRDefault="00570E88">
      <w:pPr>
        <w:tabs>
          <w:tab w:val="left" w:pos="1687"/>
        </w:tabs>
        <w:spacing w:before="92"/>
        <w:ind w:left="1688" w:right="1968" w:hanging="709"/>
        <w:rPr>
          <w:b/>
          <w:sz w:val="28"/>
        </w:rPr>
      </w:pPr>
      <w:r>
        <w:rPr>
          <w:b/>
          <w:spacing w:val="-6"/>
          <w:sz w:val="28"/>
        </w:rPr>
        <w:t>D2</w:t>
      </w:r>
      <w:r>
        <w:rPr>
          <w:b/>
          <w:sz w:val="28"/>
        </w:rPr>
        <w:tab/>
        <w:t>FINANCIAL</w:t>
      </w:r>
      <w:r>
        <w:rPr>
          <w:b/>
          <w:spacing w:val="-7"/>
          <w:sz w:val="28"/>
        </w:rPr>
        <w:t xml:space="preserve"> </w:t>
      </w:r>
      <w:r>
        <w:rPr>
          <w:b/>
          <w:sz w:val="28"/>
        </w:rPr>
        <w:t>INSTRUMENTS</w:t>
      </w:r>
      <w:r>
        <w:rPr>
          <w:b/>
          <w:spacing w:val="-9"/>
          <w:sz w:val="28"/>
        </w:rPr>
        <w:t xml:space="preserve"> </w:t>
      </w:r>
      <w:r>
        <w:rPr>
          <w:b/>
          <w:sz w:val="28"/>
        </w:rPr>
        <w:t>AND</w:t>
      </w:r>
      <w:r>
        <w:rPr>
          <w:b/>
          <w:spacing w:val="-7"/>
          <w:sz w:val="28"/>
        </w:rPr>
        <w:t xml:space="preserve"> </w:t>
      </w:r>
      <w:r>
        <w:rPr>
          <w:b/>
          <w:sz w:val="28"/>
        </w:rPr>
        <w:t>FINANCIAL</w:t>
      </w:r>
      <w:r>
        <w:rPr>
          <w:b/>
          <w:spacing w:val="-10"/>
          <w:sz w:val="28"/>
        </w:rPr>
        <w:t xml:space="preserve"> </w:t>
      </w:r>
      <w:r>
        <w:rPr>
          <w:b/>
          <w:sz w:val="28"/>
        </w:rPr>
        <w:t xml:space="preserve">RISK </w:t>
      </w:r>
      <w:r>
        <w:rPr>
          <w:b/>
          <w:spacing w:val="-2"/>
          <w:sz w:val="28"/>
        </w:rPr>
        <w:t>MANAGEMENT</w:t>
      </w:r>
    </w:p>
    <w:p w14:paraId="54B05EE7" w14:textId="77777777" w:rsidR="00AC6F3C" w:rsidRDefault="00570E88">
      <w:pPr>
        <w:spacing w:before="119"/>
        <w:ind w:left="979"/>
        <w:rPr>
          <w:b/>
          <w:sz w:val="18"/>
        </w:rPr>
      </w:pPr>
      <w:r>
        <w:rPr>
          <w:b/>
          <w:sz w:val="18"/>
        </w:rPr>
        <w:t>Recognition</w:t>
      </w:r>
      <w:r>
        <w:rPr>
          <w:b/>
          <w:spacing w:val="-2"/>
          <w:sz w:val="18"/>
        </w:rPr>
        <w:t xml:space="preserve"> </w:t>
      </w:r>
      <w:r>
        <w:rPr>
          <w:b/>
          <w:sz w:val="18"/>
        </w:rPr>
        <w:t>of</w:t>
      </w:r>
      <w:r>
        <w:rPr>
          <w:b/>
          <w:spacing w:val="-2"/>
          <w:sz w:val="18"/>
        </w:rPr>
        <w:t xml:space="preserve"> </w:t>
      </w:r>
      <w:r>
        <w:rPr>
          <w:b/>
          <w:sz w:val="18"/>
        </w:rPr>
        <w:t>Financial</w:t>
      </w:r>
      <w:r>
        <w:rPr>
          <w:b/>
          <w:spacing w:val="-2"/>
          <w:sz w:val="18"/>
        </w:rPr>
        <w:t xml:space="preserve"> Instruments</w:t>
      </w:r>
    </w:p>
    <w:p w14:paraId="0D35B1C4" w14:textId="77777777" w:rsidR="00AC6F3C" w:rsidRDefault="00AC6F3C">
      <w:pPr>
        <w:pStyle w:val="BodyText"/>
        <w:spacing w:before="11"/>
        <w:rPr>
          <w:b/>
          <w:sz w:val="17"/>
        </w:rPr>
      </w:pPr>
    </w:p>
    <w:p w14:paraId="5FF16A9E" w14:textId="77777777" w:rsidR="00AC6F3C" w:rsidRDefault="00570E88">
      <w:pPr>
        <w:ind w:left="980" w:right="468"/>
        <w:rPr>
          <w:sz w:val="18"/>
        </w:rPr>
      </w:pPr>
      <w:r>
        <w:rPr>
          <w:sz w:val="18"/>
        </w:rPr>
        <w:t>Financial</w:t>
      </w:r>
      <w:r>
        <w:rPr>
          <w:spacing w:val="-1"/>
          <w:sz w:val="18"/>
        </w:rPr>
        <w:t xml:space="preserve"> </w:t>
      </w:r>
      <w:r>
        <w:rPr>
          <w:sz w:val="18"/>
        </w:rPr>
        <w:t>assets</w:t>
      </w:r>
      <w:r>
        <w:rPr>
          <w:spacing w:val="-3"/>
          <w:sz w:val="18"/>
        </w:rPr>
        <w:t xml:space="preserve"> </w:t>
      </w:r>
      <w:r>
        <w:rPr>
          <w:sz w:val="18"/>
        </w:rPr>
        <w:t>and</w:t>
      </w:r>
      <w:r>
        <w:rPr>
          <w:spacing w:val="-4"/>
          <w:sz w:val="18"/>
        </w:rPr>
        <w:t xml:space="preserve"> </w:t>
      </w:r>
      <w:r>
        <w:rPr>
          <w:sz w:val="18"/>
        </w:rPr>
        <w:t>financial</w:t>
      </w:r>
      <w:r>
        <w:rPr>
          <w:spacing w:val="-4"/>
          <w:sz w:val="18"/>
        </w:rPr>
        <w:t xml:space="preserve"> </w:t>
      </w:r>
      <w:r>
        <w:rPr>
          <w:sz w:val="18"/>
        </w:rPr>
        <w:t>liabilities</w:t>
      </w:r>
      <w:r>
        <w:rPr>
          <w:spacing w:val="-3"/>
          <w:sz w:val="18"/>
        </w:rPr>
        <w:t xml:space="preserve"> </w:t>
      </w:r>
      <w:r>
        <w:rPr>
          <w:sz w:val="18"/>
        </w:rPr>
        <w:t>are</w:t>
      </w:r>
      <w:r>
        <w:rPr>
          <w:spacing w:val="-1"/>
          <w:sz w:val="18"/>
        </w:rPr>
        <w:t xml:space="preserve"> </w:t>
      </w:r>
      <w:proofErr w:type="spellStart"/>
      <w:r>
        <w:rPr>
          <w:sz w:val="18"/>
        </w:rPr>
        <w:t>recognised</w:t>
      </w:r>
      <w:proofErr w:type="spellEnd"/>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Statement</w:t>
      </w:r>
      <w:r>
        <w:rPr>
          <w:spacing w:val="-4"/>
          <w:sz w:val="18"/>
        </w:rPr>
        <w:t xml:space="preserve"> </w:t>
      </w:r>
      <w:r>
        <w:rPr>
          <w:sz w:val="18"/>
        </w:rPr>
        <w:t>of</w:t>
      </w:r>
      <w:r>
        <w:rPr>
          <w:spacing w:val="-2"/>
          <w:sz w:val="18"/>
        </w:rPr>
        <w:t xml:space="preserve"> </w:t>
      </w:r>
      <w:r>
        <w:rPr>
          <w:sz w:val="18"/>
        </w:rPr>
        <w:t>Financial</w:t>
      </w:r>
      <w:r>
        <w:rPr>
          <w:spacing w:val="-1"/>
          <w:sz w:val="18"/>
        </w:rPr>
        <w:t xml:space="preserve"> </w:t>
      </w:r>
      <w:r>
        <w:rPr>
          <w:sz w:val="18"/>
        </w:rPr>
        <w:t>Position</w:t>
      </w:r>
      <w:r>
        <w:rPr>
          <w:spacing w:val="-1"/>
          <w:sz w:val="18"/>
        </w:rPr>
        <w:t xml:space="preserve"> </w:t>
      </w:r>
      <w:r>
        <w:rPr>
          <w:sz w:val="18"/>
        </w:rPr>
        <w:t>when</w:t>
      </w:r>
      <w:r>
        <w:rPr>
          <w:spacing w:val="-1"/>
          <w:sz w:val="18"/>
        </w:rPr>
        <w:t xml:space="preserve"> </w:t>
      </w:r>
      <w:r>
        <w:rPr>
          <w:sz w:val="18"/>
        </w:rPr>
        <w:t>the</w:t>
      </w:r>
      <w:r>
        <w:rPr>
          <w:spacing w:val="-1"/>
          <w:sz w:val="18"/>
        </w:rPr>
        <w:t xml:space="preserve"> </w:t>
      </w:r>
      <w:r>
        <w:rPr>
          <w:sz w:val="18"/>
        </w:rPr>
        <w:t>Fund becomes party to the contractual provisions of the financial instrument.</w:t>
      </w:r>
    </w:p>
    <w:p w14:paraId="4B941500" w14:textId="77777777" w:rsidR="00AC6F3C" w:rsidRDefault="00AC6F3C">
      <w:pPr>
        <w:pStyle w:val="BodyText"/>
        <w:rPr>
          <w:sz w:val="18"/>
        </w:rPr>
      </w:pPr>
    </w:p>
    <w:p w14:paraId="0AF68688" w14:textId="77777777" w:rsidR="00AC6F3C" w:rsidRDefault="00570E88">
      <w:pPr>
        <w:ind w:left="980"/>
        <w:rPr>
          <w:b/>
          <w:sz w:val="18"/>
        </w:rPr>
      </w:pPr>
      <w:r>
        <w:rPr>
          <w:b/>
          <w:sz w:val="18"/>
        </w:rPr>
        <w:t>Classification</w:t>
      </w:r>
      <w:r>
        <w:rPr>
          <w:b/>
          <w:spacing w:val="-5"/>
          <w:sz w:val="18"/>
        </w:rPr>
        <w:t xml:space="preserve"> </w:t>
      </w:r>
      <w:r>
        <w:rPr>
          <w:b/>
          <w:sz w:val="18"/>
        </w:rPr>
        <w:t>of</w:t>
      </w:r>
      <w:r>
        <w:rPr>
          <w:b/>
          <w:spacing w:val="-3"/>
          <w:sz w:val="18"/>
        </w:rPr>
        <w:t xml:space="preserve"> </w:t>
      </w:r>
      <w:r>
        <w:rPr>
          <w:b/>
          <w:sz w:val="18"/>
        </w:rPr>
        <w:t>Financial</w:t>
      </w:r>
      <w:r>
        <w:rPr>
          <w:b/>
          <w:spacing w:val="-2"/>
          <w:sz w:val="18"/>
        </w:rPr>
        <w:t xml:space="preserve"> Instruments</w:t>
      </w:r>
    </w:p>
    <w:p w14:paraId="2E93C79B" w14:textId="77777777" w:rsidR="00AC6F3C" w:rsidRDefault="00AC6F3C">
      <w:pPr>
        <w:pStyle w:val="BodyText"/>
        <w:spacing w:before="1"/>
        <w:rPr>
          <w:b/>
          <w:sz w:val="18"/>
        </w:rPr>
      </w:pPr>
    </w:p>
    <w:p w14:paraId="765D419F" w14:textId="77777777" w:rsidR="00AC6F3C" w:rsidRDefault="00570E88">
      <w:pPr>
        <w:spacing w:before="1"/>
        <w:ind w:left="980"/>
        <w:rPr>
          <w:sz w:val="18"/>
        </w:rPr>
      </w:pPr>
      <w:r>
        <w:rPr>
          <w:sz w:val="18"/>
        </w:rPr>
        <w:t>Financial</w:t>
      </w:r>
      <w:r>
        <w:rPr>
          <w:spacing w:val="-2"/>
          <w:sz w:val="18"/>
        </w:rPr>
        <w:t xml:space="preserve"> </w:t>
      </w:r>
      <w:r>
        <w:rPr>
          <w:sz w:val="18"/>
        </w:rPr>
        <w:t>instruments</w:t>
      </w:r>
      <w:r>
        <w:rPr>
          <w:spacing w:val="-4"/>
          <w:sz w:val="18"/>
        </w:rPr>
        <w:t xml:space="preserve"> </w:t>
      </w:r>
      <w:r>
        <w:rPr>
          <w:sz w:val="18"/>
        </w:rPr>
        <w:t>are</w:t>
      </w:r>
      <w:r>
        <w:rPr>
          <w:spacing w:val="-5"/>
          <w:sz w:val="18"/>
        </w:rPr>
        <w:t xml:space="preserve"> </w:t>
      </w:r>
      <w:r>
        <w:rPr>
          <w:sz w:val="18"/>
        </w:rPr>
        <w:t>classified</w:t>
      </w:r>
      <w:r>
        <w:rPr>
          <w:spacing w:val="-2"/>
          <w:sz w:val="18"/>
        </w:rPr>
        <w:t xml:space="preserve"> </w:t>
      </w:r>
      <w:r>
        <w:rPr>
          <w:sz w:val="18"/>
        </w:rPr>
        <w:t>as</w:t>
      </w:r>
      <w:r>
        <w:rPr>
          <w:spacing w:val="-1"/>
          <w:sz w:val="18"/>
        </w:rPr>
        <w:t xml:space="preserve"> </w:t>
      </w:r>
      <w:r>
        <w:rPr>
          <w:spacing w:val="-2"/>
          <w:sz w:val="18"/>
        </w:rPr>
        <w:t>follows:</w:t>
      </w:r>
    </w:p>
    <w:p w14:paraId="72AB796E" w14:textId="77777777" w:rsidR="00AC6F3C" w:rsidRDefault="00570E88">
      <w:pPr>
        <w:pStyle w:val="ListParagraph"/>
        <w:numPr>
          <w:ilvl w:val="0"/>
          <w:numId w:val="5"/>
        </w:numPr>
        <w:tabs>
          <w:tab w:val="left" w:pos="1340"/>
        </w:tabs>
        <w:spacing w:before="119"/>
        <w:ind w:left="1340" w:hanging="360"/>
        <w:rPr>
          <w:sz w:val="18"/>
        </w:rPr>
      </w:pPr>
      <w:r>
        <w:rPr>
          <w:sz w:val="18"/>
        </w:rPr>
        <w:t>Cash</w:t>
      </w:r>
      <w:r>
        <w:rPr>
          <w:spacing w:val="-2"/>
          <w:sz w:val="18"/>
        </w:rPr>
        <w:t xml:space="preserve"> </w:t>
      </w:r>
      <w:r>
        <w:rPr>
          <w:sz w:val="18"/>
        </w:rPr>
        <w:t>and</w:t>
      </w:r>
      <w:r>
        <w:rPr>
          <w:spacing w:val="-4"/>
          <w:sz w:val="18"/>
        </w:rPr>
        <w:t xml:space="preserve"> </w:t>
      </w:r>
      <w:r>
        <w:rPr>
          <w:sz w:val="18"/>
        </w:rPr>
        <w:t>cash</w:t>
      </w:r>
      <w:r>
        <w:rPr>
          <w:spacing w:val="-1"/>
          <w:sz w:val="18"/>
        </w:rPr>
        <w:t xml:space="preserve"> </w:t>
      </w:r>
      <w:r>
        <w:rPr>
          <w:sz w:val="18"/>
        </w:rPr>
        <w:t>equivalents</w:t>
      </w:r>
      <w:r>
        <w:rPr>
          <w:spacing w:val="-4"/>
          <w:sz w:val="18"/>
        </w:rPr>
        <w:t xml:space="preserve"> </w:t>
      </w:r>
      <w:r>
        <w:rPr>
          <w:sz w:val="18"/>
        </w:rPr>
        <w:t>(see</w:t>
      </w:r>
      <w:r>
        <w:rPr>
          <w:spacing w:val="-1"/>
          <w:sz w:val="18"/>
        </w:rPr>
        <w:t xml:space="preserve"> </w:t>
      </w:r>
      <w:r>
        <w:rPr>
          <w:sz w:val="18"/>
        </w:rPr>
        <w:t>note</w:t>
      </w:r>
      <w:r>
        <w:rPr>
          <w:spacing w:val="-1"/>
          <w:sz w:val="18"/>
        </w:rPr>
        <w:t xml:space="preserve"> </w:t>
      </w:r>
      <w:r>
        <w:rPr>
          <w:spacing w:val="-5"/>
          <w:sz w:val="18"/>
        </w:rPr>
        <w:t>C1)</w:t>
      </w:r>
    </w:p>
    <w:p w14:paraId="375E56CA" w14:textId="77777777" w:rsidR="00AC6F3C" w:rsidRDefault="00570E88">
      <w:pPr>
        <w:pStyle w:val="ListParagraph"/>
        <w:numPr>
          <w:ilvl w:val="0"/>
          <w:numId w:val="5"/>
        </w:numPr>
        <w:tabs>
          <w:tab w:val="left" w:pos="1337"/>
        </w:tabs>
        <w:spacing w:before="29"/>
        <w:ind w:left="1337" w:hanging="357"/>
        <w:rPr>
          <w:sz w:val="18"/>
        </w:rPr>
      </w:pPr>
      <w:r>
        <w:rPr>
          <w:sz w:val="18"/>
        </w:rPr>
        <w:t>Receivables</w:t>
      </w:r>
      <w:r>
        <w:rPr>
          <w:spacing w:val="-3"/>
          <w:sz w:val="18"/>
        </w:rPr>
        <w:t xml:space="preserve"> </w:t>
      </w:r>
      <w:r>
        <w:rPr>
          <w:sz w:val="18"/>
        </w:rPr>
        <w:t>–</w:t>
      </w:r>
      <w:r>
        <w:rPr>
          <w:spacing w:val="-1"/>
          <w:sz w:val="18"/>
        </w:rPr>
        <w:t xml:space="preserve"> </w:t>
      </w:r>
      <w:r>
        <w:rPr>
          <w:sz w:val="18"/>
        </w:rPr>
        <w:t>held</w:t>
      </w:r>
      <w:r>
        <w:rPr>
          <w:spacing w:val="-4"/>
          <w:sz w:val="18"/>
        </w:rPr>
        <w:t xml:space="preserve"> </w:t>
      </w:r>
      <w:r>
        <w:rPr>
          <w:sz w:val="18"/>
        </w:rPr>
        <w:t>at</w:t>
      </w:r>
      <w:r>
        <w:rPr>
          <w:spacing w:val="-2"/>
          <w:sz w:val="18"/>
        </w:rPr>
        <w:t xml:space="preserve"> </w:t>
      </w:r>
      <w:proofErr w:type="spellStart"/>
      <w:r>
        <w:rPr>
          <w:sz w:val="18"/>
        </w:rPr>
        <w:t>amortised</w:t>
      </w:r>
      <w:proofErr w:type="spellEnd"/>
      <w:r>
        <w:rPr>
          <w:spacing w:val="-1"/>
          <w:sz w:val="18"/>
        </w:rPr>
        <w:t xml:space="preserve"> </w:t>
      </w:r>
      <w:r>
        <w:rPr>
          <w:sz w:val="18"/>
        </w:rPr>
        <w:t>cost</w:t>
      </w:r>
      <w:r>
        <w:rPr>
          <w:spacing w:val="-2"/>
          <w:sz w:val="18"/>
        </w:rPr>
        <w:t xml:space="preserve"> </w:t>
      </w:r>
      <w:r>
        <w:rPr>
          <w:sz w:val="18"/>
        </w:rPr>
        <w:t>(see</w:t>
      </w:r>
      <w:r>
        <w:rPr>
          <w:spacing w:val="-4"/>
          <w:sz w:val="18"/>
        </w:rPr>
        <w:t xml:space="preserve"> </w:t>
      </w:r>
      <w:r>
        <w:rPr>
          <w:sz w:val="18"/>
        </w:rPr>
        <w:t xml:space="preserve">note </w:t>
      </w:r>
      <w:r>
        <w:rPr>
          <w:spacing w:val="-5"/>
          <w:sz w:val="18"/>
        </w:rPr>
        <w:t>C2)</w:t>
      </w:r>
    </w:p>
    <w:p w14:paraId="39345787" w14:textId="77777777" w:rsidR="00AC6F3C" w:rsidRDefault="00570E88">
      <w:pPr>
        <w:pStyle w:val="ListParagraph"/>
        <w:numPr>
          <w:ilvl w:val="0"/>
          <w:numId w:val="5"/>
        </w:numPr>
        <w:tabs>
          <w:tab w:val="left" w:pos="1337"/>
        </w:tabs>
        <w:spacing w:before="29"/>
        <w:ind w:left="1337" w:hanging="357"/>
        <w:rPr>
          <w:sz w:val="18"/>
        </w:rPr>
      </w:pPr>
      <w:r>
        <w:rPr>
          <w:sz w:val="18"/>
        </w:rPr>
        <w:t>Investments</w:t>
      </w:r>
      <w:r>
        <w:rPr>
          <w:spacing w:val="-1"/>
          <w:sz w:val="18"/>
        </w:rPr>
        <w:t xml:space="preserve"> </w:t>
      </w:r>
      <w:r>
        <w:rPr>
          <w:sz w:val="18"/>
        </w:rPr>
        <w:t>–</w:t>
      </w:r>
      <w:r>
        <w:rPr>
          <w:spacing w:val="-1"/>
          <w:sz w:val="18"/>
        </w:rPr>
        <w:t xml:space="preserve"> </w:t>
      </w:r>
      <w:r>
        <w:rPr>
          <w:sz w:val="18"/>
        </w:rPr>
        <w:t>fair</w:t>
      </w:r>
      <w:r>
        <w:rPr>
          <w:spacing w:val="-4"/>
          <w:sz w:val="18"/>
        </w:rPr>
        <w:t xml:space="preserve"> </w:t>
      </w:r>
      <w:r>
        <w:rPr>
          <w:sz w:val="18"/>
        </w:rPr>
        <w:t>value</w:t>
      </w:r>
      <w:r>
        <w:rPr>
          <w:spacing w:val="-1"/>
          <w:sz w:val="18"/>
        </w:rPr>
        <w:t xml:space="preserve"> </w:t>
      </w:r>
      <w:r>
        <w:rPr>
          <w:sz w:val="18"/>
        </w:rPr>
        <w:t>through</w:t>
      </w:r>
      <w:r>
        <w:rPr>
          <w:spacing w:val="-2"/>
          <w:sz w:val="18"/>
        </w:rPr>
        <w:t xml:space="preserve"> </w:t>
      </w:r>
      <w:r>
        <w:rPr>
          <w:sz w:val="18"/>
        </w:rPr>
        <w:t>profit</w:t>
      </w:r>
      <w:r>
        <w:rPr>
          <w:spacing w:val="-2"/>
          <w:sz w:val="18"/>
        </w:rPr>
        <w:t xml:space="preserve"> </w:t>
      </w:r>
      <w:r>
        <w:rPr>
          <w:sz w:val="18"/>
        </w:rPr>
        <w:t>or</w:t>
      </w:r>
      <w:r>
        <w:rPr>
          <w:spacing w:val="-4"/>
          <w:sz w:val="18"/>
        </w:rPr>
        <w:t xml:space="preserve"> </w:t>
      </w:r>
      <w:r>
        <w:rPr>
          <w:sz w:val="18"/>
        </w:rPr>
        <w:t>loss</w:t>
      </w:r>
      <w:r>
        <w:rPr>
          <w:spacing w:val="-1"/>
          <w:sz w:val="18"/>
        </w:rPr>
        <w:t xml:space="preserve"> </w:t>
      </w:r>
      <w:r>
        <w:rPr>
          <w:sz w:val="18"/>
        </w:rPr>
        <w:t>(see</w:t>
      </w:r>
      <w:r>
        <w:rPr>
          <w:spacing w:val="-4"/>
          <w:sz w:val="18"/>
        </w:rPr>
        <w:t xml:space="preserve"> </w:t>
      </w:r>
      <w:r>
        <w:rPr>
          <w:sz w:val="18"/>
        </w:rPr>
        <w:t xml:space="preserve">note </w:t>
      </w:r>
      <w:r>
        <w:rPr>
          <w:spacing w:val="-5"/>
          <w:sz w:val="18"/>
        </w:rPr>
        <w:t>C3)</w:t>
      </w:r>
    </w:p>
    <w:p w14:paraId="280EAF36" w14:textId="77777777" w:rsidR="00AC6F3C" w:rsidRDefault="00570E88">
      <w:pPr>
        <w:pStyle w:val="ListParagraph"/>
        <w:numPr>
          <w:ilvl w:val="0"/>
          <w:numId w:val="5"/>
        </w:numPr>
        <w:tabs>
          <w:tab w:val="left" w:pos="1339"/>
        </w:tabs>
        <w:spacing w:before="29"/>
        <w:ind w:left="1339" w:hanging="360"/>
        <w:rPr>
          <w:sz w:val="18"/>
        </w:rPr>
      </w:pPr>
      <w:r>
        <w:rPr>
          <w:sz w:val="18"/>
        </w:rPr>
        <w:t>Payables</w:t>
      </w:r>
      <w:r>
        <w:rPr>
          <w:spacing w:val="-3"/>
          <w:sz w:val="18"/>
        </w:rPr>
        <w:t xml:space="preserve"> </w:t>
      </w:r>
      <w:r>
        <w:rPr>
          <w:sz w:val="18"/>
        </w:rPr>
        <w:t>– held</w:t>
      </w:r>
      <w:r>
        <w:rPr>
          <w:spacing w:val="-3"/>
          <w:sz w:val="18"/>
        </w:rPr>
        <w:t xml:space="preserve"> </w:t>
      </w:r>
      <w:r>
        <w:rPr>
          <w:sz w:val="18"/>
        </w:rPr>
        <w:t>at</w:t>
      </w:r>
      <w:r>
        <w:rPr>
          <w:spacing w:val="-1"/>
          <w:sz w:val="18"/>
        </w:rPr>
        <w:t xml:space="preserve"> </w:t>
      </w:r>
      <w:proofErr w:type="spellStart"/>
      <w:r>
        <w:rPr>
          <w:sz w:val="18"/>
        </w:rPr>
        <w:t>amortised</w:t>
      </w:r>
      <w:proofErr w:type="spellEnd"/>
      <w:r>
        <w:rPr>
          <w:spacing w:val="-3"/>
          <w:sz w:val="18"/>
        </w:rPr>
        <w:t xml:space="preserve"> </w:t>
      </w:r>
      <w:r>
        <w:rPr>
          <w:sz w:val="18"/>
        </w:rPr>
        <w:t>cost</w:t>
      </w:r>
      <w:r>
        <w:rPr>
          <w:spacing w:val="-3"/>
          <w:sz w:val="18"/>
        </w:rPr>
        <w:t xml:space="preserve"> </w:t>
      </w:r>
      <w:r>
        <w:rPr>
          <w:sz w:val="18"/>
        </w:rPr>
        <w:t xml:space="preserve">(see note </w:t>
      </w:r>
      <w:r>
        <w:rPr>
          <w:spacing w:val="-5"/>
          <w:sz w:val="18"/>
        </w:rPr>
        <w:t>C4)</w:t>
      </w:r>
    </w:p>
    <w:p w14:paraId="566463F0" w14:textId="77777777" w:rsidR="00AC6F3C" w:rsidRDefault="00AC6F3C">
      <w:pPr>
        <w:pStyle w:val="BodyText"/>
        <w:spacing w:before="7"/>
        <w:rPr>
          <w:sz w:val="23"/>
        </w:rPr>
      </w:pPr>
    </w:p>
    <w:p w14:paraId="645AC64D" w14:textId="77777777" w:rsidR="00AC6F3C" w:rsidRDefault="00570E88">
      <w:pPr>
        <w:ind w:left="979" w:right="468"/>
        <w:rPr>
          <w:sz w:val="18"/>
        </w:rPr>
      </w:pPr>
      <w:r>
        <w:rPr>
          <w:sz w:val="18"/>
        </w:rPr>
        <w:t>The</w:t>
      </w:r>
      <w:r>
        <w:rPr>
          <w:spacing w:val="-1"/>
          <w:sz w:val="18"/>
        </w:rPr>
        <w:t xml:space="preserve"> </w:t>
      </w:r>
      <w:r>
        <w:rPr>
          <w:sz w:val="18"/>
        </w:rPr>
        <w:t>Fund</w:t>
      </w:r>
      <w:r>
        <w:rPr>
          <w:spacing w:val="-1"/>
          <w:sz w:val="18"/>
        </w:rPr>
        <w:t xml:space="preserve"> </w:t>
      </w:r>
      <w:r>
        <w:rPr>
          <w:sz w:val="18"/>
        </w:rPr>
        <w:t>does</w:t>
      </w:r>
      <w:r>
        <w:rPr>
          <w:spacing w:val="-3"/>
          <w:sz w:val="18"/>
        </w:rPr>
        <w:t xml:space="preserve"> </w:t>
      </w:r>
      <w:r>
        <w:rPr>
          <w:sz w:val="18"/>
        </w:rPr>
        <w:t>not</w:t>
      </w:r>
      <w:r>
        <w:rPr>
          <w:spacing w:val="-4"/>
          <w:sz w:val="18"/>
        </w:rPr>
        <w:t xml:space="preserve"> </w:t>
      </w:r>
      <w:r>
        <w:rPr>
          <w:sz w:val="18"/>
        </w:rPr>
        <w:t>enter</w:t>
      </w:r>
      <w:r>
        <w:rPr>
          <w:spacing w:val="-2"/>
          <w:sz w:val="18"/>
        </w:rPr>
        <w:t xml:space="preserve"> </w:t>
      </w:r>
      <w:r>
        <w:rPr>
          <w:sz w:val="18"/>
        </w:rPr>
        <w:t>into</w:t>
      </w:r>
      <w:r>
        <w:rPr>
          <w:spacing w:val="-1"/>
          <w:sz w:val="18"/>
        </w:rPr>
        <w:t xml:space="preserve"> </w:t>
      </w:r>
      <w:r>
        <w:rPr>
          <w:sz w:val="18"/>
        </w:rPr>
        <w:t>transactions</w:t>
      </w:r>
      <w:r>
        <w:rPr>
          <w:spacing w:val="-4"/>
          <w:sz w:val="18"/>
        </w:rPr>
        <w:t xml:space="preserve"> </w:t>
      </w:r>
      <w:r>
        <w:rPr>
          <w:sz w:val="18"/>
        </w:rPr>
        <w:t>for</w:t>
      </w:r>
      <w:r>
        <w:rPr>
          <w:spacing w:val="-4"/>
          <w:sz w:val="18"/>
        </w:rPr>
        <w:t xml:space="preserve"> </w:t>
      </w:r>
      <w:r>
        <w:rPr>
          <w:sz w:val="18"/>
        </w:rPr>
        <w:t>speculative</w:t>
      </w:r>
      <w:r>
        <w:rPr>
          <w:spacing w:val="-1"/>
          <w:sz w:val="18"/>
        </w:rPr>
        <w:t xml:space="preserve"> </w:t>
      </w:r>
      <w:r>
        <w:rPr>
          <w:sz w:val="18"/>
        </w:rPr>
        <w:t>purposes,</w:t>
      </w:r>
      <w:r>
        <w:rPr>
          <w:spacing w:val="-2"/>
          <w:sz w:val="18"/>
        </w:rPr>
        <w:t xml:space="preserve"> </w:t>
      </w:r>
      <w:r>
        <w:rPr>
          <w:sz w:val="18"/>
        </w:rPr>
        <w:t>nor</w:t>
      </w:r>
      <w:r>
        <w:rPr>
          <w:spacing w:val="-2"/>
          <w:sz w:val="18"/>
        </w:rPr>
        <w:t xml:space="preserve"> </w:t>
      </w:r>
      <w:r>
        <w:rPr>
          <w:sz w:val="18"/>
        </w:rPr>
        <w:t>for</w:t>
      </w:r>
      <w:r>
        <w:rPr>
          <w:spacing w:val="-4"/>
          <w:sz w:val="18"/>
        </w:rPr>
        <w:t xml:space="preserve"> </w:t>
      </w:r>
      <w:r>
        <w:rPr>
          <w:sz w:val="18"/>
        </w:rPr>
        <w:t>hedging.</w:t>
      </w:r>
      <w:r>
        <w:rPr>
          <w:spacing w:val="-2"/>
          <w:sz w:val="18"/>
        </w:rPr>
        <w:t xml:space="preserve"> </w:t>
      </w:r>
      <w:r>
        <w:rPr>
          <w:sz w:val="18"/>
        </w:rPr>
        <w:t>The</w:t>
      </w:r>
      <w:r>
        <w:rPr>
          <w:spacing w:val="-1"/>
          <w:sz w:val="18"/>
        </w:rPr>
        <w:t xml:space="preserve"> </w:t>
      </w:r>
      <w:r>
        <w:rPr>
          <w:sz w:val="18"/>
        </w:rPr>
        <w:t>Fund’s</w:t>
      </w:r>
      <w:r>
        <w:rPr>
          <w:spacing w:val="-1"/>
          <w:sz w:val="18"/>
        </w:rPr>
        <w:t xml:space="preserve"> </w:t>
      </w:r>
      <w:r>
        <w:rPr>
          <w:sz w:val="18"/>
        </w:rPr>
        <w:t>financial instruments consist mainly of deposits with banks and investment in managed funds.</w:t>
      </w:r>
    </w:p>
    <w:p w14:paraId="09766931" w14:textId="77777777" w:rsidR="00AC6F3C" w:rsidRDefault="00AC6F3C">
      <w:pPr>
        <w:pStyle w:val="BodyText"/>
        <w:spacing w:before="9"/>
      </w:pPr>
    </w:p>
    <w:p w14:paraId="1EAE41E3" w14:textId="77777777" w:rsidR="00AC6F3C" w:rsidRDefault="00570E88">
      <w:pPr>
        <w:ind w:left="979"/>
        <w:rPr>
          <w:b/>
          <w:sz w:val="18"/>
        </w:rPr>
      </w:pPr>
      <w:r>
        <w:rPr>
          <w:b/>
          <w:sz w:val="18"/>
        </w:rPr>
        <w:t>Financial</w:t>
      </w:r>
      <w:r>
        <w:rPr>
          <w:b/>
          <w:spacing w:val="-4"/>
          <w:sz w:val="18"/>
        </w:rPr>
        <w:t xml:space="preserve"> risk</w:t>
      </w:r>
    </w:p>
    <w:p w14:paraId="1E226713" w14:textId="77777777" w:rsidR="00AC6F3C" w:rsidRDefault="00AC6F3C">
      <w:pPr>
        <w:pStyle w:val="BodyText"/>
        <w:spacing w:before="9"/>
        <w:rPr>
          <w:b/>
        </w:rPr>
      </w:pPr>
    </w:p>
    <w:p w14:paraId="28D913ED" w14:textId="77777777" w:rsidR="00AC6F3C" w:rsidRDefault="00570E88">
      <w:pPr>
        <w:ind w:left="979" w:right="632"/>
        <w:rPr>
          <w:sz w:val="18"/>
        </w:rPr>
      </w:pPr>
      <w:r>
        <w:rPr>
          <w:sz w:val="18"/>
        </w:rPr>
        <w:t>The Fund’s activities</w:t>
      </w:r>
      <w:r>
        <w:rPr>
          <w:spacing w:val="-2"/>
          <w:sz w:val="18"/>
        </w:rPr>
        <w:t xml:space="preserve"> </w:t>
      </w:r>
      <w:r>
        <w:rPr>
          <w:sz w:val="18"/>
        </w:rPr>
        <w:t>expose it</w:t>
      </w:r>
      <w:r>
        <w:rPr>
          <w:spacing w:val="-3"/>
          <w:sz w:val="18"/>
        </w:rPr>
        <w:t xml:space="preserve"> </w:t>
      </w:r>
      <w:r>
        <w:rPr>
          <w:sz w:val="18"/>
        </w:rPr>
        <w:t>to a</w:t>
      </w:r>
      <w:r>
        <w:rPr>
          <w:spacing w:val="-3"/>
          <w:sz w:val="18"/>
        </w:rPr>
        <w:t xml:space="preserve"> </w:t>
      </w:r>
      <w:r>
        <w:rPr>
          <w:sz w:val="18"/>
        </w:rPr>
        <w:t>variety</w:t>
      </w:r>
      <w:r>
        <w:rPr>
          <w:spacing w:val="-2"/>
          <w:sz w:val="18"/>
        </w:rPr>
        <w:t xml:space="preserve"> </w:t>
      </w:r>
      <w:r>
        <w:rPr>
          <w:sz w:val="18"/>
        </w:rPr>
        <w:t>of</w:t>
      </w:r>
      <w:r>
        <w:rPr>
          <w:spacing w:val="-1"/>
          <w:sz w:val="18"/>
        </w:rPr>
        <w:t xml:space="preserve"> </w:t>
      </w:r>
      <w:r>
        <w:rPr>
          <w:sz w:val="18"/>
        </w:rPr>
        <w:t>financial risks:</w:t>
      </w:r>
      <w:r>
        <w:rPr>
          <w:spacing w:val="40"/>
          <w:sz w:val="18"/>
        </w:rPr>
        <w:t xml:space="preserve"> </w:t>
      </w:r>
      <w:r>
        <w:rPr>
          <w:sz w:val="18"/>
        </w:rPr>
        <w:t>market</w:t>
      </w:r>
      <w:r>
        <w:rPr>
          <w:spacing w:val="-1"/>
          <w:sz w:val="18"/>
        </w:rPr>
        <w:t xml:space="preserve"> </w:t>
      </w:r>
      <w:r>
        <w:rPr>
          <w:sz w:val="18"/>
        </w:rPr>
        <w:t>risk,</w:t>
      </w:r>
      <w:r>
        <w:rPr>
          <w:spacing w:val="-3"/>
          <w:sz w:val="18"/>
        </w:rPr>
        <w:t xml:space="preserve"> </w:t>
      </w:r>
      <w:r>
        <w:rPr>
          <w:sz w:val="18"/>
        </w:rPr>
        <w:t>price and</w:t>
      </w:r>
      <w:r>
        <w:rPr>
          <w:spacing w:val="-3"/>
          <w:sz w:val="18"/>
        </w:rPr>
        <w:t xml:space="preserve"> </w:t>
      </w:r>
      <w:r>
        <w:rPr>
          <w:sz w:val="18"/>
        </w:rPr>
        <w:t>interest</w:t>
      </w:r>
      <w:r>
        <w:rPr>
          <w:spacing w:val="-3"/>
          <w:sz w:val="18"/>
        </w:rPr>
        <w:t xml:space="preserve"> </w:t>
      </w:r>
      <w:r>
        <w:rPr>
          <w:sz w:val="18"/>
        </w:rPr>
        <w:t>rate risk,</w:t>
      </w:r>
      <w:r>
        <w:rPr>
          <w:spacing w:val="-3"/>
          <w:sz w:val="18"/>
        </w:rPr>
        <w:t xml:space="preserve"> </w:t>
      </w:r>
      <w:r>
        <w:rPr>
          <w:sz w:val="18"/>
        </w:rPr>
        <w:t>and liquidity risk.</w:t>
      </w:r>
    </w:p>
    <w:p w14:paraId="2ADE44A3" w14:textId="77777777" w:rsidR="00AC6F3C" w:rsidRDefault="00AC6F3C">
      <w:pPr>
        <w:pStyle w:val="BodyText"/>
        <w:rPr>
          <w:sz w:val="21"/>
        </w:rPr>
      </w:pPr>
    </w:p>
    <w:p w14:paraId="2BFBFD61" w14:textId="77777777" w:rsidR="00AC6F3C" w:rsidRDefault="00570E88">
      <w:pPr>
        <w:ind w:left="979"/>
        <w:rPr>
          <w:b/>
          <w:sz w:val="18"/>
        </w:rPr>
      </w:pPr>
      <w:r>
        <w:rPr>
          <w:b/>
          <w:sz w:val="18"/>
        </w:rPr>
        <w:t>Price</w:t>
      </w:r>
      <w:r>
        <w:rPr>
          <w:b/>
          <w:spacing w:val="-3"/>
          <w:sz w:val="18"/>
        </w:rPr>
        <w:t xml:space="preserve"> </w:t>
      </w:r>
      <w:r>
        <w:rPr>
          <w:b/>
          <w:sz w:val="18"/>
        </w:rPr>
        <w:t>and</w:t>
      </w:r>
      <w:r>
        <w:rPr>
          <w:b/>
          <w:spacing w:val="-3"/>
          <w:sz w:val="18"/>
        </w:rPr>
        <w:t xml:space="preserve"> </w:t>
      </w:r>
      <w:r>
        <w:rPr>
          <w:b/>
          <w:sz w:val="18"/>
        </w:rPr>
        <w:t>interest</w:t>
      </w:r>
      <w:r>
        <w:rPr>
          <w:b/>
          <w:spacing w:val="-2"/>
          <w:sz w:val="18"/>
        </w:rPr>
        <w:t xml:space="preserve"> </w:t>
      </w:r>
      <w:r>
        <w:rPr>
          <w:b/>
          <w:sz w:val="18"/>
        </w:rPr>
        <w:t xml:space="preserve">rate </w:t>
      </w:r>
      <w:r>
        <w:rPr>
          <w:b/>
          <w:spacing w:val="-4"/>
          <w:sz w:val="18"/>
        </w:rPr>
        <w:t>risk</w:t>
      </w:r>
    </w:p>
    <w:p w14:paraId="7D3435BF" w14:textId="77777777" w:rsidR="00AC6F3C" w:rsidRDefault="00AC6F3C">
      <w:pPr>
        <w:pStyle w:val="BodyText"/>
        <w:spacing w:before="9"/>
        <w:rPr>
          <w:b/>
        </w:rPr>
      </w:pPr>
    </w:p>
    <w:p w14:paraId="56FED37A" w14:textId="77777777" w:rsidR="00AC6F3C" w:rsidRDefault="00570E88">
      <w:pPr>
        <w:ind w:left="979" w:right="632"/>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exposed</w:t>
      </w:r>
      <w:r>
        <w:rPr>
          <w:spacing w:val="-1"/>
          <w:sz w:val="18"/>
        </w:rPr>
        <w:t xml:space="preserve"> </w:t>
      </w:r>
      <w:r>
        <w:rPr>
          <w:sz w:val="18"/>
        </w:rPr>
        <w:t>to</w:t>
      </w:r>
      <w:r>
        <w:rPr>
          <w:spacing w:val="-4"/>
          <w:sz w:val="18"/>
        </w:rPr>
        <w:t xml:space="preserve"> </w:t>
      </w:r>
      <w:r>
        <w:rPr>
          <w:sz w:val="18"/>
        </w:rPr>
        <w:t>equity</w:t>
      </w:r>
      <w:r>
        <w:rPr>
          <w:spacing w:val="-3"/>
          <w:sz w:val="18"/>
        </w:rPr>
        <w:t xml:space="preserve"> </w:t>
      </w:r>
      <w:r>
        <w:rPr>
          <w:sz w:val="18"/>
        </w:rPr>
        <w:t>securities</w:t>
      </w:r>
      <w:r>
        <w:rPr>
          <w:spacing w:val="-3"/>
          <w:sz w:val="18"/>
        </w:rPr>
        <w:t xml:space="preserve"> </w:t>
      </w:r>
      <w:r>
        <w:rPr>
          <w:sz w:val="18"/>
        </w:rPr>
        <w:t>price</w:t>
      </w:r>
      <w:r>
        <w:rPr>
          <w:spacing w:val="-1"/>
          <w:sz w:val="18"/>
        </w:rPr>
        <w:t xml:space="preserve"> </w:t>
      </w:r>
      <w:r>
        <w:rPr>
          <w:sz w:val="18"/>
        </w:rPr>
        <w:t>risk</w:t>
      </w:r>
      <w:r>
        <w:rPr>
          <w:spacing w:val="-3"/>
          <w:sz w:val="18"/>
        </w:rPr>
        <w:t xml:space="preserve"> </w:t>
      </w:r>
      <w:r>
        <w:rPr>
          <w:sz w:val="18"/>
        </w:rPr>
        <w:t>arising</w:t>
      </w:r>
      <w:r>
        <w:rPr>
          <w:spacing w:val="-1"/>
          <w:sz w:val="18"/>
        </w:rPr>
        <w:t xml:space="preserve"> </w:t>
      </w:r>
      <w:r>
        <w:rPr>
          <w:sz w:val="18"/>
        </w:rPr>
        <w:t>from</w:t>
      </w:r>
      <w:r>
        <w:rPr>
          <w:spacing w:val="-1"/>
          <w:sz w:val="18"/>
        </w:rPr>
        <w:t xml:space="preserve"> </w:t>
      </w:r>
      <w:r>
        <w:rPr>
          <w:sz w:val="18"/>
        </w:rPr>
        <w:t>the</w:t>
      </w:r>
      <w:r>
        <w:rPr>
          <w:spacing w:val="-4"/>
          <w:sz w:val="18"/>
        </w:rPr>
        <w:t xml:space="preserve"> </w:t>
      </w:r>
      <w:r>
        <w:rPr>
          <w:sz w:val="18"/>
        </w:rPr>
        <w:t>investments.</w:t>
      </w:r>
      <w:r>
        <w:rPr>
          <w:spacing w:val="40"/>
          <w:sz w:val="18"/>
        </w:rPr>
        <w:t xml:space="preserve"> </w:t>
      </w:r>
      <w:r>
        <w:rPr>
          <w:sz w:val="18"/>
        </w:rPr>
        <w:t>These</w:t>
      </w:r>
      <w:r>
        <w:rPr>
          <w:spacing w:val="-4"/>
          <w:sz w:val="18"/>
        </w:rPr>
        <w:t xml:space="preserve"> </w:t>
      </w:r>
      <w:r>
        <w:rPr>
          <w:sz w:val="18"/>
        </w:rPr>
        <w:t>securities</w:t>
      </w:r>
      <w:r>
        <w:rPr>
          <w:spacing w:val="-1"/>
          <w:sz w:val="18"/>
        </w:rPr>
        <w:t xml:space="preserve"> </w:t>
      </w:r>
      <w:r>
        <w:rPr>
          <w:sz w:val="18"/>
        </w:rPr>
        <w:t>are</w:t>
      </w:r>
      <w:r>
        <w:rPr>
          <w:spacing w:val="-1"/>
          <w:sz w:val="18"/>
        </w:rPr>
        <w:t xml:space="preserve"> </w:t>
      </w:r>
      <w:r>
        <w:rPr>
          <w:sz w:val="18"/>
        </w:rPr>
        <w:t>held with Australian fund managers.</w:t>
      </w:r>
    </w:p>
    <w:p w14:paraId="0903C92A" w14:textId="77777777" w:rsidR="00AC6F3C" w:rsidRDefault="00AC6F3C">
      <w:pPr>
        <w:pStyle w:val="BodyText"/>
        <w:rPr>
          <w:sz w:val="21"/>
        </w:rPr>
      </w:pPr>
    </w:p>
    <w:p w14:paraId="7148FB90" w14:textId="77777777" w:rsidR="00AC6F3C" w:rsidRDefault="00570E88">
      <w:pPr>
        <w:ind w:left="979"/>
        <w:rPr>
          <w:sz w:val="18"/>
        </w:rPr>
      </w:pPr>
      <w:r>
        <w:rPr>
          <w:sz w:val="18"/>
        </w:rPr>
        <w:t>The</w:t>
      </w:r>
      <w:r>
        <w:rPr>
          <w:spacing w:val="-3"/>
          <w:sz w:val="18"/>
        </w:rPr>
        <w:t xml:space="preserve"> </w:t>
      </w:r>
      <w:r>
        <w:rPr>
          <w:sz w:val="18"/>
        </w:rPr>
        <w:t>Fund</w:t>
      </w:r>
      <w:r>
        <w:rPr>
          <w:spacing w:val="-4"/>
          <w:sz w:val="18"/>
        </w:rPr>
        <w:t xml:space="preserve"> </w:t>
      </w:r>
      <w:r>
        <w:rPr>
          <w:sz w:val="18"/>
        </w:rPr>
        <w:t>seeks</w:t>
      </w:r>
      <w:r>
        <w:rPr>
          <w:spacing w:val="-1"/>
          <w:sz w:val="18"/>
        </w:rPr>
        <w:t xml:space="preserve"> </w:t>
      </w:r>
      <w:r>
        <w:rPr>
          <w:sz w:val="18"/>
        </w:rPr>
        <w:t>to</w:t>
      </w:r>
      <w:r>
        <w:rPr>
          <w:spacing w:val="-1"/>
          <w:sz w:val="18"/>
        </w:rPr>
        <w:t xml:space="preserve"> </w:t>
      </w:r>
      <w:r>
        <w:rPr>
          <w:sz w:val="18"/>
        </w:rPr>
        <w:t>reduce</w:t>
      </w:r>
      <w:r>
        <w:rPr>
          <w:spacing w:val="-1"/>
          <w:sz w:val="18"/>
        </w:rPr>
        <w:t xml:space="preserve"> </w:t>
      </w:r>
      <w:r>
        <w:rPr>
          <w:sz w:val="18"/>
        </w:rPr>
        <w:t>risk</w:t>
      </w:r>
      <w:r>
        <w:rPr>
          <w:spacing w:val="-2"/>
          <w:sz w:val="18"/>
        </w:rPr>
        <w:t xml:space="preserve"> </w:t>
      </w:r>
      <w:r>
        <w:rPr>
          <w:sz w:val="18"/>
        </w:rPr>
        <w:t>by</w:t>
      </w:r>
      <w:r>
        <w:rPr>
          <w:spacing w:val="-1"/>
          <w:sz w:val="18"/>
        </w:rPr>
        <w:t xml:space="preserve"> </w:t>
      </w:r>
      <w:r>
        <w:rPr>
          <w:sz w:val="18"/>
        </w:rPr>
        <w:t>diversifying</w:t>
      </w:r>
      <w:r>
        <w:rPr>
          <w:spacing w:val="-1"/>
          <w:sz w:val="18"/>
        </w:rPr>
        <w:t xml:space="preserve"> </w:t>
      </w:r>
      <w:r>
        <w:rPr>
          <w:sz w:val="18"/>
        </w:rPr>
        <w:t>across</w:t>
      </w:r>
      <w:r>
        <w:rPr>
          <w:spacing w:val="-3"/>
          <w:sz w:val="18"/>
        </w:rPr>
        <w:t xml:space="preserve"> </w:t>
      </w:r>
      <w:r>
        <w:rPr>
          <w:sz w:val="18"/>
        </w:rPr>
        <w:t>a</w:t>
      </w:r>
      <w:r>
        <w:rPr>
          <w:spacing w:val="-1"/>
          <w:sz w:val="18"/>
        </w:rPr>
        <w:t xml:space="preserve"> </w:t>
      </w:r>
      <w:r>
        <w:rPr>
          <w:sz w:val="18"/>
        </w:rPr>
        <w:t>range</w:t>
      </w:r>
      <w:r>
        <w:rPr>
          <w:spacing w:val="-3"/>
          <w:sz w:val="18"/>
        </w:rPr>
        <w:t xml:space="preserve"> </w:t>
      </w:r>
      <w:r>
        <w:rPr>
          <w:sz w:val="18"/>
        </w:rPr>
        <w:t>of</w:t>
      </w:r>
      <w:r>
        <w:rPr>
          <w:spacing w:val="-2"/>
          <w:sz w:val="18"/>
        </w:rPr>
        <w:t xml:space="preserve"> </w:t>
      </w:r>
      <w:r>
        <w:rPr>
          <w:sz w:val="18"/>
        </w:rPr>
        <w:t>securities,</w:t>
      </w:r>
      <w:r>
        <w:rPr>
          <w:spacing w:val="-4"/>
          <w:sz w:val="18"/>
        </w:rPr>
        <w:t xml:space="preserve"> </w:t>
      </w:r>
      <w:r>
        <w:rPr>
          <w:sz w:val="18"/>
        </w:rPr>
        <w:t>maturities</w:t>
      </w:r>
      <w:r>
        <w:rPr>
          <w:spacing w:val="-3"/>
          <w:sz w:val="18"/>
        </w:rPr>
        <w:t xml:space="preserve"> </w:t>
      </w:r>
      <w:r>
        <w:rPr>
          <w:sz w:val="18"/>
        </w:rPr>
        <w:t>and</w:t>
      </w:r>
      <w:r>
        <w:rPr>
          <w:spacing w:val="-3"/>
          <w:sz w:val="18"/>
        </w:rPr>
        <w:t xml:space="preserve"> </w:t>
      </w:r>
      <w:r>
        <w:rPr>
          <w:spacing w:val="-2"/>
          <w:sz w:val="18"/>
        </w:rPr>
        <w:t>counterparties.</w:t>
      </w:r>
    </w:p>
    <w:p w14:paraId="17E7C311" w14:textId="77777777" w:rsidR="00AC6F3C" w:rsidRDefault="00570E88">
      <w:pPr>
        <w:spacing w:before="179"/>
        <w:ind w:left="979" w:right="468"/>
        <w:rPr>
          <w:sz w:val="18"/>
        </w:rPr>
      </w:pPr>
      <w:r>
        <w:rPr>
          <w:sz w:val="18"/>
        </w:rPr>
        <w:t>Management</w:t>
      </w:r>
      <w:r>
        <w:rPr>
          <w:spacing w:val="-3"/>
          <w:sz w:val="18"/>
        </w:rPr>
        <w:t xml:space="preserve"> </w:t>
      </w:r>
      <w:r>
        <w:rPr>
          <w:sz w:val="18"/>
        </w:rPr>
        <w:t>regularly</w:t>
      </w:r>
      <w:r>
        <w:rPr>
          <w:spacing w:val="-2"/>
          <w:sz w:val="18"/>
        </w:rPr>
        <w:t xml:space="preserve"> </w:t>
      </w:r>
      <w:r>
        <w:rPr>
          <w:sz w:val="18"/>
        </w:rPr>
        <w:t>reviews</w:t>
      </w:r>
      <w:r>
        <w:rPr>
          <w:spacing w:val="-4"/>
          <w:sz w:val="18"/>
        </w:rPr>
        <w:t xml:space="preserve"> </w:t>
      </w:r>
      <w:r>
        <w:rPr>
          <w:sz w:val="18"/>
        </w:rPr>
        <w:t>the</w:t>
      </w:r>
      <w:r>
        <w:rPr>
          <w:spacing w:val="-2"/>
          <w:sz w:val="18"/>
        </w:rPr>
        <w:t xml:space="preserve"> </w:t>
      </w:r>
      <w:r>
        <w:rPr>
          <w:sz w:val="18"/>
        </w:rPr>
        <w:t>performance</w:t>
      </w:r>
      <w:r>
        <w:rPr>
          <w:spacing w:val="-2"/>
          <w:sz w:val="18"/>
        </w:rPr>
        <w:t xml:space="preserve"> </w:t>
      </w:r>
      <w:r>
        <w:rPr>
          <w:sz w:val="18"/>
        </w:rPr>
        <w:t>and</w:t>
      </w:r>
      <w:r>
        <w:rPr>
          <w:spacing w:val="-2"/>
          <w:sz w:val="18"/>
        </w:rPr>
        <w:t xml:space="preserve"> </w:t>
      </w:r>
      <w:r>
        <w:rPr>
          <w:sz w:val="18"/>
        </w:rPr>
        <w:t>ensures</w:t>
      </w:r>
      <w:r>
        <w:rPr>
          <w:spacing w:val="-4"/>
          <w:sz w:val="18"/>
        </w:rPr>
        <w:t xml:space="preserve"> </w:t>
      </w:r>
      <w:r>
        <w:rPr>
          <w:sz w:val="18"/>
        </w:rPr>
        <w:t>all</w:t>
      </w:r>
      <w:r>
        <w:rPr>
          <w:spacing w:val="-2"/>
          <w:sz w:val="18"/>
        </w:rPr>
        <w:t xml:space="preserve"> </w:t>
      </w:r>
      <w:r>
        <w:rPr>
          <w:sz w:val="18"/>
        </w:rPr>
        <w:t>investments</w:t>
      </w:r>
      <w:r>
        <w:rPr>
          <w:spacing w:val="-2"/>
          <w:sz w:val="18"/>
        </w:rPr>
        <w:t xml:space="preserve"> </w:t>
      </w:r>
      <w:r>
        <w:rPr>
          <w:sz w:val="18"/>
        </w:rPr>
        <w:t>held</w:t>
      </w:r>
      <w:r>
        <w:rPr>
          <w:spacing w:val="-5"/>
          <w:sz w:val="18"/>
        </w:rPr>
        <w:t xml:space="preserve"> </w:t>
      </w:r>
      <w:r>
        <w:rPr>
          <w:sz w:val="18"/>
        </w:rPr>
        <w:t>are</w:t>
      </w:r>
      <w:r>
        <w:rPr>
          <w:spacing w:val="-2"/>
          <w:sz w:val="18"/>
        </w:rPr>
        <w:t xml:space="preserve"> </w:t>
      </w:r>
      <w:r>
        <w:rPr>
          <w:sz w:val="18"/>
        </w:rPr>
        <w:t>within</w:t>
      </w:r>
      <w:r>
        <w:rPr>
          <w:spacing w:val="-7"/>
          <w:sz w:val="18"/>
        </w:rPr>
        <w:t xml:space="preserve"> </w:t>
      </w:r>
      <w:r>
        <w:rPr>
          <w:sz w:val="18"/>
        </w:rPr>
        <w:t>the</w:t>
      </w:r>
      <w:r>
        <w:rPr>
          <w:spacing w:val="-2"/>
          <w:sz w:val="18"/>
        </w:rPr>
        <w:t xml:space="preserve"> </w:t>
      </w:r>
      <w:r>
        <w:rPr>
          <w:sz w:val="18"/>
        </w:rPr>
        <w:t xml:space="preserve">approved </w:t>
      </w:r>
      <w:r>
        <w:rPr>
          <w:spacing w:val="-2"/>
          <w:sz w:val="18"/>
        </w:rPr>
        <w:t>mandate.</w:t>
      </w:r>
    </w:p>
    <w:p w14:paraId="3133317A" w14:textId="77777777" w:rsidR="00AC6F3C" w:rsidRDefault="00570E88">
      <w:pPr>
        <w:spacing w:before="179"/>
        <w:ind w:left="979" w:right="468"/>
        <w:rPr>
          <w:sz w:val="18"/>
        </w:rPr>
      </w:pPr>
      <w:r>
        <w:rPr>
          <w:sz w:val="18"/>
        </w:rPr>
        <w:t>The Fund manages interest rate and price risks through sensitivity analysis. The sensitivity analysis is performed</w:t>
      </w:r>
      <w:r>
        <w:rPr>
          <w:spacing w:val="-1"/>
          <w:sz w:val="18"/>
        </w:rPr>
        <w:t xml:space="preserve"> </w:t>
      </w:r>
      <w:r>
        <w:rPr>
          <w:sz w:val="18"/>
        </w:rPr>
        <w:t>relating</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Fund’s</w:t>
      </w:r>
      <w:r>
        <w:rPr>
          <w:spacing w:val="-1"/>
          <w:sz w:val="18"/>
        </w:rPr>
        <w:t xml:space="preserve"> </w:t>
      </w:r>
      <w:r>
        <w:rPr>
          <w:sz w:val="18"/>
        </w:rPr>
        <w:t>exposure</w:t>
      </w:r>
      <w:r>
        <w:rPr>
          <w:spacing w:val="-4"/>
          <w:sz w:val="18"/>
        </w:rPr>
        <w:t xml:space="preserve"> </w:t>
      </w:r>
      <w:r>
        <w:rPr>
          <w:sz w:val="18"/>
        </w:rPr>
        <w:t>to</w:t>
      </w:r>
      <w:r>
        <w:rPr>
          <w:spacing w:val="-4"/>
          <w:sz w:val="18"/>
        </w:rPr>
        <w:t xml:space="preserve"> </w:t>
      </w:r>
      <w:r>
        <w:rPr>
          <w:sz w:val="18"/>
        </w:rPr>
        <w:t>interest</w:t>
      </w:r>
      <w:r>
        <w:rPr>
          <w:spacing w:val="-2"/>
          <w:sz w:val="18"/>
        </w:rPr>
        <w:t xml:space="preserve"> </w:t>
      </w:r>
      <w:r>
        <w:rPr>
          <w:sz w:val="18"/>
        </w:rPr>
        <w:t>rate</w:t>
      </w:r>
      <w:r>
        <w:rPr>
          <w:spacing w:val="-1"/>
          <w:sz w:val="18"/>
        </w:rPr>
        <w:t xml:space="preserve"> </w:t>
      </w:r>
      <w:r>
        <w:rPr>
          <w:sz w:val="18"/>
        </w:rPr>
        <w:t>risk</w:t>
      </w:r>
      <w:r>
        <w:rPr>
          <w:spacing w:val="-3"/>
          <w:sz w:val="18"/>
        </w:rPr>
        <w:t xml:space="preserve"> </w:t>
      </w:r>
      <w:r>
        <w:rPr>
          <w:sz w:val="18"/>
        </w:rPr>
        <w:t>and</w:t>
      </w:r>
      <w:r>
        <w:rPr>
          <w:spacing w:val="-1"/>
          <w:sz w:val="18"/>
        </w:rPr>
        <w:t xml:space="preserve"> </w:t>
      </w:r>
      <w:r>
        <w:rPr>
          <w:sz w:val="18"/>
        </w:rPr>
        <w:t>price</w:t>
      </w:r>
      <w:r>
        <w:rPr>
          <w:spacing w:val="-1"/>
          <w:sz w:val="18"/>
        </w:rPr>
        <w:t xml:space="preserve"> </w:t>
      </w:r>
      <w:r>
        <w:rPr>
          <w:sz w:val="18"/>
        </w:rPr>
        <w:t>risk</w:t>
      </w:r>
      <w:r>
        <w:rPr>
          <w:spacing w:val="-3"/>
          <w:sz w:val="18"/>
        </w:rPr>
        <w:t xml:space="preserve"> </w:t>
      </w:r>
      <w:r>
        <w:rPr>
          <w:sz w:val="18"/>
        </w:rPr>
        <w:t>at</w:t>
      </w:r>
      <w:r>
        <w:rPr>
          <w:spacing w:val="-2"/>
          <w:sz w:val="18"/>
        </w:rPr>
        <w:t xml:space="preserve"> </w:t>
      </w:r>
      <w:r>
        <w:rPr>
          <w:sz w:val="18"/>
        </w:rPr>
        <w:t>the</w:t>
      </w:r>
      <w:r>
        <w:rPr>
          <w:spacing w:val="-1"/>
          <w:sz w:val="18"/>
        </w:rPr>
        <w:t xml:space="preserve"> </w:t>
      </w:r>
      <w:r>
        <w:rPr>
          <w:sz w:val="18"/>
        </w:rPr>
        <w:t>end</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reporting</w:t>
      </w:r>
      <w:r>
        <w:rPr>
          <w:spacing w:val="-4"/>
          <w:sz w:val="18"/>
        </w:rPr>
        <w:t xml:space="preserve"> </w:t>
      </w:r>
      <w:r>
        <w:rPr>
          <w:sz w:val="18"/>
        </w:rPr>
        <w:t>period. The sensitivity analysis demonstrates the effect on</w:t>
      </w:r>
      <w:r>
        <w:rPr>
          <w:spacing w:val="-1"/>
          <w:sz w:val="18"/>
        </w:rPr>
        <w:t xml:space="preserve"> </w:t>
      </w:r>
      <w:r>
        <w:rPr>
          <w:sz w:val="18"/>
        </w:rPr>
        <w:t>the</w:t>
      </w:r>
      <w:r>
        <w:rPr>
          <w:spacing w:val="-1"/>
          <w:sz w:val="18"/>
        </w:rPr>
        <w:t xml:space="preserve"> </w:t>
      </w:r>
      <w:r>
        <w:rPr>
          <w:sz w:val="18"/>
        </w:rPr>
        <w:t>current year</w:t>
      </w:r>
      <w:r>
        <w:rPr>
          <w:spacing w:val="-1"/>
          <w:sz w:val="18"/>
        </w:rPr>
        <w:t xml:space="preserve"> </w:t>
      </w:r>
      <w:r>
        <w:rPr>
          <w:sz w:val="18"/>
        </w:rPr>
        <w:t>profit which</w:t>
      </w:r>
      <w:r>
        <w:rPr>
          <w:spacing w:val="-1"/>
          <w:sz w:val="18"/>
        </w:rPr>
        <w:t xml:space="preserve"> </w:t>
      </w:r>
      <w:r>
        <w:rPr>
          <w:sz w:val="18"/>
        </w:rPr>
        <w:t>could result</w:t>
      </w:r>
      <w:r>
        <w:rPr>
          <w:spacing w:val="-1"/>
          <w:sz w:val="18"/>
        </w:rPr>
        <w:t xml:space="preserve"> </w:t>
      </w:r>
      <w:r>
        <w:rPr>
          <w:sz w:val="18"/>
        </w:rPr>
        <w:t>from a</w:t>
      </w:r>
      <w:r>
        <w:rPr>
          <w:spacing w:val="-1"/>
          <w:sz w:val="18"/>
        </w:rPr>
        <w:t xml:space="preserve"> </w:t>
      </w:r>
      <w:r>
        <w:rPr>
          <w:sz w:val="18"/>
        </w:rPr>
        <w:t>change in interest rate and price as follows:</w:t>
      </w:r>
    </w:p>
    <w:p w14:paraId="13FDE80B" w14:textId="77777777" w:rsidR="00AC6F3C" w:rsidRDefault="00AC6F3C">
      <w:pPr>
        <w:rPr>
          <w:sz w:val="18"/>
        </w:rPr>
        <w:sectPr w:rsidR="00AC6F3C">
          <w:pgSz w:w="11910" w:h="16840"/>
          <w:pgMar w:top="1760" w:right="1160" w:bottom="520" w:left="460" w:header="1228" w:footer="336" w:gutter="0"/>
          <w:cols w:space="720"/>
        </w:sectPr>
      </w:pPr>
    </w:p>
    <w:p w14:paraId="0EBBB5DB" w14:textId="77777777" w:rsidR="00AC6F3C" w:rsidRDefault="00AC6F3C">
      <w:pPr>
        <w:pStyle w:val="BodyText"/>
      </w:pPr>
    </w:p>
    <w:p w14:paraId="523C4D74" w14:textId="77777777" w:rsidR="00AC6F3C" w:rsidRDefault="00AC6F3C">
      <w:pPr>
        <w:pStyle w:val="BodyText"/>
        <w:spacing w:before="4"/>
        <w:rPr>
          <w:sz w:val="11"/>
        </w:rPr>
      </w:pPr>
    </w:p>
    <w:p w14:paraId="6E742C23"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4FACB0F1" wp14:editId="2F0CE96A">
                <wp:extent cx="5603875" cy="6350"/>
                <wp:effectExtent l="0" t="0" r="0" b="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15" name="Graphic 915"/>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E114B6" id="Group 914"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BxX4DUdAIAAPYFAAAOAAAAAAAAAAAA&#10;AAAAAC4CAABkcnMvZTJvRG9jLnhtbFBLAQItABQABgAIAAAAIQC/Y0lo2gAAAAMBAAAPAAAAAAAA&#10;AAAAAAAAAM4EAABkcnMvZG93bnJldi54bWxQSwUGAAAAAAQABADzAAAA1QUAAAAA&#10;">
                <v:shape id="Graphic 915"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" path="m5603329,6120l,6120,,,5603329,r,6120xe" fillcolor="black" stroked="f">
                  <v:path arrowok="t"/>
                </v:shape>
                <w10:anchorlock/>
              </v:group>
            </w:pict>
          </mc:Fallback>
        </mc:AlternateContent>
      </w:r>
    </w:p>
    <w:p w14:paraId="79CE221D" w14:textId="77777777" w:rsidR="00AC6F3C" w:rsidRDefault="00AC6F3C">
      <w:pPr>
        <w:pStyle w:val="BodyText"/>
        <w:rPr>
          <w:sz w:val="19"/>
        </w:rPr>
      </w:pPr>
    </w:p>
    <w:tbl>
      <w:tblPr>
        <w:tblW w:w="0" w:type="auto"/>
        <w:tblInd w:w="994" w:type="dxa"/>
        <w:tblLayout w:type="fixed"/>
        <w:tblCellMar>
          <w:left w:w="0" w:type="dxa"/>
          <w:right w:w="0" w:type="dxa"/>
        </w:tblCellMar>
        <w:tblLook w:val="01E0" w:firstRow="1" w:lastRow="1" w:firstColumn="1" w:lastColumn="1" w:noHBand="0" w:noVBand="0"/>
      </w:tblPr>
      <w:tblGrid>
        <w:gridCol w:w="6042"/>
        <w:gridCol w:w="1348"/>
        <w:gridCol w:w="1326"/>
      </w:tblGrid>
      <w:tr w:rsidR="00AC6F3C" w14:paraId="20A14CA1" w14:textId="77777777">
        <w:trPr>
          <w:trHeight w:val="553"/>
        </w:trPr>
        <w:tc>
          <w:tcPr>
            <w:tcW w:w="7390" w:type="dxa"/>
            <w:gridSpan w:val="2"/>
            <w:tcBorders>
              <w:top w:val="single" w:sz="6" w:space="0" w:color="000000"/>
              <w:left w:val="single" w:sz="6" w:space="0" w:color="000000"/>
              <w:bottom w:val="single" w:sz="6" w:space="0" w:color="000000"/>
            </w:tcBorders>
            <w:shd w:val="clear" w:color="auto" w:fill="BEBEBE"/>
          </w:tcPr>
          <w:p w14:paraId="73FFA5D9" w14:textId="77777777" w:rsidR="00AC6F3C" w:rsidRDefault="00570E88">
            <w:pPr>
              <w:pStyle w:val="TableParagraph"/>
              <w:spacing w:before="25"/>
              <w:ind w:right="36"/>
              <w:jc w:val="right"/>
              <w:rPr>
                <w:b/>
                <w:sz w:val="18"/>
              </w:rPr>
            </w:pPr>
            <w:r>
              <w:rPr>
                <w:b/>
                <w:spacing w:val="-4"/>
                <w:sz w:val="18"/>
              </w:rPr>
              <w:t>2023</w:t>
            </w:r>
          </w:p>
          <w:p w14:paraId="318A64A7" w14:textId="77777777" w:rsidR="00AC6F3C" w:rsidRDefault="00570E88">
            <w:pPr>
              <w:pStyle w:val="TableParagraph"/>
              <w:spacing w:before="77"/>
              <w:ind w:right="36"/>
              <w:jc w:val="right"/>
              <w:rPr>
                <w:b/>
                <w:sz w:val="18"/>
              </w:rPr>
            </w:pPr>
            <w:r>
              <w:rPr>
                <w:b/>
                <w:spacing w:val="-2"/>
                <w:sz w:val="18"/>
              </w:rPr>
              <w:t>$'000</w:t>
            </w:r>
          </w:p>
        </w:tc>
        <w:tc>
          <w:tcPr>
            <w:tcW w:w="1326" w:type="dxa"/>
            <w:tcBorders>
              <w:top w:val="single" w:sz="6" w:space="0" w:color="000000"/>
              <w:bottom w:val="single" w:sz="6" w:space="0" w:color="000000"/>
              <w:right w:val="single" w:sz="6" w:space="0" w:color="000000"/>
            </w:tcBorders>
            <w:shd w:val="clear" w:color="auto" w:fill="BEBEBE"/>
          </w:tcPr>
          <w:p w14:paraId="25442706" w14:textId="77777777" w:rsidR="00AC6F3C" w:rsidRDefault="00570E88">
            <w:pPr>
              <w:pStyle w:val="TableParagraph"/>
              <w:spacing w:before="25"/>
              <w:ind w:left="875"/>
              <w:rPr>
                <w:b/>
                <w:sz w:val="18"/>
              </w:rPr>
            </w:pPr>
            <w:r>
              <w:rPr>
                <w:b/>
                <w:spacing w:val="-4"/>
                <w:sz w:val="18"/>
              </w:rPr>
              <w:t>2022</w:t>
            </w:r>
          </w:p>
          <w:p w14:paraId="4299C82D" w14:textId="77777777" w:rsidR="00AC6F3C" w:rsidRDefault="00570E88">
            <w:pPr>
              <w:pStyle w:val="TableParagraph"/>
              <w:spacing w:before="77"/>
              <w:ind w:left="830"/>
              <w:rPr>
                <w:b/>
                <w:sz w:val="18"/>
              </w:rPr>
            </w:pPr>
            <w:r>
              <w:rPr>
                <w:b/>
                <w:spacing w:val="-2"/>
                <w:sz w:val="18"/>
              </w:rPr>
              <w:t>$'000</w:t>
            </w:r>
          </w:p>
        </w:tc>
      </w:tr>
      <w:tr w:rsidR="00AC6F3C" w14:paraId="40B703E9" w14:textId="77777777">
        <w:trPr>
          <w:trHeight w:val="782"/>
        </w:trPr>
        <w:tc>
          <w:tcPr>
            <w:tcW w:w="6042" w:type="dxa"/>
            <w:tcBorders>
              <w:top w:val="single" w:sz="6" w:space="0" w:color="000000"/>
              <w:left w:val="single" w:sz="6" w:space="0" w:color="000000"/>
            </w:tcBorders>
          </w:tcPr>
          <w:p w14:paraId="67056DA4" w14:textId="77777777" w:rsidR="00AC6F3C" w:rsidRDefault="00570E88">
            <w:pPr>
              <w:pStyle w:val="TableParagraph"/>
              <w:spacing w:before="55"/>
              <w:ind w:left="37"/>
              <w:rPr>
                <w:b/>
                <w:sz w:val="18"/>
              </w:rPr>
            </w:pPr>
            <w:r>
              <w:rPr>
                <w:b/>
                <w:spacing w:val="-2"/>
                <w:sz w:val="18"/>
              </w:rPr>
              <w:t>Interest</w:t>
            </w:r>
            <w:r>
              <w:rPr>
                <w:b/>
                <w:spacing w:val="1"/>
                <w:sz w:val="18"/>
              </w:rPr>
              <w:t xml:space="preserve"> </w:t>
            </w:r>
            <w:r>
              <w:rPr>
                <w:b/>
                <w:spacing w:val="-2"/>
                <w:sz w:val="18"/>
              </w:rPr>
              <w:t>rate</w:t>
            </w:r>
            <w:r>
              <w:rPr>
                <w:b/>
                <w:spacing w:val="8"/>
                <w:sz w:val="18"/>
              </w:rPr>
              <w:t xml:space="preserve"> </w:t>
            </w:r>
            <w:r>
              <w:rPr>
                <w:b/>
                <w:spacing w:val="-2"/>
                <w:sz w:val="18"/>
              </w:rPr>
              <w:t>sensitivity</w:t>
            </w:r>
            <w:r>
              <w:rPr>
                <w:b/>
                <w:spacing w:val="-10"/>
                <w:sz w:val="18"/>
              </w:rPr>
              <w:t xml:space="preserve"> </w:t>
            </w:r>
            <w:r>
              <w:rPr>
                <w:b/>
                <w:spacing w:val="-2"/>
                <w:sz w:val="18"/>
              </w:rPr>
              <w:t>analysis</w:t>
            </w:r>
          </w:p>
          <w:p w14:paraId="564C0C69" w14:textId="77777777" w:rsidR="00AC6F3C" w:rsidRDefault="00570E88">
            <w:pPr>
              <w:pStyle w:val="TableParagraph"/>
              <w:spacing w:line="240" w:lineRule="atLeast"/>
              <w:ind w:left="37"/>
              <w:rPr>
                <w:sz w:val="18"/>
              </w:rPr>
            </w:pPr>
            <w:r>
              <w:rPr>
                <w:sz w:val="18"/>
              </w:rPr>
              <w:t>At</w:t>
            </w:r>
            <w:r>
              <w:rPr>
                <w:spacing w:val="-6"/>
                <w:sz w:val="18"/>
              </w:rPr>
              <w:t xml:space="preserve"> </w:t>
            </w:r>
            <w:r>
              <w:rPr>
                <w:sz w:val="18"/>
              </w:rPr>
              <w:t>30 June,</w:t>
            </w:r>
            <w:r>
              <w:rPr>
                <w:spacing w:val="-6"/>
                <w:sz w:val="18"/>
              </w:rPr>
              <w:t xml:space="preserve"> </w:t>
            </w:r>
            <w:r>
              <w:rPr>
                <w:sz w:val="18"/>
              </w:rPr>
              <w:t>the effect</w:t>
            </w:r>
            <w:r>
              <w:rPr>
                <w:spacing w:val="-6"/>
                <w:sz w:val="18"/>
              </w:rPr>
              <w:t xml:space="preserve"> </w:t>
            </w:r>
            <w:r>
              <w:rPr>
                <w:sz w:val="18"/>
              </w:rPr>
              <w:t>on profit</w:t>
            </w:r>
            <w:r>
              <w:rPr>
                <w:spacing w:val="-6"/>
                <w:sz w:val="18"/>
              </w:rPr>
              <w:t xml:space="preserve"> </w:t>
            </w:r>
            <w:r>
              <w:rPr>
                <w:sz w:val="18"/>
              </w:rPr>
              <w:t>as a result</w:t>
            </w:r>
            <w:r>
              <w:rPr>
                <w:spacing w:val="-6"/>
                <w:sz w:val="18"/>
              </w:rPr>
              <w:t xml:space="preserve"> </w:t>
            </w:r>
            <w:r>
              <w:rPr>
                <w:sz w:val="18"/>
              </w:rPr>
              <w:t>of</w:t>
            </w:r>
            <w:r>
              <w:rPr>
                <w:spacing w:val="-6"/>
                <w:sz w:val="18"/>
              </w:rPr>
              <w:t xml:space="preserve"> </w:t>
            </w:r>
            <w:r>
              <w:rPr>
                <w:sz w:val="18"/>
              </w:rPr>
              <w:t>changes in the interest</w:t>
            </w:r>
            <w:r>
              <w:rPr>
                <w:spacing w:val="-6"/>
                <w:sz w:val="18"/>
              </w:rPr>
              <w:t xml:space="preserve"> </w:t>
            </w:r>
            <w:r>
              <w:rPr>
                <w:sz w:val="18"/>
              </w:rPr>
              <w:t>rate, with all other variables</w:t>
            </w:r>
            <w:r>
              <w:rPr>
                <w:spacing w:val="40"/>
                <w:sz w:val="18"/>
              </w:rPr>
              <w:t xml:space="preserve"> </w:t>
            </w:r>
            <w:r>
              <w:rPr>
                <w:sz w:val="18"/>
              </w:rPr>
              <w:t>remaining constant would be as</w:t>
            </w:r>
            <w:r>
              <w:rPr>
                <w:spacing w:val="40"/>
                <w:sz w:val="18"/>
              </w:rPr>
              <w:t xml:space="preserve"> </w:t>
            </w:r>
            <w:r>
              <w:rPr>
                <w:sz w:val="18"/>
              </w:rPr>
              <w:t>follows:</w:t>
            </w:r>
          </w:p>
        </w:tc>
        <w:tc>
          <w:tcPr>
            <w:tcW w:w="1348" w:type="dxa"/>
            <w:tcBorders>
              <w:top w:val="single" w:sz="6" w:space="0" w:color="000000"/>
            </w:tcBorders>
            <w:shd w:val="clear" w:color="auto" w:fill="F1F1F1"/>
          </w:tcPr>
          <w:p w14:paraId="3E84FE33" w14:textId="77777777" w:rsidR="00AC6F3C" w:rsidRDefault="00AC6F3C">
            <w:pPr>
              <w:pStyle w:val="TableParagraph"/>
              <w:rPr>
                <w:rFonts w:ascii="Times New Roman"/>
                <w:sz w:val="18"/>
              </w:rPr>
            </w:pPr>
          </w:p>
        </w:tc>
        <w:tc>
          <w:tcPr>
            <w:tcW w:w="1326" w:type="dxa"/>
            <w:tcBorders>
              <w:top w:val="single" w:sz="6" w:space="0" w:color="000000"/>
              <w:right w:val="single" w:sz="6" w:space="0" w:color="000000"/>
            </w:tcBorders>
          </w:tcPr>
          <w:p w14:paraId="0F18AD24" w14:textId="77777777" w:rsidR="00AC6F3C" w:rsidRDefault="00AC6F3C">
            <w:pPr>
              <w:pStyle w:val="TableParagraph"/>
              <w:rPr>
                <w:rFonts w:ascii="Times New Roman"/>
                <w:sz w:val="18"/>
              </w:rPr>
            </w:pPr>
          </w:p>
        </w:tc>
      </w:tr>
      <w:tr w:rsidR="00AC6F3C" w14:paraId="318DC308" w14:textId="77777777">
        <w:trPr>
          <w:trHeight w:val="284"/>
        </w:trPr>
        <w:tc>
          <w:tcPr>
            <w:tcW w:w="6042" w:type="dxa"/>
            <w:tcBorders>
              <w:left w:val="single" w:sz="6" w:space="0" w:color="000000"/>
            </w:tcBorders>
          </w:tcPr>
          <w:p w14:paraId="481DE693" w14:textId="77777777" w:rsidR="00AC6F3C" w:rsidRDefault="00570E88">
            <w:pPr>
              <w:pStyle w:val="TableParagraph"/>
              <w:spacing w:before="35"/>
              <w:ind w:left="37"/>
              <w:rPr>
                <w:b/>
                <w:sz w:val="18"/>
              </w:rPr>
            </w:pPr>
            <w:r>
              <w:rPr>
                <w:b/>
                <w:spacing w:val="-4"/>
                <w:sz w:val="18"/>
              </w:rPr>
              <w:t>Change</w:t>
            </w:r>
            <w:r>
              <w:rPr>
                <w:b/>
                <w:spacing w:val="-7"/>
                <w:sz w:val="18"/>
              </w:rPr>
              <w:t xml:space="preserve"> </w:t>
            </w:r>
            <w:r>
              <w:rPr>
                <w:b/>
                <w:spacing w:val="-4"/>
                <w:sz w:val="18"/>
              </w:rPr>
              <w:t>in</w:t>
            </w:r>
            <w:r>
              <w:rPr>
                <w:b/>
                <w:spacing w:val="-11"/>
                <w:sz w:val="18"/>
              </w:rPr>
              <w:t xml:space="preserve"> </w:t>
            </w:r>
            <w:r>
              <w:rPr>
                <w:b/>
                <w:spacing w:val="-4"/>
                <w:sz w:val="18"/>
              </w:rPr>
              <w:t>profit</w:t>
            </w:r>
          </w:p>
        </w:tc>
        <w:tc>
          <w:tcPr>
            <w:tcW w:w="1348" w:type="dxa"/>
            <w:shd w:val="clear" w:color="auto" w:fill="F1F1F1"/>
          </w:tcPr>
          <w:p w14:paraId="3E236294" w14:textId="77777777" w:rsidR="00AC6F3C" w:rsidRDefault="00AC6F3C">
            <w:pPr>
              <w:pStyle w:val="TableParagraph"/>
              <w:rPr>
                <w:rFonts w:ascii="Times New Roman"/>
                <w:sz w:val="18"/>
              </w:rPr>
            </w:pPr>
          </w:p>
        </w:tc>
        <w:tc>
          <w:tcPr>
            <w:tcW w:w="1326" w:type="dxa"/>
            <w:tcBorders>
              <w:right w:val="single" w:sz="6" w:space="0" w:color="000000"/>
            </w:tcBorders>
          </w:tcPr>
          <w:p w14:paraId="6E89A50D" w14:textId="77777777" w:rsidR="00AC6F3C" w:rsidRDefault="00AC6F3C">
            <w:pPr>
              <w:pStyle w:val="TableParagraph"/>
              <w:rPr>
                <w:rFonts w:ascii="Times New Roman"/>
                <w:sz w:val="18"/>
              </w:rPr>
            </w:pPr>
          </w:p>
        </w:tc>
      </w:tr>
      <w:tr w:rsidR="00AC6F3C" w14:paraId="7A2E6B32" w14:textId="77777777">
        <w:trPr>
          <w:trHeight w:val="284"/>
        </w:trPr>
        <w:tc>
          <w:tcPr>
            <w:tcW w:w="6042" w:type="dxa"/>
            <w:tcBorders>
              <w:left w:val="single" w:sz="6" w:space="0" w:color="000000"/>
            </w:tcBorders>
          </w:tcPr>
          <w:p w14:paraId="267FE58C" w14:textId="77777777" w:rsidR="00AC6F3C" w:rsidRDefault="00570E88">
            <w:pPr>
              <w:pStyle w:val="TableParagraph"/>
              <w:spacing w:before="35"/>
              <w:ind w:left="306"/>
              <w:rPr>
                <w:sz w:val="18"/>
              </w:rPr>
            </w:pPr>
            <w:r>
              <w:rPr>
                <w:sz w:val="18"/>
              </w:rPr>
              <w:t>Increase</w:t>
            </w:r>
            <w:r>
              <w:rPr>
                <w:spacing w:val="7"/>
                <w:sz w:val="18"/>
              </w:rPr>
              <w:t xml:space="preserve"> </w:t>
            </w:r>
            <w:r>
              <w:rPr>
                <w:sz w:val="18"/>
              </w:rPr>
              <w:t>in</w:t>
            </w:r>
            <w:r>
              <w:rPr>
                <w:spacing w:val="7"/>
                <w:sz w:val="18"/>
              </w:rPr>
              <w:t xml:space="preserve"> </w:t>
            </w:r>
            <w:r>
              <w:rPr>
                <w:sz w:val="18"/>
              </w:rPr>
              <w:t>interest</w:t>
            </w:r>
            <w:r>
              <w:rPr>
                <w:spacing w:val="-5"/>
                <w:sz w:val="18"/>
              </w:rPr>
              <w:t xml:space="preserve"> </w:t>
            </w:r>
            <w:r>
              <w:rPr>
                <w:sz w:val="18"/>
              </w:rPr>
              <w:t>rate</w:t>
            </w:r>
            <w:r>
              <w:rPr>
                <w:spacing w:val="7"/>
                <w:sz w:val="18"/>
              </w:rPr>
              <w:t xml:space="preserve"> </w:t>
            </w:r>
            <w:r>
              <w:rPr>
                <w:sz w:val="18"/>
              </w:rPr>
              <w:t>by</w:t>
            </w:r>
            <w:r>
              <w:rPr>
                <w:spacing w:val="-16"/>
                <w:sz w:val="18"/>
              </w:rPr>
              <w:t xml:space="preserve"> </w:t>
            </w:r>
            <w:r>
              <w:rPr>
                <w:spacing w:val="-7"/>
                <w:sz w:val="18"/>
              </w:rPr>
              <w:t>1%</w:t>
            </w:r>
          </w:p>
        </w:tc>
        <w:tc>
          <w:tcPr>
            <w:tcW w:w="1348" w:type="dxa"/>
            <w:shd w:val="clear" w:color="auto" w:fill="F1F1F1"/>
          </w:tcPr>
          <w:p w14:paraId="1395E4F5" w14:textId="77777777" w:rsidR="00AC6F3C" w:rsidRDefault="00570E88">
            <w:pPr>
              <w:pStyle w:val="TableParagraph"/>
              <w:spacing w:before="35"/>
              <w:ind w:right="41"/>
              <w:jc w:val="right"/>
              <w:rPr>
                <w:sz w:val="18"/>
              </w:rPr>
            </w:pPr>
            <w:r>
              <w:rPr>
                <w:w w:val="99"/>
                <w:sz w:val="18"/>
              </w:rPr>
              <w:t>7</w:t>
            </w:r>
          </w:p>
        </w:tc>
        <w:tc>
          <w:tcPr>
            <w:tcW w:w="1326" w:type="dxa"/>
            <w:tcBorders>
              <w:right w:val="single" w:sz="6" w:space="0" w:color="000000"/>
            </w:tcBorders>
          </w:tcPr>
          <w:p w14:paraId="787D4E36" w14:textId="77777777" w:rsidR="00AC6F3C" w:rsidRDefault="00570E88">
            <w:pPr>
              <w:pStyle w:val="TableParagraph"/>
              <w:spacing w:before="35"/>
              <w:ind w:right="26"/>
              <w:jc w:val="right"/>
              <w:rPr>
                <w:sz w:val="18"/>
              </w:rPr>
            </w:pPr>
            <w:r>
              <w:rPr>
                <w:w w:val="99"/>
                <w:sz w:val="18"/>
              </w:rPr>
              <w:t>3</w:t>
            </w:r>
          </w:p>
        </w:tc>
      </w:tr>
      <w:tr w:rsidR="00AC6F3C" w14:paraId="67F46D1E" w14:textId="77777777">
        <w:trPr>
          <w:trHeight w:val="249"/>
        </w:trPr>
        <w:tc>
          <w:tcPr>
            <w:tcW w:w="6042" w:type="dxa"/>
            <w:tcBorders>
              <w:left w:val="single" w:sz="6" w:space="0" w:color="000000"/>
              <w:bottom w:val="single" w:sz="6" w:space="0" w:color="000000"/>
            </w:tcBorders>
          </w:tcPr>
          <w:p w14:paraId="61D3477C" w14:textId="77777777" w:rsidR="00AC6F3C" w:rsidRDefault="00570E88">
            <w:pPr>
              <w:pStyle w:val="TableParagraph"/>
              <w:spacing w:before="35" w:line="194" w:lineRule="exact"/>
              <w:ind w:left="306"/>
              <w:rPr>
                <w:sz w:val="18"/>
              </w:rPr>
            </w:pPr>
            <w:r>
              <w:rPr>
                <w:sz w:val="18"/>
              </w:rPr>
              <w:t>Decrease</w:t>
            </w:r>
            <w:r>
              <w:rPr>
                <w:spacing w:val="9"/>
                <w:sz w:val="18"/>
              </w:rPr>
              <w:t xml:space="preserve"> </w:t>
            </w:r>
            <w:r>
              <w:rPr>
                <w:sz w:val="18"/>
              </w:rPr>
              <w:t>in</w:t>
            </w:r>
            <w:r>
              <w:rPr>
                <w:spacing w:val="9"/>
                <w:sz w:val="18"/>
              </w:rPr>
              <w:t xml:space="preserve"> </w:t>
            </w:r>
            <w:r>
              <w:rPr>
                <w:sz w:val="18"/>
              </w:rPr>
              <w:t>interest</w:t>
            </w:r>
            <w:r>
              <w:rPr>
                <w:spacing w:val="-3"/>
                <w:sz w:val="18"/>
              </w:rPr>
              <w:t xml:space="preserve"> </w:t>
            </w:r>
            <w:r>
              <w:rPr>
                <w:sz w:val="18"/>
              </w:rPr>
              <w:t>rate</w:t>
            </w:r>
            <w:r>
              <w:rPr>
                <w:spacing w:val="9"/>
                <w:sz w:val="18"/>
              </w:rPr>
              <w:t xml:space="preserve"> </w:t>
            </w:r>
            <w:r>
              <w:rPr>
                <w:sz w:val="18"/>
              </w:rPr>
              <w:t>by</w:t>
            </w:r>
            <w:r>
              <w:rPr>
                <w:spacing w:val="-15"/>
                <w:sz w:val="18"/>
              </w:rPr>
              <w:t xml:space="preserve"> </w:t>
            </w:r>
            <w:r>
              <w:rPr>
                <w:spacing w:val="-7"/>
                <w:sz w:val="18"/>
              </w:rPr>
              <w:t>1%</w:t>
            </w:r>
          </w:p>
        </w:tc>
        <w:tc>
          <w:tcPr>
            <w:tcW w:w="1348" w:type="dxa"/>
            <w:tcBorders>
              <w:bottom w:val="single" w:sz="6" w:space="0" w:color="000000"/>
            </w:tcBorders>
            <w:shd w:val="clear" w:color="auto" w:fill="F1F1F1"/>
          </w:tcPr>
          <w:p w14:paraId="016A56AA" w14:textId="77777777" w:rsidR="00AC6F3C" w:rsidRDefault="00570E88">
            <w:pPr>
              <w:pStyle w:val="TableParagraph"/>
              <w:spacing w:before="35" w:line="194" w:lineRule="exact"/>
              <w:ind w:right="36"/>
              <w:jc w:val="right"/>
              <w:rPr>
                <w:sz w:val="18"/>
              </w:rPr>
            </w:pPr>
            <w:r>
              <w:rPr>
                <w:spacing w:val="-5"/>
                <w:sz w:val="18"/>
              </w:rPr>
              <w:t>(7)</w:t>
            </w:r>
          </w:p>
        </w:tc>
        <w:tc>
          <w:tcPr>
            <w:tcW w:w="1326" w:type="dxa"/>
            <w:tcBorders>
              <w:bottom w:val="single" w:sz="6" w:space="0" w:color="000000"/>
              <w:right w:val="single" w:sz="6" w:space="0" w:color="000000"/>
            </w:tcBorders>
          </w:tcPr>
          <w:p w14:paraId="678B5979" w14:textId="77777777" w:rsidR="00AC6F3C" w:rsidRDefault="00570E88">
            <w:pPr>
              <w:pStyle w:val="TableParagraph"/>
              <w:spacing w:before="35" w:line="194" w:lineRule="exact"/>
              <w:ind w:right="22"/>
              <w:jc w:val="right"/>
              <w:rPr>
                <w:sz w:val="18"/>
              </w:rPr>
            </w:pPr>
            <w:r>
              <w:rPr>
                <w:spacing w:val="-5"/>
                <w:sz w:val="18"/>
              </w:rPr>
              <w:t>(2)</w:t>
            </w:r>
          </w:p>
        </w:tc>
      </w:tr>
    </w:tbl>
    <w:p w14:paraId="270B0E5D" w14:textId="77777777" w:rsidR="00AC6F3C" w:rsidRDefault="00AC6F3C">
      <w:pPr>
        <w:pStyle w:val="BodyText"/>
        <w:spacing w:before="5"/>
        <w:rPr>
          <w:sz w:val="23"/>
        </w:rPr>
      </w:pPr>
    </w:p>
    <w:tbl>
      <w:tblPr>
        <w:tblW w:w="0" w:type="auto"/>
        <w:tblInd w:w="994" w:type="dxa"/>
        <w:tblLayout w:type="fixed"/>
        <w:tblCellMar>
          <w:left w:w="0" w:type="dxa"/>
          <w:right w:w="0" w:type="dxa"/>
        </w:tblCellMar>
        <w:tblLook w:val="01E0" w:firstRow="1" w:lastRow="1" w:firstColumn="1" w:lastColumn="1" w:noHBand="0" w:noVBand="0"/>
      </w:tblPr>
      <w:tblGrid>
        <w:gridCol w:w="6042"/>
        <w:gridCol w:w="1348"/>
        <w:gridCol w:w="1326"/>
      </w:tblGrid>
      <w:tr w:rsidR="00AC6F3C" w14:paraId="4E58CD21" w14:textId="77777777">
        <w:trPr>
          <w:trHeight w:val="553"/>
        </w:trPr>
        <w:tc>
          <w:tcPr>
            <w:tcW w:w="7390" w:type="dxa"/>
            <w:gridSpan w:val="2"/>
            <w:tcBorders>
              <w:top w:val="single" w:sz="6" w:space="0" w:color="000000"/>
              <w:left w:val="single" w:sz="6" w:space="0" w:color="000000"/>
              <w:bottom w:val="single" w:sz="6" w:space="0" w:color="000000"/>
            </w:tcBorders>
            <w:shd w:val="clear" w:color="auto" w:fill="BEBEBE"/>
          </w:tcPr>
          <w:p w14:paraId="6E32BFED" w14:textId="77777777" w:rsidR="00AC6F3C" w:rsidRDefault="00570E88">
            <w:pPr>
              <w:pStyle w:val="TableParagraph"/>
              <w:spacing w:before="25"/>
              <w:ind w:right="36"/>
              <w:jc w:val="right"/>
              <w:rPr>
                <w:b/>
                <w:sz w:val="18"/>
              </w:rPr>
            </w:pPr>
            <w:r>
              <w:rPr>
                <w:b/>
                <w:spacing w:val="-4"/>
                <w:sz w:val="18"/>
              </w:rPr>
              <w:t>2023</w:t>
            </w:r>
          </w:p>
          <w:p w14:paraId="2BF9E581" w14:textId="77777777" w:rsidR="00AC6F3C" w:rsidRDefault="00570E88">
            <w:pPr>
              <w:pStyle w:val="TableParagraph"/>
              <w:spacing w:before="77"/>
              <w:ind w:right="36"/>
              <w:jc w:val="right"/>
              <w:rPr>
                <w:b/>
                <w:sz w:val="18"/>
              </w:rPr>
            </w:pPr>
            <w:r>
              <w:rPr>
                <w:b/>
                <w:spacing w:val="-2"/>
                <w:sz w:val="18"/>
              </w:rPr>
              <w:t>$'000</w:t>
            </w:r>
          </w:p>
        </w:tc>
        <w:tc>
          <w:tcPr>
            <w:tcW w:w="1326" w:type="dxa"/>
            <w:tcBorders>
              <w:top w:val="single" w:sz="6" w:space="0" w:color="000000"/>
              <w:bottom w:val="single" w:sz="6" w:space="0" w:color="000000"/>
              <w:right w:val="single" w:sz="6" w:space="0" w:color="000000"/>
            </w:tcBorders>
            <w:shd w:val="clear" w:color="auto" w:fill="BEBEBE"/>
          </w:tcPr>
          <w:p w14:paraId="2CE649D3" w14:textId="77777777" w:rsidR="00AC6F3C" w:rsidRDefault="00570E88">
            <w:pPr>
              <w:pStyle w:val="TableParagraph"/>
              <w:spacing w:before="25"/>
              <w:ind w:left="875"/>
              <w:rPr>
                <w:b/>
                <w:sz w:val="18"/>
              </w:rPr>
            </w:pPr>
            <w:r>
              <w:rPr>
                <w:b/>
                <w:spacing w:val="-4"/>
                <w:sz w:val="18"/>
              </w:rPr>
              <w:t>2022</w:t>
            </w:r>
          </w:p>
          <w:p w14:paraId="19AAF3D4" w14:textId="77777777" w:rsidR="00AC6F3C" w:rsidRDefault="00570E88">
            <w:pPr>
              <w:pStyle w:val="TableParagraph"/>
              <w:spacing w:before="77"/>
              <w:ind w:left="830"/>
              <w:rPr>
                <w:b/>
                <w:sz w:val="18"/>
              </w:rPr>
            </w:pPr>
            <w:r>
              <w:rPr>
                <w:b/>
                <w:spacing w:val="-2"/>
                <w:sz w:val="18"/>
              </w:rPr>
              <w:t>$'000</w:t>
            </w:r>
          </w:p>
        </w:tc>
      </w:tr>
      <w:tr w:rsidR="00AC6F3C" w14:paraId="307D55A0" w14:textId="77777777">
        <w:trPr>
          <w:trHeight w:val="1021"/>
        </w:trPr>
        <w:tc>
          <w:tcPr>
            <w:tcW w:w="6042" w:type="dxa"/>
            <w:tcBorders>
              <w:top w:val="single" w:sz="6" w:space="0" w:color="000000"/>
              <w:left w:val="single" w:sz="6" w:space="0" w:color="000000"/>
            </w:tcBorders>
          </w:tcPr>
          <w:p w14:paraId="3FC23EE9" w14:textId="77777777" w:rsidR="00AC6F3C" w:rsidRDefault="00570E88">
            <w:pPr>
              <w:pStyle w:val="TableParagraph"/>
              <w:spacing w:before="55"/>
              <w:ind w:left="37"/>
              <w:rPr>
                <w:b/>
                <w:sz w:val="18"/>
              </w:rPr>
            </w:pPr>
            <w:r>
              <w:rPr>
                <w:b/>
                <w:spacing w:val="-2"/>
                <w:sz w:val="18"/>
              </w:rPr>
              <w:t>Price</w:t>
            </w:r>
            <w:r>
              <w:rPr>
                <w:b/>
                <w:sz w:val="18"/>
              </w:rPr>
              <w:t xml:space="preserve"> </w:t>
            </w:r>
            <w:r>
              <w:rPr>
                <w:b/>
                <w:spacing w:val="-2"/>
                <w:sz w:val="18"/>
              </w:rPr>
              <w:t>sensitivity</w:t>
            </w:r>
            <w:r>
              <w:rPr>
                <w:b/>
                <w:spacing w:val="-16"/>
                <w:sz w:val="18"/>
              </w:rPr>
              <w:t xml:space="preserve"> </w:t>
            </w:r>
            <w:r>
              <w:rPr>
                <w:b/>
                <w:spacing w:val="-2"/>
                <w:sz w:val="18"/>
              </w:rPr>
              <w:t>analysis</w:t>
            </w:r>
          </w:p>
          <w:p w14:paraId="19F434E8" w14:textId="77777777" w:rsidR="00AC6F3C" w:rsidRDefault="00570E88">
            <w:pPr>
              <w:pStyle w:val="TableParagraph"/>
              <w:spacing w:line="240" w:lineRule="atLeast"/>
              <w:ind w:left="37"/>
              <w:rPr>
                <w:sz w:val="18"/>
              </w:rPr>
            </w:pPr>
            <w:r>
              <w:rPr>
                <w:sz w:val="18"/>
              </w:rPr>
              <w:t xml:space="preserve">At 30 June, the effect on profit as a result of changes in the unit price of managed funds, with all other variables remaining constant would be as </w:t>
            </w:r>
            <w:r>
              <w:rPr>
                <w:spacing w:val="-2"/>
                <w:sz w:val="18"/>
              </w:rPr>
              <w:t>follows:</w:t>
            </w:r>
          </w:p>
        </w:tc>
        <w:tc>
          <w:tcPr>
            <w:tcW w:w="1348" w:type="dxa"/>
            <w:tcBorders>
              <w:top w:val="single" w:sz="6" w:space="0" w:color="000000"/>
            </w:tcBorders>
            <w:shd w:val="clear" w:color="auto" w:fill="F1F1F1"/>
          </w:tcPr>
          <w:p w14:paraId="489E6DF7" w14:textId="77777777" w:rsidR="00AC6F3C" w:rsidRDefault="00AC6F3C">
            <w:pPr>
              <w:pStyle w:val="TableParagraph"/>
              <w:rPr>
                <w:rFonts w:ascii="Times New Roman"/>
                <w:sz w:val="18"/>
              </w:rPr>
            </w:pPr>
          </w:p>
        </w:tc>
        <w:tc>
          <w:tcPr>
            <w:tcW w:w="1326" w:type="dxa"/>
            <w:tcBorders>
              <w:top w:val="single" w:sz="6" w:space="0" w:color="000000"/>
              <w:right w:val="single" w:sz="6" w:space="0" w:color="000000"/>
            </w:tcBorders>
          </w:tcPr>
          <w:p w14:paraId="00ED73BA" w14:textId="77777777" w:rsidR="00AC6F3C" w:rsidRDefault="00AC6F3C">
            <w:pPr>
              <w:pStyle w:val="TableParagraph"/>
              <w:rPr>
                <w:rFonts w:ascii="Times New Roman"/>
                <w:sz w:val="18"/>
              </w:rPr>
            </w:pPr>
          </w:p>
        </w:tc>
      </w:tr>
      <w:tr w:rsidR="00AC6F3C" w14:paraId="0E661C62" w14:textId="77777777">
        <w:trPr>
          <w:trHeight w:val="545"/>
        </w:trPr>
        <w:tc>
          <w:tcPr>
            <w:tcW w:w="6042" w:type="dxa"/>
            <w:tcBorders>
              <w:left w:val="single" w:sz="6" w:space="0" w:color="000000"/>
            </w:tcBorders>
          </w:tcPr>
          <w:p w14:paraId="534AB7A9" w14:textId="77777777" w:rsidR="00AC6F3C" w:rsidRDefault="00570E88">
            <w:pPr>
              <w:pStyle w:val="TableParagraph"/>
              <w:spacing w:before="35"/>
              <w:ind w:left="37"/>
              <w:rPr>
                <w:b/>
                <w:sz w:val="18"/>
              </w:rPr>
            </w:pPr>
            <w:r>
              <w:rPr>
                <w:b/>
                <w:spacing w:val="-4"/>
                <w:sz w:val="18"/>
              </w:rPr>
              <w:t>Change</w:t>
            </w:r>
            <w:r>
              <w:rPr>
                <w:b/>
                <w:spacing w:val="-7"/>
                <w:sz w:val="18"/>
              </w:rPr>
              <w:t xml:space="preserve"> </w:t>
            </w:r>
            <w:r>
              <w:rPr>
                <w:b/>
                <w:spacing w:val="-4"/>
                <w:sz w:val="18"/>
              </w:rPr>
              <w:t>in</w:t>
            </w:r>
            <w:r>
              <w:rPr>
                <w:b/>
                <w:spacing w:val="-11"/>
                <w:sz w:val="18"/>
              </w:rPr>
              <w:t xml:space="preserve"> </w:t>
            </w:r>
            <w:r>
              <w:rPr>
                <w:b/>
                <w:spacing w:val="-4"/>
                <w:sz w:val="18"/>
              </w:rPr>
              <w:t>profit</w:t>
            </w:r>
          </w:p>
          <w:p w14:paraId="7474C03F" w14:textId="77777777" w:rsidR="00AC6F3C" w:rsidRDefault="00570E88">
            <w:pPr>
              <w:pStyle w:val="TableParagraph"/>
              <w:spacing w:before="47"/>
              <w:ind w:left="306"/>
              <w:rPr>
                <w:sz w:val="18"/>
              </w:rPr>
            </w:pPr>
            <w:r>
              <w:rPr>
                <w:sz w:val="18"/>
              </w:rPr>
              <w:t>Increase</w:t>
            </w:r>
            <w:r>
              <w:rPr>
                <w:spacing w:val="8"/>
                <w:sz w:val="18"/>
              </w:rPr>
              <w:t xml:space="preserve"> </w:t>
            </w:r>
            <w:r>
              <w:rPr>
                <w:sz w:val="18"/>
              </w:rPr>
              <w:t>in</w:t>
            </w:r>
            <w:r>
              <w:rPr>
                <w:spacing w:val="9"/>
                <w:sz w:val="18"/>
              </w:rPr>
              <w:t xml:space="preserve"> </w:t>
            </w:r>
            <w:r>
              <w:rPr>
                <w:sz w:val="18"/>
              </w:rPr>
              <w:t>managed</w:t>
            </w:r>
            <w:r>
              <w:rPr>
                <w:spacing w:val="9"/>
                <w:sz w:val="18"/>
              </w:rPr>
              <w:t xml:space="preserve"> </w:t>
            </w:r>
            <w:r>
              <w:rPr>
                <w:sz w:val="18"/>
              </w:rPr>
              <w:t>funds</w:t>
            </w:r>
            <w:r>
              <w:rPr>
                <w:spacing w:val="21"/>
                <w:sz w:val="18"/>
              </w:rPr>
              <w:t xml:space="preserve"> </w:t>
            </w:r>
            <w:r>
              <w:rPr>
                <w:sz w:val="18"/>
              </w:rPr>
              <w:t>unit</w:t>
            </w:r>
            <w:r>
              <w:rPr>
                <w:spacing w:val="-3"/>
                <w:sz w:val="18"/>
              </w:rPr>
              <w:t xml:space="preserve"> </w:t>
            </w:r>
            <w:r>
              <w:rPr>
                <w:sz w:val="18"/>
              </w:rPr>
              <w:t>price</w:t>
            </w:r>
            <w:r>
              <w:rPr>
                <w:spacing w:val="9"/>
                <w:sz w:val="18"/>
              </w:rPr>
              <w:t xml:space="preserve"> </w:t>
            </w:r>
            <w:r>
              <w:rPr>
                <w:sz w:val="18"/>
              </w:rPr>
              <w:t>by</w:t>
            </w:r>
            <w:r>
              <w:rPr>
                <w:spacing w:val="-15"/>
                <w:sz w:val="18"/>
              </w:rPr>
              <w:t xml:space="preserve"> </w:t>
            </w:r>
            <w:r>
              <w:rPr>
                <w:spacing w:val="-5"/>
                <w:sz w:val="18"/>
              </w:rPr>
              <w:t>5%</w:t>
            </w:r>
          </w:p>
        </w:tc>
        <w:tc>
          <w:tcPr>
            <w:tcW w:w="1348" w:type="dxa"/>
            <w:shd w:val="clear" w:color="auto" w:fill="F1F1F1"/>
          </w:tcPr>
          <w:p w14:paraId="3E001DFC" w14:textId="77777777" w:rsidR="00AC6F3C" w:rsidRDefault="00AC6F3C">
            <w:pPr>
              <w:pStyle w:val="TableParagraph"/>
              <w:spacing w:before="5"/>
              <w:rPr>
                <w:sz w:val="26"/>
              </w:rPr>
            </w:pPr>
          </w:p>
          <w:p w14:paraId="258B1202" w14:textId="77777777" w:rsidR="00AC6F3C" w:rsidRDefault="00570E88">
            <w:pPr>
              <w:pStyle w:val="TableParagraph"/>
              <w:ind w:right="36"/>
              <w:jc w:val="right"/>
              <w:rPr>
                <w:sz w:val="18"/>
              </w:rPr>
            </w:pPr>
            <w:r>
              <w:rPr>
                <w:spacing w:val="-5"/>
                <w:sz w:val="18"/>
              </w:rPr>
              <w:t>993</w:t>
            </w:r>
          </w:p>
        </w:tc>
        <w:tc>
          <w:tcPr>
            <w:tcW w:w="1326" w:type="dxa"/>
            <w:tcBorders>
              <w:right w:val="single" w:sz="6" w:space="0" w:color="000000"/>
            </w:tcBorders>
          </w:tcPr>
          <w:p w14:paraId="633E98D0" w14:textId="77777777" w:rsidR="00AC6F3C" w:rsidRDefault="00AC6F3C">
            <w:pPr>
              <w:pStyle w:val="TableParagraph"/>
              <w:spacing w:before="5"/>
              <w:rPr>
                <w:sz w:val="26"/>
              </w:rPr>
            </w:pPr>
          </w:p>
          <w:p w14:paraId="73794557" w14:textId="77777777" w:rsidR="00AC6F3C" w:rsidRDefault="00570E88">
            <w:pPr>
              <w:pStyle w:val="TableParagraph"/>
              <w:ind w:right="22"/>
              <w:jc w:val="right"/>
              <w:rPr>
                <w:sz w:val="18"/>
              </w:rPr>
            </w:pPr>
            <w:r>
              <w:rPr>
                <w:spacing w:val="-2"/>
                <w:sz w:val="18"/>
              </w:rPr>
              <w:t>1,123</w:t>
            </w:r>
          </w:p>
        </w:tc>
      </w:tr>
      <w:tr w:rsidR="00AC6F3C" w14:paraId="2B10E530" w14:textId="77777777">
        <w:trPr>
          <w:trHeight w:val="271"/>
        </w:trPr>
        <w:tc>
          <w:tcPr>
            <w:tcW w:w="6042" w:type="dxa"/>
            <w:tcBorders>
              <w:left w:val="single" w:sz="6" w:space="0" w:color="000000"/>
              <w:bottom w:val="single" w:sz="6" w:space="0" w:color="000000"/>
            </w:tcBorders>
          </w:tcPr>
          <w:p w14:paraId="7E5BA627" w14:textId="77777777" w:rsidR="00AC6F3C" w:rsidRDefault="00570E88">
            <w:pPr>
              <w:pStyle w:val="TableParagraph"/>
              <w:spacing w:before="28"/>
              <w:ind w:left="306"/>
              <w:rPr>
                <w:sz w:val="18"/>
              </w:rPr>
            </w:pPr>
            <w:r>
              <w:rPr>
                <w:sz w:val="18"/>
              </w:rPr>
              <w:t>Decrease</w:t>
            </w:r>
            <w:r>
              <w:rPr>
                <w:spacing w:val="10"/>
                <w:sz w:val="18"/>
              </w:rPr>
              <w:t xml:space="preserve"> </w:t>
            </w:r>
            <w:r>
              <w:rPr>
                <w:sz w:val="18"/>
              </w:rPr>
              <w:t>in</w:t>
            </w:r>
            <w:r>
              <w:rPr>
                <w:spacing w:val="10"/>
                <w:sz w:val="18"/>
              </w:rPr>
              <w:t xml:space="preserve"> </w:t>
            </w:r>
            <w:r>
              <w:rPr>
                <w:sz w:val="18"/>
              </w:rPr>
              <w:t>managed</w:t>
            </w:r>
            <w:r>
              <w:rPr>
                <w:spacing w:val="10"/>
                <w:sz w:val="18"/>
              </w:rPr>
              <w:t xml:space="preserve"> </w:t>
            </w:r>
            <w:r>
              <w:rPr>
                <w:sz w:val="18"/>
              </w:rPr>
              <w:t>funds</w:t>
            </w:r>
            <w:r>
              <w:rPr>
                <w:spacing w:val="23"/>
                <w:sz w:val="18"/>
              </w:rPr>
              <w:t xml:space="preserve"> </w:t>
            </w:r>
            <w:r>
              <w:rPr>
                <w:sz w:val="18"/>
              </w:rPr>
              <w:t>unit</w:t>
            </w:r>
            <w:r>
              <w:rPr>
                <w:spacing w:val="-2"/>
                <w:sz w:val="18"/>
              </w:rPr>
              <w:t xml:space="preserve"> </w:t>
            </w:r>
            <w:r>
              <w:rPr>
                <w:sz w:val="18"/>
              </w:rPr>
              <w:t>price</w:t>
            </w:r>
            <w:r>
              <w:rPr>
                <w:spacing w:val="10"/>
                <w:sz w:val="18"/>
              </w:rPr>
              <w:t xml:space="preserve"> </w:t>
            </w:r>
            <w:r>
              <w:rPr>
                <w:sz w:val="18"/>
              </w:rPr>
              <w:t>by</w:t>
            </w:r>
            <w:r>
              <w:rPr>
                <w:spacing w:val="-14"/>
                <w:sz w:val="18"/>
              </w:rPr>
              <w:t xml:space="preserve"> </w:t>
            </w:r>
            <w:r>
              <w:rPr>
                <w:spacing w:val="-5"/>
                <w:sz w:val="18"/>
              </w:rPr>
              <w:t>5%</w:t>
            </w:r>
          </w:p>
        </w:tc>
        <w:tc>
          <w:tcPr>
            <w:tcW w:w="1348" w:type="dxa"/>
            <w:tcBorders>
              <w:bottom w:val="single" w:sz="6" w:space="0" w:color="000000"/>
            </w:tcBorders>
            <w:shd w:val="clear" w:color="auto" w:fill="F1F1F1"/>
          </w:tcPr>
          <w:p w14:paraId="1D021C1C" w14:textId="77777777" w:rsidR="00AC6F3C" w:rsidRDefault="00570E88">
            <w:pPr>
              <w:pStyle w:val="TableParagraph"/>
              <w:spacing w:before="43"/>
              <w:ind w:right="31"/>
              <w:jc w:val="right"/>
              <w:rPr>
                <w:sz w:val="18"/>
              </w:rPr>
            </w:pPr>
            <w:r>
              <w:rPr>
                <w:spacing w:val="-2"/>
                <w:sz w:val="18"/>
              </w:rPr>
              <w:t>(993)</w:t>
            </w:r>
          </w:p>
        </w:tc>
        <w:tc>
          <w:tcPr>
            <w:tcW w:w="1326" w:type="dxa"/>
            <w:tcBorders>
              <w:bottom w:val="single" w:sz="6" w:space="0" w:color="000000"/>
              <w:right w:val="single" w:sz="6" w:space="0" w:color="000000"/>
            </w:tcBorders>
          </w:tcPr>
          <w:p w14:paraId="74FD0E0C" w14:textId="77777777" w:rsidR="00AC6F3C" w:rsidRDefault="00570E88">
            <w:pPr>
              <w:pStyle w:val="TableParagraph"/>
              <w:spacing w:before="43"/>
              <w:ind w:right="17"/>
              <w:jc w:val="right"/>
              <w:rPr>
                <w:sz w:val="18"/>
              </w:rPr>
            </w:pPr>
            <w:r>
              <w:rPr>
                <w:spacing w:val="-2"/>
                <w:sz w:val="18"/>
              </w:rPr>
              <w:t>(1,123)</w:t>
            </w:r>
          </w:p>
        </w:tc>
      </w:tr>
    </w:tbl>
    <w:p w14:paraId="42351B9C" w14:textId="77777777" w:rsidR="00AC6F3C" w:rsidRDefault="00AC6F3C">
      <w:pPr>
        <w:pStyle w:val="BodyText"/>
        <w:spacing w:before="1"/>
        <w:rPr>
          <w:sz w:val="14"/>
        </w:rPr>
      </w:pPr>
    </w:p>
    <w:p w14:paraId="0A70F9DB" w14:textId="77777777" w:rsidR="00AC6F3C" w:rsidRDefault="00570E88">
      <w:pPr>
        <w:spacing w:before="93"/>
        <w:ind w:left="979"/>
        <w:rPr>
          <w:b/>
          <w:sz w:val="20"/>
        </w:rPr>
      </w:pPr>
      <w:r>
        <w:rPr>
          <w:b/>
          <w:sz w:val="20"/>
        </w:rPr>
        <w:t>Liquidity</w:t>
      </w:r>
      <w:r>
        <w:rPr>
          <w:b/>
          <w:spacing w:val="-13"/>
          <w:sz w:val="20"/>
        </w:rPr>
        <w:t xml:space="preserve"> </w:t>
      </w:r>
      <w:r>
        <w:rPr>
          <w:b/>
          <w:spacing w:val="-4"/>
          <w:sz w:val="20"/>
        </w:rPr>
        <w:t>risk</w:t>
      </w:r>
    </w:p>
    <w:p w14:paraId="2B2DF34B" w14:textId="77777777" w:rsidR="00AC6F3C" w:rsidRDefault="00570E88">
      <w:pPr>
        <w:spacing w:before="120"/>
        <w:ind w:left="979" w:right="468"/>
        <w:rPr>
          <w:sz w:val="18"/>
        </w:rPr>
      </w:pPr>
      <w:r>
        <w:rPr>
          <w:sz w:val="18"/>
        </w:rPr>
        <w:t>In the management of liquidity risks, the Fund monitors and maintains a level of cash and cash equivalents deemed adequate by management to finance the Fund’s operations and mitigate the effects of fluctuations in cash</w:t>
      </w:r>
      <w:r>
        <w:rPr>
          <w:spacing w:val="-1"/>
          <w:sz w:val="18"/>
        </w:rPr>
        <w:t xml:space="preserve"> </w:t>
      </w:r>
      <w:r>
        <w:rPr>
          <w:sz w:val="18"/>
        </w:rPr>
        <w:t>flows.</w:t>
      </w:r>
      <w:r>
        <w:rPr>
          <w:spacing w:val="40"/>
          <w:sz w:val="18"/>
        </w:rPr>
        <w:t xml:space="preserve"> </w:t>
      </w:r>
      <w:r>
        <w:rPr>
          <w:sz w:val="18"/>
        </w:rPr>
        <w:t>The</w:t>
      </w:r>
      <w:r>
        <w:rPr>
          <w:spacing w:val="-1"/>
          <w:sz w:val="18"/>
        </w:rPr>
        <w:t xml:space="preserve"> </w:t>
      </w:r>
      <w:r>
        <w:rPr>
          <w:sz w:val="18"/>
        </w:rPr>
        <w:t>Fund</w:t>
      </w:r>
      <w:r>
        <w:rPr>
          <w:spacing w:val="-4"/>
          <w:sz w:val="18"/>
        </w:rPr>
        <w:t xml:space="preserve"> </w:t>
      </w:r>
      <w:r>
        <w:rPr>
          <w:sz w:val="18"/>
        </w:rPr>
        <w:t>also</w:t>
      </w:r>
      <w:r>
        <w:rPr>
          <w:spacing w:val="-1"/>
          <w:sz w:val="18"/>
        </w:rPr>
        <w:t xml:space="preserve"> </w:t>
      </w:r>
      <w:r>
        <w:rPr>
          <w:sz w:val="18"/>
        </w:rPr>
        <w:t>constantly</w:t>
      </w:r>
      <w:r>
        <w:rPr>
          <w:spacing w:val="-1"/>
          <w:sz w:val="18"/>
        </w:rPr>
        <w:t xml:space="preserve"> </w:t>
      </w:r>
      <w:r>
        <w:rPr>
          <w:sz w:val="18"/>
        </w:rPr>
        <w:t>reviews</w:t>
      </w:r>
      <w:r>
        <w:rPr>
          <w:spacing w:val="-3"/>
          <w:sz w:val="18"/>
        </w:rPr>
        <w:t xml:space="preserve"> </w:t>
      </w:r>
      <w:r>
        <w:rPr>
          <w:sz w:val="18"/>
        </w:rPr>
        <w:t>its</w:t>
      </w:r>
      <w:r>
        <w:rPr>
          <w:spacing w:val="-1"/>
          <w:sz w:val="18"/>
        </w:rPr>
        <w:t xml:space="preserve"> </w:t>
      </w:r>
      <w:r>
        <w:rPr>
          <w:sz w:val="18"/>
        </w:rPr>
        <w:t>investment</w:t>
      </w:r>
      <w:r>
        <w:rPr>
          <w:spacing w:val="-4"/>
          <w:sz w:val="18"/>
        </w:rPr>
        <w:t xml:space="preserve"> </w:t>
      </w:r>
      <w:r>
        <w:rPr>
          <w:sz w:val="18"/>
        </w:rPr>
        <w:t>to</w:t>
      </w:r>
      <w:r>
        <w:rPr>
          <w:spacing w:val="-1"/>
          <w:sz w:val="18"/>
        </w:rPr>
        <w:t xml:space="preserve"> </w:t>
      </w:r>
      <w:r>
        <w:rPr>
          <w:sz w:val="18"/>
        </w:rPr>
        <w:t>ensure</w:t>
      </w:r>
      <w:r>
        <w:rPr>
          <w:spacing w:val="-4"/>
          <w:sz w:val="18"/>
        </w:rPr>
        <w:t xml:space="preserve"> </w:t>
      </w:r>
      <w:r>
        <w:rPr>
          <w:sz w:val="18"/>
        </w:rPr>
        <w:t>that</w:t>
      </w:r>
      <w:r>
        <w:rPr>
          <w:spacing w:val="-4"/>
          <w:sz w:val="18"/>
        </w:rPr>
        <w:t xml:space="preserve"> </w:t>
      </w:r>
      <w:r>
        <w:rPr>
          <w:sz w:val="18"/>
        </w:rPr>
        <w:t>there</w:t>
      </w:r>
      <w:r>
        <w:rPr>
          <w:spacing w:val="-1"/>
          <w:sz w:val="18"/>
        </w:rPr>
        <w:t xml:space="preserve"> </w:t>
      </w:r>
      <w:r>
        <w:rPr>
          <w:sz w:val="18"/>
        </w:rPr>
        <w:t>are</w:t>
      </w:r>
      <w:r>
        <w:rPr>
          <w:spacing w:val="-4"/>
          <w:sz w:val="18"/>
        </w:rPr>
        <w:t xml:space="preserve"> </w:t>
      </w:r>
      <w:r>
        <w:rPr>
          <w:sz w:val="18"/>
        </w:rPr>
        <w:t>sufficient</w:t>
      </w:r>
      <w:r>
        <w:rPr>
          <w:spacing w:val="-2"/>
          <w:sz w:val="18"/>
        </w:rPr>
        <w:t xml:space="preserve"> </w:t>
      </w:r>
      <w:r>
        <w:rPr>
          <w:sz w:val="18"/>
        </w:rPr>
        <w:t>cash</w:t>
      </w:r>
      <w:r>
        <w:rPr>
          <w:spacing w:val="-4"/>
          <w:sz w:val="18"/>
        </w:rPr>
        <w:t xml:space="preserve"> </w:t>
      </w:r>
      <w:r>
        <w:rPr>
          <w:sz w:val="18"/>
        </w:rPr>
        <w:t>and</w:t>
      </w:r>
      <w:r>
        <w:rPr>
          <w:spacing w:val="-4"/>
          <w:sz w:val="18"/>
        </w:rPr>
        <w:t xml:space="preserve"> </w:t>
      </w:r>
      <w:r>
        <w:rPr>
          <w:sz w:val="18"/>
        </w:rPr>
        <w:t>liquid deposits to meet its estimated outflows.</w:t>
      </w:r>
    </w:p>
    <w:p w14:paraId="1CDB4895" w14:textId="77777777" w:rsidR="00AC6F3C" w:rsidRDefault="00570E88">
      <w:pPr>
        <w:spacing w:before="120"/>
        <w:ind w:left="980" w:right="632"/>
        <w:rPr>
          <w:sz w:val="18"/>
        </w:rPr>
      </w:pPr>
      <w:r>
        <w:rPr>
          <w:sz w:val="18"/>
        </w:rPr>
        <w:t>The Fund</w:t>
      </w:r>
      <w:r>
        <w:rPr>
          <w:spacing w:val="-1"/>
          <w:sz w:val="18"/>
        </w:rPr>
        <w:t xml:space="preserve"> </w:t>
      </w:r>
      <w:r>
        <w:rPr>
          <w:sz w:val="18"/>
        </w:rPr>
        <w:t>manages its expected cash</w:t>
      </w:r>
      <w:r>
        <w:rPr>
          <w:spacing w:val="-1"/>
          <w:sz w:val="18"/>
        </w:rPr>
        <w:t xml:space="preserve"> </w:t>
      </w:r>
      <w:r>
        <w:rPr>
          <w:sz w:val="18"/>
        </w:rPr>
        <w:t>flow requirements using the</w:t>
      </w:r>
      <w:r>
        <w:rPr>
          <w:spacing w:val="-1"/>
          <w:sz w:val="18"/>
        </w:rPr>
        <w:t xml:space="preserve"> </w:t>
      </w:r>
      <w:r>
        <w:rPr>
          <w:sz w:val="18"/>
        </w:rPr>
        <w:t>latest</w:t>
      </w:r>
      <w:r>
        <w:rPr>
          <w:spacing w:val="-1"/>
          <w:sz w:val="18"/>
        </w:rPr>
        <w:t xml:space="preserve"> </w:t>
      </w:r>
      <w:r>
        <w:rPr>
          <w:sz w:val="18"/>
        </w:rPr>
        <w:t>actuarial</w:t>
      </w:r>
      <w:r>
        <w:rPr>
          <w:spacing w:val="-1"/>
          <w:sz w:val="18"/>
        </w:rPr>
        <w:t xml:space="preserve"> </w:t>
      </w:r>
      <w:r>
        <w:rPr>
          <w:sz w:val="18"/>
        </w:rPr>
        <w:t>valuations detailing projected</w:t>
      </w:r>
      <w:r>
        <w:rPr>
          <w:spacing w:val="-4"/>
          <w:sz w:val="18"/>
        </w:rPr>
        <w:t xml:space="preserve"> </w:t>
      </w:r>
      <w:r>
        <w:rPr>
          <w:sz w:val="18"/>
        </w:rPr>
        <w:t>cash</w:t>
      </w:r>
      <w:r>
        <w:rPr>
          <w:spacing w:val="-1"/>
          <w:sz w:val="18"/>
        </w:rPr>
        <w:t xml:space="preserve"> </w:t>
      </w:r>
      <w:r>
        <w:rPr>
          <w:sz w:val="18"/>
        </w:rPr>
        <w:t>flows.</w:t>
      </w:r>
      <w:r>
        <w:rPr>
          <w:spacing w:val="40"/>
          <w:sz w:val="18"/>
        </w:rPr>
        <w:t xml:space="preserve"> </w:t>
      </w:r>
      <w:r>
        <w:rPr>
          <w:sz w:val="18"/>
        </w:rPr>
        <w:t>These</w:t>
      </w:r>
      <w:r>
        <w:rPr>
          <w:spacing w:val="-4"/>
          <w:sz w:val="18"/>
        </w:rPr>
        <w:t xml:space="preserve"> </w:t>
      </w:r>
      <w:r>
        <w:rPr>
          <w:sz w:val="18"/>
        </w:rPr>
        <w:t>are</w:t>
      </w:r>
      <w:r>
        <w:rPr>
          <w:spacing w:val="-1"/>
          <w:sz w:val="18"/>
        </w:rPr>
        <w:t xml:space="preserve"> </w:t>
      </w:r>
      <w:r>
        <w:rPr>
          <w:sz w:val="18"/>
        </w:rPr>
        <w:t>monitored</w:t>
      </w:r>
      <w:r>
        <w:rPr>
          <w:spacing w:val="-1"/>
          <w:sz w:val="18"/>
        </w:rPr>
        <w:t xml:space="preserve"> </w:t>
      </w:r>
      <w:r>
        <w:rPr>
          <w:sz w:val="18"/>
        </w:rPr>
        <w:t>in</w:t>
      </w:r>
      <w:r>
        <w:rPr>
          <w:spacing w:val="-1"/>
          <w:sz w:val="18"/>
        </w:rPr>
        <w:t xml:space="preserve"> </w:t>
      </w:r>
      <w:r>
        <w:rPr>
          <w:sz w:val="18"/>
        </w:rPr>
        <w:t>conjunction</w:t>
      </w:r>
      <w:r>
        <w:rPr>
          <w:spacing w:val="-4"/>
          <w:sz w:val="18"/>
        </w:rPr>
        <w:t xml:space="preserve"> </w:t>
      </w:r>
      <w:r>
        <w:rPr>
          <w:sz w:val="18"/>
        </w:rPr>
        <w:t>with</w:t>
      </w:r>
      <w:r>
        <w:rPr>
          <w:spacing w:val="-1"/>
          <w:sz w:val="18"/>
        </w:rPr>
        <w:t xml:space="preserve"> </w:t>
      </w:r>
      <w:r>
        <w:rPr>
          <w:sz w:val="18"/>
        </w:rPr>
        <w:t>available</w:t>
      </w:r>
      <w:r>
        <w:rPr>
          <w:spacing w:val="-4"/>
          <w:sz w:val="18"/>
        </w:rPr>
        <w:t xml:space="preserve"> </w:t>
      </w:r>
      <w:r>
        <w:rPr>
          <w:sz w:val="18"/>
        </w:rPr>
        <w:t>cash</w:t>
      </w:r>
      <w:r>
        <w:rPr>
          <w:spacing w:val="-4"/>
          <w:sz w:val="18"/>
        </w:rPr>
        <w:t xml:space="preserve"> </w:t>
      </w:r>
      <w:r>
        <w:rPr>
          <w:sz w:val="18"/>
        </w:rPr>
        <w:t>and</w:t>
      </w:r>
      <w:r>
        <w:rPr>
          <w:spacing w:val="-4"/>
          <w:sz w:val="18"/>
        </w:rPr>
        <w:t xml:space="preserve"> </w:t>
      </w:r>
      <w:r>
        <w:rPr>
          <w:sz w:val="18"/>
        </w:rPr>
        <w:t>investments</w:t>
      </w:r>
      <w:r>
        <w:rPr>
          <w:spacing w:val="-1"/>
          <w:sz w:val="18"/>
        </w:rPr>
        <w:t xml:space="preserve"> </w:t>
      </w:r>
      <w:r>
        <w:rPr>
          <w:sz w:val="18"/>
        </w:rPr>
        <w:t>readily convertible to cash.</w:t>
      </w:r>
    </w:p>
    <w:p w14:paraId="237C48C8" w14:textId="77777777" w:rsidR="00AC6F3C" w:rsidRDefault="00AC6F3C">
      <w:pPr>
        <w:pStyle w:val="BodyText"/>
        <w:spacing w:before="10"/>
      </w:pPr>
    </w:p>
    <w:p w14:paraId="7200F386" w14:textId="77777777" w:rsidR="00AC6F3C" w:rsidRDefault="00570E88">
      <w:pPr>
        <w:spacing w:before="1"/>
        <w:ind w:left="980"/>
        <w:rPr>
          <w:sz w:val="18"/>
        </w:rPr>
      </w:pPr>
      <w:r>
        <w:rPr>
          <w:sz w:val="18"/>
        </w:rPr>
        <w:t>As</w:t>
      </w:r>
      <w:r>
        <w:rPr>
          <w:spacing w:val="-2"/>
          <w:sz w:val="18"/>
        </w:rPr>
        <w:t xml:space="preserve"> </w:t>
      </w:r>
      <w:r>
        <w:rPr>
          <w:sz w:val="18"/>
        </w:rPr>
        <w:t>at</w:t>
      </w:r>
      <w:r>
        <w:rPr>
          <w:spacing w:val="-2"/>
          <w:sz w:val="18"/>
        </w:rPr>
        <w:t xml:space="preserve"> </w:t>
      </w:r>
      <w:r>
        <w:rPr>
          <w:sz w:val="18"/>
        </w:rPr>
        <w:t>reporting</w:t>
      </w:r>
      <w:r>
        <w:rPr>
          <w:spacing w:val="-4"/>
          <w:sz w:val="18"/>
        </w:rPr>
        <w:t xml:space="preserve"> </w:t>
      </w:r>
      <w:r>
        <w:rPr>
          <w:sz w:val="18"/>
        </w:rPr>
        <w:t>date,</w:t>
      </w:r>
      <w:r>
        <w:rPr>
          <w:spacing w:val="-3"/>
          <w:sz w:val="18"/>
        </w:rPr>
        <w:t xml:space="preserve"> </w:t>
      </w:r>
      <w:r>
        <w:rPr>
          <w:sz w:val="18"/>
        </w:rPr>
        <w:t>the</w:t>
      </w:r>
      <w:r>
        <w:rPr>
          <w:spacing w:val="-4"/>
          <w:sz w:val="18"/>
        </w:rPr>
        <w:t xml:space="preserve"> </w:t>
      </w:r>
      <w:r>
        <w:rPr>
          <w:sz w:val="18"/>
        </w:rPr>
        <w:t>Fund’s</w:t>
      </w:r>
      <w:r>
        <w:rPr>
          <w:spacing w:val="-1"/>
          <w:sz w:val="18"/>
        </w:rPr>
        <w:t xml:space="preserve"> </w:t>
      </w:r>
      <w:r>
        <w:rPr>
          <w:sz w:val="18"/>
        </w:rPr>
        <w:t>financial</w:t>
      </w:r>
      <w:r>
        <w:rPr>
          <w:spacing w:val="-5"/>
          <w:sz w:val="18"/>
        </w:rPr>
        <w:t xml:space="preserve"> </w:t>
      </w:r>
      <w:r>
        <w:rPr>
          <w:sz w:val="18"/>
        </w:rPr>
        <w:t>liabilities</w:t>
      </w:r>
      <w:r>
        <w:rPr>
          <w:spacing w:val="-3"/>
          <w:sz w:val="18"/>
        </w:rPr>
        <w:t xml:space="preserve"> </w:t>
      </w:r>
      <w:r>
        <w:rPr>
          <w:sz w:val="18"/>
        </w:rPr>
        <w:t>are</w:t>
      </w:r>
      <w:r>
        <w:rPr>
          <w:spacing w:val="-1"/>
          <w:sz w:val="18"/>
        </w:rPr>
        <w:t xml:space="preserve"> </w:t>
      </w:r>
      <w:r>
        <w:rPr>
          <w:sz w:val="18"/>
        </w:rPr>
        <w:t>all</w:t>
      </w:r>
      <w:r>
        <w:rPr>
          <w:spacing w:val="-4"/>
          <w:sz w:val="18"/>
        </w:rPr>
        <w:t xml:space="preserve"> </w:t>
      </w:r>
      <w:r>
        <w:rPr>
          <w:spacing w:val="-2"/>
          <w:sz w:val="18"/>
        </w:rPr>
        <w:t>current.</w:t>
      </w:r>
    </w:p>
    <w:p w14:paraId="298B57D6" w14:textId="77777777" w:rsidR="00AC6F3C" w:rsidRDefault="00AC6F3C">
      <w:pPr>
        <w:pStyle w:val="BodyText"/>
      </w:pPr>
    </w:p>
    <w:p w14:paraId="61B585D5" w14:textId="77777777" w:rsidR="00AC6F3C" w:rsidRDefault="00AC6F3C">
      <w:pPr>
        <w:pStyle w:val="BodyText"/>
      </w:pPr>
    </w:p>
    <w:p w14:paraId="0BDC1519" w14:textId="77777777" w:rsidR="00AC6F3C" w:rsidRDefault="00AC6F3C">
      <w:pPr>
        <w:pStyle w:val="BodyText"/>
        <w:spacing w:before="9"/>
        <w:rPr>
          <w:sz w:val="19"/>
        </w:rPr>
      </w:pPr>
    </w:p>
    <w:p w14:paraId="152215F5" w14:textId="77777777" w:rsidR="00AC6F3C" w:rsidRDefault="00570E88">
      <w:pPr>
        <w:tabs>
          <w:tab w:val="left" w:pos="1687"/>
        </w:tabs>
        <w:ind w:left="1688" w:right="719" w:hanging="709"/>
        <w:rPr>
          <w:b/>
          <w:sz w:val="28"/>
        </w:rPr>
      </w:pPr>
      <w:r>
        <w:rPr>
          <w:b/>
          <w:spacing w:val="-6"/>
          <w:sz w:val="28"/>
        </w:rPr>
        <w:t>D3</w:t>
      </w:r>
      <w:r>
        <w:rPr>
          <w:b/>
          <w:sz w:val="28"/>
        </w:rPr>
        <w:tab/>
        <w:t>CONTINGENT</w:t>
      </w:r>
      <w:r>
        <w:rPr>
          <w:b/>
          <w:spacing w:val="-6"/>
          <w:sz w:val="28"/>
        </w:rPr>
        <w:t xml:space="preserve"> </w:t>
      </w:r>
      <w:r>
        <w:rPr>
          <w:b/>
          <w:sz w:val="28"/>
        </w:rPr>
        <w:t>LIABILITIES</w:t>
      </w:r>
      <w:r>
        <w:rPr>
          <w:b/>
          <w:spacing w:val="-7"/>
          <w:sz w:val="28"/>
        </w:rPr>
        <w:t xml:space="preserve"> </w:t>
      </w:r>
      <w:r>
        <w:rPr>
          <w:b/>
          <w:sz w:val="28"/>
        </w:rPr>
        <w:t>AND</w:t>
      </w:r>
      <w:r>
        <w:rPr>
          <w:b/>
          <w:spacing w:val="-7"/>
          <w:sz w:val="28"/>
        </w:rPr>
        <w:t xml:space="preserve"> </w:t>
      </w:r>
      <w:r>
        <w:rPr>
          <w:b/>
          <w:sz w:val="28"/>
        </w:rPr>
        <w:t>EVENTS</w:t>
      </w:r>
      <w:r>
        <w:rPr>
          <w:b/>
          <w:spacing w:val="-5"/>
          <w:sz w:val="28"/>
        </w:rPr>
        <w:t xml:space="preserve"> </w:t>
      </w:r>
      <w:r>
        <w:rPr>
          <w:b/>
          <w:sz w:val="28"/>
        </w:rPr>
        <w:t>AFTER</w:t>
      </w:r>
      <w:r>
        <w:rPr>
          <w:b/>
          <w:spacing w:val="-6"/>
          <w:sz w:val="28"/>
        </w:rPr>
        <w:t xml:space="preserve"> </w:t>
      </w:r>
      <w:r>
        <w:rPr>
          <w:b/>
          <w:sz w:val="28"/>
        </w:rPr>
        <w:t xml:space="preserve">BALANCE </w:t>
      </w:r>
      <w:r>
        <w:rPr>
          <w:b/>
          <w:spacing w:val="-4"/>
          <w:sz w:val="28"/>
        </w:rPr>
        <w:t>DATE</w:t>
      </w:r>
    </w:p>
    <w:p w14:paraId="57B1227B" w14:textId="77777777" w:rsidR="00AC6F3C" w:rsidRDefault="00570E88">
      <w:pPr>
        <w:ind w:left="979" w:right="730"/>
        <w:rPr>
          <w:sz w:val="18"/>
        </w:rPr>
      </w:pPr>
      <w:r>
        <w:rPr>
          <w:sz w:val="18"/>
        </w:rPr>
        <w:t>There</w:t>
      </w:r>
      <w:r>
        <w:rPr>
          <w:spacing w:val="-1"/>
          <w:sz w:val="18"/>
        </w:rPr>
        <w:t xml:space="preserve"> </w:t>
      </w:r>
      <w:r>
        <w:rPr>
          <w:sz w:val="18"/>
        </w:rPr>
        <w:t>were</w:t>
      </w:r>
      <w:r>
        <w:rPr>
          <w:spacing w:val="-1"/>
          <w:sz w:val="18"/>
        </w:rPr>
        <w:t xml:space="preserve"> </w:t>
      </w:r>
      <w:r>
        <w:rPr>
          <w:sz w:val="18"/>
        </w:rPr>
        <w:t>no</w:t>
      </w:r>
      <w:r>
        <w:rPr>
          <w:spacing w:val="-4"/>
          <w:sz w:val="18"/>
        </w:rPr>
        <w:t xml:space="preserve"> </w:t>
      </w:r>
      <w:r>
        <w:rPr>
          <w:sz w:val="18"/>
        </w:rPr>
        <w:t>known</w:t>
      </w:r>
      <w:r>
        <w:rPr>
          <w:spacing w:val="-1"/>
          <w:sz w:val="18"/>
        </w:rPr>
        <w:t xml:space="preserve"> </w:t>
      </w:r>
      <w:r>
        <w:rPr>
          <w:sz w:val="18"/>
        </w:rPr>
        <w:t>contingent</w:t>
      </w:r>
      <w:r>
        <w:rPr>
          <w:spacing w:val="-2"/>
          <w:sz w:val="18"/>
        </w:rPr>
        <w:t xml:space="preserve"> </w:t>
      </w:r>
      <w:r>
        <w:rPr>
          <w:sz w:val="18"/>
        </w:rPr>
        <w:t>liabilities</w:t>
      </w:r>
      <w:r>
        <w:rPr>
          <w:spacing w:val="-3"/>
          <w:sz w:val="18"/>
        </w:rPr>
        <w:t xml:space="preserve"> </w:t>
      </w:r>
      <w:r>
        <w:rPr>
          <w:sz w:val="18"/>
        </w:rPr>
        <w:t>at</w:t>
      </w:r>
      <w:r>
        <w:rPr>
          <w:spacing w:val="-2"/>
          <w:sz w:val="18"/>
        </w:rPr>
        <w:t xml:space="preserve"> </w:t>
      </w:r>
      <w:r>
        <w:rPr>
          <w:sz w:val="18"/>
        </w:rPr>
        <w:t>30</w:t>
      </w:r>
      <w:r>
        <w:rPr>
          <w:spacing w:val="-1"/>
          <w:sz w:val="18"/>
        </w:rPr>
        <w:t xml:space="preserve"> </w:t>
      </w:r>
      <w:r>
        <w:rPr>
          <w:sz w:val="18"/>
        </w:rPr>
        <w:t>June</w:t>
      </w:r>
      <w:r>
        <w:rPr>
          <w:spacing w:val="-4"/>
          <w:sz w:val="18"/>
        </w:rPr>
        <w:t xml:space="preserve"> </w:t>
      </w:r>
      <w:r>
        <w:rPr>
          <w:sz w:val="18"/>
        </w:rPr>
        <w:t>2023.</w:t>
      </w:r>
      <w:r>
        <w:rPr>
          <w:spacing w:val="40"/>
          <w:sz w:val="18"/>
        </w:rPr>
        <w:t xml:space="preserve"> </w:t>
      </w:r>
      <w:r>
        <w:rPr>
          <w:sz w:val="18"/>
        </w:rPr>
        <w:t>There</w:t>
      </w:r>
      <w:r>
        <w:rPr>
          <w:spacing w:val="-4"/>
          <w:sz w:val="18"/>
        </w:rPr>
        <w:t xml:space="preserve"> </w:t>
      </w:r>
      <w:r>
        <w:rPr>
          <w:sz w:val="18"/>
        </w:rPr>
        <w:t>are</w:t>
      </w:r>
      <w:r>
        <w:rPr>
          <w:spacing w:val="-1"/>
          <w:sz w:val="18"/>
        </w:rPr>
        <w:t xml:space="preserve"> </w:t>
      </w:r>
      <w:r>
        <w:rPr>
          <w:sz w:val="18"/>
        </w:rPr>
        <w:t>no</w:t>
      </w:r>
      <w:r>
        <w:rPr>
          <w:spacing w:val="-1"/>
          <w:sz w:val="18"/>
        </w:rPr>
        <w:t xml:space="preserve"> </w:t>
      </w:r>
      <w:r>
        <w:rPr>
          <w:sz w:val="18"/>
        </w:rPr>
        <w:t>events</w:t>
      </w:r>
      <w:r>
        <w:rPr>
          <w:spacing w:val="-3"/>
          <w:sz w:val="18"/>
        </w:rPr>
        <w:t xml:space="preserve"> </w:t>
      </w:r>
      <w:r>
        <w:rPr>
          <w:sz w:val="18"/>
        </w:rPr>
        <w:t>subsequent</w:t>
      </w:r>
      <w:r>
        <w:rPr>
          <w:spacing w:val="-2"/>
          <w:sz w:val="18"/>
        </w:rPr>
        <w:t xml:space="preserve"> </w:t>
      </w:r>
      <w:r>
        <w:rPr>
          <w:sz w:val="18"/>
        </w:rPr>
        <w:t>to</w:t>
      </w:r>
      <w:r>
        <w:rPr>
          <w:spacing w:val="-4"/>
          <w:sz w:val="18"/>
        </w:rPr>
        <w:t xml:space="preserve"> </w:t>
      </w:r>
      <w:r>
        <w:rPr>
          <w:sz w:val="18"/>
        </w:rPr>
        <w:t>reporting date requiring disclosure in the financial report.</w:t>
      </w:r>
    </w:p>
    <w:p w14:paraId="4184B7A7" w14:textId="77777777" w:rsidR="00AC6F3C" w:rsidRDefault="00AC6F3C">
      <w:pPr>
        <w:pStyle w:val="BodyText"/>
      </w:pPr>
    </w:p>
    <w:p w14:paraId="1B865BE2" w14:textId="77777777" w:rsidR="00AC6F3C" w:rsidRDefault="00AC6F3C">
      <w:pPr>
        <w:pStyle w:val="BodyText"/>
        <w:spacing w:before="10"/>
        <w:rPr>
          <w:sz w:val="25"/>
        </w:rPr>
      </w:pPr>
    </w:p>
    <w:p w14:paraId="0C7FBB41" w14:textId="77777777" w:rsidR="00AC6F3C" w:rsidRDefault="00570E88">
      <w:pPr>
        <w:tabs>
          <w:tab w:val="left" w:pos="1831"/>
        </w:tabs>
        <w:spacing w:before="1"/>
        <w:ind w:left="979"/>
        <w:rPr>
          <w:b/>
          <w:sz w:val="28"/>
        </w:rPr>
      </w:pPr>
      <w:r>
        <w:rPr>
          <w:b/>
          <w:spacing w:val="-5"/>
          <w:sz w:val="28"/>
        </w:rPr>
        <w:t>E1</w:t>
      </w:r>
      <w:r>
        <w:rPr>
          <w:b/>
          <w:sz w:val="28"/>
        </w:rPr>
        <w:tab/>
        <w:t>RELATED</w:t>
      </w:r>
      <w:r>
        <w:rPr>
          <w:b/>
          <w:spacing w:val="-5"/>
          <w:sz w:val="28"/>
        </w:rPr>
        <w:t xml:space="preserve"> </w:t>
      </w:r>
      <w:r>
        <w:rPr>
          <w:b/>
          <w:sz w:val="28"/>
        </w:rPr>
        <w:t>PARTY</w:t>
      </w:r>
      <w:r>
        <w:rPr>
          <w:b/>
          <w:spacing w:val="-8"/>
          <w:sz w:val="28"/>
        </w:rPr>
        <w:t xml:space="preserve"> </w:t>
      </w:r>
      <w:r>
        <w:rPr>
          <w:b/>
          <w:spacing w:val="-2"/>
          <w:sz w:val="28"/>
        </w:rPr>
        <w:t>TRANSACTIONS</w:t>
      </w:r>
    </w:p>
    <w:p w14:paraId="1B3F7166" w14:textId="77777777" w:rsidR="00AC6F3C" w:rsidRDefault="00570E88">
      <w:pPr>
        <w:spacing w:before="239"/>
        <w:ind w:left="979" w:right="468"/>
        <w:rPr>
          <w:sz w:val="18"/>
        </w:rPr>
      </w:pPr>
      <w:r>
        <w:rPr>
          <w:sz w:val="18"/>
        </w:rPr>
        <w:t>The</w:t>
      </w:r>
      <w:r>
        <w:rPr>
          <w:spacing w:val="-1"/>
          <w:sz w:val="18"/>
        </w:rPr>
        <w:t xml:space="preserve"> </w:t>
      </w:r>
      <w:r>
        <w:rPr>
          <w:sz w:val="18"/>
        </w:rPr>
        <w:t>following</w:t>
      </w:r>
      <w:r>
        <w:rPr>
          <w:spacing w:val="-4"/>
          <w:sz w:val="18"/>
        </w:rPr>
        <w:t xml:space="preserve"> </w:t>
      </w:r>
      <w:r>
        <w:rPr>
          <w:sz w:val="18"/>
        </w:rPr>
        <w:t>significant</w:t>
      </w:r>
      <w:r>
        <w:rPr>
          <w:spacing w:val="-2"/>
          <w:sz w:val="18"/>
        </w:rPr>
        <w:t xml:space="preserve"> </w:t>
      </w:r>
      <w:r>
        <w:rPr>
          <w:sz w:val="18"/>
        </w:rPr>
        <w:t>transactions</w:t>
      </w:r>
      <w:r>
        <w:rPr>
          <w:spacing w:val="-3"/>
          <w:sz w:val="18"/>
        </w:rPr>
        <w:t xml:space="preserve"> </w:t>
      </w:r>
      <w:r>
        <w:rPr>
          <w:sz w:val="18"/>
        </w:rPr>
        <w:t>took</w:t>
      </w:r>
      <w:r>
        <w:rPr>
          <w:spacing w:val="-1"/>
          <w:sz w:val="18"/>
        </w:rPr>
        <w:t xml:space="preserve"> </w:t>
      </w:r>
      <w:r>
        <w:rPr>
          <w:sz w:val="18"/>
        </w:rPr>
        <w:t>place</w:t>
      </w:r>
      <w:r>
        <w:rPr>
          <w:spacing w:val="-1"/>
          <w:sz w:val="18"/>
        </w:rPr>
        <w:t xml:space="preserve"> </w:t>
      </w:r>
      <w:r>
        <w:rPr>
          <w:sz w:val="18"/>
        </w:rPr>
        <w:t>between</w:t>
      </w:r>
      <w:r>
        <w:rPr>
          <w:spacing w:val="-1"/>
          <w:sz w:val="18"/>
        </w:rPr>
        <w:t xml:space="preserve"> </w:t>
      </w:r>
      <w:r>
        <w:rPr>
          <w:sz w:val="18"/>
        </w:rPr>
        <w:t>the</w:t>
      </w:r>
      <w:r>
        <w:rPr>
          <w:spacing w:val="-1"/>
          <w:sz w:val="18"/>
        </w:rPr>
        <w:t xml:space="preserve"> </w:t>
      </w:r>
      <w:r>
        <w:rPr>
          <w:sz w:val="18"/>
        </w:rPr>
        <w:t>Fund</w:t>
      </w:r>
      <w:r>
        <w:rPr>
          <w:spacing w:val="-4"/>
          <w:sz w:val="18"/>
        </w:rPr>
        <w:t xml:space="preserve"> </w:t>
      </w:r>
      <w:r>
        <w:rPr>
          <w:sz w:val="18"/>
        </w:rPr>
        <w:t>and</w:t>
      </w:r>
      <w:r>
        <w:rPr>
          <w:spacing w:val="-1"/>
          <w:sz w:val="18"/>
        </w:rPr>
        <w:t xml:space="preserve"> </w:t>
      </w:r>
      <w:r>
        <w:rPr>
          <w:sz w:val="18"/>
        </w:rPr>
        <w:t>its</w:t>
      </w:r>
      <w:r>
        <w:rPr>
          <w:spacing w:val="-1"/>
          <w:sz w:val="18"/>
        </w:rPr>
        <w:t xml:space="preserve"> </w:t>
      </w:r>
      <w:r>
        <w:rPr>
          <w:sz w:val="18"/>
        </w:rPr>
        <w:t>related</w:t>
      </w:r>
      <w:r>
        <w:rPr>
          <w:spacing w:val="-4"/>
          <w:sz w:val="18"/>
        </w:rPr>
        <w:t xml:space="preserve"> </w:t>
      </w:r>
      <w:r>
        <w:rPr>
          <w:sz w:val="18"/>
        </w:rPr>
        <w:t>parties</w:t>
      </w:r>
      <w:r>
        <w:rPr>
          <w:spacing w:val="-3"/>
          <w:sz w:val="18"/>
        </w:rPr>
        <w:t xml:space="preserve"> </w:t>
      </w:r>
      <w:r>
        <w:rPr>
          <w:sz w:val="18"/>
        </w:rPr>
        <w:t>during</w:t>
      </w:r>
      <w:r>
        <w:rPr>
          <w:spacing w:val="-4"/>
          <w:sz w:val="18"/>
        </w:rPr>
        <w:t xml:space="preserve"> </w:t>
      </w:r>
      <w:r>
        <w:rPr>
          <w:sz w:val="18"/>
        </w:rPr>
        <w:t>the</w:t>
      </w:r>
      <w:r>
        <w:rPr>
          <w:spacing w:val="-4"/>
          <w:sz w:val="18"/>
        </w:rPr>
        <w:t xml:space="preserve"> </w:t>
      </w:r>
      <w:r>
        <w:rPr>
          <w:sz w:val="18"/>
        </w:rPr>
        <w:t>financial period on commercial terms agreed by the parties concerned.</w:t>
      </w:r>
    </w:p>
    <w:p w14:paraId="6BEE2627" w14:textId="77777777" w:rsidR="00AC6F3C" w:rsidRDefault="00AC6F3C">
      <w:pPr>
        <w:pStyle w:val="BodyText"/>
        <w:spacing w:before="1"/>
      </w:pPr>
    </w:p>
    <w:tbl>
      <w:tblPr>
        <w:tblW w:w="0" w:type="auto"/>
        <w:tblInd w:w="9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42"/>
        <w:gridCol w:w="1348"/>
        <w:gridCol w:w="1326"/>
      </w:tblGrid>
      <w:tr w:rsidR="00AC6F3C" w14:paraId="103D58B7" w14:textId="77777777">
        <w:trPr>
          <w:trHeight w:val="549"/>
        </w:trPr>
        <w:tc>
          <w:tcPr>
            <w:tcW w:w="8716" w:type="dxa"/>
            <w:gridSpan w:val="3"/>
            <w:shd w:val="clear" w:color="auto" w:fill="BEBEBE"/>
          </w:tcPr>
          <w:p w14:paraId="2A3A86AD" w14:textId="77777777" w:rsidR="00AC6F3C" w:rsidRDefault="00570E88">
            <w:pPr>
              <w:pStyle w:val="TableParagraph"/>
              <w:tabs>
                <w:tab w:val="left" w:pos="1332"/>
              </w:tabs>
              <w:spacing w:before="24"/>
              <w:ind w:right="22"/>
              <w:jc w:val="right"/>
              <w:rPr>
                <w:b/>
                <w:sz w:val="18"/>
              </w:rPr>
            </w:pPr>
            <w:r>
              <w:rPr>
                <w:b/>
                <w:spacing w:val="-4"/>
                <w:sz w:val="18"/>
              </w:rPr>
              <w:t>2023</w:t>
            </w:r>
            <w:r>
              <w:rPr>
                <w:b/>
                <w:sz w:val="18"/>
              </w:rPr>
              <w:tab/>
            </w:r>
            <w:r>
              <w:rPr>
                <w:b/>
                <w:spacing w:val="-4"/>
                <w:sz w:val="18"/>
              </w:rPr>
              <w:t>2022</w:t>
            </w:r>
          </w:p>
          <w:p w14:paraId="224D72E4" w14:textId="77777777" w:rsidR="00AC6F3C" w:rsidRDefault="00570E88">
            <w:pPr>
              <w:pStyle w:val="TableParagraph"/>
              <w:tabs>
                <w:tab w:val="left" w:pos="1332"/>
              </w:tabs>
              <w:spacing w:before="75"/>
              <w:ind w:right="22"/>
              <w:jc w:val="right"/>
              <w:rPr>
                <w:b/>
                <w:sz w:val="18"/>
              </w:rPr>
            </w:pPr>
            <w:r>
              <w:rPr>
                <w:b/>
                <w:spacing w:val="-2"/>
                <w:sz w:val="18"/>
              </w:rPr>
              <w:t>$'000</w:t>
            </w:r>
            <w:r>
              <w:rPr>
                <w:b/>
                <w:sz w:val="18"/>
              </w:rPr>
              <w:tab/>
            </w:r>
            <w:r>
              <w:rPr>
                <w:b/>
                <w:spacing w:val="-4"/>
                <w:sz w:val="18"/>
              </w:rPr>
              <w:t>$'000</w:t>
            </w:r>
          </w:p>
        </w:tc>
      </w:tr>
      <w:tr w:rsidR="00AC6F3C" w14:paraId="73B01BF6" w14:textId="77777777">
        <w:trPr>
          <w:trHeight w:val="787"/>
        </w:trPr>
        <w:tc>
          <w:tcPr>
            <w:tcW w:w="6042" w:type="dxa"/>
            <w:tcBorders>
              <w:right w:val="nil"/>
            </w:tcBorders>
          </w:tcPr>
          <w:p w14:paraId="1C812DB0" w14:textId="77777777" w:rsidR="00AC6F3C" w:rsidRDefault="00AC6F3C">
            <w:pPr>
              <w:pStyle w:val="TableParagraph"/>
              <w:spacing w:before="4"/>
              <w:rPr>
                <w:sz w:val="25"/>
              </w:rPr>
            </w:pPr>
          </w:p>
          <w:p w14:paraId="22C27E2C" w14:textId="77777777" w:rsidR="00AC6F3C" w:rsidRDefault="00570E88">
            <w:pPr>
              <w:pStyle w:val="TableParagraph"/>
              <w:ind w:left="37"/>
              <w:rPr>
                <w:sz w:val="18"/>
              </w:rPr>
            </w:pPr>
            <w:r>
              <w:rPr>
                <w:sz w:val="18"/>
              </w:rPr>
              <w:t>Management</w:t>
            </w:r>
            <w:r>
              <w:rPr>
                <w:spacing w:val="-4"/>
                <w:sz w:val="18"/>
              </w:rPr>
              <w:t xml:space="preserve"> </w:t>
            </w:r>
            <w:r>
              <w:rPr>
                <w:sz w:val="18"/>
              </w:rPr>
              <w:t>fees</w:t>
            </w:r>
            <w:r>
              <w:rPr>
                <w:spacing w:val="19"/>
                <w:sz w:val="18"/>
              </w:rPr>
              <w:t xml:space="preserve"> </w:t>
            </w:r>
            <w:r>
              <w:rPr>
                <w:sz w:val="18"/>
              </w:rPr>
              <w:t>paid</w:t>
            </w:r>
            <w:r>
              <w:rPr>
                <w:spacing w:val="8"/>
                <w:sz w:val="18"/>
              </w:rPr>
              <w:t xml:space="preserve"> </w:t>
            </w:r>
            <w:r>
              <w:rPr>
                <w:sz w:val="18"/>
              </w:rPr>
              <w:t>to</w:t>
            </w:r>
            <w:r>
              <w:rPr>
                <w:spacing w:val="8"/>
                <w:sz w:val="18"/>
              </w:rPr>
              <w:t xml:space="preserve"> </w:t>
            </w:r>
            <w:r>
              <w:rPr>
                <w:sz w:val="18"/>
              </w:rPr>
              <w:t>Queensland</w:t>
            </w:r>
            <w:r>
              <w:rPr>
                <w:spacing w:val="8"/>
                <w:sz w:val="18"/>
              </w:rPr>
              <w:t xml:space="preserve"> </w:t>
            </w:r>
            <w:r>
              <w:rPr>
                <w:sz w:val="18"/>
              </w:rPr>
              <w:t>Law</w:t>
            </w:r>
            <w:r>
              <w:rPr>
                <w:spacing w:val="8"/>
                <w:sz w:val="18"/>
              </w:rPr>
              <w:t xml:space="preserve"> </w:t>
            </w:r>
            <w:r>
              <w:rPr>
                <w:spacing w:val="-2"/>
                <w:sz w:val="18"/>
              </w:rPr>
              <w:t>Society</w:t>
            </w:r>
          </w:p>
        </w:tc>
        <w:tc>
          <w:tcPr>
            <w:tcW w:w="1348" w:type="dxa"/>
            <w:tcBorders>
              <w:left w:val="nil"/>
              <w:right w:val="nil"/>
            </w:tcBorders>
            <w:shd w:val="clear" w:color="auto" w:fill="F1F1F1"/>
          </w:tcPr>
          <w:p w14:paraId="1A6F3188" w14:textId="77777777" w:rsidR="00AC6F3C" w:rsidRDefault="00AC6F3C">
            <w:pPr>
              <w:pStyle w:val="TableParagraph"/>
              <w:spacing w:before="4"/>
              <w:rPr>
                <w:sz w:val="25"/>
              </w:rPr>
            </w:pPr>
          </w:p>
          <w:p w14:paraId="36CBF630" w14:textId="77777777" w:rsidR="00AC6F3C" w:rsidRDefault="00570E88">
            <w:pPr>
              <w:pStyle w:val="TableParagraph"/>
              <w:ind w:right="36"/>
              <w:jc w:val="right"/>
              <w:rPr>
                <w:sz w:val="18"/>
              </w:rPr>
            </w:pPr>
            <w:r>
              <w:rPr>
                <w:spacing w:val="-5"/>
                <w:sz w:val="18"/>
              </w:rPr>
              <w:t>877</w:t>
            </w:r>
          </w:p>
        </w:tc>
        <w:tc>
          <w:tcPr>
            <w:tcW w:w="1326" w:type="dxa"/>
            <w:tcBorders>
              <w:left w:val="nil"/>
            </w:tcBorders>
          </w:tcPr>
          <w:p w14:paraId="49B069BA" w14:textId="77777777" w:rsidR="00AC6F3C" w:rsidRDefault="00AC6F3C">
            <w:pPr>
              <w:pStyle w:val="TableParagraph"/>
              <w:spacing w:before="4"/>
              <w:rPr>
                <w:sz w:val="25"/>
              </w:rPr>
            </w:pPr>
          </w:p>
          <w:p w14:paraId="0FD4D9B1" w14:textId="77777777" w:rsidR="00AC6F3C" w:rsidRDefault="00570E88">
            <w:pPr>
              <w:pStyle w:val="TableParagraph"/>
              <w:ind w:right="22"/>
              <w:jc w:val="right"/>
              <w:rPr>
                <w:sz w:val="18"/>
              </w:rPr>
            </w:pPr>
            <w:r>
              <w:rPr>
                <w:spacing w:val="-5"/>
                <w:sz w:val="18"/>
              </w:rPr>
              <w:t>843</w:t>
            </w:r>
          </w:p>
        </w:tc>
      </w:tr>
      <w:tr w:rsidR="00AC6F3C" w14:paraId="5FDADF06" w14:textId="77777777">
        <w:trPr>
          <w:trHeight w:val="267"/>
        </w:trPr>
        <w:tc>
          <w:tcPr>
            <w:tcW w:w="8716" w:type="dxa"/>
            <w:gridSpan w:val="3"/>
            <w:shd w:val="clear" w:color="auto" w:fill="BEBEBE"/>
          </w:tcPr>
          <w:p w14:paraId="462DA334" w14:textId="77777777" w:rsidR="00AC6F3C" w:rsidRDefault="00570E88">
            <w:pPr>
              <w:pStyle w:val="TableParagraph"/>
              <w:tabs>
                <w:tab w:val="left" w:pos="7030"/>
                <w:tab w:val="right" w:pos="8677"/>
              </w:tabs>
              <w:spacing w:before="54" w:line="193" w:lineRule="exact"/>
              <w:ind w:left="37"/>
              <w:rPr>
                <w:b/>
                <w:sz w:val="18"/>
              </w:rPr>
            </w:pPr>
            <w:r>
              <w:rPr>
                <w:b/>
                <w:spacing w:val="-2"/>
                <w:sz w:val="18"/>
              </w:rPr>
              <w:t>Total related</w:t>
            </w:r>
            <w:r>
              <w:rPr>
                <w:b/>
                <w:spacing w:val="-1"/>
                <w:sz w:val="18"/>
              </w:rPr>
              <w:t xml:space="preserve"> </w:t>
            </w:r>
            <w:r>
              <w:rPr>
                <w:b/>
                <w:spacing w:val="-2"/>
                <w:sz w:val="18"/>
              </w:rPr>
              <w:t>party</w:t>
            </w:r>
            <w:r>
              <w:rPr>
                <w:b/>
                <w:spacing w:val="-8"/>
                <w:sz w:val="18"/>
              </w:rPr>
              <w:t xml:space="preserve"> </w:t>
            </w:r>
            <w:r>
              <w:rPr>
                <w:b/>
                <w:spacing w:val="-2"/>
                <w:sz w:val="18"/>
              </w:rPr>
              <w:t>transactions</w:t>
            </w:r>
            <w:r>
              <w:rPr>
                <w:b/>
                <w:sz w:val="18"/>
              </w:rPr>
              <w:tab/>
            </w:r>
            <w:r>
              <w:rPr>
                <w:b/>
                <w:spacing w:val="-5"/>
                <w:sz w:val="18"/>
              </w:rPr>
              <w:t>877</w:t>
            </w:r>
            <w:r>
              <w:rPr>
                <w:b/>
                <w:sz w:val="18"/>
              </w:rPr>
              <w:tab/>
            </w:r>
            <w:r>
              <w:rPr>
                <w:b/>
                <w:spacing w:val="-5"/>
                <w:sz w:val="18"/>
              </w:rPr>
              <w:t>843</w:t>
            </w:r>
          </w:p>
        </w:tc>
      </w:tr>
    </w:tbl>
    <w:p w14:paraId="6AAAE0EA" w14:textId="77777777" w:rsidR="00AC6F3C" w:rsidRDefault="00AC6F3C">
      <w:pPr>
        <w:spacing w:line="193" w:lineRule="exact"/>
        <w:rPr>
          <w:sz w:val="18"/>
        </w:rPr>
        <w:sectPr w:rsidR="00AC6F3C">
          <w:pgSz w:w="11910" w:h="16840"/>
          <w:pgMar w:top="1760" w:right="1160" w:bottom="520" w:left="460" w:header="1228" w:footer="336" w:gutter="0"/>
          <w:cols w:space="720"/>
        </w:sectPr>
      </w:pPr>
    </w:p>
    <w:p w14:paraId="388354E3" w14:textId="77777777" w:rsidR="00AC6F3C" w:rsidRDefault="00AC6F3C">
      <w:pPr>
        <w:pStyle w:val="BodyText"/>
      </w:pPr>
    </w:p>
    <w:p w14:paraId="215C672D" w14:textId="77777777" w:rsidR="00AC6F3C" w:rsidRDefault="00AC6F3C">
      <w:pPr>
        <w:pStyle w:val="BodyText"/>
        <w:spacing w:before="4"/>
        <w:rPr>
          <w:sz w:val="11"/>
        </w:rPr>
      </w:pPr>
    </w:p>
    <w:p w14:paraId="70EEF399"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1D635583" wp14:editId="06D43971">
                <wp:extent cx="5603875" cy="6350"/>
                <wp:effectExtent l="0" t="0" r="0" b="0"/>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17" name="Graphic 917"/>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0278AC" id="Group 916"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ACOytVdAIAAPYFAAAOAAAAAAAAAAAA&#10;AAAAAC4CAABkcnMvZTJvRG9jLnhtbFBLAQItABQABgAIAAAAIQC/Y0lo2gAAAAMBAAAPAAAAAAAA&#10;AAAAAAAAAM4EAABkcnMvZG93bnJldi54bWxQSwUGAAAAAAQABADzAAAA1QUAAAAA&#10;">
                <v:shape id="Graphic 917"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" path="m5603329,6120l,6120,,,5603329,r,6120xe" fillcolor="black" stroked="f">
                  <v:path arrowok="t"/>
                </v:shape>
                <w10:anchorlock/>
              </v:group>
            </w:pict>
          </mc:Fallback>
        </mc:AlternateContent>
      </w:r>
    </w:p>
    <w:p w14:paraId="1A043503" w14:textId="77777777" w:rsidR="00AC6F3C" w:rsidRDefault="00AC6F3C">
      <w:pPr>
        <w:pStyle w:val="BodyText"/>
        <w:rPr>
          <w:sz w:val="11"/>
        </w:rPr>
      </w:pPr>
    </w:p>
    <w:p w14:paraId="2E727474" w14:textId="77777777" w:rsidR="00AC6F3C" w:rsidRDefault="00570E88">
      <w:pPr>
        <w:tabs>
          <w:tab w:val="left" w:pos="1687"/>
        </w:tabs>
        <w:spacing w:before="92"/>
        <w:ind w:left="1687" w:right="1592" w:hanging="708"/>
        <w:rPr>
          <w:b/>
          <w:sz w:val="28"/>
        </w:rPr>
      </w:pPr>
      <w:r>
        <w:rPr>
          <w:b/>
          <w:spacing w:val="-6"/>
          <w:sz w:val="28"/>
        </w:rPr>
        <w:t>E2</w:t>
      </w:r>
      <w:r>
        <w:rPr>
          <w:b/>
          <w:sz w:val="28"/>
        </w:rPr>
        <w:tab/>
        <w:t>FIRST YEAR APPLICATION OF NEW ACCOUNTING STANDARDS</w:t>
      </w:r>
      <w:r>
        <w:rPr>
          <w:b/>
          <w:spacing w:val="-4"/>
          <w:sz w:val="28"/>
        </w:rPr>
        <w:t xml:space="preserve"> </w:t>
      </w:r>
      <w:r>
        <w:rPr>
          <w:b/>
          <w:sz w:val="28"/>
        </w:rPr>
        <w:t>OR</w:t>
      </w:r>
      <w:r>
        <w:rPr>
          <w:b/>
          <w:spacing w:val="-8"/>
          <w:sz w:val="28"/>
        </w:rPr>
        <w:t xml:space="preserve"> </w:t>
      </w:r>
      <w:r>
        <w:rPr>
          <w:b/>
          <w:sz w:val="28"/>
        </w:rPr>
        <w:t>CHANGE</w:t>
      </w:r>
      <w:r>
        <w:rPr>
          <w:b/>
          <w:spacing w:val="-9"/>
          <w:sz w:val="28"/>
        </w:rPr>
        <w:t xml:space="preserve"> </w:t>
      </w:r>
      <w:r>
        <w:rPr>
          <w:b/>
          <w:sz w:val="28"/>
        </w:rPr>
        <w:t>IN</w:t>
      </w:r>
      <w:r>
        <w:rPr>
          <w:b/>
          <w:spacing w:val="-5"/>
          <w:sz w:val="28"/>
        </w:rPr>
        <w:t xml:space="preserve"> </w:t>
      </w:r>
      <w:r>
        <w:rPr>
          <w:b/>
          <w:sz w:val="28"/>
        </w:rPr>
        <w:t>ACCOUNTING</w:t>
      </w:r>
      <w:r>
        <w:rPr>
          <w:b/>
          <w:spacing w:val="-6"/>
          <w:sz w:val="28"/>
        </w:rPr>
        <w:t xml:space="preserve"> </w:t>
      </w:r>
      <w:r>
        <w:rPr>
          <w:b/>
          <w:sz w:val="28"/>
        </w:rPr>
        <w:t>POLICY</w:t>
      </w:r>
    </w:p>
    <w:p w14:paraId="77EA611A" w14:textId="77777777" w:rsidR="00AC6F3C" w:rsidRDefault="00570E88">
      <w:pPr>
        <w:spacing w:before="206"/>
        <w:ind w:left="979"/>
        <w:rPr>
          <w:b/>
          <w:sz w:val="18"/>
        </w:rPr>
      </w:pPr>
      <w:r>
        <w:rPr>
          <w:b/>
          <w:color w:val="231F20"/>
          <w:sz w:val="18"/>
        </w:rPr>
        <w:t>Changes</w:t>
      </w:r>
      <w:r>
        <w:rPr>
          <w:b/>
          <w:color w:val="231F20"/>
          <w:spacing w:val="-4"/>
          <w:sz w:val="18"/>
        </w:rPr>
        <w:t xml:space="preserve"> </w:t>
      </w:r>
      <w:r>
        <w:rPr>
          <w:b/>
          <w:color w:val="231F20"/>
          <w:sz w:val="18"/>
        </w:rPr>
        <w:t>in</w:t>
      </w:r>
      <w:r>
        <w:rPr>
          <w:b/>
          <w:color w:val="231F20"/>
          <w:spacing w:val="-2"/>
          <w:sz w:val="18"/>
        </w:rPr>
        <w:t xml:space="preserve"> </w:t>
      </w:r>
      <w:r>
        <w:rPr>
          <w:b/>
          <w:color w:val="231F20"/>
          <w:sz w:val="18"/>
        </w:rPr>
        <w:t>accounting</w:t>
      </w:r>
      <w:r>
        <w:rPr>
          <w:b/>
          <w:color w:val="231F20"/>
          <w:spacing w:val="-1"/>
          <w:sz w:val="18"/>
        </w:rPr>
        <w:t xml:space="preserve"> </w:t>
      </w:r>
      <w:r>
        <w:rPr>
          <w:b/>
          <w:color w:val="231F20"/>
          <w:spacing w:val="-2"/>
          <w:sz w:val="18"/>
        </w:rPr>
        <w:t>policy</w:t>
      </w:r>
    </w:p>
    <w:p w14:paraId="759C0FEA" w14:textId="77777777" w:rsidR="00AC6F3C" w:rsidRDefault="00AC6F3C">
      <w:pPr>
        <w:pStyle w:val="BodyText"/>
        <w:spacing w:before="1"/>
        <w:rPr>
          <w:b/>
          <w:sz w:val="18"/>
        </w:rPr>
      </w:pPr>
    </w:p>
    <w:p w14:paraId="7F1B6C61" w14:textId="77777777" w:rsidR="00AC6F3C" w:rsidRDefault="00570E88">
      <w:pPr>
        <w:ind w:left="979"/>
        <w:rPr>
          <w:sz w:val="18"/>
        </w:rPr>
      </w:pPr>
      <w:r>
        <w:rPr>
          <w:color w:val="231F20"/>
          <w:sz w:val="18"/>
        </w:rPr>
        <w:t>The</w:t>
      </w:r>
      <w:r>
        <w:rPr>
          <w:color w:val="231F20"/>
          <w:spacing w:val="-2"/>
          <w:sz w:val="18"/>
        </w:rPr>
        <w:t xml:space="preserve"> </w:t>
      </w:r>
      <w:r>
        <w:rPr>
          <w:color w:val="231F20"/>
          <w:sz w:val="18"/>
        </w:rPr>
        <w:t>Fund</w:t>
      </w:r>
      <w:r>
        <w:rPr>
          <w:color w:val="231F20"/>
          <w:spacing w:val="-2"/>
          <w:sz w:val="18"/>
        </w:rPr>
        <w:t xml:space="preserve"> </w:t>
      </w:r>
      <w:r>
        <w:rPr>
          <w:color w:val="231F20"/>
          <w:sz w:val="18"/>
        </w:rPr>
        <w:t>did</w:t>
      </w:r>
      <w:r>
        <w:rPr>
          <w:color w:val="231F20"/>
          <w:spacing w:val="-2"/>
          <w:sz w:val="18"/>
        </w:rPr>
        <w:t xml:space="preserve"> </w:t>
      </w:r>
      <w:r>
        <w:rPr>
          <w:color w:val="231F20"/>
          <w:sz w:val="18"/>
        </w:rPr>
        <w:t>not</w:t>
      </w:r>
      <w:r>
        <w:rPr>
          <w:color w:val="231F20"/>
          <w:spacing w:val="-4"/>
          <w:sz w:val="18"/>
        </w:rPr>
        <w:t xml:space="preserve"> </w:t>
      </w:r>
      <w:r>
        <w:rPr>
          <w:color w:val="231F20"/>
          <w:sz w:val="18"/>
        </w:rPr>
        <w:t>voluntarily</w:t>
      </w:r>
      <w:r>
        <w:rPr>
          <w:color w:val="231F20"/>
          <w:spacing w:val="-4"/>
          <w:sz w:val="18"/>
        </w:rPr>
        <w:t xml:space="preserve"> </w:t>
      </w:r>
      <w:r>
        <w:rPr>
          <w:color w:val="231F20"/>
          <w:sz w:val="18"/>
        </w:rPr>
        <w:t>change</w:t>
      </w:r>
      <w:r>
        <w:rPr>
          <w:color w:val="231F20"/>
          <w:spacing w:val="-4"/>
          <w:sz w:val="18"/>
        </w:rPr>
        <w:t xml:space="preserve"> </w:t>
      </w:r>
      <w:r>
        <w:rPr>
          <w:color w:val="231F20"/>
          <w:sz w:val="18"/>
        </w:rPr>
        <w:t>any</w:t>
      </w:r>
      <w:r>
        <w:rPr>
          <w:color w:val="231F20"/>
          <w:spacing w:val="-2"/>
          <w:sz w:val="18"/>
        </w:rPr>
        <w:t xml:space="preserve"> </w:t>
      </w:r>
      <w:r>
        <w:rPr>
          <w:color w:val="231F20"/>
          <w:sz w:val="18"/>
        </w:rPr>
        <w:t>of</w:t>
      </w:r>
      <w:r>
        <w:rPr>
          <w:color w:val="231F20"/>
          <w:spacing w:val="-5"/>
          <w:sz w:val="18"/>
        </w:rPr>
        <w:t xml:space="preserve"> </w:t>
      </w:r>
      <w:r>
        <w:rPr>
          <w:color w:val="231F20"/>
          <w:sz w:val="18"/>
        </w:rPr>
        <w:t>its</w:t>
      </w:r>
      <w:r>
        <w:rPr>
          <w:color w:val="231F20"/>
          <w:spacing w:val="-3"/>
          <w:sz w:val="18"/>
        </w:rPr>
        <w:t xml:space="preserve"> </w:t>
      </w:r>
      <w:r>
        <w:rPr>
          <w:color w:val="231F20"/>
          <w:sz w:val="18"/>
        </w:rPr>
        <w:t>accounting</w:t>
      </w:r>
      <w:r>
        <w:rPr>
          <w:color w:val="231F20"/>
          <w:spacing w:val="-2"/>
          <w:sz w:val="18"/>
        </w:rPr>
        <w:t xml:space="preserve"> </w:t>
      </w:r>
      <w:r>
        <w:rPr>
          <w:color w:val="231F20"/>
          <w:sz w:val="18"/>
        </w:rPr>
        <w:t>policies</w:t>
      </w:r>
      <w:r>
        <w:rPr>
          <w:color w:val="231F20"/>
          <w:spacing w:val="-4"/>
          <w:sz w:val="18"/>
        </w:rPr>
        <w:t xml:space="preserve"> </w:t>
      </w:r>
      <w:r>
        <w:rPr>
          <w:color w:val="231F20"/>
          <w:sz w:val="18"/>
        </w:rPr>
        <w:t>during</w:t>
      </w:r>
      <w:r>
        <w:rPr>
          <w:color w:val="231F20"/>
          <w:spacing w:val="-1"/>
          <w:sz w:val="18"/>
        </w:rPr>
        <w:t xml:space="preserve"> </w:t>
      </w:r>
      <w:r>
        <w:rPr>
          <w:color w:val="231F20"/>
          <w:sz w:val="18"/>
        </w:rPr>
        <w:t>2022-</w:t>
      </w:r>
      <w:r>
        <w:rPr>
          <w:color w:val="231F20"/>
          <w:spacing w:val="-5"/>
          <w:sz w:val="18"/>
        </w:rPr>
        <w:t>23.</w:t>
      </w:r>
    </w:p>
    <w:p w14:paraId="5A19C67D" w14:textId="77777777" w:rsidR="00AC6F3C" w:rsidRDefault="00AC6F3C">
      <w:pPr>
        <w:pStyle w:val="BodyText"/>
        <w:spacing w:before="10"/>
        <w:rPr>
          <w:sz w:val="17"/>
        </w:rPr>
      </w:pPr>
    </w:p>
    <w:p w14:paraId="29E08FFD" w14:textId="77777777" w:rsidR="00AC6F3C" w:rsidRDefault="00570E88">
      <w:pPr>
        <w:ind w:left="979"/>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4"/>
          <w:sz w:val="18"/>
        </w:rPr>
        <w:t xml:space="preserve"> </w:t>
      </w:r>
      <w:r>
        <w:rPr>
          <w:b/>
          <w:color w:val="231F20"/>
          <w:sz w:val="18"/>
        </w:rPr>
        <w:t>early</w:t>
      </w:r>
      <w:r>
        <w:rPr>
          <w:b/>
          <w:color w:val="231F20"/>
          <w:spacing w:val="-4"/>
          <w:sz w:val="18"/>
        </w:rPr>
        <w:t xml:space="preserve"> </w:t>
      </w:r>
      <w:r>
        <w:rPr>
          <w:b/>
          <w:color w:val="231F20"/>
          <w:spacing w:val="-2"/>
          <w:sz w:val="18"/>
        </w:rPr>
        <w:t>adopted</w:t>
      </w:r>
    </w:p>
    <w:p w14:paraId="2700A9F0" w14:textId="77777777" w:rsidR="00AC6F3C" w:rsidRDefault="00AC6F3C">
      <w:pPr>
        <w:pStyle w:val="BodyText"/>
        <w:spacing w:before="2"/>
        <w:rPr>
          <w:b/>
          <w:sz w:val="18"/>
        </w:rPr>
      </w:pPr>
    </w:p>
    <w:p w14:paraId="5F842B89" w14:textId="77777777" w:rsidR="00AC6F3C" w:rsidRDefault="00570E88">
      <w:pPr>
        <w:ind w:left="979"/>
        <w:rPr>
          <w:sz w:val="18"/>
        </w:rPr>
      </w:pPr>
      <w:r>
        <w:rPr>
          <w:color w:val="231F20"/>
          <w:sz w:val="18"/>
        </w:rPr>
        <w:t>No</w:t>
      </w:r>
      <w:r>
        <w:rPr>
          <w:color w:val="231F20"/>
          <w:spacing w:val="-3"/>
          <w:sz w:val="18"/>
        </w:rPr>
        <w:t xml:space="preserve"> </w:t>
      </w:r>
      <w:r>
        <w:rPr>
          <w:color w:val="231F20"/>
          <w:sz w:val="18"/>
        </w:rPr>
        <w:t>Australian</w:t>
      </w:r>
      <w:r>
        <w:rPr>
          <w:color w:val="231F20"/>
          <w:spacing w:val="-3"/>
          <w:sz w:val="18"/>
        </w:rPr>
        <w:t xml:space="preserve"> </w:t>
      </w:r>
      <w:r>
        <w:rPr>
          <w:color w:val="231F20"/>
          <w:sz w:val="18"/>
        </w:rPr>
        <w:t>Accounting</w:t>
      </w:r>
      <w:r>
        <w:rPr>
          <w:color w:val="231F20"/>
          <w:spacing w:val="-3"/>
          <w:sz w:val="18"/>
        </w:rPr>
        <w:t xml:space="preserve"> </w:t>
      </w:r>
      <w:r>
        <w:rPr>
          <w:color w:val="231F20"/>
          <w:sz w:val="18"/>
        </w:rPr>
        <w:t>Standards</w:t>
      </w:r>
      <w:r>
        <w:rPr>
          <w:color w:val="231F20"/>
          <w:spacing w:val="-4"/>
          <w:sz w:val="18"/>
        </w:rPr>
        <w:t xml:space="preserve"> </w:t>
      </w:r>
      <w:r>
        <w:rPr>
          <w:color w:val="231F20"/>
          <w:sz w:val="18"/>
        </w:rPr>
        <w:t>have</w:t>
      </w:r>
      <w:r>
        <w:rPr>
          <w:color w:val="231F20"/>
          <w:spacing w:val="-3"/>
          <w:sz w:val="18"/>
        </w:rPr>
        <w:t xml:space="preserve"> </w:t>
      </w:r>
      <w:r>
        <w:rPr>
          <w:color w:val="231F20"/>
          <w:sz w:val="18"/>
        </w:rPr>
        <w:t>been</w:t>
      </w:r>
      <w:r>
        <w:rPr>
          <w:color w:val="231F20"/>
          <w:spacing w:val="-5"/>
          <w:sz w:val="18"/>
        </w:rPr>
        <w:t xml:space="preserve"> </w:t>
      </w:r>
      <w:r>
        <w:rPr>
          <w:color w:val="231F20"/>
          <w:sz w:val="18"/>
        </w:rPr>
        <w:t>early</w:t>
      </w:r>
      <w:r>
        <w:rPr>
          <w:color w:val="231F20"/>
          <w:spacing w:val="-3"/>
          <w:sz w:val="18"/>
        </w:rPr>
        <w:t xml:space="preserve"> </w:t>
      </w:r>
      <w:r>
        <w:rPr>
          <w:color w:val="231F20"/>
          <w:sz w:val="18"/>
        </w:rPr>
        <w:t>adopted</w:t>
      </w:r>
      <w:r>
        <w:rPr>
          <w:color w:val="231F20"/>
          <w:spacing w:val="-3"/>
          <w:sz w:val="18"/>
        </w:rPr>
        <w:t xml:space="preserve"> </w:t>
      </w:r>
      <w:r>
        <w:rPr>
          <w:color w:val="231F20"/>
          <w:sz w:val="18"/>
        </w:rPr>
        <w:t>for</w:t>
      </w:r>
      <w:r>
        <w:rPr>
          <w:color w:val="231F20"/>
          <w:spacing w:val="-3"/>
          <w:sz w:val="18"/>
        </w:rPr>
        <w:t xml:space="preserve"> </w:t>
      </w:r>
      <w:r>
        <w:rPr>
          <w:color w:val="231F20"/>
          <w:sz w:val="18"/>
        </w:rPr>
        <w:t>2022-</w:t>
      </w:r>
      <w:r>
        <w:rPr>
          <w:color w:val="231F20"/>
          <w:spacing w:val="-5"/>
          <w:sz w:val="18"/>
        </w:rPr>
        <w:t>23.</w:t>
      </w:r>
    </w:p>
    <w:p w14:paraId="6C870E51" w14:textId="77777777" w:rsidR="00AC6F3C" w:rsidRDefault="00AC6F3C">
      <w:pPr>
        <w:pStyle w:val="BodyText"/>
        <w:spacing w:before="10"/>
        <w:rPr>
          <w:sz w:val="17"/>
        </w:rPr>
      </w:pPr>
    </w:p>
    <w:p w14:paraId="143D3AAE" w14:textId="77777777" w:rsidR="00AC6F3C" w:rsidRDefault="00570E88">
      <w:pPr>
        <w:ind w:left="980"/>
        <w:rPr>
          <w:b/>
          <w:sz w:val="18"/>
        </w:rPr>
      </w:pPr>
      <w:r>
        <w:rPr>
          <w:b/>
          <w:color w:val="231F20"/>
          <w:sz w:val="18"/>
        </w:rPr>
        <w:t>Accounting</w:t>
      </w:r>
      <w:r>
        <w:rPr>
          <w:b/>
          <w:color w:val="231F20"/>
          <w:spacing w:val="-3"/>
          <w:sz w:val="18"/>
        </w:rPr>
        <w:t xml:space="preserve"> </w:t>
      </w:r>
      <w:r>
        <w:rPr>
          <w:b/>
          <w:color w:val="231F20"/>
          <w:sz w:val="18"/>
        </w:rPr>
        <w:t>standards</w:t>
      </w:r>
      <w:r>
        <w:rPr>
          <w:b/>
          <w:color w:val="231F20"/>
          <w:spacing w:val="-3"/>
          <w:sz w:val="18"/>
        </w:rPr>
        <w:t xml:space="preserve"> </w:t>
      </w:r>
      <w:r>
        <w:rPr>
          <w:b/>
          <w:color w:val="231F20"/>
          <w:sz w:val="18"/>
        </w:rPr>
        <w:t>applied</w:t>
      </w:r>
      <w:r>
        <w:rPr>
          <w:b/>
          <w:color w:val="231F20"/>
          <w:spacing w:val="-2"/>
          <w:sz w:val="18"/>
        </w:rPr>
        <w:t xml:space="preserve"> </w:t>
      </w:r>
      <w:r>
        <w:rPr>
          <w:b/>
          <w:color w:val="231F20"/>
          <w:sz w:val="18"/>
        </w:rPr>
        <w:t>for</w:t>
      </w:r>
      <w:r>
        <w:rPr>
          <w:b/>
          <w:color w:val="231F20"/>
          <w:spacing w:val="-3"/>
          <w:sz w:val="18"/>
        </w:rPr>
        <w:t xml:space="preserve"> </w:t>
      </w:r>
      <w:r>
        <w:rPr>
          <w:b/>
          <w:color w:val="231F20"/>
          <w:sz w:val="18"/>
        </w:rPr>
        <w:t>the</w:t>
      </w:r>
      <w:r>
        <w:rPr>
          <w:b/>
          <w:color w:val="231F20"/>
          <w:spacing w:val="-1"/>
          <w:sz w:val="18"/>
        </w:rPr>
        <w:t xml:space="preserve"> </w:t>
      </w:r>
      <w:r>
        <w:rPr>
          <w:b/>
          <w:color w:val="231F20"/>
          <w:sz w:val="18"/>
        </w:rPr>
        <w:t>first</w:t>
      </w:r>
      <w:r>
        <w:rPr>
          <w:b/>
          <w:color w:val="231F20"/>
          <w:spacing w:val="-2"/>
          <w:sz w:val="18"/>
        </w:rPr>
        <w:t xml:space="preserve"> </w:t>
      </w:r>
      <w:r>
        <w:rPr>
          <w:b/>
          <w:color w:val="231F20"/>
          <w:spacing w:val="-4"/>
          <w:sz w:val="18"/>
        </w:rPr>
        <w:t>time</w:t>
      </w:r>
    </w:p>
    <w:p w14:paraId="0C00E56E" w14:textId="77777777" w:rsidR="00AC6F3C" w:rsidRDefault="00AC6F3C">
      <w:pPr>
        <w:pStyle w:val="BodyText"/>
        <w:spacing w:before="1"/>
        <w:rPr>
          <w:b/>
          <w:sz w:val="18"/>
        </w:rPr>
      </w:pPr>
    </w:p>
    <w:p w14:paraId="196E53A0" w14:textId="77777777" w:rsidR="00AC6F3C" w:rsidRDefault="00570E88">
      <w:pPr>
        <w:ind w:left="980" w:right="632"/>
        <w:rPr>
          <w:sz w:val="18"/>
        </w:rPr>
      </w:pPr>
      <w:r>
        <w:rPr>
          <w:color w:val="231F20"/>
          <w:sz w:val="18"/>
        </w:rPr>
        <w:t>No</w:t>
      </w:r>
      <w:r>
        <w:rPr>
          <w:color w:val="231F20"/>
          <w:spacing w:val="-1"/>
          <w:sz w:val="18"/>
        </w:rPr>
        <w:t xml:space="preserve"> </w:t>
      </w:r>
      <w:r>
        <w:rPr>
          <w:color w:val="231F20"/>
          <w:sz w:val="18"/>
        </w:rPr>
        <w:t>Australian</w:t>
      </w:r>
      <w:r>
        <w:rPr>
          <w:color w:val="231F20"/>
          <w:spacing w:val="-1"/>
          <w:sz w:val="18"/>
        </w:rPr>
        <w:t xml:space="preserve"> </w:t>
      </w:r>
      <w:r>
        <w:rPr>
          <w:color w:val="231F20"/>
          <w:sz w:val="18"/>
        </w:rPr>
        <w:t>accounting</w:t>
      </w:r>
      <w:r>
        <w:rPr>
          <w:color w:val="231F20"/>
          <w:spacing w:val="-4"/>
          <w:sz w:val="18"/>
        </w:rPr>
        <w:t xml:space="preserve"> </w:t>
      </w:r>
      <w:r>
        <w:rPr>
          <w:color w:val="231F20"/>
          <w:sz w:val="18"/>
        </w:rPr>
        <w:t>standards</w:t>
      </w:r>
      <w:r>
        <w:rPr>
          <w:color w:val="231F20"/>
          <w:spacing w:val="-3"/>
          <w:sz w:val="18"/>
        </w:rPr>
        <w:t xml:space="preserve"> </w:t>
      </w:r>
      <w:r>
        <w:rPr>
          <w:color w:val="231F20"/>
          <w:sz w:val="18"/>
        </w:rPr>
        <w:t>or</w:t>
      </w:r>
      <w:r>
        <w:rPr>
          <w:color w:val="231F20"/>
          <w:spacing w:val="-2"/>
          <w:sz w:val="18"/>
        </w:rPr>
        <w:t xml:space="preserve"> </w:t>
      </w:r>
      <w:r>
        <w:rPr>
          <w:color w:val="231F20"/>
          <w:sz w:val="18"/>
        </w:rPr>
        <w:t>interpretations</w:t>
      </w:r>
      <w:r>
        <w:rPr>
          <w:color w:val="231F20"/>
          <w:spacing w:val="-1"/>
          <w:sz w:val="18"/>
        </w:rPr>
        <w:t xml:space="preserve"> </w:t>
      </w:r>
      <w:r>
        <w:rPr>
          <w:color w:val="231F20"/>
          <w:sz w:val="18"/>
        </w:rPr>
        <w:t>that</w:t>
      </w:r>
      <w:r>
        <w:rPr>
          <w:color w:val="231F20"/>
          <w:spacing w:val="-2"/>
          <w:sz w:val="18"/>
        </w:rPr>
        <w:t xml:space="preserve"> </w:t>
      </w:r>
      <w:r>
        <w:rPr>
          <w:color w:val="231F20"/>
          <w:sz w:val="18"/>
        </w:rPr>
        <w:t>apply</w:t>
      </w:r>
      <w:r>
        <w:rPr>
          <w:color w:val="231F20"/>
          <w:spacing w:val="-1"/>
          <w:sz w:val="18"/>
        </w:rPr>
        <w:t xml:space="preserve"> </w:t>
      </w:r>
      <w:r>
        <w:rPr>
          <w:color w:val="231F20"/>
          <w:sz w:val="18"/>
        </w:rPr>
        <w:t>for</w:t>
      </w:r>
      <w:r>
        <w:rPr>
          <w:color w:val="231F20"/>
          <w:spacing w:val="-2"/>
          <w:sz w:val="18"/>
        </w:rPr>
        <w:t xml:space="preserve"> </w:t>
      </w:r>
      <w:r>
        <w:rPr>
          <w:color w:val="231F20"/>
          <w:sz w:val="18"/>
        </w:rPr>
        <w:t>the</w:t>
      </w:r>
      <w:r>
        <w:rPr>
          <w:color w:val="231F20"/>
          <w:spacing w:val="-1"/>
          <w:sz w:val="18"/>
        </w:rPr>
        <w:t xml:space="preserve"> </w:t>
      </w:r>
      <w:r>
        <w:rPr>
          <w:color w:val="231F20"/>
          <w:sz w:val="18"/>
        </w:rPr>
        <w:t>first</w:t>
      </w:r>
      <w:r>
        <w:rPr>
          <w:color w:val="231F20"/>
          <w:spacing w:val="-2"/>
          <w:sz w:val="18"/>
        </w:rPr>
        <w:t xml:space="preserve"> </w:t>
      </w:r>
      <w:r>
        <w:rPr>
          <w:color w:val="231F20"/>
          <w:sz w:val="18"/>
        </w:rPr>
        <w:t>time</w:t>
      </w:r>
      <w:r>
        <w:rPr>
          <w:color w:val="231F20"/>
          <w:spacing w:val="-4"/>
          <w:sz w:val="18"/>
        </w:rPr>
        <w:t xml:space="preserve"> </w:t>
      </w:r>
      <w:r>
        <w:rPr>
          <w:color w:val="231F20"/>
          <w:sz w:val="18"/>
        </w:rPr>
        <w:t>during</w:t>
      </w:r>
      <w:r>
        <w:rPr>
          <w:color w:val="231F20"/>
          <w:spacing w:val="-4"/>
          <w:sz w:val="18"/>
        </w:rPr>
        <w:t xml:space="preserve"> </w:t>
      </w:r>
      <w:r>
        <w:rPr>
          <w:color w:val="231F20"/>
          <w:sz w:val="18"/>
        </w:rPr>
        <w:t>2022-23</w:t>
      </w:r>
      <w:r>
        <w:rPr>
          <w:color w:val="231F20"/>
          <w:spacing w:val="-1"/>
          <w:sz w:val="18"/>
        </w:rPr>
        <w:t xml:space="preserve"> </w:t>
      </w:r>
      <w:r>
        <w:rPr>
          <w:color w:val="231F20"/>
          <w:sz w:val="18"/>
        </w:rPr>
        <w:t>had</w:t>
      </w:r>
      <w:r>
        <w:rPr>
          <w:color w:val="231F20"/>
          <w:spacing w:val="-1"/>
          <w:sz w:val="18"/>
        </w:rPr>
        <w:t xml:space="preserve"> </w:t>
      </w:r>
      <w:r>
        <w:rPr>
          <w:color w:val="231F20"/>
          <w:sz w:val="18"/>
        </w:rPr>
        <w:t>any impact on the Fund.</w:t>
      </w:r>
    </w:p>
    <w:p w14:paraId="388AF07A" w14:textId="77777777" w:rsidR="00AC6F3C" w:rsidRDefault="00AC6F3C">
      <w:pPr>
        <w:rPr>
          <w:sz w:val="18"/>
        </w:rPr>
        <w:sectPr w:rsidR="00AC6F3C">
          <w:pgSz w:w="11910" w:h="16840"/>
          <w:pgMar w:top="1760" w:right="1160" w:bottom="520" w:left="460" w:header="1228" w:footer="336" w:gutter="0"/>
          <w:cols w:space="720"/>
        </w:sectPr>
      </w:pPr>
    </w:p>
    <w:p w14:paraId="45383982" w14:textId="77777777" w:rsidR="00AC6F3C" w:rsidRDefault="00AC6F3C">
      <w:pPr>
        <w:pStyle w:val="BodyText"/>
      </w:pPr>
    </w:p>
    <w:p w14:paraId="19030B1E" w14:textId="77777777" w:rsidR="00AC6F3C" w:rsidRDefault="00AC6F3C">
      <w:pPr>
        <w:pStyle w:val="BodyText"/>
        <w:spacing w:before="4"/>
        <w:rPr>
          <w:sz w:val="11"/>
        </w:rPr>
      </w:pPr>
    </w:p>
    <w:p w14:paraId="24CE3E0A"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16AC5608" wp14:editId="6C6D2A4D">
                <wp:extent cx="5603875" cy="6350"/>
                <wp:effectExtent l="0" t="0" r="0" b="0"/>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6350"/>
                          <a:chOff x="0" y="0"/>
                          <a:chExt cx="5603875" cy="6350"/>
                        </a:xfrm>
                      </wpg:grpSpPr>
                      <wps:wsp>
                        <wps:cNvPr id="919" name="Graphic 919"/>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F75E0C" id="Group 918" o:spid="_x0000_s1026" style="width:441.25pt;height:.5pt;mso-position-horizontal-relative:char;mso-position-vertical-relative:line" coordsize="56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">
                <v:shape id="Graphic 919" o:spid="_x0000_s1027" style="position:absolute;width:56038;height:63;visibility:visible;mso-wrap-style:square;v-text-anchor:top" coordsize="5603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" path="m5603329,6120l,6120,,,5603329,r,6120xe" fillcolor="black" stroked="f">
                  <v:path arrowok="t"/>
                </v:shape>
                <w10:anchorlock/>
              </v:group>
            </w:pict>
          </mc:Fallback>
        </mc:AlternateContent>
      </w:r>
    </w:p>
    <w:p w14:paraId="172ECBB2" w14:textId="77777777" w:rsidR="00AC6F3C" w:rsidRDefault="00AC6F3C">
      <w:pPr>
        <w:pStyle w:val="BodyText"/>
        <w:rPr>
          <w:sz w:val="11"/>
        </w:rPr>
      </w:pPr>
    </w:p>
    <w:p w14:paraId="794918C5" w14:textId="77777777" w:rsidR="00AC6F3C" w:rsidRDefault="00570E88">
      <w:pPr>
        <w:tabs>
          <w:tab w:val="left" w:pos="1687"/>
        </w:tabs>
        <w:spacing w:before="92"/>
        <w:ind w:left="979"/>
        <w:rPr>
          <w:b/>
          <w:sz w:val="28"/>
        </w:rPr>
      </w:pPr>
      <w:r>
        <w:rPr>
          <w:b/>
          <w:spacing w:val="-5"/>
          <w:sz w:val="28"/>
        </w:rPr>
        <w:t>E3</w:t>
      </w:r>
      <w:r>
        <w:rPr>
          <w:b/>
          <w:sz w:val="28"/>
        </w:rPr>
        <w:tab/>
      </w:r>
      <w:r>
        <w:rPr>
          <w:b/>
          <w:spacing w:val="-2"/>
          <w:sz w:val="28"/>
        </w:rPr>
        <w:t>TAXATION</w:t>
      </w:r>
    </w:p>
    <w:p w14:paraId="044824BF" w14:textId="77777777" w:rsidR="00AC6F3C" w:rsidRDefault="00570E88">
      <w:pPr>
        <w:spacing w:before="240"/>
        <w:ind w:left="979" w:right="632"/>
        <w:rPr>
          <w:sz w:val="18"/>
        </w:rPr>
      </w:pPr>
      <w:r>
        <w:rPr>
          <w:sz w:val="18"/>
        </w:rPr>
        <w:t>The</w:t>
      </w:r>
      <w:r>
        <w:rPr>
          <w:spacing w:val="-1"/>
          <w:sz w:val="18"/>
        </w:rPr>
        <w:t xml:space="preserve"> </w:t>
      </w:r>
      <w:r>
        <w:rPr>
          <w:sz w:val="18"/>
        </w:rPr>
        <w:t>Fund</w:t>
      </w:r>
      <w:r>
        <w:rPr>
          <w:spacing w:val="-1"/>
          <w:sz w:val="18"/>
        </w:rPr>
        <w:t xml:space="preserve"> </w:t>
      </w:r>
      <w:r>
        <w:rPr>
          <w:sz w:val="18"/>
        </w:rPr>
        <w:t>is</w:t>
      </w:r>
      <w:r>
        <w:rPr>
          <w:spacing w:val="-1"/>
          <w:sz w:val="18"/>
        </w:rPr>
        <w:t xml:space="preserve"> </w:t>
      </w:r>
      <w:r>
        <w:rPr>
          <w:sz w:val="18"/>
        </w:rPr>
        <w:t>exempt</w:t>
      </w:r>
      <w:r>
        <w:rPr>
          <w:spacing w:val="-2"/>
          <w:sz w:val="18"/>
        </w:rPr>
        <w:t xml:space="preserve"> </w:t>
      </w:r>
      <w:r>
        <w:rPr>
          <w:sz w:val="18"/>
        </w:rPr>
        <w:t>from</w:t>
      </w:r>
      <w:r>
        <w:rPr>
          <w:spacing w:val="-3"/>
          <w:sz w:val="18"/>
        </w:rPr>
        <w:t xml:space="preserve"> </w:t>
      </w:r>
      <w:r>
        <w:rPr>
          <w:sz w:val="18"/>
        </w:rPr>
        <w:t>income</w:t>
      </w:r>
      <w:r>
        <w:rPr>
          <w:spacing w:val="-1"/>
          <w:sz w:val="18"/>
        </w:rPr>
        <w:t xml:space="preserve"> </w:t>
      </w:r>
      <w:r>
        <w:rPr>
          <w:sz w:val="18"/>
        </w:rPr>
        <w:t>tax</w:t>
      </w:r>
      <w:r>
        <w:rPr>
          <w:spacing w:val="-1"/>
          <w:sz w:val="18"/>
        </w:rPr>
        <w:t xml:space="preserve"> </w:t>
      </w:r>
      <w:r>
        <w:rPr>
          <w:sz w:val="18"/>
        </w:rPr>
        <w:t>by</w:t>
      </w:r>
      <w:r>
        <w:rPr>
          <w:spacing w:val="-3"/>
          <w:sz w:val="18"/>
        </w:rPr>
        <w:t xml:space="preserve"> </w:t>
      </w:r>
      <w:r>
        <w:rPr>
          <w:sz w:val="18"/>
        </w:rPr>
        <w:t>virtue</w:t>
      </w:r>
      <w:r>
        <w:rPr>
          <w:spacing w:val="-1"/>
          <w:sz w:val="18"/>
        </w:rPr>
        <w:t xml:space="preserve"> </w:t>
      </w:r>
      <w:r>
        <w:rPr>
          <w:sz w:val="18"/>
        </w:rPr>
        <w:t>of</w:t>
      </w:r>
      <w:r>
        <w:rPr>
          <w:spacing w:val="-4"/>
          <w:sz w:val="18"/>
        </w:rPr>
        <w:t xml:space="preserve"> </w:t>
      </w:r>
      <w:r>
        <w:rPr>
          <w:sz w:val="18"/>
        </w:rPr>
        <w:t>section</w:t>
      </w:r>
      <w:r>
        <w:rPr>
          <w:spacing w:val="-1"/>
          <w:sz w:val="18"/>
        </w:rPr>
        <w:t xml:space="preserve"> </w:t>
      </w:r>
      <w:r>
        <w:rPr>
          <w:sz w:val="18"/>
        </w:rPr>
        <w:t>50-25</w:t>
      </w:r>
      <w:r>
        <w:rPr>
          <w:spacing w:val="-1"/>
          <w:sz w:val="18"/>
        </w:rPr>
        <w:t xml:space="preserve"> </w:t>
      </w:r>
      <w:r>
        <w:rPr>
          <w:sz w:val="18"/>
        </w:rPr>
        <w:t>of</w:t>
      </w:r>
      <w:r>
        <w:rPr>
          <w:spacing w:val="-2"/>
          <w:sz w:val="18"/>
        </w:rPr>
        <w:t xml:space="preserve"> </w:t>
      </w:r>
      <w:r>
        <w:rPr>
          <w:sz w:val="18"/>
        </w:rPr>
        <w:t>the</w:t>
      </w:r>
      <w:r>
        <w:rPr>
          <w:spacing w:val="-1"/>
          <w:sz w:val="18"/>
        </w:rPr>
        <w:t xml:space="preserve"> </w:t>
      </w:r>
      <w:r>
        <w:rPr>
          <w:i/>
          <w:sz w:val="18"/>
        </w:rPr>
        <w:t>Income</w:t>
      </w:r>
      <w:r>
        <w:rPr>
          <w:i/>
          <w:spacing w:val="-4"/>
          <w:sz w:val="18"/>
        </w:rPr>
        <w:t xml:space="preserve"> </w:t>
      </w:r>
      <w:r>
        <w:rPr>
          <w:i/>
          <w:sz w:val="18"/>
        </w:rPr>
        <w:t>Tax</w:t>
      </w:r>
      <w:r>
        <w:rPr>
          <w:i/>
          <w:spacing w:val="-3"/>
          <w:sz w:val="18"/>
        </w:rPr>
        <w:t xml:space="preserve"> </w:t>
      </w:r>
      <w:r>
        <w:rPr>
          <w:i/>
          <w:sz w:val="18"/>
        </w:rPr>
        <w:t>Assessment</w:t>
      </w:r>
      <w:r>
        <w:rPr>
          <w:i/>
          <w:spacing w:val="-2"/>
          <w:sz w:val="18"/>
        </w:rPr>
        <w:t xml:space="preserve"> </w:t>
      </w:r>
      <w:r>
        <w:rPr>
          <w:i/>
          <w:sz w:val="18"/>
        </w:rPr>
        <w:t>Act</w:t>
      </w:r>
      <w:r>
        <w:rPr>
          <w:i/>
          <w:spacing w:val="-2"/>
          <w:sz w:val="18"/>
        </w:rPr>
        <w:t xml:space="preserve"> </w:t>
      </w:r>
      <w:r>
        <w:rPr>
          <w:i/>
          <w:sz w:val="18"/>
        </w:rPr>
        <w:t>1997</w:t>
      </w:r>
      <w:r>
        <w:rPr>
          <w:i/>
          <w:spacing w:val="-4"/>
          <w:sz w:val="18"/>
        </w:rPr>
        <w:t xml:space="preserve"> </w:t>
      </w:r>
      <w:r>
        <w:rPr>
          <w:sz w:val="18"/>
        </w:rPr>
        <w:t>with the exception of Fringe Benefits Tax (FBT) and Goods and Services Tax (GST).</w:t>
      </w:r>
    </w:p>
    <w:p w14:paraId="5EB66B82" w14:textId="77777777" w:rsidR="00AC6F3C" w:rsidRDefault="00AC6F3C">
      <w:pPr>
        <w:pStyle w:val="BodyText"/>
        <w:spacing w:before="8"/>
      </w:pPr>
    </w:p>
    <w:p w14:paraId="174735F1" w14:textId="77777777" w:rsidR="00AC6F3C" w:rsidRDefault="00570E88">
      <w:pPr>
        <w:spacing w:before="1"/>
        <w:ind w:left="979" w:right="468"/>
        <w:rPr>
          <w:sz w:val="18"/>
        </w:rPr>
      </w:pPr>
      <w:r>
        <w:rPr>
          <w:sz w:val="18"/>
        </w:rPr>
        <w:t xml:space="preserve">Revenues, expenses and assets are </w:t>
      </w:r>
      <w:proofErr w:type="spellStart"/>
      <w:r>
        <w:rPr>
          <w:sz w:val="18"/>
        </w:rPr>
        <w:t>recognised</w:t>
      </w:r>
      <w:proofErr w:type="spellEnd"/>
      <w:r>
        <w:rPr>
          <w:sz w:val="18"/>
        </w:rPr>
        <w:t xml:space="preserve"> net of the amount of GST, except where the amount of GST incurred is not recoverable from the Australian Taxation Office (ATO).</w:t>
      </w:r>
      <w:r>
        <w:rPr>
          <w:spacing w:val="40"/>
          <w:sz w:val="18"/>
        </w:rPr>
        <w:t xml:space="preserve"> </w:t>
      </w:r>
      <w:r>
        <w:rPr>
          <w:sz w:val="18"/>
        </w:rPr>
        <w:t xml:space="preserve">In these circumstances, the GST is </w:t>
      </w:r>
      <w:proofErr w:type="spellStart"/>
      <w:r>
        <w:rPr>
          <w:sz w:val="18"/>
        </w:rPr>
        <w:t>recognised</w:t>
      </w:r>
      <w:proofErr w:type="spellEnd"/>
      <w:r>
        <w:rPr>
          <w:spacing w:val="-4"/>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cost</w:t>
      </w:r>
      <w:r>
        <w:rPr>
          <w:spacing w:val="-4"/>
          <w:sz w:val="18"/>
        </w:rPr>
        <w:t xml:space="preserve"> </w:t>
      </w:r>
      <w:r>
        <w:rPr>
          <w:sz w:val="18"/>
        </w:rPr>
        <w:t>of</w:t>
      </w:r>
      <w:r>
        <w:rPr>
          <w:spacing w:val="-2"/>
          <w:sz w:val="18"/>
        </w:rPr>
        <w:t xml:space="preserve"> </w:t>
      </w:r>
      <w:r>
        <w:rPr>
          <w:sz w:val="18"/>
        </w:rPr>
        <w:t>acquisition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asset</w:t>
      </w:r>
      <w:r>
        <w:rPr>
          <w:spacing w:val="-2"/>
          <w:sz w:val="18"/>
        </w:rPr>
        <w:t xml:space="preserve"> </w:t>
      </w:r>
      <w:r>
        <w:rPr>
          <w:sz w:val="18"/>
        </w:rPr>
        <w:t>or</w:t>
      </w:r>
      <w:r>
        <w:rPr>
          <w:spacing w:val="-2"/>
          <w:sz w:val="18"/>
        </w:rPr>
        <w:t xml:space="preserve"> </w:t>
      </w:r>
      <w:r>
        <w:rPr>
          <w:sz w:val="18"/>
        </w:rPr>
        <w:t>as</w:t>
      </w:r>
      <w:r>
        <w:rPr>
          <w:spacing w:val="-1"/>
          <w:sz w:val="18"/>
        </w:rPr>
        <w:t xml:space="preserve"> </w:t>
      </w:r>
      <w:r>
        <w:rPr>
          <w:sz w:val="18"/>
        </w:rPr>
        <w:t>part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expense.</w:t>
      </w:r>
      <w:r>
        <w:rPr>
          <w:spacing w:val="40"/>
          <w:sz w:val="18"/>
        </w:rPr>
        <w:t xml:space="preserve"> </w:t>
      </w:r>
      <w:r>
        <w:rPr>
          <w:sz w:val="18"/>
        </w:rPr>
        <w:t>Receivables</w:t>
      </w:r>
      <w:r>
        <w:rPr>
          <w:spacing w:val="-1"/>
          <w:sz w:val="18"/>
        </w:rPr>
        <w:t xml:space="preserve"> </w:t>
      </w:r>
      <w:r>
        <w:rPr>
          <w:sz w:val="18"/>
        </w:rPr>
        <w:t>and</w:t>
      </w:r>
      <w:r>
        <w:rPr>
          <w:spacing w:val="-1"/>
          <w:sz w:val="18"/>
        </w:rPr>
        <w:t xml:space="preserve"> </w:t>
      </w:r>
      <w:r>
        <w:rPr>
          <w:sz w:val="18"/>
        </w:rPr>
        <w:t>payables are stated with the amount of GST included.</w:t>
      </w:r>
    </w:p>
    <w:p w14:paraId="21ED1E9E" w14:textId="77777777" w:rsidR="00AC6F3C" w:rsidRDefault="00AC6F3C">
      <w:pPr>
        <w:pStyle w:val="BodyText"/>
        <w:spacing w:before="9"/>
      </w:pPr>
    </w:p>
    <w:p w14:paraId="20BC527E" w14:textId="77777777" w:rsidR="00AC6F3C" w:rsidRDefault="00570E88">
      <w:pPr>
        <w:spacing w:before="1"/>
        <w:ind w:left="979" w:right="632"/>
        <w:rPr>
          <w:sz w:val="18"/>
        </w:rPr>
      </w:pPr>
      <w:r>
        <w:rPr>
          <w:sz w:val="18"/>
        </w:rPr>
        <w:t>The</w:t>
      </w:r>
      <w:r>
        <w:rPr>
          <w:spacing w:val="-1"/>
          <w:sz w:val="18"/>
        </w:rPr>
        <w:t xml:space="preserve"> </w:t>
      </w:r>
      <w:r>
        <w:rPr>
          <w:sz w:val="18"/>
        </w:rPr>
        <w:t>net</w:t>
      </w:r>
      <w:r>
        <w:rPr>
          <w:spacing w:val="-2"/>
          <w:sz w:val="18"/>
        </w:rPr>
        <w:t xml:space="preserve"> </w:t>
      </w:r>
      <w:r>
        <w:rPr>
          <w:sz w:val="18"/>
        </w:rPr>
        <w:t>amount</w:t>
      </w:r>
      <w:r>
        <w:rPr>
          <w:spacing w:val="-2"/>
          <w:sz w:val="18"/>
        </w:rPr>
        <w:t xml:space="preserve"> </w:t>
      </w:r>
      <w:r>
        <w:rPr>
          <w:sz w:val="18"/>
        </w:rPr>
        <w:t>of</w:t>
      </w:r>
      <w:r>
        <w:rPr>
          <w:spacing w:val="-2"/>
          <w:sz w:val="18"/>
        </w:rPr>
        <w:t xml:space="preserve"> </w:t>
      </w:r>
      <w:r>
        <w:rPr>
          <w:sz w:val="18"/>
        </w:rPr>
        <w:t>GST</w:t>
      </w:r>
      <w:r>
        <w:rPr>
          <w:spacing w:val="-2"/>
          <w:sz w:val="18"/>
        </w:rPr>
        <w:t xml:space="preserve"> </w:t>
      </w:r>
      <w:r>
        <w:rPr>
          <w:sz w:val="18"/>
        </w:rPr>
        <w:t>recoverable</w:t>
      </w:r>
      <w:r>
        <w:rPr>
          <w:spacing w:val="-4"/>
          <w:sz w:val="18"/>
        </w:rPr>
        <w:t xml:space="preserve"> </w:t>
      </w:r>
      <w:r>
        <w:rPr>
          <w:sz w:val="18"/>
        </w:rPr>
        <w:t>from,</w:t>
      </w:r>
      <w:r>
        <w:rPr>
          <w:spacing w:val="-2"/>
          <w:sz w:val="18"/>
        </w:rPr>
        <w:t xml:space="preserve"> </w:t>
      </w:r>
      <w:r>
        <w:rPr>
          <w:sz w:val="18"/>
        </w:rPr>
        <w:t>or</w:t>
      </w:r>
      <w:r>
        <w:rPr>
          <w:spacing w:val="-4"/>
          <w:sz w:val="18"/>
        </w:rPr>
        <w:t xml:space="preserve"> </w:t>
      </w:r>
      <w:r>
        <w:rPr>
          <w:sz w:val="18"/>
        </w:rPr>
        <w:t>payable</w:t>
      </w:r>
      <w:r>
        <w:rPr>
          <w:spacing w:val="-1"/>
          <w:sz w:val="18"/>
        </w:rPr>
        <w:t xml:space="preserve"> </w:t>
      </w:r>
      <w:r>
        <w:rPr>
          <w:sz w:val="18"/>
        </w:rPr>
        <w:t>to,</w:t>
      </w:r>
      <w:r>
        <w:rPr>
          <w:spacing w:val="-4"/>
          <w:sz w:val="18"/>
        </w:rPr>
        <w:t xml:space="preserve"> </w:t>
      </w:r>
      <w:r>
        <w:rPr>
          <w:sz w:val="18"/>
        </w:rPr>
        <w:t>the</w:t>
      </w:r>
      <w:r>
        <w:rPr>
          <w:spacing w:val="-6"/>
          <w:sz w:val="18"/>
        </w:rPr>
        <w:t xml:space="preserve"> </w:t>
      </w:r>
      <w:r>
        <w:rPr>
          <w:sz w:val="18"/>
        </w:rPr>
        <w:t>ATO</w:t>
      </w:r>
      <w:r>
        <w:rPr>
          <w:spacing w:val="-3"/>
          <w:sz w:val="18"/>
        </w:rPr>
        <w:t xml:space="preserve"> </w:t>
      </w:r>
      <w:r>
        <w:rPr>
          <w:sz w:val="18"/>
        </w:rPr>
        <w:t>is</w:t>
      </w:r>
      <w:r>
        <w:rPr>
          <w:spacing w:val="-1"/>
          <w:sz w:val="18"/>
        </w:rPr>
        <w:t xml:space="preserve"> </w:t>
      </w:r>
      <w:r>
        <w:rPr>
          <w:sz w:val="18"/>
        </w:rPr>
        <w:t>included</w:t>
      </w:r>
      <w:r>
        <w:rPr>
          <w:spacing w:val="-1"/>
          <w:sz w:val="18"/>
        </w:rPr>
        <w:t xml:space="preserve"> </w:t>
      </w:r>
      <w:r>
        <w:rPr>
          <w:sz w:val="18"/>
        </w:rPr>
        <w:t>as</w:t>
      </w:r>
      <w:r>
        <w:rPr>
          <w:spacing w:val="-1"/>
          <w:sz w:val="18"/>
        </w:rPr>
        <w:t xml:space="preserve"> </w:t>
      </w:r>
      <w:r>
        <w:rPr>
          <w:sz w:val="18"/>
        </w:rPr>
        <w:t>a</w:t>
      </w:r>
      <w:r>
        <w:rPr>
          <w:spacing w:val="-4"/>
          <w:sz w:val="18"/>
        </w:rPr>
        <w:t xml:space="preserve"> </w:t>
      </w:r>
      <w:r>
        <w:rPr>
          <w:sz w:val="18"/>
        </w:rPr>
        <w:t>current</w:t>
      </w:r>
      <w:r>
        <w:rPr>
          <w:spacing w:val="-2"/>
          <w:sz w:val="18"/>
        </w:rPr>
        <w:t xml:space="preserve"> </w:t>
      </w:r>
      <w:r>
        <w:rPr>
          <w:sz w:val="18"/>
        </w:rPr>
        <w:t>asset</w:t>
      </w:r>
      <w:r>
        <w:rPr>
          <w:spacing w:val="-4"/>
          <w:sz w:val="18"/>
        </w:rPr>
        <w:t xml:space="preserve"> </w:t>
      </w:r>
      <w:r>
        <w:rPr>
          <w:sz w:val="18"/>
        </w:rPr>
        <w:t>or</w:t>
      </w:r>
      <w:r>
        <w:rPr>
          <w:spacing w:val="-2"/>
          <w:sz w:val="18"/>
        </w:rPr>
        <w:t xml:space="preserve"> </w:t>
      </w:r>
      <w:r>
        <w:rPr>
          <w:sz w:val="18"/>
        </w:rPr>
        <w:t>liability</w:t>
      </w:r>
      <w:r>
        <w:rPr>
          <w:spacing w:val="-1"/>
          <w:sz w:val="18"/>
        </w:rPr>
        <w:t xml:space="preserve"> </w:t>
      </w:r>
      <w:r>
        <w:rPr>
          <w:sz w:val="18"/>
        </w:rPr>
        <w:t>in the Statement of Financial Position.</w:t>
      </w:r>
    </w:p>
    <w:p w14:paraId="73B55D00" w14:textId="77777777" w:rsidR="00AC6F3C" w:rsidRDefault="00AC6F3C">
      <w:pPr>
        <w:pStyle w:val="BodyText"/>
        <w:spacing w:before="11"/>
      </w:pPr>
    </w:p>
    <w:p w14:paraId="0FBDAFCE" w14:textId="77777777" w:rsidR="00AC6F3C" w:rsidRDefault="00570E88">
      <w:pPr>
        <w:ind w:left="979" w:right="632"/>
        <w:rPr>
          <w:sz w:val="18"/>
        </w:rPr>
      </w:pPr>
      <w:r>
        <w:rPr>
          <w:sz w:val="18"/>
        </w:rPr>
        <w:t>Cash flows are included in the Statement of Cash Flows on a gross basis.</w:t>
      </w:r>
      <w:r>
        <w:rPr>
          <w:spacing w:val="40"/>
          <w:sz w:val="18"/>
        </w:rPr>
        <w:t xml:space="preserve"> </w:t>
      </w:r>
      <w:r>
        <w:rPr>
          <w:sz w:val="18"/>
        </w:rPr>
        <w:t>The GST components of cash flows</w:t>
      </w:r>
      <w:r>
        <w:rPr>
          <w:spacing w:val="-2"/>
          <w:sz w:val="18"/>
        </w:rPr>
        <w:t xml:space="preserve"> </w:t>
      </w:r>
      <w:r>
        <w:rPr>
          <w:sz w:val="18"/>
        </w:rPr>
        <w:t>arising</w:t>
      </w:r>
      <w:r>
        <w:rPr>
          <w:spacing w:val="-3"/>
          <w:sz w:val="18"/>
        </w:rPr>
        <w:t xml:space="preserve"> </w:t>
      </w:r>
      <w:r>
        <w:rPr>
          <w:sz w:val="18"/>
        </w:rPr>
        <w:t>from</w:t>
      </w:r>
      <w:r>
        <w:rPr>
          <w:spacing w:val="-2"/>
          <w:sz w:val="18"/>
        </w:rPr>
        <w:t xml:space="preserve"> </w:t>
      </w:r>
      <w:r>
        <w:rPr>
          <w:sz w:val="18"/>
        </w:rPr>
        <w:t>investing activities</w:t>
      </w:r>
      <w:r>
        <w:rPr>
          <w:spacing w:val="-2"/>
          <w:sz w:val="18"/>
        </w:rPr>
        <w:t xml:space="preserve"> </w:t>
      </w:r>
      <w:r>
        <w:rPr>
          <w:sz w:val="18"/>
        </w:rPr>
        <w:t>and</w:t>
      </w:r>
      <w:r>
        <w:rPr>
          <w:spacing w:val="-3"/>
          <w:sz w:val="18"/>
        </w:rPr>
        <w:t xml:space="preserve"> </w:t>
      </w:r>
      <w:r>
        <w:rPr>
          <w:sz w:val="18"/>
        </w:rPr>
        <w:t>financing</w:t>
      </w:r>
      <w:r>
        <w:rPr>
          <w:spacing w:val="-3"/>
          <w:sz w:val="18"/>
        </w:rPr>
        <w:t xml:space="preserve"> </w:t>
      </w:r>
      <w:r>
        <w:rPr>
          <w:sz w:val="18"/>
        </w:rPr>
        <w:t>activities</w:t>
      </w:r>
      <w:r>
        <w:rPr>
          <w:spacing w:val="-2"/>
          <w:sz w:val="18"/>
        </w:rPr>
        <w:t xml:space="preserve"> </w:t>
      </w:r>
      <w:r>
        <w:rPr>
          <w:sz w:val="18"/>
        </w:rPr>
        <w:t>which</w:t>
      </w:r>
      <w:r>
        <w:rPr>
          <w:spacing w:val="-3"/>
          <w:sz w:val="18"/>
        </w:rPr>
        <w:t xml:space="preserve"> </w:t>
      </w:r>
      <w:r>
        <w:rPr>
          <w:sz w:val="18"/>
        </w:rPr>
        <w:t>are recoverable</w:t>
      </w:r>
      <w:r>
        <w:rPr>
          <w:spacing w:val="-3"/>
          <w:sz w:val="18"/>
        </w:rPr>
        <w:t xml:space="preserve"> </w:t>
      </w:r>
      <w:r>
        <w:rPr>
          <w:sz w:val="18"/>
        </w:rPr>
        <w:t>from,</w:t>
      </w:r>
      <w:r>
        <w:rPr>
          <w:spacing w:val="-1"/>
          <w:sz w:val="18"/>
        </w:rPr>
        <w:t xml:space="preserve"> </w:t>
      </w:r>
      <w:r>
        <w:rPr>
          <w:sz w:val="18"/>
        </w:rPr>
        <w:t>or</w:t>
      </w:r>
      <w:r>
        <w:rPr>
          <w:spacing w:val="-3"/>
          <w:sz w:val="18"/>
        </w:rPr>
        <w:t xml:space="preserve"> </w:t>
      </w:r>
      <w:r>
        <w:rPr>
          <w:sz w:val="18"/>
        </w:rPr>
        <w:t>payable</w:t>
      </w:r>
      <w:r>
        <w:rPr>
          <w:spacing w:val="-3"/>
          <w:sz w:val="18"/>
        </w:rPr>
        <w:t xml:space="preserve"> </w:t>
      </w:r>
      <w:r>
        <w:rPr>
          <w:sz w:val="18"/>
        </w:rPr>
        <w:t>to,</w:t>
      </w:r>
      <w:r>
        <w:rPr>
          <w:spacing w:val="-3"/>
          <w:sz w:val="18"/>
        </w:rPr>
        <w:t xml:space="preserve"> </w:t>
      </w:r>
      <w:r>
        <w:rPr>
          <w:sz w:val="18"/>
        </w:rPr>
        <w:t>the ATO are classified as operating cash flows.</w:t>
      </w:r>
    </w:p>
    <w:p w14:paraId="7B0E2D67" w14:textId="77777777" w:rsidR="00AC6F3C" w:rsidRDefault="00AC6F3C">
      <w:pPr>
        <w:rPr>
          <w:sz w:val="18"/>
        </w:rPr>
        <w:sectPr w:rsidR="00AC6F3C">
          <w:pgSz w:w="11910" w:h="16840"/>
          <w:pgMar w:top="1760" w:right="1160" w:bottom="520" w:left="460" w:header="1228" w:footer="336" w:gutter="0"/>
          <w:cols w:space="720"/>
        </w:sectPr>
      </w:pPr>
    </w:p>
    <w:p w14:paraId="69F0B1C4" w14:textId="77777777" w:rsidR="00AC6F3C" w:rsidRDefault="00AC6F3C">
      <w:pPr>
        <w:pStyle w:val="BodyText"/>
      </w:pPr>
    </w:p>
    <w:p w14:paraId="51E09507" w14:textId="77777777" w:rsidR="00AC6F3C" w:rsidRDefault="00AC6F3C">
      <w:pPr>
        <w:pStyle w:val="BodyText"/>
        <w:spacing w:before="4"/>
        <w:rPr>
          <w:sz w:val="11"/>
        </w:rPr>
      </w:pPr>
    </w:p>
    <w:p w14:paraId="2FC20BCE" w14:textId="77777777" w:rsidR="00AC6F3C" w:rsidRDefault="00570E88">
      <w:pPr>
        <w:pStyle w:val="BodyText"/>
        <w:spacing w:line="20" w:lineRule="exact"/>
        <w:ind w:left="951"/>
        <w:rPr>
          <w:sz w:val="2"/>
        </w:rPr>
      </w:pPr>
      <w:r>
        <w:rPr>
          <w:noProof/>
          <w:sz w:val="2"/>
        </w:rPr>
        <mc:AlternateContent>
          <mc:Choice Requires="wpg">
            <w:drawing>
              <wp:inline distT="0" distB="0" distL="0" distR="0" wp14:anchorId="32FCAB0F" wp14:editId="223B2542">
                <wp:extent cx="5768340" cy="6350"/>
                <wp:effectExtent l="0" t="0" r="0" b="0"/>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6350"/>
                          <a:chOff x="0" y="0"/>
                          <a:chExt cx="5768340" cy="6350"/>
                        </a:xfrm>
                      </wpg:grpSpPr>
                      <wps:wsp>
                        <wps:cNvPr id="921" name="Graphic 921"/>
                        <wps:cNvSpPr/>
                        <wps:spPr>
                          <a:xfrm>
                            <a:off x="0" y="0"/>
                            <a:ext cx="5768340" cy="6350"/>
                          </a:xfrm>
                          <a:custGeom>
                            <a:avLst/>
                            <a:gdLst/>
                            <a:ahLst/>
                            <a:cxnLst/>
                            <a:rect l="l" t="t" r="r" b="b"/>
                            <a:pathLst>
                              <a:path w="5768340" h="6350">
                                <a:moveTo>
                                  <a:pt x="5767909" y="6120"/>
                                </a:moveTo>
                                <a:lnTo>
                                  <a:pt x="0" y="6120"/>
                                </a:lnTo>
                                <a:lnTo>
                                  <a:pt x="0" y="0"/>
                                </a:lnTo>
                                <a:lnTo>
                                  <a:pt x="5767909" y="0"/>
                                </a:lnTo>
                                <a:lnTo>
                                  <a:pt x="5767909" y="61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B9D0EF" id="Group 920" o:spid="_x0000_s1026" style="width:454.2pt;height:.5pt;mso-position-horizontal-relative:char;mso-position-vertical-relative:line" coordsize="576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">
                <v:shape id="Graphic 921" o:spid="_x0000_s1027" style="position:absolute;width:57683;height:63;visibility:visible;mso-wrap-style:square;v-text-anchor:top" coordsize="5768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" path="m5767909,6120l,6120,,,5767909,r,6120xe" fillcolor="black" stroked="f">
                  <v:path arrowok="t"/>
                </v:shape>
                <w10:anchorlock/>
              </v:group>
            </w:pict>
          </mc:Fallback>
        </mc:AlternateContent>
      </w:r>
    </w:p>
    <w:p w14:paraId="424BA4A5" w14:textId="77777777" w:rsidR="00AC6F3C" w:rsidRDefault="00AC6F3C">
      <w:pPr>
        <w:pStyle w:val="BodyText"/>
      </w:pPr>
    </w:p>
    <w:p w14:paraId="6AF81A5E" w14:textId="77777777" w:rsidR="00AC6F3C" w:rsidRDefault="00AC6F3C">
      <w:pPr>
        <w:pStyle w:val="BodyText"/>
        <w:spacing w:before="10"/>
        <w:rPr>
          <w:sz w:val="19"/>
        </w:rPr>
      </w:pPr>
    </w:p>
    <w:p w14:paraId="4B186C7A" w14:textId="77777777" w:rsidR="00AC6F3C" w:rsidRDefault="00570E88">
      <w:pPr>
        <w:ind w:left="979" w:right="234"/>
        <w:rPr>
          <w:sz w:val="18"/>
        </w:rPr>
      </w:pPr>
      <w:r>
        <w:rPr>
          <w:sz w:val="18"/>
        </w:rPr>
        <w:t xml:space="preserve">These general purpose financial statements have been prepared pursuant to section 62(1) of the </w:t>
      </w:r>
      <w:r>
        <w:rPr>
          <w:i/>
          <w:sz w:val="18"/>
        </w:rPr>
        <w:t>Financial Accountability</w:t>
      </w:r>
      <w:r>
        <w:rPr>
          <w:i/>
          <w:spacing w:val="-1"/>
          <w:sz w:val="18"/>
        </w:rPr>
        <w:t xml:space="preserve"> </w:t>
      </w:r>
      <w:r>
        <w:rPr>
          <w:i/>
          <w:sz w:val="18"/>
        </w:rPr>
        <w:t>Act</w:t>
      </w:r>
      <w:r>
        <w:rPr>
          <w:i/>
          <w:spacing w:val="-2"/>
          <w:sz w:val="18"/>
        </w:rPr>
        <w:t xml:space="preserve"> </w:t>
      </w:r>
      <w:r>
        <w:rPr>
          <w:i/>
          <w:sz w:val="18"/>
        </w:rPr>
        <w:t>2009</w:t>
      </w:r>
      <w:r>
        <w:rPr>
          <w:i/>
          <w:spacing w:val="-2"/>
          <w:sz w:val="18"/>
        </w:rPr>
        <w:t xml:space="preserve"> </w:t>
      </w:r>
      <w:r>
        <w:rPr>
          <w:sz w:val="18"/>
        </w:rPr>
        <w:t>(the</w:t>
      </w:r>
      <w:r>
        <w:rPr>
          <w:spacing w:val="-1"/>
          <w:sz w:val="18"/>
        </w:rPr>
        <w:t xml:space="preserve"> </w:t>
      </w:r>
      <w:r>
        <w:rPr>
          <w:sz w:val="18"/>
        </w:rPr>
        <w:t>Act),</w:t>
      </w:r>
      <w:r>
        <w:rPr>
          <w:spacing w:val="-2"/>
          <w:sz w:val="18"/>
        </w:rPr>
        <w:t xml:space="preserve"> </w:t>
      </w:r>
      <w:r>
        <w:rPr>
          <w:sz w:val="18"/>
        </w:rPr>
        <w:t>section</w:t>
      </w:r>
      <w:r>
        <w:rPr>
          <w:spacing w:val="-4"/>
          <w:sz w:val="18"/>
        </w:rPr>
        <w:t xml:space="preserve"> </w:t>
      </w:r>
      <w:r>
        <w:rPr>
          <w:sz w:val="18"/>
        </w:rPr>
        <w:t>39</w:t>
      </w:r>
      <w:r>
        <w:rPr>
          <w:spacing w:val="-4"/>
          <w:sz w:val="18"/>
        </w:rPr>
        <w:t xml:space="preserve"> </w:t>
      </w:r>
      <w:r>
        <w:rPr>
          <w:sz w:val="18"/>
        </w:rPr>
        <w:t>of</w:t>
      </w:r>
      <w:r>
        <w:rPr>
          <w:spacing w:val="-2"/>
          <w:sz w:val="18"/>
        </w:rPr>
        <w:t xml:space="preserve"> </w:t>
      </w:r>
      <w:r>
        <w:rPr>
          <w:sz w:val="18"/>
        </w:rPr>
        <w:t>the</w:t>
      </w:r>
      <w:r>
        <w:rPr>
          <w:spacing w:val="-1"/>
          <w:sz w:val="18"/>
        </w:rPr>
        <w:t xml:space="preserve"> </w:t>
      </w:r>
      <w:r>
        <w:rPr>
          <w:i/>
          <w:sz w:val="18"/>
        </w:rPr>
        <w:t>Financial</w:t>
      </w:r>
      <w:r>
        <w:rPr>
          <w:i/>
          <w:spacing w:val="-4"/>
          <w:sz w:val="18"/>
        </w:rPr>
        <w:t xml:space="preserve"> </w:t>
      </w:r>
      <w:r>
        <w:rPr>
          <w:i/>
          <w:sz w:val="18"/>
        </w:rPr>
        <w:t>and</w:t>
      </w:r>
      <w:r>
        <w:rPr>
          <w:i/>
          <w:spacing w:val="-1"/>
          <w:sz w:val="18"/>
        </w:rPr>
        <w:t xml:space="preserve"> </w:t>
      </w:r>
      <w:r>
        <w:rPr>
          <w:i/>
          <w:sz w:val="18"/>
        </w:rPr>
        <w:t>Performance</w:t>
      </w:r>
      <w:r>
        <w:rPr>
          <w:i/>
          <w:spacing w:val="-2"/>
          <w:sz w:val="18"/>
        </w:rPr>
        <w:t xml:space="preserve"> </w:t>
      </w:r>
      <w:r>
        <w:rPr>
          <w:i/>
          <w:sz w:val="18"/>
        </w:rPr>
        <w:t>Management</w:t>
      </w:r>
      <w:r>
        <w:rPr>
          <w:i/>
          <w:spacing w:val="-2"/>
          <w:sz w:val="18"/>
        </w:rPr>
        <w:t xml:space="preserve"> </w:t>
      </w:r>
      <w:r>
        <w:rPr>
          <w:i/>
          <w:sz w:val="18"/>
        </w:rPr>
        <w:t>Standard</w:t>
      </w:r>
      <w:r>
        <w:rPr>
          <w:i/>
          <w:spacing w:val="-1"/>
          <w:sz w:val="18"/>
        </w:rPr>
        <w:t xml:space="preserve"> </w:t>
      </w:r>
      <w:r>
        <w:rPr>
          <w:i/>
          <w:sz w:val="18"/>
        </w:rPr>
        <w:t>2019</w:t>
      </w:r>
      <w:r>
        <w:rPr>
          <w:i/>
          <w:spacing w:val="-4"/>
          <w:sz w:val="18"/>
        </w:rPr>
        <w:t xml:space="preserve"> </w:t>
      </w:r>
      <w:r>
        <w:rPr>
          <w:sz w:val="18"/>
        </w:rPr>
        <w:t>and other prescribed requirements.</w:t>
      </w:r>
      <w:r>
        <w:rPr>
          <w:spacing w:val="40"/>
          <w:sz w:val="18"/>
        </w:rPr>
        <w:t xml:space="preserve"> </w:t>
      </w:r>
      <w:r>
        <w:rPr>
          <w:sz w:val="18"/>
        </w:rPr>
        <w:t>In accordance with section 62(1)(b) of the Act we certify that in our opinion:</w:t>
      </w:r>
    </w:p>
    <w:p w14:paraId="0306668E" w14:textId="77777777" w:rsidR="00AC6F3C" w:rsidRDefault="00AC6F3C">
      <w:pPr>
        <w:pStyle w:val="BodyText"/>
        <w:spacing w:before="8"/>
      </w:pPr>
    </w:p>
    <w:p w14:paraId="27990E15" w14:textId="77777777" w:rsidR="00AC6F3C" w:rsidRDefault="00570E88">
      <w:pPr>
        <w:pStyle w:val="ListParagraph"/>
        <w:numPr>
          <w:ilvl w:val="0"/>
          <w:numId w:val="4"/>
        </w:numPr>
        <w:tabs>
          <w:tab w:val="left" w:pos="1699"/>
        </w:tabs>
        <w:spacing w:before="1"/>
        <w:ind w:right="959"/>
        <w:rPr>
          <w:sz w:val="18"/>
        </w:rPr>
      </w:pPr>
      <w:r>
        <w:rPr>
          <w:sz w:val="18"/>
        </w:rPr>
        <w:t>the</w:t>
      </w:r>
      <w:r>
        <w:rPr>
          <w:spacing w:val="-2"/>
          <w:sz w:val="18"/>
        </w:rPr>
        <w:t xml:space="preserve"> </w:t>
      </w:r>
      <w:r>
        <w:rPr>
          <w:sz w:val="18"/>
        </w:rPr>
        <w:t>prescribed</w:t>
      </w:r>
      <w:r>
        <w:rPr>
          <w:spacing w:val="-2"/>
          <w:sz w:val="18"/>
        </w:rPr>
        <w:t xml:space="preserve"> </w:t>
      </w:r>
      <w:r>
        <w:rPr>
          <w:sz w:val="18"/>
        </w:rPr>
        <w:t>requirements</w:t>
      </w:r>
      <w:r>
        <w:rPr>
          <w:spacing w:val="-4"/>
          <w:sz w:val="18"/>
        </w:rPr>
        <w:t xml:space="preserve"> </w:t>
      </w:r>
      <w:r>
        <w:rPr>
          <w:sz w:val="18"/>
        </w:rPr>
        <w:t>in</w:t>
      </w:r>
      <w:r>
        <w:rPr>
          <w:spacing w:val="-5"/>
          <w:sz w:val="18"/>
        </w:rPr>
        <w:t xml:space="preserve"> </w:t>
      </w:r>
      <w:r>
        <w:rPr>
          <w:sz w:val="18"/>
        </w:rPr>
        <w:t>respect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establishment</w:t>
      </w:r>
      <w:r>
        <w:rPr>
          <w:spacing w:val="-5"/>
          <w:sz w:val="18"/>
        </w:rPr>
        <w:t xml:space="preserve"> </w:t>
      </w:r>
      <w:r>
        <w:rPr>
          <w:sz w:val="18"/>
        </w:rPr>
        <w:t>and</w:t>
      </w:r>
      <w:r>
        <w:rPr>
          <w:spacing w:val="-2"/>
          <w:sz w:val="18"/>
        </w:rPr>
        <w:t xml:space="preserve"> </w:t>
      </w:r>
      <w:r>
        <w:rPr>
          <w:sz w:val="18"/>
        </w:rPr>
        <w:t>keeping</w:t>
      </w:r>
      <w:r>
        <w:rPr>
          <w:spacing w:val="-2"/>
          <w:sz w:val="18"/>
        </w:rPr>
        <w:t xml:space="preserve"> </w:t>
      </w:r>
      <w:r>
        <w:rPr>
          <w:sz w:val="18"/>
        </w:rPr>
        <w:t>of</w:t>
      </w:r>
      <w:r>
        <w:rPr>
          <w:spacing w:val="-3"/>
          <w:sz w:val="18"/>
        </w:rPr>
        <w:t xml:space="preserve"> </w:t>
      </w:r>
      <w:r>
        <w:rPr>
          <w:sz w:val="18"/>
        </w:rPr>
        <w:t>accounts</w:t>
      </w:r>
      <w:r>
        <w:rPr>
          <w:spacing w:val="-2"/>
          <w:sz w:val="18"/>
        </w:rPr>
        <w:t xml:space="preserve"> </w:t>
      </w:r>
      <w:r>
        <w:rPr>
          <w:sz w:val="18"/>
        </w:rPr>
        <w:t>have</w:t>
      </w:r>
      <w:r>
        <w:rPr>
          <w:spacing w:val="-5"/>
          <w:sz w:val="18"/>
        </w:rPr>
        <w:t xml:space="preserve"> </w:t>
      </w:r>
      <w:r>
        <w:rPr>
          <w:sz w:val="18"/>
        </w:rPr>
        <w:t>been complied with in all material respects; and</w:t>
      </w:r>
    </w:p>
    <w:p w14:paraId="35BE13D3" w14:textId="77777777" w:rsidR="00AC6F3C" w:rsidRDefault="00AC6F3C">
      <w:pPr>
        <w:pStyle w:val="BodyText"/>
        <w:spacing w:before="10"/>
      </w:pPr>
    </w:p>
    <w:p w14:paraId="580B481D" w14:textId="77777777" w:rsidR="00AC6F3C" w:rsidRDefault="00570E88">
      <w:pPr>
        <w:pStyle w:val="ListParagraph"/>
        <w:numPr>
          <w:ilvl w:val="0"/>
          <w:numId w:val="4"/>
        </w:numPr>
        <w:tabs>
          <w:tab w:val="left" w:pos="1699"/>
        </w:tabs>
        <w:spacing w:before="1"/>
        <w:ind w:right="325"/>
        <w:rPr>
          <w:sz w:val="18"/>
        </w:rPr>
      </w:pPr>
      <w:r>
        <w:rPr>
          <w:sz w:val="18"/>
        </w:rPr>
        <w:t>the financial statements have been drawn up so as to present a true and fair view, in accordance with the prescribed accounting standards, of the transactions of the Legal Practitioners’ Fidelity Guarantee Fund</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financial</w:t>
      </w:r>
      <w:r>
        <w:rPr>
          <w:spacing w:val="-1"/>
          <w:sz w:val="18"/>
        </w:rPr>
        <w:t xml:space="preserve"> </w:t>
      </w:r>
      <w:r>
        <w:rPr>
          <w:sz w:val="18"/>
        </w:rPr>
        <w:t>year</w:t>
      </w:r>
      <w:r>
        <w:rPr>
          <w:spacing w:val="-2"/>
          <w:sz w:val="18"/>
        </w:rPr>
        <w:t xml:space="preserve"> </w:t>
      </w:r>
      <w:r>
        <w:rPr>
          <w:sz w:val="18"/>
        </w:rPr>
        <w:t>ended</w:t>
      </w:r>
      <w:r>
        <w:rPr>
          <w:spacing w:val="-1"/>
          <w:sz w:val="18"/>
        </w:rPr>
        <w:t xml:space="preserve"> </w:t>
      </w:r>
      <w:r>
        <w:rPr>
          <w:sz w:val="18"/>
        </w:rPr>
        <w:t>30</w:t>
      </w:r>
      <w:r>
        <w:rPr>
          <w:spacing w:val="-3"/>
          <w:sz w:val="18"/>
        </w:rPr>
        <w:t xml:space="preserve"> </w:t>
      </w:r>
      <w:r>
        <w:rPr>
          <w:sz w:val="18"/>
        </w:rPr>
        <w:t>June</w:t>
      </w:r>
      <w:r>
        <w:rPr>
          <w:spacing w:val="-1"/>
          <w:sz w:val="18"/>
        </w:rPr>
        <w:t xml:space="preserve"> </w:t>
      </w:r>
      <w:r>
        <w:rPr>
          <w:sz w:val="18"/>
        </w:rPr>
        <w:t>2023</w:t>
      </w:r>
      <w:r>
        <w:rPr>
          <w:spacing w:val="-3"/>
          <w:sz w:val="18"/>
        </w:rPr>
        <w:t xml:space="preserve"> </w:t>
      </w:r>
      <w:r>
        <w:rPr>
          <w:sz w:val="18"/>
        </w:rPr>
        <w:t>and</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financial</w:t>
      </w:r>
      <w:r>
        <w:rPr>
          <w:spacing w:val="-1"/>
          <w:sz w:val="18"/>
        </w:rPr>
        <w:t xml:space="preserve"> </w:t>
      </w:r>
      <w:r>
        <w:rPr>
          <w:sz w:val="18"/>
        </w:rPr>
        <w:t>position</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Fund</w:t>
      </w:r>
      <w:r>
        <w:rPr>
          <w:spacing w:val="-3"/>
          <w:sz w:val="18"/>
        </w:rPr>
        <w:t xml:space="preserve"> </w:t>
      </w:r>
      <w:r>
        <w:rPr>
          <w:sz w:val="18"/>
        </w:rPr>
        <w:t>as</w:t>
      </w:r>
      <w:r>
        <w:rPr>
          <w:spacing w:val="-2"/>
          <w:sz w:val="18"/>
        </w:rPr>
        <w:t xml:space="preserve"> </w:t>
      </w:r>
      <w:r>
        <w:rPr>
          <w:sz w:val="18"/>
        </w:rPr>
        <w:t>at</w:t>
      </w:r>
      <w:r>
        <w:rPr>
          <w:spacing w:val="-2"/>
          <w:sz w:val="18"/>
        </w:rPr>
        <w:t xml:space="preserve"> </w:t>
      </w:r>
      <w:r>
        <w:rPr>
          <w:sz w:val="18"/>
        </w:rPr>
        <w:t>the</w:t>
      </w:r>
      <w:r>
        <w:rPr>
          <w:spacing w:val="-3"/>
          <w:sz w:val="18"/>
        </w:rPr>
        <w:t xml:space="preserve"> </w:t>
      </w:r>
      <w:r>
        <w:rPr>
          <w:sz w:val="18"/>
        </w:rPr>
        <w:t>end</w:t>
      </w:r>
      <w:r>
        <w:rPr>
          <w:spacing w:val="-3"/>
          <w:sz w:val="18"/>
        </w:rPr>
        <w:t xml:space="preserve"> </w:t>
      </w:r>
      <w:r>
        <w:rPr>
          <w:sz w:val="18"/>
        </w:rPr>
        <w:t>of that year.</w:t>
      </w:r>
    </w:p>
    <w:p w14:paraId="43DA5ECC" w14:textId="77777777" w:rsidR="00AC6F3C" w:rsidRDefault="00AC6F3C">
      <w:pPr>
        <w:pStyle w:val="BodyText"/>
        <w:spacing w:before="10"/>
      </w:pPr>
    </w:p>
    <w:p w14:paraId="2B737EEB" w14:textId="7856DA0C" w:rsidR="00AC6F3C" w:rsidRDefault="00570E88">
      <w:pPr>
        <w:ind w:left="980" w:right="468" w:hanging="1"/>
        <w:rPr>
          <w:sz w:val="18"/>
        </w:rPr>
      </w:pPr>
      <w:r>
        <w:rPr>
          <w:sz w:val="18"/>
        </w:rPr>
        <w:t>We</w:t>
      </w:r>
      <w:r>
        <w:rPr>
          <w:spacing w:val="-2"/>
          <w:sz w:val="18"/>
        </w:rPr>
        <w:t xml:space="preserve"> </w:t>
      </w:r>
      <w:r>
        <w:rPr>
          <w:sz w:val="18"/>
        </w:rPr>
        <w:t>acknowledge</w:t>
      </w:r>
      <w:r>
        <w:rPr>
          <w:spacing w:val="-2"/>
          <w:sz w:val="18"/>
        </w:rPr>
        <w:t xml:space="preserve"> </w:t>
      </w:r>
      <w:r>
        <w:rPr>
          <w:sz w:val="18"/>
        </w:rPr>
        <w:t>responsibility</w:t>
      </w:r>
      <w:r>
        <w:rPr>
          <w:spacing w:val="-2"/>
          <w:sz w:val="18"/>
        </w:rPr>
        <w:t xml:space="preserve"> </w:t>
      </w:r>
      <w:r>
        <w:rPr>
          <w:sz w:val="18"/>
        </w:rPr>
        <w:t>under</w:t>
      </w:r>
      <w:r>
        <w:rPr>
          <w:spacing w:val="-3"/>
          <w:sz w:val="18"/>
        </w:rPr>
        <w:t xml:space="preserve"> </w:t>
      </w:r>
      <w:r>
        <w:rPr>
          <w:sz w:val="18"/>
        </w:rPr>
        <w:t>section</w:t>
      </w:r>
      <w:r>
        <w:rPr>
          <w:spacing w:val="-5"/>
          <w:sz w:val="18"/>
        </w:rPr>
        <w:t xml:space="preserve"> </w:t>
      </w:r>
      <w:r>
        <w:rPr>
          <w:sz w:val="18"/>
        </w:rPr>
        <w:t>7</w:t>
      </w:r>
      <w:r>
        <w:rPr>
          <w:spacing w:val="-2"/>
          <w:sz w:val="18"/>
        </w:rPr>
        <w:t xml:space="preserve"> </w:t>
      </w:r>
      <w:r>
        <w:rPr>
          <w:sz w:val="18"/>
        </w:rPr>
        <w:t>and</w:t>
      </w:r>
      <w:r>
        <w:rPr>
          <w:spacing w:val="-2"/>
          <w:sz w:val="18"/>
        </w:rPr>
        <w:t xml:space="preserve"> </w:t>
      </w:r>
      <w:r>
        <w:rPr>
          <w:sz w:val="18"/>
        </w:rPr>
        <w:t>section</w:t>
      </w:r>
      <w:r>
        <w:rPr>
          <w:spacing w:val="-5"/>
          <w:sz w:val="18"/>
        </w:rPr>
        <w:t xml:space="preserve"> </w:t>
      </w:r>
      <w:r>
        <w:rPr>
          <w:sz w:val="18"/>
        </w:rPr>
        <w:t>11</w:t>
      </w:r>
      <w:r>
        <w:rPr>
          <w:spacing w:val="-2"/>
          <w:sz w:val="18"/>
        </w:rPr>
        <w:t xml:space="preserve"> </w:t>
      </w:r>
      <w:r>
        <w:rPr>
          <w:sz w:val="18"/>
        </w:rPr>
        <w:t>of</w:t>
      </w:r>
      <w:r>
        <w:rPr>
          <w:spacing w:val="-3"/>
          <w:sz w:val="18"/>
        </w:rPr>
        <w:t xml:space="preserve"> </w:t>
      </w:r>
      <w:r>
        <w:rPr>
          <w:sz w:val="18"/>
        </w:rPr>
        <w:t>the</w:t>
      </w:r>
      <w:r>
        <w:rPr>
          <w:spacing w:val="-2"/>
          <w:sz w:val="18"/>
        </w:rPr>
        <w:t xml:space="preserve"> </w:t>
      </w:r>
      <w:r>
        <w:rPr>
          <w:i/>
          <w:sz w:val="18"/>
        </w:rPr>
        <w:t>Financial</w:t>
      </w:r>
      <w:r>
        <w:rPr>
          <w:i/>
          <w:spacing w:val="-5"/>
          <w:sz w:val="18"/>
        </w:rPr>
        <w:t xml:space="preserve"> </w:t>
      </w:r>
      <w:r>
        <w:rPr>
          <w:i/>
          <w:sz w:val="18"/>
        </w:rPr>
        <w:t>and</w:t>
      </w:r>
      <w:r>
        <w:rPr>
          <w:i/>
          <w:spacing w:val="-2"/>
          <w:sz w:val="18"/>
        </w:rPr>
        <w:t xml:space="preserve"> </w:t>
      </w:r>
      <w:r>
        <w:rPr>
          <w:i/>
          <w:sz w:val="18"/>
        </w:rPr>
        <w:t>Performance</w:t>
      </w:r>
      <w:r>
        <w:rPr>
          <w:i/>
          <w:spacing w:val="-2"/>
          <w:sz w:val="18"/>
        </w:rPr>
        <w:t xml:space="preserve"> </w:t>
      </w:r>
      <w:r>
        <w:rPr>
          <w:i/>
          <w:sz w:val="18"/>
        </w:rPr>
        <w:t xml:space="preserve">Management Standard 2019 </w:t>
      </w:r>
      <w:r>
        <w:rPr>
          <w:sz w:val="18"/>
        </w:rPr>
        <w:t>for</w:t>
      </w:r>
      <w:r>
        <w:rPr>
          <w:spacing w:val="-1"/>
          <w:sz w:val="18"/>
        </w:rPr>
        <w:t xml:space="preserve"> </w:t>
      </w:r>
      <w:r>
        <w:rPr>
          <w:sz w:val="18"/>
        </w:rPr>
        <w:t>the</w:t>
      </w:r>
      <w:r>
        <w:rPr>
          <w:spacing w:val="-3"/>
          <w:sz w:val="18"/>
        </w:rPr>
        <w:t xml:space="preserve"> </w:t>
      </w:r>
      <w:r>
        <w:rPr>
          <w:sz w:val="18"/>
        </w:rPr>
        <w:t>establishment</w:t>
      </w:r>
      <w:r>
        <w:rPr>
          <w:spacing w:val="-1"/>
          <w:sz w:val="18"/>
        </w:rPr>
        <w:t xml:space="preserve"> </w:t>
      </w:r>
      <w:r>
        <w:rPr>
          <w:sz w:val="18"/>
        </w:rPr>
        <w:t>and maintenance,</w:t>
      </w:r>
      <w:r>
        <w:rPr>
          <w:spacing w:val="-3"/>
          <w:sz w:val="18"/>
        </w:rPr>
        <w:t xml:space="preserve"> </w:t>
      </w:r>
      <w:r>
        <w:rPr>
          <w:sz w:val="18"/>
        </w:rPr>
        <w:t>in</w:t>
      </w:r>
      <w:r>
        <w:rPr>
          <w:spacing w:val="-3"/>
          <w:sz w:val="18"/>
        </w:rPr>
        <w:t xml:space="preserve"> </w:t>
      </w:r>
      <w:r>
        <w:rPr>
          <w:sz w:val="18"/>
        </w:rPr>
        <w:t>all</w:t>
      </w:r>
      <w:r>
        <w:rPr>
          <w:spacing w:val="-3"/>
          <w:sz w:val="18"/>
        </w:rPr>
        <w:t xml:space="preserve"> </w:t>
      </w:r>
      <w:r>
        <w:rPr>
          <w:sz w:val="18"/>
        </w:rPr>
        <w:t>material respects,</w:t>
      </w:r>
      <w:r>
        <w:rPr>
          <w:spacing w:val="-3"/>
          <w:sz w:val="18"/>
        </w:rPr>
        <w:t xml:space="preserve"> </w:t>
      </w:r>
      <w:r>
        <w:rPr>
          <w:sz w:val="18"/>
        </w:rPr>
        <w:t>of</w:t>
      </w:r>
      <w:r>
        <w:rPr>
          <w:spacing w:val="-1"/>
          <w:sz w:val="18"/>
        </w:rPr>
        <w:t xml:space="preserve"> </w:t>
      </w:r>
      <w:r>
        <w:rPr>
          <w:sz w:val="18"/>
        </w:rPr>
        <w:t>an</w:t>
      </w:r>
      <w:r>
        <w:rPr>
          <w:spacing w:val="-3"/>
          <w:sz w:val="18"/>
        </w:rPr>
        <w:t xml:space="preserve"> </w:t>
      </w:r>
      <w:r>
        <w:rPr>
          <w:sz w:val="18"/>
        </w:rPr>
        <w:t>appropriate</w:t>
      </w:r>
      <w:r>
        <w:rPr>
          <w:spacing w:val="-3"/>
          <w:sz w:val="18"/>
        </w:rPr>
        <w:t xml:space="preserve"> </w:t>
      </w:r>
      <w:r>
        <w:rPr>
          <w:sz w:val="18"/>
        </w:rPr>
        <w:t>and</w:t>
      </w:r>
      <w:r>
        <w:rPr>
          <w:spacing w:val="-3"/>
          <w:sz w:val="18"/>
        </w:rPr>
        <w:t xml:space="preserve"> </w:t>
      </w:r>
      <w:r>
        <w:rPr>
          <w:sz w:val="18"/>
        </w:rPr>
        <w:t>effective system of internal controls and risk management processes with respect to financial reporting throughout the reporting period.</w:t>
      </w:r>
    </w:p>
    <w:p w14:paraId="08D8C9CD" w14:textId="77777777" w:rsidR="00AC6F3C" w:rsidRDefault="00AC6F3C">
      <w:pPr>
        <w:pStyle w:val="BodyText"/>
      </w:pPr>
    </w:p>
    <w:p w14:paraId="7FC27B6F" w14:textId="77777777" w:rsidR="00AC6F3C" w:rsidRDefault="00AC6F3C">
      <w:pPr>
        <w:pStyle w:val="BodyText"/>
      </w:pPr>
    </w:p>
    <w:p w14:paraId="630659D7" w14:textId="77777777" w:rsidR="00AC6F3C" w:rsidRDefault="00AC6F3C">
      <w:pPr>
        <w:pStyle w:val="BodyText"/>
      </w:pPr>
    </w:p>
    <w:p w14:paraId="05B18B83" w14:textId="77777777" w:rsidR="00AC6F3C" w:rsidRDefault="00AC6F3C">
      <w:pPr>
        <w:pStyle w:val="BodyText"/>
      </w:pPr>
    </w:p>
    <w:p w14:paraId="0741E47B" w14:textId="77777777" w:rsidR="00AC6F3C" w:rsidRDefault="00AC6F3C">
      <w:pPr>
        <w:pStyle w:val="BodyText"/>
      </w:pPr>
    </w:p>
    <w:p w14:paraId="05E6E587" w14:textId="77777777" w:rsidR="00AC6F3C" w:rsidRDefault="00570E88">
      <w:pPr>
        <w:pStyle w:val="BodyText"/>
        <w:spacing w:before="8"/>
        <w:rPr>
          <w:sz w:val="26"/>
        </w:rPr>
      </w:pPr>
      <w:r>
        <w:rPr>
          <w:noProof/>
        </w:rPr>
        <mc:AlternateContent>
          <mc:Choice Requires="wps">
            <w:drawing>
              <wp:anchor distT="0" distB="0" distL="0" distR="0" simplePos="0" relativeHeight="487724032" behindDoc="1" locked="0" layoutInCell="1" allowOverlap="1" wp14:anchorId="5C95918B" wp14:editId="70FD5989">
                <wp:simplePos x="0" y="0"/>
                <wp:positionH relativeFrom="page">
                  <wp:posOffset>914331</wp:posOffset>
                </wp:positionH>
                <wp:positionV relativeFrom="paragraph">
                  <wp:posOffset>210289</wp:posOffset>
                </wp:positionV>
                <wp:extent cx="1970405" cy="635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6350"/>
                        </a:xfrm>
                        <a:custGeom>
                          <a:avLst/>
                          <a:gdLst/>
                          <a:ahLst/>
                          <a:cxnLst/>
                          <a:rect l="l" t="t" r="r" b="b"/>
                          <a:pathLst>
                            <a:path w="1970405" h="6350">
                              <a:moveTo>
                                <a:pt x="1970384" y="6120"/>
                              </a:moveTo>
                              <a:lnTo>
                                <a:pt x="0" y="6120"/>
                              </a:lnTo>
                              <a:lnTo>
                                <a:pt x="0" y="0"/>
                              </a:lnTo>
                              <a:lnTo>
                                <a:pt x="1970384" y="0"/>
                              </a:lnTo>
                              <a:lnTo>
                                <a:pt x="1970384" y="61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A93D0" id="Graphic 923" o:spid="_x0000_s1026" style="position:absolute;margin-left:1in;margin-top:16.55pt;width:155.15pt;height:.5pt;z-index:-15592448;visibility:visible;mso-wrap-style:square;mso-wrap-distance-left:0;mso-wrap-distance-top:0;mso-wrap-distance-right:0;mso-wrap-distance-bottom:0;mso-position-horizontal:absolute;mso-position-horizontal-relative:page;mso-position-vertical:absolute;mso-position-vertical-relative:text;v-text-anchor:top" coordsize="197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" path="m1970384,6120l,6120,,,1970384,r,6120xe" fillcolor="black" stroked="f">
                <v:path arrowok="t"/>
                <w10:wrap type="topAndBottom" anchorx="page"/>
              </v:shape>
            </w:pict>
          </mc:Fallback>
        </mc:AlternateContent>
      </w:r>
      <w:r>
        <w:rPr>
          <w:noProof/>
        </w:rPr>
        <mc:AlternateContent>
          <mc:Choice Requires="wps">
            <w:drawing>
              <wp:anchor distT="0" distB="0" distL="0" distR="0" simplePos="0" relativeHeight="487724544" behindDoc="1" locked="0" layoutInCell="1" allowOverlap="1" wp14:anchorId="4260C705" wp14:editId="15BFD42D">
                <wp:simplePos x="0" y="0"/>
                <wp:positionH relativeFrom="page">
                  <wp:posOffset>3952961</wp:posOffset>
                </wp:positionH>
                <wp:positionV relativeFrom="paragraph">
                  <wp:posOffset>210289</wp:posOffset>
                </wp:positionV>
                <wp:extent cx="1889760" cy="635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6350"/>
                        </a:xfrm>
                        <a:custGeom>
                          <a:avLst/>
                          <a:gdLst/>
                          <a:ahLst/>
                          <a:cxnLst/>
                          <a:rect l="l" t="t" r="r" b="b"/>
                          <a:pathLst>
                            <a:path w="1889760" h="6350">
                              <a:moveTo>
                                <a:pt x="1889618" y="6120"/>
                              </a:moveTo>
                              <a:lnTo>
                                <a:pt x="0" y="6120"/>
                              </a:lnTo>
                              <a:lnTo>
                                <a:pt x="0" y="0"/>
                              </a:lnTo>
                              <a:lnTo>
                                <a:pt x="1889618" y="0"/>
                              </a:lnTo>
                              <a:lnTo>
                                <a:pt x="1889618" y="61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B9C07" id="Graphic 924" o:spid="_x0000_s1026" style="position:absolute;margin-left:311.25pt;margin-top:16.55pt;width:148.8pt;height:.5pt;z-index:-15591936;visibility:visible;mso-wrap-style:square;mso-wrap-distance-left:0;mso-wrap-distance-top:0;mso-wrap-distance-right:0;mso-wrap-distance-bottom:0;mso-position-horizontal:absolute;mso-position-horizontal-relative:page;mso-position-vertical:absolute;mso-position-vertical-relative:text;v-text-anchor:top" coordsize="188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" path="m1889618,6120l,6120,,,1889618,r,6120xe" fillcolor="black" stroked="f">
                <v:path arrowok="t"/>
                <w10:wrap type="topAndBottom" anchorx="page"/>
              </v:shape>
            </w:pict>
          </mc:Fallback>
        </mc:AlternateContent>
      </w:r>
    </w:p>
    <w:p w14:paraId="06003148" w14:textId="77777777" w:rsidR="00AC6F3C" w:rsidRDefault="00570E88">
      <w:pPr>
        <w:pStyle w:val="BodyText"/>
        <w:ind w:left="1087"/>
      </w:pPr>
      <w:r>
        <w:rPr>
          <w:noProof/>
        </w:rPr>
        <mc:AlternateContent>
          <mc:Choice Requires="wpg">
            <w:drawing>
              <wp:inline distT="0" distB="0" distL="0" distR="0" wp14:anchorId="7B3B6F27" wp14:editId="32241CD6">
                <wp:extent cx="4317365" cy="653415"/>
                <wp:effectExtent l="0" t="0" r="0" b="3809"/>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653415"/>
                          <a:chOff x="0" y="0"/>
                          <a:chExt cx="4317365" cy="653415"/>
                        </a:xfrm>
                      </wpg:grpSpPr>
                      <wps:wsp>
                        <wps:cNvPr id="926" name="Textbox 926"/>
                        <wps:cNvSpPr txBox="1"/>
                        <wps:spPr>
                          <a:xfrm>
                            <a:off x="0" y="0"/>
                            <a:ext cx="1278890" cy="391795"/>
                          </a:xfrm>
                          <a:prstGeom prst="rect">
                            <a:avLst/>
                          </a:prstGeom>
                        </wps:spPr>
                        <wps:txbx>
                          <w:txbxContent>
                            <w:p w14:paraId="5057DDE2" w14:textId="77777777" w:rsidR="00AC6F3C" w:rsidRDefault="00570E88">
                              <w:pPr>
                                <w:spacing w:line="201" w:lineRule="exact"/>
                                <w:rPr>
                                  <w:sz w:val="18"/>
                                </w:rPr>
                              </w:pPr>
                              <w:r>
                                <w:rPr>
                                  <w:spacing w:val="-2"/>
                                  <w:sz w:val="18"/>
                                </w:rPr>
                                <w:t>President</w:t>
                              </w:r>
                            </w:p>
                            <w:p w14:paraId="55E7F8C6" w14:textId="77777777" w:rsidR="00AC6F3C" w:rsidRDefault="00570E88">
                              <w:pPr>
                                <w:spacing w:before="1" w:line="207" w:lineRule="exact"/>
                                <w:rPr>
                                  <w:sz w:val="18"/>
                                </w:rPr>
                              </w:pPr>
                              <w:r>
                                <w:rPr>
                                  <w:sz w:val="18"/>
                                </w:rPr>
                                <w:t>Queensland</w:t>
                              </w:r>
                              <w:r>
                                <w:rPr>
                                  <w:spacing w:val="-4"/>
                                  <w:sz w:val="18"/>
                                </w:rPr>
                                <w:t xml:space="preserve"> </w:t>
                              </w:r>
                              <w:r>
                                <w:rPr>
                                  <w:sz w:val="18"/>
                                </w:rPr>
                                <w:t>Law</w:t>
                              </w:r>
                              <w:r>
                                <w:rPr>
                                  <w:spacing w:val="-1"/>
                                  <w:sz w:val="18"/>
                                </w:rPr>
                                <w:t xml:space="preserve"> </w:t>
                              </w:r>
                              <w:r>
                                <w:rPr>
                                  <w:spacing w:val="-2"/>
                                  <w:sz w:val="18"/>
                                </w:rPr>
                                <w:t>Society</w:t>
                              </w:r>
                            </w:p>
                            <w:p w14:paraId="3F3F9D52" w14:textId="77777777" w:rsidR="00AC6F3C" w:rsidRDefault="00570E88">
                              <w:pPr>
                                <w:spacing w:line="207" w:lineRule="exact"/>
                                <w:rPr>
                                  <w:sz w:val="18"/>
                                </w:rPr>
                              </w:pPr>
                              <w:r>
                                <w:rPr>
                                  <w:sz w:val="18"/>
                                </w:rPr>
                                <w:t xml:space="preserve">Chloé </w:t>
                              </w:r>
                              <w:r>
                                <w:rPr>
                                  <w:spacing w:val="-2"/>
                                  <w:sz w:val="18"/>
                                </w:rPr>
                                <w:t>Kopilović</w:t>
                              </w:r>
                            </w:p>
                          </w:txbxContent>
                        </wps:txbx>
                        <wps:bodyPr wrap="square" lIns="0" tIns="0" rIns="0" bIns="0" rtlCol="0">
                          <a:noAutofit/>
                        </wps:bodyPr>
                      </wps:wsp>
                      <wps:wsp>
                        <wps:cNvPr id="927" name="Textbox 927"/>
                        <wps:cNvSpPr txBox="1"/>
                        <wps:spPr>
                          <a:xfrm>
                            <a:off x="3038630" y="0"/>
                            <a:ext cx="1278890" cy="391795"/>
                          </a:xfrm>
                          <a:prstGeom prst="rect">
                            <a:avLst/>
                          </a:prstGeom>
                        </wps:spPr>
                        <wps:txbx>
                          <w:txbxContent>
                            <w:p w14:paraId="6F96623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wps:txbx>
                        <wps:bodyPr wrap="square" lIns="0" tIns="0" rIns="0" bIns="0" rtlCol="0">
                          <a:noAutofit/>
                        </wps:bodyPr>
                      </wps:wsp>
                      <wps:wsp>
                        <wps:cNvPr id="928" name="Textbox 928"/>
                        <wps:cNvSpPr txBox="1"/>
                        <wps:spPr>
                          <a:xfrm>
                            <a:off x="0" y="525687"/>
                            <a:ext cx="814069" cy="128270"/>
                          </a:xfrm>
                          <a:prstGeom prst="rect">
                            <a:avLst/>
                          </a:prstGeom>
                        </wps:spPr>
                        <wps:txbx>
                          <w:txbxContent>
                            <w:p w14:paraId="47195377"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s:wsp>
                        <wps:cNvPr id="929" name="Textbox 929"/>
                        <wps:cNvSpPr txBox="1"/>
                        <wps:spPr>
                          <a:xfrm>
                            <a:off x="3038630" y="525687"/>
                            <a:ext cx="814069" cy="128270"/>
                          </a:xfrm>
                          <a:prstGeom prst="rect">
                            <a:avLst/>
                          </a:prstGeom>
                        </wps:spPr>
                        <wps:txbx>
                          <w:txbxContent>
                            <w:p w14:paraId="76A5B335"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wps:txbx>
                        <wps:bodyPr wrap="square" lIns="0" tIns="0" rIns="0" bIns="0" rtlCol="0">
                          <a:noAutofit/>
                        </wps:bodyPr>
                      </wps:wsp>
                    </wpg:wgp>
                  </a:graphicData>
                </a:graphic>
              </wp:inline>
            </w:drawing>
          </mc:Choice>
          <mc:Fallback>
            <w:pict>
              <v:group w14:anchorId="7B3B6F27" id="Group 925" o:spid="_x0000_s1040" style="width:339.95pt;height:51.45pt;mso-position-horizontal-relative:char;mso-position-vertical-relative:line" coordsize="43173,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">
                <v:shape id="Textbox 926" o:spid="_x0000_s1041" type="#_x0000_t202" style="position:absolute;width:1278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057DDE2" w14:textId="77777777" w:rsidR="00AC6F3C" w:rsidRDefault="00570E88">
                        <w:pPr>
                          <w:spacing w:line="201" w:lineRule="exact"/>
                          <w:rPr>
                            <w:sz w:val="18"/>
                          </w:rPr>
                        </w:pPr>
                        <w:r>
                          <w:rPr>
                            <w:spacing w:val="-2"/>
                            <w:sz w:val="18"/>
                          </w:rPr>
                          <w:t>President</w:t>
                        </w:r>
                      </w:p>
                      <w:p w14:paraId="55E7F8C6" w14:textId="77777777" w:rsidR="00AC6F3C" w:rsidRDefault="00570E88">
                        <w:pPr>
                          <w:spacing w:before="1" w:line="207" w:lineRule="exact"/>
                          <w:rPr>
                            <w:sz w:val="18"/>
                          </w:rPr>
                        </w:pPr>
                        <w:r>
                          <w:rPr>
                            <w:sz w:val="18"/>
                          </w:rPr>
                          <w:t>Queensland</w:t>
                        </w:r>
                        <w:r>
                          <w:rPr>
                            <w:spacing w:val="-4"/>
                            <w:sz w:val="18"/>
                          </w:rPr>
                          <w:t xml:space="preserve"> </w:t>
                        </w:r>
                        <w:r>
                          <w:rPr>
                            <w:sz w:val="18"/>
                          </w:rPr>
                          <w:t>Law</w:t>
                        </w:r>
                        <w:r>
                          <w:rPr>
                            <w:spacing w:val="-1"/>
                            <w:sz w:val="18"/>
                          </w:rPr>
                          <w:t xml:space="preserve"> </w:t>
                        </w:r>
                        <w:r>
                          <w:rPr>
                            <w:spacing w:val="-2"/>
                            <w:sz w:val="18"/>
                          </w:rPr>
                          <w:t>Society</w:t>
                        </w:r>
                      </w:p>
                      <w:p w14:paraId="3F3F9D52" w14:textId="77777777" w:rsidR="00AC6F3C" w:rsidRDefault="00570E88">
                        <w:pPr>
                          <w:spacing w:line="207" w:lineRule="exact"/>
                          <w:rPr>
                            <w:sz w:val="18"/>
                          </w:rPr>
                        </w:pPr>
                        <w:r>
                          <w:rPr>
                            <w:sz w:val="18"/>
                          </w:rPr>
                          <w:t xml:space="preserve">Chloé </w:t>
                        </w:r>
                        <w:r>
                          <w:rPr>
                            <w:spacing w:val="-2"/>
                            <w:sz w:val="18"/>
                          </w:rPr>
                          <w:t>Kopilović</w:t>
                        </w:r>
                      </w:p>
                    </w:txbxContent>
                  </v:textbox>
                </v:shape>
                <v:shape id="Textbox 927" o:spid="_x0000_s1042" type="#_x0000_t202" style="position:absolute;left:30386;width:1278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6F966234" w14:textId="77777777" w:rsidR="00AC6F3C" w:rsidRDefault="00570E88">
                        <w:pPr>
                          <w:rPr>
                            <w:sz w:val="18"/>
                          </w:rPr>
                        </w:pPr>
                        <w:r>
                          <w:rPr>
                            <w:sz w:val="18"/>
                          </w:rPr>
                          <w:t>Chief Executive Officer Queensland</w:t>
                        </w:r>
                        <w:r>
                          <w:rPr>
                            <w:spacing w:val="-15"/>
                            <w:sz w:val="18"/>
                          </w:rPr>
                          <w:t xml:space="preserve"> </w:t>
                        </w:r>
                        <w:r>
                          <w:rPr>
                            <w:sz w:val="18"/>
                          </w:rPr>
                          <w:t>Law</w:t>
                        </w:r>
                        <w:r>
                          <w:rPr>
                            <w:spacing w:val="-13"/>
                            <w:sz w:val="18"/>
                          </w:rPr>
                          <w:t xml:space="preserve"> </w:t>
                        </w:r>
                        <w:r>
                          <w:rPr>
                            <w:sz w:val="18"/>
                          </w:rPr>
                          <w:t>Society Rolf Moses</w:t>
                        </w:r>
                      </w:p>
                    </w:txbxContent>
                  </v:textbox>
                </v:shape>
                <v:shape id="Textbox 928" o:spid="_x0000_s1043" type="#_x0000_t202" style="position:absolute;top:5256;width:8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47195377"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v:textbox>
                </v:shape>
                <v:shape id="Textbox 929" o:spid="_x0000_s1044" type="#_x0000_t202" style="position:absolute;left:30386;top:5256;width:81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76A5B335" w14:textId="77777777" w:rsidR="00AC6F3C" w:rsidRDefault="00570E88">
                        <w:pPr>
                          <w:spacing w:line="201" w:lineRule="exact"/>
                          <w:rPr>
                            <w:sz w:val="18"/>
                          </w:rPr>
                        </w:pPr>
                        <w:r>
                          <w:rPr>
                            <w:sz w:val="18"/>
                          </w:rPr>
                          <w:t>30</w:t>
                        </w:r>
                        <w:r>
                          <w:rPr>
                            <w:spacing w:val="-3"/>
                            <w:sz w:val="18"/>
                          </w:rPr>
                          <w:t xml:space="preserve"> </w:t>
                        </w:r>
                        <w:r>
                          <w:rPr>
                            <w:sz w:val="18"/>
                          </w:rPr>
                          <w:t>August</w:t>
                        </w:r>
                        <w:r>
                          <w:rPr>
                            <w:spacing w:val="-2"/>
                            <w:sz w:val="18"/>
                          </w:rPr>
                          <w:t xml:space="preserve"> </w:t>
                        </w:r>
                        <w:r>
                          <w:rPr>
                            <w:spacing w:val="-4"/>
                            <w:sz w:val="18"/>
                          </w:rPr>
                          <w:t>2023</w:t>
                        </w:r>
                      </w:p>
                    </w:txbxContent>
                  </v:textbox>
                </v:shape>
                <w10:anchorlock/>
              </v:group>
            </w:pict>
          </mc:Fallback>
        </mc:AlternateContent>
      </w:r>
    </w:p>
    <w:p w14:paraId="506F4456" w14:textId="77777777" w:rsidR="00AC6F3C" w:rsidRDefault="00AC6F3C">
      <w:pPr>
        <w:sectPr w:rsidR="00AC6F3C">
          <w:pgSz w:w="11910" w:h="16840"/>
          <w:pgMar w:top="1760" w:right="1160" w:bottom="520" w:left="460" w:header="1228" w:footer="336" w:gutter="0"/>
          <w:cols w:space="720"/>
        </w:sectPr>
      </w:pPr>
    </w:p>
    <w:p w14:paraId="579D8563" w14:textId="77777777" w:rsidR="00AC6F3C" w:rsidRDefault="00AC6F3C">
      <w:pPr>
        <w:pStyle w:val="BodyText"/>
      </w:pPr>
    </w:p>
    <w:p w14:paraId="51130141" w14:textId="77777777" w:rsidR="00AC6F3C" w:rsidRDefault="00AC6F3C">
      <w:pPr>
        <w:pStyle w:val="BodyText"/>
        <w:spacing w:before="7"/>
        <w:rPr>
          <w:sz w:val="26"/>
        </w:rPr>
      </w:pPr>
    </w:p>
    <w:p w14:paraId="6123EFBB" w14:textId="77777777" w:rsidR="00AC6F3C" w:rsidRDefault="00570E88">
      <w:pPr>
        <w:spacing w:before="90"/>
        <w:ind w:left="815"/>
        <w:rPr>
          <w:b/>
          <w:sz w:val="32"/>
        </w:rPr>
      </w:pPr>
      <w:r>
        <w:rPr>
          <w:b/>
          <w:sz w:val="32"/>
        </w:rPr>
        <w:t>INDEPENDENT</w:t>
      </w:r>
      <w:r>
        <w:rPr>
          <w:b/>
          <w:spacing w:val="-17"/>
          <w:sz w:val="32"/>
        </w:rPr>
        <w:t xml:space="preserve"> </w:t>
      </w:r>
      <w:r>
        <w:rPr>
          <w:b/>
          <w:sz w:val="32"/>
        </w:rPr>
        <w:t>AUDITOR’S</w:t>
      </w:r>
      <w:r>
        <w:rPr>
          <w:b/>
          <w:spacing w:val="-4"/>
          <w:sz w:val="32"/>
        </w:rPr>
        <w:t xml:space="preserve"> </w:t>
      </w:r>
      <w:r>
        <w:rPr>
          <w:b/>
          <w:spacing w:val="-2"/>
          <w:sz w:val="32"/>
        </w:rPr>
        <w:t>REPORT</w:t>
      </w:r>
    </w:p>
    <w:p w14:paraId="3AB0BFF6" w14:textId="77777777" w:rsidR="00AC6F3C" w:rsidRDefault="00570E88">
      <w:pPr>
        <w:pStyle w:val="BodyText"/>
        <w:spacing w:before="155"/>
        <w:ind w:left="815"/>
      </w:pPr>
      <w:r>
        <w:t>To</w:t>
      </w:r>
      <w:r>
        <w:rPr>
          <w:spacing w:val="-10"/>
        </w:rPr>
        <w:t xml:space="preserve"> </w:t>
      </w:r>
      <w:r>
        <w:t>the</w:t>
      </w:r>
      <w:r>
        <w:rPr>
          <w:spacing w:val="-7"/>
        </w:rPr>
        <w:t xml:space="preserve"> </w:t>
      </w:r>
      <w:r>
        <w:t>Council</w:t>
      </w:r>
      <w:r>
        <w:rPr>
          <w:spacing w:val="-7"/>
        </w:rPr>
        <w:t xml:space="preserve"> </w:t>
      </w:r>
      <w:r>
        <w:t>of</w:t>
      </w:r>
      <w:r>
        <w:rPr>
          <w:spacing w:val="-7"/>
        </w:rPr>
        <w:t xml:space="preserve"> </w:t>
      </w:r>
      <w:r>
        <w:t>Legal</w:t>
      </w:r>
      <w:r>
        <w:rPr>
          <w:spacing w:val="-7"/>
        </w:rPr>
        <w:t xml:space="preserve"> </w:t>
      </w:r>
      <w:r>
        <w:t>Practitioners’</w:t>
      </w:r>
      <w:r>
        <w:rPr>
          <w:spacing w:val="-14"/>
        </w:rPr>
        <w:t xml:space="preserve"> </w:t>
      </w:r>
      <w:r>
        <w:t>Fidelity</w:t>
      </w:r>
      <w:r>
        <w:rPr>
          <w:spacing w:val="-7"/>
        </w:rPr>
        <w:t xml:space="preserve"> </w:t>
      </w:r>
      <w:r>
        <w:t>Guarantee</w:t>
      </w:r>
      <w:r>
        <w:rPr>
          <w:spacing w:val="-7"/>
        </w:rPr>
        <w:t xml:space="preserve"> </w:t>
      </w:r>
      <w:r>
        <w:rPr>
          <w:spacing w:val="-4"/>
        </w:rPr>
        <w:t>Fund</w:t>
      </w:r>
    </w:p>
    <w:p w14:paraId="29C110D8" w14:textId="77777777" w:rsidR="00AC6F3C" w:rsidRDefault="00AC6F3C">
      <w:pPr>
        <w:pStyle w:val="BodyText"/>
        <w:spacing w:before="9"/>
        <w:rPr>
          <w:sz w:val="31"/>
        </w:rPr>
      </w:pPr>
    </w:p>
    <w:p w14:paraId="6EAFE517" w14:textId="77777777" w:rsidR="00AC6F3C" w:rsidRDefault="00570E88">
      <w:pPr>
        <w:ind w:left="815"/>
        <w:rPr>
          <w:b/>
          <w:sz w:val="26"/>
        </w:rPr>
      </w:pPr>
      <w:r>
        <w:rPr>
          <w:b/>
          <w:sz w:val="26"/>
        </w:rPr>
        <w:t>Report</w:t>
      </w:r>
      <w:r>
        <w:rPr>
          <w:b/>
          <w:spacing w:val="-1"/>
          <w:sz w:val="26"/>
        </w:rPr>
        <w:t xml:space="preserve"> </w:t>
      </w:r>
      <w:r>
        <w:rPr>
          <w:b/>
          <w:sz w:val="26"/>
        </w:rPr>
        <w:t>on</w:t>
      </w:r>
      <w:r>
        <w:rPr>
          <w:b/>
          <w:spacing w:val="-1"/>
          <w:sz w:val="26"/>
        </w:rPr>
        <w:t xml:space="preserve"> </w:t>
      </w:r>
      <w:r>
        <w:rPr>
          <w:b/>
          <w:sz w:val="26"/>
        </w:rPr>
        <w:t>the audit</w:t>
      </w:r>
      <w:r>
        <w:rPr>
          <w:b/>
          <w:spacing w:val="-1"/>
          <w:sz w:val="26"/>
        </w:rPr>
        <w:t xml:space="preserve"> </w:t>
      </w:r>
      <w:r>
        <w:rPr>
          <w:b/>
          <w:sz w:val="26"/>
        </w:rPr>
        <w:t>of the</w:t>
      </w:r>
      <w:r>
        <w:rPr>
          <w:b/>
          <w:spacing w:val="-1"/>
          <w:sz w:val="26"/>
        </w:rPr>
        <w:t xml:space="preserve"> </w:t>
      </w:r>
      <w:r>
        <w:rPr>
          <w:b/>
          <w:sz w:val="26"/>
        </w:rPr>
        <w:t xml:space="preserve">financial </w:t>
      </w:r>
      <w:r>
        <w:rPr>
          <w:b/>
          <w:spacing w:val="-2"/>
          <w:sz w:val="26"/>
        </w:rPr>
        <w:t>report</w:t>
      </w:r>
    </w:p>
    <w:p w14:paraId="6CF48D27" w14:textId="77777777" w:rsidR="00AC6F3C" w:rsidRDefault="00AC6F3C">
      <w:pPr>
        <w:pStyle w:val="BodyText"/>
        <w:spacing w:before="5"/>
        <w:rPr>
          <w:b/>
          <w:sz w:val="22"/>
        </w:rPr>
      </w:pPr>
    </w:p>
    <w:p w14:paraId="7CD7FD49" w14:textId="77777777" w:rsidR="00AC6F3C" w:rsidRDefault="00570E88">
      <w:pPr>
        <w:pStyle w:val="Heading9"/>
      </w:pPr>
      <w:r>
        <w:rPr>
          <w:spacing w:val="-2"/>
        </w:rPr>
        <w:t>Opinion</w:t>
      </w:r>
    </w:p>
    <w:p w14:paraId="051CDDEC" w14:textId="77777777" w:rsidR="00AC6F3C" w:rsidRDefault="00570E88">
      <w:pPr>
        <w:pStyle w:val="BodyText"/>
        <w:spacing w:before="176" w:line="249" w:lineRule="auto"/>
        <w:ind w:left="815" w:right="1424"/>
      </w:pPr>
      <w:r>
        <w:t>I</w:t>
      </w:r>
      <w:r>
        <w:rPr>
          <w:spacing w:val="-4"/>
        </w:rPr>
        <w:t xml:space="preserve"> </w:t>
      </w:r>
      <w:r>
        <w:t>have</w:t>
      </w:r>
      <w:r>
        <w:rPr>
          <w:spacing w:val="-4"/>
        </w:rPr>
        <w:t xml:space="preserve"> </w:t>
      </w:r>
      <w:r>
        <w:t>audited</w:t>
      </w:r>
      <w:r>
        <w:rPr>
          <w:spacing w:val="-4"/>
        </w:rPr>
        <w:t xml:space="preserve"> </w:t>
      </w:r>
      <w:r>
        <w:t>the</w:t>
      </w:r>
      <w:r>
        <w:rPr>
          <w:spacing w:val="-4"/>
        </w:rPr>
        <w:t xml:space="preserve"> </w:t>
      </w:r>
      <w:r>
        <w:t>accompanying</w:t>
      </w:r>
      <w:r>
        <w:rPr>
          <w:spacing w:val="-4"/>
        </w:rPr>
        <w:t xml:space="preserve"> </w:t>
      </w:r>
      <w:r>
        <w:t>financial</w:t>
      </w:r>
      <w:r>
        <w:rPr>
          <w:spacing w:val="-4"/>
        </w:rPr>
        <w:t xml:space="preserve"> </w:t>
      </w:r>
      <w:r>
        <w:t>report</w:t>
      </w:r>
      <w:r>
        <w:rPr>
          <w:spacing w:val="-4"/>
        </w:rPr>
        <w:t xml:space="preserve"> </w:t>
      </w:r>
      <w:r>
        <w:t>of</w:t>
      </w:r>
      <w:r>
        <w:rPr>
          <w:spacing w:val="-4"/>
        </w:rPr>
        <w:t xml:space="preserve"> </w:t>
      </w:r>
      <w:r>
        <w:t>Legal</w:t>
      </w:r>
      <w:r>
        <w:rPr>
          <w:spacing w:val="-4"/>
        </w:rPr>
        <w:t xml:space="preserve"> </w:t>
      </w:r>
      <w:r>
        <w:t>Practitioners’</w:t>
      </w:r>
      <w:r>
        <w:rPr>
          <w:spacing w:val="-10"/>
        </w:rPr>
        <w:t xml:space="preserve"> </w:t>
      </w:r>
      <w:r>
        <w:t>Fidelity</w:t>
      </w:r>
      <w:r>
        <w:rPr>
          <w:spacing w:val="-4"/>
        </w:rPr>
        <w:t xml:space="preserve"> </w:t>
      </w:r>
      <w:r>
        <w:t xml:space="preserve">Guarantee </w:t>
      </w:r>
      <w:r>
        <w:rPr>
          <w:spacing w:val="-2"/>
        </w:rPr>
        <w:t>Fund.</w:t>
      </w:r>
    </w:p>
    <w:p w14:paraId="3F7A58B6" w14:textId="77777777" w:rsidR="00AC6F3C" w:rsidRDefault="00570E88">
      <w:pPr>
        <w:pStyle w:val="BodyText"/>
        <w:spacing w:before="171"/>
        <w:ind w:left="815"/>
      </w:pPr>
      <w:r>
        <w:t>In</w:t>
      </w:r>
      <w:r>
        <w:rPr>
          <w:spacing w:val="-3"/>
        </w:rPr>
        <w:t xml:space="preserve"> </w:t>
      </w:r>
      <w:r>
        <w:t>my</w:t>
      </w:r>
      <w:r>
        <w:rPr>
          <w:spacing w:val="-2"/>
        </w:rPr>
        <w:t xml:space="preserve"> </w:t>
      </w:r>
      <w:r>
        <w:t>opinion,</w:t>
      </w:r>
      <w:r>
        <w:rPr>
          <w:spacing w:val="-2"/>
        </w:rPr>
        <w:t xml:space="preserve"> </w:t>
      </w:r>
      <w:r>
        <w:t>the</w:t>
      </w:r>
      <w:r>
        <w:rPr>
          <w:spacing w:val="-2"/>
        </w:rPr>
        <w:t xml:space="preserve"> </w:t>
      </w:r>
      <w:r>
        <w:t>financial</w:t>
      </w:r>
      <w:r>
        <w:rPr>
          <w:spacing w:val="-2"/>
        </w:rPr>
        <w:t xml:space="preserve"> report:</w:t>
      </w:r>
    </w:p>
    <w:p w14:paraId="53AA1DE0" w14:textId="77777777" w:rsidR="00AC6F3C" w:rsidRDefault="00570E88">
      <w:pPr>
        <w:pStyle w:val="ListParagraph"/>
        <w:numPr>
          <w:ilvl w:val="0"/>
          <w:numId w:val="3"/>
        </w:numPr>
        <w:tabs>
          <w:tab w:val="left" w:pos="1269"/>
        </w:tabs>
        <w:spacing w:line="249" w:lineRule="auto"/>
        <w:ind w:right="1580"/>
        <w:rPr>
          <w:sz w:val="20"/>
        </w:rPr>
      </w:pPr>
      <w:r>
        <w:rPr>
          <w:sz w:val="20"/>
        </w:rPr>
        <w:t>gives</w:t>
      </w:r>
      <w:r>
        <w:rPr>
          <w:spacing w:val="-3"/>
          <w:sz w:val="20"/>
        </w:rPr>
        <w:t xml:space="preserve"> </w:t>
      </w:r>
      <w:r>
        <w:rPr>
          <w:sz w:val="20"/>
        </w:rPr>
        <w:t>a</w:t>
      </w:r>
      <w:r>
        <w:rPr>
          <w:spacing w:val="-3"/>
          <w:sz w:val="20"/>
        </w:rPr>
        <w:t xml:space="preserve"> </w:t>
      </w:r>
      <w:r>
        <w:rPr>
          <w:sz w:val="20"/>
        </w:rPr>
        <w:t>true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view</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entity’s</w:t>
      </w:r>
      <w:r>
        <w:rPr>
          <w:spacing w:val="-3"/>
          <w:sz w:val="20"/>
        </w:rPr>
        <w:t xml:space="preserve"> </w:t>
      </w:r>
      <w:r>
        <w:rPr>
          <w:sz w:val="20"/>
        </w:rPr>
        <w:t>financial</w:t>
      </w:r>
      <w:r>
        <w:rPr>
          <w:spacing w:val="-3"/>
          <w:sz w:val="20"/>
        </w:rPr>
        <w:t xml:space="preserve"> </w:t>
      </w:r>
      <w:r>
        <w:rPr>
          <w:sz w:val="20"/>
        </w:rPr>
        <w:t>position</w:t>
      </w:r>
      <w:r>
        <w:rPr>
          <w:spacing w:val="-3"/>
          <w:sz w:val="20"/>
        </w:rPr>
        <w:t xml:space="preserve"> </w:t>
      </w:r>
      <w:r>
        <w:rPr>
          <w:sz w:val="20"/>
        </w:rPr>
        <w:t>as</w:t>
      </w:r>
      <w:r>
        <w:rPr>
          <w:spacing w:val="-3"/>
          <w:sz w:val="20"/>
        </w:rPr>
        <w:t xml:space="preserve"> </w:t>
      </w:r>
      <w:r>
        <w:rPr>
          <w:sz w:val="20"/>
        </w:rPr>
        <w:t>at</w:t>
      </w:r>
      <w:r>
        <w:rPr>
          <w:spacing w:val="-3"/>
          <w:sz w:val="20"/>
        </w:rPr>
        <w:t xml:space="preserve"> </w:t>
      </w:r>
      <w:r>
        <w:rPr>
          <w:sz w:val="20"/>
        </w:rPr>
        <w:t>30</w:t>
      </w:r>
      <w:r>
        <w:rPr>
          <w:spacing w:val="-3"/>
          <w:sz w:val="20"/>
        </w:rPr>
        <w:t xml:space="preserve"> </w:t>
      </w:r>
      <w:r>
        <w:rPr>
          <w:sz w:val="20"/>
        </w:rPr>
        <w:t>June</w:t>
      </w:r>
      <w:r>
        <w:rPr>
          <w:spacing w:val="-3"/>
          <w:sz w:val="20"/>
        </w:rPr>
        <w:t xml:space="preserve"> </w:t>
      </w:r>
      <w:r>
        <w:rPr>
          <w:sz w:val="20"/>
        </w:rPr>
        <w:t>2023,</w:t>
      </w:r>
      <w:r>
        <w:rPr>
          <w:spacing w:val="-3"/>
          <w:sz w:val="20"/>
        </w:rPr>
        <w:t xml:space="preserve"> </w:t>
      </w:r>
      <w:r>
        <w:rPr>
          <w:sz w:val="20"/>
        </w:rPr>
        <w:t>and</w:t>
      </w:r>
      <w:r>
        <w:rPr>
          <w:spacing w:val="-3"/>
          <w:sz w:val="20"/>
        </w:rPr>
        <w:t xml:space="preserve"> </w:t>
      </w:r>
      <w:r>
        <w:rPr>
          <w:sz w:val="20"/>
        </w:rPr>
        <w:t>its financial performance and cash flows for the year then ended</w:t>
      </w:r>
    </w:p>
    <w:p w14:paraId="4048F976" w14:textId="77777777" w:rsidR="00AC6F3C" w:rsidRDefault="00570E88">
      <w:pPr>
        <w:pStyle w:val="ListParagraph"/>
        <w:numPr>
          <w:ilvl w:val="0"/>
          <w:numId w:val="3"/>
        </w:numPr>
        <w:tabs>
          <w:tab w:val="left" w:pos="1269"/>
        </w:tabs>
        <w:spacing w:before="172" w:line="249" w:lineRule="auto"/>
        <w:ind w:right="1670"/>
        <w:rPr>
          <w:sz w:val="20"/>
        </w:rPr>
      </w:pPr>
      <w:r>
        <w:rPr>
          <w:sz w:val="20"/>
        </w:rPr>
        <w:t>complies</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i/>
          <w:sz w:val="20"/>
        </w:rPr>
        <w:t>Financial</w:t>
      </w:r>
      <w:r>
        <w:rPr>
          <w:i/>
          <w:spacing w:val="-11"/>
          <w:sz w:val="20"/>
        </w:rPr>
        <w:t xml:space="preserve"> </w:t>
      </w:r>
      <w:r>
        <w:rPr>
          <w:i/>
          <w:sz w:val="20"/>
        </w:rPr>
        <w:t>Accountability</w:t>
      </w:r>
      <w:r>
        <w:rPr>
          <w:i/>
          <w:spacing w:val="-11"/>
          <w:sz w:val="20"/>
        </w:rPr>
        <w:t xml:space="preserve"> </w:t>
      </w:r>
      <w:r>
        <w:rPr>
          <w:i/>
          <w:sz w:val="20"/>
        </w:rPr>
        <w:t>Act</w:t>
      </w:r>
      <w:r>
        <w:rPr>
          <w:i/>
          <w:spacing w:val="-5"/>
          <w:sz w:val="20"/>
        </w:rPr>
        <w:t xml:space="preserve"> </w:t>
      </w:r>
      <w:r>
        <w:rPr>
          <w:i/>
          <w:sz w:val="20"/>
        </w:rPr>
        <w:t>2009</w:t>
      </w:r>
      <w:r>
        <w:rPr>
          <w:sz w:val="20"/>
        </w:rPr>
        <w:t>,</w:t>
      </w:r>
      <w:r>
        <w:rPr>
          <w:spacing w:val="-4"/>
          <w:sz w:val="20"/>
        </w:rPr>
        <w:t xml:space="preserve"> </w:t>
      </w:r>
      <w:r>
        <w:rPr>
          <w:sz w:val="20"/>
        </w:rPr>
        <w:t>the</w:t>
      </w:r>
      <w:r>
        <w:rPr>
          <w:spacing w:val="-4"/>
          <w:sz w:val="20"/>
        </w:rPr>
        <w:t xml:space="preserve"> </w:t>
      </w:r>
      <w:r>
        <w:rPr>
          <w:sz w:val="20"/>
        </w:rPr>
        <w:t>Financial</w:t>
      </w:r>
      <w:r>
        <w:rPr>
          <w:spacing w:val="-4"/>
          <w:sz w:val="20"/>
        </w:rPr>
        <w:t xml:space="preserve"> </w:t>
      </w:r>
      <w:r>
        <w:rPr>
          <w:sz w:val="20"/>
        </w:rPr>
        <w:t>and</w:t>
      </w:r>
      <w:r>
        <w:rPr>
          <w:spacing w:val="-4"/>
          <w:sz w:val="20"/>
        </w:rPr>
        <w:t xml:space="preserve"> </w:t>
      </w:r>
      <w:r>
        <w:rPr>
          <w:sz w:val="20"/>
        </w:rPr>
        <w:t>Performance Management Standard 2019 and Australian Accounting Standards.</w:t>
      </w:r>
    </w:p>
    <w:p w14:paraId="4A96EA99" w14:textId="77777777" w:rsidR="00AC6F3C" w:rsidRDefault="00570E88">
      <w:pPr>
        <w:pStyle w:val="BodyText"/>
        <w:spacing w:before="172" w:line="249" w:lineRule="auto"/>
        <w:ind w:left="815" w:right="990"/>
      </w:pPr>
      <w:r>
        <w:t>The financial report comprises the statement of financial position as at 30 June 2023, the statement of comprehensive income, statement of changes in equity and statement of cash flows</w:t>
      </w:r>
      <w:r>
        <w:rPr>
          <w:spacing w:val="-3"/>
        </w:rPr>
        <w:t xml:space="preserve"> </w:t>
      </w:r>
      <w:r>
        <w:t>for</w:t>
      </w:r>
      <w:r>
        <w:rPr>
          <w:spacing w:val="-3"/>
        </w:rPr>
        <w:t xml:space="preserve"> </w:t>
      </w:r>
      <w:r>
        <w:t>the</w:t>
      </w:r>
      <w:r>
        <w:rPr>
          <w:spacing w:val="-3"/>
        </w:rPr>
        <w:t xml:space="preserve"> </w:t>
      </w:r>
      <w:r>
        <w:t>year</w:t>
      </w:r>
      <w:r>
        <w:rPr>
          <w:spacing w:val="-3"/>
        </w:rPr>
        <w:t xml:space="preserve"> </w:t>
      </w:r>
      <w:r>
        <w:t>then</w:t>
      </w:r>
      <w:r>
        <w:rPr>
          <w:spacing w:val="-3"/>
        </w:rPr>
        <w:t xml:space="preserve"> </w:t>
      </w:r>
      <w:r>
        <w:t>ended,</w:t>
      </w:r>
      <w:r>
        <w:rPr>
          <w:spacing w:val="-3"/>
        </w:rPr>
        <w:t xml:space="preserve"> </w:t>
      </w:r>
      <w:r>
        <w:t>notes</w:t>
      </w:r>
      <w:r>
        <w:rPr>
          <w:spacing w:val="-3"/>
        </w:rPr>
        <w:t xml:space="preserve"> </w:t>
      </w:r>
      <w:r>
        <w:t>to</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including</w:t>
      </w:r>
      <w:r>
        <w:rPr>
          <w:spacing w:val="-3"/>
        </w:rPr>
        <w:t xml:space="preserve"> </w:t>
      </w:r>
      <w:r>
        <w:t>material</w:t>
      </w:r>
      <w:r>
        <w:rPr>
          <w:spacing w:val="-3"/>
        </w:rPr>
        <w:t xml:space="preserve"> </w:t>
      </w:r>
      <w:r>
        <w:t>accounting policy information, and the management certificate.</w:t>
      </w:r>
    </w:p>
    <w:p w14:paraId="1AB2DB68" w14:textId="77777777" w:rsidR="00AC6F3C" w:rsidRDefault="00AC6F3C">
      <w:pPr>
        <w:pStyle w:val="BodyText"/>
        <w:spacing w:before="10"/>
        <w:rPr>
          <w:sz w:val="22"/>
        </w:rPr>
      </w:pPr>
    </w:p>
    <w:p w14:paraId="5A97E6DE" w14:textId="77777777" w:rsidR="00AC6F3C" w:rsidRDefault="00570E88">
      <w:pPr>
        <w:pStyle w:val="Heading9"/>
        <w:spacing w:before="1"/>
      </w:pPr>
      <w:r>
        <w:t>Basis</w:t>
      </w:r>
      <w:r>
        <w:rPr>
          <w:spacing w:val="-3"/>
        </w:rPr>
        <w:t xml:space="preserve"> </w:t>
      </w:r>
      <w:r>
        <w:t>for</w:t>
      </w:r>
      <w:r>
        <w:rPr>
          <w:spacing w:val="-3"/>
        </w:rPr>
        <w:t xml:space="preserve"> </w:t>
      </w:r>
      <w:r>
        <w:rPr>
          <w:spacing w:val="-2"/>
        </w:rPr>
        <w:t>opinion</w:t>
      </w:r>
    </w:p>
    <w:p w14:paraId="1080B46F" w14:textId="77777777" w:rsidR="00AC6F3C" w:rsidRDefault="00570E88">
      <w:pPr>
        <w:spacing w:before="175" w:line="249" w:lineRule="auto"/>
        <w:ind w:left="815" w:right="1183"/>
        <w:rPr>
          <w:sz w:val="20"/>
        </w:rPr>
      </w:pPr>
      <w:r>
        <w:rPr>
          <w:sz w:val="20"/>
        </w:rPr>
        <w:t xml:space="preserve">I conducted my audit in accordance with the </w:t>
      </w:r>
      <w:r>
        <w:rPr>
          <w:i/>
          <w:sz w:val="20"/>
        </w:rPr>
        <w:t>Auditor-General Auditing Standards</w:t>
      </w:r>
      <w:r>
        <w:rPr>
          <w:sz w:val="20"/>
        </w:rPr>
        <w:t>, which incorporate the</w:t>
      </w:r>
      <w:r>
        <w:rPr>
          <w:spacing w:val="-8"/>
          <w:sz w:val="20"/>
        </w:rPr>
        <w:t xml:space="preserve"> </w:t>
      </w:r>
      <w:r>
        <w:rPr>
          <w:sz w:val="20"/>
        </w:rPr>
        <w:t>Australian</w:t>
      </w:r>
      <w:r>
        <w:rPr>
          <w:spacing w:val="-8"/>
          <w:sz w:val="20"/>
        </w:rPr>
        <w:t xml:space="preserve"> </w:t>
      </w:r>
      <w:r>
        <w:rPr>
          <w:sz w:val="20"/>
        </w:rPr>
        <w:t>Auditing Standards. My responsibilities under those standards are further</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i/>
          <w:sz w:val="20"/>
        </w:rPr>
        <w:t>Auditor’s</w:t>
      </w:r>
      <w:r>
        <w:rPr>
          <w:i/>
          <w:spacing w:val="-3"/>
          <w:sz w:val="20"/>
        </w:rPr>
        <w:t xml:space="preserve"> </w:t>
      </w:r>
      <w:r>
        <w:rPr>
          <w:i/>
          <w:sz w:val="20"/>
        </w:rPr>
        <w:t>Responsibilities</w:t>
      </w:r>
      <w:r>
        <w:rPr>
          <w:i/>
          <w:spacing w:val="-3"/>
          <w:sz w:val="20"/>
        </w:rPr>
        <w:t xml:space="preserve"> </w:t>
      </w:r>
      <w:r>
        <w:rPr>
          <w:i/>
          <w:sz w:val="20"/>
        </w:rPr>
        <w:t>for</w:t>
      </w:r>
      <w:r>
        <w:rPr>
          <w:i/>
          <w:spacing w:val="-3"/>
          <w:sz w:val="20"/>
        </w:rPr>
        <w:t xml:space="preserve"> </w:t>
      </w:r>
      <w:r>
        <w:rPr>
          <w:i/>
          <w:sz w:val="20"/>
        </w:rPr>
        <w:t>the</w:t>
      </w:r>
      <w:r>
        <w:rPr>
          <w:i/>
          <w:spacing w:val="-10"/>
          <w:sz w:val="20"/>
        </w:rPr>
        <w:t xml:space="preserve"> </w:t>
      </w:r>
      <w:r>
        <w:rPr>
          <w:i/>
          <w:sz w:val="20"/>
        </w:rPr>
        <w:t>Audit</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Financial</w:t>
      </w:r>
      <w:r>
        <w:rPr>
          <w:i/>
          <w:spacing w:val="-3"/>
          <w:sz w:val="20"/>
        </w:rPr>
        <w:t xml:space="preserve"> </w:t>
      </w:r>
      <w:r>
        <w:rPr>
          <w:i/>
          <w:sz w:val="20"/>
        </w:rPr>
        <w:t>Report</w:t>
      </w:r>
      <w:r>
        <w:rPr>
          <w:i/>
          <w:spacing w:val="-4"/>
          <w:sz w:val="20"/>
        </w:rPr>
        <w:t xml:space="preserve"> </w:t>
      </w:r>
      <w:r>
        <w:rPr>
          <w:sz w:val="20"/>
        </w:rPr>
        <w:t>section of my report.</w:t>
      </w:r>
    </w:p>
    <w:p w14:paraId="3496BB60" w14:textId="77777777" w:rsidR="00AC6F3C" w:rsidRDefault="00570E88">
      <w:pPr>
        <w:pStyle w:val="BodyText"/>
        <w:spacing w:before="174" w:line="249" w:lineRule="auto"/>
        <w:ind w:left="815" w:right="1341"/>
      </w:pPr>
      <w:r>
        <w:t>I</w:t>
      </w:r>
      <w:r>
        <w:rPr>
          <w:spacing w:val="-3"/>
        </w:rPr>
        <w:t xml:space="preserve"> </w:t>
      </w:r>
      <w:r>
        <w:t>am</w:t>
      </w:r>
      <w:r>
        <w:rPr>
          <w:spacing w:val="-3"/>
        </w:rPr>
        <w:t xml:space="preserve"> </w:t>
      </w:r>
      <w:r>
        <w:t>independent</w:t>
      </w:r>
      <w:r>
        <w:rPr>
          <w:spacing w:val="-3"/>
        </w:rPr>
        <w:t xml:space="preserve"> </w:t>
      </w:r>
      <w:r>
        <w:t>of</w:t>
      </w:r>
      <w:r>
        <w:rPr>
          <w:spacing w:val="-3"/>
        </w:rPr>
        <w:t xml:space="preserve"> </w:t>
      </w:r>
      <w:r>
        <w:t>the</w:t>
      </w:r>
      <w:r>
        <w:rPr>
          <w:spacing w:val="-3"/>
        </w:rPr>
        <w:t xml:space="preserve"> </w:t>
      </w:r>
      <w:r>
        <w:t>entity</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ethical</w:t>
      </w:r>
      <w:r>
        <w:rPr>
          <w:spacing w:val="-3"/>
        </w:rPr>
        <w:t xml:space="preserve"> </w:t>
      </w:r>
      <w:r>
        <w:t>requirements</w:t>
      </w:r>
      <w:r>
        <w:rPr>
          <w:spacing w:val="-3"/>
        </w:rPr>
        <w:t xml:space="preserve"> </w:t>
      </w:r>
      <w:r>
        <w:t>of</w:t>
      </w:r>
      <w:r>
        <w:rPr>
          <w:spacing w:val="-3"/>
        </w:rPr>
        <w:t xml:space="preserve"> </w:t>
      </w:r>
      <w:r>
        <w:t>the</w:t>
      </w:r>
      <w:r>
        <w:rPr>
          <w:spacing w:val="-14"/>
        </w:rPr>
        <w:t xml:space="preserve"> </w:t>
      </w:r>
      <w:r>
        <w:t>Accounting Professional and Ethical Standards Board’s</w:t>
      </w:r>
      <w:r>
        <w:rPr>
          <w:spacing w:val="-5"/>
        </w:rPr>
        <w:t xml:space="preserve"> </w:t>
      </w:r>
      <w:r>
        <w:t xml:space="preserve">APES 110 </w:t>
      </w:r>
      <w:r>
        <w:rPr>
          <w:i/>
        </w:rPr>
        <w:t xml:space="preserve">Code of Ethics for Professional Accountants </w:t>
      </w:r>
      <w:r>
        <w:t>(the Code) that are relevant to my audit of the financial report in</w:t>
      </w:r>
      <w:r>
        <w:rPr>
          <w:spacing w:val="-5"/>
        </w:rPr>
        <w:t xml:space="preserve"> </w:t>
      </w:r>
      <w:r>
        <w:t xml:space="preserve">Australia. I have also fulfilled my other ethical responsibilities in accordance with the Code and the </w:t>
      </w:r>
      <w:r>
        <w:rPr>
          <w:i/>
        </w:rPr>
        <w:t>Auditor-General Auditing Standards</w:t>
      </w:r>
      <w:r>
        <w:t>.</w:t>
      </w:r>
    </w:p>
    <w:p w14:paraId="159F1C6E" w14:textId="77777777" w:rsidR="00AC6F3C" w:rsidRDefault="00570E88">
      <w:pPr>
        <w:pStyle w:val="BodyText"/>
        <w:spacing w:before="174" w:line="249" w:lineRule="auto"/>
        <w:ind w:left="815" w:right="1424"/>
      </w:pPr>
      <w:r>
        <w:t>I</w:t>
      </w:r>
      <w:r>
        <w:rPr>
          <w:spacing w:val="-3"/>
        </w:rPr>
        <w:t xml:space="preserve"> </w:t>
      </w:r>
      <w:r>
        <w:t>believe</w:t>
      </w:r>
      <w:r>
        <w:rPr>
          <w:spacing w:val="-3"/>
        </w:rPr>
        <w:t xml:space="preserve"> </w:t>
      </w:r>
      <w:r>
        <w:t>that</w:t>
      </w:r>
      <w:r>
        <w:rPr>
          <w:spacing w:val="-3"/>
        </w:rPr>
        <w:t xml:space="preserve"> </w:t>
      </w:r>
      <w:r>
        <w:t>the</w:t>
      </w:r>
      <w:r>
        <w:rPr>
          <w:spacing w:val="-3"/>
        </w:rPr>
        <w:t xml:space="preserve"> </w:t>
      </w:r>
      <w:r>
        <w:t>audit</w:t>
      </w:r>
      <w:r>
        <w:rPr>
          <w:spacing w:val="-3"/>
        </w:rPr>
        <w:t xml:space="preserve"> </w:t>
      </w:r>
      <w:r>
        <w:t>evidence</w:t>
      </w:r>
      <w:r>
        <w:rPr>
          <w:spacing w:val="-3"/>
        </w:rPr>
        <w:t xml:space="preserve"> </w:t>
      </w:r>
      <w:r>
        <w:t>I</w:t>
      </w:r>
      <w:r>
        <w:rPr>
          <w:spacing w:val="-3"/>
        </w:rPr>
        <w:t xml:space="preserve"> </w:t>
      </w:r>
      <w:r>
        <w:t>have</w:t>
      </w:r>
      <w:r>
        <w:rPr>
          <w:spacing w:val="-3"/>
        </w:rPr>
        <w:t xml:space="preserve"> </w:t>
      </w:r>
      <w:r>
        <w:t>obtained</w:t>
      </w:r>
      <w:r>
        <w:rPr>
          <w:spacing w:val="-3"/>
        </w:rPr>
        <w:t xml:space="preserve"> </w:t>
      </w:r>
      <w:r>
        <w:t>is</w:t>
      </w:r>
      <w:r>
        <w:rPr>
          <w:spacing w:val="-3"/>
        </w:rPr>
        <w:t xml:space="preserve"> </w:t>
      </w:r>
      <w:r>
        <w:t>sufficient</w:t>
      </w:r>
      <w:r>
        <w:rPr>
          <w:spacing w:val="-3"/>
        </w:rPr>
        <w:t xml:space="preserve"> </w:t>
      </w:r>
      <w:r>
        <w:t>and</w:t>
      </w:r>
      <w:r>
        <w:rPr>
          <w:spacing w:val="-3"/>
        </w:rPr>
        <w:t xml:space="preserve"> </w:t>
      </w:r>
      <w:r>
        <w:t>appropriate</w:t>
      </w:r>
      <w:r>
        <w:rPr>
          <w:spacing w:val="-3"/>
        </w:rPr>
        <w:t xml:space="preserve"> </w:t>
      </w:r>
      <w:r>
        <w:t>to</w:t>
      </w:r>
      <w:r>
        <w:rPr>
          <w:spacing w:val="-3"/>
        </w:rPr>
        <w:t xml:space="preserve"> </w:t>
      </w:r>
      <w:r>
        <w:t>provide</w:t>
      </w:r>
      <w:r>
        <w:rPr>
          <w:spacing w:val="-3"/>
        </w:rPr>
        <w:t xml:space="preserve"> </w:t>
      </w:r>
      <w:r>
        <w:t>a basis for my opinion.</w:t>
      </w:r>
    </w:p>
    <w:p w14:paraId="1412778A" w14:textId="77777777" w:rsidR="00AC6F3C" w:rsidRDefault="00AC6F3C">
      <w:pPr>
        <w:pStyle w:val="BodyText"/>
        <w:spacing w:before="9"/>
        <w:rPr>
          <w:sz w:val="22"/>
        </w:rPr>
      </w:pPr>
    </w:p>
    <w:p w14:paraId="238098DD" w14:textId="77777777" w:rsidR="00AC6F3C" w:rsidRDefault="00570E88">
      <w:pPr>
        <w:pStyle w:val="Heading9"/>
      </w:pPr>
      <w:r>
        <w:t>Responsibilities</w:t>
      </w:r>
      <w:r>
        <w:rPr>
          <w:spacing w:val="-4"/>
        </w:rPr>
        <w:t xml:space="preserve"> </w:t>
      </w:r>
      <w:r>
        <w:t>of</w:t>
      </w:r>
      <w:r>
        <w:rPr>
          <w:spacing w:val="-4"/>
        </w:rPr>
        <w:t xml:space="preserve"> </w:t>
      </w:r>
      <w:r>
        <w:t>the</w:t>
      </w:r>
      <w:r>
        <w:rPr>
          <w:spacing w:val="-4"/>
        </w:rPr>
        <w:t xml:space="preserve"> </w:t>
      </w:r>
      <w:r>
        <w:t>entity</w:t>
      </w:r>
      <w:r>
        <w:rPr>
          <w:spacing w:val="-3"/>
        </w:rPr>
        <w:t xml:space="preserve"> </w:t>
      </w:r>
      <w:r>
        <w:t>for</w:t>
      </w:r>
      <w:r>
        <w:rPr>
          <w:spacing w:val="-4"/>
        </w:rPr>
        <w:t xml:space="preserve"> </w:t>
      </w:r>
      <w:r>
        <w:t>the</w:t>
      </w:r>
      <w:r>
        <w:rPr>
          <w:spacing w:val="-4"/>
        </w:rPr>
        <w:t xml:space="preserve"> </w:t>
      </w:r>
      <w:r>
        <w:t>financial</w:t>
      </w:r>
      <w:r>
        <w:rPr>
          <w:spacing w:val="-3"/>
        </w:rPr>
        <w:t xml:space="preserve"> </w:t>
      </w:r>
      <w:r>
        <w:rPr>
          <w:spacing w:val="-2"/>
        </w:rPr>
        <w:t>report</w:t>
      </w:r>
    </w:p>
    <w:p w14:paraId="177524D0" w14:textId="77777777" w:rsidR="00AC6F3C" w:rsidRDefault="00570E88">
      <w:pPr>
        <w:pStyle w:val="BodyText"/>
        <w:spacing w:before="176" w:line="249" w:lineRule="auto"/>
        <w:ind w:left="815" w:right="1642"/>
      </w:pPr>
      <w:r>
        <w:t>The Council is responsible for the preparation of the financial report that gives a true</w:t>
      </w:r>
      <w:r>
        <w:rPr>
          <w:spacing w:val="80"/>
        </w:rPr>
        <w:t xml:space="preserve"> </w:t>
      </w:r>
      <w:r>
        <w:t xml:space="preserve">and fair view in accordance with the </w:t>
      </w:r>
      <w:r>
        <w:rPr>
          <w:i/>
        </w:rPr>
        <w:t>Financial</w:t>
      </w:r>
      <w:r>
        <w:rPr>
          <w:i/>
          <w:spacing w:val="-7"/>
        </w:rPr>
        <w:t xml:space="preserve"> </w:t>
      </w:r>
      <w:r>
        <w:rPr>
          <w:i/>
        </w:rPr>
        <w:t>Accountability</w:t>
      </w:r>
      <w:r>
        <w:rPr>
          <w:i/>
          <w:spacing w:val="-7"/>
        </w:rPr>
        <w:t xml:space="preserve"> </w:t>
      </w:r>
      <w:r>
        <w:rPr>
          <w:i/>
        </w:rPr>
        <w:t>Act 2009</w:t>
      </w:r>
      <w:r>
        <w:t>, the Financial and Performance</w:t>
      </w:r>
      <w:r>
        <w:rPr>
          <w:spacing w:val="-1"/>
        </w:rPr>
        <w:t xml:space="preserve"> </w:t>
      </w:r>
      <w:r>
        <w:t>Management</w:t>
      </w:r>
      <w:r>
        <w:rPr>
          <w:spacing w:val="-1"/>
        </w:rPr>
        <w:t xml:space="preserve"> </w:t>
      </w:r>
      <w:r>
        <w:t>Standard</w:t>
      </w:r>
      <w:r>
        <w:rPr>
          <w:spacing w:val="-1"/>
        </w:rPr>
        <w:t xml:space="preserve"> </w:t>
      </w:r>
      <w:r>
        <w:t>2019</w:t>
      </w:r>
      <w:r>
        <w:rPr>
          <w:spacing w:val="-1"/>
        </w:rPr>
        <w:t xml:space="preserve"> </w:t>
      </w:r>
      <w:r>
        <w:t>and</w:t>
      </w:r>
      <w:r>
        <w:rPr>
          <w:spacing w:val="-12"/>
        </w:rPr>
        <w:t xml:space="preserve"> </w:t>
      </w:r>
      <w:r>
        <w:t>Australian</w:t>
      </w:r>
      <w:r>
        <w:rPr>
          <w:spacing w:val="-12"/>
        </w:rPr>
        <w:t xml:space="preserve"> </w:t>
      </w:r>
      <w:r>
        <w:t>Accounting</w:t>
      </w:r>
      <w:r>
        <w:rPr>
          <w:spacing w:val="-1"/>
        </w:rPr>
        <w:t xml:space="preserve"> </w:t>
      </w:r>
      <w:r>
        <w:t>Standards,</w:t>
      </w:r>
      <w:r>
        <w:rPr>
          <w:spacing w:val="-1"/>
        </w:rPr>
        <w:t xml:space="preserve"> </w:t>
      </w:r>
      <w:r>
        <w:t>and</w:t>
      </w:r>
      <w:r>
        <w:rPr>
          <w:spacing w:val="-1"/>
        </w:rPr>
        <w:t xml:space="preserve"> </w:t>
      </w:r>
      <w:r>
        <w:t>for such</w:t>
      </w:r>
      <w:r>
        <w:rPr>
          <w:spacing w:val="-3"/>
        </w:rPr>
        <w:t xml:space="preserve"> </w:t>
      </w:r>
      <w:r>
        <w:t>internal</w:t>
      </w:r>
      <w:r>
        <w:rPr>
          <w:spacing w:val="-3"/>
        </w:rPr>
        <w:t xml:space="preserve"> </w:t>
      </w:r>
      <w:r>
        <w:t>control</w:t>
      </w:r>
      <w:r>
        <w:rPr>
          <w:spacing w:val="-3"/>
        </w:rPr>
        <w:t xml:space="preserve"> </w:t>
      </w:r>
      <w:r>
        <w:t>as</w:t>
      </w:r>
      <w:r>
        <w:rPr>
          <w:spacing w:val="-3"/>
        </w:rPr>
        <w:t xml:space="preserve"> </w:t>
      </w:r>
      <w:r>
        <w:t>the</w:t>
      </w:r>
      <w:r>
        <w:rPr>
          <w:spacing w:val="-3"/>
        </w:rPr>
        <w:t xml:space="preserve"> </w:t>
      </w:r>
      <w:r>
        <w:t>Council</w:t>
      </w:r>
      <w:r>
        <w:rPr>
          <w:spacing w:val="-3"/>
        </w:rPr>
        <w:t xml:space="preserve"> </w:t>
      </w:r>
      <w:r>
        <w:t>determines</w:t>
      </w:r>
      <w:r>
        <w:rPr>
          <w:spacing w:val="-3"/>
        </w:rPr>
        <w:t xml:space="preserve"> </w:t>
      </w:r>
      <w:r>
        <w:t>is</w:t>
      </w:r>
      <w:r>
        <w:rPr>
          <w:spacing w:val="-3"/>
        </w:rPr>
        <w:t xml:space="preserve"> </w:t>
      </w:r>
      <w:r>
        <w:t>necessary</w:t>
      </w:r>
      <w:r>
        <w:rPr>
          <w:spacing w:val="-3"/>
        </w:rPr>
        <w:t xml:space="preserve"> </w:t>
      </w:r>
      <w:r>
        <w:t>to</w:t>
      </w:r>
      <w:r>
        <w:rPr>
          <w:spacing w:val="-3"/>
        </w:rPr>
        <w:t xml:space="preserve"> </w:t>
      </w:r>
      <w:r>
        <w:t>enable</w:t>
      </w:r>
      <w:r>
        <w:rPr>
          <w:spacing w:val="-3"/>
        </w:rPr>
        <w:t xml:space="preserve"> </w:t>
      </w:r>
      <w:r>
        <w:t>the</w:t>
      </w:r>
      <w:r>
        <w:rPr>
          <w:spacing w:val="-3"/>
        </w:rPr>
        <w:t xml:space="preserve"> </w:t>
      </w:r>
      <w:r>
        <w:t>preparation</w:t>
      </w:r>
      <w:r>
        <w:rPr>
          <w:spacing w:val="-3"/>
        </w:rPr>
        <w:t xml:space="preserve"> </w:t>
      </w:r>
      <w:r>
        <w:t>of the</w:t>
      </w:r>
      <w:r>
        <w:rPr>
          <w:spacing w:val="-2"/>
        </w:rPr>
        <w:t xml:space="preserve"> </w:t>
      </w:r>
      <w:r>
        <w:t>financial</w:t>
      </w:r>
      <w:r>
        <w:rPr>
          <w:spacing w:val="-2"/>
        </w:rPr>
        <w:t xml:space="preserve"> </w:t>
      </w:r>
      <w:r>
        <w:t>report</w:t>
      </w:r>
      <w:r>
        <w:rPr>
          <w:spacing w:val="-2"/>
        </w:rPr>
        <w:t xml:space="preserve"> </w:t>
      </w:r>
      <w:r>
        <w:t>that</w:t>
      </w:r>
      <w:r>
        <w:rPr>
          <w:spacing w:val="-2"/>
        </w:rPr>
        <w:t xml:space="preserve"> </w:t>
      </w:r>
      <w:r>
        <w:t>is</w:t>
      </w:r>
      <w:r>
        <w:rPr>
          <w:spacing w:val="-2"/>
        </w:rPr>
        <w:t xml:space="preserve"> </w:t>
      </w:r>
      <w:r>
        <w:t>free</w:t>
      </w:r>
      <w:r>
        <w:rPr>
          <w:spacing w:val="-2"/>
        </w:rPr>
        <w:t xml:space="preserve"> </w:t>
      </w:r>
      <w:r>
        <w:t>from</w:t>
      </w:r>
      <w:r>
        <w:rPr>
          <w:spacing w:val="-2"/>
        </w:rPr>
        <w:t xml:space="preserve"> </w:t>
      </w:r>
      <w:r>
        <w:t>material</w:t>
      </w:r>
      <w:r>
        <w:rPr>
          <w:spacing w:val="-2"/>
        </w:rPr>
        <w:t xml:space="preserve"> </w:t>
      </w:r>
      <w:r>
        <w:t>misstatement,</w:t>
      </w:r>
      <w:r>
        <w:rPr>
          <w:spacing w:val="-2"/>
        </w:rPr>
        <w:t xml:space="preserve"> </w:t>
      </w:r>
      <w:r>
        <w:t>whether</w:t>
      </w:r>
      <w:r>
        <w:rPr>
          <w:spacing w:val="-2"/>
        </w:rPr>
        <w:t xml:space="preserve"> </w:t>
      </w:r>
      <w:r>
        <w:t>due</w:t>
      </w:r>
      <w:r>
        <w:rPr>
          <w:spacing w:val="-2"/>
        </w:rPr>
        <w:t xml:space="preserve"> </w:t>
      </w:r>
      <w:r>
        <w:t>to</w:t>
      </w:r>
      <w:r>
        <w:rPr>
          <w:spacing w:val="-2"/>
        </w:rPr>
        <w:t xml:space="preserve"> </w:t>
      </w:r>
      <w:r>
        <w:t>fraud</w:t>
      </w:r>
      <w:r>
        <w:rPr>
          <w:spacing w:val="-2"/>
        </w:rPr>
        <w:t xml:space="preserve"> </w:t>
      </w:r>
      <w:r>
        <w:t>or</w:t>
      </w:r>
      <w:r>
        <w:rPr>
          <w:spacing w:val="-1"/>
        </w:rPr>
        <w:t xml:space="preserve"> </w:t>
      </w:r>
      <w:r>
        <w:rPr>
          <w:spacing w:val="-2"/>
        </w:rPr>
        <w:t>error.</w:t>
      </w:r>
    </w:p>
    <w:p w14:paraId="041200D4" w14:textId="77777777" w:rsidR="00AC6F3C" w:rsidRDefault="00570E88">
      <w:pPr>
        <w:pStyle w:val="BodyText"/>
        <w:spacing w:before="174" w:line="249" w:lineRule="auto"/>
        <w:ind w:left="815" w:right="1543"/>
      </w:pPr>
      <w:r>
        <w:t>The Council is also responsible for assessing the entity’s ability to continue as a going concern,</w:t>
      </w:r>
      <w:r>
        <w:rPr>
          <w:spacing w:val="-3"/>
        </w:rPr>
        <w:t xml:space="preserve"> </w:t>
      </w:r>
      <w:r>
        <w:t>disclosing,</w:t>
      </w:r>
      <w:r>
        <w:rPr>
          <w:spacing w:val="-3"/>
        </w:rPr>
        <w:t xml:space="preserve"> </w:t>
      </w:r>
      <w:r>
        <w:t>as</w:t>
      </w:r>
      <w:r>
        <w:rPr>
          <w:spacing w:val="-3"/>
        </w:rPr>
        <w:t xml:space="preserve"> </w:t>
      </w:r>
      <w:r>
        <w:t>applicable,</w:t>
      </w:r>
      <w:r>
        <w:rPr>
          <w:spacing w:val="-3"/>
        </w:rPr>
        <w:t xml:space="preserve"> </w:t>
      </w:r>
      <w:r>
        <w:t>matters</w:t>
      </w:r>
      <w:r>
        <w:rPr>
          <w:spacing w:val="-3"/>
        </w:rPr>
        <w:t xml:space="preserve"> </w:t>
      </w:r>
      <w:r>
        <w:t>relating</w:t>
      </w:r>
      <w:r>
        <w:rPr>
          <w:spacing w:val="-3"/>
        </w:rPr>
        <w:t xml:space="preserve"> </w:t>
      </w:r>
      <w:r>
        <w:t>to</w:t>
      </w:r>
      <w:r>
        <w:rPr>
          <w:spacing w:val="-3"/>
        </w:rPr>
        <w:t xml:space="preserve"> </w:t>
      </w:r>
      <w:r>
        <w:t>going</w:t>
      </w:r>
      <w:r>
        <w:rPr>
          <w:spacing w:val="-3"/>
        </w:rPr>
        <w:t xml:space="preserve"> </w:t>
      </w:r>
      <w:r>
        <w:t>concern</w:t>
      </w:r>
      <w:r>
        <w:rPr>
          <w:spacing w:val="-3"/>
        </w:rPr>
        <w:t xml:space="preserve"> </w:t>
      </w:r>
      <w:r>
        <w:t>and</w:t>
      </w:r>
      <w:r>
        <w:rPr>
          <w:spacing w:val="-3"/>
        </w:rPr>
        <w:t xml:space="preserve"> </w:t>
      </w:r>
      <w:r>
        <w:t>using</w:t>
      </w:r>
      <w:r>
        <w:rPr>
          <w:spacing w:val="-3"/>
        </w:rPr>
        <w:t xml:space="preserve"> </w:t>
      </w:r>
      <w:r>
        <w:t>the</w:t>
      </w:r>
      <w:r>
        <w:rPr>
          <w:spacing w:val="-3"/>
        </w:rPr>
        <w:t xml:space="preserve"> </w:t>
      </w:r>
      <w:r>
        <w:t>going concern basis of accounting unless it is intended to abolish the entity or to otherwise cease operations.</w:t>
      </w:r>
    </w:p>
    <w:p w14:paraId="41B68082" w14:textId="77777777" w:rsidR="00AC6F3C" w:rsidRDefault="00AC6F3C">
      <w:pPr>
        <w:spacing w:line="249" w:lineRule="auto"/>
        <w:sectPr w:rsidR="00AC6F3C">
          <w:headerReference w:type="default" r:id="rId256"/>
          <w:footerReference w:type="default" r:id="rId257"/>
          <w:pgSz w:w="11910" w:h="16840"/>
          <w:pgMar w:top="2460" w:right="1160" w:bottom="520" w:left="460" w:header="1524" w:footer="336" w:gutter="0"/>
          <w:cols w:space="720"/>
        </w:sectPr>
      </w:pPr>
    </w:p>
    <w:p w14:paraId="116CDD9C" w14:textId="77777777" w:rsidR="00AC6F3C" w:rsidRDefault="00AC6F3C">
      <w:pPr>
        <w:pStyle w:val="BodyText"/>
      </w:pPr>
    </w:p>
    <w:p w14:paraId="187E701B" w14:textId="77777777" w:rsidR="00AC6F3C" w:rsidRDefault="00AC6F3C">
      <w:pPr>
        <w:pStyle w:val="BodyText"/>
        <w:spacing w:before="2"/>
        <w:rPr>
          <w:sz w:val="28"/>
        </w:rPr>
      </w:pPr>
    </w:p>
    <w:p w14:paraId="459F8BC2" w14:textId="77777777" w:rsidR="00AC6F3C" w:rsidRDefault="00570E88">
      <w:pPr>
        <w:pStyle w:val="Heading9"/>
        <w:spacing w:before="93"/>
      </w:pPr>
      <w:r>
        <w:t>Auditor’s</w:t>
      </w:r>
      <w:r>
        <w:rPr>
          <w:spacing w:val="-4"/>
        </w:rPr>
        <w:t xml:space="preserve"> </w:t>
      </w:r>
      <w:r>
        <w:t>responsibilities</w:t>
      </w:r>
      <w:r>
        <w:rPr>
          <w:spacing w:val="-3"/>
        </w:rPr>
        <w:t xml:space="preserve"> </w:t>
      </w:r>
      <w:r>
        <w:t>for</w:t>
      </w:r>
      <w:r>
        <w:rPr>
          <w:spacing w:val="-4"/>
        </w:rPr>
        <w:t xml:space="preserve"> </w:t>
      </w:r>
      <w:r>
        <w:t>the</w:t>
      </w:r>
      <w:r>
        <w:rPr>
          <w:spacing w:val="-3"/>
        </w:rPr>
        <w:t xml:space="preserve"> </w:t>
      </w:r>
      <w:r>
        <w:t>audit</w:t>
      </w:r>
      <w:r>
        <w:rPr>
          <w:spacing w:val="-4"/>
        </w:rPr>
        <w:t xml:space="preserve"> </w:t>
      </w:r>
      <w:r>
        <w:t>of</w:t>
      </w:r>
      <w:r>
        <w:rPr>
          <w:spacing w:val="-3"/>
        </w:rPr>
        <w:t xml:space="preserve"> </w:t>
      </w:r>
      <w:r>
        <w:t>the</w:t>
      </w:r>
      <w:r>
        <w:rPr>
          <w:spacing w:val="-4"/>
        </w:rPr>
        <w:t xml:space="preserve"> </w:t>
      </w:r>
      <w:r>
        <w:t>financial</w:t>
      </w:r>
      <w:r>
        <w:rPr>
          <w:spacing w:val="-3"/>
        </w:rPr>
        <w:t xml:space="preserve"> </w:t>
      </w:r>
      <w:r>
        <w:rPr>
          <w:spacing w:val="-2"/>
        </w:rPr>
        <w:t>report</w:t>
      </w:r>
    </w:p>
    <w:p w14:paraId="14C1640D" w14:textId="77777777" w:rsidR="00AC6F3C" w:rsidRDefault="00570E88">
      <w:pPr>
        <w:pStyle w:val="BodyText"/>
        <w:spacing w:before="176" w:line="249" w:lineRule="auto"/>
        <w:ind w:left="815" w:right="1183"/>
      </w:pPr>
      <w:r>
        <w:t>My objectives are to obtain reasonable assurance about whether the financial report as a whole is free from material misstatement, whether due to fraud or error, and to issue an auditor’s</w:t>
      </w:r>
      <w:r>
        <w:rPr>
          <w:spacing w:val="-3"/>
        </w:rPr>
        <w:t xml:space="preserve"> </w:t>
      </w:r>
      <w:r>
        <w:t>report</w:t>
      </w:r>
      <w:r>
        <w:rPr>
          <w:spacing w:val="-3"/>
        </w:rPr>
        <w:t xml:space="preserve"> </w:t>
      </w:r>
      <w:r>
        <w:t>that</w:t>
      </w:r>
      <w:r>
        <w:rPr>
          <w:spacing w:val="-3"/>
        </w:rPr>
        <w:t xml:space="preserve"> </w:t>
      </w:r>
      <w:r>
        <w:t>includes</w:t>
      </w:r>
      <w:r>
        <w:rPr>
          <w:spacing w:val="-3"/>
        </w:rPr>
        <w:t xml:space="preserve"> </w:t>
      </w:r>
      <w:r>
        <w:t>my</w:t>
      </w:r>
      <w:r>
        <w:rPr>
          <w:spacing w:val="-3"/>
        </w:rPr>
        <w:t xml:space="preserve"> </w:t>
      </w:r>
      <w:r>
        <w:t>opinion.</w:t>
      </w:r>
      <w:r>
        <w:rPr>
          <w:spacing w:val="-3"/>
        </w:rPr>
        <w:t xml:space="preserve"> </w:t>
      </w:r>
      <w:r>
        <w:t>Reasonable</w:t>
      </w:r>
      <w:r>
        <w:rPr>
          <w:spacing w:val="-3"/>
        </w:rPr>
        <w:t xml:space="preserve"> </w:t>
      </w:r>
      <w:r>
        <w:t>assurance</w:t>
      </w:r>
      <w:r>
        <w:rPr>
          <w:spacing w:val="-3"/>
        </w:rPr>
        <w:t xml:space="preserve"> </w:t>
      </w:r>
      <w:r>
        <w:t>is</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assurance, but is not a guarantee that an audit conducted in accordance with the</w:t>
      </w:r>
      <w:r>
        <w:rPr>
          <w:spacing w:val="-5"/>
        </w:rPr>
        <w:t xml:space="preserve"> </w:t>
      </w:r>
      <w:r>
        <w:t>Australian</w:t>
      </w:r>
      <w:r>
        <w:rPr>
          <w:spacing w:val="-5"/>
        </w:rPr>
        <w:t xml:space="preserve"> </w:t>
      </w:r>
      <w:r>
        <w:t>Auditing Standards</w:t>
      </w:r>
      <w:r>
        <w:rPr>
          <w:spacing w:val="-3"/>
        </w:rPr>
        <w:t xml:space="preserve"> </w:t>
      </w:r>
      <w:r>
        <w:t>will</w:t>
      </w:r>
      <w:r>
        <w:rPr>
          <w:spacing w:val="-3"/>
        </w:rPr>
        <w:t xml:space="preserve"> </w:t>
      </w:r>
      <w:r>
        <w:t>always</w:t>
      </w:r>
      <w:r>
        <w:rPr>
          <w:spacing w:val="-3"/>
        </w:rPr>
        <w:t xml:space="preserve"> </w:t>
      </w:r>
      <w:r>
        <w:t>detect</w:t>
      </w:r>
      <w:r>
        <w:rPr>
          <w:spacing w:val="-3"/>
        </w:rPr>
        <w:t xml:space="preserve"> </w:t>
      </w:r>
      <w:r>
        <w:t>a</w:t>
      </w:r>
      <w:r>
        <w:rPr>
          <w:spacing w:val="-3"/>
        </w:rPr>
        <w:t xml:space="preserve"> </w:t>
      </w:r>
      <w:r>
        <w:t>material</w:t>
      </w:r>
      <w:r>
        <w:rPr>
          <w:spacing w:val="-3"/>
        </w:rPr>
        <w:t xml:space="preserve"> </w:t>
      </w:r>
      <w:r>
        <w:t>misstatement</w:t>
      </w:r>
      <w:r>
        <w:rPr>
          <w:spacing w:val="-3"/>
        </w:rPr>
        <w:t xml:space="preserve"> </w:t>
      </w:r>
      <w:r>
        <w:t>when</w:t>
      </w:r>
      <w:r>
        <w:rPr>
          <w:spacing w:val="-3"/>
        </w:rPr>
        <w:t xml:space="preserve"> </w:t>
      </w:r>
      <w:r>
        <w:t>it</w:t>
      </w:r>
      <w:r>
        <w:rPr>
          <w:spacing w:val="-3"/>
        </w:rPr>
        <w:t xml:space="preserve"> </w:t>
      </w:r>
      <w:r>
        <w:t>exists.</w:t>
      </w:r>
      <w:r>
        <w:rPr>
          <w:spacing w:val="-3"/>
        </w:rPr>
        <w:t xml:space="preserve"> </w:t>
      </w:r>
      <w:r>
        <w:t>Misstatements</w:t>
      </w:r>
      <w:r>
        <w:rPr>
          <w:spacing w:val="-3"/>
        </w:rPr>
        <w:t xml:space="preserve"> </w:t>
      </w:r>
      <w:r>
        <w:t>can</w:t>
      </w:r>
      <w:r>
        <w:rPr>
          <w:spacing w:val="-3"/>
        </w:rPr>
        <w:t xml:space="preserve"> </w:t>
      </w:r>
      <w:r>
        <w:t>arise from fraud or error and are considered material if, individually or in aggregate, they could reasonably be expected to influence the economic decisions of users taken on the basis of this financial report.</w:t>
      </w:r>
    </w:p>
    <w:p w14:paraId="5A2800A4" w14:textId="77777777" w:rsidR="00AC6F3C" w:rsidRDefault="00570E88">
      <w:pPr>
        <w:pStyle w:val="BodyText"/>
        <w:spacing w:before="176" w:line="249" w:lineRule="auto"/>
        <w:ind w:left="815" w:right="1424"/>
      </w:pPr>
      <w:r>
        <w:t>As part of an audit in accordance with the</w:t>
      </w:r>
      <w:r>
        <w:rPr>
          <w:spacing w:val="-4"/>
        </w:rPr>
        <w:t xml:space="preserve"> </w:t>
      </w:r>
      <w:r>
        <w:t>Australian</w:t>
      </w:r>
      <w:r>
        <w:rPr>
          <w:spacing w:val="-4"/>
        </w:rPr>
        <w:t xml:space="preserve"> </w:t>
      </w:r>
      <w:r>
        <w:t>Auditing Standards, I exercise professional</w:t>
      </w:r>
      <w:r>
        <w:rPr>
          <w:spacing w:val="-4"/>
        </w:rPr>
        <w:t xml:space="preserve"> </w:t>
      </w:r>
      <w:r>
        <w:t>judgement</w:t>
      </w:r>
      <w:r>
        <w:rPr>
          <w:spacing w:val="-4"/>
        </w:rPr>
        <w:t xml:space="preserve"> </w:t>
      </w:r>
      <w:r>
        <w:t>and</w:t>
      </w:r>
      <w:r>
        <w:rPr>
          <w:spacing w:val="-4"/>
        </w:rPr>
        <w:t xml:space="preserve"> </w:t>
      </w:r>
      <w:r>
        <w:t>maintain</w:t>
      </w:r>
      <w:r>
        <w:rPr>
          <w:spacing w:val="-4"/>
        </w:rPr>
        <w:t xml:space="preserve"> </w:t>
      </w:r>
      <w:r>
        <w:t>professional</w:t>
      </w:r>
      <w:r>
        <w:rPr>
          <w:spacing w:val="-4"/>
        </w:rPr>
        <w:t xml:space="preserve"> </w:t>
      </w:r>
      <w:proofErr w:type="spellStart"/>
      <w:r>
        <w:t>scepticism</w:t>
      </w:r>
      <w:proofErr w:type="spellEnd"/>
      <w:r>
        <w:rPr>
          <w:spacing w:val="-4"/>
        </w:rPr>
        <w:t xml:space="preserve"> </w:t>
      </w:r>
      <w:r>
        <w:t>throughout</w:t>
      </w:r>
      <w:r>
        <w:rPr>
          <w:spacing w:val="-4"/>
        </w:rPr>
        <w:t xml:space="preserve"> </w:t>
      </w:r>
      <w:r>
        <w:t>the</w:t>
      </w:r>
      <w:r>
        <w:rPr>
          <w:spacing w:val="-4"/>
        </w:rPr>
        <w:t xml:space="preserve"> </w:t>
      </w:r>
      <w:r>
        <w:t>audit.</w:t>
      </w:r>
      <w:r>
        <w:rPr>
          <w:spacing w:val="-4"/>
        </w:rPr>
        <w:t xml:space="preserve"> </w:t>
      </w:r>
      <w:r>
        <w:t>I</w:t>
      </w:r>
      <w:r>
        <w:rPr>
          <w:spacing w:val="-4"/>
        </w:rPr>
        <w:t xml:space="preserve"> </w:t>
      </w:r>
      <w:r>
        <w:t>also:</w:t>
      </w:r>
    </w:p>
    <w:p w14:paraId="4BAD7D14" w14:textId="77777777" w:rsidR="00AC6F3C" w:rsidRDefault="00570E88">
      <w:pPr>
        <w:pStyle w:val="ListParagraph"/>
        <w:numPr>
          <w:ilvl w:val="0"/>
          <w:numId w:val="2"/>
        </w:numPr>
        <w:tabs>
          <w:tab w:val="left" w:pos="1269"/>
        </w:tabs>
        <w:spacing w:before="172" w:line="249" w:lineRule="auto"/>
        <w:ind w:right="1358"/>
        <w:rPr>
          <w:sz w:val="20"/>
        </w:rPr>
      </w:pPr>
      <w:r>
        <w:rPr>
          <w:sz w:val="20"/>
        </w:rPr>
        <w:t>Identify and assess the risks of material misstatement of the financial report, whether due to fraud or error, design and perform audit procedures responsive to those risks, and obtain audit evidence that is sufficient and appropriate to provide a basis for my opinion.</w:t>
      </w:r>
      <w:r>
        <w:rPr>
          <w:spacing w:val="-7"/>
          <w:sz w:val="20"/>
        </w:rPr>
        <w:t xml:space="preserve"> </w:t>
      </w:r>
      <w:r>
        <w:rPr>
          <w:sz w:val="20"/>
        </w:rPr>
        <w:t>The</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not</w:t>
      </w:r>
      <w:r>
        <w:rPr>
          <w:spacing w:val="-3"/>
          <w:sz w:val="20"/>
        </w:rPr>
        <w:t xml:space="preserve"> </w:t>
      </w:r>
      <w:r>
        <w:rPr>
          <w:sz w:val="20"/>
        </w:rPr>
        <w:t>detecting</w:t>
      </w:r>
      <w:r>
        <w:rPr>
          <w:spacing w:val="-3"/>
          <w:sz w:val="20"/>
        </w:rPr>
        <w:t xml:space="preserve"> </w:t>
      </w:r>
      <w:r>
        <w:rPr>
          <w:sz w:val="20"/>
        </w:rPr>
        <w:t>a</w:t>
      </w:r>
      <w:r>
        <w:rPr>
          <w:spacing w:val="-3"/>
          <w:sz w:val="20"/>
        </w:rPr>
        <w:t xml:space="preserve"> </w:t>
      </w:r>
      <w:r>
        <w:rPr>
          <w:sz w:val="20"/>
        </w:rPr>
        <w:t>material</w:t>
      </w:r>
      <w:r>
        <w:rPr>
          <w:spacing w:val="-3"/>
          <w:sz w:val="20"/>
        </w:rPr>
        <w:t xml:space="preserve"> </w:t>
      </w:r>
      <w:r>
        <w:rPr>
          <w:sz w:val="20"/>
        </w:rPr>
        <w:t>misstatement</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fraud</w:t>
      </w:r>
      <w:r>
        <w:rPr>
          <w:spacing w:val="-3"/>
          <w:sz w:val="20"/>
        </w:rPr>
        <w:t xml:space="preserve"> </w:t>
      </w:r>
      <w:r>
        <w:rPr>
          <w:sz w:val="20"/>
        </w:rPr>
        <w:t>is</w:t>
      </w:r>
      <w:r>
        <w:rPr>
          <w:spacing w:val="-3"/>
          <w:sz w:val="20"/>
        </w:rPr>
        <w:t xml:space="preserve"> </w:t>
      </w:r>
      <w:r>
        <w:rPr>
          <w:sz w:val="20"/>
        </w:rPr>
        <w:t>higher than for one resulting from error, as fraud may involve collusion, forgery, intentional omissions, misrepresentations, or the override of internal control.</w:t>
      </w:r>
    </w:p>
    <w:p w14:paraId="59A43883" w14:textId="77777777" w:rsidR="00AC6F3C" w:rsidRDefault="00570E88">
      <w:pPr>
        <w:pStyle w:val="ListParagraph"/>
        <w:numPr>
          <w:ilvl w:val="0"/>
          <w:numId w:val="2"/>
        </w:numPr>
        <w:tabs>
          <w:tab w:val="left" w:pos="1269"/>
        </w:tabs>
        <w:spacing w:before="175" w:line="249" w:lineRule="auto"/>
        <w:ind w:right="1284"/>
        <w:rPr>
          <w:sz w:val="20"/>
        </w:rPr>
      </w:pPr>
      <w:r>
        <w:rPr>
          <w:sz w:val="20"/>
        </w:rPr>
        <w:t>Obtain an understanding of internal control relevant to the audit in order to design audit procedures that are appropriate in the circumstances. This is not done for the purpose of</w:t>
      </w:r>
      <w:r>
        <w:rPr>
          <w:spacing w:val="-3"/>
          <w:sz w:val="20"/>
        </w:rPr>
        <w:t xml:space="preserve"> </w:t>
      </w:r>
      <w:r>
        <w:rPr>
          <w:sz w:val="20"/>
        </w:rPr>
        <w:t>forming</w:t>
      </w:r>
      <w:r>
        <w:rPr>
          <w:spacing w:val="-3"/>
          <w:sz w:val="20"/>
        </w:rPr>
        <w:t xml:space="preserve"> </w:t>
      </w:r>
      <w:r>
        <w:rPr>
          <w:sz w:val="20"/>
        </w:rPr>
        <w:t>an</w:t>
      </w:r>
      <w:r>
        <w:rPr>
          <w:spacing w:val="-3"/>
          <w:sz w:val="20"/>
        </w:rPr>
        <w:t xml:space="preserve"> </w:t>
      </w:r>
      <w:r>
        <w:rPr>
          <w:sz w:val="20"/>
        </w:rPr>
        <w:t>opinion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effectiveness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entity’s</w:t>
      </w:r>
      <w:r>
        <w:rPr>
          <w:spacing w:val="-3"/>
          <w:sz w:val="20"/>
        </w:rPr>
        <w:t xml:space="preserve"> </w:t>
      </w:r>
      <w:r>
        <w:rPr>
          <w:sz w:val="20"/>
        </w:rPr>
        <w:t>internal</w:t>
      </w:r>
      <w:r>
        <w:rPr>
          <w:spacing w:val="-3"/>
          <w:sz w:val="20"/>
        </w:rPr>
        <w:t xml:space="preserve"> </w:t>
      </w:r>
      <w:r>
        <w:rPr>
          <w:sz w:val="20"/>
        </w:rPr>
        <w:t>controls,</w:t>
      </w:r>
      <w:r>
        <w:rPr>
          <w:spacing w:val="-3"/>
          <w:sz w:val="20"/>
        </w:rPr>
        <w:t xml:space="preserve"> </w:t>
      </w:r>
      <w:r>
        <w:rPr>
          <w:sz w:val="20"/>
        </w:rPr>
        <w:t>but</w:t>
      </w:r>
      <w:r>
        <w:rPr>
          <w:spacing w:val="-3"/>
          <w:sz w:val="20"/>
        </w:rPr>
        <w:t xml:space="preserve"> </w:t>
      </w:r>
      <w:r>
        <w:rPr>
          <w:sz w:val="20"/>
        </w:rPr>
        <w:t>allows</w:t>
      </w:r>
      <w:r>
        <w:rPr>
          <w:spacing w:val="-3"/>
          <w:sz w:val="20"/>
        </w:rPr>
        <w:t xml:space="preserve"> </w:t>
      </w:r>
      <w:r>
        <w:rPr>
          <w:sz w:val="20"/>
        </w:rPr>
        <w:t>me to form an opinion on compliance with prescribed requirements.</w:t>
      </w:r>
    </w:p>
    <w:p w14:paraId="0C18E80A" w14:textId="77777777" w:rsidR="00AC6F3C" w:rsidRDefault="00570E88">
      <w:pPr>
        <w:pStyle w:val="ListParagraph"/>
        <w:numPr>
          <w:ilvl w:val="0"/>
          <w:numId w:val="2"/>
        </w:numPr>
        <w:tabs>
          <w:tab w:val="left" w:pos="1269"/>
        </w:tabs>
        <w:spacing w:before="173" w:line="249" w:lineRule="auto"/>
        <w:ind w:right="1577"/>
        <w:rPr>
          <w:sz w:val="20"/>
        </w:rPr>
      </w:pPr>
      <w:r>
        <w:rPr>
          <w:sz w:val="20"/>
        </w:rPr>
        <w:t>Evaluate</w:t>
      </w:r>
      <w:r>
        <w:rPr>
          <w:spacing w:val="-4"/>
          <w:sz w:val="20"/>
        </w:rPr>
        <w:t xml:space="preserve"> </w:t>
      </w:r>
      <w:r>
        <w:rPr>
          <w:sz w:val="20"/>
        </w:rPr>
        <w:t>the</w:t>
      </w:r>
      <w:r>
        <w:rPr>
          <w:spacing w:val="-4"/>
          <w:sz w:val="20"/>
        </w:rPr>
        <w:t xml:space="preserve"> </w:t>
      </w:r>
      <w:r>
        <w:rPr>
          <w:sz w:val="20"/>
        </w:rPr>
        <w:t>appropriateness</w:t>
      </w:r>
      <w:r>
        <w:rPr>
          <w:spacing w:val="-4"/>
          <w:sz w:val="20"/>
        </w:rPr>
        <w:t xml:space="preserve"> </w:t>
      </w:r>
      <w:r>
        <w:rPr>
          <w:sz w:val="20"/>
        </w:rPr>
        <w:t>of</w:t>
      </w:r>
      <w:r>
        <w:rPr>
          <w:spacing w:val="-4"/>
          <w:sz w:val="20"/>
        </w:rPr>
        <w:t xml:space="preserve"> </w:t>
      </w:r>
      <w:r>
        <w:rPr>
          <w:sz w:val="20"/>
        </w:rPr>
        <w:t>material</w:t>
      </w:r>
      <w:r>
        <w:rPr>
          <w:spacing w:val="-4"/>
          <w:sz w:val="20"/>
        </w:rPr>
        <w:t xml:space="preserve"> </w:t>
      </w:r>
      <w:r>
        <w:rPr>
          <w:sz w:val="20"/>
        </w:rPr>
        <w:t>accounting</w:t>
      </w:r>
      <w:r>
        <w:rPr>
          <w:spacing w:val="-4"/>
          <w:sz w:val="20"/>
        </w:rPr>
        <w:t xml:space="preserve"> </w:t>
      </w:r>
      <w:r>
        <w:rPr>
          <w:sz w:val="20"/>
        </w:rPr>
        <w:t>policy</w:t>
      </w:r>
      <w:r>
        <w:rPr>
          <w:spacing w:val="-4"/>
          <w:sz w:val="20"/>
        </w:rPr>
        <w:t xml:space="preserve"> </w:t>
      </w:r>
      <w:r>
        <w:rPr>
          <w:sz w:val="20"/>
        </w:rPr>
        <w:t>information</w:t>
      </w:r>
      <w:r>
        <w:rPr>
          <w:spacing w:val="-4"/>
          <w:sz w:val="20"/>
        </w:rPr>
        <w:t xml:space="preserve"> </w:t>
      </w:r>
      <w:r>
        <w:rPr>
          <w:sz w:val="20"/>
        </w:rPr>
        <w:t>used</w:t>
      </w:r>
      <w:r>
        <w:rPr>
          <w:spacing w:val="-4"/>
          <w:sz w:val="20"/>
        </w:rPr>
        <w:t xml:space="preserve"> </w:t>
      </w:r>
      <w:r>
        <w:rPr>
          <w:sz w:val="20"/>
        </w:rPr>
        <w:t>and</w:t>
      </w:r>
      <w:r>
        <w:rPr>
          <w:spacing w:val="-4"/>
          <w:sz w:val="20"/>
        </w:rPr>
        <w:t xml:space="preserve"> </w:t>
      </w:r>
      <w:r>
        <w:rPr>
          <w:sz w:val="20"/>
        </w:rPr>
        <w:t>the reasonableness</w:t>
      </w:r>
      <w:r>
        <w:rPr>
          <w:spacing w:val="-3"/>
          <w:sz w:val="20"/>
        </w:rPr>
        <w:t xml:space="preserve"> </w:t>
      </w:r>
      <w:r>
        <w:rPr>
          <w:sz w:val="20"/>
        </w:rPr>
        <w:t>of</w:t>
      </w:r>
      <w:r>
        <w:rPr>
          <w:spacing w:val="-3"/>
          <w:sz w:val="20"/>
        </w:rPr>
        <w:t xml:space="preserve"> </w:t>
      </w:r>
      <w:r>
        <w:rPr>
          <w:sz w:val="20"/>
        </w:rPr>
        <w:t>accounting</w:t>
      </w:r>
      <w:r>
        <w:rPr>
          <w:spacing w:val="-3"/>
          <w:sz w:val="20"/>
        </w:rPr>
        <w:t xml:space="preserve"> </w:t>
      </w:r>
      <w:r>
        <w:rPr>
          <w:sz w:val="20"/>
        </w:rPr>
        <w:t>estimates</w:t>
      </w:r>
      <w:r>
        <w:rPr>
          <w:spacing w:val="-3"/>
          <w:sz w:val="20"/>
        </w:rPr>
        <w:t xml:space="preserve"> </w:t>
      </w:r>
      <w:r>
        <w:rPr>
          <w:sz w:val="20"/>
        </w:rPr>
        <w:t>and</w:t>
      </w:r>
      <w:r>
        <w:rPr>
          <w:spacing w:val="-3"/>
          <w:sz w:val="20"/>
        </w:rPr>
        <w:t xml:space="preserve"> </w:t>
      </w:r>
      <w:r>
        <w:rPr>
          <w:sz w:val="20"/>
        </w:rPr>
        <w:t>related</w:t>
      </w:r>
      <w:r>
        <w:rPr>
          <w:spacing w:val="-3"/>
          <w:sz w:val="20"/>
        </w:rPr>
        <w:t xml:space="preserve"> </w:t>
      </w:r>
      <w:r>
        <w:rPr>
          <w:sz w:val="20"/>
        </w:rPr>
        <w:t>disclosures</w:t>
      </w:r>
      <w:r>
        <w:rPr>
          <w:spacing w:val="-3"/>
          <w:sz w:val="20"/>
        </w:rPr>
        <w:t xml:space="preserve"> </w:t>
      </w:r>
      <w:r>
        <w:rPr>
          <w:sz w:val="20"/>
        </w:rPr>
        <w:t>made</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entity.</w:t>
      </w:r>
    </w:p>
    <w:p w14:paraId="328A7112" w14:textId="77777777" w:rsidR="00AC6F3C" w:rsidRDefault="00570E88">
      <w:pPr>
        <w:pStyle w:val="ListParagraph"/>
        <w:numPr>
          <w:ilvl w:val="0"/>
          <w:numId w:val="2"/>
        </w:numPr>
        <w:tabs>
          <w:tab w:val="left" w:pos="1269"/>
        </w:tabs>
        <w:spacing w:before="172" w:line="249" w:lineRule="auto"/>
        <w:ind w:right="1431"/>
        <w:rPr>
          <w:sz w:val="20"/>
        </w:rPr>
      </w:pPr>
      <w:r>
        <w:rPr>
          <w:sz w:val="20"/>
        </w:rPr>
        <w:t>Conclude on the appropriateness of the entity’s use of the going concern basis of accounting</w:t>
      </w:r>
      <w:r>
        <w:rPr>
          <w:spacing w:val="-4"/>
          <w:sz w:val="20"/>
        </w:rPr>
        <w:t xml:space="preserve"> </w:t>
      </w:r>
      <w:r>
        <w:rPr>
          <w:sz w:val="20"/>
        </w:rPr>
        <w:t>and,</w:t>
      </w:r>
      <w:r>
        <w:rPr>
          <w:spacing w:val="-4"/>
          <w:sz w:val="20"/>
        </w:rPr>
        <w:t xml:space="preserve"> </w:t>
      </w:r>
      <w:r>
        <w:rPr>
          <w:sz w:val="20"/>
        </w:rPr>
        <w:t>based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audit</w:t>
      </w:r>
      <w:r>
        <w:rPr>
          <w:spacing w:val="-4"/>
          <w:sz w:val="20"/>
        </w:rPr>
        <w:t xml:space="preserve"> </w:t>
      </w:r>
      <w:r>
        <w:rPr>
          <w:sz w:val="20"/>
        </w:rPr>
        <w:t>evidence</w:t>
      </w:r>
      <w:r>
        <w:rPr>
          <w:spacing w:val="-4"/>
          <w:sz w:val="20"/>
        </w:rPr>
        <w:t xml:space="preserve"> </w:t>
      </w:r>
      <w:r>
        <w:rPr>
          <w:sz w:val="20"/>
        </w:rPr>
        <w:t>obtained,</w:t>
      </w:r>
      <w:r>
        <w:rPr>
          <w:spacing w:val="-4"/>
          <w:sz w:val="20"/>
        </w:rPr>
        <w:t xml:space="preserve"> </w:t>
      </w:r>
      <w:r>
        <w:rPr>
          <w:sz w:val="20"/>
        </w:rPr>
        <w:t>whether</w:t>
      </w:r>
      <w:r>
        <w:rPr>
          <w:spacing w:val="-4"/>
          <w:sz w:val="20"/>
        </w:rPr>
        <w:t xml:space="preserve"> </w:t>
      </w:r>
      <w:r>
        <w:rPr>
          <w:sz w:val="20"/>
        </w:rPr>
        <w:t>a</w:t>
      </w:r>
      <w:r>
        <w:rPr>
          <w:spacing w:val="-4"/>
          <w:sz w:val="20"/>
        </w:rPr>
        <w:t xml:space="preserve"> </w:t>
      </w:r>
      <w:r>
        <w:rPr>
          <w:sz w:val="20"/>
        </w:rPr>
        <w:t>material</w:t>
      </w:r>
      <w:r>
        <w:rPr>
          <w:spacing w:val="-4"/>
          <w:sz w:val="20"/>
        </w:rPr>
        <w:t xml:space="preserve"> </w:t>
      </w:r>
      <w:r>
        <w:rPr>
          <w:sz w:val="20"/>
        </w:rPr>
        <w:t>uncertainty exists related to events or conditions that may cast significant doubt on the entity’s ability to continue as a going concern. If I conclude that a material uncertainty exists,</w:t>
      </w:r>
    </w:p>
    <w:p w14:paraId="0420842D" w14:textId="77777777" w:rsidR="00AC6F3C" w:rsidRDefault="00570E88">
      <w:pPr>
        <w:pStyle w:val="BodyText"/>
        <w:spacing w:before="3" w:line="249" w:lineRule="auto"/>
        <w:ind w:left="1269" w:right="1543"/>
      </w:pPr>
      <w:r>
        <w:t>I</w:t>
      </w:r>
      <w:r>
        <w:rPr>
          <w:spacing w:val="-2"/>
        </w:rPr>
        <w:t xml:space="preserve"> </w:t>
      </w:r>
      <w:r>
        <w:t>am</w:t>
      </w:r>
      <w:r>
        <w:rPr>
          <w:spacing w:val="-2"/>
        </w:rPr>
        <w:t xml:space="preserve"> </w:t>
      </w:r>
      <w:r>
        <w:t>required</w:t>
      </w:r>
      <w:r>
        <w:rPr>
          <w:spacing w:val="-2"/>
        </w:rPr>
        <w:t xml:space="preserve"> </w:t>
      </w:r>
      <w:r>
        <w:t>to</w:t>
      </w:r>
      <w:r>
        <w:rPr>
          <w:spacing w:val="-2"/>
        </w:rPr>
        <w:t xml:space="preserve"> </w:t>
      </w:r>
      <w:r>
        <w:t>draw</w:t>
      </w:r>
      <w:r>
        <w:rPr>
          <w:spacing w:val="-2"/>
        </w:rPr>
        <w:t xml:space="preserve"> </w:t>
      </w:r>
      <w:r>
        <w:t>attention</w:t>
      </w:r>
      <w:r>
        <w:rPr>
          <w:spacing w:val="-2"/>
        </w:rPr>
        <w:t xml:space="preserve"> </w:t>
      </w:r>
      <w:r>
        <w:t>in</w:t>
      </w:r>
      <w:r>
        <w:rPr>
          <w:spacing w:val="-2"/>
        </w:rPr>
        <w:t xml:space="preserve"> </w:t>
      </w:r>
      <w:r>
        <w:t>my</w:t>
      </w:r>
      <w:r>
        <w:rPr>
          <w:spacing w:val="-2"/>
        </w:rPr>
        <w:t xml:space="preserve"> </w:t>
      </w:r>
      <w:r>
        <w:t>auditor’s</w:t>
      </w:r>
      <w:r>
        <w:rPr>
          <w:spacing w:val="-2"/>
        </w:rPr>
        <w:t xml:space="preserve"> </w:t>
      </w:r>
      <w:r>
        <w:t>report</w:t>
      </w:r>
      <w:r>
        <w:rPr>
          <w:spacing w:val="-2"/>
        </w:rPr>
        <w:t xml:space="preserve"> </w:t>
      </w:r>
      <w:r>
        <w:t>to</w:t>
      </w:r>
      <w:r>
        <w:rPr>
          <w:spacing w:val="-2"/>
        </w:rPr>
        <w:t xml:space="preserve"> </w:t>
      </w:r>
      <w:r>
        <w:t>the</w:t>
      </w:r>
      <w:r>
        <w:rPr>
          <w:spacing w:val="-2"/>
        </w:rPr>
        <w:t xml:space="preserve"> </w:t>
      </w:r>
      <w:r>
        <w:t>related</w:t>
      </w:r>
      <w:r>
        <w:rPr>
          <w:spacing w:val="-2"/>
        </w:rPr>
        <w:t xml:space="preserve"> </w:t>
      </w:r>
      <w:r>
        <w:t>disclosures</w:t>
      </w:r>
      <w:r>
        <w:rPr>
          <w:spacing w:val="-2"/>
        </w:rPr>
        <w:t xml:space="preserve"> </w:t>
      </w:r>
      <w:r>
        <w:t>in</w:t>
      </w:r>
      <w:r>
        <w:rPr>
          <w:spacing w:val="-2"/>
        </w:rPr>
        <w:t xml:space="preserve"> </w:t>
      </w:r>
      <w:r>
        <w:t>the financial report or, if such disclosures are inadequate, to modify my opinion. I base my conclusions on the audit evidence obtained up to the date of my auditor’s report. However, future events or conditions may cause the entity to cease to continue as a going concern.</w:t>
      </w:r>
    </w:p>
    <w:p w14:paraId="6E7B7482" w14:textId="77777777" w:rsidR="00AC6F3C" w:rsidRDefault="00570E88">
      <w:pPr>
        <w:pStyle w:val="ListParagraph"/>
        <w:numPr>
          <w:ilvl w:val="0"/>
          <w:numId w:val="2"/>
        </w:numPr>
        <w:tabs>
          <w:tab w:val="left" w:pos="1267"/>
          <w:tab w:val="left" w:pos="1269"/>
        </w:tabs>
        <w:spacing w:before="174" w:line="249" w:lineRule="auto"/>
        <w:ind w:right="1287"/>
        <w:jc w:val="both"/>
        <w:rPr>
          <w:sz w:val="20"/>
        </w:rPr>
      </w:pPr>
      <w:r>
        <w:rPr>
          <w:sz w:val="20"/>
        </w:rPr>
        <w:t>Evaluate</w:t>
      </w:r>
      <w:r>
        <w:rPr>
          <w:spacing w:val="-3"/>
          <w:sz w:val="20"/>
        </w:rPr>
        <w:t xml:space="preserve"> </w:t>
      </w:r>
      <w:r>
        <w:rPr>
          <w:sz w:val="20"/>
        </w:rPr>
        <w:t>the</w:t>
      </w:r>
      <w:r>
        <w:rPr>
          <w:spacing w:val="-3"/>
          <w:sz w:val="20"/>
        </w:rPr>
        <w:t xml:space="preserve"> </w:t>
      </w:r>
      <w:r>
        <w:rPr>
          <w:sz w:val="20"/>
        </w:rPr>
        <w:t>overall</w:t>
      </w:r>
      <w:r>
        <w:rPr>
          <w:spacing w:val="-3"/>
          <w:sz w:val="20"/>
        </w:rPr>
        <w:t xml:space="preserve"> </w:t>
      </w:r>
      <w:r>
        <w:rPr>
          <w:sz w:val="20"/>
        </w:rPr>
        <w:t>presentation,</w:t>
      </w:r>
      <w:r>
        <w:rPr>
          <w:spacing w:val="-3"/>
          <w:sz w:val="20"/>
        </w:rPr>
        <w:t xml:space="preserve"> </w:t>
      </w:r>
      <w:r>
        <w:rPr>
          <w:sz w:val="20"/>
        </w:rPr>
        <w:t>structure</w:t>
      </w:r>
      <w:r>
        <w:rPr>
          <w:spacing w:val="-3"/>
          <w:sz w:val="20"/>
        </w:rPr>
        <w:t xml:space="preserve"> </w:t>
      </w:r>
      <w:r>
        <w:rPr>
          <w:sz w:val="20"/>
        </w:rPr>
        <w:t>and</w:t>
      </w:r>
      <w:r>
        <w:rPr>
          <w:spacing w:val="-3"/>
          <w:sz w:val="20"/>
        </w:rPr>
        <w:t xml:space="preserve"> </w:t>
      </w:r>
      <w:r>
        <w:rPr>
          <w:sz w:val="20"/>
        </w:rPr>
        <w:t>content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w:t>
      </w:r>
      <w:r>
        <w:rPr>
          <w:spacing w:val="-3"/>
          <w:sz w:val="20"/>
        </w:rPr>
        <w:t xml:space="preserve"> </w:t>
      </w:r>
      <w:r>
        <w:rPr>
          <w:sz w:val="20"/>
        </w:rPr>
        <w:t>including the disclosures, and whether the financial report represents the underlying transactions and events in a manner that achieves fair presentation.</w:t>
      </w:r>
    </w:p>
    <w:p w14:paraId="113187FB" w14:textId="77777777" w:rsidR="00AC6F3C" w:rsidRDefault="00570E88">
      <w:pPr>
        <w:pStyle w:val="BodyText"/>
        <w:spacing w:before="173" w:line="249" w:lineRule="auto"/>
        <w:ind w:left="815" w:right="1424"/>
      </w:pPr>
      <w:r>
        <w:t>I</w:t>
      </w:r>
      <w:r>
        <w:rPr>
          <w:spacing w:val="-3"/>
        </w:rPr>
        <w:t xml:space="preserve"> </w:t>
      </w:r>
      <w:r>
        <w:t>communicate</w:t>
      </w:r>
      <w:r>
        <w:rPr>
          <w:spacing w:val="-3"/>
        </w:rPr>
        <w:t xml:space="preserve"> </w:t>
      </w:r>
      <w:r>
        <w:t>with</w:t>
      </w:r>
      <w:r>
        <w:rPr>
          <w:spacing w:val="-3"/>
        </w:rPr>
        <w:t xml:space="preserve"> </w:t>
      </w:r>
      <w:r>
        <w:t>the</w:t>
      </w:r>
      <w:r>
        <w:rPr>
          <w:spacing w:val="-3"/>
        </w:rPr>
        <w:t xml:space="preserve"> </w:t>
      </w:r>
      <w:r>
        <w:t>Council</w:t>
      </w:r>
      <w:r>
        <w:rPr>
          <w:spacing w:val="-3"/>
        </w:rPr>
        <w:t xml:space="preserve"> </w:t>
      </w:r>
      <w:r>
        <w:t>regarding,</w:t>
      </w:r>
      <w:r>
        <w:rPr>
          <w:spacing w:val="-3"/>
        </w:rPr>
        <w:t xml:space="preserve"> </w:t>
      </w:r>
      <w:r>
        <w:t>among</w:t>
      </w:r>
      <w:r>
        <w:rPr>
          <w:spacing w:val="-3"/>
        </w:rPr>
        <w:t xml:space="preserve"> </w:t>
      </w:r>
      <w:r>
        <w:t>other</w:t>
      </w:r>
      <w:r>
        <w:rPr>
          <w:spacing w:val="-3"/>
        </w:rPr>
        <w:t xml:space="preserve"> </w:t>
      </w:r>
      <w:r>
        <w:t>matters,</w:t>
      </w:r>
      <w:r>
        <w:rPr>
          <w:spacing w:val="-3"/>
        </w:rPr>
        <w:t xml:space="preserve"> </w:t>
      </w:r>
      <w:r>
        <w:t>the</w:t>
      </w:r>
      <w:r>
        <w:rPr>
          <w:spacing w:val="-3"/>
        </w:rPr>
        <w:t xml:space="preserve"> </w:t>
      </w:r>
      <w:r>
        <w:t>planned</w:t>
      </w:r>
      <w:r>
        <w:rPr>
          <w:spacing w:val="-3"/>
        </w:rPr>
        <w:t xml:space="preserve"> </w:t>
      </w:r>
      <w:r>
        <w:t>scope</w:t>
      </w:r>
      <w:r>
        <w:rPr>
          <w:spacing w:val="-3"/>
        </w:rPr>
        <w:t xml:space="preserve"> </w:t>
      </w:r>
      <w:r>
        <w:t>and timing of the audit and significant audit findings, including any significant deficiencies in internal control that I identify during my audit.</w:t>
      </w:r>
    </w:p>
    <w:p w14:paraId="343A5943" w14:textId="77777777" w:rsidR="00AC6F3C" w:rsidRDefault="00AC6F3C">
      <w:pPr>
        <w:spacing w:line="249" w:lineRule="auto"/>
        <w:sectPr w:rsidR="00AC6F3C">
          <w:pgSz w:w="11910" w:h="16840"/>
          <w:pgMar w:top="2460" w:right="1160" w:bottom="520" w:left="460" w:header="1524" w:footer="336" w:gutter="0"/>
          <w:cols w:space="720"/>
        </w:sectPr>
      </w:pPr>
    </w:p>
    <w:p w14:paraId="3D7F3835" w14:textId="77777777" w:rsidR="00AC6F3C" w:rsidRDefault="00AC6F3C">
      <w:pPr>
        <w:pStyle w:val="BodyText"/>
      </w:pPr>
    </w:p>
    <w:p w14:paraId="549C0D10" w14:textId="77777777" w:rsidR="00AC6F3C" w:rsidRDefault="00AC6F3C">
      <w:pPr>
        <w:pStyle w:val="BodyText"/>
        <w:spacing w:before="2"/>
        <w:rPr>
          <w:sz w:val="28"/>
        </w:rPr>
      </w:pPr>
    </w:p>
    <w:p w14:paraId="01AE076B" w14:textId="77777777" w:rsidR="00AC6F3C" w:rsidRDefault="00570E88">
      <w:pPr>
        <w:pStyle w:val="Heading9"/>
        <w:spacing w:before="93"/>
      </w:pPr>
      <w:r>
        <w:t>Report</w:t>
      </w:r>
      <w:r>
        <w:rPr>
          <w:spacing w:val="-3"/>
        </w:rPr>
        <w:t xml:space="preserve"> </w:t>
      </w:r>
      <w:r>
        <w:t>on</w:t>
      </w:r>
      <w:r>
        <w:rPr>
          <w:spacing w:val="-2"/>
        </w:rPr>
        <w:t xml:space="preserve"> </w:t>
      </w:r>
      <w:r>
        <w:t>other</w:t>
      </w:r>
      <w:r>
        <w:rPr>
          <w:spacing w:val="-2"/>
        </w:rPr>
        <w:t xml:space="preserve"> </w:t>
      </w:r>
      <w:r>
        <w:t>legal</w:t>
      </w:r>
      <w:r>
        <w:rPr>
          <w:spacing w:val="-2"/>
        </w:rPr>
        <w:t xml:space="preserve"> </w:t>
      </w:r>
      <w:r>
        <w:t>and</w:t>
      </w:r>
      <w:r>
        <w:rPr>
          <w:spacing w:val="-2"/>
        </w:rPr>
        <w:t xml:space="preserve"> </w:t>
      </w:r>
      <w:r>
        <w:t>regulatory</w:t>
      </w:r>
      <w:r>
        <w:rPr>
          <w:spacing w:val="-2"/>
        </w:rPr>
        <w:t xml:space="preserve"> requirements</w:t>
      </w:r>
    </w:p>
    <w:p w14:paraId="0C5F36DE" w14:textId="77777777" w:rsidR="00AC6F3C" w:rsidRDefault="00AC6F3C">
      <w:pPr>
        <w:pStyle w:val="BodyText"/>
        <w:spacing w:before="2"/>
        <w:rPr>
          <w:b/>
          <w:sz w:val="23"/>
        </w:rPr>
      </w:pPr>
    </w:p>
    <w:p w14:paraId="3BC88F75" w14:textId="77777777" w:rsidR="00AC6F3C" w:rsidRDefault="00570E88">
      <w:pPr>
        <w:pStyle w:val="Heading9"/>
      </w:pPr>
      <w:r>
        <w:rPr>
          <w:spacing w:val="-2"/>
        </w:rPr>
        <w:t>Statement</w:t>
      </w:r>
    </w:p>
    <w:p w14:paraId="18345DCE" w14:textId="77777777" w:rsidR="00AC6F3C" w:rsidRDefault="00570E88">
      <w:pPr>
        <w:spacing w:before="176"/>
        <w:ind w:left="815"/>
        <w:rPr>
          <w:sz w:val="20"/>
        </w:rPr>
      </w:pPr>
      <w:r>
        <w:rPr>
          <w:sz w:val="20"/>
        </w:rPr>
        <w:t>In</w:t>
      </w:r>
      <w:r>
        <w:rPr>
          <w:spacing w:val="-3"/>
          <w:sz w:val="20"/>
        </w:rPr>
        <w:t xml:space="preserve"> </w:t>
      </w:r>
      <w:r>
        <w:rPr>
          <w:sz w:val="20"/>
        </w:rPr>
        <w:t>accordance</w:t>
      </w:r>
      <w:r>
        <w:rPr>
          <w:spacing w:val="-3"/>
          <w:sz w:val="20"/>
        </w:rPr>
        <w:t xml:space="preserve"> </w:t>
      </w:r>
      <w:r>
        <w:rPr>
          <w:sz w:val="20"/>
        </w:rPr>
        <w:t>with</w:t>
      </w:r>
      <w:r>
        <w:rPr>
          <w:spacing w:val="-3"/>
          <w:sz w:val="20"/>
        </w:rPr>
        <w:t xml:space="preserve"> </w:t>
      </w:r>
      <w:r>
        <w:rPr>
          <w:sz w:val="20"/>
        </w:rPr>
        <w:t>s.40</w:t>
      </w:r>
      <w:r>
        <w:rPr>
          <w:spacing w:val="-3"/>
          <w:sz w:val="20"/>
        </w:rPr>
        <w:t xml:space="preserve"> </w:t>
      </w:r>
      <w:r>
        <w:rPr>
          <w:sz w:val="20"/>
        </w:rPr>
        <w:t>of</w:t>
      </w:r>
      <w:r>
        <w:rPr>
          <w:spacing w:val="-3"/>
          <w:sz w:val="20"/>
        </w:rPr>
        <w:t xml:space="preserve"> </w:t>
      </w:r>
      <w:r>
        <w:rPr>
          <w:sz w:val="20"/>
        </w:rPr>
        <w:t>the</w:t>
      </w:r>
      <w:r>
        <w:rPr>
          <w:spacing w:val="-2"/>
          <w:sz w:val="20"/>
        </w:rPr>
        <w:t xml:space="preserve"> </w:t>
      </w:r>
      <w:r>
        <w:rPr>
          <w:i/>
          <w:sz w:val="20"/>
        </w:rPr>
        <w:t>Auditor-General</w:t>
      </w:r>
      <w:r>
        <w:rPr>
          <w:i/>
          <w:spacing w:val="-11"/>
          <w:sz w:val="20"/>
        </w:rPr>
        <w:t xml:space="preserve"> </w:t>
      </w:r>
      <w:r>
        <w:rPr>
          <w:i/>
          <w:sz w:val="20"/>
        </w:rPr>
        <w:t>Act</w:t>
      </w:r>
      <w:r>
        <w:rPr>
          <w:i/>
          <w:spacing w:val="-3"/>
          <w:sz w:val="20"/>
        </w:rPr>
        <w:t xml:space="preserve"> </w:t>
      </w:r>
      <w:r>
        <w:rPr>
          <w:i/>
          <w:sz w:val="20"/>
        </w:rPr>
        <w:t>2009</w:t>
      </w:r>
      <w:r>
        <w:rPr>
          <w:sz w:val="20"/>
        </w:rPr>
        <w:t>,</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year</w:t>
      </w:r>
      <w:r>
        <w:rPr>
          <w:spacing w:val="-3"/>
          <w:sz w:val="20"/>
        </w:rPr>
        <w:t xml:space="preserve"> </w:t>
      </w:r>
      <w:r>
        <w:rPr>
          <w:sz w:val="20"/>
        </w:rPr>
        <w:t>ended</w:t>
      </w:r>
      <w:r>
        <w:rPr>
          <w:spacing w:val="-3"/>
          <w:sz w:val="20"/>
        </w:rPr>
        <w:t xml:space="preserve"> </w:t>
      </w:r>
      <w:r>
        <w:rPr>
          <w:sz w:val="20"/>
        </w:rPr>
        <w:t>30</w:t>
      </w:r>
      <w:r>
        <w:rPr>
          <w:spacing w:val="-3"/>
          <w:sz w:val="20"/>
        </w:rPr>
        <w:t xml:space="preserve"> </w:t>
      </w:r>
      <w:r>
        <w:rPr>
          <w:sz w:val="20"/>
        </w:rPr>
        <w:t>June</w:t>
      </w:r>
      <w:r>
        <w:rPr>
          <w:spacing w:val="-2"/>
          <w:sz w:val="20"/>
        </w:rPr>
        <w:t xml:space="preserve"> 2023:</w:t>
      </w:r>
    </w:p>
    <w:p w14:paraId="2BFF5804" w14:textId="77777777" w:rsidR="00AC6F3C" w:rsidRDefault="00570E88">
      <w:pPr>
        <w:pStyle w:val="ListParagraph"/>
        <w:numPr>
          <w:ilvl w:val="0"/>
          <w:numId w:val="1"/>
        </w:numPr>
        <w:tabs>
          <w:tab w:val="left" w:pos="1269"/>
        </w:tabs>
        <w:rPr>
          <w:sz w:val="20"/>
        </w:rPr>
      </w:pPr>
      <w:r>
        <w:rPr>
          <w:sz w:val="20"/>
        </w:rPr>
        <w:t>I</w:t>
      </w:r>
      <w:r>
        <w:rPr>
          <w:spacing w:val="-3"/>
          <w:sz w:val="20"/>
        </w:rPr>
        <w:t xml:space="preserve"> </w:t>
      </w:r>
      <w:r>
        <w:rPr>
          <w:sz w:val="20"/>
        </w:rPr>
        <w:t>received</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information</w:t>
      </w:r>
      <w:r>
        <w:rPr>
          <w:spacing w:val="-3"/>
          <w:sz w:val="20"/>
        </w:rPr>
        <w:t xml:space="preserve"> </w:t>
      </w:r>
      <w:r>
        <w:rPr>
          <w:sz w:val="20"/>
        </w:rPr>
        <w:t>and</w:t>
      </w:r>
      <w:r>
        <w:rPr>
          <w:spacing w:val="-3"/>
          <w:sz w:val="20"/>
        </w:rPr>
        <w:t xml:space="preserve"> </w:t>
      </w:r>
      <w:r>
        <w:rPr>
          <w:sz w:val="20"/>
        </w:rPr>
        <w:t>explanations</w:t>
      </w:r>
      <w:r>
        <w:rPr>
          <w:spacing w:val="-3"/>
          <w:sz w:val="20"/>
        </w:rPr>
        <w:t xml:space="preserve"> </w:t>
      </w:r>
      <w:r>
        <w:rPr>
          <w:sz w:val="20"/>
        </w:rPr>
        <w:t>I</w:t>
      </w:r>
      <w:r>
        <w:rPr>
          <w:spacing w:val="-2"/>
          <w:sz w:val="20"/>
        </w:rPr>
        <w:t xml:space="preserve"> required.</w:t>
      </w:r>
    </w:p>
    <w:p w14:paraId="7DE0636C" w14:textId="77777777" w:rsidR="00AC6F3C" w:rsidRDefault="00570E88">
      <w:pPr>
        <w:pStyle w:val="ListParagraph"/>
        <w:numPr>
          <w:ilvl w:val="0"/>
          <w:numId w:val="1"/>
        </w:numPr>
        <w:tabs>
          <w:tab w:val="left" w:pos="1269"/>
        </w:tabs>
        <w:spacing w:line="249" w:lineRule="auto"/>
        <w:ind w:right="1246"/>
        <w:rPr>
          <w:sz w:val="20"/>
        </w:rPr>
      </w:pPr>
      <w:r>
        <w:rPr>
          <w:sz w:val="20"/>
        </w:rPr>
        <w:t>I</w:t>
      </w:r>
      <w:r>
        <w:rPr>
          <w:spacing w:val="-4"/>
          <w:sz w:val="20"/>
        </w:rPr>
        <w:t xml:space="preserve"> </w:t>
      </w:r>
      <w:r>
        <w:rPr>
          <w:sz w:val="20"/>
        </w:rPr>
        <w:t>consider</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prescribed</w:t>
      </w:r>
      <w:r>
        <w:rPr>
          <w:spacing w:val="-4"/>
          <w:sz w:val="20"/>
        </w:rPr>
        <w:t xml:space="preserve"> </w:t>
      </w:r>
      <w:r>
        <w:rPr>
          <w:sz w:val="20"/>
        </w:rPr>
        <w:t>requirements</w:t>
      </w:r>
      <w:r>
        <w:rPr>
          <w:spacing w:val="-4"/>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establishment</w:t>
      </w:r>
      <w:r>
        <w:rPr>
          <w:spacing w:val="-4"/>
          <w:sz w:val="20"/>
        </w:rPr>
        <w:t xml:space="preserve"> </w:t>
      </w:r>
      <w:r>
        <w:rPr>
          <w:sz w:val="20"/>
        </w:rPr>
        <w:t>and</w:t>
      </w:r>
      <w:r>
        <w:rPr>
          <w:spacing w:val="-4"/>
          <w:sz w:val="20"/>
        </w:rPr>
        <w:t xml:space="preserve"> </w:t>
      </w:r>
      <w:r>
        <w:rPr>
          <w:sz w:val="20"/>
        </w:rPr>
        <w:t>keeping of accounts were complied with in all material respects.</w:t>
      </w:r>
    </w:p>
    <w:p w14:paraId="24531B80" w14:textId="77777777" w:rsidR="00AC6F3C" w:rsidRDefault="00AC6F3C">
      <w:pPr>
        <w:pStyle w:val="BodyText"/>
        <w:spacing w:before="9"/>
        <w:rPr>
          <w:sz w:val="22"/>
        </w:rPr>
      </w:pPr>
    </w:p>
    <w:p w14:paraId="2352BB51" w14:textId="77777777" w:rsidR="00AC6F3C" w:rsidRDefault="00570E88">
      <w:pPr>
        <w:pStyle w:val="Heading9"/>
      </w:pPr>
      <w:r>
        <w:t>Prescribed</w:t>
      </w:r>
      <w:r>
        <w:rPr>
          <w:spacing w:val="-6"/>
        </w:rPr>
        <w:t xml:space="preserve"> </w:t>
      </w:r>
      <w:r>
        <w:t>requirements</w:t>
      </w:r>
      <w:r>
        <w:rPr>
          <w:spacing w:val="-5"/>
        </w:rPr>
        <w:t xml:space="preserve"> </w:t>
      </w:r>
      <w:r>
        <w:rPr>
          <w:spacing w:val="-2"/>
        </w:rPr>
        <w:t>scope</w:t>
      </w:r>
    </w:p>
    <w:p w14:paraId="37E8E6A5" w14:textId="77777777" w:rsidR="00AC6F3C" w:rsidRDefault="00570E88">
      <w:pPr>
        <w:pStyle w:val="BodyText"/>
        <w:spacing w:before="176" w:line="249" w:lineRule="auto"/>
        <w:ind w:left="815" w:right="1424"/>
      </w:pPr>
      <w:r>
        <w:t>The</w:t>
      </w:r>
      <w:r>
        <w:rPr>
          <w:spacing w:val="-3"/>
        </w:rPr>
        <w:t xml:space="preserve"> </w:t>
      </w:r>
      <w:r>
        <w:t>prescribed</w:t>
      </w:r>
      <w:r>
        <w:rPr>
          <w:spacing w:val="-3"/>
        </w:rPr>
        <w:t xml:space="preserve"> </w:t>
      </w:r>
      <w:r>
        <w:t>requirements</w:t>
      </w:r>
      <w:r>
        <w:rPr>
          <w:spacing w:val="-3"/>
        </w:rPr>
        <w:t xml:space="preserve"> </w:t>
      </w:r>
      <w:r>
        <w:t>for</w:t>
      </w:r>
      <w:r>
        <w:rPr>
          <w:spacing w:val="-3"/>
        </w:rPr>
        <w:t xml:space="preserve"> </w:t>
      </w:r>
      <w:r>
        <w:t>the</w:t>
      </w:r>
      <w:r>
        <w:rPr>
          <w:spacing w:val="-3"/>
        </w:rPr>
        <w:t xml:space="preserve"> </w:t>
      </w:r>
      <w:r>
        <w:t>establishment</w:t>
      </w:r>
      <w:r>
        <w:rPr>
          <w:spacing w:val="-3"/>
        </w:rPr>
        <w:t xml:space="preserve"> </w:t>
      </w:r>
      <w:r>
        <w:t>and</w:t>
      </w:r>
      <w:r>
        <w:rPr>
          <w:spacing w:val="-3"/>
        </w:rPr>
        <w:t xml:space="preserve"> </w:t>
      </w:r>
      <w:r>
        <w:t>keeping</w:t>
      </w:r>
      <w:r>
        <w:rPr>
          <w:spacing w:val="-3"/>
        </w:rPr>
        <w:t xml:space="preserve"> </w:t>
      </w:r>
      <w:r>
        <w:t>of</w:t>
      </w:r>
      <w:r>
        <w:rPr>
          <w:spacing w:val="-3"/>
        </w:rPr>
        <w:t xml:space="preserve"> </w:t>
      </w:r>
      <w:r>
        <w:t>accounts</w:t>
      </w:r>
      <w:r>
        <w:rPr>
          <w:spacing w:val="-3"/>
        </w:rPr>
        <w:t xml:space="preserve"> </w:t>
      </w:r>
      <w:r>
        <w:t>are</w:t>
      </w:r>
      <w:r>
        <w:rPr>
          <w:spacing w:val="-3"/>
        </w:rPr>
        <w:t xml:space="preserve"> </w:t>
      </w:r>
      <w:r>
        <w:t xml:space="preserve">contained in the </w:t>
      </w:r>
      <w:r>
        <w:rPr>
          <w:i/>
        </w:rPr>
        <w:t>Financial</w:t>
      </w:r>
      <w:r>
        <w:rPr>
          <w:i/>
          <w:spacing w:val="-7"/>
        </w:rPr>
        <w:t xml:space="preserve"> </w:t>
      </w:r>
      <w:r>
        <w:rPr>
          <w:i/>
        </w:rPr>
        <w:t>Accountability</w:t>
      </w:r>
      <w:r>
        <w:rPr>
          <w:i/>
          <w:spacing w:val="-7"/>
        </w:rPr>
        <w:t xml:space="preserve"> </w:t>
      </w:r>
      <w:r>
        <w:rPr>
          <w:i/>
        </w:rPr>
        <w:t>Act 2009</w:t>
      </w:r>
      <w:r>
        <w:t>, any other</w:t>
      </w:r>
      <w:r>
        <w:rPr>
          <w:spacing w:val="-11"/>
        </w:rPr>
        <w:t xml:space="preserve"> </w:t>
      </w:r>
      <w:r>
        <w:t>Act and the Financial and Performance Management Standard 2019. The applicable requirements include those for keeping financial records that correctly record and explain the entity’s transactions and account balances to enable the preparation of a true and fair financial report.</w:t>
      </w:r>
    </w:p>
    <w:p w14:paraId="7CE52812" w14:textId="77777777" w:rsidR="00AC6F3C" w:rsidRDefault="00AC6F3C">
      <w:pPr>
        <w:pStyle w:val="BodyText"/>
      </w:pPr>
    </w:p>
    <w:p w14:paraId="7E3F3C76" w14:textId="77777777" w:rsidR="00AC6F3C" w:rsidRDefault="00AC6F3C">
      <w:pPr>
        <w:pStyle w:val="BodyText"/>
      </w:pPr>
    </w:p>
    <w:p w14:paraId="5AFF79DF" w14:textId="77777777" w:rsidR="00AC6F3C" w:rsidRDefault="00AC6F3C">
      <w:pPr>
        <w:sectPr w:rsidR="00AC6F3C">
          <w:pgSz w:w="11910" w:h="16840"/>
          <w:pgMar w:top="2460" w:right="1160" w:bottom="520" w:left="460" w:header="1524" w:footer="336" w:gutter="0"/>
          <w:cols w:space="720"/>
        </w:sectPr>
      </w:pPr>
    </w:p>
    <w:p w14:paraId="15F3355C" w14:textId="77777777" w:rsidR="00AC6F3C" w:rsidRDefault="00AC6F3C">
      <w:pPr>
        <w:pStyle w:val="BodyText"/>
        <w:rPr>
          <w:sz w:val="7"/>
        </w:rPr>
      </w:pPr>
    </w:p>
    <w:p w14:paraId="2E52B9A1" w14:textId="33CB659F" w:rsidR="00AC6F3C" w:rsidRDefault="00AC6F3C">
      <w:pPr>
        <w:pStyle w:val="BodyText"/>
        <w:ind w:left="845" w:right="-15"/>
      </w:pPr>
    </w:p>
    <w:p w14:paraId="36A81999" w14:textId="77777777" w:rsidR="00AC6F3C" w:rsidRDefault="00AC6F3C">
      <w:pPr>
        <w:pStyle w:val="BodyText"/>
        <w:spacing w:before="5"/>
        <w:rPr>
          <w:sz w:val="27"/>
        </w:rPr>
      </w:pPr>
    </w:p>
    <w:p w14:paraId="69EAE0B1" w14:textId="77777777" w:rsidR="00AC6F3C" w:rsidRDefault="00570E88">
      <w:pPr>
        <w:pStyle w:val="BodyText"/>
        <w:ind w:left="895"/>
      </w:pPr>
      <w:r>
        <w:t>Michelle</w:t>
      </w:r>
      <w:r>
        <w:rPr>
          <w:spacing w:val="-7"/>
        </w:rPr>
        <w:t xml:space="preserve"> </w:t>
      </w:r>
      <w:r>
        <w:rPr>
          <w:spacing w:val="-2"/>
        </w:rPr>
        <w:t>Reardon</w:t>
      </w:r>
    </w:p>
    <w:p w14:paraId="72BAC588" w14:textId="77777777" w:rsidR="00AC6F3C" w:rsidRDefault="00570E88">
      <w:pPr>
        <w:pStyle w:val="BodyText"/>
        <w:spacing w:before="10"/>
        <w:ind w:left="895"/>
      </w:pPr>
      <w:r>
        <w:t>as</w:t>
      </w:r>
      <w:r>
        <w:rPr>
          <w:spacing w:val="-6"/>
        </w:rPr>
        <w:t xml:space="preserve"> </w:t>
      </w:r>
      <w:r>
        <w:t>delegate</w:t>
      </w:r>
      <w:r>
        <w:rPr>
          <w:spacing w:val="-4"/>
        </w:rPr>
        <w:t xml:space="preserve"> </w:t>
      </w:r>
      <w:r>
        <w:t>of</w:t>
      </w:r>
      <w:r>
        <w:rPr>
          <w:spacing w:val="-5"/>
        </w:rPr>
        <w:t xml:space="preserve"> </w:t>
      </w:r>
      <w:r>
        <w:t>the</w:t>
      </w:r>
      <w:r>
        <w:rPr>
          <w:spacing w:val="-13"/>
        </w:rPr>
        <w:t xml:space="preserve"> </w:t>
      </w:r>
      <w:r>
        <w:t>Auditor-</w:t>
      </w:r>
      <w:r>
        <w:rPr>
          <w:spacing w:val="-2"/>
        </w:rPr>
        <w:t>General</w:t>
      </w:r>
    </w:p>
    <w:p w14:paraId="0238ED71" w14:textId="77777777" w:rsidR="00AC6F3C" w:rsidRDefault="00570E88">
      <w:pPr>
        <w:rPr>
          <w:sz w:val="21"/>
        </w:rPr>
      </w:pPr>
      <w:r>
        <w:br w:type="column"/>
      </w:r>
    </w:p>
    <w:p w14:paraId="5CF9C56A" w14:textId="77777777" w:rsidR="00AC6F3C" w:rsidRDefault="00570E88">
      <w:pPr>
        <w:pStyle w:val="BodyText"/>
        <w:ind w:right="193"/>
        <w:jc w:val="right"/>
      </w:pPr>
      <w:r>
        <w:t>31</w:t>
      </w:r>
      <w:r>
        <w:rPr>
          <w:spacing w:val="-12"/>
        </w:rPr>
        <w:t xml:space="preserve"> </w:t>
      </w:r>
      <w:r>
        <w:t xml:space="preserve">August </w:t>
      </w:r>
      <w:r>
        <w:rPr>
          <w:spacing w:val="-4"/>
        </w:rPr>
        <w:t>2023</w:t>
      </w:r>
    </w:p>
    <w:p w14:paraId="75176AA5" w14:textId="77777777" w:rsidR="00AC6F3C" w:rsidRDefault="00AC6F3C">
      <w:pPr>
        <w:pStyle w:val="BodyText"/>
        <w:rPr>
          <w:sz w:val="22"/>
        </w:rPr>
      </w:pPr>
    </w:p>
    <w:p w14:paraId="1E632571" w14:textId="77777777" w:rsidR="00AC6F3C" w:rsidRDefault="00AC6F3C">
      <w:pPr>
        <w:pStyle w:val="BodyText"/>
        <w:rPr>
          <w:sz w:val="22"/>
        </w:rPr>
      </w:pPr>
    </w:p>
    <w:p w14:paraId="5CA0304C" w14:textId="77777777" w:rsidR="00AC6F3C" w:rsidRDefault="00AC6F3C">
      <w:pPr>
        <w:pStyle w:val="BodyText"/>
        <w:spacing w:before="7"/>
        <w:rPr>
          <w:sz w:val="17"/>
        </w:rPr>
      </w:pPr>
    </w:p>
    <w:p w14:paraId="0869C20F" w14:textId="77777777" w:rsidR="00AC6F3C" w:rsidRDefault="00570E88">
      <w:pPr>
        <w:pStyle w:val="BodyText"/>
        <w:ind w:right="193"/>
        <w:jc w:val="right"/>
      </w:pPr>
      <w:r>
        <w:t>Queensland</w:t>
      </w:r>
      <w:r>
        <w:rPr>
          <w:spacing w:val="-14"/>
        </w:rPr>
        <w:t xml:space="preserve"> </w:t>
      </w:r>
      <w:r>
        <w:t>Audit</w:t>
      </w:r>
      <w:r>
        <w:rPr>
          <w:spacing w:val="-6"/>
        </w:rPr>
        <w:t xml:space="preserve"> </w:t>
      </w:r>
      <w:r>
        <w:rPr>
          <w:spacing w:val="-2"/>
        </w:rPr>
        <w:t>Office</w:t>
      </w:r>
    </w:p>
    <w:p w14:paraId="5C4662E2" w14:textId="77777777" w:rsidR="00AC6F3C" w:rsidRDefault="00570E88">
      <w:pPr>
        <w:pStyle w:val="BodyText"/>
        <w:spacing w:before="10"/>
        <w:ind w:right="193"/>
        <w:jc w:val="right"/>
      </w:pPr>
      <w:r>
        <w:rPr>
          <w:spacing w:val="-2"/>
        </w:rPr>
        <w:t>Brisbane</w:t>
      </w:r>
    </w:p>
    <w:p w14:paraId="134C631A" w14:textId="77777777" w:rsidR="00AC6F3C" w:rsidRDefault="00AC6F3C">
      <w:pPr>
        <w:jc w:val="right"/>
        <w:sectPr w:rsidR="00AC6F3C">
          <w:type w:val="continuous"/>
          <w:pgSz w:w="11910" w:h="16840"/>
          <w:pgMar w:top="1920" w:right="1160" w:bottom="280" w:left="460" w:header="1524" w:footer="336" w:gutter="0"/>
          <w:cols w:num="2" w:space="720" w:equalWidth="0">
            <w:col w:w="3982" w:space="3110"/>
            <w:col w:w="3198"/>
          </w:cols>
        </w:sectPr>
      </w:pPr>
    </w:p>
    <w:p w14:paraId="74829E9B"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3482EF03" wp14:editId="1E180AE0">
                <wp:extent cx="5940425" cy="25400"/>
                <wp:effectExtent l="19050" t="0" r="3175" b="3175"/>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935" name="Graphic 935"/>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A5D2F2" id="Group 934"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">
                <v:shape id="Graphic 935"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" path="m,l5940005,e" filled="f" strokeweight="2pt">
                  <v:path arrowok="t"/>
                </v:shape>
                <w10:anchorlock/>
              </v:group>
            </w:pict>
          </mc:Fallback>
        </mc:AlternateContent>
      </w:r>
    </w:p>
    <w:p w14:paraId="520B890F" w14:textId="77777777" w:rsidR="00AC6F3C" w:rsidRDefault="00570E88">
      <w:pPr>
        <w:pStyle w:val="Heading2"/>
      </w:pPr>
      <w:bookmarkStart w:id="94" w:name="Compliance_checklist"/>
      <w:bookmarkStart w:id="95" w:name="_bookmark37"/>
      <w:bookmarkEnd w:id="94"/>
      <w:bookmarkEnd w:id="95"/>
      <w:r>
        <w:t>Compliance</w:t>
      </w:r>
      <w:r>
        <w:rPr>
          <w:spacing w:val="-9"/>
        </w:rPr>
        <w:t xml:space="preserve"> </w:t>
      </w:r>
      <w:r>
        <w:rPr>
          <w:spacing w:val="-2"/>
        </w:rPr>
        <w:t>checklist</w:t>
      </w:r>
    </w:p>
    <w:p w14:paraId="1F95DBE5" w14:textId="77777777" w:rsidR="00AC6F3C" w:rsidRDefault="00AC6F3C">
      <w:pPr>
        <w:pStyle w:val="BodyText"/>
        <w:rPr>
          <w:b/>
        </w:rPr>
      </w:pPr>
    </w:p>
    <w:p w14:paraId="532192B1" w14:textId="77777777" w:rsidR="00AC6F3C" w:rsidRDefault="00AC6F3C">
      <w:pPr>
        <w:pStyle w:val="BodyText"/>
        <w:spacing w:before="3"/>
        <w:rPr>
          <w:b/>
          <w:sz w:val="16"/>
        </w:rPr>
      </w:pPr>
    </w:p>
    <w:p w14:paraId="4A057A79" w14:textId="77777777" w:rsidR="00AC6F3C" w:rsidRDefault="00570E88">
      <w:pPr>
        <w:pStyle w:val="BodyText"/>
        <w:spacing w:line="20" w:lineRule="exact"/>
        <w:ind w:left="805"/>
        <w:rPr>
          <w:sz w:val="2"/>
        </w:rPr>
      </w:pPr>
      <w:r>
        <w:rPr>
          <w:noProof/>
          <w:sz w:val="2"/>
        </w:rPr>
        <mc:AlternateContent>
          <mc:Choice Requires="wpg">
            <w:drawing>
              <wp:inline distT="0" distB="0" distL="0" distR="0" wp14:anchorId="1B66037A" wp14:editId="33A01977">
                <wp:extent cx="5940425" cy="12700"/>
                <wp:effectExtent l="9525" t="0" r="3175" b="6350"/>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937" name="Graphic 937"/>
                        <wps:cNvSpPr/>
                        <wps:spPr>
                          <a:xfrm>
                            <a:off x="0" y="6350"/>
                            <a:ext cx="1290320" cy="1270"/>
                          </a:xfrm>
                          <a:custGeom>
                            <a:avLst/>
                            <a:gdLst/>
                            <a:ahLst/>
                            <a:cxnLst/>
                            <a:rect l="l" t="t" r="r" b="b"/>
                            <a:pathLst>
                              <a:path w="1290320">
                                <a:moveTo>
                                  <a:pt x="0" y="0"/>
                                </a:moveTo>
                                <a:lnTo>
                                  <a:pt x="1290002" y="0"/>
                                </a:lnTo>
                              </a:path>
                            </a:pathLst>
                          </a:custGeom>
                          <a:ln w="12700">
                            <a:solidFill>
                              <a:srgbClr val="000000"/>
                            </a:solidFill>
                            <a:prstDash val="solid"/>
                          </a:ln>
                        </wps:spPr>
                        <wps:bodyPr wrap="square" lIns="0" tIns="0" rIns="0" bIns="0" rtlCol="0">
                          <a:prstTxWarp prst="textNoShape">
                            <a:avLst/>
                          </a:prstTxWarp>
                          <a:noAutofit/>
                        </wps:bodyPr>
                      </wps:wsp>
                      <wps:wsp>
                        <wps:cNvPr id="938" name="Graphic 938"/>
                        <wps:cNvSpPr/>
                        <wps:spPr>
                          <a:xfrm>
                            <a:off x="1289999" y="6350"/>
                            <a:ext cx="2148205" cy="1270"/>
                          </a:xfrm>
                          <a:custGeom>
                            <a:avLst/>
                            <a:gdLst/>
                            <a:ahLst/>
                            <a:cxnLst/>
                            <a:rect l="l" t="t" r="r" b="b"/>
                            <a:pathLst>
                              <a:path w="2148205">
                                <a:moveTo>
                                  <a:pt x="0" y="0"/>
                                </a:moveTo>
                                <a:lnTo>
                                  <a:pt x="2148001" y="0"/>
                                </a:lnTo>
                              </a:path>
                            </a:pathLst>
                          </a:custGeom>
                          <a:ln w="12700">
                            <a:solidFill>
                              <a:srgbClr val="000000"/>
                            </a:solidFill>
                            <a:prstDash val="solid"/>
                          </a:ln>
                        </wps:spPr>
                        <wps:bodyPr wrap="square" lIns="0" tIns="0" rIns="0" bIns="0" rtlCol="0">
                          <a:prstTxWarp prst="textNoShape">
                            <a:avLst/>
                          </a:prstTxWarp>
                          <a:noAutofit/>
                        </wps:bodyPr>
                      </wps:wsp>
                      <wps:wsp>
                        <wps:cNvPr id="939" name="Graphic 939"/>
                        <wps:cNvSpPr/>
                        <wps:spPr>
                          <a:xfrm>
                            <a:off x="3438000" y="6350"/>
                            <a:ext cx="1497965" cy="1270"/>
                          </a:xfrm>
                          <a:custGeom>
                            <a:avLst/>
                            <a:gdLst/>
                            <a:ahLst/>
                            <a:cxnLst/>
                            <a:rect l="l" t="t" r="r" b="b"/>
                            <a:pathLst>
                              <a:path w="1497965">
                                <a:moveTo>
                                  <a:pt x="0" y="0"/>
                                </a:moveTo>
                                <a:lnTo>
                                  <a:pt x="1497596" y="0"/>
                                </a:lnTo>
                              </a:path>
                            </a:pathLst>
                          </a:custGeom>
                          <a:ln w="12700">
                            <a:solidFill>
                              <a:srgbClr val="000000"/>
                            </a:solidFill>
                            <a:prstDash val="solid"/>
                          </a:ln>
                        </wps:spPr>
                        <wps:bodyPr wrap="square" lIns="0" tIns="0" rIns="0" bIns="0" rtlCol="0">
                          <a:prstTxWarp prst="textNoShape">
                            <a:avLst/>
                          </a:prstTxWarp>
                          <a:noAutofit/>
                        </wps:bodyPr>
                      </wps:wsp>
                      <wps:wsp>
                        <wps:cNvPr id="940" name="Graphic 940"/>
                        <wps:cNvSpPr/>
                        <wps:spPr>
                          <a:xfrm>
                            <a:off x="4935599" y="6350"/>
                            <a:ext cx="1004569" cy="1270"/>
                          </a:xfrm>
                          <a:custGeom>
                            <a:avLst/>
                            <a:gdLst/>
                            <a:ahLst/>
                            <a:cxnLst/>
                            <a:rect l="l" t="t" r="r" b="b"/>
                            <a:pathLst>
                              <a:path w="1004569">
                                <a:moveTo>
                                  <a:pt x="0" y="0"/>
                                </a:moveTo>
                                <a:lnTo>
                                  <a:pt x="100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CAC828" id="Group 936" o:spid="_x0000_s1026" style="width:467.75pt;height:1pt;mso-position-horizontal-relative:char;mso-position-vertical-relative:lin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">
                <v:shape id="Graphic 937" o:spid="_x0000_s1027" style="position:absolute;top:63;width:12903;height:13;visibility:visible;mso-wrap-style:square;v-text-anchor:top" coordsize="129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" path="m,l1290002,e" filled="f" strokeweight="1pt">
                  <v:path arrowok="t"/>
                </v:shape>
                <v:shape id="Graphic 938" o:spid="_x0000_s1028" style="position:absolute;left:12899;top:63;width:21483;height:13;visibility:visible;mso-wrap-style:square;v-text-anchor:top" coordsize="214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" path="m,l2148001,e" filled="f" strokeweight="1pt">
                  <v:path arrowok="t"/>
                </v:shape>
                <v:shape id="Graphic 939" o:spid="_x0000_s1029" style="position:absolute;left:34380;top:63;width:14979;height:13;visibility:visible;mso-wrap-style:square;v-text-anchor:top" coordsize="149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" path="m,l1497596,e" filled="f" strokeweight="1pt">
                  <v:path arrowok="t"/>
                </v:shape>
                <v:shape id="Graphic 940" o:spid="_x0000_s1030" style="position:absolute;left:49355;top:63;width:10046;height:13;visibility:visible;mso-wrap-style:square;v-text-anchor:top" coordsize="10045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" path="m,l1004404,e" filled="f" strokeweight="1pt">
                  <v:path arrowok="t"/>
                </v:shape>
                <w10:anchorlock/>
              </v:group>
            </w:pict>
          </mc:Fallback>
        </mc:AlternateContent>
      </w:r>
    </w:p>
    <w:p w14:paraId="4F385C8E" w14:textId="77777777" w:rsidR="00AC6F3C" w:rsidRDefault="00AC6F3C">
      <w:pPr>
        <w:spacing w:line="20" w:lineRule="exact"/>
        <w:rPr>
          <w:sz w:val="2"/>
        </w:rPr>
        <w:sectPr w:rsidR="00AC6F3C">
          <w:headerReference w:type="default" r:id="rId258"/>
          <w:footerReference w:type="default" r:id="rId259"/>
          <w:pgSz w:w="11910" w:h="16840"/>
          <w:pgMar w:top="980" w:right="1160" w:bottom="520" w:left="460" w:header="0" w:footer="336" w:gutter="0"/>
          <w:cols w:space="720"/>
        </w:sectPr>
      </w:pPr>
    </w:p>
    <w:p w14:paraId="4043A34E" w14:textId="77777777" w:rsidR="00AC6F3C" w:rsidRDefault="00AC6F3C">
      <w:pPr>
        <w:pStyle w:val="BodyText"/>
        <w:spacing w:before="2"/>
        <w:rPr>
          <w:b/>
          <w:sz w:val="26"/>
        </w:rPr>
      </w:pPr>
    </w:p>
    <w:p w14:paraId="7DDCBA81" w14:textId="77777777" w:rsidR="00AC6F3C" w:rsidRDefault="00570E88">
      <w:pPr>
        <w:tabs>
          <w:tab w:val="left" w:pos="6343"/>
        </w:tabs>
        <w:ind w:left="928"/>
        <w:rPr>
          <w:b/>
          <w:sz w:val="20"/>
        </w:rPr>
      </w:pPr>
      <w:r>
        <w:rPr>
          <w:b/>
          <w:sz w:val="20"/>
        </w:rPr>
        <w:t>Summary</w:t>
      </w:r>
      <w:r>
        <w:rPr>
          <w:b/>
          <w:spacing w:val="-3"/>
          <w:sz w:val="20"/>
        </w:rPr>
        <w:t xml:space="preserve"> </w:t>
      </w:r>
      <w:r>
        <w:rPr>
          <w:b/>
          <w:sz w:val="20"/>
        </w:rPr>
        <w:t>of</w:t>
      </w:r>
      <w:r>
        <w:rPr>
          <w:b/>
          <w:spacing w:val="-3"/>
          <w:sz w:val="20"/>
        </w:rPr>
        <w:t xml:space="preserve"> </w:t>
      </w:r>
      <w:r>
        <w:rPr>
          <w:b/>
          <w:spacing w:val="-2"/>
          <w:sz w:val="20"/>
        </w:rPr>
        <w:t>requirement</w:t>
      </w:r>
      <w:r>
        <w:rPr>
          <w:b/>
          <w:sz w:val="20"/>
        </w:rPr>
        <w:tab/>
        <w:t>Basis</w:t>
      </w:r>
      <w:r>
        <w:rPr>
          <w:b/>
          <w:spacing w:val="-5"/>
          <w:sz w:val="20"/>
        </w:rPr>
        <w:t xml:space="preserve"> </w:t>
      </w:r>
      <w:r>
        <w:rPr>
          <w:b/>
          <w:sz w:val="20"/>
        </w:rPr>
        <w:t>for</w:t>
      </w:r>
      <w:r>
        <w:rPr>
          <w:b/>
          <w:spacing w:val="-3"/>
          <w:sz w:val="20"/>
        </w:rPr>
        <w:t xml:space="preserve"> </w:t>
      </w:r>
      <w:r>
        <w:rPr>
          <w:b/>
          <w:spacing w:val="-2"/>
          <w:sz w:val="20"/>
        </w:rPr>
        <w:t>requirement</w:t>
      </w:r>
    </w:p>
    <w:p w14:paraId="17EBD888" w14:textId="77777777" w:rsidR="00AC6F3C" w:rsidRDefault="00570E88">
      <w:pPr>
        <w:spacing w:before="61" w:line="249" w:lineRule="auto"/>
        <w:ind w:left="495" w:right="268" w:hanging="198"/>
        <w:rPr>
          <w:b/>
          <w:sz w:val="20"/>
        </w:rPr>
      </w:pPr>
      <w:r>
        <w:br w:type="column"/>
      </w:r>
      <w:r>
        <w:rPr>
          <w:b/>
          <w:spacing w:val="-4"/>
          <w:sz w:val="20"/>
        </w:rPr>
        <w:t>Annual</w:t>
      </w:r>
      <w:r>
        <w:rPr>
          <w:b/>
          <w:spacing w:val="-10"/>
          <w:sz w:val="20"/>
        </w:rPr>
        <w:t xml:space="preserve"> </w:t>
      </w:r>
      <w:r>
        <w:rPr>
          <w:b/>
          <w:spacing w:val="-4"/>
          <w:sz w:val="20"/>
        </w:rPr>
        <w:t xml:space="preserve">report </w:t>
      </w:r>
      <w:r>
        <w:rPr>
          <w:b/>
          <w:spacing w:val="-2"/>
          <w:sz w:val="20"/>
        </w:rPr>
        <w:t>reference</w:t>
      </w:r>
    </w:p>
    <w:p w14:paraId="4DDEA203" w14:textId="77777777" w:rsidR="00AC6F3C" w:rsidRDefault="00AC6F3C">
      <w:pPr>
        <w:spacing w:line="249" w:lineRule="auto"/>
        <w:rPr>
          <w:sz w:val="20"/>
        </w:rPr>
        <w:sectPr w:rsidR="00AC6F3C">
          <w:type w:val="continuous"/>
          <w:pgSz w:w="11910" w:h="16840"/>
          <w:pgMar w:top="1920" w:right="1160" w:bottom="280" w:left="460" w:header="0" w:footer="336" w:gutter="0"/>
          <w:cols w:num="2" w:space="720" w:equalWidth="0">
            <w:col w:w="8411" w:space="40"/>
            <w:col w:w="1839"/>
          </w:cols>
        </w:sectPr>
      </w:pPr>
    </w:p>
    <w:p w14:paraId="70FA274D" w14:textId="77777777" w:rsidR="00AC6F3C" w:rsidRDefault="00AC6F3C">
      <w:pPr>
        <w:pStyle w:val="BodyText"/>
        <w:spacing w:before="5"/>
        <w:rPr>
          <w:b/>
          <w:sz w:val="5"/>
        </w:rPr>
      </w:pPr>
    </w:p>
    <w:tbl>
      <w:tblPr>
        <w:tblW w:w="0" w:type="auto"/>
        <w:tblInd w:w="823" w:type="dxa"/>
        <w:tblLayout w:type="fixed"/>
        <w:tblCellMar>
          <w:left w:w="0" w:type="dxa"/>
          <w:right w:w="0" w:type="dxa"/>
        </w:tblCellMar>
        <w:tblLook w:val="01E0" w:firstRow="1" w:lastRow="1" w:firstColumn="1" w:lastColumn="1" w:noHBand="0" w:noVBand="0"/>
      </w:tblPr>
      <w:tblGrid>
        <w:gridCol w:w="2031"/>
        <w:gridCol w:w="3168"/>
        <w:gridCol w:w="2612"/>
        <w:gridCol w:w="1541"/>
      </w:tblGrid>
      <w:tr w:rsidR="00AC6F3C" w14:paraId="7A986613" w14:textId="77777777">
        <w:trPr>
          <w:trHeight w:val="847"/>
        </w:trPr>
        <w:tc>
          <w:tcPr>
            <w:tcW w:w="2031" w:type="dxa"/>
            <w:tcBorders>
              <w:top w:val="single" w:sz="8" w:space="0" w:color="000000"/>
              <w:bottom w:val="single" w:sz="2" w:space="0" w:color="000000"/>
            </w:tcBorders>
          </w:tcPr>
          <w:p w14:paraId="47C2A97C" w14:textId="77777777" w:rsidR="00AC6F3C" w:rsidRDefault="00570E88">
            <w:pPr>
              <w:pStyle w:val="TableParagraph"/>
              <w:spacing w:before="69" w:line="249" w:lineRule="auto"/>
              <w:ind w:left="113" w:right="269"/>
              <w:rPr>
                <w:b/>
                <w:sz w:val="20"/>
              </w:rPr>
            </w:pPr>
            <w:r>
              <w:rPr>
                <w:b/>
                <w:sz w:val="20"/>
              </w:rPr>
              <w:t xml:space="preserve">Letter of </w:t>
            </w:r>
            <w:r>
              <w:rPr>
                <w:b/>
                <w:spacing w:val="-2"/>
                <w:sz w:val="20"/>
              </w:rPr>
              <w:t>compliance</w:t>
            </w:r>
          </w:p>
        </w:tc>
        <w:tc>
          <w:tcPr>
            <w:tcW w:w="3168" w:type="dxa"/>
            <w:tcBorders>
              <w:top w:val="single" w:sz="8" w:space="0" w:color="000000"/>
              <w:bottom w:val="single" w:sz="2" w:space="0" w:color="000000"/>
            </w:tcBorders>
          </w:tcPr>
          <w:p w14:paraId="11ECE546" w14:textId="77777777" w:rsidR="00AC6F3C" w:rsidRDefault="00570E88">
            <w:pPr>
              <w:pStyle w:val="TableParagraph"/>
              <w:spacing w:before="69" w:line="249" w:lineRule="auto"/>
              <w:ind w:left="113" w:right="322"/>
              <w:jc w:val="both"/>
              <w:rPr>
                <w:sz w:val="20"/>
              </w:rPr>
            </w:pPr>
            <w:r>
              <w:rPr>
                <w:sz w:val="20"/>
              </w:rPr>
              <w:t>A</w:t>
            </w:r>
            <w:r>
              <w:rPr>
                <w:spacing w:val="-13"/>
                <w:sz w:val="20"/>
              </w:rPr>
              <w:t xml:space="preserve"> </w:t>
            </w:r>
            <w:r>
              <w:rPr>
                <w:sz w:val="20"/>
              </w:rPr>
              <w:t>letter</w:t>
            </w:r>
            <w:r>
              <w:rPr>
                <w:spacing w:val="-2"/>
                <w:sz w:val="20"/>
              </w:rPr>
              <w:t xml:space="preserve"> </w:t>
            </w:r>
            <w:r>
              <w:rPr>
                <w:sz w:val="20"/>
              </w:rPr>
              <w:t>of</w:t>
            </w:r>
            <w:r>
              <w:rPr>
                <w:spacing w:val="-2"/>
                <w:sz w:val="20"/>
              </w:rPr>
              <w:t xml:space="preserve"> </w:t>
            </w:r>
            <w:r>
              <w:rPr>
                <w:sz w:val="20"/>
              </w:rPr>
              <w:t>compliance</w:t>
            </w:r>
            <w:r>
              <w:rPr>
                <w:spacing w:val="-2"/>
                <w:sz w:val="20"/>
              </w:rPr>
              <w:t xml:space="preserve"> </w:t>
            </w:r>
            <w:r>
              <w:rPr>
                <w:sz w:val="20"/>
              </w:rPr>
              <w:t>from</w:t>
            </w:r>
            <w:r>
              <w:rPr>
                <w:spacing w:val="-2"/>
                <w:sz w:val="20"/>
              </w:rPr>
              <w:t xml:space="preserve"> </w:t>
            </w:r>
            <w:r>
              <w:rPr>
                <w:sz w:val="20"/>
              </w:rPr>
              <w:t>the accountable</w:t>
            </w:r>
            <w:r>
              <w:rPr>
                <w:spacing w:val="-14"/>
                <w:sz w:val="20"/>
              </w:rPr>
              <w:t xml:space="preserve"> </w:t>
            </w:r>
            <w:r>
              <w:rPr>
                <w:sz w:val="20"/>
              </w:rPr>
              <w:t>officer</w:t>
            </w:r>
            <w:r>
              <w:rPr>
                <w:spacing w:val="-14"/>
                <w:sz w:val="20"/>
              </w:rPr>
              <w:t xml:space="preserve"> </w:t>
            </w:r>
            <w:r>
              <w:rPr>
                <w:sz w:val="20"/>
              </w:rPr>
              <w:t>or</w:t>
            </w:r>
            <w:r>
              <w:rPr>
                <w:spacing w:val="-14"/>
                <w:sz w:val="20"/>
              </w:rPr>
              <w:t xml:space="preserve"> </w:t>
            </w:r>
            <w:r>
              <w:rPr>
                <w:sz w:val="20"/>
              </w:rPr>
              <w:t>statutory body to the relevant Minister/s</w:t>
            </w:r>
          </w:p>
        </w:tc>
        <w:tc>
          <w:tcPr>
            <w:tcW w:w="2612" w:type="dxa"/>
            <w:tcBorders>
              <w:top w:val="single" w:sz="8" w:space="0" w:color="000000"/>
              <w:bottom w:val="single" w:sz="2" w:space="0" w:color="000000"/>
            </w:tcBorders>
          </w:tcPr>
          <w:p w14:paraId="48245F22" w14:textId="77777777" w:rsidR="00AC6F3C" w:rsidRDefault="00570E88">
            <w:pPr>
              <w:pStyle w:val="TableParagraph"/>
              <w:spacing w:before="69"/>
              <w:ind w:left="328"/>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10"/>
                <w:sz w:val="20"/>
              </w:rPr>
              <w:t>7</w:t>
            </w:r>
          </w:p>
        </w:tc>
        <w:tc>
          <w:tcPr>
            <w:tcW w:w="1541" w:type="dxa"/>
            <w:tcBorders>
              <w:top w:val="single" w:sz="8" w:space="0" w:color="000000"/>
              <w:bottom w:val="single" w:sz="2" w:space="0" w:color="000000"/>
            </w:tcBorders>
          </w:tcPr>
          <w:p w14:paraId="366277BD" w14:textId="77777777" w:rsidR="00AC6F3C" w:rsidRDefault="00570E88">
            <w:pPr>
              <w:pStyle w:val="TableParagraph"/>
              <w:spacing w:before="69"/>
              <w:ind w:right="34"/>
              <w:jc w:val="center"/>
              <w:rPr>
                <w:sz w:val="20"/>
              </w:rPr>
            </w:pPr>
            <w:r>
              <w:rPr>
                <w:sz w:val="20"/>
              </w:rPr>
              <w:t>4</w:t>
            </w:r>
          </w:p>
        </w:tc>
      </w:tr>
      <w:tr w:rsidR="00AC6F3C" w14:paraId="452B1F7C" w14:textId="77777777">
        <w:trPr>
          <w:trHeight w:val="373"/>
        </w:trPr>
        <w:tc>
          <w:tcPr>
            <w:tcW w:w="2031" w:type="dxa"/>
            <w:tcBorders>
              <w:top w:val="single" w:sz="2" w:space="0" w:color="000000"/>
            </w:tcBorders>
          </w:tcPr>
          <w:p w14:paraId="4390CDA1" w14:textId="77777777" w:rsidR="00AC6F3C" w:rsidRDefault="00570E88">
            <w:pPr>
              <w:pStyle w:val="TableParagraph"/>
              <w:spacing w:before="69"/>
              <w:ind w:left="113"/>
              <w:rPr>
                <w:b/>
                <w:sz w:val="20"/>
              </w:rPr>
            </w:pPr>
            <w:r>
              <w:rPr>
                <w:b/>
                <w:spacing w:val="-2"/>
                <w:sz w:val="20"/>
              </w:rPr>
              <w:t>Accessibility</w:t>
            </w:r>
          </w:p>
        </w:tc>
        <w:tc>
          <w:tcPr>
            <w:tcW w:w="3168" w:type="dxa"/>
            <w:tcBorders>
              <w:top w:val="single" w:sz="2" w:space="0" w:color="000000"/>
            </w:tcBorders>
          </w:tcPr>
          <w:p w14:paraId="252D7487" w14:textId="77777777" w:rsidR="00AC6F3C" w:rsidRDefault="00570E88">
            <w:pPr>
              <w:pStyle w:val="TableParagraph"/>
              <w:spacing w:before="69"/>
              <w:ind w:left="113"/>
              <w:rPr>
                <w:sz w:val="20"/>
              </w:rPr>
            </w:pPr>
            <w:r>
              <w:rPr>
                <w:sz w:val="20"/>
              </w:rPr>
              <w:t>Table</w:t>
            </w:r>
            <w:r>
              <w:rPr>
                <w:spacing w:val="-15"/>
                <w:sz w:val="20"/>
              </w:rPr>
              <w:t xml:space="preserve"> </w:t>
            </w:r>
            <w:r>
              <w:rPr>
                <w:sz w:val="20"/>
              </w:rPr>
              <w:t>of</w:t>
            </w:r>
            <w:r>
              <w:rPr>
                <w:spacing w:val="-13"/>
                <w:sz w:val="20"/>
              </w:rPr>
              <w:t xml:space="preserve"> </w:t>
            </w:r>
            <w:r>
              <w:rPr>
                <w:spacing w:val="-2"/>
                <w:sz w:val="20"/>
              </w:rPr>
              <w:t>contents</w:t>
            </w:r>
          </w:p>
        </w:tc>
        <w:tc>
          <w:tcPr>
            <w:tcW w:w="2612" w:type="dxa"/>
            <w:tcBorders>
              <w:top w:val="single" w:sz="2" w:space="0" w:color="000000"/>
            </w:tcBorders>
          </w:tcPr>
          <w:p w14:paraId="5BDC2D1E" w14:textId="77777777" w:rsidR="00AC6F3C" w:rsidRDefault="00570E88">
            <w:pPr>
              <w:pStyle w:val="TableParagraph"/>
              <w:spacing w:before="69"/>
              <w:ind w:left="328"/>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9.1</w:t>
            </w:r>
          </w:p>
        </w:tc>
        <w:tc>
          <w:tcPr>
            <w:tcW w:w="1541" w:type="dxa"/>
            <w:tcBorders>
              <w:top w:val="single" w:sz="2" w:space="0" w:color="000000"/>
            </w:tcBorders>
          </w:tcPr>
          <w:p w14:paraId="28BBBC14" w14:textId="77777777" w:rsidR="00AC6F3C" w:rsidRDefault="00570E88">
            <w:pPr>
              <w:pStyle w:val="TableParagraph"/>
              <w:spacing w:before="69"/>
              <w:ind w:left="171" w:right="205"/>
              <w:jc w:val="center"/>
              <w:rPr>
                <w:sz w:val="20"/>
              </w:rPr>
            </w:pPr>
            <w:r>
              <w:rPr>
                <w:spacing w:val="-2"/>
                <w:sz w:val="20"/>
              </w:rPr>
              <w:t>5-</w:t>
            </w:r>
            <w:r>
              <w:rPr>
                <w:spacing w:val="-10"/>
                <w:sz w:val="20"/>
              </w:rPr>
              <w:t>7</w:t>
            </w:r>
          </w:p>
        </w:tc>
      </w:tr>
      <w:tr w:rsidR="00AC6F3C" w14:paraId="72F18904" w14:textId="77777777">
        <w:trPr>
          <w:trHeight w:val="366"/>
        </w:trPr>
        <w:tc>
          <w:tcPr>
            <w:tcW w:w="2031" w:type="dxa"/>
          </w:tcPr>
          <w:p w14:paraId="2263B82F" w14:textId="77777777" w:rsidR="00AC6F3C" w:rsidRDefault="00AC6F3C">
            <w:pPr>
              <w:pStyle w:val="TableParagraph"/>
              <w:rPr>
                <w:rFonts w:ascii="Times New Roman"/>
                <w:sz w:val="20"/>
              </w:rPr>
            </w:pPr>
          </w:p>
        </w:tc>
        <w:tc>
          <w:tcPr>
            <w:tcW w:w="3168" w:type="dxa"/>
            <w:tcBorders>
              <w:bottom w:val="single" w:sz="2" w:space="0" w:color="000000"/>
            </w:tcBorders>
          </w:tcPr>
          <w:p w14:paraId="669D9845" w14:textId="77777777" w:rsidR="00AC6F3C" w:rsidRDefault="00570E88">
            <w:pPr>
              <w:pStyle w:val="TableParagraph"/>
              <w:spacing w:before="68"/>
              <w:ind w:left="113"/>
              <w:rPr>
                <w:sz w:val="20"/>
              </w:rPr>
            </w:pPr>
            <w:r>
              <w:rPr>
                <w:spacing w:val="-2"/>
                <w:sz w:val="20"/>
              </w:rPr>
              <w:t>Glossary</w:t>
            </w:r>
          </w:p>
        </w:tc>
        <w:tc>
          <w:tcPr>
            <w:tcW w:w="2612" w:type="dxa"/>
            <w:tcBorders>
              <w:bottom w:val="single" w:sz="2" w:space="0" w:color="000000"/>
            </w:tcBorders>
          </w:tcPr>
          <w:p w14:paraId="46E78DEB" w14:textId="77777777" w:rsidR="00AC6F3C" w:rsidRDefault="00AC6F3C">
            <w:pPr>
              <w:pStyle w:val="TableParagraph"/>
              <w:rPr>
                <w:rFonts w:ascii="Times New Roman"/>
                <w:sz w:val="20"/>
              </w:rPr>
            </w:pPr>
          </w:p>
        </w:tc>
        <w:tc>
          <w:tcPr>
            <w:tcW w:w="1541" w:type="dxa"/>
            <w:tcBorders>
              <w:bottom w:val="single" w:sz="2" w:space="0" w:color="000000"/>
            </w:tcBorders>
          </w:tcPr>
          <w:p w14:paraId="3C3C5E11" w14:textId="77777777" w:rsidR="00AC6F3C" w:rsidRDefault="00570E88">
            <w:pPr>
              <w:pStyle w:val="TableParagraph"/>
              <w:spacing w:before="68"/>
              <w:ind w:left="171" w:right="205"/>
              <w:jc w:val="center"/>
              <w:rPr>
                <w:sz w:val="20"/>
              </w:rPr>
            </w:pPr>
            <w:r>
              <w:rPr>
                <w:spacing w:val="-2"/>
                <w:sz w:val="20"/>
              </w:rPr>
              <w:t>224-</w:t>
            </w:r>
            <w:r>
              <w:rPr>
                <w:spacing w:val="-5"/>
                <w:sz w:val="20"/>
              </w:rPr>
              <w:t>225</w:t>
            </w:r>
          </w:p>
        </w:tc>
      </w:tr>
      <w:tr w:rsidR="00AC6F3C" w14:paraId="0F23B0DC" w14:textId="77777777">
        <w:trPr>
          <w:trHeight w:val="367"/>
        </w:trPr>
        <w:tc>
          <w:tcPr>
            <w:tcW w:w="2031" w:type="dxa"/>
          </w:tcPr>
          <w:p w14:paraId="37224C4D"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39D5E48A" w14:textId="77777777" w:rsidR="00AC6F3C" w:rsidRDefault="00570E88">
            <w:pPr>
              <w:pStyle w:val="TableParagraph"/>
              <w:spacing w:before="69"/>
              <w:ind w:left="113"/>
              <w:rPr>
                <w:sz w:val="20"/>
              </w:rPr>
            </w:pPr>
            <w:r>
              <w:rPr>
                <w:sz w:val="20"/>
              </w:rPr>
              <w:t xml:space="preserve">Public </w:t>
            </w:r>
            <w:r>
              <w:rPr>
                <w:spacing w:val="-2"/>
                <w:sz w:val="20"/>
              </w:rPr>
              <w:t>availability</w:t>
            </w:r>
          </w:p>
        </w:tc>
        <w:tc>
          <w:tcPr>
            <w:tcW w:w="2612" w:type="dxa"/>
            <w:tcBorders>
              <w:top w:val="single" w:sz="2" w:space="0" w:color="000000"/>
              <w:bottom w:val="single" w:sz="2" w:space="0" w:color="000000"/>
            </w:tcBorders>
          </w:tcPr>
          <w:p w14:paraId="5DAD4F4F" w14:textId="77777777" w:rsidR="00AC6F3C" w:rsidRDefault="00570E88">
            <w:pPr>
              <w:pStyle w:val="TableParagraph"/>
              <w:spacing w:before="69"/>
              <w:ind w:left="328"/>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9.2</w:t>
            </w:r>
          </w:p>
        </w:tc>
        <w:tc>
          <w:tcPr>
            <w:tcW w:w="1541" w:type="dxa"/>
            <w:tcBorders>
              <w:top w:val="single" w:sz="2" w:space="0" w:color="000000"/>
              <w:bottom w:val="single" w:sz="2" w:space="0" w:color="000000"/>
            </w:tcBorders>
          </w:tcPr>
          <w:p w14:paraId="5CC866FC" w14:textId="77777777" w:rsidR="00AC6F3C" w:rsidRDefault="00570E88">
            <w:pPr>
              <w:pStyle w:val="TableParagraph"/>
              <w:spacing w:before="69"/>
              <w:ind w:right="36"/>
              <w:jc w:val="center"/>
              <w:rPr>
                <w:sz w:val="20"/>
              </w:rPr>
            </w:pPr>
            <w:r>
              <w:rPr>
                <w:sz w:val="20"/>
              </w:rPr>
              <w:t>3</w:t>
            </w:r>
          </w:p>
        </w:tc>
      </w:tr>
      <w:tr w:rsidR="00AC6F3C" w14:paraId="58B167D3" w14:textId="77777777">
        <w:trPr>
          <w:trHeight w:val="853"/>
        </w:trPr>
        <w:tc>
          <w:tcPr>
            <w:tcW w:w="2031" w:type="dxa"/>
          </w:tcPr>
          <w:p w14:paraId="67449D32" w14:textId="77777777" w:rsidR="00AC6F3C" w:rsidRDefault="00AC6F3C">
            <w:pPr>
              <w:pStyle w:val="TableParagraph"/>
              <w:rPr>
                <w:rFonts w:ascii="Times New Roman"/>
                <w:sz w:val="20"/>
              </w:rPr>
            </w:pPr>
          </w:p>
        </w:tc>
        <w:tc>
          <w:tcPr>
            <w:tcW w:w="3168" w:type="dxa"/>
            <w:tcBorders>
              <w:top w:val="single" w:sz="2" w:space="0" w:color="000000"/>
            </w:tcBorders>
          </w:tcPr>
          <w:p w14:paraId="4E4F669F" w14:textId="77777777" w:rsidR="00AC6F3C" w:rsidRDefault="00570E88">
            <w:pPr>
              <w:pStyle w:val="TableParagraph"/>
              <w:spacing w:before="69"/>
              <w:ind w:left="113"/>
              <w:rPr>
                <w:sz w:val="20"/>
              </w:rPr>
            </w:pPr>
            <w:r>
              <w:rPr>
                <w:sz w:val="20"/>
              </w:rPr>
              <w:t>Interpreter</w:t>
            </w:r>
            <w:r>
              <w:rPr>
                <w:spacing w:val="-3"/>
                <w:sz w:val="20"/>
              </w:rPr>
              <w:t xml:space="preserve"> </w:t>
            </w:r>
            <w:r>
              <w:rPr>
                <w:sz w:val="20"/>
              </w:rPr>
              <w:t>service</w:t>
            </w:r>
            <w:r>
              <w:rPr>
                <w:spacing w:val="-3"/>
                <w:sz w:val="20"/>
              </w:rPr>
              <w:t xml:space="preserve"> </w:t>
            </w:r>
            <w:r>
              <w:rPr>
                <w:spacing w:val="-2"/>
                <w:sz w:val="20"/>
              </w:rPr>
              <w:t>statement</w:t>
            </w:r>
          </w:p>
        </w:tc>
        <w:tc>
          <w:tcPr>
            <w:tcW w:w="2612" w:type="dxa"/>
            <w:tcBorders>
              <w:top w:val="single" w:sz="2" w:space="0" w:color="000000"/>
            </w:tcBorders>
          </w:tcPr>
          <w:p w14:paraId="5720CB56" w14:textId="77777777" w:rsidR="00AC6F3C" w:rsidRDefault="00570E88">
            <w:pPr>
              <w:pStyle w:val="TableParagraph"/>
              <w:spacing w:before="69" w:line="249" w:lineRule="auto"/>
              <w:ind w:left="327" w:right="233"/>
              <w:rPr>
                <w:i/>
                <w:sz w:val="20"/>
              </w:rPr>
            </w:pPr>
            <w:r>
              <w:rPr>
                <w:i/>
                <w:spacing w:val="-2"/>
                <w:sz w:val="20"/>
              </w:rPr>
              <w:t xml:space="preserve">Queensland </w:t>
            </w:r>
            <w:r>
              <w:rPr>
                <w:i/>
                <w:sz w:val="20"/>
              </w:rPr>
              <w:t>Government</w:t>
            </w:r>
            <w:r>
              <w:rPr>
                <w:i/>
                <w:spacing w:val="-14"/>
                <w:sz w:val="20"/>
              </w:rPr>
              <w:t xml:space="preserve"> </w:t>
            </w:r>
            <w:r>
              <w:rPr>
                <w:i/>
                <w:sz w:val="20"/>
              </w:rPr>
              <w:t>Language Services Policy</w:t>
            </w:r>
          </w:p>
        </w:tc>
        <w:tc>
          <w:tcPr>
            <w:tcW w:w="1541" w:type="dxa"/>
            <w:tcBorders>
              <w:top w:val="single" w:sz="2" w:space="0" w:color="000000"/>
            </w:tcBorders>
          </w:tcPr>
          <w:p w14:paraId="20257976" w14:textId="77777777" w:rsidR="00AC6F3C" w:rsidRDefault="00570E88">
            <w:pPr>
              <w:pStyle w:val="TableParagraph"/>
              <w:spacing w:before="69"/>
              <w:ind w:right="35"/>
              <w:jc w:val="center"/>
              <w:rPr>
                <w:sz w:val="20"/>
              </w:rPr>
            </w:pPr>
            <w:r>
              <w:rPr>
                <w:sz w:val="20"/>
              </w:rPr>
              <w:t>3</w:t>
            </w:r>
          </w:p>
        </w:tc>
      </w:tr>
      <w:tr w:rsidR="00AC6F3C" w14:paraId="235FF0E4" w14:textId="77777777">
        <w:trPr>
          <w:trHeight w:val="366"/>
        </w:trPr>
        <w:tc>
          <w:tcPr>
            <w:tcW w:w="2031" w:type="dxa"/>
          </w:tcPr>
          <w:p w14:paraId="28E90031" w14:textId="77777777" w:rsidR="00AC6F3C" w:rsidRDefault="00AC6F3C">
            <w:pPr>
              <w:pStyle w:val="TableParagraph"/>
              <w:rPr>
                <w:rFonts w:ascii="Times New Roman"/>
                <w:sz w:val="20"/>
              </w:rPr>
            </w:pPr>
          </w:p>
        </w:tc>
        <w:tc>
          <w:tcPr>
            <w:tcW w:w="3168" w:type="dxa"/>
            <w:tcBorders>
              <w:bottom w:val="single" w:sz="2" w:space="0" w:color="000000"/>
            </w:tcBorders>
          </w:tcPr>
          <w:p w14:paraId="0DB918EB" w14:textId="77777777" w:rsidR="00AC6F3C" w:rsidRDefault="00AC6F3C">
            <w:pPr>
              <w:pStyle w:val="TableParagraph"/>
              <w:rPr>
                <w:rFonts w:ascii="Times New Roman"/>
                <w:sz w:val="20"/>
              </w:rPr>
            </w:pPr>
          </w:p>
        </w:tc>
        <w:tc>
          <w:tcPr>
            <w:tcW w:w="2612" w:type="dxa"/>
            <w:tcBorders>
              <w:bottom w:val="single" w:sz="2" w:space="0" w:color="000000"/>
            </w:tcBorders>
          </w:tcPr>
          <w:p w14:paraId="10FD9CEE" w14:textId="77777777" w:rsidR="00AC6F3C" w:rsidRDefault="00570E88">
            <w:pPr>
              <w:pStyle w:val="TableParagraph"/>
              <w:spacing w:before="68"/>
              <w:ind w:left="327"/>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9.3</w:t>
            </w:r>
          </w:p>
        </w:tc>
        <w:tc>
          <w:tcPr>
            <w:tcW w:w="1541" w:type="dxa"/>
            <w:tcBorders>
              <w:bottom w:val="single" w:sz="2" w:space="0" w:color="000000"/>
            </w:tcBorders>
          </w:tcPr>
          <w:p w14:paraId="6C7A1AB8" w14:textId="77777777" w:rsidR="00AC6F3C" w:rsidRDefault="00AC6F3C">
            <w:pPr>
              <w:pStyle w:val="TableParagraph"/>
              <w:rPr>
                <w:rFonts w:ascii="Times New Roman"/>
                <w:sz w:val="20"/>
              </w:rPr>
            </w:pPr>
          </w:p>
        </w:tc>
      </w:tr>
      <w:tr w:rsidR="00AC6F3C" w14:paraId="14EAD206" w14:textId="77777777">
        <w:trPr>
          <w:trHeight w:val="373"/>
        </w:trPr>
        <w:tc>
          <w:tcPr>
            <w:tcW w:w="2031" w:type="dxa"/>
          </w:tcPr>
          <w:p w14:paraId="32A931F9" w14:textId="77777777" w:rsidR="00AC6F3C" w:rsidRDefault="00AC6F3C">
            <w:pPr>
              <w:pStyle w:val="TableParagraph"/>
              <w:rPr>
                <w:rFonts w:ascii="Times New Roman"/>
                <w:sz w:val="20"/>
              </w:rPr>
            </w:pPr>
          </w:p>
        </w:tc>
        <w:tc>
          <w:tcPr>
            <w:tcW w:w="3168" w:type="dxa"/>
            <w:tcBorders>
              <w:top w:val="single" w:sz="2" w:space="0" w:color="000000"/>
            </w:tcBorders>
          </w:tcPr>
          <w:p w14:paraId="1FEEDA73" w14:textId="77777777" w:rsidR="00AC6F3C" w:rsidRDefault="00570E88">
            <w:pPr>
              <w:pStyle w:val="TableParagraph"/>
              <w:spacing w:before="69"/>
              <w:ind w:left="113"/>
              <w:rPr>
                <w:sz w:val="20"/>
              </w:rPr>
            </w:pPr>
            <w:r>
              <w:rPr>
                <w:sz w:val="20"/>
              </w:rPr>
              <w:t xml:space="preserve">Copyright </w:t>
            </w:r>
            <w:r>
              <w:rPr>
                <w:spacing w:val="-2"/>
                <w:sz w:val="20"/>
              </w:rPr>
              <w:t>notice</w:t>
            </w:r>
          </w:p>
        </w:tc>
        <w:tc>
          <w:tcPr>
            <w:tcW w:w="2612" w:type="dxa"/>
            <w:tcBorders>
              <w:top w:val="single" w:sz="2" w:space="0" w:color="000000"/>
            </w:tcBorders>
          </w:tcPr>
          <w:p w14:paraId="293F4213" w14:textId="77777777" w:rsidR="00AC6F3C" w:rsidRDefault="00570E88">
            <w:pPr>
              <w:pStyle w:val="TableParagraph"/>
              <w:spacing w:before="69"/>
              <w:ind w:left="327"/>
              <w:rPr>
                <w:i/>
                <w:sz w:val="20"/>
              </w:rPr>
            </w:pPr>
            <w:r>
              <w:rPr>
                <w:i/>
                <w:sz w:val="20"/>
              </w:rPr>
              <w:t>Copyright</w:t>
            </w:r>
            <w:r>
              <w:rPr>
                <w:i/>
                <w:spacing w:val="-8"/>
                <w:sz w:val="20"/>
              </w:rPr>
              <w:t xml:space="preserve"> </w:t>
            </w:r>
            <w:r>
              <w:rPr>
                <w:i/>
                <w:sz w:val="20"/>
              </w:rPr>
              <w:t xml:space="preserve">Act </w:t>
            </w:r>
            <w:r>
              <w:rPr>
                <w:i/>
                <w:spacing w:val="-4"/>
                <w:sz w:val="20"/>
              </w:rPr>
              <w:t>1968</w:t>
            </w:r>
          </w:p>
        </w:tc>
        <w:tc>
          <w:tcPr>
            <w:tcW w:w="1541" w:type="dxa"/>
            <w:tcBorders>
              <w:top w:val="single" w:sz="2" w:space="0" w:color="000000"/>
            </w:tcBorders>
          </w:tcPr>
          <w:p w14:paraId="7AD693A3" w14:textId="77777777" w:rsidR="00AC6F3C" w:rsidRDefault="00570E88">
            <w:pPr>
              <w:pStyle w:val="TableParagraph"/>
              <w:spacing w:before="69"/>
              <w:ind w:right="35"/>
              <w:jc w:val="center"/>
              <w:rPr>
                <w:sz w:val="20"/>
              </w:rPr>
            </w:pPr>
            <w:r>
              <w:rPr>
                <w:sz w:val="20"/>
              </w:rPr>
              <w:t>3</w:t>
            </w:r>
          </w:p>
        </w:tc>
      </w:tr>
      <w:tr w:rsidR="00AC6F3C" w14:paraId="34568A4C" w14:textId="77777777">
        <w:trPr>
          <w:trHeight w:val="366"/>
        </w:trPr>
        <w:tc>
          <w:tcPr>
            <w:tcW w:w="2031" w:type="dxa"/>
          </w:tcPr>
          <w:p w14:paraId="0F87E2C2" w14:textId="77777777" w:rsidR="00AC6F3C" w:rsidRDefault="00AC6F3C">
            <w:pPr>
              <w:pStyle w:val="TableParagraph"/>
              <w:rPr>
                <w:rFonts w:ascii="Times New Roman"/>
                <w:sz w:val="20"/>
              </w:rPr>
            </w:pPr>
          </w:p>
        </w:tc>
        <w:tc>
          <w:tcPr>
            <w:tcW w:w="3168" w:type="dxa"/>
            <w:tcBorders>
              <w:bottom w:val="single" w:sz="2" w:space="0" w:color="000000"/>
            </w:tcBorders>
          </w:tcPr>
          <w:p w14:paraId="6B12F741" w14:textId="77777777" w:rsidR="00AC6F3C" w:rsidRDefault="00AC6F3C">
            <w:pPr>
              <w:pStyle w:val="TableParagraph"/>
              <w:rPr>
                <w:rFonts w:ascii="Times New Roman"/>
                <w:sz w:val="20"/>
              </w:rPr>
            </w:pPr>
          </w:p>
        </w:tc>
        <w:tc>
          <w:tcPr>
            <w:tcW w:w="2612" w:type="dxa"/>
            <w:tcBorders>
              <w:bottom w:val="single" w:sz="2" w:space="0" w:color="000000"/>
            </w:tcBorders>
          </w:tcPr>
          <w:p w14:paraId="51A45D17" w14:textId="77777777" w:rsidR="00AC6F3C" w:rsidRDefault="00570E88">
            <w:pPr>
              <w:pStyle w:val="TableParagraph"/>
              <w:spacing w:before="68"/>
              <w:ind w:left="327"/>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9.4</w:t>
            </w:r>
          </w:p>
        </w:tc>
        <w:tc>
          <w:tcPr>
            <w:tcW w:w="1541" w:type="dxa"/>
            <w:tcBorders>
              <w:bottom w:val="single" w:sz="2" w:space="0" w:color="000000"/>
            </w:tcBorders>
          </w:tcPr>
          <w:p w14:paraId="29942B86" w14:textId="77777777" w:rsidR="00AC6F3C" w:rsidRDefault="00AC6F3C">
            <w:pPr>
              <w:pStyle w:val="TableParagraph"/>
              <w:rPr>
                <w:rFonts w:ascii="Times New Roman"/>
                <w:sz w:val="20"/>
              </w:rPr>
            </w:pPr>
          </w:p>
        </w:tc>
      </w:tr>
      <w:tr w:rsidR="00AC6F3C" w14:paraId="0A331BD0" w14:textId="77777777">
        <w:trPr>
          <w:trHeight w:val="613"/>
        </w:trPr>
        <w:tc>
          <w:tcPr>
            <w:tcW w:w="2031" w:type="dxa"/>
          </w:tcPr>
          <w:p w14:paraId="77045E8C" w14:textId="77777777" w:rsidR="00AC6F3C" w:rsidRDefault="00AC6F3C">
            <w:pPr>
              <w:pStyle w:val="TableParagraph"/>
              <w:rPr>
                <w:rFonts w:ascii="Times New Roman"/>
                <w:sz w:val="20"/>
              </w:rPr>
            </w:pPr>
          </w:p>
        </w:tc>
        <w:tc>
          <w:tcPr>
            <w:tcW w:w="3168" w:type="dxa"/>
            <w:tcBorders>
              <w:top w:val="single" w:sz="2" w:space="0" w:color="000000"/>
            </w:tcBorders>
          </w:tcPr>
          <w:p w14:paraId="7DAC11FF" w14:textId="77777777" w:rsidR="00AC6F3C" w:rsidRDefault="00570E88">
            <w:pPr>
              <w:pStyle w:val="TableParagraph"/>
              <w:spacing w:before="69"/>
              <w:ind w:left="113"/>
              <w:rPr>
                <w:sz w:val="20"/>
              </w:rPr>
            </w:pPr>
            <w:r>
              <w:rPr>
                <w:sz w:val="20"/>
              </w:rPr>
              <w:t>Information</w:t>
            </w:r>
            <w:r>
              <w:rPr>
                <w:spacing w:val="-10"/>
                <w:sz w:val="20"/>
              </w:rPr>
              <w:t xml:space="preserve"> </w:t>
            </w:r>
            <w:r>
              <w:rPr>
                <w:spacing w:val="-2"/>
                <w:sz w:val="20"/>
              </w:rPr>
              <w:t>Licensing</w:t>
            </w:r>
          </w:p>
        </w:tc>
        <w:tc>
          <w:tcPr>
            <w:tcW w:w="2612" w:type="dxa"/>
            <w:tcBorders>
              <w:top w:val="single" w:sz="2" w:space="0" w:color="000000"/>
            </w:tcBorders>
          </w:tcPr>
          <w:p w14:paraId="4D3B6EA1" w14:textId="77777777" w:rsidR="00AC6F3C" w:rsidRDefault="00570E88">
            <w:pPr>
              <w:pStyle w:val="TableParagraph"/>
              <w:spacing w:before="69" w:line="249" w:lineRule="auto"/>
              <w:ind w:left="327"/>
              <w:rPr>
                <w:i/>
                <w:sz w:val="20"/>
              </w:rPr>
            </w:pPr>
            <w:r>
              <w:rPr>
                <w:i/>
                <w:sz w:val="20"/>
              </w:rPr>
              <w:t>QGEA</w:t>
            </w:r>
            <w:r>
              <w:rPr>
                <w:i/>
                <w:spacing w:val="-14"/>
                <w:sz w:val="20"/>
              </w:rPr>
              <w:t xml:space="preserve"> </w:t>
            </w:r>
            <w:r>
              <w:rPr>
                <w:i/>
                <w:sz w:val="20"/>
              </w:rPr>
              <w:t>–</w:t>
            </w:r>
            <w:r>
              <w:rPr>
                <w:i/>
                <w:spacing w:val="-14"/>
                <w:sz w:val="20"/>
              </w:rPr>
              <w:t xml:space="preserve"> </w:t>
            </w:r>
            <w:r>
              <w:rPr>
                <w:i/>
                <w:sz w:val="20"/>
              </w:rPr>
              <w:t xml:space="preserve">Information </w:t>
            </w:r>
            <w:r>
              <w:rPr>
                <w:i/>
                <w:spacing w:val="-2"/>
                <w:sz w:val="20"/>
              </w:rPr>
              <w:t>Licensing</w:t>
            </w:r>
          </w:p>
        </w:tc>
        <w:tc>
          <w:tcPr>
            <w:tcW w:w="1541" w:type="dxa"/>
            <w:tcBorders>
              <w:top w:val="single" w:sz="2" w:space="0" w:color="000000"/>
            </w:tcBorders>
          </w:tcPr>
          <w:p w14:paraId="7C0FEE3A" w14:textId="77777777" w:rsidR="00AC6F3C" w:rsidRDefault="00570E88">
            <w:pPr>
              <w:pStyle w:val="TableParagraph"/>
              <w:spacing w:before="69"/>
              <w:ind w:left="171" w:right="195"/>
              <w:jc w:val="center"/>
              <w:rPr>
                <w:sz w:val="20"/>
              </w:rPr>
            </w:pPr>
            <w:r>
              <w:rPr>
                <w:spacing w:val="-5"/>
                <w:sz w:val="20"/>
              </w:rPr>
              <w:t>N/A</w:t>
            </w:r>
          </w:p>
        </w:tc>
      </w:tr>
      <w:tr w:rsidR="00AC6F3C" w14:paraId="1F466ADD" w14:textId="77777777">
        <w:trPr>
          <w:trHeight w:val="366"/>
        </w:trPr>
        <w:tc>
          <w:tcPr>
            <w:tcW w:w="2031" w:type="dxa"/>
            <w:tcBorders>
              <w:bottom w:val="single" w:sz="2" w:space="0" w:color="000000"/>
            </w:tcBorders>
          </w:tcPr>
          <w:p w14:paraId="65BEAE09" w14:textId="77777777" w:rsidR="00AC6F3C" w:rsidRDefault="00AC6F3C">
            <w:pPr>
              <w:pStyle w:val="TableParagraph"/>
              <w:rPr>
                <w:rFonts w:ascii="Times New Roman"/>
                <w:sz w:val="20"/>
              </w:rPr>
            </w:pPr>
          </w:p>
        </w:tc>
        <w:tc>
          <w:tcPr>
            <w:tcW w:w="3168" w:type="dxa"/>
            <w:tcBorders>
              <w:bottom w:val="single" w:sz="2" w:space="0" w:color="000000"/>
            </w:tcBorders>
          </w:tcPr>
          <w:p w14:paraId="5F27874E" w14:textId="77777777" w:rsidR="00AC6F3C" w:rsidRDefault="00AC6F3C">
            <w:pPr>
              <w:pStyle w:val="TableParagraph"/>
              <w:rPr>
                <w:rFonts w:ascii="Times New Roman"/>
                <w:sz w:val="20"/>
              </w:rPr>
            </w:pPr>
          </w:p>
        </w:tc>
        <w:tc>
          <w:tcPr>
            <w:tcW w:w="2612" w:type="dxa"/>
            <w:tcBorders>
              <w:bottom w:val="single" w:sz="2" w:space="0" w:color="000000"/>
            </w:tcBorders>
          </w:tcPr>
          <w:p w14:paraId="0A7E94BB" w14:textId="77777777" w:rsidR="00AC6F3C" w:rsidRDefault="00570E88">
            <w:pPr>
              <w:pStyle w:val="TableParagraph"/>
              <w:spacing w:before="68"/>
              <w:ind w:left="327"/>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9.5</w:t>
            </w:r>
          </w:p>
        </w:tc>
        <w:tc>
          <w:tcPr>
            <w:tcW w:w="1541" w:type="dxa"/>
            <w:tcBorders>
              <w:bottom w:val="single" w:sz="2" w:space="0" w:color="000000"/>
            </w:tcBorders>
          </w:tcPr>
          <w:p w14:paraId="351C71CC" w14:textId="77777777" w:rsidR="00AC6F3C" w:rsidRDefault="00AC6F3C">
            <w:pPr>
              <w:pStyle w:val="TableParagraph"/>
              <w:rPr>
                <w:rFonts w:ascii="Times New Roman"/>
                <w:sz w:val="20"/>
              </w:rPr>
            </w:pPr>
          </w:p>
        </w:tc>
      </w:tr>
      <w:tr w:rsidR="00AC6F3C" w14:paraId="3DC68952" w14:textId="77777777">
        <w:trPr>
          <w:trHeight w:val="607"/>
        </w:trPr>
        <w:tc>
          <w:tcPr>
            <w:tcW w:w="2031" w:type="dxa"/>
            <w:tcBorders>
              <w:top w:val="single" w:sz="2" w:space="0" w:color="000000"/>
              <w:bottom w:val="single" w:sz="2" w:space="0" w:color="000000"/>
            </w:tcBorders>
          </w:tcPr>
          <w:p w14:paraId="6B7E6C43" w14:textId="77777777" w:rsidR="00AC6F3C" w:rsidRDefault="00570E88">
            <w:pPr>
              <w:pStyle w:val="TableParagraph"/>
              <w:spacing w:before="69" w:line="249" w:lineRule="auto"/>
              <w:ind w:left="112" w:right="269"/>
              <w:rPr>
                <w:b/>
                <w:sz w:val="20"/>
              </w:rPr>
            </w:pPr>
            <w:r>
              <w:rPr>
                <w:b/>
                <w:spacing w:val="-2"/>
                <w:sz w:val="20"/>
              </w:rPr>
              <w:t>General information</w:t>
            </w:r>
          </w:p>
        </w:tc>
        <w:tc>
          <w:tcPr>
            <w:tcW w:w="3168" w:type="dxa"/>
            <w:tcBorders>
              <w:top w:val="single" w:sz="2" w:space="0" w:color="000000"/>
              <w:bottom w:val="single" w:sz="2" w:space="0" w:color="000000"/>
            </w:tcBorders>
          </w:tcPr>
          <w:p w14:paraId="6C0C2738" w14:textId="77777777" w:rsidR="00AC6F3C" w:rsidRDefault="00570E88">
            <w:pPr>
              <w:pStyle w:val="TableParagraph"/>
              <w:spacing w:before="69"/>
              <w:ind w:left="113"/>
              <w:rPr>
                <w:sz w:val="20"/>
              </w:rPr>
            </w:pPr>
            <w:r>
              <w:rPr>
                <w:sz w:val="20"/>
              </w:rPr>
              <w:t xml:space="preserve">Introductory </w:t>
            </w:r>
            <w:r>
              <w:rPr>
                <w:spacing w:val="-2"/>
                <w:sz w:val="20"/>
              </w:rPr>
              <w:t>Information</w:t>
            </w:r>
          </w:p>
        </w:tc>
        <w:tc>
          <w:tcPr>
            <w:tcW w:w="2612" w:type="dxa"/>
            <w:tcBorders>
              <w:top w:val="single" w:sz="2" w:space="0" w:color="000000"/>
              <w:bottom w:val="single" w:sz="2" w:space="0" w:color="000000"/>
            </w:tcBorders>
          </w:tcPr>
          <w:p w14:paraId="29498A4E" w14:textId="77777777" w:rsidR="00AC6F3C" w:rsidRDefault="00570E88">
            <w:pPr>
              <w:pStyle w:val="TableParagraph"/>
              <w:spacing w:before="69"/>
              <w:ind w:left="327"/>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10</w:t>
            </w:r>
          </w:p>
        </w:tc>
        <w:tc>
          <w:tcPr>
            <w:tcW w:w="1541" w:type="dxa"/>
            <w:tcBorders>
              <w:top w:val="single" w:sz="2" w:space="0" w:color="000000"/>
              <w:bottom w:val="single" w:sz="2" w:space="0" w:color="000000"/>
            </w:tcBorders>
          </w:tcPr>
          <w:p w14:paraId="054B88AA" w14:textId="77777777" w:rsidR="00AC6F3C" w:rsidRDefault="00570E88">
            <w:pPr>
              <w:pStyle w:val="TableParagraph"/>
              <w:spacing w:before="69"/>
              <w:ind w:left="171" w:right="206"/>
              <w:jc w:val="center"/>
              <w:rPr>
                <w:sz w:val="20"/>
              </w:rPr>
            </w:pPr>
            <w:r>
              <w:rPr>
                <w:sz w:val="20"/>
              </w:rPr>
              <w:t>3,</w:t>
            </w:r>
            <w:r>
              <w:rPr>
                <w:spacing w:val="-2"/>
                <w:sz w:val="20"/>
              </w:rPr>
              <w:t xml:space="preserve"> </w:t>
            </w:r>
            <w:r>
              <w:rPr>
                <w:sz w:val="20"/>
              </w:rPr>
              <w:t>8-</w:t>
            </w:r>
            <w:r>
              <w:rPr>
                <w:spacing w:val="-5"/>
                <w:sz w:val="20"/>
              </w:rPr>
              <w:t>97</w:t>
            </w:r>
          </w:p>
        </w:tc>
      </w:tr>
      <w:tr w:rsidR="00AC6F3C" w14:paraId="620A4C4E" w14:textId="77777777">
        <w:trPr>
          <w:trHeight w:val="1087"/>
        </w:trPr>
        <w:tc>
          <w:tcPr>
            <w:tcW w:w="2031" w:type="dxa"/>
            <w:tcBorders>
              <w:top w:val="single" w:sz="2" w:space="0" w:color="000000"/>
            </w:tcBorders>
          </w:tcPr>
          <w:p w14:paraId="048EE509" w14:textId="77777777" w:rsidR="00AC6F3C" w:rsidRDefault="00570E88">
            <w:pPr>
              <w:pStyle w:val="TableParagraph"/>
              <w:spacing w:before="69"/>
              <w:ind w:left="112"/>
              <w:rPr>
                <w:b/>
                <w:sz w:val="20"/>
              </w:rPr>
            </w:pPr>
            <w:r>
              <w:rPr>
                <w:b/>
                <w:sz w:val="20"/>
              </w:rPr>
              <w:t>Non-</w:t>
            </w:r>
            <w:r>
              <w:rPr>
                <w:b/>
                <w:spacing w:val="-2"/>
                <w:sz w:val="20"/>
              </w:rPr>
              <w:t>financial</w:t>
            </w:r>
          </w:p>
          <w:p w14:paraId="78F5405D" w14:textId="77777777" w:rsidR="00AC6F3C" w:rsidRDefault="00570E88">
            <w:pPr>
              <w:pStyle w:val="TableParagraph"/>
              <w:spacing w:before="10"/>
              <w:ind w:left="112"/>
              <w:rPr>
                <w:b/>
                <w:sz w:val="20"/>
              </w:rPr>
            </w:pPr>
            <w:r>
              <w:rPr>
                <w:b/>
                <w:spacing w:val="-2"/>
                <w:sz w:val="20"/>
              </w:rPr>
              <w:t>performance</w:t>
            </w:r>
          </w:p>
        </w:tc>
        <w:tc>
          <w:tcPr>
            <w:tcW w:w="3168" w:type="dxa"/>
            <w:tcBorders>
              <w:top w:val="single" w:sz="2" w:space="0" w:color="000000"/>
              <w:bottom w:val="single" w:sz="2" w:space="0" w:color="000000"/>
            </w:tcBorders>
          </w:tcPr>
          <w:p w14:paraId="73B33588" w14:textId="77777777" w:rsidR="00AC6F3C" w:rsidRDefault="00570E88">
            <w:pPr>
              <w:pStyle w:val="TableParagraph"/>
              <w:spacing w:before="69" w:line="249" w:lineRule="auto"/>
              <w:ind w:left="112" w:right="584"/>
              <w:rPr>
                <w:sz w:val="20"/>
              </w:rPr>
            </w:pPr>
            <w:r>
              <w:rPr>
                <w:sz w:val="20"/>
              </w:rPr>
              <w:t>Government’s objectives</w:t>
            </w:r>
            <w:r>
              <w:rPr>
                <w:spacing w:val="40"/>
                <w:sz w:val="20"/>
              </w:rPr>
              <w:t xml:space="preserve"> </w:t>
            </w:r>
            <w:r>
              <w:rPr>
                <w:sz w:val="20"/>
              </w:rPr>
              <w:t>for the community and whole-of-government</w:t>
            </w:r>
            <w:r>
              <w:rPr>
                <w:spacing w:val="-14"/>
                <w:sz w:val="20"/>
              </w:rPr>
              <w:t xml:space="preserve"> </w:t>
            </w:r>
            <w:r>
              <w:rPr>
                <w:sz w:val="20"/>
              </w:rPr>
              <w:t>plans/ specific initiatives</w:t>
            </w:r>
          </w:p>
        </w:tc>
        <w:tc>
          <w:tcPr>
            <w:tcW w:w="2612" w:type="dxa"/>
            <w:tcBorders>
              <w:top w:val="single" w:sz="2" w:space="0" w:color="000000"/>
              <w:bottom w:val="single" w:sz="2" w:space="0" w:color="000000"/>
            </w:tcBorders>
          </w:tcPr>
          <w:p w14:paraId="3D198516" w14:textId="77777777" w:rsidR="00AC6F3C" w:rsidRDefault="00570E88">
            <w:pPr>
              <w:pStyle w:val="TableParagraph"/>
              <w:spacing w:before="69"/>
              <w:ind w:left="327"/>
              <w:rPr>
                <w:sz w:val="20"/>
              </w:rPr>
            </w:pPr>
            <w:r>
              <w:rPr>
                <w:sz w:val="20"/>
              </w:rPr>
              <w:t>ARRs</w:t>
            </w:r>
            <w:r>
              <w:rPr>
                <w:spacing w:val="-4"/>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11.1</w:t>
            </w:r>
          </w:p>
        </w:tc>
        <w:tc>
          <w:tcPr>
            <w:tcW w:w="1541" w:type="dxa"/>
            <w:tcBorders>
              <w:top w:val="single" w:sz="2" w:space="0" w:color="000000"/>
              <w:bottom w:val="single" w:sz="2" w:space="0" w:color="000000"/>
            </w:tcBorders>
          </w:tcPr>
          <w:p w14:paraId="17137F60" w14:textId="77777777" w:rsidR="00AC6F3C" w:rsidRDefault="00570E88">
            <w:pPr>
              <w:pStyle w:val="TableParagraph"/>
              <w:spacing w:before="69"/>
              <w:ind w:right="36"/>
              <w:jc w:val="center"/>
              <w:rPr>
                <w:sz w:val="20"/>
              </w:rPr>
            </w:pPr>
            <w:r>
              <w:rPr>
                <w:sz w:val="20"/>
              </w:rPr>
              <w:t>8</w:t>
            </w:r>
          </w:p>
        </w:tc>
      </w:tr>
      <w:tr w:rsidR="00AC6F3C" w14:paraId="34AFA91D" w14:textId="77777777">
        <w:trPr>
          <w:trHeight w:val="607"/>
        </w:trPr>
        <w:tc>
          <w:tcPr>
            <w:tcW w:w="2031" w:type="dxa"/>
          </w:tcPr>
          <w:p w14:paraId="401E42A6"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63EFACE0" w14:textId="77777777" w:rsidR="00AC6F3C" w:rsidRDefault="00570E88">
            <w:pPr>
              <w:pStyle w:val="TableParagraph"/>
              <w:spacing w:before="69"/>
              <w:ind w:left="112"/>
              <w:rPr>
                <w:sz w:val="20"/>
              </w:rPr>
            </w:pPr>
            <w:r>
              <w:rPr>
                <w:sz w:val="20"/>
              </w:rPr>
              <w:t xml:space="preserve">Agency objectives </w:t>
            </w:r>
            <w:r>
              <w:rPr>
                <w:spacing w:val="-5"/>
                <w:sz w:val="20"/>
              </w:rPr>
              <w:t>and</w:t>
            </w:r>
          </w:p>
          <w:p w14:paraId="7CC7EDA8" w14:textId="77777777" w:rsidR="00AC6F3C" w:rsidRDefault="00570E88">
            <w:pPr>
              <w:pStyle w:val="TableParagraph"/>
              <w:spacing w:before="10"/>
              <w:ind w:left="112"/>
              <w:rPr>
                <w:sz w:val="20"/>
              </w:rPr>
            </w:pPr>
            <w:r>
              <w:rPr>
                <w:sz w:val="20"/>
              </w:rPr>
              <w:t>performance</w:t>
            </w:r>
            <w:r>
              <w:rPr>
                <w:spacing w:val="-10"/>
                <w:sz w:val="20"/>
              </w:rPr>
              <w:t xml:space="preserve"> </w:t>
            </w:r>
            <w:r>
              <w:rPr>
                <w:spacing w:val="-2"/>
                <w:sz w:val="20"/>
              </w:rPr>
              <w:t>indicators</w:t>
            </w:r>
          </w:p>
        </w:tc>
        <w:tc>
          <w:tcPr>
            <w:tcW w:w="2612" w:type="dxa"/>
            <w:tcBorders>
              <w:top w:val="single" w:sz="2" w:space="0" w:color="000000"/>
              <w:bottom w:val="single" w:sz="2" w:space="0" w:color="000000"/>
            </w:tcBorders>
          </w:tcPr>
          <w:p w14:paraId="1CF52F88" w14:textId="77777777" w:rsidR="00AC6F3C" w:rsidRDefault="00570E88">
            <w:pPr>
              <w:pStyle w:val="TableParagraph"/>
              <w:spacing w:before="69"/>
              <w:ind w:left="327"/>
              <w:rPr>
                <w:sz w:val="20"/>
              </w:rPr>
            </w:pPr>
            <w:r>
              <w:rPr>
                <w:sz w:val="20"/>
              </w:rPr>
              <w:t>ARRs</w:t>
            </w:r>
            <w:r>
              <w:rPr>
                <w:spacing w:val="-4"/>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11.2</w:t>
            </w:r>
          </w:p>
        </w:tc>
        <w:tc>
          <w:tcPr>
            <w:tcW w:w="1541" w:type="dxa"/>
            <w:tcBorders>
              <w:top w:val="single" w:sz="2" w:space="0" w:color="000000"/>
              <w:bottom w:val="single" w:sz="2" w:space="0" w:color="000000"/>
            </w:tcBorders>
          </w:tcPr>
          <w:p w14:paraId="052D44A9" w14:textId="77777777" w:rsidR="00AC6F3C" w:rsidRDefault="00570E88">
            <w:pPr>
              <w:pStyle w:val="TableParagraph"/>
              <w:spacing w:before="69"/>
              <w:ind w:left="171" w:right="207"/>
              <w:jc w:val="center"/>
              <w:rPr>
                <w:sz w:val="20"/>
              </w:rPr>
            </w:pPr>
            <w:r>
              <w:rPr>
                <w:spacing w:val="-2"/>
                <w:sz w:val="20"/>
              </w:rPr>
              <w:t>10-</w:t>
            </w:r>
            <w:r>
              <w:rPr>
                <w:spacing w:val="-5"/>
                <w:sz w:val="20"/>
              </w:rPr>
              <w:t>97</w:t>
            </w:r>
          </w:p>
        </w:tc>
      </w:tr>
      <w:tr w:rsidR="00AC6F3C" w14:paraId="7076936A" w14:textId="77777777">
        <w:trPr>
          <w:trHeight w:val="607"/>
        </w:trPr>
        <w:tc>
          <w:tcPr>
            <w:tcW w:w="2031" w:type="dxa"/>
            <w:tcBorders>
              <w:bottom w:val="single" w:sz="2" w:space="0" w:color="000000"/>
            </w:tcBorders>
          </w:tcPr>
          <w:p w14:paraId="51F78D55"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20F5E0E1" w14:textId="77777777" w:rsidR="00AC6F3C" w:rsidRDefault="00570E88">
            <w:pPr>
              <w:pStyle w:val="TableParagraph"/>
              <w:spacing w:before="69"/>
              <w:ind w:left="112"/>
              <w:rPr>
                <w:sz w:val="20"/>
              </w:rPr>
            </w:pPr>
            <w:r>
              <w:rPr>
                <w:sz w:val="20"/>
              </w:rPr>
              <w:t>Agency</w:t>
            </w:r>
            <w:r>
              <w:rPr>
                <w:spacing w:val="-4"/>
                <w:sz w:val="20"/>
              </w:rPr>
              <w:t xml:space="preserve"> </w:t>
            </w:r>
            <w:r>
              <w:rPr>
                <w:sz w:val="20"/>
              </w:rPr>
              <w:t>service</w:t>
            </w:r>
            <w:r>
              <w:rPr>
                <w:spacing w:val="-2"/>
                <w:sz w:val="20"/>
              </w:rPr>
              <w:t xml:space="preserve"> </w:t>
            </w:r>
            <w:r>
              <w:rPr>
                <w:sz w:val="20"/>
              </w:rPr>
              <w:t>areas</w:t>
            </w:r>
            <w:r>
              <w:rPr>
                <w:spacing w:val="-2"/>
                <w:sz w:val="20"/>
              </w:rPr>
              <w:t xml:space="preserve"> </w:t>
            </w:r>
            <w:r>
              <w:rPr>
                <w:spacing w:val="-5"/>
                <w:sz w:val="20"/>
              </w:rPr>
              <w:t>and</w:t>
            </w:r>
          </w:p>
          <w:p w14:paraId="13C0D9E7" w14:textId="77777777" w:rsidR="00AC6F3C" w:rsidRDefault="00570E88">
            <w:pPr>
              <w:pStyle w:val="TableParagraph"/>
              <w:spacing w:before="10"/>
              <w:ind w:left="112"/>
              <w:rPr>
                <w:sz w:val="20"/>
              </w:rPr>
            </w:pPr>
            <w:r>
              <w:rPr>
                <w:sz w:val="20"/>
              </w:rPr>
              <w:t>service</w:t>
            </w:r>
            <w:r>
              <w:rPr>
                <w:spacing w:val="-6"/>
                <w:sz w:val="20"/>
              </w:rPr>
              <w:t xml:space="preserve"> </w:t>
            </w:r>
            <w:r>
              <w:rPr>
                <w:spacing w:val="-2"/>
                <w:sz w:val="20"/>
              </w:rPr>
              <w:t>standards</w:t>
            </w:r>
          </w:p>
        </w:tc>
        <w:tc>
          <w:tcPr>
            <w:tcW w:w="2612" w:type="dxa"/>
            <w:tcBorders>
              <w:top w:val="single" w:sz="2" w:space="0" w:color="000000"/>
              <w:bottom w:val="single" w:sz="2" w:space="0" w:color="000000"/>
            </w:tcBorders>
          </w:tcPr>
          <w:p w14:paraId="6874354D" w14:textId="77777777" w:rsidR="00AC6F3C" w:rsidRDefault="00570E88">
            <w:pPr>
              <w:pStyle w:val="TableParagraph"/>
              <w:spacing w:before="69"/>
              <w:ind w:left="327"/>
              <w:rPr>
                <w:sz w:val="20"/>
              </w:rPr>
            </w:pPr>
            <w:r>
              <w:rPr>
                <w:sz w:val="20"/>
              </w:rPr>
              <w:t>ARRs</w:t>
            </w:r>
            <w:r>
              <w:rPr>
                <w:spacing w:val="-4"/>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11.3</w:t>
            </w:r>
          </w:p>
        </w:tc>
        <w:tc>
          <w:tcPr>
            <w:tcW w:w="1541" w:type="dxa"/>
            <w:tcBorders>
              <w:top w:val="single" w:sz="2" w:space="0" w:color="000000"/>
              <w:bottom w:val="single" w:sz="2" w:space="0" w:color="000000"/>
            </w:tcBorders>
          </w:tcPr>
          <w:p w14:paraId="4D2DC8A0" w14:textId="77777777" w:rsidR="00AC6F3C" w:rsidRDefault="00570E88">
            <w:pPr>
              <w:pStyle w:val="TableParagraph"/>
              <w:spacing w:before="69"/>
              <w:ind w:left="171" w:right="207"/>
              <w:jc w:val="center"/>
              <w:rPr>
                <w:sz w:val="20"/>
              </w:rPr>
            </w:pPr>
            <w:r>
              <w:rPr>
                <w:spacing w:val="-2"/>
                <w:sz w:val="20"/>
              </w:rPr>
              <w:t>10-</w:t>
            </w:r>
            <w:r>
              <w:rPr>
                <w:spacing w:val="-5"/>
                <w:sz w:val="20"/>
              </w:rPr>
              <w:t>97</w:t>
            </w:r>
          </w:p>
        </w:tc>
      </w:tr>
      <w:tr w:rsidR="00AC6F3C" w14:paraId="2A709B15" w14:textId="77777777">
        <w:trPr>
          <w:trHeight w:val="607"/>
        </w:trPr>
        <w:tc>
          <w:tcPr>
            <w:tcW w:w="2031" w:type="dxa"/>
            <w:tcBorders>
              <w:top w:val="single" w:sz="2" w:space="0" w:color="000000"/>
              <w:bottom w:val="single" w:sz="2" w:space="0" w:color="000000"/>
            </w:tcBorders>
          </w:tcPr>
          <w:p w14:paraId="10023BED" w14:textId="77777777" w:rsidR="00AC6F3C" w:rsidRDefault="00570E88">
            <w:pPr>
              <w:pStyle w:val="TableParagraph"/>
              <w:spacing w:before="69" w:line="249" w:lineRule="auto"/>
              <w:ind w:left="112" w:right="269"/>
              <w:rPr>
                <w:b/>
                <w:sz w:val="20"/>
              </w:rPr>
            </w:pPr>
            <w:r>
              <w:rPr>
                <w:b/>
                <w:spacing w:val="-2"/>
                <w:sz w:val="20"/>
              </w:rPr>
              <w:t>Financial performance</w:t>
            </w:r>
          </w:p>
        </w:tc>
        <w:tc>
          <w:tcPr>
            <w:tcW w:w="3168" w:type="dxa"/>
            <w:tcBorders>
              <w:top w:val="single" w:sz="2" w:space="0" w:color="000000"/>
              <w:bottom w:val="single" w:sz="2" w:space="0" w:color="000000"/>
            </w:tcBorders>
          </w:tcPr>
          <w:p w14:paraId="40C1B4A9" w14:textId="77777777" w:rsidR="00AC6F3C" w:rsidRDefault="00570E88">
            <w:pPr>
              <w:pStyle w:val="TableParagraph"/>
              <w:spacing w:before="69"/>
              <w:ind w:left="112"/>
              <w:rPr>
                <w:sz w:val="20"/>
              </w:rPr>
            </w:pPr>
            <w:r>
              <w:rPr>
                <w:sz w:val="20"/>
              </w:rPr>
              <w:t xml:space="preserve">Summary of </w:t>
            </w:r>
            <w:r>
              <w:rPr>
                <w:spacing w:val="-2"/>
                <w:sz w:val="20"/>
              </w:rPr>
              <w:t>financial</w:t>
            </w:r>
          </w:p>
          <w:p w14:paraId="623C8EC2" w14:textId="77777777" w:rsidR="00AC6F3C" w:rsidRDefault="00570E88">
            <w:pPr>
              <w:pStyle w:val="TableParagraph"/>
              <w:spacing w:before="10"/>
              <w:ind w:left="112"/>
              <w:rPr>
                <w:sz w:val="20"/>
              </w:rPr>
            </w:pPr>
            <w:r>
              <w:rPr>
                <w:spacing w:val="-2"/>
                <w:sz w:val="20"/>
              </w:rPr>
              <w:t>performance</w:t>
            </w:r>
          </w:p>
        </w:tc>
        <w:tc>
          <w:tcPr>
            <w:tcW w:w="2612" w:type="dxa"/>
            <w:tcBorders>
              <w:top w:val="single" w:sz="2" w:space="0" w:color="000000"/>
              <w:bottom w:val="single" w:sz="2" w:space="0" w:color="000000"/>
            </w:tcBorders>
          </w:tcPr>
          <w:p w14:paraId="483DA0BC" w14:textId="77777777" w:rsidR="00AC6F3C" w:rsidRDefault="00570E88">
            <w:pPr>
              <w:pStyle w:val="TableParagraph"/>
              <w:spacing w:before="69"/>
              <w:ind w:left="327"/>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12.1</w:t>
            </w:r>
          </w:p>
        </w:tc>
        <w:tc>
          <w:tcPr>
            <w:tcW w:w="1541" w:type="dxa"/>
            <w:tcBorders>
              <w:top w:val="single" w:sz="2" w:space="0" w:color="000000"/>
              <w:bottom w:val="single" w:sz="2" w:space="0" w:color="000000"/>
            </w:tcBorders>
          </w:tcPr>
          <w:p w14:paraId="7F4C3A96" w14:textId="77777777" w:rsidR="00AC6F3C" w:rsidRDefault="00570E88">
            <w:pPr>
              <w:pStyle w:val="TableParagraph"/>
              <w:spacing w:before="69"/>
              <w:ind w:left="171" w:right="208"/>
              <w:jc w:val="center"/>
              <w:rPr>
                <w:sz w:val="20"/>
              </w:rPr>
            </w:pPr>
            <w:r>
              <w:rPr>
                <w:spacing w:val="-5"/>
                <w:sz w:val="20"/>
              </w:rPr>
              <w:t>97</w:t>
            </w:r>
          </w:p>
        </w:tc>
      </w:tr>
      <w:tr w:rsidR="00AC6F3C" w14:paraId="752FF332" w14:textId="77777777">
        <w:trPr>
          <w:trHeight w:val="847"/>
        </w:trPr>
        <w:tc>
          <w:tcPr>
            <w:tcW w:w="2031" w:type="dxa"/>
            <w:tcBorders>
              <w:top w:val="single" w:sz="2" w:space="0" w:color="000000"/>
            </w:tcBorders>
          </w:tcPr>
          <w:p w14:paraId="3CFA4195" w14:textId="77777777" w:rsidR="00AC6F3C" w:rsidRDefault="00570E88">
            <w:pPr>
              <w:pStyle w:val="TableParagraph"/>
              <w:spacing w:before="69" w:line="249" w:lineRule="auto"/>
              <w:ind w:left="111" w:right="269"/>
              <w:rPr>
                <w:b/>
                <w:sz w:val="20"/>
              </w:rPr>
            </w:pPr>
            <w:r>
              <w:rPr>
                <w:b/>
                <w:sz w:val="20"/>
              </w:rPr>
              <w:t>Governance – management</w:t>
            </w:r>
            <w:r>
              <w:rPr>
                <w:b/>
                <w:spacing w:val="-14"/>
                <w:sz w:val="20"/>
              </w:rPr>
              <w:t xml:space="preserve"> </w:t>
            </w:r>
            <w:r>
              <w:rPr>
                <w:b/>
                <w:sz w:val="20"/>
              </w:rPr>
              <w:t xml:space="preserve">and </w:t>
            </w:r>
            <w:r>
              <w:rPr>
                <w:b/>
                <w:spacing w:val="-2"/>
                <w:sz w:val="20"/>
              </w:rPr>
              <w:t>structure</w:t>
            </w:r>
          </w:p>
        </w:tc>
        <w:tc>
          <w:tcPr>
            <w:tcW w:w="3168" w:type="dxa"/>
            <w:tcBorders>
              <w:top w:val="single" w:sz="2" w:space="0" w:color="000000"/>
              <w:bottom w:val="single" w:sz="2" w:space="0" w:color="000000"/>
            </w:tcBorders>
          </w:tcPr>
          <w:p w14:paraId="67B2B982" w14:textId="77777777" w:rsidR="00AC6F3C" w:rsidRDefault="00570E88">
            <w:pPr>
              <w:pStyle w:val="TableParagraph"/>
              <w:spacing w:before="69"/>
              <w:ind w:left="112"/>
              <w:rPr>
                <w:sz w:val="20"/>
              </w:rPr>
            </w:pPr>
            <w:proofErr w:type="spellStart"/>
            <w:r>
              <w:rPr>
                <w:sz w:val="20"/>
              </w:rPr>
              <w:t>Organisational</w:t>
            </w:r>
            <w:proofErr w:type="spellEnd"/>
            <w:r>
              <w:rPr>
                <w:spacing w:val="-13"/>
                <w:sz w:val="20"/>
              </w:rPr>
              <w:t xml:space="preserve"> </w:t>
            </w:r>
            <w:r>
              <w:rPr>
                <w:spacing w:val="-2"/>
                <w:sz w:val="20"/>
              </w:rPr>
              <w:t>structure</w:t>
            </w:r>
          </w:p>
        </w:tc>
        <w:tc>
          <w:tcPr>
            <w:tcW w:w="2612" w:type="dxa"/>
            <w:tcBorders>
              <w:top w:val="single" w:sz="2" w:space="0" w:color="000000"/>
              <w:bottom w:val="single" w:sz="2" w:space="0" w:color="000000"/>
            </w:tcBorders>
          </w:tcPr>
          <w:p w14:paraId="4E839BE6" w14:textId="77777777" w:rsidR="00AC6F3C" w:rsidRDefault="00570E88">
            <w:pPr>
              <w:pStyle w:val="TableParagraph"/>
              <w:spacing w:before="69"/>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13.1</w:t>
            </w:r>
          </w:p>
        </w:tc>
        <w:tc>
          <w:tcPr>
            <w:tcW w:w="1541" w:type="dxa"/>
            <w:tcBorders>
              <w:top w:val="single" w:sz="2" w:space="0" w:color="000000"/>
              <w:bottom w:val="single" w:sz="2" w:space="0" w:color="000000"/>
            </w:tcBorders>
          </w:tcPr>
          <w:p w14:paraId="2A00A112" w14:textId="77777777" w:rsidR="00AC6F3C" w:rsidRDefault="00570E88">
            <w:pPr>
              <w:pStyle w:val="TableParagraph"/>
              <w:spacing w:before="69"/>
              <w:ind w:left="171" w:right="208"/>
              <w:jc w:val="center"/>
              <w:rPr>
                <w:sz w:val="20"/>
              </w:rPr>
            </w:pPr>
            <w:r>
              <w:rPr>
                <w:sz w:val="20"/>
              </w:rPr>
              <w:t>23-26,</w:t>
            </w:r>
            <w:r>
              <w:rPr>
                <w:spacing w:val="-3"/>
                <w:sz w:val="20"/>
              </w:rPr>
              <w:t xml:space="preserve"> </w:t>
            </w:r>
            <w:r>
              <w:rPr>
                <w:sz w:val="20"/>
              </w:rPr>
              <w:t>87-</w:t>
            </w:r>
            <w:r>
              <w:rPr>
                <w:spacing w:val="-5"/>
                <w:sz w:val="20"/>
              </w:rPr>
              <w:t>90</w:t>
            </w:r>
          </w:p>
        </w:tc>
      </w:tr>
      <w:tr w:rsidR="00AC6F3C" w14:paraId="730123E7" w14:textId="77777777">
        <w:trPr>
          <w:trHeight w:val="367"/>
        </w:trPr>
        <w:tc>
          <w:tcPr>
            <w:tcW w:w="2031" w:type="dxa"/>
          </w:tcPr>
          <w:p w14:paraId="4B91C631"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326D178C" w14:textId="77777777" w:rsidR="00AC6F3C" w:rsidRDefault="00570E88">
            <w:pPr>
              <w:pStyle w:val="TableParagraph"/>
              <w:spacing w:before="69"/>
              <w:ind w:left="112"/>
              <w:rPr>
                <w:sz w:val="20"/>
              </w:rPr>
            </w:pPr>
            <w:r>
              <w:rPr>
                <w:sz w:val="20"/>
              </w:rPr>
              <w:t>Executive</w:t>
            </w:r>
            <w:r>
              <w:rPr>
                <w:spacing w:val="-8"/>
                <w:sz w:val="20"/>
              </w:rPr>
              <w:t xml:space="preserve"> </w:t>
            </w:r>
            <w:r>
              <w:rPr>
                <w:spacing w:val="-2"/>
                <w:sz w:val="20"/>
              </w:rPr>
              <w:t>management</w:t>
            </w:r>
          </w:p>
        </w:tc>
        <w:tc>
          <w:tcPr>
            <w:tcW w:w="2612" w:type="dxa"/>
            <w:tcBorders>
              <w:top w:val="single" w:sz="2" w:space="0" w:color="000000"/>
              <w:bottom w:val="single" w:sz="2" w:space="0" w:color="000000"/>
            </w:tcBorders>
          </w:tcPr>
          <w:p w14:paraId="1E2D3638" w14:textId="77777777" w:rsidR="00AC6F3C" w:rsidRDefault="00570E88">
            <w:pPr>
              <w:pStyle w:val="TableParagraph"/>
              <w:spacing w:before="69"/>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13.2</w:t>
            </w:r>
          </w:p>
        </w:tc>
        <w:tc>
          <w:tcPr>
            <w:tcW w:w="1541" w:type="dxa"/>
            <w:tcBorders>
              <w:top w:val="single" w:sz="2" w:space="0" w:color="000000"/>
              <w:bottom w:val="single" w:sz="2" w:space="0" w:color="000000"/>
            </w:tcBorders>
          </w:tcPr>
          <w:p w14:paraId="4785CC73" w14:textId="77777777" w:rsidR="00AC6F3C" w:rsidRDefault="00570E88">
            <w:pPr>
              <w:pStyle w:val="TableParagraph"/>
              <w:spacing w:before="69"/>
              <w:ind w:left="171" w:right="208"/>
              <w:jc w:val="center"/>
              <w:rPr>
                <w:sz w:val="20"/>
              </w:rPr>
            </w:pPr>
            <w:r>
              <w:rPr>
                <w:sz w:val="20"/>
              </w:rPr>
              <w:t>23-26,</w:t>
            </w:r>
            <w:r>
              <w:rPr>
                <w:spacing w:val="-3"/>
                <w:sz w:val="20"/>
              </w:rPr>
              <w:t xml:space="preserve"> </w:t>
            </w:r>
            <w:r>
              <w:rPr>
                <w:sz w:val="20"/>
              </w:rPr>
              <w:t>87-</w:t>
            </w:r>
            <w:r>
              <w:rPr>
                <w:spacing w:val="-5"/>
                <w:sz w:val="20"/>
              </w:rPr>
              <w:t>90</w:t>
            </w:r>
          </w:p>
        </w:tc>
      </w:tr>
      <w:tr w:rsidR="00AC6F3C" w14:paraId="4F7D68AD" w14:textId="77777777">
        <w:trPr>
          <w:trHeight w:val="607"/>
        </w:trPr>
        <w:tc>
          <w:tcPr>
            <w:tcW w:w="2031" w:type="dxa"/>
          </w:tcPr>
          <w:p w14:paraId="0DCB43BE"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49F27603" w14:textId="77777777" w:rsidR="00AC6F3C" w:rsidRDefault="00570E88">
            <w:pPr>
              <w:pStyle w:val="TableParagraph"/>
              <w:spacing w:before="69" w:line="249" w:lineRule="auto"/>
              <w:ind w:left="112"/>
              <w:rPr>
                <w:sz w:val="20"/>
              </w:rPr>
            </w:pPr>
            <w:r>
              <w:rPr>
                <w:sz w:val="20"/>
              </w:rPr>
              <w:t>Government</w:t>
            </w:r>
            <w:r>
              <w:rPr>
                <w:spacing w:val="-14"/>
                <w:sz w:val="20"/>
              </w:rPr>
              <w:t xml:space="preserve"> </w:t>
            </w:r>
            <w:r>
              <w:rPr>
                <w:sz w:val="20"/>
              </w:rPr>
              <w:t>bodies</w:t>
            </w:r>
            <w:r>
              <w:rPr>
                <w:spacing w:val="-14"/>
                <w:sz w:val="20"/>
              </w:rPr>
              <w:t xml:space="preserve"> </w:t>
            </w:r>
            <w:r>
              <w:rPr>
                <w:sz w:val="20"/>
              </w:rPr>
              <w:t>(statutory bodies and other entities)</w:t>
            </w:r>
          </w:p>
        </w:tc>
        <w:tc>
          <w:tcPr>
            <w:tcW w:w="2612" w:type="dxa"/>
            <w:tcBorders>
              <w:top w:val="single" w:sz="2" w:space="0" w:color="000000"/>
              <w:bottom w:val="single" w:sz="2" w:space="0" w:color="000000"/>
            </w:tcBorders>
          </w:tcPr>
          <w:p w14:paraId="75A62E73" w14:textId="77777777" w:rsidR="00AC6F3C" w:rsidRDefault="00570E88">
            <w:pPr>
              <w:pStyle w:val="TableParagraph"/>
              <w:spacing w:before="69"/>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13.3</w:t>
            </w:r>
          </w:p>
        </w:tc>
        <w:tc>
          <w:tcPr>
            <w:tcW w:w="1541" w:type="dxa"/>
            <w:tcBorders>
              <w:top w:val="single" w:sz="2" w:space="0" w:color="000000"/>
              <w:bottom w:val="single" w:sz="2" w:space="0" w:color="000000"/>
            </w:tcBorders>
          </w:tcPr>
          <w:p w14:paraId="0350D80F" w14:textId="77777777" w:rsidR="00AC6F3C" w:rsidRDefault="00570E88">
            <w:pPr>
              <w:pStyle w:val="TableParagraph"/>
              <w:spacing w:before="69"/>
              <w:ind w:right="37"/>
              <w:jc w:val="center"/>
              <w:rPr>
                <w:sz w:val="20"/>
              </w:rPr>
            </w:pPr>
            <w:r>
              <w:rPr>
                <w:sz w:val="20"/>
              </w:rPr>
              <w:t>3</w:t>
            </w:r>
          </w:p>
        </w:tc>
      </w:tr>
      <w:tr w:rsidR="00AC6F3C" w14:paraId="619C5578" w14:textId="77777777">
        <w:trPr>
          <w:trHeight w:val="613"/>
        </w:trPr>
        <w:tc>
          <w:tcPr>
            <w:tcW w:w="2031" w:type="dxa"/>
          </w:tcPr>
          <w:p w14:paraId="19259BA8" w14:textId="77777777" w:rsidR="00AC6F3C" w:rsidRDefault="00AC6F3C">
            <w:pPr>
              <w:pStyle w:val="TableParagraph"/>
              <w:rPr>
                <w:rFonts w:ascii="Times New Roman"/>
                <w:sz w:val="20"/>
              </w:rPr>
            </w:pPr>
          </w:p>
        </w:tc>
        <w:tc>
          <w:tcPr>
            <w:tcW w:w="3168" w:type="dxa"/>
            <w:tcBorders>
              <w:top w:val="single" w:sz="2" w:space="0" w:color="000000"/>
            </w:tcBorders>
          </w:tcPr>
          <w:p w14:paraId="52D1283D" w14:textId="77777777" w:rsidR="00AC6F3C" w:rsidRDefault="00570E88">
            <w:pPr>
              <w:pStyle w:val="TableParagraph"/>
              <w:spacing w:before="69"/>
              <w:ind w:left="112"/>
              <w:rPr>
                <w:sz w:val="20"/>
              </w:rPr>
            </w:pPr>
            <w:r>
              <w:rPr>
                <w:sz w:val="20"/>
              </w:rPr>
              <w:t xml:space="preserve">Public Sector </w:t>
            </w:r>
            <w:r>
              <w:rPr>
                <w:spacing w:val="-2"/>
                <w:sz w:val="20"/>
              </w:rPr>
              <w:t>Ethics</w:t>
            </w:r>
          </w:p>
        </w:tc>
        <w:tc>
          <w:tcPr>
            <w:tcW w:w="2612" w:type="dxa"/>
            <w:tcBorders>
              <w:top w:val="single" w:sz="2" w:space="0" w:color="000000"/>
            </w:tcBorders>
          </w:tcPr>
          <w:p w14:paraId="3D018C72" w14:textId="77777777" w:rsidR="00AC6F3C" w:rsidRDefault="00570E88">
            <w:pPr>
              <w:pStyle w:val="TableParagraph"/>
              <w:spacing w:before="69" w:line="249" w:lineRule="auto"/>
              <w:ind w:left="326" w:right="266"/>
              <w:rPr>
                <w:i/>
                <w:sz w:val="20"/>
              </w:rPr>
            </w:pPr>
            <w:r>
              <w:rPr>
                <w:i/>
                <w:sz w:val="20"/>
              </w:rPr>
              <w:t>Public</w:t>
            </w:r>
            <w:r>
              <w:rPr>
                <w:i/>
                <w:spacing w:val="-14"/>
                <w:sz w:val="20"/>
              </w:rPr>
              <w:t xml:space="preserve"> </w:t>
            </w:r>
            <w:r>
              <w:rPr>
                <w:i/>
                <w:sz w:val="20"/>
              </w:rPr>
              <w:t>Sector</w:t>
            </w:r>
            <w:r>
              <w:rPr>
                <w:i/>
                <w:spacing w:val="-14"/>
                <w:sz w:val="20"/>
              </w:rPr>
              <w:t xml:space="preserve"> </w:t>
            </w:r>
            <w:r>
              <w:rPr>
                <w:i/>
                <w:sz w:val="20"/>
              </w:rPr>
              <w:t>Ethics Act 1994</w:t>
            </w:r>
          </w:p>
        </w:tc>
        <w:tc>
          <w:tcPr>
            <w:tcW w:w="1541" w:type="dxa"/>
            <w:tcBorders>
              <w:top w:val="single" w:sz="2" w:space="0" w:color="000000"/>
            </w:tcBorders>
          </w:tcPr>
          <w:p w14:paraId="7F75B48C" w14:textId="77777777" w:rsidR="00AC6F3C" w:rsidRDefault="00570E88">
            <w:pPr>
              <w:pStyle w:val="TableParagraph"/>
              <w:spacing w:before="69"/>
              <w:ind w:left="171" w:right="208"/>
              <w:jc w:val="center"/>
              <w:rPr>
                <w:sz w:val="20"/>
              </w:rPr>
            </w:pPr>
            <w:r>
              <w:rPr>
                <w:spacing w:val="-2"/>
                <w:sz w:val="20"/>
              </w:rPr>
              <w:t>95-</w:t>
            </w:r>
            <w:r>
              <w:rPr>
                <w:spacing w:val="-5"/>
                <w:sz w:val="20"/>
              </w:rPr>
              <w:t>96</w:t>
            </w:r>
          </w:p>
        </w:tc>
      </w:tr>
      <w:tr w:rsidR="00AC6F3C" w14:paraId="114F1A2A" w14:textId="77777777">
        <w:trPr>
          <w:trHeight w:val="365"/>
        </w:trPr>
        <w:tc>
          <w:tcPr>
            <w:tcW w:w="2031" w:type="dxa"/>
          </w:tcPr>
          <w:p w14:paraId="4587CB1D" w14:textId="77777777" w:rsidR="00AC6F3C" w:rsidRDefault="00AC6F3C">
            <w:pPr>
              <w:pStyle w:val="TableParagraph"/>
              <w:rPr>
                <w:rFonts w:ascii="Times New Roman"/>
                <w:sz w:val="20"/>
              </w:rPr>
            </w:pPr>
          </w:p>
        </w:tc>
        <w:tc>
          <w:tcPr>
            <w:tcW w:w="3168" w:type="dxa"/>
            <w:tcBorders>
              <w:bottom w:val="single" w:sz="2" w:space="0" w:color="000000"/>
            </w:tcBorders>
          </w:tcPr>
          <w:p w14:paraId="0587EE4E" w14:textId="77777777" w:rsidR="00AC6F3C" w:rsidRDefault="00AC6F3C">
            <w:pPr>
              <w:pStyle w:val="TableParagraph"/>
              <w:rPr>
                <w:rFonts w:ascii="Times New Roman"/>
                <w:sz w:val="20"/>
              </w:rPr>
            </w:pPr>
          </w:p>
        </w:tc>
        <w:tc>
          <w:tcPr>
            <w:tcW w:w="2612" w:type="dxa"/>
            <w:tcBorders>
              <w:bottom w:val="single" w:sz="2" w:space="0" w:color="000000"/>
            </w:tcBorders>
          </w:tcPr>
          <w:p w14:paraId="4ACDE6D9" w14:textId="77777777" w:rsidR="00AC6F3C" w:rsidRDefault="00570E88">
            <w:pPr>
              <w:pStyle w:val="TableParagraph"/>
              <w:spacing w:before="68"/>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13.4</w:t>
            </w:r>
          </w:p>
        </w:tc>
        <w:tc>
          <w:tcPr>
            <w:tcW w:w="1541" w:type="dxa"/>
            <w:tcBorders>
              <w:bottom w:val="single" w:sz="2" w:space="0" w:color="000000"/>
            </w:tcBorders>
          </w:tcPr>
          <w:p w14:paraId="581DFBBB" w14:textId="77777777" w:rsidR="00AC6F3C" w:rsidRDefault="00AC6F3C">
            <w:pPr>
              <w:pStyle w:val="TableParagraph"/>
              <w:rPr>
                <w:rFonts w:ascii="Times New Roman"/>
                <w:sz w:val="20"/>
              </w:rPr>
            </w:pPr>
          </w:p>
        </w:tc>
      </w:tr>
      <w:tr w:rsidR="00AC6F3C" w14:paraId="3FB1C417" w14:textId="77777777">
        <w:trPr>
          <w:trHeight w:val="373"/>
        </w:trPr>
        <w:tc>
          <w:tcPr>
            <w:tcW w:w="2031" w:type="dxa"/>
          </w:tcPr>
          <w:p w14:paraId="22AB7FF2" w14:textId="77777777" w:rsidR="00AC6F3C" w:rsidRDefault="00AC6F3C">
            <w:pPr>
              <w:pStyle w:val="TableParagraph"/>
              <w:rPr>
                <w:rFonts w:ascii="Times New Roman"/>
                <w:sz w:val="20"/>
              </w:rPr>
            </w:pPr>
          </w:p>
        </w:tc>
        <w:tc>
          <w:tcPr>
            <w:tcW w:w="3168" w:type="dxa"/>
            <w:tcBorders>
              <w:top w:val="single" w:sz="2" w:space="0" w:color="000000"/>
            </w:tcBorders>
          </w:tcPr>
          <w:p w14:paraId="285833B8" w14:textId="77777777" w:rsidR="00AC6F3C" w:rsidRDefault="00570E88">
            <w:pPr>
              <w:pStyle w:val="TableParagraph"/>
              <w:spacing w:before="69"/>
              <w:ind w:left="112"/>
              <w:rPr>
                <w:sz w:val="20"/>
              </w:rPr>
            </w:pPr>
            <w:r>
              <w:rPr>
                <w:sz w:val="20"/>
              </w:rPr>
              <w:t>Human</w:t>
            </w:r>
            <w:r>
              <w:rPr>
                <w:spacing w:val="-4"/>
                <w:sz w:val="20"/>
              </w:rPr>
              <w:t xml:space="preserve"> </w:t>
            </w:r>
            <w:r>
              <w:rPr>
                <w:spacing w:val="-2"/>
                <w:sz w:val="20"/>
              </w:rPr>
              <w:t>Rights</w:t>
            </w:r>
          </w:p>
        </w:tc>
        <w:tc>
          <w:tcPr>
            <w:tcW w:w="2612" w:type="dxa"/>
            <w:tcBorders>
              <w:top w:val="single" w:sz="2" w:space="0" w:color="000000"/>
            </w:tcBorders>
          </w:tcPr>
          <w:p w14:paraId="5AC4D449" w14:textId="77777777" w:rsidR="00AC6F3C" w:rsidRDefault="00570E88">
            <w:pPr>
              <w:pStyle w:val="TableParagraph"/>
              <w:spacing w:before="69"/>
              <w:ind w:left="326"/>
              <w:rPr>
                <w:i/>
                <w:sz w:val="20"/>
              </w:rPr>
            </w:pPr>
            <w:r>
              <w:rPr>
                <w:i/>
                <w:sz w:val="20"/>
              </w:rPr>
              <w:t>Human</w:t>
            </w:r>
            <w:r>
              <w:rPr>
                <w:i/>
                <w:spacing w:val="-4"/>
                <w:sz w:val="20"/>
              </w:rPr>
              <w:t xml:space="preserve"> </w:t>
            </w:r>
            <w:r>
              <w:rPr>
                <w:i/>
                <w:sz w:val="20"/>
              </w:rPr>
              <w:t>Rights</w:t>
            </w:r>
            <w:r>
              <w:rPr>
                <w:i/>
                <w:spacing w:val="-9"/>
                <w:sz w:val="20"/>
              </w:rPr>
              <w:t xml:space="preserve"> </w:t>
            </w:r>
            <w:r>
              <w:rPr>
                <w:i/>
                <w:sz w:val="20"/>
              </w:rPr>
              <w:t>Act</w:t>
            </w:r>
            <w:r>
              <w:rPr>
                <w:i/>
                <w:spacing w:val="-1"/>
                <w:sz w:val="20"/>
              </w:rPr>
              <w:t xml:space="preserve"> </w:t>
            </w:r>
            <w:r>
              <w:rPr>
                <w:i/>
                <w:spacing w:val="-4"/>
                <w:sz w:val="20"/>
              </w:rPr>
              <w:t>2019</w:t>
            </w:r>
          </w:p>
        </w:tc>
        <w:tc>
          <w:tcPr>
            <w:tcW w:w="1541" w:type="dxa"/>
            <w:tcBorders>
              <w:top w:val="single" w:sz="2" w:space="0" w:color="000000"/>
            </w:tcBorders>
          </w:tcPr>
          <w:p w14:paraId="4C10E86F" w14:textId="77777777" w:rsidR="00AC6F3C" w:rsidRDefault="00570E88">
            <w:pPr>
              <w:pStyle w:val="TableParagraph"/>
              <w:spacing w:before="69"/>
              <w:ind w:left="171" w:right="208"/>
              <w:jc w:val="center"/>
              <w:rPr>
                <w:sz w:val="20"/>
              </w:rPr>
            </w:pPr>
            <w:r>
              <w:rPr>
                <w:sz w:val="20"/>
              </w:rPr>
              <w:t>8,</w:t>
            </w:r>
            <w:r>
              <w:rPr>
                <w:spacing w:val="-5"/>
                <w:sz w:val="20"/>
              </w:rPr>
              <w:t xml:space="preserve"> </w:t>
            </w:r>
            <w:r>
              <w:rPr>
                <w:sz w:val="20"/>
              </w:rPr>
              <w:t>84-</w:t>
            </w:r>
            <w:r>
              <w:rPr>
                <w:spacing w:val="-5"/>
                <w:sz w:val="20"/>
              </w:rPr>
              <w:t>85</w:t>
            </w:r>
          </w:p>
        </w:tc>
      </w:tr>
      <w:tr w:rsidR="00AC6F3C" w14:paraId="172324FC" w14:textId="77777777">
        <w:trPr>
          <w:trHeight w:val="365"/>
        </w:trPr>
        <w:tc>
          <w:tcPr>
            <w:tcW w:w="2031" w:type="dxa"/>
          </w:tcPr>
          <w:p w14:paraId="21BC7110" w14:textId="77777777" w:rsidR="00AC6F3C" w:rsidRDefault="00AC6F3C">
            <w:pPr>
              <w:pStyle w:val="TableParagraph"/>
              <w:rPr>
                <w:rFonts w:ascii="Times New Roman"/>
                <w:sz w:val="20"/>
              </w:rPr>
            </w:pPr>
          </w:p>
        </w:tc>
        <w:tc>
          <w:tcPr>
            <w:tcW w:w="3168" w:type="dxa"/>
            <w:tcBorders>
              <w:bottom w:val="single" w:sz="2" w:space="0" w:color="000000"/>
            </w:tcBorders>
          </w:tcPr>
          <w:p w14:paraId="554A29F5" w14:textId="77777777" w:rsidR="00AC6F3C" w:rsidRDefault="00AC6F3C">
            <w:pPr>
              <w:pStyle w:val="TableParagraph"/>
              <w:rPr>
                <w:rFonts w:ascii="Times New Roman"/>
                <w:sz w:val="20"/>
              </w:rPr>
            </w:pPr>
          </w:p>
        </w:tc>
        <w:tc>
          <w:tcPr>
            <w:tcW w:w="2612" w:type="dxa"/>
            <w:tcBorders>
              <w:bottom w:val="single" w:sz="2" w:space="0" w:color="000000"/>
            </w:tcBorders>
          </w:tcPr>
          <w:p w14:paraId="19389038" w14:textId="77777777" w:rsidR="00AC6F3C" w:rsidRDefault="00570E88">
            <w:pPr>
              <w:pStyle w:val="TableParagraph"/>
              <w:spacing w:before="68"/>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13.5</w:t>
            </w:r>
          </w:p>
        </w:tc>
        <w:tc>
          <w:tcPr>
            <w:tcW w:w="1541" w:type="dxa"/>
            <w:tcBorders>
              <w:bottom w:val="single" w:sz="2" w:space="0" w:color="000000"/>
            </w:tcBorders>
          </w:tcPr>
          <w:p w14:paraId="2A01839F" w14:textId="77777777" w:rsidR="00AC6F3C" w:rsidRDefault="00AC6F3C">
            <w:pPr>
              <w:pStyle w:val="TableParagraph"/>
              <w:rPr>
                <w:rFonts w:ascii="Times New Roman"/>
                <w:sz w:val="20"/>
              </w:rPr>
            </w:pPr>
          </w:p>
        </w:tc>
      </w:tr>
      <w:tr w:rsidR="00AC6F3C" w14:paraId="6A5BEDE2" w14:textId="77777777">
        <w:trPr>
          <w:trHeight w:val="607"/>
        </w:trPr>
        <w:tc>
          <w:tcPr>
            <w:tcW w:w="2031" w:type="dxa"/>
            <w:tcBorders>
              <w:bottom w:val="single" w:sz="2" w:space="0" w:color="000000"/>
            </w:tcBorders>
          </w:tcPr>
          <w:p w14:paraId="3A4E9031" w14:textId="77777777" w:rsidR="00AC6F3C" w:rsidRDefault="00AC6F3C">
            <w:pPr>
              <w:pStyle w:val="TableParagraph"/>
              <w:rPr>
                <w:rFonts w:ascii="Times New Roman"/>
                <w:sz w:val="20"/>
              </w:rPr>
            </w:pPr>
          </w:p>
        </w:tc>
        <w:tc>
          <w:tcPr>
            <w:tcW w:w="3168" w:type="dxa"/>
            <w:tcBorders>
              <w:top w:val="single" w:sz="2" w:space="0" w:color="000000"/>
              <w:bottom w:val="single" w:sz="2" w:space="0" w:color="000000"/>
            </w:tcBorders>
          </w:tcPr>
          <w:p w14:paraId="72FE8DED" w14:textId="77777777" w:rsidR="00AC6F3C" w:rsidRDefault="00570E88">
            <w:pPr>
              <w:pStyle w:val="TableParagraph"/>
              <w:spacing w:before="69"/>
              <w:ind w:left="112"/>
              <w:rPr>
                <w:sz w:val="20"/>
              </w:rPr>
            </w:pPr>
            <w:r>
              <w:rPr>
                <w:sz w:val="20"/>
              </w:rPr>
              <w:t>Queensland</w:t>
            </w:r>
            <w:r>
              <w:rPr>
                <w:spacing w:val="-9"/>
                <w:sz w:val="20"/>
              </w:rPr>
              <w:t xml:space="preserve"> </w:t>
            </w:r>
            <w:r>
              <w:rPr>
                <w:spacing w:val="-2"/>
                <w:sz w:val="20"/>
              </w:rPr>
              <w:t>public</w:t>
            </w:r>
          </w:p>
          <w:p w14:paraId="2A97AD0B" w14:textId="77777777" w:rsidR="00AC6F3C" w:rsidRDefault="00570E88">
            <w:pPr>
              <w:pStyle w:val="TableParagraph"/>
              <w:spacing w:before="10"/>
              <w:ind w:left="112"/>
              <w:rPr>
                <w:sz w:val="20"/>
              </w:rPr>
            </w:pPr>
            <w:r>
              <w:rPr>
                <w:sz w:val="20"/>
              </w:rPr>
              <w:t>service</w:t>
            </w:r>
            <w:r>
              <w:rPr>
                <w:spacing w:val="-6"/>
                <w:sz w:val="20"/>
              </w:rPr>
              <w:t xml:space="preserve"> </w:t>
            </w:r>
            <w:r>
              <w:rPr>
                <w:spacing w:val="-2"/>
                <w:sz w:val="20"/>
              </w:rPr>
              <w:t>values</w:t>
            </w:r>
          </w:p>
        </w:tc>
        <w:tc>
          <w:tcPr>
            <w:tcW w:w="2612" w:type="dxa"/>
            <w:tcBorders>
              <w:top w:val="single" w:sz="2" w:space="0" w:color="000000"/>
              <w:bottom w:val="single" w:sz="2" w:space="0" w:color="000000"/>
            </w:tcBorders>
          </w:tcPr>
          <w:p w14:paraId="17D640DC" w14:textId="77777777" w:rsidR="00AC6F3C" w:rsidRDefault="00570E88">
            <w:pPr>
              <w:pStyle w:val="TableParagraph"/>
              <w:spacing w:before="69"/>
              <w:ind w:left="326"/>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13.6</w:t>
            </w:r>
          </w:p>
        </w:tc>
        <w:tc>
          <w:tcPr>
            <w:tcW w:w="1541" w:type="dxa"/>
            <w:tcBorders>
              <w:top w:val="single" w:sz="2" w:space="0" w:color="000000"/>
              <w:bottom w:val="single" w:sz="2" w:space="0" w:color="000000"/>
            </w:tcBorders>
          </w:tcPr>
          <w:p w14:paraId="118304CD" w14:textId="77777777" w:rsidR="00AC6F3C" w:rsidRDefault="00570E88">
            <w:pPr>
              <w:pStyle w:val="TableParagraph"/>
              <w:spacing w:before="69"/>
              <w:ind w:left="171" w:right="208"/>
              <w:jc w:val="center"/>
              <w:rPr>
                <w:sz w:val="20"/>
              </w:rPr>
            </w:pPr>
            <w:r>
              <w:rPr>
                <w:sz w:val="20"/>
              </w:rPr>
              <w:t>3,</w:t>
            </w:r>
            <w:r>
              <w:rPr>
                <w:spacing w:val="-2"/>
                <w:sz w:val="20"/>
              </w:rPr>
              <w:t xml:space="preserve"> </w:t>
            </w:r>
            <w:r>
              <w:rPr>
                <w:sz w:val="20"/>
              </w:rPr>
              <w:t>8-9,</w:t>
            </w:r>
            <w:r>
              <w:rPr>
                <w:spacing w:val="-1"/>
                <w:sz w:val="20"/>
              </w:rPr>
              <w:t xml:space="preserve"> </w:t>
            </w:r>
            <w:r>
              <w:rPr>
                <w:sz w:val="20"/>
              </w:rPr>
              <w:t>18-</w:t>
            </w:r>
            <w:r>
              <w:rPr>
                <w:spacing w:val="-5"/>
                <w:sz w:val="20"/>
              </w:rPr>
              <w:t>23</w:t>
            </w:r>
          </w:p>
        </w:tc>
      </w:tr>
    </w:tbl>
    <w:p w14:paraId="63C1E6E5" w14:textId="77777777" w:rsidR="00AC6F3C" w:rsidRDefault="00AC6F3C">
      <w:pPr>
        <w:jc w:val="center"/>
        <w:rPr>
          <w:sz w:val="20"/>
        </w:rPr>
        <w:sectPr w:rsidR="00AC6F3C">
          <w:type w:val="continuous"/>
          <w:pgSz w:w="11910" w:h="16840"/>
          <w:pgMar w:top="1920" w:right="1160" w:bottom="280" w:left="460" w:header="0" w:footer="336" w:gutter="0"/>
          <w:cols w:space="720"/>
        </w:sectPr>
      </w:pPr>
    </w:p>
    <w:p w14:paraId="20C3B955" w14:textId="77777777" w:rsidR="00AC6F3C" w:rsidRDefault="00AC6F3C">
      <w:pPr>
        <w:pStyle w:val="BodyText"/>
        <w:spacing w:before="8"/>
        <w:rPr>
          <w:b/>
          <w:sz w:val="27"/>
        </w:rPr>
      </w:pPr>
    </w:p>
    <w:p w14:paraId="0FA9B910" w14:textId="77777777" w:rsidR="00AC6F3C" w:rsidRDefault="00570E88">
      <w:pPr>
        <w:tabs>
          <w:tab w:val="left" w:pos="6343"/>
        </w:tabs>
        <w:ind w:left="928"/>
        <w:rPr>
          <w:b/>
          <w:sz w:val="20"/>
        </w:rPr>
      </w:pPr>
      <w:r>
        <w:rPr>
          <w:b/>
          <w:sz w:val="20"/>
        </w:rPr>
        <w:t>Summary</w:t>
      </w:r>
      <w:r>
        <w:rPr>
          <w:b/>
          <w:spacing w:val="-3"/>
          <w:sz w:val="20"/>
        </w:rPr>
        <w:t xml:space="preserve"> </w:t>
      </w:r>
      <w:r>
        <w:rPr>
          <w:b/>
          <w:sz w:val="20"/>
        </w:rPr>
        <w:t>of</w:t>
      </w:r>
      <w:r>
        <w:rPr>
          <w:b/>
          <w:spacing w:val="-3"/>
          <w:sz w:val="20"/>
        </w:rPr>
        <w:t xml:space="preserve"> </w:t>
      </w:r>
      <w:r>
        <w:rPr>
          <w:b/>
          <w:spacing w:val="-2"/>
          <w:sz w:val="20"/>
        </w:rPr>
        <w:t>requirement</w:t>
      </w:r>
      <w:r>
        <w:rPr>
          <w:b/>
          <w:sz w:val="20"/>
        </w:rPr>
        <w:tab/>
        <w:t>Basis</w:t>
      </w:r>
      <w:r>
        <w:rPr>
          <w:b/>
          <w:spacing w:val="-5"/>
          <w:sz w:val="20"/>
        </w:rPr>
        <w:t xml:space="preserve"> </w:t>
      </w:r>
      <w:r>
        <w:rPr>
          <w:b/>
          <w:sz w:val="20"/>
        </w:rPr>
        <w:t>for</w:t>
      </w:r>
      <w:r>
        <w:rPr>
          <w:b/>
          <w:spacing w:val="-3"/>
          <w:sz w:val="20"/>
        </w:rPr>
        <w:t xml:space="preserve"> </w:t>
      </w:r>
      <w:r>
        <w:rPr>
          <w:b/>
          <w:spacing w:val="-2"/>
          <w:sz w:val="20"/>
        </w:rPr>
        <w:t>requirement</w:t>
      </w:r>
    </w:p>
    <w:p w14:paraId="7D2D63B7" w14:textId="77777777" w:rsidR="00AC6F3C" w:rsidRDefault="00570E88">
      <w:pPr>
        <w:spacing w:before="79" w:line="249" w:lineRule="auto"/>
        <w:ind w:left="495" w:right="268" w:hanging="198"/>
        <w:rPr>
          <w:b/>
          <w:sz w:val="20"/>
        </w:rPr>
      </w:pPr>
      <w:r>
        <w:br w:type="column"/>
      </w:r>
      <w:r>
        <w:rPr>
          <w:b/>
          <w:spacing w:val="-4"/>
          <w:sz w:val="20"/>
        </w:rPr>
        <w:t>Annual</w:t>
      </w:r>
      <w:r>
        <w:rPr>
          <w:b/>
          <w:spacing w:val="-10"/>
          <w:sz w:val="20"/>
        </w:rPr>
        <w:t xml:space="preserve"> </w:t>
      </w:r>
      <w:r>
        <w:rPr>
          <w:b/>
          <w:spacing w:val="-4"/>
          <w:sz w:val="20"/>
        </w:rPr>
        <w:t xml:space="preserve">report </w:t>
      </w:r>
      <w:r>
        <w:rPr>
          <w:b/>
          <w:spacing w:val="-2"/>
          <w:sz w:val="20"/>
        </w:rPr>
        <w:t>reference</w:t>
      </w:r>
    </w:p>
    <w:p w14:paraId="51575991" w14:textId="77777777" w:rsidR="00AC6F3C" w:rsidRDefault="00AC6F3C">
      <w:pPr>
        <w:spacing w:line="249" w:lineRule="auto"/>
        <w:rPr>
          <w:sz w:val="20"/>
        </w:rPr>
        <w:sectPr w:rsidR="00AC6F3C">
          <w:headerReference w:type="default" r:id="rId260"/>
          <w:footerReference w:type="default" r:id="rId261"/>
          <w:pgSz w:w="11910" w:h="16840"/>
          <w:pgMar w:top="1260" w:right="1160" w:bottom="520" w:left="460" w:header="0" w:footer="336" w:gutter="0"/>
          <w:cols w:num="2" w:space="720" w:equalWidth="0">
            <w:col w:w="8411" w:space="40"/>
            <w:col w:w="1839"/>
          </w:cols>
        </w:sectPr>
      </w:pPr>
    </w:p>
    <w:p w14:paraId="1F13F3B5" w14:textId="77777777" w:rsidR="00AC6F3C" w:rsidRDefault="00AC6F3C">
      <w:pPr>
        <w:pStyle w:val="BodyText"/>
        <w:spacing w:before="5"/>
        <w:rPr>
          <w:b/>
          <w:sz w:val="5"/>
        </w:rPr>
      </w:pPr>
    </w:p>
    <w:tbl>
      <w:tblPr>
        <w:tblW w:w="0" w:type="auto"/>
        <w:tblInd w:w="823" w:type="dxa"/>
        <w:tblLayout w:type="fixed"/>
        <w:tblCellMar>
          <w:left w:w="0" w:type="dxa"/>
          <w:right w:w="0" w:type="dxa"/>
        </w:tblCellMar>
        <w:tblLook w:val="01E0" w:firstRow="1" w:lastRow="1" w:firstColumn="1" w:lastColumn="1" w:noHBand="0" w:noVBand="0"/>
      </w:tblPr>
      <w:tblGrid>
        <w:gridCol w:w="2031"/>
        <w:gridCol w:w="3182"/>
        <w:gridCol w:w="2553"/>
        <w:gridCol w:w="1586"/>
      </w:tblGrid>
      <w:tr w:rsidR="00AC6F3C" w14:paraId="74539F7B" w14:textId="77777777">
        <w:trPr>
          <w:trHeight w:val="847"/>
        </w:trPr>
        <w:tc>
          <w:tcPr>
            <w:tcW w:w="2031" w:type="dxa"/>
            <w:tcBorders>
              <w:top w:val="single" w:sz="8" w:space="0" w:color="000000"/>
            </w:tcBorders>
          </w:tcPr>
          <w:p w14:paraId="5B792D09" w14:textId="77777777" w:rsidR="00AC6F3C" w:rsidRDefault="00570E88">
            <w:pPr>
              <w:pStyle w:val="TableParagraph"/>
              <w:spacing w:before="69" w:line="249" w:lineRule="auto"/>
              <w:ind w:left="113"/>
              <w:rPr>
                <w:b/>
                <w:sz w:val="20"/>
              </w:rPr>
            </w:pPr>
            <w:r>
              <w:rPr>
                <w:b/>
                <w:sz w:val="20"/>
              </w:rPr>
              <w:t>Governance</w:t>
            </w:r>
            <w:r>
              <w:rPr>
                <w:b/>
                <w:spacing w:val="-14"/>
                <w:sz w:val="20"/>
              </w:rPr>
              <w:t xml:space="preserve"> </w:t>
            </w:r>
            <w:r>
              <w:rPr>
                <w:b/>
                <w:sz w:val="20"/>
              </w:rPr>
              <w:t>–</w:t>
            </w:r>
            <w:r>
              <w:rPr>
                <w:b/>
                <w:spacing w:val="-14"/>
                <w:sz w:val="20"/>
              </w:rPr>
              <w:t xml:space="preserve"> </w:t>
            </w:r>
            <w:r>
              <w:rPr>
                <w:b/>
                <w:sz w:val="20"/>
              </w:rPr>
              <w:t xml:space="preserve">risk management and </w:t>
            </w:r>
            <w:r>
              <w:rPr>
                <w:b/>
                <w:spacing w:val="-2"/>
                <w:sz w:val="20"/>
              </w:rPr>
              <w:t>accountability</w:t>
            </w:r>
          </w:p>
        </w:tc>
        <w:tc>
          <w:tcPr>
            <w:tcW w:w="3182" w:type="dxa"/>
            <w:tcBorders>
              <w:top w:val="single" w:sz="8" w:space="0" w:color="000000"/>
              <w:bottom w:val="single" w:sz="2" w:space="0" w:color="000000"/>
            </w:tcBorders>
          </w:tcPr>
          <w:p w14:paraId="52C19AA5" w14:textId="77777777" w:rsidR="00AC6F3C" w:rsidRDefault="00570E88">
            <w:pPr>
              <w:pStyle w:val="TableParagraph"/>
              <w:spacing w:before="69"/>
              <w:ind w:left="113"/>
              <w:rPr>
                <w:sz w:val="20"/>
              </w:rPr>
            </w:pPr>
            <w:r>
              <w:rPr>
                <w:sz w:val="20"/>
              </w:rPr>
              <w:t xml:space="preserve">Risk </w:t>
            </w:r>
            <w:r>
              <w:rPr>
                <w:spacing w:val="-2"/>
                <w:sz w:val="20"/>
              </w:rPr>
              <w:t>management</w:t>
            </w:r>
          </w:p>
        </w:tc>
        <w:tc>
          <w:tcPr>
            <w:tcW w:w="2553" w:type="dxa"/>
            <w:tcBorders>
              <w:top w:val="single" w:sz="8" w:space="0" w:color="000000"/>
              <w:bottom w:val="single" w:sz="2" w:space="0" w:color="000000"/>
            </w:tcBorders>
          </w:tcPr>
          <w:p w14:paraId="685686C1"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14.1</w:t>
            </w:r>
          </w:p>
        </w:tc>
        <w:tc>
          <w:tcPr>
            <w:tcW w:w="1586" w:type="dxa"/>
            <w:tcBorders>
              <w:top w:val="single" w:sz="8" w:space="0" w:color="000000"/>
              <w:bottom w:val="single" w:sz="2" w:space="0" w:color="000000"/>
            </w:tcBorders>
          </w:tcPr>
          <w:p w14:paraId="5A7C79A5" w14:textId="77777777" w:rsidR="00AC6F3C" w:rsidRDefault="00570E88">
            <w:pPr>
              <w:pStyle w:val="TableParagraph"/>
              <w:spacing w:before="69"/>
              <w:ind w:left="145" w:right="137"/>
              <w:jc w:val="center"/>
              <w:rPr>
                <w:sz w:val="20"/>
              </w:rPr>
            </w:pPr>
            <w:r>
              <w:rPr>
                <w:sz w:val="20"/>
              </w:rPr>
              <w:t xml:space="preserve">24-26, </w:t>
            </w:r>
            <w:r>
              <w:rPr>
                <w:spacing w:val="-5"/>
                <w:sz w:val="20"/>
              </w:rPr>
              <w:t>95</w:t>
            </w:r>
          </w:p>
        </w:tc>
      </w:tr>
      <w:tr w:rsidR="00AC6F3C" w14:paraId="5B69F704" w14:textId="77777777">
        <w:trPr>
          <w:trHeight w:val="367"/>
        </w:trPr>
        <w:tc>
          <w:tcPr>
            <w:tcW w:w="2031" w:type="dxa"/>
          </w:tcPr>
          <w:p w14:paraId="471A2B24"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51F5EEDA" w14:textId="77777777" w:rsidR="00AC6F3C" w:rsidRDefault="00570E88">
            <w:pPr>
              <w:pStyle w:val="TableParagraph"/>
              <w:spacing w:before="69"/>
              <w:ind w:left="113"/>
              <w:rPr>
                <w:sz w:val="20"/>
              </w:rPr>
            </w:pPr>
            <w:r>
              <w:rPr>
                <w:sz w:val="20"/>
              </w:rPr>
              <w:t xml:space="preserve">Audit </w:t>
            </w:r>
            <w:r>
              <w:rPr>
                <w:spacing w:val="-2"/>
                <w:sz w:val="20"/>
              </w:rPr>
              <w:t>committee</w:t>
            </w:r>
          </w:p>
        </w:tc>
        <w:tc>
          <w:tcPr>
            <w:tcW w:w="2553" w:type="dxa"/>
            <w:tcBorders>
              <w:top w:val="single" w:sz="2" w:space="0" w:color="000000"/>
              <w:bottom w:val="single" w:sz="2" w:space="0" w:color="000000"/>
            </w:tcBorders>
          </w:tcPr>
          <w:p w14:paraId="62D8F4D0"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14.2</w:t>
            </w:r>
          </w:p>
        </w:tc>
        <w:tc>
          <w:tcPr>
            <w:tcW w:w="1586" w:type="dxa"/>
            <w:tcBorders>
              <w:top w:val="single" w:sz="2" w:space="0" w:color="000000"/>
              <w:bottom w:val="single" w:sz="2" w:space="0" w:color="000000"/>
            </w:tcBorders>
          </w:tcPr>
          <w:p w14:paraId="3834C4AD" w14:textId="77777777" w:rsidR="00AC6F3C" w:rsidRDefault="00570E88">
            <w:pPr>
              <w:pStyle w:val="TableParagraph"/>
              <w:spacing w:before="69"/>
              <w:ind w:left="145" w:right="137"/>
              <w:jc w:val="center"/>
              <w:rPr>
                <w:sz w:val="20"/>
              </w:rPr>
            </w:pPr>
            <w:r>
              <w:rPr>
                <w:sz w:val="20"/>
              </w:rPr>
              <w:t xml:space="preserve">24-26, </w:t>
            </w:r>
            <w:r>
              <w:rPr>
                <w:spacing w:val="-5"/>
                <w:sz w:val="20"/>
              </w:rPr>
              <w:t>95</w:t>
            </w:r>
          </w:p>
        </w:tc>
      </w:tr>
      <w:tr w:rsidR="00AC6F3C" w14:paraId="0A9F7B88" w14:textId="77777777">
        <w:trPr>
          <w:trHeight w:val="367"/>
        </w:trPr>
        <w:tc>
          <w:tcPr>
            <w:tcW w:w="2031" w:type="dxa"/>
          </w:tcPr>
          <w:p w14:paraId="0B3629F3"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37F40C6B" w14:textId="77777777" w:rsidR="00AC6F3C" w:rsidRDefault="00570E88">
            <w:pPr>
              <w:pStyle w:val="TableParagraph"/>
              <w:spacing w:before="69"/>
              <w:ind w:left="113"/>
              <w:rPr>
                <w:sz w:val="20"/>
              </w:rPr>
            </w:pPr>
            <w:r>
              <w:rPr>
                <w:sz w:val="20"/>
              </w:rPr>
              <w:t>Internal</w:t>
            </w:r>
            <w:r>
              <w:rPr>
                <w:spacing w:val="-7"/>
                <w:sz w:val="20"/>
              </w:rPr>
              <w:t xml:space="preserve"> </w:t>
            </w:r>
            <w:r>
              <w:rPr>
                <w:spacing w:val="-2"/>
                <w:sz w:val="20"/>
              </w:rPr>
              <w:t>audit</w:t>
            </w:r>
          </w:p>
        </w:tc>
        <w:tc>
          <w:tcPr>
            <w:tcW w:w="2553" w:type="dxa"/>
            <w:tcBorders>
              <w:top w:val="single" w:sz="2" w:space="0" w:color="000000"/>
              <w:bottom w:val="single" w:sz="2" w:space="0" w:color="000000"/>
            </w:tcBorders>
          </w:tcPr>
          <w:p w14:paraId="288D471B"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14.3</w:t>
            </w:r>
          </w:p>
        </w:tc>
        <w:tc>
          <w:tcPr>
            <w:tcW w:w="1586" w:type="dxa"/>
            <w:tcBorders>
              <w:top w:val="single" w:sz="2" w:space="0" w:color="000000"/>
              <w:bottom w:val="single" w:sz="2" w:space="0" w:color="000000"/>
            </w:tcBorders>
          </w:tcPr>
          <w:p w14:paraId="4EED8F4E" w14:textId="77777777" w:rsidR="00AC6F3C" w:rsidRDefault="00570E88">
            <w:pPr>
              <w:pStyle w:val="TableParagraph"/>
              <w:spacing w:before="69"/>
              <w:ind w:left="145" w:right="137"/>
              <w:jc w:val="center"/>
              <w:rPr>
                <w:sz w:val="20"/>
              </w:rPr>
            </w:pPr>
            <w:r>
              <w:rPr>
                <w:sz w:val="20"/>
              </w:rPr>
              <w:t xml:space="preserve">24-26, </w:t>
            </w:r>
            <w:r>
              <w:rPr>
                <w:spacing w:val="-5"/>
                <w:sz w:val="20"/>
              </w:rPr>
              <w:t>95</w:t>
            </w:r>
          </w:p>
        </w:tc>
      </w:tr>
      <w:tr w:rsidR="00AC6F3C" w14:paraId="1BBC23BA" w14:textId="77777777">
        <w:trPr>
          <w:trHeight w:val="307"/>
        </w:trPr>
        <w:tc>
          <w:tcPr>
            <w:tcW w:w="2031" w:type="dxa"/>
          </w:tcPr>
          <w:p w14:paraId="2352BBDE" w14:textId="77777777" w:rsidR="00AC6F3C" w:rsidRDefault="00AC6F3C">
            <w:pPr>
              <w:pStyle w:val="TableParagraph"/>
              <w:rPr>
                <w:rFonts w:ascii="Times New Roman"/>
                <w:sz w:val="18"/>
              </w:rPr>
            </w:pPr>
          </w:p>
        </w:tc>
        <w:tc>
          <w:tcPr>
            <w:tcW w:w="3182" w:type="dxa"/>
            <w:tcBorders>
              <w:top w:val="single" w:sz="2" w:space="0" w:color="000000"/>
            </w:tcBorders>
          </w:tcPr>
          <w:p w14:paraId="37FDF49D" w14:textId="77777777" w:rsidR="00AC6F3C" w:rsidRDefault="00570E88">
            <w:pPr>
              <w:pStyle w:val="TableParagraph"/>
              <w:spacing w:before="69" w:line="218" w:lineRule="exact"/>
              <w:ind w:left="113"/>
              <w:rPr>
                <w:sz w:val="20"/>
              </w:rPr>
            </w:pPr>
            <w:r>
              <w:rPr>
                <w:sz w:val="20"/>
              </w:rPr>
              <w:t>External</w:t>
            </w:r>
            <w:r>
              <w:rPr>
                <w:spacing w:val="-7"/>
                <w:sz w:val="20"/>
              </w:rPr>
              <w:t xml:space="preserve"> </w:t>
            </w:r>
            <w:r>
              <w:rPr>
                <w:spacing w:val="-2"/>
                <w:sz w:val="20"/>
              </w:rPr>
              <w:t>scrutiny</w:t>
            </w:r>
          </w:p>
        </w:tc>
        <w:tc>
          <w:tcPr>
            <w:tcW w:w="2553" w:type="dxa"/>
            <w:tcBorders>
              <w:top w:val="single" w:sz="2" w:space="0" w:color="000000"/>
            </w:tcBorders>
          </w:tcPr>
          <w:p w14:paraId="249DF105" w14:textId="77777777" w:rsidR="00AC6F3C" w:rsidRDefault="00570E88">
            <w:pPr>
              <w:pStyle w:val="TableParagraph"/>
              <w:spacing w:before="69" w:line="218" w:lineRule="exact"/>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14.4</w:t>
            </w:r>
          </w:p>
        </w:tc>
        <w:tc>
          <w:tcPr>
            <w:tcW w:w="1586" w:type="dxa"/>
            <w:tcBorders>
              <w:top w:val="single" w:sz="2" w:space="0" w:color="000000"/>
            </w:tcBorders>
          </w:tcPr>
          <w:p w14:paraId="5A341951" w14:textId="77777777" w:rsidR="00AC6F3C" w:rsidRDefault="00570E88">
            <w:pPr>
              <w:pStyle w:val="TableParagraph"/>
              <w:spacing w:before="69" w:line="218" w:lineRule="exact"/>
              <w:ind w:left="145" w:right="137"/>
              <w:jc w:val="center"/>
              <w:rPr>
                <w:sz w:val="20"/>
              </w:rPr>
            </w:pPr>
            <w:r>
              <w:rPr>
                <w:sz w:val="20"/>
              </w:rPr>
              <w:t>159-</w:t>
            </w:r>
            <w:r>
              <w:rPr>
                <w:spacing w:val="-4"/>
                <w:sz w:val="20"/>
              </w:rPr>
              <w:t>161,</w:t>
            </w:r>
          </w:p>
        </w:tc>
      </w:tr>
      <w:tr w:rsidR="00AC6F3C" w14:paraId="3B2DB329" w14:textId="77777777">
        <w:trPr>
          <w:trHeight w:val="240"/>
        </w:trPr>
        <w:tc>
          <w:tcPr>
            <w:tcW w:w="2031" w:type="dxa"/>
          </w:tcPr>
          <w:p w14:paraId="1BB34E3F" w14:textId="77777777" w:rsidR="00AC6F3C" w:rsidRDefault="00AC6F3C">
            <w:pPr>
              <w:pStyle w:val="TableParagraph"/>
              <w:rPr>
                <w:rFonts w:ascii="Times New Roman"/>
                <w:sz w:val="16"/>
              </w:rPr>
            </w:pPr>
          </w:p>
        </w:tc>
        <w:tc>
          <w:tcPr>
            <w:tcW w:w="3182" w:type="dxa"/>
          </w:tcPr>
          <w:p w14:paraId="48CD78CA" w14:textId="77777777" w:rsidR="00AC6F3C" w:rsidRDefault="00AC6F3C">
            <w:pPr>
              <w:pStyle w:val="TableParagraph"/>
              <w:rPr>
                <w:rFonts w:ascii="Times New Roman"/>
                <w:sz w:val="16"/>
              </w:rPr>
            </w:pPr>
          </w:p>
        </w:tc>
        <w:tc>
          <w:tcPr>
            <w:tcW w:w="2553" w:type="dxa"/>
          </w:tcPr>
          <w:p w14:paraId="0D9FB62D" w14:textId="77777777" w:rsidR="00AC6F3C" w:rsidRDefault="00AC6F3C">
            <w:pPr>
              <w:pStyle w:val="TableParagraph"/>
              <w:rPr>
                <w:rFonts w:ascii="Times New Roman"/>
                <w:sz w:val="16"/>
              </w:rPr>
            </w:pPr>
          </w:p>
        </w:tc>
        <w:tc>
          <w:tcPr>
            <w:tcW w:w="1586" w:type="dxa"/>
          </w:tcPr>
          <w:p w14:paraId="431C9931" w14:textId="77777777" w:rsidR="00AC6F3C" w:rsidRDefault="00570E88">
            <w:pPr>
              <w:pStyle w:val="TableParagraph"/>
              <w:spacing w:before="1" w:line="218" w:lineRule="exact"/>
              <w:ind w:left="145" w:right="137"/>
              <w:jc w:val="center"/>
              <w:rPr>
                <w:sz w:val="20"/>
              </w:rPr>
            </w:pPr>
            <w:r>
              <w:rPr>
                <w:sz w:val="20"/>
              </w:rPr>
              <w:t>179-</w:t>
            </w:r>
            <w:r>
              <w:rPr>
                <w:spacing w:val="-4"/>
                <w:sz w:val="20"/>
              </w:rPr>
              <w:t>181,</w:t>
            </w:r>
          </w:p>
        </w:tc>
      </w:tr>
      <w:tr w:rsidR="00AC6F3C" w14:paraId="6439629F" w14:textId="77777777">
        <w:trPr>
          <w:trHeight w:val="240"/>
        </w:trPr>
        <w:tc>
          <w:tcPr>
            <w:tcW w:w="2031" w:type="dxa"/>
          </w:tcPr>
          <w:p w14:paraId="633EF4DF" w14:textId="77777777" w:rsidR="00AC6F3C" w:rsidRDefault="00AC6F3C">
            <w:pPr>
              <w:pStyle w:val="TableParagraph"/>
              <w:rPr>
                <w:rFonts w:ascii="Times New Roman"/>
                <w:sz w:val="16"/>
              </w:rPr>
            </w:pPr>
          </w:p>
        </w:tc>
        <w:tc>
          <w:tcPr>
            <w:tcW w:w="3182" w:type="dxa"/>
          </w:tcPr>
          <w:p w14:paraId="01450C12" w14:textId="77777777" w:rsidR="00AC6F3C" w:rsidRDefault="00AC6F3C">
            <w:pPr>
              <w:pStyle w:val="TableParagraph"/>
              <w:rPr>
                <w:rFonts w:ascii="Times New Roman"/>
                <w:sz w:val="16"/>
              </w:rPr>
            </w:pPr>
          </w:p>
        </w:tc>
        <w:tc>
          <w:tcPr>
            <w:tcW w:w="2553" w:type="dxa"/>
          </w:tcPr>
          <w:p w14:paraId="50ECC815" w14:textId="77777777" w:rsidR="00AC6F3C" w:rsidRDefault="00AC6F3C">
            <w:pPr>
              <w:pStyle w:val="TableParagraph"/>
              <w:rPr>
                <w:rFonts w:ascii="Times New Roman"/>
                <w:sz w:val="16"/>
              </w:rPr>
            </w:pPr>
          </w:p>
        </w:tc>
        <w:tc>
          <w:tcPr>
            <w:tcW w:w="1586" w:type="dxa"/>
          </w:tcPr>
          <w:p w14:paraId="26C4BAA7" w14:textId="77777777" w:rsidR="00AC6F3C" w:rsidRDefault="00570E88">
            <w:pPr>
              <w:pStyle w:val="TableParagraph"/>
              <w:spacing w:before="1" w:line="218" w:lineRule="exact"/>
              <w:ind w:left="145" w:right="136"/>
              <w:jc w:val="center"/>
              <w:rPr>
                <w:sz w:val="20"/>
              </w:rPr>
            </w:pPr>
            <w:r>
              <w:rPr>
                <w:sz w:val="20"/>
              </w:rPr>
              <w:t>186, 198-</w:t>
            </w:r>
            <w:r>
              <w:rPr>
                <w:spacing w:val="-4"/>
                <w:sz w:val="20"/>
              </w:rPr>
              <w:t>200,</w:t>
            </w:r>
          </w:p>
        </w:tc>
      </w:tr>
      <w:tr w:rsidR="00AC6F3C" w14:paraId="384F0731" w14:textId="77777777">
        <w:trPr>
          <w:trHeight w:val="300"/>
        </w:trPr>
        <w:tc>
          <w:tcPr>
            <w:tcW w:w="2031" w:type="dxa"/>
          </w:tcPr>
          <w:p w14:paraId="08895252" w14:textId="77777777" w:rsidR="00AC6F3C" w:rsidRDefault="00AC6F3C">
            <w:pPr>
              <w:pStyle w:val="TableParagraph"/>
              <w:rPr>
                <w:rFonts w:ascii="Times New Roman"/>
                <w:sz w:val="18"/>
              </w:rPr>
            </w:pPr>
          </w:p>
        </w:tc>
        <w:tc>
          <w:tcPr>
            <w:tcW w:w="3182" w:type="dxa"/>
            <w:tcBorders>
              <w:bottom w:val="single" w:sz="2" w:space="0" w:color="000000"/>
            </w:tcBorders>
          </w:tcPr>
          <w:p w14:paraId="1727BE20" w14:textId="77777777" w:rsidR="00AC6F3C" w:rsidRDefault="00AC6F3C">
            <w:pPr>
              <w:pStyle w:val="TableParagraph"/>
              <w:rPr>
                <w:rFonts w:ascii="Times New Roman"/>
                <w:sz w:val="18"/>
              </w:rPr>
            </w:pPr>
          </w:p>
        </w:tc>
        <w:tc>
          <w:tcPr>
            <w:tcW w:w="2553" w:type="dxa"/>
            <w:tcBorders>
              <w:bottom w:val="single" w:sz="2" w:space="0" w:color="000000"/>
            </w:tcBorders>
          </w:tcPr>
          <w:p w14:paraId="6AB59D27" w14:textId="77777777" w:rsidR="00AC6F3C" w:rsidRDefault="00AC6F3C">
            <w:pPr>
              <w:pStyle w:val="TableParagraph"/>
              <w:rPr>
                <w:rFonts w:ascii="Times New Roman"/>
                <w:sz w:val="18"/>
              </w:rPr>
            </w:pPr>
          </w:p>
        </w:tc>
        <w:tc>
          <w:tcPr>
            <w:tcW w:w="1586" w:type="dxa"/>
            <w:tcBorders>
              <w:bottom w:val="single" w:sz="2" w:space="0" w:color="000000"/>
            </w:tcBorders>
          </w:tcPr>
          <w:p w14:paraId="545ABE9A" w14:textId="77777777" w:rsidR="00AC6F3C" w:rsidRDefault="00570E88">
            <w:pPr>
              <w:pStyle w:val="TableParagraph"/>
              <w:spacing w:before="1"/>
              <w:ind w:left="145" w:right="137"/>
              <w:jc w:val="center"/>
              <w:rPr>
                <w:sz w:val="20"/>
              </w:rPr>
            </w:pPr>
            <w:r>
              <w:rPr>
                <w:spacing w:val="-2"/>
                <w:sz w:val="20"/>
              </w:rPr>
              <w:t>219-</w:t>
            </w:r>
            <w:r>
              <w:rPr>
                <w:spacing w:val="-5"/>
                <w:sz w:val="20"/>
              </w:rPr>
              <w:t>221</w:t>
            </w:r>
          </w:p>
        </w:tc>
      </w:tr>
      <w:tr w:rsidR="00AC6F3C" w14:paraId="748EF2DA" w14:textId="77777777">
        <w:trPr>
          <w:trHeight w:val="607"/>
        </w:trPr>
        <w:tc>
          <w:tcPr>
            <w:tcW w:w="2031" w:type="dxa"/>
          </w:tcPr>
          <w:p w14:paraId="4AD3B632"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37017C5F" w14:textId="77777777" w:rsidR="00AC6F3C" w:rsidRDefault="00570E88">
            <w:pPr>
              <w:pStyle w:val="TableParagraph"/>
              <w:spacing w:before="69" w:line="249" w:lineRule="auto"/>
              <w:ind w:left="113"/>
              <w:rPr>
                <w:sz w:val="20"/>
              </w:rPr>
            </w:pPr>
            <w:r>
              <w:rPr>
                <w:sz w:val="20"/>
              </w:rPr>
              <w:t>Information</w:t>
            </w:r>
            <w:r>
              <w:rPr>
                <w:spacing w:val="-14"/>
                <w:sz w:val="20"/>
              </w:rPr>
              <w:t xml:space="preserve"> </w:t>
            </w:r>
            <w:r>
              <w:rPr>
                <w:sz w:val="20"/>
              </w:rPr>
              <w:t>systems</w:t>
            </w:r>
            <w:r>
              <w:rPr>
                <w:spacing w:val="-14"/>
                <w:sz w:val="20"/>
              </w:rPr>
              <w:t xml:space="preserve"> </w:t>
            </w:r>
            <w:r>
              <w:rPr>
                <w:sz w:val="20"/>
              </w:rPr>
              <w:t xml:space="preserve">and </w:t>
            </w:r>
            <w:r>
              <w:rPr>
                <w:spacing w:val="-2"/>
                <w:sz w:val="20"/>
              </w:rPr>
              <w:t>recordkeeping</w:t>
            </w:r>
          </w:p>
        </w:tc>
        <w:tc>
          <w:tcPr>
            <w:tcW w:w="2553" w:type="dxa"/>
            <w:tcBorders>
              <w:top w:val="single" w:sz="2" w:space="0" w:color="000000"/>
              <w:bottom w:val="single" w:sz="2" w:space="0" w:color="000000"/>
            </w:tcBorders>
          </w:tcPr>
          <w:p w14:paraId="4F0D2B0B"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14.5</w:t>
            </w:r>
          </w:p>
        </w:tc>
        <w:tc>
          <w:tcPr>
            <w:tcW w:w="1586" w:type="dxa"/>
            <w:tcBorders>
              <w:top w:val="single" w:sz="2" w:space="0" w:color="000000"/>
              <w:bottom w:val="single" w:sz="2" w:space="0" w:color="000000"/>
            </w:tcBorders>
          </w:tcPr>
          <w:p w14:paraId="4739195E" w14:textId="77777777" w:rsidR="00AC6F3C" w:rsidRDefault="00570E88">
            <w:pPr>
              <w:pStyle w:val="TableParagraph"/>
              <w:spacing w:before="69"/>
              <w:ind w:left="145" w:right="137"/>
              <w:jc w:val="center"/>
              <w:rPr>
                <w:sz w:val="20"/>
              </w:rPr>
            </w:pPr>
            <w:r>
              <w:rPr>
                <w:spacing w:val="-2"/>
                <w:sz w:val="20"/>
              </w:rPr>
              <w:t>94-</w:t>
            </w:r>
            <w:r>
              <w:rPr>
                <w:spacing w:val="-5"/>
                <w:sz w:val="20"/>
              </w:rPr>
              <w:t>95</w:t>
            </w:r>
          </w:p>
        </w:tc>
      </w:tr>
      <w:tr w:rsidR="00AC6F3C" w14:paraId="7DB81FDD" w14:textId="77777777">
        <w:trPr>
          <w:trHeight w:val="367"/>
        </w:trPr>
        <w:tc>
          <w:tcPr>
            <w:tcW w:w="2031" w:type="dxa"/>
            <w:tcBorders>
              <w:bottom w:val="single" w:sz="2" w:space="0" w:color="000000"/>
            </w:tcBorders>
          </w:tcPr>
          <w:p w14:paraId="2B078EE1"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5C0126FA" w14:textId="77777777" w:rsidR="00AC6F3C" w:rsidRDefault="00570E88">
            <w:pPr>
              <w:pStyle w:val="TableParagraph"/>
              <w:spacing w:before="69"/>
              <w:ind w:left="113"/>
              <w:rPr>
                <w:sz w:val="20"/>
              </w:rPr>
            </w:pPr>
            <w:r>
              <w:rPr>
                <w:sz w:val="20"/>
              </w:rPr>
              <w:t>Information</w:t>
            </w:r>
            <w:r>
              <w:rPr>
                <w:spacing w:val="-5"/>
                <w:sz w:val="20"/>
              </w:rPr>
              <w:t xml:space="preserve"> </w:t>
            </w:r>
            <w:r>
              <w:rPr>
                <w:sz w:val="20"/>
              </w:rPr>
              <w:t>Security</w:t>
            </w:r>
            <w:r>
              <w:rPr>
                <w:spacing w:val="-5"/>
                <w:sz w:val="20"/>
              </w:rPr>
              <w:t xml:space="preserve"> </w:t>
            </w:r>
            <w:r>
              <w:rPr>
                <w:spacing w:val="-2"/>
                <w:sz w:val="20"/>
              </w:rPr>
              <w:t>attestation</w:t>
            </w:r>
          </w:p>
        </w:tc>
        <w:tc>
          <w:tcPr>
            <w:tcW w:w="2553" w:type="dxa"/>
            <w:tcBorders>
              <w:top w:val="single" w:sz="2" w:space="0" w:color="000000"/>
              <w:bottom w:val="single" w:sz="2" w:space="0" w:color="000000"/>
            </w:tcBorders>
          </w:tcPr>
          <w:p w14:paraId="33412B79"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14.6</w:t>
            </w:r>
          </w:p>
        </w:tc>
        <w:tc>
          <w:tcPr>
            <w:tcW w:w="1586" w:type="dxa"/>
            <w:tcBorders>
              <w:top w:val="single" w:sz="2" w:space="0" w:color="000000"/>
              <w:bottom w:val="single" w:sz="2" w:space="0" w:color="000000"/>
            </w:tcBorders>
          </w:tcPr>
          <w:p w14:paraId="662D94F3" w14:textId="77777777" w:rsidR="00AC6F3C" w:rsidRDefault="00570E88">
            <w:pPr>
              <w:pStyle w:val="TableParagraph"/>
              <w:spacing w:before="69"/>
              <w:ind w:left="145" w:right="126"/>
              <w:jc w:val="center"/>
              <w:rPr>
                <w:sz w:val="20"/>
              </w:rPr>
            </w:pPr>
            <w:r>
              <w:rPr>
                <w:spacing w:val="-5"/>
                <w:sz w:val="20"/>
              </w:rPr>
              <w:t>N/A</w:t>
            </w:r>
          </w:p>
        </w:tc>
      </w:tr>
      <w:tr w:rsidR="00AC6F3C" w14:paraId="084CFB83" w14:textId="77777777">
        <w:trPr>
          <w:trHeight w:val="607"/>
        </w:trPr>
        <w:tc>
          <w:tcPr>
            <w:tcW w:w="2031" w:type="dxa"/>
            <w:tcBorders>
              <w:top w:val="single" w:sz="2" w:space="0" w:color="000000"/>
            </w:tcBorders>
          </w:tcPr>
          <w:p w14:paraId="1BAB6F94" w14:textId="77777777" w:rsidR="00AC6F3C" w:rsidRDefault="00570E88">
            <w:pPr>
              <w:pStyle w:val="TableParagraph"/>
              <w:spacing w:before="69" w:line="249" w:lineRule="auto"/>
              <w:ind w:left="113" w:right="244"/>
              <w:rPr>
                <w:b/>
                <w:sz w:val="20"/>
              </w:rPr>
            </w:pPr>
            <w:r>
              <w:rPr>
                <w:b/>
                <w:sz w:val="20"/>
              </w:rPr>
              <w:t>Governance – human</w:t>
            </w:r>
            <w:r>
              <w:rPr>
                <w:b/>
                <w:spacing w:val="-14"/>
                <w:sz w:val="20"/>
              </w:rPr>
              <w:t xml:space="preserve"> </w:t>
            </w:r>
            <w:r>
              <w:rPr>
                <w:b/>
                <w:sz w:val="20"/>
              </w:rPr>
              <w:t>resources</w:t>
            </w:r>
          </w:p>
        </w:tc>
        <w:tc>
          <w:tcPr>
            <w:tcW w:w="3182" w:type="dxa"/>
            <w:tcBorders>
              <w:top w:val="single" w:sz="2" w:space="0" w:color="000000"/>
              <w:bottom w:val="single" w:sz="2" w:space="0" w:color="000000"/>
            </w:tcBorders>
          </w:tcPr>
          <w:p w14:paraId="1AE431D9" w14:textId="77777777" w:rsidR="00AC6F3C" w:rsidRDefault="00570E88">
            <w:pPr>
              <w:pStyle w:val="TableParagraph"/>
              <w:spacing w:before="69"/>
              <w:ind w:left="113"/>
              <w:rPr>
                <w:sz w:val="20"/>
              </w:rPr>
            </w:pPr>
            <w:r>
              <w:rPr>
                <w:sz w:val="20"/>
              </w:rPr>
              <w:t>Strategic</w:t>
            </w:r>
            <w:r>
              <w:rPr>
                <w:spacing w:val="-4"/>
                <w:sz w:val="20"/>
              </w:rPr>
              <w:t xml:space="preserve"> </w:t>
            </w:r>
            <w:r>
              <w:rPr>
                <w:sz w:val="20"/>
              </w:rPr>
              <w:t>workforce</w:t>
            </w:r>
            <w:r>
              <w:rPr>
                <w:spacing w:val="-4"/>
                <w:sz w:val="20"/>
              </w:rPr>
              <w:t xml:space="preserve"> </w:t>
            </w:r>
            <w:r>
              <w:rPr>
                <w:spacing w:val="-2"/>
                <w:sz w:val="20"/>
              </w:rPr>
              <w:t>planning</w:t>
            </w:r>
          </w:p>
          <w:p w14:paraId="3F590456" w14:textId="77777777" w:rsidR="00AC6F3C" w:rsidRDefault="00570E88">
            <w:pPr>
              <w:pStyle w:val="TableParagraph"/>
              <w:spacing w:before="10"/>
              <w:ind w:left="113"/>
              <w:rPr>
                <w:sz w:val="20"/>
              </w:rPr>
            </w:pPr>
            <w:r>
              <w:rPr>
                <w:sz w:val="20"/>
              </w:rPr>
              <w:t>and</w:t>
            </w:r>
            <w:r>
              <w:rPr>
                <w:spacing w:val="-2"/>
                <w:sz w:val="20"/>
              </w:rPr>
              <w:t xml:space="preserve"> performance</w:t>
            </w:r>
          </w:p>
        </w:tc>
        <w:tc>
          <w:tcPr>
            <w:tcW w:w="2553" w:type="dxa"/>
            <w:tcBorders>
              <w:top w:val="single" w:sz="2" w:space="0" w:color="000000"/>
              <w:bottom w:val="single" w:sz="2" w:space="0" w:color="000000"/>
            </w:tcBorders>
          </w:tcPr>
          <w:p w14:paraId="55081B0D"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15.1</w:t>
            </w:r>
          </w:p>
        </w:tc>
        <w:tc>
          <w:tcPr>
            <w:tcW w:w="1586" w:type="dxa"/>
            <w:tcBorders>
              <w:top w:val="single" w:sz="2" w:space="0" w:color="000000"/>
              <w:bottom w:val="single" w:sz="2" w:space="0" w:color="000000"/>
            </w:tcBorders>
          </w:tcPr>
          <w:p w14:paraId="3302AA53" w14:textId="77777777" w:rsidR="00AC6F3C" w:rsidRDefault="00570E88">
            <w:pPr>
              <w:pStyle w:val="TableParagraph"/>
              <w:spacing w:before="69"/>
              <w:ind w:left="145" w:right="137"/>
              <w:jc w:val="center"/>
              <w:rPr>
                <w:sz w:val="20"/>
              </w:rPr>
            </w:pPr>
            <w:r>
              <w:rPr>
                <w:spacing w:val="-2"/>
                <w:sz w:val="20"/>
              </w:rPr>
              <w:t>83-</w:t>
            </w:r>
            <w:r>
              <w:rPr>
                <w:spacing w:val="-5"/>
                <w:sz w:val="20"/>
              </w:rPr>
              <w:t>86</w:t>
            </w:r>
          </w:p>
        </w:tc>
      </w:tr>
      <w:tr w:rsidR="00AC6F3C" w14:paraId="72387211" w14:textId="77777777">
        <w:trPr>
          <w:trHeight w:val="1093"/>
        </w:trPr>
        <w:tc>
          <w:tcPr>
            <w:tcW w:w="2031" w:type="dxa"/>
          </w:tcPr>
          <w:p w14:paraId="0C597D67" w14:textId="77777777" w:rsidR="00AC6F3C" w:rsidRDefault="00AC6F3C">
            <w:pPr>
              <w:pStyle w:val="TableParagraph"/>
              <w:rPr>
                <w:rFonts w:ascii="Times New Roman"/>
                <w:sz w:val="18"/>
              </w:rPr>
            </w:pPr>
          </w:p>
        </w:tc>
        <w:tc>
          <w:tcPr>
            <w:tcW w:w="3182" w:type="dxa"/>
            <w:tcBorders>
              <w:top w:val="single" w:sz="2" w:space="0" w:color="000000"/>
            </w:tcBorders>
          </w:tcPr>
          <w:p w14:paraId="602C7D5B" w14:textId="77777777" w:rsidR="00AC6F3C" w:rsidRDefault="00570E88">
            <w:pPr>
              <w:pStyle w:val="TableParagraph"/>
              <w:spacing w:before="69"/>
              <w:ind w:left="113"/>
              <w:rPr>
                <w:sz w:val="20"/>
              </w:rPr>
            </w:pPr>
            <w:r>
              <w:rPr>
                <w:sz w:val="20"/>
              </w:rPr>
              <w:t xml:space="preserve">Early retirement, </w:t>
            </w:r>
            <w:r>
              <w:rPr>
                <w:spacing w:val="-2"/>
                <w:sz w:val="20"/>
              </w:rPr>
              <w:t>redundancy</w:t>
            </w:r>
          </w:p>
          <w:p w14:paraId="25D1FAF4" w14:textId="77777777" w:rsidR="00AC6F3C" w:rsidRDefault="00570E88">
            <w:pPr>
              <w:pStyle w:val="TableParagraph"/>
              <w:spacing w:before="10"/>
              <w:ind w:left="113"/>
              <w:rPr>
                <w:sz w:val="20"/>
              </w:rPr>
            </w:pPr>
            <w:r>
              <w:rPr>
                <w:sz w:val="20"/>
              </w:rPr>
              <w:t>and</w:t>
            </w:r>
            <w:r>
              <w:rPr>
                <w:spacing w:val="-2"/>
                <w:sz w:val="20"/>
              </w:rPr>
              <w:t xml:space="preserve"> retrenchment</w:t>
            </w:r>
          </w:p>
        </w:tc>
        <w:tc>
          <w:tcPr>
            <w:tcW w:w="2553" w:type="dxa"/>
            <w:tcBorders>
              <w:top w:val="single" w:sz="2" w:space="0" w:color="000000"/>
            </w:tcBorders>
          </w:tcPr>
          <w:p w14:paraId="039535E4" w14:textId="77777777" w:rsidR="00AC6F3C" w:rsidRDefault="00570E88">
            <w:pPr>
              <w:pStyle w:val="TableParagraph"/>
              <w:spacing w:before="69" w:line="249" w:lineRule="auto"/>
              <w:ind w:left="314" w:right="587"/>
              <w:rPr>
                <w:i/>
                <w:sz w:val="20"/>
              </w:rPr>
            </w:pPr>
            <w:r>
              <w:rPr>
                <w:sz w:val="20"/>
              </w:rPr>
              <w:t>Directive</w:t>
            </w:r>
            <w:r>
              <w:rPr>
                <w:spacing w:val="-14"/>
                <w:sz w:val="20"/>
              </w:rPr>
              <w:t xml:space="preserve"> </w:t>
            </w:r>
            <w:r>
              <w:rPr>
                <w:sz w:val="20"/>
              </w:rPr>
              <w:t xml:space="preserve">No.04/18 </w:t>
            </w:r>
            <w:r>
              <w:rPr>
                <w:i/>
                <w:sz w:val="20"/>
              </w:rPr>
              <w:t xml:space="preserve">Early Retirement, Redundancy and </w:t>
            </w:r>
            <w:r>
              <w:rPr>
                <w:i/>
                <w:spacing w:val="-2"/>
                <w:sz w:val="20"/>
              </w:rPr>
              <w:t>Retrenchment</w:t>
            </w:r>
          </w:p>
        </w:tc>
        <w:tc>
          <w:tcPr>
            <w:tcW w:w="1586" w:type="dxa"/>
            <w:tcBorders>
              <w:top w:val="single" w:sz="2" w:space="0" w:color="000000"/>
            </w:tcBorders>
          </w:tcPr>
          <w:p w14:paraId="0E4117BD" w14:textId="77777777" w:rsidR="00AC6F3C" w:rsidRDefault="00570E88">
            <w:pPr>
              <w:pStyle w:val="TableParagraph"/>
              <w:spacing w:before="69"/>
              <w:ind w:left="145" w:right="126"/>
              <w:jc w:val="center"/>
              <w:rPr>
                <w:sz w:val="20"/>
              </w:rPr>
            </w:pPr>
            <w:r>
              <w:rPr>
                <w:spacing w:val="-5"/>
                <w:sz w:val="20"/>
              </w:rPr>
              <w:t>N/A</w:t>
            </w:r>
          </w:p>
        </w:tc>
      </w:tr>
      <w:tr w:rsidR="00AC6F3C" w14:paraId="443B1127" w14:textId="77777777">
        <w:trPr>
          <w:trHeight w:val="366"/>
        </w:trPr>
        <w:tc>
          <w:tcPr>
            <w:tcW w:w="2031" w:type="dxa"/>
            <w:tcBorders>
              <w:bottom w:val="single" w:sz="2" w:space="0" w:color="000000"/>
            </w:tcBorders>
          </w:tcPr>
          <w:p w14:paraId="7A7CF028" w14:textId="77777777" w:rsidR="00AC6F3C" w:rsidRDefault="00AC6F3C">
            <w:pPr>
              <w:pStyle w:val="TableParagraph"/>
              <w:rPr>
                <w:rFonts w:ascii="Times New Roman"/>
                <w:sz w:val="18"/>
              </w:rPr>
            </w:pPr>
          </w:p>
        </w:tc>
        <w:tc>
          <w:tcPr>
            <w:tcW w:w="3182" w:type="dxa"/>
            <w:tcBorders>
              <w:bottom w:val="single" w:sz="2" w:space="0" w:color="000000"/>
            </w:tcBorders>
          </w:tcPr>
          <w:p w14:paraId="261623A5" w14:textId="77777777" w:rsidR="00AC6F3C" w:rsidRDefault="00AC6F3C">
            <w:pPr>
              <w:pStyle w:val="TableParagraph"/>
              <w:rPr>
                <w:rFonts w:ascii="Times New Roman"/>
                <w:sz w:val="18"/>
              </w:rPr>
            </w:pPr>
          </w:p>
        </w:tc>
        <w:tc>
          <w:tcPr>
            <w:tcW w:w="2553" w:type="dxa"/>
            <w:tcBorders>
              <w:bottom w:val="single" w:sz="2" w:space="0" w:color="000000"/>
            </w:tcBorders>
          </w:tcPr>
          <w:p w14:paraId="3A62472F" w14:textId="77777777" w:rsidR="00AC6F3C" w:rsidRDefault="00570E88">
            <w:pPr>
              <w:pStyle w:val="TableParagraph"/>
              <w:spacing w:before="68"/>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15.2</w:t>
            </w:r>
          </w:p>
        </w:tc>
        <w:tc>
          <w:tcPr>
            <w:tcW w:w="1586" w:type="dxa"/>
            <w:tcBorders>
              <w:bottom w:val="single" w:sz="2" w:space="0" w:color="000000"/>
            </w:tcBorders>
          </w:tcPr>
          <w:p w14:paraId="6751B289" w14:textId="77777777" w:rsidR="00AC6F3C" w:rsidRDefault="00AC6F3C">
            <w:pPr>
              <w:pStyle w:val="TableParagraph"/>
              <w:rPr>
                <w:rFonts w:ascii="Times New Roman"/>
                <w:sz w:val="18"/>
              </w:rPr>
            </w:pPr>
          </w:p>
        </w:tc>
      </w:tr>
      <w:tr w:rsidR="00AC6F3C" w14:paraId="3B1175E9" w14:textId="77777777">
        <w:trPr>
          <w:trHeight w:val="607"/>
        </w:trPr>
        <w:tc>
          <w:tcPr>
            <w:tcW w:w="2031" w:type="dxa"/>
            <w:tcBorders>
              <w:top w:val="single" w:sz="2" w:space="0" w:color="000000"/>
            </w:tcBorders>
          </w:tcPr>
          <w:p w14:paraId="290DE7C6" w14:textId="77777777" w:rsidR="00AC6F3C" w:rsidRDefault="00570E88">
            <w:pPr>
              <w:pStyle w:val="TableParagraph"/>
              <w:spacing w:before="69"/>
              <w:ind w:left="113"/>
              <w:rPr>
                <w:b/>
                <w:sz w:val="20"/>
              </w:rPr>
            </w:pPr>
            <w:r>
              <w:rPr>
                <w:b/>
                <w:sz w:val="20"/>
              </w:rPr>
              <w:t xml:space="preserve">Open </w:t>
            </w:r>
            <w:r>
              <w:rPr>
                <w:b/>
                <w:spacing w:val="-4"/>
                <w:sz w:val="20"/>
              </w:rPr>
              <w:t>Data</w:t>
            </w:r>
          </w:p>
        </w:tc>
        <w:tc>
          <w:tcPr>
            <w:tcW w:w="3182" w:type="dxa"/>
            <w:tcBorders>
              <w:top w:val="single" w:sz="2" w:space="0" w:color="000000"/>
              <w:bottom w:val="single" w:sz="2" w:space="0" w:color="000000"/>
            </w:tcBorders>
          </w:tcPr>
          <w:p w14:paraId="15817245" w14:textId="77777777" w:rsidR="00AC6F3C" w:rsidRDefault="00570E88">
            <w:pPr>
              <w:pStyle w:val="TableParagraph"/>
              <w:spacing w:before="69"/>
              <w:ind w:left="113"/>
              <w:rPr>
                <w:sz w:val="20"/>
              </w:rPr>
            </w:pPr>
            <w:r>
              <w:rPr>
                <w:sz w:val="20"/>
              </w:rPr>
              <w:t>Statement</w:t>
            </w:r>
            <w:r>
              <w:rPr>
                <w:spacing w:val="-4"/>
                <w:sz w:val="20"/>
              </w:rPr>
              <w:t xml:space="preserve"> </w:t>
            </w:r>
            <w:r>
              <w:rPr>
                <w:sz w:val="20"/>
              </w:rPr>
              <w:t>advising</w:t>
            </w:r>
            <w:r>
              <w:rPr>
                <w:spacing w:val="-3"/>
                <w:sz w:val="20"/>
              </w:rPr>
              <w:t xml:space="preserve"> </w:t>
            </w:r>
            <w:r>
              <w:rPr>
                <w:spacing w:val="-2"/>
                <w:sz w:val="20"/>
              </w:rPr>
              <w:t>publication</w:t>
            </w:r>
          </w:p>
          <w:p w14:paraId="220984A7" w14:textId="77777777" w:rsidR="00AC6F3C" w:rsidRDefault="00570E88">
            <w:pPr>
              <w:pStyle w:val="TableParagraph"/>
              <w:spacing w:before="10"/>
              <w:ind w:left="113"/>
              <w:rPr>
                <w:sz w:val="20"/>
              </w:rPr>
            </w:pPr>
            <w:r>
              <w:rPr>
                <w:sz w:val="20"/>
              </w:rPr>
              <w:t xml:space="preserve">of </w:t>
            </w:r>
            <w:r>
              <w:rPr>
                <w:spacing w:val="-2"/>
                <w:sz w:val="20"/>
              </w:rPr>
              <w:t>information</w:t>
            </w:r>
          </w:p>
        </w:tc>
        <w:tc>
          <w:tcPr>
            <w:tcW w:w="2553" w:type="dxa"/>
            <w:tcBorders>
              <w:top w:val="single" w:sz="2" w:space="0" w:color="000000"/>
              <w:bottom w:val="single" w:sz="2" w:space="0" w:color="000000"/>
            </w:tcBorders>
          </w:tcPr>
          <w:p w14:paraId="6232CE5C" w14:textId="77777777" w:rsidR="00AC6F3C" w:rsidRDefault="00570E88">
            <w:pPr>
              <w:pStyle w:val="TableParagraph"/>
              <w:spacing w:before="69"/>
              <w:ind w:left="314"/>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5"/>
                <w:sz w:val="20"/>
              </w:rPr>
              <w:t>16</w:t>
            </w:r>
          </w:p>
        </w:tc>
        <w:tc>
          <w:tcPr>
            <w:tcW w:w="1586" w:type="dxa"/>
            <w:tcBorders>
              <w:top w:val="single" w:sz="2" w:space="0" w:color="000000"/>
              <w:bottom w:val="single" w:sz="2" w:space="0" w:color="000000"/>
            </w:tcBorders>
          </w:tcPr>
          <w:p w14:paraId="52239B81" w14:textId="77777777" w:rsidR="00AC6F3C" w:rsidRDefault="00570E88">
            <w:pPr>
              <w:pStyle w:val="TableParagraph"/>
              <w:spacing w:before="69"/>
              <w:ind w:left="8"/>
              <w:jc w:val="center"/>
              <w:rPr>
                <w:sz w:val="20"/>
              </w:rPr>
            </w:pPr>
            <w:r>
              <w:rPr>
                <w:sz w:val="20"/>
              </w:rPr>
              <w:t>3</w:t>
            </w:r>
          </w:p>
        </w:tc>
      </w:tr>
      <w:tr w:rsidR="00AC6F3C" w14:paraId="1FAA5661" w14:textId="77777777">
        <w:trPr>
          <w:trHeight w:val="607"/>
        </w:trPr>
        <w:tc>
          <w:tcPr>
            <w:tcW w:w="2031" w:type="dxa"/>
          </w:tcPr>
          <w:p w14:paraId="27E54184"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210F1E93" w14:textId="77777777" w:rsidR="00AC6F3C" w:rsidRDefault="00570E88">
            <w:pPr>
              <w:pStyle w:val="TableParagraph"/>
              <w:spacing w:before="69"/>
              <w:ind w:left="113"/>
              <w:rPr>
                <w:sz w:val="20"/>
              </w:rPr>
            </w:pPr>
            <w:r>
              <w:rPr>
                <w:spacing w:val="-2"/>
                <w:sz w:val="20"/>
              </w:rPr>
              <w:t>Consultancies</w:t>
            </w:r>
          </w:p>
        </w:tc>
        <w:tc>
          <w:tcPr>
            <w:tcW w:w="2553" w:type="dxa"/>
            <w:tcBorders>
              <w:top w:val="single" w:sz="2" w:space="0" w:color="000000"/>
              <w:bottom w:val="single" w:sz="2" w:space="0" w:color="000000"/>
            </w:tcBorders>
          </w:tcPr>
          <w:p w14:paraId="5C14BB07" w14:textId="77777777" w:rsidR="00AC6F3C" w:rsidRDefault="00570E88">
            <w:pPr>
              <w:pStyle w:val="TableParagraph"/>
              <w:spacing w:before="69"/>
              <w:ind w:left="313"/>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33.1</w:t>
            </w:r>
          </w:p>
        </w:tc>
        <w:tc>
          <w:tcPr>
            <w:tcW w:w="1586" w:type="dxa"/>
            <w:tcBorders>
              <w:top w:val="single" w:sz="2" w:space="0" w:color="000000"/>
              <w:bottom w:val="single" w:sz="2" w:space="0" w:color="000000"/>
            </w:tcBorders>
          </w:tcPr>
          <w:p w14:paraId="2257DC47" w14:textId="77777777" w:rsidR="00AC6F3C" w:rsidRDefault="006A61CC">
            <w:pPr>
              <w:pStyle w:val="TableParagraph"/>
              <w:spacing w:before="69" w:line="249" w:lineRule="auto"/>
              <w:ind w:left="119" w:right="109"/>
              <w:rPr>
                <w:sz w:val="20"/>
              </w:rPr>
            </w:pPr>
            <w:hyperlink r:id="rId262">
              <w:r w:rsidR="00570E88">
                <w:rPr>
                  <w:spacing w:val="-2"/>
                  <w:sz w:val="20"/>
                </w:rPr>
                <w:t>http://www.</w:t>
              </w:r>
            </w:hyperlink>
            <w:r w:rsidR="00570E88">
              <w:rPr>
                <w:spacing w:val="-2"/>
                <w:sz w:val="20"/>
              </w:rPr>
              <w:t xml:space="preserve"> </w:t>
            </w:r>
            <w:hyperlink r:id="rId263">
              <w:r w:rsidR="00570E88">
                <w:rPr>
                  <w:spacing w:val="-2"/>
                  <w:sz w:val="20"/>
                </w:rPr>
                <w:t>data.qld.gov.au</w:t>
              </w:r>
            </w:hyperlink>
          </w:p>
        </w:tc>
      </w:tr>
      <w:tr w:rsidR="00AC6F3C" w14:paraId="13258D2E" w14:textId="77777777">
        <w:trPr>
          <w:trHeight w:val="607"/>
        </w:trPr>
        <w:tc>
          <w:tcPr>
            <w:tcW w:w="2031" w:type="dxa"/>
          </w:tcPr>
          <w:p w14:paraId="64C07EC2"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47CBC92B" w14:textId="77777777" w:rsidR="00AC6F3C" w:rsidRDefault="00570E88">
            <w:pPr>
              <w:pStyle w:val="TableParagraph"/>
              <w:spacing w:before="69"/>
              <w:ind w:left="113"/>
              <w:rPr>
                <w:sz w:val="20"/>
              </w:rPr>
            </w:pPr>
            <w:r>
              <w:rPr>
                <w:sz w:val="20"/>
              </w:rPr>
              <w:t xml:space="preserve">Overseas </w:t>
            </w:r>
            <w:r>
              <w:rPr>
                <w:spacing w:val="-2"/>
                <w:sz w:val="20"/>
              </w:rPr>
              <w:t>travel</w:t>
            </w:r>
          </w:p>
        </w:tc>
        <w:tc>
          <w:tcPr>
            <w:tcW w:w="2553" w:type="dxa"/>
            <w:tcBorders>
              <w:top w:val="single" w:sz="2" w:space="0" w:color="000000"/>
              <w:bottom w:val="single" w:sz="2" w:space="0" w:color="000000"/>
            </w:tcBorders>
          </w:tcPr>
          <w:p w14:paraId="6FF157A7" w14:textId="77777777" w:rsidR="00AC6F3C" w:rsidRDefault="00570E88">
            <w:pPr>
              <w:pStyle w:val="TableParagraph"/>
              <w:spacing w:before="69"/>
              <w:ind w:left="313"/>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33.2</w:t>
            </w:r>
          </w:p>
        </w:tc>
        <w:tc>
          <w:tcPr>
            <w:tcW w:w="1586" w:type="dxa"/>
            <w:tcBorders>
              <w:top w:val="single" w:sz="2" w:space="0" w:color="000000"/>
              <w:bottom w:val="single" w:sz="2" w:space="0" w:color="000000"/>
            </w:tcBorders>
          </w:tcPr>
          <w:p w14:paraId="18BC8420" w14:textId="77777777" w:rsidR="00AC6F3C" w:rsidRDefault="006A61CC">
            <w:pPr>
              <w:pStyle w:val="TableParagraph"/>
              <w:spacing w:before="69" w:line="249" w:lineRule="auto"/>
              <w:ind w:left="119" w:right="109"/>
              <w:rPr>
                <w:sz w:val="20"/>
              </w:rPr>
            </w:pPr>
            <w:hyperlink r:id="rId264">
              <w:r w:rsidR="00570E88">
                <w:rPr>
                  <w:spacing w:val="-2"/>
                  <w:sz w:val="20"/>
                </w:rPr>
                <w:t>http://www.</w:t>
              </w:r>
            </w:hyperlink>
            <w:r w:rsidR="00570E88">
              <w:rPr>
                <w:spacing w:val="-2"/>
                <w:sz w:val="20"/>
              </w:rPr>
              <w:t xml:space="preserve"> </w:t>
            </w:r>
            <w:hyperlink r:id="rId265">
              <w:r w:rsidR="00570E88">
                <w:rPr>
                  <w:spacing w:val="-2"/>
                  <w:sz w:val="20"/>
                </w:rPr>
                <w:t>data.qld.gov.au</w:t>
              </w:r>
            </w:hyperlink>
          </w:p>
        </w:tc>
      </w:tr>
      <w:tr w:rsidR="00AC6F3C" w14:paraId="4CB79B89" w14:textId="77777777">
        <w:trPr>
          <w:trHeight w:val="607"/>
        </w:trPr>
        <w:tc>
          <w:tcPr>
            <w:tcW w:w="2031" w:type="dxa"/>
            <w:tcBorders>
              <w:bottom w:val="single" w:sz="2" w:space="0" w:color="000000"/>
            </w:tcBorders>
          </w:tcPr>
          <w:p w14:paraId="22A5D11D" w14:textId="77777777" w:rsidR="00AC6F3C" w:rsidRDefault="00AC6F3C">
            <w:pPr>
              <w:pStyle w:val="TableParagraph"/>
              <w:rPr>
                <w:rFonts w:ascii="Times New Roman"/>
                <w:sz w:val="18"/>
              </w:rPr>
            </w:pPr>
          </w:p>
        </w:tc>
        <w:tc>
          <w:tcPr>
            <w:tcW w:w="3182" w:type="dxa"/>
            <w:tcBorders>
              <w:top w:val="single" w:sz="2" w:space="0" w:color="000000"/>
              <w:bottom w:val="single" w:sz="2" w:space="0" w:color="000000"/>
            </w:tcBorders>
          </w:tcPr>
          <w:p w14:paraId="4E54103D" w14:textId="77777777" w:rsidR="00AC6F3C" w:rsidRDefault="00570E88">
            <w:pPr>
              <w:pStyle w:val="TableParagraph"/>
              <w:spacing w:before="69"/>
              <w:ind w:left="112"/>
              <w:rPr>
                <w:sz w:val="20"/>
              </w:rPr>
            </w:pPr>
            <w:r>
              <w:rPr>
                <w:sz w:val="20"/>
              </w:rPr>
              <w:t>Queensland</w:t>
            </w:r>
            <w:r>
              <w:rPr>
                <w:spacing w:val="-9"/>
                <w:sz w:val="20"/>
              </w:rPr>
              <w:t xml:space="preserve"> </w:t>
            </w:r>
            <w:r>
              <w:rPr>
                <w:spacing w:val="-2"/>
                <w:sz w:val="20"/>
              </w:rPr>
              <w:t>Language</w:t>
            </w:r>
          </w:p>
          <w:p w14:paraId="09FFD1AD" w14:textId="77777777" w:rsidR="00AC6F3C" w:rsidRDefault="00570E88">
            <w:pPr>
              <w:pStyle w:val="TableParagraph"/>
              <w:spacing w:before="10"/>
              <w:ind w:left="112"/>
              <w:rPr>
                <w:sz w:val="20"/>
              </w:rPr>
            </w:pPr>
            <w:r>
              <w:rPr>
                <w:sz w:val="20"/>
              </w:rPr>
              <w:t xml:space="preserve">Services </w:t>
            </w:r>
            <w:r>
              <w:rPr>
                <w:spacing w:val="-2"/>
                <w:sz w:val="20"/>
              </w:rPr>
              <w:t>Policy</w:t>
            </w:r>
          </w:p>
        </w:tc>
        <w:tc>
          <w:tcPr>
            <w:tcW w:w="2553" w:type="dxa"/>
            <w:tcBorders>
              <w:top w:val="single" w:sz="2" w:space="0" w:color="000000"/>
              <w:bottom w:val="single" w:sz="2" w:space="0" w:color="000000"/>
            </w:tcBorders>
          </w:tcPr>
          <w:p w14:paraId="361B8156" w14:textId="77777777" w:rsidR="00AC6F3C" w:rsidRDefault="00570E88">
            <w:pPr>
              <w:pStyle w:val="TableParagraph"/>
              <w:spacing w:before="69"/>
              <w:ind w:left="313"/>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33.3</w:t>
            </w:r>
          </w:p>
        </w:tc>
        <w:tc>
          <w:tcPr>
            <w:tcW w:w="1586" w:type="dxa"/>
            <w:tcBorders>
              <w:top w:val="single" w:sz="2" w:space="0" w:color="000000"/>
              <w:bottom w:val="single" w:sz="2" w:space="0" w:color="000000"/>
            </w:tcBorders>
          </w:tcPr>
          <w:p w14:paraId="583D8F84" w14:textId="77777777" w:rsidR="00AC6F3C" w:rsidRDefault="00570E88">
            <w:pPr>
              <w:pStyle w:val="TableParagraph"/>
              <w:spacing w:before="69"/>
              <w:ind w:left="145" w:right="127"/>
              <w:jc w:val="center"/>
              <w:rPr>
                <w:sz w:val="20"/>
              </w:rPr>
            </w:pPr>
            <w:r>
              <w:rPr>
                <w:spacing w:val="-5"/>
                <w:sz w:val="20"/>
              </w:rPr>
              <w:t>N/A</w:t>
            </w:r>
          </w:p>
        </w:tc>
      </w:tr>
      <w:tr w:rsidR="00AC6F3C" w14:paraId="55834E84" w14:textId="77777777">
        <w:trPr>
          <w:trHeight w:val="307"/>
        </w:trPr>
        <w:tc>
          <w:tcPr>
            <w:tcW w:w="2031" w:type="dxa"/>
            <w:tcBorders>
              <w:top w:val="single" w:sz="2" w:space="0" w:color="000000"/>
            </w:tcBorders>
          </w:tcPr>
          <w:p w14:paraId="3AD6B5C7" w14:textId="77777777" w:rsidR="00AC6F3C" w:rsidRDefault="00570E88">
            <w:pPr>
              <w:pStyle w:val="TableParagraph"/>
              <w:spacing w:before="69" w:line="218" w:lineRule="exact"/>
              <w:ind w:left="112"/>
              <w:rPr>
                <w:b/>
                <w:sz w:val="20"/>
              </w:rPr>
            </w:pPr>
            <w:r>
              <w:rPr>
                <w:b/>
                <w:spacing w:val="-2"/>
                <w:sz w:val="20"/>
              </w:rPr>
              <w:t>Financial</w:t>
            </w:r>
          </w:p>
        </w:tc>
        <w:tc>
          <w:tcPr>
            <w:tcW w:w="3182" w:type="dxa"/>
            <w:tcBorders>
              <w:top w:val="single" w:sz="2" w:space="0" w:color="000000"/>
            </w:tcBorders>
          </w:tcPr>
          <w:p w14:paraId="5A08796B" w14:textId="77777777" w:rsidR="00AC6F3C" w:rsidRDefault="00570E88">
            <w:pPr>
              <w:pStyle w:val="TableParagraph"/>
              <w:spacing w:before="69" w:line="218" w:lineRule="exact"/>
              <w:ind w:left="112"/>
              <w:rPr>
                <w:sz w:val="20"/>
              </w:rPr>
            </w:pPr>
            <w:r>
              <w:rPr>
                <w:sz w:val="20"/>
              </w:rPr>
              <w:t>Certification</w:t>
            </w:r>
            <w:r>
              <w:rPr>
                <w:spacing w:val="-6"/>
                <w:sz w:val="20"/>
              </w:rPr>
              <w:t xml:space="preserve"> </w:t>
            </w:r>
            <w:r>
              <w:rPr>
                <w:sz w:val="20"/>
              </w:rPr>
              <w:t>of</w:t>
            </w:r>
            <w:r>
              <w:rPr>
                <w:spacing w:val="-6"/>
                <w:sz w:val="20"/>
              </w:rPr>
              <w:t xml:space="preserve"> </w:t>
            </w:r>
            <w:r>
              <w:rPr>
                <w:spacing w:val="-2"/>
                <w:sz w:val="20"/>
              </w:rPr>
              <w:t>financial</w:t>
            </w:r>
          </w:p>
        </w:tc>
        <w:tc>
          <w:tcPr>
            <w:tcW w:w="2553" w:type="dxa"/>
            <w:tcBorders>
              <w:top w:val="single" w:sz="2" w:space="0" w:color="000000"/>
            </w:tcBorders>
          </w:tcPr>
          <w:p w14:paraId="1226EDD1" w14:textId="77777777" w:rsidR="00AC6F3C" w:rsidRDefault="00570E88">
            <w:pPr>
              <w:pStyle w:val="TableParagraph"/>
              <w:spacing w:before="69" w:line="218" w:lineRule="exact"/>
              <w:ind w:left="313"/>
              <w:rPr>
                <w:sz w:val="20"/>
              </w:rPr>
            </w:pPr>
            <w:r>
              <w:rPr>
                <w:sz w:val="20"/>
              </w:rPr>
              <w:t>FAA</w:t>
            </w:r>
            <w:r>
              <w:rPr>
                <w:spacing w:val="-16"/>
                <w:sz w:val="20"/>
              </w:rPr>
              <w:t xml:space="preserve"> </w:t>
            </w:r>
            <w:r>
              <w:rPr>
                <w:sz w:val="20"/>
              </w:rPr>
              <w:t>–</w:t>
            </w:r>
            <w:r>
              <w:rPr>
                <w:spacing w:val="-9"/>
                <w:sz w:val="20"/>
              </w:rPr>
              <w:t xml:space="preserve"> </w:t>
            </w:r>
            <w:r>
              <w:rPr>
                <w:sz w:val="20"/>
              </w:rPr>
              <w:t>section</w:t>
            </w:r>
            <w:r>
              <w:rPr>
                <w:spacing w:val="-6"/>
                <w:sz w:val="20"/>
              </w:rPr>
              <w:t xml:space="preserve"> </w:t>
            </w:r>
            <w:r>
              <w:rPr>
                <w:spacing w:val="-5"/>
                <w:sz w:val="20"/>
              </w:rPr>
              <w:t>62</w:t>
            </w:r>
          </w:p>
        </w:tc>
        <w:tc>
          <w:tcPr>
            <w:tcW w:w="1586" w:type="dxa"/>
            <w:tcBorders>
              <w:top w:val="single" w:sz="2" w:space="0" w:color="000000"/>
            </w:tcBorders>
          </w:tcPr>
          <w:p w14:paraId="7A7E2CA2" w14:textId="77777777" w:rsidR="00AC6F3C" w:rsidRDefault="00570E88">
            <w:pPr>
              <w:pStyle w:val="TableParagraph"/>
              <w:spacing w:before="69" w:line="218" w:lineRule="exact"/>
              <w:ind w:left="145" w:right="138"/>
              <w:jc w:val="center"/>
              <w:rPr>
                <w:sz w:val="20"/>
              </w:rPr>
            </w:pPr>
            <w:r>
              <w:rPr>
                <w:sz w:val="20"/>
              </w:rPr>
              <w:t xml:space="preserve">158, 178, </w:t>
            </w:r>
            <w:r>
              <w:rPr>
                <w:spacing w:val="-4"/>
                <w:sz w:val="20"/>
              </w:rPr>
              <w:t>185,</w:t>
            </w:r>
          </w:p>
        </w:tc>
      </w:tr>
      <w:tr w:rsidR="00AC6F3C" w14:paraId="53C14DA6" w14:textId="77777777">
        <w:trPr>
          <w:trHeight w:val="306"/>
        </w:trPr>
        <w:tc>
          <w:tcPr>
            <w:tcW w:w="2031" w:type="dxa"/>
          </w:tcPr>
          <w:p w14:paraId="29680DF9" w14:textId="77777777" w:rsidR="00AC6F3C" w:rsidRDefault="00570E88">
            <w:pPr>
              <w:pStyle w:val="TableParagraph"/>
              <w:spacing w:before="1"/>
              <w:ind w:left="112"/>
              <w:rPr>
                <w:b/>
                <w:sz w:val="20"/>
              </w:rPr>
            </w:pPr>
            <w:r>
              <w:rPr>
                <w:b/>
                <w:spacing w:val="-2"/>
                <w:sz w:val="20"/>
              </w:rPr>
              <w:t>statements</w:t>
            </w:r>
          </w:p>
        </w:tc>
        <w:tc>
          <w:tcPr>
            <w:tcW w:w="3182" w:type="dxa"/>
          </w:tcPr>
          <w:p w14:paraId="17ECD224" w14:textId="77777777" w:rsidR="00AC6F3C" w:rsidRDefault="00570E88">
            <w:pPr>
              <w:pStyle w:val="TableParagraph"/>
              <w:spacing w:before="1"/>
              <w:ind w:left="112"/>
              <w:rPr>
                <w:sz w:val="20"/>
              </w:rPr>
            </w:pPr>
            <w:r>
              <w:rPr>
                <w:spacing w:val="-2"/>
                <w:sz w:val="20"/>
              </w:rPr>
              <w:t>statements</w:t>
            </w:r>
          </w:p>
        </w:tc>
        <w:tc>
          <w:tcPr>
            <w:tcW w:w="2553" w:type="dxa"/>
          </w:tcPr>
          <w:p w14:paraId="734669E5" w14:textId="77777777" w:rsidR="00AC6F3C" w:rsidRDefault="00AC6F3C">
            <w:pPr>
              <w:pStyle w:val="TableParagraph"/>
              <w:rPr>
                <w:rFonts w:ascii="Times New Roman"/>
                <w:sz w:val="18"/>
              </w:rPr>
            </w:pPr>
          </w:p>
        </w:tc>
        <w:tc>
          <w:tcPr>
            <w:tcW w:w="1586" w:type="dxa"/>
          </w:tcPr>
          <w:p w14:paraId="6F596695" w14:textId="77777777" w:rsidR="00AC6F3C" w:rsidRDefault="00570E88">
            <w:pPr>
              <w:pStyle w:val="TableParagraph"/>
              <w:spacing w:before="1"/>
              <w:ind w:left="144" w:right="138"/>
              <w:jc w:val="center"/>
              <w:rPr>
                <w:sz w:val="20"/>
              </w:rPr>
            </w:pPr>
            <w:r>
              <w:rPr>
                <w:sz w:val="20"/>
              </w:rPr>
              <w:t xml:space="preserve">197, </w:t>
            </w:r>
            <w:r>
              <w:rPr>
                <w:spacing w:val="-5"/>
                <w:sz w:val="20"/>
              </w:rPr>
              <w:t>218</w:t>
            </w:r>
          </w:p>
        </w:tc>
      </w:tr>
      <w:tr w:rsidR="00AC6F3C" w14:paraId="638576E8" w14:textId="77777777">
        <w:trPr>
          <w:trHeight w:val="612"/>
        </w:trPr>
        <w:tc>
          <w:tcPr>
            <w:tcW w:w="2031" w:type="dxa"/>
          </w:tcPr>
          <w:p w14:paraId="39CCCC52" w14:textId="77777777" w:rsidR="00AC6F3C" w:rsidRDefault="00AC6F3C">
            <w:pPr>
              <w:pStyle w:val="TableParagraph"/>
              <w:rPr>
                <w:rFonts w:ascii="Times New Roman"/>
                <w:sz w:val="18"/>
              </w:rPr>
            </w:pPr>
          </w:p>
        </w:tc>
        <w:tc>
          <w:tcPr>
            <w:tcW w:w="3182" w:type="dxa"/>
          </w:tcPr>
          <w:p w14:paraId="00C738AA" w14:textId="77777777" w:rsidR="00AC6F3C" w:rsidRDefault="00AC6F3C">
            <w:pPr>
              <w:pStyle w:val="TableParagraph"/>
              <w:rPr>
                <w:rFonts w:ascii="Times New Roman"/>
                <w:sz w:val="18"/>
              </w:rPr>
            </w:pPr>
          </w:p>
        </w:tc>
        <w:tc>
          <w:tcPr>
            <w:tcW w:w="2553" w:type="dxa"/>
          </w:tcPr>
          <w:p w14:paraId="75D5812F" w14:textId="77777777" w:rsidR="00AC6F3C" w:rsidRDefault="00570E88">
            <w:pPr>
              <w:pStyle w:val="TableParagraph"/>
              <w:spacing w:before="68"/>
              <w:ind w:left="313"/>
              <w:rPr>
                <w:sz w:val="20"/>
              </w:rPr>
            </w:pPr>
            <w:r>
              <w:rPr>
                <w:sz w:val="20"/>
              </w:rPr>
              <w:t xml:space="preserve">FPMS – sections 38, </w:t>
            </w:r>
            <w:r>
              <w:rPr>
                <w:spacing w:val="-5"/>
                <w:sz w:val="20"/>
              </w:rPr>
              <w:t>39</w:t>
            </w:r>
          </w:p>
          <w:p w14:paraId="1AC9E775" w14:textId="77777777" w:rsidR="00AC6F3C" w:rsidRDefault="00570E88">
            <w:pPr>
              <w:pStyle w:val="TableParagraph"/>
              <w:spacing w:before="10"/>
              <w:ind w:left="313"/>
              <w:rPr>
                <w:sz w:val="20"/>
              </w:rPr>
            </w:pPr>
            <w:r>
              <w:rPr>
                <w:sz w:val="20"/>
              </w:rPr>
              <w:t>and</w:t>
            </w:r>
            <w:r>
              <w:rPr>
                <w:spacing w:val="-2"/>
                <w:sz w:val="20"/>
              </w:rPr>
              <w:t xml:space="preserve"> </w:t>
            </w:r>
            <w:r>
              <w:rPr>
                <w:spacing w:val="-5"/>
                <w:sz w:val="20"/>
              </w:rPr>
              <w:t>46</w:t>
            </w:r>
          </w:p>
        </w:tc>
        <w:tc>
          <w:tcPr>
            <w:tcW w:w="1586" w:type="dxa"/>
          </w:tcPr>
          <w:p w14:paraId="4EC12A6D" w14:textId="77777777" w:rsidR="00AC6F3C" w:rsidRDefault="00AC6F3C">
            <w:pPr>
              <w:pStyle w:val="TableParagraph"/>
              <w:rPr>
                <w:rFonts w:ascii="Times New Roman"/>
                <w:sz w:val="18"/>
              </w:rPr>
            </w:pPr>
          </w:p>
        </w:tc>
      </w:tr>
      <w:tr w:rsidR="00AC6F3C" w14:paraId="2E7D4DDD" w14:textId="77777777">
        <w:trPr>
          <w:trHeight w:val="366"/>
        </w:trPr>
        <w:tc>
          <w:tcPr>
            <w:tcW w:w="2031" w:type="dxa"/>
          </w:tcPr>
          <w:p w14:paraId="122F7DEC" w14:textId="77777777" w:rsidR="00AC6F3C" w:rsidRDefault="00AC6F3C">
            <w:pPr>
              <w:pStyle w:val="TableParagraph"/>
              <w:rPr>
                <w:rFonts w:ascii="Times New Roman"/>
                <w:sz w:val="18"/>
              </w:rPr>
            </w:pPr>
          </w:p>
        </w:tc>
        <w:tc>
          <w:tcPr>
            <w:tcW w:w="3182" w:type="dxa"/>
            <w:tcBorders>
              <w:bottom w:val="single" w:sz="2" w:space="0" w:color="000000"/>
            </w:tcBorders>
          </w:tcPr>
          <w:p w14:paraId="42FE7FD4" w14:textId="77777777" w:rsidR="00AC6F3C" w:rsidRDefault="00AC6F3C">
            <w:pPr>
              <w:pStyle w:val="TableParagraph"/>
              <w:rPr>
                <w:rFonts w:ascii="Times New Roman"/>
                <w:sz w:val="18"/>
              </w:rPr>
            </w:pPr>
          </w:p>
        </w:tc>
        <w:tc>
          <w:tcPr>
            <w:tcW w:w="2553" w:type="dxa"/>
            <w:tcBorders>
              <w:bottom w:val="single" w:sz="2" w:space="0" w:color="000000"/>
            </w:tcBorders>
          </w:tcPr>
          <w:p w14:paraId="387AD197" w14:textId="77777777" w:rsidR="00AC6F3C" w:rsidRDefault="00570E88">
            <w:pPr>
              <w:pStyle w:val="TableParagraph"/>
              <w:spacing w:before="68"/>
              <w:ind w:left="313"/>
              <w:rPr>
                <w:sz w:val="20"/>
              </w:rPr>
            </w:pPr>
            <w:r>
              <w:rPr>
                <w:sz w:val="20"/>
              </w:rPr>
              <w:t>ARRs</w:t>
            </w:r>
            <w:r>
              <w:rPr>
                <w:spacing w:val="-2"/>
                <w:sz w:val="20"/>
              </w:rPr>
              <w:t xml:space="preserve"> </w:t>
            </w:r>
            <w:r>
              <w:rPr>
                <w:sz w:val="20"/>
              </w:rPr>
              <w:t>–</w:t>
            </w:r>
            <w:r>
              <w:rPr>
                <w:spacing w:val="-2"/>
                <w:sz w:val="20"/>
              </w:rPr>
              <w:t xml:space="preserve"> </w:t>
            </w:r>
            <w:r>
              <w:rPr>
                <w:sz w:val="20"/>
              </w:rPr>
              <w:t>section</w:t>
            </w:r>
            <w:r>
              <w:rPr>
                <w:spacing w:val="-2"/>
                <w:sz w:val="20"/>
              </w:rPr>
              <w:t xml:space="preserve"> </w:t>
            </w:r>
            <w:r>
              <w:rPr>
                <w:spacing w:val="-4"/>
                <w:sz w:val="20"/>
              </w:rPr>
              <w:t>17.1</w:t>
            </w:r>
          </w:p>
        </w:tc>
        <w:tc>
          <w:tcPr>
            <w:tcW w:w="1586" w:type="dxa"/>
            <w:tcBorders>
              <w:bottom w:val="single" w:sz="2" w:space="0" w:color="000000"/>
            </w:tcBorders>
          </w:tcPr>
          <w:p w14:paraId="5AC76512" w14:textId="77777777" w:rsidR="00AC6F3C" w:rsidRDefault="00AC6F3C">
            <w:pPr>
              <w:pStyle w:val="TableParagraph"/>
              <w:rPr>
                <w:rFonts w:ascii="Times New Roman"/>
                <w:sz w:val="18"/>
              </w:rPr>
            </w:pPr>
          </w:p>
        </w:tc>
      </w:tr>
      <w:tr w:rsidR="00AC6F3C" w14:paraId="71308338" w14:textId="77777777">
        <w:trPr>
          <w:trHeight w:val="299"/>
        </w:trPr>
        <w:tc>
          <w:tcPr>
            <w:tcW w:w="2031" w:type="dxa"/>
          </w:tcPr>
          <w:p w14:paraId="1820E776" w14:textId="77777777" w:rsidR="00AC6F3C" w:rsidRDefault="00AC6F3C">
            <w:pPr>
              <w:pStyle w:val="TableParagraph"/>
              <w:rPr>
                <w:rFonts w:ascii="Times New Roman"/>
                <w:sz w:val="18"/>
              </w:rPr>
            </w:pPr>
          </w:p>
        </w:tc>
        <w:tc>
          <w:tcPr>
            <w:tcW w:w="3182" w:type="dxa"/>
            <w:tcBorders>
              <w:top w:val="single" w:sz="2" w:space="0" w:color="000000"/>
            </w:tcBorders>
          </w:tcPr>
          <w:p w14:paraId="415C5AFB" w14:textId="77777777" w:rsidR="00AC6F3C" w:rsidRDefault="00570E88">
            <w:pPr>
              <w:pStyle w:val="TableParagraph"/>
              <w:spacing w:before="69" w:line="210" w:lineRule="exact"/>
              <w:ind w:left="112"/>
              <w:rPr>
                <w:sz w:val="20"/>
              </w:rPr>
            </w:pPr>
            <w:r>
              <w:rPr>
                <w:sz w:val="20"/>
              </w:rPr>
              <w:t>Independent</w:t>
            </w:r>
            <w:r>
              <w:rPr>
                <w:spacing w:val="-10"/>
                <w:sz w:val="20"/>
              </w:rPr>
              <w:t xml:space="preserve"> </w:t>
            </w:r>
            <w:r>
              <w:rPr>
                <w:sz w:val="20"/>
              </w:rPr>
              <w:t>Auditor’s</w:t>
            </w:r>
            <w:r>
              <w:rPr>
                <w:spacing w:val="2"/>
                <w:sz w:val="20"/>
              </w:rPr>
              <w:t xml:space="preserve"> </w:t>
            </w:r>
            <w:r>
              <w:rPr>
                <w:spacing w:val="-2"/>
                <w:sz w:val="20"/>
              </w:rPr>
              <w:t>Report</w:t>
            </w:r>
          </w:p>
        </w:tc>
        <w:tc>
          <w:tcPr>
            <w:tcW w:w="2553" w:type="dxa"/>
            <w:tcBorders>
              <w:top w:val="single" w:sz="2" w:space="0" w:color="000000"/>
            </w:tcBorders>
          </w:tcPr>
          <w:p w14:paraId="0F1B231B" w14:textId="77777777" w:rsidR="00AC6F3C" w:rsidRDefault="00570E88">
            <w:pPr>
              <w:pStyle w:val="TableParagraph"/>
              <w:spacing w:before="69" w:line="210" w:lineRule="exact"/>
              <w:ind w:left="313"/>
              <w:rPr>
                <w:sz w:val="20"/>
              </w:rPr>
            </w:pPr>
            <w:r>
              <w:rPr>
                <w:sz w:val="20"/>
              </w:rPr>
              <w:t>FAA</w:t>
            </w:r>
            <w:r>
              <w:rPr>
                <w:spacing w:val="-16"/>
                <w:sz w:val="20"/>
              </w:rPr>
              <w:t xml:space="preserve"> </w:t>
            </w:r>
            <w:r>
              <w:rPr>
                <w:sz w:val="20"/>
              </w:rPr>
              <w:t>–</w:t>
            </w:r>
            <w:r>
              <w:rPr>
                <w:spacing w:val="-9"/>
                <w:sz w:val="20"/>
              </w:rPr>
              <w:t xml:space="preserve"> </w:t>
            </w:r>
            <w:r>
              <w:rPr>
                <w:sz w:val="20"/>
              </w:rPr>
              <w:t>section</w:t>
            </w:r>
            <w:r>
              <w:rPr>
                <w:spacing w:val="-6"/>
                <w:sz w:val="20"/>
              </w:rPr>
              <w:t xml:space="preserve"> </w:t>
            </w:r>
            <w:r>
              <w:rPr>
                <w:spacing w:val="-5"/>
                <w:sz w:val="20"/>
              </w:rPr>
              <w:t>62</w:t>
            </w:r>
          </w:p>
        </w:tc>
        <w:tc>
          <w:tcPr>
            <w:tcW w:w="1586" w:type="dxa"/>
            <w:tcBorders>
              <w:top w:val="single" w:sz="2" w:space="0" w:color="000000"/>
            </w:tcBorders>
          </w:tcPr>
          <w:p w14:paraId="1F1E8712" w14:textId="77777777" w:rsidR="00AC6F3C" w:rsidRDefault="00570E88">
            <w:pPr>
              <w:pStyle w:val="TableParagraph"/>
              <w:spacing w:before="69" w:line="210" w:lineRule="exact"/>
              <w:ind w:left="145" w:right="138"/>
              <w:jc w:val="center"/>
              <w:rPr>
                <w:sz w:val="20"/>
              </w:rPr>
            </w:pPr>
            <w:r>
              <w:rPr>
                <w:sz w:val="20"/>
              </w:rPr>
              <w:t>159-</w:t>
            </w:r>
            <w:r>
              <w:rPr>
                <w:spacing w:val="-4"/>
                <w:sz w:val="20"/>
              </w:rPr>
              <w:t>161,</w:t>
            </w:r>
          </w:p>
        </w:tc>
      </w:tr>
    </w:tbl>
    <w:p w14:paraId="6D26F8B2" w14:textId="77777777" w:rsidR="00AC6F3C" w:rsidRDefault="00AC6F3C">
      <w:pPr>
        <w:spacing w:line="210" w:lineRule="exact"/>
        <w:jc w:val="center"/>
        <w:rPr>
          <w:sz w:val="20"/>
        </w:rPr>
        <w:sectPr w:rsidR="00AC6F3C">
          <w:type w:val="continuous"/>
          <w:pgSz w:w="11910" w:h="16840"/>
          <w:pgMar w:top="1920" w:right="1160" w:bottom="280" w:left="460" w:header="0" w:footer="336" w:gutter="0"/>
          <w:cols w:space="720"/>
        </w:sectPr>
      </w:pPr>
    </w:p>
    <w:p w14:paraId="0B1FC086" w14:textId="77777777" w:rsidR="00AC6F3C" w:rsidRDefault="00570E88">
      <w:pPr>
        <w:pStyle w:val="BodyText"/>
        <w:spacing w:before="139" w:line="388" w:lineRule="auto"/>
        <w:ind w:left="6342"/>
      </w:pPr>
      <w:r>
        <w:rPr>
          <w:noProof/>
        </w:rPr>
        <mc:AlternateContent>
          <mc:Choice Requires="wpg">
            <w:drawing>
              <wp:anchor distT="0" distB="0" distL="0" distR="0" simplePos="0" relativeHeight="15867904" behindDoc="0" locked="0" layoutInCell="1" allowOverlap="1" wp14:anchorId="1FFDC246" wp14:editId="6512BB50">
                <wp:simplePos x="0" y="0"/>
                <wp:positionH relativeFrom="page">
                  <wp:posOffset>809999</wp:posOffset>
                </wp:positionH>
                <wp:positionV relativeFrom="page">
                  <wp:posOffset>810003</wp:posOffset>
                </wp:positionV>
                <wp:extent cx="5940425" cy="12700"/>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943" name="Graphic 943"/>
                        <wps:cNvSpPr/>
                        <wps:spPr>
                          <a:xfrm>
                            <a:off x="0" y="6350"/>
                            <a:ext cx="1290320" cy="1270"/>
                          </a:xfrm>
                          <a:custGeom>
                            <a:avLst/>
                            <a:gdLst/>
                            <a:ahLst/>
                            <a:cxnLst/>
                            <a:rect l="l" t="t" r="r" b="b"/>
                            <a:pathLst>
                              <a:path w="1290320">
                                <a:moveTo>
                                  <a:pt x="0" y="0"/>
                                </a:moveTo>
                                <a:lnTo>
                                  <a:pt x="1290002" y="0"/>
                                </a:lnTo>
                              </a:path>
                            </a:pathLst>
                          </a:custGeom>
                          <a:ln w="12700">
                            <a:solidFill>
                              <a:srgbClr val="000000"/>
                            </a:solidFill>
                            <a:prstDash val="solid"/>
                          </a:ln>
                        </wps:spPr>
                        <wps:bodyPr wrap="square" lIns="0" tIns="0" rIns="0" bIns="0" rtlCol="0">
                          <a:prstTxWarp prst="textNoShape">
                            <a:avLst/>
                          </a:prstTxWarp>
                          <a:noAutofit/>
                        </wps:bodyPr>
                      </wps:wsp>
                      <wps:wsp>
                        <wps:cNvPr id="944" name="Graphic 944"/>
                        <wps:cNvSpPr/>
                        <wps:spPr>
                          <a:xfrm>
                            <a:off x="1289999" y="6350"/>
                            <a:ext cx="2148205" cy="1270"/>
                          </a:xfrm>
                          <a:custGeom>
                            <a:avLst/>
                            <a:gdLst/>
                            <a:ahLst/>
                            <a:cxnLst/>
                            <a:rect l="l" t="t" r="r" b="b"/>
                            <a:pathLst>
                              <a:path w="2148205">
                                <a:moveTo>
                                  <a:pt x="0" y="0"/>
                                </a:moveTo>
                                <a:lnTo>
                                  <a:pt x="2148001" y="0"/>
                                </a:lnTo>
                              </a:path>
                            </a:pathLst>
                          </a:custGeom>
                          <a:ln w="12700">
                            <a:solidFill>
                              <a:srgbClr val="000000"/>
                            </a:solidFill>
                            <a:prstDash val="solid"/>
                          </a:ln>
                        </wps:spPr>
                        <wps:bodyPr wrap="square" lIns="0" tIns="0" rIns="0" bIns="0" rtlCol="0">
                          <a:prstTxWarp prst="textNoShape">
                            <a:avLst/>
                          </a:prstTxWarp>
                          <a:noAutofit/>
                        </wps:bodyPr>
                      </wps:wsp>
                      <wps:wsp>
                        <wps:cNvPr id="945" name="Graphic 945"/>
                        <wps:cNvSpPr/>
                        <wps:spPr>
                          <a:xfrm>
                            <a:off x="3438000" y="6350"/>
                            <a:ext cx="1497965" cy="1270"/>
                          </a:xfrm>
                          <a:custGeom>
                            <a:avLst/>
                            <a:gdLst/>
                            <a:ahLst/>
                            <a:cxnLst/>
                            <a:rect l="l" t="t" r="r" b="b"/>
                            <a:pathLst>
                              <a:path w="1497965">
                                <a:moveTo>
                                  <a:pt x="0" y="0"/>
                                </a:moveTo>
                                <a:lnTo>
                                  <a:pt x="1497596" y="0"/>
                                </a:lnTo>
                              </a:path>
                            </a:pathLst>
                          </a:custGeom>
                          <a:ln w="12700">
                            <a:solidFill>
                              <a:srgbClr val="000000"/>
                            </a:solidFill>
                            <a:prstDash val="solid"/>
                          </a:ln>
                        </wps:spPr>
                        <wps:bodyPr wrap="square" lIns="0" tIns="0" rIns="0" bIns="0" rtlCol="0">
                          <a:prstTxWarp prst="textNoShape">
                            <a:avLst/>
                          </a:prstTxWarp>
                          <a:noAutofit/>
                        </wps:bodyPr>
                      </wps:wsp>
                      <wps:wsp>
                        <wps:cNvPr id="946" name="Graphic 946"/>
                        <wps:cNvSpPr/>
                        <wps:spPr>
                          <a:xfrm>
                            <a:off x="4935599" y="6350"/>
                            <a:ext cx="1004569" cy="1270"/>
                          </a:xfrm>
                          <a:custGeom>
                            <a:avLst/>
                            <a:gdLst/>
                            <a:ahLst/>
                            <a:cxnLst/>
                            <a:rect l="l" t="t" r="r" b="b"/>
                            <a:pathLst>
                              <a:path w="1004569">
                                <a:moveTo>
                                  <a:pt x="0" y="0"/>
                                </a:moveTo>
                                <a:lnTo>
                                  <a:pt x="100440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30A6E2" id="Group 942" o:spid="_x0000_s1026" style="position:absolute;margin-left:63.8pt;margin-top:63.8pt;width:467.75pt;height:1pt;z-index:15867904;mso-wrap-distance-left:0;mso-wrap-distance-right:0;mso-position-horizontal-relative:page;mso-position-vertic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">
                <v:shape id="Graphic 943" o:spid="_x0000_s1027" style="position:absolute;top:63;width:12903;height:13;visibility:visible;mso-wrap-style:square;v-text-anchor:top" coordsize="129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" path="m,l1290002,e" filled="f" strokeweight="1pt">
                  <v:path arrowok="t"/>
                </v:shape>
                <v:shape id="Graphic 944" o:spid="_x0000_s1028" style="position:absolute;left:12899;top:63;width:21483;height:13;visibility:visible;mso-wrap-style:square;v-text-anchor:top" coordsize="214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" path="m,l2148001,e" filled="f" strokeweight="1pt">
                  <v:path arrowok="t"/>
                </v:shape>
                <v:shape id="Graphic 945" o:spid="_x0000_s1029" style="position:absolute;left:34380;top:63;width:14979;height:13;visibility:visible;mso-wrap-style:square;v-text-anchor:top" coordsize="149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" path="m,l1497596,e" filled="f" strokeweight="1pt">
                  <v:path arrowok="t"/>
                </v:shape>
                <v:shape id="Graphic 946" o:spid="_x0000_s1030" style="position:absolute;left:49355;top:63;width:10046;height:13;visibility:visible;mso-wrap-style:square;v-text-anchor:top" coordsize="10045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" path="m,l1004404,e" filled="f" strokeweight="1pt">
                  <v:path arrowok="t"/>
                </v:shape>
                <w10:wrap anchorx="page" anchory="page"/>
              </v:group>
            </w:pict>
          </mc:Fallback>
        </mc:AlternateContent>
      </w:r>
      <w:r>
        <w:rPr>
          <w:noProof/>
        </w:rPr>
        <mc:AlternateContent>
          <mc:Choice Requires="wpg">
            <w:drawing>
              <wp:anchor distT="0" distB="0" distL="0" distR="0" simplePos="0" relativeHeight="472973312" behindDoc="1" locked="0" layoutInCell="1" allowOverlap="1" wp14:anchorId="1AA8DBA2" wp14:editId="5AFE9B16">
                <wp:simplePos x="0" y="0"/>
                <wp:positionH relativeFrom="page">
                  <wp:posOffset>809999</wp:posOffset>
                </wp:positionH>
                <wp:positionV relativeFrom="paragraph">
                  <wp:posOffset>514014</wp:posOffset>
                </wp:positionV>
                <wp:extent cx="5940425" cy="3175"/>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48" name="Graphic 948"/>
                        <wps:cNvSpPr/>
                        <wps:spPr>
                          <a:xfrm>
                            <a:off x="0" y="1587"/>
                            <a:ext cx="1290320" cy="1270"/>
                          </a:xfrm>
                          <a:custGeom>
                            <a:avLst/>
                            <a:gdLst/>
                            <a:ahLst/>
                            <a:cxnLst/>
                            <a:rect l="l" t="t" r="r" b="b"/>
                            <a:pathLst>
                              <a:path w="1290320">
                                <a:moveTo>
                                  <a:pt x="0" y="0"/>
                                </a:moveTo>
                                <a:lnTo>
                                  <a:pt x="1290002" y="0"/>
                                </a:lnTo>
                              </a:path>
                            </a:pathLst>
                          </a:custGeom>
                          <a:ln w="3175">
                            <a:solidFill>
                              <a:srgbClr val="000000"/>
                            </a:solidFill>
                            <a:prstDash val="solid"/>
                          </a:ln>
                        </wps:spPr>
                        <wps:bodyPr wrap="square" lIns="0" tIns="0" rIns="0" bIns="0" rtlCol="0">
                          <a:prstTxWarp prst="textNoShape">
                            <a:avLst/>
                          </a:prstTxWarp>
                          <a:noAutofit/>
                        </wps:bodyPr>
                      </wps:wsp>
                      <wps:wsp>
                        <wps:cNvPr id="949" name="Graphic 949"/>
                        <wps:cNvSpPr/>
                        <wps:spPr>
                          <a:xfrm>
                            <a:off x="1289999" y="1587"/>
                            <a:ext cx="2148205" cy="1270"/>
                          </a:xfrm>
                          <a:custGeom>
                            <a:avLst/>
                            <a:gdLst/>
                            <a:ahLst/>
                            <a:cxnLst/>
                            <a:rect l="l" t="t" r="r" b="b"/>
                            <a:pathLst>
                              <a:path w="2148205">
                                <a:moveTo>
                                  <a:pt x="0" y="0"/>
                                </a:moveTo>
                                <a:lnTo>
                                  <a:pt x="2148001" y="0"/>
                                </a:lnTo>
                              </a:path>
                            </a:pathLst>
                          </a:custGeom>
                          <a:ln w="3175">
                            <a:solidFill>
                              <a:srgbClr val="000000"/>
                            </a:solidFill>
                            <a:prstDash val="solid"/>
                          </a:ln>
                        </wps:spPr>
                        <wps:bodyPr wrap="square" lIns="0" tIns="0" rIns="0" bIns="0" rtlCol="0">
                          <a:prstTxWarp prst="textNoShape">
                            <a:avLst/>
                          </a:prstTxWarp>
                          <a:noAutofit/>
                        </wps:bodyPr>
                      </wps:wsp>
                      <wps:wsp>
                        <wps:cNvPr id="950" name="Graphic 950"/>
                        <wps:cNvSpPr/>
                        <wps:spPr>
                          <a:xfrm>
                            <a:off x="3438000" y="1587"/>
                            <a:ext cx="1497965" cy="1270"/>
                          </a:xfrm>
                          <a:custGeom>
                            <a:avLst/>
                            <a:gdLst/>
                            <a:ahLst/>
                            <a:cxnLst/>
                            <a:rect l="l" t="t" r="r" b="b"/>
                            <a:pathLst>
                              <a:path w="1497965">
                                <a:moveTo>
                                  <a:pt x="0" y="0"/>
                                </a:moveTo>
                                <a:lnTo>
                                  <a:pt x="1497596" y="0"/>
                                </a:lnTo>
                              </a:path>
                            </a:pathLst>
                          </a:custGeom>
                          <a:ln w="3175">
                            <a:solidFill>
                              <a:srgbClr val="000000"/>
                            </a:solidFill>
                            <a:prstDash val="solid"/>
                          </a:ln>
                        </wps:spPr>
                        <wps:bodyPr wrap="square" lIns="0" tIns="0" rIns="0" bIns="0" rtlCol="0">
                          <a:prstTxWarp prst="textNoShape">
                            <a:avLst/>
                          </a:prstTxWarp>
                          <a:noAutofit/>
                        </wps:bodyPr>
                      </wps:wsp>
                      <wps:wsp>
                        <wps:cNvPr id="951" name="Graphic 951"/>
                        <wps:cNvSpPr/>
                        <wps:spPr>
                          <a:xfrm>
                            <a:off x="4935599" y="1587"/>
                            <a:ext cx="1004569" cy="1270"/>
                          </a:xfrm>
                          <a:custGeom>
                            <a:avLst/>
                            <a:gdLst/>
                            <a:ahLst/>
                            <a:cxnLst/>
                            <a:rect l="l" t="t" r="r" b="b"/>
                            <a:pathLst>
                              <a:path w="1004569">
                                <a:moveTo>
                                  <a:pt x="0" y="0"/>
                                </a:moveTo>
                                <a:lnTo>
                                  <a:pt x="100440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CC4A12" id="Group 947" o:spid="_x0000_s1026" style="position:absolute;margin-left:63.8pt;margin-top:40.45pt;width:467.75pt;height:.25pt;z-index:-303431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">
                <v:shape id="Graphic 948" o:spid="_x0000_s1027" style="position:absolute;top:15;width:12903;height:13;visibility:visible;mso-wrap-style:square;v-text-anchor:top" coordsize="129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" path="m,l1290002,e" filled="f" strokeweight=".25pt">
                  <v:path arrowok="t"/>
                </v:shape>
                <v:shape id="Graphic 949" o:spid="_x0000_s1028" style="position:absolute;left:12899;top:15;width:21483;height:13;visibility:visible;mso-wrap-style:square;v-text-anchor:top" coordsize="214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" path="m,l2148001,e" filled="f" strokeweight=".25pt">
                  <v:path arrowok="t"/>
                </v:shape>
                <v:shape id="Graphic 950" o:spid="_x0000_s1029" style="position:absolute;left:34380;top:15;width:14979;height:13;visibility:visible;mso-wrap-style:square;v-text-anchor:top" coordsize="149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" path="m,l1497596,e" filled="f" strokeweight=".25pt">
                  <v:path arrowok="t"/>
                </v:shape>
                <v:shape id="Graphic 951" o:spid="_x0000_s1030" style="position:absolute;left:49355;top:15;width:10046;height:13;visibility:visible;mso-wrap-style:square;v-text-anchor:top" coordsize="10045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" path="m,l1004404,e" filled="f" strokeweight=".25pt">
                  <v:path arrowok="t"/>
                </v:shape>
                <w10:wrap anchorx="page"/>
              </v:group>
            </w:pict>
          </mc:Fallback>
        </mc:AlternateContent>
      </w:r>
      <w:r>
        <w:t>FPMS – section 46 ARRs</w:t>
      </w:r>
      <w:r>
        <w:rPr>
          <w:spacing w:val="-14"/>
        </w:rPr>
        <w:t xml:space="preserve"> </w:t>
      </w:r>
      <w:r>
        <w:t>–</w:t>
      </w:r>
      <w:r>
        <w:rPr>
          <w:spacing w:val="-13"/>
        </w:rPr>
        <w:t xml:space="preserve"> </w:t>
      </w:r>
      <w:r>
        <w:t>section</w:t>
      </w:r>
      <w:r>
        <w:rPr>
          <w:spacing w:val="-14"/>
        </w:rPr>
        <w:t xml:space="preserve"> </w:t>
      </w:r>
      <w:r>
        <w:t>17.2</w:t>
      </w:r>
    </w:p>
    <w:p w14:paraId="5C2991E5" w14:textId="77777777" w:rsidR="00AC6F3C" w:rsidRDefault="00AC6F3C">
      <w:pPr>
        <w:pStyle w:val="BodyText"/>
        <w:spacing w:before="1"/>
        <w:rPr>
          <w:sz w:val="28"/>
        </w:rPr>
      </w:pPr>
    </w:p>
    <w:p w14:paraId="41CEE764" w14:textId="77777777" w:rsidR="00AC6F3C" w:rsidRDefault="00570E88">
      <w:pPr>
        <w:tabs>
          <w:tab w:val="left" w:pos="1534"/>
        </w:tabs>
        <w:ind w:left="814"/>
        <w:rPr>
          <w:i/>
          <w:sz w:val="20"/>
        </w:rPr>
      </w:pPr>
      <w:r>
        <w:rPr>
          <w:spacing w:val="-5"/>
          <w:sz w:val="20"/>
        </w:rPr>
        <w:t>FAA</w:t>
      </w:r>
      <w:r>
        <w:rPr>
          <w:sz w:val="20"/>
        </w:rPr>
        <w:tab/>
      </w:r>
      <w:r>
        <w:rPr>
          <w:i/>
          <w:sz w:val="20"/>
        </w:rPr>
        <w:t>Financial</w:t>
      </w:r>
      <w:r>
        <w:rPr>
          <w:i/>
          <w:spacing w:val="-13"/>
          <w:sz w:val="20"/>
        </w:rPr>
        <w:t xml:space="preserve"> </w:t>
      </w:r>
      <w:r>
        <w:rPr>
          <w:i/>
          <w:sz w:val="20"/>
        </w:rPr>
        <w:t>Accountability</w:t>
      </w:r>
      <w:r>
        <w:rPr>
          <w:i/>
          <w:spacing w:val="-11"/>
          <w:sz w:val="20"/>
        </w:rPr>
        <w:t xml:space="preserve"> </w:t>
      </w:r>
      <w:r>
        <w:rPr>
          <w:i/>
          <w:sz w:val="20"/>
        </w:rPr>
        <w:t>Act</w:t>
      </w:r>
      <w:r>
        <w:rPr>
          <w:i/>
          <w:spacing w:val="-2"/>
          <w:sz w:val="20"/>
        </w:rPr>
        <w:t xml:space="preserve"> </w:t>
      </w:r>
      <w:r>
        <w:rPr>
          <w:i/>
          <w:spacing w:val="-4"/>
          <w:sz w:val="20"/>
        </w:rPr>
        <w:t>2009</w:t>
      </w:r>
    </w:p>
    <w:p w14:paraId="398FC211" w14:textId="77777777" w:rsidR="00AC6F3C" w:rsidRDefault="00570E88">
      <w:pPr>
        <w:spacing w:before="180"/>
        <w:ind w:left="814"/>
        <w:rPr>
          <w:i/>
          <w:sz w:val="20"/>
        </w:rPr>
      </w:pPr>
      <w:r>
        <w:rPr>
          <w:sz w:val="20"/>
        </w:rPr>
        <w:t>FPMS</w:t>
      </w:r>
      <w:r>
        <w:rPr>
          <w:spacing w:val="70"/>
          <w:w w:val="150"/>
          <w:sz w:val="20"/>
        </w:rPr>
        <w:t xml:space="preserve"> </w:t>
      </w:r>
      <w:r>
        <w:rPr>
          <w:i/>
          <w:sz w:val="20"/>
        </w:rPr>
        <w:t>Financial</w:t>
      </w:r>
      <w:r>
        <w:rPr>
          <w:i/>
          <w:spacing w:val="-4"/>
          <w:sz w:val="20"/>
        </w:rPr>
        <w:t xml:space="preserve"> </w:t>
      </w:r>
      <w:r>
        <w:rPr>
          <w:i/>
          <w:sz w:val="20"/>
        </w:rPr>
        <w:t>and</w:t>
      </w:r>
      <w:r>
        <w:rPr>
          <w:i/>
          <w:spacing w:val="-3"/>
          <w:sz w:val="20"/>
        </w:rPr>
        <w:t xml:space="preserve"> </w:t>
      </w:r>
      <w:r>
        <w:rPr>
          <w:i/>
          <w:sz w:val="20"/>
        </w:rPr>
        <w:t>Performance</w:t>
      </w:r>
      <w:r>
        <w:rPr>
          <w:i/>
          <w:spacing w:val="-3"/>
          <w:sz w:val="20"/>
        </w:rPr>
        <w:t xml:space="preserve"> </w:t>
      </w:r>
      <w:r>
        <w:rPr>
          <w:i/>
          <w:sz w:val="20"/>
        </w:rPr>
        <w:t>Management</w:t>
      </w:r>
      <w:r>
        <w:rPr>
          <w:i/>
          <w:spacing w:val="-4"/>
          <w:sz w:val="20"/>
        </w:rPr>
        <w:t xml:space="preserve"> </w:t>
      </w:r>
      <w:r>
        <w:rPr>
          <w:i/>
          <w:sz w:val="20"/>
        </w:rPr>
        <w:t>Standard</w:t>
      </w:r>
      <w:r>
        <w:rPr>
          <w:i/>
          <w:spacing w:val="-3"/>
          <w:sz w:val="20"/>
        </w:rPr>
        <w:t xml:space="preserve"> </w:t>
      </w:r>
      <w:r>
        <w:rPr>
          <w:i/>
          <w:spacing w:val="-4"/>
          <w:sz w:val="20"/>
        </w:rPr>
        <w:t>2019</w:t>
      </w:r>
    </w:p>
    <w:p w14:paraId="5B14DEBD" w14:textId="77777777" w:rsidR="00AC6F3C" w:rsidRDefault="00570E88">
      <w:pPr>
        <w:spacing w:before="180"/>
        <w:ind w:left="814"/>
        <w:rPr>
          <w:i/>
          <w:sz w:val="20"/>
        </w:rPr>
      </w:pPr>
      <w:r>
        <w:rPr>
          <w:sz w:val="20"/>
        </w:rPr>
        <w:t>ARRs</w:t>
      </w:r>
      <w:r>
        <w:rPr>
          <w:spacing w:val="40"/>
          <w:sz w:val="20"/>
        </w:rPr>
        <w:t xml:space="preserve">  </w:t>
      </w:r>
      <w:r>
        <w:rPr>
          <w:i/>
          <w:sz w:val="20"/>
        </w:rPr>
        <w:t>Annual</w:t>
      </w:r>
      <w:r>
        <w:rPr>
          <w:i/>
          <w:spacing w:val="-2"/>
          <w:sz w:val="20"/>
        </w:rPr>
        <w:t xml:space="preserve"> </w:t>
      </w:r>
      <w:r>
        <w:rPr>
          <w:i/>
          <w:sz w:val="20"/>
        </w:rPr>
        <w:t>report</w:t>
      </w:r>
      <w:r>
        <w:rPr>
          <w:i/>
          <w:spacing w:val="-1"/>
          <w:sz w:val="20"/>
        </w:rPr>
        <w:t xml:space="preserve"> </w:t>
      </w:r>
      <w:r>
        <w:rPr>
          <w:i/>
          <w:sz w:val="20"/>
        </w:rPr>
        <w:t>requirements</w:t>
      </w:r>
      <w:r>
        <w:rPr>
          <w:i/>
          <w:spacing w:val="-2"/>
          <w:sz w:val="20"/>
        </w:rPr>
        <w:t xml:space="preserve"> </w:t>
      </w:r>
      <w:r>
        <w:rPr>
          <w:i/>
          <w:sz w:val="20"/>
        </w:rPr>
        <w:t>for</w:t>
      </w:r>
      <w:r>
        <w:rPr>
          <w:i/>
          <w:spacing w:val="-1"/>
          <w:sz w:val="20"/>
        </w:rPr>
        <w:t xml:space="preserve"> </w:t>
      </w:r>
      <w:r>
        <w:rPr>
          <w:i/>
          <w:sz w:val="20"/>
        </w:rPr>
        <w:t>Queensland</w:t>
      </w:r>
      <w:r>
        <w:rPr>
          <w:i/>
          <w:spacing w:val="-2"/>
          <w:sz w:val="20"/>
        </w:rPr>
        <w:t xml:space="preserve"> </w:t>
      </w:r>
      <w:r>
        <w:rPr>
          <w:i/>
          <w:sz w:val="20"/>
        </w:rPr>
        <w:t>Government</w:t>
      </w:r>
      <w:r>
        <w:rPr>
          <w:i/>
          <w:spacing w:val="-1"/>
          <w:sz w:val="20"/>
        </w:rPr>
        <w:t xml:space="preserve"> </w:t>
      </w:r>
      <w:r>
        <w:rPr>
          <w:i/>
          <w:spacing w:val="-2"/>
          <w:sz w:val="20"/>
        </w:rPr>
        <w:t>agencies</w:t>
      </w:r>
    </w:p>
    <w:p w14:paraId="4AB1ED53" w14:textId="77777777" w:rsidR="00AC6F3C" w:rsidRDefault="00570E88">
      <w:pPr>
        <w:pStyle w:val="BodyText"/>
        <w:spacing w:before="6"/>
        <w:ind w:left="544" w:right="279"/>
        <w:jc w:val="center"/>
      </w:pPr>
      <w:r>
        <w:br w:type="column"/>
      </w:r>
      <w:r>
        <w:t>179-</w:t>
      </w:r>
      <w:r>
        <w:rPr>
          <w:spacing w:val="-4"/>
        </w:rPr>
        <w:t>181,</w:t>
      </w:r>
    </w:p>
    <w:p w14:paraId="26EA5BE0" w14:textId="77777777" w:rsidR="00AC6F3C" w:rsidRDefault="00570E88">
      <w:pPr>
        <w:pStyle w:val="BodyText"/>
        <w:spacing w:before="10"/>
        <w:ind w:left="545" w:right="279"/>
        <w:jc w:val="center"/>
      </w:pPr>
      <w:r>
        <w:t>186, 198-</w:t>
      </w:r>
      <w:r>
        <w:rPr>
          <w:spacing w:val="-4"/>
        </w:rPr>
        <w:t>200,</w:t>
      </w:r>
    </w:p>
    <w:p w14:paraId="07D3683C" w14:textId="77777777" w:rsidR="00AC6F3C" w:rsidRDefault="00570E88">
      <w:pPr>
        <w:pStyle w:val="BodyText"/>
        <w:spacing w:before="10"/>
        <w:ind w:left="544" w:right="279"/>
        <w:jc w:val="center"/>
      </w:pPr>
      <w:r>
        <w:rPr>
          <w:spacing w:val="-2"/>
        </w:rPr>
        <w:t>219-</w:t>
      </w:r>
      <w:r>
        <w:rPr>
          <w:spacing w:val="-5"/>
        </w:rPr>
        <w:t>221</w:t>
      </w:r>
    </w:p>
    <w:p w14:paraId="545280B1" w14:textId="77777777" w:rsidR="00AC6F3C" w:rsidRDefault="00AC6F3C">
      <w:pPr>
        <w:jc w:val="center"/>
        <w:sectPr w:rsidR="00AC6F3C">
          <w:type w:val="continuous"/>
          <w:pgSz w:w="11910" w:h="16840"/>
          <w:pgMar w:top="1920" w:right="1160" w:bottom="280" w:left="460" w:header="0" w:footer="336" w:gutter="0"/>
          <w:cols w:num="2" w:space="720" w:equalWidth="0">
            <w:col w:w="8166" w:space="40"/>
            <w:col w:w="2084"/>
          </w:cols>
        </w:sectPr>
      </w:pPr>
    </w:p>
    <w:p w14:paraId="7C1FD74C"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74906E89" wp14:editId="63ED6BEA">
                <wp:extent cx="5940425" cy="25400"/>
                <wp:effectExtent l="19050" t="0" r="3175" b="3175"/>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954" name="Graphic 954"/>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C65727" id="Group 953"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aE40MWoCAACYBQAADgAAAAAAAAAAAAAAAAAuAgAA&#10;ZHJzL2Uyb0RvYy54bWxQSwECLQAUAAYACAAAACEAzcNg/dwAAAADAQAADwAAAAAAAAAAAAAAAADE&#10;BAAAZHJzL2Rvd25yZXYueG1sUEsFBgAAAAAEAAQA8wAAAM0FAAAAAA==&#10;">
                <v:shape id="Graphic 954"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" path="m,l5940005,e" filled="f" strokeweight="2pt">
                  <v:path arrowok="t"/>
                </v:shape>
                <w10:anchorlock/>
              </v:group>
            </w:pict>
          </mc:Fallback>
        </mc:AlternateContent>
      </w:r>
    </w:p>
    <w:p w14:paraId="6C936602" w14:textId="77777777" w:rsidR="00AC6F3C" w:rsidRDefault="00570E88">
      <w:pPr>
        <w:pStyle w:val="Heading2"/>
      </w:pPr>
      <w:bookmarkStart w:id="96" w:name="Glossary"/>
      <w:bookmarkStart w:id="97" w:name="_bookmark38"/>
      <w:bookmarkEnd w:id="96"/>
      <w:bookmarkEnd w:id="97"/>
      <w:r>
        <w:rPr>
          <w:spacing w:val="-2"/>
        </w:rPr>
        <w:t>Glossary</w:t>
      </w:r>
    </w:p>
    <w:p w14:paraId="6DBD4E0A" w14:textId="77777777" w:rsidR="00AC6F3C" w:rsidRDefault="00AC6F3C">
      <w:pPr>
        <w:pStyle w:val="BodyText"/>
        <w:rPr>
          <w:b/>
        </w:rPr>
      </w:pPr>
    </w:p>
    <w:p w14:paraId="1267C474" w14:textId="77777777" w:rsidR="00AC6F3C" w:rsidRDefault="00570E88">
      <w:pPr>
        <w:pStyle w:val="BodyText"/>
        <w:spacing w:before="1"/>
        <w:rPr>
          <w:b/>
          <w:sz w:val="14"/>
        </w:rPr>
      </w:pPr>
      <w:r>
        <w:rPr>
          <w:noProof/>
        </w:rPr>
        <mc:AlternateContent>
          <mc:Choice Requires="wpg">
            <w:drawing>
              <wp:anchor distT="0" distB="0" distL="0" distR="0" simplePos="0" relativeHeight="487728640" behindDoc="1" locked="0" layoutInCell="1" allowOverlap="1" wp14:anchorId="2651CA73" wp14:editId="2AD05A79">
                <wp:simplePos x="0" y="0"/>
                <wp:positionH relativeFrom="page">
                  <wp:posOffset>809999</wp:posOffset>
                </wp:positionH>
                <wp:positionV relativeFrom="paragraph">
                  <wp:posOffset>119015</wp:posOffset>
                </wp:positionV>
                <wp:extent cx="5940425" cy="3175"/>
                <wp:effectExtent l="0" t="0" r="0" b="0"/>
                <wp:wrapTopAndBottom/>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56" name="Graphic 956"/>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57" name="Graphic 957"/>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8D41D1" id="Group 955" o:spid="_x0000_s1026" style="position:absolute;margin-left:63.8pt;margin-top:9.35pt;width:467.75pt;height:.25pt;z-index:-1558784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">
                <v:shape id="Graphic 956"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" path="m,l1806003,e" filled="f" strokeweight=".25pt">
                  <v:path arrowok="t"/>
                </v:shape>
                <v:shape id="Graphic 957"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" path="m,l4134002,e" filled="f" strokeweight=".25pt">
                  <v:path arrowok="t"/>
                </v:shape>
                <w10:wrap type="topAndBottom" anchorx="page"/>
              </v:group>
            </w:pict>
          </mc:Fallback>
        </mc:AlternateContent>
      </w:r>
    </w:p>
    <w:p w14:paraId="31E8627E" w14:textId="77777777" w:rsidR="00AC6F3C" w:rsidRDefault="00570E88">
      <w:pPr>
        <w:pStyle w:val="BodyText"/>
        <w:tabs>
          <w:tab w:val="left" w:pos="3772"/>
        </w:tabs>
        <w:spacing w:before="69"/>
        <w:ind w:left="928"/>
      </w:pPr>
      <w:r>
        <w:rPr>
          <w:b/>
          <w:spacing w:val="-4"/>
        </w:rPr>
        <w:t>ALRC</w:t>
      </w:r>
      <w:r>
        <w:rPr>
          <w:b/>
        </w:rPr>
        <w:tab/>
      </w:r>
      <w:r>
        <w:t>Australian</w:t>
      </w:r>
      <w:r>
        <w:rPr>
          <w:spacing w:val="-4"/>
        </w:rPr>
        <w:t xml:space="preserve"> </w:t>
      </w:r>
      <w:r>
        <w:t>Law</w:t>
      </w:r>
      <w:r>
        <w:rPr>
          <w:spacing w:val="-4"/>
        </w:rPr>
        <w:t xml:space="preserve"> </w:t>
      </w:r>
      <w:r>
        <w:t>Reform</w:t>
      </w:r>
      <w:r>
        <w:rPr>
          <w:spacing w:val="-3"/>
        </w:rPr>
        <w:t xml:space="preserve"> </w:t>
      </w:r>
      <w:r>
        <w:rPr>
          <w:spacing w:val="-2"/>
        </w:rPr>
        <w:t>Commission</w:t>
      </w:r>
    </w:p>
    <w:p w14:paraId="3B175922" w14:textId="77777777" w:rsidR="00AC6F3C" w:rsidRDefault="00570E88">
      <w:pPr>
        <w:pStyle w:val="BodyText"/>
        <w:spacing w:before="9"/>
        <w:rPr>
          <w:sz w:val="3"/>
        </w:rPr>
      </w:pPr>
      <w:r>
        <w:rPr>
          <w:noProof/>
        </w:rPr>
        <mc:AlternateContent>
          <mc:Choice Requires="wpg">
            <w:drawing>
              <wp:anchor distT="0" distB="0" distL="0" distR="0" simplePos="0" relativeHeight="487729152" behindDoc="1" locked="0" layoutInCell="1" allowOverlap="1" wp14:anchorId="162B8C62" wp14:editId="1FB53676">
                <wp:simplePos x="0" y="0"/>
                <wp:positionH relativeFrom="page">
                  <wp:posOffset>809999</wp:posOffset>
                </wp:positionH>
                <wp:positionV relativeFrom="paragraph">
                  <wp:posOffset>43431</wp:posOffset>
                </wp:positionV>
                <wp:extent cx="5940425" cy="3175"/>
                <wp:effectExtent l="0" t="0" r="0" b="0"/>
                <wp:wrapTopAndBottom/>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59" name="Graphic 959"/>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60" name="Graphic 960"/>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5C98FD" id="Group 958" o:spid="_x0000_s1026" style="position:absolute;margin-left:63.8pt;margin-top:3.4pt;width:467.75pt;height:.25pt;z-index:-1558732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">
                <v:shape id="Graphic 959"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" path="m,l1806003,e" filled="f" strokeweight=".25pt">
                  <v:path arrowok="t"/>
                </v:shape>
                <v:shape id="Graphic 960"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" path="m,l4134002,e" filled="f" strokeweight=".25pt">
                  <v:path arrowok="t"/>
                </v:shape>
                <w10:wrap type="topAndBottom" anchorx="page"/>
              </v:group>
            </w:pict>
          </mc:Fallback>
        </mc:AlternateContent>
      </w:r>
    </w:p>
    <w:p w14:paraId="09C353A2" w14:textId="77777777" w:rsidR="00AC6F3C" w:rsidRDefault="00570E88">
      <w:pPr>
        <w:pStyle w:val="BodyText"/>
        <w:tabs>
          <w:tab w:val="left" w:pos="3772"/>
        </w:tabs>
        <w:spacing w:before="69"/>
        <w:ind w:left="928"/>
      </w:pPr>
      <w:r>
        <w:rPr>
          <w:b/>
          <w:spacing w:val="-4"/>
        </w:rPr>
        <w:t>ARRs</w:t>
      </w:r>
      <w:r>
        <w:rPr>
          <w:b/>
        </w:rPr>
        <w:tab/>
      </w:r>
      <w:r>
        <w:t>Annual</w:t>
      </w:r>
      <w:r>
        <w:rPr>
          <w:spacing w:val="-3"/>
        </w:rPr>
        <w:t xml:space="preserve"> </w:t>
      </w:r>
      <w:r>
        <w:t>report</w:t>
      </w:r>
      <w:r>
        <w:rPr>
          <w:spacing w:val="-2"/>
        </w:rPr>
        <w:t xml:space="preserve"> </w:t>
      </w:r>
      <w:r>
        <w:t>requirements</w:t>
      </w:r>
      <w:r>
        <w:rPr>
          <w:spacing w:val="-2"/>
        </w:rPr>
        <w:t xml:space="preserve"> </w:t>
      </w:r>
      <w:r>
        <w:t>for</w:t>
      </w:r>
      <w:r>
        <w:rPr>
          <w:spacing w:val="-3"/>
        </w:rPr>
        <w:t xml:space="preserve"> </w:t>
      </w:r>
      <w:r>
        <w:t>Queensland</w:t>
      </w:r>
      <w:r>
        <w:rPr>
          <w:spacing w:val="-2"/>
        </w:rPr>
        <w:t xml:space="preserve"> </w:t>
      </w:r>
      <w:r>
        <w:t>Government</w:t>
      </w:r>
      <w:r>
        <w:rPr>
          <w:spacing w:val="-2"/>
        </w:rPr>
        <w:t xml:space="preserve"> agencies</w:t>
      </w:r>
    </w:p>
    <w:p w14:paraId="256C1F02" w14:textId="77777777" w:rsidR="00AC6F3C" w:rsidRDefault="00570E88">
      <w:pPr>
        <w:pStyle w:val="BodyText"/>
        <w:spacing w:before="9"/>
        <w:rPr>
          <w:sz w:val="3"/>
        </w:rPr>
      </w:pPr>
      <w:r>
        <w:rPr>
          <w:noProof/>
        </w:rPr>
        <mc:AlternateContent>
          <mc:Choice Requires="wpg">
            <w:drawing>
              <wp:anchor distT="0" distB="0" distL="0" distR="0" simplePos="0" relativeHeight="487729664" behindDoc="1" locked="0" layoutInCell="1" allowOverlap="1" wp14:anchorId="05F722D0" wp14:editId="74FF4626">
                <wp:simplePos x="0" y="0"/>
                <wp:positionH relativeFrom="page">
                  <wp:posOffset>809999</wp:posOffset>
                </wp:positionH>
                <wp:positionV relativeFrom="paragraph">
                  <wp:posOffset>43432</wp:posOffset>
                </wp:positionV>
                <wp:extent cx="5940425" cy="3175"/>
                <wp:effectExtent l="0" t="0" r="0" b="0"/>
                <wp:wrapTopAndBottom/>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62" name="Graphic 962"/>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63" name="Graphic 963"/>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FE94EF" id="Group 961" o:spid="_x0000_s1026" style="position:absolute;margin-left:63.8pt;margin-top:3.4pt;width:467.75pt;height:.25pt;z-index:-1558681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">
                <v:shape id="Graphic 962"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" path="m,l1806003,e" filled="f" strokeweight=".25pt">
                  <v:path arrowok="t"/>
                </v:shape>
                <v:shape id="Graphic 963"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" path="m,l4134002,e" filled="f" strokeweight=".25pt">
                  <v:path arrowok="t"/>
                </v:shape>
                <w10:wrap type="topAndBottom" anchorx="page"/>
              </v:group>
            </w:pict>
          </mc:Fallback>
        </mc:AlternateContent>
      </w:r>
    </w:p>
    <w:p w14:paraId="3FEE4932" w14:textId="77777777" w:rsidR="00AC6F3C" w:rsidRDefault="00570E88">
      <w:pPr>
        <w:pStyle w:val="BodyText"/>
        <w:tabs>
          <w:tab w:val="left" w:pos="3772"/>
        </w:tabs>
        <w:spacing w:before="69"/>
        <w:ind w:left="928"/>
      </w:pPr>
      <w:r>
        <w:rPr>
          <w:b/>
          <w:spacing w:val="-5"/>
        </w:rPr>
        <w:t>ASX</w:t>
      </w:r>
      <w:r>
        <w:rPr>
          <w:b/>
        </w:rPr>
        <w:tab/>
      </w:r>
      <w:r>
        <w:t>Australian</w:t>
      </w:r>
      <w:r>
        <w:rPr>
          <w:spacing w:val="-5"/>
        </w:rPr>
        <w:t xml:space="preserve"> </w:t>
      </w:r>
      <w:r>
        <w:t>Stock</w:t>
      </w:r>
      <w:r>
        <w:rPr>
          <w:spacing w:val="-4"/>
        </w:rPr>
        <w:t xml:space="preserve"> </w:t>
      </w:r>
      <w:r>
        <w:rPr>
          <w:spacing w:val="-2"/>
        </w:rPr>
        <w:t>Exchange</w:t>
      </w:r>
    </w:p>
    <w:p w14:paraId="337AE938" w14:textId="77777777" w:rsidR="00AC6F3C" w:rsidRDefault="00570E88">
      <w:pPr>
        <w:pStyle w:val="BodyText"/>
        <w:spacing w:before="9"/>
        <w:rPr>
          <w:sz w:val="3"/>
        </w:rPr>
      </w:pPr>
      <w:r>
        <w:rPr>
          <w:noProof/>
        </w:rPr>
        <mc:AlternateContent>
          <mc:Choice Requires="wpg">
            <w:drawing>
              <wp:anchor distT="0" distB="0" distL="0" distR="0" simplePos="0" relativeHeight="487730176" behindDoc="1" locked="0" layoutInCell="1" allowOverlap="1" wp14:anchorId="00330FAD" wp14:editId="41ED1AAB">
                <wp:simplePos x="0" y="0"/>
                <wp:positionH relativeFrom="page">
                  <wp:posOffset>809999</wp:posOffset>
                </wp:positionH>
                <wp:positionV relativeFrom="paragraph">
                  <wp:posOffset>43432</wp:posOffset>
                </wp:positionV>
                <wp:extent cx="5940425" cy="3175"/>
                <wp:effectExtent l="0" t="0" r="0" b="0"/>
                <wp:wrapTopAndBottom/>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65" name="Graphic 965"/>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66" name="Graphic 966"/>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350FBE" id="Group 964" o:spid="_x0000_s1026" style="position:absolute;margin-left:63.8pt;margin-top:3.4pt;width:467.75pt;height:.25pt;z-index:-1558630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H8rGh+3AgAA&#10;dwgAAA4AAAAAAAAAAAAAAAAALgIAAGRycy9lMm9Eb2MueG1sUEsBAi0AFAAGAAgAAAAhAPAF+nbe&#10;AAAACAEAAA8AAAAAAAAAAAAAAAAAEQUAAGRycy9kb3ducmV2LnhtbFBLBQYAAAAABAAEAPMAAAAc&#10;BgAAAAA=&#10;">
                <v:shape id="Graphic 965"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" path="m,l1806003,e" filled="f" strokeweight=".25pt">
                  <v:path arrowok="t"/>
                </v:shape>
                <v:shape id="Graphic 966"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" path="m,l4134002,e" filled="f" strokeweight=".25pt">
                  <v:path arrowok="t"/>
                </v:shape>
                <w10:wrap type="topAndBottom" anchorx="page"/>
              </v:group>
            </w:pict>
          </mc:Fallback>
        </mc:AlternateContent>
      </w:r>
    </w:p>
    <w:p w14:paraId="0D51CBF5" w14:textId="77777777" w:rsidR="00AC6F3C" w:rsidRDefault="00570E88">
      <w:pPr>
        <w:pStyle w:val="BodyText"/>
        <w:tabs>
          <w:tab w:val="left" w:pos="3772"/>
        </w:tabs>
        <w:spacing w:before="69"/>
        <w:ind w:left="928"/>
      </w:pPr>
      <w:r>
        <w:rPr>
          <w:b/>
          <w:spacing w:val="-5"/>
        </w:rPr>
        <w:t>CEO</w:t>
      </w:r>
      <w:r>
        <w:rPr>
          <w:b/>
        </w:rPr>
        <w:tab/>
      </w:r>
      <w:r>
        <w:t>Chief</w:t>
      </w:r>
      <w:r>
        <w:rPr>
          <w:spacing w:val="-4"/>
        </w:rPr>
        <w:t xml:space="preserve"> </w:t>
      </w:r>
      <w:r>
        <w:t>executive</w:t>
      </w:r>
      <w:r>
        <w:rPr>
          <w:spacing w:val="-4"/>
        </w:rPr>
        <w:t xml:space="preserve"> </w:t>
      </w:r>
      <w:r>
        <w:rPr>
          <w:spacing w:val="-2"/>
        </w:rPr>
        <w:t>officer</w:t>
      </w:r>
    </w:p>
    <w:p w14:paraId="160A3BD7" w14:textId="77777777" w:rsidR="00AC6F3C" w:rsidRDefault="00570E88">
      <w:pPr>
        <w:pStyle w:val="BodyText"/>
        <w:spacing w:before="9"/>
        <w:rPr>
          <w:sz w:val="3"/>
        </w:rPr>
      </w:pPr>
      <w:r>
        <w:rPr>
          <w:noProof/>
        </w:rPr>
        <mc:AlternateContent>
          <mc:Choice Requires="wpg">
            <w:drawing>
              <wp:anchor distT="0" distB="0" distL="0" distR="0" simplePos="0" relativeHeight="487730688" behindDoc="1" locked="0" layoutInCell="1" allowOverlap="1" wp14:anchorId="4024DC27" wp14:editId="611E97B6">
                <wp:simplePos x="0" y="0"/>
                <wp:positionH relativeFrom="page">
                  <wp:posOffset>809999</wp:posOffset>
                </wp:positionH>
                <wp:positionV relativeFrom="paragraph">
                  <wp:posOffset>43431</wp:posOffset>
                </wp:positionV>
                <wp:extent cx="5940425" cy="3175"/>
                <wp:effectExtent l="0" t="0" r="0" b="0"/>
                <wp:wrapTopAndBottom/>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68" name="Graphic 968"/>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69" name="Graphic 969"/>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C5FBB6" id="Group 967" o:spid="_x0000_s1026" style="position:absolute;margin-left:63.8pt;margin-top:3.4pt;width:467.75pt;height:.25pt;z-index:-1558579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BRD4q63AgAA&#10;dwgAAA4AAAAAAAAAAAAAAAAALgIAAGRycy9lMm9Eb2MueG1sUEsBAi0AFAAGAAgAAAAhAPAF+nbe&#10;AAAACAEAAA8AAAAAAAAAAAAAAAAAEQUAAGRycy9kb3ducmV2LnhtbFBLBQYAAAAABAAEAPMAAAAc&#10;BgAAAAA=&#10;">
                <v:shape id="Graphic 968"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" path="m,l1806003,e" filled="f" strokeweight=".25pt">
                  <v:path arrowok="t"/>
                </v:shape>
                <v:shape id="Graphic 969"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" path="m,l4134002,e" filled="f" strokeweight=".25pt">
                  <v:path arrowok="t"/>
                </v:shape>
                <w10:wrap type="topAndBottom" anchorx="page"/>
              </v:group>
            </w:pict>
          </mc:Fallback>
        </mc:AlternateContent>
      </w:r>
    </w:p>
    <w:p w14:paraId="21A665AC" w14:textId="77777777" w:rsidR="00AC6F3C" w:rsidRDefault="00570E88">
      <w:pPr>
        <w:pStyle w:val="BodyText"/>
        <w:tabs>
          <w:tab w:val="left" w:pos="3772"/>
        </w:tabs>
        <w:spacing w:before="69" w:after="60" w:line="249" w:lineRule="auto"/>
        <w:ind w:left="3772" w:right="2030" w:hanging="2844"/>
      </w:pPr>
      <w:r>
        <w:rPr>
          <w:b/>
        </w:rPr>
        <w:t>Click rate</w:t>
      </w:r>
      <w:r>
        <w:rPr>
          <w:b/>
        </w:rPr>
        <w:tab/>
      </w:r>
      <w:r>
        <w:t>The</w:t>
      </w:r>
      <w:r>
        <w:rPr>
          <w:spacing w:val="-5"/>
        </w:rPr>
        <w:t xml:space="preserve"> </w:t>
      </w:r>
      <w:r>
        <w:t>percentage</w:t>
      </w:r>
      <w:r>
        <w:rPr>
          <w:spacing w:val="-5"/>
        </w:rPr>
        <w:t xml:space="preserve"> </w:t>
      </w:r>
      <w:r>
        <w:t>of</w:t>
      </w:r>
      <w:r>
        <w:rPr>
          <w:spacing w:val="-5"/>
        </w:rPr>
        <w:t xml:space="preserve"> </w:t>
      </w:r>
      <w:r>
        <w:t>people</w:t>
      </w:r>
      <w:r>
        <w:rPr>
          <w:spacing w:val="-5"/>
        </w:rPr>
        <w:t xml:space="preserve"> </w:t>
      </w:r>
      <w:r>
        <w:t>who</w:t>
      </w:r>
      <w:r>
        <w:rPr>
          <w:spacing w:val="-5"/>
        </w:rPr>
        <w:t xml:space="preserve"> </w:t>
      </w:r>
      <w:r>
        <w:t>opened</w:t>
      </w:r>
      <w:r>
        <w:rPr>
          <w:spacing w:val="-5"/>
        </w:rPr>
        <w:t xml:space="preserve"> </w:t>
      </w:r>
      <w:r>
        <w:t>and</w:t>
      </w:r>
      <w:r>
        <w:rPr>
          <w:spacing w:val="-5"/>
        </w:rPr>
        <w:t xml:space="preserve"> </w:t>
      </w:r>
      <w:r>
        <w:t>clicked on a link or ad in an email</w:t>
      </w:r>
    </w:p>
    <w:p w14:paraId="079744AA"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6DAF0F42" wp14:editId="6FE957A0">
                <wp:extent cx="5940425" cy="3175"/>
                <wp:effectExtent l="9525" t="0" r="0" b="6350"/>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71" name="Graphic 971"/>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72" name="Graphic 972"/>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CC1E9D" id="Group 970"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">
                <v:shape id="Graphic 971"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" path="m,l1806003,e" filled="f" strokeweight=".25pt">
                  <v:path arrowok="t"/>
                </v:shape>
                <v:shape id="Graphic 972"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" path="m,l4134002,e" filled="f" strokeweight=".25pt">
                  <v:path arrowok="t"/>
                </v:shape>
                <w10:anchorlock/>
              </v:group>
            </w:pict>
          </mc:Fallback>
        </mc:AlternateContent>
      </w:r>
    </w:p>
    <w:p w14:paraId="5131E4AE" w14:textId="77777777" w:rsidR="00AC6F3C" w:rsidRDefault="00570E88">
      <w:pPr>
        <w:tabs>
          <w:tab w:val="left" w:pos="3772"/>
        </w:tabs>
        <w:spacing w:before="54"/>
        <w:ind w:left="928"/>
        <w:rPr>
          <w:sz w:val="20"/>
        </w:rPr>
      </w:pPr>
      <w:r>
        <w:rPr>
          <w:b/>
          <w:spacing w:val="-2"/>
          <w:sz w:val="20"/>
        </w:rPr>
        <w:t>COVID-</w:t>
      </w:r>
      <w:r>
        <w:rPr>
          <w:b/>
          <w:spacing w:val="-5"/>
          <w:sz w:val="20"/>
        </w:rPr>
        <w:t>19</w:t>
      </w:r>
      <w:r>
        <w:rPr>
          <w:b/>
          <w:sz w:val="20"/>
        </w:rPr>
        <w:tab/>
      </w:r>
      <w:r>
        <w:rPr>
          <w:spacing w:val="-2"/>
          <w:sz w:val="20"/>
        </w:rPr>
        <w:t>Coronavirus</w:t>
      </w:r>
    </w:p>
    <w:p w14:paraId="021EC686" w14:textId="77777777" w:rsidR="00AC6F3C" w:rsidRDefault="00570E88">
      <w:pPr>
        <w:pStyle w:val="BodyText"/>
        <w:spacing w:before="9"/>
        <w:rPr>
          <w:sz w:val="3"/>
        </w:rPr>
      </w:pPr>
      <w:r>
        <w:rPr>
          <w:noProof/>
        </w:rPr>
        <mc:AlternateContent>
          <mc:Choice Requires="wpg">
            <w:drawing>
              <wp:anchor distT="0" distB="0" distL="0" distR="0" simplePos="0" relativeHeight="487731712" behindDoc="1" locked="0" layoutInCell="1" allowOverlap="1" wp14:anchorId="65D390AE" wp14:editId="00625149">
                <wp:simplePos x="0" y="0"/>
                <wp:positionH relativeFrom="page">
                  <wp:posOffset>809999</wp:posOffset>
                </wp:positionH>
                <wp:positionV relativeFrom="paragraph">
                  <wp:posOffset>43748</wp:posOffset>
                </wp:positionV>
                <wp:extent cx="5940425" cy="3175"/>
                <wp:effectExtent l="0" t="0" r="0" b="0"/>
                <wp:wrapTopAndBottom/>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74" name="Graphic 974"/>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75" name="Graphic 975"/>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40DF17" id="Group 973" o:spid="_x0000_s1026" style="position:absolute;margin-left:63.8pt;margin-top:3.45pt;width:467.75pt;height:.25pt;z-index:-155847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">
                <v:shape id="Graphic 974"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" path="m,l1806003,e" filled="f" strokeweight=".25pt">
                  <v:path arrowok="t"/>
                </v:shape>
                <v:shape id="Graphic 975"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" path="m,l4134002,e" filled="f" strokeweight=".25pt">
                  <v:path arrowok="t"/>
                </v:shape>
                <w10:wrap type="topAndBottom" anchorx="page"/>
              </v:group>
            </w:pict>
          </mc:Fallback>
        </mc:AlternateContent>
      </w:r>
    </w:p>
    <w:p w14:paraId="71B2B7F3" w14:textId="77777777" w:rsidR="00AC6F3C" w:rsidRDefault="00570E88">
      <w:pPr>
        <w:pStyle w:val="BodyText"/>
        <w:tabs>
          <w:tab w:val="left" w:pos="3772"/>
        </w:tabs>
        <w:spacing w:before="69"/>
        <w:ind w:left="928"/>
      </w:pPr>
      <w:r>
        <w:rPr>
          <w:b/>
          <w:spacing w:val="-5"/>
        </w:rPr>
        <w:t>CPD</w:t>
      </w:r>
      <w:r>
        <w:rPr>
          <w:b/>
        </w:rPr>
        <w:tab/>
      </w:r>
      <w:r>
        <w:t>Continuing</w:t>
      </w:r>
      <w:r>
        <w:rPr>
          <w:spacing w:val="-10"/>
        </w:rPr>
        <w:t xml:space="preserve"> </w:t>
      </w:r>
      <w:r>
        <w:t>professional</w:t>
      </w:r>
      <w:r>
        <w:rPr>
          <w:spacing w:val="-10"/>
        </w:rPr>
        <w:t xml:space="preserve"> </w:t>
      </w:r>
      <w:r>
        <w:rPr>
          <w:spacing w:val="-2"/>
        </w:rPr>
        <w:t>development</w:t>
      </w:r>
    </w:p>
    <w:p w14:paraId="7047EB19" w14:textId="77777777" w:rsidR="00AC6F3C" w:rsidRDefault="00570E88">
      <w:pPr>
        <w:pStyle w:val="BodyText"/>
        <w:spacing w:before="9"/>
        <w:rPr>
          <w:sz w:val="3"/>
        </w:rPr>
      </w:pPr>
      <w:r>
        <w:rPr>
          <w:noProof/>
        </w:rPr>
        <mc:AlternateContent>
          <mc:Choice Requires="wpg">
            <w:drawing>
              <wp:anchor distT="0" distB="0" distL="0" distR="0" simplePos="0" relativeHeight="487732224" behindDoc="1" locked="0" layoutInCell="1" allowOverlap="1" wp14:anchorId="56D50A7A" wp14:editId="45FFC390">
                <wp:simplePos x="0" y="0"/>
                <wp:positionH relativeFrom="page">
                  <wp:posOffset>809999</wp:posOffset>
                </wp:positionH>
                <wp:positionV relativeFrom="paragraph">
                  <wp:posOffset>43432</wp:posOffset>
                </wp:positionV>
                <wp:extent cx="5940425" cy="3175"/>
                <wp:effectExtent l="0" t="0" r="0" b="0"/>
                <wp:wrapTopAndBottom/>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77" name="Graphic 977"/>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78" name="Graphic 978"/>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8DB8E2" id="Group 976" o:spid="_x0000_s1026" style="position:absolute;margin-left:63.8pt;margin-top:3.4pt;width:467.75pt;height:.25pt;z-index:-1558425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zCX6trYCAAB3&#10;CAAADgAAAAAAAAAAAAAAAAAuAgAAZHJzL2Uyb0RvYy54bWxQSwECLQAUAAYACAAAACEA8AX6dt4A&#10;AAAIAQAADwAAAAAAAAAAAAAAAAAQBQAAZHJzL2Rvd25yZXYueG1sUEsFBgAAAAAEAAQA8wAAABsG&#10;AAAAAA==&#10;">
                <v:shape id="Graphic 977"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" path="m,l1806003,e" filled="f" strokeweight=".25pt">
                  <v:path arrowok="t"/>
                </v:shape>
                <v:shape id="Graphic 978"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" path="m,l4134002,e" filled="f" strokeweight=".25pt">
                  <v:path arrowok="t"/>
                </v:shape>
                <w10:wrap type="topAndBottom" anchorx="page"/>
              </v:group>
            </w:pict>
          </mc:Fallback>
        </mc:AlternateContent>
      </w:r>
    </w:p>
    <w:p w14:paraId="12131EBD" w14:textId="77777777" w:rsidR="00AC6F3C" w:rsidRDefault="00570E88">
      <w:pPr>
        <w:tabs>
          <w:tab w:val="left" w:pos="3772"/>
        </w:tabs>
        <w:spacing w:before="69"/>
        <w:ind w:left="928"/>
        <w:rPr>
          <w:sz w:val="20"/>
        </w:rPr>
      </w:pPr>
      <w:proofErr w:type="spellStart"/>
      <w:r>
        <w:rPr>
          <w:b/>
          <w:spacing w:val="-5"/>
          <w:sz w:val="20"/>
        </w:rPr>
        <w:t>Cth</w:t>
      </w:r>
      <w:proofErr w:type="spellEnd"/>
      <w:r>
        <w:rPr>
          <w:b/>
          <w:sz w:val="20"/>
        </w:rPr>
        <w:tab/>
      </w:r>
      <w:r>
        <w:rPr>
          <w:spacing w:val="-2"/>
          <w:sz w:val="20"/>
        </w:rPr>
        <w:t>Commonwealth</w:t>
      </w:r>
    </w:p>
    <w:p w14:paraId="028EE77F" w14:textId="77777777" w:rsidR="00AC6F3C" w:rsidRDefault="00570E88">
      <w:pPr>
        <w:pStyle w:val="BodyText"/>
        <w:spacing w:before="9"/>
        <w:rPr>
          <w:sz w:val="3"/>
        </w:rPr>
      </w:pPr>
      <w:r>
        <w:rPr>
          <w:noProof/>
        </w:rPr>
        <mc:AlternateContent>
          <mc:Choice Requires="wpg">
            <w:drawing>
              <wp:anchor distT="0" distB="0" distL="0" distR="0" simplePos="0" relativeHeight="487732736" behindDoc="1" locked="0" layoutInCell="1" allowOverlap="1" wp14:anchorId="7FFE39FC" wp14:editId="57036E1C">
                <wp:simplePos x="0" y="0"/>
                <wp:positionH relativeFrom="page">
                  <wp:posOffset>809999</wp:posOffset>
                </wp:positionH>
                <wp:positionV relativeFrom="paragraph">
                  <wp:posOffset>43432</wp:posOffset>
                </wp:positionV>
                <wp:extent cx="5940425" cy="3175"/>
                <wp:effectExtent l="0" t="0" r="0" b="0"/>
                <wp:wrapTopAndBottom/>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80" name="Graphic 980"/>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81" name="Graphic 981"/>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9ED0E7" id="Group 979" o:spid="_x0000_s1026" style="position:absolute;margin-left:63.8pt;margin-top:3.4pt;width:467.75pt;height:.25pt;z-index:-1558374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RjAhwLYCAAB3&#10;CAAADgAAAAAAAAAAAAAAAAAuAgAAZHJzL2Uyb0RvYy54bWxQSwECLQAUAAYACAAAACEA8AX6dt4A&#10;AAAIAQAADwAAAAAAAAAAAAAAAAAQBQAAZHJzL2Rvd25yZXYueG1sUEsFBgAAAAAEAAQA8wAAABsG&#10;AAAAAA==&#10;">
                <v:shape id="Graphic 980"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" path="m,l1806003,e" filled="f" strokeweight=".25pt">
                  <v:path arrowok="t"/>
                </v:shape>
                <v:shape id="Graphic 981"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" path="m,l4134002,e" filled="f" strokeweight=".25pt">
                  <v:path arrowok="t"/>
                </v:shape>
                <w10:wrap type="topAndBottom" anchorx="page"/>
              </v:group>
            </w:pict>
          </mc:Fallback>
        </mc:AlternateContent>
      </w:r>
    </w:p>
    <w:p w14:paraId="3F539468" w14:textId="77777777" w:rsidR="00AC6F3C" w:rsidRDefault="00570E88">
      <w:pPr>
        <w:pStyle w:val="BodyText"/>
        <w:tabs>
          <w:tab w:val="left" w:pos="3772"/>
        </w:tabs>
        <w:spacing w:before="69"/>
        <w:ind w:left="928"/>
      </w:pPr>
      <w:r>
        <w:rPr>
          <w:b/>
          <w:spacing w:val="-5"/>
        </w:rPr>
        <w:t>DLA</w:t>
      </w:r>
      <w:r>
        <w:rPr>
          <w:b/>
        </w:rPr>
        <w:tab/>
      </w:r>
      <w:r>
        <w:t>District</w:t>
      </w:r>
      <w:r>
        <w:rPr>
          <w:spacing w:val="-4"/>
        </w:rPr>
        <w:t xml:space="preserve"> </w:t>
      </w:r>
      <w:r>
        <w:t>Law</w:t>
      </w:r>
      <w:r>
        <w:rPr>
          <w:spacing w:val="-11"/>
        </w:rPr>
        <w:t xml:space="preserve"> </w:t>
      </w:r>
      <w:r>
        <w:rPr>
          <w:spacing w:val="-2"/>
        </w:rPr>
        <w:t>Association</w:t>
      </w:r>
    </w:p>
    <w:p w14:paraId="04712624" w14:textId="77777777" w:rsidR="00AC6F3C" w:rsidRDefault="00570E88">
      <w:pPr>
        <w:pStyle w:val="BodyText"/>
        <w:spacing w:before="9"/>
        <w:rPr>
          <w:sz w:val="3"/>
        </w:rPr>
      </w:pPr>
      <w:r>
        <w:rPr>
          <w:noProof/>
        </w:rPr>
        <mc:AlternateContent>
          <mc:Choice Requires="wpg">
            <w:drawing>
              <wp:anchor distT="0" distB="0" distL="0" distR="0" simplePos="0" relativeHeight="487733248" behindDoc="1" locked="0" layoutInCell="1" allowOverlap="1" wp14:anchorId="39A401DD" wp14:editId="63E83F05">
                <wp:simplePos x="0" y="0"/>
                <wp:positionH relativeFrom="page">
                  <wp:posOffset>809999</wp:posOffset>
                </wp:positionH>
                <wp:positionV relativeFrom="paragraph">
                  <wp:posOffset>43431</wp:posOffset>
                </wp:positionV>
                <wp:extent cx="5940425" cy="3175"/>
                <wp:effectExtent l="0" t="0" r="0" b="0"/>
                <wp:wrapTopAndBottom/>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83" name="Graphic 983"/>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84" name="Graphic 984"/>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F5CE90" id="Group 982" o:spid="_x0000_s1026" style="position:absolute;margin-left:63.8pt;margin-top:3.4pt;width:467.75pt;height:.25pt;z-index:-1558323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pK9Cd7YCAAB3&#10;CAAADgAAAAAAAAAAAAAAAAAuAgAAZHJzL2Uyb0RvYy54bWxQSwECLQAUAAYACAAAACEA8AX6dt4A&#10;AAAIAQAADwAAAAAAAAAAAAAAAAAQBQAAZHJzL2Rvd25yZXYueG1sUEsFBgAAAAAEAAQA8wAAABsG&#10;AAAAAA==&#10;">
                <v:shape id="Graphic 983"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" path="m,l1806003,e" filled="f" strokeweight=".25pt">
                  <v:path arrowok="t"/>
                </v:shape>
                <v:shape id="Graphic 984"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" path="m,l4134002,e" filled="f" strokeweight=".25pt">
                  <v:path arrowok="t"/>
                </v:shape>
                <w10:wrap type="topAndBottom" anchorx="page"/>
              </v:group>
            </w:pict>
          </mc:Fallback>
        </mc:AlternateContent>
      </w:r>
    </w:p>
    <w:p w14:paraId="03D0DAB8" w14:textId="77777777" w:rsidR="00AC6F3C" w:rsidRDefault="00570E88">
      <w:pPr>
        <w:pStyle w:val="BodyText"/>
        <w:tabs>
          <w:tab w:val="left" w:pos="3772"/>
        </w:tabs>
        <w:spacing w:before="69"/>
        <w:ind w:left="928"/>
      </w:pPr>
      <w:r>
        <w:rPr>
          <w:b/>
          <w:spacing w:val="-5"/>
        </w:rPr>
        <w:t>DPP</w:t>
      </w:r>
      <w:r>
        <w:rPr>
          <w:b/>
        </w:rPr>
        <w:tab/>
      </w:r>
      <w:r>
        <w:t xml:space="preserve">Director of Public </w:t>
      </w:r>
      <w:r>
        <w:rPr>
          <w:spacing w:val="-2"/>
        </w:rPr>
        <w:t>Prosecutions</w:t>
      </w:r>
    </w:p>
    <w:p w14:paraId="7E637BB0" w14:textId="77777777" w:rsidR="00AC6F3C" w:rsidRDefault="00570E88">
      <w:pPr>
        <w:pStyle w:val="BodyText"/>
        <w:spacing w:before="9"/>
        <w:rPr>
          <w:sz w:val="3"/>
        </w:rPr>
      </w:pPr>
      <w:r>
        <w:rPr>
          <w:noProof/>
        </w:rPr>
        <mc:AlternateContent>
          <mc:Choice Requires="wpg">
            <w:drawing>
              <wp:anchor distT="0" distB="0" distL="0" distR="0" simplePos="0" relativeHeight="487733760" behindDoc="1" locked="0" layoutInCell="1" allowOverlap="1" wp14:anchorId="5FC68472" wp14:editId="5DD3FD40">
                <wp:simplePos x="0" y="0"/>
                <wp:positionH relativeFrom="page">
                  <wp:posOffset>809999</wp:posOffset>
                </wp:positionH>
                <wp:positionV relativeFrom="paragraph">
                  <wp:posOffset>43432</wp:posOffset>
                </wp:positionV>
                <wp:extent cx="5940425" cy="3175"/>
                <wp:effectExtent l="0" t="0" r="0" b="0"/>
                <wp:wrapTopAndBottom/>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86" name="Graphic 986"/>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87" name="Graphic 987"/>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6690DA" id="Group 985" o:spid="_x0000_s1026" style="position:absolute;margin-left:63.8pt;margin-top:3.4pt;width:467.75pt;height:.25pt;z-index:-1558272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D31Q7YCAAB3&#10;CAAADgAAAAAAAAAAAAAAAAAuAgAAZHJzL2Uyb0RvYy54bWxQSwECLQAUAAYACAAAACEA8AX6dt4A&#10;AAAIAQAADwAAAAAAAAAAAAAAAAAQBQAAZHJzL2Rvd25yZXYueG1sUEsFBgAAAAAEAAQA8wAAABsG&#10;AAAAAA==&#10;">
                <v:shape id="Graphic 986"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" path="m,l1806003,e" filled="f" strokeweight=".25pt">
                  <v:path arrowok="t"/>
                </v:shape>
                <v:shape id="Graphic 987"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" path="m,l4134002,e" filled="f" strokeweight=".25pt">
                  <v:path arrowok="t"/>
                </v:shape>
                <w10:wrap type="topAndBottom" anchorx="page"/>
              </v:group>
            </w:pict>
          </mc:Fallback>
        </mc:AlternateContent>
      </w:r>
    </w:p>
    <w:p w14:paraId="498D0DA4" w14:textId="77777777" w:rsidR="00AC6F3C" w:rsidRDefault="00570E88">
      <w:pPr>
        <w:pStyle w:val="BodyText"/>
        <w:tabs>
          <w:tab w:val="left" w:pos="3772"/>
        </w:tabs>
        <w:spacing w:before="69"/>
        <w:ind w:left="928"/>
      </w:pPr>
      <w:r>
        <w:rPr>
          <w:b/>
          <w:spacing w:val="-5"/>
        </w:rPr>
        <w:t>EAP</w:t>
      </w:r>
      <w:r>
        <w:rPr>
          <w:b/>
        </w:rPr>
        <w:tab/>
      </w:r>
      <w:r>
        <w:t>Employee</w:t>
      </w:r>
      <w:r>
        <w:rPr>
          <w:spacing w:val="-14"/>
        </w:rPr>
        <w:t xml:space="preserve"> </w:t>
      </w:r>
      <w:r>
        <w:t>Assistance</w:t>
      </w:r>
      <w:r>
        <w:rPr>
          <w:spacing w:val="-13"/>
        </w:rPr>
        <w:t xml:space="preserve"> </w:t>
      </w:r>
      <w:r>
        <w:rPr>
          <w:spacing w:val="-2"/>
        </w:rPr>
        <w:t>Program</w:t>
      </w:r>
    </w:p>
    <w:p w14:paraId="43512C69" w14:textId="77777777" w:rsidR="00AC6F3C" w:rsidRDefault="00570E88">
      <w:pPr>
        <w:pStyle w:val="BodyText"/>
        <w:spacing w:before="9"/>
        <w:rPr>
          <w:sz w:val="3"/>
        </w:rPr>
      </w:pPr>
      <w:r>
        <w:rPr>
          <w:noProof/>
        </w:rPr>
        <mc:AlternateContent>
          <mc:Choice Requires="wpg">
            <w:drawing>
              <wp:anchor distT="0" distB="0" distL="0" distR="0" simplePos="0" relativeHeight="487734272" behindDoc="1" locked="0" layoutInCell="1" allowOverlap="1" wp14:anchorId="28A77969" wp14:editId="3BE97FF8">
                <wp:simplePos x="0" y="0"/>
                <wp:positionH relativeFrom="page">
                  <wp:posOffset>809999</wp:posOffset>
                </wp:positionH>
                <wp:positionV relativeFrom="paragraph">
                  <wp:posOffset>43431</wp:posOffset>
                </wp:positionV>
                <wp:extent cx="5940425" cy="3175"/>
                <wp:effectExtent l="0" t="0" r="0" b="0"/>
                <wp:wrapTopAndBottom/>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89" name="Graphic 989"/>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90" name="Graphic 990"/>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3DDB88" id="Group 988" o:spid="_x0000_s1026" style="position:absolute;margin-left:63.8pt;margin-top:3.4pt;width:467.75pt;height:.25pt;z-index:-1558220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">
                <v:shape id="Graphic 989"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" path="m,l1806003,e" filled="f" strokeweight=".25pt">
                  <v:path arrowok="t"/>
                </v:shape>
                <v:shape id="Graphic 990"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" path="m,l4134002,e" filled="f" strokeweight=".25pt">
                  <v:path arrowok="t"/>
                </v:shape>
                <w10:wrap type="topAndBottom" anchorx="page"/>
              </v:group>
            </w:pict>
          </mc:Fallback>
        </mc:AlternateContent>
      </w:r>
    </w:p>
    <w:p w14:paraId="1C219E33" w14:textId="77777777" w:rsidR="00AC6F3C" w:rsidRDefault="00570E88">
      <w:pPr>
        <w:pStyle w:val="BodyText"/>
        <w:tabs>
          <w:tab w:val="left" w:pos="3772"/>
        </w:tabs>
        <w:spacing w:before="69"/>
        <w:ind w:left="928"/>
      </w:pPr>
      <w:r>
        <w:rPr>
          <w:b/>
          <w:spacing w:val="-5"/>
        </w:rPr>
        <w:t>ECL</w:t>
      </w:r>
      <w:r>
        <w:rPr>
          <w:b/>
        </w:rPr>
        <w:tab/>
      </w:r>
      <w:r>
        <w:t xml:space="preserve">Early career </w:t>
      </w:r>
      <w:r>
        <w:rPr>
          <w:spacing w:val="-2"/>
        </w:rPr>
        <w:t>lawyer</w:t>
      </w:r>
    </w:p>
    <w:p w14:paraId="50BECD23" w14:textId="77777777" w:rsidR="00AC6F3C" w:rsidRDefault="00570E88">
      <w:pPr>
        <w:pStyle w:val="BodyText"/>
        <w:spacing w:before="9"/>
        <w:rPr>
          <w:sz w:val="3"/>
        </w:rPr>
      </w:pPr>
      <w:r>
        <w:rPr>
          <w:noProof/>
        </w:rPr>
        <mc:AlternateContent>
          <mc:Choice Requires="wpg">
            <w:drawing>
              <wp:anchor distT="0" distB="0" distL="0" distR="0" simplePos="0" relativeHeight="487734784" behindDoc="1" locked="0" layoutInCell="1" allowOverlap="1" wp14:anchorId="07DF2A3C" wp14:editId="1763EACF">
                <wp:simplePos x="0" y="0"/>
                <wp:positionH relativeFrom="page">
                  <wp:posOffset>809999</wp:posOffset>
                </wp:positionH>
                <wp:positionV relativeFrom="paragraph">
                  <wp:posOffset>43432</wp:posOffset>
                </wp:positionV>
                <wp:extent cx="5940425" cy="3175"/>
                <wp:effectExtent l="0" t="0" r="0" b="0"/>
                <wp:wrapTopAndBottom/>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92" name="Graphic 992"/>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93" name="Graphic 993"/>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3D0524" id="Group 991" o:spid="_x0000_s1026" style="position:absolute;margin-left:63.8pt;margin-top:3.4pt;width:467.75pt;height:.25pt;z-index:-1558169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DKCqNfuAIA&#10;AHcIAAAOAAAAAAAAAAAAAAAAAC4CAABkcnMvZTJvRG9jLnhtbFBLAQItABQABgAIAAAAIQDwBfp2&#10;3gAAAAgBAAAPAAAAAAAAAAAAAAAAABIFAABkcnMvZG93bnJldi54bWxQSwUGAAAAAAQABADzAAAA&#10;HQYAAAAA&#10;">
                <v:shape id="Graphic 992"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" path="m,l1806003,e" filled="f" strokeweight=".25pt">
                  <v:path arrowok="t"/>
                </v:shape>
                <v:shape id="Graphic 993"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" path="m,l4134002,e" filled="f" strokeweight=".25pt">
                  <v:path arrowok="t"/>
                </v:shape>
                <w10:wrap type="topAndBottom" anchorx="page"/>
              </v:group>
            </w:pict>
          </mc:Fallback>
        </mc:AlternateContent>
      </w:r>
    </w:p>
    <w:p w14:paraId="42D0A3E9" w14:textId="77777777" w:rsidR="00AC6F3C" w:rsidRDefault="00570E88">
      <w:pPr>
        <w:pStyle w:val="BodyText"/>
        <w:tabs>
          <w:tab w:val="left" w:pos="3772"/>
        </w:tabs>
        <w:spacing w:before="69"/>
        <w:ind w:left="928"/>
      </w:pPr>
      <w:r>
        <w:rPr>
          <w:b/>
          <w:spacing w:val="-5"/>
        </w:rPr>
        <w:t>EDM</w:t>
      </w:r>
      <w:r>
        <w:rPr>
          <w:b/>
        </w:rPr>
        <w:tab/>
      </w:r>
      <w:r>
        <w:t>Electronic</w:t>
      </w:r>
      <w:r>
        <w:rPr>
          <w:spacing w:val="-2"/>
        </w:rPr>
        <w:t xml:space="preserve"> </w:t>
      </w:r>
      <w:r>
        <w:t xml:space="preserve">Direct </w:t>
      </w:r>
      <w:r>
        <w:rPr>
          <w:spacing w:val="-4"/>
        </w:rPr>
        <w:t>Mail</w:t>
      </w:r>
    </w:p>
    <w:p w14:paraId="592D0692" w14:textId="77777777" w:rsidR="00AC6F3C" w:rsidRDefault="00570E88">
      <w:pPr>
        <w:pStyle w:val="BodyText"/>
        <w:spacing w:before="9"/>
        <w:rPr>
          <w:sz w:val="3"/>
        </w:rPr>
      </w:pPr>
      <w:r>
        <w:rPr>
          <w:noProof/>
        </w:rPr>
        <mc:AlternateContent>
          <mc:Choice Requires="wpg">
            <w:drawing>
              <wp:anchor distT="0" distB="0" distL="0" distR="0" simplePos="0" relativeHeight="487735296" behindDoc="1" locked="0" layoutInCell="1" allowOverlap="1" wp14:anchorId="6F33C4B6" wp14:editId="300E7F31">
                <wp:simplePos x="0" y="0"/>
                <wp:positionH relativeFrom="page">
                  <wp:posOffset>809999</wp:posOffset>
                </wp:positionH>
                <wp:positionV relativeFrom="paragraph">
                  <wp:posOffset>43431</wp:posOffset>
                </wp:positionV>
                <wp:extent cx="5940425" cy="3175"/>
                <wp:effectExtent l="0" t="0" r="0" b="0"/>
                <wp:wrapTopAndBottom/>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95" name="Graphic 995"/>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96" name="Graphic 996"/>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A25520" id="Group 994" o:spid="_x0000_s1026" style="position:absolute;margin-left:63.8pt;margin-top:3.4pt;width:467.75pt;height:.25pt;z-index:-1558118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C5yVrG3AgAA&#10;dwgAAA4AAAAAAAAAAAAAAAAALgIAAGRycy9lMm9Eb2MueG1sUEsBAi0AFAAGAAgAAAAhAPAF+nbe&#10;AAAACAEAAA8AAAAAAAAAAAAAAAAAEQUAAGRycy9kb3ducmV2LnhtbFBLBQYAAAAABAAEAPMAAAAc&#10;BgAAAAA=&#10;">
                <v:shape id="Graphic 995"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" path="m,l1806003,e" filled="f" strokeweight=".25pt">
                  <v:path arrowok="t"/>
                </v:shape>
                <v:shape id="Graphic 996"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" path="m,l4134002,e" filled="f" strokeweight=".25pt">
                  <v:path arrowok="t"/>
                </v:shape>
                <w10:wrap type="topAndBottom" anchorx="page"/>
              </v:group>
            </w:pict>
          </mc:Fallback>
        </mc:AlternateContent>
      </w:r>
    </w:p>
    <w:p w14:paraId="2F620294" w14:textId="77777777" w:rsidR="00AC6F3C" w:rsidRDefault="00570E88">
      <w:pPr>
        <w:tabs>
          <w:tab w:val="left" w:pos="3772"/>
        </w:tabs>
        <w:spacing w:before="69"/>
        <w:ind w:left="928"/>
        <w:rPr>
          <w:sz w:val="20"/>
        </w:rPr>
      </w:pPr>
      <w:r>
        <w:rPr>
          <w:b/>
          <w:sz w:val="20"/>
        </w:rPr>
        <w:t xml:space="preserve">Email </w:t>
      </w:r>
      <w:r>
        <w:rPr>
          <w:b/>
          <w:spacing w:val="-2"/>
          <w:sz w:val="20"/>
        </w:rPr>
        <w:t>newsletter</w:t>
      </w:r>
      <w:r>
        <w:rPr>
          <w:b/>
          <w:sz w:val="20"/>
        </w:rPr>
        <w:tab/>
      </w:r>
      <w:r>
        <w:rPr>
          <w:sz w:val="20"/>
        </w:rPr>
        <w:t xml:space="preserve">Electronic </w:t>
      </w:r>
      <w:r>
        <w:rPr>
          <w:spacing w:val="-2"/>
          <w:sz w:val="20"/>
        </w:rPr>
        <w:t>newsletter</w:t>
      </w:r>
    </w:p>
    <w:p w14:paraId="5E09C50D" w14:textId="77777777" w:rsidR="00AC6F3C" w:rsidRDefault="00570E88">
      <w:pPr>
        <w:pStyle w:val="BodyText"/>
        <w:spacing w:before="9"/>
        <w:rPr>
          <w:sz w:val="3"/>
        </w:rPr>
      </w:pPr>
      <w:r>
        <w:rPr>
          <w:noProof/>
        </w:rPr>
        <mc:AlternateContent>
          <mc:Choice Requires="wpg">
            <w:drawing>
              <wp:anchor distT="0" distB="0" distL="0" distR="0" simplePos="0" relativeHeight="487735808" behindDoc="1" locked="0" layoutInCell="1" allowOverlap="1" wp14:anchorId="3732450E" wp14:editId="1E900427">
                <wp:simplePos x="0" y="0"/>
                <wp:positionH relativeFrom="page">
                  <wp:posOffset>809999</wp:posOffset>
                </wp:positionH>
                <wp:positionV relativeFrom="paragraph">
                  <wp:posOffset>43432</wp:posOffset>
                </wp:positionV>
                <wp:extent cx="5940425" cy="3175"/>
                <wp:effectExtent l="0" t="0" r="0" b="0"/>
                <wp:wrapTopAndBottom/>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998" name="Graphic 998"/>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999" name="Graphic 999"/>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C0FAF5" id="Group 997" o:spid="_x0000_s1026" style="position:absolute;margin-left:63.8pt;margin-top:3.4pt;width:467.75pt;height:.25pt;z-index:-1558067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EUargC3AgAA&#10;dwgAAA4AAAAAAAAAAAAAAAAALgIAAGRycy9lMm9Eb2MueG1sUEsBAi0AFAAGAAgAAAAhAPAF+nbe&#10;AAAACAEAAA8AAAAAAAAAAAAAAAAAEQUAAGRycy9kb3ducmV2LnhtbFBLBQYAAAAABAAEAPMAAAAc&#10;BgAAAAA=&#10;">
                <v:shape id="Graphic 998"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" path="m,l1806003,e" filled="f" strokeweight=".25pt">
                  <v:path arrowok="t"/>
                </v:shape>
                <v:shape id="Graphic 999"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" path="m,l4134002,e" filled="f" strokeweight=".25pt">
                  <v:path arrowok="t"/>
                </v:shape>
                <w10:wrap type="topAndBottom" anchorx="page"/>
              </v:group>
            </w:pict>
          </mc:Fallback>
        </mc:AlternateContent>
      </w:r>
    </w:p>
    <w:p w14:paraId="37D96308" w14:textId="77777777" w:rsidR="00AC6F3C" w:rsidRDefault="00570E88">
      <w:pPr>
        <w:pStyle w:val="BodyText"/>
        <w:tabs>
          <w:tab w:val="left" w:pos="3772"/>
        </w:tabs>
        <w:spacing w:before="69"/>
        <w:ind w:left="928"/>
      </w:pPr>
      <w:r>
        <w:rPr>
          <w:b/>
          <w:spacing w:val="-5"/>
        </w:rPr>
        <w:t>EVP</w:t>
      </w:r>
      <w:r>
        <w:rPr>
          <w:b/>
        </w:rPr>
        <w:tab/>
      </w:r>
      <w:r>
        <w:t>Employee</w:t>
      </w:r>
      <w:r>
        <w:rPr>
          <w:spacing w:val="-8"/>
        </w:rPr>
        <w:t xml:space="preserve"> </w:t>
      </w:r>
      <w:r>
        <w:t>value</w:t>
      </w:r>
      <w:r>
        <w:rPr>
          <w:spacing w:val="-5"/>
        </w:rPr>
        <w:t xml:space="preserve"> </w:t>
      </w:r>
      <w:r>
        <w:rPr>
          <w:spacing w:val="-2"/>
        </w:rPr>
        <w:t>proposition</w:t>
      </w:r>
    </w:p>
    <w:p w14:paraId="29B9058C" w14:textId="77777777" w:rsidR="00AC6F3C" w:rsidRDefault="00570E88">
      <w:pPr>
        <w:pStyle w:val="BodyText"/>
        <w:spacing w:before="9"/>
        <w:rPr>
          <w:sz w:val="3"/>
        </w:rPr>
      </w:pPr>
      <w:r>
        <w:rPr>
          <w:noProof/>
        </w:rPr>
        <mc:AlternateContent>
          <mc:Choice Requires="wpg">
            <w:drawing>
              <wp:anchor distT="0" distB="0" distL="0" distR="0" simplePos="0" relativeHeight="487736320" behindDoc="1" locked="0" layoutInCell="1" allowOverlap="1" wp14:anchorId="15FC0C62" wp14:editId="0173D8A2">
                <wp:simplePos x="0" y="0"/>
                <wp:positionH relativeFrom="page">
                  <wp:posOffset>809999</wp:posOffset>
                </wp:positionH>
                <wp:positionV relativeFrom="paragraph">
                  <wp:posOffset>43431</wp:posOffset>
                </wp:positionV>
                <wp:extent cx="5940425" cy="3175"/>
                <wp:effectExtent l="0" t="0" r="0" b="0"/>
                <wp:wrapTopAndBottom/>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01" name="Graphic 1001"/>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02" name="Graphic 1002"/>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A9ACA2" id="Group 1000" o:spid="_x0000_s1026" style="position:absolute;margin-left:63.8pt;margin-top:3.4pt;width:467.75pt;height:.25pt;z-index:-1558016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AnxPFnuAIA&#10;AHsIAAAOAAAAAAAAAAAAAAAAAC4CAABkcnMvZTJvRG9jLnhtbFBLAQItABQABgAIAAAAIQDwBfp2&#10;3gAAAAgBAAAPAAAAAAAAAAAAAAAAABIFAABkcnMvZG93bnJldi54bWxQSwUGAAAAAAQABADzAAAA&#10;HQYAAAAA&#10;">
                <v:shape id="Graphic 1001"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" path="m,l1806003,e" filled="f" strokeweight=".25pt">
                  <v:path arrowok="t"/>
                </v:shape>
                <v:shape id="Graphic 1002"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" path="m,l4134002,e" filled="f" strokeweight=".25pt">
                  <v:path arrowok="t"/>
                </v:shape>
                <w10:wrap type="topAndBottom" anchorx="page"/>
              </v:group>
            </w:pict>
          </mc:Fallback>
        </mc:AlternateContent>
      </w:r>
    </w:p>
    <w:p w14:paraId="3A1684F5" w14:textId="77777777" w:rsidR="00AC6F3C" w:rsidRDefault="00570E88">
      <w:pPr>
        <w:pStyle w:val="BodyText"/>
        <w:tabs>
          <w:tab w:val="left" w:pos="3772"/>
        </w:tabs>
        <w:spacing w:before="69"/>
        <w:ind w:left="928"/>
      </w:pPr>
      <w:r>
        <w:rPr>
          <w:b/>
          <w:spacing w:val="-5"/>
        </w:rPr>
        <w:t>FLC</w:t>
      </w:r>
      <w:r>
        <w:rPr>
          <w:b/>
        </w:rPr>
        <w:tab/>
      </w:r>
      <w:r>
        <w:t>Future</w:t>
      </w:r>
      <w:r>
        <w:rPr>
          <w:spacing w:val="-5"/>
        </w:rPr>
        <w:t xml:space="preserve"> </w:t>
      </w:r>
      <w:r>
        <w:t>Leaders</w:t>
      </w:r>
      <w:r>
        <w:rPr>
          <w:spacing w:val="-2"/>
        </w:rPr>
        <w:t xml:space="preserve"> Committee</w:t>
      </w:r>
    </w:p>
    <w:p w14:paraId="0CF76E38" w14:textId="77777777" w:rsidR="00AC6F3C" w:rsidRDefault="00570E88">
      <w:pPr>
        <w:pStyle w:val="BodyText"/>
        <w:spacing w:before="9"/>
        <w:rPr>
          <w:sz w:val="3"/>
        </w:rPr>
      </w:pPr>
      <w:r>
        <w:rPr>
          <w:noProof/>
        </w:rPr>
        <mc:AlternateContent>
          <mc:Choice Requires="wpg">
            <w:drawing>
              <wp:anchor distT="0" distB="0" distL="0" distR="0" simplePos="0" relativeHeight="487736832" behindDoc="1" locked="0" layoutInCell="1" allowOverlap="1" wp14:anchorId="544A67D6" wp14:editId="457E644B">
                <wp:simplePos x="0" y="0"/>
                <wp:positionH relativeFrom="page">
                  <wp:posOffset>809999</wp:posOffset>
                </wp:positionH>
                <wp:positionV relativeFrom="paragraph">
                  <wp:posOffset>43432</wp:posOffset>
                </wp:positionV>
                <wp:extent cx="5940425" cy="3175"/>
                <wp:effectExtent l="0" t="0" r="0" b="0"/>
                <wp:wrapTopAndBottom/>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04" name="Graphic 1004"/>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05" name="Graphic 1005"/>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A323DF" id="Group 1003" o:spid="_x0000_s1026" style="position:absolute;margin-left:63.8pt;margin-top:3.4pt;width:467.75pt;height:.25pt;z-index:-1557964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AaTTbe3AgAA&#10;ewgAAA4AAAAAAAAAAAAAAAAALgIAAGRycy9lMm9Eb2MueG1sUEsBAi0AFAAGAAgAAAAhAPAF+nbe&#10;AAAACAEAAA8AAAAAAAAAAAAAAAAAEQUAAGRycy9kb3ducmV2LnhtbFBLBQYAAAAABAAEAPMAAAAc&#10;BgAAAAA=&#10;">
                <v:shape id="Graphic 1004"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" path="m,l1806003,e" filled="f" strokeweight=".25pt">
                  <v:path arrowok="t"/>
                </v:shape>
                <v:shape id="Graphic 1005"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" path="m,l4134002,e" filled="f" strokeweight=".25pt">
                  <v:path arrowok="t"/>
                </v:shape>
                <w10:wrap type="topAndBottom" anchorx="page"/>
              </v:group>
            </w:pict>
          </mc:Fallback>
        </mc:AlternateContent>
      </w:r>
    </w:p>
    <w:p w14:paraId="0B4C0B33" w14:textId="77777777" w:rsidR="00AC6F3C" w:rsidRDefault="00570E88">
      <w:pPr>
        <w:pStyle w:val="BodyText"/>
        <w:tabs>
          <w:tab w:val="left" w:pos="3772"/>
        </w:tabs>
        <w:spacing w:before="69"/>
        <w:ind w:left="928"/>
      </w:pPr>
      <w:r>
        <w:rPr>
          <w:b/>
          <w:spacing w:val="-5"/>
        </w:rPr>
        <w:t>FRC</w:t>
      </w:r>
      <w:r>
        <w:rPr>
          <w:b/>
        </w:rPr>
        <w:tab/>
      </w:r>
      <w:r>
        <w:t>Finance</w:t>
      </w:r>
      <w:r>
        <w:rPr>
          <w:spacing w:val="-5"/>
        </w:rPr>
        <w:t xml:space="preserve"> </w:t>
      </w:r>
      <w:r>
        <w:t>and</w:t>
      </w:r>
      <w:r>
        <w:rPr>
          <w:spacing w:val="-3"/>
        </w:rPr>
        <w:t xml:space="preserve"> </w:t>
      </w:r>
      <w:r>
        <w:t>Risk</w:t>
      </w:r>
      <w:r>
        <w:rPr>
          <w:spacing w:val="-2"/>
        </w:rPr>
        <w:t xml:space="preserve"> Committee</w:t>
      </w:r>
    </w:p>
    <w:p w14:paraId="7F56677C" w14:textId="77777777" w:rsidR="00AC6F3C" w:rsidRDefault="00570E88">
      <w:pPr>
        <w:pStyle w:val="BodyText"/>
        <w:spacing w:before="9"/>
        <w:rPr>
          <w:sz w:val="3"/>
        </w:rPr>
      </w:pPr>
      <w:r>
        <w:rPr>
          <w:noProof/>
        </w:rPr>
        <mc:AlternateContent>
          <mc:Choice Requires="wpg">
            <w:drawing>
              <wp:anchor distT="0" distB="0" distL="0" distR="0" simplePos="0" relativeHeight="487737344" behindDoc="1" locked="0" layoutInCell="1" allowOverlap="1" wp14:anchorId="1CDA779A" wp14:editId="042B0712">
                <wp:simplePos x="0" y="0"/>
                <wp:positionH relativeFrom="page">
                  <wp:posOffset>809999</wp:posOffset>
                </wp:positionH>
                <wp:positionV relativeFrom="paragraph">
                  <wp:posOffset>43432</wp:posOffset>
                </wp:positionV>
                <wp:extent cx="5940425" cy="3175"/>
                <wp:effectExtent l="0" t="0" r="0" b="0"/>
                <wp:wrapTopAndBottom/>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07" name="Graphic 1007"/>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08" name="Graphic 1008"/>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C643AA" id="Group 1006" o:spid="_x0000_s1026" style="position:absolute;margin-left:63.8pt;margin-top:3.4pt;width:467.75pt;height:.25pt;z-index:-1557913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CQeRTNuAIA&#10;AHsIAAAOAAAAAAAAAAAAAAAAAC4CAABkcnMvZTJvRG9jLnhtbFBLAQItABQABgAIAAAAIQDwBfp2&#10;3gAAAAgBAAAPAAAAAAAAAAAAAAAAABIFAABkcnMvZG93bnJldi54bWxQSwUGAAAAAAQABADzAAAA&#10;HQYAAAAA&#10;">
                <v:shape id="Graphic 1007"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" path="m,l1806003,e" filled="f" strokeweight=".25pt">
                  <v:path arrowok="t"/>
                </v:shape>
                <v:shape id="Graphic 1008"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" path="m,l4134002,e" filled="f" strokeweight=".25pt">
                  <v:path arrowok="t"/>
                </v:shape>
                <w10:wrap type="topAndBottom" anchorx="page"/>
              </v:group>
            </w:pict>
          </mc:Fallback>
        </mc:AlternateContent>
      </w:r>
    </w:p>
    <w:p w14:paraId="30CCF696" w14:textId="77777777" w:rsidR="00AC6F3C" w:rsidRDefault="00570E88">
      <w:pPr>
        <w:pStyle w:val="BodyText"/>
        <w:tabs>
          <w:tab w:val="left" w:pos="3772"/>
        </w:tabs>
        <w:spacing w:before="69"/>
        <w:ind w:left="928"/>
      </w:pPr>
      <w:r>
        <w:rPr>
          <w:b/>
          <w:spacing w:val="-5"/>
        </w:rPr>
        <w:t>FTE</w:t>
      </w:r>
      <w:r>
        <w:rPr>
          <w:b/>
        </w:rPr>
        <w:tab/>
      </w:r>
      <w:r>
        <w:t>Full-time</w:t>
      </w:r>
      <w:r>
        <w:rPr>
          <w:spacing w:val="-8"/>
        </w:rPr>
        <w:t xml:space="preserve"> </w:t>
      </w:r>
      <w:r>
        <w:rPr>
          <w:spacing w:val="-2"/>
        </w:rPr>
        <w:t>equivalent</w:t>
      </w:r>
    </w:p>
    <w:p w14:paraId="421C99C1" w14:textId="77777777" w:rsidR="00AC6F3C" w:rsidRDefault="00570E88">
      <w:pPr>
        <w:pStyle w:val="BodyText"/>
        <w:spacing w:before="9"/>
        <w:rPr>
          <w:sz w:val="3"/>
        </w:rPr>
      </w:pPr>
      <w:r>
        <w:rPr>
          <w:noProof/>
        </w:rPr>
        <mc:AlternateContent>
          <mc:Choice Requires="wpg">
            <w:drawing>
              <wp:anchor distT="0" distB="0" distL="0" distR="0" simplePos="0" relativeHeight="487737856" behindDoc="1" locked="0" layoutInCell="1" allowOverlap="1" wp14:anchorId="01BAF2E4" wp14:editId="7C04D4E3">
                <wp:simplePos x="0" y="0"/>
                <wp:positionH relativeFrom="page">
                  <wp:posOffset>809999</wp:posOffset>
                </wp:positionH>
                <wp:positionV relativeFrom="paragraph">
                  <wp:posOffset>43431</wp:posOffset>
                </wp:positionV>
                <wp:extent cx="5940425" cy="3175"/>
                <wp:effectExtent l="0" t="0" r="0" b="0"/>
                <wp:wrapTopAndBottom/>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10" name="Graphic 1010"/>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11" name="Graphic 1011"/>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BC471B" id="Group 1009" o:spid="_x0000_s1026" style="position:absolute;margin-left:63.8pt;margin-top:3.4pt;width:467.75pt;height:.25pt;z-index:-1557862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Qk2dQbYCAAB7&#10;CAAADgAAAAAAAAAAAAAAAAAuAgAAZHJzL2Uyb0RvYy54bWxQSwECLQAUAAYACAAAACEA8AX6dt4A&#10;AAAIAQAADwAAAAAAAAAAAAAAAAAQBQAAZHJzL2Rvd25yZXYueG1sUEsFBgAAAAAEAAQA8wAAABsG&#10;AAAAAA==&#10;">
                <v:shape id="Graphic 1010"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" path="m,l1806003,e" filled="f" strokeweight=".25pt">
                  <v:path arrowok="t"/>
                </v:shape>
                <v:shape id="Graphic 1011"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" path="m,l4134002,e" filled="f" strokeweight=".25pt">
                  <v:path arrowok="t"/>
                </v:shape>
                <w10:wrap type="topAndBottom" anchorx="page"/>
              </v:group>
            </w:pict>
          </mc:Fallback>
        </mc:AlternateContent>
      </w:r>
    </w:p>
    <w:p w14:paraId="5E4362F8" w14:textId="77777777" w:rsidR="00AC6F3C" w:rsidRDefault="00570E88">
      <w:pPr>
        <w:tabs>
          <w:tab w:val="left" w:pos="3772"/>
        </w:tabs>
        <w:spacing w:before="69"/>
        <w:ind w:left="928"/>
        <w:rPr>
          <w:sz w:val="20"/>
        </w:rPr>
      </w:pPr>
      <w:r>
        <w:rPr>
          <w:b/>
          <w:sz w:val="20"/>
        </w:rPr>
        <w:t>Guidance</w:t>
      </w:r>
      <w:r>
        <w:rPr>
          <w:b/>
          <w:spacing w:val="-7"/>
          <w:sz w:val="20"/>
        </w:rPr>
        <w:t xml:space="preserve"> </w:t>
      </w:r>
      <w:r>
        <w:rPr>
          <w:b/>
          <w:spacing w:val="-2"/>
          <w:sz w:val="20"/>
        </w:rPr>
        <w:t>statements</w:t>
      </w:r>
      <w:r>
        <w:rPr>
          <w:b/>
          <w:sz w:val="20"/>
        </w:rPr>
        <w:tab/>
      </w:r>
      <w:r>
        <w:rPr>
          <w:sz w:val="20"/>
        </w:rPr>
        <w:t>Documents</w:t>
      </w:r>
      <w:r>
        <w:rPr>
          <w:spacing w:val="-7"/>
          <w:sz w:val="20"/>
        </w:rPr>
        <w:t xml:space="preserve"> </w:t>
      </w:r>
      <w:r>
        <w:rPr>
          <w:sz w:val="20"/>
        </w:rPr>
        <w:t>that</w:t>
      </w:r>
      <w:r>
        <w:rPr>
          <w:spacing w:val="-5"/>
          <w:sz w:val="20"/>
        </w:rPr>
        <w:t xml:space="preserve"> </w:t>
      </w:r>
      <w:r>
        <w:rPr>
          <w:sz w:val="20"/>
        </w:rPr>
        <w:t>outline</w:t>
      </w:r>
      <w:r>
        <w:rPr>
          <w:spacing w:val="-4"/>
          <w:sz w:val="20"/>
        </w:rPr>
        <w:t xml:space="preserve"> </w:t>
      </w:r>
      <w:r>
        <w:rPr>
          <w:sz w:val="20"/>
        </w:rPr>
        <w:t>Queensland</w:t>
      </w:r>
      <w:r>
        <w:rPr>
          <w:spacing w:val="-5"/>
          <w:sz w:val="20"/>
        </w:rPr>
        <w:t xml:space="preserve"> </w:t>
      </w:r>
      <w:r>
        <w:rPr>
          <w:sz w:val="20"/>
        </w:rPr>
        <w:t>Law</w:t>
      </w:r>
      <w:r>
        <w:rPr>
          <w:spacing w:val="-5"/>
          <w:sz w:val="20"/>
        </w:rPr>
        <w:t xml:space="preserve"> </w:t>
      </w:r>
      <w:r>
        <w:rPr>
          <w:sz w:val="20"/>
        </w:rPr>
        <w:t>Society’s</w:t>
      </w:r>
      <w:r>
        <w:rPr>
          <w:spacing w:val="-4"/>
          <w:sz w:val="20"/>
        </w:rPr>
        <w:t xml:space="preserve"> </w:t>
      </w:r>
      <w:r>
        <w:rPr>
          <w:spacing w:val="-2"/>
          <w:sz w:val="20"/>
        </w:rPr>
        <w:t>guidance</w:t>
      </w:r>
    </w:p>
    <w:p w14:paraId="5A38A679" w14:textId="77777777" w:rsidR="00AC6F3C" w:rsidRDefault="00570E88">
      <w:pPr>
        <w:pStyle w:val="BodyText"/>
        <w:spacing w:before="10"/>
        <w:ind w:left="1659" w:right="2439"/>
        <w:jc w:val="center"/>
      </w:pPr>
      <w:r>
        <w:t>on</w:t>
      </w:r>
      <w:r>
        <w:rPr>
          <w:spacing w:val="-1"/>
        </w:rPr>
        <w:t xml:space="preserve"> </w:t>
      </w:r>
      <w:r>
        <w:t xml:space="preserve">a particular </w:t>
      </w:r>
      <w:r>
        <w:rPr>
          <w:spacing w:val="-2"/>
        </w:rPr>
        <w:t>subject</w:t>
      </w:r>
    </w:p>
    <w:p w14:paraId="4A575CC1" w14:textId="77777777" w:rsidR="00AC6F3C" w:rsidRDefault="00570E88">
      <w:pPr>
        <w:pStyle w:val="BodyText"/>
        <w:spacing w:before="9"/>
        <w:rPr>
          <w:sz w:val="3"/>
        </w:rPr>
      </w:pPr>
      <w:r>
        <w:rPr>
          <w:noProof/>
        </w:rPr>
        <mc:AlternateContent>
          <mc:Choice Requires="wpg">
            <w:drawing>
              <wp:anchor distT="0" distB="0" distL="0" distR="0" simplePos="0" relativeHeight="487738368" behindDoc="1" locked="0" layoutInCell="1" allowOverlap="1" wp14:anchorId="60681448" wp14:editId="13DEFCD4">
                <wp:simplePos x="0" y="0"/>
                <wp:positionH relativeFrom="page">
                  <wp:posOffset>809999</wp:posOffset>
                </wp:positionH>
                <wp:positionV relativeFrom="paragraph">
                  <wp:posOffset>43444</wp:posOffset>
                </wp:positionV>
                <wp:extent cx="5940425" cy="3175"/>
                <wp:effectExtent l="0" t="0" r="0" b="0"/>
                <wp:wrapTopAndBottom/>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13" name="Graphic 1013"/>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14" name="Graphic 1014"/>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B98848" id="Group 1012" o:spid="_x0000_s1026" style="position:absolute;margin-left:63.8pt;margin-top:3.4pt;width:467.75pt;height:.25pt;z-index:-1557811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LkQV/m3AgAA&#10;ewgAAA4AAAAAAAAAAAAAAAAALgIAAGRycy9lMm9Eb2MueG1sUEsBAi0AFAAGAAgAAAAhAPAF+nbe&#10;AAAACAEAAA8AAAAAAAAAAAAAAAAAEQUAAGRycy9kb3ducmV2LnhtbFBLBQYAAAAABAAEAPMAAAAc&#10;BgAAAAA=&#10;">
                <v:shape id="Graphic 1013"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" path="m,l1806003,e" filled="f" strokeweight=".25pt">
                  <v:path arrowok="t"/>
                </v:shape>
                <v:shape id="Graphic 1014"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" path="m,l4134002,e" filled="f" strokeweight=".25pt">
                  <v:path arrowok="t"/>
                </v:shape>
                <w10:wrap type="topAndBottom" anchorx="page"/>
              </v:group>
            </w:pict>
          </mc:Fallback>
        </mc:AlternateContent>
      </w:r>
    </w:p>
    <w:p w14:paraId="148E2811" w14:textId="77777777" w:rsidR="00AC6F3C" w:rsidRDefault="00570E88">
      <w:pPr>
        <w:tabs>
          <w:tab w:val="left" w:pos="3772"/>
        </w:tabs>
        <w:spacing w:before="69"/>
        <w:ind w:left="928"/>
        <w:rPr>
          <w:i/>
          <w:sz w:val="20"/>
        </w:rPr>
      </w:pPr>
      <w:r>
        <w:rPr>
          <w:b/>
          <w:sz w:val="20"/>
        </w:rPr>
        <w:t>IP</w:t>
      </w:r>
      <w:r>
        <w:rPr>
          <w:b/>
          <w:spacing w:val="-11"/>
          <w:sz w:val="20"/>
        </w:rPr>
        <w:t xml:space="preserve"> </w:t>
      </w:r>
      <w:r>
        <w:rPr>
          <w:b/>
          <w:spacing w:val="-5"/>
          <w:sz w:val="20"/>
        </w:rPr>
        <w:t>Act</w:t>
      </w:r>
      <w:r>
        <w:rPr>
          <w:b/>
          <w:sz w:val="20"/>
        </w:rPr>
        <w:tab/>
      </w:r>
      <w:r>
        <w:rPr>
          <w:i/>
          <w:sz w:val="20"/>
        </w:rPr>
        <w:t>Information</w:t>
      </w:r>
      <w:r>
        <w:rPr>
          <w:i/>
          <w:spacing w:val="-4"/>
          <w:sz w:val="20"/>
        </w:rPr>
        <w:t xml:space="preserve"> </w:t>
      </w:r>
      <w:r>
        <w:rPr>
          <w:i/>
          <w:sz w:val="20"/>
        </w:rPr>
        <w:t>Privacy</w:t>
      </w:r>
      <w:r>
        <w:rPr>
          <w:i/>
          <w:spacing w:val="-11"/>
          <w:sz w:val="20"/>
        </w:rPr>
        <w:t xml:space="preserve"> </w:t>
      </w:r>
      <w:r>
        <w:rPr>
          <w:i/>
          <w:sz w:val="20"/>
        </w:rPr>
        <w:t>Act</w:t>
      </w:r>
      <w:r>
        <w:rPr>
          <w:i/>
          <w:spacing w:val="-3"/>
          <w:sz w:val="20"/>
        </w:rPr>
        <w:t xml:space="preserve"> </w:t>
      </w:r>
      <w:r>
        <w:rPr>
          <w:i/>
          <w:spacing w:val="-4"/>
          <w:sz w:val="20"/>
        </w:rPr>
        <w:t>2009</w:t>
      </w:r>
    </w:p>
    <w:p w14:paraId="2CA3C063" w14:textId="77777777" w:rsidR="00AC6F3C" w:rsidRDefault="00570E88">
      <w:pPr>
        <w:pStyle w:val="BodyText"/>
        <w:spacing w:before="9"/>
        <w:rPr>
          <w:i/>
          <w:sz w:val="3"/>
        </w:rPr>
      </w:pPr>
      <w:r>
        <w:rPr>
          <w:noProof/>
        </w:rPr>
        <mc:AlternateContent>
          <mc:Choice Requires="wpg">
            <w:drawing>
              <wp:anchor distT="0" distB="0" distL="0" distR="0" simplePos="0" relativeHeight="487738880" behindDoc="1" locked="0" layoutInCell="1" allowOverlap="1" wp14:anchorId="6C960F5B" wp14:editId="53D7F4B1">
                <wp:simplePos x="0" y="0"/>
                <wp:positionH relativeFrom="page">
                  <wp:posOffset>809999</wp:posOffset>
                </wp:positionH>
                <wp:positionV relativeFrom="paragraph">
                  <wp:posOffset>43431</wp:posOffset>
                </wp:positionV>
                <wp:extent cx="5940425" cy="3175"/>
                <wp:effectExtent l="0" t="0" r="0" b="0"/>
                <wp:wrapTopAndBottom/>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16" name="Graphic 1016"/>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17" name="Graphic 1017"/>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F2E9BF" id="Group 1015" o:spid="_x0000_s1026" style="position:absolute;margin-left:63.8pt;margin-top:3.4pt;width:467.75pt;height:.25pt;z-index:-1557760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A4fGqW3AgAA&#10;ewgAAA4AAAAAAAAAAAAAAAAALgIAAGRycy9lMm9Eb2MueG1sUEsBAi0AFAAGAAgAAAAhAPAF+nbe&#10;AAAACAEAAA8AAAAAAAAAAAAAAAAAEQUAAGRycy9kb3ducmV2LnhtbFBLBQYAAAAABAAEAPMAAAAc&#10;BgAAAAA=&#10;">
                <v:shape id="Graphic 1016"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" path="m,l1806003,e" filled="f" strokeweight=".25pt">
                  <v:path arrowok="t"/>
                </v:shape>
                <v:shape id="Graphic 1017"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" path="m,l4134002,e" filled="f" strokeweight=".25pt">
                  <v:path arrowok="t"/>
                </v:shape>
                <w10:wrap type="topAndBottom" anchorx="page"/>
              </v:group>
            </w:pict>
          </mc:Fallback>
        </mc:AlternateContent>
      </w:r>
    </w:p>
    <w:p w14:paraId="21184FE3" w14:textId="77777777" w:rsidR="00AC6F3C" w:rsidRDefault="00570E88">
      <w:pPr>
        <w:pStyle w:val="BodyText"/>
        <w:tabs>
          <w:tab w:val="left" w:pos="3772"/>
        </w:tabs>
        <w:spacing w:before="69"/>
        <w:ind w:left="928"/>
      </w:pPr>
      <w:r>
        <w:rPr>
          <w:b/>
          <w:spacing w:val="-5"/>
        </w:rPr>
        <w:t>KPI</w:t>
      </w:r>
      <w:r>
        <w:rPr>
          <w:b/>
        </w:rPr>
        <w:tab/>
      </w:r>
      <w:r>
        <w:t>Key</w:t>
      </w:r>
      <w:r>
        <w:rPr>
          <w:spacing w:val="-7"/>
        </w:rPr>
        <w:t xml:space="preserve"> </w:t>
      </w:r>
      <w:r>
        <w:t>performance</w:t>
      </w:r>
      <w:r>
        <w:rPr>
          <w:spacing w:val="-5"/>
        </w:rPr>
        <w:t xml:space="preserve"> </w:t>
      </w:r>
      <w:r>
        <w:rPr>
          <w:spacing w:val="-2"/>
        </w:rPr>
        <w:t>indicator</w:t>
      </w:r>
    </w:p>
    <w:p w14:paraId="3CBD7A9A" w14:textId="77777777" w:rsidR="00AC6F3C" w:rsidRDefault="00570E88">
      <w:pPr>
        <w:pStyle w:val="BodyText"/>
        <w:spacing w:before="9"/>
        <w:rPr>
          <w:sz w:val="3"/>
        </w:rPr>
      </w:pPr>
      <w:r>
        <w:rPr>
          <w:noProof/>
        </w:rPr>
        <mc:AlternateContent>
          <mc:Choice Requires="wpg">
            <w:drawing>
              <wp:anchor distT="0" distB="0" distL="0" distR="0" simplePos="0" relativeHeight="487739392" behindDoc="1" locked="0" layoutInCell="1" allowOverlap="1" wp14:anchorId="1ED31407" wp14:editId="22B40F56">
                <wp:simplePos x="0" y="0"/>
                <wp:positionH relativeFrom="page">
                  <wp:posOffset>809999</wp:posOffset>
                </wp:positionH>
                <wp:positionV relativeFrom="paragraph">
                  <wp:posOffset>43432</wp:posOffset>
                </wp:positionV>
                <wp:extent cx="5940425" cy="3175"/>
                <wp:effectExtent l="0" t="0" r="0" b="0"/>
                <wp:wrapTopAndBottom/>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19" name="Graphic 1019"/>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20" name="Graphic 1020"/>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CED58F" id="Group 1018" o:spid="_x0000_s1026" style="position:absolute;margin-left:63.8pt;margin-top:3.4pt;width:467.75pt;height:.25pt;z-index:-1557708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">
                <v:shape id="Graphic 1019"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" path="m,l1806003,e" filled="f" strokeweight=".25pt">
                  <v:path arrowok="t"/>
                </v:shape>
                <v:shape id="Graphic 1020"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" path="m,l4134002,e" filled="f" strokeweight=".25pt">
                  <v:path arrowok="t"/>
                </v:shape>
                <w10:wrap type="topAndBottom" anchorx="page"/>
              </v:group>
            </w:pict>
          </mc:Fallback>
        </mc:AlternateContent>
      </w:r>
    </w:p>
    <w:p w14:paraId="4C153631" w14:textId="77777777" w:rsidR="00AC6F3C" w:rsidRDefault="00570E88">
      <w:pPr>
        <w:pStyle w:val="BodyText"/>
        <w:tabs>
          <w:tab w:val="left" w:pos="3772"/>
        </w:tabs>
        <w:spacing w:before="69" w:after="60" w:line="249" w:lineRule="auto"/>
        <w:ind w:left="3772" w:right="541" w:hanging="2844"/>
      </w:pPr>
      <w:proofErr w:type="spellStart"/>
      <w:r>
        <w:rPr>
          <w:b/>
          <w:spacing w:val="-2"/>
        </w:rPr>
        <w:t>LawCare</w:t>
      </w:r>
      <w:proofErr w:type="spellEnd"/>
      <w:r>
        <w:rPr>
          <w:b/>
        </w:rPr>
        <w:tab/>
      </w:r>
      <w:r>
        <w:t>Counselling</w:t>
      </w:r>
      <w:r>
        <w:rPr>
          <w:spacing w:val="-5"/>
        </w:rPr>
        <w:t xml:space="preserve"> </w:t>
      </w:r>
      <w:r>
        <w:t>and</w:t>
      </w:r>
      <w:r>
        <w:rPr>
          <w:spacing w:val="-5"/>
        </w:rPr>
        <w:t xml:space="preserve"> </w:t>
      </w:r>
      <w:r>
        <w:t>wellbeing</w:t>
      </w:r>
      <w:r>
        <w:rPr>
          <w:spacing w:val="-5"/>
        </w:rPr>
        <w:t xml:space="preserve"> </w:t>
      </w:r>
      <w:r>
        <w:t>assistance</w:t>
      </w:r>
      <w:r>
        <w:rPr>
          <w:spacing w:val="-5"/>
        </w:rPr>
        <w:t xml:space="preserve"> </w:t>
      </w:r>
      <w:r>
        <w:t>program</w:t>
      </w:r>
      <w:r>
        <w:rPr>
          <w:spacing w:val="-5"/>
        </w:rPr>
        <w:t xml:space="preserve"> </w:t>
      </w:r>
      <w:r>
        <w:t>for</w:t>
      </w:r>
      <w:r>
        <w:rPr>
          <w:spacing w:val="-5"/>
        </w:rPr>
        <w:t xml:space="preserve"> </w:t>
      </w:r>
      <w:r>
        <w:t>Queensland</w:t>
      </w:r>
      <w:r>
        <w:rPr>
          <w:spacing w:val="-5"/>
        </w:rPr>
        <w:t xml:space="preserve"> </w:t>
      </w:r>
      <w:r>
        <w:t>Law Society staff and members</w:t>
      </w:r>
    </w:p>
    <w:p w14:paraId="64CCE43E"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70BD11F5" wp14:editId="2066DB4B">
                <wp:extent cx="5940425" cy="3175"/>
                <wp:effectExtent l="9525" t="0" r="0" b="6350"/>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22" name="Graphic 1022"/>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23" name="Graphic 1023"/>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709C6A" id="Group 1021"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">
                <v:shape id="Graphic 1022"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" path="m,l1806003,e" filled="f" strokeweight=".25pt">
                  <v:path arrowok="t"/>
                </v:shape>
                <v:shape id="Graphic 1023"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" path="m,l4134002,e" filled="f" strokeweight=".25pt">
                  <v:path arrowok="t"/>
                </v:shape>
                <w10:anchorlock/>
              </v:group>
            </w:pict>
          </mc:Fallback>
        </mc:AlternateContent>
      </w:r>
    </w:p>
    <w:p w14:paraId="235D14B0" w14:textId="77777777" w:rsidR="00AC6F3C" w:rsidRDefault="00570E88">
      <w:pPr>
        <w:pStyle w:val="BodyText"/>
        <w:tabs>
          <w:tab w:val="left" w:pos="3772"/>
        </w:tabs>
        <w:spacing w:before="55" w:line="249" w:lineRule="auto"/>
        <w:ind w:left="3772" w:right="1030" w:hanging="2844"/>
      </w:pPr>
      <w:r>
        <w:rPr>
          <w:noProof/>
        </w:rPr>
        <mc:AlternateContent>
          <mc:Choice Requires="wpg">
            <w:drawing>
              <wp:anchor distT="0" distB="0" distL="0" distR="0" simplePos="0" relativeHeight="487740416" behindDoc="1" locked="0" layoutInCell="1" allowOverlap="1" wp14:anchorId="24F78651" wp14:editId="46E8A280">
                <wp:simplePos x="0" y="0"/>
                <wp:positionH relativeFrom="page">
                  <wp:posOffset>809999</wp:posOffset>
                </wp:positionH>
                <wp:positionV relativeFrom="paragraph">
                  <wp:posOffset>376541</wp:posOffset>
                </wp:positionV>
                <wp:extent cx="5940425" cy="3175"/>
                <wp:effectExtent l="0" t="0" r="0" b="0"/>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25" name="Graphic 1025"/>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26" name="Graphic 1026"/>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73C0A7" id="Group 1024" o:spid="_x0000_s1026" style="position:absolute;margin-left:63.8pt;margin-top:29.65pt;width:467.75pt;height:.25pt;z-index:-1557606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">
                <v:shape id="Graphic 1025"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" path="m,l1806003,e" filled="f" strokeweight=".25pt">
                  <v:path arrowok="t"/>
                </v:shape>
                <v:shape id="Graphic 1026"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" path="m,l4134002,e" filled="f" strokeweight=".25pt">
                  <v:path arrowok="t"/>
                </v:shape>
                <w10:wrap type="topAndBottom" anchorx="page"/>
              </v:group>
            </w:pict>
          </mc:Fallback>
        </mc:AlternateContent>
      </w:r>
      <w:r>
        <w:rPr>
          <w:b/>
          <w:spacing w:val="-2"/>
        </w:rPr>
        <w:t>Lexon</w:t>
      </w:r>
      <w:r>
        <w:rPr>
          <w:b/>
        </w:rPr>
        <w:tab/>
      </w:r>
      <w:proofErr w:type="spellStart"/>
      <w:r>
        <w:t>Lexon</w:t>
      </w:r>
      <w:proofErr w:type="spellEnd"/>
      <w:r>
        <w:rPr>
          <w:spacing w:val="-5"/>
        </w:rPr>
        <w:t xml:space="preserve"> </w:t>
      </w:r>
      <w:r>
        <w:t>Insurance</w:t>
      </w:r>
      <w:r>
        <w:rPr>
          <w:spacing w:val="-5"/>
        </w:rPr>
        <w:t xml:space="preserve"> </w:t>
      </w:r>
      <w:r>
        <w:t>Pte</w:t>
      </w:r>
      <w:r>
        <w:rPr>
          <w:spacing w:val="-5"/>
        </w:rPr>
        <w:t xml:space="preserve"> </w:t>
      </w:r>
      <w:r>
        <w:t>Ltd,</w:t>
      </w:r>
      <w:r>
        <w:rPr>
          <w:spacing w:val="-5"/>
        </w:rPr>
        <w:t xml:space="preserve"> </w:t>
      </w:r>
      <w:r>
        <w:t>a</w:t>
      </w:r>
      <w:r>
        <w:rPr>
          <w:spacing w:val="-5"/>
        </w:rPr>
        <w:t xml:space="preserve"> </w:t>
      </w:r>
      <w:r>
        <w:t>wholly-owned</w:t>
      </w:r>
      <w:r>
        <w:rPr>
          <w:spacing w:val="-5"/>
        </w:rPr>
        <w:t xml:space="preserve"> </w:t>
      </w:r>
      <w:r>
        <w:t>subsidiary</w:t>
      </w:r>
      <w:r>
        <w:rPr>
          <w:spacing w:val="-5"/>
        </w:rPr>
        <w:t xml:space="preserve"> </w:t>
      </w:r>
      <w:r>
        <w:t>company of Queensland Law Society</w:t>
      </w:r>
    </w:p>
    <w:p w14:paraId="44EF6892" w14:textId="77777777" w:rsidR="00AC6F3C" w:rsidRDefault="00570E88">
      <w:pPr>
        <w:tabs>
          <w:tab w:val="left" w:pos="3772"/>
        </w:tabs>
        <w:spacing w:before="69"/>
        <w:ind w:left="928"/>
        <w:rPr>
          <w:i/>
          <w:sz w:val="20"/>
        </w:rPr>
      </w:pPr>
      <w:r>
        <w:rPr>
          <w:b/>
          <w:spacing w:val="-5"/>
          <w:sz w:val="20"/>
        </w:rPr>
        <w:t>LPA</w:t>
      </w:r>
      <w:r>
        <w:rPr>
          <w:b/>
          <w:sz w:val="20"/>
        </w:rPr>
        <w:tab/>
      </w:r>
      <w:r>
        <w:rPr>
          <w:i/>
          <w:sz w:val="20"/>
        </w:rPr>
        <w:t>Legal</w:t>
      </w:r>
      <w:r>
        <w:rPr>
          <w:i/>
          <w:spacing w:val="-5"/>
          <w:sz w:val="20"/>
        </w:rPr>
        <w:t xml:space="preserve"> </w:t>
      </w:r>
      <w:r>
        <w:rPr>
          <w:i/>
          <w:sz w:val="20"/>
        </w:rPr>
        <w:t>Profession</w:t>
      </w:r>
      <w:r>
        <w:rPr>
          <w:i/>
          <w:spacing w:val="-11"/>
          <w:sz w:val="20"/>
        </w:rPr>
        <w:t xml:space="preserve"> </w:t>
      </w:r>
      <w:r>
        <w:rPr>
          <w:i/>
          <w:sz w:val="20"/>
        </w:rPr>
        <w:t>Act</w:t>
      </w:r>
      <w:r>
        <w:rPr>
          <w:i/>
          <w:spacing w:val="-4"/>
          <w:sz w:val="20"/>
        </w:rPr>
        <w:t xml:space="preserve"> </w:t>
      </w:r>
      <w:r>
        <w:rPr>
          <w:i/>
          <w:sz w:val="20"/>
        </w:rPr>
        <w:t>2007</w:t>
      </w:r>
      <w:r>
        <w:rPr>
          <w:i/>
          <w:spacing w:val="-4"/>
          <w:sz w:val="20"/>
        </w:rPr>
        <w:t xml:space="preserve"> </w:t>
      </w:r>
      <w:r>
        <w:rPr>
          <w:i/>
          <w:spacing w:val="-2"/>
          <w:sz w:val="20"/>
        </w:rPr>
        <w:t>(Qld)</w:t>
      </w:r>
    </w:p>
    <w:p w14:paraId="2F8B9191" w14:textId="77777777" w:rsidR="00AC6F3C" w:rsidRDefault="00570E88">
      <w:pPr>
        <w:pStyle w:val="BodyText"/>
        <w:spacing w:before="9"/>
        <w:rPr>
          <w:i/>
          <w:sz w:val="3"/>
        </w:rPr>
      </w:pPr>
      <w:r>
        <w:rPr>
          <w:noProof/>
        </w:rPr>
        <mc:AlternateContent>
          <mc:Choice Requires="wpg">
            <w:drawing>
              <wp:anchor distT="0" distB="0" distL="0" distR="0" simplePos="0" relativeHeight="487740928" behindDoc="1" locked="0" layoutInCell="1" allowOverlap="1" wp14:anchorId="65AED081" wp14:editId="7E81D40E">
                <wp:simplePos x="0" y="0"/>
                <wp:positionH relativeFrom="page">
                  <wp:posOffset>809999</wp:posOffset>
                </wp:positionH>
                <wp:positionV relativeFrom="paragraph">
                  <wp:posOffset>43432</wp:posOffset>
                </wp:positionV>
                <wp:extent cx="5940425" cy="3175"/>
                <wp:effectExtent l="0" t="0" r="0" b="0"/>
                <wp:wrapTopAndBottom/>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28" name="Graphic 1028"/>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29" name="Graphic 1029"/>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1057D5" id="Group 1027" o:spid="_x0000_s1026" style="position:absolute;margin-left:63.8pt;margin-top:3.4pt;width:467.75pt;height:.25pt;z-index:-1557555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EdKZzm3AgAA&#10;ewgAAA4AAAAAAAAAAAAAAAAALgIAAGRycy9lMm9Eb2MueG1sUEsBAi0AFAAGAAgAAAAhAPAF+nbe&#10;AAAACAEAAA8AAAAAAAAAAAAAAAAAEQUAAGRycy9kb3ducmV2LnhtbFBLBQYAAAAABAAEAPMAAAAc&#10;BgAAAAA=&#10;">
                <v:shape id="Graphic 1028"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" path="m,l1806003,e" filled="f" strokeweight=".25pt">
                  <v:path arrowok="t"/>
                </v:shape>
                <v:shape id="Graphic 1029"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" path="m,l4134002,e" filled="f" strokeweight=".25pt">
                  <v:path arrowok="t"/>
                </v:shape>
                <w10:wrap type="topAndBottom" anchorx="page"/>
              </v:group>
            </w:pict>
          </mc:Fallback>
        </mc:AlternateContent>
      </w:r>
    </w:p>
    <w:p w14:paraId="185C2A11" w14:textId="77777777" w:rsidR="00AC6F3C" w:rsidRDefault="00570E88">
      <w:pPr>
        <w:pStyle w:val="BodyText"/>
        <w:tabs>
          <w:tab w:val="left" w:pos="3772"/>
        </w:tabs>
        <w:spacing w:before="69" w:after="60" w:line="249" w:lineRule="auto"/>
        <w:ind w:left="3772" w:right="1353" w:hanging="2844"/>
      </w:pPr>
      <w:r>
        <w:rPr>
          <w:b/>
        </w:rPr>
        <w:t>Minds Count</w:t>
      </w:r>
      <w:r>
        <w:rPr>
          <w:b/>
        </w:rPr>
        <w:tab/>
      </w:r>
      <w:r>
        <w:t>Organisation</w:t>
      </w:r>
      <w:r>
        <w:rPr>
          <w:spacing w:val="-5"/>
        </w:rPr>
        <w:t xml:space="preserve"> </w:t>
      </w:r>
      <w:r>
        <w:t>promoting</w:t>
      </w:r>
      <w:r>
        <w:rPr>
          <w:spacing w:val="-5"/>
        </w:rPr>
        <w:t xml:space="preserve"> </w:t>
      </w:r>
      <w:r>
        <w:t>mental</w:t>
      </w:r>
      <w:r>
        <w:rPr>
          <w:spacing w:val="-5"/>
        </w:rPr>
        <w:t xml:space="preserve"> </w:t>
      </w:r>
      <w:r>
        <w:t>health</w:t>
      </w:r>
      <w:r>
        <w:rPr>
          <w:spacing w:val="-5"/>
        </w:rPr>
        <w:t xml:space="preserve"> </w:t>
      </w:r>
      <w:r>
        <w:t>and</w:t>
      </w:r>
      <w:r>
        <w:rPr>
          <w:spacing w:val="-5"/>
        </w:rPr>
        <w:t xml:space="preserve"> </w:t>
      </w:r>
      <w:r>
        <w:t>wellbeing</w:t>
      </w:r>
      <w:r>
        <w:rPr>
          <w:spacing w:val="-5"/>
        </w:rPr>
        <w:t xml:space="preserve"> </w:t>
      </w:r>
      <w:r>
        <w:t>in</w:t>
      </w:r>
      <w:r>
        <w:rPr>
          <w:spacing w:val="-5"/>
        </w:rPr>
        <w:t xml:space="preserve"> </w:t>
      </w:r>
      <w:r>
        <w:t>the legal profession – formerly known as the Tristan Jepson Memorial Foundation</w:t>
      </w:r>
    </w:p>
    <w:p w14:paraId="22C67F1B" w14:textId="77777777" w:rsidR="00AC6F3C" w:rsidRDefault="00570E88">
      <w:pPr>
        <w:pStyle w:val="BodyText"/>
        <w:spacing w:line="20" w:lineRule="exact"/>
        <w:ind w:left="812"/>
        <w:rPr>
          <w:sz w:val="2"/>
        </w:rPr>
      </w:pPr>
      <w:r>
        <w:rPr>
          <w:noProof/>
          <w:sz w:val="2"/>
        </w:rPr>
        <mc:AlternateContent>
          <mc:Choice Requires="wpg">
            <w:drawing>
              <wp:inline distT="0" distB="0" distL="0" distR="0" wp14:anchorId="55B10C34" wp14:editId="042E0F1F">
                <wp:extent cx="5940425" cy="3175"/>
                <wp:effectExtent l="9525" t="0" r="0" b="6350"/>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31" name="Graphic 1031"/>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32" name="Graphic 1032"/>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9FD2AA" id="Group 1030"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">
                <v:shape id="Graphic 1031"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" path="m,l1806003,e" filled="f" strokeweight=".25pt">
                  <v:path arrowok="t"/>
                </v:shape>
                <v:shape id="Graphic 1032"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" path="m,l4134002,e" filled="f" strokeweight=".25pt">
                  <v:path arrowok="t"/>
                </v:shape>
                <w10:anchorlock/>
              </v:group>
            </w:pict>
          </mc:Fallback>
        </mc:AlternateContent>
      </w:r>
    </w:p>
    <w:p w14:paraId="3406F9BD" w14:textId="77777777" w:rsidR="00AC6F3C" w:rsidRDefault="00570E88">
      <w:pPr>
        <w:pStyle w:val="BodyText"/>
        <w:tabs>
          <w:tab w:val="left" w:pos="3772"/>
        </w:tabs>
        <w:spacing w:before="55"/>
        <w:ind w:left="928"/>
      </w:pPr>
      <w:r>
        <w:rPr>
          <w:b/>
        </w:rPr>
        <w:t>Open</w:t>
      </w:r>
      <w:r>
        <w:rPr>
          <w:b/>
          <w:spacing w:val="-2"/>
        </w:rPr>
        <w:t xml:space="preserve"> </w:t>
      </w:r>
      <w:r>
        <w:rPr>
          <w:b/>
          <w:spacing w:val="-4"/>
        </w:rPr>
        <w:t>rate</w:t>
      </w:r>
      <w:r>
        <w:rPr>
          <w:b/>
        </w:rPr>
        <w:tab/>
      </w:r>
      <w:r>
        <w:t>The</w:t>
      </w:r>
      <w:r>
        <w:rPr>
          <w:spacing w:val="-2"/>
        </w:rPr>
        <w:t xml:space="preserve"> </w:t>
      </w:r>
      <w:r>
        <w:t>number</w:t>
      </w:r>
      <w:r>
        <w:rPr>
          <w:spacing w:val="-1"/>
        </w:rPr>
        <w:t xml:space="preserve"> </w:t>
      </w:r>
      <w:r>
        <w:t>of</w:t>
      </w:r>
      <w:r>
        <w:rPr>
          <w:spacing w:val="-1"/>
        </w:rPr>
        <w:t xml:space="preserve"> </w:t>
      </w:r>
      <w:r>
        <w:t>times</w:t>
      </w:r>
      <w:r>
        <w:rPr>
          <w:spacing w:val="-1"/>
        </w:rPr>
        <w:t xml:space="preserve"> </w:t>
      </w:r>
      <w:r>
        <w:t>an</w:t>
      </w:r>
      <w:r>
        <w:rPr>
          <w:spacing w:val="-2"/>
        </w:rPr>
        <w:t xml:space="preserve"> </w:t>
      </w:r>
      <w:r>
        <w:t>email</w:t>
      </w:r>
      <w:r>
        <w:rPr>
          <w:spacing w:val="-1"/>
        </w:rPr>
        <w:t xml:space="preserve"> </w:t>
      </w:r>
      <w:r>
        <w:t>has</w:t>
      </w:r>
      <w:r>
        <w:rPr>
          <w:spacing w:val="-1"/>
        </w:rPr>
        <w:t xml:space="preserve"> </w:t>
      </w:r>
      <w:r>
        <w:t>been</w:t>
      </w:r>
      <w:r>
        <w:rPr>
          <w:spacing w:val="-1"/>
        </w:rPr>
        <w:t xml:space="preserve"> </w:t>
      </w:r>
      <w:r>
        <w:rPr>
          <w:spacing w:val="-2"/>
        </w:rPr>
        <w:t>opened</w:t>
      </w:r>
    </w:p>
    <w:p w14:paraId="0AA793B7" w14:textId="77777777" w:rsidR="00AC6F3C" w:rsidRDefault="00570E88">
      <w:pPr>
        <w:pStyle w:val="BodyText"/>
        <w:spacing w:before="8"/>
        <w:rPr>
          <w:sz w:val="3"/>
        </w:rPr>
      </w:pPr>
      <w:r>
        <w:rPr>
          <w:noProof/>
        </w:rPr>
        <mc:AlternateContent>
          <mc:Choice Requires="wpg">
            <w:drawing>
              <wp:anchor distT="0" distB="0" distL="0" distR="0" simplePos="0" relativeHeight="487741952" behindDoc="1" locked="0" layoutInCell="1" allowOverlap="1" wp14:anchorId="7606BEC6" wp14:editId="7BD199B4">
                <wp:simplePos x="0" y="0"/>
                <wp:positionH relativeFrom="page">
                  <wp:posOffset>809999</wp:posOffset>
                </wp:positionH>
                <wp:positionV relativeFrom="paragraph">
                  <wp:posOffset>43114</wp:posOffset>
                </wp:positionV>
                <wp:extent cx="5940425" cy="3175"/>
                <wp:effectExtent l="0" t="0" r="0" b="0"/>
                <wp:wrapTopAndBottom/>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34" name="Graphic 1034"/>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35" name="Graphic 1035"/>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730947" id="Group 1033" o:spid="_x0000_s1026" style="position:absolute;margin-left:63.8pt;margin-top:3.4pt;width:467.75pt;height:.25pt;z-index:-1557452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BSVTJluAIA&#10;AHsIAAAOAAAAAAAAAAAAAAAAAC4CAABkcnMvZTJvRG9jLnhtbFBLAQItABQABgAIAAAAIQDwBfp2&#10;3gAAAAgBAAAPAAAAAAAAAAAAAAAAABIFAABkcnMvZG93bnJldi54bWxQSwUGAAAAAAQABADzAAAA&#10;HQYAAAAA&#10;">
                <v:shape id="Graphic 1034"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" path="m,l1806003,e" filled="f" strokeweight=".25pt">
                  <v:path arrowok="t"/>
                </v:shape>
                <v:shape id="Graphic 1035"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" path="m,l4134002,e" filled="f" strokeweight=".25pt">
                  <v:path arrowok="t"/>
                </v:shape>
                <w10:wrap type="topAndBottom" anchorx="page"/>
              </v:group>
            </w:pict>
          </mc:Fallback>
        </mc:AlternateContent>
      </w:r>
    </w:p>
    <w:p w14:paraId="59DA94F7" w14:textId="77777777" w:rsidR="00AC6F3C" w:rsidRDefault="00570E88">
      <w:pPr>
        <w:pStyle w:val="BodyText"/>
        <w:tabs>
          <w:tab w:val="left" w:pos="3772"/>
        </w:tabs>
        <w:spacing w:before="69"/>
        <w:ind w:left="928"/>
      </w:pPr>
      <w:r>
        <w:rPr>
          <w:b/>
          <w:spacing w:val="-5"/>
        </w:rPr>
        <w:t>PC</w:t>
      </w:r>
      <w:r>
        <w:rPr>
          <w:b/>
        </w:rPr>
        <w:tab/>
      </w:r>
      <w:proofErr w:type="spellStart"/>
      <w:r>
        <w:t>Practising</w:t>
      </w:r>
      <w:proofErr w:type="spellEnd"/>
      <w:r>
        <w:rPr>
          <w:spacing w:val="-9"/>
        </w:rPr>
        <w:t xml:space="preserve"> </w:t>
      </w:r>
      <w:r>
        <w:rPr>
          <w:spacing w:val="-2"/>
        </w:rPr>
        <w:t>certificate</w:t>
      </w:r>
    </w:p>
    <w:p w14:paraId="3191BE7E" w14:textId="77777777" w:rsidR="00AC6F3C" w:rsidRDefault="00570E88">
      <w:pPr>
        <w:pStyle w:val="BodyText"/>
        <w:spacing w:before="9"/>
        <w:rPr>
          <w:sz w:val="3"/>
        </w:rPr>
      </w:pPr>
      <w:r>
        <w:rPr>
          <w:noProof/>
        </w:rPr>
        <mc:AlternateContent>
          <mc:Choice Requires="wpg">
            <w:drawing>
              <wp:anchor distT="0" distB="0" distL="0" distR="0" simplePos="0" relativeHeight="487742464" behindDoc="1" locked="0" layoutInCell="1" allowOverlap="1" wp14:anchorId="33027E42" wp14:editId="01B28B2A">
                <wp:simplePos x="0" y="0"/>
                <wp:positionH relativeFrom="page">
                  <wp:posOffset>809999</wp:posOffset>
                </wp:positionH>
                <wp:positionV relativeFrom="paragraph">
                  <wp:posOffset>43431</wp:posOffset>
                </wp:positionV>
                <wp:extent cx="5940425" cy="3175"/>
                <wp:effectExtent l="0" t="0" r="0" b="0"/>
                <wp:wrapTopAndBottom/>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37" name="Graphic 1037"/>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38" name="Graphic 1038"/>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90CD80" id="Group 1036" o:spid="_x0000_s1026" style="position:absolute;margin-left:63.8pt;margin-top:3.4pt;width:467.75pt;height:.25pt;z-index:-1557401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">
                <v:shape id="Graphic 1037"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" path="m,l1806003,e" filled="f" strokeweight=".25pt">
                  <v:path arrowok="t"/>
                </v:shape>
                <v:shape id="Graphic 1038"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" path="m,l4134002,e" filled="f" strokeweight=".25pt">
                  <v:path arrowok="t"/>
                </v:shape>
                <w10:wrap type="topAndBottom" anchorx="page"/>
              </v:group>
            </w:pict>
          </mc:Fallback>
        </mc:AlternateContent>
      </w:r>
    </w:p>
    <w:p w14:paraId="3F45BDCB" w14:textId="77777777" w:rsidR="00AC6F3C" w:rsidRDefault="00570E88">
      <w:pPr>
        <w:pStyle w:val="BodyText"/>
        <w:tabs>
          <w:tab w:val="left" w:pos="3772"/>
        </w:tabs>
        <w:spacing w:before="69"/>
        <w:ind w:left="928"/>
      </w:pPr>
      <w:r>
        <w:rPr>
          <w:b/>
          <w:spacing w:val="-5"/>
        </w:rPr>
        <w:t>PMC</w:t>
      </w:r>
      <w:r>
        <w:rPr>
          <w:b/>
        </w:rPr>
        <w:tab/>
      </w:r>
      <w:r>
        <w:t>Practice</w:t>
      </w:r>
      <w:r>
        <w:rPr>
          <w:spacing w:val="-4"/>
        </w:rPr>
        <w:t xml:space="preserve"> </w:t>
      </w:r>
      <w:r>
        <w:t>Management</w:t>
      </w:r>
      <w:r>
        <w:rPr>
          <w:spacing w:val="-3"/>
        </w:rPr>
        <w:t xml:space="preserve"> </w:t>
      </w:r>
      <w:r>
        <w:rPr>
          <w:spacing w:val="-2"/>
        </w:rPr>
        <w:t>Course</w:t>
      </w:r>
    </w:p>
    <w:p w14:paraId="718EDC4D" w14:textId="77777777" w:rsidR="00AC6F3C" w:rsidRDefault="00570E88">
      <w:pPr>
        <w:pStyle w:val="BodyText"/>
        <w:spacing w:before="9"/>
        <w:rPr>
          <w:sz w:val="3"/>
        </w:rPr>
      </w:pPr>
      <w:r>
        <w:rPr>
          <w:noProof/>
        </w:rPr>
        <mc:AlternateContent>
          <mc:Choice Requires="wpg">
            <w:drawing>
              <wp:anchor distT="0" distB="0" distL="0" distR="0" simplePos="0" relativeHeight="487742976" behindDoc="1" locked="0" layoutInCell="1" allowOverlap="1" wp14:anchorId="39916DED" wp14:editId="1B32E243">
                <wp:simplePos x="0" y="0"/>
                <wp:positionH relativeFrom="page">
                  <wp:posOffset>809999</wp:posOffset>
                </wp:positionH>
                <wp:positionV relativeFrom="paragraph">
                  <wp:posOffset>43432</wp:posOffset>
                </wp:positionV>
                <wp:extent cx="5940425" cy="3175"/>
                <wp:effectExtent l="0" t="0" r="0" b="0"/>
                <wp:wrapTopAndBottom/>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40" name="Graphic 1040"/>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41" name="Graphic 1041"/>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D808F5" id="Group 1039" o:spid="_x0000_s1026" style="position:absolute;margin-left:63.8pt;margin-top:3.4pt;width:467.75pt;height:.25pt;z-index:-1557350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P8BbOy3AgAA&#10;ewgAAA4AAAAAAAAAAAAAAAAALgIAAGRycy9lMm9Eb2MueG1sUEsBAi0AFAAGAAgAAAAhAPAF+nbe&#10;AAAACAEAAA8AAAAAAAAAAAAAAAAAEQUAAGRycy9kb3ducmV2LnhtbFBLBQYAAAAABAAEAPMAAAAc&#10;BgAAAAA=&#10;">
                <v:shape id="Graphic 1040"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" path="m,l1806003,e" filled="f" strokeweight=".25pt">
                  <v:path arrowok="t"/>
                </v:shape>
                <v:shape id="Graphic 1041"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" path="m,l4134002,e" filled="f" strokeweight=".25pt">
                  <v:path arrowok="t"/>
                </v:shape>
                <w10:wrap type="topAndBottom" anchorx="page"/>
              </v:group>
            </w:pict>
          </mc:Fallback>
        </mc:AlternateContent>
      </w:r>
    </w:p>
    <w:p w14:paraId="10A661B9" w14:textId="77777777" w:rsidR="00AC6F3C" w:rsidRDefault="00570E88">
      <w:pPr>
        <w:pStyle w:val="BodyText"/>
        <w:tabs>
          <w:tab w:val="left" w:pos="3772"/>
        </w:tabs>
        <w:spacing w:before="69"/>
        <w:ind w:left="928"/>
      </w:pPr>
      <w:r>
        <w:rPr>
          <w:b/>
          <w:spacing w:val="-2"/>
        </w:rPr>
        <w:t>Proctor</w:t>
      </w:r>
      <w:r>
        <w:rPr>
          <w:b/>
        </w:rPr>
        <w:tab/>
      </w:r>
      <w:r>
        <w:t>Queensland</w:t>
      </w:r>
      <w:r>
        <w:rPr>
          <w:spacing w:val="-6"/>
        </w:rPr>
        <w:t xml:space="preserve"> </w:t>
      </w:r>
      <w:r>
        <w:t>Law</w:t>
      </w:r>
      <w:r>
        <w:rPr>
          <w:spacing w:val="-5"/>
        </w:rPr>
        <w:t xml:space="preserve"> </w:t>
      </w:r>
      <w:r>
        <w:t>Society’s</w:t>
      </w:r>
      <w:r>
        <w:rPr>
          <w:spacing w:val="-6"/>
        </w:rPr>
        <w:t xml:space="preserve"> </w:t>
      </w:r>
      <w:r>
        <w:t>online</w:t>
      </w:r>
      <w:r>
        <w:rPr>
          <w:spacing w:val="-5"/>
        </w:rPr>
        <w:t xml:space="preserve"> </w:t>
      </w:r>
      <w:r>
        <w:t>news</w:t>
      </w:r>
      <w:r>
        <w:rPr>
          <w:spacing w:val="-5"/>
        </w:rPr>
        <w:t xml:space="preserve"> </w:t>
      </w:r>
      <w:r>
        <w:rPr>
          <w:spacing w:val="-2"/>
        </w:rPr>
        <w:t>publication</w:t>
      </w:r>
    </w:p>
    <w:p w14:paraId="59FFB179" w14:textId="77777777" w:rsidR="00AC6F3C" w:rsidRDefault="00570E88">
      <w:pPr>
        <w:pStyle w:val="BodyText"/>
        <w:spacing w:before="9"/>
        <w:rPr>
          <w:sz w:val="3"/>
        </w:rPr>
      </w:pPr>
      <w:r>
        <w:rPr>
          <w:noProof/>
        </w:rPr>
        <mc:AlternateContent>
          <mc:Choice Requires="wpg">
            <w:drawing>
              <wp:anchor distT="0" distB="0" distL="0" distR="0" simplePos="0" relativeHeight="487743488" behindDoc="1" locked="0" layoutInCell="1" allowOverlap="1" wp14:anchorId="0A1EE18F" wp14:editId="5DBFEDC9">
                <wp:simplePos x="0" y="0"/>
                <wp:positionH relativeFrom="page">
                  <wp:posOffset>809999</wp:posOffset>
                </wp:positionH>
                <wp:positionV relativeFrom="paragraph">
                  <wp:posOffset>43432</wp:posOffset>
                </wp:positionV>
                <wp:extent cx="5940425" cy="3175"/>
                <wp:effectExtent l="0" t="0" r="0" b="0"/>
                <wp:wrapTopAndBottom/>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43" name="Graphic 1043"/>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44" name="Graphic 1044"/>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A65F34" id="Group 1042" o:spid="_x0000_s1026" style="position:absolute;margin-left:63.8pt;margin-top:3.4pt;width:467.75pt;height:.25pt;z-index:-1557299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ARcplS3AgAA&#10;ewgAAA4AAAAAAAAAAAAAAAAALgIAAGRycy9lMm9Eb2MueG1sUEsBAi0AFAAGAAgAAAAhAPAF+nbe&#10;AAAACAEAAA8AAAAAAAAAAAAAAAAAEQUAAGRycy9kb3ducmV2LnhtbFBLBQYAAAAABAAEAPMAAAAc&#10;BgAAAAA=&#10;">
                <v:shape id="Graphic 1043"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" path="m,l1806003,e" filled="f" strokeweight=".25pt">
                  <v:path arrowok="t"/>
                </v:shape>
                <v:shape id="Graphic 1044"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" path="m,l4134002,e" filled="f" strokeweight=".25pt">
                  <v:path arrowok="t"/>
                </v:shape>
                <w10:wrap type="topAndBottom" anchorx="page"/>
              </v:group>
            </w:pict>
          </mc:Fallback>
        </mc:AlternateContent>
      </w:r>
    </w:p>
    <w:p w14:paraId="414862CC" w14:textId="77777777" w:rsidR="00AC6F3C" w:rsidRDefault="00570E88">
      <w:pPr>
        <w:pStyle w:val="BodyText"/>
        <w:tabs>
          <w:tab w:val="left" w:pos="3772"/>
        </w:tabs>
        <w:spacing w:before="69"/>
        <w:ind w:left="928"/>
      </w:pPr>
      <w:r>
        <w:rPr>
          <w:b/>
          <w:spacing w:val="-4"/>
        </w:rPr>
        <w:t>QCAT</w:t>
      </w:r>
      <w:r>
        <w:rPr>
          <w:b/>
        </w:rPr>
        <w:tab/>
      </w:r>
      <w:r>
        <w:t>Queensland</w:t>
      </w:r>
      <w:r>
        <w:rPr>
          <w:spacing w:val="-11"/>
        </w:rPr>
        <w:t xml:space="preserve"> </w:t>
      </w:r>
      <w:r>
        <w:t>Civil</w:t>
      </w:r>
      <w:r>
        <w:rPr>
          <w:spacing w:val="-8"/>
        </w:rPr>
        <w:t xml:space="preserve"> </w:t>
      </w:r>
      <w:r>
        <w:t>and</w:t>
      </w:r>
      <w:r>
        <w:rPr>
          <w:spacing w:val="-14"/>
        </w:rPr>
        <w:t xml:space="preserve"> </w:t>
      </w:r>
      <w:r>
        <w:t>Administrative</w:t>
      </w:r>
      <w:r>
        <w:rPr>
          <w:spacing w:val="-10"/>
        </w:rPr>
        <w:t xml:space="preserve"> </w:t>
      </w:r>
      <w:r>
        <w:rPr>
          <w:spacing w:val="-2"/>
        </w:rPr>
        <w:t>Tribunal</w:t>
      </w:r>
    </w:p>
    <w:p w14:paraId="1102FEE9" w14:textId="77777777" w:rsidR="00AC6F3C" w:rsidRDefault="00570E88">
      <w:pPr>
        <w:pStyle w:val="BodyText"/>
        <w:spacing w:before="9"/>
        <w:rPr>
          <w:sz w:val="3"/>
        </w:rPr>
      </w:pPr>
      <w:r>
        <w:rPr>
          <w:noProof/>
        </w:rPr>
        <mc:AlternateContent>
          <mc:Choice Requires="wpg">
            <w:drawing>
              <wp:anchor distT="0" distB="0" distL="0" distR="0" simplePos="0" relativeHeight="487744000" behindDoc="1" locked="0" layoutInCell="1" allowOverlap="1" wp14:anchorId="271212C2" wp14:editId="7B66750A">
                <wp:simplePos x="0" y="0"/>
                <wp:positionH relativeFrom="page">
                  <wp:posOffset>809999</wp:posOffset>
                </wp:positionH>
                <wp:positionV relativeFrom="paragraph">
                  <wp:posOffset>43431</wp:posOffset>
                </wp:positionV>
                <wp:extent cx="5940425" cy="3175"/>
                <wp:effectExtent l="0" t="0" r="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46" name="Graphic 1046"/>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47" name="Graphic 1047"/>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99E2A" id="Group 1045" o:spid="_x0000_s1026" style="position:absolute;margin-left:63.8pt;margin-top:3.4pt;width:467.75pt;height:.25pt;z-index:-1557248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">
                <v:shape id="Graphic 1046"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" path="m,l1806003,e" filled="f" strokeweight=".25pt">
                  <v:path arrowok="t"/>
                </v:shape>
                <v:shape id="Graphic 1047"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" path="m,l4134002,e" filled="f" strokeweight=".25pt">
                  <v:path arrowok="t"/>
                </v:shape>
                <w10:wrap type="topAndBottom" anchorx="page"/>
              </v:group>
            </w:pict>
          </mc:Fallback>
        </mc:AlternateContent>
      </w:r>
    </w:p>
    <w:p w14:paraId="3AF9D91B" w14:textId="77777777" w:rsidR="00AC6F3C" w:rsidRDefault="00570E88">
      <w:pPr>
        <w:pStyle w:val="BodyText"/>
        <w:tabs>
          <w:tab w:val="left" w:pos="3772"/>
        </w:tabs>
        <w:spacing w:before="69"/>
        <w:ind w:left="928"/>
      </w:pPr>
      <w:r>
        <w:rPr>
          <w:b/>
          <w:spacing w:val="-5"/>
        </w:rPr>
        <w:t>QLS</w:t>
      </w:r>
      <w:r>
        <w:rPr>
          <w:b/>
        </w:rPr>
        <w:tab/>
      </w:r>
      <w:r>
        <w:t>Queensland</w:t>
      </w:r>
      <w:r>
        <w:rPr>
          <w:spacing w:val="-6"/>
        </w:rPr>
        <w:t xml:space="preserve"> </w:t>
      </w:r>
      <w:r>
        <w:t>Law</w:t>
      </w:r>
      <w:r>
        <w:rPr>
          <w:spacing w:val="-5"/>
        </w:rPr>
        <w:t xml:space="preserve"> </w:t>
      </w:r>
      <w:r>
        <w:rPr>
          <w:spacing w:val="-2"/>
        </w:rPr>
        <w:t>Society</w:t>
      </w:r>
    </w:p>
    <w:p w14:paraId="1E0ABDF2" w14:textId="77777777" w:rsidR="00AC6F3C" w:rsidRDefault="00570E88">
      <w:pPr>
        <w:pStyle w:val="BodyText"/>
        <w:spacing w:before="9"/>
        <w:rPr>
          <w:sz w:val="3"/>
        </w:rPr>
      </w:pPr>
      <w:r>
        <w:rPr>
          <w:noProof/>
        </w:rPr>
        <mc:AlternateContent>
          <mc:Choice Requires="wpg">
            <w:drawing>
              <wp:anchor distT="0" distB="0" distL="0" distR="0" simplePos="0" relativeHeight="487744512" behindDoc="1" locked="0" layoutInCell="1" allowOverlap="1" wp14:anchorId="24A4F54C" wp14:editId="67633767">
                <wp:simplePos x="0" y="0"/>
                <wp:positionH relativeFrom="page">
                  <wp:posOffset>809999</wp:posOffset>
                </wp:positionH>
                <wp:positionV relativeFrom="paragraph">
                  <wp:posOffset>43178</wp:posOffset>
                </wp:positionV>
                <wp:extent cx="5940425" cy="3175"/>
                <wp:effectExtent l="0" t="0" r="0" b="0"/>
                <wp:wrapTopAndBottom/>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49" name="Graphic 1049"/>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50" name="Graphic 1050"/>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B78A72" id="Group 1048" o:spid="_x0000_s1026" style="position:absolute;margin-left:63.8pt;margin-top:3.4pt;width:467.75pt;height:.25pt;z-index:-1557196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">
                <v:shape id="Graphic 1049"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" path="m,l1806003,e" filled="f" strokeweight=".25pt">
                  <v:path arrowok="t"/>
                </v:shape>
                <v:shape id="Graphic 1050"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" path="m,l4134002,e" filled="f" strokeweight=".25pt">
                  <v:path arrowok="t"/>
                </v:shape>
                <w10:wrap type="topAndBottom" anchorx="page"/>
              </v:group>
            </w:pict>
          </mc:Fallback>
        </mc:AlternateContent>
      </w:r>
    </w:p>
    <w:p w14:paraId="1D25BE4A" w14:textId="77777777" w:rsidR="00AC6F3C" w:rsidRDefault="00AC6F3C">
      <w:pPr>
        <w:rPr>
          <w:sz w:val="3"/>
        </w:rPr>
        <w:sectPr w:rsidR="00AC6F3C">
          <w:headerReference w:type="default" r:id="rId266"/>
          <w:footerReference w:type="default" r:id="rId267"/>
          <w:pgSz w:w="11910" w:h="16840"/>
          <w:pgMar w:top="980" w:right="1160" w:bottom="520" w:left="460" w:header="0" w:footer="336" w:gutter="0"/>
          <w:cols w:space="720"/>
        </w:sectPr>
      </w:pPr>
    </w:p>
    <w:p w14:paraId="4C01DA66" w14:textId="77777777" w:rsidR="00AC6F3C" w:rsidRDefault="00570E88">
      <w:pPr>
        <w:pStyle w:val="BodyText"/>
        <w:spacing w:line="20" w:lineRule="exact"/>
        <w:ind w:left="812"/>
        <w:rPr>
          <w:sz w:val="2"/>
        </w:rPr>
      </w:pPr>
      <w:r>
        <w:rPr>
          <w:noProof/>
          <w:sz w:val="2"/>
        </w:rPr>
        <w:lastRenderedPageBreak/>
        <mc:AlternateContent>
          <mc:Choice Requires="wpg">
            <w:drawing>
              <wp:inline distT="0" distB="0" distL="0" distR="0" wp14:anchorId="64515F9B" wp14:editId="20CD9A72">
                <wp:extent cx="5940425" cy="3175"/>
                <wp:effectExtent l="9525" t="0" r="0" b="6350"/>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53" name="Graphic 1053"/>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54" name="Graphic 1054"/>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940B4A" id="Group 1052" o:spid="_x0000_s1026" style="width:467.75pt;height:.25pt;mso-position-horizontal-relative:char;mso-position-vertical-relative:lin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">
                <v:shape id="Graphic 1053"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" path="m,l1806003,e" filled="f" strokeweight=".25pt">
                  <v:path arrowok="t"/>
                </v:shape>
                <v:shape id="Graphic 1054"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" path="m,l4134002,e" filled="f" strokeweight=".25pt">
                  <v:path arrowok="t"/>
                </v:shape>
                <w10:anchorlock/>
              </v:group>
            </w:pict>
          </mc:Fallback>
        </mc:AlternateContent>
      </w:r>
    </w:p>
    <w:p w14:paraId="7E2459C3" w14:textId="77777777" w:rsidR="00AC6F3C" w:rsidRDefault="00570E88">
      <w:pPr>
        <w:pStyle w:val="BodyText"/>
        <w:tabs>
          <w:tab w:val="left" w:pos="3772"/>
        </w:tabs>
        <w:spacing w:before="51"/>
        <w:ind w:left="928"/>
      </w:pPr>
      <w:r>
        <w:rPr>
          <w:b/>
        </w:rPr>
        <w:t xml:space="preserve">QLS </w:t>
      </w:r>
      <w:r>
        <w:rPr>
          <w:b/>
          <w:spacing w:val="-2"/>
        </w:rPr>
        <w:t>Update</w:t>
      </w:r>
      <w:r>
        <w:rPr>
          <w:b/>
        </w:rPr>
        <w:tab/>
      </w:r>
      <w:r>
        <w:t>Queensland</w:t>
      </w:r>
      <w:r>
        <w:rPr>
          <w:spacing w:val="-6"/>
        </w:rPr>
        <w:t xml:space="preserve"> </w:t>
      </w:r>
      <w:r>
        <w:t>Law</w:t>
      </w:r>
      <w:r>
        <w:rPr>
          <w:spacing w:val="-5"/>
        </w:rPr>
        <w:t xml:space="preserve"> </w:t>
      </w:r>
      <w:r>
        <w:t>Society’s</w:t>
      </w:r>
      <w:r>
        <w:rPr>
          <w:spacing w:val="-6"/>
        </w:rPr>
        <w:t xml:space="preserve"> </w:t>
      </w:r>
      <w:r>
        <w:t>weekly</w:t>
      </w:r>
      <w:r>
        <w:rPr>
          <w:spacing w:val="-5"/>
        </w:rPr>
        <w:t xml:space="preserve"> </w:t>
      </w:r>
      <w:r>
        <w:t>e-</w:t>
      </w:r>
      <w:r>
        <w:rPr>
          <w:spacing w:val="-2"/>
        </w:rPr>
        <w:t>newsletter</w:t>
      </w:r>
    </w:p>
    <w:p w14:paraId="53947E75" w14:textId="77777777" w:rsidR="00AC6F3C" w:rsidRDefault="00570E88">
      <w:pPr>
        <w:pStyle w:val="BodyText"/>
        <w:spacing w:before="10"/>
        <w:rPr>
          <w:sz w:val="3"/>
        </w:rPr>
      </w:pPr>
      <w:r>
        <w:rPr>
          <w:noProof/>
        </w:rPr>
        <mc:AlternateContent>
          <mc:Choice Requires="wpg">
            <w:drawing>
              <wp:anchor distT="0" distB="0" distL="0" distR="0" simplePos="0" relativeHeight="487745536" behindDoc="1" locked="0" layoutInCell="1" allowOverlap="1" wp14:anchorId="0AAAD8CA" wp14:editId="574B7AE6">
                <wp:simplePos x="0" y="0"/>
                <wp:positionH relativeFrom="page">
                  <wp:posOffset>809999</wp:posOffset>
                </wp:positionH>
                <wp:positionV relativeFrom="paragraph">
                  <wp:posOffset>43936</wp:posOffset>
                </wp:positionV>
                <wp:extent cx="5940425" cy="3175"/>
                <wp:effectExtent l="0" t="0" r="0" b="0"/>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56" name="Graphic 1056"/>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57" name="Graphic 1057"/>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810BD" id="Group 1055" o:spid="_x0000_s1026" style="position:absolute;margin-left:63.8pt;margin-top:3.45pt;width:467.75pt;height:.25pt;z-index:-15570944;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">
                <v:shape id="Graphic 1056"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" path="m,l1806003,e" filled="f" strokeweight=".25pt">
                  <v:path arrowok="t"/>
                </v:shape>
                <v:shape id="Graphic 1057"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" path="m,l4134002,e" filled="f" strokeweight=".25pt">
                  <v:path arrowok="t"/>
                </v:shape>
                <w10:wrap type="topAndBottom" anchorx="page"/>
              </v:group>
            </w:pict>
          </mc:Fallback>
        </mc:AlternateContent>
      </w:r>
    </w:p>
    <w:p w14:paraId="02C428A6" w14:textId="77777777" w:rsidR="00AC6F3C" w:rsidRDefault="00570E88">
      <w:pPr>
        <w:tabs>
          <w:tab w:val="left" w:pos="3772"/>
        </w:tabs>
        <w:spacing w:before="69"/>
        <w:ind w:left="928"/>
        <w:rPr>
          <w:sz w:val="20"/>
        </w:rPr>
      </w:pPr>
      <w:r>
        <w:rPr>
          <w:b/>
          <w:sz w:val="20"/>
        </w:rPr>
        <w:t xml:space="preserve">QLS </w:t>
      </w:r>
      <w:r>
        <w:rPr>
          <w:b/>
          <w:spacing w:val="-2"/>
          <w:sz w:val="20"/>
        </w:rPr>
        <w:t>Symposium</w:t>
      </w:r>
      <w:r>
        <w:rPr>
          <w:b/>
          <w:sz w:val="20"/>
        </w:rPr>
        <w:tab/>
      </w:r>
      <w:r>
        <w:rPr>
          <w:sz w:val="20"/>
        </w:rPr>
        <w:t>Queensland</w:t>
      </w:r>
      <w:r>
        <w:rPr>
          <w:spacing w:val="-7"/>
          <w:sz w:val="20"/>
        </w:rPr>
        <w:t xml:space="preserve"> </w:t>
      </w:r>
      <w:r>
        <w:rPr>
          <w:sz w:val="20"/>
        </w:rPr>
        <w:t>Law</w:t>
      </w:r>
      <w:r>
        <w:rPr>
          <w:spacing w:val="-7"/>
          <w:sz w:val="20"/>
        </w:rPr>
        <w:t xml:space="preserve"> </w:t>
      </w:r>
      <w:r>
        <w:rPr>
          <w:sz w:val="20"/>
        </w:rPr>
        <w:t>Society’s</w:t>
      </w:r>
      <w:r>
        <w:rPr>
          <w:spacing w:val="-7"/>
          <w:sz w:val="20"/>
        </w:rPr>
        <w:t xml:space="preserve"> </w:t>
      </w:r>
      <w:r>
        <w:rPr>
          <w:sz w:val="20"/>
        </w:rPr>
        <w:t>annual</w:t>
      </w:r>
      <w:r>
        <w:rPr>
          <w:spacing w:val="-7"/>
          <w:sz w:val="20"/>
        </w:rPr>
        <w:t xml:space="preserve"> </w:t>
      </w:r>
      <w:r>
        <w:rPr>
          <w:sz w:val="20"/>
        </w:rPr>
        <w:t>education</w:t>
      </w:r>
      <w:r>
        <w:rPr>
          <w:spacing w:val="-7"/>
          <w:sz w:val="20"/>
        </w:rPr>
        <w:t xml:space="preserve"> </w:t>
      </w:r>
      <w:r>
        <w:rPr>
          <w:spacing w:val="-2"/>
          <w:sz w:val="20"/>
        </w:rPr>
        <w:t>conference</w:t>
      </w:r>
    </w:p>
    <w:p w14:paraId="3A580920" w14:textId="77777777" w:rsidR="00AC6F3C" w:rsidRDefault="00570E88">
      <w:pPr>
        <w:pStyle w:val="BodyText"/>
        <w:spacing w:before="10"/>
        <w:ind w:left="1659" w:right="1242"/>
        <w:jc w:val="center"/>
      </w:pPr>
      <w:r>
        <w:t>for</w:t>
      </w:r>
      <w:r>
        <w:rPr>
          <w:spacing w:val="-4"/>
        </w:rPr>
        <w:t xml:space="preserve"> </w:t>
      </w:r>
      <w:r>
        <w:t>the</w:t>
      </w:r>
      <w:r>
        <w:rPr>
          <w:spacing w:val="-4"/>
        </w:rPr>
        <w:t xml:space="preserve"> </w:t>
      </w:r>
      <w:r>
        <w:t>Queensland</w:t>
      </w:r>
      <w:r>
        <w:rPr>
          <w:spacing w:val="-4"/>
        </w:rPr>
        <w:t xml:space="preserve"> </w:t>
      </w:r>
      <w:r>
        <w:t>legal</w:t>
      </w:r>
      <w:r>
        <w:rPr>
          <w:spacing w:val="-3"/>
        </w:rPr>
        <w:t xml:space="preserve"> </w:t>
      </w:r>
      <w:r>
        <w:rPr>
          <w:spacing w:val="-2"/>
        </w:rPr>
        <w:t>profession</w:t>
      </w:r>
    </w:p>
    <w:p w14:paraId="5E62D988" w14:textId="77777777" w:rsidR="00AC6F3C" w:rsidRDefault="00570E88">
      <w:pPr>
        <w:pStyle w:val="BodyText"/>
        <w:spacing w:before="9"/>
        <w:rPr>
          <w:sz w:val="3"/>
        </w:rPr>
      </w:pPr>
      <w:r>
        <w:rPr>
          <w:noProof/>
        </w:rPr>
        <mc:AlternateContent>
          <mc:Choice Requires="wpg">
            <w:drawing>
              <wp:anchor distT="0" distB="0" distL="0" distR="0" simplePos="0" relativeHeight="487746048" behindDoc="1" locked="0" layoutInCell="1" allowOverlap="1" wp14:anchorId="05B6A845" wp14:editId="4B6202F5">
                <wp:simplePos x="0" y="0"/>
                <wp:positionH relativeFrom="page">
                  <wp:posOffset>809999</wp:posOffset>
                </wp:positionH>
                <wp:positionV relativeFrom="paragraph">
                  <wp:posOffset>43444</wp:posOffset>
                </wp:positionV>
                <wp:extent cx="5940425" cy="3175"/>
                <wp:effectExtent l="0" t="0" r="0" b="0"/>
                <wp:wrapTopAndBottom/>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59" name="Graphic 1059"/>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60" name="Graphic 1060"/>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B49431" id="Group 1058" o:spid="_x0000_s1026" style="position:absolute;margin-left:63.8pt;margin-top:3.4pt;width:467.75pt;height:.25pt;z-index:-15570432;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">
                <v:shape id="Graphic 1059"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" path="m,l1806003,e" filled="f" strokeweight=".25pt">
                  <v:path arrowok="t"/>
                </v:shape>
                <v:shape id="Graphic 1060"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" path="m,l4134002,e" filled="f" strokeweight=".25pt">
                  <v:path arrowok="t"/>
                </v:shape>
                <w10:wrap type="topAndBottom" anchorx="page"/>
              </v:group>
            </w:pict>
          </mc:Fallback>
        </mc:AlternateContent>
      </w:r>
    </w:p>
    <w:p w14:paraId="11401D23" w14:textId="77777777" w:rsidR="00AC6F3C" w:rsidRDefault="00570E88">
      <w:pPr>
        <w:pStyle w:val="BodyText"/>
        <w:tabs>
          <w:tab w:val="left" w:pos="3772"/>
        </w:tabs>
        <w:spacing w:before="69"/>
        <w:ind w:left="928"/>
      </w:pPr>
      <w:r>
        <w:rPr>
          <w:b/>
          <w:spacing w:val="-4"/>
        </w:rPr>
        <w:t>QSAC</w:t>
      </w:r>
      <w:r>
        <w:rPr>
          <w:b/>
        </w:rPr>
        <w:tab/>
      </w:r>
      <w:r>
        <w:t>Queensland</w:t>
      </w:r>
      <w:r>
        <w:rPr>
          <w:spacing w:val="-9"/>
        </w:rPr>
        <w:t xml:space="preserve"> </w:t>
      </w:r>
      <w:r>
        <w:t>Sentencing</w:t>
      </w:r>
      <w:r>
        <w:rPr>
          <w:spacing w:val="-14"/>
        </w:rPr>
        <w:t xml:space="preserve"> </w:t>
      </w:r>
      <w:r>
        <w:t>Advisory</w:t>
      </w:r>
      <w:r>
        <w:rPr>
          <w:spacing w:val="-6"/>
        </w:rPr>
        <w:t xml:space="preserve"> </w:t>
      </w:r>
      <w:r>
        <w:rPr>
          <w:spacing w:val="-2"/>
        </w:rPr>
        <w:t>Council</w:t>
      </w:r>
    </w:p>
    <w:p w14:paraId="63AA7C50" w14:textId="77777777" w:rsidR="00AC6F3C" w:rsidRDefault="00570E88">
      <w:pPr>
        <w:pStyle w:val="BodyText"/>
        <w:spacing w:before="9"/>
        <w:rPr>
          <w:sz w:val="3"/>
        </w:rPr>
      </w:pPr>
      <w:r>
        <w:rPr>
          <w:noProof/>
        </w:rPr>
        <mc:AlternateContent>
          <mc:Choice Requires="wpg">
            <w:drawing>
              <wp:anchor distT="0" distB="0" distL="0" distR="0" simplePos="0" relativeHeight="487746560" behindDoc="1" locked="0" layoutInCell="1" allowOverlap="1" wp14:anchorId="0A184B12" wp14:editId="6104B1C0">
                <wp:simplePos x="0" y="0"/>
                <wp:positionH relativeFrom="page">
                  <wp:posOffset>809999</wp:posOffset>
                </wp:positionH>
                <wp:positionV relativeFrom="paragraph">
                  <wp:posOffset>43431</wp:posOffset>
                </wp:positionV>
                <wp:extent cx="5940425" cy="3175"/>
                <wp:effectExtent l="0" t="0" r="0" b="0"/>
                <wp:wrapTopAndBottom/>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62" name="Graphic 1062"/>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63" name="Graphic 1063"/>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8ACD1A" id="Group 1061" o:spid="_x0000_s1026" style="position:absolute;margin-left:63.8pt;margin-top:3.4pt;width:467.75pt;height:.25pt;z-index:-15569920;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">
                <v:shape id="Graphic 1062"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" path="m,l1806003,e" filled="f" strokeweight=".25pt">
                  <v:path arrowok="t"/>
                </v:shape>
                <v:shape id="Graphic 1063"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" path="m,l4134002,e" filled="f" strokeweight=".25pt">
                  <v:path arrowok="t"/>
                </v:shape>
                <w10:wrap type="topAndBottom" anchorx="page"/>
              </v:group>
            </w:pict>
          </mc:Fallback>
        </mc:AlternateContent>
      </w:r>
    </w:p>
    <w:p w14:paraId="1E6FF689" w14:textId="77777777" w:rsidR="00AC6F3C" w:rsidRDefault="00570E88">
      <w:pPr>
        <w:pStyle w:val="BodyText"/>
        <w:tabs>
          <w:tab w:val="left" w:pos="3772"/>
        </w:tabs>
        <w:spacing w:before="69"/>
        <w:ind w:left="928"/>
      </w:pPr>
      <w:r>
        <w:rPr>
          <w:b/>
          <w:spacing w:val="-5"/>
        </w:rPr>
        <w:t>RAP</w:t>
      </w:r>
      <w:r>
        <w:rPr>
          <w:b/>
        </w:rPr>
        <w:tab/>
      </w:r>
      <w:r>
        <w:rPr>
          <w:spacing w:val="-2"/>
        </w:rPr>
        <w:t>Reconciliation Action</w:t>
      </w:r>
      <w:r>
        <w:rPr>
          <w:spacing w:val="13"/>
        </w:rPr>
        <w:t xml:space="preserve"> </w:t>
      </w:r>
      <w:r>
        <w:rPr>
          <w:spacing w:val="-4"/>
        </w:rPr>
        <w:t>Plan</w:t>
      </w:r>
    </w:p>
    <w:p w14:paraId="4851A7B5" w14:textId="77777777" w:rsidR="00AC6F3C" w:rsidRDefault="00570E88">
      <w:pPr>
        <w:pStyle w:val="BodyText"/>
        <w:spacing w:before="9"/>
        <w:rPr>
          <w:sz w:val="3"/>
        </w:rPr>
      </w:pPr>
      <w:r>
        <w:rPr>
          <w:noProof/>
        </w:rPr>
        <mc:AlternateContent>
          <mc:Choice Requires="wpg">
            <w:drawing>
              <wp:anchor distT="0" distB="0" distL="0" distR="0" simplePos="0" relativeHeight="487747072" behindDoc="1" locked="0" layoutInCell="1" allowOverlap="1" wp14:anchorId="0C240625" wp14:editId="5D0C626D">
                <wp:simplePos x="0" y="0"/>
                <wp:positionH relativeFrom="page">
                  <wp:posOffset>809999</wp:posOffset>
                </wp:positionH>
                <wp:positionV relativeFrom="paragraph">
                  <wp:posOffset>43432</wp:posOffset>
                </wp:positionV>
                <wp:extent cx="5940425" cy="3175"/>
                <wp:effectExtent l="0" t="0" r="0" b="0"/>
                <wp:wrapTopAndBottom/>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65" name="Graphic 1065"/>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66" name="Graphic 1066"/>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39C9EF" id="Group 1064" o:spid="_x0000_s1026" style="position:absolute;margin-left:63.8pt;margin-top:3.4pt;width:467.75pt;height:.25pt;z-index:-15569408;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">
                <v:shape id="Graphic 1065"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" path="m,l1806003,e" filled="f" strokeweight=".25pt">
                  <v:path arrowok="t"/>
                </v:shape>
                <v:shape id="Graphic 1066"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" path="m,l4134002,e" filled="f" strokeweight=".25pt">
                  <v:path arrowok="t"/>
                </v:shape>
                <w10:wrap type="topAndBottom" anchorx="page"/>
              </v:group>
            </w:pict>
          </mc:Fallback>
        </mc:AlternateContent>
      </w:r>
    </w:p>
    <w:p w14:paraId="7F9B9E98" w14:textId="77777777" w:rsidR="00AC6F3C" w:rsidRDefault="00570E88">
      <w:pPr>
        <w:tabs>
          <w:tab w:val="left" w:pos="3772"/>
        </w:tabs>
        <w:spacing w:before="69"/>
        <w:ind w:left="928"/>
        <w:rPr>
          <w:i/>
          <w:sz w:val="20"/>
        </w:rPr>
      </w:pPr>
      <w:r>
        <w:rPr>
          <w:b/>
          <w:sz w:val="20"/>
        </w:rPr>
        <w:t>RTI</w:t>
      </w:r>
      <w:r>
        <w:rPr>
          <w:b/>
          <w:spacing w:val="-8"/>
          <w:sz w:val="20"/>
        </w:rPr>
        <w:t xml:space="preserve"> </w:t>
      </w:r>
      <w:r>
        <w:rPr>
          <w:b/>
          <w:spacing w:val="-5"/>
          <w:sz w:val="20"/>
        </w:rPr>
        <w:t>Act</w:t>
      </w:r>
      <w:r>
        <w:rPr>
          <w:b/>
          <w:sz w:val="20"/>
        </w:rPr>
        <w:tab/>
      </w:r>
      <w:r>
        <w:rPr>
          <w:i/>
          <w:sz w:val="20"/>
        </w:rPr>
        <w:t>Right</w:t>
      </w:r>
      <w:r>
        <w:rPr>
          <w:i/>
          <w:spacing w:val="-5"/>
          <w:sz w:val="20"/>
        </w:rPr>
        <w:t xml:space="preserve"> </w:t>
      </w:r>
      <w:r>
        <w:rPr>
          <w:i/>
          <w:sz w:val="20"/>
        </w:rPr>
        <w:t>to</w:t>
      </w:r>
      <w:r>
        <w:rPr>
          <w:i/>
          <w:spacing w:val="-3"/>
          <w:sz w:val="20"/>
        </w:rPr>
        <w:t xml:space="preserve"> </w:t>
      </w:r>
      <w:r>
        <w:rPr>
          <w:i/>
          <w:sz w:val="20"/>
        </w:rPr>
        <w:t>Information</w:t>
      </w:r>
      <w:r>
        <w:rPr>
          <w:i/>
          <w:spacing w:val="-11"/>
          <w:sz w:val="20"/>
        </w:rPr>
        <w:t xml:space="preserve"> </w:t>
      </w:r>
      <w:r>
        <w:rPr>
          <w:i/>
          <w:sz w:val="20"/>
        </w:rPr>
        <w:t>Act</w:t>
      </w:r>
      <w:r>
        <w:rPr>
          <w:i/>
          <w:spacing w:val="-3"/>
          <w:sz w:val="20"/>
        </w:rPr>
        <w:t xml:space="preserve"> </w:t>
      </w:r>
      <w:r>
        <w:rPr>
          <w:i/>
          <w:sz w:val="20"/>
        </w:rPr>
        <w:t>2009</w:t>
      </w:r>
      <w:r>
        <w:rPr>
          <w:i/>
          <w:spacing w:val="-2"/>
          <w:sz w:val="20"/>
        </w:rPr>
        <w:t xml:space="preserve"> (Qld)</w:t>
      </w:r>
    </w:p>
    <w:p w14:paraId="1020373D" w14:textId="77777777" w:rsidR="00AC6F3C" w:rsidRDefault="00570E88">
      <w:pPr>
        <w:pStyle w:val="BodyText"/>
        <w:spacing w:before="9"/>
        <w:rPr>
          <w:i/>
          <w:sz w:val="3"/>
        </w:rPr>
      </w:pPr>
      <w:r>
        <w:rPr>
          <w:noProof/>
        </w:rPr>
        <mc:AlternateContent>
          <mc:Choice Requires="wpg">
            <w:drawing>
              <wp:anchor distT="0" distB="0" distL="0" distR="0" simplePos="0" relativeHeight="487747584" behindDoc="1" locked="0" layoutInCell="1" allowOverlap="1" wp14:anchorId="3F28D726" wp14:editId="1CD2A7B2">
                <wp:simplePos x="0" y="0"/>
                <wp:positionH relativeFrom="page">
                  <wp:posOffset>809999</wp:posOffset>
                </wp:positionH>
                <wp:positionV relativeFrom="paragraph">
                  <wp:posOffset>43178</wp:posOffset>
                </wp:positionV>
                <wp:extent cx="5940425" cy="3175"/>
                <wp:effectExtent l="0" t="0" r="0" b="0"/>
                <wp:wrapTopAndBottom/>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1068" name="Graphic 1068"/>
                        <wps:cNvSpPr/>
                        <wps:spPr>
                          <a:xfrm>
                            <a:off x="0" y="1587"/>
                            <a:ext cx="1806575" cy="1270"/>
                          </a:xfrm>
                          <a:custGeom>
                            <a:avLst/>
                            <a:gdLst/>
                            <a:ahLst/>
                            <a:cxnLst/>
                            <a:rect l="l" t="t" r="r" b="b"/>
                            <a:pathLst>
                              <a:path w="1806575">
                                <a:moveTo>
                                  <a:pt x="0" y="0"/>
                                </a:moveTo>
                                <a:lnTo>
                                  <a:pt x="1806003" y="0"/>
                                </a:lnTo>
                              </a:path>
                            </a:pathLst>
                          </a:custGeom>
                          <a:ln w="3175">
                            <a:solidFill>
                              <a:srgbClr val="000000"/>
                            </a:solidFill>
                            <a:prstDash val="solid"/>
                          </a:ln>
                        </wps:spPr>
                        <wps:bodyPr wrap="square" lIns="0" tIns="0" rIns="0" bIns="0" rtlCol="0">
                          <a:prstTxWarp prst="textNoShape">
                            <a:avLst/>
                          </a:prstTxWarp>
                          <a:noAutofit/>
                        </wps:bodyPr>
                      </wps:wsp>
                      <wps:wsp>
                        <wps:cNvPr id="1069" name="Graphic 1069"/>
                        <wps:cNvSpPr/>
                        <wps:spPr>
                          <a:xfrm>
                            <a:off x="1805999" y="1587"/>
                            <a:ext cx="4134485" cy="1270"/>
                          </a:xfrm>
                          <a:custGeom>
                            <a:avLst/>
                            <a:gdLst/>
                            <a:ahLst/>
                            <a:cxnLst/>
                            <a:rect l="l" t="t" r="r" b="b"/>
                            <a:pathLst>
                              <a:path w="4134485">
                                <a:moveTo>
                                  <a:pt x="0" y="0"/>
                                </a:moveTo>
                                <a:lnTo>
                                  <a:pt x="4134002"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A395B0" id="Group 1067" o:spid="_x0000_s1026" style="position:absolute;margin-left:63.8pt;margin-top:3.4pt;width:467.75pt;height:.25pt;z-index:-15568896;mso-wrap-distance-left:0;mso-wrap-distance-right:0;mso-position-horizont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">
                <v:shape id="Graphic 1068" o:spid="_x0000_s1027" style="position:absolute;top:15;width:18065;height:13;visibility:visible;mso-wrap-style:square;v-text-anchor:top" coordsize="180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" path="m,l1806003,e" filled="f" strokeweight=".25pt">
                  <v:path arrowok="t"/>
                </v:shape>
                <v:shape id="Graphic 1069" o:spid="_x0000_s1028" style="position:absolute;left:18059;top:15;width:41345;height:13;visibility:visible;mso-wrap-style:square;v-text-anchor:top" coordsize="413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" path="m,l4134002,e" filled="f" strokeweight=".25pt">
                  <v:path arrowok="t"/>
                </v:shape>
                <w10:wrap type="topAndBottom" anchorx="page"/>
              </v:group>
            </w:pict>
          </mc:Fallback>
        </mc:AlternateContent>
      </w:r>
    </w:p>
    <w:p w14:paraId="3EF3E91D" w14:textId="77777777" w:rsidR="00AC6F3C" w:rsidRDefault="00AC6F3C">
      <w:pPr>
        <w:rPr>
          <w:sz w:val="3"/>
        </w:rPr>
        <w:sectPr w:rsidR="00AC6F3C">
          <w:headerReference w:type="default" r:id="rId268"/>
          <w:footerReference w:type="default" r:id="rId269"/>
          <w:pgSz w:w="11910" w:h="16840"/>
          <w:pgMar w:top="1260" w:right="1160" w:bottom="520" w:left="460" w:header="0" w:footer="336" w:gutter="0"/>
          <w:cols w:space="720"/>
        </w:sectPr>
      </w:pPr>
    </w:p>
    <w:p w14:paraId="2E42E217" w14:textId="77777777" w:rsidR="00AC6F3C" w:rsidRDefault="00570E88">
      <w:pPr>
        <w:pStyle w:val="BodyText"/>
        <w:spacing w:line="20" w:lineRule="exact"/>
        <w:ind w:left="815"/>
        <w:rPr>
          <w:sz w:val="2"/>
        </w:rPr>
      </w:pPr>
      <w:r>
        <w:rPr>
          <w:noProof/>
          <w:sz w:val="2"/>
        </w:rPr>
        <w:lastRenderedPageBreak/>
        <mc:AlternateContent>
          <mc:Choice Requires="wpg">
            <w:drawing>
              <wp:inline distT="0" distB="0" distL="0" distR="0" wp14:anchorId="587817CD" wp14:editId="1235FFE6">
                <wp:extent cx="5940425" cy="25400"/>
                <wp:effectExtent l="19050" t="0" r="3175" b="3175"/>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5400"/>
                          <a:chOff x="0" y="0"/>
                          <a:chExt cx="5940425" cy="25400"/>
                        </a:xfrm>
                      </wpg:grpSpPr>
                      <wps:wsp>
                        <wps:cNvPr id="1072" name="Graphic 1072"/>
                        <wps:cNvSpPr/>
                        <wps:spPr>
                          <a:xfrm>
                            <a:off x="0" y="12700"/>
                            <a:ext cx="5940425" cy="1270"/>
                          </a:xfrm>
                          <a:custGeom>
                            <a:avLst/>
                            <a:gdLst/>
                            <a:ahLst/>
                            <a:cxnLst/>
                            <a:rect l="l" t="t" r="r" b="b"/>
                            <a:pathLst>
                              <a:path w="5940425">
                                <a:moveTo>
                                  <a:pt x="0" y="0"/>
                                </a:moveTo>
                                <a:lnTo>
                                  <a:pt x="5940005"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FFE9FC" id="Group 1071" o:spid="_x0000_s1026" style="width:467.75pt;height:2pt;mso-position-horizontal-relative:char;mso-position-vertical-relative:line" coordsize="594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">
                <v:shape id="Graphic 1072" o:spid="_x0000_s1027" style="position:absolute;top:127;width:59404;height:12;visibility:visible;mso-wrap-style:square;v-text-anchor:top" coordsize="594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" path="m,l5940005,e" filled="f" strokeweight="2pt">
                  <v:path arrowok="t"/>
                </v:shape>
                <w10:anchorlock/>
              </v:group>
            </w:pict>
          </mc:Fallback>
        </mc:AlternateContent>
      </w:r>
    </w:p>
    <w:p w14:paraId="56E85D0D" w14:textId="77777777" w:rsidR="00AC6F3C" w:rsidRDefault="00570E88">
      <w:pPr>
        <w:pStyle w:val="Heading2"/>
      </w:pPr>
      <w:bookmarkStart w:id="98" w:name="Index"/>
      <w:bookmarkStart w:id="99" w:name="_bookmark39"/>
      <w:bookmarkEnd w:id="98"/>
      <w:bookmarkEnd w:id="99"/>
      <w:r>
        <w:rPr>
          <w:spacing w:val="-2"/>
        </w:rPr>
        <w:t>Index</w:t>
      </w:r>
    </w:p>
    <w:p w14:paraId="2B46AD9E" w14:textId="77777777" w:rsidR="00AC6F3C" w:rsidRDefault="00AC6F3C">
      <w:pPr>
        <w:pStyle w:val="BodyText"/>
        <w:rPr>
          <w:b/>
        </w:rPr>
      </w:pPr>
    </w:p>
    <w:p w14:paraId="517F3D78" w14:textId="77777777" w:rsidR="00AC6F3C" w:rsidRDefault="00AC6F3C">
      <w:pPr>
        <w:sectPr w:rsidR="00AC6F3C">
          <w:headerReference w:type="default" r:id="rId270"/>
          <w:footerReference w:type="default" r:id="rId271"/>
          <w:pgSz w:w="11910" w:h="16840"/>
          <w:pgMar w:top="980" w:right="1160" w:bottom="520" w:left="460" w:header="0" w:footer="336" w:gutter="0"/>
          <w:cols w:space="720"/>
        </w:sectPr>
      </w:pPr>
    </w:p>
    <w:p w14:paraId="196611D8" w14:textId="77777777" w:rsidR="00AC6F3C" w:rsidRDefault="00570E88">
      <w:pPr>
        <w:pStyle w:val="Heading4"/>
        <w:spacing w:before="247"/>
        <w:ind w:left="815"/>
      </w:pPr>
      <w:r>
        <w:t>A</w:t>
      </w:r>
    </w:p>
    <w:p w14:paraId="7BC7387F" w14:textId="77777777" w:rsidR="00AC6F3C" w:rsidRDefault="00570E88">
      <w:pPr>
        <w:spacing w:before="73"/>
        <w:ind w:left="815"/>
        <w:rPr>
          <w:sz w:val="18"/>
        </w:rPr>
      </w:pPr>
      <w:r>
        <w:rPr>
          <w:sz w:val="18"/>
        </w:rPr>
        <w:t xml:space="preserve">Advocating, 5, 30, 34, </w:t>
      </w:r>
      <w:r>
        <w:rPr>
          <w:spacing w:val="-5"/>
          <w:sz w:val="18"/>
        </w:rPr>
        <w:t>43</w:t>
      </w:r>
    </w:p>
    <w:p w14:paraId="24CF66B6" w14:textId="77777777" w:rsidR="00AC6F3C" w:rsidRDefault="00AC6F3C">
      <w:pPr>
        <w:pStyle w:val="BodyText"/>
        <w:spacing w:before="10"/>
        <w:rPr>
          <w:sz w:val="17"/>
        </w:rPr>
      </w:pPr>
    </w:p>
    <w:p w14:paraId="43A41049" w14:textId="77777777" w:rsidR="00AC6F3C" w:rsidRDefault="00570E88">
      <w:pPr>
        <w:ind w:left="815"/>
        <w:rPr>
          <w:b/>
          <w:sz w:val="28"/>
        </w:rPr>
      </w:pPr>
      <w:r>
        <w:rPr>
          <w:b/>
          <w:sz w:val="28"/>
        </w:rPr>
        <w:t>B</w:t>
      </w:r>
    </w:p>
    <w:p w14:paraId="081194E4" w14:textId="77777777" w:rsidR="00AC6F3C" w:rsidRDefault="00570E88">
      <w:pPr>
        <w:spacing w:before="73"/>
        <w:ind w:left="815"/>
        <w:rPr>
          <w:sz w:val="18"/>
        </w:rPr>
      </w:pPr>
      <w:r>
        <w:rPr>
          <w:sz w:val="18"/>
        </w:rPr>
        <w:t>Bespoke</w:t>
      </w:r>
      <w:r>
        <w:rPr>
          <w:spacing w:val="-2"/>
          <w:sz w:val="18"/>
        </w:rPr>
        <w:t xml:space="preserve"> </w:t>
      </w:r>
      <w:r>
        <w:rPr>
          <w:sz w:val="18"/>
        </w:rPr>
        <w:t>ethics</w:t>
      </w:r>
      <w:r>
        <w:rPr>
          <w:spacing w:val="-1"/>
          <w:sz w:val="18"/>
        </w:rPr>
        <w:t xml:space="preserve"> </w:t>
      </w:r>
      <w:r>
        <w:rPr>
          <w:sz w:val="18"/>
        </w:rPr>
        <w:t>sessions,</w:t>
      </w:r>
      <w:r>
        <w:rPr>
          <w:spacing w:val="-2"/>
          <w:sz w:val="18"/>
        </w:rPr>
        <w:t xml:space="preserve"> </w:t>
      </w:r>
      <w:r>
        <w:rPr>
          <w:sz w:val="18"/>
        </w:rPr>
        <w:t>56,</w:t>
      </w:r>
      <w:r>
        <w:rPr>
          <w:spacing w:val="-1"/>
          <w:sz w:val="18"/>
        </w:rPr>
        <w:t xml:space="preserve"> </w:t>
      </w:r>
      <w:r>
        <w:rPr>
          <w:spacing w:val="-7"/>
          <w:sz w:val="18"/>
        </w:rPr>
        <w:t>59</w:t>
      </w:r>
    </w:p>
    <w:p w14:paraId="2589B689" w14:textId="77777777" w:rsidR="00AC6F3C" w:rsidRDefault="00AC6F3C">
      <w:pPr>
        <w:pStyle w:val="BodyText"/>
        <w:spacing w:before="10"/>
        <w:rPr>
          <w:sz w:val="17"/>
        </w:rPr>
      </w:pPr>
    </w:p>
    <w:p w14:paraId="2F2C7917" w14:textId="77777777" w:rsidR="00AC6F3C" w:rsidRDefault="00570E88">
      <w:pPr>
        <w:ind w:left="815"/>
        <w:rPr>
          <w:b/>
          <w:sz w:val="28"/>
        </w:rPr>
      </w:pPr>
      <w:r>
        <w:rPr>
          <w:b/>
          <w:sz w:val="28"/>
        </w:rPr>
        <w:t>C</w:t>
      </w:r>
    </w:p>
    <w:p w14:paraId="582E4098" w14:textId="77777777" w:rsidR="00AC6F3C" w:rsidRDefault="00570E88">
      <w:pPr>
        <w:spacing w:before="73"/>
        <w:ind w:left="815"/>
        <w:rPr>
          <w:sz w:val="18"/>
        </w:rPr>
      </w:pPr>
      <w:r>
        <w:rPr>
          <w:sz w:val="18"/>
        </w:rPr>
        <w:t xml:space="preserve">Committees, 6, 15, 19, 21, 24, 25, 30, 54, 70, 76, </w:t>
      </w:r>
      <w:r>
        <w:rPr>
          <w:spacing w:val="-5"/>
          <w:sz w:val="18"/>
        </w:rPr>
        <w:t>90</w:t>
      </w:r>
    </w:p>
    <w:p w14:paraId="0170EDE0" w14:textId="77777777" w:rsidR="00AC6F3C" w:rsidRDefault="00570E88">
      <w:pPr>
        <w:spacing w:before="94"/>
        <w:ind w:left="815"/>
        <w:rPr>
          <w:sz w:val="18"/>
        </w:rPr>
      </w:pPr>
      <w:r>
        <w:rPr>
          <w:sz w:val="18"/>
        </w:rPr>
        <w:t>Compliance</w:t>
      </w:r>
      <w:r>
        <w:rPr>
          <w:spacing w:val="-3"/>
          <w:sz w:val="18"/>
        </w:rPr>
        <w:t xml:space="preserve"> </w:t>
      </w:r>
      <w:r>
        <w:rPr>
          <w:sz w:val="18"/>
        </w:rPr>
        <w:t>checklist,</w:t>
      </w:r>
      <w:r>
        <w:rPr>
          <w:spacing w:val="-3"/>
          <w:sz w:val="18"/>
        </w:rPr>
        <w:t xml:space="preserve"> </w:t>
      </w:r>
      <w:r>
        <w:rPr>
          <w:sz w:val="18"/>
        </w:rPr>
        <w:t>7,</w:t>
      </w:r>
      <w:r>
        <w:rPr>
          <w:spacing w:val="-3"/>
          <w:sz w:val="18"/>
        </w:rPr>
        <w:t xml:space="preserve"> </w:t>
      </w:r>
      <w:r>
        <w:rPr>
          <w:spacing w:val="-5"/>
          <w:sz w:val="18"/>
        </w:rPr>
        <w:t>219</w:t>
      </w:r>
    </w:p>
    <w:p w14:paraId="64625801" w14:textId="77777777" w:rsidR="00AC6F3C" w:rsidRDefault="00570E88">
      <w:pPr>
        <w:spacing w:before="94"/>
        <w:ind w:left="815"/>
        <w:rPr>
          <w:sz w:val="18"/>
        </w:rPr>
      </w:pPr>
      <w:r>
        <w:rPr>
          <w:sz w:val="18"/>
        </w:rPr>
        <w:t xml:space="preserve">COVID-19, 15, </w:t>
      </w:r>
      <w:r>
        <w:rPr>
          <w:spacing w:val="-5"/>
          <w:sz w:val="18"/>
        </w:rPr>
        <w:t>63</w:t>
      </w:r>
    </w:p>
    <w:p w14:paraId="2BD70FF5" w14:textId="77777777" w:rsidR="00AC6F3C" w:rsidRDefault="00570E88">
      <w:pPr>
        <w:spacing w:before="94"/>
        <w:ind w:left="815"/>
        <w:rPr>
          <w:sz w:val="18"/>
        </w:rPr>
      </w:pPr>
      <w:r>
        <w:rPr>
          <w:sz w:val="18"/>
        </w:rPr>
        <w:t xml:space="preserve">CPD, 13, 17, 65, </w:t>
      </w:r>
      <w:r>
        <w:rPr>
          <w:spacing w:val="-5"/>
          <w:sz w:val="18"/>
        </w:rPr>
        <w:t>91</w:t>
      </w:r>
    </w:p>
    <w:p w14:paraId="748BF707" w14:textId="77777777" w:rsidR="00AC6F3C" w:rsidRDefault="00570E88">
      <w:pPr>
        <w:spacing w:before="94"/>
        <w:ind w:left="815"/>
        <w:rPr>
          <w:sz w:val="18"/>
        </w:rPr>
      </w:pPr>
      <w:r>
        <w:rPr>
          <w:sz w:val="18"/>
        </w:rPr>
        <w:t>Cybersecurity,</w:t>
      </w:r>
      <w:r>
        <w:rPr>
          <w:spacing w:val="-3"/>
          <w:sz w:val="18"/>
        </w:rPr>
        <w:t xml:space="preserve"> </w:t>
      </w:r>
      <w:r>
        <w:rPr>
          <w:sz w:val="18"/>
        </w:rPr>
        <w:t>6,</w:t>
      </w:r>
      <w:r>
        <w:rPr>
          <w:spacing w:val="-3"/>
          <w:sz w:val="18"/>
        </w:rPr>
        <w:t xml:space="preserve"> </w:t>
      </w:r>
      <w:r>
        <w:rPr>
          <w:sz w:val="18"/>
        </w:rPr>
        <w:t>55,</w:t>
      </w:r>
      <w:r>
        <w:rPr>
          <w:spacing w:val="-3"/>
          <w:sz w:val="18"/>
        </w:rPr>
        <w:t xml:space="preserve"> </w:t>
      </w:r>
      <w:r>
        <w:rPr>
          <w:sz w:val="18"/>
        </w:rPr>
        <w:t>56,</w:t>
      </w:r>
      <w:r>
        <w:rPr>
          <w:spacing w:val="-3"/>
          <w:sz w:val="18"/>
        </w:rPr>
        <w:t xml:space="preserve"> </w:t>
      </w:r>
      <w:r>
        <w:rPr>
          <w:sz w:val="18"/>
        </w:rPr>
        <w:t>61,</w:t>
      </w:r>
      <w:r>
        <w:rPr>
          <w:spacing w:val="-2"/>
          <w:sz w:val="18"/>
        </w:rPr>
        <w:t xml:space="preserve"> </w:t>
      </w:r>
      <w:r>
        <w:rPr>
          <w:spacing w:val="-5"/>
          <w:sz w:val="18"/>
        </w:rPr>
        <w:t>93</w:t>
      </w:r>
    </w:p>
    <w:p w14:paraId="3890BD42" w14:textId="77777777" w:rsidR="00AC6F3C" w:rsidRDefault="00AC6F3C">
      <w:pPr>
        <w:pStyle w:val="BodyText"/>
        <w:spacing w:before="9"/>
        <w:rPr>
          <w:sz w:val="17"/>
        </w:rPr>
      </w:pPr>
    </w:p>
    <w:p w14:paraId="23B94E3E" w14:textId="77777777" w:rsidR="00AC6F3C" w:rsidRDefault="00570E88">
      <w:pPr>
        <w:spacing w:before="1"/>
        <w:ind w:left="815"/>
        <w:rPr>
          <w:b/>
          <w:sz w:val="28"/>
        </w:rPr>
      </w:pPr>
      <w:r>
        <w:rPr>
          <w:b/>
          <w:sz w:val="28"/>
        </w:rPr>
        <w:t>D</w:t>
      </w:r>
    </w:p>
    <w:p w14:paraId="16FB5C05" w14:textId="77777777" w:rsidR="00AC6F3C" w:rsidRDefault="00570E88">
      <w:pPr>
        <w:spacing w:before="73"/>
        <w:ind w:left="815"/>
        <w:rPr>
          <w:sz w:val="18"/>
        </w:rPr>
      </w:pPr>
      <w:r>
        <w:rPr>
          <w:sz w:val="18"/>
        </w:rPr>
        <w:t>District</w:t>
      </w:r>
      <w:r>
        <w:rPr>
          <w:spacing w:val="-1"/>
          <w:sz w:val="18"/>
        </w:rPr>
        <w:t xml:space="preserve"> </w:t>
      </w:r>
      <w:r>
        <w:rPr>
          <w:sz w:val="18"/>
        </w:rPr>
        <w:t>Law</w:t>
      </w:r>
      <w:r>
        <w:rPr>
          <w:spacing w:val="-10"/>
          <w:sz w:val="18"/>
        </w:rPr>
        <w:t xml:space="preserve"> </w:t>
      </w:r>
      <w:r>
        <w:rPr>
          <w:sz w:val="18"/>
        </w:rPr>
        <w:t>Associations, 6, 14,</w:t>
      </w:r>
      <w:r>
        <w:rPr>
          <w:spacing w:val="-1"/>
          <w:sz w:val="18"/>
        </w:rPr>
        <w:t xml:space="preserve"> </w:t>
      </w:r>
      <w:r>
        <w:rPr>
          <w:sz w:val="18"/>
        </w:rPr>
        <w:t xml:space="preserve">19, 56, 72, 78, </w:t>
      </w:r>
      <w:r>
        <w:rPr>
          <w:spacing w:val="-5"/>
          <w:sz w:val="18"/>
        </w:rPr>
        <w:t>80</w:t>
      </w:r>
    </w:p>
    <w:p w14:paraId="4405E7D6" w14:textId="77777777" w:rsidR="00AC6F3C" w:rsidRDefault="00AC6F3C">
      <w:pPr>
        <w:pStyle w:val="BodyText"/>
        <w:spacing w:before="9"/>
        <w:rPr>
          <w:sz w:val="17"/>
        </w:rPr>
      </w:pPr>
    </w:p>
    <w:p w14:paraId="319BC32D" w14:textId="77777777" w:rsidR="00AC6F3C" w:rsidRDefault="00570E88">
      <w:pPr>
        <w:ind w:left="815"/>
        <w:rPr>
          <w:b/>
          <w:sz w:val="28"/>
        </w:rPr>
      </w:pPr>
      <w:r>
        <w:rPr>
          <w:b/>
          <w:sz w:val="28"/>
        </w:rPr>
        <w:t>E</w:t>
      </w:r>
    </w:p>
    <w:p w14:paraId="3F9B654C" w14:textId="77777777" w:rsidR="00AC6F3C" w:rsidRDefault="00570E88">
      <w:pPr>
        <w:spacing w:before="73"/>
        <w:ind w:left="815"/>
        <w:rPr>
          <w:sz w:val="18"/>
        </w:rPr>
      </w:pPr>
      <w:r>
        <w:rPr>
          <w:sz w:val="18"/>
        </w:rPr>
        <w:t xml:space="preserve">Education, 6, 10, 13, 14, 19, 21, 27, 42, 54, 56, 58, </w:t>
      </w:r>
      <w:r>
        <w:rPr>
          <w:spacing w:val="-5"/>
          <w:sz w:val="18"/>
        </w:rPr>
        <w:t>61,</w:t>
      </w:r>
    </w:p>
    <w:p w14:paraId="4789E72E" w14:textId="77777777" w:rsidR="00AC6F3C" w:rsidRDefault="00570E88">
      <w:pPr>
        <w:spacing w:before="9"/>
        <w:ind w:left="815"/>
        <w:rPr>
          <w:sz w:val="18"/>
        </w:rPr>
      </w:pPr>
      <w:r>
        <w:rPr>
          <w:sz w:val="18"/>
        </w:rPr>
        <w:t xml:space="preserve">62, 63, 65, 66, 69, 75, 77, 79, 81, 83, 86, 87, 88, 89, </w:t>
      </w:r>
      <w:r>
        <w:rPr>
          <w:spacing w:val="-5"/>
          <w:sz w:val="18"/>
        </w:rPr>
        <w:t>95</w:t>
      </w:r>
    </w:p>
    <w:p w14:paraId="1076AFFF" w14:textId="77777777" w:rsidR="00AC6F3C" w:rsidRDefault="00AC6F3C">
      <w:pPr>
        <w:pStyle w:val="BodyText"/>
        <w:spacing w:before="10"/>
        <w:rPr>
          <w:sz w:val="17"/>
        </w:rPr>
      </w:pPr>
    </w:p>
    <w:p w14:paraId="344A8CC6" w14:textId="77777777" w:rsidR="00AC6F3C" w:rsidRDefault="00570E88">
      <w:pPr>
        <w:ind w:left="815"/>
        <w:rPr>
          <w:b/>
          <w:sz w:val="28"/>
        </w:rPr>
      </w:pPr>
      <w:r>
        <w:rPr>
          <w:b/>
          <w:sz w:val="28"/>
        </w:rPr>
        <w:t>F</w:t>
      </w:r>
    </w:p>
    <w:p w14:paraId="2B07582E" w14:textId="77777777" w:rsidR="00AC6F3C" w:rsidRDefault="00570E88">
      <w:pPr>
        <w:spacing w:before="73"/>
        <w:ind w:left="815"/>
        <w:rPr>
          <w:sz w:val="18"/>
        </w:rPr>
      </w:pPr>
      <w:r>
        <w:rPr>
          <w:sz w:val="18"/>
        </w:rPr>
        <w:t>First Nations, 2, 6, 8,</w:t>
      </w:r>
      <w:r>
        <w:rPr>
          <w:spacing w:val="-22"/>
          <w:sz w:val="18"/>
        </w:rPr>
        <w:t xml:space="preserve"> </w:t>
      </w:r>
      <w:r>
        <w:rPr>
          <w:sz w:val="18"/>
        </w:rPr>
        <w:t>13,</w:t>
      </w:r>
      <w:r>
        <w:rPr>
          <w:spacing w:val="-36"/>
          <w:sz w:val="18"/>
        </w:rPr>
        <w:t xml:space="preserve"> </w:t>
      </w:r>
      <w:r>
        <w:rPr>
          <w:sz w:val="18"/>
        </w:rPr>
        <w:t xml:space="preserve">14, 39, 40, 69, 74, 75, 76, </w:t>
      </w:r>
      <w:r>
        <w:rPr>
          <w:spacing w:val="-5"/>
          <w:sz w:val="18"/>
        </w:rPr>
        <w:t>77,</w:t>
      </w:r>
    </w:p>
    <w:p w14:paraId="53CEA4CB" w14:textId="77777777" w:rsidR="00AC6F3C" w:rsidRDefault="00570E88">
      <w:pPr>
        <w:spacing w:before="9"/>
        <w:ind w:left="815"/>
        <w:rPr>
          <w:sz w:val="18"/>
        </w:rPr>
      </w:pPr>
      <w:r>
        <w:rPr>
          <w:sz w:val="18"/>
        </w:rPr>
        <w:t xml:space="preserve">78, 79, 81, 83, 87, </w:t>
      </w:r>
      <w:r>
        <w:rPr>
          <w:spacing w:val="-5"/>
          <w:sz w:val="18"/>
        </w:rPr>
        <w:t>91</w:t>
      </w:r>
    </w:p>
    <w:p w14:paraId="3994CF8C" w14:textId="77777777" w:rsidR="00AC6F3C" w:rsidRDefault="00570E88">
      <w:pPr>
        <w:spacing w:before="94"/>
        <w:ind w:left="815"/>
        <w:rPr>
          <w:sz w:val="18"/>
        </w:rPr>
      </w:pPr>
      <w:r>
        <w:rPr>
          <w:sz w:val="18"/>
        </w:rPr>
        <w:t>Future</w:t>
      </w:r>
      <w:r>
        <w:rPr>
          <w:spacing w:val="-1"/>
          <w:sz w:val="18"/>
        </w:rPr>
        <w:t xml:space="preserve"> </w:t>
      </w:r>
      <w:r>
        <w:rPr>
          <w:sz w:val="18"/>
        </w:rPr>
        <w:t>Leaders</w:t>
      </w:r>
      <w:r>
        <w:rPr>
          <w:spacing w:val="-1"/>
          <w:sz w:val="18"/>
        </w:rPr>
        <w:t xml:space="preserve"> </w:t>
      </w:r>
      <w:r>
        <w:rPr>
          <w:sz w:val="18"/>
        </w:rPr>
        <w:t>Committee,</w:t>
      </w:r>
      <w:r>
        <w:rPr>
          <w:spacing w:val="-1"/>
          <w:sz w:val="18"/>
        </w:rPr>
        <w:t xml:space="preserve"> </w:t>
      </w:r>
      <w:r>
        <w:rPr>
          <w:sz w:val="18"/>
        </w:rPr>
        <w:t>5, 23,</w:t>
      </w:r>
      <w:r>
        <w:rPr>
          <w:spacing w:val="-1"/>
          <w:sz w:val="18"/>
        </w:rPr>
        <w:t xml:space="preserve"> </w:t>
      </w:r>
      <w:r>
        <w:rPr>
          <w:sz w:val="18"/>
        </w:rPr>
        <w:t>69,</w:t>
      </w:r>
      <w:r>
        <w:rPr>
          <w:spacing w:val="-1"/>
          <w:sz w:val="18"/>
        </w:rPr>
        <w:t xml:space="preserve"> </w:t>
      </w:r>
      <w:r>
        <w:rPr>
          <w:sz w:val="18"/>
        </w:rPr>
        <w:t xml:space="preserve">80, </w:t>
      </w:r>
      <w:r>
        <w:rPr>
          <w:spacing w:val="-5"/>
          <w:sz w:val="18"/>
        </w:rPr>
        <w:t>91</w:t>
      </w:r>
    </w:p>
    <w:p w14:paraId="1CEAF27F" w14:textId="77777777" w:rsidR="00AC6F3C" w:rsidRDefault="00AC6F3C">
      <w:pPr>
        <w:pStyle w:val="BodyText"/>
        <w:spacing w:before="10"/>
        <w:rPr>
          <w:sz w:val="17"/>
        </w:rPr>
      </w:pPr>
    </w:p>
    <w:p w14:paraId="7C65B44C" w14:textId="77777777" w:rsidR="00AC6F3C" w:rsidRDefault="00570E88">
      <w:pPr>
        <w:ind w:left="815"/>
        <w:rPr>
          <w:b/>
          <w:sz w:val="28"/>
        </w:rPr>
      </w:pPr>
      <w:r>
        <w:rPr>
          <w:b/>
          <w:sz w:val="28"/>
        </w:rPr>
        <w:t>G</w:t>
      </w:r>
    </w:p>
    <w:p w14:paraId="64C2B05B" w14:textId="77777777" w:rsidR="00AC6F3C" w:rsidRDefault="00570E88">
      <w:pPr>
        <w:spacing w:before="73"/>
        <w:ind w:left="815"/>
        <w:rPr>
          <w:sz w:val="18"/>
        </w:rPr>
      </w:pPr>
      <w:r>
        <w:rPr>
          <w:sz w:val="18"/>
        </w:rPr>
        <w:t>Glossary,</w:t>
      </w:r>
      <w:r>
        <w:rPr>
          <w:spacing w:val="-7"/>
          <w:sz w:val="18"/>
        </w:rPr>
        <w:t xml:space="preserve"> </w:t>
      </w:r>
      <w:r>
        <w:rPr>
          <w:sz w:val="18"/>
        </w:rPr>
        <w:t>7,</w:t>
      </w:r>
      <w:r>
        <w:rPr>
          <w:spacing w:val="-7"/>
          <w:sz w:val="18"/>
        </w:rPr>
        <w:t xml:space="preserve"> </w:t>
      </w:r>
      <w:r>
        <w:rPr>
          <w:spacing w:val="-5"/>
          <w:sz w:val="18"/>
        </w:rPr>
        <w:t>219</w:t>
      </w:r>
    </w:p>
    <w:p w14:paraId="1BF490DE" w14:textId="77777777" w:rsidR="00AC6F3C" w:rsidRDefault="00AC6F3C">
      <w:pPr>
        <w:pStyle w:val="BodyText"/>
        <w:spacing w:before="9"/>
        <w:rPr>
          <w:sz w:val="17"/>
        </w:rPr>
      </w:pPr>
    </w:p>
    <w:p w14:paraId="10664727" w14:textId="77777777" w:rsidR="00AC6F3C" w:rsidRDefault="00570E88">
      <w:pPr>
        <w:ind w:left="815"/>
        <w:rPr>
          <w:b/>
          <w:sz w:val="28"/>
        </w:rPr>
      </w:pPr>
      <w:r>
        <w:rPr>
          <w:b/>
          <w:sz w:val="28"/>
        </w:rPr>
        <w:t>I</w:t>
      </w:r>
    </w:p>
    <w:p w14:paraId="3EC466FA" w14:textId="77777777" w:rsidR="00AC6F3C" w:rsidRDefault="00570E88">
      <w:pPr>
        <w:spacing w:before="73"/>
        <w:ind w:left="815"/>
        <w:rPr>
          <w:sz w:val="18"/>
        </w:rPr>
      </w:pPr>
      <w:r>
        <w:rPr>
          <w:sz w:val="18"/>
        </w:rPr>
        <w:t>Information</w:t>
      </w:r>
      <w:r>
        <w:rPr>
          <w:spacing w:val="-8"/>
          <w:sz w:val="18"/>
        </w:rPr>
        <w:t xml:space="preserve"> </w:t>
      </w:r>
      <w:r>
        <w:rPr>
          <w:sz w:val="18"/>
        </w:rPr>
        <w:t>privacy,</w:t>
      </w:r>
      <w:r>
        <w:rPr>
          <w:spacing w:val="-6"/>
          <w:sz w:val="18"/>
        </w:rPr>
        <w:t xml:space="preserve"> </w:t>
      </w:r>
      <w:r>
        <w:rPr>
          <w:sz w:val="18"/>
        </w:rPr>
        <w:t>33,</w:t>
      </w:r>
      <w:r>
        <w:rPr>
          <w:spacing w:val="-6"/>
          <w:sz w:val="18"/>
        </w:rPr>
        <w:t xml:space="preserve"> </w:t>
      </w:r>
      <w:r>
        <w:rPr>
          <w:sz w:val="18"/>
        </w:rPr>
        <w:t>45,</w:t>
      </w:r>
      <w:r>
        <w:rPr>
          <w:spacing w:val="-6"/>
          <w:sz w:val="18"/>
        </w:rPr>
        <w:t xml:space="preserve"> </w:t>
      </w:r>
      <w:r>
        <w:rPr>
          <w:spacing w:val="-5"/>
          <w:sz w:val="18"/>
        </w:rPr>
        <w:t>96</w:t>
      </w:r>
    </w:p>
    <w:p w14:paraId="0FAF6D6C" w14:textId="77777777" w:rsidR="00AC6F3C" w:rsidRDefault="00AC6F3C">
      <w:pPr>
        <w:pStyle w:val="BodyText"/>
        <w:spacing w:before="10"/>
        <w:rPr>
          <w:sz w:val="17"/>
        </w:rPr>
      </w:pPr>
    </w:p>
    <w:p w14:paraId="58059197" w14:textId="77777777" w:rsidR="00AC6F3C" w:rsidRDefault="00570E88">
      <w:pPr>
        <w:ind w:left="815"/>
        <w:rPr>
          <w:b/>
          <w:sz w:val="28"/>
        </w:rPr>
      </w:pPr>
      <w:r>
        <w:rPr>
          <w:b/>
          <w:sz w:val="28"/>
        </w:rPr>
        <w:t>L</w:t>
      </w:r>
    </w:p>
    <w:p w14:paraId="68AF2106" w14:textId="77777777" w:rsidR="00AC6F3C" w:rsidRDefault="00570E88">
      <w:pPr>
        <w:spacing w:before="73"/>
        <w:ind w:left="815"/>
        <w:rPr>
          <w:sz w:val="18"/>
        </w:rPr>
      </w:pPr>
      <w:r>
        <w:rPr>
          <w:sz w:val="18"/>
        </w:rPr>
        <w:t>Law</w:t>
      </w:r>
      <w:r>
        <w:rPr>
          <w:spacing w:val="-3"/>
          <w:sz w:val="18"/>
        </w:rPr>
        <w:t xml:space="preserve"> </w:t>
      </w:r>
      <w:r>
        <w:rPr>
          <w:sz w:val="18"/>
        </w:rPr>
        <w:t>Claims</w:t>
      </w:r>
      <w:r>
        <w:rPr>
          <w:spacing w:val="-3"/>
          <w:sz w:val="18"/>
        </w:rPr>
        <w:t xml:space="preserve"> </w:t>
      </w:r>
      <w:r>
        <w:rPr>
          <w:sz w:val="18"/>
        </w:rPr>
        <w:t>Levy</w:t>
      </w:r>
      <w:r>
        <w:rPr>
          <w:spacing w:val="-3"/>
          <w:sz w:val="18"/>
        </w:rPr>
        <w:t xml:space="preserve"> </w:t>
      </w:r>
      <w:r>
        <w:rPr>
          <w:sz w:val="18"/>
        </w:rPr>
        <w:t>Fund,</w:t>
      </w:r>
      <w:r>
        <w:rPr>
          <w:spacing w:val="-3"/>
          <w:sz w:val="18"/>
        </w:rPr>
        <w:t xml:space="preserve"> </w:t>
      </w:r>
      <w:r>
        <w:rPr>
          <w:sz w:val="18"/>
        </w:rPr>
        <w:t>6,</w:t>
      </w:r>
      <w:r>
        <w:rPr>
          <w:spacing w:val="-3"/>
          <w:sz w:val="18"/>
        </w:rPr>
        <w:t xml:space="preserve"> </w:t>
      </w:r>
      <w:r>
        <w:rPr>
          <w:sz w:val="18"/>
        </w:rPr>
        <w:t>98,</w:t>
      </w:r>
      <w:r>
        <w:rPr>
          <w:spacing w:val="-3"/>
          <w:sz w:val="18"/>
        </w:rPr>
        <w:t xml:space="preserve"> </w:t>
      </w:r>
      <w:r>
        <w:rPr>
          <w:sz w:val="18"/>
        </w:rPr>
        <w:t>110,</w:t>
      </w:r>
      <w:r>
        <w:rPr>
          <w:spacing w:val="-3"/>
          <w:sz w:val="18"/>
        </w:rPr>
        <w:t xml:space="preserve"> </w:t>
      </w:r>
      <w:r>
        <w:rPr>
          <w:sz w:val="18"/>
        </w:rPr>
        <w:t>114,</w:t>
      </w:r>
      <w:r>
        <w:rPr>
          <w:spacing w:val="-3"/>
          <w:sz w:val="18"/>
        </w:rPr>
        <w:t xml:space="preserve"> </w:t>
      </w:r>
      <w:r>
        <w:rPr>
          <w:sz w:val="18"/>
        </w:rPr>
        <w:t>120,</w:t>
      </w:r>
      <w:r>
        <w:rPr>
          <w:spacing w:val="-3"/>
          <w:sz w:val="18"/>
        </w:rPr>
        <w:t xml:space="preserve"> </w:t>
      </w:r>
      <w:r>
        <w:rPr>
          <w:sz w:val="18"/>
        </w:rPr>
        <w:t>121,</w:t>
      </w:r>
      <w:r>
        <w:rPr>
          <w:spacing w:val="-3"/>
          <w:sz w:val="18"/>
        </w:rPr>
        <w:t xml:space="preserve"> </w:t>
      </w:r>
      <w:r>
        <w:rPr>
          <w:spacing w:val="-4"/>
          <w:sz w:val="18"/>
        </w:rPr>
        <w:t>126,</w:t>
      </w:r>
    </w:p>
    <w:p w14:paraId="2192D4D9" w14:textId="77777777" w:rsidR="00AC6F3C" w:rsidRDefault="00570E88">
      <w:pPr>
        <w:spacing w:before="9"/>
        <w:ind w:left="815"/>
        <w:rPr>
          <w:sz w:val="18"/>
        </w:rPr>
      </w:pPr>
      <w:r>
        <w:rPr>
          <w:sz w:val="18"/>
        </w:rPr>
        <w:t xml:space="preserve">129, 131, 152, </w:t>
      </w:r>
      <w:r>
        <w:rPr>
          <w:spacing w:val="-5"/>
          <w:sz w:val="18"/>
        </w:rPr>
        <w:t>162</w:t>
      </w:r>
    </w:p>
    <w:p w14:paraId="18FC515E" w14:textId="77777777" w:rsidR="00AC6F3C" w:rsidRDefault="00570E88">
      <w:pPr>
        <w:spacing w:before="94"/>
        <w:ind w:left="815"/>
        <w:rPr>
          <w:sz w:val="18"/>
        </w:rPr>
      </w:pPr>
      <w:proofErr w:type="spellStart"/>
      <w:r>
        <w:rPr>
          <w:sz w:val="18"/>
        </w:rPr>
        <w:t>LawCare</w:t>
      </w:r>
      <w:proofErr w:type="spellEnd"/>
      <w:r>
        <w:rPr>
          <w:sz w:val="18"/>
        </w:rPr>
        <w:t xml:space="preserve">, 6, 9, 72, 84, </w:t>
      </w:r>
      <w:r>
        <w:rPr>
          <w:spacing w:val="-5"/>
          <w:sz w:val="18"/>
        </w:rPr>
        <w:t>86</w:t>
      </w:r>
    </w:p>
    <w:p w14:paraId="22CA3008" w14:textId="77777777" w:rsidR="00AC6F3C" w:rsidRDefault="00570E88">
      <w:pPr>
        <w:spacing w:before="94"/>
        <w:ind w:left="815"/>
        <w:rPr>
          <w:sz w:val="18"/>
        </w:rPr>
      </w:pPr>
      <w:r>
        <w:rPr>
          <w:sz w:val="18"/>
        </w:rPr>
        <w:t>Legal</w:t>
      </w:r>
      <w:r>
        <w:rPr>
          <w:spacing w:val="-4"/>
          <w:sz w:val="18"/>
        </w:rPr>
        <w:t xml:space="preserve"> </w:t>
      </w:r>
      <w:r>
        <w:rPr>
          <w:sz w:val="18"/>
        </w:rPr>
        <w:t>Practitioners’</w:t>
      </w:r>
      <w:r>
        <w:rPr>
          <w:spacing w:val="-10"/>
          <w:sz w:val="18"/>
        </w:rPr>
        <w:t xml:space="preserve"> </w:t>
      </w:r>
      <w:r>
        <w:rPr>
          <w:sz w:val="18"/>
        </w:rPr>
        <w:t>Fidelity</w:t>
      </w:r>
      <w:r>
        <w:rPr>
          <w:spacing w:val="-4"/>
          <w:sz w:val="18"/>
        </w:rPr>
        <w:t xml:space="preserve"> </w:t>
      </w:r>
      <w:r>
        <w:rPr>
          <w:sz w:val="18"/>
        </w:rPr>
        <w:t>Guarantee</w:t>
      </w:r>
      <w:r>
        <w:rPr>
          <w:spacing w:val="-4"/>
          <w:sz w:val="18"/>
        </w:rPr>
        <w:t xml:space="preserve"> </w:t>
      </w:r>
      <w:r>
        <w:rPr>
          <w:sz w:val="18"/>
        </w:rPr>
        <w:t>Fund,</w:t>
      </w:r>
      <w:r>
        <w:rPr>
          <w:spacing w:val="-3"/>
          <w:sz w:val="18"/>
        </w:rPr>
        <w:t xml:space="preserve"> </w:t>
      </w:r>
      <w:r>
        <w:rPr>
          <w:sz w:val="18"/>
        </w:rPr>
        <w:t>8,</w:t>
      </w:r>
      <w:r>
        <w:rPr>
          <w:spacing w:val="-4"/>
          <w:sz w:val="18"/>
        </w:rPr>
        <w:t xml:space="preserve"> </w:t>
      </w:r>
      <w:r>
        <w:rPr>
          <w:sz w:val="18"/>
        </w:rPr>
        <w:t>25,</w:t>
      </w:r>
      <w:r>
        <w:rPr>
          <w:spacing w:val="-3"/>
          <w:sz w:val="18"/>
        </w:rPr>
        <w:t xml:space="preserve"> </w:t>
      </w:r>
      <w:r>
        <w:rPr>
          <w:spacing w:val="-5"/>
          <w:sz w:val="18"/>
        </w:rPr>
        <w:t>51,</w:t>
      </w:r>
    </w:p>
    <w:p w14:paraId="41A1752E" w14:textId="77777777" w:rsidR="00AC6F3C" w:rsidRDefault="00570E88">
      <w:pPr>
        <w:spacing w:before="9"/>
        <w:ind w:left="815"/>
        <w:rPr>
          <w:sz w:val="18"/>
        </w:rPr>
      </w:pPr>
      <w:r>
        <w:rPr>
          <w:sz w:val="18"/>
        </w:rPr>
        <w:t xml:space="preserve">87, 89, </w:t>
      </w:r>
      <w:r>
        <w:rPr>
          <w:spacing w:val="-5"/>
          <w:sz w:val="18"/>
        </w:rPr>
        <w:t>201</w:t>
      </w:r>
    </w:p>
    <w:p w14:paraId="6A192A1E" w14:textId="77777777" w:rsidR="00AC6F3C" w:rsidRDefault="00570E88">
      <w:pPr>
        <w:spacing w:before="94"/>
        <w:ind w:left="815"/>
        <w:rPr>
          <w:sz w:val="18"/>
        </w:rPr>
      </w:pPr>
      <w:r>
        <w:rPr>
          <w:sz w:val="18"/>
        </w:rPr>
        <w:t xml:space="preserve">Lexon, 6, 8, 52, 53, 61, </w:t>
      </w:r>
      <w:r>
        <w:rPr>
          <w:spacing w:val="-5"/>
          <w:sz w:val="18"/>
        </w:rPr>
        <w:t>95</w:t>
      </w:r>
    </w:p>
    <w:p w14:paraId="6271BAE1" w14:textId="77777777" w:rsidR="00AC6F3C" w:rsidRDefault="00AC6F3C">
      <w:pPr>
        <w:pStyle w:val="BodyText"/>
        <w:spacing w:before="10"/>
        <w:rPr>
          <w:sz w:val="17"/>
        </w:rPr>
      </w:pPr>
    </w:p>
    <w:p w14:paraId="401B3EDA" w14:textId="77777777" w:rsidR="00AC6F3C" w:rsidRDefault="00570E88">
      <w:pPr>
        <w:ind w:left="815"/>
        <w:rPr>
          <w:b/>
          <w:sz w:val="28"/>
        </w:rPr>
      </w:pPr>
      <w:r>
        <w:rPr>
          <w:b/>
          <w:sz w:val="28"/>
        </w:rPr>
        <w:t>M</w:t>
      </w:r>
    </w:p>
    <w:p w14:paraId="7047075C" w14:textId="77777777" w:rsidR="00AC6F3C" w:rsidRDefault="00570E88">
      <w:pPr>
        <w:spacing w:before="73"/>
        <w:ind w:left="815"/>
        <w:rPr>
          <w:sz w:val="18"/>
        </w:rPr>
      </w:pPr>
      <w:r>
        <w:rPr>
          <w:sz w:val="18"/>
        </w:rPr>
        <w:t xml:space="preserve">Media, </w:t>
      </w:r>
      <w:r>
        <w:rPr>
          <w:spacing w:val="-5"/>
          <w:sz w:val="18"/>
        </w:rPr>
        <w:t>48</w:t>
      </w:r>
    </w:p>
    <w:p w14:paraId="6FF25047" w14:textId="77777777" w:rsidR="00AC6F3C" w:rsidRDefault="00570E88">
      <w:pPr>
        <w:spacing w:before="94"/>
        <w:ind w:left="815"/>
        <w:rPr>
          <w:sz w:val="18"/>
        </w:rPr>
      </w:pPr>
      <w:r>
        <w:rPr>
          <w:sz w:val="18"/>
        </w:rPr>
        <w:t xml:space="preserve">Minds Count Lecture, </w:t>
      </w:r>
      <w:r>
        <w:rPr>
          <w:spacing w:val="-5"/>
          <w:sz w:val="18"/>
        </w:rPr>
        <w:t>64</w:t>
      </w:r>
    </w:p>
    <w:p w14:paraId="3DFE9760" w14:textId="77777777" w:rsidR="00AC6F3C" w:rsidRDefault="00570E88">
      <w:pPr>
        <w:spacing w:before="247"/>
        <w:ind w:left="472"/>
        <w:rPr>
          <w:b/>
          <w:sz w:val="28"/>
        </w:rPr>
      </w:pPr>
      <w:r>
        <w:br w:type="column"/>
      </w:r>
      <w:r>
        <w:rPr>
          <w:b/>
          <w:spacing w:val="-10"/>
          <w:sz w:val="28"/>
        </w:rPr>
        <w:t>O</w:t>
      </w:r>
    </w:p>
    <w:p w14:paraId="6B0200C9" w14:textId="77777777" w:rsidR="00AC6F3C" w:rsidRDefault="00570E88">
      <w:pPr>
        <w:spacing w:before="73" w:line="348" w:lineRule="auto"/>
        <w:ind w:left="472" w:right="1941"/>
        <w:rPr>
          <w:sz w:val="18"/>
        </w:rPr>
      </w:pPr>
      <w:r>
        <w:rPr>
          <w:sz w:val="18"/>
        </w:rPr>
        <w:t>Our</w:t>
      </w:r>
      <w:r>
        <w:rPr>
          <w:spacing w:val="-12"/>
          <w:sz w:val="18"/>
        </w:rPr>
        <w:t xml:space="preserve"> </w:t>
      </w:r>
      <w:r>
        <w:rPr>
          <w:sz w:val="18"/>
        </w:rPr>
        <w:t>financial</w:t>
      </w:r>
      <w:r>
        <w:rPr>
          <w:spacing w:val="-12"/>
          <w:sz w:val="18"/>
        </w:rPr>
        <w:t xml:space="preserve"> </w:t>
      </w:r>
      <w:r>
        <w:rPr>
          <w:sz w:val="18"/>
        </w:rPr>
        <w:t>performance,</w:t>
      </w:r>
      <w:r>
        <w:rPr>
          <w:spacing w:val="-12"/>
          <w:sz w:val="18"/>
        </w:rPr>
        <w:t xml:space="preserve"> </w:t>
      </w:r>
      <w:r>
        <w:rPr>
          <w:sz w:val="18"/>
        </w:rPr>
        <w:t>97 Our leadership team, 88</w:t>
      </w:r>
    </w:p>
    <w:p w14:paraId="46E500BA" w14:textId="77777777" w:rsidR="00AC6F3C" w:rsidRDefault="00570E88">
      <w:pPr>
        <w:spacing w:before="113"/>
        <w:ind w:left="472"/>
        <w:rPr>
          <w:b/>
          <w:sz w:val="28"/>
        </w:rPr>
      </w:pPr>
      <w:r>
        <w:rPr>
          <w:b/>
          <w:sz w:val="28"/>
        </w:rPr>
        <w:t>P</w:t>
      </w:r>
    </w:p>
    <w:p w14:paraId="5A59B403" w14:textId="77777777" w:rsidR="00AC6F3C" w:rsidRDefault="00570E88">
      <w:pPr>
        <w:spacing w:before="73"/>
        <w:ind w:left="472"/>
        <w:rPr>
          <w:sz w:val="18"/>
        </w:rPr>
      </w:pPr>
      <w:proofErr w:type="spellStart"/>
      <w:r>
        <w:rPr>
          <w:sz w:val="18"/>
        </w:rPr>
        <w:t>Practising</w:t>
      </w:r>
      <w:proofErr w:type="spellEnd"/>
      <w:r>
        <w:rPr>
          <w:spacing w:val="-1"/>
          <w:sz w:val="18"/>
        </w:rPr>
        <w:t xml:space="preserve"> </w:t>
      </w:r>
      <w:r>
        <w:rPr>
          <w:sz w:val="18"/>
        </w:rPr>
        <w:t>Certificates,</w:t>
      </w:r>
      <w:r>
        <w:rPr>
          <w:spacing w:val="-1"/>
          <w:sz w:val="18"/>
        </w:rPr>
        <w:t xml:space="preserve"> </w:t>
      </w:r>
      <w:r>
        <w:rPr>
          <w:sz w:val="18"/>
        </w:rPr>
        <w:t>5,</w:t>
      </w:r>
      <w:r>
        <w:rPr>
          <w:spacing w:val="-1"/>
          <w:sz w:val="18"/>
        </w:rPr>
        <w:t xml:space="preserve"> </w:t>
      </w:r>
      <w:r>
        <w:rPr>
          <w:sz w:val="18"/>
        </w:rPr>
        <w:t>24,</w:t>
      </w:r>
      <w:r>
        <w:rPr>
          <w:spacing w:val="-1"/>
          <w:sz w:val="18"/>
        </w:rPr>
        <w:t xml:space="preserve"> </w:t>
      </w:r>
      <w:r>
        <w:rPr>
          <w:sz w:val="18"/>
        </w:rPr>
        <w:t>28,</w:t>
      </w:r>
      <w:r>
        <w:rPr>
          <w:spacing w:val="-1"/>
          <w:sz w:val="18"/>
        </w:rPr>
        <w:t xml:space="preserve"> </w:t>
      </w:r>
      <w:r>
        <w:rPr>
          <w:sz w:val="18"/>
        </w:rPr>
        <w:t>50,</w:t>
      </w:r>
      <w:r>
        <w:rPr>
          <w:spacing w:val="-1"/>
          <w:sz w:val="18"/>
        </w:rPr>
        <w:t xml:space="preserve"> </w:t>
      </w:r>
      <w:r>
        <w:rPr>
          <w:sz w:val="18"/>
        </w:rPr>
        <w:t>51,</w:t>
      </w:r>
      <w:r>
        <w:rPr>
          <w:spacing w:val="-1"/>
          <w:sz w:val="18"/>
        </w:rPr>
        <w:t xml:space="preserve"> </w:t>
      </w:r>
      <w:r>
        <w:rPr>
          <w:sz w:val="18"/>
        </w:rPr>
        <w:t>59,</w:t>
      </w:r>
      <w:r>
        <w:rPr>
          <w:spacing w:val="-1"/>
          <w:sz w:val="18"/>
        </w:rPr>
        <w:t xml:space="preserve"> </w:t>
      </w:r>
      <w:r>
        <w:rPr>
          <w:sz w:val="18"/>
        </w:rPr>
        <w:t>65,</w:t>
      </w:r>
      <w:r>
        <w:rPr>
          <w:spacing w:val="-1"/>
          <w:sz w:val="18"/>
        </w:rPr>
        <w:t xml:space="preserve"> </w:t>
      </w:r>
      <w:r>
        <w:rPr>
          <w:spacing w:val="-5"/>
          <w:sz w:val="18"/>
        </w:rPr>
        <w:t>67</w:t>
      </w:r>
    </w:p>
    <w:p w14:paraId="3E5BCC21" w14:textId="77777777" w:rsidR="00AC6F3C" w:rsidRDefault="00570E88">
      <w:pPr>
        <w:spacing w:before="94"/>
        <w:ind w:left="472"/>
        <w:rPr>
          <w:sz w:val="18"/>
        </w:rPr>
      </w:pPr>
      <w:r>
        <w:rPr>
          <w:spacing w:val="-2"/>
          <w:sz w:val="18"/>
        </w:rPr>
        <w:t>President’s</w:t>
      </w:r>
      <w:r>
        <w:rPr>
          <w:spacing w:val="4"/>
          <w:sz w:val="18"/>
        </w:rPr>
        <w:t xml:space="preserve"> </w:t>
      </w:r>
      <w:r>
        <w:rPr>
          <w:spacing w:val="-2"/>
          <w:sz w:val="18"/>
        </w:rPr>
        <w:t>review,</w:t>
      </w:r>
      <w:r>
        <w:rPr>
          <w:spacing w:val="4"/>
          <w:sz w:val="18"/>
        </w:rPr>
        <w:t xml:space="preserve"> </w:t>
      </w:r>
      <w:r>
        <w:rPr>
          <w:spacing w:val="-5"/>
          <w:sz w:val="18"/>
        </w:rPr>
        <w:t>18</w:t>
      </w:r>
    </w:p>
    <w:p w14:paraId="62B2DD30" w14:textId="77777777" w:rsidR="00AC6F3C" w:rsidRDefault="00570E88">
      <w:pPr>
        <w:spacing w:before="94"/>
        <w:ind w:left="472"/>
        <w:rPr>
          <w:sz w:val="18"/>
        </w:rPr>
      </w:pPr>
      <w:r>
        <w:rPr>
          <w:sz w:val="18"/>
        </w:rPr>
        <w:t>Profession</w:t>
      </w:r>
      <w:r>
        <w:rPr>
          <w:spacing w:val="-5"/>
          <w:sz w:val="18"/>
        </w:rPr>
        <w:t xml:space="preserve"> </w:t>
      </w:r>
      <w:r>
        <w:rPr>
          <w:sz w:val="18"/>
        </w:rPr>
        <w:t>Snapshot,</w:t>
      </w:r>
      <w:r>
        <w:rPr>
          <w:spacing w:val="-4"/>
          <w:sz w:val="18"/>
        </w:rPr>
        <w:t xml:space="preserve"> </w:t>
      </w:r>
      <w:r>
        <w:rPr>
          <w:spacing w:val="-5"/>
          <w:sz w:val="18"/>
        </w:rPr>
        <w:t>28</w:t>
      </w:r>
    </w:p>
    <w:p w14:paraId="02DC540E" w14:textId="77777777" w:rsidR="00AC6F3C" w:rsidRDefault="00AC6F3C">
      <w:pPr>
        <w:pStyle w:val="BodyText"/>
        <w:spacing w:before="10"/>
        <w:rPr>
          <w:sz w:val="17"/>
        </w:rPr>
      </w:pPr>
    </w:p>
    <w:p w14:paraId="599159DA" w14:textId="77777777" w:rsidR="00AC6F3C" w:rsidRDefault="00570E88">
      <w:pPr>
        <w:ind w:left="472"/>
        <w:rPr>
          <w:b/>
          <w:sz w:val="28"/>
        </w:rPr>
      </w:pPr>
      <w:r>
        <w:rPr>
          <w:b/>
          <w:sz w:val="28"/>
        </w:rPr>
        <w:t>Q</w:t>
      </w:r>
    </w:p>
    <w:p w14:paraId="3830E5F3" w14:textId="77777777" w:rsidR="00AC6F3C" w:rsidRDefault="00570E88">
      <w:pPr>
        <w:spacing w:before="73"/>
        <w:ind w:left="472"/>
        <w:rPr>
          <w:sz w:val="18"/>
        </w:rPr>
      </w:pPr>
      <w:r>
        <w:rPr>
          <w:sz w:val="18"/>
        </w:rPr>
        <w:t xml:space="preserve">QLS Council, 3, 16, 19, 23, </w:t>
      </w:r>
      <w:r>
        <w:rPr>
          <w:spacing w:val="-5"/>
          <w:sz w:val="18"/>
        </w:rPr>
        <w:t>27</w:t>
      </w:r>
    </w:p>
    <w:p w14:paraId="46F27F62" w14:textId="77777777" w:rsidR="00AC6F3C" w:rsidRDefault="00570E88">
      <w:pPr>
        <w:spacing w:before="94"/>
        <w:ind w:left="472"/>
        <w:rPr>
          <w:sz w:val="18"/>
        </w:rPr>
      </w:pPr>
      <w:r>
        <w:rPr>
          <w:sz w:val="18"/>
        </w:rPr>
        <w:t>QLS</w:t>
      </w:r>
      <w:r>
        <w:rPr>
          <w:spacing w:val="-1"/>
          <w:sz w:val="18"/>
        </w:rPr>
        <w:t xml:space="preserve"> </w:t>
      </w:r>
      <w:r>
        <w:rPr>
          <w:sz w:val="18"/>
        </w:rPr>
        <w:t>Ethics</w:t>
      </w:r>
      <w:r>
        <w:rPr>
          <w:spacing w:val="-1"/>
          <w:sz w:val="18"/>
        </w:rPr>
        <w:t xml:space="preserve"> </w:t>
      </w:r>
      <w:r>
        <w:rPr>
          <w:sz w:val="18"/>
        </w:rPr>
        <w:t>and</w:t>
      </w:r>
      <w:r>
        <w:rPr>
          <w:spacing w:val="-1"/>
          <w:sz w:val="18"/>
        </w:rPr>
        <w:t xml:space="preserve"> </w:t>
      </w:r>
      <w:r>
        <w:rPr>
          <w:sz w:val="18"/>
        </w:rPr>
        <w:t>Practice</w:t>
      </w:r>
      <w:r>
        <w:rPr>
          <w:spacing w:val="-1"/>
          <w:sz w:val="18"/>
        </w:rPr>
        <w:t xml:space="preserve"> </w:t>
      </w:r>
      <w:r>
        <w:rPr>
          <w:sz w:val="18"/>
        </w:rPr>
        <w:t>Centre,</w:t>
      </w:r>
      <w:r>
        <w:rPr>
          <w:spacing w:val="-1"/>
          <w:sz w:val="18"/>
        </w:rPr>
        <w:t xml:space="preserve"> </w:t>
      </w:r>
      <w:r>
        <w:rPr>
          <w:sz w:val="18"/>
        </w:rPr>
        <w:t>6,</w:t>
      </w:r>
      <w:r>
        <w:rPr>
          <w:spacing w:val="-1"/>
          <w:sz w:val="18"/>
        </w:rPr>
        <w:t xml:space="preserve"> </w:t>
      </w:r>
      <w:r>
        <w:rPr>
          <w:sz w:val="18"/>
        </w:rPr>
        <w:t>54,</w:t>
      </w:r>
      <w:r>
        <w:rPr>
          <w:spacing w:val="-1"/>
          <w:sz w:val="18"/>
        </w:rPr>
        <w:t xml:space="preserve"> </w:t>
      </w:r>
      <w:r>
        <w:rPr>
          <w:sz w:val="18"/>
        </w:rPr>
        <w:t>55,</w:t>
      </w:r>
      <w:r>
        <w:rPr>
          <w:spacing w:val="-1"/>
          <w:sz w:val="18"/>
        </w:rPr>
        <w:t xml:space="preserve"> </w:t>
      </w:r>
      <w:r>
        <w:rPr>
          <w:sz w:val="18"/>
        </w:rPr>
        <w:t>56,</w:t>
      </w:r>
      <w:r>
        <w:rPr>
          <w:spacing w:val="-1"/>
          <w:sz w:val="18"/>
        </w:rPr>
        <w:t xml:space="preserve"> </w:t>
      </w:r>
      <w:r>
        <w:rPr>
          <w:spacing w:val="-5"/>
          <w:sz w:val="18"/>
        </w:rPr>
        <w:t>70</w:t>
      </w:r>
    </w:p>
    <w:p w14:paraId="600D9FDA" w14:textId="77777777" w:rsidR="00AC6F3C" w:rsidRDefault="00570E88">
      <w:pPr>
        <w:spacing w:before="94"/>
        <w:ind w:left="472"/>
        <w:rPr>
          <w:sz w:val="18"/>
        </w:rPr>
      </w:pPr>
      <w:r>
        <w:rPr>
          <w:sz w:val="18"/>
        </w:rPr>
        <w:t>QLS</w:t>
      </w:r>
      <w:r>
        <w:rPr>
          <w:spacing w:val="-4"/>
          <w:sz w:val="18"/>
        </w:rPr>
        <w:t xml:space="preserve"> </w:t>
      </w:r>
      <w:r>
        <w:rPr>
          <w:sz w:val="18"/>
        </w:rPr>
        <w:t>Proctor,</w:t>
      </w:r>
      <w:r>
        <w:rPr>
          <w:spacing w:val="-2"/>
          <w:sz w:val="18"/>
        </w:rPr>
        <w:t xml:space="preserve"> </w:t>
      </w:r>
      <w:r>
        <w:rPr>
          <w:sz w:val="18"/>
        </w:rPr>
        <w:t>73,</w:t>
      </w:r>
      <w:r>
        <w:rPr>
          <w:spacing w:val="-2"/>
          <w:sz w:val="18"/>
        </w:rPr>
        <w:t xml:space="preserve"> </w:t>
      </w:r>
      <w:r>
        <w:rPr>
          <w:sz w:val="18"/>
        </w:rPr>
        <w:t>75,</w:t>
      </w:r>
      <w:r>
        <w:rPr>
          <w:spacing w:val="-2"/>
          <w:sz w:val="18"/>
        </w:rPr>
        <w:t xml:space="preserve"> </w:t>
      </w:r>
      <w:r>
        <w:rPr>
          <w:sz w:val="18"/>
        </w:rPr>
        <w:t>76,</w:t>
      </w:r>
      <w:r>
        <w:rPr>
          <w:spacing w:val="-2"/>
          <w:sz w:val="18"/>
        </w:rPr>
        <w:t xml:space="preserve"> </w:t>
      </w:r>
      <w:r>
        <w:rPr>
          <w:spacing w:val="-5"/>
          <w:sz w:val="18"/>
        </w:rPr>
        <w:t>88</w:t>
      </w:r>
    </w:p>
    <w:p w14:paraId="05BA5274" w14:textId="77777777" w:rsidR="00AC6F3C" w:rsidRDefault="00570E88">
      <w:pPr>
        <w:spacing w:before="94"/>
        <w:ind w:left="472"/>
        <w:rPr>
          <w:sz w:val="18"/>
        </w:rPr>
      </w:pPr>
      <w:r>
        <w:rPr>
          <w:sz w:val="18"/>
        </w:rPr>
        <w:t xml:space="preserve">QLS Senior Counsellors, 6, </w:t>
      </w:r>
      <w:r>
        <w:rPr>
          <w:spacing w:val="-5"/>
          <w:sz w:val="18"/>
        </w:rPr>
        <w:t>59</w:t>
      </w:r>
    </w:p>
    <w:p w14:paraId="57F9E0F7" w14:textId="77777777" w:rsidR="00AC6F3C" w:rsidRDefault="00570E88">
      <w:pPr>
        <w:spacing w:before="94"/>
        <w:ind w:left="472"/>
        <w:rPr>
          <w:sz w:val="18"/>
        </w:rPr>
      </w:pPr>
      <w:r>
        <w:rPr>
          <w:sz w:val="18"/>
        </w:rPr>
        <w:t xml:space="preserve">QLS Solicitor Support Pty Ltd, 8, 56, 57, 58, 59, </w:t>
      </w:r>
      <w:r>
        <w:rPr>
          <w:spacing w:val="-5"/>
          <w:sz w:val="18"/>
        </w:rPr>
        <w:t>97</w:t>
      </w:r>
    </w:p>
    <w:p w14:paraId="28383FBF" w14:textId="77777777" w:rsidR="00AC6F3C" w:rsidRDefault="00AC6F3C">
      <w:pPr>
        <w:pStyle w:val="BodyText"/>
        <w:spacing w:before="10"/>
        <w:rPr>
          <w:sz w:val="17"/>
        </w:rPr>
      </w:pPr>
    </w:p>
    <w:p w14:paraId="10F237F7" w14:textId="77777777" w:rsidR="00AC6F3C" w:rsidRDefault="00570E88">
      <w:pPr>
        <w:ind w:left="472"/>
        <w:rPr>
          <w:b/>
          <w:sz w:val="28"/>
        </w:rPr>
      </w:pPr>
      <w:r>
        <w:rPr>
          <w:b/>
          <w:sz w:val="28"/>
        </w:rPr>
        <w:t>R</w:t>
      </w:r>
    </w:p>
    <w:p w14:paraId="3759AD56" w14:textId="77777777" w:rsidR="00AC6F3C" w:rsidRDefault="00570E88">
      <w:pPr>
        <w:spacing w:before="73" w:line="348" w:lineRule="auto"/>
        <w:ind w:left="472" w:right="1941"/>
        <w:rPr>
          <w:sz w:val="18"/>
        </w:rPr>
      </w:pPr>
      <w:r>
        <w:rPr>
          <w:sz w:val="18"/>
        </w:rPr>
        <w:t>Regulation,</w:t>
      </w:r>
      <w:r>
        <w:rPr>
          <w:spacing w:val="-7"/>
          <w:sz w:val="18"/>
        </w:rPr>
        <w:t xml:space="preserve"> </w:t>
      </w:r>
      <w:r>
        <w:rPr>
          <w:sz w:val="18"/>
        </w:rPr>
        <w:t>6,</w:t>
      </w:r>
      <w:r>
        <w:rPr>
          <w:spacing w:val="-7"/>
          <w:sz w:val="18"/>
        </w:rPr>
        <w:t xml:space="preserve"> </w:t>
      </w:r>
      <w:r>
        <w:rPr>
          <w:sz w:val="18"/>
        </w:rPr>
        <w:t>21,</w:t>
      </w:r>
      <w:r>
        <w:rPr>
          <w:spacing w:val="-7"/>
          <w:sz w:val="18"/>
        </w:rPr>
        <w:t xml:space="preserve"> </w:t>
      </w:r>
      <w:r>
        <w:rPr>
          <w:sz w:val="18"/>
        </w:rPr>
        <w:t>50,</w:t>
      </w:r>
      <w:r>
        <w:rPr>
          <w:spacing w:val="-7"/>
          <w:sz w:val="18"/>
        </w:rPr>
        <w:t xml:space="preserve"> </w:t>
      </w:r>
      <w:r>
        <w:rPr>
          <w:sz w:val="18"/>
        </w:rPr>
        <w:t>87,</w:t>
      </w:r>
      <w:r>
        <w:rPr>
          <w:spacing w:val="-7"/>
          <w:sz w:val="18"/>
        </w:rPr>
        <w:t xml:space="preserve"> </w:t>
      </w:r>
      <w:r>
        <w:rPr>
          <w:sz w:val="18"/>
        </w:rPr>
        <w:t>89 Right to information, 96</w:t>
      </w:r>
    </w:p>
    <w:p w14:paraId="065B9556" w14:textId="77777777" w:rsidR="00AC6F3C" w:rsidRDefault="00570E88">
      <w:pPr>
        <w:spacing w:before="113"/>
        <w:ind w:left="472"/>
        <w:rPr>
          <w:b/>
          <w:sz w:val="28"/>
        </w:rPr>
      </w:pPr>
      <w:r>
        <w:rPr>
          <w:b/>
          <w:sz w:val="28"/>
        </w:rPr>
        <w:t>S</w:t>
      </w:r>
    </w:p>
    <w:p w14:paraId="027CB699" w14:textId="77777777" w:rsidR="00AC6F3C" w:rsidRDefault="00570E88">
      <w:pPr>
        <w:spacing w:before="73"/>
        <w:ind w:left="472"/>
        <w:rPr>
          <w:sz w:val="18"/>
        </w:rPr>
      </w:pPr>
      <w:r>
        <w:rPr>
          <w:sz w:val="18"/>
        </w:rPr>
        <w:t>Specialist</w:t>
      </w:r>
      <w:r>
        <w:rPr>
          <w:spacing w:val="-10"/>
          <w:sz w:val="18"/>
        </w:rPr>
        <w:t xml:space="preserve"> </w:t>
      </w:r>
      <w:r>
        <w:rPr>
          <w:sz w:val="18"/>
        </w:rPr>
        <w:t xml:space="preserve">Accreditation, 6, 8, 13, 24, 65, 67, 87, </w:t>
      </w:r>
      <w:r>
        <w:rPr>
          <w:spacing w:val="-5"/>
          <w:sz w:val="18"/>
        </w:rPr>
        <w:t>93</w:t>
      </w:r>
    </w:p>
    <w:p w14:paraId="0575C176" w14:textId="77777777" w:rsidR="00AC6F3C" w:rsidRDefault="00570E88">
      <w:pPr>
        <w:spacing w:before="94"/>
        <w:ind w:left="472"/>
        <w:rPr>
          <w:sz w:val="18"/>
        </w:rPr>
      </w:pPr>
      <w:r>
        <w:rPr>
          <w:sz w:val="18"/>
        </w:rPr>
        <w:t xml:space="preserve">Strategic Plan, 3, 10, 12, 17, 18, 23, 27, 56, 57, 58, </w:t>
      </w:r>
      <w:r>
        <w:rPr>
          <w:spacing w:val="-5"/>
          <w:sz w:val="18"/>
        </w:rPr>
        <w:t>75,</w:t>
      </w:r>
    </w:p>
    <w:p w14:paraId="118B6FFD" w14:textId="77777777" w:rsidR="00AC6F3C" w:rsidRDefault="00570E88">
      <w:pPr>
        <w:spacing w:before="9"/>
        <w:ind w:left="472"/>
        <w:rPr>
          <w:sz w:val="18"/>
        </w:rPr>
      </w:pPr>
      <w:r>
        <w:rPr>
          <w:sz w:val="18"/>
        </w:rPr>
        <w:t xml:space="preserve">80, </w:t>
      </w:r>
      <w:r>
        <w:rPr>
          <w:spacing w:val="-5"/>
          <w:sz w:val="18"/>
        </w:rPr>
        <w:t>84</w:t>
      </w:r>
    </w:p>
    <w:p w14:paraId="2D53F626" w14:textId="77777777" w:rsidR="00AC6F3C" w:rsidRDefault="00570E88">
      <w:pPr>
        <w:spacing w:before="94"/>
        <w:ind w:left="472"/>
        <w:rPr>
          <w:sz w:val="18"/>
        </w:rPr>
      </w:pPr>
      <w:r>
        <w:rPr>
          <w:sz w:val="18"/>
        </w:rPr>
        <w:t xml:space="preserve">Symposium, 21, 66, 78, </w:t>
      </w:r>
      <w:r>
        <w:rPr>
          <w:spacing w:val="-5"/>
          <w:sz w:val="18"/>
        </w:rPr>
        <w:t>87</w:t>
      </w:r>
    </w:p>
    <w:p w14:paraId="0916D1B5" w14:textId="77777777" w:rsidR="00AC6F3C" w:rsidRDefault="00AC6F3C">
      <w:pPr>
        <w:pStyle w:val="BodyText"/>
        <w:spacing w:before="10"/>
        <w:rPr>
          <w:sz w:val="17"/>
        </w:rPr>
      </w:pPr>
    </w:p>
    <w:p w14:paraId="4B77C9EF" w14:textId="77777777" w:rsidR="00AC6F3C" w:rsidRDefault="00570E88">
      <w:pPr>
        <w:ind w:left="472"/>
        <w:rPr>
          <w:b/>
          <w:sz w:val="28"/>
        </w:rPr>
      </w:pPr>
      <w:r>
        <w:rPr>
          <w:b/>
          <w:sz w:val="28"/>
        </w:rPr>
        <w:t>T</w:t>
      </w:r>
    </w:p>
    <w:p w14:paraId="4D8AA85B" w14:textId="77777777" w:rsidR="00AC6F3C" w:rsidRDefault="00570E88">
      <w:pPr>
        <w:spacing w:before="73"/>
        <w:ind w:left="472"/>
        <w:rPr>
          <w:sz w:val="18"/>
        </w:rPr>
      </w:pPr>
      <w:r>
        <w:rPr>
          <w:sz w:val="18"/>
        </w:rPr>
        <w:t>Trust</w:t>
      </w:r>
      <w:r>
        <w:rPr>
          <w:spacing w:val="-13"/>
          <w:sz w:val="18"/>
        </w:rPr>
        <w:t xml:space="preserve"> </w:t>
      </w:r>
      <w:r>
        <w:rPr>
          <w:sz w:val="18"/>
        </w:rPr>
        <w:t>Account,</w:t>
      </w:r>
      <w:r>
        <w:rPr>
          <w:spacing w:val="-1"/>
          <w:sz w:val="18"/>
        </w:rPr>
        <w:t xml:space="preserve"> </w:t>
      </w:r>
      <w:r>
        <w:rPr>
          <w:sz w:val="18"/>
        </w:rPr>
        <w:t>8,</w:t>
      </w:r>
      <w:r>
        <w:rPr>
          <w:spacing w:val="-1"/>
          <w:sz w:val="18"/>
        </w:rPr>
        <w:t xml:space="preserve"> </w:t>
      </w:r>
      <w:r>
        <w:rPr>
          <w:sz w:val="18"/>
        </w:rPr>
        <w:t>9,</w:t>
      </w:r>
      <w:r>
        <w:rPr>
          <w:spacing w:val="-1"/>
          <w:sz w:val="18"/>
        </w:rPr>
        <w:t xml:space="preserve"> </w:t>
      </w:r>
      <w:r>
        <w:rPr>
          <w:sz w:val="18"/>
        </w:rPr>
        <w:t>21,</w:t>
      </w:r>
      <w:r>
        <w:rPr>
          <w:spacing w:val="-1"/>
          <w:sz w:val="18"/>
        </w:rPr>
        <w:t xml:space="preserve"> </w:t>
      </w:r>
      <w:r>
        <w:rPr>
          <w:sz w:val="18"/>
        </w:rPr>
        <w:t>51,</w:t>
      </w:r>
      <w:r>
        <w:rPr>
          <w:spacing w:val="-1"/>
          <w:sz w:val="18"/>
        </w:rPr>
        <w:t xml:space="preserve"> </w:t>
      </w:r>
      <w:r>
        <w:rPr>
          <w:sz w:val="18"/>
        </w:rPr>
        <w:t>87,</w:t>
      </w:r>
      <w:r>
        <w:rPr>
          <w:spacing w:val="-1"/>
          <w:sz w:val="18"/>
        </w:rPr>
        <w:t xml:space="preserve"> </w:t>
      </w:r>
      <w:r>
        <w:rPr>
          <w:spacing w:val="-5"/>
          <w:sz w:val="18"/>
        </w:rPr>
        <w:t>89</w:t>
      </w:r>
    </w:p>
    <w:p w14:paraId="5B699B00" w14:textId="77777777" w:rsidR="00AC6F3C" w:rsidRDefault="00AC6F3C">
      <w:pPr>
        <w:pStyle w:val="BodyText"/>
        <w:spacing w:before="9"/>
        <w:rPr>
          <w:sz w:val="17"/>
        </w:rPr>
      </w:pPr>
    </w:p>
    <w:p w14:paraId="7D6C3712" w14:textId="77777777" w:rsidR="00AC6F3C" w:rsidRDefault="00570E88">
      <w:pPr>
        <w:ind w:left="472"/>
        <w:rPr>
          <w:b/>
          <w:sz w:val="28"/>
        </w:rPr>
      </w:pPr>
      <w:r>
        <w:rPr>
          <w:b/>
          <w:sz w:val="28"/>
        </w:rPr>
        <w:t>V</w:t>
      </w:r>
    </w:p>
    <w:p w14:paraId="3B89B935" w14:textId="77777777" w:rsidR="00AC6F3C" w:rsidRDefault="00570E88">
      <w:pPr>
        <w:spacing w:before="73"/>
        <w:ind w:left="472"/>
        <w:rPr>
          <w:sz w:val="18"/>
        </w:rPr>
      </w:pPr>
      <w:r>
        <w:rPr>
          <w:sz w:val="18"/>
        </w:rPr>
        <w:t>Vision,</w:t>
      </w:r>
      <w:r>
        <w:rPr>
          <w:spacing w:val="-3"/>
          <w:sz w:val="18"/>
        </w:rPr>
        <w:t xml:space="preserve"> </w:t>
      </w:r>
      <w:r>
        <w:rPr>
          <w:sz w:val="18"/>
        </w:rPr>
        <w:t>3,</w:t>
      </w:r>
      <w:r>
        <w:rPr>
          <w:spacing w:val="-1"/>
          <w:sz w:val="18"/>
        </w:rPr>
        <w:t xml:space="preserve"> </w:t>
      </w:r>
      <w:r>
        <w:rPr>
          <w:sz w:val="18"/>
        </w:rPr>
        <w:t>8,</w:t>
      </w:r>
      <w:r>
        <w:rPr>
          <w:spacing w:val="-1"/>
          <w:sz w:val="18"/>
        </w:rPr>
        <w:t xml:space="preserve"> </w:t>
      </w:r>
      <w:r>
        <w:rPr>
          <w:sz w:val="18"/>
        </w:rPr>
        <w:t>10,</w:t>
      </w:r>
      <w:r>
        <w:rPr>
          <w:spacing w:val="-1"/>
          <w:sz w:val="18"/>
        </w:rPr>
        <w:t xml:space="preserve"> </w:t>
      </w:r>
      <w:r>
        <w:rPr>
          <w:spacing w:val="-5"/>
          <w:sz w:val="18"/>
        </w:rPr>
        <w:t>18</w:t>
      </w:r>
    </w:p>
    <w:p w14:paraId="2D92EFE9" w14:textId="77777777" w:rsidR="00AC6F3C" w:rsidRDefault="00AC6F3C">
      <w:pPr>
        <w:pStyle w:val="BodyText"/>
        <w:spacing w:before="10"/>
        <w:rPr>
          <w:sz w:val="17"/>
        </w:rPr>
      </w:pPr>
    </w:p>
    <w:p w14:paraId="790A8652" w14:textId="77777777" w:rsidR="00AC6F3C" w:rsidRDefault="00570E88">
      <w:pPr>
        <w:ind w:left="472"/>
        <w:rPr>
          <w:b/>
          <w:sz w:val="28"/>
        </w:rPr>
      </w:pPr>
      <w:r>
        <w:rPr>
          <w:b/>
          <w:sz w:val="28"/>
        </w:rPr>
        <w:t>W</w:t>
      </w:r>
    </w:p>
    <w:p w14:paraId="23CFFF56" w14:textId="77777777" w:rsidR="00AC6F3C" w:rsidRDefault="00570E88">
      <w:pPr>
        <w:spacing w:before="73"/>
        <w:ind w:left="472"/>
        <w:rPr>
          <w:sz w:val="18"/>
        </w:rPr>
      </w:pPr>
      <w:r>
        <w:rPr>
          <w:sz w:val="18"/>
        </w:rPr>
        <w:t>Wellbeing,</w:t>
      </w:r>
      <w:r>
        <w:rPr>
          <w:spacing w:val="-1"/>
          <w:sz w:val="18"/>
        </w:rPr>
        <w:t xml:space="preserve"> </w:t>
      </w:r>
      <w:r>
        <w:rPr>
          <w:sz w:val="18"/>
        </w:rPr>
        <w:t>18, 63,</w:t>
      </w:r>
      <w:r>
        <w:rPr>
          <w:spacing w:val="-1"/>
          <w:sz w:val="18"/>
        </w:rPr>
        <w:t xml:space="preserve"> </w:t>
      </w:r>
      <w:r>
        <w:rPr>
          <w:sz w:val="18"/>
        </w:rPr>
        <w:t>64, 67,</w:t>
      </w:r>
      <w:r>
        <w:rPr>
          <w:spacing w:val="-1"/>
          <w:sz w:val="18"/>
        </w:rPr>
        <w:t xml:space="preserve"> </w:t>
      </w:r>
      <w:r>
        <w:rPr>
          <w:sz w:val="18"/>
        </w:rPr>
        <w:t>72, 81,</w:t>
      </w:r>
      <w:r>
        <w:rPr>
          <w:spacing w:val="-1"/>
          <w:sz w:val="18"/>
        </w:rPr>
        <w:t xml:space="preserve"> </w:t>
      </w:r>
      <w:r>
        <w:rPr>
          <w:sz w:val="18"/>
        </w:rPr>
        <w:t xml:space="preserve">84, 86, </w:t>
      </w:r>
      <w:r>
        <w:rPr>
          <w:spacing w:val="-5"/>
          <w:sz w:val="18"/>
        </w:rPr>
        <w:t>93</w:t>
      </w:r>
    </w:p>
    <w:p w14:paraId="7D835058" w14:textId="77777777" w:rsidR="00AC6F3C" w:rsidRDefault="00570E88">
      <w:pPr>
        <w:spacing w:before="94"/>
        <w:ind w:left="472"/>
        <w:rPr>
          <w:sz w:val="18"/>
        </w:rPr>
      </w:pPr>
      <w:r>
        <w:rPr>
          <w:sz w:val="18"/>
        </w:rPr>
        <w:t>Working</w:t>
      </w:r>
      <w:r>
        <w:rPr>
          <w:spacing w:val="-3"/>
          <w:sz w:val="18"/>
        </w:rPr>
        <w:t xml:space="preserve"> </w:t>
      </w:r>
      <w:r>
        <w:rPr>
          <w:sz w:val="18"/>
        </w:rPr>
        <w:t>groups,</w:t>
      </w:r>
      <w:r>
        <w:rPr>
          <w:spacing w:val="-3"/>
          <w:sz w:val="18"/>
        </w:rPr>
        <w:t xml:space="preserve"> </w:t>
      </w:r>
      <w:r>
        <w:rPr>
          <w:sz w:val="18"/>
        </w:rPr>
        <w:t>21,</w:t>
      </w:r>
      <w:r>
        <w:rPr>
          <w:spacing w:val="-3"/>
          <w:sz w:val="18"/>
        </w:rPr>
        <w:t xml:space="preserve"> </w:t>
      </w:r>
      <w:r>
        <w:rPr>
          <w:spacing w:val="-5"/>
          <w:sz w:val="18"/>
        </w:rPr>
        <w:t>93</w:t>
      </w:r>
    </w:p>
    <w:sectPr w:rsidR="00AC6F3C">
      <w:type w:val="continuous"/>
      <w:pgSz w:w="11910" w:h="16840"/>
      <w:pgMar w:top="1920" w:right="1160" w:bottom="280" w:left="460" w:header="0" w:footer="336" w:gutter="0"/>
      <w:cols w:num="2" w:space="720" w:equalWidth="0">
        <w:col w:w="5221" w:space="40"/>
        <w:col w:w="5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38DE" w14:textId="77777777" w:rsidR="00570E88" w:rsidRDefault="00570E88">
      <w:r>
        <w:separator/>
      </w:r>
    </w:p>
  </w:endnote>
  <w:endnote w:type="continuationSeparator" w:id="0">
    <w:p w14:paraId="2BCD99A4" w14:textId="77777777" w:rsidR="00570E88" w:rsidRDefault="0057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C69" w14:textId="77777777" w:rsidR="00AC6F3C" w:rsidRDefault="00570E88">
    <w:pPr>
      <w:pStyle w:val="BodyText"/>
      <w:spacing w:line="14" w:lineRule="auto"/>
    </w:pPr>
    <w:r>
      <w:rPr>
        <w:noProof/>
      </w:rPr>
      <mc:AlternateContent>
        <mc:Choice Requires="wps">
          <w:drawing>
            <wp:anchor distT="0" distB="0" distL="0" distR="0" simplePos="0" relativeHeight="472834048" behindDoc="1" locked="0" layoutInCell="1" allowOverlap="1" wp14:anchorId="742D99B5" wp14:editId="146EB8DB">
              <wp:simplePos x="0" y="0"/>
              <wp:positionH relativeFrom="page">
                <wp:posOffset>4046198</wp:posOffset>
              </wp:positionH>
              <wp:positionV relativeFrom="page">
                <wp:posOffset>10339075</wp:posOffset>
              </wp:positionV>
              <wp:extent cx="3133090" cy="1320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132080"/>
                      </a:xfrm>
                      <a:prstGeom prst="rect">
                        <a:avLst/>
                      </a:prstGeom>
                    </wps:spPr>
                    <wps:txbx>
                      <w:txbxContent>
                        <w:p w14:paraId="0E5BC8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3</w:t>
                          </w:r>
                          <w:r>
                            <w:rPr>
                              <w:b/>
                              <w:spacing w:val="-10"/>
                              <w:sz w:val="15"/>
                            </w:rPr>
                            <w:fldChar w:fldCharType="end"/>
                          </w:r>
                        </w:p>
                      </w:txbxContent>
                    </wps:txbx>
                    <wps:bodyPr wrap="square" lIns="0" tIns="0" rIns="0" bIns="0" rtlCol="0">
                      <a:noAutofit/>
                    </wps:bodyPr>
                  </wps:wsp>
                </a:graphicData>
              </a:graphic>
            </wp:anchor>
          </w:drawing>
        </mc:Choice>
        <mc:Fallback>
          <w:pict>
            <v:shapetype w14:anchorId="742D99B5" id="_x0000_t202" coordsize="21600,21600" o:spt="202" path="m,l,21600r21600,l21600,xe">
              <v:stroke joinstyle="miter"/>
              <v:path gradientshapeok="t" o:connecttype="rect"/>
            </v:shapetype>
            <v:shape id="Textbox 6" o:spid="_x0000_s1045" type="#_x0000_t202" style="position:absolute;margin-left:318.6pt;margin-top:814.1pt;width:246.7pt;height:10.4pt;z-index:-304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" filled="f" stroked="f">
              <v:textbox inset="0,0,0,0">
                <w:txbxContent>
                  <w:p w14:paraId="0E5BC8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3</w:t>
                    </w:r>
                    <w:r>
                      <w:rPr>
                        <w:b/>
                        <w:spacing w:val="-10"/>
                        <w:sz w:val="1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1489" w14:textId="77777777" w:rsidR="00AC6F3C" w:rsidRDefault="00570E88">
    <w:pPr>
      <w:pStyle w:val="BodyText"/>
      <w:spacing w:line="14" w:lineRule="auto"/>
    </w:pPr>
    <w:r>
      <w:rPr>
        <w:noProof/>
      </w:rPr>
      <mc:AlternateContent>
        <mc:Choice Requires="wps">
          <w:drawing>
            <wp:anchor distT="0" distB="0" distL="0" distR="0" simplePos="0" relativeHeight="472843264" behindDoc="1" locked="0" layoutInCell="1" allowOverlap="1" wp14:anchorId="4F99BF26" wp14:editId="5846FA1B">
              <wp:simplePos x="0" y="0"/>
              <wp:positionH relativeFrom="page">
                <wp:posOffset>7303025</wp:posOffset>
              </wp:positionH>
              <wp:positionV relativeFrom="page">
                <wp:posOffset>7207077</wp:posOffset>
              </wp:positionV>
              <wp:extent cx="3185795" cy="1320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5A4B90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14</w:t>
                          </w:r>
                          <w:r>
                            <w:rPr>
                              <w:b/>
                              <w:spacing w:val="-5"/>
                              <w:sz w:val="15"/>
                            </w:rPr>
                            <w:fldChar w:fldCharType="end"/>
                          </w:r>
                        </w:p>
                      </w:txbxContent>
                    </wps:txbx>
                    <wps:bodyPr wrap="square" lIns="0" tIns="0" rIns="0" bIns="0" rtlCol="0">
                      <a:noAutofit/>
                    </wps:bodyPr>
                  </wps:wsp>
                </a:graphicData>
              </a:graphic>
            </wp:anchor>
          </w:drawing>
        </mc:Choice>
        <mc:Fallback>
          <w:pict>
            <v:shapetype w14:anchorId="4F99BF26" id="_x0000_t202" coordsize="21600,21600" o:spt="202" path="m,l,21600r21600,l21600,xe">
              <v:stroke joinstyle="miter"/>
              <v:path gradientshapeok="t" o:connecttype="rect"/>
            </v:shapetype>
            <v:shape id="Textbox 145" o:spid="_x0000_s1054" type="#_x0000_t202" style="position:absolute;margin-left:575.05pt;margin-top:567.5pt;width:250.85pt;height:10.4pt;z-index:-304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6GmQEAACI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zfL9e2bu1spDJ8tb1bVuhiurrcjUvpowYtc&#10;NBI5r8JAHx8p5fd1fW6ZyTy/n5mkaTeJvm3kXU4x7+ygPbGWkeNsJP08aLRSDJ8C+5WzPxd4Lnbn&#10;AtPwHsoPyZICvD0kcH0hcMWdCXAQhdf8aXLSv69L1/Vrb38B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AApD6GmQEA&#10;ACIDAAAOAAAAAAAAAAAAAAAAAC4CAABkcnMvZTJvRG9jLnhtbFBLAQItABQABgAIAAAAIQCwt8RQ&#10;4AAAAA8BAAAPAAAAAAAAAAAAAAAAAPMDAABkcnMvZG93bnJldi54bWxQSwUGAAAAAAQABADzAAAA&#10;AAUAAAAA&#10;" filled="f" stroked="f">
              <v:textbox inset="0,0,0,0">
                <w:txbxContent>
                  <w:p w14:paraId="75A4B90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14</w:t>
                    </w:r>
                    <w:r>
                      <w:rPr>
                        <w:b/>
                        <w:spacing w:val="-5"/>
                        <w:sz w:val="1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414C" w14:textId="77777777" w:rsidR="00AC6F3C" w:rsidRDefault="00570E88">
    <w:pPr>
      <w:pStyle w:val="BodyText"/>
      <w:spacing w:line="14" w:lineRule="auto"/>
    </w:pPr>
    <w:r>
      <w:rPr>
        <w:noProof/>
      </w:rPr>
      <mc:AlternateContent>
        <mc:Choice Requires="wps">
          <w:drawing>
            <wp:anchor distT="0" distB="0" distL="0" distR="0" simplePos="0" relativeHeight="472904192" behindDoc="1" locked="0" layoutInCell="1" allowOverlap="1" wp14:anchorId="2128F447" wp14:editId="3B2FFBF2">
              <wp:simplePos x="0" y="0"/>
              <wp:positionH relativeFrom="page">
                <wp:posOffset>3940251</wp:posOffset>
              </wp:positionH>
              <wp:positionV relativeFrom="page">
                <wp:posOffset>10339075</wp:posOffset>
              </wp:positionV>
              <wp:extent cx="3239135" cy="13208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66F7490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163</w:t>
                          </w:r>
                          <w:r>
                            <w:rPr>
                              <w:b/>
                              <w:spacing w:val="-5"/>
                              <w:sz w:val="15"/>
                            </w:rPr>
                            <w:fldChar w:fldCharType="end"/>
                          </w:r>
                        </w:p>
                      </w:txbxContent>
                    </wps:txbx>
                    <wps:bodyPr wrap="square" lIns="0" tIns="0" rIns="0" bIns="0" rtlCol="0">
                      <a:noAutofit/>
                    </wps:bodyPr>
                  </wps:wsp>
                </a:graphicData>
              </a:graphic>
            </wp:anchor>
          </w:drawing>
        </mc:Choice>
        <mc:Fallback>
          <w:pict>
            <v:shapetype w14:anchorId="2128F447" id="_x0000_t202" coordsize="21600,21600" o:spt="202" path="m,l,21600r21600,l21600,xe">
              <v:stroke joinstyle="miter"/>
              <v:path gradientshapeok="t" o:connecttype="rect"/>
            </v:shapetype>
            <v:shape id="Textbox 769" o:spid="_x0000_s1163" type="#_x0000_t202" style="position:absolute;margin-left:310.25pt;margin-top:814.1pt;width:255.05pt;height:10.4pt;z-index:-304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LYY7eOa&#10;AQAAJAMAAA4AAAAAAAAAAAAAAAAALgIAAGRycy9lMm9Eb2MueG1sUEsBAi0AFAAGAAgAAAAhACXs&#10;Lz3hAAAADgEAAA8AAAAAAAAAAAAAAAAA9AMAAGRycy9kb3ducmV2LnhtbFBLBQYAAAAABAAEAPMA&#10;AAACBQAAAAA=&#10;" filled="f" stroked="f">
              <v:textbox inset="0,0,0,0">
                <w:txbxContent>
                  <w:p w14:paraId="66F7490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163</w:t>
                    </w:r>
                    <w:r>
                      <w:rPr>
                        <w:b/>
                        <w:spacing w:val="-5"/>
                        <w:sz w:val="15"/>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0638" w14:textId="77777777" w:rsidR="00AC6F3C" w:rsidRDefault="00570E88">
    <w:pPr>
      <w:pStyle w:val="BodyText"/>
      <w:spacing w:line="14" w:lineRule="auto"/>
    </w:pPr>
    <w:r>
      <w:rPr>
        <w:noProof/>
      </w:rPr>
      <mc:AlternateContent>
        <mc:Choice Requires="wps">
          <w:drawing>
            <wp:anchor distT="0" distB="0" distL="0" distR="0" simplePos="0" relativeHeight="472905728" behindDoc="1" locked="0" layoutInCell="1" allowOverlap="1" wp14:anchorId="3ECF79FD" wp14:editId="3887AD36">
              <wp:simplePos x="0" y="0"/>
              <wp:positionH relativeFrom="page">
                <wp:posOffset>3940251</wp:posOffset>
              </wp:positionH>
              <wp:positionV relativeFrom="page">
                <wp:posOffset>10339075</wp:posOffset>
              </wp:positionV>
              <wp:extent cx="3239135" cy="13208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099C118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168</w:t>
                          </w:r>
                          <w:r>
                            <w:rPr>
                              <w:b/>
                              <w:spacing w:val="-5"/>
                              <w:sz w:val="15"/>
                            </w:rPr>
                            <w:fldChar w:fldCharType="end"/>
                          </w:r>
                        </w:p>
                      </w:txbxContent>
                    </wps:txbx>
                    <wps:bodyPr wrap="square" lIns="0" tIns="0" rIns="0" bIns="0" rtlCol="0">
                      <a:noAutofit/>
                    </wps:bodyPr>
                  </wps:wsp>
                </a:graphicData>
              </a:graphic>
            </wp:anchor>
          </w:drawing>
        </mc:Choice>
        <mc:Fallback>
          <w:pict>
            <v:shapetype w14:anchorId="3ECF79FD" id="_x0000_t202" coordsize="21600,21600" o:spt="202" path="m,l,21600r21600,l21600,xe">
              <v:stroke joinstyle="miter"/>
              <v:path gradientshapeok="t" o:connecttype="rect"/>
            </v:shapetype>
            <v:shape id="Textbox 797" o:spid="_x0000_s1165" type="#_x0000_t202" style="position:absolute;margin-left:310.25pt;margin-top:814.1pt;width:255.05pt;height:10.4pt;z-index:-304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HBZQzqa&#10;AQAAJAMAAA4AAAAAAAAAAAAAAAAALgIAAGRycy9lMm9Eb2MueG1sUEsBAi0AFAAGAAgAAAAhACXs&#10;Lz3hAAAADgEAAA8AAAAAAAAAAAAAAAAA9AMAAGRycy9kb3ducmV2LnhtbFBLBQYAAAAABAAEAPMA&#10;AAACBQAAAAA=&#10;" filled="f" stroked="f">
              <v:textbox inset="0,0,0,0">
                <w:txbxContent>
                  <w:p w14:paraId="099C118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168</w:t>
                    </w:r>
                    <w:r>
                      <w:rPr>
                        <w:b/>
                        <w:spacing w:val="-5"/>
                        <w:sz w:val="1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1479" w14:textId="77777777" w:rsidR="00AC6F3C" w:rsidRDefault="00570E88">
    <w:pPr>
      <w:pStyle w:val="BodyText"/>
      <w:spacing w:line="14" w:lineRule="auto"/>
    </w:pPr>
    <w:r>
      <w:rPr>
        <w:noProof/>
      </w:rPr>
      <mc:AlternateContent>
        <mc:Choice Requires="wps">
          <w:drawing>
            <wp:anchor distT="0" distB="0" distL="0" distR="0" simplePos="0" relativeHeight="472906752" behindDoc="1" locked="0" layoutInCell="1" allowOverlap="1" wp14:anchorId="43819820" wp14:editId="5DB5D49F">
              <wp:simplePos x="0" y="0"/>
              <wp:positionH relativeFrom="page">
                <wp:posOffset>3940251</wp:posOffset>
              </wp:positionH>
              <wp:positionV relativeFrom="page">
                <wp:posOffset>10339075</wp:posOffset>
              </wp:positionV>
              <wp:extent cx="3239135" cy="13208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1514B88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178</w:t>
                          </w:r>
                          <w:r>
                            <w:rPr>
                              <w:b/>
                              <w:spacing w:val="-5"/>
                              <w:sz w:val="15"/>
                            </w:rPr>
                            <w:fldChar w:fldCharType="end"/>
                          </w:r>
                        </w:p>
                      </w:txbxContent>
                    </wps:txbx>
                    <wps:bodyPr wrap="square" lIns="0" tIns="0" rIns="0" bIns="0" rtlCol="0">
                      <a:noAutofit/>
                    </wps:bodyPr>
                  </wps:wsp>
                </a:graphicData>
              </a:graphic>
            </wp:anchor>
          </w:drawing>
        </mc:Choice>
        <mc:Fallback>
          <w:pict>
            <v:shapetype w14:anchorId="43819820" id="_x0000_t202" coordsize="21600,21600" o:spt="202" path="m,l,21600r21600,l21600,xe">
              <v:stroke joinstyle="miter"/>
              <v:path gradientshapeok="t" o:connecttype="rect"/>
            </v:shapetype>
            <v:shape id="Textbox 805" o:spid="_x0000_s1167" type="#_x0000_t202" style="position:absolute;margin-left:310.25pt;margin-top:814.1pt;width:255.05pt;height:10.4pt;z-index:-304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P7pGtma&#10;AQAAJAMAAA4AAAAAAAAAAAAAAAAALgIAAGRycy9lMm9Eb2MueG1sUEsBAi0AFAAGAAgAAAAhACXs&#10;Lz3hAAAADgEAAA8AAAAAAAAAAAAAAAAA9AMAAGRycy9kb3ducmV2LnhtbFBLBQYAAAAABAAEAPMA&#10;AAACBQAAAAA=&#10;" filled="f" stroked="f">
              <v:textbox inset="0,0,0,0">
                <w:txbxContent>
                  <w:p w14:paraId="1514B88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178</w:t>
                    </w:r>
                    <w:r>
                      <w:rPr>
                        <w:b/>
                        <w:spacing w:val="-5"/>
                        <w:sz w:val="15"/>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C5E9" w14:textId="77777777" w:rsidR="00AC6F3C" w:rsidRDefault="00570E88">
    <w:pPr>
      <w:pStyle w:val="BodyText"/>
      <w:spacing w:line="14" w:lineRule="auto"/>
    </w:pPr>
    <w:r>
      <w:rPr>
        <w:noProof/>
      </w:rPr>
      <mc:AlternateContent>
        <mc:Choice Requires="wps">
          <w:drawing>
            <wp:anchor distT="0" distB="0" distL="0" distR="0" simplePos="0" relativeHeight="472907776" behindDoc="1" locked="0" layoutInCell="1" allowOverlap="1" wp14:anchorId="57A78EFF" wp14:editId="5225B84F">
              <wp:simplePos x="0" y="0"/>
              <wp:positionH relativeFrom="page">
                <wp:posOffset>3940251</wp:posOffset>
              </wp:positionH>
              <wp:positionV relativeFrom="page">
                <wp:posOffset>10339075</wp:posOffset>
              </wp:positionV>
              <wp:extent cx="3239135" cy="13208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5B14383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179</w:t>
                          </w:r>
                          <w:r>
                            <w:rPr>
                              <w:b/>
                              <w:spacing w:val="-5"/>
                              <w:sz w:val="15"/>
                            </w:rPr>
                            <w:fldChar w:fldCharType="end"/>
                          </w:r>
                        </w:p>
                      </w:txbxContent>
                    </wps:txbx>
                    <wps:bodyPr wrap="square" lIns="0" tIns="0" rIns="0" bIns="0" rtlCol="0">
                      <a:noAutofit/>
                    </wps:bodyPr>
                  </wps:wsp>
                </a:graphicData>
              </a:graphic>
            </wp:anchor>
          </w:drawing>
        </mc:Choice>
        <mc:Fallback>
          <w:pict>
            <v:shapetype w14:anchorId="57A78EFF" id="_x0000_t202" coordsize="21600,21600" o:spt="202" path="m,l,21600r21600,l21600,xe">
              <v:stroke joinstyle="miter"/>
              <v:path gradientshapeok="t" o:connecttype="rect"/>
            </v:shapetype>
            <v:shape id="Textbox 816" o:spid="_x0000_s1168" type="#_x0000_t202" style="position:absolute;margin-left:310.25pt;margin-top:814.1pt;width:255.05pt;height:10.4pt;z-index:-304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uTG2qJkB&#10;AAAkAwAADgAAAAAAAAAAAAAAAAAuAgAAZHJzL2Uyb0RvYy54bWxQSwECLQAUAAYACAAAACEAJewv&#10;PeEAAAAOAQAADwAAAAAAAAAAAAAAAADzAwAAZHJzL2Rvd25yZXYueG1sUEsFBgAAAAAEAAQA8wAA&#10;AAEFAAAAAA==&#10;" filled="f" stroked="f">
              <v:textbox inset="0,0,0,0">
                <w:txbxContent>
                  <w:p w14:paraId="5B14383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179</w:t>
                    </w:r>
                    <w:r>
                      <w:rPr>
                        <w:b/>
                        <w:spacing w:val="-5"/>
                        <w:sz w:val="1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847A" w14:textId="77777777" w:rsidR="00AC6F3C" w:rsidRDefault="00570E88">
    <w:pPr>
      <w:pStyle w:val="BodyText"/>
      <w:spacing w:line="14" w:lineRule="auto"/>
    </w:pPr>
    <w:r>
      <w:rPr>
        <w:noProof/>
      </w:rPr>
      <mc:AlternateContent>
        <mc:Choice Requires="wps">
          <w:drawing>
            <wp:anchor distT="0" distB="0" distL="0" distR="0" simplePos="0" relativeHeight="472908288" behindDoc="1" locked="0" layoutInCell="1" allowOverlap="1" wp14:anchorId="0C1C8937" wp14:editId="3DC8C6A4">
              <wp:simplePos x="0" y="0"/>
              <wp:positionH relativeFrom="page">
                <wp:posOffset>3940251</wp:posOffset>
              </wp:positionH>
              <wp:positionV relativeFrom="page">
                <wp:posOffset>10339075</wp:posOffset>
              </wp:positionV>
              <wp:extent cx="3239135" cy="13208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61C17C3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182</w:t>
                          </w:r>
                          <w:r>
                            <w:rPr>
                              <w:b/>
                              <w:spacing w:val="-5"/>
                              <w:sz w:val="15"/>
                            </w:rPr>
                            <w:fldChar w:fldCharType="end"/>
                          </w:r>
                        </w:p>
                      </w:txbxContent>
                    </wps:txbx>
                    <wps:bodyPr wrap="square" lIns="0" tIns="0" rIns="0" bIns="0" rtlCol="0">
                      <a:noAutofit/>
                    </wps:bodyPr>
                  </wps:wsp>
                </a:graphicData>
              </a:graphic>
            </wp:anchor>
          </w:drawing>
        </mc:Choice>
        <mc:Fallback>
          <w:pict>
            <v:shapetype w14:anchorId="0C1C8937" id="_x0000_t202" coordsize="21600,21600" o:spt="202" path="m,l,21600r21600,l21600,xe">
              <v:stroke joinstyle="miter"/>
              <v:path gradientshapeok="t" o:connecttype="rect"/>
            </v:shapetype>
            <v:shape id="Textbox 818" o:spid="_x0000_s1169" type="#_x0000_t202" style="position:absolute;margin-left:310.25pt;margin-top:814.1pt;width:255.05pt;height:10.4pt;z-index:-304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C0+gSea&#10;AQAAJAMAAA4AAAAAAAAAAAAAAAAALgIAAGRycy9lMm9Eb2MueG1sUEsBAi0AFAAGAAgAAAAhACXs&#10;Lz3hAAAADgEAAA8AAAAAAAAAAAAAAAAA9AMAAGRycy9kb3ducmV2LnhtbFBLBQYAAAAABAAEAPMA&#10;AAACBQAAAAA=&#10;" filled="f" stroked="f">
              <v:textbox inset="0,0,0,0">
                <w:txbxContent>
                  <w:p w14:paraId="61C17C3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182</w:t>
                    </w:r>
                    <w:r>
                      <w:rPr>
                        <w:b/>
                        <w:spacing w:val="-5"/>
                        <w:sz w:val="1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2C07" w14:textId="77777777" w:rsidR="00AC6F3C" w:rsidRDefault="00570E88">
    <w:pPr>
      <w:pStyle w:val="BodyText"/>
      <w:spacing w:line="14" w:lineRule="auto"/>
    </w:pPr>
    <w:r>
      <w:rPr>
        <w:noProof/>
      </w:rPr>
      <mc:AlternateContent>
        <mc:Choice Requires="wps">
          <w:drawing>
            <wp:anchor distT="0" distB="0" distL="0" distR="0" simplePos="0" relativeHeight="472909312" behindDoc="1" locked="0" layoutInCell="1" allowOverlap="1" wp14:anchorId="0076DFB0" wp14:editId="6B700EEB">
              <wp:simplePos x="0" y="0"/>
              <wp:positionH relativeFrom="page">
                <wp:posOffset>3940251</wp:posOffset>
              </wp:positionH>
              <wp:positionV relativeFrom="page">
                <wp:posOffset>10339075</wp:posOffset>
              </wp:positionV>
              <wp:extent cx="3239135" cy="13208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3B837BB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183</w:t>
                          </w:r>
                          <w:r>
                            <w:rPr>
                              <w:b/>
                              <w:spacing w:val="-5"/>
                              <w:sz w:val="15"/>
                            </w:rPr>
                            <w:fldChar w:fldCharType="end"/>
                          </w:r>
                        </w:p>
                      </w:txbxContent>
                    </wps:txbx>
                    <wps:bodyPr wrap="square" lIns="0" tIns="0" rIns="0" bIns="0" rtlCol="0">
                      <a:noAutofit/>
                    </wps:bodyPr>
                  </wps:wsp>
                </a:graphicData>
              </a:graphic>
            </wp:anchor>
          </w:drawing>
        </mc:Choice>
        <mc:Fallback>
          <w:pict>
            <v:shapetype w14:anchorId="0076DFB0" id="_x0000_t202" coordsize="21600,21600" o:spt="202" path="m,l,21600r21600,l21600,xe">
              <v:stroke joinstyle="miter"/>
              <v:path gradientshapeok="t" o:connecttype="rect"/>
            </v:shapetype>
            <v:shape id="Textbox 820" o:spid="_x0000_s1171" type="#_x0000_t202" style="position:absolute;margin-left:310.25pt;margin-top:814.1pt;width:255.05pt;height:10.4pt;z-index:-304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KOO2MSa&#10;AQAAJAMAAA4AAAAAAAAAAAAAAAAALgIAAGRycy9lMm9Eb2MueG1sUEsBAi0AFAAGAAgAAAAhACXs&#10;Lz3hAAAADgEAAA8AAAAAAAAAAAAAAAAA9AMAAGRycy9kb3ducmV2LnhtbFBLBQYAAAAABAAEAPMA&#10;AAACBQAAAAA=&#10;" filled="f" stroked="f">
              <v:textbox inset="0,0,0,0">
                <w:txbxContent>
                  <w:p w14:paraId="3B837BB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183</w:t>
                    </w:r>
                    <w:r>
                      <w:rPr>
                        <w:b/>
                        <w:spacing w:val="-5"/>
                        <w:sz w:val="1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9973" w14:textId="77777777" w:rsidR="00AC6F3C" w:rsidRDefault="00570E88">
    <w:pPr>
      <w:pStyle w:val="BodyText"/>
      <w:spacing w:line="14" w:lineRule="auto"/>
    </w:pPr>
    <w:r>
      <w:rPr>
        <w:noProof/>
      </w:rPr>
      <mc:AlternateContent>
        <mc:Choice Requires="wps">
          <w:drawing>
            <wp:anchor distT="0" distB="0" distL="0" distR="0" simplePos="0" relativeHeight="472910848" behindDoc="1" locked="0" layoutInCell="1" allowOverlap="1" wp14:anchorId="7E98A9B7" wp14:editId="41B3D7FA">
              <wp:simplePos x="0" y="0"/>
              <wp:positionH relativeFrom="page">
                <wp:posOffset>3940251</wp:posOffset>
              </wp:positionH>
              <wp:positionV relativeFrom="page">
                <wp:posOffset>10339075</wp:posOffset>
              </wp:positionV>
              <wp:extent cx="3239135" cy="132080"/>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12F35A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184</w:t>
                          </w:r>
                          <w:r>
                            <w:rPr>
                              <w:b/>
                              <w:spacing w:val="-5"/>
                              <w:sz w:val="15"/>
                            </w:rPr>
                            <w:fldChar w:fldCharType="end"/>
                          </w:r>
                        </w:p>
                      </w:txbxContent>
                    </wps:txbx>
                    <wps:bodyPr wrap="square" lIns="0" tIns="0" rIns="0" bIns="0" rtlCol="0">
                      <a:noAutofit/>
                    </wps:bodyPr>
                  </wps:wsp>
                </a:graphicData>
              </a:graphic>
            </wp:anchor>
          </w:drawing>
        </mc:Choice>
        <mc:Fallback>
          <w:pict>
            <v:shapetype w14:anchorId="7E98A9B7" id="_x0000_t202" coordsize="21600,21600" o:spt="202" path="m,l,21600r21600,l21600,xe">
              <v:stroke joinstyle="miter"/>
              <v:path gradientshapeok="t" o:connecttype="rect"/>
            </v:shapetype>
            <v:shape id="Textbox 844" o:spid="_x0000_s1173" type="#_x0000_t202" style="position:absolute;margin-left:310.25pt;margin-top:814.1pt;width:255.05pt;height:10.4pt;z-index:-304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MqXxwGa&#10;AQAAJAMAAA4AAAAAAAAAAAAAAAAALgIAAGRycy9lMm9Eb2MueG1sUEsBAi0AFAAGAAgAAAAhACXs&#10;Lz3hAAAADgEAAA8AAAAAAAAAAAAAAAAA9AMAAGRycy9kb3ducmV2LnhtbFBLBQYAAAAABAAEAPMA&#10;AAACBQAAAAA=&#10;" filled="f" stroked="f">
              <v:textbox inset="0,0,0,0">
                <w:txbxContent>
                  <w:p w14:paraId="12F35A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184</w:t>
                    </w:r>
                    <w:r>
                      <w:rPr>
                        <w:b/>
                        <w:spacing w:val="-5"/>
                        <w:sz w:val="1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EE0D" w14:textId="77777777" w:rsidR="00AC6F3C" w:rsidRDefault="00570E88">
    <w:pPr>
      <w:pStyle w:val="BodyText"/>
      <w:spacing w:line="14" w:lineRule="auto"/>
    </w:pPr>
    <w:r>
      <w:rPr>
        <w:noProof/>
      </w:rPr>
      <mc:AlternateContent>
        <mc:Choice Requires="wps">
          <w:drawing>
            <wp:anchor distT="0" distB="0" distL="0" distR="0" simplePos="0" relativeHeight="472911360" behindDoc="1" locked="0" layoutInCell="1" allowOverlap="1" wp14:anchorId="2B716D76" wp14:editId="398100F7">
              <wp:simplePos x="0" y="0"/>
              <wp:positionH relativeFrom="page">
                <wp:posOffset>3940251</wp:posOffset>
              </wp:positionH>
              <wp:positionV relativeFrom="page">
                <wp:posOffset>10339075</wp:posOffset>
              </wp:positionV>
              <wp:extent cx="3239135" cy="13208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549208D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186</w:t>
                          </w:r>
                          <w:r>
                            <w:rPr>
                              <w:b/>
                              <w:spacing w:val="-5"/>
                              <w:sz w:val="15"/>
                            </w:rPr>
                            <w:fldChar w:fldCharType="end"/>
                          </w:r>
                        </w:p>
                      </w:txbxContent>
                    </wps:txbx>
                    <wps:bodyPr wrap="square" lIns="0" tIns="0" rIns="0" bIns="0" rtlCol="0">
                      <a:noAutofit/>
                    </wps:bodyPr>
                  </wps:wsp>
                </a:graphicData>
              </a:graphic>
            </wp:anchor>
          </w:drawing>
        </mc:Choice>
        <mc:Fallback>
          <w:pict>
            <v:shapetype w14:anchorId="2B716D76" id="_x0000_t202" coordsize="21600,21600" o:spt="202" path="m,l,21600r21600,l21600,xe">
              <v:stroke joinstyle="miter"/>
              <v:path gradientshapeok="t" o:connecttype="rect"/>
            </v:shapetype>
            <v:shape id="Textbox 847" o:spid="_x0000_s1174" type="#_x0000_t202" style="position:absolute;margin-left:310.25pt;margin-top:814.1pt;width:255.05pt;height:10.4pt;z-index:-304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I1Pa3Ca&#10;AQAAJAMAAA4AAAAAAAAAAAAAAAAALgIAAGRycy9lMm9Eb2MueG1sUEsBAi0AFAAGAAgAAAAhACXs&#10;Lz3hAAAADgEAAA8AAAAAAAAAAAAAAAAA9AMAAGRycy9kb3ducmV2LnhtbFBLBQYAAAAABAAEAPMA&#10;AAACBQAAAAA=&#10;" filled="f" stroked="f">
              <v:textbox inset="0,0,0,0">
                <w:txbxContent>
                  <w:p w14:paraId="549208D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186</w:t>
                    </w:r>
                    <w:r>
                      <w:rPr>
                        <w:b/>
                        <w:spacing w:val="-5"/>
                        <w:sz w:val="1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265E" w14:textId="77777777" w:rsidR="00AC6F3C" w:rsidRDefault="00570E88">
    <w:pPr>
      <w:pStyle w:val="BodyText"/>
      <w:spacing w:line="14" w:lineRule="auto"/>
    </w:pPr>
    <w:r>
      <w:rPr>
        <w:noProof/>
      </w:rPr>
      <mc:AlternateContent>
        <mc:Choice Requires="wps">
          <w:drawing>
            <wp:anchor distT="0" distB="0" distL="0" distR="0" simplePos="0" relativeHeight="472912384" behindDoc="1" locked="0" layoutInCell="1" allowOverlap="1" wp14:anchorId="7AF26386" wp14:editId="3FE10237">
              <wp:simplePos x="0" y="0"/>
              <wp:positionH relativeFrom="page">
                <wp:posOffset>3940251</wp:posOffset>
              </wp:positionH>
              <wp:positionV relativeFrom="page">
                <wp:posOffset>10339075</wp:posOffset>
              </wp:positionV>
              <wp:extent cx="3239135" cy="132080"/>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6E3EE6E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187</w:t>
                          </w:r>
                          <w:r>
                            <w:rPr>
                              <w:b/>
                              <w:spacing w:val="-5"/>
                              <w:sz w:val="15"/>
                            </w:rPr>
                            <w:fldChar w:fldCharType="end"/>
                          </w:r>
                        </w:p>
                      </w:txbxContent>
                    </wps:txbx>
                    <wps:bodyPr wrap="square" lIns="0" tIns="0" rIns="0" bIns="0" rtlCol="0">
                      <a:noAutofit/>
                    </wps:bodyPr>
                  </wps:wsp>
                </a:graphicData>
              </a:graphic>
            </wp:anchor>
          </w:drawing>
        </mc:Choice>
        <mc:Fallback>
          <w:pict>
            <v:shapetype w14:anchorId="7AF26386" id="_x0000_t202" coordsize="21600,21600" o:spt="202" path="m,l,21600r21600,l21600,xe">
              <v:stroke joinstyle="miter"/>
              <v:path gradientshapeok="t" o:connecttype="rect"/>
            </v:shapetype>
            <v:shape id="Textbox 851" o:spid="_x0000_s1176" type="#_x0000_t202" style="position:absolute;margin-left:310.25pt;margin-top:814.1pt;width:255.05pt;height:10.4pt;z-index:-304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3Pkmo5kB&#10;AAAkAwAADgAAAAAAAAAAAAAAAAAuAgAAZHJzL2Uyb0RvYy54bWxQSwECLQAUAAYACAAAACEAJewv&#10;PeEAAAAOAQAADwAAAAAAAAAAAAAAAADzAwAAZHJzL2Rvd25yZXYueG1sUEsFBgAAAAAEAAQA8wAA&#10;AAEFAAAAAA==&#10;" filled="f" stroked="f">
              <v:textbox inset="0,0,0,0">
                <w:txbxContent>
                  <w:p w14:paraId="6E3EE6E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187</w:t>
                    </w:r>
                    <w:r>
                      <w:rPr>
                        <w:b/>
                        <w:spacing w:val="-5"/>
                        <w:sz w:val="15"/>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F50F" w14:textId="77777777" w:rsidR="00AC6F3C" w:rsidRDefault="00570E88">
    <w:pPr>
      <w:pStyle w:val="BodyText"/>
      <w:spacing w:line="14" w:lineRule="auto"/>
    </w:pPr>
    <w:r>
      <w:rPr>
        <w:noProof/>
      </w:rPr>
      <mc:AlternateContent>
        <mc:Choice Requires="wps">
          <w:drawing>
            <wp:anchor distT="0" distB="0" distL="0" distR="0" simplePos="0" relativeHeight="472913920" behindDoc="1" locked="0" layoutInCell="1" allowOverlap="1" wp14:anchorId="4CC3E50A" wp14:editId="12368335">
              <wp:simplePos x="0" y="0"/>
              <wp:positionH relativeFrom="page">
                <wp:posOffset>3940251</wp:posOffset>
              </wp:positionH>
              <wp:positionV relativeFrom="page">
                <wp:posOffset>10339075</wp:posOffset>
              </wp:positionV>
              <wp:extent cx="3239135" cy="13208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1138919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191</w:t>
                          </w:r>
                          <w:r>
                            <w:rPr>
                              <w:b/>
                              <w:spacing w:val="-5"/>
                              <w:sz w:val="15"/>
                            </w:rPr>
                            <w:fldChar w:fldCharType="end"/>
                          </w:r>
                        </w:p>
                      </w:txbxContent>
                    </wps:txbx>
                    <wps:bodyPr wrap="square" lIns="0" tIns="0" rIns="0" bIns="0" rtlCol="0">
                      <a:noAutofit/>
                    </wps:bodyPr>
                  </wps:wsp>
                </a:graphicData>
              </a:graphic>
            </wp:anchor>
          </w:drawing>
        </mc:Choice>
        <mc:Fallback>
          <w:pict>
            <v:shapetype w14:anchorId="4CC3E50A" id="_x0000_t202" coordsize="21600,21600" o:spt="202" path="m,l,21600r21600,l21600,xe">
              <v:stroke joinstyle="miter"/>
              <v:path gradientshapeok="t" o:connecttype="rect"/>
            </v:shapetype>
            <v:shape id="Textbox 858" o:spid="_x0000_s1178" type="#_x0000_t202" style="position:absolute;margin-left:310.25pt;margin-top:814.1pt;width:255.05pt;height:10.4pt;z-index:-304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Ukl/QJkB&#10;AAAkAwAADgAAAAAAAAAAAAAAAAAuAgAAZHJzL2Uyb0RvYy54bWxQSwECLQAUAAYACAAAACEAJewv&#10;PeEAAAAOAQAADwAAAAAAAAAAAAAAAADzAwAAZHJzL2Rvd25yZXYueG1sUEsFBgAAAAAEAAQA8wAA&#10;AAEFAAAAAA==&#10;" filled="f" stroked="f">
              <v:textbox inset="0,0,0,0">
                <w:txbxContent>
                  <w:p w14:paraId="1138919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191</w:t>
                    </w:r>
                    <w:r>
                      <w:rPr>
                        <w:b/>
                        <w:spacing w:val="-5"/>
                        <w:sz w:val="1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91F9" w14:textId="77777777" w:rsidR="00AC6F3C" w:rsidRDefault="00570E88">
    <w:pPr>
      <w:pStyle w:val="BodyText"/>
      <w:spacing w:line="14" w:lineRule="auto"/>
    </w:pPr>
    <w:r>
      <w:rPr>
        <w:noProof/>
      </w:rPr>
      <mc:AlternateContent>
        <mc:Choice Requires="wps">
          <w:drawing>
            <wp:anchor distT="0" distB="0" distL="0" distR="0" simplePos="0" relativeHeight="472843776" behindDoc="1" locked="0" layoutInCell="1" allowOverlap="1" wp14:anchorId="35F5CDD4" wp14:editId="31E606B2">
              <wp:simplePos x="0" y="0"/>
              <wp:positionH relativeFrom="page">
                <wp:posOffset>7303025</wp:posOffset>
              </wp:positionH>
              <wp:positionV relativeFrom="page">
                <wp:posOffset>7207077</wp:posOffset>
              </wp:positionV>
              <wp:extent cx="3185795" cy="13208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B9F202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w:t>
                          </w:r>
                          <w:r>
                            <w:rPr>
                              <w:b/>
                              <w:spacing w:val="-5"/>
                              <w:sz w:val="15"/>
                            </w:rPr>
                            <w:fldChar w:fldCharType="end"/>
                          </w:r>
                        </w:p>
                      </w:txbxContent>
                    </wps:txbx>
                    <wps:bodyPr wrap="square" lIns="0" tIns="0" rIns="0" bIns="0" rtlCol="0">
                      <a:noAutofit/>
                    </wps:bodyPr>
                  </wps:wsp>
                </a:graphicData>
              </a:graphic>
            </wp:anchor>
          </w:drawing>
        </mc:Choice>
        <mc:Fallback>
          <w:pict>
            <v:shapetype w14:anchorId="35F5CDD4" id="_x0000_t202" coordsize="21600,21600" o:spt="202" path="m,l,21600r21600,l21600,xe">
              <v:stroke joinstyle="miter"/>
              <v:path gradientshapeok="t" o:connecttype="rect"/>
            </v:shapetype>
            <v:shape id="Textbox 157" o:spid="_x0000_s1055" type="#_x0000_t202" style="position:absolute;margin-left:575.05pt;margin-top:567.5pt;width:250.85pt;height:10.4pt;z-index:-304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Bht5kfmQEA&#10;ACMDAAAOAAAAAAAAAAAAAAAAAC4CAABkcnMvZTJvRG9jLnhtbFBLAQItABQABgAIAAAAIQCwt8RQ&#10;4AAAAA8BAAAPAAAAAAAAAAAAAAAAAPMDAABkcnMvZG93bnJldi54bWxQSwUGAAAAAAQABADzAAAA&#10;AAUAAAAA&#10;" filled="f" stroked="f">
              <v:textbox inset="0,0,0,0">
                <w:txbxContent>
                  <w:p w14:paraId="1B9F202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w:t>
                    </w:r>
                    <w:r>
                      <w:rPr>
                        <w:b/>
                        <w:spacing w:val="-5"/>
                        <w:sz w:val="15"/>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9CED" w14:textId="77777777" w:rsidR="00AC6F3C" w:rsidRDefault="00570E88">
    <w:pPr>
      <w:pStyle w:val="BodyText"/>
      <w:spacing w:line="14" w:lineRule="auto"/>
    </w:pPr>
    <w:r>
      <w:rPr>
        <w:noProof/>
      </w:rPr>
      <mc:AlternateContent>
        <mc:Choice Requires="wps">
          <w:drawing>
            <wp:anchor distT="0" distB="0" distL="0" distR="0" simplePos="0" relativeHeight="472914944" behindDoc="1" locked="0" layoutInCell="1" allowOverlap="1" wp14:anchorId="5B3D144B" wp14:editId="51406FB1">
              <wp:simplePos x="0" y="0"/>
              <wp:positionH relativeFrom="page">
                <wp:posOffset>3940251</wp:posOffset>
              </wp:positionH>
              <wp:positionV relativeFrom="page">
                <wp:posOffset>10339075</wp:posOffset>
              </wp:positionV>
              <wp:extent cx="3239135" cy="132080"/>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632B065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197</w:t>
                          </w:r>
                          <w:r>
                            <w:rPr>
                              <w:b/>
                              <w:spacing w:val="-5"/>
                              <w:sz w:val="15"/>
                            </w:rPr>
                            <w:fldChar w:fldCharType="end"/>
                          </w:r>
                        </w:p>
                      </w:txbxContent>
                    </wps:txbx>
                    <wps:bodyPr wrap="square" lIns="0" tIns="0" rIns="0" bIns="0" rtlCol="0">
                      <a:noAutofit/>
                    </wps:bodyPr>
                  </wps:wsp>
                </a:graphicData>
              </a:graphic>
            </wp:anchor>
          </w:drawing>
        </mc:Choice>
        <mc:Fallback>
          <w:pict>
            <v:shapetype w14:anchorId="5B3D144B" id="_x0000_t202" coordsize="21600,21600" o:spt="202" path="m,l,21600r21600,l21600,xe">
              <v:stroke joinstyle="miter"/>
              <v:path gradientshapeok="t" o:connecttype="rect"/>
            </v:shapetype>
            <v:shape id="Textbox 860" o:spid="_x0000_s1180" type="#_x0000_t202" style="position:absolute;margin-left:310.25pt;margin-top:814.1pt;width:255.05pt;height:10.4pt;z-index:-304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gZ7kvpkB&#10;AAAkAwAADgAAAAAAAAAAAAAAAAAuAgAAZHJzL2Uyb0RvYy54bWxQSwECLQAUAAYACAAAACEAJewv&#10;PeEAAAAOAQAADwAAAAAAAAAAAAAAAADzAwAAZHJzL2Rvd25yZXYueG1sUEsFBgAAAAAEAAQA8wAA&#10;AAEFAAAAAA==&#10;" filled="f" stroked="f">
              <v:textbox inset="0,0,0,0">
                <w:txbxContent>
                  <w:p w14:paraId="632B065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197</w:t>
                    </w:r>
                    <w:r>
                      <w:rPr>
                        <w:b/>
                        <w:spacing w:val="-5"/>
                        <w:sz w:val="15"/>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EADF" w14:textId="77777777" w:rsidR="00AC6F3C" w:rsidRDefault="00570E88">
    <w:pPr>
      <w:pStyle w:val="BodyText"/>
      <w:spacing w:line="14" w:lineRule="auto"/>
    </w:pPr>
    <w:r>
      <w:rPr>
        <w:noProof/>
      </w:rPr>
      <mc:AlternateContent>
        <mc:Choice Requires="wps">
          <w:drawing>
            <wp:anchor distT="0" distB="0" distL="0" distR="0" simplePos="0" relativeHeight="472915968" behindDoc="1" locked="0" layoutInCell="1" allowOverlap="1" wp14:anchorId="59B45ACA" wp14:editId="770BE034">
              <wp:simplePos x="0" y="0"/>
              <wp:positionH relativeFrom="page">
                <wp:posOffset>3940251</wp:posOffset>
              </wp:positionH>
              <wp:positionV relativeFrom="page">
                <wp:posOffset>10339075</wp:posOffset>
              </wp:positionV>
              <wp:extent cx="3239135" cy="13208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3F008EA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198</w:t>
                          </w:r>
                          <w:r>
                            <w:rPr>
                              <w:b/>
                              <w:spacing w:val="-5"/>
                              <w:sz w:val="15"/>
                            </w:rPr>
                            <w:fldChar w:fldCharType="end"/>
                          </w:r>
                        </w:p>
                      </w:txbxContent>
                    </wps:txbx>
                    <wps:bodyPr wrap="square" lIns="0" tIns="0" rIns="0" bIns="0" rtlCol="0">
                      <a:noAutofit/>
                    </wps:bodyPr>
                  </wps:wsp>
                </a:graphicData>
              </a:graphic>
            </wp:anchor>
          </w:drawing>
        </mc:Choice>
        <mc:Fallback>
          <w:pict>
            <v:shapetype w14:anchorId="59B45ACA" id="_x0000_t202" coordsize="21600,21600" o:spt="202" path="m,l,21600r21600,l21600,xe">
              <v:stroke joinstyle="miter"/>
              <v:path gradientshapeok="t" o:connecttype="rect"/>
            </v:shapetype>
            <v:shape id="Textbox 867" o:spid="_x0000_s1181" type="#_x0000_t202" style="position:absolute;margin-left:310.25pt;margin-top:814.1pt;width:255.05pt;height:10.4pt;z-index:-304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SPYRLJkB&#10;AAAkAwAADgAAAAAAAAAAAAAAAAAuAgAAZHJzL2Uyb0RvYy54bWxQSwECLQAUAAYACAAAACEAJewv&#10;PeEAAAAOAQAADwAAAAAAAAAAAAAAAADzAwAAZHJzL2Rvd25yZXYueG1sUEsFBgAAAAAEAAQA8wAA&#10;AAEFAAAAAA==&#10;" filled="f" stroked="f">
              <v:textbox inset="0,0,0,0">
                <w:txbxContent>
                  <w:p w14:paraId="3F008EA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198</w:t>
                    </w:r>
                    <w:r>
                      <w:rPr>
                        <w:b/>
                        <w:spacing w:val="-5"/>
                        <w:sz w:val="1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2FD0" w14:textId="77777777" w:rsidR="00AC6F3C" w:rsidRDefault="00570E88">
    <w:pPr>
      <w:pStyle w:val="BodyText"/>
      <w:spacing w:line="14" w:lineRule="auto"/>
    </w:pPr>
    <w:r>
      <w:rPr>
        <w:noProof/>
      </w:rPr>
      <mc:AlternateContent>
        <mc:Choice Requires="wps">
          <w:drawing>
            <wp:anchor distT="0" distB="0" distL="0" distR="0" simplePos="0" relativeHeight="472916480" behindDoc="1" locked="0" layoutInCell="1" allowOverlap="1" wp14:anchorId="1DA52F84" wp14:editId="651CA1E9">
              <wp:simplePos x="0" y="0"/>
              <wp:positionH relativeFrom="page">
                <wp:posOffset>3940251</wp:posOffset>
              </wp:positionH>
              <wp:positionV relativeFrom="page">
                <wp:posOffset>10339075</wp:posOffset>
              </wp:positionV>
              <wp:extent cx="3239135" cy="13208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55C78CF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201</w:t>
                          </w:r>
                          <w:r>
                            <w:rPr>
                              <w:b/>
                              <w:spacing w:val="-5"/>
                              <w:sz w:val="15"/>
                            </w:rPr>
                            <w:fldChar w:fldCharType="end"/>
                          </w:r>
                        </w:p>
                      </w:txbxContent>
                    </wps:txbx>
                    <wps:bodyPr wrap="square" lIns="0" tIns="0" rIns="0" bIns="0" rtlCol="0">
                      <a:noAutofit/>
                    </wps:bodyPr>
                  </wps:wsp>
                </a:graphicData>
              </a:graphic>
            </wp:anchor>
          </w:drawing>
        </mc:Choice>
        <mc:Fallback>
          <w:pict>
            <v:shapetype w14:anchorId="1DA52F84" id="_x0000_t202" coordsize="21600,21600" o:spt="202" path="m,l,21600r21600,l21600,xe">
              <v:stroke joinstyle="miter"/>
              <v:path gradientshapeok="t" o:connecttype="rect"/>
            </v:shapetype>
            <v:shape id="Textbox 869" o:spid="_x0000_s1182" type="#_x0000_t202" style="position:absolute;margin-left:310.25pt;margin-top:814.1pt;width:255.05pt;height:10.4pt;z-index:-304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Dy69XZkB&#10;AAAkAwAADgAAAAAAAAAAAAAAAAAuAgAAZHJzL2Uyb0RvYy54bWxQSwECLQAUAAYACAAAACEAJewv&#10;PeEAAAAOAQAADwAAAAAAAAAAAAAAAADzAwAAZHJzL2Rvd25yZXYueG1sUEsFBgAAAAAEAAQA8wAA&#10;AAEFAAAAAA==&#10;" filled="f" stroked="f">
              <v:textbox inset="0,0,0,0">
                <w:txbxContent>
                  <w:p w14:paraId="55C78CF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201</w:t>
                    </w:r>
                    <w:r>
                      <w:rPr>
                        <w:b/>
                        <w:spacing w:val="-5"/>
                        <w:sz w:val="15"/>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5E33" w14:textId="77777777" w:rsidR="00AC6F3C" w:rsidRDefault="00570E88">
    <w:pPr>
      <w:pStyle w:val="BodyText"/>
      <w:spacing w:line="14" w:lineRule="auto"/>
    </w:pPr>
    <w:r>
      <w:rPr>
        <w:noProof/>
      </w:rPr>
      <mc:AlternateContent>
        <mc:Choice Requires="wps">
          <w:drawing>
            <wp:anchor distT="0" distB="0" distL="0" distR="0" simplePos="0" relativeHeight="472917504" behindDoc="1" locked="0" layoutInCell="1" allowOverlap="1" wp14:anchorId="052D6879" wp14:editId="3A0D9471">
              <wp:simplePos x="0" y="0"/>
              <wp:positionH relativeFrom="page">
                <wp:posOffset>3940251</wp:posOffset>
              </wp:positionH>
              <wp:positionV relativeFrom="page">
                <wp:posOffset>10339075</wp:posOffset>
              </wp:positionV>
              <wp:extent cx="3239135" cy="13208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0D54AF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202</w:t>
                          </w:r>
                          <w:r>
                            <w:rPr>
                              <w:b/>
                              <w:spacing w:val="-5"/>
                              <w:sz w:val="15"/>
                            </w:rPr>
                            <w:fldChar w:fldCharType="end"/>
                          </w:r>
                        </w:p>
                      </w:txbxContent>
                    </wps:txbx>
                    <wps:bodyPr wrap="square" lIns="0" tIns="0" rIns="0" bIns="0" rtlCol="0">
                      <a:noAutofit/>
                    </wps:bodyPr>
                  </wps:wsp>
                </a:graphicData>
              </a:graphic>
            </wp:anchor>
          </w:drawing>
        </mc:Choice>
        <mc:Fallback>
          <w:pict>
            <v:shapetype w14:anchorId="052D6879" id="_x0000_t202" coordsize="21600,21600" o:spt="202" path="m,l,21600r21600,l21600,xe">
              <v:stroke joinstyle="miter"/>
              <v:path gradientshapeok="t" o:connecttype="rect"/>
            </v:shapetype>
            <v:shape id="Textbox 871" o:spid="_x0000_s1184" type="#_x0000_t202" style="position:absolute;margin-left:310.25pt;margin-top:814.1pt;width:255.05pt;height:10.4pt;z-index:-303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ZjeimJkB&#10;AAAkAwAADgAAAAAAAAAAAAAAAAAuAgAAZHJzL2Uyb0RvYy54bWxQSwECLQAUAAYACAAAACEAJewv&#10;PeEAAAAOAQAADwAAAAAAAAAAAAAAAADzAwAAZHJzL2Rvd25yZXYueG1sUEsFBgAAAAAEAAQA8wAA&#10;AAEFAAAAAA==&#10;" filled="f" stroked="f">
              <v:textbox inset="0,0,0,0">
                <w:txbxContent>
                  <w:p w14:paraId="70D54AF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202</w:t>
                    </w:r>
                    <w:r>
                      <w:rPr>
                        <w:b/>
                        <w:spacing w:val="-5"/>
                        <w:sz w:val="1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A0B4" w14:textId="77777777" w:rsidR="00AC6F3C" w:rsidRDefault="00570E88">
    <w:pPr>
      <w:pStyle w:val="BodyText"/>
      <w:spacing w:line="14" w:lineRule="auto"/>
    </w:pPr>
    <w:r>
      <w:rPr>
        <w:noProof/>
      </w:rPr>
      <mc:AlternateContent>
        <mc:Choice Requires="wps">
          <w:drawing>
            <wp:anchor distT="0" distB="0" distL="0" distR="0" simplePos="0" relativeHeight="472918528" behindDoc="1" locked="0" layoutInCell="1" allowOverlap="1" wp14:anchorId="06276E71" wp14:editId="31C48B0A">
              <wp:simplePos x="0" y="0"/>
              <wp:positionH relativeFrom="page">
                <wp:posOffset>3940251</wp:posOffset>
              </wp:positionH>
              <wp:positionV relativeFrom="page">
                <wp:posOffset>10339075</wp:posOffset>
              </wp:positionV>
              <wp:extent cx="3239135" cy="13208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2B9970B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207</w:t>
                          </w:r>
                          <w:r>
                            <w:rPr>
                              <w:b/>
                              <w:spacing w:val="-5"/>
                              <w:sz w:val="15"/>
                            </w:rPr>
                            <w:fldChar w:fldCharType="end"/>
                          </w:r>
                        </w:p>
                      </w:txbxContent>
                    </wps:txbx>
                    <wps:bodyPr wrap="square" lIns="0" tIns="0" rIns="0" bIns="0" rtlCol="0">
                      <a:noAutofit/>
                    </wps:bodyPr>
                  </wps:wsp>
                </a:graphicData>
              </a:graphic>
            </wp:anchor>
          </w:drawing>
        </mc:Choice>
        <mc:Fallback>
          <w:pict>
            <v:shapetype w14:anchorId="06276E71" id="_x0000_t202" coordsize="21600,21600" o:spt="202" path="m,l,21600r21600,l21600,xe">
              <v:stroke joinstyle="miter"/>
              <v:path gradientshapeok="t" o:connecttype="rect"/>
            </v:shapetype>
            <v:shape id="Textbox 896" o:spid="_x0000_s1186" type="#_x0000_t202" style="position:absolute;margin-left:310.25pt;margin-top:814.1pt;width:255.05pt;height:10.4pt;z-index:-303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I6Zy1Sa&#10;AQAAJAMAAA4AAAAAAAAAAAAAAAAALgIAAGRycy9lMm9Eb2MueG1sUEsBAi0AFAAGAAgAAAAhACXs&#10;Lz3hAAAADgEAAA8AAAAAAAAAAAAAAAAA9AMAAGRycy9kb3ducmV2LnhtbFBLBQYAAAAABAAEAPMA&#10;AAACBQAAAAA=&#10;" filled="f" stroked="f">
              <v:textbox inset="0,0,0,0">
                <w:txbxContent>
                  <w:p w14:paraId="2B9970B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207</w:t>
                    </w:r>
                    <w:r>
                      <w:rPr>
                        <w:b/>
                        <w:spacing w:val="-5"/>
                        <w:sz w:val="15"/>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1735" w14:textId="77777777" w:rsidR="00AC6F3C" w:rsidRDefault="00570E88">
    <w:pPr>
      <w:pStyle w:val="BodyText"/>
      <w:spacing w:line="14" w:lineRule="auto"/>
    </w:pPr>
    <w:r>
      <w:rPr>
        <w:noProof/>
      </w:rPr>
      <mc:AlternateContent>
        <mc:Choice Requires="wps">
          <w:drawing>
            <wp:anchor distT="0" distB="0" distL="0" distR="0" simplePos="0" relativeHeight="472920064" behindDoc="1" locked="0" layoutInCell="1" allowOverlap="1" wp14:anchorId="5B3B42D3" wp14:editId="0B7F81A1">
              <wp:simplePos x="0" y="0"/>
              <wp:positionH relativeFrom="page">
                <wp:posOffset>3945507</wp:posOffset>
              </wp:positionH>
              <wp:positionV relativeFrom="page">
                <wp:posOffset>10339075</wp:posOffset>
              </wp:positionV>
              <wp:extent cx="3234055" cy="13208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055" cy="132080"/>
                      </a:xfrm>
                      <a:prstGeom prst="rect">
                        <a:avLst/>
                      </a:prstGeom>
                    </wps:spPr>
                    <wps:txbx>
                      <w:txbxContent>
                        <w:p w14:paraId="0D73D8B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211</w:t>
                          </w:r>
                          <w:r>
                            <w:rPr>
                              <w:b/>
                              <w:spacing w:val="-5"/>
                              <w:sz w:val="15"/>
                            </w:rPr>
                            <w:fldChar w:fldCharType="end"/>
                          </w:r>
                        </w:p>
                      </w:txbxContent>
                    </wps:txbx>
                    <wps:bodyPr wrap="square" lIns="0" tIns="0" rIns="0" bIns="0" rtlCol="0">
                      <a:noAutofit/>
                    </wps:bodyPr>
                  </wps:wsp>
                </a:graphicData>
              </a:graphic>
            </wp:anchor>
          </w:drawing>
        </mc:Choice>
        <mc:Fallback>
          <w:pict>
            <v:shapetype w14:anchorId="5B3B42D3" id="_x0000_t202" coordsize="21600,21600" o:spt="202" path="m,l,21600r21600,l21600,xe">
              <v:stroke joinstyle="miter"/>
              <v:path gradientshapeok="t" o:connecttype="rect"/>
            </v:shapetype>
            <v:shape id="Textbox 907" o:spid="_x0000_s1188" type="#_x0000_t202" style="position:absolute;margin-left:310.65pt;margin-top:814.1pt;width:254.65pt;height:10.4pt;z-index:-303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" filled="f" stroked="f">
              <v:textbox inset="0,0,0,0">
                <w:txbxContent>
                  <w:p w14:paraId="0D73D8B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211</w:t>
                    </w:r>
                    <w:r>
                      <w:rPr>
                        <w:b/>
                        <w:spacing w:val="-5"/>
                        <w:sz w:val="1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0985" w14:textId="77777777" w:rsidR="00AC6F3C" w:rsidRDefault="00570E88">
    <w:pPr>
      <w:pStyle w:val="BodyText"/>
      <w:spacing w:line="14" w:lineRule="auto"/>
    </w:pPr>
    <w:r>
      <w:rPr>
        <w:noProof/>
      </w:rPr>
      <mc:AlternateContent>
        <mc:Choice Requires="wps">
          <w:drawing>
            <wp:anchor distT="0" distB="0" distL="0" distR="0" simplePos="0" relativeHeight="472921088" behindDoc="1" locked="0" layoutInCell="1" allowOverlap="1" wp14:anchorId="012E3106" wp14:editId="641B6A1A">
              <wp:simplePos x="0" y="0"/>
              <wp:positionH relativeFrom="page">
                <wp:posOffset>3940251</wp:posOffset>
              </wp:positionH>
              <wp:positionV relativeFrom="page">
                <wp:posOffset>10339075</wp:posOffset>
              </wp:positionV>
              <wp:extent cx="3239135" cy="13208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297B48F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213</w:t>
                          </w:r>
                          <w:r>
                            <w:rPr>
                              <w:b/>
                              <w:spacing w:val="-5"/>
                              <w:sz w:val="15"/>
                            </w:rPr>
                            <w:fldChar w:fldCharType="end"/>
                          </w:r>
                        </w:p>
                      </w:txbxContent>
                    </wps:txbx>
                    <wps:bodyPr wrap="square" lIns="0" tIns="0" rIns="0" bIns="0" rtlCol="0">
                      <a:noAutofit/>
                    </wps:bodyPr>
                  </wps:wsp>
                </a:graphicData>
              </a:graphic>
            </wp:anchor>
          </w:drawing>
        </mc:Choice>
        <mc:Fallback>
          <w:pict>
            <v:shapetype w14:anchorId="012E3106" id="_x0000_t202" coordsize="21600,21600" o:spt="202" path="m,l,21600r21600,l21600,xe">
              <v:stroke joinstyle="miter"/>
              <v:path gradientshapeok="t" o:connecttype="rect"/>
            </v:shapetype>
            <v:shape id="Textbox 909" o:spid="_x0000_s1190" type="#_x0000_t202" style="position:absolute;margin-left:310.25pt;margin-top:814.1pt;width:255.05pt;height:10.4pt;z-index:-303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JmgEAACQDAAAOAAAAZHJzL2Uyb0RvYy54bWysUt2OEyEUvjfxHQj3dqata9Z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KaN9er9dvl+kYKzWfL9aq+LYZX19sRKX0y4EUu&#10;WomcV2Ggjg+U8vuqObfMZJ7fz0zStJuE6xj59U3OMe/toDuxmpEDbSX9PCg0UgyfAzuW0z8XeC52&#10;5wLT8AHKH8miArw7JLCuULjizhQ4isJs/jY569/Xpev6ube/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NP+CUma&#10;AQAAJAMAAA4AAAAAAAAAAAAAAAAALgIAAGRycy9lMm9Eb2MueG1sUEsBAi0AFAAGAAgAAAAhACXs&#10;Lz3hAAAADgEAAA8AAAAAAAAAAAAAAAAA9AMAAGRycy9kb3ducmV2LnhtbFBLBQYAAAAABAAEAPMA&#10;AAACBQAAAAA=&#10;" filled="f" stroked="f">
              <v:textbox inset="0,0,0,0">
                <w:txbxContent>
                  <w:p w14:paraId="297B48F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213</w:t>
                    </w:r>
                    <w:r>
                      <w:rPr>
                        <w:b/>
                        <w:spacing w:val="-5"/>
                        <w:sz w:val="15"/>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D3C5" w14:textId="77777777" w:rsidR="00AC6F3C" w:rsidRDefault="00570E88">
    <w:pPr>
      <w:pStyle w:val="BodyText"/>
      <w:spacing w:line="14" w:lineRule="auto"/>
    </w:pPr>
    <w:r>
      <w:rPr>
        <w:noProof/>
      </w:rPr>
      <mc:AlternateContent>
        <mc:Choice Requires="wps">
          <w:drawing>
            <wp:anchor distT="0" distB="0" distL="0" distR="0" simplePos="0" relativeHeight="472922112" behindDoc="1" locked="0" layoutInCell="1" allowOverlap="1" wp14:anchorId="48CFB26C" wp14:editId="62FCB219">
              <wp:simplePos x="0" y="0"/>
              <wp:positionH relativeFrom="page">
                <wp:posOffset>3940251</wp:posOffset>
              </wp:positionH>
              <wp:positionV relativeFrom="page">
                <wp:posOffset>10339075</wp:posOffset>
              </wp:positionV>
              <wp:extent cx="3239135" cy="132080"/>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397BC2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219</w:t>
                          </w:r>
                          <w:r>
                            <w:rPr>
                              <w:b/>
                              <w:spacing w:val="-5"/>
                              <w:sz w:val="15"/>
                            </w:rPr>
                            <w:fldChar w:fldCharType="end"/>
                          </w:r>
                        </w:p>
                      </w:txbxContent>
                    </wps:txbx>
                    <wps:bodyPr wrap="square" lIns="0" tIns="0" rIns="0" bIns="0" rtlCol="0">
                      <a:noAutofit/>
                    </wps:bodyPr>
                  </wps:wsp>
                </a:graphicData>
              </a:graphic>
            </wp:anchor>
          </w:drawing>
        </mc:Choice>
        <mc:Fallback>
          <w:pict>
            <v:shapetype w14:anchorId="48CFB26C" id="_x0000_t202" coordsize="21600,21600" o:spt="202" path="m,l,21600r21600,l21600,xe">
              <v:stroke joinstyle="miter"/>
              <v:path gradientshapeok="t" o:connecttype="rect"/>
            </v:shapetype>
            <v:shape id="Textbox 931" o:spid="_x0000_s1191" type="#_x0000_t202" style="position:absolute;margin-left:310.25pt;margin-top:814.1pt;width:255.05pt;height:10.4pt;z-index:-303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zbmgEAACQDAAAOAAAAZHJzL2Uyb0RvYy54bWysUt2OEyEUvjfxHQj3dqatbtZ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vV+u1y/UYKzWfL9aq+LYZX19sRKX0y4EUu&#10;WomcV2Ggjg+U8vuqObfMZJ7fz0zStJuE6xj59U3OMe/toDuxmpEDbSX9PCg0UgyfAzuW0z8XeC52&#10;5wLT8AHKH8miArw7JLCuULjizhQ4isJs/jY569/Xpev6ube/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BqW/Nua&#10;AQAAJAMAAA4AAAAAAAAAAAAAAAAALgIAAGRycy9lMm9Eb2MueG1sUEsBAi0AFAAGAAgAAAAhACXs&#10;Lz3hAAAADgEAAA8AAAAAAAAAAAAAAAAA9AMAAGRycy9kb3ducmV2LnhtbFBLBQYAAAAABAAEAPMA&#10;AAACBQAAAAA=&#10;" filled="f" stroked="f">
              <v:textbox inset="0,0,0,0">
                <w:txbxContent>
                  <w:p w14:paraId="397BC2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219</w:t>
                    </w:r>
                    <w:r>
                      <w:rPr>
                        <w:b/>
                        <w:spacing w:val="-5"/>
                        <w:sz w:val="1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7034" w14:textId="77777777" w:rsidR="00AC6F3C" w:rsidRDefault="00570E88">
    <w:pPr>
      <w:pStyle w:val="BodyText"/>
      <w:spacing w:line="14" w:lineRule="auto"/>
    </w:pPr>
    <w:r>
      <w:rPr>
        <w:noProof/>
      </w:rPr>
      <mc:AlternateContent>
        <mc:Choice Requires="wps">
          <w:drawing>
            <wp:anchor distT="0" distB="0" distL="0" distR="0" simplePos="0" relativeHeight="472922624" behindDoc="1" locked="0" layoutInCell="1" allowOverlap="1" wp14:anchorId="13495342" wp14:editId="7F0BCD36">
              <wp:simplePos x="0" y="0"/>
              <wp:positionH relativeFrom="page">
                <wp:posOffset>3940251</wp:posOffset>
              </wp:positionH>
              <wp:positionV relativeFrom="page">
                <wp:posOffset>10339075</wp:posOffset>
              </wp:positionV>
              <wp:extent cx="3239135" cy="132080"/>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C47D06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222</w:t>
                          </w:r>
                          <w:r>
                            <w:rPr>
                              <w:b/>
                              <w:spacing w:val="-5"/>
                              <w:sz w:val="15"/>
                            </w:rPr>
                            <w:fldChar w:fldCharType="end"/>
                          </w:r>
                        </w:p>
                      </w:txbxContent>
                    </wps:txbx>
                    <wps:bodyPr wrap="square" lIns="0" tIns="0" rIns="0" bIns="0" rtlCol="0">
                      <a:noAutofit/>
                    </wps:bodyPr>
                  </wps:wsp>
                </a:graphicData>
              </a:graphic>
            </wp:anchor>
          </w:drawing>
        </mc:Choice>
        <mc:Fallback>
          <w:pict>
            <v:shapetype w14:anchorId="13495342" id="_x0000_t202" coordsize="21600,21600" o:spt="202" path="m,l,21600r21600,l21600,xe">
              <v:stroke joinstyle="miter"/>
              <v:path gradientshapeok="t" o:connecttype="rect"/>
            </v:shapetype>
            <v:shape id="Textbox 933" o:spid="_x0000_s1192" type="#_x0000_t202" style="position:absolute;margin-left:310.25pt;margin-top:814.1pt;width:255.05pt;height:10.4pt;z-index:-303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F1OUKqa&#10;AQAAJAMAAA4AAAAAAAAAAAAAAAAALgIAAGRycy9lMm9Eb2MueG1sUEsBAi0AFAAGAAgAAAAhACXs&#10;Lz3hAAAADgEAAA8AAAAAAAAAAAAAAAAA9AMAAGRycy9kb3ducmV2LnhtbFBLBQYAAAAABAAEAPMA&#10;AAACBQAAAAA=&#10;" filled="f" stroked="f">
              <v:textbox inset="0,0,0,0">
                <w:txbxContent>
                  <w:p w14:paraId="7C47D06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222</w:t>
                    </w:r>
                    <w:r>
                      <w:rPr>
                        <w:b/>
                        <w:spacing w:val="-5"/>
                        <w:sz w:val="15"/>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6BE6" w14:textId="77777777" w:rsidR="00AC6F3C" w:rsidRDefault="00570E88">
    <w:pPr>
      <w:pStyle w:val="BodyText"/>
      <w:spacing w:line="14" w:lineRule="auto"/>
    </w:pPr>
    <w:r>
      <w:rPr>
        <w:noProof/>
      </w:rPr>
      <mc:AlternateContent>
        <mc:Choice Requires="wps">
          <w:drawing>
            <wp:anchor distT="0" distB="0" distL="0" distR="0" simplePos="0" relativeHeight="472923136" behindDoc="1" locked="0" layoutInCell="1" allowOverlap="1" wp14:anchorId="02CC8057" wp14:editId="7A64367C">
              <wp:simplePos x="0" y="0"/>
              <wp:positionH relativeFrom="page">
                <wp:posOffset>3940251</wp:posOffset>
              </wp:positionH>
              <wp:positionV relativeFrom="page">
                <wp:posOffset>10339075</wp:posOffset>
              </wp:positionV>
              <wp:extent cx="3239135" cy="13208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CE6F7C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223</w:t>
                          </w:r>
                          <w:r>
                            <w:rPr>
                              <w:b/>
                              <w:spacing w:val="-5"/>
                              <w:sz w:val="15"/>
                            </w:rPr>
                            <w:fldChar w:fldCharType="end"/>
                          </w:r>
                        </w:p>
                      </w:txbxContent>
                    </wps:txbx>
                    <wps:bodyPr wrap="square" lIns="0" tIns="0" rIns="0" bIns="0" rtlCol="0">
                      <a:noAutofit/>
                    </wps:bodyPr>
                  </wps:wsp>
                </a:graphicData>
              </a:graphic>
            </wp:anchor>
          </w:drawing>
        </mc:Choice>
        <mc:Fallback>
          <w:pict>
            <v:shapetype w14:anchorId="02CC8057" id="_x0000_t202" coordsize="21600,21600" o:spt="202" path="m,l,21600r21600,l21600,xe">
              <v:stroke joinstyle="miter"/>
              <v:path gradientshapeok="t" o:connecttype="rect"/>
            </v:shapetype>
            <v:shape id="Textbox 941" o:spid="_x0000_s1193" type="#_x0000_t202" style="position:absolute;margin-left:310.25pt;margin-top:814.1pt;width:255.05pt;height:10.4pt;z-index:-303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c4/jHpkB&#10;AAAkAwAADgAAAAAAAAAAAAAAAAAuAgAAZHJzL2Uyb0RvYy54bWxQSwECLQAUAAYACAAAACEAJewv&#10;PeEAAAAOAQAADwAAAAAAAAAAAAAAAADzAwAAZHJzL2Rvd25yZXYueG1sUEsFBgAAAAAEAAQA8wAA&#10;AAEFAAAAAA==&#10;" filled="f" stroked="f">
              <v:textbox inset="0,0,0,0">
                <w:txbxContent>
                  <w:p w14:paraId="7CE6F7C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223</w:t>
                    </w:r>
                    <w:r>
                      <w:rPr>
                        <w:b/>
                        <w:spacing w:val="-5"/>
                        <w:sz w:val="1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FD5C" w14:textId="77777777" w:rsidR="00AC6F3C" w:rsidRDefault="00570E88">
    <w:pPr>
      <w:pStyle w:val="BodyText"/>
      <w:spacing w:line="14" w:lineRule="auto"/>
    </w:pPr>
    <w:r>
      <w:rPr>
        <w:noProof/>
      </w:rPr>
      <mc:AlternateContent>
        <mc:Choice Requires="wps">
          <w:drawing>
            <wp:anchor distT="0" distB="0" distL="0" distR="0" simplePos="0" relativeHeight="472844288" behindDoc="1" locked="0" layoutInCell="1" allowOverlap="1" wp14:anchorId="609BBBD8" wp14:editId="51823DDC">
              <wp:simplePos x="0" y="0"/>
              <wp:positionH relativeFrom="page">
                <wp:posOffset>7303025</wp:posOffset>
              </wp:positionH>
              <wp:positionV relativeFrom="page">
                <wp:posOffset>7207077</wp:posOffset>
              </wp:positionV>
              <wp:extent cx="3185795" cy="13208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1869B4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w:t>
                          </w:r>
                          <w:r>
                            <w:rPr>
                              <w:b/>
                              <w:spacing w:val="-5"/>
                              <w:sz w:val="15"/>
                            </w:rPr>
                            <w:fldChar w:fldCharType="end"/>
                          </w:r>
                        </w:p>
                      </w:txbxContent>
                    </wps:txbx>
                    <wps:bodyPr wrap="square" lIns="0" tIns="0" rIns="0" bIns="0" rtlCol="0">
                      <a:noAutofit/>
                    </wps:bodyPr>
                  </wps:wsp>
                </a:graphicData>
              </a:graphic>
            </wp:anchor>
          </w:drawing>
        </mc:Choice>
        <mc:Fallback>
          <w:pict>
            <v:shapetype w14:anchorId="609BBBD8" id="_x0000_t202" coordsize="21600,21600" o:spt="202" path="m,l,21600r21600,l21600,xe">
              <v:stroke joinstyle="miter"/>
              <v:path gradientshapeok="t" o:connecttype="rect"/>
            </v:shapetype>
            <v:shape id="Textbox 180" o:spid="_x0000_s1056" type="#_x0000_t202" style="position:absolute;margin-left:575.05pt;margin-top:567.5pt;width:250.85pt;height:10.4pt;z-index:-304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AmbzVumQEA&#10;ACMDAAAOAAAAAAAAAAAAAAAAAC4CAABkcnMvZTJvRG9jLnhtbFBLAQItABQABgAIAAAAIQCwt8RQ&#10;4AAAAA8BAAAPAAAAAAAAAAAAAAAAAPMDAABkcnMvZG93bnJldi54bWxQSwUGAAAAAAQABADzAAAA&#10;AAUAAAAA&#10;" filled="f" stroked="f">
              <v:textbox inset="0,0,0,0">
                <w:txbxContent>
                  <w:p w14:paraId="61869B4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w:t>
                    </w:r>
                    <w:r>
                      <w:rPr>
                        <w:b/>
                        <w:spacing w:val="-5"/>
                        <w:sz w:val="1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965E" w14:textId="77777777" w:rsidR="00AC6F3C" w:rsidRDefault="00570E88">
    <w:pPr>
      <w:pStyle w:val="BodyText"/>
      <w:spacing w:line="14" w:lineRule="auto"/>
    </w:pPr>
    <w:r>
      <w:rPr>
        <w:noProof/>
      </w:rPr>
      <mc:AlternateContent>
        <mc:Choice Requires="wps">
          <w:drawing>
            <wp:anchor distT="0" distB="0" distL="0" distR="0" simplePos="0" relativeHeight="472923648" behindDoc="1" locked="0" layoutInCell="1" allowOverlap="1" wp14:anchorId="718B2BAE" wp14:editId="0317B411">
              <wp:simplePos x="0" y="0"/>
              <wp:positionH relativeFrom="page">
                <wp:posOffset>3940251</wp:posOffset>
              </wp:positionH>
              <wp:positionV relativeFrom="page">
                <wp:posOffset>10339075</wp:posOffset>
              </wp:positionV>
              <wp:extent cx="3239135" cy="132080"/>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5C975A4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224</w:t>
                          </w:r>
                          <w:r>
                            <w:rPr>
                              <w:b/>
                              <w:spacing w:val="-5"/>
                              <w:sz w:val="15"/>
                            </w:rPr>
                            <w:fldChar w:fldCharType="end"/>
                          </w:r>
                        </w:p>
                      </w:txbxContent>
                    </wps:txbx>
                    <wps:bodyPr wrap="square" lIns="0" tIns="0" rIns="0" bIns="0" rtlCol="0">
                      <a:noAutofit/>
                    </wps:bodyPr>
                  </wps:wsp>
                </a:graphicData>
              </a:graphic>
            </wp:anchor>
          </w:drawing>
        </mc:Choice>
        <mc:Fallback>
          <w:pict>
            <v:shapetype w14:anchorId="718B2BAE" id="_x0000_t202" coordsize="21600,21600" o:spt="202" path="m,l,21600r21600,l21600,xe">
              <v:stroke joinstyle="miter"/>
              <v:path gradientshapeok="t" o:connecttype="rect"/>
            </v:shapetype>
            <v:shape id="Textbox 952" o:spid="_x0000_s1194" type="#_x0000_t202" style="position:absolute;margin-left:310.25pt;margin-top:814.1pt;width:255.05pt;height:10.4pt;z-index:-303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9vmgEAACQDAAAOAAAAZHJzL2Uyb0RvYy54bWysUt2OEyEUvjfxHQj3dqatm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9er9e1y/UYKzWfL9aq+KYZX19sRKX0y4EUu&#10;WomcV2Ggjg+U8vuqObfMZJ7fz0zStJuE6xj59W3OMe/toDuxmpEDbSX9PCg0UgyfAzuW0z8XeC52&#10;5wLT8AHKH8miArw7JLCuULjizhQ4isJs/jY569/Xpev6ube/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DRXT2+a&#10;AQAAJAMAAA4AAAAAAAAAAAAAAAAALgIAAGRycy9lMm9Eb2MueG1sUEsBAi0AFAAGAAgAAAAhACXs&#10;Lz3hAAAADgEAAA8AAAAAAAAAAAAAAAAA9AMAAGRycy9kb3ducmV2LnhtbFBLBQYAAAAABAAEAPMA&#10;AAACBQAAAAA=&#10;" filled="f" stroked="f">
              <v:textbox inset="0,0,0,0">
                <w:txbxContent>
                  <w:p w14:paraId="5C975A4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224</w:t>
                    </w:r>
                    <w:r>
                      <w:rPr>
                        <w:b/>
                        <w:spacing w:val="-5"/>
                        <w:sz w:val="15"/>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8768" w14:textId="77777777" w:rsidR="00AC6F3C" w:rsidRDefault="00570E88">
    <w:pPr>
      <w:pStyle w:val="BodyText"/>
      <w:spacing w:line="14" w:lineRule="auto"/>
    </w:pPr>
    <w:r>
      <w:rPr>
        <w:noProof/>
      </w:rPr>
      <mc:AlternateContent>
        <mc:Choice Requires="wps">
          <w:drawing>
            <wp:anchor distT="0" distB="0" distL="0" distR="0" simplePos="0" relativeHeight="472924160" behindDoc="1" locked="0" layoutInCell="1" allowOverlap="1" wp14:anchorId="3F639B69" wp14:editId="6B4DDD91">
              <wp:simplePos x="0" y="0"/>
              <wp:positionH relativeFrom="page">
                <wp:posOffset>3940251</wp:posOffset>
              </wp:positionH>
              <wp:positionV relativeFrom="page">
                <wp:posOffset>10339075</wp:posOffset>
              </wp:positionV>
              <wp:extent cx="3239135" cy="132080"/>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E2E1FF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225</w:t>
                          </w:r>
                          <w:r>
                            <w:rPr>
                              <w:b/>
                              <w:spacing w:val="-5"/>
                              <w:sz w:val="15"/>
                            </w:rPr>
                            <w:fldChar w:fldCharType="end"/>
                          </w:r>
                        </w:p>
                      </w:txbxContent>
                    </wps:txbx>
                    <wps:bodyPr wrap="square" lIns="0" tIns="0" rIns="0" bIns="0" rtlCol="0">
                      <a:noAutofit/>
                    </wps:bodyPr>
                  </wps:wsp>
                </a:graphicData>
              </a:graphic>
            </wp:anchor>
          </w:drawing>
        </mc:Choice>
        <mc:Fallback>
          <w:pict>
            <v:shapetype w14:anchorId="3F639B69" id="_x0000_t202" coordsize="21600,21600" o:spt="202" path="m,l,21600r21600,l21600,xe">
              <v:stroke joinstyle="miter"/>
              <v:path gradientshapeok="t" o:connecttype="rect"/>
            </v:shapetype>
            <v:shape id="Textbox 1051" o:spid="_x0000_s1195" type="#_x0000_t202" style="position:absolute;margin-left:310.25pt;margin-top:814.1pt;width:255.05pt;height:10.4pt;z-index:-303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CI5rs2a&#10;AQAAJAMAAA4AAAAAAAAAAAAAAAAALgIAAGRycy9lMm9Eb2MueG1sUEsBAi0AFAAGAAgAAAAhACXs&#10;Lz3hAAAADgEAAA8AAAAAAAAAAAAAAAAA9AMAAGRycy9kb3ducmV2LnhtbFBLBQYAAAAABAAEAPMA&#10;AAACBQAAAAA=&#10;" filled="f" stroked="f">
              <v:textbox inset="0,0,0,0">
                <w:txbxContent>
                  <w:p w14:paraId="7E2E1FF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225</w:t>
                    </w:r>
                    <w:r>
                      <w:rPr>
                        <w:b/>
                        <w:spacing w:val="-5"/>
                        <w:sz w:val="1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886F" w14:textId="77777777" w:rsidR="00AC6F3C" w:rsidRDefault="00570E88">
    <w:pPr>
      <w:pStyle w:val="BodyText"/>
      <w:spacing w:line="14" w:lineRule="auto"/>
    </w:pPr>
    <w:r>
      <w:rPr>
        <w:noProof/>
      </w:rPr>
      <mc:AlternateContent>
        <mc:Choice Requires="wps">
          <w:drawing>
            <wp:anchor distT="0" distB="0" distL="0" distR="0" simplePos="0" relativeHeight="472924672" behindDoc="1" locked="0" layoutInCell="1" allowOverlap="1" wp14:anchorId="2539ED07" wp14:editId="3A46E801">
              <wp:simplePos x="0" y="0"/>
              <wp:positionH relativeFrom="page">
                <wp:posOffset>3940251</wp:posOffset>
              </wp:positionH>
              <wp:positionV relativeFrom="page">
                <wp:posOffset>10339075</wp:posOffset>
              </wp:positionV>
              <wp:extent cx="3239135" cy="132080"/>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2F6D255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226</w:t>
                          </w:r>
                          <w:r>
                            <w:rPr>
                              <w:b/>
                              <w:spacing w:val="-5"/>
                              <w:sz w:val="15"/>
                            </w:rPr>
                            <w:fldChar w:fldCharType="end"/>
                          </w:r>
                        </w:p>
                      </w:txbxContent>
                    </wps:txbx>
                    <wps:bodyPr wrap="square" lIns="0" tIns="0" rIns="0" bIns="0" rtlCol="0">
                      <a:noAutofit/>
                    </wps:bodyPr>
                  </wps:wsp>
                </a:graphicData>
              </a:graphic>
            </wp:anchor>
          </w:drawing>
        </mc:Choice>
        <mc:Fallback>
          <w:pict>
            <v:shapetype w14:anchorId="2539ED07" id="_x0000_t202" coordsize="21600,21600" o:spt="202" path="m,l,21600r21600,l21600,xe">
              <v:stroke joinstyle="miter"/>
              <v:path gradientshapeok="t" o:connecttype="rect"/>
            </v:shapetype>
            <v:shape id="Textbox 1070" o:spid="_x0000_s1196" type="#_x0000_t202" style="position:absolute;margin-left:310.25pt;margin-top:814.1pt;width:255.05pt;height:10.4pt;z-index:-303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GXhArya&#10;AQAAJAMAAA4AAAAAAAAAAAAAAAAALgIAAGRycy9lMm9Eb2MueG1sUEsBAi0AFAAGAAgAAAAhACXs&#10;Lz3hAAAADgEAAA8AAAAAAAAAAAAAAAAA9AMAAGRycy9kb3ducmV2LnhtbFBLBQYAAAAABAAEAPMA&#10;AAACBQAAAAA=&#10;" filled="f" stroked="f">
              <v:textbox inset="0,0,0,0">
                <w:txbxContent>
                  <w:p w14:paraId="2F6D255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226</w:t>
                    </w:r>
                    <w:r>
                      <w:rPr>
                        <w:b/>
                        <w:spacing w:val="-5"/>
                        <w:sz w:val="1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71C1" w14:textId="77777777" w:rsidR="00AC6F3C" w:rsidRDefault="00570E88">
    <w:pPr>
      <w:pStyle w:val="BodyText"/>
      <w:spacing w:line="14" w:lineRule="auto"/>
    </w:pPr>
    <w:r>
      <w:rPr>
        <w:noProof/>
      </w:rPr>
      <mc:AlternateContent>
        <mc:Choice Requires="wps">
          <w:drawing>
            <wp:anchor distT="0" distB="0" distL="0" distR="0" simplePos="0" relativeHeight="472844800" behindDoc="1" locked="0" layoutInCell="1" allowOverlap="1" wp14:anchorId="0C8C0C73" wp14:editId="73C63DFD">
              <wp:simplePos x="0" y="0"/>
              <wp:positionH relativeFrom="page">
                <wp:posOffset>7303025</wp:posOffset>
              </wp:positionH>
              <wp:positionV relativeFrom="page">
                <wp:posOffset>7207077</wp:posOffset>
              </wp:positionV>
              <wp:extent cx="3185795" cy="13208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993D20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w:t>
                          </w:r>
                          <w:r>
                            <w:rPr>
                              <w:b/>
                              <w:spacing w:val="-5"/>
                              <w:sz w:val="15"/>
                            </w:rPr>
                            <w:fldChar w:fldCharType="end"/>
                          </w:r>
                        </w:p>
                      </w:txbxContent>
                    </wps:txbx>
                    <wps:bodyPr wrap="square" lIns="0" tIns="0" rIns="0" bIns="0" rtlCol="0">
                      <a:noAutofit/>
                    </wps:bodyPr>
                  </wps:wsp>
                </a:graphicData>
              </a:graphic>
            </wp:anchor>
          </w:drawing>
        </mc:Choice>
        <mc:Fallback>
          <w:pict>
            <v:shapetype w14:anchorId="0C8C0C73" id="_x0000_t202" coordsize="21600,21600" o:spt="202" path="m,l,21600r21600,l21600,xe">
              <v:stroke joinstyle="miter"/>
              <v:path gradientshapeok="t" o:connecttype="rect"/>
            </v:shapetype>
            <v:shape id="Textbox 192" o:spid="_x0000_s1057" type="#_x0000_t202" style="position:absolute;margin-left:575.05pt;margin-top:567.5pt;width:250.85pt;height:10.4pt;z-index:-304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D8mQEAACM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MfIqxxj3tpBd2IxI+fZSvp5UGikGD4HNiyHfy7wXOzO&#10;BabhA5QvkjUFeHdIYF1hcMWdGXAShdj8a3LUv69L1/Vvb38B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DvB8D8mQEA&#10;ACMDAAAOAAAAAAAAAAAAAAAAAC4CAABkcnMvZTJvRG9jLnhtbFBLAQItABQABgAIAAAAIQCwt8RQ&#10;4AAAAA8BAAAPAAAAAAAAAAAAAAAAAPMDAABkcnMvZG93bnJldi54bWxQSwUGAAAAAAQABADzAAAA&#10;AAUAAAAA&#10;" filled="f" stroked="f">
              <v:textbox inset="0,0,0,0">
                <w:txbxContent>
                  <w:p w14:paraId="3993D20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17</w:t>
                    </w:r>
                    <w:r>
                      <w:rPr>
                        <w:b/>
                        <w:spacing w:val="-5"/>
                        <w:sz w:val="1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C1C7" w14:textId="77777777" w:rsidR="00AC6F3C" w:rsidRDefault="00570E88">
    <w:pPr>
      <w:pStyle w:val="BodyText"/>
      <w:spacing w:line="14" w:lineRule="auto"/>
    </w:pPr>
    <w:r>
      <w:rPr>
        <w:noProof/>
      </w:rPr>
      <mc:AlternateContent>
        <mc:Choice Requires="wps">
          <w:drawing>
            <wp:anchor distT="0" distB="0" distL="0" distR="0" simplePos="0" relativeHeight="472845312" behindDoc="1" locked="0" layoutInCell="1" allowOverlap="1" wp14:anchorId="1745052E" wp14:editId="4DE46956">
              <wp:simplePos x="0" y="0"/>
              <wp:positionH relativeFrom="page">
                <wp:posOffset>3993225</wp:posOffset>
              </wp:positionH>
              <wp:positionV relativeFrom="page">
                <wp:posOffset>10339075</wp:posOffset>
              </wp:positionV>
              <wp:extent cx="3185795" cy="13208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3F625B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w:t>
                          </w:r>
                          <w:r>
                            <w:rPr>
                              <w:b/>
                              <w:spacing w:val="-5"/>
                              <w:sz w:val="15"/>
                            </w:rPr>
                            <w:fldChar w:fldCharType="end"/>
                          </w:r>
                        </w:p>
                      </w:txbxContent>
                    </wps:txbx>
                    <wps:bodyPr wrap="square" lIns="0" tIns="0" rIns="0" bIns="0" rtlCol="0">
                      <a:noAutofit/>
                    </wps:bodyPr>
                  </wps:wsp>
                </a:graphicData>
              </a:graphic>
            </wp:anchor>
          </w:drawing>
        </mc:Choice>
        <mc:Fallback>
          <w:pict>
            <v:shapetype w14:anchorId="1745052E" id="_x0000_t202" coordsize="21600,21600" o:spt="202" path="m,l,21600r21600,l21600,xe">
              <v:stroke joinstyle="miter"/>
              <v:path gradientshapeok="t" o:connecttype="rect"/>
            </v:shapetype>
            <v:shape id="Textbox 213" o:spid="_x0000_s1058" type="#_x0000_t202" style="position:absolute;margin-left:314.45pt;margin-top:814.1pt;width:250.85pt;height:10.4pt;z-index:-304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yNmAEAACM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" filled="f" stroked="f">
              <v:textbox inset="0,0,0,0">
                <w:txbxContent>
                  <w:p w14:paraId="23F625B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18</w:t>
                    </w:r>
                    <w:r>
                      <w:rPr>
                        <w:b/>
                        <w:spacing w:val="-5"/>
                        <w:sz w:val="1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B555" w14:textId="77777777" w:rsidR="00AC6F3C" w:rsidRDefault="00570E88">
    <w:pPr>
      <w:pStyle w:val="BodyText"/>
      <w:spacing w:line="14" w:lineRule="auto"/>
    </w:pPr>
    <w:r>
      <w:rPr>
        <w:noProof/>
      </w:rPr>
      <mc:AlternateContent>
        <mc:Choice Requires="wps">
          <w:drawing>
            <wp:anchor distT="0" distB="0" distL="0" distR="0" simplePos="0" relativeHeight="472845824" behindDoc="1" locked="0" layoutInCell="1" allowOverlap="1" wp14:anchorId="4EA9E7DA" wp14:editId="67306757">
              <wp:simplePos x="0" y="0"/>
              <wp:positionH relativeFrom="page">
                <wp:posOffset>3993225</wp:posOffset>
              </wp:positionH>
              <wp:positionV relativeFrom="page">
                <wp:posOffset>10339075</wp:posOffset>
              </wp:positionV>
              <wp:extent cx="3185795" cy="13208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659475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w:t>
                          </w:r>
                          <w:r>
                            <w:rPr>
                              <w:b/>
                              <w:spacing w:val="-5"/>
                              <w:sz w:val="15"/>
                            </w:rPr>
                            <w:fldChar w:fldCharType="end"/>
                          </w:r>
                        </w:p>
                      </w:txbxContent>
                    </wps:txbx>
                    <wps:bodyPr wrap="square" lIns="0" tIns="0" rIns="0" bIns="0" rtlCol="0">
                      <a:noAutofit/>
                    </wps:bodyPr>
                  </wps:wsp>
                </a:graphicData>
              </a:graphic>
            </wp:anchor>
          </w:drawing>
        </mc:Choice>
        <mc:Fallback>
          <w:pict>
            <v:shapetype w14:anchorId="4EA9E7DA" id="_x0000_t202" coordsize="21600,21600" o:spt="202" path="m,l,21600r21600,l21600,xe">
              <v:stroke joinstyle="miter"/>
              <v:path gradientshapeok="t" o:connecttype="rect"/>
            </v:shapetype>
            <v:shape id="Textbox 216" o:spid="_x0000_s1059" type="#_x0000_t202" style="position:absolute;margin-left:314.45pt;margin-top:814.1pt;width:250.85pt;height:10.4pt;z-index:-304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sCmQEAACM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s1yffv6za0Ums+WN6t6XQyvrrcjUvpowItc&#10;tBI5r8JAHR8o5fdVc26ZyTy9n5mkaTcJ1zHyyxxj3tpBd2IxI+fZSvp5UGikGD4FNiyHfy7wXOzO&#10;BabhPZQvkjUFeHtIYF1hcMWdGXAShdj8a3LUv69L1/Vvb38B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PNBbApkB&#10;AAAjAwAADgAAAAAAAAAAAAAAAAAuAgAAZHJzL2Uyb0RvYy54bWxQSwECLQAUAAYACAAAACEAuu2V&#10;NuEAAAAOAQAADwAAAAAAAAAAAAAAAADzAwAAZHJzL2Rvd25yZXYueG1sUEsFBgAAAAAEAAQA8wAA&#10;AAEFAAAAAA==&#10;" filled="f" stroked="f">
              <v:textbox inset="0,0,0,0">
                <w:txbxContent>
                  <w:p w14:paraId="2659475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19</w:t>
                    </w:r>
                    <w:r>
                      <w:rPr>
                        <w:b/>
                        <w:spacing w:val="-5"/>
                        <w:sz w:val="1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5351" w14:textId="77777777" w:rsidR="00AC6F3C" w:rsidRDefault="00570E88">
    <w:pPr>
      <w:pStyle w:val="BodyText"/>
      <w:spacing w:line="14" w:lineRule="auto"/>
    </w:pPr>
    <w:r>
      <w:rPr>
        <w:noProof/>
      </w:rPr>
      <mc:AlternateContent>
        <mc:Choice Requires="wps">
          <w:drawing>
            <wp:anchor distT="0" distB="0" distL="0" distR="0" simplePos="0" relativeHeight="472846336" behindDoc="1" locked="0" layoutInCell="1" allowOverlap="1" wp14:anchorId="46F969F1" wp14:editId="69622D9F">
              <wp:simplePos x="0" y="0"/>
              <wp:positionH relativeFrom="page">
                <wp:posOffset>3993225</wp:posOffset>
              </wp:positionH>
              <wp:positionV relativeFrom="page">
                <wp:posOffset>10339075</wp:posOffset>
              </wp:positionV>
              <wp:extent cx="3185795" cy="13208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942B1F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w:t>
                          </w:r>
                          <w:r>
                            <w:rPr>
                              <w:b/>
                              <w:spacing w:val="-5"/>
                              <w:sz w:val="15"/>
                            </w:rPr>
                            <w:fldChar w:fldCharType="end"/>
                          </w:r>
                        </w:p>
                      </w:txbxContent>
                    </wps:txbx>
                    <wps:bodyPr wrap="square" lIns="0" tIns="0" rIns="0" bIns="0" rtlCol="0">
                      <a:noAutofit/>
                    </wps:bodyPr>
                  </wps:wsp>
                </a:graphicData>
              </a:graphic>
            </wp:anchor>
          </w:drawing>
        </mc:Choice>
        <mc:Fallback>
          <w:pict>
            <v:shapetype w14:anchorId="46F969F1" id="_x0000_t202" coordsize="21600,21600" o:spt="202" path="m,l,21600r21600,l21600,xe">
              <v:stroke joinstyle="miter"/>
              <v:path gradientshapeok="t" o:connecttype="rect"/>
            </v:shapetype>
            <v:shape id="Textbox 217" o:spid="_x0000_s1060" type="#_x0000_t202" style="position:absolute;margin-left:314.45pt;margin-top:814.1pt;width:250.85pt;height:10.4pt;z-index:-304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dzmQEAACM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y0hL3OMeWsL7ZHEDJRnw/FlL6PmrP/mybAc/qmIp2J7&#10;KmLq76B8kazJw6d9AmMLgwvuxICSKMSmX5Oj/nNdui5/e/Mb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ewj3c5kB&#10;AAAjAwAADgAAAAAAAAAAAAAAAAAuAgAAZHJzL2Uyb0RvYy54bWxQSwECLQAUAAYACAAAACEAuu2V&#10;NuEAAAAOAQAADwAAAAAAAAAAAAAAAADzAwAAZHJzL2Rvd25yZXYueG1sUEsFBgAAAAAEAAQA8wAA&#10;AAEFAAAAAA==&#10;" filled="f" stroked="f">
              <v:textbox inset="0,0,0,0">
                <w:txbxContent>
                  <w:p w14:paraId="6942B1F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20</w:t>
                    </w:r>
                    <w:r>
                      <w:rPr>
                        <w:b/>
                        <w:spacing w:val="-5"/>
                        <w:sz w:val="1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1696" w14:textId="77777777" w:rsidR="00AC6F3C" w:rsidRDefault="00570E88">
    <w:pPr>
      <w:pStyle w:val="BodyText"/>
      <w:spacing w:line="14" w:lineRule="auto"/>
    </w:pPr>
    <w:r>
      <w:rPr>
        <w:noProof/>
      </w:rPr>
      <mc:AlternateContent>
        <mc:Choice Requires="wps">
          <w:drawing>
            <wp:anchor distT="0" distB="0" distL="0" distR="0" simplePos="0" relativeHeight="472846848" behindDoc="1" locked="0" layoutInCell="1" allowOverlap="1" wp14:anchorId="767D1C41" wp14:editId="38B1CE3E">
              <wp:simplePos x="0" y="0"/>
              <wp:positionH relativeFrom="page">
                <wp:posOffset>3993225</wp:posOffset>
              </wp:positionH>
              <wp:positionV relativeFrom="page">
                <wp:posOffset>10339075</wp:posOffset>
              </wp:positionV>
              <wp:extent cx="3185795" cy="13208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DD96D3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w:t>
                          </w:r>
                          <w:r>
                            <w:rPr>
                              <w:b/>
                              <w:spacing w:val="-5"/>
                              <w:sz w:val="15"/>
                            </w:rPr>
                            <w:fldChar w:fldCharType="end"/>
                          </w:r>
                        </w:p>
                      </w:txbxContent>
                    </wps:txbx>
                    <wps:bodyPr wrap="square" lIns="0" tIns="0" rIns="0" bIns="0" rtlCol="0">
                      <a:noAutofit/>
                    </wps:bodyPr>
                  </wps:wsp>
                </a:graphicData>
              </a:graphic>
            </wp:anchor>
          </w:drawing>
        </mc:Choice>
        <mc:Fallback>
          <w:pict>
            <v:shapetype w14:anchorId="767D1C41" id="_x0000_t202" coordsize="21600,21600" o:spt="202" path="m,l,21600r21600,l21600,xe">
              <v:stroke joinstyle="miter"/>
              <v:path gradientshapeok="t" o:connecttype="rect"/>
            </v:shapetype>
            <v:shape id="Textbox 218" o:spid="_x0000_s1061" type="#_x0000_t202" style="position:absolute;margin-left:314.45pt;margin-top:814.1pt;width:250.85pt;height:10.4pt;z-index:-304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smAC4ZkB&#10;AAAjAwAADgAAAAAAAAAAAAAAAAAuAgAAZHJzL2Uyb0RvYy54bWxQSwECLQAUAAYACAAAACEAuu2V&#10;NuEAAAAOAQAADwAAAAAAAAAAAAAAAADzAwAAZHJzL2Rvd25yZXYueG1sUEsFBgAAAAAEAAQA8wAA&#10;AAEFAAAAAA==&#10;" filled="f" stroked="f">
              <v:textbox inset="0,0,0,0">
                <w:txbxContent>
                  <w:p w14:paraId="2DD96D3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21</w:t>
                    </w:r>
                    <w:r>
                      <w:rPr>
                        <w:b/>
                        <w:spacing w:val="-5"/>
                        <w:sz w:val="1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C786" w14:textId="77777777" w:rsidR="00AC6F3C" w:rsidRDefault="00570E88">
    <w:pPr>
      <w:pStyle w:val="BodyText"/>
      <w:spacing w:line="14" w:lineRule="auto"/>
    </w:pPr>
    <w:r>
      <w:rPr>
        <w:noProof/>
      </w:rPr>
      <mc:AlternateContent>
        <mc:Choice Requires="wps">
          <w:drawing>
            <wp:anchor distT="0" distB="0" distL="0" distR="0" simplePos="0" relativeHeight="472847360" behindDoc="1" locked="0" layoutInCell="1" allowOverlap="1" wp14:anchorId="1841F844" wp14:editId="35DE1714">
              <wp:simplePos x="0" y="0"/>
              <wp:positionH relativeFrom="page">
                <wp:posOffset>3993225</wp:posOffset>
              </wp:positionH>
              <wp:positionV relativeFrom="page">
                <wp:posOffset>10339075</wp:posOffset>
              </wp:positionV>
              <wp:extent cx="3185795" cy="13208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DED0DD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w:t>
                          </w:r>
                          <w:r>
                            <w:rPr>
                              <w:b/>
                              <w:spacing w:val="-5"/>
                              <w:sz w:val="15"/>
                            </w:rPr>
                            <w:fldChar w:fldCharType="end"/>
                          </w:r>
                        </w:p>
                      </w:txbxContent>
                    </wps:txbx>
                    <wps:bodyPr wrap="square" lIns="0" tIns="0" rIns="0" bIns="0" rtlCol="0">
                      <a:noAutofit/>
                    </wps:bodyPr>
                  </wps:wsp>
                </a:graphicData>
              </a:graphic>
            </wp:anchor>
          </w:drawing>
        </mc:Choice>
        <mc:Fallback>
          <w:pict>
            <v:shapetype w14:anchorId="1841F844" id="_x0000_t202" coordsize="21600,21600" o:spt="202" path="m,l,21600r21600,l21600,xe">
              <v:stroke joinstyle="miter"/>
              <v:path gradientshapeok="t" o:connecttype="rect"/>
            </v:shapetype>
            <v:shape id="Textbox 221" o:spid="_x0000_s1062" type="#_x0000_t202" style="position:absolute;margin-left:314.45pt;margin-top:814.1pt;width:250.85pt;height:10.4pt;z-index:-304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6QmQEAACM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W69u7N7dSaD5b3qzqdTG8ut6OSOmjAS9y&#10;0UrkvAoDdXyklN9XzbllJvP8fmaSpt0kXMfIdznGvLWD7sRiRs6zlfTzoNBIMXwKbFgO/1zgudid&#10;C0zDeyhfJGsK8PaQwLrC4Io7M+AkCrH51+Sof1+Xruvf3v4C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9biukJkB&#10;AAAjAwAADgAAAAAAAAAAAAAAAAAuAgAAZHJzL2Uyb0RvYy54bWxQSwECLQAUAAYACAAAACEAuu2V&#10;NuEAAAAOAQAADwAAAAAAAAAAAAAAAADzAwAAZHJzL2Rvd25yZXYueG1sUEsFBgAAAAAEAAQA8wAA&#10;AAEFAAAAAA==&#10;" filled="f" stroked="f">
              <v:textbox inset="0,0,0,0">
                <w:txbxContent>
                  <w:p w14:paraId="4DED0DD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22</w:t>
                    </w:r>
                    <w:r>
                      <w:rPr>
                        <w:b/>
                        <w:spacing w:val="-5"/>
                        <w:sz w:val="1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C994" w14:textId="77777777" w:rsidR="00AC6F3C" w:rsidRDefault="00570E88">
    <w:pPr>
      <w:pStyle w:val="BodyText"/>
      <w:spacing w:line="14" w:lineRule="auto"/>
    </w:pPr>
    <w:r>
      <w:rPr>
        <w:noProof/>
      </w:rPr>
      <mc:AlternateContent>
        <mc:Choice Requires="wps">
          <w:drawing>
            <wp:anchor distT="0" distB="0" distL="0" distR="0" simplePos="0" relativeHeight="472847872" behindDoc="1" locked="0" layoutInCell="1" allowOverlap="1" wp14:anchorId="242833F5" wp14:editId="355E01BD">
              <wp:simplePos x="0" y="0"/>
              <wp:positionH relativeFrom="page">
                <wp:posOffset>3993225</wp:posOffset>
              </wp:positionH>
              <wp:positionV relativeFrom="page">
                <wp:posOffset>10339075</wp:posOffset>
              </wp:positionV>
              <wp:extent cx="3185795" cy="13208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03E6AD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23</w:t>
                          </w:r>
                          <w:r>
                            <w:rPr>
                              <w:b/>
                              <w:spacing w:val="-5"/>
                              <w:sz w:val="15"/>
                            </w:rPr>
                            <w:fldChar w:fldCharType="end"/>
                          </w:r>
                        </w:p>
                      </w:txbxContent>
                    </wps:txbx>
                    <wps:bodyPr wrap="square" lIns="0" tIns="0" rIns="0" bIns="0" rtlCol="0">
                      <a:noAutofit/>
                    </wps:bodyPr>
                  </wps:wsp>
                </a:graphicData>
              </a:graphic>
            </wp:anchor>
          </w:drawing>
        </mc:Choice>
        <mc:Fallback>
          <w:pict>
            <v:shapetype w14:anchorId="242833F5" id="_x0000_t202" coordsize="21600,21600" o:spt="202" path="m,l,21600r21600,l21600,xe">
              <v:stroke joinstyle="miter"/>
              <v:path gradientshapeok="t" o:connecttype="rect"/>
            </v:shapetype>
            <v:shape id="Textbox 222" o:spid="_x0000_s1063" type="#_x0000_t202" style="position:absolute;margin-left:314.45pt;margin-top:814.1pt;width:250.85pt;height:10.4pt;z-index:-304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0kmQEAACM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MfI6xxj3tpBd2IxI+fZSvp5UGikGD4HNiyHfy7wXOzO&#10;BabhA5QvkjUFeHdIYF1hcMWdGXAShdj8a3LUv69L1/Vvb38B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23kdJJkB&#10;AAAjAwAADgAAAAAAAAAAAAAAAAAuAgAAZHJzL2Uyb0RvYy54bWxQSwECLQAUAAYACAAAACEAuu2V&#10;NuEAAAAOAQAADwAAAAAAAAAAAAAAAADzAwAAZHJzL2Rvd25yZXYueG1sUEsFBgAAAAAEAAQA8wAA&#10;AAEFAAAAAA==&#10;" filled="f" stroked="f">
              <v:textbox inset="0,0,0,0">
                <w:txbxContent>
                  <w:p w14:paraId="003E6AD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23</w:t>
                    </w:r>
                    <w:r>
                      <w:rPr>
                        <w:b/>
                        <w:spacing w:val="-5"/>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DC91" w14:textId="77777777" w:rsidR="00AC6F3C" w:rsidRDefault="00570E88">
    <w:pPr>
      <w:pStyle w:val="BodyText"/>
      <w:spacing w:line="14" w:lineRule="auto"/>
    </w:pPr>
    <w:r>
      <w:rPr>
        <w:noProof/>
      </w:rPr>
      <mc:AlternateContent>
        <mc:Choice Requires="wps">
          <w:drawing>
            <wp:anchor distT="0" distB="0" distL="0" distR="0" simplePos="0" relativeHeight="472834560" behindDoc="1" locked="0" layoutInCell="1" allowOverlap="1" wp14:anchorId="76B66606" wp14:editId="4E74E46C">
              <wp:simplePos x="0" y="0"/>
              <wp:positionH relativeFrom="page">
                <wp:posOffset>4046198</wp:posOffset>
              </wp:positionH>
              <wp:positionV relativeFrom="page">
                <wp:posOffset>10339075</wp:posOffset>
              </wp:positionV>
              <wp:extent cx="3133090" cy="1320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132080"/>
                      </a:xfrm>
                      <a:prstGeom prst="rect">
                        <a:avLst/>
                      </a:prstGeom>
                    </wps:spPr>
                    <wps:txbx>
                      <w:txbxContent>
                        <w:p w14:paraId="7ACEF21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4</w:t>
                          </w:r>
                          <w:r>
                            <w:rPr>
                              <w:b/>
                              <w:spacing w:val="-10"/>
                              <w:sz w:val="15"/>
                            </w:rPr>
                            <w:fldChar w:fldCharType="end"/>
                          </w:r>
                        </w:p>
                      </w:txbxContent>
                    </wps:txbx>
                    <wps:bodyPr wrap="square" lIns="0" tIns="0" rIns="0" bIns="0" rtlCol="0">
                      <a:noAutofit/>
                    </wps:bodyPr>
                  </wps:wsp>
                </a:graphicData>
              </a:graphic>
            </wp:anchor>
          </w:drawing>
        </mc:Choice>
        <mc:Fallback>
          <w:pict>
            <v:shapetype w14:anchorId="76B66606" id="_x0000_t202" coordsize="21600,21600" o:spt="202" path="m,l,21600r21600,l21600,xe">
              <v:stroke joinstyle="miter"/>
              <v:path gradientshapeok="t" o:connecttype="rect"/>
            </v:shapetype>
            <v:shape id="Textbox 13" o:spid="_x0000_s1046" type="#_x0000_t202" style="position:absolute;margin-left:318.6pt;margin-top:814.1pt;width:246.7pt;height:10.4pt;z-index:-304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" filled="f" stroked="f">
              <v:textbox inset="0,0,0,0">
                <w:txbxContent>
                  <w:p w14:paraId="7ACEF21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4</w:t>
                    </w:r>
                    <w:r>
                      <w:rPr>
                        <w:b/>
                        <w:spacing w:val="-10"/>
                        <w:sz w:val="1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C073" w14:textId="77777777" w:rsidR="00AC6F3C" w:rsidRDefault="00570E88">
    <w:pPr>
      <w:pStyle w:val="BodyText"/>
      <w:spacing w:line="14" w:lineRule="auto"/>
    </w:pPr>
    <w:r>
      <w:rPr>
        <w:noProof/>
      </w:rPr>
      <mc:AlternateContent>
        <mc:Choice Requires="wps">
          <w:drawing>
            <wp:anchor distT="0" distB="0" distL="0" distR="0" simplePos="0" relativeHeight="472848384" behindDoc="1" locked="0" layoutInCell="1" allowOverlap="1" wp14:anchorId="7275914A" wp14:editId="2353B7B9">
              <wp:simplePos x="0" y="0"/>
              <wp:positionH relativeFrom="page">
                <wp:posOffset>3993225</wp:posOffset>
              </wp:positionH>
              <wp:positionV relativeFrom="page">
                <wp:posOffset>10339075</wp:posOffset>
              </wp:positionV>
              <wp:extent cx="3185795" cy="13208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A22094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24</w:t>
                          </w:r>
                          <w:r>
                            <w:rPr>
                              <w:b/>
                              <w:spacing w:val="-5"/>
                              <w:sz w:val="15"/>
                            </w:rPr>
                            <w:fldChar w:fldCharType="end"/>
                          </w:r>
                        </w:p>
                      </w:txbxContent>
                    </wps:txbx>
                    <wps:bodyPr wrap="square" lIns="0" tIns="0" rIns="0" bIns="0" rtlCol="0">
                      <a:noAutofit/>
                    </wps:bodyPr>
                  </wps:wsp>
                </a:graphicData>
              </a:graphic>
            </wp:anchor>
          </w:drawing>
        </mc:Choice>
        <mc:Fallback>
          <w:pict>
            <v:shapetype w14:anchorId="7275914A" id="_x0000_t202" coordsize="21600,21600" o:spt="202" path="m,l,21600r21600,l21600,xe">
              <v:stroke joinstyle="miter"/>
              <v:path gradientshapeok="t" o:connecttype="rect"/>
            </v:shapetype>
            <v:shape id="Textbox 225" o:spid="_x0000_s1064" type="#_x0000_t202" style="position:absolute;margin-left:314.45pt;margin-top:814.1pt;width:250.85pt;height:10.4pt;z-index:-304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FVmQEAACM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zfL9e2bu1spDJ8tb1bVuhiurrcjUvpowYtc&#10;NBI5r8JAHx8p5fd1fW6ZyTy/n5mkaTeJvmXkuxxj3tpBe2IxI+fZSPp50GilGD4FNiyHfy7wXOzO&#10;BabhPZQvkjUFeHtI4PrC4Io7M+AkCrH51+Sof1+Xruvf3v4C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nKGxVZkB&#10;AAAjAwAADgAAAAAAAAAAAAAAAAAuAgAAZHJzL2Uyb0RvYy54bWxQSwECLQAUAAYACAAAACEAuu2V&#10;NuEAAAAOAQAADwAAAAAAAAAAAAAAAADzAwAAZHJzL2Rvd25yZXYueG1sUEsFBgAAAAAEAAQA8wAA&#10;AAEFAAAAAA==&#10;" filled="f" stroked="f">
              <v:textbox inset="0,0,0,0">
                <w:txbxContent>
                  <w:p w14:paraId="7A22094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24</w:t>
                    </w:r>
                    <w:r>
                      <w:rPr>
                        <w:b/>
                        <w:spacing w:val="-5"/>
                        <w:sz w:val="1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B77E" w14:textId="77777777" w:rsidR="00AC6F3C" w:rsidRDefault="00570E88">
    <w:pPr>
      <w:pStyle w:val="BodyText"/>
      <w:spacing w:line="14" w:lineRule="auto"/>
    </w:pPr>
    <w:r>
      <w:rPr>
        <w:noProof/>
      </w:rPr>
      <mc:AlternateContent>
        <mc:Choice Requires="wpg">
          <w:drawing>
            <wp:anchor distT="0" distB="0" distL="0" distR="0" simplePos="0" relativeHeight="472848896" behindDoc="1" locked="0" layoutInCell="1" allowOverlap="1" wp14:anchorId="5DBC0727" wp14:editId="116B3FEF">
              <wp:simplePos x="0" y="0"/>
              <wp:positionH relativeFrom="page">
                <wp:posOffset>810000</wp:posOffset>
              </wp:positionH>
              <wp:positionV relativeFrom="page">
                <wp:posOffset>9307494</wp:posOffset>
              </wp:positionV>
              <wp:extent cx="5937250" cy="317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3175"/>
                        <a:chOff x="0" y="0"/>
                        <a:chExt cx="5937250" cy="3175"/>
                      </a:xfrm>
                    </wpg:grpSpPr>
                    <wps:wsp>
                      <wps:cNvPr id="227" name="Graphic 227"/>
                      <wps:cNvSpPr/>
                      <wps:spPr>
                        <a:xfrm>
                          <a:off x="0" y="1587"/>
                          <a:ext cx="1680210" cy="1270"/>
                        </a:xfrm>
                        <a:custGeom>
                          <a:avLst/>
                          <a:gdLst/>
                          <a:ahLst/>
                          <a:cxnLst/>
                          <a:rect l="l" t="t" r="r" b="b"/>
                          <a:pathLst>
                            <a:path w="1680210">
                              <a:moveTo>
                                <a:pt x="0" y="0"/>
                              </a:moveTo>
                              <a:lnTo>
                                <a:pt x="1679994" y="0"/>
                              </a:lnTo>
                            </a:path>
                          </a:pathLst>
                        </a:custGeom>
                        <a:ln w="3175">
                          <a:solidFill>
                            <a:srgbClr val="000000"/>
                          </a:solidFill>
                          <a:prstDash val="solid"/>
                        </a:ln>
                      </wps:spPr>
                      <wps:bodyPr wrap="square" lIns="0" tIns="0" rIns="0" bIns="0" rtlCol="0">
                        <a:prstTxWarp prst="textNoShape">
                          <a:avLst/>
                        </a:prstTxWarp>
                        <a:noAutofit/>
                      </wps:bodyPr>
                    </wps:wsp>
                    <wps:wsp>
                      <wps:cNvPr id="228" name="Graphic 228"/>
                      <wps:cNvSpPr/>
                      <wps:spPr>
                        <a:xfrm>
                          <a:off x="1679999" y="1587"/>
                          <a:ext cx="1737360" cy="1270"/>
                        </a:xfrm>
                        <a:custGeom>
                          <a:avLst/>
                          <a:gdLst/>
                          <a:ahLst/>
                          <a:cxnLst/>
                          <a:rect l="l" t="t" r="r" b="b"/>
                          <a:pathLst>
                            <a:path w="1737360">
                              <a:moveTo>
                                <a:pt x="0" y="0"/>
                              </a:moveTo>
                              <a:lnTo>
                                <a:pt x="1737004" y="0"/>
                              </a:lnTo>
                            </a:path>
                          </a:pathLst>
                        </a:custGeom>
                        <a:ln w="3175">
                          <a:solidFill>
                            <a:srgbClr val="000000"/>
                          </a:solidFill>
                          <a:prstDash val="solid"/>
                        </a:ln>
                      </wps:spPr>
                      <wps:bodyPr wrap="square" lIns="0" tIns="0" rIns="0" bIns="0" rtlCol="0">
                        <a:prstTxWarp prst="textNoShape">
                          <a:avLst/>
                        </a:prstTxWarp>
                        <a:noAutofit/>
                      </wps:bodyPr>
                    </wps:wsp>
                    <wps:wsp>
                      <wps:cNvPr id="229" name="Graphic 229"/>
                      <wps:cNvSpPr/>
                      <wps:spPr>
                        <a:xfrm>
                          <a:off x="341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30" name="Graphic 230"/>
                      <wps:cNvSpPr/>
                      <wps:spPr>
                        <a:xfrm>
                          <a:off x="404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31" name="Graphic 231"/>
                      <wps:cNvSpPr/>
                      <wps:spPr>
                        <a:xfrm>
                          <a:off x="467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32" name="Graphic 232"/>
                      <wps:cNvSpPr/>
                      <wps:spPr>
                        <a:xfrm>
                          <a:off x="530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3A6B94" id="Group 226" o:spid="_x0000_s1026" style="position:absolute;margin-left:63.8pt;margin-top:732.85pt;width:467.5pt;height:.25pt;z-index:-30467584;mso-wrap-distance-left:0;mso-wrap-distance-right:0;mso-position-horizontal-relative:page;mso-position-vertical-relative:page" coordsize="59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">
              <v:shape id="Graphic 227" o:spid="_x0000_s1027" style="position:absolute;top:15;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" path="m,l1679994,e" filled="f" strokeweight=".25pt">
                <v:path arrowok="t"/>
              </v:shape>
              <v:shape id="Graphic 228" o:spid="_x0000_s1028" style="position:absolute;left:16799;top:15;width:17374;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" path="m,l1737004,e" filled="f" strokeweight=".25pt">
                <v:path arrowok="t"/>
              </v:shape>
              <v:shape id="Graphic 229" o:spid="_x0000_s1029" style="position:absolute;left:341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" path="m,l629996,e" filled="f" strokeweight=".25pt">
                <v:path arrowok="t"/>
              </v:shape>
              <v:shape id="Graphic 230" o:spid="_x0000_s1030" style="position:absolute;left:404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" path="m,l629996,e" filled="f" strokeweight=".25pt">
                <v:path arrowok="t"/>
              </v:shape>
              <v:shape id="Graphic 231" o:spid="_x0000_s1031" style="position:absolute;left:467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" path="m,l629996,e" filled="f" strokeweight=".25pt">
                <v:path arrowok="t"/>
              </v:shape>
              <v:shape id="Graphic 232" o:spid="_x0000_s1032" style="position:absolute;left:530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" path="m,l629996,e" filled="f" strokeweight=".25pt">
                <v:path arrowok="t"/>
              </v:shape>
              <w10:wrap anchorx="page" anchory="page"/>
            </v:group>
          </w:pict>
        </mc:Fallback>
      </mc:AlternateContent>
    </w:r>
    <w:r>
      <w:rPr>
        <w:noProof/>
      </w:rPr>
      <mc:AlternateContent>
        <mc:Choice Requires="wps">
          <w:drawing>
            <wp:anchor distT="0" distB="0" distL="0" distR="0" simplePos="0" relativeHeight="472849408" behindDoc="1" locked="0" layoutInCell="1" allowOverlap="1" wp14:anchorId="5A80625A" wp14:editId="0A4A0F2F">
              <wp:simplePos x="0" y="0"/>
              <wp:positionH relativeFrom="page">
                <wp:posOffset>3993225</wp:posOffset>
              </wp:positionH>
              <wp:positionV relativeFrom="page">
                <wp:posOffset>10339075</wp:posOffset>
              </wp:positionV>
              <wp:extent cx="3185795" cy="13208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3F739F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26</w:t>
                          </w:r>
                          <w:r>
                            <w:rPr>
                              <w:b/>
                              <w:spacing w:val="-5"/>
                              <w:sz w:val="15"/>
                            </w:rPr>
                            <w:fldChar w:fldCharType="end"/>
                          </w:r>
                        </w:p>
                      </w:txbxContent>
                    </wps:txbx>
                    <wps:bodyPr wrap="square" lIns="0" tIns="0" rIns="0" bIns="0" rtlCol="0">
                      <a:noAutofit/>
                    </wps:bodyPr>
                  </wps:wsp>
                </a:graphicData>
              </a:graphic>
            </wp:anchor>
          </w:drawing>
        </mc:Choice>
        <mc:Fallback>
          <w:pict>
            <v:shapetype w14:anchorId="5A80625A" id="_x0000_t202" coordsize="21600,21600" o:spt="202" path="m,l,21600r21600,l21600,xe">
              <v:stroke joinstyle="miter"/>
              <v:path gradientshapeok="t" o:connecttype="rect"/>
            </v:shapetype>
            <v:shape id="Textbox 233" o:spid="_x0000_s1065" type="#_x0000_t202" style="position:absolute;margin-left:314.45pt;margin-top:814.1pt;width:250.85pt;height:10.4pt;z-index:-304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B04s/2a&#10;AQAAIwMAAA4AAAAAAAAAAAAAAAAALgIAAGRycy9lMm9Eb2MueG1sUEsBAi0AFAAGAAgAAAAhALrt&#10;lTbhAAAADgEAAA8AAAAAAAAAAAAAAAAA9AMAAGRycy9kb3ducmV2LnhtbFBLBQYAAAAABAAEAPMA&#10;AAACBQAAAAA=&#10;" filled="f" stroked="f">
              <v:textbox inset="0,0,0,0">
                <w:txbxContent>
                  <w:p w14:paraId="43F739F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26</w:t>
                    </w:r>
                    <w:r>
                      <w:rPr>
                        <w:b/>
                        <w:spacing w:val="-5"/>
                        <w:sz w:val="1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1429" w14:textId="77777777" w:rsidR="00AC6F3C" w:rsidRDefault="00570E88">
    <w:pPr>
      <w:pStyle w:val="BodyText"/>
      <w:spacing w:line="14" w:lineRule="auto"/>
    </w:pPr>
    <w:r>
      <w:rPr>
        <w:noProof/>
      </w:rPr>
      <mc:AlternateContent>
        <mc:Choice Requires="wpg">
          <w:drawing>
            <wp:anchor distT="0" distB="0" distL="0" distR="0" simplePos="0" relativeHeight="472849920" behindDoc="1" locked="0" layoutInCell="1" allowOverlap="1" wp14:anchorId="5635348C" wp14:editId="522DBAB8">
              <wp:simplePos x="0" y="0"/>
              <wp:positionH relativeFrom="page">
                <wp:posOffset>809999</wp:posOffset>
              </wp:positionH>
              <wp:positionV relativeFrom="page">
                <wp:posOffset>9358171</wp:posOffset>
              </wp:positionV>
              <wp:extent cx="5937250" cy="317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3175"/>
                        <a:chOff x="0" y="0"/>
                        <a:chExt cx="5937250" cy="3175"/>
                      </a:xfrm>
                    </wpg:grpSpPr>
                    <wps:wsp>
                      <wps:cNvPr id="250" name="Graphic 250"/>
                      <wps:cNvSpPr/>
                      <wps:spPr>
                        <a:xfrm>
                          <a:off x="0" y="1587"/>
                          <a:ext cx="1680210" cy="1270"/>
                        </a:xfrm>
                        <a:custGeom>
                          <a:avLst/>
                          <a:gdLst/>
                          <a:ahLst/>
                          <a:cxnLst/>
                          <a:rect l="l" t="t" r="r" b="b"/>
                          <a:pathLst>
                            <a:path w="1680210">
                              <a:moveTo>
                                <a:pt x="0" y="0"/>
                              </a:moveTo>
                              <a:lnTo>
                                <a:pt x="1679994" y="0"/>
                              </a:lnTo>
                            </a:path>
                          </a:pathLst>
                        </a:custGeom>
                        <a:ln w="3175">
                          <a:solidFill>
                            <a:srgbClr val="000000"/>
                          </a:solidFill>
                          <a:prstDash val="solid"/>
                        </a:ln>
                      </wps:spPr>
                      <wps:bodyPr wrap="square" lIns="0" tIns="0" rIns="0" bIns="0" rtlCol="0">
                        <a:prstTxWarp prst="textNoShape">
                          <a:avLst/>
                        </a:prstTxWarp>
                        <a:noAutofit/>
                      </wps:bodyPr>
                    </wps:wsp>
                    <wps:wsp>
                      <wps:cNvPr id="251" name="Graphic 251"/>
                      <wps:cNvSpPr/>
                      <wps:spPr>
                        <a:xfrm>
                          <a:off x="1680000" y="1587"/>
                          <a:ext cx="1737360" cy="1270"/>
                        </a:xfrm>
                        <a:custGeom>
                          <a:avLst/>
                          <a:gdLst/>
                          <a:ahLst/>
                          <a:cxnLst/>
                          <a:rect l="l" t="t" r="r" b="b"/>
                          <a:pathLst>
                            <a:path w="1737360">
                              <a:moveTo>
                                <a:pt x="0" y="0"/>
                              </a:moveTo>
                              <a:lnTo>
                                <a:pt x="1737004" y="0"/>
                              </a:lnTo>
                            </a:path>
                          </a:pathLst>
                        </a:custGeom>
                        <a:ln w="3175">
                          <a:solidFill>
                            <a:srgbClr val="000000"/>
                          </a:solidFill>
                          <a:prstDash val="solid"/>
                        </a:ln>
                      </wps:spPr>
                      <wps:bodyPr wrap="square" lIns="0" tIns="0" rIns="0" bIns="0" rtlCol="0">
                        <a:prstTxWarp prst="textNoShape">
                          <a:avLst/>
                        </a:prstTxWarp>
                        <a:noAutofit/>
                      </wps:bodyPr>
                    </wps:wsp>
                    <wps:wsp>
                      <wps:cNvPr id="252" name="Graphic 252"/>
                      <wps:cNvSpPr/>
                      <wps:spPr>
                        <a:xfrm>
                          <a:off x="341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53" name="Graphic 253"/>
                      <wps:cNvSpPr/>
                      <wps:spPr>
                        <a:xfrm>
                          <a:off x="404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54" name="Graphic 254"/>
                      <wps:cNvSpPr/>
                      <wps:spPr>
                        <a:xfrm>
                          <a:off x="467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s:wsp>
                      <wps:cNvPr id="255" name="Graphic 255"/>
                      <wps:cNvSpPr/>
                      <wps:spPr>
                        <a:xfrm>
                          <a:off x="5306999" y="1587"/>
                          <a:ext cx="630555" cy="1270"/>
                        </a:xfrm>
                        <a:custGeom>
                          <a:avLst/>
                          <a:gdLst/>
                          <a:ahLst/>
                          <a:cxnLst/>
                          <a:rect l="l" t="t" r="r" b="b"/>
                          <a:pathLst>
                            <a:path w="630555">
                              <a:moveTo>
                                <a:pt x="0" y="0"/>
                              </a:moveTo>
                              <a:lnTo>
                                <a:pt x="62999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9FDD41" id="Group 249" o:spid="_x0000_s1026" style="position:absolute;margin-left:63.8pt;margin-top:736.85pt;width:467.5pt;height:.25pt;z-index:-30466560;mso-wrap-distance-left:0;mso-wrap-distance-right:0;mso-position-horizontal-relative:page;mso-position-vertical-relative:page" coordsize="59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">
              <v:shape id="Graphic 250" o:spid="_x0000_s1027" style="position:absolute;top:15;width:16802;height:13;visibility:visible;mso-wrap-style:square;v-text-anchor:top" coordsize="168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" path="m,l1679994,e" filled="f" strokeweight=".25pt">
                <v:path arrowok="t"/>
              </v:shape>
              <v:shape id="Graphic 251" o:spid="_x0000_s1028" style="position:absolute;left:16800;top:15;width:17373;height:13;visibility:visible;mso-wrap-style:square;v-text-anchor:top" coordsize="173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" path="m,l1737004,e" filled="f" strokeweight=".25pt">
                <v:path arrowok="t"/>
              </v:shape>
              <v:shape id="Graphic 252" o:spid="_x0000_s1029" style="position:absolute;left:341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" path="m,l629996,e" filled="f" strokeweight=".25pt">
                <v:path arrowok="t"/>
              </v:shape>
              <v:shape id="Graphic 253" o:spid="_x0000_s1030" style="position:absolute;left:404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" path="m,l629996,e" filled="f" strokeweight=".25pt">
                <v:path arrowok="t"/>
              </v:shape>
              <v:shape id="Graphic 254" o:spid="_x0000_s1031" style="position:absolute;left:467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" path="m,l629996,e" filled="f" strokeweight=".25pt">
                <v:path arrowok="t"/>
              </v:shape>
              <v:shape id="Graphic 255" o:spid="_x0000_s1032" style="position:absolute;left:53069;top:15;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" path="m,l629996,e" filled="f" strokeweight=".25pt">
                <v:path arrowok="t"/>
              </v:shape>
              <w10:wrap anchorx="page" anchory="page"/>
            </v:group>
          </w:pict>
        </mc:Fallback>
      </mc:AlternateContent>
    </w:r>
    <w:r>
      <w:rPr>
        <w:noProof/>
      </w:rPr>
      <mc:AlternateContent>
        <mc:Choice Requires="wps">
          <w:drawing>
            <wp:anchor distT="0" distB="0" distL="0" distR="0" simplePos="0" relativeHeight="472850432" behindDoc="1" locked="0" layoutInCell="1" allowOverlap="1" wp14:anchorId="3F611935" wp14:editId="0B10E378">
              <wp:simplePos x="0" y="0"/>
              <wp:positionH relativeFrom="page">
                <wp:posOffset>3993225</wp:posOffset>
              </wp:positionH>
              <wp:positionV relativeFrom="page">
                <wp:posOffset>10339075</wp:posOffset>
              </wp:positionV>
              <wp:extent cx="3185795" cy="13208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6DDDAA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26</w:t>
                          </w:r>
                          <w:r>
                            <w:rPr>
                              <w:b/>
                              <w:spacing w:val="-5"/>
                              <w:sz w:val="15"/>
                            </w:rPr>
                            <w:fldChar w:fldCharType="end"/>
                          </w:r>
                        </w:p>
                      </w:txbxContent>
                    </wps:txbx>
                    <wps:bodyPr wrap="square" lIns="0" tIns="0" rIns="0" bIns="0" rtlCol="0">
                      <a:noAutofit/>
                    </wps:bodyPr>
                  </wps:wsp>
                </a:graphicData>
              </a:graphic>
            </wp:anchor>
          </w:drawing>
        </mc:Choice>
        <mc:Fallback>
          <w:pict>
            <v:shapetype w14:anchorId="3F611935" id="_x0000_t202" coordsize="21600,21600" o:spt="202" path="m,l,21600r21600,l21600,xe">
              <v:stroke joinstyle="miter"/>
              <v:path gradientshapeok="t" o:connecttype="rect"/>
            </v:shapetype>
            <v:shape id="Textbox 256" o:spid="_x0000_s1066" type="#_x0000_t202" style="position:absolute;margin-left:314.45pt;margin-top:814.1pt;width:250.85pt;height:10.4pt;z-index:-304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FrgH4ya&#10;AQAAIwMAAA4AAAAAAAAAAAAAAAAALgIAAGRycy9lMm9Eb2MueG1sUEsBAi0AFAAGAAgAAAAhALrt&#10;lTbhAAAADgEAAA8AAAAAAAAAAAAAAAAA9AMAAGRycy9kb3ducmV2LnhtbFBLBQYAAAAABAAEAPMA&#10;AAACBQAAAAA=&#10;" filled="f" stroked="f">
              <v:textbox inset="0,0,0,0">
                <w:txbxContent>
                  <w:p w14:paraId="46DDDAA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26</w:t>
                    </w:r>
                    <w:r>
                      <w:rPr>
                        <w:b/>
                        <w:spacing w:val="-5"/>
                        <w:sz w:val="1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A2D7" w14:textId="77777777" w:rsidR="00AC6F3C" w:rsidRDefault="00570E88">
    <w:pPr>
      <w:pStyle w:val="BodyText"/>
      <w:spacing w:line="14" w:lineRule="auto"/>
    </w:pPr>
    <w:r>
      <w:rPr>
        <w:noProof/>
      </w:rPr>
      <mc:AlternateContent>
        <mc:Choice Requires="wps">
          <w:drawing>
            <wp:anchor distT="0" distB="0" distL="0" distR="0" simplePos="0" relativeHeight="472850944" behindDoc="1" locked="0" layoutInCell="1" allowOverlap="1" wp14:anchorId="21F32493" wp14:editId="07CED4CD">
              <wp:simplePos x="0" y="0"/>
              <wp:positionH relativeFrom="page">
                <wp:posOffset>3993225</wp:posOffset>
              </wp:positionH>
              <wp:positionV relativeFrom="page">
                <wp:posOffset>10339075</wp:posOffset>
              </wp:positionV>
              <wp:extent cx="3185795" cy="13208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393F73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27</w:t>
                          </w:r>
                          <w:r>
                            <w:rPr>
                              <w:b/>
                              <w:spacing w:val="-5"/>
                              <w:sz w:val="15"/>
                            </w:rPr>
                            <w:fldChar w:fldCharType="end"/>
                          </w:r>
                        </w:p>
                      </w:txbxContent>
                    </wps:txbx>
                    <wps:bodyPr wrap="square" lIns="0" tIns="0" rIns="0" bIns="0" rtlCol="0">
                      <a:noAutofit/>
                    </wps:bodyPr>
                  </wps:wsp>
                </a:graphicData>
              </a:graphic>
            </wp:anchor>
          </w:drawing>
        </mc:Choice>
        <mc:Fallback>
          <w:pict>
            <v:shapetype w14:anchorId="21F32493" id="_x0000_t202" coordsize="21600,21600" o:spt="202" path="m,l,21600r21600,l21600,xe">
              <v:stroke joinstyle="miter"/>
              <v:path gradientshapeok="t" o:connecttype="rect"/>
            </v:shapetype>
            <v:shape id="Textbox 272" o:spid="_x0000_s1067" type="#_x0000_t202" style="position:absolute;margin-left:314.45pt;margin-top:814.1pt;width:250.85pt;height:10.4pt;z-index:-304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JOI6h6a&#10;AQAAIwMAAA4AAAAAAAAAAAAAAAAALgIAAGRycy9lMm9Eb2MueG1sUEsBAi0AFAAGAAgAAAAhALrt&#10;lTbhAAAADgEAAA8AAAAAAAAAAAAAAAAA9AMAAGRycy9kb3ducmV2LnhtbFBLBQYAAAAABAAEAPMA&#10;AAACBQAAAAA=&#10;" filled="f" stroked="f">
              <v:textbox inset="0,0,0,0">
                <w:txbxContent>
                  <w:p w14:paraId="3393F73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27</w:t>
                    </w:r>
                    <w:r>
                      <w:rPr>
                        <w:b/>
                        <w:spacing w:val="-5"/>
                        <w:sz w:val="1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03EF" w14:textId="77777777" w:rsidR="00AC6F3C" w:rsidRDefault="00570E88">
    <w:pPr>
      <w:pStyle w:val="BodyText"/>
      <w:spacing w:line="14" w:lineRule="auto"/>
    </w:pPr>
    <w:r>
      <w:rPr>
        <w:noProof/>
      </w:rPr>
      <mc:AlternateContent>
        <mc:Choice Requires="wps">
          <w:drawing>
            <wp:anchor distT="0" distB="0" distL="0" distR="0" simplePos="0" relativeHeight="472851456" behindDoc="1" locked="0" layoutInCell="1" allowOverlap="1" wp14:anchorId="24C67532" wp14:editId="6C8AC5E5">
              <wp:simplePos x="0" y="0"/>
              <wp:positionH relativeFrom="page">
                <wp:posOffset>3993225</wp:posOffset>
              </wp:positionH>
              <wp:positionV relativeFrom="page">
                <wp:posOffset>10339075</wp:posOffset>
              </wp:positionV>
              <wp:extent cx="3185795" cy="13208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EE2FE2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28</w:t>
                          </w:r>
                          <w:r>
                            <w:rPr>
                              <w:b/>
                              <w:spacing w:val="-5"/>
                              <w:sz w:val="15"/>
                            </w:rPr>
                            <w:fldChar w:fldCharType="end"/>
                          </w:r>
                        </w:p>
                      </w:txbxContent>
                    </wps:txbx>
                    <wps:bodyPr wrap="square" lIns="0" tIns="0" rIns="0" bIns="0" rtlCol="0">
                      <a:noAutofit/>
                    </wps:bodyPr>
                  </wps:wsp>
                </a:graphicData>
              </a:graphic>
            </wp:anchor>
          </w:drawing>
        </mc:Choice>
        <mc:Fallback>
          <w:pict>
            <v:shapetype w14:anchorId="24C67532" id="_x0000_t202" coordsize="21600,21600" o:spt="202" path="m,l,21600r21600,l21600,xe">
              <v:stroke joinstyle="miter"/>
              <v:path gradientshapeok="t" o:connecttype="rect"/>
            </v:shapetype>
            <v:shape id="Textbox 273" o:spid="_x0000_s1068" type="#_x0000_t202" style="position:absolute;margin-left:314.45pt;margin-top:814.1pt;width:250.85pt;height:10.4pt;z-index:-304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ZvmgEAACMDAAAOAAAAZHJzL2Uyb0RvYy54bWysUs1uGyEQvlfKOyDuMWtbaZ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S7nq5sPtzecKTqbLxfVqhguLrdDxPRVg2O5&#10;aHikvAoDeXjAlN+X9allIvP6fmaSxu3IbNvwxTLHmLe20B5JzEB5Nhx/7WXUnPXfPBmWwz8V8VRs&#10;T0VM/WcoXyRr8vBxn8DYwuCCOzGgJAqx6dfkqP9cl67L3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NRQRm+a&#10;AQAAIwMAAA4AAAAAAAAAAAAAAAAALgIAAGRycy9lMm9Eb2MueG1sUEsBAi0AFAAGAAgAAAAhALrt&#10;lTbhAAAADgEAAA8AAAAAAAAAAAAAAAAA9AMAAGRycy9kb3ducmV2LnhtbFBLBQYAAAAABAAEAPMA&#10;AAACBQAAAAA=&#10;" filled="f" stroked="f">
              <v:textbox inset="0,0,0,0">
                <w:txbxContent>
                  <w:p w14:paraId="7EE2FE2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28</w:t>
                    </w:r>
                    <w:r>
                      <w:rPr>
                        <w:b/>
                        <w:spacing w:val="-5"/>
                        <w:sz w:val="1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D8B" w14:textId="77777777" w:rsidR="00AC6F3C" w:rsidRDefault="00570E88">
    <w:pPr>
      <w:pStyle w:val="BodyText"/>
      <w:spacing w:line="14" w:lineRule="auto"/>
    </w:pPr>
    <w:r>
      <w:rPr>
        <w:noProof/>
      </w:rPr>
      <mc:AlternateContent>
        <mc:Choice Requires="wps">
          <w:drawing>
            <wp:anchor distT="0" distB="0" distL="0" distR="0" simplePos="0" relativeHeight="472851968" behindDoc="1" locked="0" layoutInCell="1" allowOverlap="1" wp14:anchorId="22D6CE04" wp14:editId="25AA319E">
              <wp:simplePos x="0" y="0"/>
              <wp:positionH relativeFrom="page">
                <wp:posOffset>3993225</wp:posOffset>
              </wp:positionH>
              <wp:positionV relativeFrom="page">
                <wp:posOffset>10339075</wp:posOffset>
              </wp:positionV>
              <wp:extent cx="3185795" cy="13208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10BF63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29</w:t>
                          </w:r>
                          <w:r>
                            <w:rPr>
                              <w:b/>
                              <w:spacing w:val="-5"/>
                              <w:sz w:val="15"/>
                            </w:rPr>
                            <w:fldChar w:fldCharType="end"/>
                          </w:r>
                        </w:p>
                      </w:txbxContent>
                    </wps:txbx>
                    <wps:bodyPr wrap="square" lIns="0" tIns="0" rIns="0" bIns="0" rtlCol="0">
                      <a:noAutofit/>
                    </wps:bodyPr>
                  </wps:wsp>
                </a:graphicData>
              </a:graphic>
            </wp:anchor>
          </w:drawing>
        </mc:Choice>
        <mc:Fallback>
          <w:pict>
            <v:shapetype w14:anchorId="22D6CE04" id="_x0000_t202" coordsize="21600,21600" o:spt="202" path="m,l,21600r21600,l21600,xe">
              <v:stroke joinstyle="miter"/>
              <v:path gradientshapeok="t" o:connecttype="rect"/>
            </v:shapetype>
            <v:shape id="Textbox 276" o:spid="_x0000_s1069" type="#_x0000_t202" style="position:absolute;margin-left:314.45pt;margin-top:814.1pt;width:250.85pt;height:10.4pt;z-index:-304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HgmgEAACM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s1yffv6za0Ums+WN6t6XQyvrrcjUvpowItc&#10;tBI5r8JAHR8o5fdVc26ZyTy9n5mkaTcJ17Vy9TLHmLd20J1YzMh5tpJ+HhQaKYZPgQ3L4Z8LPBe7&#10;c4FpeA/li2RNAd4eElhXGFxxZwacRCE2/5oc9e/r0nX929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EBfceCa&#10;AQAAIwMAAA4AAAAAAAAAAAAAAAAALgIAAGRycy9lMm9Eb2MueG1sUEsBAi0AFAAGAAgAAAAhALrt&#10;lTbhAAAADgEAAA8AAAAAAAAAAAAAAAAA9AMAAGRycy9kb3ducmV2LnhtbFBLBQYAAAAABAAEAPMA&#10;AAACBQAAAAA=&#10;" filled="f" stroked="f">
              <v:textbox inset="0,0,0,0">
                <w:txbxContent>
                  <w:p w14:paraId="210BF63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29</w:t>
                    </w:r>
                    <w:r>
                      <w:rPr>
                        <w:b/>
                        <w:spacing w:val="-5"/>
                        <w:sz w:val="1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2DAE" w14:textId="77777777" w:rsidR="00AC6F3C" w:rsidRDefault="00570E88">
    <w:pPr>
      <w:pStyle w:val="BodyText"/>
      <w:spacing w:line="14" w:lineRule="auto"/>
    </w:pPr>
    <w:r>
      <w:rPr>
        <w:noProof/>
      </w:rPr>
      <mc:AlternateContent>
        <mc:Choice Requires="wps">
          <w:drawing>
            <wp:anchor distT="0" distB="0" distL="0" distR="0" simplePos="0" relativeHeight="472852480" behindDoc="1" locked="0" layoutInCell="1" allowOverlap="1" wp14:anchorId="0D3E3CCA" wp14:editId="27AEC250">
              <wp:simplePos x="0" y="0"/>
              <wp:positionH relativeFrom="page">
                <wp:posOffset>3993225</wp:posOffset>
              </wp:positionH>
              <wp:positionV relativeFrom="page">
                <wp:posOffset>10339075</wp:posOffset>
              </wp:positionV>
              <wp:extent cx="3185795" cy="13208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A60150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30</w:t>
                          </w:r>
                          <w:r>
                            <w:rPr>
                              <w:b/>
                              <w:spacing w:val="-5"/>
                              <w:sz w:val="15"/>
                            </w:rPr>
                            <w:fldChar w:fldCharType="end"/>
                          </w:r>
                        </w:p>
                      </w:txbxContent>
                    </wps:txbx>
                    <wps:bodyPr wrap="square" lIns="0" tIns="0" rIns="0" bIns="0" rtlCol="0">
                      <a:noAutofit/>
                    </wps:bodyPr>
                  </wps:wsp>
                </a:graphicData>
              </a:graphic>
            </wp:anchor>
          </w:drawing>
        </mc:Choice>
        <mc:Fallback>
          <w:pict>
            <v:shapetype w14:anchorId="0D3E3CCA" id="_x0000_t202" coordsize="21600,21600" o:spt="202" path="m,l,21600r21600,l21600,xe">
              <v:stroke joinstyle="miter"/>
              <v:path gradientshapeok="t" o:connecttype="rect"/>
            </v:shapetype>
            <v:shape id="Textbox 277" o:spid="_x0000_s1070" type="#_x0000_t202" style="position:absolute;margin-left:314.45pt;margin-top:814.1pt;width:250.85pt;height:10.4pt;z-index:-304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2RmgEAACM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23DF8scY97aQnskMQPl2XB82cuoOeu/eTIsh38q4qnY&#10;noqY+jsoXyRr8vBpn8DYwuCCOzGgJAqx6dfkqP9cl67L3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AeH3ZGa&#10;AQAAIwMAAA4AAAAAAAAAAAAAAAAALgIAAGRycy9lMm9Eb2MueG1sUEsBAi0AFAAGAAgAAAAhALrt&#10;lTbhAAAADgEAAA8AAAAAAAAAAAAAAAAA9AMAAGRycy9kb3ducmV2LnhtbFBLBQYAAAAABAAEAPMA&#10;AAACBQAAAAA=&#10;" filled="f" stroked="f">
              <v:textbox inset="0,0,0,0">
                <w:txbxContent>
                  <w:p w14:paraId="4A60150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30</w:t>
                    </w:r>
                    <w:r>
                      <w:rPr>
                        <w:b/>
                        <w:spacing w:val="-5"/>
                        <w:sz w:val="1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47AD" w14:textId="77777777" w:rsidR="00AC6F3C" w:rsidRDefault="00570E88">
    <w:pPr>
      <w:pStyle w:val="BodyText"/>
      <w:spacing w:line="14" w:lineRule="auto"/>
    </w:pPr>
    <w:r>
      <w:rPr>
        <w:noProof/>
      </w:rPr>
      <mc:AlternateContent>
        <mc:Choice Requires="wps">
          <w:drawing>
            <wp:anchor distT="0" distB="0" distL="0" distR="0" simplePos="0" relativeHeight="472852992" behindDoc="1" locked="0" layoutInCell="1" allowOverlap="1" wp14:anchorId="766141FD" wp14:editId="0C2D7954">
              <wp:simplePos x="0" y="0"/>
              <wp:positionH relativeFrom="page">
                <wp:posOffset>3993225</wp:posOffset>
              </wp:positionH>
              <wp:positionV relativeFrom="page">
                <wp:posOffset>10339075</wp:posOffset>
              </wp:positionV>
              <wp:extent cx="3185795" cy="13208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AE8755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31</w:t>
                          </w:r>
                          <w:r>
                            <w:rPr>
                              <w:b/>
                              <w:spacing w:val="-5"/>
                              <w:sz w:val="15"/>
                            </w:rPr>
                            <w:fldChar w:fldCharType="end"/>
                          </w:r>
                        </w:p>
                      </w:txbxContent>
                    </wps:txbx>
                    <wps:bodyPr wrap="square" lIns="0" tIns="0" rIns="0" bIns="0" rtlCol="0">
                      <a:noAutofit/>
                    </wps:bodyPr>
                  </wps:wsp>
                </a:graphicData>
              </a:graphic>
            </wp:anchor>
          </w:drawing>
        </mc:Choice>
        <mc:Fallback>
          <w:pict>
            <v:shapetype w14:anchorId="766141FD" id="_x0000_t202" coordsize="21600,21600" o:spt="202" path="m,l,21600r21600,l21600,xe">
              <v:stroke joinstyle="miter"/>
              <v:path gradientshapeok="t" o:connecttype="rect"/>
            </v:shapetype>
            <v:shape id="Textbox 280" o:spid="_x0000_s1071" type="#_x0000_t202" style="position:absolute;margin-left:314.45pt;margin-top:814.1pt;width:250.85pt;height:10.4pt;z-index:-304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M7vKAOa&#10;AQAAIwMAAA4AAAAAAAAAAAAAAAAALgIAAGRycy9lMm9Eb2MueG1sUEsBAi0AFAAGAAgAAAAhALrt&#10;lTbhAAAADgEAAA8AAAAAAAAAAAAAAAAA9AMAAGRycy9kb3ducmV2LnhtbFBLBQYAAAAABAAEAPMA&#10;AAACBQAAAAA=&#10;" filled="f" stroked="f">
              <v:textbox inset="0,0,0,0">
                <w:txbxContent>
                  <w:p w14:paraId="2AE8755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31</w:t>
                    </w:r>
                    <w:r>
                      <w:rPr>
                        <w:b/>
                        <w:spacing w:val="-5"/>
                        <w:sz w:val="1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9D9F" w14:textId="77777777" w:rsidR="00AC6F3C" w:rsidRDefault="00570E88">
    <w:pPr>
      <w:pStyle w:val="BodyText"/>
      <w:spacing w:line="14" w:lineRule="auto"/>
    </w:pPr>
    <w:r>
      <w:rPr>
        <w:noProof/>
      </w:rPr>
      <mc:AlternateContent>
        <mc:Choice Requires="wps">
          <w:drawing>
            <wp:anchor distT="0" distB="0" distL="0" distR="0" simplePos="0" relativeHeight="472853504" behindDoc="1" locked="0" layoutInCell="1" allowOverlap="1" wp14:anchorId="47944D14" wp14:editId="1F5DCFA2">
              <wp:simplePos x="0" y="0"/>
              <wp:positionH relativeFrom="page">
                <wp:posOffset>3993225</wp:posOffset>
              </wp:positionH>
              <wp:positionV relativeFrom="page">
                <wp:posOffset>10339075</wp:posOffset>
              </wp:positionV>
              <wp:extent cx="3185795" cy="13208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F67D5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32</w:t>
                          </w:r>
                          <w:r>
                            <w:rPr>
                              <w:b/>
                              <w:spacing w:val="-5"/>
                              <w:sz w:val="15"/>
                            </w:rPr>
                            <w:fldChar w:fldCharType="end"/>
                          </w:r>
                        </w:p>
                      </w:txbxContent>
                    </wps:txbx>
                    <wps:bodyPr wrap="square" lIns="0" tIns="0" rIns="0" bIns="0" rtlCol="0">
                      <a:noAutofit/>
                    </wps:bodyPr>
                  </wps:wsp>
                </a:graphicData>
              </a:graphic>
            </wp:anchor>
          </w:drawing>
        </mc:Choice>
        <mc:Fallback>
          <w:pict>
            <v:shapetype w14:anchorId="47944D14" id="_x0000_t202" coordsize="21600,21600" o:spt="202" path="m,l,21600r21600,l21600,xe">
              <v:stroke joinstyle="miter"/>
              <v:path gradientshapeok="t" o:connecttype="rect"/>
            </v:shapetype>
            <v:shape id="Textbox 281" o:spid="_x0000_s1072" type="#_x0000_t202" style="position:absolute;margin-left:314.45pt;margin-top:814.1pt;width:250.85pt;height:10.4pt;z-index:-304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RymgEAACM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W69u7N7dSaD5b3qzqdTG8ut6OSOmjAS9y&#10;0UrkvAoDdXyklN9XzbllJvP8fmaSpt0kXNfK1V2OMW/toDuxmJHzbCX9PCg0UgyfAhuWwz8XeC52&#10;5wLT8B7KF8maArw9JLCu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Ik3hHKa&#10;AQAAIwMAAA4AAAAAAAAAAAAAAAAALgIAAGRycy9lMm9Eb2MueG1sUEsBAi0AFAAGAAgAAAAhALrt&#10;lTbhAAAADgEAAA8AAAAAAAAAAAAAAAAA9AMAAGRycy9kb3ducmV2LnhtbFBLBQYAAAAABAAEAPMA&#10;AAACBQAAAAA=&#10;" filled="f" stroked="f">
              <v:textbox inset="0,0,0,0">
                <w:txbxContent>
                  <w:p w14:paraId="4F67D5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32</w:t>
                    </w:r>
                    <w:r>
                      <w:rPr>
                        <w:b/>
                        <w:spacing w:val="-5"/>
                        <w:sz w:val="1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F5C1" w14:textId="77777777" w:rsidR="00AC6F3C" w:rsidRDefault="00570E88">
    <w:pPr>
      <w:pStyle w:val="BodyText"/>
      <w:spacing w:line="14" w:lineRule="auto"/>
    </w:pPr>
    <w:r>
      <w:rPr>
        <w:noProof/>
      </w:rPr>
      <mc:AlternateContent>
        <mc:Choice Requires="wps">
          <w:drawing>
            <wp:anchor distT="0" distB="0" distL="0" distR="0" simplePos="0" relativeHeight="472854016" behindDoc="1" locked="0" layoutInCell="1" allowOverlap="1" wp14:anchorId="6CF34BBF" wp14:editId="4CADCCAE">
              <wp:simplePos x="0" y="0"/>
              <wp:positionH relativeFrom="page">
                <wp:posOffset>3993225</wp:posOffset>
              </wp:positionH>
              <wp:positionV relativeFrom="page">
                <wp:posOffset>10339075</wp:posOffset>
              </wp:positionV>
              <wp:extent cx="3185795" cy="13208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DF6A9E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33</w:t>
                          </w:r>
                          <w:r>
                            <w:rPr>
                              <w:b/>
                              <w:spacing w:val="-5"/>
                              <w:sz w:val="15"/>
                            </w:rPr>
                            <w:fldChar w:fldCharType="end"/>
                          </w:r>
                        </w:p>
                      </w:txbxContent>
                    </wps:txbx>
                    <wps:bodyPr wrap="square" lIns="0" tIns="0" rIns="0" bIns="0" rtlCol="0">
                      <a:noAutofit/>
                    </wps:bodyPr>
                  </wps:wsp>
                </a:graphicData>
              </a:graphic>
            </wp:anchor>
          </w:drawing>
        </mc:Choice>
        <mc:Fallback>
          <w:pict>
            <v:shapetype w14:anchorId="6CF34BBF" id="_x0000_t202" coordsize="21600,21600" o:spt="202" path="m,l,21600r21600,l21600,xe">
              <v:stroke joinstyle="miter"/>
              <v:path gradientshapeok="t" o:connecttype="rect"/>
            </v:shapetype>
            <v:shape id="Textbox 282" o:spid="_x0000_s1073" type="#_x0000_t202" style="position:absolute;margin-left:314.45pt;margin-top:814.1pt;width:250.85pt;height:10.4pt;z-index:-304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fGmgEAACM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NfK1TrHmLd20J1YzMh5tpJ+HhQaKYbPgQ3L4Z8LPBe7&#10;c4Fp+ADli2RNAd4dElhXGFxxZwacRCE2/5oc9e/r0nX929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Kf2N8aa&#10;AQAAIwMAAA4AAAAAAAAAAAAAAAAALgIAAGRycy9lMm9Eb2MueG1sUEsBAi0AFAAGAAgAAAAhALrt&#10;lTbhAAAADgEAAA8AAAAAAAAAAAAAAAAA9AMAAGRycy9kb3ducmV2LnhtbFBLBQYAAAAABAAEAPMA&#10;AAACBQAAAAA=&#10;" filled="f" stroked="f">
              <v:textbox inset="0,0,0,0">
                <w:txbxContent>
                  <w:p w14:paraId="2DF6A9E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33</w:t>
                    </w:r>
                    <w:r>
                      <w:rPr>
                        <w:b/>
                        <w:spacing w:val="-5"/>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A89D" w14:textId="77777777" w:rsidR="00AC6F3C" w:rsidRDefault="00570E88">
    <w:pPr>
      <w:pStyle w:val="BodyText"/>
      <w:spacing w:line="14" w:lineRule="auto"/>
    </w:pPr>
    <w:r>
      <w:rPr>
        <w:noProof/>
      </w:rPr>
      <mc:AlternateContent>
        <mc:Choice Requires="wps">
          <w:drawing>
            <wp:anchor distT="0" distB="0" distL="0" distR="0" simplePos="0" relativeHeight="472835584" behindDoc="1" locked="0" layoutInCell="1" allowOverlap="1" wp14:anchorId="6036AA41" wp14:editId="2C2E6F42">
              <wp:simplePos x="0" y="0"/>
              <wp:positionH relativeFrom="page">
                <wp:posOffset>4046198</wp:posOffset>
              </wp:positionH>
              <wp:positionV relativeFrom="page">
                <wp:posOffset>10339075</wp:posOffset>
              </wp:positionV>
              <wp:extent cx="3133090" cy="13208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132080"/>
                      </a:xfrm>
                      <a:prstGeom prst="rect">
                        <a:avLst/>
                      </a:prstGeom>
                    </wps:spPr>
                    <wps:txbx>
                      <w:txbxContent>
                        <w:p w14:paraId="4F79B90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5</w:t>
                          </w:r>
                          <w:r>
                            <w:rPr>
                              <w:b/>
                              <w:spacing w:val="-10"/>
                              <w:sz w:val="15"/>
                            </w:rPr>
                            <w:fldChar w:fldCharType="end"/>
                          </w:r>
                        </w:p>
                      </w:txbxContent>
                    </wps:txbx>
                    <wps:bodyPr wrap="square" lIns="0" tIns="0" rIns="0" bIns="0" rtlCol="0">
                      <a:noAutofit/>
                    </wps:bodyPr>
                  </wps:wsp>
                </a:graphicData>
              </a:graphic>
            </wp:anchor>
          </w:drawing>
        </mc:Choice>
        <mc:Fallback>
          <w:pict>
            <v:shapetype w14:anchorId="6036AA41" id="_x0000_t202" coordsize="21600,21600" o:spt="202" path="m,l,21600r21600,l21600,xe">
              <v:stroke joinstyle="miter"/>
              <v:path gradientshapeok="t" o:connecttype="rect"/>
            </v:shapetype>
            <v:shape id="Textbox 16" o:spid="_x0000_s1047" type="#_x0000_t202" style="position:absolute;margin-left:318.6pt;margin-top:814.1pt;width:246.7pt;height:10.4pt;z-index:-304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" filled="f" stroked="f">
              <v:textbox inset="0,0,0,0">
                <w:txbxContent>
                  <w:p w14:paraId="4F79B90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5</w:t>
                    </w:r>
                    <w:r>
                      <w:rPr>
                        <w:b/>
                        <w:spacing w:val="-10"/>
                        <w:sz w:val="1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03F" w14:textId="77777777" w:rsidR="00AC6F3C" w:rsidRDefault="00570E88">
    <w:pPr>
      <w:pStyle w:val="BodyText"/>
      <w:spacing w:line="14" w:lineRule="auto"/>
    </w:pPr>
    <w:r>
      <w:rPr>
        <w:noProof/>
      </w:rPr>
      <mc:AlternateContent>
        <mc:Choice Requires="wps">
          <w:drawing>
            <wp:anchor distT="0" distB="0" distL="0" distR="0" simplePos="0" relativeHeight="472854528" behindDoc="1" locked="0" layoutInCell="1" allowOverlap="1" wp14:anchorId="42921770" wp14:editId="7999F090">
              <wp:simplePos x="0" y="0"/>
              <wp:positionH relativeFrom="page">
                <wp:posOffset>3993225</wp:posOffset>
              </wp:positionH>
              <wp:positionV relativeFrom="page">
                <wp:posOffset>10339075</wp:posOffset>
              </wp:positionV>
              <wp:extent cx="3185795" cy="13208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D73786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34</w:t>
                          </w:r>
                          <w:r>
                            <w:rPr>
                              <w:b/>
                              <w:spacing w:val="-5"/>
                              <w:sz w:val="15"/>
                            </w:rPr>
                            <w:fldChar w:fldCharType="end"/>
                          </w:r>
                        </w:p>
                      </w:txbxContent>
                    </wps:txbx>
                    <wps:bodyPr wrap="square" lIns="0" tIns="0" rIns="0" bIns="0" rtlCol="0">
                      <a:noAutofit/>
                    </wps:bodyPr>
                  </wps:wsp>
                </a:graphicData>
              </a:graphic>
            </wp:anchor>
          </w:drawing>
        </mc:Choice>
        <mc:Fallback>
          <w:pict>
            <v:shapetype w14:anchorId="42921770" id="_x0000_t202" coordsize="21600,21600" o:spt="202" path="m,l,21600r21600,l21600,xe">
              <v:stroke joinstyle="miter"/>
              <v:path gradientshapeok="t" o:connecttype="rect"/>
            </v:shapetype>
            <v:shape id="Textbox 283" o:spid="_x0000_s1074" type="#_x0000_t202" style="position:absolute;margin-left:314.45pt;margin-top:814.1pt;width:250.85pt;height:10.4pt;z-index:-304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u3mgEAACM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zfL9e2bu1spDJ8tb1bVuhiurrcjUvpowYtc&#10;NBI5r8JAHx8p5fd1fW6ZyTy/n5mkaTeJvm3k6i7HmLd20J5YzMh5NpJ+HjRaKYZPgQ3L4Z8LPBe7&#10;c4FpeA/li2RNAd4eEri+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OAum7ea&#10;AQAAIwMAAA4AAAAAAAAAAAAAAAAALgIAAGRycy9lMm9Eb2MueG1sUEsBAi0AFAAGAAgAAAAhALrt&#10;lTbhAAAADgEAAA8AAAAAAAAAAAAAAAAA9AMAAGRycy9kb3ducmV2LnhtbFBLBQYAAAAABAAEAPMA&#10;AAACBQAAAAA=&#10;" filled="f" stroked="f">
              <v:textbox inset="0,0,0,0">
                <w:txbxContent>
                  <w:p w14:paraId="2D73786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34</w:t>
                    </w:r>
                    <w:r>
                      <w:rPr>
                        <w:b/>
                        <w:spacing w:val="-5"/>
                        <w:sz w:val="1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EEC4" w14:textId="77777777" w:rsidR="00AC6F3C" w:rsidRDefault="00570E88">
    <w:pPr>
      <w:pStyle w:val="BodyText"/>
      <w:spacing w:line="14" w:lineRule="auto"/>
    </w:pPr>
    <w:r>
      <w:rPr>
        <w:noProof/>
      </w:rPr>
      <mc:AlternateContent>
        <mc:Choice Requires="wps">
          <w:drawing>
            <wp:anchor distT="0" distB="0" distL="0" distR="0" simplePos="0" relativeHeight="472855040" behindDoc="1" locked="0" layoutInCell="1" allowOverlap="1" wp14:anchorId="21AEAC17" wp14:editId="450CB7DC">
              <wp:simplePos x="0" y="0"/>
              <wp:positionH relativeFrom="page">
                <wp:posOffset>3993225</wp:posOffset>
              </wp:positionH>
              <wp:positionV relativeFrom="page">
                <wp:posOffset>10339075</wp:posOffset>
              </wp:positionV>
              <wp:extent cx="3185795" cy="13208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1CFC44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35</w:t>
                          </w:r>
                          <w:r>
                            <w:rPr>
                              <w:b/>
                              <w:spacing w:val="-5"/>
                              <w:sz w:val="15"/>
                            </w:rPr>
                            <w:fldChar w:fldCharType="end"/>
                          </w:r>
                        </w:p>
                      </w:txbxContent>
                    </wps:txbx>
                    <wps:bodyPr wrap="square" lIns="0" tIns="0" rIns="0" bIns="0" rtlCol="0">
                      <a:noAutofit/>
                    </wps:bodyPr>
                  </wps:wsp>
                </a:graphicData>
              </a:graphic>
            </wp:anchor>
          </w:drawing>
        </mc:Choice>
        <mc:Fallback>
          <w:pict>
            <v:shapetype w14:anchorId="21AEAC17" id="_x0000_t202" coordsize="21600,21600" o:spt="202" path="m,l,21600r21600,l21600,xe">
              <v:stroke joinstyle="miter"/>
              <v:path gradientshapeok="t" o:connecttype="rect"/>
            </v:shapetype>
            <v:shape id="Textbox 284" o:spid="_x0000_s1075" type="#_x0000_t202" style="position:absolute;margin-left:314.45pt;margin-top:814.1pt;width:250.85pt;height:10.4pt;z-index:-304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9kB6FZkB&#10;AAAjAwAADgAAAAAAAAAAAAAAAAAuAgAAZHJzL2Uyb0RvYy54bWxQSwECLQAUAAYACAAAACEAuu2V&#10;NuEAAAAOAQAADwAAAAAAAAAAAAAAAADzAwAAZHJzL2Rvd25yZXYueG1sUEsFBgAAAAAEAAQA8wAA&#10;AAEFAAAAAA==&#10;" filled="f" stroked="f">
              <v:textbox inset="0,0,0,0">
                <w:txbxContent>
                  <w:p w14:paraId="11CFC44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35</w:t>
                    </w:r>
                    <w:r>
                      <w:rPr>
                        <w:b/>
                        <w:spacing w:val="-5"/>
                        <w:sz w:val="1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6FE2" w14:textId="77777777" w:rsidR="00AC6F3C" w:rsidRDefault="00570E88">
    <w:pPr>
      <w:pStyle w:val="BodyText"/>
      <w:spacing w:line="14" w:lineRule="auto"/>
    </w:pPr>
    <w:r>
      <w:rPr>
        <w:noProof/>
      </w:rPr>
      <mc:AlternateContent>
        <mc:Choice Requires="wps">
          <w:drawing>
            <wp:anchor distT="0" distB="0" distL="0" distR="0" simplePos="0" relativeHeight="472855552" behindDoc="1" locked="0" layoutInCell="1" allowOverlap="1" wp14:anchorId="13F65408" wp14:editId="6C0279F7">
              <wp:simplePos x="0" y="0"/>
              <wp:positionH relativeFrom="page">
                <wp:posOffset>3993225</wp:posOffset>
              </wp:positionH>
              <wp:positionV relativeFrom="page">
                <wp:posOffset>10339075</wp:posOffset>
              </wp:positionV>
              <wp:extent cx="3185795" cy="13208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F406D9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36</w:t>
                          </w:r>
                          <w:r>
                            <w:rPr>
                              <w:b/>
                              <w:spacing w:val="-5"/>
                              <w:sz w:val="15"/>
                            </w:rPr>
                            <w:fldChar w:fldCharType="end"/>
                          </w:r>
                        </w:p>
                      </w:txbxContent>
                    </wps:txbx>
                    <wps:bodyPr wrap="square" lIns="0" tIns="0" rIns="0" bIns="0" rtlCol="0">
                      <a:noAutofit/>
                    </wps:bodyPr>
                  </wps:wsp>
                </a:graphicData>
              </a:graphic>
            </wp:anchor>
          </w:drawing>
        </mc:Choice>
        <mc:Fallback>
          <w:pict>
            <v:shapetype w14:anchorId="13F65408" id="_x0000_t202" coordsize="21600,21600" o:spt="202" path="m,l,21600r21600,l21600,xe">
              <v:stroke joinstyle="miter"/>
              <v:path gradientshapeok="t" o:connecttype="rect"/>
            </v:shapetype>
            <v:shape id="Textbox 285" o:spid="_x0000_s1076" type="#_x0000_t202" style="position:absolute;margin-left:314.45pt;margin-top:814.1pt;width:250.85pt;height:10.4pt;z-index:-304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sZjWZJkB&#10;AAAjAwAADgAAAAAAAAAAAAAAAAAuAgAAZHJzL2Uyb0RvYy54bWxQSwECLQAUAAYACAAAACEAuu2V&#10;NuEAAAAOAQAADwAAAAAAAAAAAAAAAADzAwAAZHJzL2Rvd25yZXYueG1sUEsFBgAAAAAEAAQA8wAA&#10;AAEFAAAAAA==&#10;" filled="f" stroked="f">
              <v:textbox inset="0,0,0,0">
                <w:txbxContent>
                  <w:p w14:paraId="7F406D9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36</w:t>
                    </w:r>
                    <w:r>
                      <w:rPr>
                        <w:b/>
                        <w:spacing w:val="-5"/>
                        <w:sz w:val="1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5DF5" w14:textId="77777777" w:rsidR="00AC6F3C" w:rsidRDefault="00570E88">
    <w:pPr>
      <w:pStyle w:val="BodyText"/>
      <w:spacing w:line="14" w:lineRule="auto"/>
    </w:pPr>
    <w:r>
      <w:rPr>
        <w:noProof/>
      </w:rPr>
      <mc:AlternateContent>
        <mc:Choice Requires="wps">
          <w:drawing>
            <wp:anchor distT="0" distB="0" distL="0" distR="0" simplePos="0" relativeHeight="472856064" behindDoc="1" locked="0" layoutInCell="1" allowOverlap="1" wp14:anchorId="360DE860" wp14:editId="4E98773A">
              <wp:simplePos x="0" y="0"/>
              <wp:positionH relativeFrom="page">
                <wp:posOffset>3993225</wp:posOffset>
              </wp:positionH>
              <wp:positionV relativeFrom="page">
                <wp:posOffset>10339075</wp:posOffset>
              </wp:positionV>
              <wp:extent cx="3185795" cy="13208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130AE8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37</w:t>
                          </w:r>
                          <w:r>
                            <w:rPr>
                              <w:b/>
                              <w:spacing w:val="-5"/>
                              <w:sz w:val="15"/>
                            </w:rPr>
                            <w:fldChar w:fldCharType="end"/>
                          </w:r>
                        </w:p>
                      </w:txbxContent>
                    </wps:txbx>
                    <wps:bodyPr wrap="square" lIns="0" tIns="0" rIns="0" bIns="0" rtlCol="0">
                      <a:noAutofit/>
                    </wps:bodyPr>
                  </wps:wsp>
                </a:graphicData>
              </a:graphic>
            </wp:anchor>
          </w:drawing>
        </mc:Choice>
        <mc:Fallback>
          <w:pict>
            <v:shapetype w14:anchorId="360DE860" id="_x0000_t202" coordsize="21600,21600" o:spt="202" path="m,l,21600r21600,l21600,xe">
              <v:stroke joinstyle="miter"/>
              <v:path gradientshapeok="t" o:connecttype="rect"/>
            </v:shapetype>
            <v:shape id="Textbox 286" o:spid="_x0000_s1077" type="#_x0000_t202" style="position:absolute;margin-left:314.45pt;margin-top:814.1pt;width:250.85pt;height:10.4pt;z-index:-304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ePAj9pkB&#10;AAAjAwAADgAAAAAAAAAAAAAAAAAuAgAAZHJzL2Uyb0RvYy54bWxQSwECLQAUAAYACAAAACEAuu2V&#10;NuEAAAAOAQAADwAAAAAAAAAAAAAAAADzAwAAZHJzL2Rvd25yZXYueG1sUEsFBgAAAAAEAAQA8wAA&#10;AAEFAAAAAA==&#10;" filled="f" stroked="f">
              <v:textbox inset="0,0,0,0">
                <w:txbxContent>
                  <w:p w14:paraId="7130AE8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37</w:t>
                    </w:r>
                    <w:r>
                      <w:rPr>
                        <w:b/>
                        <w:spacing w:val="-5"/>
                        <w:sz w:val="1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9ACA" w14:textId="77777777" w:rsidR="00AC6F3C" w:rsidRDefault="00570E88">
    <w:pPr>
      <w:pStyle w:val="BodyText"/>
      <w:spacing w:line="14" w:lineRule="auto"/>
    </w:pPr>
    <w:r>
      <w:rPr>
        <w:noProof/>
      </w:rPr>
      <mc:AlternateContent>
        <mc:Choice Requires="wps">
          <w:drawing>
            <wp:anchor distT="0" distB="0" distL="0" distR="0" simplePos="0" relativeHeight="472856576" behindDoc="1" locked="0" layoutInCell="1" allowOverlap="1" wp14:anchorId="4A22C96E" wp14:editId="3396673D">
              <wp:simplePos x="0" y="0"/>
              <wp:positionH relativeFrom="page">
                <wp:posOffset>3993225</wp:posOffset>
              </wp:positionH>
              <wp:positionV relativeFrom="page">
                <wp:posOffset>10339075</wp:posOffset>
              </wp:positionV>
              <wp:extent cx="3185795" cy="13208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30FD84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38</w:t>
                          </w:r>
                          <w:r>
                            <w:rPr>
                              <w:b/>
                              <w:spacing w:val="-5"/>
                              <w:sz w:val="15"/>
                            </w:rPr>
                            <w:fldChar w:fldCharType="end"/>
                          </w:r>
                        </w:p>
                      </w:txbxContent>
                    </wps:txbx>
                    <wps:bodyPr wrap="square" lIns="0" tIns="0" rIns="0" bIns="0" rtlCol="0">
                      <a:noAutofit/>
                    </wps:bodyPr>
                  </wps:wsp>
                </a:graphicData>
              </a:graphic>
            </wp:anchor>
          </w:drawing>
        </mc:Choice>
        <mc:Fallback>
          <w:pict>
            <v:shapetype w14:anchorId="4A22C96E" id="_x0000_t202" coordsize="21600,21600" o:spt="202" path="m,l,21600r21600,l21600,xe">
              <v:stroke joinstyle="miter"/>
              <v:path gradientshapeok="t" o:connecttype="rect"/>
            </v:shapetype>
            <v:shape id="Textbox 287" o:spid="_x0000_s1078" type="#_x0000_t202" style="position:absolute;margin-left:314.45pt;margin-top:814.1pt;width:250.85pt;height:10.4pt;z-index:-304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D8oj4ea&#10;AQAAIwMAAA4AAAAAAAAAAAAAAAAALgIAAGRycy9lMm9Eb2MueG1sUEsBAi0AFAAGAAgAAAAhALrt&#10;lTbhAAAADgEAAA8AAAAAAAAAAAAAAAAA9AMAAGRycy9kb3ducmV2LnhtbFBLBQYAAAAABAAEAPMA&#10;AAACBQAAAAA=&#10;" filled="f" stroked="f">
              <v:textbox inset="0,0,0,0">
                <w:txbxContent>
                  <w:p w14:paraId="030FD84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38</w:t>
                    </w:r>
                    <w:r>
                      <w:rPr>
                        <w:b/>
                        <w:spacing w:val="-5"/>
                        <w:sz w:val="1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72E5" w14:textId="77777777" w:rsidR="00AC6F3C" w:rsidRDefault="00570E88">
    <w:pPr>
      <w:pStyle w:val="BodyText"/>
      <w:spacing w:line="14" w:lineRule="auto"/>
    </w:pPr>
    <w:r>
      <w:rPr>
        <w:noProof/>
      </w:rPr>
      <mc:AlternateContent>
        <mc:Choice Requires="wps">
          <w:drawing>
            <wp:anchor distT="0" distB="0" distL="0" distR="0" simplePos="0" relativeHeight="472857088" behindDoc="1" locked="0" layoutInCell="1" allowOverlap="1" wp14:anchorId="2C0366AE" wp14:editId="1986DAAF">
              <wp:simplePos x="0" y="0"/>
              <wp:positionH relativeFrom="page">
                <wp:posOffset>3993225</wp:posOffset>
              </wp:positionH>
              <wp:positionV relativeFrom="page">
                <wp:posOffset>10339075</wp:posOffset>
              </wp:positionV>
              <wp:extent cx="3185795" cy="13208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CE5D9D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39</w:t>
                          </w:r>
                          <w:r>
                            <w:rPr>
                              <w:b/>
                              <w:spacing w:val="-5"/>
                              <w:sz w:val="15"/>
                            </w:rPr>
                            <w:fldChar w:fldCharType="end"/>
                          </w:r>
                        </w:p>
                      </w:txbxContent>
                    </wps:txbx>
                    <wps:bodyPr wrap="square" lIns="0" tIns="0" rIns="0" bIns="0" rtlCol="0">
                      <a:noAutofit/>
                    </wps:bodyPr>
                  </wps:wsp>
                </a:graphicData>
              </a:graphic>
            </wp:anchor>
          </w:drawing>
        </mc:Choice>
        <mc:Fallback>
          <w:pict>
            <v:shapetype w14:anchorId="2C0366AE" id="_x0000_t202" coordsize="21600,21600" o:spt="202" path="m,l,21600r21600,l21600,xe">
              <v:stroke joinstyle="miter"/>
              <v:path gradientshapeok="t" o:connecttype="rect"/>
            </v:shapetype>
            <v:shape id="Textbox 288" o:spid="_x0000_s1079" type="#_x0000_t202" style="position:absolute;margin-left:314.45pt;margin-top:814.1pt;width:250.85pt;height:10.4pt;z-index:-304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qye4CJkB&#10;AAAjAwAADgAAAAAAAAAAAAAAAAAuAgAAZHJzL2Uyb0RvYy54bWxQSwECLQAUAAYACAAAACEAuu2V&#10;NuEAAAAOAQAADwAAAAAAAAAAAAAAAADzAwAAZHJzL2Rvd25yZXYueG1sUEsFBgAAAAAEAAQA8wAA&#10;AAEFAAAAAA==&#10;" filled="f" stroked="f">
              <v:textbox inset="0,0,0,0">
                <w:txbxContent>
                  <w:p w14:paraId="4CE5D9D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39</w:t>
                    </w:r>
                    <w:r>
                      <w:rPr>
                        <w:b/>
                        <w:spacing w:val="-5"/>
                        <w:sz w:val="1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AA65" w14:textId="77777777" w:rsidR="00AC6F3C" w:rsidRDefault="00570E88">
    <w:pPr>
      <w:pStyle w:val="BodyText"/>
      <w:spacing w:line="14" w:lineRule="auto"/>
    </w:pPr>
    <w:r>
      <w:rPr>
        <w:noProof/>
      </w:rPr>
      <mc:AlternateContent>
        <mc:Choice Requires="wps">
          <w:drawing>
            <wp:anchor distT="0" distB="0" distL="0" distR="0" simplePos="0" relativeHeight="472858112" behindDoc="1" locked="0" layoutInCell="1" allowOverlap="1" wp14:anchorId="40E1F342" wp14:editId="373E0FE8">
              <wp:simplePos x="0" y="0"/>
              <wp:positionH relativeFrom="page">
                <wp:posOffset>3993225</wp:posOffset>
              </wp:positionH>
              <wp:positionV relativeFrom="page">
                <wp:posOffset>10339075</wp:posOffset>
              </wp:positionV>
              <wp:extent cx="3185795" cy="13208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5B92693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40</w:t>
                          </w:r>
                          <w:r>
                            <w:rPr>
                              <w:b/>
                              <w:spacing w:val="-5"/>
                              <w:sz w:val="15"/>
                            </w:rPr>
                            <w:fldChar w:fldCharType="end"/>
                          </w:r>
                        </w:p>
                      </w:txbxContent>
                    </wps:txbx>
                    <wps:bodyPr wrap="square" lIns="0" tIns="0" rIns="0" bIns="0" rtlCol="0">
                      <a:noAutofit/>
                    </wps:bodyPr>
                  </wps:wsp>
                </a:graphicData>
              </a:graphic>
            </wp:anchor>
          </w:drawing>
        </mc:Choice>
        <mc:Fallback>
          <w:pict>
            <v:shapetype w14:anchorId="40E1F342" id="_x0000_t202" coordsize="21600,21600" o:spt="202" path="m,l,21600r21600,l21600,xe">
              <v:stroke joinstyle="miter"/>
              <v:path gradientshapeok="t" o:connecttype="rect"/>
            </v:shapetype>
            <v:shape id="Textbox 290" o:spid="_x0000_s1081" type="#_x0000_t202" style="position:absolute;margin-left:314.45pt;margin-top:814.1pt;width:250.85pt;height:10.4pt;z-index:-304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WX4eua&#10;AQAAIwMAAA4AAAAAAAAAAAAAAAAALgIAAGRycy9lMm9Eb2MueG1sUEsBAi0AFAAGAAgAAAAhALrt&#10;lTbhAAAADgEAAA8AAAAAAAAAAAAAAAAA9AMAAGRycy9kb3ducmV2LnhtbFBLBQYAAAAABAAEAPMA&#10;AAACBQAAAAA=&#10;" filled="f" stroked="f">
              <v:textbox inset="0,0,0,0">
                <w:txbxContent>
                  <w:p w14:paraId="5B92693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40</w:t>
                    </w:r>
                    <w:r>
                      <w:rPr>
                        <w:b/>
                        <w:spacing w:val="-5"/>
                        <w:sz w:val="1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195B" w14:textId="77777777" w:rsidR="00AC6F3C" w:rsidRDefault="00570E88">
    <w:pPr>
      <w:pStyle w:val="BodyText"/>
      <w:spacing w:line="14" w:lineRule="auto"/>
    </w:pPr>
    <w:r>
      <w:rPr>
        <w:noProof/>
      </w:rPr>
      <mc:AlternateContent>
        <mc:Choice Requires="wps">
          <w:drawing>
            <wp:anchor distT="0" distB="0" distL="0" distR="0" simplePos="0" relativeHeight="472859136" behindDoc="1" locked="0" layoutInCell="1" allowOverlap="1" wp14:anchorId="729D42F6" wp14:editId="161EC60A">
              <wp:simplePos x="0" y="0"/>
              <wp:positionH relativeFrom="page">
                <wp:posOffset>3993225</wp:posOffset>
              </wp:positionH>
              <wp:positionV relativeFrom="page">
                <wp:posOffset>10339075</wp:posOffset>
              </wp:positionV>
              <wp:extent cx="3185795" cy="13208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C2AEAE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41</w:t>
                          </w:r>
                          <w:r>
                            <w:rPr>
                              <w:b/>
                              <w:spacing w:val="-5"/>
                              <w:sz w:val="15"/>
                            </w:rPr>
                            <w:fldChar w:fldCharType="end"/>
                          </w:r>
                        </w:p>
                      </w:txbxContent>
                    </wps:txbx>
                    <wps:bodyPr wrap="square" lIns="0" tIns="0" rIns="0" bIns="0" rtlCol="0">
                      <a:noAutofit/>
                    </wps:bodyPr>
                  </wps:wsp>
                </a:graphicData>
              </a:graphic>
            </wp:anchor>
          </w:drawing>
        </mc:Choice>
        <mc:Fallback>
          <w:pict>
            <v:shapetype w14:anchorId="729D42F6" id="_x0000_t202" coordsize="21600,21600" o:spt="202" path="m,l,21600r21600,l21600,xe">
              <v:stroke joinstyle="miter"/>
              <v:path gradientshapeok="t" o:connecttype="rect"/>
            </v:shapetype>
            <v:shape id="Textbox 292" o:spid="_x0000_s1083" type="#_x0000_t202" style="position:absolute;margin-left:314.45pt;margin-top:814.1pt;width:250.85pt;height:10.4pt;z-index:-304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TI7+LpkB&#10;AAAjAwAADgAAAAAAAAAAAAAAAAAuAgAAZHJzL2Uyb0RvYy54bWxQSwECLQAUAAYACAAAACEAuu2V&#10;NuEAAAAOAQAADwAAAAAAAAAAAAAAAADzAwAAZHJzL2Rvd25yZXYueG1sUEsFBgAAAAAEAAQA8wAA&#10;AAEFAAAAAA==&#10;" filled="f" stroked="f">
              <v:textbox inset="0,0,0,0">
                <w:txbxContent>
                  <w:p w14:paraId="2C2AEAE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41</w:t>
                    </w:r>
                    <w:r>
                      <w:rPr>
                        <w:b/>
                        <w:spacing w:val="-5"/>
                        <w:sz w:val="1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A422" w14:textId="77777777" w:rsidR="00AC6F3C" w:rsidRDefault="00570E88">
    <w:pPr>
      <w:pStyle w:val="BodyText"/>
      <w:spacing w:line="14" w:lineRule="auto"/>
    </w:pPr>
    <w:r>
      <w:rPr>
        <w:noProof/>
      </w:rPr>
      <mc:AlternateContent>
        <mc:Choice Requires="wps">
          <w:drawing>
            <wp:anchor distT="0" distB="0" distL="0" distR="0" simplePos="0" relativeHeight="472860160" behindDoc="1" locked="0" layoutInCell="1" allowOverlap="1" wp14:anchorId="4D0C9BE5" wp14:editId="77C57EBF">
              <wp:simplePos x="0" y="0"/>
              <wp:positionH relativeFrom="page">
                <wp:posOffset>3993225</wp:posOffset>
              </wp:positionH>
              <wp:positionV relativeFrom="page">
                <wp:posOffset>10339075</wp:posOffset>
              </wp:positionV>
              <wp:extent cx="3185795" cy="13208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7896D6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42</w:t>
                          </w:r>
                          <w:r>
                            <w:rPr>
                              <w:b/>
                              <w:spacing w:val="-5"/>
                              <w:sz w:val="15"/>
                            </w:rPr>
                            <w:fldChar w:fldCharType="end"/>
                          </w:r>
                        </w:p>
                      </w:txbxContent>
                    </wps:txbx>
                    <wps:bodyPr wrap="square" lIns="0" tIns="0" rIns="0" bIns="0" rtlCol="0">
                      <a:noAutofit/>
                    </wps:bodyPr>
                  </wps:wsp>
                </a:graphicData>
              </a:graphic>
            </wp:anchor>
          </w:drawing>
        </mc:Choice>
        <mc:Fallback>
          <w:pict>
            <v:shapetype w14:anchorId="4D0C9BE5" id="_x0000_t202" coordsize="21600,21600" o:spt="202" path="m,l,21600r21600,l21600,xe">
              <v:stroke joinstyle="miter"/>
              <v:path gradientshapeok="t" o:connecttype="rect"/>
            </v:shapetype>
            <v:shape id="Textbox 294" o:spid="_x0000_s1085" type="#_x0000_t202" style="position:absolute;margin-left:314.45pt;margin-top:814.1pt;width:250.85pt;height:10.4pt;z-index:-304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KQgl+Ka&#10;AQAAIwMAAA4AAAAAAAAAAAAAAAAALgIAAGRycy9lMm9Eb2MueG1sUEsBAi0AFAAGAAgAAAAhALrt&#10;lTbhAAAADgEAAA8AAAAAAAAAAAAAAAAA9AMAAGRycy9kb3ducmV2LnhtbFBLBQYAAAAABAAEAPMA&#10;AAACBQAAAAA=&#10;" filled="f" stroked="f">
              <v:textbox inset="0,0,0,0">
                <w:txbxContent>
                  <w:p w14:paraId="17896D6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42</w:t>
                    </w:r>
                    <w:r>
                      <w:rPr>
                        <w:b/>
                        <w:spacing w:val="-5"/>
                        <w:sz w:val="1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5190" w14:textId="77777777" w:rsidR="00AC6F3C" w:rsidRDefault="00570E88">
    <w:pPr>
      <w:pStyle w:val="BodyText"/>
      <w:spacing w:line="14" w:lineRule="auto"/>
    </w:pPr>
    <w:r>
      <w:rPr>
        <w:noProof/>
      </w:rPr>
      <mc:AlternateContent>
        <mc:Choice Requires="wps">
          <w:drawing>
            <wp:anchor distT="0" distB="0" distL="0" distR="0" simplePos="0" relativeHeight="472861184" behindDoc="1" locked="0" layoutInCell="1" allowOverlap="1" wp14:anchorId="38C17A7A" wp14:editId="7184713D">
              <wp:simplePos x="0" y="0"/>
              <wp:positionH relativeFrom="page">
                <wp:posOffset>3993225</wp:posOffset>
              </wp:positionH>
              <wp:positionV relativeFrom="page">
                <wp:posOffset>10339075</wp:posOffset>
              </wp:positionV>
              <wp:extent cx="3185795" cy="13208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682171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43</w:t>
                          </w:r>
                          <w:r>
                            <w:rPr>
                              <w:b/>
                              <w:spacing w:val="-5"/>
                              <w:sz w:val="15"/>
                            </w:rPr>
                            <w:fldChar w:fldCharType="end"/>
                          </w:r>
                        </w:p>
                      </w:txbxContent>
                    </wps:txbx>
                    <wps:bodyPr wrap="square" lIns="0" tIns="0" rIns="0" bIns="0" rtlCol="0">
                      <a:noAutofit/>
                    </wps:bodyPr>
                  </wps:wsp>
                </a:graphicData>
              </a:graphic>
            </wp:anchor>
          </w:drawing>
        </mc:Choice>
        <mc:Fallback>
          <w:pict>
            <v:shapetype w14:anchorId="38C17A7A" id="_x0000_t202" coordsize="21600,21600" o:spt="202" path="m,l,21600r21600,l21600,xe">
              <v:stroke joinstyle="miter"/>
              <v:path gradientshapeok="t" o:connecttype="rect"/>
            </v:shapetype>
            <v:shape id="Textbox 296" o:spid="_x0000_s1087" type="#_x0000_t202" style="position:absolute;margin-left:314.45pt;margin-top:814.1pt;width:250.85pt;height:10.4pt;z-index:-304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4BmgEAACM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s1yffv6za0Ums+WN6t6XQyvrrcjUvpowItc&#10;tBI5r8JAHR8o5fdVc26ZyTy9n5mkaTcJ17Xy5SrHmLd20J1YzMh5tpJ+HhQaKYZPgQ3L4Z8LPBe7&#10;c4FpeA/li2RNAd4eElhXGFxxZwacRCE2/5oc9e/r0nX929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qQzgGa&#10;AQAAIwMAAA4AAAAAAAAAAAAAAAAALgIAAGRycy9lMm9Eb2MueG1sUEsBAi0AFAAGAAgAAAAhALrt&#10;lTbhAAAADgEAAA8AAAAAAAAAAAAAAAAA9AMAAGRycy9kb3ducmV2LnhtbFBLBQYAAAAABAAEAPMA&#10;AAACBQAAAAA=&#10;" filled="f" stroked="f">
              <v:textbox inset="0,0,0,0">
                <w:txbxContent>
                  <w:p w14:paraId="2682171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43</w:t>
                    </w:r>
                    <w:r>
                      <w:rPr>
                        <w:b/>
                        <w:spacing w:val="-5"/>
                        <w:sz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0717" w14:textId="77777777" w:rsidR="00AC6F3C" w:rsidRDefault="00570E88">
    <w:pPr>
      <w:pStyle w:val="BodyText"/>
      <w:spacing w:line="14" w:lineRule="auto"/>
    </w:pPr>
    <w:r>
      <w:rPr>
        <w:noProof/>
      </w:rPr>
      <mc:AlternateContent>
        <mc:Choice Requires="wps">
          <w:drawing>
            <wp:anchor distT="0" distB="0" distL="0" distR="0" simplePos="0" relativeHeight="472840192" behindDoc="1" locked="0" layoutInCell="1" allowOverlap="1" wp14:anchorId="0C6F032F" wp14:editId="19D9CB23">
              <wp:simplePos x="0" y="0"/>
              <wp:positionH relativeFrom="page">
                <wp:posOffset>3993225</wp:posOffset>
              </wp:positionH>
              <wp:positionV relativeFrom="page">
                <wp:posOffset>10339075</wp:posOffset>
              </wp:positionV>
              <wp:extent cx="3185795" cy="13208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8EF1A0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w:t>
                          </w:r>
                          <w:r>
                            <w:rPr>
                              <w:b/>
                              <w:spacing w:val="-5"/>
                              <w:sz w:val="15"/>
                            </w:rPr>
                            <w:fldChar w:fldCharType="end"/>
                          </w:r>
                        </w:p>
                      </w:txbxContent>
                    </wps:txbx>
                    <wps:bodyPr wrap="square" lIns="0" tIns="0" rIns="0" bIns="0" rtlCol="0">
                      <a:noAutofit/>
                    </wps:bodyPr>
                  </wps:wsp>
                </a:graphicData>
              </a:graphic>
            </wp:anchor>
          </w:drawing>
        </mc:Choice>
        <mc:Fallback>
          <w:pict>
            <v:shapetype w14:anchorId="0C6F032F" id="_x0000_t202" coordsize="21600,21600" o:spt="202" path="m,l,21600r21600,l21600,xe">
              <v:stroke joinstyle="miter"/>
              <v:path gradientshapeok="t" o:connecttype="rect"/>
            </v:shapetype>
            <v:shape id="Textbox 35" o:spid="_x0000_s1048" type="#_x0000_t202" style="position:absolute;margin-left:314.45pt;margin-top:814.1pt;width:250.85pt;height:10.4pt;z-index:-304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NNrjXpkB&#10;AAAiAwAADgAAAAAAAAAAAAAAAAAuAgAAZHJzL2Uyb0RvYy54bWxQSwECLQAUAAYACAAAACEAuu2V&#10;NuEAAAAOAQAADwAAAAAAAAAAAAAAAADzAwAAZHJzL2Rvd25yZXYueG1sUEsFBgAAAAAEAAQA8wAA&#10;AAEFAAAAAA==&#10;" filled="f" stroked="f">
              <v:textbox inset="0,0,0,0">
                <w:txbxContent>
                  <w:p w14:paraId="38EF1A0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w:t>
                    </w:r>
                    <w:r>
                      <w:rPr>
                        <w:b/>
                        <w:spacing w:val="-5"/>
                        <w:sz w:val="1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B5BF" w14:textId="77777777" w:rsidR="00AC6F3C" w:rsidRDefault="00570E88">
    <w:pPr>
      <w:pStyle w:val="BodyText"/>
      <w:spacing w:line="14" w:lineRule="auto"/>
    </w:pPr>
    <w:r>
      <w:rPr>
        <w:noProof/>
      </w:rPr>
      <mc:AlternateContent>
        <mc:Choice Requires="wps">
          <w:drawing>
            <wp:anchor distT="0" distB="0" distL="0" distR="0" simplePos="0" relativeHeight="472862208" behindDoc="1" locked="0" layoutInCell="1" allowOverlap="1" wp14:anchorId="70250CAB" wp14:editId="5863E159">
              <wp:simplePos x="0" y="0"/>
              <wp:positionH relativeFrom="page">
                <wp:posOffset>3993225</wp:posOffset>
              </wp:positionH>
              <wp:positionV relativeFrom="page">
                <wp:posOffset>10339075</wp:posOffset>
              </wp:positionV>
              <wp:extent cx="3185795" cy="13208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F9C188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44</w:t>
                          </w:r>
                          <w:r>
                            <w:rPr>
                              <w:b/>
                              <w:spacing w:val="-5"/>
                              <w:sz w:val="15"/>
                            </w:rPr>
                            <w:fldChar w:fldCharType="end"/>
                          </w:r>
                        </w:p>
                      </w:txbxContent>
                    </wps:txbx>
                    <wps:bodyPr wrap="square" lIns="0" tIns="0" rIns="0" bIns="0" rtlCol="0">
                      <a:noAutofit/>
                    </wps:bodyPr>
                  </wps:wsp>
                </a:graphicData>
              </a:graphic>
            </wp:anchor>
          </w:drawing>
        </mc:Choice>
        <mc:Fallback>
          <w:pict>
            <v:shapetype w14:anchorId="70250CAB" id="_x0000_t202" coordsize="21600,21600" o:spt="202" path="m,l,21600r21600,l21600,xe">
              <v:stroke joinstyle="miter"/>
              <v:path gradientshapeok="t" o:connecttype="rect"/>
            </v:shapetype>
            <v:shape id="Textbox 298" o:spid="_x0000_s1089" type="#_x0000_t202" style="position:absolute;margin-left:314.45pt;margin-top:814.1pt;width:250.85pt;height:10.4pt;z-index:-304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D5R1X/&#10;mwEAACMDAAAOAAAAAAAAAAAAAAAAAC4CAABkcnMvZTJvRG9jLnhtbFBLAQItABQABgAIAAAAIQC6&#10;7ZU24QAAAA4BAAAPAAAAAAAAAAAAAAAAAPUDAABkcnMvZG93bnJldi54bWxQSwUGAAAAAAQABADz&#10;AAAAAwUAAAAA&#10;" filled="f" stroked="f">
              <v:textbox inset="0,0,0,0">
                <w:txbxContent>
                  <w:p w14:paraId="1F9C188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44</w:t>
                    </w:r>
                    <w:r>
                      <w:rPr>
                        <w:b/>
                        <w:spacing w:val="-5"/>
                        <w:sz w:val="1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EA92" w14:textId="77777777" w:rsidR="00AC6F3C" w:rsidRDefault="00570E88">
    <w:pPr>
      <w:pStyle w:val="BodyText"/>
      <w:spacing w:line="14" w:lineRule="auto"/>
    </w:pPr>
    <w:r>
      <w:rPr>
        <w:noProof/>
      </w:rPr>
      <mc:AlternateContent>
        <mc:Choice Requires="wps">
          <w:drawing>
            <wp:anchor distT="0" distB="0" distL="0" distR="0" simplePos="0" relativeHeight="472862720" behindDoc="1" locked="0" layoutInCell="1" allowOverlap="1" wp14:anchorId="0AC8FC76" wp14:editId="5B89E846">
              <wp:simplePos x="0" y="0"/>
              <wp:positionH relativeFrom="page">
                <wp:posOffset>3993225</wp:posOffset>
              </wp:positionH>
              <wp:positionV relativeFrom="page">
                <wp:posOffset>10339075</wp:posOffset>
              </wp:positionV>
              <wp:extent cx="3185795" cy="13208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45234C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45</w:t>
                          </w:r>
                          <w:r>
                            <w:rPr>
                              <w:b/>
                              <w:spacing w:val="-5"/>
                              <w:sz w:val="15"/>
                            </w:rPr>
                            <w:fldChar w:fldCharType="end"/>
                          </w:r>
                        </w:p>
                      </w:txbxContent>
                    </wps:txbx>
                    <wps:bodyPr wrap="square" lIns="0" tIns="0" rIns="0" bIns="0" rtlCol="0">
                      <a:noAutofit/>
                    </wps:bodyPr>
                  </wps:wsp>
                </a:graphicData>
              </a:graphic>
            </wp:anchor>
          </w:drawing>
        </mc:Choice>
        <mc:Fallback>
          <w:pict>
            <v:shapetype w14:anchorId="0AC8FC76" id="_x0000_t202" coordsize="21600,21600" o:spt="202" path="m,l,21600r21600,l21600,xe">
              <v:stroke joinstyle="miter"/>
              <v:path gradientshapeok="t" o:connecttype="rect"/>
            </v:shapetype>
            <v:shape id="Textbox 299" o:spid="_x0000_s1090" type="#_x0000_t202" style="position:absolute;margin-left:314.45pt;margin-top:814.1pt;width:250.85pt;height:10.4pt;z-index:-304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C+n/mO&#10;mwEAACMDAAAOAAAAAAAAAAAAAAAAAC4CAABkcnMvZTJvRG9jLnhtbFBLAQItABQABgAIAAAAIQC6&#10;7ZU24QAAAA4BAAAPAAAAAAAAAAAAAAAAAPUDAABkcnMvZG93bnJldi54bWxQSwUGAAAAAAQABADz&#10;AAAAAwUAAAAA&#10;" filled="f" stroked="f">
              <v:textbox inset="0,0,0,0">
                <w:txbxContent>
                  <w:p w14:paraId="345234C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45</w:t>
                    </w:r>
                    <w:r>
                      <w:rPr>
                        <w:b/>
                        <w:spacing w:val="-5"/>
                        <w:sz w:val="1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CA8F" w14:textId="77777777" w:rsidR="00AC6F3C" w:rsidRDefault="00570E88">
    <w:pPr>
      <w:pStyle w:val="BodyText"/>
      <w:spacing w:line="14" w:lineRule="auto"/>
    </w:pPr>
    <w:r>
      <w:rPr>
        <w:noProof/>
      </w:rPr>
      <mc:AlternateContent>
        <mc:Choice Requires="wps">
          <w:drawing>
            <wp:anchor distT="0" distB="0" distL="0" distR="0" simplePos="0" relativeHeight="472863744" behindDoc="1" locked="0" layoutInCell="1" allowOverlap="1" wp14:anchorId="697642E5" wp14:editId="78F127A6">
              <wp:simplePos x="0" y="0"/>
              <wp:positionH relativeFrom="page">
                <wp:posOffset>3993225</wp:posOffset>
              </wp:positionH>
              <wp:positionV relativeFrom="page">
                <wp:posOffset>10339075</wp:posOffset>
              </wp:positionV>
              <wp:extent cx="3185795" cy="13208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5B8598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46</w:t>
                          </w:r>
                          <w:r>
                            <w:rPr>
                              <w:b/>
                              <w:spacing w:val="-5"/>
                              <w:sz w:val="15"/>
                            </w:rPr>
                            <w:fldChar w:fldCharType="end"/>
                          </w:r>
                        </w:p>
                      </w:txbxContent>
                    </wps:txbx>
                    <wps:bodyPr wrap="square" lIns="0" tIns="0" rIns="0" bIns="0" rtlCol="0">
                      <a:noAutofit/>
                    </wps:bodyPr>
                  </wps:wsp>
                </a:graphicData>
              </a:graphic>
            </wp:anchor>
          </w:drawing>
        </mc:Choice>
        <mc:Fallback>
          <w:pict>
            <v:shapetype w14:anchorId="697642E5" id="_x0000_t202" coordsize="21600,21600" o:spt="202" path="m,l,21600r21600,l21600,xe">
              <v:stroke joinstyle="miter"/>
              <v:path gradientshapeok="t" o:connecttype="rect"/>
            </v:shapetype>
            <v:shape id="Textbox 301" o:spid="_x0000_s1092" type="#_x0000_t202" style="position:absolute;margin-left:314.45pt;margin-top:814.1pt;width:250.85pt;height:10.4pt;z-index:-304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BtmwEAACMDAAAOAAAAZHJzL2Uyb0RvYy54bWysUs1uGyEQvlfKOyDuMWunady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7Nl9c3H685U3Q2v1pUy2K4ON8OEdNXDY7l&#10;ouGR8ioM5P4BU35f1seWiczL+5lJGjcjs23D39/k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AwL6Bt&#10;mwEAACMDAAAOAAAAAAAAAAAAAAAAAC4CAABkcnMvZTJvRG9jLnhtbFBLAQItABQABgAIAAAAIQC6&#10;7ZU24QAAAA4BAAAPAAAAAAAAAAAAAAAAAPUDAABkcnMvZG93bnJldi54bWxQSwUGAAAAAAQABADz&#10;AAAAAwUAAAAA&#10;" filled="f" stroked="f">
              <v:textbox inset="0,0,0,0">
                <w:txbxContent>
                  <w:p w14:paraId="45B8598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46</w:t>
                    </w:r>
                    <w:r>
                      <w:rPr>
                        <w:b/>
                        <w:spacing w:val="-5"/>
                        <w:sz w:val="1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F580" w14:textId="77777777" w:rsidR="00AC6F3C" w:rsidRDefault="00570E88">
    <w:pPr>
      <w:pStyle w:val="BodyText"/>
      <w:spacing w:line="14" w:lineRule="auto"/>
    </w:pPr>
    <w:r>
      <w:rPr>
        <w:noProof/>
      </w:rPr>
      <mc:AlternateContent>
        <mc:Choice Requires="wps">
          <w:drawing>
            <wp:anchor distT="0" distB="0" distL="0" distR="0" simplePos="0" relativeHeight="472864768" behindDoc="1" locked="0" layoutInCell="1" allowOverlap="1" wp14:anchorId="70DB0BB9" wp14:editId="1E5D9E09">
              <wp:simplePos x="0" y="0"/>
              <wp:positionH relativeFrom="page">
                <wp:posOffset>3993225</wp:posOffset>
              </wp:positionH>
              <wp:positionV relativeFrom="page">
                <wp:posOffset>10339075</wp:posOffset>
              </wp:positionV>
              <wp:extent cx="3185795" cy="13208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66F364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47</w:t>
                          </w:r>
                          <w:r>
                            <w:rPr>
                              <w:b/>
                              <w:spacing w:val="-5"/>
                              <w:sz w:val="15"/>
                            </w:rPr>
                            <w:fldChar w:fldCharType="end"/>
                          </w:r>
                        </w:p>
                      </w:txbxContent>
                    </wps:txbx>
                    <wps:bodyPr wrap="square" lIns="0" tIns="0" rIns="0" bIns="0" rtlCol="0">
                      <a:noAutofit/>
                    </wps:bodyPr>
                  </wps:wsp>
                </a:graphicData>
              </a:graphic>
            </wp:anchor>
          </w:drawing>
        </mc:Choice>
        <mc:Fallback>
          <w:pict>
            <v:shapetype w14:anchorId="70DB0BB9" id="_x0000_t202" coordsize="21600,21600" o:spt="202" path="m,l,21600r21600,l21600,xe">
              <v:stroke joinstyle="miter"/>
              <v:path gradientshapeok="t" o:connecttype="rect"/>
            </v:shapetype>
            <v:shape id="Textbox 303" o:spid="_x0000_s1094" type="#_x0000_t202" style="position:absolute;margin-left:314.45pt;margin-top:814.1pt;width:250.85pt;height:10.4pt;z-index:-304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omwEAACMDAAAOAAAAZHJzL2Uyb0RvYy54bWysUs1uGyEQvlfKOyDuMWunaZ2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7Nl9cfb645U3Q2v1pUy2K4ON8OEdNXDY7l&#10;ouGR8ioM5P4BU35f1seWiczL+5lJGjcjs23D39/k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BZNr+o&#10;mwEAACMDAAAOAAAAAAAAAAAAAAAAAC4CAABkcnMvZTJvRG9jLnhtbFBLAQItABQABgAIAAAAIQC6&#10;7ZU24QAAAA4BAAAPAAAAAAAAAAAAAAAAAPUDAABkcnMvZG93bnJldi54bWxQSwUGAAAAAAQABADz&#10;AAAAAwUAAAAA&#10;" filled="f" stroked="f">
              <v:textbox inset="0,0,0,0">
                <w:txbxContent>
                  <w:p w14:paraId="266F364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47</w:t>
                    </w:r>
                    <w:r>
                      <w:rPr>
                        <w:b/>
                        <w:spacing w:val="-5"/>
                        <w:sz w:val="1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EA7D" w14:textId="77777777" w:rsidR="00AC6F3C" w:rsidRDefault="00570E88">
    <w:pPr>
      <w:pStyle w:val="BodyText"/>
      <w:spacing w:line="14" w:lineRule="auto"/>
    </w:pPr>
    <w:r>
      <w:rPr>
        <w:noProof/>
      </w:rPr>
      <mc:AlternateContent>
        <mc:Choice Requires="wps">
          <w:drawing>
            <wp:anchor distT="0" distB="0" distL="0" distR="0" simplePos="0" relativeHeight="472865280" behindDoc="1" locked="0" layoutInCell="1" allowOverlap="1" wp14:anchorId="0884936B" wp14:editId="611822AC">
              <wp:simplePos x="0" y="0"/>
              <wp:positionH relativeFrom="page">
                <wp:posOffset>3993225</wp:posOffset>
              </wp:positionH>
              <wp:positionV relativeFrom="page">
                <wp:posOffset>10339075</wp:posOffset>
              </wp:positionV>
              <wp:extent cx="3185795" cy="13208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07EE2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48</w:t>
                          </w:r>
                          <w:r>
                            <w:rPr>
                              <w:b/>
                              <w:spacing w:val="-5"/>
                              <w:sz w:val="15"/>
                            </w:rPr>
                            <w:fldChar w:fldCharType="end"/>
                          </w:r>
                        </w:p>
                      </w:txbxContent>
                    </wps:txbx>
                    <wps:bodyPr wrap="square" lIns="0" tIns="0" rIns="0" bIns="0" rtlCol="0">
                      <a:noAutofit/>
                    </wps:bodyPr>
                  </wps:wsp>
                </a:graphicData>
              </a:graphic>
            </wp:anchor>
          </w:drawing>
        </mc:Choice>
        <mc:Fallback>
          <w:pict>
            <v:shapetype w14:anchorId="0884936B" id="_x0000_t202" coordsize="21600,21600" o:spt="202" path="m,l,21600r21600,l21600,xe">
              <v:stroke joinstyle="miter"/>
              <v:path gradientshapeok="t" o:connecttype="rect"/>
            </v:shapetype>
            <v:shape id="Textbox 304" o:spid="_x0000_s1095" type="#_x0000_t202" style="position:absolute;margin-left:314.45pt;margin-top:814.1pt;width:250.85pt;height:10.4pt;z-index:-304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E9YXgqa&#10;AQAAIwMAAA4AAAAAAAAAAAAAAAAALgIAAGRycy9lMm9Eb2MueG1sUEsBAi0AFAAGAAgAAAAhALrt&#10;lTbhAAAADgEAAA8AAAAAAAAAAAAAAAAA9AMAAGRycy9kb3ducmV2LnhtbFBLBQYAAAAABAAEAPMA&#10;AAACBQAAAAA=&#10;" filled="f" stroked="f">
              <v:textbox inset="0,0,0,0">
                <w:txbxContent>
                  <w:p w14:paraId="607EE2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48</w:t>
                    </w:r>
                    <w:r>
                      <w:rPr>
                        <w:b/>
                        <w:spacing w:val="-5"/>
                        <w:sz w:val="1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432A" w14:textId="77777777" w:rsidR="00AC6F3C" w:rsidRDefault="00570E88">
    <w:pPr>
      <w:pStyle w:val="BodyText"/>
      <w:spacing w:line="14" w:lineRule="auto"/>
    </w:pPr>
    <w:r>
      <w:rPr>
        <w:noProof/>
      </w:rPr>
      <mc:AlternateContent>
        <mc:Choice Requires="wps">
          <w:drawing>
            <wp:anchor distT="0" distB="0" distL="0" distR="0" simplePos="0" relativeHeight="472865792" behindDoc="1" locked="0" layoutInCell="1" allowOverlap="1" wp14:anchorId="75F7002A" wp14:editId="1FCE49BD">
              <wp:simplePos x="0" y="0"/>
              <wp:positionH relativeFrom="page">
                <wp:posOffset>3993225</wp:posOffset>
              </wp:positionH>
              <wp:positionV relativeFrom="page">
                <wp:posOffset>10339075</wp:posOffset>
              </wp:positionV>
              <wp:extent cx="3185795" cy="13208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5CDC34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49</w:t>
                          </w:r>
                          <w:r>
                            <w:rPr>
                              <w:b/>
                              <w:spacing w:val="-5"/>
                              <w:sz w:val="15"/>
                            </w:rPr>
                            <w:fldChar w:fldCharType="end"/>
                          </w:r>
                        </w:p>
                      </w:txbxContent>
                    </wps:txbx>
                    <wps:bodyPr wrap="square" lIns="0" tIns="0" rIns="0" bIns="0" rtlCol="0">
                      <a:noAutofit/>
                    </wps:bodyPr>
                  </wps:wsp>
                </a:graphicData>
              </a:graphic>
            </wp:anchor>
          </w:drawing>
        </mc:Choice>
        <mc:Fallback>
          <w:pict>
            <v:shapetype w14:anchorId="75F7002A" id="_x0000_t202" coordsize="21600,21600" o:spt="202" path="m,l,21600r21600,l21600,xe">
              <v:stroke joinstyle="miter"/>
              <v:path gradientshapeok="t" o:connecttype="rect"/>
            </v:shapetype>
            <v:shape id="Textbox 305" o:spid="_x0000_s1096" type="#_x0000_t202" style="position:absolute;margin-left:314.45pt;margin-top:814.1pt;width:250.85pt;height:10.4pt;z-index:-304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AiA8nua&#10;AQAAIwMAAA4AAAAAAAAAAAAAAAAALgIAAGRycy9lMm9Eb2MueG1sUEsBAi0AFAAGAAgAAAAhALrt&#10;lTbhAAAADgEAAA8AAAAAAAAAAAAAAAAA9AMAAGRycy9kb3ducmV2LnhtbFBLBQYAAAAABAAEAPMA&#10;AAACBQAAAAA=&#10;" filled="f" stroked="f">
              <v:textbox inset="0,0,0,0">
                <w:txbxContent>
                  <w:p w14:paraId="75CDC34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49</w:t>
                    </w:r>
                    <w:r>
                      <w:rPr>
                        <w:b/>
                        <w:spacing w:val="-5"/>
                        <w:sz w:val="1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90A3" w14:textId="77777777" w:rsidR="00AC6F3C" w:rsidRDefault="00570E88">
    <w:pPr>
      <w:pStyle w:val="BodyText"/>
      <w:spacing w:line="14" w:lineRule="auto"/>
    </w:pPr>
    <w:r>
      <w:rPr>
        <w:noProof/>
      </w:rPr>
      <mc:AlternateContent>
        <mc:Choice Requires="wps">
          <w:drawing>
            <wp:anchor distT="0" distB="0" distL="0" distR="0" simplePos="0" relativeHeight="472866304" behindDoc="1" locked="0" layoutInCell="1" allowOverlap="1" wp14:anchorId="47EFA283" wp14:editId="4F3A6709">
              <wp:simplePos x="0" y="0"/>
              <wp:positionH relativeFrom="page">
                <wp:posOffset>3993225</wp:posOffset>
              </wp:positionH>
              <wp:positionV relativeFrom="page">
                <wp:posOffset>10339075</wp:posOffset>
              </wp:positionV>
              <wp:extent cx="3185795" cy="13208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000386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50</w:t>
                          </w:r>
                          <w:r>
                            <w:rPr>
                              <w:b/>
                              <w:spacing w:val="-5"/>
                              <w:sz w:val="15"/>
                            </w:rPr>
                            <w:fldChar w:fldCharType="end"/>
                          </w:r>
                        </w:p>
                      </w:txbxContent>
                    </wps:txbx>
                    <wps:bodyPr wrap="square" lIns="0" tIns="0" rIns="0" bIns="0" rtlCol="0">
                      <a:noAutofit/>
                    </wps:bodyPr>
                  </wps:wsp>
                </a:graphicData>
              </a:graphic>
            </wp:anchor>
          </w:drawing>
        </mc:Choice>
        <mc:Fallback>
          <w:pict>
            <v:shapetype w14:anchorId="47EFA283" id="_x0000_t202" coordsize="21600,21600" o:spt="202" path="m,l,21600r21600,l21600,xe">
              <v:stroke joinstyle="miter"/>
              <v:path gradientshapeok="t" o:connecttype="rect"/>
            </v:shapetype>
            <v:shape id="Textbox 306" o:spid="_x0000_s1097" type="#_x0000_t202" style="position:absolute;margin-left:314.45pt;margin-top:814.1pt;width:250.85pt;height:10.4pt;z-index:-304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fpmgEAACM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23Dl4scY97aQnskMQPl2XB82cuoOeu/eTIsh38q4qnY&#10;noqY+jsoXyRr8vBpn8DYwuCCOzGgJAqx6dfkqP9cl67L3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MHoB+ma&#10;AQAAIwMAAA4AAAAAAAAAAAAAAAAALgIAAGRycy9lMm9Eb2MueG1sUEsBAi0AFAAGAAgAAAAhALrt&#10;lTbhAAAADgEAAA8AAAAAAAAAAAAAAAAA9AMAAGRycy9kb3ducmV2LnhtbFBLBQYAAAAABAAEAPMA&#10;AAACBQAAAAA=&#10;" filled="f" stroked="f">
              <v:textbox inset="0,0,0,0">
                <w:txbxContent>
                  <w:p w14:paraId="3000386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50</w:t>
                    </w:r>
                    <w:r>
                      <w:rPr>
                        <w:b/>
                        <w:spacing w:val="-5"/>
                        <w:sz w:val="1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309A" w14:textId="77777777" w:rsidR="00AC6F3C" w:rsidRDefault="00570E88">
    <w:pPr>
      <w:pStyle w:val="BodyText"/>
      <w:spacing w:line="14" w:lineRule="auto"/>
    </w:pPr>
    <w:r>
      <w:rPr>
        <w:noProof/>
      </w:rPr>
      <mc:AlternateContent>
        <mc:Choice Requires="wps">
          <w:drawing>
            <wp:anchor distT="0" distB="0" distL="0" distR="0" simplePos="0" relativeHeight="472866816" behindDoc="1" locked="0" layoutInCell="1" allowOverlap="1" wp14:anchorId="0E8FB03F" wp14:editId="39690A8C">
              <wp:simplePos x="0" y="0"/>
              <wp:positionH relativeFrom="page">
                <wp:posOffset>3993225</wp:posOffset>
              </wp:positionH>
              <wp:positionV relativeFrom="page">
                <wp:posOffset>10339075</wp:posOffset>
              </wp:positionV>
              <wp:extent cx="3185795" cy="13208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BE436E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51</w:t>
                          </w:r>
                          <w:r>
                            <w:rPr>
                              <w:b/>
                              <w:spacing w:val="-5"/>
                              <w:sz w:val="15"/>
                            </w:rPr>
                            <w:fldChar w:fldCharType="end"/>
                          </w:r>
                        </w:p>
                      </w:txbxContent>
                    </wps:txbx>
                    <wps:bodyPr wrap="square" lIns="0" tIns="0" rIns="0" bIns="0" rtlCol="0">
                      <a:noAutofit/>
                    </wps:bodyPr>
                  </wps:wsp>
                </a:graphicData>
              </a:graphic>
            </wp:anchor>
          </w:drawing>
        </mc:Choice>
        <mc:Fallback>
          <w:pict>
            <v:shapetype w14:anchorId="0E8FB03F" id="_x0000_t202" coordsize="21600,21600" o:spt="202" path="m,l,21600r21600,l21600,xe">
              <v:stroke joinstyle="miter"/>
              <v:path gradientshapeok="t" o:connecttype="rect"/>
            </v:shapetype>
            <v:shape id="Textbox 309" o:spid="_x0000_s1098" type="#_x0000_t202" style="position:absolute;margin-left:314.45pt;margin-top:814.1pt;width:250.85pt;height:10.4pt;z-index:-304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IYwq5ia&#10;AQAAIwMAAA4AAAAAAAAAAAAAAAAALgIAAGRycy9lMm9Eb2MueG1sUEsBAi0AFAAGAAgAAAAhALrt&#10;lTbhAAAADgEAAA8AAAAAAAAAAAAAAAAA9AMAAGRycy9kb3ducmV2LnhtbFBLBQYAAAAABAAEAPMA&#10;AAACBQAAAAA=&#10;" filled="f" stroked="f">
              <v:textbox inset="0,0,0,0">
                <w:txbxContent>
                  <w:p w14:paraId="1BE436E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51</w:t>
                    </w:r>
                    <w:r>
                      <w:rPr>
                        <w:b/>
                        <w:spacing w:val="-5"/>
                        <w:sz w:val="1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9120" w14:textId="77777777" w:rsidR="00AC6F3C" w:rsidRDefault="00570E88">
    <w:pPr>
      <w:pStyle w:val="BodyText"/>
      <w:spacing w:line="14" w:lineRule="auto"/>
    </w:pPr>
    <w:r>
      <w:rPr>
        <w:noProof/>
      </w:rPr>
      <mc:AlternateContent>
        <mc:Choice Requires="wps">
          <w:drawing>
            <wp:anchor distT="0" distB="0" distL="0" distR="0" simplePos="0" relativeHeight="472867328" behindDoc="1" locked="0" layoutInCell="1" allowOverlap="1" wp14:anchorId="0DC67667" wp14:editId="11B90338">
              <wp:simplePos x="0" y="0"/>
              <wp:positionH relativeFrom="page">
                <wp:posOffset>3993225</wp:posOffset>
              </wp:positionH>
              <wp:positionV relativeFrom="page">
                <wp:posOffset>10339075</wp:posOffset>
              </wp:positionV>
              <wp:extent cx="3185795" cy="1320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90F487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52</w:t>
                          </w:r>
                          <w:r>
                            <w:rPr>
                              <w:b/>
                              <w:spacing w:val="-5"/>
                              <w:sz w:val="15"/>
                            </w:rPr>
                            <w:fldChar w:fldCharType="end"/>
                          </w:r>
                        </w:p>
                      </w:txbxContent>
                    </wps:txbx>
                    <wps:bodyPr wrap="square" lIns="0" tIns="0" rIns="0" bIns="0" rtlCol="0">
                      <a:noAutofit/>
                    </wps:bodyPr>
                  </wps:wsp>
                </a:graphicData>
              </a:graphic>
            </wp:anchor>
          </w:drawing>
        </mc:Choice>
        <mc:Fallback>
          <w:pict>
            <v:shapetype w14:anchorId="0DC67667" id="_x0000_t202" coordsize="21600,21600" o:spt="202" path="m,l,21600r21600,l21600,xe">
              <v:stroke joinstyle="miter"/>
              <v:path gradientshapeok="t" o:connecttype="rect"/>
            </v:shapetype>
            <v:shape id="Textbox 310" o:spid="_x0000_s1099" type="#_x0000_t202" style="position:absolute;margin-left:314.45pt;margin-top:814.1pt;width:250.85pt;height:10.4pt;z-index:-304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ASP5wX&#10;mwEAACMDAAAOAAAAAAAAAAAAAAAAAC4CAABkcnMvZTJvRG9jLnhtbFBLAQItABQABgAIAAAAIQC6&#10;7ZU24QAAAA4BAAAPAAAAAAAAAAAAAAAAAPUDAABkcnMvZG93bnJldi54bWxQSwUGAAAAAAQABADz&#10;AAAAAwUAAAAA&#10;" filled="f" stroked="f">
              <v:textbox inset="0,0,0,0">
                <w:txbxContent>
                  <w:p w14:paraId="490F487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52</w:t>
                    </w:r>
                    <w:r>
                      <w:rPr>
                        <w:b/>
                        <w:spacing w:val="-5"/>
                        <w:sz w:val="1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1007" w14:textId="77777777" w:rsidR="00AC6F3C" w:rsidRDefault="00570E88">
    <w:pPr>
      <w:pStyle w:val="BodyText"/>
      <w:spacing w:line="14" w:lineRule="auto"/>
    </w:pPr>
    <w:r>
      <w:rPr>
        <w:noProof/>
      </w:rPr>
      <mc:AlternateContent>
        <mc:Choice Requires="wps">
          <w:drawing>
            <wp:anchor distT="0" distB="0" distL="0" distR="0" simplePos="0" relativeHeight="472867840" behindDoc="1" locked="0" layoutInCell="1" allowOverlap="1" wp14:anchorId="01BD3EDC" wp14:editId="54212449">
              <wp:simplePos x="0" y="0"/>
              <wp:positionH relativeFrom="page">
                <wp:posOffset>3993225</wp:posOffset>
              </wp:positionH>
              <wp:positionV relativeFrom="page">
                <wp:posOffset>10339075</wp:posOffset>
              </wp:positionV>
              <wp:extent cx="3185795" cy="13208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416649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53</w:t>
                          </w:r>
                          <w:r>
                            <w:rPr>
                              <w:b/>
                              <w:spacing w:val="-5"/>
                              <w:sz w:val="15"/>
                            </w:rPr>
                            <w:fldChar w:fldCharType="end"/>
                          </w:r>
                        </w:p>
                      </w:txbxContent>
                    </wps:txbx>
                    <wps:bodyPr wrap="square" lIns="0" tIns="0" rIns="0" bIns="0" rtlCol="0">
                      <a:noAutofit/>
                    </wps:bodyPr>
                  </wps:wsp>
                </a:graphicData>
              </a:graphic>
            </wp:anchor>
          </w:drawing>
        </mc:Choice>
        <mc:Fallback>
          <w:pict>
            <v:shapetype w14:anchorId="01BD3EDC" id="_x0000_t202" coordsize="21600,21600" o:spt="202" path="m,l,21600r21600,l21600,xe">
              <v:stroke joinstyle="miter"/>
              <v:path gradientshapeok="t" o:connecttype="rect"/>
            </v:shapetype>
            <v:shape id="Textbox 311" o:spid="_x0000_s1100" type="#_x0000_t202" style="position:absolute;margin-left:314.45pt;margin-top:814.1pt;width:250.85pt;height:10.4pt;z-index:-304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BmmgEAACM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23Dl8scY97aQnskMQPl2XB82cuoOeu/eTIsh38q4qnY&#10;noqY+jsoXyRr8vBpn8DYwuCCOzGgJAqx6dfkqP9cl67L3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FXnMGaa&#10;AQAAIwMAAA4AAAAAAAAAAAAAAAAALgIAAGRycy9lMm9Eb2MueG1sUEsBAi0AFAAGAAgAAAAhALrt&#10;lTbhAAAADgEAAA8AAAAAAAAAAAAAAAAA9AMAAGRycy9kb3ducmV2LnhtbFBLBQYAAAAABAAEAPMA&#10;AAACBQAAAAA=&#10;" filled="f" stroked="f">
              <v:textbox inset="0,0,0,0">
                <w:txbxContent>
                  <w:p w14:paraId="4416649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53</w:t>
                    </w:r>
                    <w:r>
                      <w:rPr>
                        <w:b/>
                        <w:spacing w:val="-5"/>
                        <w:sz w:val="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8021" w14:textId="77777777" w:rsidR="00AC6F3C" w:rsidRDefault="00570E88">
    <w:pPr>
      <w:pStyle w:val="BodyText"/>
      <w:spacing w:line="14" w:lineRule="auto"/>
    </w:pPr>
    <w:r>
      <w:rPr>
        <w:noProof/>
      </w:rPr>
      <mc:AlternateContent>
        <mc:Choice Requires="wps">
          <w:drawing>
            <wp:anchor distT="0" distB="0" distL="0" distR="0" simplePos="0" relativeHeight="472840704" behindDoc="1" locked="0" layoutInCell="1" allowOverlap="1" wp14:anchorId="5352C5DF" wp14:editId="297DD2C8">
              <wp:simplePos x="0" y="0"/>
              <wp:positionH relativeFrom="page">
                <wp:posOffset>4046198</wp:posOffset>
              </wp:positionH>
              <wp:positionV relativeFrom="page">
                <wp:posOffset>10339075</wp:posOffset>
              </wp:positionV>
              <wp:extent cx="3133090" cy="1320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132080"/>
                      </a:xfrm>
                      <a:prstGeom prst="rect">
                        <a:avLst/>
                      </a:prstGeom>
                    </wps:spPr>
                    <wps:txbx>
                      <w:txbxContent>
                        <w:p w14:paraId="16FB983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9</w:t>
                          </w:r>
                          <w:r>
                            <w:rPr>
                              <w:b/>
                              <w:spacing w:val="-10"/>
                              <w:sz w:val="15"/>
                            </w:rPr>
                            <w:fldChar w:fldCharType="end"/>
                          </w:r>
                        </w:p>
                      </w:txbxContent>
                    </wps:txbx>
                    <wps:bodyPr wrap="square" lIns="0" tIns="0" rIns="0" bIns="0" rtlCol="0">
                      <a:noAutofit/>
                    </wps:bodyPr>
                  </wps:wsp>
                </a:graphicData>
              </a:graphic>
            </wp:anchor>
          </w:drawing>
        </mc:Choice>
        <mc:Fallback>
          <w:pict>
            <v:shapetype w14:anchorId="5352C5DF" id="_x0000_t202" coordsize="21600,21600" o:spt="202" path="m,l,21600r21600,l21600,xe">
              <v:stroke joinstyle="miter"/>
              <v:path gradientshapeok="t" o:connecttype="rect"/>
            </v:shapetype>
            <v:shape id="Textbox 39" o:spid="_x0000_s1049" type="#_x0000_t202" style="position:absolute;margin-left:318.6pt;margin-top:814.1pt;width:246.7pt;height:10.4pt;z-index:-304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" filled="f" stroked="f">
              <v:textbox inset="0,0,0,0">
                <w:txbxContent>
                  <w:p w14:paraId="16FB983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10"/>
                        <w:sz w:val="15"/>
                      </w:rPr>
                      <w:fldChar w:fldCharType="begin"/>
                    </w:r>
                    <w:r>
                      <w:rPr>
                        <w:b/>
                        <w:spacing w:val="-10"/>
                        <w:sz w:val="15"/>
                      </w:rPr>
                      <w:instrText xml:space="preserve"> PAGE </w:instrText>
                    </w:r>
                    <w:r>
                      <w:rPr>
                        <w:b/>
                        <w:spacing w:val="-10"/>
                        <w:sz w:val="15"/>
                      </w:rPr>
                      <w:fldChar w:fldCharType="separate"/>
                    </w:r>
                    <w:r>
                      <w:rPr>
                        <w:b/>
                        <w:spacing w:val="-10"/>
                        <w:sz w:val="15"/>
                      </w:rPr>
                      <w:t>9</w:t>
                    </w:r>
                    <w:r>
                      <w:rPr>
                        <w:b/>
                        <w:spacing w:val="-10"/>
                        <w:sz w:val="1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B49E" w14:textId="77777777" w:rsidR="00AC6F3C" w:rsidRDefault="00570E88">
    <w:pPr>
      <w:pStyle w:val="BodyText"/>
      <w:spacing w:line="14" w:lineRule="auto"/>
    </w:pPr>
    <w:r>
      <w:rPr>
        <w:noProof/>
      </w:rPr>
      <mc:AlternateContent>
        <mc:Choice Requires="wps">
          <w:drawing>
            <wp:anchor distT="0" distB="0" distL="0" distR="0" simplePos="0" relativeHeight="472868352" behindDoc="1" locked="0" layoutInCell="1" allowOverlap="1" wp14:anchorId="1679DE5D" wp14:editId="5C545818">
              <wp:simplePos x="0" y="0"/>
              <wp:positionH relativeFrom="page">
                <wp:posOffset>3993225</wp:posOffset>
              </wp:positionH>
              <wp:positionV relativeFrom="page">
                <wp:posOffset>10339075</wp:posOffset>
              </wp:positionV>
              <wp:extent cx="3185795" cy="13208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5BD040C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54</w:t>
                          </w:r>
                          <w:r>
                            <w:rPr>
                              <w:b/>
                              <w:spacing w:val="-5"/>
                              <w:sz w:val="15"/>
                            </w:rPr>
                            <w:fldChar w:fldCharType="end"/>
                          </w:r>
                        </w:p>
                      </w:txbxContent>
                    </wps:txbx>
                    <wps:bodyPr wrap="square" lIns="0" tIns="0" rIns="0" bIns="0" rtlCol="0">
                      <a:noAutofit/>
                    </wps:bodyPr>
                  </wps:wsp>
                </a:graphicData>
              </a:graphic>
            </wp:anchor>
          </w:drawing>
        </mc:Choice>
        <mc:Fallback>
          <w:pict>
            <v:shapetype w14:anchorId="1679DE5D" id="_x0000_t202" coordsize="21600,21600" o:spt="202" path="m,l,21600r21600,l21600,xe">
              <v:stroke joinstyle="miter"/>
              <v:path gradientshapeok="t" o:connecttype="rect"/>
            </v:shapetype>
            <v:shape id="Textbox 312" o:spid="_x0000_s1101" type="#_x0000_t202" style="position:absolute;margin-left:314.45pt;margin-top:814.1pt;width:250.85pt;height:10.4pt;z-index:-304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X0mgEAACMDAAAOAAAAZHJzL2Uyb0RvYy54bWysUs1uGyEQvlfqOyDuMWtHT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kp2ryer5a3H5acKTqbXy+qVTFcXG6HiOmLBsdy&#10;0fBIeRUG8vCEKb8v61PLROb1/cwkjduR2bbhy5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JyPxfSa&#10;AQAAIwMAAA4AAAAAAAAAAAAAAAAALgIAAGRycy9lMm9Eb2MueG1sUEsBAi0AFAAGAAgAAAAhALrt&#10;lTbhAAAADgEAAA8AAAAAAAAAAAAAAAAA9AMAAGRycy9kb3ducmV2LnhtbFBLBQYAAAAABAAEAPMA&#10;AAACBQAAAAA=&#10;" filled="f" stroked="f">
              <v:textbox inset="0,0,0,0">
                <w:txbxContent>
                  <w:p w14:paraId="5BD040C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54</w:t>
                    </w:r>
                    <w:r>
                      <w:rPr>
                        <w:b/>
                        <w:spacing w:val="-5"/>
                        <w:sz w:val="1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745C" w14:textId="77777777" w:rsidR="00AC6F3C" w:rsidRDefault="00570E88">
    <w:pPr>
      <w:pStyle w:val="BodyText"/>
      <w:spacing w:line="14" w:lineRule="auto"/>
    </w:pPr>
    <w:r>
      <w:rPr>
        <w:noProof/>
      </w:rPr>
      <mc:AlternateContent>
        <mc:Choice Requires="wps">
          <w:drawing>
            <wp:anchor distT="0" distB="0" distL="0" distR="0" simplePos="0" relativeHeight="472868864" behindDoc="1" locked="0" layoutInCell="1" allowOverlap="1" wp14:anchorId="2AC48768" wp14:editId="508B6FD4">
              <wp:simplePos x="0" y="0"/>
              <wp:positionH relativeFrom="page">
                <wp:posOffset>3993225</wp:posOffset>
              </wp:positionH>
              <wp:positionV relativeFrom="page">
                <wp:posOffset>10339075</wp:posOffset>
              </wp:positionV>
              <wp:extent cx="3185795" cy="13208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985B81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55</w:t>
                          </w:r>
                          <w:r>
                            <w:rPr>
                              <w:b/>
                              <w:spacing w:val="-5"/>
                              <w:sz w:val="15"/>
                            </w:rPr>
                            <w:fldChar w:fldCharType="end"/>
                          </w:r>
                        </w:p>
                      </w:txbxContent>
                    </wps:txbx>
                    <wps:bodyPr wrap="square" lIns="0" tIns="0" rIns="0" bIns="0" rtlCol="0">
                      <a:noAutofit/>
                    </wps:bodyPr>
                  </wps:wsp>
                </a:graphicData>
              </a:graphic>
            </wp:anchor>
          </w:drawing>
        </mc:Choice>
        <mc:Fallback>
          <w:pict>
            <v:shapetype w14:anchorId="2AC48768" id="_x0000_t202" coordsize="21600,21600" o:spt="202" path="m,l,21600r21600,l21600,xe">
              <v:stroke joinstyle="miter"/>
              <v:path gradientshapeok="t" o:connecttype="rect"/>
            </v:shapetype>
            <v:shape id="Textbox 315" o:spid="_x0000_s1102" type="#_x0000_t202" style="position:absolute;margin-left:314.45pt;margin-top:814.1pt;width:250.85pt;height:10.4pt;z-index:-304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mFmgEAACMDAAAOAAAAZHJzL2Uyb0RvYy54bWysUs1uGyEQvlfqOyDuMWtHT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kp2ryer5a3H5acKTqbXy+qVTFcXG6HiOmLBsdy&#10;0fBIeRUG8vCEKb8v61PLROb1/cwkjduR2bbhy9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NtXaYWa&#10;AQAAIwMAAA4AAAAAAAAAAAAAAAAALgIAAGRycy9lMm9Eb2MueG1sUEsBAi0AFAAGAAgAAAAhALrt&#10;lTbhAAAADgEAAA8AAAAAAAAAAAAAAAAA9AMAAGRycy9kb3ducmV2LnhtbFBLBQYAAAAABAAEAPMA&#10;AAACBQAAAAA=&#10;" filled="f" stroked="f">
              <v:textbox inset="0,0,0,0">
                <w:txbxContent>
                  <w:p w14:paraId="7985B81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55</w:t>
                    </w:r>
                    <w:r>
                      <w:rPr>
                        <w:b/>
                        <w:spacing w:val="-5"/>
                        <w:sz w:val="1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02AC" w14:textId="77777777" w:rsidR="00AC6F3C" w:rsidRDefault="00570E88">
    <w:pPr>
      <w:pStyle w:val="BodyText"/>
      <w:spacing w:line="14" w:lineRule="auto"/>
    </w:pPr>
    <w:r>
      <w:rPr>
        <w:noProof/>
      </w:rPr>
      <mc:AlternateContent>
        <mc:Choice Requires="wps">
          <w:drawing>
            <wp:anchor distT="0" distB="0" distL="0" distR="0" simplePos="0" relativeHeight="472869376" behindDoc="1" locked="0" layoutInCell="1" allowOverlap="1" wp14:anchorId="104E0A0F" wp14:editId="1CE4A676">
              <wp:simplePos x="0" y="0"/>
              <wp:positionH relativeFrom="page">
                <wp:posOffset>3993225</wp:posOffset>
              </wp:positionH>
              <wp:positionV relativeFrom="page">
                <wp:posOffset>10339075</wp:posOffset>
              </wp:positionV>
              <wp:extent cx="3185795" cy="13208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FC7DD6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56</w:t>
                          </w:r>
                          <w:r>
                            <w:rPr>
                              <w:b/>
                              <w:spacing w:val="-5"/>
                              <w:sz w:val="15"/>
                            </w:rPr>
                            <w:fldChar w:fldCharType="end"/>
                          </w:r>
                        </w:p>
                      </w:txbxContent>
                    </wps:txbx>
                    <wps:bodyPr wrap="square" lIns="0" tIns="0" rIns="0" bIns="0" rtlCol="0">
                      <a:noAutofit/>
                    </wps:bodyPr>
                  </wps:wsp>
                </a:graphicData>
              </a:graphic>
            </wp:anchor>
          </w:drawing>
        </mc:Choice>
        <mc:Fallback>
          <w:pict>
            <v:shapetype w14:anchorId="104E0A0F" id="_x0000_t202" coordsize="21600,21600" o:spt="202" path="m,l,21600r21600,l21600,xe">
              <v:stroke joinstyle="miter"/>
              <v:path gradientshapeok="t" o:connecttype="rect"/>
            </v:shapetype>
            <v:shape id="Textbox 316" o:spid="_x0000_s1103" type="#_x0000_t202" style="position:absolute;margin-left:314.45pt;margin-top:814.1pt;width:250.85pt;height:10.4pt;z-index:-304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oxmgEAACM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23Dl6scY97aQnskMQPl2XB82cuoOeu/eTIsh38q4qnY&#10;noqY+jsoXyRr8vBpn8DYwuCCOzGgJAqx6dfkqP9cl67L3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PWW2jGa&#10;AQAAIwMAAA4AAAAAAAAAAAAAAAAALgIAAGRycy9lMm9Eb2MueG1sUEsBAi0AFAAGAAgAAAAhALrt&#10;lTbhAAAADgEAAA8AAAAAAAAAAAAAAAAA9AMAAGRycy9kb3ducmV2LnhtbFBLBQYAAAAABAAEAPMA&#10;AAACBQAAAAA=&#10;" filled="f" stroked="f">
              <v:textbox inset="0,0,0,0">
                <w:txbxContent>
                  <w:p w14:paraId="1FC7DD6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56</w:t>
                    </w:r>
                    <w:r>
                      <w:rPr>
                        <w:b/>
                        <w:spacing w:val="-5"/>
                        <w:sz w:val="1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3C8C" w14:textId="77777777" w:rsidR="00AC6F3C" w:rsidRDefault="00570E88">
    <w:pPr>
      <w:pStyle w:val="BodyText"/>
      <w:spacing w:line="14" w:lineRule="auto"/>
    </w:pPr>
    <w:r>
      <w:rPr>
        <w:noProof/>
      </w:rPr>
      <mc:AlternateContent>
        <mc:Choice Requires="wps">
          <w:drawing>
            <wp:anchor distT="0" distB="0" distL="0" distR="0" simplePos="0" relativeHeight="472869888" behindDoc="1" locked="0" layoutInCell="1" allowOverlap="1" wp14:anchorId="0AD2BB83" wp14:editId="51703E5F">
              <wp:simplePos x="0" y="0"/>
              <wp:positionH relativeFrom="page">
                <wp:posOffset>3993225</wp:posOffset>
              </wp:positionH>
              <wp:positionV relativeFrom="page">
                <wp:posOffset>10339075</wp:posOffset>
              </wp:positionV>
              <wp:extent cx="3185795" cy="13208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3FFD63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57</w:t>
                          </w:r>
                          <w:r>
                            <w:rPr>
                              <w:b/>
                              <w:spacing w:val="-5"/>
                              <w:sz w:val="15"/>
                            </w:rPr>
                            <w:fldChar w:fldCharType="end"/>
                          </w:r>
                        </w:p>
                      </w:txbxContent>
                    </wps:txbx>
                    <wps:bodyPr wrap="square" lIns="0" tIns="0" rIns="0" bIns="0" rtlCol="0">
                      <a:noAutofit/>
                    </wps:bodyPr>
                  </wps:wsp>
                </a:graphicData>
              </a:graphic>
            </wp:anchor>
          </w:drawing>
        </mc:Choice>
        <mc:Fallback>
          <w:pict>
            <v:shapetype w14:anchorId="0AD2BB83" id="_x0000_t202" coordsize="21600,21600" o:spt="202" path="m,l,21600r21600,l21600,xe">
              <v:stroke joinstyle="miter"/>
              <v:path gradientshapeok="t" o:connecttype="rect"/>
            </v:shapetype>
            <v:shape id="Textbox 317" o:spid="_x0000_s1104" type="#_x0000_t202" style="position:absolute;margin-left:314.45pt;margin-top:814.1pt;width:250.85pt;height:10.4pt;z-index:-304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LJOdkCa&#10;AQAAIwMAAA4AAAAAAAAAAAAAAAAALgIAAGRycy9lMm9Eb2MueG1sUEsBAi0AFAAGAAgAAAAhALrt&#10;lTbhAAAADgEAAA8AAAAAAAAAAAAAAAAA9AMAAGRycy9kb3ducmV2LnhtbFBLBQYAAAAABAAEAPMA&#10;AAACBQAAAAA=&#10;" filled="f" stroked="f">
              <v:textbox inset="0,0,0,0">
                <w:txbxContent>
                  <w:p w14:paraId="33FFD63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57</w:t>
                    </w:r>
                    <w:r>
                      <w:rPr>
                        <w:b/>
                        <w:spacing w:val="-5"/>
                        <w:sz w:val="1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D9FF" w14:textId="77777777" w:rsidR="00AC6F3C" w:rsidRDefault="00570E88">
    <w:pPr>
      <w:pStyle w:val="BodyText"/>
      <w:spacing w:line="14" w:lineRule="auto"/>
    </w:pPr>
    <w:r>
      <w:rPr>
        <w:noProof/>
      </w:rPr>
      <mc:AlternateContent>
        <mc:Choice Requires="wps">
          <w:drawing>
            <wp:anchor distT="0" distB="0" distL="0" distR="0" simplePos="0" relativeHeight="472870400" behindDoc="1" locked="0" layoutInCell="1" allowOverlap="1" wp14:anchorId="5A159BAD" wp14:editId="0A021B89">
              <wp:simplePos x="0" y="0"/>
              <wp:positionH relativeFrom="page">
                <wp:posOffset>3993225</wp:posOffset>
              </wp:positionH>
              <wp:positionV relativeFrom="page">
                <wp:posOffset>10339075</wp:posOffset>
              </wp:positionV>
              <wp:extent cx="3185795" cy="13208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DD2C4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58</w:t>
                          </w:r>
                          <w:r>
                            <w:rPr>
                              <w:b/>
                              <w:spacing w:val="-5"/>
                              <w:sz w:val="15"/>
                            </w:rPr>
                            <w:fldChar w:fldCharType="end"/>
                          </w:r>
                        </w:p>
                      </w:txbxContent>
                    </wps:txbx>
                    <wps:bodyPr wrap="square" lIns="0" tIns="0" rIns="0" bIns="0" rtlCol="0">
                      <a:noAutofit/>
                    </wps:bodyPr>
                  </wps:wsp>
                </a:graphicData>
              </a:graphic>
            </wp:anchor>
          </w:drawing>
        </mc:Choice>
        <mc:Fallback>
          <w:pict>
            <v:shapetype w14:anchorId="5A159BAD" id="_x0000_t202" coordsize="21600,21600" o:spt="202" path="m,l,21600r21600,l21600,xe">
              <v:stroke joinstyle="miter"/>
              <v:path gradientshapeok="t" o:connecttype="rect"/>
            </v:shapetype>
            <v:shape id="Textbox 338" o:spid="_x0000_s1105" type="#_x0000_t202" style="position:absolute;margin-left:314.45pt;margin-top:814.1pt;width:250.85pt;height:10.4pt;z-index:-304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DPXdOia&#10;AQAAIwMAAA4AAAAAAAAAAAAAAAAALgIAAGRycy9lMm9Eb2MueG1sUEsBAi0AFAAGAAgAAAAhALrt&#10;lTbhAAAADgEAAA8AAAAAAAAAAAAAAAAA9AMAAGRycy9kb3ducmV2LnhtbFBLBQYAAAAABAAEAPMA&#10;AAACBQAAAAA=&#10;" filled="f" stroked="f">
              <v:textbox inset="0,0,0,0">
                <w:txbxContent>
                  <w:p w14:paraId="7DD2C41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58</w:t>
                    </w:r>
                    <w:r>
                      <w:rPr>
                        <w:b/>
                        <w:spacing w:val="-5"/>
                        <w:sz w:val="1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24CA" w14:textId="77777777" w:rsidR="00AC6F3C" w:rsidRDefault="00570E88">
    <w:pPr>
      <w:pStyle w:val="BodyText"/>
      <w:spacing w:line="14" w:lineRule="auto"/>
    </w:pPr>
    <w:r>
      <w:rPr>
        <w:noProof/>
      </w:rPr>
      <mc:AlternateContent>
        <mc:Choice Requires="wps">
          <w:drawing>
            <wp:anchor distT="0" distB="0" distL="0" distR="0" simplePos="0" relativeHeight="472870912" behindDoc="1" locked="0" layoutInCell="1" allowOverlap="1" wp14:anchorId="0DE70886" wp14:editId="733EC788">
              <wp:simplePos x="0" y="0"/>
              <wp:positionH relativeFrom="page">
                <wp:posOffset>3993225</wp:posOffset>
              </wp:positionH>
              <wp:positionV relativeFrom="page">
                <wp:posOffset>10339075</wp:posOffset>
              </wp:positionV>
              <wp:extent cx="3185795" cy="13208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52E1C2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59</w:t>
                          </w:r>
                          <w:r>
                            <w:rPr>
                              <w:b/>
                              <w:spacing w:val="-5"/>
                              <w:sz w:val="15"/>
                            </w:rPr>
                            <w:fldChar w:fldCharType="end"/>
                          </w:r>
                        </w:p>
                      </w:txbxContent>
                    </wps:txbx>
                    <wps:bodyPr wrap="square" lIns="0" tIns="0" rIns="0" bIns="0" rtlCol="0">
                      <a:noAutofit/>
                    </wps:bodyPr>
                  </wps:wsp>
                </a:graphicData>
              </a:graphic>
            </wp:anchor>
          </w:drawing>
        </mc:Choice>
        <mc:Fallback>
          <w:pict>
            <v:shapetype w14:anchorId="0DE70886" id="_x0000_t202" coordsize="21600,21600" o:spt="202" path="m,l,21600r21600,l21600,xe">
              <v:stroke joinstyle="miter"/>
              <v:path gradientshapeok="t" o:connecttype="rect"/>
            </v:shapetype>
            <v:shape id="Textbox 351" o:spid="_x0000_s1106" type="#_x0000_t202" style="position:absolute;margin-left:314.45pt;margin-top:814.1pt;width:250.85pt;height:10.4pt;z-index:-304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HQP2Jma&#10;AQAAIwMAAA4AAAAAAAAAAAAAAAAALgIAAGRycy9lMm9Eb2MueG1sUEsBAi0AFAAGAAgAAAAhALrt&#10;lTbhAAAADgEAAA8AAAAAAAAAAAAAAAAA9AMAAGRycy9kb3ducmV2LnhtbFBLBQYAAAAABAAEAPMA&#10;AAACBQAAAAA=&#10;" filled="f" stroked="f">
              <v:textbox inset="0,0,0,0">
                <w:txbxContent>
                  <w:p w14:paraId="652E1C2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59</w:t>
                    </w:r>
                    <w:r>
                      <w:rPr>
                        <w:b/>
                        <w:spacing w:val="-5"/>
                        <w:sz w:val="1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A0DA" w14:textId="77777777" w:rsidR="00AC6F3C" w:rsidRDefault="00570E88">
    <w:pPr>
      <w:pStyle w:val="BodyText"/>
      <w:spacing w:line="14" w:lineRule="auto"/>
    </w:pPr>
    <w:r>
      <w:rPr>
        <w:noProof/>
      </w:rPr>
      <mc:AlternateContent>
        <mc:Choice Requires="wps">
          <w:drawing>
            <wp:anchor distT="0" distB="0" distL="0" distR="0" simplePos="0" relativeHeight="472871424" behindDoc="1" locked="0" layoutInCell="1" allowOverlap="1" wp14:anchorId="4A7997DA" wp14:editId="35C37251">
              <wp:simplePos x="0" y="0"/>
              <wp:positionH relativeFrom="page">
                <wp:posOffset>3993225</wp:posOffset>
              </wp:positionH>
              <wp:positionV relativeFrom="page">
                <wp:posOffset>10339075</wp:posOffset>
              </wp:positionV>
              <wp:extent cx="3185795" cy="13208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A2E71E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60</w:t>
                          </w:r>
                          <w:r>
                            <w:rPr>
                              <w:b/>
                              <w:spacing w:val="-5"/>
                              <w:sz w:val="15"/>
                            </w:rPr>
                            <w:fldChar w:fldCharType="end"/>
                          </w:r>
                        </w:p>
                      </w:txbxContent>
                    </wps:txbx>
                    <wps:bodyPr wrap="square" lIns="0" tIns="0" rIns="0" bIns="0" rtlCol="0">
                      <a:noAutofit/>
                    </wps:bodyPr>
                  </wps:wsp>
                </a:graphicData>
              </a:graphic>
            </wp:anchor>
          </w:drawing>
        </mc:Choice>
        <mc:Fallback>
          <w:pict>
            <v:shapetype w14:anchorId="4A7997DA" id="_x0000_t202" coordsize="21600,21600" o:spt="202" path="m,l,21600r21600,l21600,xe">
              <v:stroke joinstyle="miter"/>
              <v:path gradientshapeok="t" o:connecttype="rect"/>
            </v:shapetype>
            <v:shape id="Textbox 367" o:spid="_x0000_s1107" type="#_x0000_t202" style="position:absolute;margin-left:314.45pt;margin-top:814.1pt;width:250.85pt;height:10.4pt;z-index:-304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L1nLQua&#10;AQAAIwMAAA4AAAAAAAAAAAAAAAAALgIAAGRycy9lMm9Eb2MueG1sUEsBAi0AFAAGAAgAAAAhALrt&#10;lTbhAAAADgEAAA8AAAAAAAAAAAAAAAAA9AMAAGRycy9kb3ducmV2LnhtbFBLBQYAAAAABAAEAPMA&#10;AAACBQAAAAA=&#10;" filled="f" stroked="f">
              <v:textbox inset="0,0,0,0">
                <w:txbxContent>
                  <w:p w14:paraId="7A2E71E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60</w:t>
                    </w:r>
                    <w:r>
                      <w:rPr>
                        <w:b/>
                        <w:spacing w:val="-5"/>
                        <w:sz w:val="1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1104" w14:textId="77777777" w:rsidR="00AC6F3C" w:rsidRDefault="00570E88">
    <w:pPr>
      <w:pStyle w:val="BodyText"/>
      <w:spacing w:line="14" w:lineRule="auto"/>
    </w:pPr>
    <w:r>
      <w:rPr>
        <w:noProof/>
      </w:rPr>
      <mc:AlternateContent>
        <mc:Choice Requires="wps">
          <w:drawing>
            <wp:anchor distT="0" distB="0" distL="0" distR="0" simplePos="0" relativeHeight="472871936" behindDoc="1" locked="0" layoutInCell="1" allowOverlap="1" wp14:anchorId="26056B63" wp14:editId="38F58643">
              <wp:simplePos x="0" y="0"/>
              <wp:positionH relativeFrom="page">
                <wp:posOffset>3993225</wp:posOffset>
              </wp:positionH>
              <wp:positionV relativeFrom="page">
                <wp:posOffset>10339075</wp:posOffset>
              </wp:positionV>
              <wp:extent cx="3185795" cy="13208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65F26D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61</w:t>
                          </w:r>
                          <w:r>
                            <w:rPr>
                              <w:b/>
                              <w:spacing w:val="-5"/>
                              <w:sz w:val="15"/>
                            </w:rPr>
                            <w:fldChar w:fldCharType="end"/>
                          </w:r>
                        </w:p>
                      </w:txbxContent>
                    </wps:txbx>
                    <wps:bodyPr wrap="square" lIns="0" tIns="0" rIns="0" bIns="0" rtlCol="0">
                      <a:noAutofit/>
                    </wps:bodyPr>
                  </wps:wsp>
                </a:graphicData>
              </a:graphic>
            </wp:anchor>
          </w:drawing>
        </mc:Choice>
        <mc:Fallback>
          <w:pict>
            <v:shapetype w14:anchorId="26056B63" id="_x0000_t202" coordsize="21600,21600" o:spt="202" path="m,l,21600r21600,l21600,xe">
              <v:stroke joinstyle="miter"/>
              <v:path gradientshapeok="t" o:connecttype="rect"/>
            </v:shapetype>
            <v:shape id="Textbox 368" o:spid="_x0000_s1108" type="#_x0000_t202" style="position:absolute;margin-left:314.45pt;margin-top:814.1pt;width:250.85pt;height:10.4pt;z-index:-304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F6mgEAACMDAAAOAAAAZHJzL2Uyb0RvYy54bWysUs1uGyEQvlfKOyDuNWtbSd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Lmcr65vP1xzpuhsvlxUq2K4uNwOEdMXDY7l&#10;ouGR8ioM5OEJU35f1qeWiczr+5lJGrcjs23Db5Y5xry1hfZIYgbKs+H4ay+j5qx/9GRYDv9UxFOx&#10;PRUx9fd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Pq/gXqa&#10;AQAAIwMAAA4AAAAAAAAAAAAAAAAALgIAAGRycy9lMm9Eb2MueG1sUEsBAi0AFAAGAAgAAAAhALrt&#10;lTbhAAAADgEAAA8AAAAAAAAAAAAAAAAA9AMAAGRycy9kb3ducmV2LnhtbFBLBQYAAAAABAAEAPMA&#10;AAACBQAAAAA=&#10;" filled="f" stroked="f">
              <v:textbox inset="0,0,0,0">
                <w:txbxContent>
                  <w:p w14:paraId="365F26D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61</w:t>
                    </w:r>
                    <w:r>
                      <w:rPr>
                        <w:b/>
                        <w:spacing w:val="-5"/>
                        <w:sz w:val="1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A16A" w14:textId="77777777" w:rsidR="00AC6F3C" w:rsidRDefault="00570E88">
    <w:pPr>
      <w:pStyle w:val="BodyText"/>
      <w:spacing w:line="14" w:lineRule="auto"/>
    </w:pPr>
    <w:r>
      <w:rPr>
        <w:noProof/>
      </w:rPr>
      <mc:AlternateContent>
        <mc:Choice Requires="wps">
          <w:drawing>
            <wp:anchor distT="0" distB="0" distL="0" distR="0" simplePos="0" relativeHeight="472872448" behindDoc="1" locked="0" layoutInCell="1" allowOverlap="1" wp14:anchorId="3E2C9540" wp14:editId="4F669B14">
              <wp:simplePos x="0" y="0"/>
              <wp:positionH relativeFrom="page">
                <wp:posOffset>3993225</wp:posOffset>
              </wp:positionH>
              <wp:positionV relativeFrom="page">
                <wp:posOffset>10339075</wp:posOffset>
              </wp:positionV>
              <wp:extent cx="3185795" cy="13208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A59C0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62</w:t>
                          </w:r>
                          <w:r>
                            <w:rPr>
                              <w:b/>
                              <w:spacing w:val="-5"/>
                              <w:sz w:val="15"/>
                            </w:rPr>
                            <w:fldChar w:fldCharType="end"/>
                          </w:r>
                        </w:p>
                      </w:txbxContent>
                    </wps:txbx>
                    <wps:bodyPr wrap="square" lIns="0" tIns="0" rIns="0" bIns="0" rtlCol="0">
                      <a:noAutofit/>
                    </wps:bodyPr>
                  </wps:wsp>
                </a:graphicData>
              </a:graphic>
            </wp:anchor>
          </w:drawing>
        </mc:Choice>
        <mc:Fallback>
          <w:pict>
            <v:shapetype w14:anchorId="3E2C9540" id="_x0000_t202" coordsize="21600,21600" o:spt="202" path="m,l,21600r21600,l21600,xe">
              <v:stroke joinstyle="miter"/>
              <v:path gradientshapeok="t" o:connecttype="rect"/>
            </v:shapetype>
            <v:shape id="Textbox 369" o:spid="_x0000_s1109" type="#_x0000_t202" style="position:absolute;margin-left:314.45pt;margin-top:814.1pt;width:250.85pt;height:10.4pt;z-index:-304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BusLb1&#10;mwEAACMDAAAOAAAAAAAAAAAAAAAAAC4CAABkcnMvZTJvRG9jLnhtbFBLAQItABQABgAIAAAAIQC6&#10;7ZU24QAAAA4BAAAPAAAAAAAAAAAAAAAAAPUDAABkcnMvZG93bnJldi54bWxQSwUGAAAAAAQABADz&#10;AAAAAwUAAAAA&#10;" filled="f" stroked="f">
              <v:textbox inset="0,0,0,0">
                <w:txbxContent>
                  <w:p w14:paraId="0A59C0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62</w:t>
                    </w:r>
                    <w:r>
                      <w:rPr>
                        <w:b/>
                        <w:spacing w:val="-5"/>
                        <w:sz w:val="1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39DC" w14:textId="77777777" w:rsidR="00AC6F3C" w:rsidRDefault="00570E88">
    <w:pPr>
      <w:pStyle w:val="BodyText"/>
      <w:spacing w:line="14" w:lineRule="auto"/>
    </w:pPr>
    <w:r>
      <w:rPr>
        <w:noProof/>
      </w:rPr>
      <mc:AlternateContent>
        <mc:Choice Requires="wps">
          <w:drawing>
            <wp:anchor distT="0" distB="0" distL="0" distR="0" simplePos="0" relativeHeight="472872960" behindDoc="1" locked="0" layoutInCell="1" allowOverlap="1" wp14:anchorId="2E583E82" wp14:editId="0A62DED1">
              <wp:simplePos x="0" y="0"/>
              <wp:positionH relativeFrom="page">
                <wp:posOffset>3993225</wp:posOffset>
              </wp:positionH>
              <wp:positionV relativeFrom="page">
                <wp:posOffset>10339075</wp:posOffset>
              </wp:positionV>
              <wp:extent cx="3185795" cy="13208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E607F7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63</w:t>
                          </w:r>
                          <w:r>
                            <w:rPr>
                              <w:b/>
                              <w:spacing w:val="-5"/>
                              <w:sz w:val="15"/>
                            </w:rPr>
                            <w:fldChar w:fldCharType="end"/>
                          </w:r>
                        </w:p>
                      </w:txbxContent>
                    </wps:txbx>
                    <wps:bodyPr wrap="square" lIns="0" tIns="0" rIns="0" bIns="0" rtlCol="0">
                      <a:noAutofit/>
                    </wps:bodyPr>
                  </wps:wsp>
                </a:graphicData>
              </a:graphic>
            </wp:anchor>
          </w:drawing>
        </mc:Choice>
        <mc:Fallback>
          <w:pict>
            <v:shapetype w14:anchorId="2E583E82" id="_x0000_t202" coordsize="21600,21600" o:spt="202" path="m,l,21600r21600,l21600,xe">
              <v:stroke joinstyle="miter"/>
              <v:path gradientshapeok="t" o:connecttype="rect"/>
            </v:shapetype>
            <v:shape id="Textbox 370" o:spid="_x0000_s1110" type="#_x0000_t202" style="position:absolute;margin-left:314.45pt;margin-top:814.1pt;width:250.85pt;height:10.4pt;z-index:-304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qEmgEAACMDAAAOAAAAZHJzL2Uyb0RvYy54bWysUs1uGyEQvlfqOyDuMWtHT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kp2ryer5a3H5acKTqbXy+qVTFcXG6HiOmLBsdy&#10;0fBIeRUG8vCEKb8v61PLROb1/cwkjduR2bbhN8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loGoSa&#10;AQAAIwMAAA4AAAAAAAAAAAAAAAAALgIAAGRycy9lMm9Eb2MueG1sUEsBAi0AFAAGAAgAAAAhALrt&#10;lTbhAAAADgEAAA8AAAAAAAAAAAAAAAAA9AMAAGRycy9kb3ducmV2LnhtbFBLBQYAAAAABAAEAPMA&#10;AAACBQAAAAA=&#10;" filled="f" stroked="f">
              <v:textbox inset="0,0,0,0">
                <w:txbxContent>
                  <w:p w14:paraId="4E607F7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63</w:t>
                    </w:r>
                    <w:r>
                      <w:rPr>
                        <w:b/>
                        <w:spacing w:val="-5"/>
                        <w:sz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FA77" w14:textId="77777777" w:rsidR="00AC6F3C" w:rsidRDefault="00570E88">
    <w:pPr>
      <w:pStyle w:val="BodyText"/>
      <w:spacing w:line="14" w:lineRule="auto"/>
    </w:pPr>
    <w:r>
      <w:rPr>
        <w:noProof/>
      </w:rPr>
      <mc:AlternateContent>
        <mc:Choice Requires="wps">
          <w:drawing>
            <wp:anchor distT="0" distB="0" distL="0" distR="0" simplePos="0" relativeHeight="472841216" behindDoc="1" locked="0" layoutInCell="1" allowOverlap="1" wp14:anchorId="5B0C032B" wp14:editId="76E27185">
              <wp:simplePos x="0" y="0"/>
              <wp:positionH relativeFrom="page">
                <wp:posOffset>3993225</wp:posOffset>
              </wp:positionH>
              <wp:positionV relativeFrom="page">
                <wp:posOffset>10339075</wp:posOffset>
              </wp:positionV>
              <wp:extent cx="3185795" cy="1320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E1190A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w:t>
                          </w:r>
                          <w:r>
                            <w:rPr>
                              <w:b/>
                              <w:spacing w:val="-5"/>
                              <w:sz w:val="15"/>
                            </w:rPr>
                            <w:fldChar w:fldCharType="end"/>
                          </w:r>
                        </w:p>
                      </w:txbxContent>
                    </wps:txbx>
                    <wps:bodyPr wrap="square" lIns="0" tIns="0" rIns="0" bIns="0" rtlCol="0">
                      <a:noAutofit/>
                    </wps:bodyPr>
                  </wps:wsp>
                </a:graphicData>
              </a:graphic>
            </wp:anchor>
          </w:drawing>
        </mc:Choice>
        <mc:Fallback>
          <w:pict>
            <v:shapetype w14:anchorId="5B0C032B" id="_x0000_t202" coordsize="21600,21600" o:spt="202" path="m,l,21600r21600,l21600,xe">
              <v:stroke joinstyle="miter"/>
              <v:path gradientshapeok="t" o:connecttype="rect"/>
            </v:shapetype>
            <v:shape id="Textbox 40" o:spid="_x0000_s1050" type="#_x0000_t202" style="position:absolute;margin-left:314.45pt;margin-top:814.1pt;width:250.85pt;height:10.4pt;z-index:-304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igmQEAACI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23DlznFvLOF9khaBoqz4fiyl1Fz1n/z5FfO/lTEU7E9&#10;FTH1d1B+SJbk4dM+gbGFwAV3IkBBFF7Tp8lJ/7kuXZevvfkN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5w14oJkB&#10;AAAiAwAADgAAAAAAAAAAAAAAAAAuAgAAZHJzL2Uyb0RvYy54bWxQSwECLQAUAAYACAAAACEAuu2V&#10;NuEAAAAOAQAADwAAAAAAAAAAAAAAAADzAwAAZHJzL2Rvd25yZXYueG1sUEsFBgAAAAAEAAQA8wAA&#10;AAEFAAAAAA==&#10;" filled="f" stroked="f">
              <v:textbox inset="0,0,0,0">
                <w:txbxContent>
                  <w:p w14:paraId="2E1190A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w:t>
                    </w:r>
                    <w:r>
                      <w:rPr>
                        <w:b/>
                        <w:spacing w:val="-5"/>
                        <w:sz w:val="1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B3CA" w14:textId="77777777" w:rsidR="00AC6F3C" w:rsidRDefault="00570E88">
    <w:pPr>
      <w:pStyle w:val="BodyText"/>
      <w:spacing w:line="14" w:lineRule="auto"/>
    </w:pPr>
    <w:r>
      <w:rPr>
        <w:noProof/>
      </w:rPr>
      <mc:AlternateContent>
        <mc:Choice Requires="wps">
          <w:drawing>
            <wp:anchor distT="0" distB="0" distL="0" distR="0" simplePos="0" relativeHeight="472873472" behindDoc="1" locked="0" layoutInCell="1" allowOverlap="1" wp14:anchorId="0E0AA662" wp14:editId="499DC8C1">
              <wp:simplePos x="0" y="0"/>
              <wp:positionH relativeFrom="page">
                <wp:posOffset>3993225</wp:posOffset>
              </wp:positionH>
              <wp:positionV relativeFrom="page">
                <wp:posOffset>10339075</wp:posOffset>
              </wp:positionV>
              <wp:extent cx="3185795" cy="13208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82CCE1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64</w:t>
                          </w:r>
                          <w:r>
                            <w:rPr>
                              <w:b/>
                              <w:spacing w:val="-5"/>
                              <w:sz w:val="15"/>
                            </w:rPr>
                            <w:fldChar w:fldCharType="end"/>
                          </w:r>
                        </w:p>
                      </w:txbxContent>
                    </wps:txbx>
                    <wps:bodyPr wrap="square" lIns="0" tIns="0" rIns="0" bIns="0" rtlCol="0">
                      <a:noAutofit/>
                    </wps:bodyPr>
                  </wps:wsp>
                </a:graphicData>
              </a:graphic>
            </wp:anchor>
          </w:drawing>
        </mc:Choice>
        <mc:Fallback>
          <w:pict>
            <v:shapetype w14:anchorId="0E0AA662" id="_x0000_t202" coordsize="21600,21600" o:spt="202" path="m,l,21600r21600,l21600,xe">
              <v:stroke joinstyle="miter"/>
              <v:path gradientshapeok="t" o:connecttype="rect"/>
            </v:shapetype>
            <v:shape id="Textbox 371" o:spid="_x0000_s1111" type="#_x0000_t202" style="position:absolute;margin-left:314.45pt;margin-top:814.1pt;width:250.85pt;height:10.4pt;z-index:-304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OAA7xaa&#10;AQAAIwMAAA4AAAAAAAAAAAAAAAAALgIAAGRycy9lMm9Eb2MueG1sUEsBAi0AFAAGAAgAAAAhALrt&#10;lTbhAAAADgEAAA8AAAAAAAAAAAAAAAAA9AMAAGRycy9kb3ducmV2LnhtbFBLBQYAAAAABAAEAPMA&#10;AAACBQAAAAA=&#10;" filled="f" stroked="f">
              <v:textbox inset="0,0,0,0">
                <w:txbxContent>
                  <w:p w14:paraId="382CCE1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64</w:t>
                    </w:r>
                    <w:r>
                      <w:rPr>
                        <w:b/>
                        <w:spacing w:val="-5"/>
                        <w:sz w:val="1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0105" w14:textId="77777777" w:rsidR="00AC6F3C" w:rsidRDefault="00570E88">
    <w:pPr>
      <w:pStyle w:val="BodyText"/>
      <w:spacing w:line="14" w:lineRule="auto"/>
    </w:pPr>
    <w:r>
      <w:rPr>
        <w:noProof/>
      </w:rPr>
      <mc:AlternateContent>
        <mc:Choice Requires="wps">
          <w:drawing>
            <wp:anchor distT="0" distB="0" distL="0" distR="0" simplePos="0" relativeHeight="472873984" behindDoc="1" locked="0" layoutInCell="1" allowOverlap="1" wp14:anchorId="452B7512" wp14:editId="2F370F07">
              <wp:simplePos x="0" y="0"/>
              <wp:positionH relativeFrom="page">
                <wp:posOffset>3993225</wp:posOffset>
              </wp:positionH>
              <wp:positionV relativeFrom="page">
                <wp:posOffset>10339075</wp:posOffset>
              </wp:positionV>
              <wp:extent cx="3185795" cy="13208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EBC08E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65</w:t>
                          </w:r>
                          <w:r>
                            <w:rPr>
                              <w:b/>
                              <w:spacing w:val="-5"/>
                              <w:sz w:val="15"/>
                            </w:rPr>
                            <w:fldChar w:fldCharType="end"/>
                          </w:r>
                        </w:p>
                      </w:txbxContent>
                    </wps:txbx>
                    <wps:bodyPr wrap="square" lIns="0" tIns="0" rIns="0" bIns="0" rtlCol="0">
                      <a:noAutofit/>
                    </wps:bodyPr>
                  </wps:wsp>
                </a:graphicData>
              </a:graphic>
            </wp:anchor>
          </w:drawing>
        </mc:Choice>
        <mc:Fallback>
          <w:pict>
            <v:shapetype w14:anchorId="452B7512" id="_x0000_t202" coordsize="21600,21600" o:spt="202" path="m,l,21600r21600,l21600,xe">
              <v:stroke joinstyle="miter"/>
              <v:path gradientshapeok="t" o:connecttype="rect"/>
            </v:shapetype>
            <v:shape id="Textbox 372" o:spid="_x0000_s1112" type="#_x0000_t202" style="position:absolute;margin-left:314.45pt;margin-top:814.1pt;width:250.85pt;height:10.4pt;z-index:-304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KfYQ2ea&#10;AQAAIwMAAA4AAAAAAAAAAAAAAAAALgIAAGRycy9lMm9Eb2MueG1sUEsBAi0AFAAGAAgAAAAhALrt&#10;lTbhAAAADgEAAA8AAAAAAAAAAAAAAAAA9AMAAGRycy9kb3ducmV2LnhtbFBLBQYAAAAABAAEAPMA&#10;AAACBQAAAAA=&#10;" filled="f" stroked="f">
              <v:textbox inset="0,0,0,0">
                <w:txbxContent>
                  <w:p w14:paraId="2EBC08E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65</w:t>
                    </w:r>
                    <w:r>
                      <w:rPr>
                        <w:b/>
                        <w:spacing w:val="-5"/>
                        <w:sz w:val="1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0C00" w14:textId="77777777" w:rsidR="00AC6F3C" w:rsidRDefault="00570E88">
    <w:pPr>
      <w:pStyle w:val="BodyText"/>
      <w:spacing w:line="14" w:lineRule="auto"/>
    </w:pPr>
    <w:r>
      <w:rPr>
        <w:noProof/>
      </w:rPr>
      <mc:AlternateContent>
        <mc:Choice Requires="wps">
          <w:drawing>
            <wp:anchor distT="0" distB="0" distL="0" distR="0" simplePos="0" relativeHeight="472874496" behindDoc="1" locked="0" layoutInCell="1" allowOverlap="1" wp14:anchorId="6E485110" wp14:editId="675AC4A0">
              <wp:simplePos x="0" y="0"/>
              <wp:positionH relativeFrom="page">
                <wp:posOffset>3993225</wp:posOffset>
              </wp:positionH>
              <wp:positionV relativeFrom="page">
                <wp:posOffset>10339075</wp:posOffset>
              </wp:positionV>
              <wp:extent cx="3185795" cy="13208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9089D2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66</w:t>
                          </w:r>
                          <w:r>
                            <w:rPr>
                              <w:b/>
                              <w:spacing w:val="-5"/>
                              <w:sz w:val="15"/>
                            </w:rPr>
                            <w:fldChar w:fldCharType="end"/>
                          </w:r>
                        </w:p>
                      </w:txbxContent>
                    </wps:txbx>
                    <wps:bodyPr wrap="square" lIns="0" tIns="0" rIns="0" bIns="0" rtlCol="0">
                      <a:noAutofit/>
                    </wps:bodyPr>
                  </wps:wsp>
                </a:graphicData>
              </a:graphic>
            </wp:anchor>
          </w:drawing>
        </mc:Choice>
        <mc:Fallback>
          <w:pict>
            <v:shapetype w14:anchorId="6E485110" id="_x0000_t202" coordsize="21600,21600" o:spt="202" path="m,l,21600r21600,l21600,xe">
              <v:stroke joinstyle="miter"/>
              <v:path gradientshapeok="t" o:connecttype="rect"/>
            </v:shapetype>
            <v:shape id="Textbox 405" o:spid="_x0000_s1113" type="#_x0000_t202" style="position:absolute;margin-left:314.45pt;margin-top:814.1pt;width:250.85pt;height:10.4pt;z-index:-304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IkZ8NOa&#10;AQAAIwMAAA4AAAAAAAAAAAAAAAAALgIAAGRycy9lMm9Eb2MueG1sUEsBAi0AFAAGAAgAAAAhALrt&#10;lTbhAAAADgEAAA8AAAAAAAAAAAAAAAAA9AMAAGRycy9kb3ducmV2LnhtbFBLBQYAAAAABAAEAPMA&#10;AAACBQAAAAA=&#10;" filled="f" stroked="f">
              <v:textbox inset="0,0,0,0">
                <w:txbxContent>
                  <w:p w14:paraId="09089D2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66</w:t>
                    </w:r>
                    <w:r>
                      <w:rPr>
                        <w:b/>
                        <w:spacing w:val="-5"/>
                        <w:sz w:val="1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D98A" w14:textId="77777777" w:rsidR="00AC6F3C" w:rsidRDefault="00570E88">
    <w:pPr>
      <w:pStyle w:val="BodyText"/>
      <w:spacing w:line="14" w:lineRule="auto"/>
    </w:pPr>
    <w:r>
      <w:rPr>
        <w:noProof/>
      </w:rPr>
      <mc:AlternateContent>
        <mc:Choice Requires="wps">
          <w:drawing>
            <wp:anchor distT="0" distB="0" distL="0" distR="0" simplePos="0" relativeHeight="472875008" behindDoc="1" locked="0" layoutInCell="1" allowOverlap="1" wp14:anchorId="20362B08" wp14:editId="591DA3E0">
              <wp:simplePos x="0" y="0"/>
              <wp:positionH relativeFrom="page">
                <wp:posOffset>3993225</wp:posOffset>
              </wp:positionH>
              <wp:positionV relativeFrom="page">
                <wp:posOffset>10339075</wp:posOffset>
              </wp:positionV>
              <wp:extent cx="3185795" cy="13208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DD39E1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67</w:t>
                          </w:r>
                          <w:r>
                            <w:rPr>
                              <w:b/>
                              <w:spacing w:val="-5"/>
                              <w:sz w:val="15"/>
                            </w:rPr>
                            <w:fldChar w:fldCharType="end"/>
                          </w:r>
                        </w:p>
                      </w:txbxContent>
                    </wps:txbx>
                    <wps:bodyPr wrap="square" lIns="0" tIns="0" rIns="0" bIns="0" rtlCol="0">
                      <a:noAutofit/>
                    </wps:bodyPr>
                  </wps:wsp>
                </a:graphicData>
              </a:graphic>
            </wp:anchor>
          </w:drawing>
        </mc:Choice>
        <mc:Fallback>
          <w:pict>
            <v:shapetype w14:anchorId="20362B08" id="_x0000_t202" coordsize="21600,21600" o:spt="202" path="m,l,21600r21600,l21600,xe">
              <v:stroke joinstyle="miter"/>
              <v:path gradientshapeok="t" o:connecttype="rect"/>
            </v:shapetype>
            <v:shape id="Textbox 406" o:spid="_x0000_s1114" type="#_x0000_t202" style="position:absolute;margin-left:314.45pt;margin-top:814.1pt;width:250.85pt;height:10.4pt;z-index:-304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M7BXKKa&#10;AQAAIwMAAA4AAAAAAAAAAAAAAAAALgIAAGRycy9lMm9Eb2MueG1sUEsBAi0AFAAGAAgAAAAhALrt&#10;lTbhAAAADgEAAA8AAAAAAAAAAAAAAAAA9AMAAGRycy9kb3ducmV2LnhtbFBLBQYAAAAABAAEAPMA&#10;AAACBQAAAAA=&#10;" filled="f" stroked="f">
              <v:textbox inset="0,0,0,0">
                <w:txbxContent>
                  <w:p w14:paraId="6DD39E1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67</w:t>
                    </w:r>
                    <w:r>
                      <w:rPr>
                        <w:b/>
                        <w:spacing w:val="-5"/>
                        <w:sz w:val="1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51EB" w14:textId="77777777" w:rsidR="00AC6F3C" w:rsidRDefault="00570E88">
    <w:pPr>
      <w:pStyle w:val="BodyText"/>
      <w:spacing w:line="14" w:lineRule="auto"/>
    </w:pPr>
    <w:r>
      <w:rPr>
        <w:noProof/>
      </w:rPr>
      <mc:AlternateContent>
        <mc:Choice Requires="wps">
          <w:drawing>
            <wp:anchor distT="0" distB="0" distL="0" distR="0" simplePos="0" relativeHeight="472875520" behindDoc="1" locked="0" layoutInCell="1" allowOverlap="1" wp14:anchorId="6124BDA3" wp14:editId="598BFA51">
              <wp:simplePos x="0" y="0"/>
              <wp:positionH relativeFrom="page">
                <wp:posOffset>3993225</wp:posOffset>
              </wp:positionH>
              <wp:positionV relativeFrom="page">
                <wp:posOffset>10339075</wp:posOffset>
              </wp:positionV>
              <wp:extent cx="3185795" cy="13208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560F329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68</w:t>
                          </w:r>
                          <w:r>
                            <w:rPr>
                              <w:b/>
                              <w:spacing w:val="-5"/>
                              <w:sz w:val="15"/>
                            </w:rPr>
                            <w:fldChar w:fldCharType="end"/>
                          </w:r>
                        </w:p>
                      </w:txbxContent>
                    </wps:txbx>
                    <wps:bodyPr wrap="square" lIns="0" tIns="0" rIns="0" bIns="0" rtlCol="0">
                      <a:noAutofit/>
                    </wps:bodyPr>
                  </wps:wsp>
                </a:graphicData>
              </a:graphic>
            </wp:anchor>
          </w:drawing>
        </mc:Choice>
        <mc:Fallback>
          <w:pict>
            <v:shapetype w14:anchorId="6124BDA3" id="_x0000_t202" coordsize="21600,21600" o:spt="202" path="m,l,21600r21600,l21600,xe">
              <v:stroke joinstyle="miter"/>
              <v:path gradientshapeok="t" o:connecttype="rect"/>
            </v:shapetype>
            <v:shape id="Textbox 407" o:spid="_x0000_s1115" type="#_x0000_t202" style="position:absolute;margin-left:314.45pt;margin-top:814.1pt;width:250.85pt;height:10.4pt;z-index:-304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NivvQCa&#10;AQAAIwMAAA4AAAAAAAAAAAAAAAAALgIAAGRycy9lMm9Eb2MueG1sUEsBAi0AFAAGAAgAAAAhALrt&#10;lTbhAAAADgEAAA8AAAAAAAAAAAAAAAAA9AMAAGRycy9kb3ducmV2LnhtbFBLBQYAAAAABAAEAPMA&#10;AAACBQAAAAA=&#10;" filled="f" stroked="f">
              <v:textbox inset="0,0,0,0">
                <w:txbxContent>
                  <w:p w14:paraId="560F329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68</w:t>
                    </w:r>
                    <w:r>
                      <w:rPr>
                        <w:b/>
                        <w:spacing w:val="-5"/>
                        <w:sz w:val="1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C617" w14:textId="77777777" w:rsidR="00AC6F3C" w:rsidRDefault="00570E88">
    <w:pPr>
      <w:pStyle w:val="BodyText"/>
      <w:spacing w:line="14" w:lineRule="auto"/>
    </w:pPr>
    <w:r>
      <w:rPr>
        <w:noProof/>
      </w:rPr>
      <mc:AlternateContent>
        <mc:Choice Requires="wps">
          <w:drawing>
            <wp:anchor distT="0" distB="0" distL="0" distR="0" simplePos="0" relativeHeight="472876032" behindDoc="1" locked="0" layoutInCell="1" allowOverlap="1" wp14:anchorId="6A0EE90A" wp14:editId="590F08E3">
              <wp:simplePos x="0" y="0"/>
              <wp:positionH relativeFrom="page">
                <wp:posOffset>3993225</wp:posOffset>
              </wp:positionH>
              <wp:positionV relativeFrom="page">
                <wp:posOffset>10339075</wp:posOffset>
              </wp:positionV>
              <wp:extent cx="3185795" cy="13208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6E4360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69</w:t>
                          </w:r>
                          <w:r>
                            <w:rPr>
                              <w:b/>
                              <w:spacing w:val="-5"/>
                              <w:sz w:val="15"/>
                            </w:rPr>
                            <w:fldChar w:fldCharType="end"/>
                          </w:r>
                        </w:p>
                      </w:txbxContent>
                    </wps:txbx>
                    <wps:bodyPr wrap="square" lIns="0" tIns="0" rIns="0" bIns="0" rtlCol="0">
                      <a:noAutofit/>
                    </wps:bodyPr>
                  </wps:wsp>
                </a:graphicData>
              </a:graphic>
            </wp:anchor>
          </w:drawing>
        </mc:Choice>
        <mc:Fallback>
          <w:pict>
            <v:shapetype w14:anchorId="6A0EE90A" id="_x0000_t202" coordsize="21600,21600" o:spt="202" path="m,l,21600r21600,l21600,xe">
              <v:stroke joinstyle="miter"/>
              <v:path gradientshapeok="t" o:connecttype="rect"/>
            </v:shapetype>
            <v:shape id="Textbox 408" o:spid="_x0000_s1116" type="#_x0000_t202" style="position:absolute;margin-left:314.45pt;margin-top:814.1pt;width:250.85pt;height:10.4pt;z-index:-304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J93EXGa&#10;AQAAIwMAAA4AAAAAAAAAAAAAAAAALgIAAGRycy9lMm9Eb2MueG1sUEsBAi0AFAAGAAgAAAAhALrt&#10;lTbhAAAADgEAAA8AAAAAAAAAAAAAAAAA9AMAAGRycy9kb3ducmV2LnhtbFBLBQYAAAAABAAEAPMA&#10;AAACBQAAAAA=&#10;" filled="f" stroked="f">
              <v:textbox inset="0,0,0,0">
                <w:txbxContent>
                  <w:p w14:paraId="36E4360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69</w:t>
                    </w:r>
                    <w:r>
                      <w:rPr>
                        <w:b/>
                        <w:spacing w:val="-5"/>
                        <w:sz w:val="1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C88C" w14:textId="77777777" w:rsidR="00AC6F3C" w:rsidRDefault="00570E88">
    <w:pPr>
      <w:pStyle w:val="BodyText"/>
      <w:spacing w:line="14" w:lineRule="auto"/>
    </w:pPr>
    <w:r>
      <w:rPr>
        <w:noProof/>
      </w:rPr>
      <mc:AlternateContent>
        <mc:Choice Requires="wps">
          <w:drawing>
            <wp:anchor distT="0" distB="0" distL="0" distR="0" simplePos="0" relativeHeight="472876544" behindDoc="1" locked="0" layoutInCell="1" allowOverlap="1" wp14:anchorId="30D4C7A7" wp14:editId="6DFC2DAD">
              <wp:simplePos x="0" y="0"/>
              <wp:positionH relativeFrom="page">
                <wp:posOffset>3993225</wp:posOffset>
              </wp:positionH>
              <wp:positionV relativeFrom="page">
                <wp:posOffset>10339075</wp:posOffset>
              </wp:positionV>
              <wp:extent cx="3185795" cy="13208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ED1578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70</w:t>
                          </w:r>
                          <w:r>
                            <w:rPr>
                              <w:b/>
                              <w:spacing w:val="-5"/>
                              <w:sz w:val="15"/>
                            </w:rPr>
                            <w:fldChar w:fldCharType="end"/>
                          </w:r>
                        </w:p>
                      </w:txbxContent>
                    </wps:txbx>
                    <wps:bodyPr wrap="square" lIns="0" tIns="0" rIns="0" bIns="0" rtlCol="0">
                      <a:noAutofit/>
                    </wps:bodyPr>
                  </wps:wsp>
                </a:graphicData>
              </a:graphic>
            </wp:anchor>
          </w:drawing>
        </mc:Choice>
        <mc:Fallback>
          <w:pict>
            <v:shapetype w14:anchorId="30D4C7A7" id="_x0000_t202" coordsize="21600,21600" o:spt="202" path="m,l,21600r21600,l21600,xe">
              <v:stroke joinstyle="miter"/>
              <v:path gradientshapeok="t" o:connecttype="rect"/>
            </v:shapetype>
            <v:shape id="Textbox 411" o:spid="_x0000_s1117" type="#_x0000_t202" style="position:absolute;margin-left:314.45pt;margin-top:814.1pt;width:250.85pt;height:10.4pt;z-index:-304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jmgEAACM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W69u7N7dSaD5b3qzqdTG8ut6OSOmjAS9y&#10;0UrkvAoDdXyklN9XzbllJvP8fmaSpt0kXNfKu1WOMW/toDuxmJHzbCX9PCg0UgyfAhuWwz8XeC52&#10;5wLT8B7KF8maArw9JLCu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FYf5OOa&#10;AQAAIwMAAA4AAAAAAAAAAAAAAAAALgIAAGRycy9lMm9Eb2MueG1sUEsBAi0AFAAGAAgAAAAhALrt&#10;lTbhAAAADgEAAA8AAAAAAAAAAAAAAAAA9AMAAGRycy9kb3ducmV2LnhtbFBLBQYAAAAABAAEAPMA&#10;AAACBQAAAAA=&#10;" filled="f" stroked="f">
              <v:textbox inset="0,0,0,0">
                <w:txbxContent>
                  <w:p w14:paraId="6ED1578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70</w:t>
                    </w:r>
                    <w:r>
                      <w:rPr>
                        <w:b/>
                        <w:spacing w:val="-5"/>
                        <w:sz w:val="15"/>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8DD4" w14:textId="77777777" w:rsidR="00AC6F3C" w:rsidRDefault="00570E88">
    <w:pPr>
      <w:pStyle w:val="BodyText"/>
      <w:spacing w:line="14" w:lineRule="auto"/>
    </w:pPr>
    <w:r>
      <w:rPr>
        <w:noProof/>
      </w:rPr>
      <mc:AlternateContent>
        <mc:Choice Requires="wps">
          <w:drawing>
            <wp:anchor distT="0" distB="0" distL="0" distR="0" simplePos="0" relativeHeight="472877056" behindDoc="1" locked="0" layoutInCell="1" allowOverlap="1" wp14:anchorId="7E714825" wp14:editId="5AE9AED9">
              <wp:simplePos x="0" y="0"/>
              <wp:positionH relativeFrom="page">
                <wp:posOffset>3993225</wp:posOffset>
              </wp:positionH>
              <wp:positionV relativeFrom="page">
                <wp:posOffset>10339075</wp:posOffset>
              </wp:positionV>
              <wp:extent cx="3185795" cy="13208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C91DAE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71</w:t>
                          </w:r>
                          <w:r>
                            <w:rPr>
                              <w:b/>
                              <w:spacing w:val="-5"/>
                              <w:sz w:val="15"/>
                            </w:rPr>
                            <w:fldChar w:fldCharType="end"/>
                          </w:r>
                        </w:p>
                      </w:txbxContent>
                    </wps:txbx>
                    <wps:bodyPr wrap="square" lIns="0" tIns="0" rIns="0" bIns="0" rtlCol="0">
                      <a:noAutofit/>
                    </wps:bodyPr>
                  </wps:wsp>
                </a:graphicData>
              </a:graphic>
            </wp:anchor>
          </w:drawing>
        </mc:Choice>
        <mc:Fallback>
          <w:pict>
            <v:shapetype w14:anchorId="7E714825" id="_x0000_t202" coordsize="21600,21600" o:spt="202" path="m,l,21600r21600,l21600,xe">
              <v:stroke joinstyle="miter"/>
              <v:path gradientshapeok="t" o:connecttype="rect"/>
            </v:shapetype>
            <v:shape id="Textbox 412" o:spid="_x0000_s1118" type="#_x0000_t202" style="position:absolute;margin-left:314.45pt;margin-top:814.1pt;width:250.85pt;height:10.4pt;z-index:-304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iSmgEAACMDAAAOAAAAZHJzL2Uyb0RvYy54bWysUs1uGyEQvlfKOyDuNWtbSd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Lmcr65vP1xzpuhsvlxUq2K4uNwOEdMXDY7l&#10;ouGR8ioM5OEJU35f1qeWiczr+5lJGrcjs23Db5c5xry1hfZIYgbKs+H4ay+j5qx/9GRYDv9UxFOx&#10;PRUx9fd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BHHSJKa&#10;AQAAIwMAAA4AAAAAAAAAAAAAAAAALgIAAGRycy9lMm9Eb2MueG1sUEsBAi0AFAAGAAgAAAAhALrt&#10;lTbhAAAADgEAAA8AAAAAAAAAAAAAAAAA9AMAAGRycy9kb3ducmV2LnhtbFBLBQYAAAAABAAEAPMA&#10;AAACBQAAAAA=&#10;" filled="f" stroked="f">
              <v:textbox inset="0,0,0,0">
                <w:txbxContent>
                  <w:p w14:paraId="7C91DAEA"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71</w:t>
                    </w:r>
                    <w:r>
                      <w:rPr>
                        <w:b/>
                        <w:spacing w:val="-5"/>
                        <w:sz w:val="1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9137" w14:textId="77777777" w:rsidR="00AC6F3C" w:rsidRDefault="00570E88">
    <w:pPr>
      <w:pStyle w:val="BodyText"/>
      <w:spacing w:line="14" w:lineRule="auto"/>
    </w:pPr>
    <w:r>
      <w:rPr>
        <w:noProof/>
      </w:rPr>
      <mc:AlternateContent>
        <mc:Choice Requires="wps">
          <w:drawing>
            <wp:anchor distT="0" distB="0" distL="0" distR="0" simplePos="0" relativeHeight="472877568" behindDoc="1" locked="0" layoutInCell="1" allowOverlap="1" wp14:anchorId="51E59AF7" wp14:editId="7076D14A">
              <wp:simplePos x="0" y="0"/>
              <wp:positionH relativeFrom="page">
                <wp:posOffset>3993225</wp:posOffset>
              </wp:positionH>
              <wp:positionV relativeFrom="page">
                <wp:posOffset>10339075</wp:posOffset>
              </wp:positionV>
              <wp:extent cx="3185795" cy="13208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0C67D8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72</w:t>
                          </w:r>
                          <w:r>
                            <w:rPr>
                              <w:b/>
                              <w:spacing w:val="-5"/>
                              <w:sz w:val="15"/>
                            </w:rPr>
                            <w:fldChar w:fldCharType="end"/>
                          </w:r>
                        </w:p>
                      </w:txbxContent>
                    </wps:txbx>
                    <wps:bodyPr wrap="square" lIns="0" tIns="0" rIns="0" bIns="0" rtlCol="0">
                      <a:noAutofit/>
                    </wps:bodyPr>
                  </wps:wsp>
                </a:graphicData>
              </a:graphic>
            </wp:anchor>
          </w:drawing>
        </mc:Choice>
        <mc:Fallback>
          <w:pict>
            <v:shapetype w14:anchorId="51E59AF7" id="_x0000_t202" coordsize="21600,21600" o:spt="202" path="m,l,21600r21600,l21600,xe">
              <v:stroke joinstyle="miter"/>
              <v:path gradientshapeok="t" o:connecttype="rect"/>
            </v:shapetype>
            <v:shape id="Textbox 413" o:spid="_x0000_s1119" type="#_x0000_t202" style="position:absolute;margin-left:314.45pt;margin-top:814.1pt;width:250.85pt;height:10.4pt;z-index:-304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8dmwEAACMDAAAOAAAAZHJzL2Uyb0RvYy54bWysUs1uGyEQvlfKOyDuMWunady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7Nl9c3H685U3Q2v1pUy2K4ON8OEdNXDY7l&#10;ouGR8ioM5P4BU35f1seWiczL+5lJGjcjs23Db97n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CFyH8d&#10;mwEAACMDAAAOAAAAAAAAAAAAAAAAAC4CAABkcnMvZTJvRG9jLnhtbFBLAQItABQABgAIAAAAIQC6&#10;7ZU24QAAAA4BAAAPAAAAAAAAAAAAAAAAAPUDAABkcnMvZG93bnJldi54bWxQSwUGAAAAAAQABADz&#10;AAAAAwUAAAAA&#10;" filled="f" stroked="f">
              <v:textbox inset="0,0,0,0">
                <w:txbxContent>
                  <w:p w14:paraId="40C67D8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72</w:t>
                    </w:r>
                    <w:r>
                      <w:rPr>
                        <w:b/>
                        <w:spacing w:val="-5"/>
                        <w:sz w:val="1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9765" w14:textId="77777777" w:rsidR="00AC6F3C" w:rsidRDefault="00570E88">
    <w:pPr>
      <w:pStyle w:val="BodyText"/>
      <w:spacing w:line="14" w:lineRule="auto"/>
    </w:pPr>
    <w:r>
      <w:rPr>
        <w:noProof/>
      </w:rPr>
      <mc:AlternateContent>
        <mc:Choice Requires="wps">
          <w:drawing>
            <wp:anchor distT="0" distB="0" distL="0" distR="0" simplePos="0" relativeHeight="472878080" behindDoc="1" locked="0" layoutInCell="1" allowOverlap="1" wp14:anchorId="194802BD" wp14:editId="7A9DD410">
              <wp:simplePos x="0" y="0"/>
              <wp:positionH relativeFrom="page">
                <wp:posOffset>3993225</wp:posOffset>
              </wp:positionH>
              <wp:positionV relativeFrom="page">
                <wp:posOffset>10339075</wp:posOffset>
              </wp:positionV>
              <wp:extent cx="3185795" cy="13208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BB0210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73</w:t>
                          </w:r>
                          <w:r>
                            <w:rPr>
                              <w:b/>
                              <w:spacing w:val="-5"/>
                              <w:sz w:val="15"/>
                            </w:rPr>
                            <w:fldChar w:fldCharType="end"/>
                          </w:r>
                        </w:p>
                      </w:txbxContent>
                    </wps:txbx>
                    <wps:bodyPr wrap="square" lIns="0" tIns="0" rIns="0" bIns="0" rtlCol="0">
                      <a:noAutofit/>
                    </wps:bodyPr>
                  </wps:wsp>
                </a:graphicData>
              </a:graphic>
            </wp:anchor>
          </w:drawing>
        </mc:Choice>
        <mc:Fallback>
          <w:pict>
            <v:shapetype w14:anchorId="194802BD" id="_x0000_t202" coordsize="21600,21600" o:spt="202" path="m,l,21600r21600,l21600,xe">
              <v:stroke joinstyle="miter"/>
              <v:path gradientshapeok="t" o:connecttype="rect"/>
            </v:shapetype>
            <v:shape id="Textbox 414" o:spid="_x0000_s1120" type="#_x0000_t202" style="position:absolute;margin-left:314.45pt;margin-top:814.1pt;width:250.85pt;height:10.4pt;z-index:-304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MIQ02ya&#10;AQAAIwMAAA4AAAAAAAAAAAAAAAAALgIAAGRycy9lMm9Eb2MueG1sUEsBAi0AFAAGAAgAAAAhALrt&#10;lTbhAAAADgEAAA8AAAAAAAAAAAAAAAAA9AMAAGRycy9kb3ducmV2LnhtbFBLBQYAAAAABAAEAPMA&#10;AAACBQAAAAA=&#10;" filled="f" stroked="f">
              <v:textbox inset="0,0,0,0">
                <w:txbxContent>
                  <w:p w14:paraId="7BB0210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73</w:t>
                    </w:r>
                    <w:r>
                      <w:rPr>
                        <w:b/>
                        <w:spacing w:val="-5"/>
                        <w:sz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6E1D" w14:textId="77777777" w:rsidR="00AC6F3C" w:rsidRDefault="00570E88">
    <w:pPr>
      <w:pStyle w:val="BodyText"/>
      <w:spacing w:line="14" w:lineRule="auto"/>
    </w:pPr>
    <w:r>
      <w:rPr>
        <w:noProof/>
      </w:rPr>
      <mc:AlternateContent>
        <mc:Choice Requires="wps">
          <w:drawing>
            <wp:anchor distT="0" distB="0" distL="0" distR="0" simplePos="0" relativeHeight="472841728" behindDoc="1" locked="0" layoutInCell="1" allowOverlap="1" wp14:anchorId="6829E08B" wp14:editId="29981D9F">
              <wp:simplePos x="0" y="0"/>
              <wp:positionH relativeFrom="page">
                <wp:posOffset>7308281</wp:posOffset>
              </wp:positionH>
              <wp:positionV relativeFrom="page">
                <wp:posOffset>7207077</wp:posOffset>
              </wp:positionV>
              <wp:extent cx="3180715" cy="1320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715" cy="132080"/>
                      </a:xfrm>
                      <a:prstGeom prst="rect">
                        <a:avLst/>
                      </a:prstGeom>
                    </wps:spPr>
                    <wps:txbx>
                      <w:txbxContent>
                        <w:p w14:paraId="584BEA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11</w:t>
                          </w:r>
                          <w:r>
                            <w:rPr>
                              <w:b/>
                              <w:spacing w:val="-5"/>
                              <w:sz w:val="15"/>
                            </w:rPr>
                            <w:fldChar w:fldCharType="end"/>
                          </w:r>
                        </w:p>
                      </w:txbxContent>
                    </wps:txbx>
                    <wps:bodyPr wrap="square" lIns="0" tIns="0" rIns="0" bIns="0" rtlCol="0">
                      <a:noAutofit/>
                    </wps:bodyPr>
                  </wps:wsp>
                </a:graphicData>
              </a:graphic>
            </wp:anchor>
          </w:drawing>
        </mc:Choice>
        <mc:Fallback>
          <w:pict>
            <v:shapetype w14:anchorId="6829E08B" id="_x0000_t202" coordsize="21600,21600" o:spt="202" path="m,l,21600r21600,l21600,xe">
              <v:stroke joinstyle="miter"/>
              <v:path gradientshapeok="t" o:connecttype="rect"/>
            </v:shapetype>
            <v:shape id="Textbox 43" o:spid="_x0000_s1051" type="#_x0000_t202" style="position:absolute;margin-left:575.45pt;margin-top:567.5pt;width:250.45pt;height:10.4pt;z-index:-304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" filled="f" stroked="f">
              <v:textbox inset="0,0,0,0">
                <w:txbxContent>
                  <w:p w14:paraId="584BEA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11</w:t>
                    </w:r>
                    <w:r>
                      <w:rPr>
                        <w:b/>
                        <w:spacing w:val="-5"/>
                        <w:sz w:val="1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C0F2" w14:textId="77777777" w:rsidR="00AC6F3C" w:rsidRDefault="00570E88">
    <w:pPr>
      <w:pStyle w:val="BodyText"/>
      <w:spacing w:line="14" w:lineRule="auto"/>
    </w:pPr>
    <w:r>
      <w:rPr>
        <w:noProof/>
      </w:rPr>
      <mc:AlternateContent>
        <mc:Choice Requires="wps">
          <w:drawing>
            <wp:anchor distT="0" distB="0" distL="0" distR="0" simplePos="0" relativeHeight="472878592" behindDoc="1" locked="0" layoutInCell="1" allowOverlap="1" wp14:anchorId="13DD6DFD" wp14:editId="30D14646">
              <wp:simplePos x="0" y="0"/>
              <wp:positionH relativeFrom="page">
                <wp:posOffset>3993225</wp:posOffset>
              </wp:positionH>
              <wp:positionV relativeFrom="page">
                <wp:posOffset>10339075</wp:posOffset>
              </wp:positionV>
              <wp:extent cx="3185795" cy="13208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96D69D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74</w:t>
                          </w:r>
                          <w:r>
                            <w:rPr>
                              <w:b/>
                              <w:spacing w:val="-5"/>
                              <w:sz w:val="15"/>
                            </w:rPr>
                            <w:fldChar w:fldCharType="end"/>
                          </w:r>
                        </w:p>
                      </w:txbxContent>
                    </wps:txbx>
                    <wps:bodyPr wrap="square" lIns="0" tIns="0" rIns="0" bIns="0" rtlCol="0">
                      <a:noAutofit/>
                    </wps:bodyPr>
                  </wps:wsp>
                </a:graphicData>
              </a:graphic>
            </wp:anchor>
          </w:drawing>
        </mc:Choice>
        <mc:Fallback>
          <w:pict>
            <v:shapetype w14:anchorId="13DD6DFD" id="_x0000_t202" coordsize="21600,21600" o:spt="202" path="m,l,21600r21600,l21600,xe">
              <v:stroke joinstyle="miter"/>
              <v:path gradientshapeok="t" o:connecttype="rect"/>
            </v:shapetype>
            <v:shape id="Textbox 415" o:spid="_x0000_s1121" type="#_x0000_t202" style="position:absolute;margin-left:314.45pt;margin-top:814.1pt;width:250.85pt;height:10.4pt;z-index:-304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At4Jv6a&#10;AQAAIwMAAA4AAAAAAAAAAAAAAAAALgIAAGRycy9lMm9Eb2MueG1sUEsBAi0AFAAGAAgAAAAhALrt&#10;lTbhAAAADgEAAA8AAAAAAAAAAAAAAAAA9AMAAGRycy9kb3ducmV2LnhtbFBLBQYAAAAABAAEAPMA&#10;AAACBQAAAAA=&#10;" filled="f" stroked="f">
              <v:textbox inset="0,0,0,0">
                <w:txbxContent>
                  <w:p w14:paraId="296D69D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74</w:t>
                    </w:r>
                    <w:r>
                      <w:rPr>
                        <w:b/>
                        <w:spacing w:val="-5"/>
                        <w:sz w:val="1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6B6" w14:textId="77777777" w:rsidR="00AC6F3C" w:rsidRDefault="00570E88">
    <w:pPr>
      <w:pStyle w:val="BodyText"/>
      <w:spacing w:line="14" w:lineRule="auto"/>
    </w:pPr>
    <w:r>
      <w:rPr>
        <w:noProof/>
      </w:rPr>
      <mc:AlternateContent>
        <mc:Choice Requires="wps">
          <w:drawing>
            <wp:anchor distT="0" distB="0" distL="0" distR="0" simplePos="0" relativeHeight="472879104" behindDoc="1" locked="0" layoutInCell="1" allowOverlap="1" wp14:anchorId="6781AA38" wp14:editId="746C086C">
              <wp:simplePos x="0" y="0"/>
              <wp:positionH relativeFrom="page">
                <wp:posOffset>3993225</wp:posOffset>
              </wp:positionH>
              <wp:positionV relativeFrom="page">
                <wp:posOffset>10339075</wp:posOffset>
              </wp:positionV>
              <wp:extent cx="3185795" cy="13208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2C71A77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75</w:t>
                          </w:r>
                          <w:r>
                            <w:rPr>
                              <w:b/>
                              <w:spacing w:val="-5"/>
                              <w:sz w:val="15"/>
                            </w:rPr>
                            <w:fldChar w:fldCharType="end"/>
                          </w:r>
                        </w:p>
                      </w:txbxContent>
                    </wps:txbx>
                    <wps:bodyPr wrap="square" lIns="0" tIns="0" rIns="0" bIns="0" rtlCol="0">
                      <a:noAutofit/>
                    </wps:bodyPr>
                  </wps:wsp>
                </a:graphicData>
              </a:graphic>
            </wp:anchor>
          </w:drawing>
        </mc:Choice>
        <mc:Fallback>
          <w:pict>
            <v:shapetype w14:anchorId="6781AA38" id="_x0000_t202" coordsize="21600,21600" o:spt="202" path="m,l,21600r21600,l21600,xe">
              <v:stroke joinstyle="miter"/>
              <v:path gradientshapeok="t" o:connecttype="rect"/>
            </v:shapetype>
            <v:shape id="Textbox 416" o:spid="_x0000_s1122" type="#_x0000_t202" style="position:absolute;margin-left:314.45pt;margin-top:814.1pt;width:250.85pt;height:10.4pt;z-index:-304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Eygio+a&#10;AQAAIwMAAA4AAAAAAAAAAAAAAAAALgIAAGRycy9lMm9Eb2MueG1sUEsBAi0AFAAGAAgAAAAhALrt&#10;lTbhAAAADgEAAA8AAAAAAAAAAAAAAAAA9AMAAGRycy9kb3ducmV2LnhtbFBLBQYAAAAABAAEAPMA&#10;AAACBQAAAAA=&#10;" filled="f" stroked="f">
              <v:textbox inset="0,0,0,0">
                <w:txbxContent>
                  <w:p w14:paraId="2C71A77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75</w:t>
                    </w:r>
                    <w:r>
                      <w:rPr>
                        <w:b/>
                        <w:spacing w:val="-5"/>
                        <w:sz w:val="1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9DA4" w14:textId="77777777" w:rsidR="00AC6F3C" w:rsidRDefault="00570E88">
    <w:pPr>
      <w:pStyle w:val="BodyText"/>
      <w:spacing w:line="14" w:lineRule="auto"/>
    </w:pPr>
    <w:r>
      <w:rPr>
        <w:noProof/>
      </w:rPr>
      <mc:AlternateContent>
        <mc:Choice Requires="wps">
          <w:drawing>
            <wp:anchor distT="0" distB="0" distL="0" distR="0" simplePos="0" relativeHeight="472879616" behindDoc="1" locked="0" layoutInCell="1" allowOverlap="1" wp14:anchorId="6F8C0E85" wp14:editId="6B15E4BF">
              <wp:simplePos x="0" y="0"/>
              <wp:positionH relativeFrom="page">
                <wp:posOffset>3993225</wp:posOffset>
              </wp:positionH>
              <wp:positionV relativeFrom="page">
                <wp:posOffset>10339075</wp:posOffset>
              </wp:positionV>
              <wp:extent cx="3185795" cy="13208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224F51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76</w:t>
                          </w:r>
                          <w:r>
                            <w:rPr>
                              <w:b/>
                              <w:spacing w:val="-5"/>
                              <w:sz w:val="15"/>
                            </w:rPr>
                            <w:fldChar w:fldCharType="end"/>
                          </w:r>
                        </w:p>
                      </w:txbxContent>
                    </wps:txbx>
                    <wps:bodyPr wrap="square" lIns="0" tIns="0" rIns="0" bIns="0" rtlCol="0">
                      <a:noAutofit/>
                    </wps:bodyPr>
                  </wps:wsp>
                </a:graphicData>
              </a:graphic>
            </wp:anchor>
          </w:drawing>
        </mc:Choice>
        <mc:Fallback>
          <w:pict>
            <v:shapetype w14:anchorId="6F8C0E85" id="_x0000_t202" coordsize="21600,21600" o:spt="202" path="m,l,21600r21600,l21600,xe">
              <v:stroke joinstyle="miter"/>
              <v:path gradientshapeok="t" o:connecttype="rect"/>
            </v:shapetype>
            <v:shape id="Textbox 418" o:spid="_x0000_s1123" type="#_x0000_t202" style="position:absolute;margin-left:314.45pt;margin-top:814.1pt;width:250.85pt;height:10.4pt;z-index:-304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GJhOTua&#10;AQAAIwMAAA4AAAAAAAAAAAAAAAAALgIAAGRycy9lMm9Eb2MueG1sUEsBAi0AFAAGAAgAAAAhALrt&#10;lTbhAAAADgEAAA8AAAAAAAAAAAAAAAAA9AMAAGRycy9kb3ducmV2LnhtbFBLBQYAAAAABAAEAPMA&#10;AAACBQAAAAA=&#10;" filled="f" stroked="f">
              <v:textbox inset="0,0,0,0">
                <w:txbxContent>
                  <w:p w14:paraId="7224F51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76</w:t>
                    </w:r>
                    <w:r>
                      <w:rPr>
                        <w:b/>
                        <w:spacing w:val="-5"/>
                        <w:sz w:val="1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309D" w14:textId="77777777" w:rsidR="00AC6F3C" w:rsidRDefault="00570E88">
    <w:pPr>
      <w:pStyle w:val="BodyText"/>
      <w:spacing w:line="14" w:lineRule="auto"/>
    </w:pPr>
    <w:r>
      <w:rPr>
        <w:noProof/>
      </w:rPr>
      <mc:AlternateContent>
        <mc:Choice Requires="wps">
          <w:drawing>
            <wp:anchor distT="0" distB="0" distL="0" distR="0" simplePos="0" relativeHeight="472880128" behindDoc="1" locked="0" layoutInCell="1" allowOverlap="1" wp14:anchorId="41F56AE6" wp14:editId="7F12C89A">
              <wp:simplePos x="0" y="0"/>
              <wp:positionH relativeFrom="page">
                <wp:posOffset>3993225</wp:posOffset>
              </wp:positionH>
              <wp:positionV relativeFrom="page">
                <wp:posOffset>10339075</wp:posOffset>
              </wp:positionV>
              <wp:extent cx="3185795" cy="13208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A3C563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77</w:t>
                          </w:r>
                          <w:r>
                            <w:rPr>
                              <w:b/>
                              <w:spacing w:val="-5"/>
                              <w:sz w:val="15"/>
                            </w:rPr>
                            <w:fldChar w:fldCharType="end"/>
                          </w:r>
                        </w:p>
                      </w:txbxContent>
                    </wps:txbx>
                    <wps:bodyPr wrap="square" lIns="0" tIns="0" rIns="0" bIns="0" rtlCol="0">
                      <a:noAutofit/>
                    </wps:bodyPr>
                  </wps:wsp>
                </a:graphicData>
              </a:graphic>
            </wp:anchor>
          </w:drawing>
        </mc:Choice>
        <mc:Fallback>
          <w:pict>
            <v:shapetype w14:anchorId="41F56AE6" id="_x0000_t202" coordsize="21600,21600" o:spt="202" path="m,l,21600r21600,l21600,xe">
              <v:stroke joinstyle="miter"/>
              <v:path gradientshapeok="t" o:connecttype="rect"/>
            </v:shapetype>
            <v:shape id="Textbox 419" o:spid="_x0000_s1124" type="#_x0000_t202" style="position:absolute;margin-left:314.45pt;margin-top:814.1pt;width:250.85pt;height:10.4pt;z-index:-304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W5lUqa&#10;AQAAIwMAAA4AAAAAAAAAAAAAAAAALgIAAGRycy9lMm9Eb2MueG1sUEsBAi0AFAAGAAgAAAAhALrt&#10;lTbhAAAADgEAAA8AAAAAAAAAAAAAAAAA9AMAAGRycy9kb3ducmV2LnhtbFBLBQYAAAAABAAEAPMA&#10;AAACBQAAAAA=&#10;" filled="f" stroked="f">
              <v:textbox inset="0,0,0,0">
                <w:txbxContent>
                  <w:p w14:paraId="0A3C563C"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77</w:t>
                    </w:r>
                    <w:r>
                      <w:rPr>
                        <w:b/>
                        <w:spacing w:val="-5"/>
                        <w:sz w:val="1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53FB" w14:textId="77777777" w:rsidR="00AC6F3C" w:rsidRDefault="00570E88">
    <w:pPr>
      <w:pStyle w:val="BodyText"/>
      <w:spacing w:line="14" w:lineRule="auto"/>
    </w:pPr>
    <w:r>
      <w:rPr>
        <w:noProof/>
      </w:rPr>
      <mc:AlternateContent>
        <mc:Choice Requires="wps">
          <w:drawing>
            <wp:anchor distT="0" distB="0" distL="0" distR="0" simplePos="0" relativeHeight="472880640" behindDoc="1" locked="0" layoutInCell="1" allowOverlap="1" wp14:anchorId="0EA6ADFD" wp14:editId="2B6D8812">
              <wp:simplePos x="0" y="0"/>
              <wp:positionH relativeFrom="page">
                <wp:posOffset>3993225</wp:posOffset>
              </wp:positionH>
              <wp:positionV relativeFrom="page">
                <wp:posOffset>10339075</wp:posOffset>
              </wp:positionV>
              <wp:extent cx="3185795" cy="13208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758D6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78</w:t>
                          </w:r>
                          <w:r>
                            <w:rPr>
                              <w:b/>
                              <w:spacing w:val="-5"/>
                              <w:sz w:val="15"/>
                            </w:rPr>
                            <w:fldChar w:fldCharType="end"/>
                          </w:r>
                        </w:p>
                      </w:txbxContent>
                    </wps:txbx>
                    <wps:bodyPr wrap="square" lIns="0" tIns="0" rIns="0" bIns="0" rtlCol="0">
                      <a:noAutofit/>
                    </wps:bodyPr>
                  </wps:wsp>
                </a:graphicData>
              </a:graphic>
            </wp:anchor>
          </w:drawing>
        </mc:Choice>
        <mc:Fallback>
          <w:pict>
            <v:shapetype w14:anchorId="0EA6ADFD" id="_x0000_t202" coordsize="21600,21600" o:spt="202" path="m,l,21600r21600,l21600,xe">
              <v:stroke joinstyle="miter"/>
              <v:path gradientshapeok="t" o:connecttype="rect"/>
            </v:shapetype>
            <v:shape id="Textbox 450" o:spid="_x0000_s1125" type="#_x0000_t202" style="position:absolute;margin-left:314.45pt;margin-top:814.1pt;width:250.85pt;height:10.4pt;z-index:-304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" filled="f" stroked="f">
              <v:textbox inset="0,0,0,0">
                <w:txbxContent>
                  <w:p w14:paraId="6758D667"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78</w:t>
                    </w:r>
                    <w:r>
                      <w:rPr>
                        <w:b/>
                        <w:spacing w:val="-5"/>
                        <w:sz w:val="1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A3F8" w14:textId="77777777" w:rsidR="00AC6F3C" w:rsidRDefault="00570E88">
    <w:pPr>
      <w:pStyle w:val="BodyText"/>
      <w:spacing w:line="14" w:lineRule="auto"/>
    </w:pPr>
    <w:r>
      <w:rPr>
        <w:noProof/>
      </w:rPr>
      <mc:AlternateContent>
        <mc:Choice Requires="wps">
          <w:drawing>
            <wp:anchor distT="0" distB="0" distL="0" distR="0" simplePos="0" relativeHeight="472881152" behindDoc="1" locked="0" layoutInCell="1" allowOverlap="1" wp14:anchorId="2409E71E" wp14:editId="2AF435CD">
              <wp:simplePos x="0" y="0"/>
              <wp:positionH relativeFrom="page">
                <wp:posOffset>3993225</wp:posOffset>
              </wp:positionH>
              <wp:positionV relativeFrom="page">
                <wp:posOffset>10339075</wp:posOffset>
              </wp:positionV>
              <wp:extent cx="3185795" cy="13208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0D9682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79</w:t>
                          </w:r>
                          <w:r>
                            <w:rPr>
                              <w:b/>
                              <w:spacing w:val="-5"/>
                              <w:sz w:val="15"/>
                            </w:rPr>
                            <w:fldChar w:fldCharType="end"/>
                          </w:r>
                        </w:p>
                      </w:txbxContent>
                    </wps:txbx>
                    <wps:bodyPr wrap="square" lIns="0" tIns="0" rIns="0" bIns="0" rtlCol="0">
                      <a:noAutofit/>
                    </wps:bodyPr>
                  </wps:wsp>
                </a:graphicData>
              </a:graphic>
            </wp:anchor>
          </w:drawing>
        </mc:Choice>
        <mc:Fallback>
          <w:pict>
            <v:shapetype w14:anchorId="2409E71E" id="_x0000_t202" coordsize="21600,21600" o:spt="202" path="m,l,21600r21600,l21600,xe">
              <v:stroke joinstyle="miter"/>
              <v:path gradientshapeok="t" o:connecttype="rect"/>
            </v:shapetype>
            <v:shape id="Textbox 461" o:spid="_x0000_s1126" type="#_x0000_t202" style="position:absolute;margin-left:314.45pt;margin-top:814.1pt;width:250.85pt;height:10.4pt;z-index:-304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JHJc62a&#10;AQAAIwMAAA4AAAAAAAAAAAAAAAAALgIAAGRycy9lMm9Eb2MueG1sUEsBAi0AFAAGAAgAAAAhALrt&#10;lTbhAAAADgEAAA8AAAAAAAAAAAAAAAAA9AMAAGRycy9kb3ducmV2LnhtbFBLBQYAAAAABAAEAPMA&#10;AAACBQAAAAA=&#10;" filled="f" stroked="f">
              <v:textbox inset="0,0,0,0">
                <w:txbxContent>
                  <w:p w14:paraId="10D96823"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79</w:t>
                    </w:r>
                    <w:r>
                      <w:rPr>
                        <w:b/>
                        <w:spacing w:val="-5"/>
                        <w:sz w:val="1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AF49" w14:textId="77777777" w:rsidR="00AC6F3C" w:rsidRDefault="00570E88">
    <w:pPr>
      <w:pStyle w:val="BodyText"/>
      <w:spacing w:line="14" w:lineRule="auto"/>
    </w:pPr>
    <w:r>
      <w:rPr>
        <w:noProof/>
      </w:rPr>
      <mc:AlternateContent>
        <mc:Choice Requires="wps">
          <w:drawing>
            <wp:anchor distT="0" distB="0" distL="0" distR="0" simplePos="0" relativeHeight="472881664" behindDoc="1" locked="0" layoutInCell="1" allowOverlap="1" wp14:anchorId="75C0D362" wp14:editId="017A559C">
              <wp:simplePos x="0" y="0"/>
              <wp:positionH relativeFrom="page">
                <wp:posOffset>3993225</wp:posOffset>
              </wp:positionH>
              <wp:positionV relativeFrom="page">
                <wp:posOffset>10339075</wp:posOffset>
              </wp:positionV>
              <wp:extent cx="3185795" cy="13208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F41D87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80</w:t>
                          </w:r>
                          <w:r>
                            <w:rPr>
                              <w:b/>
                              <w:spacing w:val="-5"/>
                              <w:sz w:val="15"/>
                            </w:rPr>
                            <w:fldChar w:fldCharType="end"/>
                          </w:r>
                        </w:p>
                      </w:txbxContent>
                    </wps:txbx>
                    <wps:bodyPr wrap="square" lIns="0" tIns="0" rIns="0" bIns="0" rtlCol="0">
                      <a:noAutofit/>
                    </wps:bodyPr>
                  </wps:wsp>
                </a:graphicData>
              </a:graphic>
            </wp:anchor>
          </w:drawing>
        </mc:Choice>
        <mc:Fallback>
          <w:pict>
            <v:shapetype w14:anchorId="75C0D362" id="_x0000_t202" coordsize="21600,21600" o:spt="202" path="m,l,21600r21600,l21600,xe">
              <v:stroke joinstyle="miter"/>
              <v:path gradientshapeok="t" o:connecttype="rect"/>
            </v:shapetype>
            <v:shape id="Textbox 500" o:spid="_x0000_s1127" type="#_x0000_t202" style="position:absolute;margin-left:314.45pt;margin-top:814.1pt;width:250.85pt;height:10.4pt;z-index:-304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Y/mgEAACM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NfK9SrHmLd20J1YzMh5tpJ+HhQaKYbPgQ3L4Z8LPBe7&#10;c4Fp+ADli2RNAd4dElhXGFxxZwacRCE2/5oc9e/r0nX929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Fihhj+a&#10;AQAAIwMAAA4AAAAAAAAAAAAAAAAALgIAAGRycy9lMm9Eb2MueG1sUEsBAi0AFAAGAAgAAAAhALrt&#10;lTbhAAAADgEAAA8AAAAAAAAAAAAAAAAA9AMAAGRycy9kb3ducmV2LnhtbFBLBQYAAAAABAAEAPMA&#10;AAACBQAAAAA=&#10;" filled="f" stroked="f">
              <v:textbox inset="0,0,0,0">
                <w:txbxContent>
                  <w:p w14:paraId="6F41D87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80</w:t>
                    </w:r>
                    <w:r>
                      <w:rPr>
                        <w:b/>
                        <w:spacing w:val="-5"/>
                        <w:sz w:val="1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9064" w14:textId="77777777" w:rsidR="00AC6F3C" w:rsidRDefault="00570E88">
    <w:pPr>
      <w:pStyle w:val="BodyText"/>
      <w:spacing w:line="14" w:lineRule="auto"/>
    </w:pPr>
    <w:r>
      <w:rPr>
        <w:noProof/>
      </w:rPr>
      <mc:AlternateContent>
        <mc:Choice Requires="wps">
          <w:drawing>
            <wp:anchor distT="0" distB="0" distL="0" distR="0" simplePos="0" relativeHeight="472882688" behindDoc="1" locked="0" layoutInCell="1" allowOverlap="1" wp14:anchorId="5EAD4FBC" wp14:editId="39D8B564">
              <wp:simplePos x="0" y="0"/>
              <wp:positionH relativeFrom="page">
                <wp:posOffset>3993225</wp:posOffset>
              </wp:positionH>
              <wp:positionV relativeFrom="page">
                <wp:posOffset>10339075</wp:posOffset>
              </wp:positionV>
              <wp:extent cx="3185795" cy="13208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DA10D4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81</w:t>
                          </w:r>
                          <w:r>
                            <w:rPr>
                              <w:b/>
                              <w:spacing w:val="-5"/>
                              <w:sz w:val="15"/>
                            </w:rPr>
                            <w:fldChar w:fldCharType="end"/>
                          </w:r>
                        </w:p>
                      </w:txbxContent>
                    </wps:txbx>
                    <wps:bodyPr wrap="square" lIns="0" tIns="0" rIns="0" bIns="0" rtlCol="0">
                      <a:noAutofit/>
                    </wps:bodyPr>
                  </wps:wsp>
                </a:graphicData>
              </a:graphic>
            </wp:anchor>
          </w:drawing>
        </mc:Choice>
        <mc:Fallback>
          <w:pict>
            <v:shapetype w14:anchorId="5EAD4FBC" id="_x0000_t202" coordsize="21600,21600" o:spt="202" path="m,l,21600r21600,l21600,xe">
              <v:stroke joinstyle="miter"/>
              <v:path gradientshapeok="t" o:connecttype="rect"/>
            </v:shapetype>
            <v:shape id="Textbox 502" o:spid="_x0000_s1129" type="#_x0000_t202" style="position:absolute;margin-left:314.45pt;margin-top:814.1pt;width:250.85pt;height:10.4pt;z-index:-304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3BmgEAACM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s1yffv6za0Ums+WN6t6XQyvrrcjUvpowItc&#10;tBI5r8JAHR8o5fdVc26ZyTy9n5mkaTcJ17Vy/TLHmLd20J1YzMh5tpJ+HhQaKYZPgQ3L4Z8LPBe7&#10;c4FpeA/li2RNAd4eElhXGFxxZwacRCE2/5oc9e/r0nX929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It2HcGa&#10;AQAAIwMAAA4AAAAAAAAAAAAAAAAALgIAAGRycy9lMm9Eb2MueG1sUEsBAi0AFAAGAAgAAAAhALrt&#10;lTbhAAAADgEAAA8AAAAAAAAAAAAAAAAA9AMAAGRycy9kb3ducmV2LnhtbFBLBQYAAAAABAAEAPMA&#10;AAACBQAAAAA=&#10;" filled="f" stroked="f">
              <v:textbox inset="0,0,0,0">
                <w:txbxContent>
                  <w:p w14:paraId="6DA10D4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81</w:t>
                    </w:r>
                    <w:r>
                      <w:rPr>
                        <w:b/>
                        <w:spacing w:val="-5"/>
                        <w:sz w:val="1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84F3" w14:textId="77777777" w:rsidR="00AC6F3C" w:rsidRDefault="00570E88">
    <w:pPr>
      <w:pStyle w:val="BodyText"/>
      <w:spacing w:line="14" w:lineRule="auto"/>
    </w:pPr>
    <w:r>
      <w:rPr>
        <w:noProof/>
      </w:rPr>
      <mc:AlternateContent>
        <mc:Choice Requires="wps">
          <w:drawing>
            <wp:anchor distT="0" distB="0" distL="0" distR="0" simplePos="0" relativeHeight="472883712" behindDoc="1" locked="0" layoutInCell="1" allowOverlap="1" wp14:anchorId="5EFD8725" wp14:editId="3F3678D3">
              <wp:simplePos x="0" y="0"/>
              <wp:positionH relativeFrom="page">
                <wp:posOffset>3993225</wp:posOffset>
              </wp:positionH>
              <wp:positionV relativeFrom="page">
                <wp:posOffset>10339075</wp:posOffset>
              </wp:positionV>
              <wp:extent cx="3185795" cy="13208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5DDF66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82</w:t>
                          </w:r>
                          <w:r>
                            <w:rPr>
                              <w:b/>
                              <w:spacing w:val="-5"/>
                              <w:sz w:val="15"/>
                            </w:rPr>
                            <w:fldChar w:fldCharType="end"/>
                          </w:r>
                        </w:p>
                      </w:txbxContent>
                    </wps:txbx>
                    <wps:bodyPr wrap="square" lIns="0" tIns="0" rIns="0" bIns="0" rtlCol="0">
                      <a:noAutofit/>
                    </wps:bodyPr>
                  </wps:wsp>
                </a:graphicData>
              </a:graphic>
            </wp:anchor>
          </w:drawing>
        </mc:Choice>
        <mc:Fallback>
          <w:pict>
            <v:shapetype w14:anchorId="5EFD8725" id="_x0000_t202" coordsize="21600,21600" o:spt="202" path="m,l,21600r21600,l21600,xe">
              <v:stroke joinstyle="miter"/>
              <v:path gradientshapeok="t" o:connecttype="rect"/>
            </v:shapetype>
            <v:shape id="Textbox 504" o:spid="_x0000_s1131" type="#_x0000_t202" style="position:absolute;margin-left:314.45pt;margin-top:814.1pt;width:250.85pt;height:10.4pt;z-index:-304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AXGRCKa&#10;AQAAIwMAAA4AAAAAAAAAAAAAAAAALgIAAGRycy9lMm9Eb2MueG1sUEsBAi0AFAAGAAgAAAAhALrt&#10;lTbhAAAADgEAAA8AAAAAAAAAAAAAAAAA9AMAAGRycy9kb3ducmV2LnhtbFBLBQYAAAAABAAEAPMA&#10;AAACBQAAAAA=&#10;" filled="f" stroked="f">
              <v:textbox inset="0,0,0,0">
                <w:txbxContent>
                  <w:p w14:paraId="65DDF66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82</w:t>
                    </w:r>
                    <w:r>
                      <w:rPr>
                        <w:b/>
                        <w:spacing w:val="-5"/>
                        <w:sz w:val="1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0282" w14:textId="77777777" w:rsidR="00AC6F3C" w:rsidRDefault="00570E88">
    <w:pPr>
      <w:pStyle w:val="BodyText"/>
      <w:spacing w:line="14" w:lineRule="auto"/>
    </w:pPr>
    <w:r>
      <w:rPr>
        <w:noProof/>
      </w:rPr>
      <mc:AlternateContent>
        <mc:Choice Requires="wps">
          <w:drawing>
            <wp:anchor distT="0" distB="0" distL="0" distR="0" simplePos="0" relativeHeight="472884224" behindDoc="1" locked="0" layoutInCell="1" allowOverlap="1" wp14:anchorId="27C5FD16" wp14:editId="718B04F0">
              <wp:simplePos x="0" y="0"/>
              <wp:positionH relativeFrom="page">
                <wp:posOffset>3993225</wp:posOffset>
              </wp:positionH>
              <wp:positionV relativeFrom="page">
                <wp:posOffset>10339075</wp:posOffset>
              </wp:positionV>
              <wp:extent cx="3185795" cy="13208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00279E9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83</w:t>
                          </w:r>
                          <w:r>
                            <w:rPr>
                              <w:b/>
                              <w:spacing w:val="-5"/>
                              <w:sz w:val="15"/>
                            </w:rPr>
                            <w:fldChar w:fldCharType="end"/>
                          </w:r>
                        </w:p>
                      </w:txbxContent>
                    </wps:txbx>
                    <wps:bodyPr wrap="square" lIns="0" tIns="0" rIns="0" bIns="0" rtlCol="0">
                      <a:noAutofit/>
                    </wps:bodyPr>
                  </wps:wsp>
                </a:graphicData>
              </a:graphic>
            </wp:anchor>
          </w:drawing>
        </mc:Choice>
        <mc:Fallback>
          <w:pict>
            <v:shapetype w14:anchorId="27C5FD16" id="_x0000_t202" coordsize="21600,21600" o:spt="202" path="m,l,21600r21600,l21600,xe">
              <v:stroke joinstyle="miter"/>
              <v:path gradientshapeok="t" o:connecttype="rect"/>
            </v:shapetype>
            <v:shape id="Textbox 505" o:spid="_x0000_s1132" type="#_x0000_t202" style="position:absolute;margin-left:314.45pt;margin-top:814.1pt;width:250.85pt;height:10.4pt;z-index:-304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EIe6FOa&#10;AQAAIwMAAA4AAAAAAAAAAAAAAAAALgIAAGRycy9lMm9Eb2MueG1sUEsBAi0AFAAGAAgAAAAhALrt&#10;lTbhAAAADgEAAA8AAAAAAAAAAAAAAAAA9AMAAGRycy9kb3ducmV2LnhtbFBLBQYAAAAABAAEAPMA&#10;AAACBQAAAAA=&#10;" filled="f" stroked="f">
              <v:textbox inset="0,0,0,0">
                <w:txbxContent>
                  <w:p w14:paraId="00279E9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83</w:t>
                    </w:r>
                    <w:r>
                      <w:rPr>
                        <w:b/>
                        <w:spacing w:val="-5"/>
                        <w:sz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7D5E" w14:textId="77777777" w:rsidR="00AC6F3C" w:rsidRDefault="00570E88">
    <w:pPr>
      <w:pStyle w:val="BodyText"/>
      <w:spacing w:line="14" w:lineRule="auto"/>
    </w:pPr>
    <w:r>
      <w:rPr>
        <w:noProof/>
      </w:rPr>
      <mc:AlternateContent>
        <mc:Choice Requires="wps">
          <w:drawing>
            <wp:anchor distT="0" distB="0" distL="0" distR="0" simplePos="0" relativeHeight="472842240" behindDoc="1" locked="0" layoutInCell="1" allowOverlap="1" wp14:anchorId="4BB53088" wp14:editId="0113AE19">
              <wp:simplePos x="0" y="0"/>
              <wp:positionH relativeFrom="page">
                <wp:posOffset>7303025</wp:posOffset>
              </wp:positionH>
              <wp:positionV relativeFrom="page">
                <wp:posOffset>7207077</wp:posOffset>
              </wp:positionV>
              <wp:extent cx="318579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E89DDE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12</w:t>
                          </w:r>
                          <w:r>
                            <w:rPr>
                              <w:b/>
                              <w:spacing w:val="-5"/>
                              <w:sz w:val="15"/>
                            </w:rPr>
                            <w:fldChar w:fldCharType="end"/>
                          </w:r>
                        </w:p>
                      </w:txbxContent>
                    </wps:txbx>
                    <wps:bodyPr wrap="square" lIns="0" tIns="0" rIns="0" bIns="0" rtlCol="0">
                      <a:noAutofit/>
                    </wps:bodyPr>
                  </wps:wsp>
                </a:graphicData>
              </a:graphic>
            </wp:anchor>
          </w:drawing>
        </mc:Choice>
        <mc:Fallback>
          <w:pict>
            <v:shapetype w14:anchorId="4BB53088" id="_x0000_t202" coordsize="21600,21600" o:spt="202" path="m,l,21600r21600,l21600,xe">
              <v:stroke joinstyle="miter"/>
              <v:path gradientshapeok="t" o:connecttype="rect"/>
            </v:shapetype>
            <v:shape id="Textbox 55" o:spid="_x0000_s1052" type="#_x0000_t202" style="position:absolute;margin-left:575.05pt;margin-top:567.5pt;width:250.85pt;height:10.4pt;z-index:-304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FDmQEAACI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W69u7N7dSaD5b3qzqdTG8ut6OSOmjAS9y&#10;0UrkvAoDdXyklN9XzbllJvP8fmaSpt0kXNfKu5xi3tlBd2ItI8fZSvp5UGikGD4F9itnfy7wXOzO&#10;BabhPZQfkiUFeHtIYF0hcMWdCXAQhdf8aXLSv69L1/Vrb38B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BpvSFDmQEA&#10;ACIDAAAOAAAAAAAAAAAAAAAAAC4CAABkcnMvZTJvRG9jLnhtbFBLAQItABQABgAIAAAAIQCwt8RQ&#10;4AAAAA8BAAAPAAAAAAAAAAAAAAAAAPMDAABkcnMvZG93bnJldi54bWxQSwUGAAAAAAQABADzAAAA&#10;AAUAAAAA&#10;" filled="f" stroked="f">
              <v:textbox inset="0,0,0,0">
                <w:txbxContent>
                  <w:p w14:paraId="1E89DDE4"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12</w:t>
                    </w:r>
                    <w:r>
                      <w:rPr>
                        <w:b/>
                        <w:spacing w:val="-5"/>
                        <w:sz w:val="1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6B93" w14:textId="77777777" w:rsidR="00AC6F3C" w:rsidRDefault="00570E88">
    <w:pPr>
      <w:pStyle w:val="BodyText"/>
      <w:spacing w:line="14" w:lineRule="auto"/>
    </w:pPr>
    <w:r>
      <w:rPr>
        <w:noProof/>
      </w:rPr>
      <mc:AlternateContent>
        <mc:Choice Requires="wps">
          <w:drawing>
            <wp:anchor distT="0" distB="0" distL="0" distR="0" simplePos="0" relativeHeight="472884736" behindDoc="1" locked="0" layoutInCell="1" allowOverlap="1" wp14:anchorId="7D49641E" wp14:editId="0392D9B3">
              <wp:simplePos x="0" y="0"/>
              <wp:positionH relativeFrom="page">
                <wp:posOffset>3993225</wp:posOffset>
              </wp:positionH>
              <wp:positionV relativeFrom="page">
                <wp:posOffset>10339075</wp:posOffset>
              </wp:positionV>
              <wp:extent cx="3185795" cy="13208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C32EA6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84</w:t>
                          </w:r>
                          <w:r>
                            <w:rPr>
                              <w:b/>
                              <w:spacing w:val="-5"/>
                              <w:sz w:val="15"/>
                            </w:rPr>
                            <w:fldChar w:fldCharType="end"/>
                          </w:r>
                        </w:p>
                      </w:txbxContent>
                    </wps:txbx>
                    <wps:bodyPr wrap="square" lIns="0" tIns="0" rIns="0" bIns="0" rtlCol="0">
                      <a:noAutofit/>
                    </wps:bodyPr>
                  </wps:wsp>
                </a:graphicData>
              </a:graphic>
            </wp:anchor>
          </w:drawing>
        </mc:Choice>
        <mc:Fallback>
          <w:pict>
            <v:shapetype w14:anchorId="7D49641E" id="_x0000_t202" coordsize="21600,21600" o:spt="202" path="m,l,21600r21600,l21600,xe">
              <v:stroke joinstyle="miter"/>
              <v:path gradientshapeok="t" o:connecttype="rect"/>
            </v:shapetype>
            <v:shape id="Textbox 508" o:spid="_x0000_s1133" type="#_x0000_t202" style="position:absolute;margin-left:314.45pt;margin-top:814.1pt;width:250.85pt;height:10.4pt;z-index:-304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GzfW+ea&#10;AQAAIwMAAA4AAAAAAAAAAAAAAAAALgIAAGRycy9lMm9Eb2MueG1sUEsBAi0AFAAGAAgAAAAhALrt&#10;lTbhAAAADgEAAA8AAAAAAAAAAAAAAAAA9AMAAGRycy9kb3ducmV2LnhtbFBLBQYAAAAABAAEAPMA&#10;AAACBQAAAAA=&#10;" filled="f" stroked="f">
              <v:textbox inset="0,0,0,0">
                <w:txbxContent>
                  <w:p w14:paraId="1C32EA6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84</w:t>
                    </w:r>
                    <w:r>
                      <w:rPr>
                        <w:b/>
                        <w:spacing w:val="-5"/>
                        <w:sz w:val="1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E3C1" w14:textId="77777777" w:rsidR="00AC6F3C" w:rsidRDefault="00570E88">
    <w:pPr>
      <w:pStyle w:val="BodyText"/>
      <w:spacing w:line="14" w:lineRule="auto"/>
    </w:pPr>
    <w:r>
      <w:rPr>
        <w:noProof/>
      </w:rPr>
      <mc:AlternateContent>
        <mc:Choice Requires="wps">
          <w:drawing>
            <wp:anchor distT="0" distB="0" distL="0" distR="0" simplePos="0" relativeHeight="472885248" behindDoc="1" locked="0" layoutInCell="1" allowOverlap="1" wp14:anchorId="33B652D0" wp14:editId="7493C489">
              <wp:simplePos x="0" y="0"/>
              <wp:positionH relativeFrom="page">
                <wp:posOffset>3993225</wp:posOffset>
              </wp:positionH>
              <wp:positionV relativeFrom="page">
                <wp:posOffset>10339075</wp:posOffset>
              </wp:positionV>
              <wp:extent cx="3185795" cy="13208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6ED6416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85</w:t>
                          </w:r>
                          <w:r>
                            <w:rPr>
                              <w:b/>
                              <w:spacing w:val="-5"/>
                              <w:sz w:val="15"/>
                            </w:rPr>
                            <w:fldChar w:fldCharType="end"/>
                          </w:r>
                        </w:p>
                      </w:txbxContent>
                    </wps:txbx>
                    <wps:bodyPr wrap="square" lIns="0" tIns="0" rIns="0" bIns="0" rtlCol="0">
                      <a:noAutofit/>
                    </wps:bodyPr>
                  </wps:wsp>
                </a:graphicData>
              </a:graphic>
            </wp:anchor>
          </w:drawing>
        </mc:Choice>
        <mc:Fallback>
          <w:pict>
            <v:shapetype w14:anchorId="33B652D0" id="_x0000_t202" coordsize="21600,21600" o:spt="202" path="m,l,21600r21600,l21600,xe">
              <v:stroke joinstyle="miter"/>
              <v:path gradientshapeok="t" o:connecttype="rect"/>
            </v:shapetype>
            <v:shape id="Textbox 509" o:spid="_x0000_s1134" type="#_x0000_t202" style="position:absolute;margin-left:314.45pt;margin-top:814.1pt;width:250.85pt;height:10.4pt;z-index:-304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WmgEAACM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zfL9e2bu1spDJ8tb1bVuhiurrcjUvpowYtc&#10;NBI5r8JAHx8p5fd1fW6ZyTy/n5mkaTeJvm3k+i7HmLd20J5YzMh5NpJ+HjRaKYZPgQ3L4Z8LPBe7&#10;c4FpeA/li2RNAd4eEri+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sH95aa&#10;AQAAIwMAAA4AAAAAAAAAAAAAAAAALgIAAGRycy9lMm9Eb2MueG1sUEsBAi0AFAAGAAgAAAAhALrt&#10;lTbhAAAADgEAAA8AAAAAAAAAAAAAAAAA9AMAAGRycy9kb3ducmV2LnhtbFBLBQYAAAAABAAEAPMA&#10;AAACBQAAAAA=&#10;" filled="f" stroked="f">
              <v:textbox inset="0,0,0,0">
                <w:txbxContent>
                  <w:p w14:paraId="6ED6416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85</w:t>
                    </w:r>
                    <w:r>
                      <w:rPr>
                        <w:b/>
                        <w:spacing w:val="-5"/>
                        <w:sz w:val="1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D3A0" w14:textId="77777777" w:rsidR="00AC6F3C" w:rsidRDefault="00570E88">
    <w:pPr>
      <w:pStyle w:val="BodyText"/>
      <w:spacing w:line="14" w:lineRule="auto"/>
    </w:pPr>
    <w:r>
      <w:rPr>
        <w:noProof/>
      </w:rPr>
      <mc:AlternateContent>
        <mc:Choice Requires="wps">
          <w:drawing>
            <wp:anchor distT="0" distB="0" distL="0" distR="0" simplePos="0" relativeHeight="472885760" behindDoc="1" locked="0" layoutInCell="1" allowOverlap="1" wp14:anchorId="63E7A6D7" wp14:editId="48F875AC">
              <wp:simplePos x="0" y="0"/>
              <wp:positionH relativeFrom="page">
                <wp:posOffset>3993225</wp:posOffset>
              </wp:positionH>
              <wp:positionV relativeFrom="page">
                <wp:posOffset>10339075</wp:posOffset>
              </wp:positionV>
              <wp:extent cx="3185795" cy="13208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FFE32F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86</w:t>
                          </w:r>
                          <w:r>
                            <w:rPr>
                              <w:b/>
                              <w:spacing w:val="-5"/>
                              <w:sz w:val="15"/>
                            </w:rPr>
                            <w:fldChar w:fldCharType="end"/>
                          </w:r>
                        </w:p>
                      </w:txbxContent>
                    </wps:txbx>
                    <wps:bodyPr wrap="square" lIns="0" tIns="0" rIns="0" bIns="0" rtlCol="0">
                      <a:noAutofit/>
                    </wps:bodyPr>
                  </wps:wsp>
                </a:graphicData>
              </a:graphic>
            </wp:anchor>
          </w:drawing>
        </mc:Choice>
        <mc:Fallback>
          <w:pict>
            <v:shapetype w14:anchorId="63E7A6D7" id="_x0000_t202" coordsize="21600,21600" o:spt="202" path="m,l,21600r21600,l21600,xe">
              <v:stroke joinstyle="miter"/>
              <v:path gradientshapeok="t" o:connecttype="rect"/>
            </v:shapetype>
            <v:shape id="Textbox 510" o:spid="_x0000_s1135" type="#_x0000_t202" style="position:absolute;margin-left:314.45pt;margin-top:814.1pt;width:250.85pt;height:10.4pt;z-index:-304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D1pFjSa&#10;AQAAIwMAAA4AAAAAAAAAAAAAAAAALgIAAGRycy9lMm9Eb2MueG1sUEsBAi0AFAAGAAgAAAAhALrt&#10;lTbhAAAADgEAAA8AAAAAAAAAAAAAAAAA9AMAAGRycy9kb3ducmV2LnhtbFBLBQYAAAAABAAEAPMA&#10;AAACBQAAAAA=&#10;" filled="f" stroked="f">
              <v:textbox inset="0,0,0,0">
                <w:txbxContent>
                  <w:p w14:paraId="7FFE32F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86</w:t>
                    </w:r>
                    <w:r>
                      <w:rPr>
                        <w:b/>
                        <w:spacing w:val="-5"/>
                        <w:sz w:val="1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10CE" w14:textId="77777777" w:rsidR="00AC6F3C" w:rsidRDefault="00570E88">
    <w:pPr>
      <w:pStyle w:val="BodyText"/>
      <w:spacing w:line="14" w:lineRule="auto"/>
    </w:pPr>
    <w:r>
      <w:rPr>
        <w:noProof/>
      </w:rPr>
      <mc:AlternateContent>
        <mc:Choice Requires="wps">
          <w:drawing>
            <wp:anchor distT="0" distB="0" distL="0" distR="0" simplePos="0" relativeHeight="472886272" behindDoc="1" locked="0" layoutInCell="1" allowOverlap="1" wp14:anchorId="7EC73314" wp14:editId="3AFF802D">
              <wp:simplePos x="0" y="0"/>
              <wp:positionH relativeFrom="page">
                <wp:posOffset>3993225</wp:posOffset>
              </wp:positionH>
              <wp:positionV relativeFrom="page">
                <wp:posOffset>10339075</wp:posOffset>
              </wp:positionV>
              <wp:extent cx="3185795" cy="13208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CB7B57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87</w:t>
                          </w:r>
                          <w:r>
                            <w:rPr>
                              <w:b/>
                              <w:spacing w:val="-5"/>
                              <w:sz w:val="15"/>
                            </w:rPr>
                            <w:fldChar w:fldCharType="end"/>
                          </w:r>
                        </w:p>
                      </w:txbxContent>
                    </wps:txbx>
                    <wps:bodyPr wrap="square" lIns="0" tIns="0" rIns="0" bIns="0" rtlCol="0">
                      <a:noAutofit/>
                    </wps:bodyPr>
                  </wps:wsp>
                </a:graphicData>
              </a:graphic>
            </wp:anchor>
          </w:drawing>
        </mc:Choice>
        <mc:Fallback>
          <w:pict>
            <v:shapetype w14:anchorId="7EC73314" id="_x0000_t202" coordsize="21600,21600" o:spt="202" path="m,l,21600r21600,l21600,xe">
              <v:stroke joinstyle="miter"/>
              <v:path gradientshapeok="t" o:connecttype="rect"/>
            </v:shapetype>
            <v:shape id="Textbox 511" o:spid="_x0000_s1136" type="#_x0000_t202" style="position:absolute;margin-left:314.45pt;margin-top:814.1pt;width:250.85pt;height:10.4pt;z-index:-304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HqxukWa&#10;AQAAIwMAAA4AAAAAAAAAAAAAAAAALgIAAGRycy9lMm9Eb2MueG1sUEsBAi0AFAAGAAgAAAAhALrt&#10;lTbhAAAADgEAAA8AAAAAAAAAAAAAAAAA9AMAAGRycy9kb3ducmV2LnhtbFBLBQYAAAAABAAEAPMA&#10;AAACBQAAAAA=&#10;" filled="f" stroked="f">
              <v:textbox inset="0,0,0,0">
                <w:txbxContent>
                  <w:p w14:paraId="3CB7B57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87</w:t>
                    </w:r>
                    <w:r>
                      <w:rPr>
                        <w:b/>
                        <w:spacing w:val="-5"/>
                        <w:sz w:val="1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3DE9" w14:textId="77777777" w:rsidR="00AC6F3C" w:rsidRDefault="00570E88">
    <w:pPr>
      <w:pStyle w:val="BodyText"/>
      <w:spacing w:line="14" w:lineRule="auto"/>
    </w:pPr>
    <w:r>
      <w:rPr>
        <w:noProof/>
      </w:rPr>
      <mc:AlternateContent>
        <mc:Choice Requires="wps">
          <w:drawing>
            <wp:anchor distT="0" distB="0" distL="0" distR="0" simplePos="0" relativeHeight="472886784" behindDoc="1" locked="0" layoutInCell="1" allowOverlap="1" wp14:anchorId="76E50633" wp14:editId="4B2BDA26">
              <wp:simplePos x="0" y="0"/>
              <wp:positionH relativeFrom="page">
                <wp:posOffset>3993225</wp:posOffset>
              </wp:positionH>
              <wp:positionV relativeFrom="page">
                <wp:posOffset>10339075</wp:posOffset>
              </wp:positionV>
              <wp:extent cx="3185795" cy="13208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0BBDA7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88</w:t>
                          </w:r>
                          <w:r>
                            <w:rPr>
                              <w:b/>
                              <w:spacing w:val="-5"/>
                              <w:sz w:val="15"/>
                            </w:rPr>
                            <w:fldChar w:fldCharType="end"/>
                          </w:r>
                        </w:p>
                      </w:txbxContent>
                    </wps:txbx>
                    <wps:bodyPr wrap="square" lIns="0" tIns="0" rIns="0" bIns="0" rtlCol="0">
                      <a:noAutofit/>
                    </wps:bodyPr>
                  </wps:wsp>
                </a:graphicData>
              </a:graphic>
            </wp:anchor>
          </w:drawing>
        </mc:Choice>
        <mc:Fallback>
          <w:pict>
            <v:shapetype w14:anchorId="76E50633" id="_x0000_t202" coordsize="21600,21600" o:spt="202" path="m,l,21600r21600,l21600,xe">
              <v:stroke joinstyle="miter"/>
              <v:path gradientshapeok="t" o:connecttype="rect"/>
            </v:shapetype>
            <v:shape id="Textbox 512" o:spid="_x0000_s1137" type="#_x0000_t202" style="position:absolute;margin-left:314.45pt;margin-top:814.1pt;width:250.85pt;height:10.4pt;z-index:-304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XmgEAACMDAAAOAAAAZHJzL2Uyb0RvYy54bWysUt2OEyEUvjfxHQj3lmk3q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zfL9e2bu1spDJ8tb1bVuhiurrcjUvpowYtc&#10;NBI5r8JAHx8p5fd1fW6ZyTy/n5mkaTeJvm3k3SrHmLd20J5YzMh5NpJ+HjRaKYZPgQ3L4Z8LPBe7&#10;c4FpeA/li2RNAd4eEri+MLjizgw4iUJs/jU56t/Xpev6t7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LPZT9ea&#10;AQAAIwMAAA4AAAAAAAAAAAAAAAAALgIAAGRycy9lMm9Eb2MueG1sUEsBAi0AFAAGAAgAAAAhALrt&#10;lTbhAAAADgEAAA8AAAAAAAAAAAAAAAAA9AMAAGRycy9kb3ducmV2LnhtbFBLBQYAAAAABAAEAPMA&#10;AAACBQAAAAA=&#10;" filled="f" stroked="f">
              <v:textbox inset="0,0,0,0">
                <w:txbxContent>
                  <w:p w14:paraId="70BBDA7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88</w:t>
                    </w:r>
                    <w:r>
                      <w:rPr>
                        <w:b/>
                        <w:spacing w:val="-5"/>
                        <w:sz w:val="1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7D9A" w14:textId="77777777" w:rsidR="00AC6F3C" w:rsidRDefault="00570E88">
    <w:pPr>
      <w:pStyle w:val="BodyText"/>
      <w:spacing w:line="14" w:lineRule="auto"/>
    </w:pPr>
    <w:r>
      <w:rPr>
        <w:noProof/>
      </w:rPr>
      <mc:AlternateContent>
        <mc:Choice Requires="wps">
          <w:drawing>
            <wp:anchor distT="0" distB="0" distL="0" distR="0" simplePos="0" relativeHeight="472887808" behindDoc="1" locked="0" layoutInCell="1" allowOverlap="1" wp14:anchorId="21DB4942" wp14:editId="7496400A">
              <wp:simplePos x="0" y="0"/>
              <wp:positionH relativeFrom="page">
                <wp:posOffset>3993225</wp:posOffset>
              </wp:positionH>
              <wp:positionV relativeFrom="page">
                <wp:posOffset>10339075</wp:posOffset>
              </wp:positionV>
              <wp:extent cx="3185795" cy="13208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5882340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89</w:t>
                          </w:r>
                          <w:r>
                            <w:rPr>
                              <w:b/>
                              <w:spacing w:val="-5"/>
                              <w:sz w:val="15"/>
                            </w:rPr>
                            <w:fldChar w:fldCharType="end"/>
                          </w:r>
                        </w:p>
                      </w:txbxContent>
                    </wps:txbx>
                    <wps:bodyPr wrap="square" lIns="0" tIns="0" rIns="0" bIns="0" rtlCol="0">
                      <a:noAutofit/>
                    </wps:bodyPr>
                  </wps:wsp>
                </a:graphicData>
              </a:graphic>
            </wp:anchor>
          </w:drawing>
        </mc:Choice>
        <mc:Fallback>
          <w:pict>
            <v:shapetype w14:anchorId="21DB4942" id="_x0000_t202" coordsize="21600,21600" o:spt="202" path="m,l,21600r21600,l21600,xe">
              <v:stroke joinstyle="miter"/>
              <v:path gradientshapeok="t" o:connecttype="rect"/>
            </v:shapetype>
            <v:shape id="Textbox 514" o:spid="_x0000_s1139" type="#_x0000_t202" style="position:absolute;margin-left:314.45pt;margin-top:814.1pt;width:250.85pt;height:10.4pt;z-index:-304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QpmwEAACMDAAAOAAAAZHJzL2Uyb0RvYy54bWysUs1uGyEQvlfKOyDuMWunaZ2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" filled="f" stroked="f">
              <v:textbox inset="0,0,0,0">
                <w:txbxContent>
                  <w:p w14:paraId="5882340B"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89</w:t>
                    </w:r>
                    <w:r>
                      <w:rPr>
                        <w:b/>
                        <w:spacing w:val="-5"/>
                        <w:sz w:val="1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4AB6" w14:textId="77777777" w:rsidR="00AC6F3C" w:rsidRDefault="00570E88">
    <w:pPr>
      <w:pStyle w:val="BodyText"/>
      <w:spacing w:line="14" w:lineRule="auto"/>
    </w:pPr>
    <w:r>
      <w:rPr>
        <w:noProof/>
      </w:rPr>
      <mc:AlternateContent>
        <mc:Choice Requires="wps">
          <w:drawing>
            <wp:anchor distT="0" distB="0" distL="0" distR="0" simplePos="0" relativeHeight="472888832" behindDoc="1" locked="0" layoutInCell="1" allowOverlap="1" wp14:anchorId="658E1A0C" wp14:editId="178A3B91">
              <wp:simplePos x="0" y="0"/>
              <wp:positionH relativeFrom="page">
                <wp:posOffset>3993225</wp:posOffset>
              </wp:positionH>
              <wp:positionV relativeFrom="page">
                <wp:posOffset>10339075</wp:posOffset>
              </wp:positionV>
              <wp:extent cx="3185795" cy="13208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9959ED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90</w:t>
                          </w:r>
                          <w:r>
                            <w:rPr>
                              <w:b/>
                              <w:spacing w:val="-5"/>
                              <w:sz w:val="15"/>
                            </w:rPr>
                            <w:fldChar w:fldCharType="end"/>
                          </w:r>
                        </w:p>
                      </w:txbxContent>
                    </wps:txbx>
                    <wps:bodyPr wrap="square" lIns="0" tIns="0" rIns="0" bIns="0" rtlCol="0">
                      <a:noAutofit/>
                    </wps:bodyPr>
                  </wps:wsp>
                </a:graphicData>
              </a:graphic>
            </wp:anchor>
          </w:drawing>
        </mc:Choice>
        <mc:Fallback>
          <w:pict>
            <v:shapetype w14:anchorId="658E1A0C" id="_x0000_t202" coordsize="21600,21600" o:spt="202" path="m,l,21600r21600,l21600,xe">
              <v:stroke joinstyle="miter"/>
              <v:path gradientshapeok="t" o:connecttype="rect"/>
            </v:shapetype>
            <v:shape id="Textbox 516" o:spid="_x0000_s1141" type="#_x0000_t202" style="position:absolute;margin-left:314.45pt;margin-top:814.1pt;width:250.85pt;height:10.4pt;z-index:-304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O6+jcqa&#10;AQAAIwMAAA4AAAAAAAAAAAAAAAAALgIAAGRycy9lMm9Eb2MueG1sUEsBAi0AFAAGAAgAAAAhALrt&#10;lTbhAAAADgEAAA8AAAAAAAAAAAAAAAAA9AMAAGRycy9kb3ducmV2LnhtbFBLBQYAAAAABAAEAPMA&#10;AAACBQAAAAA=&#10;" filled="f" stroked="f">
              <v:textbox inset="0,0,0,0">
                <w:txbxContent>
                  <w:p w14:paraId="49959ED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90</w:t>
                    </w:r>
                    <w:r>
                      <w:rPr>
                        <w:b/>
                        <w:spacing w:val="-5"/>
                        <w:sz w:val="1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6386" w14:textId="77777777" w:rsidR="00AC6F3C" w:rsidRDefault="00570E88">
    <w:pPr>
      <w:pStyle w:val="BodyText"/>
      <w:spacing w:line="14" w:lineRule="auto"/>
    </w:pPr>
    <w:r>
      <w:rPr>
        <w:noProof/>
      </w:rPr>
      <mc:AlternateContent>
        <mc:Choice Requires="wpg">
          <w:drawing>
            <wp:anchor distT="0" distB="0" distL="0" distR="0" simplePos="0" relativeHeight="472891392" behindDoc="1" locked="0" layoutInCell="1" allowOverlap="1" wp14:anchorId="41E2D7DD" wp14:editId="36800BDB">
              <wp:simplePos x="0" y="0"/>
              <wp:positionH relativeFrom="page">
                <wp:posOffset>809999</wp:posOffset>
              </wp:positionH>
              <wp:positionV relativeFrom="page">
                <wp:posOffset>9559236</wp:posOffset>
              </wp:positionV>
              <wp:extent cx="5940425" cy="3175"/>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175"/>
                        <a:chOff x="0" y="0"/>
                        <a:chExt cx="5940425" cy="3175"/>
                      </a:xfrm>
                    </wpg:grpSpPr>
                    <wps:wsp>
                      <wps:cNvPr id="556" name="Graphic 556"/>
                      <wps:cNvSpPr/>
                      <wps:spPr>
                        <a:xfrm>
                          <a:off x="0" y="1587"/>
                          <a:ext cx="3249295" cy="1270"/>
                        </a:xfrm>
                        <a:custGeom>
                          <a:avLst/>
                          <a:gdLst/>
                          <a:ahLst/>
                          <a:cxnLst/>
                          <a:rect l="l" t="t" r="r" b="b"/>
                          <a:pathLst>
                            <a:path w="3249295">
                              <a:moveTo>
                                <a:pt x="0" y="0"/>
                              </a:moveTo>
                              <a:lnTo>
                                <a:pt x="3249002" y="0"/>
                              </a:lnTo>
                            </a:path>
                          </a:pathLst>
                        </a:custGeom>
                        <a:ln w="3175">
                          <a:solidFill>
                            <a:srgbClr val="000000"/>
                          </a:solidFill>
                          <a:prstDash val="solid"/>
                        </a:ln>
                      </wps:spPr>
                      <wps:bodyPr wrap="square" lIns="0" tIns="0" rIns="0" bIns="0" rtlCol="0">
                        <a:prstTxWarp prst="textNoShape">
                          <a:avLst/>
                        </a:prstTxWarp>
                        <a:noAutofit/>
                      </wps:bodyPr>
                    </wps:wsp>
                    <wps:wsp>
                      <wps:cNvPr id="557" name="Graphic 557"/>
                      <wps:cNvSpPr/>
                      <wps:spPr>
                        <a:xfrm>
                          <a:off x="3249000" y="1587"/>
                          <a:ext cx="2691130" cy="1270"/>
                        </a:xfrm>
                        <a:custGeom>
                          <a:avLst/>
                          <a:gdLst/>
                          <a:ahLst/>
                          <a:cxnLst/>
                          <a:rect l="l" t="t" r="r" b="b"/>
                          <a:pathLst>
                            <a:path w="2691130">
                              <a:moveTo>
                                <a:pt x="0" y="0"/>
                              </a:moveTo>
                              <a:lnTo>
                                <a:pt x="2691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C81E10" id="Group 555" o:spid="_x0000_s1026" style="position:absolute;margin-left:63.8pt;margin-top:752.7pt;width:467.75pt;height:.25pt;z-index:-30425088;mso-wrap-distance-left:0;mso-wrap-distance-right:0;mso-position-horizontal-relative:page;mso-position-vertical-relative:page" coordsize="59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">
              <v:shape id="Graphic 556" o:spid="_x0000_s1027" style="position:absolute;top:15;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" path="m,l3249002,e" filled="f" strokeweight=".25pt">
                <v:path arrowok="t"/>
              </v:shape>
              <v:shape id="Graphic 557" o:spid="_x0000_s1028" style="position:absolute;left:32490;top:15;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" path="m,l2691003,e" filled="f" strokeweight=".25pt">
                <v:path arrowok="t"/>
              </v:shape>
              <w10:wrap anchorx="page" anchory="page"/>
            </v:group>
          </w:pict>
        </mc:Fallback>
      </mc:AlternateContent>
    </w:r>
    <w:r>
      <w:rPr>
        <w:noProof/>
      </w:rPr>
      <mc:AlternateContent>
        <mc:Choice Requires="wps">
          <w:drawing>
            <wp:anchor distT="0" distB="0" distL="0" distR="0" simplePos="0" relativeHeight="472891904" behindDoc="1" locked="0" layoutInCell="1" allowOverlap="1" wp14:anchorId="6953B0D7" wp14:editId="4AB4119B">
              <wp:simplePos x="0" y="0"/>
              <wp:positionH relativeFrom="page">
                <wp:posOffset>3993225</wp:posOffset>
              </wp:positionH>
              <wp:positionV relativeFrom="page">
                <wp:posOffset>10339075</wp:posOffset>
              </wp:positionV>
              <wp:extent cx="3185795" cy="13208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C0E50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92</w:t>
                          </w:r>
                          <w:r>
                            <w:rPr>
                              <w:b/>
                              <w:spacing w:val="-5"/>
                              <w:sz w:val="15"/>
                            </w:rPr>
                            <w:fldChar w:fldCharType="end"/>
                          </w:r>
                        </w:p>
                      </w:txbxContent>
                    </wps:txbx>
                    <wps:bodyPr wrap="square" lIns="0" tIns="0" rIns="0" bIns="0" rtlCol="0">
                      <a:noAutofit/>
                    </wps:bodyPr>
                  </wps:wsp>
                </a:graphicData>
              </a:graphic>
            </wp:anchor>
          </w:drawing>
        </mc:Choice>
        <mc:Fallback>
          <w:pict>
            <v:shapetype w14:anchorId="6953B0D7" id="_x0000_t202" coordsize="21600,21600" o:spt="202" path="m,l,21600r21600,l21600,xe">
              <v:stroke joinstyle="miter"/>
              <v:path gradientshapeok="t" o:connecttype="rect"/>
            </v:shapetype>
            <v:shape id="Textbox 558" o:spid="_x0000_s1144" type="#_x0000_t202" style="position:absolute;margin-left:314.45pt;margin-top:814.1pt;width:250.85pt;height:10.4pt;z-index:-304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MB/Pn6a&#10;AQAAIwMAAA4AAAAAAAAAAAAAAAAALgIAAGRycy9lMm9Eb2MueG1sUEsBAi0AFAAGAAgAAAAhALrt&#10;lTbhAAAADgEAAA8AAAAAAAAAAAAAAAAA9AMAAGRycy9kb3ducmV2LnhtbFBLBQYAAAAABAAEAPMA&#10;AAACBQAAAAA=&#10;" filled="f" stroked="f">
              <v:textbox inset="0,0,0,0">
                <w:txbxContent>
                  <w:p w14:paraId="7C0E50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92</w:t>
                    </w:r>
                    <w:r>
                      <w:rPr>
                        <w:b/>
                        <w:spacing w:val="-5"/>
                        <w:sz w:val="1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FAB7" w14:textId="77777777" w:rsidR="00AC6F3C" w:rsidRDefault="00570E88">
    <w:pPr>
      <w:pStyle w:val="BodyText"/>
      <w:spacing w:line="14" w:lineRule="auto"/>
    </w:pPr>
    <w:r>
      <w:rPr>
        <w:noProof/>
      </w:rPr>
      <mc:AlternateContent>
        <mc:Choice Requires="wps">
          <w:drawing>
            <wp:anchor distT="0" distB="0" distL="0" distR="0" simplePos="0" relativeHeight="472894464" behindDoc="1" locked="0" layoutInCell="1" allowOverlap="1" wp14:anchorId="32AC6783" wp14:editId="1B0BD13A">
              <wp:simplePos x="0" y="0"/>
              <wp:positionH relativeFrom="page">
                <wp:posOffset>3993225</wp:posOffset>
              </wp:positionH>
              <wp:positionV relativeFrom="page">
                <wp:posOffset>10339075</wp:posOffset>
              </wp:positionV>
              <wp:extent cx="3185795" cy="13208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3B88FE1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93</w:t>
                          </w:r>
                          <w:r>
                            <w:rPr>
                              <w:b/>
                              <w:spacing w:val="-5"/>
                              <w:sz w:val="15"/>
                            </w:rPr>
                            <w:fldChar w:fldCharType="end"/>
                          </w:r>
                        </w:p>
                      </w:txbxContent>
                    </wps:txbx>
                    <wps:bodyPr wrap="square" lIns="0" tIns="0" rIns="0" bIns="0" rtlCol="0">
                      <a:noAutofit/>
                    </wps:bodyPr>
                  </wps:wsp>
                </a:graphicData>
              </a:graphic>
            </wp:anchor>
          </w:drawing>
        </mc:Choice>
        <mc:Fallback>
          <w:pict>
            <v:shapetype w14:anchorId="32AC6783" id="_x0000_t202" coordsize="21600,21600" o:spt="202" path="m,l,21600r21600,l21600,xe">
              <v:stroke joinstyle="miter"/>
              <v:path gradientshapeok="t" o:connecttype="rect"/>
            </v:shapetype>
            <v:shape id="Textbox 684" o:spid="_x0000_s1147" type="#_x0000_t202" style="position:absolute;margin-left:314.45pt;margin-top:814.1pt;width:250.85pt;height:10.4pt;z-index:-304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PtmgEAACQ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MfI9SrnmPd20J1YzciBtpJ+HhQaKYbPgR3L6Z8LPBe7&#10;c4Fp+ADlj2RRAd4dElhXKFxxZwocRWE2f5uc9e/r0nX93N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G4vY+2a&#10;AQAAJAMAAA4AAAAAAAAAAAAAAAAALgIAAGRycy9lMm9Eb2MueG1sUEsBAi0AFAAGAAgAAAAhALrt&#10;lTbhAAAADgEAAA8AAAAAAAAAAAAAAAAA9AMAAGRycy9kb3ducmV2LnhtbFBLBQYAAAAABAAEAPMA&#10;AAACBQAAAAA=&#10;" filled="f" stroked="f">
              <v:textbox inset="0,0,0,0">
                <w:txbxContent>
                  <w:p w14:paraId="3B88FE10"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93</w:t>
                    </w:r>
                    <w:r>
                      <w:rPr>
                        <w:b/>
                        <w:spacing w:val="-5"/>
                        <w:sz w:val="1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E307" w14:textId="77777777" w:rsidR="00AC6F3C" w:rsidRDefault="00570E88">
    <w:pPr>
      <w:pStyle w:val="BodyText"/>
      <w:spacing w:line="14" w:lineRule="auto"/>
    </w:pPr>
    <w:r>
      <w:rPr>
        <w:noProof/>
      </w:rPr>
      <mc:AlternateContent>
        <mc:Choice Requires="wps">
          <w:drawing>
            <wp:anchor distT="0" distB="0" distL="0" distR="0" simplePos="0" relativeHeight="472894976" behindDoc="1" locked="0" layoutInCell="1" allowOverlap="1" wp14:anchorId="2F66603C" wp14:editId="0586A030">
              <wp:simplePos x="0" y="0"/>
              <wp:positionH relativeFrom="page">
                <wp:posOffset>3993225</wp:posOffset>
              </wp:positionH>
              <wp:positionV relativeFrom="page">
                <wp:posOffset>10339075</wp:posOffset>
              </wp:positionV>
              <wp:extent cx="3185795" cy="13208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7EB402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94</w:t>
                          </w:r>
                          <w:r>
                            <w:rPr>
                              <w:b/>
                              <w:spacing w:val="-5"/>
                              <w:sz w:val="15"/>
                            </w:rPr>
                            <w:fldChar w:fldCharType="end"/>
                          </w:r>
                        </w:p>
                      </w:txbxContent>
                    </wps:txbx>
                    <wps:bodyPr wrap="square" lIns="0" tIns="0" rIns="0" bIns="0" rtlCol="0">
                      <a:noAutofit/>
                    </wps:bodyPr>
                  </wps:wsp>
                </a:graphicData>
              </a:graphic>
            </wp:anchor>
          </w:drawing>
        </mc:Choice>
        <mc:Fallback>
          <w:pict>
            <v:shapetype w14:anchorId="2F66603C" id="_x0000_t202" coordsize="21600,21600" o:spt="202" path="m,l,21600r21600,l21600,xe">
              <v:stroke joinstyle="miter"/>
              <v:path gradientshapeok="t" o:connecttype="rect"/>
            </v:shapetype>
            <v:shape id="Textbox 718" o:spid="_x0000_s1148" type="#_x0000_t202" style="position:absolute;margin-left:314.45pt;margin-top:814.1pt;width:250.85pt;height:10.4pt;z-index:-304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cmgEAACQDAAAOAAAAZHJzL2Uyb0RvYy54bWysUs1uGyEQvlfKOyDuMWtbaZ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S7nq5sPtzecKTqbLxfVqhguLrdDxPRVg2O5&#10;aHikvAoDeXjAlN+X9allIvP6fmaSxu3IbEvI1TLnmPe20B5JzUCBNhx/7WXUnPXfPDmW0z8V8VRs&#10;T0VM/WcofySL8vBxn8DYQuGCO1GgKAqz6dvkrP9cl67L5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Cn3z5ya&#10;AQAAJAMAAA4AAAAAAAAAAAAAAAAALgIAAGRycy9lMm9Eb2MueG1sUEsBAi0AFAAGAAgAAAAhALrt&#10;lTbhAAAADgEAAA8AAAAAAAAAAAAAAAAA9AMAAGRycy9kb3ducmV2LnhtbFBLBQYAAAAABAAEAPMA&#10;AAACBQAAAAA=&#10;" filled="f" stroked="f">
              <v:textbox inset="0,0,0,0">
                <w:txbxContent>
                  <w:p w14:paraId="17EB402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94</w:t>
                    </w:r>
                    <w:r>
                      <w:rPr>
                        <w:b/>
                        <w:spacing w:val="-5"/>
                        <w:sz w:val="1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185B" w14:textId="77777777" w:rsidR="00AC6F3C" w:rsidRDefault="00570E88">
    <w:pPr>
      <w:pStyle w:val="BodyText"/>
      <w:spacing w:line="14" w:lineRule="auto"/>
    </w:pPr>
    <w:r>
      <w:rPr>
        <w:noProof/>
      </w:rPr>
      <mc:AlternateContent>
        <mc:Choice Requires="wps">
          <w:drawing>
            <wp:anchor distT="0" distB="0" distL="0" distR="0" simplePos="0" relativeHeight="472842752" behindDoc="1" locked="0" layoutInCell="1" allowOverlap="1" wp14:anchorId="6B0A9CA4" wp14:editId="11283C30">
              <wp:simplePos x="0" y="0"/>
              <wp:positionH relativeFrom="page">
                <wp:posOffset>7303025</wp:posOffset>
              </wp:positionH>
              <wp:positionV relativeFrom="page">
                <wp:posOffset>7207077</wp:posOffset>
              </wp:positionV>
              <wp:extent cx="3185795" cy="13208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15F9275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13</w:t>
                          </w:r>
                          <w:r>
                            <w:rPr>
                              <w:b/>
                              <w:spacing w:val="-5"/>
                              <w:sz w:val="15"/>
                            </w:rPr>
                            <w:fldChar w:fldCharType="end"/>
                          </w:r>
                        </w:p>
                      </w:txbxContent>
                    </wps:txbx>
                    <wps:bodyPr wrap="square" lIns="0" tIns="0" rIns="0" bIns="0" rtlCol="0">
                      <a:noAutofit/>
                    </wps:bodyPr>
                  </wps:wsp>
                </a:graphicData>
              </a:graphic>
            </wp:anchor>
          </w:drawing>
        </mc:Choice>
        <mc:Fallback>
          <w:pict>
            <v:shapetype w14:anchorId="6B0A9CA4" id="_x0000_t202" coordsize="21600,21600" o:spt="202" path="m,l,21600r21600,l21600,xe">
              <v:stroke joinstyle="miter"/>
              <v:path gradientshapeok="t" o:connecttype="rect"/>
            </v:shapetype>
            <v:shape id="Textbox 100" o:spid="_x0000_s1053" type="#_x0000_t202" style="position:absolute;margin-left:575.05pt;margin-top:567.5pt;width:250.85pt;height:10.4pt;z-index:-304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L3mQEAACI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" filled="f" stroked="f">
              <v:textbox inset="0,0,0,0">
                <w:txbxContent>
                  <w:p w14:paraId="15F92752"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13</w:t>
                    </w:r>
                    <w:r>
                      <w:rPr>
                        <w:b/>
                        <w:spacing w:val="-5"/>
                        <w:sz w:val="15"/>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0CAD" w14:textId="77777777" w:rsidR="00AC6F3C" w:rsidRDefault="00570E88">
    <w:pPr>
      <w:pStyle w:val="BodyText"/>
      <w:spacing w:line="14" w:lineRule="auto"/>
    </w:pPr>
    <w:r>
      <w:rPr>
        <w:noProof/>
      </w:rPr>
      <mc:AlternateContent>
        <mc:Choice Requires="wps">
          <w:drawing>
            <wp:anchor distT="0" distB="0" distL="0" distR="0" simplePos="0" relativeHeight="472895488" behindDoc="1" locked="0" layoutInCell="1" allowOverlap="1" wp14:anchorId="18BC025E" wp14:editId="7FB39B13">
              <wp:simplePos x="0" y="0"/>
              <wp:positionH relativeFrom="page">
                <wp:posOffset>3993225</wp:posOffset>
              </wp:positionH>
              <wp:positionV relativeFrom="page">
                <wp:posOffset>10339075</wp:posOffset>
              </wp:positionV>
              <wp:extent cx="3185795" cy="13208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50C8E4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95</w:t>
                          </w:r>
                          <w:r>
                            <w:rPr>
                              <w:b/>
                              <w:spacing w:val="-5"/>
                              <w:sz w:val="15"/>
                            </w:rPr>
                            <w:fldChar w:fldCharType="end"/>
                          </w:r>
                        </w:p>
                      </w:txbxContent>
                    </wps:txbx>
                    <wps:bodyPr wrap="square" lIns="0" tIns="0" rIns="0" bIns="0" rtlCol="0">
                      <a:noAutofit/>
                    </wps:bodyPr>
                  </wps:wsp>
                </a:graphicData>
              </a:graphic>
            </wp:anchor>
          </w:drawing>
        </mc:Choice>
        <mc:Fallback>
          <w:pict>
            <v:shapetype w14:anchorId="18BC025E" id="_x0000_t202" coordsize="21600,21600" o:spt="202" path="m,l,21600r21600,l21600,xe">
              <v:stroke joinstyle="miter"/>
              <v:path gradientshapeok="t" o:connecttype="rect"/>
            </v:shapetype>
            <v:shape id="Textbox 719" o:spid="_x0000_s1149" type="#_x0000_t202" style="position:absolute;margin-left:314.45pt;margin-top:814.1pt;width:250.85pt;height:10.4pt;z-index:-304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TmgEAACQ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s1yffv6za0Ums+WN6t6XQyvrrcjUvpowItc&#10;tBI5r8JAHR8o5fdVc26ZyTy9n5mkaTcJ1zFy/TLnmPd20J1YzciBtpJ+HhQaKYZPgR3L6Z8LPBe7&#10;c4FpeA/lj2RRAd4eElhXKFxxZwocRWE2f5uc9e/r0nX93Ntf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L34+BOa&#10;AQAAJAMAAA4AAAAAAAAAAAAAAAAALgIAAGRycy9lMm9Eb2MueG1sUEsBAi0AFAAGAAgAAAAhALrt&#10;lTbhAAAADgEAAA8AAAAAAAAAAAAAAAAA9AMAAGRycy9kb3ducmV2LnhtbFBLBQYAAAAABAAEAPMA&#10;AAACBQAAAAA=&#10;" filled="f" stroked="f">
              <v:textbox inset="0,0,0,0">
                <w:txbxContent>
                  <w:p w14:paraId="750C8E41"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95</w:t>
                    </w:r>
                    <w:r>
                      <w:rPr>
                        <w:b/>
                        <w:spacing w:val="-5"/>
                        <w:sz w:val="1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A337" w14:textId="77777777" w:rsidR="00AC6F3C" w:rsidRDefault="00570E88">
    <w:pPr>
      <w:pStyle w:val="BodyText"/>
      <w:spacing w:line="14" w:lineRule="auto"/>
    </w:pPr>
    <w:r>
      <w:rPr>
        <w:noProof/>
      </w:rPr>
      <mc:AlternateContent>
        <mc:Choice Requires="wps">
          <w:drawing>
            <wp:anchor distT="0" distB="0" distL="0" distR="0" simplePos="0" relativeHeight="472896000" behindDoc="1" locked="0" layoutInCell="1" allowOverlap="1" wp14:anchorId="28511A52" wp14:editId="4A6B7D5A">
              <wp:simplePos x="0" y="0"/>
              <wp:positionH relativeFrom="page">
                <wp:posOffset>3993225</wp:posOffset>
              </wp:positionH>
              <wp:positionV relativeFrom="page">
                <wp:posOffset>10339075</wp:posOffset>
              </wp:positionV>
              <wp:extent cx="3185795" cy="13208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70D7E31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96</w:t>
                          </w:r>
                          <w:r>
                            <w:rPr>
                              <w:b/>
                              <w:spacing w:val="-5"/>
                              <w:sz w:val="15"/>
                            </w:rPr>
                            <w:fldChar w:fldCharType="end"/>
                          </w:r>
                        </w:p>
                      </w:txbxContent>
                    </wps:txbx>
                    <wps:bodyPr wrap="square" lIns="0" tIns="0" rIns="0" bIns="0" rtlCol="0">
                      <a:noAutofit/>
                    </wps:bodyPr>
                  </wps:wsp>
                </a:graphicData>
              </a:graphic>
            </wp:anchor>
          </w:drawing>
        </mc:Choice>
        <mc:Fallback>
          <w:pict>
            <v:shapetype w14:anchorId="28511A52" id="_x0000_t202" coordsize="21600,21600" o:spt="202" path="m,l,21600r21600,l21600,xe">
              <v:stroke joinstyle="miter"/>
              <v:path gradientshapeok="t" o:connecttype="rect"/>
            </v:shapetype>
            <v:shape id="Textbox 720" o:spid="_x0000_s1150" type="#_x0000_t202" style="position:absolute;margin-left:314.45pt;margin-top:814.1pt;width:250.85pt;height:10.4pt;z-index:-304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RimgEAACQDAAAOAAAAZHJzL2Uyb0RvYy54bWysUs1uGyEQvlfKOyDuMWtH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yZr5YfPi45U3Q2v1lUq2K4uNwOEdNXDY7l&#10;ouGR8ioM5OEBU35f1qeWiczr+5lJGrcjsy0hV8ucY97bQnskNQMF2nB82cuoOeu/eXIsp38q4qnY&#10;noqY+jsofySL8vBpn8DYQuGCO1GgKAqz6dvkrP9cl67L5978Bg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PogVGKa&#10;AQAAJAMAAA4AAAAAAAAAAAAAAAAALgIAAGRycy9lMm9Eb2MueG1sUEsBAi0AFAAGAAgAAAAhALrt&#10;lTbhAAAADgEAAA8AAAAAAAAAAAAAAAAA9AMAAGRycy9kb3ducmV2LnhtbFBLBQYAAAAABAAEAPMA&#10;AAACBQAAAAA=&#10;" filled="f" stroked="f">
              <v:textbox inset="0,0,0,0">
                <w:txbxContent>
                  <w:p w14:paraId="70D7E31D"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96</w:t>
                    </w:r>
                    <w:r>
                      <w:rPr>
                        <w:b/>
                        <w:spacing w:val="-5"/>
                        <w:sz w:val="1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4457" w14:textId="77777777" w:rsidR="00AC6F3C" w:rsidRDefault="00570E88">
    <w:pPr>
      <w:pStyle w:val="BodyText"/>
      <w:spacing w:line="14" w:lineRule="auto"/>
    </w:pPr>
    <w:r>
      <w:rPr>
        <w:noProof/>
      </w:rPr>
      <mc:AlternateContent>
        <mc:Choice Requires="wps">
          <w:drawing>
            <wp:anchor distT="0" distB="0" distL="0" distR="0" simplePos="0" relativeHeight="472896512" behindDoc="1" locked="0" layoutInCell="1" allowOverlap="1" wp14:anchorId="18B4BD10" wp14:editId="68C5E0B5">
              <wp:simplePos x="0" y="0"/>
              <wp:positionH relativeFrom="page">
                <wp:posOffset>3993225</wp:posOffset>
              </wp:positionH>
              <wp:positionV relativeFrom="page">
                <wp:posOffset>10339075</wp:posOffset>
              </wp:positionV>
              <wp:extent cx="3185795" cy="13208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5CB5565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97</w:t>
                          </w:r>
                          <w:r>
                            <w:rPr>
                              <w:b/>
                              <w:spacing w:val="-5"/>
                              <w:sz w:val="15"/>
                            </w:rPr>
                            <w:fldChar w:fldCharType="end"/>
                          </w:r>
                        </w:p>
                      </w:txbxContent>
                    </wps:txbx>
                    <wps:bodyPr wrap="square" lIns="0" tIns="0" rIns="0" bIns="0" rtlCol="0">
                      <a:noAutofit/>
                    </wps:bodyPr>
                  </wps:wsp>
                </a:graphicData>
              </a:graphic>
            </wp:anchor>
          </w:drawing>
        </mc:Choice>
        <mc:Fallback>
          <w:pict>
            <v:shapetype w14:anchorId="18B4BD10" id="_x0000_t202" coordsize="21600,21600" o:spt="202" path="m,l,21600r21600,l21600,xe">
              <v:stroke joinstyle="miter"/>
              <v:path gradientshapeok="t" o:connecttype="rect"/>
            </v:shapetype>
            <v:shape id="Textbox 721" o:spid="_x0000_s1151" type="#_x0000_t202" style="position:absolute;margin-left:314.45pt;margin-top:814.1pt;width:250.85pt;height:10.4pt;z-index:-304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DNIofCa&#10;AQAAJAMAAA4AAAAAAAAAAAAAAAAALgIAAGRycy9lMm9Eb2MueG1sUEsBAi0AFAAGAAgAAAAhALrt&#10;lTbhAAAADgEAAA8AAAAAAAAAAAAAAAAA9AMAAGRycy9kb3ducmV2LnhtbFBLBQYAAAAABAAEAPMA&#10;AAACBQAAAAA=&#10;" filled="f" stroked="f">
              <v:textbox inset="0,0,0,0">
                <w:txbxContent>
                  <w:p w14:paraId="5CB5565F"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8"/>
                        <w:sz w:val="15"/>
                      </w:rPr>
                      <w:t xml:space="preserve"> </w:t>
                    </w:r>
                    <w:r>
                      <w:rPr>
                        <w:sz w:val="15"/>
                      </w:rPr>
                      <w:t>ANNUAL</w:t>
                    </w:r>
                    <w:r>
                      <w:rPr>
                        <w:spacing w:val="14"/>
                        <w:sz w:val="15"/>
                      </w:rPr>
                      <w:t xml:space="preserve"> </w:t>
                    </w:r>
                    <w:r>
                      <w:rPr>
                        <w:sz w:val="15"/>
                      </w:rPr>
                      <w:t>REPORT</w:t>
                    </w:r>
                    <w:r>
                      <w:rPr>
                        <w:spacing w:val="15"/>
                        <w:sz w:val="15"/>
                      </w:rPr>
                      <w:t xml:space="preserve"> </w:t>
                    </w:r>
                    <w:r>
                      <w:rPr>
                        <w:sz w:val="15"/>
                      </w:rPr>
                      <w:t>2022-23</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97</w:t>
                    </w:r>
                    <w:r>
                      <w:rPr>
                        <w:b/>
                        <w:spacing w:val="-5"/>
                        <w:sz w:val="15"/>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C735" w14:textId="77777777" w:rsidR="00AC6F3C" w:rsidRDefault="00570E88">
    <w:pPr>
      <w:pStyle w:val="BodyText"/>
      <w:spacing w:line="14" w:lineRule="auto"/>
    </w:pPr>
    <w:r>
      <w:rPr>
        <w:noProof/>
      </w:rPr>
      <mc:AlternateContent>
        <mc:Choice Requires="wps">
          <w:drawing>
            <wp:anchor distT="0" distB="0" distL="0" distR="0" simplePos="0" relativeHeight="472897024" behindDoc="1" locked="0" layoutInCell="1" allowOverlap="1" wp14:anchorId="0A4A6E0D" wp14:editId="646CAA95">
              <wp:simplePos x="0" y="0"/>
              <wp:positionH relativeFrom="page">
                <wp:posOffset>3993225</wp:posOffset>
              </wp:positionH>
              <wp:positionV relativeFrom="page">
                <wp:posOffset>10339075</wp:posOffset>
              </wp:positionV>
              <wp:extent cx="3185795" cy="13208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132080"/>
                      </a:xfrm>
                      <a:prstGeom prst="rect">
                        <a:avLst/>
                      </a:prstGeom>
                    </wps:spPr>
                    <wps:txbx>
                      <w:txbxContent>
                        <w:p w14:paraId="4FDCDDC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98</w:t>
                          </w:r>
                          <w:r>
                            <w:rPr>
                              <w:b/>
                              <w:spacing w:val="-5"/>
                              <w:sz w:val="15"/>
                            </w:rPr>
                            <w:fldChar w:fldCharType="end"/>
                          </w:r>
                        </w:p>
                      </w:txbxContent>
                    </wps:txbx>
                    <wps:bodyPr wrap="square" lIns="0" tIns="0" rIns="0" bIns="0" rtlCol="0">
                      <a:noAutofit/>
                    </wps:bodyPr>
                  </wps:wsp>
                </a:graphicData>
              </a:graphic>
            </wp:anchor>
          </w:drawing>
        </mc:Choice>
        <mc:Fallback>
          <w:pict>
            <v:shapetype w14:anchorId="0A4A6E0D" id="_x0000_t202" coordsize="21600,21600" o:spt="202" path="m,l,21600r21600,l21600,xe">
              <v:stroke joinstyle="miter"/>
              <v:path gradientshapeok="t" o:connecttype="rect"/>
            </v:shapetype>
            <v:shape id="Textbox 724" o:spid="_x0000_s1152" type="#_x0000_t202" style="position:absolute;margin-left:314.45pt;margin-top:814.1pt;width:250.85pt;height:10.4pt;z-index:-304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" filled="f" stroked="f">
              <v:textbox inset="0,0,0,0">
                <w:txbxContent>
                  <w:p w14:paraId="4FDCDDC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98</w:t>
                    </w:r>
                    <w:r>
                      <w:rPr>
                        <w:b/>
                        <w:spacing w:val="-5"/>
                        <w:sz w:val="1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37BF" w14:textId="77777777" w:rsidR="00AC6F3C" w:rsidRDefault="00570E88">
    <w:pPr>
      <w:pStyle w:val="BodyText"/>
      <w:spacing w:line="14" w:lineRule="auto"/>
    </w:pPr>
    <w:r>
      <w:rPr>
        <w:noProof/>
      </w:rPr>
      <mc:AlternateContent>
        <mc:Choice Requires="wps">
          <w:drawing>
            <wp:anchor distT="0" distB="0" distL="0" distR="0" simplePos="0" relativeHeight="472898560" behindDoc="1" locked="0" layoutInCell="1" allowOverlap="1" wp14:anchorId="02FA3243" wp14:editId="5366D6E2">
              <wp:simplePos x="0" y="0"/>
              <wp:positionH relativeFrom="page">
                <wp:posOffset>3940251</wp:posOffset>
              </wp:positionH>
              <wp:positionV relativeFrom="page">
                <wp:posOffset>10339075</wp:posOffset>
              </wp:positionV>
              <wp:extent cx="3239135" cy="13208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2AB0BD9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100</w:t>
                          </w:r>
                          <w:r>
                            <w:rPr>
                              <w:b/>
                              <w:spacing w:val="-5"/>
                              <w:sz w:val="15"/>
                            </w:rPr>
                            <w:fldChar w:fldCharType="end"/>
                          </w:r>
                        </w:p>
                      </w:txbxContent>
                    </wps:txbx>
                    <wps:bodyPr wrap="square" lIns="0" tIns="0" rIns="0" bIns="0" rtlCol="0">
                      <a:noAutofit/>
                    </wps:bodyPr>
                  </wps:wsp>
                </a:graphicData>
              </a:graphic>
            </wp:anchor>
          </w:drawing>
        </mc:Choice>
        <mc:Fallback>
          <w:pict>
            <v:shapetype w14:anchorId="02FA3243" id="_x0000_t202" coordsize="21600,21600" o:spt="202" path="m,l,21600r21600,l21600,xe">
              <v:stroke joinstyle="miter"/>
              <v:path gradientshapeok="t" o:connecttype="rect"/>
            </v:shapetype>
            <v:shape id="Textbox 727" o:spid="_x0000_s1154" type="#_x0000_t202" style="position:absolute;margin-left:310.25pt;margin-top:814.1pt;width:255.05pt;height:10.4pt;z-index:-304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Bq4iHqa&#10;AQAAJAMAAA4AAAAAAAAAAAAAAAAALgIAAGRycy9lMm9Eb2MueG1sUEsBAi0AFAAGAAgAAAAhACXs&#10;Lz3hAAAADgEAAA8AAAAAAAAAAAAAAAAA9AMAAGRycy9kb3ducmV2LnhtbFBLBQYAAAAABAAEAPMA&#10;AAACBQAAAAA=&#10;" filled="f" stroked="f">
              <v:textbox inset="0,0,0,0">
                <w:txbxContent>
                  <w:p w14:paraId="2AB0BD98"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100</w:t>
                    </w:r>
                    <w:r>
                      <w:rPr>
                        <w:b/>
                        <w:spacing w:val="-5"/>
                        <w:sz w:val="1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2698" w14:textId="77777777" w:rsidR="00AC6F3C" w:rsidRDefault="00570E88">
    <w:pPr>
      <w:pStyle w:val="BodyText"/>
      <w:spacing w:line="14" w:lineRule="auto"/>
    </w:pPr>
    <w:r>
      <w:rPr>
        <w:noProof/>
      </w:rPr>
      <mc:AlternateContent>
        <mc:Choice Requires="wps">
          <w:drawing>
            <wp:anchor distT="0" distB="0" distL="0" distR="0" simplePos="0" relativeHeight="472899584" behindDoc="1" locked="0" layoutInCell="1" allowOverlap="1" wp14:anchorId="53A1B527" wp14:editId="7DAF8270">
              <wp:simplePos x="0" y="0"/>
              <wp:positionH relativeFrom="page">
                <wp:posOffset>3940251</wp:posOffset>
              </wp:positionH>
              <wp:positionV relativeFrom="page">
                <wp:posOffset>10339075</wp:posOffset>
              </wp:positionV>
              <wp:extent cx="3239135" cy="13208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78299B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101</w:t>
                          </w:r>
                          <w:r>
                            <w:rPr>
                              <w:b/>
                              <w:spacing w:val="-5"/>
                              <w:sz w:val="15"/>
                            </w:rPr>
                            <w:fldChar w:fldCharType="end"/>
                          </w:r>
                        </w:p>
                      </w:txbxContent>
                    </wps:txbx>
                    <wps:bodyPr wrap="square" lIns="0" tIns="0" rIns="0" bIns="0" rtlCol="0">
                      <a:noAutofit/>
                    </wps:bodyPr>
                  </wps:wsp>
                </a:graphicData>
              </a:graphic>
            </wp:anchor>
          </w:drawing>
        </mc:Choice>
        <mc:Fallback>
          <w:pict>
            <v:shapetype w14:anchorId="53A1B527" id="_x0000_t202" coordsize="21600,21600" o:spt="202" path="m,l,21600r21600,l21600,xe">
              <v:stroke joinstyle="miter"/>
              <v:path gradientshapeok="t" o:connecttype="rect"/>
            </v:shapetype>
            <v:shape id="Textbox 734" o:spid="_x0000_s1156" type="#_x0000_t202" style="position:absolute;margin-left:310.25pt;margin-top:814.1pt;width:255.05pt;height:10.4pt;z-index:-304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EsOxama&#10;AQAAJAMAAA4AAAAAAAAAAAAAAAAALgIAAGRycy9lMm9Eb2MueG1sUEsBAi0AFAAGAAgAAAAhACXs&#10;Lz3hAAAADgEAAA8AAAAAAAAAAAAAAAAA9AMAAGRycy9kb3ducmV2LnhtbFBLBQYAAAAABAAEAPMA&#10;AAACBQAAAAA=&#10;" filled="f" stroked="f">
              <v:textbox inset="0,0,0,0">
                <w:txbxContent>
                  <w:p w14:paraId="778299B9"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101</w:t>
                    </w:r>
                    <w:r>
                      <w:rPr>
                        <w:b/>
                        <w:spacing w:val="-5"/>
                        <w:sz w:val="1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D602" w14:textId="77777777" w:rsidR="00AC6F3C" w:rsidRDefault="00570E88">
    <w:pPr>
      <w:pStyle w:val="BodyText"/>
      <w:spacing w:line="14" w:lineRule="auto"/>
    </w:pPr>
    <w:r>
      <w:rPr>
        <w:noProof/>
      </w:rPr>
      <mc:AlternateContent>
        <mc:Choice Requires="wps">
          <w:drawing>
            <wp:anchor distT="0" distB="0" distL="0" distR="0" simplePos="0" relativeHeight="472901120" behindDoc="1" locked="0" layoutInCell="1" allowOverlap="1" wp14:anchorId="00E4BC96" wp14:editId="62238342">
              <wp:simplePos x="0" y="0"/>
              <wp:positionH relativeFrom="page">
                <wp:posOffset>3940251</wp:posOffset>
              </wp:positionH>
              <wp:positionV relativeFrom="page">
                <wp:posOffset>10339075</wp:posOffset>
              </wp:positionV>
              <wp:extent cx="3239135" cy="13208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539F33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105</w:t>
                          </w:r>
                          <w:r>
                            <w:rPr>
                              <w:b/>
                              <w:spacing w:val="-5"/>
                              <w:sz w:val="15"/>
                            </w:rPr>
                            <w:fldChar w:fldCharType="end"/>
                          </w:r>
                        </w:p>
                      </w:txbxContent>
                    </wps:txbx>
                    <wps:bodyPr wrap="square" lIns="0" tIns="0" rIns="0" bIns="0" rtlCol="0">
                      <a:noAutofit/>
                    </wps:bodyPr>
                  </wps:wsp>
                </a:graphicData>
              </a:graphic>
            </wp:anchor>
          </w:drawing>
        </mc:Choice>
        <mc:Fallback>
          <w:pict>
            <v:shapetype w14:anchorId="00E4BC96" id="_x0000_t202" coordsize="21600,21600" o:spt="202" path="m,l,21600r21600,l21600,xe">
              <v:stroke joinstyle="miter"/>
              <v:path gradientshapeok="t" o:connecttype="rect"/>
            </v:shapetype>
            <v:shape id="Textbox 741" o:spid="_x0000_s1158" type="#_x0000_t202" style="position:absolute;margin-left:310.25pt;margin-top:814.1pt;width:255.05pt;height:10.4pt;z-index:-304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" filled="f" stroked="f">
              <v:textbox inset="0,0,0,0">
                <w:txbxContent>
                  <w:p w14:paraId="539F33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105</w:t>
                    </w:r>
                    <w:r>
                      <w:rPr>
                        <w:b/>
                        <w:spacing w:val="-5"/>
                        <w:sz w:val="1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8C47" w14:textId="77777777" w:rsidR="00AC6F3C" w:rsidRDefault="00570E88">
    <w:pPr>
      <w:pStyle w:val="BodyText"/>
      <w:spacing w:line="14" w:lineRule="auto"/>
    </w:pPr>
    <w:r>
      <w:rPr>
        <w:noProof/>
      </w:rPr>
      <mc:AlternateContent>
        <mc:Choice Requires="wps">
          <w:drawing>
            <wp:anchor distT="0" distB="0" distL="0" distR="0" simplePos="0" relativeHeight="472901632" behindDoc="1" locked="0" layoutInCell="1" allowOverlap="1" wp14:anchorId="076F60BC" wp14:editId="56DEBE7F">
              <wp:simplePos x="0" y="0"/>
              <wp:positionH relativeFrom="page">
                <wp:posOffset>3940251</wp:posOffset>
              </wp:positionH>
              <wp:positionV relativeFrom="page">
                <wp:posOffset>10339075</wp:posOffset>
              </wp:positionV>
              <wp:extent cx="3239135" cy="13208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0C1EE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158</w:t>
                          </w:r>
                          <w:r>
                            <w:rPr>
                              <w:b/>
                              <w:spacing w:val="-5"/>
                              <w:sz w:val="15"/>
                            </w:rPr>
                            <w:fldChar w:fldCharType="end"/>
                          </w:r>
                        </w:p>
                      </w:txbxContent>
                    </wps:txbx>
                    <wps:bodyPr wrap="square" lIns="0" tIns="0" rIns="0" bIns="0" rtlCol="0">
                      <a:noAutofit/>
                    </wps:bodyPr>
                  </wps:wsp>
                </a:graphicData>
              </a:graphic>
            </wp:anchor>
          </w:drawing>
        </mc:Choice>
        <mc:Fallback>
          <w:pict>
            <v:shapetype w14:anchorId="076F60BC" id="_x0000_t202" coordsize="21600,21600" o:spt="202" path="m,l,21600r21600,l21600,xe">
              <v:stroke joinstyle="miter"/>
              <v:path gradientshapeok="t" o:connecttype="rect"/>
            </v:shapetype>
            <v:shape id="Textbox 754" o:spid="_x0000_s1159" type="#_x0000_t202" style="position:absolute;margin-left:310.25pt;margin-top:814.1pt;width:255.05pt;height:10.4pt;z-index:-304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FGxq8Wa&#10;AQAAJAMAAA4AAAAAAAAAAAAAAAAALgIAAGRycy9lMm9Eb2MueG1sUEsBAi0AFAAGAAgAAAAhACXs&#10;Lz3hAAAADgEAAA8AAAAAAAAAAAAAAAAA9AMAAGRycy9kb3ducmV2LnhtbFBLBQYAAAAABAAEAPMA&#10;AAACBQAAAAA=&#10;" filled="f" stroked="f">
              <v:textbox inset="0,0,0,0">
                <w:txbxContent>
                  <w:p w14:paraId="70C1EEEE"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158</w:t>
                    </w:r>
                    <w:r>
                      <w:rPr>
                        <w:b/>
                        <w:spacing w:val="-5"/>
                        <w:sz w:val="1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19F8" w14:textId="77777777" w:rsidR="00AC6F3C" w:rsidRDefault="00570E88">
    <w:pPr>
      <w:pStyle w:val="BodyText"/>
      <w:spacing w:line="14" w:lineRule="auto"/>
    </w:pPr>
    <w:r>
      <w:rPr>
        <w:noProof/>
      </w:rPr>
      <mc:AlternateContent>
        <mc:Choice Requires="wps">
          <w:drawing>
            <wp:anchor distT="0" distB="0" distL="0" distR="0" simplePos="0" relativeHeight="472902656" behindDoc="1" locked="0" layoutInCell="1" allowOverlap="1" wp14:anchorId="2E7A5706" wp14:editId="26693C13">
              <wp:simplePos x="0" y="0"/>
              <wp:positionH relativeFrom="page">
                <wp:posOffset>3940251</wp:posOffset>
              </wp:positionH>
              <wp:positionV relativeFrom="page">
                <wp:posOffset>10339075</wp:posOffset>
              </wp:positionV>
              <wp:extent cx="3239135" cy="13208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7A3280B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159</w:t>
                          </w:r>
                          <w:r>
                            <w:rPr>
                              <w:b/>
                              <w:spacing w:val="-5"/>
                              <w:sz w:val="15"/>
                            </w:rPr>
                            <w:fldChar w:fldCharType="end"/>
                          </w:r>
                        </w:p>
                      </w:txbxContent>
                    </wps:txbx>
                    <wps:bodyPr wrap="square" lIns="0" tIns="0" rIns="0" bIns="0" rtlCol="0">
                      <a:noAutofit/>
                    </wps:bodyPr>
                  </wps:wsp>
                </a:graphicData>
              </a:graphic>
            </wp:anchor>
          </w:drawing>
        </mc:Choice>
        <mc:Fallback>
          <w:pict>
            <v:shapetype w14:anchorId="2E7A5706" id="_x0000_t202" coordsize="21600,21600" o:spt="202" path="m,l,21600r21600,l21600,xe">
              <v:stroke joinstyle="miter"/>
              <v:path gradientshapeok="t" o:connecttype="rect"/>
            </v:shapetype>
            <v:shape id="Textbox 765" o:spid="_x0000_s1160" type="#_x0000_t202" style="position:absolute;margin-left:310.25pt;margin-top:814.1pt;width:255.05pt;height:10.4pt;z-index:-304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BZpB7Sa&#10;AQAAJAMAAA4AAAAAAAAAAAAAAAAALgIAAGRycy9lMm9Eb2MueG1sUEsBAi0AFAAGAAgAAAAhACXs&#10;Lz3hAAAADgEAAA8AAAAAAAAAAAAAAAAA9AMAAGRycy9kb3ducmV2LnhtbFBLBQYAAAAABAAEAPMA&#10;AAACBQAAAAA=&#10;" filled="f" stroked="f">
              <v:textbox inset="0,0,0,0">
                <w:txbxContent>
                  <w:p w14:paraId="7A3280B6"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159</w:t>
                    </w:r>
                    <w:r>
                      <w:rPr>
                        <w:b/>
                        <w:spacing w:val="-5"/>
                        <w:sz w:val="15"/>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D285" w14:textId="77777777" w:rsidR="00AC6F3C" w:rsidRDefault="00570E88">
    <w:pPr>
      <w:pStyle w:val="BodyText"/>
      <w:spacing w:line="14" w:lineRule="auto"/>
    </w:pPr>
    <w:r>
      <w:rPr>
        <w:noProof/>
      </w:rPr>
      <mc:AlternateContent>
        <mc:Choice Requires="wps">
          <w:drawing>
            <wp:anchor distT="0" distB="0" distL="0" distR="0" simplePos="0" relativeHeight="472903168" behindDoc="1" locked="0" layoutInCell="1" allowOverlap="1" wp14:anchorId="2E3275E7" wp14:editId="60E1DFF4">
              <wp:simplePos x="0" y="0"/>
              <wp:positionH relativeFrom="page">
                <wp:posOffset>3940251</wp:posOffset>
              </wp:positionH>
              <wp:positionV relativeFrom="page">
                <wp:posOffset>10339075</wp:posOffset>
              </wp:positionV>
              <wp:extent cx="3239135" cy="13208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135" cy="132080"/>
                      </a:xfrm>
                      <a:prstGeom prst="rect">
                        <a:avLst/>
                      </a:prstGeom>
                    </wps:spPr>
                    <wps:txbx>
                      <w:txbxContent>
                        <w:p w14:paraId="2C0BB7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162</w:t>
                          </w:r>
                          <w:r>
                            <w:rPr>
                              <w:b/>
                              <w:spacing w:val="-5"/>
                              <w:sz w:val="15"/>
                            </w:rPr>
                            <w:fldChar w:fldCharType="end"/>
                          </w:r>
                        </w:p>
                      </w:txbxContent>
                    </wps:txbx>
                    <wps:bodyPr wrap="square" lIns="0" tIns="0" rIns="0" bIns="0" rtlCol="0">
                      <a:noAutofit/>
                    </wps:bodyPr>
                  </wps:wsp>
                </a:graphicData>
              </a:graphic>
            </wp:anchor>
          </w:drawing>
        </mc:Choice>
        <mc:Fallback>
          <w:pict>
            <v:shapetype w14:anchorId="2E3275E7" id="_x0000_t202" coordsize="21600,21600" o:spt="202" path="m,l,21600r21600,l21600,xe">
              <v:stroke joinstyle="miter"/>
              <v:path gradientshapeok="t" o:connecttype="rect"/>
            </v:shapetype>
            <v:shape id="Textbox 767" o:spid="_x0000_s1161" type="#_x0000_t202" style="position:absolute;margin-left:310.25pt;margin-top:814.1pt;width:255.05pt;height:10.4pt;z-index:-304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" filled="f" stroked="f">
              <v:textbox inset="0,0,0,0">
                <w:txbxContent>
                  <w:p w14:paraId="2C0BB7B5" w14:textId="77777777" w:rsidR="00AC6F3C" w:rsidRDefault="00570E88">
                    <w:pPr>
                      <w:spacing w:before="15"/>
                      <w:ind w:left="20"/>
                      <w:rPr>
                        <w:b/>
                        <w:sz w:val="15"/>
                      </w:rPr>
                    </w:pPr>
                    <w:r>
                      <w:rPr>
                        <w:sz w:val="15"/>
                      </w:rPr>
                      <w:t>QUEENSLAND</w:t>
                    </w:r>
                    <w:r>
                      <w:rPr>
                        <w:spacing w:val="22"/>
                        <w:sz w:val="15"/>
                      </w:rPr>
                      <w:t xml:space="preserve"> </w:t>
                    </w:r>
                    <w:r>
                      <w:rPr>
                        <w:sz w:val="15"/>
                      </w:rPr>
                      <w:t>LAW</w:t>
                    </w:r>
                    <w:r>
                      <w:rPr>
                        <w:spacing w:val="23"/>
                        <w:sz w:val="15"/>
                      </w:rPr>
                      <w:t xml:space="preserve"> </w:t>
                    </w:r>
                    <w:r>
                      <w:rPr>
                        <w:sz w:val="15"/>
                      </w:rPr>
                      <w:t>SOCIETY</w:t>
                    </w:r>
                    <w:r>
                      <w:rPr>
                        <w:spacing w:val="7"/>
                        <w:sz w:val="15"/>
                      </w:rPr>
                      <w:t xml:space="preserve"> </w:t>
                    </w:r>
                    <w:r>
                      <w:rPr>
                        <w:sz w:val="15"/>
                      </w:rPr>
                      <w:t>ANNUAL</w:t>
                    </w:r>
                    <w:r>
                      <w:rPr>
                        <w:spacing w:val="15"/>
                        <w:sz w:val="15"/>
                      </w:rPr>
                      <w:t xml:space="preserve"> </w:t>
                    </w:r>
                    <w:r>
                      <w:rPr>
                        <w:sz w:val="15"/>
                      </w:rPr>
                      <w:t>REPORT</w:t>
                    </w:r>
                    <w:r>
                      <w:rPr>
                        <w:spacing w:val="14"/>
                        <w:sz w:val="15"/>
                      </w:rPr>
                      <w:t xml:space="preserve"> </w:t>
                    </w:r>
                    <w:r>
                      <w:rPr>
                        <w:sz w:val="15"/>
                      </w:rPr>
                      <w:t>2021-22</w:t>
                    </w:r>
                    <w:r>
                      <w:rPr>
                        <w:spacing w:val="17"/>
                        <w:sz w:val="15"/>
                      </w:rPr>
                      <w:t xml:space="preserve"> </w:t>
                    </w:r>
                    <w:r>
                      <w:rPr>
                        <w:b/>
                        <w:sz w:val="15"/>
                      </w:rPr>
                      <w:t>|</w:t>
                    </w:r>
                    <w:r>
                      <w:rPr>
                        <w:b/>
                        <w:spacing w:val="19"/>
                        <w:sz w:val="15"/>
                      </w:rPr>
                      <w:t xml:space="preserve"> </w:t>
                    </w:r>
                    <w:r>
                      <w:rPr>
                        <w:b/>
                        <w:sz w:val="15"/>
                      </w:rPr>
                      <w:t>PAGE</w:t>
                    </w:r>
                    <w:r>
                      <w:rPr>
                        <w:b/>
                        <w:spacing w:val="19"/>
                        <w:sz w:val="15"/>
                      </w:rPr>
                      <w:t xml:space="preserve"> </w:t>
                    </w:r>
                    <w:r>
                      <w:rPr>
                        <w:b/>
                        <w:spacing w:val="-5"/>
                        <w:sz w:val="15"/>
                      </w:rPr>
                      <w:fldChar w:fldCharType="begin"/>
                    </w:r>
                    <w:r>
                      <w:rPr>
                        <w:b/>
                        <w:spacing w:val="-5"/>
                        <w:sz w:val="15"/>
                      </w:rPr>
                      <w:instrText xml:space="preserve"> PAGE </w:instrText>
                    </w:r>
                    <w:r>
                      <w:rPr>
                        <w:b/>
                        <w:spacing w:val="-5"/>
                        <w:sz w:val="15"/>
                      </w:rPr>
                      <w:fldChar w:fldCharType="separate"/>
                    </w:r>
                    <w:r>
                      <w:rPr>
                        <w:b/>
                        <w:spacing w:val="-5"/>
                        <w:sz w:val="15"/>
                      </w:rPr>
                      <w:t>162</w:t>
                    </w:r>
                    <w:r>
                      <w:rPr>
                        <w:b/>
                        <w:spacing w:val="-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C7A9" w14:textId="77777777" w:rsidR="00570E88" w:rsidRDefault="00570E88">
      <w:r>
        <w:separator/>
      </w:r>
    </w:p>
  </w:footnote>
  <w:footnote w:type="continuationSeparator" w:id="0">
    <w:p w14:paraId="5D7F1072" w14:textId="77777777" w:rsidR="00570E88" w:rsidRDefault="00570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6B0B" w14:textId="77777777" w:rsidR="00AC6F3C" w:rsidRDefault="00570E88">
    <w:pPr>
      <w:pStyle w:val="BodyText"/>
      <w:spacing w:line="14" w:lineRule="auto"/>
    </w:pPr>
    <w:r>
      <w:rPr>
        <w:noProof/>
      </w:rPr>
      <mc:AlternateContent>
        <mc:Choice Requires="wps">
          <w:drawing>
            <wp:anchor distT="0" distB="0" distL="0" distR="0" simplePos="0" relativeHeight="472833536" behindDoc="1" locked="0" layoutInCell="1" allowOverlap="1" wp14:anchorId="71704C6C" wp14:editId="7C30B8C7">
              <wp:simplePos x="0" y="0"/>
              <wp:positionH relativeFrom="page">
                <wp:posOffset>809999</wp:posOffset>
              </wp:positionH>
              <wp:positionV relativeFrom="page">
                <wp:posOffset>640713</wp:posOffset>
              </wp:positionV>
              <wp:extent cx="594042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3ED52D" id="Graphic 5" o:spid="_x0000_s1026" style="position:absolute;margin-left:63.8pt;margin-top:50.45pt;width:467.75pt;height:.1pt;z-index:-30482944;visibility:visible;mso-wrap-style:square;mso-wrap-distance-left:0;mso-wrap-distance-top:0;mso-wrap-distance-right:0;mso-wrap-distance-bottom:0;mso-position-horizontal:absolute;mso-position-horizontal-relative:page;mso-position-vertical:absolute;mso-position-vertical-relative:page;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" path="m,l5939993,e" filled="f" strokeweight="2pt">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1889" w14:textId="77777777" w:rsidR="00AC6F3C" w:rsidRDefault="00AC6F3C">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1084" w14:textId="77777777" w:rsidR="00AC6F3C" w:rsidRDefault="00570E88">
    <w:pPr>
      <w:pStyle w:val="BodyText"/>
      <w:spacing w:line="14" w:lineRule="auto"/>
    </w:pPr>
    <w:r>
      <w:rPr>
        <w:noProof/>
      </w:rPr>
      <mc:AlternateContent>
        <mc:Choice Requires="wps">
          <w:drawing>
            <wp:anchor distT="0" distB="0" distL="0" distR="0" simplePos="0" relativeHeight="472903680" behindDoc="1" locked="0" layoutInCell="1" allowOverlap="1" wp14:anchorId="545986F4" wp14:editId="099B2D63">
              <wp:simplePos x="0" y="0"/>
              <wp:positionH relativeFrom="page">
                <wp:posOffset>901631</wp:posOffset>
              </wp:positionH>
              <wp:positionV relativeFrom="page">
                <wp:posOffset>810985</wp:posOffset>
              </wp:positionV>
              <wp:extent cx="1804670" cy="20955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09550"/>
                      </a:xfrm>
                      <a:prstGeom prst="rect">
                        <a:avLst/>
                      </a:prstGeom>
                    </wps:spPr>
                    <wps:txbx>
                      <w:txbxContent>
                        <w:p w14:paraId="2C48B8C1"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txbxContent>
                    </wps:txbx>
                    <wps:bodyPr wrap="square" lIns="0" tIns="0" rIns="0" bIns="0" rtlCol="0">
                      <a:noAutofit/>
                    </wps:bodyPr>
                  </wps:wsp>
                </a:graphicData>
              </a:graphic>
            </wp:anchor>
          </w:drawing>
        </mc:Choice>
        <mc:Fallback>
          <w:pict>
            <v:shapetype w14:anchorId="545986F4" id="_x0000_t202" coordsize="21600,21600" o:spt="202" path="m,l,21600r21600,l21600,xe">
              <v:stroke joinstyle="miter"/>
              <v:path gradientshapeok="t" o:connecttype="rect"/>
            </v:shapetype>
            <v:shape id="Textbox 768" o:spid="_x0000_s1162" type="#_x0000_t202" style="position:absolute;margin-left:71pt;margin-top:63.85pt;width:142.1pt;height:16.5pt;z-index:-304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" filled="f" stroked="f">
              <v:textbox inset="0,0,0,0">
                <w:txbxContent>
                  <w:p w14:paraId="2C48B8C1"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C939" w14:textId="77777777" w:rsidR="00AC6F3C" w:rsidRDefault="00570E88">
    <w:pPr>
      <w:pStyle w:val="BodyText"/>
      <w:spacing w:line="14" w:lineRule="auto"/>
    </w:pPr>
    <w:r>
      <w:rPr>
        <w:noProof/>
      </w:rPr>
      <mc:AlternateContent>
        <mc:Choice Requires="wps">
          <w:drawing>
            <wp:anchor distT="0" distB="0" distL="0" distR="0" simplePos="0" relativeHeight="472904704" behindDoc="1" locked="0" layoutInCell="1" allowOverlap="1" wp14:anchorId="3AE13693" wp14:editId="6CF78010">
              <wp:simplePos x="0" y="0"/>
              <wp:positionH relativeFrom="page">
                <wp:posOffset>896045</wp:posOffset>
              </wp:positionH>
              <wp:positionV relativeFrom="page">
                <wp:posOffset>1320071</wp:posOffset>
              </wp:positionV>
              <wp:extent cx="5768340" cy="635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8F0F0" id="Graphic 795" o:spid="_x0000_s1026" style="position:absolute;margin-left:70.55pt;margin-top:103.95pt;width:454.2pt;height:.5pt;z-index:-30411776;visibility:visible;mso-wrap-style:square;mso-wrap-distance-left:0;mso-wrap-distance-top:0;mso-wrap-distance-right:0;mso-wrap-distance-bottom:0;mso-position-horizontal:absolute;mso-position-horizontal-relative:page;mso-position-vertical:absolute;mso-position-vertical-relative:page;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" path="m5767909,6094l,6094,,,5767909,r,6094xe" fillcolor="black" stroked="f">
              <v:path arrowok="t"/>
              <w10:wrap anchorx="page" anchory="page"/>
            </v:shape>
          </w:pict>
        </mc:Fallback>
      </mc:AlternateContent>
    </w:r>
    <w:r>
      <w:rPr>
        <w:noProof/>
      </w:rPr>
      <mc:AlternateContent>
        <mc:Choice Requires="wps">
          <w:drawing>
            <wp:anchor distT="0" distB="0" distL="0" distR="0" simplePos="0" relativeHeight="472905216" behindDoc="1" locked="0" layoutInCell="1" allowOverlap="1" wp14:anchorId="6DF8DDC5" wp14:editId="7F60C76C">
              <wp:simplePos x="0" y="0"/>
              <wp:positionH relativeFrom="page">
                <wp:posOffset>901631</wp:posOffset>
              </wp:positionH>
              <wp:positionV relativeFrom="page">
                <wp:posOffset>810985</wp:posOffset>
              </wp:positionV>
              <wp:extent cx="4112260" cy="370205"/>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370205"/>
                      </a:xfrm>
                      <a:prstGeom prst="rect">
                        <a:avLst/>
                      </a:prstGeom>
                    </wps:spPr>
                    <wps:txbx>
                      <w:txbxContent>
                        <w:p w14:paraId="0B96E2BC"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p w14:paraId="3684F008" w14:textId="77777777" w:rsidR="00AC6F3C" w:rsidRDefault="00570E88">
                          <w:pPr>
                            <w:spacing w:before="1"/>
                            <w:ind w:left="20"/>
                          </w:pPr>
                          <w:r>
                            <w:t>Notes</w:t>
                          </w:r>
                          <w:r>
                            <w:rPr>
                              <w:spacing w:val="-7"/>
                            </w:rPr>
                            <w:t xml:space="preserve"> </w:t>
                          </w:r>
                          <w:r>
                            <w:t>to</w:t>
                          </w:r>
                          <w:r>
                            <w:rPr>
                              <w:spacing w:val="-4"/>
                            </w:rPr>
                            <w:t xml:space="preserve"> </w:t>
                          </w:r>
                          <w:r>
                            <w:t>the</w:t>
                          </w:r>
                          <w:r>
                            <w:rPr>
                              <w:spacing w:val="-5"/>
                            </w:rPr>
                            <w:t xml:space="preserve"> </w:t>
                          </w:r>
                          <w:r>
                            <w:t>financial</w:t>
                          </w:r>
                          <w:r>
                            <w:rPr>
                              <w:spacing w:val="-2"/>
                            </w:rPr>
                            <w:t xml:space="preserve"> </w:t>
                          </w:r>
                          <w:r>
                            <w:t>statements</w:t>
                          </w:r>
                          <w:r>
                            <w:rPr>
                              <w:spacing w:val="-5"/>
                            </w:rPr>
                            <w:t xml:space="preserve"> </w:t>
                          </w:r>
                          <w:r>
                            <w:t>for</w:t>
                          </w:r>
                          <w:r>
                            <w:rPr>
                              <w:spacing w:val="-5"/>
                            </w:rPr>
                            <w:t xml:space="preserve"> </w:t>
                          </w:r>
                          <w:r>
                            <w:t>the</w:t>
                          </w:r>
                          <w:r>
                            <w:rPr>
                              <w:spacing w:val="-3"/>
                            </w:rPr>
                            <w:t xml:space="preserve"> </w:t>
                          </w:r>
                          <w:r>
                            <w:t>year ended</w:t>
                          </w:r>
                          <w:r>
                            <w:rPr>
                              <w:spacing w:val="-3"/>
                            </w:rPr>
                            <w:t xml:space="preserve"> </w:t>
                          </w:r>
                          <w:r>
                            <w:t>30</w:t>
                          </w:r>
                          <w:r>
                            <w:rPr>
                              <w:spacing w:val="-2"/>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6DF8DDC5" id="_x0000_t202" coordsize="21600,21600" o:spt="202" path="m,l,21600r21600,l21600,xe">
              <v:stroke joinstyle="miter"/>
              <v:path gradientshapeok="t" o:connecttype="rect"/>
            </v:shapetype>
            <v:shape id="Textbox 796" o:spid="_x0000_s1164" type="#_x0000_t202" style="position:absolute;margin-left:71pt;margin-top:63.85pt;width:323.8pt;height:29.15pt;z-index:-304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" filled="f" stroked="f">
              <v:textbox inset="0,0,0,0">
                <w:txbxContent>
                  <w:p w14:paraId="0B96E2BC"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p w14:paraId="3684F008" w14:textId="77777777" w:rsidR="00AC6F3C" w:rsidRDefault="00570E88">
                    <w:pPr>
                      <w:spacing w:before="1"/>
                      <w:ind w:left="20"/>
                    </w:pPr>
                    <w:r>
                      <w:t>Notes</w:t>
                    </w:r>
                    <w:r>
                      <w:rPr>
                        <w:spacing w:val="-7"/>
                      </w:rPr>
                      <w:t xml:space="preserve"> </w:t>
                    </w:r>
                    <w:r>
                      <w:t>to</w:t>
                    </w:r>
                    <w:r>
                      <w:rPr>
                        <w:spacing w:val="-4"/>
                      </w:rPr>
                      <w:t xml:space="preserve"> </w:t>
                    </w:r>
                    <w:r>
                      <w:t>the</w:t>
                    </w:r>
                    <w:r>
                      <w:rPr>
                        <w:spacing w:val="-5"/>
                      </w:rPr>
                      <w:t xml:space="preserve"> </w:t>
                    </w:r>
                    <w:r>
                      <w:t>financial</w:t>
                    </w:r>
                    <w:r>
                      <w:rPr>
                        <w:spacing w:val="-2"/>
                      </w:rPr>
                      <w:t xml:space="preserve"> </w:t>
                    </w:r>
                    <w:r>
                      <w:t>statements</w:t>
                    </w:r>
                    <w:r>
                      <w:rPr>
                        <w:spacing w:val="-5"/>
                      </w:rPr>
                      <w:t xml:space="preserve"> </w:t>
                    </w:r>
                    <w:r>
                      <w:t>for</w:t>
                    </w:r>
                    <w:r>
                      <w:rPr>
                        <w:spacing w:val="-5"/>
                      </w:rPr>
                      <w:t xml:space="preserve"> </w:t>
                    </w:r>
                    <w:r>
                      <w:t>the</w:t>
                    </w:r>
                    <w:r>
                      <w:rPr>
                        <w:spacing w:val="-3"/>
                      </w:rPr>
                      <w:t xml:space="preserve"> </w:t>
                    </w:r>
                    <w:r>
                      <w:t>year ended</w:t>
                    </w:r>
                    <w:r>
                      <w:rPr>
                        <w:spacing w:val="-3"/>
                      </w:rPr>
                      <w:t xml:space="preserve"> </w:t>
                    </w:r>
                    <w:r>
                      <w:t>30</w:t>
                    </w:r>
                    <w:r>
                      <w:rPr>
                        <w:spacing w:val="-2"/>
                      </w:rPr>
                      <w:t xml:space="preserve"> </w:t>
                    </w:r>
                    <w:r>
                      <w:t>June</w:t>
                    </w:r>
                    <w:r>
                      <w:rPr>
                        <w:spacing w:val="-4"/>
                      </w:rPr>
                      <w:t xml:space="preserve"> 2023</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8AF7" w14:textId="77777777" w:rsidR="00AC6F3C" w:rsidRDefault="00570E88">
    <w:pPr>
      <w:pStyle w:val="BodyText"/>
      <w:spacing w:line="14" w:lineRule="auto"/>
    </w:pPr>
    <w:r>
      <w:rPr>
        <w:noProof/>
      </w:rPr>
      <mc:AlternateContent>
        <mc:Choice Requires="wps">
          <w:drawing>
            <wp:anchor distT="0" distB="0" distL="0" distR="0" simplePos="0" relativeHeight="472906240" behindDoc="1" locked="0" layoutInCell="1" allowOverlap="1" wp14:anchorId="480CC356" wp14:editId="2CAEA877">
              <wp:simplePos x="0" y="0"/>
              <wp:positionH relativeFrom="page">
                <wp:posOffset>901631</wp:posOffset>
              </wp:positionH>
              <wp:positionV relativeFrom="page">
                <wp:posOffset>868888</wp:posOffset>
              </wp:positionV>
              <wp:extent cx="1804670" cy="20955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09550"/>
                      </a:xfrm>
                      <a:prstGeom prst="rect">
                        <a:avLst/>
                      </a:prstGeom>
                    </wps:spPr>
                    <wps:txbx>
                      <w:txbxContent>
                        <w:p w14:paraId="71758560"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txbxContent>
                    </wps:txbx>
                    <wps:bodyPr wrap="square" lIns="0" tIns="0" rIns="0" bIns="0" rtlCol="0">
                      <a:noAutofit/>
                    </wps:bodyPr>
                  </wps:wsp>
                </a:graphicData>
              </a:graphic>
            </wp:anchor>
          </w:drawing>
        </mc:Choice>
        <mc:Fallback>
          <w:pict>
            <v:shapetype w14:anchorId="480CC356" id="_x0000_t202" coordsize="21600,21600" o:spt="202" path="m,l,21600r21600,l21600,xe">
              <v:stroke joinstyle="miter"/>
              <v:path gradientshapeok="t" o:connecttype="rect"/>
            </v:shapetype>
            <v:shape id="Textbox 804" o:spid="_x0000_s1166" type="#_x0000_t202" style="position:absolute;margin-left:71pt;margin-top:68.4pt;width:142.1pt;height:16.5pt;z-index:-304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" filled="f" stroked="f">
              <v:textbox inset="0,0,0,0">
                <w:txbxContent>
                  <w:p w14:paraId="71758560" w14:textId="77777777" w:rsidR="00AC6F3C" w:rsidRDefault="00570E88">
                    <w:pPr>
                      <w:spacing w:before="10"/>
                      <w:ind w:left="20"/>
                      <w:rPr>
                        <w:b/>
                        <w:sz w:val="26"/>
                      </w:rPr>
                    </w:pPr>
                    <w:r>
                      <w:rPr>
                        <w:b/>
                        <w:sz w:val="26"/>
                      </w:rPr>
                      <w:t>Law</w:t>
                    </w:r>
                    <w:r>
                      <w:rPr>
                        <w:b/>
                        <w:spacing w:val="-9"/>
                        <w:sz w:val="26"/>
                      </w:rPr>
                      <w:t xml:space="preserve"> </w:t>
                    </w:r>
                    <w:r>
                      <w:rPr>
                        <w:b/>
                        <w:sz w:val="26"/>
                      </w:rPr>
                      <w:t>Claims</w:t>
                    </w:r>
                    <w:r>
                      <w:rPr>
                        <w:b/>
                        <w:spacing w:val="-8"/>
                        <w:sz w:val="26"/>
                      </w:rPr>
                      <w:t xml:space="preserve"> </w:t>
                    </w:r>
                    <w:r>
                      <w:rPr>
                        <w:b/>
                        <w:sz w:val="26"/>
                      </w:rPr>
                      <w:t>Levy</w:t>
                    </w:r>
                    <w:r>
                      <w:rPr>
                        <w:b/>
                        <w:spacing w:val="-8"/>
                        <w:sz w:val="26"/>
                      </w:rPr>
                      <w:t xml:space="preserve"> </w:t>
                    </w:r>
                    <w:r>
                      <w:rPr>
                        <w:b/>
                        <w:spacing w:val="-4"/>
                        <w:sz w:val="26"/>
                      </w:rPr>
                      <w:t>Fund</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CDB7" w14:textId="77777777" w:rsidR="00AC6F3C" w:rsidRDefault="00570E88">
    <w:pPr>
      <w:pStyle w:val="BodyText"/>
      <w:spacing w:line="14" w:lineRule="auto"/>
    </w:pPr>
    <w:r>
      <w:rPr>
        <w:noProof/>
      </w:rPr>
      <w:drawing>
        <wp:anchor distT="0" distB="0" distL="0" distR="0" simplePos="0" relativeHeight="472907264" behindDoc="1" locked="0" layoutInCell="1" allowOverlap="1" wp14:anchorId="23AABF2A" wp14:editId="68747B35">
          <wp:simplePos x="0" y="0"/>
          <wp:positionH relativeFrom="page">
            <wp:posOffset>803610</wp:posOffset>
          </wp:positionH>
          <wp:positionV relativeFrom="page">
            <wp:posOffset>967849</wp:posOffset>
          </wp:positionV>
          <wp:extent cx="1634886" cy="599776"/>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1" cstate="print"/>
                  <a:stretch>
                    <a:fillRect/>
                  </a:stretch>
                </pic:blipFill>
                <pic:spPr>
                  <a:xfrm>
                    <a:off x="0" y="0"/>
                    <a:ext cx="1634886" cy="599776"/>
                  </a:xfrm>
                  <a:prstGeom prst="rect">
                    <a:avLst/>
                  </a:prstGeom>
                </pic:spPr>
              </pic:pic>
            </a:graphicData>
          </a:graphic>
        </wp:anchor>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4692" w14:textId="77777777" w:rsidR="00AC6F3C" w:rsidRDefault="00AC6F3C">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445" w14:textId="77777777" w:rsidR="00AC6F3C" w:rsidRDefault="00570E88">
    <w:pPr>
      <w:pStyle w:val="BodyText"/>
      <w:spacing w:line="14" w:lineRule="auto"/>
    </w:pPr>
    <w:r>
      <w:rPr>
        <w:noProof/>
      </w:rPr>
      <mc:AlternateContent>
        <mc:Choice Requires="wps">
          <w:drawing>
            <wp:anchor distT="0" distB="0" distL="0" distR="0" simplePos="0" relativeHeight="472908800" behindDoc="1" locked="0" layoutInCell="1" allowOverlap="1" wp14:anchorId="5A795C3D" wp14:editId="7CD4881E">
              <wp:simplePos x="0" y="0"/>
              <wp:positionH relativeFrom="page">
                <wp:posOffset>901631</wp:posOffset>
              </wp:positionH>
              <wp:positionV relativeFrom="page">
                <wp:posOffset>780975</wp:posOffset>
              </wp:positionV>
              <wp:extent cx="2353945" cy="209550"/>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945" cy="209550"/>
                      </a:xfrm>
                      <a:prstGeom prst="rect">
                        <a:avLst/>
                      </a:prstGeom>
                    </wps:spPr>
                    <wps:txbx>
                      <w:txbxContent>
                        <w:p w14:paraId="630C5D31"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wps:txbx>
                    <wps:bodyPr wrap="square" lIns="0" tIns="0" rIns="0" bIns="0" rtlCol="0">
                      <a:noAutofit/>
                    </wps:bodyPr>
                  </wps:wsp>
                </a:graphicData>
              </a:graphic>
            </wp:anchor>
          </w:drawing>
        </mc:Choice>
        <mc:Fallback>
          <w:pict>
            <v:shapetype w14:anchorId="5A795C3D" id="_x0000_t202" coordsize="21600,21600" o:spt="202" path="m,l,21600r21600,l21600,xe">
              <v:stroke joinstyle="miter"/>
              <v:path gradientshapeok="t" o:connecttype="rect"/>
            </v:shapetype>
            <v:shape id="Textbox 819" o:spid="_x0000_s1170" type="#_x0000_t202" style="position:absolute;margin-left:71pt;margin-top:61.5pt;width:185.35pt;height:16.5pt;z-index:-304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" filled="f" stroked="f">
              <v:textbox inset="0,0,0,0">
                <w:txbxContent>
                  <w:p w14:paraId="630C5D31"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ED10" w14:textId="77777777" w:rsidR="00AC6F3C" w:rsidRDefault="00570E88">
    <w:pPr>
      <w:pStyle w:val="BodyText"/>
      <w:spacing w:line="14" w:lineRule="auto"/>
    </w:pPr>
    <w:r>
      <w:rPr>
        <w:noProof/>
      </w:rPr>
      <mc:AlternateContent>
        <mc:Choice Requires="wps">
          <w:drawing>
            <wp:anchor distT="0" distB="0" distL="0" distR="0" simplePos="0" relativeHeight="472909824" behindDoc="1" locked="0" layoutInCell="1" allowOverlap="1" wp14:anchorId="44F93F1D" wp14:editId="28F71693">
              <wp:simplePos x="0" y="0"/>
              <wp:positionH relativeFrom="page">
                <wp:posOffset>896045</wp:posOffset>
              </wp:positionH>
              <wp:positionV relativeFrom="page">
                <wp:posOffset>1290059</wp:posOffset>
              </wp:positionV>
              <wp:extent cx="5768340" cy="635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C5F0D" id="Graphic 842" o:spid="_x0000_s1026" style="position:absolute;margin-left:70.55pt;margin-top:101.6pt;width:454.2pt;height:.5pt;z-index:-30406656;visibility:visible;mso-wrap-style:square;mso-wrap-distance-left:0;mso-wrap-distance-top:0;mso-wrap-distance-right:0;mso-wrap-distance-bottom:0;mso-position-horizontal:absolute;mso-position-horizontal-relative:page;mso-position-vertical:absolute;mso-position-vertical-relative:page;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" path="m5767909,6094l,6094,,,5767909,r,6094xe" fillcolor="black" stroked="f">
              <v:path arrowok="t"/>
              <w10:wrap anchorx="page" anchory="page"/>
            </v:shape>
          </w:pict>
        </mc:Fallback>
      </mc:AlternateContent>
    </w:r>
    <w:r>
      <w:rPr>
        <w:noProof/>
      </w:rPr>
      <mc:AlternateContent>
        <mc:Choice Requires="wps">
          <w:drawing>
            <wp:anchor distT="0" distB="0" distL="0" distR="0" simplePos="0" relativeHeight="472910336" behindDoc="1" locked="0" layoutInCell="1" allowOverlap="1" wp14:anchorId="2A29D37B" wp14:editId="21A2D380">
              <wp:simplePos x="0" y="0"/>
              <wp:positionH relativeFrom="page">
                <wp:posOffset>901631</wp:posOffset>
              </wp:positionH>
              <wp:positionV relativeFrom="page">
                <wp:posOffset>780975</wp:posOffset>
              </wp:positionV>
              <wp:extent cx="3133090" cy="370205"/>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370205"/>
                      </a:xfrm>
                      <a:prstGeom prst="rect">
                        <a:avLst/>
                      </a:prstGeom>
                    </wps:spPr>
                    <wps:txbx>
                      <w:txbxContent>
                        <w:p w14:paraId="738ADBDC"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p w14:paraId="31218614" w14:textId="77777777" w:rsidR="00AC6F3C" w:rsidRDefault="00570E88">
                          <w:pPr>
                            <w:spacing w:before="1"/>
                            <w:ind w:left="20"/>
                          </w:pPr>
                          <w:r>
                            <w:t>Directors’</w:t>
                          </w:r>
                          <w:r>
                            <w:rPr>
                              <w:spacing w:val="-4"/>
                            </w:rPr>
                            <w:t xml:space="preserve"> </w:t>
                          </w:r>
                          <w:r>
                            <w:t>Report</w:t>
                          </w:r>
                          <w:r>
                            <w:rPr>
                              <w:spacing w:val="-3"/>
                            </w:rPr>
                            <w:t xml:space="preserve"> </w:t>
                          </w:r>
                          <w:r>
                            <w:t>for</w:t>
                          </w:r>
                          <w:r>
                            <w:rPr>
                              <w:spacing w:val="-4"/>
                            </w:rPr>
                            <w:t xml:space="preserve"> </w:t>
                          </w:r>
                          <w:r>
                            <w:t>the</w:t>
                          </w:r>
                          <w:r>
                            <w:rPr>
                              <w:spacing w:val="-4"/>
                            </w:rPr>
                            <w:t xml:space="preserve"> </w:t>
                          </w:r>
                          <w:r>
                            <w:t>year</w:t>
                          </w:r>
                          <w:r>
                            <w:rPr>
                              <w:spacing w:val="-2"/>
                            </w:rPr>
                            <w:t xml:space="preserve"> </w:t>
                          </w:r>
                          <w:r>
                            <w:t>ended</w:t>
                          </w:r>
                          <w:r>
                            <w:rPr>
                              <w:spacing w:val="-5"/>
                            </w:rPr>
                            <w:t xml:space="preserve"> </w:t>
                          </w:r>
                          <w:r>
                            <w:t>30</w:t>
                          </w:r>
                          <w:r>
                            <w:rPr>
                              <w:spacing w:val="-4"/>
                            </w:rPr>
                            <w:t xml:space="preserve"> </w:t>
                          </w:r>
                          <w:r>
                            <w:t>June</w:t>
                          </w:r>
                          <w:r>
                            <w:rPr>
                              <w:spacing w:val="-3"/>
                            </w:rPr>
                            <w:t xml:space="preserve"> </w:t>
                          </w:r>
                          <w:r>
                            <w:rPr>
                              <w:spacing w:val="-4"/>
                            </w:rPr>
                            <w:t>2023</w:t>
                          </w:r>
                        </w:p>
                      </w:txbxContent>
                    </wps:txbx>
                    <wps:bodyPr wrap="square" lIns="0" tIns="0" rIns="0" bIns="0" rtlCol="0">
                      <a:noAutofit/>
                    </wps:bodyPr>
                  </wps:wsp>
                </a:graphicData>
              </a:graphic>
            </wp:anchor>
          </w:drawing>
        </mc:Choice>
        <mc:Fallback>
          <w:pict>
            <v:shapetype w14:anchorId="2A29D37B" id="_x0000_t202" coordsize="21600,21600" o:spt="202" path="m,l,21600r21600,l21600,xe">
              <v:stroke joinstyle="miter"/>
              <v:path gradientshapeok="t" o:connecttype="rect"/>
            </v:shapetype>
            <v:shape id="Textbox 843" o:spid="_x0000_s1172" type="#_x0000_t202" style="position:absolute;margin-left:71pt;margin-top:61.5pt;width:246.7pt;height:29.15pt;z-index:-304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" filled="f" stroked="f">
              <v:textbox inset="0,0,0,0">
                <w:txbxContent>
                  <w:p w14:paraId="738ADBDC"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p w14:paraId="31218614" w14:textId="77777777" w:rsidR="00AC6F3C" w:rsidRDefault="00570E88">
                    <w:pPr>
                      <w:spacing w:before="1"/>
                      <w:ind w:left="20"/>
                    </w:pPr>
                    <w:r>
                      <w:t>Directors’</w:t>
                    </w:r>
                    <w:r>
                      <w:rPr>
                        <w:spacing w:val="-4"/>
                      </w:rPr>
                      <w:t xml:space="preserve"> </w:t>
                    </w:r>
                    <w:r>
                      <w:t>Report</w:t>
                    </w:r>
                    <w:r>
                      <w:rPr>
                        <w:spacing w:val="-3"/>
                      </w:rPr>
                      <w:t xml:space="preserve"> </w:t>
                    </w:r>
                    <w:r>
                      <w:t>for</w:t>
                    </w:r>
                    <w:r>
                      <w:rPr>
                        <w:spacing w:val="-4"/>
                      </w:rPr>
                      <w:t xml:space="preserve"> </w:t>
                    </w:r>
                    <w:r>
                      <w:t>the</w:t>
                    </w:r>
                    <w:r>
                      <w:rPr>
                        <w:spacing w:val="-4"/>
                      </w:rPr>
                      <w:t xml:space="preserve"> </w:t>
                    </w:r>
                    <w:r>
                      <w:t>year</w:t>
                    </w:r>
                    <w:r>
                      <w:rPr>
                        <w:spacing w:val="-2"/>
                      </w:rPr>
                      <w:t xml:space="preserve"> </w:t>
                    </w:r>
                    <w:r>
                      <w:t>ended</w:t>
                    </w:r>
                    <w:r>
                      <w:rPr>
                        <w:spacing w:val="-5"/>
                      </w:rPr>
                      <w:t xml:space="preserve"> </w:t>
                    </w:r>
                    <w:r>
                      <w:t>30</w:t>
                    </w:r>
                    <w:r>
                      <w:rPr>
                        <w:spacing w:val="-4"/>
                      </w:rPr>
                      <w:t xml:space="preserve"> </w:t>
                    </w:r>
                    <w:r>
                      <w:t>June</w:t>
                    </w:r>
                    <w:r>
                      <w:rPr>
                        <w:spacing w:val="-3"/>
                      </w:rPr>
                      <w:t xml:space="preserve"> </w:t>
                    </w:r>
                    <w:r>
                      <w:rPr>
                        <w:spacing w:val="-4"/>
                      </w:rPr>
                      <w:t>2023</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E2C0" w14:textId="77777777" w:rsidR="00AC6F3C" w:rsidRDefault="00AC6F3C">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8B7F" w14:textId="77777777" w:rsidR="00AC6F3C" w:rsidRDefault="00570E88">
    <w:pPr>
      <w:pStyle w:val="BodyText"/>
      <w:spacing w:line="14" w:lineRule="auto"/>
    </w:pPr>
    <w:r>
      <w:rPr>
        <w:noProof/>
      </w:rPr>
      <mc:AlternateContent>
        <mc:Choice Requires="wps">
          <w:drawing>
            <wp:anchor distT="0" distB="0" distL="0" distR="0" simplePos="0" relativeHeight="472911872" behindDoc="1" locked="0" layoutInCell="1" allowOverlap="1" wp14:anchorId="250EC6F1" wp14:editId="42F2E2C4">
              <wp:simplePos x="0" y="0"/>
              <wp:positionH relativeFrom="page">
                <wp:posOffset>901631</wp:posOffset>
              </wp:positionH>
              <wp:positionV relativeFrom="page">
                <wp:posOffset>780975</wp:posOffset>
              </wp:positionV>
              <wp:extent cx="2353945" cy="209550"/>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945" cy="209550"/>
                      </a:xfrm>
                      <a:prstGeom prst="rect">
                        <a:avLst/>
                      </a:prstGeom>
                    </wps:spPr>
                    <wps:txbx>
                      <w:txbxContent>
                        <w:p w14:paraId="76C6FB1D"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wps:txbx>
                    <wps:bodyPr wrap="square" lIns="0" tIns="0" rIns="0" bIns="0" rtlCol="0">
                      <a:noAutofit/>
                    </wps:bodyPr>
                  </wps:wsp>
                </a:graphicData>
              </a:graphic>
            </wp:anchor>
          </w:drawing>
        </mc:Choice>
        <mc:Fallback>
          <w:pict>
            <v:shapetype w14:anchorId="250EC6F1" id="_x0000_t202" coordsize="21600,21600" o:spt="202" path="m,l,21600r21600,l21600,xe">
              <v:stroke joinstyle="miter"/>
              <v:path gradientshapeok="t" o:connecttype="rect"/>
            </v:shapetype>
            <v:shape id="Textbox 850" o:spid="_x0000_s1175" type="#_x0000_t202" style="position:absolute;margin-left:71pt;margin-top:61.5pt;width:185.35pt;height:16.5pt;z-index:-304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" filled="f" stroked="f">
              <v:textbox inset="0,0,0,0">
                <w:txbxContent>
                  <w:p w14:paraId="76C6FB1D"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11A4" w14:textId="77777777" w:rsidR="00AC6F3C" w:rsidRDefault="00570E88">
    <w:pPr>
      <w:pStyle w:val="BodyText"/>
      <w:spacing w:line="14" w:lineRule="auto"/>
    </w:pPr>
    <w:r>
      <w:rPr>
        <w:noProof/>
      </w:rPr>
      <mc:AlternateContent>
        <mc:Choice Requires="wps">
          <w:drawing>
            <wp:anchor distT="0" distB="0" distL="0" distR="0" simplePos="0" relativeHeight="472912896" behindDoc="1" locked="0" layoutInCell="1" allowOverlap="1" wp14:anchorId="361EDF9B" wp14:editId="59751F2A">
              <wp:simplePos x="0" y="0"/>
              <wp:positionH relativeFrom="page">
                <wp:posOffset>896045</wp:posOffset>
              </wp:positionH>
              <wp:positionV relativeFrom="page">
                <wp:posOffset>1277407</wp:posOffset>
              </wp:positionV>
              <wp:extent cx="5768340" cy="635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7909" y="6094"/>
                            </a:moveTo>
                            <a:lnTo>
                              <a:pt x="0" y="6094"/>
                            </a:lnTo>
                            <a:lnTo>
                              <a:pt x="0" y="0"/>
                            </a:lnTo>
                            <a:lnTo>
                              <a:pt x="5767909" y="0"/>
                            </a:lnTo>
                            <a:lnTo>
                              <a:pt x="5767909"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0805DC" id="Graphic 856" o:spid="_x0000_s1026" style="position:absolute;margin-left:70.55pt;margin-top:100.6pt;width:454.2pt;height:.5pt;z-index:-30403584;visibility:visible;mso-wrap-style:square;mso-wrap-distance-left:0;mso-wrap-distance-top:0;mso-wrap-distance-right:0;mso-wrap-distance-bottom:0;mso-position-horizontal:absolute;mso-position-horizontal-relative:page;mso-position-vertical:absolute;mso-position-vertical-relative:page;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" path="m5767909,6094l,6094,,,5767909,r,6094xe" fillcolor="black" stroked="f">
              <v:path arrowok="t"/>
              <w10:wrap anchorx="page" anchory="page"/>
            </v:shape>
          </w:pict>
        </mc:Fallback>
      </mc:AlternateContent>
    </w:r>
    <w:r>
      <w:rPr>
        <w:noProof/>
      </w:rPr>
      <mc:AlternateContent>
        <mc:Choice Requires="wps">
          <w:drawing>
            <wp:anchor distT="0" distB="0" distL="0" distR="0" simplePos="0" relativeHeight="472913408" behindDoc="1" locked="0" layoutInCell="1" allowOverlap="1" wp14:anchorId="7D3970A3" wp14:editId="1FA30A03">
              <wp:simplePos x="0" y="0"/>
              <wp:positionH relativeFrom="page">
                <wp:posOffset>901631</wp:posOffset>
              </wp:positionH>
              <wp:positionV relativeFrom="page">
                <wp:posOffset>766775</wp:posOffset>
              </wp:positionV>
              <wp:extent cx="4182110" cy="370205"/>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110" cy="370205"/>
                      </a:xfrm>
                      <a:prstGeom prst="rect">
                        <a:avLst/>
                      </a:prstGeom>
                    </wps:spPr>
                    <wps:txbx>
                      <w:txbxContent>
                        <w:p w14:paraId="35562268"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p w14:paraId="4472B10B"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7D3970A3" id="_x0000_t202" coordsize="21600,21600" o:spt="202" path="m,l,21600r21600,l21600,xe">
              <v:stroke joinstyle="miter"/>
              <v:path gradientshapeok="t" o:connecttype="rect"/>
            </v:shapetype>
            <v:shape id="Textbox 857" o:spid="_x0000_s1177" type="#_x0000_t202" style="position:absolute;margin-left:71pt;margin-top:60.4pt;width:329.3pt;height:29.15pt;z-index:-304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" filled="f" stroked="f">
              <v:textbox inset="0,0,0,0">
                <w:txbxContent>
                  <w:p w14:paraId="35562268"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p w14:paraId="4472B10B"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A6F7" w14:textId="77777777" w:rsidR="00AC6F3C" w:rsidRDefault="00AC6F3C">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3EAE" w14:textId="77777777" w:rsidR="00AC6F3C" w:rsidRDefault="00570E88">
    <w:pPr>
      <w:pStyle w:val="BodyText"/>
      <w:spacing w:line="14" w:lineRule="auto"/>
    </w:pPr>
    <w:r>
      <w:rPr>
        <w:noProof/>
      </w:rPr>
      <mc:AlternateContent>
        <mc:Choice Requires="wps">
          <w:drawing>
            <wp:anchor distT="0" distB="0" distL="0" distR="0" simplePos="0" relativeHeight="472914432" behindDoc="1" locked="0" layoutInCell="1" allowOverlap="1" wp14:anchorId="5054422C" wp14:editId="4B7B7B7C">
              <wp:simplePos x="0" y="0"/>
              <wp:positionH relativeFrom="page">
                <wp:posOffset>901631</wp:posOffset>
              </wp:positionH>
              <wp:positionV relativeFrom="page">
                <wp:posOffset>766775</wp:posOffset>
              </wp:positionV>
              <wp:extent cx="2353945" cy="20955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945" cy="209550"/>
                      </a:xfrm>
                      <a:prstGeom prst="rect">
                        <a:avLst/>
                      </a:prstGeom>
                    </wps:spPr>
                    <wps:txbx>
                      <w:txbxContent>
                        <w:p w14:paraId="1E78D159"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wps:txbx>
                    <wps:bodyPr wrap="square" lIns="0" tIns="0" rIns="0" bIns="0" rtlCol="0">
                      <a:noAutofit/>
                    </wps:bodyPr>
                  </wps:wsp>
                </a:graphicData>
              </a:graphic>
            </wp:anchor>
          </w:drawing>
        </mc:Choice>
        <mc:Fallback>
          <w:pict>
            <v:shapetype w14:anchorId="5054422C" id="_x0000_t202" coordsize="21600,21600" o:spt="202" path="m,l,21600r21600,l21600,xe">
              <v:stroke joinstyle="miter"/>
              <v:path gradientshapeok="t" o:connecttype="rect"/>
            </v:shapetype>
            <v:shape id="Textbox 859" o:spid="_x0000_s1179" type="#_x0000_t202" style="position:absolute;margin-left:71pt;margin-top:60.4pt;width:185.35pt;height:16.5pt;z-index:-304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" filled="f" stroked="f">
              <v:textbox inset="0,0,0,0">
                <w:txbxContent>
                  <w:p w14:paraId="1E78D159" w14:textId="77777777" w:rsidR="00AC6F3C" w:rsidRDefault="00570E88">
                    <w:pPr>
                      <w:spacing w:before="10"/>
                      <w:ind w:left="20"/>
                      <w:rPr>
                        <w:b/>
                        <w:sz w:val="26"/>
                      </w:rPr>
                    </w:pPr>
                    <w:r>
                      <w:rPr>
                        <w:b/>
                        <w:sz w:val="26"/>
                      </w:rPr>
                      <w:t>QLS</w:t>
                    </w:r>
                    <w:r>
                      <w:rPr>
                        <w:b/>
                        <w:spacing w:val="-9"/>
                        <w:sz w:val="26"/>
                      </w:rPr>
                      <w:t xml:space="preserve"> </w:t>
                    </w:r>
                    <w:r>
                      <w:rPr>
                        <w:b/>
                        <w:sz w:val="26"/>
                      </w:rPr>
                      <w:t>Solicitor</w:t>
                    </w:r>
                    <w:r>
                      <w:rPr>
                        <w:b/>
                        <w:spacing w:val="-7"/>
                        <w:sz w:val="26"/>
                      </w:rPr>
                      <w:t xml:space="preserve"> </w:t>
                    </w:r>
                    <w:r>
                      <w:rPr>
                        <w:b/>
                        <w:sz w:val="26"/>
                      </w:rPr>
                      <w:t>Support</w:t>
                    </w:r>
                    <w:r>
                      <w:rPr>
                        <w:b/>
                        <w:spacing w:val="-8"/>
                        <w:sz w:val="26"/>
                      </w:rPr>
                      <w:t xml:space="preserve"> </w:t>
                    </w:r>
                    <w:r>
                      <w:rPr>
                        <w:b/>
                        <w:sz w:val="26"/>
                      </w:rPr>
                      <w:t>Pty</w:t>
                    </w:r>
                    <w:r>
                      <w:rPr>
                        <w:b/>
                        <w:spacing w:val="-9"/>
                        <w:sz w:val="26"/>
                      </w:rPr>
                      <w:t xml:space="preserve"> </w:t>
                    </w:r>
                    <w:r>
                      <w:rPr>
                        <w:b/>
                        <w:spacing w:val="-5"/>
                        <w:sz w:val="26"/>
                      </w:rPr>
                      <w:t>Ltd</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A533" w14:textId="77777777" w:rsidR="00AC6F3C" w:rsidRDefault="00570E88">
    <w:pPr>
      <w:pStyle w:val="BodyText"/>
      <w:spacing w:line="14" w:lineRule="auto"/>
    </w:pPr>
    <w:r>
      <w:rPr>
        <w:noProof/>
      </w:rPr>
      <w:drawing>
        <wp:anchor distT="0" distB="0" distL="0" distR="0" simplePos="0" relativeHeight="472915456" behindDoc="1" locked="0" layoutInCell="1" allowOverlap="1" wp14:anchorId="3009A91A" wp14:editId="7DA90F14">
          <wp:simplePos x="0" y="0"/>
          <wp:positionH relativeFrom="page">
            <wp:posOffset>803610</wp:posOffset>
          </wp:positionH>
          <wp:positionV relativeFrom="page">
            <wp:posOffset>967849</wp:posOffset>
          </wp:positionV>
          <wp:extent cx="1634886" cy="599776"/>
          <wp:effectExtent l="0" t="0" r="0" b="0"/>
          <wp:wrapNone/>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1" cstate="print"/>
                  <a:stretch>
                    <a:fillRect/>
                  </a:stretch>
                </pic:blipFill>
                <pic:spPr>
                  <a:xfrm>
                    <a:off x="0" y="0"/>
                    <a:ext cx="1634886" cy="599776"/>
                  </a:xfrm>
                  <a:prstGeom prst="rect">
                    <a:avLst/>
                  </a:prstGeom>
                </pic:spPr>
              </pic:pic>
            </a:graphicData>
          </a:graphic>
        </wp:anchor>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EAEC" w14:textId="77777777" w:rsidR="00AC6F3C" w:rsidRDefault="00AC6F3C">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82EB" w14:textId="77777777" w:rsidR="00AC6F3C" w:rsidRDefault="00570E88">
    <w:pPr>
      <w:pStyle w:val="BodyText"/>
      <w:spacing w:line="14" w:lineRule="auto"/>
    </w:pPr>
    <w:r>
      <w:rPr>
        <w:noProof/>
      </w:rPr>
      <mc:AlternateContent>
        <mc:Choice Requires="wps">
          <w:drawing>
            <wp:anchor distT="0" distB="0" distL="0" distR="0" simplePos="0" relativeHeight="472916992" behindDoc="1" locked="0" layoutInCell="1" allowOverlap="1" wp14:anchorId="167C4203" wp14:editId="37FD22D0">
              <wp:simplePos x="0" y="0"/>
              <wp:positionH relativeFrom="page">
                <wp:posOffset>901631</wp:posOffset>
              </wp:positionH>
              <wp:positionV relativeFrom="page">
                <wp:posOffset>810985</wp:posOffset>
              </wp:positionV>
              <wp:extent cx="3490595" cy="20955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0595" cy="209550"/>
                      </a:xfrm>
                      <a:prstGeom prst="rect">
                        <a:avLst/>
                      </a:prstGeom>
                    </wps:spPr>
                    <wps:txbx>
                      <w:txbxContent>
                        <w:p w14:paraId="7BF879B3"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txbxContent>
                    </wps:txbx>
                    <wps:bodyPr wrap="square" lIns="0" tIns="0" rIns="0" bIns="0" rtlCol="0">
                      <a:noAutofit/>
                    </wps:bodyPr>
                  </wps:wsp>
                </a:graphicData>
              </a:graphic>
            </wp:anchor>
          </w:drawing>
        </mc:Choice>
        <mc:Fallback>
          <w:pict>
            <v:shapetype w14:anchorId="167C4203" id="_x0000_t202" coordsize="21600,21600" o:spt="202" path="m,l,21600r21600,l21600,xe">
              <v:stroke joinstyle="miter"/>
              <v:path gradientshapeok="t" o:connecttype="rect"/>
            </v:shapetype>
            <v:shape id="Textbox 870" o:spid="_x0000_s1183" type="#_x0000_t202" style="position:absolute;margin-left:71pt;margin-top:63.85pt;width:274.85pt;height:16.5pt;z-index:-303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" filled="f" stroked="f">
              <v:textbox inset="0,0,0,0">
                <w:txbxContent>
                  <w:p w14:paraId="7BF879B3"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5378" w14:textId="77777777" w:rsidR="00AC6F3C" w:rsidRDefault="00570E88">
    <w:pPr>
      <w:pStyle w:val="BodyText"/>
      <w:spacing w:line="14" w:lineRule="auto"/>
    </w:pPr>
    <w:r>
      <w:rPr>
        <w:noProof/>
      </w:rPr>
      <mc:AlternateContent>
        <mc:Choice Requires="wps">
          <w:drawing>
            <wp:anchor distT="0" distB="0" distL="0" distR="0" simplePos="0" relativeHeight="472918016" behindDoc="1" locked="0" layoutInCell="1" allowOverlap="1" wp14:anchorId="36048C84" wp14:editId="678F7925">
              <wp:simplePos x="0" y="0"/>
              <wp:positionH relativeFrom="page">
                <wp:posOffset>901631</wp:posOffset>
              </wp:positionH>
              <wp:positionV relativeFrom="page">
                <wp:posOffset>766775</wp:posOffset>
              </wp:positionV>
              <wp:extent cx="4182745" cy="37020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745" cy="370205"/>
                      </a:xfrm>
                      <a:prstGeom prst="rect">
                        <a:avLst/>
                      </a:prstGeom>
                    </wps:spPr>
                    <wps:txbx>
                      <w:txbxContent>
                        <w:p w14:paraId="33BAB087"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1C12F586"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2"/>
                            </w:rPr>
                            <w:t xml:space="preserve"> </w:t>
                          </w:r>
                          <w:r>
                            <w:t>30</w:t>
                          </w:r>
                          <w:r>
                            <w:rPr>
                              <w:spacing w:val="-3"/>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36048C84" id="_x0000_t202" coordsize="21600,21600" o:spt="202" path="m,l,21600r21600,l21600,xe">
              <v:stroke joinstyle="miter"/>
              <v:path gradientshapeok="t" o:connecttype="rect"/>
            </v:shapetype>
            <v:shape id="Textbox 895" o:spid="_x0000_s1185" type="#_x0000_t202" style="position:absolute;margin-left:71pt;margin-top:60.4pt;width:329.35pt;height:29.15pt;z-index:-303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" filled="f" stroked="f">
              <v:textbox inset="0,0,0,0">
                <w:txbxContent>
                  <w:p w14:paraId="33BAB087"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1C12F586"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2"/>
                      </w:rPr>
                      <w:t xml:space="preserve"> </w:t>
                    </w:r>
                    <w:r>
                      <w:t>30</w:t>
                    </w:r>
                    <w:r>
                      <w:rPr>
                        <w:spacing w:val="-3"/>
                      </w:rPr>
                      <w:t xml:space="preserve"> </w:t>
                    </w:r>
                    <w:r>
                      <w:t>June</w:t>
                    </w:r>
                    <w:r>
                      <w:rPr>
                        <w:spacing w:val="-4"/>
                      </w:rPr>
                      <w:t xml:space="preserve"> 2023</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B2D8" w14:textId="77777777" w:rsidR="00AC6F3C" w:rsidRDefault="00570E88">
    <w:pPr>
      <w:pStyle w:val="BodyText"/>
      <w:spacing w:line="14" w:lineRule="auto"/>
    </w:pPr>
    <w:r>
      <w:rPr>
        <w:noProof/>
      </w:rPr>
      <mc:AlternateContent>
        <mc:Choice Requires="wps">
          <w:drawing>
            <wp:anchor distT="0" distB="0" distL="0" distR="0" simplePos="0" relativeHeight="472919040" behindDoc="1" locked="0" layoutInCell="1" allowOverlap="1" wp14:anchorId="5C16DBFE" wp14:editId="7402858C">
              <wp:simplePos x="0" y="0"/>
              <wp:positionH relativeFrom="page">
                <wp:posOffset>896045</wp:posOffset>
              </wp:positionH>
              <wp:positionV relativeFrom="page">
                <wp:posOffset>1353580</wp:posOffset>
              </wp:positionV>
              <wp:extent cx="5603875" cy="635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875" cy="6350"/>
                      </a:xfrm>
                      <a:custGeom>
                        <a:avLst/>
                        <a:gdLst/>
                        <a:ahLst/>
                        <a:cxnLst/>
                        <a:rect l="l" t="t" r="r" b="b"/>
                        <a:pathLst>
                          <a:path w="5603875" h="6350">
                            <a:moveTo>
                              <a:pt x="5603329" y="6120"/>
                            </a:moveTo>
                            <a:lnTo>
                              <a:pt x="0" y="6120"/>
                            </a:lnTo>
                            <a:lnTo>
                              <a:pt x="0" y="0"/>
                            </a:lnTo>
                            <a:lnTo>
                              <a:pt x="5603329" y="0"/>
                            </a:lnTo>
                            <a:lnTo>
                              <a:pt x="5603329" y="61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3ACB1" id="Graphic 905" o:spid="_x0000_s1026" style="position:absolute;margin-left:70.55pt;margin-top:106.6pt;width:441.25pt;height:.5pt;z-index:-30397440;visibility:visible;mso-wrap-style:square;mso-wrap-distance-left:0;mso-wrap-distance-top:0;mso-wrap-distance-right:0;mso-wrap-distance-bottom:0;mso-position-horizontal:absolute;mso-position-horizontal-relative:page;mso-position-vertical:absolute;mso-position-vertical-relative:page;v-text-anchor:top" coordsize="5603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" path="m5603329,6120l,6120,,,5603329,r,6120xe" fillcolor="black" stroked="f">
              <v:path arrowok="t"/>
              <w10:wrap anchorx="page" anchory="page"/>
            </v:shape>
          </w:pict>
        </mc:Fallback>
      </mc:AlternateContent>
    </w:r>
    <w:r>
      <w:rPr>
        <w:noProof/>
      </w:rPr>
      <mc:AlternateContent>
        <mc:Choice Requires="wps">
          <w:drawing>
            <wp:anchor distT="0" distB="0" distL="0" distR="0" simplePos="0" relativeHeight="472919552" behindDoc="1" locked="0" layoutInCell="1" allowOverlap="1" wp14:anchorId="1FCA49BE" wp14:editId="2E7BB77F">
              <wp:simplePos x="0" y="0"/>
              <wp:positionH relativeFrom="page">
                <wp:posOffset>901631</wp:posOffset>
              </wp:positionH>
              <wp:positionV relativeFrom="page">
                <wp:posOffset>766775</wp:posOffset>
              </wp:positionV>
              <wp:extent cx="4182110" cy="37020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110" cy="370205"/>
                      </a:xfrm>
                      <a:prstGeom prst="rect">
                        <a:avLst/>
                      </a:prstGeom>
                    </wps:spPr>
                    <wps:txbx>
                      <w:txbxContent>
                        <w:p w14:paraId="2145C290"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0C45DE6A"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1FCA49BE" id="_x0000_t202" coordsize="21600,21600" o:spt="202" path="m,l,21600r21600,l21600,xe">
              <v:stroke joinstyle="miter"/>
              <v:path gradientshapeok="t" o:connecttype="rect"/>
            </v:shapetype>
            <v:shape id="Textbox 906" o:spid="_x0000_s1187" type="#_x0000_t202" style="position:absolute;margin-left:71pt;margin-top:60.4pt;width:329.3pt;height:29.15pt;z-index:-303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" filled="f" stroked="f">
              <v:textbox inset="0,0,0,0">
                <w:txbxContent>
                  <w:p w14:paraId="2145C290"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0C45DE6A"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DA21" w14:textId="77777777" w:rsidR="00AC6F3C" w:rsidRDefault="00570E88">
    <w:pPr>
      <w:pStyle w:val="BodyText"/>
      <w:spacing w:line="14" w:lineRule="auto"/>
    </w:pPr>
    <w:r>
      <w:rPr>
        <w:noProof/>
      </w:rPr>
      <mc:AlternateContent>
        <mc:Choice Requires="wps">
          <w:drawing>
            <wp:anchor distT="0" distB="0" distL="0" distR="0" simplePos="0" relativeHeight="472920576" behindDoc="1" locked="0" layoutInCell="1" allowOverlap="1" wp14:anchorId="359CC353" wp14:editId="59FE05B7">
              <wp:simplePos x="0" y="0"/>
              <wp:positionH relativeFrom="page">
                <wp:posOffset>901631</wp:posOffset>
              </wp:positionH>
              <wp:positionV relativeFrom="page">
                <wp:posOffset>766775</wp:posOffset>
              </wp:positionV>
              <wp:extent cx="4182110" cy="37020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110" cy="370205"/>
                      </a:xfrm>
                      <a:prstGeom prst="rect">
                        <a:avLst/>
                      </a:prstGeom>
                    </wps:spPr>
                    <wps:txbx>
                      <w:txbxContent>
                        <w:p w14:paraId="28840971"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6C6AF529"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359CC353" id="_x0000_t202" coordsize="21600,21600" o:spt="202" path="m,l,21600r21600,l21600,xe">
              <v:stroke joinstyle="miter"/>
              <v:path gradientshapeok="t" o:connecttype="rect"/>
            </v:shapetype>
            <v:shape id="Textbox 908" o:spid="_x0000_s1189" type="#_x0000_t202" style="position:absolute;margin-left:71pt;margin-top:60.4pt;width:329.3pt;height:29.15pt;z-index:-303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" filled="f" stroked="f">
              <v:textbox inset="0,0,0,0">
                <w:txbxContent>
                  <w:p w14:paraId="28840971" w14:textId="77777777" w:rsidR="00AC6F3C" w:rsidRDefault="00570E88">
                    <w:pPr>
                      <w:spacing w:before="10"/>
                      <w:ind w:left="20"/>
                      <w:rPr>
                        <w:b/>
                        <w:sz w:val="26"/>
                      </w:rPr>
                    </w:pPr>
                    <w:r>
                      <w:rPr>
                        <w:b/>
                        <w:sz w:val="26"/>
                      </w:rPr>
                      <w:t>Legal</w:t>
                    </w:r>
                    <w:r>
                      <w:rPr>
                        <w:b/>
                        <w:spacing w:val="-17"/>
                        <w:sz w:val="26"/>
                      </w:rPr>
                      <w:t xml:space="preserve"> </w:t>
                    </w:r>
                    <w:r>
                      <w:rPr>
                        <w:b/>
                        <w:sz w:val="26"/>
                      </w:rPr>
                      <w:t>Practitioners’</w:t>
                    </w:r>
                    <w:r>
                      <w:rPr>
                        <w:b/>
                        <w:spacing w:val="-15"/>
                        <w:sz w:val="26"/>
                      </w:rPr>
                      <w:t xml:space="preserve"> </w:t>
                    </w:r>
                    <w:r>
                      <w:rPr>
                        <w:b/>
                        <w:sz w:val="26"/>
                      </w:rPr>
                      <w:t>Fidelity</w:t>
                    </w:r>
                    <w:r>
                      <w:rPr>
                        <w:b/>
                        <w:spacing w:val="-15"/>
                        <w:sz w:val="26"/>
                      </w:rPr>
                      <w:t xml:space="preserve"> </w:t>
                    </w:r>
                    <w:r>
                      <w:rPr>
                        <w:b/>
                        <w:sz w:val="26"/>
                      </w:rPr>
                      <w:t>Guarantee</w:t>
                    </w:r>
                    <w:r>
                      <w:rPr>
                        <w:b/>
                        <w:spacing w:val="-15"/>
                        <w:sz w:val="26"/>
                      </w:rPr>
                      <w:t xml:space="preserve"> </w:t>
                    </w:r>
                    <w:r>
                      <w:rPr>
                        <w:b/>
                        <w:spacing w:val="-4"/>
                        <w:sz w:val="26"/>
                      </w:rPr>
                      <w:t>Fund</w:t>
                    </w:r>
                  </w:p>
                  <w:p w14:paraId="6C6AF529"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0154" w14:textId="77777777" w:rsidR="00AC6F3C" w:rsidRDefault="00570E88">
    <w:pPr>
      <w:pStyle w:val="BodyText"/>
      <w:spacing w:line="14" w:lineRule="auto"/>
    </w:pPr>
    <w:r>
      <w:rPr>
        <w:noProof/>
      </w:rPr>
      <w:drawing>
        <wp:anchor distT="0" distB="0" distL="0" distR="0" simplePos="0" relativeHeight="472921600" behindDoc="1" locked="0" layoutInCell="1" allowOverlap="1" wp14:anchorId="0AC246C2" wp14:editId="5A214137">
          <wp:simplePos x="0" y="0"/>
          <wp:positionH relativeFrom="page">
            <wp:posOffset>803610</wp:posOffset>
          </wp:positionH>
          <wp:positionV relativeFrom="page">
            <wp:posOffset>967849</wp:posOffset>
          </wp:positionV>
          <wp:extent cx="1634886" cy="599776"/>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1" cstate="print"/>
                  <a:stretch>
                    <a:fillRect/>
                  </a:stretch>
                </pic:blipFill>
                <pic:spPr>
                  <a:xfrm>
                    <a:off x="0" y="0"/>
                    <a:ext cx="1634886" cy="599776"/>
                  </a:xfrm>
                  <a:prstGeom prst="rect">
                    <a:avLst/>
                  </a:prstGeom>
                </pic:spPr>
              </pic:pic>
            </a:graphicData>
          </a:graphic>
        </wp:anchor>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80A7" w14:textId="77777777" w:rsidR="00AC6F3C" w:rsidRDefault="00AC6F3C">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26C9" w14:textId="77777777" w:rsidR="00AC6F3C" w:rsidRDefault="00AC6F3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50C" w14:textId="77777777" w:rsidR="00AC6F3C" w:rsidRDefault="00AC6F3C">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CE10" w14:textId="77777777" w:rsidR="00AC6F3C" w:rsidRDefault="00AC6F3C">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5486" w14:textId="77777777" w:rsidR="00AC6F3C" w:rsidRDefault="00AC6F3C">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C06E" w14:textId="77777777" w:rsidR="00AC6F3C" w:rsidRDefault="00AC6F3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7489" w14:textId="77777777" w:rsidR="00AC6F3C" w:rsidRDefault="00AC6F3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5339" w14:textId="77777777" w:rsidR="00AC6F3C" w:rsidRDefault="00AC6F3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8EA3" w14:textId="77777777" w:rsidR="00AC6F3C" w:rsidRDefault="00AC6F3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338C" w14:textId="77777777" w:rsidR="00AC6F3C" w:rsidRDefault="00AC6F3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CEB4" w14:textId="77777777" w:rsidR="00AC6F3C" w:rsidRDefault="00AC6F3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AA82" w14:textId="77777777" w:rsidR="00AC6F3C" w:rsidRDefault="00AC6F3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EE27" w14:textId="77777777" w:rsidR="00AC6F3C" w:rsidRDefault="00AC6F3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4C58" w14:textId="77777777" w:rsidR="00AC6F3C" w:rsidRDefault="00AC6F3C">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1C3A" w14:textId="77777777" w:rsidR="00AC6F3C" w:rsidRDefault="00AC6F3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EB5" w14:textId="77777777" w:rsidR="00AC6F3C" w:rsidRDefault="00AC6F3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2BC6" w14:textId="77777777" w:rsidR="00AC6F3C" w:rsidRDefault="00AC6F3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3D76" w14:textId="77777777" w:rsidR="00AC6F3C" w:rsidRDefault="00AC6F3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60DF" w14:textId="77777777" w:rsidR="00AC6F3C" w:rsidRDefault="00AC6F3C">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9822" w14:textId="77777777" w:rsidR="00AC6F3C" w:rsidRDefault="00AC6F3C">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6FA4" w14:textId="77777777" w:rsidR="00AC6F3C" w:rsidRDefault="00AC6F3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37C1" w14:textId="77777777" w:rsidR="00AC6F3C" w:rsidRDefault="00AC6F3C">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2A23" w14:textId="77777777" w:rsidR="00AC6F3C" w:rsidRDefault="00AC6F3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7395" w14:textId="77777777" w:rsidR="00AC6F3C" w:rsidRDefault="00AC6F3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1033" w14:textId="77777777" w:rsidR="00AC6F3C" w:rsidRDefault="00570E88">
    <w:pPr>
      <w:pStyle w:val="BodyText"/>
      <w:spacing w:line="14" w:lineRule="auto"/>
    </w:pPr>
    <w:r>
      <w:rPr>
        <w:noProof/>
      </w:rPr>
      <mc:AlternateContent>
        <mc:Choice Requires="wps">
          <w:drawing>
            <wp:anchor distT="0" distB="0" distL="0" distR="0" simplePos="0" relativeHeight="472835072" behindDoc="1" locked="0" layoutInCell="1" allowOverlap="1" wp14:anchorId="756BE0F7" wp14:editId="46A26CD9">
              <wp:simplePos x="0" y="0"/>
              <wp:positionH relativeFrom="page">
                <wp:posOffset>809999</wp:posOffset>
              </wp:positionH>
              <wp:positionV relativeFrom="page">
                <wp:posOffset>640713</wp:posOffset>
              </wp:positionV>
              <wp:extent cx="594042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A44FA" id="Graphic 15" o:spid="_x0000_s1026" style="position:absolute;margin-left:63.8pt;margin-top:50.45pt;width:467.75pt;height:.1pt;z-index:-30481408;visibility:visible;mso-wrap-style:square;mso-wrap-distance-left:0;mso-wrap-distance-top:0;mso-wrap-distance-right:0;mso-wrap-distance-bottom:0;mso-position-horizontal:absolute;mso-position-horizontal-relative:page;mso-position-vertical:absolute;mso-position-vertical-relative:page;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" path="m,l5939993,e" filled="f" strokeweight="2pt">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81F9" w14:textId="77777777" w:rsidR="00AC6F3C" w:rsidRDefault="00AC6F3C">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993B" w14:textId="77777777" w:rsidR="00AC6F3C" w:rsidRDefault="00AC6F3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BCD9" w14:textId="77777777" w:rsidR="00AC6F3C" w:rsidRDefault="00AC6F3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4EE5" w14:textId="77777777" w:rsidR="00AC6F3C" w:rsidRDefault="00AC6F3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C670" w14:textId="77777777" w:rsidR="00AC6F3C" w:rsidRDefault="00AC6F3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24EA" w14:textId="77777777" w:rsidR="00AC6F3C" w:rsidRDefault="00AC6F3C">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7664" w14:textId="77777777" w:rsidR="00AC6F3C" w:rsidRDefault="00570E88">
    <w:pPr>
      <w:pStyle w:val="BodyText"/>
      <w:spacing w:line="14" w:lineRule="auto"/>
    </w:pPr>
    <w:r>
      <w:rPr>
        <w:noProof/>
      </w:rPr>
      <mc:AlternateContent>
        <mc:Choice Requires="wps">
          <w:drawing>
            <wp:anchor distT="0" distB="0" distL="0" distR="0" simplePos="0" relativeHeight="472857600" behindDoc="1" locked="0" layoutInCell="1" allowOverlap="1" wp14:anchorId="65802B43" wp14:editId="01089252">
              <wp:simplePos x="0" y="0"/>
              <wp:positionH relativeFrom="page">
                <wp:posOffset>797299</wp:posOffset>
              </wp:positionH>
              <wp:positionV relativeFrom="page">
                <wp:posOffset>768039</wp:posOffset>
              </wp:positionV>
              <wp:extent cx="5813425" cy="61468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614680"/>
                      </a:xfrm>
                      <a:prstGeom prst="rect">
                        <a:avLst/>
                      </a:prstGeom>
                    </wps:spPr>
                    <wps:txbx>
                      <w:txbxContent>
                        <w:p w14:paraId="187F854D" w14:textId="77777777" w:rsidR="00AC6F3C" w:rsidRDefault="00570E88">
                          <w:pPr>
                            <w:spacing w:before="11"/>
                            <w:ind w:left="20"/>
                            <w:rPr>
                              <w:b/>
                              <w:sz w:val="26"/>
                            </w:rPr>
                          </w:pPr>
                          <w:r>
                            <w:rPr>
                              <w:b/>
                              <w:sz w:val="26"/>
                            </w:rPr>
                            <w:t>First</w:t>
                          </w:r>
                          <w:r>
                            <w:rPr>
                              <w:b/>
                              <w:spacing w:val="-3"/>
                              <w:sz w:val="26"/>
                            </w:rPr>
                            <w:t xml:space="preserve"> </w:t>
                          </w:r>
                          <w:r>
                            <w:rPr>
                              <w:b/>
                              <w:sz w:val="26"/>
                            </w:rPr>
                            <w:t>Nations</w:t>
                          </w:r>
                          <w:r>
                            <w:rPr>
                              <w:b/>
                              <w:spacing w:val="-3"/>
                              <w:sz w:val="26"/>
                            </w:rPr>
                            <w:t xml:space="preserve"> </w:t>
                          </w:r>
                          <w:r>
                            <w:rPr>
                              <w:b/>
                              <w:sz w:val="26"/>
                            </w:rPr>
                            <w:t>Legal</w:t>
                          </w:r>
                          <w:r>
                            <w:rPr>
                              <w:b/>
                              <w:spacing w:val="-3"/>
                              <w:sz w:val="26"/>
                            </w:rPr>
                            <w:t xml:space="preserve"> </w:t>
                          </w:r>
                          <w:r>
                            <w:rPr>
                              <w:b/>
                              <w:sz w:val="26"/>
                            </w:rPr>
                            <w:t>Policy</w:t>
                          </w:r>
                          <w:r>
                            <w:rPr>
                              <w:b/>
                              <w:spacing w:val="-2"/>
                              <w:sz w:val="26"/>
                            </w:rPr>
                            <w:t xml:space="preserve"> Committee</w:t>
                          </w:r>
                        </w:p>
                        <w:p w14:paraId="6F29AA8B" w14:textId="77777777" w:rsidR="00AC6F3C" w:rsidRDefault="00570E88">
                          <w:pPr>
                            <w:pStyle w:val="BodyText"/>
                            <w:spacing w:before="168" w:line="249" w:lineRule="auto"/>
                            <w:ind w:left="20"/>
                          </w:pPr>
                          <w:r>
                            <w:t>The</w:t>
                          </w:r>
                          <w:r>
                            <w:rPr>
                              <w:spacing w:val="-3"/>
                            </w:rPr>
                            <w:t xml:space="preserve"> </w:t>
                          </w:r>
                          <w:r>
                            <w:t>First</w:t>
                          </w:r>
                          <w:r>
                            <w:rPr>
                              <w:spacing w:val="-3"/>
                            </w:rPr>
                            <w:t xml:space="preserve"> </w:t>
                          </w:r>
                          <w:r>
                            <w:t>Nations</w:t>
                          </w:r>
                          <w:r>
                            <w:rPr>
                              <w:spacing w:val="-3"/>
                            </w:rPr>
                            <w:t xml:space="preserve"> </w:t>
                          </w:r>
                          <w:r>
                            <w:t>Legal</w:t>
                          </w:r>
                          <w:r>
                            <w:rPr>
                              <w:spacing w:val="-3"/>
                            </w:rPr>
                            <w:t xml:space="preserve"> </w:t>
                          </w:r>
                          <w:r>
                            <w:t>Policy</w:t>
                          </w:r>
                          <w:r>
                            <w:rPr>
                              <w:spacing w:val="-3"/>
                            </w:rPr>
                            <w:t xml:space="preserve"> </w:t>
                          </w:r>
                          <w:r>
                            <w:t>Committee</w:t>
                          </w:r>
                          <w:r>
                            <w:rPr>
                              <w:spacing w:val="-3"/>
                            </w:rPr>
                            <w:t xml:space="preserve"> </w:t>
                          </w:r>
                          <w:r>
                            <w:t>contributed</w:t>
                          </w:r>
                          <w:r>
                            <w:rPr>
                              <w:spacing w:val="-3"/>
                            </w:rPr>
                            <w:t xml:space="preserve"> </w:t>
                          </w:r>
                          <w:r>
                            <w:t>to</w:t>
                          </w:r>
                          <w:r>
                            <w:rPr>
                              <w:spacing w:val="-3"/>
                            </w:rPr>
                            <w:t xml:space="preserve"> </w:t>
                          </w:r>
                          <w:r>
                            <w:t>six</w:t>
                          </w:r>
                          <w:r>
                            <w:rPr>
                              <w:spacing w:val="-3"/>
                            </w:rPr>
                            <w:t xml:space="preserve"> </w:t>
                          </w:r>
                          <w:r>
                            <w:t>submissions</w:t>
                          </w:r>
                          <w:r>
                            <w:rPr>
                              <w:spacing w:val="-3"/>
                            </w:rPr>
                            <w:t xml:space="preserve"> </w:t>
                          </w:r>
                          <w:r>
                            <w:t>and</w:t>
                          </w:r>
                          <w:r>
                            <w:rPr>
                              <w:spacing w:val="-3"/>
                            </w:rPr>
                            <w:t xml:space="preserve"> </w:t>
                          </w:r>
                          <w:r>
                            <w:t>attended</w:t>
                          </w:r>
                          <w:r>
                            <w:rPr>
                              <w:spacing w:val="-3"/>
                            </w:rPr>
                            <w:t xml:space="preserve"> </w:t>
                          </w:r>
                          <w:r>
                            <w:t>four</w:t>
                          </w:r>
                          <w:r>
                            <w:rPr>
                              <w:spacing w:val="-3"/>
                            </w:rPr>
                            <w:t xml:space="preserve"> </w:t>
                          </w:r>
                          <w:r>
                            <w:t>stakeholder consultations during this financial year.</w:t>
                          </w:r>
                        </w:p>
                      </w:txbxContent>
                    </wps:txbx>
                    <wps:bodyPr wrap="square" lIns="0" tIns="0" rIns="0" bIns="0" rtlCol="0">
                      <a:noAutofit/>
                    </wps:bodyPr>
                  </wps:wsp>
                </a:graphicData>
              </a:graphic>
            </wp:anchor>
          </w:drawing>
        </mc:Choice>
        <mc:Fallback>
          <w:pict>
            <v:shapetype w14:anchorId="65802B43" id="_x0000_t202" coordsize="21600,21600" o:spt="202" path="m,l,21600r21600,l21600,xe">
              <v:stroke joinstyle="miter"/>
              <v:path gradientshapeok="t" o:connecttype="rect"/>
            </v:shapetype>
            <v:shape id="Textbox 289" o:spid="_x0000_s1080" type="#_x0000_t202" style="position:absolute;margin-left:62.8pt;margin-top:60.5pt;width:457.75pt;height:48.4pt;z-index:-304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" filled="f" stroked="f">
              <v:textbox inset="0,0,0,0">
                <w:txbxContent>
                  <w:p w14:paraId="187F854D" w14:textId="77777777" w:rsidR="00AC6F3C" w:rsidRDefault="00570E88">
                    <w:pPr>
                      <w:spacing w:before="11"/>
                      <w:ind w:left="20"/>
                      <w:rPr>
                        <w:b/>
                        <w:sz w:val="26"/>
                      </w:rPr>
                    </w:pPr>
                    <w:r>
                      <w:rPr>
                        <w:b/>
                        <w:sz w:val="26"/>
                      </w:rPr>
                      <w:t>First</w:t>
                    </w:r>
                    <w:r>
                      <w:rPr>
                        <w:b/>
                        <w:spacing w:val="-3"/>
                        <w:sz w:val="26"/>
                      </w:rPr>
                      <w:t xml:space="preserve"> </w:t>
                    </w:r>
                    <w:r>
                      <w:rPr>
                        <w:b/>
                        <w:sz w:val="26"/>
                      </w:rPr>
                      <w:t>Nations</w:t>
                    </w:r>
                    <w:r>
                      <w:rPr>
                        <w:b/>
                        <w:spacing w:val="-3"/>
                        <w:sz w:val="26"/>
                      </w:rPr>
                      <w:t xml:space="preserve"> </w:t>
                    </w:r>
                    <w:r>
                      <w:rPr>
                        <w:b/>
                        <w:sz w:val="26"/>
                      </w:rPr>
                      <w:t>Legal</w:t>
                    </w:r>
                    <w:r>
                      <w:rPr>
                        <w:b/>
                        <w:spacing w:val="-3"/>
                        <w:sz w:val="26"/>
                      </w:rPr>
                      <w:t xml:space="preserve"> </w:t>
                    </w:r>
                    <w:r>
                      <w:rPr>
                        <w:b/>
                        <w:sz w:val="26"/>
                      </w:rPr>
                      <w:t>Policy</w:t>
                    </w:r>
                    <w:r>
                      <w:rPr>
                        <w:b/>
                        <w:spacing w:val="-2"/>
                        <w:sz w:val="26"/>
                      </w:rPr>
                      <w:t xml:space="preserve"> Committee</w:t>
                    </w:r>
                  </w:p>
                  <w:p w14:paraId="6F29AA8B" w14:textId="77777777" w:rsidR="00AC6F3C" w:rsidRDefault="00570E88">
                    <w:pPr>
                      <w:pStyle w:val="BodyText"/>
                      <w:spacing w:before="168" w:line="249" w:lineRule="auto"/>
                      <w:ind w:left="20"/>
                    </w:pPr>
                    <w:r>
                      <w:t>The</w:t>
                    </w:r>
                    <w:r>
                      <w:rPr>
                        <w:spacing w:val="-3"/>
                      </w:rPr>
                      <w:t xml:space="preserve"> </w:t>
                    </w:r>
                    <w:r>
                      <w:t>First</w:t>
                    </w:r>
                    <w:r>
                      <w:rPr>
                        <w:spacing w:val="-3"/>
                      </w:rPr>
                      <w:t xml:space="preserve"> </w:t>
                    </w:r>
                    <w:r>
                      <w:t>Nations</w:t>
                    </w:r>
                    <w:r>
                      <w:rPr>
                        <w:spacing w:val="-3"/>
                      </w:rPr>
                      <w:t xml:space="preserve"> </w:t>
                    </w:r>
                    <w:r>
                      <w:t>Legal</w:t>
                    </w:r>
                    <w:r>
                      <w:rPr>
                        <w:spacing w:val="-3"/>
                      </w:rPr>
                      <w:t xml:space="preserve"> </w:t>
                    </w:r>
                    <w:r>
                      <w:t>Policy</w:t>
                    </w:r>
                    <w:r>
                      <w:rPr>
                        <w:spacing w:val="-3"/>
                      </w:rPr>
                      <w:t xml:space="preserve"> </w:t>
                    </w:r>
                    <w:r>
                      <w:t>Committee</w:t>
                    </w:r>
                    <w:r>
                      <w:rPr>
                        <w:spacing w:val="-3"/>
                      </w:rPr>
                      <w:t xml:space="preserve"> </w:t>
                    </w:r>
                    <w:r>
                      <w:t>contributed</w:t>
                    </w:r>
                    <w:r>
                      <w:rPr>
                        <w:spacing w:val="-3"/>
                      </w:rPr>
                      <w:t xml:space="preserve"> </w:t>
                    </w:r>
                    <w:r>
                      <w:t>to</w:t>
                    </w:r>
                    <w:r>
                      <w:rPr>
                        <w:spacing w:val="-3"/>
                      </w:rPr>
                      <w:t xml:space="preserve"> </w:t>
                    </w:r>
                    <w:r>
                      <w:t>six</w:t>
                    </w:r>
                    <w:r>
                      <w:rPr>
                        <w:spacing w:val="-3"/>
                      </w:rPr>
                      <w:t xml:space="preserve"> </w:t>
                    </w:r>
                    <w:r>
                      <w:t>submissions</w:t>
                    </w:r>
                    <w:r>
                      <w:rPr>
                        <w:spacing w:val="-3"/>
                      </w:rPr>
                      <w:t xml:space="preserve"> </w:t>
                    </w:r>
                    <w:r>
                      <w:t>and</w:t>
                    </w:r>
                    <w:r>
                      <w:rPr>
                        <w:spacing w:val="-3"/>
                      </w:rPr>
                      <w:t xml:space="preserve"> </w:t>
                    </w:r>
                    <w:r>
                      <w:t>attended</w:t>
                    </w:r>
                    <w:r>
                      <w:rPr>
                        <w:spacing w:val="-3"/>
                      </w:rPr>
                      <w:t xml:space="preserve"> </w:t>
                    </w:r>
                    <w:r>
                      <w:t>four</w:t>
                    </w:r>
                    <w:r>
                      <w:rPr>
                        <w:spacing w:val="-3"/>
                      </w:rPr>
                      <w:t xml:space="preserve"> </w:t>
                    </w:r>
                    <w:r>
                      <w:t>stakeholder consultations during this financial year.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9364" w14:textId="77777777" w:rsidR="00AC6F3C" w:rsidRDefault="00570E88">
    <w:pPr>
      <w:pStyle w:val="BodyText"/>
      <w:spacing w:line="14" w:lineRule="auto"/>
    </w:pPr>
    <w:r>
      <w:rPr>
        <w:noProof/>
      </w:rPr>
      <mc:AlternateContent>
        <mc:Choice Requires="wps">
          <w:drawing>
            <wp:anchor distT="0" distB="0" distL="0" distR="0" simplePos="0" relativeHeight="472858624" behindDoc="1" locked="0" layoutInCell="1" allowOverlap="1" wp14:anchorId="62F50FEB" wp14:editId="6E70A600">
              <wp:simplePos x="0" y="0"/>
              <wp:positionH relativeFrom="page">
                <wp:posOffset>797299</wp:posOffset>
              </wp:positionH>
              <wp:positionV relativeFrom="page">
                <wp:posOffset>768039</wp:posOffset>
              </wp:positionV>
              <wp:extent cx="5361940" cy="61468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1940" cy="614680"/>
                      </a:xfrm>
                      <a:prstGeom prst="rect">
                        <a:avLst/>
                      </a:prstGeom>
                    </wps:spPr>
                    <wps:txbx>
                      <w:txbxContent>
                        <w:p w14:paraId="0D53C4DA" w14:textId="77777777" w:rsidR="00AC6F3C" w:rsidRDefault="00570E88">
                          <w:pPr>
                            <w:spacing w:before="11"/>
                            <w:ind w:left="20"/>
                            <w:rPr>
                              <w:b/>
                              <w:sz w:val="26"/>
                            </w:rPr>
                          </w:pPr>
                          <w:r>
                            <w:rPr>
                              <w:b/>
                              <w:sz w:val="26"/>
                            </w:rPr>
                            <w:t>Health</w:t>
                          </w:r>
                          <w:r>
                            <w:rPr>
                              <w:b/>
                              <w:spacing w:val="-3"/>
                              <w:sz w:val="26"/>
                            </w:rPr>
                            <w:t xml:space="preserve"> </w:t>
                          </w:r>
                          <w:r>
                            <w:rPr>
                              <w:b/>
                              <w:sz w:val="26"/>
                            </w:rPr>
                            <w:t>and</w:t>
                          </w:r>
                          <w:r>
                            <w:rPr>
                              <w:b/>
                              <w:spacing w:val="-2"/>
                              <w:sz w:val="26"/>
                            </w:rPr>
                            <w:t xml:space="preserve"> </w:t>
                          </w:r>
                          <w:r>
                            <w:rPr>
                              <w:b/>
                              <w:sz w:val="26"/>
                            </w:rPr>
                            <w:t>Disability</w:t>
                          </w:r>
                          <w:r>
                            <w:rPr>
                              <w:b/>
                              <w:spacing w:val="-2"/>
                              <w:sz w:val="26"/>
                            </w:rPr>
                            <w:t xml:space="preserve"> </w:t>
                          </w:r>
                          <w:r>
                            <w:rPr>
                              <w:b/>
                              <w:sz w:val="26"/>
                            </w:rPr>
                            <w:t>Law</w:t>
                          </w:r>
                          <w:r>
                            <w:rPr>
                              <w:b/>
                              <w:spacing w:val="-2"/>
                              <w:sz w:val="26"/>
                            </w:rPr>
                            <w:t xml:space="preserve"> Committee</w:t>
                          </w:r>
                        </w:p>
                        <w:p w14:paraId="61B39B96" w14:textId="77777777" w:rsidR="00AC6F3C" w:rsidRDefault="00570E88">
                          <w:pPr>
                            <w:pStyle w:val="BodyText"/>
                            <w:spacing w:before="168" w:line="249" w:lineRule="auto"/>
                            <w:ind w:left="20"/>
                          </w:pPr>
                          <w:r>
                            <w:t>The</w:t>
                          </w:r>
                          <w:r>
                            <w:rPr>
                              <w:spacing w:val="-4"/>
                            </w:rPr>
                            <w:t xml:space="preserve"> </w:t>
                          </w:r>
                          <w:r>
                            <w:t>Health</w:t>
                          </w:r>
                          <w:r>
                            <w:rPr>
                              <w:spacing w:val="-4"/>
                            </w:rPr>
                            <w:t xml:space="preserve"> </w:t>
                          </w:r>
                          <w:r>
                            <w:t>and</w:t>
                          </w:r>
                          <w:r>
                            <w:rPr>
                              <w:spacing w:val="-4"/>
                            </w:rPr>
                            <w:t xml:space="preserve"> </w:t>
                          </w:r>
                          <w:r>
                            <w:t>Disability</w:t>
                          </w:r>
                          <w:r>
                            <w:rPr>
                              <w:spacing w:val="-4"/>
                            </w:rPr>
                            <w:t xml:space="preserve"> </w:t>
                          </w:r>
                          <w:r>
                            <w:t>Law</w:t>
                          </w:r>
                          <w:r>
                            <w:rPr>
                              <w:spacing w:val="-4"/>
                            </w:rPr>
                            <w:t xml:space="preserve"> </w:t>
                          </w:r>
                          <w:r>
                            <w:t>Committee</w:t>
                          </w:r>
                          <w:r>
                            <w:rPr>
                              <w:spacing w:val="-4"/>
                            </w:rPr>
                            <w:t xml:space="preserve"> </w:t>
                          </w:r>
                          <w:r>
                            <w:t>contributed</w:t>
                          </w:r>
                          <w:r>
                            <w:rPr>
                              <w:spacing w:val="-4"/>
                            </w:rPr>
                            <w:t xml:space="preserve"> </w:t>
                          </w:r>
                          <w:r>
                            <w:t>to</w:t>
                          </w:r>
                          <w:r>
                            <w:rPr>
                              <w:spacing w:val="-4"/>
                            </w:rPr>
                            <w:t xml:space="preserve"> </w:t>
                          </w:r>
                          <w:r>
                            <w:t>nine</w:t>
                          </w:r>
                          <w:r>
                            <w:rPr>
                              <w:spacing w:val="-4"/>
                            </w:rPr>
                            <w:t xml:space="preserve"> </w:t>
                          </w:r>
                          <w:r>
                            <w:t>submissions</w:t>
                          </w:r>
                          <w:r>
                            <w:rPr>
                              <w:spacing w:val="-4"/>
                            </w:rPr>
                            <w:t xml:space="preserve"> </w:t>
                          </w:r>
                          <w:r>
                            <w:t>and</w:t>
                          </w:r>
                          <w:r>
                            <w:rPr>
                              <w:spacing w:val="-4"/>
                            </w:rPr>
                            <w:t xml:space="preserve"> </w:t>
                          </w:r>
                          <w:r>
                            <w:t>four</w:t>
                          </w:r>
                          <w:r>
                            <w:rPr>
                              <w:spacing w:val="-4"/>
                            </w:rPr>
                            <w:t xml:space="preserve"> </w:t>
                          </w:r>
                          <w:r>
                            <w:t>stakeholder consultations during this financial year.</w:t>
                          </w:r>
                        </w:p>
                      </w:txbxContent>
                    </wps:txbx>
                    <wps:bodyPr wrap="square" lIns="0" tIns="0" rIns="0" bIns="0" rtlCol="0">
                      <a:noAutofit/>
                    </wps:bodyPr>
                  </wps:wsp>
                </a:graphicData>
              </a:graphic>
            </wp:anchor>
          </w:drawing>
        </mc:Choice>
        <mc:Fallback>
          <w:pict>
            <v:shapetype w14:anchorId="62F50FEB" id="_x0000_t202" coordsize="21600,21600" o:spt="202" path="m,l,21600r21600,l21600,xe">
              <v:stroke joinstyle="miter"/>
              <v:path gradientshapeok="t" o:connecttype="rect"/>
            </v:shapetype>
            <v:shape id="Textbox 291" o:spid="_x0000_s1082" type="#_x0000_t202" style="position:absolute;margin-left:62.8pt;margin-top:60.5pt;width:422.2pt;height:48.4pt;z-index:-304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" filled="f" stroked="f">
              <v:textbox inset="0,0,0,0">
                <w:txbxContent>
                  <w:p w14:paraId="0D53C4DA" w14:textId="77777777" w:rsidR="00AC6F3C" w:rsidRDefault="00570E88">
                    <w:pPr>
                      <w:spacing w:before="11"/>
                      <w:ind w:left="20"/>
                      <w:rPr>
                        <w:b/>
                        <w:sz w:val="26"/>
                      </w:rPr>
                    </w:pPr>
                    <w:r>
                      <w:rPr>
                        <w:b/>
                        <w:sz w:val="26"/>
                      </w:rPr>
                      <w:t>Health</w:t>
                    </w:r>
                    <w:r>
                      <w:rPr>
                        <w:b/>
                        <w:spacing w:val="-3"/>
                        <w:sz w:val="26"/>
                      </w:rPr>
                      <w:t xml:space="preserve"> </w:t>
                    </w:r>
                    <w:r>
                      <w:rPr>
                        <w:b/>
                        <w:sz w:val="26"/>
                      </w:rPr>
                      <w:t>and</w:t>
                    </w:r>
                    <w:r>
                      <w:rPr>
                        <w:b/>
                        <w:spacing w:val="-2"/>
                        <w:sz w:val="26"/>
                      </w:rPr>
                      <w:t xml:space="preserve"> </w:t>
                    </w:r>
                    <w:r>
                      <w:rPr>
                        <w:b/>
                        <w:sz w:val="26"/>
                      </w:rPr>
                      <w:t>Disability</w:t>
                    </w:r>
                    <w:r>
                      <w:rPr>
                        <w:b/>
                        <w:spacing w:val="-2"/>
                        <w:sz w:val="26"/>
                      </w:rPr>
                      <w:t xml:space="preserve"> </w:t>
                    </w:r>
                    <w:r>
                      <w:rPr>
                        <w:b/>
                        <w:sz w:val="26"/>
                      </w:rPr>
                      <w:t>Law</w:t>
                    </w:r>
                    <w:r>
                      <w:rPr>
                        <w:b/>
                        <w:spacing w:val="-2"/>
                        <w:sz w:val="26"/>
                      </w:rPr>
                      <w:t xml:space="preserve"> Committee</w:t>
                    </w:r>
                  </w:p>
                  <w:p w14:paraId="61B39B96" w14:textId="77777777" w:rsidR="00AC6F3C" w:rsidRDefault="00570E88">
                    <w:pPr>
                      <w:pStyle w:val="BodyText"/>
                      <w:spacing w:before="168" w:line="249" w:lineRule="auto"/>
                      <w:ind w:left="20"/>
                    </w:pPr>
                    <w:r>
                      <w:t>The</w:t>
                    </w:r>
                    <w:r>
                      <w:rPr>
                        <w:spacing w:val="-4"/>
                      </w:rPr>
                      <w:t xml:space="preserve"> </w:t>
                    </w:r>
                    <w:r>
                      <w:t>Health</w:t>
                    </w:r>
                    <w:r>
                      <w:rPr>
                        <w:spacing w:val="-4"/>
                      </w:rPr>
                      <w:t xml:space="preserve"> </w:t>
                    </w:r>
                    <w:r>
                      <w:t>and</w:t>
                    </w:r>
                    <w:r>
                      <w:rPr>
                        <w:spacing w:val="-4"/>
                      </w:rPr>
                      <w:t xml:space="preserve"> </w:t>
                    </w:r>
                    <w:r>
                      <w:t>Disability</w:t>
                    </w:r>
                    <w:r>
                      <w:rPr>
                        <w:spacing w:val="-4"/>
                      </w:rPr>
                      <w:t xml:space="preserve"> </w:t>
                    </w:r>
                    <w:r>
                      <w:t>Law</w:t>
                    </w:r>
                    <w:r>
                      <w:rPr>
                        <w:spacing w:val="-4"/>
                      </w:rPr>
                      <w:t xml:space="preserve"> </w:t>
                    </w:r>
                    <w:r>
                      <w:t>Committee</w:t>
                    </w:r>
                    <w:r>
                      <w:rPr>
                        <w:spacing w:val="-4"/>
                      </w:rPr>
                      <w:t xml:space="preserve"> </w:t>
                    </w:r>
                    <w:r>
                      <w:t>contributed</w:t>
                    </w:r>
                    <w:r>
                      <w:rPr>
                        <w:spacing w:val="-4"/>
                      </w:rPr>
                      <w:t xml:space="preserve"> </w:t>
                    </w:r>
                    <w:r>
                      <w:t>to</w:t>
                    </w:r>
                    <w:r>
                      <w:rPr>
                        <w:spacing w:val="-4"/>
                      </w:rPr>
                      <w:t xml:space="preserve"> </w:t>
                    </w:r>
                    <w:r>
                      <w:t>nine</w:t>
                    </w:r>
                    <w:r>
                      <w:rPr>
                        <w:spacing w:val="-4"/>
                      </w:rPr>
                      <w:t xml:space="preserve"> </w:t>
                    </w:r>
                    <w:r>
                      <w:t>submissions</w:t>
                    </w:r>
                    <w:r>
                      <w:rPr>
                        <w:spacing w:val="-4"/>
                      </w:rPr>
                      <w:t xml:space="preserve"> </w:t>
                    </w:r>
                    <w:r>
                      <w:t>and</w:t>
                    </w:r>
                    <w:r>
                      <w:rPr>
                        <w:spacing w:val="-4"/>
                      </w:rPr>
                      <w:t xml:space="preserve"> </w:t>
                    </w:r>
                    <w:r>
                      <w:t>four</w:t>
                    </w:r>
                    <w:r>
                      <w:rPr>
                        <w:spacing w:val="-4"/>
                      </w:rPr>
                      <w:t xml:space="preserve"> </w:t>
                    </w:r>
                    <w:r>
                      <w:t>stakeholder consultations during this financial year.</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660F6" w14:textId="77777777" w:rsidR="00AC6F3C" w:rsidRDefault="00570E88">
    <w:pPr>
      <w:pStyle w:val="BodyText"/>
      <w:spacing w:line="14" w:lineRule="auto"/>
    </w:pPr>
    <w:r>
      <w:rPr>
        <w:noProof/>
      </w:rPr>
      <mc:AlternateContent>
        <mc:Choice Requires="wps">
          <w:drawing>
            <wp:anchor distT="0" distB="0" distL="0" distR="0" simplePos="0" relativeHeight="472859648" behindDoc="1" locked="0" layoutInCell="1" allowOverlap="1" wp14:anchorId="35A02C0D" wp14:editId="5CC6ADF6">
              <wp:simplePos x="0" y="0"/>
              <wp:positionH relativeFrom="page">
                <wp:posOffset>797299</wp:posOffset>
              </wp:positionH>
              <wp:positionV relativeFrom="page">
                <wp:posOffset>768039</wp:posOffset>
              </wp:positionV>
              <wp:extent cx="3613150" cy="2101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0" cy="210185"/>
                      </a:xfrm>
                      <a:prstGeom prst="rect">
                        <a:avLst/>
                      </a:prstGeom>
                    </wps:spPr>
                    <wps:txbx>
                      <w:txbxContent>
                        <w:p w14:paraId="04365E09" w14:textId="77777777" w:rsidR="00AC6F3C" w:rsidRDefault="00570E88">
                          <w:pPr>
                            <w:spacing w:before="11"/>
                            <w:ind w:left="20"/>
                            <w:rPr>
                              <w:b/>
                              <w:sz w:val="26"/>
                            </w:rPr>
                          </w:pPr>
                          <w:r>
                            <w:rPr>
                              <w:b/>
                              <w:sz w:val="26"/>
                            </w:rPr>
                            <w:t>Insolvency</w:t>
                          </w:r>
                          <w:r>
                            <w:rPr>
                              <w:b/>
                              <w:spacing w:val="-3"/>
                              <w:sz w:val="26"/>
                            </w:rPr>
                            <w:t xml:space="preserve"> </w:t>
                          </w:r>
                          <w:r>
                            <w:rPr>
                              <w:b/>
                              <w:sz w:val="26"/>
                            </w:rPr>
                            <w:t>and</w:t>
                          </w:r>
                          <w:r>
                            <w:rPr>
                              <w:b/>
                              <w:spacing w:val="-2"/>
                              <w:sz w:val="26"/>
                            </w:rPr>
                            <w:t xml:space="preserve"> </w:t>
                          </w:r>
                          <w:r>
                            <w:rPr>
                              <w:b/>
                              <w:sz w:val="26"/>
                            </w:rPr>
                            <w:t>Restructuring</w:t>
                          </w:r>
                          <w:r>
                            <w:rPr>
                              <w:b/>
                              <w:spacing w:val="-2"/>
                              <w:sz w:val="26"/>
                            </w:rPr>
                            <w:t xml:space="preserve"> </w:t>
                          </w:r>
                          <w:r>
                            <w:rPr>
                              <w:b/>
                              <w:sz w:val="26"/>
                            </w:rPr>
                            <w:t>Law</w:t>
                          </w:r>
                          <w:r>
                            <w:rPr>
                              <w:b/>
                              <w:spacing w:val="-2"/>
                              <w:sz w:val="26"/>
                            </w:rPr>
                            <w:t xml:space="preserve"> Committee</w:t>
                          </w:r>
                        </w:p>
                      </w:txbxContent>
                    </wps:txbx>
                    <wps:bodyPr wrap="square" lIns="0" tIns="0" rIns="0" bIns="0" rtlCol="0">
                      <a:noAutofit/>
                    </wps:bodyPr>
                  </wps:wsp>
                </a:graphicData>
              </a:graphic>
            </wp:anchor>
          </w:drawing>
        </mc:Choice>
        <mc:Fallback>
          <w:pict>
            <v:shapetype w14:anchorId="35A02C0D" id="_x0000_t202" coordsize="21600,21600" o:spt="202" path="m,l,21600r21600,l21600,xe">
              <v:stroke joinstyle="miter"/>
              <v:path gradientshapeok="t" o:connecttype="rect"/>
            </v:shapetype>
            <v:shape id="Textbox 293" o:spid="_x0000_s1084" type="#_x0000_t202" style="position:absolute;margin-left:62.8pt;margin-top:60.5pt;width:284.5pt;height:16.55pt;z-index:-304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" filled="f" stroked="f">
              <v:textbox inset="0,0,0,0">
                <w:txbxContent>
                  <w:p w14:paraId="04365E09" w14:textId="77777777" w:rsidR="00AC6F3C" w:rsidRDefault="00570E88">
                    <w:pPr>
                      <w:spacing w:before="11"/>
                      <w:ind w:left="20"/>
                      <w:rPr>
                        <w:b/>
                        <w:sz w:val="26"/>
                      </w:rPr>
                    </w:pPr>
                    <w:r>
                      <w:rPr>
                        <w:b/>
                        <w:sz w:val="26"/>
                      </w:rPr>
                      <w:t>Insolvency</w:t>
                    </w:r>
                    <w:r>
                      <w:rPr>
                        <w:b/>
                        <w:spacing w:val="-3"/>
                        <w:sz w:val="26"/>
                      </w:rPr>
                      <w:t xml:space="preserve"> </w:t>
                    </w:r>
                    <w:r>
                      <w:rPr>
                        <w:b/>
                        <w:sz w:val="26"/>
                      </w:rPr>
                      <w:t>and</w:t>
                    </w:r>
                    <w:r>
                      <w:rPr>
                        <w:b/>
                        <w:spacing w:val="-2"/>
                        <w:sz w:val="26"/>
                      </w:rPr>
                      <w:t xml:space="preserve"> </w:t>
                    </w:r>
                    <w:r>
                      <w:rPr>
                        <w:b/>
                        <w:sz w:val="26"/>
                      </w:rPr>
                      <w:t>Restructuring</w:t>
                    </w:r>
                    <w:r>
                      <w:rPr>
                        <w:b/>
                        <w:spacing w:val="-2"/>
                        <w:sz w:val="26"/>
                      </w:rPr>
                      <w:t xml:space="preserve"> </w:t>
                    </w:r>
                    <w:r>
                      <w:rPr>
                        <w:b/>
                        <w:sz w:val="26"/>
                      </w:rPr>
                      <w:t>Law</w:t>
                    </w:r>
                    <w:r>
                      <w:rPr>
                        <w:b/>
                        <w:spacing w:val="-2"/>
                        <w:sz w:val="26"/>
                      </w:rPr>
                      <w:t xml:space="preserve"> Committee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8DE7" w14:textId="77777777" w:rsidR="00AC6F3C" w:rsidRDefault="00570E88">
    <w:pPr>
      <w:pStyle w:val="BodyText"/>
      <w:spacing w:line="14" w:lineRule="auto"/>
    </w:pPr>
    <w:r>
      <w:rPr>
        <w:noProof/>
      </w:rPr>
      <mc:AlternateContent>
        <mc:Choice Requires="wps">
          <w:drawing>
            <wp:anchor distT="0" distB="0" distL="0" distR="0" simplePos="0" relativeHeight="472860672" behindDoc="1" locked="0" layoutInCell="1" allowOverlap="1" wp14:anchorId="6E9C6E6E" wp14:editId="02455459">
              <wp:simplePos x="0" y="0"/>
              <wp:positionH relativeFrom="page">
                <wp:posOffset>797299</wp:posOffset>
              </wp:positionH>
              <wp:positionV relativeFrom="page">
                <wp:posOffset>772542</wp:posOffset>
              </wp:positionV>
              <wp:extent cx="887094" cy="1816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81610"/>
                      </a:xfrm>
                      <a:prstGeom prst="rect">
                        <a:avLst/>
                      </a:prstGeom>
                    </wps:spPr>
                    <wps:txbx>
                      <w:txbxContent>
                        <w:p w14:paraId="08B5F48B" w14:textId="77777777" w:rsidR="00AC6F3C" w:rsidRDefault="00570E88">
                          <w:pPr>
                            <w:spacing w:before="13"/>
                            <w:ind w:left="20"/>
                            <w:rPr>
                              <w:b/>
                            </w:rPr>
                          </w:pPr>
                          <w:proofErr w:type="spellStart"/>
                          <w:r>
                            <w:rPr>
                              <w:b/>
                              <w:spacing w:val="-2"/>
                            </w:rPr>
                            <w:t>QTranscripts</w:t>
                          </w:r>
                          <w:proofErr w:type="spellEnd"/>
                        </w:p>
                      </w:txbxContent>
                    </wps:txbx>
                    <wps:bodyPr wrap="square" lIns="0" tIns="0" rIns="0" bIns="0" rtlCol="0">
                      <a:noAutofit/>
                    </wps:bodyPr>
                  </wps:wsp>
                </a:graphicData>
              </a:graphic>
            </wp:anchor>
          </w:drawing>
        </mc:Choice>
        <mc:Fallback>
          <w:pict>
            <v:shapetype w14:anchorId="6E9C6E6E" id="_x0000_t202" coordsize="21600,21600" o:spt="202" path="m,l,21600r21600,l21600,xe">
              <v:stroke joinstyle="miter"/>
              <v:path gradientshapeok="t" o:connecttype="rect"/>
            </v:shapetype>
            <v:shape id="Textbox 295" o:spid="_x0000_s1086" type="#_x0000_t202" style="position:absolute;margin-left:62.8pt;margin-top:60.85pt;width:69.85pt;height:14.3pt;z-index:-304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" filled="f" stroked="f">
              <v:textbox inset="0,0,0,0">
                <w:txbxContent>
                  <w:p w14:paraId="08B5F48B" w14:textId="77777777" w:rsidR="00AC6F3C" w:rsidRDefault="00570E88">
                    <w:pPr>
                      <w:spacing w:before="13"/>
                      <w:ind w:left="20"/>
                      <w:rPr>
                        <w:b/>
                      </w:rPr>
                    </w:pPr>
                    <w:proofErr w:type="spellStart"/>
                    <w:r>
                      <w:rPr>
                        <w:b/>
                        <w:spacing w:val="-2"/>
                      </w:rPr>
                      <w:t>QTranscripts</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546F" w14:textId="77777777" w:rsidR="00AC6F3C" w:rsidRDefault="00AC6F3C">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91D5" w14:textId="77777777" w:rsidR="00AC6F3C" w:rsidRDefault="00570E88">
    <w:pPr>
      <w:pStyle w:val="BodyText"/>
      <w:spacing w:line="14" w:lineRule="auto"/>
    </w:pPr>
    <w:r>
      <w:rPr>
        <w:noProof/>
      </w:rPr>
      <mc:AlternateContent>
        <mc:Choice Requires="wps">
          <w:drawing>
            <wp:anchor distT="0" distB="0" distL="0" distR="0" simplePos="0" relativeHeight="472861696" behindDoc="1" locked="0" layoutInCell="1" allowOverlap="1" wp14:anchorId="00F9169E" wp14:editId="6EE55CC6">
              <wp:simplePos x="0" y="0"/>
              <wp:positionH relativeFrom="page">
                <wp:posOffset>797299</wp:posOffset>
              </wp:positionH>
              <wp:positionV relativeFrom="page">
                <wp:posOffset>772542</wp:posOffset>
              </wp:positionV>
              <wp:extent cx="5946140" cy="18161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181610"/>
                      </a:xfrm>
                      <a:prstGeom prst="rect">
                        <a:avLst/>
                      </a:prstGeom>
                    </wps:spPr>
                    <wps:txbx>
                      <w:txbxContent>
                        <w:p w14:paraId="6F555CFE" w14:textId="77777777" w:rsidR="00AC6F3C" w:rsidRDefault="00570E88">
                          <w:pPr>
                            <w:spacing w:before="13"/>
                            <w:ind w:left="20"/>
                            <w:rPr>
                              <w:b/>
                            </w:rPr>
                          </w:pPr>
                          <w:r>
                            <w:rPr>
                              <w:b/>
                            </w:rPr>
                            <w:t>Australia’s</w:t>
                          </w:r>
                          <w:r>
                            <w:rPr>
                              <w:b/>
                              <w:spacing w:val="-3"/>
                            </w:rPr>
                            <w:t xml:space="preserve"> </w:t>
                          </w:r>
                          <w:r>
                            <w:rPr>
                              <w:b/>
                            </w:rPr>
                            <w:t>Humanitarian</w:t>
                          </w:r>
                          <w:r>
                            <w:rPr>
                              <w:b/>
                              <w:spacing w:val="-2"/>
                            </w:rPr>
                            <w:t xml:space="preserve"> </w:t>
                          </w:r>
                          <w:r>
                            <w:rPr>
                              <w:b/>
                            </w:rPr>
                            <w:t>Program</w:t>
                          </w:r>
                          <w:r>
                            <w:rPr>
                              <w:b/>
                              <w:spacing w:val="-2"/>
                            </w:rPr>
                            <w:t xml:space="preserve"> </w:t>
                          </w:r>
                          <w:r>
                            <w:rPr>
                              <w:b/>
                            </w:rPr>
                            <w:t>and</w:t>
                          </w:r>
                          <w:r>
                            <w:rPr>
                              <w:b/>
                              <w:spacing w:val="-3"/>
                            </w:rPr>
                            <w:t xml:space="preserve"> </w:t>
                          </w:r>
                          <w:r>
                            <w:rPr>
                              <w:b/>
                            </w:rPr>
                            <w:t>the</w:t>
                          </w:r>
                          <w:r>
                            <w:rPr>
                              <w:b/>
                              <w:spacing w:val="-2"/>
                            </w:rPr>
                            <w:t xml:space="preserve"> </w:t>
                          </w:r>
                          <w:r>
                            <w:rPr>
                              <w:b/>
                            </w:rPr>
                            <w:t>Management</w:t>
                          </w:r>
                          <w:r>
                            <w:rPr>
                              <w:b/>
                              <w:spacing w:val="-2"/>
                            </w:rPr>
                            <w:t xml:space="preserve"> </w:t>
                          </w:r>
                          <w:r>
                            <w:rPr>
                              <w:b/>
                            </w:rPr>
                            <w:t>of</w:t>
                          </w:r>
                          <w:r>
                            <w:rPr>
                              <w:b/>
                              <w:spacing w:val="-3"/>
                            </w:rPr>
                            <w:t xml:space="preserve"> </w:t>
                          </w:r>
                          <w:r>
                            <w:rPr>
                              <w:b/>
                            </w:rPr>
                            <w:t>Migration</w:t>
                          </w:r>
                          <w:r>
                            <w:rPr>
                              <w:b/>
                              <w:spacing w:val="-2"/>
                            </w:rPr>
                            <w:t xml:space="preserve"> </w:t>
                          </w:r>
                          <w:r>
                            <w:rPr>
                              <w:b/>
                            </w:rPr>
                            <w:t>to</w:t>
                          </w:r>
                          <w:r>
                            <w:rPr>
                              <w:b/>
                              <w:spacing w:val="-11"/>
                            </w:rPr>
                            <w:t xml:space="preserve"> </w:t>
                          </w:r>
                          <w:r>
                            <w:rPr>
                              <w:b/>
                            </w:rPr>
                            <w:t>Australia</w:t>
                          </w:r>
                          <w:r>
                            <w:rPr>
                              <w:b/>
                              <w:spacing w:val="-2"/>
                            </w:rPr>
                            <w:t xml:space="preserve"> </w:t>
                          </w:r>
                          <w:r>
                            <w:rPr>
                              <w:b/>
                            </w:rPr>
                            <w:t>–</w:t>
                          </w:r>
                          <w:r>
                            <w:rPr>
                              <w:b/>
                              <w:spacing w:val="-2"/>
                            </w:rPr>
                            <w:t xml:space="preserve"> Family</w:t>
                          </w:r>
                        </w:p>
                      </w:txbxContent>
                    </wps:txbx>
                    <wps:bodyPr wrap="square" lIns="0" tIns="0" rIns="0" bIns="0" rtlCol="0">
                      <a:noAutofit/>
                    </wps:bodyPr>
                  </wps:wsp>
                </a:graphicData>
              </a:graphic>
            </wp:anchor>
          </w:drawing>
        </mc:Choice>
        <mc:Fallback>
          <w:pict>
            <v:shapetype w14:anchorId="00F9169E" id="_x0000_t202" coordsize="21600,21600" o:spt="202" path="m,l,21600r21600,l21600,xe">
              <v:stroke joinstyle="miter"/>
              <v:path gradientshapeok="t" o:connecttype="rect"/>
            </v:shapetype>
            <v:shape id="Textbox 297" o:spid="_x0000_s1088" type="#_x0000_t202" style="position:absolute;margin-left:62.8pt;margin-top:60.85pt;width:468.2pt;height:14.3pt;z-index:-304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" filled="f" stroked="f">
              <v:textbox inset="0,0,0,0">
                <w:txbxContent>
                  <w:p w14:paraId="6F555CFE" w14:textId="77777777" w:rsidR="00AC6F3C" w:rsidRDefault="00570E88">
                    <w:pPr>
                      <w:spacing w:before="13"/>
                      <w:ind w:left="20"/>
                      <w:rPr>
                        <w:b/>
                      </w:rPr>
                    </w:pPr>
                    <w:r>
                      <w:rPr>
                        <w:b/>
                      </w:rPr>
                      <w:t>Australia’s</w:t>
                    </w:r>
                    <w:r>
                      <w:rPr>
                        <w:b/>
                        <w:spacing w:val="-3"/>
                      </w:rPr>
                      <w:t xml:space="preserve"> </w:t>
                    </w:r>
                    <w:r>
                      <w:rPr>
                        <w:b/>
                      </w:rPr>
                      <w:t>Humanitarian</w:t>
                    </w:r>
                    <w:r>
                      <w:rPr>
                        <w:b/>
                        <w:spacing w:val="-2"/>
                      </w:rPr>
                      <w:t xml:space="preserve"> </w:t>
                    </w:r>
                    <w:r>
                      <w:rPr>
                        <w:b/>
                      </w:rPr>
                      <w:t>Program</w:t>
                    </w:r>
                    <w:r>
                      <w:rPr>
                        <w:b/>
                        <w:spacing w:val="-2"/>
                      </w:rPr>
                      <w:t xml:space="preserve"> </w:t>
                    </w:r>
                    <w:r>
                      <w:rPr>
                        <w:b/>
                      </w:rPr>
                      <w:t>and</w:t>
                    </w:r>
                    <w:r>
                      <w:rPr>
                        <w:b/>
                        <w:spacing w:val="-3"/>
                      </w:rPr>
                      <w:t xml:space="preserve"> </w:t>
                    </w:r>
                    <w:r>
                      <w:rPr>
                        <w:b/>
                      </w:rPr>
                      <w:t>the</w:t>
                    </w:r>
                    <w:r>
                      <w:rPr>
                        <w:b/>
                        <w:spacing w:val="-2"/>
                      </w:rPr>
                      <w:t xml:space="preserve"> </w:t>
                    </w:r>
                    <w:r>
                      <w:rPr>
                        <w:b/>
                      </w:rPr>
                      <w:t>Management</w:t>
                    </w:r>
                    <w:r>
                      <w:rPr>
                        <w:b/>
                        <w:spacing w:val="-2"/>
                      </w:rPr>
                      <w:t xml:space="preserve"> </w:t>
                    </w:r>
                    <w:r>
                      <w:rPr>
                        <w:b/>
                      </w:rPr>
                      <w:t>of</w:t>
                    </w:r>
                    <w:r>
                      <w:rPr>
                        <w:b/>
                        <w:spacing w:val="-3"/>
                      </w:rPr>
                      <w:t xml:space="preserve"> </w:t>
                    </w:r>
                    <w:r>
                      <w:rPr>
                        <w:b/>
                      </w:rPr>
                      <w:t>Migration</w:t>
                    </w:r>
                    <w:r>
                      <w:rPr>
                        <w:b/>
                        <w:spacing w:val="-2"/>
                      </w:rPr>
                      <w:t xml:space="preserve"> </w:t>
                    </w:r>
                    <w:r>
                      <w:rPr>
                        <w:b/>
                      </w:rPr>
                      <w:t>to</w:t>
                    </w:r>
                    <w:r>
                      <w:rPr>
                        <w:b/>
                        <w:spacing w:val="-11"/>
                      </w:rPr>
                      <w:t xml:space="preserve"> </w:t>
                    </w:r>
                    <w:r>
                      <w:rPr>
                        <w:b/>
                      </w:rPr>
                      <w:t>Australia</w:t>
                    </w:r>
                    <w:r>
                      <w:rPr>
                        <w:b/>
                        <w:spacing w:val="-2"/>
                      </w:rPr>
                      <w:t xml:space="preserve"> </w:t>
                    </w:r>
                    <w:r>
                      <w:rPr>
                        <w:b/>
                      </w:rPr>
                      <w:t>–</w:t>
                    </w:r>
                    <w:r>
                      <w:rPr>
                        <w:b/>
                        <w:spacing w:val="-2"/>
                      </w:rPr>
                      <w:t xml:space="preserve"> Family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94A1" w14:textId="77777777" w:rsidR="00AC6F3C" w:rsidRDefault="00AC6F3C">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18AA" w14:textId="77777777" w:rsidR="00AC6F3C" w:rsidRDefault="00570E88">
    <w:pPr>
      <w:pStyle w:val="BodyText"/>
      <w:spacing w:line="14" w:lineRule="auto"/>
    </w:pPr>
    <w:r>
      <w:rPr>
        <w:noProof/>
      </w:rPr>
      <mc:AlternateContent>
        <mc:Choice Requires="wps">
          <w:drawing>
            <wp:anchor distT="0" distB="0" distL="0" distR="0" simplePos="0" relativeHeight="472863232" behindDoc="1" locked="0" layoutInCell="1" allowOverlap="1" wp14:anchorId="54A0A21D" wp14:editId="317826D3">
              <wp:simplePos x="0" y="0"/>
              <wp:positionH relativeFrom="page">
                <wp:posOffset>797299</wp:posOffset>
              </wp:positionH>
              <wp:positionV relativeFrom="page">
                <wp:posOffset>772542</wp:posOffset>
              </wp:positionV>
              <wp:extent cx="1790700" cy="1816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81610"/>
                      </a:xfrm>
                      <a:prstGeom prst="rect">
                        <a:avLst/>
                      </a:prstGeom>
                    </wps:spPr>
                    <wps:txbx>
                      <w:txbxContent>
                        <w:p w14:paraId="7994B3CE" w14:textId="77777777" w:rsidR="00AC6F3C" w:rsidRDefault="00570E88">
                          <w:pPr>
                            <w:spacing w:before="13"/>
                            <w:ind w:left="20"/>
                            <w:rPr>
                              <w:b/>
                            </w:rPr>
                          </w:pPr>
                          <w:r>
                            <w:rPr>
                              <w:b/>
                            </w:rPr>
                            <w:t>Privacy</w:t>
                          </w:r>
                          <w:r>
                            <w:rPr>
                              <w:b/>
                              <w:spacing w:val="-11"/>
                            </w:rPr>
                            <w:t xml:space="preserve"> </w:t>
                          </w:r>
                          <w:r>
                            <w:rPr>
                              <w:b/>
                            </w:rPr>
                            <w:t>Act</w:t>
                          </w:r>
                          <w:r>
                            <w:rPr>
                              <w:b/>
                              <w:spacing w:val="-2"/>
                            </w:rPr>
                            <w:t xml:space="preserve"> </w:t>
                          </w:r>
                          <w:r>
                            <w:rPr>
                              <w:b/>
                            </w:rPr>
                            <w:t>Review</w:t>
                          </w:r>
                          <w:r>
                            <w:rPr>
                              <w:b/>
                              <w:spacing w:val="-2"/>
                            </w:rPr>
                            <w:t xml:space="preserve"> Report</w:t>
                          </w:r>
                        </w:p>
                      </w:txbxContent>
                    </wps:txbx>
                    <wps:bodyPr wrap="square" lIns="0" tIns="0" rIns="0" bIns="0" rtlCol="0">
                      <a:noAutofit/>
                    </wps:bodyPr>
                  </wps:wsp>
                </a:graphicData>
              </a:graphic>
            </wp:anchor>
          </w:drawing>
        </mc:Choice>
        <mc:Fallback>
          <w:pict>
            <v:shapetype w14:anchorId="54A0A21D" id="_x0000_t202" coordsize="21600,21600" o:spt="202" path="m,l,21600r21600,l21600,xe">
              <v:stroke joinstyle="miter"/>
              <v:path gradientshapeok="t" o:connecttype="rect"/>
            </v:shapetype>
            <v:shape id="Textbox 300" o:spid="_x0000_s1091" type="#_x0000_t202" style="position:absolute;margin-left:62.8pt;margin-top:60.85pt;width:141pt;height:14.3pt;z-index:-304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" filled="f" stroked="f">
              <v:textbox inset="0,0,0,0">
                <w:txbxContent>
                  <w:p w14:paraId="7994B3CE" w14:textId="77777777" w:rsidR="00AC6F3C" w:rsidRDefault="00570E88">
                    <w:pPr>
                      <w:spacing w:before="13"/>
                      <w:ind w:left="20"/>
                      <w:rPr>
                        <w:b/>
                      </w:rPr>
                    </w:pPr>
                    <w:r>
                      <w:rPr>
                        <w:b/>
                      </w:rPr>
                      <w:t>Privacy</w:t>
                    </w:r>
                    <w:r>
                      <w:rPr>
                        <w:b/>
                        <w:spacing w:val="-11"/>
                      </w:rPr>
                      <w:t xml:space="preserve"> </w:t>
                    </w:r>
                    <w:r>
                      <w:rPr>
                        <w:b/>
                      </w:rPr>
                      <w:t>Act</w:t>
                    </w:r>
                    <w:r>
                      <w:rPr>
                        <w:b/>
                        <w:spacing w:val="-2"/>
                      </w:rPr>
                      <w:t xml:space="preserve"> </w:t>
                    </w:r>
                    <w:r>
                      <w:rPr>
                        <w:b/>
                      </w:rPr>
                      <w:t>Review</w:t>
                    </w:r>
                    <w:r>
                      <w:rPr>
                        <w:b/>
                        <w:spacing w:val="-2"/>
                      </w:rPr>
                      <w:t xml:space="preserve"> Report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4B1A" w14:textId="77777777" w:rsidR="00AC6F3C" w:rsidRDefault="00570E88">
    <w:pPr>
      <w:pStyle w:val="BodyText"/>
      <w:spacing w:line="14" w:lineRule="auto"/>
    </w:pPr>
    <w:r>
      <w:rPr>
        <w:noProof/>
      </w:rPr>
      <mc:AlternateContent>
        <mc:Choice Requires="wps">
          <w:drawing>
            <wp:anchor distT="0" distB="0" distL="0" distR="0" simplePos="0" relativeHeight="472864256" behindDoc="1" locked="0" layoutInCell="1" allowOverlap="1" wp14:anchorId="568B110D" wp14:editId="301A0268">
              <wp:simplePos x="0" y="0"/>
              <wp:positionH relativeFrom="page">
                <wp:posOffset>797299</wp:posOffset>
              </wp:positionH>
              <wp:positionV relativeFrom="page">
                <wp:posOffset>772542</wp:posOffset>
              </wp:positionV>
              <wp:extent cx="1244600" cy="1816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0" cy="181610"/>
                      </a:xfrm>
                      <a:prstGeom prst="rect">
                        <a:avLst/>
                      </a:prstGeom>
                    </wps:spPr>
                    <wps:txbx>
                      <w:txbxContent>
                        <w:p w14:paraId="4A6DF0A2" w14:textId="77777777" w:rsidR="00AC6F3C" w:rsidRDefault="00570E88">
                          <w:pPr>
                            <w:spacing w:before="13"/>
                            <w:ind w:left="20"/>
                            <w:rPr>
                              <w:b/>
                            </w:rPr>
                          </w:pPr>
                          <w:r>
                            <w:rPr>
                              <w:b/>
                            </w:rPr>
                            <w:t>Proactive</w:t>
                          </w:r>
                          <w:r>
                            <w:rPr>
                              <w:b/>
                              <w:spacing w:val="-8"/>
                            </w:rPr>
                            <w:t xml:space="preserve"> </w:t>
                          </w:r>
                          <w:r>
                            <w:rPr>
                              <w:b/>
                              <w:spacing w:val="-2"/>
                            </w:rPr>
                            <w:t>Projects</w:t>
                          </w:r>
                        </w:p>
                      </w:txbxContent>
                    </wps:txbx>
                    <wps:bodyPr wrap="square" lIns="0" tIns="0" rIns="0" bIns="0" rtlCol="0">
                      <a:noAutofit/>
                    </wps:bodyPr>
                  </wps:wsp>
                </a:graphicData>
              </a:graphic>
            </wp:anchor>
          </w:drawing>
        </mc:Choice>
        <mc:Fallback>
          <w:pict>
            <v:shapetype w14:anchorId="568B110D" id="_x0000_t202" coordsize="21600,21600" o:spt="202" path="m,l,21600r21600,l21600,xe">
              <v:stroke joinstyle="miter"/>
              <v:path gradientshapeok="t" o:connecttype="rect"/>
            </v:shapetype>
            <v:shape id="Textbox 302" o:spid="_x0000_s1093" type="#_x0000_t202" style="position:absolute;margin-left:62.8pt;margin-top:60.85pt;width:98pt;height:14.3pt;z-index:-304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" filled="f" stroked="f">
              <v:textbox inset="0,0,0,0">
                <w:txbxContent>
                  <w:p w14:paraId="4A6DF0A2" w14:textId="77777777" w:rsidR="00AC6F3C" w:rsidRDefault="00570E88">
                    <w:pPr>
                      <w:spacing w:before="13"/>
                      <w:ind w:left="20"/>
                      <w:rPr>
                        <w:b/>
                      </w:rPr>
                    </w:pPr>
                    <w:r>
                      <w:rPr>
                        <w:b/>
                      </w:rPr>
                      <w:t>Proactive</w:t>
                    </w:r>
                    <w:r>
                      <w:rPr>
                        <w:b/>
                        <w:spacing w:val="-8"/>
                      </w:rPr>
                      <w:t xml:space="preserve"> </w:t>
                    </w:r>
                    <w:r>
                      <w:rPr>
                        <w:b/>
                        <w:spacing w:val="-2"/>
                      </w:rPr>
                      <w:t>Projects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23D" w14:textId="77777777" w:rsidR="00AC6F3C" w:rsidRDefault="00AC6F3C">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93D" w14:textId="77777777" w:rsidR="00AC6F3C" w:rsidRDefault="00AC6F3C">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E57A" w14:textId="77777777" w:rsidR="00AC6F3C" w:rsidRDefault="00AC6F3C">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37AE" w14:textId="77777777" w:rsidR="00AC6F3C" w:rsidRDefault="00AC6F3C">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3328" w14:textId="77777777" w:rsidR="00AC6F3C" w:rsidRDefault="00AC6F3C">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CE52" w14:textId="77777777" w:rsidR="00AC6F3C" w:rsidRDefault="00AC6F3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A53" w14:textId="77777777" w:rsidR="00AC6F3C" w:rsidRDefault="00AC6F3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E3AD" w14:textId="77777777" w:rsidR="00AC6F3C" w:rsidRDefault="00AC6F3C">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A2BA" w14:textId="77777777" w:rsidR="00AC6F3C" w:rsidRDefault="00AC6F3C">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C78B" w14:textId="77777777" w:rsidR="00AC6F3C" w:rsidRDefault="00AC6F3C">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F1CF" w14:textId="77777777" w:rsidR="00AC6F3C" w:rsidRDefault="00AC6F3C">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443D" w14:textId="77777777" w:rsidR="00AC6F3C" w:rsidRDefault="00AC6F3C">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C83C" w14:textId="77777777" w:rsidR="00AC6F3C" w:rsidRDefault="00AC6F3C">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8F69" w14:textId="77777777" w:rsidR="00AC6F3C" w:rsidRDefault="00AC6F3C">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EEA0" w14:textId="77777777" w:rsidR="00AC6F3C" w:rsidRDefault="00AC6F3C">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9277" w14:textId="77777777" w:rsidR="00AC6F3C" w:rsidRDefault="00AC6F3C">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4E00" w14:textId="77777777" w:rsidR="00AC6F3C" w:rsidRDefault="00AC6F3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EA7F" w14:textId="77777777" w:rsidR="00AC6F3C" w:rsidRDefault="00AC6F3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B98C" w14:textId="77777777" w:rsidR="00AC6F3C" w:rsidRDefault="00AC6F3C">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D448" w14:textId="77777777" w:rsidR="00AC6F3C" w:rsidRDefault="00AC6F3C">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8617" w14:textId="77777777" w:rsidR="00AC6F3C" w:rsidRDefault="00AC6F3C">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0C7B" w14:textId="77777777" w:rsidR="00AC6F3C" w:rsidRDefault="00AC6F3C">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8CFC" w14:textId="77777777" w:rsidR="00AC6F3C" w:rsidRDefault="00AC6F3C">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DF12" w14:textId="77777777" w:rsidR="00AC6F3C" w:rsidRDefault="00AC6F3C">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1A85" w14:textId="77777777" w:rsidR="00AC6F3C" w:rsidRDefault="00AC6F3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7CCD" w14:textId="77777777" w:rsidR="00AC6F3C" w:rsidRDefault="00AC6F3C">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0BD4" w14:textId="77777777" w:rsidR="00AC6F3C" w:rsidRDefault="00AC6F3C">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CEF6" w14:textId="77777777" w:rsidR="00AC6F3C" w:rsidRDefault="00AC6F3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2306" w14:textId="77777777" w:rsidR="00AC6F3C" w:rsidRDefault="00AC6F3C">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5CBB" w14:textId="77777777" w:rsidR="00AC6F3C" w:rsidRDefault="00AC6F3C">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95FF" w14:textId="77777777" w:rsidR="00AC6F3C" w:rsidRDefault="00AC6F3C">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F3B5" w14:textId="77777777" w:rsidR="00AC6F3C" w:rsidRDefault="00AC6F3C">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6CC3" w14:textId="77777777" w:rsidR="00AC6F3C" w:rsidRDefault="00AC6F3C">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2F1D" w14:textId="77777777" w:rsidR="00AC6F3C" w:rsidRDefault="00AC6F3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D8D" w14:textId="77777777" w:rsidR="00AC6F3C" w:rsidRDefault="00AC6F3C">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4FEA" w14:textId="77777777" w:rsidR="00AC6F3C" w:rsidRDefault="00AC6F3C">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A019" w14:textId="77777777" w:rsidR="00AC6F3C" w:rsidRDefault="00570E88">
    <w:pPr>
      <w:pStyle w:val="BodyText"/>
      <w:spacing w:line="14" w:lineRule="auto"/>
    </w:pPr>
    <w:r>
      <w:rPr>
        <w:noProof/>
      </w:rPr>
      <mc:AlternateContent>
        <mc:Choice Requires="wps">
          <w:drawing>
            <wp:anchor distT="0" distB="0" distL="0" distR="0" simplePos="0" relativeHeight="472882176" behindDoc="1" locked="0" layoutInCell="1" allowOverlap="1" wp14:anchorId="4D32F0A7" wp14:editId="36470C3D">
              <wp:simplePos x="0" y="0"/>
              <wp:positionH relativeFrom="page">
                <wp:posOffset>797299</wp:posOffset>
              </wp:positionH>
              <wp:positionV relativeFrom="page">
                <wp:posOffset>768039</wp:posOffset>
              </wp:positionV>
              <wp:extent cx="2291715" cy="21018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15" cy="210185"/>
                      </a:xfrm>
                      <a:prstGeom prst="rect">
                        <a:avLst/>
                      </a:prstGeom>
                    </wps:spPr>
                    <wps:txbx>
                      <w:txbxContent>
                        <w:p w14:paraId="53543B2A" w14:textId="77777777" w:rsidR="00AC6F3C" w:rsidRDefault="00570E88">
                          <w:pPr>
                            <w:spacing w:before="11"/>
                            <w:ind w:left="20"/>
                            <w:rPr>
                              <w:b/>
                              <w:sz w:val="26"/>
                            </w:rPr>
                          </w:pPr>
                          <w:r>
                            <w:rPr>
                              <w:b/>
                              <w:sz w:val="26"/>
                            </w:rPr>
                            <w:t>The</w:t>
                          </w:r>
                          <w:r>
                            <w:rPr>
                              <w:b/>
                              <w:spacing w:val="-4"/>
                              <w:sz w:val="26"/>
                            </w:rPr>
                            <w:t xml:space="preserve"> </w:t>
                          </w:r>
                          <w:r>
                            <w:rPr>
                              <w:b/>
                              <w:sz w:val="26"/>
                            </w:rPr>
                            <w:t>FLC</w:t>
                          </w:r>
                          <w:r>
                            <w:rPr>
                              <w:b/>
                              <w:spacing w:val="-4"/>
                              <w:sz w:val="26"/>
                            </w:rPr>
                            <w:t xml:space="preserve"> </w:t>
                          </w:r>
                          <w:r>
                            <w:rPr>
                              <w:b/>
                              <w:sz w:val="26"/>
                            </w:rPr>
                            <w:t>Committee</w:t>
                          </w:r>
                          <w:r>
                            <w:rPr>
                              <w:b/>
                              <w:spacing w:val="-4"/>
                              <w:sz w:val="26"/>
                            </w:rPr>
                            <w:t xml:space="preserve"> </w:t>
                          </w:r>
                          <w:r>
                            <w:rPr>
                              <w:b/>
                              <w:sz w:val="26"/>
                            </w:rPr>
                            <w:t>2022-</w:t>
                          </w:r>
                          <w:r>
                            <w:rPr>
                              <w:b/>
                              <w:spacing w:val="-5"/>
                              <w:sz w:val="26"/>
                            </w:rPr>
                            <w:t>23:</w:t>
                          </w:r>
                        </w:p>
                      </w:txbxContent>
                    </wps:txbx>
                    <wps:bodyPr wrap="square" lIns="0" tIns="0" rIns="0" bIns="0" rtlCol="0">
                      <a:noAutofit/>
                    </wps:bodyPr>
                  </wps:wsp>
                </a:graphicData>
              </a:graphic>
            </wp:anchor>
          </w:drawing>
        </mc:Choice>
        <mc:Fallback>
          <w:pict>
            <v:shapetype w14:anchorId="4D32F0A7" id="_x0000_t202" coordsize="21600,21600" o:spt="202" path="m,l,21600r21600,l21600,xe">
              <v:stroke joinstyle="miter"/>
              <v:path gradientshapeok="t" o:connecttype="rect"/>
            </v:shapetype>
            <v:shape id="Textbox 501" o:spid="_x0000_s1128" type="#_x0000_t202" style="position:absolute;margin-left:62.8pt;margin-top:60.5pt;width:180.45pt;height:16.55pt;z-index:-304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" filled="f" stroked="f">
              <v:textbox inset="0,0,0,0">
                <w:txbxContent>
                  <w:p w14:paraId="53543B2A" w14:textId="77777777" w:rsidR="00AC6F3C" w:rsidRDefault="00570E88">
                    <w:pPr>
                      <w:spacing w:before="11"/>
                      <w:ind w:left="20"/>
                      <w:rPr>
                        <w:b/>
                        <w:sz w:val="26"/>
                      </w:rPr>
                    </w:pPr>
                    <w:r>
                      <w:rPr>
                        <w:b/>
                        <w:sz w:val="26"/>
                      </w:rPr>
                      <w:t>The</w:t>
                    </w:r>
                    <w:r>
                      <w:rPr>
                        <w:b/>
                        <w:spacing w:val="-4"/>
                        <w:sz w:val="26"/>
                      </w:rPr>
                      <w:t xml:space="preserve"> </w:t>
                    </w:r>
                    <w:r>
                      <w:rPr>
                        <w:b/>
                        <w:sz w:val="26"/>
                      </w:rPr>
                      <w:t>FLC</w:t>
                    </w:r>
                    <w:r>
                      <w:rPr>
                        <w:b/>
                        <w:spacing w:val="-4"/>
                        <w:sz w:val="26"/>
                      </w:rPr>
                      <w:t xml:space="preserve"> </w:t>
                    </w:r>
                    <w:r>
                      <w:rPr>
                        <w:b/>
                        <w:sz w:val="26"/>
                      </w:rPr>
                      <w:t>Committee</w:t>
                    </w:r>
                    <w:r>
                      <w:rPr>
                        <w:b/>
                        <w:spacing w:val="-4"/>
                        <w:sz w:val="26"/>
                      </w:rPr>
                      <w:t xml:space="preserve"> </w:t>
                    </w:r>
                    <w:r>
                      <w:rPr>
                        <w:b/>
                        <w:sz w:val="26"/>
                      </w:rPr>
                      <w:t>2022-</w:t>
                    </w:r>
                    <w:r>
                      <w:rPr>
                        <w:b/>
                        <w:spacing w:val="-5"/>
                        <w:sz w:val="26"/>
                      </w:rPr>
                      <w:t>23:</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187A" w14:textId="77777777" w:rsidR="00AC6F3C" w:rsidRDefault="00570E88">
    <w:pPr>
      <w:pStyle w:val="BodyText"/>
      <w:spacing w:line="14" w:lineRule="auto"/>
    </w:pPr>
    <w:r>
      <w:rPr>
        <w:noProof/>
      </w:rPr>
      <mc:AlternateContent>
        <mc:Choice Requires="wps">
          <w:drawing>
            <wp:anchor distT="0" distB="0" distL="0" distR="0" simplePos="0" relativeHeight="472883200" behindDoc="1" locked="0" layoutInCell="1" allowOverlap="1" wp14:anchorId="49B38BDA" wp14:editId="080911D3">
              <wp:simplePos x="0" y="0"/>
              <wp:positionH relativeFrom="page">
                <wp:posOffset>797299</wp:posOffset>
              </wp:positionH>
              <wp:positionV relativeFrom="page">
                <wp:posOffset>768039</wp:posOffset>
              </wp:positionV>
              <wp:extent cx="1567180" cy="21018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210185"/>
                      </a:xfrm>
                      <a:prstGeom prst="rect">
                        <a:avLst/>
                      </a:prstGeom>
                    </wps:spPr>
                    <wps:txbx>
                      <w:txbxContent>
                        <w:p w14:paraId="4B903615" w14:textId="77777777" w:rsidR="00AC6F3C" w:rsidRDefault="00570E88">
                          <w:pPr>
                            <w:spacing w:before="11"/>
                            <w:ind w:left="20"/>
                            <w:rPr>
                              <w:b/>
                              <w:sz w:val="26"/>
                            </w:rPr>
                          </w:pPr>
                          <w:r>
                            <w:rPr>
                              <w:b/>
                              <w:sz w:val="26"/>
                            </w:rPr>
                            <w:t>Legal</w:t>
                          </w:r>
                          <w:r>
                            <w:rPr>
                              <w:b/>
                              <w:spacing w:val="-3"/>
                              <w:sz w:val="26"/>
                            </w:rPr>
                            <w:t xml:space="preserve"> </w:t>
                          </w:r>
                          <w:r>
                            <w:rPr>
                              <w:b/>
                              <w:sz w:val="26"/>
                            </w:rPr>
                            <w:t>Careers</w:t>
                          </w:r>
                          <w:r>
                            <w:rPr>
                              <w:b/>
                              <w:spacing w:val="-3"/>
                              <w:sz w:val="26"/>
                            </w:rPr>
                            <w:t xml:space="preserve"> </w:t>
                          </w:r>
                          <w:r>
                            <w:rPr>
                              <w:b/>
                              <w:spacing w:val="-4"/>
                              <w:sz w:val="26"/>
                            </w:rPr>
                            <w:t>Expo</w:t>
                          </w:r>
                        </w:p>
                      </w:txbxContent>
                    </wps:txbx>
                    <wps:bodyPr wrap="square" lIns="0" tIns="0" rIns="0" bIns="0" rtlCol="0">
                      <a:noAutofit/>
                    </wps:bodyPr>
                  </wps:wsp>
                </a:graphicData>
              </a:graphic>
            </wp:anchor>
          </w:drawing>
        </mc:Choice>
        <mc:Fallback>
          <w:pict>
            <v:shapetype w14:anchorId="49B38BDA" id="_x0000_t202" coordsize="21600,21600" o:spt="202" path="m,l,21600r21600,l21600,xe">
              <v:stroke joinstyle="miter"/>
              <v:path gradientshapeok="t" o:connecttype="rect"/>
            </v:shapetype>
            <v:shape id="Textbox 503" o:spid="_x0000_s1130" type="#_x0000_t202" style="position:absolute;margin-left:62.8pt;margin-top:60.5pt;width:123.4pt;height:16.55pt;z-index:-304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" filled="f" stroked="f">
              <v:textbox inset="0,0,0,0">
                <w:txbxContent>
                  <w:p w14:paraId="4B903615" w14:textId="77777777" w:rsidR="00AC6F3C" w:rsidRDefault="00570E88">
                    <w:pPr>
                      <w:spacing w:before="11"/>
                      <w:ind w:left="20"/>
                      <w:rPr>
                        <w:b/>
                        <w:sz w:val="26"/>
                      </w:rPr>
                    </w:pPr>
                    <w:r>
                      <w:rPr>
                        <w:b/>
                        <w:sz w:val="26"/>
                      </w:rPr>
                      <w:t>Legal</w:t>
                    </w:r>
                    <w:r>
                      <w:rPr>
                        <w:b/>
                        <w:spacing w:val="-3"/>
                        <w:sz w:val="26"/>
                      </w:rPr>
                      <w:t xml:space="preserve"> </w:t>
                    </w:r>
                    <w:r>
                      <w:rPr>
                        <w:b/>
                        <w:sz w:val="26"/>
                      </w:rPr>
                      <w:t>Careers</w:t>
                    </w:r>
                    <w:r>
                      <w:rPr>
                        <w:b/>
                        <w:spacing w:val="-3"/>
                        <w:sz w:val="26"/>
                      </w:rPr>
                      <w:t xml:space="preserve"> </w:t>
                    </w:r>
                    <w:r>
                      <w:rPr>
                        <w:b/>
                        <w:spacing w:val="-4"/>
                        <w:sz w:val="26"/>
                      </w:rPr>
                      <w:t>Expo</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6842" w14:textId="77777777" w:rsidR="00AC6F3C" w:rsidRDefault="00AC6F3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C1B9" w14:textId="77777777" w:rsidR="00AC6F3C" w:rsidRDefault="00AC6F3C">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E8B4" w14:textId="77777777" w:rsidR="00AC6F3C" w:rsidRDefault="00AC6F3C">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2B21" w14:textId="77777777" w:rsidR="00AC6F3C" w:rsidRDefault="00AC6F3C">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7E18" w14:textId="77777777" w:rsidR="00AC6F3C" w:rsidRDefault="00AC6F3C">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B04F" w14:textId="77777777" w:rsidR="00AC6F3C" w:rsidRDefault="00AC6F3C">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85D2" w14:textId="77777777" w:rsidR="00AC6F3C" w:rsidRDefault="00AC6F3C">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C21A" w14:textId="77777777" w:rsidR="00AC6F3C" w:rsidRDefault="00570E88">
    <w:pPr>
      <w:pStyle w:val="BodyText"/>
      <w:spacing w:line="14" w:lineRule="auto"/>
    </w:pPr>
    <w:r>
      <w:rPr>
        <w:noProof/>
      </w:rPr>
      <mc:AlternateContent>
        <mc:Choice Requires="wps">
          <w:drawing>
            <wp:anchor distT="0" distB="0" distL="0" distR="0" simplePos="0" relativeHeight="472887296" behindDoc="1" locked="0" layoutInCell="1" allowOverlap="1" wp14:anchorId="6C5CB4F3" wp14:editId="3B96C39E">
              <wp:simplePos x="0" y="0"/>
              <wp:positionH relativeFrom="page">
                <wp:posOffset>797299</wp:posOffset>
              </wp:positionH>
              <wp:positionV relativeFrom="page">
                <wp:posOffset>772542</wp:posOffset>
              </wp:positionV>
              <wp:extent cx="1011555" cy="18161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555" cy="181610"/>
                      </a:xfrm>
                      <a:prstGeom prst="rect">
                        <a:avLst/>
                      </a:prstGeom>
                    </wps:spPr>
                    <wps:txbx>
                      <w:txbxContent>
                        <w:p w14:paraId="76D45370" w14:textId="77777777" w:rsidR="00AC6F3C" w:rsidRDefault="00570E88">
                          <w:pPr>
                            <w:spacing w:before="13"/>
                            <w:ind w:left="20"/>
                            <w:rPr>
                              <w:b/>
                            </w:rPr>
                          </w:pPr>
                          <w:r>
                            <w:rPr>
                              <w:b/>
                            </w:rPr>
                            <w:t xml:space="preserve">Megan </w:t>
                          </w:r>
                          <w:r>
                            <w:rPr>
                              <w:b/>
                              <w:spacing w:val="-2"/>
                            </w:rPr>
                            <w:t>O’Brien</w:t>
                          </w:r>
                        </w:p>
                      </w:txbxContent>
                    </wps:txbx>
                    <wps:bodyPr wrap="square" lIns="0" tIns="0" rIns="0" bIns="0" rtlCol="0">
                      <a:noAutofit/>
                    </wps:bodyPr>
                  </wps:wsp>
                </a:graphicData>
              </a:graphic>
            </wp:anchor>
          </w:drawing>
        </mc:Choice>
        <mc:Fallback>
          <w:pict>
            <v:shapetype w14:anchorId="6C5CB4F3" id="_x0000_t202" coordsize="21600,21600" o:spt="202" path="m,l,21600r21600,l21600,xe">
              <v:stroke joinstyle="miter"/>
              <v:path gradientshapeok="t" o:connecttype="rect"/>
            </v:shapetype>
            <v:shape id="Textbox 513" o:spid="_x0000_s1138" type="#_x0000_t202" style="position:absolute;margin-left:62.8pt;margin-top:60.85pt;width:79.65pt;height:14.3pt;z-index:-304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" filled="f" stroked="f">
              <v:textbox inset="0,0,0,0">
                <w:txbxContent>
                  <w:p w14:paraId="76D45370" w14:textId="77777777" w:rsidR="00AC6F3C" w:rsidRDefault="00570E88">
                    <w:pPr>
                      <w:spacing w:before="13"/>
                      <w:ind w:left="20"/>
                      <w:rPr>
                        <w:b/>
                      </w:rPr>
                    </w:pPr>
                    <w:r>
                      <w:rPr>
                        <w:b/>
                      </w:rPr>
                      <w:t xml:space="preserve">Megan </w:t>
                    </w:r>
                    <w:r>
                      <w:rPr>
                        <w:b/>
                        <w:spacing w:val="-2"/>
                      </w:rPr>
                      <w:t>O’Brien</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8E27" w14:textId="77777777" w:rsidR="00AC6F3C" w:rsidRDefault="00570E88">
    <w:pPr>
      <w:pStyle w:val="BodyText"/>
      <w:spacing w:line="14" w:lineRule="auto"/>
    </w:pPr>
    <w:r>
      <w:rPr>
        <w:noProof/>
      </w:rPr>
      <mc:AlternateContent>
        <mc:Choice Requires="wps">
          <w:drawing>
            <wp:anchor distT="0" distB="0" distL="0" distR="0" simplePos="0" relativeHeight="472888320" behindDoc="1" locked="0" layoutInCell="1" allowOverlap="1" wp14:anchorId="4323C262" wp14:editId="4DE50217">
              <wp:simplePos x="0" y="0"/>
              <wp:positionH relativeFrom="page">
                <wp:posOffset>797299</wp:posOffset>
              </wp:positionH>
              <wp:positionV relativeFrom="page">
                <wp:posOffset>772542</wp:posOffset>
              </wp:positionV>
              <wp:extent cx="1187450" cy="18161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181610"/>
                      </a:xfrm>
                      <a:prstGeom prst="rect">
                        <a:avLst/>
                      </a:prstGeom>
                    </wps:spPr>
                    <wps:txbx>
                      <w:txbxContent>
                        <w:p w14:paraId="03931BC5" w14:textId="77777777" w:rsidR="00AC6F3C" w:rsidRDefault="00570E88">
                          <w:pPr>
                            <w:spacing w:before="13"/>
                            <w:ind w:left="20"/>
                            <w:rPr>
                              <w:b/>
                            </w:rPr>
                          </w:pPr>
                          <w:r>
                            <w:rPr>
                              <w:b/>
                            </w:rPr>
                            <w:t>Maree</w:t>
                          </w:r>
                          <w:r>
                            <w:rPr>
                              <w:b/>
                              <w:spacing w:val="-4"/>
                            </w:rPr>
                            <w:t xml:space="preserve"> </w:t>
                          </w:r>
                          <w:r>
                            <w:rPr>
                              <w:b/>
                              <w:spacing w:val="-2"/>
                            </w:rPr>
                            <w:t>Westbrook</w:t>
                          </w:r>
                        </w:p>
                      </w:txbxContent>
                    </wps:txbx>
                    <wps:bodyPr wrap="square" lIns="0" tIns="0" rIns="0" bIns="0" rtlCol="0">
                      <a:noAutofit/>
                    </wps:bodyPr>
                  </wps:wsp>
                </a:graphicData>
              </a:graphic>
            </wp:anchor>
          </w:drawing>
        </mc:Choice>
        <mc:Fallback>
          <w:pict>
            <v:shapetype w14:anchorId="4323C262" id="_x0000_t202" coordsize="21600,21600" o:spt="202" path="m,l,21600r21600,l21600,xe">
              <v:stroke joinstyle="miter"/>
              <v:path gradientshapeok="t" o:connecttype="rect"/>
            </v:shapetype>
            <v:shape id="Textbox 515" o:spid="_x0000_s1140" type="#_x0000_t202" style="position:absolute;margin-left:62.8pt;margin-top:60.85pt;width:93.5pt;height:14.3pt;z-index:-304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" filled="f" stroked="f">
              <v:textbox inset="0,0,0,0">
                <w:txbxContent>
                  <w:p w14:paraId="03931BC5" w14:textId="77777777" w:rsidR="00AC6F3C" w:rsidRDefault="00570E88">
                    <w:pPr>
                      <w:spacing w:before="13"/>
                      <w:ind w:left="20"/>
                      <w:rPr>
                        <w:b/>
                      </w:rPr>
                    </w:pPr>
                    <w:r>
                      <w:rPr>
                        <w:b/>
                      </w:rPr>
                      <w:t>Maree</w:t>
                    </w:r>
                    <w:r>
                      <w:rPr>
                        <w:b/>
                        <w:spacing w:val="-4"/>
                      </w:rPr>
                      <w:t xml:space="preserve"> </w:t>
                    </w:r>
                    <w:r>
                      <w:rPr>
                        <w:b/>
                        <w:spacing w:val="-2"/>
                      </w:rPr>
                      <w:t>Westbrook</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5366" w14:textId="77777777" w:rsidR="00AC6F3C" w:rsidRDefault="00570E88">
    <w:pPr>
      <w:pStyle w:val="BodyText"/>
      <w:spacing w:line="14" w:lineRule="auto"/>
    </w:pPr>
    <w:r>
      <w:rPr>
        <w:noProof/>
      </w:rPr>
      <mc:AlternateContent>
        <mc:Choice Requires="wpg">
          <w:drawing>
            <wp:anchor distT="0" distB="0" distL="0" distR="0" simplePos="0" relativeHeight="472889344" behindDoc="1" locked="0" layoutInCell="1" allowOverlap="1" wp14:anchorId="2D1BF129" wp14:editId="23FF7050">
              <wp:simplePos x="0" y="0"/>
              <wp:positionH relativeFrom="page">
                <wp:posOffset>809999</wp:posOffset>
              </wp:positionH>
              <wp:positionV relativeFrom="page">
                <wp:posOffset>810003</wp:posOffset>
              </wp:positionV>
              <wp:extent cx="5940425" cy="1270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548" name="Graphic 548"/>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549" name="Graphic 549"/>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BCA37F" id="Group 547" o:spid="_x0000_s1026" style="position:absolute;margin-left:63.8pt;margin-top:63.8pt;width:467.75pt;height:1pt;z-index:-30427136;mso-wrap-distance-left:0;mso-wrap-distance-right:0;mso-position-horizontal-relative:page;mso-position-vertic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">
              <v:shape id="Graphic 548"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" path="m,l3249002,e" filled="f" strokeweight="1pt">
                <v:path arrowok="t"/>
              </v:shape>
              <v:shape id="Graphic 549"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" path="m,l2691003,e" filled="f" strokeweight="1pt">
                <v:path arrowok="t"/>
              </v:shape>
              <w10:wrap anchorx="page" anchory="page"/>
            </v:group>
          </w:pict>
        </mc:Fallback>
      </mc:AlternateContent>
    </w:r>
    <w:r>
      <w:rPr>
        <w:noProof/>
      </w:rPr>
      <mc:AlternateContent>
        <mc:Choice Requires="wpg">
          <w:drawing>
            <wp:anchor distT="0" distB="0" distL="0" distR="0" simplePos="0" relativeHeight="472889856" behindDoc="1" locked="0" layoutInCell="1" allowOverlap="1" wp14:anchorId="19846C4E" wp14:editId="083BAB81">
              <wp:simplePos x="0" y="0"/>
              <wp:positionH relativeFrom="page">
                <wp:posOffset>809999</wp:posOffset>
              </wp:positionH>
              <wp:positionV relativeFrom="page">
                <wp:posOffset>1046462</wp:posOffset>
              </wp:positionV>
              <wp:extent cx="5940425" cy="1270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551" name="Graphic 551"/>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552" name="Graphic 552"/>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E2A06E" id="Group 550" o:spid="_x0000_s1026" style="position:absolute;margin-left:63.8pt;margin-top:82.4pt;width:467.75pt;height:1pt;z-index:-30426624;mso-wrap-distance-left:0;mso-wrap-distance-right:0;mso-position-horizontal-relative:page;mso-position-vertic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">
              <v:shape id="Graphic 551"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" path="m,l3249002,e" filled="f" strokeweight="1pt">
                <v:path arrowok="t"/>
              </v:shape>
              <v:shape id="Graphic 552"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" path="m,l2691003,e" filled="f" strokeweight="1pt">
                <v:path arrowok="t"/>
              </v:shape>
              <w10:wrap anchorx="page" anchory="page"/>
            </v:group>
          </w:pict>
        </mc:Fallback>
      </mc:AlternateContent>
    </w:r>
    <w:r>
      <w:rPr>
        <w:noProof/>
      </w:rPr>
      <mc:AlternateContent>
        <mc:Choice Requires="wps">
          <w:drawing>
            <wp:anchor distT="0" distB="0" distL="0" distR="0" simplePos="0" relativeHeight="472890368" behindDoc="1" locked="0" layoutInCell="1" allowOverlap="1" wp14:anchorId="742F2C0F" wp14:editId="50BA1E21">
              <wp:simplePos x="0" y="0"/>
              <wp:positionH relativeFrom="page">
                <wp:posOffset>869299</wp:posOffset>
              </wp:positionH>
              <wp:positionV relativeFrom="page">
                <wp:posOffset>853143</wp:posOffset>
              </wp:positionV>
              <wp:extent cx="681990" cy="16764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67640"/>
                      </a:xfrm>
                      <a:prstGeom prst="rect">
                        <a:avLst/>
                      </a:prstGeom>
                    </wps:spPr>
                    <wps:txbx>
                      <w:txbxContent>
                        <w:p w14:paraId="42C07AF3" w14:textId="77777777" w:rsidR="00AC6F3C" w:rsidRDefault="00570E88">
                          <w:pPr>
                            <w:spacing w:before="13"/>
                            <w:ind w:left="20"/>
                            <w:rPr>
                              <w:b/>
                              <w:sz w:val="20"/>
                            </w:rPr>
                          </w:pPr>
                          <w:r>
                            <w:rPr>
                              <w:b/>
                              <w:spacing w:val="-2"/>
                              <w:sz w:val="20"/>
                            </w:rPr>
                            <w:t>Committee</w:t>
                          </w:r>
                        </w:p>
                      </w:txbxContent>
                    </wps:txbx>
                    <wps:bodyPr wrap="square" lIns="0" tIns="0" rIns="0" bIns="0" rtlCol="0">
                      <a:noAutofit/>
                    </wps:bodyPr>
                  </wps:wsp>
                </a:graphicData>
              </a:graphic>
            </wp:anchor>
          </w:drawing>
        </mc:Choice>
        <mc:Fallback>
          <w:pict>
            <v:shapetype w14:anchorId="742F2C0F" id="_x0000_t202" coordsize="21600,21600" o:spt="202" path="m,l,21600r21600,l21600,xe">
              <v:stroke joinstyle="miter"/>
              <v:path gradientshapeok="t" o:connecttype="rect"/>
            </v:shapetype>
            <v:shape id="Textbox 553" o:spid="_x0000_s1142" type="#_x0000_t202" style="position:absolute;margin-left:68.45pt;margin-top:67.2pt;width:53.7pt;height:13.2pt;z-index:-304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" filled="f" stroked="f">
              <v:textbox inset="0,0,0,0">
                <w:txbxContent>
                  <w:p w14:paraId="42C07AF3" w14:textId="77777777" w:rsidR="00AC6F3C" w:rsidRDefault="00570E88">
                    <w:pPr>
                      <w:spacing w:before="13"/>
                      <w:ind w:left="20"/>
                      <w:rPr>
                        <w:b/>
                        <w:sz w:val="20"/>
                      </w:rPr>
                    </w:pPr>
                    <w:r>
                      <w:rPr>
                        <w:b/>
                        <w:spacing w:val="-2"/>
                        <w:sz w:val="20"/>
                      </w:rPr>
                      <w:t>Committee</w:t>
                    </w:r>
                  </w:p>
                </w:txbxContent>
              </v:textbox>
              <w10:wrap anchorx="page" anchory="page"/>
            </v:shape>
          </w:pict>
        </mc:Fallback>
      </mc:AlternateContent>
    </w:r>
    <w:r>
      <w:rPr>
        <w:noProof/>
      </w:rPr>
      <mc:AlternateContent>
        <mc:Choice Requires="wps">
          <w:drawing>
            <wp:anchor distT="0" distB="0" distL="0" distR="0" simplePos="0" relativeHeight="472890880" behindDoc="1" locked="0" layoutInCell="1" allowOverlap="1" wp14:anchorId="0F22BA5F" wp14:editId="425494F2">
              <wp:simplePos x="0" y="0"/>
              <wp:positionH relativeFrom="page">
                <wp:posOffset>4118340</wp:posOffset>
              </wp:positionH>
              <wp:positionV relativeFrom="page">
                <wp:posOffset>853143</wp:posOffset>
              </wp:positionV>
              <wp:extent cx="1416050" cy="16764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167640"/>
                      </a:xfrm>
                      <a:prstGeom prst="rect">
                        <a:avLst/>
                      </a:prstGeom>
                    </wps:spPr>
                    <wps:txbx>
                      <w:txbxContent>
                        <w:p w14:paraId="53D97EBC" w14:textId="77777777" w:rsidR="00AC6F3C" w:rsidRDefault="00570E88">
                          <w:pPr>
                            <w:spacing w:before="13"/>
                            <w:ind w:left="20"/>
                            <w:rPr>
                              <w:b/>
                              <w:sz w:val="20"/>
                            </w:rPr>
                          </w:pPr>
                          <w:r>
                            <w:rPr>
                              <w:b/>
                              <w:sz w:val="20"/>
                            </w:rPr>
                            <w:t>Chair</w:t>
                          </w:r>
                          <w:r>
                            <w:rPr>
                              <w:b/>
                              <w:spacing w:val="-3"/>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txbxContent>
                    </wps:txbx>
                    <wps:bodyPr wrap="square" lIns="0" tIns="0" rIns="0" bIns="0" rtlCol="0">
                      <a:noAutofit/>
                    </wps:bodyPr>
                  </wps:wsp>
                </a:graphicData>
              </a:graphic>
            </wp:anchor>
          </w:drawing>
        </mc:Choice>
        <mc:Fallback>
          <w:pict>
            <v:shape w14:anchorId="0F22BA5F" id="Textbox 554" o:spid="_x0000_s1143" type="#_x0000_t202" style="position:absolute;margin-left:324.3pt;margin-top:67.2pt;width:111.5pt;height:13.2pt;z-index:-304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5+mQEAACMDAAAOAAAAZHJzL2Uyb0RvYy54bWysUl9v0zAQf0fiO1h+p0mnUU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" filled="f" stroked="f">
              <v:textbox inset="0,0,0,0">
                <w:txbxContent>
                  <w:p w14:paraId="53D97EBC" w14:textId="77777777" w:rsidR="00AC6F3C" w:rsidRDefault="00570E88">
                    <w:pPr>
                      <w:spacing w:before="13"/>
                      <w:ind w:left="20"/>
                      <w:rPr>
                        <w:b/>
                        <w:sz w:val="20"/>
                      </w:rPr>
                    </w:pPr>
                    <w:r>
                      <w:rPr>
                        <w:b/>
                        <w:sz w:val="20"/>
                      </w:rPr>
                      <w:t>Chair</w:t>
                    </w:r>
                    <w:r>
                      <w:rPr>
                        <w:b/>
                        <w:spacing w:val="-3"/>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9E0C" w14:textId="77777777" w:rsidR="00AC6F3C" w:rsidRDefault="00570E88">
    <w:pPr>
      <w:pStyle w:val="BodyText"/>
      <w:spacing w:line="14" w:lineRule="auto"/>
    </w:pPr>
    <w:r>
      <w:rPr>
        <w:noProof/>
      </w:rPr>
      <mc:AlternateContent>
        <mc:Choice Requires="wpg">
          <w:drawing>
            <wp:anchor distT="0" distB="0" distL="0" distR="0" simplePos="0" relativeHeight="472892416" behindDoc="1" locked="0" layoutInCell="1" allowOverlap="1" wp14:anchorId="7914378E" wp14:editId="17A43108">
              <wp:simplePos x="0" y="0"/>
              <wp:positionH relativeFrom="page">
                <wp:posOffset>809999</wp:posOffset>
              </wp:positionH>
              <wp:positionV relativeFrom="page">
                <wp:posOffset>810003</wp:posOffset>
              </wp:positionV>
              <wp:extent cx="5940425" cy="12700"/>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677" name="Graphic 677"/>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678" name="Graphic 678"/>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B5C91D" id="Group 676" o:spid="_x0000_s1026" style="position:absolute;margin-left:63.8pt;margin-top:63.8pt;width:467.75pt;height:1pt;z-index:-30424064;mso-wrap-distance-left:0;mso-wrap-distance-right:0;mso-position-horizontal-relative:page;mso-position-vertic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">
              <v:shape id="Graphic 677"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" path="m,l3249002,e" filled="f" strokeweight="1pt">
                <v:path arrowok="t"/>
              </v:shape>
              <v:shape id="Graphic 678"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" path="m,l2691003,e" filled="f" strokeweight="1pt">
                <v:path arrowok="t"/>
              </v:shape>
              <w10:wrap anchorx="page" anchory="page"/>
            </v:group>
          </w:pict>
        </mc:Fallback>
      </mc:AlternateContent>
    </w:r>
    <w:r>
      <w:rPr>
        <w:noProof/>
      </w:rPr>
      <mc:AlternateContent>
        <mc:Choice Requires="wpg">
          <w:drawing>
            <wp:anchor distT="0" distB="0" distL="0" distR="0" simplePos="0" relativeHeight="472892928" behindDoc="1" locked="0" layoutInCell="1" allowOverlap="1" wp14:anchorId="10F9CFDC" wp14:editId="5AA7D721">
              <wp:simplePos x="0" y="0"/>
              <wp:positionH relativeFrom="page">
                <wp:posOffset>809999</wp:posOffset>
              </wp:positionH>
              <wp:positionV relativeFrom="page">
                <wp:posOffset>1046462</wp:posOffset>
              </wp:positionV>
              <wp:extent cx="5940425" cy="1270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2700"/>
                        <a:chOff x="0" y="0"/>
                        <a:chExt cx="5940425" cy="12700"/>
                      </a:xfrm>
                    </wpg:grpSpPr>
                    <wps:wsp>
                      <wps:cNvPr id="680" name="Graphic 680"/>
                      <wps:cNvSpPr/>
                      <wps:spPr>
                        <a:xfrm>
                          <a:off x="0" y="6350"/>
                          <a:ext cx="3249295" cy="1270"/>
                        </a:xfrm>
                        <a:custGeom>
                          <a:avLst/>
                          <a:gdLst/>
                          <a:ahLst/>
                          <a:cxnLst/>
                          <a:rect l="l" t="t" r="r" b="b"/>
                          <a:pathLst>
                            <a:path w="3249295">
                              <a:moveTo>
                                <a:pt x="0" y="0"/>
                              </a:moveTo>
                              <a:lnTo>
                                <a:pt x="3249002" y="0"/>
                              </a:lnTo>
                            </a:path>
                          </a:pathLst>
                        </a:custGeom>
                        <a:ln w="12700">
                          <a:solidFill>
                            <a:srgbClr val="000000"/>
                          </a:solidFill>
                          <a:prstDash val="solid"/>
                        </a:ln>
                      </wps:spPr>
                      <wps:bodyPr wrap="square" lIns="0" tIns="0" rIns="0" bIns="0" rtlCol="0">
                        <a:prstTxWarp prst="textNoShape">
                          <a:avLst/>
                        </a:prstTxWarp>
                        <a:noAutofit/>
                      </wps:bodyPr>
                    </wps:wsp>
                    <wps:wsp>
                      <wps:cNvPr id="681" name="Graphic 681"/>
                      <wps:cNvSpPr/>
                      <wps:spPr>
                        <a:xfrm>
                          <a:off x="3249000" y="6350"/>
                          <a:ext cx="2691130" cy="1270"/>
                        </a:xfrm>
                        <a:custGeom>
                          <a:avLst/>
                          <a:gdLst/>
                          <a:ahLst/>
                          <a:cxnLst/>
                          <a:rect l="l" t="t" r="r" b="b"/>
                          <a:pathLst>
                            <a:path w="2691130">
                              <a:moveTo>
                                <a:pt x="0" y="0"/>
                              </a:moveTo>
                              <a:lnTo>
                                <a:pt x="2691003"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699BF4" id="Group 679" o:spid="_x0000_s1026" style="position:absolute;margin-left:63.8pt;margin-top:82.4pt;width:467.75pt;height:1pt;z-index:-30423552;mso-wrap-distance-left:0;mso-wrap-distance-right:0;mso-position-horizontal-relative:page;mso-position-vertical-relative:page" coordsize="59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">
              <v:shape id="Graphic 680" o:spid="_x0000_s1027" style="position:absolute;top:63;width:32492;height:13;visibility:visible;mso-wrap-style:square;v-text-anchor:top" coordsize="324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" path="m,l3249002,e" filled="f" strokeweight="1pt">
                <v:path arrowok="t"/>
              </v:shape>
              <v:shape id="Graphic 681" o:spid="_x0000_s1028" style="position:absolute;left:32490;top:6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" path="m,l2691003,e" filled="f" strokeweight="1pt">
                <v:path arrowok="t"/>
              </v:shape>
              <w10:wrap anchorx="page" anchory="page"/>
            </v:group>
          </w:pict>
        </mc:Fallback>
      </mc:AlternateContent>
    </w:r>
    <w:r>
      <w:rPr>
        <w:noProof/>
      </w:rPr>
      <mc:AlternateContent>
        <mc:Choice Requires="wps">
          <w:drawing>
            <wp:anchor distT="0" distB="0" distL="0" distR="0" simplePos="0" relativeHeight="472893440" behindDoc="1" locked="0" layoutInCell="1" allowOverlap="1" wp14:anchorId="73F4ED45" wp14:editId="163F5991">
              <wp:simplePos x="0" y="0"/>
              <wp:positionH relativeFrom="page">
                <wp:posOffset>869299</wp:posOffset>
              </wp:positionH>
              <wp:positionV relativeFrom="page">
                <wp:posOffset>853143</wp:posOffset>
              </wp:positionV>
              <wp:extent cx="681990" cy="16764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67640"/>
                      </a:xfrm>
                      <a:prstGeom prst="rect">
                        <a:avLst/>
                      </a:prstGeom>
                    </wps:spPr>
                    <wps:txbx>
                      <w:txbxContent>
                        <w:p w14:paraId="15AB9BC1" w14:textId="77777777" w:rsidR="00AC6F3C" w:rsidRDefault="00570E88">
                          <w:pPr>
                            <w:spacing w:before="13"/>
                            <w:ind w:left="20"/>
                            <w:rPr>
                              <w:b/>
                              <w:sz w:val="20"/>
                            </w:rPr>
                          </w:pPr>
                          <w:r>
                            <w:rPr>
                              <w:b/>
                              <w:spacing w:val="-2"/>
                              <w:sz w:val="20"/>
                            </w:rPr>
                            <w:t>Committee</w:t>
                          </w:r>
                        </w:p>
                      </w:txbxContent>
                    </wps:txbx>
                    <wps:bodyPr wrap="square" lIns="0" tIns="0" rIns="0" bIns="0" rtlCol="0">
                      <a:noAutofit/>
                    </wps:bodyPr>
                  </wps:wsp>
                </a:graphicData>
              </a:graphic>
            </wp:anchor>
          </w:drawing>
        </mc:Choice>
        <mc:Fallback>
          <w:pict>
            <v:shapetype w14:anchorId="73F4ED45" id="_x0000_t202" coordsize="21600,21600" o:spt="202" path="m,l,21600r21600,l21600,xe">
              <v:stroke joinstyle="miter"/>
              <v:path gradientshapeok="t" o:connecttype="rect"/>
            </v:shapetype>
            <v:shape id="Textbox 682" o:spid="_x0000_s1145" type="#_x0000_t202" style="position:absolute;margin-left:68.45pt;margin-top:67.2pt;width:53.7pt;height:13.2pt;z-index:-304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" filled="f" stroked="f">
              <v:textbox inset="0,0,0,0">
                <w:txbxContent>
                  <w:p w14:paraId="15AB9BC1" w14:textId="77777777" w:rsidR="00AC6F3C" w:rsidRDefault="00570E88">
                    <w:pPr>
                      <w:spacing w:before="13"/>
                      <w:ind w:left="20"/>
                      <w:rPr>
                        <w:b/>
                        <w:sz w:val="20"/>
                      </w:rPr>
                    </w:pPr>
                    <w:r>
                      <w:rPr>
                        <w:b/>
                        <w:spacing w:val="-2"/>
                        <w:sz w:val="20"/>
                      </w:rPr>
                      <w:t>Committee</w:t>
                    </w:r>
                  </w:p>
                </w:txbxContent>
              </v:textbox>
              <w10:wrap anchorx="page" anchory="page"/>
            </v:shape>
          </w:pict>
        </mc:Fallback>
      </mc:AlternateContent>
    </w:r>
    <w:r>
      <w:rPr>
        <w:noProof/>
      </w:rPr>
      <mc:AlternateContent>
        <mc:Choice Requires="wps">
          <w:drawing>
            <wp:anchor distT="0" distB="0" distL="0" distR="0" simplePos="0" relativeHeight="472893952" behindDoc="1" locked="0" layoutInCell="1" allowOverlap="1" wp14:anchorId="175BDFED" wp14:editId="3AAA4F2E">
              <wp:simplePos x="0" y="0"/>
              <wp:positionH relativeFrom="page">
                <wp:posOffset>4118340</wp:posOffset>
              </wp:positionH>
              <wp:positionV relativeFrom="page">
                <wp:posOffset>853143</wp:posOffset>
              </wp:positionV>
              <wp:extent cx="1416050" cy="16764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167640"/>
                      </a:xfrm>
                      <a:prstGeom prst="rect">
                        <a:avLst/>
                      </a:prstGeom>
                    </wps:spPr>
                    <wps:txbx>
                      <w:txbxContent>
                        <w:p w14:paraId="0201FD48" w14:textId="77777777" w:rsidR="00AC6F3C" w:rsidRDefault="00570E88">
                          <w:pPr>
                            <w:spacing w:before="13"/>
                            <w:ind w:left="20"/>
                            <w:rPr>
                              <w:b/>
                              <w:sz w:val="20"/>
                            </w:rPr>
                          </w:pPr>
                          <w:r>
                            <w:rPr>
                              <w:b/>
                              <w:sz w:val="20"/>
                            </w:rPr>
                            <w:t>Chair</w:t>
                          </w:r>
                          <w:r>
                            <w:rPr>
                              <w:b/>
                              <w:spacing w:val="-3"/>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txbxContent>
                    </wps:txbx>
                    <wps:bodyPr wrap="square" lIns="0" tIns="0" rIns="0" bIns="0" rtlCol="0">
                      <a:noAutofit/>
                    </wps:bodyPr>
                  </wps:wsp>
                </a:graphicData>
              </a:graphic>
            </wp:anchor>
          </w:drawing>
        </mc:Choice>
        <mc:Fallback>
          <w:pict>
            <v:shape w14:anchorId="175BDFED" id="Textbox 683" o:spid="_x0000_s1146" type="#_x0000_t202" style="position:absolute;margin-left:324.3pt;margin-top:67.2pt;width:111.5pt;height:13.2pt;z-index:-304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" filled="f" stroked="f">
              <v:textbox inset="0,0,0,0">
                <w:txbxContent>
                  <w:p w14:paraId="0201FD48" w14:textId="77777777" w:rsidR="00AC6F3C" w:rsidRDefault="00570E88">
                    <w:pPr>
                      <w:spacing w:before="13"/>
                      <w:ind w:left="20"/>
                      <w:rPr>
                        <w:b/>
                        <w:sz w:val="20"/>
                      </w:rPr>
                    </w:pPr>
                    <w:r>
                      <w:rPr>
                        <w:b/>
                        <w:sz w:val="20"/>
                      </w:rPr>
                      <w:t>Chair</w:t>
                    </w:r>
                    <w:r>
                      <w:rPr>
                        <w:b/>
                        <w:spacing w:val="-3"/>
                        <w:sz w:val="20"/>
                      </w:rPr>
                      <w:t xml:space="preserve"> </w:t>
                    </w:r>
                    <w:r>
                      <w:rPr>
                        <w:b/>
                        <w:sz w:val="20"/>
                      </w:rPr>
                      <w:t>and</w:t>
                    </w:r>
                    <w:r>
                      <w:rPr>
                        <w:b/>
                        <w:spacing w:val="-3"/>
                        <w:sz w:val="20"/>
                      </w:rPr>
                      <w:t xml:space="preserve"> </w:t>
                    </w:r>
                    <w:r>
                      <w:rPr>
                        <w:b/>
                        <w:sz w:val="20"/>
                      </w:rPr>
                      <w:t>Deputy</w:t>
                    </w:r>
                    <w:r>
                      <w:rPr>
                        <w:b/>
                        <w:spacing w:val="-3"/>
                        <w:sz w:val="20"/>
                      </w:rPr>
                      <w:t xml:space="preserve"> </w:t>
                    </w:r>
                    <w:r>
                      <w:rPr>
                        <w:b/>
                        <w:spacing w:val="-2"/>
                        <w:sz w:val="20"/>
                      </w:rPr>
                      <w:t>chair</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9775" w14:textId="77777777" w:rsidR="00AC6F3C" w:rsidRDefault="00AC6F3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61A0" w14:textId="77777777" w:rsidR="00AC6F3C" w:rsidRDefault="00AC6F3C">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55A8" w14:textId="77777777" w:rsidR="00AC6F3C" w:rsidRDefault="00AC6F3C">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60F7" w14:textId="77777777" w:rsidR="00AC6F3C" w:rsidRDefault="00AC6F3C">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D3B1" w14:textId="77777777" w:rsidR="00AC6F3C" w:rsidRDefault="00AC6F3C">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3B3F" w14:textId="77777777" w:rsidR="00AC6F3C" w:rsidRDefault="00AC6F3C">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5CE6" w14:textId="77777777" w:rsidR="00AC6F3C" w:rsidRDefault="00570E88">
    <w:pPr>
      <w:pStyle w:val="BodyText"/>
      <w:spacing w:line="14" w:lineRule="auto"/>
    </w:pPr>
    <w:r>
      <w:rPr>
        <w:noProof/>
      </w:rPr>
      <mc:AlternateContent>
        <mc:Choice Requires="wps">
          <w:drawing>
            <wp:anchor distT="0" distB="0" distL="0" distR="0" simplePos="0" relativeHeight="472897536" behindDoc="1" locked="0" layoutInCell="1" allowOverlap="1" wp14:anchorId="37D9095F" wp14:editId="1C4942ED">
              <wp:simplePos x="0" y="0"/>
              <wp:positionH relativeFrom="page">
                <wp:posOffset>882330</wp:posOffset>
              </wp:positionH>
              <wp:positionV relativeFrom="page">
                <wp:posOffset>1320071</wp:posOffset>
              </wp:positionV>
              <wp:extent cx="5796915" cy="635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863" y="6094"/>
                            </a:moveTo>
                            <a:lnTo>
                              <a:pt x="0" y="6094"/>
                            </a:lnTo>
                            <a:lnTo>
                              <a:pt x="0" y="0"/>
                            </a:lnTo>
                            <a:lnTo>
                              <a:pt x="5796863" y="0"/>
                            </a:lnTo>
                            <a:lnTo>
                              <a:pt x="5796863"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1791D" id="Graphic 725" o:spid="_x0000_s1026" style="position:absolute;margin-left:69.45pt;margin-top:103.95pt;width:456.45pt;height:.5pt;z-index:-30418944;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" path="m5796863,6094l,6094,,,5796863,r,6094xe" fillcolor="black" stroked="f">
              <v:path arrowok="t"/>
              <w10:wrap anchorx="page" anchory="page"/>
            </v:shape>
          </w:pict>
        </mc:Fallback>
      </mc:AlternateContent>
    </w:r>
    <w:r>
      <w:rPr>
        <w:noProof/>
      </w:rPr>
      <mc:AlternateContent>
        <mc:Choice Requires="wps">
          <w:drawing>
            <wp:anchor distT="0" distB="0" distL="0" distR="0" simplePos="0" relativeHeight="472898048" behindDoc="1" locked="0" layoutInCell="1" allowOverlap="1" wp14:anchorId="41994787" wp14:editId="3059E02F">
              <wp:simplePos x="0" y="0"/>
              <wp:positionH relativeFrom="page">
                <wp:posOffset>887916</wp:posOffset>
              </wp:positionH>
              <wp:positionV relativeFrom="page">
                <wp:posOffset>810985</wp:posOffset>
              </wp:positionV>
              <wp:extent cx="3023870" cy="37020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870" cy="370205"/>
                      </a:xfrm>
                      <a:prstGeom prst="rect">
                        <a:avLst/>
                      </a:prstGeom>
                    </wps:spPr>
                    <wps:txbx>
                      <w:txbxContent>
                        <w:p w14:paraId="1D64019A"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p w14:paraId="209E25D9" w14:textId="77777777" w:rsidR="00AC6F3C" w:rsidRDefault="00570E88">
                          <w:pPr>
                            <w:spacing w:before="1"/>
                            <w:ind w:left="20"/>
                          </w:pPr>
                          <w:r>
                            <w:t>Consolidated</w:t>
                          </w:r>
                          <w:r>
                            <w:rPr>
                              <w:spacing w:val="-10"/>
                            </w:rPr>
                            <w:t xml:space="preserve"> </w:t>
                          </w:r>
                          <w:r>
                            <w:t>Financial</w:t>
                          </w:r>
                          <w:r>
                            <w:rPr>
                              <w:spacing w:val="-10"/>
                            </w:rPr>
                            <w:t xml:space="preserve"> </w:t>
                          </w:r>
                          <w:r>
                            <w:rPr>
                              <w:spacing w:val="-2"/>
                            </w:rPr>
                            <w:t>Report</w:t>
                          </w:r>
                        </w:p>
                      </w:txbxContent>
                    </wps:txbx>
                    <wps:bodyPr wrap="square" lIns="0" tIns="0" rIns="0" bIns="0" rtlCol="0">
                      <a:noAutofit/>
                    </wps:bodyPr>
                  </wps:wsp>
                </a:graphicData>
              </a:graphic>
            </wp:anchor>
          </w:drawing>
        </mc:Choice>
        <mc:Fallback>
          <w:pict>
            <v:shapetype w14:anchorId="41994787" id="_x0000_t202" coordsize="21600,21600" o:spt="202" path="m,l,21600r21600,l21600,xe">
              <v:stroke joinstyle="miter"/>
              <v:path gradientshapeok="t" o:connecttype="rect"/>
            </v:shapetype>
            <v:shape id="Textbox 726" o:spid="_x0000_s1153" type="#_x0000_t202" style="position:absolute;margin-left:69.9pt;margin-top:63.85pt;width:238.1pt;height:29.15pt;z-index:-304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" filled="f" stroked="f">
              <v:textbox inset="0,0,0,0">
                <w:txbxContent>
                  <w:p w14:paraId="1D64019A"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p w14:paraId="209E25D9" w14:textId="77777777" w:rsidR="00AC6F3C" w:rsidRDefault="00570E88">
                    <w:pPr>
                      <w:spacing w:before="1"/>
                      <w:ind w:left="20"/>
                    </w:pPr>
                    <w:r>
                      <w:t>Consolidated</w:t>
                    </w:r>
                    <w:r>
                      <w:rPr>
                        <w:spacing w:val="-10"/>
                      </w:rPr>
                      <w:t xml:space="preserve"> </w:t>
                    </w:r>
                    <w:r>
                      <w:t>Financial</w:t>
                    </w:r>
                    <w:r>
                      <w:rPr>
                        <w:spacing w:val="-10"/>
                      </w:rPr>
                      <w:t xml:space="preserve"> </w:t>
                    </w:r>
                    <w:r>
                      <w:rPr>
                        <w:spacing w:val="-2"/>
                      </w:rPr>
                      <w:t>Report</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ED36" w14:textId="77777777" w:rsidR="00AC6F3C" w:rsidRDefault="00570E88">
    <w:pPr>
      <w:pStyle w:val="BodyText"/>
      <w:spacing w:line="14" w:lineRule="auto"/>
    </w:pPr>
    <w:r>
      <w:rPr>
        <w:noProof/>
      </w:rPr>
      <mc:AlternateContent>
        <mc:Choice Requires="wps">
          <w:drawing>
            <wp:anchor distT="0" distB="0" distL="0" distR="0" simplePos="0" relativeHeight="472899072" behindDoc="1" locked="0" layoutInCell="1" allowOverlap="1" wp14:anchorId="2B4E6BD4" wp14:editId="7A8B78AE">
              <wp:simplePos x="0" y="0"/>
              <wp:positionH relativeFrom="page">
                <wp:posOffset>887916</wp:posOffset>
              </wp:positionH>
              <wp:positionV relativeFrom="page">
                <wp:posOffset>810985</wp:posOffset>
              </wp:positionV>
              <wp:extent cx="3023870" cy="20955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870" cy="209550"/>
                      </a:xfrm>
                      <a:prstGeom prst="rect">
                        <a:avLst/>
                      </a:prstGeom>
                    </wps:spPr>
                    <wps:txbx>
                      <w:txbxContent>
                        <w:p w14:paraId="43877AE1"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txbxContent>
                    </wps:txbx>
                    <wps:bodyPr wrap="square" lIns="0" tIns="0" rIns="0" bIns="0" rtlCol="0">
                      <a:noAutofit/>
                    </wps:bodyPr>
                  </wps:wsp>
                </a:graphicData>
              </a:graphic>
            </wp:anchor>
          </w:drawing>
        </mc:Choice>
        <mc:Fallback>
          <w:pict>
            <v:shapetype w14:anchorId="2B4E6BD4" id="_x0000_t202" coordsize="21600,21600" o:spt="202" path="m,l,21600r21600,l21600,xe">
              <v:stroke joinstyle="miter"/>
              <v:path gradientshapeok="t" o:connecttype="rect"/>
            </v:shapetype>
            <v:shape id="Textbox 733" o:spid="_x0000_s1155" type="#_x0000_t202" style="position:absolute;margin-left:69.9pt;margin-top:63.85pt;width:238.1pt;height:16.5pt;z-index:-304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" filled="f" stroked="f">
              <v:textbox inset="0,0,0,0">
                <w:txbxContent>
                  <w:p w14:paraId="43877AE1"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1560" w14:textId="77777777" w:rsidR="00AC6F3C" w:rsidRDefault="00570E88">
    <w:pPr>
      <w:pStyle w:val="BodyText"/>
      <w:spacing w:line="14" w:lineRule="auto"/>
    </w:pPr>
    <w:r>
      <w:rPr>
        <w:noProof/>
      </w:rPr>
      <mc:AlternateContent>
        <mc:Choice Requires="wps">
          <w:drawing>
            <wp:anchor distT="0" distB="0" distL="0" distR="0" simplePos="0" relativeHeight="472900096" behindDoc="1" locked="0" layoutInCell="1" allowOverlap="1" wp14:anchorId="512C0AC2" wp14:editId="21A588EC">
              <wp:simplePos x="0" y="0"/>
              <wp:positionH relativeFrom="page">
                <wp:posOffset>882330</wp:posOffset>
              </wp:positionH>
              <wp:positionV relativeFrom="page">
                <wp:posOffset>1277407</wp:posOffset>
              </wp:positionV>
              <wp:extent cx="5437505" cy="635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6350"/>
                      </a:xfrm>
                      <a:custGeom>
                        <a:avLst/>
                        <a:gdLst/>
                        <a:ahLst/>
                        <a:cxnLst/>
                        <a:rect l="l" t="t" r="r" b="b"/>
                        <a:pathLst>
                          <a:path w="5437505" h="6350">
                            <a:moveTo>
                              <a:pt x="5437226" y="6094"/>
                            </a:moveTo>
                            <a:lnTo>
                              <a:pt x="0" y="6094"/>
                            </a:lnTo>
                            <a:lnTo>
                              <a:pt x="0" y="0"/>
                            </a:lnTo>
                            <a:lnTo>
                              <a:pt x="5437226" y="0"/>
                            </a:lnTo>
                            <a:lnTo>
                              <a:pt x="5437226" y="60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3FB95" id="Graphic 739" o:spid="_x0000_s1026" style="position:absolute;margin-left:69.45pt;margin-top:100.6pt;width:428.15pt;height:.5pt;z-index:-30416384;visibility:visible;mso-wrap-style:square;mso-wrap-distance-left:0;mso-wrap-distance-top:0;mso-wrap-distance-right:0;mso-wrap-distance-bottom:0;mso-position-horizontal:absolute;mso-position-horizontal-relative:page;mso-position-vertical:absolute;mso-position-vertical-relative:page;v-text-anchor:top" coordsize="5437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" path="m5437226,6094l,6094,,,5437226,r,6094xe" fillcolor="black" stroked="f">
              <v:path arrowok="t"/>
              <w10:wrap anchorx="page" anchory="page"/>
            </v:shape>
          </w:pict>
        </mc:Fallback>
      </mc:AlternateContent>
    </w:r>
    <w:r>
      <w:rPr>
        <w:noProof/>
      </w:rPr>
      <mc:AlternateContent>
        <mc:Choice Requires="wps">
          <w:drawing>
            <wp:anchor distT="0" distB="0" distL="0" distR="0" simplePos="0" relativeHeight="472900608" behindDoc="1" locked="0" layoutInCell="1" allowOverlap="1" wp14:anchorId="66829468" wp14:editId="3A844F58">
              <wp:simplePos x="0" y="0"/>
              <wp:positionH relativeFrom="page">
                <wp:posOffset>887916</wp:posOffset>
              </wp:positionH>
              <wp:positionV relativeFrom="page">
                <wp:posOffset>766775</wp:posOffset>
              </wp:positionV>
              <wp:extent cx="4182745" cy="37020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745" cy="370205"/>
                      </a:xfrm>
                      <a:prstGeom prst="rect">
                        <a:avLst/>
                      </a:prstGeom>
                    </wps:spPr>
                    <wps:txbx>
                      <w:txbxContent>
                        <w:p w14:paraId="6CABDA94"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p w14:paraId="17ED4A51"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wps:txbx>
                    <wps:bodyPr wrap="square" lIns="0" tIns="0" rIns="0" bIns="0" rtlCol="0">
                      <a:noAutofit/>
                    </wps:bodyPr>
                  </wps:wsp>
                </a:graphicData>
              </a:graphic>
            </wp:anchor>
          </w:drawing>
        </mc:Choice>
        <mc:Fallback>
          <w:pict>
            <v:shapetype w14:anchorId="66829468" id="_x0000_t202" coordsize="21600,21600" o:spt="202" path="m,l,21600r21600,l21600,xe">
              <v:stroke joinstyle="miter"/>
              <v:path gradientshapeok="t" o:connecttype="rect"/>
            </v:shapetype>
            <v:shape id="Textbox 740" o:spid="_x0000_s1157" type="#_x0000_t202" style="position:absolute;margin-left:69.9pt;margin-top:60.4pt;width:329.35pt;height:29.15pt;z-index:-304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" filled="f" stroked="f">
              <v:textbox inset="0,0,0,0">
                <w:txbxContent>
                  <w:p w14:paraId="6CABDA94" w14:textId="77777777" w:rsidR="00AC6F3C" w:rsidRDefault="00570E88">
                    <w:pPr>
                      <w:spacing w:before="10"/>
                      <w:ind w:left="20"/>
                      <w:rPr>
                        <w:b/>
                        <w:sz w:val="26"/>
                      </w:rPr>
                    </w:pPr>
                    <w:r>
                      <w:rPr>
                        <w:b/>
                        <w:sz w:val="26"/>
                      </w:rPr>
                      <w:t>Queensland</w:t>
                    </w:r>
                    <w:r>
                      <w:rPr>
                        <w:b/>
                        <w:spacing w:val="-12"/>
                        <w:sz w:val="26"/>
                      </w:rPr>
                      <w:t xml:space="preserve"> </w:t>
                    </w:r>
                    <w:r>
                      <w:rPr>
                        <w:b/>
                        <w:sz w:val="26"/>
                      </w:rPr>
                      <w:t>Law</w:t>
                    </w:r>
                    <w:r>
                      <w:rPr>
                        <w:b/>
                        <w:spacing w:val="-11"/>
                        <w:sz w:val="26"/>
                      </w:rPr>
                      <w:t xml:space="preserve"> </w:t>
                    </w:r>
                    <w:r>
                      <w:rPr>
                        <w:b/>
                        <w:sz w:val="26"/>
                      </w:rPr>
                      <w:t>Society</w:t>
                    </w:r>
                    <w:r>
                      <w:rPr>
                        <w:b/>
                        <w:spacing w:val="-12"/>
                        <w:sz w:val="26"/>
                      </w:rPr>
                      <w:t xml:space="preserve"> </w:t>
                    </w:r>
                    <w:r>
                      <w:rPr>
                        <w:b/>
                        <w:spacing w:val="-2"/>
                        <w:sz w:val="26"/>
                      </w:rPr>
                      <w:t>Incorporated</w:t>
                    </w:r>
                  </w:p>
                  <w:p w14:paraId="17ED4A51" w14:textId="77777777" w:rsidR="00AC6F3C" w:rsidRDefault="00570E88">
                    <w:pPr>
                      <w:spacing w:before="1"/>
                      <w:ind w:left="20"/>
                    </w:pPr>
                    <w:r>
                      <w:t>Notes</w:t>
                    </w:r>
                    <w:r>
                      <w:rPr>
                        <w:spacing w:val="-7"/>
                      </w:rPr>
                      <w:t xml:space="preserve"> </w:t>
                    </w:r>
                    <w:r>
                      <w:t>to</w:t>
                    </w:r>
                    <w:r>
                      <w:rPr>
                        <w:spacing w:val="-5"/>
                      </w:rPr>
                      <w:t xml:space="preserve"> </w:t>
                    </w:r>
                    <w:r>
                      <w:t>the</w:t>
                    </w:r>
                    <w:r>
                      <w:rPr>
                        <w:spacing w:val="-3"/>
                      </w:rPr>
                      <w:t xml:space="preserve"> </w:t>
                    </w:r>
                    <w:r>
                      <w:t>Financial</w:t>
                    </w:r>
                    <w:r>
                      <w:rPr>
                        <w:spacing w:val="-3"/>
                      </w:rPr>
                      <w:t xml:space="preserve"> </w:t>
                    </w:r>
                    <w:r>
                      <w:t>Statements</w:t>
                    </w:r>
                    <w:r>
                      <w:rPr>
                        <w:spacing w:val="-4"/>
                      </w:rPr>
                      <w:t xml:space="preserve"> </w:t>
                    </w:r>
                    <w:r>
                      <w:t>for</w:t>
                    </w:r>
                    <w:r>
                      <w:rPr>
                        <w:spacing w:val="-6"/>
                      </w:rPr>
                      <w:t xml:space="preserve"> </w:t>
                    </w:r>
                    <w:r>
                      <w:t>the</w:t>
                    </w:r>
                    <w:r>
                      <w:rPr>
                        <w:spacing w:val="-3"/>
                      </w:rPr>
                      <w:t xml:space="preserve"> </w:t>
                    </w:r>
                    <w:r>
                      <w:t>year</w:t>
                    </w:r>
                    <w:r>
                      <w:rPr>
                        <w:spacing w:val="-1"/>
                      </w:rPr>
                      <w:t xml:space="preserve"> </w:t>
                    </w:r>
                    <w:r>
                      <w:t>ended</w:t>
                    </w:r>
                    <w:r>
                      <w:rPr>
                        <w:spacing w:val="-3"/>
                      </w:rPr>
                      <w:t xml:space="preserve"> </w:t>
                    </w:r>
                    <w:r>
                      <w:t>30</w:t>
                    </w:r>
                    <w:r>
                      <w:rPr>
                        <w:spacing w:val="-3"/>
                      </w:rPr>
                      <w:t xml:space="preserve"> </w:t>
                    </w:r>
                    <w:r>
                      <w:t>June</w:t>
                    </w:r>
                    <w:r>
                      <w:rPr>
                        <w:spacing w:val="-4"/>
                      </w:rPr>
                      <w:t xml:space="preserve"> 2023</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54F9" w14:textId="77777777" w:rsidR="00AC6F3C" w:rsidRDefault="00AC6F3C">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202" w14:textId="77777777" w:rsidR="00AC6F3C" w:rsidRDefault="00570E88">
    <w:pPr>
      <w:pStyle w:val="BodyText"/>
      <w:spacing w:line="14" w:lineRule="auto"/>
    </w:pPr>
    <w:r>
      <w:rPr>
        <w:noProof/>
      </w:rPr>
      <w:drawing>
        <wp:anchor distT="0" distB="0" distL="0" distR="0" simplePos="0" relativeHeight="472902144" behindDoc="1" locked="0" layoutInCell="1" allowOverlap="1" wp14:anchorId="3A3F02CD" wp14:editId="1E5B4532">
          <wp:simplePos x="0" y="0"/>
          <wp:positionH relativeFrom="page">
            <wp:posOffset>803610</wp:posOffset>
          </wp:positionH>
          <wp:positionV relativeFrom="page">
            <wp:posOffset>967849</wp:posOffset>
          </wp:positionV>
          <wp:extent cx="1634886" cy="599776"/>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 cstate="print"/>
                  <a:stretch>
                    <a:fillRect/>
                  </a:stretch>
                </pic:blipFill>
                <pic:spPr>
                  <a:xfrm>
                    <a:off x="0" y="0"/>
                    <a:ext cx="1634886" cy="599776"/>
                  </a:xfrm>
                  <a:prstGeom prst="rect">
                    <a:avLst/>
                  </a:prstGeom>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9798" w14:textId="77777777" w:rsidR="00AC6F3C" w:rsidRDefault="00AC6F3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89"/>
    <w:multiLevelType w:val="hybridMultilevel"/>
    <w:tmpl w:val="40520500"/>
    <w:lvl w:ilvl="0" w:tplc="222EA2C6">
      <w:start w:val="1"/>
      <w:numFmt w:val="decimal"/>
      <w:lvlText w:val="%1."/>
      <w:lvlJc w:val="left"/>
      <w:pPr>
        <w:ind w:left="537" w:hanging="341"/>
        <w:jc w:val="left"/>
      </w:pPr>
      <w:rPr>
        <w:rFonts w:ascii="Arial" w:eastAsia="Arial" w:hAnsi="Arial" w:cs="Arial" w:hint="default"/>
        <w:b w:val="0"/>
        <w:bCs w:val="0"/>
        <w:i w:val="0"/>
        <w:iCs w:val="0"/>
        <w:spacing w:val="-2"/>
        <w:w w:val="98"/>
        <w:sz w:val="20"/>
        <w:szCs w:val="20"/>
        <w:lang w:val="en-US" w:eastAsia="en-US" w:bidi="ar-SA"/>
      </w:rPr>
    </w:lvl>
    <w:lvl w:ilvl="1" w:tplc="EE3613C4">
      <w:start w:val="2"/>
      <w:numFmt w:val="lowerLetter"/>
      <w:lvlText w:val="%2)"/>
      <w:lvlJc w:val="left"/>
      <w:pPr>
        <w:ind w:left="878" w:hanging="341"/>
        <w:jc w:val="left"/>
      </w:pPr>
      <w:rPr>
        <w:rFonts w:ascii="Arial" w:eastAsia="Arial" w:hAnsi="Arial" w:cs="Arial" w:hint="default"/>
        <w:b w:val="0"/>
        <w:bCs w:val="0"/>
        <w:i w:val="0"/>
        <w:iCs w:val="0"/>
        <w:spacing w:val="0"/>
        <w:w w:val="100"/>
        <w:sz w:val="20"/>
        <w:szCs w:val="20"/>
        <w:lang w:val="en-US" w:eastAsia="en-US" w:bidi="ar-SA"/>
      </w:rPr>
    </w:lvl>
    <w:lvl w:ilvl="2" w:tplc="A236A178">
      <w:numFmt w:val="bullet"/>
      <w:lvlText w:val="•"/>
      <w:lvlJc w:val="left"/>
      <w:pPr>
        <w:ind w:left="1048" w:hanging="170"/>
      </w:pPr>
      <w:rPr>
        <w:rFonts w:ascii="Arial" w:eastAsia="Arial" w:hAnsi="Arial" w:cs="Arial" w:hint="default"/>
        <w:b w:val="0"/>
        <w:bCs w:val="0"/>
        <w:i w:val="0"/>
        <w:iCs w:val="0"/>
        <w:spacing w:val="0"/>
        <w:w w:val="100"/>
        <w:sz w:val="20"/>
        <w:szCs w:val="20"/>
        <w:lang w:val="en-US" w:eastAsia="en-US" w:bidi="ar-SA"/>
      </w:rPr>
    </w:lvl>
    <w:lvl w:ilvl="3" w:tplc="EF7E53E8">
      <w:numFmt w:val="bullet"/>
      <w:lvlText w:val="•"/>
      <w:lvlJc w:val="left"/>
      <w:pPr>
        <w:ind w:left="1274" w:hanging="170"/>
      </w:pPr>
      <w:rPr>
        <w:rFonts w:hint="default"/>
        <w:lang w:val="en-US" w:eastAsia="en-US" w:bidi="ar-SA"/>
      </w:rPr>
    </w:lvl>
    <w:lvl w:ilvl="4" w:tplc="75607F08">
      <w:numFmt w:val="bullet"/>
      <w:lvlText w:val="•"/>
      <w:lvlJc w:val="left"/>
      <w:pPr>
        <w:ind w:left="1509" w:hanging="170"/>
      </w:pPr>
      <w:rPr>
        <w:rFonts w:hint="default"/>
        <w:lang w:val="en-US" w:eastAsia="en-US" w:bidi="ar-SA"/>
      </w:rPr>
    </w:lvl>
    <w:lvl w:ilvl="5" w:tplc="E54AEF84">
      <w:numFmt w:val="bullet"/>
      <w:lvlText w:val="•"/>
      <w:lvlJc w:val="left"/>
      <w:pPr>
        <w:ind w:left="1744" w:hanging="170"/>
      </w:pPr>
      <w:rPr>
        <w:rFonts w:hint="default"/>
        <w:lang w:val="en-US" w:eastAsia="en-US" w:bidi="ar-SA"/>
      </w:rPr>
    </w:lvl>
    <w:lvl w:ilvl="6" w:tplc="2814FFD0">
      <w:numFmt w:val="bullet"/>
      <w:lvlText w:val="•"/>
      <w:lvlJc w:val="left"/>
      <w:pPr>
        <w:ind w:left="1979" w:hanging="170"/>
      </w:pPr>
      <w:rPr>
        <w:rFonts w:hint="default"/>
        <w:lang w:val="en-US" w:eastAsia="en-US" w:bidi="ar-SA"/>
      </w:rPr>
    </w:lvl>
    <w:lvl w:ilvl="7" w:tplc="8B6AE3A8">
      <w:numFmt w:val="bullet"/>
      <w:lvlText w:val="•"/>
      <w:lvlJc w:val="left"/>
      <w:pPr>
        <w:ind w:left="2214" w:hanging="170"/>
      </w:pPr>
      <w:rPr>
        <w:rFonts w:hint="default"/>
        <w:lang w:val="en-US" w:eastAsia="en-US" w:bidi="ar-SA"/>
      </w:rPr>
    </w:lvl>
    <w:lvl w:ilvl="8" w:tplc="51D82E2E">
      <w:numFmt w:val="bullet"/>
      <w:lvlText w:val="•"/>
      <w:lvlJc w:val="left"/>
      <w:pPr>
        <w:ind w:left="2449" w:hanging="170"/>
      </w:pPr>
      <w:rPr>
        <w:rFonts w:hint="default"/>
        <w:lang w:val="en-US" w:eastAsia="en-US" w:bidi="ar-SA"/>
      </w:rPr>
    </w:lvl>
  </w:abstractNum>
  <w:abstractNum w:abstractNumId="1" w15:restartNumberingAfterBreak="0">
    <w:nsid w:val="01427C6B"/>
    <w:multiLevelType w:val="hybridMultilevel"/>
    <w:tmpl w:val="E4C0166C"/>
    <w:lvl w:ilvl="0" w:tplc="7B5AA762">
      <w:numFmt w:val="bullet"/>
      <w:lvlText w:val=""/>
      <w:lvlJc w:val="left"/>
      <w:pPr>
        <w:ind w:left="1699" w:hanging="360"/>
      </w:pPr>
      <w:rPr>
        <w:rFonts w:ascii="Symbol" w:eastAsia="Symbol" w:hAnsi="Symbol" w:cs="Symbol" w:hint="default"/>
        <w:b w:val="0"/>
        <w:bCs w:val="0"/>
        <w:i w:val="0"/>
        <w:iCs w:val="0"/>
        <w:spacing w:val="0"/>
        <w:w w:val="100"/>
        <w:sz w:val="18"/>
        <w:szCs w:val="18"/>
        <w:lang w:val="en-US" w:eastAsia="en-US" w:bidi="ar-SA"/>
      </w:rPr>
    </w:lvl>
    <w:lvl w:ilvl="1" w:tplc="0A84B7A0">
      <w:numFmt w:val="bullet"/>
      <w:lvlText w:val="•"/>
      <w:lvlJc w:val="left"/>
      <w:pPr>
        <w:ind w:left="2558" w:hanging="360"/>
      </w:pPr>
      <w:rPr>
        <w:rFonts w:hint="default"/>
        <w:lang w:val="en-US" w:eastAsia="en-US" w:bidi="ar-SA"/>
      </w:rPr>
    </w:lvl>
    <w:lvl w:ilvl="2" w:tplc="13D6598C">
      <w:numFmt w:val="bullet"/>
      <w:lvlText w:val="•"/>
      <w:lvlJc w:val="left"/>
      <w:pPr>
        <w:ind w:left="3417" w:hanging="360"/>
      </w:pPr>
      <w:rPr>
        <w:rFonts w:hint="default"/>
        <w:lang w:val="en-US" w:eastAsia="en-US" w:bidi="ar-SA"/>
      </w:rPr>
    </w:lvl>
    <w:lvl w:ilvl="3" w:tplc="EB98C892">
      <w:numFmt w:val="bullet"/>
      <w:lvlText w:val="•"/>
      <w:lvlJc w:val="left"/>
      <w:pPr>
        <w:ind w:left="4275" w:hanging="360"/>
      </w:pPr>
      <w:rPr>
        <w:rFonts w:hint="default"/>
        <w:lang w:val="en-US" w:eastAsia="en-US" w:bidi="ar-SA"/>
      </w:rPr>
    </w:lvl>
    <w:lvl w:ilvl="4" w:tplc="1B8E6146">
      <w:numFmt w:val="bullet"/>
      <w:lvlText w:val="•"/>
      <w:lvlJc w:val="left"/>
      <w:pPr>
        <w:ind w:left="5134" w:hanging="360"/>
      </w:pPr>
      <w:rPr>
        <w:rFonts w:hint="default"/>
        <w:lang w:val="en-US" w:eastAsia="en-US" w:bidi="ar-SA"/>
      </w:rPr>
    </w:lvl>
    <w:lvl w:ilvl="5" w:tplc="582E5882">
      <w:numFmt w:val="bullet"/>
      <w:lvlText w:val="•"/>
      <w:lvlJc w:val="left"/>
      <w:pPr>
        <w:ind w:left="5992" w:hanging="360"/>
      </w:pPr>
      <w:rPr>
        <w:rFonts w:hint="default"/>
        <w:lang w:val="en-US" w:eastAsia="en-US" w:bidi="ar-SA"/>
      </w:rPr>
    </w:lvl>
    <w:lvl w:ilvl="6" w:tplc="F732EC74">
      <w:numFmt w:val="bullet"/>
      <w:lvlText w:val="•"/>
      <w:lvlJc w:val="left"/>
      <w:pPr>
        <w:ind w:left="6851" w:hanging="360"/>
      </w:pPr>
      <w:rPr>
        <w:rFonts w:hint="default"/>
        <w:lang w:val="en-US" w:eastAsia="en-US" w:bidi="ar-SA"/>
      </w:rPr>
    </w:lvl>
    <w:lvl w:ilvl="7" w:tplc="B8121862">
      <w:numFmt w:val="bullet"/>
      <w:lvlText w:val="•"/>
      <w:lvlJc w:val="left"/>
      <w:pPr>
        <w:ind w:left="7709" w:hanging="360"/>
      </w:pPr>
      <w:rPr>
        <w:rFonts w:hint="default"/>
        <w:lang w:val="en-US" w:eastAsia="en-US" w:bidi="ar-SA"/>
      </w:rPr>
    </w:lvl>
    <w:lvl w:ilvl="8" w:tplc="E08840DA">
      <w:numFmt w:val="bullet"/>
      <w:lvlText w:val="•"/>
      <w:lvlJc w:val="left"/>
      <w:pPr>
        <w:ind w:left="8568" w:hanging="360"/>
      </w:pPr>
      <w:rPr>
        <w:rFonts w:hint="default"/>
        <w:lang w:val="en-US" w:eastAsia="en-US" w:bidi="ar-SA"/>
      </w:rPr>
    </w:lvl>
  </w:abstractNum>
  <w:abstractNum w:abstractNumId="2" w15:restartNumberingAfterBreak="0">
    <w:nsid w:val="02F9479C"/>
    <w:multiLevelType w:val="hybridMultilevel"/>
    <w:tmpl w:val="C2B8975A"/>
    <w:lvl w:ilvl="0" w:tplc="D9E248EE">
      <w:numFmt w:val="bullet"/>
      <w:lvlText w:val=""/>
      <w:lvlJc w:val="left"/>
      <w:pPr>
        <w:ind w:left="1318" w:hanging="360"/>
      </w:pPr>
      <w:rPr>
        <w:rFonts w:ascii="Symbol" w:eastAsia="Symbol" w:hAnsi="Symbol" w:cs="Symbol" w:hint="default"/>
        <w:b w:val="0"/>
        <w:bCs w:val="0"/>
        <w:i w:val="0"/>
        <w:iCs w:val="0"/>
        <w:spacing w:val="0"/>
        <w:w w:val="100"/>
        <w:sz w:val="18"/>
        <w:szCs w:val="18"/>
        <w:lang w:val="en-US" w:eastAsia="en-US" w:bidi="ar-SA"/>
      </w:rPr>
    </w:lvl>
    <w:lvl w:ilvl="1" w:tplc="37D2DD82">
      <w:numFmt w:val="bullet"/>
      <w:lvlText w:val="•"/>
      <w:lvlJc w:val="left"/>
      <w:pPr>
        <w:ind w:left="2216" w:hanging="360"/>
      </w:pPr>
      <w:rPr>
        <w:rFonts w:hint="default"/>
        <w:lang w:val="en-US" w:eastAsia="en-US" w:bidi="ar-SA"/>
      </w:rPr>
    </w:lvl>
    <w:lvl w:ilvl="2" w:tplc="5226D066">
      <w:numFmt w:val="bullet"/>
      <w:lvlText w:val="•"/>
      <w:lvlJc w:val="left"/>
      <w:pPr>
        <w:ind w:left="3113" w:hanging="360"/>
      </w:pPr>
      <w:rPr>
        <w:rFonts w:hint="default"/>
        <w:lang w:val="en-US" w:eastAsia="en-US" w:bidi="ar-SA"/>
      </w:rPr>
    </w:lvl>
    <w:lvl w:ilvl="3" w:tplc="5CEE8A34">
      <w:numFmt w:val="bullet"/>
      <w:lvlText w:val="•"/>
      <w:lvlJc w:val="left"/>
      <w:pPr>
        <w:ind w:left="4009" w:hanging="360"/>
      </w:pPr>
      <w:rPr>
        <w:rFonts w:hint="default"/>
        <w:lang w:val="en-US" w:eastAsia="en-US" w:bidi="ar-SA"/>
      </w:rPr>
    </w:lvl>
    <w:lvl w:ilvl="4" w:tplc="74E864BC">
      <w:numFmt w:val="bullet"/>
      <w:lvlText w:val="•"/>
      <w:lvlJc w:val="left"/>
      <w:pPr>
        <w:ind w:left="4906" w:hanging="360"/>
      </w:pPr>
      <w:rPr>
        <w:rFonts w:hint="default"/>
        <w:lang w:val="en-US" w:eastAsia="en-US" w:bidi="ar-SA"/>
      </w:rPr>
    </w:lvl>
    <w:lvl w:ilvl="5" w:tplc="F72AB4A6">
      <w:numFmt w:val="bullet"/>
      <w:lvlText w:val="•"/>
      <w:lvlJc w:val="left"/>
      <w:pPr>
        <w:ind w:left="5802" w:hanging="360"/>
      </w:pPr>
      <w:rPr>
        <w:rFonts w:hint="default"/>
        <w:lang w:val="en-US" w:eastAsia="en-US" w:bidi="ar-SA"/>
      </w:rPr>
    </w:lvl>
    <w:lvl w:ilvl="6" w:tplc="C978A4C0">
      <w:numFmt w:val="bullet"/>
      <w:lvlText w:val="•"/>
      <w:lvlJc w:val="left"/>
      <w:pPr>
        <w:ind w:left="6699" w:hanging="360"/>
      </w:pPr>
      <w:rPr>
        <w:rFonts w:hint="default"/>
        <w:lang w:val="en-US" w:eastAsia="en-US" w:bidi="ar-SA"/>
      </w:rPr>
    </w:lvl>
    <w:lvl w:ilvl="7" w:tplc="F4B09038">
      <w:numFmt w:val="bullet"/>
      <w:lvlText w:val="•"/>
      <w:lvlJc w:val="left"/>
      <w:pPr>
        <w:ind w:left="7595" w:hanging="360"/>
      </w:pPr>
      <w:rPr>
        <w:rFonts w:hint="default"/>
        <w:lang w:val="en-US" w:eastAsia="en-US" w:bidi="ar-SA"/>
      </w:rPr>
    </w:lvl>
    <w:lvl w:ilvl="8" w:tplc="4A8AF5FA">
      <w:numFmt w:val="bullet"/>
      <w:lvlText w:val="•"/>
      <w:lvlJc w:val="left"/>
      <w:pPr>
        <w:ind w:left="8492" w:hanging="360"/>
      </w:pPr>
      <w:rPr>
        <w:rFonts w:hint="default"/>
        <w:lang w:val="en-US" w:eastAsia="en-US" w:bidi="ar-SA"/>
      </w:rPr>
    </w:lvl>
  </w:abstractNum>
  <w:abstractNum w:abstractNumId="3" w15:restartNumberingAfterBreak="0">
    <w:nsid w:val="03533B38"/>
    <w:multiLevelType w:val="multilevel"/>
    <w:tmpl w:val="2370C8EE"/>
    <w:lvl w:ilvl="0">
      <w:start w:val="16"/>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544" w:hanging="426"/>
      </w:pPr>
      <w:rPr>
        <w:rFonts w:hint="default"/>
        <w:lang w:val="en-US" w:eastAsia="en-US" w:bidi="ar-SA"/>
      </w:rPr>
    </w:lvl>
    <w:lvl w:ilvl="4">
      <w:numFmt w:val="bullet"/>
      <w:lvlText w:val="•"/>
      <w:lvlJc w:val="left"/>
      <w:pPr>
        <w:ind w:left="1853" w:hanging="426"/>
      </w:pPr>
      <w:rPr>
        <w:rFonts w:hint="default"/>
        <w:lang w:val="en-US" w:eastAsia="en-US" w:bidi="ar-SA"/>
      </w:rPr>
    </w:lvl>
    <w:lvl w:ilvl="5">
      <w:numFmt w:val="bullet"/>
      <w:lvlText w:val="•"/>
      <w:lvlJc w:val="left"/>
      <w:pPr>
        <w:ind w:left="2161" w:hanging="426"/>
      </w:pPr>
      <w:rPr>
        <w:rFonts w:hint="default"/>
        <w:lang w:val="en-US" w:eastAsia="en-US" w:bidi="ar-SA"/>
      </w:rPr>
    </w:lvl>
    <w:lvl w:ilvl="6">
      <w:numFmt w:val="bullet"/>
      <w:lvlText w:val="•"/>
      <w:lvlJc w:val="left"/>
      <w:pPr>
        <w:ind w:left="2469" w:hanging="426"/>
      </w:pPr>
      <w:rPr>
        <w:rFonts w:hint="default"/>
        <w:lang w:val="en-US" w:eastAsia="en-US" w:bidi="ar-SA"/>
      </w:rPr>
    </w:lvl>
    <w:lvl w:ilvl="7">
      <w:numFmt w:val="bullet"/>
      <w:lvlText w:val="•"/>
      <w:lvlJc w:val="left"/>
      <w:pPr>
        <w:ind w:left="2777" w:hanging="426"/>
      </w:pPr>
      <w:rPr>
        <w:rFonts w:hint="default"/>
        <w:lang w:val="en-US" w:eastAsia="en-US" w:bidi="ar-SA"/>
      </w:rPr>
    </w:lvl>
    <w:lvl w:ilvl="8">
      <w:numFmt w:val="bullet"/>
      <w:lvlText w:val="•"/>
      <w:lvlJc w:val="left"/>
      <w:pPr>
        <w:ind w:left="3086" w:hanging="426"/>
      </w:pPr>
      <w:rPr>
        <w:rFonts w:hint="default"/>
        <w:lang w:val="en-US" w:eastAsia="en-US" w:bidi="ar-SA"/>
      </w:rPr>
    </w:lvl>
  </w:abstractNum>
  <w:abstractNum w:abstractNumId="4" w15:restartNumberingAfterBreak="0">
    <w:nsid w:val="036566C8"/>
    <w:multiLevelType w:val="multilevel"/>
    <w:tmpl w:val="8A78831A"/>
    <w:lvl w:ilvl="0">
      <w:start w:val="16"/>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247" w:hanging="426"/>
      </w:pPr>
      <w:rPr>
        <w:rFonts w:hint="default"/>
        <w:lang w:val="en-US" w:eastAsia="en-US" w:bidi="ar-SA"/>
      </w:rPr>
    </w:lvl>
    <w:lvl w:ilvl="4">
      <w:numFmt w:val="bullet"/>
      <w:lvlText w:val="•"/>
      <w:lvlJc w:val="left"/>
      <w:pPr>
        <w:ind w:left="1457" w:hanging="426"/>
      </w:pPr>
      <w:rPr>
        <w:rFonts w:hint="default"/>
        <w:lang w:val="en-US" w:eastAsia="en-US" w:bidi="ar-SA"/>
      </w:rPr>
    </w:lvl>
    <w:lvl w:ilvl="5">
      <w:numFmt w:val="bullet"/>
      <w:lvlText w:val="•"/>
      <w:lvlJc w:val="left"/>
      <w:pPr>
        <w:ind w:left="1666" w:hanging="426"/>
      </w:pPr>
      <w:rPr>
        <w:rFonts w:hint="default"/>
        <w:lang w:val="en-US" w:eastAsia="en-US" w:bidi="ar-SA"/>
      </w:rPr>
    </w:lvl>
    <w:lvl w:ilvl="6">
      <w:numFmt w:val="bullet"/>
      <w:lvlText w:val="•"/>
      <w:lvlJc w:val="left"/>
      <w:pPr>
        <w:ind w:left="1875" w:hanging="426"/>
      </w:pPr>
      <w:rPr>
        <w:rFonts w:hint="default"/>
        <w:lang w:val="en-US" w:eastAsia="en-US" w:bidi="ar-SA"/>
      </w:rPr>
    </w:lvl>
    <w:lvl w:ilvl="7">
      <w:numFmt w:val="bullet"/>
      <w:lvlText w:val="•"/>
      <w:lvlJc w:val="left"/>
      <w:pPr>
        <w:ind w:left="2085" w:hanging="426"/>
      </w:pPr>
      <w:rPr>
        <w:rFonts w:hint="default"/>
        <w:lang w:val="en-US" w:eastAsia="en-US" w:bidi="ar-SA"/>
      </w:rPr>
    </w:lvl>
    <w:lvl w:ilvl="8">
      <w:numFmt w:val="bullet"/>
      <w:lvlText w:val="•"/>
      <w:lvlJc w:val="left"/>
      <w:pPr>
        <w:ind w:left="2294" w:hanging="426"/>
      </w:pPr>
      <w:rPr>
        <w:rFonts w:hint="default"/>
        <w:lang w:val="en-US" w:eastAsia="en-US" w:bidi="ar-SA"/>
      </w:rPr>
    </w:lvl>
  </w:abstractNum>
  <w:abstractNum w:abstractNumId="5" w15:restartNumberingAfterBreak="0">
    <w:nsid w:val="04363083"/>
    <w:multiLevelType w:val="hybridMultilevel"/>
    <w:tmpl w:val="88F8042E"/>
    <w:lvl w:ilvl="0" w:tplc="9B52FFF0">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353E0560">
      <w:numFmt w:val="bullet"/>
      <w:lvlText w:val="•"/>
      <w:lvlJc w:val="left"/>
      <w:pPr>
        <w:ind w:left="2162" w:hanging="454"/>
      </w:pPr>
      <w:rPr>
        <w:rFonts w:hint="default"/>
        <w:lang w:val="en-US" w:eastAsia="en-US" w:bidi="ar-SA"/>
      </w:rPr>
    </w:lvl>
    <w:lvl w:ilvl="2" w:tplc="7F44EDB8">
      <w:numFmt w:val="bullet"/>
      <w:lvlText w:val="•"/>
      <w:lvlJc w:val="left"/>
      <w:pPr>
        <w:ind w:left="3065" w:hanging="454"/>
      </w:pPr>
      <w:rPr>
        <w:rFonts w:hint="default"/>
        <w:lang w:val="en-US" w:eastAsia="en-US" w:bidi="ar-SA"/>
      </w:rPr>
    </w:lvl>
    <w:lvl w:ilvl="3" w:tplc="60C01CC2">
      <w:numFmt w:val="bullet"/>
      <w:lvlText w:val="•"/>
      <w:lvlJc w:val="left"/>
      <w:pPr>
        <w:ind w:left="3967" w:hanging="454"/>
      </w:pPr>
      <w:rPr>
        <w:rFonts w:hint="default"/>
        <w:lang w:val="en-US" w:eastAsia="en-US" w:bidi="ar-SA"/>
      </w:rPr>
    </w:lvl>
    <w:lvl w:ilvl="4" w:tplc="9CB40CAC">
      <w:numFmt w:val="bullet"/>
      <w:lvlText w:val="•"/>
      <w:lvlJc w:val="left"/>
      <w:pPr>
        <w:ind w:left="4870" w:hanging="454"/>
      </w:pPr>
      <w:rPr>
        <w:rFonts w:hint="default"/>
        <w:lang w:val="en-US" w:eastAsia="en-US" w:bidi="ar-SA"/>
      </w:rPr>
    </w:lvl>
    <w:lvl w:ilvl="5" w:tplc="9F201BD6">
      <w:numFmt w:val="bullet"/>
      <w:lvlText w:val="•"/>
      <w:lvlJc w:val="left"/>
      <w:pPr>
        <w:ind w:left="5772" w:hanging="454"/>
      </w:pPr>
      <w:rPr>
        <w:rFonts w:hint="default"/>
        <w:lang w:val="en-US" w:eastAsia="en-US" w:bidi="ar-SA"/>
      </w:rPr>
    </w:lvl>
    <w:lvl w:ilvl="6" w:tplc="3E78FAB6">
      <w:numFmt w:val="bullet"/>
      <w:lvlText w:val="•"/>
      <w:lvlJc w:val="left"/>
      <w:pPr>
        <w:ind w:left="6675" w:hanging="454"/>
      </w:pPr>
      <w:rPr>
        <w:rFonts w:hint="default"/>
        <w:lang w:val="en-US" w:eastAsia="en-US" w:bidi="ar-SA"/>
      </w:rPr>
    </w:lvl>
    <w:lvl w:ilvl="7" w:tplc="BFE8BAC8">
      <w:numFmt w:val="bullet"/>
      <w:lvlText w:val="•"/>
      <w:lvlJc w:val="left"/>
      <w:pPr>
        <w:ind w:left="7577" w:hanging="454"/>
      </w:pPr>
      <w:rPr>
        <w:rFonts w:hint="default"/>
        <w:lang w:val="en-US" w:eastAsia="en-US" w:bidi="ar-SA"/>
      </w:rPr>
    </w:lvl>
    <w:lvl w:ilvl="8" w:tplc="1D0A7942">
      <w:numFmt w:val="bullet"/>
      <w:lvlText w:val="•"/>
      <w:lvlJc w:val="left"/>
      <w:pPr>
        <w:ind w:left="8480" w:hanging="454"/>
      </w:pPr>
      <w:rPr>
        <w:rFonts w:hint="default"/>
        <w:lang w:val="en-US" w:eastAsia="en-US" w:bidi="ar-SA"/>
      </w:rPr>
    </w:lvl>
  </w:abstractNum>
  <w:abstractNum w:abstractNumId="6" w15:restartNumberingAfterBreak="0">
    <w:nsid w:val="06AA4B79"/>
    <w:multiLevelType w:val="hybridMultilevel"/>
    <w:tmpl w:val="588EAA1E"/>
    <w:lvl w:ilvl="0" w:tplc="E506ABE2">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8CC632B4">
      <w:numFmt w:val="bullet"/>
      <w:lvlText w:val="•"/>
      <w:lvlJc w:val="left"/>
      <w:pPr>
        <w:ind w:left="2072" w:hanging="341"/>
      </w:pPr>
      <w:rPr>
        <w:rFonts w:hint="default"/>
        <w:lang w:val="en-US" w:eastAsia="en-US" w:bidi="ar-SA"/>
      </w:rPr>
    </w:lvl>
    <w:lvl w:ilvl="2" w:tplc="A2842AFC">
      <w:numFmt w:val="bullet"/>
      <w:lvlText w:val="•"/>
      <w:lvlJc w:val="left"/>
      <w:pPr>
        <w:ind w:left="2985" w:hanging="341"/>
      </w:pPr>
      <w:rPr>
        <w:rFonts w:hint="default"/>
        <w:lang w:val="en-US" w:eastAsia="en-US" w:bidi="ar-SA"/>
      </w:rPr>
    </w:lvl>
    <w:lvl w:ilvl="3" w:tplc="917E1A86">
      <w:numFmt w:val="bullet"/>
      <w:lvlText w:val="•"/>
      <w:lvlJc w:val="left"/>
      <w:pPr>
        <w:ind w:left="3897" w:hanging="341"/>
      </w:pPr>
      <w:rPr>
        <w:rFonts w:hint="default"/>
        <w:lang w:val="en-US" w:eastAsia="en-US" w:bidi="ar-SA"/>
      </w:rPr>
    </w:lvl>
    <w:lvl w:ilvl="4" w:tplc="DF44D350">
      <w:numFmt w:val="bullet"/>
      <w:lvlText w:val="•"/>
      <w:lvlJc w:val="left"/>
      <w:pPr>
        <w:ind w:left="4810" w:hanging="341"/>
      </w:pPr>
      <w:rPr>
        <w:rFonts w:hint="default"/>
        <w:lang w:val="en-US" w:eastAsia="en-US" w:bidi="ar-SA"/>
      </w:rPr>
    </w:lvl>
    <w:lvl w:ilvl="5" w:tplc="49189AD4">
      <w:numFmt w:val="bullet"/>
      <w:lvlText w:val="•"/>
      <w:lvlJc w:val="left"/>
      <w:pPr>
        <w:ind w:left="5722" w:hanging="341"/>
      </w:pPr>
      <w:rPr>
        <w:rFonts w:hint="default"/>
        <w:lang w:val="en-US" w:eastAsia="en-US" w:bidi="ar-SA"/>
      </w:rPr>
    </w:lvl>
    <w:lvl w:ilvl="6" w:tplc="421CC280">
      <w:numFmt w:val="bullet"/>
      <w:lvlText w:val="•"/>
      <w:lvlJc w:val="left"/>
      <w:pPr>
        <w:ind w:left="6635" w:hanging="341"/>
      </w:pPr>
      <w:rPr>
        <w:rFonts w:hint="default"/>
        <w:lang w:val="en-US" w:eastAsia="en-US" w:bidi="ar-SA"/>
      </w:rPr>
    </w:lvl>
    <w:lvl w:ilvl="7" w:tplc="58F88A1E">
      <w:numFmt w:val="bullet"/>
      <w:lvlText w:val="•"/>
      <w:lvlJc w:val="left"/>
      <w:pPr>
        <w:ind w:left="7547" w:hanging="341"/>
      </w:pPr>
      <w:rPr>
        <w:rFonts w:hint="default"/>
        <w:lang w:val="en-US" w:eastAsia="en-US" w:bidi="ar-SA"/>
      </w:rPr>
    </w:lvl>
    <w:lvl w:ilvl="8" w:tplc="34FC2B66">
      <w:numFmt w:val="bullet"/>
      <w:lvlText w:val="•"/>
      <w:lvlJc w:val="left"/>
      <w:pPr>
        <w:ind w:left="8460" w:hanging="341"/>
      </w:pPr>
      <w:rPr>
        <w:rFonts w:hint="default"/>
        <w:lang w:val="en-US" w:eastAsia="en-US" w:bidi="ar-SA"/>
      </w:rPr>
    </w:lvl>
  </w:abstractNum>
  <w:abstractNum w:abstractNumId="7" w15:restartNumberingAfterBreak="0">
    <w:nsid w:val="06E81A09"/>
    <w:multiLevelType w:val="hybridMultilevel"/>
    <w:tmpl w:val="06900B72"/>
    <w:lvl w:ilvl="0" w:tplc="7CCC00DE">
      <w:start w:val="1"/>
      <w:numFmt w:val="lowerLetter"/>
      <w:lvlText w:val="(%1)"/>
      <w:lvlJc w:val="left"/>
      <w:pPr>
        <w:ind w:left="1368" w:hanging="411"/>
        <w:jc w:val="left"/>
      </w:pPr>
      <w:rPr>
        <w:rFonts w:ascii="Arial" w:eastAsia="Arial" w:hAnsi="Arial" w:cs="Arial" w:hint="default"/>
        <w:b/>
        <w:bCs/>
        <w:i w:val="0"/>
        <w:iCs w:val="0"/>
        <w:spacing w:val="-1"/>
        <w:w w:val="99"/>
        <w:sz w:val="20"/>
        <w:szCs w:val="20"/>
        <w:lang w:val="en-US" w:eastAsia="en-US" w:bidi="ar-SA"/>
      </w:rPr>
    </w:lvl>
    <w:lvl w:ilvl="1" w:tplc="C308804C">
      <w:numFmt w:val="bullet"/>
      <w:lvlText w:val="•"/>
      <w:lvlJc w:val="left"/>
      <w:pPr>
        <w:ind w:left="2252" w:hanging="411"/>
      </w:pPr>
      <w:rPr>
        <w:rFonts w:hint="default"/>
        <w:lang w:val="en-US" w:eastAsia="en-US" w:bidi="ar-SA"/>
      </w:rPr>
    </w:lvl>
    <w:lvl w:ilvl="2" w:tplc="83CCC360">
      <w:numFmt w:val="bullet"/>
      <w:lvlText w:val="•"/>
      <w:lvlJc w:val="left"/>
      <w:pPr>
        <w:ind w:left="3145" w:hanging="411"/>
      </w:pPr>
      <w:rPr>
        <w:rFonts w:hint="default"/>
        <w:lang w:val="en-US" w:eastAsia="en-US" w:bidi="ar-SA"/>
      </w:rPr>
    </w:lvl>
    <w:lvl w:ilvl="3" w:tplc="AED01184">
      <w:numFmt w:val="bullet"/>
      <w:lvlText w:val="•"/>
      <w:lvlJc w:val="left"/>
      <w:pPr>
        <w:ind w:left="4037" w:hanging="411"/>
      </w:pPr>
      <w:rPr>
        <w:rFonts w:hint="default"/>
        <w:lang w:val="en-US" w:eastAsia="en-US" w:bidi="ar-SA"/>
      </w:rPr>
    </w:lvl>
    <w:lvl w:ilvl="4" w:tplc="39BC689C">
      <w:numFmt w:val="bullet"/>
      <w:lvlText w:val="•"/>
      <w:lvlJc w:val="left"/>
      <w:pPr>
        <w:ind w:left="4930" w:hanging="411"/>
      </w:pPr>
      <w:rPr>
        <w:rFonts w:hint="default"/>
        <w:lang w:val="en-US" w:eastAsia="en-US" w:bidi="ar-SA"/>
      </w:rPr>
    </w:lvl>
    <w:lvl w:ilvl="5" w:tplc="A31AB0DC">
      <w:numFmt w:val="bullet"/>
      <w:lvlText w:val="•"/>
      <w:lvlJc w:val="left"/>
      <w:pPr>
        <w:ind w:left="5822" w:hanging="411"/>
      </w:pPr>
      <w:rPr>
        <w:rFonts w:hint="default"/>
        <w:lang w:val="en-US" w:eastAsia="en-US" w:bidi="ar-SA"/>
      </w:rPr>
    </w:lvl>
    <w:lvl w:ilvl="6" w:tplc="65D864C6">
      <w:numFmt w:val="bullet"/>
      <w:lvlText w:val="•"/>
      <w:lvlJc w:val="left"/>
      <w:pPr>
        <w:ind w:left="6715" w:hanging="411"/>
      </w:pPr>
      <w:rPr>
        <w:rFonts w:hint="default"/>
        <w:lang w:val="en-US" w:eastAsia="en-US" w:bidi="ar-SA"/>
      </w:rPr>
    </w:lvl>
    <w:lvl w:ilvl="7" w:tplc="62FAAE98">
      <w:numFmt w:val="bullet"/>
      <w:lvlText w:val="•"/>
      <w:lvlJc w:val="left"/>
      <w:pPr>
        <w:ind w:left="7607" w:hanging="411"/>
      </w:pPr>
      <w:rPr>
        <w:rFonts w:hint="default"/>
        <w:lang w:val="en-US" w:eastAsia="en-US" w:bidi="ar-SA"/>
      </w:rPr>
    </w:lvl>
    <w:lvl w:ilvl="8" w:tplc="89FAB1A2">
      <w:numFmt w:val="bullet"/>
      <w:lvlText w:val="•"/>
      <w:lvlJc w:val="left"/>
      <w:pPr>
        <w:ind w:left="8500" w:hanging="411"/>
      </w:pPr>
      <w:rPr>
        <w:rFonts w:hint="default"/>
        <w:lang w:val="en-US" w:eastAsia="en-US" w:bidi="ar-SA"/>
      </w:rPr>
    </w:lvl>
  </w:abstractNum>
  <w:abstractNum w:abstractNumId="8" w15:restartNumberingAfterBreak="0">
    <w:nsid w:val="07E50F4D"/>
    <w:multiLevelType w:val="hybridMultilevel"/>
    <w:tmpl w:val="591E4620"/>
    <w:lvl w:ilvl="0" w:tplc="AF3C20FA">
      <w:numFmt w:val="bullet"/>
      <w:lvlText w:val="•"/>
      <w:lvlJc w:val="left"/>
      <w:pPr>
        <w:ind w:left="1269" w:hanging="454"/>
      </w:pPr>
      <w:rPr>
        <w:rFonts w:ascii="Arial" w:eastAsia="Arial" w:hAnsi="Arial" w:cs="Arial" w:hint="default"/>
        <w:b w:val="0"/>
        <w:bCs w:val="0"/>
        <w:i w:val="0"/>
        <w:iCs w:val="0"/>
        <w:spacing w:val="0"/>
        <w:w w:val="100"/>
        <w:sz w:val="20"/>
        <w:szCs w:val="20"/>
        <w:lang w:val="en-US" w:eastAsia="en-US" w:bidi="ar-SA"/>
      </w:rPr>
    </w:lvl>
    <w:lvl w:ilvl="1" w:tplc="8DC8D548">
      <w:numFmt w:val="bullet"/>
      <w:lvlText w:val="•"/>
      <w:lvlJc w:val="left"/>
      <w:pPr>
        <w:ind w:left="2162" w:hanging="454"/>
      </w:pPr>
      <w:rPr>
        <w:rFonts w:hint="default"/>
        <w:lang w:val="en-US" w:eastAsia="en-US" w:bidi="ar-SA"/>
      </w:rPr>
    </w:lvl>
    <w:lvl w:ilvl="2" w:tplc="D9005346">
      <w:numFmt w:val="bullet"/>
      <w:lvlText w:val="•"/>
      <w:lvlJc w:val="left"/>
      <w:pPr>
        <w:ind w:left="3065" w:hanging="454"/>
      </w:pPr>
      <w:rPr>
        <w:rFonts w:hint="default"/>
        <w:lang w:val="en-US" w:eastAsia="en-US" w:bidi="ar-SA"/>
      </w:rPr>
    </w:lvl>
    <w:lvl w:ilvl="3" w:tplc="29DC3FD0">
      <w:numFmt w:val="bullet"/>
      <w:lvlText w:val="•"/>
      <w:lvlJc w:val="left"/>
      <w:pPr>
        <w:ind w:left="3967" w:hanging="454"/>
      </w:pPr>
      <w:rPr>
        <w:rFonts w:hint="default"/>
        <w:lang w:val="en-US" w:eastAsia="en-US" w:bidi="ar-SA"/>
      </w:rPr>
    </w:lvl>
    <w:lvl w:ilvl="4" w:tplc="85C8B0FE">
      <w:numFmt w:val="bullet"/>
      <w:lvlText w:val="•"/>
      <w:lvlJc w:val="left"/>
      <w:pPr>
        <w:ind w:left="4870" w:hanging="454"/>
      </w:pPr>
      <w:rPr>
        <w:rFonts w:hint="default"/>
        <w:lang w:val="en-US" w:eastAsia="en-US" w:bidi="ar-SA"/>
      </w:rPr>
    </w:lvl>
    <w:lvl w:ilvl="5" w:tplc="898E8748">
      <w:numFmt w:val="bullet"/>
      <w:lvlText w:val="•"/>
      <w:lvlJc w:val="left"/>
      <w:pPr>
        <w:ind w:left="5772" w:hanging="454"/>
      </w:pPr>
      <w:rPr>
        <w:rFonts w:hint="default"/>
        <w:lang w:val="en-US" w:eastAsia="en-US" w:bidi="ar-SA"/>
      </w:rPr>
    </w:lvl>
    <w:lvl w:ilvl="6" w:tplc="501E0DE0">
      <w:numFmt w:val="bullet"/>
      <w:lvlText w:val="•"/>
      <w:lvlJc w:val="left"/>
      <w:pPr>
        <w:ind w:left="6675" w:hanging="454"/>
      </w:pPr>
      <w:rPr>
        <w:rFonts w:hint="default"/>
        <w:lang w:val="en-US" w:eastAsia="en-US" w:bidi="ar-SA"/>
      </w:rPr>
    </w:lvl>
    <w:lvl w:ilvl="7" w:tplc="978C4FD0">
      <w:numFmt w:val="bullet"/>
      <w:lvlText w:val="•"/>
      <w:lvlJc w:val="left"/>
      <w:pPr>
        <w:ind w:left="7577" w:hanging="454"/>
      </w:pPr>
      <w:rPr>
        <w:rFonts w:hint="default"/>
        <w:lang w:val="en-US" w:eastAsia="en-US" w:bidi="ar-SA"/>
      </w:rPr>
    </w:lvl>
    <w:lvl w:ilvl="8" w:tplc="726E5DFA">
      <w:numFmt w:val="bullet"/>
      <w:lvlText w:val="•"/>
      <w:lvlJc w:val="left"/>
      <w:pPr>
        <w:ind w:left="8480" w:hanging="454"/>
      </w:pPr>
      <w:rPr>
        <w:rFonts w:hint="default"/>
        <w:lang w:val="en-US" w:eastAsia="en-US" w:bidi="ar-SA"/>
      </w:rPr>
    </w:lvl>
  </w:abstractNum>
  <w:abstractNum w:abstractNumId="9" w15:restartNumberingAfterBreak="0">
    <w:nsid w:val="0A1C786D"/>
    <w:multiLevelType w:val="multilevel"/>
    <w:tmpl w:val="8DCC43BC"/>
    <w:lvl w:ilvl="0">
      <w:start w:val="20"/>
      <w:numFmt w:val="decimal"/>
      <w:lvlText w:val="%1"/>
      <w:lvlJc w:val="left"/>
      <w:pPr>
        <w:ind w:left="2860" w:hanging="426"/>
        <w:jc w:val="left"/>
      </w:pPr>
      <w:rPr>
        <w:rFonts w:hint="default"/>
        <w:lang w:val="en-US" w:eastAsia="en-US" w:bidi="ar-SA"/>
      </w:rPr>
    </w:lvl>
    <w:lvl w:ilvl="1">
      <w:start w:val="1"/>
      <w:numFmt w:val="decimal"/>
      <w:lvlText w:val="%1.%2"/>
      <w:lvlJc w:val="left"/>
      <w:pPr>
        <w:ind w:left="2860" w:hanging="426"/>
        <w:jc w:val="left"/>
      </w:pPr>
      <w:rPr>
        <w:rFonts w:hint="default"/>
        <w:lang w:val="en-US" w:eastAsia="en-US" w:bidi="ar-SA"/>
      </w:rPr>
    </w:lvl>
    <w:lvl w:ilvl="2">
      <w:start w:val="2"/>
      <w:numFmt w:val="decimal"/>
      <w:lvlText w:val="%1.%2.%3"/>
      <w:lvlJc w:val="left"/>
      <w:pPr>
        <w:ind w:left="2860"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3191" w:hanging="426"/>
      </w:pPr>
      <w:rPr>
        <w:rFonts w:hint="default"/>
        <w:lang w:val="en-US" w:eastAsia="en-US" w:bidi="ar-SA"/>
      </w:rPr>
    </w:lvl>
    <w:lvl w:ilvl="4">
      <w:numFmt w:val="bullet"/>
      <w:lvlText w:val="•"/>
      <w:lvlJc w:val="left"/>
      <w:pPr>
        <w:ind w:left="3301" w:hanging="426"/>
      </w:pPr>
      <w:rPr>
        <w:rFonts w:hint="default"/>
        <w:lang w:val="en-US" w:eastAsia="en-US" w:bidi="ar-SA"/>
      </w:rPr>
    </w:lvl>
    <w:lvl w:ilvl="5">
      <w:numFmt w:val="bullet"/>
      <w:lvlText w:val="•"/>
      <w:lvlJc w:val="left"/>
      <w:pPr>
        <w:ind w:left="3411" w:hanging="426"/>
      </w:pPr>
      <w:rPr>
        <w:rFonts w:hint="default"/>
        <w:lang w:val="en-US" w:eastAsia="en-US" w:bidi="ar-SA"/>
      </w:rPr>
    </w:lvl>
    <w:lvl w:ilvl="6">
      <w:numFmt w:val="bullet"/>
      <w:lvlText w:val="•"/>
      <w:lvlJc w:val="left"/>
      <w:pPr>
        <w:ind w:left="3522" w:hanging="426"/>
      </w:pPr>
      <w:rPr>
        <w:rFonts w:hint="default"/>
        <w:lang w:val="en-US" w:eastAsia="en-US" w:bidi="ar-SA"/>
      </w:rPr>
    </w:lvl>
    <w:lvl w:ilvl="7">
      <w:numFmt w:val="bullet"/>
      <w:lvlText w:val="•"/>
      <w:lvlJc w:val="left"/>
      <w:pPr>
        <w:ind w:left="3632" w:hanging="426"/>
      </w:pPr>
      <w:rPr>
        <w:rFonts w:hint="default"/>
        <w:lang w:val="en-US" w:eastAsia="en-US" w:bidi="ar-SA"/>
      </w:rPr>
    </w:lvl>
    <w:lvl w:ilvl="8">
      <w:numFmt w:val="bullet"/>
      <w:lvlText w:val="•"/>
      <w:lvlJc w:val="left"/>
      <w:pPr>
        <w:ind w:left="3743" w:hanging="426"/>
      </w:pPr>
      <w:rPr>
        <w:rFonts w:hint="default"/>
        <w:lang w:val="en-US" w:eastAsia="en-US" w:bidi="ar-SA"/>
      </w:rPr>
    </w:lvl>
  </w:abstractNum>
  <w:abstractNum w:abstractNumId="10" w15:restartNumberingAfterBreak="0">
    <w:nsid w:val="0A202B72"/>
    <w:multiLevelType w:val="hybridMultilevel"/>
    <w:tmpl w:val="D3502E90"/>
    <w:lvl w:ilvl="0" w:tplc="96B62EAE">
      <w:numFmt w:val="bullet"/>
      <w:lvlText w:val="•"/>
      <w:lvlJc w:val="left"/>
      <w:pPr>
        <w:ind w:left="751" w:hanging="142"/>
      </w:pPr>
      <w:rPr>
        <w:rFonts w:ascii="Arial" w:eastAsia="Arial" w:hAnsi="Arial" w:cs="Arial" w:hint="default"/>
        <w:b w:val="0"/>
        <w:bCs w:val="0"/>
        <w:i w:val="0"/>
        <w:iCs w:val="0"/>
        <w:spacing w:val="0"/>
        <w:w w:val="95"/>
        <w:sz w:val="15"/>
        <w:szCs w:val="15"/>
        <w:lang w:val="en-US" w:eastAsia="en-US" w:bidi="ar-SA"/>
      </w:rPr>
    </w:lvl>
    <w:lvl w:ilvl="1" w:tplc="2AD0E300">
      <w:numFmt w:val="bullet"/>
      <w:lvlText w:val="•"/>
      <w:lvlJc w:val="left"/>
      <w:pPr>
        <w:ind w:left="1041" w:hanging="142"/>
      </w:pPr>
      <w:rPr>
        <w:rFonts w:hint="default"/>
        <w:lang w:val="en-US" w:eastAsia="en-US" w:bidi="ar-SA"/>
      </w:rPr>
    </w:lvl>
    <w:lvl w:ilvl="2" w:tplc="31226810">
      <w:numFmt w:val="bullet"/>
      <w:lvlText w:val="•"/>
      <w:lvlJc w:val="left"/>
      <w:pPr>
        <w:ind w:left="1323" w:hanging="142"/>
      </w:pPr>
      <w:rPr>
        <w:rFonts w:hint="default"/>
        <w:lang w:val="en-US" w:eastAsia="en-US" w:bidi="ar-SA"/>
      </w:rPr>
    </w:lvl>
    <w:lvl w:ilvl="3" w:tplc="BF86F60A">
      <w:numFmt w:val="bullet"/>
      <w:lvlText w:val="•"/>
      <w:lvlJc w:val="left"/>
      <w:pPr>
        <w:ind w:left="1604" w:hanging="142"/>
      </w:pPr>
      <w:rPr>
        <w:rFonts w:hint="default"/>
        <w:lang w:val="en-US" w:eastAsia="en-US" w:bidi="ar-SA"/>
      </w:rPr>
    </w:lvl>
    <w:lvl w:ilvl="4" w:tplc="67721656">
      <w:numFmt w:val="bullet"/>
      <w:lvlText w:val="•"/>
      <w:lvlJc w:val="left"/>
      <w:pPr>
        <w:ind w:left="1886" w:hanging="142"/>
      </w:pPr>
      <w:rPr>
        <w:rFonts w:hint="default"/>
        <w:lang w:val="en-US" w:eastAsia="en-US" w:bidi="ar-SA"/>
      </w:rPr>
    </w:lvl>
    <w:lvl w:ilvl="5" w:tplc="2DC8C340">
      <w:numFmt w:val="bullet"/>
      <w:lvlText w:val="•"/>
      <w:lvlJc w:val="left"/>
      <w:pPr>
        <w:ind w:left="2168" w:hanging="142"/>
      </w:pPr>
      <w:rPr>
        <w:rFonts w:hint="default"/>
        <w:lang w:val="en-US" w:eastAsia="en-US" w:bidi="ar-SA"/>
      </w:rPr>
    </w:lvl>
    <w:lvl w:ilvl="6" w:tplc="E4DC71D2">
      <w:numFmt w:val="bullet"/>
      <w:lvlText w:val="•"/>
      <w:lvlJc w:val="left"/>
      <w:pPr>
        <w:ind w:left="2449" w:hanging="142"/>
      </w:pPr>
      <w:rPr>
        <w:rFonts w:hint="default"/>
        <w:lang w:val="en-US" w:eastAsia="en-US" w:bidi="ar-SA"/>
      </w:rPr>
    </w:lvl>
    <w:lvl w:ilvl="7" w:tplc="02B41112">
      <w:numFmt w:val="bullet"/>
      <w:lvlText w:val="•"/>
      <w:lvlJc w:val="left"/>
      <w:pPr>
        <w:ind w:left="2731" w:hanging="142"/>
      </w:pPr>
      <w:rPr>
        <w:rFonts w:hint="default"/>
        <w:lang w:val="en-US" w:eastAsia="en-US" w:bidi="ar-SA"/>
      </w:rPr>
    </w:lvl>
    <w:lvl w:ilvl="8" w:tplc="55DEA0D8">
      <w:numFmt w:val="bullet"/>
      <w:lvlText w:val="•"/>
      <w:lvlJc w:val="left"/>
      <w:pPr>
        <w:ind w:left="3012" w:hanging="142"/>
      </w:pPr>
      <w:rPr>
        <w:rFonts w:hint="default"/>
        <w:lang w:val="en-US" w:eastAsia="en-US" w:bidi="ar-SA"/>
      </w:rPr>
    </w:lvl>
  </w:abstractNum>
  <w:abstractNum w:abstractNumId="11" w15:restartNumberingAfterBreak="0">
    <w:nsid w:val="0A311FD5"/>
    <w:multiLevelType w:val="multilevel"/>
    <w:tmpl w:val="D3E81E2C"/>
    <w:lvl w:ilvl="0">
      <w:start w:val="1"/>
      <w:numFmt w:val="decimal"/>
      <w:lvlText w:val="%1"/>
      <w:lvlJc w:val="left"/>
      <w:pPr>
        <w:ind w:left="813" w:hanging="426"/>
        <w:jc w:val="left"/>
      </w:pPr>
      <w:rPr>
        <w:rFonts w:hint="default"/>
        <w:lang w:val="en-US" w:eastAsia="en-US" w:bidi="ar-SA"/>
      </w:rPr>
    </w:lvl>
    <w:lvl w:ilvl="1">
      <w:start w:val="2"/>
      <w:numFmt w:val="decimal"/>
      <w:lvlText w:val="%1.%2"/>
      <w:lvlJc w:val="left"/>
      <w:pPr>
        <w:ind w:left="813" w:hanging="426"/>
        <w:jc w:val="left"/>
      </w:pPr>
      <w:rPr>
        <w:rFonts w:ascii="Arial" w:eastAsia="Arial" w:hAnsi="Arial" w:cs="Arial" w:hint="default"/>
        <w:b w:val="0"/>
        <w:bCs w:val="0"/>
        <w:i w:val="0"/>
        <w:iCs w:val="0"/>
        <w:spacing w:val="-6"/>
        <w:w w:val="95"/>
        <w:sz w:val="15"/>
        <w:szCs w:val="15"/>
        <w:lang w:val="en-US" w:eastAsia="en-US" w:bidi="ar-SA"/>
      </w:rPr>
    </w:lvl>
    <w:lvl w:ilvl="2">
      <w:start w:val="1"/>
      <w:numFmt w:val="decimal"/>
      <w:lvlText w:val="%1.%2.%3"/>
      <w:lvlJc w:val="left"/>
      <w:pPr>
        <w:ind w:left="181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96" w:hanging="426"/>
      </w:pPr>
      <w:rPr>
        <w:rFonts w:hint="default"/>
        <w:lang w:val="en-US" w:eastAsia="en-US" w:bidi="ar-SA"/>
      </w:rPr>
    </w:lvl>
    <w:lvl w:ilvl="4">
      <w:numFmt w:val="bullet"/>
      <w:lvlText w:val="•"/>
      <w:lvlJc w:val="left"/>
      <w:pPr>
        <w:ind w:left="-616" w:hanging="426"/>
      </w:pPr>
      <w:rPr>
        <w:rFonts w:hint="default"/>
        <w:lang w:val="en-US" w:eastAsia="en-US" w:bidi="ar-SA"/>
      </w:rPr>
    </w:lvl>
    <w:lvl w:ilvl="5">
      <w:numFmt w:val="bullet"/>
      <w:lvlText w:val="•"/>
      <w:lvlJc w:val="left"/>
      <w:pPr>
        <w:ind w:left="-1428" w:hanging="426"/>
      </w:pPr>
      <w:rPr>
        <w:rFonts w:hint="default"/>
        <w:lang w:val="en-US" w:eastAsia="en-US" w:bidi="ar-SA"/>
      </w:rPr>
    </w:lvl>
    <w:lvl w:ilvl="6">
      <w:numFmt w:val="bullet"/>
      <w:lvlText w:val="•"/>
      <w:lvlJc w:val="left"/>
      <w:pPr>
        <w:ind w:left="-2240" w:hanging="426"/>
      </w:pPr>
      <w:rPr>
        <w:rFonts w:hint="default"/>
        <w:lang w:val="en-US" w:eastAsia="en-US" w:bidi="ar-SA"/>
      </w:rPr>
    </w:lvl>
    <w:lvl w:ilvl="7">
      <w:numFmt w:val="bullet"/>
      <w:lvlText w:val="•"/>
      <w:lvlJc w:val="left"/>
      <w:pPr>
        <w:ind w:left="-3052" w:hanging="426"/>
      </w:pPr>
      <w:rPr>
        <w:rFonts w:hint="default"/>
        <w:lang w:val="en-US" w:eastAsia="en-US" w:bidi="ar-SA"/>
      </w:rPr>
    </w:lvl>
    <w:lvl w:ilvl="8">
      <w:numFmt w:val="bullet"/>
      <w:lvlText w:val="•"/>
      <w:lvlJc w:val="left"/>
      <w:pPr>
        <w:ind w:left="-3864" w:hanging="426"/>
      </w:pPr>
      <w:rPr>
        <w:rFonts w:hint="default"/>
        <w:lang w:val="en-US" w:eastAsia="en-US" w:bidi="ar-SA"/>
      </w:rPr>
    </w:lvl>
  </w:abstractNum>
  <w:abstractNum w:abstractNumId="12" w15:restartNumberingAfterBreak="0">
    <w:nsid w:val="0C0B2BFF"/>
    <w:multiLevelType w:val="hybridMultilevel"/>
    <w:tmpl w:val="17C40D7A"/>
    <w:lvl w:ilvl="0" w:tplc="3D58C7B0">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43989FB4">
      <w:numFmt w:val="bullet"/>
      <w:lvlText w:val="•"/>
      <w:lvlJc w:val="left"/>
      <w:pPr>
        <w:ind w:left="2072" w:hanging="341"/>
      </w:pPr>
      <w:rPr>
        <w:rFonts w:hint="default"/>
        <w:lang w:val="en-US" w:eastAsia="en-US" w:bidi="ar-SA"/>
      </w:rPr>
    </w:lvl>
    <w:lvl w:ilvl="2" w:tplc="6480E25C">
      <w:numFmt w:val="bullet"/>
      <w:lvlText w:val="•"/>
      <w:lvlJc w:val="left"/>
      <w:pPr>
        <w:ind w:left="2985" w:hanging="341"/>
      </w:pPr>
      <w:rPr>
        <w:rFonts w:hint="default"/>
        <w:lang w:val="en-US" w:eastAsia="en-US" w:bidi="ar-SA"/>
      </w:rPr>
    </w:lvl>
    <w:lvl w:ilvl="3" w:tplc="643A7D54">
      <w:numFmt w:val="bullet"/>
      <w:lvlText w:val="•"/>
      <w:lvlJc w:val="left"/>
      <w:pPr>
        <w:ind w:left="3897" w:hanging="341"/>
      </w:pPr>
      <w:rPr>
        <w:rFonts w:hint="default"/>
        <w:lang w:val="en-US" w:eastAsia="en-US" w:bidi="ar-SA"/>
      </w:rPr>
    </w:lvl>
    <w:lvl w:ilvl="4" w:tplc="6812EA22">
      <w:numFmt w:val="bullet"/>
      <w:lvlText w:val="•"/>
      <w:lvlJc w:val="left"/>
      <w:pPr>
        <w:ind w:left="4810" w:hanging="341"/>
      </w:pPr>
      <w:rPr>
        <w:rFonts w:hint="default"/>
        <w:lang w:val="en-US" w:eastAsia="en-US" w:bidi="ar-SA"/>
      </w:rPr>
    </w:lvl>
    <w:lvl w:ilvl="5" w:tplc="C0F87EB8">
      <w:numFmt w:val="bullet"/>
      <w:lvlText w:val="•"/>
      <w:lvlJc w:val="left"/>
      <w:pPr>
        <w:ind w:left="5722" w:hanging="341"/>
      </w:pPr>
      <w:rPr>
        <w:rFonts w:hint="default"/>
        <w:lang w:val="en-US" w:eastAsia="en-US" w:bidi="ar-SA"/>
      </w:rPr>
    </w:lvl>
    <w:lvl w:ilvl="6" w:tplc="E18EA8EE">
      <w:numFmt w:val="bullet"/>
      <w:lvlText w:val="•"/>
      <w:lvlJc w:val="left"/>
      <w:pPr>
        <w:ind w:left="6635" w:hanging="341"/>
      </w:pPr>
      <w:rPr>
        <w:rFonts w:hint="default"/>
        <w:lang w:val="en-US" w:eastAsia="en-US" w:bidi="ar-SA"/>
      </w:rPr>
    </w:lvl>
    <w:lvl w:ilvl="7" w:tplc="620831DC">
      <w:numFmt w:val="bullet"/>
      <w:lvlText w:val="•"/>
      <w:lvlJc w:val="left"/>
      <w:pPr>
        <w:ind w:left="7547" w:hanging="341"/>
      </w:pPr>
      <w:rPr>
        <w:rFonts w:hint="default"/>
        <w:lang w:val="en-US" w:eastAsia="en-US" w:bidi="ar-SA"/>
      </w:rPr>
    </w:lvl>
    <w:lvl w:ilvl="8" w:tplc="23F82C20">
      <w:numFmt w:val="bullet"/>
      <w:lvlText w:val="•"/>
      <w:lvlJc w:val="left"/>
      <w:pPr>
        <w:ind w:left="8460" w:hanging="341"/>
      </w:pPr>
      <w:rPr>
        <w:rFonts w:hint="default"/>
        <w:lang w:val="en-US" w:eastAsia="en-US" w:bidi="ar-SA"/>
      </w:rPr>
    </w:lvl>
  </w:abstractNum>
  <w:abstractNum w:abstractNumId="13" w15:restartNumberingAfterBreak="0">
    <w:nsid w:val="0D133841"/>
    <w:multiLevelType w:val="multilevel"/>
    <w:tmpl w:val="C5468C42"/>
    <w:lvl w:ilvl="0">
      <w:start w:val="9"/>
      <w:numFmt w:val="decimal"/>
      <w:lvlText w:val="%1"/>
      <w:lvlJc w:val="left"/>
      <w:pPr>
        <w:ind w:left="2704" w:hanging="426"/>
        <w:jc w:val="left"/>
      </w:pPr>
      <w:rPr>
        <w:rFonts w:hint="default"/>
        <w:lang w:val="en-US" w:eastAsia="en-US" w:bidi="ar-SA"/>
      </w:rPr>
    </w:lvl>
    <w:lvl w:ilvl="1">
      <w:start w:val="1"/>
      <w:numFmt w:val="decimal"/>
      <w:lvlText w:val="%1.%2"/>
      <w:lvlJc w:val="left"/>
      <w:pPr>
        <w:ind w:left="2704" w:hanging="426"/>
        <w:jc w:val="left"/>
      </w:pPr>
      <w:rPr>
        <w:rFonts w:hint="default"/>
        <w:lang w:val="en-US" w:eastAsia="en-US" w:bidi="ar-SA"/>
      </w:rPr>
    </w:lvl>
    <w:lvl w:ilvl="2">
      <w:start w:val="2"/>
      <w:numFmt w:val="decimal"/>
      <w:lvlText w:val="%1.%2.%3"/>
      <w:lvlJc w:val="left"/>
      <w:pPr>
        <w:ind w:left="2704"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3071" w:hanging="426"/>
      </w:pPr>
      <w:rPr>
        <w:rFonts w:hint="default"/>
        <w:lang w:val="en-US" w:eastAsia="en-US" w:bidi="ar-SA"/>
      </w:rPr>
    </w:lvl>
    <w:lvl w:ilvl="4">
      <w:numFmt w:val="bullet"/>
      <w:lvlText w:val="•"/>
      <w:lvlJc w:val="left"/>
      <w:pPr>
        <w:ind w:left="3195" w:hanging="426"/>
      </w:pPr>
      <w:rPr>
        <w:rFonts w:hint="default"/>
        <w:lang w:val="en-US" w:eastAsia="en-US" w:bidi="ar-SA"/>
      </w:rPr>
    </w:lvl>
    <w:lvl w:ilvl="5">
      <w:numFmt w:val="bullet"/>
      <w:lvlText w:val="•"/>
      <w:lvlJc w:val="left"/>
      <w:pPr>
        <w:ind w:left="3318" w:hanging="426"/>
      </w:pPr>
      <w:rPr>
        <w:rFonts w:hint="default"/>
        <w:lang w:val="en-US" w:eastAsia="en-US" w:bidi="ar-SA"/>
      </w:rPr>
    </w:lvl>
    <w:lvl w:ilvl="6">
      <w:numFmt w:val="bullet"/>
      <w:lvlText w:val="•"/>
      <w:lvlJc w:val="left"/>
      <w:pPr>
        <w:ind w:left="3442" w:hanging="426"/>
      </w:pPr>
      <w:rPr>
        <w:rFonts w:hint="default"/>
        <w:lang w:val="en-US" w:eastAsia="en-US" w:bidi="ar-SA"/>
      </w:rPr>
    </w:lvl>
    <w:lvl w:ilvl="7">
      <w:numFmt w:val="bullet"/>
      <w:lvlText w:val="•"/>
      <w:lvlJc w:val="left"/>
      <w:pPr>
        <w:ind w:left="3566" w:hanging="426"/>
      </w:pPr>
      <w:rPr>
        <w:rFonts w:hint="default"/>
        <w:lang w:val="en-US" w:eastAsia="en-US" w:bidi="ar-SA"/>
      </w:rPr>
    </w:lvl>
    <w:lvl w:ilvl="8">
      <w:numFmt w:val="bullet"/>
      <w:lvlText w:val="•"/>
      <w:lvlJc w:val="left"/>
      <w:pPr>
        <w:ind w:left="3690" w:hanging="426"/>
      </w:pPr>
      <w:rPr>
        <w:rFonts w:hint="default"/>
        <w:lang w:val="en-US" w:eastAsia="en-US" w:bidi="ar-SA"/>
      </w:rPr>
    </w:lvl>
  </w:abstractNum>
  <w:abstractNum w:abstractNumId="14" w15:restartNumberingAfterBreak="0">
    <w:nsid w:val="0D482378"/>
    <w:multiLevelType w:val="hybridMultilevel"/>
    <w:tmpl w:val="C0A62B4E"/>
    <w:lvl w:ilvl="0" w:tplc="C80C2EAA">
      <w:numFmt w:val="bullet"/>
      <w:lvlText w:val=""/>
      <w:lvlJc w:val="left"/>
      <w:pPr>
        <w:ind w:left="1337" w:hanging="358"/>
      </w:pPr>
      <w:rPr>
        <w:rFonts w:ascii="Symbol" w:eastAsia="Symbol" w:hAnsi="Symbol" w:cs="Symbol" w:hint="default"/>
        <w:b w:val="0"/>
        <w:bCs w:val="0"/>
        <w:i w:val="0"/>
        <w:iCs w:val="0"/>
        <w:spacing w:val="0"/>
        <w:w w:val="100"/>
        <w:sz w:val="18"/>
        <w:szCs w:val="18"/>
        <w:lang w:val="en-US" w:eastAsia="en-US" w:bidi="ar-SA"/>
      </w:rPr>
    </w:lvl>
    <w:lvl w:ilvl="1" w:tplc="86AC10C4">
      <w:numFmt w:val="bullet"/>
      <w:lvlText w:val="•"/>
      <w:lvlJc w:val="left"/>
      <w:pPr>
        <w:ind w:left="2234" w:hanging="358"/>
      </w:pPr>
      <w:rPr>
        <w:rFonts w:hint="default"/>
        <w:lang w:val="en-US" w:eastAsia="en-US" w:bidi="ar-SA"/>
      </w:rPr>
    </w:lvl>
    <w:lvl w:ilvl="2" w:tplc="8C588A52">
      <w:numFmt w:val="bullet"/>
      <w:lvlText w:val="•"/>
      <w:lvlJc w:val="left"/>
      <w:pPr>
        <w:ind w:left="3129" w:hanging="358"/>
      </w:pPr>
      <w:rPr>
        <w:rFonts w:hint="default"/>
        <w:lang w:val="en-US" w:eastAsia="en-US" w:bidi="ar-SA"/>
      </w:rPr>
    </w:lvl>
    <w:lvl w:ilvl="3" w:tplc="06B0F158">
      <w:numFmt w:val="bullet"/>
      <w:lvlText w:val="•"/>
      <w:lvlJc w:val="left"/>
      <w:pPr>
        <w:ind w:left="4023" w:hanging="358"/>
      </w:pPr>
      <w:rPr>
        <w:rFonts w:hint="default"/>
        <w:lang w:val="en-US" w:eastAsia="en-US" w:bidi="ar-SA"/>
      </w:rPr>
    </w:lvl>
    <w:lvl w:ilvl="4" w:tplc="73BA1036">
      <w:numFmt w:val="bullet"/>
      <w:lvlText w:val="•"/>
      <w:lvlJc w:val="left"/>
      <w:pPr>
        <w:ind w:left="4918" w:hanging="358"/>
      </w:pPr>
      <w:rPr>
        <w:rFonts w:hint="default"/>
        <w:lang w:val="en-US" w:eastAsia="en-US" w:bidi="ar-SA"/>
      </w:rPr>
    </w:lvl>
    <w:lvl w:ilvl="5" w:tplc="3B7ED792">
      <w:numFmt w:val="bullet"/>
      <w:lvlText w:val="•"/>
      <w:lvlJc w:val="left"/>
      <w:pPr>
        <w:ind w:left="5812" w:hanging="358"/>
      </w:pPr>
      <w:rPr>
        <w:rFonts w:hint="default"/>
        <w:lang w:val="en-US" w:eastAsia="en-US" w:bidi="ar-SA"/>
      </w:rPr>
    </w:lvl>
    <w:lvl w:ilvl="6" w:tplc="8AB2567A">
      <w:numFmt w:val="bullet"/>
      <w:lvlText w:val="•"/>
      <w:lvlJc w:val="left"/>
      <w:pPr>
        <w:ind w:left="6707" w:hanging="358"/>
      </w:pPr>
      <w:rPr>
        <w:rFonts w:hint="default"/>
        <w:lang w:val="en-US" w:eastAsia="en-US" w:bidi="ar-SA"/>
      </w:rPr>
    </w:lvl>
    <w:lvl w:ilvl="7" w:tplc="E2382D76">
      <w:numFmt w:val="bullet"/>
      <w:lvlText w:val="•"/>
      <w:lvlJc w:val="left"/>
      <w:pPr>
        <w:ind w:left="7601" w:hanging="358"/>
      </w:pPr>
      <w:rPr>
        <w:rFonts w:hint="default"/>
        <w:lang w:val="en-US" w:eastAsia="en-US" w:bidi="ar-SA"/>
      </w:rPr>
    </w:lvl>
    <w:lvl w:ilvl="8" w:tplc="9634B584">
      <w:numFmt w:val="bullet"/>
      <w:lvlText w:val="•"/>
      <w:lvlJc w:val="left"/>
      <w:pPr>
        <w:ind w:left="8496" w:hanging="358"/>
      </w:pPr>
      <w:rPr>
        <w:rFonts w:hint="default"/>
        <w:lang w:val="en-US" w:eastAsia="en-US" w:bidi="ar-SA"/>
      </w:rPr>
    </w:lvl>
  </w:abstractNum>
  <w:abstractNum w:abstractNumId="15" w15:restartNumberingAfterBreak="0">
    <w:nsid w:val="105C4A1A"/>
    <w:multiLevelType w:val="hybridMultilevel"/>
    <w:tmpl w:val="0768762A"/>
    <w:lvl w:ilvl="0" w:tplc="83A49D02">
      <w:start w:val="1"/>
      <w:numFmt w:val="decimal"/>
      <w:lvlText w:val="%1."/>
      <w:lvlJc w:val="left"/>
      <w:pPr>
        <w:ind w:left="1155" w:hanging="341"/>
        <w:jc w:val="left"/>
      </w:pPr>
      <w:rPr>
        <w:rFonts w:ascii="Arial" w:eastAsia="Arial" w:hAnsi="Arial" w:cs="Arial" w:hint="default"/>
        <w:b w:val="0"/>
        <w:bCs w:val="0"/>
        <w:i w:val="0"/>
        <w:iCs w:val="0"/>
        <w:spacing w:val="0"/>
        <w:w w:val="100"/>
        <w:sz w:val="20"/>
        <w:szCs w:val="20"/>
        <w:lang w:val="en-US" w:eastAsia="en-US" w:bidi="ar-SA"/>
      </w:rPr>
    </w:lvl>
    <w:lvl w:ilvl="1" w:tplc="C41842FA">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2" w:tplc="BE08E950">
      <w:numFmt w:val="bullet"/>
      <w:lvlText w:val="•"/>
      <w:lvlJc w:val="left"/>
      <w:pPr>
        <w:ind w:left="2985" w:hanging="341"/>
      </w:pPr>
      <w:rPr>
        <w:rFonts w:hint="default"/>
        <w:lang w:val="en-US" w:eastAsia="en-US" w:bidi="ar-SA"/>
      </w:rPr>
    </w:lvl>
    <w:lvl w:ilvl="3" w:tplc="676AD4D2">
      <w:numFmt w:val="bullet"/>
      <w:lvlText w:val="•"/>
      <w:lvlJc w:val="left"/>
      <w:pPr>
        <w:ind w:left="3897" w:hanging="341"/>
      </w:pPr>
      <w:rPr>
        <w:rFonts w:hint="default"/>
        <w:lang w:val="en-US" w:eastAsia="en-US" w:bidi="ar-SA"/>
      </w:rPr>
    </w:lvl>
    <w:lvl w:ilvl="4" w:tplc="0D62CC50">
      <w:numFmt w:val="bullet"/>
      <w:lvlText w:val="•"/>
      <w:lvlJc w:val="left"/>
      <w:pPr>
        <w:ind w:left="4810" w:hanging="341"/>
      </w:pPr>
      <w:rPr>
        <w:rFonts w:hint="default"/>
        <w:lang w:val="en-US" w:eastAsia="en-US" w:bidi="ar-SA"/>
      </w:rPr>
    </w:lvl>
    <w:lvl w:ilvl="5" w:tplc="B274B6BC">
      <w:numFmt w:val="bullet"/>
      <w:lvlText w:val="•"/>
      <w:lvlJc w:val="left"/>
      <w:pPr>
        <w:ind w:left="5722" w:hanging="341"/>
      </w:pPr>
      <w:rPr>
        <w:rFonts w:hint="default"/>
        <w:lang w:val="en-US" w:eastAsia="en-US" w:bidi="ar-SA"/>
      </w:rPr>
    </w:lvl>
    <w:lvl w:ilvl="6" w:tplc="EF145972">
      <w:numFmt w:val="bullet"/>
      <w:lvlText w:val="•"/>
      <w:lvlJc w:val="left"/>
      <w:pPr>
        <w:ind w:left="6635" w:hanging="341"/>
      </w:pPr>
      <w:rPr>
        <w:rFonts w:hint="default"/>
        <w:lang w:val="en-US" w:eastAsia="en-US" w:bidi="ar-SA"/>
      </w:rPr>
    </w:lvl>
    <w:lvl w:ilvl="7" w:tplc="C5F85BEA">
      <w:numFmt w:val="bullet"/>
      <w:lvlText w:val="•"/>
      <w:lvlJc w:val="left"/>
      <w:pPr>
        <w:ind w:left="7547" w:hanging="341"/>
      </w:pPr>
      <w:rPr>
        <w:rFonts w:hint="default"/>
        <w:lang w:val="en-US" w:eastAsia="en-US" w:bidi="ar-SA"/>
      </w:rPr>
    </w:lvl>
    <w:lvl w:ilvl="8" w:tplc="B91C09CE">
      <w:numFmt w:val="bullet"/>
      <w:lvlText w:val="•"/>
      <w:lvlJc w:val="left"/>
      <w:pPr>
        <w:ind w:left="8460" w:hanging="341"/>
      </w:pPr>
      <w:rPr>
        <w:rFonts w:hint="default"/>
        <w:lang w:val="en-US" w:eastAsia="en-US" w:bidi="ar-SA"/>
      </w:rPr>
    </w:lvl>
  </w:abstractNum>
  <w:abstractNum w:abstractNumId="16" w15:restartNumberingAfterBreak="0">
    <w:nsid w:val="10B77FBC"/>
    <w:multiLevelType w:val="hybridMultilevel"/>
    <w:tmpl w:val="3E1ACB92"/>
    <w:lvl w:ilvl="0" w:tplc="4296FAB6">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DF8ECE46">
      <w:numFmt w:val="bullet"/>
      <w:lvlText w:val="•"/>
      <w:lvlJc w:val="left"/>
      <w:pPr>
        <w:ind w:left="2162" w:hanging="454"/>
      </w:pPr>
      <w:rPr>
        <w:rFonts w:hint="default"/>
        <w:lang w:val="en-US" w:eastAsia="en-US" w:bidi="ar-SA"/>
      </w:rPr>
    </w:lvl>
    <w:lvl w:ilvl="2" w:tplc="0090F698">
      <w:numFmt w:val="bullet"/>
      <w:lvlText w:val="•"/>
      <w:lvlJc w:val="left"/>
      <w:pPr>
        <w:ind w:left="3065" w:hanging="454"/>
      </w:pPr>
      <w:rPr>
        <w:rFonts w:hint="default"/>
        <w:lang w:val="en-US" w:eastAsia="en-US" w:bidi="ar-SA"/>
      </w:rPr>
    </w:lvl>
    <w:lvl w:ilvl="3" w:tplc="C3368FE8">
      <w:numFmt w:val="bullet"/>
      <w:lvlText w:val="•"/>
      <w:lvlJc w:val="left"/>
      <w:pPr>
        <w:ind w:left="3967" w:hanging="454"/>
      </w:pPr>
      <w:rPr>
        <w:rFonts w:hint="default"/>
        <w:lang w:val="en-US" w:eastAsia="en-US" w:bidi="ar-SA"/>
      </w:rPr>
    </w:lvl>
    <w:lvl w:ilvl="4" w:tplc="24CC25E6">
      <w:numFmt w:val="bullet"/>
      <w:lvlText w:val="•"/>
      <w:lvlJc w:val="left"/>
      <w:pPr>
        <w:ind w:left="4870" w:hanging="454"/>
      </w:pPr>
      <w:rPr>
        <w:rFonts w:hint="default"/>
        <w:lang w:val="en-US" w:eastAsia="en-US" w:bidi="ar-SA"/>
      </w:rPr>
    </w:lvl>
    <w:lvl w:ilvl="5" w:tplc="39280A88">
      <w:numFmt w:val="bullet"/>
      <w:lvlText w:val="•"/>
      <w:lvlJc w:val="left"/>
      <w:pPr>
        <w:ind w:left="5772" w:hanging="454"/>
      </w:pPr>
      <w:rPr>
        <w:rFonts w:hint="default"/>
        <w:lang w:val="en-US" w:eastAsia="en-US" w:bidi="ar-SA"/>
      </w:rPr>
    </w:lvl>
    <w:lvl w:ilvl="6" w:tplc="8036FC34">
      <w:numFmt w:val="bullet"/>
      <w:lvlText w:val="•"/>
      <w:lvlJc w:val="left"/>
      <w:pPr>
        <w:ind w:left="6675" w:hanging="454"/>
      </w:pPr>
      <w:rPr>
        <w:rFonts w:hint="default"/>
        <w:lang w:val="en-US" w:eastAsia="en-US" w:bidi="ar-SA"/>
      </w:rPr>
    </w:lvl>
    <w:lvl w:ilvl="7" w:tplc="0E38D962">
      <w:numFmt w:val="bullet"/>
      <w:lvlText w:val="•"/>
      <w:lvlJc w:val="left"/>
      <w:pPr>
        <w:ind w:left="7577" w:hanging="454"/>
      </w:pPr>
      <w:rPr>
        <w:rFonts w:hint="default"/>
        <w:lang w:val="en-US" w:eastAsia="en-US" w:bidi="ar-SA"/>
      </w:rPr>
    </w:lvl>
    <w:lvl w:ilvl="8" w:tplc="1150829C">
      <w:numFmt w:val="bullet"/>
      <w:lvlText w:val="•"/>
      <w:lvlJc w:val="left"/>
      <w:pPr>
        <w:ind w:left="8480" w:hanging="454"/>
      </w:pPr>
      <w:rPr>
        <w:rFonts w:hint="default"/>
        <w:lang w:val="en-US" w:eastAsia="en-US" w:bidi="ar-SA"/>
      </w:rPr>
    </w:lvl>
  </w:abstractNum>
  <w:abstractNum w:abstractNumId="17" w15:restartNumberingAfterBreak="0">
    <w:nsid w:val="12130D59"/>
    <w:multiLevelType w:val="hybridMultilevel"/>
    <w:tmpl w:val="A4A2443E"/>
    <w:lvl w:ilvl="0" w:tplc="9348B9AA">
      <w:start w:val="1"/>
      <w:numFmt w:val="lowerLetter"/>
      <w:lvlText w:val="%1."/>
      <w:lvlJc w:val="left"/>
      <w:pPr>
        <w:ind w:left="1699" w:hanging="360"/>
        <w:jc w:val="left"/>
      </w:pPr>
      <w:rPr>
        <w:rFonts w:ascii="Arial" w:eastAsia="Arial" w:hAnsi="Arial" w:cs="Arial" w:hint="default"/>
        <w:b w:val="0"/>
        <w:bCs w:val="0"/>
        <w:i w:val="0"/>
        <w:iCs w:val="0"/>
        <w:spacing w:val="0"/>
        <w:w w:val="100"/>
        <w:sz w:val="18"/>
        <w:szCs w:val="18"/>
        <w:lang w:val="en-US" w:eastAsia="en-US" w:bidi="ar-SA"/>
      </w:rPr>
    </w:lvl>
    <w:lvl w:ilvl="1" w:tplc="2FA40D2A">
      <w:numFmt w:val="bullet"/>
      <w:lvlText w:val="•"/>
      <w:lvlJc w:val="left"/>
      <w:pPr>
        <w:ind w:left="2558" w:hanging="360"/>
      </w:pPr>
      <w:rPr>
        <w:rFonts w:hint="default"/>
        <w:lang w:val="en-US" w:eastAsia="en-US" w:bidi="ar-SA"/>
      </w:rPr>
    </w:lvl>
    <w:lvl w:ilvl="2" w:tplc="5A9444C0">
      <w:numFmt w:val="bullet"/>
      <w:lvlText w:val="•"/>
      <w:lvlJc w:val="left"/>
      <w:pPr>
        <w:ind w:left="3417" w:hanging="360"/>
      </w:pPr>
      <w:rPr>
        <w:rFonts w:hint="default"/>
        <w:lang w:val="en-US" w:eastAsia="en-US" w:bidi="ar-SA"/>
      </w:rPr>
    </w:lvl>
    <w:lvl w:ilvl="3" w:tplc="D0B8B320">
      <w:numFmt w:val="bullet"/>
      <w:lvlText w:val="•"/>
      <w:lvlJc w:val="left"/>
      <w:pPr>
        <w:ind w:left="4275" w:hanging="360"/>
      </w:pPr>
      <w:rPr>
        <w:rFonts w:hint="default"/>
        <w:lang w:val="en-US" w:eastAsia="en-US" w:bidi="ar-SA"/>
      </w:rPr>
    </w:lvl>
    <w:lvl w:ilvl="4" w:tplc="515EE492">
      <w:numFmt w:val="bullet"/>
      <w:lvlText w:val="•"/>
      <w:lvlJc w:val="left"/>
      <w:pPr>
        <w:ind w:left="5134" w:hanging="360"/>
      </w:pPr>
      <w:rPr>
        <w:rFonts w:hint="default"/>
        <w:lang w:val="en-US" w:eastAsia="en-US" w:bidi="ar-SA"/>
      </w:rPr>
    </w:lvl>
    <w:lvl w:ilvl="5" w:tplc="6E3C51C6">
      <w:numFmt w:val="bullet"/>
      <w:lvlText w:val="•"/>
      <w:lvlJc w:val="left"/>
      <w:pPr>
        <w:ind w:left="5992" w:hanging="360"/>
      </w:pPr>
      <w:rPr>
        <w:rFonts w:hint="default"/>
        <w:lang w:val="en-US" w:eastAsia="en-US" w:bidi="ar-SA"/>
      </w:rPr>
    </w:lvl>
    <w:lvl w:ilvl="6" w:tplc="8020D09C">
      <w:numFmt w:val="bullet"/>
      <w:lvlText w:val="•"/>
      <w:lvlJc w:val="left"/>
      <w:pPr>
        <w:ind w:left="6851" w:hanging="360"/>
      </w:pPr>
      <w:rPr>
        <w:rFonts w:hint="default"/>
        <w:lang w:val="en-US" w:eastAsia="en-US" w:bidi="ar-SA"/>
      </w:rPr>
    </w:lvl>
    <w:lvl w:ilvl="7" w:tplc="8B2C850E">
      <w:numFmt w:val="bullet"/>
      <w:lvlText w:val="•"/>
      <w:lvlJc w:val="left"/>
      <w:pPr>
        <w:ind w:left="7709" w:hanging="360"/>
      </w:pPr>
      <w:rPr>
        <w:rFonts w:hint="default"/>
        <w:lang w:val="en-US" w:eastAsia="en-US" w:bidi="ar-SA"/>
      </w:rPr>
    </w:lvl>
    <w:lvl w:ilvl="8" w:tplc="EA0EBE2C">
      <w:numFmt w:val="bullet"/>
      <w:lvlText w:val="•"/>
      <w:lvlJc w:val="left"/>
      <w:pPr>
        <w:ind w:left="8568" w:hanging="360"/>
      </w:pPr>
      <w:rPr>
        <w:rFonts w:hint="default"/>
        <w:lang w:val="en-US" w:eastAsia="en-US" w:bidi="ar-SA"/>
      </w:rPr>
    </w:lvl>
  </w:abstractNum>
  <w:abstractNum w:abstractNumId="18" w15:restartNumberingAfterBreak="0">
    <w:nsid w:val="14913FD5"/>
    <w:multiLevelType w:val="hybridMultilevel"/>
    <w:tmpl w:val="0A886B76"/>
    <w:lvl w:ilvl="0" w:tplc="EDE2B5D2">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AEA6C5F8">
      <w:numFmt w:val="bullet"/>
      <w:lvlText w:val="•"/>
      <w:lvlJc w:val="left"/>
      <w:pPr>
        <w:ind w:left="2072" w:hanging="341"/>
      </w:pPr>
      <w:rPr>
        <w:rFonts w:hint="default"/>
        <w:lang w:val="en-US" w:eastAsia="en-US" w:bidi="ar-SA"/>
      </w:rPr>
    </w:lvl>
    <w:lvl w:ilvl="2" w:tplc="63D0B298">
      <w:numFmt w:val="bullet"/>
      <w:lvlText w:val="•"/>
      <w:lvlJc w:val="left"/>
      <w:pPr>
        <w:ind w:left="2985" w:hanging="341"/>
      </w:pPr>
      <w:rPr>
        <w:rFonts w:hint="default"/>
        <w:lang w:val="en-US" w:eastAsia="en-US" w:bidi="ar-SA"/>
      </w:rPr>
    </w:lvl>
    <w:lvl w:ilvl="3" w:tplc="082CF95C">
      <w:numFmt w:val="bullet"/>
      <w:lvlText w:val="•"/>
      <w:lvlJc w:val="left"/>
      <w:pPr>
        <w:ind w:left="3897" w:hanging="341"/>
      </w:pPr>
      <w:rPr>
        <w:rFonts w:hint="default"/>
        <w:lang w:val="en-US" w:eastAsia="en-US" w:bidi="ar-SA"/>
      </w:rPr>
    </w:lvl>
    <w:lvl w:ilvl="4" w:tplc="E2A4673E">
      <w:numFmt w:val="bullet"/>
      <w:lvlText w:val="•"/>
      <w:lvlJc w:val="left"/>
      <w:pPr>
        <w:ind w:left="4810" w:hanging="341"/>
      </w:pPr>
      <w:rPr>
        <w:rFonts w:hint="default"/>
        <w:lang w:val="en-US" w:eastAsia="en-US" w:bidi="ar-SA"/>
      </w:rPr>
    </w:lvl>
    <w:lvl w:ilvl="5" w:tplc="384E81B8">
      <w:numFmt w:val="bullet"/>
      <w:lvlText w:val="•"/>
      <w:lvlJc w:val="left"/>
      <w:pPr>
        <w:ind w:left="5722" w:hanging="341"/>
      </w:pPr>
      <w:rPr>
        <w:rFonts w:hint="default"/>
        <w:lang w:val="en-US" w:eastAsia="en-US" w:bidi="ar-SA"/>
      </w:rPr>
    </w:lvl>
    <w:lvl w:ilvl="6" w:tplc="DC0C3B1C">
      <w:numFmt w:val="bullet"/>
      <w:lvlText w:val="•"/>
      <w:lvlJc w:val="left"/>
      <w:pPr>
        <w:ind w:left="6635" w:hanging="341"/>
      </w:pPr>
      <w:rPr>
        <w:rFonts w:hint="default"/>
        <w:lang w:val="en-US" w:eastAsia="en-US" w:bidi="ar-SA"/>
      </w:rPr>
    </w:lvl>
    <w:lvl w:ilvl="7" w:tplc="F3BAEB38">
      <w:numFmt w:val="bullet"/>
      <w:lvlText w:val="•"/>
      <w:lvlJc w:val="left"/>
      <w:pPr>
        <w:ind w:left="7547" w:hanging="341"/>
      </w:pPr>
      <w:rPr>
        <w:rFonts w:hint="default"/>
        <w:lang w:val="en-US" w:eastAsia="en-US" w:bidi="ar-SA"/>
      </w:rPr>
    </w:lvl>
    <w:lvl w:ilvl="8" w:tplc="85EC36C0">
      <w:numFmt w:val="bullet"/>
      <w:lvlText w:val="•"/>
      <w:lvlJc w:val="left"/>
      <w:pPr>
        <w:ind w:left="8460" w:hanging="341"/>
      </w:pPr>
      <w:rPr>
        <w:rFonts w:hint="default"/>
        <w:lang w:val="en-US" w:eastAsia="en-US" w:bidi="ar-SA"/>
      </w:rPr>
    </w:lvl>
  </w:abstractNum>
  <w:abstractNum w:abstractNumId="19" w15:restartNumberingAfterBreak="0">
    <w:nsid w:val="1580769E"/>
    <w:multiLevelType w:val="hybridMultilevel"/>
    <w:tmpl w:val="CB089EFA"/>
    <w:lvl w:ilvl="0" w:tplc="723CEB88">
      <w:start w:val="1"/>
      <w:numFmt w:val="lowerLetter"/>
      <w:lvlText w:val="(%1)"/>
      <w:lvlJc w:val="left"/>
      <w:pPr>
        <w:ind w:left="1368" w:hanging="411"/>
        <w:jc w:val="left"/>
      </w:pPr>
      <w:rPr>
        <w:rFonts w:ascii="Arial" w:eastAsia="Arial" w:hAnsi="Arial" w:cs="Arial" w:hint="default"/>
        <w:b/>
        <w:bCs/>
        <w:i w:val="0"/>
        <w:iCs w:val="0"/>
        <w:spacing w:val="-1"/>
        <w:w w:val="99"/>
        <w:sz w:val="20"/>
        <w:szCs w:val="20"/>
        <w:lang w:val="en-US" w:eastAsia="en-US" w:bidi="ar-SA"/>
      </w:rPr>
    </w:lvl>
    <w:lvl w:ilvl="1" w:tplc="5DF61B62">
      <w:numFmt w:val="bullet"/>
      <w:lvlText w:val="•"/>
      <w:lvlJc w:val="left"/>
      <w:pPr>
        <w:ind w:left="2252" w:hanging="411"/>
      </w:pPr>
      <w:rPr>
        <w:rFonts w:hint="default"/>
        <w:lang w:val="en-US" w:eastAsia="en-US" w:bidi="ar-SA"/>
      </w:rPr>
    </w:lvl>
    <w:lvl w:ilvl="2" w:tplc="FD02BC12">
      <w:numFmt w:val="bullet"/>
      <w:lvlText w:val="•"/>
      <w:lvlJc w:val="left"/>
      <w:pPr>
        <w:ind w:left="3145" w:hanging="411"/>
      </w:pPr>
      <w:rPr>
        <w:rFonts w:hint="default"/>
        <w:lang w:val="en-US" w:eastAsia="en-US" w:bidi="ar-SA"/>
      </w:rPr>
    </w:lvl>
    <w:lvl w:ilvl="3" w:tplc="758CE80C">
      <w:numFmt w:val="bullet"/>
      <w:lvlText w:val="•"/>
      <w:lvlJc w:val="left"/>
      <w:pPr>
        <w:ind w:left="4037" w:hanging="411"/>
      </w:pPr>
      <w:rPr>
        <w:rFonts w:hint="default"/>
        <w:lang w:val="en-US" w:eastAsia="en-US" w:bidi="ar-SA"/>
      </w:rPr>
    </w:lvl>
    <w:lvl w:ilvl="4" w:tplc="C37031E8">
      <w:numFmt w:val="bullet"/>
      <w:lvlText w:val="•"/>
      <w:lvlJc w:val="left"/>
      <w:pPr>
        <w:ind w:left="4930" w:hanging="411"/>
      </w:pPr>
      <w:rPr>
        <w:rFonts w:hint="default"/>
        <w:lang w:val="en-US" w:eastAsia="en-US" w:bidi="ar-SA"/>
      </w:rPr>
    </w:lvl>
    <w:lvl w:ilvl="5" w:tplc="145C76F4">
      <w:numFmt w:val="bullet"/>
      <w:lvlText w:val="•"/>
      <w:lvlJc w:val="left"/>
      <w:pPr>
        <w:ind w:left="5822" w:hanging="411"/>
      </w:pPr>
      <w:rPr>
        <w:rFonts w:hint="default"/>
        <w:lang w:val="en-US" w:eastAsia="en-US" w:bidi="ar-SA"/>
      </w:rPr>
    </w:lvl>
    <w:lvl w:ilvl="6" w:tplc="E5DE2BEA">
      <w:numFmt w:val="bullet"/>
      <w:lvlText w:val="•"/>
      <w:lvlJc w:val="left"/>
      <w:pPr>
        <w:ind w:left="6715" w:hanging="411"/>
      </w:pPr>
      <w:rPr>
        <w:rFonts w:hint="default"/>
        <w:lang w:val="en-US" w:eastAsia="en-US" w:bidi="ar-SA"/>
      </w:rPr>
    </w:lvl>
    <w:lvl w:ilvl="7" w:tplc="F60A9DF0">
      <w:numFmt w:val="bullet"/>
      <w:lvlText w:val="•"/>
      <w:lvlJc w:val="left"/>
      <w:pPr>
        <w:ind w:left="7607" w:hanging="411"/>
      </w:pPr>
      <w:rPr>
        <w:rFonts w:hint="default"/>
        <w:lang w:val="en-US" w:eastAsia="en-US" w:bidi="ar-SA"/>
      </w:rPr>
    </w:lvl>
    <w:lvl w:ilvl="8" w:tplc="924C0852">
      <w:numFmt w:val="bullet"/>
      <w:lvlText w:val="•"/>
      <w:lvlJc w:val="left"/>
      <w:pPr>
        <w:ind w:left="8500" w:hanging="411"/>
      </w:pPr>
      <w:rPr>
        <w:rFonts w:hint="default"/>
        <w:lang w:val="en-US" w:eastAsia="en-US" w:bidi="ar-SA"/>
      </w:rPr>
    </w:lvl>
  </w:abstractNum>
  <w:abstractNum w:abstractNumId="20" w15:restartNumberingAfterBreak="0">
    <w:nsid w:val="17E60CA2"/>
    <w:multiLevelType w:val="hybridMultilevel"/>
    <w:tmpl w:val="A9A23858"/>
    <w:lvl w:ilvl="0" w:tplc="CFC8B104">
      <w:numFmt w:val="bullet"/>
      <w:lvlText w:val="•"/>
      <w:lvlJc w:val="left"/>
      <w:pPr>
        <w:ind w:left="1269" w:hanging="454"/>
      </w:pPr>
      <w:rPr>
        <w:rFonts w:ascii="Arial" w:eastAsia="Arial" w:hAnsi="Arial" w:cs="Arial" w:hint="default"/>
        <w:b w:val="0"/>
        <w:bCs w:val="0"/>
        <w:i w:val="0"/>
        <w:iCs w:val="0"/>
        <w:spacing w:val="0"/>
        <w:w w:val="100"/>
        <w:sz w:val="20"/>
        <w:szCs w:val="20"/>
        <w:lang w:val="en-US" w:eastAsia="en-US" w:bidi="ar-SA"/>
      </w:rPr>
    </w:lvl>
    <w:lvl w:ilvl="1" w:tplc="6926700C">
      <w:numFmt w:val="bullet"/>
      <w:lvlText w:val="•"/>
      <w:lvlJc w:val="left"/>
      <w:pPr>
        <w:ind w:left="2162" w:hanging="454"/>
      </w:pPr>
      <w:rPr>
        <w:rFonts w:hint="default"/>
        <w:lang w:val="en-US" w:eastAsia="en-US" w:bidi="ar-SA"/>
      </w:rPr>
    </w:lvl>
    <w:lvl w:ilvl="2" w:tplc="D6DC4EDE">
      <w:numFmt w:val="bullet"/>
      <w:lvlText w:val="•"/>
      <w:lvlJc w:val="left"/>
      <w:pPr>
        <w:ind w:left="3065" w:hanging="454"/>
      </w:pPr>
      <w:rPr>
        <w:rFonts w:hint="default"/>
        <w:lang w:val="en-US" w:eastAsia="en-US" w:bidi="ar-SA"/>
      </w:rPr>
    </w:lvl>
    <w:lvl w:ilvl="3" w:tplc="F558E388">
      <w:numFmt w:val="bullet"/>
      <w:lvlText w:val="•"/>
      <w:lvlJc w:val="left"/>
      <w:pPr>
        <w:ind w:left="3967" w:hanging="454"/>
      </w:pPr>
      <w:rPr>
        <w:rFonts w:hint="default"/>
        <w:lang w:val="en-US" w:eastAsia="en-US" w:bidi="ar-SA"/>
      </w:rPr>
    </w:lvl>
    <w:lvl w:ilvl="4" w:tplc="6E788776">
      <w:numFmt w:val="bullet"/>
      <w:lvlText w:val="•"/>
      <w:lvlJc w:val="left"/>
      <w:pPr>
        <w:ind w:left="4870" w:hanging="454"/>
      </w:pPr>
      <w:rPr>
        <w:rFonts w:hint="default"/>
        <w:lang w:val="en-US" w:eastAsia="en-US" w:bidi="ar-SA"/>
      </w:rPr>
    </w:lvl>
    <w:lvl w:ilvl="5" w:tplc="1ACEA584">
      <w:numFmt w:val="bullet"/>
      <w:lvlText w:val="•"/>
      <w:lvlJc w:val="left"/>
      <w:pPr>
        <w:ind w:left="5772" w:hanging="454"/>
      </w:pPr>
      <w:rPr>
        <w:rFonts w:hint="default"/>
        <w:lang w:val="en-US" w:eastAsia="en-US" w:bidi="ar-SA"/>
      </w:rPr>
    </w:lvl>
    <w:lvl w:ilvl="6" w:tplc="3574EB26">
      <w:numFmt w:val="bullet"/>
      <w:lvlText w:val="•"/>
      <w:lvlJc w:val="left"/>
      <w:pPr>
        <w:ind w:left="6675" w:hanging="454"/>
      </w:pPr>
      <w:rPr>
        <w:rFonts w:hint="default"/>
        <w:lang w:val="en-US" w:eastAsia="en-US" w:bidi="ar-SA"/>
      </w:rPr>
    </w:lvl>
    <w:lvl w:ilvl="7" w:tplc="C4CEAC9E">
      <w:numFmt w:val="bullet"/>
      <w:lvlText w:val="•"/>
      <w:lvlJc w:val="left"/>
      <w:pPr>
        <w:ind w:left="7577" w:hanging="454"/>
      </w:pPr>
      <w:rPr>
        <w:rFonts w:hint="default"/>
        <w:lang w:val="en-US" w:eastAsia="en-US" w:bidi="ar-SA"/>
      </w:rPr>
    </w:lvl>
    <w:lvl w:ilvl="8" w:tplc="B27816EE">
      <w:numFmt w:val="bullet"/>
      <w:lvlText w:val="•"/>
      <w:lvlJc w:val="left"/>
      <w:pPr>
        <w:ind w:left="8480" w:hanging="454"/>
      </w:pPr>
      <w:rPr>
        <w:rFonts w:hint="default"/>
        <w:lang w:val="en-US" w:eastAsia="en-US" w:bidi="ar-SA"/>
      </w:rPr>
    </w:lvl>
  </w:abstractNum>
  <w:abstractNum w:abstractNumId="21" w15:restartNumberingAfterBreak="0">
    <w:nsid w:val="18675706"/>
    <w:multiLevelType w:val="hybridMultilevel"/>
    <w:tmpl w:val="87622C2A"/>
    <w:lvl w:ilvl="0" w:tplc="A54A8DB4">
      <w:numFmt w:val="bullet"/>
      <w:lvlText w:val="•"/>
      <w:lvlJc w:val="left"/>
      <w:pPr>
        <w:ind w:left="1269" w:hanging="454"/>
      </w:pPr>
      <w:rPr>
        <w:rFonts w:ascii="Arial" w:eastAsia="Arial" w:hAnsi="Arial" w:cs="Arial" w:hint="default"/>
        <w:b w:val="0"/>
        <w:bCs w:val="0"/>
        <w:i w:val="0"/>
        <w:iCs w:val="0"/>
        <w:spacing w:val="0"/>
        <w:w w:val="100"/>
        <w:sz w:val="20"/>
        <w:szCs w:val="20"/>
        <w:lang w:val="en-US" w:eastAsia="en-US" w:bidi="ar-SA"/>
      </w:rPr>
    </w:lvl>
    <w:lvl w:ilvl="1" w:tplc="C8F4BC5A">
      <w:numFmt w:val="bullet"/>
      <w:lvlText w:val="•"/>
      <w:lvlJc w:val="left"/>
      <w:pPr>
        <w:ind w:left="2162" w:hanging="454"/>
      </w:pPr>
      <w:rPr>
        <w:rFonts w:hint="default"/>
        <w:lang w:val="en-US" w:eastAsia="en-US" w:bidi="ar-SA"/>
      </w:rPr>
    </w:lvl>
    <w:lvl w:ilvl="2" w:tplc="388CBAEA">
      <w:numFmt w:val="bullet"/>
      <w:lvlText w:val="•"/>
      <w:lvlJc w:val="left"/>
      <w:pPr>
        <w:ind w:left="3065" w:hanging="454"/>
      </w:pPr>
      <w:rPr>
        <w:rFonts w:hint="default"/>
        <w:lang w:val="en-US" w:eastAsia="en-US" w:bidi="ar-SA"/>
      </w:rPr>
    </w:lvl>
    <w:lvl w:ilvl="3" w:tplc="46F0FB6A">
      <w:numFmt w:val="bullet"/>
      <w:lvlText w:val="•"/>
      <w:lvlJc w:val="left"/>
      <w:pPr>
        <w:ind w:left="3967" w:hanging="454"/>
      </w:pPr>
      <w:rPr>
        <w:rFonts w:hint="default"/>
        <w:lang w:val="en-US" w:eastAsia="en-US" w:bidi="ar-SA"/>
      </w:rPr>
    </w:lvl>
    <w:lvl w:ilvl="4" w:tplc="C6D2E78C">
      <w:numFmt w:val="bullet"/>
      <w:lvlText w:val="•"/>
      <w:lvlJc w:val="left"/>
      <w:pPr>
        <w:ind w:left="4870" w:hanging="454"/>
      </w:pPr>
      <w:rPr>
        <w:rFonts w:hint="default"/>
        <w:lang w:val="en-US" w:eastAsia="en-US" w:bidi="ar-SA"/>
      </w:rPr>
    </w:lvl>
    <w:lvl w:ilvl="5" w:tplc="92265BB6">
      <w:numFmt w:val="bullet"/>
      <w:lvlText w:val="•"/>
      <w:lvlJc w:val="left"/>
      <w:pPr>
        <w:ind w:left="5772" w:hanging="454"/>
      </w:pPr>
      <w:rPr>
        <w:rFonts w:hint="default"/>
        <w:lang w:val="en-US" w:eastAsia="en-US" w:bidi="ar-SA"/>
      </w:rPr>
    </w:lvl>
    <w:lvl w:ilvl="6" w:tplc="B1A82A62">
      <w:numFmt w:val="bullet"/>
      <w:lvlText w:val="•"/>
      <w:lvlJc w:val="left"/>
      <w:pPr>
        <w:ind w:left="6675" w:hanging="454"/>
      </w:pPr>
      <w:rPr>
        <w:rFonts w:hint="default"/>
        <w:lang w:val="en-US" w:eastAsia="en-US" w:bidi="ar-SA"/>
      </w:rPr>
    </w:lvl>
    <w:lvl w:ilvl="7" w:tplc="55064796">
      <w:numFmt w:val="bullet"/>
      <w:lvlText w:val="•"/>
      <w:lvlJc w:val="left"/>
      <w:pPr>
        <w:ind w:left="7577" w:hanging="454"/>
      </w:pPr>
      <w:rPr>
        <w:rFonts w:hint="default"/>
        <w:lang w:val="en-US" w:eastAsia="en-US" w:bidi="ar-SA"/>
      </w:rPr>
    </w:lvl>
    <w:lvl w:ilvl="8" w:tplc="BA4EB2CA">
      <w:numFmt w:val="bullet"/>
      <w:lvlText w:val="•"/>
      <w:lvlJc w:val="left"/>
      <w:pPr>
        <w:ind w:left="8480" w:hanging="454"/>
      </w:pPr>
      <w:rPr>
        <w:rFonts w:hint="default"/>
        <w:lang w:val="en-US" w:eastAsia="en-US" w:bidi="ar-SA"/>
      </w:rPr>
    </w:lvl>
  </w:abstractNum>
  <w:abstractNum w:abstractNumId="22" w15:restartNumberingAfterBreak="0">
    <w:nsid w:val="1A501A9A"/>
    <w:multiLevelType w:val="hybridMultilevel"/>
    <w:tmpl w:val="8C60C2B6"/>
    <w:lvl w:ilvl="0" w:tplc="32A6819C">
      <w:numFmt w:val="bullet"/>
      <w:lvlText w:val=""/>
      <w:lvlJc w:val="left"/>
      <w:pPr>
        <w:ind w:left="1339" w:hanging="360"/>
      </w:pPr>
      <w:rPr>
        <w:rFonts w:ascii="Symbol" w:eastAsia="Symbol" w:hAnsi="Symbol" w:cs="Symbol" w:hint="default"/>
        <w:b w:val="0"/>
        <w:bCs w:val="0"/>
        <w:i w:val="0"/>
        <w:iCs w:val="0"/>
        <w:spacing w:val="0"/>
        <w:w w:val="100"/>
        <w:sz w:val="18"/>
        <w:szCs w:val="18"/>
        <w:lang w:val="en-US" w:eastAsia="en-US" w:bidi="ar-SA"/>
      </w:rPr>
    </w:lvl>
    <w:lvl w:ilvl="1" w:tplc="E2CC2BBC">
      <w:numFmt w:val="bullet"/>
      <w:lvlText w:val="•"/>
      <w:lvlJc w:val="left"/>
      <w:pPr>
        <w:ind w:left="2234" w:hanging="360"/>
      </w:pPr>
      <w:rPr>
        <w:rFonts w:hint="default"/>
        <w:lang w:val="en-US" w:eastAsia="en-US" w:bidi="ar-SA"/>
      </w:rPr>
    </w:lvl>
    <w:lvl w:ilvl="2" w:tplc="2508EADA">
      <w:numFmt w:val="bullet"/>
      <w:lvlText w:val="•"/>
      <w:lvlJc w:val="left"/>
      <w:pPr>
        <w:ind w:left="3129" w:hanging="360"/>
      </w:pPr>
      <w:rPr>
        <w:rFonts w:hint="default"/>
        <w:lang w:val="en-US" w:eastAsia="en-US" w:bidi="ar-SA"/>
      </w:rPr>
    </w:lvl>
    <w:lvl w:ilvl="3" w:tplc="40D49268">
      <w:numFmt w:val="bullet"/>
      <w:lvlText w:val="•"/>
      <w:lvlJc w:val="left"/>
      <w:pPr>
        <w:ind w:left="4023" w:hanging="360"/>
      </w:pPr>
      <w:rPr>
        <w:rFonts w:hint="default"/>
        <w:lang w:val="en-US" w:eastAsia="en-US" w:bidi="ar-SA"/>
      </w:rPr>
    </w:lvl>
    <w:lvl w:ilvl="4" w:tplc="252C7B30">
      <w:numFmt w:val="bullet"/>
      <w:lvlText w:val="•"/>
      <w:lvlJc w:val="left"/>
      <w:pPr>
        <w:ind w:left="4918" w:hanging="360"/>
      </w:pPr>
      <w:rPr>
        <w:rFonts w:hint="default"/>
        <w:lang w:val="en-US" w:eastAsia="en-US" w:bidi="ar-SA"/>
      </w:rPr>
    </w:lvl>
    <w:lvl w:ilvl="5" w:tplc="77265184">
      <w:numFmt w:val="bullet"/>
      <w:lvlText w:val="•"/>
      <w:lvlJc w:val="left"/>
      <w:pPr>
        <w:ind w:left="5812" w:hanging="360"/>
      </w:pPr>
      <w:rPr>
        <w:rFonts w:hint="default"/>
        <w:lang w:val="en-US" w:eastAsia="en-US" w:bidi="ar-SA"/>
      </w:rPr>
    </w:lvl>
    <w:lvl w:ilvl="6" w:tplc="A6FC9290">
      <w:numFmt w:val="bullet"/>
      <w:lvlText w:val="•"/>
      <w:lvlJc w:val="left"/>
      <w:pPr>
        <w:ind w:left="6707" w:hanging="360"/>
      </w:pPr>
      <w:rPr>
        <w:rFonts w:hint="default"/>
        <w:lang w:val="en-US" w:eastAsia="en-US" w:bidi="ar-SA"/>
      </w:rPr>
    </w:lvl>
    <w:lvl w:ilvl="7" w:tplc="4314A3B6">
      <w:numFmt w:val="bullet"/>
      <w:lvlText w:val="•"/>
      <w:lvlJc w:val="left"/>
      <w:pPr>
        <w:ind w:left="7601" w:hanging="360"/>
      </w:pPr>
      <w:rPr>
        <w:rFonts w:hint="default"/>
        <w:lang w:val="en-US" w:eastAsia="en-US" w:bidi="ar-SA"/>
      </w:rPr>
    </w:lvl>
    <w:lvl w:ilvl="8" w:tplc="EBE8D154">
      <w:numFmt w:val="bullet"/>
      <w:lvlText w:val="•"/>
      <w:lvlJc w:val="left"/>
      <w:pPr>
        <w:ind w:left="8496" w:hanging="360"/>
      </w:pPr>
      <w:rPr>
        <w:rFonts w:hint="default"/>
        <w:lang w:val="en-US" w:eastAsia="en-US" w:bidi="ar-SA"/>
      </w:rPr>
    </w:lvl>
  </w:abstractNum>
  <w:abstractNum w:abstractNumId="23" w15:restartNumberingAfterBreak="0">
    <w:nsid w:val="1B0254CB"/>
    <w:multiLevelType w:val="hybridMultilevel"/>
    <w:tmpl w:val="94AE7D00"/>
    <w:lvl w:ilvl="0" w:tplc="FBE2C55A">
      <w:start w:val="1"/>
      <w:numFmt w:val="lowerLetter"/>
      <w:lvlText w:val="%1."/>
      <w:lvlJc w:val="left"/>
      <w:pPr>
        <w:ind w:left="1699" w:hanging="360"/>
        <w:jc w:val="left"/>
      </w:pPr>
      <w:rPr>
        <w:rFonts w:ascii="Arial" w:eastAsia="Arial" w:hAnsi="Arial" w:cs="Arial" w:hint="default"/>
        <w:b w:val="0"/>
        <w:bCs w:val="0"/>
        <w:i w:val="0"/>
        <w:iCs w:val="0"/>
        <w:spacing w:val="0"/>
        <w:w w:val="100"/>
        <w:sz w:val="18"/>
        <w:szCs w:val="18"/>
        <w:lang w:val="en-US" w:eastAsia="en-US" w:bidi="ar-SA"/>
      </w:rPr>
    </w:lvl>
    <w:lvl w:ilvl="1" w:tplc="AE663098">
      <w:numFmt w:val="bullet"/>
      <w:lvlText w:val="•"/>
      <w:lvlJc w:val="left"/>
      <w:pPr>
        <w:ind w:left="2558" w:hanging="360"/>
      </w:pPr>
      <w:rPr>
        <w:rFonts w:hint="default"/>
        <w:lang w:val="en-US" w:eastAsia="en-US" w:bidi="ar-SA"/>
      </w:rPr>
    </w:lvl>
    <w:lvl w:ilvl="2" w:tplc="B0D2FDC4">
      <w:numFmt w:val="bullet"/>
      <w:lvlText w:val="•"/>
      <w:lvlJc w:val="left"/>
      <w:pPr>
        <w:ind w:left="3417" w:hanging="360"/>
      </w:pPr>
      <w:rPr>
        <w:rFonts w:hint="default"/>
        <w:lang w:val="en-US" w:eastAsia="en-US" w:bidi="ar-SA"/>
      </w:rPr>
    </w:lvl>
    <w:lvl w:ilvl="3" w:tplc="0D98BB34">
      <w:numFmt w:val="bullet"/>
      <w:lvlText w:val="•"/>
      <w:lvlJc w:val="left"/>
      <w:pPr>
        <w:ind w:left="4275" w:hanging="360"/>
      </w:pPr>
      <w:rPr>
        <w:rFonts w:hint="default"/>
        <w:lang w:val="en-US" w:eastAsia="en-US" w:bidi="ar-SA"/>
      </w:rPr>
    </w:lvl>
    <w:lvl w:ilvl="4" w:tplc="2B4EC162">
      <w:numFmt w:val="bullet"/>
      <w:lvlText w:val="•"/>
      <w:lvlJc w:val="left"/>
      <w:pPr>
        <w:ind w:left="5134" w:hanging="360"/>
      </w:pPr>
      <w:rPr>
        <w:rFonts w:hint="default"/>
        <w:lang w:val="en-US" w:eastAsia="en-US" w:bidi="ar-SA"/>
      </w:rPr>
    </w:lvl>
    <w:lvl w:ilvl="5" w:tplc="6CCAEA70">
      <w:numFmt w:val="bullet"/>
      <w:lvlText w:val="•"/>
      <w:lvlJc w:val="left"/>
      <w:pPr>
        <w:ind w:left="5992" w:hanging="360"/>
      </w:pPr>
      <w:rPr>
        <w:rFonts w:hint="default"/>
        <w:lang w:val="en-US" w:eastAsia="en-US" w:bidi="ar-SA"/>
      </w:rPr>
    </w:lvl>
    <w:lvl w:ilvl="6" w:tplc="8AF69A34">
      <w:numFmt w:val="bullet"/>
      <w:lvlText w:val="•"/>
      <w:lvlJc w:val="left"/>
      <w:pPr>
        <w:ind w:left="6851" w:hanging="360"/>
      </w:pPr>
      <w:rPr>
        <w:rFonts w:hint="default"/>
        <w:lang w:val="en-US" w:eastAsia="en-US" w:bidi="ar-SA"/>
      </w:rPr>
    </w:lvl>
    <w:lvl w:ilvl="7" w:tplc="2DF45D54">
      <w:numFmt w:val="bullet"/>
      <w:lvlText w:val="•"/>
      <w:lvlJc w:val="left"/>
      <w:pPr>
        <w:ind w:left="7709" w:hanging="360"/>
      </w:pPr>
      <w:rPr>
        <w:rFonts w:hint="default"/>
        <w:lang w:val="en-US" w:eastAsia="en-US" w:bidi="ar-SA"/>
      </w:rPr>
    </w:lvl>
    <w:lvl w:ilvl="8" w:tplc="F6B65960">
      <w:numFmt w:val="bullet"/>
      <w:lvlText w:val="•"/>
      <w:lvlJc w:val="left"/>
      <w:pPr>
        <w:ind w:left="8568" w:hanging="360"/>
      </w:pPr>
      <w:rPr>
        <w:rFonts w:hint="default"/>
        <w:lang w:val="en-US" w:eastAsia="en-US" w:bidi="ar-SA"/>
      </w:rPr>
    </w:lvl>
  </w:abstractNum>
  <w:abstractNum w:abstractNumId="24" w15:restartNumberingAfterBreak="0">
    <w:nsid w:val="1B5B2605"/>
    <w:multiLevelType w:val="hybridMultilevel"/>
    <w:tmpl w:val="7B807394"/>
    <w:lvl w:ilvl="0" w:tplc="83B06784">
      <w:numFmt w:val="bullet"/>
      <w:lvlText w:val=""/>
      <w:lvlJc w:val="left"/>
      <w:pPr>
        <w:ind w:left="1339" w:hanging="360"/>
      </w:pPr>
      <w:rPr>
        <w:rFonts w:ascii="Symbol" w:eastAsia="Symbol" w:hAnsi="Symbol" w:cs="Symbol" w:hint="default"/>
        <w:b w:val="0"/>
        <w:bCs w:val="0"/>
        <w:i w:val="0"/>
        <w:iCs w:val="0"/>
        <w:spacing w:val="0"/>
        <w:w w:val="100"/>
        <w:sz w:val="18"/>
        <w:szCs w:val="18"/>
        <w:lang w:val="en-US" w:eastAsia="en-US" w:bidi="ar-SA"/>
      </w:rPr>
    </w:lvl>
    <w:lvl w:ilvl="1" w:tplc="BC06D552">
      <w:numFmt w:val="bullet"/>
      <w:lvlText w:val="•"/>
      <w:lvlJc w:val="left"/>
      <w:pPr>
        <w:ind w:left="2234" w:hanging="360"/>
      </w:pPr>
      <w:rPr>
        <w:rFonts w:hint="default"/>
        <w:lang w:val="en-US" w:eastAsia="en-US" w:bidi="ar-SA"/>
      </w:rPr>
    </w:lvl>
    <w:lvl w:ilvl="2" w:tplc="51407CFC">
      <w:numFmt w:val="bullet"/>
      <w:lvlText w:val="•"/>
      <w:lvlJc w:val="left"/>
      <w:pPr>
        <w:ind w:left="3129" w:hanging="360"/>
      </w:pPr>
      <w:rPr>
        <w:rFonts w:hint="default"/>
        <w:lang w:val="en-US" w:eastAsia="en-US" w:bidi="ar-SA"/>
      </w:rPr>
    </w:lvl>
    <w:lvl w:ilvl="3" w:tplc="50624F46">
      <w:numFmt w:val="bullet"/>
      <w:lvlText w:val="•"/>
      <w:lvlJc w:val="left"/>
      <w:pPr>
        <w:ind w:left="4023" w:hanging="360"/>
      </w:pPr>
      <w:rPr>
        <w:rFonts w:hint="default"/>
        <w:lang w:val="en-US" w:eastAsia="en-US" w:bidi="ar-SA"/>
      </w:rPr>
    </w:lvl>
    <w:lvl w:ilvl="4" w:tplc="94B0A9AE">
      <w:numFmt w:val="bullet"/>
      <w:lvlText w:val="•"/>
      <w:lvlJc w:val="left"/>
      <w:pPr>
        <w:ind w:left="4918" w:hanging="360"/>
      </w:pPr>
      <w:rPr>
        <w:rFonts w:hint="default"/>
        <w:lang w:val="en-US" w:eastAsia="en-US" w:bidi="ar-SA"/>
      </w:rPr>
    </w:lvl>
    <w:lvl w:ilvl="5" w:tplc="0F6E425C">
      <w:numFmt w:val="bullet"/>
      <w:lvlText w:val="•"/>
      <w:lvlJc w:val="left"/>
      <w:pPr>
        <w:ind w:left="5812" w:hanging="360"/>
      </w:pPr>
      <w:rPr>
        <w:rFonts w:hint="default"/>
        <w:lang w:val="en-US" w:eastAsia="en-US" w:bidi="ar-SA"/>
      </w:rPr>
    </w:lvl>
    <w:lvl w:ilvl="6" w:tplc="1E6C88BA">
      <w:numFmt w:val="bullet"/>
      <w:lvlText w:val="•"/>
      <w:lvlJc w:val="left"/>
      <w:pPr>
        <w:ind w:left="6707" w:hanging="360"/>
      </w:pPr>
      <w:rPr>
        <w:rFonts w:hint="default"/>
        <w:lang w:val="en-US" w:eastAsia="en-US" w:bidi="ar-SA"/>
      </w:rPr>
    </w:lvl>
    <w:lvl w:ilvl="7" w:tplc="EF46F4B2">
      <w:numFmt w:val="bullet"/>
      <w:lvlText w:val="•"/>
      <w:lvlJc w:val="left"/>
      <w:pPr>
        <w:ind w:left="7601" w:hanging="360"/>
      </w:pPr>
      <w:rPr>
        <w:rFonts w:hint="default"/>
        <w:lang w:val="en-US" w:eastAsia="en-US" w:bidi="ar-SA"/>
      </w:rPr>
    </w:lvl>
    <w:lvl w:ilvl="8" w:tplc="EB64E502">
      <w:numFmt w:val="bullet"/>
      <w:lvlText w:val="•"/>
      <w:lvlJc w:val="left"/>
      <w:pPr>
        <w:ind w:left="8496" w:hanging="360"/>
      </w:pPr>
      <w:rPr>
        <w:rFonts w:hint="default"/>
        <w:lang w:val="en-US" w:eastAsia="en-US" w:bidi="ar-SA"/>
      </w:rPr>
    </w:lvl>
  </w:abstractNum>
  <w:abstractNum w:abstractNumId="25" w15:restartNumberingAfterBreak="0">
    <w:nsid w:val="1CAF2768"/>
    <w:multiLevelType w:val="hybridMultilevel"/>
    <w:tmpl w:val="F4527F52"/>
    <w:lvl w:ilvl="0" w:tplc="D6EE112C">
      <w:numFmt w:val="bullet"/>
      <w:lvlText w:val=""/>
      <w:lvlJc w:val="left"/>
      <w:pPr>
        <w:ind w:left="1340" w:hanging="360"/>
      </w:pPr>
      <w:rPr>
        <w:rFonts w:ascii="Symbol" w:eastAsia="Symbol" w:hAnsi="Symbol" w:cs="Symbol" w:hint="default"/>
        <w:b w:val="0"/>
        <w:bCs w:val="0"/>
        <w:i w:val="0"/>
        <w:iCs w:val="0"/>
        <w:spacing w:val="0"/>
        <w:w w:val="100"/>
        <w:sz w:val="18"/>
        <w:szCs w:val="18"/>
        <w:lang w:val="en-US" w:eastAsia="en-US" w:bidi="ar-SA"/>
      </w:rPr>
    </w:lvl>
    <w:lvl w:ilvl="1" w:tplc="2F3EA406">
      <w:numFmt w:val="bullet"/>
      <w:lvlText w:val="•"/>
      <w:lvlJc w:val="left"/>
      <w:pPr>
        <w:ind w:left="2234" w:hanging="360"/>
      </w:pPr>
      <w:rPr>
        <w:rFonts w:hint="default"/>
        <w:lang w:val="en-US" w:eastAsia="en-US" w:bidi="ar-SA"/>
      </w:rPr>
    </w:lvl>
    <w:lvl w:ilvl="2" w:tplc="234A4052">
      <w:numFmt w:val="bullet"/>
      <w:lvlText w:val="•"/>
      <w:lvlJc w:val="left"/>
      <w:pPr>
        <w:ind w:left="3129" w:hanging="360"/>
      </w:pPr>
      <w:rPr>
        <w:rFonts w:hint="default"/>
        <w:lang w:val="en-US" w:eastAsia="en-US" w:bidi="ar-SA"/>
      </w:rPr>
    </w:lvl>
    <w:lvl w:ilvl="3" w:tplc="F01A9B70">
      <w:numFmt w:val="bullet"/>
      <w:lvlText w:val="•"/>
      <w:lvlJc w:val="left"/>
      <w:pPr>
        <w:ind w:left="4023" w:hanging="360"/>
      </w:pPr>
      <w:rPr>
        <w:rFonts w:hint="default"/>
        <w:lang w:val="en-US" w:eastAsia="en-US" w:bidi="ar-SA"/>
      </w:rPr>
    </w:lvl>
    <w:lvl w:ilvl="4" w:tplc="A9BAF8A4">
      <w:numFmt w:val="bullet"/>
      <w:lvlText w:val="•"/>
      <w:lvlJc w:val="left"/>
      <w:pPr>
        <w:ind w:left="4918" w:hanging="360"/>
      </w:pPr>
      <w:rPr>
        <w:rFonts w:hint="default"/>
        <w:lang w:val="en-US" w:eastAsia="en-US" w:bidi="ar-SA"/>
      </w:rPr>
    </w:lvl>
    <w:lvl w:ilvl="5" w:tplc="42D0B060">
      <w:numFmt w:val="bullet"/>
      <w:lvlText w:val="•"/>
      <w:lvlJc w:val="left"/>
      <w:pPr>
        <w:ind w:left="5812" w:hanging="360"/>
      </w:pPr>
      <w:rPr>
        <w:rFonts w:hint="default"/>
        <w:lang w:val="en-US" w:eastAsia="en-US" w:bidi="ar-SA"/>
      </w:rPr>
    </w:lvl>
    <w:lvl w:ilvl="6" w:tplc="E1CA7D5A">
      <w:numFmt w:val="bullet"/>
      <w:lvlText w:val="•"/>
      <w:lvlJc w:val="left"/>
      <w:pPr>
        <w:ind w:left="6707" w:hanging="360"/>
      </w:pPr>
      <w:rPr>
        <w:rFonts w:hint="default"/>
        <w:lang w:val="en-US" w:eastAsia="en-US" w:bidi="ar-SA"/>
      </w:rPr>
    </w:lvl>
    <w:lvl w:ilvl="7" w:tplc="5B006EBA">
      <w:numFmt w:val="bullet"/>
      <w:lvlText w:val="•"/>
      <w:lvlJc w:val="left"/>
      <w:pPr>
        <w:ind w:left="7601" w:hanging="360"/>
      </w:pPr>
      <w:rPr>
        <w:rFonts w:hint="default"/>
        <w:lang w:val="en-US" w:eastAsia="en-US" w:bidi="ar-SA"/>
      </w:rPr>
    </w:lvl>
    <w:lvl w:ilvl="8" w:tplc="4EBE5B80">
      <w:numFmt w:val="bullet"/>
      <w:lvlText w:val="•"/>
      <w:lvlJc w:val="left"/>
      <w:pPr>
        <w:ind w:left="8496" w:hanging="360"/>
      </w:pPr>
      <w:rPr>
        <w:rFonts w:hint="default"/>
        <w:lang w:val="en-US" w:eastAsia="en-US" w:bidi="ar-SA"/>
      </w:rPr>
    </w:lvl>
  </w:abstractNum>
  <w:abstractNum w:abstractNumId="26" w15:restartNumberingAfterBreak="0">
    <w:nsid w:val="1FA8266D"/>
    <w:multiLevelType w:val="multilevel"/>
    <w:tmpl w:val="D95E73AC"/>
    <w:lvl w:ilvl="0">
      <w:start w:val="14"/>
      <w:numFmt w:val="decimal"/>
      <w:lvlText w:val="%1"/>
      <w:lvlJc w:val="left"/>
      <w:pPr>
        <w:ind w:left="1812" w:hanging="426"/>
        <w:jc w:val="left"/>
      </w:pPr>
      <w:rPr>
        <w:rFonts w:hint="default"/>
        <w:lang w:val="en-US" w:eastAsia="en-US" w:bidi="ar-SA"/>
      </w:rPr>
    </w:lvl>
    <w:lvl w:ilvl="1">
      <w:start w:val="1"/>
      <w:numFmt w:val="decimal"/>
      <w:lvlText w:val="%1.%2"/>
      <w:lvlJc w:val="left"/>
      <w:pPr>
        <w:ind w:left="1812" w:hanging="426"/>
        <w:jc w:val="left"/>
      </w:pPr>
      <w:rPr>
        <w:rFonts w:hint="default"/>
        <w:lang w:val="en-US" w:eastAsia="en-US" w:bidi="ar-SA"/>
      </w:rPr>
    </w:lvl>
    <w:lvl w:ilvl="2">
      <w:start w:val="2"/>
      <w:numFmt w:val="decimal"/>
      <w:lvlText w:val="%1.%2.%3"/>
      <w:lvlJc w:val="left"/>
      <w:pPr>
        <w:ind w:left="1812"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2188" w:hanging="426"/>
      </w:pPr>
      <w:rPr>
        <w:rFonts w:hint="default"/>
        <w:lang w:val="en-US" w:eastAsia="en-US" w:bidi="ar-SA"/>
      </w:rPr>
    </w:lvl>
    <w:lvl w:ilvl="4">
      <w:numFmt w:val="bullet"/>
      <w:lvlText w:val="•"/>
      <w:lvlJc w:val="left"/>
      <w:pPr>
        <w:ind w:left="2311" w:hanging="426"/>
      </w:pPr>
      <w:rPr>
        <w:rFonts w:hint="default"/>
        <w:lang w:val="en-US" w:eastAsia="en-US" w:bidi="ar-SA"/>
      </w:rPr>
    </w:lvl>
    <w:lvl w:ilvl="5">
      <w:numFmt w:val="bullet"/>
      <w:lvlText w:val="•"/>
      <w:lvlJc w:val="left"/>
      <w:pPr>
        <w:ind w:left="2434" w:hanging="426"/>
      </w:pPr>
      <w:rPr>
        <w:rFonts w:hint="default"/>
        <w:lang w:val="en-US" w:eastAsia="en-US" w:bidi="ar-SA"/>
      </w:rPr>
    </w:lvl>
    <w:lvl w:ilvl="6">
      <w:numFmt w:val="bullet"/>
      <w:lvlText w:val="•"/>
      <w:lvlJc w:val="left"/>
      <w:pPr>
        <w:ind w:left="2556" w:hanging="426"/>
      </w:pPr>
      <w:rPr>
        <w:rFonts w:hint="default"/>
        <w:lang w:val="en-US" w:eastAsia="en-US" w:bidi="ar-SA"/>
      </w:rPr>
    </w:lvl>
    <w:lvl w:ilvl="7">
      <w:numFmt w:val="bullet"/>
      <w:lvlText w:val="•"/>
      <w:lvlJc w:val="left"/>
      <w:pPr>
        <w:ind w:left="2679" w:hanging="426"/>
      </w:pPr>
      <w:rPr>
        <w:rFonts w:hint="default"/>
        <w:lang w:val="en-US" w:eastAsia="en-US" w:bidi="ar-SA"/>
      </w:rPr>
    </w:lvl>
    <w:lvl w:ilvl="8">
      <w:numFmt w:val="bullet"/>
      <w:lvlText w:val="•"/>
      <w:lvlJc w:val="left"/>
      <w:pPr>
        <w:ind w:left="2802" w:hanging="426"/>
      </w:pPr>
      <w:rPr>
        <w:rFonts w:hint="default"/>
        <w:lang w:val="en-US" w:eastAsia="en-US" w:bidi="ar-SA"/>
      </w:rPr>
    </w:lvl>
  </w:abstractNum>
  <w:abstractNum w:abstractNumId="27" w15:restartNumberingAfterBreak="0">
    <w:nsid w:val="20F4689E"/>
    <w:multiLevelType w:val="hybridMultilevel"/>
    <w:tmpl w:val="A5CADFC8"/>
    <w:lvl w:ilvl="0" w:tplc="BED2F3BA">
      <w:start w:val="1"/>
      <w:numFmt w:val="decimal"/>
      <w:lvlText w:val="%1."/>
      <w:lvlJc w:val="left"/>
      <w:pPr>
        <w:ind w:left="1268" w:hanging="341"/>
        <w:jc w:val="left"/>
      </w:pPr>
      <w:rPr>
        <w:rFonts w:ascii="Arial" w:eastAsia="Arial" w:hAnsi="Arial" w:cs="Arial" w:hint="default"/>
        <w:b w:val="0"/>
        <w:bCs w:val="0"/>
        <w:i w:val="0"/>
        <w:iCs w:val="0"/>
        <w:spacing w:val="0"/>
        <w:w w:val="100"/>
        <w:sz w:val="20"/>
        <w:szCs w:val="20"/>
        <w:lang w:val="en-US" w:eastAsia="en-US" w:bidi="ar-SA"/>
      </w:rPr>
    </w:lvl>
    <w:lvl w:ilvl="1" w:tplc="C5886A7A">
      <w:numFmt w:val="bullet"/>
      <w:lvlText w:val="•"/>
      <w:lvlJc w:val="left"/>
      <w:pPr>
        <w:ind w:left="1439" w:hanging="170"/>
      </w:pPr>
      <w:rPr>
        <w:rFonts w:ascii="Arial" w:eastAsia="Arial" w:hAnsi="Arial" w:cs="Arial" w:hint="default"/>
        <w:b w:val="0"/>
        <w:bCs w:val="0"/>
        <w:i w:val="0"/>
        <w:iCs w:val="0"/>
        <w:spacing w:val="0"/>
        <w:w w:val="100"/>
        <w:sz w:val="20"/>
        <w:szCs w:val="20"/>
        <w:lang w:val="en-US" w:eastAsia="en-US" w:bidi="ar-SA"/>
      </w:rPr>
    </w:lvl>
    <w:lvl w:ilvl="2" w:tplc="35B61258">
      <w:numFmt w:val="bullet"/>
      <w:lvlText w:val="•"/>
      <w:lvlJc w:val="left"/>
      <w:pPr>
        <w:ind w:left="1685" w:hanging="170"/>
      </w:pPr>
      <w:rPr>
        <w:rFonts w:hint="default"/>
        <w:lang w:val="en-US" w:eastAsia="en-US" w:bidi="ar-SA"/>
      </w:rPr>
    </w:lvl>
    <w:lvl w:ilvl="3" w:tplc="07C43DD4">
      <w:numFmt w:val="bullet"/>
      <w:lvlText w:val="•"/>
      <w:lvlJc w:val="left"/>
      <w:pPr>
        <w:ind w:left="1930" w:hanging="170"/>
      </w:pPr>
      <w:rPr>
        <w:rFonts w:hint="default"/>
        <w:lang w:val="en-US" w:eastAsia="en-US" w:bidi="ar-SA"/>
      </w:rPr>
    </w:lvl>
    <w:lvl w:ilvl="4" w:tplc="4142FDBA">
      <w:numFmt w:val="bullet"/>
      <w:lvlText w:val="•"/>
      <w:lvlJc w:val="left"/>
      <w:pPr>
        <w:ind w:left="2176" w:hanging="170"/>
      </w:pPr>
      <w:rPr>
        <w:rFonts w:hint="default"/>
        <w:lang w:val="en-US" w:eastAsia="en-US" w:bidi="ar-SA"/>
      </w:rPr>
    </w:lvl>
    <w:lvl w:ilvl="5" w:tplc="59A8E942">
      <w:numFmt w:val="bullet"/>
      <w:lvlText w:val="•"/>
      <w:lvlJc w:val="left"/>
      <w:pPr>
        <w:ind w:left="2421" w:hanging="170"/>
      </w:pPr>
      <w:rPr>
        <w:rFonts w:hint="default"/>
        <w:lang w:val="en-US" w:eastAsia="en-US" w:bidi="ar-SA"/>
      </w:rPr>
    </w:lvl>
    <w:lvl w:ilvl="6" w:tplc="2DA4748A">
      <w:numFmt w:val="bullet"/>
      <w:lvlText w:val="•"/>
      <w:lvlJc w:val="left"/>
      <w:pPr>
        <w:ind w:left="2667" w:hanging="170"/>
      </w:pPr>
      <w:rPr>
        <w:rFonts w:hint="default"/>
        <w:lang w:val="en-US" w:eastAsia="en-US" w:bidi="ar-SA"/>
      </w:rPr>
    </w:lvl>
    <w:lvl w:ilvl="7" w:tplc="5D7AA4BA">
      <w:numFmt w:val="bullet"/>
      <w:lvlText w:val="•"/>
      <w:lvlJc w:val="left"/>
      <w:pPr>
        <w:ind w:left="2912" w:hanging="170"/>
      </w:pPr>
      <w:rPr>
        <w:rFonts w:hint="default"/>
        <w:lang w:val="en-US" w:eastAsia="en-US" w:bidi="ar-SA"/>
      </w:rPr>
    </w:lvl>
    <w:lvl w:ilvl="8" w:tplc="0DB43914">
      <w:numFmt w:val="bullet"/>
      <w:lvlText w:val="•"/>
      <w:lvlJc w:val="left"/>
      <w:pPr>
        <w:ind w:left="3158" w:hanging="170"/>
      </w:pPr>
      <w:rPr>
        <w:rFonts w:hint="default"/>
        <w:lang w:val="en-US" w:eastAsia="en-US" w:bidi="ar-SA"/>
      </w:rPr>
    </w:lvl>
  </w:abstractNum>
  <w:abstractNum w:abstractNumId="28" w15:restartNumberingAfterBreak="0">
    <w:nsid w:val="228D2A06"/>
    <w:multiLevelType w:val="multilevel"/>
    <w:tmpl w:val="CD26E854"/>
    <w:lvl w:ilvl="0">
      <w:start w:val="21"/>
      <w:numFmt w:val="decimal"/>
      <w:lvlText w:val="%1"/>
      <w:lvlJc w:val="left"/>
      <w:pPr>
        <w:ind w:left="2457" w:hanging="426"/>
        <w:jc w:val="left"/>
      </w:pPr>
      <w:rPr>
        <w:rFonts w:hint="default"/>
        <w:lang w:val="en-US" w:eastAsia="en-US" w:bidi="ar-SA"/>
      </w:rPr>
    </w:lvl>
    <w:lvl w:ilvl="1">
      <w:start w:val="1"/>
      <w:numFmt w:val="decimal"/>
      <w:lvlText w:val="%1.%2"/>
      <w:lvlJc w:val="left"/>
      <w:pPr>
        <w:ind w:left="2457" w:hanging="426"/>
        <w:jc w:val="left"/>
      </w:pPr>
      <w:rPr>
        <w:rFonts w:hint="default"/>
        <w:lang w:val="en-US" w:eastAsia="en-US" w:bidi="ar-SA"/>
      </w:rPr>
    </w:lvl>
    <w:lvl w:ilvl="2">
      <w:start w:val="2"/>
      <w:numFmt w:val="decimal"/>
      <w:lvlText w:val="%1.%2.%3"/>
      <w:lvlJc w:val="left"/>
      <w:pPr>
        <w:ind w:left="2457"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3383" w:hanging="426"/>
      </w:pPr>
      <w:rPr>
        <w:rFonts w:hint="default"/>
        <w:lang w:val="en-US" w:eastAsia="en-US" w:bidi="ar-SA"/>
      </w:rPr>
    </w:lvl>
    <w:lvl w:ilvl="4">
      <w:numFmt w:val="bullet"/>
      <w:lvlText w:val="•"/>
      <w:lvlJc w:val="left"/>
      <w:pPr>
        <w:ind w:left="3691" w:hanging="426"/>
      </w:pPr>
      <w:rPr>
        <w:rFonts w:hint="default"/>
        <w:lang w:val="en-US" w:eastAsia="en-US" w:bidi="ar-SA"/>
      </w:rPr>
    </w:lvl>
    <w:lvl w:ilvl="5">
      <w:numFmt w:val="bullet"/>
      <w:lvlText w:val="•"/>
      <w:lvlJc w:val="left"/>
      <w:pPr>
        <w:ind w:left="3999" w:hanging="426"/>
      </w:pPr>
      <w:rPr>
        <w:rFonts w:hint="default"/>
        <w:lang w:val="en-US" w:eastAsia="en-US" w:bidi="ar-SA"/>
      </w:rPr>
    </w:lvl>
    <w:lvl w:ilvl="6">
      <w:numFmt w:val="bullet"/>
      <w:lvlText w:val="•"/>
      <w:lvlJc w:val="left"/>
      <w:pPr>
        <w:ind w:left="4307" w:hanging="426"/>
      </w:pPr>
      <w:rPr>
        <w:rFonts w:hint="default"/>
        <w:lang w:val="en-US" w:eastAsia="en-US" w:bidi="ar-SA"/>
      </w:rPr>
    </w:lvl>
    <w:lvl w:ilvl="7">
      <w:numFmt w:val="bullet"/>
      <w:lvlText w:val="•"/>
      <w:lvlJc w:val="left"/>
      <w:pPr>
        <w:ind w:left="4614" w:hanging="426"/>
      </w:pPr>
      <w:rPr>
        <w:rFonts w:hint="default"/>
        <w:lang w:val="en-US" w:eastAsia="en-US" w:bidi="ar-SA"/>
      </w:rPr>
    </w:lvl>
    <w:lvl w:ilvl="8">
      <w:numFmt w:val="bullet"/>
      <w:lvlText w:val="•"/>
      <w:lvlJc w:val="left"/>
      <w:pPr>
        <w:ind w:left="4922" w:hanging="426"/>
      </w:pPr>
      <w:rPr>
        <w:rFonts w:hint="default"/>
        <w:lang w:val="en-US" w:eastAsia="en-US" w:bidi="ar-SA"/>
      </w:rPr>
    </w:lvl>
  </w:abstractNum>
  <w:abstractNum w:abstractNumId="29" w15:restartNumberingAfterBreak="0">
    <w:nsid w:val="23C1571E"/>
    <w:multiLevelType w:val="hybridMultilevel"/>
    <w:tmpl w:val="D25A5190"/>
    <w:lvl w:ilvl="0" w:tplc="991E793C">
      <w:numFmt w:val="bullet"/>
      <w:lvlText w:val="·"/>
      <w:lvlJc w:val="left"/>
      <w:pPr>
        <w:ind w:left="133" w:hanging="109"/>
      </w:pPr>
      <w:rPr>
        <w:rFonts w:ascii="Arial" w:eastAsia="Arial" w:hAnsi="Arial" w:cs="Arial" w:hint="default"/>
        <w:b w:val="0"/>
        <w:bCs w:val="0"/>
        <w:i w:val="0"/>
        <w:iCs w:val="0"/>
        <w:spacing w:val="0"/>
        <w:w w:val="99"/>
        <w:sz w:val="13"/>
        <w:szCs w:val="13"/>
        <w:lang w:val="en-US" w:eastAsia="en-US" w:bidi="ar-SA"/>
      </w:rPr>
    </w:lvl>
    <w:lvl w:ilvl="1" w:tplc="7F6A9F40">
      <w:numFmt w:val="bullet"/>
      <w:lvlText w:val="•"/>
      <w:lvlJc w:val="left"/>
      <w:pPr>
        <w:ind w:left="973" w:hanging="109"/>
      </w:pPr>
      <w:rPr>
        <w:rFonts w:hint="default"/>
        <w:lang w:val="en-US" w:eastAsia="en-US" w:bidi="ar-SA"/>
      </w:rPr>
    </w:lvl>
    <w:lvl w:ilvl="2" w:tplc="F5EE668C">
      <w:numFmt w:val="bullet"/>
      <w:lvlText w:val="•"/>
      <w:lvlJc w:val="left"/>
      <w:pPr>
        <w:ind w:left="1807" w:hanging="109"/>
      </w:pPr>
      <w:rPr>
        <w:rFonts w:hint="default"/>
        <w:lang w:val="en-US" w:eastAsia="en-US" w:bidi="ar-SA"/>
      </w:rPr>
    </w:lvl>
    <w:lvl w:ilvl="3" w:tplc="6D62D8F4">
      <w:numFmt w:val="bullet"/>
      <w:lvlText w:val="•"/>
      <w:lvlJc w:val="left"/>
      <w:pPr>
        <w:ind w:left="2640" w:hanging="109"/>
      </w:pPr>
      <w:rPr>
        <w:rFonts w:hint="default"/>
        <w:lang w:val="en-US" w:eastAsia="en-US" w:bidi="ar-SA"/>
      </w:rPr>
    </w:lvl>
    <w:lvl w:ilvl="4" w:tplc="C290BD34">
      <w:numFmt w:val="bullet"/>
      <w:lvlText w:val="•"/>
      <w:lvlJc w:val="left"/>
      <w:pPr>
        <w:ind w:left="3474" w:hanging="109"/>
      </w:pPr>
      <w:rPr>
        <w:rFonts w:hint="default"/>
        <w:lang w:val="en-US" w:eastAsia="en-US" w:bidi="ar-SA"/>
      </w:rPr>
    </w:lvl>
    <w:lvl w:ilvl="5" w:tplc="F118DA60">
      <w:numFmt w:val="bullet"/>
      <w:lvlText w:val="•"/>
      <w:lvlJc w:val="left"/>
      <w:pPr>
        <w:ind w:left="4308" w:hanging="109"/>
      </w:pPr>
      <w:rPr>
        <w:rFonts w:hint="default"/>
        <w:lang w:val="en-US" w:eastAsia="en-US" w:bidi="ar-SA"/>
      </w:rPr>
    </w:lvl>
    <w:lvl w:ilvl="6" w:tplc="331E7EEA">
      <w:numFmt w:val="bullet"/>
      <w:lvlText w:val="•"/>
      <w:lvlJc w:val="left"/>
      <w:pPr>
        <w:ind w:left="5141" w:hanging="109"/>
      </w:pPr>
      <w:rPr>
        <w:rFonts w:hint="default"/>
        <w:lang w:val="en-US" w:eastAsia="en-US" w:bidi="ar-SA"/>
      </w:rPr>
    </w:lvl>
    <w:lvl w:ilvl="7" w:tplc="60C00874">
      <w:numFmt w:val="bullet"/>
      <w:lvlText w:val="•"/>
      <w:lvlJc w:val="left"/>
      <w:pPr>
        <w:ind w:left="5975" w:hanging="109"/>
      </w:pPr>
      <w:rPr>
        <w:rFonts w:hint="default"/>
        <w:lang w:val="en-US" w:eastAsia="en-US" w:bidi="ar-SA"/>
      </w:rPr>
    </w:lvl>
    <w:lvl w:ilvl="8" w:tplc="B82291B8">
      <w:numFmt w:val="bullet"/>
      <w:lvlText w:val="•"/>
      <w:lvlJc w:val="left"/>
      <w:pPr>
        <w:ind w:left="6808" w:hanging="109"/>
      </w:pPr>
      <w:rPr>
        <w:rFonts w:hint="default"/>
        <w:lang w:val="en-US" w:eastAsia="en-US" w:bidi="ar-SA"/>
      </w:rPr>
    </w:lvl>
  </w:abstractNum>
  <w:abstractNum w:abstractNumId="30" w15:restartNumberingAfterBreak="0">
    <w:nsid w:val="265243EA"/>
    <w:multiLevelType w:val="hybridMultilevel"/>
    <w:tmpl w:val="37A401EA"/>
    <w:lvl w:ilvl="0" w:tplc="E93ADF26">
      <w:start w:val="1"/>
      <w:numFmt w:val="lowerLetter"/>
      <w:lvlText w:val="%1."/>
      <w:lvlJc w:val="left"/>
      <w:pPr>
        <w:ind w:left="1699" w:hanging="360"/>
        <w:jc w:val="left"/>
      </w:pPr>
      <w:rPr>
        <w:rFonts w:ascii="Arial" w:eastAsia="Arial" w:hAnsi="Arial" w:cs="Arial" w:hint="default"/>
        <w:b w:val="0"/>
        <w:bCs w:val="0"/>
        <w:i w:val="0"/>
        <w:iCs w:val="0"/>
        <w:spacing w:val="0"/>
        <w:w w:val="100"/>
        <w:sz w:val="18"/>
        <w:szCs w:val="18"/>
        <w:lang w:val="en-US" w:eastAsia="en-US" w:bidi="ar-SA"/>
      </w:rPr>
    </w:lvl>
    <w:lvl w:ilvl="1" w:tplc="53AC53E8">
      <w:numFmt w:val="bullet"/>
      <w:lvlText w:val="•"/>
      <w:lvlJc w:val="left"/>
      <w:pPr>
        <w:ind w:left="2558" w:hanging="360"/>
      </w:pPr>
      <w:rPr>
        <w:rFonts w:hint="default"/>
        <w:lang w:val="en-US" w:eastAsia="en-US" w:bidi="ar-SA"/>
      </w:rPr>
    </w:lvl>
    <w:lvl w:ilvl="2" w:tplc="68A4EFF0">
      <w:numFmt w:val="bullet"/>
      <w:lvlText w:val="•"/>
      <w:lvlJc w:val="left"/>
      <w:pPr>
        <w:ind w:left="3417" w:hanging="360"/>
      </w:pPr>
      <w:rPr>
        <w:rFonts w:hint="default"/>
        <w:lang w:val="en-US" w:eastAsia="en-US" w:bidi="ar-SA"/>
      </w:rPr>
    </w:lvl>
    <w:lvl w:ilvl="3" w:tplc="8B7691E4">
      <w:numFmt w:val="bullet"/>
      <w:lvlText w:val="•"/>
      <w:lvlJc w:val="left"/>
      <w:pPr>
        <w:ind w:left="4275" w:hanging="360"/>
      </w:pPr>
      <w:rPr>
        <w:rFonts w:hint="default"/>
        <w:lang w:val="en-US" w:eastAsia="en-US" w:bidi="ar-SA"/>
      </w:rPr>
    </w:lvl>
    <w:lvl w:ilvl="4" w:tplc="39FABFA0">
      <w:numFmt w:val="bullet"/>
      <w:lvlText w:val="•"/>
      <w:lvlJc w:val="left"/>
      <w:pPr>
        <w:ind w:left="5134" w:hanging="360"/>
      </w:pPr>
      <w:rPr>
        <w:rFonts w:hint="default"/>
        <w:lang w:val="en-US" w:eastAsia="en-US" w:bidi="ar-SA"/>
      </w:rPr>
    </w:lvl>
    <w:lvl w:ilvl="5" w:tplc="DD824F06">
      <w:numFmt w:val="bullet"/>
      <w:lvlText w:val="•"/>
      <w:lvlJc w:val="left"/>
      <w:pPr>
        <w:ind w:left="5992" w:hanging="360"/>
      </w:pPr>
      <w:rPr>
        <w:rFonts w:hint="default"/>
        <w:lang w:val="en-US" w:eastAsia="en-US" w:bidi="ar-SA"/>
      </w:rPr>
    </w:lvl>
    <w:lvl w:ilvl="6" w:tplc="E7C283EA">
      <w:numFmt w:val="bullet"/>
      <w:lvlText w:val="•"/>
      <w:lvlJc w:val="left"/>
      <w:pPr>
        <w:ind w:left="6851" w:hanging="360"/>
      </w:pPr>
      <w:rPr>
        <w:rFonts w:hint="default"/>
        <w:lang w:val="en-US" w:eastAsia="en-US" w:bidi="ar-SA"/>
      </w:rPr>
    </w:lvl>
    <w:lvl w:ilvl="7" w:tplc="3EF231E6">
      <w:numFmt w:val="bullet"/>
      <w:lvlText w:val="•"/>
      <w:lvlJc w:val="left"/>
      <w:pPr>
        <w:ind w:left="7709" w:hanging="360"/>
      </w:pPr>
      <w:rPr>
        <w:rFonts w:hint="default"/>
        <w:lang w:val="en-US" w:eastAsia="en-US" w:bidi="ar-SA"/>
      </w:rPr>
    </w:lvl>
    <w:lvl w:ilvl="8" w:tplc="900A4152">
      <w:numFmt w:val="bullet"/>
      <w:lvlText w:val="•"/>
      <w:lvlJc w:val="left"/>
      <w:pPr>
        <w:ind w:left="8568" w:hanging="360"/>
      </w:pPr>
      <w:rPr>
        <w:rFonts w:hint="default"/>
        <w:lang w:val="en-US" w:eastAsia="en-US" w:bidi="ar-SA"/>
      </w:rPr>
    </w:lvl>
  </w:abstractNum>
  <w:abstractNum w:abstractNumId="31" w15:restartNumberingAfterBreak="0">
    <w:nsid w:val="26B63F3B"/>
    <w:multiLevelType w:val="multilevel"/>
    <w:tmpl w:val="EAFC5BEC"/>
    <w:lvl w:ilvl="0">
      <w:start w:val="12"/>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972" w:hanging="426"/>
      </w:pPr>
      <w:rPr>
        <w:rFonts w:hint="default"/>
        <w:lang w:val="en-US" w:eastAsia="en-US" w:bidi="ar-SA"/>
      </w:rPr>
    </w:lvl>
    <w:lvl w:ilvl="4">
      <w:numFmt w:val="bullet"/>
      <w:lvlText w:val="•"/>
      <w:lvlJc w:val="left"/>
      <w:pPr>
        <w:ind w:left="1090" w:hanging="426"/>
      </w:pPr>
      <w:rPr>
        <w:rFonts w:hint="default"/>
        <w:lang w:val="en-US" w:eastAsia="en-US" w:bidi="ar-SA"/>
      </w:rPr>
    </w:lvl>
    <w:lvl w:ilvl="5">
      <w:numFmt w:val="bullet"/>
      <w:lvlText w:val="•"/>
      <w:lvlJc w:val="left"/>
      <w:pPr>
        <w:ind w:left="1207" w:hanging="426"/>
      </w:pPr>
      <w:rPr>
        <w:rFonts w:hint="default"/>
        <w:lang w:val="en-US" w:eastAsia="en-US" w:bidi="ar-SA"/>
      </w:rPr>
    </w:lvl>
    <w:lvl w:ilvl="6">
      <w:numFmt w:val="bullet"/>
      <w:lvlText w:val="•"/>
      <w:lvlJc w:val="left"/>
      <w:pPr>
        <w:ind w:left="1325" w:hanging="426"/>
      </w:pPr>
      <w:rPr>
        <w:rFonts w:hint="default"/>
        <w:lang w:val="en-US" w:eastAsia="en-US" w:bidi="ar-SA"/>
      </w:rPr>
    </w:lvl>
    <w:lvl w:ilvl="7">
      <w:numFmt w:val="bullet"/>
      <w:lvlText w:val="•"/>
      <w:lvlJc w:val="left"/>
      <w:pPr>
        <w:ind w:left="1443" w:hanging="426"/>
      </w:pPr>
      <w:rPr>
        <w:rFonts w:hint="default"/>
        <w:lang w:val="en-US" w:eastAsia="en-US" w:bidi="ar-SA"/>
      </w:rPr>
    </w:lvl>
    <w:lvl w:ilvl="8">
      <w:numFmt w:val="bullet"/>
      <w:lvlText w:val="•"/>
      <w:lvlJc w:val="left"/>
      <w:pPr>
        <w:ind w:left="1560" w:hanging="426"/>
      </w:pPr>
      <w:rPr>
        <w:rFonts w:hint="default"/>
        <w:lang w:val="en-US" w:eastAsia="en-US" w:bidi="ar-SA"/>
      </w:rPr>
    </w:lvl>
  </w:abstractNum>
  <w:abstractNum w:abstractNumId="32" w15:restartNumberingAfterBreak="0">
    <w:nsid w:val="26CC13B5"/>
    <w:multiLevelType w:val="hybridMultilevel"/>
    <w:tmpl w:val="82488118"/>
    <w:lvl w:ilvl="0" w:tplc="FF0AE03A">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94DC5604">
      <w:numFmt w:val="bullet"/>
      <w:lvlText w:val="•"/>
      <w:lvlJc w:val="left"/>
      <w:pPr>
        <w:ind w:left="2072" w:hanging="341"/>
      </w:pPr>
      <w:rPr>
        <w:rFonts w:hint="default"/>
        <w:lang w:val="en-US" w:eastAsia="en-US" w:bidi="ar-SA"/>
      </w:rPr>
    </w:lvl>
    <w:lvl w:ilvl="2" w:tplc="39001AC6">
      <w:numFmt w:val="bullet"/>
      <w:lvlText w:val="•"/>
      <w:lvlJc w:val="left"/>
      <w:pPr>
        <w:ind w:left="2985" w:hanging="341"/>
      </w:pPr>
      <w:rPr>
        <w:rFonts w:hint="default"/>
        <w:lang w:val="en-US" w:eastAsia="en-US" w:bidi="ar-SA"/>
      </w:rPr>
    </w:lvl>
    <w:lvl w:ilvl="3" w:tplc="997EE876">
      <w:numFmt w:val="bullet"/>
      <w:lvlText w:val="•"/>
      <w:lvlJc w:val="left"/>
      <w:pPr>
        <w:ind w:left="3897" w:hanging="341"/>
      </w:pPr>
      <w:rPr>
        <w:rFonts w:hint="default"/>
        <w:lang w:val="en-US" w:eastAsia="en-US" w:bidi="ar-SA"/>
      </w:rPr>
    </w:lvl>
    <w:lvl w:ilvl="4" w:tplc="B8D2C3CC">
      <w:numFmt w:val="bullet"/>
      <w:lvlText w:val="•"/>
      <w:lvlJc w:val="left"/>
      <w:pPr>
        <w:ind w:left="4810" w:hanging="341"/>
      </w:pPr>
      <w:rPr>
        <w:rFonts w:hint="default"/>
        <w:lang w:val="en-US" w:eastAsia="en-US" w:bidi="ar-SA"/>
      </w:rPr>
    </w:lvl>
    <w:lvl w:ilvl="5" w:tplc="0416F7A8">
      <w:numFmt w:val="bullet"/>
      <w:lvlText w:val="•"/>
      <w:lvlJc w:val="left"/>
      <w:pPr>
        <w:ind w:left="5722" w:hanging="341"/>
      </w:pPr>
      <w:rPr>
        <w:rFonts w:hint="default"/>
        <w:lang w:val="en-US" w:eastAsia="en-US" w:bidi="ar-SA"/>
      </w:rPr>
    </w:lvl>
    <w:lvl w:ilvl="6" w:tplc="7670371A">
      <w:numFmt w:val="bullet"/>
      <w:lvlText w:val="•"/>
      <w:lvlJc w:val="left"/>
      <w:pPr>
        <w:ind w:left="6635" w:hanging="341"/>
      </w:pPr>
      <w:rPr>
        <w:rFonts w:hint="default"/>
        <w:lang w:val="en-US" w:eastAsia="en-US" w:bidi="ar-SA"/>
      </w:rPr>
    </w:lvl>
    <w:lvl w:ilvl="7" w:tplc="6C906052">
      <w:numFmt w:val="bullet"/>
      <w:lvlText w:val="•"/>
      <w:lvlJc w:val="left"/>
      <w:pPr>
        <w:ind w:left="7547" w:hanging="341"/>
      </w:pPr>
      <w:rPr>
        <w:rFonts w:hint="default"/>
        <w:lang w:val="en-US" w:eastAsia="en-US" w:bidi="ar-SA"/>
      </w:rPr>
    </w:lvl>
    <w:lvl w:ilvl="8" w:tplc="AD226A48">
      <w:numFmt w:val="bullet"/>
      <w:lvlText w:val="•"/>
      <w:lvlJc w:val="left"/>
      <w:pPr>
        <w:ind w:left="8460" w:hanging="341"/>
      </w:pPr>
      <w:rPr>
        <w:rFonts w:hint="default"/>
        <w:lang w:val="en-US" w:eastAsia="en-US" w:bidi="ar-SA"/>
      </w:rPr>
    </w:lvl>
  </w:abstractNum>
  <w:abstractNum w:abstractNumId="33" w15:restartNumberingAfterBreak="0">
    <w:nsid w:val="293340A2"/>
    <w:multiLevelType w:val="multilevel"/>
    <w:tmpl w:val="70D89AF8"/>
    <w:lvl w:ilvl="0">
      <w:start w:val="16"/>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762" w:hanging="142"/>
      </w:pPr>
      <w:rPr>
        <w:rFonts w:ascii="Arial" w:eastAsia="Arial" w:hAnsi="Arial" w:cs="Arial" w:hint="default"/>
        <w:b w:val="0"/>
        <w:bCs w:val="0"/>
        <w:i w:val="0"/>
        <w:iCs w:val="0"/>
        <w:spacing w:val="0"/>
        <w:w w:val="95"/>
        <w:sz w:val="15"/>
        <w:szCs w:val="15"/>
        <w:lang w:val="en-US" w:eastAsia="en-US" w:bidi="ar-SA"/>
      </w:rPr>
    </w:lvl>
    <w:lvl w:ilvl="4">
      <w:numFmt w:val="bullet"/>
      <w:lvlText w:val="•"/>
      <w:lvlJc w:val="left"/>
      <w:pPr>
        <w:ind w:left="-129" w:hanging="142"/>
      </w:pPr>
      <w:rPr>
        <w:rFonts w:hint="default"/>
        <w:lang w:val="en-US" w:eastAsia="en-US" w:bidi="ar-SA"/>
      </w:rPr>
    </w:lvl>
    <w:lvl w:ilvl="5">
      <w:numFmt w:val="bullet"/>
      <w:lvlText w:val="•"/>
      <w:lvlJc w:val="left"/>
      <w:pPr>
        <w:ind w:left="-426" w:hanging="142"/>
      </w:pPr>
      <w:rPr>
        <w:rFonts w:hint="default"/>
        <w:lang w:val="en-US" w:eastAsia="en-US" w:bidi="ar-SA"/>
      </w:rPr>
    </w:lvl>
    <w:lvl w:ilvl="6">
      <w:numFmt w:val="bullet"/>
      <w:lvlText w:val="•"/>
      <w:lvlJc w:val="left"/>
      <w:pPr>
        <w:ind w:left="-722" w:hanging="142"/>
      </w:pPr>
      <w:rPr>
        <w:rFonts w:hint="default"/>
        <w:lang w:val="en-US" w:eastAsia="en-US" w:bidi="ar-SA"/>
      </w:rPr>
    </w:lvl>
    <w:lvl w:ilvl="7">
      <w:numFmt w:val="bullet"/>
      <w:lvlText w:val="•"/>
      <w:lvlJc w:val="left"/>
      <w:pPr>
        <w:ind w:left="-1018" w:hanging="142"/>
      </w:pPr>
      <w:rPr>
        <w:rFonts w:hint="default"/>
        <w:lang w:val="en-US" w:eastAsia="en-US" w:bidi="ar-SA"/>
      </w:rPr>
    </w:lvl>
    <w:lvl w:ilvl="8">
      <w:numFmt w:val="bullet"/>
      <w:lvlText w:val="•"/>
      <w:lvlJc w:val="left"/>
      <w:pPr>
        <w:ind w:left="-1315" w:hanging="142"/>
      </w:pPr>
      <w:rPr>
        <w:rFonts w:hint="default"/>
        <w:lang w:val="en-US" w:eastAsia="en-US" w:bidi="ar-SA"/>
      </w:rPr>
    </w:lvl>
  </w:abstractNum>
  <w:abstractNum w:abstractNumId="34" w15:restartNumberingAfterBreak="0">
    <w:nsid w:val="2E036C2F"/>
    <w:multiLevelType w:val="hybridMultilevel"/>
    <w:tmpl w:val="2842CD0A"/>
    <w:lvl w:ilvl="0" w:tplc="AFA86678">
      <w:start w:val="3"/>
      <w:numFmt w:val="lowerLetter"/>
      <w:lvlText w:val="(%1)"/>
      <w:lvlJc w:val="left"/>
      <w:pPr>
        <w:ind w:left="1478" w:hanging="521"/>
        <w:jc w:val="left"/>
      </w:pPr>
      <w:rPr>
        <w:rFonts w:ascii="Arial" w:eastAsia="Arial" w:hAnsi="Arial" w:cs="Arial" w:hint="default"/>
        <w:b/>
        <w:bCs/>
        <w:i w:val="0"/>
        <w:iCs w:val="0"/>
        <w:spacing w:val="-1"/>
        <w:w w:val="99"/>
        <w:sz w:val="20"/>
        <w:szCs w:val="20"/>
        <w:lang w:val="en-US" w:eastAsia="en-US" w:bidi="ar-SA"/>
      </w:rPr>
    </w:lvl>
    <w:lvl w:ilvl="1" w:tplc="A630FFFC">
      <w:start w:val="1"/>
      <w:numFmt w:val="lowerRoman"/>
      <w:lvlText w:val="(%2)"/>
      <w:lvlJc w:val="left"/>
      <w:pPr>
        <w:ind w:left="1524" w:hanging="567"/>
        <w:jc w:val="left"/>
      </w:pPr>
      <w:rPr>
        <w:rFonts w:ascii="Arial" w:eastAsia="Arial" w:hAnsi="Arial" w:cs="Arial" w:hint="default"/>
        <w:b/>
        <w:bCs/>
        <w:i w:val="0"/>
        <w:iCs w:val="0"/>
        <w:spacing w:val="0"/>
        <w:w w:val="100"/>
        <w:sz w:val="18"/>
        <w:szCs w:val="18"/>
        <w:lang w:val="en-US" w:eastAsia="en-US" w:bidi="ar-SA"/>
      </w:rPr>
    </w:lvl>
    <w:lvl w:ilvl="2" w:tplc="3496C92E">
      <w:numFmt w:val="bullet"/>
      <w:lvlText w:val="•"/>
      <w:lvlJc w:val="left"/>
      <w:pPr>
        <w:ind w:left="2493" w:hanging="567"/>
      </w:pPr>
      <w:rPr>
        <w:rFonts w:hint="default"/>
        <w:lang w:val="en-US" w:eastAsia="en-US" w:bidi="ar-SA"/>
      </w:rPr>
    </w:lvl>
    <w:lvl w:ilvl="3" w:tplc="8B18C2CE">
      <w:numFmt w:val="bullet"/>
      <w:lvlText w:val="•"/>
      <w:lvlJc w:val="left"/>
      <w:pPr>
        <w:ind w:left="3467" w:hanging="567"/>
      </w:pPr>
      <w:rPr>
        <w:rFonts w:hint="default"/>
        <w:lang w:val="en-US" w:eastAsia="en-US" w:bidi="ar-SA"/>
      </w:rPr>
    </w:lvl>
    <w:lvl w:ilvl="4" w:tplc="EDF2ECE6">
      <w:numFmt w:val="bullet"/>
      <w:lvlText w:val="•"/>
      <w:lvlJc w:val="left"/>
      <w:pPr>
        <w:ind w:left="4441" w:hanging="567"/>
      </w:pPr>
      <w:rPr>
        <w:rFonts w:hint="default"/>
        <w:lang w:val="en-US" w:eastAsia="en-US" w:bidi="ar-SA"/>
      </w:rPr>
    </w:lvl>
    <w:lvl w:ilvl="5" w:tplc="C0DC66DE">
      <w:numFmt w:val="bullet"/>
      <w:lvlText w:val="•"/>
      <w:lvlJc w:val="left"/>
      <w:pPr>
        <w:ind w:left="5415" w:hanging="567"/>
      </w:pPr>
      <w:rPr>
        <w:rFonts w:hint="default"/>
        <w:lang w:val="en-US" w:eastAsia="en-US" w:bidi="ar-SA"/>
      </w:rPr>
    </w:lvl>
    <w:lvl w:ilvl="6" w:tplc="EF285D10">
      <w:numFmt w:val="bullet"/>
      <w:lvlText w:val="•"/>
      <w:lvlJc w:val="left"/>
      <w:pPr>
        <w:ind w:left="6389" w:hanging="567"/>
      </w:pPr>
      <w:rPr>
        <w:rFonts w:hint="default"/>
        <w:lang w:val="en-US" w:eastAsia="en-US" w:bidi="ar-SA"/>
      </w:rPr>
    </w:lvl>
    <w:lvl w:ilvl="7" w:tplc="88EC5F20">
      <w:numFmt w:val="bullet"/>
      <w:lvlText w:val="•"/>
      <w:lvlJc w:val="left"/>
      <w:pPr>
        <w:ind w:left="7363" w:hanging="567"/>
      </w:pPr>
      <w:rPr>
        <w:rFonts w:hint="default"/>
        <w:lang w:val="en-US" w:eastAsia="en-US" w:bidi="ar-SA"/>
      </w:rPr>
    </w:lvl>
    <w:lvl w:ilvl="8" w:tplc="D2BAD73E">
      <w:numFmt w:val="bullet"/>
      <w:lvlText w:val="•"/>
      <w:lvlJc w:val="left"/>
      <w:pPr>
        <w:ind w:left="8337" w:hanging="567"/>
      </w:pPr>
      <w:rPr>
        <w:rFonts w:hint="default"/>
        <w:lang w:val="en-US" w:eastAsia="en-US" w:bidi="ar-SA"/>
      </w:rPr>
    </w:lvl>
  </w:abstractNum>
  <w:abstractNum w:abstractNumId="35" w15:restartNumberingAfterBreak="0">
    <w:nsid w:val="2EAB7FDE"/>
    <w:multiLevelType w:val="hybridMultilevel"/>
    <w:tmpl w:val="9564878A"/>
    <w:lvl w:ilvl="0" w:tplc="28803464">
      <w:start w:val="1"/>
      <w:numFmt w:val="lowerLetter"/>
      <w:lvlText w:val="(%1)"/>
      <w:lvlJc w:val="left"/>
      <w:pPr>
        <w:ind w:left="1423" w:hanging="466"/>
        <w:jc w:val="left"/>
      </w:pPr>
      <w:rPr>
        <w:rFonts w:ascii="Arial" w:eastAsia="Arial" w:hAnsi="Arial" w:cs="Arial" w:hint="default"/>
        <w:b/>
        <w:bCs/>
        <w:i w:val="0"/>
        <w:iCs w:val="0"/>
        <w:spacing w:val="-1"/>
        <w:w w:val="99"/>
        <w:sz w:val="20"/>
        <w:szCs w:val="20"/>
        <w:lang w:val="en-US" w:eastAsia="en-US" w:bidi="ar-SA"/>
      </w:rPr>
    </w:lvl>
    <w:lvl w:ilvl="1" w:tplc="6910272C">
      <w:numFmt w:val="bullet"/>
      <w:lvlText w:val="•"/>
      <w:lvlJc w:val="left"/>
      <w:pPr>
        <w:ind w:left="2306" w:hanging="466"/>
      </w:pPr>
      <w:rPr>
        <w:rFonts w:hint="default"/>
        <w:lang w:val="en-US" w:eastAsia="en-US" w:bidi="ar-SA"/>
      </w:rPr>
    </w:lvl>
    <w:lvl w:ilvl="2" w:tplc="3924A608">
      <w:numFmt w:val="bullet"/>
      <w:lvlText w:val="•"/>
      <w:lvlJc w:val="left"/>
      <w:pPr>
        <w:ind w:left="3193" w:hanging="466"/>
      </w:pPr>
      <w:rPr>
        <w:rFonts w:hint="default"/>
        <w:lang w:val="en-US" w:eastAsia="en-US" w:bidi="ar-SA"/>
      </w:rPr>
    </w:lvl>
    <w:lvl w:ilvl="3" w:tplc="202EE3CE">
      <w:numFmt w:val="bullet"/>
      <w:lvlText w:val="•"/>
      <w:lvlJc w:val="left"/>
      <w:pPr>
        <w:ind w:left="4079" w:hanging="466"/>
      </w:pPr>
      <w:rPr>
        <w:rFonts w:hint="default"/>
        <w:lang w:val="en-US" w:eastAsia="en-US" w:bidi="ar-SA"/>
      </w:rPr>
    </w:lvl>
    <w:lvl w:ilvl="4" w:tplc="E946B5CA">
      <w:numFmt w:val="bullet"/>
      <w:lvlText w:val="•"/>
      <w:lvlJc w:val="left"/>
      <w:pPr>
        <w:ind w:left="4966" w:hanging="466"/>
      </w:pPr>
      <w:rPr>
        <w:rFonts w:hint="default"/>
        <w:lang w:val="en-US" w:eastAsia="en-US" w:bidi="ar-SA"/>
      </w:rPr>
    </w:lvl>
    <w:lvl w:ilvl="5" w:tplc="BCF0C756">
      <w:numFmt w:val="bullet"/>
      <w:lvlText w:val="•"/>
      <w:lvlJc w:val="left"/>
      <w:pPr>
        <w:ind w:left="5852" w:hanging="466"/>
      </w:pPr>
      <w:rPr>
        <w:rFonts w:hint="default"/>
        <w:lang w:val="en-US" w:eastAsia="en-US" w:bidi="ar-SA"/>
      </w:rPr>
    </w:lvl>
    <w:lvl w:ilvl="6" w:tplc="B44AEA3A">
      <w:numFmt w:val="bullet"/>
      <w:lvlText w:val="•"/>
      <w:lvlJc w:val="left"/>
      <w:pPr>
        <w:ind w:left="6739" w:hanging="466"/>
      </w:pPr>
      <w:rPr>
        <w:rFonts w:hint="default"/>
        <w:lang w:val="en-US" w:eastAsia="en-US" w:bidi="ar-SA"/>
      </w:rPr>
    </w:lvl>
    <w:lvl w:ilvl="7" w:tplc="3334D13C">
      <w:numFmt w:val="bullet"/>
      <w:lvlText w:val="•"/>
      <w:lvlJc w:val="left"/>
      <w:pPr>
        <w:ind w:left="7625" w:hanging="466"/>
      </w:pPr>
      <w:rPr>
        <w:rFonts w:hint="default"/>
        <w:lang w:val="en-US" w:eastAsia="en-US" w:bidi="ar-SA"/>
      </w:rPr>
    </w:lvl>
    <w:lvl w:ilvl="8" w:tplc="688AE93A">
      <w:numFmt w:val="bullet"/>
      <w:lvlText w:val="•"/>
      <w:lvlJc w:val="left"/>
      <w:pPr>
        <w:ind w:left="8512" w:hanging="466"/>
      </w:pPr>
      <w:rPr>
        <w:rFonts w:hint="default"/>
        <w:lang w:val="en-US" w:eastAsia="en-US" w:bidi="ar-SA"/>
      </w:rPr>
    </w:lvl>
  </w:abstractNum>
  <w:abstractNum w:abstractNumId="36" w15:restartNumberingAfterBreak="0">
    <w:nsid w:val="30C665AB"/>
    <w:multiLevelType w:val="multilevel"/>
    <w:tmpl w:val="48E03B12"/>
    <w:lvl w:ilvl="0">
      <w:start w:val="12"/>
      <w:numFmt w:val="decimal"/>
      <w:lvlText w:val="%1"/>
      <w:lvlJc w:val="left"/>
      <w:pPr>
        <w:ind w:left="578" w:hanging="426"/>
        <w:jc w:val="left"/>
      </w:pPr>
      <w:rPr>
        <w:rFonts w:hint="default"/>
        <w:lang w:val="en-US" w:eastAsia="en-US" w:bidi="ar-SA"/>
      </w:rPr>
    </w:lvl>
    <w:lvl w:ilvl="1">
      <w:start w:val="1"/>
      <w:numFmt w:val="decimal"/>
      <w:lvlText w:val="%1.%2"/>
      <w:lvlJc w:val="left"/>
      <w:pPr>
        <w:ind w:left="578" w:hanging="426"/>
        <w:jc w:val="left"/>
      </w:pPr>
      <w:rPr>
        <w:rFonts w:hint="default"/>
        <w:lang w:val="en-US" w:eastAsia="en-US" w:bidi="ar-SA"/>
      </w:rPr>
    </w:lvl>
    <w:lvl w:ilvl="2">
      <w:start w:val="1"/>
      <w:numFmt w:val="decimal"/>
      <w:lvlText w:val="%1.%2.%3"/>
      <w:lvlJc w:val="left"/>
      <w:pPr>
        <w:ind w:left="578"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720" w:hanging="142"/>
      </w:pPr>
      <w:rPr>
        <w:rFonts w:ascii="Arial" w:eastAsia="Arial" w:hAnsi="Arial" w:cs="Arial" w:hint="default"/>
        <w:b w:val="0"/>
        <w:bCs w:val="0"/>
        <w:i w:val="0"/>
        <w:iCs w:val="0"/>
        <w:spacing w:val="0"/>
        <w:w w:val="95"/>
        <w:sz w:val="15"/>
        <w:szCs w:val="15"/>
        <w:lang w:val="en-US" w:eastAsia="en-US" w:bidi="ar-SA"/>
      </w:rPr>
    </w:lvl>
    <w:lvl w:ilvl="4">
      <w:numFmt w:val="bullet"/>
      <w:lvlText w:val="•"/>
      <w:lvlJc w:val="left"/>
      <w:pPr>
        <w:ind w:left="1420" w:hanging="142"/>
      </w:pPr>
      <w:rPr>
        <w:rFonts w:hint="default"/>
        <w:lang w:val="en-US" w:eastAsia="en-US" w:bidi="ar-SA"/>
      </w:rPr>
    </w:lvl>
    <w:lvl w:ilvl="5">
      <w:numFmt w:val="bullet"/>
      <w:lvlText w:val="•"/>
      <w:lvlJc w:val="left"/>
      <w:pPr>
        <w:ind w:left="1654" w:hanging="142"/>
      </w:pPr>
      <w:rPr>
        <w:rFonts w:hint="default"/>
        <w:lang w:val="en-US" w:eastAsia="en-US" w:bidi="ar-SA"/>
      </w:rPr>
    </w:lvl>
    <w:lvl w:ilvl="6">
      <w:numFmt w:val="bullet"/>
      <w:lvlText w:val="•"/>
      <w:lvlJc w:val="left"/>
      <w:pPr>
        <w:ind w:left="1887" w:hanging="142"/>
      </w:pPr>
      <w:rPr>
        <w:rFonts w:hint="default"/>
        <w:lang w:val="en-US" w:eastAsia="en-US" w:bidi="ar-SA"/>
      </w:rPr>
    </w:lvl>
    <w:lvl w:ilvl="7">
      <w:numFmt w:val="bullet"/>
      <w:lvlText w:val="•"/>
      <w:lvlJc w:val="left"/>
      <w:pPr>
        <w:ind w:left="2121" w:hanging="142"/>
      </w:pPr>
      <w:rPr>
        <w:rFonts w:hint="default"/>
        <w:lang w:val="en-US" w:eastAsia="en-US" w:bidi="ar-SA"/>
      </w:rPr>
    </w:lvl>
    <w:lvl w:ilvl="8">
      <w:numFmt w:val="bullet"/>
      <w:lvlText w:val="•"/>
      <w:lvlJc w:val="left"/>
      <w:pPr>
        <w:ind w:left="2355" w:hanging="142"/>
      </w:pPr>
      <w:rPr>
        <w:rFonts w:hint="default"/>
        <w:lang w:val="en-US" w:eastAsia="en-US" w:bidi="ar-SA"/>
      </w:rPr>
    </w:lvl>
  </w:abstractNum>
  <w:abstractNum w:abstractNumId="37" w15:restartNumberingAfterBreak="0">
    <w:nsid w:val="3152650E"/>
    <w:multiLevelType w:val="hybridMultilevel"/>
    <w:tmpl w:val="36E2DE2E"/>
    <w:lvl w:ilvl="0" w:tplc="142C5DA6">
      <w:start w:val="1"/>
      <w:numFmt w:val="decimal"/>
      <w:lvlText w:val="%1."/>
      <w:lvlJc w:val="left"/>
      <w:pPr>
        <w:ind w:left="1155" w:hanging="341"/>
        <w:jc w:val="left"/>
      </w:pPr>
      <w:rPr>
        <w:rFonts w:ascii="Arial" w:eastAsia="Arial" w:hAnsi="Arial" w:cs="Arial" w:hint="default"/>
        <w:b/>
        <w:bCs/>
        <w:i w:val="0"/>
        <w:iCs w:val="0"/>
        <w:spacing w:val="0"/>
        <w:w w:val="100"/>
        <w:sz w:val="26"/>
        <w:szCs w:val="26"/>
        <w:lang w:val="en-US" w:eastAsia="en-US" w:bidi="ar-SA"/>
      </w:rPr>
    </w:lvl>
    <w:lvl w:ilvl="1" w:tplc="0916E1D4">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2" w:tplc="011ABAE8">
      <w:numFmt w:val="bullet"/>
      <w:lvlText w:val="•"/>
      <w:lvlJc w:val="left"/>
      <w:pPr>
        <w:ind w:left="1495" w:hanging="341"/>
      </w:pPr>
      <w:rPr>
        <w:rFonts w:ascii="Arial" w:eastAsia="Arial" w:hAnsi="Arial" w:cs="Arial" w:hint="default"/>
        <w:b w:val="0"/>
        <w:bCs w:val="0"/>
        <w:i w:val="0"/>
        <w:iCs w:val="0"/>
        <w:spacing w:val="0"/>
        <w:w w:val="100"/>
        <w:sz w:val="20"/>
        <w:szCs w:val="20"/>
        <w:lang w:val="en-US" w:eastAsia="en-US" w:bidi="ar-SA"/>
      </w:rPr>
    </w:lvl>
    <w:lvl w:ilvl="3" w:tplc="C5AAC4CE">
      <w:numFmt w:val="bullet"/>
      <w:lvlText w:val="•"/>
      <w:lvlJc w:val="left"/>
      <w:pPr>
        <w:ind w:left="3452" w:hanging="341"/>
      </w:pPr>
      <w:rPr>
        <w:rFonts w:hint="default"/>
        <w:lang w:val="en-US" w:eastAsia="en-US" w:bidi="ar-SA"/>
      </w:rPr>
    </w:lvl>
    <w:lvl w:ilvl="4" w:tplc="ADF2D01C">
      <w:numFmt w:val="bullet"/>
      <w:lvlText w:val="•"/>
      <w:lvlJc w:val="left"/>
      <w:pPr>
        <w:ind w:left="4428" w:hanging="341"/>
      </w:pPr>
      <w:rPr>
        <w:rFonts w:hint="default"/>
        <w:lang w:val="en-US" w:eastAsia="en-US" w:bidi="ar-SA"/>
      </w:rPr>
    </w:lvl>
    <w:lvl w:ilvl="5" w:tplc="50E825C4">
      <w:numFmt w:val="bullet"/>
      <w:lvlText w:val="•"/>
      <w:lvlJc w:val="left"/>
      <w:pPr>
        <w:ind w:left="5404" w:hanging="341"/>
      </w:pPr>
      <w:rPr>
        <w:rFonts w:hint="default"/>
        <w:lang w:val="en-US" w:eastAsia="en-US" w:bidi="ar-SA"/>
      </w:rPr>
    </w:lvl>
    <w:lvl w:ilvl="6" w:tplc="59269D9C">
      <w:numFmt w:val="bullet"/>
      <w:lvlText w:val="•"/>
      <w:lvlJc w:val="left"/>
      <w:pPr>
        <w:ind w:left="6380" w:hanging="341"/>
      </w:pPr>
      <w:rPr>
        <w:rFonts w:hint="default"/>
        <w:lang w:val="en-US" w:eastAsia="en-US" w:bidi="ar-SA"/>
      </w:rPr>
    </w:lvl>
    <w:lvl w:ilvl="7" w:tplc="FE5CDE2E">
      <w:numFmt w:val="bullet"/>
      <w:lvlText w:val="•"/>
      <w:lvlJc w:val="left"/>
      <w:pPr>
        <w:ind w:left="7357" w:hanging="341"/>
      </w:pPr>
      <w:rPr>
        <w:rFonts w:hint="default"/>
        <w:lang w:val="en-US" w:eastAsia="en-US" w:bidi="ar-SA"/>
      </w:rPr>
    </w:lvl>
    <w:lvl w:ilvl="8" w:tplc="37FC2360">
      <w:numFmt w:val="bullet"/>
      <w:lvlText w:val="•"/>
      <w:lvlJc w:val="left"/>
      <w:pPr>
        <w:ind w:left="8333" w:hanging="341"/>
      </w:pPr>
      <w:rPr>
        <w:rFonts w:hint="default"/>
        <w:lang w:val="en-US" w:eastAsia="en-US" w:bidi="ar-SA"/>
      </w:rPr>
    </w:lvl>
  </w:abstractNum>
  <w:abstractNum w:abstractNumId="38" w15:restartNumberingAfterBreak="0">
    <w:nsid w:val="32FB0FEA"/>
    <w:multiLevelType w:val="multilevel"/>
    <w:tmpl w:val="656A11B0"/>
    <w:lvl w:ilvl="0">
      <w:start w:val="3"/>
      <w:numFmt w:val="decimal"/>
      <w:lvlText w:val="%1"/>
      <w:lvlJc w:val="left"/>
      <w:pPr>
        <w:ind w:left="956" w:hanging="454"/>
        <w:jc w:val="left"/>
      </w:pPr>
      <w:rPr>
        <w:rFonts w:hint="default"/>
        <w:lang w:val="en-US" w:eastAsia="en-US" w:bidi="ar-SA"/>
      </w:rPr>
    </w:lvl>
    <w:lvl w:ilvl="1">
      <w:start w:val="2"/>
      <w:numFmt w:val="decimal"/>
      <w:lvlText w:val="%1.%2"/>
      <w:lvlJc w:val="left"/>
      <w:pPr>
        <w:ind w:left="956" w:hanging="454"/>
        <w:jc w:val="left"/>
      </w:pPr>
      <w:rPr>
        <w:rFonts w:hint="default"/>
        <w:lang w:val="en-US" w:eastAsia="en-US" w:bidi="ar-SA"/>
      </w:rPr>
    </w:lvl>
    <w:lvl w:ilvl="2">
      <w:start w:val="1"/>
      <w:numFmt w:val="decimal"/>
      <w:lvlText w:val="%1.%2.%3"/>
      <w:lvlJc w:val="left"/>
      <w:pPr>
        <w:ind w:left="956" w:hanging="454"/>
        <w:jc w:val="left"/>
      </w:pPr>
      <w:rPr>
        <w:rFonts w:ascii="Arial" w:eastAsia="Arial" w:hAnsi="Arial" w:cs="Arial" w:hint="default"/>
        <w:b w:val="0"/>
        <w:bCs w:val="0"/>
        <w:i w:val="0"/>
        <w:iCs w:val="0"/>
        <w:spacing w:val="-15"/>
        <w:w w:val="98"/>
        <w:sz w:val="15"/>
        <w:szCs w:val="15"/>
        <w:lang w:val="en-US" w:eastAsia="en-US" w:bidi="ar-SA"/>
      </w:rPr>
    </w:lvl>
    <w:lvl w:ilvl="3">
      <w:numFmt w:val="bullet"/>
      <w:lvlText w:val="•"/>
      <w:lvlJc w:val="left"/>
      <w:pPr>
        <w:ind w:left="2063" w:hanging="454"/>
      </w:pPr>
      <w:rPr>
        <w:rFonts w:hint="default"/>
        <w:lang w:val="en-US" w:eastAsia="en-US" w:bidi="ar-SA"/>
      </w:rPr>
    </w:lvl>
    <w:lvl w:ilvl="4">
      <w:numFmt w:val="bullet"/>
      <w:lvlText w:val="•"/>
      <w:lvlJc w:val="left"/>
      <w:pPr>
        <w:ind w:left="2431" w:hanging="454"/>
      </w:pPr>
      <w:rPr>
        <w:rFonts w:hint="default"/>
        <w:lang w:val="en-US" w:eastAsia="en-US" w:bidi="ar-SA"/>
      </w:rPr>
    </w:lvl>
    <w:lvl w:ilvl="5">
      <w:numFmt w:val="bullet"/>
      <w:lvlText w:val="•"/>
      <w:lvlJc w:val="left"/>
      <w:pPr>
        <w:ind w:left="2798" w:hanging="454"/>
      </w:pPr>
      <w:rPr>
        <w:rFonts w:hint="default"/>
        <w:lang w:val="en-US" w:eastAsia="en-US" w:bidi="ar-SA"/>
      </w:rPr>
    </w:lvl>
    <w:lvl w:ilvl="6">
      <w:numFmt w:val="bullet"/>
      <w:lvlText w:val="•"/>
      <w:lvlJc w:val="left"/>
      <w:pPr>
        <w:ind w:left="3166" w:hanging="454"/>
      </w:pPr>
      <w:rPr>
        <w:rFonts w:hint="default"/>
        <w:lang w:val="en-US" w:eastAsia="en-US" w:bidi="ar-SA"/>
      </w:rPr>
    </w:lvl>
    <w:lvl w:ilvl="7">
      <w:numFmt w:val="bullet"/>
      <w:lvlText w:val="•"/>
      <w:lvlJc w:val="left"/>
      <w:pPr>
        <w:ind w:left="3534" w:hanging="454"/>
      </w:pPr>
      <w:rPr>
        <w:rFonts w:hint="default"/>
        <w:lang w:val="en-US" w:eastAsia="en-US" w:bidi="ar-SA"/>
      </w:rPr>
    </w:lvl>
    <w:lvl w:ilvl="8">
      <w:numFmt w:val="bullet"/>
      <w:lvlText w:val="•"/>
      <w:lvlJc w:val="left"/>
      <w:pPr>
        <w:ind w:left="3902" w:hanging="454"/>
      </w:pPr>
      <w:rPr>
        <w:rFonts w:hint="default"/>
        <w:lang w:val="en-US" w:eastAsia="en-US" w:bidi="ar-SA"/>
      </w:rPr>
    </w:lvl>
  </w:abstractNum>
  <w:abstractNum w:abstractNumId="39" w15:restartNumberingAfterBreak="0">
    <w:nsid w:val="33144335"/>
    <w:multiLevelType w:val="multilevel"/>
    <w:tmpl w:val="2510204C"/>
    <w:lvl w:ilvl="0">
      <w:start w:val="9"/>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2"/>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544" w:hanging="426"/>
      </w:pPr>
      <w:rPr>
        <w:rFonts w:hint="default"/>
        <w:lang w:val="en-US" w:eastAsia="en-US" w:bidi="ar-SA"/>
      </w:rPr>
    </w:lvl>
    <w:lvl w:ilvl="4">
      <w:numFmt w:val="bullet"/>
      <w:lvlText w:val="•"/>
      <w:lvlJc w:val="left"/>
      <w:pPr>
        <w:ind w:left="1853" w:hanging="426"/>
      </w:pPr>
      <w:rPr>
        <w:rFonts w:hint="default"/>
        <w:lang w:val="en-US" w:eastAsia="en-US" w:bidi="ar-SA"/>
      </w:rPr>
    </w:lvl>
    <w:lvl w:ilvl="5">
      <w:numFmt w:val="bullet"/>
      <w:lvlText w:val="•"/>
      <w:lvlJc w:val="left"/>
      <w:pPr>
        <w:ind w:left="2161" w:hanging="426"/>
      </w:pPr>
      <w:rPr>
        <w:rFonts w:hint="default"/>
        <w:lang w:val="en-US" w:eastAsia="en-US" w:bidi="ar-SA"/>
      </w:rPr>
    </w:lvl>
    <w:lvl w:ilvl="6">
      <w:numFmt w:val="bullet"/>
      <w:lvlText w:val="•"/>
      <w:lvlJc w:val="left"/>
      <w:pPr>
        <w:ind w:left="2469" w:hanging="426"/>
      </w:pPr>
      <w:rPr>
        <w:rFonts w:hint="default"/>
        <w:lang w:val="en-US" w:eastAsia="en-US" w:bidi="ar-SA"/>
      </w:rPr>
    </w:lvl>
    <w:lvl w:ilvl="7">
      <w:numFmt w:val="bullet"/>
      <w:lvlText w:val="•"/>
      <w:lvlJc w:val="left"/>
      <w:pPr>
        <w:ind w:left="2778" w:hanging="426"/>
      </w:pPr>
      <w:rPr>
        <w:rFonts w:hint="default"/>
        <w:lang w:val="en-US" w:eastAsia="en-US" w:bidi="ar-SA"/>
      </w:rPr>
    </w:lvl>
    <w:lvl w:ilvl="8">
      <w:numFmt w:val="bullet"/>
      <w:lvlText w:val="•"/>
      <w:lvlJc w:val="left"/>
      <w:pPr>
        <w:ind w:left="3086" w:hanging="426"/>
      </w:pPr>
      <w:rPr>
        <w:rFonts w:hint="default"/>
        <w:lang w:val="en-US" w:eastAsia="en-US" w:bidi="ar-SA"/>
      </w:rPr>
    </w:lvl>
  </w:abstractNum>
  <w:abstractNum w:abstractNumId="40" w15:restartNumberingAfterBreak="0">
    <w:nsid w:val="3651765F"/>
    <w:multiLevelType w:val="multilevel"/>
    <w:tmpl w:val="D8FE4608"/>
    <w:lvl w:ilvl="0">
      <w:start w:val="6"/>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2">
      <w:numFmt w:val="bullet"/>
      <w:lvlText w:val="•"/>
      <w:lvlJc w:val="left"/>
      <w:pPr>
        <w:ind w:left="917" w:hanging="426"/>
      </w:pPr>
      <w:rPr>
        <w:rFonts w:hint="default"/>
        <w:lang w:val="en-US" w:eastAsia="en-US" w:bidi="ar-SA"/>
      </w:rPr>
    </w:lvl>
    <w:lvl w:ilvl="3">
      <w:numFmt w:val="bullet"/>
      <w:lvlText w:val="•"/>
      <w:lvlJc w:val="left"/>
      <w:pPr>
        <w:ind w:left="1066" w:hanging="426"/>
      </w:pPr>
      <w:rPr>
        <w:rFonts w:hint="default"/>
        <w:lang w:val="en-US" w:eastAsia="en-US" w:bidi="ar-SA"/>
      </w:rPr>
    </w:lvl>
    <w:lvl w:ilvl="4">
      <w:numFmt w:val="bullet"/>
      <w:lvlText w:val="•"/>
      <w:lvlJc w:val="left"/>
      <w:pPr>
        <w:ind w:left="1215" w:hanging="426"/>
      </w:pPr>
      <w:rPr>
        <w:rFonts w:hint="default"/>
        <w:lang w:val="en-US" w:eastAsia="en-US" w:bidi="ar-SA"/>
      </w:rPr>
    </w:lvl>
    <w:lvl w:ilvl="5">
      <w:numFmt w:val="bullet"/>
      <w:lvlText w:val="•"/>
      <w:lvlJc w:val="left"/>
      <w:pPr>
        <w:ind w:left="1364" w:hanging="426"/>
      </w:pPr>
      <w:rPr>
        <w:rFonts w:hint="default"/>
        <w:lang w:val="en-US" w:eastAsia="en-US" w:bidi="ar-SA"/>
      </w:rPr>
    </w:lvl>
    <w:lvl w:ilvl="6">
      <w:numFmt w:val="bullet"/>
      <w:lvlText w:val="•"/>
      <w:lvlJc w:val="left"/>
      <w:pPr>
        <w:ind w:left="1513" w:hanging="426"/>
      </w:pPr>
      <w:rPr>
        <w:rFonts w:hint="default"/>
        <w:lang w:val="en-US" w:eastAsia="en-US" w:bidi="ar-SA"/>
      </w:rPr>
    </w:lvl>
    <w:lvl w:ilvl="7">
      <w:numFmt w:val="bullet"/>
      <w:lvlText w:val="•"/>
      <w:lvlJc w:val="left"/>
      <w:pPr>
        <w:ind w:left="1661" w:hanging="426"/>
      </w:pPr>
      <w:rPr>
        <w:rFonts w:hint="default"/>
        <w:lang w:val="en-US" w:eastAsia="en-US" w:bidi="ar-SA"/>
      </w:rPr>
    </w:lvl>
    <w:lvl w:ilvl="8">
      <w:numFmt w:val="bullet"/>
      <w:lvlText w:val="•"/>
      <w:lvlJc w:val="left"/>
      <w:pPr>
        <w:ind w:left="1810" w:hanging="426"/>
      </w:pPr>
      <w:rPr>
        <w:rFonts w:hint="default"/>
        <w:lang w:val="en-US" w:eastAsia="en-US" w:bidi="ar-SA"/>
      </w:rPr>
    </w:lvl>
  </w:abstractNum>
  <w:abstractNum w:abstractNumId="41" w15:restartNumberingAfterBreak="0">
    <w:nsid w:val="398C6642"/>
    <w:multiLevelType w:val="hybridMultilevel"/>
    <w:tmpl w:val="6FD85044"/>
    <w:lvl w:ilvl="0" w:tplc="A5100A44">
      <w:start w:val="3"/>
      <w:numFmt w:val="decimal"/>
      <w:lvlText w:val="%1."/>
      <w:lvlJc w:val="left"/>
      <w:pPr>
        <w:ind w:left="985" w:hanging="341"/>
        <w:jc w:val="left"/>
      </w:pPr>
      <w:rPr>
        <w:rFonts w:ascii="Arial" w:eastAsia="Arial" w:hAnsi="Arial" w:cs="Arial" w:hint="default"/>
        <w:b w:val="0"/>
        <w:bCs w:val="0"/>
        <w:i w:val="0"/>
        <w:iCs w:val="0"/>
        <w:spacing w:val="0"/>
        <w:w w:val="100"/>
        <w:sz w:val="20"/>
        <w:szCs w:val="20"/>
        <w:lang w:val="en-US" w:eastAsia="en-US" w:bidi="ar-SA"/>
      </w:rPr>
    </w:lvl>
    <w:lvl w:ilvl="1" w:tplc="296223B4">
      <w:start w:val="2"/>
      <w:numFmt w:val="lowerLetter"/>
      <w:lvlText w:val="%2)"/>
      <w:lvlJc w:val="left"/>
      <w:pPr>
        <w:ind w:left="985" w:hanging="380"/>
        <w:jc w:val="left"/>
      </w:pPr>
      <w:rPr>
        <w:rFonts w:ascii="Arial" w:eastAsia="Arial" w:hAnsi="Arial" w:cs="Arial" w:hint="default"/>
        <w:b w:val="0"/>
        <w:bCs w:val="0"/>
        <w:i w:val="0"/>
        <w:iCs w:val="0"/>
        <w:spacing w:val="0"/>
        <w:w w:val="100"/>
        <w:sz w:val="20"/>
        <w:szCs w:val="20"/>
        <w:lang w:val="en-US" w:eastAsia="en-US" w:bidi="ar-SA"/>
      </w:rPr>
    </w:lvl>
    <w:lvl w:ilvl="2" w:tplc="F69EA804">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3" w:tplc="527A7F0C">
      <w:numFmt w:val="bullet"/>
      <w:lvlText w:val="•"/>
      <w:lvlJc w:val="left"/>
      <w:pPr>
        <w:ind w:left="2001" w:hanging="341"/>
      </w:pPr>
      <w:rPr>
        <w:rFonts w:hint="default"/>
        <w:lang w:val="en-US" w:eastAsia="en-US" w:bidi="ar-SA"/>
      </w:rPr>
    </w:lvl>
    <w:lvl w:ilvl="4" w:tplc="77D46DCA">
      <w:numFmt w:val="bullet"/>
      <w:lvlText w:val="•"/>
      <w:lvlJc w:val="left"/>
      <w:pPr>
        <w:ind w:left="2421" w:hanging="341"/>
      </w:pPr>
      <w:rPr>
        <w:rFonts w:hint="default"/>
        <w:lang w:val="en-US" w:eastAsia="en-US" w:bidi="ar-SA"/>
      </w:rPr>
    </w:lvl>
    <w:lvl w:ilvl="5" w:tplc="36629962">
      <w:numFmt w:val="bullet"/>
      <w:lvlText w:val="•"/>
      <w:lvlJc w:val="left"/>
      <w:pPr>
        <w:ind w:left="2842" w:hanging="341"/>
      </w:pPr>
      <w:rPr>
        <w:rFonts w:hint="default"/>
        <w:lang w:val="en-US" w:eastAsia="en-US" w:bidi="ar-SA"/>
      </w:rPr>
    </w:lvl>
    <w:lvl w:ilvl="6" w:tplc="C9D43F16">
      <w:numFmt w:val="bullet"/>
      <w:lvlText w:val="•"/>
      <w:lvlJc w:val="left"/>
      <w:pPr>
        <w:ind w:left="3262" w:hanging="341"/>
      </w:pPr>
      <w:rPr>
        <w:rFonts w:hint="default"/>
        <w:lang w:val="en-US" w:eastAsia="en-US" w:bidi="ar-SA"/>
      </w:rPr>
    </w:lvl>
    <w:lvl w:ilvl="7" w:tplc="B6D82F5A">
      <w:numFmt w:val="bullet"/>
      <w:lvlText w:val="•"/>
      <w:lvlJc w:val="left"/>
      <w:pPr>
        <w:ind w:left="3683" w:hanging="341"/>
      </w:pPr>
      <w:rPr>
        <w:rFonts w:hint="default"/>
        <w:lang w:val="en-US" w:eastAsia="en-US" w:bidi="ar-SA"/>
      </w:rPr>
    </w:lvl>
    <w:lvl w:ilvl="8" w:tplc="EB720DC4">
      <w:numFmt w:val="bullet"/>
      <w:lvlText w:val="•"/>
      <w:lvlJc w:val="left"/>
      <w:pPr>
        <w:ind w:left="4103" w:hanging="341"/>
      </w:pPr>
      <w:rPr>
        <w:rFonts w:hint="default"/>
        <w:lang w:val="en-US" w:eastAsia="en-US" w:bidi="ar-SA"/>
      </w:rPr>
    </w:lvl>
  </w:abstractNum>
  <w:abstractNum w:abstractNumId="42" w15:restartNumberingAfterBreak="0">
    <w:nsid w:val="3BC063D2"/>
    <w:multiLevelType w:val="hybridMultilevel"/>
    <w:tmpl w:val="90882D94"/>
    <w:lvl w:ilvl="0" w:tplc="DFFC52A2">
      <w:start w:val="3"/>
      <w:numFmt w:val="decimal"/>
      <w:lvlText w:val="%1."/>
      <w:lvlJc w:val="left"/>
      <w:pPr>
        <w:ind w:left="917" w:hanging="341"/>
        <w:jc w:val="left"/>
      </w:pPr>
      <w:rPr>
        <w:rFonts w:ascii="Arial" w:eastAsia="Arial" w:hAnsi="Arial" w:cs="Arial" w:hint="default"/>
        <w:b w:val="0"/>
        <w:bCs w:val="0"/>
        <w:i w:val="0"/>
        <w:iCs w:val="0"/>
        <w:spacing w:val="0"/>
        <w:w w:val="100"/>
        <w:sz w:val="20"/>
        <w:szCs w:val="20"/>
        <w:lang w:val="en-US" w:eastAsia="en-US" w:bidi="ar-SA"/>
      </w:rPr>
    </w:lvl>
    <w:lvl w:ilvl="1" w:tplc="7D02194C">
      <w:start w:val="1"/>
      <w:numFmt w:val="lowerLetter"/>
      <w:lvlText w:val="%2)"/>
      <w:lvlJc w:val="left"/>
      <w:pPr>
        <w:ind w:left="526" w:hanging="341"/>
        <w:jc w:val="left"/>
      </w:pPr>
      <w:rPr>
        <w:rFonts w:ascii="Arial" w:eastAsia="Arial" w:hAnsi="Arial" w:cs="Arial" w:hint="default"/>
        <w:b w:val="0"/>
        <w:bCs w:val="0"/>
        <w:i w:val="0"/>
        <w:iCs w:val="0"/>
        <w:spacing w:val="0"/>
        <w:w w:val="100"/>
        <w:sz w:val="20"/>
        <w:szCs w:val="20"/>
        <w:lang w:val="en-US" w:eastAsia="en-US" w:bidi="ar-SA"/>
      </w:rPr>
    </w:lvl>
    <w:lvl w:ilvl="2" w:tplc="CF92A6A6">
      <w:numFmt w:val="bullet"/>
      <w:lvlText w:val="•"/>
      <w:lvlJc w:val="left"/>
      <w:pPr>
        <w:ind w:left="866" w:hanging="341"/>
      </w:pPr>
      <w:rPr>
        <w:rFonts w:ascii="Arial" w:eastAsia="Arial" w:hAnsi="Arial" w:cs="Arial" w:hint="default"/>
        <w:b w:val="0"/>
        <w:bCs w:val="0"/>
        <w:i w:val="0"/>
        <w:iCs w:val="0"/>
        <w:spacing w:val="0"/>
        <w:w w:val="100"/>
        <w:sz w:val="20"/>
        <w:szCs w:val="20"/>
        <w:lang w:val="en-US" w:eastAsia="en-US" w:bidi="ar-SA"/>
      </w:rPr>
    </w:lvl>
    <w:lvl w:ilvl="3" w:tplc="9D9861AC">
      <w:numFmt w:val="bullet"/>
      <w:lvlText w:val="•"/>
      <w:lvlJc w:val="left"/>
      <w:pPr>
        <w:ind w:left="800" w:hanging="341"/>
      </w:pPr>
      <w:rPr>
        <w:rFonts w:hint="default"/>
        <w:lang w:val="en-US" w:eastAsia="en-US" w:bidi="ar-SA"/>
      </w:rPr>
    </w:lvl>
    <w:lvl w:ilvl="4" w:tplc="74D0ECA0">
      <w:numFmt w:val="bullet"/>
      <w:lvlText w:val="•"/>
      <w:lvlJc w:val="left"/>
      <w:pPr>
        <w:ind w:left="680" w:hanging="341"/>
      </w:pPr>
      <w:rPr>
        <w:rFonts w:hint="default"/>
        <w:lang w:val="en-US" w:eastAsia="en-US" w:bidi="ar-SA"/>
      </w:rPr>
    </w:lvl>
    <w:lvl w:ilvl="5" w:tplc="747C17D6">
      <w:numFmt w:val="bullet"/>
      <w:lvlText w:val="•"/>
      <w:lvlJc w:val="left"/>
      <w:pPr>
        <w:ind w:left="560" w:hanging="341"/>
      </w:pPr>
      <w:rPr>
        <w:rFonts w:hint="default"/>
        <w:lang w:val="en-US" w:eastAsia="en-US" w:bidi="ar-SA"/>
      </w:rPr>
    </w:lvl>
    <w:lvl w:ilvl="6" w:tplc="D1E83982">
      <w:numFmt w:val="bullet"/>
      <w:lvlText w:val="•"/>
      <w:lvlJc w:val="left"/>
      <w:pPr>
        <w:ind w:left="440" w:hanging="341"/>
      </w:pPr>
      <w:rPr>
        <w:rFonts w:hint="default"/>
        <w:lang w:val="en-US" w:eastAsia="en-US" w:bidi="ar-SA"/>
      </w:rPr>
    </w:lvl>
    <w:lvl w:ilvl="7" w:tplc="8C44AA1C">
      <w:numFmt w:val="bullet"/>
      <w:lvlText w:val="•"/>
      <w:lvlJc w:val="left"/>
      <w:pPr>
        <w:ind w:left="320" w:hanging="341"/>
      </w:pPr>
      <w:rPr>
        <w:rFonts w:hint="default"/>
        <w:lang w:val="en-US" w:eastAsia="en-US" w:bidi="ar-SA"/>
      </w:rPr>
    </w:lvl>
    <w:lvl w:ilvl="8" w:tplc="62548E2E">
      <w:numFmt w:val="bullet"/>
      <w:lvlText w:val="•"/>
      <w:lvlJc w:val="left"/>
      <w:pPr>
        <w:ind w:left="200" w:hanging="341"/>
      </w:pPr>
      <w:rPr>
        <w:rFonts w:hint="default"/>
        <w:lang w:val="en-US" w:eastAsia="en-US" w:bidi="ar-SA"/>
      </w:rPr>
    </w:lvl>
  </w:abstractNum>
  <w:abstractNum w:abstractNumId="43" w15:restartNumberingAfterBreak="0">
    <w:nsid w:val="3C40125A"/>
    <w:multiLevelType w:val="multilevel"/>
    <w:tmpl w:val="6B5AB2F4"/>
    <w:lvl w:ilvl="0">
      <w:start w:val="12"/>
      <w:numFmt w:val="decimal"/>
      <w:lvlText w:val="%1"/>
      <w:lvlJc w:val="left"/>
      <w:pPr>
        <w:ind w:left="956" w:hanging="454"/>
        <w:jc w:val="left"/>
      </w:pPr>
      <w:rPr>
        <w:rFonts w:hint="default"/>
        <w:lang w:val="en-US" w:eastAsia="en-US" w:bidi="ar-SA"/>
      </w:rPr>
    </w:lvl>
    <w:lvl w:ilvl="1">
      <w:start w:val="1"/>
      <w:numFmt w:val="decimal"/>
      <w:lvlText w:val="%1.%2"/>
      <w:lvlJc w:val="left"/>
      <w:pPr>
        <w:ind w:left="956" w:hanging="454"/>
        <w:jc w:val="left"/>
      </w:pPr>
      <w:rPr>
        <w:rFonts w:hint="default"/>
        <w:lang w:val="en-US" w:eastAsia="en-US" w:bidi="ar-SA"/>
      </w:rPr>
    </w:lvl>
    <w:lvl w:ilvl="2">
      <w:start w:val="1"/>
      <w:numFmt w:val="decimal"/>
      <w:lvlText w:val="%1.%2.%3"/>
      <w:lvlJc w:val="left"/>
      <w:pPr>
        <w:ind w:left="956" w:hanging="454"/>
        <w:jc w:val="left"/>
      </w:pPr>
      <w:rPr>
        <w:rFonts w:ascii="Arial" w:eastAsia="Arial" w:hAnsi="Arial" w:cs="Arial" w:hint="default"/>
        <w:b w:val="0"/>
        <w:bCs w:val="0"/>
        <w:i w:val="0"/>
        <w:iCs w:val="0"/>
        <w:spacing w:val="-15"/>
        <w:w w:val="98"/>
        <w:sz w:val="15"/>
        <w:szCs w:val="15"/>
        <w:lang w:val="en-US" w:eastAsia="en-US" w:bidi="ar-SA"/>
      </w:rPr>
    </w:lvl>
    <w:lvl w:ilvl="3">
      <w:start w:val="1"/>
      <w:numFmt w:val="decimal"/>
      <w:lvlText w:val="%4."/>
      <w:lvlJc w:val="left"/>
      <w:pPr>
        <w:ind w:left="1240" w:hanging="341"/>
        <w:jc w:val="left"/>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2372" w:hanging="341"/>
      </w:pPr>
      <w:rPr>
        <w:rFonts w:hint="default"/>
        <w:lang w:val="en-US" w:eastAsia="en-US" w:bidi="ar-SA"/>
      </w:rPr>
    </w:lvl>
    <w:lvl w:ilvl="5">
      <w:numFmt w:val="bullet"/>
      <w:lvlText w:val="•"/>
      <w:lvlJc w:val="left"/>
      <w:pPr>
        <w:ind w:left="2750" w:hanging="341"/>
      </w:pPr>
      <w:rPr>
        <w:rFonts w:hint="default"/>
        <w:lang w:val="en-US" w:eastAsia="en-US" w:bidi="ar-SA"/>
      </w:rPr>
    </w:lvl>
    <w:lvl w:ilvl="6">
      <w:numFmt w:val="bullet"/>
      <w:lvlText w:val="•"/>
      <w:lvlJc w:val="left"/>
      <w:pPr>
        <w:ind w:left="3127" w:hanging="341"/>
      </w:pPr>
      <w:rPr>
        <w:rFonts w:hint="default"/>
        <w:lang w:val="en-US" w:eastAsia="en-US" w:bidi="ar-SA"/>
      </w:rPr>
    </w:lvl>
    <w:lvl w:ilvl="7">
      <w:numFmt w:val="bullet"/>
      <w:lvlText w:val="•"/>
      <w:lvlJc w:val="left"/>
      <w:pPr>
        <w:ind w:left="3505" w:hanging="341"/>
      </w:pPr>
      <w:rPr>
        <w:rFonts w:hint="default"/>
        <w:lang w:val="en-US" w:eastAsia="en-US" w:bidi="ar-SA"/>
      </w:rPr>
    </w:lvl>
    <w:lvl w:ilvl="8">
      <w:numFmt w:val="bullet"/>
      <w:lvlText w:val="•"/>
      <w:lvlJc w:val="left"/>
      <w:pPr>
        <w:ind w:left="3882" w:hanging="341"/>
      </w:pPr>
      <w:rPr>
        <w:rFonts w:hint="default"/>
        <w:lang w:val="en-US" w:eastAsia="en-US" w:bidi="ar-SA"/>
      </w:rPr>
    </w:lvl>
  </w:abstractNum>
  <w:abstractNum w:abstractNumId="44" w15:restartNumberingAfterBreak="0">
    <w:nsid w:val="3D2B695B"/>
    <w:multiLevelType w:val="hybridMultilevel"/>
    <w:tmpl w:val="49DE3042"/>
    <w:lvl w:ilvl="0" w:tplc="B25046DC">
      <w:start w:val="1"/>
      <w:numFmt w:val="lowerLetter"/>
      <w:lvlText w:val="%1)"/>
      <w:lvlJc w:val="left"/>
      <w:pPr>
        <w:ind w:left="1809" w:hanging="212"/>
        <w:jc w:val="left"/>
      </w:pPr>
      <w:rPr>
        <w:rFonts w:ascii="Arial" w:eastAsia="Arial" w:hAnsi="Arial" w:cs="Arial" w:hint="default"/>
        <w:b w:val="0"/>
        <w:bCs w:val="0"/>
        <w:i w:val="0"/>
        <w:iCs w:val="0"/>
        <w:color w:val="231F20"/>
        <w:spacing w:val="0"/>
        <w:w w:val="100"/>
        <w:sz w:val="18"/>
        <w:szCs w:val="18"/>
        <w:lang w:val="en-US" w:eastAsia="en-US" w:bidi="ar-SA"/>
      </w:rPr>
    </w:lvl>
    <w:lvl w:ilvl="1" w:tplc="DDF0D748">
      <w:numFmt w:val="bullet"/>
      <w:lvlText w:val="•"/>
      <w:lvlJc w:val="left"/>
      <w:pPr>
        <w:ind w:left="2648" w:hanging="212"/>
      </w:pPr>
      <w:rPr>
        <w:rFonts w:hint="default"/>
        <w:lang w:val="en-US" w:eastAsia="en-US" w:bidi="ar-SA"/>
      </w:rPr>
    </w:lvl>
    <w:lvl w:ilvl="2" w:tplc="8B2452E2">
      <w:numFmt w:val="bullet"/>
      <w:lvlText w:val="•"/>
      <w:lvlJc w:val="left"/>
      <w:pPr>
        <w:ind w:left="3497" w:hanging="212"/>
      </w:pPr>
      <w:rPr>
        <w:rFonts w:hint="default"/>
        <w:lang w:val="en-US" w:eastAsia="en-US" w:bidi="ar-SA"/>
      </w:rPr>
    </w:lvl>
    <w:lvl w:ilvl="3" w:tplc="F9B64ED0">
      <w:numFmt w:val="bullet"/>
      <w:lvlText w:val="•"/>
      <w:lvlJc w:val="left"/>
      <w:pPr>
        <w:ind w:left="4345" w:hanging="212"/>
      </w:pPr>
      <w:rPr>
        <w:rFonts w:hint="default"/>
        <w:lang w:val="en-US" w:eastAsia="en-US" w:bidi="ar-SA"/>
      </w:rPr>
    </w:lvl>
    <w:lvl w:ilvl="4" w:tplc="D6900E36">
      <w:numFmt w:val="bullet"/>
      <w:lvlText w:val="•"/>
      <w:lvlJc w:val="left"/>
      <w:pPr>
        <w:ind w:left="5194" w:hanging="212"/>
      </w:pPr>
      <w:rPr>
        <w:rFonts w:hint="default"/>
        <w:lang w:val="en-US" w:eastAsia="en-US" w:bidi="ar-SA"/>
      </w:rPr>
    </w:lvl>
    <w:lvl w:ilvl="5" w:tplc="B39E2776">
      <w:numFmt w:val="bullet"/>
      <w:lvlText w:val="•"/>
      <w:lvlJc w:val="left"/>
      <w:pPr>
        <w:ind w:left="6042" w:hanging="212"/>
      </w:pPr>
      <w:rPr>
        <w:rFonts w:hint="default"/>
        <w:lang w:val="en-US" w:eastAsia="en-US" w:bidi="ar-SA"/>
      </w:rPr>
    </w:lvl>
    <w:lvl w:ilvl="6" w:tplc="5BB6DF06">
      <w:numFmt w:val="bullet"/>
      <w:lvlText w:val="•"/>
      <w:lvlJc w:val="left"/>
      <w:pPr>
        <w:ind w:left="6891" w:hanging="212"/>
      </w:pPr>
      <w:rPr>
        <w:rFonts w:hint="default"/>
        <w:lang w:val="en-US" w:eastAsia="en-US" w:bidi="ar-SA"/>
      </w:rPr>
    </w:lvl>
    <w:lvl w:ilvl="7" w:tplc="8EBEA362">
      <w:numFmt w:val="bullet"/>
      <w:lvlText w:val="•"/>
      <w:lvlJc w:val="left"/>
      <w:pPr>
        <w:ind w:left="7739" w:hanging="212"/>
      </w:pPr>
      <w:rPr>
        <w:rFonts w:hint="default"/>
        <w:lang w:val="en-US" w:eastAsia="en-US" w:bidi="ar-SA"/>
      </w:rPr>
    </w:lvl>
    <w:lvl w:ilvl="8" w:tplc="53C05BB2">
      <w:numFmt w:val="bullet"/>
      <w:lvlText w:val="•"/>
      <w:lvlJc w:val="left"/>
      <w:pPr>
        <w:ind w:left="8588" w:hanging="212"/>
      </w:pPr>
      <w:rPr>
        <w:rFonts w:hint="default"/>
        <w:lang w:val="en-US" w:eastAsia="en-US" w:bidi="ar-SA"/>
      </w:rPr>
    </w:lvl>
  </w:abstractNum>
  <w:abstractNum w:abstractNumId="45" w15:restartNumberingAfterBreak="0">
    <w:nsid w:val="3D6D3A51"/>
    <w:multiLevelType w:val="hybridMultilevel"/>
    <w:tmpl w:val="EE942608"/>
    <w:lvl w:ilvl="0" w:tplc="4348A2B2">
      <w:numFmt w:val="bullet"/>
      <w:lvlText w:val="•"/>
      <w:lvlJc w:val="left"/>
      <w:pPr>
        <w:ind w:left="455" w:hanging="341"/>
      </w:pPr>
      <w:rPr>
        <w:rFonts w:ascii="Arial" w:eastAsia="Arial" w:hAnsi="Arial" w:cs="Arial" w:hint="default"/>
        <w:b w:val="0"/>
        <w:bCs w:val="0"/>
        <w:i w:val="0"/>
        <w:iCs w:val="0"/>
        <w:spacing w:val="0"/>
        <w:w w:val="100"/>
        <w:sz w:val="20"/>
        <w:szCs w:val="20"/>
        <w:lang w:val="en-US" w:eastAsia="en-US" w:bidi="ar-SA"/>
      </w:rPr>
    </w:lvl>
    <w:lvl w:ilvl="1" w:tplc="00109CEC">
      <w:numFmt w:val="bullet"/>
      <w:lvlText w:val="•"/>
      <w:lvlJc w:val="left"/>
      <w:pPr>
        <w:ind w:left="974" w:hanging="142"/>
      </w:pPr>
      <w:rPr>
        <w:rFonts w:ascii="Arial" w:eastAsia="Arial" w:hAnsi="Arial" w:cs="Arial" w:hint="default"/>
        <w:b w:val="0"/>
        <w:bCs w:val="0"/>
        <w:i w:val="0"/>
        <w:iCs w:val="0"/>
        <w:spacing w:val="0"/>
        <w:w w:val="95"/>
        <w:sz w:val="15"/>
        <w:szCs w:val="15"/>
        <w:lang w:val="en-US" w:eastAsia="en-US" w:bidi="ar-SA"/>
      </w:rPr>
    </w:lvl>
    <w:lvl w:ilvl="2" w:tplc="957C31C8">
      <w:numFmt w:val="bullet"/>
      <w:lvlText w:val="•"/>
      <w:lvlJc w:val="left"/>
      <w:pPr>
        <w:ind w:left="1217" w:hanging="142"/>
      </w:pPr>
      <w:rPr>
        <w:rFonts w:hint="default"/>
        <w:lang w:val="en-US" w:eastAsia="en-US" w:bidi="ar-SA"/>
      </w:rPr>
    </w:lvl>
    <w:lvl w:ilvl="3" w:tplc="4978FF10">
      <w:numFmt w:val="bullet"/>
      <w:lvlText w:val="•"/>
      <w:lvlJc w:val="left"/>
      <w:pPr>
        <w:ind w:left="1455" w:hanging="142"/>
      </w:pPr>
      <w:rPr>
        <w:rFonts w:hint="default"/>
        <w:lang w:val="en-US" w:eastAsia="en-US" w:bidi="ar-SA"/>
      </w:rPr>
    </w:lvl>
    <w:lvl w:ilvl="4" w:tplc="B2B65EDC">
      <w:numFmt w:val="bullet"/>
      <w:lvlText w:val="•"/>
      <w:lvlJc w:val="left"/>
      <w:pPr>
        <w:ind w:left="1693" w:hanging="142"/>
      </w:pPr>
      <w:rPr>
        <w:rFonts w:hint="default"/>
        <w:lang w:val="en-US" w:eastAsia="en-US" w:bidi="ar-SA"/>
      </w:rPr>
    </w:lvl>
    <w:lvl w:ilvl="5" w:tplc="71AAF4DA">
      <w:numFmt w:val="bullet"/>
      <w:lvlText w:val="•"/>
      <w:lvlJc w:val="left"/>
      <w:pPr>
        <w:ind w:left="1931" w:hanging="142"/>
      </w:pPr>
      <w:rPr>
        <w:rFonts w:hint="default"/>
        <w:lang w:val="en-US" w:eastAsia="en-US" w:bidi="ar-SA"/>
      </w:rPr>
    </w:lvl>
    <w:lvl w:ilvl="6" w:tplc="0F8A6DD4">
      <w:numFmt w:val="bullet"/>
      <w:lvlText w:val="•"/>
      <w:lvlJc w:val="left"/>
      <w:pPr>
        <w:ind w:left="2168" w:hanging="142"/>
      </w:pPr>
      <w:rPr>
        <w:rFonts w:hint="default"/>
        <w:lang w:val="en-US" w:eastAsia="en-US" w:bidi="ar-SA"/>
      </w:rPr>
    </w:lvl>
    <w:lvl w:ilvl="7" w:tplc="F378E346">
      <w:numFmt w:val="bullet"/>
      <w:lvlText w:val="•"/>
      <w:lvlJc w:val="left"/>
      <w:pPr>
        <w:ind w:left="2406" w:hanging="142"/>
      </w:pPr>
      <w:rPr>
        <w:rFonts w:hint="default"/>
        <w:lang w:val="en-US" w:eastAsia="en-US" w:bidi="ar-SA"/>
      </w:rPr>
    </w:lvl>
    <w:lvl w:ilvl="8" w:tplc="A2C612BA">
      <w:numFmt w:val="bullet"/>
      <w:lvlText w:val="•"/>
      <w:lvlJc w:val="left"/>
      <w:pPr>
        <w:ind w:left="2644" w:hanging="142"/>
      </w:pPr>
      <w:rPr>
        <w:rFonts w:hint="default"/>
        <w:lang w:val="en-US" w:eastAsia="en-US" w:bidi="ar-SA"/>
      </w:rPr>
    </w:lvl>
  </w:abstractNum>
  <w:abstractNum w:abstractNumId="46" w15:restartNumberingAfterBreak="0">
    <w:nsid w:val="3E4D5E80"/>
    <w:multiLevelType w:val="multilevel"/>
    <w:tmpl w:val="5F105414"/>
    <w:lvl w:ilvl="0">
      <w:start w:val="12"/>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528" w:hanging="142"/>
      </w:pPr>
      <w:rPr>
        <w:rFonts w:ascii="Arial" w:eastAsia="Arial" w:hAnsi="Arial" w:cs="Arial" w:hint="default"/>
        <w:b w:val="0"/>
        <w:bCs w:val="0"/>
        <w:i w:val="0"/>
        <w:iCs w:val="0"/>
        <w:spacing w:val="0"/>
        <w:w w:val="95"/>
        <w:sz w:val="15"/>
        <w:szCs w:val="15"/>
        <w:lang w:val="en-US" w:eastAsia="en-US" w:bidi="ar-SA"/>
      </w:rPr>
    </w:lvl>
    <w:lvl w:ilvl="4">
      <w:numFmt w:val="bullet"/>
      <w:lvlText w:val="•"/>
      <w:lvlJc w:val="left"/>
      <w:pPr>
        <w:ind w:left="2247" w:hanging="142"/>
      </w:pPr>
      <w:rPr>
        <w:rFonts w:hint="default"/>
        <w:lang w:val="en-US" w:eastAsia="en-US" w:bidi="ar-SA"/>
      </w:rPr>
    </w:lvl>
    <w:lvl w:ilvl="5">
      <w:numFmt w:val="bullet"/>
      <w:lvlText w:val="•"/>
      <w:lvlJc w:val="left"/>
      <w:pPr>
        <w:ind w:left="2490" w:hanging="142"/>
      </w:pPr>
      <w:rPr>
        <w:rFonts w:hint="default"/>
        <w:lang w:val="en-US" w:eastAsia="en-US" w:bidi="ar-SA"/>
      </w:rPr>
    </w:lvl>
    <w:lvl w:ilvl="6">
      <w:numFmt w:val="bullet"/>
      <w:lvlText w:val="•"/>
      <w:lvlJc w:val="left"/>
      <w:pPr>
        <w:ind w:left="2732" w:hanging="142"/>
      </w:pPr>
      <w:rPr>
        <w:rFonts w:hint="default"/>
        <w:lang w:val="en-US" w:eastAsia="en-US" w:bidi="ar-SA"/>
      </w:rPr>
    </w:lvl>
    <w:lvl w:ilvl="7">
      <w:numFmt w:val="bullet"/>
      <w:lvlText w:val="•"/>
      <w:lvlJc w:val="left"/>
      <w:pPr>
        <w:ind w:left="2975" w:hanging="142"/>
      </w:pPr>
      <w:rPr>
        <w:rFonts w:hint="default"/>
        <w:lang w:val="en-US" w:eastAsia="en-US" w:bidi="ar-SA"/>
      </w:rPr>
    </w:lvl>
    <w:lvl w:ilvl="8">
      <w:numFmt w:val="bullet"/>
      <w:lvlText w:val="•"/>
      <w:lvlJc w:val="left"/>
      <w:pPr>
        <w:ind w:left="3217" w:hanging="142"/>
      </w:pPr>
      <w:rPr>
        <w:rFonts w:hint="default"/>
        <w:lang w:val="en-US" w:eastAsia="en-US" w:bidi="ar-SA"/>
      </w:rPr>
    </w:lvl>
  </w:abstractNum>
  <w:abstractNum w:abstractNumId="47" w15:restartNumberingAfterBreak="0">
    <w:nsid w:val="407C1F01"/>
    <w:multiLevelType w:val="hybridMultilevel"/>
    <w:tmpl w:val="51D84BDE"/>
    <w:lvl w:ilvl="0" w:tplc="1310C70C">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CA3E6140">
      <w:numFmt w:val="bullet"/>
      <w:lvlText w:val="•"/>
      <w:lvlJc w:val="left"/>
      <w:pPr>
        <w:ind w:left="2162" w:hanging="454"/>
      </w:pPr>
      <w:rPr>
        <w:rFonts w:hint="default"/>
        <w:lang w:val="en-US" w:eastAsia="en-US" w:bidi="ar-SA"/>
      </w:rPr>
    </w:lvl>
    <w:lvl w:ilvl="2" w:tplc="5A4C8F66">
      <w:numFmt w:val="bullet"/>
      <w:lvlText w:val="•"/>
      <w:lvlJc w:val="left"/>
      <w:pPr>
        <w:ind w:left="3065" w:hanging="454"/>
      </w:pPr>
      <w:rPr>
        <w:rFonts w:hint="default"/>
        <w:lang w:val="en-US" w:eastAsia="en-US" w:bidi="ar-SA"/>
      </w:rPr>
    </w:lvl>
    <w:lvl w:ilvl="3" w:tplc="A0929A82">
      <w:numFmt w:val="bullet"/>
      <w:lvlText w:val="•"/>
      <w:lvlJc w:val="left"/>
      <w:pPr>
        <w:ind w:left="3967" w:hanging="454"/>
      </w:pPr>
      <w:rPr>
        <w:rFonts w:hint="default"/>
        <w:lang w:val="en-US" w:eastAsia="en-US" w:bidi="ar-SA"/>
      </w:rPr>
    </w:lvl>
    <w:lvl w:ilvl="4" w:tplc="D2743808">
      <w:numFmt w:val="bullet"/>
      <w:lvlText w:val="•"/>
      <w:lvlJc w:val="left"/>
      <w:pPr>
        <w:ind w:left="4870" w:hanging="454"/>
      </w:pPr>
      <w:rPr>
        <w:rFonts w:hint="default"/>
        <w:lang w:val="en-US" w:eastAsia="en-US" w:bidi="ar-SA"/>
      </w:rPr>
    </w:lvl>
    <w:lvl w:ilvl="5" w:tplc="EF5A0594">
      <w:numFmt w:val="bullet"/>
      <w:lvlText w:val="•"/>
      <w:lvlJc w:val="left"/>
      <w:pPr>
        <w:ind w:left="5772" w:hanging="454"/>
      </w:pPr>
      <w:rPr>
        <w:rFonts w:hint="default"/>
        <w:lang w:val="en-US" w:eastAsia="en-US" w:bidi="ar-SA"/>
      </w:rPr>
    </w:lvl>
    <w:lvl w:ilvl="6" w:tplc="82466006">
      <w:numFmt w:val="bullet"/>
      <w:lvlText w:val="•"/>
      <w:lvlJc w:val="left"/>
      <w:pPr>
        <w:ind w:left="6675" w:hanging="454"/>
      </w:pPr>
      <w:rPr>
        <w:rFonts w:hint="default"/>
        <w:lang w:val="en-US" w:eastAsia="en-US" w:bidi="ar-SA"/>
      </w:rPr>
    </w:lvl>
    <w:lvl w:ilvl="7" w:tplc="191A67A0">
      <w:numFmt w:val="bullet"/>
      <w:lvlText w:val="•"/>
      <w:lvlJc w:val="left"/>
      <w:pPr>
        <w:ind w:left="7577" w:hanging="454"/>
      </w:pPr>
      <w:rPr>
        <w:rFonts w:hint="default"/>
        <w:lang w:val="en-US" w:eastAsia="en-US" w:bidi="ar-SA"/>
      </w:rPr>
    </w:lvl>
    <w:lvl w:ilvl="8" w:tplc="EBEEB4F6">
      <w:numFmt w:val="bullet"/>
      <w:lvlText w:val="•"/>
      <w:lvlJc w:val="left"/>
      <w:pPr>
        <w:ind w:left="8480" w:hanging="454"/>
      </w:pPr>
      <w:rPr>
        <w:rFonts w:hint="default"/>
        <w:lang w:val="en-US" w:eastAsia="en-US" w:bidi="ar-SA"/>
      </w:rPr>
    </w:lvl>
  </w:abstractNum>
  <w:abstractNum w:abstractNumId="48" w15:restartNumberingAfterBreak="0">
    <w:nsid w:val="43305168"/>
    <w:multiLevelType w:val="hybridMultilevel"/>
    <w:tmpl w:val="82406368"/>
    <w:lvl w:ilvl="0" w:tplc="1362EB50">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236C4DDC">
      <w:numFmt w:val="bullet"/>
      <w:lvlText w:val="•"/>
      <w:lvlJc w:val="left"/>
      <w:pPr>
        <w:ind w:left="2162" w:hanging="454"/>
      </w:pPr>
      <w:rPr>
        <w:rFonts w:hint="default"/>
        <w:lang w:val="en-US" w:eastAsia="en-US" w:bidi="ar-SA"/>
      </w:rPr>
    </w:lvl>
    <w:lvl w:ilvl="2" w:tplc="48FECF5E">
      <w:numFmt w:val="bullet"/>
      <w:lvlText w:val="•"/>
      <w:lvlJc w:val="left"/>
      <w:pPr>
        <w:ind w:left="3065" w:hanging="454"/>
      </w:pPr>
      <w:rPr>
        <w:rFonts w:hint="default"/>
        <w:lang w:val="en-US" w:eastAsia="en-US" w:bidi="ar-SA"/>
      </w:rPr>
    </w:lvl>
    <w:lvl w:ilvl="3" w:tplc="C67621EA">
      <w:numFmt w:val="bullet"/>
      <w:lvlText w:val="•"/>
      <w:lvlJc w:val="left"/>
      <w:pPr>
        <w:ind w:left="3967" w:hanging="454"/>
      </w:pPr>
      <w:rPr>
        <w:rFonts w:hint="default"/>
        <w:lang w:val="en-US" w:eastAsia="en-US" w:bidi="ar-SA"/>
      </w:rPr>
    </w:lvl>
    <w:lvl w:ilvl="4" w:tplc="58680E92">
      <w:numFmt w:val="bullet"/>
      <w:lvlText w:val="•"/>
      <w:lvlJc w:val="left"/>
      <w:pPr>
        <w:ind w:left="4870" w:hanging="454"/>
      </w:pPr>
      <w:rPr>
        <w:rFonts w:hint="default"/>
        <w:lang w:val="en-US" w:eastAsia="en-US" w:bidi="ar-SA"/>
      </w:rPr>
    </w:lvl>
    <w:lvl w:ilvl="5" w:tplc="4D80B37E">
      <w:numFmt w:val="bullet"/>
      <w:lvlText w:val="•"/>
      <w:lvlJc w:val="left"/>
      <w:pPr>
        <w:ind w:left="5772" w:hanging="454"/>
      </w:pPr>
      <w:rPr>
        <w:rFonts w:hint="default"/>
        <w:lang w:val="en-US" w:eastAsia="en-US" w:bidi="ar-SA"/>
      </w:rPr>
    </w:lvl>
    <w:lvl w:ilvl="6" w:tplc="6A4A0E30">
      <w:numFmt w:val="bullet"/>
      <w:lvlText w:val="•"/>
      <w:lvlJc w:val="left"/>
      <w:pPr>
        <w:ind w:left="6675" w:hanging="454"/>
      </w:pPr>
      <w:rPr>
        <w:rFonts w:hint="default"/>
        <w:lang w:val="en-US" w:eastAsia="en-US" w:bidi="ar-SA"/>
      </w:rPr>
    </w:lvl>
    <w:lvl w:ilvl="7" w:tplc="9344200A">
      <w:numFmt w:val="bullet"/>
      <w:lvlText w:val="•"/>
      <w:lvlJc w:val="left"/>
      <w:pPr>
        <w:ind w:left="7577" w:hanging="454"/>
      </w:pPr>
      <w:rPr>
        <w:rFonts w:hint="default"/>
        <w:lang w:val="en-US" w:eastAsia="en-US" w:bidi="ar-SA"/>
      </w:rPr>
    </w:lvl>
    <w:lvl w:ilvl="8" w:tplc="87368C5A">
      <w:numFmt w:val="bullet"/>
      <w:lvlText w:val="•"/>
      <w:lvlJc w:val="left"/>
      <w:pPr>
        <w:ind w:left="8480" w:hanging="454"/>
      </w:pPr>
      <w:rPr>
        <w:rFonts w:hint="default"/>
        <w:lang w:val="en-US" w:eastAsia="en-US" w:bidi="ar-SA"/>
      </w:rPr>
    </w:lvl>
  </w:abstractNum>
  <w:abstractNum w:abstractNumId="49" w15:restartNumberingAfterBreak="0">
    <w:nsid w:val="46B3092A"/>
    <w:multiLevelType w:val="hybridMultilevel"/>
    <w:tmpl w:val="709A4DB0"/>
    <w:lvl w:ilvl="0" w:tplc="EAC64740">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C7D26528">
      <w:numFmt w:val="bullet"/>
      <w:lvlText w:val="•"/>
      <w:lvlJc w:val="left"/>
      <w:pPr>
        <w:ind w:left="2072" w:hanging="341"/>
      </w:pPr>
      <w:rPr>
        <w:rFonts w:hint="default"/>
        <w:lang w:val="en-US" w:eastAsia="en-US" w:bidi="ar-SA"/>
      </w:rPr>
    </w:lvl>
    <w:lvl w:ilvl="2" w:tplc="0F242EC2">
      <w:numFmt w:val="bullet"/>
      <w:lvlText w:val="•"/>
      <w:lvlJc w:val="left"/>
      <w:pPr>
        <w:ind w:left="2985" w:hanging="341"/>
      </w:pPr>
      <w:rPr>
        <w:rFonts w:hint="default"/>
        <w:lang w:val="en-US" w:eastAsia="en-US" w:bidi="ar-SA"/>
      </w:rPr>
    </w:lvl>
    <w:lvl w:ilvl="3" w:tplc="44EA21DC">
      <w:numFmt w:val="bullet"/>
      <w:lvlText w:val="•"/>
      <w:lvlJc w:val="left"/>
      <w:pPr>
        <w:ind w:left="3897" w:hanging="341"/>
      </w:pPr>
      <w:rPr>
        <w:rFonts w:hint="default"/>
        <w:lang w:val="en-US" w:eastAsia="en-US" w:bidi="ar-SA"/>
      </w:rPr>
    </w:lvl>
    <w:lvl w:ilvl="4" w:tplc="59744DA4">
      <w:numFmt w:val="bullet"/>
      <w:lvlText w:val="•"/>
      <w:lvlJc w:val="left"/>
      <w:pPr>
        <w:ind w:left="4810" w:hanging="341"/>
      </w:pPr>
      <w:rPr>
        <w:rFonts w:hint="default"/>
        <w:lang w:val="en-US" w:eastAsia="en-US" w:bidi="ar-SA"/>
      </w:rPr>
    </w:lvl>
    <w:lvl w:ilvl="5" w:tplc="F104ED7C">
      <w:numFmt w:val="bullet"/>
      <w:lvlText w:val="•"/>
      <w:lvlJc w:val="left"/>
      <w:pPr>
        <w:ind w:left="5722" w:hanging="341"/>
      </w:pPr>
      <w:rPr>
        <w:rFonts w:hint="default"/>
        <w:lang w:val="en-US" w:eastAsia="en-US" w:bidi="ar-SA"/>
      </w:rPr>
    </w:lvl>
    <w:lvl w:ilvl="6" w:tplc="2EE46CB0">
      <w:numFmt w:val="bullet"/>
      <w:lvlText w:val="•"/>
      <w:lvlJc w:val="left"/>
      <w:pPr>
        <w:ind w:left="6635" w:hanging="341"/>
      </w:pPr>
      <w:rPr>
        <w:rFonts w:hint="default"/>
        <w:lang w:val="en-US" w:eastAsia="en-US" w:bidi="ar-SA"/>
      </w:rPr>
    </w:lvl>
    <w:lvl w:ilvl="7" w:tplc="25688896">
      <w:numFmt w:val="bullet"/>
      <w:lvlText w:val="•"/>
      <w:lvlJc w:val="left"/>
      <w:pPr>
        <w:ind w:left="7547" w:hanging="341"/>
      </w:pPr>
      <w:rPr>
        <w:rFonts w:hint="default"/>
        <w:lang w:val="en-US" w:eastAsia="en-US" w:bidi="ar-SA"/>
      </w:rPr>
    </w:lvl>
    <w:lvl w:ilvl="8" w:tplc="609CDE32">
      <w:numFmt w:val="bullet"/>
      <w:lvlText w:val="•"/>
      <w:lvlJc w:val="left"/>
      <w:pPr>
        <w:ind w:left="8460" w:hanging="341"/>
      </w:pPr>
      <w:rPr>
        <w:rFonts w:hint="default"/>
        <w:lang w:val="en-US" w:eastAsia="en-US" w:bidi="ar-SA"/>
      </w:rPr>
    </w:lvl>
  </w:abstractNum>
  <w:abstractNum w:abstractNumId="50" w15:restartNumberingAfterBreak="0">
    <w:nsid w:val="487E5F8D"/>
    <w:multiLevelType w:val="hybridMultilevel"/>
    <w:tmpl w:val="F6EEA19C"/>
    <w:lvl w:ilvl="0" w:tplc="6BD43738">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E7EE1424">
      <w:numFmt w:val="bullet"/>
      <w:lvlText w:val="•"/>
      <w:lvlJc w:val="left"/>
      <w:pPr>
        <w:ind w:left="1496" w:hanging="341"/>
      </w:pPr>
      <w:rPr>
        <w:rFonts w:ascii="Arial" w:eastAsia="Arial" w:hAnsi="Arial" w:cs="Arial" w:hint="default"/>
        <w:b w:val="0"/>
        <w:bCs w:val="0"/>
        <w:i w:val="0"/>
        <w:iCs w:val="0"/>
        <w:spacing w:val="0"/>
        <w:w w:val="100"/>
        <w:sz w:val="20"/>
        <w:szCs w:val="20"/>
        <w:lang w:val="en-US" w:eastAsia="en-US" w:bidi="ar-SA"/>
      </w:rPr>
    </w:lvl>
    <w:lvl w:ilvl="2" w:tplc="25E290D2">
      <w:numFmt w:val="bullet"/>
      <w:lvlText w:val="•"/>
      <w:lvlJc w:val="left"/>
      <w:pPr>
        <w:ind w:left="2476" w:hanging="341"/>
      </w:pPr>
      <w:rPr>
        <w:rFonts w:hint="default"/>
        <w:lang w:val="en-US" w:eastAsia="en-US" w:bidi="ar-SA"/>
      </w:rPr>
    </w:lvl>
    <w:lvl w:ilvl="3" w:tplc="2BF271DA">
      <w:numFmt w:val="bullet"/>
      <w:lvlText w:val="•"/>
      <w:lvlJc w:val="left"/>
      <w:pPr>
        <w:ind w:left="3452" w:hanging="341"/>
      </w:pPr>
      <w:rPr>
        <w:rFonts w:hint="default"/>
        <w:lang w:val="en-US" w:eastAsia="en-US" w:bidi="ar-SA"/>
      </w:rPr>
    </w:lvl>
    <w:lvl w:ilvl="4" w:tplc="1B3C1108">
      <w:numFmt w:val="bullet"/>
      <w:lvlText w:val="•"/>
      <w:lvlJc w:val="left"/>
      <w:pPr>
        <w:ind w:left="4428" w:hanging="341"/>
      </w:pPr>
      <w:rPr>
        <w:rFonts w:hint="default"/>
        <w:lang w:val="en-US" w:eastAsia="en-US" w:bidi="ar-SA"/>
      </w:rPr>
    </w:lvl>
    <w:lvl w:ilvl="5" w:tplc="B260A4B8">
      <w:numFmt w:val="bullet"/>
      <w:lvlText w:val="•"/>
      <w:lvlJc w:val="left"/>
      <w:pPr>
        <w:ind w:left="5404" w:hanging="341"/>
      </w:pPr>
      <w:rPr>
        <w:rFonts w:hint="default"/>
        <w:lang w:val="en-US" w:eastAsia="en-US" w:bidi="ar-SA"/>
      </w:rPr>
    </w:lvl>
    <w:lvl w:ilvl="6" w:tplc="AF6A0812">
      <w:numFmt w:val="bullet"/>
      <w:lvlText w:val="•"/>
      <w:lvlJc w:val="left"/>
      <w:pPr>
        <w:ind w:left="6380" w:hanging="341"/>
      </w:pPr>
      <w:rPr>
        <w:rFonts w:hint="default"/>
        <w:lang w:val="en-US" w:eastAsia="en-US" w:bidi="ar-SA"/>
      </w:rPr>
    </w:lvl>
    <w:lvl w:ilvl="7" w:tplc="F1563418">
      <w:numFmt w:val="bullet"/>
      <w:lvlText w:val="•"/>
      <w:lvlJc w:val="left"/>
      <w:pPr>
        <w:ind w:left="7357" w:hanging="341"/>
      </w:pPr>
      <w:rPr>
        <w:rFonts w:hint="default"/>
        <w:lang w:val="en-US" w:eastAsia="en-US" w:bidi="ar-SA"/>
      </w:rPr>
    </w:lvl>
    <w:lvl w:ilvl="8" w:tplc="D040C632">
      <w:numFmt w:val="bullet"/>
      <w:lvlText w:val="•"/>
      <w:lvlJc w:val="left"/>
      <w:pPr>
        <w:ind w:left="8333" w:hanging="341"/>
      </w:pPr>
      <w:rPr>
        <w:rFonts w:hint="default"/>
        <w:lang w:val="en-US" w:eastAsia="en-US" w:bidi="ar-SA"/>
      </w:rPr>
    </w:lvl>
  </w:abstractNum>
  <w:abstractNum w:abstractNumId="51" w15:restartNumberingAfterBreak="0">
    <w:nsid w:val="4D38189A"/>
    <w:multiLevelType w:val="multilevel"/>
    <w:tmpl w:val="E2B4C196"/>
    <w:lvl w:ilvl="0">
      <w:start w:val="9"/>
      <w:numFmt w:val="decimal"/>
      <w:lvlText w:val="%1"/>
      <w:lvlJc w:val="left"/>
      <w:pPr>
        <w:ind w:left="526" w:hanging="426"/>
        <w:jc w:val="left"/>
      </w:pPr>
      <w:rPr>
        <w:rFonts w:hint="default"/>
        <w:lang w:val="en-US" w:eastAsia="en-US" w:bidi="ar-SA"/>
      </w:rPr>
    </w:lvl>
    <w:lvl w:ilvl="1">
      <w:start w:val="1"/>
      <w:numFmt w:val="decimal"/>
      <w:lvlText w:val="%1.%2"/>
      <w:lvlJc w:val="left"/>
      <w:pPr>
        <w:ind w:left="526" w:hanging="426"/>
        <w:jc w:val="left"/>
      </w:pPr>
      <w:rPr>
        <w:rFonts w:hint="default"/>
        <w:lang w:val="en-US" w:eastAsia="en-US" w:bidi="ar-SA"/>
      </w:rPr>
    </w:lvl>
    <w:lvl w:ilvl="2">
      <w:start w:val="2"/>
      <w:numFmt w:val="decimal"/>
      <w:lvlText w:val="%1.%2.%3"/>
      <w:lvlJc w:val="left"/>
      <w:pPr>
        <w:ind w:left="526"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199" w:hanging="426"/>
      </w:pPr>
      <w:rPr>
        <w:rFonts w:hint="default"/>
        <w:lang w:val="en-US" w:eastAsia="en-US" w:bidi="ar-SA"/>
      </w:rPr>
    </w:lvl>
    <w:lvl w:ilvl="4">
      <w:numFmt w:val="bullet"/>
      <w:lvlText w:val="•"/>
      <w:lvlJc w:val="left"/>
      <w:pPr>
        <w:ind w:left="1425" w:hanging="426"/>
      </w:pPr>
      <w:rPr>
        <w:rFonts w:hint="default"/>
        <w:lang w:val="en-US" w:eastAsia="en-US" w:bidi="ar-SA"/>
      </w:rPr>
    </w:lvl>
    <w:lvl w:ilvl="5">
      <w:numFmt w:val="bullet"/>
      <w:lvlText w:val="•"/>
      <w:lvlJc w:val="left"/>
      <w:pPr>
        <w:ind w:left="1652" w:hanging="426"/>
      </w:pPr>
      <w:rPr>
        <w:rFonts w:hint="default"/>
        <w:lang w:val="en-US" w:eastAsia="en-US" w:bidi="ar-SA"/>
      </w:rPr>
    </w:lvl>
    <w:lvl w:ilvl="6">
      <w:numFmt w:val="bullet"/>
      <w:lvlText w:val="•"/>
      <w:lvlJc w:val="left"/>
      <w:pPr>
        <w:ind w:left="1878" w:hanging="426"/>
      </w:pPr>
      <w:rPr>
        <w:rFonts w:hint="default"/>
        <w:lang w:val="en-US" w:eastAsia="en-US" w:bidi="ar-SA"/>
      </w:rPr>
    </w:lvl>
    <w:lvl w:ilvl="7">
      <w:numFmt w:val="bullet"/>
      <w:lvlText w:val="•"/>
      <w:lvlJc w:val="left"/>
      <w:pPr>
        <w:ind w:left="2105" w:hanging="426"/>
      </w:pPr>
      <w:rPr>
        <w:rFonts w:hint="default"/>
        <w:lang w:val="en-US" w:eastAsia="en-US" w:bidi="ar-SA"/>
      </w:rPr>
    </w:lvl>
    <w:lvl w:ilvl="8">
      <w:numFmt w:val="bullet"/>
      <w:lvlText w:val="•"/>
      <w:lvlJc w:val="left"/>
      <w:pPr>
        <w:ind w:left="2331" w:hanging="426"/>
      </w:pPr>
      <w:rPr>
        <w:rFonts w:hint="default"/>
        <w:lang w:val="en-US" w:eastAsia="en-US" w:bidi="ar-SA"/>
      </w:rPr>
    </w:lvl>
  </w:abstractNum>
  <w:abstractNum w:abstractNumId="52" w15:restartNumberingAfterBreak="0">
    <w:nsid w:val="4E943B45"/>
    <w:multiLevelType w:val="hybridMultilevel"/>
    <w:tmpl w:val="0D18C392"/>
    <w:lvl w:ilvl="0" w:tplc="5A0CDC98">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66F415DA">
      <w:numFmt w:val="bullet"/>
      <w:lvlText w:val="•"/>
      <w:lvlJc w:val="left"/>
      <w:pPr>
        <w:ind w:left="2072" w:hanging="341"/>
      </w:pPr>
      <w:rPr>
        <w:rFonts w:hint="default"/>
        <w:lang w:val="en-US" w:eastAsia="en-US" w:bidi="ar-SA"/>
      </w:rPr>
    </w:lvl>
    <w:lvl w:ilvl="2" w:tplc="ABF44428">
      <w:numFmt w:val="bullet"/>
      <w:lvlText w:val="•"/>
      <w:lvlJc w:val="left"/>
      <w:pPr>
        <w:ind w:left="2985" w:hanging="341"/>
      </w:pPr>
      <w:rPr>
        <w:rFonts w:hint="default"/>
        <w:lang w:val="en-US" w:eastAsia="en-US" w:bidi="ar-SA"/>
      </w:rPr>
    </w:lvl>
    <w:lvl w:ilvl="3" w:tplc="3D8C9746">
      <w:numFmt w:val="bullet"/>
      <w:lvlText w:val="•"/>
      <w:lvlJc w:val="left"/>
      <w:pPr>
        <w:ind w:left="3897" w:hanging="341"/>
      </w:pPr>
      <w:rPr>
        <w:rFonts w:hint="default"/>
        <w:lang w:val="en-US" w:eastAsia="en-US" w:bidi="ar-SA"/>
      </w:rPr>
    </w:lvl>
    <w:lvl w:ilvl="4" w:tplc="C9402CEC">
      <w:numFmt w:val="bullet"/>
      <w:lvlText w:val="•"/>
      <w:lvlJc w:val="left"/>
      <w:pPr>
        <w:ind w:left="4810" w:hanging="341"/>
      </w:pPr>
      <w:rPr>
        <w:rFonts w:hint="default"/>
        <w:lang w:val="en-US" w:eastAsia="en-US" w:bidi="ar-SA"/>
      </w:rPr>
    </w:lvl>
    <w:lvl w:ilvl="5" w:tplc="E5B86A7E">
      <w:numFmt w:val="bullet"/>
      <w:lvlText w:val="•"/>
      <w:lvlJc w:val="left"/>
      <w:pPr>
        <w:ind w:left="5722" w:hanging="341"/>
      </w:pPr>
      <w:rPr>
        <w:rFonts w:hint="default"/>
        <w:lang w:val="en-US" w:eastAsia="en-US" w:bidi="ar-SA"/>
      </w:rPr>
    </w:lvl>
    <w:lvl w:ilvl="6" w:tplc="ED74015E">
      <w:numFmt w:val="bullet"/>
      <w:lvlText w:val="•"/>
      <w:lvlJc w:val="left"/>
      <w:pPr>
        <w:ind w:left="6635" w:hanging="341"/>
      </w:pPr>
      <w:rPr>
        <w:rFonts w:hint="default"/>
        <w:lang w:val="en-US" w:eastAsia="en-US" w:bidi="ar-SA"/>
      </w:rPr>
    </w:lvl>
    <w:lvl w:ilvl="7" w:tplc="D83CEEE8">
      <w:numFmt w:val="bullet"/>
      <w:lvlText w:val="•"/>
      <w:lvlJc w:val="left"/>
      <w:pPr>
        <w:ind w:left="7547" w:hanging="341"/>
      </w:pPr>
      <w:rPr>
        <w:rFonts w:hint="default"/>
        <w:lang w:val="en-US" w:eastAsia="en-US" w:bidi="ar-SA"/>
      </w:rPr>
    </w:lvl>
    <w:lvl w:ilvl="8" w:tplc="BAC460AC">
      <w:numFmt w:val="bullet"/>
      <w:lvlText w:val="•"/>
      <w:lvlJc w:val="left"/>
      <w:pPr>
        <w:ind w:left="8460" w:hanging="341"/>
      </w:pPr>
      <w:rPr>
        <w:rFonts w:hint="default"/>
        <w:lang w:val="en-US" w:eastAsia="en-US" w:bidi="ar-SA"/>
      </w:rPr>
    </w:lvl>
  </w:abstractNum>
  <w:abstractNum w:abstractNumId="53" w15:restartNumberingAfterBreak="0">
    <w:nsid w:val="4FE548C6"/>
    <w:multiLevelType w:val="hybridMultilevel"/>
    <w:tmpl w:val="4FF61E02"/>
    <w:lvl w:ilvl="0" w:tplc="AF66551C">
      <w:start w:val="1"/>
      <w:numFmt w:val="lowerLetter"/>
      <w:lvlText w:val="%1)"/>
      <w:lvlJc w:val="left"/>
      <w:pPr>
        <w:ind w:left="526" w:hanging="341"/>
        <w:jc w:val="left"/>
      </w:pPr>
      <w:rPr>
        <w:rFonts w:ascii="Arial" w:eastAsia="Arial" w:hAnsi="Arial" w:cs="Arial" w:hint="default"/>
        <w:b w:val="0"/>
        <w:bCs w:val="0"/>
        <w:i w:val="0"/>
        <w:iCs w:val="0"/>
        <w:spacing w:val="0"/>
        <w:w w:val="100"/>
        <w:sz w:val="20"/>
        <w:szCs w:val="20"/>
        <w:lang w:val="en-US" w:eastAsia="en-US" w:bidi="ar-SA"/>
      </w:rPr>
    </w:lvl>
    <w:lvl w:ilvl="1" w:tplc="9176BEC6">
      <w:numFmt w:val="bullet"/>
      <w:lvlText w:val="•"/>
      <w:lvlJc w:val="left"/>
      <w:pPr>
        <w:ind w:left="831" w:hanging="341"/>
      </w:pPr>
      <w:rPr>
        <w:rFonts w:hint="default"/>
        <w:lang w:val="en-US" w:eastAsia="en-US" w:bidi="ar-SA"/>
      </w:rPr>
    </w:lvl>
    <w:lvl w:ilvl="2" w:tplc="2DB4B58C">
      <w:numFmt w:val="bullet"/>
      <w:lvlText w:val="•"/>
      <w:lvlJc w:val="left"/>
      <w:pPr>
        <w:ind w:left="1143" w:hanging="341"/>
      </w:pPr>
      <w:rPr>
        <w:rFonts w:hint="default"/>
        <w:lang w:val="en-US" w:eastAsia="en-US" w:bidi="ar-SA"/>
      </w:rPr>
    </w:lvl>
    <w:lvl w:ilvl="3" w:tplc="5F20E218">
      <w:numFmt w:val="bullet"/>
      <w:lvlText w:val="•"/>
      <w:lvlJc w:val="left"/>
      <w:pPr>
        <w:ind w:left="1455" w:hanging="341"/>
      </w:pPr>
      <w:rPr>
        <w:rFonts w:hint="default"/>
        <w:lang w:val="en-US" w:eastAsia="en-US" w:bidi="ar-SA"/>
      </w:rPr>
    </w:lvl>
    <w:lvl w:ilvl="4" w:tplc="4356B022">
      <w:numFmt w:val="bullet"/>
      <w:lvlText w:val="•"/>
      <w:lvlJc w:val="left"/>
      <w:pPr>
        <w:ind w:left="1766" w:hanging="341"/>
      </w:pPr>
      <w:rPr>
        <w:rFonts w:hint="default"/>
        <w:lang w:val="en-US" w:eastAsia="en-US" w:bidi="ar-SA"/>
      </w:rPr>
    </w:lvl>
    <w:lvl w:ilvl="5" w:tplc="B5146508">
      <w:numFmt w:val="bullet"/>
      <w:lvlText w:val="•"/>
      <w:lvlJc w:val="left"/>
      <w:pPr>
        <w:ind w:left="2078" w:hanging="341"/>
      </w:pPr>
      <w:rPr>
        <w:rFonts w:hint="default"/>
        <w:lang w:val="en-US" w:eastAsia="en-US" w:bidi="ar-SA"/>
      </w:rPr>
    </w:lvl>
    <w:lvl w:ilvl="6" w:tplc="3F400102">
      <w:numFmt w:val="bullet"/>
      <w:lvlText w:val="•"/>
      <w:lvlJc w:val="left"/>
      <w:pPr>
        <w:ind w:left="2390" w:hanging="341"/>
      </w:pPr>
      <w:rPr>
        <w:rFonts w:hint="default"/>
        <w:lang w:val="en-US" w:eastAsia="en-US" w:bidi="ar-SA"/>
      </w:rPr>
    </w:lvl>
    <w:lvl w:ilvl="7" w:tplc="0E26090C">
      <w:numFmt w:val="bullet"/>
      <w:lvlText w:val="•"/>
      <w:lvlJc w:val="left"/>
      <w:pPr>
        <w:ind w:left="2702" w:hanging="341"/>
      </w:pPr>
      <w:rPr>
        <w:rFonts w:hint="default"/>
        <w:lang w:val="en-US" w:eastAsia="en-US" w:bidi="ar-SA"/>
      </w:rPr>
    </w:lvl>
    <w:lvl w:ilvl="8" w:tplc="5F501DE0">
      <w:numFmt w:val="bullet"/>
      <w:lvlText w:val="•"/>
      <w:lvlJc w:val="left"/>
      <w:pPr>
        <w:ind w:left="3013" w:hanging="341"/>
      </w:pPr>
      <w:rPr>
        <w:rFonts w:hint="default"/>
        <w:lang w:val="en-US" w:eastAsia="en-US" w:bidi="ar-SA"/>
      </w:rPr>
    </w:lvl>
  </w:abstractNum>
  <w:abstractNum w:abstractNumId="54" w15:restartNumberingAfterBreak="0">
    <w:nsid w:val="50A63335"/>
    <w:multiLevelType w:val="hybridMultilevel"/>
    <w:tmpl w:val="64663C26"/>
    <w:lvl w:ilvl="0" w:tplc="EBD4B676">
      <w:numFmt w:val="bullet"/>
      <w:lvlText w:val="•"/>
      <w:lvlJc w:val="left"/>
      <w:pPr>
        <w:ind w:left="1269" w:hanging="454"/>
      </w:pPr>
      <w:rPr>
        <w:rFonts w:ascii="Arial" w:eastAsia="Arial" w:hAnsi="Arial" w:cs="Arial" w:hint="default"/>
        <w:b w:val="0"/>
        <w:bCs w:val="0"/>
        <w:i w:val="0"/>
        <w:iCs w:val="0"/>
        <w:spacing w:val="0"/>
        <w:w w:val="100"/>
        <w:sz w:val="20"/>
        <w:szCs w:val="20"/>
        <w:lang w:val="en-US" w:eastAsia="en-US" w:bidi="ar-SA"/>
      </w:rPr>
    </w:lvl>
    <w:lvl w:ilvl="1" w:tplc="4E9C3194">
      <w:numFmt w:val="bullet"/>
      <w:lvlText w:val="•"/>
      <w:lvlJc w:val="left"/>
      <w:pPr>
        <w:ind w:left="2162" w:hanging="454"/>
      </w:pPr>
      <w:rPr>
        <w:rFonts w:hint="default"/>
        <w:lang w:val="en-US" w:eastAsia="en-US" w:bidi="ar-SA"/>
      </w:rPr>
    </w:lvl>
    <w:lvl w:ilvl="2" w:tplc="68BEBB68">
      <w:numFmt w:val="bullet"/>
      <w:lvlText w:val="•"/>
      <w:lvlJc w:val="left"/>
      <w:pPr>
        <w:ind w:left="3065" w:hanging="454"/>
      </w:pPr>
      <w:rPr>
        <w:rFonts w:hint="default"/>
        <w:lang w:val="en-US" w:eastAsia="en-US" w:bidi="ar-SA"/>
      </w:rPr>
    </w:lvl>
    <w:lvl w:ilvl="3" w:tplc="1B6A03C8">
      <w:numFmt w:val="bullet"/>
      <w:lvlText w:val="•"/>
      <w:lvlJc w:val="left"/>
      <w:pPr>
        <w:ind w:left="3967" w:hanging="454"/>
      </w:pPr>
      <w:rPr>
        <w:rFonts w:hint="default"/>
        <w:lang w:val="en-US" w:eastAsia="en-US" w:bidi="ar-SA"/>
      </w:rPr>
    </w:lvl>
    <w:lvl w:ilvl="4" w:tplc="85800B20">
      <w:numFmt w:val="bullet"/>
      <w:lvlText w:val="•"/>
      <w:lvlJc w:val="left"/>
      <w:pPr>
        <w:ind w:left="4870" w:hanging="454"/>
      </w:pPr>
      <w:rPr>
        <w:rFonts w:hint="default"/>
        <w:lang w:val="en-US" w:eastAsia="en-US" w:bidi="ar-SA"/>
      </w:rPr>
    </w:lvl>
    <w:lvl w:ilvl="5" w:tplc="17381060">
      <w:numFmt w:val="bullet"/>
      <w:lvlText w:val="•"/>
      <w:lvlJc w:val="left"/>
      <w:pPr>
        <w:ind w:left="5772" w:hanging="454"/>
      </w:pPr>
      <w:rPr>
        <w:rFonts w:hint="default"/>
        <w:lang w:val="en-US" w:eastAsia="en-US" w:bidi="ar-SA"/>
      </w:rPr>
    </w:lvl>
    <w:lvl w:ilvl="6" w:tplc="7B806EE8">
      <w:numFmt w:val="bullet"/>
      <w:lvlText w:val="•"/>
      <w:lvlJc w:val="left"/>
      <w:pPr>
        <w:ind w:left="6675" w:hanging="454"/>
      </w:pPr>
      <w:rPr>
        <w:rFonts w:hint="default"/>
        <w:lang w:val="en-US" w:eastAsia="en-US" w:bidi="ar-SA"/>
      </w:rPr>
    </w:lvl>
    <w:lvl w:ilvl="7" w:tplc="57DE553E">
      <w:numFmt w:val="bullet"/>
      <w:lvlText w:val="•"/>
      <w:lvlJc w:val="left"/>
      <w:pPr>
        <w:ind w:left="7577" w:hanging="454"/>
      </w:pPr>
      <w:rPr>
        <w:rFonts w:hint="default"/>
        <w:lang w:val="en-US" w:eastAsia="en-US" w:bidi="ar-SA"/>
      </w:rPr>
    </w:lvl>
    <w:lvl w:ilvl="8" w:tplc="89F26896">
      <w:numFmt w:val="bullet"/>
      <w:lvlText w:val="•"/>
      <w:lvlJc w:val="left"/>
      <w:pPr>
        <w:ind w:left="8480" w:hanging="454"/>
      </w:pPr>
      <w:rPr>
        <w:rFonts w:hint="default"/>
        <w:lang w:val="en-US" w:eastAsia="en-US" w:bidi="ar-SA"/>
      </w:rPr>
    </w:lvl>
  </w:abstractNum>
  <w:abstractNum w:abstractNumId="55" w15:restartNumberingAfterBreak="0">
    <w:nsid w:val="51532016"/>
    <w:multiLevelType w:val="multilevel"/>
    <w:tmpl w:val="4DB46386"/>
    <w:lvl w:ilvl="0">
      <w:start w:val="11"/>
      <w:numFmt w:val="decimal"/>
      <w:lvlText w:val="%1"/>
      <w:lvlJc w:val="left"/>
      <w:pPr>
        <w:ind w:left="956" w:hanging="454"/>
        <w:jc w:val="left"/>
      </w:pPr>
      <w:rPr>
        <w:rFonts w:hint="default"/>
        <w:lang w:val="en-US" w:eastAsia="en-US" w:bidi="ar-SA"/>
      </w:rPr>
    </w:lvl>
    <w:lvl w:ilvl="1">
      <w:start w:val="1"/>
      <w:numFmt w:val="decimal"/>
      <w:lvlText w:val="%1.%2"/>
      <w:lvlJc w:val="left"/>
      <w:pPr>
        <w:ind w:left="956" w:hanging="454"/>
        <w:jc w:val="left"/>
      </w:pPr>
      <w:rPr>
        <w:rFonts w:hint="default"/>
        <w:lang w:val="en-US" w:eastAsia="en-US" w:bidi="ar-SA"/>
      </w:rPr>
    </w:lvl>
    <w:lvl w:ilvl="2">
      <w:start w:val="1"/>
      <w:numFmt w:val="decimal"/>
      <w:lvlText w:val="%1.%2.%3"/>
      <w:lvlJc w:val="left"/>
      <w:pPr>
        <w:ind w:left="956" w:hanging="454"/>
        <w:jc w:val="left"/>
      </w:pPr>
      <w:rPr>
        <w:rFonts w:ascii="Arial" w:eastAsia="Arial" w:hAnsi="Arial" w:cs="Arial" w:hint="default"/>
        <w:b w:val="0"/>
        <w:bCs w:val="0"/>
        <w:i w:val="0"/>
        <w:iCs w:val="0"/>
        <w:spacing w:val="-15"/>
        <w:w w:val="98"/>
        <w:sz w:val="15"/>
        <w:szCs w:val="15"/>
        <w:lang w:val="en-US" w:eastAsia="en-US" w:bidi="ar-SA"/>
      </w:rPr>
    </w:lvl>
    <w:lvl w:ilvl="3">
      <w:numFmt w:val="bullet"/>
      <w:lvlText w:val="•"/>
      <w:lvlJc w:val="left"/>
      <w:pPr>
        <w:ind w:left="2063" w:hanging="454"/>
      </w:pPr>
      <w:rPr>
        <w:rFonts w:hint="default"/>
        <w:lang w:val="en-US" w:eastAsia="en-US" w:bidi="ar-SA"/>
      </w:rPr>
    </w:lvl>
    <w:lvl w:ilvl="4">
      <w:numFmt w:val="bullet"/>
      <w:lvlText w:val="•"/>
      <w:lvlJc w:val="left"/>
      <w:pPr>
        <w:ind w:left="2431" w:hanging="454"/>
      </w:pPr>
      <w:rPr>
        <w:rFonts w:hint="default"/>
        <w:lang w:val="en-US" w:eastAsia="en-US" w:bidi="ar-SA"/>
      </w:rPr>
    </w:lvl>
    <w:lvl w:ilvl="5">
      <w:numFmt w:val="bullet"/>
      <w:lvlText w:val="•"/>
      <w:lvlJc w:val="left"/>
      <w:pPr>
        <w:ind w:left="2798" w:hanging="454"/>
      </w:pPr>
      <w:rPr>
        <w:rFonts w:hint="default"/>
        <w:lang w:val="en-US" w:eastAsia="en-US" w:bidi="ar-SA"/>
      </w:rPr>
    </w:lvl>
    <w:lvl w:ilvl="6">
      <w:numFmt w:val="bullet"/>
      <w:lvlText w:val="•"/>
      <w:lvlJc w:val="left"/>
      <w:pPr>
        <w:ind w:left="3166" w:hanging="454"/>
      </w:pPr>
      <w:rPr>
        <w:rFonts w:hint="default"/>
        <w:lang w:val="en-US" w:eastAsia="en-US" w:bidi="ar-SA"/>
      </w:rPr>
    </w:lvl>
    <w:lvl w:ilvl="7">
      <w:numFmt w:val="bullet"/>
      <w:lvlText w:val="•"/>
      <w:lvlJc w:val="left"/>
      <w:pPr>
        <w:ind w:left="3534" w:hanging="454"/>
      </w:pPr>
      <w:rPr>
        <w:rFonts w:hint="default"/>
        <w:lang w:val="en-US" w:eastAsia="en-US" w:bidi="ar-SA"/>
      </w:rPr>
    </w:lvl>
    <w:lvl w:ilvl="8">
      <w:numFmt w:val="bullet"/>
      <w:lvlText w:val="•"/>
      <w:lvlJc w:val="left"/>
      <w:pPr>
        <w:ind w:left="3902" w:hanging="454"/>
      </w:pPr>
      <w:rPr>
        <w:rFonts w:hint="default"/>
        <w:lang w:val="en-US" w:eastAsia="en-US" w:bidi="ar-SA"/>
      </w:rPr>
    </w:lvl>
  </w:abstractNum>
  <w:abstractNum w:abstractNumId="56" w15:restartNumberingAfterBreak="0">
    <w:nsid w:val="530934F4"/>
    <w:multiLevelType w:val="multilevel"/>
    <w:tmpl w:val="76F0646E"/>
    <w:lvl w:ilvl="0">
      <w:start w:val="10"/>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544" w:hanging="426"/>
      </w:pPr>
      <w:rPr>
        <w:rFonts w:hint="default"/>
        <w:lang w:val="en-US" w:eastAsia="en-US" w:bidi="ar-SA"/>
      </w:rPr>
    </w:lvl>
    <w:lvl w:ilvl="4">
      <w:numFmt w:val="bullet"/>
      <w:lvlText w:val="•"/>
      <w:lvlJc w:val="left"/>
      <w:pPr>
        <w:ind w:left="1853" w:hanging="426"/>
      </w:pPr>
      <w:rPr>
        <w:rFonts w:hint="default"/>
        <w:lang w:val="en-US" w:eastAsia="en-US" w:bidi="ar-SA"/>
      </w:rPr>
    </w:lvl>
    <w:lvl w:ilvl="5">
      <w:numFmt w:val="bullet"/>
      <w:lvlText w:val="•"/>
      <w:lvlJc w:val="left"/>
      <w:pPr>
        <w:ind w:left="2161" w:hanging="426"/>
      </w:pPr>
      <w:rPr>
        <w:rFonts w:hint="default"/>
        <w:lang w:val="en-US" w:eastAsia="en-US" w:bidi="ar-SA"/>
      </w:rPr>
    </w:lvl>
    <w:lvl w:ilvl="6">
      <w:numFmt w:val="bullet"/>
      <w:lvlText w:val="•"/>
      <w:lvlJc w:val="left"/>
      <w:pPr>
        <w:ind w:left="2469" w:hanging="426"/>
      </w:pPr>
      <w:rPr>
        <w:rFonts w:hint="default"/>
        <w:lang w:val="en-US" w:eastAsia="en-US" w:bidi="ar-SA"/>
      </w:rPr>
    </w:lvl>
    <w:lvl w:ilvl="7">
      <w:numFmt w:val="bullet"/>
      <w:lvlText w:val="•"/>
      <w:lvlJc w:val="left"/>
      <w:pPr>
        <w:ind w:left="2778" w:hanging="426"/>
      </w:pPr>
      <w:rPr>
        <w:rFonts w:hint="default"/>
        <w:lang w:val="en-US" w:eastAsia="en-US" w:bidi="ar-SA"/>
      </w:rPr>
    </w:lvl>
    <w:lvl w:ilvl="8">
      <w:numFmt w:val="bullet"/>
      <w:lvlText w:val="•"/>
      <w:lvlJc w:val="left"/>
      <w:pPr>
        <w:ind w:left="3086" w:hanging="426"/>
      </w:pPr>
      <w:rPr>
        <w:rFonts w:hint="default"/>
        <w:lang w:val="en-US" w:eastAsia="en-US" w:bidi="ar-SA"/>
      </w:rPr>
    </w:lvl>
  </w:abstractNum>
  <w:abstractNum w:abstractNumId="57" w15:restartNumberingAfterBreak="0">
    <w:nsid w:val="536333F2"/>
    <w:multiLevelType w:val="multilevel"/>
    <w:tmpl w:val="196EE40C"/>
    <w:lvl w:ilvl="0">
      <w:start w:val="11"/>
      <w:numFmt w:val="decimal"/>
      <w:lvlText w:val="%1"/>
      <w:lvlJc w:val="left"/>
      <w:pPr>
        <w:ind w:left="564" w:hanging="426"/>
        <w:jc w:val="left"/>
      </w:pPr>
      <w:rPr>
        <w:rFonts w:hint="default"/>
        <w:lang w:val="en-US" w:eastAsia="en-US" w:bidi="ar-SA"/>
      </w:rPr>
    </w:lvl>
    <w:lvl w:ilvl="1">
      <w:start w:val="1"/>
      <w:numFmt w:val="decimal"/>
      <w:lvlText w:val="%1.%2"/>
      <w:lvlJc w:val="left"/>
      <w:pPr>
        <w:ind w:left="564" w:hanging="426"/>
        <w:jc w:val="left"/>
      </w:pPr>
      <w:rPr>
        <w:rFonts w:hint="default"/>
        <w:lang w:val="en-US" w:eastAsia="en-US" w:bidi="ar-SA"/>
      </w:rPr>
    </w:lvl>
    <w:lvl w:ilvl="2">
      <w:start w:val="1"/>
      <w:numFmt w:val="decimal"/>
      <w:lvlText w:val="%1.%2.%3"/>
      <w:lvlJc w:val="left"/>
      <w:pPr>
        <w:ind w:left="564"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231" w:hanging="426"/>
      </w:pPr>
      <w:rPr>
        <w:rFonts w:hint="default"/>
        <w:lang w:val="en-US" w:eastAsia="en-US" w:bidi="ar-SA"/>
      </w:rPr>
    </w:lvl>
    <w:lvl w:ilvl="4">
      <w:numFmt w:val="bullet"/>
      <w:lvlText w:val="•"/>
      <w:lvlJc w:val="left"/>
      <w:pPr>
        <w:ind w:left="1455" w:hanging="426"/>
      </w:pPr>
      <w:rPr>
        <w:rFonts w:hint="default"/>
        <w:lang w:val="en-US" w:eastAsia="en-US" w:bidi="ar-SA"/>
      </w:rPr>
    </w:lvl>
    <w:lvl w:ilvl="5">
      <w:numFmt w:val="bullet"/>
      <w:lvlText w:val="•"/>
      <w:lvlJc w:val="left"/>
      <w:pPr>
        <w:ind w:left="1679" w:hanging="426"/>
      </w:pPr>
      <w:rPr>
        <w:rFonts w:hint="default"/>
        <w:lang w:val="en-US" w:eastAsia="en-US" w:bidi="ar-SA"/>
      </w:rPr>
    </w:lvl>
    <w:lvl w:ilvl="6">
      <w:numFmt w:val="bullet"/>
      <w:lvlText w:val="•"/>
      <w:lvlJc w:val="left"/>
      <w:pPr>
        <w:ind w:left="1903" w:hanging="426"/>
      </w:pPr>
      <w:rPr>
        <w:rFonts w:hint="default"/>
        <w:lang w:val="en-US" w:eastAsia="en-US" w:bidi="ar-SA"/>
      </w:rPr>
    </w:lvl>
    <w:lvl w:ilvl="7">
      <w:numFmt w:val="bullet"/>
      <w:lvlText w:val="•"/>
      <w:lvlJc w:val="left"/>
      <w:pPr>
        <w:ind w:left="2127" w:hanging="426"/>
      </w:pPr>
      <w:rPr>
        <w:rFonts w:hint="default"/>
        <w:lang w:val="en-US" w:eastAsia="en-US" w:bidi="ar-SA"/>
      </w:rPr>
    </w:lvl>
    <w:lvl w:ilvl="8">
      <w:numFmt w:val="bullet"/>
      <w:lvlText w:val="•"/>
      <w:lvlJc w:val="left"/>
      <w:pPr>
        <w:ind w:left="2351" w:hanging="426"/>
      </w:pPr>
      <w:rPr>
        <w:rFonts w:hint="default"/>
        <w:lang w:val="en-US" w:eastAsia="en-US" w:bidi="ar-SA"/>
      </w:rPr>
    </w:lvl>
  </w:abstractNum>
  <w:abstractNum w:abstractNumId="58" w15:restartNumberingAfterBreak="0">
    <w:nsid w:val="55E15799"/>
    <w:multiLevelType w:val="hybridMultilevel"/>
    <w:tmpl w:val="7F90456E"/>
    <w:lvl w:ilvl="0" w:tplc="FB7E95E6">
      <w:numFmt w:val="bullet"/>
      <w:lvlText w:val="•"/>
      <w:lvlJc w:val="left"/>
      <w:pPr>
        <w:ind w:left="1528" w:hanging="142"/>
      </w:pPr>
      <w:rPr>
        <w:rFonts w:ascii="Arial" w:eastAsia="Arial" w:hAnsi="Arial" w:cs="Arial" w:hint="default"/>
        <w:b w:val="0"/>
        <w:bCs w:val="0"/>
        <w:i w:val="0"/>
        <w:iCs w:val="0"/>
        <w:spacing w:val="0"/>
        <w:w w:val="95"/>
        <w:sz w:val="15"/>
        <w:szCs w:val="15"/>
        <w:lang w:val="en-US" w:eastAsia="en-US" w:bidi="ar-SA"/>
      </w:rPr>
    </w:lvl>
    <w:lvl w:ilvl="1" w:tplc="35EAA2C6">
      <w:numFmt w:val="bullet"/>
      <w:lvlText w:val="•"/>
      <w:lvlJc w:val="left"/>
      <w:pPr>
        <w:ind w:left="1677" w:hanging="142"/>
      </w:pPr>
      <w:rPr>
        <w:rFonts w:hint="default"/>
        <w:lang w:val="en-US" w:eastAsia="en-US" w:bidi="ar-SA"/>
      </w:rPr>
    </w:lvl>
    <w:lvl w:ilvl="2" w:tplc="31A03856">
      <w:numFmt w:val="bullet"/>
      <w:lvlText w:val="•"/>
      <w:lvlJc w:val="left"/>
      <w:pPr>
        <w:ind w:left="1834" w:hanging="142"/>
      </w:pPr>
      <w:rPr>
        <w:rFonts w:hint="default"/>
        <w:lang w:val="en-US" w:eastAsia="en-US" w:bidi="ar-SA"/>
      </w:rPr>
    </w:lvl>
    <w:lvl w:ilvl="3" w:tplc="8C508246">
      <w:numFmt w:val="bullet"/>
      <w:lvlText w:val="•"/>
      <w:lvlJc w:val="left"/>
      <w:pPr>
        <w:ind w:left="1991" w:hanging="142"/>
      </w:pPr>
      <w:rPr>
        <w:rFonts w:hint="default"/>
        <w:lang w:val="en-US" w:eastAsia="en-US" w:bidi="ar-SA"/>
      </w:rPr>
    </w:lvl>
    <w:lvl w:ilvl="4" w:tplc="57FA7072">
      <w:numFmt w:val="bullet"/>
      <w:lvlText w:val="•"/>
      <w:lvlJc w:val="left"/>
      <w:pPr>
        <w:ind w:left="2149" w:hanging="142"/>
      </w:pPr>
      <w:rPr>
        <w:rFonts w:hint="default"/>
        <w:lang w:val="en-US" w:eastAsia="en-US" w:bidi="ar-SA"/>
      </w:rPr>
    </w:lvl>
    <w:lvl w:ilvl="5" w:tplc="5C9061E8">
      <w:numFmt w:val="bullet"/>
      <w:lvlText w:val="•"/>
      <w:lvlJc w:val="left"/>
      <w:pPr>
        <w:ind w:left="2306" w:hanging="142"/>
      </w:pPr>
      <w:rPr>
        <w:rFonts w:hint="default"/>
        <w:lang w:val="en-US" w:eastAsia="en-US" w:bidi="ar-SA"/>
      </w:rPr>
    </w:lvl>
    <w:lvl w:ilvl="6" w:tplc="9CB0A910">
      <w:numFmt w:val="bullet"/>
      <w:lvlText w:val="•"/>
      <w:lvlJc w:val="left"/>
      <w:pPr>
        <w:ind w:left="2463" w:hanging="142"/>
      </w:pPr>
      <w:rPr>
        <w:rFonts w:hint="default"/>
        <w:lang w:val="en-US" w:eastAsia="en-US" w:bidi="ar-SA"/>
      </w:rPr>
    </w:lvl>
    <w:lvl w:ilvl="7" w:tplc="528AD0DC">
      <w:numFmt w:val="bullet"/>
      <w:lvlText w:val="•"/>
      <w:lvlJc w:val="left"/>
      <w:pPr>
        <w:ind w:left="2621" w:hanging="142"/>
      </w:pPr>
      <w:rPr>
        <w:rFonts w:hint="default"/>
        <w:lang w:val="en-US" w:eastAsia="en-US" w:bidi="ar-SA"/>
      </w:rPr>
    </w:lvl>
    <w:lvl w:ilvl="8" w:tplc="15162FFC">
      <w:numFmt w:val="bullet"/>
      <w:lvlText w:val="•"/>
      <w:lvlJc w:val="left"/>
      <w:pPr>
        <w:ind w:left="2778" w:hanging="142"/>
      </w:pPr>
      <w:rPr>
        <w:rFonts w:hint="default"/>
        <w:lang w:val="en-US" w:eastAsia="en-US" w:bidi="ar-SA"/>
      </w:rPr>
    </w:lvl>
  </w:abstractNum>
  <w:abstractNum w:abstractNumId="59" w15:restartNumberingAfterBreak="0">
    <w:nsid w:val="565707DA"/>
    <w:multiLevelType w:val="hybridMultilevel"/>
    <w:tmpl w:val="C57A5458"/>
    <w:lvl w:ilvl="0" w:tplc="1E446FF0">
      <w:start w:val="1"/>
      <w:numFmt w:val="decimal"/>
      <w:lvlText w:val="%1."/>
      <w:lvlJc w:val="left"/>
      <w:pPr>
        <w:ind w:left="1155" w:hanging="341"/>
        <w:jc w:val="left"/>
      </w:pPr>
      <w:rPr>
        <w:rFonts w:ascii="Arial" w:eastAsia="Arial" w:hAnsi="Arial" w:cs="Arial" w:hint="default"/>
        <w:b w:val="0"/>
        <w:bCs w:val="0"/>
        <w:i w:val="0"/>
        <w:iCs w:val="0"/>
        <w:spacing w:val="0"/>
        <w:w w:val="100"/>
        <w:sz w:val="20"/>
        <w:szCs w:val="20"/>
        <w:lang w:val="en-US" w:eastAsia="en-US" w:bidi="ar-SA"/>
      </w:rPr>
    </w:lvl>
    <w:lvl w:ilvl="1" w:tplc="BF687350">
      <w:numFmt w:val="bullet"/>
      <w:lvlText w:val="•"/>
      <w:lvlJc w:val="left"/>
      <w:pPr>
        <w:ind w:left="1496" w:hanging="341"/>
      </w:pPr>
      <w:rPr>
        <w:rFonts w:ascii="Arial" w:eastAsia="Arial" w:hAnsi="Arial" w:cs="Arial" w:hint="default"/>
        <w:b w:val="0"/>
        <w:bCs w:val="0"/>
        <w:i w:val="0"/>
        <w:iCs w:val="0"/>
        <w:spacing w:val="0"/>
        <w:w w:val="100"/>
        <w:sz w:val="20"/>
        <w:szCs w:val="20"/>
        <w:lang w:val="en-US" w:eastAsia="en-US" w:bidi="ar-SA"/>
      </w:rPr>
    </w:lvl>
    <w:lvl w:ilvl="2" w:tplc="3DDA24EE">
      <w:numFmt w:val="bullet"/>
      <w:lvlText w:val="•"/>
      <w:lvlJc w:val="left"/>
      <w:pPr>
        <w:ind w:left="2476" w:hanging="341"/>
      </w:pPr>
      <w:rPr>
        <w:rFonts w:hint="default"/>
        <w:lang w:val="en-US" w:eastAsia="en-US" w:bidi="ar-SA"/>
      </w:rPr>
    </w:lvl>
    <w:lvl w:ilvl="3" w:tplc="36F02778">
      <w:numFmt w:val="bullet"/>
      <w:lvlText w:val="•"/>
      <w:lvlJc w:val="left"/>
      <w:pPr>
        <w:ind w:left="3452" w:hanging="341"/>
      </w:pPr>
      <w:rPr>
        <w:rFonts w:hint="default"/>
        <w:lang w:val="en-US" w:eastAsia="en-US" w:bidi="ar-SA"/>
      </w:rPr>
    </w:lvl>
    <w:lvl w:ilvl="4" w:tplc="B1B050E8">
      <w:numFmt w:val="bullet"/>
      <w:lvlText w:val="•"/>
      <w:lvlJc w:val="left"/>
      <w:pPr>
        <w:ind w:left="4428" w:hanging="341"/>
      </w:pPr>
      <w:rPr>
        <w:rFonts w:hint="default"/>
        <w:lang w:val="en-US" w:eastAsia="en-US" w:bidi="ar-SA"/>
      </w:rPr>
    </w:lvl>
    <w:lvl w:ilvl="5" w:tplc="2A16FBE6">
      <w:numFmt w:val="bullet"/>
      <w:lvlText w:val="•"/>
      <w:lvlJc w:val="left"/>
      <w:pPr>
        <w:ind w:left="5404" w:hanging="341"/>
      </w:pPr>
      <w:rPr>
        <w:rFonts w:hint="default"/>
        <w:lang w:val="en-US" w:eastAsia="en-US" w:bidi="ar-SA"/>
      </w:rPr>
    </w:lvl>
    <w:lvl w:ilvl="6" w:tplc="478E7C5C">
      <w:numFmt w:val="bullet"/>
      <w:lvlText w:val="•"/>
      <w:lvlJc w:val="left"/>
      <w:pPr>
        <w:ind w:left="6380" w:hanging="341"/>
      </w:pPr>
      <w:rPr>
        <w:rFonts w:hint="default"/>
        <w:lang w:val="en-US" w:eastAsia="en-US" w:bidi="ar-SA"/>
      </w:rPr>
    </w:lvl>
    <w:lvl w:ilvl="7" w:tplc="344CC78C">
      <w:numFmt w:val="bullet"/>
      <w:lvlText w:val="•"/>
      <w:lvlJc w:val="left"/>
      <w:pPr>
        <w:ind w:left="7357" w:hanging="341"/>
      </w:pPr>
      <w:rPr>
        <w:rFonts w:hint="default"/>
        <w:lang w:val="en-US" w:eastAsia="en-US" w:bidi="ar-SA"/>
      </w:rPr>
    </w:lvl>
    <w:lvl w:ilvl="8" w:tplc="F74231B6">
      <w:numFmt w:val="bullet"/>
      <w:lvlText w:val="•"/>
      <w:lvlJc w:val="left"/>
      <w:pPr>
        <w:ind w:left="8333" w:hanging="341"/>
      </w:pPr>
      <w:rPr>
        <w:rFonts w:hint="default"/>
        <w:lang w:val="en-US" w:eastAsia="en-US" w:bidi="ar-SA"/>
      </w:rPr>
    </w:lvl>
  </w:abstractNum>
  <w:abstractNum w:abstractNumId="60" w15:restartNumberingAfterBreak="0">
    <w:nsid w:val="567C1A21"/>
    <w:multiLevelType w:val="multilevel"/>
    <w:tmpl w:val="30B4D3A2"/>
    <w:lvl w:ilvl="0">
      <w:start w:val="21"/>
      <w:numFmt w:val="decimal"/>
      <w:lvlText w:val="%1"/>
      <w:lvlJc w:val="left"/>
      <w:pPr>
        <w:ind w:left="2860" w:hanging="426"/>
        <w:jc w:val="left"/>
      </w:pPr>
      <w:rPr>
        <w:rFonts w:hint="default"/>
        <w:lang w:val="en-US" w:eastAsia="en-US" w:bidi="ar-SA"/>
      </w:rPr>
    </w:lvl>
    <w:lvl w:ilvl="1">
      <w:start w:val="1"/>
      <w:numFmt w:val="decimal"/>
      <w:lvlText w:val="%1.%2"/>
      <w:lvlJc w:val="left"/>
      <w:pPr>
        <w:ind w:left="2860" w:hanging="426"/>
        <w:jc w:val="left"/>
      </w:pPr>
      <w:rPr>
        <w:rFonts w:hint="default"/>
        <w:lang w:val="en-US" w:eastAsia="en-US" w:bidi="ar-SA"/>
      </w:rPr>
    </w:lvl>
    <w:lvl w:ilvl="2">
      <w:start w:val="2"/>
      <w:numFmt w:val="decimal"/>
      <w:lvlText w:val="%1.%2.%3"/>
      <w:lvlJc w:val="left"/>
      <w:pPr>
        <w:ind w:left="2860"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3229" w:hanging="426"/>
      </w:pPr>
      <w:rPr>
        <w:rFonts w:hint="default"/>
        <w:lang w:val="en-US" w:eastAsia="en-US" w:bidi="ar-SA"/>
      </w:rPr>
    </w:lvl>
    <w:lvl w:ilvl="4">
      <w:numFmt w:val="bullet"/>
      <w:lvlText w:val="•"/>
      <w:lvlJc w:val="left"/>
      <w:pPr>
        <w:ind w:left="3352" w:hanging="426"/>
      </w:pPr>
      <w:rPr>
        <w:rFonts w:hint="default"/>
        <w:lang w:val="en-US" w:eastAsia="en-US" w:bidi="ar-SA"/>
      </w:rPr>
    </w:lvl>
    <w:lvl w:ilvl="5">
      <w:numFmt w:val="bullet"/>
      <w:lvlText w:val="•"/>
      <w:lvlJc w:val="left"/>
      <w:pPr>
        <w:ind w:left="3475" w:hanging="426"/>
      </w:pPr>
      <w:rPr>
        <w:rFonts w:hint="default"/>
        <w:lang w:val="en-US" w:eastAsia="en-US" w:bidi="ar-SA"/>
      </w:rPr>
    </w:lvl>
    <w:lvl w:ilvl="6">
      <w:numFmt w:val="bullet"/>
      <w:lvlText w:val="•"/>
      <w:lvlJc w:val="left"/>
      <w:pPr>
        <w:ind w:left="3598" w:hanging="426"/>
      </w:pPr>
      <w:rPr>
        <w:rFonts w:hint="default"/>
        <w:lang w:val="en-US" w:eastAsia="en-US" w:bidi="ar-SA"/>
      </w:rPr>
    </w:lvl>
    <w:lvl w:ilvl="7">
      <w:numFmt w:val="bullet"/>
      <w:lvlText w:val="•"/>
      <w:lvlJc w:val="left"/>
      <w:pPr>
        <w:ind w:left="3721" w:hanging="426"/>
      </w:pPr>
      <w:rPr>
        <w:rFonts w:hint="default"/>
        <w:lang w:val="en-US" w:eastAsia="en-US" w:bidi="ar-SA"/>
      </w:rPr>
    </w:lvl>
    <w:lvl w:ilvl="8">
      <w:numFmt w:val="bullet"/>
      <w:lvlText w:val="•"/>
      <w:lvlJc w:val="left"/>
      <w:pPr>
        <w:ind w:left="3844" w:hanging="426"/>
      </w:pPr>
      <w:rPr>
        <w:rFonts w:hint="default"/>
        <w:lang w:val="en-US" w:eastAsia="en-US" w:bidi="ar-SA"/>
      </w:rPr>
    </w:lvl>
  </w:abstractNum>
  <w:abstractNum w:abstractNumId="61" w15:restartNumberingAfterBreak="0">
    <w:nsid w:val="57396A74"/>
    <w:multiLevelType w:val="hybridMultilevel"/>
    <w:tmpl w:val="8ABE2BC0"/>
    <w:lvl w:ilvl="0" w:tplc="E50ED83E">
      <w:numFmt w:val="bullet"/>
      <w:lvlText w:val=""/>
      <w:lvlJc w:val="left"/>
      <w:pPr>
        <w:ind w:left="1315" w:hanging="360"/>
      </w:pPr>
      <w:rPr>
        <w:rFonts w:ascii="Symbol" w:eastAsia="Symbol" w:hAnsi="Symbol" w:cs="Symbol" w:hint="default"/>
        <w:b w:val="0"/>
        <w:bCs w:val="0"/>
        <w:i w:val="0"/>
        <w:iCs w:val="0"/>
        <w:spacing w:val="0"/>
        <w:w w:val="100"/>
        <w:sz w:val="18"/>
        <w:szCs w:val="18"/>
        <w:lang w:val="en-US" w:eastAsia="en-US" w:bidi="ar-SA"/>
      </w:rPr>
    </w:lvl>
    <w:lvl w:ilvl="1" w:tplc="6BF631CA">
      <w:numFmt w:val="bullet"/>
      <w:lvlText w:val="•"/>
      <w:lvlJc w:val="left"/>
      <w:pPr>
        <w:ind w:left="2216" w:hanging="360"/>
      </w:pPr>
      <w:rPr>
        <w:rFonts w:hint="default"/>
        <w:lang w:val="en-US" w:eastAsia="en-US" w:bidi="ar-SA"/>
      </w:rPr>
    </w:lvl>
    <w:lvl w:ilvl="2" w:tplc="61047592">
      <w:numFmt w:val="bullet"/>
      <w:lvlText w:val="•"/>
      <w:lvlJc w:val="left"/>
      <w:pPr>
        <w:ind w:left="3113" w:hanging="360"/>
      </w:pPr>
      <w:rPr>
        <w:rFonts w:hint="default"/>
        <w:lang w:val="en-US" w:eastAsia="en-US" w:bidi="ar-SA"/>
      </w:rPr>
    </w:lvl>
    <w:lvl w:ilvl="3" w:tplc="D1AEBBBE">
      <w:numFmt w:val="bullet"/>
      <w:lvlText w:val="•"/>
      <w:lvlJc w:val="left"/>
      <w:pPr>
        <w:ind w:left="4009" w:hanging="360"/>
      </w:pPr>
      <w:rPr>
        <w:rFonts w:hint="default"/>
        <w:lang w:val="en-US" w:eastAsia="en-US" w:bidi="ar-SA"/>
      </w:rPr>
    </w:lvl>
    <w:lvl w:ilvl="4" w:tplc="138E9A2A">
      <w:numFmt w:val="bullet"/>
      <w:lvlText w:val="•"/>
      <w:lvlJc w:val="left"/>
      <w:pPr>
        <w:ind w:left="4906" w:hanging="360"/>
      </w:pPr>
      <w:rPr>
        <w:rFonts w:hint="default"/>
        <w:lang w:val="en-US" w:eastAsia="en-US" w:bidi="ar-SA"/>
      </w:rPr>
    </w:lvl>
    <w:lvl w:ilvl="5" w:tplc="EE0A851E">
      <w:numFmt w:val="bullet"/>
      <w:lvlText w:val="•"/>
      <w:lvlJc w:val="left"/>
      <w:pPr>
        <w:ind w:left="5802" w:hanging="360"/>
      </w:pPr>
      <w:rPr>
        <w:rFonts w:hint="default"/>
        <w:lang w:val="en-US" w:eastAsia="en-US" w:bidi="ar-SA"/>
      </w:rPr>
    </w:lvl>
    <w:lvl w:ilvl="6" w:tplc="399A3F7A">
      <w:numFmt w:val="bullet"/>
      <w:lvlText w:val="•"/>
      <w:lvlJc w:val="left"/>
      <w:pPr>
        <w:ind w:left="6699" w:hanging="360"/>
      </w:pPr>
      <w:rPr>
        <w:rFonts w:hint="default"/>
        <w:lang w:val="en-US" w:eastAsia="en-US" w:bidi="ar-SA"/>
      </w:rPr>
    </w:lvl>
    <w:lvl w:ilvl="7" w:tplc="AB660124">
      <w:numFmt w:val="bullet"/>
      <w:lvlText w:val="•"/>
      <w:lvlJc w:val="left"/>
      <w:pPr>
        <w:ind w:left="7595" w:hanging="360"/>
      </w:pPr>
      <w:rPr>
        <w:rFonts w:hint="default"/>
        <w:lang w:val="en-US" w:eastAsia="en-US" w:bidi="ar-SA"/>
      </w:rPr>
    </w:lvl>
    <w:lvl w:ilvl="8" w:tplc="2CD8B282">
      <w:numFmt w:val="bullet"/>
      <w:lvlText w:val="•"/>
      <w:lvlJc w:val="left"/>
      <w:pPr>
        <w:ind w:left="8492" w:hanging="360"/>
      </w:pPr>
      <w:rPr>
        <w:rFonts w:hint="default"/>
        <w:lang w:val="en-US" w:eastAsia="en-US" w:bidi="ar-SA"/>
      </w:rPr>
    </w:lvl>
  </w:abstractNum>
  <w:abstractNum w:abstractNumId="62" w15:restartNumberingAfterBreak="0">
    <w:nsid w:val="58AF0D85"/>
    <w:multiLevelType w:val="hybridMultilevel"/>
    <w:tmpl w:val="A06AADFA"/>
    <w:lvl w:ilvl="0" w:tplc="CAAA9368">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A9140D6A">
      <w:numFmt w:val="bullet"/>
      <w:lvlText w:val="•"/>
      <w:lvlJc w:val="left"/>
      <w:pPr>
        <w:ind w:left="2072" w:hanging="341"/>
      </w:pPr>
      <w:rPr>
        <w:rFonts w:hint="default"/>
        <w:lang w:val="en-US" w:eastAsia="en-US" w:bidi="ar-SA"/>
      </w:rPr>
    </w:lvl>
    <w:lvl w:ilvl="2" w:tplc="D6B8E622">
      <w:numFmt w:val="bullet"/>
      <w:lvlText w:val="•"/>
      <w:lvlJc w:val="left"/>
      <w:pPr>
        <w:ind w:left="2985" w:hanging="341"/>
      </w:pPr>
      <w:rPr>
        <w:rFonts w:hint="default"/>
        <w:lang w:val="en-US" w:eastAsia="en-US" w:bidi="ar-SA"/>
      </w:rPr>
    </w:lvl>
    <w:lvl w:ilvl="3" w:tplc="2CAAE7D4">
      <w:numFmt w:val="bullet"/>
      <w:lvlText w:val="•"/>
      <w:lvlJc w:val="left"/>
      <w:pPr>
        <w:ind w:left="3897" w:hanging="341"/>
      </w:pPr>
      <w:rPr>
        <w:rFonts w:hint="default"/>
        <w:lang w:val="en-US" w:eastAsia="en-US" w:bidi="ar-SA"/>
      </w:rPr>
    </w:lvl>
    <w:lvl w:ilvl="4" w:tplc="56E62BC4">
      <w:numFmt w:val="bullet"/>
      <w:lvlText w:val="•"/>
      <w:lvlJc w:val="left"/>
      <w:pPr>
        <w:ind w:left="4810" w:hanging="341"/>
      </w:pPr>
      <w:rPr>
        <w:rFonts w:hint="default"/>
        <w:lang w:val="en-US" w:eastAsia="en-US" w:bidi="ar-SA"/>
      </w:rPr>
    </w:lvl>
    <w:lvl w:ilvl="5" w:tplc="73D05BCE">
      <w:numFmt w:val="bullet"/>
      <w:lvlText w:val="•"/>
      <w:lvlJc w:val="left"/>
      <w:pPr>
        <w:ind w:left="5722" w:hanging="341"/>
      </w:pPr>
      <w:rPr>
        <w:rFonts w:hint="default"/>
        <w:lang w:val="en-US" w:eastAsia="en-US" w:bidi="ar-SA"/>
      </w:rPr>
    </w:lvl>
    <w:lvl w:ilvl="6" w:tplc="481A9E5E">
      <w:numFmt w:val="bullet"/>
      <w:lvlText w:val="•"/>
      <w:lvlJc w:val="left"/>
      <w:pPr>
        <w:ind w:left="6635" w:hanging="341"/>
      </w:pPr>
      <w:rPr>
        <w:rFonts w:hint="default"/>
        <w:lang w:val="en-US" w:eastAsia="en-US" w:bidi="ar-SA"/>
      </w:rPr>
    </w:lvl>
    <w:lvl w:ilvl="7" w:tplc="16F036F8">
      <w:numFmt w:val="bullet"/>
      <w:lvlText w:val="•"/>
      <w:lvlJc w:val="left"/>
      <w:pPr>
        <w:ind w:left="7547" w:hanging="341"/>
      </w:pPr>
      <w:rPr>
        <w:rFonts w:hint="default"/>
        <w:lang w:val="en-US" w:eastAsia="en-US" w:bidi="ar-SA"/>
      </w:rPr>
    </w:lvl>
    <w:lvl w:ilvl="8" w:tplc="3F343394">
      <w:numFmt w:val="bullet"/>
      <w:lvlText w:val="•"/>
      <w:lvlJc w:val="left"/>
      <w:pPr>
        <w:ind w:left="8460" w:hanging="341"/>
      </w:pPr>
      <w:rPr>
        <w:rFonts w:hint="default"/>
        <w:lang w:val="en-US" w:eastAsia="en-US" w:bidi="ar-SA"/>
      </w:rPr>
    </w:lvl>
  </w:abstractNum>
  <w:abstractNum w:abstractNumId="63" w15:restartNumberingAfterBreak="0">
    <w:nsid w:val="59D510E2"/>
    <w:multiLevelType w:val="hybridMultilevel"/>
    <w:tmpl w:val="DE52A328"/>
    <w:lvl w:ilvl="0" w:tplc="A40E1B92">
      <w:start w:val="1"/>
      <w:numFmt w:val="decimal"/>
      <w:lvlText w:val="%1."/>
      <w:lvlJc w:val="left"/>
      <w:pPr>
        <w:ind w:left="1269" w:hanging="341"/>
        <w:jc w:val="left"/>
      </w:pPr>
      <w:rPr>
        <w:rFonts w:ascii="Arial" w:eastAsia="Arial" w:hAnsi="Arial" w:cs="Arial" w:hint="default"/>
        <w:b w:val="0"/>
        <w:bCs w:val="0"/>
        <w:i w:val="0"/>
        <w:iCs w:val="0"/>
        <w:spacing w:val="0"/>
        <w:w w:val="100"/>
        <w:sz w:val="20"/>
        <w:szCs w:val="20"/>
        <w:lang w:val="en-US" w:eastAsia="en-US" w:bidi="ar-SA"/>
      </w:rPr>
    </w:lvl>
    <w:lvl w:ilvl="1" w:tplc="1C52F96E">
      <w:numFmt w:val="bullet"/>
      <w:lvlText w:val="•"/>
      <w:lvlJc w:val="left"/>
      <w:pPr>
        <w:ind w:left="1665" w:hanging="341"/>
      </w:pPr>
      <w:rPr>
        <w:rFonts w:ascii="Arial" w:eastAsia="Arial" w:hAnsi="Arial" w:cs="Arial" w:hint="default"/>
        <w:b w:val="0"/>
        <w:bCs w:val="0"/>
        <w:i w:val="0"/>
        <w:iCs w:val="0"/>
        <w:spacing w:val="0"/>
        <w:w w:val="100"/>
        <w:sz w:val="20"/>
        <w:szCs w:val="20"/>
        <w:lang w:val="en-US" w:eastAsia="en-US" w:bidi="ar-SA"/>
      </w:rPr>
    </w:lvl>
    <w:lvl w:ilvl="2" w:tplc="8DF099B0">
      <w:numFmt w:val="bullet"/>
      <w:lvlText w:val="•"/>
      <w:lvlJc w:val="left"/>
      <w:pPr>
        <w:ind w:left="2064" w:hanging="341"/>
      </w:pPr>
      <w:rPr>
        <w:rFonts w:hint="default"/>
        <w:lang w:val="en-US" w:eastAsia="en-US" w:bidi="ar-SA"/>
      </w:rPr>
    </w:lvl>
    <w:lvl w:ilvl="3" w:tplc="A1FCCC18">
      <w:numFmt w:val="bullet"/>
      <w:lvlText w:val="•"/>
      <w:lvlJc w:val="left"/>
      <w:pPr>
        <w:ind w:left="2469" w:hanging="341"/>
      </w:pPr>
      <w:rPr>
        <w:rFonts w:hint="default"/>
        <w:lang w:val="en-US" w:eastAsia="en-US" w:bidi="ar-SA"/>
      </w:rPr>
    </w:lvl>
    <w:lvl w:ilvl="4" w:tplc="60BA425C">
      <w:numFmt w:val="bullet"/>
      <w:lvlText w:val="•"/>
      <w:lvlJc w:val="left"/>
      <w:pPr>
        <w:ind w:left="2873" w:hanging="341"/>
      </w:pPr>
      <w:rPr>
        <w:rFonts w:hint="default"/>
        <w:lang w:val="en-US" w:eastAsia="en-US" w:bidi="ar-SA"/>
      </w:rPr>
    </w:lvl>
    <w:lvl w:ilvl="5" w:tplc="496ABFCA">
      <w:numFmt w:val="bullet"/>
      <w:lvlText w:val="•"/>
      <w:lvlJc w:val="left"/>
      <w:pPr>
        <w:ind w:left="3278" w:hanging="341"/>
      </w:pPr>
      <w:rPr>
        <w:rFonts w:hint="default"/>
        <w:lang w:val="en-US" w:eastAsia="en-US" w:bidi="ar-SA"/>
      </w:rPr>
    </w:lvl>
    <w:lvl w:ilvl="6" w:tplc="4D04FA2C">
      <w:numFmt w:val="bullet"/>
      <w:lvlText w:val="•"/>
      <w:lvlJc w:val="left"/>
      <w:pPr>
        <w:ind w:left="3682" w:hanging="341"/>
      </w:pPr>
      <w:rPr>
        <w:rFonts w:hint="default"/>
        <w:lang w:val="en-US" w:eastAsia="en-US" w:bidi="ar-SA"/>
      </w:rPr>
    </w:lvl>
    <w:lvl w:ilvl="7" w:tplc="1262A8E2">
      <w:numFmt w:val="bullet"/>
      <w:lvlText w:val="•"/>
      <w:lvlJc w:val="left"/>
      <w:pPr>
        <w:ind w:left="4087" w:hanging="341"/>
      </w:pPr>
      <w:rPr>
        <w:rFonts w:hint="default"/>
        <w:lang w:val="en-US" w:eastAsia="en-US" w:bidi="ar-SA"/>
      </w:rPr>
    </w:lvl>
    <w:lvl w:ilvl="8" w:tplc="73B449B4">
      <w:numFmt w:val="bullet"/>
      <w:lvlText w:val="•"/>
      <w:lvlJc w:val="left"/>
      <w:pPr>
        <w:ind w:left="4491" w:hanging="341"/>
      </w:pPr>
      <w:rPr>
        <w:rFonts w:hint="default"/>
        <w:lang w:val="en-US" w:eastAsia="en-US" w:bidi="ar-SA"/>
      </w:rPr>
    </w:lvl>
  </w:abstractNum>
  <w:abstractNum w:abstractNumId="64" w15:restartNumberingAfterBreak="0">
    <w:nsid w:val="5C794B25"/>
    <w:multiLevelType w:val="hybridMultilevel"/>
    <w:tmpl w:val="1654F654"/>
    <w:lvl w:ilvl="0" w:tplc="9488B49A">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110A137A">
      <w:numFmt w:val="bullet"/>
      <w:lvlText w:val="•"/>
      <w:lvlJc w:val="left"/>
      <w:pPr>
        <w:ind w:left="2162" w:hanging="454"/>
      </w:pPr>
      <w:rPr>
        <w:rFonts w:hint="default"/>
        <w:lang w:val="en-US" w:eastAsia="en-US" w:bidi="ar-SA"/>
      </w:rPr>
    </w:lvl>
    <w:lvl w:ilvl="2" w:tplc="8FF8C032">
      <w:numFmt w:val="bullet"/>
      <w:lvlText w:val="•"/>
      <w:lvlJc w:val="left"/>
      <w:pPr>
        <w:ind w:left="3065" w:hanging="454"/>
      </w:pPr>
      <w:rPr>
        <w:rFonts w:hint="default"/>
        <w:lang w:val="en-US" w:eastAsia="en-US" w:bidi="ar-SA"/>
      </w:rPr>
    </w:lvl>
    <w:lvl w:ilvl="3" w:tplc="D554949E">
      <w:numFmt w:val="bullet"/>
      <w:lvlText w:val="•"/>
      <w:lvlJc w:val="left"/>
      <w:pPr>
        <w:ind w:left="3967" w:hanging="454"/>
      </w:pPr>
      <w:rPr>
        <w:rFonts w:hint="default"/>
        <w:lang w:val="en-US" w:eastAsia="en-US" w:bidi="ar-SA"/>
      </w:rPr>
    </w:lvl>
    <w:lvl w:ilvl="4" w:tplc="001A5C8E">
      <w:numFmt w:val="bullet"/>
      <w:lvlText w:val="•"/>
      <w:lvlJc w:val="left"/>
      <w:pPr>
        <w:ind w:left="4870" w:hanging="454"/>
      </w:pPr>
      <w:rPr>
        <w:rFonts w:hint="default"/>
        <w:lang w:val="en-US" w:eastAsia="en-US" w:bidi="ar-SA"/>
      </w:rPr>
    </w:lvl>
    <w:lvl w:ilvl="5" w:tplc="375E62BE">
      <w:numFmt w:val="bullet"/>
      <w:lvlText w:val="•"/>
      <w:lvlJc w:val="left"/>
      <w:pPr>
        <w:ind w:left="5772" w:hanging="454"/>
      </w:pPr>
      <w:rPr>
        <w:rFonts w:hint="default"/>
        <w:lang w:val="en-US" w:eastAsia="en-US" w:bidi="ar-SA"/>
      </w:rPr>
    </w:lvl>
    <w:lvl w:ilvl="6" w:tplc="773E1F30">
      <w:numFmt w:val="bullet"/>
      <w:lvlText w:val="•"/>
      <w:lvlJc w:val="left"/>
      <w:pPr>
        <w:ind w:left="6675" w:hanging="454"/>
      </w:pPr>
      <w:rPr>
        <w:rFonts w:hint="default"/>
        <w:lang w:val="en-US" w:eastAsia="en-US" w:bidi="ar-SA"/>
      </w:rPr>
    </w:lvl>
    <w:lvl w:ilvl="7" w:tplc="F33E1F50">
      <w:numFmt w:val="bullet"/>
      <w:lvlText w:val="•"/>
      <w:lvlJc w:val="left"/>
      <w:pPr>
        <w:ind w:left="7577" w:hanging="454"/>
      </w:pPr>
      <w:rPr>
        <w:rFonts w:hint="default"/>
        <w:lang w:val="en-US" w:eastAsia="en-US" w:bidi="ar-SA"/>
      </w:rPr>
    </w:lvl>
    <w:lvl w:ilvl="8" w:tplc="95102438">
      <w:numFmt w:val="bullet"/>
      <w:lvlText w:val="•"/>
      <w:lvlJc w:val="left"/>
      <w:pPr>
        <w:ind w:left="8480" w:hanging="454"/>
      </w:pPr>
      <w:rPr>
        <w:rFonts w:hint="default"/>
        <w:lang w:val="en-US" w:eastAsia="en-US" w:bidi="ar-SA"/>
      </w:rPr>
    </w:lvl>
  </w:abstractNum>
  <w:abstractNum w:abstractNumId="65" w15:restartNumberingAfterBreak="0">
    <w:nsid w:val="5E6500C0"/>
    <w:multiLevelType w:val="hybridMultilevel"/>
    <w:tmpl w:val="03180462"/>
    <w:lvl w:ilvl="0" w:tplc="5C20A7FE">
      <w:start w:val="1"/>
      <w:numFmt w:val="decimal"/>
      <w:lvlText w:val="%1."/>
      <w:lvlJc w:val="left"/>
      <w:pPr>
        <w:ind w:left="1155" w:hanging="341"/>
        <w:jc w:val="left"/>
      </w:pPr>
      <w:rPr>
        <w:rFonts w:ascii="Arial" w:eastAsia="Arial" w:hAnsi="Arial" w:cs="Arial" w:hint="default"/>
        <w:b w:val="0"/>
        <w:bCs w:val="0"/>
        <w:i w:val="0"/>
        <w:iCs w:val="0"/>
        <w:spacing w:val="0"/>
        <w:w w:val="100"/>
        <w:sz w:val="20"/>
        <w:szCs w:val="20"/>
        <w:lang w:val="en-US" w:eastAsia="en-US" w:bidi="ar-SA"/>
      </w:rPr>
    </w:lvl>
    <w:lvl w:ilvl="1" w:tplc="58448E84">
      <w:numFmt w:val="bullet"/>
      <w:lvlText w:val="•"/>
      <w:lvlJc w:val="left"/>
      <w:pPr>
        <w:ind w:left="2072" w:hanging="341"/>
      </w:pPr>
      <w:rPr>
        <w:rFonts w:hint="default"/>
        <w:lang w:val="en-US" w:eastAsia="en-US" w:bidi="ar-SA"/>
      </w:rPr>
    </w:lvl>
    <w:lvl w:ilvl="2" w:tplc="0B703928">
      <w:numFmt w:val="bullet"/>
      <w:lvlText w:val="•"/>
      <w:lvlJc w:val="left"/>
      <w:pPr>
        <w:ind w:left="2985" w:hanging="341"/>
      </w:pPr>
      <w:rPr>
        <w:rFonts w:hint="default"/>
        <w:lang w:val="en-US" w:eastAsia="en-US" w:bidi="ar-SA"/>
      </w:rPr>
    </w:lvl>
    <w:lvl w:ilvl="3" w:tplc="0D886124">
      <w:numFmt w:val="bullet"/>
      <w:lvlText w:val="•"/>
      <w:lvlJc w:val="left"/>
      <w:pPr>
        <w:ind w:left="3897" w:hanging="341"/>
      </w:pPr>
      <w:rPr>
        <w:rFonts w:hint="default"/>
        <w:lang w:val="en-US" w:eastAsia="en-US" w:bidi="ar-SA"/>
      </w:rPr>
    </w:lvl>
    <w:lvl w:ilvl="4" w:tplc="3190E0E8">
      <w:numFmt w:val="bullet"/>
      <w:lvlText w:val="•"/>
      <w:lvlJc w:val="left"/>
      <w:pPr>
        <w:ind w:left="4810" w:hanging="341"/>
      </w:pPr>
      <w:rPr>
        <w:rFonts w:hint="default"/>
        <w:lang w:val="en-US" w:eastAsia="en-US" w:bidi="ar-SA"/>
      </w:rPr>
    </w:lvl>
    <w:lvl w:ilvl="5" w:tplc="CB505C5E">
      <w:numFmt w:val="bullet"/>
      <w:lvlText w:val="•"/>
      <w:lvlJc w:val="left"/>
      <w:pPr>
        <w:ind w:left="5722" w:hanging="341"/>
      </w:pPr>
      <w:rPr>
        <w:rFonts w:hint="default"/>
        <w:lang w:val="en-US" w:eastAsia="en-US" w:bidi="ar-SA"/>
      </w:rPr>
    </w:lvl>
    <w:lvl w:ilvl="6" w:tplc="1EC6F810">
      <w:numFmt w:val="bullet"/>
      <w:lvlText w:val="•"/>
      <w:lvlJc w:val="left"/>
      <w:pPr>
        <w:ind w:left="6635" w:hanging="341"/>
      </w:pPr>
      <w:rPr>
        <w:rFonts w:hint="default"/>
        <w:lang w:val="en-US" w:eastAsia="en-US" w:bidi="ar-SA"/>
      </w:rPr>
    </w:lvl>
    <w:lvl w:ilvl="7" w:tplc="20E8E676">
      <w:numFmt w:val="bullet"/>
      <w:lvlText w:val="•"/>
      <w:lvlJc w:val="left"/>
      <w:pPr>
        <w:ind w:left="7547" w:hanging="341"/>
      </w:pPr>
      <w:rPr>
        <w:rFonts w:hint="default"/>
        <w:lang w:val="en-US" w:eastAsia="en-US" w:bidi="ar-SA"/>
      </w:rPr>
    </w:lvl>
    <w:lvl w:ilvl="8" w:tplc="DF9287A4">
      <w:numFmt w:val="bullet"/>
      <w:lvlText w:val="•"/>
      <w:lvlJc w:val="left"/>
      <w:pPr>
        <w:ind w:left="8460" w:hanging="341"/>
      </w:pPr>
      <w:rPr>
        <w:rFonts w:hint="default"/>
        <w:lang w:val="en-US" w:eastAsia="en-US" w:bidi="ar-SA"/>
      </w:rPr>
    </w:lvl>
  </w:abstractNum>
  <w:abstractNum w:abstractNumId="66" w15:restartNumberingAfterBreak="0">
    <w:nsid w:val="603778A3"/>
    <w:multiLevelType w:val="multilevel"/>
    <w:tmpl w:val="9CBC70BE"/>
    <w:lvl w:ilvl="0">
      <w:start w:val="5"/>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515" w:hanging="426"/>
      </w:pPr>
      <w:rPr>
        <w:rFonts w:hint="default"/>
        <w:lang w:val="en-US" w:eastAsia="en-US" w:bidi="ar-SA"/>
      </w:rPr>
    </w:lvl>
    <w:lvl w:ilvl="4">
      <w:numFmt w:val="bullet"/>
      <w:lvlText w:val="•"/>
      <w:lvlJc w:val="left"/>
      <w:pPr>
        <w:ind w:left="-2227" w:hanging="426"/>
      </w:pPr>
      <w:rPr>
        <w:rFonts w:hint="default"/>
        <w:lang w:val="en-US" w:eastAsia="en-US" w:bidi="ar-SA"/>
      </w:rPr>
    </w:lvl>
    <w:lvl w:ilvl="5">
      <w:numFmt w:val="bullet"/>
      <w:lvlText w:val="•"/>
      <w:lvlJc w:val="left"/>
      <w:pPr>
        <w:ind w:left="-2939" w:hanging="426"/>
      </w:pPr>
      <w:rPr>
        <w:rFonts w:hint="default"/>
        <w:lang w:val="en-US" w:eastAsia="en-US" w:bidi="ar-SA"/>
      </w:rPr>
    </w:lvl>
    <w:lvl w:ilvl="6">
      <w:numFmt w:val="bullet"/>
      <w:lvlText w:val="•"/>
      <w:lvlJc w:val="left"/>
      <w:pPr>
        <w:ind w:left="-3650" w:hanging="426"/>
      </w:pPr>
      <w:rPr>
        <w:rFonts w:hint="default"/>
        <w:lang w:val="en-US" w:eastAsia="en-US" w:bidi="ar-SA"/>
      </w:rPr>
    </w:lvl>
    <w:lvl w:ilvl="7">
      <w:numFmt w:val="bullet"/>
      <w:lvlText w:val="•"/>
      <w:lvlJc w:val="left"/>
      <w:pPr>
        <w:ind w:left="-4362" w:hanging="426"/>
      </w:pPr>
      <w:rPr>
        <w:rFonts w:hint="default"/>
        <w:lang w:val="en-US" w:eastAsia="en-US" w:bidi="ar-SA"/>
      </w:rPr>
    </w:lvl>
    <w:lvl w:ilvl="8">
      <w:numFmt w:val="bullet"/>
      <w:lvlText w:val="•"/>
      <w:lvlJc w:val="left"/>
      <w:pPr>
        <w:ind w:left="-5073" w:hanging="426"/>
      </w:pPr>
      <w:rPr>
        <w:rFonts w:hint="default"/>
        <w:lang w:val="en-US" w:eastAsia="en-US" w:bidi="ar-SA"/>
      </w:rPr>
    </w:lvl>
  </w:abstractNum>
  <w:abstractNum w:abstractNumId="67" w15:restartNumberingAfterBreak="0">
    <w:nsid w:val="60D2178E"/>
    <w:multiLevelType w:val="hybridMultilevel"/>
    <w:tmpl w:val="B4025100"/>
    <w:lvl w:ilvl="0" w:tplc="C36EDE26">
      <w:numFmt w:val="bullet"/>
      <w:lvlText w:val="•"/>
      <w:lvlJc w:val="left"/>
      <w:pPr>
        <w:ind w:left="455" w:hanging="341"/>
      </w:pPr>
      <w:rPr>
        <w:rFonts w:ascii="Arial" w:eastAsia="Arial" w:hAnsi="Arial" w:cs="Arial" w:hint="default"/>
        <w:b w:val="0"/>
        <w:bCs w:val="0"/>
        <w:i w:val="0"/>
        <w:iCs w:val="0"/>
        <w:spacing w:val="0"/>
        <w:w w:val="100"/>
        <w:sz w:val="20"/>
        <w:szCs w:val="20"/>
        <w:lang w:val="en-US" w:eastAsia="en-US" w:bidi="ar-SA"/>
      </w:rPr>
    </w:lvl>
    <w:lvl w:ilvl="1" w:tplc="0CE27EE4">
      <w:numFmt w:val="bullet"/>
      <w:lvlText w:val="•"/>
      <w:lvlJc w:val="left"/>
      <w:pPr>
        <w:ind w:left="1372" w:hanging="341"/>
      </w:pPr>
      <w:rPr>
        <w:rFonts w:hint="default"/>
        <w:lang w:val="en-US" w:eastAsia="en-US" w:bidi="ar-SA"/>
      </w:rPr>
    </w:lvl>
    <w:lvl w:ilvl="2" w:tplc="518CDA04">
      <w:numFmt w:val="bullet"/>
      <w:lvlText w:val="•"/>
      <w:lvlJc w:val="left"/>
      <w:pPr>
        <w:ind w:left="2285" w:hanging="341"/>
      </w:pPr>
      <w:rPr>
        <w:rFonts w:hint="default"/>
        <w:lang w:val="en-US" w:eastAsia="en-US" w:bidi="ar-SA"/>
      </w:rPr>
    </w:lvl>
    <w:lvl w:ilvl="3" w:tplc="7AF21186">
      <w:numFmt w:val="bullet"/>
      <w:lvlText w:val="•"/>
      <w:lvlJc w:val="left"/>
      <w:pPr>
        <w:ind w:left="3197" w:hanging="341"/>
      </w:pPr>
      <w:rPr>
        <w:rFonts w:hint="default"/>
        <w:lang w:val="en-US" w:eastAsia="en-US" w:bidi="ar-SA"/>
      </w:rPr>
    </w:lvl>
    <w:lvl w:ilvl="4" w:tplc="BD82C2F6">
      <w:numFmt w:val="bullet"/>
      <w:lvlText w:val="•"/>
      <w:lvlJc w:val="left"/>
      <w:pPr>
        <w:ind w:left="4110" w:hanging="341"/>
      </w:pPr>
      <w:rPr>
        <w:rFonts w:hint="default"/>
        <w:lang w:val="en-US" w:eastAsia="en-US" w:bidi="ar-SA"/>
      </w:rPr>
    </w:lvl>
    <w:lvl w:ilvl="5" w:tplc="D0A84738">
      <w:numFmt w:val="bullet"/>
      <w:lvlText w:val="•"/>
      <w:lvlJc w:val="left"/>
      <w:pPr>
        <w:ind w:left="5022" w:hanging="341"/>
      </w:pPr>
      <w:rPr>
        <w:rFonts w:hint="default"/>
        <w:lang w:val="en-US" w:eastAsia="en-US" w:bidi="ar-SA"/>
      </w:rPr>
    </w:lvl>
    <w:lvl w:ilvl="6" w:tplc="B4F6BF4E">
      <w:numFmt w:val="bullet"/>
      <w:lvlText w:val="•"/>
      <w:lvlJc w:val="left"/>
      <w:pPr>
        <w:ind w:left="5935" w:hanging="341"/>
      </w:pPr>
      <w:rPr>
        <w:rFonts w:hint="default"/>
        <w:lang w:val="en-US" w:eastAsia="en-US" w:bidi="ar-SA"/>
      </w:rPr>
    </w:lvl>
    <w:lvl w:ilvl="7" w:tplc="B8040EFE">
      <w:numFmt w:val="bullet"/>
      <w:lvlText w:val="•"/>
      <w:lvlJc w:val="left"/>
      <w:pPr>
        <w:ind w:left="6847" w:hanging="341"/>
      </w:pPr>
      <w:rPr>
        <w:rFonts w:hint="default"/>
        <w:lang w:val="en-US" w:eastAsia="en-US" w:bidi="ar-SA"/>
      </w:rPr>
    </w:lvl>
    <w:lvl w:ilvl="8" w:tplc="A3325230">
      <w:numFmt w:val="bullet"/>
      <w:lvlText w:val="•"/>
      <w:lvlJc w:val="left"/>
      <w:pPr>
        <w:ind w:left="7760" w:hanging="341"/>
      </w:pPr>
      <w:rPr>
        <w:rFonts w:hint="default"/>
        <w:lang w:val="en-US" w:eastAsia="en-US" w:bidi="ar-SA"/>
      </w:rPr>
    </w:lvl>
  </w:abstractNum>
  <w:abstractNum w:abstractNumId="68" w15:restartNumberingAfterBreak="0">
    <w:nsid w:val="640F59F2"/>
    <w:multiLevelType w:val="hybridMultilevel"/>
    <w:tmpl w:val="C61E0A80"/>
    <w:lvl w:ilvl="0" w:tplc="14CC2D64">
      <w:start w:val="1"/>
      <w:numFmt w:val="decimal"/>
      <w:lvlText w:val="%1."/>
      <w:lvlJc w:val="left"/>
      <w:pPr>
        <w:ind w:left="605" w:hanging="341"/>
        <w:jc w:val="left"/>
      </w:pPr>
      <w:rPr>
        <w:rFonts w:ascii="Arial" w:eastAsia="Arial" w:hAnsi="Arial" w:cs="Arial" w:hint="default"/>
        <w:b w:val="0"/>
        <w:bCs w:val="0"/>
        <w:i w:val="0"/>
        <w:iCs w:val="0"/>
        <w:spacing w:val="0"/>
        <w:w w:val="100"/>
        <w:sz w:val="20"/>
        <w:szCs w:val="20"/>
        <w:lang w:val="en-US" w:eastAsia="en-US" w:bidi="ar-SA"/>
      </w:rPr>
    </w:lvl>
    <w:lvl w:ilvl="1" w:tplc="D6D42B64">
      <w:numFmt w:val="bullet"/>
      <w:lvlText w:val="•"/>
      <w:lvlJc w:val="left"/>
      <w:pPr>
        <w:ind w:left="1342" w:hanging="341"/>
      </w:pPr>
      <w:rPr>
        <w:rFonts w:ascii="Arial" w:eastAsia="Arial" w:hAnsi="Arial" w:cs="Arial" w:hint="default"/>
        <w:b w:val="0"/>
        <w:bCs w:val="0"/>
        <w:i w:val="0"/>
        <w:iCs w:val="0"/>
        <w:spacing w:val="0"/>
        <w:w w:val="100"/>
        <w:sz w:val="20"/>
        <w:szCs w:val="20"/>
        <w:lang w:val="en-US" w:eastAsia="en-US" w:bidi="ar-SA"/>
      </w:rPr>
    </w:lvl>
    <w:lvl w:ilvl="2" w:tplc="F4D2B6CA">
      <w:numFmt w:val="bullet"/>
      <w:lvlText w:val="•"/>
      <w:lvlJc w:val="left"/>
      <w:pPr>
        <w:ind w:left="1740" w:hanging="341"/>
      </w:pPr>
      <w:rPr>
        <w:rFonts w:hint="default"/>
        <w:lang w:val="en-US" w:eastAsia="en-US" w:bidi="ar-SA"/>
      </w:rPr>
    </w:lvl>
    <w:lvl w:ilvl="3" w:tplc="ED86B6CA">
      <w:numFmt w:val="bullet"/>
      <w:lvlText w:val="•"/>
      <w:lvlJc w:val="left"/>
      <w:pPr>
        <w:ind w:left="2141" w:hanging="341"/>
      </w:pPr>
      <w:rPr>
        <w:rFonts w:hint="default"/>
        <w:lang w:val="en-US" w:eastAsia="en-US" w:bidi="ar-SA"/>
      </w:rPr>
    </w:lvl>
    <w:lvl w:ilvl="4" w:tplc="F69A16C8">
      <w:numFmt w:val="bullet"/>
      <w:lvlText w:val="•"/>
      <w:lvlJc w:val="left"/>
      <w:pPr>
        <w:ind w:left="2541" w:hanging="341"/>
      </w:pPr>
      <w:rPr>
        <w:rFonts w:hint="default"/>
        <w:lang w:val="en-US" w:eastAsia="en-US" w:bidi="ar-SA"/>
      </w:rPr>
    </w:lvl>
    <w:lvl w:ilvl="5" w:tplc="51DCCC96">
      <w:numFmt w:val="bullet"/>
      <w:lvlText w:val="•"/>
      <w:lvlJc w:val="left"/>
      <w:pPr>
        <w:ind w:left="2942" w:hanging="341"/>
      </w:pPr>
      <w:rPr>
        <w:rFonts w:hint="default"/>
        <w:lang w:val="en-US" w:eastAsia="en-US" w:bidi="ar-SA"/>
      </w:rPr>
    </w:lvl>
    <w:lvl w:ilvl="6" w:tplc="528C221A">
      <w:numFmt w:val="bullet"/>
      <w:lvlText w:val="•"/>
      <w:lvlJc w:val="left"/>
      <w:pPr>
        <w:ind w:left="3342" w:hanging="341"/>
      </w:pPr>
      <w:rPr>
        <w:rFonts w:hint="default"/>
        <w:lang w:val="en-US" w:eastAsia="en-US" w:bidi="ar-SA"/>
      </w:rPr>
    </w:lvl>
    <w:lvl w:ilvl="7" w:tplc="A10487E2">
      <w:numFmt w:val="bullet"/>
      <w:lvlText w:val="•"/>
      <w:lvlJc w:val="left"/>
      <w:pPr>
        <w:ind w:left="3743" w:hanging="341"/>
      </w:pPr>
      <w:rPr>
        <w:rFonts w:hint="default"/>
        <w:lang w:val="en-US" w:eastAsia="en-US" w:bidi="ar-SA"/>
      </w:rPr>
    </w:lvl>
    <w:lvl w:ilvl="8" w:tplc="8604DAE0">
      <w:numFmt w:val="bullet"/>
      <w:lvlText w:val="•"/>
      <w:lvlJc w:val="left"/>
      <w:pPr>
        <w:ind w:left="4143" w:hanging="341"/>
      </w:pPr>
      <w:rPr>
        <w:rFonts w:hint="default"/>
        <w:lang w:val="en-US" w:eastAsia="en-US" w:bidi="ar-SA"/>
      </w:rPr>
    </w:lvl>
  </w:abstractNum>
  <w:abstractNum w:abstractNumId="69" w15:restartNumberingAfterBreak="0">
    <w:nsid w:val="668F3CB0"/>
    <w:multiLevelType w:val="hybridMultilevel"/>
    <w:tmpl w:val="C83C20E6"/>
    <w:lvl w:ilvl="0" w:tplc="95A8BDDC">
      <w:numFmt w:val="bullet"/>
      <w:lvlText w:val="•"/>
      <w:lvlJc w:val="left"/>
      <w:pPr>
        <w:ind w:left="2148" w:hanging="171"/>
      </w:pPr>
      <w:rPr>
        <w:rFonts w:ascii="Arial" w:eastAsia="Arial" w:hAnsi="Arial" w:cs="Arial" w:hint="default"/>
        <w:b w:val="0"/>
        <w:bCs w:val="0"/>
        <w:i w:val="0"/>
        <w:iCs w:val="0"/>
        <w:spacing w:val="0"/>
        <w:w w:val="98"/>
        <w:sz w:val="15"/>
        <w:szCs w:val="15"/>
        <w:lang w:val="en-US" w:eastAsia="en-US" w:bidi="ar-SA"/>
      </w:rPr>
    </w:lvl>
    <w:lvl w:ilvl="1" w:tplc="1D546144">
      <w:numFmt w:val="bullet"/>
      <w:lvlText w:val="•"/>
      <w:lvlJc w:val="left"/>
      <w:pPr>
        <w:ind w:left="2492" w:hanging="171"/>
      </w:pPr>
      <w:rPr>
        <w:rFonts w:hint="default"/>
        <w:lang w:val="en-US" w:eastAsia="en-US" w:bidi="ar-SA"/>
      </w:rPr>
    </w:lvl>
    <w:lvl w:ilvl="2" w:tplc="033C5E9E">
      <w:numFmt w:val="bullet"/>
      <w:lvlText w:val="•"/>
      <w:lvlJc w:val="left"/>
      <w:pPr>
        <w:ind w:left="2844" w:hanging="171"/>
      </w:pPr>
      <w:rPr>
        <w:rFonts w:hint="default"/>
        <w:lang w:val="en-US" w:eastAsia="en-US" w:bidi="ar-SA"/>
      </w:rPr>
    </w:lvl>
    <w:lvl w:ilvl="3" w:tplc="57188CBC">
      <w:numFmt w:val="bullet"/>
      <w:lvlText w:val="•"/>
      <w:lvlJc w:val="left"/>
      <w:pPr>
        <w:ind w:left="3196" w:hanging="171"/>
      </w:pPr>
      <w:rPr>
        <w:rFonts w:hint="default"/>
        <w:lang w:val="en-US" w:eastAsia="en-US" w:bidi="ar-SA"/>
      </w:rPr>
    </w:lvl>
    <w:lvl w:ilvl="4" w:tplc="845AD704">
      <w:numFmt w:val="bullet"/>
      <w:lvlText w:val="•"/>
      <w:lvlJc w:val="left"/>
      <w:pPr>
        <w:ind w:left="3548" w:hanging="171"/>
      </w:pPr>
      <w:rPr>
        <w:rFonts w:hint="default"/>
        <w:lang w:val="en-US" w:eastAsia="en-US" w:bidi="ar-SA"/>
      </w:rPr>
    </w:lvl>
    <w:lvl w:ilvl="5" w:tplc="5636E988">
      <w:numFmt w:val="bullet"/>
      <w:lvlText w:val="•"/>
      <w:lvlJc w:val="left"/>
      <w:pPr>
        <w:ind w:left="3900" w:hanging="171"/>
      </w:pPr>
      <w:rPr>
        <w:rFonts w:hint="default"/>
        <w:lang w:val="en-US" w:eastAsia="en-US" w:bidi="ar-SA"/>
      </w:rPr>
    </w:lvl>
    <w:lvl w:ilvl="6" w:tplc="9F423480">
      <w:numFmt w:val="bullet"/>
      <w:lvlText w:val="•"/>
      <w:lvlJc w:val="left"/>
      <w:pPr>
        <w:ind w:left="4252" w:hanging="171"/>
      </w:pPr>
      <w:rPr>
        <w:rFonts w:hint="default"/>
        <w:lang w:val="en-US" w:eastAsia="en-US" w:bidi="ar-SA"/>
      </w:rPr>
    </w:lvl>
    <w:lvl w:ilvl="7" w:tplc="A3F8CA94">
      <w:numFmt w:val="bullet"/>
      <w:lvlText w:val="•"/>
      <w:lvlJc w:val="left"/>
      <w:pPr>
        <w:ind w:left="4604" w:hanging="171"/>
      </w:pPr>
      <w:rPr>
        <w:rFonts w:hint="default"/>
        <w:lang w:val="en-US" w:eastAsia="en-US" w:bidi="ar-SA"/>
      </w:rPr>
    </w:lvl>
    <w:lvl w:ilvl="8" w:tplc="3E0E11A2">
      <w:numFmt w:val="bullet"/>
      <w:lvlText w:val="•"/>
      <w:lvlJc w:val="left"/>
      <w:pPr>
        <w:ind w:left="4956" w:hanging="171"/>
      </w:pPr>
      <w:rPr>
        <w:rFonts w:hint="default"/>
        <w:lang w:val="en-US" w:eastAsia="en-US" w:bidi="ar-SA"/>
      </w:rPr>
    </w:lvl>
  </w:abstractNum>
  <w:abstractNum w:abstractNumId="70" w15:restartNumberingAfterBreak="0">
    <w:nsid w:val="68A1440E"/>
    <w:multiLevelType w:val="hybridMultilevel"/>
    <w:tmpl w:val="291EBC90"/>
    <w:lvl w:ilvl="0" w:tplc="7B6AFA6E">
      <w:numFmt w:val="bullet"/>
      <w:lvlText w:val=""/>
      <w:lvlJc w:val="left"/>
      <w:pPr>
        <w:ind w:left="1263" w:hanging="284"/>
      </w:pPr>
      <w:rPr>
        <w:rFonts w:ascii="Symbol" w:eastAsia="Symbol" w:hAnsi="Symbol" w:cs="Symbol" w:hint="default"/>
        <w:b w:val="0"/>
        <w:bCs w:val="0"/>
        <w:i w:val="0"/>
        <w:iCs w:val="0"/>
        <w:spacing w:val="0"/>
        <w:w w:val="100"/>
        <w:sz w:val="18"/>
        <w:szCs w:val="18"/>
        <w:lang w:val="en-US" w:eastAsia="en-US" w:bidi="ar-SA"/>
      </w:rPr>
    </w:lvl>
    <w:lvl w:ilvl="1" w:tplc="D4C63852">
      <w:numFmt w:val="bullet"/>
      <w:lvlText w:val="•"/>
      <w:lvlJc w:val="left"/>
      <w:pPr>
        <w:ind w:left="2162" w:hanging="284"/>
      </w:pPr>
      <w:rPr>
        <w:rFonts w:hint="default"/>
        <w:lang w:val="en-US" w:eastAsia="en-US" w:bidi="ar-SA"/>
      </w:rPr>
    </w:lvl>
    <w:lvl w:ilvl="2" w:tplc="FE941032">
      <w:numFmt w:val="bullet"/>
      <w:lvlText w:val="•"/>
      <w:lvlJc w:val="left"/>
      <w:pPr>
        <w:ind w:left="3065" w:hanging="284"/>
      </w:pPr>
      <w:rPr>
        <w:rFonts w:hint="default"/>
        <w:lang w:val="en-US" w:eastAsia="en-US" w:bidi="ar-SA"/>
      </w:rPr>
    </w:lvl>
    <w:lvl w:ilvl="3" w:tplc="9BD25D04">
      <w:numFmt w:val="bullet"/>
      <w:lvlText w:val="•"/>
      <w:lvlJc w:val="left"/>
      <w:pPr>
        <w:ind w:left="3967" w:hanging="284"/>
      </w:pPr>
      <w:rPr>
        <w:rFonts w:hint="default"/>
        <w:lang w:val="en-US" w:eastAsia="en-US" w:bidi="ar-SA"/>
      </w:rPr>
    </w:lvl>
    <w:lvl w:ilvl="4" w:tplc="FF06325C">
      <w:numFmt w:val="bullet"/>
      <w:lvlText w:val="•"/>
      <w:lvlJc w:val="left"/>
      <w:pPr>
        <w:ind w:left="4870" w:hanging="284"/>
      </w:pPr>
      <w:rPr>
        <w:rFonts w:hint="default"/>
        <w:lang w:val="en-US" w:eastAsia="en-US" w:bidi="ar-SA"/>
      </w:rPr>
    </w:lvl>
    <w:lvl w:ilvl="5" w:tplc="45DEE704">
      <w:numFmt w:val="bullet"/>
      <w:lvlText w:val="•"/>
      <w:lvlJc w:val="left"/>
      <w:pPr>
        <w:ind w:left="5772" w:hanging="284"/>
      </w:pPr>
      <w:rPr>
        <w:rFonts w:hint="default"/>
        <w:lang w:val="en-US" w:eastAsia="en-US" w:bidi="ar-SA"/>
      </w:rPr>
    </w:lvl>
    <w:lvl w:ilvl="6" w:tplc="390A82EA">
      <w:numFmt w:val="bullet"/>
      <w:lvlText w:val="•"/>
      <w:lvlJc w:val="left"/>
      <w:pPr>
        <w:ind w:left="6675" w:hanging="284"/>
      </w:pPr>
      <w:rPr>
        <w:rFonts w:hint="default"/>
        <w:lang w:val="en-US" w:eastAsia="en-US" w:bidi="ar-SA"/>
      </w:rPr>
    </w:lvl>
    <w:lvl w:ilvl="7" w:tplc="CA5E0EDC">
      <w:numFmt w:val="bullet"/>
      <w:lvlText w:val="•"/>
      <w:lvlJc w:val="left"/>
      <w:pPr>
        <w:ind w:left="7577" w:hanging="284"/>
      </w:pPr>
      <w:rPr>
        <w:rFonts w:hint="default"/>
        <w:lang w:val="en-US" w:eastAsia="en-US" w:bidi="ar-SA"/>
      </w:rPr>
    </w:lvl>
    <w:lvl w:ilvl="8" w:tplc="766202C2">
      <w:numFmt w:val="bullet"/>
      <w:lvlText w:val="•"/>
      <w:lvlJc w:val="left"/>
      <w:pPr>
        <w:ind w:left="8480" w:hanging="284"/>
      </w:pPr>
      <w:rPr>
        <w:rFonts w:hint="default"/>
        <w:lang w:val="en-US" w:eastAsia="en-US" w:bidi="ar-SA"/>
      </w:rPr>
    </w:lvl>
  </w:abstractNum>
  <w:abstractNum w:abstractNumId="71" w15:restartNumberingAfterBreak="0">
    <w:nsid w:val="69A520D5"/>
    <w:multiLevelType w:val="hybridMultilevel"/>
    <w:tmpl w:val="87E0392E"/>
    <w:lvl w:ilvl="0" w:tplc="139EF302">
      <w:numFmt w:val="bullet"/>
      <w:lvlText w:val="•"/>
      <w:lvlJc w:val="left"/>
      <w:pPr>
        <w:ind w:left="763" w:hanging="142"/>
      </w:pPr>
      <w:rPr>
        <w:rFonts w:ascii="Arial" w:eastAsia="Arial" w:hAnsi="Arial" w:cs="Arial" w:hint="default"/>
        <w:b w:val="0"/>
        <w:bCs w:val="0"/>
        <w:i w:val="0"/>
        <w:iCs w:val="0"/>
        <w:spacing w:val="0"/>
        <w:w w:val="95"/>
        <w:sz w:val="15"/>
        <w:szCs w:val="15"/>
        <w:lang w:val="en-US" w:eastAsia="en-US" w:bidi="ar-SA"/>
      </w:rPr>
    </w:lvl>
    <w:lvl w:ilvl="1" w:tplc="2CA870B2">
      <w:numFmt w:val="bullet"/>
      <w:lvlText w:val="•"/>
      <w:lvlJc w:val="left"/>
      <w:pPr>
        <w:ind w:left="976" w:hanging="142"/>
      </w:pPr>
      <w:rPr>
        <w:rFonts w:hint="default"/>
        <w:lang w:val="en-US" w:eastAsia="en-US" w:bidi="ar-SA"/>
      </w:rPr>
    </w:lvl>
    <w:lvl w:ilvl="2" w:tplc="C2E2ED8C">
      <w:numFmt w:val="bullet"/>
      <w:lvlText w:val="•"/>
      <w:lvlJc w:val="left"/>
      <w:pPr>
        <w:ind w:left="1193" w:hanging="142"/>
      </w:pPr>
      <w:rPr>
        <w:rFonts w:hint="default"/>
        <w:lang w:val="en-US" w:eastAsia="en-US" w:bidi="ar-SA"/>
      </w:rPr>
    </w:lvl>
    <w:lvl w:ilvl="3" w:tplc="B8426BA6">
      <w:numFmt w:val="bullet"/>
      <w:lvlText w:val="•"/>
      <w:lvlJc w:val="left"/>
      <w:pPr>
        <w:ind w:left="1410" w:hanging="142"/>
      </w:pPr>
      <w:rPr>
        <w:rFonts w:hint="default"/>
        <w:lang w:val="en-US" w:eastAsia="en-US" w:bidi="ar-SA"/>
      </w:rPr>
    </w:lvl>
    <w:lvl w:ilvl="4" w:tplc="60F05886">
      <w:numFmt w:val="bullet"/>
      <w:lvlText w:val="•"/>
      <w:lvlJc w:val="left"/>
      <w:pPr>
        <w:ind w:left="1627" w:hanging="142"/>
      </w:pPr>
      <w:rPr>
        <w:rFonts w:hint="default"/>
        <w:lang w:val="en-US" w:eastAsia="en-US" w:bidi="ar-SA"/>
      </w:rPr>
    </w:lvl>
    <w:lvl w:ilvl="5" w:tplc="8B56036C">
      <w:numFmt w:val="bullet"/>
      <w:lvlText w:val="•"/>
      <w:lvlJc w:val="left"/>
      <w:pPr>
        <w:ind w:left="1844" w:hanging="142"/>
      </w:pPr>
      <w:rPr>
        <w:rFonts w:hint="default"/>
        <w:lang w:val="en-US" w:eastAsia="en-US" w:bidi="ar-SA"/>
      </w:rPr>
    </w:lvl>
    <w:lvl w:ilvl="6" w:tplc="905229C2">
      <w:numFmt w:val="bullet"/>
      <w:lvlText w:val="•"/>
      <w:lvlJc w:val="left"/>
      <w:pPr>
        <w:ind w:left="2061" w:hanging="142"/>
      </w:pPr>
      <w:rPr>
        <w:rFonts w:hint="default"/>
        <w:lang w:val="en-US" w:eastAsia="en-US" w:bidi="ar-SA"/>
      </w:rPr>
    </w:lvl>
    <w:lvl w:ilvl="7" w:tplc="5D2837CE">
      <w:numFmt w:val="bullet"/>
      <w:lvlText w:val="•"/>
      <w:lvlJc w:val="left"/>
      <w:pPr>
        <w:ind w:left="2278" w:hanging="142"/>
      </w:pPr>
      <w:rPr>
        <w:rFonts w:hint="default"/>
        <w:lang w:val="en-US" w:eastAsia="en-US" w:bidi="ar-SA"/>
      </w:rPr>
    </w:lvl>
    <w:lvl w:ilvl="8" w:tplc="35BCF9CE">
      <w:numFmt w:val="bullet"/>
      <w:lvlText w:val="•"/>
      <w:lvlJc w:val="left"/>
      <w:pPr>
        <w:ind w:left="2495" w:hanging="142"/>
      </w:pPr>
      <w:rPr>
        <w:rFonts w:hint="default"/>
        <w:lang w:val="en-US" w:eastAsia="en-US" w:bidi="ar-SA"/>
      </w:rPr>
    </w:lvl>
  </w:abstractNum>
  <w:abstractNum w:abstractNumId="72" w15:restartNumberingAfterBreak="0">
    <w:nsid w:val="69CA2AF9"/>
    <w:multiLevelType w:val="multilevel"/>
    <w:tmpl w:val="BFC8CDAC"/>
    <w:lvl w:ilvl="0">
      <w:start w:val="4"/>
      <w:numFmt w:val="decimal"/>
      <w:lvlText w:val="%1"/>
      <w:lvlJc w:val="left"/>
      <w:pPr>
        <w:ind w:left="994" w:hanging="492"/>
        <w:jc w:val="left"/>
      </w:pPr>
      <w:rPr>
        <w:rFonts w:hint="default"/>
        <w:lang w:val="en-US" w:eastAsia="en-US" w:bidi="ar-SA"/>
      </w:rPr>
    </w:lvl>
    <w:lvl w:ilvl="1">
      <w:start w:val="1"/>
      <w:numFmt w:val="decimal"/>
      <w:lvlText w:val="%1.%2"/>
      <w:lvlJc w:val="left"/>
      <w:pPr>
        <w:ind w:left="994" w:hanging="492"/>
        <w:jc w:val="left"/>
      </w:pPr>
      <w:rPr>
        <w:rFonts w:hint="default"/>
        <w:lang w:val="en-US" w:eastAsia="en-US" w:bidi="ar-SA"/>
      </w:rPr>
    </w:lvl>
    <w:lvl w:ilvl="2">
      <w:start w:val="1"/>
      <w:numFmt w:val="decimal"/>
      <w:lvlText w:val="%1.%2.%3"/>
      <w:lvlJc w:val="left"/>
      <w:pPr>
        <w:ind w:left="994" w:hanging="492"/>
        <w:jc w:val="left"/>
      </w:pPr>
      <w:rPr>
        <w:rFonts w:ascii="Arial" w:eastAsia="Arial" w:hAnsi="Arial" w:cs="Arial" w:hint="default"/>
        <w:b w:val="0"/>
        <w:bCs w:val="0"/>
        <w:i w:val="0"/>
        <w:iCs w:val="0"/>
        <w:spacing w:val="-15"/>
        <w:w w:val="98"/>
        <w:sz w:val="15"/>
        <w:szCs w:val="15"/>
        <w:lang w:val="en-US" w:eastAsia="en-US" w:bidi="ar-SA"/>
      </w:rPr>
    </w:lvl>
    <w:lvl w:ilvl="3">
      <w:numFmt w:val="bullet"/>
      <w:lvlText w:val="•"/>
      <w:lvlJc w:val="left"/>
      <w:pPr>
        <w:ind w:left="2091" w:hanging="492"/>
      </w:pPr>
      <w:rPr>
        <w:rFonts w:hint="default"/>
        <w:lang w:val="en-US" w:eastAsia="en-US" w:bidi="ar-SA"/>
      </w:rPr>
    </w:lvl>
    <w:lvl w:ilvl="4">
      <w:numFmt w:val="bullet"/>
      <w:lvlText w:val="•"/>
      <w:lvlJc w:val="left"/>
      <w:pPr>
        <w:ind w:left="2455" w:hanging="492"/>
      </w:pPr>
      <w:rPr>
        <w:rFonts w:hint="default"/>
        <w:lang w:val="en-US" w:eastAsia="en-US" w:bidi="ar-SA"/>
      </w:rPr>
    </w:lvl>
    <w:lvl w:ilvl="5">
      <w:numFmt w:val="bullet"/>
      <w:lvlText w:val="•"/>
      <w:lvlJc w:val="left"/>
      <w:pPr>
        <w:ind w:left="2818" w:hanging="492"/>
      </w:pPr>
      <w:rPr>
        <w:rFonts w:hint="default"/>
        <w:lang w:val="en-US" w:eastAsia="en-US" w:bidi="ar-SA"/>
      </w:rPr>
    </w:lvl>
    <w:lvl w:ilvl="6">
      <w:numFmt w:val="bullet"/>
      <w:lvlText w:val="•"/>
      <w:lvlJc w:val="left"/>
      <w:pPr>
        <w:ind w:left="3182" w:hanging="492"/>
      </w:pPr>
      <w:rPr>
        <w:rFonts w:hint="default"/>
        <w:lang w:val="en-US" w:eastAsia="en-US" w:bidi="ar-SA"/>
      </w:rPr>
    </w:lvl>
    <w:lvl w:ilvl="7">
      <w:numFmt w:val="bullet"/>
      <w:lvlText w:val="•"/>
      <w:lvlJc w:val="left"/>
      <w:pPr>
        <w:ind w:left="3546" w:hanging="492"/>
      </w:pPr>
      <w:rPr>
        <w:rFonts w:hint="default"/>
        <w:lang w:val="en-US" w:eastAsia="en-US" w:bidi="ar-SA"/>
      </w:rPr>
    </w:lvl>
    <w:lvl w:ilvl="8">
      <w:numFmt w:val="bullet"/>
      <w:lvlText w:val="•"/>
      <w:lvlJc w:val="left"/>
      <w:pPr>
        <w:ind w:left="3910" w:hanging="492"/>
      </w:pPr>
      <w:rPr>
        <w:rFonts w:hint="default"/>
        <w:lang w:val="en-US" w:eastAsia="en-US" w:bidi="ar-SA"/>
      </w:rPr>
    </w:lvl>
  </w:abstractNum>
  <w:abstractNum w:abstractNumId="73" w15:restartNumberingAfterBreak="0">
    <w:nsid w:val="6B6602F6"/>
    <w:multiLevelType w:val="hybridMultilevel"/>
    <w:tmpl w:val="A37A1408"/>
    <w:lvl w:ilvl="0" w:tplc="CFD60066">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A53A4100">
      <w:numFmt w:val="bullet"/>
      <w:lvlText w:val="•"/>
      <w:lvlJc w:val="left"/>
      <w:pPr>
        <w:ind w:left="2162" w:hanging="454"/>
      </w:pPr>
      <w:rPr>
        <w:rFonts w:hint="default"/>
        <w:lang w:val="en-US" w:eastAsia="en-US" w:bidi="ar-SA"/>
      </w:rPr>
    </w:lvl>
    <w:lvl w:ilvl="2" w:tplc="017AFF86">
      <w:numFmt w:val="bullet"/>
      <w:lvlText w:val="•"/>
      <w:lvlJc w:val="left"/>
      <w:pPr>
        <w:ind w:left="3065" w:hanging="454"/>
      </w:pPr>
      <w:rPr>
        <w:rFonts w:hint="default"/>
        <w:lang w:val="en-US" w:eastAsia="en-US" w:bidi="ar-SA"/>
      </w:rPr>
    </w:lvl>
    <w:lvl w:ilvl="3" w:tplc="47586C6C">
      <w:numFmt w:val="bullet"/>
      <w:lvlText w:val="•"/>
      <w:lvlJc w:val="left"/>
      <w:pPr>
        <w:ind w:left="3967" w:hanging="454"/>
      </w:pPr>
      <w:rPr>
        <w:rFonts w:hint="default"/>
        <w:lang w:val="en-US" w:eastAsia="en-US" w:bidi="ar-SA"/>
      </w:rPr>
    </w:lvl>
    <w:lvl w:ilvl="4" w:tplc="F8964FE4">
      <w:numFmt w:val="bullet"/>
      <w:lvlText w:val="•"/>
      <w:lvlJc w:val="left"/>
      <w:pPr>
        <w:ind w:left="4870" w:hanging="454"/>
      </w:pPr>
      <w:rPr>
        <w:rFonts w:hint="default"/>
        <w:lang w:val="en-US" w:eastAsia="en-US" w:bidi="ar-SA"/>
      </w:rPr>
    </w:lvl>
    <w:lvl w:ilvl="5" w:tplc="4FA84E56">
      <w:numFmt w:val="bullet"/>
      <w:lvlText w:val="•"/>
      <w:lvlJc w:val="left"/>
      <w:pPr>
        <w:ind w:left="5772" w:hanging="454"/>
      </w:pPr>
      <w:rPr>
        <w:rFonts w:hint="default"/>
        <w:lang w:val="en-US" w:eastAsia="en-US" w:bidi="ar-SA"/>
      </w:rPr>
    </w:lvl>
    <w:lvl w:ilvl="6" w:tplc="B1A49806">
      <w:numFmt w:val="bullet"/>
      <w:lvlText w:val="•"/>
      <w:lvlJc w:val="left"/>
      <w:pPr>
        <w:ind w:left="6675" w:hanging="454"/>
      </w:pPr>
      <w:rPr>
        <w:rFonts w:hint="default"/>
        <w:lang w:val="en-US" w:eastAsia="en-US" w:bidi="ar-SA"/>
      </w:rPr>
    </w:lvl>
    <w:lvl w:ilvl="7" w:tplc="C03445D4">
      <w:numFmt w:val="bullet"/>
      <w:lvlText w:val="•"/>
      <w:lvlJc w:val="left"/>
      <w:pPr>
        <w:ind w:left="7577" w:hanging="454"/>
      </w:pPr>
      <w:rPr>
        <w:rFonts w:hint="default"/>
        <w:lang w:val="en-US" w:eastAsia="en-US" w:bidi="ar-SA"/>
      </w:rPr>
    </w:lvl>
    <w:lvl w:ilvl="8" w:tplc="56F0A178">
      <w:numFmt w:val="bullet"/>
      <w:lvlText w:val="•"/>
      <w:lvlJc w:val="left"/>
      <w:pPr>
        <w:ind w:left="8480" w:hanging="454"/>
      </w:pPr>
      <w:rPr>
        <w:rFonts w:hint="default"/>
        <w:lang w:val="en-US" w:eastAsia="en-US" w:bidi="ar-SA"/>
      </w:rPr>
    </w:lvl>
  </w:abstractNum>
  <w:abstractNum w:abstractNumId="74" w15:restartNumberingAfterBreak="0">
    <w:nsid w:val="6BBF3D9E"/>
    <w:multiLevelType w:val="multilevel"/>
    <w:tmpl w:val="39967858"/>
    <w:lvl w:ilvl="0">
      <w:start w:val="7"/>
      <w:numFmt w:val="decimal"/>
      <w:lvlText w:val="%1"/>
      <w:lvlJc w:val="left"/>
      <w:pPr>
        <w:ind w:left="3101" w:hanging="426"/>
        <w:jc w:val="left"/>
      </w:pPr>
      <w:rPr>
        <w:rFonts w:hint="default"/>
        <w:lang w:val="en-US" w:eastAsia="en-US" w:bidi="ar-SA"/>
      </w:rPr>
    </w:lvl>
    <w:lvl w:ilvl="1">
      <w:start w:val="1"/>
      <w:numFmt w:val="decimal"/>
      <w:lvlText w:val="%1.%2"/>
      <w:lvlJc w:val="left"/>
      <w:pPr>
        <w:ind w:left="3101" w:hanging="426"/>
        <w:jc w:val="left"/>
      </w:pPr>
      <w:rPr>
        <w:rFonts w:hint="default"/>
        <w:lang w:val="en-US" w:eastAsia="en-US" w:bidi="ar-SA"/>
      </w:rPr>
    </w:lvl>
    <w:lvl w:ilvl="2">
      <w:start w:val="1"/>
      <w:numFmt w:val="decimal"/>
      <w:lvlText w:val="%1.%2.%3"/>
      <w:lvlJc w:val="left"/>
      <w:pPr>
        <w:ind w:left="3101" w:hanging="426"/>
        <w:jc w:val="right"/>
      </w:pPr>
      <w:rPr>
        <w:rFonts w:ascii="Arial" w:eastAsia="Arial" w:hAnsi="Arial" w:cs="Arial" w:hint="default"/>
        <w:b w:val="0"/>
        <w:bCs w:val="0"/>
        <w:i w:val="0"/>
        <w:iCs w:val="0"/>
        <w:spacing w:val="-14"/>
        <w:w w:val="95"/>
        <w:sz w:val="15"/>
        <w:szCs w:val="15"/>
        <w:lang w:val="en-US" w:eastAsia="en-US" w:bidi="ar-SA"/>
      </w:rPr>
    </w:lvl>
    <w:lvl w:ilvl="3">
      <w:numFmt w:val="bullet"/>
      <w:lvlText w:val="•"/>
      <w:lvlJc w:val="left"/>
      <w:pPr>
        <w:ind w:left="3207" w:hanging="426"/>
      </w:pPr>
      <w:rPr>
        <w:rFonts w:hint="default"/>
        <w:lang w:val="en-US" w:eastAsia="en-US" w:bidi="ar-SA"/>
      </w:rPr>
    </w:lvl>
    <w:lvl w:ilvl="4">
      <w:numFmt w:val="bullet"/>
      <w:lvlText w:val="•"/>
      <w:lvlJc w:val="left"/>
      <w:pPr>
        <w:ind w:left="3242" w:hanging="426"/>
      </w:pPr>
      <w:rPr>
        <w:rFonts w:hint="default"/>
        <w:lang w:val="en-US" w:eastAsia="en-US" w:bidi="ar-SA"/>
      </w:rPr>
    </w:lvl>
    <w:lvl w:ilvl="5">
      <w:numFmt w:val="bullet"/>
      <w:lvlText w:val="•"/>
      <w:lvlJc w:val="left"/>
      <w:pPr>
        <w:ind w:left="3278" w:hanging="426"/>
      </w:pPr>
      <w:rPr>
        <w:rFonts w:hint="default"/>
        <w:lang w:val="en-US" w:eastAsia="en-US" w:bidi="ar-SA"/>
      </w:rPr>
    </w:lvl>
    <w:lvl w:ilvl="6">
      <w:numFmt w:val="bullet"/>
      <w:lvlText w:val="•"/>
      <w:lvlJc w:val="left"/>
      <w:pPr>
        <w:ind w:left="3314" w:hanging="426"/>
      </w:pPr>
      <w:rPr>
        <w:rFonts w:hint="default"/>
        <w:lang w:val="en-US" w:eastAsia="en-US" w:bidi="ar-SA"/>
      </w:rPr>
    </w:lvl>
    <w:lvl w:ilvl="7">
      <w:numFmt w:val="bullet"/>
      <w:lvlText w:val="•"/>
      <w:lvlJc w:val="left"/>
      <w:pPr>
        <w:ind w:left="3350" w:hanging="426"/>
      </w:pPr>
      <w:rPr>
        <w:rFonts w:hint="default"/>
        <w:lang w:val="en-US" w:eastAsia="en-US" w:bidi="ar-SA"/>
      </w:rPr>
    </w:lvl>
    <w:lvl w:ilvl="8">
      <w:numFmt w:val="bullet"/>
      <w:lvlText w:val="•"/>
      <w:lvlJc w:val="left"/>
      <w:pPr>
        <w:ind w:left="3385" w:hanging="426"/>
      </w:pPr>
      <w:rPr>
        <w:rFonts w:hint="default"/>
        <w:lang w:val="en-US" w:eastAsia="en-US" w:bidi="ar-SA"/>
      </w:rPr>
    </w:lvl>
  </w:abstractNum>
  <w:abstractNum w:abstractNumId="75" w15:restartNumberingAfterBreak="0">
    <w:nsid w:val="709E1F15"/>
    <w:multiLevelType w:val="hybridMultilevel"/>
    <w:tmpl w:val="2AC07EF2"/>
    <w:lvl w:ilvl="0" w:tplc="AAA0332C">
      <w:numFmt w:val="bullet"/>
      <w:lvlText w:val=""/>
      <w:lvlJc w:val="left"/>
      <w:pPr>
        <w:ind w:left="1335" w:hanging="360"/>
      </w:pPr>
      <w:rPr>
        <w:rFonts w:ascii="Symbol" w:eastAsia="Symbol" w:hAnsi="Symbol" w:cs="Symbol" w:hint="default"/>
        <w:b w:val="0"/>
        <w:bCs w:val="0"/>
        <w:i w:val="0"/>
        <w:iCs w:val="0"/>
        <w:spacing w:val="0"/>
        <w:w w:val="100"/>
        <w:sz w:val="18"/>
        <w:szCs w:val="18"/>
        <w:lang w:val="en-US" w:eastAsia="en-US" w:bidi="ar-SA"/>
      </w:rPr>
    </w:lvl>
    <w:lvl w:ilvl="1" w:tplc="9F7A96FA">
      <w:numFmt w:val="bullet"/>
      <w:lvlText w:val="•"/>
      <w:lvlJc w:val="left"/>
      <w:pPr>
        <w:ind w:left="2234" w:hanging="360"/>
      </w:pPr>
      <w:rPr>
        <w:rFonts w:hint="default"/>
        <w:lang w:val="en-US" w:eastAsia="en-US" w:bidi="ar-SA"/>
      </w:rPr>
    </w:lvl>
    <w:lvl w:ilvl="2" w:tplc="8BA4A3C4">
      <w:numFmt w:val="bullet"/>
      <w:lvlText w:val="•"/>
      <w:lvlJc w:val="left"/>
      <w:pPr>
        <w:ind w:left="3129" w:hanging="360"/>
      </w:pPr>
      <w:rPr>
        <w:rFonts w:hint="default"/>
        <w:lang w:val="en-US" w:eastAsia="en-US" w:bidi="ar-SA"/>
      </w:rPr>
    </w:lvl>
    <w:lvl w:ilvl="3" w:tplc="186408E0">
      <w:numFmt w:val="bullet"/>
      <w:lvlText w:val="•"/>
      <w:lvlJc w:val="left"/>
      <w:pPr>
        <w:ind w:left="4023" w:hanging="360"/>
      </w:pPr>
      <w:rPr>
        <w:rFonts w:hint="default"/>
        <w:lang w:val="en-US" w:eastAsia="en-US" w:bidi="ar-SA"/>
      </w:rPr>
    </w:lvl>
    <w:lvl w:ilvl="4" w:tplc="D2BABEE0">
      <w:numFmt w:val="bullet"/>
      <w:lvlText w:val="•"/>
      <w:lvlJc w:val="left"/>
      <w:pPr>
        <w:ind w:left="4918" w:hanging="360"/>
      </w:pPr>
      <w:rPr>
        <w:rFonts w:hint="default"/>
        <w:lang w:val="en-US" w:eastAsia="en-US" w:bidi="ar-SA"/>
      </w:rPr>
    </w:lvl>
    <w:lvl w:ilvl="5" w:tplc="42E0DDB4">
      <w:numFmt w:val="bullet"/>
      <w:lvlText w:val="•"/>
      <w:lvlJc w:val="left"/>
      <w:pPr>
        <w:ind w:left="5812" w:hanging="360"/>
      </w:pPr>
      <w:rPr>
        <w:rFonts w:hint="default"/>
        <w:lang w:val="en-US" w:eastAsia="en-US" w:bidi="ar-SA"/>
      </w:rPr>
    </w:lvl>
    <w:lvl w:ilvl="6" w:tplc="C114A584">
      <w:numFmt w:val="bullet"/>
      <w:lvlText w:val="•"/>
      <w:lvlJc w:val="left"/>
      <w:pPr>
        <w:ind w:left="6707" w:hanging="360"/>
      </w:pPr>
      <w:rPr>
        <w:rFonts w:hint="default"/>
        <w:lang w:val="en-US" w:eastAsia="en-US" w:bidi="ar-SA"/>
      </w:rPr>
    </w:lvl>
    <w:lvl w:ilvl="7" w:tplc="2A24F18A">
      <w:numFmt w:val="bullet"/>
      <w:lvlText w:val="•"/>
      <w:lvlJc w:val="left"/>
      <w:pPr>
        <w:ind w:left="7601" w:hanging="360"/>
      </w:pPr>
      <w:rPr>
        <w:rFonts w:hint="default"/>
        <w:lang w:val="en-US" w:eastAsia="en-US" w:bidi="ar-SA"/>
      </w:rPr>
    </w:lvl>
    <w:lvl w:ilvl="8" w:tplc="FD6802D0">
      <w:numFmt w:val="bullet"/>
      <w:lvlText w:val="•"/>
      <w:lvlJc w:val="left"/>
      <w:pPr>
        <w:ind w:left="8496" w:hanging="360"/>
      </w:pPr>
      <w:rPr>
        <w:rFonts w:hint="default"/>
        <w:lang w:val="en-US" w:eastAsia="en-US" w:bidi="ar-SA"/>
      </w:rPr>
    </w:lvl>
  </w:abstractNum>
  <w:abstractNum w:abstractNumId="76" w15:restartNumberingAfterBreak="0">
    <w:nsid w:val="71866624"/>
    <w:multiLevelType w:val="multilevel"/>
    <w:tmpl w:val="905CAD7E"/>
    <w:lvl w:ilvl="0">
      <w:start w:val="7"/>
      <w:numFmt w:val="decimal"/>
      <w:lvlText w:val="%1"/>
      <w:lvlJc w:val="left"/>
      <w:pPr>
        <w:ind w:left="621" w:hanging="426"/>
        <w:jc w:val="left"/>
      </w:pPr>
      <w:rPr>
        <w:rFonts w:hint="default"/>
        <w:lang w:val="en-US" w:eastAsia="en-US" w:bidi="ar-SA"/>
      </w:rPr>
    </w:lvl>
    <w:lvl w:ilvl="1">
      <w:start w:val="1"/>
      <w:numFmt w:val="decimal"/>
      <w:lvlText w:val="%1.%2"/>
      <w:lvlJc w:val="left"/>
      <w:pPr>
        <w:ind w:left="621" w:hanging="426"/>
        <w:jc w:val="left"/>
      </w:pPr>
      <w:rPr>
        <w:rFonts w:hint="default"/>
        <w:lang w:val="en-US" w:eastAsia="en-US" w:bidi="ar-SA"/>
      </w:rPr>
    </w:lvl>
    <w:lvl w:ilvl="2">
      <w:start w:val="1"/>
      <w:numFmt w:val="decimal"/>
      <w:lvlText w:val="%1.%2.%3"/>
      <w:lvlJc w:val="left"/>
      <w:pPr>
        <w:ind w:left="621" w:hanging="426"/>
        <w:jc w:val="left"/>
      </w:pPr>
      <w:rPr>
        <w:rFonts w:ascii="Arial" w:eastAsia="Arial" w:hAnsi="Arial" w:cs="Arial" w:hint="default"/>
        <w:b w:val="0"/>
        <w:bCs w:val="0"/>
        <w:i w:val="0"/>
        <w:iCs w:val="0"/>
        <w:spacing w:val="-14"/>
        <w:w w:val="95"/>
        <w:sz w:val="15"/>
        <w:szCs w:val="15"/>
        <w:lang w:val="en-US" w:eastAsia="en-US" w:bidi="ar-SA"/>
      </w:rPr>
    </w:lvl>
    <w:lvl w:ilvl="3">
      <w:numFmt w:val="bullet"/>
      <w:lvlText w:val="•"/>
      <w:lvlJc w:val="left"/>
      <w:pPr>
        <w:ind w:left="952" w:hanging="426"/>
      </w:pPr>
      <w:rPr>
        <w:rFonts w:hint="default"/>
        <w:lang w:val="en-US" w:eastAsia="en-US" w:bidi="ar-SA"/>
      </w:rPr>
    </w:lvl>
    <w:lvl w:ilvl="4">
      <w:numFmt w:val="bullet"/>
      <w:lvlText w:val="•"/>
      <w:lvlJc w:val="left"/>
      <w:pPr>
        <w:ind w:left="1063" w:hanging="426"/>
      </w:pPr>
      <w:rPr>
        <w:rFonts w:hint="default"/>
        <w:lang w:val="en-US" w:eastAsia="en-US" w:bidi="ar-SA"/>
      </w:rPr>
    </w:lvl>
    <w:lvl w:ilvl="5">
      <w:numFmt w:val="bullet"/>
      <w:lvlText w:val="•"/>
      <w:lvlJc w:val="left"/>
      <w:pPr>
        <w:ind w:left="1174" w:hanging="426"/>
      </w:pPr>
      <w:rPr>
        <w:rFonts w:hint="default"/>
        <w:lang w:val="en-US" w:eastAsia="en-US" w:bidi="ar-SA"/>
      </w:rPr>
    </w:lvl>
    <w:lvl w:ilvl="6">
      <w:numFmt w:val="bullet"/>
      <w:lvlText w:val="•"/>
      <w:lvlJc w:val="left"/>
      <w:pPr>
        <w:ind w:left="1285" w:hanging="426"/>
      </w:pPr>
      <w:rPr>
        <w:rFonts w:hint="default"/>
        <w:lang w:val="en-US" w:eastAsia="en-US" w:bidi="ar-SA"/>
      </w:rPr>
    </w:lvl>
    <w:lvl w:ilvl="7">
      <w:numFmt w:val="bullet"/>
      <w:lvlText w:val="•"/>
      <w:lvlJc w:val="left"/>
      <w:pPr>
        <w:ind w:left="1395" w:hanging="426"/>
      </w:pPr>
      <w:rPr>
        <w:rFonts w:hint="default"/>
        <w:lang w:val="en-US" w:eastAsia="en-US" w:bidi="ar-SA"/>
      </w:rPr>
    </w:lvl>
    <w:lvl w:ilvl="8">
      <w:numFmt w:val="bullet"/>
      <w:lvlText w:val="•"/>
      <w:lvlJc w:val="left"/>
      <w:pPr>
        <w:ind w:left="1506" w:hanging="426"/>
      </w:pPr>
      <w:rPr>
        <w:rFonts w:hint="default"/>
        <w:lang w:val="en-US" w:eastAsia="en-US" w:bidi="ar-SA"/>
      </w:rPr>
    </w:lvl>
  </w:abstractNum>
  <w:abstractNum w:abstractNumId="77" w15:restartNumberingAfterBreak="0">
    <w:nsid w:val="72A734F0"/>
    <w:multiLevelType w:val="hybridMultilevel"/>
    <w:tmpl w:val="175C8FE8"/>
    <w:lvl w:ilvl="0" w:tplc="2110C6E2">
      <w:numFmt w:val="bullet"/>
      <w:lvlText w:val=""/>
      <w:lvlJc w:val="left"/>
      <w:pPr>
        <w:ind w:left="1318" w:hanging="360"/>
      </w:pPr>
      <w:rPr>
        <w:rFonts w:ascii="Symbol" w:eastAsia="Symbol" w:hAnsi="Symbol" w:cs="Symbol" w:hint="default"/>
        <w:b w:val="0"/>
        <w:bCs w:val="0"/>
        <w:i w:val="0"/>
        <w:iCs w:val="0"/>
        <w:spacing w:val="0"/>
        <w:w w:val="100"/>
        <w:sz w:val="18"/>
        <w:szCs w:val="18"/>
        <w:lang w:val="en-US" w:eastAsia="en-US" w:bidi="ar-SA"/>
      </w:rPr>
    </w:lvl>
    <w:lvl w:ilvl="1" w:tplc="581A3DAA">
      <w:numFmt w:val="bullet"/>
      <w:lvlText w:val="•"/>
      <w:lvlJc w:val="left"/>
      <w:pPr>
        <w:ind w:left="2216" w:hanging="360"/>
      </w:pPr>
      <w:rPr>
        <w:rFonts w:hint="default"/>
        <w:lang w:val="en-US" w:eastAsia="en-US" w:bidi="ar-SA"/>
      </w:rPr>
    </w:lvl>
    <w:lvl w:ilvl="2" w:tplc="2D02EF52">
      <w:numFmt w:val="bullet"/>
      <w:lvlText w:val="•"/>
      <w:lvlJc w:val="left"/>
      <w:pPr>
        <w:ind w:left="3113" w:hanging="360"/>
      </w:pPr>
      <w:rPr>
        <w:rFonts w:hint="default"/>
        <w:lang w:val="en-US" w:eastAsia="en-US" w:bidi="ar-SA"/>
      </w:rPr>
    </w:lvl>
    <w:lvl w:ilvl="3" w:tplc="9DFAEAE2">
      <w:numFmt w:val="bullet"/>
      <w:lvlText w:val="•"/>
      <w:lvlJc w:val="left"/>
      <w:pPr>
        <w:ind w:left="4009" w:hanging="360"/>
      </w:pPr>
      <w:rPr>
        <w:rFonts w:hint="default"/>
        <w:lang w:val="en-US" w:eastAsia="en-US" w:bidi="ar-SA"/>
      </w:rPr>
    </w:lvl>
    <w:lvl w:ilvl="4" w:tplc="6CF2FA3A">
      <w:numFmt w:val="bullet"/>
      <w:lvlText w:val="•"/>
      <w:lvlJc w:val="left"/>
      <w:pPr>
        <w:ind w:left="4906" w:hanging="360"/>
      </w:pPr>
      <w:rPr>
        <w:rFonts w:hint="default"/>
        <w:lang w:val="en-US" w:eastAsia="en-US" w:bidi="ar-SA"/>
      </w:rPr>
    </w:lvl>
    <w:lvl w:ilvl="5" w:tplc="3DB0E2D6">
      <w:numFmt w:val="bullet"/>
      <w:lvlText w:val="•"/>
      <w:lvlJc w:val="left"/>
      <w:pPr>
        <w:ind w:left="5802" w:hanging="360"/>
      </w:pPr>
      <w:rPr>
        <w:rFonts w:hint="default"/>
        <w:lang w:val="en-US" w:eastAsia="en-US" w:bidi="ar-SA"/>
      </w:rPr>
    </w:lvl>
    <w:lvl w:ilvl="6" w:tplc="DCA0830A">
      <w:numFmt w:val="bullet"/>
      <w:lvlText w:val="•"/>
      <w:lvlJc w:val="left"/>
      <w:pPr>
        <w:ind w:left="6699" w:hanging="360"/>
      </w:pPr>
      <w:rPr>
        <w:rFonts w:hint="default"/>
        <w:lang w:val="en-US" w:eastAsia="en-US" w:bidi="ar-SA"/>
      </w:rPr>
    </w:lvl>
    <w:lvl w:ilvl="7" w:tplc="A7805A3C">
      <w:numFmt w:val="bullet"/>
      <w:lvlText w:val="•"/>
      <w:lvlJc w:val="left"/>
      <w:pPr>
        <w:ind w:left="7595" w:hanging="360"/>
      </w:pPr>
      <w:rPr>
        <w:rFonts w:hint="default"/>
        <w:lang w:val="en-US" w:eastAsia="en-US" w:bidi="ar-SA"/>
      </w:rPr>
    </w:lvl>
    <w:lvl w:ilvl="8" w:tplc="4B30CEE4">
      <w:numFmt w:val="bullet"/>
      <w:lvlText w:val="•"/>
      <w:lvlJc w:val="left"/>
      <w:pPr>
        <w:ind w:left="8492" w:hanging="360"/>
      </w:pPr>
      <w:rPr>
        <w:rFonts w:hint="default"/>
        <w:lang w:val="en-US" w:eastAsia="en-US" w:bidi="ar-SA"/>
      </w:rPr>
    </w:lvl>
  </w:abstractNum>
  <w:abstractNum w:abstractNumId="78" w15:restartNumberingAfterBreak="0">
    <w:nsid w:val="72B25767"/>
    <w:multiLevelType w:val="hybridMultilevel"/>
    <w:tmpl w:val="868AFB4A"/>
    <w:lvl w:ilvl="0" w:tplc="F91EC0A6">
      <w:numFmt w:val="bullet"/>
      <w:lvlText w:val="•"/>
      <w:lvlJc w:val="left"/>
      <w:pPr>
        <w:ind w:left="1155" w:hanging="341"/>
      </w:pPr>
      <w:rPr>
        <w:rFonts w:ascii="Arial" w:eastAsia="Arial" w:hAnsi="Arial" w:cs="Arial" w:hint="default"/>
        <w:b w:val="0"/>
        <w:bCs w:val="0"/>
        <w:i w:val="0"/>
        <w:iCs w:val="0"/>
        <w:spacing w:val="0"/>
        <w:w w:val="100"/>
        <w:sz w:val="20"/>
        <w:szCs w:val="20"/>
        <w:lang w:val="en-US" w:eastAsia="en-US" w:bidi="ar-SA"/>
      </w:rPr>
    </w:lvl>
    <w:lvl w:ilvl="1" w:tplc="5960181C">
      <w:numFmt w:val="bullet"/>
      <w:lvlText w:val="•"/>
      <w:lvlJc w:val="left"/>
      <w:pPr>
        <w:ind w:left="1496" w:hanging="341"/>
      </w:pPr>
      <w:rPr>
        <w:rFonts w:ascii="Arial" w:eastAsia="Arial" w:hAnsi="Arial" w:cs="Arial" w:hint="default"/>
        <w:b w:val="0"/>
        <w:bCs w:val="0"/>
        <w:i w:val="0"/>
        <w:iCs w:val="0"/>
        <w:spacing w:val="0"/>
        <w:w w:val="100"/>
        <w:sz w:val="20"/>
        <w:szCs w:val="20"/>
        <w:lang w:val="en-US" w:eastAsia="en-US" w:bidi="ar-SA"/>
      </w:rPr>
    </w:lvl>
    <w:lvl w:ilvl="2" w:tplc="5FE8DE50">
      <w:numFmt w:val="bullet"/>
      <w:lvlText w:val="•"/>
      <w:lvlJc w:val="left"/>
      <w:pPr>
        <w:ind w:left="2476" w:hanging="341"/>
      </w:pPr>
      <w:rPr>
        <w:rFonts w:hint="default"/>
        <w:lang w:val="en-US" w:eastAsia="en-US" w:bidi="ar-SA"/>
      </w:rPr>
    </w:lvl>
    <w:lvl w:ilvl="3" w:tplc="5B9E0F9A">
      <w:numFmt w:val="bullet"/>
      <w:lvlText w:val="•"/>
      <w:lvlJc w:val="left"/>
      <w:pPr>
        <w:ind w:left="3452" w:hanging="341"/>
      </w:pPr>
      <w:rPr>
        <w:rFonts w:hint="default"/>
        <w:lang w:val="en-US" w:eastAsia="en-US" w:bidi="ar-SA"/>
      </w:rPr>
    </w:lvl>
    <w:lvl w:ilvl="4" w:tplc="E65E2EB2">
      <w:numFmt w:val="bullet"/>
      <w:lvlText w:val="•"/>
      <w:lvlJc w:val="left"/>
      <w:pPr>
        <w:ind w:left="4428" w:hanging="341"/>
      </w:pPr>
      <w:rPr>
        <w:rFonts w:hint="default"/>
        <w:lang w:val="en-US" w:eastAsia="en-US" w:bidi="ar-SA"/>
      </w:rPr>
    </w:lvl>
    <w:lvl w:ilvl="5" w:tplc="AFB2DA8E">
      <w:numFmt w:val="bullet"/>
      <w:lvlText w:val="•"/>
      <w:lvlJc w:val="left"/>
      <w:pPr>
        <w:ind w:left="5404" w:hanging="341"/>
      </w:pPr>
      <w:rPr>
        <w:rFonts w:hint="default"/>
        <w:lang w:val="en-US" w:eastAsia="en-US" w:bidi="ar-SA"/>
      </w:rPr>
    </w:lvl>
    <w:lvl w:ilvl="6" w:tplc="268AD87C">
      <w:numFmt w:val="bullet"/>
      <w:lvlText w:val="•"/>
      <w:lvlJc w:val="left"/>
      <w:pPr>
        <w:ind w:left="6380" w:hanging="341"/>
      </w:pPr>
      <w:rPr>
        <w:rFonts w:hint="default"/>
        <w:lang w:val="en-US" w:eastAsia="en-US" w:bidi="ar-SA"/>
      </w:rPr>
    </w:lvl>
    <w:lvl w:ilvl="7" w:tplc="8AF2D770">
      <w:numFmt w:val="bullet"/>
      <w:lvlText w:val="•"/>
      <w:lvlJc w:val="left"/>
      <w:pPr>
        <w:ind w:left="7357" w:hanging="341"/>
      </w:pPr>
      <w:rPr>
        <w:rFonts w:hint="default"/>
        <w:lang w:val="en-US" w:eastAsia="en-US" w:bidi="ar-SA"/>
      </w:rPr>
    </w:lvl>
    <w:lvl w:ilvl="8" w:tplc="7A00B09E">
      <w:numFmt w:val="bullet"/>
      <w:lvlText w:val="•"/>
      <w:lvlJc w:val="left"/>
      <w:pPr>
        <w:ind w:left="8333" w:hanging="341"/>
      </w:pPr>
      <w:rPr>
        <w:rFonts w:hint="default"/>
        <w:lang w:val="en-US" w:eastAsia="en-US" w:bidi="ar-SA"/>
      </w:rPr>
    </w:lvl>
  </w:abstractNum>
  <w:abstractNum w:abstractNumId="79" w15:restartNumberingAfterBreak="0">
    <w:nsid w:val="72C07A70"/>
    <w:multiLevelType w:val="multilevel"/>
    <w:tmpl w:val="D01C3870"/>
    <w:lvl w:ilvl="0">
      <w:start w:val="10"/>
      <w:numFmt w:val="decimal"/>
      <w:lvlText w:val="%1"/>
      <w:lvlJc w:val="left"/>
      <w:pPr>
        <w:ind w:left="527" w:hanging="426"/>
        <w:jc w:val="left"/>
      </w:pPr>
      <w:rPr>
        <w:rFonts w:hint="default"/>
        <w:lang w:val="en-US" w:eastAsia="en-US" w:bidi="ar-SA"/>
      </w:rPr>
    </w:lvl>
    <w:lvl w:ilvl="1">
      <w:start w:val="1"/>
      <w:numFmt w:val="decimal"/>
      <w:lvlText w:val="%1.%2"/>
      <w:lvlJc w:val="left"/>
      <w:pPr>
        <w:ind w:left="527" w:hanging="426"/>
        <w:jc w:val="left"/>
      </w:pPr>
      <w:rPr>
        <w:rFonts w:hint="default"/>
        <w:lang w:val="en-US" w:eastAsia="en-US" w:bidi="ar-SA"/>
      </w:rPr>
    </w:lvl>
    <w:lvl w:ilvl="2">
      <w:start w:val="1"/>
      <w:numFmt w:val="decimal"/>
      <w:lvlText w:val="%1.%2.%3"/>
      <w:lvlJc w:val="left"/>
      <w:pPr>
        <w:ind w:left="527" w:hanging="426"/>
        <w:jc w:val="left"/>
      </w:pPr>
      <w:rPr>
        <w:rFonts w:ascii="Arial" w:eastAsia="Arial" w:hAnsi="Arial" w:cs="Arial" w:hint="default"/>
        <w:b w:val="0"/>
        <w:bCs w:val="0"/>
        <w:i w:val="0"/>
        <w:iCs w:val="0"/>
        <w:spacing w:val="-13"/>
        <w:w w:val="95"/>
        <w:sz w:val="15"/>
        <w:szCs w:val="15"/>
        <w:lang w:val="en-US" w:eastAsia="en-US" w:bidi="ar-SA"/>
      </w:rPr>
    </w:lvl>
    <w:lvl w:ilvl="3">
      <w:numFmt w:val="bullet"/>
      <w:lvlText w:val="•"/>
      <w:lvlJc w:val="left"/>
      <w:pPr>
        <w:ind w:left="1199" w:hanging="426"/>
      </w:pPr>
      <w:rPr>
        <w:rFonts w:hint="default"/>
        <w:lang w:val="en-US" w:eastAsia="en-US" w:bidi="ar-SA"/>
      </w:rPr>
    </w:lvl>
    <w:lvl w:ilvl="4">
      <w:numFmt w:val="bullet"/>
      <w:lvlText w:val="•"/>
      <w:lvlJc w:val="left"/>
      <w:pPr>
        <w:ind w:left="1425" w:hanging="426"/>
      </w:pPr>
      <w:rPr>
        <w:rFonts w:hint="default"/>
        <w:lang w:val="en-US" w:eastAsia="en-US" w:bidi="ar-SA"/>
      </w:rPr>
    </w:lvl>
    <w:lvl w:ilvl="5">
      <w:numFmt w:val="bullet"/>
      <w:lvlText w:val="•"/>
      <w:lvlJc w:val="left"/>
      <w:pPr>
        <w:ind w:left="1652" w:hanging="426"/>
      </w:pPr>
      <w:rPr>
        <w:rFonts w:hint="default"/>
        <w:lang w:val="en-US" w:eastAsia="en-US" w:bidi="ar-SA"/>
      </w:rPr>
    </w:lvl>
    <w:lvl w:ilvl="6">
      <w:numFmt w:val="bullet"/>
      <w:lvlText w:val="•"/>
      <w:lvlJc w:val="left"/>
      <w:pPr>
        <w:ind w:left="1878" w:hanging="426"/>
      </w:pPr>
      <w:rPr>
        <w:rFonts w:hint="default"/>
        <w:lang w:val="en-US" w:eastAsia="en-US" w:bidi="ar-SA"/>
      </w:rPr>
    </w:lvl>
    <w:lvl w:ilvl="7">
      <w:numFmt w:val="bullet"/>
      <w:lvlText w:val="•"/>
      <w:lvlJc w:val="left"/>
      <w:pPr>
        <w:ind w:left="2105" w:hanging="426"/>
      </w:pPr>
      <w:rPr>
        <w:rFonts w:hint="default"/>
        <w:lang w:val="en-US" w:eastAsia="en-US" w:bidi="ar-SA"/>
      </w:rPr>
    </w:lvl>
    <w:lvl w:ilvl="8">
      <w:numFmt w:val="bullet"/>
      <w:lvlText w:val="•"/>
      <w:lvlJc w:val="left"/>
      <w:pPr>
        <w:ind w:left="2331" w:hanging="426"/>
      </w:pPr>
      <w:rPr>
        <w:rFonts w:hint="default"/>
        <w:lang w:val="en-US" w:eastAsia="en-US" w:bidi="ar-SA"/>
      </w:rPr>
    </w:lvl>
  </w:abstractNum>
  <w:abstractNum w:abstractNumId="80" w15:restartNumberingAfterBreak="0">
    <w:nsid w:val="746461A4"/>
    <w:multiLevelType w:val="hybridMultilevel"/>
    <w:tmpl w:val="5C1857A0"/>
    <w:lvl w:ilvl="0" w:tplc="0DB2E84E">
      <w:numFmt w:val="bullet"/>
      <w:lvlText w:val=""/>
      <w:lvlJc w:val="left"/>
      <w:pPr>
        <w:ind w:left="1339" w:hanging="360"/>
      </w:pPr>
      <w:rPr>
        <w:rFonts w:ascii="Symbol" w:eastAsia="Symbol" w:hAnsi="Symbol" w:cs="Symbol" w:hint="default"/>
        <w:b w:val="0"/>
        <w:bCs w:val="0"/>
        <w:i w:val="0"/>
        <w:iCs w:val="0"/>
        <w:spacing w:val="0"/>
        <w:w w:val="100"/>
        <w:sz w:val="18"/>
        <w:szCs w:val="18"/>
        <w:lang w:val="en-US" w:eastAsia="en-US" w:bidi="ar-SA"/>
      </w:rPr>
    </w:lvl>
    <w:lvl w:ilvl="1" w:tplc="BE1CC8C6">
      <w:numFmt w:val="bullet"/>
      <w:lvlText w:val=""/>
      <w:lvlJc w:val="left"/>
      <w:pPr>
        <w:ind w:left="1692" w:hanging="356"/>
      </w:pPr>
      <w:rPr>
        <w:rFonts w:ascii="Symbol" w:eastAsia="Symbol" w:hAnsi="Symbol" w:cs="Symbol" w:hint="default"/>
        <w:b w:val="0"/>
        <w:bCs w:val="0"/>
        <w:i w:val="0"/>
        <w:iCs w:val="0"/>
        <w:spacing w:val="0"/>
        <w:w w:val="100"/>
        <w:sz w:val="18"/>
        <w:szCs w:val="18"/>
        <w:lang w:val="en-US" w:eastAsia="en-US" w:bidi="ar-SA"/>
      </w:rPr>
    </w:lvl>
    <w:lvl w:ilvl="2" w:tplc="D88AA294">
      <w:numFmt w:val="bullet"/>
      <w:lvlText w:val="•"/>
      <w:lvlJc w:val="left"/>
      <w:pPr>
        <w:ind w:left="2653" w:hanging="356"/>
      </w:pPr>
      <w:rPr>
        <w:rFonts w:hint="default"/>
        <w:lang w:val="en-US" w:eastAsia="en-US" w:bidi="ar-SA"/>
      </w:rPr>
    </w:lvl>
    <w:lvl w:ilvl="3" w:tplc="946EED46">
      <w:numFmt w:val="bullet"/>
      <w:lvlText w:val="•"/>
      <w:lvlJc w:val="left"/>
      <w:pPr>
        <w:ind w:left="3607" w:hanging="356"/>
      </w:pPr>
      <w:rPr>
        <w:rFonts w:hint="default"/>
        <w:lang w:val="en-US" w:eastAsia="en-US" w:bidi="ar-SA"/>
      </w:rPr>
    </w:lvl>
    <w:lvl w:ilvl="4" w:tplc="24FC36BA">
      <w:numFmt w:val="bullet"/>
      <w:lvlText w:val="•"/>
      <w:lvlJc w:val="left"/>
      <w:pPr>
        <w:ind w:left="4561" w:hanging="356"/>
      </w:pPr>
      <w:rPr>
        <w:rFonts w:hint="default"/>
        <w:lang w:val="en-US" w:eastAsia="en-US" w:bidi="ar-SA"/>
      </w:rPr>
    </w:lvl>
    <w:lvl w:ilvl="5" w:tplc="FE1620BC">
      <w:numFmt w:val="bullet"/>
      <w:lvlText w:val="•"/>
      <w:lvlJc w:val="left"/>
      <w:pPr>
        <w:ind w:left="5515" w:hanging="356"/>
      </w:pPr>
      <w:rPr>
        <w:rFonts w:hint="default"/>
        <w:lang w:val="en-US" w:eastAsia="en-US" w:bidi="ar-SA"/>
      </w:rPr>
    </w:lvl>
    <w:lvl w:ilvl="6" w:tplc="33604F6C">
      <w:numFmt w:val="bullet"/>
      <w:lvlText w:val="•"/>
      <w:lvlJc w:val="left"/>
      <w:pPr>
        <w:ind w:left="6469" w:hanging="356"/>
      </w:pPr>
      <w:rPr>
        <w:rFonts w:hint="default"/>
        <w:lang w:val="en-US" w:eastAsia="en-US" w:bidi="ar-SA"/>
      </w:rPr>
    </w:lvl>
    <w:lvl w:ilvl="7" w:tplc="676AE2AE">
      <w:numFmt w:val="bullet"/>
      <w:lvlText w:val="•"/>
      <w:lvlJc w:val="left"/>
      <w:pPr>
        <w:ind w:left="7423" w:hanging="356"/>
      </w:pPr>
      <w:rPr>
        <w:rFonts w:hint="default"/>
        <w:lang w:val="en-US" w:eastAsia="en-US" w:bidi="ar-SA"/>
      </w:rPr>
    </w:lvl>
    <w:lvl w:ilvl="8" w:tplc="D2827606">
      <w:numFmt w:val="bullet"/>
      <w:lvlText w:val="•"/>
      <w:lvlJc w:val="left"/>
      <w:pPr>
        <w:ind w:left="8377" w:hanging="356"/>
      </w:pPr>
      <w:rPr>
        <w:rFonts w:hint="default"/>
        <w:lang w:val="en-US" w:eastAsia="en-US" w:bidi="ar-SA"/>
      </w:rPr>
    </w:lvl>
  </w:abstractNum>
  <w:abstractNum w:abstractNumId="81" w15:restartNumberingAfterBreak="0">
    <w:nsid w:val="75564752"/>
    <w:multiLevelType w:val="hybridMultilevel"/>
    <w:tmpl w:val="AEC8D474"/>
    <w:lvl w:ilvl="0" w:tplc="F446C6F4">
      <w:start w:val="4"/>
      <w:numFmt w:val="decimal"/>
      <w:lvlText w:val="%1."/>
      <w:lvlJc w:val="left"/>
      <w:pPr>
        <w:ind w:left="910" w:hanging="341"/>
        <w:jc w:val="left"/>
      </w:pPr>
      <w:rPr>
        <w:rFonts w:ascii="Arial" w:eastAsia="Arial" w:hAnsi="Arial" w:cs="Arial" w:hint="default"/>
        <w:b w:val="0"/>
        <w:bCs w:val="0"/>
        <w:i w:val="0"/>
        <w:iCs w:val="0"/>
        <w:spacing w:val="0"/>
        <w:w w:val="100"/>
        <w:sz w:val="20"/>
        <w:szCs w:val="20"/>
        <w:lang w:val="en-US" w:eastAsia="en-US" w:bidi="ar-SA"/>
      </w:rPr>
    </w:lvl>
    <w:lvl w:ilvl="1" w:tplc="08726A00">
      <w:start w:val="1"/>
      <w:numFmt w:val="lowerLetter"/>
      <w:lvlText w:val="%2)"/>
      <w:lvlJc w:val="left"/>
      <w:pPr>
        <w:ind w:left="527" w:hanging="341"/>
        <w:jc w:val="left"/>
      </w:pPr>
      <w:rPr>
        <w:rFonts w:ascii="Arial" w:eastAsia="Arial" w:hAnsi="Arial" w:cs="Arial" w:hint="default"/>
        <w:b w:val="0"/>
        <w:bCs w:val="0"/>
        <w:i w:val="0"/>
        <w:iCs w:val="0"/>
        <w:spacing w:val="0"/>
        <w:w w:val="100"/>
        <w:sz w:val="20"/>
        <w:szCs w:val="20"/>
        <w:lang w:val="en-US" w:eastAsia="en-US" w:bidi="ar-SA"/>
      </w:rPr>
    </w:lvl>
    <w:lvl w:ilvl="2" w:tplc="0A720414">
      <w:start w:val="1"/>
      <w:numFmt w:val="decimal"/>
      <w:lvlText w:val="%3."/>
      <w:lvlJc w:val="left"/>
      <w:pPr>
        <w:ind w:left="1155" w:hanging="341"/>
        <w:jc w:val="left"/>
      </w:pPr>
      <w:rPr>
        <w:rFonts w:ascii="Arial" w:eastAsia="Arial" w:hAnsi="Arial" w:cs="Arial" w:hint="default"/>
        <w:b w:val="0"/>
        <w:bCs w:val="0"/>
        <w:i w:val="0"/>
        <w:iCs w:val="0"/>
        <w:spacing w:val="0"/>
        <w:w w:val="100"/>
        <w:sz w:val="20"/>
        <w:szCs w:val="20"/>
        <w:lang w:val="en-US" w:eastAsia="en-US" w:bidi="ar-SA"/>
      </w:rPr>
    </w:lvl>
    <w:lvl w:ilvl="3" w:tplc="EBB080C4">
      <w:start w:val="1"/>
      <w:numFmt w:val="lowerLetter"/>
      <w:lvlText w:val="%4."/>
      <w:lvlJc w:val="left"/>
      <w:pPr>
        <w:ind w:left="1496" w:hanging="341"/>
        <w:jc w:val="left"/>
      </w:pPr>
      <w:rPr>
        <w:rFonts w:ascii="Arial" w:eastAsia="Arial" w:hAnsi="Arial" w:cs="Arial" w:hint="default"/>
        <w:b w:val="0"/>
        <w:bCs w:val="0"/>
        <w:i w:val="0"/>
        <w:iCs w:val="0"/>
        <w:spacing w:val="0"/>
        <w:w w:val="100"/>
        <w:sz w:val="20"/>
        <w:szCs w:val="20"/>
        <w:lang w:val="en-US" w:eastAsia="en-US" w:bidi="ar-SA"/>
      </w:rPr>
    </w:lvl>
    <w:lvl w:ilvl="4" w:tplc="61AA2156">
      <w:numFmt w:val="bullet"/>
      <w:lvlText w:val="•"/>
      <w:lvlJc w:val="left"/>
      <w:pPr>
        <w:ind w:left="1280" w:hanging="341"/>
      </w:pPr>
      <w:rPr>
        <w:rFonts w:hint="default"/>
        <w:lang w:val="en-US" w:eastAsia="en-US" w:bidi="ar-SA"/>
      </w:rPr>
    </w:lvl>
    <w:lvl w:ilvl="5" w:tplc="2DAC9EA8">
      <w:numFmt w:val="bullet"/>
      <w:lvlText w:val="•"/>
      <w:lvlJc w:val="left"/>
      <w:pPr>
        <w:ind w:left="1060" w:hanging="341"/>
      </w:pPr>
      <w:rPr>
        <w:rFonts w:hint="default"/>
        <w:lang w:val="en-US" w:eastAsia="en-US" w:bidi="ar-SA"/>
      </w:rPr>
    </w:lvl>
    <w:lvl w:ilvl="6" w:tplc="FAC4D1B6">
      <w:numFmt w:val="bullet"/>
      <w:lvlText w:val="•"/>
      <w:lvlJc w:val="left"/>
      <w:pPr>
        <w:ind w:left="840" w:hanging="341"/>
      </w:pPr>
      <w:rPr>
        <w:rFonts w:hint="default"/>
        <w:lang w:val="en-US" w:eastAsia="en-US" w:bidi="ar-SA"/>
      </w:rPr>
    </w:lvl>
    <w:lvl w:ilvl="7" w:tplc="C6E01B1A">
      <w:numFmt w:val="bullet"/>
      <w:lvlText w:val="•"/>
      <w:lvlJc w:val="left"/>
      <w:pPr>
        <w:ind w:left="620" w:hanging="341"/>
      </w:pPr>
      <w:rPr>
        <w:rFonts w:hint="default"/>
        <w:lang w:val="en-US" w:eastAsia="en-US" w:bidi="ar-SA"/>
      </w:rPr>
    </w:lvl>
    <w:lvl w:ilvl="8" w:tplc="3E8A985C">
      <w:numFmt w:val="bullet"/>
      <w:lvlText w:val="•"/>
      <w:lvlJc w:val="left"/>
      <w:pPr>
        <w:ind w:left="400" w:hanging="341"/>
      </w:pPr>
      <w:rPr>
        <w:rFonts w:hint="default"/>
        <w:lang w:val="en-US" w:eastAsia="en-US" w:bidi="ar-SA"/>
      </w:rPr>
    </w:lvl>
  </w:abstractNum>
  <w:abstractNum w:abstractNumId="82" w15:restartNumberingAfterBreak="0">
    <w:nsid w:val="77735607"/>
    <w:multiLevelType w:val="hybridMultilevel"/>
    <w:tmpl w:val="0002A15A"/>
    <w:lvl w:ilvl="0" w:tplc="A0B4AE2C">
      <w:start w:val="1"/>
      <w:numFmt w:val="lowerLetter"/>
      <w:lvlText w:val="(%1)"/>
      <w:lvlJc w:val="left"/>
      <w:pPr>
        <w:ind w:left="1678" w:hanging="720"/>
        <w:jc w:val="left"/>
      </w:pPr>
      <w:rPr>
        <w:rFonts w:ascii="Arial" w:eastAsia="Arial" w:hAnsi="Arial" w:cs="Arial" w:hint="default"/>
        <w:b w:val="0"/>
        <w:bCs w:val="0"/>
        <w:i w:val="0"/>
        <w:iCs w:val="0"/>
        <w:spacing w:val="-1"/>
        <w:w w:val="98"/>
        <w:sz w:val="20"/>
        <w:szCs w:val="20"/>
        <w:lang w:val="en-US" w:eastAsia="en-US" w:bidi="ar-SA"/>
      </w:rPr>
    </w:lvl>
    <w:lvl w:ilvl="1" w:tplc="605C0208">
      <w:start w:val="1"/>
      <w:numFmt w:val="lowerRoman"/>
      <w:lvlText w:val="(%2)"/>
      <w:lvlJc w:val="left"/>
      <w:pPr>
        <w:ind w:left="1169" w:hanging="212"/>
        <w:jc w:val="left"/>
      </w:pPr>
      <w:rPr>
        <w:rFonts w:ascii="Arial" w:eastAsia="Arial" w:hAnsi="Arial" w:cs="Arial" w:hint="default"/>
        <w:b w:val="0"/>
        <w:bCs w:val="0"/>
        <w:i/>
        <w:iCs/>
        <w:spacing w:val="-1"/>
        <w:w w:val="100"/>
        <w:sz w:val="18"/>
        <w:szCs w:val="18"/>
        <w:lang w:val="en-US" w:eastAsia="en-US" w:bidi="ar-SA"/>
      </w:rPr>
    </w:lvl>
    <w:lvl w:ilvl="2" w:tplc="6E401F52">
      <w:start w:val="1"/>
      <w:numFmt w:val="lowerLetter"/>
      <w:lvlText w:val="(%3)"/>
      <w:lvlJc w:val="left"/>
      <w:pPr>
        <w:ind w:left="1318" w:hanging="360"/>
        <w:jc w:val="left"/>
      </w:pPr>
      <w:rPr>
        <w:rFonts w:ascii="Arial" w:eastAsia="Arial" w:hAnsi="Arial" w:cs="Arial" w:hint="default"/>
        <w:b/>
        <w:bCs/>
        <w:i w:val="0"/>
        <w:iCs w:val="0"/>
        <w:spacing w:val="-1"/>
        <w:w w:val="99"/>
        <w:sz w:val="20"/>
        <w:szCs w:val="20"/>
        <w:lang w:val="en-US" w:eastAsia="en-US" w:bidi="ar-SA"/>
      </w:rPr>
    </w:lvl>
    <w:lvl w:ilvl="3" w:tplc="17E40EAE">
      <w:numFmt w:val="bullet"/>
      <w:lvlText w:val="•"/>
      <w:lvlJc w:val="left"/>
      <w:pPr>
        <w:ind w:left="2755" w:hanging="360"/>
      </w:pPr>
      <w:rPr>
        <w:rFonts w:hint="default"/>
        <w:lang w:val="en-US" w:eastAsia="en-US" w:bidi="ar-SA"/>
      </w:rPr>
    </w:lvl>
    <w:lvl w:ilvl="4" w:tplc="6C88F5E0">
      <w:numFmt w:val="bullet"/>
      <w:lvlText w:val="•"/>
      <w:lvlJc w:val="left"/>
      <w:pPr>
        <w:ind w:left="3831" w:hanging="360"/>
      </w:pPr>
      <w:rPr>
        <w:rFonts w:hint="default"/>
        <w:lang w:val="en-US" w:eastAsia="en-US" w:bidi="ar-SA"/>
      </w:rPr>
    </w:lvl>
    <w:lvl w:ilvl="5" w:tplc="38244574">
      <w:numFmt w:val="bullet"/>
      <w:lvlText w:val="•"/>
      <w:lvlJc w:val="left"/>
      <w:pPr>
        <w:ind w:left="4907" w:hanging="360"/>
      </w:pPr>
      <w:rPr>
        <w:rFonts w:hint="default"/>
        <w:lang w:val="en-US" w:eastAsia="en-US" w:bidi="ar-SA"/>
      </w:rPr>
    </w:lvl>
    <w:lvl w:ilvl="6" w:tplc="EB50D8BA">
      <w:numFmt w:val="bullet"/>
      <w:lvlText w:val="•"/>
      <w:lvlJc w:val="left"/>
      <w:pPr>
        <w:ind w:left="5982" w:hanging="360"/>
      </w:pPr>
      <w:rPr>
        <w:rFonts w:hint="default"/>
        <w:lang w:val="en-US" w:eastAsia="en-US" w:bidi="ar-SA"/>
      </w:rPr>
    </w:lvl>
    <w:lvl w:ilvl="7" w:tplc="E682ACA4">
      <w:numFmt w:val="bullet"/>
      <w:lvlText w:val="•"/>
      <w:lvlJc w:val="left"/>
      <w:pPr>
        <w:ind w:left="7058" w:hanging="360"/>
      </w:pPr>
      <w:rPr>
        <w:rFonts w:hint="default"/>
        <w:lang w:val="en-US" w:eastAsia="en-US" w:bidi="ar-SA"/>
      </w:rPr>
    </w:lvl>
    <w:lvl w:ilvl="8" w:tplc="AE1CF586">
      <w:numFmt w:val="bullet"/>
      <w:lvlText w:val="•"/>
      <w:lvlJc w:val="left"/>
      <w:pPr>
        <w:ind w:left="8134" w:hanging="360"/>
      </w:pPr>
      <w:rPr>
        <w:rFonts w:hint="default"/>
        <w:lang w:val="en-US" w:eastAsia="en-US" w:bidi="ar-SA"/>
      </w:rPr>
    </w:lvl>
  </w:abstractNum>
  <w:abstractNum w:abstractNumId="83" w15:restartNumberingAfterBreak="0">
    <w:nsid w:val="7C1A438B"/>
    <w:multiLevelType w:val="hybridMultilevel"/>
    <w:tmpl w:val="F266DAEA"/>
    <w:lvl w:ilvl="0" w:tplc="CB62FE70">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C26E791A">
      <w:numFmt w:val="bullet"/>
      <w:lvlText w:val="•"/>
      <w:lvlJc w:val="left"/>
      <w:pPr>
        <w:ind w:left="2162" w:hanging="454"/>
      </w:pPr>
      <w:rPr>
        <w:rFonts w:hint="default"/>
        <w:lang w:val="en-US" w:eastAsia="en-US" w:bidi="ar-SA"/>
      </w:rPr>
    </w:lvl>
    <w:lvl w:ilvl="2" w:tplc="60FE874A">
      <w:numFmt w:val="bullet"/>
      <w:lvlText w:val="•"/>
      <w:lvlJc w:val="left"/>
      <w:pPr>
        <w:ind w:left="3065" w:hanging="454"/>
      </w:pPr>
      <w:rPr>
        <w:rFonts w:hint="default"/>
        <w:lang w:val="en-US" w:eastAsia="en-US" w:bidi="ar-SA"/>
      </w:rPr>
    </w:lvl>
    <w:lvl w:ilvl="3" w:tplc="A376777E">
      <w:numFmt w:val="bullet"/>
      <w:lvlText w:val="•"/>
      <w:lvlJc w:val="left"/>
      <w:pPr>
        <w:ind w:left="3967" w:hanging="454"/>
      </w:pPr>
      <w:rPr>
        <w:rFonts w:hint="default"/>
        <w:lang w:val="en-US" w:eastAsia="en-US" w:bidi="ar-SA"/>
      </w:rPr>
    </w:lvl>
    <w:lvl w:ilvl="4" w:tplc="8000E142">
      <w:numFmt w:val="bullet"/>
      <w:lvlText w:val="•"/>
      <w:lvlJc w:val="left"/>
      <w:pPr>
        <w:ind w:left="4870" w:hanging="454"/>
      </w:pPr>
      <w:rPr>
        <w:rFonts w:hint="default"/>
        <w:lang w:val="en-US" w:eastAsia="en-US" w:bidi="ar-SA"/>
      </w:rPr>
    </w:lvl>
    <w:lvl w:ilvl="5" w:tplc="1D825782">
      <w:numFmt w:val="bullet"/>
      <w:lvlText w:val="•"/>
      <w:lvlJc w:val="left"/>
      <w:pPr>
        <w:ind w:left="5772" w:hanging="454"/>
      </w:pPr>
      <w:rPr>
        <w:rFonts w:hint="default"/>
        <w:lang w:val="en-US" w:eastAsia="en-US" w:bidi="ar-SA"/>
      </w:rPr>
    </w:lvl>
    <w:lvl w:ilvl="6" w:tplc="716EF3A8">
      <w:numFmt w:val="bullet"/>
      <w:lvlText w:val="•"/>
      <w:lvlJc w:val="left"/>
      <w:pPr>
        <w:ind w:left="6675" w:hanging="454"/>
      </w:pPr>
      <w:rPr>
        <w:rFonts w:hint="default"/>
        <w:lang w:val="en-US" w:eastAsia="en-US" w:bidi="ar-SA"/>
      </w:rPr>
    </w:lvl>
    <w:lvl w:ilvl="7" w:tplc="34724A70">
      <w:numFmt w:val="bullet"/>
      <w:lvlText w:val="•"/>
      <w:lvlJc w:val="left"/>
      <w:pPr>
        <w:ind w:left="7577" w:hanging="454"/>
      </w:pPr>
      <w:rPr>
        <w:rFonts w:hint="default"/>
        <w:lang w:val="en-US" w:eastAsia="en-US" w:bidi="ar-SA"/>
      </w:rPr>
    </w:lvl>
    <w:lvl w:ilvl="8" w:tplc="22DA55E8">
      <w:numFmt w:val="bullet"/>
      <w:lvlText w:val="•"/>
      <w:lvlJc w:val="left"/>
      <w:pPr>
        <w:ind w:left="8480" w:hanging="454"/>
      </w:pPr>
      <w:rPr>
        <w:rFonts w:hint="default"/>
        <w:lang w:val="en-US" w:eastAsia="en-US" w:bidi="ar-SA"/>
      </w:rPr>
    </w:lvl>
  </w:abstractNum>
  <w:abstractNum w:abstractNumId="84" w15:restartNumberingAfterBreak="0">
    <w:nsid w:val="7FF11C81"/>
    <w:multiLevelType w:val="hybridMultilevel"/>
    <w:tmpl w:val="5E788DE2"/>
    <w:lvl w:ilvl="0" w:tplc="A3324EFC">
      <w:start w:val="1"/>
      <w:numFmt w:val="lowerLetter"/>
      <w:lvlText w:val="(%1)"/>
      <w:lvlJc w:val="left"/>
      <w:pPr>
        <w:ind w:left="1269" w:hanging="454"/>
        <w:jc w:val="left"/>
      </w:pPr>
      <w:rPr>
        <w:rFonts w:ascii="Arial" w:eastAsia="Arial" w:hAnsi="Arial" w:cs="Arial" w:hint="default"/>
        <w:b w:val="0"/>
        <w:bCs w:val="0"/>
        <w:i w:val="0"/>
        <w:iCs w:val="0"/>
        <w:spacing w:val="0"/>
        <w:w w:val="100"/>
        <w:sz w:val="20"/>
        <w:szCs w:val="20"/>
        <w:lang w:val="en-US" w:eastAsia="en-US" w:bidi="ar-SA"/>
      </w:rPr>
    </w:lvl>
    <w:lvl w:ilvl="1" w:tplc="7CD8E312">
      <w:numFmt w:val="bullet"/>
      <w:lvlText w:val="•"/>
      <w:lvlJc w:val="left"/>
      <w:pPr>
        <w:ind w:left="2162" w:hanging="454"/>
      </w:pPr>
      <w:rPr>
        <w:rFonts w:hint="default"/>
        <w:lang w:val="en-US" w:eastAsia="en-US" w:bidi="ar-SA"/>
      </w:rPr>
    </w:lvl>
    <w:lvl w:ilvl="2" w:tplc="BE4C0DE6">
      <w:numFmt w:val="bullet"/>
      <w:lvlText w:val="•"/>
      <w:lvlJc w:val="left"/>
      <w:pPr>
        <w:ind w:left="3065" w:hanging="454"/>
      </w:pPr>
      <w:rPr>
        <w:rFonts w:hint="default"/>
        <w:lang w:val="en-US" w:eastAsia="en-US" w:bidi="ar-SA"/>
      </w:rPr>
    </w:lvl>
    <w:lvl w:ilvl="3" w:tplc="9E48C048">
      <w:numFmt w:val="bullet"/>
      <w:lvlText w:val="•"/>
      <w:lvlJc w:val="left"/>
      <w:pPr>
        <w:ind w:left="3967" w:hanging="454"/>
      </w:pPr>
      <w:rPr>
        <w:rFonts w:hint="default"/>
        <w:lang w:val="en-US" w:eastAsia="en-US" w:bidi="ar-SA"/>
      </w:rPr>
    </w:lvl>
    <w:lvl w:ilvl="4" w:tplc="29D2C0F6">
      <w:numFmt w:val="bullet"/>
      <w:lvlText w:val="•"/>
      <w:lvlJc w:val="left"/>
      <w:pPr>
        <w:ind w:left="4870" w:hanging="454"/>
      </w:pPr>
      <w:rPr>
        <w:rFonts w:hint="default"/>
        <w:lang w:val="en-US" w:eastAsia="en-US" w:bidi="ar-SA"/>
      </w:rPr>
    </w:lvl>
    <w:lvl w:ilvl="5" w:tplc="4B72D21A">
      <w:numFmt w:val="bullet"/>
      <w:lvlText w:val="•"/>
      <w:lvlJc w:val="left"/>
      <w:pPr>
        <w:ind w:left="5772" w:hanging="454"/>
      </w:pPr>
      <w:rPr>
        <w:rFonts w:hint="default"/>
        <w:lang w:val="en-US" w:eastAsia="en-US" w:bidi="ar-SA"/>
      </w:rPr>
    </w:lvl>
    <w:lvl w:ilvl="6" w:tplc="C6C40068">
      <w:numFmt w:val="bullet"/>
      <w:lvlText w:val="•"/>
      <w:lvlJc w:val="left"/>
      <w:pPr>
        <w:ind w:left="6675" w:hanging="454"/>
      </w:pPr>
      <w:rPr>
        <w:rFonts w:hint="default"/>
        <w:lang w:val="en-US" w:eastAsia="en-US" w:bidi="ar-SA"/>
      </w:rPr>
    </w:lvl>
    <w:lvl w:ilvl="7" w:tplc="FCD058FE">
      <w:numFmt w:val="bullet"/>
      <w:lvlText w:val="•"/>
      <w:lvlJc w:val="left"/>
      <w:pPr>
        <w:ind w:left="7577" w:hanging="454"/>
      </w:pPr>
      <w:rPr>
        <w:rFonts w:hint="default"/>
        <w:lang w:val="en-US" w:eastAsia="en-US" w:bidi="ar-SA"/>
      </w:rPr>
    </w:lvl>
    <w:lvl w:ilvl="8" w:tplc="97BA3874">
      <w:numFmt w:val="bullet"/>
      <w:lvlText w:val="•"/>
      <w:lvlJc w:val="left"/>
      <w:pPr>
        <w:ind w:left="8480" w:hanging="454"/>
      </w:pPr>
      <w:rPr>
        <w:rFonts w:hint="default"/>
        <w:lang w:val="en-US" w:eastAsia="en-US" w:bidi="ar-SA"/>
      </w:rPr>
    </w:lvl>
  </w:abstractNum>
  <w:num w:numId="1" w16cid:durableId="1798176820">
    <w:abstractNumId w:val="73"/>
  </w:num>
  <w:num w:numId="2" w16cid:durableId="1828589577">
    <w:abstractNumId w:val="21"/>
  </w:num>
  <w:num w:numId="3" w16cid:durableId="18969864">
    <w:abstractNumId w:val="47"/>
  </w:num>
  <w:num w:numId="4" w16cid:durableId="849416337">
    <w:abstractNumId w:val="30"/>
  </w:num>
  <w:num w:numId="5" w16cid:durableId="1526334817">
    <w:abstractNumId w:val="70"/>
  </w:num>
  <w:num w:numId="6" w16cid:durableId="615135484">
    <w:abstractNumId w:val="22"/>
  </w:num>
  <w:num w:numId="7" w16cid:durableId="1842311485">
    <w:abstractNumId w:val="20"/>
  </w:num>
  <w:num w:numId="8" w16cid:durableId="1007058018">
    <w:abstractNumId w:val="48"/>
  </w:num>
  <w:num w:numId="9" w16cid:durableId="737166985">
    <w:abstractNumId w:val="25"/>
  </w:num>
  <w:num w:numId="10" w16cid:durableId="214585551">
    <w:abstractNumId w:val="14"/>
  </w:num>
  <w:num w:numId="11" w16cid:durableId="469325162">
    <w:abstractNumId w:val="84"/>
  </w:num>
  <w:num w:numId="12" w16cid:durableId="364866217">
    <w:abstractNumId w:val="1"/>
  </w:num>
  <w:num w:numId="13" w16cid:durableId="331683383">
    <w:abstractNumId w:val="64"/>
  </w:num>
  <w:num w:numId="14" w16cid:durableId="444160363">
    <w:abstractNumId w:val="8"/>
  </w:num>
  <w:num w:numId="15" w16cid:durableId="1720743047">
    <w:abstractNumId w:val="83"/>
  </w:num>
  <w:num w:numId="16" w16cid:durableId="351613488">
    <w:abstractNumId w:val="23"/>
  </w:num>
  <w:num w:numId="17" w16cid:durableId="1596136237">
    <w:abstractNumId w:val="80"/>
  </w:num>
  <w:num w:numId="18" w16cid:durableId="1391154072">
    <w:abstractNumId w:val="24"/>
  </w:num>
  <w:num w:numId="19" w16cid:durableId="783963166">
    <w:abstractNumId w:val="5"/>
  </w:num>
  <w:num w:numId="20" w16cid:durableId="185757554">
    <w:abstractNumId w:val="54"/>
  </w:num>
  <w:num w:numId="21" w16cid:durableId="2042198901">
    <w:abstractNumId w:val="16"/>
  </w:num>
  <w:num w:numId="22" w16cid:durableId="1223714686">
    <w:abstractNumId w:val="17"/>
  </w:num>
  <w:num w:numId="23" w16cid:durableId="1390223347">
    <w:abstractNumId w:val="75"/>
  </w:num>
  <w:num w:numId="24" w16cid:durableId="1493641603">
    <w:abstractNumId w:val="34"/>
  </w:num>
  <w:num w:numId="25" w16cid:durableId="1203901780">
    <w:abstractNumId w:val="7"/>
  </w:num>
  <w:num w:numId="26" w16cid:durableId="781920279">
    <w:abstractNumId w:val="19"/>
  </w:num>
  <w:num w:numId="27" w16cid:durableId="1419907116">
    <w:abstractNumId w:val="2"/>
  </w:num>
  <w:num w:numId="28" w16cid:durableId="1288198633">
    <w:abstractNumId w:val="29"/>
  </w:num>
  <w:num w:numId="29" w16cid:durableId="1478764231">
    <w:abstractNumId w:val="61"/>
  </w:num>
  <w:num w:numId="30" w16cid:durableId="2114281502">
    <w:abstractNumId w:val="82"/>
  </w:num>
  <w:num w:numId="31" w16cid:durableId="533006355">
    <w:abstractNumId w:val="35"/>
  </w:num>
  <w:num w:numId="32" w16cid:durableId="567738462">
    <w:abstractNumId w:val="44"/>
  </w:num>
  <w:num w:numId="33" w16cid:durableId="1081101022">
    <w:abstractNumId w:val="77"/>
  </w:num>
  <w:num w:numId="34" w16cid:durableId="1589653745">
    <w:abstractNumId w:val="32"/>
  </w:num>
  <w:num w:numId="35" w16cid:durableId="1671982598">
    <w:abstractNumId w:val="59"/>
  </w:num>
  <w:num w:numId="36" w16cid:durableId="1414086574">
    <w:abstractNumId w:val="12"/>
  </w:num>
  <w:num w:numId="37" w16cid:durableId="269242205">
    <w:abstractNumId w:val="62"/>
  </w:num>
  <w:num w:numId="38" w16cid:durableId="844200402">
    <w:abstractNumId w:val="49"/>
  </w:num>
  <w:num w:numId="39" w16cid:durableId="1599556876">
    <w:abstractNumId w:val="43"/>
  </w:num>
  <w:num w:numId="40" w16cid:durableId="1342858067">
    <w:abstractNumId w:val="55"/>
  </w:num>
  <w:num w:numId="41" w16cid:durableId="1373383877">
    <w:abstractNumId w:val="72"/>
  </w:num>
  <w:num w:numId="42" w16cid:durableId="1083066325">
    <w:abstractNumId w:val="38"/>
  </w:num>
  <w:num w:numId="43" w16cid:durableId="955452053">
    <w:abstractNumId w:val="69"/>
  </w:num>
  <w:num w:numId="44" w16cid:durableId="1198203951">
    <w:abstractNumId w:val="18"/>
  </w:num>
  <w:num w:numId="45" w16cid:durableId="1880702877">
    <w:abstractNumId w:val="52"/>
  </w:num>
  <w:num w:numId="46" w16cid:durableId="1754625573">
    <w:abstractNumId w:val="6"/>
  </w:num>
  <w:num w:numId="47" w16cid:durableId="659382570">
    <w:abstractNumId w:val="37"/>
  </w:num>
  <w:num w:numId="48" w16cid:durableId="541400783">
    <w:abstractNumId w:val="65"/>
  </w:num>
  <w:num w:numId="49" w16cid:durableId="587620601">
    <w:abstractNumId w:val="41"/>
  </w:num>
  <w:num w:numId="50" w16cid:durableId="2071728233">
    <w:abstractNumId w:val="68"/>
  </w:num>
  <w:num w:numId="51" w16cid:durableId="1091124953">
    <w:abstractNumId w:val="63"/>
  </w:num>
  <w:num w:numId="52" w16cid:durableId="774399859">
    <w:abstractNumId w:val="81"/>
  </w:num>
  <w:num w:numId="53" w16cid:durableId="243690951">
    <w:abstractNumId w:val="53"/>
  </w:num>
  <w:num w:numId="54" w16cid:durableId="1578396183">
    <w:abstractNumId w:val="42"/>
  </w:num>
  <w:num w:numId="55" w16cid:durableId="876239813">
    <w:abstractNumId w:val="0"/>
  </w:num>
  <w:num w:numId="56" w16cid:durableId="171530672">
    <w:abstractNumId w:val="27"/>
  </w:num>
  <w:num w:numId="57" w16cid:durableId="1118641524">
    <w:abstractNumId w:val="78"/>
  </w:num>
  <w:num w:numId="58" w16cid:durableId="1864590557">
    <w:abstractNumId w:val="50"/>
  </w:num>
  <w:num w:numId="59" w16cid:durableId="1721590426">
    <w:abstractNumId w:val="15"/>
  </w:num>
  <w:num w:numId="60" w16cid:durableId="1834444875">
    <w:abstractNumId w:val="28"/>
  </w:num>
  <w:num w:numId="61" w16cid:durableId="889803240">
    <w:abstractNumId w:val="60"/>
  </w:num>
  <w:num w:numId="62" w16cid:durableId="1296527456">
    <w:abstractNumId w:val="9"/>
  </w:num>
  <w:num w:numId="63" w16cid:durableId="1983849955">
    <w:abstractNumId w:val="3"/>
  </w:num>
  <w:num w:numId="64" w16cid:durableId="1321083525">
    <w:abstractNumId w:val="33"/>
  </w:num>
  <w:num w:numId="65" w16cid:durableId="750929502">
    <w:abstractNumId w:val="4"/>
  </w:num>
  <w:num w:numId="66" w16cid:durableId="503515294">
    <w:abstractNumId w:val="26"/>
  </w:num>
  <w:num w:numId="67" w16cid:durableId="1544901526">
    <w:abstractNumId w:val="10"/>
  </w:num>
  <w:num w:numId="68" w16cid:durableId="2071951499">
    <w:abstractNumId w:val="46"/>
  </w:num>
  <w:num w:numId="69" w16cid:durableId="1986468790">
    <w:abstractNumId w:val="31"/>
  </w:num>
  <w:num w:numId="70" w16cid:durableId="911895646">
    <w:abstractNumId w:val="36"/>
  </w:num>
  <w:num w:numId="71" w16cid:durableId="804733767">
    <w:abstractNumId w:val="58"/>
  </w:num>
  <w:num w:numId="72" w16cid:durableId="1200775740">
    <w:abstractNumId w:val="57"/>
  </w:num>
  <w:num w:numId="73" w16cid:durableId="1889100961">
    <w:abstractNumId w:val="56"/>
  </w:num>
  <w:num w:numId="74" w16cid:durableId="1902402138">
    <w:abstractNumId w:val="39"/>
  </w:num>
  <w:num w:numId="75" w16cid:durableId="1704012249">
    <w:abstractNumId w:val="13"/>
  </w:num>
  <w:num w:numId="76" w16cid:durableId="1439836214">
    <w:abstractNumId w:val="79"/>
  </w:num>
  <w:num w:numId="77" w16cid:durableId="1137987683">
    <w:abstractNumId w:val="51"/>
  </w:num>
  <w:num w:numId="78" w16cid:durableId="314575194">
    <w:abstractNumId w:val="76"/>
  </w:num>
  <w:num w:numId="79" w16cid:durableId="1215700029">
    <w:abstractNumId w:val="74"/>
  </w:num>
  <w:num w:numId="80" w16cid:durableId="2120834235">
    <w:abstractNumId w:val="40"/>
  </w:num>
  <w:num w:numId="81" w16cid:durableId="2083521112">
    <w:abstractNumId w:val="71"/>
  </w:num>
  <w:num w:numId="82" w16cid:durableId="1628004384">
    <w:abstractNumId w:val="66"/>
  </w:num>
  <w:num w:numId="83" w16cid:durableId="1384786979">
    <w:abstractNumId w:val="11"/>
  </w:num>
  <w:num w:numId="84" w16cid:durableId="797141396">
    <w:abstractNumId w:val="45"/>
  </w:num>
  <w:num w:numId="85" w16cid:durableId="1791509950">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h5QrMMlUXOSSrlCkP8wZ20eUqwuTTsKNbH0We/nyaJHXOuORrD9EACanJW7mIPGPs6lVEGJf67NekHj0j1FtEA==" w:salt="s+0BW+0YoEEOreW0FEdElQ=="/>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3C"/>
    <w:rsid w:val="004F3AB5"/>
    <w:rsid w:val="00570E88"/>
    <w:rsid w:val="006A61CC"/>
    <w:rsid w:val="00AC6F3C"/>
    <w:rsid w:val="00D76D2E"/>
    <w:rsid w:val="00D83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FCE8"/>
  <w15:docId w15:val="{2B2A4675-C1B9-4C37-9C44-551F7DB5B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5"/>
      <w:ind w:left="815"/>
      <w:outlineLvl w:val="0"/>
    </w:pPr>
    <w:rPr>
      <w:b/>
      <w:bCs/>
      <w:sz w:val="44"/>
      <w:szCs w:val="44"/>
    </w:rPr>
  </w:style>
  <w:style w:type="paragraph" w:styleId="Heading2">
    <w:name w:val="heading 2"/>
    <w:basedOn w:val="Normal"/>
    <w:uiPriority w:val="9"/>
    <w:unhideWhenUsed/>
    <w:qFormat/>
    <w:pPr>
      <w:spacing w:before="165"/>
      <w:ind w:left="815"/>
      <w:outlineLvl w:val="1"/>
    </w:pPr>
    <w:rPr>
      <w:b/>
      <w:bCs/>
      <w:sz w:val="44"/>
      <w:szCs w:val="44"/>
    </w:rPr>
  </w:style>
  <w:style w:type="paragraph" w:styleId="Heading3">
    <w:name w:val="heading 3"/>
    <w:basedOn w:val="Normal"/>
    <w:uiPriority w:val="9"/>
    <w:unhideWhenUsed/>
    <w:qFormat/>
    <w:pPr>
      <w:ind w:left="815"/>
      <w:outlineLvl w:val="2"/>
    </w:pPr>
    <w:rPr>
      <w:b/>
      <w:bCs/>
      <w:sz w:val="32"/>
      <w:szCs w:val="32"/>
    </w:rPr>
  </w:style>
  <w:style w:type="paragraph" w:styleId="Heading4">
    <w:name w:val="heading 4"/>
    <w:basedOn w:val="Normal"/>
    <w:uiPriority w:val="9"/>
    <w:unhideWhenUsed/>
    <w:qFormat/>
    <w:pPr>
      <w:ind w:left="979"/>
      <w:outlineLvl w:val="3"/>
    </w:pPr>
    <w:rPr>
      <w:b/>
      <w:bCs/>
      <w:sz w:val="28"/>
      <w:szCs w:val="28"/>
    </w:rPr>
  </w:style>
  <w:style w:type="paragraph" w:styleId="Heading5">
    <w:name w:val="heading 5"/>
    <w:basedOn w:val="Normal"/>
    <w:uiPriority w:val="9"/>
    <w:unhideWhenUsed/>
    <w:qFormat/>
    <w:pPr>
      <w:ind w:left="815"/>
      <w:outlineLvl w:val="4"/>
    </w:pPr>
    <w:rPr>
      <w:b/>
      <w:bCs/>
      <w:sz w:val="26"/>
      <w:szCs w:val="26"/>
    </w:rPr>
  </w:style>
  <w:style w:type="paragraph" w:styleId="Heading6">
    <w:name w:val="heading 6"/>
    <w:basedOn w:val="Normal"/>
    <w:uiPriority w:val="9"/>
    <w:unhideWhenUsed/>
    <w:qFormat/>
    <w:pPr>
      <w:spacing w:before="241"/>
      <w:ind w:left="958"/>
      <w:outlineLvl w:val="5"/>
    </w:pPr>
    <w:rPr>
      <w:b/>
      <w:bCs/>
      <w:sz w:val="24"/>
      <w:szCs w:val="24"/>
    </w:rPr>
  </w:style>
  <w:style w:type="paragraph" w:styleId="Heading7">
    <w:name w:val="heading 7"/>
    <w:basedOn w:val="Normal"/>
    <w:uiPriority w:val="1"/>
    <w:qFormat/>
    <w:pPr>
      <w:spacing w:before="241"/>
      <w:ind w:left="958"/>
      <w:outlineLvl w:val="6"/>
    </w:pPr>
    <w:rPr>
      <w:b/>
      <w:bCs/>
      <w:sz w:val="24"/>
      <w:szCs w:val="24"/>
    </w:rPr>
  </w:style>
  <w:style w:type="paragraph" w:styleId="Heading8">
    <w:name w:val="heading 8"/>
    <w:basedOn w:val="Normal"/>
    <w:uiPriority w:val="1"/>
    <w:qFormat/>
    <w:pPr>
      <w:ind w:left="815"/>
      <w:outlineLvl w:val="7"/>
    </w:pPr>
    <w:rPr>
      <w:i/>
      <w:iCs/>
      <w:sz w:val="24"/>
      <w:szCs w:val="24"/>
    </w:rPr>
  </w:style>
  <w:style w:type="paragraph" w:styleId="Heading9">
    <w:name w:val="heading 9"/>
    <w:basedOn w:val="Normal"/>
    <w:uiPriority w:val="1"/>
    <w:qFormat/>
    <w:pPr>
      <w:ind w:left="815"/>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7"/>
      <w:ind w:left="119"/>
    </w:pPr>
    <w:rPr>
      <w:b/>
      <w:bCs/>
      <w:sz w:val="24"/>
      <w:szCs w:val="24"/>
    </w:rPr>
  </w:style>
  <w:style w:type="paragraph" w:styleId="TOC2">
    <w:name w:val="toc 2"/>
    <w:basedOn w:val="Normal"/>
    <w:uiPriority w:val="1"/>
    <w:qFormat/>
    <w:pPr>
      <w:spacing w:before="437"/>
      <w:ind w:left="119"/>
    </w:pPr>
    <w:rPr>
      <w:b/>
      <w:bCs/>
      <w:sz w:val="24"/>
      <w:szCs w:val="24"/>
    </w:rPr>
  </w:style>
  <w:style w:type="paragraph" w:styleId="TOC3">
    <w:name w:val="toc 3"/>
    <w:basedOn w:val="Normal"/>
    <w:uiPriority w:val="1"/>
    <w:qFormat/>
    <w:pPr>
      <w:spacing w:before="95"/>
      <w:ind w:left="285"/>
    </w:pPr>
    <w:rPr>
      <w:b/>
      <w:bCs/>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430"/>
      <w:ind w:left="115" w:right="3569" w:firstLine="21"/>
      <w:jc w:val="both"/>
    </w:pPr>
    <w:rPr>
      <w:rFonts w:ascii="Arial Black" w:eastAsia="Arial Black" w:hAnsi="Arial Black" w:cs="Arial Black"/>
      <w:sz w:val="120"/>
      <w:szCs w:val="120"/>
    </w:rPr>
  </w:style>
  <w:style w:type="paragraph" w:styleId="ListParagraph">
    <w:name w:val="List Paragraph"/>
    <w:basedOn w:val="Normal"/>
    <w:uiPriority w:val="1"/>
    <w:qFormat/>
    <w:pPr>
      <w:spacing w:before="180"/>
      <w:ind w:left="1155" w:hanging="3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4.xml"/><Relationship Id="rId63" Type="http://schemas.openxmlformats.org/officeDocument/2006/relationships/footer" Target="footer23.xml"/><Relationship Id="rId159" Type="http://schemas.openxmlformats.org/officeDocument/2006/relationships/hyperlink" Target="https://www.lawsociety.com.au/sites/default/files/2023-05/2022%20National%20Profile%20of%20Solicitors%20-%20Final.pdf" TargetMode="External"/><Relationship Id="rId170" Type="http://schemas.openxmlformats.org/officeDocument/2006/relationships/header" Target="header75.xml"/><Relationship Id="rId226" Type="http://schemas.openxmlformats.org/officeDocument/2006/relationships/footer" Target="footer102.xml"/><Relationship Id="rId268" Type="http://schemas.openxmlformats.org/officeDocument/2006/relationships/header" Target="header121.xml"/><Relationship Id="rId32" Type="http://schemas.openxmlformats.org/officeDocument/2006/relationships/footer" Target="footer9.xml"/><Relationship Id="rId74" Type="http://schemas.openxmlformats.org/officeDocument/2006/relationships/header" Target="header29.xml"/><Relationship Id="rId128" Type="http://schemas.openxmlformats.org/officeDocument/2006/relationships/header" Target="header56.xml"/><Relationship Id="rId5" Type="http://schemas.openxmlformats.org/officeDocument/2006/relationships/footnotes" Target="footnotes.xml"/><Relationship Id="rId95" Type="http://schemas.openxmlformats.org/officeDocument/2006/relationships/footer" Target="footer39.xml"/><Relationship Id="rId160" Type="http://schemas.openxmlformats.org/officeDocument/2006/relationships/hyperlink" Target="https://www.lawsociety.com.au/sites/default/files/2019-07/2018%20National%20Profile%20of%20Solicitors_final%20report_190619.pdf" TargetMode="External"/><Relationship Id="rId181" Type="http://schemas.openxmlformats.org/officeDocument/2006/relationships/footer" Target="footer80.xml"/><Relationship Id="rId216" Type="http://schemas.openxmlformats.org/officeDocument/2006/relationships/footer" Target="footer97.xml"/><Relationship Id="rId237" Type="http://schemas.openxmlformats.org/officeDocument/2006/relationships/footer" Target="footer107.xml"/><Relationship Id="rId258" Type="http://schemas.openxmlformats.org/officeDocument/2006/relationships/header" Target="header118.xml"/><Relationship Id="rId22" Type="http://schemas.openxmlformats.org/officeDocument/2006/relationships/footer" Target="footer4.xml"/><Relationship Id="rId43" Type="http://schemas.openxmlformats.org/officeDocument/2006/relationships/header" Target="header15.xml"/><Relationship Id="rId64" Type="http://schemas.openxmlformats.org/officeDocument/2006/relationships/header" Target="header24.xml"/><Relationship Id="rId118" Type="http://schemas.openxmlformats.org/officeDocument/2006/relationships/header" Target="header51.xml"/><Relationship Id="rId139" Type="http://schemas.openxmlformats.org/officeDocument/2006/relationships/footer" Target="footer61.xml"/><Relationship Id="rId85" Type="http://schemas.openxmlformats.org/officeDocument/2006/relationships/footer" Target="footer34.xml"/><Relationship Id="rId150" Type="http://schemas.openxmlformats.org/officeDocument/2006/relationships/header" Target="header67.xml"/><Relationship Id="rId171" Type="http://schemas.openxmlformats.org/officeDocument/2006/relationships/footer" Target="footer75.xml"/><Relationship Id="rId192" Type="http://schemas.openxmlformats.org/officeDocument/2006/relationships/header" Target="header86.xml"/><Relationship Id="rId206" Type="http://schemas.openxmlformats.org/officeDocument/2006/relationships/footer" Target="footer92.xml"/><Relationship Id="rId227" Type="http://schemas.openxmlformats.org/officeDocument/2006/relationships/header" Target="header103.xml"/><Relationship Id="rId248" Type="http://schemas.openxmlformats.org/officeDocument/2006/relationships/header" Target="header113.xml"/><Relationship Id="rId269" Type="http://schemas.openxmlformats.org/officeDocument/2006/relationships/footer" Target="footer121.xml"/><Relationship Id="rId12" Type="http://schemas.openxmlformats.org/officeDocument/2006/relationships/hyperlink" Target="http://www.data.qld.gov.au/" TargetMode="External"/><Relationship Id="rId33" Type="http://schemas.openxmlformats.org/officeDocument/2006/relationships/header" Target="header10.xml"/><Relationship Id="rId108" Type="http://schemas.openxmlformats.org/officeDocument/2006/relationships/header" Target="header46.xml"/><Relationship Id="rId129" Type="http://schemas.openxmlformats.org/officeDocument/2006/relationships/footer" Target="footer56.xml"/><Relationship Id="rId54" Type="http://schemas.openxmlformats.org/officeDocument/2006/relationships/footer" Target="footer20.xml"/><Relationship Id="rId75" Type="http://schemas.openxmlformats.org/officeDocument/2006/relationships/footer" Target="footer29.xml"/><Relationship Id="rId96" Type="http://schemas.openxmlformats.org/officeDocument/2006/relationships/header" Target="header40.xml"/><Relationship Id="rId140" Type="http://schemas.openxmlformats.org/officeDocument/2006/relationships/header" Target="header62.xml"/><Relationship Id="rId161" Type="http://schemas.openxmlformats.org/officeDocument/2006/relationships/hyperlink" Target="https://www.lawsociety.com.au/sites/default/files/2019-07/2018%20National%20Profile%20of%20Solicitors_final%20report_190619.pdf" TargetMode="External"/><Relationship Id="rId182" Type="http://schemas.openxmlformats.org/officeDocument/2006/relationships/header" Target="header81.xml"/><Relationship Id="rId217" Type="http://schemas.openxmlformats.org/officeDocument/2006/relationships/header" Target="header98.xml"/><Relationship Id="rId6" Type="http://schemas.openxmlformats.org/officeDocument/2006/relationships/endnotes" Target="endnotes.xml"/><Relationship Id="rId238" Type="http://schemas.openxmlformats.org/officeDocument/2006/relationships/header" Target="header108.xml"/><Relationship Id="rId259" Type="http://schemas.openxmlformats.org/officeDocument/2006/relationships/footer" Target="footer118.xml"/><Relationship Id="rId23" Type="http://schemas.openxmlformats.org/officeDocument/2006/relationships/header" Target="header5.xml"/><Relationship Id="rId119" Type="http://schemas.openxmlformats.org/officeDocument/2006/relationships/footer" Target="footer51.xml"/><Relationship Id="rId270" Type="http://schemas.openxmlformats.org/officeDocument/2006/relationships/header" Target="header122.xml"/><Relationship Id="rId44" Type="http://schemas.openxmlformats.org/officeDocument/2006/relationships/footer" Target="footer15.xml"/><Relationship Id="rId65" Type="http://schemas.openxmlformats.org/officeDocument/2006/relationships/footer" Target="footer24.xml"/><Relationship Id="rId86" Type="http://schemas.openxmlformats.org/officeDocument/2006/relationships/header" Target="header35.xml"/><Relationship Id="rId130" Type="http://schemas.openxmlformats.org/officeDocument/2006/relationships/header" Target="header57.xml"/><Relationship Id="rId151" Type="http://schemas.openxmlformats.org/officeDocument/2006/relationships/footer" Target="footer67.xml"/><Relationship Id="rId172" Type="http://schemas.openxmlformats.org/officeDocument/2006/relationships/header" Target="header76.xml"/><Relationship Id="rId193" Type="http://schemas.openxmlformats.org/officeDocument/2006/relationships/footer" Target="footer86.xml"/><Relationship Id="rId207" Type="http://schemas.openxmlformats.org/officeDocument/2006/relationships/header" Target="header93.xml"/><Relationship Id="rId228" Type="http://schemas.openxmlformats.org/officeDocument/2006/relationships/footer" Target="footer103.xml"/><Relationship Id="rId249" Type="http://schemas.openxmlformats.org/officeDocument/2006/relationships/footer" Target="footer113.xml"/><Relationship Id="rId13" Type="http://schemas.openxmlformats.org/officeDocument/2006/relationships/hyperlink" Target="mailto:info@qls.com.au" TargetMode="External"/><Relationship Id="rId109" Type="http://schemas.openxmlformats.org/officeDocument/2006/relationships/footer" Target="footer46.xml"/><Relationship Id="rId260" Type="http://schemas.openxmlformats.org/officeDocument/2006/relationships/header" Target="header119.xml"/><Relationship Id="rId34" Type="http://schemas.openxmlformats.org/officeDocument/2006/relationships/footer" Target="footer10.xml"/><Relationship Id="rId55" Type="http://schemas.openxmlformats.org/officeDocument/2006/relationships/hyperlink" Target="http://www.qls.com.au/" TargetMode="External"/><Relationship Id="rId76" Type="http://schemas.openxmlformats.org/officeDocument/2006/relationships/header" Target="header30.xml"/><Relationship Id="rId97" Type="http://schemas.openxmlformats.org/officeDocument/2006/relationships/footer" Target="footer40.xml"/><Relationship Id="rId120" Type="http://schemas.openxmlformats.org/officeDocument/2006/relationships/header" Target="header52.xml"/><Relationship Id="rId141" Type="http://schemas.openxmlformats.org/officeDocument/2006/relationships/footer" Target="footer62.xml"/><Relationship Id="rId7" Type="http://schemas.openxmlformats.org/officeDocument/2006/relationships/image" Target="media/image1.png"/><Relationship Id="rId162" Type="http://schemas.openxmlformats.org/officeDocument/2006/relationships/header" Target="header71.xml"/><Relationship Id="rId183" Type="http://schemas.openxmlformats.org/officeDocument/2006/relationships/footer" Target="footer81.xml"/><Relationship Id="rId218" Type="http://schemas.openxmlformats.org/officeDocument/2006/relationships/footer" Target="footer98.xml"/><Relationship Id="rId239" Type="http://schemas.openxmlformats.org/officeDocument/2006/relationships/footer" Target="footer108.xml"/><Relationship Id="rId250" Type="http://schemas.openxmlformats.org/officeDocument/2006/relationships/header" Target="header114.xml"/><Relationship Id="rId271" Type="http://schemas.openxmlformats.org/officeDocument/2006/relationships/footer" Target="footer122.xml"/><Relationship Id="rId24" Type="http://schemas.openxmlformats.org/officeDocument/2006/relationships/footer" Target="footer5.xml"/><Relationship Id="rId45" Type="http://schemas.openxmlformats.org/officeDocument/2006/relationships/header" Target="header16.xml"/><Relationship Id="rId66" Type="http://schemas.openxmlformats.org/officeDocument/2006/relationships/header" Target="header25.xml"/><Relationship Id="rId87" Type="http://schemas.openxmlformats.org/officeDocument/2006/relationships/footer" Target="footer35.xml"/><Relationship Id="rId110" Type="http://schemas.openxmlformats.org/officeDocument/2006/relationships/header" Target="header47.xml"/><Relationship Id="rId131" Type="http://schemas.openxmlformats.org/officeDocument/2006/relationships/footer" Target="footer57.xml"/><Relationship Id="rId152" Type="http://schemas.openxmlformats.org/officeDocument/2006/relationships/header" Target="header68.xml"/><Relationship Id="rId173" Type="http://schemas.openxmlformats.org/officeDocument/2006/relationships/footer" Target="footer76.xml"/><Relationship Id="rId194" Type="http://schemas.openxmlformats.org/officeDocument/2006/relationships/header" Target="header87.xml"/><Relationship Id="rId208" Type="http://schemas.openxmlformats.org/officeDocument/2006/relationships/footer" Target="footer93.xml"/><Relationship Id="rId229" Type="http://schemas.openxmlformats.org/officeDocument/2006/relationships/header" Target="header104.xml"/><Relationship Id="rId240" Type="http://schemas.openxmlformats.org/officeDocument/2006/relationships/header" Target="header109.xml"/><Relationship Id="rId261" Type="http://schemas.openxmlformats.org/officeDocument/2006/relationships/footer" Target="footer119.xml"/><Relationship Id="rId14" Type="http://schemas.openxmlformats.org/officeDocument/2006/relationships/header" Target="header1.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42.xml"/><Relationship Id="rId8" Type="http://schemas.openxmlformats.org/officeDocument/2006/relationships/hyperlink" Target="http://www.qls.com.au/annualreports" TargetMode="External"/><Relationship Id="rId98" Type="http://schemas.openxmlformats.org/officeDocument/2006/relationships/header" Target="header41.xml"/><Relationship Id="rId121" Type="http://schemas.openxmlformats.org/officeDocument/2006/relationships/footer" Target="footer52.xml"/><Relationship Id="rId142" Type="http://schemas.openxmlformats.org/officeDocument/2006/relationships/header" Target="header63.xml"/><Relationship Id="rId163" Type="http://schemas.openxmlformats.org/officeDocument/2006/relationships/footer" Target="footer71.xml"/><Relationship Id="rId184" Type="http://schemas.openxmlformats.org/officeDocument/2006/relationships/header" Target="header82.xml"/><Relationship Id="rId219" Type="http://schemas.openxmlformats.org/officeDocument/2006/relationships/header" Target="header99.xml"/><Relationship Id="rId230" Type="http://schemas.openxmlformats.org/officeDocument/2006/relationships/footer" Target="footer104.xml"/><Relationship Id="rId251" Type="http://schemas.openxmlformats.org/officeDocument/2006/relationships/footer" Target="footer114.xml"/><Relationship Id="rId25" Type="http://schemas.openxmlformats.org/officeDocument/2006/relationships/header" Target="header6.xml"/><Relationship Id="rId46" Type="http://schemas.openxmlformats.org/officeDocument/2006/relationships/footer" Target="footer16.xml"/><Relationship Id="rId67" Type="http://schemas.openxmlformats.org/officeDocument/2006/relationships/footer" Target="footer25.xml"/><Relationship Id="rId272" Type="http://schemas.openxmlformats.org/officeDocument/2006/relationships/fontTable" Target="fontTable.xml"/><Relationship Id="rId88" Type="http://schemas.openxmlformats.org/officeDocument/2006/relationships/header" Target="header36.xml"/><Relationship Id="rId111" Type="http://schemas.openxmlformats.org/officeDocument/2006/relationships/footer" Target="footer47.xml"/><Relationship Id="rId132" Type="http://schemas.openxmlformats.org/officeDocument/2006/relationships/header" Target="header58.xml"/><Relationship Id="rId153" Type="http://schemas.openxmlformats.org/officeDocument/2006/relationships/footer" Target="footer68.xml"/><Relationship Id="rId174" Type="http://schemas.openxmlformats.org/officeDocument/2006/relationships/header" Target="header77.xml"/><Relationship Id="rId195" Type="http://schemas.openxmlformats.org/officeDocument/2006/relationships/footer" Target="footer87.xml"/><Relationship Id="rId209" Type="http://schemas.openxmlformats.org/officeDocument/2006/relationships/header" Target="header94.xml"/><Relationship Id="rId220" Type="http://schemas.openxmlformats.org/officeDocument/2006/relationships/footer" Target="footer99.xml"/><Relationship Id="rId241" Type="http://schemas.openxmlformats.org/officeDocument/2006/relationships/footer" Target="footer109.xml"/><Relationship Id="rId15" Type="http://schemas.openxmlformats.org/officeDocument/2006/relationships/footer" Target="footer1.xml"/><Relationship Id="rId36" Type="http://schemas.openxmlformats.org/officeDocument/2006/relationships/footer" Target="footer11.xml"/><Relationship Id="rId57" Type="http://schemas.openxmlformats.org/officeDocument/2006/relationships/footer" Target="footer21.xml"/><Relationship Id="rId262" Type="http://schemas.openxmlformats.org/officeDocument/2006/relationships/hyperlink" Target="http://www.data.qld.gov.au/" TargetMode="External"/><Relationship Id="rId78" Type="http://schemas.openxmlformats.org/officeDocument/2006/relationships/header" Target="header31.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3.xml"/><Relationship Id="rId143" Type="http://schemas.openxmlformats.org/officeDocument/2006/relationships/footer" Target="footer63.xml"/><Relationship Id="rId164" Type="http://schemas.openxmlformats.org/officeDocument/2006/relationships/header" Target="header72.xml"/><Relationship Id="rId185" Type="http://schemas.openxmlformats.org/officeDocument/2006/relationships/footer" Target="footer82.xml"/><Relationship Id="rId9" Type="http://schemas.openxmlformats.org/officeDocument/2006/relationships/hyperlink" Target="http://www.qls.com.au/" TargetMode="External"/><Relationship Id="rId210" Type="http://schemas.openxmlformats.org/officeDocument/2006/relationships/footer" Target="footer94.xml"/><Relationship Id="rId26" Type="http://schemas.openxmlformats.org/officeDocument/2006/relationships/footer" Target="footer6.xml"/><Relationship Id="rId231" Type="http://schemas.openxmlformats.org/officeDocument/2006/relationships/header" Target="header105.xml"/><Relationship Id="rId252" Type="http://schemas.openxmlformats.org/officeDocument/2006/relationships/header" Target="header115.xml"/><Relationship Id="rId273" Type="http://schemas.openxmlformats.org/officeDocument/2006/relationships/theme" Target="theme/theme1.xml"/><Relationship Id="rId47" Type="http://schemas.openxmlformats.org/officeDocument/2006/relationships/header" Target="header17.xml"/><Relationship Id="rId68" Type="http://schemas.openxmlformats.org/officeDocument/2006/relationships/header" Target="header26.xml"/><Relationship Id="rId89" Type="http://schemas.openxmlformats.org/officeDocument/2006/relationships/footer" Target="footer36.xml"/><Relationship Id="rId112" Type="http://schemas.openxmlformats.org/officeDocument/2006/relationships/header" Target="header48.xml"/><Relationship Id="rId133" Type="http://schemas.openxmlformats.org/officeDocument/2006/relationships/footer" Target="footer58.xml"/><Relationship Id="rId154" Type="http://schemas.openxmlformats.org/officeDocument/2006/relationships/header" Target="header69.xml"/><Relationship Id="rId175" Type="http://schemas.openxmlformats.org/officeDocument/2006/relationships/footer" Target="footer77.xml"/><Relationship Id="rId196" Type="http://schemas.openxmlformats.org/officeDocument/2006/relationships/header" Target="header88.xml"/><Relationship Id="rId200" Type="http://schemas.openxmlformats.org/officeDocument/2006/relationships/header" Target="header90.xml"/><Relationship Id="rId16" Type="http://schemas.openxmlformats.org/officeDocument/2006/relationships/hyperlink" Target="mailto:president@qls.com.au" TargetMode="External"/><Relationship Id="rId221" Type="http://schemas.openxmlformats.org/officeDocument/2006/relationships/header" Target="header100.xml"/><Relationship Id="rId242" Type="http://schemas.openxmlformats.org/officeDocument/2006/relationships/header" Target="header110.xml"/><Relationship Id="rId263" Type="http://schemas.openxmlformats.org/officeDocument/2006/relationships/hyperlink" Target="http://www.data.qld.gov.au/" TargetMode="External"/><Relationship Id="rId37" Type="http://schemas.openxmlformats.org/officeDocument/2006/relationships/header" Target="header12.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eader" Target="header43.xml"/><Relationship Id="rId123" Type="http://schemas.openxmlformats.org/officeDocument/2006/relationships/footer" Target="footer53.xml"/><Relationship Id="rId144" Type="http://schemas.openxmlformats.org/officeDocument/2006/relationships/header" Target="header64.xml"/><Relationship Id="rId90" Type="http://schemas.openxmlformats.org/officeDocument/2006/relationships/header" Target="header37.xml"/><Relationship Id="rId165" Type="http://schemas.openxmlformats.org/officeDocument/2006/relationships/footer" Target="footer72.xml"/><Relationship Id="rId186" Type="http://schemas.openxmlformats.org/officeDocument/2006/relationships/header" Target="header83.xml"/><Relationship Id="rId211" Type="http://schemas.openxmlformats.org/officeDocument/2006/relationships/header" Target="header95.xml"/><Relationship Id="rId232" Type="http://schemas.openxmlformats.org/officeDocument/2006/relationships/footer" Target="footer105.xml"/><Relationship Id="rId253" Type="http://schemas.openxmlformats.org/officeDocument/2006/relationships/footer" Target="footer115.xml"/><Relationship Id="rId27" Type="http://schemas.openxmlformats.org/officeDocument/2006/relationships/header" Target="header7.xml"/><Relationship Id="rId48" Type="http://schemas.openxmlformats.org/officeDocument/2006/relationships/footer" Target="footer17.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eader" Target="header59.xml"/><Relationship Id="rId80" Type="http://schemas.openxmlformats.org/officeDocument/2006/relationships/header" Target="header32.xml"/><Relationship Id="rId155" Type="http://schemas.openxmlformats.org/officeDocument/2006/relationships/footer" Target="footer69.xml"/><Relationship Id="rId176" Type="http://schemas.openxmlformats.org/officeDocument/2006/relationships/header" Target="header78.xml"/><Relationship Id="rId197" Type="http://schemas.openxmlformats.org/officeDocument/2006/relationships/footer" Target="footer88.xml"/><Relationship Id="rId201" Type="http://schemas.openxmlformats.org/officeDocument/2006/relationships/footer" Target="footer90.xml"/><Relationship Id="rId222" Type="http://schemas.openxmlformats.org/officeDocument/2006/relationships/footer" Target="footer100.xml"/><Relationship Id="rId243" Type="http://schemas.openxmlformats.org/officeDocument/2006/relationships/footer" Target="footer110.xml"/><Relationship Id="rId264" Type="http://schemas.openxmlformats.org/officeDocument/2006/relationships/hyperlink" Target="http://www.data.qld.gov.au/" TargetMode="External"/><Relationship Id="rId17" Type="http://schemas.openxmlformats.org/officeDocument/2006/relationships/header" Target="header2.xml"/><Relationship Id="rId38" Type="http://schemas.openxmlformats.org/officeDocument/2006/relationships/footer" Target="footer12.xml"/><Relationship Id="rId59" Type="http://schemas.openxmlformats.org/officeDocument/2006/relationships/footer" Target="footer22.xml"/><Relationship Id="rId103" Type="http://schemas.openxmlformats.org/officeDocument/2006/relationships/footer" Target="footer43.xml"/><Relationship Id="rId124" Type="http://schemas.openxmlformats.org/officeDocument/2006/relationships/header" Target="header54.xml"/><Relationship Id="rId70" Type="http://schemas.openxmlformats.org/officeDocument/2006/relationships/header" Target="header27.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header" Target="header73.xml"/><Relationship Id="rId187" Type="http://schemas.openxmlformats.org/officeDocument/2006/relationships/footer" Target="footer83.xml"/><Relationship Id="rId1" Type="http://schemas.openxmlformats.org/officeDocument/2006/relationships/numbering" Target="numbering.xml"/><Relationship Id="rId212" Type="http://schemas.openxmlformats.org/officeDocument/2006/relationships/footer" Target="footer95.xml"/><Relationship Id="rId233" Type="http://schemas.openxmlformats.org/officeDocument/2006/relationships/header" Target="header106.xml"/><Relationship Id="rId254" Type="http://schemas.openxmlformats.org/officeDocument/2006/relationships/header" Target="header116.xml"/><Relationship Id="rId28" Type="http://schemas.openxmlformats.org/officeDocument/2006/relationships/footer" Target="footer7.xml"/><Relationship Id="rId49" Type="http://schemas.openxmlformats.org/officeDocument/2006/relationships/header" Target="header18.xml"/><Relationship Id="rId114" Type="http://schemas.openxmlformats.org/officeDocument/2006/relationships/header" Target="header49.xml"/><Relationship Id="rId60" Type="http://schemas.openxmlformats.org/officeDocument/2006/relationships/hyperlink" Target="http://qls.com.au/" TargetMode="External"/><Relationship Id="rId81" Type="http://schemas.openxmlformats.org/officeDocument/2006/relationships/footer" Target="footer32.xml"/><Relationship Id="rId135" Type="http://schemas.openxmlformats.org/officeDocument/2006/relationships/footer" Target="footer59.xml"/><Relationship Id="rId156" Type="http://schemas.openxmlformats.org/officeDocument/2006/relationships/header" Target="header70.xml"/><Relationship Id="rId177" Type="http://schemas.openxmlformats.org/officeDocument/2006/relationships/footer" Target="footer78.xml"/><Relationship Id="rId198" Type="http://schemas.openxmlformats.org/officeDocument/2006/relationships/header" Target="header89.xml"/><Relationship Id="rId202" Type="http://schemas.openxmlformats.org/officeDocument/2006/relationships/hyperlink" Target="http://www.qls.com.au/" TargetMode="External"/><Relationship Id="rId223" Type="http://schemas.openxmlformats.org/officeDocument/2006/relationships/header" Target="header101.xml"/><Relationship Id="rId244" Type="http://schemas.openxmlformats.org/officeDocument/2006/relationships/header" Target="header111.xml"/><Relationship Id="rId18" Type="http://schemas.openxmlformats.org/officeDocument/2006/relationships/footer" Target="footer2.xml"/><Relationship Id="rId39" Type="http://schemas.openxmlformats.org/officeDocument/2006/relationships/header" Target="header13.xml"/><Relationship Id="rId265" Type="http://schemas.openxmlformats.org/officeDocument/2006/relationships/hyperlink" Target="http://www.data.qld.gov.au/" TargetMode="External"/><Relationship Id="rId50" Type="http://schemas.openxmlformats.org/officeDocument/2006/relationships/footer" Target="footer18.xml"/><Relationship Id="rId104" Type="http://schemas.openxmlformats.org/officeDocument/2006/relationships/header" Target="header44.xml"/><Relationship Id="rId125" Type="http://schemas.openxmlformats.org/officeDocument/2006/relationships/footer" Target="footer54.xml"/><Relationship Id="rId146" Type="http://schemas.openxmlformats.org/officeDocument/2006/relationships/header" Target="header65.xml"/><Relationship Id="rId167" Type="http://schemas.openxmlformats.org/officeDocument/2006/relationships/footer" Target="footer73.xml"/><Relationship Id="rId188" Type="http://schemas.openxmlformats.org/officeDocument/2006/relationships/header" Target="header84.xml"/><Relationship Id="rId71" Type="http://schemas.openxmlformats.org/officeDocument/2006/relationships/footer" Target="footer27.xml"/><Relationship Id="rId92" Type="http://schemas.openxmlformats.org/officeDocument/2006/relationships/header" Target="header38.xml"/><Relationship Id="rId213" Type="http://schemas.openxmlformats.org/officeDocument/2006/relationships/header" Target="header96.xml"/><Relationship Id="rId234" Type="http://schemas.openxmlformats.org/officeDocument/2006/relationships/footer" Target="footer106.xm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footer" Target="footer116.xml"/><Relationship Id="rId40" Type="http://schemas.openxmlformats.org/officeDocument/2006/relationships/footer" Target="footer13.xml"/><Relationship Id="rId115" Type="http://schemas.openxmlformats.org/officeDocument/2006/relationships/footer" Target="footer49.xml"/><Relationship Id="rId136" Type="http://schemas.openxmlformats.org/officeDocument/2006/relationships/header" Target="header60.xml"/><Relationship Id="rId157" Type="http://schemas.openxmlformats.org/officeDocument/2006/relationships/footer" Target="footer70.xml"/><Relationship Id="rId178" Type="http://schemas.openxmlformats.org/officeDocument/2006/relationships/header" Target="header79.xml"/><Relationship Id="rId61" Type="http://schemas.openxmlformats.org/officeDocument/2006/relationships/hyperlink" Target="http://www.qls.com.au/" TargetMode="External"/><Relationship Id="rId82" Type="http://schemas.openxmlformats.org/officeDocument/2006/relationships/header" Target="header33.xml"/><Relationship Id="rId199" Type="http://schemas.openxmlformats.org/officeDocument/2006/relationships/footer" Target="footer89.xml"/><Relationship Id="rId203" Type="http://schemas.openxmlformats.org/officeDocument/2006/relationships/header" Target="header91.xml"/><Relationship Id="rId19" Type="http://schemas.openxmlformats.org/officeDocument/2006/relationships/header" Target="header3.xml"/><Relationship Id="rId224" Type="http://schemas.openxmlformats.org/officeDocument/2006/relationships/footer" Target="footer101.xml"/><Relationship Id="rId245" Type="http://schemas.openxmlformats.org/officeDocument/2006/relationships/footer" Target="footer111.xml"/><Relationship Id="rId266" Type="http://schemas.openxmlformats.org/officeDocument/2006/relationships/header" Target="header120.xml"/><Relationship Id="rId30" Type="http://schemas.openxmlformats.org/officeDocument/2006/relationships/footer" Target="footer8.xml"/><Relationship Id="rId105" Type="http://schemas.openxmlformats.org/officeDocument/2006/relationships/footer" Target="footer44.xml"/><Relationship Id="rId126" Type="http://schemas.openxmlformats.org/officeDocument/2006/relationships/header" Target="header55.xml"/><Relationship Id="rId147" Type="http://schemas.openxmlformats.org/officeDocument/2006/relationships/footer" Target="footer65.xml"/><Relationship Id="rId168" Type="http://schemas.openxmlformats.org/officeDocument/2006/relationships/header" Target="header74.xml"/><Relationship Id="rId51" Type="http://schemas.openxmlformats.org/officeDocument/2006/relationships/header" Target="header19.xml"/><Relationship Id="rId72" Type="http://schemas.openxmlformats.org/officeDocument/2006/relationships/header" Target="header28.xml"/><Relationship Id="rId93" Type="http://schemas.openxmlformats.org/officeDocument/2006/relationships/footer" Target="footer38.xml"/><Relationship Id="rId189" Type="http://schemas.openxmlformats.org/officeDocument/2006/relationships/footer" Target="footer84.xml"/><Relationship Id="rId3" Type="http://schemas.openxmlformats.org/officeDocument/2006/relationships/settings" Target="settings.xml"/><Relationship Id="rId214" Type="http://schemas.openxmlformats.org/officeDocument/2006/relationships/footer" Target="footer96.xml"/><Relationship Id="rId235" Type="http://schemas.openxmlformats.org/officeDocument/2006/relationships/image" Target="media/image4.png"/><Relationship Id="rId256" Type="http://schemas.openxmlformats.org/officeDocument/2006/relationships/header" Target="header117.xml"/><Relationship Id="rId116" Type="http://schemas.openxmlformats.org/officeDocument/2006/relationships/header" Target="header50.xml"/><Relationship Id="rId137" Type="http://schemas.openxmlformats.org/officeDocument/2006/relationships/footer" Target="footer60.xml"/><Relationship Id="rId158" Type="http://schemas.openxmlformats.org/officeDocument/2006/relationships/hyperlink" Target="https://www.lawsociety.com.au/sites/default/files/2023-05/2022%20National%20Profile%20of%20Solicitors%20-%20Final.pdf" TargetMode="External"/><Relationship Id="rId20" Type="http://schemas.openxmlformats.org/officeDocument/2006/relationships/footer" Target="footer3.xml"/><Relationship Id="rId41" Type="http://schemas.openxmlformats.org/officeDocument/2006/relationships/header" Target="header14.xml"/><Relationship Id="rId62" Type="http://schemas.openxmlformats.org/officeDocument/2006/relationships/header" Target="header23.xml"/><Relationship Id="rId83" Type="http://schemas.openxmlformats.org/officeDocument/2006/relationships/footer" Target="footer33.xml"/><Relationship Id="rId179" Type="http://schemas.openxmlformats.org/officeDocument/2006/relationships/footer" Target="footer79.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header" Target="header102.xml"/><Relationship Id="rId246" Type="http://schemas.openxmlformats.org/officeDocument/2006/relationships/header" Target="header112.xml"/><Relationship Id="rId267" Type="http://schemas.openxmlformats.org/officeDocument/2006/relationships/footer" Target="footer120.xml"/><Relationship Id="rId106" Type="http://schemas.openxmlformats.org/officeDocument/2006/relationships/header" Target="header45.xml"/><Relationship Id="rId127" Type="http://schemas.openxmlformats.org/officeDocument/2006/relationships/footer" Target="footer55.xml"/><Relationship Id="rId10" Type="http://schemas.openxmlformats.org/officeDocument/2006/relationships/image" Target="media/image2.png"/><Relationship Id="rId31" Type="http://schemas.openxmlformats.org/officeDocument/2006/relationships/header" Target="header9.xml"/><Relationship Id="rId52" Type="http://schemas.openxmlformats.org/officeDocument/2006/relationships/footer" Target="footer19.xml"/><Relationship Id="rId73" Type="http://schemas.openxmlformats.org/officeDocument/2006/relationships/footer" Target="footer28.xml"/><Relationship Id="rId94" Type="http://schemas.openxmlformats.org/officeDocument/2006/relationships/header" Target="header39.xml"/><Relationship Id="rId148" Type="http://schemas.openxmlformats.org/officeDocument/2006/relationships/header" Target="header66.xml"/><Relationship Id="rId169" Type="http://schemas.openxmlformats.org/officeDocument/2006/relationships/footer" Target="footer74.xml"/><Relationship Id="rId4" Type="http://schemas.openxmlformats.org/officeDocument/2006/relationships/webSettings" Target="webSettings.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header" Target="header107.xml"/><Relationship Id="rId257" Type="http://schemas.openxmlformats.org/officeDocument/2006/relationships/footer" Target="footer117.xml"/><Relationship Id="rId42" Type="http://schemas.openxmlformats.org/officeDocument/2006/relationships/footer" Target="footer14.xml"/><Relationship Id="rId84" Type="http://schemas.openxmlformats.org/officeDocument/2006/relationships/header" Target="header34.xml"/><Relationship Id="rId138" Type="http://schemas.openxmlformats.org/officeDocument/2006/relationships/header" Target="header61.xml"/><Relationship Id="rId191" Type="http://schemas.openxmlformats.org/officeDocument/2006/relationships/footer" Target="footer85.xml"/><Relationship Id="rId205" Type="http://schemas.openxmlformats.org/officeDocument/2006/relationships/header" Target="header92.xml"/><Relationship Id="rId247" Type="http://schemas.openxmlformats.org/officeDocument/2006/relationships/footer" Target="footer112.xml"/><Relationship Id="rId107" Type="http://schemas.openxmlformats.org/officeDocument/2006/relationships/footer" Target="footer45.xml"/><Relationship Id="rId11" Type="http://schemas.openxmlformats.org/officeDocument/2006/relationships/image" Target="media/image3.png"/><Relationship Id="rId53" Type="http://schemas.openxmlformats.org/officeDocument/2006/relationships/header" Target="header20.xml"/><Relationship Id="rId149" Type="http://schemas.openxmlformats.org/officeDocument/2006/relationships/footer" Target="footer66.xml"/></Relationships>
</file>

<file path=word/_rels/header103.xml.rels><?xml version="1.0" encoding="UTF-8" standalone="yes"?>
<Relationships xmlns="http://schemas.openxmlformats.org/package/2006/relationships"><Relationship Id="rId1" Type="http://schemas.openxmlformats.org/officeDocument/2006/relationships/image" Target="media/image4.png"/></Relationships>
</file>

<file path=word/_rels/header111.xml.rels><?xml version="1.0" encoding="UTF-8" standalone="yes"?>
<Relationships xmlns="http://schemas.openxmlformats.org/package/2006/relationships"><Relationship Id="rId1" Type="http://schemas.openxmlformats.org/officeDocument/2006/relationships/image" Target="media/image4.png"/></Relationships>
</file>

<file path=word/_rels/header117.xml.rels><?xml version="1.0" encoding="UTF-8" standalone="yes"?>
<Relationships xmlns="http://schemas.openxmlformats.org/package/2006/relationships"><Relationship Id="rId1" Type="http://schemas.openxmlformats.org/officeDocument/2006/relationships/image" Target="media/image4.png"/></Relationships>
</file>

<file path=word/_rels/header9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229</Pages>
  <Words>67985</Words>
  <Characters>387520</Characters>
  <Application>Microsoft Office Word</Application>
  <DocSecurity>8</DocSecurity>
  <Lines>3229</Lines>
  <Paragraphs>909</Paragraphs>
  <ScaleCrop>false</ScaleCrop>
  <Company/>
  <LinksUpToDate>false</LinksUpToDate>
  <CharactersWithSpaces>454596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Law Society Annual Report 2022-23</dc:title>
  <dc:subject>Queensland Law Society Annual Report 2022-23</dc:subject>
  <dc:creator>Queensland Law Society</dc:creator>
  <cp:lastModifiedBy>Louise Corrigan</cp:lastModifiedBy>
  <cp:revision>3</cp:revision>
  <dcterms:created xsi:type="dcterms:W3CDTF">2023-10-03T23:59:00Z</dcterms:created>
  <dcterms:modified xsi:type="dcterms:W3CDTF">2023-10-04T00:01:00Z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Adobe InDesign 18.2 (Windows)</vt:lpwstr>
  </property>
  <property fmtid="{D5CDD505-2E9C-101B-9397-08002B2CF9AE}" pid="4" name="LastSaved">
    <vt:filetime>2023-09-27T00:00:00Z</vt:filetime>
  </property>
  <property fmtid="{D5CDD505-2E9C-101B-9397-08002B2CF9AE}" pid="5" name="Producer">
    <vt:lpwstr>Adobe PDF Library 17.0</vt:lpwstr>
  </property>
</Properties>
</file>